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A6347" w14:textId="14545D39" w:rsidR="00A10B25" w:rsidRDefault="00A10B25">
      <w:pPr>
        <w:pStyle w:val="ZA"/>
        <w:framePr w:wrap="notBeside"/>
      </w:pPr>
      <w:bookmarkStart w:id="0" w:name="page1"/>
      <w:r>
        <w:rPr>
          <w:sz w:val="64"/>
        </w:rPr>
        <w:t xml:space="preserve">3GPP TS </w:t>
      </w:r>
      <w:r>
        <w:rPr>
          <w:rFonts w:hint="eastAsia"/>
          <w:sz w:val="64"/>
          <w:lang w:val="en-US" w:eastAsia="zh-CN"/>
        </w:rPr>
        <w:t>29</w:t>
      </w:r>
      <w:r>
        <w:rPr>
          <w:sz w:val="64"/>
        </w:rPr>
        <w:t>.</w:t>
      </w:r>
      <w:r>
        <w:rPr>
          <w:sz w:val="64"/>
          <w:lang w:val="en-US" w:eastAsia="zh-CN"/>
        </w:rPr>
        <w:t>520</w:t>
      </w:r>
      <w:r>
        <w:rPr>
          <w:sz w:val="64"/>
        </w:rPr>
        <w:t xml:space="preserve"> </w:t>
      </w:r>
      <w:r>
        <w:t>V1</w:t>
      </w:r>
      <w:r w:rsidR="00650215">
        <w:t>9</w:t>
      </w:r>
      <w:r>
        <w:t>.</w:t>
      </w:r>
      <w:r w:rsidR="00124F05">
        <w:t>3</w:t>
      </w:r>
      <w:r>
        <w:t>.</w:t>
      </w:r>
      <w:r w:rsidR="00124F05">
        <w:rPr>
          <w:lang w:eastAsia="zh-CN"/>
        </w:rPr>
        <w:t>0</w:t>
      </w:r>
      <w:r w:rsidR="00124F05">
        <w:t xml:space="preserve"> </w:t>
      </w:r>
      <w:r>
        <w:rPr>
          <w:sz w:val="32"/>
        </w:rPr>
        <w:t>(</w:t>
      </w:r>
      <w:r w:rsidR="008A4636">
        <w:rPr>
          <w:sz w:val="32"/>
          <w:lang w:val="en-US" w:eastAsia="zh-CN"/>
        </w:rPr>
        <w:t>202</w:t>
      </w:r>
      <w:r w:rsidR="0020689F">
        <w:rPr>
          <w:sz w:val="32"/>
          <w:lang w:val="en-US" w:eastAsia="zh-CN"/>
        </w:rPr>
        <w:t>5</w:t>
      </w:r>
      <w:r>
        <w:rPr>
          <w:sz w:val="32"/>
        </w:rPr>
        <w:t>-</w:t>
      </w:r>
      <w:r w:rsidR="0020689F">
        <w:rPr>
          <w:sz w:val="32"/>
        </w:rPr>
        <w:t>0</w:t>
      </w:r>
      <w:r w:rsidR="00F12F72">
        <w:rPr>
          <w:sz w:val="32"/>
        </w:rPr>
        <w:t>6</w:t>
      </w:r>
      <w:r>
        <w:rPr>
          <w:sz w:val="32"/>
        </w:rPr>
        <w:t>)</w:t>
      </w:r>
    </w:p>
    <w:p w14:paraId="302F8C76" w14:textId="77777777" w:rsidR="00A10B25" w:rsidRDefault="00A10B25">
      <w:pPr>
        <w:pStyle w:val="ZB"/>
        <w:framePr w:wrap="notBeside"/>
      </w:pPr>
      <w:r>
        <w:t>Technical Specification</w:t>
      </w:r>
    </w:p>
    <w:p w14:paraId="2B2C5379" w14:textId="77777777" w:rsidR="00A10B25" w:rsidRDefault="00A10B25">
      <w:pPr>
        <w:pStyle w:val="ZT"/>
        <w:framePr w:wrap="notBeside"/>
      </w:pPr>
      <w:r>
        <w:t>3rd Generation Partnership Project;</w:t>
      </w:r>
    </w:p>
    <w:p w14:paraId="5E8B232B" w14:textId="77777777" w:rsidR="00A10B25" w:rsidRDefault="00A10B25">
      <w:pPr>
        <w:pStyle w:val="ZT"/>
        <w:framePr w:wrap="notBeside"/>
      </w:pPr>
      <w:r>
        <w:t xml:space="preserve">Technical Specification Group </w:t>
      </w:r>
      <w:r>
        <w:rPr>
          <w:rFonts w:hint="eastAsia"/>
          <w:lang w:eastAsia="ja-JP"/>
        </w:rPr>
        <w:t>Core Network</w:t>
      </w:r>
      <w:r>
        <w:rPr>
          <w:lang w:eastAsia="ja-JP"/>
        </w:rPr>
        <w:t xml:space="preserve"> and Terminals</w:t>
      </w:r>
      <w:r>
        <w:t>;</w:t>
      </w:r>
    </w:p>
    <w:p w14:paraId="1AD11D23" w14:textId="77777777" w:rsidR="00A10B25" w:rsidRDefault="00A10B25">
      <w:pPr>
        <w:pStyle w:val="ZT"/>
        <w:framePr w:wrap="notBeside"/>
      </w:pPr>
      <w:r>
        <w:t>5G System; Network Data Analytics Services;</w:t>
      </w:r>
    </w:p>
    <w:p w14:paraId="63578C7F" w14:textId="77777777" w:rsidR="00A10B25" w:rsidRDefault="00A10B25">
      <w:pPr>
        <w:pStyle w:val="ZT"/>
        <w:framePr w:wrap="notBeside"/>
      </w:pPr>
      <w:r>
        <w:t>Stage 3</w:t>
      </w:r>
    </w:p>
    <w:p w14:paraId="30B5DA99" w14:textId="77777777" w:rsidR="00A10B25" w:rsidRDefault="00A10B25">
      <w:pPr>
        <w:pStyle w:val="ZT"/>
        <w:framePr w:wrap="notBeside"/>
      </w:pPr>
      <w:r>
        <w:t>(</w:t>
      </w:r>
      <w:r>
        <w:rPr>
          <w:rStyle w:val="ZGSM"/>
        </w:rPr>
        <w:t>Release 1</w:t>
      </w:r>
      <w:r w:rsidR="00D94F93">
        <w:rPr>
          <w:rStyle w:val="ZGSM"/>
        </w:rPr>
        <w:t>9</w:t>
      </w:r>
      <w:r>
        <w:t>)</w:t>
      </w:r>
    </w:p>
    <w:bookmarkStart w:id="1" w:name="_MON_1684549432"/>
    <w:bookmarkEnd w:id="1"/>
    <w:bookmarkStart w:id="2" w:name="_1684549432"/>
    <w:bookmarkEnd w:id="2"/>
    <w:p w14:paraId="4B900017" w14:textId="3936D3CB" w:rsidR="00A10B25" w:rsidRDefault="00A10B25">
      <w:pPr>
        <w:pStyle w:val="ZU"/>
        <w:framePr w:h="4929" w:hRule="exact" w:wrap="notBeside"/>
        <w:tabs>
          <w:tab w:val="right" w:pos="10206"/>
        </w:tabs>
        <w:jc w:val="left"/>
      </w:pPr>
      <w:r>
        <w:rPr>
          <w:i/>
          <w:lang w:val="en-US" w:eastAsia="zh-CN"/>
        </w:rPr>
        <w:object w:dxaOrig="2030" w:dyaOrig="1248" w14:anchorId="48132E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96.4pt;height:58.85pt;mso-position-horizontal-relative:page;mso-position-vertical-relative:page" o:ole="">
            <v:imagedata r:id="rId7" o:title=""/>
          </v:shape>
          <o:OLEObject Type="Embed" ProgID="Word.Picture.8" ShapeID="Object 1" DrawAspect="Content" ObjectID="_1810065983" r:id="rId8"/>
        </w:object>
      </w:r>
      <w:r>
        <w:rPr>
          <w:color w:val="0000FF"/>
        </w:rPr>
        <w:tab/>
      </w:r>
      <w:r w:rsidR="00257874">
        <w:rPr>
          <w:noProof/>
          <w:lang w:val="en-US" w:eastAsia="zh-CN"/>
        </w:rPr>
        <w:drawing>
          <wp:inline distT="0" distB="0" distL="0" distR="0" wp14:anchorId="22E8009C" wp14:editId="4087EA5D">
            <wp:extent cx="1621790" cy="9385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38530"/>
                    </a:xfrm>
                    <a:prstGeom prst="rect">
                      <a:avLst/>
                    </a:prstGeom>
                    <a:noFill/>
                    <a:ln>
                      <a:noFill/>
                    </a:ln>
                  </pic:spPr>
                </pic:pic>
              </a:graphicData>
            </a:graphic>
          </wp:inline>
        </w:drawing>
      </w:r>
    </w:p>
    <w:p w14:paraId="6E604A65" w14:textId="77777777" w:rsidR="00A10B25" w:rsidRDefault="00A10B25">
      <w:pPr>
        <w:pStyle w:val="ZU"/>
        <w:framePr w:h="4929" w:hRule="exact" w:wrap="notBeside"/>
        <w:tabs>
          <w:tab w:val="right" w:pos="10206"/>
        </w:tabs>
        <w:jc w:val="left"/>
      </w:pPr>
    </w:p>
    <w:p w14:paraId="7F12EEF0" w14:textId="77777777" w:rsidR="00A10B25" w:rsidRDefault="00A10B25">
      <w:pPr>
        <w:framePr w:h="1377" w:hRule="exact" w:wrap="notBeside" w:vAnchor="page" w:hAnchor="margin" w:y="15305"/>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4655CE9" w14:textId="77777777" w:rsidR="00A10B25" w:rsidRDefault="00A10B25">
      <w:pPr>
        <w:pStyle w:val="ZV"/>
        <w:framePr w:wrap="notBeside"/>
      </w:pPr>
    </w:p>
    <w:p w14:paraId="0FAA0388" w14:textId="77777777" w:rsidR="00A10B25" w:rsidRDefault="00A10B25"/>
    <w:bookmarkEnd w:id="0"/>
    <w:p w14:paraId="08562451" w14:textId="77777777" w:rsidR="00A10B25" w:rsidRPr="00D654A6" w:rsidRDefault="00A10B25">
      <w:pPr>
        <w:rPr>
          <w:rFonts w:eastAsia="Batang" w:hint="eastAsia"/>
          <w:lang w:eastAsia="ko-KR"/>
        </w:rPr>
        <w:sectPr w:rsidR="00A10B25" w:rsidRPr="00D654A6" w:rsidSect="008867D9">
          <w:footnotePr>
            <w:numRestart w:val="eachSect"/>
          </w:footnotePr>
          <w:pgSz w:w="11907" w:h="16840"/>
          <w:pgMar w:top="2268" w:right="851" w:bottom="10773" w:left="851" w:header="0" w:footer="0" w:gutter="0"/>
          <w:cols w:space="720"/>
        </w:sectPr>
      </w:pPr>
    </w:p>
    <w:p w14:paraId="6BBBFBD5" w14:textId="77777777" w:rsidR="00A10B25" w:rsidRDefault="00A10B25">
      <w:pPr>
        <w:pStyle w:val="FP"/>
        <w:framePr w:wrap="notBeside" w:vAnchor="page" w:hAnchor="page" w:x="1099" w:y="1644"/>
        <w:pBdr>
          <w:bottom w:val="single" w:sz="6" w:space="1" w:color="auto"/>
        </w:pBdr>
        <w:spacing w:before="240"/>
        <w:ind w:left="2835" w:right="2835"/>
        <w:jc w:val="center"/>
      </w:pPr>
      <w:bookmarkStart w:id="3" w:name="page2"/>
      <w:r>
        <w:lastRenderedPageBreak/>
        <w:t>Keywords</w:t>
      </w:r>
    </w:p>
    <w:p w14:paraId="25B9145D" w14:textId="77777777" w:rsidR="00A10B25" w:rsidRDefault="00A10B25">
      <w:pPr>
        <w:pStyle w:val="FP"/>
        <w:framePr w:wrap="notBeside" w:vAnchor="page" w:hAnchor="page" w:x="1099" w:y="1644"/>
        <w:ind w:left="2835" w:right="2835"/>
        <w:jc w:val="center"/>
        <w:rPr>
          <w:rFonts w:ascii="Arial" w:hAnsi="Arial"/>
          <w:sz w:val="18"/>
        </w:rPr>
      </w:pPr>
    </w:p>
    <w:p w14:paraId="484F0289" w14:textId="77777777" w:rsidR="00A10B25" w:rsidRDefault="00A10B25"/>
    <w:p w14:paraId="1A2117F1" w14:textId="77777777" w:rsidR="00A10B25" w:rsidRDefault="00A10B25"/>
    <w:p w14:paraId="02A027AF" w14:textId="77777777" w:rsidR="00A10B25" w:rsidRDefault="00A10B25">
      <w:pPr>
        <w:pStyle w:val="FP"/>
        <w:framePr w:wrap="notBeside" w:hAnchor="margin" w:yAlign="center"/>
        <w:spacing w:after="240"/>
        <w:ind w:left="2835" w:right="2835"/>
        <w:jc w:val="center"/>
        <w:rPr>
          <w:rFonts w:ascii="Arial" w:hAnsi="Arial"/>
          <w:b/>
          <w:i/>
        </w:rPr>
      </w:pPr>
      <w:r>
        <w:rPr>
          <w:rFonts w:ascii="Arial" w:hAnsi="Arial"/>
          <w:b/>
          <w:i/>
        </w:rPr>
        <w:t>3GPP</w:t>
      </w:r>
    </w:p>
    <w:p w14:paraId="551F21B7" w14:textId="77777777" w:rsidR="00A10B25" w:rsidRDefault="00A10B25">
      <w:pPr>
        <w:pStyle w:val="FP"/>
        <w:framePr w:wrap="notBeside" w:hAnchor="margin" w:yAlign="center"/>
        <w:pBdr>
          <w:bottom w:val="single" w:sz="6" w:space="1" w:color="auto"/>
        </w:pBdr>
        <w:ind w:left="2835" w:right="2835"/>
        <w:jc w:val="center"/>
      </w:pPr>
      <w:r>
        <w:t>Postal address</w:t>
      </w:r>
    </w:p>
    <w:p w14:paraId="265D4BB7" w14:textId="77777777" w:rsidR="00A10B25" w:rsidRDefault="00A10B25">
      <w:pPr>
        <w:pStyle w:val="FP"/>
        <w:framePr w:wrap="notBeside" w:hAnchor="margin" w:yAlign="center"/>
        <w:ind w:left="2835" w:right="2835"/>
        <w:jc w:val="center"/>
        <w:rPr>
          <w:rFonts w:ascii="Arial" w:hAnsi="Arial"/>
          <w:sz w:val="18"/>
        </w:rPr>
      </w:pPr>
    </w:p>
    <w:p w14:paraId="642E7AFA" w14:textId="77777777" w:rsidR="00A10B25" w:rsidRDefault="00A10B25">
      <w:pPr>
        <w:pStyle w:val="FP"/>
        <w:framePr w:wrap="notBeside" w:hAnchor="margin" w:yAlign="center"/>
        <w:pBdr>
          <w:bottom w:val="single" w:sz="6" w:space="1" w:color="auto"/>
        </w:pBdr>
        <w:spacing w:before="240"/>
        <w:ind w:left="2835" w:right="2835"/>
        <w:jc w:val="center"/>
      </w:pPr>
      <w:r>
        <w:t>3GPP support office address</w:t>
      </w:r>
    </w:p>
    <w:p w14:paraId="6630BE4E" w14:textId="77777777" w:rsidR="00A10B25" w:rsidRDefault="00A10B25">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701AF58" w14:textId="77777777" w:rsidR="00A10B25" w:rsidRDefault="00A10B25">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6B0AA39" w14:textId="77777777" w:rsidR="00A10B25" w:rsidRDefault="00A10B25">
      <w:pPr>
        <w:pStyle w:val="FP"/>
        <w:framePr w:wrap="notBeside" w:hAnchor="margin" w:yAlign="center"/>
        <w:spacing w:after="20"/>
        <w:ind w:left="2835" w:right="2835"/>
        <w:jc w:val="center"/>
        <w:rPr>
          <w:rFonts w:ascii="Arial" w:hAnsi="Arial"/>
          <w:sz w:val="18"/>
          <w:lang w:val="en-US"/>
        </w:rPr>
      </w:pPr>
      <w:r>
        <w:rPr>
          <w:rFonts w:ascii="Arial" w:hAnsi="Arial"/>
          <w:sz w:val="18"/>
          <w:lang w:val="en-US"/>
        </w:rPr>
        <w:t>Tel.: +33 4 92 94 42 00 Fax: +33 4 93 65 47 16</w:t>
      </w:r>
    </w:p>
    <w:p w14:paraId="127F0BE0" w14:textId="77777777" w:rsidR="00A10B25" w:rsidRDefault="00A10B25">
      <w:pPr>
        <w:pStyle w:val="FP"/>
        <w:framePr w:wrap="notBeside" w:hAnchor="margin" w:yAlign="center"/>
        <w:pBdr>
          <w:bottom w:val="single" w:sz="6" w:space="1" w:color="auto"/>
        </w:pBdr>
        <w:spacing w:before="240"/>
        <w:ind w:left="2835" w:right="2835"/>
        <w:jc w:val="center"/>
        <w:rPr>
          <w:lang w:val="en-US"/>
        </w:rPr>
      </w:pPr>
      <w:r>
        <w:rPr>
          <w:lang w:val="en-US"/>
        </w:rPr>
        <w:t>Internet</w:t>
      </w:r>
    </w:p>
    <w:p w14:paraId="2EF74893" w14:textId="77777777" w:rsidR="00A10B25" w:rsidRDefault="00A10B25">
      <w:pPr>
        <w:pStyle w:val="FP"/>
        <w:framePr w:wrap="notBeside" w:hAnchor="margin" w:yAlign="center"/>
        <w:ind w:left="2835" w:right="2835"/>
        <w:jc w:val="center"/>
        <w:rPr>
          <w:rFonts w:ascii="Arial" w:hAnsi="Arial"/>
          <w:sz w:val="18"/>
          <w:lang w:val="en-US"/>
        </w:rPr>
      </w:pPr>
      <w:r>
        <w:rPr>
          <w:rFonts w:ascii="Arial" w:hAnsi="Arial"/>
          <w:sz w:val="18"/>
          <w:lang w:val="en-US"/>
        </w:rPr>
        <w:t>http://www.3gpp.org</w:t>
      </w:r>
    </w:p>
    <w:p w14:paraId="5FA7EBB8" w14:textId="77777777" w:rsidR="00A10B25" w:rsidRDefault="00A10B25">
      <w:pPr>
        <w:rPr>
          <w:lang w:val="en-US"/>
        </w:rPr>
      </w:pPr>
    </w:p>
    <w:p w14:paraId="480AD426" w14:textId="77777777" w:rsidR="00A10B25" w:rsidRDefault="00A10B25">
      <w:pPr>
        <w:pStyle w:val="FP"/>
        <w:framePr w:h="3057" w:hRule="exact" w:wrap="notBeside" w:vAnchor="page" w:hAnchor="margin" w:y="12605"/>
        <w:pBdr>
          <w:bottom w:val="single" w:sz="6" w:space="1" w:color="auto"/>
        </w:pBdr>
        <w:spacing w:after="240"/>
        <w:jc w:val="center"/>
        <w:rPr>
          <w:rFonts w:ascii="Arial" w:hAnsi="Arial"/>
          <w:b/>
          <w:i/>
          <w:lang w:val="en-US" w:eastAsia="zh-CN"/>
        </w:rPr>
      </w:pPr>
      <w:r>
        <w:rPr>
          <w:rFonts w:ascii="Arial" w:hAnsi="Arial"/>
          <w:b/>
          <w:i/>
          <w:lang w:val="en-US" w:eastAsia="zh-CN"/>
        </w:rPr>
        <w:t>Copyright Notification</w:t>
      </w:r>
    </w:p>
    <w:p w14:paraId="62799BA1" w14:textId="77777777" w:rsidR="00A10B25" w:rsidRDefault="00A10B25">
      <w:pPr>
        <w:pStyle w:val="FP"/>
        <w:framePr w:h="3057" w:hRule="exact" w:wrap="notBeside" w:vAnchor="page" w:hAnchor="margin" w:y="12605"/>
        <w:jc w:val="center"/>
        <w:rPr>
          <w:lang w:val="en-US" w:eastAsia="zh-CN"/>
        </w:rPr>
      </w:pPr>
      <w:r>
        <w:rPr>
          <w:lang w:val="en-US" w:eastAsia="zh-CN"/>
        </w:rPr>
        <w:t>No part may be reproduced except as authorized by written permission.</w:t>
      </w:r>
      <w:r>
        <w:rPr>
          <w:lang w:val="en-US" w:eastAsia="zh-CN"/>
        </w:rPr>
        <w:br/>
        <w:t>The copyright and the foregoing restriction extend to reproduction in all media.</w:t>
      </w:r>
    </w:p>
    <w:p w14:paraId="6E5469EB" w14:textId="77777777" w:rsidR="00A10B25" w:rsidRDefault="00A10B25">
      <w:pPr>
        <w:pStyle w:val="FP"/>
        <w:framePr w:h="3057" w:hRule="exact" w:wrap="notBeside" w:vAnchor="page" w:hAnchor="margin" w:y="12605"/>
        <w:jc w:val="center"/>
        <w:rPr>
          <w:lang w:val="en-US" w:eastAsia="zh-CN"/>
        </w:rPr>
      </w:pPr>
    </w:p>
    <w:p w14:paraId="377054EE" w14:textId="77777777" w:rsidR="00A10B25" w:rsidRDefault="00A10B25">
      <w:pPr>
        <w:pStyle w:val="FP"/>
        <w:framePr w:h="3057" w:hRule="exact" w:wrap="notBeside" w:vAnchor="page" w:hAnchor="margin" w:y="12605"/>
        <w:jc w:val="center"/>
        <w:rPr>
          <w:sz w:val="18"/>
          <w:lang w:val="en-US" w:eastAsia="zh-CN"/>
        </w:rPr>
      </w:pPr>
      <w:r>
        <w:rPr>
          <w:sz w:val="18"/>
          <w:lang w:val="en-US" w:eastAsia="zh-CN"/>
        </w:rPr>
        <w:t>© 202</w:t>
      </w:r>
      <w:r w:rsidR="0020689F">
        <w:rPr>
          <w:sz w:val="18"/>
          <w:lang w:val="en-US" w:eastAsia="zh-CN"/>
        </w:rPr>
        <w:t>5</w:t>
      </w:r>
      <w:r>
        <w:rPr>
          <w:sz w:val="18"/>
          <w:lang w:val="en-US" w:eastAsia="zh-CN"/>
        </w:rPr>
        <w:t>, 3GPP Organizational Partners (ARIB, ATIS, CCSA, ETSI, TSDSI, TTA, TTC).</w:t>
      </w:r>
      <w:bookmarkStart w:id="4" w:name="copyrightaddon"/>
      <w:bookmarkEnd w:id="4"/>
    </w:p>
    <w:p w14:paraId="6B771257" w14:textId="77777777" w:rsidR="00A10B25" w:rsidRDefault="00A10B25">
      <w:pPr>
        <w:pStyle w:val="FP"/>
        <w:framePr w:h="3057" w:hRule="exact" w:wrap="notBeside" w:vAnchor="page" w:hAnchor="margin" w:y="12605"/>
        <w:jc w:val="center"/>
        <w:rPr>
          <w:sz w:val="18"/>
          <w:lang w:val="en-US" w:eastAsia="zh-CN"/>
        </w:rPr>
      </w:pPr>
      <w:r>
        <w:rPr>
          <w:sz w:val="18"/>
          <w:lang w:val="en-US" w:eastAsia="zh-CN"/>
        </w:rPr>
        <w:t>All rights reserved.</w:t>
      </w:r>
    </w:p>
    <w:p w14:paraId="52077250" w14:textId="77777777" w:rsidR="00A10B25" w:rsidRDefault="00A10B25">
      <w:pPr>
        <w:pStyle w:val="FP"/>
        <w:framePr w:h="3057" w:hRule="exact" w:wrap="notBeside" w:vAnchor="page" w:hAnchor="margin" w:y="12605"/>
        <w:rPr>
          <w:sz w:val="18"/>
          <w:lang w:val="en-US" w:eastAsia="zh-CN"/>
        </w:rPr>
      </w:pPr>
    </w:p>
    <w:p w14:paraId="02B957AF" w14:textId="77777777" w:rsidR="00A10B25" w:rsidRDefault="00A10B25">
      <w:pPr>
        <w:pStyle w:val="FP"/>
        <w:framePr w:h="3057" w:hRule="exact" w:wrap="notBeside" w:vAnchor="page" w:hAnchor="margin" w:y="12605"/>
        <w:rPr>
          <w:sz w:val="18"/>
          <w:lang w:val="en-US" w:eastAsia="zh-CN"/>
        </w:rPr>
      </w:pPr>
      <w:r>
        <w:rPr>
          <w:sz w:val="18"/>
          <w:lang w:val="en-US" w:eastAsia="zh-CN"/>
        </w:rPr>
        <w:t>UMTS™ is a Trade Mark of ETSI registered for the benefit of its members</w:t>
      </w:r>
    </w:p>
    <w:p w14:paraId="1B658847" w14:textId="77777777" w:rsidR="00A10B25" w:rsidRDefault="00A10B25">
      <w:pPr>
        <w:pStyle w:val="FP"/>
        <w:framePr w:h="3057" w:hRule="exact" w:wrap="notBeside" w:vAnchor="page" w:hAnchor="margin" w:y="12605"/>
        <w:rPr>
          <w:sz w:val="18"/>
          <w:lang w:val="en-US" w:eastAsia="zh-CN"/>
        </w:rPr>
      </w:pPr>
      <w:r>
        <w:rPr>
          <w:sz w:val="18"/>
          <w:lang w:val="en-US" w:eastAsia="zh-CN"/>
        </w:rPr>
        <w:t>3GPP™ is a Trade Mark of ETSI registered for the benefit of its Members and of the 3GPP Organizational Partners</w:t>
      </w:r>
      <w:r>
        <w:rPr>
          <w:sz w:val="18"/>
          <w:lang w:val="en-US" w:eastAsia="zh-CN"/>
        </w:rPr>
        <w:br/>
        <w:t>LTE™ is a Trade Mark of ETSI registered for the benefit of its Members and of the 3GPP Organizational Partners</w:t>
      </w:r>
    </w:p>
    <w:p w14:paraId="2129CC03" w14:textId="77777777" w:rsidR="00A10B25" w:rsidRDefault="00A10B25">
      <w:pPr>
        <w:pStyle w:val="FP"/>
        <w:framePr w:h="3057" w:hRule="exact" w:wrap="notBeside" w:vAnchor="page" w:hAnchor="margin" w:y="12605"/>
        <w:rPr>
          <w:sz w:val="18"/>
          <w:lang w:val="en-US" w:eastAsia="zh-CN"/>
        </w:rPr>
      </w:pPr>
      <w:r>
        <w:rPr>
          <w:sz w:val="18"/>
          <w:lang w:val="en-US" w:eastAsia="zh-CN"/>
        </w:rPr>
        <w:t>GSM® and the GSM logo are registered and owned by the GSM Association</w:t>
      </w:r>
    </w:p>
    <w:p w14:paraId="5B844CC1" w14:textId="77777777" w:rsidR="00A10B25" w:rsidRDefault="00A10B25">
      <w:pPr>
        <w:pStyle w:val="TT"/>
      </w:pPr>
      <w:r>
        <w:br w:type="page"/>
      </w:r>
      <w:bookmarkStart w:id="5" w:name="_Toc101244278"/>
      <w:bookmarkEnd w:id="3"/>
      <w:r>
        <w:lastRenderedPageBreak/>
        <w:t>Contents</w:t>
      </w:r>
      <w:bookmarkEnd w:id="5"/>
    </w:p>
    <w:p w14:paraId="0257BCB7" w14:textId="535207E6" w:rsidR="003F6EFC" w:rsidRDefault="003F6EFC">
      <w:pPr>
        <w:pStyle w:val="TOC1"/>
        <w:rPr>
          <w:rFonts w:asciiTheme="minorHAnsi" w:eastAsiaTheme="minorEastAsia" w:hAnsiTheme="minorHAnsi" w:cstheme="minorBidi"/>
          <w:noProof/>
          <w:kern w:val="2"/>
          <w:sz w:val="21"/>
          <w:szCs w:val="22"/>
          <w:lang w:val="en-US" w:eastAsia="zh-CN"/>
        </w:rPr>
      </w:pPr>
      <w:r>
        <w:rPr>
          <w:lang w:val="en-US"/>
        </w:rPr>
        <w:fldChar w:fldCharType="begin"/>
      </w:r>
      <w:r>
        <w:rPr>
          <w:lang w:val="en-US"/>
        </w:rPr>
        <w:instrText xml:space="preserve"> TOC \o "1-9"  \* MERGEFORMAT  \* MERGEFORMAT  \* MERGEFORMAT  \* MERGEFORMAT  \* MERGEFORMAT  \* MERGEFORMAT  \* MERGEFORMAT  \* MERGEFORMAT  \* MERGEFORMAT  \* MERGEFORMAT  \* MERGEFORMAT  \* MERGEFORMAT  \* MERGEFORMAT  \* MERGEFORMAT  \* MERGEFORMAT </w:instrText>
      </w:r>
      <w:r>
        <w:rPr>
          <w:lang w:val="en-US"/>
        </w:rPr>
        <w:fldChar w:fldCharType="separate"/>
      </w:r>
      <w:r>
        <w:rPr>
          <w:noProof/>
        </w:rPr>
        <w:t>Foreword</w:t>
      </w:r>
      <w:r>
        <w:rPr>
          <w:noProof/>
        </w:rPr>
        <w:tab/>
      </w:r>
      <w:r>
        <w:rPr>
          <w:noProof/>
        </w:rPr>
        <w:fldChar w:fldCharType="begin"/>
      </w:r>
      <w:r>
        <w:rPr>
          <w:noProof/>
        </w:rPr>
        <w:instrText xml:space="preserve"> PAGEREF _Toc199452660 \h </w:instrText>
      </w:r>
      <w:r>
        <w:rPr>
          <w:noProof/>
        </w:rPr>
      </w:r>
      <w:r>
        <w:rPr>
          <w:noProof/>
        </w:rPr>
        <w:fldChar w:fldCharType="separate"/>
      </w:r>
      <w:r>
        <w:rPr>
          <w:noProof/>
        </w:rPr>
        <w:t>18</w:t>
      </w:r>
      <w:r>
        <w:rPr>
          <w:noProof/>
        </w:rPr>
        <w:fldChar w:fldCharType="end"/>
      </w:r>
    </w:p>
    <w:p w14:paraId="7AEF6D60" w14:textId="1C273026" w:rsidR="003F6EFC" w:rsidRDefault="003F6EFC">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_Toc199452661 \h </w:instrText>
      </w:r>
      <w:r>
        <w:rPr>
          <w:noProof/>
        </w:rPr>
      </w:r>
      <w:r>
        <w:rPr>
          <w:noProof/>
        </w:rPr>
        <w:fldChar w:fldCharType="separate"/>
      </w:r>
      <w:r>
        <w:rPr>
          <w:noProof/>
        </w:rPr>
        <w:t>19</w:t>
      </w:r>
      <w:r>
        <w:rPr>
          <w:noProof/>
        </w:rPr>
        <w:fldChar w:fldCharType="end"/>
      </w:r>
    </w:p>
    <w:p w14:paraId="4E440538" w14:textId="2DA93035" w:rsidR="003F6EFC" w:rsidRDefault="003F6EFC">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_Toc199452662 \h </w:instrText>
      </w:r>
      <w:r>
        <w:rPr>
          <w:noProof/>
        </w:rPr>
      </w:r>
      <w:r>
        <w:rPr>
          <w:noProof/>
        </w:rPr>
        <w:fldChar w:fldCharType="separate"/>
      </w:r>
      <w:r>
        <w:rPr>
          <w:noProof/>
        </w:rPr>
        <w:t>19</w:t>
      </w:r>
      <w:r>
        <w:rPr>
          <w:noProof/>
        </w:rPr>
        <w:fldChar w:fldCharType="end"/>
      </w:r>
    </w:p>
    <w:p w14:paraId="2289242A" w14:textId="4B7DE2A5" w:rsidR="003F6EFC" w:rsidRDefault="003F6EFC">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_Toc199452663 \h </w:instrText>
      </w:r>
      <w:r>
        <w:rPr>
          <w:noProof/>
        </w:rPr>
      </w:r>
      <w:r>
        <w:rPr>
          <w:noProof/>
        </w:rPr>
        <w:fldChar w:fldCharType="separate"/>
      </w:r>
      <w:r>
        <w:rPr>
          <w:noProof/>
        </w:rPr>
        <w:t>20</w:t>
      </w:r>
      <w:r>
        <w:rPr>
          <w:noProof/>
        </w:rPr>
        <w:fldChar w:fldCharType="end"/>
      </w:r>
    </w:p>
    <w:p w14:paraId="023D2B8A" w14:textId="1EF2F98C" w:rsidR="003F6EFC" w:rsidRDefault="003F6EFC">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_Toc199452664 \h </w:instrText>
      </w:r>
      <w:r>
        <w:rPr>
          <w:noProof/>
        </w:rPr>
      </w:r>
      <w:r>
        <w:rPr>
          <w:noProof/>
        </w:rPr>
        <w:fldChar w:fldCharType="separate"/>
      </w:r>
      <w:r>
        <w:rPr>
          <w:noProof/>
        </w:rPr>
        <w:t>20</w:t>
      </w:r>
      <w:r>
        <w:rPr>
          <w:noProof/>
        </w:rPr>
        <w:fldChar w:fldCharType="end"/>
      </w:r>
    </w:p>
    <w:p w14:paraId="7FBBFD29" w14:textId="0AF9118E" w:rsidR="003F6EFC" w:rsidRDefault="003F6EFC">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_Toc199452665 \h </w:instrText>
      </w:r>
      <w:r>
        <w:rPr>
          <w:noProof/>
        </w:rPr>
      </w:r>
      <w:r>
        <w:rPr>
          <w:noProof/>
        </w:rPr>
        <w:fldChar w:fldCharType="separate"/>
      </w:r>
      <w:r>
        <w:rPr>
          <w:noProof/>
        </w:rPr>
        <w:t>20</w:t>
      </w:r>
      <w:r>
        <w:rPr>
          <w:noProof/>
        </w:rPr>
        <w:fldChar w:fldCharType="end"/>
      </w:r>
    </w:p>
    <w:p w14:paraId="69EBF84B" w14:textId="08284F12" w:rsidR="003F6EFC" w:rsidRDefault="003F6EFC">
      <w:pPr>
        <w:pStyle w:val="TOC1"/>
        <w:rPr>
          <w:rFonts w:asciiTheme="minorHAnsi" w:eastAsiaTheme="minorEastAsia" w:hAnsiTheme="minorHAnsi" w:cstheme="minorBidi"/>
          <w:noProof/>
          <w:kern w:val="2"/>
          <w:sz w:val="21"/>
          <w:szCs w:val="22"/>
          <w:lang w:val="en-US" w:eastAsia="zh-CN"/>
        </w:rPr>
      </w:pPr>
      <w:r w:rsidRPr="00D64295">
        <w:rPr>
          <w:rFonts w:eastAsia="Times New Roman"/>
          <w:noProof/>
        </w:rPr>
        <w:t>4</w:t>
      </w:r>
      <w:r>
        <w:rPr>
          <w:rFonts w:asciiTheme="minorHAnsi" w:eastAsiaTheme="minorEastAsia" w:hAnsiTheme="minorHAnsi" w:cstheme="minorBidi"/>
          <w:noProof/>
          <w:kern w:val="2"/>
          <w:sz w:val="21"/>
          <w:szCs w:val="22"/>
          <w:lang w:val="en-US" w:eastAsia="zh-CN"/>
        </w:rPr>
        <w:tab/>
      </w:r>
      <w:r w:rsidRPr="00D64295">
        <w:rPr>
          <w:rFonts w:eastAsia="Times New Roman"/>
          <w:noProof/>
        </w:rPr>
        <w:t>Services offered by the NWDAF</w:t>
      </w:r>
      <w:r>
        <w:rPr>
          <w:noProof/>
        </w:rPr>
        <w:tab/>
      </w:r>
      <w:r>
        <w:rPr>
          <w:noProof/>
        </w:rPr>
        <w:fldChar w:fldCharType="begin"/>
      </w:r>
      <w:r>
        <w:rPr>
          <w:noProof/>
        </w:rPr>
        <w:instrText xml:space="preserve"> PAGEREF _Toc199452666 \h </w:instrText>
      </w:r>
      <w:r>
        <w:rPr>
          <w:noProof/>
        </w:rPr>
      </w:r>
      <w:r>
        <w:rPr>
          <w:noProof/>
        </w:rPr>
        <w:fldChar w:fldCharType="separate"/>
      </w:r>
      <w:r>
        <w:rPr>
          <w:noProof/>
        </w:rPr>
        <w:t>21</w:t>
      </w:r>
      <w:r>
        <w:rPr>
          <w:noProof/>
        </w:rPr>
        <w:fldChar w:fldCharType="end"/>
      </w:r>
    </w:p>
    <w:p w14:paraId="1CA14378" w14:textId="6D4FB419" w:rsidR="003F6EFC" w:rsidRDefault="003F6EFC">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_Toc199452667 \h </w:instrText>
      </w:r>
      <w:r>
        <w:rPr>
          <w:noProof/>
        </w:rPr>
      </w:r>
      <w:r>
        <w:rPr>
          <w:noProof/>
        </w:rPr>
        <w:fldChar w:fldCharType="separate"/>
      </w:r>
      <w:r>
        <w:rPr>
          <w:noProof/>
        </w:rPr>
        <w:t>21</w:t>
      </w:r>
      <w:r>
        <w:rPr>
          <w:noProof/>
        </w:rPr>
        <w:fldChar w:fldCharType="end"/>
      </w:r>
    </w:p>
    <w:p w14:paraId="71A60D7C" w14:textId="187E2465" w:rsidR="003F6EFC" w:rsidRDefault="003F6EFC">
      <w:pPr>
        <w:pStyle w:val="TOC2"/>
        <w:rPr>
          <w:rFonts w:asciiTheme="minorHAnsi" w:eastAsiaTheme="minorEastAsia" w:hAnsiTheme="minorHAnsi" w:cstheme="minorBidi"/>
          <w:noProof/>
          <w:kern w:val="2"/>
          <w:sz w:val="21"/>
          <w:szCs w:val="22"/>
          <w:lang w:val="en-US" w:eastAsia="zh-CN"/>
        </w:rPr>
      </w:pPr>
      <w:r>
        <w:rPr>
          <w:noProof/>
        </w:rPr>
        <w:t>4.2</w:t>
      </w:r>
      <w:r>
        <w:rPr>
          <w:rFonts w:asciiTheme="minorHAnsi" w:eastAsiaTheme="minorEastAsia" w:hAnsiTheme="minorHAnsi" w:cstheme="minorBidi"/>
          <w:noProof/>
          <w:kern w:val="2"/>
          <w:sz w:val="21"/>
          <w:szCs w:val="22"/>
          <w:lang w:val="en-US" w:eastAsia="zh-CN"/>
        </w:rPr>
        <w:tab/>
      </w:r>
      <w:r>
        <w:rPr>
          <w:noProof/>
        </w:rPr>
        <w:t>Nnwdaf_EventsSubscription Service</w:t>
      </w:r>
      <w:r>
        <w:rPr>
          <w:noProof/>
        </w:rPr>
        <w:tab/>
      </w:r>
      <w:r>
        <w:rPr>
          <w:noProof/>
        </w:rPr>
        <w:fldChar w:fldCharType="begin"/>
      </w:r>
      <w:r>
        <w:rPr>
          <w:noProof/>
        </w:rPr>
        <w:instrText xml:space="preserve"> PAGEREF _Toc199452668 \h </w:instrText>
      </w:r>
      <w:r>
        <w:rPr>
          <w:noProof/>
        </w:rPr>
      </w:r>
      <w:r>
        <w:rPr>
          <w:noProof/>
        </w:rPr>
        <w:fldChar w:fldCharType="separate"/>
      </w:r>
      <w:r>
        <w:rPr>
          <w:noProof/>
        </w:rPr>
        <w:t>24</w:t>
      </w:r>
      <w:r>
        <w:rPr>
          <w:noProof/>
        </w:rPr>
        <w:fldChar w:fldCharType="end"/>
      </w:r>
    </w:p>
    <w:p w14:paraId="0A604569" w14:textId="71300255" w:rsidR="003F6EFC" w:rsidRDefault="003F6EFC">
      <w:pPr>
        <w:pStyle w:val="TOC3"/>
        <w:rPr>
          <w:rFonts w:asciiTheme="minorHAnsi" w:eastAsiaTheme="minorEastAsia" w:hAnsiTheme="minorHAnsi" w:cstheme="minorBidi"/>
          <w:noProof/>
          <w:kern w:val="2"/>
          <w:sz w:val="21"/>
          <w:szCs w:val="22"/>
          <w:lang w:val="en-US" w:eastAsia="zh-CN"/>
        </w:rPr>
      </w:pPr>
      <w:r>
        <w:rPr>
          <w:noProof/>
        </w:rPr>
        <w:t>4.2.1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_Toc199452669 \h </w:instrText>
      </w:r>
      <w:r>
        <w:rPr>
          <w:noProof/>
        </w:rPr>
      </w:r>
      <w:r>
        <w:rPr>
          <w:noProof/>
        </w:rPr>
        <w:fldChar w:fldCharType="separate"/>
      </w:r>
      <w:r>
        <w:rPr>
          <w:noProof/>
        </w:rPr>
        <w:t>24</w:t>
      </w:r>
      <w:r>
        <w:rPr>
          <w:noProof/>
        </w:rPr>
        <w:fldChar w:fldCharType="end"/>
      </w:r>
    </w:p>
    <w:p w14:paraId="2A538E42" w14:textId="44425DBD" w:rsidR="003F6EFC" w:rsidRDefault="003F6EFC">
      <w:pPr>
        <w:pStyle w:val="TOC4"/>
        <w:rPr>
          <w:rFonts w:asciiTheme="minorHAnsi" w:eastAsiaTheme="minorEastAsia" w:hAnsiTheme="minorHAnsi" w:cstheme="minorBidi"/>
          <w:noProof/>
          <w:kern w:val="2"/>
          <w:sz w:val="21"/>
          <w:szCs w:val="22"/>
          <w:lang w:val="en-US" w:eastAsia="zh-CN"/>
        </w:rPr>
      </w:pPr>
      <w:r>
        <w:rPr>
          <w:noProof/>
        </w:rPr>
        <w:t>4.2.</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_Toc199452670 \h </w:instrText>
      </w:r>
      <w:r>
        <w:rPr>
          <w:noProof/>
        </w:rPr>
      </w:r>
      <w:r>
        <w:rPr>
          <w:noProof/>
        </w:rPr>
        <w:fldChar w:fldCharType="separate"/>
      </w:r>
      <w:r>
        <w:rPr>
          <w:noProof/>
        </w:rPr>
        <w:t>24</w:t>
      </w:r>
      <w:r>
        <w:rPr>
          <w:noProof/>
        </w:rPr>
        <w:fldChar w:fldCharType="end"/>
      </w:r>
    </w:p>
    <w:p w14:paraId="62854DE5" w14:textId="096BE34A" w:rsidR="003F6EFC" w:rsidRDefault="003F6EFC">
      <w:pPr>
        <w:pStyle w:val="TOC4"/>
        <w:rPr>
          <w:rFonts w:asciiTheme="minorHAnsi" w:eastAsiaTheme="minorEastAsia" w:hAnsiTheme="minorHAnsi" w:cstheme="minorBidi"/>
          <w:noProof/>
          <w:kern w:val="2"/>
          <w:sz w:val="21"/>
          <w:szCs w:val="22"/>
          <w:lang w:val="en-US" w:eastAsia="zh-CN"/>
        </w:rPr>
      </w:pPr>
      <w:r>
        <w:rPr>
          <w:noProof/>
        </w:rPr>
        <w:t>4.2.1.2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_Toc199452671 \h </w:instrText>
      </w:r>
      <w:r>
        <w:rPr>
          <w:noProof/>
        </w:rPr>
      </w:r>
      <w:r>
        <w:rPr>
          <w:noProof/>
        </w:rPr>
        <w:fldChar w:fldCharType="separate"/>
      </w:r>
      <w:r>
        <w:rPr>
          <w:noProof/>
        </w:rPr>
        <w:t>25</w:t>
      </w:r>
      <w:r>
        <w:rPr>
          <w:noProof/>
        </w:rPr>
        <w:fldChar w:fldCharType="end"/>
      </w:r>
    </w:p>
    <w:p w14:paraId="2F0A34D1" w14:textId="6C534D97"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4.2.</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_Toc199452672 \h </w:instrText>
      </w:r>
      <w:r>
        <w:rPr>
          <w:noProof/>
        </w:rPr>
      </w:r>
      <w:r>
        <w:rPr>
          <w:noProof/>
        </w:rPr>
        <w:fldChar w:fldCharType="separate"/>
      </w:r>
      <w:r>
        <w:rPr>
          <w:noProof/>
        </w:rPr>
        <w:t>26</w:t>
      </w:r>
      <w:r>
        <w:rPr>
          <w:noProof/>
        </w:rPr>
        <w:fldChar w:fldCharType="end"/>
      </w:r>
    </w:p>
    <w:p w14:paraId="3598FB9C" w14:textId="55B1E9E5" w:rsidR="003F6EFC" w:rsidRDefault="003F6EFC">
      <w:pPr>
        <w:pStyle w:val="TOC5"/>
        <w:rPr>
          <w:rFonts w:asciiTheme="minorHAnsi" w:eastAsiaTheme="minorEastAsia" w:hAnsiTheme="minorHAnsi" w:cstheme="minorBidi"/>
          <w:noProof/>
          <w:kern w:val="2"/>
          <w:sz w:val="21"/>
          <w:szCs w:val="22"/>
          <w:lang w:val="en-US" w:eastAsia="zh-CN"/>
        </w:rPr>
      </w:pPr>
      <w:r>
        <w:rPr>
          <w:noProof/>
        </w:rPr>
        <w:t>4.2.</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_Toc199452673 \h </w:instrText>
      </w:r>
      <w:r>
        <w:rPr>
          <w:noProof/>
        </w:rPr>
      </w:r>
      <w:r>
        <w:rPr>
          <w:noProof/>
        </w:rPr>
        <w:fldChar w:fldCharType="separate"/>
      </w:r>
      <w:r>
        <w:rPr>
          <w:noProof/>
        </w:rPr>
        <w:t>26</w:t>
      </w:r>
      <w:r>
        <w:rPr>
          <w:noProof/>
        </w:rPr>
        <w:fldChar w:fldCharType="end"/>
      </w:r>
    </w:p>
    <w:p w14:paraId="48F966AA" w14:textId="6929FC00" w:rsidR="003F6EFC" w:rsidRDefault="003F6EFC">
      <w:pPr>
        <w:pStyle w:val="TOC5"/>
        <w:rPr>
          <w:rFonts w:asciiTheme="minorHAnsi" w:eastAsiaTheme="minorEastAsia" w:hAnsiTheme="minorHAnsi" w:cstheme="minorBidi"/>
          <w:noProof/>
          <w:kern w:val="2"/>
          <w:sz w:val="21"/>
          <w:szCs w:val="22"/>
          <w:lang w:val="en-US" w:eastAsia="zh-CN"/>
        </w:rPr>
      </w:pPr>
      <w:r>
        <w:rPr>
          <w:noProof/>
        </w:rPr>
        <w:t>4.2.</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_Toc199452674 \h </w:instrText>
      </w:r>
      <w:r>
        <w:rPr>
          <w:noProof/>
        </w:rPr>
      </w:r>
      <w:r>
        <w:rPr>
          <w:noProof/>
        </w:rPr>
        <w:fldChar w:fldCharType="separate"/>
      </w:r>
      <w:r>
        <w:rPr>
          <w:noProof/>
        </w:rPr>
        <w:t>26</w:t>
      </w:r>
      <w:r>
        <w:rPr>
          <w:noProof/>
        </w:rPr>
        <w:fldChar w:fldCharType="end"/>
      </w:r>
    </w:p>
    <w:p w14:paraId="22E45D2E" w14:textId="32C57EC2" w:rsidR="003F6EFC" w:rsidRDefault="003F6EFC">
      <w:pPr>
        <w:pStyle w:val="TOC3"/>
        <w:rPr>
          <w:rFonts w:asciiTheme="minorHAnsi" w:eastAsiaTheme="minorEastAsia" w:hAnsiTheme="minorHAnsi" w:cstheme="minorBidi"/>
          <w:noProof/>
          <w:kern w:val="2"/>
          <w:sz w:val="21"/>
          <w:szCs w:val="22"/>
          <w:lang w:val="en-US" w:eastAsia="zh-CN"/>
        </w:rPr>
      </w:pPr>
      <w:r>
        <w:rPr>
          <w:noProof/>
        </w:rPr>
        <w:t>4.2.2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_Toc199452675 \h </w:instrText>
      </w:r>
      <w:r>
        <w:rPr>
          <w:noProof/>
        </w:rPr>
      </w:r>
      <w:r>
        <w:rPr>
          <w:noProof/>
        </w:rPr>
        <w:fldChar w:fldCharType="separate"/>
      </w:r>
      <w:r>
        <w:rPr>
          <w:noProof/>
        </w:rPr>
        <w:t>29</w:t>
      </w:r>
      <w:r>
        <w:rPr>
          <w:noProof/>
        </w:rPr>
        <w:fldChar w:fldCharType="end"/>
      </w:r>
    </w:p>
    <w:p w14:paraId="2DD763E3" w14:textId="69B295A1" w:rsidR="003F6EFC" w:rsidRDefault="003F6EFC">
      <w:pPr>
        <w:pStyle w:val="TOC4"/>
        <w:rPr>
          <w:rFonts w:asciiTheme="minorHAnsi" w:eastAsiaTheme="minorEastAsia" w:hAnsiTheme="minorHAnsi" w:cstheme="minorBidi"/>
          <w:noProof/>
          <w:kern w:val="2"/>
          <w:sz w:val="21"/>
          <w:szCs w:val="22"/>
          <w:lang w:val="en-US" w:eastAsia="zh-CN"/>
        </w:rPr>
      </w:pPr>
      <w:r>
        <w:rPr>
          <w:noProof/>
        </w:rPr>
        <w:t>4.2.2.1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_Toc199452676 \h </w:instrText>
      </w:r>
      <w:r>
        <w:rPr>
          <w:noProof/>
        </w:rPr>
      </w:r>
      <w:r>
        <w:rPr>
          <w:noProof/>
        </w:rPr>
        <w:fldChar w:fldCharType="separate"/>
      </w:r>
      <w:r>
        <w:rPr>
          <w:noProof/>
        </w:rPr>
        <w:t>29</w:t>
      </w:r>
      <w:r>
        <w:rPr>
          <w:noProof/>
        </w:rPr>
        <w:fldChar w:fldCharType="end"/>
      </w:r>
    </w:p>
    <w:p w14:paraId="3B1FBB74" w14:textId="52620B93" w:rsidR="003F6EFC" w:rsidRDefault="003F6EFC">
      <w:pPr>
        <w:pStyle w:val="TOC4"/>
        <w:rPr>
          <w:rFonts w:asciiTheme="minorHAnsi" w:eastAsiaTheme="minorEastAsia" w:hAnsiTheme="minorHAnsi" w:cstheme="minorBidi"/>
          <w:noProof/>
          <w:kern w:val="2"/>
          <w:sz w:val="21"/>
          <w:szCs w:val="22"/>
          <w:lang w:val="en-US" w:eastAsia="zh-CN"/>
        </w:rPr>
      </w:pPr>
      <w:r>
        <w:rPr>
          <w:noProof/>
        </w:rPr>
        <w:t>4.2.2.2</w:t>
      </w:r>
      <w:r>
        <w:rPr>
          <w:rFonts w:asciiTheme="minorHAnsi" w:eastAsiaTheme="minorEastAsia" w:hAnsiTheme="minorHAnsi" w:cstheme="minorBidi"/>
          <w:noProof/>
          <w:kern w:val="2"/>
          <w:sz w:val="21"/>
          <w:szCs w:val="22"/>
          <w:lang w:val="en-US" w:eastAsia="zh-CN"/>
        </w:rPr>
        <w:tab/>
      </w:r>
      <w:r>
        <w:rPr>
          <w:noProof/>
        </w:rPr>
        <w:t>Nnwdaf_EventsSubscription_Subscribe service operation</w:t>
      </w:r>
      <w:r>
        <w:rPr>
          <w:noProof/>
        </w:rPr>
        <w:tab/>
      </w:r>
      <w:r>
        <w:rPr>
          <w:noProof/>
        </w:rPr>
        <w:fldChar w:fldCharType="begin"/>
      </w:r>
      <w:r>
        <w:rPr>
          <w:noProof/>
        </w:rPr>
        <w:instrText xml:space="preserve"> PAGEREF _Toc199452677 \h </w:instrText>
      </w:r>
      <w:r>
        <w:rPr>
          <w:noProof/>
        </w:rPr>
      </w:r>
      <w:r>
        <w:rPr>
          <w:noProof/>
        </w:rPr>
        <w:fldChar w:fldCharType="separate"/>
      </w:r>
      <w:r>
        <w:rPr>
          <w:noProof/>
        </w:rPr>
        <w:t>29</w:t>
      </w:r>
      <w:r>
        <w:rPr>
          <w:noProof/>
        </w:rPr>
        <w:fldChar w:fldCharType="end"/>
      </w:r>
    </w:p>
    <w:p w14:paraId="4B672FA0" w14:textId="0E94717F" w:rsidR="003F6EFC" w:rsidRDefault="003F6EFC">
      <w:pPr>
        <w:pStyle w:val="TOC5"/>
        <w:rPr>
          <w:rFonts w:asciiTheme="minorHAnsi" w:eastAsiaTheme="minorEastAsia" w:hAnsiTheme="minorHAnsi" w:cstheme="minorBidi"/>
          <w:noProof/>
          <w:kern w:val="2"/>
          <w:sz w:val="21"/>
          <w:szCs w:val="22"/>
          <w:lang w:val="en-US" w:eastAsia="zh-CN"/>
        </w:rPr>
      </w:pPr>
      <w:r>
        <w:rPr>
          <w:noProof/>
        </w:rPr>
        <w:t>4.2.2.2.1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_Toc199452678 \h </w:instrText>
      </w:r>
      <w:r>
        <w:rPr>
          <w:noProof/>
        </w:rPr>
      </w:r>
      <w:r>
        <w:rPr>
          <w:noProof/>
        </w:rPr>
        <w:fldChar w:fldCharType="separate"/>
      </w:r>
      <w:r>
        <w:rPr>
          <w:noProof/>
        </w:rPr>
        <w:t>29</w:t>
      </w:r>
      <w:r>
        <w:rPr>
          <w:noProof/>
        </w:rPr>
        <w:fldChar w:fldCharType="end"/>
      </w:r>
    </w:p>
    <w:p w14:paraId="509AE8D6" w14:textId="4EBD8BB0" w:rsidR="003F6EFC" w:rsidRDefault="003F6EFC">
      <w:pPr>
        <w:pStyle w:val="TOC5"/>
        <w:rPr>
          <w:rFonts w:asciiTheme="minorHAnsi" w:eastAsiaTheme="minorEastAsia" w:hAnsiTheme="minorHAnsi" w:cstheme="minorBidi"/>
          <w:noProof/>
          <w:kern w:val="2"/>
          <w:sz w:val="21"/>
          <w:szCs w:val="22"/>
          <w:lang w:val="en-US" w:eastAsia="zh-CN"/>
        </w:rPr>
      </w:pPr>
      <w:r>
        <w:rPr>
          <w:noProof/>
        </w:rPr>
        <w:t>4.2.2.2.2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_Toc199452679 \h </w:instrText>
      </w:r>
      <w:r>
        <w:rPr>
          <w:noProof/>
        </w:rPr>
      </w:r>
      <w:r>
        <w:rPr>
          <w:noProof/>
        </w:rPr>
        <w:fldChar w:fldCharType="separate"/>
      </w:r>
      <w:r>
        <w:rPr>
          <w:noProof/>
        </w:rPr>
        <w:t>29</w:t>
      </w:r>
      <w:r>
        <w:rPr>
          <w:noProof/>
        </w:rPr>
        <w:fldChar w:fldCharType="end"/>
      </w:r>
    </w:p>
    <w:p w14:paraId="61E3402B" w14:textId="70C4F3B8" w:rsidR="003F6EFC" w:rsidRDefault="003F6EFC">
      <w:pPr>
        <w:pStyle w:val="TOC5"/>
        <w:rPr>
          <w:rFonts w:asciiTheme="minorHAnsi" w:eastAsiaTheme="minorEastAsia" w:hAnsiTheme="minorHAnsi" w:cstheme="minorBidi"/>
          <w:noProof/>
          <w:kern w:val="2"/>
          <w:sz w:val="21"/>
          <w:szCs w:val="22"/>
          <w:lang w:val="en-US" w:eastAsia="zh-CN"/>
        </w:rPr>
      </w:pPr>
      <w:r>
        <w:rPr>
          <w:noProof/>
        </w:rPr>
        <w:t>4.2.2.2.3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_Toc199452680 \h </w:instrText>
      </w:r>
      <w:r>
        <w:rPr>
          <w:noProof/>
        </w:rPr>
      </w:r>
      <w:r>
        <w:rPr>
          <w:noProof/>
        </w:rPr>
        <w:fldChar w:fldCharType="separate"/>
      </w:r>
      <w:r>
        <w:rPr>
          <w:noProof/>
        </w:rPr>
        <w:t>39</w:t>
      </w:r>
      <w:r>
        <w:rPr>
          <w:noProof/>
        </w:rPr>
        <w:fldChar w:fldCharType="end"/>
      </w:r>
    </w:p>
    <w:p w14:paraId="66219712" w14:textId="7B81F52A" w:rsidR="003F6EFC" w:rsidRDefault="003F6EFC">
      <w:pPr>
        <w:pStyle w:val="TOC4"/>
        <w:rPr>
          <w:rFonts w:asciiTheme="minorHAnsi" w:eastAsiaTheme="minorEastAsia" w:hAnsiTheme="minorHAnsi" w:cstheme="minorBidi"/>
          <w:noProof/>
          <w:kern w:val="2"/>
          <w:sz w:val="21"/>
          <w:szCs w:val="22"/>
          <w:lang w:val="en-US" w:eastAsia="zh-CN"/>
        </w:rPr>
      </w:pPr>
      <w:r>
        <w:rPr>
          <w:noProof/>
        </w:rPr>
        <w:t>4.2.2.3</w:t>
      </w:r>
      <w:r>
        <w:rPr>
          <w:rFonts w:asciiTheme="minorHAnsi" w:eastAsiaTheme="minorEastAsia" w:hAnsiTheme="minorHAnsi" w:cstheme="minorBidi"/>
          <w:noProof/>
          <w:kern w:val="2"/>
          <w:sz w:val="21"/>
          <w:szCs w:val="22"/>
          <w:lang w:val="en-US" w:eastAsia="zh-CN"/>
        </w:rPr>
        <w:tab/>
      </w:r>
      <w:r>
        <w:rPr>
          <w:noProof/>
        </w:rPr>
        <w:t>Nnwdaf_EventsSubscription_Unsubscribe service operation</w:t>
      </w:r>
      <w:r>
        <w:rPr>
          <w:noProof/>
        </w:rPr>
        <w:tab/>
      </w:r>
      <w:r>
        <w:rPr>
          <w:noProof/>
        </w:rPr>
        <w:fldChar w:fldCharType="begin"/>
      </w:r>
      <w:r>
        <w:rPr>
          <w:noProof/>
        </w:rPr>
        <w:instrText xml:space="preserve"> PAGEREF _Toc199452681 \h </w:instrText>
      </w:r>
      <w:r>
        <w:rPr>
          <w:noProof/>
        </w:rPr>
      </w:r>
      <w:r>
        <w:rPr>
          <w:noProof/>
        </w:rPr>
        <w:fldChar w:fldCharType="separate"/>
      </w:r>
      <w:r>
        <w:rPr>
          <w:noProof/>
        </w:rPr>
        <w:t>41</w:t>
      </w:r>
      <w:r>
        <w:rPr>
          <w:noProof/>
        </w:rPr>
        <w:fldChar w:fldCharType="end"/>
      </w:r>
    </w:p>
    <w:p w14:paraId="31AD8B7F" w14:textId="33F1135E" w:rsidR="003F6EFC" w:rsidRDefault="003F6EFC">
      <w:pPr>
        <w:pStyle w:val="TOC5"/>
        <w:rPr>
          <w:rFonts w:asciiTheme="minorHAnsi" w:eastAsiaTheme="minorEastAsia" w:hAnsiTheme="minorHAnsi" w:cstheme="minorBidi"/>
          <w:noProof/>
          <w:kern w:val="2"/>
          <w:sz w:val="21"/>
          <w:szCs w:val="22"/>
          <w:lang w:val="en-US" w:eastAsia="zh-CN"/>
        </w:rPr>
      </w:pPr>
      <w:r>
        <w:rPr>
          <w:noProof/>
        </w:rPr>
        <w:t>4.2.2.3.1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_Toc199452682 \h </w:instrText>
      </w:r>
      <w:r>
        <w:rPr>
          <w:noProof/>
        </w:rPr>
      </w:r>
      <w:r>
        <w:rPr>
          <w:noProof/>
        </w:rPr>
        <w:fldChar w:fldCharType="separate"/>
      </w:r>
      <w:r>
        <w:rPr>
          <w:noProof/>
        </w:rPr>
        <w:t>41</w:t>
      </w:r>
      <w:r>
        <w:rPr>
          <w:noProof/>
        </w:rPr>
        <w:fldChar w:fldCharType="end"/>
      </w:r>
    </w:p>
    <w:p w14:paraId="69CD4793" w14:textId="6C29FD52" w:rsidR="003F6EFC" w:rsidRDefault="003F6EFC">
      <w:pPr>
        <w:pStyle w:val="TOC5"/>
        <w:rPr>
          <w:rFonts w:asciiTheme="minorHAnsi" w:eastAsiaTheme="minorEastAsia" w:hAnsiTheme="minorHAnsi" w:cstheme="minorBidi"/>
          <w:noProof/>
          <w:kern w:val="2"/>
          <w:sz w:val="21"/>
          <w:szCs w:val="22"/>
          <w:lang w:val="en-US" w:eastAsia="zh-CN"/>
        </w:rPr>
      </w:pPr>
      <w:r>
        <w:rPr>
          <w:noProof/>
        </w:rPr>
        <w:t>4.2.2.3.2</w:t>
      </w:r>
      <w:r>
        <w:rPr>
          <w:rFonts w:asciiTheme="minorHAnsi" w:eastAsiaTheme="minorEastAsia" w:hAnsiTheme="minorHAnsi" w:cstheme="minorBidi"/>
          <w:noProof/>
          <w:kern w:val="2"/>
          <w:sz w:val="21"/>
          <w:szCs w:val="22"/>
          <w:lang w:val="en-US" w:eastAsia="zh-CN"/>
        </w:rPr>
        <w:tab/>
      </w:r>
      <w:r>
        <w:rPr>
          <w:noProof/>
        </w:rPr>
        <w:t>Unsubscribe from event notifications</w:t>
      </w:r>
      <w:r>
        <w:rPr>
          <w:noProof/>
        </w:rPr>
        <w:tab/>
      </w:r>
      <w:r>
        <w:rPr>
          <w:noProof/>
        </w:rPr>
        <w:fldChar w:fldCharType="begin"/>
      </w:r>
      <w:r>
        <w:rPr>
          <w:noProof/>
        </w:rPr>
        <w:instrText xml:space="preserve"> PAGEREF _Toc199452683 \h </w:instrText>
      </w:r>
      <w:r>
        <w:rPr>
          <w:noProof/>
        </w:rPr>
      </w:r>
      <w:r>
        <w:rPr>
          <w:noProof/>
        </w:rPr>
        <w:fldChar w:fldCharType="separate"/>
      </w:r>
      <w:r>
        <w:rPr>
          <w:noProof/>
        </w:rPr>
        <w:t>41</w:t>
      </w:r>
      <w:r>
        <w:rPr>
          <w:noProof/>
        </w:rPr>
        <w:fldChar w:fldCharType="end"/>
      </w:r>
    </w:p>
    <w:p w14:paraId="033FB456" w14:textId="44C5D552" w:rsidR="003F6EFC" w:rsidRDefault="003F6EFC">
      <w:pPr>
        <w:pStyle w:val="TOC4"/>
        <w:rPr>
          <w:rFonts w:asciiTheme="minorHAnsi" w:eastAsiaTheme="minorEastAsia" w:hAnsiTheme="minorHAnsi" w:cstheme="minorBidi"/>
          <w:noProof/>
          <w:kern w:val="2"/>
          <w:sz w:val="21"/>
          <w:szCs w:val="22"/>
          <w:lang w:val="en-US" w:eastAsia="zh-CN"/>
        </w:rPr>
      </w:pPr>
      <w:r>
        <w:rPr>
          <w:noProof/>
        </w:rPr>
        <w:t>4.2.2.4</w:t>
      </w:r>
      <w:r>
        <w:rPr>
          <w:rFonts w:asciiTheme="minorHAnsi" w:eastAsiaTheme="minorEastAsia" w:hAnsiTheme="minorHAnsi" w:cstheme="minorBidi"/>
          <w:noProof/>
          <w:kern w:val="2"/>
          <w:sz w:val="21"/>
          <w:szCs w:val="22"/>
          <w:lang w:val="en-US" w:eastAsia="zh-CN"/>
        </w:rPr>
        <w:tab/>
      </w:r>
      <w:r>
        <w:rPr>
          <w:noProof/>
        </w:rPr>
        <w:t>Nnwdaf_EventsSubscription_Notify service operation</w:t>
      </w:r>
      <w:r>
        <w:rPr>
          <w:noProof/>
        </w:rPr>
        <w:tab/>
      </w:r>
      <w:r>
        <w:rPr>
          <w:noProof/>
        </w:rPr>
        <w:fldChar w:fldCharType="begin"/>
      </w:r>
      <w:r>
        <w:rPr>
          <w:noProof/>
        </w:rPr>
        <w:instrText xml:space="preserve"> PAGEREF _Toc199452684 \h </w:instrText>
      </w:r>
      <w:r>
        <w:rPr>
          <w:noProof/>
        </w:rPr>
      </w:r>
      <w:r>
        <w:rPr>
          <w:noProof/>
        </w:rPr>
        <w:fldChar w:fldCharType="separate"/>
      </w:r>
      <w:r>
        <w:rPr>
          <w:noProof/>
        </w:rPr>
        <w:t>42</w:t>
      </w:r>
      <w:r>
        <w:rPr>
          <w:noProof/>
        </w:rPr>
        <w:fldChar w:fldCharType="end"/>
      </w:r>
    </w:p>
    <w:p w14:paraId="3DF60A3B" w14:textId="79020C4F" w:rsidR="003F6EFC" w:rsidRDefault="003F6EFC">
      <w:pPr>
        <w:pStyle w:val="TOC5"/>
        <w:rPr>
          <w:rFonts w:asciiTheme="minorHAnsi" w:eastAsiaTheme="minorEastAsia" w:hAnsiTheme="minorHAnsi" w:cstheme="minorBidi"/>
          <w:noProof/>
          <w:kern w:val="2"/>
          <w:sz w:val="21"/>
          <w:szCs w:val="22"/>
          <w:lang w:val="en-US" w:eastAsia="zh-CN"/>
        </w:rPr>
      </w:pPr>
      <w:r>
        <w:rPr>
          <w:noProof/>
        </w:rPr>
        <w:t>4.2.2.4.1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_Toc199452685 \h </w:instrText>
      </w:r>
      <w:r>
        <w:rPr>
          <w:noProof/>
        </w:rPr>
      </w:r>
      <w:r>
        <w:rPr>
          <w:noProof/>
        </w:rPr>
        <w:fldChar w:fldCharType="separate"/>
      </w:r>
      <w:r>
        <w:rPr>
          <w:noProof/>
        </w:rPr>
        <w:t>42</w:t>
      </w:r>
      <w:r>
        <w:rPr>
          <w:noProof/>
        </w:rPr>
        <w:fldChar w:fldCharType="end"/>
      </w:r>
    </w:p>
    <w:p w14:paraId="22F33BC0" w14:textId="03B0FA18" w:rsidR="003F6EFC" w:rsidRDefault="003F6EFC">
      <w:pPr>
        <w:pStyle w:val="TOC5"/>
        <w:rPr>
          <w:rFonts w:asciiTheme="minorHAnsi" w:eastAsiaTheme="minorEastAsia" w:hAnsiTheme="minorHAnsi" w:cstheme="minorBidi"/>
          <w:noProof/>
          <w:kern w:val="2"/>
          <w:sz w:val="21"/>
          <w:szCs w:val="22"/>
          <w:lang w:val="en-US" w:eastAsia="zh-CN"/>
        </w:rPr>
      </w:pPr>
      <w:r>
        <w:rPr>
          <w:noProof/>
        </w:rPr>
        <w:t>4.2.2.4.2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_Toc199452686 \h </w:instrText>
      </w:r>
      <w:r>
        <w:rPr>
          <w:noProof/>
        </w:rPr>
      </w:r>
      <w:r>
        <w:rPr>
          <w:noProof/>
        </w:rPr>
        <w:fldChar w:fldCharType="separate"/>
      </w:r>
      <w:r>
        <w:rPr>
          <w:noProof/>
        </w:rPr>
        <w:t>42</w:t>
      </w:r>
      <w:r>
        <w:rPr>
          <w:noProof/>
        </w:rPr>
        <w:fldChar w:fldCharType="end"/>
      </w:r>
    </w:p>
    <w:p w14:paraId="6847F5B6" w14:textId="184AF6A8" w:rsidR="003F6EFC" w:rsidRDefault="003F6EFC">
      <w:pPr>
        <w:pStyle w:val="TOC4"/>
        <w:rPr>
          <w:rFonts w:asciiTheme="minorHAnsi" w:eastAsiaTheme="minorEastAsia" w:hAnsiTheme="minorHAnsi" w:cstheme="minorBidi"/>
          <w:noProof/>
          <w:kern w:val="2"/>
          <w:sz w:val="21"/>
          <w:szCs w:val="22"/>
          <w:lang w:val="en-US" w:eastAsia="zh-CN"/>
        </w:rPr>
      </w:pPr>
      <w:r>
        <w:rPr>
          <w:noProof/>
        </w:rPr>
        <w:t>4.2.2.5</w:t>
      </w:r>
      <w:r>
        <w:rPr>
          <w:rFonts w:asciiTheme="minorHAnsi" w:eastAsiaTheme="minorEastAsia" w:hAnsiTheme="minorHAnsi" w:cstheme="minorBidi"/>
          <w:noProof/>
          <w:kern w:val="2"/>
          <w:sz w:val="21"/>
          <w:szCs w:val="22"/>
          <w:lang w:val="en-US" w:eastAsia="zh-CN"/>
        </w:rPr>
        <w:tab/>
      </w:r>
      <w:r>
        <w:rPr>
          <w:noProof/>
        </w:rPr>
        <w:t>Nnwdaf_EventsSubscription_Transfer service operation</w:t>
      </w:r>
      <w:r>
        <w:rPr>
          <w:noProof/>
        </w:rPr>
        <w:tab/>
      </w:r>
      <w:r>
        <w:rPr>
          <w:noProof/>
        </w:rPr>
        <w:fldChar w:fldCharType="begin"/>
      </w:r>
      <w:r>
        <w:rPr>
          <w:noProof/>
        </w:rPr>
        <w:instrText xml:space="preserve"> PAGEREF _Toc199452687 \h </w:instrText>
      </w:r>
      <w:r>
        <w:rPr>
          <w:noProof/>
        </w:rPr>
      </w:r>
      <w:r>
        <w:rPr>
          <w:noProof/>
        </w:rPr>
        <w:fldChar w:fldCharType="separate"/>
      </w:r>
      <w:r>
        <w:rPr>
          <w:noProof/>
        </w:rPr>
        <w:t>44</w:t>
      </w:r>
      <w:r>
        <w:rPr>
          <w:noProof/>
        </w:rPr>
        <w:fldChar w:fldCharType="end"/>
      </w:r>
    </w:p>
    <w:p w14:paraId="2BAA3377" w14:textId="14C83476" w:rsidR="003F6EFC" w:rsidRDefault="003F6EFC">
      <w:pPr>
        <w:pStyle w:val="TOC5"/>
        <w:rPr>
          <w:rFonts w:asciiTheme="minorHAnsi" w:eastAsiaTheme="minorEastAsia" w:hAnsiTheme="minorHAnsi" w:cstheme="minorBidi"/>
          <w:noProof/>
          <w:kern w:val="2"/>
          <w:sz w:val="21"/>
          <w:szCs w:val="22"/>
          <w:lang w:val="en-US" w:eastAsia="zh-CN"/>
        </w:rPr>
      </w:pPr>
      <w:r>
        <w:rPr>
          <w:noProof/>
        </w:rPr>
        <w:t>4.2.2.5.1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_Toc199452688 \h </w:instrText>
      </w:r>
      <w:r>
        <w:rPr>
          <w:noProof/>
        </w:rPr>
      </w:r>
      <w:r>
        <w:rPr>
          <w:noProof/>
        </w:rPr>
        <w:fldChar w:fldCharType="separate"/>
      </w:r>
      <w:r>
        <w:rPr>
          <w:noProof/>
        </w:rPr>
        <w:t>44</w:t>
      </w:r>
      <w:r>
        <w:rPr>
          <w:noProof/>
        </w:rPr>
        <w:fldChar w:fldCharType="end"/>
      </w:r>
    </w:p>
    <w:p w14:paraId="3B8528BC" w14:textId="0C764A6D" w:rsidR="003F6EFC" w:rsidRDefault="003F6EFC">
      <w:pPr>
        <w:pStyle w:val="TOC5"/>
        <w:rPr>
          <w:rFonts w:asciiTheme="minorHAnsi" w:eastAsiaTheme="minorEastAsia" w:hAnsiTheme="minorHAnsi" w:cstheme="minorBidi"/>
          <w:noProof/>
          <w:kern w:val="2"/>
          <w:sz w:val="21"/>
          <w:szCs w:val="22"/>
          <w:lang w:val="en-US" w:eastAsia="zh-CN"/>
        </w:rPr>
      </w:pPr>
      <w:r>
        <w:rPr>
          <w:noProof/>
        </w:rPr>
        <w:t>4.2.2.5.2</w:t>
      </w:r>
      <w:r>
        <w:rPr>
          <w:rFonts w:asciiTheme="minorHAnsi" w:eastAsiaTheme="minorEastAsia" w:hAnsiTheme="minorHAnsi" w:cstheme="minorBidi"/>
          <w:noProof/>
          <w:kern w:val="2"/>
          <w:sz w:val="21"/>
          <w:szCs w:val="22"/>
          <w:lang w:val="en-US" w:eastAsia="zh-CN"/>
        </w:rPr>
        <w:tab/>
      </w:r>
      <w:r>
        <w:rPr>
          <w:noProof/>
        </w:rPr>
        <w:t>Creation of request for analytics subscription transfer</w:t>
      </w:r>
      <w:r>
        <w:rPr>
          <w:noProof/>
        </w:rPr>
        <w:tab/>
      </w:r>
      <w:r>
        <w:rPr>
          <w:noProof/>
        </w:rPr>
        <w:fldChar w:fldCharType="begin"/>
      </w:r>
      <w:r>
        <w:rPr>
          <w:noProof/>
        </w:rPr>
        <w:instrText xml:space="preserve"> PAGEREF _Toc199452689 \h </w:instrText>
      </w:r>
      <w:r>
        <w:rPr>
          <w:noProof/>
        </w:rPr>
      </w:r>
      <w:r>
        <w:rPr>
          <w:noProof/>
        </w:rPr>
        <w:fldChar w:fldCharType="separate"/>
      </w:r>
      <w:r>
        <w:rPr>
          <w:noProof/>
        </w:rPr>
        <w:t>45</w:t>
      </w:r>
      <w:r>
        <w:rPr>
          <w:noProof/>
        </w:rPr>
        <w:fldChar w:fldCharType="end"/>
      </w:r>
    </w:p>
    <w:p w14:paraId="7E78793A" w14:textId="31E2BD05" w:rsidR="003F6EFC" w:rsidRDefault="003F6EFC">
      <w:pPr>
        <w:pStyle w:val="TOC5"/>
        <w:rPr>
          <w:rFonts w:asciiTheme="minorHAnsi" w:eastAsiaTheme="minorEastAsia" w:hAnsiTheme="minorHAnsi" w:cstheme="minorBidi"/>
          <w:noProof/>
          <w:kern w:val="2"/>
          <w:sz w:val="21"/>
          <w:szCs w:val="22"/>
          <w:lang w:val="en-US" w:eastAsia="zh-CN"/>
        </w:rPr>
      </w:pPr>
      <w:r>
        <w:rPr>
          <w:noProof/>
        </w:rPr>
        <w:t>4.2.2.5.3</w:t>
      </w:r>
      <w:r>
        <w:rPr>
          <w:rFonts w:asciiTheme="minorHAnsi" w:eastAsiaTheme="minorEastAsia" w:hAnsiTheme="minorHAnsi" w:cstheme="minorBidi"/>
          <w:noProof/>
          <w:kern w:val="2"/>
          <w:sz w:val="21"/>
          <w:szCs w:val="22"/>
          <w:lang w:val="en-US" w:eastAsia="zh-CN"/>
        </w:rPr>
        <w:tab/>
      </w:r>
      <w:r>
        <w:rPr>
          <w:noProof/>
        </w:rPr>
        <w:t>Update a request for analytics subscription transfer</w:t>
      </w:r>
      <w:r>
        <w:rPr>
          <w:noProof/>
        </w:rPr>
        <w:tab/>
      </w:r>
      <w:r>
        <w:rPr>
          <w:noProof/>
        </w:rPr>
        <w:fldChar w:fldCharType="begin"/>
      </w:r>
      <w:r>
        <w:rPr>
          <w:noProof/>
        </w:rPr>
        <w:instrText xml:space="preserve"> PAGEREF _Toc199452690 \h </w:instrText>
      </w:r>
      <w:r>
        <w:rPr>
          <w:noProof/>
        </w:rPr>
      </w:r>
      <w:r>
        <w:rPr>
          <w:noProof/>
        </w:rPr>
        <w:fldChar w:fldCharType="separate"/>
      </w:r>
      <w:r>
        <w:rPr>
          <w:noProof/>
        </w:rPr>
        <w:t>46</w:t>
      </w:r>
      <w:r>
        <w:rPr>
          <w:noProof/>
        </w:rPr>
        <w:fldChar w:fldCharType="end"/>
      </w:r>
    </w:p>
    <w:p w14:paraId="6ECFAA77" w14:textId="496431D1" w:rsidR="003F6EFC" w:rsidRDefault="003F6EFC">
      <w:pPr>
        <w:pStyle w:val="TOC5"/>
        <w:rPr>
          <w:rFonts w:asciiTheme="minorHAnsi" w:eastAsiaTheme="minorEastAsia" w:hAnsiTheme="minorHAnsi" w:cstheme="minorBidi"/>
          <w:noProof/>
          <w:kern w:val="2"/>
          <w:sz w:val="21"/>
          <w:szCs w:val="22"/>
          <w:lang w:val="en-US" w:eastAsia="zh-CN"/>
        </w:rPr>
      </w:pPr>
      <w:r>
        <w:rPr>
          <w:noProof/>
        </w:rPr>
        <w:t>4.2.2.5.4</w:t>
      </w:r>
      <w:r>
        <w:rPr>
          <w:rFonts w:asciiTheme="minorHAnsi" w:eastAsiaTheme="minorEastAsia" w:hAnsiTheme="minorHAnsi" w:cstheme="minorBidi"/>
          <w:noProof/>
          <w:kern w:val="2"/>
          <w:sz w:val="21"/>
          <w:szCs w:val="22"/>
          <w:lang w:val="en-US" w:eastAsia="zh-CN"/>
        </w:rPr>
        <w:tab/>
      </w:r>
      <w:r>
        <w:rPr>
          <w:noProof/>
        </w:rPr>
        <w:t>Cancel a request for analytics subscription transfer</w:t>
      </w:r>
      <w:r>
        <w:rPr>
          <w:noProof/>
        </w:rPr>
        <w:tab/>
      </w:r>
      <w:r>
        <w:rPr>
          <w:noProof/>
        </w:rPr>
        <w:fldChar w:fldCharType="begin"/>
      </w:r>
      <w:r>
        <w:rPr>
          <w:noProof/>
        </w:rPr>
        <w:instrText xml:space="preserve"> PAGEREF _Toc199452691 \h </w:instrText>
      </w:r>
      <w:r>
        <w:rPr>
          <w:noProof/>
        </w:rPr>
      </w:r>
      <w:r>
        <w:rPr>
          <w:noProof/>
        </w:rPr>
        <w:fldChar w:fldCharType="separate"/>
      </w:r>
      <w:r>
        <w:rPr>
          <w:noProof/>
        </w:rPr>
        <w:t>47</w:t>
      </w:r>
      <w:r>
        <w:rPr>
          <w:noProof/>
        </w:rPr>
        <w:fldChar w:fldCharType="end"/>
      </w:r>
    </w:p>
    <w:p w14:paraId="2FCB95EF" w14:textId="043530F7" w:rsidR="003F6EFC" w:rsidRDefault="003F6EFC">
      <w:pPr>
        <w:pStyle w:val="TOC2"/>
        <w:rPr>
          <w:rFonts w:asciiTheme="minorHAnsi" w:eastAsiaTheme="minorEastAsia" w:hAnsiTheme="minorHAnsi" w:cstheme="minorBidi"/>
          <w:noProof/>
          <w:kern w:val="2"/>
          <w:sz w:val="21"/>
          <w:szCs w:val="22"/>
          <w:lang w:val="en-US" w:eastAsia="zh-CN"/>
        </w:rPr>
      </w:pPr>
      <w:r>
        <w:rPr>
          <w:noProof/>
        </w:rPr>
        <w:t>4.3</w:t>
      </w:r>
      <w:r>
        <w:rPr>
          <w:rFonts w:asciiTheme="minorHAnsi" w:eastAsiaTheme="minorEastAsia" w:hAnsiTheme="minorHAnsi" w:cstheme="minorBidi"/>
          <w:noProof/>
          <w:kern w:val="2"/>
          <w:sz w:val="21"/>
          <w:szCs w:val="22"/>
          <w:lang w:val="en-US" w:eastAsia="zh-CN"/>
        </w:rPr>
        <w:tab/>
      </w:r>
      <w:r>
        <w:rPr>
          <w:noProof/>
        </w:rPr>
        <w:t>Nnwdaf_AnalyticsInfo Service</w:t>
      </w:r>
      <w:r>
        <w:rPr>
          <w:noProof/>
        </w:rPr>
        <w:tab/>
      </w:r>
      <w:r>
        <w:rPr>
          <w:noProof/>
        </w:rPr>
        <w:fldChar w:fldCharType="begin"/>
      </w:r>
      <w:r>
        <w:rPr>
          <w:noProof/>
        </w:rPr>
        <w:instrText xml:space="preserve"> PAGEREF _Toc199452692 \h </w:instrText>
      </w:r>
      <w:r>
        <w:rPr>
          <w:noProof/>
        </w:rPr>
      </w:r>
      <w:r>
        <w:rPr>
          <w:noProof/>
        </w:rPr>
        <w:fldChar w:fldCharType="separate"/>
      </w:r>
      <w:r>
        <w:rPr>
          <w:noProof/>
        </w:rPr>
        <w:t>48</w:t>
      </w:r>
      <w:r>
        <w:rPr>
          <w:noProof/>
        </w:rPr>
        <w:fldChar w:fldCharType="end"/>
      </w:r>
    </w:p>
    <w:p w14:paraId="3043D1A9" w14:textId="3E7AE061" w:rsidR="003F6EFC" w:rsidRDefault="003F6EFC">
      <w:pPr>
        <w:pStyle w:val="TOC3"/>
        <w:rPr>
          <w:rFonts w:asciiTheme="minorHAnsi" w:eastAsiaTheme="minorEastAsia" w:hAnsiTheme="minorHAnsi" w:cstheme="minorBidi"/>
          <w:noProof/>
          <w:kern w:val="2"/>
          <w:sz w:val="21"/>
          <w:szCs w:val="22"/>
          <w:lang w:val="en-US" w:eastAsia="zh-CN"/>
        </w:rPr>
      </w:pPr>
      <w:r>
        <w:rPr>
          <w:noProof/>
        </w:rPr>
        <w:t>4.3.1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_Toc199452693 \h </w:instrText>
      </w:r>
      <w:r>
        <w:rPr>
          <w:noProof/>
        </w:rPr>
      </w:r>
      <w:r>
        <w:rPr>
          <w:noProof/>
        </w:rPr>
        <w:fldChar w:fldCharType="separate"/>
      </w:r>
      <w:r>
        <w:rPr>
          <w:noProof/>
        </w:rPr>
        <w:t>48</w:t>
      </w:r>
      <w:r>
        <w:rPr>
          <w:noProof/>
        </w:rPr>
        <w:fldChar w:fldCharType="end"/>
      </w:r>
    </w:p>
    <w:p w14:paraId="34CF0016" w14:textId="608B6FFA" w:rsidR="003F6EFC" w:rsidRDefault="003F6EFC">
      <w:pPr>
        <w:pStyle w:val="TOC4"/>
        <w:rPr>
          <w:rFonts w:asciiTheme="minorHAnsi" w:eastAsiaTheme="minorEastAsia" w:hAnsiTheme="minorHAnsi" w:cstheme="minorBidi"/>
          <w:noProof/>
          <w:kern w:val="2"/>
          <w:sz w:val="21"/>
          <w:szCs w:val="22"/>
          <w:lang w:val="en-US" w:eastAsia="zh-CN"/>
        </w:rPr>
      </w:pPr>
      <w:r>
        <w:rPr>
          <w:noProof/>
        </w:rPr>
        <w:t>4.3.</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_Toc199452694 \h </w:instrText>
      </w:r>
      <w:r>
        <w:rPr>
          <w:noProof/>
        </w:rPr>
      </w:r>
      <w:r>
        <w:rPr>
          <w:noProof/>
        </w:rPr>
        <w:fldChar w:fldCharType="separate"/>
      </w:r>
      <w:r>
        <w:rPr>
          <w:noProof/>
        </w:rPr>
        <w:t>48</w:t>
      </w:r>
      <w:r>
        <w:rPr>
          <w:noProof/>
        </w:rPr>
        <w:fldChar w:fldCharType="end"/>
      </w:r>
    </w:p>
    <w:p w14:paraId="04430E9B" w14:textId="62260A8D" w:rsidR="003F6EFC" w:rsidRDefault="003F6EFC">
      <w:pPr>
        <w:pStyle w:val="TOC4"/>
        <w:rPr>
          <w:rFonts w:asciiTheme="minorHAnsi" w:eastAsiaTheme="minorEastAsia" w:hAnsiTheme="minorHAnsi" w:cstheme="minorBidi"/>
          <w:noProof/>
          <w:kern w:val="2"/>
          <w:sz w:val="21"/>
          <w:szCs w:val="22"/>
          <w:lang w:val="en-US" w:eastAsia="zh-CN"/>
        </w:rPr>
      </w:pPr>
      <w:r>
        <w:rPr>
          <w:noProof/>
        </w:rPr>
        <w:t>4.3.1.2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_Toc199452695 \h </w:instrText>
      </w:r>
      <w:r>
        <w:rPr>
          <w:noProof/>
        </w:rPr>
      </w:r>
      <w:r>
        <w:rPr>
          <w:noProof/>
        </w:rPr>
        <w:fldChar w:fldCharType="separate"/>
      </w:r>
      <w:r>
        <w:rPr>
          <w:noProof/>
        </w:rPr>
        <w:t>48</w:t>
      </w:r>
      <w:r>
        <w:rPr>
          <w:noProof/>
        </w:rPr>
        <w:fldChar w:fldCharType="end"/>
      </w:r>
    </w:p>
    <w:p w14:paraId="1B941625" w14:textId="4461AE54"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4.3.</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_Toc199452696 \h </w:instrText>
      </w:r>
      <w:r>
        <w:rPr>
          <w:noProof/>
        </w:rPr>
      </w:r>
      <w:r>
        <w:rPr>
          <w:noProof/>
        </w:rPr>
        <w:fldChar w:fldCharType="separate"/>
      </w:r>
      <w:r>
        <w:rPr>
          <w:noProof/>
        </w:rPr>
        <w:t>49</w:t>
      </w:r>
      <w:r>
        <w:rPr>
          <w:noProof/>
        </w:rPr>
        <w:fldChar w:fldCharType="end"/>
      </w:r>
    </w:p>
    <w:p w14:paraId="1B224802" w14:textId="44AB1BBA" w:rsidR="003F6EFC" w:rsidRDefault="003F6EFC">
      <w:pPr>
        <w:pStyle w:val="TOC5"/>
        <w:rPr>
          <w:rFonts w:asciiTheme="minorHAnsi" w:eastAsiaTheme="minorEastAsia" w:hAnsiTheme="minorHAnsi" w:cstheme="minorBidi"/>
          <w:noProof/>
          <w:kern w:val="2"/>
          <w:sz w:val="21"/>
          <w:szCs w:val="22"/>
          <w:lang w:val="en-US" w:eastAsia="zh-CN"/>
        </w:rPr>
      </w:pPr>
      <w:r>
        <w:rPr>
          <w:noProof/>
        </w:rPr>
        <w:t>4.3.</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_Toc199452697 \h </w:instrText>
      </w:r>
      <w:r>
        <w:rPr>
          <w:noProof/>
        </w:rPr>
      </w:r>
      <w:r>
        <w:rPr>
          <w:noProof/>
        </w:rPr>
        <w:fldChar w:fldCharType="separate"/>
      </w:r>
      <w:r>
        <w:rPr>
          <w:noProof/>
        </w:rPr>
        <w:t>49</w:t>
      </w:r>
      <w:r>
        <w:rPr>
          <w:noProof/>
        </w:rPr>
        <w:fldChar w:fldCharType="end"/>
      </w:r>
    </w:p>
    <w:p w14:paraId="0D3141E8" w14:textId="364952CF" w:rsidR="003F6EFC" w:rsidRDefault="003F6EFC">
      <w:pPr>
        <w:pStyle w:val="TOC5"/>
        <w:rPr>
          <w:rFonts w:asciiTheme="minorHAnsi" w:eastAsiaTheme="minorEastAsia" w:hAnsiTheme="minorHAnsi" w:cstheme="minorBidi"/>
          <w:noProof/>
          <w:kern w:val="2"/>
          <w:sz w:val="21"/>
          <w:szCs w:val="22"/>
          <w:lang w:val="en-US" w:eastAsia="zh-CN"/>
        </w:rPr>
      </w:pPr>
      <w:r>
        <w:rPr>
          <w:noProof/>
        </w:rPr>
        <w:t>4.3.</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 xml:space="preserve">NF </w:t>
      </w:r>
      <w:r>
        <w:rPr>
          <w:noProof/>
        </w:rPr>
        <w:t>Service</w:t>
      </w:r>
      <w:r>
        <w:rPr>
          <w:noProof/>
          <w:lang w:eastAsia="zh-CN"/>
        </w:rPr>
        <w:t xml:space="preserve"> Consumers</w:t>
      </w:r>
      <w:r>
        <w:rPr>
          <w:noProof/>
        </w:rPr>
        <w:tab/>
      </w:r>
      <w:r>
        <w:rPr>
          <w:noProof/>
        </w:rPr>
        <w:fldChar w:fldCharType="begin"/>
      </w:r>
      <w:r>
        <w:rPr>
          <w:noProof/>
        </w:rPr>
        <w:instrText xml:space="preserve"> PAGEREF _Toc199452698 \h </w:instrText>
      </w:r>
      <w:r>
        <w:rPr>
          <w:noProof/>
        </w:rPr>
      </w:r>
      <w:r>
        <w:rPr>
          <w:noProof/>
        </w:rPr>
        <w:fldChar w:fldCharType="separate"/>
      </w:r>
      <w:r>
        <w:rPr>
          <w:noProof/>
        </w:rPr>
        <w:t>49</w:t>
      </w:r>
      <w:r>
        <w:rPr>
          <w:noProof/>
        </w:rPr>
        <w:fldChar w:fldCharType="end"/>
      </w:r>
    </w:p>
    <w:p w14:paraId="35BA1834" w14:textId="16C68A9F" w:rsidR="003F6EFC" w:rsidRDefault="003F6EFC">
      <w:pPr>
        <w:pStyle w:val="TOC3"/>
        <w:rPr>
          <w:rFonts w:asciiTheme="minorHAnsi" w:eastAsiaTheme="minorEastAsia" w:hAnsiTheme="minorHAnsi" w:cstheme="minorBidi"/>
          <w:noProof/>
          <w:kern w:val="2"/>
          <w:sz w:val="21"/>
          <w:szCs w:val="22"/>
          <w:lang w:val="en-US" w:eastAsia="zh-CN"/>
        </w:rPr>
      </w:pPr>
      <w:r>
        <w:rPr>
          <w:noProof/>
        </w:rPr>
        <w:t>4.3.2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_Toc199452699 \h </w:instrText>
      </w:r>
      <w:r>
        <w:rPr>
          <w:noProof/>
        </w:rPr>
      </w:r>
      <w:r>
        <w:rPr>
          <w:noProof/>
        </w:rPr>
        <w:fldChar w:fldCharType="separate"/>
      </w:r>
      <w:r>
        <w:rPr>
          <w:noProof/>
        </w:rPr>
        <w:t>52</w:t>
      </w:r>
      <w:r>
        <w:rPr>
          <w:noProof/>
        </w:rPr>
        <w:fldChar w:fldCharType="end"/>
      </w:r>
    </w:p>
    <w:p w14:paraId="3F3F6233" w14:textId="17DD9BF7" w:rsidR="003F6EFC" w:rsidRDefault="003F6EFC">
      <w:pPr>
        <w:pStyle w:val="TOC4"/>
        <w:rPr>
          <w:rFonts w:asciiTheme="minorHAnsi" w:eastAsiaTheme="minorEastAsia" w:hAnsiTheme="minorHAnsi" w:cstheme="minorBidi"/>
          <w:noProof/>
          <w:kern w:val="2"/>
          <w:sz w:val="21"/>
          <w:szCs w:val="22"/>
          <w:lang w:val="en-US" w:eastAsia="zh-CN"/>
        </w:rPr>
      </w:pPr>
      <w:r>
        <w:rPr>
          <w:noProof/>
        </w:rPr>
        <w:t>4.</w:t>
      </w:r>
      <w:r>
        <w:rPr>
          <w:noProof/>
          <w:lang w:eastAsia="zh-CN"/>
        </w:rPr>
        <w:t>3</w:t>
      </w:r>
      <w:r>
        <w:rPr>
          <w:noProof/>
        </w:rPr>
        <w:t>.2.1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_Toc199452700 \h </w:instrText>
      </w:r>
      <w:r>
        <w:rPr>
          <w:noProof/>
        </w:rPr>
      </w:r>
      <w:r>
        <w:rPr>
          <w:noProof/>
        </w:rPr>
        <w:fldChar w:fldCharType="separate"/>
      </w:r>
      <w:r>
        <w:rPr>
          <w:noProof/>
        </w:rPr>
        <w:t>52</w:t>
      </w:r>
      <w:r>
        <w:rPr>
          <w:noProof/>
        </w:rPr>
        <w:fldChar w:fldCharType="end"/>
      </w:r>
    </w:p>
    <w:p w14:paraId="7DA71A29" w14:textId="1A2C6263" w:rsidR="003F6EFC" w:rsidRDefault="003F6EFC">
      <w:pPr>
        <w:pStyle w:val="TOC4"/>
        <w:rPr>
          <w:rFonts w:asciiTheme="minorHAnsi" w:eastAsiaTheme="minorEastAsia" w:hAnsiTheme="minorHAnsi" w:cstheme="minorBidi"/>
          <w:noProof/>
          <w:kern w:val="2"/>
          <w:sz w:val="21"/>
          <w:szCs w:val="22"/>
          <w:lang w:val="en-US" w:eastAsia="zh-CN"/>
        </w:rPr>
      </w:pPr>
      <w:r>
        <w:rPr>
          <w:noProof/>
        </w:rPr>
        <w:t>4.3.2.2</w:t>
      </w:r>
      <w:r>
        <w:rPr>
          <w:rFonts w:asciiTheme="minorHAnsi" w:eastAsiaTheme="minorEastAsia" w:hAnsiTheme="minorHAnsi" w:cstheme="minorBidi"/>
          <w:noProof/>
          <w:kern w:val="2"/>
          <w:sz w:val="21"/>
          <w:szCs w:val="22"/>
          <w:lang w:val="en-US" w:eastAsia="zh-CN"/>
        </w:rPr>
        <w:tab/>
      </w:r>
      <w:r>
        <w:rPr>
          <w:noProof/>
        </w:rPr>
        <w:t>Nnwdaf_AnalyticsInfo_Request service operation</w:t>
      </w:r>
      <w:r>
        <w:rPr>
          <w:noProof/>
        </w:rPr>
        <w:tab/>
      </w:r>
      <w:r>
        <w:rPr>
          <w:noProof/>
        </w:rPr>
        <w:fldChar w:fldCharType="begin"/>
      </w:r>
      <w:r>
        <w:rPr>
          <w:noProof/>
        </w:rPr>
        <w:instrText xml:space="preserve"> PAGEREF _Toc199452701 \h </w:instrText>
      </w:r>
      <w:r>
        <w:rPr>
          <w:noProof/>
        </w:rPr>
      </w:r>
      <w:r>
        <w:rPr>
          <w:noProof/>
        </w:rPr>
        <w:fldChar w:fldCharType="separate"/>
      </w:r>
      <w:r>
        <w:rPr>
          <w:noProof/>
        </w:rPr>
        <w:t>52</w:t>
      </w:r>
      <w:r>
        <w:rPr>
          <w:noProof/>
        </w:rPr>
        <w:fldChar w:fldCharType="end"/>
      </w:r>
    </w:p>
    <w:p w14:paraId="0EA39CB8" w14:textId="06A01105" w:rsidR="003F6EFC" w:rsidRDefault="003F6EFC">
      <w:pPr>
        <w:pStyle w:val="TOC5"/>
        <w:rPr>
          <w:rFonts w:asciiTheme="minorHAnsi" w:eastAsiaTheme="minorEastAsia" w:hAnsiTheme="minorHAnsi" w:cstheme="minorBidi"/>
          <w:noProof/>
          <w:kern w:val="2"/>
          <w:sz w:val="21"/>
          <w:szCs w:val="22"/>
          <w:lang w:val="en-US" w:eastAsia="zh-CN"/>
        </w:rPr>
      </w:pPr>
      <w:r>
        <w:rPr>
          <w:noProof/>
        </w:rPr>
        <w:t>4.3.2.2.1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_Toc199452702 \h </w:instrText>
      </w:r>
      <w:r>
        <w:rPr>
          <w:noProof/>
        </w:rPr>
      </w:r>
      <w:r>
        <w:rPr>
          <w:noProof/>
        </w:rPr>
        <w:fldChar w:fldCharType="separate"/>
      </w:r>
      <w:r>
        <w:rPr>
          <w:noProof/>
        </w:rPr>
        <w:t>52</w:t>
      </w:r>
      <w:r>
        <w:rPr>
          <w:noProof/>
        </w:rPr>
        <w:fldChar w:fldCharType="end"/>
      </w:r>
    </w:p>
    <w:p w14:paraId="35C00235" w14:textId="07DD0CA2" w:rsidR="003F6EFC" w:rsidRDefault="003F6EFC">
      <w:pPr>
        <w:pStyle w:val="TOC5"/>
        <w:rPr>
          <w:rFonts w:asciiTheme="minorHAnsi" w:eastAsiaTheme="minorEastAsia" w:hAnsiTheme="minorHAnsi" w:cstheme="minorBidi"/>
          <w:noProof/>
          <w:kern w:val="2"/>
          <w:sz w:val="21"/>
          <w:szCs w:val="22"/>
          <w:lang w:val="en-US" w:eastAsia="zh-CN"/>
        </w:rPr>
      </w:pPr>
      <w:r>
        <w:rPr>
          <w:noProof/>
        </w:rPr>
        <w:t>4.3.2.2.2</w:t>
      </w:r>
      <w:r>
        <w:rPr>
          <w:rFonts w:asciiTheme="minorHAnsi" w:eastAsiaTheme="minorEastAsia" w:hAnsiTheme="minorHAnsi" w:cstheme="minorBidi"/>
          <w:noProof/>
          <w:kern w:val="2"/>
          <w:sz w:val="21"/>
          <w:szCs w:val="22"/>
          <w:lang w:val="en-US" w:eastAsia="zh-CN"/>
        </w:rPr>
        <w:tab/>
      </w:r>
      <w:r>
        <w:rPr>
          <w:noProof/>
        </w:rPr>
        <w:t>Request and get from NWDAF Analytics information</w:t>
      </w:r>
      <w:r>
        <w:rPr>
          <w:noProof/>
        </w:rPr>
        <w:tab/>
      </w:r>
      <w:r>
        <w:rPr>
          <w:noProof/>
        </w:rPr>
        <w:fldChar w:fldCharType="begin"/>
      </w:r>
      <w:r>
        <w:rPr>
          <w:noProof/>
        </w:rPr>
        <w:instrText xml:space="preserve"> PAGEREF _Toc199452703 \h </w:instrText>
      </w:r>
      <w:r>
        <w:rPr>
          <w:noProof/>
        </w:rPr>
      </w:r>
      <w:r>
        <w:rPr>
          <w:noProof/>
        </w:rPr>
        <w:fldChar w:fldCharType="separate"/>
      </w:r>
      <w:r>
        <w:rPr>
          <w:noProof/>
        </w:rPr>
        <w:t>52</w:t>
      </w:r>
      <w:r>
        <w:rPr>
          <w:noProof/>
        </w:rPr>
        <w:fldChar w:fldCharType="end"/>
      </w:r>
    </w:p>
    <w:p w14:paraId="22216A0C" w14:textId="1848930B" w:rsidR="003F6EFC" w:rsidRDefault="003F6EFC">
      <w:pPr>
        <w:pStyle w:val="TOC4"/>
        <w:rPr>
          <w:rFonts w:asciiTheme="minorHAnsi" w:eastAsiaTheme="minorEastAsia" w:hAnsiTheme="minorHAnsi" w:cstheme="minorBidi"/>
          <w:noProof/>
          <w:kern w:val="2"/>
          <w:sz w:val="21"/>
          <w:szCs w:val="22"/>
          <w:lang w:val="en-US" w:eastAsia="zh-CN"/>
        </w:rPr>
      </w:pPr>
      <w:r>
        <w:rPr>
          <w:noProof/>
        </w:rPr>
        <w:t>4.3.2.3</w:t>
      </w:r>
      <w:r>
        <w:rPr>
          <w:rFonts w:asciiTheme="minorHAnsi" w:eastAsiaTheme="minorEastAsia" w:hAnsiTheme="minorHAnsi" w:cstheme="minorBidi"/>
          <w:noProof/>
          <w:kern w:val="2"/>
          <w:sz w:val="21"/>
          <w:szCs w:val="22"/>
          <w:lang w:val="en-US" w:eastAsia="zh-CN"/>
        </w:rPr>
        <w:tab/>
      </w:r>
      <w:r>
        <w:rPr>
          <w:noProof/>
        </w:rPr>
        <w:t>Nnwdaf_AnalyticsInfo_ContextTransfer service operation</w:t>
      </w:r>
      <w:r>
        <w:rPr>
          <w:noProof/>
        </w:rPr>
        <w:tab/>
      </w:r>
      <w:r>
        <w:rPr>
          <w:noProof/>
        </w:rPr>
        <w:fldChar w:fldCharType="begin"/>
      </w:r>
      <w:r>
        <w:rPr>
          <w:noProof/>
        </w:rPr>
        <w:instrText xml:space="preserve"> PAGEREF _Toc199452704 \h </w:instrText>
      </w:r>
      <w:r>
        <w:rPr>
          <w:noProof/>
        </w:rPr>
      </w:r>
      <w:r>
        <w:rPr>
          <w:noProof/>
        </w:rPr>
        <w:fldChar w:fldCharType="separate"/>
      </w:r>
      <w:r>
        <w:rPr>
          <w:noProof/>
        </w:rPr>
        <w:t>61</w:t>
      </w:r>
      <w:r>
        <w:rPr>
          <w:noProof/>
        </w:rPr>
        <w:fldChar w:fldCharType="end"/>
      </w:r>
    </w:p>
    <w:p w14:paraId="76EE0A13" w14:textId="75ED96EE" w:rsidR="003F6EFC" w:rsidRDefault="003F6EFC">
      <w:pPr>
        <w:pStyle w:val="TOC5"/>
        <w:rPr>
          <w:rFonts w:asciiTheme="minorHAnsi" w:eastAsiaTheme="minorEastAsia" w:hAnsiTheme="minorHAnsi" w:cstheme="minorBidi"/>
          <w:noProof/>
          <w:kern w:val="2"/>
          <w:sz w:val="21"/>
          <w:szCs w:val="22"/>
          <w:lang w:val="en-US" w:eastAsia="zh-CN"/>
        </w:rPr>
      </w:pPr>
      <w:r>
        <w:rPr>
          <w:noProof/>
        </w:rPr>
        <w:t>4.3.2.3.1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_Toc199452705 \h </w:instrText>
      </w:r>
      <w:r>
        <w:rPr>
          <w:noProof/>
        </w:rPr>
      </w:r>
      <w:r>
        <w:rPr>
          <w:noProof/>
        </w:rPr>
        <w:fldChar w:fldCharType="separate"/>
      </w:r>
      <w:r>
        <w:rPr>
          <w:noProof/>
        </w:rPr>
        <w:t>61</w:t>
      </w:r>
      <w:r>
        <w:rPr>
          <w:noProof/>
        </w:rPr>
        <w:fldChar w:fldCharType="end"/>
      </w:r>
    </w:p>
    <w:p w14:paraId="25057231" w14:textId="219C1D68" w:rsidR="003F6EFC" w:rsidRDefault="003F6EFC">
      <w:pPr>
        <w:pStyle w:val="TOC5"/>
        <w:rPr>
          <w:rFonts w:asciiTheme="minorHAnsi" w:eastAsiaTheme="minorEastAsia" w:hAnsiTheme="minorHAnsi" w:cstheme="minorBidi"/>
          <w:noProof/>
          <w:kern w:val="2"/>
          <w:sz w:val="21"/>
          <w:szCs w:val="22"/>
          <w:lang w:val="en-US" w:eastAsia="zh-CN"/>
        </w:rPr>
      </w:pPr>
      <w:r>
        <w:rPr>
          <w:noProof/>
        </w:rPr>
        <w:t>4.3.2.3.2</w:t>
      </w:r>
      <w:r>
        <w:rPr>
          <w:rFonts w:asciiTheme="minorHAnsi" w:eastAsiaTheme="minorEastAsia" w:hAnsiTheme="minorHAnsi" w:cstheme="minorBidi"/>
          <w:noProof/>
          <w:kern w:val="2"/>
          <w:sz w:val="21"/>
          <w:szCs w:val="22"/>
          <w:lang w:val="en-US" w:eastAsia="zh-CN"/>
        </w:rPr>
        <w:tab/>
      </w:r>
      <w:r>
        <w:rPr>
          <w:noProof/>
        </w:rPr>
        <w:t>Request and get from NWDAF context of a subscription</w:t>
      </w:r>
      <w:r>
        <w:rPr>
          <w:noProof/>
        </w:rPr>
        <w:tab/>
      </w:r>
      <w:r>
        <w:rPr>
          <w:noProof/>
        </w:rPr>
        <w:fldChar w:fldCharType="begin"/>
      </w:r>
      <w:r>
        <w:rPr>
          <w:noProof/>
        </w:rPr>
        <w:instrText xml:space="preserve"> PAGEREF _Toc199452706 \h </w:instrText>
      </w:r>
      <w:r>
        <w:rPr>
          <w:noProof/>
        </w:rPr>
      </w:r>
      <w:r>
        <w:rPr>
          <w:noProof/>
        </w:rPr>
        <w:fldChar w:fldCharType="separate"/>
      </w:r>
      <w:r>
        <w:rPr>
          <w:noProof/>
        </w:rPr>
        <w:t>61</w:t>
      </w:r>
      <w:r>
        <w:rPr>
          <w:noProof/>
        </w:rPr>
        <w:fldChar w:fldCharType="end"/>
      </w:r>
    </w:p>
    <w:p w14:paraId="5CFA7BDE" w14:textId="3171559E" w:rsidR="003F6EFC" w:rsidRDefault="003F6EFC">
      <w:pPr>
        <w:pStyle w:val="TOC2"/>
        <w:rPr>
          <w:rFonts w:asciiTheme="minorHAnsi" w:eastAsiaTheme="minorEastAsia" w:hAnsiTheme="minorHAnsi" w:cstheme="minorBidi"/>
          <w:noProof/>
          <w:kern w:val="2"/>
          <w:sz w:val="21"/>
          <w:szCs w:val="22"/>
          <w:lang w:val="en-US" w:eastAsia="zh-CN"/>
        </w:rPr>
      </w:pPr>
      <w:r>
        <w:rPr>
          <w:noProof/>
        </w:rPr>
        <w:t>4.4</w:t>
      </w:r>
      <w:r>
        <w:rPr>
          <w:rFonts w:asciiTheme="minorHAnsi" w:eastAsiaTheme="minorEastAsia" w:hAnsiTheme="minorHAnsi" w:cstheme="minorBidi"/>
          <w:noProof/>
          <w:kern w:val="2"/>
          <w:sz w:val="21"/>
          <w:szCs w:val="22"/>
          <w:lang w:val="en-US" w:eastAsia="zh-CN"/>
        </w:rPr>
        <w:tab/>
      </w:r>
      <w:r>
        <w:rPr>
          <w:noProof/>
          <w:lang w:eastAsia="zh-CN"/>
        </w:rPr>
        <w:t>Nnwdaf_</w:t>
      </w:r>
      <w:r>
        <w:rPr>
          <w:noProof/>
          <w:lang w:eastAsia="ja-JP"/>
        </w:rPr>
        <w:t>DataManagement</w:t>
      </w:r>
      <w:r>
        <w:rPr>
          <w:noProof/>
        </w:rPr>
        <w:t xml:space="preserve"> Service</w:t>
      </w:r>
      <w:r>
        <w:rPr>
          <w:noProof/>
        </w:rPr>
        <w:tab/>
      </w:r>
      <w:r>
        <w:rPr>
          <w:noProof/>
        </w:rPr>
        <w:fldChar w:fldCharType="begin"/>
      </w:r>
      <w:r>
        <w:rPr>
          <w:noProof/>
        </w:rPr>
        <w:instrText xml:space="preserve"> PAGEREF _Toc199452707 \h </w:instrText>
      </w:r>
      <w:r>
        <w:rPr>
          <w:noProof/>
        </w:rPr>
      </w:r>
      <w:r>
        <w:rPr>
          <w:noProof/>
        </w:rPr>
        <w:fldChar w:fldCharType="separate"/>
      </w:r>
      <w:r>
        <w:rPr>
          <w:noProof/>
        </w:rPr>
        <w:t>63</w:t>
      </w:r>
      <w:r>
        <w:rPr>
          <w:noProof/>
        </w:rPr>
        <w:fldChar w:fldCharType="end"/>
      </w:r>
    </w:p>
    <w:p w14:paraId="106EEB16" w14:textId="55AC7722" w:rsidR="003F6EFC" w:rsidRDefault="003F6EFC">
      <w:pPr>
        <w:pStyle w:val="TOC3"/>
        <w:rPr>
          <w:rFonts w:asciiTheme="minorHAnsi" w:eastAsiaTheme="minorEastAsia" w:hAnsiTheme="minorHAnsi" w:cstheme="minorBidi"/>
          <w:noProof/>
          <w:kern w:val="2"/>
          <w:sz w:val="21"/>
          <w:szCs w:val="22"/>
          <w:lang w:val="en-US" w:eastAsia="zh-CN"/>
        </w:rPr>
      </w:pPr>
      <w:r>
        <w:rPr>
          <w:noProof/>
        </w:rPr>
        <w:t>4.4.1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_Toc199452708 \h </w:instrText>
      </w:r>
      <w:r>
        <w:rPr>
          <w:noProof/>
        </w:rPr>
      </w:r>
      <w:r>
        <w:rPr>
          <w:noProof/>
        </w:rPr>
        <w:fldChar w:fldCharType="separate"/>
      </w:r>
      <w:r>
        <w:rPr>
          <w:noProof/>
        </w:rPr>
        <w:t>63</w:t>
      </w:r>
      <w:r>
        <w:rPr>
          <w:noProof/>
        </w:rPr>
        <w:fldChar w:fldCharType="end"/>
      </w:r>
    </w:p>
    <w:p w14:paraId="0A3D7300" w14:textId="2F689F2F" w:rsidR="003F6EFC" w:rsidRDefault="003F6EFC">
      <w:pPr>
        <w:pStyle w:val="TOC4"/>
        <w:rPr>
          <w:rFonts w:asciiTheme="minorHAnsi" w:eastAsiaTheme="minorEastAsia" w:hAnsiTheme="minorHAnsi" w:cstheme="minorBidi"/>
          <w:noProof/>
          <w:kern w:val="2"/>
          <w:sz w:val="21"/>
          <w:szCs w:val="22"/>
          <w:lang w:val="en-US" w:eastAsia="zh-CN"/>
        </w:rPr>
      </w:pPr>
      <w:r>
        <w:rPr>
          <w:noProof/>
        </w:rPr>
        <w:t>4.4.</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_Toc199452709 \h </w:instrText>
      </w:r>
      <w:r>
        <w:rPr>
          <w:noProof/>
        </w:rPr>
      </w:r>
      <w:r>
        <w:rPr>
          <w:noProof/>
        </w:rPr>
        <w:fldChar w:fldCharType="separate"/>
      </w:r>
      <w:r>
        <w:rPr>
          <w:noProof/>
        </w:rPr>
        <w:t>63</w:t>
      </w:r>
      <w:r>
        <w:rPr>
          <w:noProof/>
        </w:rPr>
        <w:fldChar w:fldCharType="end"/>
      </w:r>
    </w:p>
    <w:p w14:paraId="72718FD4" w14:textId="577F5D79" w:rsidR="003F6EFC" w:rsidRDefault="003F6EFC">
      <w:pPr>
        <w:pStyle w:val="TOC4"/>
        <w:rPr>
          <w:rFonts w:asciiTheme="minorHAnsi" w:eastAsiaTheme="minorEastAsia" w:hAnsiTheme="minorHAnsi" w:cstheme="minorBidi"/>
          <w:noProof/>
          <w:kern w:val="2"/>
          <w:sz w:val="21"/>
          <w:szCs w:val="22"/>
          <w:lang w:val="en-US" w:eastAsia="zh-CN"/>
        </w:rPr>
      </w:pPr>
      <w:r>
        <w:rPr>
          <w:noProof/>
        </w:rPr>
        <w:t>4.4.1.2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_Toc199452710 \h </w:instrText>
      </w:r>
      <w:r>
        <w:rPr>
          <w:noProof/>
        </w:rPr>
      </w:r>
      <w:r>
        <w:rPr>
          <w:noProof/>
        </w:rPr>
        <w:fldChar w:fldCharType="separate"/>
      </w:r>
      <w:r>
        <w:rPr>
          <w:noProof/>
        </w:rPr>
        <w:t>63</w:t>
      </w:r>
      <w:r>
        <w:rPr>
          <w:noProof/>
        </w:rPr>
        <w:fldChar w:fldCharType="end"/>
      </w:r>
    </w:p>
    <w:p w14:paraId="09A7A723" w14:textId="5AD9D943"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4.4.</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_Toc199452711 \h </w:instrText>
      </w:r>
      <w:r>
        <w:rPr>
          <w:noProof/>
        </w:rPr>
      </w:r>
      <w:r>
        <w:rPr>
          <w:noProof/>
        </w:rPr>
        <w:fldChar w:fldCharType="separate"/>
      </w:r>
      <w:r>
        <w:rPr>
          <w:noProof/>
        </w:rPr>
        <w:t>64</w:t>
      </w:r>
      <w:r>
        <w:rPr>
          <w:noProof/>
        </w:rPr>
        <w:fldChar w:fldCharType="end"/>
      </w:r>
    </w:p>
    <w:p w14:paraId="7FC3AB93" w14:textId="71D07020" w:rsidR="003F6EFC" w:rsidRDefault="003F6EFC">
      <w:pPr>
        <w:pStyle w:val="TOC5"/>
        <w:rPr>
          <w:rFonts w:asciiTheme="minorHAnsi" w:eastAsiaTheme="minorEastAsia" w:hAnsiTheme="minorHAnsi" w:cstheme="minorBidi"/>
          <w:noProof/>
          <w:kern w:val="2"/>
          <w:sz w:val="21"/>
          <w:szCs w:val="22"/>
          <w:lang w:val="en-US" w:eastAsia="zh-CN"/>
        </w:rPr>
      </w:pPr>
      <w:r>
        <w:rPr>
          <w:noProof/>
        </w:rPr>
        <w:t>4.4.</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_Toc199452712 \h </w:instrText>
      </w:r>
      <w:r>
        <w:rPr>
          <w:noProof/>
        </w:rPr>
      </w:r>
      <w:r>
        <w:rPr>
          <w:noProof/>
        </w:rPr>
        <w:fldChar w:fldCharType="separate"/>
      </w:r>
      <w:r>
        <w:rPr>
          <w:noProof/>
        </w:rPr>
        <w:t>64</w:t>
      </w:r>
      <w:r>
        <w:rPr>
          <w:noProof/>
        </w:rPr>
        <w:fldChar w:fldCharType="end"/>
      </w:r>
    </w:p>
    <w:p w14:paraId="109A19A5" w14:textId="372B7717" w:rsidR="003F6EFC" w:rsidRDefault="003F6EFC">
      <w:pPr>
        <w:pStyle w:val="TOC5"/>
        <w:rPr>
          <w:rFonts w:asciiTheme="minorHAnsi" w:eastAsiaTheme="minorEastAsia" w:hAnsiTheme="minorHAnsi" w:cstheme="minorBidi"/>
          <w:noProof/>
          <w:kern w:val="2"/>
          <w:sz w:val="21"/>
          <w:szCs w:val="22"/>
          <w:lang w:val="en-US" w:eastAsia="zh-CN"/>
        </w:rPr>
      </w:pPr>
      <w:r>
        <w:rPr>
          <w:noProof/>
        </w:rPr>
        <w:t>4.4.</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_Toc199452713 \h </w:instrText>
      </w:r>
      <w:r>
        <w:rPr>
          <w:noProof/>
        </w:rPr>
      </w:r>
      <w:r>
        <w:rPr>
          <w:noProof/>
        </w:rPr>
        <w:fldChar w:fldCharType="separate"/>
      </w:r>
      <w:r>
        <w:rPr>
          <w:noProof/>
        </w:rPr>
        <w:t>64</w:t>
      </w:r>
      <w:r>
        <w:rPr>
          <w:noProof/>
        </w:rPr>
        <w:fldChar w:fldCharType="end"/>
      </w:r>
    </w:p>
    <w:p w14:paraId="02D69082" w14:textId="463360A1" w:rsidR="003F6EFC" w:rsidRDefault="003F6EFC">
      <w:pPr>
        <w:pStyle w:val="TOC3"/>
        <w:rPr>
          <w:rFonts w:asciiTheme="minorHAnsi" w:eastAsiaTheme="minorEastAsia" w:hAnsiTheme="minorHAnsi" w:cstheme="minorBidi"/>
          <w:noProof/>
          <w:kern w:val="2"/>
          <w:sz w:val="21"/>
          <w:szCs w:val="22"/>
          <w:lang w:val="en-US" w:eastAsia="zh-CN"/>
        </w:rPr>
      </w:pPr>
      <w:r>
        <w:rPr>
          <w:noProof/>
        </w:rPr>
        <w:t>4.4.2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_Toc199452714 \h </w:instrText>
      </w:r>
      <w:r>
        <w:rPr>
          <w:noProof/>
        </w:rPr>
      </w:r>
      <w:r>
        <w:rPr>
          <w:noProof/>
        </w:rPr>
        <w:fldChar w:fldCharType="separate"/>
      </w:r>
      <w:r>
        <w:rPr>
          <w:noProof/>
        </w:rPr>
        <w:t>64</w:t>
      </w:r>
      <w:r>
        <w:rPr>
          <w:noProof/>
        </w:rPr>
        <w:fldChar w:fldCharType="end"/>
      </w:r>
    </w:p>
    <w:p w14:paraId="7C727C3A" w14:textId="59897949" w:rsidR="003F6EFC" w:rsidRDefault="003F6EFC">
      <w:pPr>
        <w:pStyle w:val="TOC4"/>
        <w:rPr>
          <w:rFonts w:asciiTheme="minorHAnsi" w:eastAsiaTheme="minorEastAsia" w:hAnsiTheme="minorHAnsi" w:cstheme="minorBidi"/>
          <w:noProof/>
          <w:kern w:val="2"/>
          <w:sz w:val="21"/>
          <w:szCs w:val="22"/>
          <w:lang w:val="en-US" w:eastAsia="zh-CN"/>
        </w:rPr>
      </w:pPr>
      <w:r>
        <w:rPr>
          <w:noProof/>
        </w:rPr>
        <w:t>4.4.2.1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_Toc199452715 \h </w:instrText>
      </w:r>
      <w:r>
        <w:rPr>
          <w:noProof/>
        </w:rPr>
      </w:r>
      <w:r>
        <w:rPr>
          <w:noProof/>
        </w:rPr>
        <w:fldChar w:fldCharType="separate"/>
      </w:r>
      <w:r>
        <w:rPr>
          <w:noProof/>
        </w:rPr>
        <w:t>64</w:t>
      </w:r>
      <w:r>
        <w:rPr>
          <w:noProof/>
        </w:rPr>
        <w:fldChar w:fldCharType="end"/>
      </w:r>
    </w:p>
    <w:p w14:paraId="4F14B555" w14:textId="4F3B4157" w:rsidR="003F6EFC" w:rsidRDefault="003F6EFC">
      <w:pPr>
        <w:pStyle w:val="TOC4"/>
        <w:rPr>
          <w:rFonts w:asciiTheme="minorHAnsi" w:eastAsiaTheme="minorEastAsia" w:hAnsiTheme="minorHAnsi" w:cstheme="minorBidi"/>
          <w:noProof/>
          <w:kern w:val="2"/>
          <w:sz w:val="21"/>
          <w:szCs w:val="22"/>
          <w:lang w:val="en-US" w:eastAsia="zh-CN"/>
        </w:rPr>
      </w:pPr>
      <w:r>
        <w:rPr>
          <w:noProof/>
        </w:rPr>
        <w:lastRenderedPageBreak/>
        <w:t>4.4.2.2</w:t>
      </w:r>
      <w:r>
        <w:rPr>
          <w:rFonts w:asciiTheme="minorHAnsi" w:eastAsiaTheme="minorEastAsia" w:hAnsiTheme="minorHAnsi" w:cstheme="minorBidi"/>
          <w:noProof/>
          <w:kern w:val="2"/>
          <w:sz w:val="21"/>
          <w:szCs w:val="22"/>
          <w:lang w:val="en-US" w:eastAsia="zh-CN"/>
        </w:rPr>
        <w:tab/>
      </w:r>
      <w:r>
        <w:rPr>
          <w:noProof/>
          <w:lang w:eastAsia="zh-CN"/>
        </w:rPr>
        <w:t>Nnwdaf_</w:t>
      </w:r>
      <w:r>
        <w:rPr>
          <w:noProof/>
          <w:lang w:eastAsia="ja-JP"/>
        </w:rPr>
        <w:t>DataManagement_Subscribe</w:t>
      </w:r>
      <w:r>
        <w:rPr>
          <w:noProof/>
        </w:rPr>
        <w:t xml:space="preserve"> service operation</w:t>
      </w:r>
      <w:r>
        <w:rPr>
          <w:noProof/>
        </w:rPr>
        <w:tab/>
      </w:r>
      <w:r>
        <w:rPr>
          <w:noProof/>
        </w:rPr>
        <w:fldChar w:fldCharType="begin"/>
      </w:r>
      <w:r>
        <w:rPr>
          <w:noProof/>
        </w:rPr>
        <w:instrText xml:space="preserve"> PAGEREF _Toc199452716 \h </w:instrText>
      </w:r>
      <w:r>
        <w:rPr>
          <w:noProof/>
        </w:rPr>
      </w:r>
      <w:r>
        <w:rPr>
          <w:noProof/>
        </w:rPr>
        <w:fldChar w:fldCharType="separate"/>
      </w:r>
      <w:r>
        <w:rPr>
          <w:noProof/>
        </w:rPr>
        <w:t>64</w:t>
      </w:r>
      <w:r>
        <w:rPr>
          <w:noProof/>
        </w:rPr>
        <w:fldChar w:fldCharType="end"/>
      </w:r>
    </w:p>
    <w:p w14:paraId="687D5CD0" w14:textId="0E49C96E" w:rsidR="003F6EFC" w:rsidRDefault="003F6EFC">
      <w:pPr>
        <w:pStyle w:val="TOC5"/>
        <w:rPr>
          <w:rFonts w:asciiTheme="minorHAnsi" w:eastAsiaTheme="minorEastAsia" w:hAnsiTheme="minorHAnsi" w:cstheme="minorBidi"/>
          <w:noProof/>
          <w:kern w:val="2"/>
          <w:sz w:val="21"/>
          <w:szCs w:val="22"/>
          <w:lang w:val="en-US" w:eastAsia="zh-CN"/>
        </w:rPr>
      </w:pPr>
      <w:r>
        <w:rPr>
          <w:noProof/>
        </w:rPr>
        <w:t>4.4.2.2.1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_Toc199452717 \h </w:instrText>
      </w:r>
      <w:r>
        <w:rPr>
          <w:noProof/>
        </w:rPr>
      </w:r>
      <w:r>
        <w:rPr>
          <w:noProof/>
        </w:rPr>
        <w:fldChar w:fldCharType="separate"/>
      </w:r>
      <w:r>
        <w:rPr>
          <w:noProof/>
        </w:rPr>
        <w:t>64</w:t>
      </w:r>
      <w:r>
        <w:rPr>
          <w:noProof/>
        </w:rPr>
        <w:fldChar w:fldCharType="end"/>
      </w:r>
    </w:p>
    <w:p w14:paraId="2C5E76B9" w14:textId="171830FF" w:rsidR="003F6EFC" w:rsidRDefault="003F6EFC">
      <w:pPr>
        <w:pStyle w:val="TOC5"/>
        <w:rPr>
          <w:rFonts w:asciiTheme="minorHAnsi" w:eastAsiaTheme="minorEastAsia" w:hAnsiTheme="minorHAnsi" w:cstheme="minorBidi"/>
          <w:noProof/>
          <w:kern w:val="2"/>
          <w:sz w:val="21"/>
          <w:szCs w:val="22"/>
          <w:lang w:val="en-US" w:eastAsia="zh-CN"/>
        </w:rPr>
      </w:pPr>
      <w:r>
        <w:rPr>
          <w:noProof/>
        </w:rPr>
        <w:t>4.4.2.2.2</w:t>
      </w:r>
      <w:r>
        <w:rPr>
          <w:rFonts w:asciiTheme="minorHAnsi" w:eastAsiaTheme="minorEastAsia" w:hAnsiTheme="minorHAnsi" w:cstheme="minorBidi"/>
          <w:noProof/>
          <w:kern w:val="2"/>
          <w:sz w:val="21"/>
          <w:szCs w:val="22"/>
          <w:lang w:val="en-US" w:eastAsia="zh-CN"/>
        </w:rPr>
        <w:tab/>
      </w:r>
      <w:r>
        <w:rPr>
          <w:noProof/>
        </w:rPr>
        <w:t>Subscription for data notifications</w:t>
      </w:r>
      <w:r>
        <w:rPr>
          <w:noProof/>
        </w:rPr>
        <w:tab/>
      </w:r>
      <w:r>
        <w:rPr>
          <w:noProof/>
        </w:rPr>
        <w:fldChar w:fldCharType="begin"/>
      </w:r>
      <w:r>
        <w:rPr>
          <w:noProof/>
        </w:rPr>
        <w:instrText xml:space="preserve"> PAGEREF _Toc199452718 \h </w:instrText>
      </w:r>
      <w:r>
        <w:rPr>
          <w:noProof/>
        </w:rPr>
      </w:r>
      <w:r>
        <w:rPr>
          <w:noProof/>
        </w:rPr>
        <w:fldChar w:fldCharType="separate"/>
      </w:r>
      <w:r>
        <w:rPr>
          <w:noProof/>
        </w:rPr>
        <w:t>65</w:t>
      </w:r>
      <w:r>
        <w:rPr>
          <w:noProof/>
        </w:rPr>
        <w:fldChar w:fldCharType="end"/>
      </w:r>
    </w:p>
    <w:p w14:paraId="3EFD64E8" w14:textId="6D037C6D" w:rsidR="003F6EFC" w:rsidRDefault="003F6EFC">
      <w:pPr>
        <w:pStyle w:val="TOC5"/>
        <w:rPr>
          <w:rFonts w:asciiTheme="minorHAnsi" w:eastAsiaTheme="minorEastAsia" w:hAnsiTheme="minorHAnsi" w:cstheme="minorBidi"/>
          <w:noProof/>
          <w:kern w:val="2"/>
          <w:sz w:val="21"/>
          <w:szCs w:val="22"/>
          <w:lang w:val="en-US" w:eastAsia="zh-CN"/>
        </w:rPr>
      </w:pPr>
      <w:r>
        <w:rPr>
          <w:noProof/>
        </w:rPr>
        <w:t>4.4.2.2.3</w:t>
      </w:r>
      <w:r>
        <w:rPr>
          <w:rFonts w:asciiTheme="minorHAnsi" w:eastAsiaTheme="minorEastAsia" w:hAnsiTheme="minorHAnsi" w:cstheme="minorBidi"/>
          <w:noProof/>
          <w:kern w:val="2"/>
          <w:sz w:val="21"/>
          <w:szCs w:val="22"/>
          <w:lang w:val="en-US" w:eastAsia="zh-CN"/>
        </w:rPr>
        <w:tab/>
      </w:r>
      <w:r>
        <w:rPr>
          <w:noProof/>
        </w:rPr>
        <w:t>Update subscription for data notifications</w:t>
      </w:r>
      <w:r>
        <w:rPr>
          <w:noProof/>
        </w:rPr>
        <w:tab/>
      </w:r>
      <w:r>
        <w:rPr>
          <w:noProof/>
        </w:rPr>
        <w:fldChar w:fldCharType="begin"/>
      </w:r>
      <w:r>
        <w:rPr>
          <w:noProof/>
        </w:rPr>
        <w:instrText xml:space="preserve"> PAGEREF _Toc199452719 \h </w:instrText>
      </w:r>
      <w:r>
        <w:rPr>
          <w:noProof/>
        </w:rPr>
      </w:r>
      <w:r>
        <w:rPr>
          <w:noProof/>
        </w:rPr>
        <w:fldChar w:fldCharType="separate"/>
      </w:r>
      <w:r>
        <w:rPr>
          <w:noProof/>
        </w:rPr>
        <w:t>67</w:t>
      </w:r>
      <w:r>
        <w:rPr>
          <w:noProof/>
        </w:rPr>
        <w:fldChar w:fldCharType="end"/>
      </w:r>
    </w:p>
    <w:p w14:paraId="1A14FFFC" w14:textId="0872676F" w:rsidR="003F6EFC" w:rsidRDefault="003F6EFC">
      <w:pPr>
        <w:pStyle w:val="TOC4"/>
        <w:rPr>
          <w:rFonts w:asciiTheme="minorHAnsi" w:eastAsiaTheme="minorEastAsia" w:hAnsiTheme="minorHAnsi" w:cstheme="minorBidi"/>
          <w:noProof/>
          <w:kern w:val="2"/>
          <w:sz w:val="21"/>
          <w:szCs w:val="22"/>
          <w:lang w:val="en-US" w:eastAsia="zh-CN"/>
        </w:rPr>
      </w:pPr>
      <w:r>
        <w:rPr>
          <w:noProof/>
        </w:rPr>
        <w:t>4.4.2.3</w:t>
      </w:r>
      <w:r>
        <w:rPr>
          <w:rFonts w:asciiTheme="minorHAnsi" w:eastAsiaTheme="minorEastAsia" w:hAnsiTheme="minorHAnsi" w:cstheme="minorBidi"/>
          <w:noProof/>
          <w:kern w:val="2"/>
          <w:sz w:val="21"/>
          <w:szCs w:val="22"/>
          <w:lang w:val="en-US" w:eastAsia="zh-CN"/>
        </w:rPr>
        <w:tab/>
      </w:r>
      <w:r>
        <w:rPr>
          <w:noProof/>
          <w:lang w:eastAsia="ja-JP"/>
        </w:rPr>
        <w:t>Nnwdaf_DataManagement_Unsubscribe</w:t>
      </w:r>
      <w:r>
        <w:rPr>
          <w:noProof/>
        </w:rPr>
        <w:t xml:space="preserve"> service operation</w:t>
      </w:r>
      <w:r>
        <w:rPr>
          <w:noProof/>
        </w:rPr>
        <w:tab/>
      </w:r>
      <w:r>
        <w:rPr>
          <w:noProof/>
        </w:rPr>
        <w:fldChar w:fldCharType="begin"/>
      </w:r>
      <w:r>
        <w:rPr>
          <w:noProof/>
        </w:rPr>
        <w:instrText xml:space="preserve"> PAGEREF _Toc199452720 \h </w:instrText>
      </w:r>
      <w:r>
        <w:rPr>
          <w:noProof/>
        </w:rPr>
      </w:r>
      <w:r>
        <w:rPr>
          <w:noProof/>
        </w:rPr>
        <w:fldChar w:fldCharType="separate"/>
      </w:r>
      <w:r>
        <w:rPr>
          <w:noProof/>
        </w:rPr>
        <w:t>68</w:t>
      </w:r>
      <w:r>
        <w:rPr>
          <w:noProof/>
        </w:rPr>
        <w:fldChar w:fldCharType="end"/>
      </w:r>
    </w:p>
    <w:p w14:paraId="32AD2902" w14:textId="61F81CE6" w:rsidR="003F6EFC" w:rsidRDefault="003F6EFC">
      <w:pPr>
        <w:pStyle w:val="TOC5"/>
        <w:rPr>
          <w:rFonts w:asciiTheme="minorHAnsi" w:eastAsiaTheme="minorEastAsia" w:hAnsiTheme="minorHAnsi" w:cstheme="minorBidi"/>
          <w:noProof/>
          <w:kern w:val="2"/>
          <w:sz w:val="21"/>
          <w:szCs w:val="22"/>
          <w:lang w:val="en-US" w:eastAsia="zh-CN"/>
        </w:rPr>
      </w:pPr>
      <w:r>
        <w:rPr>
          <w:noProof/>
        </w:rPr>
        <w:t>4.4.2.3.1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_Toc199452721 \h </w:instrText>
      </w:r>
      <w:r>
        <w:rPr>
          <w:noProof/>
        </w:rPr>
      </w:r>
      <w:r>
        <w:rPr>
          <w:noProof/>
        </w:rPr>
        <w:fldChar w:fldCharType="separate"/>
      </w:r>
      <w:r>
        <w:rPr>
          <w:noProof/>
        </w:rPr>
        <w:t>68</w:t>
      </w:r>
      <w:r>
        <w:rPr>
          <w:noProof/>
        </w:rPr>
        <w:fldChar w:fldCharType="end"/>
      </w:r>
    </w:p>
    <w:p w14:paraId="380B0FFD" w14:textId="0C3BDB73" w:rsidR="003F6EFC" w:rsidRDefault="003F6EFC">
      <w:pPr>
        <w:pStyle w:val="TOC5"/>
        <w:rPr>
          <w:rFonts w:asciiTheme="minorHAnsi" w:eastAsiaTheme="minorEastAsia" w:hAnsiTheme="minorHAnsi" w:cstheme="minorBidi"/>
          <w:noProof/>
          <w:kern w:val="2"/>
          <w:sz w:val="21"/>
          <w:szCs w:val="22"/>
          <w:lang w:val="en-US" w:eastAsia="zh-CN"/>
        </w:rPr>
      </w:pPr>
      <w:r>
        <w:rPr>
          <w:noProof/>
        </w:rPr>
        <w:t>4.4.2.3.2</w:t>
      </w:r>
      <w:r>
        <w:rPr>
          <w:rFonts w:asciiTheme="minorHAnsi" w:eastAsiaTheme="minorEastAsia" w:hAnsiTheme="minorHAnsi" w:cstheme="minorBidi"/>
          <w:noProof/>
          <w:kern w:val="2"/>
          <w:sz w:val="21"/>
          <w:szCs w:val="22"/>
          <w:lang w:val="en-US" w:eastAsia="zh-CN"/>
        </w:rPr>
        <w:tab/>
      </w:r>
      <w:r>
        <w:rPr>
          <w:noProof/>
        </w:rPr>
        <w:t>Unsubscribe from data notifications</w:t>
      </w:r>
      <w:r>
        <w:rPr>
          <w:noProof/>
        </w:rPr>
        <w:tab/>
      </w:r>
      <w:r>
        <w:rPr>
          <w:noProof/>
        </w:rPr>
        <w:fldChar w:fldCharType="begin"/>
      </w:r>
      <w:r>
        <w:rPr>
          <w:noProof/>
        </w:rPr>
        <w:instrText xml:space="preserve"> PAGEREF _Toc199452722 \h </w:instrText>
      </w:r>
      <w:r>
        <w:rPr>
          <w:noProof/>
        </w:rPr>
      </w:r>
      <w:r>
        <w:rPr>
          <w:noProof/>
        </w:rPr>
        <w:fldChar w:fldCharType="separate"/>
      </w:r>
      <w:r>
        <w:rPr>
          <w:noProof/>
        </w:rPr>
        <w:t>69</w:t>
      </w:r>
      <w:r>
        <w:rPr>
          <w:noProof/>
        </w:rPr>
        <w:fldChar w:fldCharType="end"/>
      </w:r>
    </w:p>
    <w:p w14:paraId="1B7123B8" w14:textId="153C0821" w:rsidR="003F6EFC" w:rsidRDefault="003F6EFC">
      <w:pPr>
        <w:pStyle w:val="TOC4"/>
        <w:rPr>
          <w:rFonts w:asciiTheme="minorHAnsi" w:eastAsiaTheme="minorEastAsia" w:hAnsiTheme="minorHAnsi" w:cstheme="minorBidi"/>
          <w:noProof/>
          <w:kern w:val="2"/>
          <w:sz w:val="21"/>
          <w:szCs w:val="22"/>
          <w:lang w:val="en-US" w:eastAsia="zh-CN"/>
        </w:rPr>
      </w:pPr>
      <w:r>
        <w:rPr>
          <w:noProof/>
        </w:rPr>
        <w:t>4.4.2.4</w:t>
      </w:r>
      <w:r>
        <w:rPr>
          <w:rFonts w:asciiTheme="minorHAnsi" w:eastAsiaTheme="minorEastAsia" w:hAnsiTheme="minorHAnsi" w:cstheme="minorBidi"/>
          <w:noProof/>
          <w:kern w:val="2"/>
          <w:sz w:val="21"/>
          <w:szCs w:val="22"/>
          <w:lang w:val="en-US" w:eastAsia="zh-CN"/>
        </w:rPr>
        <w:tab/>
      </w:r>
      <w:r>
        <w:rPr>
          <w:noProof/>
          <w:lang w:eastAsia="ja-JP"/>
        </w:rPr>
        <w:t>Nnwdaf_DataManagement_Notify</w:t>
      </w:r>
      <w:r>
        <w:rPr>
          <w:noProof/>
        </w:rPr>
        <w:t xml:space="preserve"> service operation</w:t>
      </w:r>
      <w:r>
        <w:rPr>
          <w:noProof/>
        </w:rPr>
        <w:tab/>
      </w:r>
      <w:r>
        <w:rPr>
          <w:noProof/>
        </w:rPr>
        <w:fldChar w:fldCharType="begin"/>
      </w:r>
      <w:r>
        <w:rPr>
          <w:noProof/>
        </w:rPr>
        <w:instrText xml:space="preserve"> PAGEREF _Toc199452723 \h </w:instrText>
      </w:r>
      <w:r>
        <w:rPr>
          <w:noProof/>
        </w:rPr>
      </w:r>
      <w:r>
        <w:rPr>
          <w:noProof/>
        </w:rPr>
        <w:fldChar w:fldCharType="separate"/>
      </w:r>
      <w:r>
        <w:rPr>
          <w:noProof/>
        </w:rPr>
        <w:t>69</w:t>
      </w:r>
      <w:r>
        <w:rPr>
          <w:noProof/>
        </w:rPr>
        <w:fldChar w:fldCharType="end"/>
      </w:r>
    </w:p>
    <w:p w14:paraId="5E741645" w14:textId="7C47563A" w:rsidR="003F6EFC" w:rsidRDefault="003F6EFC">
      <w:pPr>
        <w:pStyle w:val="TOC5"/>
        <w:rPr>
          <w:rFonts w:asciiTheme="minorHAnsi" w:eastAsiaTheme="minorEastAsia" w:hAnsiTheme="minorHAnsi" w:cstheme="minorBidi"/>
          <w:noProof/>
          <w:kern w:val="2"/>
          <w:sz w:val="21"/>
          <w:szCs w:val="22"/>
          <w:lang w:val="en-US" w:eastAsia="zh-CN"/>
        </w:rPr>
      </w:pPr>
      <w:r>
        <w:rPr>
          <w:noProof/>
        </w:rPr>
        <w:t>4.4.2.4.1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_Toc199452724 \h </w:instrText>
      </w:r>
      <w:r>
        <w:rPr>
          <w:noProof/>
        </w:rPr>
      </w:r>
      <w:r>
        <w:rPr>
          <w:noProof/>
        </w:rPr>
        <w:fldChar w:fldCharType="separate"/>
      </w:r>
      <w:r>
        <w:rPr>
          <w:noProof/>
        </w:rPr>
        <w:t>69</w:t>
      </w:r>
      <w:r>
        <w:rPr>
          <w:noProof/>
        </w:rPr>
        <w:fldChar w:fldCharType="end"/>
      </w:r>
    </w:p>
    <w:p w14:paraId="26873966" w14:textId="710E2743" w:rsidR="003F6EFC" w:rsidRDefault="003F6EFC">
      <w:pPr>
        <w:pStyle w:val="TOC5"/>
        <w:rPr>
          <w:rFonts w:asciiTheme="minorHAnsi" w:eastAsiaTheme="minorEastAsia" w:hAnsiTheme="minorHAnsi" w:cstheme="minorBidi"/>
          <w:noProof/>
          <w:kern w:val="2"/>
          <w:sz w:val="21"/>
          <w:szCs w:val="22"/>
          <w:lang w:val="en-US" w:eastAsia="zh-CN"/>
        </w:rPr>
      </w:pPr>
      <w:r>
        <w:rPr>
          <w:noProof/>
        </w:rPr>
        <w:t>4.4.2.4.2</w:t>
      </w:r>
      <w:r>
        <w:rPr>
          <w:rFonts w:asciiTheme="minorHAnsi" w:eastAsiaTheme="minorEastAsia" w:hAnsiTheme="minorHAnsi" w:cstheme="minorBidi"/>
          <w:noProof/>
          <w:kern w:val="2"/>
          <w:sz w:val="21"/>
          <w:szCs w:val="22"/>
          <w:lang w:val="en-US" w:eastAsia="zh-CN"/>
        </w:rPr>
        <w:tab/>
      </w:r>
      <w:r>
        <w:rPr>
          <w:noProof/>
        </w:rPr>
        <w:t>Notification about subscribed data</w:t>
      </w:r>
      <w:r>
        <w:rPr>
          <w:noProof/>
        </w:rPr>
        <w:tab/>
      </w:r>
      <w:r>
        <w:rPr>
          <w:noProof/>
        </w:rPr>
        <w:fldChar w:fldCharType="begin"/>
      </w:r>
      <w:r>
        <w:rPr>
          <w:noProof/>
        </w:rPr>
        <w:instrText xml:space="preserve"> PAGEREF _Toc199452725 \h </w:instrText>
      </w:r>
      <w:r>
        <w:rPr>
          <w:noProof/>
        </w:rPr>
      </w:r>
      <w:r>
        <w:rPr>
          <w:noProof/>
        </w:rPr>
        <w:fldChar w:fldCharType="separate"/>
      </w:r>
      <w:r>
        <w:rPr>
          <w:noProof/>
        </w:rPr>
        <w:t>69</w:t>
      </w:r>
      <w:r>
        <w:rPr>
          <w:noProof/>
        </w:rPr>
        <w:fldChar w:fldCharType="end"/>
      </w:r>
    </w:p>
    <w:p w14:paraId="2CB1B9D9" w14:textId="77B7E9A9" w:rsidR="003F6EFC" w:rsidRDefault="003F6EFC">
      <w:pPr>
        <w:pStyle w:val="TOC4"/>
        <w:rPr>
          <w:rFonts w:asciiTheme="minorHAnsi" w:eastAsiaTheme="minorEastAsia" w:hAnsiTheme="minorHAnsi" w:cstheme="minorBidi"/>
          <w:noProof/>
          <w:kern w:val="2"/>
          <w:sz w:val="21"/>
          <w:szCs w:val="22"/>
          <w:lang w:val="en-US" w:eastAsia="zh-CN"/>
        </w:rPr>
      </w:pPr>
      <w:r>
        <w:rPr>
          <w:noProof/>
        </w:rPr>
        <w:t>4.4.2.5</w:t>
      </w:r>
      <w:r>
        <w:rPr>
          <w:rFonts w:asciiTheme="minorHAnsi" w:eastAsiaTheme="minorEastAsia" w:hAnsiTheme="minorHAnsi" w:cstheme="minorBidi"/>
          <w:noProof/>
          <w:kern w:val="2"/>
          <w:sz w:val="21"/>
          <w:szCs w:val="22"/>
          <w:lang w:val="en-US" w:eastAsia="zh-CN"/>
        </w:rPr>
        <w:tab/>
      </w:r>
      <w:r>
        <w:rPr>
          <w:noProof/>
          <w:lang w:eastAsia="ja-JP"/>
        </w:rPr>
        <w:t>Nnwdaf_DataManagement_Fetch</w:t>
      </w:r>
      <w:r>
        <w:rPr>
          <w:noProof/>
        </w:rPr>
        <w:t xml:space="preserve"> service operation</w:t>
      </w:r>
      <w:r>
        <w:rPr>
          <w:noProof/>
        </w:rPr>
        <w:tab/>
      </w:r>
      <w:r>
        <w:rPr>
          <w:noProof/>
        </w:rPr>
        <w:fldChar w:fldCharType="begin"/>
      </w:r>
      <w:r>
        <w:rPr>
          <w:noProof/>
        </w:rPr>
        <w:instrText xml:space="preserve"> PAGEREF _Toc199452726 \h </w:instrText>
      </w:r>
      <w:r>
        <w:rPr>
          <w:noProof/>
        </w:rPr>
      </w:r>
      <w:r>
        <w:rPr>
          <w:noProof/>
        </w:rPr>
        <w:fldChar w:fldCharType="separate"/>
      </w:r>
      <w:r>
        <w:rPr>
          <w:noProof/>
        </w:rPr>
        <w:t>71</w:t>
      </w:r>
      <w:r>
        <w:rPr>
          <w:noProof/>
        </w:rPr>
        <w:fldChar w:fldCharType="end"/>
      </w:r>
    </w:p>
    <w:p w14:paraId="393391B9" w14:textId="376AD7BE" w:rsidR="003F6EFC" w:rsidRDefault="003F6EFC">
      <w:pPr>
        <w:pStyle w:val="TOC5"/>
        <w:rPr>
          <w:rFonts w:asciiTheme="minorHAnsi" w:eastAsiaTheme="minorEastAsia" w:hAnsiTheme="minorHAnsi" w:cstheme="minorBidi"/>
          <w:noProof/>
          <w:kern w:val="2"/>
          <w:sz w:val="21"/>
          <w:szCs w:val="22"/>
          <w:lang w:val="en-US" w:eastAsia="zh-CN"/>
        </w:rPr>
      </w:pPr>
      <w:r>
        <w:rPr>
          <w:noProof/>
        </w:rPr>
        <w:t>4.4.2.5.1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_Toc199452727 \h </w:instrText>
      </w:r>
      <w:r>
        <w:rPr>
          <w:noProof/>
        </w:rPr>
      </w:r>
      <w:r>
        <w:rPr>
          <w:noProof/>
        </w:rPr>
        <w:fldChar w:fldCharType="separate"/>
      </w:r>
      <w:r>
        <w:rPr>
          <w:noProof/>
        </w:rPr>
        <w:t>71</w:t>
      </w:r>
      <w:r>
        <w:rPr>
          <w:noProof/>
        </w:rPr>
        <w:fldChar w:fldCharType="end"/>
      </w:r>
    </w:p>
    <w:p w14:paraId="0A6A4286" w14:textId="723C08BA" w:rsidR="003F6EFC" w:rsidRDefault="003F6EFC">
      <w:pPr>
        <w:pStyle w:val="TOC5"/>
        <w:rPr>
          <w:rFonts w:asciiTheme="minorHAnsi" w:eastAsiaTheme="minorEastAsia" w:hAnsiTheme="minorHAnsi" w:cstheme="minorBidi"/>
          <w:noProof/>
          <w:kern w:val="2"/>
          <w:sz w:val="21"/>
          <w:szCs w:val="22"/>
          <w:lang w:val="en-US" w:eastAsia="zh-CN"/>
        </w:rPr>
      </w:pPr>
      <w:r>
        <w:rPr>
          <w:noProof/>
        </w:rPr>
        <w:t>4.4.2.5.2</w:t>
      </w:r>
      <w:r>
        <w:rPr>
          <w:rFonts w:asciiTheme="minorHAnsi" w:eastAsiaTheme="minorEastAsia" w:hAnsiTheme="minorHAnsi" w:cstheme="minorBidi"/>
          <w:noProof/>
          <w:kern w:val="2"/>
          <w:sz w:val="21"/>
          <w:szCs w:val="22"/>
          <w:lang w:val="en-US" w:eastAsia="zh-CN"/>
        </w:rPr>
        <w:tab/>
      </w:r>
      <w:r>
        <w:rPr>
          <w:noProof/>
        </w:rPr>
        <w:t>Retrieve data from the NWDAF</w:t>
      </w:r>
      <w:r>
        <w:rPr>
          <w:noProof/>
        </w:rPr>
        <w:tab/>
      </w:r>
      <w:r>
        <w:rPr>
          <w:noProof/>
        </w:rPr>
        <w:fldChar w:fldCharType="begin"/>
      </w:r>
      <w:r>
        <w:rPr>
          <w:noProof/>
        </w:rPr>
        <w:instrText xml:space="preserve"> PAGEREF _Toc199452728 \h </w:instrText>
      </w:r>
      <w:r>
        <w:rPr>
          <w:noProof/>
        </w:rPr>
      </w:r>
      <w:r>
        <w:rPr>
          <w:noProof/>
        </w:rPr>
        <w:fldChar w:fldCharType="separate"/>
      </w:r>
      <w:r>
        <w:rPr>
          <w:noProof/>
        </w:rPr>
        <w:t>71</w:t>
      </w:r>
      <w:r>
        <w:rPr>
          <w:noProof/>
        </w:rPr>
        <w:fldChar w:fldCharType="end"/>
      </w:r>
    </w:p>
    <w:p w14:paraId="2986B9C4" w14:textId="1B8619C0" w:rsidR="003F6EFC" w:rsidRDefault="003F6EFC">
      <w:pPr>
        <w:pStyle w:val="TOC2"/>
        <w:rPr>
          <w:rFonts w:asciiTheme="minorHAnsi" w:eastAsiaTheme="minorEastAsia" w:hAnsiTheme="minorHAnsi" w:cstheme="minorBidi"/>
          <w:noProof/>
          <w:kern w:val="2"/>
          <w:sz w:val="21"/>
          <w:szCs w:val="22"/>
          <w:lang w:val="en-US" w:eastAsia="zh-CN"/>
        </w:rPr>
      </w:pPr>
      <w:r>
        <w:rPr>
          <w:noProof/>
        </w:rPr>
        <w:t>4.5</w:t>
      </w:r>
      <w:r>
        <w:rPr>
          <w:rFonts w:asciiTheme="minorHAnsi" w:eastAsiaTheme="minorEastAsia" w:hAnsiTheme="minorHAnsi" w:cstheme="minorBidi"/>
          <w:noProof/>
          <w:kern w:val="2"/>
          <w:sz w:val="21"/>
          <w:szCs w:val="22"/>
          <w:lang w:val="en-US" w:eastAsia="zh-CN"/>
        </w:rPr>
        <w:tab/>
      </w:r>
      <w:r>
        <w:rPr>
          <w:noProof/>
          <w:lang w:eastAsia="zh-CN"/>
        </w:rPr>
        <w:t>Nnwdaf_MLModelProvision</w:t>
      </w:r>
      <w:r>
        <w:rPr>
          <w:noProof/>
        </w:rPr>
        <w:t xml:space="preserve"> Service</w:t>
      </w:r>
      <w:r>
        <w:rPr>
          <w:noProof/>
        </w:rPr>
        <w:tab/>
      </w:r>
      <w:r>
        <w:rPr>
          <w:noProof/>
        </w:rPr>
        <w:fldChar w:fldCharType="begin"/>
      </w:r>
      <w:r>
        <w:rPr>
          <w:noProof/>
        </w:rPr>
        <w:instrText xml:space="preserve"> PAGEREF _Toc199452729 \h </w:instrText>
      </w:r>
      <w:r>
        <w:rPr>
          <w:noProof/>
        </w:rPr>
      </w:r>
      <w:r>
        <w:rPr>
          <w:noProof/>
        </w:rPr>
        <w:fldChar w:fldCharType="separate"/>
      </w:r>
      <w:r>
        <w:rPr>
          <w:noProof/>
        </w:rPr>
        <w:t>72</w:t>
      </w:r>
      <w:r>
        <w:rPr>
          <w:noProof/>
        </w:rPr>
        <w:fldChar w:fldCharType="end"/>
      </w:r>
    </w:p>
    <w:p w14:paraId="309158B0" w14:textId="485D0CC2" w:rsidR="003F6EFC" w:rsidRDefault="003F6EFC">
      <w:pPr>
        <w:pStyle w:val="TOC3"/>
        <w:rPr>
          <w:rFonts w:asciiTheme="minorHAnsi" w:eastAsiaTheme="minorEastAsia" w:hAnsiTheme="minorHAnsi" w:cstheme="minorBidi"/>
          <w:noProof/>
          <w:kern w:val="2"/>
          <w:sz w:val="21"/>
          <w:szCs w:val="22"/>
          <w:lang w:val="en-US" w:eastAsia="zh-CN"/>
        </w:rPr>
      </w:pPr>
      <w:r>
        <w:rPr>
          <w:noProof/>
        </w:rPr>
        <w:t>4.5.1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_Toc199452730 \h </w:instrText>
      </w:r>
      <w:r>
        <w:rPr>
          <w:noProof/>
        </w:rPr>
      </w:r>
      <w:r>
        <w:rPr>
          <w:noProof/>
        </w:rPr>
        <w:fldChar w:fldCharType="separate"/>
      </w:r>
      <w:r>
        <w:rPr>
          <w:noProof/>
        </w:rPr>
        <w:t>72</w:t>
      </w:r>
      <w:r>
        <w:rPr>
          <w:noProof/>
        </w:rPr>
        <w:fldChar w:fldCharType="end"/>
      </w:r>
    </w:p>
    <w:p w14:paraId="53043286" w14:textId="0FE20C90" w:rsidR="003F6EFC" w:rsidRDefault="003F6EFC">
      <w:pPr>
        <w:pStyle w:val="TOC4"/>
        <w:rPr>
          <w:rFonts w:asciiTheme="minorHAnsi" w:eastAsiaTheme="minorEastAsia" w:hAnsiTheme="minorHAnsi" w:cstheme="minorBidi"/>
          <w:noProof/>
          <w:kern w:val="2"/>
          <w:sz w:val="21"/>
          <w:szCs w:val="22"/>
          <w:lang w:val="en-US" w:eastAsia="zh-CN"/>
        </w:rPr>
      </w:pPr>
      <w:r>
        <w:rPr>
          <w:noProof/>
        </w:rPr>
        <w:t>4.5.</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_Toc199452731 \h </w:instrText>
      </w:r>
      <w:r>
        <w:rPr>
          <w:noProof/>
        </w:rPr>
      </w:r>
      <w:r>
        <w:rPr>
          <w:noProof/>
        </w:rPr>
        <w:fldChar w:fldCharType="separate"/>
      </w:r>
      <w:r>
        <w:rPr>
          <w:noProof/>
        </w:rPr>
        <w:t>72</w:t>
      </w:r>
      <w:r>
        <w:rPr>
          <w:noProof/>
        </w:rPr>
        <w:fldChar w:fldCharType="end"/>
      </w:r>
    </w:p>
    <w:p w14:paraId="63132FAB" w14:textId="5C7B52FA" w:rsidR="003F6EFC" w:rsidRDefault="003F6EFC">
      <w:pPr>
        <w:pStyle w:val="TOC4"/>
        <w:rPr>
          <w:rFonts w:asciiTheme="minorHAnsi" w:eastAsiaTheme="minorEastAsia" w:hAnsiTheme="minorHAnsi" w:cstheme="minorBidi"/>
          <w:noProof/>
          <w:kern w:val="2"/>
          <w:sz w:val="21"/>
          <w:szCs w:val="22"/>
          <w:lang w:val="en-US" w:eastAsia="zh-CN"/>
        </w:rPr>
      </w:pPr>
      <w:r>
        <w:rPr>
          <w:noProof/>
        </w:rPr>
        <w:t>4.5.1.2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_Toc199452732 \h </w:instrText>
      </w:r>
      <w:r>
        <w:rPr>
          <w:noProof/>
        </w:rPr>
      </w:r>
      <w:r>
        <w:rPr>
          <w:noProof/>
        </w:rPr>
        <w:fldChar w:fldCharType="separate"/>
      </w:r>
      <w:r>
        <w:rPr>
          <w:noProof/>
        </w:rPr>
        <w:t>72</w:t>
      </w:r>
      <w:r>
        <w:rPr>
          <w:noProof/>
        </w:rPr>
        <w:fldChar w:fldCharType="end"/>
      </w:r>
    </w:p>
    <w:p w14:paraId="7218B006" w14:textId="53BD0778"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4.5.</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_Toc199452733 \h </w:instrText>
      </w:r>
      <w:r>
        <w:rPr>
          <w:noProof/>
        </w:rPr>
      </w:r>
      <w:r>
        <w:rPr>
          <w:noProof/>
        </w:rPr>
        <w:fldChar w:fldCharType="separate"/>
      </w:r>
      <w:r>
        <w:rPr>
          <w:noProof/>
        </w:rPr>
        <w:t>73</w:t>
      </w:r>
      <w:r>
        <w:rPr>
          <w:noProof/>
        </w:rPr>
        <w:fldChar w:fldCharType="end"/>
      </w:r>
    </w:p>
    <w:p w14:paraId="3825CE84" w14:textId="1560A0DE" w:rsidR="003F6EFC" w:rsidRDefault="003F6EFC">
      <w:pPr>
        <w:pStyle w:val="TOC5"/>
        <w:rPr>
          <w:rFonts w:asciiTheme="minorHAnsi" w:eastAsiaTheme="minorEastAsia" w:hAnsiTheme="minorHAnsi" w:cstheme="minorBidi"/>
          <w:noProof/>
          <w:kern w:val="2"/>
          <w:sz w:val="21"/>
          <w:szCs w:val="22"/>
          <w:lang w:val="en-US" w:eastAsia="zh-CN"/>
        </w:rPr>
      </w:pPr>
      <w:r>
        <w:rPr>
          <w:noProof/>
        </w:rPr>
        <w:t>4.5.</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_Toc199452734 \h </w:instrText>
      </w:r>
      <w:r>
        <w:rPr>
          <w:noProof/>
        </w:rPr>
      </w:r>
      <w:r>
        <w:rPr>
          <w:noProof/>
        </w:rPr>
        <w:fldChar w:fldCharType="separate"/>
      </w:r>
      <w:r>
        <w:rPr>
          <w:noProof/>
        </w:rPr>
        <w:t>73</w:t>
      </w:r>
      <w:r>
        <w:rPr>
          <w:noProof/>
        </w:rPr>
        <w:fldChar w:fldCharType="end"/>
      </w:r>
    </w:p>
    <w:p w14:paraId="1D706D01" w14:textId="44848217" w:rsidR="003F6EFC" w:rsidRDefault="003F6EFC">
      <w:pPr>
        <w:pStyle w:val="TOC5"/>
        <w:rPr>
          <w:rFonts w:asciiTheme="minorHAnsi" w:eastAsiaTheme="minorEastAsia" w:hAnsiTheme="minorHAnsi" w:cstheme="minorBidi"/>
          <w:noProof/>
          <w:kern w:val="2"/>
          <w:sz w:val="21"/>
          <w:szCs w:val="22"/>
          <w:lang w:val="en-US" w:eastAsia="zh-CN"/>
        </w:rPr>
      </w:pPr>
      <w:r>
        <w:rPr>
          <w:noProof/>
        </w:rPr>
        <w:t>4.5.</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_Toc199452735 \h </w:instrText>
      </w:r>
      <w:r>
        <w:rPr>
          <w:noProof/>
        </w:rPr>
      </w:r>
      <w:r>
        <w:rPr>
          <w:noProof/>
        </w:rPr>
        <w:fldChar w:fldCharType="separate"/>
      </w:r>
      <w:r>
        <w:rPr>
          <w:noProof/>
        </w:rPr>
        <w:t>73</w:t>
      </w:r>
      <w:r>
        <w:rPr>
          <w:noProof/>
        </w:rPr>
        <w:fldChar w:fldCharType="end"/>
      </w:r>
    </w:p>
    <w:p w14:paraId="7D128B0A" w14:textId="59C2738D" w:rsidR="003F6EFC" w:rsidRDefault="003F6EFC">
      <w:pPr>
        <w:pStyle w:val="TOC3"/>
        <w:rPr>
          <w:rFonts w:asciiTheme="minorHAnsi" w:eastAsiaTheme="minorEastAsia" w:hAnsiTheme="minorHAnsi" w:cstheme="minorBidi"/>
          <w:noProof/>
          <w:kern w:val="2"/>
          <w:sz w:val="21"/>
          <w:szCs w:val="22"/>
          <w:lang w:val="en-US" w:eastAsia="zh-CN"/>
        </w:rPr>
      </w:pPr>
      <w:r>
        <w:rPr>
          <w:noProof/>
        </w:rPr>
        <w:t>4.5.2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_Toc199452736 \h </w:instrText>
      </w:r>
      <w:r>
        <w:rPr>
          <w:noProof/>
        </w:rPr>
      </w:r>
      <w:r>
        <w:rPr>
          <w:noProof/>
        </w:rPr>
        <w:fldChar w:fldCharType="separate"/>
      </w:r>
      <w:r>
        <w:rPr>
          <w:noProof/>
        </w:rPr>
        <w:t>73</w:t>
      </w:r>
      <w:r>
        <w:rPr>
          <w:noProof/>
        </w:rPr>
        <w:fldChar w:fldCharType="end"/>
      </w:r>
    </w:p>
    <w:p w14:paraId="4B6CEA01" w14:textId="16C28383" w:rsidR="003F6EFC" w:rsidRDefault="003F6EFC">
      <w:pPr>
        <w:pStyle w:val="TOC4"/>
        <w:rPr>
          <w:rFonts w:asciiTheme="minorHAnsi" w:eastAsiaTheme="minorEastAsia" w:hAnsiTheme="minorHAnsi" w:cstheme="minorBidi"/>
          <w:noProof/>
          <w:kern w:val="2"/>
          <w:sz w:val="21"/>
          <w:szCs w:val="22"/>
          <w:lang w:val="en-US" w:eastAsia="zh-CN"/>
        </w:rPr>
      </w:pPr>
      <w:r>
        <w:rPr>
          <w:noProof/>
        </w:rPr>
        <w:t>4.5.2.1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_Toc199452737 \h </w:instrText>
      </w:r>
      <w:r>
        <w:rPr>
          <w:noProof/>
        </w:rPr>
      </w:r>
      <w:r>
        <w:rPr>
          <w:noProof/>
        </w:rPr>
        <w:fldChar w:fldCharType="separate"/>
      </w:r>
      <w:r>
        <w:rPr>
          <w:noProof/>
        </w:rPr>
        <w:t>73</w:t>
      </w:r>
      <w:r>
        <w:rPr>
          <w:noProof/>
        </w:rPr>
        <w:fldChar w:fldCharType="end"/>
      </w:r>
    </w:p>
    <w:p w14:paraId="2C5A0D71" w14:textId="3A22AE80" w:rsidR="003F6EFC" w:rsidRDefault="003F6EFC">
      <w:pPr>
        <w:pStyle w:val="TOC4"/>
        <w:rPr>
          <w:rFonts w:asciiTheme="minorHAnsi" w:eastAsiaTheme="minorEastAsia" w:hAnsiTheme="minorHAnsi" w:cstheme="minorBidi"/>
          <w:noProof/>
          <w:kern w:val="2"/>
          <w:sz w:val="21"/>
          <w:szCs w:val="22"/>
          <w:lang w:val="en-US" w:eastAsia="zh-CN"/>
        </w:rPr>
      </w:pPr>
      <w:r>
        <w:rPr>
          <w:noProof/>
        </w:rPr>
        <w:t>4.5.2.2</w:t>
      </w:r>
      <w:r>
        <w:rPr>
          <w:rFonts w:asciiTheme="minorHAnsi" w:eastAsiaTheme="minorEastAsia" w:hAnsiTheme="minorHAnsi" w:cstheme="minorBidi"/>
          <w:noProof/>
          <w:kern w:val="2"/>
          <w:sz w:val="21"/>
          <w:szCs w:val="22"/>
          <w:lang w:val="en-US" w:eastAsia="zh-CN"/>
        </w:rPr>
        <w:tab/>
      </w:r>
      <w:r>
        <w:rPr>
          <w:noProof/>
          <w:lang w:eastAsia="ja-JP"/>
        </w:rPr>
        <w:t>Nnwdaf_MLModelProvision_Subscribe</w:t>
      </w:r>
      <w:r>
        <w:rPr>
          <w:noProof/>
        </w:rPr>
        <w:t xml:space="preserve"> service operation</w:t>
      </w:r>
      <w:r>
        <w:rPr>
          <w:noProof/>
        </w:rPr>
        <w:tab/>
      </w:r>
      <w:r>
        <w:rPr>
          <w:noProof/>
        </w:rPr>
        <w:fldChar w:fldCharType="begin"/>
      </w:r>
      <w:r>
        <w:rPr>
          <w:noProof/>
        </w:rPr>
        <w:instrText xml:space="preserve"> PAGEREF _Toc199452738 \h </w:instrText>
      </w:r>
      <w:r>
        <w:rPr>
          <w:noProof/>
        </w:rPr>
      </w:r>
      <w:r>
        <w:rPr>
          <w:noProof/>
        </w:rPr>
        <w:fldChar w:fldCharType="separate"/>
      </w:r>
      <w:r>
        <w:rPr>
          <w:noProof/>
        </w:rPr>
        <w:t>74</w:t>
      </w:r>
      <w:r>
        <w:rPr>
          <w:noProof/>
        </w:rPr>
        <w:fldChar w:fldCharType="end"/>
      </w:r>
    </w:p>
    <w:p w14:paraId="15C2832B" w14:textId="028C413D" w:rsidR="003F6EFC" w:rsidRDefault="003F6EFC">
      <w:pPr>
        <w:pStyle w:val="TOC5"/>
        <w:rPr>
          <w:rFonts w:asciiTheme="minorHAnsi" w:eastAsiaTheme="minorEastAsia" w:hAnsiTheme="minorHAnsi" w:cstheme="minorBidi"/>
          <w:noProof/>
          <w:kern w:val="2"/>
          <w:sz w:val="21"/>
          <w:szCs w:val="22"/>
          <w:lang w:val="en-US" w:eastAsia="zh-CN"/>
        </w:rPr>
      </w:pPr>
      <w:r>
        <w:rPr>
          <w:noProof/>
        </w:rPr>
        <w:t>4.5.2.2.1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_Toc199452739 \h </w:instrText>
      </w:r>
      <w:r>
        <w:rPr>
          <w:noProof/>
        </w:rPr>
      </w:r>
      <w:r>
        <w:rPr>
          <w:noProof/>
        </w:rPr>
        <w:fldChar w:fldCharType="separate"/>
      </w:r>
      <w:r>
        <w:rPr>
          <w:noProof/>
        </w:rPr>
        <w:t>74</w:t>
      </w:r>
      <w:r>
        <w:rPr>
          <w:noProof/>
        </w:rPr>
        <w:fldChar w:fldCharType="end"/>
      </w:r>
    </w:p>
    <w:p w14:paraId="622EB74D" w14:textId="31966D1F" w:rsidR="003F6EFC" w:rsidRDefault="003F6EFC">
      <w:pPr>
        <w:pStyle w:val="TOC5"/>
        <w:rPr>
          <w:rFonts w:asciiTheme="minorHAnsi" w:eastAsiaTheme="minorEastAsia" w:hAnsiTheme="minorHAnsi" w:cstheme="minorBidi"/>
          <w:noProof/>
          <w:kern w:val="2"/>
          <w:sz w:val="21"/>
          <w:szCs w:val="22"/>
          <w:lang w:val="en-US" w:eastAsia="zh-CN"/>
        </w:rPr>
      </w:pPr>
      <w:r>
        <w:rPr>
          <w:noProof/>
        </w:rPr>
        <w:t>4.5.2.2.2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_Toc199452740 \h </w:instrText>
      </w:r>
      <w:r>
        <w:rPr>
          <w:noProof/>
        </w:rPr>
      </w:r>
      <w:r>
        <w:rPr>
          <w:noProof/>
        </w:rPr>
        <w:fldChar w:fldCharType="separate"/>
      </w:r>
      <w:r>
        <w:rPr>
          <w:noProof/>
        </w:rPr>
        <w:t>74</w:t>
      </w:r>
      <w:r>
        <w:rPr>
          <w:noProof/>
        </w:rPr>
        <w:fldChar w:fldCharType="end"/>
      </w:r>
    </w:p>
    <w:p w14:paraId="353AE508" w14:textId="552CA0E1" w:rsidR="003F6EFC" w:rsidRDefault="003F6EFC">
      <w:pPr>
        <w:pStyle w:val="TOC5"/>
        <w:rPr>
          <w:rFonts w:asciiTheme="minorHAnsi" w:eastAsiaTheme="minorEastAsia" w:hAnsiTheme="minorHAnsi" w:cstheme="minorBidi"/>
          <w:noProof/>
          <w:kern w:val="2"/>
          <w:sz w:val="21"/>
          <w:szCs w:val="22"/>
          <w:lang w:val="en-US" w:eastAsia="zh-CN"/>
        </w:rPr>
      </w:pPr>
      <w:r>
        <w:rPr>
          <w:noProof/>
        </w:rPr>
        <w:t>4.5.2.2.3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_Toc199452741 \h </w:instrText>
      </w:r>
      <w:r>
        <w:rPr>
          <w:noProof/>
        </w:rPr>
      </w:r>
      <w:r>
        <w:rPr>
          <w:noProof/>
        </w:rPr>
        <w:fldChar w:fldCharType="separate"/>
      </w:r>
      <w:r>
        <w:rPr>
          <w:noProof/>
        </w:rPr>
        <w:t>75</w:t>
      </w:r>
      <w:r>
        <w:rPr>
          <w:noProof/>
        </w:rPr>
        <w:fldChar w:fldCharType="end"/>
      </w:r>
    </w:p>
    <w:p w14:paraId="2F713880" w14:textId="107F6472" w:rsidR="003F6EFC" w:rsidRDefault="003F6EFC">
      <w:pPr>
        <w:pStyle w:val="TOC4"/>
        <w:rPr>
          <w:rFonts w:asciiTheme="minorHAnsi" w:eastAsiaTheme="minorEastAsia" w:hAnsiTheme="minorHAnsi" w:cstheme="minorBidi"/>
          <w:noProof/>
          <w:kern w:val="2"/>
          <w:sz w:val="21"/>
          <w:szCs w:val="22"/>
          <w:lang w:val="en-US" w:eastAsia="zh-CN"/>
        </w:rPr>
      </w:pPr>
      <w:r>
        <w:rPr>
          <w:noProof/>
        </w:rPr>
        <w:t>4.5.2.3</w:t>
      </w:r>
      <w:r>
        <w:rPr>
          <w:rFonts w:asciiTheme="minorHAnsi" w:eastAsiaTheme="minorEastAsia" w:hAnsiTheme="minorHAnsi" w:cstheme="minorBidi"/>
          <w:noProof/>
          <w:kern w:val="2"/>
          <w:sz w:val="21"/>
          <w:szCs w:val="22"/>
          <w:lang w:val="en-US" w:eastAsia="zh-CN"/>
        </w:rPr>
        <w:tab/>
      </w:r>
      <w:r>
        <w:rPr>
          <w:noProof/>
          <w:lang w:eastAsia="ja-JP"/>
        </w:rPr>
        <w:t>Nnwdaf_MLModelProvision_Unsubscribe</w:t>
      </w:r>
      <w:r>
        <w:rPr>
          <w:noProof/>
        </w:rPr>
        <w:t xml:space="preserve"> service operation</w:t>
      </w:r>
      <w:r>
        <w:rPr>
          <w:noProof/>
        </w:rPr>
        <w:tab/>
      </w:r>
      <w:r>
        <w:rPr>
          <w:noProof/>
        </w:rPr>
        <w:fldChar w:fldCharType="begin"/>
      </w:r>
      <w:r>
        <w:rPr>
          <w:noProof/>
        </w:rPr>
        <w:instrText xml:space="preserve"> PAGEREF _Toc199452742 \h </w:instrText>
      </w:r>
      <w:r>
        <w:rPr>
          <w:noProof/>
        </w:rPr>
      </w:r>
      <w:r>
        <w:rPr>
          <w:noProof/>
        </w:rPr>
        <w:fldChar w:fldCharType="separate"/>
      </w:r>
      <w:r>
        <w:rPr>
          <w:noProof/>
        </w:rPr>
        <w:t>76</w:t>
      </w:r>
      <w:r>
        <w:rPr>
          <w:noProof/>
        </w:rPr>
        <w:fldChar w:fldCharType="end"/>
      </w:r>
    </w:p>
    <w:p w14:paraId="2591631D" w14:textId="65746AA4" w:rsidR="003F6EFC" w:rsidRDefault="003F6EFC">
      <w:pPr>
        <w:pStyle w:val="TOC5"/>
        <w:rPr>
          <w:rFonts w:asciiTheme="minorHAnsi" w:eastAsiaTheme="minorEastAsia" w:hAnsiTheme="minorHAnsi" w:cstheme="minorBidi"/>
          <w:noProof/>
          <w:kern w:val="2"/>
          <w:sz w:val="21"/>
          <w:szCs w:val="22"/>
          <w:lang w:val="en-US" w:eastAsia="zh-CN"/>
        </w:rPr>
      </w:pPr>
      <w:r>
        <w:rPr>
          <w:noProof/>
        </w:rPr>
        <w:t>4.5.2.3.1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_Toc199452743 \h </w:instrText>
      </w:r>
      <w:r>
        <w:rPr>
          <w:noProof/>
        </w:rPr>
      </w:r>
      <w:r>
        <w:rPr>
          <w:noProof/>
        </w:rPr>
        <w:fldChar w:fldCharType="separate"/>
      </w:r>
      <w:r>
        <w:rPr>
          <w:noProof/>
        </w:rPr>
        <w:t>76</w:t>
      </w:r>
      <w:r>
        <w:rPr>
          <w:noProof/>
        </w:rPr>
        <w:fldChar w:fldCharType="end"/>
      </w:r>
    </w:p>
    <w:p w14:paraId="5594167E" w14:textId="29BCAC07" w:rsidR="003F6EFC" w:rsidRDefault="003F6EFC">
      <w:pPr>
        <w:pStyle w:val="TOC5"/>
        <w:rPr>
          <w:rFonts w:asciiTheme="minorHAnsi" w:eastAsiaTheme="minorEastAsia" w:hAnsiTheme="minorHAnsi" w:cstheme="minorBidi"/>
          <w:noProof/>
          <w:kern w:val="2"/>
          <w:sz w:val="21"/>
          <w:szCs w:val="22"/>
          <w:lang w:val="en-US" w:eastAsia="zh-CN"/>
        </w:rPr>
      </w:pPr>
      <w:r>
        <w:rPr>
          <w:noProof/>
        </w:rPr>
        <w:t>4.5.2.3.2</w:t>
      </w:r>
      <w:r>
        <w:rPr>
          <w:rFonts w:asciiTheme="minorHAnsi" w:eastAsiaTheme="minorEastAsia" w:hAnsiTheme="minorHAnsi" w:cstheme="minorBidi"/>
          <w:noProof/>
          <w:kern w:val="2"/>
          <w:sz w:val="21"/>
          <w:szCs w:val="22"/>
          <w:lang w:val="en-US" w:eastAsia="zh-CN"/>
        </w:rPr>
        <w:tab/>
      </w:r>
      <w:r>
        <w:rPr>
          <w:noProof/>
        </w:rPr>
        <w:t>Unsubscribe from event notifications</w:t>
      </w:r>
      <w:r>
        <w:rPr>
          <w:noProof/>
        </w:rPr>
        <w:tab/>
      </w:r>
      <w:r>
        <w:rPr>
          <w:noProof/>
        </w:rPr>
        <w:fldChar w:fldCharType="begin"/>
      </w:r>
      <w:r>
        <w:rPr>
          <w:noProof/>
        </w:rPr>
        <w:instrText xml:space="preserve"> PAGEREF _Toc199452744 \h </w:instrText>
      </w:r>
      <w:r>
        <w:rPr>
          <w:noProof/>
        </w:rPr>
      </w:r>
      <w:r>
        <w:rPr>
          <w:noProof/>
        </w:rPr>
        <w:fldChar w:fldCharType="separate"/>
      </w:r>
      <w:r>
        <w:rPr>
          <w:noProof/>
        </w:rPr>
        <w:t>76</w:t>
      </w:r>
      <w:r>
        <w:rPr>
          <w:noProof/>
        </w:rPr>
        <w:fldChar w:fldCharType="end"/>
      </w:r>
    </w:p>
    <w:p w14:paraId="2D2FBA23" w14:textId="722BA263" w:rsidR="003F6EFC" w:rsidRDefault="003F6EFC">
      <w:pPr>
        <w:pStyle w:val="TOC4"/>
        <w:rPr>
          <w:rFonts w:asciiTheme="minorHAnsi" w:eastAsiaTheme="minorEastAsia" w:hAnsiTheme="minorHAnsi" w:cstheme="minorBidi"/>
          <w:noProof/>
          <w:kern w:val="2"/>
          <w:sz w:val="21"/>
          <w:szCs w:val="22"/>
          <w:lang w:val="en-US" w:eastAsia="zh-CN"/>
        </w:rPr>
      </w:pPr>
      <w:r>
        <w:rPr>
          <w:noProof/>
        </w:rPr>
        <w:t>4.5.2.4</w:t>
      </w:r>
      <w:r>
        <w:rPr>
          <w:rFonts w:asciiTheme="minorHAnsi" w:eastAsiaTheme="minorEastAsia" w:hAnsiTheme="minorHAnsi" w:cstheme="minorBidi"/>
          <w:noProof/>
          <w:kern w:val="2"/>
          <w:sz w:val="21"/>
          <w:szCs w:val="22"/>
          <w:lang w:val="en-US" w:eastAsia="zh-CN"/>
        </w:rPr>
        <w:tab/>
      </w:r>
      <w:r>
        <w:rPr>
          <w:noProof/>
          <w:lang w:eastAsia="ja-JP"/>
        </w:rPr>
        <w:t>Nnwdaf_MLModelProvision_Notify</w:t>
      </w:r>
      <w:r>
        <w:rPr>
          <w:noProof/>
        </w:rPr>
        <w:t xml:space="preserve"> service operation</w:t>
      </w:r>
      <w:r>
        <w:rPr>
          <w:noProof/>
        </w:rPr>
        <w:tab/>
      </w:r>
      <w:r>
        <w:rPr>
          <w:noProof/>
        </w:rPr>
        <w:fldChar w:fldCharType="begin"/>
      </w:r>
      <w:r>
        <w:rPr>
          <w:noProof/>
        </w:rPr>
        <w:instrText xml:space="preserve"> PAGEREF _Toc199452745 \h </w:instrText>
      </w:r>
      <w:r>
        <w:rPr>
          <w:noProof/>
        </w:rPr>
      </w:r>
      <w:r>
        <w:rPr>
          <w:noProof/>
        </w:rPr>
        <w:fldChar w:fldCharType="separate"/>
      </w:r>
      <w:r>
        <w:rPr>
          <w:noProof/>
        </w:rPr>
        <w:t>77</w:t>
      </w:r>
      <w:r>
        <w:rPr>
          <w:noProof/>
        </w:rPr>
        <w:fldChar w:fldCharType="end"/>
      </w:r>
    </w:p>
    <w:p w14:paraId="1B04ACCE" w14:textId="19245F57" w:rsidR="003F6EFC" w:rsidRDefault="003F6EFC">
      <w:pPr>
        <w:pStyle w:val="TOC5"/>
        <w:rPr>
          <w:rFonts w:asciiTheme="minorHAnsi" w:eastAsiaTheme="minorEastAsia" w:hAnsiTheme="minorHAnsi" w:cstheme="minorBidi"/>
          <w:noProof/>
          <w:kern w:val="2"/>
          <w:sz w:val="21"/>
          <w:szCs w:val="22"/>
          <w:lang w:val="en-US" w:eastAsia="zh-CN"/>
        </w:rPr>
      </w:pPr>
      <w:r>
        <w:rPr>
          <w:noProof/>
        </w:rPr>
        <w:t>4.5.2.4.1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_Toc199452746 \h </w:instrText>
      </w:r>
      <w:r>
        <w:rPr>
          <w:noProof/>
        </w:rPr>
      </w:r>
      <w:r>
        <w:rPr>
          <w:noProof/>
        </w:rPr>
        <w:fldChar w:fldCharType="separate"/>
      </w:r>
      <w:r>
        <w:rPr>
          <w:noProof/>
        </w:rPr>
        <w:t>77</w:t>
      </w:r>
      <w:r>
        <w:rPr>
          <w:noProof/>
        </w:rPr>
        <w:fldChar w:fldCharType="end"/>
      </w:r>
    </w:p>
    <w:p w14:paraId="1D661761" w14:textId="53F00A8E" w:rsidR="003F6EFC" w:rsidRDefault="003F6EFC">
      <w:pPr>
        <w:pStyle w:val="TOC5"/>
        <w:rPr>
          <w:rFonts w:asciiTheme="minorHAnsi" w:eastAsiaTheme="minorEastAsia" w:hAnsiTheme="minorHAnsi" w:cstheme="minorBidi"/>
          <w:noProof/>
          <w:kern w:val="2"/>
          <w:sz w:val="21"/>
          <w:szCs w:val="22"/>
          <w:lang w:val="en-US" w:eastAsia="zh-CN"/>
        </w:rPr>
      </w:pPr>
      <w:r>
        <w:rPr>
          <w:noProof/>
        </w:rPr>
        <w:t>4.5.2.4.2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_Toc199452747 \h </w:instrText>
      </w:r>
      <w:r>
        <w:rPr>
          <w:noProof/>
        </w:rPr>
      </w:r>
      <w:r>
        <w:rPr>
          <w:noProof/>
        </w:rPr>
        <w:fldChar w:fldCharType="separate"/>
      </w:r>
      <w:r>
        <w:rPr>
          <w:noProof/>
        </w:rPr>
        <w:t>77</w:t>
      </w:r>
      <w:r>
        <w:rPr>
          <w:noProof/>
        </w:rPr>
        <w:fldChar w:fldCharType="end"/>
      </w:r>
    </w:p>
    <w:p w14:paraId="709BB515" w14:textId="1C32EE58" w:rsidR="003F6EFC" w:rsidRDefault="003F6EFC">
      <w:pPr>
        <w:pStyle w:val="TOC2"/>
        <w:rPr>
          <w:rFonts w:asciiTheme="minorHAnsi" w:eastAsiaTheme="minorEastAsia" w:hAnsiTheme="minorHAnsi" w:cstheme="minorBidi"/>
          <w:noProof/>
          <w:kern w:val="2"/>
          <w:sz w:val="21"/>
          <w:szCs w:val="22"/>
          <w:lang w:val="en-US" w:eastAsia="zh-CN"/>
        </w:rPr>
      </w:pPr>
      <w:r>
        <w:rPr>
          <w:noProof/>
        </w:rPr>
        <w:t>4.6</w:t>
      </w:r>
      <w:r>
        <w:rPr>
          <w:rFonts w:asciiTheme="minorHAnsi" w:eastAsiaTheme="minorEastAsia" w:hAnsiTheme="minorHAnsi" w:cstheme="minorBidi"/>
          <w:noProof/>
          <w:kern w:val="2"/>
          <w:sz w:val="21"/>
          <w:szCs w:val="22"/>
          <w:lang w:val="en-US" w:eastAsia="zh-CN"/>
        </w:rPr>
        <w:tab/>
      </w:r>
      <w:r>
        <w:rPr>
          <w:noProof/>
          <w:lang w:eastAsia="zh-CN"/>
        </w:rPr>
        <w:t>Nnwdaf_MLModelTraining</w:t>
      </w:r>
      <w:r>
        <w:rPr>
          <w:noProof/>
        </w:rPr>
        <w:t xml:space="preserve"> Service</w:t>
      </w:r>
      <w:r>
        <w:rPr>
          <w:noProof/>
        </w:rPr>
        <w:tab/>
      </w:r>
      <w:r>
        <w:rPr>
          <w:noProof/>
        </w:rPr>
        <w:fldChar w:fldCharType="begin"/>
      </w:r>
      <w:r>
        <w:rPr>
          <w:noProof/>
        </w:rPr>
        <w:instrText xml:space="preserve"> PAGEREF _Toc199452748 \h </w:instrText>
      </w:r>
      <w:r>
        <w:rPr>
          <w:noProof/>
        </w:rPr>
      </w:r>
      <w:r>
        <w:rPr>
          <w:noProof/>
        </w:rPr>
        <w:fldChar w:fldCharType="separate"/>
      </w:r>
      <w:r>
        <w:rPr>
          <w:noProof/>
        </w:rPr>
        <w:t>78</w:t>
      </w:r>
      <w:r>
        <w:rPr>
          <w:noProof/>
        </w:rPr>
        <w:fldChar w:fldCharType="end"/>
      </w:r>
    </w:p>
    <w:p w14:paraId="207EE675" w14:textId="736CBBCB" w:rsidR="003F6EFC" w:rsidRDefault="003F6EFC">
      <w:pPr>
        <w:pStyle w:val="TOC3"/>
        <w:rPr>
          <w:rFonts w:asciiTheme="minorHAnsi" w:eastAsiaTheme="minorEastAsia" w:hAnsiTheme="minorHAnsi" w:cstheme="minorBidi"/>
          <w:noProof/>
          <w:kern w:val="2"/>
          <w:sz w:val="21"/>
          <w:szCs w:val="22"/>
          <w:lang w:val="en-US" w:eastAsia="zh-CN"/>
        </w:rPr>
      </w:pPr>
      <w:r>
        <w:rPr>
          <w:noProof/>
        </w:rPr>
        <w:t>4.6.1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_Toc199452749 \h </w:instrText>
      </w:r>
      <w:r>
        <w:rPr>
          <w:noProof/>
        </w:rPr>
      </w:r>
      <w:r>
        <w:rPr>
          <w:noProof/>
        </w:rPr>
        <w:fldChar w:fldCharType="separate"/>
      </w:r>
      <w:r>
        <w:rPr>
          <w:noProof/>
        </w:rPr>
        <w:t>78</w:t>
      </w:r>
      <w:r>
        <w:rPr>
          <w:noProof/>
        </w:rPr>
        <w:fldChar w:fldCharType="end"/>
      </w:r>
    </w:p>
    <w:p w14:paraId="3F5BEBD9" w14:textId="76AF6364" w:rsidR="003F6EFC" w:rsidRDefault="003F6EFC">
      <w:pPr>
        <w:pStyle w:val="TOC4"/>
        <w:rPr>
          <w:rFonts w:asciiTheme="minorHAnsi" w:eastAsiaTheme="minorEastAsia" w:hAnsiTheme="minorHAnsi" w:cstheme="minorBidi"/>
          <w:noProof/>
          <w:kern w:val="2"/>
          <w:sz w:val="21"/>
          <w:szCs w:val="22"/>
          <w:lang w:val="en-US" w:eastAsia="zh-CN"/>
        </w:rPr>
      </w:pPr>
      <w:r>
        <w:rPr>
          <w:noProof/>
        </w:rPr>
        <w:t>4.6.</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_Toc199452750 \h </w:instrText>
      </w:r>
      <w:r>
        <w:rPr>
          <w:noProof/>
        </w:rPr>
      </w:r>
      <w:r>
        <w:rPr>
          <w:noProof/>
        </w:rPr>
        <w:fldChar w:fldCharType="separate"/>
      </w:r>
      <w:r>
        <w:rPr>
          <w:noProof/>
        </w:rPr>
        <w:t>78</w:t>
      </w:r>
      <w:r>
        <w:rPr>
          <w:noProof/>
        </w:rPr>
        <w:fldChar w:fldCharType="end"/>
      </w:r>
    </w:p>
    <w:p w14:paraId="4473B966" w14:textId="4039D06C" w:rsidR="003F6EFC" w:rsidRDefault="003F6EFC">
      <w:pPr>
        <w:pStyle w:val="TOC4"/>
        <w:rPr>
          <w:rFonts w:asciiTheme="minorHAnsi" w:eastAsiaTheme="minorEastAsia" w:hAnsiTheme="minorHAnsi" w:cstheme="minorBidi"/>
          <w:noProof/>
          <w:kern w:val="2"/>
          <w:sz w:val="21"/>
          <w:szCs w:val="22"/>
          <w:lang w:val="en-US" w:eastAsia="zh-CN"/>
        </w:rPr>
      </w:pPr>
      <w:r>
        <w:rPr>
          <w:noProof/>
        </w:rPr>
        <w:t>4.6.1.2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_Toc199452751 \h </w:instrText>
      </w:r>
      <w:r>
        <w:rPr>
          <w:noProof/>
        </w:rPr>
      </w:r>
      <w:r>
        <w:rPr>
          <w:noProof/>
        </w:rPr>
        <w:fldChar w:fldCharType="separate"/>
      </w:r>
      <w:r>
        <w:rPr>
          <w:noProof/>
        </w:rPr>
        <w:t>78</w:t>
      </w:r>
      <w:r>
        <w:rPr>
          <w:noProof/>
        </w:rPr>
        <w:fldChar w:fldCharType="end"/>
      </w:r>
    </w:p>
    <w:p w14:paraId="269C6888" w14:textId="11851C49"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4.6.</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_Toc199452752 \h </w:instrText>
      </w:r>
      <w:r>
        <w:rPr>
          <w:noProof/>
        </w:rPr>
      </w:r>
      <w:r>
        <w:rPr>
          <w:noProof/>
        </w:rPr>
        <w:fldChar w:fldCharType="separate"/>
      </w:r>
      <w:r>
        <w:rPr>
          <w:noProof/>
        </w:rPr>
        <w:t>79</w:t>
      </w:r>
      <w:r>
        <w:rPr>
          <w:noProof/>
        </w:rPr>
        <w:fldChar w:fldCharType="end"/>
      </w:r>
    </w:p>
    <w:p w14:paraId="5962E127" w14:textId="3CFC148D" w:rsidR="003F6EFC" w:rsidRDefault="003F6EFC">
      <w:pPr>
        <w:pStyle w:val="TOC5"/>
        <w:rPr>
          <w:rFonts w:asciiTheme="minorHAnsi" w:eastAsiaTheme="minorEastAsia" w:hAnsiTheme="minorHAnsi" w:cstheme="minorBidi"/>
          <w:noProof/>
          <w:kern w:val="2"/>
          <w:sz w:val="21"/>
          <w:szCs w:val="22"/>
          <w:lang w:val="en-US" w:eastAsia="zh-CN"/>
        </w:rPr>
      </w:pPr>
      <w:r>
        <w:rPr>
          <w:noProof/>
        </w:rPr>
        <w:t>4.6.</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_Toc199452753 \h </w:instrText>
      </w:r>
      <w:r>
        <w:rPr>
          <w:noProof/>
        </w:rPr>
      </w:r>
      <w:r>
        <w:rPr>
          <w:noProof/>
        </w:rPr>
        <w:fldChar w:fldCharType="separate"/>
      </w:r>
      <w:r>
        <w:rPr>
          <w:noProof/>
        </w:rPr>
        <w:t>79</w:t>
      </w:r>
      <w:r>
        <w:rPr>
          <w:noProof/>
        </w:rPr>
        <w:fldChar w:fldCharType="end"/>
      </w:r>
    </w:p>
    <w:p w14:paraId="41647467" w14:textId="3E01FEA9" w:rsidR="003F6EFC" w:rsidRDefault="003F6EFC">
      <w:pPr>
        <w:pStyle w:val="TOC5"/>
        <w:rPr>
          <w:rFonts w:asciiTheme="minorHAnsi" w:eastAsiaTheme="minorEastAsia" w:hAnsiTheme="minorHAnsi" w:cstheme="minorBidi"/>
          <w:noProof/>
          <w:kern w:val="2"/>
          <w:sz w:val="21"/>
          <w:szCs w:val="22"/>
          <w:lang w:val="en-US" w:eastAsia="zh-CN"/>
        </w:rPr>
      </w:pPr>
      <w:r>
        <w:rPr>
          <w:noProof/>
        </w:rPr>
        <w:t>4.6.</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_Toc199452754 \h </w:instrText>
      </w:r>
      <w:r>
        <w:rPr>
          <w:noProof/>
        </w:rPr>
      </w:r>
      <w:r>
        <w:rPr>
          <w:noProof/>
        </w:rPr>
        <w:fldChar w:fldCharType="separate"/>
      </w:r>
      <w:r>
        <w:rPr>
          <w:noProof/>
        </w:rPr>
        <w:t>79</w:t>
      </w:r>
      <w:r>
        <w:rPr>
          <w:noProof/>
        </w:rPr>
        <w:fldChar w:fldCharType="end"/>
      </w:r>
    </w:p>
    <w:p w14:paraId="45D26816" w14:textId="5E8A6F11" w:rsidR="003F6EFC" w:rsidRDefault="003F6EFC">
      <w:pPr>
        <w:pStyle w:val="TOC3"/>
        <w:rPr>
          <w:rFonts w:asciiTheme="minorHAnsi" w:eastAsiaTheme="minorEastAsia" w:hAnsiTheme="minorHAnsi" w:cstheme="minorBidi"/>
          <w:noProof/>
          <w:kern w:val="2"/>
          <w:sz w:val="21"/>
          <w:szCs w:val="22"/>
          <w:lang w:val="en-US" w:eastAsia="zh-CN"/>
        </w:rPr>
      </w:pPr>
      <w:r>
        <w:rPr>
          <w:noProof/>
        </w:rPr>
        <w:t>4.6.2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_Toc199452755 \h </w:instrText>
      </w:r>
      <w:r>
        <w:rPr>
          <w:noProof/>
        </w:rPr>
      </w:r>
      <w:r>
        <w:rPr>
          <w:noProof/>
        </w:rPr>
        <w:fldChar w:fldCharType="separate"/>
      </w:r>
      <w:r>
        <w:rPr>
          <w:noProof/>
        </w:rPr>
        <w:t>79</w:t>
      </w:r>
      <w:r>
        <w:rPr>
          <w:noProof/>
        </w:rPr>
        <w:fldChar w:fldCharType="end"/>
      </w:r>
    </w:p>
    <w:p w14:paraId="33EFF793" w14:textId="7E7CEB66" w:rsidR="003F6EFC" w:rsidRDefault="003F6EFC">
      <w:pPr>
        <w:pStyle w:val="TOC4"/>
        <w:rPr>
          <w:rFonts w:asciiTheme="minorHAnsi" w:eastAsiaTheme="minorEastAsia" w:hAnsiTheme="minorHAnsi" w:cstheme="minorBidi"/>
          <w:noProof/>
          <w:kern w:val="2"/>
          <w:sz w:val="21"/>
          <w:szCs w:val="22"/>
          <w:lang w:val="en-US" w:eastAsia="zh-CN"/>
        </w:rPr>
      </w:pPr>
      <w:r>
        <w:rPr>
          <w:noProof/>
        </w:rPr>
        <w:t>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_Toc199452756 \h </w:instrText>
      </w:r>
      <w:r>
        <w:rPr>
          <w:noProof/>
        </w:rPr>
      </w:r>
      <w:r>
        <w:rPr>
          <w:noProof/>
        </w:rPr>
        <w:fldChar w:fldCharType="separate"/>
      </w:r>
      <w:r>
        <w:rPr>
          <w:noProof/>
        </w:rPr>
        <w:t>79</w:t>
      </w:r>
      <w:r>
        <w:rPr>
          <w:noProof/>
        </w:rPr>
        <w:fldChar w:fldCharType="end"/>
      </w:r>
    </w:p>
    <w:p w14:paraId="17F9853E" w14:textId="0F8BA6B7" w:rsidR="003F6EFC" w:rsidRDefault="003F6EFC">
      <w:pPr>
        <w:pStyle w:val="TOC4"/>
        <w:rPr>
          <w:rFonts w:asciiTheme="minorHAnsi" w:eastAsiaTheme="minorEastAsia" w:hAnsiTheme="minorHAnsi" w:cstheme="minorBidi"/>
          <w:noProof/>
          <w:kern w:val="2"/>
          <w:sz w:val="21"/>
          <w:szCs w:val="22"/>
          <w:lang w:val="en-US" w:eastAsia="zh-CN"/>
        </w:rPr>
      </w:pPr>
      <w:r>
        <w:rPr>
          <w:noProof/>
        </w:rPr>
        <w:t>4.6.2.2</w:t>
      </w:r>
      <w:r>
        <w:rPr>
          <w:rFonts w:asciiTheme="minorHAnsi" w:eastAsiaTheme="minorEastAsia" w:hAnsiTheme="minorHAnsi" w:cstheme="minorBidi"/>
          <w:noProof/>
          <w:kern w:val="2"/>
          <w:sz w:val="21"/>
          <w:szCs w:val="22"/>
          <w:lang w:val="en-US" w:eastAsia="zh-CN"/>
        </w:rPr>
        <w:tab/>
      </w:r>
      <w:r>
        <w:rPr>
          <w:noProof/>
          <w:lang w:eastAsia="ja-JP"/>
        </w:rPr>
        <w:t>Nnwdaf_MLModelTraining_Subscribe</w:t>
      </w:r>
      <w:r>
        <w:rPr>
          <w:noProof/>
        </w:rPr>
        <w:t xml:space="preserve"> service operation</w:t>
      </w:r>
      <w:r>
        <w:rPr>
          <w:noProof/>
        </w:rPr>
        <w:tab/>
      </w:r>
      <w:r>
        <w:rPr>
          <w:noProof/>
        </w:rPr>
        <w:fldChar w:fldCharType="begin"/>
      </w:r>
      <w:r>
        <w:rPr>
          <w:noProof/>
        </w:rPr>
        <w:instrText xml:space="preserve"> PAGEREF _Toc199452757 \h </w:instrText>
      </w:r>
      <w:r>
        <w:rPr>
          <w:noProof/>
        </w:rPr>
      </w:r>
      <w:r>
        <w:rPr>
          <w:noProof/>
        </w:rPr>
        <w:fldChar w:fldCharType="separate"/>
      </w:r>
      <w:r>
        <w:rPr>
          <w:noProof/>
        </w:rPr>
        <w:t>79</w:t>
      </w:r>
      <w:r>
        <w:rPr>
          <w:noProof/>
        </w:rPr>
        <w:fldChar w:fldCharType="end"/>
      </w:r>
    </w:p>
    <w:p w14:paraId="5A794FE6" w14:textId="1DF9AB5B" w:rsidR="003F6EFC" w:rsidRDefault="003F6EFC">
      <w:pPr>
        <w:pStyle w:val="TOC5"/>
        <w:rPr>
          <w:rFonts w:asciiTheme="minorHAnsi" w:eastAsiaTheme="minorEastAsia" w:hAnsiTheme="minorHAnsi" w:cstheme="minorBidi"/>
          <w:noProof/>
          <w:kern w:val="2"/>
          <w:sz w:val="21"/>
          <w:szCs w:val="22"/>
          <w:lang w:val="en-US" w:eastAsia="zh-CN"/>
        </w:rPr>
      </w:pPr>
      <w:r>
        <w:rPr>
          <w:noProof/>
        </w:rPr>
        <w:t>4.6.2.2.1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_Toc199452758 \h </w:instrText>
      </w:r>
      <w:r>
        <w:rPr>
          <w:noProof/>
        </w:rPr>
      </w:r>
      <w:r>
        <w:rPr>
          <w:noProof/>
        </w:rPr>
        <w:fldChar w:fldCharType="separate"/>
      </w:r>
      <w:r>
        <w:rPr>
          <w:noProof/>
        </w:rPr>
        <w:t>79</w:t>
      </w:r>
      <w:r>
        <w:rPr>
          <w:noProof/>
        </w:rPr>
        <w:fldChar w:fldCharType="end"/>
      </w:r>
    </w:p>
    <w:p w14:paraId="7AFB031E" w14:textId="5CABA0C7" w:rsidR="003F6EFC" w:rsidRDefault="003F6EFC">
      <w:pPr>
        <w:pStyle w:val="TOC5"/>
        <w:rPr>
          <w:rFonts w:asciiTheme="minorHAnsi" w:eastAsiaTheme="minorEastAsia" w:hAnsiTheme="minorHAnsi" w:cstheme="minorBidi"/>
          <w:noProof/>
          <w:kern w:val="2"/>
          <w:sz w:val="21"/>
          <w:szCs w:val="22"/>
          <w:lang w:val="en-US" w:eastAsia="zh-CN"/>
        </w:rPr>
      </w:pPr>
      <w:r>
        <w:rPr>
          <w:noProof/>
        </w:rPr>
        <w:t>4.6.2.2.2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_Toc199452759 \h </w:instrText>
      </w:r>
      <w:r>
        <w:rPr>
          <w:noProof/>
        </w:rPr>
      </w:r>
      <w:r>
        <w:rPr>
          <w:noProof/>
        </w:rPr>
        <w:fldChar w:fldCharType="separate"/>
      </w:r>
      <w:r>
        <w:rPr>
          <w:noProof/>
        </w:rPr>
        <w:t>79</w:t>
      </w:r>
      <w:r>
        <w:rPr>
          <w:noProof/>
        </w:rPr>
        <w:fldChar w:fldCharType="end"/>
      </w:r>
    </w:p>
    <w:p w14:paraId="0AB38A91" w14:textId="12CA802B" w:rsidR="003F6EFC" w:rsidRDefault="003F6EFC">
      <w:pPr>
        <w:pStyle w:val="TOC5"/>
        <w:rPr>
          <w:rFonts w:asciiTheme="minorHAnsi" w:eastAsiaTheme="minorEastAsia" w:hAnsiTheme="minorHAnsi" w:cstheme="minorBidi"/>
          <w:noProof/>
          <w:kern w:val="2"/>
          <w:sz w:val="21"/>
          <w:szCs w:val="22"/>
          <w:lang w:val="en-US" w:eastAsia="zh-CN"/>
        </w:rPr>
      </w:pPr>
      <w:r>
        <w:rPr>
          <w:noProof/>
        </w:rPr>
        <w:t>4.6.2.2.3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_Toc199452760 \h </w:instrText>
      </w:r>
      <w:r>
        <w:rPr>
          <w:noProof/>
        </w:rPr>
      </w:r>
      <w:r>
        <w:rPr>
          <w:noProof/>
        </w:rPr>
        <w:fldChar w:fldCharType="separate"/>
      </w:r>
      <w:r>
        <w:rPr>
          <w:noProof/>
        </w:rPr>
        <w:t>81</w:t>
      </w:r>
      <w:r>
        <w:rPr>
          <w:noProof/>
        </w:rPr>
        <w:fldChar w:fldCharType="end"/>
      </w:r>
    </w:p>
    <w:p w14:paraId="24D7891C" w14:textId="6C7F6282" w:rsidR="003F6EFC" w:rsidRDefault="003F6EFC">
      <w:pPr>
        <w:pStyle w:val="TOC5"/>
        <w:rPr>
          <w:rFonts w:asciiTheme="minorHAnsi" w:eastAsiaTheme="minorEastAsia" w:hAnsiTheme="minorHAnsi" w:cstheme="minorBidi"/>
          <w:noProof/>
          <w:kern w:val="2"/>
          <w:sz w:val="21"/>
          <w:szCs w:val="22"/>
          <w:lang w:val="en-US" w:eastAsia="zh-CN"/>
        </w:rPr>
      </w:pPr>
      <w:r>
        <w:rPr>
          <w:noProof/>
        </w:rPr>
        <w:t>4.6.2.2.4</w:t>
      </w:r>
      <w:r>
        <w:rPr>
          <w:rFonts w:asciiTheme="minorHAnsi" w:eastAsiaTheme="minorEastAsia" w:hAnsiTheme="minorHAnsi" w:cstheme="minorBidi"/>
          <w:noProof/>
          <w:kern w:val="2"/>
          <w:sz w:val="21"/>
          <w:szCs w:val="22"/>
          <w:lang w:val="en-US" w:eastAsia="zh-CN"/>
        </w:rPr>
        <w:tab/>
      </w:r>
      <w:r>
        <w:rPr>
          <w:noProof/>
        </w:rPr>
        <w:t>Partial update subscription for event notifications</w:t>
      </w:r>
      <w:r>
        <w:rPr>
          <w:noProof/>
        </w:rPr>
        <w:tab/>
      </w:r>
      <w:r>
        <w:rPr>
          <w:noProof/>
        </w:rPr>
        <w:fldChar w:fldCharType="begin"/>
      </w:r>
      <w:r>
        <w:rPr>
          <w:noProof/>
        </w:rPr>
        <w:instrText xml:space="preserve"> PAGEREF _Toc199452761 \h </w:instrText>
      </w:r>
      <w:r>
        <w:rPr>
          <w:noProof/>
        </w:rPr>
      </w:r>
      <w:r>
        <w:rPr>
          <w:noProof/>
        </w:rPr>
        <w:fldChar w:fldCharType="separate"/>
      </w:r>
      <w:r>
        <w:rPr>
          <w:noProof/>
        </w:rPr>
        <w:t>82</w:t>
      </w:r>
      <w:r>
        <w:rPr>
          <w:noProof/>
        </w:rPr>
        <w:fldChar w:fldCharType="end"/>
      </w:r>
    </w:p>
    <w:p w14:paraId="7BB3C5FE" w14:textId="343E58B3" w:rsidR="003F6EFC" w:rsidRDefault="003F6EFC">
      <w:pPr>
        <w:pStyle w:val="TOC4"/>
        <w:rPr>
          <w:rFonts w:asciiTheme="minorHAnsi" w:eastAsiaTheme="minorEastAsia" w:hAnsiTheme="minorHAnsi" w:cstheme="minorBidi"/>
          <w:noProof/>
          <w:kern w:val="2"/>
          <w:sz w:val="21"/>
          <w:szCs w:val="22"/>
          <w:lang w:val="en-US" w:eastAsia="zh-CN"/>
        </w:rPr>
      </w:pPr>
      <w:r>
        <w:rPr>
          <w:noProof/>
        </w:rPr>
        <w:t>4.6.2.3</w:t>
      </w:r>
      <w:r>
        <w:rPr>
          <w:rFonts w:asciiTheme="minorHAnsi" w:eastAsiaTheme="minorEastAsia" w:hAnsiTheme="minorHAnsi" w:cstheme="minorBidi"/>
          <w:noProof/>
          <w:kern w:val="2"/>
          <w:sz w:val="21"/>
          <w:szCs w:val="22"/>
          <w:lang w:val="en-US" w:eastAsia="zh-CN"/>
        </w:rPr>
        <w:tab/>
      </w:r>
      <w:r>
        <w:rPr>
          <w:noProof/>
          <w:lang w:eastAsia="ja-JP"/>
        </w:rPr>
        <w:t>Nnwdaf_MLModelTraining_Unsubscribe</w:t>
      </w:r>
      <w:r>
        <w:rPr>
          <w:noProof/>
        </w:rPr>
        <w:t xml:space="preserve"> service operation</w:t>
      </w:r>
      <w:r>
        <w:rPr>
          <w:noProof/>
        </w:rPr>
        <w:tab/>
      </w:r>
      <w:r>
        <w:rPr>
          <w:noProof/>
        </w:rPr>
        <w:fldChar w:fldCharType="begin"/>
      </w:r>
      <w:r>
        <w:rPr>
          <w:noProof/>
        </w:rPr>
        <w:instrText xml:space="preserve"> PAGEREF _Toc199452762 \h </w:instrText>
      </w:r>
      <w:r>
        <w:rPr>
          <w:noProof/>
        </w:rPr>
      </w:r>
      <w:r>
        <w:rPr>
          <w:noProof/>
        </w:rPr>
        <w:fldChar w:fldCharType="separate"/>
      </w:r>
      <w:r>
        <w:rPr>
          <w:noProof/>
        </w:rPr>
        <w:t>83</w:t>
      </w:r>
      <w:r>
        <w:rPr>
          <w:noProof/>
        </w:rPr>
        <w:fldChar w:fldCharType="end"/>
      </w:r>
    </w:p>
    <w:p w14:paraId="3ABFA4C6" w14:textId="1C1F9BE9" w:rsidR="003F6EFC" w:rsidRDefault="003F6EFC">
      <w:pPr>
        <w:pStyle w:val="TOC5"/>
        <w:rPr>
          <w:rFonts w:asciiTheme="minorHAnsi" w:eastAsiaTheme="minorEastAsia" w:hAnsiTheme="minorHAnsi" w:cstheme="minorBidi"/>
          <w:noProof/>
          <w:kern w:val="2"/>
          <w:sz w:val="21"/>
          <w:szCs w:val="22"/>
          <w:lang w:val="en-US" w:eastAsia="zh-CN"/>
        </w:rPr>
      </w:pPr>
      <w:r>
        <w:rPr>
          <w:noProof/>
        </w:rPr>
        <w:t>4.6.2.3.1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_Toc199452763 \h </w:instrText>
      </w:r>
      <w:r>
        <w:rPr>
          <w:noProof/>
        </w:rPr>
      </w:r>
      <w:r>
        <w:rPr>
          <w:noProof/>
        </w:rPr>
        <w:fldChar w:fldCharType="separate"/>
      </w:r>
      <w:r>
        <w:rPr>
          <w:noProof/>
        </w:rPr>
        <w:t>83</w:t>
      </w:r>
      <w:r>
        <w:rPr>
          <w:noProof/>
        </w:rPr>
        <w:fldChar w:fldCharType="end"/>
      </w:r>
    </w:p>
    <w:p w14:paraId="65211160" w14:textId="3566A1D8" w:rsidR="003F6EFC" w:rsidRDefault="003F6EFC">
      <w:pPr>
        <w:pStyle w:val="TOC5"/>
        <w:rPr>
          <w:rFonts w:asciiTheme="minorHAnsi" w:eastAsiaTheme="minorEastAsia" w:hAnsiTheme="minorHAnsi" w:cstheme="minorBidi"/>
          <w:noProof/>
          <w:kern w:val="2"/>
          <w:sz w:val="21"/>
          <w:szCs w:val="22"/>
          <w:lang w:val="en-US" w:eastAsia="zh-CN"/>
        </w:rPr>
      </w:pPr>
      <w:r>
        <w:rPr>
          <w:noProof/>
        </w:rPr>
        <w:t>4.6.2.3.2</w:t>
      </w:r>
      <w:r>
        <w:rPr>
          <w:rFonts w:asciiTheme="minorHAnsi" w:eastAsiaTheme="minorEastAsia" w:hAnsiTheme="minorHAnsi" w:cstheme="minorBidi"/>
          <w:noProof/>
          <w:kern w:val="2"/>
          <w:sz w:val="21"/>
          <w:szCs w:val="22"/>
          <w:lang w:val="en-US" w:eastAsia="zh-CN"/>
        </w:rPr>
        <w:tab/>
      </w:r>
      <w:r>
        <w:rPr>
          <w:noProof/>
        </w:rPr>
        <w:t>Unsubscribe from event notifications</w:t>
      </w:r>
      <w:r>
        <w:rPr>
          <w:noProof/>
        </w:rPr>
        <w:tab/>
      </w:r>
      <w:r>
        <w:rPr>
          <w:noProof/>
        </w:rPr>
        <w:fldChar w:fldCharType="begin"/>
      </w:r>
      <w:r>
        <w:rPr>
          <w:noProof/>
        </w:rPr>
        <w:instrText xml:space="preserve"> PAGEREF _Toc199452764 \h </w:instrText>
      </w:r>
      <w:r>
        <w:rPr>
          <w:noProof/>
        </w:rPr>
      </w:r>
      <w:r>
        <w:rPr>
          <w:noProof/>
        </w:rPr>
        <w:fldChar w:fldCharType="separate"/>
      </w:r>
      <w:r>
        <w:rPr>
          <w:noProof/>
        </w:rPr>
        <w:t>83</w:t>
      </w:r>
      <w:r>
        <w:rPr>
          <w:noProof/>
        </w:rPr>
        <w:fldChar w:fldCharType="end"/>
      </w:r>
    </w:p>
    <w:p w14:paraId="40A47AB9" w14:textId="36336CFA" w:rsidR="003F6EFC" w:rsidRDefault="003F6EFC">
      <w:pPr>
        <w:pStyle w:val="TOC4"/>
        <w:rPr>
          <w:rFonts w:asciiTheme="minorHAnsi" w:eastAsiaTheme="minorEastAsia" w:hAnsiTheme="minorHAnsi" w:cstheme="minorBidi"/>
          <w:noProof/>
          <w:kern w:val="2"/>
          <w:sz w:val="21"/>
          <w:szCs w:val="22"/>
          <w:lang w:val="en-US" w:eastAsia="zh-CN"/>
        </w:rPr>
      </w:pPr>
      <w:r>
        <w:rPr>
          <w:noProof/>
        </w:rPr>
        <w:t>4.6.2.4</w:t>
      </w:r>
      <w:r>
        <w:rPr>
          <w:rFonts w:asciiTheme="minorHAnsi" w:eastAsiaTheme="minorEastAsia" w:hAnsiTheme="minorHAnsi" w:cstheme="minorBidi"/>
          <w:noProof/>
          <w:kern w:val="2"/>
          <w:sz w:val="21"/>
          <w:szCs w:val="22"/>
          <w:lang w:val="en-US" w:eastAsia="zh-CN"/>
        </w:rPr>
        <w:tab/>
      </w:r>
      <w:r>
        <w:rPr>
          <w:noProof/>
          <w:lang w:eastAsia="ja-JP"/>
        </w:rPr>
        <w:t>Nnwdaf_MLModelTraining_Notify</w:t>
      </w:r>
      <w:r>
        <w:rPr>
          <w:noProof/>
        </w:rPr>
        <w:t xml:space="preserve"> service operation</w:t>
      </w:r>
      <w:r>
        <w:rPr>
          <w:noProof/>
        </w:rPr>
        <w:tab/>
      </w:r>
      <w:r>
        <w:rPr>
          <w:noProof/>
        </w:rPr>
        <w:fldChar w:fldCharType="begin"/>
      </w:r>
      <w:r>
        <w:rPr>
          <w:noProof/>
        </w:rPr>
        <w:instrText xml:space="preserve"> PAGEREF _Toc199452765 \h </w:instrText>
      </w:r>
      <w:r>
        <w:rPr>
          <w:noProof/>
        </w:rPr>
      </w:r>
      <w:r>
        <w:rPr>
          <w:noProof/>
        </w:rPr>
        <w:fldChar w:fldCharType="separate"/>
      </w:r>
      <w:r>
        <w:rPr>
          <w:noProof/>
        </w:rPr>
        <w:t>84</w:t>
      </w:r>
      <w:r>
        <w:rPr>
          <w:noProof/>
        </w:rPr>
        <w:fldChar w:fldCharType="end"/>
      </w:r>
    </w:p>
    <w:p w14:paraId="0104E5CD" w14:textId="3E1A342F" w:rsidR="003F6EFC" w:rsidRDefault="003F6EFC">
      <w:pPr>
        <w:pStyle w:val="TOC5"/>
        <w:rPr>
          <w:rFonts w:asciiTheme="minorHAnsi" w:eastAsiaTheme="minorEastAsia" w:hAnsiTheme="minorHAnsi" w:cstheme="minorBidi"/>
          <w:noProof/>
          <w:kern w:val="2"/>
          <w:sz w:val="21"/>
          <w:szCs w:val="22"/>
          <w:lang w:val="en-US" w:eastAsia="zh-CN"/>
        </w:rPr>
      </w:pPr>
      <w:r>
        <w:rPr>
          <w:noProof/>
        </w:rPr>
        <w:t>4.6.2.4.1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_Toc199452766 \h </w:instrText>
      </w:r>
      <w:r>
        <w:rPr>
          <w:noProof/>
        </w:rPr>
      </w:r>
      <w:r>
        <w:rPr>
          <w:noProof/>
        </w:rPr>
        <w:fldChar w:fldCharType="separate"/>
      </w:r>
      <w:r>
        <w:rPr>
          <w:noProof/>
        </w:rPr>
        <w:t>84</w:t>
      </w:r>
      <w:r>
        <w:rPr>
          <w:noProof/>
        </w:rPr>
        <w:fldChar w:fldCharType="end"/>
      </w:r>
    </w:p>
    <w:p w14:paraId="33F08DBD" w14:textId="7B3E867C" w:rsidR="003F6EFC" w:rsidRDefault="003F6EFC">
      <w:pPr>
        <w:pStyle w:val="TOC5"/>
        <w:rPr>
          <w:rFonts w:asciiTheme="minorHAnsi" w:eastAsiaTheme="minorEastAsia" w:hAnsiTheme="minorHAnsi" w:cstheme="minorBidi"/>
          <w:noProof/>
          <w:kern w:val="2"/>
          <w:sz w:val="21"/>
          <w:szCs w:val="22"/>
          <w:lang w:val="en-US" w:eastAsia="zh-CN"/>
        </w:rPr>
      </w:pPr>
      <w:r>
        <w:rPr>
          <w:noProof/>
        </w:rPr>
        <w:t>4.6.2.4.2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_Toc199452767 \h </w:instrText>
      </w:r>
      <w:r>
        <w:rPr>
          <w:noProof/>
        </w:rPr>
      </w:r>
      <w:r>
        <w:rPr>
          <w:noProof/>
        </w:rPr>
        <w:fldChar w:fldCharType="separate"/>
      </w:r>
      <w:r>
        <w:rPr>
          <w:noProof/>
        </w:rPr>
        <w:t>84</w:t>
      </w:r>
      <w:r>
        <w:rPr>
          <w:noProof/>
        </w:rPr>
        <w:fldChar w:fldCharType="end"/>
      </w:r>
    </w:p>
    <w:p w14:paraId="2E7A6234" w14:textId="00057C65" w:rsidR="003F6EFC" w:rsidRDefault="003F6EFC">
      <w:pPr>
        <w:pStyle w:val="TOC2"/>
        <w:rPr>
          <w:rFonts w:asciiTheme="minorHAnsi" w:eastAsiaTheme="minorEastAsia" w:hAnsiTheme="minorHAnsi" w:cstheme="minorBidi"/>
          <w:noProof/>
          <w:kern w:val="2"/>
          <w:sz w:val="21"/>
          <w:szCs w:val="22"/>
          <w:lang w:val="en-US" w:eastAsia="zh-CN"/>
        </w:rPr>
      </w:pPr>
      <w:r>
        <w:rPr>
          <w:noProof/>
        </w:rPr>
        <w:t>4.7</w:t>
      </w:r>
      <w:r>
        <w:rPr>
          <w:rFonts w:asciiTheme="minorHAnsi" w:eastAsiaTheme="minorEastAsia" w:hAnsiTheme="minorHAnsi" w:cstheme="minorBidi"/>
          <w:noProof/>
          <w:kern w:val="2"/>
          <w:sz w:val="21"/>
          <w:szCs w:val="22"/>
          <w:lang w:val="en-US" w:eastAsia="zh-CN"/>
        </w:rPr>
        <w:tab/>
      </w:r>
      <w:r w:rsidRPr="00D64295">
        <w:rPr>
          <w:noProof/>
          <w:lang w:val="en-US" w:eastAsia="zh-CN"/>
        </w:rPr>
        <w:t>Nnwdaf_MLModelMonitor</w:t>
      </w:r>
      <w:r>
        <w:rPr>
          <w:noProof/>
        </w:rPr>
        <w:t xml:space="preserve"> Service</w:t>
      </w:r>
      <w:r>
        <w:rPr>
          <w:noProof/>
        </w:rPr>
        <w:tab/>
      </w:r>
      <w:r>
        <w:rPr>
          <w:noProof/>
        </w:rPr>
        <w:fldChar w:fldCharType="begin"/>
      </w:r>
      <w:r>
        <w:rPr>
          <w:noProof/>
        </w:rPr>
        <w:instrText xml:space="preserve"> PAGEREF _Toc199452768 \h </w:instrText>
      </w:r>
      <w:r>
        <w:rPr>
          <w:noProof/>
        </w:rPr>
      </w:r>
      <w:r>
        <w:rPr>
          <w:noProof/>
        </w:rPr>
        <w:fldChar w:fldCharType="separate"/>
      </w:r>
      <w:r>
        <w:rPr>
          <w:noProof/>
        </w:rPr>
        <w:t>85</w:t>
      </w:r>
      <w:r>
        <w:rPr>
          <w:noProof/>
        </w:rPr>
        <w:fldChar w:fldCharType="end"/>
      </w:r>
    </w:p>
    <w:p w14:paraId="2816425E" w14:textId="38437492" w:rsidR="003F6EFC" w:rsidRDefault="003F6EFC">
      <w:pPr>
        <w:pStyle w:val="TOC3"/>
        <w:rPr>
          <w:rFonts w:asciiTheme="minorHAnsi" w:eastAsiaTheme="minorEastAsia" w:hAnsiTheme="minorHAnsi" w:cstheme="minorBidi"/>
          <w:noProof/>
          <w:kern w:val="2"/>
          <w:sz w:val="21"/>
          <w:szCs w:val="22"/>
          <w:lang w:val="en-US" w:eastAsia="zh-CN"/>
        </w:rPr>
      </w:pPr>
      <w:r>
        <w:rPr>
          <w:noProof/>
        </w:rPr>
        <w:t>4.7.1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_Toc199452769 \h </w:instrText>
      </w:r>
      <w:r>
        <w:rPr>
          <w:noProof/>
        </w:rPr>
      </w:r>
      <w:r>
        <w:rPr>
          <w:noProof/>
        </w:rPr>
        <w:fldChar w:fldCharType="separate"/>
      </w:r>
      <w:r>
        <w:rPr>
          <w:noProof/>
        </w:rPr>
        <w:t>85</w:t>
      </w:r>
      <w:r>
        <w:rPr>
          <w:noProof/>
        </w:rPr>
        <w:fldChar w:fldCharType="end"/>
      </w:r>
    </w:p>
    <w:p w14:paraId="78FCC754" w14:textId="10CD7685" w:rsidR="003F6EFC" w:rsidRDefault="003F6EFC">
      <w:pPr>
        <w:pStyle w:val="TOC4"/>
        <w:rPr>
          <w:rFonts w:asciiTheme="minorHAnsi" w:eastAsiaTheme="minorEastAsia" w:hAnsiTheme="minorHAnsi" w:cstheme="minorBidi"/>
          <w:noProof/>
          <w:kern w:val="2"/>
          <w:sz w:val="21"/>
          <w:szCs w:val="22"/>
          <w:lang w:val="en-US" w:eastAsia="zh-CN"/>
        </w:rPr>
      </w:pPr>
      <w:r>
        <w:rPr>
          <w:noProof/>
        </w:rPr>
        <w:t>4.7.</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_Toc199452770 \h </w:instrText>
      </w:r>
      <w:r>
        <w:rPr>
          <w:noProof/>
        </w:rPr>
      </w:r>
      <w:r>
        <w:rPr>
          <w:noProof/>
        </w:rPr>
        <w:fldChar w:fldCharType="separate"/>
      </w:r>
      <w:r>
        <w:rPr>
          <w:noProof/>
        </w:rPr>
        <w:t>85</w:t>
      </w:r>
      <w:r>
        <w:rPr>
          <w:noProof/>
        </w:rPr>
        <w:fldChar w:fldCharType="end"/>
      </w:r>
    </w:p>
    <w:p w14:paraId="1477EC66" w14:textId="0F5B7323" w:rsidR="003F6EFC" w:rsidRDefault="003F6EFC">
      <w:pPr>
        <w:pStyle w:val="TOC4"/>
        <w:rPr>
          <w:rFonts w:asciiTheme="minorHAnsi" w:eastAsiaTheme="minorEastAsia" w:hAnsiTheme="minorHAnsi" w:cstheme="minorBidi"/>
          <w:noProof/>
          <w:kern w:val="2"/>
          <w:sz w:val="21"/>
          <w:szCs w:val="22"/>
          <w:lang w:val="en-US" w:eastAsia="zh-CN"/>
        </w:rPr>
      </w:pPr>
      <w:r>
        <w:rPr>
          <w:noProof/>
        </w:rPr>
        <w:t>4.7.1.2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_Toc199452771 \h </w:instrText>
      </w:r>
      <w:r>
        <w:rPr>
          <w:noProof/>
        </w:rPr>
      </w:r>
      <w:r>
        <w:rPr>
          <w:noProof/>
        </w:rPr>
        <w:fldChar w:fldCharType="separate"/>
      </w:r>
      <w:r>
        <w:rPr>
          <w:noProof/>
        </w:rPr>
        <w:t>85</w:t>
      </w:r>
      <w:r>
        <w:rPr>
          <w:noProof/>
        </w:rPr>
        <w:fldChar w:fldCharType="end"/>
      </w:r>
    </w:p>
    <w:p w14:paraId="57B4BF1F" w14:textId="131B40B1"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4.7.</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_Toc199452772 \h </w:instrText>
      </w:r>
      <w:r>
        <w:rPr>
          <w:noProof/>
        </w:rPr>
      </w:r>
      <w:r>
        <w:rPr>
          <w:noProof/>
        </w:rPr>
        <w:fldChar w:fldCharType="separate"/>
      </w:r>
      <w:r>
        <w:rPr>
          <w:noProof/>
        </w:rPr>
        <w:t>86</w:t>
      </w:r>
      <w:r>
        <w:rPr>
          <w:noProof/>
        </w:rPr>
        <w:fldChar w:fldCharType="end"/>
      </w:r>
    </w:p>
    <w:p w14:paraId="4C14FFB2" w14:textId="38AF107E" w:rsidR="003F6EFC" w:rsidRDefault="003F6EFC">
      <w:pPr>
        <w:pStyle w:val="TOC5"/>
        <w:rPr>
          <w:rFonts w:asciiTheme="minorHAnsi" w:eastAsiaTheme="minorEastAsia" w:hAnsiTheme="minorHAnsi" w:cstheme="minorBidi"/>
          <w:noProof/>
          <w:kern w:val="2"/>
          <w:sz w:val="21"/>
          <w:szCs w:val="22"/>
          <w:lang w:val="en-US" w:eastAsia="zh-CN"/>
        </w:rPr>
      </w:pPr>
      <w:r>
        <w:rPr>
          <w:noProof/>
        </w:rPr>
        <w:t>4.7.</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_Toc199452773 \h </w:instrText>
      </w:r>
      <w:r>
        <w:rPr>
          <w:noProof/>
        </w:rPr>
      </w:r>
      <w:r>
        <w:rPr>
          <w:noProof/>
        </w:rPr>
        <w:fldChar w:fldCharType="separate"/>
      </w:r>
      <w:r>
        <w:rPr>
          <w:noProof/>
        </w:rPr>
        <w:t>86</w:t>
      </w:r>
      <w:r>
        <w:rPr>
          <w:noProof/>
        </w:rPr>
        <w:fldChar w:fldCharType="end"/>
      </w:r>
    </w:p>
    <w:p w14:paraId="5CA23E08" w14:textId="737AA7F6" w:rsidR="003F6EFC" w:rsidRDefault="003F6EFC">
      <w:pPr>
        <w:pStyle w:val="TOC5"/>
        <w:rPr>
          <w:rFonts w:asciiTheme="minorHAnsi" w:eastAsiaTheme="minorEastAsia" w:hAnsiTheme="minorHAnsi" w:cstheme="minorBidi"/>
          <w:noProof/>
          <w:kern w:val="2"/>
          <w:sz w:val="21"/>
          <w:szCs w:val="22"/>
          <w:lang w:val="en-US" w:eastAsia="zh-CN"/>
        </w:rPr>
      </w:pPr>
      <w:r>
        <w:rPr>
          <w:noProof/>
        </w:rPr>
        <w:t>4.7.</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_Toc199452774 \h </w:instrText>
      </w:r>
      <w:r>
        <w:rPr>
          <w:noProof/>
        </w:rPr>
      </w:r>
      <w:r>
        <w:rPr>
          <w:noProof/>
        </w:rPr>
        <w:fldChar w:fldCharType="separate"/>
      </w:r>
      <w:r>
        <w:rPr>
          <w:noProof/>
        </w:rPr>
        <w:t>86</w:t>
      </w:r>
      <w:r>
        <w:rPr>
          <w:noProof/>
        </w:rPr>
        <w:fldChar w:fldCharType="end"/>
      </w:r>
    </w:p>
    <w:p w14:paraId="5732A819" w14:textId="2638C77A" w:rsidR="003F6EFC" w:rsidRDefault="003F6EFC">
      <w:pPr>
        <w:pStyle w:val="TOC3"/>
        <w:rPr>
          <w:rFonts w:asciiTheme="minorHAnsi" w:eastAsiaTheme="minorEastAsia" w:hAnsiTheme="minorHAnsi" w:cstheme="minorBidi"/>
          <w:noProof/>
          <w:kern w:val="2"/>
          <w:sz w:val="21"/>
          <w:szCs w:val="22"/>
          <w:lang w:val="en-US" w:eastAsia="zh-CN"/>
        </w:rPr>
      </w:pPr>
      <w:r>
        <w:rPr>
          <w:noProof/>
        </w:rPr>
        <w:t>4.7.2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_Toc199452775 \h </w:instrText>
      </w:r>
      <w:r>
        <w:rPr>
          <w:noProof/>
        </w:rPr>
      </w:r>
      <w:r>
        <w:rPr>
          <w:noProof/>
        </w:rPr>
        <w:fldChar w:fldCharType="separate"/>
      </w:r>
      <w:r>
        <w:rPr>
          <w:noProof/>
        </w:rPr>
        <w:t>86</w:t>
      </w:r>
      <w:r>
        <w:rPr>
          <w:noProof/>
        </w:rPr>
        <w:fldChar w:fldCharType="end"/>
      </w:r>
    </w:p>
    <w:p w14:paraId="4D67B633" w14:textId="525690A2" w:rsidR="003F6EFC" w:rsidRDefault="003F6EFC">
      <w:pPr>
        <w:pStyle w:val="TOC4"/>
        <w:rPr>
          <w:rFonts w:asciiTheme="minorHAnsi" w:eastAsiaTheme="minorEastAsia" w:hAnsiTheme="minorHAnsi" w:cstheme="minorBidi"/>
          <w:noProof/>
          <w:kern w:val="2"/>
          <w:sz w:val="21"/>
          <w:szCs w:val="22"/>
          <w:lang w:val="en-US" w:eastAsia="zh-CN"/>
        </w:rPr>
      </w:pPr>
      <w:r>
        <w:rPr>
          <w:noProof/>
        </w:rPr>
        <w:t>4.7.2.1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_Toc199452776 \h </w:instrText>
      </w:r>
      <w:r>
        <w:rPr>
          <w:noProof/>
        </w:rPr>
      </w:r>
      <w:r>
        <w:rPr>
          <w:noProof/>
        </w:rPr>
        <w:fldChar w:fldCharType="separate"/>
      </w:r>
      <w:r>
        <w:rPr>
          <w:noProof/>
        </w:rPr>
        <w:t>86</w:t>
      </w:r>
      <w:r>
        <w:rPr>
          <w:noProof/>
        </w:rPr>
        <w:fldChar w:fldCharType="end"/>
      </w:r>
    </w:p>
    <w:p w14:paraId="1EC5AAAE" w14:textId="57AF088C" w:rsidR="003F6EFC" w:rsidRDefault="003F6EFC">
      <w:pPr>
        <w:pStyle w:val="TOC4"/>
        <w:rPr>
          <w:rFonts w:asciiTheme="minorHAnsi" w:eastAsiaTheme="minorEastAsia" w:hAnsiTheme="minorHAnsi" w:cstheme="minorBidi"/>
          <w:noProof/>
          <w:kern w:val="2"/>
          <w:sz w:val="21"/>
          <w:szCs w:val="22"/>
          <w:lang w:val="en-US" w:eastAsia="zh-CN"/>
        </w:rPr>
      </w:pPr>
      <w:r>
        <w:rPr>
          <w:noProof/>
        </w:rPr>
        <w:t>4.7.2.2</w:t>
      </w:r>
      <w:r>
        <w:rPr>
          <w:rFonts w:asciiTheme="minorHAnsi" w:eastAsiaTheme="minorEastAsia" w:hAnsiTheme="minorHAnsi" w:cstheme="minorBidi"/>
          <w:noProof/>
          <w:kern w:val="2"/>
          <w:sz w:val="21"/>
          <w:szCs w:val="22"/>
          <w:lang w:val="en-US" w:eastAsia="zh-CN"/>
        </w:rPr>
        <w:tab/>
      </w:r>
      <w:r>
        <w:rPr>
          <w:noProof/>
        </w:rPr>
        <w:t>Nnwdaf_MLModelMonitor_Register service operation</w:t>
      </w:r>
      <w:r>
        <w:rPr>
          <w:noProof/>
        </w:rPr>
        <w:tab/>
      </w:r>
      <w:r>
        <w:rPr>
          <w:noProof/>
        </w:rPr>
        <w:fldChar w:fldCharType="begin"/>
      </w:r>
      <w:r>
        <w:rPr>
          <w:noProof/>
        </w:rPr>
        <w:instrText xml:space="preserve"> PAGEREF _Toc199452777 \h </w:instrText>
      </w:r>
      <w:r>
        <w:rPr>
          <w:noProof/>
        </w:rPr>
      </w:r>
      <w:r>
        <w:rPr>
          <w:noProof/>
        </w:rPr>
        <w:fldChar w:fldCharType="separate"/>
      </w:r>
      <w:r>
        <w:rPr>
          <w:noProof/>
        </w:rPr>
        <w:t>87</w:t>
      </w:r>
      <w:r>
        <w:rPr>
          <w:noProof/>
        </w:rPr>
        <w:fldChar w:fldCharType="end"/>
      </w:r>
    </w:p>
    <w:p w14:paraId="20319B1F" w14:textId="6E6473B2"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4.7.2.2.1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_Toc199452778 \h </w:instrText>
      </w:r>
      <w:r>
        <w:rPr>
          <w:noProof/>
        </w:rPr>
      </w:r>
      <w:r>
        <w:rPr>
          <w:noProof/>
        </w:rPr>
        <w:fldChar w:fldCharType="separate"/>
      </w:r>
      <w:r>
        <w:rPr>
          <w:noProof/>
        </w:rPr>
        <w:t>87</w:t>
      </w:r>
      <w:r>
        <w:rPr>
          <w:noProof/>
        </w:rPr>
        <w:fldChar w:fldCharType="end"/>
      </w:r>
    </w:p>
    <w:p w14:paraId="2A18B9CC" w14:textId="4B2D0344" w:rsidR="003F6EFC" w:rsidRDefault="003F6EFC">
      <w:pPr>
        <w:pStyle w:val="TOC5"/>
        <w:rPr>
          <w:rFonts w:asciiTheme="minorHAnsi" w:eastAsiaTheme="minorEastAsia" w:hAnsiTheme="minorHAnsi" w:cstheme="minorBidi"/>
          <w:noProof/>
          <w:kern w:val="2"/>
          <w:sz w:val="21"/>
          <w:szCs w:val="22"/>
          <w:lang w:val="en-US" w:eastAsia="zh-CN"/>
        </w:rPr>
      </w:pPr>
      <w:r>
        <w:rPr>
          <w:noProof/>
        </w:rPr>
        <w:t>4.7.2.2.2</w:t>
      </w:r>
      <w:r>
        <w:rPr>
          <w:rFonts w:asciiTheme="minorHAnsi" w:eastAsiaTheme="minorEastAsia" w:hAnsiTheme="minorHAnsi" w:cstheme="minorBidi"/>
          <w:noProof/>
          <w:kern w:val="2"/>
          <w:sz w:val="21"/>
          <w:szCs w:val="22"/>
          <w:lang w:val="en-US" w:eastAsia="zh-CN"/>
        </w:rPr>
        <w:tab/>
      </w:r>
      <w:r>
        <w:rPr>
          <w:noProof/>
          <w:lang w:eastAsia="zh-CN"/>
        </w:rPr>
        <w:t>Registering the monitoring of the analytics accuracy of an ML Model</w:t>
      </w:r>
      <w:r>
        <w:rPr>
          <w:noProof/>
        </w:rPr>
        <w:tab/>
      </w:r>
      <w:r>
        <w:rPr>
          <w:noProof/>
        </w:rPr>
        <w:fldChar w:fldCharType="begin"/>
      </w:r>
      <w:r>
        <w:rPr>
          <w:noProof/>
        </w:rPr>
        <w:instrText xml:space="preserve"> PAGEREF _Toc199452779 \h </w:instrText>
      </w:r>
      <w:r>
        <w:rPr>
          <w:noProof/>
        </w:rPr>
      </w:r>
      <w:r>
        <w:rPr>
          <w:noProof/>
        </w:rPr>
        <w:fldChar w:fldCharType="separate"/>
      </w:r>
      <w:r>
        <w:rPr>
          <w:noProof/>
        </w:rPr>
        <w:t>87</w:t>
      </w:r>
      <w:r>
        <w:rPr>
          <w:noProof/>
        </w:rPr>
        <w:fldChar w:fldCharType="end"/>
      </w:r>
    </w:p>
    <w:p w14:paraId="119C902B" w14:textId="4D260D95" w:rsidR="003F6EFC" w:rsidRDefault="003F6EFC">
      <w:pPr>
        <w:pStyle w:val="TOC4"/>
        <w:rPr>
          <w:rFonts w:asciiTheme="minorHAnsi" w:eastAsiaTheme="minorEastAsia" w:hAnsiTheme="minorHAnsi" w:cstheme="minorBidi"/>
          <w:noProof/>
          <w:kern w:val="2"/>
          <w:sz w:val="21"/>
          <w:szCs w:val="22"/>
          <w:lang w:val="en-US" w:eastAsia="zh-CN"/>
        </w:rPr>
      </w:pPr>
      <w:r>
        <w:rPr>
          <w:noProof/>
        </w:rPr>
        <w:t>4.7.2.3</w:t>
      </w:r>
      <w:r>
        <w:rPr>
          <w:rFonts w:asciiTheme="minorHAnsi" w:eastAsiaTheme="minorEastAsia" w:hAnsiTheme="minorHAnsi" w:cstheme="minorBidi"/>
          <w:noProof/>
          <w:kern w:val="2"/>
          <w:sz w:val="21"/>
          <w:szCs w:val="22"/>
          <w:lang w:val="en-US" w:eastAsia="zh-CN"/>
        </w:rPr>
        <w:tab/>
      </w:r>
      <w:r>
        <w:rPr>
          <w:noProof/>
        </w:rPr>
        <w:t>Nnwdaf_MLModelMonitor_Deregister service operation</w:t>
      </w:r>
      <w:r>
        <w:rPr>
          <w:noProof/>
        </w:rPr>
        <w:tab/>
      </w:r>
      <w:r>
        <w:rPr>
          <w:noProof/>
        </w:rPr>
        <w:fldChar w:fldCharType="begin"/>
      </w:r>
      <w:r>
        <w:rPr>
          <w:noProof/>
        </w:rPr>
        <w:instrText xml:space="preserve"> PAGEREF _Toc199452780 \h </w:instrText>
      </w:r>
      <w:r>
        <w:rPr>
          <w:noProof/>
        </w:rPr>
      </w:r>
      <w:r>
        <w:rPr>
          <w:noProof/>
        </w:rPr>
        <w:fldChar w:fldCharType="separate"/>
      </w:r>
      <w:r>
        <w:rPr>
          <w:noProof/>
        </w:rPr>
        <w:t>88</w:t>
      </w:r>
      <w:r>
        <w:rPr>
          <w:noProof/>
        </w:rPr>
        <w:fldChar w:fldCharType="end"/>
      </w:r>
    </w:p>
    <w:p w14:paraId="3E5378EB" w14:textId="539A0A5D" w:rsidR="003F6EFC" w:rsidRDefault="003F6EFC">
      <w:pPr>
        <w:pStyle w:val="TOC5"/>
        <w:rPr>
          <w:rFonts w:asciiTheme="minorHAnsi" w:eastAsiaTheme="minorEastAsia" w:hAnsiTheme="minorHAnsi" w:cstheme="minorBidi"/>
          <w:noProof/>
          <w:kern w:val="2"/>
          <w:sz w:val="21"/>
          <w:szCs w:val="22"/>
          <w:lang w:val="en-US" w:eastAsia="zh-CN"/>
        </w:rPr>
      </w:pPr>
      <w:r>
        <w:rPr>
          <w:noProof/>
        </w:rPr>
        <w:t>4.7.2.3.1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_Toc199452781 \h </w:instrText>
      </w:r>
      <w:r>
        <w:rPr>
          <w:noProof/>
        </w:rPr>
      </w:r>
      <w:r>
        <w:rPr>
          <w:noProof/>
        </w:rPr>
        <w:fldChar w:fldCharType="separate"/>
      </w:r>
      <w:r>
        <w:rPr>
          <w:noProof/>
        </w:rPr>
        <w:t>88</w:t>
      </w:r>
      <w:r>
        <w:rPr>
          <w:noProof/>
        </w:rPr>
        <w:fldChar w:fldCharType="end"/>
      </w:r>
    </w:p>
    <w:p w14:paraId="2352AB29" w14:textId="75DC8846" w:rsidR="003F6EFC" w:rsidRDefault="003F6EFC">
      <w:pPr>
        <w:pStyle w:val="TOC5"/>
        <w:rPr>
          <w:rFonts w:asciiTheme="minorHAnsi" w:eastAsiaTheme="minorEastAsia" w:hAnsiTheme="minorHAnsi" w:cstheme="minorBidi"/>
          <w:noProof/>
          <w:kern w:val="2"/>
          <w:sz w:val="21"/>
          <w:szCs w:val="22"/>
          <w:lang w:val="en-US" w:eastAsia="zh-CN"/>
        </w:rPr>
      </w:pPr>
      <w:r>
        <w:rPr>
          <w:noProof/>
        </w:rPr>
        <w:t>4.7.2.3.2</w:t>
      </w:r>
      <w:r>
        <w:rPr>
          <w:rFonts w:asciiTheme="minorHAnsi" w:eastAsiaTheme="minorEastAsia" w:hAnsiTheme="minorHAnsi" w:cstheme="minorBidi"/>
          <w:noProof/>
          <w:kern w:val="2"/>
          <w:sz w:val="21"/>
          <w:szCs w:val="22"/>
          <w:lang w:val="en-US" w:eastAsia="zh-CN"/>
        </w:rPr>
        <w:tab/>
      </w:r>
      <w:r>
        <w:rPr>
          <w:noProof/>
        </w:rPr>
        <w:t>De</w:t>
      </w:r>
      <w:r>
        <w:rPr>
          <w:noProof/>
          <w:lang w:eastAsia="zh-CN"/>
        </w:rPr>
        <w:t>registering the monitoring of the analytics accuracy of an ML Model</w:t>
      </w:r>
      <w:r>
        <w:rPr>
          <w:noProof/>
        </w:rPr>
        <w:tab/>
      </w:r>
      <w:r>
        <w:rPr>
          <w:noProof/>
        </w:rPr>
        <w:fldChar w:fldCharType="begin"/>
      </w:r>
      <w:r>
        <w:rPr>
          <w:noProof/>
        </w:rPr>
        <w:instrText xml:space="preserve"> PAGEREF _Toc199452782 \h </w:instrText>
      </w:r>
      <w:r>
        <w:rPr>
          <w:noProof/>
        </w:rPr>
      </w:r>
      <w:r>
        <w:rPr>
          <w:noProof/>
        </w:rPr>
        <w:fldChar w:fldCharType="separate"/>
      </w:r>
      <w:r>
        <w:rPr>
          <w:noProof/>
        </w:rPr>
        <w:t>88</w:t>
      </w:r>
      <w:r>
        <w:rPr>
          <w:noProof/>
        </w:rPr>
        <w:fldChar w:fldCharType="end"/>
      </w:r>
    </w:p>
    <w:p w14:paraId="357D0AED" w14:textId="4766A3AC" w:rsidR="003F6EFC" w:rsidRDefault="003F6EFC">
      <w:pPr>
        <w:pStyle w:val="TOC4"/>
        <w:rPr>
          <w:rFonts w:asciiTheme="minorHAnsi" w:eastAsiaTheme="minorEastAsia" w:hAnsiTheme="minorHAnsi" w:cstheme="minorBidi"/>
          <w:noProof/>
          <w:kern w:val="2"/>
          <w:sz w:val="21"/>
          <w:szCs w:val="22"/>
          <w:lang w:val="en-US" w:eastAsia="zh-CN"/>
        </w:rPr>
      </w:pPr>
      <w:r>
        <w:rPr>
          <w:noProof/>
        </w:rPr>
        <w:t>4.7.2.4</w:t>
      </w:r>
      <w:r>
        <w:rPr>
          <w:rFonts w:asciiTheme="minorHAnsi" w:eastAsiaTheme="minorEastAsia" w:hAnsiTheme="minorHAnsi" w:cstheme="minorBidi"/>
          <w:noProof/>
          <w:kern w:val="2"/>
          <w:sz w:val="21"/>
          <w:szCs w:val="22"/>
          <w:lang w:val="en-US" w:eastAsia="zh-CN"/>
        </w:rPr>
        <w:tab/>
      </w:r>
      <w:r>
        <w:rPr>
          <w:noProof/>
        </w:rPr>
        <w:t>Nnwdaf_MLModelMonitor_Subscribe service operation</w:t>
      </w:r>
      <w:r>
        <w:rPr>
          <w:noProof/>
        </w:rPr>
        <w:tab/>
      </w:r>
      <w:r>
        <w:rPr>
          <w:noProof/>
        </w:rPr>
        <w:fldChar w:fldCharType="begin"/>
      </w:r>
      <w:r>
        <w:rPr>
          <w:noProof/>
        </w:rPr>
        <w:instrText xml:space="preserve"> PAGEREF _Toc199452783 \h </w:instrText>
      </w:r>
      <w:r>
        <w:rPr>
          <w:noProof/>
        </w:rPr>
      </w:r>
      <w:r>
        <w:rPr>
          <w:noProof/>
        </w:rPr>
        <w:fldChar w:fldCharType="separate"/>
      </w:r>
      <w:r>
        <w:rPr>
          <w:noProof/>
        </w:rPr>
        <w:t>89</w:t>
      </w:r>
      <w:r>
        <w:rPr>
          <w:noProof/>
        </w:rPr>
        <w:fldChar w:fldCharType="end"/>
      </w:r>
    </w:p>
    <w:p w14:paraId="1919076F" w14:textId="698B7B52" w:rsidR="003F6EFC" w:rsidRDefault="003F6EFC">
      <w:pPr>
        <w:pStyle w:val="TOC5"/>
        <w:rPr>
          <w:rFonts w:asciiTheme="minorHAnsi" w:eastAsiaTheme="minorEastAsia" w:hAnsiTheme="minorHAnsi" w:cstheme="minorBidi"/>
          <w:noProof/>
          <w:kern w:val="2"/>
          <w:sz w:val="21"/>
          <w:szCs w:val="22"/>
          <w:lang w:val="en-US" w:eastAsia="zh-CN"/>
        </w:rPr>
      </w:pPr>
      <w:r>
        <w:rPr>
          <w:noProof/>
        </w:rPr>
        <w:t>4.7.2.4.1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_Toc199452784 \h </w:instrText>
      </w:r>
      <w:r>
        <w:rPr>
          <w:noProof/>
        </w:rPr>
      </w:r>
      <w:r>
        <w:rPr>
          <w:noProof/>
        </w:rPr>
        <w:fldChar w:fldCharType="separate"/>
      </w:r>
      <w:r>
        <w:rPr>
          <w:noProof/>
        </w:rPr>
        <w:t>89</w:t>
      </w:r>
      <w:r>
        <w:rPr>
          <w:noProof/>
        </w:rPr>
        <w:fldChar w:fldCharType="end"/>
      </w:r>
    </w:p>
    <w:p w14:paraId="703EDEED" w14:textId="79BF69A6" w:rsidR="003F6EFC" w:rsidRDefault="003F6EFC">
      <w:pPr>
        <w:pStyle w:val="TOC5"/>
        <w:rPr>
          <w:rFonts w:asciiTheme="minorHAnsi" w:eastAsiaTheme="minorEastAsia" w:hAnsiTheme="minorHAnsi" w:cstheme="minorBidi"/>
          <w:noProof/>
          <w:kern w:val="2"/>
          <w:sz w:val="21"/>
          <w:szCs w:val="22"/>
          <w:lang w:val="en-US" w:eastAsia="zh-CN"/>
        </w:rPr>
      </w:pPr>
      <w:r>
        <w:rPr>
          <w:noProof/>
        </w:rPr>
        <w:t>4.7.2.4.2</w:t>
      </w:r>
      <w:r>
        <w:rPr>
          <w:rFonts w:asciiTheme="minorHAnsi" w:eastAsiaTheme="minorEastAsia" w:hAnsiTheme="minorHAnsi" w:cstheme="minorBidi"/>
          <w:noProof/>
          <w:kern w:val="2"/>
          <w:sz w:val="21"/>
          <w:szCs w:val="22"/>
          <w:lang w:val="en-US" w:eastAsia="zh-CN"/>
        </w:rPr>
        <w:tab/>
      </w:r>
      <w:r>
        <w:rPr>
          <w:noProof/>
        </w:rPr>
        <w:t>Subscription for monitoring notifications</w:t>
      </w:r>
      <w:r>
        <w:rPr>
          <w:noProof/>
        </w:rPr>
        <w:tab/>
      </w:r>
      <w:r>
        <w:rPr>
          <w:noProof/>
        </w:rPr>
        <w:fldChar w:fldCharType="begin"/>
      </w:r>
      <w:r>
        <w:rPr>
          <w:noProof/>
        </w:rPr>
        <w:instrText xml:space="preserve"> PAGEREF _Toc199452785 \h </w:instrText>
      </w:r>
      <w:r>
        <w:rPr>
          <w:noProof/>
        </w:rPr>
      </w:r>
      <w:r>
        <w:rPr>
          <w:noProof/>
        </w:rPr>
        <w:fldChar w:fldCharType="separate"/>
      </w:r>
      <w:r>
        <w:rPr>
          <w:noProof/>
        </w:rPr>
        <w:t>89</w:t>
      </w:r>
      <w:r>
        <w:rPr>
          <w:noProof/>
        </w:rPr>
        <w:fldChar w:fldCharType="end"/>
      </w:r>
    </w:p>
    <w:p w14:paraId="36FB0D61" w14:textId="167C2990" w:rsidR="003F6EFC" w:rsidRDefault="003F6EFC">
      <w:pPr>
        <w:pStyle w:val="TOC5"/>
        <w:rPr>
          <w:rFonts w:asciiTheme="minorHAnsi" w:eastAsiaTheme="minorEastAsia" w:hAnsiTheme="minorHAnsi" w:cstheme="minorBidi"/>
          <w:noProof/>
          <w:kern w:val="2"/>
          <w:sz w:val="21"/>
          <w:szCs w:val="22"/>
          <w:lang w:val="en-US" w:eastAsia="zh-CN"/>
        </w:rPr>
      </w:pPr>
      <w:r>
        <w:rPr>
          <w:noProof/>
        </w:rPr>
        <w:t>4.7.2.4.3</w:t>
      </w:r>
      <w:r>
        <w:rPr>
          <w:rFonts w:asciiTheme="minorHAnsi" w:eastAsiaTheme="minorEastAsia" w:hAnsiTheme="minorHAnsi" w:cstheme="minorBidi"/>
          <w:noProof/>
          <w:kern w:val="2"/>
          <w:sz w:val="21"/>
          <w:szCs w:val="22"/>
          <w:lang w:val="en-US" w:eastAsia="zh-CN"/>
        </w:rPr>
        <w:tab/>
      </w:r>
      <w:r>
        <w:rPr>
          <w:noProof/>
        </w:rPr>
        <w:t>Update of subscription for monitoring notifications</w:t>
      </w:r>
      <w:r>
        <w:rPr>
          <w:noProof/>
        </w:rPr>
        <w:tab/>
      </w:r>
      <w:r>
        <w:rPr>
          <w:noProof/>
        </w:rPr>
        <w:fldChar w:fldCharType="begin"/>
      </w:r>
      <w:r>
        <w:rPr>
          <w:noProof/>
        </w:rPr>
        <w:instrText xml:space="preserve"> PAGEREF _Toc199452786 \h </w:instrText>
      </w:r>
      <w:r>
        <w:rPr>
          <w:noProof/>
        </w:rPr>
      </w:r>
      <w:r>
        <w:rPr>
          <w:noProof/>
        </w:rPr>
        <w:fldChar w:fldCharType="separate"/>
      </w:r>
      <w:r>
        <w:rPr>
          <w:noProof/>
        </w:rPr>
        <w:t>90</w:t>
      </w:r>
      <w:r>
        <w:rPr>
          <w:noProof/>
        </w:rPr>
        <w:fldChar w:fldCharType="end"/>
      </w:r>
    </w:p>
    <w:p w14:paraId="583D0FA3" w14:textId="2DC4BB33" w:rsidR="003F6EFC" w:rsidRDefault="003F6EFC">
      <w:pPr>
        <w:pStyle w:val="TOC4"/>
        <w:rPr>
          <w:rFonts w:asciiTheme="minorHAnsi" w:eastAsiaTheme="minorEastAsia" w:hAnsiTheme="minorHAnsi" w:cstheme="minorBidi"/>
          <w:noProof/>
          <w:kern w:val="2"/>
          <w:sz w:val="21"/>
          <w:szCs w:val="22"/>
          <w:lang w:val="en-US" w:eastAsia="zh-CN"/>
        </w:rPr>
      </w:pPr>
      <w:r>
        <w:rPr>
          <w:noProof/>
        </w:rPr>
        <w:t>4.7.2.5</w:t>
      </w:r>
      <w:r>
        <w:rPr>
          <w:rFonts w:asciiTheme="minorHAnsi" w:eastAsiaTheme="minorEastAsia" w:hAnsiTheme="minorHAnsi" w:cstheme="minorBidi"/>
          <w:noProof/>
          <w:kern w:val="2"/>
          <w:sz w:val="21"/>
          <w:szCs w:val="22"/>
          <w:lang w:val="en-US" w:eastAsia="zh-CN"/>
        </w:rPr>
        <w:tab/>
      </w:r>
      <w:r>
        <w:rPr>
          <w:noProof/>
        </w:rPr>
        <w:t>Nnwdaf_MLModelMonitor_Unsubscribe service operation</w:t>
      </w:r>
      <w:r>
        <w:rPr>
          <w:noProof/>
        </w:rPr>
        <w:tab/>
      </w:r>
      <w:r>
        <w:rPr>
          <w:noProof/>
        </w:rPr>
        <w:fldChar w:fldCharType="begin"/>
      </w:r>
      <w:r>
        <w:rPr>
          <w:noProof/>
        </w:rPr>
        <w:instrText xml:space="preserve"> PAGEREF _Toc199452787 \h </w:instrText>
      </w:r>
      <w:r>
        <w:rPr>
          <w:noProof/>
        </w:rPr>
      </w:r>
      <w:r>
        <w:rPr>
          <w:noProof/>
        </w:rPr>
        <w:fldChar w:fldCharType="separate"/>
      </w:r>
      <w:r>
        <w:rPr>
          <w:noProof/>
        </w:rPr>
        <w:t>91</w:t>
      </w:r>
      <w:r>
        <w:rPr>
          <w:noProof/>
        </w:rPr>
        <w:fldChar w:fldCharType="end"/>
      </w:r>
    </w:p>
    <w:p w14:paraId="398DD268" w14:textId="225FBF43" w:rsidR="003F6EFC" w:rsidRDefault="003F6EFC">
      <w:pPr>
        <w:pStyle w:val="TOC5"/>
        <w:rPr>
          <w:rFonts w:asciiTheme="minorHAnsi" w:eastAsiaTheme="minorEastAsia" w:hAnsiTheme="minorHAnsi" w:cstheme="minorBidi"/>
          <w:noProof/>
          <w:kern w:val="2"/>
          <w:sz w:val="21"/>
          <w:szCs w:val="22"/>
          <w:lang w:val="en-US" w:eastAsia="zh-CN"/>
        </w:rPr>
      </w:pPr>
      <w:r>
        <w:rPr>
          <w:noProof/>
        </w:rPr>
        <w:t>4.7.2.5.1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_Toc199452788 \h </w:instrText>
      </w:r>
      <w:r>
        <w:rPr>
          <w:noProof/>
        </w:rPr>
      </w:r>
      <w:r>
        <w:rPr>
          <w:noProof/>
        </w:rPr>
        <w:fldChar w:fldCharType="separate"/>
      </w:r>
      <w:r>
        <w:rPr>
          <w:noProof/>
        </w:rPr>
        <w:t>91</w:t>
      </w:r>
      <w:r>
        <w:rPr>
          <w:noProof/>
        </w:rPr>
        <w:fldChar w:fldCharType="end"/>
      </w:r>
    </w:p>
    <w:p w14:paraId="10CDB2BB" w14:textId="4D79A3C5" w:rsidR="003F6EFC" w:rsidRDefault="003F6EFC">
      <w:pPr>
        <w:pStyle w:val="TOC5"/>
        <w:rPr>
          <w:rFonts w:asciiTheme="minorHAnsi" w:eastAsiaTheme="minorEastAsia" w:hAnsiTheme="minorHAnsi" w:cstheme="minorBidi"/>
          <w:noProof/>
          <w:kern w:val="2"/>
          <w:sz w:val="21"/>
          <w:szCs w:val="22"/>
          <w:lang w:val="en-US" w:eastAsia="zh-CN"/>
        </w:rPr>
      </w:pPr>
      <w:r>
        <w:rPr>
          <w:noProof/>
        </w:rPr>
        <w:t>4.7.2.5.2</w:t>
      </w:r>
      <w:r>
        <w:rPr>
          <w:rFonts w:asciiTheme="minorHAnsi" w:eastAsiaTheme="minorEastAsia" w:hAnsiTheme="minorHAnsi" w:cstheme="minorBidi"/>
          <w:noProof/>
          <w:kern w:val="2"/>
          <w:sz w:val="21"/>
          <w:szCs w:val="22"/>
          <w:lang w:val="en-US" w:eastAsia="zh-CN"/>
        </w:rPr>
        <w:tab/>
      </w:r>
      <w:r>
        <w:rPr>
          <w:noProof/>
        </w:rPr>
        <w:t>Unsubscribe from monitoring notifications</w:t>
      </w:r>
      <w:r>
        <w:rPr>
          <w:noProof/>
        </w:rPr>
        <w:tab/>
      </w:r>
      <w:r>
        <w:rPr>
          <w:noProof/>
        </w:rPr>
        <w:fldChar w:fldCharType="begin"/>
      </w:r>
      <w:r>
        <w:rPr>
          <w:noProof/>
        </w:rPr>
        <w:instrText xml:space="preserve"> PAGEREF _Toc199452789 \h </w:instrText>
      </w:r>
      <w:r>
        <w:rPr>
          <w:noProof/>
        </w:rPr>
      </w:r>
      <w:r>
        <w:rPr>
          <w:noProof/>
        </w:rPr>
        <w:fldChar w:fldCharType="separate"/>
      </w:r>
      <w:r>
        <w:rPr>
          <w:noProof/>
        </w:rPr>
        <w:t>91</w:t>
      </w:r>
      <w:r>
        <w:rPr>
          <w:noProof/>
        </w:rPr>
        <w:fldChar w:fldCharType="end"/>
      </w:r>
    </w:p>
    <w:p w14:paraId="3E4E6655" w14:textId="531438B0" w:rsidR="003F6EFC" w:rsidRDefault="003F6EFC">
      <w:pPr>
        <w:pStyle w:val="TOC4"/>
        <w:rPr>
          <w:rFonts w:asciiTheme="minorHAnsi" w:eastAsiaTheme="minorEastAsia" w:hAnsiTheme="minorHAnsi" w:cstheme="minorBidi"/>
          <w:noProof/>
          <w:kern w:val="2"/>
          <w:sz w:val="21"/>
          <w:szCs w:val="22"/>
          <w:lang w:val="en-US" w:eastAsia="zh-CN"/>
        </w:rPr>
      </w:pPr>
      <w:r>
        <w:rPr>
          <w:noProof/>
        </w:rPr>
        <w:t>4.7.2.6</w:t>
      </w:r>
      <w:r>
        <w:rPr>
          <w:rFonts w:asciiTheme="minorHAnsi" w:eastAsiaTheme="minorEastAsia" w:hAnsiTheme="minorHAnsi" w:cstheme="minorBidi"/>
          <w:noProof/>
          <w:kern w:val="2"/>
          <w:sz w:val="21"/>
          <w:szCs w:val="22"/>
          <w:lang w:val="en-US" w:eastAsia="zh-CN"/>
        </w:rPr>
        <w:tab/>
      </w:r>
      <w:r>
        <w:rPr>
          <w:noProof/>
        </w:rPr>
        <w:t>Nnwdaf_MLModelMonitor_Notify service operation</w:t>
      </w:r>
      <w:r>
        <w:rPr>
          <w:noProof/>
        </w:rPr>
        <w:tab/>
      </w:r>
      <w:r>
        <w:rPr>
          <w:noProof/>
        </w:rPr>
        <w:fldChar w:fldCharType="begin"/>
      </w:r>
      <w:r>
        <w:rPr>
          <w:noProof/>
        </w:rPr>
        <w:instrText xml:space="preserve"> PAGEREF _Toc199452790 \h </w:instrText>
      </w:r>
      <w:r>
        <w:rPr>
          <w:noProof/>
        </w:rPr>
      </w:r>
      <w:r>
        <w:rPr>
          <w:noProof/>
        </w:rPr>
        <w:fldChar w:fldCharType="separate"/>
      </w:r>
      <w:r>
        <w:rPr>
          <w:noProof/>
        </w:rPr>
        <w:t>91</w:t>
      </w:r>
      <w:r>
        <w:rPr>
          <w:noProof/>
        </w:rPr>
        <w:fldChar w:fldCharType="end"/>
      </w:r>
    </w:p>
    <w:p w14:paraId="60B89FC5" w14:textId="24A9CA29" w:rsidR="003F6EFC" w:rsidRDefault="003F6EFC">
      <w:pPr>
        <w:pStyle w:val="TOC5"/>
        <w:rPr>
          <w:rFonts w:asciiTheme="minorHAnsi" w:eastAsiaTheme="minorEastAsia" w:hAnsiTheme="minorHAnsi" w:cstheme="minorBidi"/>
          <w:noProof/>
          <w:kern w:val="2"/>
          <w:sz w:val="21"/>
          <w:szCs w:val="22"/>
          <w:lang w:val="en-US" w:eastAsia="zh-CN"/>
        </w:rPr>
      </w:pPr>
      <w:r>
        <w:rPr>
          <w:noProof/>
        </w:rPr>
        <w:t>4.7.2.6.1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_Toc199452791 \h </w:instrText>
      </w:r>
      <w:r>
        <w:rPr>
          <w:noProof/>
        </w:rPr>
      </w:r>
      <w:r>
        <w:rPr>
          <w:noProof/>
        </w:rPr>
        <w:fldChar w:fldCharType="separate"/>
      </w:r>
      <w:r>
        <w:rPr>
          <w:noProof/>
        </w:rPr>
        <w:t>91</w:t>
      </w:r>
      <w:r>
        <w:rPr>
          <w:noProof/>
        </w:rPr>
        <w:fldChar w:fldCharType="end"/>
      </w:r>
    </w:p>
    <w:p w14:paraId="25D6410E" w14:textId="21B8F097" w:rsidR="003F6EFC" w:rsidRDefault="003F6EFC">
      <w:pPr>
        <w:pStyle w:val="TOC5"/>
        <w:rPr>
          <w:rFonts w:asciiTheme="minorHAnsi" w:eastAsiaTheme="minorEastAsia" w:hAnsiTheme="minorHAnsi" w:cstheme="minorBidi"/>
          <w:noProof/>
          <w:kern w:val="2"/>
          <w:sz w:val="21"/>
          <w:szCs w:val="22"/>
          <w:lang w:val="en-US" w:eastAsia="zh-CN"/>
        </w:rPr>
      </w:pPr>
      <w:r>
        <w:rPr>
          <w:noProof/>
        </w:rPr>
        <w:t>4.7.2.6.2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_Toc199452792 \h </w:instrText>
      </w:r>
      <w:r>
        <w:rPr>
          <w:noProof/>
        </w:rPr>
      </w:r>
      <w:r>
        <w:rPr>
          <w:noProof/>
        </w:rPr>
        <w:fldChar w:fldCharType="separate"/>
      </w:r>
      <w:r>
        <w:rPr>
          <w:noProof/>
        </w:rPr>
        <w:t>91</w:t>
      </w:r>
      <w:r>
        <w:rPr>
          <w:noProof/>
        </w:rPr>
        <w:fldChar w:fldCharType="end"/>
      </w:r>
    </w:p>
    <w:p w14:paraId="278A6C90" w14:textId="3FF8DC1F" w:rsidR="003F6EFC" w:rsidRDefault="003F6EFC">
      <w:pPr>
        <w:pStyle w:val="TOC2"/>
        <w:rPr>
          <w:rFonts w:asciiTheme="minorHAnsi" w:eastAsiaTheme="minorEastAsia" w:hAnsiTheme="minorHAnsi" w:cstheme="minorBidi"/>
          <w:noProof/>
          <w:kern w:val="2"/>
          <w:sz w:val="21"/>
          <w:szCs w:val="22"/>
          <w:lang w:val="en-US" w:eastAsia="zh-CN"/>
        </w:rPr>
      </w:pPr>
      <w:r>
        <w:rPr>
          <w:noProof/>
        </w:rPr>
        <w:t>4.8</w:t>
      </w:r>
      <w:r>
        <w:rPr>
          <w:rFonts w:asciiTheme="minorHAnsi" w:eastAsiaTheme="minorEastAsia" w:hAnsiTheme="minorHAnsi" w:cstheme="minorBidi"/>
          <w:noProof/>
          <w:kern w:val="2"/>
          <w:sz w:val="21"/>
          <w:szCs w:val="22"/>
          <w:lang w:val="en-US" w:eastAsia="zh-CN"/>
        </w:rPr>
        <w:tab/>
      </w:r>
      <w:r w:rsidRPr="00D64295">
        <w:rPr>
          <w:noProof/>
          <w:lang w:val="en-US" w:eastAsia="zh-CN"/>
        </w:rPr>
        <w:t>Nnwdaf_RoamingData</w:t>
      </w:r>
      <w:r>
        <w:rPr>
          <w:noProof/>
        </w:rPr>
        <w:t xml:space="preserve"> Service</w:t>
      </w:r>
      <w:r>
        <w:rPr>
          <w:noProof/>
        </w:rPr>
        <w:tab/>
      </w:r>
      <w:r>
        <w:rPr>
          <w:noProof/>
        </w:rPr>
        <w:fldChar w:fldCharType="begin"/>
      </w:r>
      <w:r>
        <w:rPr>
          <w:noProof/>
        </w:rPr>
        <w:instrText xml:space="preserve"> PAGEREF _Toc199452793 \h </w:instrText>
      </w:r>
      <w:r>
        <w:rPr>
          <w:noProof/>
        </w:rPr>
      </w:r>
      <w:r>
        <w:rPr>
          <w:noProof/>
        </w:rPr>
        <w:fldChar w:fldCharType="separate"/>
      </w:r>
      <w:r>
        <w:rPr>
          <w:noProof/>
        </w:rPr>
        <w:t>92</w:t>
      </w:r>
      <w:r>
        <w:rPr>
          <w:noProof/>
        </w:rPr>
        <w:fldChar w:fldCharType="end"/>
      </w:r>
    </w:p>
    <w:p w14:paraId="047385D1" w14:textId="6D4F6EBC" w:rsidR="003F6EFC" w:rsidRDefault="003F6EFC">
      <w:pPr>
        <w:pStyle w:val="TOC3"/>
        <w:rPr>
          <w:rFonts w:asciiTheme="minorHAnsi" w:eastAsiaTheme="minorEastAsia" w:hAnsiTheme="minorHAnsi" w:cstheme="minorBidi"/>
          <w:noProof/>
          <w:kern w:val="2"/>
          <w:sz w:val="21"/>
          <w:szCs w:val="22"/>
          <w:lang w:val="en-US" w:eastAsia="zh-CN"/>
        </w:rPr>
      </w:pPr>
      <w:r>
        <w:rPr>
          <w:noProof/>
        </w:rPr>
        <w:t>4.8.1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_Toc199452794 \h </w:instrText>
      </w:r>
      <w:r>
        <w:rPr>
          <w:noProof/>
        </w:rPr>
      </w:r>
      <w:r>
        <w:rPr>
          <w:noProof/>
        </w:rPr>
        <w:fldChar w:fldCharType="separate"/>
      </w:r>
      <w:r>
        <w:rPr>
          <w:noProof/>
        </w:rPr>
        <w:t>92</w:t>
      </w:r>
      <w:r>
        <w:rPr>
          <w:noProof/>
        </w:rPr>
        <w:fldChar w:fldCharType="end"/>
      </w:r>
    </w:p>
    <w:p w14:paraId="5EE14A90" w14:textId="5210A877" w:rsidR="003F6EFC" w:rsidRDefault="003F6EFC">
      <w:pPr>
        <w:pStyle w:val="TOC4"/>
        <w:rPr>
          <w:rFonts w:asciiTheme="minorHAnsi" w:eastAsiaTheme="minorEastAsia" w:hAnsiTheme="minorHAnsi" w:cstheme="minorBidi"/>
          <w:noProof/>
          <w:kern w:val="2"/>
          <w:sz w:val="21"/>
          <w:szCs w:val="22"/>
          <w:lang w:val="en-US" w:eastAsia="zh-CN"/>
        </w:rPr>
      </w:pPr>
      <w:r>
        <w:rPr>
          <w:noProof/>
        </w:rPr>
        <w:t>4.8.</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_Toc199452795 \h </w:instrText>
      </w:r>
      <w:r>
        <w:rPr>
          <w:noProof/>
        </w:rPr>
      </w:r>
      <w:r>
        <w:rPr>
          <w:noProof/>
        </w:rPr>
        <w:fldChar w:fldCharType="separate"/>
      </w:r>
      <w:r>
        <w:rPr>
          <w:noProof/>
        </w:rPr>
        <w:t>92</w:t>
      </w:r>
      <w:r>
        <w:rPr>
          <w:noProof/>
        </w:rPr>
        <w:fldChar w:fldCharType="end"/>
      </w:r>
    </w:p>
    <w:p w14:paraId="03F65387" w14:textId="69AEF112" w:rsidR="003F6EFC" w:rsidRDefault="003F6EFC">
      <w:pPr>
        <w:pStyle w:val="TOC4"/>
        <w:rPr>
          <w:rFonts w:asciiTheme="minorHAnsi" w:eastAsiaTheme="minorEastAsia" w:hAnsiTheme="minorHAnsi" w:cstheme="minorBidi"/>
          <w:noProof/>
          <w:kern w:val="2"/>
          <w:sz w:val="21"/>
          <w:szCs w:val="22"/>
          <w:lang w:val="en-US" w:eastAsia="zh-CN"/>
        </w:rPr>
      </w:pPr>
      <w:r>
        <w:rPr>
          <w:noProof/>
        </w:rPr>
        <w:t>4.8.1.2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_Toc199452796 \h </w:instrText>
      </w:r>
      <w:r>
        <w:rPr>
          <w:noProof/>
        </w:rPr>
      </w:r>
      <w:r>
        <w:rPr>
          <w:noProof/>
        </w:rPr>
        <w:fldChar w:fldCharType="separate"/>
      </w:r>
      <w:r>
        <w:rPr>
          <w:noProof/>
        </w:rPr>
        <w:t>93</w:t>
      </w:r>
      <w:r>
        <w:rPr>
          <w:noProof/>
        </w:rPr>
        <w:fldChar w:fldCharType="end"/>
      </w:r>
    </w:p>
    <w:p w14:paraId="1BEF1406" w14:textId="2DA3CB64"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4.8.</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_Toc199452797 \h </w:instrText>
      </w:r>
      <w:r>
        <w:rPr>
          <w:noProof/>
        </w:rPr>
      </w:r>
      <w:r>
        <w:rPr>
          <w:noProof/>
        </w:rPr>
        <w:fldChar w:fldCharType="separate"/>
      </w:r>
      <w:r>
        <w:rPr>
          <w:noProof/>
        </w:rPr>
        <w:t>93</w:t>
      </w:r>
      <w:r>
        <w:rPr>
          <w:noProof/>
        </w:rPr>
        <w:fldChar w:fldCharType="end"/>
      </w:r>
    </w:p>
    <w:p w14:paraId="3DDFE393" w14:textId="20C82ACF" w:rsidR="003F6EFC" w:rsidRDefault="003F6EFC">
      <w:pPr>
        <w:pStyle w:val="TOC5"/>
        <w:rPr>
          <w:rFonts w:asciiTheme="minorHAnsi" w:eastAsiaTheme="minorEastAsia" w:hAnsiTheme="minorHAnsi" w:cstheme="minorBidi"/>
          <w:noProof/>
          <w:kern w:val="2"/>
          <w:sz w:val="21"/>
          <w:szCs w:val="22"/>
          <w:lang w:val="en-US" w:eastAsia="zh-CN"/>
        </w:rPr>
      </w:pPr>
      <w:r>
        <w:rPr>
          <w:noProof/>
        </w:rPr>
        <w:t>4.8.</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eastAsia="zh-CN"/>
        </w:rPr>
        <w:t>Network Data Analytics Function (NWDAF)</w:t>
      </w:r>
      <w:r>
        <w:rPr>
          <w:noProof/>
        </w:rPr>
        <w:tab/>
      </w:r>
      <w:r>
        <w:rPr>
          <w:noProof/>
        </w:rPr>
        <w:fldChar w:fldCharType="begin"/>
      </w:r>
      <w:r>
        <w:rPr>
          <w:noProof/>
        </w:rPr>
        <w:instrText xml:space="preserve"> PAGEREF _Toc199452798 \h </w:instrText>
      </w:r>
      <w:r>
        <w:rPr>
          <w:noProof/>
        </w:rPr>
      </w:r>
      <w:r>
        <w:rPr>
          <w:noProof/>
        </w:rPr>
        <w:fldChar w:fldCharType="separate"/>
      </w:r>
      <w:r>
        <w:rPr>
          <w:noProof/>
        </w:rPr>
        <w:t>93</w:t>
      </w:r>
      <w:r>
        <w:rPr>
          <w:noProof/>
        </w:rPr>
        <w:fldChar w:fldCharType="end"/>
      </w:r>
    </w:p>
    <w:p w14:paraId="512A5D7C" w14:textId="0613530A" w:rsidR="003F6EFC" w:rsidRDefault="003F6EFC">
      <w:pPr>
        <w:pStyle w:val="TOC5"/>
        <w:rPr>
          <w:rFonts w:asciiTheme="minorHAnsi" w:eastAsiaTheme="minorEastAsia" w:hAnsiTheme="minorHAnsi" w:cstheme="minorBidi"/>
          <w:noProof/>
          <w:kern w:val="2"/>
          <w:sz w:val="21"/>
          <w:szCs w:val="22"/>
          <w:lang w:val="en-US" w:eastAsia="zh-CN"/>
        </w:rPr>
      </w:pPr>
      <w:r>
        <w:rPr>
          <w:noProof/>
        </w:rPr>
        <w:t>4.8.</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_Toc199452799 \h </w:instrText>
      </w:r>
      <w:r>
        <w:rPr>
          <w:noProof/>
        </w:rPr>
      </w:r>
      <w:r>
        <w:rPr>
          <w:noProof/>
        </w:rPr>
        <w:fldChar w:fldCharType="separate"/>
      </w:r>
      <w:r>
        <w:rPr>
          <w:noProof/>
        </w:rPr>
        <w:t>93</w:t>
      </w:r>
      <w:r>
        <w:rPr>
          <w:noProof/>
        </w:rPr>
        <w:fldChar w:fldCharType="end"/>
      </w:r>
    </w:p>
    <w:p w14:paraId="61514B24" w14:textId="7B150474" w:rsidR="003F6EFC" w:rsidRDefault="003F6EFC">
      <w:pPr>
        <w:pStyle w:val="TOC3"/>
        <w:rPr>
          <w:rFonts w:asciiTheme="minorHAnsi" w:eastAsiaTheme="minorEastAsia" w:hAnsiTheme="minorHAnsi" w:cstheme="minorBidi"/>
          <w:noProof/>
          <w:kern w:val="2"/>
          <w:sz w:val="21"/>
          <w:szCs w:val="22"/>
          <w:lang w:val="en-US" w:eastAsia="zh-CN"/>
        </w:rPr>
      </w:pPr>
      <w:r>
        <w:rPr>
          <w:noProof/>
        </w:rPr>
        <w:t>4.8.2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_Toc199452800 \h </w:instrText>
      </w:r>
      <w:r>
        <w:rPr>
          <w:noProof/>
        </w:rPr>
      </w:r>
      <w:r>
        <w:rPr>
          <w:noProof/>
        </w:rPr>
        <w:fldChar w:fldCharType="separate"/>
      </w:r>
      <w:r>
        <w:rPr>
          <w:noProof/>
        </w:rPr>
        <w:t>94</w:t>
      </w:r>
      <w:r>
        <w:rPr>
          <w:noProof/>
        </w:rPr>
        <w:fldChar w:fldCharType="end"/>
      </w:r>
    </w:p>
    <w:p w14:paraId="06BC8FE7" w14:textId="09C57D24" w:rsidR="003F6EFC" w:rsidRDefault="003F6EFC">
      <w:pPr>
        <w:pStyle w:val="TOC4"/>
        <w:rPr>
          <w:rFonts w:asciiTheme="minorHAnsi" w:eastAsiaTheme="minorEastAsia" w:hAnsiTheme="minorHAnsi" w:cstheme="minorBidi"/>
          <w:noProof/>
          <w:kern w:val="2"/>
          <w:sz w:val="21"/>
          <w:szCs w:val="22"/>
          <w:lang w:val="en-US" w:eastAsia="zh-CN"/>
        </w:rPr>
      </w:pPr>
      <w:r>
        <w:rPr>
          <w:noProof/>
        </w:rPr>
        <w:t>4.8.2.1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_Toc199452801 \h </w:instrText>
      </w:r>
      <w:r>
        <w:rPr>
          <w:noProof/>
        </w:rPr>
      </w:r>
      <w:r>
        <w:rPr>
          <w:noProof/>
        </w:rPr>
        <w:fldChar w:fldCharType="separate"/>
      </w:r>
      <w:r>
        <w:rPr>
          <w:noProof/>
        </w:rPr>
        <w:t>94</w:t>
      </w:r>
      <w:r>
        <w:rPr>
          <w:noProof/>
        </w:rPr>
        <w:fldChar w:fldCharType="end"/>
      </w:r>
    </w:p>
    <w:p w14:paraId="0AE95302" w14:textId="1ACA23A4" w:rsidR="003F6EFC" w:rsidRDefault="003F6EFC">
      <w:pPr>
        <w:pStyle w:val="TOC4"/>
        <w:rPr>
          <w:rFonts w:asciiTheme="minorHAnsi" w:eastAsiaTheme="minorEastAsia" w:hAnsiTheme="minorHAnsi" w:cstheme="minorBidi"/>
          <w:noProof/>
          <w:kern w:val="2"/>
          <w:sz w:val="21"/>
          <w:szCs w:val="22"/>
          <w:lang w:val="en-US" w:eastAsia="zh-CN"/>
        </w:rPr>
      </w:pPr>
      <w:r>
        <w:rPr>
          <w:noProof/>
        </w:rPr>
        <w:t>4.8.2.2</w:t>
      </w:r>
      <w:r>
        <w:rPr>
          <w:rFonts w:asciiTheme="minorHAnsi" w:eastAsiaTheme="minorEastAsia" w:hAnsiTheme="minorHAnsi" w:cstheme="minorBidi"/>
          <w:noProof/>
          <w:kern w:val="2"/>
          <w:sz w:val="21"/>
          <w:szCs w:val="22"/>
          <w:lang w:val="en-US" w:eastAsia="zh-CN"/>
        </w:rPr>
        <w:tab/>
      </w:r>
      <w:r>
        <w:rPr>
          <w:noProof/>
        </w:rPr>
        <w:t>Nnwdaf_RoamingData_Subscribe service operation</w:t>
      </w:r>
      <w:r>
        <w:rPr>
          <w:noProof/>
        </w:rPr>
        <w:tab/>
      </w:r>
      <w:r>
        <w:rPr>
          <w:noProof/>
        </w:rPr>
        <w:fldChar w:fldCharType="begin"/>
      </w:r>
      <w:r>
        <w:rPr>
          <w:noProof/>
        </w:rPr>
        <w:instrText xml:space="preserve"> PAGEREF _Toc199452802 \h </w:instrText>
      </w:r>
      <w:r>
        <w:rPr>
          <w:noProof/>
        </w:rPr>
      </w:r>
      <w:r>
        <w:rPr>
          <w:noProof/>
        </w:rPr>
        <w:fldChar w:fldCharType="separate"/>
      </w:r>
      <w:r>
        <w:rPr>
          <w:noProof/>
        </w:rPr>
        <w:t>94</w:t>
      </w:r>
      <w:r>
        <w:rPr>
          <w:noProof/>
        </w:rPr>
        <w:fldChar w:fldCharType="end"/>
      </w:r>
    </w:p>
    <w:p w14:paraId="34222F25" w14:textId="6AB76FA9" w:rsidR="003F6EFC" w:rsidRDefault="003F6EFC">
      <w:pPr>
        <w:pStyle w:val="TOC5"/>
        <w:rPr>
          <w:rFonts w:asciiTheme="minorHAnsi" w:eastAsiaTheme="minorEastAsia" w:hAnsiTheme="minorHAnsi" w:cstheme="minorBidi"/>
          <w:noProof/>
          <w:kern w:val="2"/>
          <w:sz w:val="21"/>
          <w:szCs w:val="22"/>
          <w:lang w:val="en-US" w:eastAsia="zh-CN"/>
        </w:rPr>
      </w:pPr>
      <w:r>
        <w:rPr>
          <w:noProof/>
        </w:rPr>
        <w:t>4.8.2.2.1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_Toc199452803 \h </w:instrText>
      </w:r>
      <w:r>
        <w:rPr>
          <w:noProof/>
        </w:rPr>
      </w:r>
      <w:r>
        <w:rPr>
          <w:noProof/>
        </w:rPr>
        <w:fldChar w:fldCharType="separate"/>
      </w:r>
      <w:r>
        <w:rPr>
          <w:noProof/>
        </w:rPr>
        <w:t>94</w:t>
      </w:r>
      <w:r>
        <w:rPr>
          <w:noProof/>
        </w:rPr>
        <w:fldChar w:fldCharType="end"/>
      </w:r>
    </w:p>
    <w:p w14:paraId="1E7779DB" w14:textId="449295ED" w:rsidR="003F6EFC" w:rsidRDefault="003F6EFC">
      <w:pPr>
        <w:pStyle w:val="TOC5"/>
        <w:rPr>
          <w:rFonts w:asciiTheme="minorHAnsi" w:eastAsiaTheme="minorEastAsia" w:hAnsiTheme="minorHAnsi" w:cstheme="minorBidi"/>
          <w:noProof/>
          <w:kern w:val="2"/>
          <w:sz w:val="21"/>
          <w:szCs w:val="22"/>
          <w:lang w:val="en-US" w:eastAsia="zh-CN"/>
        </w:rPr>
      </w:pPr>
      <w:r>
        <w:rPr>
          <w:noProof/>
        </w:rPr>
        <w:t>4.8.2.2.2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_Toc199452804 \h </w:instrText>
      </w:r>
      <w:r>
        <w:rPr>
          <w:noProof/>
        </w:rPr>
      </w:r>
      <w:r>
        <w:rPr>
          <w:noProof/>
        </w:rPr>
        <w:fldChar w:fldCharType="separate"/>
      </w:r>
      <w:r>
        <w:rPr>
          <w:noProof/>
        </w:rPr>
        <w:t>94</w:t>
      </w:r>
      <w:r>
        <w:rPr>
          <w:noProof/>
        </w:rPr>
        <w:fldChar w:fldCharType="end"/>
      </w:r>
    </w:p>
    <w:p w14:paraId="688A911C" w14:textId="298DC7F2" w:rsidR="003F6EFC" w:rsidRDefault="003F6EFC">
      <w:pPr>
        <w:pStyle w:val="TOC5"/>
        <w:rPr>
          <w:rFonts w:asciiTheme="minorHAnsi" w:eastAsiaTheme="minorEastAsia" w:hAnsiTheme="minorHAnsi" w:cstheme="minorBidi"/>
          <w:noProof/>
          <w:kern w:val="2"/>
          <w:sz w:val="21"/>
          <w:szCs w:val="22"/>
          <w:lang w:val="en-US" w:eastAsia="zh-CN"/>
        </w:rPr>
      </w:pPr>
      <w:r>
        <w:rPr>
          <w:noProof/>
        </w:rPr>
        <w:t>4.8.2.2.3</w:t>
      </w:r>
      <w:r>
        <w:rPr>
          <w:rFonts w:asciiTheme="minorHAnsi" w:eastAsiaTheme="minorEastAsia" w:hAnsiTheme="minorHAnsi" w:cstheme="minorBidi"/>
          <w:noProof/>
          <w:kern w:val="2"/>
          <w:sz w:val="21"/>
          <w:szCs w:val="22"/>
          <w:lang w:val="en-US" w:eastAsia="zh-CN"/>
        </w:rPr>
        <w:tab/>
      </w:r>
      <w:r>
        <w:rPr>
          <w:noProof/>
        </w:rPr>
        <w:t>Update of subscription for event notifications</w:t>
      </w:r>
      <w:r>
        <w:rPr>
          <w:noProof/>
        </w:rPr>
        <w:tab/>
      </w:r>
      <w:r>
        <w:rPr>
          <w:noProof/>
        </w:rPr>
        <w:fldChar w:fldCharType="begin"/>
      </w:r>
      <w:r>
        <w:rPr>
          <w:noProof/>
        </w:rPr>
        <w:instrText xml:space="preserve"> PAGEREF _Toc199452805 \h </w:instrText>
      </w:r>
      <w:r>
        <w:rPr>
          <w:noProof/>
        </w:rPr>
      </w:r>
      <w:r>
        <w:rPr>
          <w:noProof/>
        </w:rPr>
        <w:fldChar w:fldCharType="separate"/>
      </w:r>
      <w:r>
        <w:rPr>
          <w:noProof/>
        </w:rPr>
        <w:t>95</w:t>
      </w:r>
      <w:r>
        <w:rPr>
          <w:noProof/>
        </w:rPr>
        <w:fldChar w:fldCharType="end"/>
      </w:r>
    </w:p>
    <w:p w14:paraId="26EDD51C" w14:textId="00EF9F90" w:rsidR="003F6EFC" w:rsidRDefault="003F6EFC">
      <w:pPr>
        <w:pStyle w:val="TOC4"/>
        <w:rPr>
          <w:rFonts w:asciiTheme="minorHAnsi" w:eastAsiaTheme="minorEastAsia" w:hAnsiTheme="minorHAnsi" w:cstheme="minorBidi"/>
          <w:noProof/>
          <w:kern w:val="2"/>
          <w:sz w:val="21"/>
          <w:szCs w:val="22"/>
          <w:lang w:val="en-US" w:eastAsia="zh-CN"/>
        </w:rPr>
      </w:pPr>
      <w:r>
        <w:rPr>
          <w:noProof/>
        </w:rPr>
        <w:t>4.8.2.3</w:t>
      </w:r>
      <w:r>
        <w:rPr>
          <w:rFonts w:asciiTheme="minorHAnsi" w:eastAsiaTheme="minorEastAsia" w:hAnsiTheme="minorHAnsi" w:cstheme="minorBidi"/>
          <w:noProof/>
          <w:kern w:val="2"/>
          <w:sz w:val="21"/>
          <w:szCs w:val="22"/>
          <w:lang w:val="en-US" w:eastAsia="zh-CN"/>
        </w:rPr>
        <w:tab/>
      </w:r>
      <w:r>
        <w:rPr>
          <w:noProof/>
        </w:rPr>
        <w:t>Nnwdaf_RoamingData_Unsubscribe service operation</w:t>
      </w:r>
      <w:r>
        <w:rPr>
          <w:noProof/>
        </w:rPr>
        <w:tab/>
      </w:r>
      <w:r>
        <w:rPr>
          <w:noProof/>
        </w:rPr>
        <w:fldChar w:fldCharType="begin"/>
      </w:r>
      <w:r>
        <w:rPr>
          <w:noProof/>
        </w:rPr>
        <w:instrText xml:space="preserve"> PAGEREF _Toc199452806 \h </w:instrText>
      </w:r>
      <w:r>
        <w:rPr>
          <w:noProof/>
        </w:rPr>
      </w:r>
      <w:r>
        <w:rPr>
          <w:noProof/>
        </w:rPr>
        <w:fldChar w:fldCharType="separate"/>
      </w:r>
      <w:r>
        <w:rPr>
          <w:noProof/>
        </w:rPr>
        <w:t>96</w:t>
      </w:r>
      <w:r>
        <w:rPr>
          <w:noProof/>
        </w:rPr>
        <w:fldChar w:fldCharType="end"/>
      </w:r>
    </w:p>
    <w:p w14:paraId="0D156945" w14:textId="071554B6" w:rsidR="003F6EFC" w:rsidRDefault="003F6EFC">
      <w:pPr>
        <w:pStyle w:val="TOC5"/>
        <w:rPr>
          <w:rFonts w:asciiTheme="minorHAnsi" w:eastAsiaTheme="minorEastAsia" w:hAnsiTheme="minorHAnsi" w:cstheme="minorBidi"/>
          <w:noProof/>
          <w:kern w:val="2"/>
          <w:sz w:val="21"/>
          <w:szCs w:val="22"/>
          <w:lang w:val="en-US" w:eastAsia="zh-CN"/>
        </w:rPr>
      </w:pPr>
      <w:r>
        <w:rPr>
          <w:noProof/>
        </w:rPr>
        <w:t>4.8.2.3.1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_Toc199452807 \h </w:instrText>
      </w:r>
      <w:r>
        <w:rPr>
          <w:noProof/>
        </w:rPr>
      </w:r>
      <w:r>
        <w:rPr>
          <w:noProof/>
        </w:rPr>
        <w:fldChar w:fldCharType="separate"/>
      </w:r>
      <w:r>
        <w:rPr>
          <w:noProof/>
        </w:rPr>
        <w:t>96</w:t>
      </w:r>
      <w:r>
        <w:rPr>
          <w:noProof/>
        </w:rPr>
        <w:fldChar w:fldCharType="end"/>
      </w:r>
    </w:p>
    <w:p w14:paraId="0974243B" w14:textId="1DCACE92" w:rsidR="003F6EFC" w:rsidRDefault="003F6EFC">
      <w:pPr>
        <w:pStyle w:val="TOC5"/>
        <w:rPr>
          <w:rFonts w:asciiTheme="minorHAnsi" w:eastAsiaTheme="minorEastAsia" w:hAnsiTheme="minorHAnsi" w:cstheme="minorBidi"/>
          <w:noProof/>
          <w:kern w:val="2"/>
          <w:sz w:val="21"/>
          <w:szCs w:val="22"/>
          <w:lang w:val="en-US" w:eastAsia="zh-CN"/>
        </w:rPr>
      </w:pPr>
      <w:r>
        <w:rPr>
          <w:noProof/>
        </w:rPr>
        <w:t>4.8.2.3.2</w:t>
      </w:r>
      <w:r>
        <w:rPr>
          <w:rFonts w:asciiTheme="minorHAnsi" w:eastAsiaTheme="minorEastAsia" w:hAnsiTheme="minorHAnsi" w:cstheme="minorBidi"/>
          <w:noProof/>
          <w:kern w:val="2"/>
          <w:sz w:val="21"/>
          <w:szCs w:val="22"/>
          <w:lang w:val="en-US" w:eastAsia="zh-CN"/>
        </w:rPr>
        <w:tab/>
      </w:r>
      <w:r>
        <w:rPr>
          <w:noProof/>
        </w:rPr>
        <w:t>Unsubscribe from event notifications</w:t>
      </w:r>
      <w:r>
        <w:rPr>
          <w:noProof/>
        </w:rPr>
        <w:tab/>
      </w:r>
      <w:r>
        <w:rPr>
          <w:noProof/>
        </w:rPr>
        <w:fldChar w:fldCharType="begin"/>
      </w:r>
      <w:r>
        <w:rPr>
          <w:noProof/>
        </w:rPr>
        <w:instrText xml:space="preserve"> PAGEREF _Toc199452808 \h </w:instrText>
      </w:r>
      <w:r>
        <w:rPr>
          <w:noProof/>
        </w:rPr>
      </w:r>
      <w:r>
        <w:rPr>
          <w:noProof/>
        </w:rPr>
        <w:fldChar w:fldCharType="separate"/>
      </w:r>
      <w:r>
        <w:rPr>
          <w:noProof/>
        </w:rPr>
        <w:t>96</w:t>
      </w:r>
      <w:r>
        <w:rPr>
          <w:noProof/>
        </w:rPr>
        <w:fldChar w:fldCharType="end"/>
      </w:r>
    </w:p>
    <w:p w14:paraId="479EACB2" w14:textId="28D5E030" w:rsidR="003F6EFC" w:rsidRDefault="003F6EFC">
      <w:pPr>
        <w:pStyle w:val="TOC4"/>
        <w:rPr>
          <w:rFonts w:asciiTheme="minorHAnsi" w:eastAsiaTheme="minorEastAsia" w:hAnsiTheme="minorHAnsi" w:cstheme="minorBidi"/>
          <w:noProof/>
          <w:kern w:val="2"/>
          <w:sz w:val="21"/>
          <w:szCs w:val="22"/>
          <w:lang w:val="en-US" w:eastAsia="zh-CN"/>
        </w:rPr>
      </w:pPr>
      <w:r>
        <w:rPr>
          <w:noProof/>
        </w:rPr>
        <w:t>4.8.2.4</w:t>
      </w:r>
      <w:r>
        <w:rPr>
          <w:rFonts w:asciiTheme="minorHAnsi" w:eastAsiaTheme="minorEastAsia" w:hAnsiTheme="minorHAnsi" w:cstheme="minorBidi"/>
          <w:noProof/>
          <w:kern w:val="2"/>
          <w:sz w:val="21"/>
          <w:szCs w:val="22"/>
          <w:lang w:val="en-US" w:eastAsia="zh-CN"/>
        </w:rPr>
        <w:tab/>
      </w:r>
      <w:r>
        <w:rPr>
          <w:noProof/>
        </w:rPr>
        <w:t>Nnwdaf_RoamingData_Notify service operation</w:t>
      </w:r>
      <w:r>
        <w:rPr>
          <w:noProof/>
        </w:rPr>
        <w:tab/>
      </w:r>
      <w:r>
        <w:rPr>
          <w:noProof/>
        </w:rPr>
        <w:fldChar w:fldCharType="begin"/>
      </w:r>
      <w:r>
        <w:rPr>
          <w:noProof/>
        </w:rPr>
        <w:instrText xml:space="preserve"> PAGEREF _Toc199452809 \h </w:instrText>
      </w:r>
      <w:r>
        <w:rPr>
          <w:noProof/>
        </w:rPr>
      </w:r>
      <w:r>
        <w:rPr>
          <w:noProof/>
        </w:rPr>
        <w:fldChar w:fldCharType="separate"/>
      </w:r>
      <w:r>
        <w:rPr>
          <w:noProof/>
        </w:rPr>
        <w:t>97</w:t>
      </w:r>
      <w:r>
        <w:rPr>
          <w:noProof/>
        </w:rPr>
        <w:fldChar w:fldCharType="end"/>
      </w:r>
    </w:p>
    <w:p w14:paraId="2D540A86" w14:textId="668949ED" w:rsidR="003F6EFC" w:rsidRDefault="003F6EFC">
      <w:pPr>
        <w:pStyle w:val="TOC5"/>
        <w:rPr>
          <w:rFonts w:asciiTheme="minorHAnsi" w:eastAsiaTheme="minorEastAsia" w:hAnsiTheme="minorHAnsi" w:cstheme="minorBidi"/>
          <w:noProof/>
          <w:kern w:val="2"/>
          <w:sz w:val="21"/>
          <w:szCs w:val="22"/>
          <w:lang w:val="en-US" w:eastAsia="zh-CN"/>
        </w:rPr>
      </w:pPr>
      <w:r>
        <w:rPr>
          <w:noProof/>
        </w:rPr>
        <w:t>4.8.2.4.1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_Toc199452810 \h </w:instrText>
      </w:r>
      <w:r>
        <w:rPr>
          <w:noProof/>
        </w:rPr>
      </w:r>
      <w:r>
        <w:rPr>
          <w:noProof/>
        </w:rPr>
        <w:fldChar w:fldCharType="separate"/>
      </w:r>
      <w:r>
        <w:rPr>
          <w:noProof/>
        </w:rPr>
        <w:t>97</w:t>
      </w:r>
      <w:r>
        <w:rPr>
          <w:noProof/>
        </w:rPr>
        <w:fldChar w:fldCharType="end"/>
      </w:r>
    </w:p>
    <w:p w14:paraId="0C2472B3" w14:textId="51B13CB9" w:rsidR="003F6EFC" w:rsidRDefault="003F6EFC">
      <w:pPr>
        <w:pStyle w:val="TOC5"/>
        <w:rPr>
          <w:rFonts w:asciiTheme="minorHAnsi" w:eastAsiaTheme="minorEastAsia" w:hAnsiTheme="minorHAnsi" w:cstheme="minorBidi"/>
          <w:noProof/>
          <w:kern w:val="2"/>
          <w:sz w:val="21"/>
          <w:szCs w:val="22"/>
          <w:lang w:val="en-US" w:eastAsia="zh-CN"/>
        </w:rPr>
      </w:pPr>
      <w:r>
        <w:rPr>
          <w:noProof/>
        </w:rPr>
        <w:t>4.8.2.4.2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_Toc199452811 \h </w:instrText>
      </w:r>
      <w:r>
        <w:rPr>
          <w:noProof/>
        </w:rPr>
      </w:r>
      <w:r>
        <w:rPr>
          <w:noProof/>
        </w:rPr>
        <w:fldChar w:fldCharType="separate"/>
      </w:r>
      <w:r>
        <w:rPr>
          <w:noProof/>
        </w:rPr>
        <w:t>97</w:t>
      </w:r>
      <w:r>
        <w:rPr>
          <w:noProof/>
        </w:rPr>
        <w:fldChar w:fldCharType="end"/>
      </w:r>
    </w:p>
    <w:p w14:paraId="6D510375" w14:textId="5526252D" w:rsidR="003F6EFC" w:rsidRDefault="003F6EFC">
      <w:pPr>
        <w:pStyle w:val="TOC4"/>
        <w:rPr>
          <w:rFonts w:asciiTheme="minorHAnsi" w:eastAsiaTheme="minorEastAsia" w:hAnsiTheme="minorHAnsi" w:cstheme="minorBidi"/>
          <w:noProof/>
          <w:kern w:val="2"/>
          <w:sz w:val="21"/>
          <w:szCs w:val="22"/>
          <w:lang w:val="en-US" w:eastAsia="zh-CN"/>
        </w:rPr>
      </w:pPr>
      <w:r>
        <w:rPr>
          <w:noProof/>
        </w:rPr>
        <w:t>4.9.1.2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_Toc199452812 \h </w:instrText>
      </w:r>
      <w:r>
        <w:rPr>
          <w:noProof/>
        </w:rPr>
      </w:r>
      <w:r>
        <w:rPr>
          <w:noProof/>
        </w:rPr>
        <w:fldChar w:fldCharType="separate"/>
      </w:r>
      <w:r>
        <w:rPr>
          <w:noProof/>
        </w:rPr>
        <w:t>98</w:t>
      </w:r>
      <w:r>
        <w:rPr>
          <w:noProof/>
        </w:rPr>
        <w:fldChar w:fldCharType="end"/>
      </w:r>
    </w:p>
    <w:p w14:paraId="57FE95D1" w14:textId="7C9FD9E5"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4.9.</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_Toc199452813 \h </w:instrText>
      </w:r>
      <w:r>
        <w:rPr>
          <w:noProof/>
        </w:rPr>
      </w:r>
      <w:r>
        <w:rPr>
          <w:noProof/>
        </w:rPr>
        <w:fldChar w:fldCharType="separate"/>
      </w:r>
      <w:r>
        <w:rPr>
          <w:noProof/>
        </w:rPr>
        <w:t>99</w:t>
      </w:r>
      <w:r>
        <w:rPr>
          <w:noProof/>
        </w:rPr>
        <w:fldChar w:fldCharType="end"/>
      </w:r>
    </w:p>
    <w:p w14:paraId="5CC64592" w14:textId="644C896C" w:rsidR="003F6EFC" w:rsidRDefault="003F6EFC">
      <w:pPr>
        <w:pStyle w:val="TOC5"/>
        <w:rPr>
          <w:rFonts w:asciiTheme="minorHAnsi" w:eastAsiaTheme="minorEastAsia" w:hAnsiTheme="minorHAnsi" w:cstheme="minorBidi"/>
          <w:noProof/>
          <w:kern w:val="2"/>
          <w:sz w:val="21"/>
          <w:szCs w:val="22"/>
          <w:lang w:val="en-US" w:eastAsia="zh-CN"/>
        </w:rPr>
      </w:pPr>
      <w:r>
        <w:rPr>
          <w:noProof/>
        </w:rPr>
        <w:t>4.9.</w:t>
      </w:r>
      <w:r>
        <w:rPr>
          <w:noProof/>
          <w:lang w:eastAsia="zh-CN"/>
        </w:rPr>
        <w:t>1.3.1</w:t>
      </w:r>
      <w:r>
        <w:rPr>
          <w:rFonts w:asciiTheme="minorHAnsi" w:eastAsiaTheme="minorEastAsia" w:hAnsiTheme="minorHAnsi" w:cstheme="minorBidi"/>
          <w:noProof/>
          <w:kern w:val="2"/>
          <w:sz w:val="21"/>
          <w:szCs w:val="22"/>
          <w:lang w:val="en-US" w:eastAsia="zh-CN"/>
        </w:rPr>
        <w:tab/>
      </w:r>
      <w:r>
        <w:rPr>
          <w:noProof/>
          <w:lang w:eastAsia="en-GB"/>
        </w:rPr>
        <w:t>Network Data Analytics Function (NWDAF)</w:t>
      </w:r>
      <w:r>
        <w:rPr>
          <w:noProof/>
        </w:rPr>
        <w:tab/>
      </w:r>
      <w:r>
        <w:rPr>
          <w:noProof/>
        </w:rPr>
        <w:fldChar w:fldCharType="begin"/>
      </w:r>
      <w:r>
        <w:rPr>
          <w:noProof/>
        </w:rPr>
        <w:instrText xml:space="preserve"> PAGEREF _Toc199452814 \h </w:instrText>
      </w:r>
      <w:r>
        <w:rPr>
          <w:noProof/>
        </w:rPr>
      </w:r>
      <w:r>
        <w:rPr>
          <w:noProof/>
        </w:rPr>
        <w:fldChar w:fldCharType="separate"/>
      </w:r>
      <w:r>
        <w:rPr>
          <w:noProof/>
        </w:rPr>
        <w:t>99</w:t>
      </w:r>
      <w:r>
        <w:rPr>
          <w:noProof/>
        </w:rPr>
        <w:fldChar w:fldCharType="end"/>
      </w:r>
    </w:p>
    <w:p w14:paraId="3D67D94A" w14:textId="724A83A4" w:rsidR="003F6EFC" w:rsidRDefault="003F6EFC">
      <w:pPr>
        <w:pStyle w:val="TOC5"/>
        <w:rPr>
          <w:rFonts w:asciiTheme="minorHAnsi" w:eastAsiaTheme="minorEastAsia" w:hAnsiTheme="minorHAnsi" w:cstheme="minorBidi"/>
          <w:noProof/>
          <w:kern w:val="2"/>
          <w:sz w:val="21"/>
          <w:szCs w:val="22"/>
          <w:lang w:val="en-US" w:eastAsia="zh-CN"/>
        </w:rPr>
      </w:pPr>
      <w:r>
        <w:rPr>
          <w:noProof/>
        </w:rPr>
        <w:t>4.9.</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_Toc199452815 \h </w:instrText>
      </w:r>
      <w:r>
        <w:rPr>
          <w:noProof/>
        </w:rPr>
      </w:r>
      <w:r>
        <w:rPr>
          <w:noProof/>
        </w:rPr>
        <w:fldChar w:fldCharType="separate"/>
      </w:r>
      <w:r>
        <w:rPr>
          <w:noProof/>
        </w:rPr>
        <w:t>99</w:t>
      </w:r>
      <w:r>
        <w:rPr>
          <w:noProof/>
        </w:rPr>
        <w:fldChar w:fldCharType="end"/>
      </w:r>
    </w:p>
    <w:p w14:paraId="5407D143" w14:textId="7B808CD0" w:rsidR="003F6EFC" w:rsidRDefault="003F6EFC">
      <w:pPr>
        <w:pStyle w:val="TOC3"/>
        <w:rPr>
          <w:rFonts w:asciiTheme="minorHAnsi" w:eastAsiaTheme="minorEastAsia" w:hAnsiTheme="minorHAnsi" w:cstheme="minorBidi"/>
          <w:noProof/>
          <w:kern w:val="2"/>
          <w:sz w:val="21"/>
          <w:szCs w:val="22"/>
          <w:lang w:val="en-US" w:eastAsia="zh-CN"/>
        </w:rPr>
      </w:pPr>
      <w:r>
        <w:rPr>
          <w:noProof/>
        </w:rPr>
        <w:t>4.9.2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_Toc199452816 \h </w:instrText>
      </w:r>
      <w:r>
        <w:rPr>
          <w:noProof/>
        </w:rPr>
      </w:r>
      <w:r>
        <w:rPr>
          <w:noProof/>
        </w:rPr>
        <w:fldChar w:fldCharType="separate"/>
      </w:r>
      <w:r>
        <w:rPr>
          <w:noProof/>
        </w:rPr>
        <w:t>100</w:t>
      </w:r>
      <w:r>
        <w:rPr>
          <w:noProof/>
        </w:rPr>
        <w:fldChar w:fldCharType="end"/>
      </w:r>
    </w:p>
    <w:p w14:paraId="4AF3C7F6" w14:textId="6E026A7B" w:rsidR="003F6EFC" w:rsidRDefault="003F6EFC">
      <w:pPr>
        <w:pStyle w:val="TOC4"/>
        <w:rPr>
          <w:rFonts w:asciiTheme="minorHAnsi" w:eastAsiaTheme="minorEastAsia" w:hAnsiTheme="minorHAnsi" w:cstheme="minorBidi"/>
          <w:noProof/>
          <w:kern w:val="2"/>
          <w:sz w:val="21"/>
          <w:szCs w:val="22"/>
          <w:lang w:val="en-US" w:eastAsia="zh-CN"/>
        </w:rPr>
      </w:pPr>
      <w:r>
        <w:rPr>
          <w:noProof/>
        </w:rPr>
        <w:t>4.9.2.1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_Toc199452817 \h </w:instrText>
      </w:r>
      <w:r>
        <w:rPr>
          <w:noProof/>
        </w:rPr>
      </w:r>
      <w:r>
        <w:rPr>
          <w:noProof/>
        </w:rPr>
        <w:fldChar w:fldCharType="separate"/>
      </w:r>
      <w:r>
        <w:rPr>
          <w:noProof/>
        </w:rPr>
        <w:t>100</w:t>
      </w:r>
      <w:r>
        <w:rPr>
          <w:noProof/>
        </w:rPr>
        <w:fldChar w:fldCharType="end"/>
      </w:r>
    </w:p>
    <w:p w14:paraId="054B134B" w14:textId="154C753B" w:rsidR="003F6EFC" w:rsidRDefault="003F6EFC">
      <w:pPr>
        <w:pStyle w:val="TOC4"/>
        <w:rPr>
          <w:rFonts w:asciiTheme="minorHAnsi" w:eastAsiaTheme="minorEastAsia" w:hAnsiTheme="minorHAnsi" w:cstheme="minorBidi"/>
          <w:noProof/>
          <w:kern w:val="2"/>
          <w:sz w:val="21"/>
          <w:szCs w:val="22"/>
          <w:lang w:val="en-US" w:eastAsia="zh-CN"/>
        </w:rPr>
      </w:pPr>
      <w:r>
        <w:rPr>
          <w:noProof/>
        </w:rPr>
        <w:t>4.9.2.2</w:t>
      </w:r>
      <w:r>
        <w:rPr>
          <w:rFonts w:asciiTheme="minorHAnsi" w:eastAsiaTheme="minorEastAsia" w:hAnsiTheme="minorHAnsi" w:cstheme="minorBidi"/>
          <w:noProof/>
          <w:kern w:val="2"/>
          <w:sz w:val="21"/>
          <w:szCs w:val="22"/>
          <w:lang w:val="en-US" w:eastAsia="zh-CN"/>
        </w:rPr>
        <w:tab/>
      </w:r>
      <w:r>
        <w:rPr>
          <w:noProof/>
        </w:rPr>
        <w:t>Nnwdaf_RoamingAnalytics_Subscribe service operation</w:t>
      </w:r>
      <w:r>
        <w:rPr>
          <w:noProof/>
        </w:rPr>
        <w:tab/>
      </w:r>
      <w:r>
        <w:rPr>
          <w:noProof/>
        </w:rPr>
        <w:fldChar w:fldCharType="begin"/>
      </w:r>
      <w:r>
        <w:rPr>
          <w:noProof/>
        </w:rPr>
        <w:instrText xml:space="preserve"> PAGEREF _Toc199452818 \h </w:instrText>
      </w:r>
      <w:r>
        <w:rPr>
          <w:noProof/>
        </w:rPr>
      </w:r>
      <w:r>
        <w:rPr>
          <w:noProof/>
        </w:rPr>
        <w:fldChar w:fldCharType="separate"/>
      </w:r>
      <w:r>
        <w:rPr>
          <w:noProof/>
        </w:rPr>
        <w:t>100</w:t>
      </w:r>
      <w:r>
        <w:rPr>
          <w:noProof/>
        </w:rPr>
        <w:fldChar w:fldCharType="end"/>
      </w:r>
    </w:p>
    <w:p w14:paraId="2C2FDF71" w14:textId="6BC86A90" w:rsidR="003F6EFC" w:rsidRDefault="003F6EFC">
      <w:pPr>
        <w:pStyle w:val="TOC5"/>
        <w:rPr>
          <w:rFonts w:asciiTheme="minorHAnsi" w:eastAsiaTheme="minorEastAsia" w:hAnsiTheme="minorHAnsi" w:cstheme="minorBidi"/>
          <w:noProof/>
          <w:kern w:val="2"/>
          <w:sz w:val="21"/>
          <w:szCs w:val="22"/>
          <w:lang w:val="en-US" w:eastAsia="zh-CN"/>
        </w:rPr>
      </w:pPr>
      <w:r>
        <w:rPr>
          <w:noProof/>
        </w:rPr>
        <w:t>4.9.2.2.1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_Toc199452819 \h </w:instrText>
      </w:r>
      <w:r>
        <w:rPr>
          <w:noProof/>
        </w:rPr>
      </w:r>
      <w:r>
        <w:rPr>
          <w:noProof/>
        </w:rPr>
        <w:fldChar w:fldCharType="separate"/>
      </w:r>
      <w:r>
        <w:rPr>
          <w:noProof/>
        </w:rPr>
        <w:t>100</w:t>
      </w:r>
      <w:r>
        <w:rPr>
          <w:noProof/>
        </w:rPr>
        <w:fldChar w:fldCharType="end"/>
      </w:r>
    </w:p>
    <w:p w14:paraId="439BB88F" w14:textId="59A0CAFF" w:rsidR="003F6EFC" w:rsidRDefault="003F6EFC">
      <w:pPr>
        <w:pStyle w:val="TOC5"/>
        <w:rPr>
          <w:rFonts w:asciiTheme="minorHAnsi" w:eastAsiaTheme="minorEastAsia" w:hAnsiTheme="minorHAnsi" w:cstheme="minorBidi"/>
          <w:noProof/>
          <w:kern w:val="2"/>
          <w:sz w:val="21"/>
          <w:szCs w:val="22"/>
          <w:lang w:val="en-US" w:eastAsia="zh-CN"/>
        </w:rPr>
      </w:pPr>
      <w:r>
        <w:rPr>
          <w:noProof/>
        </w:rPr>
        <w:t>4.9.2.2.2</w:t>
      </w:r>
      <w:r>
        <w:rPr>
          <w:rFonts w:asciiTheme="minorHAnsi" w:eastAsiaTheme="minorEastAsia" w:hAnsiTheme="minorHAnsi" w:cstheme="minorBidi"/>
          <w:noProof/>
          <w:kern w:val="2"/>
          <w:sz w:val="21"/>
          <w:szCs w:val="22"/>
          <w:lang w:val="en-US" w:eastAsia="zh-CN"/>
        </w:rPr>
        <w:tab/>
      </w:r>
      <w:r>
        <w:rPr>
          <w:noProof/>
        </w:rPr>
        <w:t>Subscription for event notifications</w:t>
      </w:r>
      <w:r>
        <w:rPr>
          <w:noProof/>
        </w:rPr>
        <w:tab/>
      </w:r>
      <w:r>
        <w:rPr>
          <w:noProof/>
        </w:rPr>
        <w:fldChar w:fldCharType="begin"/>
      </w:r>
      <w:r>
        <w:rPr>
          <w:noProof/>
        </w:rPr>
        <w:instrText xml:space="preserve"> PAGEREF _Toc199452820 \h </w:instrText>
      </w:r>
      <w:r>
        <w:rPr>
          <w:noProof/>
        </w:rPr>
      </w:r>
      <w:r>
        <w:rPr>
          <w:noProof/>
        </w:rPr>
        <w:fldChar w:fldCharType="separate"/>
      </w:r>
      <w:r>
        <w:rPr>
          <w:noProof/>
        </w:rPr>
        <w:t>100</w:t>
      </w:r>
      <w:r>
        <w:rPr>
          <w:noProof/>
        </w:rPr>
        <w:fldChar w:fldCharType="end"/>
      </w:r>
    </w:p>
    <w:p w14:paraId="48041CDE" w14:textId="27F1EF2F" w:rsidR="003F6EFC" w:rsidRDefault="003F6EFC">
      <w:pPr>
        <w:pStyle w:val="TOC4"/>
        <w:rPr>
          <w:rFonts w:asciiTheme="minorHAnsi" w:eastAsiaTheme="minorEastAsia" w:hAnsiTheme="minorHAnsi" w:cstheme="minorBidi"/>
          <w:noProof/>
          <w:kern w:val="2"/>
          <w:sz w:val="21"/>
          <w:szCs w:val="22"/>
          <w:lang w:val="en-US" w:eastAsia="zh-CN"/>
        </w:rPr>
      </w:pPr>
      <w:r>
        <w:rPr>
          <w:noProof/>
        </w:rPr>
        <w:t>4.9.2.4</w:t>
      </w:r>
      <w:r>
        <w:rPr>
          <w:rFonts w:asciiTheme="minorHAnsi" w:eastAsiaTheme="minorEastAsia" w:hAnsiTheme="minorHAnsi" w:cstheme="minorBidi"/>
          <w:noProof/>
          <w:kern w:val="2"/>
          <w:sz w:val="21"/>
          <w:szCs w:val="22"/>
          <w:lang w:val="en-US" w:eastAsia="zh-CN"/>
        </w:rPr>
        <w:tab/>
      </w:r>
      <w:r>
        <w:rPr>
          <w:noProof/>
        </w:rPr>
        <w:t>Nnwdaf_RoamingAnalytics_Notify service operation</w:t>
      </w:r>
      <w:r>
        <w:rPr>
          <w:noProof/>
        </w:rPr>
        <w:tab/>
      </w:r>
      <w:r>
        <w:rPr>
          <w:noProof/>
        </w:rPr>
        <w:fldChar w:fldCharType="begin"/>
      </w:r>
      <w:r>
        <w:rPr>
          <w:noProof/>
        </w:rPr>
        <w:instrText xml:space="preserve"> PAGEREF _Toc199452821 \h </w:instrText>
      </w:r>
      <w:r>
        <w:rPr>
          <w:noProof/>
        </w:rPr>
      </w:r>
      <w:r>
        <w:rPr>
          <w:noProof/>
        </w:rPr>
        <w:fldChar w:fldCharType="separate"/>
      </w:r>
      <w:r>
        <w:rPr>
          <w:noProof/>
        </w:rPr>
        <w:t>103</w:t>
      </w:r>
      <w:r>
        <w:rPr>
          <w:noProof/>
        </w:rPr>
        <w:fldChar w:fldCharType="end"/>
      </w:r>
    </w:p>
    <w:p w14:paraId="60D43F19" w14:textId="416CF920" w:rsidR="003F6EFC" w:rsidRDefault="003F6EFC">
      <w:pPr>
        <w:pStyle w:val="TOC5"/>
        <w:rPr>
          <w:rFonts w:asciiTheme="minorHAnsi" w:eastAsiaTheme="minorEastAsia" w:hAnsiTheme="minorHAnsi" w:cstheme="minorBidi"/>
          <w:noProof/>
          <w:kern w:val="2"/>
          <w:sz w:val="21"/>
          <w:szCs w:val="22"/>
          <w:lang w:val="en-US" w:eastAsia="zh-CN"/>
        </w:rPr>
      </w:pPr>
      <w:r>
        <w:rPr>
          <w:noProof/>
        </w:rPr>
        <w:t>4.9.2.4.1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_Toc199452822 \h </w:instrText>
      </w:r>
      <w:r>
        <w:rPr>
          <w:noProof/>
        </w:rPr>
      </w:r>
      <w:r>
        <w:rPr>
          <w:noProof/>
        </w:rPr>
        <w:fldChar w:fldCharType="separate"/>
      </w:r>
      <w:r>
        <w:rPr>
          <w:noProof/>
        </w:rPr>
        <w:t>103</w:t>
      </w:r>
      <w:r>
        <w:rPr>
          <w:noProof/>
        </w:rPr>
        <w:fldChar w:fldCharType="end"/>
      </w:r>
    </w:p>
    <w:p w14:paraId="498582BD" w14:textId="0705F3ED" w:rsidR="003F6EFC" w:rsidRDefault="003F6EFC">
      <w:pPr>
        <w:pStyle w:val="TOC5"/>
        <w:rPr>
          <w:rFonts w:asciiTheme="minorHAnsi" w:eastAsiaTheme="minorEastAsia" w:hAnsiTheme="minorHAnsi" w:cstheme="minorBidi"/>
          <w:noProof/>
          <w:kern w:val="2"/>
          <w:sz w:val="21"/>
          <w:szCs w:val="22"/>
          <w:lang w:val="en-US" w:eastAsia="zh-CN"/>
        </w:rPr>
      </w:pPr>
      <w:r>
        <w:rPr>
          <w:noProof/>
        </w:rPr>
        <w:t>4.9.2.4.2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_Toc199452823 \h </w:instrText>
      </w:r>
      <w:r>
        <w:rPr>
          <w:noProof/>
        </w:rPr>
      </w:r>
      <w:r>
        <w:rPr>
          <w:noProof/>
        </w:rPr>
        <w:fldChar w:fldCharType="separate"/>
      </w:r>
      <w:r>
        <w:rPr>
          <w:noProof/>
        </w:rPr>
        <w:t>104</w:t>
      </w:r>
      <w:r>
        <w:rPr>
          <w:noProof/>
        </w:rPr>
        <w:fldChar w:fldCharType="end"/>
      </w:r>
    </w:p>
    <w:p w14:paraId="21F572A4" w14:textId="528F674C" w:rsidR="003F6EFC" w:rsidRDefault="003F6EFC">
      <w:pPr>
        <w:pStyle w:val="TOC2"/>
        <w:rPr>
          <w:rFonts w:asciiTheme="minorHAnsi" w:eastAsiaTheme="minorEastAsia" w:hAnsiTheme="minorHAnsi" w:cstheme="minorBidi"/>
          <w:noProof/>
          <w:kern w:val="2"/>
          <w:sz w:val="21"/>
          <w:szCs w:val="22"/>
          <w:lang w:val="en-US" w:eastAsia="zh-CN"/>
        </w:rPr>
      </w:pPr>
      <w:r>
        <w:rPr>
          <w:noProof/>
        </w:rPr>
        <w:t>4.11</w:t>
      </w:r>
      <w:r>
        <w:rPr>
          <w:rFonts w:asciiTheme="minorHAnsi" w:eastAsiaTheme="minorEastAsia" w:hAnsiTheme="minorHAnsi" w:cstheme="minorBidi"/>
          <w:noProof/>
          <w:kern w:val="2"/>
          <w:sz w:val="21"/>
          <w:szCs w:val="22"/>
          <w:lang w:val="en-US" w:eastAsia="zh-CN"/>
        </w:rPr>
        <w:tab/>
      </w:r>
      <w:r>
        <w:rPr>
          <w:noProof/>
          <w:lang w:eastAsia="zh-CN"/>
        </w:rPr>
        <w:t>Nnwdaf_VFL Inference</w:t>
      </w:r>
      <w:r>
        <w:rPr>
          <w:noProof/>
        </w:rPr>
        <w:t xml:space="preserve"> Service</w:t>
      </w:r>
      <w:r>
        <w:rPr>
          <w:noProof/>
        </w:rPr>
        <w:tab/>
      </w:r>
      <w:r>
        <w:rPr>
          <w:noProof/>
        </w:rPr>
        <w:fldChar w:fldCharType="begin"/>
      </w:r>
      <w:r>
        <w:rPr>
          <w:noProof/>
        </w:rPr>
        <w:instrText xml:space="preserve"> PAGEREF _Toc199452824 \h </w:instrText>
      </w:r>
      <w:r>
        <w:rPr>
          <w:noProof/>
        </w:rPr>
      </w:r>
      <w:r>
        <w:rPr>
          <w:noProof/>
        </w:rPr>
        <w:fldChar w:fldCharType="separate"/>
      </w:r>
      <w:r>
        <w:rPr>
          <w:noProof/>
        </w:rPr>
        <w:t>110</w:t>
      </w:r>
      <w:r>
        <w:rPr>
          <w:noProof/>
        </w:rPr>
        <w:fldChar w:fldCharType="end"/>
      </w:r>
    </w:p>
    <w:p w14:paraId="603BB938" w14:textId="01DF8B1F" w:rsidR="003F6EFC" w:rsidRDefault="003F6EFC">
      <w:pPr>
        <w:pStyle w:val="TOC3"/>
        <w:rPr>
          <w:rFonts w:asciiTheme="minorHAnsi" w:eastAsiaTheme="minorEastAsia" w:hAnsiTheme="minorHAnsi" w:cstheme="minorBidi"/>
          <w:noProof/>
          <w:kern w:val="2"/>
          <w:sz w:val="21"/>
          <w:szCs w:val="22"/>
          <w:lang w:val="en-US" w:eastAsia="zh-CN"/>
        </w:rPr>
      </w:pPr>
      <w:r>
        <w:rPr>
          <w:noProof/>
        </w:rPr>
        <w:t>4.11.1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_Toc199452825 \h </w:instrText>
      </w:r>
      <w:r>
        <w:rPr>
          <w:noProof/>
        </w:rPr>
      </w:r>
      <w:r>
        <w:rPr>
          <w:noProof/>
        </w:rPr>
        <w:fldChar w:fldCharType="separate"/>
      </w:r>
      <w:r>
        <w:rPr>
          <w:noProof/>
        </w:rPr>
        <w:t>110</w:t>
      </w:r>
      <w:r>
        <w:rPr>
          <w:noProof/>
        </w:rPr>
        <w:fldChar w:fldCharType="end"/>
      </w:r>
    </w:p>
    <w:p w14:paraId="6E3D89A9" w14:textId="2AFF6413" w:rsidR="003F6EFC" w:rsidRDefault="003F6EFC">
      <w:pPr>
        <w:pStyle w:val="TOC4"/>
        <w:rPr>
          <w:rFonts w:asciiTheme="minorHAnsi" w:eastAsiaTheme="minorEastAsia" w:hAnsiTheme="minorHAnsi" w:cstheme="minorBidi"/>
          <w:noProof/>
          <w:kern w:val="2"/>
          <w:sz w:val="21"/>
          <w:szCs w:val="22"/>
          <w:lang w:val="en-US" w:eastAsia="zh-CN"/>
        </w:rPr>
      </w:pPr>
      <w:r>
        <w:rPr>
          <w:noProof/>
        </w:rPr>
        <w:t>4.11.</w:t>
      </w:r>
      <w:r>
        <w:rPr>
          <w:noProof/>
          <w:lang w:eastAsia="zh-CN"/>
        </w:rPr>
        <w:t>1.1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_Toc199452826 \h </w:instrText>
      </w:r>
      <w:r>
        <w:rPr>
          <w:noProof/>
        </w:rPr>
      </w:r>
      <w:r>
        <w:rPr>
          <w:noProof/>
        </w:rPr>
        <w:fldChar w:fldCharType="separate"/>
      </w:r>
      <w:r>
        <w:rPr>
          <w:noProof/>
        </w:rPr>
        <w:t>110</w:t>
      </w:r>
      <w:r>
        <w:rPr>
          <w:noProof/>
        </w:rPr>
        <w:fldChar w:fldCharType="end"/>
      </w:r>
    </w:p>
    <w:p w14:paraId="49D6FCF3" w14:textId="3E4EFEA9" w:rsidR="003F6EFC" w:rsidRDefault="003F6EFC">
      <w:pPr>
        <w:pStyle w:val="TOC4"/>
        <w:rPr>
          <w:rFonts w:asciiTheme="minorHAnsi" w:eastAsiaTheme="minorEastAsia" w:hAnsiTheme="minorHAnsi" w:cstheme="minorBidi"/>
          <w:noProof/>
          <w:kern w:val="2"/>
          <w:sz w:val="21"/>
          <w:szCs w:val="22"/>
          <w:lang w:val="en-US" w:eastAsia="zh-CN"/>
        </w:rPr>
      </w:pPr>
      <w:r>
        <w:rPr>
          <w:noProof/>
        </w:rPr>
        <w:t>4.11.1.2</w:t>
      </w:r>
      <w:r>
        <w:rPr>
          <w:rFonts w:asciiTheme="minorHAnsi" w:eastAsiaTheme="minorEastAsia" w:hAnsiTheme="minorHAnsi" w:cstheme="minorBidi"/>
          <w:noProof/>
          <w:kern w:val="2"/>
          <w:sz w:val="21"/>
          <w:szCs w:val="22"/>
          <w:lang w:val="en-US" w:eastAsia="zh-CN"/>
        </w:rPr>
        <w:tab/>
      </w:r>
      <w:r>
        <w:rPr>
          <w:noProof/>
        </w:rPr>
        <w:t>Service Architecture</w:t>
      </w:r>
      <w:r>
        <w:rPr>
          <w:noProof/>
        </w:rPr>
        <w:tab/>
      </w:r>
      <w:r>
        <w:rPr>
          <w:noProof/>
        </w:rPr>
        <w:fldChar w:fldCharType="begin"/>
      </w:r>
      <w:r>
        <w:rPr>
          <w:noProof/>
        </w:rPr>
        <w:instrText xml:space="preserve"> PAGEREF _Toc199452827 \h </w:instrText>
      </w:r>
      <w:r>
        <w:rPr>
          <w:noProof/>
        </w:rPr>
      </w:r>
      <w:r>
        <w:rPr>
          <w:noProof/>
        </w:rPr>
        <w:fldChar w:fldCharType="separate"/>
      </w:r>
      <w:r>
        <w:rPr>
          <w:noProof/>
        </w:rPr>
        <w:t>110</w:t>
      </w:r>
      <w:r>
        <w:rPr>
          <w:noProof/>
        </w:rPr>
        <w:fldChar w:fldCharType="end"/>
      </w:r>
    </w:p>
    <w:p w14:paraId="57B2C720" w14:textId="66BD6120"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4.11.</w:t>
      </w:r>
      <w:r w:rsidRPr="00D64295">
        <w:rPr>
          <w:noProof/>
          <w:lang w:val="en-US" w:eastAsia="zh-CN"/>
        </w:rPr>
        <w:t>1.3</w:t>
      </w:r>
      <w:r>
        <w:rPr>
          <w:rFonts w:asciiTheme="minorHAnsi" w:eastAsiaTheme="minorEastAsia" w:hAnsiTheme="minorHAnsi" w:cstheme="minorBidi"/>
          <w:noProof/>
          <w:kern w:val="2"/>
          <w:sz w:val="21"/>
          <w:szCs w:val="22"/>
          <w:lang w:val="en-US" w:eastAsia="zh-CN"/>
        </w:rPr>
        <w:tab/>
      </w:r>
      <w:r w:rsidRPr="00D64295">
        <w:rPr>
          <w:noProof/>
          <w:lang w:val="en-US"/>
        </w:rPr>
        <w:t>Network Functions</w:t>
      </w:r>
      <w:r>
        <w:rPr>
          <w:noProof/>
        </w:rPr>
        <w:tab/>
      </w:r>
      <w:r>
        <w:rPr>
          <w:noProof/>
        </w:rPr>
        <w:fldChar w:fldCharType="begin"/>
      </w:r>
      <w:r>
        <w:rPr>
          <w:noProof/>
        </w:rPr>
        <w:instrText xml:space="preserve"> PAGEREF _Toc199452828 \h </w:instrText>
      </w:r>
      <w:r>
        <w:rPr>
          <w:noProof/>
        </w:rPr>
      </w:r>
      <w:r>
        <w:rPr>
          <w:noProof/>
        </w:rPr>
        <w:fldChar w:fldCharType="separate"/>
      </w:r>
      <w:r>
        <w:rPr>
          <w:noProof/>
        </w:rPr>
        <w:t>111</w:t>
      </w:r>
      <w:r>
        <w:rPr>
          <w:noProof/>
        </w:rPr>
        <w:fldChar w:fldCharType="end"/>
      </w:r>
    </w:p>
    <w:p w14:paraId="008DF018" w14:textId="1141DFF0" w:rsidR="003F6EFC" w:rsidRDefault="003F6EFC">
      <w:pPr>
        <w:pStyle w:val="TOC5"/>
        <w:rPr>
          <w:rFonts w:asciiTheme="minorHAnsi" w:eastAsiaTheme="minorEastAsia" w:hAnsiTheme="minorHAnsi" w:cstheme="minorBidi"/>
          <w:noProof/>
          <w:kern w:val="2"/>
          <w:sz w:val="21"/>
          <w:szCs w:val="22"/>
          <w:lang w:val="en-US" w:eastAsia="zh-CN"/>
        </w:rPr>
      </w:pPr>
      <w:r>
        <w:rPr>
          <w:noProof/>
        </w:rPr>
        <w:t>4.11.</w:t>
      </w:r>
      <w:r>
        <w:rPr>
          <w:noProof/>
          <w:lang w:eastAsia="zh-CN"/>
        </w:rPr>
        <w:t>1.3.1</w:t>
      </w:r>
      <w:r>
        <w:rPr>
          <w:rFonts w:asciiTheme="minorHAnsi" w:eastAsiaTheme="minorEastAsia" w:hAnsiTheme="minorHAnsi" w:cstheme="minorBidi"/>
          <w:noProof/>
          <w:kern w:val="2"/>
          <w:sz w:val="21"/>
          <w:szCs w:val="22"/>
          <w:lang w:val="en-US" w:eastAsia="zh-CN"/>
        </w:rPr>
        <w:tab/>
      </w:r>
      <w:r w:rsidRPr="00D64295">
        <w:rPr>
          <w:noProof/>
          <w:lang w:val="en-US"/>
        </w:rPr>
        <w:t>Network Data Analytics Function (NWDAF)</w:t>
      </w:r>
      <w:r>
        <w:rPr>
          <w:noProof/>
        </w:rPr>
        <w:tab/>
      </w:r>
      <w:r>
        <w:rPr>
          <w:noProof/>
        </w:rPr>
        <w:fldChar w:fldCharType="begin"/>
      </w:r>
      <w:r>
        <w:rPr>
          <w:noProof/>
        </w:rPr>
        <w:instrText xml:space="preserve"> PAGEREF _Toc199452829 \h </w:instrText>
      </w:r>
      <w:r>
        <w:rPr>
          <w:noProof/>
        </w:rPr>
      </w:r>
      <w:r>
        <w:rPr>
          <w:noProof/>
        </w:rPr>
        <w:fldChar w:fldCharType="separate"/>
      </w:r>
      <w:r>
        <w:rPr>
          <w:noProof/>
        </w:rPr>
        <w:t>111</w:t>
      </w:r>
      <w:r>
        <w:rPr>
          <w:noProof/>
        </w:rPr>
        <w:fldChar w:fldCharType="end"/>
      </w:r>
    </w:p>
    <w:p w14:paraId="6040778C" w14:textId="3A2C7759" w:rsidR="003F6EFC" w:rsidRDefault="003F6EFC">
      <w:pPr>
        <w:pStyle w:val="TOC5"/>
        <w:rPr>
          <w:rFonts w:asciiTheme="minorHAnsi" w:eastAsiaTheme="minorEastAsia" w:hAnsiTheme="minorHAnsi" w:cstheme="minorBidi"/>
          <w:noProof/>
          <w:kern w:val="2"/>
          <w:sz w:val="21"/>
          <w:szCs w:val="22"/>
          <w:lang w:val="en-US" w:eastAsia="zh-CN"/>
        </w:rPr>
      </w:pPr>
      <w:r>
        <w:rPr>
          <w:noProof/>
        </w:rPr>
        <w:t>4.11.</w:t>
      </w:r>
      <w:r>
        <w:rPr>
          <w:noProof/>
          <w:lang w:eastAsia="zh-CN"/>
        </w:rPr>
        <w:t>1.3.2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_Toc199452830 \h </w:instrText>
      </w:r>
      <w:r>
        <w:rPr>
          <w:noProof/>
        </w:rPr>
      </w:r>
      <w:r>
        <w:rPr>
          <w:noProof/>
        </w:rPr>
        <w:fldChar w:fldCharType="separate"/>
      </w:r>
      <w:r>
        <w:rPr>
          <w:noProof/>
        </w:rPr>
        <w:t>111</w:t>
      </w:r>
      <w:r>
        <w:rPr>
          <w:noProof/>
        </w:rPr>
        <w:fldChar w:fldCharType="end"/>
      </w:r>
    </w:p>
    <w:p w14:paraId="243723DB" w14:textId="4CC81F5D" w:rsidR="003F6EFC" w:rsidRDefault="003F6EFC">
      <w:pPr>
        <w:pStyle w:val="TOC3"/>
        <w:rPr>
          <w:rFonts w:asciiTheme="minorHAnsi" w:eastAsiaTheme="minorEastAsia" w:hAnsiTheme="minorHAnsi" w:cstheme="minorBidi"/>
          <w:noProof/>
          <w:kern w:val="2"/>
          <w:sz w:val="21"/>
          <w:szCs w:val="22"/>
          <w:lang w:val="en-US" w:eastAsia="zh-CN"/>
        </w:rPr>
      </w:pPr>
      <w:r>
        <w:rPr>
          <w:noProof/>
        </w:rPr>
        <w:t>4.11.2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_Toc199452831 \h </w:instrText>
      </w:r>
      <w:r>
        <w:rPr>
          <w:noProof/>
        </w:rPr>
      </w:r>
      <w:r>
        <w:rPr>
          <w:noProof/>
        </w:rPr>
        <w:fldChar w:fldCharType="separate"/>
      </w:r>
      <w:r>
        <w:rPr>
          <w:noProof/>
        </w:rPr>
        <w:t>111</w:t>
      </w:r>
      <w:r>
        <w:rPr>
          <w:noProof/>
        </w:rPr>
        <w:fldChar w:fldCharType="end"/>
      </w:r>
    </w:p>
    <w:p w14:paraId="7267605F" w14:textId="32DE8638" w:rsidR="003F6EFC" w:rsidRDefault="003F6EFC">
      <w:pPr>
        <w:pStyle w:val="TOC4"/>
        <w:rPr>
          <w:rFonts w:asciiTheme="minorHAnsi" w:eastAsiaTheme="minorEastAsia" w:hAnsiTheme="minorHAnsi" w:cstheme="minorBidi"/>
          <w:noProof/>
          <w:kern w:val="2"/>
          <w:sz w:val="21"/>
          <w:szCs w:val="22"/>
          <w:lang w:val="en-US" w:eastAsia="zh-CN"/>
        </w:rPr>
      </w:pPr>
      <w:r>
        <w:rPr>
          <w:noProof/>
        </w:rPr>
        <w:t>4.11.2.1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_Toc199452832 \h </w:instrText>
      </w:r>
      <w:r>
        <w:rPr>
          <w:noProof/>
        </w:rPr>
      </w:r>
      <w:r>
        <w:rPr>
          <w:noProof/>
        </w:rPr>
        <w:fldChar w:fldCharType="separate"/>
      </w:r>
      <w:r>
        <w:rPr>
          <w:noProof/>
        </w:rPr>
        <w:t>111</w:t>
      </w:r>
      <w:r>
        <w:rPr>
          <w:noProof/>
        </w:rPr>
        <w:fldChar w:fldCharType="end"/>
      </w:r>
    </w:p>
    <w:p w14:paraId="02E91839" w14:textId="6220424F" w:rsidR="003F6EFC" w:rsidRDefault="003F6EFC">
      <w:pPr>
        <w:pStyle w:val="TOC4"/>
        <w:rPr>
          <w:rFonts w:asciiTheme="minorHAnsi" w:eastAsiaTheme="minorEastAsia" w:hAnsiTheme="minorHAnsi" w:cstheme="minorBidi"/>
          <w:noProof/>
          <w:kern w:val="2"/>
          <w:sz w:val="21"/>
          <w:szCs w:val="22"/>
          <w:lang w:val="en-US" w:eastAsia="zh-CN"/>
        </w:rPr>
      </w:pPr>
      <w:r>
        <w:rPr>
          <w:noProof/>
        </w:rPr>
        <w:t>4.11.2.2</w:t>
      </w:r>
      <w:r>
        <w:rPr>
          <w:rFonts w:asciiTheme="minorHAnsi" w:eastAsiaTheme="minorEastAsia" w:hAnsiTheme="minorHAnsi" w:cstheme="minorBidi"/>
          <w:noProof/>
          <w:kern w:val="2"/>
          <w:sz w:val="21"/>
          <w:szCs w:val="22"/>
          <w:lang w:val="en-US" w:eastAsia="zh-CN"/>
        </w:rPr>
        <w:tab/>
      </w:r>
      <w:r>
        <w:rPr>
          <w:noProof/>
          <w:lang w:eastAsia="ja-JP"/>
        </w:rPr>
        <w:t>Nnwdaf_VFLInference_Subscribe</w:t>
      </w:r>
      <w:r>
        <w:rPr>
          <w:noProof/>
        </w:rPr>
        <w:t xml:space="preserve"> service operation</w:t>
      </w:r>
      <w:r>
        <w:rPr>
          <w:noProof/>
        </w:rPr>
        <w:tab/>
      </w:r>
      <w:r>
        <w:rPr>
          <w:noProof/>
        </w:rPr>
        <w:fldChar w:fldCharType="begin"/>
      </w:r>
      <w:r>
        <w:rPr>
          <w:noProof/>
        </w:rPr>
        <w:instrText xml:space="preserve"> PAGEREF _Toc199452833 \h </w:instrText>
      </w:r>
      <w:r>
        <w:rPr>
          <w:noProof/>
        </w:rPr>
      </w:r>
      <w:r>
        <w:rPr>
          <w:noProof/>
        </w:rPr>
        <w:fldChar w:fldCharType="separate"/>
      </w:r>
      <w:r>
        <w:rPr>
          <w:noProof/>
        </w:rPr>
        <w:t>112</w:t>
      </w:r>
      <w:r>
        <w:rPr>
          <w:noProof/>
        </w:rPr>
        <w:fldChar w:fldCharType="end"/>
      </w:r>
    </w:p>
    <w:p w14:paraId="4352F1FD" w14:textId="356B2FED" w:rsidR="003F6EFC" w:rsidRDefault="003F6EFC">
      <w:pPr>
        <w:pStyle w:val="TOC5"/>
        <w:rPr>
          <w:rFonts w:asciiTheme="minorHAnsi" w:eastAsiaTheme="minorEastAsia" w:hAnsiTheme="minorHAnsi" w:cstheme="minorBidi"/>
          <w:noProof/>
          <w:kern w:val="2"/>
          <w:sz w:val="21"/>
          <w:szCs w:val="22"/>
          <w:lang w:val="en-US" w:eastAsia="zh-CN"/>
        </w:rPr>
      </w:pPr>
      <w:r>
        <w:rPr>
          <w:noProof/>
        </w:rPr>
        <w:t>4.11.2.2.1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_Toc199452834 \h </w:instrText>
      </w:r>
      <w:r>
        <w:rPr>
          <w:noProof/>
        </w:rPr>
      </w:r>
      <w:r>
        <w:rPr>
          <w:noProof/>
        </w:rPr>
        <w:fldChar w:fldCharType="separate"/>
      </w:r>
      <w:r>
        <w:rPr>
          <w:noProof/>
        </w:rPr>
        <w:t>112</w:t>
      </w:r>
      <w:r>
        <w:rPr>
          <w:noProof/>
        </w:rPr>
        <w:fldChar w:fldCharType="end"/>
      </w:r>
    </w:p>
    <w:p w14:paraId="601A41FD" w14:textId="7C7D39C3" w:rsidR="003F6EFC" w:rsidRDefault="003F6EFC">
      <w:pPr>
        <w:pStyle w:val="TOC5"/>
        <w:rPr>
          <w:rFonts w:asciiTheme="minorHAnsi" w:eastAsiaTheme="minorEastAsia" w:hAnsiTheme="minorHAnsi" w:cstheme="minorBidi"/>
          <w:noProof/>
          <w:kern w:val="2"/>
          <w:sz w:val="21"/>
          <w:szCs w:val="22"/>
          <w:lang w:val="en-US" w:eastAsia="zh-CN"/>
        </w:rPr>
      </w:pPr>
      <w:r>
        <w:rPr>
          <w:noProof/>
        </w:rPr>
        <w:t>4.11.2.2.2</w:t>
      </w:r>
      <w:r>
        <w:rPr>
          <w:rFonts w:asciiTheme="minorHAnsi" w:eastAsiaTheme="minorEastAsia" w:hAnsiTheme="minorHAnsi" w:cstheme="minorBidi"/>
          <w:noProof/>
          <w:kern w:val="2"/>
          <w:sz w:val="21"/>
          <w:szCs w:val="22"/>
          <w:lang w:val="en-US" w:eastAsia="zh-CN"/>
        </w:rPr>
        <w:tab/>
      </w:r>
      <w:r>
        <w:rPr>
          <w:noProof/>
        </w:rPr>
        <w:t>Subscription for VFL inference event notifications</w:t>
      </w:r>
      <w:r>
        <w:rPr>
          <w:noProof/>
        </w:rPr>
        <w:tab/>
      </w:r>
      <w:r>
        <w:rPr>
          <w:noProof/>
        </w:rPr>
        <w:fldChar w:fldCharType="begin"/>
      </w:r>
      <w:r>
        <w:rPr>
          <w:noProof/>
        </w:rPr>
        <w:instrText xml:space="preserve"> PAGEREF _Toc199452835 \h </w:instrText>
      </w:r>
      <w:r>
        <w:rPr>
          <w:noProof/>
        </w:rPr>
      </w:r>
      <w:r>
        <w:rPr>
          <w:noProof/>
        </w:rPr>
        <w:fldChar w:fldCharType="separate"/>
      </w:r>
      <w:r>
        <w:rPr>
          <w:noProof/>
        </w:rPr>
        <w:t>112</w:t>
      </w:r>
      <w:r>
        <w:rPr>
          <w:noProof/>
        </w:rPr>
        <w:fldChar w:fldCharType="end"/>
      </w:r>
    </w:p>
    <w:p w14:paraId="6A6277E6" w14:textId="4F03170D" w:rsidR="003F6EFC" w:rsidRDefault="003F6EFC">
      <w:pPr>
        <w:pStyle w:val="TOC5"/>
        <w:rPr>
          <w:rFonts w:asciiTheme="minorHAnsi" w:eastAsiaTheme="minorEastAsia" w:hAnsiTheme="minorHAnsi" w:cstheme="minorBidi"/>
          <w:noProof/>
          <w:kern w:val="2"/>
          <w:sz w:val="21"/>
          <w:szCs w:val="22"/>
          <w:lang w:val="en-US" w:eastAsia="zh-CN"/>
        </w:rPr>
      </w:pPr>
      <w:r>
        <w:rPr>
          <w:noProof/>
        </w:rPr>
        <w:t>4.11.2.2.3</w:t>
      </w:r>
      <w:r>
        <w:rPr>
          <w:rFonts w:asciiTheme="minorHAnsi" w:eastAsiaTheme="minorEastAsia" w:hAnsiTheme="minorHAnsi" w:cstheme="minorBidi"/>
          <w:noProof/>
          <w:kern w:val="2"/>
          <w:sz w:val="21"/>
          <w:szCs w:val="22"/>
          <w:lang w:val="en-US" w:eastAsia="zh-CN"/>
        </w:rPr>
        <w:tab/>
      </w:r>
      <w:r>
        <w:rPr>
          <w:noProof/>
        </w:rPr>
        <w:t>Update subscription for event notifications</w:t>
      </w:r>
      <w:r>
        <w:rPr>
          <w:noProof/>
        </w:rPr>
        <w:tab/>
      </w:r>
      <w:r>
        <w:rPr>
          <w:noProof/>
        </w:rPr>
        <w:fldChar w:fldCharType="begin"/>
      </w:r>
      <w:r>
        <w:rPr>
          <w:noProof/>
        </w:rPr>
        <w:instrText xml:space="preserve"> PAGEREF _Toc199452836 \h </w:instrText>
      </w:r>
      <w:r>
        <w:rPr>
          <w:noProof/>
        </w:rPr>
      </w:r>
      <w:r>
        <w:rPr>
          <w:noProof/>
        </w:rPr>
        <w:fldChar w:fldCharType="separate"/>
      </w:r>
      <w:r>
        <w:rPr>
          <w:noProof/>
        </w:rPr>
        <w:t>113</w:t>
      </w:r>
      <w:r>
        <w:rPr>
          <w:noProof/>
        </w:rPr>
        <w:fldChar w:fldCharType="end"/>
      </w:r>
    </w:p>
    <w:p w14:paraId="5E9EAF75" w14:textId="1FF06150" w:rsidR="003F6EFC" w:rsidRDefault="003F6EFC">
      <w:pPr>
        <w:pStyle w:val="TOC5"/>
        <w:rPr>
          <w:rFonts w:asciiTheme="minorHAnsi" w:eastAsiaTheme="minorEastAsia" w:hAnsiTheme="minorHAnsi" w:cstheme="minorBidi"/>
          <w:noProof/>
          <w:kern w:val="2"/>
          <w:sz w:val="21"/>
          <w:szCs w:val="22"/>
          <w:lang w:val="en-US" w:eastAsia="zh-CN"/>
        </w:rPr>
      </w:pPr>
      <w:r>
        <w:rPr>
          <w:noProof/>
        </w:rPr>
        <w:t>4.11.2.2.4</w:t>
      </w:r>
      <w:r>
        <w:rPr>
          <w:rFonts w:asciiTheme="minorHAnsi" w:eastAsiaTheme="minorEastAsia" w:hAnsiTheme="minorHAnsi" w:cstheme="minorBidi"/>
          <w:noProof/>
          <w:kern w:val="2"/>
          <w:sz w:val="21"/>
          <w:szCs w:val="22"/>
          <w:lang w:val="en-US" w:eastAsia="zh-CN"/>
        </w:rPr>
        <w:tab/>
      </w:r>
      <w:r>
        <w:rPr>
          <w:noProof/>
        </w:rPr>
        <w:t>Partial update subscription for event notifications</w:t>
      </w:r>
      <w:r>
        <w:rPr>
          <w:noProof/>
        </w:rPr>
        <w:tab/>
      </w:r>
      <w:r>
        <w:rPr>
          <w:noProof/>
        </w:rPr>
        <w:fldChar w:fldCharType="begin"/>
      </w:r>
      <w:r>
        <w:rPr>
          <w:noProof/>
        </w:rPr>
        <w:instrText xml:space="preserve"> PAGEREF _Toc199452837 \h </w:instrText>
      </w:r>
      <w:r>
        <w:rPr>
          <w:noProof/>
        </w:rPr>
      </w:r>
      <w:r>
        <w:rPr>
          <w:noProof/>
        </w:rPr>
        <w:fldChar w:fldCharType="separate"/>
      </w:r>
      <w:r>
        <w:rPr>
          <w:noProof/>
        </w:rPr>
        <w:t>113</w:t>
      </w:r>
      <w:r>
        <w:rPr>
          <w:noProof/>
        </w:rPr>
        <w:fldChar w:fldCharType="end"/>
      </w:r>
    </w:p>
    <w:p w14:paraId="08BE13D8" w14:textId="3F2BE10F" w:rsidR="003F6EFC" w:rsidRDefault="003F6EFC">
      <w:pPr>
        <w:pStyle w:val="TOC4"/>
        <w:rPr>
          <w:rFonts w:asciiTheme="minorHAnsi" w:eastAsiaTheme="minorEastAsia" w:hAnsiTheme="minorHAnsi" w:cstheme="minorBidi"/>
          <w:noProof/>
          <w:kern w:val="2"/>
          <w:sz w:val="21"/>
          <w:szCs w:val="22"/>
          <w:lang w:val="en-US" w:eastAsia="zh-CN"/>
        </w:rPr>
      </w:pPr>
      <w:r>
        <w:rPr>
          <w:noProof/>
        </w:rPr>
        <w:t>4.11.2.3</w:t>
      </w:r>
      <w:r>
        <w:rPr>
          <w:rFonts w:asciiTheme="minorHAnsi" w:eastAsiaTheme="minorEastAsia" w:hAnsiTheme="minorHAnsi" w:cstheme="minorBidi"/>
          <w:noProof/>
          <w:kern w:val="2"/>
          <w:sz w:val="21"/>
          <w:szCs w:val="22"/>
          <w:lang w:val="en-US" w:eastAsia="zh-CN"/>
        </w:rPr>
        <w:tab/>
      </w:r>
      <w:r>
        <w:rPr>
          <w:noProof/>
          <w:lang w:eastAsia="ja-JP"/>
        </w:rPr>
        <w:t>Nnwdaf_VFLInference_Unsubscribe</w:t>
      </w:r>
      <w:r>
        <w:rPr>
          <w:noProof/>
        </w:rPr>
        <w:t xml:space="preserve"> service operation</w:t>
      </w:r>
      <w:r>
        <w:rPr>
          <w:noProof/>
        </w:rPr>
        <w:tab/>
      </w:r>
      <w:r>
        <w:rPr>
          <w:noProof/>
        </w:rPr>
        <w:fldChar w:fldCharType="begin"/>
      </w:r>
      <w:r>
        <w:rPr>
          <w:noProof/>
        </w:rPr>
        <w:instrText xml:space="preserve"> PAGEREF _Toc199452838 \h </w:instrText>
      </w:r>
      <w:r>
        <w:rPr>
          <w:noProof/>
        </w:rPr>
      </w:r>
      <w:r>
        <w:rPr>
          <w:noProof/>
        </w:rPr>
        <w:fldChar w:fldCharType="separate"/>
      </w:r>
      <w:r>
        <w:rPr>
          <w:noProof/>
        </w:rPr>
        <w:t>114</w:t>
      </w:r>
      <w:r>
        <w:rPr>
          <w:noProof/>
        </w:rPr>
        <w:fldChar w:fldCharType="end"/>
      </w:r>
    </w:p>
    <w:p w14:paraId="7F0BEE00" w14:textId="55A93E13" w:rsidR="003F6EFC" w:rsidRDefault="003F6EFC">
      <w:pPr>
        <w:pStyle w:val="TOC5"/>
        <w:rPr>
          <w:rFonts w:asciiTheme="minorHAnsi" w:eastAsiaTheme="minorEastAsia" w:hAnsiTheme="minorHAnsi" w:cstheme="minorBidi"/>
          <w:noProof/>
          <w:kern w:val="2"/>
          <w:sz w:val="21"/>
          <w:szCs w:val="22"/>
          <w:lang w:val="en-US" w:eastAsia="zh-CN"/>
        </w:rPr>
      </w:pPr>
      <w:r>
        <w:rPr>
          <w:noProof/>
        </w:rPr>
        <w:t>4.11.2.3.1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_Toc199452839 \h </w:instrText>
      </w:r>
      <w:r>
        <w:rPr>
          <w:noProof/>
        </w:rPr>
      </w:r>
      <w:r>
        <w:rPr>
          <w:noProof/>
        </w:rPr>
        <w:fldChar w:fldCharType="separate"/>
      </w:r>
      <w:r>
        <w:rPr>
          <w:noProof/>
        </w:rPr>
        <w:t>114</w:t>
      </w:r>
      <w:r>
        <w:rPr>
          <w:noProof/>
        </w:rPr>
        <w:fldChar w:fldCharType="end"/>
      </w:r>
    </w:p>
    <w:p w14:paraId="07B68079" w14:textId="1170867A"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4.11.2.3.2</w:t>
      </w:r>
      <w:r>
        <w:rPr>
          <w:rFonts w:asciiTheme="minorHAnsi" w:eastAsiaTheme="minorEastAsia" w:hAnsiTheme="minorHAnsi" w:cstheme="minorBidi"/>
          <w:noProof/>
          <w:kern w:val="2"/>
          <w:sz w:val="21"/>
          <w:szCs w:val="22"/>
          <w:lang w:val="en-US" w:eastAsia="zh-CN"/>
        </w:rPr>
        <w:tab/>
      </w:r>
      <w:r>
        <w:rPr>
          <w:noProof/>
        </w:rPr>
        <w:t>Unsubscribe from VFL inference notifications</w:t>
      </w:r>
      <w:r>
        <w:rPr>
          <w:noProof/>
        </w:rPr>
        <w:tab/>
      </w:r>
      <w:r>
        <w:rPr>
          <w:noProof/>
        </w:rPr>
        <w:fldChar w:fldCharType="begin"/>
      </w:r>
      <w:r>
        <w:rPr>
          <w:noProof/>
        </w:rPr>
        <w:instrText xml:space="preserve"> PAGEREF _Toc199452840 \h </w:instrText>
      </w:r>
      <w:r>
        <w:rPr>
          <w:noProof/>
        </w:rPr>
      </w:r>
      <w:r>
        <w:rPr>
          <w:noProof/>
        </w:rPr>
        <w:fldChar w:fldCharType="separate"/>
      </w:r>
      <w:r>
        <w:rPr>
          <w:noProof/>
        </w:rPr>
        <w:t>114</w:t>
      </w:r>
      <w:r>
        <w:rPr>
          <w:noProof/>
        </w:rPr>
        <w:fldChar w:fldCharType="end"/>
      </w:r>
    </w:p>
    <w:p w14:paraId="7F6B48D7" w14:textId="7C70E51B" w:rsidR="003F6EFC" w:rsidRDefault="003F6EFC">
      <w:pPr>
        <w:pStyle w:val="TOC4"/>
        <w:rPr>
          <w:rFonts w:asciiTheme="minorHAnsi" w:eastAsiaTheme="minorEastAsia" w:hAnsiTheme="minorHAnsi" w:cstheme="minorBidi"/>
          <w:noProof/>
          <w:kern w:val="2"/>
          <w:sz w:val="21"/>
          <w:szCs w:val="22"/>
          <w:lang w:val="en-US" w:eastAsia="zh-CN"/>
        </w:rPr>
      </w:pPr>
      <w:r>
        <w:rPr>
          <w:noProof/>
        </w:rPr>
        <w:t>4.11.2.4</w:t>
      </w:r>
      <w:r>
        <w:rPr>
          <w:rFonts w:asciiTheme="minorHAnsi" w:eastAsiaTheme="minorEastAsia" w:hAnsiTheme="minorHAnsi" w:cstheme="minorBidi"/>
          <w:noProof/>
          <w:kern w:val="2"/>
          <w:sz w:val="21"/>
          <w:szCs w:val="22"/>
          <w:lang w:val="en-US" w:eastAsia="zh-CN"/>
        </w:rPr>
        <w:tab/>
      </w:r>
      <w:r>
        <w:rPr>
          <w:noProof/>
          <w:lang w:eastAsia="ja-JP"/>
        </w:rPr>
        <w:t>Nnwdaf_VFLInference_Notify</w:t>
      </w:r>
      <w:r>
        <w:rPr>
          <w:noProof/>
        </w:rPr>
        <w:t xml:space="preserve"> service operation</w:t>
      </w:r>
      <w:r>
        <w:rPr>
          <w:noProof/>
        </w:rPr>
        <w:tab/>
      </w:r>
      <w:r>
        <w:rPr>
          <w:noProof/>
        </w:rPr>
        <w:fldChar w:fldCharType="begin"/>
      </w:r>
      <w:r>
        <w:rPr>
          <w:noProof/>
        </w:rPr>
        <w:instrText xml:space="preserve"> PAGEREF _Toc199452841 \h </w:instrText>
      </w:r>
      <w:r>
        <w:rPr>
          <w:noProof/>
        </w:rPr>
      </w:r>
      <w:r>
        <w:rPr>
          <w:noProof/>
        </w:rPr>
        <w:fldChar w:fldCharType="separate"/>
      </w:r>
      <w:r>
        <w:rPr>
          <w:noProof/>
        </w:rPr>
        <w:t>115</w:t>
      </w:r>
      <w:r>
        <w:rPr>
          <w:noProof/>
        </w:rPr>
        <w:fldChar w:fldCharType="end"/>
      </w:r>
    </w:p>
    <w:p w14:paraId="51D66AB9" w14:textId="7E4AA57B" w:rsidR="003F6EFC" w:rsidRDefault="003F6EFC">
      <w:pPr>
        <w:pStyle w:val="TOC5"/>
        <w:rPr>
          <w:rFonts w:asciiTheme="minorHAnsi" w:eastAsiaTheme="minorEastAsia" w:hAnsiTheme="minorHAnsi" w:cstheme="minorBidi"/>
          <w:noProof/>
          <w:kern w:val="2"/>
          <w:sz w:val="21"/>
          <w:szCs w:val="22"/>
          <w:lang w:val="en-US" w:eastAsia="zh-CN"/>
        </w:rPr>
      </w:pPr>
      <w:r>
        <w:rPr>
          <w:noProof/>
        </w:rPr>
        <w:t>4.11.2.4.1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_Toc199452842 \h </w:instrText>
      </w:r>
      <w:r>
        <w:rPr>
          <w:noProof/>
        </w:rPr>
      </w:r>
      <w:r>
        <w:rPr>
          <w:noProof/>
        </w:rPr>
        <w:fldChar w:fldCharType="separate"/>
      </w:r>
      <w:r>
        <w:rPr>
          <w:noProof/>
        </w:rPr>
        <w:t>115</w:t>
      </w:r>
      <w:r>
        <w:rPr>
          <w:noProof/>
        </w:rPr>
        <w:fldChar w:fldCharType="end"/>
      </w:r>
    </w:p>
    <w:p w14:paraId="29C9168C" w14:textId="4A426B41" w:rsidR="003F6EFC" w:rsidRDefault="003F6EFC">
      <w:pPr>
        <w:pStyle w:val="TOC5"/>
        <w:rPr>
          <w:rFonts w:asciiTheme="minorHAnsi" w:eastAsiaTheme="minorEastAsia" w:hAnsiTheme="minorHAnsi" w:cstheme="minorBidi"/>
          <w:noProof/>
          <w:kern w:val="2"/>
          <w:sz w:val="21"/>
          <w:szCs w:val="22"/>
          <w:lang w:val="en-US" w:eastAsia="zh-CN"/>
        </w:rPr>
      </w:pPr>
      <w:r>
        <w:rPr>
          <w:noProof/>
        </w:rPr>
        <w:t>4.11.2.4.2</w:t>
      </w:r>
      <w:r>
        <w:rPr>
          <w:rFonts w:asciiTheme="minorHAnsi" w:eastAsiaTheme="minorEastAsia" w:hAnsiTheme="minorHAnsi" w:cstheme="minorBidi"/>
          <w:noProof/>
          <w:kern w:val="2"/>
          <w:sz w:val="21"/>
          <w:szCs w:val="22"/>
          <w:lang w:val="en-US" w:eastAsia="zh-CN"/>
        </w:rPr>
        <w:tab/>
      </w:r>
      <w:r>
        <w:rPr>
          <w:noProof/>
        </w:rPr>
        <w:t>Notification about subscribed event</w:t>
      </w:r>
      <w:r>
        <w:rPr>
          <w:noProof/>
        </w:rPr>
        <w:tab/>
      </w:r>
      <w:r>
        <w:rPr>
          <w:noProof/>
        </w:rPr>
        <w:fldChar w:fldCharType="begin"/>
      </w:r>
      <w:r>
        <w:rPr>
          <w:noProof/>
        </w:rPr>
        <w:instrText xml:space="preserve"> PAGEREF _Toc199452843 \h </w:instrText>
      </w:r>
      <w:r>
        <w:rPr>
          <w:noProof/>
        </w:rPr>
      </w:r>
      <w:r>
        <w:rPr>
          <w:noProof/>
        </w:rPr>
        <w:fldChar w:fldCharType="separate"/>
      </w:r>
      <w:r>
        <w:rPr>
          <w:noProof/>
        </w:rPr>
        <w:t>115</w:t>
      </w:r>
      <w:r>
        <w:rPr>
          <w:noProof/>
        </w:rPr>
        <w:fldChar w:fldCharType="end"/>
      </w:r>
    </w:p>
    <w:p w14:paraId="2272BC72" w14:textId="359CB479" w:rsidR="003F6EFC" w:rsidRDefault="003F6EFC">
      <w:pPr>
        <w:pStyle w:val="TOC1"/>
        <w:rPr>
          <w:rFonts w:asciiTheme="minorHAnsi" w:eastAsiaTheme="minorEastAsia" w:hAnsiTheme="minorHAnsi" w:cstheme="minorBidi"/>
          <w:noProof/>
          <w:kern w:val="2"/>
          <w:sz w:val="21"/>
          <w:szCs w:val="22"/>
          <w:lang w:val="en-US" w:eastAsia="zh-CN"/>
        </w:rPr>
      </w:pPr>
      <w:r>
        <w:rPr>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API Definitions</w:t>
      </w:r>
      <w:r>
        <w:rPr>
          <w:noProof/>
        </w:rPr>
        <w:tab/>
      </w:r>
      <w:r>
        <w:rPr>
          <w:noProof/>
        </w:rPr>
        <w:fldChar w:fldCharType="begin"/>
      </w:r>
      <w:r>
        <w:rPr>
          <w:noProof/>
        </w:rPr>
        <w:instrText xml:space="preserve"> PAGEREF _Toc199452844 \h </w:instrText>
      </w:r>
      <w:r>
        <w:rPr>
          <w:noProof/>
        </w:rPr>
      </w:r>
      <w:r>
        <w:rPr>
          <w:noProof/>
        </w:rPr>
        <w:fldChar w:fldCharType="separate"/>
      </w:r>
      <w:r>
        <w:rPr>
          <w:noProof/>
        </w:rPr>
        <w:t>116</w:t>
      </w:r>
      <w:r>
        <w:rPr>
          <w:noProof/>
        </w:rPr>
        <w:fldChar w:fldCharType="end"/>
      </w:r>
    </w:p>
    <w:p w14:paraId="26B4351C" w14:textId="2D86F069"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rPr>
        <w:t>Nnwdaf_EventsSubscription Service API</w:t>
      </w:r>
      <w:r>
        <w:rPr>
          <w:noProof/>
        </w:rPr>
        <w:tab/>
      </w:r>
      <w:r>
        <w:rPr>
          <w:noProof/>
        </w:rPr>
        <w:fldChar w:fldCharType="begin"/>
      </w:r>
      <w:r>
        <w:rPr>
          <w:noProof/>
        </w:rPr>
        <w:instrText xml:space="preserve"> PAGEREF _Toc199452845 \h </w:instrText>
      </w:r>
      <w:r>
        <w:rPr>
          <w:noProof/>
        </w:rPr>
      </w:r>
      <w:r>
        <w:rPr>
          <w:noProof/>
        </w:rPr>
        <w:fldChar w:fldCharType="separate"/>
      </w:r>
      <w:r>
        <w:rPr>
          <w:noProof/>
        </w:rPr>
        <w:t>116</w:t>
      </w:r>
      <w:r>
        <w:rPr>
          <w:noProof/>
        </w:rPr>
        <w:fldChar w:fldCharType="end"/>
      </w:r>
    </w:p>
    <w:p w14:paraId="6A6648E3" w14:textId="06ED189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_Toc199452846 \h </w:instrText>
      </w:r>
      <w:r>
        <w:rPr>
          <w:noProof/>
        </w:rPr>
      </w:r>
      <w:r>
        <w:rPr>
          <w:noProof/>
        </w:rPr>
        <w:fldChar w:fldCharType="separate"/>
      </w:r>
      <w:r>
        <w:rPr>
          <w:noProof/>
        </w:rPr>
        <w:t>116</w:t>
      </w:r>
      <w:r>
        <w:rPr>
          <w:noProof/>
        </w:rPr>
        <w:fldChar w:fldCharType="end"/>
      </w:r>
    </w:p>
    <w:p w14:paraId="710724DF" w14:textId="27E16F9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_Toc199452847 \h </w:instrText>
      </w:r>
      <w:r>
        <w:rPr>
          <w:noProof/>
        </w:rPr>
      </w:r>
      <w:r>
        <w:rPr>
          <w:noProof/>
        </w:rPr>
        <w:fldChar w:fldCharType="separate"/>
      </w:r>
      <w:r>
        <w:rPr>
          <w:noProof/>
        </w:rPr>
        <w:t>117</w:t>
      </w:r>
      <w:r>
        <w:rPr>
          <w:noProof/>
        </w:rPr>
        <w:fldChar w:fldCharType="end"/>
      </w:r>
    </w:p>
    <w:p w14:paraId="3A1E7B3E" w14:textId="6DEA73D0" w:rsidR="003F6EFC" w:rsidRDefault="003F6EFC">
      <w:pPr>
        <w:pStyle w:val="TOC4"/>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_Toc199452848 \h </w:instrText>
      </w:r>
      <w:r>
        <w:rPr>
          <w:noProof/>
        </w:rPr>
      </w:r>
      <w:r>
        <w:rPr>
          <w:noProof/>
        </w:rPr>
        <w:fldChar w:fldCharType="separate"/>
      </w:r>
      <w:r>
        <w:rPr>
          <w:noProof/>
        </w:rPr>
        <w:t>117</w:t>
      </w:r>
      <w:r>
        <w:rPr>
          <w:noProof/>
        </w:rPr>
        <w:fldChar w:fldCharType="end"/>
      </w:r>
    </w:p>
    <w:p w14:paraId="3E6AD9A8" w14:textId="2CBD7545" w:rsidR="003F6EFC" w:rsidRDefault="003F6EFC">
      <w:pPr>
        <w:pStyle w:val="TOC4"/>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_Toc199452849 \h </w:instrText>
      </w:r>
      <w:r>
        <w:rPr>
          <w:noProof/>
        </w:rPr>
      </w:r>
      <w:r>
        <w:rPr>
          <w:noProof/>
        </w:rPr>
        <w:fldChar w:fldCharType="separate"/>
      </w:r>
      <w:r>
        <w:rPr>
          <w:noProof/>
        </w:rPr>
        <w:t>117</w:t>
      </w:r>
      <w:r>
        <w:rPr>
          <w:noProof/>
        </w:rPr>
        <w:fldChar w:fldCharType="end"/>
      </w:r>
    </w:p>
    <w:p w14:paraId="242CDD98" w14:textId="097EB990" w:rsidR="003F6EFC" w:rsidRDefault="003F6EFC">
      <w:pPr>
        <w:pStyle w:val="TOC5"/>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_Toc199452850 \h </w:instrText>
      </w:r>
      <w:r>
        <w:rPr>
          <w:noProof/>
        </w:rPr>
      </w:r>
      <w:r>
        <w:rPr>
          <w:noProof/>
        </w:rPr>
        <w:fldChar w:fldCharType="separate"/>
      </w:r>
      <w:r>
        <w:rPr>
          <w:noProof/>
        </w:rPr>
        <w:t>117</w:t>
      </w:r>
      <w:r>
        <w:rPr>
          <w:noProof/>
        </w:rPr>
        <w:fldChar w:fldCharType="end"/>
      </w:r>
    </w:p>
    <w:p w14:paraId="683DE8B5" w14:textId="40676019" w:rsidR="003F6EFC" w:rsidRDefault="003F6EFC">
      <w:pPr>
        <w:pStyle w:val="TOC5"/>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_Toc199452851 \h </w:instrText>
      </w:r>
      <w:r>
        <w:rPr>
          <w:noProof/>
        </w:rPr>
      </w:r>
      <w:r>
        <w:rPr>
          <w:noProof/>
        </w:rPr>
        <w:fldChar w:fldCharType="separate"/>
      </w:r>
      <w:r>
        <w:rPr>
          <w:noProof/>
        </w:rPr>
        <w:t>117</w:t>
      </w:r>
      <w:r>
        <w:rPr>
          <w:noProof/>
        </w:rPr>
        <w:fldChar w:fldCharType="end"/>
      </w:r>
    </w:p>
    <w:p w14:paraId="2A155573" w14:textId="6971D629" w:rsidR="003F6EFC" w:rsidRDefault="003F6EFC">
      <w:pPr>
        <w:pStyle w:val="TOC4"/>
        <w:rPr>
          <w:rFonts w:asciiTheme="minorHAnsi" w:eastAsiaTheme="minorEastAsia" w:hAnsiTheme="minorHAnsi" w:cstheme="minorBidi"/>
          <w:noProof/>
          <w:kern w:val="2"/>
          <w:sz w:val="21"/>
          <w:szCs w:val="22"/>
          <w:lang w:val="en-US" w:eastAsia="zh-CN"/>
        </w:rPr>
      </w:pPr>
      <w:r>
        <w:rPr>
          <w:noProof/>
        </w:rPr>
        <w:t>5.1.2.3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_Toc199452852 \h </w:instrText>
      </w:r>
      <w:r>
        <w:rPr>
          <w:noProof/>
        </w:rPr>
      </w:r>
      <w:r>
        <w:rPr>
          <w:noProof/>
        </w:rPr>
        <w:fldChar w:fldCharType="separate"/>
      </w:r>
      <w:r>
        <w:rPr>
          <w:noProof/>
        </w:rPr>
        <w:t>117</w:t>
      </w:r>
      <w:r>
        <w:rPr>
          <w:noProof/>
        </w:rPr>
        <w:fldChar w:fldCharType="end"/>
      </w:r>
    </w:p>
    <w:p w14:paraId="0F7BF39F" w14:textId="3A444F71" w:rsidR="003F6EFC" w:rsidRDefault="003F6EFC">
      <w:pPr>
        <w:pStyle w:val="TOC3"/>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_Toc199452853 \h </w:instrText>
      </w:r>
      <w:r>
        <w:rPr>
          <w:noProof/>
        </w:rPr>
      </w:r>
      <w:r>
        <w:rPr>
          <w:noProof/>
        </w:rPr>
        <w:fldChar w:fldCharType="separate"/>
      </w:r>
      <w:r>
        <w:rPr>
          <w:noProof/>
        </w:rPr>
        <w:t>117</w:t>
      </w:r>
      <w:r>
        <w:rPr>
          <w:noProof/>
        </w:rPr>
        <w:fldChar w:fldCharType="end"/>
      </w:r>
    </w:p>
    <w:p w14:paraId="213DE23F" w14:textId="4922249A" w:rsidR="003F6EFC" w:rsidRDefault="003F6EFC">
      <w:pPr>
        <w:pStyle w:val="TOC4"/>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_Toc199452854 \h </w:instrText>
      </w:r>
      <w:r>
        <w:rPr>
          <w:noProof/>
        </w:rPr>
      </w:r>
      <w:r>
        <w:rPr>
          <w:noProof/>
        </w:rPr>
        <w:fldChar w:fldCharType="separate"/>
      </w:r>
      <w:r>
        <w:rPr>
          <w:noProof/>
        </w:rPr>
        <w:t>117</w:t>
      </w:r>
      <w:r>
        <w:rPr>
          <w:noProof/>
        </w:rPr>
        <w:fldChar w:fldCharType="end"/>
      </w:r>
    </w:p>
    <w:p w14:paraId="5E1D494D" w14:textId="1FDA2A22" w:rsidR="003F6EFC" w:rsidRDefault="003F6EFC">
      <w:pPr>
        <w:pStyle w:val="TOC4"/>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Resource: NWDAF Events Subscriptions</w:t>
      </w:r>
      <w:r>
        <w:rPr>
          <w:noProof/>
        </w:rPr>
        <w:tab/>
      </w:r>
      <w:r>
        <w:rPr>
          <w:noProof/>
        </w:rPr>
        <w:fldChar w:fldCharType="begin"/>
      </w:r>
      <w:r>
        <w:rPr>
          <w:noProof/>
        </w:rPr>
        <w:instrText xml:space="preserve"> PAGEREF _Toc199452855 \h </w:instrText>
      </w:r>
      <w:r>
        <w:rPr>
          <w:noProof/>
        </w:rPr>
      </w:r>
      <w:r>
        <w:rPr>
          <w:noProof/>
        </w:rPr>
        <w:fldChar w:fldCharType="separate"/>
      </w:r>
      <w:r>
        <w:rPr>
          <w:noProof/>
        </w:rPr>
        <w:t>118</w:t>
      </w:r>
      <w:r>
        <w:rPr>
          <w:noProof/>
        </w:rPr>
        <w:fldChar w:fldCharType="end"/>
      </w:r>
    </w:p>
    <w:p w14:paraId="2491F494" w14:textId="1569E67A" w:rsidR="003F6EFC" w:rsidRDefault="003F6EFC">
      <w:pPr>
        <w:pStyle w:val="TOC5"/>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_Toc199452856 \h </w:instrText>
      </w:r>
      <w:r>
        <w:rPr>
          <w:noProof/>
        </w:rPr>
      </w:r>
      <w:r>
        <w:rPr>
          <w:noProof/>
        </w:rPr>
        <w:fldChar w:fldCharType="separate"/>
      </w:r>
      <w:r>
        <w:rPr>
          <w:noProof/>
        </w:rPr>
        <w:t>118</w:t>
      </w:r>
      <w:r>
        <w:rPr>
          <w:noProof/>
        </w:rPr>
        <w:fldChar w:fldCharType="end"/>
      </w:r>
    </w:p>
    <w:p w14:paraId="0E6090EF" w14:textId="6B842B7C" w:rsidR="003F6EFC" w:rsidRDefault="003F6EFC">
      <w:pPr>
        <w:pStyle w:val="TOC5"/>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_Toc199452857 \h </w:instrText>
      </w:r>
      <w:r>
        <w:rPr>
          <w:noProof/>
        </w:rPr>
      </w:r>
      <w:r>
        <w:rPr>
          <w:noProof/>
        </w:rPr>
        <w:fldChar w:fldCharType="separate"/>
      </w:r>
      <w:r>
        <w:rPr>
          <w:noProof/>
        </w:rPr>
        <w:t>118</w:t>
      </w:r>
      <w:r>
        <w:rPr>
          <w:noProof/>
        </w:rPr>
        <w:fldChar w:fldCharType="end"/>
      </w:r>
    </w:p>
    <w:p w14:paraId="29A4D906" w14:textId="42CC0540" w:rsidR="003F6EFC" w:rsidRDefault="003F6EFC">
      <w:pPr>
        <w:pStyle w:val="TOC5"/>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_Toc199452858 \h </w:instrText>
      </w:r>
      <w:r>
        <w:rPr>
          <w:noProof/>
        </w:rPr>
      </w:r>
      <w:r>
        <w:rPr>
          <w:noProof/>
        </w:rPr>
        <w:fldChar w:fldCharType="separate"/>
      </w:r>
      <w:r>
        <w:rPr>
          <w:noProof/>
        </w:rPr>
        <w:t>118</w:t>
      </w:r>
      <w:r>
        <w:rPr>
          <w:noProof/>
        </w:rPr>
        <w:fldChar w:fldCharType="end"/>
      </w:r>
    </w:p>
    <w:p w14:paraId="3426777F" w14:textId="4BF26997" w:rsidR="003F6EFC" w:rsidRDefault="003F6EFC">
      <w:pPr>
        <w:pStyle w:val="TOC6"/>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_Toc199452859 \h </w:instrText>
      </w:r>
      <w:r>
        <w:rPr>
          <w:noProof/>
        </w:rPr>
      </w:r>
      <w:r>
        <w:rPr>
          <w:noProof/>
        </w:rPr>
        <w:fldChar w:fldCharType="separate"/>
      </w:r>
      <w:r>
        <w:rPr>
          <w:noProof/>
        </w:rPr>
        <w:t>118</w:t>
      </w:r>
      <w:r>
        <w:rPr>
          <w:noProof/>
        </w:rPr>
        <w:fldChar w:fldCharType="end"/>
      </w:r>
    </w:p>
    <w:p w14:paraId="42C32571" w14:textId="6AF930DE" w:rsidR="003F6EFC" w:rsidRDefault="003F6EFC">
      <w:pPr>
        <w:pStyle w:val="TOC5"/>
        <w:rPr>
          <w:rFonts w:asciiTheme="minorHAnsi" w:eastAsiaTheme="minorEastAsia" w:hAnsiTheme="minorHAnsi" w:cstheme="minorBidi"/>
          <w:noProof/>
          <w:kern w:val="2"/>
          <w:sz w:val="21"/>
          <w:szCs w:val="22"/>
          <w:lang w:val="en-US" w:eastAsia="zh-CN"/>
        </w:rPr>
      </w:pPr>
      <w:r>
        <w:rPr>
          <w:noProof/>
        </w:rPr>
        <w:t>5.1.3.2.4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_Toc199452860 \h </w:instrText>
      </w:r>
      <w:r>
        <w:rPr>
          <w:noProof/>
        </w:rPr>
      </w:r>
      <w:r>
        <w:rPr>
          <w:noProof/>
        </w:rPr>
        <w:fldChar w:fldCharType="separate"/>
      </w:r>
      <w:r>
        <w:rPr>
          <w:noProof/>
        </w:rPr>
        <w:t>119</w:t>
      </w:r>
      <w:r>
        <w:rPr>
          <w:noProof/>
        </w:rPr>
        <w:fldChar w:fldCharType="end"/>
      </w:r>
    </w:p>
    <w:p w14:paraId="538045E1" w14:textId="3D37AD1C" w:rsidR="003F6EFC" w:rsidRDefault="003F6EFC">
      <w:pPr>
        <w:pStyle w:val="TOC4"/>
        <w:rPr>
          <w:rFonts w:asciiTheme="minorHAnsi" w:eastAsiaTheme="minorEastAsia" w:hAnsiTheme="minorHAnsi" w:cstheme="minorBidi"/>
          <w:noProof/>
          <w:kern w:val="2"/>
          <w:sz w:val="21"/>
          <w:szCs w:val="22"/>
          <w:lang w:val="en-US" w:eastAsia="zh-CN"/>
        </w:rPr>
      </w:pPr>
      <w:r>
        <w:rPr>
          <w:noProof/>
        </w:rPr>
        <w:t>5.1.3.3</w:t>
      </w:r>
      <w:r>
        <w:rPr>
          <w:rFonts w:asciiTheme="minorHAnsi" w:eastAsiaTheme="minorEastAsia" w:hAnsiTheme="minorHAnsi" w:cstheme="minorBidi"/>
          <w:noProof/>
          <w:kern w:val="2"/>
          <w:sz w:val="21"/>
          <w:szCs w:val="22"/>
          <w:lang w:val="en-US" w:eastAsia="zh-CN"/>
        </w:rPr>
        <w:tab/>
      </w:r>
      <w:r>
        <w:rPr>
          <w:noProof/>
        </w:rPr>
        <w:t>Resource: Individual NWDAF Event Subscription</w:t>
      </w:r>
      <w:r>
        <w:rPr>
          <w:noProof/>
        </w:rPr>
        <w:tab/>
      </w:r>
      <w:r>
        <w:rPr>
          <w:noProof/>
        </w:rPr>
        <w:fldChar w:fldCharType="begin"/>
      </w:r>
      <w:r>
        <w:rPr>
          <w:noProof/>
        </w:rPr>
        <w:instrText xml:space="preserve"> PAGEREF _Toc199452861 \h </w:instrText>
      </w:r>
      <w:r>
        <w:rPr>
          <w:noProof/>
        </w:rPr>
      </w:r>
      <w:r>
        <w:rPr>
          <w:noProof/>
        </w:rPr>
        <w:fldChar w:fldCharType="separate"/>
      </w:r>
      <w:r>
        <w:rPr>
          <w:noProof/>
        </w:rPr>
        <w:t>119</w:t>
      </w:r>
      <w:r>
        <w:rPr>
          <w:noProof/>
        </w:rPr>
        <w:fldChar w:fldCharType="end"/>
      </w:r>
    </w:p>
    <w:p w14:paraId="7B059CCE" w14:textId="4E62B9A6" w:rsidR="003F6EFC" w:rsidRDefault="003F6EFC">
      <w:pPr>
        <w:pStyle w:val="TOC5"/>
        <w:rPr>
          <w:rFonts w:asciiTheme="minorHAnsi" w:eastAsiaTheme="minorEastAsia" w:hAnsiTheme="minorHAnsi" w:cstheme="minorBidi"/>
          <w:noProof/>
          <w:kern w:val="2"/>
          <w:sz w:val="21"/>
          <w:szCs w:val="22"/>
          <w:lang w:val="en-US" w:eastAsia="zh-CN"/>
        </w:rPr>
      </w:pPr>
      <w:r>
        <w:rPr>
          <w:noProof/>
        </w:rPr>
        <w:t>5.1.3.3.1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_Toc199452862 \h </w:instrText>
      </w:r>
      <w:r>
        <w:rPr>
          <w:noProof/>
        </w:rPr>
      </w:r>
      <w:r>
        <w:rPr>
          <w:noProof/>
        </w:rPr>
        <w:fldChar w:fldCharType="separate"/>
      </w:r>
      <w:r>
        <w:rPr>
          <w:noProof/>
        </w:rPr>
        <w:t>119</w:t>
      </w:r>
      <w:r>
        <w:rPr>
          <w:noProof/>
        </w:rPr>
        <w:fldChar w:fldCharType="end"/>
      </w:r>
    </w:p>
    <w:p w14:paraId="215D8366" w14:textId="2F3E0CFD" w:rsidR="003F6EFC" w:rsidRDefault="003F6EFC">
      <w:pPr>
        <w:pStyle w:val="TOC5"/>
        <w:rPr>
          <w:rFonts w:asciiTheme="minorHAnsi" w:eastAsiaTheme="minorEastAsia" w:hAnsiTheme="minorHAnsi" w:cstheme="minorBidi"/>
          <w:noProof/>
          <w:kern w:val="2"/>
          <w:sz w:val="21"/>
          <w:szCs w:val="22"/>
          <w:lang w:val="en-US" w:eastAsia="zh-CN"/>
        </w:rPr>
      </w:pPr>
      <w:r>
        <w:rPr>
          <w:noProof/>
        </w:rPr>
        <w:t>5.1.3.3.2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_Toc199452863 \h </w:instrText>
      </w:r>
      <w:r>
        <w:rPr>
          <w:noProof/>
        </w:rPr>
      </w:r>
      <w:r>
        <w:rPr>
          <w:noProof/>
        </w:rPr>
        <w:fldChar w:fldCharType="separate"/>
      </w:r>
      <w:r>
        <w:rPr>
          <w:noProof/>
        </w:rPr>
        <w:t>119</w:t>
      </w:r>
      <w:r>
        <w:rPr>
          <w:noProof/>
        </w:rPr>
        <w:fldChar w:fldCharType="end"/>
      </w:r>
    </w:p>
    <w:p w14:paraId="1B869D93" w14:textId="2DE734F4" w:rsidR="003F6EFC" w:rsidRDefault="003F6EFC">
      <w:pPr>
        <w:pStyle w:val="TOC5"/>
        <w:rPr>
          <w:rFonts w:asciiTheme="minorHAnsi" w:eastAsiaTheme="minorEastAsia" w:hAnsiTheme="minorHAnsi" w:cstheme="minorBidi"/>
          <w:noProof/>
          <w:kern w:val="2"/>
          <w:sz w:val="21"/>
          <w:szCs w:val="22"/>
          <w:lang w:val="en-US" w:eastAsia="zh-CN"/>
        </w:rPr>
      </w:pPr>
      <w:r>
        <w:rPr>
          <w:noProof/>
        </w:rPr>
        <w:t>5.1.3.3.3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_Toc199452864 \h </w:instrText>
      </w:r>
      <w:r>
        <w:rPr>
          <w:noProof/>
        </w:rPr>
      </w:r>
      <w:r>
        <w:rPr>
          <w:noProof/>
        </w:rPr>
        <w:fldChar w:fldCharType="separate"/>
      </w:r>
      <w:r>
        <w:rPr>
          <w:noProof/>
        </w:rPr>
        <w:t>120</w:t>
      </w:r>
      <w:r>
        <w:rPr>
          <w:noProof/>
        </w:rPr>
        <w:fldChar w:fldCharType="end"/>
      </w:r>
    </w:p>
    <w:p w14:paraId="1657C8C0" w14:textId="77E0908E" w:rsidR="003F6EFC" w:rsidRDefault="003F6EFC">
      <w:pPr>
        <w:pStyle w:val="TOC6"/>
        <w:rPr>
          <w:rFonts w:asciiTheme="minorHAnsi" w:eastAsiaTheme="minorEastAsia" w:hAnsiTheme="minorHAnsi" w:cstheme="minorBidi"/>
          <w:noProof/>
          <w:kern w:val="2"/>
          <w:sz w:val="21"/>
          <w:szCs w:val="22"/>
          <w:lang w:val="en-US" w:eastAsia="zh-CN"/>
        </w:rPr>
      </w:pPr>
      <w:r>
        <w:rPr>
          <w:noProof/>
        </w:rPr>
        <w:t>5.1.3.3.3.1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_Toc199452865 \h </w:instrText>
      </w:r>
      <w:r>
        <w:rPr>
          <w:noProof/>
        </w:rPr>
      </w:r>
      <w:r>
        <w:rPr>
          <w:noProof/>
        </w:rPr>
        <w:fldChar w:fldCharType="separate"/>
      </w:r>
      <w:r>
        <w:rPr>
          <w:noProof/>
        </w:rPr>
        <w:t>120</w:t>
      </w:r>
      <w:r>
        <w:rPr>
          <w:noProof/>
        </w:rPr>
        <w:fldChar w:fldCharType="end"/>
      </w:r>
    </w:p>
    <w:p w14:paraId="40BD3801" w14:textId="00588DEB" w:rsidR="003F6EFC" w:rsidRDefault="003F6EFC">
      <w:pPr>
        <w:pStyle w:val="TOC6"/>
        <w:rPr>
          <w:rFonts w:asciiTheme="minorHAnsi" w:eastAsiaTheme="minorEastAsia" w:hAnsiTheme="minorHAnsi" w:cstheme="minorBidi"/>
          <w:noProof/>
          <w:kern w:val="2"/>
          <w:sz w:val="21"/>
          <w:szCs w:val="22"/>
          <w:lang w:val="en-US" w:eastAsia="zh-CN"/>
        </w:rPr>
      </w:pPr>
      <w:r>
        <w:rPr>
          <w:noProof/>
        </w:rPr>
        <w:t>5.1.3.3.3.2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_Toc199452866 \h </w:instrText>
      </w:r>
      <w:r>
        <w:rPr>
          <w:noProof/>
        </w:rPr>
      </w:r>
      <w:r>
        <w:rPr>
          <w:noProof/>
        </w:rPr>
        <w:fldChar w:fldCharType="separate"/>
      </w:r>
      <w:r>
        <w:rPr>
          <w:noProof/>
        </w:rPr>
        <w:t>121</w:t>
      </w:r>
      <w:r>
        <w:rPr>
          <w:noProof/>
        </w:rPr>
        <w:fldChar w:fldCharType="end"/>
      </w:r>
    </w:p>
    <w:p w14:paraId="361A586E" w14:textId="020E37F2" w:rsidR="003F6EFC" w:rsidRDefault="003F6EFC">
      <w:pPr>
        <w:pStyle w:val="TOC5"/>
        <w:rPr>
          <w:rFonts w:asciiTheme="minorHAnsi" w:eastAsiaTheme="minorEastAsia" w:hAnsiTheme="minorHAnsi" w:cstheme="minorBidi"/>
          <w:noProof/>
          <w:kern w:val="2"/>
          <w:sz w:val="21"/>
          <w:szCs w:val="22"/>
          <w:lang w:val="en-US" w:eastAsia="zh-CN"/>
        </w:rPr>
      </w:pPr>
      <w:r>
        <w:rPr>
          <w:noProof/>
        </w:rPr>
        <w:t>5.1.3.3.4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_Toc199452867 \h </w:instrText>
      </w:r>
      <w:r>
        <w:rPr>
          <w:noProof/>
        </w:rPr>
      </w:r>
      <w:r>
        <w:rPr>
          <w:noProof/>
        </w:rPr>
        <w:fldChar w:fldCharType="separate"/>
      </w:r>
      <w:r>
        <w:rPr>
          <w:noProof/>
        </w:rPr>
        <w:t>122</w:t>
      </w:r>
      <w:r>
        <w:rPr>
          <w:noProof/>
        </w:rPr>
        <w:fldChar w:fldCharType="end"/>
      </w:r>
    </w:p>
    <w:p w14:paraId="2BBF342D" w14:textId="69DDB5E5" w:rsidR="003F6EFC" w:rsidRDefault="003F6EFC">
      <w:pPr>
        <w:pStyle w:val="TOC4"/>
        <w:rPr>
          <w:rFonts w:asciiTheme="minorHAnsi" w:eastAsiaTheme="minorEastAsia" w:hAnsiTheme="minorHAnsi" w:cstheme="minorBidi"/>
          <w:noProof/>
          <w:kern w:val="2"/>
          <w:sz w:val="21"/>
          <w:szCs w:val="22"/>
          <w:lang w:val="en-US" w:eastAsia="zh-CN"/>
        </w:rPr>
      </w:pPr>
      <w:r>
        <w:rPr>
          <w:noProof/>
        </w:rPr>
        <w:t>5.1.3.4</w:t>
      </w:r>
      <w:r>
        <w:rPr>
          <w:rFonts w:asciiTheme="minorHAnsi" w:eastAsiaTheme="minorEastAsia" w:hAnsiTheme="minorHAnsi" w:cstheme="minorBidi"/>
          <w:noProof/>
          <w:kern w:val="2"/>
          <w:sz w:val="21"/>
          <w:szCs w:val="22"/>
          <w:lang w:val="en-US" w:eastAsia="zh-CN"/>
        </w:rPr>
        <w:tab/>
      </w:r>
      <w:r>
        <w:rPr>
          <w:noProof/>
        </w:rPr>
        <w:t>Resource: NWDAF Event Subscription Transfers</w:t>
      </w:r>
      <w:r>
        <w:rPr>
          <w:noProof/>
        </w:rPr>
        <w:tab/>
      </w:r>
      <w:r>
        <w:rPr>
          <w:noProof/>
        </w:rPr>
        <w:fldChar w:fldCharType="begin"/>
      </w:r>
      <w:r>
        <w:rPr>
          <w:noProof/>
        </w:rPr>
        <w:instrText xml:space="preserve"> PAGEREF _Toc199452868 \h </w:instrText>
      </w:r>
      <w:r>
        <w:rPr>
          <w:noProof/>
        </w:rPr>
      </w:r>
      <w:r>
        <w:rPr>
          <w:noProof/>
        </w:rPr>
        <w:fldChar w:fldCharType="separate"/>
      </w:r>
      <w:r>
        <w:rPr>
          <w:noProof/>
        </w:rPr>
        <w:t>122</w:t>
      </w:r>
      <w:r>
        <w:rPr>
          <w:noProof/>
        </w:rPr>
        <w:fldChar w:fldCharType="end"/>
      </w:r>
    </w:p>
    <w:p w14:paraId="61416F5F" w14:textId="65EF1072" w:rsidR="003F6EFC" w:rsidRDefault="003F6EFC">
      <w:pPr>
        <w:pStyle w:val="TOC5"/>
        <w:rPr>
          <w:rFonts w:asciiTheme="minorHAnsi" w:eastAsiaTheme="minorEastAsia" w:hAnsiTheme="minorHAnsi" w:cstheme="minorBidi"/>
          <w:noProof/>
          <w:kern w:val="2"/>
          <w:sz w:val="21"/>
          <w:szCs w:val="22"/>
          <w:lang w:val="en-US" w:eastAsia="zh-CN"/>
        </w:rPr>
      </w:pPr>
      <w:r>
        <w:rPr>
          <w:noProof/>
        </w:rPr>
        <w:t>5.1.3.4.1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_Toc199452869 \h </w:instrText>
      </w:r>
      <w:r>
        <w:rPr>
          <w:noProof/>
        </w:rPr>
      </w:r>
      <w:r>
        <w:rPr>
          <w:noProof/>
        </w:rPr>
        <w:fldChar w:fldCharType="separate"/>
      </w:r>
      <w:r>
        <w:rPr>
          <w:noProof/>
        </w:rPr>
        <w:t>122</w:t>
      </w:r>
      <w:r>
        <w:rPr>
          <w:noProof/>
        </w:rPr>
        <w:fldChar w:fldCharType="end"/>
      </w:r>
    </w:p>
    <w:p w14:paraId="265A853A" w14:textId="761324B7" w:rsidR="003F6EFC" w:rsidRDefault="003F6EFC">
      <w:pPr>
        <w:pStyle w:val="TOC5"/>
        <w:rPr>
          <w:rFonts w:asciiTheme="minorHAnsi" w:eastAsiaTheme="minorEastAsia" w:hAnsiTheme="minorHAnsi" w:cstheme="minorBidi"/>
          <w:noProof/>
          <w:kern w:val="2"/>
          <w:sz w:val="21"/>
          <w:szCs w:val="22"/>
          <w:lang w:val="en-US" w:eastAsia="zh-CN"/>
        </w:rPr>
      </w:pPr>
      <w:r>
        <w:rPr>
          <w:noProof/>
        </w:rPr>
        <w:t>5.1.3.4.2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_Toc199452870 \h </w:instrText>
      </w:r>
      <w:r>
        <w:rPr>
          <w:noProof/>
        </w:rPr>
      </w:r>
      <w:r>
        <w:rPr>
          <w:noProof/>
        </w:rPr>
        <w:fldChar w:fldCharType="separate"/>
      </w:r>
      <w:r>
        <w:rPr>
          <w:noProof/>
        </w:rPr>
        <w:t>122</w:t>
      </w:r>
      <w:r>
        <w:rPr>
          <w:noProof/>
        </w:rPr>
        <w:fldChar w:fldCharType="end"/>
      </w:r>
    </w:p>
    <w:p w14:paraId="79B5C341" w14:textId="16F76813" w:rsidR="003F6EFC" w:rsidRDefault="003F6EFC">
      <w:pPr>
        <w:pStyle w:val="TOC5"/>
        <w:rPr>
          <w:rFonts w:asciiTheme="minorHAnsi" w:eastAsiaTheme="minorEastAsia" w:hAnsiTheme="minorHAnsi" w:cstheme="minorBidi"/>
          <w:noProof/>
          <w:kern w:val="2"/>
          <w:sz w:val="21"/>
          <w:szCs w:val="22"/>
          <w:lang w:val="en-US" w:eastAsia="zh-CN"/>
        </w:rPr>
      </w:pPr>
      <w:r>
        <w:rPr>
          <w:noProof/>
        </w:rPr>
        <w:t>5.1.3.4.3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_Toc199452871 \h </w:instrText>
      </w:r>
      <w:r>
        <w:rPr>
          <w:noProof/>
        </w:rPr>
      </w:r>
      <w:r>
        <w:rPr>
          <w:noProof/>
        </w:rPr>
        <w:fldChar w:fldCharType="separate"/>
      </w:r>
      <w:r>
        <w:rPr>
          <w:noProof/>
        </w:rPr>
        <w:t>122</w:t>
      </w:r>
      <w:r>
        <w:rPr>
          <w:noProof/>
        </w:rPr>
        <w:fldChar w:fldCharType="end"/>
      </w:r>
    </w:p>
    <w:p w14:paraId="4D1095DD" w14:textId="211567B2" w:rsidR="003F6EFC" w:rsidRDefault="003F6EFC">
      <w:pPr>
        <w:pStyle w:val="TOC6"/>
        <w:rPr>
          <w:rFonts w:asciiTheme="minorHAnsi" w:eastAsiaTheme="minorEastAsia" w:hAnsiTheme="minorHAnsi" w:cstheme="minorBidi"/>
          <w:noProof/>
          <w:kern w:val="2"/>
          <w:sz w:val="21"/>
          <w:szCs w:val="22"/>
          <w:lang w:val="en-US" w:eastAsia="zh-CN"/>
        </w:rPr>
      </w:pPr>
      <w:r>
        <w:rPr>
          <w:noProof/>
        </w:rPr>
        <w:t>5.1.3.4.3.1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_Toc199452872 \h </w:instrText>
      </w:r>
      <w:r>
        <w:rPr>
          <w:noProof/>
        </w:rPr>
      </w:r>
      <w:r>
        <w:rPr>
          <w:noProof/>
        </w:rPr>
        <w:fldChar w:fldCharType="separate"/>
      </w:r>
      <w:r>
        <w:rPr>
          <w:noProof/>
        </w:rPr>
        <w:t>122</w:t>
      </w:r>
      <w:r>
        <w:rPr>
          <w:noProof/>
        </w:rPr>
        <w:fldChar w:fldCharType="end"/>
      </w:r>
    </w:p>
    <w:p w14:paraId="105225DD" w14:textId="129A7762" w:rsidR="003F6EFC" w:rsidRDefault="003F6EFC">
      <w:pPr>
        <w:pStyle w:val="TOC5"/>
        <w:rPr>
          <w:rFonts w:asciiTheme="minorHAnsi" w:eastAsiaTheme="minorEastAsia" w:hAnsiTheme="minorHAnsi" w:cstheme="minorBidi"/>
          <w:noProof/>
          <w:kern w:val="2"/>
          <w:sz w:val="21"/>
          <w:szCs w:val="22"/>
          <w:lang w:val="en-US" w:eastAsia="zh-CN"/>
        </w:rPr>
      </w:pPr>
      <w:r>
        <w:rPr>
          <w:noProof/>
        </w:rPr>
        <w:t>5.1.3.4.4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_Toc199452873 \h </w:instrText>
      </w:r>
      <w:r>
        <w:rPr>
          <w:noProof/>
        </w:rPr>
      </w:r>
      <w:r>
        <w:rPr>
          <w:noProof/>
        </w:rPr>
        <w:fldChar w:fldCharType="separate"/>
      </w:r>
      <w:r>
        <w:rPr>
          <w:noProof/>
        </w:rPr>
        <w:t>123</w:t>
      </w:r>
      <w:r>
        <w:rPr>
          <w:noProof/>
        </w:rPr>
        <w:fldChar w:fldCharType="end"/>
      </w:r>
    </w:p>
    <w:p w14:paraId="3A835C50" w14:textId="3796BDB4" w:rsidR="003F6EFC" w:rsidRDefault="003F6EFC">
      <w:pPr>
        <w:pStyle w:val="TOC4"/>
        <w:rPr>
          <w:rFonts w:asciiTheme="minorHAnsi" w:eastAsiaTheme="minorEastAsia" w:hAnsiTheme="minorHAnsi" w:cstheme="minorBidi"/>
          <w:noProof/>
          <w:kern w:val="2"/>
          <w:sz w:val="21"/>
          <w:szCs w:val="22"/>
          <w:lang w:val="en-US" w:eastAsia="zh-CN"/>
        </w:rPr>
      </w:pPr>
      <w:r>
        <w:rPr>
          <w:noProof/>
        </w:rPr>
        <w:t>5.1.3.5</w:t>
      </w:r>
      <w:r>
        <w:rPr>
          <w:rFonts w:asciiTheme="minorHAnsi" w:eastAsiaTheme="minorEastAsia" w:hAnsiTheme="minorHAnsi" w:cstheme="minorBidi"/>
          <w:noProof/>
          <w:kern w:val="2"/>
          <w:sz w:val="21"/>
          <w:szCs w:val="22"/>
          <w:lang w:val="en-US" w:eastAsia="zh-CN"/>
        </w:rPr>
        <w:tab/>
      </w:r>
      <w:r>
        <w:rPr>
          <w:noProof/>
        </w:rPr>
        <w:t>Resource: Individual NWDAF Event Subscription Transfer</w:t>
      </w:r>
      <w:r>
        <w:rPr>
          <w:noProof/>
        </w:rPr>
        <w:tab/>
      </w:r>
      <w:r>
        <w:rPr>
          <w:noProof/>
        </w:rPr>
        <w:fldChar w:fldCharType="begin"/>
      </w:r>
      <w:r>
        <w:rPr>
          <w:noProof/>
        </w:rPr>
        <w:instrText xml:space="preserve"> PAGEREF _Toc199452874 \h </w:instrText>
      </w:r>
      <w:r>
        <w:rPr>
          <w:noProof/>
        </w:rPr>
      </w:r>
      <w:r>
        <w:rPr>
          <w:noProof/>
        </w:rPr>
        <w:fldChar w:fldCharType="separate"/>
      </w:r>
      <w:r>
        <w:rPr>
          <w:noProof/>
        </w:rPr>
        <w:t>123</w:t>
      </w:r>
      <w:r>
        <w:rPr>
          <w:noProof/>
        </w:rPr>
        <w:fldChar w:fldCharType="end"/>
      </w:r>
    </w:p>
    <w:p w14:paraId="5C793869" w14:textId="544F7EA9" w:rsidR="003F6EFC" w:rsidRDefault="003F6EFC">
      <w:pPr>
        <w:pStyle w:val="TOC5"/>
        <w:rPr>
          <w:rFonts w:asciiTheme="minorHAnsi" w:eastAsiaTheme="minorEastAsia" w:hAnsiTheme="minorHAnsi" w:cstheme="minorBidi"/>
          <w:noProof/>
          <w:kern w:val="2"/>
          <w:sz w:val="21"/>
          <w:szCs w:val="22"/>
          <w:lang w:val="en-US" w:eastAsia="zh-CN"/>
        </w:rPr>
      </w:pPr>
      <w:r>
        <w:rPr>
          <w:noProof/>
        </w:rPr>
        <w:t>5.1.3.5.1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_Toc199452875 \h </w:instrText>
      </w:r>
      <w:r>
        <w:rPr>
          <w:noProof/>
        </w:rPr>
      </w:r>
      <w:r>
        <w:rPr>
          <w:noProof/>
        </w:rPr>
        <w:fldChar w:fldCharType="separate"/>
      </w:r>
      <w:r>
        <w:rPr>
          <w:noProof/>
        </w:rPr>
        <w:t>123</w:t>
      </w:r>
      <w:r>
        <w:rPr>
          <w:noProof/>
        </w:rPr>
        <w:fldChar w:fldCharType="end"/>
      </w:r>
    </w:p>
    <w:p w14:paraId="3175FBB2" w14:textId="2832804B" w:rsidR="003F6EFC" w:rsidRDefault="003F6EFC">
      <w:pPr>
        <w:pStyle w:val="TOC5"/>
        <w:rPr>
          <w:rFonts w:asciiTheme="minorHAnsi" w:eastAsiaTheme="minorEastAsia" w:hAnsiTheme="minorHAnsi" w:cstheme="minorBidi"/>
          <w:noProof/>
          <w:kern w:val="2"/>
          <w:sz w:val="21"/>
          <w:szCs w:val="22"/>
          <w:lang w:val="en-US" w:eastAsia="zh-CN"/>
        </w:rPr>
      </w:pPr>
      <w:r>
        <w:rPr>
          <w:noProof/>
        </w:rPr>
        <w:t>5.1.3.5.2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_Toc199452876 \h </w:instrText>
      </w:r>
      <w:r>
        <w:rPr>
          <w:noProof/>
        </w:rPr>
      </w:r>
      <w:r>
        <w:rPr>
          <w:noProof/>
        </w:rPr>
        <w:fldChar w:fldCharType="separate"/>
      </w:r>
      <w:r>
        <w:rPr>
          <w:noProof/>
        </w:rPr>
        <w:t>123</w:t>
      </w:r>
      <w:r>
        <w:rPr>
          <w:noProof/>
        </w:rPr>
        <w:fldChar w:fldCharType="end"/>
      </w:r>
    </w:p>
    <w:p w14:paraId="1645B68E" w14:textId="5B475893" w:rsidR="003F6EFC" w:rsidRDefault="003F6EFC">
      <w:pPr>
        <w:pStyle w:val="TOC5"/>
        <w:rPr>
          <w:rFonts w:asciiTheme="minorHAnsi" w:eastAsiaTheme="minorEastAsia" w:hAnsiTheme="minorHAnsi" w:cstheme="minorBidi"/>
          <w:noProof/>
          <w:kern w:val="2"/>
          <w:sz w:val="21"/>
          <w:szCs w:val="22"/>
          <w:lang w:val="en-US" w:eastAsia="zh-CN"/>
        </w:rPr>
      </w:pPr>
      <w:r>
        <w:rPr>
          <w:noProof/>
        </w:rPr>
        <w:t>5.1.3.5.3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_Toc199452877 \h </w:instrText>
      </w:r>
      <w:r>
        <w:rPr>
          <w:noProof/>
        </w:rPr>
      </w:r>
      <w:r>
        <w:rPr>
          <w:noProof/>
        </w:rPr>
        <w:fldChar w:fldCharType="separate"/>
      </w:r>
      <w:r>
        <w:rPr>
          <w:noProof/>
        </w:rPr>
        <w:t>124</w:t>
      </w:r>
      <w:r>
        <w:rPr>
          <w:noProof/>
        </w:rPr>
        <w:fldChar w:fldCharType="end"/>
      </w:r>
    </w:p>
    <w:p w14:paraId="0B7925BA" w14:textId="7134C2B5" w:rsidR="003F6EFC" w:rsidRDefault="003F6EFC">
      <w:pPr>
        <w:pStyle w:val="TOC6"/>
        <w:rPr>
          <w:rFonts w:asciiTheme="minorHAnsi" w:eastAsiaTheme="minorEastAsia" w:hAnsiTheme="minorHAnsi" w:cstheme="minorBidi"/>
          <w:noProof/>
          <w:kern w:val="2"/>
          <w:sz w:val="21"/>
          <w:szCs w:val="22"/>
          <w:lang w:val="en-US" w:eastAsia="zh-CN"/>
        </w:rPr>
      </w:pPr>
      <w:r>
        <w:rPr>
          <w:noProof/>
        </w:rPr>
        <w:t>5.1.3.5.3.1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_Toc199452878 \h </w:instrText>
      </w:r>
      <w:r>
        <w:rPr>
          <w:noProof/>
        </w:rPr>
      </w:r>
      <w:r>
        <w:rPr>
          <w:noProof/>
        </w:rPr>
        <w:fldChar w:fldCharType="separate"/>
      </w:r>
      <w:r>
        <w:rPr>
          <w:noProof/>
        </w:rPr>
        <w:t>124</w:t>
      </w:r>
      <w:r>
        <w:rPr>
          <w:noProof/>
        </w:rPr>
        <w:fldChar w:fldCharType="end"/>
      </w:r>
    </w:p>
    <w:p w14:paraId="41A916A1" w14:textId="71DD48C1" w:rsidR="003F6EFC" w:rsidRDefault="003F6EFC">
      <w:pPr>
        <w:pStyle w:val="TOC6"/>
        <w:rPr>
          <w:rFonts w:asciiTheme="minorHAnsi" w:eastAsiaTheme="minorEastAsia" w:hAnsiTheme="minorHAnsi" w:cstheme="minorBidi"/>
          <w:noProof/>
          <w:kern w:val="2"/>
          <w:sz w:val="21"/>
          <w:szCs w:val="22"/>
          <w:lang w:val="en-US" w:eastAsia="zh-CN"/>
        </w:rPr>
      </w:pPr>
      <w:r>
        <w:rPr>
          <w:noProof/>
        </w:rPr>
        <w:t>5.1.3.5.3.2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_Toc199452879 \h </w:instrText>
      </w:r>
      <w:r>
        <w:rPr>
          <w:noProof/>
        </w:rPr>
      </w:r>
      <w:r>
        <w:rPr>
          <w:noProof/>
        </w:rPr>
        <w:fldChar w:fldCharType="separate"/>
      </w:r>
      <w:r>
        <w:rPr>
          <w:noProof/>
        </w:rPr>
        <w:t>125</w:t>
      </w:r>
      <w:r>
        <w:rPr>
          <w:noProof/>
        </w:rPr>
        <w:fldChar w:fldCharType="end"/>
      </w:r>
    </w:p>
    <w:p w14:paraId="0ED5F1F6" w14:textId="23D26096" w:rsidR="003F6EFC" w:rsidRDefault="003F6EFC">
      <w:pPr>
        <w:pStyle w:val="TOC5"/>
        <w:rPr>
          <w:rFonts w:asciiTheme="minorHAnsi" w:eastAsiaTheme="minorEastAsia" w:hAnsiTheme="minorHAnsi" w:cstheme="minorBidi"/>
          <w:noProof/>
          <w:kern w:val="2"/>
          <w:sz w:val="21"/>
          <w:szCs w:val="22"/>
          <w:lang w:val="en-US" w:eastAsia="zh-CN"/>
        </w:rPr>
      </w:pPr>
      <w:r>
        <w:rPr>
          <w:noProof/>
        </w:rPr>
        <w:t>5.1.3.5.4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_Toc199452880 \h </w:instrText>
      </w:r>
      <w:r>
        <w:rPr>
          <w:noProof/>
        </w:rPr>
      </w:r>
      <w:r>
        <w:rPr>
          <w:noProof/>
        </w:rPr>
        <w:fldChar w:fldCharType="separate"/>
      </w:r>
      <w:r>
        <w:rPr>
          <w:noProof/>
        </w:rPr>
        <w:t>126</w:t>
      </w:r>
      <w:r>
        <w:rPr>
          <w:noProof/>
        </w:rPr>
        <w:fldChar w:fldCharType="end"/>
      </w:r>
    </w:p>
    <w:p w14:paraId="40B02B2E" w14:textId="0E3417D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_Toc199452881 \h </w:instrText>
      </w:r>
      <w:r>
        <w:rPr>
          <w:noProof/>
        </w:rPr>
      </w:r>
      <w:r>
        <w:rPr>
          <w:noProof/>
        </w:rPr>
        <w:fldChar w:fldCharType="separate"/>
      </w:r>
      <w:r>
        <w:rPr>
          <w:noProof/>
        </w:rPr>
        <w:t>126</w:t>
      </w:r>
      <w:r>
        <w:rPr>
          <w:noProof/>
        </w:rPr>
        <w:fldChar w:fldCharType="end"/>
      </w:r>
    </w:p>
    <w:p w14:paraId="4175621F" w14:textId="78F393F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_Toc199452882 \h </w:instrText>
      </w:r>
      <w:r>
        <w:rPr>
          <w:noProof/>
        </w:rPr>
      </w:r>
      <w:r>
        <w:rPr>
          <w:noProof/>
        </w:rPr>
        <w:fldChar w:fldCharType="separate"/>
      </w:r>
      <w:r>
        <w:rPr>
          <w:noProof/>
        </w:rPr>
        <w:t>126</w:t>
      </w:r>
      <w:r>
        <w:rPr>
          <w:noProof/>
        </w:rPr>
        <w:fldChar w:fldCharType="end"/>
      </w:r>
    </w:p>
    <w:p w14:paraId="4F421401" w14:textId="2D09776E" w:rsidR="003F6EFC" w:rsidRDefault="003F6EFC">
      <w:pPr>
        <w:pStyle w:val="TOC4"/>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_Toc199452883 \h </w:instrText>
      </w:r>
      <w:r>
        <w:rPr>
          <w:noProof/>
        </w:rPr>
      </w:r>
      <w:r>
        <w:rPr>
          <w:noProof/>
        </w:rPr>
        <w:fldChar w:fldCharType="separate"/>
      </w:r>
      <w:r>
        <w:rPr>
          <w:noProof/>
        </w:rPr>
        <w:t>126</w:t>
      </w:r>
      <w:r>
        <w:rPr>
          <w:noProof/>
        </w:rPr>
        <w:fldChar w:fldCharType="end"/>
      </w:r>
    </w:p>
    <w:p w14:paraId="350654EA" w14:textId="113EABDB" w:rsidR="003F6EFC" w:rsidRDefault="003F6EFC">
      <w:pPr>
        <w:pStyle w:val="TOC4"/>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_Toc199452884 \h </w:instrText>
      </w:r>
      <w:r>
        <w:rPr>
          <w:noProof/>
        </w:rPr>
      </w:r>
      <w:r>
        <w:rPr>
          <w:noProof/>
        </w:rPr>
        <w:fldChar w:fldCharType="separate"/>
      </w:r>
      <w:r>
        <w:rPr>
          <w:noProof/>
        </w:rPr>
        <w:t>126</w:t>
      </w:r>
      <w:r>
        <w:rPr>
          <w:noProof/>
        </w:rPr>
        <w:fldChar w:fldCharType="end"/>
      </w:r>
    </w:p>
    <w:p w14:paraId="4EF453B9" w14:textId="501D0AEF" w:rsidR="003F6EFC" w:rsidRDefault="003F6EFC">
      <w:pPr>
        <w:pStyle w:val="TOC5"/>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_Toc199452885 \h </w:instrText>
      </w:r>
      <w:r>
        <w:rPr>
          <w:noProof/>
        </w:rPr>
      </w:r>
      <w:r>
        <w:rPr>
          <w:noProof/>
        </w:rPr>
        <w:fldChar w:fldCharType="separate"/>
      </w:r>
      <w:r>
        <w:rPr>
          <w:noProof/>
        </w:rPr>
        <w:t>126</w:t>
      </w:r>
      <w:r>
        <w:rPr>
          <w:noProof/>
        </w:rPr>
        <w:fldChar w:fldCharType="end"/>
      </w:r>
    </w:p>
    <w:p w14:paraId="0E3CBB53" w14:textId="673DF94F" w:rsidR="003F6EFC" w:rsidRDefault="003F6EFC">
      <w:pPr>
        <w:pStyle w:val="TOC5"/>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_Toc199452886 \h </w:instrText>
      </w:r>
      <w:r>
        <w:rPr>
          <w:noProof/>
        </w:rPr>
      </w:r>
      <w:r>
        <w:rPr>
          <w:noProof/>
        </w:rPr>
        <w:fldChar w:fldCharType="separate"/>
      </w:r>
      <w:r>
        <w:rPr>
          <w:noProof/>
        </w:rPr>
        <w:t>127</w:t>
      </w:r>
      <w:r>
        <w:rPr>
          <w:noProof/>
        </w:rPr>
        <w:fldChar w:fldCharType="end"/>
      </w:r>
    </w:p>
    <w:p w14:paraId="4AEB0DD5" w14:textId="50BA9FF6"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_Toc199452887 \h </w:instrText>
      </w:r>
      <w:r>
        <w:rPr>
          <w:noProof/>
        </w:rPr>
      </w:r>
      <w:r>
        <w:rPr>
          <w:noProof/>
        </w:rPr>
        <w:fldChar w:fldCharType="separate"/>
      </w:r>
      <w:r>
        <w:rPr>
          <w:noProof/>
        </w:rPr>
        <w:t>128</w:t>
      </w:r>
      <w:r>
        <w:rPr>
          <w:noProof/>
        </w:rPr>
        <w:fldChar w:fldCharType="end"/>
      </w:r>
    </w:p>
    <w:p w14:paraId="367E8470" w14:textId="17F6FB0B" w:rsidR="003F6EFC" w:rsidRDefault="003F6EFC">
      <w:pPr>
        <w:pStyle w:val="TOC4"/>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_Toc199452888 \h </w:instrText>
      </w:r>
      <w:r>
        <w:rPr>
          <w:noProof/>
        </w:rPr>
      </w:r>
      <w:r>
        <w:rPr>
          <w:noProof/>
        </w:rPr>
        <w:fldChar w:fldCharType="separate"/>
      </w:r>
      <w:r>
        <w:rPr>
          <w:noProof/>
        </w:rPr>
        <w:t>128</w:t>
      </w:r>
      <w:r>
        <w:rPr>
          <w:noProof/>
        </w:rPr>
        <w:fldChar w:fldCharType="end"/>
      </w:r>
    </w:p>
    <w:p w14:paraId="2EAB9148" w14:textId="090FE3BB" w:rsidR="003F6EFC" w:rsidRDefault="003F6EFC">
      <w:pPr>
        <w:pStyle w:val="TOC4"/>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_Toc199452889 \h </w:instrText>
      </w:r>
      <w:r>
        <w:rPr>
          <w:noProof/>
        </w:rPr>
      </w:r>
      <w:r>
        <w:rPr>
          <w:noProof/>
        </w:rPr>
        <w:fldChar w:fldCharType="separate"/>
      </w:r>
      <w:r>
        <w:rPr>
          <w:noProof/>
        </w:rPr>
        <w:t>142</w:t>
      </w:r>
      <w:r>
        <w:rPr>
          <w:noProof/>
        </w:rPr>
        <w:fldChar w:fldCharType="end"/>
      </w:r>
    </w:p>
    <w:p w14:paraId="06F153C5" w14:textId="3A06108B" w:rsidR="003F6EFC" w:rsidRDefault="003F6EFC">
      <w:pPr>
        <w:pStyle w:val="TOC5"/>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_Toc199452890 \h </w:instrText>
      </w:r>
      <w:r>
        <w:rPr>
          <w:noProof/>
        </w:rPr>
      </w:r>
      <w:r>
        <w:rPr>
          <w:noProof/>
        </w:rPr>
        <w:fldChar w:fldCharType="separate"/>
      </w:r>
      <w:r>
        <w:rPr>
          <w:noProof/>
        </w:rPr>
        <w:t>142</w:t>
      </w:r>
      <w:r>
        <w:rPr>
          <w:noProof/>
        </w:rPr>
        <w:fldChar w:fldCharType="end"/>
      </w:r>
    </w:p>
    <w:p w14:paraId="73277385" w14:textId="63C20DE4" w:rsidR="003F6EFC" w:rsidRDefault="003F6EFC">
      <w:pPr>
        <w:pStyle w:val="TOC5"/>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rPr>
        <w:t>Type NnwdafEventsSubscription</w:t>
      </w:r>
      <w:r>
        <w:rPr>
          <w:noProof/>
        </w:rPr>
        <w:tab/>
      </w:r>
      <w:r>
        <w:rPr>
          <w:noProof/>
        </w:rPr>
        <w:fldChar w:fldCharType="begin"/>
      </w:r>
      <w:r>
        <w:rPr>
          <w:noProof/>
        </w:rPr>
        <w:instrText xml:space="preserve"> PAGEREF _Toc199452891 \h </w:instrText>
      </w:r>
      <w:r>
        <w:rPr>
          <w:noProof/>
        </w:rPr>
      </w:r>
      <w:r>
        <w:rPr>
          <w:noProof/>
        </w:rPr>
        <w:fldChar w:fldCharType="separate"/>
      </w:r>
      <w:r>
        <w:rPr>
          <w:noProof/>
        </w:rPr>
        <w:t>143</w:t>
      </w:r>
      <w:r>
        <w:rPr>
          <w:noProof/>
        </w:rPr>
        <w:fldChar w:fldCharType="end"/>
      </w:r>
    </w:p>
    <w:p w14:paraId="4B87B60B" w14:textId="21F9AB7C" w:rsidR="003F6EFC" w:rsidRDefault="003F6EFC">
      <w:pPr>
        <w:pStyle w:val="TOC5"/>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rPr>
        <w:t>Type EventSubscription</w:t>
      </w:r>
      <w:r>
        <w:rPr>
          <w:noProof/>
        </w:rPr>
        <w:tab/>
      </w:r>
      <w:r>
        <w:rPr>
          <w:noProof/>
        </w:rPr>
        <w:fldChar w:fldCharType="begin"/>
      </w:r>
      <w:r>
        <w:rPr>
          <w:noProof/>
        </w:rPr>
        <w:instrText xml:space="preserve"> PAGEREF _Toc199452892 \h </w:instrText>
      </w:r>
      <w:r>
        <w:rPr>
          <w:noProof/>
        </w:rPr>
      </w:r>
      <w:r>
        <w:rPr>
          <w:noProof/>
        </w:rPr>
        <w:fldChar w:fldCharType="separate"/>
      </w:r>
      <w:r>
        <w:rPr>
          <w:noProof/>
        </w:rPr>
        <w:t>146</w:t>
      </w:r>
      <w:r>
        <w:rPr>
          <w:noProof/>
        </w:rPr>
        <w:fldChar w:fldCharType="end"/>
      </w:r>
    </w:p>
    <w:p w14:paraId="305FA03C" w14:textId="1C046BC5" w:rsidR="003F6EFC" w:rsidRDefault="003F6EFC">
      <w:pPr>
        <w:pStyle w:val="TOC5"/>
        <w:rPr>
          <w:rFonts w:asciiTheme="minorHAnsi" w:eastAsiaTheme="minorEastAsia" w:hAnsiTheme="minorHAnsi" w:cstheme="minorBidi"/>
          <w:noProof/>
          <w:kern w:val="2"/>
          <w:sz w:val="21"/>
          <w:szCs w:val="22"/>
          <w:lang w:val="en-US" w:eastAsia="zh-CN"/>
        </w:rPr>
      </w:pPr>
      <w:r>
        <w:rPr>
          <w:noProof/>
        </w:rPr>
        <w:t>5.1.6.2.4</w:t>
      </w:r>
      <w:r>
        <w:rPr>
          <w:rFonts w:asciiTheme="minorHAnsi" w:eastAsiaTheme="minorEastAsia" w:hAnsiTheme="minorHAnsi" w:cstheme="minorBidi"/>
          <w:noProof/>
          <w:kern w:val="2"/>
          <w:sz w:val="21"/>
          <w:szCs w:val="22"/>
          <w:lang w:val="en-US" w:eastAsia="zh-CN"/>
        </w:rPr>
        <w:tab/>
      </w:r>
      <w:r>
        <w:rPr>
          <w:noProof/>
        </w:rPr>
        <w:t>Type NnwdafEventsSubscriptionNotification</w:t>
      </w:r>
      <w:r>
        <w:rPr>
          <w:noProof/>
        </w:rPr>
        <w:tab/>
      </w:r>
      <w:r>
        <w:rPr>
          <w:noProof/>
        </w:rPr>
        <w:fldChar w:fldCharType="begin"/>
      </w:r>
      <w:r>
        <w:rPr>
          <w:noProof/>
        </w:rPr>
        <w:instrText xml:space="preserve"> PAGEREF _Toc199452893 \h </w:instrText>
      </w:r>
      <w:r>
        <w:rPr>
          <w:noProof/>
        </w:rPr>
      </w:r>
      <w:r>
        <w:rPr>
          <w:noProof/>
        </w:rPr>
        <w:fldChar w:fldCharType="separate"/>
      </w:r>
      <w:r>
        <w:rPr>
          <w:noProof/>
        </w:rPr>
        <w:t>156</w:t>
      </w:r>
      <w:r>
        <w:rPr>
          <w:noProof/>
        </w:rPr>
        <w:fldChar w:fldCharType="end"/>
      </w:r>
    </w:p>
    <w:p w14:paraId="5F92E846" w14:textId="2B502753" w:rsidR="003F6EFC" w:rsidRDefault="003F6EFC">
      <w:pPr>
        <w:pStyle w:val="TOC5"/>
        <w:rPr>
          <w:rFonts w:asciiTheme="minorHAnsi" w:eastAsiaTheme="minorEastAsia" w:hAnsiTheme="minorHAnsi" w:cstheme="minorBidi"/>
          <w:noProof/>
          <w:kern w:val="2"/>
          <w:sz w:val="21"/>
          <w:szCs w:val="22"/>
          <w:lang w:val="en-US" w:eastAsia="zh-CN"/>
        </w:rPr>
      </w:pPr>
      <w:r>
        <w:rPr>
          <w:noProof/>
        </w:rPr>
        <w:t>5.1.6.2.5</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_Toc199452894 \h </w:instrText>
      </w:r>
      <w:r>
        <w:rPr>
          <w:noProof/>
        </w:rPr>
      </w:r>
      <w:r>
        <w:rPr>
          <w:noProof/>
        </w:rPr>
        <w:fldChar w:fldCharType="separate"/>
      </w:r>
      <w:r>
        <w:rPr>
          <w:noProof/>
        </w:rPr>
        <w:t>157</w:t>
      </w:r>
      <w:r>
        <w:rPr>
          <w:noProof/>
        </w:rPr>
        <w:fldChar w:fldCharType="end"/>
      </w:r>
    </w:p>
    <w:p w14:paraId="21E5B467" w14:textId="24A086C2" w:rsidR="003F6EFC" w:rsidRDefault="003F6EFC">
      <w:pPr>
        <w:pStyle w:val="TOC5"/>
        <w:rPr>
          <w:rFonts w:asciiTheme="minorHAnsi" w:eastAsiaTheme="minorEastAsia" w:hAnsiTheme="minorHAnsi" w:cstheme="minorBidi"/>
          <w:noProof/>
          <w:kern w:val="2"/>
          <w:sz w:val="21"/>
          <w:szCs w:val="22"/>
          <w:lang w:val="en-US" w:eastAsia="zh-CN"/>
        </w:rPr>
      </w:pPr>
      <w:r>
        <w:rPr>
          <w:noProof/>
        </w:rPr>
        <w:t>5.1.6.2.6</w:t>
      </w:r>
      <w:r>
        <w:rPr>
          <w:rFonts w:asciiTheme="minorHAnsi" w:eastAsiaTheme="minorEastAsia" w:hAnsiTheme="minorHAnsi" w:cstheme="minorBidi"/>
          <w:noProof/>
          <w:kern w:val="2"/>
          <w:sz w:val="21"/>
          <w:szCs w:val="22"/>
          <w:lang w:val="en-US" w:eastAsia="zh-CN"/>
        </w:rPr>
        <w:tab/>
      </w:r>
      <w:r>
        <w:rPr>
          <w:noProof/>
        </w:rPr>
        <w:t>Type SliceLoadLevelInformation</w:t>
      </w:r>
      <w:r>
        <w:rPr>
          <w:noProof/>
        </w:rPr>
        <w:tab/>
      </w:r>
      <w:r>
        <w:rPr>
          <w:noProof/>
        </w:rPr>
        <w:fldChar w:fldCharType="begin"/>
      </w:r>
      <w:r>
        <w:rPr>
          <w:noProof/>
        </w:rPr>
        <w:instrText xml:space="preserve"> PAGEREF _Toc199452895 \h </w:instrText>
      </w:r>
      <w:r>
        <w:rPr>
          <w:noProof/>
        </w:rPr>
      </w:r>
      <w:r>
        <w:rPr>
          <w:noProof/>
        </w:rPr>
        <w:fldChar w:fldCharType="separate"/>
      </w:r>
      <w:r>
        <w:rPr>
          <w:noProof/>
        </w:rPr>
        <w:t>161</w:t>
      </w:r>
      <w:r>
        <w:rPr>
          <w:noProof/>
        </w:rPr>
        <w:fldChar w:fldCharType="end"/>
      </w:r>
    </w:p>
    <w:p w14:paraId="04468746" w14:textId="193F3475" w:rsidR="003F6EFC" w:rsidRDefault="003F6EFC">
      <w:pPr>
        <w:pStyle w:val="TOC5"/>
        <w:rPr>
          <w:rFonts w:asciiTheme="minorHAnsi" w:eastAsiaTheme="minorEastAsia" w:hAnsiTheme="minorHAnsi" w:cstheme="minorBidi"/>
          <w:noProof/>
          <w:kern w:val="2"/>
          <w:sz w:val="21"/>
          <w:szCs w:val="22"/>
          <w:lang w:val="en-US" w:eastAsia="zh-CN"/>
        </w:rPr>
      </w:pPr>
      <w:r>
        <w:rPr>
          <w:noProof/>
        </w:rPr>
        <w:t>5.1.6.2.7</w:t>
      </w:r>
      <w:r>
        <w:rPr>
          <w:rFonts w:asciiTheme="minorHAnsi" w:eastAsiaTheme="minorEastAsia" w:hAnsiTheme="minorHAnsi" w:cstheme="minorBidi"/>
          <w:noProof/>
          <w:kern w:val="2"/>
          <w:sz w:val="21"/>
          <w:szCs w:val="22"/>
          <w:lang w:val="en-US" w:eastAsia="zh-CN"/>
        </w:rPr>
        <w:tab/>
      </w:r>
      <w:r>
        <w:rPr>
          <w:noProof/>
        </w:rPr>
        <w:t>Type EventReportingRequirement</w:t>
      </w:r>
      <w:r>
        <w:rPr>
          <w:noProof/>
        </w:rPr>
        <w:tab/>
      </w:r>
      <w:r>
        <w:rPr>
          <w:noProof/>
        </w:rPr>
        <w:fldChar w:fldCharType="begin"/>
      </w:r>
      <w:r>
        <w:rPr>
          <w:noProof/>
        </w:rPr>
        <w:instrText xml:space="preserve"> PAGEREF _Toc199452896 \h </w:instrText>
      </w:r>
      <w:r>
        <w:rPr>
          <w:noProof/>
        </w:rPr>
      </w:r>
      <w:r>
        <w:rPr>
          <w:noProof/>
        </w:rPr>
        <w:fldChar w:fldCharType="separate"/>
      </w:r>
      <w:r>
        <w:rPr>
          <w:noProof/>
        </w:rPr>
        <w:t>162</w:t>
      </w:r>
      <w:r>
        <w:rPr>
          <w:noProof/>
        </w:rPr>
        <w:fldChar w:fldCharType="end"/>
      </w:r>
    </w:p>
    <w:p w14:paraId="20C03038" w14:textId="56A3A1CC" w:rsidR="003F6EFC" w:rsidRDefault="003F6EFC">
      <w:pPr>
        <w:pStyle w:val="TOC5"/>
        <w:rPr>
          <w:rFonts w:asciiTheme="minorHAnsi" w:eastAsiaTheme="minorEastAsia" w:hAnsiTheme="minorHAnsi" w:cstheme="minorBidi"/>
          <w:noProof/>
          <w:kern w:val="2"/>
          <w:sz w:val="21"/>
          <w:szCs w:val="22"/>
          <w:lang w:val="en-US" w:eastAsia="zh-CN"/>
        </w:rPr>
      </w:pPr>
      <w:r>
        <w:rPr>
          <w:noProof/>
        </w:rPr>
        <w:t>5.1.6.2.8</w:t>
      </w:r>
      <w:r>
        <w:rPr>
          <w:rFonts w:asciiTheme="minorHAnsi" w:eastAsiaTheme="minorEastAsia" w:hAnsiTheme="minorHAnsi" w:cstheme="minorBidi"/>
          <w:noProof/>
          <w:kern w:val="2"/>
          <w:sz w:val="21"/>
          <w:szCs w:val="22"/>
          <w:lang w:val="en-US" w:eastAsia="zh-CN"/>
        </w:rPr>
        <w:tab/>
      </w:r>
      <w:r>
        <w:rPr>
          <w:noProof/>
        </w:rPr>
        <w:t>Type TargetUeInformation</w:t>
      </w:r>
      <w:r>
        <w:rPr>
          <w:noProof/>
        </w:rPr>
        <w:tab/>
      </w:r>
      <w:r>
        <w:rPr>
          <w:noProof/>
        </w:rPr>
        <w:fldChar w:fldCharType="begin"/>
      </w:r>
      <w:r>
        <w:rPr>
          <w:noProof/>
        </w:rPr>
        <w:instrText xml:space="preserve"> PAGEREF _Toc199452897 \h </w:instrText>
      </w:r>
      <w:r>
        <w:rPr>
          <w:noProof/>
        </w:rPr>
      </w:r>
      <w:r>
        <w:rPr>
          <w:noProof/>
        </w:rPr>
        <w:fldChar w:fldCharType="separate"/>
      </w:r>
      <w:r>
        <w:rPr>
          <w:noProof/>
        </w:rPr>
        <w:t>165</w:t>
      </w:r>
      <w:r>
        <w:rPr>
          <w:noProof/>
        </w:rPr>
        <w:fldChar w:fldCharType="end"/>
      </w:r>
    </w:p>
    <w:p w14:paraId="08069922" w14:textId="73BB46D8" w:rsidR="003F6EFC" w:rsidRDefault="003F6EFC">
      <w:pPr>
        <w:pStyle w:val="TOC5"/>
        <w:rPr>
          <w:rFonts w:asciiTheme="minorHAnsi" w:eastAsiaTheme="minorEastAsia" w:hAnsiTheme="minorHAnsi" w:cstheme="minorBidi"/>
          <w:noProof/>
          <w:kern w:val="2"/>
          <w:sz w:val="21"/>
          <w:szCs w:val="22"/>
          <w:lang w:val="en-US" w:eastAsia="zh-CN"/>
        </w:rPr>
      </w:pPr>
      <w:r>
        <w:rPr>
          <w:noProof/>
        </w:rPr>
        <w:t>5.1.6.2.9</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_Toc199452898 \h </w:instrText>
      </w:r>
      <w:r>
        <w:rPr>
          <w:noProof/>
        </w:rPr>
      </w:r>
      <w:r>
        <w:rPr>
          <w:noProof/>
        </w:rPr>
        <w:fldChar w:fldCharType="separate"/>
      </w:r>
      <w:r>
        <w:rPr>
          <w:noProof/>
        </w:rPr>
        <w:t>166</w:t>
      </w:r>
      <w:r>
        <w:rPr>
          <w:noProof/>
        </w:rPr>
        <w:fldChar w:fldCharType="end"/>
      </w:r>
    </w:p>
    <w:p w14:paraId="002D5717" w14:textId="20E98BAB" w:rsidR="003F6EFC" w:rsidRDefault="003F6EFC">
      <w:pPr>
        <w:pStyle w:val="TOC5"/>
        <w:rPr>
          <w:rFonts w:asciiTheme="minorHAnsi" w:eastAsiaTheme="minorEastAsia" w:hAnsiTheme="minorHAnsi" w:cstheme="minorBidi"/>
          <w:noProof/>
          <w:kern w:val="2"/>
          <w:sz w:val="21"/>
          <w:szCs w:val="22"/>
          <w:lang w:val="en-US" w:eastAsia="zh-CN"/>
        </w:rPr>
      </w:pPr>
      <w:r>
        <w:rPr>
          <w:noProof/>
        </w:rPr>
        <w:t>5.1.6.2.10</w:t>
      </w:r>
      <w:r>
        <w:rPr>
          <w:rFonts w:asciiTheme="minorHAnsi" w:eastAsiaTheme="minorEastAsia" w:hAnsiTheme="minorHAnsi" w:cstheme="minorBidi"/>
          <w:noProof/>
          <w:kern w:val="2"/>
          <w:sz w:val="21"/>
          <w:szCs w:val="22"/>
          <w:lang w:val="en-US" w:eastAsia="zh-CN"/>
        </w:rPr>
        <w:tab/>
      </w:r>
      <w:r>
        <w:rPr>
          <w:noProof/>
        </w:rPr>
        <w:t>Type UeMobility</w:t>
      </w:r>
      <w:r>
        <w:rPr>
          <w:noProof/>
        </w:rPr>
        <w:tab/>
      </w:r>
      <w:r>
        <w:rPr>
          <w:noProof/>
        </w:rPr>
        <w:fldChar w:fldCharType="begin"/>
      </w:r>
      <w:r>
        <w:rPr>
          <w:noProof/>
        </w:rPr>
        <w:instrText xml:space="preserve"> PAGEREF _Toc199452899 \h </w:instrText>
      </w:r>
      <w:r>
        <w:rPr>
          <w:noProof/>
        </w:rPr>
      </w:r>
      <w:r>
        <w:rPr>
          <w:noProof/>
        </w:rPr>
        <w:fldChar w:fldCharType="separate"/>
      </w:r>
      <w:r>
        <w:rPr>
          <w:noProof/>
        </w:rPr>
        <w:t>166</w:t>
      </w:r>
      <w:r>
        <w:rPr>
          <w:noProof/>
        </w:rPr>
        <w:fldChar w:fldCharType="end"/>
      </w:r>
    </w:p>
    <w:p w14:paraId="6672C77F" w14:textId="497AC5DE" w:rsidR="003F6EFC" w:rsidRDefault="003F6EFC">
      <w:pPr>
        <w:pStyle w:val="TOC5"/>
        <w:rPr>
          <w:rFonts w:asciiTheme="minorHAnsi" w:eastAsiaTheme="minorEastAsia" w:hAnsiTheme="minorHAnsi" w:cstheme="minorBidi"/>
          <w:noProof/>
          <w:kern w:val="2"/>
          <w:sz w:val="21"/>
          <w:szCs w:val="22"/>
          <w:lang w:val="en-US" w:eastAsia="zh-CN"/>
        </w:rPr>
      </w:pPr>
      <w:r>
        <w:rPr>
          <w:noProof/>
        </w:rPr>
        <w:t>5.1.6.2.11</w:t>
      </w:r>
      <w:r>
        <w:rPr>
          <w:rFonts w:asciiTheme="minorHAnsi" w:eastAsiaTheme="minorEastAsia" w:hAnsiTheme="minorHAnsi" w:cstheme="minorBidi"/>
          <w:noProof/>
          <w:kern w:val="2"/>
          <w:sz w:val="21"/>
          <w:szCs w:val="22"/>
          <w:lang w:val="en-US" w:eastAsia="zh-CN"/>
        </w:rPr>
        <w:tab/>
      </w:r>
      <w:r>
        <w:rPr>
          <w:noProof/>
        </w:rPr>
        <w:t>Type LocationInfo</w:t>
      </w:r>
      <w:r>
        <w:rPr>
          <w:noProof/>
        </w:rPr>
        <w:tab/>
      </w:r>
      <w:r>
        <w:rPr>
          <w:noProof/>
        </w:rPr>
        <w:fldChar w:fldCharType="begin"/>
      </w:r>
      <w:r>
        <w:rPr>
          <w:noProof/>
        </w:rPr>
        <w:instrText xml:space="preserve"> PAGEREF _Toc199452900 \h </w:instrText>
      </w:r>
      <w:r>
        <w:rPr>
          <w:noProof/>
        </w:rPr>
      </w:r>
      <w:r>
        <w:rPr>
          <w:noProof/>
        </w:rPr>
        <w:fldChar w:fldCharType="separate"/>
      </w:r>
      <w:r>
        <w:rPr>
          <w:noProof/>
        </w:rPr>
        <w:t>167</w:t>
      </w:r>
      <w:r>
        <w:rPr>
          <w:noProof/>
        </w:rPr>
        <w:fldChar w:fldCharType="end"/>
      </w:r>
    </w:p>
    <w:p w14:paraId="5C5C518A" w14:textId="634F4B43"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5.1.6.2.12</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_Toc199452901 \h </w:instrText>
      </w:r>
      <w:r>
        <w:rPr>
          <w:noProof/>
        </w:rPr>
      </w:r>
      <w:r>
        <w:rPr>
          <w:noProof/>
        </w:rPr>
        <w:fldChar w:fldCharType="separate"/>
      </w:r>
      <w:r>
        <w:rPr>
          <w:noProof/>
        </w:rPr>
        <w:t>168</w:t>
      </w:r>
      <w:r>
        <w:rPr>
          <w:noProof/>
        </w:rPr>
        <w:fldChar w:fldCharType="end"/>
      </w:r>
    </w:p>
    <w:p w14:paraId="5CB113C4" w14:textId="74B7F247" w:rsidR="003F6EFC" w:rsidRDefault="003F6EFC">
      <w:pPr>
        <w:pStyle w:val="TOC5"/>
        <w:rPr>
          <w:rFonts w:asciiTheme="minorHAnsi" w:eastAsiaTheme="minorEastAsia" w:hAnsiTheme="minorHAnsi" w:cstheme="minorBidi"/>
          <w:noProof/>
          <w:kern w:val="2"/>
          <w:sz w:val="21"/>
          <w:szCs w:val="22"/>
          <w:lang w:val="en-US" w:eastAsia="zh-CN"/>
        </w:rPr>
      </w:pPr>
      <w:r>
        <w:rPr>
          <w:noProof/>
        </w:rPr>
        <w:t>5.1.6.2.13</w:t>
      </w:r>
      <w:r>
        <w:rPr>
          <w:rFonts w:asciiTheme="minorHAnsi" w:eastAsiaTheme="minorEastAsia" w:hAnsiTheme="minorHAnsi" w:cstheme="minorBidi"/>
          <w:noProof/>
          <w:kern w:val="2"/>
          <w:sz w:val="21"/>
          <w:szCs w:val="22"/>
          <w:lang w:val="en-US" w:eastAsia="zh-CN"/>
        </w:rPr>
        <w:tab/>
      </w:r>
      <w:r>
        <w:rPr>
          <w:noProof/>
        </w:rPr>
        <w:t>Type UeCommunication</w:t>
      </w:r>
      <w:r>
        <w:rPr>
          <w:noProof/>
        </w:rPr>
        <w:tab/>
      </w:r>
      <w:r>
        <w:rPr>
          <w:noProof/>
        </w:rPr>
        <w:fldChar w:fldCharType="begin"/>
      </w:r>
      <w:r>
        <w:rPr>
          <w:noProof/>
        </w:rPr>
        <w:instrText xml:space="preserve"> PAGEREF _Toc199452902 \h </w:instrText>
      </w:r>
      <w:r>
        <w:rPr>
          <w:noProof/>
        </w:rPr>
      </w:r>
      <w:r>
        <w:rPr>
          <w:noProof/>
        </w:rPr>
        <w:fldChar w:fldCharType="separate"/>
      </w:r>
      <w:r>
        <w:rPr>
          <w:noProof/>
        </w:rPr>
        <w:t>168</w:t>
      </w:r>
      <w:r>
        <w:rPr>
          <w:noProof/>
        </w:rPr>
        <w:fldChar w:fldCharType="end"/>
      </w:r>
    </w:p>
    <w:p w14:paraId="105030FB" w14:textId="03D220A1" w:rsidR="003F6EFC" w:rsidRDefault="003F6EFC">
      <w:pPr>
        <w:pStyle w:val="TOC5"/>
        <w:rPr>
          <w:rFonts w:asciiTheme="minorHAnsi" w:eastAsiaTheme="minorEastAsia" w:hAnsiTheme="minorHAnsi" w:cstheme="minorBidi"/>
          <w:noProof/>
          <w:kern w:val="2"/>
          <w:sz w:val="21"/>
          <w:szCs w:val="22"/>
          <w:lang w:val="en-US" w:eastAsia="zh-CN"/>
        </w:rPr>
      </w:pPr>
      <w:r>
        <w:rPr>
          <w:noProof/>
        </w:rPr>
        <w:t>5.1.6.2.14</w:t>
      </w:r>
      <w:r>
        <w:rPr>
          <w:rFonts w:asciiTheme="minorHAnsi" w:eastAsiaTheme="minorEastAsia" w:hAnsiTheme="minorHAnsi" w:cstheme="minorBidi"/>
          <w:noProof/>
          <w:kern w:val="2"/>
          <w:sz w:val="21"/>
          <w:szCs w:val="22"/>
          <w:lang w:val="en-US" w:eastAsia="zh-CN"/>
        </w:rPr>
        <w:tab/>
      </w:r>
      <w:r>
        <w:rPr>
          <w:noProof/>
        </w:rPr>
        <w:t>Type T</w:t>
      </w:r>
      <w:r>
        <w:rPr>
          <w:noProof/>
          <w:lang w:eastAsia="zh-CN"/>
        </w:rPr>
        <w:t>rafficC</w:t>
      </w:r>
      <w:r>
        <w:rPr>
          <w:noProof/>
        </w:rPr>
        <w:t>haracterization</w:t>
      </w:r>
      <w:r>
        <w:rPr>
          <w:noProof/>
        </w:rPr>
        <w:tab/>
      </w:r>
      <w:r>
        <w:rPr>
          <w:noProof/>
        </w:rPr>
        <w:fldChar w:fldCharType="begin"/>
      </w:r>
      <w:r>
        <w:rPr>
          <w:noProof/>
        </w:rPr>
        <w:instrText xml:space="preserve"> PAGEREF _Toc199452903 \h </w:instrText>
      </w:r>
      <w:r>
        <w:rPr>
          <w:noProof/>
        </w:rPr>
      </w:r>
      <w:r>
        <w:rPr>
          <w:noProof/>
        </w:rPr>
        <w:fldChar w:fldCharType="separate"/>
      </w:r>
      <w:r>
        <w:rPr>
          <w:noProof/>
        </w:rPr>
        <w:t>171</w:t>
      </w:r>
      <w:r>
        <w:rPr>
          <w:noProof/>
        </w:rPr>
        <w:fldChar w:fldCharType="end"/>
      </w:r>
    </w:p>
    <w:p w14:paraId="6F73BA70" w14:textId="06395690" w:rsidR="003F6EFC" w:rsidRDefault="003F6EFC">
      <w:pPr>
        <w:pStyle w:val="TOC5"/>
        <w:rPr>
          <w:rFonts w:asciiTheme="minorHAnsi" w:eastAsiaTheme="minorEastAsia" w:hAnsiTheme="minorHAnsi" w:cstheme="minorBidi"/>
          <w:noProof/>
          <w:kern w:val="2"/>
          <w:sz w:val="21"/>
          <w:szCs w:val="22"/>
          <w:lang w:val="en-US" w:eastAsia="zh-CN"/>
        </w:rPr>
      </w:pPr>
      <w:r>
        <w:rPr>
          <w:noProof/>
        </w:rPr>
        <w:t>5.1.6.2.15</w:t>
      </w:r>
      <w:r>
        <w:rPr>
          <w:rFonts w:asciiTheme="minorHAnsi" w:eastAsiaTheme="minorEastAsia" w:hAnsiTheme="minorHAnsi" w:cstheme="minorBidi"/>
          <w:noProof/>
          <w:kern w:val="2"/>
          <w:sz w:val="21"/>
          <w:szCs w:val="22"/>
          <w:lang w:val="en-US" w:eastAsia="zh-CN"/>
        </w:rPr>
        <w:tab/>
      </w:r>
      <w:r>
        <w:rPr>
          <w:noProof/>
        </w:rPr>
        <w:t>Type AbnormalBehaviour</w:t>
      </w:r>
      <w:r>
        <w:rPr>
          <w:noProof/>
        </w:rPr>
        <w:tab/>
      </w:r>
      <w:r>
        <w:rPr>
          <w:noProof/>
        </w:rPr>
        <w:fldChar w:fldCharType="begin"/>
      </w:r>
      <w:r>
        <w:rPr>
          <w:noProof/>
        </w:rPr>
        <w:instrText xml:space="preserve"> PAGEREF _Toc199452904 \h </w:instrText>
      </w:r>
      <w:r>
        <w:rPr>
          <w:noProof/>
        </w:rPr>
      </w:r>
      <w:r>
        <w:rPr>
          <w:noProof/>
        </w:rPr>
        <w:fldChar w:fldCharType="separate"/>
      </w:r>
      <w:r>
        <w:rPr>
          <w:noProof/>
        </w:rPr>
        <w:t>172</w:t>
      </w:r>
      <w:r>
        <w:rPr>
          <w:noProof/>
        </w:rPr>
        <w:fldChar w:fldCharType="end"/>
      </w:r>
    </w:p>
    <w:p w14:paraId="45C44FCD" w14:textId="7466F00F" w:rsidR="003F6EFC" w:rsidRDefault="003F6EFC">
      <w:pPr>
        <w:pStyle w:val="TOC5"/>
        <w:rPr>
          <w:rFonts w:asciiTheme="minorHAnsi" w:eastAsiaTheme="minorEastAsia" w:hAnsiTheme="minorHAnsi" w:cstheme="minorBidi"/>
          <w:noProof/>
          <w:kern w:val="2"/>
          <w:sz w:val="21"/>
          <w:szCs w:val="22"/>
          <w:lang w:val="en-US" w:eastAsia="zh-CN"/>
        </w:rPr>
      </w:pPr>
      <w:r>
        <w:rPr>
          <w:noProof/>
        </w:rPr>
        <w:t>5.1.6.2.16</w:t>
      </w:r>
      <w:r>
        <w:rPr>
          <w:rFonts w:asciiTheme="minorHAnsi" w:eastAsiaTheme="minorEastAsia" w:hAnsiTheme="minorHAnsi" w:cstheme="minorBidi"/>
          <w:noProof/>
          <w:kern w:val="2"/>
          <w:sz w:val="21"/>
          <w:szCs w:val="22"/>
          <w:lang w:val="en-US" w:eastAsia="zh-CN"/>
        </w:rPr>
        <w:tab/>
      </w:r>
      <w:r>
        <w:rPr>
          <w:noProof/>
        </w:rPr>
        <w:t>Type Exception</w:t>
      </w:r>
      <w:r>
        <w:rPr>
          <w:noProof/>
        </w:rPr>
        <w:tab/>
      </w:r>
      <w:r>
        <w:rPr>
          <w:noProof/>
        </w:rPr>
        <w:fldChar w:fldCharType="begin"/>
      </w:r>
      <w:r>
        <w:rPr>
          <w:noProof/>
        </w:rPr>
        <w:instrText xml:space="preserve"> PAGEREF _Toc199452905 \h </w:instrText>
      </w:r>
      <w:r>
        <w:rPr>
          <w:noProof/>
        </w:rPr>
      </w:r>
      <w:r>
        <w:rPr>
          <w:noProof/>
        </w:rPr>
        <w:fldChar w:fldCharType="separate"/>
      </w:r>
      <w:r>
        <w:rPr>
          <w:noProof/>
        </w:rPr>
        <w:t>172</w:t>
      </w:r>
      <w:r>
        <w:rPr>
          <w:noProof/>
        </w:rPr>
        <w:fldChar w:fldCharType="end"/>
      </w:r>
    </w:p>
    <w:p w14:paraId="173641B8" w14:textId="5E664AAA" w:rsidR="003F6EFC" w:rsidRDefault="003F6EFC">
      <w:pPr>
        <w:pStyle w:val="TOC5"/>
        <w:rPr>
          <w:rFonts w:asciiTheme="minorHAnsi" w:eastAsiaTheme="minorEastAsia" w:hAnsiTheme="minorHAnsi" w:cstheme="minorBidi"/>
          <w:noProof/>
          <w:kern w:val="2"/>
          <w:sz w:val="21"/>
          <w:szCs w:val="22"/>
          <w:lang w:val="en-US" w:eastAsia="zh-CN"/>
        </w:rPr>
      </w:pPr>
      <w:r>
        <w:rPr>
          <w:noProof/>
        </w:rPr>
        <w:t>5.1.6.2.17</w:t>
      </w:r>
      <w:r>
        <w:rPr>
          <w:rFonts w:asciiTheme="minorHAnsi" w:eastAsiaTheme="minorEastAsia" w:hAnsiTheme="minorHAnsi" w:cstheme="minorBidi"/>
          <w:noProof/>
          <w:kern w:val="2"/>
          <w:sz w:val="21"/>
          <w:szCs w:val="22"/>
          <w:lang w:val="en-US" w:eastAsia="zh-CN"/>
        </w:rPr>
        <w:tab/>
      </w:r>
      <w:r>
        <w:rPr>
          <w:noProof/>
        </w:rPr>
        <w:t>Type UserDataCongestionInfo</w:t>
      </w:r>
      <w:r>
        <w:rPr>
          <w:noProof/>
        </w:rPr>
        <w:tab/>
      </w:r>
      <w:r>
        <w:rPr>
          <w:noProof/>
        </w:rPr>
        <w:fldChar w:fldCharType="begin"/>
      </w:r>
      <w:r>
        <w:rPr>
          <w:noProof/>
        </w:rPr>
        <w:instrText xml:space="preserve"> PAGEREF _Toc199452906 \h </w:instrText>
      </w:r>
      <w:r>
        <w:rPr>
          <w:noProof/>
        </w:rPr>
      </w:r>
      <w:r>
        <w:rPr>
          <w:noProof/>
        </w:rPr>
        <w:fldChar w:fldCharType="separate"/>
      </w:r>
      <w:r>
        <w:rPr>
          <w:noProof/>
        </w:rPr>
        <w:t>173</w:t>
      </w:r>
      <w:r>
        <w:rPr>
          <w:noProof/>
        </w:rPr>
        <w:fldChar w:fldCharType="end"/>
      </w:r>
    </w:p>
    <w:p w14:paraId="1783E5F2" w14:textId="2792660C" w:rsidR="003F6EFC" w:rsidRDefault="003F6EFC">
      <w:pPr>
        <w:pStyle w:val="TOC5"/>
        <w:rPr>
          <w:rFonts w:asciiTheme="minorHAnsi" w:eastAsiaTheme="minorEastAsia" w:hAnsiTheme="minorHAnsi" w:cstheme="minorBidi"/>
          <w:noProof/>
          <w:kern w:val="2"/>
          <w:sz w:val="21"/>
          <w:szCs w:val="22"/>
          <w:lang w:val="en-US" w:eastAsia="zh-CN"/>
        </w:rPr>
      </w:pPr>
      <w:r>
        <w:rPr>
          <w:noProof/>
        </w:rPr>
        <w:t>5.1.6.2.18</w:t>
      </w:r>
      <w:r>
        <w:rPr>
          <w:rFonts w:asciiTheme="minorHAnsi" w:eastAsiaTheme="minorEastAsia" w:hAnsiTheme="minorHAnsi" w:cstheme="minorBidi"/>
          <w:noProof/>
          <w:kern w:val="2"/>
          <w:sz w:val="21"/>
          <w:szCs w:val="22"/>
          <w:lang w:val="en-US" w:eastAsia="zh-CN"/>
        </w:rPr>
        <w:tab/>
      </w:r>
      <w:r>
        <w:rPr>
          <w:noProof/>
        </w:rPr>
        <w:t>Type CongestionInfo</w:t>
      </w:r>
      <w:r>
        <w:rPr>
          <w:noProof/>
        </w:rPr>
        <w:tab/>
      </w:r>
      <w:r>
        <w:rPr>
          <w:noProof/>
        </w:rPr>
        <w:fldChar w:fldCharType="begin"/>
      </w:r>
      <w:r>
        <w:rPr>
          <w:noProof/>
        </w:rPr>
        <w:instrText xml:space="preserve"> PAGEREF _Toc199452907 \h </w:instrText>
      </w:r>
      <w:r>
        <w:rPr>
          <w:noProof/>
        </w:rPr>
      </w:r>
      <w:r>
        <w:rPr>
          <w:noProof/>
        </w:rPr>
        <w:fldChar w:fldCharType="separate"/>
      </w:r>
      <w:r>
        <w:rPr>
          <w:noProof/>
        </w:rPr>
        <w:t>173</w:t>
      </w:r>
      <w:r>
        <w:rPr>
          <w:noProof/>
        </w:rPr>
        <w:fldChar w:fldCharType="end"/>
      </w:r>
    </w:p>
    <w:p w14:paraId="3A192DEF" w14:textId="2D5B4607" w:rsidR="003F6EFC" w:rsidRDefault="003F6EFC">
      <w:pPr>
        <w:pStyle w:val="TOC5"/>
        <w:rPr>
          <w:rFonts w:asciiTheme="minorHAnsi" w:eastAsiaTheme="minorEastAsia" w:hAnsiTheme="minorHAnsi" w:cstheme="minorBidi"/>
          <w:noProof/>
          <w:kern w:val="2"/>
          <w:sz w:val="21"/>
          <w:szCs w:val="22"/>
          <w:lang w:val="en-US" w:eastAsia="zh-CN"/>
        </w:rPr>
      </w:pPr>
      <w:r>
        <w:rPr>
          <w:noProof/>
        </w:rPr>
        <w:t>5.1.6.2.19</w:t>
      </w:r>
      <w:r>
        <w:rPr>
          <w:rFonts w:asciiTheme="minorHAnsi" w:eastAsiaTheme="minorEastAsia" w:hAnsiTheme="minorHAnsi" w:cstheme="minorBidi"/>
          <w:noProof/>
          <w:kern w:val="2"/>
          <w:sz w:val="21"/>
          <w:szCs w:val="22"/>
          <w:lang w:val="en-US" w:eastAsia="zh-CN"/>
        </w:rPr>
        <w:tab/>
      </w:r>
      <w:r>
        <w:rPr>
          <w:noProof/>
        </w:rPr>
        <w:t>Type QosSustainabilityInfo</w:t>
      </w:r>
      <w:r>
        <w:rPr>
          <w:noProof/>
        </w:rPr>
        <w:tab/>
      </w:r>
      <w:r>
        <w:rPr>
          <w:noProof/>
        </w:rPr>
        <w:fldChar w:fldCharType="begin"/>
      </w:r>
      <w:r>
        <w:rPr>
          <w:noProof/>
        </w:rPr>
        <w:instrText xml:space="preserve"> PAGEREF _Toc199452908 \h </w:instrText>
      </w:r>
      <w:r>
        <w:rPr>
          <w:noProof/>
        </w:rPr>
      </w:r>
      <w:r>
        <w:rPr>
          <w:noProof/>
        </w:rPr>
        <w:fldChar w:fldCharType="separate"/>
      </w:r>
      <w:r>
        <w:rPr>
          <w:noProof/>
        </w:rPr>
        <w:t>174</w:t>
      </w:r>
      <w:r>
        <w:rPr>
          <w:noProof/>
        </w:rPr>
        <w:fldChar w:fldCharType="end"/>
      </w:r>
    </w:p>
    <w:p w14:paraId="73040C6D" w14:textId="1B68F951" w:rsidR="003F6EFC" w:rsidRDefault="003F6EFC">
      <w:pPr>
        <w:pStyle w:val="TOC5"/>
        <w:rPr>
          <w:rFonts w:asciiTheme="minorHAnsi" w:eastAsiaTheme="minorEastAsia" w:hAnsiTheme="minorHAnsi" w:cstheme="minorBidi"/>
          <w:noProof/>
          <w:kern w:val="2"/>
          <w:sz w:val="21"/>
          <w:szCs w:val="22"/>
          <w:lang w:val="en-US" w:eastAsia="zh-CN"/>
        </w:rPr>
      </w:pPr>
      <w:r>
        <w:rPr>
          <w:noProof/>
        </w:rPr>
        <w:t>5.1.6.2.20</w:t>
      </w:r>
      <w:r>
        <w:rPr>
          <w:rFonts w:asciiTheme="minorHAnsi" w:eastAsiaTheme="minorEastAsia" w:hAnsiTheme="minorHAnsi" w:cstheme="minorBidi"/>
          <w:noProof/>
          <w:kern w:val="2"/>
          <w:sz w:val="21"/>
          <w:szCs w:val="22"/>
          <w:lang w:val="en-US" w:eastAsia="zh-CN"/>
        </w:rPr>
        <w:tab/>
      </w:r>
      <w:r>
        <w:rPr>
          <w:noProof/>
        </w:rPr>
        <w:t>Type QosRequirement</w:t>
      </w:r>
      <w:r>
        <w:rPr>
          <w:noProof/>
        </w:rPr>
        <w:tab/>
      </w:r>
      <w:r>
        <w:rPr>
          <w:noProof/>
        </w:rPr>
        <w:fldChar w:fldCharType="begin"/>
      </w:r>
      <w:r>
        <w:rPr>
          <w:noProof/>
        </w:rPr>
        <w:instrText xml:space="preserve"> PAGEREF _Toc199452909 \h </w:instrText>
      </w:r>
      <w:r>
        <w:rPr>
          <w:noProof/>
        </w:rPr>
      </w:r>
      <w:r>
        <w:rPr>
          <w:noProof/>
        </w:rPr>
        <w:fldChar w:fldCharType="separate"/>
      </w:r>
      <w:r>
        <w:rPr>
          <w:noProof/>
        </w:rPr>
        <w:t>175</w:t>
      </w:r>
      <w:r>
        <w:rPr>
          <w:noProof/>
        </w:rPr>
        <w:fldChar w:fldCharType="end"/>
      </w:r>
    </w:p>
    <w:p w14:paraId="7D5DB34C" w14:textId="4BE63AB3" w:rsidR="003F6EFC" w:rsidRDefault="003F6EFC">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Type RetainabilityThreshold</w:t>
      </w:r>
      <w:r>
        <w:rPr>
          <w:noProof/>
        </w:rPr>
        <w:tab/>
      </w:r>
      <w:r>
        <w:rPr>
          <w:noProof/>
        </w:rPr>
        <w:fldChar w:fldCharType="begin"/>
      </w:r>
      <w:r>
        <w:rPr>
          <w:noProof/>
        </w:rPr>
        <w:instrText xml:space="preserve"> PAGEREF _Toc199452910 \h </w:instrText>
      </w:r>
      <w:r>
        <w:rPr>
          <w:noProof/>
        </w:rPr>
      </w:r>
      <w:r>
        <w:rPr>
          <w:noProof/>
        </w:rPr>
        <w:fldChar w:fldCharType="separate"/>
      </w:r>
      <w:r>
        <w:rPr>
          <w:noProof/>
        </w:rPr>
        <w:t>175</w:t>
      </w:r>
      <w:r>
        <w:rPr>
          <w:noProof/>
        </w:rPr>
        <w:fldChar w:fldCharType="end"/>
      </w:r>
    </w:p>
    <w:p w14:paraId="0EB454A3" w14:textId="1DDBBA30" w:rsidR="003F6EFC" w:rsidRDefault="003F6EFC">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rPr>
        <w:t>Type NetworkPerfRequirement</w:t>
      </w:r>
      <w:r>
        <w:rPr>
          <w:noProof/>
        </w:rPr>
        <w:tab/>
      </w:r>
      <w:r>
        <w:rPr>
          <w:noProof/>
        </w:rPr>
        <w:fldChar w:fldCharType="begin"/>
      </w:r>
      <w:r>
        <w:rPr>
          <w:noProof/>
        </w:rPr>
        <w:instrText xml:space="preserve"> PAGEREF _Toc199452911 \h </w:instrText>
      </w:r>
      <w:r>
        <w:rPr>
          <w:noProof/>
        </w:rPr>
      </w:r>
      <w:r>
        <w:rPr>
          <w:noProof/>
        </w:rPr>
        <w:fldChar w:fldCharType="separate"/>
      </w:r>
      <w:r>
        <w:rPr>
          <w:noProof/>
        </w:rPr>
        <w:t>176</w:t>
      </w:r>
      <w:r>
        <w:rPr>
          <w:noProof/>
        </w:rPr>
        <w:fldChar w:fldCharType="end"/>
      </w:r>
    </w:p>
    <w:p w14:paraId="371FA597" w14:textId="683BDE90" w:rsidR="003F6EFC" w:rsidRDefault="003F6EFC">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rPr>
        <w:t>Type NetworkPerfInfo</w:t>
      </w:r>
      <w:r>
        <w:rPr>
          <w:noProof/>
        </w:rPr>
        <w:tab/>
      </w:r>
      <w:r>
        <w:rPr>
          <w:noProof/>
        </w:rPr>
        <w:fldChar w:fldCharType="begin"/>
      </w:r>
      <w:r>
        <w:rPr>
          <w:noProof/>
        </w:rPr>
        <w:instrText xml:space="preserve"> PAGEREF _Toc199452912 \h </w:instrText>
      </w:r>
      <w:r>
        <w:rPr>
          <w:noProof/>
        </w:rPr>
      </w:r>
      <w:r>
        <w:rPr>
          <w:noProof/>
        </w:rPr>
        <w:fldChar w:fldCharType="separate"/>
      </w:r>
      <w:r>
        <w:rPr>
          <w:noProof/>
        </w:rPr>
        <w:t>177</w:t>
      </w:r>
      <w:r>
        <w:rPr>
          <w:noProof/>
        </w:rPr>
        <w:fldChar w:fldCharType="end"/>
      </w:r>
    </w:p>
    <w:p w14:paraId="54206A6B" w14:textId="7C8E7739" w:rsidR="003F6EFC" w:rsidRDefault="003F6EFC">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Type ServiceExperienceInfo</w:t>
      </w:r>
      <w:r>
        <w:rPr>
          <w:noProof/>
        </w:rPr>
        <w:tab/>
      </w:r>
      <w:r>
        <w:rPr>
          <w:noProof/>
        </w:rPr>
        <w:fldChar w:fldCharType="begin"/>
      </w:r>
      <w:r>
        <w:rPr>
          <w:noProof/>
        </w:rPr>
        <w:instrText xml:space="preserve"> PAGEREF _Toc199452913 \h </w:instrText>
      </w:r>
      <w:r>
        <w:rPr>
          <w:noProof/>
        </w:rPr>
      </w:r>
      <w:r>
        <w:rPr>
          <w:noProof/>
        </w:rPr>
        <w:fldChar w:fldCharType="separate"/>
      </w:r>
      <w:r>
        <w:rPr>
          <w:noProof/>
        </w:rPr>
        <w:t>178</w:t>
      </w:r>
      <w:r>
        <w:rPr>
          <w:noProof/>
        </w:rPr>
        <w:fldChar w:fldCharType="end"/>
      </w:r>
    </w:p>
    <w:p w14:paraId="7A9F7F88" w14:textId="151FC019" w:rsidR="003F6EFC" w:rsidRDefault="003F6EFC">
      <w:pPr>
        <w:pStyle w:val="TOC5"/>
        <w:rPr>
          <w:rFonts w:asciiTheme="minorHAnsi" w:eastAsiaTheme="minorEastAsia" w:hAnsiTheme="minorHAnsi" w:cstheme="minorBidi"/>
          <w:noProof/>
          <w:kern w:val="2"/>
          <w:sz w:val="21"/>
          <w:szCs w:val="22"/>
          <w:lang w:val="en-US" w:eastAsia="zh-CN"/>
        </w:rPr>
      </w:pPr>
      <w:r>
        <w:rPr>
          <w:noProof/>
        </w:rPr>
        <w:t>5.1.6.2.25</w:t>
      </w:r>
      <w:r>
        <w:rPr>
          <w:rFonts w:asciiTheme="minorHAnsi" w:eastAsiaTheme="minorEastAsia" w:hAnsiTheme="minorHAnsi" w:cstheme="minorBidi"/>
          <w:noProof/>
          <w:kern w:val="2"/>
          <w:sz w:val="21"/>
          <w:szCs w:val="22"/>
          <w:lang w:val="en-US" w:eastAsia="zh-CN"/>
        </w:rPr>
        <w:tab/>
      </w:r>
      <w:r>
        <w:rPr>
          <w:noProof/>
        </w:rPr>
        <w:t>Type BwRequirement</w:t>
      </w:r>
      <w:r>
        <w:rPr>
          <w:noProof/>
        </w:rPr>
        <w:tab/>
      </w:r>
      <w:r>
        <w:rPr>
          <w:noProof/>
        </w:rPr>
        <w:fldChar w:fldCharType="begin"/>
      </w:r>
      <w:r>
        <w:rPr>
          <w:noProof/>
        </w:rPr>
        <w:instrText xml:space="preserve"> PAGEREF _Toc199452914 \h </w:instrText>
      </w:r>
      <w:r>
        <w:rPr>
          <w:noProof/>
        </w:rPr>
      </w:r>
      <w:r>
        <w:rPr>
          <w:noProof/>
        </w:rPr>
        <w:fldChar w:fldCharType="separate"/>
      </w:r>
      <w:r>
        <w:rPr>
          <w:noProof/>
        </w:rPr>
        <w:t>181</w:t>
      </w:r>
      <w:r>
        <w:rPr>
          <w:noProof/>
        </w:rPr>
        <w:fldChar w:fldCharType="end"/>
      </w:r>
    </w:p>
    <w:p w14:paraId="53EC7D7D" w14:textId="385D0B37" w:rsidR="003F6EFC" w:rsidRDefault="003F6EFC">
      <w:pPr>
        <w:pStyle w:val="TOC5"/>
        <w:rPr>
          <w:rFonts w:asciiTheme="minorHAnsi" w:eastAsiaTheme="minorEastAsia" w:hAnsiTheme="minorHAnsi" w:cstheme="minorBidi"/>
          <w:noProof/>
          <w:kern w:val="2"/>
          <w:sz w:val="21"/>
          <w:szCs w:val="22"/>
          <w:lang w:val="en-US" w:eastAsia="zh-CN"/>
        </w:rPr>
      </w:pPr>
      <w:r>
        <w:rPr>
          <w:noProof/>
        </w:rPr>
        <w:t>5.1.6.2.26</w:t>
      </w:r>
      <w:r>
        <w:rPr>
          <w:rFonts w:asciiTheme="minorHAnsi" w:eastAsiaTheme="minorEastAsia" w:hAnsiTheme="minorHAnsi" w:cstheme="minorBidi"/>
          <w:noProof/>
          <w:kern w:val="2"/>
          <w:sz w:val="21"/>
          <w:szCs w:val="22"/>
          <w:lang w:val="en-US" w:eastAsia="zh-CN"/>
        </w:rPr>
        <w:tab/>
      </w:r>
      <w:r>
        <w:rPr>
          <w:noProof/>
        </w:rPr>
        <w:t>Type AdditionalMeasurement</w:t>
      </w:r>
      <w:r>
        <w:rPr>
          <w:noProof/>
        </w:rPr>
        <w:tab/>
      </w:r>
      <w:r>
        <w:rPr>
          <w:noProof/>
        </w:rPr>
        <w:fldChar w:fldCharType="begin"/>
      </w:r>
      <w:r>
        <w:rPr>
          <w:noProof/>
        </w:rPr>
        <w:instrText xml:space="preserve"> PAGEREF _Toc199452915 \h </w:instrText>
      </w:r>
      <w:r>
        <w:rPr>
          <w:noProof/>
        </w:rPr>
      </w:r>
      <w:r>
        <w:rPr>
          <w:noProof/>
        </w:rPr>
        <w:fldChar w:fldCharType="separate"/>
      </w:r>
      <w:r>
        <w:rPr>
          <w:noProof/>
        </w:rPr>
        <w:t>182</w:t>
      </w:r>
      <w:r>
        <w:rPr>
          <w:noProof/>
        </w:rPr>
        <w:fldChar w:fldCharType="end"/>
      </w:r>
    </w:p>
    <w:p w14:paraId="329712A1" w14:textId="72D83175" w:rsidR="003F6EFC" w:rsidRDefault="003F6EFC">
      <w:pPr>
        <w:pStyle w:val="TOC5"/>
        <w:rPr>
          <w:rFonts w:asciiTheme="minorHAnsi" w:eastAsiaTheme="minorEastAsia" w:hAnsiTheme="minorHAnsi" w:cstheme="minorBidi"/>
          <w:noProof/>
          <w:kern w:val="2"/>
          <w:sz w:val="21"/>
          <w:szCs w:val="22"/>
          <w:lang w:val="en-US" w:eastAsia="zh-CN"/>
        </w:rPr>
      </w:pPr>
      <w:r>
        <w:rPr>
          <w:noProof/>
        </w:rPr>
        <w:t>5.1.6.2.27</w:t>
      </w:r>
      <w:r>
        <w:rPr>
          <w:rFonts w:asciiTheme="minorHAnsi" w:eastAsiaTheme="minorEastAsia" w:hAnsiTheme="minorHAnsi" w:cstheme="minorBidi"/>
          <w:noProof/>
          <w:kern w:val="2"/>
          <w:sz w:val="21"/>
          <w:szCs w:val="22"/>
          <w:lang w:val="en-US" w:eastAsia="zh-CN"/>
        </w:rPr>
        <w:tab/>
      </w:r>
      <w:r>
        <w:rPr>
          <w:noProof/>
        </w:rPr>
        <w:t>Type IpEthFlowDescription</w:t>
      </w:r>
      <w:r>
        <w:rPr>
          <w:noProof/>
        </w:rPr>
        <w:tab/>
      </w:r>
      <w:r>
        <w:rPr>
          <w:noProof/>
        </w:rPr>
        <w:fldChar w:fldCharType="begin"/>
      </w:r>
      <w:r>
        <w:rPr>
          <w:noProof/>
        </w:rPr>
        <w:instrText xml:space="preserve"> PAGEREF _Toc199452916 \h </w:instrText>
      </w:r>
      <w:r>
        <w:rPr>
          <w:noProof/>
        </w:rPr>
      </w:r>
      <w:r>
        <w:rPr>
          <w:noProof/>
        </w:rPr>
        <w:fldChar w:fldCharType="separate"/>
      </w:r>
      <w:r>
        <w:rPr>
          <w:noProof/>
        </w:rPr>
        <w:t>182</w:t>
      </w:r>
      <w:r>
        <w:rPr>
          <w:noProof/>
        </w:rPr>
        <w:fldChar w:fldCharType="end"/>
      </w:r>
    </w:p>
    <w:p w14:paraId="68B28BBE" w14:textId="3189AA67" w:rsidR="003F6EFC" w:rsidRDefault="003F6EFC">
      <w:pPr>
        <w:pStyle w:val="TOC5"/>
        <w:rPr>
          <w:rFonts w:asciiTheme="minorHAnsi" w:eastAsiaTheme="minorEastAsia" w:hAnsiTheme="minorHAnsi" w:cstheme="minorBidi"/>
          <w:noProof/>
          <w:kern w:val="2"/>
          <w:sz w:val="21"/>
          <w:szCs w:val="22"/>
          <w:lang w:val="en-US" w:eastAsia="zh-CN"/>
        </w:rPr>
      </w:pPr>
      <w:r>
        <w:rPr>
          <w:noProof/>
        </w:rPr>
        <w:t>5.1.6.2.28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AddressList</w:t>
      </w:r>
      <w:r>
        <w:rPr>
          <w:noProof/>
        </w:rPr>
        <w:tab/>
      </w:r>
      <w:r>
        <w:rPr>
          <w:noProof/>
        </w:rPr>
        <w:fldChar w:fldCharType="begin"/>
      </w:r>
      <w:r>
        <w:rPr>
          <w:noProof/>
        </w:rPr>
        <w:instrText xml:space="preserve"> PAGEREF _Toc199452917 \h </w:instrText>
      </w:r>
      <w:r>
        <w:rPr>
          <w:noProof/>
        </w:rPr>
      </w:r>
      <w:r>
        <w:rPr>
          <w:noProof/>
        </w:rPr>
        <w:fldChar w:fldCharType="separate"/>
      </w:r>
      <w:r>
        <w:rPr>
          <w:noProof/>
        </w:rPr>
        <w:t>183</w:t>
      </w:r>
      <w:r>
        <w:rPr>
          <w:noProof/>
        </w:rPr>
        <w:fldChar w:fldCharType="end"/>
      </w:r>
    </w:p>
    <w:p w14:paraId="24A7EF63" w14:textId="7EEC4FD1" w:rsidR="003F6EFC" w:rsidRDefault="003F6EFC">
      <w:pPr>
        <w:pStyle w:val="TOC5"/>
        <w:rPr>
          <w:rFonts w:asciiTheme="minorHAnsi" w:eastAsiaTheme="minorEastAsia" w:hAnsiTheme="minorHAnsi" w:cstheme="minorBidi"/>
          <w:noProof/>
          <w:kern w:val="2"/>
          <w:sz w:val="21"/>
          <w:szCs w:val="22"/>
          <w:lang w:val="en-US" w:eastAsia="zh-CN"/>
        </w:rPr>
      </w:pPr>
      <w:r>
        <w:rPr>
          <w:noProof/>
        </w:rPr>
        <w:t>5.1.6.2.29</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CircumstanceDescription</w:t>
      </w:r>
      <w:r>
        <w:rPr>
          <w:noProof/>
        </w:rPr>
        <w:tab/>
      </w:r>
      <w:r>
        <w:rPr>
          <w:noProof/>
        </w:rPr>
        <w:fldChar w:fldCharType="begin"/>
      </w:r>
      <w:r>
        <w:rPr>
          <w:noProof/>
        </w:rPr>
        <w:instrText xml:space="preserve"> PAGEREF _Toc199452918 \h </w:instrText>
      </w:r>
      <w:r>
        <w:rPr>
          <w:noProof/>
        </w:rPr>
      </w:r>
      <w:r>
        <w:rPr>
          <w:noProof/>
        </w:rPr>
        <w:fldChar w:fldCharType="separate"/>
      </w:r>
      <w:r>
        <w:rPr>
          <w:noProof/>
        </w:rPr>
        <w:t>183</w:t>
      </w:r>
      <w:r>
        <w:rPr>
          <w:noProof/>
        </w:rPr>
        <w:fldChar w:fldCharType="end"/>
      </w:r>
    </w:p>
    <w:p w14:paraId="59976A00" w14:textId="02E97A67" w:rsidR="003F6EFC" w:rsidRDefault="003F6EFC">
      <w:pPr>
        <w:pStyle w:val="TOC5"/>
        <w:rPr>
          <w:rFonts w:asciiTheme="minorHAnsi" w:eastAsiaTheme="minorEastAsia" w:hAnsiTheme="minorHAnsi" w:cstheme="minorBidi"/>
          <w:noProof/>
          <w:kern w:val="2"/>
          <w:sz w:val="21"/>
          <w:szCs w:val="22"/>
          <w:lang w:val="en-US" w:eastAsia="zh-CN"/>
        </w:rPr>
      </w:pPr>
      <w:r>
        <w:rPr>
          <w:noProof/>
        </w:rPr>
        <w:t>5.1.6.2.30</w:t>
      </w:r>
      <w:r>
        <w:rPr>
          <w:rFonts w:asciiTheme="minorHAnsi" w:eastAsiaTheme="minorEastAsia" w:hAnsiTheme="minorHAnsi" w:cstheme="minorBidi"/>
          <w:noProof/>
          <w:kern w:val="2"/>
          <w:sz w:val="21"/>
          <w:szCs w:val="22"/>
          <w:lang w:val="en-US" w:eastAsia="zh-CN"/>
        </w:rPr>
        <w:tab/>
      </w:r>
      <w:r>
        <w:rPr>
          <w:noProof/>
        </w:rPr>
        <w:t>Type ThresholdLevel</w:t>
      </w:r>
      <w:r>
        <w:rPr>
          <w:noProof/>
        </w:rPr>
        <w:tab/>
      </w:r>
      <w:r>
        <w:rPr>
          <w:noProof/>
        </w:rPr>
        <w:fldChar w:fldCharType="begin"/>
      </w:r>
      <w:r>
        <w:rPr>
          <w:noProof/>
        </w:rPr>
        <w:instrText xml:space="preserve"> PAGEREF _Toc199452919 \h </w:instrText>
      </w:r>
      <w:r>
        <w:rPr>
          <w:noProof/>
        </w:rPr>
      </w:r>
      <w:r>
        <w:rPr>
          <w:noProof/>
        </w:rPr>
        <w:fldChar w:fldCharType="separate"/>
      </w:r>
      <w:r>
        <w:rPr>
          <w:noProof/>
        </w:rPr>
        <w:t>184</w:t>
      </w:r>
      <w:r>
        <w:rPr>
          <w:noProof/>
        </w:rPr>
        <w:fldChar w:fldCharType="end"/>
      </w:r>
    </w:p>
    <w:p w14:paraId="20CA7551" w14:textId="1FF39654" w:rsidR="003F6EFC" w:rsidRDefault="003F6EFC">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Type NfLoadLevelInformation</w:t>
      </w:r>
      <w:r>
        <w:rPr>
          <w:noProof/>
        </w:rPr>
        <w:tab/>
      </w:r>
      <w:r>
        <w:rPr>
          <w:noProof/>
        </w:rPr>
        <w:fldChar w:fldCharType="begin"/>
      </w:r>
      <w:r>
        <w:rPr>
          <w:noProof/>
        </w:rPr>
        <w:instrText xml:space="preserve"> PAGEREF _Toc199452920 \h </w:instrText>
      </w:r>
      <w:r>
        <w:rPr>
          <w:noProof/>
        </w:rPr>
      </w:r>
      <w:r>
        <w:rPr>
          <w:noProof/>
        </w:rPr>
        <w:fldChar w:fldCharType="separate"/>
      </w:r>
      <w:r>
        <w:rPr>
          <w:noProof/>
        </w:rPr>
        <w:t>187</w:t>
      </w:r>
      <w:r>
        <w:rPr>
          <w:noProof/>
        </w:rPr>
        <w:fldChar w:fldCharType="end"/>
      </w:r>
    </w:p>
    <w:p w14:paraId="12036CCF" w14:textId="5007C7C8" w:rsidR="003F6EFC" w:rsidRDefault="003F6EFC">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Type NfStatus</w:t>
      </w:r>
      <w:r>
        <w:rPr>
          <w:noProof/>
        </w:rPr>
        <w:tab/>
      </w:r>
      <w:r>
        <w:rPr>
          <w:noProof/>
        </w:rPr>
        <w:fldChar w:fldCharType="begin"/>
      </w:r>
      <w:r>
        <w:rPr>
          <w:noProof/>
        </w:rPr>
        <w:instrText xml:space="preserve"> PAGEREF _Toc199452921 \h </w:instrText>
      </w:r>
      <w:r>
        <w:rPr>
          <w:noProof/>
        </w:rPr>
      </w:r>
      <w:r>
        <w:rPr>
          <w:noProof/>
        </w:rPr>
        <w:fldChar w:fldCharType="separate"/>
      </w:r>
      <w:r>
        <w:rPr>
          <w:noProof/>
        </w:rPr>
        <w:t>187</w:t>
      </w:r>
      <w:r>
        <w:rPr>
          <w:noProof/>
        </w:rPr>
        <w:fldChar w:fldCharType="end"/>
      </w:r>
    </w:p>
    <w:p w14:paraId="28720682" w14:textId="214433E5" w:rsidR="003F6EFC" w:rsidRDefault="003F6EFC">
      <w:pPr>
        <w:pStyle w:val="TOC5"/>
        <w:rPr>
          <w:rFonts w:asciiTheme="minorHAnsi" w:eastAsiaTheme="minorEastAsia" w:hAnsiTheme="minorHAnsi" w:cstheme="minorBidi"/>
          <w:noProof/>
          <w:kern w:val="2"/>
          <w:sz w:val="21"/>
          <w:szCs w:val="22"/>
          <w:lang w:val="en-US" w:eastAsia="zh-CN"/>
        </w:rPr>
      </w:pPr>
      <w:r>
        <w:rPr>
          <w:noProof/>
        </w:rPr>
        <w:t>5.1.6.2.33</w:t>
      </w:r>
      <w:r>
        <w:rPr>
          <w:rFonts w:asciiTheme="minorHAnsi" w:eastAsiaTheme="minorEastAsia" w:hAnsiTheme="minorHAnsi" w:cstheme="minorBidi"/>
          <w:noProof/>
          <w:kern w:val="2"/>
          <w:sz w:val="21"/>
          <w:szCs w:val="22"/>
          <w:lang w:val="en-US" w:eastAsia="zh-CN"/>
        </w:rPr>
        <w:tab/>
      </w:r>
      <w:r>
        <w:rPr>
          <w:noProof/>
        </w:rPr>
        <w:t>Type NsiIdInfo</w:t>
      </w:r>
      <w:r>
        <w:rPr>
          <w:noProof/>
        </w:rPr>
        <w:tab/>
      </w:r>
      <w:r>
        <w:rPr>
          <w:noProof/>
        </w:rPr>
        <w:fldChar w:fldCharType="begin"/>
      </w:r>
      <w:r>
        <w:rPr>
          <w:noProof/>
        </w:rPr>
        <w:instrText xml:space="preserve"> PAGEREF _Toc199452922 \h </w:instrText>
      </w:r>
      <w:r>
        <w:rPr>
          <w:noProof/>
        </w:rPr>
      </w:r>
      <w:r>
        <w:rPr>
          <w:noProof/>
        </w:rPr>
        <w:fldChar w:fldCharType="separate"/>
      </w:r>
      <w:r>
        <w:rPr>
          <w:noProof/>
        </w:rPr>
        <w:t>188</w:t>
      </w:r>
      <w:r>
        <w:rPr>
          <w:noProof/>
        </w:rPr>
        <w:fldChar w:fldCharType="end"/>
      </w:r>
    </w:p>
    <w:p w14:paraId="397083BE" w14:textId="29A93895" w:rsidR="003F6EFC" w:rsidRDefault="003F6EFC">
      <w:pPr>
        <w:pStyle w:val="TOC5"/>
        <w:rPr>
          <w:rFonts w:asciiTheme="minorHAnsi" w:eastAsiaTheme="minorEastAsia" w:hAnsiTheme="minorHAnsi" w:cstheme="minorBidi"/>
          <w:noProof/>
          <w:kern w:val="2"/>
          <w:sz w:val="21"/>
          <w:szCs w:val="22"/>
          <w:lang w:val="en-US" w:eastAsia="zh-CN"/>
        </w:rPr>
      </w:pPr>
      <w:r>
        <w:rPr>
          <w:noProof/>
        </w:rPr>
        <w:t>5.1.6.2.34</w:t>
      </w:r>
      <w:r>
        <w:rPr>
          <w:rFonts w:asciiTheme="minorHAnsi" w:eastAsiaTheme="minorEastAsia" w:hAnsiTheme="minorHAnsi" w:cstheme="minorBidi"/>
          <w:noProof/>
          <w:kern w:val="2"/>
          <w:sz w:val="21"/>
          <w:szCs w:val="22"/>
          <w:lang w:val="en-US" w:eastAsia="zh-CN"/>
        </w:rPr>
        <w:tab/>
      </w:r>
      <w:r>
        <w:rPr>
          <w:noProof/>
        </w:rPr>
        <w:t>Type NsiLoadLevelInfo</w:t>
      </w:r>
      <w:r>
        <w:rPr>
          <w:noProof/>
        </w:rPr>
        <w:tab/>
      </w:r>
      <w:r>
        <w:rPr>
          <w:noProof/>
        </w:rPr>
        <w:fldChar w:fldCharType="begin"/>
      </w:r>
      <w:r>
        <w:rPr>
          <w:noProof/>
        </w:rPr>
        <w:instrText xml:space="preserve"> PAGEREF _Toc199452923 \h </w:instrText>
      </w:r>
      <w:r>
        <w:rPr>
          <w:noProof/>
        </w:rPr>
      </w:r>
      <w:r>
        <w:rPr>
          <w:noProof/>
        </w:rPr>
        <w:fldChar w:fldCharType="separate"/>
      </w:r>
      <w:r>
        <w:rPr>
          <w:noProof/>
        </w:rPr>
        <w:t>189</w:t>
      </w:r>
      <w:r>
        <w:rPr>
          <w:noProof/>
        </w:rPr>
        <w:fldChar w:fldCharType="end"/>
      </w:r>
    </w:p>
    <w:p w14:paraId="2C7AD3AF" w14:textId="6803629D" w:rsidR="003F6EFC" w:rsidRDefault="003F6EFC">
      <w:pPr>
        <w:pStyle w:val="TOC5"/>
        <w:rPr>
          <w:rFonts w:asciiTheme="minorHAnsi" w:eastAsiaTheme="minorEastAsia" w:hAnsiTheme="minorHAnsi" w:cstheme="minorBidi"/>
          <w:noProof/>
          <w:kern w:val="2"/>
          <w:sz w:val="21"/>
          <w:szCs w:val="22"/>
          <w:lang w:val="en-US" w:eastAsia="zh-CN"/>
        </w:rPr>
      </w:pPr>
      <w:r>
        <w:rPr>
          <w:noProof/>
        </w:rPr>
        <w:t>5.1.6.2.35</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FailureEventInfo</w:t>
      </w:r>
      <w:r>
        <w:rPr>
          <w:noProof/>
        </w:rPr>
        <w:tab/>
      </w:r>
      <w:r>
        <w:rPr>
          <w:noProof/>
        </w:rPr>
        <w:fldChar w:fldCharType="begin"/>
      </w:r>
      <w:r>
        <w:rPr>
          <w:noProof/>
        </w:rPr>
        <w:instrText xml:space="preserve"> PAGEREF _Toc199452924 \h </w:instrText>
      </w:r>
      <w:r>
        <w:rPr>
          <w:noProof/>
        </w:rPr>
      </w:r>
      <w:r>
        <w:rPr>
          <w:noProof/>
        </w:rPr>
        <w:fldChar w:fldCharType="separate"/>
      </w:r>
      <w:r>
        <w:rPr>
          <w:noProof/>
        </w:rPr>
        <w:t>191</w:t>
      </w:r>
      <w:r>
        <w:rPr>
          <w:noProof/>
        </w:rPr>
        <w:fldChar w:fldCharType="end"/>
      </w:r>
    </w:p>
    <w:p w14:paraId="7F17BB3C" w14:textId="6133E7DD" w:rsidR="003F6EFC" w:rsidRDefault="003F6EFC">
      <w:pPr>
        <w:pStyle w:val="TOC5"/>
        <w:rPr>
          <w:rFonts w:asciiTheme="minorHAnsi" w:eastAsiaTheme="minorEastAsia" w:hAnsiTheme="minorHAnsi" w:cstheme="minorBidi"/>
          <w:noProof/>
          <w:kern w:val="2"/>
          <w:sz w:val="21"/>
          <w:szCs w:val="22"/>
          <w:lang w:val="en-US" w:eastAsia="zh-CN"/>
        </w:rPr>
      </w:pPr>
      <w:r>
        <w:rPr>
          <w:noProof/>
        </w:rPr>
        <w:t>5.1.6.2.36</w:t>
      </w:r>
      <w:r>
        <w:rPr>
          <w:rFonts w:asciiTheme="minorHAnsi" w:eastAsiaTheme="minorEastAsia" w:hAnsiTheme="minorHAnsi" w:cstheme="minorBidi"/>
          <w:noProof/>
          <w:kern w:val="2"/>
          <w:sz w:val="21"/>
          <w:szCs w:val="22"/>
          <w:lang w:val="en-US" w:eastAsia="zh-CN"/>
        </w:rPr>
        <w:tab/>
      </w:r>
      <w:r>
        <w:rPr>
          <w:noProof/>
        </w:rPr>
        <w:t>Type AnalyticsMetadata</w:t>
      </w:r>
      <w:r>
        <w:rPr>
          <w:noProof/>
          <w:lang w:eastAsia="zh-CN"/>
        </w:rPr>
        <w:t>Indication</w:t>
      </w:r>
      <w:r>
        <w:rPr>
          <w:noProof/>
        </w:rPr>
        <w:tab/>
      </w:r>
      <w:r>
        <w:rPr>
          <w:noProof/>
        </w:rPr>
        <w:fldChar w:fldCharType="begin"/>
      </w:r>
      <w:r>
        <w:rPr>
          <w:noProof/>
        </w:rPr>
        <w:instrText xml:space="preserve"> PAGEREF _Toc199452925 \h </w:instrText>
      </w:r>
      <w:r>
        <w:rPr>
          <w:noProof/>
        </w:rPr>
      </w:r>
      <w:r>
        <w:rPr>
          <w:noProof/>
        </w:rPr>
        <w:fldChar w:fldCharType="separate"/>
      </w:r>
      <w:r>
        <w:rPr>
          <w:noProof/>
        </w:rPr>
        <w:t>191</w:t>
      </w:r>
      <w:r>
        <w:rPr>
          <w:noProof/>
        </w:rPr>
        <w:fldChar w:fldCharType="end"/>
      </w:r>
    </w:p>
    <w:p w14:paraId="4C76E4C2" w14:textId="43AEA183" w:rsidR="003F6EFC" w:rsidRDefault="003F6EFC">
      <w:pPr>
        <w:pStyle w:val="TOC5"/>
        <w:rPr>
          <w:rFonts w:asciiTheme="minorHAnsi" w:eastAsiaTheme="minorEastAsia" w:hAnsiTheme="minorHAnsi" w:cstheme="minorBidi"/>
          <w:noProof/>
          <w:kern w:val="2"/>
          <w:sz w:val="21"/>
          <w:szCs w:val="22"/>
          <w:lang w:val="en-US" w:eastAsia="zh-CN"/>
        </w:rPr>
      </w:pPr>
      <w:r>
        <w:rPr>
          <w:noProof/>
        </w:rPr>
        <w:t>5.1.6.2.37</w:t>
      </w:r>
      <w:r>
        <w:rPr>
          <w:rFonts w:asciiTheme="minorHAnsi" w:eastAsiaTheme="minorEastAsia" w:hAnsiTheme="minorHAnsi" w:cstheme="minorBidi"/>
          <w:noProof/>
          <w:kern w:val="2"/>
          <w:sz w:val="21"/>
          <w:szCs w:val="22"/>
          <w:lang w:val="en-US" w:eastAsia="zh-CN"/>
        </w:rPr>
        <w:tab/>
      </w:r>
      <w:r>
        <w:rPr>
          <w:noProof/>
        </w:rPr>
        <w:t>Type AnalyticsMetadata</w:t>
      </w:r>
      <w:r>
        <w:rPr>
          <w:noProof/>
          <w:lang w:eastAsia="zh-CN"/>
        </w:rPr>
        <w:t>Info</w:t>
      </w:r>
      <w:r>
        <w:rPr>
          <w:noProof/>
        </w:rPr>
        <w:tab/>
      </w:r>
      <w:r>
        <w:rPr>
          <w:noProof/>
        </w:rPr>
        <w:fldChar w:fldCharType="begin"/>
      </w:r>
      <w:r>
        <w:rPr>
          <w:noProof/>
        </w:rPr>
        <w:instrText xml:space="preserve"> PAGEREF _Toc199452926 \h </w:instrText>
      </w:r>
      <w:r>
        <w:rPr>
          <w:noProof/>
        </w:rPr>
      </w:r>
      <w:r>
        <w:rPr>
          <w:noProof/>
        </w:rPr>
        <w:fldChar w:fldCharType="separate"/>
      </w:r>
      <w:r>
        <w:rPr>
          <w:noProof/>
        </w:rPr>
        <w:t>192</w:t>
      </w:r>
      <w:r>
        <w:rPr>
          <w:noProof/>
        </w:rPr>
        <w:fldChar w:fldCharType="end"/>
      </w:r>
    </w:p>
    <w:p w14:paraId="0832B8FA" w14:textId="2EAEFEB0" w:rsidR="003F6EFC" w:rsidRDefault="003F6EFC">
      <w:pPr>
        <w:pStyle w:val="TOC5"/>
        <w:rPr>
          <w:rFonts w:asciiTheme="minorHAnsi" w:eastAsiaTheme="minorEastAsia" w:hAnsiTheme="minorHAnsi" w:cstheme="minorBidi"/>
          <w:noProof/>
          <w:kern w:val="2"/>
          <w:sz w:val="21"/>
          <w:szCs w:val="22"/>
          <w:lang w:val="en-US" w:eastAsia="zh-CN"/>
        </w:rPr>
      </w:pPr>
      <w:r>
        <w:rPr>
          <w:noProof/>
        </w:rPr>
        <w:t>5.1.6.2.38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NumberAverage</w:t>
      </w:r>
      <w:r>
        <w:rPr>
          <w:noProof/>
        </w:rPr>
        <w:tab/>
      </w:r>
      <w:r>
        <w:rPr>
          <w:noProof/>
        </w:rPr>
        <w:fldChar w:fldCharType="begin"/>
      </w:r>
      <w:r>
        <w:rPr>
          <w:noProof/>
        </w:rPr>
        <w:instrText xml:space="preserve"> PAGEREF _Toc199452927 \h </w:instrText>
      </w:r>
      <w:r>
        <w:rPr>
          <w:noProof/>
        </w:rPr>
      </w:r>
      <w:r>
        <w:rPr>
          <w:noProof/>
        </w:rPr>
        <w:fldChar w:fldCharType="separate"/>
      </w:r>
      <w:r>
        <w:rPr>
          <w:noProof/>
        </w:rPr>
        <w:t>192</w:t>
      </w:r>
      <w:r>
        <w:rPr>
          <w:noProof/>
        </w:rPr>
        <w:fldChar w:fldCharType="end"/>
      </w:r>
    </w:p>
    <w:p w14:paraId="1CEF01C6" w14:textId="2BFDF51B" w:rsidR="003F6EFC" w:rsidRDefault="003F6EFC">
      <w:pPr>
        <w:pStyle w:val="TOC5"/>
        <w:rPr>
          <w:rFonts w:asciiTheme="minorHAnsi" w:eastAsiaTheme="minorEastAsia" w:hAnsiTheme="minorHAnsi" w:cstheme="minorBidi"/>
          <w:noProof/>
          <w:kern w:val="2"/>
          <w:sz w:val="21"/>
          <w:szCs w:val="22"/>
          <w:lang w:val="en-US" w:eastAsia="zh-CN"/>
        </w:rPr>
      </w:pPr>
      <w:r>
        <w:rPr>
          <w:noProof/>
        </w:rPr>
        <w:t>5.1.6.2.39</w:t>
      </w:r>
      <w:r>
        <w:rPr>
          <w:rFonts w:asciiTheme="minorHAnsi" w:eastAsiaTheme="minorEastAsia" w:hAnsiTheme="minorHAnsi" w:cstheme="minorBidi"/>
          <w:noProof/>
          <w:kern w:val="2"/>
          <w:sz w:val="21"/>
          <w:szCs w:val="22"/>
          <w:lang w:val="en-US" w:eastAsia="zh-CN"/>
        </w:rPr>
        <w:tab/>
      </w:r>
      <w:r>
        <w:rPr>
          <w:noProof/>
        </w:rPr>
        <w:t>Type TopApplication</w:t>
      </w:r>
      <w:r>
        <w:rPr>
          <w:noProof/>
        </w:rPr>
        <w:tab/>
      </w:r>
      <w:r>
        <w:rPr>
          <w:noProof/>
        </w:rPr>
        <w:fldChar w:fldCharType="begin"/>
      </w:r>
      <w:r>
        <w:rPr>
          <w:noProof/>
        </w:rPr>
        <w:instrText xml:space="preserve"> PAGEREF _Toc199452928 \h </w:instrText>
      </w:r>
      <w:r>
        <w:rPr>
          <w:noProof/>
        </w:rPr>
      </w:r>
      <w:r>
        <w:rPr>
          <w:noProof/>
        </w:rPr>
        <w:fldChar w:fldCharType="separate"/>
      </w:r>
      <w:r>
        <w:rPr>
          <w:noProof/>
        </w:rPr>
        <w:t>192</w:t>
      </w:r>
      <w:r>
        <w:rPr>
          <w:noProof/>
        </w:rPr>
        <w:fldChar w:fldCharType="end"/>
      </w:r>
    </w:p>
    <w:p w14:paraId="1823D030" w14:textId="356F082A" w:rsidR="003F6EFC" w:rsidRDefault="003F6EFC">
      <w:pPr>
        <w:pStyle w:val="TOC5"/>
        <w:rPr>
          <w:rFonts w:asciiTheme="minorHAnsi" w:eastAsiaTheme="minorEastAsia" w:hAnsiTheme="minorHAnsi" w:cstheme="minorBidi"/>
          <w:noProof/>
          <w:kern w:val="2"/>
          <w:sz w:val="21"/>
          <w:szCs w:val="22"/>
          <w:lang w:val="en-US" w:eastAsia="zh-CN"/>
        </w:rPr>
      </w:pPr>
      <w:r>
        <w:rPr>
          <w:noProof/>
        </w:rPr>
        <w:t>5.1.6.2.40</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AnalyticsSubscriptionsTransfer</w:t>
      </w:r>
      <w:r>
        <w:rPr>
          <w:noProof/>
        </w:rPr>
        <w:tab/>
      </w:r>
      <w:r>
        <w:rPr>
          <w:noProof/>
        </w:rPr>
        <w:fldChar w:fldCharType="begin"/>
      </w:r>
      <w:r>
        <w:rPr>
          <w:noProof/>
        </w:rPr>
        <w:instrText xml:space="preserve"> PAGEREF _Toc199452929 \h </w:instrText>
      </w:r>
      <w:r>
        <w:rPr>
          <w:noProof/>
        </w:rPr>
      </w:r>
      <w:r>
        <w:rPr>
          <w:noProof/>
        </w:rPr>
        <w:fldChar w:fldCharType="separate"/>
      </w:r>
      <w:r>
        <w:rPr>
          <w:noProof/>
        </w:rPr>
        <w:t>193</w:t>
      </w:r>
      <w:r>
        <w:rPr>
          <w:noProof/>
        </w:rPr>
        <w:fldChar w:fldCharType="end"/>
      </w:r>
    </w:p>
    <w:p w14:paraId="30F69150" w14:textId="5A8E5636" w:rsidR="003F6EFC" w:rsidRDefault="003F6EFC">
      <w:pPr>
        <w:pStyle w:val="TOC5"/>
        <w:rPr>
          <w:rFonts w:asciiTheme="minorHAnsi" w:eastAsiaTheme="minorEastAsia" w:hAnsiTheme="minorHAnsi" w:cstheme="minorBidi"/>
          <w:noProof/>
          <w:kern w:val="2"/>
          <w:sz w:val="21"/>
          <w:szCs w:val="22"/>
          <w:lang w:val="en-US" w:eastAsia="zh-CN"/>
        </w:rPr>
      </w:pPr>
      <w:r>
        <w:rPr>
          <w:noProof/>
        </w:rPr>
        <w:t>5.1.6.2.41</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SubscriptionTransferInfo</w:t>
      </w:r>
      <w:r>
        <w:rPr>
          <w:noProof/>
        </w:rPr>
        <w:tab/>
      </w:r>
      <w:r>
        <w:rPr>
          <w:noProof/>
        </w:rPr>
        <w:fldChar w:fldCharType="begin"/>
      </w:r>
      <w:r>
        <w:rPr>
          <w:noProof/>
        </w:rPr>
        <w:instrText xml:space="preserve"> PAGEREF _Toc199452930 \h </w:instrText>
      </w:r>
      <w:r>
        <w:rPr>
          <w:noProof/>
        </w:rPr>
      </w:r>
      <w:r>
        <w:rPr>
          <w:noProof/>
        </w:rPr>
        <w:fldChar w:fldCharType="separate"/>
      </w:r>
      <w:r>
        <w:rPr>
          <w:noProof/>
        </w:rPr>
        <w:t>193</w:t>
      </w:r>
      <w:r>
        <w:rPr>
          <w:noProof/>
        </w:rPr>
        <w:fldChar w:fldCharType="end"/>
      </w:r>
    </w:p>
    <w:p w14:paraId="7E3175A9" w14:textId="1FD1A649" w:rsidR="003F6EFC" w:rsidRDefault="003F6EFC">
      <w:pPr>
        <w:pStyle w:val="TOC5"/>
        <w:rPr>
          <w:rFonts w:asciiTheme="minorHAnsi" w:eastAsiaTheme="minorEastAsia" w:hAnsiTheme="minorHAnsi" w:cstheme="minorBidi"/>
          <w:noProof/>
          <w:kern w:val="2"/>
          <w:sz w:val="21"/>
          <w:szCs w:val="22"/>
          <w:lang w:val="en-US" w:eastAsia="zh-CN"/>
        </w:rPr>
      </w:pPr>
      <w:r>
        <w:rPr>
          <w:noProof/>
        </w:rPr>
        <w:t>5.1.6.2.42</w:t>
      </w:r>
      <w:r>
        <w:rPr>
          <w:rFonts w:asciiTheme="minorHAnsi" w:eastAsiaTheme="minorEastAsia" w:hAnsiTheme="minorHAnsi" w:cstheme="minorBidi"/>
          <w:noProof/>
          <w:kern w:val="2"/>
          <w:sz w:val="21"/>
          <w:szCs w:val="22"/>
          <w:lang w:val="en-US" w:eastAsia="zh-CN"/>
        </w:rPr>
        <w:tab/>
      </w:r>
      <w:r>
        <w:rPr>
          <w:noProof/>
        </w:rPr>
        <w:t>Type ModelInfo</w:t>
      </w:r>
      <w:r>
        <w:rPr>
          <w:noProof/>
        </w:rPr>
        <w:tab/>
      </w:r>
      <w:r>
        <w:rPr>
          <w:noProof/>
        </w:rPr>
        <w:fldChar w:fldCharType="begin"/>
      </w:r>
      <w:r>
        <w:rPr>
          <w:noProof/>
        </w:rPr>
        <w:instrText xml:space="preserve"> PAGEREF _Toc199452931 \h </w:instrText>
      </w:r>
      <w:r>
        <w:rPr>
          <w:noProof/>
        </w:rPr>
      </w:r>
      <w:r>
        <w:rPr>
          <w:noProof/>
        </w:rPr>
        <w:fldChar w:fldCharType="separate"/>
      </w:r>
      <w:r>
        <w:rPr>
          <w:noProof/>
        </w:rPr>
        <w:t>193</w:t>
      </w:r>
      <w:r>
        <w:rPr>
          <w:noProof/>
        </w:rPr>
        <w:fldChar w:fldCharType="end"/>
      </w:r>
    </w:p>
    <w:p w14:paraId="4A7BDF29" w14:textId="4BCDC7C7" w:rsidR="003F6EFC" w:rsidRDefault="003F6EFC">
      <w:pPr>
        <w:pStyle w:val="TOC5"/>
        <w:rPr>
          <w:rFonts w:asciiTheme="minorHAnsi" w:eastAsiaTheme="minorEastAsia" w:hAnsiTheme="minorHAnsi" w:cstheme="minorBidi"/>
          <w:noProof/>
          <w:kern w:val="2"/>
          <w:sz w:val="21"/>
          <w:szCs w:val="22"/>
          <w:lang w:val="en-US" w:eastAsia="zh-CN"/>
        </w:rPr>
      </w:pPr>
      <w:r>
        <w:rPr>
          <w:noProof/>
        </w:rPr>
        <w:t>5.1.6.2.43</w:t>
      </w:r>
      <w:r>
        <w:rPr>
          <w:rFonts w:asciiTheme="minorHAnsi" w:eastAsiaTheme="minorEastAsia" w:hAnsiTheme="minorHAnsi" w:cstheme="minorBidi"/>
          <w:noProof/>
          <w:kern w:val="2"/>
          <w:sz w:val="21"/>
          <w:szCs w:val="22"/>
          <w:lang w:val="en-US" w:eastAsia="zh-CN"/>
        </w:rPr>
        <w:tab/>
      </w:r>
      <w:r>
        <w:rPr>
          <w:noProof/>
        </w:rPr>
        <w:t>Type AnalyticsContextIdentifier</w:t>
      </w:r>
      <w:r>
        <w:rPr>
          <w:noProof/>
        </w:rPr>
        <w:tab/>
      </w:r>
      <w:r>
        <w:rPr>
          <w:noProof/>
        </w:rPr>
        <w:fldChar w:fldCharType="begin"/>
      </w:r>
      <w:r>
        <w:rPr>
          <w:noProof/>
        </w:rPr>
        <w:instrText xml:space="preserve"> PAGEREF _Toc199452932 \h </w:instrText>
      </w:r>
      <w:r>
        <w:rPr>
          <w:noProof/>
        </w:rPr>
      </w:r>
      <w:r>
        <w:rPr>
          <w:noProof/>
        </w:rPr>
        <w:fldChar w:fldCharType="separate"/>
      </w:r>
      <w:r>
        <w:rPr>
          <w:noProof/>
        </w:rPr>
        <w:t>194</w:t>
      </w:r>
      <w:r>
        <w:rPr>
          <w:noProof/>
        </w:rPr>
        <w:fldChar w:fldCharType="end"/>
      </w:r>
    </w:p>
    <w:p w14:paraId="0D2D1106" w14:textId="1A2464F5" w:rsidR="003F6EFC" w:rsidRDefault="003F6EFC">
      <w:pPr>
        <w:pStyle w:val="TOC5"/>
        <w:rPr>
          <w:rFonts w:asciiTheme="minorHAnsi" w:eastAsiaTheme="minorEastAsia" w:hAnsiTheme="minorHAnsi" w:cstheme="minorBidi"/>
          <w:noProof/>
          <w:kern w:val="2"/>
          <w:sz w:val="21"/>
          <w:szCs w:val="22"/>
          <w:lang w:val="en-US" w:eastAsia="zh-CN"/>
        </w:rPr>
      </w:pPr>
      <w:r>
        <w:rPr>
          <w:noProof/>
        </w:rPr>
        <w:t>5.1.6.2.44</w:t>
      </w:r>
      <w:r>
        <w:rPr>
          <w:rFonts w:asciiTheme="minorHAnsi" w:eastAsiaTheme="minorEastAsia" w:hAnsiTheme="minorHAnsi" w:cstheme="minorBidi"/>
          <w:noProof/>
          <w:kern w:val="2"/>
          <w:sz w:val="21"/>
          <w:szCs w:val="22"/>
          <w:lang w:val="en-US" w:eastAsia="zh-CN"/>
        </w:rPr>
        <w:tab/>
      </w:r>
      <w:r>
        <w:rPr>
          <w:noProof/>
        </w:rPr>
        <w:t>Type UeAnalyticsContextDescriptor</w:t>
      </w:r>
      <w:r>
        <w:rPr>
          <w:noProof/>
        </w:rPr>
        <w:tab/>
      </w:r>
      <w:r>
        <w:rPr>
          <w:noProof/>
        </w:rPr>
        <w:fldChar w:fldCharType="begin"/>
      </w:r>
      <w:r>
        <w:rPr>
          <w:noProof/>
        </w:rPr>
        <w:instrText xml:space="preserve"> PAGEREF _Toc199452933 \h </w:instrText>
      </w:r>
      <w:r>
        <w:rPr>
          <w:noProof/>
        </w:rPr>
      </w:r>
      <w:r>
        <w:rPr>
          <w:noProof/>
        </w:rPr>
        <w:fldChar w:fldCharType="separate"/>
      </w:r>
      <w:r>
        <w:rPr>
          <w:noProof/>
        </w:rPr>
        <w:t>194</w:t>
      </w:r>
      <w:r>
        <w:rPr>
          <w:noProof/>
        </w:rPr>
        <w:fldChar w:fldCharType="end"/>
      </w:r>
    </w:p>
    <w:p w14:paraId="14F2C097" w14:textId="1937E360" w:rsidR="003F6EFC" w:rsidRDefault="003F6EFC">
      <w:pPr>
        <w:pStyle w:val="TOC5"/>
        <w:rPr>
          <w:rFonts w:asciiTheme="minorHAnsi" w:eastAsiaTheme="minorEastAsia" w:hAnsiTheme="minorHAnsi" w:cstheme="minorBidi"/>
          <w:noProof/>
          <w:kern w:val="2"/>
          <w:sz w:val="21"/>
          <w:szCs w:val="22"/>
          <w:lang w:val="en-US" w:eastAsia="zh-CN"/>
        </w:rPr>
      </w:pPr>
      <w:r>
        <w:rPr>
          <w:noProof/>
        </w:rPr>
        <w:t>5.1.6.2.45</w:t>
      </w:r>
      <w:r>
        <w:rPr>
          <w:rFonts w:asciiTheme="minorHAnsi" w:eastAsiaTheme="minorEastAsia" w:hAnsiTheme="minorHAnsi" w:cstheme="minorBidi"/>
          <w:noProof/>
          <w:kern w:val="2"/>
          <w:sz w:val="21"/>
          <w:szCs w:val="22"/>
          <w:lang w:val="en-US" w:eastAsia="zh-CN"/>
        </w:rPr>
        <w:tab/>
      </w:r>
      <w:r>
        <w:rPr>
          <w:noProof/>
        </w:rPr>
        <w:t>Type DnPerfInfo</w:t>
      </w:r>
      <w:r>
        <w:rPr>
          <w:noProof/>
        </w:rPr>
        <w:tab/>
      </w:r>
      <w:r>
        <w:rPr>
          <w:noProof/>
        </w:rPr>
        <w:fldChar w:fldCharType="begin"/>
      </w:r>
      <w:r>
        <w:rPr>
          <w:noProof/>
        </w:rPr>
        <w:instrText xml:space="preserve"> PAGEREF _Toc199452934 \h </w:instrText>
      </w:r>
      <w:r>
        <w:rPr>
          <w:noProof/>
        </w:rPr>
      </w:r>
      <w:r>
        <w:rPr>
          <w:noProof/>
        </w:rPr>
        <w:fldChar w:fldCharType="separate"/>
      </w:r>
      <w:r>
        <w:rPr>
          <w:noProof/>
        </w:rPr>
        <w:t>194</w:t>
      </w:r>
      <w:r>
        <w:rPr>
          <w:noProof/>
        </w:rPr>
        <w:fldChar w:fldCharType="end"/>
      </w:r>
    </w:p>
    <w:p w14:paraId="3FD3172E" w14:textId="572DE349" w:rsidR="003F6EFC" w:rsidRDefault="003F6EFC">
      <w:pPr>
        <w:pStyle w:val="TOC5"/>
        <w:rPr>
          <w:rFonts w:asciiTheme="minorHAnsi" w:eastAsiaTheme="minorEastAsia" w:hAnsiTheme="minorHAnsi" w:cstheme="minorBidi"/>
          <w:noProof/>
          <w:kern w:val="2"/>
          <w:sz w:val="21"/>
          <w:szCs w:val="22"/>
          <w:lang w:val="en-US" w:eastAsia="zh-CN"/>
        </w:rPr>
      </w:pPr>
      <w:r>
        <w:rPr>
          <w:noProof/>
        </w:rPr>
        <w:t>5.1.6.2.46</w:t>
      </w:r>
      <w:r>
        <w:rPr>
          <w:rFonts w:asciiTheme="minorHAnsi" w:eastAsiaTheme="minorEastAsia" w:hAnsiTheme="minorHAnsi" w:cstheme="minorBidi"/>
          <w:noProof/>
          <w:kern w:val="2"/>
          <w:sz w:val="21"/>
          <w:szCs w:val="22"/>
          <w:lang w:val="en-US" w:eastAsia="zh-CN"/>
        </w:rPr>
        <w:tab/>
      </w:r>
      <w:r>
        <w:rPr>
          <w:noProof/>
        </w:rPr>
        <w:t>Type DnPerf</w:t>
      </w:r>
      <w:r>
        <w:rPr>
          <w:noProof/>
        </w:rPr>
        <w:tab/>
      </w:r>
      <w:r>
        <w:rPr>
          <w:noProof/>
        </w:rPr>
        <w:fldChar w:fldCharType="begin"/>
      </w:r>
      <w:r>
        <w:rPr>
          <w:noProof/>
        </w:rPr>
        <w:instrText xml:space="preserve"> PAGEREF _Toc199452935 \h </w:instrText>
      </w:r>
      <w:r>
        <w:rPr>
          <w:noProof/>
        </w:rPr>
      </w:r>
      <w:r>
        <w:rPr>
          <w:noProof/>
        </w:rPr>
        <w:fldChar w:fldCharType="separate"/>
      </w:r>
      <w:r>
        <w:rPr>
          <w:noProof/>
        </w:rPr>
        <w:t>195</w:t>
      </w:r>
      <w:r>
        <w:rPr>
          <w:noProof/>
        </w:rPr>
        <w:fldChar w:fldCharType="end"/>
      </w:r>
    </w:p>
    <w:p w14:paraId="202D0DA3" w14:textId="12F600D0" w:rsidR="003F6EFC" w:rsidRDefault="003F6EFC">
      <w:pPr>
        <w:pStyle w:val="TOC5"/>
        <w:rPr>
          <w:rFonts w:asciiTheme="minorHAnsi" w:eastAsiaTheme="minorEastAsia" w:hAnsiTheme="minorHAnsi" w:cstheme="minorBidi"/>
          <w:noProof/>
          <w:kern w:val="2"/>
          <w:sz w:val="21"/>
          <w:szCs w:val="22"/>
          <w:lang w:val="en-US" w:eastAsia="zh-CN"/>
        </w:rPr>
      </w:pPr>
      <w:r>
        <w:rPr>
          <w:noProof/>
        </w:rPr>
        <w:t>5.1.6.2.47</w:t>
      </w:r>
      <w:r>
        <w:rPr>
          <w:rFonts w:asciiTheme="minorHAnsi" w:eastAsiaTheme="minorEastAsia" w:hAnsiTheme="minorHAnsi" w:cstheme="minorBidi"/>
          <w:noProof/>
          <w:kern w:val="2"/>
          <w:sz w:val="21"/>
          <w:szCs w:val="22"/>
          <w:lang w:val="en-US" w:eastAsia="zh-CN"/>
        </w:rPr>
        <w:tab/>
      </w:r>
      <w:r>
        <w:rPr>
          <w:noProof/>
        </w:rPr>
        <w:t>Type Perf</w:t>
      </w:r>
      <w:r>
        <w:rPr>
          <w:noProof/>
          <w:lang w:eastAsia="zh-CN"/>
        </w:rPr>
        <w:t>Data</w:t>
      </w:r>
      <w:r>
        <w:rPr>
          <w:noProof/>
        </w:rPr>
        <w:tab/>
      </w:r>
      <w:r>
        <w:rPr>
          <w:noProof/>
        </w:rPr>
        <w:fldChar w:fldCharType="begin"/>
      </w:r>
      <w:r>
        <w:rPr>
          <w:noProof/>
        </w:rPr>
        <w:instrText xml:space="preserve"> PAGEREF _Toc199452936 \h </w:instrText>
      </w:r>
      <w:r>
        <w:rPr>
          <w:noProof/>
        </w:rPr>
      </w:r>
      <w:r>
        <w:rPr>
          <w:noProof/>
        </w:rPr>
        <w:fldChar w:fldCharType="separate"/>
      </w:r>
      <w:r>
        <w:rPr>
          <w:noProof/>
        </w:rPr>
        <w:t>196</w:t>
      </w:r>
      <w:r>
        <w:rPr>
          <w:noProof/>
        </w:rPr>
        <w:fldChar w:fldCharType="end"/>
      </w:r>
    </w:p>
    <w:p w14:paraId="7B70FC74" w14:textId="6343CA33" w:rsidR="003F6EFC" w:rsidRDefault="003F6EFC">
      <w:pPr>
        <w:pStyle w:val="TOC5"/>
        <w:rPr>
          <w:rFonts w:asciiTheme="minorHAnsi" w:eastAsiaTheme="minorEastAsia" w:hAnsiTheme="minorHAnsi" w:cstheme="minorBidi"/>
          <w:noProof/>
          <w:kern w:val="2"/>
          <w:sz w:val="21"/>
          <w:szCs w:val="22"/>
          <w:lang w:val="en-US" w:eastAsia="zh-CN"/>
        </w:rPr>
      </w:pPr>
      <w:r>
        <w:rPr>
          <w:noProof/>
        </w:rPr>
        <w:t>5.1.6.2.48</w:t>
      </w:r>
      <w:r>
        <w:rPr>
          <w:rFonts w:asciiTheme="minorHAnsi" w:eastAsiaTheme="minorEastAsia" w:hAnsiTheme="minorHAnsi" w:cstheme="minorBidi"/>
          <w:noProof/>
          <w:kern w:val="2"/>
          <w:sz w:val="21"/>
          <w:szCs w:val="22"/>
          <w:lang w:val="en-US" w:eastAsia="zh-CN"/>
        </w:rPr>
        <w:tab/>
      </w:r>
      <w:r>
        <w:rPr>
          <w:noProof/>
        </w:rPr>
        <w:t>Type ResourceUsage</w:t>
      </w:r>
      <w:r>
        <w:rPr>
          <w:noProof/>
        </w:rPr>
        <w:tab/>
      </w:r>
      <w:r>
        <w:rPr>
          <w:noProof/>
        </w:rPr>
        <w:fldChar w:fldCharType="begin"/>
      </w:r>
      <w:r>
        <w:rPr>
          <w:noProof/>
        </w:rPr>
        <w:instrText xml:space="preserve"> PAGEREF _Toc199452937 \h </w:instrText>
      </w:r>
      <w:r>
        <w:rPr>
          <w:noProof/>
        </w:rPr>
      </w:r>
      <w:r>
        <w:rPr>
          <w:noProof/>
        </w:rPr>
        <w:fldChar w:fldCharType="separate"/>
      </w:r>
      <w:r>
        <w:rPr>
          <w:noProof/>
        </w:rPr>
        <w:t>197</w:t>
      </w:r>
      <w:r>
        <w:rPr>
          <w:noProof/>
        </w:rPr>
        <w:fldChar w:fldCharType="end"/>
      </w:r>
    </w:p>
    <w:p w14:paraId="3891F0F7" w14:textId="00C0E26A" w:rsidR="003F6EFC" w:rsidRDefault="003F6EFC">
      <w:pPr>
        <w:pStyle w:val="TOC5"/>
        <w:rPr>
          <w:rFonts w:asciiTheme="minorHAnsi" w:eastAsiaTheme="minorEastAsia" w:hAnsiTheme="minorHAnsi" w:cstheme="minorBidi"/>
          <w:noProof/>
          <w:kern w:val="2"/>
          <w:sz w:val="21"/>
          <w:szCs w:val="22"/>
          <w:lang w:val="en-US" w:eastAsia="zh-CN"/>
        </w:rPr>
      </w:pPr>
      <w:r>
        <w:rPr>
          <w:noProof/>
        </w:rPr>
        <w:t>5.1.6.2.49</w:t>
      </w:r>
      <w:r>
        <w:rPr>
          <w:rFonts w:asciiTheme="minorHAnsi" w:eastAsiaTheme="minorEastAsia" w:hAnsiTheme="minorHAnsi" w:cstheme="minorBidi"/>
          <w:noProof/>
          <w:kern w:val="2"/>
          <w:sz w:val="21"/>
          <w:szCs w:val="22"/>
          <w:lang w:val="en-US" w:eastAsia="zh-CN"/>
        </w:rPr>
        <w:tab/>
      </w:r>
      <w:r>
        <w:rPr>
          <w:noProof/>
        </w:rPr>
        <w:t>Type ConsumerNfInformation</w:t>
      </w:r>
      <w:r>
        <w:rPr>
          <w:noProof/>
        </w:rPr>
        <w:tab/>
      </w:r>
      <w:r>
        <w:rPr>
          <w:noProof/>
        </w:rPr>
        <w:fldChar w:fldCharType="begin"/>
      </w:r>
      <w:r>
        <w:rPr>
          <w:noProof/>
        </w:rPr>
        <w:instrText xml:space="preserve"> PAGEREF _Toc199452938 \h </w:instrText>
      </w:r>
      <w:r>
        <w:rPr>
          <w:noProof/>
        </w:rPr>
      </w:r>
      <w:r>
        <w:rPr>
          <w:noProof/>
        </w:rPr>
        <w:fldChar w:fldCharType="separate"/>
      </w:r>
      <w:r>
        <w:rPr>
          <w:noProof/>
        </w:rPr>
        <w:t>197</w:t>
      </w:r>
      <w:r>
        <w:rPr>
          <w:noProof/>
        </w:rPr>
        <w:fldChar w:fldCharType="end"/>
      </w:r>
    </w:p>
    <w:p w14:paraId="51D61343" w14:textId="719438C7" w:rsidR="003F6EFC" w:rsidRDefault="003F6EFC">
      <w:pPr>
        <w:pStyle w:val="TOC5"/>
        <w:rPr>
          <w:rFonts w:asciiTheme="minorHAnsi" w:eastAsiaTheme="minorEastAsia" w:hAnsiTheme="minorHAnsi" w:cstheme="minorBidi"/>
          <w:noProof/>
          <w:kern w:val="2"/>
          <w:sz w:val="21"/>
          <w:szCs w:val="22"/>
          <w:lang w:val="en-US" w:eastAsia="zh-CN"/>
        </w:rPr>
      </w:pPr>
      <w:r>
        <w:rPr>
          <w:noProof/>
        </w:rPr>
        <w:t>5.1.6.2.50</w:t>
      </w:r>
      <w:r>
        <w:rPr>
          <w:rFonts w:asciiTheme="minorHAnsi" w:eastAsiaTheme="minorEastAsia" w:hAnsiTheme="minorHAnsi" w:cstheme="minorBidi"/>
          <w:noProof/>
          <w:kern w:val="2"/>
          <w:sz w:val="21"/>
          <w:szCs w:val="22"/>
          <w:lang w:val="en-US" w:eastAsia="zh-CN"/>
        </w:rPr>
        <w:tab/>
      </w:r>
      <w:r>
        <w:rPr>
          <w:noProof/>
        </w:rPr>
        <w:t>Type DispersionRequirement</w:t>
      </w:r>
      <w:r>
        <w:rPr>
          <w:noProof/>
        </w:rPr>
        <w:tab/>
      </w:r>
      <w:r>
        <w:rPr>
          <w:noProof/>
        </w:rPr>
        <w:fldChar w:fldCharType="begin"/>
      </w:r>
      <w:r>
        <w:rPr>
          <w:noProof/>
        </w:rPr>
        <w:instrText xml:space="preserve"> PAGEREF _Toc199452939 \h </w:instrText>
      </w:r>
      <w:r>
        <w:rPr>
          <w:noProof/>
        </w:rPr>
      </w:r>
      <w:r>
        <w:rPr>
          <w:noProof/>
        </w:rPr>
        <w:fldChar w:fldCharType="separate"/>
      </w:r>
      <w:r>
        <w:rPr>
          <w:noProof/>
        </w:rPr>
        <w:t>197</w:t>
      </w:r>
      <w:r>
        <w:rPr>
          <w:noProof/>
        </w:rPr>
        <w:fldChar w:fldCharType="end"/>
      </w:r>
    </w:p>
    <w:p w14:paraId="1CADE1E2" w14:textId="793BAC6A" w:rsidR="003F6EFC" w:rsidRDefault="003F6EFC">
      <w:pPr>
        <w:pStyle w:val="TOC5"/>
        <w:rPr>
          <w:rFonts w:asciiTheme="minorHAnsi" w:eastAsiaTheme="minorEastAsia" w:hAnsiTheme="minorHAnsi" w:cstheme="minorBidi"/>
          <w:noProof/>
          <w:kern w:val="2"/>
          <w:sz w:val="21"/>
          <w:szCs w:val="22"/>
          <w:lang w:val="en-US" w:eastAsia="zh-CN"/>
        </w:rPr>
      </w:pPr>
      <w:r>
        <w:rPr>
          <w:noProof/>
        </w:rPr>
        <w:t>5.1.6.2.51</w:t>
      </w:r>
      <w:r>
        <w:rPr>
          <w:rFonts w:asciiTheme="minorHAnsi" w:eastAsiaTheme="minorEastAsia" w:hAnsiTheme="minorHAnsi" w:cstheme="minorBidi"/>
          <w:noProof/>
          <w:kern w:val="2"/>
          <w:sz w:val="21"/>
          <w:szCs w:val="22"/>
          <w:lang w:val="en-US" w:eastAsia="zh-CN"/>
        </w:rPr>
        <w:tab/>
      </w:r>
      <w:r>
        <w:rPr>
          <w:noProof/>
        </w:rPr>
        <w:t>Type ClassCriterion</w:t>
      </w:r>
      <w:r>
        <w:rPr>
          <w:noProof/>
        </w:rPr>
        <w:tab/>
      </w:r>
      <w:r>
        <w:rPr>
          <w:noProof/>
        </w:rPr>
        <w:fldChar w:fldCharType="begin"/>
      </w:r>
      <w:r>
        <w:rPr>
          <w:noProof/>
        </w:rPr>
        <w:instrText xml:space="preserve"> PAGEREF _Toc199452940 \h </w:instrText>
      </w:r>
      <w:r>
        <w:rPr>
          <w:noProof/>
        </w:rPr>
      </w:r>
      <w:r>
        <w:rPr>
          <w:noProof/>
        </w:rPr>
        <w:fldChar w:fldCharType="separate"/>
      </w:r>
      <w:r>
        <w:rPr>
          <w:noProof/>
        </w:rPr>
        <w:t>198</w:t>
      </w:r>
      <w:r>
        <w:rPr>
          <w:noProof/>
        </w:rPr>
        <w:fldChar w:fldCharType="end"/>
      </w:r>
    </w:p>
    <w:p w14:paraId="55BF6E32" w14:textId="187A04BD" w:rsidR="003F6EFC" w:rsidRDefault="003F6EFC">
      <w:pPr>
        <w:pStyle w:val="TOC5"/>
        <w:rPr>
          <w:rFonts w:asciiTheme="minorHAnsi" w:eastAsiaTheme="minorEastAsia" w:hAnsiTheme="minorHAnsi" w:cstheme="minorBidi"/>
          <w:noProof/>
          <w:kern w:val="2"/>
          <w:sz w:val="21"/>
          <w:szCs w:val="22"/>
          <w:lang w:val="en-US" w:eastAsia="zh-CN"/>
        </w:rPr>
      </w:pPr>
      <w:r>
        <w:rPr>
          <w:noProof/>
        </w:rPr>
        <w:t>5.1.6.2.52</w:t>
      </w:r>
      <w:r>
        <w:rPr>
          <w:rFonts w:asciiTheme="minorHAnsi" w:eastAsiaTheme="minorEastAsia" w:hAnsiTheme="minorHAnsi" w:cstheme="minorBidi"/>
          <w:noProof/>
          <w:kern w:val="2"/>
          <w:sz w:val="21"/>
          <w:szCs w:val="22"/>
          <w:lang w:val="en-US" w:eastAsia="zh-CN"/>
        </w:rPr>
        <w:tab/>
      </w:r>
      <w:r>
        <w:rPr>
          <w:noProof/>
        </w:rPr>
        <w:t>Type RankingCriterion</w:t>
      </w:r>
      <w:r>
        <w:rPr>
          <w:noProof/>
        </w:rPr>
        <w:tab/>
      </w:r>
      <w:r>
        <w:rPr>
          <w:noProof/>
        </w:rPr>
        <w:fldChar w:fldCharType="begin"/>
      </w:r>
      <w:r>
        <w:rPr>
          <w:noProof/>
        </w:rPr>
        <w:instrText xml:space="preserve"> PAGEREF _Toc199452941 \h </w:instrText>
      </w:r>
      <w:r>
        <w:rPr>
          <w:noProof/>
        </w:rPr>
      </w:r>
      <w:r>
        <w:rPr>
          <w:noProof/>
        </w:rPr>
        <w:fldChar w:fldCharType="separate"/>
      </w:r>
      <w:r>
        <w:rPr>
          <w:noProof/>
        </w:rPr>
        <w:t>198</w:t>
      </w:r>
      <w:r>
        <w:rPr>
          <w:noProof/>
        </w:rPr>
        <w:fldChar w:fldCharType="end"/>
      </w:r>
    </w:p>
    <w:p w14:paraId="2BF35EDD" w14:textId="4496CF13" w:rsidR="003F6EFC" w:rsidRDefault="003F6EFC">
      <w:pPr>
        <w:pStyle w:val="TOC5"/>
        <w:rPr>
          <w:rFonts w:asciiTheme="minorHAnsi" w:eastAsiaTheme="minorEastAsia" w:hAnsiTheme="minorHAnsi" w:cstheme="minorBidi"/>
          <w:noProof/>
          <w:kern w:val="2"/>
          <w:sz w:val="21"/>
          <w:szCs w:val="22"/>
          <w:lang w:val="en-US" w:eastAsia="zh-CN"/>
        </w:rPr>
      </w:pPr>
      <w:r>
        <w:rPr>
          <w:noProof/>
        </w:rPr>
        <w:t>5.1.6.2.53</w:t>
      </w:r>
      <w:r>
        <w:rPr>
          <w:rFonts w:asciiTheme="minorHAnsi" w:eastAsiaTheme="minorEastAsia" w:hAnsiTheme="minorHAnsi" w:cstheme="minorBidi"/>
          <w:noProof/>
          <w:kern w:val="2"/>
          <w:sz w:val="21"/>
          <w:szCs w:val="22"/>
          <w:lang w:val="en-US" w:eastAsia="zh-CN"/>
        </w:rPr>
        <w:tab/>
      </w:r>
      <w:r>
        <w:rPr>
          <w:noProof/>
        </w:rPr>
        <w:t>Type DispersionInfo</w:t>
      </w:r>
      <w:r>
        <w:rPr>
          <w:noProof/>
        </w:rPr>
        <w:tab/>
      </w:r>
      <w:r>
        <w:rPr>
          <w:noProof/>
        </w:rPr>
        <w:fldChar w:fldCharType="begin"/>
      </w:r>
      <w:r>
        <w:rPr>
          <w:noProof/>
        </w:rPr>
        <w:instrText xml:space="preserve"> PAGEREF _Toc199452942 \h </w:instrText>
      </w:r>
      <w:r>
        <w:rPr>
          <w:noProof/>
        </w:rPr>
      </w:r>
      <w:r>
        <w:rPr>
          <w:noProof/>
        </w:rPr>
        <w:fldChar w:fldCharType="separate"/>
      </w:r>
      <w:r>
        <w:rPr>
          <w:noProof/>
        </w:rPr>
        <w:t>198</w:t>
      </w:r>
      <w:r>
        <w:rPr>
          <w:noProof/>
        </w:rPr>
        <w:fldChar w:fldCharType="end"/>
      </w:r>
    </w:p>
    <w:p w14:paraId="328B10F0" w14:textId="56949484" w:rsidR="003F6EFC" w:rsidRDefault="003F6EFC">
      <w:pPr>
        <w:pStyle w:val="TOC5"/>
        <w:rPr>
          <w:rFonts w:asciiTheme="minorHAnsi" w:eastAsiaTheme="minorEastAsia" w:hAnsiTheme="minorHAnsi" w:cstheme="minorBidi"/>
          <w:noProof/>
          <w:kern w:val="2"/>
          <w:sz w:val="21"/>
          <w:szCs w:val="22"/>
          <w:lang w:val="en-US" w:eastAsia="zh-CN"/>
        </w:rPr>
      </w:pPr>
      <w:r>
        <w:rPr>
          <w:noProof/>
        </w:rPr>
        <w:t>5.1.6.2.54</w:t>
      </w:r>
      <w:r>
        <w:rPr>
          <w:rFonts w:asciiTheme="minorHAnsi" w:eastAsiaTheme="minorEastAsia" w:hAnsiTheme="minorHAnsi" w:cstheme="minorBidi"/>
          <w:noProof/>
          <w:kern w:val="2"/>
          <w:sz w:val="21"/>
          <w:szCs w:val="22"/>
          <w:lang w:val="en-US" w:eastAsia="zh-CN"/>
        </w:rPr>
        <w:tab/>
      </w:r>
      <w:r>
        <w:rPr>
          <w:noProof/>
        </w:rPr>
        <w:t>Type DispersionCollection</w:t>
      </w:r>
      <w:r>
        <w:rPr>
          <w:noProof/>
        </w:rPr>
        <w:tab/>
      </w:r>
      <w:r>
        <w:rPr>
          <w:noProof/>
        </w:rPr>
        <w:fldChar w:fldCharType="begin"/>
      </w:r>
      <w:r>
        <w:rPr>
          <w:noProof/>
        </w:rPr>
        <w:instrText xml:space="preserve"> PAGEREF _Toc199452943 \h </w:instrText>
      </w:r>
      <w:r>
        <w:rPr>
          <w:noProof/>
        </w:rPr>
      </w:r>
      <w:r>
        <w:rPr>
          <w:noProof/>
        </w:rPr>
        <w:fldChar w:fldCharType="separate"/>
      </w:r>
      <w:r>
        <w:rPr>
          <w:noProof/>
        </w:rPr>
        <w:t>199</w:t>
      </w:r>
      <w:r>
        <w:rPr>
          <w:noProof/>
        </w:rPr>
        <w:fldChar w:fldCharType="end"/>
      </w:r>
    </w:p>
    <w:p w14:paraId="1C159A10" w14:textId="1C1BA88F" w:rsidR="003F6EFC" w:rsidRDefault="003F6EFC">
      <w:pPr>
        <w:pStyle w:val="TOC5"/>
        <w:rPr>
          <w:rFonts w:asciiTheme="minorHAnsi" w:eastAsiaTheme="minorEastAsia" w:hAnsiTheme="minorHAnsi" w:cstheme="minorBidi"/>
          <w:noProof/>
          <w:kern w:val="2"/>
          <w:sz w:val="21"/>
          <w:szCs w:val="22"/>
          <w:lang w:val="en-US" w:eastAsia="zh-CN"/>
        </w:rPr>
      </w:pPr>
      <w:r>
        <w:rPr>
          <w:noProof/>
        </w:rPr>
        <w:t>5.1.6.2.55</w:t>
      </w:r>
      <w:r>
        <w:rPr>
          <w:rFonts w:asciiTheme="minorHAnsi" w:eastAsiaTheme="minorEastAsia" w:hAnsiTheme="minorHAnsi" w:cstheme="minorBidi"/>
          <w:noProof/>
          <w:kern w:val="2"/>
          <w:sz w:val="21"/>
          <w:szCs w:val="22"/>
          <w:lang w:val="en-US" w:eastAsia="zh-CN"/>
        </w:rPr>
        <w:tab/>
      </w:r>
      <w:r>
        <w:rPr>
          <w:noProof/>
        </w:rPr>
        <w:t>Type ApplicationVolume</w:t>
      </w:r>
      <w:r>
        <w:rPr>
          <w:noProof/>
        </w:rPr>
        <w:tab/>
      </w:r>
      <w:r>
        <w:rPr>
          <w:noProof/>
        </w:rPr>
        <w:fldChar w:fldCharType="begin"/>
      </w:r>
      <w:r>
        <w:rPr>
          <w:noProof/>
        </w:rPr>
        <w:instrText xml:space="preserve"> PAGEREF _Toc199452944 \h </w:instrText>
      </w:r>
      <w:r>
        <w:rPr>
          <w:noProof/>
        </w:rPr>
      </w:r>
      <w:r>
        <w:rPr>
          <w:noProof/>
        </w:rPr>
        <w:fldChar w:fldCharType="separate"/>
      </w:r>
      <w:r>
        <w:rPr>
          <w:noProof/>
        </w:rPr>
        <w:t>201</w:t>
      </w:r>
      <w:r>
        <w:rPr>
          <w:noProof/>
        </w:rPr>
        <w:fldChar w:fldCharType="end"/>
      </w:r>
    </w:p>
    <w:p w14:paraId="03C4073F" w14:textId="14BBC90E" w:rsidR="003F6EFC" w:rsidRDefault="003F6EFC">
      <w:pPr>
        <w:pStyle w:val="TOC5"/>
        <w:rPr>
          <w:rFonts w:asciiTheme="minorHAnsi" w:eastAsiaTheme="minorEastAsia" w:hAnsiTheme="minorHAnsi" w:cstheme="minorBidi"/>
          <w:noProof/>
          <w:kern w:val="2"/>
          <w:sz w:val="21"/>
          <w:szCs w:val="22"/>
          <w:lang w:val="en-US" w:eastAsia="zh-CN"/>
        </w:rPr>
      </w:pPr>
      <w:r>
        <w:rPr>
          <w:noProof/>
        </w:rPr>
        <w:t>5.1.6.2.56</w:t>
      </w:r>
      <w:r>
        <w:rPr>
          <w:rFonts w:asciiTheme="minorHAnsi" w:eastAsiaTheme="minorEastAsia" w:hAnsiTheme="minorHAnsi" w:cstheme="minorBidi"/>
          <w:noProof/>
          <w:kern w:val="2"/>
          <w:sz w:val="21"/>
          <w:szCs w:val="22"/>
          <w:lang w:val="en-US" w:eastAsia="zh-CN"/>
        </w:rPr>
        <w:tab/>
      </w:r>
      <w:r>
        <w:rPr>
          <w:noProof/>
        </w:rPr>
        <w:t>Type RedundantTransmissionExpReq</w:t>
      </w:r>
      <w:r>
        <w:rPr>
          <w:noProof/>
        </w:rPr>
        <w:tab/>
      </w:r>
      <w:r>
        <w:rPr>
          <w:noProof/>
        </w:rPr>
        <w:fldChar w:fldCharType="begin"/>
      </w:r>
      <w:r>
        <w:rPr>
          <w:noProof/>
        </w:rPr>
        <w:instrText xml:space="preserve"> PAGEREF _Toc199452945 \h </w:instrText>
      </w:r>
      <w:r>
        <w:rPr>
          <w:noProof/>
        </w:rPr>
      </w:r>
      <w:r>
        <w:rPr>
          <w:noProof/>
        </w:rPr>
        <w:fldChar w:fldCharType="separate"/>
      </w:r>
      <w:r>
        <w:rPr>
          <w:noProof/>
        </w:rPr>
        <w:t>201</w:t>
      </w:r>
      <w:r>
        <w:rPr>
          <w:noProof/>
        </w:rPr>
        <w:fldChar w:fldCharType="end"/>
      </w:r>
    </w:p>
    <w:p w14:paraId="1256AE8B" w14:textId="3C0CD7BF" w:rsidR="003F6EFC" w:rsidRDefault="003F6EFC">
      <w:pPr>
        <w:pStyle w:val="TOC5"/>
        <w:rPr>
          <w:rFonts w:asciiTheme="minorHAnsi" w:eastAsiaTheme="minorEastAsia" w:hAnsiTheme="minorHAnsi" w:cstheme="minorBidi"/>
          <w:noProof/>
          <w:kern w:val="2"/>
          <w:sz w:val="21"/>
          <w:szCs w:val="22"/>
          <w:lang w:val="en-US" w:eastAsia="zh-CN"/>
        </w:rPr>
      </w:pPr>
      <w:r>
        <w:rPr>
          <w:noProof/>
        </w:rPr>
        <w:t>5.1.6.2.57</w:t>
      </w:r>
      <w:r>
        <w:rPr>
          <w:rFonts w:asciiTheme="minorHAnsi" w:eastAsiaTheme="minorEastAsia" w:hAnsiTheme="minorHAnsi" w:cstheme="minorBidi"/>
          <w:noProof/>
          <w:kern w:val="2"/>
          <w:sz w:val="21"/>
          <w:szCs w:val="22"/>
          <w:lang w:val="en-US" w:eastAsia="zh-CN"/>
        </w:rPr>
        <w:tab/>
      </w:r>
      <w:r>
        <w:rPr>
          <w:noProof/>
        </w:rPr>
        <w:t>Type RedundantTransmissionExpInfo</w:t>
      </w:r>
      <w:r>
        <w:rPr>
          <w:noProof/>
        </w:rPr>
        <w:tab/>
      </w:r>
      <w:r>
        <w:rPr>
          <w:noProof/>
        </w:rPr>
        <w:fldChar w:fldCharType="begin"/>
      </w:r>
      <w:r>
        <w:rPr>
          <w:noProof/>
        </w:rPr>
        <w:instrText xml:space="preserve"> PAGEREF _Toc199452946 \h </w:instrText>
      </w:r>
      <w:r>
        <w:rPr>
          <w:noProof/>
        </w:rPr>
      </w:r>
      <w:r>
        <w:rPr>
          <w:noProof/>
        </w:rPr>
        <w:fldChar w:fldCharType="separate"/>
      </w:r>
      <w:r>
        <w:rPr>
          <w:noProof/>
        </w:rPr>
        <w:t>202</w:t>
      </w:r>
      <w:r>
        <w:rPr>
          <w:noProof/>
        </w:rPr>
        <w:fldChar w:fldCharType="end"/>
      </w:r>
    </w:p>
    <w:p w14:paraId="2272B5E2" w14:textId="1C1E9A96" w:rsidR="003F6EFC" w:rsidRDefault="003F6EFC">
      <w:pPr>
        <w:pStyle w:val="TOC5"/>
        <w:rPr>
          <w:rFonts w:asciiTheme="minorHAnsi" w:eastAsiaTheme="minorEastAsia" w:hAnsiTheme="minorHAnsi" w:cstheme="minorBidi"/>
          <w:noProof/>
          <w:kern w:val="2"/>
          <w:sz w:val="21"/>
          <w:szCs w:val="22"/>
          <w:lang w:val="en-US" w:eastAsia="zh-CN"/>
        </w:rPr>
      </w:pPr>
      <w:r>
        <w:rPr>
          <w:noProof/>
        </w:rPr>
        <w:t>5.1.6.2.58</w:t>
      </w:r>
      <w:r>
        <w:rPr>
          <w:rFonts w:asciiTheme="minorHAnsi" w:eastAsiaTheme="minorEastAsia" w:hAnsiTheme="minorHAnsi" w:cstheme="minorBidi"/>
          <w:noProof/>
          <w:kern w:val="2"/>
          <w:sz w:val="21"/>
          <w:szCs w:val="22"/>
          <w:lang w:val="en-US" w:eastAsia="zh-CN"/>
        </w:rPr>
        <w:tab/>
      </w:r>
      <w:r>
        <w:rPr>
          <w:noProof/>
        </w:rPr>
        <w:t>Type RedundantTransmissionExpPerTS</w:t>
      </w:r>
      <w:r>
        <w:rPr>
          <w:noProof/>
        </w:rPr>
        <w:tab/>
      </w:r>
      <w:r>
        <w:rPr>
          <w:noProof/>
        </w:rPr>
        <w:fldChar w:fldCharType="begin"/>
      </w:r>
      <w:r>
        <w:rPr>
          <w:noProof/>
        </w:rPr>
        <w:instrText xml:space="preserve"> PAGEREF _Toc199452947 \h </w:instrText>
      </w:r>
      <w:r>
        <w:rPr>
          <w:noProof/>
        </w:rPr>
      </w:r>
      <w:r>
        <w:rPr>
          <w:noProof/>
        </w:rPr>
        <w:fldChar w:fldCharType="separate"/>
      </w:r>
      <w:r>
        <w:rPr>
          <w:noProof/>
        </w:rPr>
        <w:t>202</w:t>
      </w:r>
      <w:r>
        <w:rPr>
          <w:noProof/>
        </w:rPr>
        <w:fldChar w:fldCharType="end"/>
      </w:r>
    </w:p>
    <w:p w14:paraId="25B85919" w14:textId="6F08DF28" w:rsidR="003F6EFC" w:rsidRDefault="003F6EFC">
      <w:pPr>
        <w:pStyle w:val="TOC5"/>
        <w:rPr>
          <w:rFonts w:asciiTheme="minorHAnsi" w:eastAsiaTheme="minorEastAsia" w:hAnsiTheme="minorHAnsi" w:cstheme="minorBidi"/>
          <w:noProof/>
          <w:kern w:val="2"/>
          <w:sz w:val="21"/>
          <w:szCs w:val="22"/>
          <w:lang w:val="en-US" w:eastAsia="zh-CN"/>
        </w:rPr>
      </w:pPr>
      <w:r>
        <w:rPr>
          <w:noProof/>
        </w:rPr>
        <w:t>5.1.6.2.59</w:t>
      </w:r>
      <w:r>
        <w:rPr>
          <w:rFonts w:asciiTheme="minorHAnsi" w:eastAsiaTheme="minorEastAsia" w:hAnsiTheme="minorHAnsi" w:cstheme="minorBidi"/>
          <w:noProof/>
          <w:kern w:val="2"/>
          <w:sz w:val="21"/>
          <w:szCs w:val="22"/>
          <w:lang w:val="en-US" w:eastAsia="zh-CN"/>
        </w:rPr>
        <w:tab/>
      </w:r>
      <w:r>
        <w:rPr>
          <w:noProof/>
        </w:rPr>
        <w:t>Type WlanPerformanceReq</w:t>
      </w:r>
      <w:r>
        <w:rPr>
          <w:noProof/>
        </w:rPr>
        <w:tab/>
      </w:r>
      <w:r>
        <w:rPr>
          <w:noProof/>
        </w:rPr>
        <w:fldChar w:fldCharType="begin"/>
      </w:r>
      <w:r>
        <w:rPr>
          <w:noProof/>
        </w:rPr>
        <w:instrText xml:space="preserve"> PAGEREF _Toc199452948 \h </w:instrText>
      </w:r>
      <w:r>
        <w:rPr>
          <w:noProof/>
        </w:rPr>
      </w:r>
      <w:r>
        <w:rPr>
          <w:noProof/>
        </w:rPr>
        <w:fldChar w:fldCharType="separate"/>
      </w:r>
      <w:r>
        <w:rPr>
          <w:noProof/>
        </w:rPr>
        <w:t>203</w:t>
      </w:r>
      <w:r>
        <w:rPr>
          <w:noProof/>
        </w:rPr>
        <w:fldChar w:fldCharType="end"/>
      </w:r>
    </w:p>
    <w:p w14:paraId="2C3EDE30" w14:textId="6286733C" w:rsidR="003F6EFC" w:rsidRDefault="003F6EFC">
      <w:pPr>
        <w:pStyle w:val="TOC5"/>
        <w:rPr>
          <w:rFonts w:asciiTheme="minorHAnsi" w:eastAsiaTheme="minorEastAsia" w:hAnsiTheme="minorHAnsi" w:cstheme="minorBidi"/>
          <w:noProof/>
          <w:kern w:val="2"/>
          <w:sz w:val="21"/>
          <w:szCs w:val="22"/>
          <w:lang w:val="en-US" w:eastAsia="zh-CN"/>
        </w:rPr>
      </w:pPr>
      <w:r>
        <w:rPr>
          <w:noProof/>
        </w:rPr>
        <w:t>5.1.6.2.60</w:t>
      </w:r>
      <w:r>
        <w:rPr>
          <w:rFonts w:asciiTheme="minorHAnsi" w:eastAsiaTheme="minorEastAsia" w:hAnsiTheme="minorHAnsi" w:cstheme="minorBidi"/>
          <w:noProof/>
          <w:kern w:val="2"/>
          <w:sz w:val="21"/>
          <w:szCs w:val="22"/>
          <w:lang w:val="en-US" w:eastAsia="zh-CN"/>
        </w:rPr>
        <w:tab/>
      </w:r>
      <w:r>
        <w:rPr>
          <w:noProof/>
        </w:rPr>
        <w:t>Type WlanPerformanceInfo</w:t>
      </w:r>
      <w:r>
        <w:rPr>
          <w:noProof/>
        </w:rPr>
        <w:tab/>
      </w:r>
      <w:r>
        <w:rPr>
          <w:noProof/>
        </w:rPr>
        <w:fldChar w:fldCharType="begin"/>
      </w:r>
      <w:r>
        <w:rPr>
          <w:noProof/>
        </w:rPr>
        <w:instrText xml:space="preserve"> PAGEREF _Toc199452949 \h </w:instrText>
      </w:r>
      <w:r>
        <w:rPr>
          <w:noProof/>
        </w:rPr>
      </w:r>
      <w:r>
        <w:rPr>
          <w:noProof/>
        </w:rPr>
        <w:fldChar w:fldCharType="separate"/>
      </w:r>
      <w:r>
        <w:rPr>
          <w:noProof/>
        </w:rPr>
        <w:t>203</w:t>
      </w:r>
      <w:r>
        <w:rPr>
          <w:noProof/>
        </w:rPr>
        <w:fldChar w:fldCharType="end"/>
      </w:r>
    </w:p>
    <w:p w14:paraId="02DEA392" w14:textId="2E3A29A6" w:rsidR="003F6EFC" w:rsidRDefault="003F6EFC">
      <w:pPr>
        <w:pStyle w:val="TOC5"/>
        <w:rPr>
          <w:rFonts w:asciiTheme="minorHAnsi" w:eastAsiaTheme="minorEastAsia" w:hAnsiTheme="minorHAnsi" w:cstheme="minorBidi"/>
          <w:noProof/>
          <w:kern w:val="2"/>
          <w:sz w:val="21"/>
          <w:szCs w:val="22"/>
          <w:lang w:val="en-US" w:eastAsia="zh-CN"/>
        </w:rPr>
      </w:pPr>
      <w:r>
        <w:rPr>
          <w:noProof/>
        </w:rPr>
        <w:t>5.1.6.2.61</w:t>
      </w:r>
      <w:r>
        <w:rPr>
          <w:rFonts w:asciiTheme="minorHAnsi" w:eastAsiaTheme="minorEastAsia" w:hAnsiTheme="minorHAnsi" w:cstheme="minorBidi"/>
          <w:noProof/>
          <w:kern w:val="2"/>
          <w:sz w:val="21"/>
          <w:szCs w:val="22"/>
          <w:lang w:val="en-US" w:eastAsia="zh-CN"/>
        </w:rPr>
        <w:tab/>
      </w:r>
      <w:r>
        <w:rPr>
          <w:noProof/>
        </w:rPr>
        <w:t>Type WlanPerSsIdPerformanceInfo</w:t>
      </w:r>
      <w:r>
        <w:rPr>
          <w:noProof/>
        </w:rPr>
        <w:tab/>
      </w:r>
      <w:r>
        <w:rPr>
          <w:noProof/>
        </w:rPr>
        <w:fldChar w:fldCharType="begin"/>
      </w:r>
      <w:r>
        <w:rPr>
          <w:noProof/>
        </w:rPr>
        <w:instrText xml:space="preserve"> PAGEREF _Toc199452950 \h </w:instrText>
      </w:r>
      <w:r>
        <w:rPr>
          <w:noProof/>
        </w:rPr>
      </w:r>
      <w:r>
        <w:rPr>
          <w:noProof/>
        </w:rPr>
        <w:fldChar w:fldCharType="separate"/>
      </w:r>
      <w:r>
        <w:rPr>
          <w:noProof/>
        </w:rPr>
        <w:t>203</w:t>
      </w:r>
      <w:r>
        <w:rPr>
          <w:noProof/>
        </w:rPr>
        <w:fldChar w:fldCharType="end"/>
      </w:r>
    </w:p>
    <w:p w14:paraId="3235BA22" w14:textId="015AF3C6" w:rsidR="003F6EFC" w:rsidRDefault="003F6EFC">
      <w:pPr>
        <w:pStyle w:val="TOC5"/>
        <w:rPr>
          <w:rFonts w:asciiTheme="minorHAnsi" w:eastAsiaTheme="minorEastAsia" w:hAnsiTheme="minorHAnsi" w:cstheme="minorBidi"/>
          <w:noProof/>
          <w:kern w:val="2"/>
          <w:sz w:val="21"/>
          <w:szCs w:val="22"/>
          <w:lang w:val="en-US" w:eastAsia="zh-CN"/>
        </w:rPr>
      </w:pPr>
      <w:r>
        <w:rPr>
          <w:noProof/>
        </w:rPr>
        <w:t>5.1.6.2.62</w:t>
      </w:r>
      <w:r>
        <w:rPr>
          <w:rFonts w:asciiTheme="minorHAnsi" w:eastAsiaTheme="minorEastAsia" w:hAnsiTheme="minorHAnsi" w:cstheme="minorBidi"/>
          <w:noProof/>
          <w:kern w:val="2"/>
          <w:sz w:val="21"/>
          <w:szCs w:val="22"/>
          <w:lang w:val="en-US" w:eastAsia="zh-CN"/>
        </w:rPr>
        <w:tab/>
      </w:r>
      <w:r>
        <w:rPr>
          <w:noProof/>
        </w:rPr>
        <w:t>Type WlanPerTsPerformanceInfo</w:t>
      </w:r>
      <w:r>
        <w:rPr>
          <w:noProof/>
        </w:rPr>
        <w:tab/>
      </w:r>
      <w:r>
        <w:rPr>
          <w:noProof/>
        </w:rPr>
        <w:fldChar w:fldCharType="begin"/>
      </w:r>
      <w:r>
        <w:rPr>
          <w:noProof/>
        </w:rPr>
        <w:instrText xml:space="preserve"> PAGEREF _Toc199452951 \h </w:instrText>
      </w:r>
      <w:r>
        <w:rPr>
          <w:noProof/>
        </w:rPr>
      </w:r>
      <w:r>
        <w:rPr>
          <w:noProof/>
        </w:rPr>
        <w:fldChar w:fldCharType="separate"/>
      </w:r>
      <w:r>
        <w:rPr>
          <w:noProof/>
        </w:rPr>
        <w:t>204</w:t>
      </w:r>
      <w:r>
        <w:rPr>
          <w:noProof/>
        </w:rPr>
        <w:fldChar w:fldCharType="end"/>
      </w:r>
    </w:p>
    <w:p w14:paraId="523276A1" w14:textId="47F1B447" w:rsidR="003F6EFC" w:rsidRDefault="003F6EFC">
      <w:pPr>
        <w:pStyle w:val="TOC5"/>
        <w:rPr>
          <w:rFonts w:asciiTheme="minorHAnsi" w:eastAsiaTheme="minorEastAsia" w:hAnsiTheme="minorHAnsi" w:cstheme="minorBidi"/>
          <w:noProof/>
          <w:kern w:val="2"/>
          <w:sz w:val="21"/>
          <w:szCs w:val="22"/>
          <w:lang w:val="en-US" w:eastAsia="zh-CN"/>
        </w:rPr>
      </w:pPr>
      <w:r>
        <w:rPr>
          <w:noProof/>
        </w:rPr>
        <w:t>5.1.6.2.63</w:t>
      </w:r>
      <w:r>
        <w:rPr>
          <w:rFonts w:asciiTheme="minorHAnsi" w:eastAsiaTheme="minorEastAsia" w:hAnsiTheme="minorHAnsi" w:cstheme="minorBidi"/>
          <w:noProof/>
          <w:kern w:val="2"/>
          <w:sz w:val="21"/>
          <w:szCs w:val="22"/>
          <w:lang w:val="en-US" w:eastAsia="zh-CN"/>
        </w:rPr>
        <w:tab/>
      </w:r>
      <w:r>
        <w:rPr>
          <w:noProof/>
        </w:rPr>
        <w:t>Type TrafficInformation</w:t>
      </w:r>
      <w:r>
        <w:rPr>
          <w:noProof/>
        </w:rPr>
        <w:tab/>
      </w:r>
      <w:r>
        <w:rPr>
          <w:noProof/>
        </w:rPr>
        <w:fldChar w:fldCharType="begin"/>
      </w:r>
      <w:r>
        <w:rPr>
          <w:noProof/>
        </w:rPr>
        <w:instrText xml:space="preserve"> PAGEREF _Toc199452952 \h </w:instrText>
      </w:r>
      <w:r>
        <w:rPr>
          <w:noProof/>
        </w:rPr>
      </w:r>
      <w:r>
        <w:rPr>
          <w:noProof/>
        </w:rPr>
        <w:fldChar w:fldCharType="separate"/>
      </w:r>
      <w:r>
        <w:rPr>
          <w:noProof/>
        </w:rPr>
        <w:t>204</w:t>
      </w:r>
      <w:r>
        <w:rPr>
          <w:noProof/>
        </w:rPr>
        <w:fldChar w:fldCharType="end"/>
      </w:r>
    </w:p>
    <w:p w14:paraId="74FDEBE1" w14:textId="6D5069D5" w:rsidR="003F6EFC" w:rsidRDefault="003F6EFC">
      <w:pPr>
        <w:pStyle w:val="TOC5"/>
        <w:rPr>
          <w:rFonts w:asciiTheme="minorHAnsi" w:eastAsiaTheme="minorEastAsia" w:hAnsiTheme="minorHAnsi" w:cstheme="minorBidi"/>
          <w:noProof/>
          <w:kern w:val="2"/>
          <w:sz w:val="21"/>
          <w:szCs w:val="22"/>
          <w:lang w:val="en-US" w:eastAsia="zh-CN"/>
        </w:rPr>
      </w:pPr>
      <w:r>
        <w:rPr>
          <w:noProof/>
        </w:rPr>
        <w:t>5.1.6.2.64</w:t>
      </w:r>
      <w:r>
        <w:rPr>
          <w:rFonts w:asciiTheme="minorHAnsi" w:eastAsiaTheme="minorEastAsia" w:hAnsiTheme="minorHAnsi" w:cstheme="minorBidi"/>
          <w:noProof/>
          <w:kern w:val="2"/>
          <w:sz w:val="21"/>
          <w:szCs w:val="22"/>
          <w:lang w:val="en-US" w:eastAsia="zh-CN"/>
        </w:rPr>
        <w:tab/>
      </w:r>
      <w:r>
        <w:rPr>
          <w:noProof/>
        </w:rPr>
        <w:t>Type AppListForUeComm</w:t>
      </w:r>
      <w:r>
        <w:rPr>
          <w:noProof/>
        </w:rPr>
        <w:tab/>
      </w:r>
      <w:r>
        <w:rPr>
          <w:noProof/>
        </w:rPr>
        <w:fldChar w:fldCharType="begin"/>
      </w:r>
      <w:r>
        <w:rPr>
          <w:noProof/>
        </w:rPr>
        <w:instrText xml:space="preserve"> PAGEREF _Toc199452953 \h </w:instrText>
      </w:r>
      <w:r>
        <w:rPr>
          <w:noProof/>
        </w:rPr>
      </w:r>
      <w:r>
        <w:rPr>
          <w:noProof/>
        </w:rPr>
        <w:fldChar w:fldCharType="separate"/>
      </w:r>
      <w:r>
        <w:rPr>
          <w:noProof/>
        </w:rPr>
        <w:t>205</w:t>
      </w:r>
      <w:r>
        <w:rPr>
          <w:noProof/>
        </w:rPr>
        <w:fldChar w:fldCharType="end"/>
      </w:r>
    </w:p>
    <w:p w14:paraId="4C4F1E6F" w14:textId="2A8BDB82" w:rsidR="003F6EFC" w:rsidRDefault="003F6EFC">
      <w:pPr>
        <w:pStyle w:val="TOC5"/>
        <w:rPr>
          <w:rFonts w:asciiTheme="minorHAnsi" w:eastAsiaTheme="minorEastAsia" w:hAnsiTheme="minorHAnsi" w:cstheme="minorBidi"/>
          <w:noProof/>
          <w:kern w:val="2"/>
          <w:sz w:val="21"/>
          <w:szCs w:val="22"/>
          <w:lang w:val="en-US" w:eastAsia="zh-CN"/>
        </w:rPr>
      </w:pPr>
      <w:r>
        <w:rPr>
          <w:noProof/>
        </w:rPr>
        <w:t>5.1.6.2.65</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SessInactTimer</w:t>
      </w:r>
      <w:r>
        <w:rPr>
          <w:noProof/>
        </w:rPr>
        <w:t>ForUeComm</w:t>
      </w:r>
      <w:r>
        <w:rPr>
          <w:noProof/>
        </w:rPr>
        <w:tab/>
      </w:r>
      <w:r>
        <w:rPr>
          <w:noProof/>
        </w:rPr>
        <w:fldChar w:fldCharType="begin"/>
      </w:r>
      <w:r>
        <w:rPr>
          <w:noProof/>
        </w:rPr>
        <w:instrText xml:space="preserve"> PAGEREF _Toc199452954 \h </w:instrText>
      </w:r>
      <w:r>
        <w:rPr>
          <w:noProof/>
        </w:rPr>
      </w:r>
      <w:r>
        <w:rPr>
          <w:noProof/>
        </w:rPr>
        <w:fldChar w:fldCharType="separate"/>
      </w:r>
      <w:r>
        <w:rPr>
          <w:noProof/>
        </w:rPr>
        <w:t>205</w:t>
      </w:r>
      <w:r>
        <w:rPr>
          <w:noProof/>
        </w:rPr>
        <w:fldChar w:fldCharType="end"/>
      </w:r>
    </w:p>
    <w:p w14:paraId="124F605E" w14:textId="511EEA17" w:rsidR="003F6EFC" w:rsidRDefault="003F6EFC">
      <w:pPr>
        <w:pStyle w:val="TOC5"/>
        <w:rPr>
          <w:rFonts w:asciiTheme="minorHAnsi" w:eastAsiaTheme="minorEastAsia" w:hAnsiTheme="minorHAnsi" w:cstheme="minorBidi"/>
          <w:noProof/>
          <w:kern w:val="2"/>
          <w:sz w:val="21"/>
          <w:szCs w:val="22"/>
          <w:lang w:val="en-US" w:eastAsia="zh-CN"/>
        </w:rPr>
      </w:pPr>
      <w:r>
        <w:rPr>
          <w:noProof/>
        </w:rPr>
        <w:t>5.1.6.2.66</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DnPerformanceReq</w:t>
      </w:r>
      <w:r>
        <w:rPr>
          <w:noProof/>
        </w:rPr>
        <w:tab/>
      </w:r>
      <w:r>
        <w:rPr>
          <w:noProof/>
        </w:rPr>
        <w:fldChar w:fldCharType="begin"/>
      </w:r>
      <w:r>
        <w:rPr>
          <w:noProof/>
        </w:rPr>
        <w:instrText xml:space="preserve"> PAGEREF _Toc199452955 \h </w:instrText>
      </w:r>
      <w:r>
        <w:rPr>
          <w:noProof/>
        </w:rPr>
      </w:r>
      <w:r>
        <w:rPr>
          <w:noProof/>
        </w:rPr>
        <w:fldChar w:fldCharType="separate"/>
      </w:r>
      <w:r>
        <w:rPr>
          <w:noProof/>
        </w:rPr>
        <w:t>205</w:t>
      </w:r>
      <w:r>
        <w:rPr>
          <w:noProof/>
        </w:rPr>
        <w:fldChar w:fldCharType="end"/>
      </w:r>
    </w:p>
    <w:p w14:paraId="0A30BA09" w14:textId="75960977" w:rsidR="003F6EFC" w:rsidRDefault="003F6EFC">
      <w:pPr>
        <w:pStyle w:val="TOC5"/>
        <w:rPr>
          <w:rFonts w:asciiTheme="minorHAnsi" w:eastAsiaTheme="minorEastAsia" w:hAnsiTheme="minorHAnsi" w:cstheme="minorBidi"/>
          <w:noProof/>
          <w:kern w:val="2"/>
          <w:sz w:val="21"/>
          <w:szCs w:val="22"/>
          <w:lang w:val="en-US" w:eastAsia="zh-CN"/>
        </w:rPr>
      </w:pPr>
      <w:r>
        <w:rPr>
          <w:noProof/>
        </w:rPr>
        <w:t>5.1.6.2.67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RatFreqInformation</w:t>
      </w:r>
      <w:r>
        <w:rPr>
          <w:noProof/>
        </w:rPr>
        <w:tab/>
      </w:r>
      <w:r>
        <w:rPr>
          <w:noProof/>
        </w:rPr>
        <w:fldChar w:fldCharType="begin"/>
      </w:r>
      <w:r>
        <w:rPr>
          <w:noProof/>
        </w:rPr>
        <w:instrText xml:space="preserve"> PAGEREF _Toc199452956 \h </w:instrText>
      </w:r>
      <w:r>
        <w:rPr>
          <w:noProof/>
        </w:rPr>
      </w:r>
      <w:r>
        <w:rPr>
          <w:noProof/>
        </w:rPr>
        <w:fldChar w:fldCharType="separate"/>
      </w:r>
      <w:r>
        <w:rPr>
          <w:noProof/>
        </w:rPr>
        <w:t>206</w:t>
      </w:r>
      <w:r>
        <w:rPr>
          <w:noProof/>
        </w:rPr>
        <w:fldChar w:fldCharType="end"/>
      </w:r>
    </w:p>
    <w:p w14:paraId="0A5DB47A" w14:textId="4B972A43" w:rsidR="003F6EFC" w:rsidRDefault="003F6EFC">
      <w:pPr>
        <w:pStyle w:val="TOC5"/>
        <w:rPr>
          <w:rFonts w:asciiTheme="minorHAnsi" w:eastAsiaTheme="minorEastAsia" w:hAnsiTheme="minorHAnsi" w:cstheme="minorBidi"/>
          <w:noProof/>
          <w:kern w:val="2"/>
          <w:sz w:val="21"/>
          <w:szCs w:val="22"/>
          <w:lang w:val="en-US" w:eastAsia="zh-CN"/>
        </w:rPr>
      </w:pPr>
      <w:r>
        <w:rPr>
          <w:noProof/>
        </w:rPr>
        <w:t>5.1.6.2.68</w:t>
      </w:r>
      <w:r>
        <w:rPr>
          <w:rFonts w:asciiTheme="minorHAnsi" w:eastAsiaTheme="minorEastAsia" w:hAnsiTheme="minorHAnsi" w:cstheme="minorBidi"/>
          <w:noProof/>
          <w:kern w:val="2"/>
          <w:sz w:val="21"/>
          <w:szCs w:val="22"/>
          <w:lang w:val="en-US" w:eastAsia="zh-CN"/>
        </w:rPr>
        <w:tab/>
      </w:r>
      <w:r>
        <w:rPr>
          <w:noProof/>
        </w:rPr>
        <w:t>Type PrevSubInfo</w:t>
      </w:r>
      <w:r>
        <w:rPr>
          <w:noProof/>
        </w:rPr>
        <w:tab/>
      </w:r>
      <w:r>
        <w:rPr>
          <w:noProof/>
        </w:rPr>
        <w:fldChar w:fldCharType="begin"/>
      </w:r>
      <w:r>
        <w:rPr>
          <w:noProof/>
        </w:rPr>
        <w:instrText xml:space="preserve"> PAGEREF _Toc199452957 \h </w:instrText>
      </w:r>
      <w:r>
        <w:rPr>
          <w:noProof/>
        </w:rPr>
      </w:r>
      <w:r>
        <w:rPr>
          <w:noProof/>
        </w:rPr>
        <w:fldChar w:fldCharType="separate"/>
      </w:r>
      <w:r>
        <w:rPr>
          <w:noProof/>
        </w:rPr>
        <w:t>206</w:t>
      </w:r>
      <w:r>
        <w:rPr>
          <w:noProof/>
        </w:rPr>
        <w:fldChar w:fldCharType="end"/>
      </w:r>
    </w:p>
    <w:p w14:paraId="47E1718E" w14:textId="580226D7" w:rsidR="003F6EFC" w:rsidRDefault="003F6EFC">
      <w:pPr>
        <w:pStyle w:val="TOC5"/>
        <w:rPr>
          <w:rFonts w:asciiTheme="minorHAnsi" w:eastAsiaTheme="minorEastAsia" w:hAnsiTheme="minorHAnsi" w:cstheme="minorBidi"/>
          <w:noProof/>
          <w:kern w:val="2"/>
          <w:sz w:val="21"/>
          <w:szCs w:val="22"/>
          <w:lang w:val="en-US" w:eastAsia="zh-CN"/>
        </w:rPr>
      </w:pPr>
      <w:r>
        <w:rPr>
          <w:noProof/>
        </w:rPr>
        <w:t>5.1.6.2.69</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MLModelInfo</w:t>
      </w:r>
      <w:r>
        <w:rPr>
          <w:noProof/>
        </w:rPr>
        <w:tab/>
      </w:r>
      <w:r>
        <w:rPr>
          <w:noProof/>
        </w:rPr>
        <w:fldChar w:fldCharType="begin"/>
      </w:r>
      <w:r>
        <w:rPr>
          <w:noProof/>
        </w:rPr>
        <w:instrText xml:space="preserve"> PAGEREF _Toc199452958 \h </w:instrText>
      </w:r>
      <w:r>
        <w:rPr>
          <w:noProof/>
        </w:rPr>
      </w:r>
      <w:r>
        <w:rPr>
          <w:noProof/>
        </w:rPr>
        <w:fldChar w:fldCharType="separate"/>
      </w:r>
      <w:r>
        <w:rPr>
          <w:noProof/>
        </w:rPr>
        <w:t>207</w:t>
      </w:r>
      <w:r>
        <w:rPr>
          <w:noProof/>
        </w:rPr>
        <w:fldChar w:fldCharType="end"/>
      </w:r>
    </w:p>
    <w:p w14:paraId="2ECE2822" w14:textId="1DCC8658" w:rsidR="003F6EFC" w:rsidRDefault="003F6EFC">
      <w:pPr>
        <w:pStyle w:val="TOC5"/>
        <w:rPr>
          <w:rFonts w:asciiTheme="minorHAnsi" w:eastAsiaTheme="minorEastAsia" w:hAnsiTheme="minorHAnsi" w:cstheme="minorBidi"/>
          <w:noProof/>
          <w:kern w:val="2"/>
          <w:sz w:val="21"/>
          <w:szCs w:val="22"/>
          <w:lang w:val="en-US" w:eastAsia="zh-CN"/>
        </w:rPr>
      </w:pPr>
      <w:r>
        <w:rPr>
          <w:noProof/>
        </w:rPr>
        <w:t>5.1.6.2.70</w:t>
      </w:r>
      <w:r>
        <w:rPr>
          <w:rFonts w:asciiTheme="minorHAnsi" w:eastAsiaTheme="minorEastAsia" w:hAnsiTheme="minorHAnsi" w:cstheme="minorBidi"/>
          <w:noProof/>
          <w:kern w:val="2"/>
          <w:sz w:val="21"/>
          <w:szCs w:val="22"/>
          <w:lang w:val="en-US" w:eastAsia="zh-CN"/>
        </w:rPr>
        <w:tab/>
      </w:r>
      <w:r>
        <w:rPr>
          <w:noProof/>
        </w:rPr>
        <w:t>Type ObservedRedundantTransExp</w:t>
      </w:r>
      <w:r>
        <w:rPr>
          <w:noProof/>
        </w:rPr>
        <w:tab/>
      </w:r>
      <w:r>
        <w:rPr>
          <w:noProof/>
        </w:rPr>
        <w:fldChar w:fldCharType="begin"/>
      </w:r>
      <w:r>
        <w:rPr>
          <w:noProof/>
        </w:rPr>
        <w:instrText xml:space="preserve"> PAGEREF _Toc199452959 \h </w:instrText>
      </w:r>
      <w:r>
        <w:rPr>
          <w:noProof/>
        </w:rPr>
      </w:r>
      <w:r>
        <w:rPr>
          <w:noProof/>
        </w:rPr>
        <w:fldChar w:fldCharType="separate"/>
      </w:r>
      <w:r>
        <w:rPr>
          <w:noProof/>
        </w:rPr>
        <w:t>208</w:t>
      </w:r>
      <w:r>
        <w:rPr>
          <w:noProof/>
        </w:rPr>
        <w:fldChar w:fldCharType="end"/>
      </w:r>
    </w:p>
    <w:p w14:paraId="35E66822" w14:textId="57F24C3F" w:rsidR="003F6EFC" w:rsidRDefault="003F6EFC">
      <w:pPr>
        <w:pStyle w:val="TOC5"/>
        <w:rPr>
          <w:rFonts w:asciiTheme="minorHAnsi" w:eastAsiaTheme="minorEastAsia" w:hAnsiTheme="minorHAnsi" w:cstheme="minorBidi"/>
          <w:noProof/>
          <w:kern w:val="2"/>
          <w:sz w:val="21"/>
          <w:szCs w:val="22"/>
          <w:lang w:val="en-US" w:eastAsia="zh-CN"/>
        </w:rPr>
      </w:pPr>
      <w:r>
        <w:rPr>
          <w:noProof/>
        </w:rPr>
        <w:t>5.1.6.2.71</w:t>
      </w:r>
      <w:r>
        <w:rPr>
          <w:rFonts w:asciiTheme="minorHAnsi" w:eastAsiaTheme="minorEastAsia" w:hAnsiTheme="minorHAnsi" w:cstheme="minorBidi"/>
          <w:noProof/>
          <w:kern w:val="2"/>
          <w:sz w:val="21"/>
          <w:szCs w:val="22"/>
          <w:lang w:val="en-US" w:eastAsia="zh-CN"/>
        </w:rPr>
        <w:tab/>
      </w:r>
      <w:r>
        <w:rPr>
          <w:noProof/>
        </w:rPr>
        <w:t>Type UeMobilityReq</w:t>
      </w:r>
      <w:r>
        <w:rPr>
          <w:noProof/>
        </w:rPr>
        <w:tab/>
      </w:r>
      <w:r>
        <w:rPr>
          <w:noProof/>
        </w:rPr>
        <w:fldChar w:fldCharType="begin"/>
      </w:r>
      <w:r>
        <w:rPr>
          <w:noProof/>
        </w:rPr>
        <w:instrText xml:space="preserve"> PAGEREF _Toc199452960 \h </w:instrText>
      </w:r>
      <w:r>
        <w:rPr>
          <w:noProof/>
        </w:rPr>
      </w:r>
      <w:r>
        <w:rPr>
          <w:noProof/>
        </w:rPr>
        <w:fldChar w:fldCharType="separate"/>
      </w:r>
      <w:r>
        <w:rPr>
          <w:noProof/>
        </w:rPr>
        <w:t>211</w:t>
      </w:r>
      <w:r>
        <w:rPr>
          <w:noProof/>
        </w:rPr>
        <w:fldChar w:fldCharType="end"/>
      </w:r>
    </w:p>
    <w:p w14:paraId="6335BAA3" w14:textId="3298102C" w:rsidR="003F6EFC" w:rsidRDefault="003F6EFC">
      <w:pPr>
        <w:pStyle w:val="TOC5"/>
        <w:rPr>
          <w:rFonts w:asciiTheme="minorHAnsi" w:eastAsiaTheme="minorEastAsia" w:hAnsiTheme="minorHAnsi" w:cstheme="minorBidi"/>
          <w:noProof/>
          <w:kern w:val="2"/>
          <w:sz w:val="21"/>
          <w:szCs w:val="22"/>
          <w:lang w:val="en-US" w:eastAsia="zh-CN"/>
        </w:rPr>
      </w:pPr>
      <w:r>
        <w:rPr>
          <w:noProof/>
        </w:rPr>
        <w:t>5.1.6.2.72</w:t>
      </w:r>
      <w:r>
        <w:rPr>
          <w:rFonts w:asciiTheme="minorHAnsi" w:eastAsiaTheme="minorEastAsia" w:hAnsiTheme="minorHAnsi" w:cstheme="minorBidi"/>
          <w:noProof/>
          <w:kern w:val="2"/>
          <w:sz w:val="21"/>
          <w:szCs w:val="22"/>
          <w:lang w:val="en-US" w:eastAsia="zh-CN"/>
        </w:rPr>
        <w:tab/>
      </w:r>
      <w:r>
        <w:rPr>
          <w:noProof/>
        </w:rPr>
        <w:t>Type UeCommReq</w:t>
      </w:r>
      <w:r>
        <w:rPr>
          <w:noProof/>
        </w:rPr>
        <w:tab/>
      </w:r>
      <w:r>
        <w:rPr>
          <w:noProof/>
        </w:rPr>
        <w:fldChar w:fldCharType="begin"/>
      </w:r>
      <w:r>
        <w:rPr>
          <w:noProof/>
        </w:rPr>
        <w:instrText xml:space="preserve"> PAGEREF _Toc199452961 \h </w:instrText>
      </w:r>
      <w:r>
        <w:rPr>
          <w:noProof/>
        </w:rPr>
      </w:r>
      <w:r>
        <w:rPr>
          <w:noProof/>
        </w:rPr>
        <w:fldChar w:fldCharType="separate"/>
      </w:r>
      <w:r>
        <w:rPr>
          <w:noProof/>
        </w:rPr>
        <w:t>211</w:t>
      </w:r>
      <w:r>
        <w:rPr>
          <w:noProof/>
        </w:rPr>
        <w:fldChar w:fldCharType="end"/>
      </w:r>
    </w:p>
    <w:p w14:paraId="1F45FAB3" w14:textId="17CB83BE" w:rsidR="003F6EFC" w:rsidRDefault="003F6EFC">
      <w:pPr>
        <w:pStyle w:val="TOC5"/>
        <w:rPr>
          <w:rFonts w:asciiTheme="minorHAnsi" w:eastAsiaTheme="minorEastAsia" w:hAnsiTheme="minorHAnsi" w:cstheme="minorBidi"/>
          <w:noProof/>
          <w:kern w:val="2"/>
          <w:sz w:val="21"/>
          <w:szCs w:val="22"/>
          <w:lang w:val="en-US" w:eastAsia="zh-CN"/>
        </w:rPr>
      </w:pPr>
      <w:r>
        <w:rPr>
          <w:noProof/>
        </w:rPr>
        <w:t>5.1.6.2.73</w:t>
      </w:r>
      <w:r>
        <w:rPr>
          <w:rFonts w:asciiTheme="minorHAnsi" w:eastAsiaTheme="minorEastAsia" w:hAnsiTheme="minorHAnsi" w:cstheme="minorBidi"/>
          <w:noProof/>
          <w:kern w:val="2"/>
          <w:sz w:val="21"/>
          <w:szCs w:val="22"/>
          <w:lang w:val="en-US" w:eastAsia="zh-CN"/>
        </w:rPr>
        <w:tab/>
      </w:r>
      <w:r>
        <w:rPr>
          <w:noProof/>
        </w:rPr>
        <w:t>Type PfdDeterminationInfo</w:t>
      </w:r>
      <w:r>
        <w:rPr>
          <w:noProof/>
        </w:rPr>
        <w:tab/>
      </w:r>
      <w:r>
        <w:rPr>
          <w:noProof/>
        </w:rPr>
        <w:fldChar w:fldCharType="begin"/>
      </w:r>
      <w:r>
        <w:rPr>
          <w:noProof/>
        </w:rPr>
        <w:instrText xml:space="preserve"> PAGEREF _Toc199452962 \h </w:instrText>
      </w:r>
      <w:r>
        <w:rPr>
          <w:noProof/>
        </w:rPr>
      </w:r>
      <w:r>
        <w:rPr>
          <w:noProof/>
        </w:rPr>
        <w:fldChar w:fldCharType="separate"/>
      </w:r>
      <w:r>
        <w:rPr>
          <w:noProof/>
        </w:rPr>
        <w:t>211</w:t>
      </w:r>
      <w:r>
        <w:rPr>
          <w:noProof/>
        </w:rPr>
        <w:fldChar w:fldCharType="end"/>
      </w:r>
    </w:p>
    <w:p w14:paraId="5AAF65B0" w14:textId="24B0855A"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5.1.6.2.74</w:t>
      </w:r>
      <w:r>
        <w:rPr>
          <w:rFonts w:asciiTheme="minorHAnsi" w:eastAsiaTheme="minorEastAsia" w:hAnsiTheme="minorHAnsi" w:cstheme="minorBidi"/>
          <w:noProof/>
          <w:kern w:val="2"/>
          <w:sz w:val="21"/>
          <w:szCs w:val="22"/>
          <w:lang w:val="en-US" w:eastAsia="zh-CN"/>
        </w:rPr>
        <w:tab/>
      </w:r>
      <w:r>
        <w:rPr>
          <w:noProof/>
        </w:rPr>
        <w:t>Type PduSessionInfo</w:t>
      </w:r>
      <w:r>
        <w:rPr>
          <w:noProof/>
        </w:rPr>
        <w:tab/>
      </w:r>
      <w:r>
        <w:rPr>
          <w:noProof/>
        </w:rPr>
        <w:fldChar w:fldCharType="begin"/>
      </w:r>
      <w:r>
        <w:rPr>
          <w:noProof/>
        </w:rPr>
        <w:instrText xml:space="preserve"> PAGEREF _Toc199452963 \h </w:instrText>
      </w:r>
      <w:r>
        <w:rPr>
          <w:noProof/>
        </w:rPr>
      </w:r>
      <w:r>
        <w:rPr>
          <w:noProof/>
        </w:rPr>
        <w:fldChar w:fldCharType="separate"/>
      </w:r>
      <w:r>
        <w:rPr>
          <w:noProof/>
        </w:rPr>
        <w:t>212</w:t>
      </w:r>
      <w:r>
        <w:rPr>
          <w:noProof/>
        </w:rPr>
        <w:fldChar w:fldCharType="end"/>
      </w:r>
    </w:p>
    <w:p w14:paraId="15DD07C7" w14:textId="6FF96C39" w:rsidR="003F6EFC" w:rsidRDefault="003F6EFC">
      <w:pPr>
        <w:pStyle w:val="TOC5"/>
        <w:rPr>
          <w:rFonts w:asciiTheme="minorHAnsi" w:eastAsiaTheme="minorEastAsia" w:hAnsiTheme="minorHAnsi" w:cstheme="minorBidi"/>
          <w:noProof/>
          <w:kern w:val="2"/>
          <w:sz w:val="21"/>
          <w:szCs w:val="22"/>
          <w:lang w:val="en-US" w:eastAsia="zh-CN"/>
        </w:rPr>
      </w:pPr>
      <w:r>
        <w:rPr>
          <w:noProof/>
        </w:rPr>
        <w:t>5.1.6.2.75</w:t>
      </w:r>
      <w:r>
        <w:rPr>
          <w:rFonts w:asciiTheme="minorHAnsi" w:eastAsiaTheme="minorEastAsia" w:hAnsiTheme="minorHAnsi" w:cstheme="minorBidi"/>
          <w:noProof/>
          <w:kern w:val="2"/>
          <w:sz w:val="21"/>
          <w:szCs w:val="22"/>
          <w:lang w:val="en-US" w:eastAsia="zh-CN"/>
        </w:rPr>
        <w:tab/>
      </w:r>
      <w:r>
        <w:rPr>
          <w:noProof/>
        </w:rPr>
        <w:t>Type DirectionInfo</w:t>
      </w:r>
      <w:r>
        <w:rPr>
          <w:noProof/>
        </w:rPr>
        <w:tab/>
      </w:r>
      <w:r>
        <w:rPr>
          <w:noProof/>
        </w:rPr>
        <w:fldChar w:fldCharType="begin"/>
      </w:r>
      <w:r>
        <w:rPr>
          <w:noProof/>
        </w:rPr>
        <w:instrText xml:space="preserve"> PAGEREF _Toc199452964 \h </w:instrText>
      </w:r>
      <w:r>
        <w:rPr>
          <w:noProof/>
        </w:rPr>
      </w:r>
      <w:r>
        <w:rPr>
          <w:noProof/>
        </w:rPr>
        <w:fldChar w:fldCharType="separate"/>
      </w:r>
      <w:r>
        <w:rPr>
          <w:noProof/>
        </w:rPr>
        <w:t>212</w:t>
      </w:r>
      <w:r>
        <w:rPr>
          <w:noProof/>
        </w:rPr>
        <w:fldChar w:fldCharType="end"/>
      </w:r>
    </w:p>
    <w:p w14:paraId="5B8013EA" w14:textId="1D49C89F" w:rsidR="003F6EFC" w:rsidRDefault="003F6EFC">
      <w:pPr>
        <w:pStyle w:val="TOC5"/>
        <w:rPr>
          <w:rFonts w:asciiTheme="minorHAnsi" w:eastAsiaTheme="minorEastAsia" w:hAnsiTheme="minorHAnsi" w:cstheme="minorBidi"/>
          <w:noProof/>
          <w:kern w:val="2"/>
          <w:sz w:val="21"/>
          <w:szCs w:val="22"/>
          <w:lang w:val="en-US" w:eastAsia="zh-CN"/>
        </w:rPr>
      </w:pPr>
      <w:r>
        <w:rPr>
          <w:noProof/>
        </w:rPr>
        <w:t>5.1.6.2.76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GeoDistributionInfo</w:t>
      </w:r>
      <w:r>
        <w:rPr>
          <w:noProof/>
        </w:rPr>
        <w:tab/>
      </w:r>
      <w:r>
        <w:rPr>
          <w:noProof/>
        </w:rPr>
        <w:fldChar w:fldCharType="begin"/>
      </w:r>
      <w:r>
        <w:rPr>
          <w:noProof/>
        </w:rPr>
        <w:instrText xml:space="preserve"> PAGEREF _Toc199452965 \h </w:instrText>
      </w:r>
      <w:r>
        <w:rPr>
          <w:noProof/>
        </w:rPr>
      </w:r>
      <w:r>
        <w:rPr>
          <w:noProof/>
        </w:rPr>
        <w:fldChar w:fldCharType="separate"/>
      </w:r>
      <w:r>
        <w:rPr>
          <w:noProof/>
        </w:rPr>
        <w:t>212</w:t>
      </w:r>
      <w:r>
        <w:rPr>
          <w:noProof/>
        </w:rPr>
        <w:fldChar w:fldCharType="end"/>
      </w:r>
    </w:p>
    <w:p w14:paraId="5B88E1CE" w14:textId="2DE8316D" w:rsidR="003F6EFC" w:rsidRDefault="003F6EFC">
      <w:pPr>
        <w:pStyle w:val="TOC5"/>
        <w:rPr>
          <w:rFonts w:asciiTheme="minorHAnsi" w:eastAsiaTheme="minorEastAsia" w:hAnsiTheme="minorHAnsi" w:cstheme="minorBidi"/>
          <w:noProof/>
          <w:kern w:val="2"/>
          <w:sz w:val="21"/>
          <w:szCs w:val="22"/>
          <w:lang w:val="en-US" w:eastAsia="zh-CN"/>
        </w:rPr>
      </w:pPr>
      <w:r>
        <w:rPr>
          <w:noProof/>
        </w:rPr>
        <w:t>5.1.6.2.77</w:t>
      </w:r>
      <w:r>
        <w:rPr>
          <w:rFonts w:asciiTheme="minorHAnsi" w:eastAsiaTheme="minorEastAsia" w:hAnsiTheme="minorHAnsi" w:cstheme="minorBidi"/>
          <w:noProof/>
          <w:kern w:val="2"/>
          <w:sz w:val="21"/>
          <w:szCs w:val="22"/>
          <w:lang w:val="en-US" w:eastAsia="zh-CN"/>
        </w:rPr>
        <w:tab/>
      </w:r>
      <w:r>
        <w:rPr>
          <w:noProof/>
        </w:rPr>
        <w:t>Type PduSesTrafficInfo</w:t>
      </w:r>
      <w:r>
        <w:rPr>
          <w:noProof/>
        </w:rPr>
        <w:tab/>
      </w:r>
      <w:r>
        <w:rPr>
          <w:noProof/>
        </w:rPr>
        <w:fldChar w:fldCharType="begin"/>
      </w:r>
      <w:r>
        <w:rPr>
          <w:noProof/>
        </w:rPr>
        <w:instrText xml:space="preserve"> PAGEREF _Toc199452966 \h </w:instrText>
      </w:r>
      <w:r>
        <w:rPr>
          <w:noProof/>
        </w:rPr>
      </w:r>
      <w:r>
        <w:rPr>
          <w:noProof/>
        </w:rPr>
        <w:fldChar w:fldCharType="separate"/>
      </w:r>
      <w:r>
        <w:rPr>
          <w:noProof/>
        </w:rPr>
        <w:t>213</w:t>
      </w:r>
      <w:r>
        <w:rPr>
          <w:noProof/>
        </w:rPr>
        <w:fldChar w:fldCharType="end"/>
      </w:r>
    </w:p>
    <w:p w14:paraId="2D4B87F5" w14:textId="3E42EB0A" w:rsidR="003F6EFC" w:rsidRDefault="003F6EFC">
      <w:pPr>
        <w:pStyle w:val="TOC5"/>
        <w:rPr>
          <w:rFonts w:asciiTheme="minorHAnsi" w:eastAsiaTheme="minorEastAsia" w:hAnsiTheme="minorHAnsi" w:cstheme="minorBidi"/>
          <w:noProof/>
          <w:kern w:val="2"/>
          <w:sz w:val="21"/>
          <w:szCs w:val="22"/>
          <w:lang w:val="en-US" w:eastAsia="zh-CN"/>
        </w:rPr>
      </w:pPr>
      <w:r>
        <w:rPr>
          <w:noProof/>
        </w:rPr>
        <w:t>5.1.6.2.78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TdTraffic</w:t>
      </w:r>
      <w:r>
        <w:rPr>
          <w:noProof/>
        </w:rPr>
        <w:tab/>
      </w:r>
      <w:r>
        <w:rPr>
          <w:noProof/>
        </w:rPr>
        <w:fldChar w:fldCharType="begin"/>
      </w:r>
      <w:r>
        <w:rPr>
          <w:noProof/>
        </w:rPr>
        <w:instrText xml:space="preserve"> PAGEREF _Toc199452967 \h </w:instrText>
      </w:r>
      <w:r>
        <w:rPr>
          <w:noProof/>
        </w:rPr>
      </w:r>
      <w:r>
        <w:rPr>
          <w:noProof/>
        </w:rPr>
        <w:fldChar w:fldCharType="separate"/>
      </w:r>
      <w:r>
        <w:rPr>
          <w:noProof/>
        </w:rPr>
        <w:t>213</w:t>
      </w:r>
      <w:r>
        <w:rPr>
          <w:noProof/>
        </w:rPr>
        <w:fldChar w:fldCharType="end"/>
      </w:r>
    </w:p>
    <w:p w14:paraId="45AB9FF7" w14:textId="5AED8F00" w:rsidR="003F6EFC" w:rsidRDefault="003F6EFC">
      <w:pPr>
        <w:pStyle w:val="TOC5"/>
        <w:rPr>
          <w:rFonts w:asciiTheme="minorHAnsi" w:eastAsiaTheme="minorEastAsia" w:hAnsiTheme="minorHAnsi" w:cstheme="minorBidi"/>
          <w:noProof/>
          <w:kern w:val="2"/>
          <w:sz w:val="21"/>
          <w:szCs w:val="22"/>
          <w:lang w:val="en-US" w:eastAsia="zh-CN"/>
        </w:rPr>
      </w:pPr>
      <w:r>
        <w:rPr>
          <w:noProof/>
        </w:rPr>
        <w:t>5.1.6.2.79</w:t>
      </w:r>
      <w:r>
        <w:rPr>
          <w:rFonts w:asciiTheme="minorHAnsi" w:eastAsiaTheme="minorEastAsia" w:hAnsiTheme="minorHAnsi" w:cstheme="minorBidi"/>
          <w:noProof/>
          <w:kern w:val="2"/>
          <w:sz w:val="21"/>
          <w:szCs w:val="22"/>
          <w:lang w:val="en-US" w:eastAsia="zh-CN"/>
        </w:rPr>
        <w:tab/>
      </w:r>
      <w:r>
        <w:rPr>
          <w:noProof/>
        </w:rPr>
        <w:t>Type PduSesTrafficReq</w:t>
      </w:r>
      <w:r>
        <w:rPr>
          <w:noProof/>
        </w:rPr>
        <w:tab/>
      </w:r>
      <w:r>
        <w:rPr>
          <w:noProof/>
        </w:rPr>
        <w:fldChar w:fldCharType="begin"/>
      </w:r>
      <w:r>
        <w:rPr>
          <w:noProof/>
        </w:rPr>
        <w:instrText xml:space="preserve"> PAGEREF _Toc199452968 \h </w:instrText>
      </w:r>
      <w:r>
        <w:rPr>
          <w:noProof/>
        </w:rPr>
      </w:r>
      <w:r>
        <w:rPr>
          <w:noProof/>
        </w:rPr>
        <w:fldChar w:fldCharType="separate"/>
      </w:r>
      <w:r>
        <w:rPr>
          <w:noProof/>
        </w:rPr>
        <w:t>214</w:t>
      </w:r>
      <w:r>
        <w:rPr>
          <w:noProof/>
        </w:rPr>
        <w:fldChar w:fldCharType="end"/>
      </w:r>
    </w:p>
    <w:p w14:paraId="64249807" w14:textId="30B1F644" w:rsidR="003F6EFC" w:rsidRDefault="003F6EFC">
      <w:pPr>
        <w:pStyle w:val="TOC5"/>
        <w:rPr>
          <w:rFonts w:asciiTheme="minorHAnsi" w:eastAsiaTheme="minorEastAsia" w:hAnsiTheme="minorHAnsi" w:cstheme="minorBidi"/>
          <w:noProof/>
          <w:kern w:val="2"/>
          <w:sz w:val="21"/>
          <w:szCs w:val="22"/>
          <w:lang w:val="en-US" w:eastAsia="zh-CN"/>
        </w:rPr>
      </w:pPr>
      <w:r>
        <w:rPr>
          <w:noProof/>
        </w:rPr>
        <w:t>5.1.6.2.80</w:t>
      </w:r>
      <w:r>
        <w:rPr>
          <w:rFonts w:asciiTheme="minorHAnsi" w:eastAsiaTheme="minorEastAsia" w:hAnsiTheme="minorHAnsi" w:cstheme="minorBidi"/>
          <w:noProof/>
          <w:kern w:val="2"/>
          <w:sz w:val="21"/>
          <w:szCs w:val="22"/>
          <w:lang w:val="en-US" w:eastAsia="zh-CN"/>
        </w:rPr>
        <w:tab/>
      </w:r>
      <w:r>
        <w:rPr>
          <w:noProof/>
        </w:rPr>
        <w:t>Type WlanPerUeIdPerformanceInfo</w:t>
      </w:r>
      <w:r>
        <w:rPr>
          <w:noProof/>
        </w:rPr>
        <w:tab/>
      </w:r>
      <w:r>
        <w:rPr>
          <w:noProof/>
        </w:rPr>
        <w:fldChar w:fldCharType="begin"/>
      </w:r>
      <w:r>
        <w:rPr>
          <w:noProof/>
        </w:rPr>
        <w:instrText xml:space="preserve"> PAGEREF _Toc199452969 \h </w:instrText>
      </w:r>
      <w:r>
        <w:rPr>
          <w:noProof/>
        </w:rPr>
      </w:r>
      <w:r>
        <w:rPr>
          <w:noProof/>
        </w:rPr>
        <w:fldChar w:fldCharType="separate"/>
      </w:r>
      <w:r>
        <w:rPr>
          <w:noProof/>
        </w:rPr>
        <w:t>214</w:t>
      </w:r>
      <w:r>
        <w:rPr>
          <w:noProof/>
        </w:rPr>
        <w:fldChar w:fldCharType="end"/>
      </w:r>
    </w:p>
    <w:p w14:paraId="6AE92174" w14:textId="76829BD7" w:rsidR="003F6EFC" w:rsidRDefault="003F6EFC">
      <w:pPr>
        <w:pStyle w:val="TOC5"/>
        <w:rPr>
          <w:rFonts w:asciiTheme="minorHAnsi" w:eastAsiaTheme="minorEastAsia" w:hAnsiTheme="minorHAnsi" w:cstheme="minorBidi"/>
          <w:noProof/>
          <w:kern w:val="2"/>
          <w:sz w:val="21"/>
          <w:szCs w:val="22"/>
          <w:lang w:val="en-US" w:eastAsia="zh-CN"/>
        </w:rPr>
      </w:pPr>
      <w:r>
        <w:rPr>
          <w:noProof/>
        </w:rPr>
        <w:t>5.1.6.2.81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ResourceUsageRequirement</w:t>
      </w:r>
      <w:r>
        <w:rPr>
          <w:noProof/>
        </w:rPr>
        <w:tab/>
      </w:r>
      <w:r>
        <w:rPr>
          <w:noProof/>
        </w:rPr>
        <w:fldChar w:fldCharType="begin"/>
      </w:r>
      <w:r>
        <w:rPr>
          <w:noProof/>
        </w:rPr>
        <w:instrText xml:space="preserve"> PAGEREF _Toc199452970 \h </w:instrText>
      </w:r>
      <w:r>
        <w:rPr>
          <w:noProof/>
        </w:rPr>
      </w:r>
      <w:r>
        <w:rPr>
          <w:noProof/>
        </w:rPr>
        <w:fldChar w:fldCharType="separate"/>
      </w:r>
      <w:r>
        <w:rPr>
          <w:noProof/>
        </w:rPr>
        <w:t>214</w:t>
      </w:r>
      <w:r>
        <w:rPr>
          <w:noProof/>
        </w:rPr>
        <w:fldChar w:fldCharType="end"/>
      </w:r>
    </w:p>
    <w:p w14:paraId="0CB541F9" w14:textId="3CF9763D" w:rsidR="003F6EFC" w:rsidRDefault="003F6EFC">
      <w:pPr>
        <w:pStyle w:val="TOC5"/>
        <w:rPr>
          <w:rFonts w:asciiTheme="minorHAnsi" w:eastAsiaTheme="minorEastAsia" w:hAnsiTheme="minorHAnsi" w:cstheme="minorBidi"/>
          <w:noProof/>
          <w:kern w:val="2"/>
          <w:sz w:val="21"/>
          <w:szCs w:val="22"/>
          <w:lang w:val="en-US" w:eastAsia="zh-CN"/>
        </w:rPr>
      </w:pPr>
      <w:r>
        <w:rPr>
          <w:noProof/>
        </w:rPr>
        <w:t>5.1.6.2.82</w:t>
      </w:r>
      <w:r>
        <w:rPr>
          <w:rFonts w:asciiTheme="minorHAnsi" w:eastAsiaTheme="minorEastAsia" w:hAnsiTheme="minorHAnsi" w:cstheme="minorBidi"/>
          <w:noProof/>
          <w:kern w:val="2"/>
          <w:sz w:val="21"/>
          <w:szCs w:val="22"/>
          <w:lang w:val="en-US" w:eastAsia="zh-CN"/>
        </w:rPr>
        <w:tab/>
      </w:r>
      <w:r>
        <w:rPr>
          <w:noProof/>
        </w:rPr>
        <w:t xml:space="preserve">Type </w:t>
      </w:r>
      <w:r w:rsidRPr="00D64295">
        <w:rPr>
          <w:bCs/>
          <w:noProof/>
          <w:lang w:eastAsia="zh-CN"/>
        </w:rPr>
        <w:t>E2eDataVolTransTime</w:t>
      </w:r>
      <w:r w:rsidRPr="00D64295">
        <w:rPr>
          <w:rFonts w:eastAsia="等线"/>
          <w:noProof/>
        </w:rPr>
        <w:t>Req</w:t>
      </w:r>
      <w:r>
        <w:rPr>
          <w:noProof/>
        </w:rPr>
        <w:tab/>
      </w:r>
      <w:r>
        <w:rPr>
          <w:noProof/>
        </w:rPr>
        <w:fldChar w:fldCharType="begin"/>
      </w:r>
      <w:r>
        <w:rPr>
          <w:noProof/>
        </w:rPr>
        <w:instrText xml:space="preserve"> PAGEREF _Toc199452971 \h </w:instrText>
      </w:r>
      <w:r>
        <w:rPr>
          <w:noProof/>
        </w:rPr>
      </w:r>
      <w:r>
        <w:rPr>
          <w:noProof/>
        </w:rPr>
        <w:fldChar w:fldCharType="separate"/>
      </w:r>
      <w:r>
        <w:rPr>
          <w:noProof/>
        </w:rPr>
        <w:t>215</w:t>
      </w:r>
      <w:r>
        <w:rPr>
          <w:noProof/>
        </w:rPr>
        <w:fldChar w:fldCharType="end"/>
      </w:r>
    </w:p>
    <w:p w14:paraId="20B0B76A" w14:textId="0DE3C682" w:rsidR="003F6EFC" w:rsidRDefault="003F6EFC">
      <w:pPr>
        <w:pStyle w:val="TOC5"/>
        <w:rPr>
          <w:rFonts w:asciiTheme="minorHAnsi" w:eastAsiaTheme="minorEastAsia" w:hAnsiTheme="minorHAnsi" w:cstheme="minorBidi"/>
          <w:noProof/>
          <w:kern w:val="2"/>
          <w:sz w:val="21"/>
          <w:szCs w:val="22"/>
          <w:lang w:val="en-US" w:eastAsia="zh-CN"/>
        </w:rPr>
      </w:pPr>
      <w:r>
        <w:rPr>
          <w:noProof/>
        </w:rPr>
        <w:t>5.1.6.2.83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E2eDataVolTransTimeInfo</w:t>
      </w:r>
      <w:r>
        <w:rPr>
          <w:noProof/>
        </w:rPr>
        <w:tab/>
      </w:r>
      <w:r>
        <w:rPr>
          <w:noProof/>
        </w:rPr>
        <w:fldChar w:fldCharType="begin"/>
      </w:r>
      <w:r>
        <w:rPr>
          <w:noProof/>
        </w:rPr>
        <w:instrText xml:space="preserve"> PAGEREF _Toc199452972 \h </w:instrText>
      </w:r>
      <w:r>
        <w:rPr>
          <w:noProof/>
        </w:rPr>
      </w:r>
      <w:r>
        <w:rPr>
          <w:noProof/>
        </w:rPr>
        <w:fldChar w:fldCharType="separate"/>
      </w:r>
      <w:r>
        <w:rPr>
          <w:noProof/>
        </w:rPr>
        <w:t>216</w:t>
      </w:r>
      <w:r>
        <w:rPr>
          <w:noProof/>
        </w:rPr>
        <w:fldChar w:fldCharType="end"/>
      </w:r>
    </w:p>
    <w:p w14:paraId="36791BB3" w14:textId="3098895D" w:rsidR="003F6EFC" w:rsidRDefault="003F6EFC">
      <w:pPr>
        <w:pStyle w:val="TOC5"/>
        <w:rPr>
          <w:rFonts w:asciiTheme="minorHAnsi" w:eastAsiaTheme="minorEastAsia" w:hAnsiTheme="minorHAnsi" w:cstheme="minorBidi"/>
          <w:noProof/>
          <w:kern w:val="2"/>
          <w:sz w:val="21"/>
          <w:szCs w:val="22"/>
          <w:lang w:val="en-US" w:eastAsia="zh-CN"/>
        </w:rPr>
      </w:pPr>
      <w:r>
        <w:rPr>
          <w:noProof/>
        </w:rPr>
        <w:t>5.1.6.2.84</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E2eDataVolTransTimePerTS</w:t>
      </w:r>
      <w:r>
        <w:rPr>
          <w:noProof/>
        </w:rPr>
        <w:tab/>
      </w:r>
      <w:r>
        <w:rPr>
          <w:noProof/>
        </w:rPr>
        <w:fldChar w:fldCharType="begin"/>
      </w:r>
      <w:r>
        <w:rPr>
          <w:noProof/>
        </w:rPr>
        <w:instrText xml:space="preserve"> PAGEREF _Toc199452973 \h </w:instrText>
      </w:r>
      <w:r>
        <w:rPr>
          <w:noProof/>
        </w:rPr>
      </w:r>
      <w:r>
        <w:rPr>
          <w:noProof/>
        </w:rPr>
        <w:fldChar w:fldCharType="separate"/>
      </w:r>
      <w:r>
        <w:rPr>
          <w:noProof/>
        </w:rPr>
        <w:t>216</w:t>
      </w:r>
      <w:r>
        <w:rPr>
          <w:noProof/>
        </w:rPr>
        <w:fldChar w:fldCharType="end"/>
      </w:r>
    </w:p>
    <w:p w14:paraId="5F2872B9" w14:textId="49513EA9" w:rsidR="003F6EFC" w:rsidRDefault="003F6EFC">
      <w:pPr>
        <w:pStyle w:val="TOC5"/>
        <w:rPr>
          <w:rFonts w:asciiTheme="minorHAnsi" w:eastAsiaTheme="minorEastAsia" w:hAnsiTheme="minorHAnsi" w:cstheme="minorBidi"/>
          <w:noProof/>
          <w:kern w:val="2"/>
          <w:sz w:val="21"/>
          <w:szCs w:val="22"/>
          <w:lang w:val="en-US" w:eastAsia="zh-CN"/>
        </w:rPr>
      </w:pPr>
      <w:r>
        <w:rPr>
          <w:noProof/>
        </w:rPr>
        <w:t>5.1.6.2.85</w:t>
      </w:r>
      <w:r>
        <w:rPr>
          <w:rFonts w:asciiTheme="minorHAnsi" w:eastAsiaTheme="minorEastAsia" w:hAnsiTheme="minorHAnsi" w:cstheme="minorBidi"/>
          <w:noProof/>
          <w:kern w:val="2"/>
          <w:sz w:val="21"/>
          <w:szCs w:val="22"/>
          <w:lang w:val="en-US" w:eastAsia="zh-CN"/>
        </w:rPr>
        <w:tab/>
      </w:r>
      <w:r>
        <w:rPr>
          <w:noProof/>
        </w:rPr>
        <w:t>Type DataVolume</w:t>
      </w:r>
      <w:r>
        <w:rPr>
          <w:noProof/>
        </w:rPr>
        <w:tab/>
      </w:r>
      <w:r>
        <w:rPr>
          <w:noProof/>
        </w:rPr>
        <w:fldChar w:fldCharType="begin"/>
      </w:r>
      <w:r>
        <w:rPr>
          <w:noProof/>
        </w:rPr>
        <w:instrText xml:space="preserve"> PAGEREF _Toc199452974 \h </w:instrText>
      </w:r>
      <w:r>
        <w:rPr>
          <w:noProof/>
        </w:rPr>
      </w:r>
      <w:r>
        <w:rPr>
          <w:noProof/>
        </w:rPr>
        <w:fldChar w:fldCharType="separate"/>
      </w:r>
      <w:r>
        <w:rPr>
          <w:noProof/>
        </w:rPr>
        <w:t>216</w:t>
      </w:r>
      <w:r>
        <w:rPr>
          <w:noProof/>
        </w:rPr>
        <w:fldChar w:fldCharType="end"/>
      </w:r>
    </w:p>
    <w:p w14:paraId="2DC61519" w14:textId="26E7BCCF" w:rsidR="003F6EFC" w:rsidRDefault="003F6EFC">
      <w:pPr>
        <w:pStyle w:val="TOC5"/>
        <w:rPr>
          <w:rFonts w:asciiTheme="minorHAnsi" w:eastAsiaTheme="minorEastAsia" w:hAnsiTheme="minorHAnsi" w:cstheme="minorBidi"/>
          <w:noProof/>
          <w:kern w:val="2"/>
          <w:sz w:val="21"/>
          <w:szCs w:val="22"/>
          <w:lang w:val="en-US" w:eastAsia="zh-CN"/>
        </w:rPr>
      </w:pPr>
      <w:r>
        <w:rPr>
          <w:noProof/>
        </w:rPr>
        <w:t>5.1.6.2.86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E2eDataVolTransTimePerUe</w:t>
      </w:r>
      <w:r>
        <w:rPr>
          <w:noProof/>
        </w:rPr>
        <w:tab/>
      </w:r>
      <w:r>
        <w:rPr>
          <w:noProof/>
        </w:rPr>
        <w:fldChar w:fldCharType="begin"/>
      </w:r>
      <w:r>
        <w:rPr>
          <w:noProof/>
        </w:rPr>
        <w:instrText xml:space="preserve"> PAGEREF _Toc199452975 \h </w:instrText>
      </w:r>
      <w:r>
        <w:rPr>
          <w:noProof/>
        </w:rPr>
      </w:r>
      <w:r>
        <w:rPr>
          <w:noProof/>
        </w:rPr>
        <w:fldChar w:fldCharType="separate"/>
      </w:r>
      <w:r>
        <w:rPr>
          <w:noProof/>
        </w:rPr>
        <w:t>217</w:t>
      </w:r>
      <w:r>
        <w:rPr>
          <w:noProof/>
        </w:rPr>
        <w:fldChar w:fldCharType="end"/>
      </w:r>
    </w:p>
    <w:p w14:paraId="23243D85" w14:textId="61897F9E" w:rsidR="003F6EFC" w:rsidRDefault="003F6EFC">
      <w:pPr>
        <w:pStyle w:val="TOC5"/>
        <w:rPr>
          <w:rFonts w:asciiTheme="minorHAnsi" w:eastAsiaTheme="minorEastAsia" w:hAnsiTheme="minorHAnsi" w:cstheme="minorBidi"/>
          <w:noProof/>
          <w:kern w:val="2"/>
          <w:sz w:val="21"/>
          <w:szCs w:val="22"/>
          <w:lang w:val="en-US" w:eastAsia="zh-CN"/>
        </w:rPr>
      </w:pPr>
      <w:r>
        <w:rPr>
          <w:noProof/>
        </w:rPr>
        <w:t>5.1.6.2.87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E2eDataVolTransTime</w:t>
      </w:r>
      <w:r>
        <w:rPr>
          <w:noProof/>
        </w:rPr>
        <w:t>UeList</w:t>
      </w:r>
      <w:r>
        <w:rPr>
          <w:noProof/>
        </w:rPr>
        <w:tab/>
      </w:r>
      <w:r>
        <w:rPr>
          <w:noProof/>
        </w:rPr>
        <w:fldChar w:fldCharType="begin"/>
      </w:r>
      <w:r>
        <w:rPr>
          <w:noProof/>
        </w:rPr>
        <w:instrText xml:space="preserve"> PAGEREF _Toc199452976 \h </w:instrText>
      </w:r>
      <w:r>
        <w:rPr>
          <w:noProof/>
        </w:rPr>
      </w:r>
      <w:r>
        <w:rPr>
          <w:noProof/>
        </w:rPr>
        <w:fldChar w:fldCharType="separate"/>
      </w:r>
      <w:r>
        <w:rPr>
          <w:noProof/>
        </w:rPr>
        <w:t>218</w:t>
      </w:r>
      <w:r>
        <w:rPr>
          <w:noProof/>
        </w:rPr>
        <w:fldChar w:fldCharType="end"/>
      </w:r>
    </w:p>
    <w:p w14:paraId="4058DE33" w14:textId="751D2056" w:rsidR="003F6EFC" w:rsidRDefault="003F6EFC">
      <w:pPr>
        <w:pStyle w:val="TOC5"/>
        <w:rPr>
          <w:rFonts w:asciiTheme="minorHAnsi" w:eastAsiaTheme="minorEastAsia" w:hAnsiTheme="minorHAnsi" w:cstheme="minorBidi"/>
          <w:noProof/>
          <w:kern w:val="2"/>
          <w:sz w:val="21"/>
          <w:szCs w:val="22"/>
          <w:lang w:val="en-US" w:eastAsia="zh-CN"/>
        </w:rPr>
      </w:pPr>
      <w:r>
        <w:rPr>
          <w:noProof/>
        </w:rPr>
        <w:t>5.1.6.2.88</w:t>
      </w:r>
      <w:r>
        <w:rPr>
          <w:rFonts w:asciiTheme="minorHAnsi" w:eastAsiaTheme="minorEastAsia" w:hAnsiTheme="minorHAnsi" w:cstheme="minorBidi"/>
          <w:noProof/>
          <w:kern w:val="2"/>
          <w:sz w:val="21"/>
          <w:szCs w:val="22"/>
          <w:lang w:val="en-US" w:eastAsia="zh-CN"/>
        </w:rPr>
        <w:tab/>
      </w:r>
      <w:r>
        <w:rPr>
          <w:noProof/>
        </w:rPr>
        <w:t>Type AccuracyReq</w:t>
      </w:r>
      <w:r>
        <w:rPr>
          <w:noProof/>
        </w:rPr>
        <w:tab/>
      </w:r>
      <w:r>
        <w:rPr>
          <w:noProof/>
        </w:rPr>
        <w:fldChar w:fldCharType="begin"/>
      </w:r>
      <w:r>
        <w:rPr>
          <w:noProof/>
        </w:rPr>
        <w:instrText xml:space="preserve"> PAGEREF _Toc199452977 \h </w:instrText>
      </w:r>
      <w:r>
        <w:rPr>
          <w:noProof/>
        </w:rPr>
      </w:r>
      <w:r>
        <w:rPr>
          <w:noProof/>
        </w:rPr>
        <w:fldChar w:fldCharType="separate"/>
      </w:r>
      <w:r>
        <w:rPr>
          <w:noProof/>
        </w:rPr>
        <w:t>219</w:t>
      </w:r>
      <w:r>
        <w:rPr>
          <w:noProof/>
        </w:rPr>
        <w:fldChar w:fldCharType="end"/>
      </w:r>
    </w:p>
    <w:p w14:paraId="2C511DED" w14:textId="76E150A9" w:rsidR="003F6EFC" w:rsidRDefault="003F6EFC">
      <w:pPr>
        <w:pStyle w:val="TOC5"/>
        <w:rPr>
          <w:rFonts w:asciiTheme="minorHAnsi" w:eastAsiaTheme="minorEastAsia" w:hAnsiTheme="minorHAnsi" w:cstheme="minorBidi"/>
          <w:noProof/>
          <w:kern w:val="2"/>
          <w:sz w:val="21"/>
          <w:szCs w:val="22"/>
          <w:lang w:val="en-US" w:eastAsia="zh-CN"/>
        </w:rPr>
      </w:pPr>
      <w:r>
        <w:rPr>
          <w:noProof/>
        </w:rPr>
        <w:t>5.1.6.2.89</w:t>
      </w:r>
      <w:r>
        <w:rPr>
          <w:rFonts w:asciiTheme="minorHAnsi" w:eastAsiaTheme="minorEastAsia" w:hAnsiTheme="minorHAnsi" w:cstheme="minorBidi"/>
          <w:noProof/>
          <w:kern w:val="2"/>
          <w:sz w:val="21"/>
          <w:szCs w:val="22"/>
          <w:lang w:val="en-US" w:eastAsia="zh-CN"/>
        </w:rPr>
        <w:tab/>
      </w:r>
      <w:r>
        <w:rPr>
          <w:noProof/>
        </w:rPr>
        <w:t>Type AccuracyInfo</w:t>
      </w:r>
      <w:r>
        <w:rPr>
          <w:noProof/>
        </w:rPr>
        <w:tab/>
      </w:r>
      <w:r>
        <w:rPr>
          <w:noProof/>
        </w:rPr>
        <w:fldChar w:fldCharType="begin"/>
      </w:r>
      <w:r>
        <w:rPr>
          <w:noProof/>
        </w:rPr>
        <w:instrText xml:space="preserve"> PAGEREF _Toc199452978 \h </w:instrText>
      </w:r>
      <w:r>
        <w:rPr>
          <w:noProof/>
        </w:rPr>
      </w:r>
      <w:r>
        <w:rPr>
          <w:noProof/>
        </w:rPr>
        <w:fldChar w:fldCharType="separate"/>
      </w:r>
      <w:r>
        <w:rPr>
          <w:noProof/>
        </w:rPr>
        <w:t>219</w:t>
      </w:r>
      <w:r>
        <w:rPr>
          <w:noProof/>
        </w:rPr>
        <w:fldChar w:fldCharType="end"/>
      </w:r>
    </w:p>
    <w:p w14:paraId="3EF5C6F1" w14:textId="54BE018A" w:rsidR="003F6EFC" w:rsidRDefault="003F6EFC">
      <w:pPr>
        <w:pStyle w:val="TOC5"/>
        <w:rPr>
          <w:rFonts w:asciiTheme="minorHAnsi" w:eastAsiaTheme="minorEastAsia" w:hAnsiTheme="minorHAnsi" w:cstheme="minorBidi"/>
          <w:noProof/>
          <w:kern w:val="2"/>
          <w:sz w:val="21"/>
          <w:szCs w:val="22"/>
          <w:lang w:val="en-US" w:eastAsia="zh-CN"/>
        </w:rPr>
      </w:pPr>
      <w:r>
        <w:rPr>
          <w:noProof/>
        </w:rPr>
        <w:t>5.1.6.2.90</w:t>
      </w:r>
      <w:r>
        <w:rPr>
          <w:rFonts w:asciiTheme="minorHAnsi" w:eastAsiaTheme="minorEastAsia" w:hAnsiTheme="minorHAnsi" w:cstheme="minorBidi"/>
          <w:noProof/>
          <w:kern w:val="2"/>
          <w:sz w:val="21"/>
          <w:szCs w:val="22"/>
          <w:lang w:val="en-US" w:eastAsia="zh-CN"/>
        </w:rPr>
        <w:tab/>
      </w:r>
      <w:r>
        <w:rPr>
          <w:noProof/>
        </w:rPr>
        <w:t>Type DataVolumeTransferTime</w:t>
      </w:r>
      <w:r>
        <w:rPr>
          <w:noProof/>
        </w:rPr>
        <w:tab/>
      </w:r>
      <w:r>
        <w:rPr>
          <w:noProof/>
        </w:rPr>
        <w:fldChar w:fldCharType="begin"/>
      </w:r>
      <w:r>
        <w:rPr>
          <w:noProof/>
        </w:rPr>
        <w:instrText xml:space="preserve"> PAGEREF _Toc199452979 \h </w:instrText>
      </w:r>
      <w:r>
        <w:rPr>
          <w:noProof/>
        </w:rPr>
      </w:r>
      <w:r>
        <w:rPr>
          <w:noProof/>
        </w:rPr>
        <w:fldChar w:fldCharType="separate"/>
      </w:r>
      <w:r>
        <w:rPr>
          <w:noProof/>
        </w:rPr>
        <w:t>220</w:t>
      </w:r>
      <w:r>
        <w:rPr>
          <w:noProof/>
        </w:rPr>
        <w:fldChar w:fldCharType="end"/>
      </w:r>
    </w:p>
    <w:p w14:paraId="75DDEE14" w14:textId="36E1145C" w:rsidR="003F6EFC" w:rsidRDefault="003F6EFC">
      <w:pPr>
        <w:pStyle w:val="TOC5"/>
        <w:rPr>
          <w:rFonts w:asciiTheme="minorHAnsi" w:eastAsiaTheme="minorEastAsia" w:hAnsiTheme="minorHAnsi" w:cstheme="minorBidi"/>
          <w:noProof/>
          <w:kern w:val="2"/>
          <w:sz w:val="21"/>
          <w:szCs w:val="22"/>
          <w:lang w:val="en-US" w:eastAsia="zh-CN"/>
        </w:rPr>
      </w:pPr>
      <w:r>
        <w:rPr>
          <w:noProof/>
        </w:rPr>
        <w:t>5.1.6.2.91</w:t>
      </w:r>
      <w:r>
        <w:rPr>
          <w:rFonts w:asciiTheme="minorHAnsi" w:eastAsiaTheme="minorEastAsia" w:hAnsiTheme="minorHAnsi" w:cstheme="minorBidi"/>
          <w:noProof/>
          <w:kern w:val="2"/>
          <w:sz w:val="21"/>
          <w:szCs w:val="22"/>
          <w:lang w:val="en-US" w:eastAsia="zh-CN"/>
        </w:rPr>
        <w:tab/>
      </w:r>
      <w:r>
        <w:rPr>
          <w:noProof/>
        </w:rPr>
        <w:t>Type MovBehavReq</w:t>
      </w:r>
      <w:r>
        <w:rPr>
          <w:noProof/>
        </w:rPr>
        <w:tab/>
      </w:r>
      <w:r>
        <w:rPr>
          <w:noProof/>
        </w:rPr>
        <w:fldChar w:fldCharType="begin"/>
      </w:r>
      <w:r>
        <w:rPr>
          <w:noProof/>
        </w:rPr>
        <w:instrText xml:space="preserve"> PAGEREF _Toc199452980 \h </w:instrText>
      </w:r>
      <w:r>
        <w:rPr>
          <w:noProof/>
        </w:rPr>
      </w:r>
      <w:r>
        <w:rPr>
          <w:noProof/>
        </w:rPr>
        <w:fldChar w:fldCharType="separate"/>
      </w:r>
      <w:r>
        <w:rPr>
          <w:noProof/>
        </w:rPr>
        <w:t>220</w:t>
      </w:r>
      <w:r>
        <w:rPr>
          <w:noProof/>
        </w:rPr>
        <w:fldChar w:fldCharType="end"/>
      </w:r>
    </w:p>
    <w:p w14:paraId="5E036FFF" w14:textId="57F33191" w:rsidR="003F6EFC" w:rsidRDefault="003F6EFC">
      <w:pPr>
        <w:pStyle w:val="TOC5"/>
        <w:rPr>
          <w:rFonts w:asciiTheme="minorHAnsi" w:eastAsiaTheme="minorEastAsia" w:hAnsiTheme="minorHAnsi" w:cstheme="minorBidi"/>
          <w:noProof/>
          <w:kern w:val="2"/>
          <w:sz w:val="21"/>
          <w:szCs w:val="22"/>
          <w:lang w:val="en-US" w:eastAsia="zh-CN"/>
        </w:rPr>
      </w:pPr>
      <w:r>
        <w:rPr>
          <w:noProof/>
        </w:rPr>
        <w:t>5.1.6.2.92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MovBehav</w:t>
      </w:r>
      <w:r>
        <w:rPr>
          <w:noProof/>
        </w:rPr>
        <w:t>Info</w:t>
      </w:r>
      <w:r>
        <w:rPr>
          <w:noProof/>
        </w:rPr>
        <w:tab/>
      </w:r>
      <w:r>
        <w:rPr>
          <w:noProof/>
        </w:rPr>
        <w:fldChar w:fldCharType="begin"/>
      </w:r>
      <w:r>
        <w:rPr>
          <w:noProof/>
        </w:rPr>
        <w:instrText xml:space="preserve"> PAGEREF _Toc199452981 \h </w:instrText>
      </w:r>
      <w:r>
        <w:rPr>
          <w:noProof/>
        </w:rPr>
      </w:r>
      <w:r>
        <w:rPr>
          <w:noProof/>
        </w:rPr>
        <w:fldChar w:fldCharType="separate"/>
      </w:r>
      <w:r>
        <w:rPr>
          <w:noProof/>
        </w:rPr>
        <w:t>221</w:t>
      </w:r>
      <w:r>
        <w:rPr>
          <w:noProof/>
        </w:rPr>
        <w:fldChar w:fldCharType="end"/>
      </w:r>
    </w:p>
    <w:p w14:paraId="44EC77DB" w14:textId="62443A3F" w:rsidR="003F6EFC" w:rsidRDefault="003F6EFC">
      <w:pPr>
        <w:pStyle w:val="TOC5"/>
        <w:rPr>
          <w:rFonts w:asciiTheme="minorHAnsi" w:eastAsiaTheme="minorEastAsia" w:hAnsiTheme="minorHAnsi" w:cstheme="minorBidi"/>
          <w:noProof/>
          <w:kern w:val="2"/>
          <w:sz w:val="21"/>
          <w:szCs w:val="22"/>
          <w:lang w:val="en-US" w:eastAsia="zh-CN"/>
        </w:rPr>
      </w:pPr>
      <w:r>
        <w:rPr>
          <w:noProof/>
        </w:rPr>
        <w:t>5.1.6.2.93</w:t>
      </w:r>
      <w:r>
        <w:rPr>
          <w:rFonts w:asciiTheme="minorHAnsi" w:eastAsiaTheme="minorEastAsia" w:hAnsiTheme="minorHAnsi" w:cstheme="minorBidi"/>
          <w:noProof/>
          <w:kern w:val="2"/>
          <w:sz w:val="21"/>
          <w:szCs w:val="22"/>
          <w:lang w:val="en-US" w:eastAsia="zh-CN"/>
        </w:rPr>
        <w:tab/>
      </w:r>
      <w:r>
        <w:rPr>
          <w:noProof/>
        </w:rPr>
        <w:t>Type MovBehav</w:t>
      </w:r>
      <w:r>
        <w:rPr>
          <w:noProof/>
        </w:rPr>
        <w:tab/>
      </w:r>
      <w:r>
        <w:rPr>
          <w:noProof/>
        </w:rPr>
        <w:fldChar w:fldCharType="begin"/>
      </w:r>
      <w:r>
        <w:rPr>
          <w:noProof/>
        </w:rPr>
        <w:instrText xml:space="preserve"> PAGEREF _Toc199452982 \h </w:instrText>
      </w:r>
      <w:r>
        <w:rPr>
          <w:noProof/>
        </w:rPr>
      </w:r>
      <w:r>
        <w:rPr>
          <w:noProof/>
        </w:rPr>
        <w:fldChar w:fldCharType="separate"/>
      </w:r>
      <w:r>
        <w:rPr>
          <w:noProof/>
        </w:rPr>
        <w:t>222</w:t>
      </w:r>
      <w:r>
        <w:rPr>
          <w:noProof/>
        </w:rPr>
        <w:fldChar w:fldCharType="end"/>
      </w:r>
    </w:p>
    <w:p w14:paraId="3EBEEDD1" w14:textId="68BBA3B2" w:rsidR="003F6EFC" w:rsidRDefault="003F6EFC">
      <w:pPr>
        <w:pStyle w:val="TOC5"/>
        <w:rPr>
          <w:rFonts w:asciiTheme="minorHAnsi" w:eastAsiaTheme="minorEastAsia" w:hAnsiTheme="minorHAnsi" w:cstheme="minorBidi"/>
          <w:noProof/>
          <w:kern w:val="2"/>
          <w:sz w:val="21"/>
          <w:szCs w:val="22"/>
          <w:lang w:val="en-US" w:eastAsia="zh-CN"/>
        </w:rPr>
      </w:pPr>
      <w:r>
        <w:rPr>
          <w:noProof/>
        </w:rPr>
        <w:t>5.1.6.2.94</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SpeedThresholdInfo</w:t>
      </w:r>
      <w:r>
        <w:rPr>
          <w:noProof/>
        </w:rPr>
        <w:tab/>
      </w:r>
      <w:r>
        <w:rPr>
          <w:noProof/>
        </w:rPr>
        <w:fldChar w:fldCharType="begin"/>
      </w:r>
      <w:r>
        <w:rPr>
          <w:noProof/>
        </w:rPr>
        <w:instrText xml:space="preserve"> PAGEREF _Toc199452983 \h </w:instrText>
      </w:r>
      <w:r>
        <w:rPr>
          <w:noProof/>
        </w:rPr>
      </w:r>
      <w:r>
        <w:rPr>
          <w:noProof/>
        </w:rPr>
        <w:fldChar w:fldCharType="separate"/>
      </w:r>
      <w:r>
        <w:rPr>
          <w:noProof/>
        </w:rPr>
        <w:t>222</w:t>
      </w:r>
      <w:r>
        <w:rPr>
          <w:noProof/>
        </w:rPr>
        <w:fldChar w:fldCharType="end"/>
      </w:r>
    </w:p>
    <w:p w14:paraId="3DB63BEC" w14:textId="215AA7E7" w:rsidR="003F6EFC" w:rsidRDefault="003F6EFC">
      <w:pPr>
        <w:pStyle w:val="TOC5"/>
        <w:rPr>
          <w:rFonts w:asciiTheme="minorHAnsi" w:eastAsiaTheme="minorEastAsia" w:hAnsiTheme="minorHAnsi" w:cstheme="minorBidi"/>
          <w:noProof/>
          <w:kern w:val="2"/>
          <w:sz w:val="21"/>
          <w:szCs w:val="22"/>
          <w:lang w:val="en-US" w:eastAsia="zh-CN"/>
        </w:rPr>
      </w:pPr>
      <w:r>
        <w:rPr>
          <w:noProof/>
        </w:rPr>
        <w:t>5.1.6.2.95</w:t>
      </w:r>
      <w:r>
        <w:rPr>
          <w:rFonts w:asciiTheme="minorHAnsi" w:eastAsiaTheme="minorEastAsia" w:hAnsiTheme="minorHAnsi" w:cstheme="minorBidi"/>
          <w:noProof/>
          <w:kern w:val="2"/>
          <w:sz w:val="21"/>
          <w:szCs w:val="22"/>
          <w:lang w:val="en-US" w:eastAsia="zh-CN"/>
        </w:rPr>
        <w:tab/>
      </w:r>
      <w:r>
        <w:rPr>
          <w:noProof/>
        </w:rPr>
        <w:t>Type GeoLocation</w:t>
      </w:r>
      <w:r>
        <w:rPr>
          <w:noProof/>
        </w:rPr>
        <w:tab/>
      </w:r>
      <w:r>
        <w:rPr>
          <w:noProof/>
        </w:rPr>
        <w:fldChar w:fldCharType="begin"/>
      </w:r>
      <w:r>
        <w:rPr>
          <w:noProof/>
        </w:rPr>
        <w:instrText xml:space="preserve"> PAGEREF _Toc199452984 \h </w:instrText>
      </w:r>
      <w:r>
        <w:rPr>
          <w:noProof/>
        </w:rPr>
      </w:r>
      <w:r>
        <w:rPr>
          <w:noProof/>
        </w:rPr>
        <w:fldChar w:fldCharType="separate"/>
      </w:r>
      <w:r>
        <w:rPr>
          <w:noProof/>
        </w:rPr>
        <w:t>223</w:t>
      </w:r>
      <w:r>
        <w:rPr>
          <w:noProof/>
        </w:rPr>
        <w:fldChar w:fldCharType="end"/>
      </w:r>
    </w:p>
    <w:p w14:paraId="1325B423" w14:textId="34F61014" w:rsidR="003F6EFC" w:rsidRDefault="003F6EFC">
      <w:pPr>
        <w:pStyle w:val="TOC5"/>
        <w:rPr>
          <w:rFonts w:asciiTheme="minorHAnsi" w:eastAsiaTheme="minorEastAsia" w:hAnsiTheme="minorHAnsi" w:cstheme="minorBidi"/>
          <w:noProof/>
          <w:kern w:val="2"/>
          <w:sz w:val="21"/>
          <w:szCs w:val="22"/>
          <w:lang w:val="en-US" w:eastAsia="zh-CN"/>
        </w:rPr>
      </w:pPr>
      <w:r>
        <w:rPr>
          <w:noProof/>
        </w:rPr>
        <w:t>5.1.6.2.96</w:t>
      </w:r>
      <w:r>
        <w:rPr>
          <w:rFonts w:asciiTheme="minorHAnsi" w:eastAsiaTheme="minorEastAsia" w:hAnsiTheme="minorHAnsi" w:cstheme="minorBidi"/>
          <w:noProof/>
          <w:kern w:val="2"/>
          <w:sz w:val="21"/>
          <w:szCs w:val="22"/>
          <w:lang w:val="en-US" w:eastAsia="zh-CN"/>
        </w:rPr>
        <w:tab/>
      </w:r>
      <w:r>
        <w:rPr>
          <w:noProof/>
        </w:rPr>
        <w:t>Type LocAccuracyReq</w:t>
      </w:r>
      <w:r>
        <w:rPr>
          <w:noProof/>
        </w:rPr>
        <w:tab/>
      </w:r>
      <w:r>
        <w:rPr>
          <w:noProof/>
        </w:rPr>
        <w:fldChar w:fldCharType="begin"/>
      </w:r>
      <w:r>
        <w:rPr>
          <w:noProof/>
        </w:rPr>
        <w:instrText xml:space="preserve"> PAGEREF _Toc199452985 \h </w:instrText>
      </w:r>
      <w:r>
        <w:rPr>
          <w:noProof/>
        </w:rPr>
      </w:r>
      <w:r>
        <w:rPr>
          <w:noProof/>
        </w:rPr>
        <w:fldChar w:fldCharType="separate"/>
      </w:r>
      <w:r>
        <w:rPr>
          <w:noProof/>
        </w:rPr>
        <w:t>224</w:t>
      </w:r>
      <w:r>
        <w:rPr>
          <w:noProof/>
        </w:rPr>
        <w:fldChar w:fldCharType="end"/>
      </w:r>
    </w:p>
    <w:p w14:paraId="287C6FAB" w14:textId="345AAF7A" w:rsidR="003F6EFC" w:rsidRDefault="003F6EFC">
      <w:pPr>
        <w:pStyle w:val="TOC5"/>
        <w:rPr>
          <w:rFonts w:asciiTheme="minorHAnsi" w:eastAsiaTheme="minorEastAsia" w:hAnsiTheme="minorHAnsi" w:cstheme="minorBidi"/>
          <w:noProof/>
          <w:kern w:val="2"/>
          <w:sz w:val="21"/>
          <w:szCs w:val="22"/>
          <w:lang w:val="en-US" w:eastAsia="zh-CN"/>
        </w:rPr>
      </w:pPr>
      <w:r>
        <w:rPr>
          <w:noProof/>
        </w:rPr>
        <w:t>5.1.6.2.97</w:t>
      </w:r>
      <w:r>
        <w:rPr>
          <w:rFonts w:asciiTheme="minorHAnsi" w:eastAsiaTheme="minorEastAsia" w:hAnsiTheme="minorHAnsi" w:cstheme="minorBidi"/>
          <w:noProof/>
          <w:kern w:val="2"/>
          <w:sz w:val="21"/>
          <w:szCs w:val="22"/>
          <w:lang w:val="en-US" w:eastAsia="zh-CN"/>
        </w:rPr>
        <w:tab/>
      </w:r>
      <w:r>
        <w:rPr>
          <w:noProof/>
        </w:rPr>
        <w:t>Type LocAccuracyInfo</w:t>
      </w:r>
      <w:r>
        <w:rPr>
          <w:noProof/>
        </w:rPr>
        <w:tab/>
      </w:r>
      <w:r>
        <w:rPr>
          <w:noProof/>
        </w:rPr>
        <w:fldChar w:fldCharType="begin"/>
      </w:r>
      <w:r>
        <w:rPr>
          <w:noProof/>
        </w:rPr>
        <w:instrText xml:space="preserve"> PAGEREF _Toc199452986 \h </w:instrText>
      </w:r>
      <w:r>
        <w:rPr>
          <w:noProof/>
        </w:rPr>
      </w:r>
      <w:r>
        <w:rPr>
          <w:noProof/>
        </w:rPr>
        <w:fldChar w:fldCharType="separate"/>
      </w:r>
      <w:r>
        <w:rPr>
          <w:noProof/>
        </w:rPr>
        <w:t>225</w:t>
      </w:r>
      <w:r>
        <w:rPr>
          <w:noProof/>
        </w:rPr>
        <w:fldChar w:fldCharType="end"/>
      </w:r>
    </w:p>
    <w:p w14:paraId="48D4BB80" w14:textId="7EC546EF" w:rsidR="003F6EFC" w:rsidRDefault="003F6EFC">
      <w:pPr>
        <w:pStyle w:val="TOC5"/>
        <w:rPr>
          <w:rFonts w:asciiTheme="minorHAnsi" w:eastAsiaTheme="minorEastAsia" w:hAnsiTheme="minorHAnsi" w:cstheme="minorBidi"/>
          <w:noProof/>
          <w:kern w:val="2"/>
          <w:sz w:val="21"/>
          <w:szCs w:val="22"/>
          <w:lang w:val="en-US" w:eastAsia="zh-CN"/>
        </w:rPr>
      </w:pPr>
      <w:r>
        <w:rPr>
          <w:noProof/>
        </w:rPr>
        <w:t>5.1.6.2.98</w:t>
      </w:r>
      <w:r>
        <w:rPr>
          <w:rFonts w:asciiTheme="minorHAnsi" w:eastAsiaTheme="minorEastAsia" w:hAnsiTheme="minorHAnsi" w:cstheme="minorBidi"/>
          <w:noProof/>
          <w:kern w:val="2"/>
          <w:sz w:val="21"/>
          <w:szCs w:val="22"/>
          <w:lang w:val="en-US" w:eastAsia="zh-CN"/>
        </w:rPr>
        <w:tab/>
      </w:r>
      <w:r>
        <w:rPr>
          <w:noProof/>
        </w:rPr>
        <w:t>Type LocAccuracyPerMethod</w:t>
      </w:r>
      <w:r>
        <w:rPr>
          <w:noProof/>
        </w:rPr>
        <w:tab/>
      </w:r>
      <w:r>
        <w:rPr>
          <w:noProof/>
        </w:rPr>
        <w:fldChar w:fldCharType="begin"/>
      </w:r>
      <w:r>
        <w:rPr>
          <w:noProof/>
        </w:rPr>
        <w:instrText xml:space="preserve"> PAGEREF _Toc199452987 \h </w:instrText>
      </w:r>
      <w:r>
        <w:rPr>
          <w:noProof/>
        </w:rPr>
      </w:r>
      <w:r>
        <w:rPr>
          <w:noProof/>
        </w:rPr>
        <w:fldChar w:fldCharType="separate"/>
      </w:r>
      <w:r>
        <w:rPr>
          <w:noProof/>
        </w:rPr>
        <w:t>226</w:t>
      </w:r>
      <w:r>
        <w:rPr>
          <w:noProof/>
        </w:rPr>
        <w:fldChar w:fldCharType="end"/>
      </w:r>
    </w:p>
    <w:p w14:paraId="242A092D" w14:textId="506AF6C6" w:rsidR="003F6EFC" w:rsidRDefault="003F6EFC">
      <w:pPr>
        <w:pStyle w:val="TOC5"/>
        <w:rPr>
          <w:rFonts w:asciiTheme="minorHAnsi" w:eastAsiaTheme="minorEastAsia" w:hAnsiTheme="minorHAnsi" w:cstheme="minorBidi"/>
          <w:noProof/>
          <w:kern w:val="2"/>
          <w:sz w:val="21"/>
          <w:szCs w:val="22"/>
          <w:lang w:val="en-US" w:eastAsia="zh-CN"/>
        </w:rPr>
      </w:pPr>
      <w:r>
        <w:rPr>
          <w:noProof/>
        </w:rPr>
        <w:t>5.1.6.2.99</w:t>
      </w:r>
      <w:r>
        <w:rPr>
          <w:rFonts w:asciiTheme="minorHAnsi" w:eastAsiaTheme="minorEastAsia" w:hAnsiTheme="minorHAnsi" w:cstheme="minorBidi"/>
          <w:noProof/>
          <w:kern w:val="2"/>
          <w:sz w:val="21"/>
          <w:szCs w:val="22"/>
          <w:lang w:val="en-US" w:eastAsia="zh-CN"/>
        </w:rPr>
        <w:tab/>
      </w:r>
      <w:r>
        <w:rPr>
          <w:noProof/>
        </w:rPr>
        <w:t>Type RelProxReq</w:t>
      </w:r>
      <w:r>
        <w:rPr>
          <w:noProof/>
        </w:rPr>
        <w:tab/>
      </w:r>
      <w:r>
        <w:rPr>
          <w:noProof/>
        </w:rPr>
        <w:fldChar w:fldCharType="begin"/>
      </w:r>
      <w:r>
        <w:rPr>
          <w:noProof/>
        </w:rPr>
        <w:instrText xml:space="preserve"> PAGEREF _Toc199452988 \h </w:instrText>
      </w:r>
      <w:r>
        <w:rPr>
          <w:noProof/>
        </w:rPr>
      </w:r>
      <w:r>
        <w:rPr>
          <w:noProof/>
        </w:rPr>
        <w:fldChar w:fldCharType="separate"/>
      </w:r>
      <w:r>
        <w:rPr>
          <w:noProof/>
        </w:rPr>
        <w:t>226</w:t>
      </w:r>
      <w:r>
        <w:rPr>
          <w:noProof/>
        </w:rPr>
        <w:fldChar w:fldCharType="end"/>
      </w:r>
    </w:p>
    <w:p w14:paraId="7BAEB77F" w14:textId="6F0DF9F7" w:rsidR="003F6EFC" w:rsidRDefault="003F6EFC">
      <w:pPr>
        <w:pStyle w:val="TOC5"/>
        <w:rPr>
          <w:rFonts w:asciiTheme="minorHAnsi" w:eastAsiaTheme="minorEastAsia" w:hAnsiTheme="minorHAnsi" w:cstheme="minorBidi"/>
          <w:noProof/>
          <w:kern w:val="2"/>
          <w:sz w:val="21"/>
          <w:szCs w:val="22"/>
          <w:lang w:val="en-US" w:eastAsia="zh-CN"/>
        </w:rPr>
      </w:pPr>
      <w:r>
        <w:rPr>
          <w:noProof/>
        </w:rPr>
        <w:t>5.1.6.2.100</w:t>
      </w:r>
      <w:r>
        <w:rPr>
          <w:rFonts w:asciiTheme="minorHAnsi" w:eastAsiaTheme="minorEastAsia" w:hAnsiTheme="minorHAnsi" w:cstheme="minorBidi"/>
          <w:noProof/>
          <w:kern w:val="2"/>
          <w:sz w:val="21"/>
          <w:szCs w:val="22"/>
          <w:lang w:val="en-US" w:eastAsia="zh-CN"/>
        </w:rPr>
        <w:tab/>
      </w:r>
      <w:r>
        <w:rPr>
          <w:noProof/>
        </w:rPr>
        <w:t>Type RelProxInfo</w:t>
      </w:r>
      <w:r>
        <w:rPr>
          <w:noProof/>
        </w:rPr>
        <w:tab/>
      </w:r>
      <w:r>
        <w:rPr>
          <w:noProof/>
        </w:rPr>
        <w:fldChar w:fldCharType="begin"/>
      </w:r>
      <w:r>
        <w:rPr>
          <w:noProof/>
        </w:rPr>
        <w:instrText xml:space="preserve"> PAGEREF _Toc199452989 \h </w:instrText>
      </w:r>
      <w:r>
        <w:rPr>
          <w:noProof/>
        </w:rPr>
      </w:r>
      <w:r>
        <w:rPr>
          <w:noProof/>
        </w:rPr>
        <w:fldChar w:fldCharType="separate"/>
      </w:r>
      <w:r>
        <w:rPr>
          <w:noProof/>
        </w:rPr>
        <w:t>227</w:t>
      </w:r>
      <w:r>
        <w:rPr>
          <w:noProof/>
        </w:rPr>
        <w:fldChar w:fldCharType="end"/>
      </w:r>
    </w:p>
    <w:p w14:paraId="78C26D28" w14:textId="786F3E75" w:rsidR="003F6EFC" w:rsidRDefault="003F6EFC">
      <w:pPr>
        <w:pStyle w:val="TOC5"/>
        <w:rPr>
          <w:rFonts w:asciiTheme="minorHAnsi" w:eastAsiaTheme="minorEastAsia" w:hAnsiTheme="minorHAnsi" w:cstheme="minorBidi"/>
          <w:noProof/>
          <w:kern w:val="2"/>
          <w:sz w:val="21"/>
          <w:szCs w:val="22"/>
          <w:lang w:val="en-US" w:eastAsia="zh-CN"/>
        </w:rPr>
      </w:pPr>
      <w:r>
        <w:rPr>
          <w:noProof/>
        </w:rPr>
        <w:t>5.1.6.2.101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UeProximity</w:t>
      </w:r>
      <w:r>
        <w:rPr>
          <w:noProof/>
        </w:rPr>
        <w:tab/>
      </w:r>
      <w:r>
        <w:rPr>
          <w:noProof/>
        </w:rPr>
        <w:fldChar w:fldCharType="begin"/>
      </w:r>
      <w:r>
        <w:rPr>
          <w:noProof/>
        </w:rPr>
        <w:instrText xml:space="preserve"> PAGEREF _Toc199452990 \h </w:instrText>
      </w:r>
      <w:r>
        <w:rPr>
          <w:noProof/>
        </w:rPr>
      </w:r>
      <w:r>
        <w:rPr>
          <w:noProof/>
        </w:rPr>
        <w:fldChar w:fldCharType="separate"/>
      </w:r>
      <w:r>
        <w:rPr>
          <w:noProof/>
        </w:rPr>
        <w:t>228</w:t>
      </w:r>
      <w:r>
        <w:rPr>
          <w:noProof/>
        </w:rPr>
        <w:fldChar w:fldCharType="end"/>
      </w:r>
    </w:p>
    <w:p w14:paraId="55E298A2" w14:textId="4C20D420" w:rsidR="003F6EFC" w:rsidRDefault="003F6EFC">
      <w:pPr>
        <w:pStyle w:val="TOC5"/>
        <w:rPr>
          <w:rFonts w:asciiTheme="minorHAnsi" w:eastAsiaTheme="minorEastAsia" w:hAnsiTheme="minorHAnsi" w:cstheme="minorBidi"/>
          <w:noProof/>
          <w:kern w:val="2"/>
          <w:sz w:val="21"/>
          <w:szCs w:val="22"/>
          <w:lang w:val="en-US" w:eastAsia="zh-CN"/>
        </w:rPr>
      </w:pPr>
      <w:r>
        <w:rPr>
          <w:noProof/>
        </w:rPr>
        <w:t>5.1.6.2.102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UeTrajectory</w:t>
      </w:r>
      <w:r>
        <w:rPr>
          <w:noProof/>
        </w:rPr>
        <w:tab/>
      </w:r>
      <w:r>
        <w:rPr>
          <w:noProof/>
        </w:rPr>
        <w:fldChar w:fldCharType="begin"/>
      </w:r>
      <w:r>
        <w:rPr>
          <w:noProof/>
        </w:rPr>
        <w:instrText xml:space="preserve"> PAGEREF _Toc199452991 \h </w:instrText>
      </w:r>
      <w:r>
        <w:rPr>
          <w:noProof/>
        </w:rPr>
      </w:r>
      <w:r>
        <w:rPr>
          <w:noProof/>
        </w:rPr>
        <w:fldChar w:fldCharType="separate"/>
      </w:r>
      <w:r>
        <w:rPr>
          <w:noProof/>
        </w:rPr>
        <w:t>228</w:t>
      </w:r>
      <w:r>
        <w:rPr>
          <w:noProof/>
        </w:rPr>
        <w:fldChar w:fldCharType="end"/>
      </w:r>
    </w:p>
    <w:p w14:paraId="7106577D" w14:textId="2B19DCB0"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Times New Roman"/>
          <w:noProof/>
        </w:rPr>
        <w:t>5.1.6.2.103</w:t>
      </w:r>
      <w:r>
        <w:rPr>
          <w:rFonts w:asciiTheme="minorHAnsi" w:eastAsiaTheme="minorEastAsia" w:hAnsiTheme="minorHAnsi" w:cstheme="minorBidi"/>
          <w:noProof/>
          <w:kern w:val="2"/>
          <w:sz w:val="21"/>
          <w:szCs w:val="22"/>
          <w:lang w:val="en-US" w:eastAsia="zh-CN"/>
        </w:rPr>
        <w:tab/>
      </w:r>
      <w:r w:rsidRPr="00D64295">
        <w:rPr>
          <w:rFonts w:eastAsia="Times New Roman"/>
          <w:noProof/>
        </w:rPr>
        <w:t xml:space="preserve">Type </w:t>
      </w:r>
      <w:r w:rsidRPr="00D64295">
        <w:rPr>
          <w:rFonts w:eastAsia="Times New Roman"/>
          <w:noProof/>
          <w:lang w:eastAsia="zh-CN"/>
        </w:rPr>
        <w:t>TimestampedLocation</w:t>
      </w:r>
      <w:r>
        <w:rPr>
          <w:noProof/>
        </w:rPr>
        <w:tab/>
      </w:r>
      <w:r>
        <w:rPr>
          <w:noProof/>
        </w:rPr>
        <w:fldChar w:fldCharType="begin"/>
      </w:r>
      <w:r>
        <w:rPr>
          <w:noProof/>
        </w:rPr>
        <w:instrText xml:space="preserve"> PAGEREF _Toc199452992 \h </w:instrText>
      </w:r>
      <w:r>
        <w:rPr>
          <w:noProof/>
        </w:rPr>
      </w:r>
      <w:r>
        <w:rPr>
          <w:noProof/>
        </w:rPr>
        <w:fldChar w:fldCharType="separate"/>
      </w:r>
      <w:r>
        <w:rPr>
          <w:noProof/>
        </w:rPr>
        <w:t>229</w:t>
      </w:r>
      <w:r>
        <w:rPr>
          <w:noProof/>
        </w:rPr>
        <w:fldChar w:fldCharType="end"/>
      </w:r>
    </w:p>
    <w:p w14:paraId="1B57520B" w14:textId="32B33BF1" w:rsidR="003F6EFC" w:rsidRDefault="003F6EFC">
      <w:pPr>
        <w:pStyle w:val="TOC5"/>
        <w:rPr>
          <w:rFonts w:asciiTheme="minorHAnsi" w:eastAsiaTheme="minorEastAsia" w:hAnsiTheme="minorHAnsi" w:cstheme="minorBidi"/>
          <w:noProof/>
          <w:kern w:val="2"/>
          <w:sz w:val="21"/>
          <w:szCs w:val="22"/>
          <w:lang w:val="en-US" w:eastAsia="zh-CN"/>
        </w:rPr>
      </w:pPr>
      <w:r>
        <w:rPr>
          <w:noProof/>
        </w:rPr>
        <w:t>5.1.6.2.104</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TimeToCollisionInfo</w:t>
      </w:r>
      <w:r>
        <w:rPr>
          <w:noProof/>
        </w:rPr>
        <w:tab/>
      </w:r>
      <w:r>
        <w:rPr>
          <w:noProof/>
        </w:rPr>
        <w:fldChar w:fldCharType="begin"/>
      </w:r>
      <w:r>
        <w:rPr>
          <w:noProof/>
        </w:rPr>
        <w:instrText xml:space="preserve"> PAGEREF _Toc199452993 \h </w:instrText>
      </w:r>
      <w:r>
        <w:rPr>
          <w:noProof/>
        </w:rPr>
      </w:r>
      <w:r>
        <w:rPr>
          <w:noProof/>
        </w:rPr>
        <w:fldChar w:fldCharType="separate"/>
      </w:r>
      <w:r>
        <w:rPr>
          <w:noProof/>
        </w:rPr>
        <w:t>230</w:t>
      </w:r>
      <w:r>
        <w:rPr>
          <w:noProof/>
        </w:rPr>
        <w:fldChar w:fldCharType="end"/>
      </w:r>
    </w:p>
    <w:p w14:paraId="7FF33EBE" w14:textId="6CF5BE78" w:rsidR="003F6EFC" w:rsidRDefault="003F6EFC">
      <w:pPr>
        <w:pStyle w:val="TOC5"/>
        <w:rPr>
          <w:rFonts w:asciiTheme="minorHAnsi" w:eastAsiaTheme="minorEastAsia" w:hAnsiTheme="minorHAnsi" w:cstheme="minorBidi"/>
          <w:noProof/>
          <w:kern w:val="2"/>
          <w:sz w:val="21"/>
          <w:szCs w:val="22"/>
          <w:lang w:val="en-US" w:eastAsia="zh-CN"/>
        </w:rPr>
      </w:pPr>
      <w:r>
        <w:rPr>
          <w:noProof/>
        </w:rPr>
        <w:t>5.1.6.2.105</w:t>
      </w:r>
      <w:r>
        <w:rPr>
          <w:rFonts w:asciiTheme="minorHAnsi" w:eastAsiaTheme="minorEastAsia" w:hAnsiTheme="minorHAnsi" w:cstheme="minorBidi"/>
          <w:noProof/>
          <w:kern w:val="2"/>
          <w:sz w:val="21"/>
          <w:szCs w:val="22"/>
          <w:lang w:val="en-US" w:eastAsia="zh-CN"/>
        </w:rPr>
        <w:tab/>
      </w:r>
      <w:r>
        <w:rPr>
          <w:noProof/>
        </w:rPr>
        <w:t>Type AnalyticsFeedbackInfo</w:t>
      </w:r>
      <w:r>
        <w:rPr>
          <w:noProof/>
        </w:rPr>
        <w:tab/>
      </w:r>
      <w:r>
        <w:rPr>
          <w:noProof/>
        </w:rPr>
        <w:fldChar w:fldCharType="begin"/>
      </w:r>
      <w:r>
        <w:rPr>
          <w:noProof/>
        </w:rPr>
        <w:instrText xml:space="preserve"> PAGEREF _Toc199452994 \h </w:instrText>
      </w:r>
      <w:r>
        <w:rPr>
          <w:noProof/>
        </w:rPr>
      </w:r>
      <w:r>
        <w:rPr>
          <w:noProof/>
        </w:rPr>
        <w:fldChar w:fldCharType="separate"/>
      </w:r>
      <w:r>
        <w:rPr>
          <w:noProof/>
        </w:rPr>
        <w:t>231</w:t>
      </w:r>
      <w:r>
        <w:rPr>
          <w:noProof/>
        </w:rPr>
        <w:fldChar w:fldCharType="end"/>
      </w:r>
    </w:p>
    <w:p w14:paraId="31BAFB8E" w14:textId="098B6A37" w:rsidR="003F6EFC" w:rsidRDefault="003F6EFC">
      <w:pPr>
        <w:pStyle w:val="TOC5"/>
        <w:rPr>
          <w:rFonts w:asciiTheme="minorHAnsi" w:eastAsiaTheme="minorEastAsia" w:hAnsiTheme="minorHAnsi" w:cstheme="minorBidi"/>
          <w:noProof/>
          <w:kern w:val="2"/>
          <w:sz w:val="21"/>
          <w:szCs w:val="22"/>
          <w:lang w:val="en-US" w:eastAsia="zh-CN"/>
        </w:rPr>
      </w:pPr>
      <w:r>
        <w:rPr>
          <w:noProof/>
        </w:rPr>
        <w:t>5.1.6.2.106</w:t>
      </w:r>
      <w:r>
        <w:rPr>
          <w:rFonts w:asciiTheme="minorHAnsi" w:eastAsiaTheme="minorEastAsia" w:hAnsiTheme="minorHAnsi" w:cstheme="minorBidi"/>
          <w:noProof/>
          <w:kern w:val="2"/>
          <w:sz w:val="21"/>
          <w:szCs w:val="22"/>
          <w:lang w:val="en-US" w:eastAsia="zh-CN"/>
        </w:rPr>
        <w:tab/>
      </w:r>
      <w:r>
        <w:rPr>
          <w:noProof/>
        </w:rPr>
        <w:t>Type RoamingInfo</w:t>
      </w:r>
      <w:r>
        <w:rPr>
          <w:noProof/>
        </w:rPr>
        <w:tab/>
      </w:r>
      <w:r>
        <w:rPr>
          <w:noProof/>
        </w:rPr>
        <w:fldChar w:fldCharType="begin"/>
      </w:r>
      <w:r>
        <w:rPr>
          <w:noProof/>
        </w:rPr>
        <w:instrText xml:space="preserve"> PAGEREF _Toc199452995 \h </w:instrText>
      </w:r>
      <w:r>
        <w:rPr>
          <w:noProof/>
        </w:rPr>
      </w:r>
      <w:r>
        <w:rPr>
          <w:noProof/>
        </w:rPr>
        <w:fldChar w:fldCharType="separate"/>
      </w:r>
      <w:r>
        <w:rPr>
          <w:noProof/>
        </w:rPr>
        <w:t>232</w:t>
      </w:r>
      <w:r>
        <w:rPr>
          <w:noProof/>
        </w:rPr>
        <w:fldChar w:fldCharType="end"/>
      </w:r>
    </w:p>
    <w:p w14:paraId="6D514C3A" w14:textId="289D71D5" w:rsidR="003F6EFC" w:rsidRDefault="003F6EFC">
      <w:pPr>
        <w:pStyle w:val="TOC5"/>
        <w:rPr>
          <w:rFonts w:asciiTheme="minorHAnsi" w:eastAsiaTheme="minorEastAsia" w:hAnsiTheme="minorHAnsi" w:cstheme="minorBidi"/>
          <w:noProof/>
          <w:kern w:val="2"/>
          <w:sz w:val="21"/>
          <w:szCs w:val="22"/>
          <w:lang w:val="en-US" w:eastAsia="zh-CN"/>
        </w:rPr>
      </w:pPr>
      <w:r>
        <w:rPr>
          <w:noProof/>
        </w:rPr>
        <w:t>5.1.6.2.107</w:t>
      </w:r>
      <w:r>
        <w:rPr>
          <w:rFonts w:asciiTheme="minorHAnsi" w:eastAsiaTheme="minorEastAsia" w:hAnsiTheme="minorHAnsi" w:cstheme="minorBidi"/>
          <w:noProof/>
          <w:kern w:val="2"/>
          <w:sz w:val="21"/>
          <w:szCs w:val="22"/>
          <w:lang w:val="en-US" w:eastAsia="zh-CN"/>
        </w:rPr>
        <w:tab/>
      </w:r>
      <w:r>
        <w:rPr>
          <w:noProof/>
        </w:rPr>
        <w:t>Type SuggestedPfdInfo</w:t>
      </w:r>
      <w:r>
        <w:rPr>
          <w:noProof/>
        </w:rPr>
        <w:tab/>
      </w:r>
      <w:r>
        <w:rPr>
          <w:noProof/>
        </w:rPr>
        <w:fldChar w:fldCharType="begin"/>
      </w:r>
      <w:r>
        <w:rPr>
          <w:noProof/>
        </w:rPr>
        <w:instrText xml:space="preserve"> PAGEREF _Toc199452996 \h </w:instrText>
      </w:r>
      <w:r>
        <w:rPr>
          <w:noProof/>
        </w:rPr>
      </w:r>
      <w:r>
        <w:rPr>
          <w:noProof/>
        </w:rPr>
        <w:fldChar w:fldCharType="separate"/>
      </w:r>
      <w:r>
        <w:rPr>
          <w:noProof/>
        </w:rPr>
        <w:t>233</w:t>
      </w:r>
      <w:r>
        <w:rPr>
          <w:noProof/>
        </w:rPr>
        <w:fldChar w:fldCharType="end"/>
      </w:r>
    </w:p>
    <w:p w14:paraId="62E63E83" w14:textId="16562742" w:rsidR="003F6EFC" w:rsidRDefault="003F6EFC">
      <w:pPr>
        <w:pStyle w:val="TOC5"/>
        <w:rPr>
          <w:rFonts w:asciiTheme="minorHAnsi" w:eastAsiaTheme="minorEastAsia" w:hAnsiTheme="minorHAnsi" w:cstheme="minorBidi"/>
          <w:noProof/>
          <w:kern w:val="2"/>
          <w:sz w:val="21"/>
          <w:szCs w:val="22"/>
          <w:lang w:val="en-US" w:eastAsia="zh-CN"/>
        </w:rPr>
      </w:pPr>
      <w:r>
        <w:rPr>
          <w:noProof/>
        </w:rPr>
        <w:t>5.1.6.2.108</w:t>
      </w:r>
      <w:r>
        <w:rPr>
          <w:rFonts w:asciiTheme="minorHAnsi" w:eastAsiaTheme="minorEastAsia" w:hAnsiTheme="minorHAnsi" w:cstheme="minorBidi"/>
          <w:noProof/>
          <w:kern w:val="2"/>
          <w:sz w:val="21"/>
          <w:szCs w:val="22"/>
          <w:lang w:val="en-US" w:eastAsia="zh-CN"/>
        </w:rPr>
        <w:tab/>
      </w:r>
      <w:r>
        <w:rPr>
          <w:noProof/>
        </w:rPr>
        <w:t>Type SignalStormReq</w:t>
      </w:r>
      <w:r>
        <w:rPr>
          <w:noProof/>
        </w:rPr>
        <w:tab/>
      </w:r>
      <w:r>
        <w:rPr>
          <w:noProof/>
        </w:rPr>
        <w:fldChar w:fldCharType="begin"/>
      </w:r>
      <w:r>
        <w:rPr>
          <w:noProof/>
        </w:rPr>
        <w:instrText xml:space="preserve"> PAGEREF _Toc199452997 \h </w:instrText>
      </w:r>
      <w:r>
        <w:rPr>
          <w:noProof/>
        </w:rPr>
      </w:r>
      <w:r>
        <w:rPr>
          <w:noProof/>
        </w:rPr>
        <w:fldChar w:fldCharType="separate"/>
      </w:r>
      <w:r>
        <w:rPr>
          <w:noProof/>
        </w:rPr>
        <w:t>234</w:t>
      </w:r>
      <w:r>
        <w:rPr>
          <w:noProof/>
        </w:rPr>
        <w:fldChar w:fldCharType="end"/>
      </w:r>
    </w:p>
    <w:p w14:paraId="35F901BB" w14:textId="49001F08" w:rsidR="003F6EFC" w:rsidRDefault="003F6EFC">
      <w:pPr>
        <w:pStyle w:val="TOC5"/>
        <w:rPr>
          <w:rFonts w:asciiTheme="minorHAnsi" w:eastAsiaTheme="minorEastAsia" w:hAnsiTheme="minorHAnsi" w:cstheme="minorBidi"/>
          <w:noProof/>
          <w:kern w:val="2"/>
          <w:sz w:val="21"/>
          <w:szCs w:val="22"/>
          <w:lang w:val="en-US" w:eastAsia="zh-CN"/>
        </w:rPr>
      </w:pPr>
      <w:r>
        <w:rPr>
          <w:noProof/>
        </w:rPr>
        <w:t>5.1.6.2.109</w:t>
      </w:r>
      <w:r>
        <w:rPr>
          <w:rFonts w:asciiTheme="minorHAnsi" w:eastAsiaTheme="minorEastAsia" w:hAnsiTheme="minorHAnsi" w:cstheme="minorBidi"/>
          <w:noProof/>
          <w:kern w:val="2"/>
          <w:sz w:val="21"/>
          <w:szCs w:val="22"/>
          <w:lang w:val="en-US" w:eastAsia="zh-CN"/>
        </w:rPr>
        <w:tab/>
      </w:r>
      <w:r>
        <w:rPr>
          <w:noProof/>
        </w:rPr>
        <w:t>Type SignalStormInfo</w:t>
      </w:r>
      <w:r>
        <w:rPr>
          <w:noProof/>
        </w:rPr>
        <w:tab/>
      </w:r>
      <w:r>
        <w:rPr>
          <w:noProof/>
        </w:rPr>
        <w:fldChar w:fldCharType="begin"/>
      </w:r>
      <w:r>
        <w:rPr>
          <w:noProof/>
        </w:rPr>
        <w:instrText xml:space="preserve"> PAGEREF _Toc199452998 \h </w:instrText>
      </w:r>
      <w:r>
        <w:rPr>
          <w:noProof/>
        </w:rPr>
      </w:r>
      <w:r>
        <w:rPr>
          <w:noProof/>
        </w:rPr>
        <w:fldChar w:fldCharType="separate"/>
      </w:r>
      <w:r>
        <w:rPr>
          <w:noProof/>
        </w:rPr>
        <w:t>237</w:t>
      </w:r>
      <w:r>
        <w:rPr>
          <w:noProof/>
        </w:rPr>
        <w:fldChar w:fldCharType="end"/>
      </w:r>
    </w:p>
    <w:p w14:paraId="2CC42A1E" w14:textId="4B173185" w:rsidR="003F6EFC" w:rsidRDefault="003F6EFC">
      <w:pPr>
        <w:pStyle w:val="TOC5"/>
        <w:rPr>
          <w:rFonts w:asciiTheme="minorHAnsi" w:eastAsiaTheme="minorEastAsia" w:hAnsiTheme="minorHAnsi" w:cstheme="minorBidi"/>
          <w:noProof/>
          <w:kern w:val="2"/>
          <w:sz w:val="21"/>
          <w:szCs w:val="22"/>
          <w:lang w:val="en-US" w:eastAsia="zh-CN"/>
        </w:rPr>
      </w:pPr>
      <w:r>
        <w:rPr>
          <w:noProof/>
        </w:rPr>
        <w:t>5.1.6.2.110</w:t>
      </w:r>
      <w:r>
        <w:rPr>
          <w:rFonts w:asciiTheme="minorHAnsi" w:eastAsiaTheme="minorEastAsia" w:hAnsiTheme="minorHAnsi" w:cstheme="minorBidi"/>
          <w:noProof/>
          <w:kern w:val="2"/>
          <w:sz w:val="21"/>
          <w:szCs w:val="22"/>
          <w:lang w:val="en-US" w:eastAsia="zh-CN"/>
        </w:rPr>
        <w:tab/>
      </w:r>
      <w:r>
        <w:rPr>
          <w:noProof/>
        </w:rPr>
        <w:t>Type SignalInfo</w:t>
      </w:r>
      <w:r>
        <w:rPr>
          <w:noProof/>
        </w:rPr>
        <w:tab/>
      </w:r>
      <w:r>
        <w:rPr>
          <w:noProof/>
        </w:rPr>
        <w:fldChar w:fldCharType="begin"/>
      </w:r>
      <w:r>
        <w:rPr>
          <w:noProof/>
        </w:rPr>
        <w:instrText xml:space="preserve"> PAGEREF _Toc199452999 \h </w:instrText>
      </w:r>
      <w:r>
        <w:rPr>
          <w:noProof/>
        </w:rPr>
      </w:r>
      <w:r>
        <w:rPr>
          <w:noProof/>
        </w:rPr>
        <w:fldChar w:fldCharType="separate"/>
      </w:r>
      <w:r>
        <w:rPr>
          <w:noProof/>
        </w:rPr>
        <w:t>239</w:t>
      </w:r>
      <w:r>
        <w:rPr>
          <w:noProof/>
        </w:rPr>
        <w:fldChar w:fldCharType="end"/>
      </w:r>
    </w:p>
    <w:p w14:paraId="7C9089CD" w14:textId="6A68BBAE" w:rsidR="003F6EFC" w:rsidRDefault="003F6EFC">
      <w:pPr>
        <w:pStyle w:val="TOC5"/>
        <w:rPr>
          <w:rFonts w:asciiTheme="minorHAnsi" w:eastAsiaTheme="minorEastAsia" w:hAnsiTheme="minorHAnsi" w:cstheme="minorBidi"/>
          <w:noProof/>
          <w:kern w:val="2"/>
          <w:sz w:val="21"/>
          <w:szCs w:val="22"/>
          <w:lang w:val="en-US" w:eastAsia="zh-CN"/>
        </w:rPr>
      </w:pPr>
      <w:r>
        <w:rPr>
          <w:noProof/>
        </w:rPr>
        <w:t>5.1.6.2.111</w:t>
      </w:r>
      <w:r>
        <w:rPr>
          <w:rFonts w:asciiTheme="minorHAnsi" w:eastAsiaTheme="minorEastAsia" w:hAnsiTheme="minorHAnsi" w:cstheme="minorBidi"/>
          <w:noProof/>
          <w:kern w:val="2"/>
          <w:sz w:val="21"/>
          <w:szCs w:val="22"/>
          <w:lang w:val="en-US" w:eastAsia="zh-CN"/>
        </w:rPr>
        <w:tab/>
      </w:r>
      <w:r>
        <w:rPr>
          <w:noProof/>
        </w:rPr>
        <w:t>Type SignalAnalytics</w:t>
      </w:r>
      <w:r>
        <w:rPr>
          <w:noProof/>
        </w:rPr>
        <w:tab/>
      </w:r>
      <w:r>
        <w:rPr>
          <w:noProof/>
        </w:rPr>
        <w:fldChar w:fldCharType="begin"/>
      </w:r>
      <w:r>
        <w:rPr>
          <w:noProof/>
        </w:rPr>
        <w:instrText xml:space="preserve"> PAGEREF _Toc199453000 \h </w:instrText>
      </w:r>
      <w:r>
        <w:rPr>
          <w:noProof/>
        </w:rPr>
      </w:r>
      <w:r>
        <w:rPr>
          <w:noProof/>
        </w:rPr>
        <w:fldChar w:fldCharType="separate"/>
      </w:r>
      <w:r>
        <w:rPr>
          <w:noProof/>
        </w:rPr>
        <w:t>239</w:t>
      </w:r>
      <w:r>
        <w:rPr>
          <w:noProof/>
        </w:rPr>
        <w:fldChar w:fldCharType="end"/>
      </w:r>
    </w:p>
    <w:p w14:paraId="5003738F" w14:textId="7AF4C6C6" w:rsidR="003F6EFC" w:rsidRDefault="003F6EFC">
      <w:pPr>
        <w:pStyle w:val="TOC5"/>
        <w:rPr>
          <w:rFonts w:asciiTheme="minorHAnsi" w:eastAsiaTheme="minorEastAsia" w:hAnsiTheme="minorHAnsi" w:cstheme="minorBidi"/>
          <w:noProof/>
          <w:kern w:val="2"/>
          <w:sz w:val="21"/>
          <w:szCs w:val="22"/>
          <w:lang w:val="en-US" w:eastAsia="zh-CN"/>
        </w:rPr>
      </w:pPr>
      <w:r>
        <w:rPr>
          <w:noProof/>
        </w:rPr>
        <w:t>5.1.6.2.112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Timer</w:t>
      </w:r>
      <w:r>
        <w:rPr>
          <w:noProof/>
        </w:rPr>
        <w:t>Info</w:t>
      </w:r>
      <w:r>
        <w:rPr>
          <w:noProof/>
        </w:rPr>
        <w:tab/>
      </w:r>
      <w:r>
        <w:rPr>
          <w:noProof/>
        </w:rPr>
        <w:fldChar w:fldCharType="begin"/>
      </w:r>
      <w:r>
        <w:rPr>
          <w:noProof/>
        </w:rPr>
        <w:instrText xml:space="preserve"> PAGEREF _Toc199453001 \h </w:instrText>
      </w:r>
      <w:r>
        <w:rPr>
          <w:noProof/>
        </w:rPr>
      </w:r>
      <w:r>
        <w:rPr>
          <w:noProof/>
        </w:rPr>
        <w:fldChar w:fldCharType="separate"/>
      </w:r>
      <w:r>
        <w:rPr>
          <w:noProof/>
        </w:rPr>
        <w:t>239</w:t>
      </w:r>
      <w:r>
        <w:rPr>
          <w:noProof/>
        </w:rPr>
        <w:fldChar w:fldCharType="end"/>
      </w:r>
    </w:p>
    <w:p w14:paraId="2F7518FB" w14:textId="708943F7" w:rsidR="003F6EFC" w:rsidRDefault="003F6EFC">
      <w:pPr>
        <w:pStyle w:val="TOC5"/>
        <w:rPr>
          <w:rFonts w:asciiTheme="minorHAnsi" w:eastAsiaTheme="minorEastAsia" w:hAnsiTheme="minorHAnsi" w:cstheme="minorBidi"/>
          <w:noProof/>
          <w:kern w:val="2"/>
          <w:sz w:val="21"/>
          <w:szCs w:val="22"/>
          <w:lang w:val="en-US" w:eastAsia="zh-CN"/>
        </w:rPr>
      </w:pPr>
      <w:r>
        <w:rPr>
          <w:noProof/>
        </w:rPr>
        <w:t>5.1.6.2.113</w:t>
      </w:r>
      <w:r>
        <w:rPr>
          <w:rFonts w:asciiTheme="minorHAnsi" w:eastAsiaTheme="minorEastAsia" w:hAnsiTheme="minorHAnsi" w:cstheme="minorBidi"/>
          <w:noProof/>
          <w:kern w:val="2"/>
          <w:sz w:val="21"/>
          <w:szCs w:val="22"/>
          <w:lang w:val="en-US" w:eastAsia="zh-CN"/>
        </w:rPr>
        <w:tab/>
      </w:r>
      <w:r>
        <w:rPr>
          <w:noProof/>
        </w:rPr>
        <w:t>Type QosPolicyAssistReq</w:t>
      </w:r>
      <w:r>
        <w:rPr>
          <w:noProof/>
        </w:rPr>
        <w:tab/>
      </w:r>
      <w:r>
        <w:rPr>
          <w:noProof/>
        </w:rPr>
        <w:fldChar w:fldCharType="begin"/>
      </w:r>
      <w:r>
        <w:rPr>
          <w:noProof/>
        </w:rPr>
        <w:instrText xml:space="preserve"> PAGEREF _Toc199453002 \h </w:instrText>
      </w:r>
      <w:r>
        <w:rPr>
          <w:noProof/>
        </w:rPr>
      </w:r>
      <w:r>
        <w:rPr>
          <w:noProof/>
        </w:rPr>
        <w:fldChar w:fldCharType="separate"/>
      </w:r>
      <w:r>
        <w:rPr>
          <w:noProof/>
        </w:rPr>
        <w:t>240</w:t>
      </w:r>
      <w:r>
        <w:rPr>
          <w:noProof/>
        </w:rPr>
        <w:fldChar w:fldCharType="end"/>
      </w:r>
    </w:p>
    <w:p w14:paraId="3A4C1B78" w14:textId="447C924A" w:rsidR="003F6EFC" w:rsidRDefault="003F6EFC">
      <w:pPr>
        <w:pStyle w:val="TOC5"/>
        <w:rPr>
          <w:rFonts w:asciiTheme="minorHAnsi" w:eastAsiaTheme="minorEastAsia" w:hAnsiTheme="minorHAnsi" w:cstheme="minorBidi"/>
          <w:noProof/>
          <w:kern w:val="2"/>
          <w:sz w:val="21"/>
          <w:szCs w:val="22"/>
          <w:lang w:val="en-US" w:eastAsia="zh-CN"/>
        </w:rPr>
      </w:pPr>
      <w:r>
        <w:rPr>
          <w:noProof/>
        </w:rPr>
        <w:t>5.1.6.2.114</w:t>
      </w:r>
      <w:r>
        <w:rPr>
          <w:rFonts w:asciiTheme="minorHAnsi" w:eastAsiaTheme="minorEastAsia" w:hAnsiTheme="minorHAnsi" w:cstheme="minorBidi"/>
          <w:noProof/>
          <w:kern w:val="2"/>
          <w:sz w:val="21"/>
          <w:szCs w:val="22"/>
          <w:lang w:val="en-US" w:eastAsia="zh-CN"/>
        </w:rPr>
        <w:tab/>
      </w:r>
      <w:r>
        <w:rPr>
          <w:noProof/>
        </w:rPr>
        <w:t>Type QosPolicyAssistInfo</w:t>
      </w:r>
      <w:r>
        <w:rPr>
          <w:noProof/>
        </w:rPr>
        <w:tab/>
      </w:r>
      <w:r>
        <w:rPr>
          <w:noProof/>
        </w:rPr>
        <w:fldChar w:fldCharType="begin"/>
      </w:r>
      <w:r>
        <w:rPr>
          <w:noProof/>
        </w:rPr>
        <w:instrText xml:space="preserve"> PAGEREF _Toc199453003 \h </w:instrText>
      </w:r>
      <w:r>
        <w:rPr>
          <w:noProof/>
        </w:rPr>
      </w:r>
      <w:r>
        <w:rPr>
          <w:noProof/>
        </w:rPr>
        <w:fldChar w:fldCharType="separate"/>
      </w:r>
      <w:r>
        <w:rPr>
          <w:noProof/>
        </w:rPr>
        <w:t>240</w:t>
      </w:r>
      <w:r>
        <w:rPr>
          <w:noProof/>
        </w:rPr>
        <w:fldChar w:fldCharType="end"/>
      </w:r>
    </w:p>
    <w:p w14:paraId="14C68C9C" w14:textId="3511C0C7" w:rsidR="003F6EFC" w:rsidRDefault="003F6EFC">
      <w:pPr>
        <w:pStyle w:val="TOC5"/>
        <w:rPr>
          <w:rFonts w:asciiTheme="minorHAnsi" w:eastAsiaTheme="minorEastAsia" w:hAnsiTheme="minorHAnsi" w:cstheme="minorBidi"/>
          <w:noProof/>
          <w:kern w:val="2"/>
          <w:sz w:val="21"/>
          <w:szCs w:val="22"/>
          <w:lang w:val="en-US" w:eastAsia="zh-CN"/>
        </w:rPr>
      </w:pPr>
      <w:r>
        <w:rPr>
          <w:noProof/>
        </w:rPr>
        <w:t>5.1.6.2.11</w:t>
      </w:r>
      <w:r>
        <w:rPr>
          <w:noProof/>
          <w:lang w:eastAsia="zh-CN"/>
        </w:rPr>
        <w:t>5</w:t>
      </w:r>
      <w:r>
        <w:rPr>
          <w:rFonts w:asciiTheme="minorHAnsi" w:eastAsiaTheme="minorEastAsia" w:hAnsiTheme="minorHAnsi" w:cstheme="minorBidi"/>
          <w:noProof/>
          <w:kern w:val="2"/>
          <w:sz w:val="21"/>
          <w:szCs w:val="22"/>
          <w:lang w:val="en-US" w:eastAsia="zh-CN"/>
        </w:rPr>
        <w:tab/>
      </w:r>
      <w:r>
        <w:rPr>
          <w:noProof/>
        </w:rPr>
        <w:t>Type QosPolicyAssist</w:t>
      </w:r>
      <w:r>
        <w:rPr>
          <w:noProof/>
          <w:lang w:eastAsia="zh-CN"/>
        </w:rPr>
        <w:t>Set</w:t>
      </w:r>
      <w:r>
        <w:rPr>
          <w:noProof/>
        </w:rPr>
        <w:tab/>
      </w:r>
      <w:r>
        <w:rPr>
          <w:noProof/>
        </w:rPr>
        <w:fldChar w:fldCharType="begin"/>
      </w:r>
      <w:r>
        <w:rPr>
          <w:noProof/>
        </w:rPr>
        <w:instrText xml:space="preserve"> PAGEREF _Toc199453004 \h </w:instrText>
      </w:r>
      <w:r>
        <w:rPr>
          <w:noProof/>
        </w:rPr>
      </w:r>
      <w:r>
        <w:rPr>
          <w:noProof/>
        </w:rPr>
        <w:fldChar w:fldCharType="separate"/>
      </w:r>
      <w:r>
        <w:rPr>
          <w:noProof/>
        </w:rPr>
        <w:t>241</w:t>
      </w:r>
      <w:r>
        <w:rPr>
          <w:noProof/>
        </w:rPr>
        <w:fldChar w:fldCharType="end"/>
      </w:r>
    </w:p>
    <w:p w14:paraId="200CF120" w14:textId="58A631AC" w:rsidR="003F6EFC" w:rsidRDefault="003F6EFC">
      <w:pPr>
        <w:pStyle w:val="TOC5"/>
        <w:rPr>
          <w:rFonts w:asciiTheme="minorHAnsi" w:eastAsiaTheme="minorEastAsia" w:hAnsiTheme="minorHAnsi" w:cstheme="minorBidi"/>
          <w:noProof/>
          <w:kern w:val="2"/>
          <w:sz w:val="21"/>
          <w:szCs w:val="22"/>
          <w:lang w:val="en-US" w:eastAsia="zh-CN"/>
        </w:rPr>
      </w:pPr>
      <w:r>
        <w:rPr>
          <w:noProof/>
        </w:rPr>
        <w:t>5.1.6.2.11</w:t>
      </w:r>
      <w:r>
        <w:rPr>
          <w:noProof/>
          <w:lang w:eastAsia="zh-CN"/>
        </w:rPr>
        <w:t>6</w:t>
      </w:r>
      <w:r>
        <w:rPr>
          <w:rFonts w:asciiTheme="minorHAnsi" w:eastAsiaTheme="minorEastAsia" w:hAnsiTheme="minorHAnsi" w:cstheme="minorBidi"/>
          <w:noProof/>
          <w:kern w:val="2"/>
          <w:sz w:val="21"/>
          <w:szCs w:val="22"/>
          <w:lang w:val="en-US" w:eastAsia="zh-CN"/>
        </w:rPr>
        <w:tab/>
      </w:r>
      <w:r>
        <w:rPr>
          <w:noProof/>
        </w:rPr>
        <w:t>Type QosPolicyAssist</w:t>
      </w:r>
      <w:r>
        <w:rPr>
          <w:noProof/>
          <w:lang w:eastAsia="zh-CN"/>
        </w:rPr>
        <w:t>Sets</w:t>
      </w:r>
      <w:r>
        <w:rPr>
          <w:noProof/>
        </w:rPr>
        <w:t>PerTS</w:t>
      </w:r>
      <w:r>
        <w:rPr>
          <w:noProof/>
        </w:rPr>
        <w:tab/>
      </w:r>
      <w:r>
        <w:rPr>
          <w:noProof/>
        </w:rPr>
        <w:fldChar w:fldCharType="begin"/>
      </w:r>
      <w:r>
        <w:rPr>
          <w:noProof/>
        </w:rPr>
        <w:instrText xml:space="preserve"> PAGEREF _Toc199453005 \h </w:instrText>
      </w:r>
      <w:r>
        <w:rPr>
          <w:noProof/>
        </w:rPr>
      </w:r>
      <w:r>
        <w:rPr>
          <w:noProof/>
        </w:rPr>
        <w:fldChar w:fldCharType="separate"/>
      </w:r>
      <w:r>
        <w:rPr>
          <w:noProof/>
        </w:rPr>
        <w:t>243</w:t>
      </w:r>
      <w:r>
        <w:rPr>
          <w:noProof/>
        </w:rPr>
        <w:fldChar w:fldCharType="end"/>
      </w:r>
    </w:p>
    <w:p w14:paraId="2B8B11CC" w14:textId="5A9651B3" w:rsidR="003F6EFC" w:rsidRDefault="003F6EFC">
      <w:pPr>
        <w:pStyle w:val="TOC5"/>
        <w:rPr>
          <w:rFonts w:asciiTheme="minorHAnsi" w:eastAsiaTheme="minorEastAsia" w:hAnsiTheme="minorHAnsi" w:cstheme="minorBidi"/>
          <w:noProof/>
          <w:kern w:val="2"/>
          <w:sz w:val="21"/>
          <w:szCs w:val="22"/>
          <w:lang w:val="en-US" w:eastAsia="zh-CN"/>
        </w:rPr>
      </w:pPr>
      <w:r>
        <w:rPr>
          <w:noProof/>
        </w:rPr>
        <w:t>5.1.6.2.117</w:t>
      </w:r>
      <w:r>
        <w:rPr>
          <w:rFonts w:asciiTheme="minorHAnsi" w:eastAsiaTheme="minorEastAsia" w:hAnsiTheme="minorHAnsi" w:cstheme="minorBidi"/>
          <w:noProof/>
          <w:kern w:val="2"/>
          <w:sz w:val="21"/>
          <w:szCs w:val="22"/>
          <w:lang w:val="en-US" w:eastAsia="zh-CN"/>
        </w:rPr>
        <w:tab/>
      </w:r>
      <w:r>
        <w:rPr>
          <w:noProof/>
        </w:rPr>
        <w:t>Type QosPara</w:t>
      </w:r>
      <w:r>
        <w:rPr>
          <w:noProof/>
        </w:rPr>
        <w:tab/>
      </w:r>
      <w:r>
        <w:rPr>
          <w:noProof/>
        </w:rPr>
        <w:fldChar w:fldCharType="begin"/>
      </w:r>
      <w:r>
        <w:rPr>
          <w:noProof/>
        </w:rPr>
        <w:instrText xml:space="preserve"> PAGEREF _Toc199453006 \h </w:instrText>
      </w:r>
      <w:r>
        <w:rPr>
          <w:noProof/>
        </w:rPr>
      </w:r>
      <w:r>
        <w:rPr>
          <w:noProof/>
        </w:rPr>
        <w:fldChar w:fldCharType="separate"/>
      </w:r>
      <w:r>
        <w:rPr>
          <w:noProof/>
        </w:rPr>
        <w:t>244</w:t>
      </w:r>
      <w:r>
        <w:rPr>
          <w:noProof/>
        </w:rPr>
        <w:fldChar w:fldCharType="end"/>
      </w:r>
    </w:p>
    <w:p w14:paraId="1136894B" w14:textId="6E634A4A" w:rsidR="003F6EFC" w:rsidRDefault="003F6EFC">
      <w:pPr>
        <w:pStyle w:val="TOC4"/>
        <w:rPr>
          <w:rFonts w:asciiTheme="minorHAnsi" w:eastAsiaTheme="minorEastAsia" w:hAnsiTheme="minorHAnsi" w:cstheme="minorBidi"/>
          <w:noProof/>
          <w:kern w:val="2"/>
          <w:sz w:val="21"/>
          <w:szCs w:val="22"/>
          <w:lang w:val="en-US" w:eastAsia="zh-CN"/>
        </w:rPr>
      </w:pPr>
      <w:r>
        <w:rPr>
          <w:noProof/>
        </w:rPr>
        <w:t>5.1.6.3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_Toc199453007 \h </w:instrText>
      </w:r>
      <w:r>
        <w:rPr>
          <w:noProof/>
        </w:rPr>
      </w:r>
      <w:r>
        <w:rPr>
          <w:noProof/>
        </w:rPr>
        <w:fldChar w:fldCharType="separate"/>
      </w:r>
      <w:r>
        <w:rPr>
          <w:noProof/>
        </w:rPr>
        <w:t>244</w:t>
      </w:r>
      <w:r>
        <w:rPr>
          <w:noProof/>
        </w:rPr>
        <w:fldChar w:fldCharType="end"/>
      </w:r>
    </w:p>
    <w:p w14:paraId="743DAEFA" w14:textId="7B2A0097" w:rsidR="003F6EFC" w:rsidRDefault="003F6EFC">
      <w:pPr>
        <w:pStyle w:val="TOC5"/>
        <w:rPr>
          <w:rFonts w:asciiTheme="minorHAnsi" w:eastAsiaTheme="minorEastAsia" w:hAnsiTheme="minorHAnsi" w:cstheme="minorBidi"/>
          <w:noProof/>
          <w:kern w:val="2"/>
          <w:sz w:val="21"/>
          <w:szCs w:val="22"/>
          <w:lang w:val="en-US" w:eastAsia="zh-CN"/>
        </w:rPr>
      </w:pPr>
      <w:r>
        <w:rPr>
          <w:noProof/>
        </w:rPr>
        <w:t>5.1.6.3.1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_Toc199453008 \h </w:instrText>
      </w:r>
      <w:r>
        <w:rPr>
          <w:noProof/>
        </w:rPr>
      </w:r>
      <w:r>
        <w:rPr>
          <w:noProof/>
        </w:rPr>
        <w:fldChar w:fldCharType="separate"/>
      </w:r>
      <w:r>
        <w:rPr>
          <w:noProof/>
        </w:rPr>
        <w:t>244</w:t>
      </w:r>
      <w:r>
        <w:rPr>
          <w:noProof/>
        </w:rPr>
        <w:fldChar w:fldCharType="end"/>
      </w:r>
    </w:p>
    <w:p w14:paraId="7D6E9784" w14:textId="4D8E40AE" w:rsidR="003F6EFC" w:rsidRDefault="003F6EFC">
      <w:pPr>
        <w:pStyle w:val="TOC5"/>
        <w:rPr>
          <w:rFonts w:asciiTheme="minorHAnsi" w:eastAsiaTheme="minorEastAsia" w:hAnsiTheme="minorHAnsi" w:cstheme="minorBidi"/>
          <w:noProof/>
          <w:kern w:val="2"/>
          <w:sz w:val="21"/>
          <w:szCs w:val="22"/>
          <w:lang w:val="en-US" w:eastAsia="zh-CN"/>
        </w:rPr>
      </w:pPr>
      <w:r>
        <w:rPr>
          <w:noProof/>
        </w:rPr>
        <w:t>5.1.6.3.2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_Toc199453009 \h </w:instrText>
      </w:r>
      <w:r>
        <w:rPr>
          <w:noProof/>
        </w:rPr>
      </w:r>
      <w:r>
        <w:rPr>
          <w:noProof/>
        </w:rPr>
        <w:fldChar w:fldCharType="separate"/>
      </w:r>
      <w:r>
        <w:rPr>
          <w:noProof/>
        </w:rPr>
        <w:t>244</w:t>
      </w:r>
      <w:r>
        <w:rPr>
          <w:noProof/>
        </w:rPr>
        <w:fldChar w:fldCharType="end"/>
      </w:r>
    </w:p>
    <w:p w14:paraId="16B795F9" w14:textId="29133154" w:rsidR="003F6EFC" w:rsidRDefault="003F6EFC">
      <w:pPr>
        <w:pStyle w:val="TOC5"/>
        <w:rPr>
          <w:rFonts w:asciiTheme="minorHAnsi" w:eastAsiaTheme="minorEastAsia" w:hAnsiTheme="minorHAnsi" w:cstheme="minorBidi"/>
          <w:noProof/>
          <w:kern w:val="2"/>
          <w:sz w:val="21"/>
          <w:szCs w:val="22"/>
          <w:lang w:val="en-US" w:eastAsia="zh-CN"/>
        </w:rPr>
      </w:pPr>
      <w:r>
        <w:rPr>
          <w:noProof/>
        </w:rPr>
        <w:t>5.1.6.3.3</w:t>
      </w:r>
      <w:r>
        <w:rPr>
          <w:rFonts w:asciiTheme="minorHAnsi" w:eastAsiaTheme="minorEastAsia" w:hAnsiTheme="minorHAnsi" w:cstheme="minorBidi"/>
          <w:noProof/>
          <w:kern w:val="2"/>
          <w:sz w:val="21"/>
          <w:szCs w:val="22"/>
          <w:lang w:val="en-US" w:eastAsia="zh-CN"/>
        </w:rPr>
        <w:tab/>
      </w:r>
      <w:r>
        <w:rPr>
          <w:noProof/>
        </w:rPr>
        <w:t>Enumeration: NotificationMethod</w:t>
      </w:r>
      <w:r>
        <w:rPr>
          <w:noProof/>
        </w:rPr>
        <w:tab/>
      </w:r>
      <w:r>
        <w:rPr>
          <w:noProof/>
        </w:rPr>
        <w:fldChar w:fldCharType="begin"/>
      </w:r>
      <w:r>
        <w:rPr>
          <w:noProof/>
        </w:rPr>
        <w:instrText xml:space="preserve"> PAGEREF _Toc199453010 \h </w:instrText>
      </w:r>
      <w:r>
        <w:rPr>
          <w:noProof/>
        </w:rPr>
      </w:r>
      <w:r>
        <w:rPr>
          <w:noProof/>
        </w:rPr>
        <w:fldChar w:fldCharType="separate"/>
      </w:r>
      <w:r>
        <w:rPr>
          <w:noProof/>
        </w:rPr>
        <w:t>245</w:t>
      </w:r>
      <w:r>
        <w:rPr>
          <w:noProof/>
        </w:rPr>
        <w:fldChar w:fldCharType="end"/>
      </w:r>
    </w:p>
    <w:p w14:paraId="1C011E0B" w14:textId="3C77F085" w:rsidR="003F6EFC" w:rsidRDefault="003F6EFC">
      <w:pPr>
        <w:pStyle w:val="TOC5"/>
        <w:rPr>
          <w:rFonts w:asciiTheme="minorHAnsi" w:eastAsiaTheme="minorEastAsia" w:hAnsiTheme="minorHAnsi" w:cstheme="minorBidi"/>
          <w:noProof/>
          <w:kern w:val="2"/>
          <w:sz w:val="21"/>
          <w:szCs w:val="22"/>
          <w:lang w:val="en-US" w:eastAsia="zh-CN"/>
        </w:rPr>
      </w:pPr>
      <w:r>
        <w:rPr>
          <w:noProof/>
        </w:rPr>
        <w:t>5.1.6.3.4</w:t>
      </w:r>
      <w:r>
        <w:rPr>
          <w:rFonts w:asciiTheme="minorHAnsi" w:eastAsiaTheme="minorEastAsia" w:hAnsiTheme="minorHAnsi" w:cstheme="minorBidi"/>
          <w:noProof/>
          <w:kern w:val="2"/>
          <w:sz w:val="21"/>
          <w:szCs w:val="22"/>
          <w:lang w:val="en-US" w:eastAsia="zh-CN"/>
        </w:rPr>
        <w:tab/>
      </w:r>
      <w:r>
        <w:rPr>
          <w:noProof/>
        </w:rPr>
        <w:t>Enumeration: NwdafEvent</w:t>
      </w:r>
      <w:r>
        <w:rPr>
          <w:noProof/>
        </w:rPr>
        <w:tab/>
      </w:r>
      <w:r>
        <w:rPr>
          <w:noProof/>
        </w:rPr>
        <w:fldChar w:fldCharType="begin"/>
      </w:r>
      <w:r>
        <w:rPr>
          <w:noProof/>
        </w:rPr>
        <w:instrText xml:space="preserve"> PAGEREF _Toc199453011 \h </w:instrText>
      </w:r>
      <w:r>
        <w:rPr>
          <w:noProof/>
        </w:rPr>
      </w:r>
      <w:r>
        <w:rPr>
          <w:noProof/>
        </w:rPr>
        <w:fldChar w:fldCharType="separate"/>
      </w:r>
      <w:r>
        <w:rPr>
          <w:noProof/>
        </w:rPr>
        <w:t>246</w:t>
      </w:r>
      <w:r>
        <w:rPr>
          <w:noProof/>
        </w:rPr>
        <w:fldChar w:fldCharType="end"/>
      </w:r>
    </w:p>
    <w:p w14:paraId="71EA4264" w14:textId="41DE883E" w:rsidR="003F6EFC" w:rsidRDefault="003F6EFC">
      <w:pPr>
        <w:pStyle w:val="TOC5"/>
        <w:rPr>
          <w:rFonts w:asciiTheme="minorHAnsi" w:eastAsiaTheme="minorEastAsia" w:hAnsiTheme="minorHAnsi" w:cstheme="minorBidi"/>
          <w:noProof/>
          <w:kern w:val="2"/>
          <w:sz w:val="21"/>
          <w:szCs w:val="22"/>
          <w:lang w:val="en-US" w:eastAsia="zh-CN"/>
        </w:rPr>
      </w:pPr>
      <w:r>
        <w:rPr>
          <w:noProof/>
        </w:rPr>
        <w:t>5.1.6.3.5</w:t>
      </w:r>
      <w:r>
        <w:rPr>
          <w:rFonts w:asciiTheme="minorHAnsi" w:eastAsiaTheme="minorEastAsia" w:hAnsiTheme="minorHAnsi" w:cstheme="minorBidi"/>
          <w:noProof/>
          <w:kern w:val="2"/>
          <w:sz w:val="21"/>
          <w:szCs w:val="22"/>
          <w:lang w:val="en-US" w:eastAsia="zh-CN"/>
        </w:rPr>
        <w:tab/>
      </w:r>
      <w:r>
        <w:rPr>
          <w:noProof/>
        </w:rPr>
        <w:t>Enumeration: Accuracy</w:t>
      </w:r>
      <w:r>
        <w:rPr>
          <w:noProof/>
        </w:rPr>
        <w:tab/>
      </w:r>
      <w:r>
        <w:rPr>
          <w:noProof/>
        </w:rPr>
        <w:fldChar w:fldCharType="begin"/>
      </w:r>
      <w:r>
        <w:rPr>
          <w:noProof/>
        </w:rPr>
        <w:instrText xml:space="preserve"> PAGEREF _Toc199453012 \h </w:instrText>
      </w:r>
      <w:r>
        <w:rPr>
          <w:noProof/>
        </w:rPr>
      </w:r>
      <w:r>
        <w:rPr>
          <w:noProof/>
        </w:rPr>
        <w:fldChar w:fldCharType="separate"/>
      </w:r>
      <w:r>
        <w:rPr>
          <w:noProof/>
        </w:rPr>
        <w:t>247</w:t>
      </w:r>
      <w:r>
        <w:rPr>
          <w:noProof/>
        </w:rPr>
        <w:fldChar w:fldCharType="end"/>
      </w:r>
    </w:p>
    <w:p w14:paraId="4301F196" w14:textId="0146E9B3" w:rsidR="003F6EFC" w:rsidRDefault="003F6EFC">
      <w:pPr>
        <w:pStyle w:val="TOC5"/>
        <w:rPr>
          <w:rFonts w:asciiTheme="minorHAnsi" w:eastAsiaTheme="minorEastAsia" w:hAnsiTheme="minorHAnsi" w:cstheme="minorBidi"/>
          <w:noProof/>
          <w:kern w:val="2"/>
          <w:sz w:val="21"/>
          <w:szCs w:val="22"/>
          <w:lang w:val="en-US" w:eastAsia="zh-CN"/>
        </w:rPr>
      </w:pPr>
      <w:r>
        <w:rPr>
          <w:noProof/>
        </w:rPr>
        <w:t>5.1.6.3.6</w:t>
      </w:r>
      <w:r>
        <w:rPr>
          <w:rFonts w:asciiTheme="minorHAnsi" w:eastAsiaTheme="minorEastAsia" w:hAnsiTheme="minorHAnsi" w:cstheme="minorBidi"/>
          <w:noProof/>
          <w:kern w:val="2"/>
          <w:sz w:val="21"/>
          <w:szCs w:val="22"/>
          <w:lang w:val="en-US" w:eastAsia="zh-CN"/>
        </w:rPr>
        <w:tab/>
      </w:r>
      <w:r>
        <w:rPr>
          <w:noProof/>
        </w:rPr>
        <w:t>Enumeration: ExceptionId</w:t>
      </w:r>
      <w:r>
        <w:rPr>
          <w:noProof/>
        </w:rPr>
        <w:tab/>
      </w:r>
      <w:r>
        <w:rPr>
          <w:noProof/>
        </w:rPr>
        <w:fldChar w:fldCharType="begin"/>
      </w:r>
      <w:r>
        <w:rPr>
          <w:noProof/>
        </w:rPr>
        <w:instrText xml:space="preserve"> PAGEREF _Toc199453013 \h </w:instrText>
      </w:r>
      <w:r>
        <w:rPr>
          <w:noProof/>
        </w:rPr>
      </w:r>
      <w:r>
        <w:rPr>
          <w:noProof/>
        </w:rPr>
        <w:fldChar w:fldCharType="separate"/>
      </w:r>
      <w:r>
        <w:rPr>
          <w:noProof/>
        </w:rPr>
        <w:t>247</w:t>
      </w:r>
      <w:r>
        <w:rPr>
          <w:noProof/>
        </w:rPr>
        <w:fldChar w:fldCharType="end"/>
      </w:r>
    </w:p>
    <w:p w14:paraId="3C9DD9B0" w14:textId="3C879299" w:rsidR="003F6EFC" w:rsidRDefault="003F6EFC">
      <w:pPr>
        <w:pStyle w:val="TOC5"/>
        <w:rPr>
          <w:rFonts w:asciiTheme="minorHAnsi" w:eastAsiaTheme="minorEastAsia" w:hAnsiTheme="minorHAnsi" w:cstheme="minorBidi"/>
          <w:noProof/>
          <w:kern w:val="2"/>
          <w:sz w:val="21"/>
          <w:szCs w:val="22"/>
          <w:lang w:val="en-US" w:eastAsia="zh-CN"/>
        </w:rPr>
      </w:pPr>
      <w:r>
        <w:rPr>
          <w:noProof/>
        </w:rPr>
        <w:t>5.1.6.3.7</w:t>
      </w:r>
      <w:r>
        <w:rPr>
          <w:rFonts w:asciiTheme="minorHAnsi" w:eastAsiaTheme="minorEastAsia" w:hAnsiTheme="minorHAnsi" w:cstheme="minorBidi"/>
          <w:noProof/>
          <w:kern w:val="2"/>
          <w:sz w:val="21"/>
          <w:szCs w:val="22"/>
          <w:lang w:val="en-US" w:eastAsia="zh-CN"/>
        </w:rPr>
        <w:tab/>
      </w:r>
      <w:r>
        <w:rPr>
          <w:noProof/>
        </w:rPr>
        <w:t>Enumeration: ExceptionTrend</w:t>
      </w:r>
      <w:r>
        <w:rPr>
          <w:noProof/>
        </w:rPr>
        <w:tab/>
      </w:r>
      <w:r>
        <w:rPr>
          <w:noProof/>
        </w:rPr>
        <w:fldChar w:fldCharType="begin"/>
      </w:r>
      <w:r>
        <w:rPr>
          <w:noProof/>
        </w:rPr>
        <w:instrText xml:space="preserve"> PAGEREF _Toc199453014 \h </w:instrText>
      </w:r>
      <w:r>
        <w:rPr>
          <w:noProof/>
        </w:rPr>
      </w:r>
      <w:r>
        <w:rPr>
          <w:noProof/>
        </w:rPr>
        <w:fldChar w:fldCharType="separate"/>
      </w:r>
      <w:r>
        <w:rPr>
          <w:noProof/>
        </w:rPr>
        <w:t>247</w:t>
      </w:r>
      <w:r>
        <w:rPr>
          <w:noProof/>
        </w:rPr>
        <w:fldChar w:fldCharType="end"/>
      </w:r>
    </w:p>
    <w:p w14:paraId="0EB518BF" w14:textId="2414F001" w:rsidR="003F6EFC" w:rsidRDefault="003F6EFC">
      <w:pPr>
        <w:pStyle w:val="TOC5"/>
        <w:rPr>
          <w:rFonts w:asciiTheme="minorHAnsi" w:eastAsiaTheme="minorEastAsia" w:hAnsiTheme="minorHAnsi" w:cstheme="minorBidi"/>
          <w:noProof/>
          <w:kern w:val="2"/>
          <w:sz w:val="21"/>
          <w:szCs w:val="22"/>
          <w:lang w:val="en-US" w:eastAsia="zh-CN"/>
        </w:rPr>
      </w:pPr>
      <w:r>
        <w:rPr>
          <w:noProof/>
        </w:rPr>
        <w:t>5.1.6.3.8</w:t>
      </w:r>
      <w:r>
        <w:rPr>
          <w:rFonts w:asciiTheme="minorHAnsi" w:eastAsiaTheme="minorEastAsia" w:hAnsiTheme="minorHAnsi" w:cstheme="minorBidi"/>
          <w:noProof/>
          <w:kern w:val="2"/>
          <w:sz w:val="21"/>
          <w:szCs w:val="22"/>
          <w:lang w:val="en-US" w:eastAsia="zh-CN"/>
        </w:rPr>
        <w:tab/>
      </w:r>
      <w:r>
        <w:rPr>
          <w:noProof/>
        </w:rPr>
        <w:t>Enumeration: CongestionType</w:t>
      </w:r>
      <w:r>
        <w:rPr>
          <w:noProof/>
        </w:rPr>
        <w:tab/>
      </w:r>
      <w:r>
        <w:rPr>
          <w:noProof/>
        </w:rPr>
        <w:fldChar w:fldCharType="begin"/>
      </w:r>
      <w:r>
        <w:rPr>
          <w:noProof/>
        </w:rPr>
        <w:instrText xml:space="preserve"> PAGEREF _Toc199453015 \h </w:instrText>
      </w:r>
      <w:r>
        <w:rPr>
          <w:noProof/>
        </w:rPr>
      </w:r>
      <w:r>
        <w:rPr>
          <w:noProof/>
        </w:rPr>
        <w:fldChar w:fldCharType="separate"/>
      </w:r>
      <w:r>
        <w:rPr>
          <w:noProof/>
        </w:rPr>
        <w:t>247</w:t>
      </w:r>
      <w:r>
        <w:rPr>
          <w:noProof/>
        </w:rPr>
        <w:fldChar w:fldCharType="end"/>
      </w:r>
    </w:p>
    <w:p w14:paraId="548308C3" w14:textId="2DFDE6EB" w:rsidR="003F6EFC" w:rsidRDefault="003F6EFC">
      <w:pPr>
        <w:pStyle w:val="TOC5"/>
        <w:rPr>
          <w:rFonts w:asciiTheme="minorHAnsi" w:eastAsiaTheme="minorEastAsia" w:hAnsiTheme="minorHAnsi" w:cstheme="minorBidi"/>
          <w:noProof/>
          <w:kern w:val="2"/>
          <w:sz w:val="21"/>
          <w:szCs w:val="22"/>
          <w:lang w:val="en-US" w:eastAsia="zh-CN"/>
        </w:rPr>
      </w:pPr>
      <w:r>
        <w:rPr>
          <w:noProof/>
        </w:rPr>
        <w:t>5.1.6.3.9</w:t>
      </w:r>
      <w:r>
        <w:rPr>
          <w:rFonts w:asciiTheme="minorHAnsi" w:eastAsiaTheme="minorEastAsia" w:hAnsiTheme="minorHAnsi" w:cstheme="minorBidi"/>
          <w:noProof/>
          <w:kern w:val="2"/>
          <w:sz w:val="21"/>
          <w:szCs w:val="22"/>
          <w:lang w:val="en-US" w:eastAsia="zh-CN"/>
        </w:rPr>
        <w:tab/>
      </w:r>
      <w:r>
        <w:rPr>
          <w:noProof/>
        </w:rPr>
        <w:t>Enumeration: TimeUnit</w:t>
      </w:r>
      <w:r>
        <w:rPr>
          <w:noProof/>
        </w:rPr>
        <w:tab/>
      </w:r>
      <w:r>
        <w:rPr>
          <w:noProof/>
        </w:rPr>
        <w:fldChar w:fldCharType="begin"/>
      </w:r>
      <w:r>
        <w:rPr>
          <w:noProof/>
        </w:rPr>
        <w:instrText xml:space="preserve"> PAGEREF _Toc199453016 \h </w:instrText>
      </w:r>
      <w:r>
        <w:rPr>
          <w:noProof/>
        </w:rPr>
      </w:r>
      <w:r>
        <w:rPr>
          <w:noProof/>
        </w:rPr>
        <w:fldChar w:fldCharType="separate"/>
      </w:r>
      <w:r>
        <w:rPr>
          <w:noProof/>
        </w:rPr>
        <w:t>247</w:t>
      </w:r>
      <w:r>
        <w:rPr>
          <w:noProof/>
        </w:rPr>
        <w:fldChar w:fldCharType="end"/>
      </w:r>
    </w:p>
    <w:p w14:paraId="41F41594" w14:textId="3334C965" w:rsidR="003F6EFC" w:rsidRDefault="003F6EFC">
      <w:pPr>
        <w:pStyle w:val="TOC5"/>
        <w:rPr>
          <w:rFonts w:asciiTheme="minorHAnsi" w:eastAsiaTheme="minorEastAsia" w:hAnsiTheme="minorHAnsi" w:cstheme="minorBidi"/>
          <w:noProof/>
          <w:kern w:val="2"/>
          <w:sz w:val="21"/>
          <w:szCs w:val="22"/>
          <w:lang w:val="en-US" w:eastAsia="zh-CN"/>
        </w:rPr>
      </w:pPr>
      <w:r>
        <w:rPr>
          <w:noProof/>
        </w:rPr>
        <w:t>5.1.6.3.10</w:t>
      </w:r>
      <w:r>
        <w:rPr>
          <w:rFonts w:asciiTheme="minorHAnsi" w:eastAsiaTheme="minorEastAsia" w:hAnsiTheme="minorHAnsi" w:cstheme="minorBidi"/>
          <w:noProof/>
          <w:kern w:val="2"/>
          <w:sz w:val="21"/>
          <w:szCs w:val="22"/>
          <w:lang w:val="en-US" w:eastAsia="zh-CN"/>
        </w:rPr>
        <w:tab/>
      </w:r>
      <w:r>
        <w:rPr>
          <w:noProof/>
        </w:rPr>
        <w:t>Enumeration: NetworkPerfType</w:t>
      </w:r>
      <w:r>
        <w:rPr>
          <w:noProof/>
        </w:rPr>
        <w:tab/>
      </w:r>
      <w:r>
        <w:rPr>
          <w:noProof/>
        </w:rPr>
        <w:fldChar w:fldCharType="begin"/>
      </w:r>
      <w:r>
        <w:rPr>
          <w:noProof/>
        </w:rPr>
        <w:instrText xml:space="preserve"> PAGEREF _Toc199453017 \h </w:instrText>
      </w:r>
      <w:r>
        <w:rPr>
          <w:noProof/>
        </w:rPr>
      </w:r>
      <w:r>
        <w:rPr>
          <w:noProof/>
        </w:rPr>
        <w:fldChar w:fldCharType="separate"/>
      </w:r>
      <w:r>
        <w:rPr>
          <w:noProof/>
        </w:rPr>
        <w:t>248</w:t>
      </w:r>
      <w:r>
        <w:rPr>
          <w:noProof/>
        </w:rPr>
        <w:fldChar w:fldCharType="end"/>
      </w:r>
    </w:p>
    <w:p w14:paraId="4BECA874" w14:textId="7D04EE7E" w:rsidR="003F6EFC" w:rsidRDefault="003F6EFC">
      <w:pPr>
        <w:pStyle w:val="TOC5"/>
        <w:rPr>
          <w:rFonts w:asciiTheme="minorHAnsi" w:eastAsiaTheme="minorEastAsia" w:hAnsiTheme="minorHAnsi" w:cstheme="minorBidi"/>
          <w:noProof/>
          <w:kern w:val="2"/>
          <w:sz w:val="21"/>
          <w:szCs w:val="22"/>
          <w:lang w:val="en-US" w:eastAsia="zh-CN"/>
        </w:rPr>
      </w:pPr>
      <w:r>
        <w:rPr>
          <w:noProof/>
        </w:rPr>
        <w:t>5.1.6.3.11</w:t>
      </w:r>
      <w:r>
        <w:rPr>
          <w:rFonts w:asciiTheme="minorHAnsi" w:eastAsiaTheme="minorEastAsia" w:hAnsiTheme="minorHAnsi" w:cstheme="minorBidi"/>
          <w:noProof/>
          <w:kern w:val="2"/>
          <w:sz w:val="21"/>
          <w:szCs w:val="22"/>
          <w:lang w:val="en-US" w:eastAsia="zh-CN"/>
        </w:rPr>
        <w:tab/>
      </w:r>
      <w:r>
        <w:rPr>
          <w:noProof/>
        </w:rPr>
        <w:t>Enumeration: ExpectedAnalyticsType</w:t>
      </w:r>
      <w:r>
        <w:rPr>
          <w:noProof/>
        </w:rPr>
        <w:tab/>
      </w:r>
      <w:r>
        <w:rPr>
          <w:noProof/>
        </w:rPr>
        <w:fldChar w:fldCharType="begin"/>
      </w:r>
      <w:r>
        <w:rPr>
          <w:noProof/>
        </w:rPr>
        <w:instrText xml:space="preserve"> PAGEREF _Toc199453018 \h </w:instrText>
      </w:r>
      <w:r>
        <w:rPr>
          <w:noProof/>
        </w:rPr>
      </w:r>
      <w:r>
        <w:rPr>
          <w:noProof/>
        </w:rPr>
        <w:fldChar w:fldCharType="separate"/>
      </w:r>
      <w:r>
        <w:rPr>
          <w:noProof/>
        </w:rPr>
        <w:t>248</w:t>
      </w:r>
      <w:r>
        <w:rPr>
          <w:noProof/>
        </w:rPr>
        <w:fldChar w:fldCharType="end"/>
      </w:r>
    </w:p>
    <w:p w14:paraId="5107543D" w14:textId="0CB27A13"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5.1.6.3.12</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MatchingDirection</w:t>
      </w:r>
      <w:r>
        <w:rPr>
          <w:noProof/>
        </w:rPr>
        <w:tab/>
      </w:r>
      <w:r>
        <w:rPr>
          <w:noProof/>
        </w:rPr>
        <w:fldChar w:fldCharType="begin"/>
      </w:r>
      <w:r>
        <w:rPr>
          <w:noProof/>
        </w:rPr>
        <w:instrText xml:space="preserve"> PAGEREF _Toc199453019 \h </w:instrText>
      </w:r>
      <w:r>
        <w:rPr>
          <w:noProof/>
        </w:rPr>
      </w:r>
      <w:r>
        <w:rPr>
          <w:noProof/>
        </w:rPr>
        <w:fldChar w:fldCharType="separate"/>
      </w:r>
      <w:r>
        <w:rPr>
          <w:noProof/>
        </w:rPr>
        <w:t>248</w:t>
      </w:r>
      <w:r>
        <w:rPr>
          <w:noProof/>
        </w:rPr>
        <w:fldChar w:fldCharType="end"/>
      </w:r>
    </w:p>
    <w:p w14:paraId="213789CB" w14:textId="12B65FE4"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5.1.6.3.14</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AnalyticsMetadata</w:t>
      </w:r>
      <w:r>
        <w:rPr>
          <w:noProof/>
        </w:rPr>
        <w:tab/>
      </w:r>
      <w:r>
        <w:rPr>
          <w:noProof/>
        </w:rPr>
        <w:fldChar w:fldCharType="begin"/>
      </w:r>
      <w:r>
        <w:rPr>
          <w:noProof/>
        </w:rPr>
        <w:instrText xml:space="preserve"> PAGEREF _Toc199453020 \h </w:instrText>
      </w:r>
      <w:r>
        <w:rPr>
          <w:noProof/>
        </w:rPr>
      </w:r>
      <w:r>
        <w:rPr>
          <w:noProof/>
        </w:rPr>
        <w:fldChar w:fldCharType="separate"/>
      </w:r>
      <w:r>
        <w:rPr>
          <w:noProof/>
        </w:rPr>
        <w:t>249</w:t>
      </w:r>
      <w:r>
        <w:rPr>
          <w:noProof/>
        </w:rPr>
        <w:fldChar w:fldCharType="end"/>
      </w:r>
    </w:p>
    <w:p w14:paraId="6AADFE38" w14:textId="28C4E760"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5.1.6.3.15</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DatasetStatisticalProperty</w:t>
      </w:r>
      <w:r>
        <w:rPr>
          <w:noProof/>
        </w:rPr>
        <w:tab/>
      </w:r>
      <w:r>
        <w:rPr>
          <w:noProof/>
        </w:rPr>
        <w:fldChar w:fldCharType="begin"/>
      </w:r>
      <w:r>
        <w:rPr>
          <w:noProof/>
        </w:rPr>
        <w:instrText xml:space="preserve"> PAGEREF _Toc199453021 \h </w:instrText>
      </w:r>
      <w:r>
        <w:rPr>
          <w:noProof/>
        </w:rPr>
      </w:r>
      <w:r>
        <w:rPr>
          <w:noProof/>
        </w:rPr>
        <w:fldChar w:fldCharType="separate"/>
      </w:r>
      <w:r>
        <w:rPr>
          <w:noProof/>
        </w:rPr>
        <w:t>249</w:t>
      </w:r>
      <w:r>
        <w:rPr>
          <w:noProof/>
        </w:rPr>
        <w:fldChar w:fldCharType="end"/>
      </w:r>
    </w:p>
    <w:p w14:paraId="2FFEA381" w14:textId="058EB032"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5.1.6.3.16</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OutputStrategy</w:t>
      </w:r>
      <w:r>
        <w:rPr>
          <w:noProof/>
        </w:rPr>
        <w:tab/>
      </w:r>
      <w:r>
        <w:rPr>
          <w:noProof/>
        </w:rPr>
        <w:fldChar w:fldCharType="begin"/>
      </w:r>
      <w:r>
        <w:rPr>
          <w:noProof/>
        </w:rPr>
        <w:instrText xml:space="preserve"> PAGEREF _Toc199453022 \h </w:instrText>
      </w:r>
      <w:r>
        <w:rPr>
          <w:noProof/>
        </w:rPr>
      </w:r>
      <w:r>
        <w:rPr>
          <w:noProof/>
        </w:rPr>
        <w:fldChar w:fldCharType="separate"/>
      </w:r>
      <w:r>
        <w:rPr>
          <w:noProof/>
        </w:rPr>
        <w:t>250</w:t>
      </w:r>
      <w:r>
        <w:rPr>
          <w:noProof/>
        </w:rPr>
        <w:fldChar w:fldCharType="end"/>
      </w:r>
    </w:p>
    <w:p w14:paraId="56D35AB0" w14:textId="3A56BDCD"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5.1.6.3.17</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TransferRequestType</w:t>
      </w:r>
      <w:r>
        <w:rPr>
          <w:noProof/>
        </w:rPr>
        <w:tab/>
      </w:r>
      <w:r>
        <w:rPr>
          <w:noProof/>
        </w:rPr>
        <w:fldChar w:fldCharType="begin"/>
      </w:r>
      <w:r>
        <w:rPr>
          <w:noProof/>
        </w:rPr>
        <w:instrText xml:space="preserve"> PAGEREF _Toc199453023 \h </w:instrText>
      </w:r>
      <w:r>
        <w:rPr>
          <w:noProof/>
        </w:rPr>
      </w:r>
      <w:r>
        <w:rPr>
          <w:noProof/>
        </w:rPr>
        <w:fldChar w:fldCharType="separate"/>
      </w:r>
      <w:r>
        <w:rPr>
          <w:noProof/>
        </w:rPr>
        <w:t>250</w:t>
      </w:r>
      <w:r>
        <w:rPr>
          <w:noProof/>
        </w:rPr>
        <w:fldChar w:fldCharType="end"/>
      </w:r>
    </w:p>
    <w:p w14:paraId="054AEF14" w14:textId="0AB43352"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5.1.6.3.18</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AnalyticsSubset</w:t>
      </w:r>
      <w:r>
        <w:rPr>
          <w:noProof/>
        </w:rPr>
        <w:tab/>
      </w:r>
      <w:r>
        <w:rPr>
          <w:noProof/>
        </w:rPr>
        <w:fldChar w:fldCharType="begin"/>
      </w:r>
      <w:r>
        <w:rPr>
          <w:noProof/>
        </w:rPr>
        <w:instrText xml:space="preserve"> PAGEREF _Toc199453024 \h </w:instrText>
      </w:r>
      <w:r>
        <w:rPr>
          <w:noProof/>
        </w:rPr>
      </w:r>
      <w:r>
        <w:rPr>
          <w:noProof/>
        </w:rPr>
        <w:fldChar w:fldCharType="separate"/>
      </w:r>
      <w:r>
        <w:rPr>
          <w:noProof/>
        </w:rPr>
        <w:t>251</w:t>
      </w:r>
      <w:r>
        <w:rPr>
          <w:noProof/>
        </w:rPr>
        <w:fldChar w:fldCharType="end"/>
      </w:r>
    </w:p>
    <w:p w14:paraId="26C27D47" w14:textId="0D18CC57"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5.1.6.3.19</w:t>
      </w:r>
      <w:r>
        <w:rPr>
          <w:rFonts w:asciiTheme="minorHAnsi" w:eastAsiaTheme="minorEastAsia" w:hAnsiTheme="minorHAnsi" w:cstheme="minorBidi"/>
          <w:noProof/>
          <w:kern w:val="2"/>
          <w:sz w:val="21"/>
          <w:szCs w:val="22"/>
          <w:lang w:val="en-US" w:eastAsia="zh-CN"/>
        </w:rPr>
        <w:tab/>
      </w:r>
      <w:r>
        <w:rPr>
          <w:noProof/>
        </w:rPr>
        <w:t>Enumeration: DispersionType</w:t>
      </w:r>
      <w:r>
        <w:rPr>
          <w:noProof/>
        </w:rPr>
        <w:tab/>
      </w:r>
      <w:r>
        <w:rPr>
          <w:noProof/>
        </w:rPr>
        <w:fldChar w:fldCharType="begin"/>
      </w:r>
      <w:r>
        <w:rPr>
          <w:noProof/>
        </w:rPr>
        <w:instrText xml:space="preserve"> PAGEREF _Toc199453025 \h </w:instrText>
      </w:r>
      <w:r>
        <w:rPr>
          <w:noProof/>
        </w:rPr>
      </w:r>
      <w:r>
        <w:rPr>
          <w:noProof/>
        </w:rPr>
        <w:fldChar w:fldCharType="separate"/>
      </w:r>
      <w:r>
        <w:rPr>
          <w:noProof/>
        </w:rPr>
        <w:t>254</w:t>
      </w:r>
      <w:r>
        <w:rPr>
          <w:noProof/>
        </w:rPr>
        <w:fldChar w:fldCharType="end"/>
      </w:r>
    </w:p>
    <w:p w14:paraId="0E4CCA50" w14:textId="1704ECB7" w:rsidR="003F6EFC" w:rsidRDefault="003F6EFC">
      <w:pPr>
        <w:pStyle w:val="TOC5"/>
        <w:rPr>
          <w:rFonts w:asciiTheme="minorHAnsi" w:eastAsiaTheme="minorEastAsia" w:hAnsiTheme="minorHAnsi" w:cstheme="minorBidi"/>
          <w:noProof/>
          <w:kern w:val="2"/>
          <w:sz w:val="21"/>
          <w:szCs w:val="22"/>
          <w:lang w:val="en-US" w:eastAsia="zh-CN"/>
        </w:rPr>
      </w:pPr>
      <w:r>
        <w:rPr>
          <w:noProof/>
        </w:rPr>
        <w:t>5.1.6.3.20</w:t>
      </w:r>
      <w:r>
        <w:rPr>
          <w:rFonts w:asciiTheme="minorHAnsi" w:eastAsiaTheme="minorEastAsia" w:hAnsiTheme="minorHAnsi" w:cstheme="minorBidi"/>
          <w:noProof/>
          <w:kern w:val="2"/>
          <w:sz w:val="21"/>
          <w:szCs w:val="22"/>
          <w:lang w:val="en-US" w:eastAsia="zh-CN"/>
        </w:rPr>
        <w:tab/>
      </w:r>
      <w:r>
        <w:rPr>
          <w:noProof/>
        </w:rPr>
        <w:t>Enumeration: DispersionClass</w:t>
      </w:r>
      <w:r>
        <w:rPr>
          <w:noProof/>
        </w:rPr>
        <w:tab/>
      </w:r>
      <w:r>
        <w:rPr>
          <w:noProof/>
        </w:rPr>
        <w:fldChar w:fldCharType="begin"/>
      </w:r>
      <w:r>
        <w:rPr>
          <w:noProof/>
        </w:rPr>
        <w:instrText xml:space="preserve"> PAGEREF _Toc199453026 \h </w:instrText>
      </w:r>
      <w:r>
        <w:rPr>
          <w:noProof/>
        </w:rPr>
      </w:r>
      <w:r>
        <w:rPr>
          <w:noProof/>
        </w:rPr>
        <w:fldChar w:fldCharType="separate"/>
      </w:r>
      <w:r>
        <w:rPr>
          <w:noProof/>
        </w:rPr>
        <w:t>255</w:t>
      </w:r>
      <w:r>
        <w:rPr>
          <w:noProof/>
        </w:rPr>
        <w:fldChar w:fldCharType="end"/>
      </w:r>
    </w:p>
    <w:p w14:paraId="32FA1769" w14:textId="03045EEA" w:rsidR="003F6EFC" w:rsidRDefault="003F6EFC">
      <w:pPr>
        <w:pStyle w:val="TOC5"/>
        <w:rPr>
          <w:rFonts w:asciiTheme="minorHAnsi" w:eastAsiaTheme="minorEastAsia" w:hAnsiTheme="minorHAnsi" w:cstheme="minorBidi"/>
          <w:noProof/>
          <w:kern w:val="2"/>
          <w:sz w:val="21"/>
          <w:szCs w:val="22"/>
          <w:lang w:val="en-US" w:eastAsia="zh-CN"/>
        </w:rPr>
      </w:pPr>
      <w:r>
        <w:rPr>
          <w:noProof/>
        </w:rPr>
        <w:t>5.1.6.3.21</w:t>
      </w:r>
      <w:r>
        <w:rPr>
          <w:rFonts w:asciiTheme="minorHAnsi" w:eastAsiaTheme="minorEastAsia" w:hAnsiTheme="minorHAnsi" w:cstheme="minorBidi"/>
          <w:noProof/>
          <w:kern w:val="2"/>
          <w:sz w:val="21"/>
          <w:szCs w:val="22"/>
          <w:lang w:val="en-US" w:eastAsia="zh-CN"/>
        </w:rPr>
        <w:tab/>
      </w:r>
      <w:r>
        <w:rPr>
          <w:noProof/>
        </w:rPr>
        <w:t>Enumeration: DispersionOrderingCriterion</w:t>
      </w:r>
      <w:r>
        <w:rPr>
          <w:noProof/>
        </w:rPr>
        <w:tab/>
      </w:r>
      <w:r>
        <w:rPr>
          <w:noProof/>
        </w:rPr>
        <w:fldChar w:fldCharType="begin"/>
      </w:r>
      <w:r>
        <w:rPr>
          <w:noProof/>
        </w:rPr>
        <w:instrText xml:space="preserve"> PAGEREF _Toc199453027 \h </w:instrText>
      </w:r>
      <w:r>
        <w:rPr>
          <w:noProof/>
        </w:rPr>
      </w:r>
      <w:r>
        <w:rPr>
          <w:noProof/>
        </w:rPr>
        <w:fldChar w:fldCharType="separate"/>
      </w:r>
      <w:r>
        <w:rPr>
          <w:noProof/>
        </w:rPr>
        <w:t>255</w:t>
      </w:r>
      <w:r>
        <w:rPr>
          <w:noProof/>
        </w:rPr>
        <w:fldChar w:fldCharType="end"/>
      </w:r>
    </w:p>
    <w:p w14:paraId="3F60E166" w14:textId="1AED628C" w:rsidR="003F6EFC" w:rsidRDefault="003F6EFC">
      <w:pPr>
        <w:pStyle w:val="TOC5"/>
        <w:rPr>
          <w:rFonts w:asciiTheme="minorHAnsi" w:eastAsiaTheme="minorEastAsia" w:hAnsiTheme="minorHAnsi" w:cstheme="minorBidi"/>
          <w:noProof/>
          <w:kern w:val="2"/>
          <w:sz w:val="21"/>
          <w:szCs w:val="22"/>
          <w:lang w:val="en-US" w:eastAsia="zh-CN"/>
        </w:rPr>
      </w:pPr>
      <w:r>
        <w:rPr>
          <w:noProof/>
        </w:rPr>
        <w:t>5.1.6.3.22</w:t>
      </w:r>
      <w:r>
        <w:rPr>
          <w:rFonts w:asciiTheme="minorHAnsi" w:eastAsiaTheme="minorEastAsia" w:hAnsiTheme="minorHAnsi" w:cstheme="minorBidi"/>
          <w:noProof/>
          <w:kern w:val="2"/>
          <w:sz w:val="21"/>
          <w:szCs w:val="22"/>
          <w:lang w:val="en-US" w:eastAsia="zh-CN"/>
        </w:rPr>
        <w:tab/>
      </w:r>
      <w:r>
        <w:rPr>
          <w:noProof/>
        </w:rPr>
        <w:t>Enumeration: RedTransExpOrderingCriterion</w:t>
      </w:r>
      <w:r>
        <w:rPr>
          <w:noProof/>
        </w:rPr>
        <w:tab/>
      </w:r>
      <w:r>
        <w:rPr>
          <w:noProof/>
        </w:rPr>
        <w:fldChar w:fldCharType="begin"/>
      </w:r>
      <w:r>
        <w:rPr>
          <w:noProof/>
        </w:rPr>
        <w:instrText xml:space="preserve"> PAGEREF _Toc199453028 \h </w:instrText>
      </w:r>
      <w:r>
        <w:rPr>
          <w:noProof/>
        </w:rPr>
      </w:r>
      <w:r>
        <w:rPr>
          <w:noProof/>
        </w:rPr>
        <w:fldChar w:fldCharType="separate"/>
      </w:r>
      <w:r>
        <w:rPr>
          <w:noProof/>
        </w:rPr>
        <w:t>255</w:t>
      </w:r>
      <w:r>
        <w:rPr>
          <w:noProof/>
        </w:rPr>
        <w:fldChar w:fldCharType="end"/>
      </w:r>
    </w:p>
    <w:p w14:paraId="02B3E01F" w14:textId="2F8CB127" w:rsidR="003F6EFC" w:rsidRDefault="003F6EFC">
      <w:pPr>
        <w:pStyle w:val="TOC5"/>
        <w:rPr>
          <w:rFonts w:asciiTheme="minorHAnsi" w:eastAsiaTheme="minorEastAsia" w:hAnsiTheme="minorHAnsi" w:cstheme="minorBidi"/>
          <w:noProof/>
          <w:kern w:val="2"/>
          <w:sz w:val="21"/>
          <w:szCs w:val="22"/>
          <w:lang w:val="en-US" w:eastAsia="zh-CN"/>
        </w:rPr>
      </w:pPr>
      <w:r>
        <w:rPr>
          <w:noProof/>
        </w:rPr>
        <w:t>5.1.6.3.23</w:t>
      </w:r>
      <w:r>
        <w:rPr>
          <w:rFonts w:asciiTheme="minorHAnsi" w:eastAsiaTheme="minorEastAsia" w:hAnsiTheme="minorHAnsi" w:cstheme="minorBidi"/>
          <w:noProof/>
          <w:kern w:val="2"/>
          <w:sz w:val="21"/>
          <w:szCs w:val="22"/>
          <w:lang w:val="en-US" w:eastAsia="zh-CN"/>
        </w:rPr>
        <w:tab/>
      </w:r>
      <w:r>
        <w:rPr>
          <w:noProof/>
        </w:rPr>
        <w:t>Enumeration: WlanOrderingCriterion</w:t>
      </w:r>
      <w:r>
        <w:rPr>
          <w:noProof/>
        </w:rPr>
        <w:tab/>
      </w:r>
      <w:r>
        <w:rPr>
          <w:noProof/>
        </w:rPr>
        <w:fldChar w:fldCharType="begin"/>
      </w:r>
      <w:r>
        <w:rPr>
          <w:noProof/>
        </w:rPr>
        <w:instrText xml:space="preserve"> PAGEREF _Toc199453029 \h </w:instrText>
      </w:r>
      <w:r>
        <w:rPr>
          <w:noProof/>
        </w:rPr>
      </w:r>
      <w:r>
        <w:rPr>
          <w:noProof/>
        </w:rPr>
        <w:fldChar w:fldCharType="separate"/>
      </w:r>
      <w:r>
        <w:rPr>
          <w:noProof/>
        </w:rPr>
        <w:t>255</w:t>
      </w:r>
      <w:r>
        <w:rPr>
          <w:noProof/>
        </w:rPr>
        <w:fldChar w:fldCharType="end"/>
      </w:r>
    </w:p>
    <w:p w14:paraId="49A9C57A" w14:textId="78470A05" w:rsidR="003F6EFC" w:rsidRDefault="003F6EFC">
      <w:pPr>
        <w:pStyle w:val="TOC5"/>
        <w:rPr>
          <w:rFonts w:asciiTheme="minorHAnsi" w:eastAsiaTheme="minorEastAsia" w:hAnsiTheme="minorHAnsi" w:cstheme="minorBidi"/>
          <w:noProof/>
          <w:kern w:val="2"/>
          <w:sz w:val="21"/>
          <w:szCs w:val="22"/>
          <w:lang w:val="en-US" w:eastAsia="zh-CN"/>
        </w:rPr>
      </w:pPr>
      <w:r>
        <w:rPr>
          <w:noProof/>
        </w:rPr>
        <w:t>5.1.6.3.24</w:t>
      </w:r>
      <w:r>
        <w:rPr>
          <w:rFonts w:asciiTheme="minorHAnsi" w:eastAsiaTheme="minorEastAsia" w:hAnsiTheme="minorHAnsi" w:cstheme="minorBidi"/>
          <w:noProof/>
          <w:kern w:val="2"/>
          <w:sz w:val="21"/>
          <w:szCs w:val="22"/>
          <w:lang w:val="en-US" w:eastAsia="zh-CN"/>
        </w:rPr>
        <w:tab/>
      </w:r>
      <w:r>
        <w:rPr>
          <w:noProof/>
        </w:rPr>
        <w:t>Enumeration:</w:t>
      </w:r>
      <w:r>
        <w:rPr>
          <w:noProof/>
          <w:lang w:eastAsia="zh-CN"/>
        </w:rPr>
        <w:t xml:space="preserve"> ServiceExperienceType</w:t>
      </w:r>
      <w:r>
        <w:rPr>
          <w:noProof/>
        </w:rPr>
        <w:tab/>
      </w:r>
      <w:r>
        <w:rPr>
          <w:noProof/>
        </w:rPr>
        <w:fldChar w:fldCharType="begin"/>
      </w:r>
      <w:r>
        <w:rPr>
          <w:noProof/>
        </w:rPr>
        <w:instrText xml:space="preserve"> PAGEREF _Toc199453030 \h </w:instrText>
      </w:r>
      <w:r>
        <w:rPr>
          <w:noProof/>
        </w:rPr>
      </w:r>
      <w:r>
        <w:rPr>
          <w:noProof/>
        </w:rPr>
        <w:fldChar w:fldCharType="separate"/>
      </w:r>
      <w:r>
        <w:rPr>
          <w:noProof/>
        </w:rPr>
        <w:t>256</w:t>
      </w:r>
      <w:r>
        <w:rPr>
          <w:noProof/>
        </w:rPr>
        <w:fldChar w:fldCharType="end"/>
      </w:r>
    </w:p>
    <w:p w14:paraId="1109A65A" w14:textId="056B757A" w:rsidR="003F6EFC" w:rsidRDefault="003F6EFC">
      <w:pPr>
        <w:pStyle w:val="TOC5"/>
        <w:rPr>
          <w:rFonts w:asciiTheme="minorHAnsi" w:eastAsiaTheme="minorEastAsia" w:hAnsiTheme="minorHAnsi" w:cstheme="minorBidi"/>
          <w:noProof/>
          <w:kern w:val="2"/>
          <w:sz w:val="21"/>
          <w:szCs w:val="22"/>
          <w:lang w:val="en-US" w:eastAsia="zh-CN"/>
        </w:rPr>
      </w:pPr>
      <w:r>
        <w:rPr>
          <w:noProof/>
        </w:rPr>
        <w:t>5.1.6.3.25</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DnPerfOrderingCriterion</w:t>
      </w:r>
      <w:r>
        <w:rPr>
          <w:noProof/>
        </w:rPr>
        <w:tab/>
      </w:r>
      <w:r>
        <w:rPr>
          <w:noProof/>
        </w:rPr>
        <w:fldChar w:fldCharType="begin"/>
      </w:r>
      <w:r>
        <w:rPr>
          <w:noProof/>
        </w:rPr>
        <w:instrText xml:space="preserve"> PAGEREF _Toc199453031 \h </w:instrText>
      </w:r>
      <w:r>
        <w:rPr>
          <w:noProof/>
        </w:rPr>
      </w:r>
      <w:r>
        <w:rPr>
          <w:noProof/>
        </w:rPr>
        <w:fldChar w:fldCharType="separate"/>
      </w:r>
      <w:r>
        <w:rPr>
          <w:noProof/>
        </w:rPr>
        <w:t>256</w:t>
      </w:r>
      <w:r>
        <w:rPr>
          <w:noProof/>
        </w:rPr>
        <w:fldChar w:fldCharType="end"/>
      </w:r>
    </w:p>
    <w:p w14:paraId="3A3F8AAF" w14:textId="3BEB8915" w:rsidR="003F6EFC" w:rsidRDefault="003F6EFC">
      <w:pPr>
        <w:pStyle w:val="TOC5"/>
        <w:rPr>
          <w:rFonts w:asciiTheme="minorHAnsi" w:eastAsiaTheme="minorEastAsia" w:hAnsiTheme="minorHAnsi" w:cstheme="minorBidi"/>
          <w:noProof/>
          <w:kern w:val="2"/>
          <w:sz w:val="21"/>
          <w:szCs w:val="22"/>
          <w:lang w:val="en-US" w:eastAsia="zh-CN"/>
        </w:rPr>
      </w:pPr>
      <w:r>
        <w:rPr>
          <w:noProof/>
        </w:rPr>
        <w:t>5.1.6.3.26</w:t>
      </w:r>
      <w:r>
        <w:rPr>
          <w:rFonts w:asciiTheme="minorHAnsi" w:eastAsiaTheme="minorEastAsia" w:hAnsiTheme="minorHAnsi" w:cstheme="minorBidi"/>
          <w:noProof/>
          <w:kern w:val="2"/>
          <w:sz w:val="21"/>
          <w:szCs w:val="22"/>
          <w:lang w:val="en-US" w:eastAsia="zh-CN"/>
        </w:rPr>
        <w:tab/>
      </w:r>
      <w:r>
        <w:rPr>
          <w:noProof/>
        </w:rPr>
        <w:t>Enumeration: TermCause</w:t>
      </w:r>
      <w:r>
        <w:rPr>
          <w:noProof/>
        </w:rPr>
        <w:tab/>
      </w:r>
      <w:r>
        <w:rPr>
          <w:noProof/>
        </w:rPr>
        <w:fldChar w:fldCharType="begin"/>
      </w:r>
      <w:r>
        <w:rPr>
          <w:noProof/>
        </w:rPr>
        <w:instrText xml:space="preserve"> PAGEREF _Toc199453032 \h </w:instrText>
      </w:r>
      <w:r>
        <w:rPr>
          <w:noProof/>
        </w:rPr>
      </w:r>
      <w:r>
        <w:rPr>
          <w:noProof/>
        </w:rPr>
        <w:fldChar w:fldCharType="separate"/>
      </w:r>
      <w:r>
        <w:rPr>
          <w:noProof/>
        </w:rPr>
        <w:t>256</w:t>
      </w:r>
      <w:r>
        <w:rPr>
          <w:noProof/>
        </w:rPr>
        <w:fldChar w:fldCharType="end"/>
      </w:r>
    </w:p>
    <w:p w14:paraId="32B83A0F" w14:textId="02C3E019" w:rsidR="003F6EFC" w:rsidRDefault="003F6EFC">
      <w:pPr>
        <w:pStyle w:val="TOC5"/>
        <w:rPr>
          <w:rFonts w:asciiTheme="minorHAnsi" w:eastAsiaTheme="minorEastAsia" w:hAnsiTheme="minorHAnsi" w:cstheme="minorBidi"/>
          <w:noProof/>
          <w:kern w:val="2"/>
          <w:sz w:val="21"/>
          <w:szCs w:val="22"/>
          <w:lang w:val="en-US" w:eastAsia="zh-CN"/>
        </w:rPr>
      </w:pPr>
      <w:r>
        <w:rPr>
          <w:noProof/>
        </w:rPr>
        <w:t>5.1.6.3.27</w:t>
      </w:r>
      <w:r>
        <w:rPr>
          <w:rFonts w:asciiTheme="minorHAnsi" w:eastAsiaTheme="minorEastAsia" w:hAnsiTheme="minorHAnsi" w:cstheme="minorBidi"/>
          <w:noProof/>
          <w:kern w:val="2"/>
          <w:sz w:val="21"/>
          <w:szCs w:val="22"/>
          <w:lang w:val="en-US" w:eastAsia="zh-CN"/>
        </w:rPr>
        <w:tab/>
      </w:r>
      <w:r>
        <w:rPr>
          <w:noProof/>
        </w:rPr>
        <w:t>Enumeration: UserDataConOrderCrit</w:t>
      </w:r>
      <w:r>
        <w:rPr>
          <w:noProof/>
        </w:rPr>
        <w:tab/>
      </w:r>
      <w:r>
        <w:rPr>
          <w:noProof/>
        </w:rPr>
        <w:fldChar w:fldCharType="begin"/>
      </w:r>
      <w:r>
        <w:rPr>
          <w:noProof/>
        </w:rPr>
        <w:instrText xml:space="preserve"> PAGEREF _Toc199453033 \h </w:instrText>
      </w:r>
      <w:r>
        <w:rPr>
          <w:noProof/>
        </w:rPr>
      </w:r>
      <w:r>
        <w:rPr>
          <w:noProof/>
        </w:rPr>
        <w:fldChar w:fldCharType="separate"/>
      </w:r>
      <w:r>
        <w:rPr>
          <w:noProof/>
        </w:rPr>
        <w:t>256</w:t>
      </w:r>
      <w:r>
        <w:rPr>
          <w:noProof/>
        </w:rPr>
        <w:fldChar w:fldCharType="end"/>
      </w:r>
    </w:p>
    <w:p w14:paraId="60982D29" w14:textId="347F3301" w:rsidR="003F6EFC" w:rsidRDefault="003F6EFC">
      <w:pPr>
        <w:pStyle w:val="TOC5"/>
        <w:rPr>
          <w:rFonts w:asciiTheme="minorHAnsi" w:eastAsiaTheme="minorEastAsia" w:hAnsiTheme="minorHAnsi" w:cstheme="minorBidi"/>
          <w:noProof/>
          <w:kern w:val="2"/>
          <w:sz w:val="21"/>
          <w:szCs w:val="22"/>
          <w:lang w:val="en-US" w:eastAsia="zh-CN"/>
        </w:rPr>
      </w:pPr>
      <w:r>
        <w:rPr>
          <w:noProof/>
        </w:rPr>
        <w:t>5.1.6.3.28</w:t>
      </w:r>
      <w:r>
        <w:rPr>
          <w:rFonts w:asciiTheme="minorHAnsi" w:eastAsiaTheme="minorEastAsia" w:hAnsiTheme="minorHAnsi" w:cstheme="minorBidi"/>
          <w:noProof/>
          <w:kern w:val="2"/>
          <w:sz w:val="21"/>
          <w:szCs w:val="22"/>
          <w:lang w:val="en-US" w:eastAsia="zh-CN"/>
        </w:rPr>
        <w:tab/>
      </w:r>
      <w:r>
        <w:rPr>
          <w:noProof/>
        </w:rPr>
        <w:t>Enumeration: UeMobilityOrderCriterion</w:t>
      </w:r>
      <w:r>
        <w:rPr>
          <w:noProof/>
        </w:rPr>
        <w:tab/>
      </w:r>
      <w:r>
        <w:rPr>
          <w:noProof/>
        </w:rPr>
        <w:fldChar w:fldCharType="begin"/>
      </w:r>
      <w:r>
        <w:rPr>
          <w:noProof/>
        </w:rPr>
        <w:instrText xml:space="preserve"> PAGEREF _Toc199453034 \h </w:instrText>
      </w:r>
      <w:r>
        <w:rPr>
          <w:noProof/>
        </w:rPr>
      </w:r>
      <w:r>
        <w:rPr>
          <w:noProof/>
        </w:rPr>
        <w:fldChar w:fldCharType="separate"/>
      </w:r>
      <w:r>
        <w:rPr>
          <w:noProof/>
        </w:rPr>
        <w:t>256</w:t>
      </w:r>
      <w:r>
        <w:rPr>
          <w:noProof/>
        </w:rPr>
        <w:fldChar w:fldCharType="end"/>
      </w:r>
    </w:p>
    <w:p w14:paraId="49096452" w14:textId="5DDD781C" w:rsidR="003F6EFC" w:rsidRDefault="003F6EFC">
      <w:pPr>
        <w:pStyle w:val="TOC5"/>
        <w:rPr>
          <w:rFonts w:asciiTheme="minorHAnsi" w:eastAsiaTheme="minorEastAsia" w:hAnsiTheme="minorHAnsi" w:cstheme="minorBidi"/>
          <w:noProof/>
          <w:kern w:val="2"/>
          <w:sz w:val="21"/>
          <w:szCs w:val="22"/>
          <w:lang w:val="en-US" w:eastAsia="zh-CN"/>
        </w:rPr>
      </w:pPr>
      <w:r>
        <w:rPr>
          <w:noProof/>
        </w:rPr>
        <w:t>5.1.6.3.29</w:t>
      </w:r>
      <w:r>
        <w:rPr>
          <w:rFonts w:asciiTheme="minorHAnsi" w:eastAsiaTheme="minorEastAsia" w:hAnsiTheme="minorHAnsi" w:cstheme="minorBidi"/>
          <w:noProof/>
          <w:kern w:val="2"/>
          <w:sz w:val="21"/>
          <w:szCs w:val="22"/>
          <w:lang w:val="en-US" w:eastAsia="zh-CN"/>
        </w:rPr>
        <w:tab/>
      </w:r>
      <w:r>
        <w:rPr>
          <w:noProof/>
        </w:rPr>
        <w:t>Enumeration: UeCommOrderCriterion</w:t>
      </w:r>
      <w:r>
        <w:rPr>
          <w:noProof/>
        </w:rPr>
        <w:tab/>
      </w:r>
      <w:r>
        <w:rPr>
          <w:noProof/>
        </w:rPr>
        <w:fldChar w:fldCharType="begin"/>
      </w:r>
      <w:r>
        <w:rPr>
          <w:noProof/>
        </w:rPr>
        <w:instrText xml:space="preserve"> PAGEREF _Toc199453035 \h </w:instrText>
      </w:r>
      <w:r>
        <w:rPr>
          <w:noProof/>
        </w:rPr>
      </w:r>
      <w:r>
        <w:rPr>
          <w:noProof/>
        </w:rPr>
        <w:fldChar w:fldCharType="separate"/>
      </w:r>
      <w:r>
        <w:rPr>
          <w:noProof/>
        </w:rPr>
        <w:t>257</w:t>
      </w:r>
      <w:r>
        <w:rPr>
          <w:noProof/>
        </w:rPr>
        <w:fldChar w:fldCharType="end"/>
      </w:r>
    </w:p>
    <w:p w14:paraId="085A833F" w14:textId="25864A38" w:rsidR="003F6EFC" w:rsidRDefault="003F6EFC">
      <w:pPr>
        <w:pStyle w:val="TOC5"/>
        <w:rPr>
          <w:rFonts w:asciiTheme="minorHAnsi" w:eastAsiaTheme="minorEastAsia" w:hAnsiTheme="minorHAnsi" w:cstheme="minorBidi"/>
          <w:noProof/>
          <w:kern w:val="2"/>
          <w:sz w:val="21"/>
          <w:szCs w:val="22"/>
          <w:lang w:val="en-US" w:eastAsia="zh-CN"/>
        </w:rPr>
      </w:pPr>
      <w:r>
        <w:rPr>
          <w:noProof/>
        </w:rPr>
        <w:t>5.1.6.3.30</w:t>
      </w:r>
      <w:r>
        <w:rPr>
          <w:rFonts w:asciiTheme="minorHAnsi" w:eastAsiaTheme="minorEastAsia" w:hAnsiTheme="minorHAnsi" w:cstheme="minorBidi"/>
          <w:noProof/>
          <w:kern w:val="2"/>
          <w:sz w:val="21"/>
          <w:szCs w:val="22"/>
          <w:lang w:val="en-US" w:eastAsia="zh-CN"/>
        </w:rPr>
        <w:tab/>
      </w:r>
      <w:r>
        <w:rPr>
          <w:noProof/>
        </w:rPr>
        <w:t>Enumeration: NetworkPerfOrderCriterion</w:t>
      </w:r>
      <w:r>
        <w:rPr>
          <w:noProof/>
        </w:rPr>
        <w:tab/>
      </w:r>
      <w:r>
        <w:rPr>
          <w:noProof/>
        </w:rPr>
        <w:fldChar w:fldCharType="begin"/>
      </w:r>
      <w:r>
        <w:rPr>
          <w:noProof/>
        </w:rPr>
        <w:instrText xml:space="preserve"> PAGEREF _Toc199453036 \h </w:instrText>
      </w:r>
      <w:r>
        <w:rPr>
          <w:noProof/>
        </w:rPr>
      </w:r>
      <w:r>
        <w:rPr>
          <w:noProof/>
        </w:rPr>
        <w:fldChar w:fldCharType="separate"/>
      </w:r>
      <w:r>
        <w:rPr>
          <w:noProof/>
        </w:rPr>
        <w:t>257</w:t>
      </w:r>
      <w:r>
        <w:rPr>
          <w:noProof/>
        </w:rPr>
        <w:fldChar w:fldCharType="end"/>
      </w:r>
    </w:p>
    <w:p w14:paraId="1369B91E" w14:textId="60195FA2" w:rsidR="003F6EFC" w:rsidRDefault="003F6EFC">
      <w:pPr>
        <w:pStyle w:val="TOC5"/>
        <w:rPr>
          <w:rFonts w:asciiTheme="minorHAnsi" w:eastAsiaTheme="minorEastAsia" w:hAnsiTheme="minorHAnsi" w:cstheme="minorBidi"/>
          <w:noProof/>
          <w:kern w:val="2"/>
          <w:sz w:val="21"/>
          <w:szCs w:val="22"/>
          <w:lang w:val="en-US" w:eastAsia="zh-CN"/>
        </w:rPr>
      </w:pPr>
      <w:r>
        <w:rPr>
          <w:noProof/>
        </w:rPr>
        <w:t>5.1.6.3.31</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DeviceType</w:t>
      </w:r>
      <w:r>
        <w:rPr>
          <w:noProof/>
        </w:rPr>
        <w:tab/>
      </w:r>
      <w:r>
        <w:rPr>
          <w:noProof/>
        </w:rPr>
        <w:fldChar w:fldCharType="begin"/>
      </w:r>
      <w:r>
        <w:rPr>
          <w:noProof/>
        </w:rPr>
        <w:instrText xml:space="preserve"> PAGEREF _Toc199453037 \h </w:instrText>
      </w:r>
      <w:r>
        <w:rPr>
          <w:noProof/>
        </w:rPr>
      </w:r>
      <w:r>
        <w:rPr>
          <w:noProof/>
        </w:rPr>
        <w:fldChar w:fldCharType="separate"/>
      </w:r>
      <w:r>
        <w:rPr>
          <w:noProof/>
        </w:rPr>
        <w:t>257</w:t>
      </w:r>
      <w:r>
        <w:rPr>
          <w:noProof/>
        </w:rPr>
        <w:fldChar w:fldCharType="end"/>
      </w:r>
    </w:p>
    <w:p w14:paraId="59EF7456" w14:textId="1849D132" w:rsidR="003F6EFC" w:rsidRDefault="003F6EFC">
      <w:pPr>
        <w:pStyle w:val="TOC5"/>
        <w:rPr>
          <w:rFonts w:asciiTheme="minorHAnsi" w:eastAsiaTheme="minorEastAsia" w:hAnsiTheme="minorHAnsi" w:cstheme="minorBidi"/>
          <w:noProof/>
          <w:kern w:val="2"/>
          <w:sz w:val="21"/>
          <w:szCs w:val="22"/>
          <w:lang w:val="en-US" w:eastAsia="zh-CN"/>
        </w:rPr>
      </w:pPr>
      <w:r>
        <w:rPr>
          <w:noProof/>
        </w:rPr>
        <w:t>5.1.6.3.32</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LocInfoGranularity</w:t>
      </w:r>
      <w:r>
        <w:rPr>
          <w:noProof/>
        </w:rPr>
        <w:tab/>
      </w:r>
      <w:r>
        <w:rPr>
          <w:noProof/>
        </w:rPr>
        <w:fldChar w:fldCharType="begin"/>
      </w:r>
      <w:r>
        <w:rPr>
          <w:noProof/>
        </w:rPr>
        <w:instrText xml:space="preserve"> PAGEREF _Toc199453038 \h </w:instrText>
      </w:r>
      <w:r>
        <w:rPr>
          <w:noProof/>
        </w:rPr>
      </w:r>
      <w:r>
        <w:rPr>
          <w:noProof/>
        </w:rPr>
        <w:fldChar w:fldCharType="separate"/>
      </w:r>
      <w:r>
        <w:rPr>
          <w:noProof/>
        </w:rPr>
        <w:t>257</w:t>
      </w:r>
      <w:r>
        <w:rPr>
          <w:noProof/>
        </w:rPr>
        <w:fldChar w:fldCharType="end"/>
      </w:r>
    </w:p>
    <w:p w14:paraId="524EE92C" w14:textId="2077C93C" w:rsidR="003F6EFC" w:rsidRDefault="003F6EFC">
      <w:pPr>
        <w:pStyle w:val="TOC5"/>
        <w:rPr>
          <w:rFonts w:asciiTheme="minorHAnsi" w:eastAsiaTheme="minorEastAsia" w:hAnsiTheme="minorHAnsi" w:cstheme="minorBidi"/>
          <w:noProof/>
          <w:kern w:val="2"/>
          <w:sz w:val="21"/>
          <w:szCs w:val="22"/>
          <w:lang w:val="en-US" w:eastAsia="zh-CN"/>
        </w:rPr>
      </w:pPr>
      <w:r>
        <w:rPr>
          <w:noProof/>
        </w:rPr>
        <w:t>5.1.6.3.33</w:t>
      </w:r>
      <w:r>
        <w:rPr>
          <w:rFonts w:asciiTheme="minorHAnsi" w:eastAsiaTheme="minorEastAsia" w:hAnsiTheme="minorHAnsi" w:cstheme="minorBidi"/>
          <w:noProof/>
          <w:kern w:val="2"/>
          <w:sz w:val="21"/>
          <w:szCs w:val="22"/>
          <w:lang w:val="en-US" w:eastAsia="zh-CN"/>
        </w:rPr>
        <w:tab/>
      </w:r>
      <w:r>
        <w:rPr>
          <w:noProof/>
        </w:rPr>
        <w:t>Enumeration: TrafficDirection</w:t>
      </w:r>
      <w:r>
        <w:rPr>
          <w:noProof/>
        </w:rPr>
        <w:tab/>
      </w:r>
      <w:r>
        <w:rPr>
          <w:noProof/>
        </w:rPr>
        <w:fldChar w:fldCharType="begin"/>
      </w:r>
      <w:r>
        <w:rPr>
          <w:noProof/>
        </w:rPr>
        <w:instrText xml:space="preserve"> PAGEREF _Toc199453039 \h </w:instrText>
      </w:r>
      <w:r>
        <w:rPr>
          <w:noProof/>
        </w:rPr>
      </w:r>
      <w:r>
        <w:rPr>
          <w:noProof/>
        </w:rPr>
        <w:fldChar w:fldCharType="separate"/>
      </w:r>
      <w:r>
        <w:rPr>
          <w:noProof/>
        </w:rPr>
        <w:t>257</w:t>
      </w:r>
      <w:r>
        <w:rPr>
          <w:noProof/>
        </w:rPr>
        <w:fldChar w:fldCharType="end"/>
      </w:r>
    </w:p>
    <w:p w14:paraId="38542656" w14:textId="3A0FECAA" w:rsidR="003F6EFC" w:rsidRDefault="003F6EFC">
      <w:pPr>
        <w:pStyle w:val="TOC5"/>
        <w:rPr>
          <w:rFonts w:asciiTheme="minorHAnsi" w:eastAsiaTheme="minorEastAsia" w:hAnsiTheme="minorHAnsi" w:cstheme="minorBidi"/>
          <w:noProof/>
          <w:kern w:val="2"/>
          <w:sz w:val="21"/>
          <w:szCs w:val="22"/>
          <w:lang w:val="en-US" w:eastAsia="zh-CN"/>
        </w:rPr>
      </w:pPr>
      <w:r>
        <w:rPr>
          <w:noProof/>
        </w:rPr>
        <w:t>5.1.6.3.34</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ValueExpression</w:t>
      </w:r>
      <w:r>
        <w:rPr>
          <w:noProof/>
        </w:rPr>
        <w:tab/>
      </w:r>
      <w:r>
        <w:rPr>
          <w:noProof/>
        </w:rPr>
        <w:fldChar w:fldCharType="begin"/>
      </w:r>
      <w:r>
        <w:rPr>
          <w:noProof/>
        </w:rPr>
        <w:instrText xml:space="preserve"> PAGEREF _Toc199453040 \h </w:instrText>
      </w:r>
      <w:r>
        <w:rPr>
          <w:noProof/>
        </w:rPr>
      </w:r>
      <w:r>
        <w:rPr>
          <w:noProof/>
        </w:rPr>
        <w:fldChar w:fldCharType="separate"/>
      </w:r>
      <w:r>
        <w:rPr>
          <w:noProof/>
        </w:rPr>
        <w:t>258</w:t>
      </w:r>
      <w:r>
        <w:rPr>
          <w:noProof/>
        </w:rPr>
        <w:fldChar w:fldCharType="end"/>
      </w:r>
    </w:p>
    <w:p w14:paraId="0F4F738F" w14:textId="69296C05" w:rsidR="003F6EFC" w:rsidRDefault="003F6EFC">
      <w:pPr>
        <w:pStyle w:val="TOC5"/>
        <w:rPr>
          <w:rFonts w:asciiTheme="minorHAnsi" w:eastAsiaTheme="minorEastAsia" w:hAnsiTheme="minorHAnsi" w:cstheme="minorBidi"/>
          <w:noProof/>
          <w:kern w:val="2"/>
          <w:sz w:val="21"/>
          <w:szCs w:val="22"/>
          <w:lang w:val="en-US" w:eastAsia="zh-CN"/>
        </w:rPr>
      </w:pPr>
      <w:r>
        <w:rPr>
          <w:noProof/>
        </w:rPr>
        <w:t>5.1.6.3.35</w:t>
      </w:r>
      <w:r>
        <w:rPr>
          <w:rFonts w:asciiTheme="minorHAnsi" w:eastAsiaTheme="minorEastAsia" w:hAnsiTheme="minorHAnsi" w:cstheme="minorBidi"/>
          <w:noProof/>
          <w:kern w:val="2"/>
          <w:sz w:val="21"/>
          <w:szCs w:val="22"/>
          <w:lang w:val="en-US" w:eastAsia="zh-CN"/>
        </w:rPr>
        <w:tab/>
      </w:r>
      <w:r>
        <w:rPr>
          <w:noProof/>
        </w:rPr>
        <w:t xml:space="preserve">Enumeration: </w:t>
      </w:r>
      <w:r>
        <w:rPr>
          <w:noProof/>
          <w:lang w:eastAsia="zh-CN"/>
        </w:rPr>
        <w:t>E2eDataVolTransTimeCriterion</w:t>
      </w:r>
      <w:r>
        <w:rPr>
          <w:noProof/>
        </w:rPr>
        <w:tab/>
      </w:r>
      <w:r>
        <w:rPr>
          <w:noProof/>
        </w:rPr>
        <w:fldChar w:fldCharType="begin"/>
      </w:r>
      <w:r>
        <w:rPr>
          <w:noProof/>
        </w:rPr>
        <w:instrText xml:space="preserve"> PAGEREF _Toc199453041 \h </w:instrText>
      </w:r>
      <w:r>
        <w:rPr>
          <w:noProof/>
        </w:rPr>
      </w:r>
      <w:r>
        <w:rPr>
          <w:noProof/>
        </w:rPr>
        <w:fldChar w:fldCharType="separate"/>
      </w:r>
      <w:r>
        <w:rPr>
          <w:noProof/>
        </w:rPr>
        <w:t>258</w:t>
      </w:r>
      <w:r>
        <w:rPr>
          <w:noProof/>
        </w:rPr>
        <w:fldChar w:fldCharType="end"/>
      </w:r>
    </w:p>
    <w:p w14:paraId="7610DEE8" w14:textId="46418FD5" w:rsidR="003F6EFC" w:rsidRDefault="003F6EFC">
      <w:pPr>
        <w:pStyle w:val="TOC5"/>
        <w:rPr>
          <w:rFonts w:asciiTheme="minorHAnsi" w:eastAsiaTheme="minorEastAsia" w:hAnsiTheme="minorHAnsi" w:cstheme="minorBidi"/>
          <w:noProof/>
          <w:kern w:val="2"/>
          <w:sz w:val="21"/>
          <w:szCs w:val="22"/>
          <w:lang w:val="en-US" w:eastAsia="zh-CN"/>
        </w:rPr>
      </w:pPr>
      <w:r>
        <w:rPr>
          <w:noProof/>
        </w:rPr>
        <w:t>5.1.6.3.36</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_Toc199453042 \h </w:instrText>
      </w:r>
      <w:r>
        <w:rPr>
          <w:noProof/>
        </w:rPr>
      </w:r>
      <w:r>
        <w:rPr>
          <w:noProof/>
        </w:rPr>
        <w:fldChar w:fldCharType="separate"/>
      </w:r>
      <w:r>
        <w:rPr>
          <w:noProof/>
        </w:rPr>
        <w:t>258</w:t>
      </w:r>
      <w:r>
        <w:rPr>
          <w:noProof/>
        </w:rPr>
        <w:fldChar w:fldCharType="end"/>
      </w:r>
    </w:p>
    <w:p w14:paraId="00445FB3" w14:textId="6A7CA5F2" w:rsidR="003F6EFC" w:rsidRDefault="003F6EFC">
      <w:pPr>
        <w:pStyle w:val="TOC5"/>
        <w:rPr>
          <w:rFonts w:asciiTheme="minorHAnsi" w:eastAsiaTheme="minorEastAsia" w:hAnsiTheme="minorHAnsi" w:cstheme="minorBidi"/>
          <w:noProof/>
          <w:kern w:val="2"/>
          <w:sz w:val="21"/>
          <w:szCs w:val="22"/>
          <w:lang w:val="en-US" w:eastAsia="zh-CN"/>
        </w:rPr>
      </w:pPr>
      <w:r>
        <w:rPr>
          <w:noProof/>
        </w:rPr>
        <w:t>5.1.6.3.37</w:t>
      </w:r>
      <w:r>
        <w:rPr>
          <w:rFonts w:asciiTheme="minorHAnsi" w:eastAsiaTheme="minorEastAsia" w:hAnsiTheme="minorHAnsi" w:cstheme="minorBidi"/>
          <w:noProof/>
          <w:kern w:val="2"/>
          <w:sz w:val="21"/>
          <w:szCs w:val="22"/>
          <w:lang w:val="en-US" w:eastAsia="zh-CN"/>
        </w:rPr>
        <w:tab/>
      </w:r>
      <w:r>
        <w:rPr>
          <w:noProof/>
        </w:rPr>
        <w:t>Enumeration: AnalyticsAccuracyIndication</w:t>
      </w:r>
      <w:r>
        <w:rPr>
          <w:noProof/>
        </w:rPr>
        <w:tab/>
      </w:r>
      <w:r>
        <w:rPr>
          <w:noProof/>
        </w:rPr>
        <w:fldChar w:fldCharType="begin"/>
      </w:r>
      <w:r>
        <w:rPr>
          <w:noProof/>
        </w:rPr>
        <w:instrText xml:space="preserve"> PAGEREF _Toc199453043 \h </w:instrText>
      </w:r>
      <w:r>
        <w:rPr>
          <w:noProof/>
        </w:rPr>
      </w:r>
      <w:r>
        <w:rPr>
          <w:noProof/>
        </w:rPr>
        <w:fldChar w:fldCharType="separate"/>
      </w:r>
      <w:r>
        <w:rPr>
          <w:noProof/>
        </w:rPr>
        <w:t>258</w:t>
      </w:r>
      <w:r>
        <w:rPr>
          <w:noProof/>
        </w:rPr>
        <w:fldChar w:fldCharType="end"/>
      </w:r>
    </w:p>
    <w:p w14:paraId="5A17FB6A" w14:textId="3453A3EE" w:rsidR="003F6EFC" w:rsidRDefault="003F6EFC">
      <w:pPr>
        <w:pStyle w:val="TOC5"/>
        <w:rPr>
          <w:rFonts w:asciiTheme="minorHAnsi" w:eastAsiaTheme="minorEastAsia" w:hAnsiTheme="minorHAnsi" w:cstheme="minorBidi"/>
          <w:noProof/>
          <w:kern w:val="2"/>
          <w:sz w:val="21"/>
          <w:szCs w:val="22"/>
          <w:lang w:val="en-US" w:eastAsia="zh-CN"/>
        </w:rPr>
      </w:pPr>
      <w:r>
        <w:rPr>
          <w:noProof/>
        </w:rPr>
        <w:t>5.1.6.3.38</w:t>
      </w:r>
      <w:r>
        <w:rPr>
          <w:rFonts w:asciiTheme="minorHAnsi" w:eastAsiaTheme="minorEastAsia" w:hAnsiTheme="minorHAnsi" w:cstheme="minorBidi"/>
          <w:noProof/>
          <w:kern w:val="2"/>
          <w:sz w:val="21"/>
          <w:szCs w:val="22"/>
          <w:lang w:val="en-US" w:eastAsia="zh-CN"/>
        </w:rPr>
        <w:tab/>
      </w:r>
      <w:r>
        <w:rPr>
          <w:noProof/>
        </w:rPr>
        <w:t>Enumeration: LocationOrientation</w:t>
      </w:r>
      <w:r>
        <w:rPr>
          <w:noProof/>
        </w:rPr>
        <w:tab/>
      </w:r>
      <w:r>
        <w:rPr>
          <w:noProof/>
        </w:rPr>
        <w:fldChar w:fldCharType="begin"/>
      </w:r>
      <w:r>
        <w:rPr>
          <w:noProof/>
        </w:rPr>
        <w:instrText xml:space="preserve"> PAGEREF _Toc199453044 \h </w:instrText>
      </w:r>
      <w:r>
        <w:rPr>
          <w:noProof/>
        </w:rPr>
      </w:r>
      <w:r>
        <w:rPr>
          <w:noProof/>
        </w:rPr>
        <w:fldChar w:fldCharType="separate"/>
      </w:r>
      <w:r>
        <w:rPr>
          <w:noProof/>
        </w:rPr>
        <w:t>258</w:t>
      </w:r>
      <w:r>
        <w:rPr>
          <w:noProof/>
        </w:rPr>
        <w:fldChar w:fldCharType="end"/>
      </w:r>
    </w:p>
    <w:p w14:paraId="651503D9" w14:textId="146686CA" w:rsidR="003F6EFC" w:rsidRDefault="003F6EFC">
      <w:pPr>
        <w:pStyle w:val="TOC5"/>
        <w:rPr>
          <w:rFonts w:asciiTheme="minorHAnsi" w:eastAsiaTheme="minorEastAsia" w:hAnsiTheme="minorHAnsi" w:cstheme="minorBidi"/>
          <w:noProof/>
          <w:kern w:val="2"/>
          <w:sz w:val="21"/>
          <w:szCs w:val="22"/>
          <w:lang w:val="en-US" w:eastAsia="zh-CN"/>
        </w:rPr>
      </w:pPr>
      <w:r>
        <w:rPr>
          <w:noProof/>
        </w:rPr>
        <w:t>5.1.6.3.39</w:t>
      </w:r>
      <w:r>
        <w:rPr>
          <w:rFonts w:asciiTheme="minorHAnsi" w:eastAsiaTheme="minorEastAsia" w:hAnsiTheme="minorHAnsi" w:cstheme="minorBidi"/>
          <w:noProof/>
          <w:kern w:val="2"/>
          <w:sz w:val="21"/>
          <w:szCs w:val="22"/>
          <w:lang w:val="en-US" w:eastAsia="zh-CN"/>
        </w:rPr>
        <w:tab/>
      </w:r>
      <w:r>
        <w:rPr>
          <w:noProof/>
        </w:rPr>
        <w:t>Enumeration: Direction</w:t>
      </w:r>
      <w:r>
        <w:rPr>
          <w:noProof/>
        </w:rPr>
        <w:tab/>
      </w:r>
      <w:r>
        <w:rPr>
          <w:noProof/>
        </w:rPr>
        <w:fldChar w:fldCharType="begin"/>
      </w:r>
      <w:r>
        <w:rPr>
          <w:noProof/>
        </w:rPr>
        <w:instrText xml:space="preserve"> PAGEREF _Toc199453045 \h </w:instrText>
      </w:r>
      <w:r>
        <w:rPr>
          <w:noProof/>
        </w:rPr>
      </w:r>
      <w:r>
        <w:rPr>
          <w:noProof/>
        </w:rPr>
        <w:fldChar w:fldCharType="separate"/>
      </w:r>
      <w:r>
        <w:rPr>
          <w:noProof/>
        </w:rPr>
        <w:t>258</w:t>
      </w:r>
      <w:r>
        <w:rPr>
          <w:noProof/>
        </w:rPr>
        <w:fldChar w:fldCharType="end"/>
      </w:r>
    </w:p>
    <w:p w14:paraId="72418B19" w14:textId="4D5F35D2" w:rsidR="003F6EFC" w:rsidRDefault="003F6EFC">
      <w:pPr>
        <w:pStyle w:val="TOC5"/>
        <w:rPr>
          <w:rFonts w:asciiTheme="minorHAnsi" w:eastAsiaTheme="minorEastAsia" w:hAnsiTheme="minorHAnsi" w:cstheme="minorBidi"/>
          <w:noProof/>
          <w:kern w:val="2"/>
          <w:sz w:val="21"/>
          <w:szCs w:val="22"/>
          <w:lang w:val="en-US" w:eastAsia="zh-CN"/>
        </w:rPr>
      </w:pPr>
      <w:r>
        <w:rPr>
          <w:noProof/>
        </w:rPr>
        <w:t>5.1.6.3.40</w:t>
      </w:r>
      <w:r>
        <w:rPr>
          <w:rFonts w:asciiTheme="minorHAnsi" w:eastAsiaTheme="minorEastAsia" w:hAnsiTheme="minorHAnsi" w:cstheme="minorBidi"/>
          <w:noProof/>
          <w:kern w:val="2"/>
          <w:sz w:val="21"/>
          <w:szCs w:val="22"/>
          <w:lang w:val="en-US" w:eastAsia="zh-CN"/>
        </w:rPr>
        <w:tab/>
      </w:r>
      <w:r>
        <w:rPr>
          <w:noProof/>
        </w:rPr>
        <w:t>Enumeration: ProximityCriterion</w:t>
      </w:r>
      <w:r>
        <w:rPr>
          <w:noProof/>
        </w:rPr>
        <w:tab/>
      </w:r>
      <w:r>
        <w:rPr>
          <w:noProof/>
        </w:rPr>
        <w:fldChar w:fldCharType="begin"/>
      </w:r>
      <w:r>
        <w:rPr>
          <w:noProof/>
        </w:rPr>
        <w:instrText xml:space="preserve"> PAGEREF _Toc199453046 \h </w:instrText>
      </w:r>
      <w:r>
        <w:rPr>
          <w:noProof/>
        </w:rPr>
      </w:r>
      <w:r>
        <w:rPr>
          <w:noProof/>
        </w:rPr>
        <w:fldChar w:fldCharType="separate"/>
      </w:r>
      <w:r>
        <w:rPr>
          <w:noProof/>
        </w:rPr>
        <w:t>259</w:t>
      </w:r>
      <w:r>
        <w:rPr>
          <w:noProof/>
        </w:rPr>
        <w:fldChar w:fldCharType="end"/>
      </w:r>
    </w:p>
    <w:p w14:paraId="5782342B" w14:textId="396304D7" w:rsidR="003F6EFC" w:rsidRDefault="003F6EFC">
      <w:pPr>
        <w:pStyle w:val="TOC5"/>
        <w:rPr>
          <w:rFonts w:asciiTheme="minorHAnsi" w:eastAsiaTheme="minorEastAsia" w:hAnsiTheme="minorHAnsi" w:cstheme="minorBidi"/>
          <w:noProof/>
          <w:kern w:val="2"/>
          <w:sz w:val="21"/>
          <w:szCs w:val="22"/>
          <w:lang w:val="en-US" w:eastAsia="zh-CN"/>
        </w:rPr>
      </w:pPr>
      <w:r>
        <w:rPr>
          <w:noProof/>
        </w:rPr>
        <w:t>5.1.6.3.41</w:t>
      </w:r>
      <w:r>
        <w:rPr>
          <w:rFonts w:asciiTheme="minorHAnsi" w:eastAsiaTheme="minorEastAsia" w:hAnsiTheme="minorHAnsi" w:cstheme="minorBidi"/>
          <w:noProof/>
          <w:kern w:val="2"/>
          <w:sz w:val="21"/>
          <w:szCs w:val="22"/>
          <w:lang w:val="en-US" w:eastAsia="zh-CN"/>
        </w:rPr>
        <w:tab/>
      </w:r>
      <w:r>
        <w:rPr>
          <w:noProof/>
        </w:rPr>
        <w:t>Enumeration: Target</w:t>
      </w:r>
      <w:r>
        <w:rPr>
          <w:noProof/>
          <w:lang w:eastAsia="zh-CN"/>
        </w:rPr>
        <w:t>Cause</w:t>
      </w:r>
      <w:r>
        <w:rPr>
          <w:noProof/>
        </w:rPr>
        <w:t>Id</w:t>
      </w:r>
      <w:r>
        <w:rPr>
          <w:noProof/>
        </w:rPr>
        <w:tab/>
      </w:r>
      <w:r>
        <w:rPr>
          <w:noProof/>
        </w:rPr>
        <w:fldChar w:fldCharType="begin"/>
      </w:r>
      <w:r>
        <w:rPr>
          <w:noProof/>
        </w:rPr>
        <w:instrText xml:space="preserve"> PAGEREF _Toc199453047 \h </w:instrText>
      </w:r>
      <w:r>
        <w:rPr>
          <w:noProof/>
        </w:rPr>
      </w:r>
      <w:r>
        <w:rPr>
          <w:noProof/>
        </w:rPr>
        <w:fldChar w:fldCharType="separate"/>
      </w:r>
      <w:r>
        <w:rPr>
          <w:noProof/>
        </w:rPr>
        <w:t>259</w:t>
      </w:r>
      <w:r>
        <w:rPr>
          <w:noProof/>
        </w:rPr>
        <w:fldChar w:fldCharType="end"/>
      </w:r>
    </w:p>
    <w:p w14:paraId="391839A7" w14:textId="26F9A311" w:rsidR="003F6EFC" w:rsidRDefault="003F6EFC">
      <w:pPr>
        <w:pStyle w:val="TOC5"/>
        <w:rPr>
          <w:rFonts w:asciiTheme="minorHAnsi" w:eastAsiaTheme="minorEastAsia" w:hAnsiTheme="minorHAnsi" w:cstheme="minorBidi"/>
          <w:noProof/>
          <w:kern w:val="2"/>
          <w:sz w:val="21"/>
          <w:szCs w:val="22"/>
          <w:lang w:val="en-US" w:eastAsia="zh-CN"/>
        </w:rPr>
      </w:pPr>
      <w:r>
        <w:rPr>
          <w:noProof/>
        </w:rPr>
        <w:t>5.1.6.3.42</w:t>
      </w:r>
      <w:r>
        <w:rPr>
          <w:rFonts w:asciiTheme="minorHAnsi" w:eastAsiaTheme="minorEastAsia" w:hAnsiTheme="minorHAnsi" w:cstheme="minorBidi"/>
          <w:noProof/>
          <w:kern w:val="2"/>
          <w:sz w:val="21"/>
          <w:szCs w:val="22"/>
          <w:lang w:val="en-US" w:eastAsia="zh-CN"/>
        </w:rPr>
        <w:tab/>
      </w:r>
      <w:r>
        <w:rPr>
          <w:noProof/>
        </w:rPr>
        <w:t>Enumeration: TimerType</w:t>
      </w:r>
      <w:r>
        <w:rPr>
          <w:noProof/>
        </w:rPr>
        <w:tab/>
      </w:r>
      <w:r>
        <w:rPr>
          <w:noProof/>
        </w:rPr>
        <w:fldChar w:fldCharType="begin"/>
      </w:r>
      <w:r>
        <w:rPr>
          <w:noProof/>
        </w:rPr>
        <w:instrText xml:space="preserve"> PAGEREF _Toc199453048 \h </w:instrText>
      </w:r>
      <w:r>
        <w:rPr>
          <w:noProof/>
        </w:rPr>
      </w:r>
      <w:r>
        <w:rPr>
          <w:noProof/>
        </w:rPr>
        <w:fldChar w:fldCharType="separate"/>
      </w:r>
      <w:r>
        <w:rPr>
          <w:noProof/>
        </w:rPr>
        <w:t>259</w:t>
      </w:r>
      <w:r>
        <w:rPr>
          <w:noProof/>
        </w:rPr>
        <w:fldChar w:fldCharType="end"/>
      </w:r>
    </w:p>
    <w:p w14:paraId="716881F3" w14:textId="241CB9E8" w:rsidR="003F6EFC" w:rsidRDefault="003F6EFC">
      <w:pPr>
        <w:pStyle w:val="TOC5"/>
        <w:rPr>
          <w:rFonts w:asciiTheme="minorHAnsi" w:eastAsiaTheme="minorEastAsia" w:hAnsiTheme="minorHAnsi" w:cstheme="minorBidi"/>
          <w:noProof/>
          <w:kern w:val="2"/>
          <w:sz w:val="21"/>
          <w:szCs w:val="22"/>
          <w:lang w:val="en-US" w:eastAsia="zh-CN"/>
        </w:rPr>
      </w:pPr>
      <w:r>
        <w:rPr>
          <w:noProof/>
        </w:rPr>
        <w:t>5.1.6.3.43</w:t>
      </w:r>
      <w:r>
        <w:rPr>
          <w:rFonts w:asciiTheme="minorHAnsi" w:eastAsiaTheme="minorEastAsia" w:hAnsiTheme="minorHAnsi" w:cstheme="minorBidi"/>
          <w:noProof/>
          <w:kern w:val="2"/>
          <w:sz w:val="21"/>
          <w:szCs w:val="22"/>
          <w:lang w:val="en-US" w:eastAsia="zh-CN"/>
        </w:rPr>
        <w:tab/>
      </w:r>
      <w:r>
        <w:rPr>
          <w:noProof/>
        </w:rPr>
        <w:t>Enumeration: QosPolOrderCriterion</w:t>
      </w:r>
      <w:r>
        <w:rPr>
          <w:noProof/>
        </w:rPr>
        <w:tab/>
      </w:r>
      <w:r>
        <w:rPr>
          <w:noProof/>
        </w:rPr>
        <w:fldChar w:fldCharType="begin"/>
      </w:r>
      <w:r>
        <w:rPr>
          <w:noProof/>
        </w:rPr>
        <w:instrText xml:space="preserve"> PAGEREF _Toc199453049 \h </w:instrText>
      </w:r>
      <w:r>
        <w:rPr>
          <w:noProof/>
        </w:rPr>
      </w:r>
      <w:r>
        <w:rPr>
          <w:noProof/>
        </w:rPr>
        <w:fldChar w:fldCharType="separate"/>
      </w:r>
      <w:r>
        <w:rPr>
          <w:noProof/>
        </w:rPr>
        <w:t>259</w:t>
      </w:r>
      <w:r>
        <w:rPr>
          <w:noProof/>
        </w:rPr>
        <w:fldChar w:fldCharType="end"/>
      </w:r>
    </w:p>
    <w:p w14:paraId="514E2FA7" w14:textId="14E6CA9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_Toc199453050 \h </w:instrText>
      </w:r>
      <w:r>
        <w:rPr>
          <w:noProof/>
        </w:rPr>
      </w:r>
      <w:r>
        <w:rPr>
          <w:noProof/>
        </w:rPr>
        <w:fldChar w:fldCharType="separate"/>
      </w:r>
      <w:r>
        <w:rPr>
          <w:noProof/>
        </w:rPr>
        <w:t>259</w:t>
      </w:r>
      <w:r>
        <w:rPr>
          <w:noProof/>
        </w:rPr>
        <w:fldChar w:fldCharType="end"/>
      </w:r>
    </w:p>
    <w:p w14:paraId="3F86F48E" w14:textId="670156C0" w:rsidR="003F6EFC" w:rsidRDefault="003F6EFC">
      <w:pPr>
        <w:pStyle w:val="TOC4"/>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_Toc199453051 \h </w:instrText>
      </w:r>
      <w:r>
        <w:rPr>
          <w:noProof/>
        </w:rPr>
      </w:r>
      <w:r>
        <w:rPr>
          <w:noProof/>
        </w:rPr>
        <w:fldChar w:fldCharType="separate"/>
      </w:r>
      <w:r>
        <w:rPr>
          <w:noProof/>
        </w:rPr>
        <w:t>259</w:t>
      </w:r>
      <w:r>
        <w:rPr>
          <w:noProof/>
        </w:rPr>
        <w:fldChar w:fldCharType="end"/>
      </w:r>
    </w:p>
    <w:p w14:paraId="3760D217" w14:textId="19CB1E25" w:rsidR="003F6EFC" w:rsidRDefault="003F6EFC">
      <w:pPr>
        <w:pStyle w:val="TOC4"/>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_Toc199453052 \h </w:instrText>
      </w:r>
      <w:r>
        <w:rPr>
          <w:noProof/>
        </w:rPr>
      </w:r>
      <w:r>
        <w:rPr>
          <w:noProof/>
        </w:rPr>
        <w:fldChar w:fldCharType="separate"/>
      </w:r>
      <w:r>
        <w:rPr>
          <w:noProof/>
        </w:rPr>
        <w:t>259</w:t>
      </w:r>
      <w:r>
        <w:rPr>
          <w:noProof/>
        </w:rPr>
        <w:fldChar w:fldCharType="end"/>
      </w:r>
    </w:p>
    <w:p w14:paraId="1868826B" w14:textId="73D0A8DE"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_Toc199453053 \h </w:instrText>
      </w:r>
      <w:r>
        <w:rPr>
          <w:noProof/>
        </w:rPr>
      </w:r>
      <w:r>
        <w:rPr>
          <w:noProof/>
        </w:rPr>
        <w:fldChar w:fldCharType="separate"/>
      </w:r>
      <w:r>
        <w:rPr>
          <w:noProof/>
        </w:rPr>
        <w:t>260</w:t>
      </w:r>
      <w:r>
        <w:rPr>
          <w:noProof/>
        </w:rPr>
        <w:fldChar w:fldCharType="end"/>
      </w:r>
    </w:p>
    <w:p w14:paraId="7C5FEFF9" w14:textId="74667B1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_Toc199453054 \h </w:instrText>
      </w:r>
      <w:r>
        <w:rPr>
          <w:noProof/>
        </w:rPr>
      </w:r>
      <w:r>
        <w:rPr>
          <w:noProof/>
        </w:rPr>
        <w:fldChar w:fldCharType="separate"/>
      </w:r>
      <w:r>
        <w:rPr>
          <w:noProof/>
        </w:rPr>
        <w:t>265</w:t>
      </w:r>
      <w:r>
        <w:rPr>
          <w:noProof/>
        </w:rPr>
        <w:fldChar w:fldCharType="end"/>
      </w:r>
    </w:p>
    <w:p w14:paraId="07863100" w14:textId="17FD165D"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5.2</w:t>
      </w:r>
      <w:r>
        <w:rPr>
          <w:rFonts w:asciiTheme="minorHAnsi" w:eastAsiaTheme="minorEastAsia" w:hAnsiTheme="minorHAnsi" w:cstheme="minorBidi"/>
          <w:noProof/>
          <w:kern w:val="2"/>
          <w:sz w:val="21"/>
          <w:szCs w:val="22"/>
          <w:lang w:val="en-US" w:eastAsia="zh-CN"/>
        </w:rPr>
        <w:tab/>
      </w:r>
      <w:r>
        <w:rPr>
          <w:noProof/>
        </w:rPr>
        <w:t>Nnwdaf_AnalyticsInfo Service API</w:t>
      </w:r>
      <w:r>
        <w:rPr>
          <w:noProof/>
        </w:rPr>
        <w:tab/>
      </w:r>
      <w:r>
        <w:rPr>
          <w:noProof/>
        </w:rPr>
        <w:fldChar w:fldCharType="begin"/>
      </w:r>
      <w:r>
        <w:rPr>
          <w:noProof/>
        </w:rPr>
        <w:instrText xml:space="preserve"> PAGEREF _Toc199453055 \h </w:instrText>
      </w:r>
      <w:r>
        <w:rPr>
          <w:noProof/>
        </w:rPr>
      </w:r>
      <w:r>
        <w:rPr>
          <w:noProof/>
        </w:rPr>
        <w:fldChar w:fldCharType="separate"/>
      </w:r>
      <w:r>
        <w:rPr>
          <w:noProof/>
        </w:rPr>
        <w:t>265</w:t>
      </w:r>
      <w:r>
        <w:rPr>
          <w:noProof/>
        </w:rPr>
        <w:fldChar w:fldCharType="end"/>
      </w:r>
    </w:p>
    <w:p w14:paraId="4212851F" w14:textId="661D07C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_Toc199453056 \h </w:instrText>
      </w:r>
      <w:r>
        <w:rPr>
          <w:noProof/>
        </w:rPr>
      </w:r>
      <w:r>
        <w:rPr>
          <w:noProof/>
        </w:rPr>
        <w:fldChar w:fldCharType="separate"/>
      </w:r>
      <w:r>
        <w:rPr>
          <w:noProof/>
        </w:rPr>
        <w:t>265</w:t>
      </w:r>
      <w:r>
        <w:rPr>
          <w:noProof/>
        </w:rPr>
        <w:fldChar w:fldCharType="end"/>
      </w:r>
    </w:p>
    <w:p w14:paraId="5B89D1F9" w14:textId="0213F339"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_Toc199453057 \h </w:instrText>
      </w:r>
      <w:r>
        <w:rPr>
          <w:noProof/>
        </w:rPr>
      </w:r>
      <w:r>
        <w:rPr>
          <w:noProof/>
        </w:rPr>
        <w:fldChar w:fldCharType="separate"/>
      </w:r>
      <w:r>
        <w:rPr>
          <w:noProof/>
        </w:rPr>
        <w:t>266</w:t>
      </w:r>
      <w:r>
        <w:rPr>
          <w:noProof/>
        </w:rPr>
        <w:fldChar w:fldCharType="end"/>
      </w:r>
    </w:p>
    <w:p w14:paraId="514923E2" w14:textId="4EB044BA" w:rsidR="003F6EFC" w:rsidRDefault="003F6EFC">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_Toc199453058 \h </w:instrText>
      </w:r>
      <w:r>
        <w:rPr>
          <w:noProof/>
        </w:rPr>
      </w:r>
      <w:r>
        <w:rPr>
          <w:noProof/>
        </w:rPr>
        <w:fldChar w:fldCharType="separate"/>
      </w:r>
      <w:r>
        <w:rPr>
          <w:noProof/>
        </w:rPr>
        <w:t>266</w:t>
      </w:r>
      <w:r>
        <w:rPr>
          <w:noProof/>
        </w:rPr>
        <w:fldChar w:fldCharType="end"/>
      </w:r>
    </w:p>
    <w:p w14:paraId="7DF27A8D" w14:textId="1D302B48" w:rsidR="003F6EFC" w:rsidRDefault="003F6EFC">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_Toc199453059 \h </w:instrText>
      </w:r>
      <w:r>
        <w:rPr>
          <w:noProof/>
        </w:rPr>
      </w:r>
      <w:r>
        <w:rPr>
          <w:noProof/>
        </w:rPr>
        <w:fldChar w:fldCharType="separate"/>
      </w:r>
      <w:r>
        <w:rPr>
          <w:noProof/>
        </w:rPr>
        <w:t>266</w:t>
      </w:r>
      <w:r>
        <w:rPr>
          <w:noProof/>
        </w:rPr>
        <w:fldChar w:fldCharType="end"/>
      </w:r>
    </w:p>
    <w:p w14:paraId="5A54712D" w14:textId="3017EECD" w:rsidR="003F6EFC" w:rsidRDefault="003F6EFC">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_Toc199453060 \h </w:instrText>
      </w:r>
      <w:r>
        <w:rPr>
          <w:noProof/>
        </w:rPr>
      </w:r>
      <w:r>
        <w:rPr>
          <w:noProof/>
        </w:rPr>
        <w:fldChar w:fldCharType="separate"/>
      </w:r>
      <w:r>
        <w:rPr>
          <w:noProof/>
        </w:rPr>
        <w:t>266</w:t>
      </w:r>
      <w:r>
        <w:rPr>
          <w:noProof/>
        </w:rPr>
        <w:fldChar w:fldCharType="end"/>
      </w:r>
    </w:p>
    <w:p w14:paraId="7486B239" w14:textId="71CFA684" w:rsidR="003F6EFC" w:rsidRDefault="003F6EFC">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_Toc199453061 \h </w:instrText>
      </w:r>
      <w:r>
        <w:rPr>
          <w:noProof/>
        </w:rPr>
      </w:r>
      <w:r>
        <w:rPr>
          <w:noProof/>
        </w:rPr>
        <w:fldChar w:fldCharType="separate"/>
      </w:r>
      <w:r>
        <w:rPr>
          <w:noProof/>
        </w:rPr>
        <w:t>266</w:t>
      </w:r>
      <w:r>
        <w:rPr>
          <w:noProof/>
        </w:rPr>
        <w:fldChar w:fldCharType="end"/>
      </w:r>
    </w:p>
    <w:p w14:paraId="6E701D9B" w14:textId="2124C088" w:rsidR="003F6EFC" w:rsidRDefault="003F6EFC">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_Toc199453062 \h </w:instrText>
      </w:r>
      <w:r>
        <w:rPr>
          <w:noProof/>
        </w:rPr>
      </w:r>
      <w:r>
        <w:rPr>
          <w:noProof/>
        </w:rPr>
        <w:fldChar w:fldCharType="separate"/>
      </w:r>
      <w:r>
        <w:rPr>
          <w:noProof/>
        </w:rPr>
        <w:t>266</w:t>
      </w:r>
      <w:r>
        <w:rPr>
          <w:noProof/>
        </w:rPr>
        <w:fldChar w:fldCharType="end"/>
      </w:r>
    </w:p>
    <w:p w14:paraId="5E2CA889" w14:textId="3CD1AF2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5.2.3</w:t>
      </w:r>
      <w:r>
        <w:rPr>
          <w:rFonts w:asciiTheme="minorHAnsi" w:eastAsiaTheme="minorEastAsia" w:hAnsiTheme="minorHAnsi" w:cstheme="minorBidi"/>
          <w:noProof/>
          <w:kern w:val="2"/>
          <w:sz w:val="21"/>
          <w:szCs w:val="22"/>
          <w:lang w:val="en-US" w:eastAsia="zh-CN"/>
        </w:rPr>
        <w:tab/>
      </w:r>
      <w:r w:rsidRPr="00D64295">
        <w:rPr>
          <w:noProof/>
          <w:lang w:val="en-US"/>
        </w:rPr>
        <w:t>Resources</w:t>
      </w:r>
      <w:r>
        <w:rPr>
          <w:noProof/>
        </w:rPr>
        <w:tab/>
      </w:r>
      <w:r>
        <w:rPr>
          <w:noProof/>
        </w:rPr>
        <w:fldChar w:fldCharType="begin"/>
      </w:r>
      <w:r>
        <w:rPr>
          <w:noProof/>
        </w:rPr>
        <w:instrText xml:space="preserve"> PAGEREF _Toc199453063 \h </w:instrText>
      </w:r>
      <w:r>
        <w:rPr>
          <w:noProof/>
        </w:rPr>
      </w:r>
      <w:r>
        <w:rPr>
          <w:noProof/>
        </w:rPr>
        <w:fldChar w:fldCharType="separate"/>
      </w:r>
      <w:r>
        <w:rPr>
          <w:noProof/>
        </w:rPr>
        <w:t>266</w:t>
      </w:r>
      <w:r>
        <w:rPr>
          <w:noProof/>
        </w:rPr>
        <w:fldChar w:fldCharType="end"/>
      </w:r>
    </w:p>
    <w:p w14:paraId="724A78E4" w14:textId="3E651EB7" w:rsidR="003F6EFC" w:rsidRDefault="003F6EFC">
      <w:pPr>
        <w:pStyle w:val="TOC4"/>
        <w:rPr>
          <w:rFonts w:asciiTheme="minorHAnsi" w:eastAsiaTheme="minorEastAsia" w:hAnsiTheme="minorHAnsi" w:cstheme="minorBidi"/>
          <w:noProof/>
          <w:kern w:val="2"/>
          <w:sz w:val="21"/>
          <w:szCs w:val="22"/>
          <w:lang w:val="en-US" w:eastAsia="zh-CN"/>
        </w:rPr>
      </w:pPr>
      <w:r>
        <w:rPr>
          <w:noProof/>
        </w:rPr>
        <w:t>5.2.3.1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_Toc199453064 \h </w:instrText>
      </w:r>
      <w:r>
        <w:rPr>
          <w:noProof/>
        </w:rPr>
      </w:r>
      <w:r>
        <w:rPr>
          <w:noProof/>
        </w:rPr>
        <w:fldChar w:fldCharType="separate"/>
      </w:r>
      <w:r>
        <w:rPr>
          <w:noProof/>
        </w:rPr>
        <w:t>266</w:t>
      </w:r>
      <w:r>
        <w:rPr>
          <w:noProof/>
        </w:rPr>
        <w:fldChar w:fldCharType="end"/>
      </w:r>
    </w:p>
    <w:p w14:paraId="2E0CBCF6" w14:textId="2C71CC0F" w:rsidR="003F6EFC" w:rsidRDefault="003F6EFC">
      <w:pPr>
        <w:pStyle w:val="TOC4"/>
        <w:rPr>
          <w:rFonts w:asciiTheme="minorHAnsi" w:eastAsiaTheme="minorEastAsia" w:hAnsiTheme="minorHAnsi" w:cstheme="minorBidi"/>
          <w:noProof/>
          <w:kern w:val="2"/>
          <w:sz w:val="21"/>
          <w:szCs w:val="22"/>
          <w:lang w:val="en-US" w:eastAsia="zh-CN"/>
        </w:rPr>
      </w:pPr>
      <w:r>
        <w:rPr>
          <w:noProof/>
        </w:rPr>
        <w:t>5.2.3.2</w:t>
      </w:r>
      <w:r>
        <w:rPr>
          <w:rFonts w:asciiTheme="minorHAnsi" w:eastAsiaTheme="minorEastAsia" w:hAnsiTheme="minorHAnsi" w:cstheme="minorBidi"/>
          <w:noProof/>
          <w:kern w:val="2"/>
          <w:sz w:val="21"/>
          <w:szCs w:val="22"/>
          <w:lang w:val="en-US" w:eastAsia="zh-CN"/>
        </w:rPr>
        <w:tab/>
      </w:r>
      <w:r>
        <w:rPr>
          <w:noProof/>
        </w:rPr>
        <w:t>Resource: NWDAF Analytics</w:t>
      </w:r>
      <w:r>
        <w:rPr>
          <w:noProof/>
        </w:rPr>
        <w:tab/>
      </w:r>
      <w:r>
        <w:rPr>
          <w:noProof/>
        </w:rPr>
        <w:fldChar w:fldCharType="begin"/>
      </w:r>
      <w:r>
        <w:rPr>
          <w:noProof/>
        </w:rPr>
        <w:instrText xml:space="preserve"> PAGEREF _Toc199453065 \h </w:instrText>
      </w:r>
      <w:r>
        <w:rPr>
          <w:noProof/>
        </w:rPr>
      </w:r>
      <w:r>
        <w:rPr>
          <w:noProof/>
        </w:rPr>
        <w:fldChar w:fldCharType="separate"/>
      </w:r>
      <w:r>
        <w:rPr>
          <w:noProof/>
        </w:rPr>
        <w:t>267</w:t>
      </w:r>
      <w:r>
        <w:rPr>
          <w:noProof/>
        </w:rPr>
        <w:fldChar w:fldCharType="end"/>
      </w:r>
    </w:p>
    <w:p w14:paraId="39BA0634" w14:textId="1FB536E1" w:rsidR="003F6EFC" w:rsidRDefault="003F6EFC">
      <w:pPr>
        <w:pStyle w:val="TOC5"/>
        <w:rPr>
          <w:rFonts w:asciiTheme="minorHAnsi" w:eastAsiaTheme="minorEastAsia" w:hAnsiTheme="minorHAnsi" w:cstheme="minorBidi"/>
          <w:noProof/>
          <w:kern w:val="2"/>
          <w:sz w:val="21"/>
          <w:szCs w:val="22"/>
          <w:lang w:val="en-US" w:eastAsia="zh-CN"/>
        </w:rPr>
      </w:pPr>
      <w:r>
        <w:rPr>
          <w:noProof/>
        </w:rPr>
        <w:t>5.2.3.2.1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_Toc199453066 \h </w:instrText>
      </w:r>
      <w:r>
        <w:rPr>
          <w:noProof/>
        </w:rPr>
      </w:r>
      <w:r>
        <w:rPr>
          <w:noProof/>
        </w:rPr>
        <w:fldChar w:fldCharType="separate"/>
      </w:r>
      <w:r>
        <w:rPr>
          <w:noProof/>
        </w:rPr>
        <w:t>267</w:t>
      </w:r>
      <w:r>
        <w:rPr>
          <w:noProof/>
        </w:rPr>
        <w:fldChar w:fldCharType="end"/>
      </w:r>
    </w:p>
    <w:p w14:paraId="308CD4C1" w14:textId="64EECB8D" w:rsidR="003F6EFC" w:rsidRDefault="003F6EFC">
      <w:pPr>
        <w:pStyle w:val="TOC5"/>
        <w:rPr>
          <w:rFonts w:asciiTheme="minorHAnsi" w:eastAsiaTheme="minorEastAsia" w:hAnsiTheme="minorHAnsi" w:cstheme="minorBidi"/>
          <w:noProof/>
          <w:kern w:val="2"/>
          <w:sz w:val="21"/>
          <w:szCs w:val="22"/>
          <w:lang w:val="en-US" w:eastAsia="zh-CN"/>
        </w:rPr>
      </w:pPr>
      <w:r>
        <w:rPr>
          <w:noProof/>
        </w:rPr>
        <w:t>5.2.3.2.2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_Toc199453067 \h </w:instrText>
      </w:r>
      <w:r>
        <w:rPr>
          <w:noProof/>
        </w:rPr>
      </w:r>
      <w:r>
        <w:rPr>
          <w:noProof/>
        </w:rPr>
        <w:fldChar w:fldCharType="separate"/>
      </w:r>
      <w:r>
        <w:rPr>
          <w:noProof/>
        </w:rPr>
        <w:t>267</w:t>
      </w:r>
      <w:r>
        <w:rPr>
          <w:noProof/>
        </w:rPr>
        <w:fldChar w:fldCharType="end"/>
      </w:r>
    </w:p>
    <w:p w14:paraId="25CABE1E" w14:textId="3E78CBD2" w:rsidR="003F6EFC" w:rsidRDefault="003F6EFC">
      <w:pPr>
        <w:pStyle w:val="TOC5"/>
        <w:rPr>
          <w:rFonts w:asciiTheme="minorHAnsi" w:eastAsiaTheme="minorEastAsia" w:hAnsiTheme="minorHAnsi" w:cstheme="minorBidi"/>
          <w:noProof/>
          <w:kern w:val="2"/>
          <w:sz w:val="21"/>
          <w:szCs w:val="22"/>
          <w:lang w:val="en-US" w:eastAsia="zh-CN"/>
        </w:rPr>
      </w:pPr>
      <w:r>
        <w:rPr>
          <w:noProof/>
        </w:rPr>
        <w:t>5.2.3.2.3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_Toc199453068 \h </w:instrText>
      </w:r>
      <w:r>
        <w:rPr>
          <w:noProof/>
        </w:rPr>
      </w:r>
      <w:r>
        <w:rPr>
          <w:noProof/>
        </w:rPr>
        <w:fldChar w:fldCharType="separate"/>
      </w:r>
      <w:r>
        <w:rPr>
          <w:noProof/>
        </w:rPr>
        <w:t>267</w:t>
      </w:r>
      <w:r>
        <w:rPr>
          <w:noProof/>
        </w:rPr>
        <w:fldChar w:fldCharType="end"/>
      </w:r>
    </w:p>
    <w:p w14:paraId="6DEC3BBE" w14:textId="129B699D" w:rsidR="003F6EFC" w:rsidRDefault="003F6EFC">
      <w:pPr>
        <w:pStyle w:val="TOC6"/>
        <w:rPr>
          <w:rFonts w:asciiTheme="minorHAnsi" w:eastAsiaTheme="minorEastAsia" w:hAnsiTheme="minorHAnsi" w:cstheme="minorBidi"/>
          <w:noProof/>
          <w:kern w:val="2"/>
          <w:sz w:val="21"/>
          <w:szCs w:val="22"/>
          <w:lang w:val="en-US" w:eastAsia="zh-CN"/>
        </w:rPr>
      </w:pPr>
      <w:r>
        <w:rPr>
          <w:noProof/>
        </w:rPr>
        <w:t>5.2.3.2.3.1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_Toc199453069 \h </w:instrText>
      </w:r>
      <w:r>
        <w:rPr>
          <w:noProof/>
        </w:rPr>
      </w:r>
      <w:r>
        <w:rPr>
          <w:noProof/>
        </w:rPr>
        <w:fldChar w:fldCharType="separate"/>
      </w:r>
      <w:r>
        <w:rPr>
          <w:noProof/>
        </w:rPr>
        <w:t>267</w:t>
      </w:r>
      <w:r>
        <w:rPr>
          <w:noProof/>
        </w:rPr>
        <w:fldChar w:fldCharType="end"/>
      </w:r>
    </w:p>
    <w:p w14:paraId="1ABCE6BB" w14:textId="7B522CD1" w:rsidR="003F6EFC" w:rsidRDefault="003F6EFC">
      <w:pPr>
        <w:pStyle w:val="TOC5"/>
        <w:rPr>
          <w:rFonts w:asciiTheme="minorHAnsi" w:eastAsiaTheme="minorEastAsia" w:hAnsiTheme="minorHAnsi" w:cstheme="minorBidi"/>
          <w:noProof/>
          <w:kern w:val="2"/>
          <w:sz w:val="21"/>
          <w:szCs w:val="22"/>
          <w:lang w:val="en-US" w:eastAsia="zh-CN"/>
        </w:rPr>
      </w:pPr>
      <w:r>
        <w:rPr>
          <w:noProof/>
        </w:rPr>
        <w:t>5.2.3.2.4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_Toc199453070 \h </w:instrText>
      </w:r>
      <w:r>
        <w:rPr>
          <w:noProof/>
        </w:rPr>
      </w:r>
      <w:r>
        <w:rPr>
          <w:noProof/>
        </w:rPr>
        <w:fldChar w:fldCharType="separate"/>
      </w:r>
      <w:r>
        <w:rPr>
          <w:noProof/>
        </w:rPr>
        <w:t>269</w:t>
      </w:r>
      <w:r>
        <w:rPr>
          <w:noProof/>
        </w:rPr>
        <w:fldChar w:fldCharType="end"/>
      </w:r>
    </w:p>
    <w:p w14:paraId="5BEC4D67" w14:textId="3D4B43EF" w:rsidR="003F6EFC" w:rsidRDefault="003F6EFC">
      <w:pPr>
        <w:pStyle w:val="TOC4"/>
        <w:rPr>
          <w:rFonts w:asciiTheme="minorHAnsi" w:eastAsiaTheme="minorEastAsia" w:hAnsiTheme="minorHAnsi" w:cstheme="minorBidi"/>
          <w:noProof/>
          <w:kern w:val="2"/>
          <w:sz w:val="21"/>
          <w:szCs w:val="22"/>
          <w:lang w:val="en-US" w:eastAsia="zh-CN"/>
        </w:rPr>
      </w:pPr>
      <w:r>
        <w:rPr>
          <w:noProof/>
        </w:rPr>
        <w:t>5.2.3.3</w:t>
      </w:r>
      <w:r>
        <w:rPr>
          <w:rFonts w:asciiTheme="minorHAnsi" w:eastAsiaTheme="minorEastAsia" w:hAnsiTheme="minorHAnsi" w:cstheme="minorBidi"/>
          <w:noProof/>
          <w:kern w:val="2"/>
          <w:sz w:val="21"/>
          <w:szCs w:val="22"/>
          <w:lang w:val="en-US" w:eastAsia="zh-CN"/>
        </w:rPr>
        <w:tab/>
      </w:r>
      <w:r>
        <w:rPr>
          <w:noProof/>
        </w:rPr>
        <w:t>Resource: NWDAF Context</w:t>
      </w:r>
      <w:r>
        <w:rPr>
          <w:noProof/>
        </w:rPr>
        <w:tab/>
      </w:r>
      <w:r>
        <w:rPr>
          <w:noProof/>
        </w:rPr>
        <w:fldChar w:fldCharType="begin"/>
      </w:r>
      <w:r>
        <w:rPr>
          <w:noProof/>
        </w:rPr>
        <w:instrText xml:space="preserve"> PAGEREF _Toc199453071 \h </w:instrText>
      </w:r>
      <w:r>
        <w:rPr>
          <w:noProof/>
        </w:rPr>
      </w:r>
      <w:r>
        <w:rPr>
          <w:noProof/>
        </w:rPr>
        <w:fldChar w:fldCharType="separate"/>
      </w:r>
      <w:r>
        <w:rPr>
          <w:noProof/>
        </w:rPr>
        <w:t>269</w:t>
      </w:r>
      <w:r>
        <w:rPr>
          <w:noProof/>
        </w:rPr>
        <w:fldChar w:fldCharType="end"/>
      </w:r>
    </w:p>
    <w:p w14:paraId="13624E79" w14:textId="50252C73" w:rsidR="003F6EFC" w:rsidRDefault="003F6EFC">
      <w:pPr>
        <w:pStyle w:val="TOC5"/>
        <w:rPr>
          <w:rFonts w:asciiTheme="minorHAnsi" w:eastAsiaTheme="minorEastAsia" w:hAnsiTheme="minorHAnsi" w:cstheme="minorBidi"/>
          <w:noProof/>
          <w:kern w:val="2"/>
          <w:sz w:val="21"/>
          <w:szCs w:val="22"/>
          <w:lang w:val="en-US" w:eastAsia="zh-CN"/>
        </w:rPr>
      </w:pPr>
      <w:r>
        <w:rPr>
          <w:noProof/>
        </w:rPr>
        <w:t>5.2.3.3.1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_Toc199453072 \h </w:instrText>
      </w:r>
      <w:r>
        <w:rPr>
          <w:noProof/>
        </w:rPr>
      </w:r>
      <w:r>
        <w:rPr>
          <w:noProof/>
        </w:rPr>
        <w:fldChar w:fldCharType="separate"/>
      </w:r>
      <w:r>
        <w:rPr>
          <w:noProof/>
        </w:rPr>
        <w:t>269</w:t>
      </w:r>
      <w:r>
        <w:rPr>
          <w:noProof/>
        </w:rPr>
        <w:fldChar w:fldCharType="end"/>
      </w:r>
    </w:p>
    <w:p w14:paraId="3D693A92" w14:textId="41372E59" w:rsidR="003F6EFC" w:rsidRDefault="003F6EFC">
      <w:pPr>
        <w:pStyle w:val="TOC5"/>
        <w:rPr>
          <w:rFonts w:asciiTheme="minorHAnsi" w:eastAsiaTheme="minorEastAsia" w:hAnsiTheme="minorHAnsi" w:cstheme="minorBidi"/>
          <w:noProof/>
          <w:kern w:val="2"/>
          <w:sz w:val="21"/>
          <w:szCs w:val="22"/>
          <w:lang w:val="en-US" w:eastAsia="zh-CN"/>
        </w:rPr>
      </w:pPr>
      <w:r>
        <w:rPr>
          <w:noProof/>
        </w:rPr>
        <w:t>5.2.3.3.2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_Toc199453073 \h </w:instrText>
      </w:r>
      <w:r>
        <w:rPr>
          <w:noProof/>
        </w:rPr>
      </w:r>
      <w:r>
        <w:rPr>
          <w:noProof/>
        </w:rPr>
        <w:fldChar w:fldCharType="separate"/>
      </w:r>
      <w:r>
        <w:rPr>
          <w:noProof/>
        </w:rPr>
        <w:t>269</w:t>
      </w:r>
      <w:r>
        <w:rPr>
          <w:noProof/>
        </w:rPr>
        <w:fldChar w:fldCharType="end"/>
      </w:r>
    </w:p>
    <w:p w14:paraId="08F8B8E0" w14:textId="7C192CA1" w:rsidR="003F6EFC" w:rsidRDefault="003F6EFC">
      <w:pPr>
        <w:pStyle w:val="TOC5"/>
        <w:rPr>
          <w:rFonts w:asciiTheme="minorHAnsi" w:eastAsiaTheme="minorEastAsia" w:hAnsiTheme="minorHAnsi" w:cstheme="minorBidi"/>
          <w:noProof/>
          <w:kern w:val="2"/>
          <w:sz w:val="21"/>
          <w:szCs w:val="22"/>
          <w:lang w:val="en-US" w:eastAsia="zh-CN"/>
        </w:rPr>
      </w:pPr>
      <w:r>
        <w:rPr>
          <w:noProof/>
        </w:rPr>
        <w:t>5.2.3.3.3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_Toc199453074 \h </w:instrText>
      </w:r>
      <w:r>
        <w:rPr>
          <w:noProof/>
        </w:rPr>
      </w:r>
      <w:r>
        <w:rPr>
          <w:noProof/>
        </w:rPr>
        <w:fldChar w:fldCharType="separate"/>
      </w:r>
      <w:r>
        <w:rPr>
          <w:noProof/>
        </w:rPr>
        <w:t>269</w:t>
      </w:r>
      <w:r>
        <w:rPr>
          <w:noProof/>
        </w:rPr>
        <w:fldChar w:fldCharType="end"/>
      </w:r>
    </w:p>
    <w:p w14:paraId="48D927F1" w14:textId="4F156A94" w:rsidR="003F6EFC" w:rsidRDefault="003F6EFC">
      <w:pPr>
        <w:pStyle w:val="TOC6"/>
        <w:rPr>
          <w:rFonts w:asciiTheme="minorHAnsi" w:eastAsiaTheme="minorEastAsia" w:hAnsiTheme="minorHAnsi" w:cstheme="minorBidi"/>
          <w:noProof/>
          <w:kern w:val="2"/>
          <w:sz w:val="21"/>
          <w:szCs w:val="22"/>
          <w:lang w:val="en-US" w:eastAsia="zh-CN"/>
        </w:rPr>
      </w:pPr>
      <w:r>
        <w:rPr>
          <w:noProof/>
        </w:rPr>
        <w:t>5.2.3.3.3.1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_Toc199453075 \h </w:instrText>
      </w:r>
      <w:r>
        <w:rPr>
          <w:noProof/>
        </w:rPr>
      </w:r>
      <w:r>
        <w:rPr>
          <w:noProof/>
        </w:rPr>
        <w:fldChar w:fldCharType="separate"/>
      </w:r>
      <w:r>
        <w:rPr>
          <w:noProof/>
        </w:rPr>
        <w:t>269</w:t>
      </w:r>
      <w:r>
        <w:rPr>
          <w:noProof/>
        </w:rPr>
        <w:fldChar w:fldCharType="end"/>
      </w:r>
    </w:p>
    <w:p w14:paraId="4DDE15BA" w14:textId="17440302" w:rsidR="003F6EFC" w:rsidRDefault="003F6EFC">
      <w:pPr>
        <w:pStyle w:val="TOC5"/>
        <w:rPr>
          <w:rFonts w:asciiTheme="minorHAnsi" w:eastAsiaTheme="minorEastAsia" w:hAnsiTheme="minorHAnsi" w:cstheme="minorBidi"/>
          <w:noProof/>
          <w:kern w:val="2"/>
          <w:sz w:val="21"/>
          <w:szCs w:val="22"/>
          <w:lang w:val="en-US" w:eastAsia="zh-CN"/>
        </w:rPr>
      </w:pPr>
      <w:r>
        <w:rPr>
          <w:noProof/>
        </w:rPr>
        <w:t>5.2.3.3.4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_Toc199453076 \h </w:instrText>
      </w:r>
      <w:r>
        <w:rPr>
          <w:noProof/>
        </w:rPr>
      </w:r>
      <w:r>
        <w:rPr>
          <w:noProof/>
        </w:rPr>
        <w:fldChar w:fldCharType="separate"/>
      </w:r>
      <w:r>
        <w:rPr>
          <w:noProof/>
        </w:rPr>
        <w:t>271</w:t>
      </w:r>
      <w:r>
        <w:rPr>
          <w:noProof/>
        </w:rPr>
        <w:fldChar w:fldCharType="end"/>
      </w:r>
    </w:p>
    <w:p w14:paraId="5BF45DDB" w14:textId="409369C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_Toc199453077 \h </w:instrText>
      </w:r>
      <w:r>
        <w:rPr>
          <w:noProof/>
        </w:rPr>
      </w:r>
      <w:r>
        <w:rPr>
          <w:noProof/>
        </w:rPr>
        <w:fldChar w:fldCharType="separate"/>
      </w:r>
      <w:r>
        <w:rPr>
          <w:noProof/>
        </w:rPr>
        <w:t>271</w:t>
      </w:r>
      <w:r>
        <w:rPr>
          <w:noProof/>
        </w:rPr>
        <w:fldChar w:fldCharType="end"/>
      </w:r>
    </w:p>
    <w:p w14:paraId="48C179DE" w14:textId="112CAAE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_Toc199453078 \h </w:instrText>
      </w:r>
      <w:r>
        <w:rPr>
          <w:noProof/>
        </w:rPr>
      </w:r>
      <w:r>
        <w:rPr>
          <w:noProof/>
        </w:rPr>
        <w:fldChar w:fldCharType="separate"/>
      </w:r>
      <w:r>
        <w:rPr>
          <w:noProof/>
        </w:rPr>
        <w:t>271</w:t>
      </w:r>
      <w:r>
        <w:rPr>
          <w:noProof/>
        </w:rPr>
        <w:fldChar w:fldCharType="end"/>
      </w:r>
    </w:p>
    <w:p w14:paraId="416D1549" w14:textId="4AF11C6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_Toc199453079 \h </w:instrText>
      </w:r>
      <w:r>
        <w:rPr>
          <w:noProof/>
        </w:rPr>
      </w:r>
      <w:r>
        <w:rPr>
          <w:noProof/>
        </w:rPr>
        <w:fldChar w:fldCharType="separate"/>
      </w:r>
      <w:r>
        <w:rPr>
          <w:noProof/>
        </w:rPr>
        <w:t>271</w:t>
      </w:r>
      <w:r>
        <w:rPr>
          <w:noProof/>
        </w:rPr>
        <w:fldChar w:fldCharType="end"/>
      </w:r>
    </w:p>
    <w:p w14:paraId="10D670FB" w14:textId="42EEEF2C" w:rsidR="003F6EFC" w:rsidRDefault="003F6EFC">
      <w:pPr>
        <w:pStyle w:val="TOC4"/>
        <w:rPr>
          <w:rFonts w:asciiTheme="minorHAnsi" w:eastAsiaTheme="minorEastAsia" w:hAnsiTheme="minorHAnsi" w:cstheme="minorBidi"/>
          <w:noProof/>
          <w:kern w:val="2"/>
          <w:sz w:val="21"/>
          <w:szCs w:val="22"/>
          <w:lang w:val="en-US" w:eastAsia="zh-CN"/>
        </w:rPr>
      </w:pPr>
      <w:r>
        <w:rPr>
          <w:noProof/>
        </w:rPr>
        <w:t>5.2.6.1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_Toc199453080 \h </w:instrText>
      </w:r>
      <w:r>
        <w:rPr>
          <w:noProof/>
        </w:rPr>
      </w:r>
      <w:r>
        <w:rPr>
          <w:noProof/>
        </w:rPr>
        <w:fldChar w:fldCharType="separate"/>
      </w:r>
      <w:r>
        <w:rPr>
          <w:noProof/>
        </w:rPr>
        <w:t>271</w:t>
      </w:r>
      <w:r>
        <w:rPr>
          <w:noProof/>
        </w:rPr>
        <w:fldChar w:fldCharType="end"/>
      </w:r>
    </w:p>
    <w:p w14:paraId="0DB91066" w14:textId="4BC98522" w:rsidR="003F6EFC" w:rsidRDefault="003F6EFC">
      <w:pPr>
        <w:pStyle w:val="TOC4"/>
        <w:rPr>
          <w:rFonts w:asciiTheme="minorHAnsi" w:eastAsiaTheme="minorEastAsia" w:hAnsiTheme="minorHAnsi" w:cstheme="minorBidi"/>
          <w:noProof/>
          <w:kern w:val="2"/>
          <w:sz w:val="21"/>
          <w:szCs w:val="22"/>
          <w:lang w:val="en-US" w:eastAsia="zh-CN"/>
        </w:rPr>
      </w:pPr>
      <w:r>
        <w:rPr>
          <w:noProof/>
        </w:rPr>
        <w:t>5.2.6.2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_Toc199453081 \h </w:instrText>
      </w:r>
      <w:r>
        <w:rPr>
          <w:noProof/>
        </w:rPr>
      </w:r>
      <w:r>
        <w:rPr>
          <w:noProof/>
        </w:rPr>
        <w:fldChar w:fldCharType="separate"/>
      </w:r>
      <w:r>
        <w:rPr>
          <w:noProof/>
        </w:rPr>
        <w:t>280</w:t>
      </w:r>
      <w:r>
        <w:rPr>
          <w:noProof/>
        </w:rPr>
        <w:fldChar w:fldCharType="end"/>
      </w:r>
    </w:p>
    <w:p w14:paraId="0FB6C9E9" w14:textId="028AEC44" w:rsidR="003F6EFC" w:rsidRDefault="003F6EFC">
      <w:pPr>
        <w:pStyle w:val="TOC5"/>
        <w:rPr>
          <w:rFonts w:asciiTheme="minorHAnsi" w:eastAsiaTheme="minorEastAsia" w:hAnsiTheme="minorHAnsi" w:cstheme="minorBidi"/>
          <w:noProof/>
          <w:kern w:val="2"/>
          <w:sz w:val="21"/>
          <w:szCs w:val="22"/>
          <w:lang w:val="en-US" w:eastAsia="zh-CN"/>
        </w:rPr>
      </w:pPr>
      <w:r>
        <w:rPr>
          <w:noProof/>
        </w:rPr>
        <w:t>5.2.6.2.1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_Toc199453082 \h </w:instrText>
      </w:r>
      <w:r>
        <w:rPr>
          <w:noProof/>
        </w:rPr>
      </w:r>
      <w:r>
        <w:rPr>
          <w:noProof/>
        </w:rPr>
        <w:fldChar w:fldCharType="separate"/>
      </w:r>
      <w:r>
        <w:rPr>
          <w:noProof/>
        </w:rPr>
        <w:t>280</w:t>
      </w:r>
      <w:r>
        <w:rPr>
          <w:noProof/>
        </w:rPr>
        <w:fldChar w:fldCharType="end"/>
      </w:r>
    </w:p>
    <w:p w14:paraId="726CB39A" w14:textId="77C6058E" w:rsidR="003F6EFC" w:rsidRDefault="003F6EFC">
      <w:pPr>
        <w:pStyle w:val="TOC5"/>
        <w:rPr>
          <w:rFonts w:asciiTheme="minorHAnsi" w:eastAsiaTheme="minorEastAsia" w:hAnsiTheme="minorHAnsi" w:cstheme="minorBidi"/>
          <w:noProof/>
          <w:kern w:val="2"/>
          <w:sz w:val="21"/>
          <w:szCs w:val="22"/>
          <w:lang w:val="en-US" w:eastAsia="zh-CN"/>
        </w:rPr>
      </w:pPr>
      <w:r>
        <w:rPr>
          <w:noProof/>
        </w:rPr>
        <w:t>5.2.6.2.2</w:t>
      </w:r>
      <w:r>
        <w:rPr>
          <w:rFonts w:asciiTheme="minorHAnsi" w:eastAsiaTheme="minorEastAsia" w:hAnsiTheme="minorHAnsi" w:cstheme="minorBidi"/>
          <w:noProof/>
          <w:kern w:val="2"/>
          <w:sz w:val="21"/>
          <w:szCs w:val="22"/>
          <w:lang w:val="en-US" w:eastAsia="zh-CN"/>
        </w:rPr>
        <w:tab/>
      </w:r>
      <w:r>
        <w:rPr>
          <w:noProof/>
        </w:rPr>
        <w:t>Type AnalyticsData</w:t>
      </w:r>
      <w:r>
        <w:rPr>
          <w:noProof/>
        </w:rPr>
        <w:tab/>
      </w:r>
      <w:r>
        <w:rPr>
          <w:noProof/>
        </w:rPr>
        <w:fldChar w:fldCharType="begin"/>
      </w:r>
      <w:r>
        <w:rPr>
          <w:noProof/>
        </w:rPr>
        <w:instrText xml:space="preserve"> PAGEREF _Toc199453083 \h </w:instrText>
      </w:r>
      <w:r>
        <w:rPr>
          <w:noProof/>
        </w:rPr>
      </w:r>
      <w:r>
        <w:rPr>
          <w:noProof/>
        </w:rPr>
        <w:fldChar w:fldCharType="separate"/>
      </w:r>
      <w:r>
        <w:rPr>
          <w:noProof/>
        </w:rPr>
        <w:t>281</w:t>
      </w:r>
      <w:r>
        <w:rPr>
          <w:noProof/>
        </w:rPr>
        <w:fldChar w:fldCharType="end"/>
      </w:r>
    </w:p>
    <w:p w14:paraId="4F33117B" w14:textId="57D42156" w:rsidR="003F6EFC" w:rsidRDefault="003F6EFC">
      <w:pPr>
        <w:pStyle w:val="TOC5"/>
        <w:rPr>
          <w:rFonts w:asciiTheme="minorHAnsi" w:eastAsiaTheme="minorEastAsia" w:hAnsiTheme="minorHAnsi" w:cstheme="minorBidi"/>
          <w:noProof/>
          <w:kern w:val="2"/>
          <w:sz w:val="21"/>
          <w:szCs w:val="22"/>
          <w:lang w:val="en-US" w:eastAsia="zh-CN"/>
        </w:rPr>
      </w:pPr>
      <w:r>
        <w:rPr>
          <w:noProof/>
        </w:rPr>
        <w:t>5.2.6.2.3</w:t>
      </w:r>
      <w:r>
        <w:rPr>
          <w:rFonts w:asciiTheme="minorHAnsi" w:eastAsiaTheme="minorEastAsia" w:hAnsiTheme="minorHAnsi" w:cstheme="minorBidi"/>
          <w:noProof/>
          <w:kern w:val="2"/>
          <w:sz w:val="21"/>
          <w:szCs w:val="22"/>
          <w:lang w:val="en-US" w:eastAsia="zh-CN"/>
        </w:rPr>
        <w:tab/>
      </w:r>
      <w:r>
        <w:rPr>
          <w:noProof/>
        </w:rPr>
        <w:t>Type EventFilter</w:t>
      </w:r>
      <w:r>
        <w:rPr>
          <w:noProof/>
        </w:rPr>
        <w:tab/>
      </w:r>
      <w:r>
        <w:rPr>
          <w:noProof/>
        </w:rPr>
        <w:fldChar w:fldCharType="begin"/>
      </w:r>
      <w:r>
        <w:rPr>
          <w:noProof/>
        </w:rPr>
        <w:instrText xml:space="preserve"> PAGEREF _Toc199453084 \h </w:instrText>
      </w:r>
      <w:r>
        <w:rPr>
          <w:noProof/>
        </w:rPr>
      </w:r>
      <w:r>
        <w:rPr>
          <w:noProof/>
        </w:rPr>
        <w:fldChar w:fldCharType="separate"/>
      </w:r>
      <w:r>
        <w:rPr>
          <w:noProof/>
        </w:rPr>
        <w:t>285</w:t>
      </w:r>
      <w:r>
        <w:rPr>
          <w:noProof/>
        </w:rPr>
        <w:fldChar w:fldCharType="end"/>
      </w:r>
    </w:p>
    <w:p w14:paraId="7532834E" w14:textId="43B56EF6" w:rsidR="003F6EFC" w:rsidRDefault="003F6EFC">
      <w:pPr>
        <w:pStyle w:val="TOC5"/>
        <w:rPr>
          <w:rFonts w:asciiTheme="minorHAnsi" w:eastAsiaTheme="minorEastAsia" w:hAnsiTheme="minorHAnsi" w:cstheme="minorBidi"/>
          <w:noProof/>
          <w:kern w:val="2"/>
          <w:sz w:val="21"/>
          <w:szCs w:val="22"/>
          <w:lang w:val="en-US" w:eastAsia="zh-CN"/>
        </w:rPr>
      </w:pPr>
      <w:r>
        <w:rPr>
          <w:noProof/>
        </w:rPr>
        <w:t>5.2.6.2.4</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_Toc199453085 \h </w:instrText>
      </w:r>
      <w:r>
        <w:rPr>
          <w:noProof/>
        </w:rPr>
      </w:r>
      <w:r>
        <w:rPr>
          <w:noProof/>
        </w:rPr>
        <w:fldChar w:fldCharType="separate"/>
      </w:r>
      <w:r>
        <w:rPr>
          <w:noProof/>
        </w:rPr>
        <w:t>292</w:t>
      </w:r>
      <w:r>
        <w:rPr>
          <w:noProof/>
        </w:rPr>
        <w:fldChar w:fldCharType="end"/>
      </w:r>
    </w:p>
    <w:p w14:paraId="2DE44F8F" w14:textId="154B5665" w:rsidR="003F6EFC" w:rsidRDefault="003F6EFC">
      <w:pPr>
        <w:pStyle w:val="TOC5"/>
        <w:rPr>
          <w:rFonts w:asciiTheme="minorHAnsi" w:eastAsiaTheme="minorEastAsia" w:hAnsiTheme="minorHAnsi" w:cstheme="minorBidi"/>
          <w:noProof/>
          <w:kern w:val="2"/>
          <w:sz w:val="21"/>
          <w:szCs w:val="22"/>
          <w:lang w:val="en-US" w:eastAsia="zh-CN"/>
        </w:rPr>
      </w:pPr>
      <w:r>
        <w:rPr>
          <w:noProof/>
        </w:rPr>
        <w:t>5.2.6.2.5</w:t>
      </w:r>
      <w:r>
        <w:rPr>
          <w:rFonts w:asciiTheme="minorHAnsi" w:eastAsiaTheme="minorEastAsia" w:hAnsiTheme="minorHAnsi" w:cstheme="minorBidi"/>
          <w:noProof/>
          <w:kern w:val="2"/>
          <w:sz w:val="21"/>
          <w:szCs w:val="22"/>
          <w:lang w:val="en-US" w:eastAsia="zh-CN"/>
        </w:rPr>
        <w:tab/>
      </w:r>
      <w:r>
        <w:rPr>
          <w:noProof/>
        </w:rPr>
        <w:t>Type AdditionInfoAnalyticsInfoRequest</w:t>
      </w:r>
      <w:r>
        <w:rPr>
          <w:noProof/>
        </w:rPr>
        <w:tab/>
      </w:r>
      <w:r>
        <w:rPr>
          <w:noProof/>
        </w:rPr>
        <w:fldChar w:fldCharType="begin"/>
      </w:r>
      <w:r>
        <w:rPr>
          <w:noProof/>
        </w:rPr>
        <w:instrText xml:space="preserve"> PAGEREF _Toc199453086 \h </w:instrText>
      </w:r>
      <w:r>
        <w:rPr>
          <w:noProof/>
        </w:rPr>
      </w:r>
      <w:r>
        <w:rPr>
          <w:noProof/>
        </w:rPr>
        <w:fldChar w:fldCharType="separate"/>
      </w:r>
      <w:r>
        <w:rPr>
          <w:noProof/>
        </w:rPr>
        <w:t>292</w:t>
      </w:r>
      <w:r>
        <w:rPr>
          <w:noProof/>
        </w:rPr>
        <w:fldChar w:fldCharType="end"/>
      </w:r>
    </w:p>
    <w:p w14:paraId="2ACCDD1E" w14:textId="6E791E1F"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5.2.6.2.6</w:t>
      </w:r>
      <w:r>
        <w:rPr>
          <w:rFonts w:asciiTheme="minorHAnsi" w:eastAsiaTheme="minorEastAsia" w:hAnsiTheme="minorHAnsi" w:cstheme="minorBidi"/>
          <w:noProof/>
          <w:kern w:val="2"/>
          <w:sz w:val="21"/>
          <w:szCs w:val="22"/>
          <w:lang w:val="en-US" w:eastAsia="zh-CN"/>
        </w:rPr>
        <w:tab/>
      </w:r>
      <w:r>
        <w:rPr>
          <w:noProof/>
        </w:rPr>
        <w:t>Type ContextData</w:t>
      </w:r>
      <w:r>
        <w:rPr>
          <w:noProof/>
        </w:rPr>
        <w:tab/>
      </w:r>
      <w:r>
        <w:rPr>
          <w:noProof/>
        </w:rPr>
        <w:fldChar w:fldCharType="begin"/>
      </w:r>
      <w:r>
        <w:rPr>
          <w:noProof/>
        </w:rPr>
        <w:instrText xml:space="preserve"> PAGEREF _Toc199453087 \h </w:instrText>
      </w:r>
      <w:r>
        <w:rPr>
          <w:noProof/>
        </w:rPr>
      </w:r>
      <w:r>
        <w:rPr>
          <w:noProof/>
        </w:rPr>
        <w:fldChar w:fldCharType="separate"/>
      </w:r>
      <w:r>
        <w:rPr>
          <w:noProof/>
        </w:rPr>
        <w:t>292</w:t>
      </w:r>
      <w:r>
        <w:rPr>
          <w:noProof/>
        </w:rPr>
        <w:fldChar w:fldCharType="end"/>
      </w:r>
    </w:p>
    <w:p w14:paraId="104B9C45" w14:textId="76A1D18B" w:rsidR="003F6EFC" w:rsidRDefault="003F6EFC">
      <w:pPr>
        <w:pStyle w:val="TOC5"/>
        <w:rPr>
          <w:rFonts w:asciiTheme="minorHAnsi" w:eastAsiaTheme="minorEastAsia" w:hAnsiTheme="minorHAnsi" w:cstheme="minorBidi"/>
          <w:noProof/>
          <w:kern w:val="2"/>
          <w:sz w:val="21"/>
          <w:szCs w:val="22"/>
          <w:lang w:val="en-US" w:eastAsia="zh-CN"/>
        </w:rPr>
      </w:pPr>
      <w:r>
        <w:rPr>
          <w:noProof/>
        </w:rPr>
        <w:t>5.2.6.2.7</w:t>
      </w:r>
      <w:r>
        <w:rPr>
          <w:rFonts w:asciiTheme="minorHAnsi" w:eastAsiaTheme="minorEastAsia" w:hAnsiTheme="minorHAnsi" w:cstheme="minorBidi"/>
          <w:noProof/>
          <w:kern w:val="2"/>
          <w:sz w:val="21"/>
          <w:szCs w:val="22"/>
          <w:lang w:val="en-US" w:eastAsia="zh-CN"/>
        </w:rPr>
        <w:tab/>
      </w:r>
      <w:r>
        <w:rPr>
          <w:noProof/>
        </w:rPr>
        <w:t>Type ContextElement</w:t>
      </w:r>
      <w:r>
        <w:rPr>
          <w:noProof/>
        </w:rPr>
        <w:tab/>
      </w:r>
      <w:r>
        <w:rPr>
          <w:noProof/>
        </w:rPr>
        <w:fldChar w:fldCharType="begin"/>
      </w:r>
      <w:r>
        <w:rPr>
          <w:noProof/>
        </w:rPr>
        <w:instrText xml:space="preserve"> PAGEREF _Toc199453088 \h </w:instrText>
      </w:r>
      <w:r>
        <w:rPr>
          <w:noProof/>
        </w:rPr>
      </w:r>
      <w:r>
        <w:rPr>
          <w:noProof/>
        </w:rPr>
        <w:fldChar w:fldCharType="separate"/>
      </w:r>
      <w:r>
        <w:rPr>
          <w:noProof/>
        </w:rPr>
        <w:t>293</w:t>
      </w:r>
      <w:r>
        <w:rPr>
          <w:noProof/>
        </w:rPr>
        <w:fldChar w:fldCharType="end"/>
      </w:r>
    </w:p>
    <w:p w14:paraId="3FB6CAC6" w14:textId="42428B1E" w:rsidR="003F6EFC" w:rsidRDefault="003F6EFC">
      <w:pPr>
        <w:pStyle w:val="TOC5"/>
        <w:rPr>
          <w:rFonts w:asciiTheme="minorHAnsi" w:eastAsiaTheme="minorEastAsia" w:hAnsiTheme="minorHAnsi" w:cstheme="minorBidi"/>
          <w:noProof/>
          <w:kern w:val="2"/>
          <w:sz w:val="21"/>
          <w:szCs w:val="22"/>
          <w:lang w:val="en-US" w:eastAsia="zh-CN"/>
        </w:rPr>
      </w:pPr>
      <w:r>
        <w:rPr>
          <w:noProof/>
        </w:rPr>
        <w:t>5.2.6.2.8</w:t>
      </w:r>
      <w:r>
        <w:rPr>
          <w:rFonts w:asciiTheme="minorHAnsi" w:eastAsiaTheme="minorEastAsia" w:hAnsiTheme="minorHAnsi" w:cstheme="minorBidi"/>
          <w:noProof/>
          <w:kern w:val="2"/>
          <w:sz w:val="21"/>
          <w:szCs w:val="22"/>
          <w:lang w:val="en-US" w:eastAsia="zh-CN"/>
        </w:rPr>
        <w:tab/>
      </w:r>
      <w:r>
        <w:rPr>
          <w:noProof/>
        </w:rPr>
        <w:t>Type ContextIdList</w:t>
      </w:r>
      <w:r>
        <w:rPr>
          <w:noProof/>
        </w:rPr>
        <w:tab/>
      </w:r>
      <w:r>
        <w:rPr>
          <w:noProof/>
        </w:rPr>
        <w:fldChar w:fldCharType="begin"/>
      </w:r>
      <w:r>
        <w:rPr>
          <w:noProof/>
        </w:rPr>
        <w:instrText xml:space="preserve"> PAGEREF _Toc199453089 \h </w:instrText>
      </w:r>
      <w:r>
        <w:rPr>
          <w:noProof/>
        </w:rPr>
      </w:r>
      <w:r>
        <w:rPr>
          <w:noProof/>
        </w:rPr>
        <w:fldChar w:fldCharType="separate"/>
      </w:r>
      <w:r>
        <w:rPr>
          <w:noProof/>
        </w:rPr>
        <w:t>295</w:t>
      </w:r>
      <w:r>
        <w:rPr>
          <w:noProof/>
        </w:rPr>
        <w:fldChar w:fldCharType="end"/>
      </w:r>
    </w:p>
    <w:p w14:paraId="628DE140" w14:textId="29932576" w:rsidR="003F6EFC" w:rsidRDefault="003F6EFC">
      <w:pPr>
        <w:pStyle w:val="TOC5"/>
        <w:rPr>
          <w:rFonts w:asciiTheme="minorHAnsi" w:eastAsiaTheme="minorEastAsia" w:hAnsiTheme="minorHAnsi" w:cstheme="minorBidi"/>
          <w:noProof/>
          <w:kern w:val="2"/>
          <w:sz w:val="21"/>
          <w:szCs w:val="22"/>
          <w:lang w:val="en-US" w:eastAsia="zh-CN"/>
        </w:rPr>
      </w:pPr>
      <w:r>
        <w:rPr>
          <w:noProof/>
        </w:rPr>
        <w:t>5.2.6.2.9</w:t>
      </w:r>
      <w:r>
        <w:rPr>
          <w:rFonts w:asciiTheme="minorHAnsi" w:eastAsiaTheme="minorEastAsia" w:hAnsiTheme="minorHAnsi" w:cstheme="minorBidi"/>
          <w:noProof/>
          <w:kern w:val="2"/>
          <w:sz w:val="21"/>
          <w:szCs w:val="22"/>
          <w:lang w:val="en-US" w:eastAsia="zh-CN"/>
        </w:rPr>
        <w:tab/>
      </w:r>
      <w:r>
        <w:rPr>
          <w:noProof/>
        </w:rPr>
        <w:t>Type HistoricalData</w:t>
      </w:r>
      <w:r>
        <w:rPr>
          <w:noProof/>
        </w:rPr>
        <w:tab/>
      </w:r>
      <w:r>
        <w:rPr>
          <w:noProof/>
        </w:rPr>
        <w:fldChar w:fldCharType="begin"/>
      </w:r>
      <w:r>
        <w:rPr>
          <w:noProof/>
        </w:rPr>
        <w:instrText xml:space="preserve"> PAGEREF _Toc199453090 \h </w:instrText>
      </w:r>
      <w:r>
        <w:rPr>
          <w:noProof/>
        </w:rPr>
      </w:r>
      <w:r>
        <w:rPr>
          <w:noProof/>
        </w:rPr>
        <w:fldChar w:fldCharType="separate"/>
      </w:r>
      <w:r>
        <w:rPr>
          <w:noProof/>
        </w:rPr>
        <w:t>295</w:t>
      </w:r>
      <w:r>
        <w:rPr>
          <w:noProof/>
        </w:rPr>
        <w:fldChar w:fldCharType="end"/>
      </w:r>
    </w:p>
    <w:p w14:paraId="78072D7D" w14:textId="429FB4E0" w:rsidR="003F6EFC" w:rsidRDefault="003F6EFC">
      <w:pPr>
        <w:pStyle w:val="TOC5"/>
        <w:rPr>
          <w:rFonts w:asciiTheme="minorHAnsi" w:eastAsiaTheme="minorEastAsia" w:hAnsiTheme="minorHAnsi" w:cstheme="minorBidi"/>
          <w:noProof/>
          <w:kern w:val="2"/>
          <w:sz w:val="21"/>
          <w:szCs w:val="22"/>
          <w:lang w:val="en-US" w:eastAsia="zh-CN"/>
        </w:rPr>
      </w:pPr>
      <w:r>
        <w:rPr>
          <w:noProof/>
        </w:rPr>
        <w:t>5.2.6.2.10</w:t>
      </w:r>
      <w:r>
        <w:rPr>
          <w:rFonts w:asciiTheme="minorHAnsi" w:eastAsiaTheme="minorEastAsia" w:hAnsiTheme="minorHAnsi" w:cstheme="minorBidi"/>
          <w:noProof/>
          <w:kern w:val="2"/>
          <w:sz w:val="21"/>
          <w:szCs w:val="22"/>
          <w:lang w:val="en-US" w:eastAsia="zh-CN"/>
        </w:rPr>
        <w:tab/>
      </w:r>
      <w:r>
        <w:rPr>
          <w:noProof/>
        </w:rPr>
        <w:t>Type SpecificAnalyticsSubscription</w:t>
      </w:r>
      <w:r>
        <w:rPr>
          <w:noProof/>
        </w:rPr>
        <w:tab/>
      </w:r>
      <w:r>
        <w:rPr>
          <w:noProof/>
        </w:rPr>
        <w:fldChar w:fldCharType="begin"/>
      </w:r>
      <w:r>
        <w:rPr>
          <w:noProof/>
        </w:rPr>
        <w:instrText xml:space="preserve"> PAGEREF _Toc199453091 \h </w:instrText>
      </w:r>
      <w:r>
        <w:rPr>
          <w:noProof/>
        </w:rPr>
      </w:r>
      <w:r>
        <w:rPr>
          <w:noProof/>
        </w:rPr>
        <w:fldChar w:fldCharType="separate"/>
      </w:r>
      <w:r>
        <w:rPr>
          <w:noProof/>
        </w:rPr>
        <w:t>296</w:t>
      </w:r>
      <w:r>
        <w:rPr>
          <w:noProof/>
        </w:rPr>
        <w:fldChar w:fldCharType="end"/>
      </w:r>
    </w:p>
    <w:p w14:paraId="4668FB10" w14:textId="30BEDC74" w:rsidR="003F6EFC" w:rsidRDefault="003F6EFC">
      <w:pPr>
        <w:pStyle w:val="TOC5"/>
        <w:rPr>
          <w:rFonts w:asciiTheme="minorHAnsi" w:eastAsiaTheme="minorEastAsia" w:hAnsiTheme="minorHAnsi" w:cstheme="minorBidi"/>
          <w:noProof/>
          <w:kern w:val="2"/>
          <w:sz w:val="21"/>
          <w:szCs w:val="22"/>
          <w:lang w:val="en-US" w:eastAsia="zh-CN"/>
        </w:rPr>
      </w:pPr>
      <w:r>
        <w:rPr>
          <w:noProof/>
        </w:rPr>
        <w:t>5.2.6.2.11</w:t>
      </w:r>
      <w:r>
        <w:rPr>
          <w:rFonts w:asciiTheme="minorHAnsi" w:eastAsiaTheme="minorEastAsia" w:hAnsiTheme="minorHAnsi" w:cstheme="minorBidi"/>
          <w:noProof/>
          <w:kern w:val="2"/>
          <w:sz w:val="21"/>
          <w:szCs w:val="22"/>
          <w:lang w:val="en-US" w:eastAsia="zh-CN"/>
        </w:rPr>
        <w:tab/>
      </w:r>
      <w:r>
        <w:rPr>
          <w:noProof/>
        </w:rPr>
        <w:t>Type RequestedContext</w:t>
      </w:r>
      <w:r>
        <w:rPr>
          <w:noProof/>
        </w:rPr>
        <w:tab/>
      </w:r>
      <w:r>
        <w:rPr>
          <w:noProof/>
        </w:rPr>
        <w:fldChar w:fldCharType="begin"/>
      </w:r>
      <w:r>
        <w:rPr>
          <w:noProof/>
        </w:rPr>
        <w:instrText xml:space="preserve"> PAGEREF _Toc199453092 \h </w:instrText>
      </w:r>
      <w:r>
        <w:rPr>
          <w:noProof/>
        </w:rPr>
      </w:r>
      <w:r>
        <w:rPr>
          <w:noProof/>
        </w:rPr>
        <w:fldChar w:fldCharType="separate"/>
      </w:r>
      <w:r>
        <w:rPr>
          <w:noProof/>
        </w:rPr>
        <w:t>296</w:t>
      </w:r>
      <w:r>
        <w:rPr>
          <w:noProof/>
        </w:rPr>
        <w:fldChar w:fldCharType="end"/>
      </w:r>
    </w:p>
    <w:p w14:paraId="447468F5" w14:textId="1D3F86EF" w:rsidR="003F6EFC" w:rsidRDefault="003F6EFC">
      <w:pPr>
        <w:pStyle w:val="TOC5"/>
        <w:rPr>
          <w:rFonts w:asciiTheme="minorHAnsi" w:eastAsiaTheme="minorEastAsia" w:hAnsiTheme="minorHAnsi" w:cstheme="minorBidi"/>
          <w:noProof/>
          <w:kern w:val="2"/>
          <w:sz w:val="21"/>
          <w:szCs w:val="22"/>
          <w:lang w:val="en-US" w:eastAsia="zh-CN"/>
        </w:rPr>
      </w:pPr>
      <w:r>
        <w:rPr>
          <w:noProof/>
        </w:rPr>
        <w:t>5.2.6.2.12</w:t>
      </w:r>
      <w:r>
        <w:rPr>
          <w:rFonts w:asciiTheme="minorHAnsi" w:eastAsiaTheme="minorEastAsia" w:hAnsiTheme="minorHAnsi" w:cstheme="minorBidi"/>
          <w:noProof/>
          <w:kern w:val="2"/>
          <w:sz w:val="21"/>
          <w:szCs w:val="22"/>
          <w:lang w:val="en-US" w:eastAsia="zh-CN"/>
        </w:rPr>
        <w:tab/>
      </w:r>
      <w:r>
        <w:rPr>
          <w:noProof/>
        </w:rPr>
        <w:t>Type SmcceInfo</w:t>
      </w:r>
      <w:r>
        <w:rPr>
          <w:noProof/>
        </w:rPr>
        <w:tab/>
      </w:r>
      <w:r>
        <w:rPr>
          <w:noProof/>
        </w:rPr>
        <w:fldChar w:fldCharType="begin"/>
      </w:r>
      <w:r>
        <w:rPr>
          <w:noProof/>
        </w:rPr>
        <w:instrText xml:space="preserve"> PAGEREF _Toc199453093 \h </w:instrText>
      </w:r>
      <w:r>
        <w:rPr>
          <w:noProof/>
        </w:rPr>
      </w:r>
      <w:r>
        <w:rPr>
          <w:noProof/>
        </w:rPr>
        <w:fldChar w:fldCharType="separate"/>
      </w:r>
      <w:r>
        <w:rPr>
          <w:noProof/>
        </w:rPr>
        <w:t>296</w:t>
      </w:r>
      <w:r>
        <w:rPr>
          <w:noProof/>
        </w:rPr>
        <w:fldChar w:fldCharType="end"/>
      </w:r>
    </w:p>
    <w:p w14:paraId="40EB582B" w14:textId="41CAF238" w:rsidR="003F6EFC" w:rsidRDefault="003F6EFC">
      <w:pPr>
        <w:pStyle w:val="TOC5"/>
        <w:rPr>
          <w:rFonts w:asciiTheme="minorHAnsi" w:eastAsiaTheme="minorEastAsia" w:hAnsiTheme="minorHAnsi" w:cstheme="minorBidi"/>
          <w:noProof/>
          <w:kern w:val="2"/>
          <w:sz w:val="21"/>
          <w:szCs w:val="22"/>
          <w:lang w:val="en-US" w:eastAsia="zh-CN"/>
        </w:rPr>
      </w:pPr>
      <w:r>
        <w:rPr>
          <w:noProof/>
        </w:rPr>
        <w:t>5.2.6.2.13</w:t>
      </w:r>
      <w:r>
        <w:rPr>
          <w:rFonts w:asciiTheme="minorHAnsi" w:eastAsiaTheme="minorEastAsia" w:hAnsiTheme="minorHAnsi" w:cstheme="minorBidi"/>
          <w:noProof/>
          <w:kern w:val="2"/>
          <w:sz w:val="21"/>
          <w:szCs w:val="22"/>
          <w:lang w:val="en-US" w:eastAsia="zh-CN"/>
        </w:rPr>
        <w:tab/>
      </w:r>
      <w:r>
        <w:rPr>
          <w:noProof/>
        </w:rPr>
        <w:t>Type SmcceUeList</w:t>
      </w:r>
      <w:r>
        <w:rPr>
          <w:noProof/>
        </w:rPr>
        <w:tab/>
      </w:r>
      <w:r>
        <w:rPr>
          <w:noProof/>
        </w:rPr>
        <w:fldChar w:fldCharType="begin"/>
      </w:r>
      <w:r>
        <w:rPr>
          <w:noProof/>
        </w:rPr>
        <w:instrText xml:space="preserve"> PAGEREF _Toc199453094 \h </w:instrText>
      </w:r>
      <w:r>
        <w:rPr>
          <w:noProof/>
        </w:rPr>
      </w:r>
      <w:r>
        <w:rPr>
          <w:noProof/>
        </w:rPr>
        <w:fldChar w:fldCharType="separate"/>
      </w:r>
      <w:r>
        <w:rPr>
          <w:noProof/>
        </w:rPr>
        <w:t>297</w:t>
      </w:r>
      <w:r>
        <w:rPr>
          <w:noProof/>
        </w:rPr>
        <w:fldChar w:fldCharType="end"/>
      </w:r>
    </w:p>
    <w:p w14:paraId="1FA2494F" w14:textId="767A9D19" w:rsidR="003F6EFC" w:rsidRDefault="003F6EFC">
      <w:pPr>
        <w:pStyle w:val="TOC5"/>
        <w:rPr>
          <w:rFonts w:asciiTheme="minorHAnsi" w:eastAsiaTheme="minorEastAsia" w:hAnsiTheme="minorHAnsi" w:cstheme="minorBidi"/>
          <w:noProof/>
          <w:kern w:val="2"/>
          <w:sz w:val="21"/>
          <w:szCs w:val="22"/>
          <w:lang w:val="en-US" w:eastAsia="zh-CN"/>
        </w:rPr>
      </w:pPr>
      <w:r>
        <w:rPr>
          <w:noProof/>
        </w:rPr>
        <w:t>5.2.6.2.14</w:t>
      </w:r>
      <w:r>
        <w:rPr>
          <w:rFonts w:asciiTheme="minorHAnsi" w:eastAsiaTheme="minorEastAsia" w:hAnsiTheme="minorHAnsi" w:cstheme="minorBidi"/>
          <w:noProof/>
          <w:kern w:val="2"/>
          <w:sz w:val="21"/>
          <w:szCs w:val="22"/>
          <w:lang w:val="en-US" w:eastAsia="zh-CN"/>
        </w:rPr>
        <w:tab/>
      </w:r>
      <w:r>
        <w:rPr>
          <w:noProof/>
        </w:rPr>
        <w:t>Type SpecificDataSubscription</w:t>
      </w:r>
      <w:r>
        <w:rPr>
          <w:noProof/>
        </w:rPr>
        <w:tab/>
      </w:r>
      <w:r>
        <w:rPr>
          <w:noProof/>
        </w:rPr>
        <w:fldChar w:fldCharType="begin"/>
      </w:r>
      <w:r>
        <w:rPr>
          <w:noProof/>
        </w:rPr>
        <w:instrText xml:space="preserve"> PAGEREF _Toc199453095 \h </w:instrText>
      </w:r>
      <w:r>
        <w:rPr>
          <w:noProof/>
        </w:rPr>
      </w:r>
      <w:r>
        <w:rPr>
          <w:noProof/>
        </w:rPr>
        <w:fldChar w:fldCharType="separate"/>
      </w:r>
      <w:r>
        <w:rPr>
          <w:noProof/>
        </w:rPr>
        <w:t>297</w:t>
      </w:r>
      <w:r>
        <w:rPr>
          <w:noProof/>
        </w:rPr>
        <w:fldChar w:fldCharType="end"/>
      </w:r>
    </w:p>
    <w:p w14:paraId="2FE30D74" w14:textId="3BC34FA5" w:rsidR="003F6EFC" w:rsidRDefault="003F6EFC">
      <w:pPr>
        <w:pStyle w:val="TOC5"/>
        <w:rPr>
          <w:rFonts w:asciiTheme="minorHAnsi" w:eastAsiaTheme="minorEastAsia" w:hAnsiTheme="minorHAnsi" w:cstheme="minorBidi"/>
          <w:noProof/>
          <w:kern w:val="2"/>
          <w:sz w:val="21"/>
          <w:szCs w:val="22"/>
          <w:lang w:val="en-US" w:eastAsia="zh-CN"/>
        </w:rPr>
      </w:pPr>
      <w:r>
        <w:rPr>
          <w:noProof/>
        </w:rPr>
        <w:t>5.2.6.2.15</w:t>
      </w:r>
      <w:r>
        <w:rPr>
          <w:rFonts w:asciiTheme="minorHAnsi" w:eastAsiaTheme="minorEastAsia" w:hAnsiTheme="minorHAnsi" w:cstheme="minorBidi"/>
          <w:noProof/>
          <w:kern w:val="2"/>
          <w:sz w:val="21"/>
          <w:szCs w:val="22"/>
          <w:lang w:val="en-US" w:eastAsia="zh-CN"/>
        </w:rPr>
        <w:tab/>
      </w:r>
      <w:r>
        <w:rPr>
          <w:noProof/>
        </w:rPr>
        <w:t>Type UserDataCongestReq</w:t>
      </w:r>
      <w:r>
        <w:rPr>
          <w:noProof/>
        </w:rPr>
        <w:tab/>
      </w:r>
      <w:r>
        <w:rPr>
          <w:noProof/>
        </w:rPr>
        <w:fldChar w:fldCharType="begin"/>
      </w:r>
      <w:r>
        <w:rPr>
          <w:noProof/>
        </w:rPr>
        <w:instrText xml:space="preserve"> PAGEREF _Toc199453096 \h </w:instrText>
      </w:r>
      <w:r>
        <w:rPr>
          <w:noProof/>
        </w:rPr>
      </w:r>
      <w:r>
        <w:rPr>
          <w:noProof/>
        </w:rPr>
        <w:fldChar w:fldCharType="separate"/>
      </w:r>
      <w:r>
        <w:rPr>
          <w:noProof/>
        </w:rPr>
        <w:t>298</w:t>
      </w:r>
      <w:r>
        <w:rPr>
          <w:noProof/>
        </w:rPr>
        <w:fldChar w:fldCharType="end"/>
      </w:r>
    </w:p>
    <w:p w14:paraId="3487E5FF" w14:textId="4714F1D6" w:rsidR="003F6EFC" w:rsidRDefault="003F6EFC">
      <w:pPr>
        <w:pStyle w:val="TOC5"/>
        <w:rPr>
          <w:rFonts w:asciiTheme="minorHAnsi" w:eastAsiaTheme="minorEastAsia" w:hAnsiTheme="minorHAnsi" w:cstheme="minorBidi"/>
          <w:noProof/>
          <w:kern w:val="2"/>
          <w:sz w:val="21"/>
          <w:szCs w:val="22"/>
          <w:lang w:val="en-US" w:eastAsia="zh-CN"/>
        </w:rPr>
      </w:pPr>
      <w:r>
        <w:rPr>
          <w:noProof/>
        </w:rPr>
        <w:t>5.2.6.2.16</w:t>
      </w:r>
      <w:r>
        <w:rPr>
          <w:rFonts w:asciiTheme="minorHAnsi" w:eastAsiaTheme="minorEastAsia" w:hAnsiTheme="minorHAnsi" w:cstheme="minorBidi"/>
          <w:noProof/>
          <w:kern w:val="2"/>
          <w:sz w:val="21"/>
          <w:szCs w:val="22"/>
          <w:lang w:val="en-US" w:eastAsia="zh-CN"/>
        </w:rPr>
        <w:tab/>
      </w:r>
      <w:r>
        <w:rPr>
          <w:noProof/>
        </w:rPr>
        <w:t>Type NetworkPerfReq</w:t>
      </w:r>
      <w:r>
        <w:rPr>
          <w:noProof/>
        </w:rPr>
        <w:tab/>
      </w:r>
      <w:r>
        <w:rPr>
          <w:noProof/>
        </w:rPr>
        <w:fldChar w:fldCharType="begin"/>
      </w:r>
      <w:r>
        <w:rPr>
          <w:noProof/>
        </w:rPr>
        <w:instrText xml:space="preserve"> PAGEREF _Toc199453097 \h </w:instrText>
      </w:r>
      <w:r>
        <w:rPr>
          <w:noProof/>
        </w:rPr>
      </w:r>
      <w:r>
        <w:rPr>
          <w:noProof/>
        </w:rPr>
        <w:fldChar w:fldCharType="separate"/>
      </w:r>
      <w:r>
        <w:rPr>
          <w:noProof/>
        </w:rPr>
        <w:t>298</w:t>
      </w:r>
      <w:r>
        <w:rPr>
          <w:noProof/>
        </w:rPr>
        <w:fldChar w:fldCharType="end"/>
      </w:r>
    </w:p>
    <w:p w14:paraId="5C8F2CB8" w14:textId="015C7F82" w:rsidR="003F6EFC" w:rsidRDefault="003F6EFC">
      <w:pPr>
        <w:pStyle w:val="TOC5"/>
        <w:rPr>
          <w:rFonts w:asciiTheme="minorHAnsi" w:eastAsiaTheme="minorEastAsia" w:hAnsiTheme="minorHAnsi" w:cstheme="minorBidi"/>
          <w:noProof/>
          <w:kern w:val="2"/>
          <w:sz w:val="21"/>
          <w:szCs w:val="22"/>
          <w:lang w:val="en-US" w:eastAsia="zh-CN"/>
        </w:rPr>
      </w:pPr>
      <w:r>
        <w:rPr>
          <w:noProof/>
        </w:rPr>
        <w:t>5.2.6.2.17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ResourceUsageRequPerNwPerfType</w:t>
      </w:r>
      <w:r>
        <w:rPr>
          <w:noProof/>
        </w:rPr>
        <w:tab/>
      </w:r>
      <w:r>
        <w:rPr>
          <w:noProof/>
        </w:rPr>
        <w:fldChar w:fldCharType="begin"/>
      </w:r>
      <w:r>
        <w:rPr>
          <w:noProof/>
        </w:rPr>
        <w:instrText xml:space="preserve"> PAGEREF _Toc199453098 \h </w:instrText>
      </w:r>
      <w:r>
        <w:rPr>
          <w:noProof/>
        </w:rPr>
      </w:r>
      <w:r>
        <w:rPr>
          <w:noProof/>
        </w:rPr>
        <w:fldChar w:fldCharType="separate"/>
      </w:r>
      <w:r>
        <w:rPr>
          <w:noProof/>
        </w:rPr>
        <w:t>298</w:t>
      </w:r>
      <w:r>
        <w:rPr>
          <w:noProof/>
        </w:rPr>
        <w:fldChar w:fldCharType="end"/>
      </w:r>
    </w:p>
    <w:p w14:paraId="7BB37AD0" w14:textId="7CA7DCD3" w:rsidR="003F6EFC" w:rsidRDefault="003F6EFC">
      <w:pPr>
        <w:pStyle w:val="TOC5"/>
        <w:rPr>
          <w:rFonts w:asciiTheme="minorHAnsi" w:eastAsiaTheme="minorEastAsia" w:hAnsiTheme="minorHAnsi" w:cstheme="minorBidi"/>
          <w:noProof/>
          <w:kern w:val="2"/>
          <w:sz w:val="21"/>
          <w:szCs w:val="22"/>
          <w:lang w:val="en-US" w:eastAsia="zh-CN"/>
        </w:rPr>
      </w:pPr>
      <w:r>
        <w:rPr>
          <w:noProof/>
        </w:rPr>
        <w:t>5.2.6.2.18</w:t>
      </w:r>
      <w:r>
        <w:rPr>
          <w:rFonts w:asciiTheme="minorHAnsi" w:eastAsiaTheme="minorEastAsia" w:hAnsiTheme="minorHAnsi" w:cstheme="minorBidi"/>
          <w:noProof/>
          <w:kern w:val="2"/>
          <w:sz w:val="21"/>
          <w:szCs w:val="22"/>
          <w:lang w:val="en-US" w:eastAsia="zh-CN"/>
        </w:rPr>
        <w:tab/>
      </w:r>
      <w:r>
        <w:rPr>
          <w:noProof/>
        </w:rPr>
        <w:t>Type AnalyticsAccuracyInfo</w:t>
      </w:r>
      <w:r>
        <w:rPr>
          <w:noProof/>
        </w:rPr>
        <w:tab/>
      </w:r>
      <w:r>
        <w:rPr>
          <w:noProof/>
        </w:rPr>
        <w:fldChar w:fldCharType="begin"/>
      </w:r>
      <w:r>
        <w:rPr>
          <w:noProof/>
        </w:rPr>
        <w:instrText xml:space="preserve"> PAGEREF _Toc199453099 \h </w:instrText>
      </w:r>
      <w:r>
        <w:rPr>
          <w:noProof/>
        </w:rPr>
      </w:r>
      <w:r>
        <w:rPr>
          <w:noProof/>
        </w:rPr>
        <w:fldChar w:fldCharType="separate"/>
      </w:r>
      <w:r>
        <w:rPr>
          <w:noProof/>
        </w:rPr>
        <w:t>299</w:t>
      </w:r>
      <w:r>
        <w:rPr>
          <w:noProof/>
        </w:rPr>
        <w:fldChar w:fldCharType="end"/>
      </w:r>
    </w:p>
    <w:p w14:paraId="2F7B73F3" w14:textId="3F961D1F" w:rsidR="003F6EFC" w:rsidRDefault="003F6EFC">
      <w:pPr>
        <w:pStyle w:val="TOC5"/>
        <w:rPr>
          <w:rFonts w:asciiTheme="minorHAnsi" w:eastAsiaTheme="minorEastAsia" w:hAnsiTheme="minorHAnsi" w:cstheme="minorBidi"/>
          <w:noProof/>
          <w:kern w:val="2"/>
          <w:sz w:val="21"/>
          <w:szCs w:val="22"/>
          <w:lang w:val="en-US" w:eastAsia="zh-CN"/>
        </w:rPr>
      </w:pPr>
      <w:r>
        <w:rPr>
          <w:noProof/>
        </w:rPr>
        <w:t>5.2.6.2.19</w:t>
      </w:r>
      <w:r>
        <w:rPr>
          <w:rFonts w:asciiTheme="minorHAnsi" w:eastAsiaTheme="minorEastAsia" w:hAnsiTheme="minorHAnsi" w:cstheme="minorBidi"/>
          <w:noProof/>
          <w:kern w:val="2"/>
          <w:sz w:val="21"/>
          <w:szCs w:val="22"/>
          <w:lang w:val="en-US" w:eastAsia="zh-CN"/>
        </w:rPr>
        <w:tab/>
      </w:r>
      <w:r>
        <w:rPr>
          <w:noProof/>
        </w:rPr>
        <w:t>Type GroundTruthInfo</w:t>
      </w:r>
      <w:r>
        <w:rPr>
          <w:noProof/>
        </w:rPr>
        <w:tab/>
      </w:r>
      <w:r>
        <w:rPr>
          <w:noProof/>
        </w:rPr>
        <w:fldChar w:fldCharType="begin"/>
      </w:r>
      <w:r>
        <w:rPr>
          <w:noProof/>
        </w:rPr>
        <w:instrText xml:space="preserve"> PAGEREF _Toc199453100 \h </w:instrText>
      </w:r>
      <w:r>
        <w:rPr>
          <w:noProof/>
        </w:rPr>
      </w:r>
      <w:r>
        <w:rPr>
          <w:noProof/>
        </w:rPr>
        <w:fldChar w:fldCharType="separate"/>
      </w:r>
      <w:r>
        <w:rPr>
          <w:noProof/>
        </w:rPr>
        <w:t>299</w:t>
      </w:r>
      <w:r>
        <w:rPr>
          <w:noProof/>
        </w:rPr>
        <w:fldChar w:fldCharType="end"/>
      </w:r>
    </w:p>
    <w:p w14:paraId="2E1C0AD1" w14:textId="1E867F6F" w:rsidR="003F6EFC" w:rsidRDefault="003F6EFC">
      <w:pPr>
        <w:pStyle w:val="TOC5"/>
        <w:rPr>
          <w:rFonts w:asciiTheme="minorHAnsi" w:eastAsiaTheme="minorEastAsia" w:hAnsiTheme="minorHAnsi" w:cstheme="minorBidi"/>
          <w:noProof/>
          <w:kern w:val="2"/>
          <w:sz w:val="21"/>
          <w:szCs w:val="22"/>
          <w:lang w:val="en-US" w:eastAsia="zh-CN"/>
        </w:rPr>
      </w:pPr>
      <w:r>
        <w:rPr>
          <w:noProof/>
        </w:rPr>
        <w:t>5.2.6.2.20</w:t>
      </w:r>
      <w:r>
        <w:rPr>
          <w:rFonts w:asciiTheme="minorHAnsi" w:eastAsiaTheme="minorEastAsia" w:hAnsiTheme="minorHAnsi" w:cstheme="minorBidi"/>
          <w:noProof/>
          <w:kern w:val="2"/>
          <w:sz w:val="21"/>
          <w:szCs w:val="22"/>
          <w:lang w:val="en-US" w:eastAsia="zh-CN"/>
        </w:rPr>
        <w:tab/>
      </w:r>
      <w:r>
        <w:rPr>
          <w:noProof/>
        </w:rPr>
        <w:t>Type MlModelAccuracyInfo</w:t>
      </w:r>
      <w:r>
        <w:rPr>
          <w:noProof/>
        </w:rPr>
        <w:tab/>
      </w:r>
      <w:r>
        <w:rPr>
          <w:noProof/>
        </w:rPr>
        <w:fldChar w:fldCharType="begin"/>
      </w:r>
      <w:r>
        <w:rPr>
          <w:noProof/>
        </w:rPr>
        <w:instrText xml:space="preserve"> PAGEREF _Toc199453101 \h </w:instrText>
      </w:r>
      <w:r>
        <w:rPr>
          <w:noProof/>
        </w:rPr>
      </w:r>
      <w:r>
        <w:rPr>
          <w:noProof/>
        </w:rPr>
        <w:fldChar w:fldCharType="separate"/>
      </w:r>
      <w:r>
        <w:rPr>
          <w:noProof/>
        </w:rPr>
        <w:t>299</w:t>
      </w:r>
      <w:r>
        <w:rPr>
          <w:noProof/>
        </w:rPr>
        <w:fldChar w:fldCharType="end"/>
      </w:r>
    </w:p>
    <w:p w14:paraId="04D7D017" w14:textId="5C59B694" w:rsidR="003F6EFC" w:rsidRDefault="003F6EFC">
      <w:pPr>
        <w:pStyle w:val="TOC4"/>
        <w:rPr>
          <w:rFonts w:asciiTheme="minorHAnsi" w:eastAsiaTheme="minorEastAsia" w:hAnsiTheme="minorHAnsi" w:cstheme="minorBidi"/>
          <w:noProof/>
          <w:kern w:val="2"/>
          <w:sz w:val="21"/>
          <w:szCs w:val="22"/>
          <w:lang w:val="en-US" w:eastAsia="zh-CN"/>
        </w:rPr>
      </w:pPr>
      <w:r>
        <w:rPr>
          <w:noProof/>
        </w:rPr>
        <w:t>5.2.6.3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_Toc199453102 \h </w:instrText>
      </w:r>
      <w:r>
        <w:rPr>
          <w:noProof/>
        </w:rPr>
      </w:r>
      <w:r>
        <w:rPr>
          <w:noProof/>
        </w:rPr>
        <w:fldChar w:fldCharType="separate"/>
      </w:r>
      <w:r>
        <w:rPr>
          <w:noProof/>
        </w:rPr>
        <w:t>300</w:t>
      </w:r>
      <w:r>
        <w:rPr>
          <w:noProof/>
        </w:rPr>
        <w:fldChar w:fldCharType="end"/>
      </w:r>
    </w:p>
    <w:p w14:paraId="6656C5DD" w14:textId="3F27E45D" w:rsidR="003F6EFC" w:rsidRDefault="003F6EFC">
      <w:pPr>
        <w:pStyle w:val="TOC5"/>
        <w:rPr>
          <w:rFonts w:asciiTheme="minorHAnsi" w:eastAsiaTheme="minorEastAsia" w:hAnsiTheme="minorHAnsi" w:cstheme="minorBidi"/>
          <w:noProof/>
          <w:kern w:val="2"/>
          <w:sz w:val="21"/>
          <w:szCs w:val="22"/>
          <w:lang w:val="en-US" w:eastAsia="zh-CN"/>
        </w:rPr>
      </w:pPr>
      <w:r>
        <w:rPr>
          <w:noProof/>
        </w:rPr>
        <w:t>5.2.6.3.1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_Toc199453103 \h </w:instrText>
      </w:r>
      <w:r>
        <w:rPr>
          <w:noProof/>
        </w:rPr>
      </w:r>
      <w:r>
        <w:rPr>
          <w:noProof/>
        </w:rPr>
        <w:fldChar w:fldCharType="separate"/>
      </w:r>
      <w:r>
        <w:rPr>
          <w:noProof/>
        </w:rPr>
        <w:t>300</w:t>
      </w:r>
      <w:r>
        <w:rPr>
          <w:noProof/>
        </w:rPr>
        <w:fldChar w:fldCharType="end"/>
      </w:r>
    </w:p>
    <w:p w14:paraId="29F1A260" w14:textId="23540A50" w:rsidR="003F6EFC" w:rsidRDefault="003F6EFC">
      <w:pPr>
        <w:pStyle w:val="TOC5"/>
        <w:rPr>
          <w:rFonts w:asciiTheme="minorHAnsi" w:eastAsiaTheme="minorEastAsia" w:hAnsiTheme="minorHAnsi" w:cstheme="minorBidi"/>
          <w:noProof/>
          <w:kern w:val="2"/>
          <w:sz w:val="21"/>
          <w:szCs w:val="22"/>
          <w:lang w:val="en-US" w:eastAsia="zh-CN"/>
        </w:rPr>
      </w:pPr>
      <w:r>
        <w:rPr>
          <w:noProof/>
        </w:rPr>
        <w:t>5.2.6.3.2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_Toc199453104 \h </w:instrText>
      </w:r>
      <w:r>
        <w:rPr>
          <w:noProof/>
        </w:rPr>
      </w:r>
      <w:r>
        <w:rPr>
          <w:noProof/>
        </w:rPr>
        <w:fldChar w:fldCharType="separate"/>
      </w:r>
      <w:r>
        <w:rPr>
          <w:noProof/>
        </w:rPr>
        <w:t>300</w:t>
      </w:r>
      <w:r>
        <w:rPr>
          <w:noProof/>
        </w:rPr>
        <w:fldChar w:fldCharType="end"/>
      </w:r>
    </w:p>
    <w:p w14:paraId="35EF16B7" w14:textId="78909DB1" w:rsidR="003F6EFC" w:rsidRDefault="003F6EFC">
      <w:pPr>
        <w:pStyle w:val="TOC5"/>
        <w:rPr>
          <w:rFonts w:asciiTheme="minorHAnsi" w:eastAsiaTheme="minorEastAsia" w:hAnsiTheme="minorHAnsi" w:cstheme="minorBidi"/>
          <w:noProof/>
          <w:kern w:val="2"/>
          <w:sz w:val="21"/>
          <w:szCs w:val="22"/>
          <w:lang w:val="en-US" w:eastAsia="zh-CN"/>
        </w:rPr>
      </w:pPr>
      <w:r>
        <w:rPr>
          <w:noProof/>
        </w:rPr>
        <w:t>5.2.6.3.3</w:t>
      </w:r>
      <w:r>
        <w:rPr>
          <w:rFonts w:asciiTheme="minorHAnsi" w:eastAsiaTheme="minorEastAsia" w:hAnsiTheme="minorHAnsi" w:cstheme="minorBidi"/>
          <w:noProof/>
          <w:kern w:val="2"/>
          <w:sz w:val="21"/>
          <w:szCs w:val="22"/>
          <w:lang w:val="en-US" w:eastAsia="zh-CN"/>
        </w:rPr>
        <w:tab/>
      </w:r>
      <w:r>
        <w:rPr>
          <w:noProof/>
        </w:rPr>
        <w:t>Enumeration: EventId</w:t>
      </w:r>
      <w:r>
        <w:rPr>
          <w:noProof/>
        </w:rPr>
        <w:tab/>
      </w:r>
      <w:r>
        <w:rPr>
          <w:noProof/>
        </w:rPr>
        <w:fldChar w:fldCharType="begin"/>
      </w:r>
      <w:r>
        <w:rPr>
          <w:noProof/>
        </w:rPr>
        <w:instrText xml:space="preserve"> PAGEREF _Toc199453105 \h </w:instrText>
      </w:r>
      <w:r>
        <w:rPr>
          <w:noProof/>
        </w:rPr>
      </w:r>
      <w:r>
        <w:rPr>
          <w:noProof/>
        </w:rPr>
        <w:fldChar w:fldCharType="separate"/>
      </w:r>
      <w:r>
        <w:rPr>
          <w:noProof/>
        </w:rPr>
        <w:t>301</w:t>
      </w:r>
      <w:r>
        <w:rPr>
          <w:noProof/>
        </w:rPr>
        <w:fldChar w:fldCharType="end"/>
      </w:r>
    </w:p>
    <w:p w14:paraId="30473C27" w14:textId="26F4FB41" w:rsidR="003F6EFC" w:rsidRDefault="003F6EFC">
      <w:pPr>
        <w:pStyle w:val="TOC5"/>
        <w:rPr>
          <w:rFonts w:asciiTheme="minorHAnsi" w:eastAsiaTheme="minorEastAsia" w:hAnsiTheme="minorHAnsi" w:cstheme="minorBidi"/>
          <w:noProof/>
          <w:kern w:val="2"/>
          <w:sz w:val="21"/>
          <w:szCs w:val="22"/>
          <w:lang w:val="en-US" w:eastAsia="zh-CN"/>
        </w:rPr>
      </w:pPr>
      <w:r>
        <w:rPr>
          <w:noProof/>
        </w:rPr>
        <w:t>5.2.6.3.4</w:t>
      </w:r>
      <w:r>
        <w:rPr>
          <w:rFonts w:asciiTheme="minorHAnsi" w:eastAsiaTheme="minorEastAsia" w:hAnsiTheme="minorHAnsi" w:cstheme="minorBidi"/>
          <w:noProof/>
          <w:kern w:val="2"/>
          <w:sz w:val="21"/>
          <w:szCs w:val="22"/>
          <w:lang w:val="en-US" w:eastAsia="zh-CN"/>
        </w:rPr>
        <w:tab/>
      </w:r>
      <w:r>
        <w:rPr>
          <w:noProof/>
        </w:rPr>
        <w:t>Enumeration: ContextType</w:t>
      </w:r>
      <w:r>
        <w:rPr>
          <w:noProof/>
        </w:rPr>
        <w:tab/>
      </w:r>
      <w:r>
        <w:rPr>
          <w:noProof/>
        </w:rPr>
        <w:fldChar w:fldCharType="begin"/>
      </w:r>
      <w:r>
        <w:rPr>
          <w:noProof/>
        </w:rPr>
        <w:instrText xml:space="preserve"> PAGEREF _Toc199453106 \h </w:instrText>
      </w:r>
      <w:r>
        <w:rPr>
          <w:noProof/>
        </w:rPr>
      </w:r>
      <w:r>
        <w:rPr>
          <w:noProof/>
        </w:rPr>
        <w:fldChar w:fldCharType="separate"/>
      </w:r>
      <w:r>
        <w:rPr>
          <w:noProof/>
        </w:rPr>
        <w:t>302</w:t>
      </w:r>
      <w:r>
        <w:rPr>
          <w:noProof/>
        </w:rPr>
        <w:fldChar w:fldCharType="end"/>
      </w:r>
    </w:p>
    <w:p w14:paraId="37DB7D8F" w14:textId="1A7C9700" w:rsidR="003F6EFC" w:rsidRDefault="003F6EFC">
      <w:pPr>
        <w:pStyle w:val="TOC5"/>
        <w:rPr>
          <w:rFonts w:asciiTheme="minorHAnsi" w:eastAsiaTheme="minorEastAsia" w:hAnsiTheme="minorHAnsi" w:cstheme="minorBidi"/>
          <w:noProof/>
          <w:kern w:val="2"/>
          <w:sz w:val="21"/>
          <w:szCs w:val="22"/>
          <w:lang w:val="en-US" w:eastAsia="zh-CN"/>
        </w:rPr>
      </w:pPr>
      <w:r>
        <w:rPr>
          <w:noProof/>
        </w:rPr>
        <w:t>5.2.6.3.5</w:t>
      </w:r>
      <w:r>
        <w:rPr>
          <w:rFonts w:asciiTheme="minorHAnsi" w:eastAsiaTheme="minorEastAsia" w:hAnsiTheme="minorHAnsi" w:cstheme="minorBidi"/>
          <w:noProof/>
          <w:kern w:val="2"/>
          <w:sz w:val="21"/>
          <w:szCs w:val="22"/>
          <w:lang w:val="en-US" w:eastAsia="zh-CN"/>
        </w:rPr>
        <w:tab/>
      </w:r>
      <w:r>
        <w:rPr>
          <w:noProof/>
        </w:rPr>
        <w:t>Enumeration: AdrfDataType</w:t>
      </w:r>
      <w:r>
        <w:rPr>
          <w:noProof/>
        </w:rPr>
        <w:tab/>
      </w:r>
      <w:r>
        <w:rPr>
          <w:noProof/>
        </w:rPr>
        <w:fldChar w:fldCharType="begin"/>
      </w:r>
      <w:r>
        <w:rPr>
          <w:noProof/>
        </w:rPr>
        <w:instrText xml:space="preserve"> PAGEREF _Toc199453107 \h </w:instrText>
      </w:r>
      <w:r>
        <w:rPr>
          <w:noProof/>
        </w:rPr>
      </w:r>
      <w:r>
        <w:rPr>
          <w:noProof/>
        </w:rPr>
        <w:fldChar w:fldCharType="separate"/>
      </w:r>
      <w:r>
        <w:rPr>
          <w:noProof/>
        </w:rPr>
        <w:t>302</w:t>
      </w:r>
      <w:r>
        <w:rPr>
          <w:noProof/>
        </w:rPr>
        <w:fldChar w:fldCharType="end"/>
      </w:r>
    </w:p>
    <w:p w14:paraId="7A6CA52C" w14:textId="2B596D21"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5.2.6.4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_Toc199453108 \h </w:instrText>
      </w:r>
      <w:r>
        <w:rPr>
          <w:noProof/>
        </w:rPr>
      </w:r>
      <w:r>
        <w:rPr>
          <w:noProof/>
        </w:rPr>
        <w:fldChar w:fldCharType="separate"/>
      </w:r>
      <w:r>
        <w:rPr>
          <w:noProof/>
        </w:rPr>
        <w:t>302</w:t>
      </w:r>
      <w:r>
        <w:rPr>
          <w:noProof/>
        </w:rPr>
        <w:fldChar w:fldCharType="end"/>
      </w:r>
    </w:p>
    <w:p w14:paraId="35097B1A" w14:textId="4399E9EA" w:rsidR="003F6EFC" w:rsidRDefault="003F6EFC">
      <w:pPr>
        <w:pStyle w:val="TOC5"/>
        <w:rPr>
          <w:rFonts w:asciiTheme="minorHAnsi" w:eastAsiaTheme="minorEastAsia" w:hAnsiTheme="minorHAnsi" w:cstheme="minorBidi"/>
          <w:noProof/>
          <w:kern w:val="2"/>
          <w:sz w:val="21"/>
          <w:szCs w:val="22"/>
          <w:lang w:val="en-US" w:eastAsia="zh-CN"/>
        </w:rPr>
      </w:pPr>
      <w:r>
        <w:rPr>
          <w:noProof/>
        </w:rPr>
        <w:t>5.2.6.4.1</w:t>
      </w:r>
      <w:r>
        <w:rPr>
          <w:rFonts w:asciiTheme="minorHAnsi" w:eastAsiaTheme="minorEastAsia" w:hAnsiTheme="minorHAnsi" w:cstheme="minorBidi"/>
          <w:noProof/>
          <w:kern w:val="2"/>
          <w:sz w:val="21"/>
          <w:szCs w:val="22"/>
          <w:lang w:val="en-US" w:eastAsia="zh-CN"/>
        </w:rPr>
        <w:tab/>
      </w:r>
      <w:r>
        <w:rPr>
          <w:noProof/>
        </w:rPr>
        <w:t>Type ProblemDetailsAnalyticsInfoRequest</w:t>
      </w:r>
      <w:r>
        <w:rPr>
          <w:noProof/>
        </w:rPr>
        <w:tab/>
      </w:r>
      <w:r>
        <w:rPr>
          <w:noProof/>
        </w:rPr>
        <w:fldChar w:fldCharType="begin"/>
      </w:r>
      <w:r>
        <w:rPr>
          <w:noProof/>
        </w:rPr>
        <w:instrText xml:space="preserve"> PAGEREF _Toc199453109 \h </w:instrText>
      </w:r>
      <w:r>
        <w:rPr>
          <w:noProof/>
        </w:rPr>
      </w:r>
      <w:r>
        <w:rPr>
          <w:noProof/>
        </w:rPr>
        <w:fldChar w:fldCharType="separate"/>
      </w:r>
      <w:r>
        <w:rPr>
          <w:noProof/>
        </w:rPr>
        <w:t>302</w:t>
      </w:r>
      <w:r>
        <w:rPr>
          <w:noProof/>
        </w:rPr>
        <w:fldChar w:fldCharType="end"/>
      </w:r>
    </w:p>
    <w:p w14:paraId="47C4607F" w14:textId="3C46F912"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_Toc199453110 \h </w:instrText>
      </w:r>
      <w:r>
        <w:rPr>
          <w:noProof/>
        </w:rPr>
      </w:r>
      <w:r>
        <w:rPr>
          <w:noProof/>
        </w:rPr>
        <w:fldChar w:fldCharType="separate"/>
      </w:r>
      <w:r>
        <w:rPr>
          <w:noProof/>
        </w:rPr>
        <w:t>302</w:t>
      </w:r>
      <w:r>
        <w:rPr>
          <w:noProof/>
        </w:rPr>
        <w:fldChar w:fldCharType="end"/>
      </w:r>
    </w:p>
    <w:p w14:paraId="53B6CFFD" w14:textId="0C73B377" w:rsidR="003F6EFC" w:rsidRDefault="003F6EFC">
      <w:pPr>
        <w:pStyle w:val="TOC4"/>
        <w:rPr>
          <w:rFonts w:asciiTheme="minorHAnsi" w:eastAsiaTheme="minorEastAsia" w:hAnsiTheme="minorHAnsi" w:cstheme="minorBidi"/>
          <w:noProof/>
          <w:kern w:val="2"/>
          <w:sz w:val="21"/>
          <w:szCs w:val="22"/>
          <w:lang w:val="en-US" w:eastAsia="zh-CN"/>
        </w:rPr>
      </w:pPr>
      <w:r>
        <w:rPr>
          <w:noProof/>
        </w:rPr>
        <w:t>5.2.7.1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_Toc199453111 \h </w:instrText>
      </w:r>
      <w:r>
        <w:rPr>
          <w:noProof/>
        </w:rPr>
      </w:r>
      <w:r>
        <w:rPr>
          <w:noProof/>
        </w:rPr>
        <w:fldChar w:fldCharType="separate"/>
      </w:r>
      <w:r>
        <w:rPr>
          <w:noProof/>
        </w:rPr>
        <w:t>302</w:t>
      </w:r>
      <w:r>
        <w:rPr>
          <w:noProof/>
        </w:rPr>
        <w:fldChar w:fldCharType="end"/>
      </w:r>
    </w:p>
    <w:p w14:paraId="2755ED4F" w14:textId="43288422" w:rsidR="003F6EFC" w:rsidRDefault="003F6EFC">
      <w:pPr>
        <w:pStyle w:val="TOC4"/>
        <w:rPr>
          <w:rFonts w:asciiTheme="minorHAnsi" w:eastAsiaTheme="minorEastAsia" w:hAnsiTheme="minorHAnsi" w:cstheme="minorBidi"/>
          <w:noProof/>
          <w:kern w:val="2"/>
          <w:sz w:val="21"/>
          <w:szCs w:val="22"/>
          <w:lang w:val="en-US" w:eastAsia="zh-CN"/>
        </w:rPr>
      </w:pPr>
      <w:r>
        <w:rPr>
          <w:noProof/>
        </w:rPr>
        <w:t>5.2.7.2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_Toc199453112 \h </w:instrText>
      </w:r>
      <w:r>
        <w:rPr>
          <w:noProof/>
        </w:rPr>
      </w:r>
      <w:r>
        <w:rPr>
          <w:noProof/>
        </w:rPr>
        <w:fldChar w:fldCharType="separate"/>
      </w:r>
      <w:r>
        <w:rPr>
          <w:noProof/>
        </w:rPr>
        <w:t>303</w:t>
      </w:r>
      <w:r>
        <w:rPr>
          <w:noProof/>
        </w:rPr>
        <w:fldChar w:fldCharType="end"/>
      </w:r>
    </w:p>
    <w:p w14:paraId="267DC5B8" w14:textId="652316FE"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_Toc199453113 \h </w:instrText>
      </w:r>
      <w:r>
        <w:rPr>
          <w:noProof/>
        </w:rPr>
      </w:r>
      <w:r>
        <w:rPr>
          <w:noProof/>
        </w:rPr>
        <w:fldChar w:fldCharType="separate"/>
      </w:r>
      <w:r>
        <w:rPr>
          <w:noProof/>
        </w:rPr>
        <w:t>303</w:t>
      </w:r>
      <w:r>
        <w:rPr>
          <w:noProof/>
        </w:rPr>
        <w:fldChar w:fldCharType="end"/>
      </w:r>
    </w:p>
    <w:p w14:paraId="4216EB67" w14:textId="1EAF92E2"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5.2.9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_Toc199453114 \h </w:instrText>
      </w:r>
      <w:r>
        <w:rPr>
          <w:noProof/>
        </w:rPr>
      </w:r>
      <w:r>
        <w:rPr>
          <w:noProof/>
        </w:rPr>
        <w:fldChar w:fldCharType="separate"/>
      </w:r>
      <w:r>
        <w:rPr>
          <w:noProof/>
        </w:rPr>
        <w:t>307</w:t>
      </w:r>
      <w:r>
        <w:rPr>
          <w:noProof/>
        </w:rPr>
        <w:fldChar w:fldCharType="end"/>
      </w:r>
    </w:p>
    <w:p w14:paraId="045193CE" w14:textId="50CBB235"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5.3</w:t>
      </w:r>
      <w:r>
        <w:rPr>
          <w:rFonts w:asciiTheme="minorHAnsi" w:eastAsiaTheme="minorEastAsia" w:hAnsiTheme="minorHAnsi" w:cstheme="minorBidi"/>
          <w:noProof/>
          <w:kern w:val="2"/>
          <w:sz w:val="21"/>
          <w:szCs w:val="22"/>
          <w:lang w:val="en-US" w:eastAsia="zh-CN"/>
        </w:rPr>
        <w:tab/>
      </w:r>
      <w:r>
        <w:rPr>
          <w:noProof/>
          <w:lang w:eastAsia="ja-JP"/>
        </w:rPr>
        <w:t xml:space="preserve">Nnwdaf_DataManagement </w:t>
      </w:r>
      <w:r>
        <w:rPr>
          <w:noProof/>
        </w:rPr>
        <w:t>Service API</w:t>
      </w:r>
      <w:r>
        <w:rPr>
          <w:noProof/>
        </w:rPr>
        <w:tab/>
      </w:r>
      <w:r>
        <w:rPr>
          <w:noProof/>
        </w:rPr>
        <w:fldChar w:fldCharType="begin"/>
      </w:r>
      <w:r>
        <w:rPr>
          <w:noProof/>
        </w:rPr>
        <w:instrText xml:space="preserve"> PAGEREF _Toc199453115 \h </w:instrText>
      </w:r>
      <w:r>
        <w:rPr>
          <w:noProof/>
        </w:rPr>
      </w:r>
      <w:r>
        <w:rPr>
          <w:noProof/>
        </w:rPr>
        <w:fldChar w:fldCharType="separate"/>
      </w:r>
      <w:r>
        <w:rPr>
          <w:noProof/>
        </w:rPr>
        <w:t>308</w:t>
      </w:r>
      <w:r>
        <w:rPr>
          <w:noProof/>
        </w:rPr>
        <w:fldChar w:fldCharType="end"/>
      </w:r>
    </w:p>
    <w:p w14:paraId="48A000F4" w14:textId="50A2F24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_Toc199453116 \h </w:instrText>
      </w:r>
      <w:r>
        <w:rPr>
          <w:noProof/>
        </w:rPr>
      </w:r>
      <w:r>
        <w:rPr>
          <w:noProof/>
        </w:rPr>
        <w:fldChar w:fldCharType="separate"/>
      </w:r>
      <w:r>
        <w:rPr>
          <w:noProof/>
        </w:rPr>
        <w:t>308</w:t>
      </w:r>
      <w:r>
        <w:rPr>
          <w:noProof/>
        </w:rPr>
        <w:fldChar w:fldCharType="end"/>
      </w:r>
    </w:p>
    <w:p w14:paraId="3D51768B" w14:textId="629B041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_Toc199453117 \h </w:instrText>
      </w:r>
      <w:r>
        <w:rPr>
          <w:noProof/>
        </w:rPr>
      </w:r>
      <w:r>
        <w:rPr>
          <w:noProof/>
        </w:rPr>
        <w:fldChar w:fldCharType="separate"/>
      </w:r>
      <w:r>
        <w:rPr>
          <w:noProof/>
        </w:rPr>
        <w:t>308</w:t>
      </w:r>
      <w:r>
        <w:rPr>
          <w:noProof/>
        </w:rPr>
        <w:fldChar w:fldCharType="end"/>
      </w:r>
    </w:p>
    <w:p w14:paraId="793D8D88" w14:textId="40CF9345" w:rsidR="003F6EFC" w:rsidRDefault="003F6EFC">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_Toc199453118 \h </w:instrText>
      </w:r>
      <w:r>
        <w:rPr>
          <w:noProof/>
        </w:rPr>
      </w:r>
      <w:r>
        <w:rPr>
          <w:noProof/>
        </w:rPr>
        <w:fldChar w:fldCharType="separate"/>
      </w:r>
      <w:r>
        <w:rPr>
          <w:noProof/>
        </w:rPr>
        <w:t>308</w:t>
      </w:r>
      <w:r>
        <w:rPr>
          <w:noProof/>
        </w:rPr>
        <w:fldChar w:fldCharType="end"/>
      </w:r>
    </w:p>
    <w:p w14:paraId="496B8ED8" w14:textId="729D5EBF" w:rsidR="003F6EFC" w:rsidRDefault="003F6EFC">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_Toc199453119 \h </w:instrText>
      </w:r>
      <w:r>
        <w:rPr>
          <w:noProof/>
        </w:rPr>
      </w:r>
      <w:r>
        <w:rPr>
          <w:noProof/>
        </w:rPr>
        <w:fldChar w:fldCharType="separate"/>
      </w:r>
      <w:r>
        <w:rPr>
          <w:noProof/>
        </w:rPr>
        <w:t>308</w:t>
      </w:r>
      <w:r>
        <w:rPr>
          <w:noProof/>
        </w:rPr>
        <w:fldChar w:fldCharType="end"/>
      </w:r>
    </w:p>
    <w:p w14:paraId="3E53D8CC" w14:textId="5908D525" w:rsidR="003F6EFC" w:rsidRDefault="003F6EFC">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_Toc199453120 \h </w:instrText>
      </w:r>
      <w:r>
        <w:rPr>
          <w:noProof/>
        </w:rPr>
      </w:r>
      <w:r>
        <w:rPr>
          <w:noProof/>
        </w:rPr>
        <w:fldChar w:fldCharType="separate"/>
      </w:r>
      <w:r>
        <w:rPr>
          <w:noProof/>
        </w:rPr>
        <w:t>308</w:t>
      </w:r>
      <w:r>
        <w:rPr>
          <w:noProof/>
        </w:rPr>
        <w:fldChar w:fldCharType="end"/>
      </w:r>
    </w:p>
    <w:p w14:paraId="31B0EC44" w14:textId="25DA4C1A" w:rsidR="003F6EFC" w:rsidRDefault="003F6EFC">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_Toc199453121 \h </w:instrText>
      </w:r>
      <w:r>
        <w:rPr>
          <w:noProof/>
        </w:rPr>
      </w:r>
      <w:r>
        <w:rPr>
          <w:noProof/>
        </w:rPr>
        <w:fldChar w:fldCharType="separate"/>
      </w:r>
      <w:r>
        <w:rPr>
          <w:noProof/>
        </w:rPr>
        <w:t>308</w:t>
      </w:r>
      <w:r>
        <w:rPr>
          <w:noProof/>
        </w:rPr>
        <w:fldChar w:fldCharType="end"/>
      </w:r>
    </w:p>
    <w:p w14:paraId="6B64C497" w14:textId="2E8DFC90" w:rsidR="003F6EFC" w:rsidRDefault="003F6EFC">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_Toc199453122 \h </w:instrText>
      </w:r>
      <w:r>
        <w:rPr>
          <w:noProof/>
        </w:rPr>
      </w:r>
      <w:r>
        <w:rPr>
          <w:noProof/>
        </w:rPr>
        <w:fldChar w:fldCharType="separate"/>
      </w:r>
      <w:r>
        <w:rPr>
          <w:noProof/>
        </w:rPr>
        <w:t>308</w:t>
      </w:r>
      <w:r>
        <w:rPr>
          <w:noProof/>
        </w:rPr>
        <w:fldChar w:fldCharType="end"/>
      </w:r>
    </w:p>
    <w:p w14:paraId="13D6D789" w14:textId="363BB72F" w:rsidR="003F6EFC" w:rsidRDefault="003F6EFC">
      <w:pPr>
        <w:pStyle w:val="TOC3"/>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_Toc199453123 \h </w:instrText>
      </w:r>
      <w:r>
        <w:rPr>
          <w:noProof/>
        </w:rPr>
      </w:r>
      <w:r>
        <w:rPr>
          <w:noProof/>
        </w:rPr>
        <w:fldChar w:fldCharType="separate"/>
      </w:r>
      <w:r>
        <w:rPr>
          <w:noProof/>
        </w:rPr>
        <w:t>309</w:t>
      </w:r>
      <w:r>
        <w:rPr>
          <w:noProof/>
        </w:rPr>
        <w:fldChar w:fldCharType="end"/>
      </w:r>
    </w:p>
    <w:p w14:paraId="34174DDB" w14:textId="3251BBE1" w:rsidR="003F6EFC" w:rsidRDefault="003F6EFC">
      <w:pPr>
        <w:pStyle w:val="TOC4"/>
        <w:rPr>
          <w:rFonts w:asciiTheme="minorHAnsi" w:eastAsiaTheme="minorEastAsia" w:hAnsiTheme="minorHAnsi" w:cstheme="minorBidi"/>
          <w:noProof/>
          <w:kern w:val="2"/>
          <w:sz w:val="21"/>
          <w:szCs w:val="22"/>
          <w:lang w:val="en-US" w:eastAsia="zh-CN"/>
        </w:rPr>
      </w:pPr>
      <w:r>
        <w:rPr>
          <w:noProof/>
        </w:rPr>
        <w:t>5.3.3.1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_Toc199453124 \h </w:instrText>
      </w:r>
      <w:r>
        <w:rPr>
          <w:noProof/>
        </w:rPr>
      </w:r>
      <w:r>
        <w:rPr>
          <w:noProof/>
        </w:rPr>
        <w:fldChar w:fldCharType="separate"/>
      </w:r>
      <w:r>
        <w:rPr>
          <w:noProof/>
        </w:rPr>
        <w:t>309</w:t>
      </w:r>
      <w:r>
        <w:rPr>
          <w:noProof/>
        </w:rPr>
        <w:fldChar w:fldCharType="end"/>
      </w:r>
    </w:p>
    <w:p w14:paraId="7D128F0A" w14:textId="59E7076E" w:rsidR="003F6EFC" w:rsidRDefault="003F6EFC">
      <w:pPr>
        <w:pStyle w:val="TOC4"/>
        <w:rPr>
          <w:rFonts w:asciiTheme="minorHAnsi" w:eastAsiaTheme="minorEastAsia" w:hAnsiTheme="minorHAnsi" w:cstheme="minorBidi"/>
          <w:noProof/>
          <w:kern w:val="2"/>
          <w:sz w:val="21"/>
          <w:szCs w:val="22"/>
          <w:lang w:val="en-US" w:eastAsia="zh-CN"/>
        </w:rPr>
      </w:pPr>
      <w:r>
        <w:rPr>
          <w:noProof/>
        </w:rPr>
        <w:t>5.3.3.2</w:t>
      </w:r>
      <w:r>
        <w:rPr>
          <w:rFonts w:asciiTheme="minorHAnsi" w:eastAsiaTheme="minorEastAsia" w:hAnsiTheme="minorHAnsi" w:cstheme="minorBidi"/>
          <w:noProof/>
          <w:kern w:val="2"/>
          <w:sz w:val="21"/>
          <w:szCs w:val="22"/>
          <w:lang w:val="en-US" w:eastAsia="zh-CN"/>
        </w:rPr>
        <w:tab/>
      </w:r>
      <w:r>
        <w:rPr>
          <w:noProof/>
        </w:rPr>
        <w:t>Resource: NWDAF Data Management Subscriptions</w:t>
      </w:r>
      <w:r>
        <w:rPr>
          <w:noProof/>
        </w:rPr>
        <w:tab/>
      </w:r>
      <w:r>
        <w:rPr>
          <w:noProof/>
        </w:rPr>
        <w:fldChar w:fldCharType="begin"/>
      </w:r>
      <w:r>
        <w:rPr>
          <w:noProof/>
        </w:rPr>
        <w:instrText xml:space="preserve"> PAGEREF _Toc199453125 \h </w:instrText>
      </w:r>
      <w:r>
        <w:rPr>
          <w:noProof/>
        </w:rPr>
      </w:r>
      <w:r>
        <w:rPr>
          <w:noProof/>
        </w:rPr>
        <w:fldChar w:fldCharType="separate"/>
      </w:r>
      <w:r>
        <w:rPr>
          <w:noProof/>
        </w:rPr>
        <w:t>309</w:t>
      </w:r>
      <w:r>
        <w:rPr>
          <w:noProof/>
        </w:rPr>
        <w:fldChar w:fldCharType="end"/>
      </w:r>
    </w:p>
    <w:p w14:paraId="4C067396" w14:textId="44C12598" w:rsidR="003F6EFC" w:rsidRDefault="003F6EFC">
      <w:pPr>
        <w:pStyle w:val="TOC5"/>
        <w:rPr>
          <w:rFonts w:asciiTheme="minorHAnsi" w:eastAsiaTheme="minorEastAsia" w:hAnsiTheme="minorHAnsi" w:cstheme="minorBidi"/>
          <w:noProof/>
          <w:kern w:val="2"/>
          <w:sz w:val="21"/>
          <w:szCs w:val="22"/>
          <w:lang w:val="en-US" w:eastAsia="zh-CN"/>
        </w:rPr>
      </w:pPr>
      <w:r>
        <w:rPr>
          <w:noProof/>
        </w:rPr>
        <w:t>5.3.3.2.1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_Toc199453126 \h </w:instrText>
      </w:r>
      <w:r>
        <w:rPr>
          <w:noProof/>
        </w:rPr>
      </w:r>
      <w:r>
        <w:rPr>
          <w:noProof/>
        </w:rPr>
        <w:fldChar w:fldCharType="separate"/>
      </w:r>
      <w:r>
        <w:rPr>
          <w:noProof/>
        </w:rPr>
        <w:t>309</w:t>
      </w:r>
      <w:r>
        <w:rPr>
          <w:noProof/>
        </w:rPr>
        <w:fldChar w:fldCharType="end"/>
      </w:r>
    </w:p>
    <w:p w14:paraId="2E8D0C32" w14:textId="7A8C1258" w:rsidR="003F6EFC" w:rsidRDefault="003F6EFC">
      <w:pPr>
        <w:pStyle w:val="TOC5"/>
        <w:rPr>
          <w:rFonts w:asciiTheme="minorHAnsi" w:eastAsiaTheme="minorEastAsia" w:hAnsiTheme="minorHAnsi" w:cstheme="minorBidi"/>
          <w:noProof/>
          <w:kern w:val="2"/>
          <w:sz w:val="21"/>
          <w:szCs w:val="22"/>
          <w:lang w:val="en-US" w:eastAsia="zh-CN"/>
        </w:rPr>
      </w:pPr>
      <w:r>
        <w:rPr>
          <w:noProof/>
        </w:rPr>
        <w:t>5.3.3.2.2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_Toc199453127 \h </w:instrText>
      </w:r>
      <w:r>
        <w:rPr>
          <w:noProof/>
        </w:rPr>
      </w:r>
      <w:r>
        <w:rPr>
          <w:noProof/>
        </w:rPr>
        <w:fldChar w:fldCharType="separate"/>
      </w:r>
      <w:r>
        <w:rPr>
          <w:noProof/>
        </w:rPr>
        <w:t>309</w:t>
      </w:r>
      <w:r>
        <w:rPr>
          <w:noProof/>
        </w:rPr>
        <w:fldChar w:fldCharType="end"/>
      </w:r>
    </w:p>
    <w:p w14:paraId="7419B7AC" w14:textId="4CFEB38B" w:rsidR="003F6EFC" w:rsidRDefault="003F6EFC">
      <w:pPr>
        <w:pStyle w:val="TOC5"/>
        <w:rPr>
          <w:rFonts w:asciiTheme="minorHAnsi" w:eastAsiaTheme="minorEastAsia" w:hAnsiTheme="minorHAnsi" w:cstheme="minorBidi"/>
          <w:noProof/>
          <w:kern w:val="2"/>
          <w:sz w:val="21"/>
          <w:szCs w:val="22"/>
          <w:lang w:val="en-US" w:eastAsia="zh-CN"/>
        </w:rPr>
      </w:pPr>
      <w:r>
        <w:rPr>
          <w:noProof/>
        </w:rPr>
        <w:t>5.3.3.2.3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_Toc199453128 \h </w:instrText>
      </w:r>
      <w:r>
        <w:rPr>
          <w:noProof/>
        </w:rPr>
      </w:r>
      <w:r>
        <w:rPr>
          <w:noProof/>
        </w:rPr>
        <w:fldChar w:fldCharType="separate"/>
      </w:r>
      <w:r>
        <w:rPr>
          <w:noProof/>
        </w:rPr>
        <w:t>310</w:t>
      </w:r>
      <w:r>
        <w:rPr>
          <w:noProof/>
        </w:rPr>
        <w:fldChar w:fldCharType="end"/>
      </w:r>
    </w:p>
    <w:p w14:paraId="19A835B3" w14:textId="4735A59C" w:rsidR="003F6EFC" w:rsidRDefault="003F6EFC">
      <w:pPr>
        <w:pStyle w:val="TOC6"/>
        <w:rPr>
          <w:rFonts w:asciiTheme="minorHAnsi" w:eastAsiaTheme="minorEastAsia" w:hAnsiTheme="minorHAnsi" w:cstheme="minorBidi"/>
          <w:noProof/>
          <w:kern w:val="2"/>
          <w:sz w:val="21"/>
          <w:szCs w:val="22"/>
          <w:lang w:val="en-US" w:eastAsia="zh-CN"/>
        </w:rPr>
      </w:pPr>
      <w:r>
        <w:rPr>
          <w:noProof/>
        </w:rPr>
        <w:t>5.3.3.2.3.1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_Toc199453129 \h </w:instrText>
      </w:r>
      <w:r>
        <w:rPr>
          <w:noProof/>
        </w:rPr>
      </w:r>
      <w:r>
        <w:rPr>
          <w:noProof/>
        </w:rPr>
        <w:fldChar w:fldCharType="separate"/>
      </w:r>
      <w:r>
        <w:rPr>
          <w:noProof/>
        </w:rPr>
        <w:t>310</w:t>
      </w:r>
      <w:r>
        <w:rPr>
          <w:noProof/>
        </w:rPr>
        <w:fldChar w:fldCharType="end"/>
      </w:r>
    </w:p>
    <w:p w14:paraId="6520E360" w14:textId="2BAD6DD4" w:rsidR="003F6EFC" w:rsidRDefault="003F6EFC">
      <w:pPr>
        <w:pStyle w:val="TOC5"/>
        <w:rPr>
          <w:rFonts w:asciiTheme="minorHAnsi" w:eastAsiaTheme="minorEastAsia" w:hAnsiTheme="minorHAnsi" w:cstheme="minorBidi"/>
          <w:noProof/>
          <w:kern w:val="2"/>
          <w:sz w:val="21"/>
          <w:szCs w:val="22"/>
          <w:lang w:val="en-US" w:eastAsia="zh-CN"/>
        </w:rPr>
      </w:pPr>
      <w:r>
        <w:rPr>
          <w:noProof/>
        </w:rPr>
        <w:t>5.3.3.2.4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_Toc199453130 \h </w:instrText>
      </w:r>
      <w:r>
        <w:rPr>
          <w:noProof/>
        </w:rPr>
      </w:r>
      <w:r>
        <w:rPr>
          <w:noProof/>
        </w:rPr>
        <w:fldChar w:fldCharType="separate"/>
      </w:r>
      <w:r>
        <w:rPr>
          <w:noProof/>
        </w:rPr>
        <w:t>310</w:t>
      </w:r>
      <w:r>
        <w:rPr>
          <w:noProof/>
        </w:rPr>
        <w:fldChar w:fldCharType="end"/>
      </w:r>
    </w:p>
    <w:p w14:paraId="39BFC16D" w14:textId="10F5FB00" w:rsidR="003F6EFC" w:rsidRDefault="003F6EFC">
      <w:pPr>
        <w:pStyle w:val="TOC4"/>
        <w:rPr>
          <w:rFonts w:asciiTheme="minorHAnsi" w:eastAsiaTheme="minorEastAsia" w:hAnsiTheme="minorHAnsi" w:cstheme="minorBidi"/>
          <w:noProof/>
          <w:kern w:val="2"/>
          <w:sz w:val="21"/>
          <w:szCs w:val="22"/>
          <w:lang w:val="en-US" w:eastAsia="zh-CN"/>
        </w:rPr>
      </w:pPr>
      <w:r>
        <w:rPr>
          <w:noProof/>
        </w:rPr>
        <w:t>5.3.3.3</w:t>
      </w:r>
      <w:r>
        <w:rPr>
          <w:rFonts w:asciiTheme="minorHAnsi" w:eastAsiaTheme="minorEastAsia" w:hAnsiTheme="minorHAnsi" w:cstheme="minorBidi"/>
          <w:noProof/>
          <w:kern w:val="2"/>
          <w:sz w:val="21"/>
          <w:szCs w:val="22"/>
          <w:lang w:val="en-US" w:eastAsia="zh-CN"/>
        </w:rPr>
        <w:tab/>
      </w:r>
      <w:r>
        <w:rPr>
          <w:noProof/>
        </w:rPr>
        <w:t>Resource: Individual NWDAF Data Management Subscription</w:t>
      </w:r>
      <w:r>
        <w:rPr>
          <w:noProof/>
        </w:rPr>
        <w:tab/>
      </w:r>
      <w:r>
        <w:rPr>
          <w:noProof/>
        </w:rPr>
        <w:fldChar w:fldCharType="begin"/>
      </w:r>
      <w:r>
        <w:rPr>
          <w:noProof/>
        </w:rPr>
        <w:instrText xml:space="preserve"> PAGEREF _Toc199453131 \h </w:instrText>
      </w:r>
      <w:r>
        <w:rPr>
          <w:noProof/>
        </w:rPr>
      </w:r>
      <w:r>
        <w:rPr>
          <w:noProof/>
        </w:rPr>
        <w:fldChar w:fldCharType="separate"/>
      </w:r>
      <w:r>
        <w:rPr>
          <w:noProof/>
        </w:rPr>
        <w:t>310</w:t>
      </w:r>
      <w:r>
        <w:rPr>
          <w:noProof/>
        </w:rPr>
        <w:fldChar w:fldCharType="end"/>
      </w:r>
    </w:p>
    <w:p w14:paraId="0C6C4D7D" w14:textId="6A4BE88C" w:rsidR="003F6EFC" w:rsidRDefault="003F6EFC">
      <w:pPr>
        <w:pStyle w:val="TOC5"/>
        <w:rPr>
          <w:rFonts w:asciiTheme="minorHAnsi" w:eastAsiaTheme="minorEastAsia" w:hAnsiTheme="minorHAnsi" w:cstheme="minorBidi"/>
          <w:noProof/>
          <w:kern w:val="2"/>
          <w:sz w:val="21"/>
          <w:szCs w:val="22"/>
          <w:lang w:val="en-US" w:eastAsia="zh-CN"/>
        </w:rPr>
      </w:pPr>
      <w:r>
        <w:rPr>
          <w:noProof/>
        </w:rPr>
        <w:t>5.3.3.3.1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_Toc199453132 \h </w:instrText>
      </w:r>
      <w:r>
        <w:rPr>
          <w:noProof/>
        </w:rPr>
      </w:r>
      <w:r>
        <w:rPr>
          <w:noProof/>
        </w:rPr>
        <w:fldChar w:fldCharType="separate"/>
      </w:r>
      <w:r>
        <w:rPr>
          <w:noProof/>
        </w:rPr>
        <w:t>310</w:t>
      </w:r>
      <w:r>
        <w:rPr>
          <w:noProof/>
        </w:rPr>
        <w:fldChar w:fldCharType="end"/>
      </w:r>
    </w:p>
    <w:p w14:paraId="31E5748D" w14:textId="3539EE01" w:rsidR="003F6EFC" w:rsidRDefault="003F6EFC">
      <w:pPr>
        <w:pStyle w:val="TOC5"/>
        <w:rPr>
          <w:rFonts w:asciiTheme="minorHAnsi" w:eastAsiaTheme="minorEastAsia" w:hAnsiTheme="minorHAnsi" w:cstheme="minorBidi"/>
          <w:noProof/>
          <w:kern w:val="2"/>
          <w:sz w:val="21"/>
          <w:szCs w:val="22"/>
          <w:lang w:val="en-US" w:eastAsia="zh-CN"/>
        </w:rPr>
      </w:pPr>
      <w:r>
        <w:rPr>
          <w:noProof/>
        </w:rPr>
        <w:t>5.3.3.3.2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_Toc199453133 \h </w:instrText>
      </w:r>
      <w:r>
        <w:rPr>
          <w:noProof/>
        </w:rPr>
      </w:r>
      <w:r>
        <w:rPr>
          <w:noProof/>
        </w:rPr>
        <w:fldChar w:fldCharType="separate"/>
      </w:r>
      <w:r>
        <w:rPr>
          <w:noProof/>
        </w:rPr>
        <w:t>311</w:t>
      </w:r>
      <w:r>
        <w:rPr>
          <w:noProof/>
        </w:rPr>
        <w:fldChar w:fldCharType="end"/>
      </w:r>
    </w:p>
    <w:p w14:paraId="4AB50B48" w14:textId="148FA9AD" w:rsidR="003F6EFC" w:rsidRDefault="003F6EFC">
      <w:pPr>
        <w:pStyle w:val="TOC5"/>
        <w:rPr>
          <w:rFonts w:asciiTheme="minorHAnsi" w:eastAsiaTheme="minorEastAsia" w:hAnsiTheme="minorHAnsi" w:cstheme="minorBidi"/>
          <w:noProof/>
          <w:kern w:val="2"/>
          <w:sz w:val="21"/>
          <w:szCs w:val="22"/>
          <w:lang w:val="en-US" w:eastAsia="zh-CN"/>
        </w:rPr>
      </w:pPr>
      <w:r>
        <w:rPr>
          <w:noProof/>
        </w:rPr>
        <w:t>5.3.3.3.3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_Toc199453134 \h </w:instrText>
      </w:r>
      <w:r>
        <w:rPr>
          <w:noProof/>
        </w:rPr>
      </w:r>
      <w:r>
        <w:rPr>
          <w:noProof/>
        </w:rPr>
        <w:fldChar w:fldCharType="separate"/>
      </w:r>
      <w:r>
        <w:rPr>
          <w:noProof/>
        </w:rPr>
        <w:t>311</w:t>
      </w:r>
      <w:r>
        <w:rPr>
          <w:noProof/>
        </w:rPr>
        <w:fldChar w:fldCharType="end"/>
      </w:r>
    </w:p>
    <w:p w14:paraId="1E7E9CA1" w14:textId="2A7F96EE" w:rsidR="003F6EFC" w:rsidRDefault="003F6EFC">
      <w:pPr>
        <w:pStyle w:val="TOC6"/>
        <w:rPr>
          <w:rFonts w:asciiTheme="minorHAnsi" w:eastAsiaTheme="minorEastAsia" w:hAnsiTheme="minorHAnsi" w:cstheme="minorBidi"/>
          <w:noProof/>
          <w:kern w:val="2"/>
          <w:sz w:val="21"/>
          <w:szCs w:val="22"/>
          <w:lang w:val="en-US" w:eastAsia="zh-CN"/>
        </w:rPr>
      </w:pPr>
      <w:r>
        <w:rPr>
          <w:noProof/>
        </w:rPr>
        <w:t>5.3.3.3.3.1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_Toc199453135 \h </w:instrText>
      </w:r>
      <w:r>
        <w:rPr>
          <w:noProof/>
        </w:rPr>
      </w:r>
      <w:r>
        <w:rPr>
          <w:noProof/>
        </w:rPr>
        <w:fldChar w:fldCharType="separate"/>
      </w:r>
      <w:r>
        <w:rPr>
          <w:noProof/>
        </w:rPr>
        <w:t>311</w:t>
      </w:r>
      <w:r>
        <w:rPr>
          <w:noProof/>
        </w:rPr>
        <w:fldChar w:fldCharType="end"/>
      </w:r>
    </w:p>
    <w:p w14:paraId="7A4B8D4C" w14:textId="18202017" w:rsidR="003F6EFC" w:rsidRDefault="003F6EFC">
      <w:pPr>
        <w:pStyle w:val="TOC6"/>
        <w:rPr>
          <w:rFonts w:asciiTheme="minorHAnsi" w:eastAsiaTheme="minorEastAsia" w:hAnsiTheme="minorHAnsi" w:cstheme="minorBidi"/>
          <w:noProof/>
          <w:kern w:val="2"/>
          <w:sz w:val="21"/>
          <w:szCs w:val="22"/>
          <w:lang w:val="en-US" w:eastAsia="zh-CN"/>
        </w:rPr>
      </w:pPr>
      <w:r>
        <w:rPr>
          <w:noProof/>
        </w:rPr>
        <w:t>5.3.3.3.3.2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_Toc199453136 \h </w:instrText>
      </w:r>
      <w:r>
        <w:rPr>
          <w:noProof/>
        </w:rPr>
      </w:r>
      <w:r>
        <w:rPr>
          <w:noProof/>
        </w:rPr>
        <w:fldChar w:fldCharType="separate"/>
      </w:r>
      <w:r>
        <w:rPr>
          <w:noProof/>
        </w:rPr>
        <w:t>312</w:t>
      </w:r>
      <w:r>
        <w:rPr>
          <w:noProof/>
        </w:rPr>
        <w:fldChar w:fldCharType="end"/>
      </w:r>
    </w:p>
    <w:p w14:paraId="3F78A162" w14:textId="4F6DAA2C" w:rsidR="003F6EFC" w:rsidRDefault="003F6EFC">
      <w:pPr>
        <w:pStyle w:val="TOC5"/>
        <w:rPr>
          <w:rFonts w:asciiTheme="minorHAnsi" w:eastAsiaTheme="minorEastAsia" w:hAnsiTheme="minorHAnsi" w:cstheme="minorBidi"/>
          <w:noProof/>
          <w:kern w:val="2"/>
          <w:sz w:val="21"/>
          <w:szCs w:val="22"/>
          <w:lang w:val="en-US" w:eastAsia="zh-CN"/>
        </w:rPr>
      </w:pPr>
      <w:r>
        <w:rPr>
          <w:noProof/>
        </w:rPr>
        <w:t>5.3.3.3.4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_Toc199453137 \h </w:instrText>
      </w:r>
      <w:r>
        <w:rPr>
          <w:noProof/>
        </w:rPr>
      </w:r>
      <w:r>
        <w:rPr>
          <w:noProof/>
        </w:rPr>
        <w:fldChar w:fldCharType="separate"/>
      </w:r>
      <w:r>
        <w:rPr>
          <w:noProof/>
        </w:rPr>
        <w:t>313</w:t>
      </w:r>
      <w:r>
        <w:rPr>
          <w:noProof/>
        </w:rPr>
        <w:fldChar w:fldCharType="end"/>
      </w:r>
    </w:p>
    <w:p w14:paraId="11D40159" w14:textId="4A9D37B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_Toc199453138 \h </w:instrText>
      </w:r>
      <w:r>
        <w:rPr>
          <w:noProof/>
        </w:rPr>
      </w:r>
      <w:r>
        <w:rPr>
          <w:noProof/>
        </w:rPr>
        <w:fldChar w:fldCharType="separate"/>
      </w:r>
      <w:r>
        <w:rPr>
          <w:noProof/>
        </w:rPr>
        <w:t>313</w:t>
      </w:r>
      <w:r>
        <w:rPr>
          <w:noProof/>
        </w:rPr>
        <w:fldChar w:fldCharType="end"/>
      </w:r>
    </w:p>
    <w:p w14:paraId="0D447785" w14:textId="340CCD1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_Toc199453139 \h </w:instrText>
      </w:r>
      <w:r>
        <w:rPr>
          <w:noProof/>
        </w:rPr>
      </w:r>
      <w:r>
        <w:rPr>
          <w:noProof/>
        </w:rPr>
        <w:fldChar w:fldCharType="separate"/>
      </w:r>
      <w:r>
        <w:rPr>
          <w:noProof/>
        </w:rPr>
        <w:t>314</w:t>
      </w:r>
      <w:r>
        <w:rPr>
          <w:noProof/>
        </w:rPr>
        <w:fldChar w:fldCharType="end"/>
      </w:r>
    </w:p>
    <w:p w14:paraId="16A9E809" w14:textId="28842623" w:rsidR="003F6EFC" w:rsidRDefault="003F6EFC">
      <w:pPr>
        <w:pStyle w:val="TOC4"/>
        <w:rPr>
          <w:rFonts w:asciiTheme="minorHAnsi" w:eastAsiaTheme="minorEastAsia" w:hAnsiTheme="minorHAnsi" w:cstheme="minorBidi"/>
          <w:noProof/>
          <w:kern w:val="2"/>
          <w:sz w:val="21"/>
          <w:szCs w:val="22"/>
          <w:lang w:val="en-US" w:eastAsia="zh-CN"/>
        </w:rPr>
      </w:pPr>
      <w:r>
        <w:rPr>
          <w:noProof/>
        </w:rPr>
        <w:t>5.3.5.1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_Toc199453140 \h </w:instrText>
      </w:r>
      <w:r>
        <w:rPr>
          <w:noProof/>
        </w:rPr>
      </w:r>
      <w:r>
        <w:rPr>
          <w:noProof/>
        </w:rPr>
        <w:fldChar w:fldCharType="separate"/>
      </w:r>
      <w:r>
        <w:rPr>
          <w:noProof/>
        </w:rPr>
        <w:t>314</w:t>
      </w:r>
      <w:r>
        <w:rPr>
          <w:noProof/>
        </w:rPr>
        <w:fldChar w:fldCharType="end"/>
      </w:r>
    </w:p>
    <w:p w14:paraId="0F375606" w14:textId="71C3A9C0" w:rsidR="003F6EFC" w:rsidRDefault="003F6EFC">
      <w:pPr>
        <w:pStyle w:val="TOC4"/>
        <w:rPr>
          <w:rFonts w:asciiTheme="minorHAnsi" w:eastAsiaTheme="minorEastAsia" w:hAnsiTheme="minorHAnsi" w:cstheme="minorBidi"/>
          <w:noProof/>
          <w:kern w:val="2"/>
          <w:sz w:val="21"/>
          <w:szCs w:val="22"/>
          <w:lang w:val="en-US" w:eastAsia="zh-CN"/>
        </w:rPr>
      </w:pPr>
      <w:r>
        <w:rPr>
          <w:noProof/>
        </w:rPr>
        <w:t>5.3.5.2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_Toc199453141 \h </w:instrText>
      </w:r>
      <w:r>
        <w:rPr>
          <w:noProof/>
        </w:rPr>
      </w:r>
      <w:r>
        <w:rPr>
          <w:noProof/>
        </w:rPr>
        <w:fldChar w:fldCharType="separate"/>
      </w:r>
      <w:r>
        <w:rPr>
          <w:noProof/>
        </w:rPr>
        <w:t>314</w:t>
      </w:r>
      <w:r>
        <w:rPr>
          <w:noProof/>
        </w:rPr>
        <w:fldChar w:fldCharType="end"/>
      </w:r>
    </w:p>
    <w:p w14:paraId="58EBD2DC" w14:textId="149F9B22" w:rsidR="003F6EFC" w:rsidRDefault="003F6EFC">
      <w:pPr>
        <w:pStyle w:val="TOC5"/>
        <w:rPr>
          <w:rFonts w:asciiTheme="minorHAnsi" w:eastAsiaTheme="minorEastAsia" w:hAnsiTheme="minorHAnsi" w:cstheme="minorBidi"/>
          <w:noProof/>
          <w:kern w:val="2"/>
          <w:sz w:val="21"/>
          <w:szCs w:val="22"/>
          <w:lang w:val="en-US" w:eastAsia="zh-CN"/>
        </w:rPr>
      </w:pPr>
      <w:r>
        <w:rPr>
          <w:noProof/>
        </w:rPr>
        <w:t>5.3.5.2.1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_Toc199453142 \h </w:instrText>
      </w:r>
      <w:r>
        <w:rPr>
          <w:noProof/>
        </w:rPr>
      </w:r>
      <w:r>
        <w:rPr>
          <w:noProof/>
        </w:rPr>
        <w:fldChar w:fldCharType="separate"/>
      </w:r>
      <w:r>
        <w:rPr>
          <w:noProof/>
        </w:rPr>
        <w:t>314</w:t>
      </w:r>
      <w:r>
        <w:rPr>
          <w:noProof/>
        </w:rPr>
        <w:fldChar w:fldCharType="end"/>
      </w:r>
    </w:p>
    <w:p w14:paraId="6A0521FA" w14:textId="6DFF3070" w:rsidR="003F6EFC" w:rsidRDefault="003F6EFC">
      <w:pPr>
        <w:pStyle w:val="TOC5"/>
        <w:rPr>
          <w:rFonts w:asciiTheme="minorHAnsi" w:eastAsiaTheme="minorEastAsia" w:hAnsiTheme="minorHAnsi" w:cstheme="minorBidi"/>
          <w:noProof/>
          <w:kern w:val="2"/>
          <w:sz w:val="21"/>
          <w:szCs w:val="22"/>
          <w:lang w:val="en-US" w:eastAsia="zh-CN"/>
        </w:rPr>
      </w:pPr>
      <w:r>
        <w:rPr>
          <w:noProof/>
        </w:rPr>
        <w:t>5.3.5.2.2</w:t>
      </w:r>
      <w:r>
        <w:rPr>
          <w:rFonts w:asciiTheme="minorHAnsi" w:eastAsiaTheme="minorEastAsia" w:hAnsiTheme="minorHAnsi" w:cstheme="minorBidi"/>
          <w:noProof/>
          <w:kern w:val="2"/>
          <w:sz w:val="21"/>
          <w:szCs w:val="22"/>
          <w:lang w:val="en-US" w:eastAsia="zh-CN"/>
        </w:rPr>
        <w:tab/>
      </w:r>
      <w:r w:rsidRPr="00D64295">
        <w:rPr>
          <w:noProof/>
          <w:lang w:val="en-US" w:eastAsia="zh-CN"/>
        </w:rPr>
        <w:t>Operation Definition</w:t>
      </w:r>
      <w:r>
        <w:rPr>
          <w:noProof/>
        </w:rPr>
        <w:tab/>
      </w:r>
      <w:r>
        <w:rPr>
          <w:noProof/>
        </w:rPr>
        <w:fldChar w:fldCharType="begin"/>
      </w:r>
      <w:r>
        <w:rPr>
          <w:noProof/>
        </w:rPr>
        <w:instrText xml:space="preserve"> PAGEREF _Toc199453143 \h </w:instrText>
      </w:r>
      <w:r>
        <w:rPr>
          <w:noProof/>
        </w:rPr>
      </w:r>
      <w:r>
        <w:rPr>
          <w:noProof/>
        </w:rPr>
        <w:fldChar w:fldCharType="separate"/>
      </w:r>
      <w:r>
        <w:rPr>
          <w:noProof/>
        </w:rPr>
        <w:t>314</w:t>
      </w:r>
      <w:r>
        <w:rPr>
          <w:noProof/>
        </w:rPr>
        <w:fldChar w:fldCharType="end"/>
      </w:r>
    </w:p>
    <w:p w14:paraId="61F56EC7" w14:textId="6650D252" w:rsidR="003F6EFC" w:rsidRDefault="003F6EFC">
      <w:pPr>
        <w:pStyle w:val="TOC4"/>
        <w:rPr>
          <w:rFonts w:asciiTheme="minorHAnsi" w:eastAsiaTheme="minorEastAsia" w:hAnsiTheme="minorHAnsi" w:cstheme="minorBidi"/>
          <w:noProof/>
          <w:kern w:val="2"/>
          <w:sz w:val="21"/>
          <w:szCs w:val="22"/>
          <w:lang w:val="en-US" w:eastAsia="zh-CN"/>
        </w:rPr>
      </w:pPr>
      <w:r>
        <w:rPr>
          <w:noProof/>
        </w:rPr>
        <w:t>5.3.5.3</w:t>
      </w:r>
      <w:r>
        <w:rPr>
          <w:rFonts w:asciiTheme="minorHAnsi" w:eastAsiaTheme="minorEastAsia" w:hAnsiTheme="minorHAnsi" w:cstheme="minorBidi"/>
          <w:noProof/>
          <w:kern w:val="2"/>
          <w:sz w:val="21"/>
          <w:szCs w:val="22"/>
          <w:lang w:val="en-US" w:eastAsia="zh-CN"/>
        </w:rPr>
        <w:tab/>
      </w:r>
      <w:r>
        <w:rPr>
          <w:noProof/>
        </w:rPr>
        <w:t>Fetch Notification</w:t>
      </w:r>
      <w:r>
        <w:rPr>
          <w:noProof/>
        </w:rPr>
        <w:tab/>
      </w:r>
      <w:r>
        <w:rPr>
          <w:noProof/>
        </w:rPr>
        <w:fldChar w:fldCharType="begin"/>
      </w:r>
      <w:r>
        <w:rPr>
          <w:noProof/>
        </w:rPr>
        <w:instrText xml:space="preserve"> PAGEREF _Toc199453144 \h </w:instrText>
      </w:r>
      <w:r>
        <w:rPr>
          <w:noProof/>
        </w:rPr>
      </w:r>
      <w:r>
        <w:rPr>
          <w:noProof/>
        </w:rPr>
        <w:fldChar w:fldCharType="separate"/>
      </w:r>
      <w:r>
        <w:rPr>
          <w:noProof/>
        </w:rPr>
        <w:t>315</w:t>
      </w:r>
      <w:r>
        <w:rPr>
          <w:noProof/>
        </w:rPr>
        <w:fldChar w:fldCharType="end"/>
      </w:r>
    </w:p>
    <w:p w14:paraId="1FA7A4E8" w14:textId="36F1A27B" w:rsidR="003F6EFC" w:rsidRDefault="003F6EFC">
      <w:pPr>
        <w:pStyle w:val="TOC5"/>
        <w:rPr>
          <w:rFonts w:asciiTheme="minorHAnsi" w:eastAsiaTheme="minorEastAsia" w:hAnsiTheme="minorHAnsi" w:cstheme="minorBidi"/>
          <w:noProof/>
          <w:kern w:val="2"/>
          <w:sz w:val="21"/>
          <w:szCs w:val="22"/>
          <w:lang w:val="en-US" w:eastAsia="zh-CN"/>
        </w:rPr>
      </w:pPr>
      <w:r>
        <w:rPr>
          <w:noProof/>
        </w:rPr>
        <w:t>5.3.5.3</w:t>
      </w:r>
      <w:r w:rsidRPr="00D64295">
        <w:rPr>
          <w:noProof/>
          <w:lang w:val="en-US" w:eastAsia="zh-CN"/>
        </w:rPr>
        <w:t>.1</w:t>
      </w:r>
      <w:r>
        <w:rPr>
          <w:rFonts w:asciiTheme="minorHAnsi" w:eastAsiaTheme="minorEastAsia" w:hAnsiTheme="minorHAnsi" w:cstheme="minorBidi"/>
          <w:noProof/>
          <w:kern w:val="2"/>
          <w:sz w:val="21"/>
          <w:szCs w:val="22"/>
          <w:lang w:val="en-US" w:eastAsia="zh-CN"/>
        </w:rPr>
        <w:tab/>
      </w:r>
      <w:r w:rsidRPr="00D64295">
        <w:rPr>
          <w:noProof/>
          <w:lang w:val="en-US" w:eastAsia="zh-CN"/>
        </w:rPr>
        <w:t>Description</w:t>
      </w:r>
      <w:r>
        <w:rPr>
          <w:noProof/>
        </w:rPr>
        <w:tab/>
      </w:r>
      <w:r>
        <w:rPr>
          <w:noProof/>
        </w:rPr>
        <w:fldChar w:fldCharType="begin"/>
      </w:r>
      <w:r>
        <w:rPr>
          <w:noProof/>
        </w:rPr>
        <w:instrText xml:space="preserve"> PAGEREF _Toc199453145 \h </w:instrText>
      </w:r>
      <w:r>
        <w:rPr>
          <w:noProof/>
        </w:rPr>
      </w:r>
      <w:r>
        <w:rPr>
          <w:noProof/>
        </w:rPr>
        <w:fldChar w:fldCharType="separate"/>
      </w:r>
      <w:r>
        <w:rPr>
          <w:noProof/>
        </w:rPr>
        <w:t>315</w:t>
      </w:r>
      <w:r>
        <w:rPr>
          <w:noProof/>
        </w:rPr>
        <w:fldChar w:fldCharType="end"/>
      </w:r>
    </w:p>
    <w:p w14:paraId="7D6E1F3C" w14:textId="6973A309" w:rsidR="003F6EFC" w:rsidRDefault="003F6EFC">
      <w:pPr>
        <w:pStyle w:val="TOC5"/>
        <w:rPr>
          <w:rFonts w:asciiTheme="minorHAnsi" w:eastAsiaTheme="minorEastAsia" w:hAnsiTheme="minorHAnsi" w:cstheme="minorBidi"/>
          <w:noProof/>
          <w:kern w:val="2"/>
          <w:sz w:val="21"/>
          <w:szCs w:val="22"/>
          <w:lang w:val="en-US" w:eastAsia="zh-CN"/>
        </w:rPr>
      </w:pPr>
      <w:r>
        <w:rPr>
          <w:noProof/>
        </w:rPr>
        <w:t>5.3.5.3.2</w:t>
      </w:r>
      <w:r>
        <w:rPr>
          <w:rFonts w:asciiTheme="minorHAnsi" w:eastAsiaTheme="minorEastAsia" w:hAnsiTheme="minorHAnsi" w:cstheme="minorBidi"/>
          <w:noProof/>
          <w:kern w:val="2"/>
          <w:sz w:val="21"/>
          <w:szCs w:val="22"/>
          <w:lang w:val="en-US" w:eastAsia="zh-CN"/>
        </w:rPr>
        <w:tab/>
      </w:r>
      <w:r w:rsidRPr="00D64295">
        <w:rPr>
          <w:noProof/>
          <w:lang w:val="en-US" w:eastAsia="zh-CN"/>
        </w:rPr>
        <w:t>Target URI</w:t>
      </w:r>
      <w:r>
        <w:rPr>
          <w:noProof/>
        </w:rPr>
        <w:tab/>
      </w:r>
      <w:r>
        <w:rPr>
          <w:noProof/>
        </w:rPr>
        <w:fldChar w:fldCharType="begin"/>
      </w:r>
      <w:r>
        <w:rPr>
          <w:noProof/>
        </w:rPr>
        <w:instrText xml:space="preserve"> PAGEREF _Toc199453146 \h </w:instrText>
      </w:r>
      <w:r>
        <w:rPr>
          <w:noProof/>
        </w:rPr>
      </w:r>
      <w:r>
        <w:rPr>
          <w:noProof/>
        </w:rPr>
        <w:fldChar w:fldCharType="separate"/>
      </w:r>
      <w:r>
        <w:rPr>
          <w:noProof/>
        </w:rPr>
        <w:t>315</w:t>
      </w:r>
      <w:r>
        <w:rPr>
          <w:noProof/>
        </w:rPr>
        <w:fldChar w:fldCharType="end"/>
      </w:r>
    </w:p>
    <w:p w14:paraId="04B14187" w14:textId="5906ADFF" w:rsidR="003F6EFC" w:rsidRDefault="003F6EFC">
      <w:pPr>
        <w:pStyle w:val="TOC5"/>
        <w:rPr>
          <w:rFonts w:asciiTheme="minorHAnsi" w:eastAsiaTheme="minorEastAsia" w:hAnsiTheme="minorHAnsi" w:cstheme="minorBidi"/>
          <w:noProof/>
          <w:kern w:val="2"/>
          <w:sz w:val="21"/>
          <w:szCs w:val="22"/>
          <w:lang w:val="en-US" w:eastAsia="zh-CN"/>
        </w:rPr>
      </w:pPr>
      <w:r>
        <w:rPr>
          <w:noProof/>
        </w:rPr>
        <w:t>5.3.5.3.3</w:t>
      </w:r>
      <w:r>
        <w:rPr>
          <w:rFonts w:asciiTheme="minorHAnsi" w:eastAsiaTheme="minorEastAsia" w:hAnsiTheme="minorHAnsi" w:cstheme="minorBidi"/>
          <w:noProof/>
          <w:kern w:val="2"/>
          <w:sz w:val="21"/>
          <w:szCs w:val="22"/>
          <w:lang w:val="en-US" w:eastAsia="zh-CN"/>
        </w:rPr>
        <w:tab/>
      </w:r>
      <w:r w:rsidRPr="00D64295">
        <w:rPr>
          <w:noProof/>
          <w:lang w:val="en-US" w:eastAsia="zh-CN"/>
        </w:rPr>
        <w:t>Standard Methods</w:t>
      </w:r>
      <w:r>
        <w:rPr>
          <w:noProof/>
        </w:rPr>
        <w:tab/>
      </w:r>
      <w:r>
        <w:rPr>
          <w:noProof/>
        </w:rPr>
        <w:fldChar w:fldCharType="begin"/>
      </w:r>
      <w:r>
        <w:rPr>
          <w:noProof/>
        </w:rPr>
        <w:instrText xml:space="preserve"> PAGEREF _Toc199453147 \h </w:instrText>
      </w:r>
      <w:r>
        <w:rPr>
          <w:noProof/>
        </w:rPr>
      </w:r>
      <w:r>
        <w:rPr>
          <w:noProof/>
        </w:rPr>
        <w:fldChar w:fldCharType="separate"/>
      </w:r>
      <w:r>
        <w:rPr>
          <w:noProof/>
        </w:rPr>
        <w:t>315</w:t>
      </w:r>
      <w:r>
        <w:rPr>
          <w:noProof/>
        </w:rPr>
        <w:fldChar w:fldCharType="end"/>
      </w:r>
    </w:p>
    <w:p w14:paraId="1F2B8DEB" w14:textId="7C633453" w:rsidR="003F6EFC" w:rsidRDefault="003F6EFC">
      <w:pPr>
        <w:pStyle w:val="TOC6"/>
        <w:rPr>
          <w:rFonts w:asciiTheme="minorHAnsi" w:eastAsiaTheme="minorEastAsia" w:hAnsiTheme="minorHAnsi" w:cstheme="minorBidi"/>
          <w:noProof/>
          <w:kern w:val="2"/>
          <w:sz w:val="21"/>
          <w:szCs w:val="22"/>
          <w:lang w:val="en-US" w:eastAsia="zh-CN"/>
        </w:rPr>
      </w:pPr>
      <w:r>
        <w:rPr>
          <w:noProof/>
        </w:rPr>
        <w:t>5.3.5.3.3.1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_Toc199453148 \h </w:instrText>
      </w:r>
      <w:r>
        <w:rPr>
          <w:noProof/>
        </w:rPr>
      </w:r>
      <w:r>
        <w:rPr>
          <w:noProof/>
        </w:rPr>
        <w:fldChar w:fldCharType="separate"/>
      </w:r>
      <w:r>
        <w:rPr>
          <w:noProof/>
        </w:rPr>
        <w:t>315</w:t>
      </w:r>
      <w:r>
        <w:rPr>
          <w:noProof/>
        </w:rPr>
        <w:fldChar w:fldCharType="end"/>
      </w:r>
    </w:p>
    <w:p w14:paraId="64F03AD9" w14:textId="3CE89AB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lastRenderedPageBreak/>
        <w:t>5.3.6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_Toc199453149 \h </w:instrText>
      </w:r>
      <w:r>
        <w:rPr>
          <w:noProof/>
        </w:rPr>
      </w:r>
      <w:r>
        <w:rPr>
          <w:noProof/>
        </w:rPr>
        <w:fldChar w:fldCharType="separate"/>
      </w:r>
      <w:r>
        <w:rPr>
          <w:noProof/>
        </w:rPr>
        <w:t>316</w:t>
      </w:r>
      <w:r>
        <w:rPr>
          <w:noProof/>
        </w:rPr>
        <w:fldChar w:fldCharType="end"/>
      </w:r>
    </w:p>
    <w:p w14:paraId="6F0E85CC" w14:textId="212CDC33" w:rsidR="003F6EFC" w:rsidRDefault="003F6EFC">
      <w:pPr>
        <w:pStyle w:val="TOC4"/>
        <w:rPr>
          <w:rFonts w:asciiTheme="minorHAnsi" w:eastAsiaTheme="minorEastAsia" w:hAnsiTheme="minorHAnsi" w:cstheme="minorBidi"/>
          <w:noProof/>
          <w:kern w:val="2"/>
          <w:sz w:val="21"/>
          <w:szCs w:val="22"/>
          <w:lang w:val="en-US" w:eastAsia="zh-CN"/>
        </w:rPr>
      </w:pPr>
      <w:r>
        <w:rPr>
          <w:noProof/>
        </w:rPr>
        <w:t>5.3.6.1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_Toc199453150 \h </w:instrText>
      </w:r>
      <w:r>
        <w:rPr>
          <w:noProof/>
        </w:rPr>
      </w:r>
      <w:r>
        <w:rPr>
          <w:noProof/>
        </w:rPr>
        <w:fldChar w:fldCharType="separate"/>
      </w:r>
      <w:r>
        <w:rPr>
          <w:noProof/>
        </w:rPr>
        <w:t>316</w:t>
      </w:r>
      <w:r>
        <w:rPr>
          <w:noProof/>
        </w:rPr>
        <w:fldChar w:fldCharType="end"/>
      </w:r>
    </w:p>
    <w:p w14:paraId="1B2FE3B0" w14:textId="33681187" w:rsidR="003F6EFC" w:rsidRDefault="003F6EFC">
      <w:pPr>
        <w:pStyle w:val="TOC4"/>
        <w:rPr>
          <w:rFonts w:asciiTheme="minorHAnsi" w:eastAsiaTheme="minorEastAsia" w:hAnsiTheme="minorHAnsi" w:cstheme="minorBidi"/>
          <w:noProof/>
          <w:kern w:val="2"/>
          <w:sz w:val="21"/>
          <w:szCs w:val="22"/>
          <w:lang w:val="en-US" w:eastAsia="zh-CN"/>
        </w:rPr>
      </w:pPr>
      <w:r>
        <w:rPr>
          <w:noProof/>
        </w:rPr>
        <w:t>5.3.6.2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_Toc199453151 \h </w:instrText>
      </w:r>
      <w:r>
        <w:rPr>
          <w:noProof/>
        </w:rPr>
      </w:r>
      <w:r>
        <w:rPr>
          <w:noProof/>
        </w:rPr>
        <w:fldChar w:fldCharType="separate"/>
      </w:r>
      <w:r>
        <w:rPr>
          <w:noProof/>
        </w:rPr>
        <w:t>318</w:t>
      </w:r>
      <w:r>
        <w:rPr>
          <w:noProof/>
        </w:rPr>
        <w:fldChar w:fldCharType="end"/>
      </w:r>
    </w:p>
    <w:p w14:paraId="173EA517" w14:textId="6B89628E" w:rsidR="003F6EFC" w:rsidRDefault="003F6EFC">
      <w:pPr>
        <w:pStyle w:val="TOC5"/>
        <w:rPr>
          <w:rFonts w:asciiTheme="minorHAnsi" w:eastAsiaTheme="minorEastAsia" w:hAnsiTheme="minorHAnsi" w:cstheme="minorBidi"/>
          <w:noProof/>
          <w:kern w:val="2"/>
          <w:sz w:val="21"/>
          <w:szCs w:val="22"/>
          <w:lang w:val="en-US" w:eastAsia="zh-CN"/>
        </w:rPr>
      </w:pPr>
      <w:r>
        <w:rPr>
          <w:noProof/>
        </w:rPr>
        <w:t>5.3.6.2.1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_Toc199453152 \h </w:instrText>
      </w:r>
      <w:r>
        <w:rPr>
          <w:noProof/>
        </w:rPr>
      </w:r>
      <w:r>
        <w:rPr>
          <w:noProof/>
        </w:rPr>
        <w:fldChar w:fldCharType="separate"/>
      </w:r>
      <w:r>
        <w:rPr>
          <w:noProof/>
        </w:rPr>
        <w:t>318</w:t>
      </w:r>
      <w:r>
        <w:rPr>
          <w:noProof/>
        </w:rPr>
        <w:fldChar w:fldCharType="end"/>
      </w:r>
    </w:p>
    <w:p w14:paraId="59502823" w14:textId="487877AC" w:rsidR="003F6EFC" w:rsidRDefault="003F6EFC">
      <w:pPr>
        <w:pStyle w:val="TOC5"/>
        <w:rPr>
          <w:rFonts w:asciiTheme="minorHAnsi" w:eastAsiaTheme="minorEastAsia" w:hAnsiTheme="minorHAnsi" w:cstheme="minorBidi"/>
          <w:noProof/>
          <w:kern w:val="2"/>
          <w:sz w:val="21"/>
          <w:szCs w:val="22"/>
          <w:lang w:val="en-US" w:eastAsia="zh-CN"/>
        </w:rPr>
      </w:pPr>
      <w:r>
        <w:rPr>
          <w:noProof/>
        </w:rPr>
        <w:t>5.3.6.2.2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NnwdafDataManagementSubsc</w:t>
      </w:r>
      <w:r>
        <w:rPr>
          <w:noProof/>
        </w:rPr>
        <w:tab/>
      </w:r>
      <w:r>
        <w:rPr>
          <w:noProof/>
        </w:rPr>
        <w:fldChar w:fldCharType="begin"/>
      </w:r>
      <w:r>
        <w:rPr>
          <w:noProof/>
        </w:rPr>
        <w:instrText xml:space="preserve"> PAGEREF _Toc199453153 \h </w:instrText>
      </w:r>
      <w:r>
        <w:rPr>
          <w:noProof/>
        </w:rPr>
      </w:r>
      <w:r>
        <w:rPr>
          <w:noProof/>
        </w:rPr>
        <w:fldChar w:fldCharType="separate"/>
      </w:r>
      <w:r>
        <w:rPr>
          <w:noProof/>
        </w:rPr>
        <w:t>319</w:t>
      </w:r>
      <w:r>
        <w:rPr>
          <w:noProof/>
        </w:rPr>
        <w:fldChar w:fldCharType="end"/>
      </w:r>
    </w:p>
    <w:p w14:paraId="7320BD2C" w14:textId="78A10104" w:rsidR="003F6EFC" w:rsidRDefault="003F6EFC">
      <w:pPr>
        <w:pStyle w:val="TOC5"/>
        <w:rPr>
          <w:rFonts w:asciiTheme="minorHAnsi" w:eastAsiaTheme="minorEastAsia" w:hAnsiTheme="minorHAnsi" w:cstheme="minorBidi"/>
          <w:noProof/>
          <w:kern w:val="2"/>
          <w:sz w:val="21"/>
          <w:szCs w:val="22"/>
          <w:lang w:val="en-US" w:eastAsia="zh-CN"/>
        </w:rPr>
      </w:pPr>
      <w:r>
        <w:rPr>
          <w:noProof/>
        </w:rPr>
        <w:t>5.3.6.2.3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NnwdafDataManagementNotif</w:t>
      </w:r>
      <w:r>
        <w:rPr>
          <w:noProof/>
        </w:rPr>
        <w:tab/>
      </w:r>
      <w:r>
        <w:rPr>
          <w:noProof/>
        </w:rPr>
        <w:fldChar w:fldCharType="begin"/>
      </w:r>
      <w:r>
        <w:rPr>
          <w:noProof/>
        </w:rPr>
        <w:instrText xml:space="preserve"> PAGEREF _Toc199453154 \h </w:instrText>
      </w:r>
      <w:r>
        <w:rPr>
          <w:noProof/>
        </w:rPr>
      </w:r>
      <w:r>
        <w:rPr>
          <w:noProof/>
        </w:rPr>
        <w:fldChar w:fldCharType="separate"/>
      </w:r>
      <w:r>
        <w:rPr>
          <w:noProof/>
        </w:rPr>
        <w:t>323</w:t>
      </w:r>
      <w:r>
        <w:rPr>
          <w:noProof/>
        </w:rPr>
        <w:fldChar w:fldCharType="end"/>
      </w:r>
    </w:p>
    <w:p w14:paraId="4A0647DB" w14:textId="66402E4E" w:rsidR="003F6EFC" w:rsidRDefault="003F6EFC">
      <w:pPr>
        <w:pStyle w:val="TOC4"/>
        <w:rPr>
          <w:rFonts w:asciiTheme="minorHAnsi" w:eastAsiaTheme="minorEastAsia" w:hAnsiTheme="minorHAnsi" w:cstheme="minorBidi"/>
          <w:noProof/>
          <w:kern w:val="2"/>
          <w:sz w:val="21"/>
          <w:szCs w:val="22"/>
          <w:lang w:val="en-US" w:eastAsia="zh-CN"/>
        </w:rPr>
      </w:pPr>
      <w:r>
        <w:rPr>
          <w:noProof/>
        </w:rPr>
        <w:t>5.3.6.3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_Toc199453155 \h </w:instrText>
      </w:r>
      <w:r>
        <w:rPr>
          <w:noProof/>
        </w:rPr>
      </w:r>
      <w:r>
        <w:rPr>
          <w:noProof/>
        </w:rPr>
        <w:fldChar w:fldCharType="separate"/>
      </w:r>
      <w:r>
        <w:rPr>
          <w:noProof/>
        </w:rPr>
        <w:t>323</w:t>
      </w:r>
      <w:r>
        <w:rPr>
          <w:noProof/>
        </w:rPr>
        <w:fldChar w:fldCharType="end"/>
      </w:r>
    </w:p>
    <w:p w14:paraId="6DFF7499" w14:textId="45569B2F" w:rsidR="003F6EFC" w:rsidRDefault="003F6EFC">
      <w:pPr>
        <w:pStyle w:val="TOC5"/>
        <w:rPr>
          <w:rFonts w:asciiTheme="minorHAnsi" w:eastAsiaTheme="minorEastAsia" w:hAnsiTheme="minorHAnsi" w:cstheme="minorBidi"/>
          <w:noProof/>
          <w:kern w:val="2"/>
          <w:sz w:val="21"/>
          <w:szCs w:val="22"/>
          <w:lang w:val="en-US" w:eastAsia="zh-CN"/>
        </w:rPr>
      </w:pPr>
      <w:r>
        <w:rPr>
          <w:noProof/>
        </w:rPr>
        <w:t>5.3.6.3.1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_Toc199453156 \h </w:instrText>
      </w:r>
      <w:r>
        <w:rPr>
          <w:noProof/>
        </w:rPr>
      </w:r>
      <w:r>
        <w:rPr>
          <w:noProof/>
        </w:rPr>
        <w:fldChar w:fldCharType="separate"/>
      </w:r>
      <w:r>
        <w:rPr>
          <w:noProof/>
        </w:rPr>
        <w:t>323</w:t>
      </w:r>
      <w:r>
        <w:rPr>
          <w:noProof/>
        </w:rPr>
        <w:fldChar w:fldCharType="end"/>
      </w:r>
    </w:p>
    <w:p w14:paraId="7C28FBD4" w14:textId="26D99E66" w:rsidR="003F6EFC" w:rsidRDefault="003F6EFC">
      <w:pPr>
        <w:pStyle w:val="TOC5"/>
        <w:rPr>
          <w:rFonts w:asciiTheme="minorHAnsi" w:eastAsiaTheme="minorEastAsia" w:hAnsiTheme="minorHAnsi" w:cstheme="minorBidi"/>
          <w:noProof/>
          <w:kern w:val="2"/>
          <w:sz w:val="21"/>
          <w:szCs w:val="22"/>
          <w:lang w:val="en-US" w:eastAsia="zh-CN"/>
        </w:rPr>
      </w:pPr>
      <w:r>
        <w:rPr>
          <w:noProof/>
        </w:rPr>
        <w:t>5.3.6.3.2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_Toc199453157 \h </w:instrText>
      </w:r>
      <w:r>
        <w:rPr>
          <w:noProof/>
        </w:rPr>
      </w:r>
      <w:r>
        <w:rPr>
          <w:noProof/>
        </w:rPr>
        <w:fldChar w:fldCharType="separate"/>
      </w:r>
      <w:r>
        <w:rPr>
          <w:noProof/>
        </w:rPr>
        <w:t>324</w:t>
      </w:r>
      <w:r>
        <w:rPr>
          <w:noProof/>
        </w:rPr>
        <w:fldChar w:fldCharType="end"/>
      </w:r>
    </w:p>
    <w:p w14:paraId="4B51E3BC" w14:textId="52B8BC9C" w:rsidR="003F6EFC" w:rsidRDefault="003F6EFC">
      <w:pPr>
        <w:pStyle w:val="TOC5"/>
        <w:rPr>
          <w:rFonts w:asciiTheme="minorHAnsi" w:eastAsiaTheme="minorEastAsia" w:hAnsiTheme="minorHAnsi" w:cstheme="minorBidi"/>
          <w:noProof/>
          <w:kern w:val="2"/>
          <w:sz w:val="21"/>
          <w:szCs w:val="22"/>
          <w:lang w:val="en-US" w:eastAsia="zh-CN"/>
        </w:rPr>
      </w:pPr>
      <w:r>
        <w:rPr>
          <w:noProof/>
        </w:rPr>
        <w:t>5.3.6.3.3</w:t>
      </w:r>
      <w:r>
        <w:rPr>
          <w:rFonts w:asciiTheme="minorHAnsi" w:eastAsiaTheme="minorEastAsia" w:hAnsiTheme="minorHAnsi" w:cstheme="minorBidi"/>
          <w:noProof/>
          <w:kern w:val="2"/>
          <w:sz w:val="21"/>
          <w:szCs w:val="22"/>
          <w:lang w:val="en-US" w:eastAsia="zh-CN"/>
        </w:rPr>
        <w:tab/>
      </w:r>
      <w:r>
        <w:rPr>
          <w:noProof/>
        </w:rPr>
        <w:t>Enumeration: PendingNotificationCause</w:t>
      </w:r>
      <w:r>
        <w:rPr>
          <w:noProof/>
        </w:rPr>
        <w:tab/>
      </w:r>
      <w:r>
        <w:rPr>
          <w:noProof/>
        </w:rPr>
        <w:fldChar w:fldCharType="begin"/>
      </w:r>
      <w:r>
        <w:rPr>
          <w:noProof/>
        </w:rPr>
        <w:instrText xml:space="preserve"> PAGEREF _Toc199453158 \h </w:instrText>
      </w:r>
      <w:r>
        <w:rPr>
          <w:noProof/>
        </w:rPr>
      </w:r>
      <w:r>
        <w:rPr>
          <w:noProof/>
        </w:rPr>
        <w:fldChar w:fldCharType="separate"/>
      </w:r>
      <w:r>
        <w:rPr>
          <w:noProof/>
        </w:rPr>
        <w:t>324</w:t>
      </w:r>
      <w:r>
        <w:rPr>
          <w:noProof/>
        </w:rPr>
        <w:fldChar w:fldCharType="end"/>
      </w:r>
    </w:p>
    <w:p w14:paraId="1F9A768B" w14:textId="665CBA5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_Toc199453159 \h </w:instrText>
      </w:r>
      <w:r>
        <w:rPr>
          <w:noProof/>
        </w:rPr>
      </w:r>
      <w:r>
        <w:rPr>
          <w:noProof/>
        </w:rPr>
        <w:fldChar w:fldCharType="separate"/>
      </w:r>
      <w:r>
        <w:rPr>
          <w:noProof/>
        </w:rPr>
        <w:t>324</w:t>
      </w:r>
      <w:r>
        <w:rPr>
          <w:noProof/>
        </w:rPr>
        <w:fldChar w:fldCharType="end"/>
      </w:r>
    </w:p>
    <w:p w14:paraId="03C284C5" w14:textId="65202471" w:rsidR="003F6EFC" w:rsidRDefault="003F6EFC">
      <w:pPr>
        <w:pStyle w:val="TOC4"/>
        <w:rPr>
          <w:rFonts w:asciiTheme="minorHAnsi" w:eastAsiaTheme="minorEastAsia" w:hAnsiTheme="minorHAnsi" w:cstheme="minorBidi"/>
          <w:noProof/>
          <w:kern w:val="2"/>
          <w:sz w:val="21"/>
          <w:szCs w:val="22"/>
          <w:lang w:val="en-US" w:eastAsia="zh-CN"/>
        </w:rPr>
      </w:pPr>
      <w:r>
        <w:rPr>
          <w:noProof/>
        </w:rPr>
        <w:t>5.3.7.1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_Toc199453160 \h </w:instrText>
      </w:r>
      <w:r>
        <w:rPr>
          <w:noProof/>
        </w:rPr>
      </w:r>
      <w:r>
        <w:rPr>
          <w:noProof/>
        </w:rPr>
        <w:fldChar w:fldCharType="separate"/>
      </w:r>
      <w:r>
        <w:rPr>
          <w:noProof/>
        </w:rPr>
        <w:t>324</w:t>
      </w:r>
      <w:r>
        <w:rPr>
          <w:noProof/>
        </w:rPr>
        <w:fldChar w:fldCharType="end"/>
      </w:r>
    </w:p>
    <w:p w14:paraId="586C3DFA" w14:textId="62790D88" w:rsidR="003F6EFC" w:rsidRDefault="003F6EFC">
      <w:pPr>
        <w:pStyle w:val="TOC4"/>
        <w:rPr>
          <w:rFonts w:asciiTheme="minorHAnsi" w:eastAsiaTheme="minorEastAsia" w:hAnsiTheme="minorHAnsi" w:cstheme="minorBidi"/>
          <w:noProof/>
          <w:kern w:val="2"/>
          <w:sz w:val="21"/>
          <w:szCs w:val="22"/>
          <w:lang w:val="en-US" w:eastAsia="zh-CN"/>
        </w:rPr>
      </w:pPr>
      <w:r>
        <w:rPr>
          <w:noProof/>
        </w:rPr>
        <w:t>5.3.7.2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_Toc199453161 \h </w:instrText>
      </w:r>
      <w:r>
        <w:rPr>
          <w:noProof/>
        </w:rPr>
      </w:r>
      <w:r>
        <w:rPr>
          <w:noProof/>
        </w:rPr>
        <w:fldChar w:fldCharType="separate"/>
      </w:r>
      <w:r>
        <w:rPr>
          <w:noProof/>
        </w:rPr>
        <w:t>324</w:t>
      </w:r>
      <w:r>
        <w:rPr>
          <w:noProof/>
        </w:rPr>
        <w:fldChar w:fldCharType="end"/>
      </w:r>
    </w:p>
    <w:p w14:paraId="4B927371" w14:textId="6CF56C82" w:rsidR="003F6EFC" w:rsidRDefault="003F6EFC">
      <w:pPr>
        <w:pStyle w:val="TOC4"/>
        <w:rPr>
          <w:rFonts w:asciiTheme="minorHAnsi" w:eastAsiaTheme="minorEastAsia" w:hAnsiTheme="minorHAnsi" w:cstheme="minorBidi"/>
          <w:noProof/>
          <w:kern w:val="2"/>
          <w:sz w:val="21"/>
          <w:szCs w:val="22"/>
          <w:lang w:val="en-US" w:eastAsia="zh-CN"/>
        </w:rPr>
      </w:pPr>
      <w:r>
        <w:rPr>
          <w:noProof/>
        </w:rPr>
        <w:t>5.3.7.3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_Toc199453162 \h </w:instrText>
      </w:r>
      <w:r>
        <w:rPr>
          <w:noProof/>
        </w:rPr>
      </w:r>
      <w:r>
        <w:rPr>
          <w:noProof/>
        </w:rPr>
        <w:fldChar w:fldCharType="separate"/>
      </w:r>
      <w:r>
        <w:rPr>
          <w:noProof/>
        </w:rPr>
        <w:t>324</w:t>
      </w:r>
      <w:r>
        <w:rPr>
          <w:noProof/>
        </w:rPr>
        <w:fldChar w:fldCharType="end"/>
      </w:r>
    </w:p>
    <w:p w14:paraId="4C6384CD" w14:textId="53A33EB6"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_Toc199453163 \h </w:instrText>
      </w:r>
      <w:r>
        <w:rPr>
          <w:noProof/>
        </w:rPr>
      </w:r>
      <w:r>
        <w:rPr>
          <w:noProof/>
        </w:rPr>
        <w:fldChar w:fldCharType="separate"/>
      </w:r>
      <w:r>
        <w:rPr>
          <w:noProof/>
        </w:rPr>
        <w:t>325</w:t>
      </w:r>
      <w:r>
        <w:rPr>
          <w:noProof/>
        </w:rPr>
        <w:fldChar w:fldCharType="end"/>
      </w:r>
    </w:p>
    <w:p w14:paraId="20EA82A4" w14:textId="17B23FE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5.3.9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_Toc199453164 \h </w:instrText>
      </w:r>
      <w:r>
        <w:rPr>
          <w:noProof/>
        </w:rPr>
      </w:r>
      <w:r>
        <w:rPr>
          <w:noProof/>
        </w:rPr>
        <w:fldChar w:fldCharType="separate"/>
      </w:r>
      <w:r>
        <w:rPr>
          <w:noProof/>
        </w:rPr>
        <w:t>325</w:t>
      </w:r>
      <w:r>
        <w:rPr>
          <w:noProof/>
        </w:rPr>
        <w:fldChar w:fldCharType="end"/>
      </w:r>
    </w:p>
    <w:p w14:paraId="5FA2A312" w14:textId="376AF362"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5.4</w:t>
      </w:r>
      <w:r>
        <w:rPr>
          <w:rFonts w:asciiTheme="minorHAnsi" w:eastAsiaTheme="minorEastAsia" w:hAnsiTheme="minorHAnsi" w:cstheme="minorBidi"/>
          <w:noProof/>
          <w:kern w:val="2"/>
          <w:sz w:val="21"/>
          <w:szCs w:val="22"/>
          <w:lang w:val="en-US" w:eastAsia="zh-CN"/>
        </w:rPr>
        <w:tab/>
      </w:r>
      <w:r>
        <w:rPr>
          <w:noProof/>
          <w:lang w:eastAsia="ja-JP"/>
        </w:rPr>
        <w:t>Nnwdaf_MLModelProvision</w:t>
      </w:r>
      <w:r>
        <w:rPr>
          <w:noProof/>
        </w:rPr>
        <w:t xml:space="preserve"> Service API</w:t>
      </w:r>
      <w:r>
        <w:rPr>
          <w:noProof/>
        </w:rPr>
        <w:tab/>
      </w:r>
      <w:r>
        <w:rPr>
          <w:noProof/>
        </w:rPr>
        <w:fldChar w:fldCharType="begin"/>
      </w:r>
      <w:r>
        <w:rPr>
          <w:noProof/>
        </w:rPr>
        <w:instrText xml:space="preserve"> PAGEREF _Toc199453165 \h </w:instrText>
      </w:r>
      <w:r>
        <w:rPr>
          <w:noProof/>
        </w:rPr>
      </w:r>
      <w:r>
        <w:rPr>
          <w:noProof/>
        </w:rPr>
        <w:fldChar w:fldCharType="separate"/>
      </w:r>
      <w:r>
        <w:rPr>
          <w:noProof/>
        </w:rPr>
        <w:t>325</w:t>
      </w:r>
      <w:r>
        <w:rPr>
          <w:noProof/>
        </w:rPr>
        <w:fldChar w:fldCharType="end"/>
      </w:r>
    </w:p>
    <w:p w14:paraId="7D56CD0A" w14:textId="7FC278B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_Toc199453166 \h </w:instrText>
      </w:r>
      <w:r>
        <w:rPr>
          <w:noProof/>
        </w:rPr>
      </w:r>
      <w:r>
        <w:rPr>
          <w:noProof/>
        </w:rPr>
        <w:fldChar w:fldCharType="separate"/>
      </w:r>
      <w:r>
        <w:rPr>
          <w:noProof/>
        </w:rPr>
        <w:t>325</w:t>
      </w:r>
      <w:r>
        <w:rPr>
          <w:noProof/>
        </w:rPr>
        <w:fldChar w:fldCharType="end"/>
      </w:r>
    </w:p>
    <w:p w14:paraId="0605013B" w14:textId="021A46D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_Toc199453167 \h </w:instrText>
      </w:r>
      <w:r>
        <w:rPr>
          <w:noProof/>
        </w:rPr>
      </w:r>
      <w:r>
        <w:rPr>
          <w:noProof/>
        </w:rPr>
        <w:fldChar w:fldCharType="separate"/>
      </w:r>
      <w:r>
        <w:rPr>
          <w:noProof/>
        </w:rPr>
        <w:t>326</w:t>
      </w:r>
      <w:r>
        <w:rPr>
          <w:noProof/>
        </w:rPr>
        <w:fldChar w:fldCharType="end"/>
      </w:r>
    </w:p>
    <w:p w14:paraId="090CED02" w14:textId="19CB05D1" w:rsidR="003F6EFC" w:rsidRDefault="003F6EFC">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_Toc199453168 \h </w:instrText>
      </w:r>
      <w:r>
        <w:rPr>
          <w:noProof/>
        </w:rPr>
      </w:r>
      <w:r>
        <w:rPr>
          <w:noProof/>
        </w:rPr>
        <w:fldChar w:fldCharType="separate"/>
      </w:r>
      <w:r>
        <w:rPr>
          <w:noProof/>
        </w:rPr>
        <w:t>326</w:t>
      </w:r>
      <w:r>
        <w:rPr>
          <w:noProof/>
        </w:rPr>
        <w:fldChar w:fldCharType="end"/>
      </w:r>
    </w:p>
    <w:p w14:paraId="4FED1E86" w14:textId="61ABAB2A" w:rsidR="003F6EFC" w:rsidRDefault="003F6EFC">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_Toc199453169 \h </w:instrText>
      </w:r>
      <w:r>
        <w:rPr>
          <w:noProof/>
        </w:rPr>
      </w:r>
      <w:r>
        <w:rPr>
          <w:noProof/>
        </w:rPr>
        <w:fldChar w:fldCharType="separate"/>
      </w:r>
      <w:r>
        <w:rPr>
          <w:noProof/>
        </w:rPr>
        <w:t>326</w:t>
      </w:r>
      <w:r>
        <w:rPr>
          <w:noProof/>
        </w:rPr>
        <w:fldChar w:fldCharType="end"/>
      </w:r>
    </w:p>
    <w:p w14:paraId="56B8C861" w14:textId="1E94B27E" w:rsidR="003F6EFC" w:rsidRDefault="003F6EFC">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_Toc199453170 \h </w:instrText>
      </w:r>
      <w:r>
        <w:rPr>
          <w:noProof/>
        </w:rPr>
      </w:r>
      <w:r>
        <w:rPr>
          <w:noProof/>
        </w:rPr>
        <w:fldChar w:fldCharType="separate"/>
      </w:r>
      <w:r>
        <w:rPr>
          <w:noProof/>
        </w:rPr>
        <w:t>326</w:t>
      </w:r>
      <w:r>
        <w:rPr>
          <w:noProof/>
        </w:rPr>
        <w:fldChar w:fldCharType="end"/>
      </w:r>
    </w:p>
    <w:p w14:paraId="09EC18F1" w14:textId="108E7605" w:rsidR="003F6EFC" w:rsidRDefault="003F6EFC">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_Toc199453171 \h </w:instrText>
      </w:r>
      <w:r>
        <w:rPr>
          <w:noProof/>
        </w:rPr>
      </w:r>
      <w:r>
        <w:rPr>
          <w:noProof/>
        </w:rPr>
        <w:fldChar w:fldCharType="separate"/>
      </w:r>
      <w:r>
        <w:rPr>
          <w:noProof/>
        </w:rPr>
        <w:t>326</w:t>
      </w:r>
      <w:r>
        <w:rPr>
          <w:noProof/>
        </w:rPr>
        <w:fldChar w:fldCharType="end"/>
      </w:r>
    </w:p>
    <w:p w14:paraId="41859803" w14:textId="139C8217" w:rsidR="003F6EFC" w:rsidRDefault="003F6EFC">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_Toc199453172 \h </w:instrText>
      </w:r>
      <w:r>
        <w:rPr>
          <w:noProof/>
        </w:rPr>
      </w:r>
      <w:r>
        <w:rPr>
          <w:noProof/>
        </w:rPr>
        <w:fldChar w:fldCharType="separate"/>
      </w:r>
      <w:r>
        <w:rPr>
          <w:noProof/>
        </w:rPr>
        <w:t>326</w:t>
      </w:r>
      <w:r>
        <w:rPr>
          <w:noProof/>
        </w:rPr>
        <w:fldChar w:fldCharType="end"/>
      </w:r>
    </w:p>
    <w:p w14:paraId="3D25895A" w14:textId="040B82B9" w:rsidR="003F6EFC" w:rsidRDefault="003F6EFC">
      <w:pPr>
        <w:pStyle w:val="TOC3"/>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_Toc199453173 \h </w:instrText>
      </w:r>
      <w:r>
        <w:rPr>
          <w:noProof/>
        </w:rPr>
      </w:r>
      <w:r>
        <w:rPr>
          <w:noProof/>
        </w:rPr>
        <w:fldChar w:fldCharType="separate"/>
      </w:r>
      <w:r>
        <w:rPr>
          <w:noProof/>
        </w:rPr>
        <w:t>326</w:t>
      </w:r>
      <w:r>
        <w:rPr>
          <w:noProof/>
        </w:rPr>
        <w:fldChar w:fldCharType="end"/>
      </w:r>
    </w:p>
    <w:p w14:paraId="64130880" w14:textId="69637B32" w:rsidR="003F6EFC" w:rsidRDefault="003F6EFC">
      <w:pPr>
        <w:pStyle w:val="TOC4"/>
        <w:rPr>
          <w:rFonts w:asciiTheme="minorHAnsi" w:eastAsiaTheme="minorEastAsia" w:hAnsiTheme="minorHAnsi" w:cstheme="minorBidi"/>
          <w:noProof/>
          <w:kern w:val="2"/>
          <w:sz w:val="21"/>
          <w:szCs w:val="22"/>
          <w:lang w:val="en-US" w:eastAsia="zh-CN"/>
        </w:rPr>
      </w:pPr>
      <w:r>
        <w:rPr>
          <w:noProof/>
        </w:rPr>
        <w:t>5.4.3.1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_Toc199453174 \h </w:instrText>
      </w:r>
      <w:r>
        <w:rPr>
          <w:noProof/>
        </w:rPr>
      </w:r>
      <w:r>
        <w:rPr>
          <w:noProof/>
        </w:rPr>
        <w:fldChar w:fldCharType="separate"/>
      </w:r>
      <w:r>
        <w:rPr>
          <w:noProof/>
        </w:rPr>
        <w:t>326</w:t>
      </w:r>
      <w:r>
        <w:rPr>
          <w:noProof/>
        </w:rPr>
        <w:fldChar w:fldCharType="end"/>
      </w:r>
    </w:p>
    <w:p w14:paraId="493A094A" w14:textId="27E1C03E" w:rsidR="003F6EFC" w:rsidRDefault="003F6EFC">
      <w:pPr>
        <w:pStyle w:val="TOC4"/>
        <w:rPr>
          <w:rFonts w:asciiTheme="minorHAnsi" w:eastAsiaTheme="minorEastAsia" w:hAnsiTheme="minorHAnsi" w:cstheme="minorBidi"/>
          <w:noProof/>
          <w:kern w:val="2"/>
          <w:sz w:val="21"/>
          <w:szCs w:val="22"/>
          <w:lang w:val="en-US" w:eastAsia="zh-CN"/>
        </w:rPr>
      </w:pPr>
      <w:r>
        <w:rPr>
          <w:noProof/>
        </w:rPr>
        <w:t>5.4.3.2</w:t>
      </w:r>
      <w:r>
        <w:rPr>
          <w:rFonts w:asciiTheme="minorHAnsi" w:eastAsiaTheme="minorEastAsia" w:hAnsiTheme="minorHAnsi" w:cstheme="minorBidi"/>
          <w:noProof/>
          <w:kern w:val="2"/>
          <w:sz w:val="21"/>
          <w:szCs w:val="22"/>
          <w:lang w:val="en-US" w:eastAsia="zh-CN"/>
        </w:rPr>
        <w:tab/>
      </w:r>
      <w:r>
        <w:rPr>
          <w:noProof/>
        </w:rPr>
        <w:t>Resource: NWDAF ML Model Provision Subscriptions</w:t>
      </w:r>
      <w:r>
        <w:rPr>
          <w:noProof/>
        </w:rPr>
        <w:tab/>
      </w:r>
      <w:r>
        <w:rPr>
          <w:noProof/>
        </w:rPr>
        <w:fldChar w:fldCharType="begin"/>
      </w:r>
      <w:r>
        <w:rPr>
          <w:noProof/>
        </w:rPr>
        <w:instrText xml:space="preserve"> PAGEREF _Toc199453175 \h </w:instrText>
      </w:r>
      <w:r>
        <w:rPr>
          <w:noProof/>
        </w:rPr>
      </w:r>
      <w:r>
        <w:rPr>
          <w:noProof/>
        </w:rPr>
        <w:fldChar w:fldCharType="separate"/>
      </w:r>
      <w:r>
        <w:rPr>
          <w:noProof/>
        </w:rPr>
        <w:t>327</w:t>
      </w:r>
      <w:r>
        <w:rPr>
          <w:noProof/>
        </w:rPr>
        <w:fldChar w:fldCharType="end"/>
      </w:r>
    </w:p>
    <w:p w14:paraId="52834036" w14:textId="39FBB888" w:rsidR="003F6EFC" w:rsidRDefault="003F6EFC">
      <w:pPr>
        <w:pStyle w:val="TOC5"/>
        <w:rPr>
          <w:rFonts w:asciiTheme="minorHAnsi" w:eastAsiaTheme="minorEastAsia" w:hAnsiTheme="minorHAnsi" w:cstheme="minorBidi"/>
          <w:noProof/>
          <w:kern w:val="2"/>
          <w:sz w:val="21"/>
          <w:szCs w:val="22"/>
          <w:lang w:val="en-US" w:eastAsia="zh-CN"/>
        </w:rPr>
      </w:pPr>
      <w:r>
        <w:rPr>
          <w:noProof/>
        </w:rPr>
        <w:t>5.4.3.2.1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_Toc199453176 \h </w:instrText>
      </w:r>
      <w:r>
        <w:rPr>
          <w:noProof/>
        </w:rPr>
      </w:r>
      <w:r>
        <w:rPr>
          <w:noProof/>
        </w:rPr>
        <w:fldChar w:fldCharType="separate"/>
      </w:r>
      <w:r>
        <w:rPr>
          <w:noProof/>
        </w:rPr>
        <w:t>327</w:t>
      </w:r>
      <w:r>
        <w:rPr>
          <w:noProof/>
        </w:rPr>
        <w:fldChar w:fldCharType="end"/>
      </w:r>
    </w:p>
    <w:p w14:paraId="104339C7" w14:textId="21BD6D79" w:rsidR="003F6EFC" w:rsidRDefault="003F6EFC">
      <w:pPr>
        <w:pStyle w:val="TOC5"/>
        <w:rPr>
          <w:rFonts w:asciiTheme="minorHAnsi" w:eastAsiaTheme="minorEastAsia" w:hAnsiTheme="minorHAnsi" w:cstheme="minorBidi"/>
          <w:noProof/>
          <w:kern w:val="2"/>
          <w:sz w:val="21"/>
          <w:szCs w:val="22"/>
          <w:lang w:val="en-US" w:eastAsia="zh-CN"/>
        </w:rPr>
      </w:pPr>
      <w:r>
        <w:rPr>
          <w:noProof/>
        </w:rPr>
        <w:t>5.4.3.2.2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_Toc199453177 \h </w:instrText>
      </w:r>
      <w:r>
        <w:rPr>
          <w:noProof/>
        </w:rPr>
      </w:r>
      <w:r>
        <w:rPr>
          <w:noProof/>
        </w:rPr>
        <w:fldChar w:fldCharType="separate"/>
      </w:r>
      <w:r>
        <w:rPr>
          <w:noProof/>
        </w:rPr>
        <w:t>327</w:t>
      </w:r>
      <w:r>
        <w:rPr>
          <w:noProof/>
        </w:rPr>
        <w:fldChar w:fldCharType="end"/>
      </w:r>
    </w:p>
    <w:p w14:paraId="7E0C38D1" w14:textId="63DC95AE" w:rsidR="003F6EFC" w:rsidRDefault="003F6EFC">
      <w:pPr>
        <w:pStyle w:val="TOC5"/>
        <w:rPr>
          <w:rFonts w:asciiTheme="minorHAnsi" w:eastAsiaTheme="minorEastAsia" w:hAnsiTheme="minorHAnsi" w:cstheme="minorBidi"/>
          <w:noProof/>
          <w:kern w:val="2"/>
          <w:sz w:val="21"/>
          <w:szCs w:val="22"/>
          <w:lang w:val="en-US" w:eastAsia="zh-CN"/>
        </w:rPr>
      </w:pPr>
      <w:r>
        <w:rPr>
          <w:noProof/>
        </w:rPr>
        <w:t>5.4.3.2.3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_Toc199453178 \h </w:instrText>
      </w:r>
      <w:r>
        <w:rPr>
          <w:noProof/>
        </w:rPr>
      </w:r>
      <w:r>
        <w:rPr>
          <w:noProof/>
        </w:rPr>
        <w:fldChar w:fldCharType="separate"/>
      </w:r>
      <w:r>
        <w:rPr>
          <w:noProof/>
        </w:rPr>
        <w:t>327</w:t>
      </w:r>
      <w:r>
        <w:rPr>
          <w:noProof/>
        </w:rPr>
        <w:fldChar w:fldCharType="end"/>
      </w:r>
    </w:p>
    <w:p w14:paraId="35ECAC9A" w14:textId="63A46BC0" w:rsidR="003F6EFC" w:rsidRDefault="003F6EFC">
      <w:pPr>
        <w:pStyle w:val="TOC6"/>
        <w:rPr>
          <w:rFonts w:asciiTheme="minorHAnsi" w:eastAsiaTheme="minorEastAsia" w:hAnsiTheme="minorHAnsi" w:cstheme="minorBidi"/>
          <w:noProof/>
          <w:kern w:val="2"/>
          <w:sz w:val="21"/>
          <w:szCs w:val="22"/>
          <w:lang w:val="en-US" w:eastAsia="zh-CN"/>
        </w:rPr>
      </w:pPr>
      <w:r>
        <w:rPr>
          <w:noProof/>
        </w:rPr>
        <w:t>5.4.3.2.3.1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_Toc199453179 \h </w:instrText>
      </w:r>
      <w:r>
        <w:rPr>
          <w:noProof/>
        </w:rPr>
      </w:r>
      <w:r>
        <w:rPr>
          <w:noProof/>
        </w:rPr>
        <w:fldChar w:fldCharType="separate"/>
      </w:r>
      <w:r>
        <w:rPr>
          <w:noProof/>
        </w:rPr>
        <w:t>327</w:t>
      </w:r>
      <w:r>
        <w:rPr>
          <w:noProof/>
        </w:rPr>
        <w:fldChar w:fldCharType="end"/>
      </w:r>
    </w:p>
    <w:p w14:paraId="53A66164" w14:textId="3E1E4BC2" w:rsidR="003F6EFC" w:rsidRDefault="003F6EFC">
      <w:pPr>
        <w:pStyle w:val="TOC5"/>
        <w:rPr>
          <w:rFonts w:asciiTheme="minorHAnsi" w:eastAsiaTheme="minorEastAsia" w:hAnsiTheme="minorHAnsi" w:cstheme="minorBidi"/>
          <w:noProof/>
          <w:kern w:val="2"/>
          <w:sz w:val="21"/>
          <w:szCs w:val="22"/>
          <w:lang w:val="en-US" w:eastAsia="zh-CN"/>
        </w:rPr>
      </w:pPr>
      <w:r>
        <w:rPr>
          <w:noProof/>
        </w:rPr>
        <w:t>5.4.3.2.4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_Toc199453180 \h </w:instrText>
      </w:r>
      <w:r>
        <w:rPr>
          <w:noProof/>
        </w:rPr>
      </w:r>
      <w:r>
        <w:rPr>
          <w:noProof/>
        </w:rPr>
        <w:fldChar w:fldCharType="separate"/>
      </w:r>
      <w:r>
        <w:rPr>
          <w:noProof/>
        </w:rPr>
        <w:t>328</w:t>
      </w:r>
      <w:r>
        <w:rPr>
          <w:noProof/>
        </w:rPr>
        <w:fldChar w:fldCharType="end"/>
      </w:r>
    </w:p>
    <w:p w14:paraId="30F3242D" w14:textId="015143FF" w:rsidR="003F6EFC" w:rsidRDefault="003F6EFC">
      <w:pPr>
        <w:pStyle w:val="TOC4"/>
        <w:rPr>
          <w:rFonts w:asciiTheme="minorHAnsi" w:eastAsiaTheme="minorEastAsia" w:hAnsiTheme="minorHAnsi" w:cstheme="minorBidi"/>
          <w:noProof/>
          <w:kern w:val="2"/>
          <w:sz w:val="21"/>
          <w:szCs w:val="22"/>
          <w:lang w:val="en-US" w:eastAsia="zh-CN"/>
        </w:rPr>
      </w:pPr>
      <w:r>
        <w:rPr>
          <w:noProof/>
        </w:rPr>
        <w:t>5.4.3.3</w:t>
      </w:r>
      <w:r>
        <w:rPr>
          <w:rFonts w:asciiTheme="minorHAnsi" w:eastAsiaTheme="minorEastAsia" w:hAnsiTheme="minorHAnsi" w:cstheme="minorBidi"/>
          <w:noProof/>
          <w:kern w:val="2"/>
          <w:sz w:val="21"/>
          <w:szCs w:val="22"/>
          <w:lang w:val="en-US" w:eastAsia="zh-CN"/>
        </w:rPr>
        <w:tab/>
      </w:r>
      <w:r>
        <w:rPr>
          <w:noProof/>
        </w:rPr>
        <w:t>Resource: Individual NWDAF ML Model Provision Subscription</w:t>
      </w:r>
      <w:r>
        <w:rPr>
          <w:noProof/>
        </w:rPr>
        <w:tab/>
      </w:r>
      <w:r>
        <w:rPr>
          <w:noProof/>
        </w:rPr>
        <w:fldChar w:fldCharType="begin"/>
      </w:r>
      <w:r>
        <w:rPr>
          <w:noProof/>
        </w:rPr>
        <w:instrText xml:space="preserve"> PAGEREF _Toc199453181 \h </w:instrText>
      </w:r>
      <w:r>
        <w:rPr>
          <w:noProof/>
        </w:rPr>
      </w:r>
      <w:r>
        <w:rPr>
          <w:noProof/>
        </w:rPr>
        <w:fldChar w:fldCharType="separate"/>
      </w:r>
      <w:r>
        <w:rPr>
          <w:noProof/>
        </w:rPr>
        <w:t>328</w:t>
      </w:r>
      <w:r>
        <w:rPr>
          <w:noProof/>
        </w:rPr>
        <w:fldChar w:fldCharType="end"/>
      </w:r>
    </w:p>
    <w:p w14:paraId="7ABFACEF" w14:textId="6D2CC1AE" w:rsidR="003F6EFC" w:rsidRDefault="003F6EFC">
      <w:pPr>
        <w:pStyle w:val="TOC5"/>
        <w:rPr>
          <w:rFonts w:asciiTheme="minorHAnsi" w:eastAsiaTheme="minorEastAsia" w:hAnsiTheme="minorHAnsi" w:cstheme="minorBidi"/>
          <w:noProof/>
          <w:kern w:val="2"/>
          <w:sz w:val="21"/>
          <w:szCs w:val="22"/>
          <w:lang w:val="en-US" w:eastAsia="zh-CN"/>
        </w:rPr>
      </w:pPr>
      <w:r>
        <w:rPr>
          <w:noProof/>
        </w:rPr>
        <w:t>5.4.3.3.1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_Toc199453182 \h </w:instrText>
      </w:r>
      <w:r>
        <w:rPr>
          <w:noProof/>
        </w:rPr>
      </w:r>
      <w:r>
        <w:rPr>
          <w:noProof/>
        </w:rPr>
        <w:fldChar w:fldCharType="separate"/>
      </w:r>
      <w:r>
        <w:rPr>
          <w:noProof/>
        </w:rPr>
        <w:t>328</w:t>
      </w:r>
      <w:r>
        <w:rPr>
          <w:noProof/>
        </w:rPr>
        <w:fldChar w:fldCharType="end"/>
      </w:r>
    </w:p>
    <w:p w14:paraId="265A3DD1" w14:textId="73DF9542" w:rsidR="003F6EFC" w:rsidRDefault="003F6EFC">
      <w:pPr>
        <w:pStyle w:val="TOC5"/>
        <w:rPr>
          <w:rFonts w:asciiTheme="minorHAnsi" w:eastAsiaTheme="minorEastAsia" w:hAnsiTheme="minorHAnsi" w:cstheme="minorBidi"/>
          <w:noProof/>
          <w:kern w:val="2"/>
          <w:sz w:val="21"/>
          <w:szCs w:val="22"/>
          <w:lang w:val="en-US" w:eastAsia="zh-CN"/>
        </w:rPr>
      </w:pPr>
      <w:r>
        <w:rPr>
          <w:noProof/>
        </w:rPr>
        <w:t>5.4.3.3.2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_Toc199453183 \h </w:instrText>
      </w:r>
      <w:r>
        <w:rPr>
          <w:noProof/>
        </w:rPr>
      </w:r>
      <w:r>
        <w:rPr>
          <w:noProof/>
        </w:rPr>
        <w:fldChar w:fldCharType="separate"/>
      </w:r>
      <w:r>
        <w:rPr>
          <w:noProof/>
        </w:rPr>
        <w:t>328</w:t>
      </w:r>
      <w:r>
        <w:rPr>
          <w:noProof/>
        </w:rPr>
        <w:fldChar w:fldCharType="end"/>
      </w:r>
    </w:p>
    <w:p w14:paraId="6F025177" w14:textId="2BFF7AF1" w:rsidR="003F6EFC" w:rsidRDefault="003F6EFC">
      <w:pPr>
        <w:pStyle w:val="TOC5"/>
        <w:rPr>
          <w:rFonts w:asciiTheme="minorHAnsi" w:eastAsiaTheme="minorEastAsia" w:hAnsiTheme="minorHAnsi" w:cstheme="minorBidi"/>
          <w:noProof/>
          <w:kern w:val="2"/>
          <w:sz w:val="21"/>
          <w:szCs w:val="22"/>
          <w:lang w:val="en-US" w:eastAsia="zh-CN"/>
        </w:rPr>
      </w:pPr>
      <w:r>
        <w:rPr>
          <w:noProof/>
        </w:rPr>
        <w:t>5.4.3.3.3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_Toc199453184 \h </w:instrText>
      </w:r>
      <w:r>
        <w:rPr>
          <w:noProof/>
        </w:rPr>
      </w:r>
      <w:r>
        <w:rPr>
          <w:noProof/>
        </w:rPr>
        <w:fldChar w:fldCharType="separate"/>
      </w:r>
      <w:r>
        <w:rPr>
          <w:noProof/>
        </w:rPr>
        <w:t>328</w:t>
      </w:r>
      <w:r>
        <w:rPr>
          <w:noProof/>
        </w:rPr>
        <w:fldChar w:fldCharType="end"/>
      </w:r>
    </w:p>
    <w:p w14:paraId="46FC3A91" w14:textId="028666D4" w:rsidR="003F6EFC" w:rsidRDefault="003F6EFC">
      <w:pPr>
        <w:pStyle w:val="TOC6"/>
        <w:rPr>
          <w:rFonts w:asciiTheme="minorHAnsi" w:eastAsiaTheme="minorEastAsia" w:hAnsiTheme="minorHAnsi" w:cstheme="minorBidi"/>
          <w:noProof/>
          <w:kern w:val="2"/>
          <w:sz w:val="21"/>
          <w:szCs w:val="22"/>
          <w:lang w:val="en-US" w:eastAsia="zh-CN"/>
        </w:rPr>
      </w:pPr>
      <w:r>
        <w:rPr>
          <w:noProof/>
        </w:rPr>
        <w:t>5.4.3.3.3.1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_Toc199453185 \h </w:instrText>
      </w:r>
      <w:r>
        <w:rPr>
          <w:noProof/>
        </w:rPr>
      </w:r>
      <w:r>
        <w:rPr>
          <w:noProof/>
        </w:rPr>
        <w:fldChar w:fldCharType="separate"/>
      </w:r>
      <w:r>
        <w:rPr>
          <w:noProof/>
        </w:rPr>
        <w:t>328</w:t>
      </w:r>
      <w:r>
        <w:rPr>
          <w:noProof/>
        </w:rPr>
        <w:fldChar w:fldCharType="end"/>
      </w:r>
    </w:p>
    <w:p w14:paraId="555F9BB9" w14:textId="341FEA72" w:rsidR="003F6EFC" w:rsidRDefault="003F6EFC">
      <w:pPr>
        <w:pStyle w:val="TOC6"/>
        <w:rPr>
          <w:rFonts w:asciiTheme="minorHAnsi" w:eastAsiaTheme="minorEastAsia" w:hAnsiTheme="minorHAnsi" w:cstheme="minorBidi"/>
          <w:noProof/>
          <w:kern w:val="2"/>
          <w:sz w:val="21"/>
          <w:szCs w:val="22"/>
          <w:lang w:val="en-US" w:eastAsia="zh-CN"/>
        </w:rPr>
      </w:pPr>
      <w:r>
        <w:rPr>
          <w:noProof/>
        </w:rPr>
        <w:t>5.4.3.3.3.2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_Toc199453186 \h </w:instrText>
      </w:r>
      <w:r>
        <w:rPr>
          <w:noProof/>
        </w:rPr>
      </w:r>
      <w:r>
        <w:rPr>
          <w:noProof/>
        </w:rPr>
        <w:fldChar w:fldCharType="separate"/>
      </w:r>
      <w:r>
        <w:rPr>
          <w:noProof/>
        </w:rPr>
        <w:t>330</w:t>
      </w:r>
      <w:r>
        <w:rPr>
          <w:noProof/>
        </w:rPr>
        <w:fldChar w:fldCharType="end"/>
      </w:r>
    </w:p>
    <w:p w14:paraId="4FE5FA3F" w14:textId="1B1189BC" w:rsidR="003F6EFC" w:rsidRDefault="003F6EFC">
      <w:pPr>
        <w:pStyle w:val="TOC5"/>
        <w:rPr>
          <w:rFonts w:asciiTheme="minorHAnsi" w:eastAsiaTheme="minorEastAsia" w:hAnsiTheme="minorHAnsi" w:cstheme="minorBidi"/>
          <w:noProof/>
          <w:kern w:val="2"/>
          <w:sz w:val="21"/>
          <w:szCs w:val="22"/>
          <w:lang w:val="en-US" w:eastAsia="zh-CN"/>
        </w:rPr>
      </w:pPr>
      <w:r>
        <w:rPr>
          <w:noProof/>
        </w:rPr>
        <w:t>5.4.3.3.4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_Toc199453187 \h </w:instrText>
      </w:r>
      <w:r>
        <w:rPr>
          <w:noProof/>
        </w:rPr>
      </w:r>
      <w:r>
        <w:rPr>
          <w:noProof/>
        </w:rPr>
        <w:fldChar w:fldCharType="separate"/>
      </w:r>
      <w:r>
        <w:rPr>
          <w:noProof/>
        </w:rPr>
        <w:t>331</w:t>
      </w:r>
      <w:r>
        <w:rPr>
          <w:noProof/>
        </w:rPr>
        <w:fldChar w:fldCharType="end"/>
      </w:r>
    </w:p>
    <w:p w14:paraId="44BE2E42" w14:textId="6DA24436"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_Toc199453188 \h </w:instrText>
      </w:r>
      <w:r>
        <w:rPr>
          <w:noProof/>
        </w:rPr>
      </w:r>
      <w:r>
        <w:rPr>
          <w:noProof/>
        </w:rPr>
        <w:fldChar w:fldCharType="separate"/>
      </w:r>
      <w:r>
        <w:rPr>
          <w:noProof/>
        </w:rPr>
        <w:t>331</w:t>
      </w:r>
      <w:r>
        <w:rPr>
          <w:noProof/>
        </w:rPr>
        <w:fldChar w:fldCharType="end"/>
      </w:r>
    </w:p>
    <w:p w14:paraId="4F017EFB" w14:textId="3ACAD4D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_Toc199453189 \h </w:instrText>
      </w:r>
      <w:r>
        <w:rPr>
          <w:noProof/>
        </w:rPr>
      </w:r>
      <w:r>
        <w:rPr>
          <w:noProof/>
        </w:rPr>
        <w:fldChar w:fldCharType="separate"/>
      </w:r>
      <w:r>
        <w:rPr>
          <w:noProof/>
        </w:rPr>
        <w:t>331</w:t>
      </w:r>
      <w:r>
        <w:rPr>
          <w:noProof/>
        </w:rPr>
        <w:fldChar w:fldCharType="end"/>
      </w:r>
    </w:p>
    <w:p w14:paraId="07713755" w14:textId="2CA5D3E7" w:rsidR="003F6EFC" w:rsidRDefault="003F6EFC">
      <w:pPr>
        <w:pStyle w:val="TOC4"/>
        <w:rPr>
          <w:rFonts w:asciiTheme="minorHAnsi" w:eastAsiaTheme="minorEastAsia" w:hAnsiTheme="minorHAnsi" w:cstheme="minorBidi"/>
          <w:noProof/>
          <w:kern w:val="2"/>
          <w:sz w:val="21"/>
          <w:szCs w:val="22"/>
          <w:lang w:val="en-US" w:eastAsia="zh-CN"/>
        </w:rPr>
      </w:pPr>
      <w:r>
        <w:rPr>
          <w:noProof/>
        </w:rPr>
        <w:t>5.4.5.1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_Toc199453190 \h </w:instrText>
      </w:r>
      <w:r>
        <w:rPr>
          <w:noProof/>
        </w:rPr>
      </w:r>
      <w:r>
        <w:rPr>
          <w:noProof/>
        </w:rPr>
        <w:fldChar w:fldCharType="separate"/>
      </w:r>
      <w:r>
        <w:rPr>
          <w:noProof/>
        </w:rPr>
        <w:t>331</w:t>
      </w:r>
      <w:r>
        <w:rPr>
          <w:noProof/>
        </w:rPr>
        <w:fldChar w:fldCharType="end"/>
      </w:r>
    </w:p>
    <w:p w14:paraId="1D646AAF" w14:textId="54025288" w:rsidR="003F6EFC" w:rsidRDefault="003F6EFC">
      <w:pPr>
        <w:pStyle w:val="TOC4"/>
        <w:rPr>
          <w:rFonts w:asciiTheme="minorHAnsi" w:eastAsiaTheme="minorEastAsia" w:hAnsiTheme="minorHAnsi" w:cstheme="minorBidi"/>
          <w:noProof/>
          <w:kern w:val="2"/>
          <w:sz w:val="21"/>
          <w:szCs w:val="22"/>
          <w:lang w:val="en-US" w:eastAsia="zh-CN"/>
        </w:rPr>
      </w:pPr>
      <w:r>
        <w:rPr>
          <w:noProof/>
        </w:rPr>
        <w:t>5.4.5.2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_Toc199453191 \h </w:instrText>
      </w:r>
      <w:r>
        <w:rPr>
          <w:noProof/>
        </w:rPr>
      </w:r>
      <w:r>
        <w:rPr>
          <w:noProof/>
        </w:rPr>
        <w:fldChar w:fldCharType="separate"/>
      </w:r>
      <w:r>
        <w:rPr>
          <w:noProof/>
        </w:rPr>
        <w:t>331</w:t>
      </w:r>
      <w:r>
        <w:rPr>
          <w:noProof/>
        </w:rPr>
        <w:fldChar w:fldCharType="end"/>
      </w:r>
    </w:p>
    <w:p w14:paraId="305D74E5" w14:textId="132BB57D" w:rsidR="003F6EFC" w:rsidRDefault="003F6EFC">
      <w:pPr>
        <w:pStyle w:val="TOC5"/>
        <w:rPr>
          <w:rFonts w:asciiTheme="minorHAnsi" w:eastAsiaTheme="minorEastAsia" w:hAnsiTheme="minorHAnsi" w:cstheme="minorBidi"/>
          <w:noProof/>
          <w:kern w:val="2"/>
          <w:sz w:val="21"/>
          <w:szCs w:val="22"/>
          <w:lang w:val="en-US" w:eastAsia="zh-CN"/>
        </w:rPr>
      </w:pPr>
      <w:r>
        <w:rPr>
          <w:noProof/>
        </w:rPr>
        <w:t>5.4.5.2.1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_Toc199453192 \h </w:instrText>
      </w:r>
      <w:r>
        <w:rPr>
          <w:noProof/>
        </w:rPr>
      </w:r>
      <w:r>
        <w:rPr>
          <w:noProof/>
        </w:rPr>
        <w:fldChar w:fldCharType="separate"/>
      </w:r>
      <w:r>
        <w:rPr>
          <w:noProof/>
        </w:rPr>
        <w:t>331</w:t>
      </w:r>
      <w:r>
        <w:rPr>
          <w:noProof/>
        </w:rPr>
        <w:fldChar w:fldCharType="end"/>
      </w:r>
    </w:p>
    <w:p w14:paraId="0C5A4D50" w14:textId="4455FAB9" w:rsidR="003F6EFC" w:rsidRDefault="003F6EFC">
      <w:pPr>
        <w:pStyle w:val="TOC5"/>
        <w:rPr>
          <w:rFonts w:asciiTheme="minorHAnsi" w:eastAsiaTheme="minorEastAsia" w:hAnsiTheme="minorHAnsi" w:cstheme="minorBidi"/>
          <w:noProof/>
          <w:kern w:val="2"/>
          <w:sz w:val="21"/>
          <w:szCs w:val="22"/>
          <w:lang w:val="en-US" w:eastAsia="zh-CN"/>
        </w:rPr>
      </w:pPr>
      <w:r>
        <w:rPr>
          <w:noProof/>
        </w:rPr>
        <w:t>5.4.5.2.2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_Toc199453193 \h </w:instrText>
      </w:r>
      <w:r>
        <w:rPr>
          <w:noProof/>
        </w:rPr>
      </w:r>
      <w:r>
        <w:rPr>
          <w:noProof/>
        </w:rPr>
        <w:fldChar w:fldCharType="separate"/>
      </w:r>
      <w:r>
        <w:rPr>
          <w:noProof/>
        </w:rPr>
        <w:t>332</w:t>
      </w:r>
      <w:r>
        <w:rPr>
          <w:noProof/>
        </w:rPr>
        <w:fldChar w:fldCharType="end"/>
      </w:r>
    </w:p>
    <w:p w14:paraId="7F549A8D" w14:textId="0C97464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_Toc199453194 \h </w:instrText>
      </w:r>
      <w:r>
        <w:rPr>
          <w:noProof/>
        </w:rPr>
      </w:r>
      <w:r>
        <w:rPr>
          <w:noProof/>
        </w:rPr>
        <w:fldChar w:fldCharType="separate"/>
      </w:r>
      <w:r>
        <w:rPr>
          <w:noProof/>
        </w:rPr>
        <w:t>333</w:t>
      </w:r>
      <w:r>
        <w:rPr>
          <w:noProof/>
        </w:rPr>
        <w:fldChar w:fldCharType="end"/>
      </w:r>
    </w:p>
    <w:p w14:paraId="6BB9FEAB" w14:textId="1C05971B" w:rsidR="003F6EFC" w:rsidRDefault="003F6EFC">
      <w:pPr>
        <w:pStyle w:val="TOC4"/>
        <w:rPr>
          <w:rFonts w:asciiTheme="minorHAnsi" w:eastAsiaTheme="minorEastAsia" w:hAnsiTheme="minorHAnsi" w:cstheme="minorBidi"/>
          <w:noProof/>
          <w:kern w:val="2"/>
          <w:sz w:val="21"/>
          <w:szCs w:val="22"/>
          <w:lang w:val="en-US" w:eastAsia="zh-CN"/>
        </w:rPr>
      </w:pPr>
      <w:r>
        <w:rPr>
          <w:noProof/>
        </w:rPr>
        <w:t>5.4.6.1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_Toc199453195 \h </w:instrText>
      </w:r>
      <w:r>
        <w:rPr>
          <w:noProof/>
        </w:rPr>
      </w:r>
      <w:r>
        <w:rPr>
          <w:noProof/>
        </w:rPr>
        <w:fldChar w:fldCharType="separate"/>
      </w:r>
      <w:r>
        <w:rPr>
          <w:noProof/>
        </w:rPr>
        <w:t>333</w:t>
      </w:r>
      <w:r>
        <w:rPr>
          <w:noProof/>
        </w:rPr>
        <w:fldChar w:fldCharType="end"/>
      </w:r>
    </w:p>
    <w:p w14:paraId="596BD23E" w14:textId="62FEFDE9" w:rsidR="003F6EFC" w:rsidRDefault="003F6EFC">
      <w:pPr>
        <w:pStyle w:val="TOC4"/>
        <w:rPr>
          <w:rFonts w:asciiTheme="minorHAnsi" w:eastAsiaTheme="minorEastAsia" w:hAnsiTheme="minorHAnsi" w:cstheme="minorBidi"/>
          <w:noProof/>
          <w:kern w:val="2"/>
          <w:sz w:val="21"/>
          <w:szCs w:val="22"/>
          <w:lang w:val="en-US" w:eastAsia="zh-CN"/>
        </w:rPr>
      </w:pPr>
      <w:r>
        <w:rPr>
          <w:noProof/>
        </w:rPr>
        <w:t>5.4.6.2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_Toc199453196 \h </w:instrText>
      </w:r>
      <w:r>
        <w:rPr>
          <w:noProof/>
        </w:rPr>
      </w:r>
      <w:r>
        <w:rPr>
          <w:noProof/>
        </w:rPr>
        <w:fldChar w:fldCharType="separate"/>
      </w:r>
      <w:r>
        <w:rPr>
          <w:noProof/>
        </w:rPr>
        <w:t>334</w:t>
      </w:r>
      <w:r>
        <w:rPr>
          <w:noProof/>
        </w:rPr>
        <w:fldChar w:fldCharType="end"/>
      </w:r>
    </w:p>
    <w:p w14:paraId="186D7290" w14:textId="7B2C3DDA" w:rsidR="003F6EFC" w:rsidRDefault="003F6EFC">
      <w:pPr>
        <w:pStyle w:val="TOC5"/>
        <w:rPr>
          <w:rFonts w:asciiTheme="minorHAnsi" w:eastAsiaTheme="minorEastAsia" w:hAnsiTheme="minorHAnsi" w:cstheme="minorBidi"/>
          <w:noProof/>
          <w:kern w:val="2"/>
          <w:sz w:val="21"/>
          <w:szCs w:val="22"/>
          <w:lang w:val="en-US" w:eastAsia="zh-CN"/>
        </w:rPr>
      </w:pPr>
      <w:r>
        <w:rPr>
          <w:noProof/>
        </w:rPr>
        <w:t>5.4.6.2.1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_Toc199453197 \h </w:instrText>
      </w:r>
      <w:r>
        <w:rPr>
          <w:noProof/>
        </w:rPr>
      </w:r>
      <w:r>
        <w:rPr>
          <w:noProof/>
        </w:rPr>
        <w:fldChar w:fldCharType="separate"/>
      </w:r>
      <w:r>
        <w:rPr>
          <w:noProof/>
        </w:rPr>
        <w:t>334</w:t>
      </w:r>
      <w:r>
        <w:rPr>
          <w:noProof/>
        </w:rPr>
        <w:fldChar w:fldCharType="end"/>
      </w:r>
    </w:p>
    <w:p w14:paraId="39D0B037" w14:textId="07EBA28D" w:rsidR="003F6EFC" w:rsidRDefault="003F6EFC">
      <w:pPr>
        <w:pStyle w:val="TOC5"/>
        <w:rPr>
          <w:rFonts w:asciiTheme="minorHAnsi" w:eastAsiaTheme="minorEastAsia" w:hAnsiTheme="minorHAnsi" w:cstheme="minorBidi"/>
          <w:noProof/>
          <w:kern w:val="2"/>
          <w:sz w:val="21"/>
          <w:szCs w:val="22"/>
          <w:lang w:val="en-US" w:eastAsia="zh-CN"/>
        </w:rPr>
      </w:pPr>
      <w:r>
        <w:rPr>
          <w:noProof/>
        </w:rPr>
        <w:t>5.4.6.2.2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NwdafMLModelProvSubsc</w:t>
      </w:r>
      <w:r>
        <w:rPr>
          <w:noProof/>
        </w:rPr>
        <w:tab/>
      </w:r>
      <w:r>
        <w:rPr>
          <w:noProof/>
        </w:rPr>
        <w:fldChar w:fldCharType="begin"/>
      </w:r>
      <w:r>
        <w:rPr>
          <w:noProof/>
        </w:rPr>
        <w:instrText xml:space="preserve"> PAGEREF _Toc199453198 \h </w:instrText>
      </w:r>
      <w:r>
        <w:rPr>
          <w:noProof/>
        </w:rPr>
      </w:r>
      <w:r>
        <w:rPr>
          <w:noProof/>
        </w:rPr>
        <w:fldChar w:fldCharType="separate"/>
      </w:r>
      <w:r>
        <w:rPr>
          <w:noProof/>
        </w:rPr>
        <w:t>335</w:t>
      </w:r>
      <w:r>
        <w:rPr>
          <w:noProof/>
        </w:rPr>
        <w:fldChar w:fldCharType="end"/>
      </w:r>
    </w:p>
    <w:p w14:paraId="160506C6" w14:textId="084412DB" w:rsidR="003F6EFC" w:rsidRDefault="003F6EFC">
      <w:pPr>
        <w:pStyle w:val="TOC5"/>
        <w:rPr>
          <w:rFonts w:asciiTheme="minorHAnsi" w:eastAsiaTheme="minorEastAsia" w:hAnsiTheme="minorHAnsi" w:cstheme="minorBidi"/>
          <w:noProof/>
          <w:kern w:val="2"/>
          <w:sz w:val="21"/>
          <w:szCs w:val="22"/>
          <w:lang w:val="en-US" w:eastAsia="zh-CN"/>
        </w:rPr>
      </w:pPr>
      <w:r>
        <w:rPr>
          <w:noProof/>
        </w:rPr>
        <w:t>5.4.6.2.3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MLEventSubscription</w:t>
      </w:r>
      <w:r>
        <w:rPr>
          <w:noProof/>
        </w:rPr>
        <w:tab/>
      </w:r>
      <w:r>
        <w:rPr>
          <w:noProof/>
        </w:rPr>
        <w:fldChar w:fldCharType="begin"/>
      </w:r>
      <w:r>
        <w:rPr>
          <w:noProof/>
        </w:rPr>
        <w:instrText xml:space="preserve"> PAGEREF _Toc199453199 \h </w:instrText>
      </w:r>
      <w:r>
        <w:rPr>
          <w:noProof/>
        </w:rPr>
      </w:r>
      <w:r>
        <w:rPr>
          <w:noProof/>
        </w:rPr>
        <w:fldChar w:fldCharType="separate"/>
      </w:r>
      <w:r>
        <w:rPr>
          <w:noProof/>
        </w:rPr>
        <w:t>336</w:t>
      </w:r>
      <w:r>
        <w:rPr>
          <w:noProof/>
        </w:rPr>
        <w:fldChar w:fldCharType="end"/>
      </w:r>
    </w:p>
    <w:p w14:paraId="59E196C5" w14:textId="7D786084" w:rsidR="003F6EFC" w:rsidRDefault="003F6EFC">
      <w:pPr>
        <w:pStyle w:val="TOC5"/>
        <w:rPr>
          <w:rFonts w:asciiTheme="minorHAnsi" w:eastAsiaTheme="minorEastAsia" w:hAnsiTheme="minorHAnsi" w:cstheme="minorBidi"/>
          <w:noProof/>
          <w:kern w:val="2"/>
          <w:sz w:val="21"/>
          <w:szCs w:val="22"/>
          <w:lang w:val="en-US" w:eastAsia="zh-CN"/>
        </w:rPr>
      </w:pPr>
      <w:r>
        <w:rPr>
          <w:noProof/>
        </w:rPr>
        <w:t>5.4.6.2.4</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_Toc199453200 \h </w:instrText>
      </w:r>
      <w:r>
        <w:rPr>
          <w:noProof/>
        </w:rPr>
      </w:r>
      <w:r>
        <w:rPr>
          <w:noProof/>
        </w:rPr>
        <w:fldChar w:fldCharType="separate"/>
      </w:r>
      <w:r>
        <w:rPr>
          <w:noProof/>
        </w:rPr>
        <w:t>338</w:t>
      </w:r>
      <w:r>
        <w:rPr>
          <w:noProof/>
        </w:rPr>
        <w:fldChar w:fldCharType="end"/>
      </w:r>
    </w:p>
    <w:p w14:paraId="3E61F04A" w14:textId="4DCAC1FE" w:rsidR="003F6EFC" w:rsidRDefault="003F6EFC">
      <w:pPr>
        <w:pStyle w:val="TOC5"/>
        <w:rPr>
          <w:rFonts w:asciiTheme="minorHAnsi" w:eastAsiaTheme="minorEastAsia" w:hAnsiTheme="minorHAnsi" w:cstheme="minorBidi"/>
          <w:noProof/>
          <w:kern w:val="2"/>
          <w:sz w:val="21"/>
          <w:szCs w:val="22"/>
          <w:lang w:val="en-US" w:eastAsia="zh-CN"/>
        </w:rPr>
      </w:pPr>
      <w:r>
        <w:rPr>
          <w:noProof/>
        </w:rPr>
        <w:t>5.4.6.2.5</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NwdafMLModelProvNotif</w:t>
      </w:r>
      <w:r>
        <w:rPr>
          <w:noProof/>
        </w:rPr>
        <w:tab/>
      </w:r>
      <w:r>
        <w:rPr>
          <w:noProof/>
        </w:rPr>
        <w:fldChar w:fldCharType="begin"/>
      </w:r>
      <w:r>
        <w:rPr>
          <w:noProof/>
        </w:rPr>
        <w:instrText xml:space="preserve"> PAGEREF _Toc199453201 \h </w:instrText>
      </w:r>
      <w:r>
        <w:rPr>
          <w:noProof/>
        </w:rPr>
      </w:r>
      <w:r>
        <w:rPr>
          <w:noProof/>
        </w:rPr>
        <w:fldChar w:fldCharType="separate"/>
      </w:r>
      <w:r>
        <w:rPr>
          <w:noProof/>
        </w:rPr>
        <w:t>338</w:t>
      </w:r>
      <w:r>
        <w:rPr>
          <w:noProof/>
        </w:rPr>
        <w:fldChar w:fldCharType="end"/>
      </w:r>
    </w:p>
    <w:p w14:paraId="4E4C0FDD" w14:textId="425153FA" w:rsidR="003F6EFC" w:rsidRDefault="003F6EFC">
      <w:pPr>
        <w:pStyle w:val="TOC5"/>
        <w:rPr>
          <w:rFonts w:asciiTheme="minorHAnsi" w:eastAsiaTheme="minorEastAsia" w:hAnsiTheme="minorHAnsi" w:cstheme="minorBidi"/>
          <w:noProof/>
          <w:kern w:val="2"/>
          <w:sz w:val="21"/>
          <w:szCs w:val="22"/>
          <w:lang w:val="en-US" w:eastAsia="zh-CN"/>
        </w:rPr>
      </w:pPr>
      <w:r>
        <w:rPr>
          <w:noProof/>
        </w:rPr>
        <w:t>5.4.6.2.6</w:t>
      </w:r>
      <w:r>
        <w:rPr>
          <w:rFonts w:asciiTheme="minorHAnsi" w:eastAsiaTheme="minorEastAsia" w:hAnsiTheme="minorHAnsi" w:cstheme="minorBidi"/>
          <w:noProof/>
          <w:kern w:val="2"/>
          <w:sz w:val="21"/>
          <w:szCs w:val="22"/>
          <w:lang w:val="en-US" w:eastAsia="zh-CN"/>
        </w:rPr>
        <w:tab/>
      </w:r>
      <w:r>
        <w:rPr>
          <w:noProof/>
        </w:rPr>
        <w:t>Type MLEventNotif</w:t>
      </w:r>
      <w:r>
        <w:rPr>
          <w:noProof/>
        </w:rPr>
        <w:tab/>
      </w:r>
      <w:r>
        <w:rPr>
          <w:noProof/>
        </w:rPr>
        <w:fldChar w:fldCharType="begin"/>
      </w:r>
      <w:r>
        <w:rPr>
          <w:noProof/>
        </w:rPr>
        <w:instrText xml:space="preserve"> PAGEREF _Toc199453202 \h </w:instrText>
      </w:r>
      <w:r>
        <w:rPr>
          <w:noProof/>
        </w:rPr>
      </w:r>
      <w:r>
        <w:rPr>
          <w:noProof/>
        </w:rPr>
        <w:fldChar w:fldCharType="separate"/>
      </w:r>
      <w:r>
        <w:rPr>
          <w:noProof/>
        </w:rPr>
        <w:t>339</w:t>
      </w:r>
      <w:r>
        <w:rPr>
          <w:noProof/>
        </w:rPr>
        <w:fldChar w:fldCharType="end"/>
      </w:r>
    </w:p>
    <w:p w14:paraId="570967FA" w14:textId="3238C91B" w:rsidR="003F6EFC" w:rsidRDefault="003F6EFC">
      <w:pPr>
        <w:pStyle w:val="TOC5"/>
        <w:rPr>
          <w:rFonts w:asciiTheme="minorHAnsi" w:eastAsiaTheme="minorEastAsia" w:hAnsiTheme="minorHAnsi" w:cstheme="minorBidi"/>
          <w:noProof/>
          <w:kern w:val="2"/>
          <w:sz w:val="21"/>
          <w:szCs w:val="22"/>
          <w:lang w:val="en-US" w:eastAsia="zh-CN"/>
        </w:rPr>
      </w:pPr>
      <w:r>
        <w:rPr>
          <w:noProof/>
        </w:rPr>
        <w:t>5.4.6.2.7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FailureEventInfoForMLModel</w:t>
      </w:r>
      <w:r>
        <w:rPr>
          <w:noProof/>
        </w:rPr>
        <w:tab/>
      </w:r>
      <w:r>
        <w:rPr>
          <w:noProof/>
        </w:rPr>
        <w:fldChar w:fldCharType="begin"/>
      </w:r>
      <w:r>
        <w:rPr>
          <w:noProof/>
        </w:rPr>
        <w:instrText xml:space="preserve"> PAGEREF _Toc199453203 \h </w:instrText>
      </w:r>
      <w:r>
        <w:rPr>
          <w:noProof/>
        </w:rPr>
      </w:r>
      <w:r>
        <w:rPr>
          <w:noProof/>
        </w:rPr>
        <w:fldChar w:fldCharType="separate"/>
      </w:r>
      <w:r>
        <w:rPr>
          <w:noProof/>
        </w:rPr>
        <w:t>341</w:t>
      </w:r>
      <w:r>
        <w:rPr>
          <w:noProof/>
        </w:rPr>
        <w:fldChar w:fldCharType="end"/>
      </w:r>
    </w:p>
    <w:p w14:paraId="1EE6C1BB" w14:textId="2FBA5BE5" w:rsidR="003F6EFC" w:rsidRDefault="003F6EFC">
      <w:pPr>
        <w:pStyle w:val="TOC5"/>
        <w:rPr>
          <w:rFonts w:asciiTheme="minorHAnsi" w:eastAsiaTheme="minorEastAsia" w:hAnsiTheme="minorHAnsi" w:cstheme="minorBidi"/>
          <w:noProof/>
          <w:kern w:val="2"/>
          <w:sz w:val="21"/>
          <w:szCs w:val="22"/>
          <w:lang w:val="en-US" w:eastAsia="zh-CN"/>
        </w:rPr>
      </w:pPr>
      <w:r>
        <w:rPr>
          <w:noProof/>
        </w:rPr>
        <w:t>5.4.6.2.8</w:t>
      </w:r>
      <w:r>
        <w:rPr>
          <w:rFonts w:asciiTheme="minorHAnsi" w:eastAsiaTheme="minorEastAsia" w:hAnsiTheme="minorHAnsi" w:cstheme="minorBidi"/>
          <w:noProof/>
          <w:kern w:val="2"/>
          <w:sz w:val="21"/>
          <w:szCs w:val="22"/>
          <w:lang w:val="en-US" w:eastAsia="zh-CN"/>
        </w:rPr>
        <w:tab/>
      </w:r>
      <w:r>
        <w:rPr>
          <w:noProof/>
        </w:rPr>
        <w:t>Type MLModelAddr</w:t>
      </w:r>
      <w:r>
        <w:rPr>
          <w:noProof/>
        </w:rPr>
        <w:tab/>
      </w:r>
      <w:r>
        <w:rPr>
          <w:noProof/>
        </w:rPr>
        <w:fldChar w:fldCharType="begin"/>
      </w:r>
      <w:r>
        <w:rPr>
          <w:noProof/>
        </w:rPr>
        <w:instrText xml:space="preserve"> PAGEREF _Toc199453204 \h </w:instrText>
      </w:r>
      <w:r>
        <w:rPr>
          <w:noProof/>
        </w:rPr>
      </w:r>
      <w:r>
        <w:rPr>
          <w:noProof/>
        </w:rPr>
        <w:fldChar w:fldCharType="separate"/>
      </w:r>
      <w:r>
        <w:rPr>
          <w:noProof/>
        </w:rPr>
        <w:t>341</w:t>
      </w:r>
      <w:r>
        <w:rPr>
          <w:noProof/>
        </w:rPr>
        <w:fldChar w:fldCharType="end"/>
      </w:r>
    </w:p>
    <w:p w14:paraId="15A2E998" w14:textId="3AFFC78A" w:rsidR="003F6EFC" w:rsidRDefault="003F6EFC">
      <w:pPr>
        <w:pStyle w:val="TOC5"/>
        <w:rPr>
          <w:rFonts w:asciiTheme="minorHAnsi" w:eastAsiaTheme="minorEastAsia" w:hAnsiTheme="minorHAnsi" w:cstheme="minorBidi"/>
          <w:noProof/>
          <w:kern w:val="2"/>
          <w:sz w:val="21"/>
          <w:szCs w:val="22"/>
          <w:lang w:val="en-US" w:eastAsia="zh-CN"/>
        </w:rPr>
      </w:pPr>
      <w:r>
        <w:rPr>
          <w:noProof/>
        </w:rPr>
        <w:t>5.4.6.2.9</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_Toc199453205 \h </w:instrText>
      </w:r>
      <w:r>
        <w:rPr>
          <w:noProof/>
        </w:rPr>
      </w:r>
      <w:r>
        <w:rPr>
          <w:noProof/>
        </w:rPr>
        <w:fldChar w:fldCharType="separate"/>
      </w:r>
      <w:r>
        <w:rPr>
          <w:noProof/>
        </w:rPr>
        <w:t>341</w:t>
      </w:r>
      <w:r>
        <w:rPr>
          <w:noProof/>
        </w:rPr>
        <w:fldChar w:fldCharType="end"/>
      </w:r>
    </w:p>
    <w:p w14:paraId="25E82AB6" w14:textId="18AC1A0F" w:rsidR="003F6EFC" w:rsidRDefault="003F6EFC">
      <w:pPr>
        <w:pStyle w:val="TOC5"/>
        <w:rPr>
          <w:rFonts w:asciiTheme="minorHAnsi" w:eastAsiaTheme="minorEastAsia" w:hAnsiTheme="minorHAnsi" w:cstheme="minorBidi"/>
          <w:noProof/>
          <w:kern w:val="2"/>
          <w:sz w:val="21"/>
          <w:szCs w:val="22"/>
          <w:lang w:val="en-US" w:eastAsia="zh-CN"/>
        </w:rPr>
      </w:pPr>
      <w:r>
        <w:rPr>
          <w:noProof/>
        </w:rPr>
        <w:t>5.4.6.2.10</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_Toc199453206 \h </w:instrText>
      </w:r>
      <w:r>
        <w:rPr>
          <w:noProof/>
        </w:rPr>
      </w:r>
      <w:r>
        <w:rPr>
          <w:noProof/>
        </w:rPr>
        <w:fldChar w:fldCharType="separate"/>
      </w:r>
      <w:r>
        <w:rPr>
          <w:noProof/>
        </w:rPr>
        <w:t>341</w:t>
      </w:r>
      <w:r>
        <w:rPr>
          <w:noProof/>
        </w:rPr>
        <w:fldChar w:fldCharType="end"/>
      </w:r>
    </w:p>
    <w:p w14:paraId="56BB4E53" w14:textId="54EADA92" w:rsidR="003F6EFC" w:rsidRDefault="003F6EFC">
      <w:pPr>
        <w:pStyle w:val="TOC5"/>
        <w:rPr>
          <w:rFonts w:asciiTheme="minorHAnsi" w:eastAsiaTheme="minorEastAsia" w:hAnsiTheme="minorHAnsi" w:cstheme="minorBidi"/>
          <w:noProof/>
          <w:kern w:val="2"/>
          <w:sz w:val="21"/>
          <w:szCs w:val="22"/>
          <w:lang w:val="en-US" w:eastAsia="zh-CN"/>
        </w:rPr>
      </w:pPr>
      <w:r>
        <w:rPr>
          <w:noProof/>
        </w:rPr>
        <w:t>5.4.6.2.11</w:t>
      </w:r>
      <w:r>
        <w:rPr>
          <w:rFonts w:asciiTheme="minorHAnsi" w:eastAsiaTheme="minorEastAsia" w:hAnsiTheme="minorHAnsi" w:cstheme="minorBidi"/>
          <w:noProof/>
          <w:kern w:val="2"/>
          <w:sz w:val="21"/>
          <w:szCs w:val="22"/>
          <w:lang w:val="en-US" w:eastAsia="zh-CN"/>
        </w:rPr>
        <w:tab/>
      </w:r>
      <w:r>
        <w:rPr>
          <w:noProof/>
        </w:rPr>
        <w:t>Type MLRepEventCondition</w:t>
      </w:r>
      <w:r>
        <w:rPr>
          <w:noProof/>
        </w:rPr>
        <w:tab/>
      </w:r>
      <w:r>
        <w:rPr>
          <w:noProof/>
        </w:rPr>
        <w:fldChar w:fldCharType="begin"/>
      </w:r>
      <w:r>
        <w:rPr>
          <w:noProof/>
        </w:rPr>
        <w:instrText xml:space="preserve"> PAGEREF _Toc199453207 \h </w:instrText>
      </w:r>
      <w:r>
        <w:rPr>
          <w:noProof/>
        </w:rPr>
      </w:r>
      <w:r>
        <w:rPr>
          <w:noProof/>
        </w:rPr>
        <w:fldChar w:fldCharType="separate"/>
      </w:r>
      <w:r>
        <w:rPr>
          <w:noProof/>
        </w:rPr>
        <w:t>342</w:t>
      </w:r>
      <w:r>
        <w:rPr>
          <w:noProof/>
        </w:rPr>
        <w:fldChar w:fldCharType="end"/>
      </w:r>
    </w:p>
    <w:p w14:paraId="6AB8A78F" w14:textId="1761D770" w:rsidR="003F6EFC" w:rsidRDefault="003F6EFC">
      <w:pPr>
        <w:pStyle w:val="TOC5"/>
        <w:rPr>
          <w:rFonts w:asciiTheme="minorHAnsi" w:eastAsiaTheme="minorEastAsia" w:hAnsiTheme="minorHAnsi" w:cstheme="minorBidi"/>
          <w:noProof/>
          <w:kern w:val="2"/>
          <w:sz w:val="21"/>
          <w:szCs w:val="22"/>
          <w:lang w:val="en-US" w:eastAsia="zh-CN"/>
        </w:rPr>
      </w:pPr>
      <w:r>
        <w:rPr>
          <w:noProof/>
        </w:rPr>
        <w:t>5.4.6.2.12</w:t>
      </w:r>
      <w:r>
        <w:rPr>
          <w:rFonts w:asciiTheme="minorHAnsi" w:eastAsiaTheme="minorEastAsia" w:hAnsiTheme="minorHAnsi" w:cstheme="minorBidi"/>
          <w:noProof/>
          <w:kern w:val="2"/>
          <w:sz w:val="21"/>
          <w:szCs w:val="22"/>
          <w:lang w:val="en-US" w:eastAsia="zh-CN"/>
        </w:rPr>
        <w:tab/>
      </w:r>
      <w:r>
        <w:rPr>
          <w:noProof/>
        </w:rPr>
        <w:t>Type InputDataInfo</w:t>
      </w:r>
      <w:r>
        <w:rPr>
          <w:noProof/>
        </w:rPr>
        <w:tab/>
      </w:r>
      <w:r>
        <w:rPr>
          <w:noProof/>
        </w:rPr>
        <w:fldChar w:fldCharType="begin"/>
      </w:r>
      <w:r>
        <w:rPr>
          <w:noProof/>
        </w:rPr>
        <w:instrText xml:space="preserve"> PAGEREF _Toc199453208 \h </w:instrText>
      </w:r>
      <w:r>
        <w:rPr>
          <w:noProof/>
        </w:rPr>
      </w:r>
      <w:r>
        <w:rPr>
          <w:noProof/>
        </w:rPr>
        <w:fldChar w:fldCharType="separate"/>
      </w:r>
      <w:r>
        <w:rPr>
          <w:noProof/>
        </w:rPr>
        <w:t>342</w:t>
      </w:r>
      <w:r>
        <w:rPr>
          <w:noProof/>
        </w:rPr>
        <w:fldChar w:fldCharType="end"/>
      </w:r>
    </w:p>
    <w:p w14:paraId="4900F7E2" w14:textId="229AA659" w:rsidR="003F6EFC" w:rsidRDefault="003F6EFC">
      <w:pPr>
        <w:pStyle w:val="TOC5"/>
        <w:rPr>
          <w:rFonts w:asciiTheme="minorHAnsi" w:eastAsiaTheme="minorEastAsia" w:hAnsiTheme="minorHAnsi" w:cstheme="minorBidi"/>
          <w:noProof/>
          <w:kern w:val="2"/>
          <w:sz w:val="21"/>
          <w:szCs w:val="22"/>
          <w:lang w:val="en-US" w:eastAsia="zh-CN"/>
        </w:rPr>
      </w:pPr>
      <w:r>
        <w:rPr>
          <w:noProof/>
        </w:rPr>
        <w:t>5.4.6.2.13</w:t>
      </w:r>
      <w:r>
        <w:rPr>
          <w:rFonts w:asciiTheme="minorHAnsi" w:eastAsiaTheme="minorEastAsia" w:hAnsiTheme="minorHAnsi" w:cstheme="minorBidi"/>
          <w:noProof/>
          <w:kern w:val="2"/>
          <w:sz w:val="21"/>
          <w:szCs w:val="22"/>
          <w:lang w:val="en-US" w:eastAsia="zh-CN"/>
        </w:rPr>
        <w:tab/>
      </w:r>
      <w:r>
        <w:rPr>
          <w:noProof/>
        </w:rPr>
        <w:t>Type ModelProvisionParamsExt</w:t>
      </w:r>
      <w:r>
        <w:rPr>
          <w:noProof/>
        </w:rPr>
        <w:tab/>
      </w:r>
      <w:r>
        <w:rPr>
          <w:noProof/>
        </w:rPr>
        <w:fldChar w:fldCharType="begin"/>
      </w:r>
      <w:r>
        <w:rPr>
          <w:noProof/>
        </w:rPr>
        <w:instrText xml:space="preserve"> PAGEREF _Toc199453209 \h </w:instrText>
      </w:r>
      <w:r>
        <w:rPr>
          <w:noProof/>
        </w:rPr>
      </w:r>
      <w:r>
        <w:rPr>
          <w:noProof/>
        </w:rPr>
        <w:fldChar w:fldCharType="separate"/>
      </w:r>
      <w:r>
        <w:rPr>
          <w:noProof/>
        </w:rPr>
        <w:t>343</w:t>
      </w:r>
      <w:r>
        <w:rPr>
          <w:noProof/>
        </w:rPr>
        <w:fldChar w:fldCharType="end"/>
      </w:r>
    </w:p>
    <w:p w14:paraId="45327843" w14:textId="0F13A9CA" w:rsidR="003F6EFC" w:rsidRDefault="003F6EFC">
      <w:pPr>
        <w:pStyle w:val="TOC5"/>
        <w:rPr>
          <w:rFonts w:asciiTheme="minorHAnsi" w:eastAsiaTheme="minorEastAsia" w:hAnsiTheme="minorHAnsi" w:cstheme="minorBidi"/>
          <w:noProof/>
          <w:kern w:val="2"/>
          <w:sz w:val="21"/>
          <w:szCs w:val="22"/>
          <w:lang w:val="en-US" w:eastAsia="zh-CN"/>
        </w:rPr>
      </w:pPr>
      <w:r>
        <w:rPr>
          <w:noProof/>
        </w:rPr>
        <w:t>5.4.6.2.14</w:t>
      </w:r>
      <w:r>
        <w:rPr>
          <w:rFonts w:asciiTheme="minorHAnsi" w:eastAsiaTheme="minorEastAsia" w:hAnsiTheme="minorHAnsi" w:cstheme="minorBidi"/>
          <w:noProof/>
          <w:kern w:val="2"/>
          <w:sz w:val="21"/>
          <w:szCs w:val="22"/>
          <w:lang w:val="en-US" w:eastAsia="zh-CN"/>
        </w:rPr>
        <w:tab/>
      </w:r>
      <w:r>
        <w:rPr>
          <w:noProof/>
        </w:rPr>
        <w:t>Type AdditionalMLModelInformation</w:t>
      </w:r>
      <w:r>
        <w:rPr>
          <w:noProof/>
        </w:rPr>
        <w:tab/>
      </w:r>
      <w:r>
        <w:rPr>
          <w:noProof/>
        </w:rPr>
        <w:fldChar w:fldCharType="begin"/>
      </w:r>
      <w:r>
        <w:rPr>
          <w:noProof/>
        </w:rPr>
        <w:instrText xml:space="preserve"> PAGEREF _Toc199453210 \h </w:instrText>
      </w:r>
      <w:r>
        <w:rPr>
          <w:noProof/>
        </w:rPr>
      </w:r>
      <w:r>
        <w:rPr>
          <w:noProof/>
        </w:rPr>
        <w:fldChar w:fldCharType="separate"/>
      </w:r>
      <w:r>
        <w:rPr>
          <w:noProof/>
        </w:rPr>
        <w:t>344</w:t>
      </w:r>
      <w:r>
        <w:rPr>
          <w:noProof/>
        </w:rPr>
        <w:fldChar w:fldCharType="end"/>
      </w:r>
    </w:p>
    <w:p w14:paraId="3C3C700B" w14:textId="299FB770" w:rsidR="003F6EFC" w:rsidRDefault="003F6EFC">
      <w:pPr>
        <w:pStyle w:val="TOC5"/>
        <w:rPr>
          <w:rFonts w:asciiTheme="minorHAnsi" w:eastAsiaTheme="minorEastAsia" w:hAnsiTheme="minorHAnsi" w:cstheme="minorBidi"/>
          <w:noProof/>
          <w:kern w:val="2"/>
          <w:sz w:val="21"/>
          <w:szCs w:val="22"/>
          <w:lang w:val="en-US" w:eastAsia="zh-CN"/>
        </w:rPr>
      </w:pPr>
      <w:r>
        <w:rPr>
          <w:noProof/>
        </w:rPr>
        <w:lastRenderedPageBreak/>
        <w:t>5.4.6.2.15</w:t>
      </w:r>
      <w:r>
        <w:rPr>
          <w:rFonts w:asciiTheme="minorHAnsi" w:eastAsiaTheme="minorEastAsia" w:hAnsiTheme="minorHAnsi" w:cstheme="minorBidi"/>
          <w:noProof/>
          <w:kern w:val="2"/>
          <w:sz w:val="21"/>
          <w:szCs w:val="22"/>
          <w:lang w:val="en-US" w:eastAsia="zh-CN"/>
        </w:rPr>
        <w:tab/>
      </w:r>
      <w:r>
        <w:rPr>
          <w:noProof/>
        </w:rPr>
        <w:t>Type MLModelAdrf</w:t>
      </w:r>
      <w:r>
        <w:rPr>
          <w:noProof/>
        </w:rPr>
        <w:tab/>
      </w:r>
      <w:r>
        <w:rPr>
          <w:noProof/>
        </w:rPr>
        <w:fldChar w:fldCharType="begin"/>
      </w:r>
      <w:r>
        <w:rPr>
          <w:noProof/>
        </w:rPr>
        <w:instrText xml:space="preserve"> PAGEREF _Toc199453211 \h </w:instrText>
      </w:r>
      <w:r>
        <w:rPr>
          <w:noProof/>
        </w:rPr>
      </w:r>
      <w:r>
        <w:rPr>
          <w:noProof/>
        </w:rPr>
        <w:fldChar w:fldCharType="separate"/>
      </w:r>
      <w:r>
        <w:rPr>
          <w:noProof/>
        </w:rPr>
        <w:t>345</w:t>
      </w:r>
      <w:r>
        <w:rPr>
          <w:noProof/>
        </w:rPr>
        <w:fldChar w:fldCharType="end"/>
      </w:r>
    </w:p>
    <w:p w14:paraId="75A31755" w14:textId="08ECF4F3" w:rsidR="003F6EFC" w:rsidRDefault="003F6EFC">
      <w:pPr>
        <w:pStyle w:val="TOC5"/>
        <w:rPr>
          <w:rFonts w:asciiTheme="minorHAnsi" w:eastAsiaTheme="minorEastAsia" w:hAnsiTheme="minorHAnsi" w:cstheme="minorBidi"/>
          <w:noProof/>
          <w:kern w:val="2"/>
          <w:sz w:val="21"/>
          <w:szCs w:val="22"/>
          <w:lang w:val="en-US" w:eastAsia="zh-CN"/>
        </w:rPr>
      </w:pPr>
      <w:r>
        <w:rPr>
          <w:noProof/>
        </w:rPr>
        <w:t>5.4.6.2.16</w:t>
      </w:r>
      <w:r>
        <w:rPr>
          <w:rFonts w:asciiTheme="minorHAnsi" w:eastAsiaTheme="minorEastAsia" w:hAnsiTheme="minorHAnsi" w:cstheme="minorBidi"/>
          <w:noProof/>
          <w:kern w:val="2"/>
          <w:sz w:val="21"/>
          <w:szCs w:val="22"/>
          <w:lang w:val="en-US" w:eastAsia="zh-CN"/>
        </w:rPr>
        <w:tab/>
      </w:r>
      <w:r>
        <w:rPr>
          <w:noProof/>
        </w:rPr>
        <w:t>Type TrainInputDataInfo</w:t>
      </w:r>
      <w:r>
        <w:rPr>
          <w:noProof/>
        </w:rPr>
        <w:tab/>
      </w:r>
      <w:r>
        <w:rPr>
          <w:noProof/>
        </w:rPr>
        <w:fldChar w:fldCharType="begin"/>
      </w:r>
      <w:r>
        <w:rPr>
          <w:noProof/>
        </w:rPr>
        <w:instrText xml:space="preserve"> PAGEREF _Toc199453212 \h </w:instrText>
      </w:r>
      <w:r>
        <w:rPr>
          <w:noProof/>
        </w:rPr>
      </w:r>
      <w:r>
        <w:rPr>
          <w:noProof/>
        </w:rPr>
        <w:fldChar w:fldCharType="separate"/>
      </w:r>
      <w:r>
        <w:rPr>
          <w:noProof/>
        </w:rPr>
        <w:t>345</w:t>
      </w:r>
      <w:r>
        <w:rPr>
          <w:noProof/>
        </w:rPr>
        <w:fldChar w:fldCharType="end"/>
      </w:r>
    </w:p>
    <w:p w14:paraId="0CC300B5" w14:textId="498425BA" w:rsidR="003F6EFC" w:rsidRDefault="003F6EFC">
      <w:pPr>
        <w:pStyle w:val="TOC5"/>
        <w:rPr>
          <w:rFonts w:asciiTheme="minorHAnsi" w:eastAsiaTheme="minorEastAsia" w:hAnsiTheme="minorHAnsi" w:cstheme="minorBidi"/>
          <w:noProof/>
          <w:kern w:val="2"/>
          <w:sz w:val="21"/>
          <w:szCs w:val="22"/>
          <w:lang w:val="en-US" w:eastAsia="zh-CN"/>
        </w:rPr>
      </w:pPr>
      <w:r>
        <w:rPr>
          <w:noProof/>
        </w:rPr>
        <w:t>5.4.6.2.17</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InferenceDataForModelTrain</w:t>
      </w:r>
      <w:r>
        <w:rPr>
          <w:noProof/>
        </w:rPr>
        <w:tab/>
      </w:r>
      <w:r>
        <w:rPr>
          <w:noProof/>
        </w:rPr>
        <w:fldChar w:fldCharType="begin"/>
      </w:r>
      <w:r>
        <w:rPr>
          <w:noProof/>
        </w:rPr>
        <w:instrText xml:space="preserve"> PAGEREF _Toc199453213 \h </w:instrText>
      </w:r>
      <w:r>
        <w:rPr>
          <w:noProof/>
        </w:rPr>
      </w:r>
      <w:r>
        <w:rPr>
          <w:noProof/>
        </w:rPr>
        <w:fldChar w:fldCharType="separate"/>
      </w:r>
      <w:r>
        <w:rPr>
          <w:noProof/>
        </w:rPr>
        <w:t>345</w:t>
      </w:r>
      <w:r>
        <w:rPr>
          <w:noProof/>
        </w:rPr>
        <w:fldChar w:fldCharType="end"/>
      </w:r>
    </w:p>
    <w:p w14:paraId="2FFED7BA" w14:textId="4D9661E7" w:rsidR="003F6EFC" w:rsidRDefault="003F6EFC">
      <w:pPr>
        <w:pStyle w:val="TOC4"/>
        <w:rPr>
          <w:rFonts w:asciiTheme="minorHAnsi" w:eastAsiaTheme="minorEastAsia" w:hAnsiTheme="minorHAnsi" w:cstheme="minorBidi"/>
          <w:noProof/>
          <w:kern w:val="2"/>
          <w:sz w:val="21"/>
          <w:szCs w:val="22"/>
          <w:lang w:val="en-US" w:eastAsia="zh-CN"/>
        </w:rPr>
      </w:pPr>
      <w:r>
        <w:rPr>
          <w:noProof/>
        </w:rPr>
        <w:t>5.4.6.3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_Toc199453214 \h </w:instrText>
      </w:r>
      <w:r>
        <w:rPr>
          <w:noProof/>
        </w:rPr>
      </w:r>
      <w:r>
        <w:rPr>
          <w:noProof/>
        </w:rPr>
        <w:fldChar w:fldCharType="separate"/>
      </w:r>
      <w:r>
        <w:rPr>
          <w:noProof/>
        </w:rPr>
        <w:t>346</w:t>
      </w:r>
      <w:r>
        <w:rPr>
          <w:noProof/>
        </w:rPr>
        <w:fldChar w:fldCharType="end"/>
      </w:r>
    </w:p>
    <w:p w14:paraId="5EA6C858" w14:textId="4619E78E" w:rsidR="003F6EFC" w:rsidRDefault="003F6EFC">
      <w:pPr>
        <w:pStyle w:val="TOC5"/>
        <w:rPr>
          <w:rFonts w:asciiTheme="minorHAnsi" w:eastAsiaTheme="minorEastAsia" w:hAnsiTheme="minorHAnsi" w:cstheme="minorBidi"/>
          <w:noProof/>
          <w:kern w:val="2"/>
          <w:sz w:val="21"/>
          <w:szCs w:val="22"/>
          <w:lang w:val="en-US" w:eastAsia="zh-CN"/>
        </w:rPr>
      </w:pPr>
      <w:r>
        <w:rPr>
          <w:noProof/>
        </w:rPr>
        <w:t>5.4.6.3.1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_Toc199453215 \h </w:instrText>
      </w:r>
      <w:r>
        <w:rPr>
          <w:noProof/>
        </w:rPr>
      </w:r>
      <w:r>
        <w:rPr>
          <w:noProof/>
        </w:rPr>
        <w:fldChar w:fldCharType="separate"/>
      </w:r>
      <w:r>
        <w:rPr>
          <w:noProof/>
        </w:rPr>
        <w:t>346</w:t>
      </w:r>
      <w:r>
        <w:rPr>
          <w:noProof/>
        </w:rPr>
        <w:fldChar w:fldCharType="end"/>
      </w:r>
    </w:p>
    <w:p w14:paraId="3F60C6A3" w14:textId="7199B05A" w:rsidR="003F6EFC" w:rsidRDefault="003F6EFC">
      <w:pPr>
        <w:pStyle w:val="TOC5"/>
        <w:rPr>
          <w:rFonts w:asciiTheme="minorHAnsi" w:eastAsiaTheme="minorEastAsia" w:hAnsiTheme="minorHAnsi" w:cstheme="minorBidi"/>
          <w:noProof/>
          <w:kern w:val="2"/>
          <w:sz w:val="21"/>
          <w:szCs w:val="22"/>
          <w:lang w:val="en-US" w:eastAsia="zh-CN"/>
        </w:rPr>
      </w:pPr>
      <w:r>
        <w:rPr>
          <w:noProof/>
        </w:rPr>
        <w:t>5.4.6.3.2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_Toc199453216 \h </w:instrText>
      </w:r>
      <w:r>
        <w:rPr>
          <w:noProof/>
        </w:rPr>
      </w:r>
      <w:r>
        <w:rPr>
          <w:noProof/>
        </w:rPr>
        <w:fldChar w:fldCharType="separate"/>
      </w:r>
      <w:r>
        <w:rPr>
          <w:noProof/>
        </w:rPr>
        <w:t>346</w:t>
      </w:r>
      <w:r>
        <w:rPr>
          <w:noProof/>
        </w:rPr>
        <w:fldChar w:fldCharType="end"/>
      </w:r>
    </w:p>
    <w:p w14:paraId="7EB13FEA" w14:textId="3F77F98C"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5.4.6.3.3</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FailureCode</w:t>
      </w:r>
      <w:r>
        <w:rPr>
          <w:noProof/>
        </w:rPr>
        <w:tab/>
      </w:r>
      <w:r>
        <w:rPr>
          <w:noProof/>
        </w:rPr>
        <w:fldChar w:fldCharType="begin"/>
      </w:r>
      <w:r>
        <w:rPr>
          <w:noProof/>
        </w:rPr>
        <w:instrText xml:space="preserve"> PAGEREF _Toc199453217 \h </w:instrText>
      </w:r>
      <w:r>
        <w:rPr>
          <w:noProof/>
        </w:rPr>
      </w:r>
      <w:r>
        <w:rPr>
          <w:noProof/>
        </w:rPr>
        <w:fldChar w:fldCharType="separate"/>
      </w:r>
      <w:r>
        <w:rPr>
          <w:noProof/>
        </w:rPr>
        <w:t>346</w:t>
      </w:r>
      <w:r>
        <w:rPr>
          <w:noProof/>
        </w:rPr>
        <w:fldChar w:fldCharType="end"/>
      </w:r>
    </w:p>
    <w:p w14:paraId="70EDF901" w14:textId="4BCBEC32" w:rsidR="003F6EFC" w:rsidRDefault="003F6EFC">
      <w:pPr>
        <w:pStyle w:val="TOC5"/>
        <w:rPr>
          <w:rFonts w:asciiTheme="minorHAnsi" w:eastAsiaTheme="minorEastAsia" w:hAnsiTheme="minorHAnsi" w:cstheme="minorBidi"/>
          <w:noProof/>
          <w:kern w:val="2"/>
          <w:sz w:val="21"/>
          <w:szCs w:val="22"/>
          <w:lang w:val="en-US" w:eastAsia="zh-CN"/>
        </w:rPr>
      </w:pPr>
      <w:r>
        <w:rPr>
          <w:noProof/>
        </w:rPr>
        <w:t>5.4.6.3.4</w:t>
      </w:r>
      <w:r>
        <w:rPr>
          <w:rFonts w:asciiTheme="minorHAnsi" w:eastAsiaTheme="minorEastAsia" w:hAnsiTheme="minorHAnsi" w:cstheme="minorBidi"/>
          <w:noProof/>
          <w:kern w:val="2"/>
          <w:sz w:val="21"/>
          <w:szCs w:val="22"/>
          <w:lang w:val="en-US" w:eastAsia="zh-CN"/>
        </w:rPr>
        <w:tab/>
      </w:r>
      <w:r>
        <w:rPr>
          <w:noProof/>
        </w:rPr>
        <w:t>Enumeration: MLModelMetric</w:t>
      </w:r>
      <w:r>
        <w:rPr>
          <w:noProof/>
        </w:rPr>
        <w:tab/>
      </w:r>
      <w:r>
        <w:rPr>
          <w:noProof/>
        </w:rPr>
        <w:fldChar w:fldCharType="begin"/>
      </w:r>
      <w:r>
        <w:rPr>
          <w:noProof/>
        </w:rPr>
        <w:instrText xml:space="preserve"> PAGEREF _Toc199453218 \h </w:instrText>
      </w:r>
      <w:r>
        <w:rPr>
          <w:noProof/>
        </w:rPr>
      </w:r>
      <w:r>
        <w:rPr>
          <w:noProof/>
        </w:rPr>
        <w:fldChar w:fldCharType="separate"/>
      </w:r>
      <w:r>
        <w:rPr>
          <w:noProof/>
        </w:rPr>
        <w:t>346</w:t>
      </w:r>
      <w:r>
        <w:rPr>
          <w:noProof/>
        </w:rPr>
        <w:fldChar w:fldCharType="end"/>
      </w:r>
    </w:p>
    <w:p w14:paraId="74768516" w14:textId="59CE6F8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_Toc199453219 \h </w:instrText>
      </w:r>
      <w:r>
        <w:rPr>
          <w:noProof/>
        </w:rPr>
      </w:r>
      <w:r>
        <w:rPr>
          <w:noProof/>
        </w:rPr>
        <w:fldChar w:fldCharType="separate"/>
      </w:r>
      <w:r>
        <w:rPr>
          <w:noProof/>
        </w:rPr>
        <w:t>346</w:t>
      </w:r>
      <w:r>
        <w:rPr>
          <w:noProof/>
        </w:rPr>
        <w:fldChar w:fldCharType="end"/>
      </w:r>
    </w:p>
    <w:p w14:paraId="01DC8239" w14:textId="6EF07E88" w:rsidR="003F6EFC" w:rsidRDefault="003F6EFC">
      <w:pPr>
        <w:pStyle w:val="TOC4"/>
        <w:rPr>
          <w:rFonts w:asciiTheme="minorHAnsi" w:eastAsiaTheme="minorEastAsia" w:hAnsiTheme="minorHAnsi" w:cstheme="minorBidi"/>
          <w:noProof/>
          <w:kern w:val="2"/>
          <w:sz w:val="21"/>
          <w:szCs w:val="22"/>
          <w:lang w:val="en-US" w:eastAsia="zh-CN"/>
        </w:rPr>
      </w:pPr>
      <w:r>
        <w:rPr>
          <w:noProof/>
        </w:rPr>
        <w:t>5.4.7.1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_Toc199453220 \h </w:instrText>
      </w:r>
      <w:r>
        <w:rPr>
          <w:noProof/>
        </w:rPr>
      </w:r>
      <w:r>
        <w:rPr>
          <w:noProof/>
        </w:rPr>
        <w:fldChar w:fldCharType="separate"/>
      </w:r>
      <w:r>
        <w:rPr>
          <w:noProof/>
        </w:rPr>
        <w:t>346</w:t>
      </w:r>
      <w:r>
        <w:rPr>
          <w:noProof/>
        </w:rPr>
        <w:fldChar w:fldCharType="end"/>
      </w:r>
    </w:p>
    <w:p w14:paraId="037C8779" w14:textId="0B30618E" w:rsidR="003F6EFC" w:rsidRDefault="003F6EFC">
      <w:pPr>
        <w:pStyle w:val="TOC4"/>
        <w:rPr>
          <w:rFonts w:asciiTheme="minorHAnsi" w:eastAsiaTheme="minorEastAsia" w:hAnsiTheme="minorHAnsi" w:cstheme="minorBidi"/>
          <w:noProof/>
          <w:kern w:val="2"/>
          <w:sz w:val="21"/>
          <w:szCs w:val="22"/>
          <w:lang w:val="en-US" w:eastAsia="zh-CN"/>
        </w:rPr>
      </w:pPr>
      <w:r>
        <w:rPr>
          <w:noProof/>
        </w:rPr>
        <w:t>5.4.7.2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_Toc199453221 \h </w:instrText>
      </w:r>
      <w:r>
        <w:rPr>
          <w:noProof/>
        </w:rPr>
      </w:r>
      <w:r>
        <w:rPr>
          <w:noProof/>
        </w:rPr>
        <w:fldChar w:fldCharType="separate"/>
      </w:r>
      <w:r>
        <w:rPr>
          <w:noProof/>
        </w:rPr>
        <w:t>346</w:t>
      </w:r>
      <w:r>
        <w:rPr>
          <w:noProof/>
        </w:rPr>
        <w:fldChar w:fldCharType="end"/>
      </w:r>
    </w:p>
    <w:p w14:paraId="5B65DA5D" w14:textId="222E6869" w:rsidR="003F6EFC" w:rsidRDefault="003F6EFC">
      <w:pPr>
        <w:pStyle w:val="TOC4"/>
        <w:rPr>
          <w:rFonts w:asciiTheme="minorHAnsi" w:eastAsiaTheme="minorEastAsia" w:hAnsiTheme="minorHAnsi" w:cstheme="minorBidi"/>
          <w:noProof/>
          <w:kern w:val="2"/>
          <w:sz w:val="21"/>
          <w:szCs w:val="22"/>
          <w:lang w:val="en-US" w:eastAsia="zh-CN"/>
        </w:rPr>
      </w:pPr>
      <w:r>
        <w:rPr>
          <w:noProof/>
        </w:rPr>
        <w:t>5.4.7.3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_Toc199453222 \h </w:instrText>
      </w:r>
      <w:r>
        <w:rPr>
          <w:noProof/>
        </w:rPr>
      </w:r>
      <w:r>
        <w:rPr>
          <w:noProof/>
        </w:rPr>
        <w:fldChar w:fldCharType="separate"/>
      </w:r>
      <w:r>
        <w:rPr>
          <w:noProof/>
        </w:rPr>
        <w:t>346</w:t>
      </w:r>
      <w:r>
        <w:rPr>
          <w:noProof/>
        </w:rPr>
        <w:fldChar w:fldCharType="end"/>
      </w:r>
    </w:p>
    <w:p w14:paraId="6D771576" w14:textId="72FAA183"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_Toc199453223 \h </w:instrText>
      </w:r>
      <w:r>
        <w:rPr>
          <w:noProof/>
        </w:rPr>
      </w:r>
      <w:r>
        <w:rPr>
          <w:noProof/>
        </w:rPr>
        <w:fldChar w:fldCharType="separate"/>
      </w:r>
      <w:r>
        <w:rPr>
          <w:noProof/>
        </w:rPr>
        <w:t>347</w:t>
      </w:r>
      <w:r>
        <w:rPr>
          <w:noProof/>
        </w:rPr>
        <w:fldChar w:fldCharType="end"/>
      </w:r>
    </w:p>
    <w:p w14:paraId="0C7F522C" w14:textId="5EBAB10E"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5.4.9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_Toc199453224 \h </w:instrText>
      </w:r>
      <w:r>
        <w:rPr>
          <w:noProof/>
        </w:rPr>
      </w:r>
      <w:r>
        <w:rPr>
          <w:noProof/>
        </w:rPr>
        <w:fldChar w:fldCharType="separate"/>
      </w:r>
      <w:r>
        <w:rPr>
          <w:noProof/>
        </w:rPr>
        <w:t>347</w:t>
      </w:r>
      <w:r>
        <w:rPr>
          <w:noProof/>
        </w:rPr>
        <w:fldChar w:fldCharType="end"/>
      </w:r>
    </w:p>
    <w:p w14:paraId="0B8010AB" w14:textId="68A311A0"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5.5</w:t>
      </w:r>
      <w:r>
        <w:rPr>
          <w:rFonts w:asciiTheme="minorHAnsi" w:eastAsiaTheme="minorEastAsia" w:hAnsiTheme="minorHAnsi" w:cstheme="minorBidi"/>
          <w:noProof/>
          <w:kern w:val="2"/>
          <w:sz w:val="21"/>
          <w:szCs w:val="22"/>
          <w:lang w:val="en-US" w:eastAsia="zh-CN"/>
        </w:rPr>
        <w:tab/>
      </w:r>
      <w:r>
        <w:rPr>
          <w:noProof/>
          <w:lang w:eastAsia="ja-JP"/>
        </w:rPr>
        <w:t>Nnwdaf_MLModelTraining</w:t>
      </w:r>
      <w:r>
        <w:rPr>
          <w:noProof/>
        </w:rPr>
        <w:t xml:space="preserve"> Service API</w:t>
      </w:r>
      <w:r>
        <w:rPr>
          <w:noProof/>
        </w:rPr>
        <w:tab/>
      </w:r>
      <w:r>
        <w:rPr>
          <w:noProof/>
        </w:rPr>
        <w:fldChar w:fldCharType="begin"/>
      </w:r>
      <w:r>
        <w:rPr>
          <w:noProof/>
        </w:rPr>
        <w:instrText xml:space="preserve"> PAGEREF _Toc199453225 \h </w:instrText>
      </w:r>
      <w:r>
        <w:rPr>
          <w:noProof/>
        </w:rPr>
      </w:r>
      <w:r>
        <w:rPr>
          <w:noProof/>
        </w:rPr>
        <w:fldChar w:fldCharType="separate"/>
      </w:r>
      <w:r>
        <w:rPr>
          <w:noProof/>
        </w:rPr>
        <w:t>347</w:t>
      </w:r>
      <w:r>
        <w:rPr>
          <w:noProof/>
        </w:rPr>
        <w:fldChar w:fldCharType="end"/>
      </w:r>
    </w:p>
    <w:p w14:paraId="4B0C29D1" w14:textId="68FF63F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_Toc199453226 \h </w:instrText>
      </w:r>
      <w:r>
        <w:rPr>
          <w:noProof/>
        </w:rPr>
      </w:r>
      <w:r>
        <w:rPr>
          <w:noProof/>
        </w:rPr>
        <w:fldChar w:fldCharType="separate"/>
      </w:r>
      <w:r>
        <w:rPr>
          <w:noProof/>
        </w:rPr>
        <w:t>347</w:t>
      </w:r>
      <w:r>
        <w:rPr>
          <w:noProof/>
        </w:rPr>
        <w:fldChar w:fldCharType="end"/>
      </w:r>
    </w:p>
    <w:p w14:paraId="2CAD0B85" w14:textId="6DA082F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_Toc199453227 \h </w:instrText>
      </w:r>
      <w:r>
        <w:rPr>
          <w:noProof/>
        </w:rPr>
      </w:r>
      <w:r>
        <w:rPr>
          <w:noProof/>
        </w:rPr>
        <w:fldChar w:fldCharType="separate"/>
      </w:r>
      <w:r>
        <w:rPr>
          <w:noProof/>
        </w:rPr>
        <w:t>348</w:t>
      </w:r>
      <w:r>
        <w:rPr>
          <w:noProof/>
        </w:rPr>
        <w:fldChar w:fldCharType="end"/>
      </w:r>
    </w:p>
    <w:p w14:paraId="059FC9EF" w14:textId="1A392F34" w:rsidR="003F6EFC" w:rsidRDefault="003F6EFC">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_Toc199453228 \h </w:instrText>
      </w:r>
      <w:r>
        <w:rPr>
          <w:noProof/>
        </w:rPr>
      </w:r>
      <w:r>
        <w:rPr>
          <w:noProof/>
        </w:rPr>
        <w:fldChar w:fldCharType="separate"/>
      </w:r>
      <w:r>
        <w:rPr>
          <w:noProof/>
        </w:rPr>
        <w:t>348</w:t>
      </w:r>
      <w:r>
        <w:rPr>
          <w:noProof/>
        </w:rPr>
        <w:fldChar w:fldCharType="end"/>
      </w:r>
    </w:p>
    <w:p w14:paraId="5E12766B" w14:textId="5C7E3ADF" w:rsidR="003F6EFC" w:rsidRDefault="003F6EFC">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_Toc199453229 \h </w:instrText>
      </w:r>
      <w:r>
        <w:rPr>
          <w:noProof/>
        </w:rPr>
      </w:r>
      <w:r>
        <w:rPr>
          <w:noProof/>
        </w:rPr>
        <w:fldChar w:fldCharType="separate"/>
      </w:r>
      <w:r>
        <w:rPr>
          <w:noProof/>
        </w:rPr>
        <w:t>348</w:t>
      </w:r>
      <w:r>
        <w:rPr>
          <w:noProof/>
        </w:rPr>
        <w:fldChar w:fldCharType="end"/>
      </w:r>
    </w:p>
    <w:p w14:paraId="0555C13D" w14:textId="53808503" w:rsidR="003F6EFC" w:rsidRDefault="003F6EFC">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_Toc199453230 \h </w:instrText>
      </w:r>
      <w:r>
        <w:rPr>
          <w:noProof/>
        </w:rPr>
      </w:r>
      <w:r>
        <w:rPr>
          <w:noProof/>
        </w:rPr>
        <w:fldChar w:fldCharType="separate"/>
      </w:r>
      <w:r>
        <w:rPr>
          <w:noProof/>
        </w:rPr>
        <w:t>348</w:t>
      </w:r>
      <w:r>
        <w:rPr>
          <w:noProof/>
        </w:rPr>
        <w:fldChar w:fldCharType="end"/>
      </w:r>
    </w:p>
    <w:p w14:paraId="45E2F6E2" w14:textId="680C9FDC" w:rsidR="003F6EFC" w:rsidRDefault="003F6EFC">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_Toc199453231 \h </w:instrText>
      </w:r>
      <w:r>
        <w:rPr>
          <w:noProof/>
        </w:rPr>
      </w:r>
      <w:r>
        <w:rPr>
          <w:noProof/>
        </w:rPr>
        <w:fldChar w:fldCharType="separate"/>
      </w:r>
      <w:r>
        <w:rPr>
          <w:noProof/>
        </w:rPr>
        <w:t>348</w:t>
      </w:r>
      <w:r>
        <w:rPr>
          <w:noProof/>
        </w:rPr>
        <w:fldChar w:fldCharType="end"/>
      </w:r>
    </w:p>
    <w:p w14:paraId="2F261F02" w14:textId="219C9592" w:rsidR="003F6EFC" w:rsidRDefault="003F6EFC">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_Toc199453232 \h </w:instrText>
      </w:r>
      <w:r>
        <w:rPr>
          <w:noProof/>
        </w:rPr>
      </w:r>
      <w:r>
        <w:rPr>
          <w:noProof/>
        </w:rPr>
        <w:fldChar w:fldCharType="separate"/>
      </w:r>
      <w:r>
        <w:rPr>
          <w:noProof/>
        </w:rPr>
        <w:t>348</w:t>
      </w:r>
      <w:r>
        <w:rPr>
          <w:noProof/>
        </w:rPr>
        <w:fldChar w:fldCharType="end"/>
      </w:r>
    </w:p>
    <w:p w14:paraId="64806093" w14:textId="37C90326" w:rsidR="003F6EFC" w:rsidRDefault="003F6EFC">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_Toc199453233 \h </w:instrText>
      </w:r>
      <w:r>
        <w:rPr>
          <w:noProof/>
        </w:rPr>
      </w:r>
      <w:r>
        <w:rPr>
          <w:noProof/>
        </w:rPr>
        <w:fldChar w:fldCharType="separate"/>
      </w:r>
      <w:r>
        <w:rPr>
          <w:noProof/>
        </w:rPr>
        <w:t>348</w:t>
      </w:r>
      <w:r>
        <w:rPr>
          <w:noProof/>
        </w:rPr>
        <w:fldChar w:fldCharType="end"/>
      </w:r>
    </w:p>
    <w:p w14:paraId="2C05C0DE" w14:textId="449ED87D" w:rsidR="003F6EFC" w:rsidRDefault="003F6EFC">
      <w:pPr>
        <w:pStyle w:val="TOC4"/>
        <w:rPr>
          <w:rFonts w:asciiTheme="minorHAnsi" w:eastAsiaTheme="minorEastAsia" w:hAnsiTheme="minorHAnsi" w:cstheme="minorBidi"/>
          <w:noProof/>
          <w:kern w:val="2"/>
          <w:sz w:val="21"/>
          <w:szCs w:val="22"/>
          <w:lang w:val="en-US" w:eastAsia="zh-CN"/>
        </w:rPr>
      </w:pPr>
      <w:r>
        <w:rPr>
          <w:noProof/>
        </w:rPr>
        <w:t>5.5.3.1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_Toc199453234 \h </w:instrText>
      </w:r>
      <w:r>
        <w:rPr>
          <w:noProof/>
        </w:rPr>
      </w:r>
      <w:r>
        <w:rPr>
          <w:noProof/>
        </w:rPr>
        <w:fldChar w:fldCharType="separate"/>
      </w:r>
      <w:r>
        <w:rPr>
          <w:noProof/>
        </w:rPr>
        <w:t>348</w:t>
      </w:r>
      <w:r>
        <w:rPr>
          <w:noProof/>
        </w:rPr>
        <w:fldChar w:fldCharType="end"/>
      </w:r>
    </w:p>
    <w:p w14:paraId="73C4D9D7" w14:textId="4FE11A79" w:rsidR="003F6EFC" w:rsidRDefault="003F6EFC">
      <w:pPr>
        <w:pStyle w:val="TOC4"/>
        <w:rPr>
          <w:rFonts w:asciiTheme="minorHAnsi" w:eastAsiaTheme="minorEastAsia" w:hAnsiTheme="minorHAnsi" w:cstheme="minorBidi"/>
          <w:noProof/>
          <w:kern w:val="2"/>
          <w:sz w:val="21"/>
          <w:szCs w:val="22"/>
          <w:lang w:val="en-US" w:eastAsia="zh-CN"/>
        </w:rPr>
      </w:pPr>
      <w:r>
        <w:rPr>
          <w:noProof/>
        </w:rPr>
        <w:t>5.5.3.2</w:t>
      </w:r>
      <w:r>
        <w:rPr>
          <w:rFonts w:asciiTheme="minorHAnsi" w:eastAsiaTheme="minorEastAsia" w:hAnsiTheme="minorHAnsi" w:cstheme="minorBidi"/>
          <w:noProof/>
          <w:kern w:val="2"/>
          <w:sz w:val="21"/>
          <w:szCs w:val="22"/>
          <w:lang w:val="en-US" w:eastAsia="zh-CN"/>
        </w:rPr>
        <w:tab/>
      </w:r>
      <w:r>
        <w:rPr>
          <w:noProof/>
        </w:rPr>
        <w:t>Resource: NWDAF ML Model Training Subscriptions</w:t>
      </w:r>
      <w:r>
        <w:rPr>
          <w:noProof/>
        </w:rPr>
        <w:tab/>
      </w:r>
      <w:r>
        <w:rPr>
          <w:noProof/>
        </w:rPr>
        <w:fldChar w:fldCharType="begin"/>
      </w:r>
      <w:r>
        <w:rPr>
          <w:noProof/>
        </w:rPr>
        <w:instrText xml:space="preserve"> PAGEREF _Toc199453235 \h </w:instrText>
      </w:r>
      <w:r>
        <w:rPr>
          <w:noProof/>
        </w:rPr>
      </w:r>
      <w:r>
        <w:rPr>
          <w:noProof/>
        </w:rPr>
        <w:fldChar w:fldCharType="separate"/>
      </w:r>
      <w:r>
        <w:rPr>
          <w:noProof/>
        </w:rPr>
        <w:t>349</w:t>
      </w:r>
      <w:r>
        <w:rPr>
          <w:noProof/>
        </w:rPr>
        <w:fldChar w:fldCharType="end"/>
      </w:r>
    </w:p>
    <w:p w14:paraId="61E5FB19" w14:textId="4515629F" w:rsidR="003F6EFC" w:rsidRDefault="003F6EFC">
      <w:pPr>
        <w:pStyle w:val="TOC5"/>
        <w:rPr>
          <w:rFonts w:asciiTheme="minorHAnsi" w:eastAsiaTheme="minorEastAsia" w:hAnsiTheme="minorHAnsi" w:cstheme="minorBidi"/>
          <w:noProof/>
          <w:kern w:val="2"/>
          <w:sz w:val="21"/>
          <w:szCs w:val="22"/>
          <w:lang w:val="en-US" w:eastAsia="zh-CN"/>
        </w:rPr>
      </w:pPr>
      <w:r>
        <w:rPr>
          <w:noProof/>
        </w:rPr>
        <w:t>5.5.3.2.1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_Toc199453236 \h </w:instrText>
      </w:r>
      <w:r>
        <w:rPr>
          <w:noProof/>
        </w:rPr>
      </w:r>
      <w:r>
        <w:rPr>
          <w:noProof/>
        </w:rPr>
        <w:fldChar w:fldCharType="separate"/>
      </w:r>
      <w:r>
        <w:rPr>
          <w:noProof/>
        </w:rPr>
        <w:t>349</w:t>
      </w:r>
      <w:r>
        <w:rPr>
          <w:noProof/>
        </w:rPr>
        <w:fldChar w:fldCharType="end"/>
      </w:r>
    </w:p>
    <w:p w14:paraId="4EDEE0CC" w14:textId="0025188E" w:rsidR="003F6EFC" w:rsidRDefault="003F6EFC">
      <w:pPr>
        <w:pStyle w:val="TOC5"/>
        <w:rPr>
          <w:rFonts w:asciiTheme="minorHAnsi" w:eastAsiaTheme="minorEastAsia" w:hAnsiTheme="minorHAnsi" w:cstheme="minorBidi"/>
          <w:noProof/>
          <w:kern w:val="2"/>
          <w:sz w:val="21"/>
          <w:szCs w:val="22"/>
          <w:lang w:val="en-US" w:eastAsia="zh-CN"/>
        </w:rPr>
      </w:pPr>
      <w:r>
        <w:rPr>
          <w:noProof/>
        </w:rPr>
        <w:t>5.5.3.2.2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_Toc199453237 \h </w:instrText>
      </w:r>
      <w:r>
        <w:rPr>
          <w:noProof/>
        </w:rPr>
      </w:r>
      <w:r>
        <w:rPr>
          <w:noProof/>
        </w:rPr>
        <w:fldChar w:fldCharType="separate"/>
      </w:r>
      <w:r>
        <w:rPr>
          <w:noProof/>
        </w:rPr>
        <w:t>349</w:t>
      </w:r>
      <w:r>
        <w:rPr>
          <w:noProof/>
        </w:rPr>
        <w:fldChar w:fldCharType="end"/>
      </w:r>
    </w:p>
    <w:p w14:paraId="5762CF78" w14:textId="7AD3D69A" w:rsidR="003F6EFC" w:rsidRDefault="003F6EFC">
      <w:pPr>
        <w:pStyle w:val="TOC5"/>
        <w:rPr>
          <w:rFonts w:asciiTheme="minorHAnsi" w:eastAsiaTheme="minorEastAsia" w:hAnsiTheme="minorHAnsi" w:cstheme="minorBidi"/>
          <w:noProof/>
          <w:kern w:val="2"/>
          <w:sz w:val="21"/>
          <w:szCs w:val="22"/>
          <w:lang w:val="en-US" w:eastAsia="zh-CN"/>
        </w:rPr>
      </w:pPr>
      <w:r>
        <w:rPr>
          <w:noProof/>
        </w:rPr>
        <w:t>5.5.3.2.3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_Toc199453238 \h </w:instrText>
      </w:r>
      <w:r>
        <w:rPr>
          <w:noProof/>
        </w:rPr>
      </w:r>
      <w:r>
        <w:rPr>
          <w:noProof/>
        </w:rPr>
        <w:fldChar w:fldCharType="separate"/>
      </w:r>
      <w:r>
        <w:rPr>
          <w:noProof/>
        </w:rPr>
        <w:t>350</w:t>
      </w:r>
      <w:r>
        <w:rPr>
          <w:noProof/>
        </w:rPr>
        <w:fldChar w:fldCharType="end"/>
      </w:r>
    </w:p>
    <w:p w14:paraId="04BE14E0" w14:textId="4E3EE74D" w:rsidR="003F6EFC" w:rsidRDefault="003F6EFC">
      <w:pPr>
        <w:pStyle w:val="TOC6"/>
        <w:rPr>
          <w:rFonts w:asciiTheme="minorHAnsi" w:eastAsiaTheme="minorEastAsia" w:hAnsiTheme="minorHAnsi" w:cstheme="minorBidi"/>
          <w:noProof/>
          <w:kern w:val="2"/>
          <w:sz w:val="21"/>
          <w:szCs w:val="22"/>
          <w:lang w:val="en-US" w:eastAsia="zh-CN"/>
        </w:rPr>
      </w:pPr>
      <w:r>
        <w:rPr>
          <w:noProof/>
        </w:rPr>
        <w:t>5.5.3.2.3.1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_Toc199453239 \h </w:instrText>
      </w:r>
      <w:r>
        <w:rPr>
          <w:noProof/>
        </w:rPr>
      </w:r>
      <w:r>
        <w:rPr>
          <w:noProof/>
        </w:rPr>
        <w:fldChar w:fldCharType="separate"/>
      </w:r>
      <w:r>
        <w:rPr>
          <w:noProof/>
        </w:rPr>
        <w:t>350</w:t>
      </w:r>
      <w:r>
        <w:rPr>
          <w:noProof/>
        </w:rPr>
        <w:fldChar w:fldCharType="end"/>
      </w:r>
    </w:p>
    <w:p w14:paraId="0B338688" w14:textId="10B7797B" w:rsidR="003F6EFC" w:rsidRDefault="003F6EFC">
      <w:pPr>
        <w:pStyle w:val="TOC5"/>
        <w:rPr>
          <w:rFonts w:asciiTheme="minorHAnsi" w:eastAsiaTheme="minorEastAsia" w:hAnsiTheme="minorHAnsi" w:cstheme="minorBidi"/>
          <w:noProof/>
          <w:kern w:val="2"/>
          <w:sz w:val="21"/>
          <w:szCs w:val="22"/>
          <w:lang w:val="en-US" w:eastAsia="zh-CN"/>
        </w:rPr>
      </w:pPr>
      <w:r>
        <w:rPr>
          <w:noProof/>
        </w:rPr>
        <w:t>5.5.3.2.4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_Toc199453240 \h </w:instrText>
      </w:r>
      <w:r>
        <w:rPr>
          <w:noProof/>
        </w:rPr>
      </w:r>
      <w:r>
        <w:rPr>
          <w:noProof/>
        </w:rPr>
        <w:fldChar w:fldCharType="separate"/>
      </w:r>
      <w:r>
        <w:rPr>
          <w:noProof/>
        </w:rPr>
        <w:t>350</w:t>
      </w:r>
      <w:r>
        <w:rPr>
          <w:noProof/>
        </w:rPr>
        <w:fldChar w:fldCharType="end"/>
      </w:r>
    </w:p>
    <w:p w14:paraId="52BCC8E0" w14:textId="30B8BC6D" w:rsidR="003F6EFC" w:rsidRDefault="003F6EFC">
      <w:pPr>
        <w:pStyle w:val="TOC4"/>
        <w:rPr>
          <w:rFonts w:asciiTheme="minorHAnsi" w:eastAsiaTheme="minorEastAsia" w:hAnsiTheme="minorHAnsi" w:cstheme="minorBidi"/>
          <w:noProof/>
          <w:kern w:val="2"/>
          <w:sz w:val="21"/>
          <w:szCs w:val="22"/>
          <w:lang w:val="en-US" w:eastAsia="zh-CN"/>
        </w:rPr>
      </w:pPr>
      <w:r>
        <w:rPr>
          <w:noProof/>
        </w:rPr>
        <w:t>5.5.3.3</w:t>
      </w:r>
      <w:r>
        <w:rPr>
          <w:rFonts w:asciiTheme="minorHAnsi" w:eastAsiaTheme="minorEastAsia" w:hAnsiTheme="minorHAnsi" w:cstheme="minorBidi"/>
          <w:noProof/>
          <w:kern w:val="2"/>
          <w:sz w:val="21"/>
          <w:szCs w:val="22"/>
          <w:lang w:val="en-US" w:eastAsia="zh-CN"/>
        </w:rPr>
        <w:tab/>
      </w:r>
      <w:r>
        <w:rPr>
          <w:noProof/>
        </w:rPr>
        <w:t>Resource: Individual NWDAF ML Model Training Subscription</w:t>
      </w:r>
      <w:r>
        <w:rPr>
          <w:noProof/>
        </w:rPr>
        <w:tab/>
      </w:r>
      <w:r>
        <w:rPr>
          <w:noProof/>
        </w:rPr>
        <w:fldChar w:fldCharType="begin"/>
      </w:r>
      <w:r>
        <w:rPr>
          <w:noProof/>
        </w:rPr>
        <w:instrText xml:space="preserve"> PAGEREF _Toc199453241 \h </w:instrText>
      </w:r>
      <w:r>
        <w:rPr>
          <w:noProof/>
        </w:rPr>
      </w:r>
      <w:r>
        <w:rPr>
          <w:noProof/>
        </w:rPr>
        <w:fldChar w:fldCharType="separate"/>
      </w:r>
      <w:r>
        <w:rPr>
          <w:noProof/>
        </w:rPr>
        <w:t>350</w:t>
      </w:r>
      <w:r>
        <w:rPr>
          <w:noProof/>
        </w:rPr>
        <w:fldChar w:fldCharType="end"/>
      </w:r>
    </w:p>
    <w:p w14:paraId="2F731F6E" w14:textId="2CCAB38C" w:rsidR="003F6EFC" w:rsidRDefault="003F6EFC">
      <w:pPr>
        <w:pStyle w:val="TOC5"/>
        <w:rPr>
          <w:rFonts w:asciiTheme="minorHAnsi" w:eastAsiaTheme="minorEastAsia" w:hAnsiTheme="minorHAnsi" w:cstheme="minorBidi"/>
          <w:noProof/>
          <w:kern w:val="2"/>
          <w:sz w:val="21"/>
          <w:szCs w:val="22"/>
          <w:lang w:val="en-US" w:eastAsia="zh-CN"/>
        </w:rPr>
      </w:pPr>
      <w:r>
        <w:rPr>
          <w:noProof/>
        </w:rPr>
        <w:t>5.5.3.3.1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_Toc199453242 \h </w:instrText>
      </w:r>
      <w:r>
        <w:rPr>
          <w:noProof/>
        </w:rPr>
      </w:r>
      <w:r>
        <w:rPr>
          <w:noProof/>
        </w:rPr>
        <w:fldChar w:fldCharType="separate"/>
      </w:r>
      <w:r>
        <w:rPr>
          <w:noProof/>
        </w:rPr>
        <w:t>350</w:t>
      </w:r>
      <w:r>
        <w:rPr>
          <w:noProof/>
        </w:rPr>
        <w:fldChar w:fldCharType="end"/>
      </w:r>
    </w:p>
    <w:p w14:paraId="6E898192" w14:textId="7B58F130" w:rsidR="003F6EFC" w:rsidRDefault="003F6EFC">
      <w:pPr>
        <w:pStyle w:val="TOC5"/>
        <w:rPr>
          <w:rFonts w:asciiTheme="minorHAnsi" w:eastAsiaTheme="minorEastAsia" w:hAnsiTheme="minorHAnsi" w:cstheme="minorBidi"/>
          <w:noProof/>
          <w:kern w:val="2"/>
          <w:sz w:val="21"/>
          <w:szCs w:val="22"/>
          <w:lang w:val="en-US" w:eastAsia="zh-CN"/>
        </w:rPr>
      </w:pPr>
      <w:r>
        <w:rPr>
          <w:noProof/>
        </w:rPr>
        <w:t>5.5.3.3.2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_Toc199453243 \h </w:instrText>
      </w:r>
      <w:r>
        <w:rPr>
          <w:noProof/>
        </w:rPr>
      </w:r>
      <w:r>
        <w:rPr>
          <w:noProof/>
        </w:rPr>
        <w:fldChar w:fldCharType="separate"/>
      </w:r>
      <w:r>
        <w:rPr>
          <w:noProof/>
        </w:rPr>
        <w:t>350</w:t>
      </w:r>
      <w:r>
        <w:rPr>
          <w:noProof/>
        </w:rPr>
        <w:fldChar w:fldCharType="end"/>
      </w:r>
    </w:p>
    <w:p w14:paraId="2C3CAA3D" w14:textId="295AE6AD" w:rsidR="003F6EFC" w:rsidRDefault="003F6EFC">
      <w:pPr>
        <w:pStyle w:val="TOC5"/>
        <w:rPr>
          <w:rFonts w:asciiTheme="minorHAnsi" w:eastAsiaTheme="minorEastAsia" w:hAnsiTheme="minorHAnsi" w:cstheme="minorBidi"/>
          <w:noProof/>
          <w:kern w:val="2"/>
          <w:sz w:val="21"/>
          <w:szCs w:val="22"/>
          <w:lang w:val="en-US" w:eastAsia="zh-CN"/>
        </w:rPr>
      </w:pPr>
      <w:r>
        <w:rPr>
          <w:noProof/>
        </w:rPr>
        <w:t>5.5.3.3.3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_Toc199453244 \h </w:instrText>
      </w:r>
      <w:r>
        <w:rPr>
          <w:noProof/>
        </w:rPr>
      </w:r>
      <w:r>
        <w:rPr>
          <w:noProof/>
        </w:rPr>
        <w:fldChar w:fldCharType="separate"/>
      </w:r>
      <w:r>
        <w:rPr>
          <w:noProof/>
        </w:rPr>
        <w:t>351</w:t>
      </w:r>
      <w:r>
        <w:rPr>
          <w:noProof/>
        </w:rPr>
        <w:fldChar w:fldCharType="end"/>
      </w:r>
    </w:p>
    <w:p w14:paraId="2E5BA4BA" w14:textId="2CC75A86" w:rsidR="003F6EFC" w:rsidRDefault="003F6EFC">
      <w:pPr>
        <w:pStyle w:val="TOC6"/>
        <w:rPr>
          <w:rFonts w:asciiTheme="minorHAnsi" w:eastAsiaTheme="minorEastAsia" w:hAnsiTheme="minorHAnsi" w:cstheme="minorBidi"/>
          <w:noProof/>
          <w:kern w:val="2"/>
          <w:sz w:val="21"/>
          <w:szCs w:val="22"/>
          <w:lang w:val="en-US" w:eastAsia="zh-CN"/>
        </w:rPr>
      </w:pPr>
      <w:r>
        <w:rPr>
          <w:noProof/>
        </w:rPr>
        <w:t>5.5.3.3.3.1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_Toc199453245 \h </w:instrText>
      </w:r>
      <w:r>
        <w:rPr>
          <w:noProof/>
        </w:rPr>
      </w:r>
      <w:r>
        <w:rPr>
          <w:noProof/>
        </w:rPr>
        <w:fldChar w:fldCharType="separate"/>
      </w:r>
      <w:r>
        <w:rPr>
          <w:noProof/>
        </w:rPr>
        <w:t>351</w:t>
      </w:r>
      <w:r>
        <w:rPr>
          <w:noProof/>
        </w:rPr>
        <w:fldChar w:fldCharType="end"/>
      </w:r>
    </w:p>
    <w:p w14:paraId="0CCB40C0" w14:textId="417116AC" w:rsidR="003F6EFC" w:rsidRDefault="003F6EFC">
      <w:pPr>
        <w:pStyle w:val="TOC6"/>
        <w:rPr>
          <w:rFonts w:asciiTheme="minorHAnsi" w:eastAsiaTheme="minorEastAsia" w:hAnsiTheme="minorHAnsi" w:cstheme="minorBidi"/>
          <w:noProof/>
          <w:kern w:val="2"/>
          <w:sz w:val="21"/>
          <w:szCs w:val="22"/>
          <w:lang w:val="en-US" w:eastAsia="zh-CN"/>
        </w:rPr>
      </w:pPr>
      <w:r>
        <w:rPr>
          <w:noProof/>
        </w:rPr>
        <w:t>5.5.3.3.3.2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_Toc199453246 \h </w:instrText>
      </w:r>
      <w:r>
        <w:rPr>
          <w:noProof/>
        </w:rPr>
      </w:r>
      <w:r>
        <w:rPr>
          <w:noProof/>
        </w:rPr>
        <w:fldChar w:fldCharType="separate"/>
      </w:r>
      <w:r>
        <w:rPr>
          <w:noProof/>
        </w:rPr>
        <w:t>352</w:t>
      </w:r>
      <w:r>
        <w:rPr>
          <w:noProof/>
        </w:rPr>
        <w:fldChar w:fldCharType="end"/>
      </w:r>
    </w:p>
    <w:p w14:paraId="6C7FBCAC" w14:textId="3AE90F4D" w:rsidR="003F6EFC" w:rsidRDefault="003F6EFC">
      <w:pPr>
        <w:pStyle w:val="TOC6"/>
        <w:rPr>
          <w:rFonts w:asciiTheme="minorHAnsi" w:eastAsiaTheme="minorEastAsia" w:hAnsiTheme="minorHAnsi" w:cstheme="minorBidi"/>
          <w:noProof/>
          <w:kern w:val="2"/>
          <w:sz w:val="21"/>
          <w:szCs w:val="22"/>
          <w:lang w:val="en-US" w:eastAsia="zh-CN"/>
        </w:rPr>
      </w:pPr>
      <w:r>
        <w:rPr>
          <w:noProof/>
        </w:rPr>
        <w:t>5.5.3.3.3.3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_Toc199453247 \h </w:instrText>
      </w:r>
      <w:r>
        <w:rPr>
          <w:noProof/>
        </w:rPr>
      </w:r>
      <w:r>
        <w:rPr>
          <w:noProof/>
        </w:rPr>
        <w:fldChar w:fldCharType="separate"/>
      </w:r>
      <w:r>
        <w:rPr>
          <w:noProof/>
        </w:rPr>
        <w:t>353</w:t>
      </w:r>
      <w:r>
        <w:rPr>
          <w:noProof/>
        </w:rPr>
        <w:fldChar w:fldCharType="end"/>
      </w:r>
    </w:p>
    <w:p w14:paraId="7B75F1CA" w14:textId="3F07AA40" w:rsidR="003F6EFC" w:rsidRDefault="003F6EFC">
      <w:pPr>
        <w:pStyle w:val="TOC5"/>
        <w:rPr>
          <w:rFonts w:asciiTheme="minorHAnsi" w:eastAsiaTheme="minorEastAsia" w:hAnsiTheme="minorHAnsi" w:cstheme="minorBidi"/>
          <w:noProof/>
          <w:kern w:val="2"/>
          <w:sz w:val="21"/>
          <w:szCs w:val="22"/>
          <w:lang w:val="en-US" w:eastAsia="zh-CN"/>
        </w:rPr>
      </w:pPr>
      <w:r>
        <w:rPr>
          <w:noProof/>
        </w:rPr>
        <w:t>5.5.3.3.4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_Toc199453248 \h </w:instrText>
      </w:r>
      <w:r>
        <w:rPr>
          <w:noProof/>
        </w:rPr>
      </w:r>
      <w:r>
        <w:rPr>
          <w:noProof/>
        </w:rPr>
        <w:fldChar w:fldCharType="separate"/>
      </w:r>
      <w:r>
        <w:rPr>
          <w:noProof/>
        </w:rPr>
        <w:t>354</w:t>
      </w:r>
      <w:r>
        <w:rPr>
          <w:noProof/>
        </w:rPr>
        <w:fldChar w:fldCharType="end"/>
      </w:r>
    </w:p>
    <w:p w14:paraId="76C9D461" w14:textId="19F0FC34"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_Toc199453249 \h </w:instrText>
      </w:r>
      <w:r>
        <w:rPr>
          <w:noProof/>
        </w:rPr>
      </w:r>
      <w:r>
        <w:rPr>
          <w:noProof/>
        </w:rPr>
        <w:fldChar w:fldCharType="separate"/>
      </w:r>
      <w:r>
        <w:rPr>
          <w:noProof/>
        </w:rPr>
        <w:t>354</w:t>
      </w:r>
      <w:r>
        <w:rPr>
          <w:noProof/>
        </w:rPr>
        <w:fldChar w:fldCharType="end"/>
      </w:r>
    </w:p>
    <w:p w14:paraId="37E59323" w14:textId="66ADADF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_Toc199453250 \h </w:instrText>
      </w:r>
      <w:r>
        <w:rPr>
          <w:noProof/>
        </w:rPr>
      </w:r>
      <w:r>
        <w:rPr>
          <w:noProof/>
        </w:rPr>
        <w:fldChar w:fldCharType="separate"/>
      </w:r>
      <w:r>
        <w:rPr>
          <w:noProof/>
        </w:rPr>
        <w:t>355</w:t>
      </w:r>
      <w:r>
        <w:rPr>
          <w:noProof/>
        </w:rPr>
        <w:fldChar w:fldCharType="end"/>
      </w:r>
    </w:p>
    <w:p w14:paraId="7D4A6FF7" w14:textId="0352BED7" w:rsidR="003F6EFC" w:rsidRDefault="003F6EFC">
      <w:pPr>
        <w:pStyle w:val="TOC4"/>
        <w:rPr>
          <w:rFonts w:asciiTheme="minorHAnsi" w:eastAsiaTheme="minorEastAsia" w:hAnsiTheme="minorHAnsi" w:cstheme="minorBidi"/>
          <w:noProof/>
          <w:kern w:val="2"/>
          <w:sz w:val="21"/>
          <w:szCs w:val="22"/>
          <w:lang w:val="en-US" w:eastAsia="zh-CN"/>
        </w:rPr>
      </w:pPr>
      <w:r>
        <w:rPr>
          <w:noProof/>
        </w:rPr>
        <w:t>5.5.5.1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_Toc199453251 \h </w:instrText>
      </w:r>
      <w:r>
        <w:rPr>
          <w:noProof/>
        </w:rPr>
      </w:r>
      <w:r>
        <w:rPr>
          <w:noProof/>
        </w:rPr>
        <w:fldChar w:fldCharType="separate"/>
      </w:r>
      <w:r>
        <w:rPr>
          <w:noProof/>
        </w:rPr>
        <w:t>355</w:t>
      </w:r>
      <w:r>
        <w:rPr>
          <w:noProof/>
        </w:rPr>
        <w:fldChar w:fldCharType="end"/>
      </w:r>
    </w:p>
    <w:p w14:paraId="2BB65729" w14:textId="4AA3C29C" w:rsidR="003F6EFC" w:rsidRDefault="003F6EFC">
      <w:pPr>
        <w:pStyle w:val="TOC4"/>
        <w:rPr>
          <w:rFonts w:asciiTheme="minorHAnsi" w:eastAsiaTheme="minorEastAsia" w:hAnsiTheme="minorHAnsi" w:cstheme="minorBidi"/>
          <w:noProof/>
          <w:kern w:val="2"/>
          <w:sz w:val="21"/>
          <w:szCs w:val="22"/>
          <w:lang w:val="en-US" w:eastAsia="zh-CN"/>
        </w:rPr>
      </w:pPr>
      <w:r>
        <w:rPr>
          <w:noProof/>
        </w:rPr>
        <w:t>5.5.5.2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_Toc199453252 \h </w:instrText>
      </w:r>
      <w:r>
        <w:rPr>
          <w:noProof/>
        </w:rPr>
      </w:r>
      <w:r>
        <w:rPr>
          <w:noProof/>
        </w:rPr>
        <w:fldChar w:fldCharType="separate"/>
      </w:r>
      <w:r>
        <w:rPr>
          <w:noProof/>
        </w:rPr>
        <w:t>355</w:t>
      </w:r>
      <w:r>
        <w:rPr>
          <w:noProof/>
        </w:rPr>
        <w:fldChar w:fldCharType="end"/>
      </w:r>
    </w:p>
    <w:p w14:paraId="0D3A8043" w14:textId="75AC93AA" w:rsidR="003F6EFC" w:rsidRDefault="003F6EFC">
      <w:pPr>
        <w:pStyle w:val="TOC5"/>
        <w:rPr>
          <w:rFonts w:asciiTheme="minorHAnsi" w:eastAsiaTheme="minorEastAsia" w:hAnsiTheme="minorHAnsi" w:cstheme="minorBidi"/>
          <w:noProof/>
          <w:kern w:val="2"/>
          <w:sz w:val="21"/>
          <w:szCs w:val="22"/>
          <w:lang w:val="en-US" w:eastAsia="zh-CN"/>
        </w:rPr>
      </w:pPr>
      <w:r>
        <w:rPr>
          <w:noProof/>
        </w:rPr>
        <w:t>5.5.5.2.1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_Toc199453253 \h </w:instrText>
      </w:r>
      <w:r>
        <w:rPr>
          <w:noProof/>
        </w:rPr>
      </w:r>
      <w:r>
        <w:rPr>
          <w:noProof/>
        </w:rPr>
        <w:fldChar w:fldCharType="separate"/>
      </w:r>
      <w:r>
        <w:rPr>
          <w:noProof/>
        </w:rPr>
        <w:t>355</w:t>
      </w:r>
      <w:r>
        <w:rPr>
          <w:noProof/>
        </w:rPr>
        <w:fldChar w:fldCharType="end"/>
      </w:r>
    </w:p>
    <w:p w14:paraId="18573EF1" w14:textId="2DB597BD" w:rsidR="003F6EFC" w:rsidRDefault="003F6EFC">
      <w:pPr>
        <w:pStyle w:val="TOC5"/>
        <w:rPr>
          <w:rFonts w:asciiTheme="minorHAnsi" w:eastAsiaTheme="minorEastAsia" w:hAnsiTheme="minorHAnsi" w:cstheme="minorBidi"/>
          <w:noProof/>
          <w:kern w:val="2"/>
          <w:sz w:val="21"/>
          <w:szCs w:val="22"/>
          <w:lang w:val="en-US" w:eastAsia="zh-CN"/>
        </w:rPr>
      </w:pPr>
      <w:r>
        <w:rPr>
          <w:noProof/>
        </w:rPr>
        <w:t>5.5.5.2.2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_Toc199453254 \h </w:instrText>
      </w:r>
      <w:r>
        <w:rPr>
          <w:noProof/>
        </w:rPr>
      </w:r>
      <w:r>
        <w:rPr>
          <w:noProof/>
        </w:rPr>
        <w:fldChar w:fldCharType="separate"/>
      </w:r>
      <w:r>
        <w:rPr>
          <w:noProof/>
        </w:rPr>
        <w:t>355</w:t>
      </w:r>
      <w:r>
        <w:rPr>
          <w:noProof/>
        </w:rPr>
        <w:fldChar w:fldCharType="end"/>
      </w:r>
    </w:p>
    <w:p w14:paraId="66166AA8" w14:textId="7658455A"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_Toc199453255 \h </w:instrText>
      </w:r>
      <w:r>
        <w:rPr>
          <w:noProof/>
        </w:rPr>
      </w:r>
      <w:r>
        <w:rPr>
          <w:noProof/>
        </w:rPr>
        <w:fldChar w:fldCharType="separate"/>
      </w:r>
      <w:r>
        <w:rPr>
          <w:noProof/>
        </w:rPr>
        <w:t>356</w:t>
      </w:r>
      <w:r>
        <w:rPr>
          <w:noProof/>
        </w:rPr>
        <w:fldChar w:fldCharType="end"/>
      </w:r>
    </w:p>
    <w:p w14:paraId="05069756" w14:textId="33DCF832" w:rsidR="003F6EFC" w:rsidRDefault="003F6EFC">
      <w:pPr>
        <w:pStyle w:val="TOC4"/>
        <w:rPr>
          <w:rFonts w:asciiTheme="minorHAnsi" w:eastAsiaTheme="minorEastAsia" w:hAnsiTheme="minorHAnsi" w:cstheme="minorBidi"/>
          <w:noProof/>
          <w:kern w:val="2"/>
          <w:sz w:val="21"/>
          <w:szCs w:val="22"/>
          <w:lang w:val="en-US" w:eastAsia="zh-CN"/>
        </w:rPr>
      </w:pPr>
      <w:r>
        <w:rPr>
          <w:noProof/>
        </w:rPr>
        <w:t>5.5.6.1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_Toc199453256 \h </w:instrText>
      </w:r>
      <w:r>
        <w:rPr>
          <w:noProof/>
        </w:rPr>
      </w:r>
      <w:r>
        <w:rPr>
          <w:noProof/>
        </w:rPr>
        <w:fldChar w:fldCharType="separate"/>
      </w:r>
      <w:r>
        <w:rPr>
          <w:noProof/>
        </w:rPr>
        <w:t>356</w:t>
      </w:r>
      <w:r>
        <w:rPr>
          <w:noProof/>
        </w:rPr>
        <w:fldChar w:fldCharType="end"/>
      </w:r>
    </w:p>
    <w:p w14:paraId="68E86BB9" w14:textId="72C52CC5" w:rsidR="003F6EFC" w:rsidRDefault="003F6EFC">
      <w:pPr>
        <w:pStyle w:val="TOC4"/>
        <w:rPr>
          <w:rFonts w:asciiTheme="minorHAnsi" w:eastAsiaTheme="minorEastAsia" w:hAnsiTheme="minorHAnsi" w:cstheme="minorBidi"/>
          <w:noProof/>
          <w:kern w:val="2"/>
          <w:sz w:val="21"/>
          <w:szCs w:val="22"/>
          <w:lang w:val="en-US" w:eastAsia="zh-CN"/>
        </w:rPr>
      </w:pPr>
      <w:r>
        <w:rPr>
          <w:noProof/>
        </w:rPr>
        <w:t>5.5.6.2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_Toc199453257 \h </w:instrText>
      </w:r>
      <w:r>
        <w:rPr>
          <w:noProof/>
        </w:rPr>
      </w:r>
      <w:r>
        <w:rPr>
          <w:noProof/>
        </w:rPr>
        <w:fldChar w:fldCharType="separate"/>
      </w:r>
      <w:r>
        <w:rPr>
          <w:noProof/>
        </w:rPr>
        <w:t>358</w:t>
      </w:r>
      <w:r>
        <w:rPr>
          <w:noProof/>
        </w:rPr>
        <w:fldChar w:fldCharType="end"/>
      </w:r>
    </w:p>
    <w:p w14:paraId="37797BDD" w14:textId="26F2D71F" w:rsidR="003F6EFC" w:rsidRDefault="003F6EFC">
      <w:pPr>
        <w:pStyle w:val="TOC5"/>
        <w:rPr>
          <w:rFonts w:asciiTheme="minorHAnsi" w:eastAsiaTheme="minorEastAsia" w:hAnsiTheme="minorHAnsi" w:cstheme="minorBidi"/>
          <w:noProof/>
          <w:kern w:val="2"/>
          <w:sz w:val="21"/>
          <w:szCs w:val="22"/>
          <w:lang w:val="en-US" w:eastAsia="zh-CN"/>
        </w:rPr>
      </w:pPr>
      <w:r>
        <w:rPr>
          <w:noProof/>
        </w:rPr>
        <w:t>5.5.6.2.1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_Toc199453258 \h </w:instrText>
      </w:r>
      <w:r>
        <w:rPr>
          <w:noProof/>
        </w:rPr>
      </w:r>
      <w:r>
        <w:rPr>
          <w:noProof/>
        </w:rPr>
        <w:fldChar w:fldCharType="separate"/>
      </w:r>
      <w:r>
        <w:rPr>
          <w:noProof/>
        </w:rPr>
        <w:t>358</w:t>
      </w:r>
      <w:r>
        <w:rPr>
          <w:noProof/>
        </w:rPr>
        <w:fldChar w:fldCharType="end"/>
      </w:r>
    </w:p>
    <w:p w14:paraId="4A919717" w14:textId="545CFC21" w:rsidR="003F6EFC" w:rsidRDefault="003F6EFC">
      <w:pPr>
        <w:pStyle w:val="TOC5"/>
        <w:rPr>
          <w:rFonts w:asciiTheme="minorHAnsi" w:eastAsiaTheme="minorEastAsia" w:hAnsiTheme="minorHAnsi" w:cstheme="minorBidi"/>
          <w:noProof/>
          <w:kern w:val="2"/>
          <w:sz w:val="21"/>
          <w:szCs w:val="22"/>
          <w:lang w:val="en-US" w:eastAsia="zh-CN"/>
        </w:rPr>
      </w:pPr>
      <w:r>
        <w:rPr>
          <w:noProof/>
        </w:rPr>
        <w:t>5.5.6.2.2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NwdafMLModelTrainSubsc</w:t>
      </w:r>
      <w:r>
        <w:rPr>
          <w:noProof/>
        </w:rPr>
        <w:tab/>
      </w:r>
      <w:r>
        <w:rPr>
          <w:noProof/>
        </w:rPr>
        <w:fldChar w:fldCharType="begin"/>
      </w:r>
      <w:r>
        <w:rPr>
          <w:noProof/>
        </w:rPr>
        <w:instrText xml:space="preserve"> PAGEREF _Toc199453259 \h </w:instrText>
      </w:r>
      <w:r>
        <w:rPr>
          <w:noProof/>
        </w:rPr>
      </w:r>
      <w:r>
        <w:rPr>
          <w:noProof/>
        </w:rPr>
        <w:fldChar w:fldCharType="separate"/>
      </w:r>
      <w:r>
        <w:rPr>
          <w:noProof/>
        </w:rPr>
        <w:t>359</w:t>
      </w:r>
      <w:r>
        <w:rPr>
          <w:noProof/>
        </w:rPr>
        <w:fldChar w:fldCharType="end"/>
      </w:r>
    </w:p>
    <w:p w14:paraId="4E5E23F9" w14:textId="3895EB82" w:rsidR="003F6EFC" w:rsidRDefault="003F6EFC">
      <w:pPr>
        <w:pStyle w:val="TOC5"/>
        <w:rPr>
          <w:rFonts w:asciiTheme="minorHAnsi" w:eastAsiaTheme="minorEastAsia" w:hAnsiTheme="minorHAnsi" w:cstheme="minorBidi"/>
          <w:noProof/>
          <w:kern w:val="2"/>
          <w:sz w:val="21"/>
          <w:szCs w:val="22"/>
          <w:lang w:val="en-US" w:eastAsia="zh-CN"/>
        </w:rPr>
      </w:pPr>
      <w:r>
        <w:rPr>
          <w:noProof/>
        </w:rPr>
        <w:t>5.5.6.2.3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NwdafMLModelTrainSubscPatch</w:t>
      </w:r>
      <w:r>
        <w:rPr>
          <w:noProof/>
        </w:rPr>
        <w:tab/>
      </w:r>
      <w:r>
        <w:rPr>
          <w:noProof/>
        </w:rPr>
        <w:fldChar w:fldCharType="begin"/>
      </w:r>
      <w:r>
        <w:rPr>
          <w:noProof/>
        </w:rPr>
        <w:instrText xml:space="preserve"> PAGEREF _Toc199453260 \h </w:instrText>
      </w:r>
      <w:r>
        <w:rPr>
          <w:noProof/>
        </w:rPr>
      </w:r>
      <w:r>
        <w:rPr>
          <w:noProof/>
        </w:rPr>
        <w:fldChar w:fldCharType="separate"/>
      </w:r>
      <w:r>
        <w:rPr>
          <w:noProof/>
        </w:rPr>
        <w:t>362</w:t>
      </w:r>
      <w:r>
        <w:rPr>
          <w:noProof/>
        </w:rPr>
        <w:fldChar w:fldCharType="end"/>
      </w:r>
    </w:p>
    <w:p w14:paraId="0C96E066" w14:textId="451F4808" w:rsidR="003F6EFC" w:rsidRDefault="003F6EFC">
      <w:pPr>
        <w:pStyle w:val="TOC5"/>
        <w:rPr>
          <w:rFonts w:asciiTheme="minorHAnsi" w:eastAsiaTheme="minorEastAsia" w:hAnsiTheme="minorHAnsi" w:cstheme="minorBidi"/>
          <w:noProof/>
          <w:kern w:val="2"/>
          <w:sz w:val="21"/>
          <w:szCs w:val="22"/>
          <w:lang w:val="en-US" w:eastAsia="zh-CN"/>
        </w:rPr>
      </w:pPr>
      <w:r>
        <w:rPr>
          <w:noProof/>
        </w:rPr>
        <w:t>5.5.6.2.5</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MLModelTrainInfo</w:t>
      </w:r>
      <w:r>
        <w:rPr>
          <w:noProof/>
        </w:rPr>
        <w:tab/>
      </w:r>
      <w:r>
        <w:rPr>
          <w:noProof/>
        </w:rPr>
        <w:fldChar w:fldCharType="begin"/>
      </w:r>
      <w:r>
        <w:rPr>
          <w:noProof/>
        </w:rPr>
        <w:instrText xml:space="preserve"> PAGEREF _Toc199453261 \h </w:instrText>
      </w:r>
      <w:r>
        <w:rPr>
          <w:noProof/>
        </w:rPr>
      </w:r>
      <w:r>
        <w:rPr>
          <w:noProof/>
        </w:rPr>
        <w:fldChar w:fldCharType="separate"/>
      </w:r>
      <w:r>
        <w:rPr>
          <w:noProof/>
        </w:rPr>
        <w:t>363</w:t>
      </w:r>
      <w:r>
        <w:rPr>
          <w:noProof/>
        </w:rPr>
        <w:fldChar w:fldCharType="end"/>
      </w:r>
    </w:p>
    <w:p w14:paraId="132B73D6" w14:textId="5651A4DC" w:rsidR="003F6EFC" w:rsidRDefault="003F6EFC">
      <w:pPr>
        <w:pStyle w:val="TOC5"/>
        <w:rPr>
          <w:rFonts w:asciiTheme="minorHAnsi" w:eastAsiaTheme="minorEastAsia" w:hAnsiTheme="minorHAnsi" w:cstheme="minorBidi"/>
          <w:noProof/>
          <w:kern w:val="2"/>
          <w:sz w:val="21"/>
          <w:szCs w:val="22"/>
          <w:lang w:val="en-US" w:eastAsia="zh-CN"/>
        </w:rPr>
      </w:pPr>
      <w:r>
        <w:rPr>
          <w:noProof/>
        </w:rPr>
        <w:t>5.5.6.2.6</w:t>
      </w:r>
      <w:r>
        <w:rPr>
          <w:rFonts w:asciiTheme="minorHAnsi" w:eastAsiaTheme="minorEastAsia" w:hAnsiTheme="minorHAnsi" w:cstheme="minorBidi"/>
          <w:noProof/>
          <w:kern w:val="2"/>
          <w:sz w:val="21"/>
          <w:szCs w:val="22"/>
          <w:lang w:val="en-US" w:eastAsia="zh-CN"/>
        </w:rPr>
        <w:tab/>
      </w:r>
      <w:r>
        <w:rPr>
          <w:noProof/>
        </w:rPr>
        <w:t>Type MLTrainReportInfo</w:t>
      </w:r>
      <w:r>
        <w:rPr>
          <w:noProof/>
        </w:rPr>
        <w:tab/>
      </w:r>
      <w:r>
        <w:rPr>
          <w:noProof/>
        </w:rPr>
        <w:fldChar w:fldCharType="begin"/>
      </w:r>
      <w:r>
        <w:rPr>
          <w:noProof/>
        </w:rPr>
        <w:instrText xml:space="preserve"> PAGEREF _Toc199453262 \h </w:instrText>
      </w:r>
      <w:r>
        <w:rPr>
          <w:noProof/>
        </w:rPr>
      </w:r>
      <w:r>
        <w:rPr>
          <w:noProof/>
        </w:rPr>
        <w:fldChar w:fldCharType="separate"/>
      </w:r>
      <w:r>
        <w:rPr>
          <w:noProof/>
        </w:rPr>
        <w:t>363</w:t>
      </w:r>
      <w:r>
        <w:rPr>
          <w:noProof/>
        </w:rPr>
        <w:fldChar w:fldCharType="end"/>
      </w:r>
    </w:p>
    <w:p w14:paraId="050796DD" w14:textId="34D3DC03" w:rsidR="003F6EFC" w:rsidRDefault="003F6EFC">
      <w:pPr>
        <w:pStyle w:val="TOC5"/>
        <w:rPr>
          <w:rFonts w:asciiTheme="minorHAnsi" w:eastAsiaTheme="minorEastAsia" w:hAnsiTheme="minorHAnsi" w:cstheme="minorBidi"/>
          <w:noProof/>
          <w:kern w:val="2"/>
          <w:sz w:val="21"/>
          <w:szCs w:val="22"/>
          <w:lang w:val="en-US" w:eastAsia="zh-CN"/>
        </w:rPr>
      </w:pPr>
      <w:r>
        <w:rPr>
          <w:noProof/>
        </w:rPr>
        <w:t>5.5.6.2.7</w:t>
      </w:r>
      <w:r>
        <w:rPr>
          <w:rFonts w:asciiTheme="minorHAnsi" w:eastAsiaTheme="minorEastAsia" w:hAnsiTheme="minorHAnsi" w:cstheme="minorBidi"/>
          <w:noProof/>
          <w:kern w:val="2"/>
          <w:sz w:val="21"/>
          <w:szCs w:val="22"/>
          <w:lang w:val="en-US" w:eastAsia="zh-CN"/>
        </w:rPr>
        <w:tab/>
      </w:r>
      <w:r>
        <w:rPr>
          <w:noProof/>
        </w:rPr>
        <w:t>Type FailureEventInfoForMLModelTrain</w:t>
      </w:r>
      <w:r>
        <w:rPr>
          <w:noProof/>
        </w:rPr>
        <w:tab/>
      </w:r>
      <w:r>
        <w:rPr>
          <w:noProof/>
        </w:rPr>
        <w:fldChar w:fldCharType="begin"/>
      </w:r>
      <w:r>
        <w:rPr>
          <w:noProof/>
        </w:rPr>
        <w:instrText xml:space="preserve"> PAGEREF _Toc199453263 \h </w:instrText>
      </w:r>
      <w:r>
        <w:rPr>
          <w:noProof/>
        </w:rPr>
      </w:r>
      <w:r>
        <w:rPr>
          <w:noProof/>
        </w:rPr>
        <w:fldChar w:fldCharType="separate"/>
      </w:r>
      <w:r>
        <w:rPr>
          <w:noProof/>
        </w:rPr>
        <w:t>363</w:t>
      </w:r>
      <w:r>
        <w:rPr>
          <w:noProof/>
        </w:rPr>
        <w:fldChar w:fldCharType="end"/>
      </w:r>
    </w:p>
    <w:p w14:paraId="0F333FA8" w14:textId="50C612D9" w:rsidR="003F6EFC" w:rsidRDefault="003F6EFC">
      <w:pPr>
        <w:pStyle w:val="TOC5"/>
        <w:rPr>
          <w:rFonts w:asciiTheme="minorHAnsi" w:eastAsiaTheme="minorEastAsia" w:hAnsiTheme="minorHAnsi" w:cstheme="minorBidi"/>
          <w:noProof/>
          <w:kern w:val="2"/>
          <w:sz w:val="21"/>
          <w:szCs w:val="22"/>
          <w:lang w:val="en-US" w:eastAsia="zh-CN"/>
        </w:rPr>
      </w:pPr>
      <w:r>
        <w:rPr>
          <w:noProof/>
        </w:rPr>
        <w:t>5.5.6.2.8</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NwdafMLModelTrainNotif</w:t>
      </w:r>
      <w:r>
        <w:rPr>
          <w:noProof/>
        </w:rPr>
        <w:tab/>
      </w:r>
      <w:r>
        <w:rPr>
          <w:noProof/>
        </w:rPr>
        <w:fldChar w:fldCharType="begin"/>
      </w:r>
      <w:r>
        <w:rPr>
          <w:noProof/>
        </w:rPr>
        <w:instrText xml:space="preserve"> PAGEREF _Toc199453264 \h </w:instrText>
      </w:r>
      <w:r>
        <w:rPr>
          <w:noProof/>
        </w:rPr>
      </w:r>
      <w:r>
        <w:rPr>
          <w:noProof/>
        </w:rPr>
        <w:fldChar w:fldCharType="separate"/>
      </w:r>
      <w:r>
        <w:rPr>
          <w:noProof/>
        </w:rPr>
        <w:t>364</w:t>
      </w:r>
      <w:r>
        <w:rPr>
          <w:noProof/>
        </w:rPr>
        <w:fldChar w:fldCharType="end"/>
      </w:r>
    </w:p>
    <w:p w14:paraId="3C1DB951" w14:textId="1A68746D" w:rsidR="003F6EFC" w:rsidRDefault="003F6EFC">
      <w:pPr>
        <w:pStyle w:val="TOC5"/>
        <w:rPr>
          <w:rFonts w:asciiTheme="minorHAnsi" w:eastAsiaTheme="minorEastAsia" w:hAnsiTheme="minorHAnsi" w:cstheme="minorBidi"/>
          <w:noProof/>
          <w:kern w:val="2"/>
          <w:sz w:val="21"/>
          <w:szCs w:val="22"/>
          <w:lang w:val="en-US" w:eastAsia="zh-CN"/>
        </w:rPr>
      </w:pPr>
      <w:r>
        <w:rPr>
          <w:noProof/>
        </w:rPr>
        <w:t>5.5.6.2.9</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_Toc199453265 \h </w:instrText>
      </w:r>
      <w:r>
        <w:rPr>
          <w:noProof/>
        </w:rPr>
      </w:r>
      <w:r>
        <w:rPr>
          <w:noProof/>
        </w:rPr>
        <w:fldChar w:fldCharType="separate"/>
      </w:r>
      <w:r>
        <w:rPr>
          <w:noProof/>
        </w:rPr>
        <w:t>365</w:t>
      </w:r>
      <w:r>
        <w:rPr>
          <w:noProof/>
        </w:rPr>
        <w:fldChar w:fldCharType="end"/>
      </w:r>
    </w:p>
    <w:p w14:paraId="5B5B357C" w14:textId="158B093F" w:rsidR="003F6EFC" w:rsidRDefault="003F6EFC">
      <w:pPr>
        <w:pStyle w:val="TOC5"/>
        <w:rPr>
          <w:rFonts w:asciiTheme="minorHAnsi" w:eastAsiaTheme="minorEastAsia" w:hAnsiTheme="minorHAnsi" w:cstheme="minorBidi"/>
          <w:noProof/>
          <w:kern w:val="2"/>
          <w:sz w:val="21"/>
          <w:szCs w:val="22"/>
          <w:lang w:val="en-US" w:eastAsia="zh-CN"/>
        </w:rPr>
      </w:pPr>
      <w:r>
        <w:rPr>
          <w:noProof/>
        </w:rPr>
        <w:t>5.5.6.2.10</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DataAvReq</w:t>
      </w:r>
      <w:r>
        <w:rPr>
          <w:noProof/>
        </w:rPr>
        <w:tab/>
      </w:r>
      <w:r>
        <w:rPr>
          <w:noProof/>
        </w:rPr>
        <w:fldChar w:fldCharType="begin"/>
      </w:r>
      <w:r>
        <w:rPr>
          <w:noProof/>
        </w:rPr>
        <w:instrText xml:space="preserve"> PAGEREF _Toc199453266 \h </w:instrText>
      </w:r>
      <w:r>
        <w:rPr>
          <w:noProof/>
        </w:rPr>
      </w:r>
      <w:r>
        <w:rPr>
          <w:noProof/>
        </w:rPr>
        <w:fldChar w:fldCharType="separate"/>
      </w:r>
      <w:r>
        <w:rPr>
          <w:noProof/>
        </w:rPr>
        <w:t>365</w:t>
      </w:r>
      <w:r>
        <w:rPr>
          <w:noProof/>
        </w:rPr>
        <w:fldChar w:fldCharType="end"/>
      </w:r>
    </w:p>
    <w:p w14:paraId="551FC6D0" w14:textId="6843F220" w:rsidR="003F6EFC" w:rsidRDefault="003F6EFC">
      <w:pPr>
        <w:pStyle w:val="TOC5"/>
        <w:rPr>
          <w:rFonts w:asciiTheme="minorHAnsi" w:eastAsiaTheme="minorEastAsia" w:hAnsiTheme="minorHAnsi" w:cstheme="minorBidi"/>
          <w:noProof/>
          <w:kern w:val="2"/>
          <w:sz w:val="21"/>
          <w:szCs w:val="22"/>
          <w:lang w:val="en-US" w:eastAsia="zh-CN"/>
        </w:rPr>
      </w:pPr>
      <w:r>
        <w:rPr>
          <w:noProof/>
        </w:rPr>
        <w:t>5.5.6.2.11</w:t>
      </w:r>
      <w:r>
        <w:rPr>
          <w:rFonts w:asciiTheme="minorHAnsi" w:eastAsiaTheme="minorEastAsia" w:hAnsiTheme="minorHAnsi" w:cstheme="minorBidi"/>
          <w:noProof/>
          <w:kern w:val="2"/>
          <w:sz w:val="21"/>
          <w:szCs w:val="22"/>
          <w:lang w:val="en-US" w:eastAsia="zh-CN"/>
        </w:rPr>
        <w:tab/>
      </w:r>
      <w:r>
        <w:rPr>
          <w:noProof/>
        </w:rPr>
        <w:t xml:space="preserve">Type </w:t>
      </w:r>
      <w:r w:rsidRPr="00D64295">
        <w:rPr>
          <w:noProof/>
          <w:lang w:val="en-US" w:eastAsia="zh-CN"/>
        </w:rPr>
        <w:t>DelayEventNotif</w:t>
      </w:r>
      <w:r>
        <w:rPr>
          <w:noProof/>
        </w:rPr>
        <w:tab/>
      </w:r>
      <w:r>
        <w:rPr>
          <w:noProof/>
        </w:rPr>
        <w:fldChar w:fldCharType="begin"/>
      </w:r>
      <w:r>
        <w:rPr>
          <w:noProof/>
        </w:rPr>
        <w:instrText xml:space="preserve"> PAGEREF _Toc199453267 \h </w:instrText>
      </w:r>
      <w:r>
        <w:rPr>
          <w:noProof/>
        </w:rPr>
      </w:r>
      <w:r>
        <w:rPr>
          <w:noProof/>
        </w:rPr>
        <w:fldChar w:fldCharType="separate"/>
      </w:r>
      <w:r>
        <w:rPr>
          <w:noProof/>
        </w:rPr>
        <w:t>365</w:t>
      </w:r>
      <w:r>
        <w:rPr>
          <w:noProof/>
        </w:rPr>
        <w:fldChar w:fldCharType="end"/>
      </w:r>
    </w:p>
    <w:p w14:paraId="3F1B0190" w14:textId="4F41A25D" w:rsidR="003F6EFC" w:rsidRDefault="003F6EFC">
      <w:pPr>
        <w:pStyle w:val="TOC5"/>
        <w:rPr>
          <w:rFonts w:asciiTheme="minorHAnsi" w:eastAsiaTheme="minorEastAsia" w:hAnsiTheme="minorHAnsi" w:cstheme="minorBidi"/>
          <w:noProof/>
          <w:kern w:val="2"/>
          <w:sz w:val="21"/>
          <w:szCs w:val="22"/>
          <w:lang w:val="en-US" w:eastAsia="zh-CN"/>
        </w:rPr>
      </w:pPr>
      <w:r>
        <w:rPr>
          <w:noProof/>
        </w:rPr>
        <w:t>5.5.6.2.12</w:t>
      </w:r>
      <w:r>
        <w:rPr>
          <w:rFonts w:asciiTheme="minorHAnsi" w:eastAsiaTheme="minorEastAsia" w:hAnsiTheme="minorHAnsi" w:cstheme="minorBidi"/>
          <w:noProof/>
          <w:kern w:val="2"/>
          <w:sz w:val="21"/>
          <w:szCs w:val="22"/>
          <w:lang w:val="en-US" w:eastAsia="zh-CN"/>
        </w:rPr>
        <w:tab/>
      </w:r>
      <w:r>
        <w:rPr>
          <w:noProof/>
        </w:rPr>
        <w:t>Type StatusReportInfo</w:t>
      </w:r>
      <w:r>
        <w:rPr>
          <w:noProof/>
        </w:rPr>
        <w:tab/>
      </w:r>
      <w:r>
        <w:rPr>
          <w:noProof/>
        </w:rPr>
        <w:fldChar w:fldCharType="begin"/>
      </w:r>
      <w:r>
        <w:rPr>
          <w:noProof/>
        </w:rPr>
        <w:instrText xml:space="preserve"> PAGEREF _Toc199453268 \h </w:instrText>
      </w:r>
      <w:r>
        <w:rPr>
          <w:noProof/>
        </w:rPr>
      </w:r>
      <w:r>
        <w:rPr>
          <w:noProof/>
        </w:rPr>
        <w:fldChar w:fldCharType="separate"/>
      </w:r>
      <w:r>
        <w:rPr>
          <w:noProof/>
        </w:rPr>
        <w:t>365</w:t>
      </w:r>
      <w:r>
        <w:rPr>
          <w:noProof/>
        </w:rPr>
        <w:fldChar w:fldCharType="end"/>
      </w:r>
    </w:p>
    <w:p w14:paraId="0A17CFA7" w14:textId="1CD566B0" w:rsidR="003F6EFC" w:rsidRDefault="003F6EFC">
      <w:pPr>
        <w:pStyle w:val="TOC5"/>
        <w:rPr>
          <w:rFonts w:asciiTheme="minorHAnsi" w:eastAsiaTheme="minorEastAsia" w:hAnsiTheme="minorHAnsi" w:cstheme="minorBidi"/>
          <w:noProof/>
          <w:kern w:val="2"/>
          <w:sz w:val="21"/>
          <w:szCs w:val="22"/>
          <w:lang w:val="en-US" w:eastAsia="zh-CN"/>
        </w:rPr>
      </w:pPr>
      <w:r>
        <w:rPr>
          <w:noProof/>
        </w:rPr>
        <w:t>5.5.6.2.13</w:t>
      </w:r>
      <w:r>
        <w:rPr>
          <w:rFonts w:asciiTheme="minorHAnsi" w:eastAsiaTheme="minorEastAsia" w:hAnsiTheme="minorHAnsi" w:cstheme="minorBidi"/>
          <w:noProof/>
          <w:kern w:val="2"/>
          <w:sz w:val="21"/>
          <w:szCs w:val="22"/>
          <w:lang w:val="en-US" w:eastAsia="zh-CN"/>
        </w:rPr>
        <w:tab/>
      </w:r>
      <w:r>
        <w:rPr>
          <w:noProof/>
        </w:rPr>
        <w:t>Type TrainDataInfo</w:t>
      </w:r>
      <w:r>
        <w:rPr>
          <w:noProof/>
        </w:rPr>
        <w:tab/>
      </w:r>
      <w:r>
        <w:rPr>
          <w:noProof/>
        </w:rPr>
        <w:fldChar w:fldCharType="begin"/>
      </w:r>
      <w:r>
        <w:rPr>
          <w:noProof/>
        </w:rPr>
        <w:instrText xml:space="preserve"> PAGEREF _Toc199453269 \h </w:instrText>
      </w:r>
      <w:r>
        <w:rPr>
          <w:noProof/>
        </w:rPr>
      </w:r>
      <w:r>
        <w:rPr>
          <w:noProof/>
        </w:rPr>
        <w:fldChar w:fldCharType="separate"/>
      </w:r>
      <w:r>
        <w:rPr>
          <w:noProof/>
        </w:rPr>
        <w:t>366</w:t>
      </w:r>
      <w:r>
        <w:rPr>
          <w:noProof/>
        </w:rPr>
        <w:fldChar w:fldCharType="end"/>
      </w:r>
    </w:p>
    <w:p w14:paraId="4E85E114" w14:textId="33BB65E1" w:rsidR="003F6EFC" w:rsidRDefault="003F6EFC">
      <w:pPr>
        <w:pStyle w:val="TOC4"/>
        <w:rPr>
          <w:rFonts w:asciiTheme="minorHAnsi" w:eastAsiaTheme="minorEastAsia" w:hAnsiTheme="minorHAnsi" w:cstheme="minorBidi"/>
          <w:noProof/>
          <w:kern w:val="2"/>
          <w:sz w:val="21"/>
          <w:szCs w:val="22"/>
          <w:lang w:val="en-US" w:eastAsia="zh-CN"/>
        </w:rPr>
      </w:pPr>
      <w:r>
        <w:rPr>
          <w:noProof/>
        </w:rPr>
        <w:t>5.5.6.3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_Toc199453270 \h </w:instrText>
      </w:r>
      <w:r>
        <w:rPr>
          <w:noProof/>
        </w:rPr>
      </w:r>
      <w:r>
        <w:rPr>
          <w:noProof/>
        </w:rPr>
        <w:fldChar w:fldCharType="separate"/>
      </w:r>
      <w:r>
        <w:rPr>
          <w:noProof/>
        </w:rPr>
        <w:t>366</w:t>
      </w:r>
      <w:r>
        <w:rPr>
          <w:noProof/>
        </w:rPr>
        <w:fldChar w:fldCharType="end"/>
      </w:r>
    </w:p>
    <w:p w14:paraId="0118AAF0" w14:textId="77C987EF" w:rsidR="003F6EFC" w:rsidRDefault="003F6EFC">
      <w:pPr>
        <w:pStyle w:val="TOC5"/>
        <w:rPr>
          <w:rFonts w:asciiTheme="minorHAnsi" w:eastAsiaTheme="minorEastAsia" w:hAnsiTheme="minorHAnsi" w:cstheme="minorBidi"/>
          <w:noProof/>
          <w:kern w:val="2"/>
          <w:sz w:val="21"/>
          <w:szCs w:val="22"/>
          <w:lang w:val="en-US" w:eastAsia="zh-CN"/>
        </w:rPr>
      </w:pPr>
      <w:r>
        <w:rPr>
          <w:noProof/>
        </w:rPr>
        <w:t>5.5.6.3.1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_Toc199453271 \h </w:instrText>
      </w:r>
      <w:r>
        <w:rPr>
          <w:noProof/>
        </w:rPr>
      </w:r>
      <w:r>
        <w:rPr>
          <w:noProof/>
        </w:rPr>
        <w:fldChar w:fldCharType="separate"/>
      </w:r>
      <w:r>
        <w:rPr>
          <w:noProof/>
        </w:rPr>
        <w:t>366</w:t>
      </w:r>
      <w:r>
        <w:rPr>
          <w:noProof/>
        </w:rPr>
        <w:fldChar w:fldCharType="end"/>
      </w:r>
    </w:p>
    <w:p w14:paraId="2A627788" w14:textId="541F707E" w:rsidR="003F6EFC" w:rsidRDefault="003F6EFC">
      <w:pPr>
        <w:pStyle w:val="TOC5"/>
        <w:rPr>
          <w:rFonts w:asciiTheme="minorHAnsi" w:eastAsiaTheme="minorEastAsia" w:hAnsiTheme="minorHAnsi" w:cstheme="minorBidi"/>
          <w:noProof/>
          <w:kern w:val="2"/>
          <w:sz w:val="21"/>
          <w:szCs w:val="22"/>
          <w:lang w:val="en-US" w:eastAsia="zh-CN"/>
        </w:rPr>
      </w:pPr>
      <w:r>
        <w:rPr>
          <w:noProof/>
        </w:rPr>
        <w:t>5.5.6.3.2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_Toc199453272 \h </w:instrText>
      </w:r>
      <w:r>
        <w:rPr>
          <w:noProof/>
        </w:rPr>
      </w:r>
      <w:r>
        <w:rPr>
          <w:noProof/>
        </w:rPr>
        <w:fldChar w:fldCharType="separate"/>
      </w:r>
      <w:r>
        <w:rPr>
          <w:noProof/>
        </w:rPr>
        <w:t>366</w:t>
      </w:r>
      <w:r>
        <w:rPr>
          <w:noProof/>
        </w:rPr>
        <w:fldChar w:fldCharType="end"/>
      </w:r>
    </w:p>
    <w:p w14:paraId="1E9054AE" w14:textId="76C48B5E"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lastRenderedPageBreak/>
        <w:t>5.5.6.3.3</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FailureCodeTrain</w:t>
      </w:r>
      <w:r>
        <w:rPr>
          <w:noProof/>
        </w:rPr>
        <w:tab/>
      </w:r>
      <w:r>
        <w:rPr>
          <w:noProof/>
        </w:rPr>
        <w:fldChar w:fldCharType="begin"/>
      </w:r>
      <w:r>
        <w:rPr>
          <w:noProof/>
        </w:rPr>
        <w:instrText xml:space="preserve"> PAGEREF _Toc199453273 \h </w:instrText>
      </w:r>
      <w:r>
        <w:rPr>
          <w:noProof/>
        </w:rPr>
      </w:r>
      <w:r>
        <w:rPr>
          <w:noProof/>
        </w:rPr>
        <w:fldChar w:fldCharType="separate"/>
      </w:r>
      <w:r>
        <w:rPr>
          <w:noProof/>
        </w:rPr>
        <w:t>366</w:t>
      </w:r>
      <w:r>
        <w:rPr>
          <w:noProof/>
        </w:rPr>
        <w:fldChar w:fldCharType="end"/>
      </w:r>
    </w:p>
    <w:p w14:paraId="220D6600" w14:textId="457AD36A"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5.5.6.3.4</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lang w:eastAsia="zh-CN"/>
        </w:rPr>
        <w:t>TermTrainCause</w:t>
      </w:r>
      <w:r>
        <w:rPr>
          <w:noProof/>
        </w:rPr>
        <w:tab/>
      </w:r>
      <w:r>
        <w:rPr>
          <w:noProof/>
        </w:rPr>
        <w:fldChar w:fldCharType="begin"/>
      </w:r>
      <w:r>
        <w:rPr>
          <w:noProof/>
        </w:rPr>
        <w:instrText xml:space="preserve"> PAGEREF _Toc199453274 \h </w:instrText>
      </w:r>
      <w:r>
        <w:rPr>
          <w:noProof/>
        </w:rPr>
      </w:r>
      <w:r>
        <w:rPr>
          <w:noProof/>
        </w:rPr>
        <w:fldChar w:fldCharType="separate"/>
      </w:r>
      <w:r>
        <w:rPr>
          <w:noProof/>
        </w:rPr>
        <w:t>367</w:t>
      </w:r>
      <w:r>
        <w:rPr>
          <w:noProof/>
        </w:rPr>
        <w:fldChar w:fldCharType="end"/>
      </w:r>
    </w:p>
    <w:p w14:paraId="770ED478" w14:textId="7500E23A" w:rsidR="003F6EFC" w:rsidRDefault="003F6EFC">
      <w:pPr>
        <w:pStyle w:val="TOC5"/>
        <w:rPr>
          <w:rFonts w:asciiTheme="minorHAnsi" w:eastAsiaTheme="minorEastAsia" w:hAnsiTheme="minorHAnsi" w:cstheme="minorBidi"/>
          <w:noProof/>
          <w:kern w:val="2"/>
          <w:sz w:val="21"/>
          <w:szCs w:val="22"/>
          <w:lang w:val="en-US" w:eastAsia="zh-CN"/>
        </w:rPr>
      </w:pPr>
      <w:r w:rsidRPr="00D64295">
        <w:rPr>
          <w:rFonts w:eastAsia="等线"/>
          <w:noProof/>
        </w:rPr>
        <w:t>5.5.6.3.5</w:t>
      </w:r>
      <w:r>
        <w:rPr>
          <w:rFonts w:asciiTheme="minorHAnsi" w:eastAsiaTheme="minorEastAsia" w:hAnsiTheme="minorHAnsi" w:cstheme="minorBidi"/>
          <w:noProof/>
          <w:kern w:val="2"/>
          <w:sz w:val="21"/>
          <w:szCs w:val="22"/>
          <w:lang w:val="en-US" w:eastAsia="zh-CN"/>
        </w:rPr>
        <w:tab/>
      </w:r>
      <w:r w:rsidRPr="00D64295">
        <w:rPr>
          <w:rFonts w:eastAsia="等线"/>
          <w:noProof/>
        </w:rPr>
        <w:t xml:space="preserve">Enumeration: </w:t>
      </w:r>
      <w:r>
        <w:rPr>
          <w:noProof/>
        </w:rPr>
        <w:t>DelayCause</w:t>
      </w:r>
      <w:r>
        <w:rPr>
          <w:noProof/>
        </w:rPr>
        <w:tab/>
      </w:r>
      <w:r>
        <w:rPr>
          <w:noProof/>
        </w:rPr>
        <w:fldChar w:fldCharType="begin"/>
      </w:r>
      <w:r>
        <w:rPr>
          <w:noProof/>
        </w:rPr>
        <w:instrText xml:space="preserve"> PAGEREF _Toc199453275 \h </w:instrText>
      </w:r>
      <w:r>
        <w:rPr>
          <w:noProof/>
        </w:rPr>
      </w:r>
      <w:r>
        <w:rPr>
          <w:noProof/>
        </w:rPr>
        <w:fldChar w:fldCharType="separate"/>
      </w:r>
      <w:r>
        <w:rPr>
          <w:noProof/>
        </w:rPr>
        <w:t>367</w:t>
      </w:r>
      <w:r>
        <w:rPr>
          <w:noProof/>
        </w:rPr>
        <w:fldChar w:fldCharType="end"/>
      </w:r>
    </w:p>
    <w:p w14:paraId="0EF9E636" w14:textId="7D24451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_Toc199453276 \h </w:instrText>
      </w:r>
      <w:r>
        <w:rPr>
          <w:noProof/>
        </w:rPr>
      </w:r>
      <w:r>
        <w:rPr>
          <w:noProof/>
        </w:rPr>
        <w:fldChar w:fldCharType="separate"/>
      </w:r>
      <w:r>
        <w:rPr>
          <w:noProof/>
        </w:rPr>
        <w:t>367</w:t>
      </w:r>
      <w:r>
        <w:rPr>
          <w:noProof/>
        </w:rPr>
        <w:fldChar w:fldCharType="end"/>
      </w:r>
    </w:p>
    <w:p w14:paraId="240162FC" w14:textId="0150E7D2" w:rsidR="003F6EFC" w:rsidRDefault="003F6EFC">
      <w:pPr>
        <w:pStyle w:val="TOC4"/>
        <w:rPr>
          <w:rFonts w:asciiTheme="minorHAnsi" w:eastAsiaTheme="minorEastAsia" w:hAnsiTheme="minorHAnsi" w:cstheme="minorBidi"/>
          <w:noProof/>
          <w:kern w:val="2"/>
          <w:sz w:val="21"/>
          <w:szCs w:val="22"/>
          <w:lang w:val="en-US" w:eastAsia="zh-CN"/>
        </w:rPr>
      </w:pPr>
      <w:r>
        <w:rPr>
          <w:noProof/>
        </w:rPr>
        <w:t>5.5.7.1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_Toc199453277 \h </w:instrText>
      </w:r>
      <w:r>
        <w:rPr>
          <w:noProof/>
        </w:rPr>
      </w:r>
      <w:r>
        <w:rPr>
          <w:noProof/>
        </w:rPr>
        <w:fldChar w:fldCharType="separate"/>
      </w:r>
      <w:r>
        <w:rPr>
          <w:noProof/>
        </w:rPr>
        <w:t>367</w:t>
      </w:r>
      <w:r>
        <w:rPr>
          <w:noProof/>
        </w:rPr>
        <w:fldChar w:fldCharType="end"/>
      </w:r>
    </w:p>
    <w:p w14:paraId="643F2E51" w14:textId="66C9D749" w:rsidR="003F6EFC" w:rsidRDefault="003F6EFC">
      <w:pPr>
        <w:pStyle w:val="TOC4"/>
        <w:rPr>
          <w:rFonts w:asciiTheme="minorHAnsi" w:eastAsiaTheme="minorEastAsia" w:hAnsiTheme="minorHAnsi" w:cstheme="minorBidi"/>
          <w:noProof/>
          <w:kern w:val="2"/>
          <w:sz w:val="21"/>
          <w:szCs w:val="22"/>
          <w:lang w:val="en-US" w:eastAsia="zh-CN"/>
        </w:rPr>
      </w:pPr>
      <w:r>
        <w:rPr>
          <w:noProof/>
        </w:rPr>
        <w:t>5.5.7.2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_Toc199453278 \h </w:instrText>
      </w:r>
      <w:r>
        <w:rPr>
          <w:noProof/>
        </w:rPr>
      </w:r>
      <w:r>
        <w:rPr>
          <w:noProof/>
        </w:rPr>
        <w:fldChar w:fldCharType="separate"/>
      </w:r>
      <w:r>
        <w:rPr>
          <w:noProof/>
        </w:rPr>
        <w:t>367</w:t>
      </w:r>
      <w:r>
        <w:rPr>
          <w:noProof/>
        </w:rPr>
        <w:fldChar w:fldCharType="end"/>
      </w:r>
    </w:p>
    <w:p w14:paraId="66E0D248" w14:textId="51304DB3" w:rsidR="003F6EFC" w:rsidRDefault="003F6EFC">
      <w:pPr>
        <w:pStyle w:val="TOC4"/>
        <w:rPr>
          <w:rFonts w:asciiTheme="minorHAnsi" w:eastAsiaTheme="minorEastAsia" w:hAnsiTheme="minorHAnsi" w:cstheme="minorBidi"/>
          <w:noProof/>
          <w:kern w:val="2"/>
          <w:sz w:val="21"/>
          <w:szCs w:val="22"/>
          <w:lang w:val="en-US" w:eastAsia="zh-CN"/>
        </w:rPr>
      </w:pPr>
      <w:r>
        <w:rPr>
          <w:noProof/>
        </w:rPr>
        <w:t>5.5.7.3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_Toc199453279 \h </w:instrText>
      </w:r>
      <w:r>
        <w:rPr>
          <w:noProof/>
        </w:rPr>
      </w:r>
      <w:r>
        <w:rPr>
          <w:noProof/>
        </w:rPr>
        <w:fldChar w:fldCharType="separate"/>
      </w:r>
      <w:r>
        <w:rPr>
          <w:noProof/>
        </w:rPr>
        <w:t>367</w:t>
      </w:r>
      <w:r>
        <w:rPr>
          <w:noProof/>
        </w:rPr>
        <w:fldChar w:fldCharType="end"/>
      </w:r>
    </w:p>
    <w:p w14:paraId="59F013D5" w14:textId="71851362"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_Toc199453280 \h </w:instrText>
      </w:r>
      <w:r>
        <w:rPr>
          <w:noProof/>
        </w:rPr>
      </w:r>
      <w:r>
        <w:rPr>
          <w:noProof/>
        </w:rPr>
        <w:fldChar w:fldCharType="separate"/>
      </w:r>
      <w:r>
        <w:rPr>
          <w:noProof/>
        </w:rPr>
        <w:t>368</w:t>
      </w:r>
      <w:r>
        <w:rPr>
          <w:noProof/>
        </w:rPr>
        <w:fldChar w:fldCharType="end"/>
      </w:r>
    </w:p>
    <w:p w14:paraId="6A35BFFF" w14:textId="44F4FF74"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5.5.9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_Toc199453281 \h </w:instrText>
      </w:r>
      <w:r>
        <w:rPr>
          <w:noProof/>
        </w:rPr>
      </w:r>
      <w:r>
        <w:rPr>
          <w:noProof/>
        </w:rPr>
        <w:fldChar w:fldCharType="separate"/>
      </w:r>
      <w:r>
        <w:rPr>
          <w:noProof/>
        </w:rPr>
        <w:t>368</w:t>
      </w:r>
      <w:r>
        <w:rPr>
          <w:noProof/>
        </w:rPr>
        <w:fldChar w:fldCharType="end"/>
      </w:r>
    </w:p>
    <w:p w14:paraId="2B138FE0" w14:textId="016B42C3"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5.6</w:t>
      </w:r>
      <w:r>
        <w:rPr>
          <w:rFonts w:asciiTheme="minorHAnsi" w:eastAsiaTheme="minorEastAsia" w:hAnsiTheme="minorHAnsi" w:cstheme="minorBidi"/>
          <w:noProof/>
          <w:kern w:val="2"/>
          <w:sz w:val="21"/>
          <w:szCs w:val="22"/>
          <w:lang w:val="en-US" w:eastAsia="zh-CN"/>
        </w:rPr>
        <w:tab/>
      </w:r>
      <w:r>
        <w:rPr>
          <w:noProof/>
          <w:lang w:eastAsia="ja-JP"/>
        </w:rPr>
        <w:t xml:space="preserve">Nnwdaf_MLModelMonitor </w:t>
      </w:r>
      <w:r>
        <w:rPr>
          <w:noProof/>
        </w:rPr>
        <w:t>Service API</w:t>
      </w:r>
      <w:r>
        <w:rPr>
          <w:noProof/>
        </w:rPr>
        <w:tab/>
      </w:r>
      <w:r>
        <w:rPr>
          <w:noProof/>
        </w:rPr>
        <w:fldChar w:fldCharType="begin"/>
      </w:r>
      <w:r>
        <w:rPr>
          <w:noProof/>
        </w:rPr>
        <w:instrText xml:space="preserve"> PAGEREF _Toc199453282 \h </w:instrText>
      </w:r>
      <w:r>
        <w:rPr>
          <w:noProof/>
        </w:rPr>
      </w:r>
      <w:r>
        <w:rPr>
          <w:noProof/>
        </w:rPr>
        <w:fldChar w:fldCharType="separate"/>
      </w:r>
      <w:r>
        <w:rPr>
          <w:noProof/>
        </w:rPr>
        <w:t>368</w:t>
      </w:r>
      <w:r>
        <w:rPr>
          <w:noProof/>
        </w:rPr>
        <w:fldChar w:fldCharType="end"/>
      </w:r>
    </w:p>
    <w:p w14:paraId="28834FFB" w14:textId="66F888F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_Toc199453283 \h </w:instrText>
      </w:r>
      <w:r>
        <w:rPr>
          <w:noProof/>
        </w:rPr>
      </w:r>
      <w:r>
        <w:rPr>
          <w:noProof/>
        </w:rPr>
        <w:fldChar w:fldCharType="separate"/>
      </w:r>
      <w:r>
        <w:rPr>
          <w:noProof/>
        </w:rPr>
        <w:t>368</w:t>
      </w:r>
      <w:r>
        <w:rPr>
          <w:noProof/>
        </w:rPr>
        <w:fldChar w:fldCharType="end"/>
      </w:r>
    </w:p>
    <w:p w14:paraId="50A00E39" w14:textId="51E3B84B"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_Toc199453284 \h </w:instrText>
      </w:r>
      <w:r>
        <w:rPr>
          <w:noProof/>
        </w:rPr>
      </w:r>
      <w:r>
        <w:rPr>
          <w:noProof/>
        </w:rPr>
        <w:fldChar w:fldCharType="separate"/>
      </w:r>
      <w:r>
        <w:rPr>
          <w:noProof/>
        </w:rPr>
        <w:t>369</w:t>
      </w:r>
      <w:r>
        <w:rPr>
          <w:noProof/>
        </w:rPr>
        <w:fldChar w:fldCharType="end"/>
      </w:r>
    </w:p>
    <w:p w14:paraId="274E89D5" w14:textId="4EDAC69E" w:rsidR="003F6EFC" w:rsidRDefault="003F6EFC">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_Toc199453285 \h </w:instrText>
      </w:r>
      <w:r>
        <w:rPr>
          <w:noProof/>
        </w:rPr>
      </w:r>
      <w:r>
        <w:rPr>
          <w:noProof/>
        </w:rPr>
        <w:fldChar w:fldCharType="separate"/>
      </w:r>
      <w:r>
        <w:rPr>
          <w:noProof/>
        </w:rPr>
        <w:t>369</w:t>
      </w:r>
      <w:r>
        <w:rPr>
          <w:noProof/>
        </w:rPr>
        <w:fldChar w:fldCharType="end"/>
      </w:r>
    </w:p>
    <w:p w14:paraId="0B0A8427" w14:textId="1676D714" w:rsidR="003F6EFC" w:rsidRDefault="003F6EFC">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_Toc199453286 \h </w:instrText>
      </w:r>
      <w:r>
        <w:rPr>
          <w:noProof/>
        </w:rPr>
      </w:r>
      <w:r>
        <w:rPr>
          <w:noProof/>
        </w:rPr>
        <w:fldChar w:fldCharType="separate"/>
      </w:r>
      <w:r>
        <w:rPr>
          <w:noProof/>
        </w:rPr>
        <w:t>369</w:t>
      </w:r>
      <w:r>
        <w:rPr>
          <w:noProof/>
        </w:rPr>
        <w:fldChar w:fldCharType="end"/>
      </w:r>
    </w:p>
    <w:p w14:paraId="2D7C827E" w14:textId="0210B57F" w:rsidR="003F6EFC" w:rsidRDefault="003F6EFC">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_Toc199453287 \h </w:instrText>
      </w:r>
      <w:r>
        <w:rPr>
          <w:noProof/>
        </w:rPr>
      </w:r>
      <w:r>
        <w:rPr>
          <w:noProof/>
        </w:rPr>
        <w:fldChar w:fldCharType="separate"/>
      </w:r>
      <w:r>
        <w:rPr>
          <w:noProof/>
        </w:rPr>
        <w:t>369</w:t>
      </w:r>
      <w:r>
        <w:rPr>
          <w:noProof/>
        </w:rPr>
        <w:fldChar w:fldCharType="end"/>
      </w:r>
    </w:p>
    <w:p w14:paraId="1CA6E9B4" w14:textId="7EFE0147" w:rsidR="003F6EFC" w:rsidRDefault="003F6EFC">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_Toc199453288 \h </w:instrText>
      </w:r>
      <w:r>
        <w:rPr>
          <w:noProof/>
        </w:rPr>
      </w:r>
      <w:r>
        <w:rPr>
          <w:noProof/>
        </w:rPr>
        <w:fldChar w:fldCharType="separate"/>
      </w:r>
      <w:r>
        <w:rPr>
          <w:noProof/>
        </w:rPr>
        <w:t>369</w:t>
      </w:r>
      <w:r>
        <w:rPr>
          <w:noProof/>
        </w:rPr>
        <w:fldChar w:fldCharType="end"/>
      </w:r>
    </w:p>
    <w:p w14:paraId="4A604E45" w14:textId="6F88100C" w:rsidR="003F6EFC" w:rsidRDefault="003F6EFC">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_Toc199453289 \h </w:instrText>
      </w:r>
      <w:r>
        <w:rPr>
          <w:noProof/>
        </w:rPr>
      </w:r>
      <w:r>
        <w:rPr>
          <w:noProof/>
        </w:rPr>
        <w:fldChar w:fldCharType="separate"/>
      </w:r>
      <w:r>
        <w:rPr>
          <w:noProof/>
        </w:rPr>
        <w:t>369</w:t>
      </w:r>
      <w:r>
        <w:rPr>
          <w:noProof/>
        </w:rPr>
        <w:fldChar w:fldCharType="end"/>
      </w:r>
    </w:p>
    <w:p w14:paraId="6BA78987" w14:textId="58788DEC" w:rsidR="003F6EFC" w:rsidRDefault="003F6EFC">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_Toc199453290 \h </w:instrText>
      </w:r>
      <w:r>
        <w:rPr>
          <w:noProof/>
        </w:rPr>
      </w:r>
      <w:r>
        <w:rPr>
          <w:noProof/>
        </w:rPr>
        <w:fldChar w:fldCharType="separate"/>
      </w:r>
      <w:r>
        <w:rPr>
          <w:noProof/>
        </w:rPr>
        <w:t>369</w:t>
      </w:r>
      <w:r>
        <w:rPr>
          <w:noProof/>
        </w:rPr>
        <w:fldChar w:fldCharType="end"/>
      </w:r>
    </w:p>
    <w:p w14:paraId="1553DF6E" w14:textId="209366E7" w:rsidR="003F6EFC" w:rsidRDefault="003F6EFC">
      <w:pPr>
        <w:pStyle w:val="TOC4"/>
        <w:rPr>
          <w:rFonts w:asciiTheme="minorHAnsi" w:eastAsiaTheme="minorEastAsia" w:hAnsiTheme="minorHAnsi" w:cstheme="minorBidi"/>
          <w:noProof/>
          <w:kern w:val="2"/>
          <w:sz w:val="21"/>
          <w:szCs w:val="22"/>
          <w:lang w:val="en-US" w:eastAsia="zh-CN"/>
        </w:rPr>
      </w:pPr>
      <w:r>
        <w:rPr>
          <w:noProof/>
        </w:rPr>
        <w:t>5.6.3.1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_Toc199453291 \h </w:instrText>
      </w:r>
      <w:r>
        <w:rPr>
          <w:noProof/>
        </w:rPr>
      </w:r>
      <w:r>
        <w:rPr>
          <w:noProof/>
        </w:rPr>
        <w:fldChar w:fldCharType="separate"/>
      </w:r>
      <w:r>
        <w:rPr>
          <w:noProof/>
        </w:rPr>
        <w:t>369</w:t>
      </w:r>
      <w:r>
        <w:rPr>
          <w:noProof/>
        </w:rPr>
        <w:fldChar w:fldCharType="end"/>
      </w:r>
    </w:p>
    <w:p w14:paraId="4DAF3B47" w14:textId="343D3D1C" w:rsidR="003F6EFC" w:rsidRDefault="003F6EFC">
      <w:pPr>
        <w:pStyle w:val="TOC4"/>
        <w:rPr>
          <w:rFonts w:asciiTheme="minorHAnsi" w:eastAsiaTheme="minorEastAsia" w:hAnsiTheme="minorHAnsi" w:cstheme="minorBidi"/>
          <w:noProof/>
          <w:kern w:val="2"/>
          <w:sz w:val="21"/>
          <w:szCs w:val="22"/>
          <w:lang w:val="en-US" w:eastAsia="zh-CN"/>
        </w:rPr>
      </w:pPr>
      <w:r>
        <w:rPr>
          <w:noProof/>
        </w:rPr>
        <w:t>5.6.3.2</w:t>
      </w:r>
      <w:r>
        <w:rPr>
          <w:rFonts w:asciiTheme="minorHAnsi" w:eastAsiaTheme="minorEastAsia" w:hAnsiTheme="minorHAnsi" w:cstheme="minorBidi"/>
          <w:noProof/>
          <w:kern w:val="2"/>
          <w:sz w:val="21"/>
          <w:szCs w:val="22"/>
          <w:lang w:val="en-US" w:eastAsia="zh-CN"/>
        </w:rPr>
        <w:tab/>
      </w:r>
      <w:r>
        <w:rPr>
          <w:noProof/>
        </w:rPr>
        <w:t>Resource: NWDAF ML model monitoring registrations</w:t>
      </w:r>
      <w:r>
        <w:rPr>
          <w:noProof/>
        </w:rPr>
        <w:tab/>
      </w:r>
      <w:r>
        <w:rPr>
          <w:noProof/>
        </w:rPr>
        <w:fldChar w:fldCharType="begin"/>
      </w:r>
      <w:r>
        <w:rPr>
          <w:noProof/>
        </w:rPr>
        <w:instrText xml:space="preserve"> PAGEREF _Toc199453292 \h </w:instrText>
      </w:r>
      <w:r>
        <w:rPr>
          <w:noProof/>
        </w:rPr>
      </w:r>
      <w:r>
        <w:rPr>
          <w:noProof/>
        </w:rPr>
        <w:fldChar w:fldCharType="separate"/>
      </w:r>
      <w:r>
        <w:rPr>
          <w:noProof/>
        </w:rPr>
        <w:t>370</w:t>
      </w:r>
      <w:r>
        <w:rPr>
          <w:noProof/>
        </w:rPr>
        <w:fldChar w:fldCharType="end"/>
      </w:r>
    </w:p>
    <w:p w14:paraId="5681F519" w14:textId="0E460ACC" w:rsidR="003F6EFC" w:rsidRDefault="003F6EFC">
      <w:pPr>
        <w:pStyle w:val="TOC5"/>
        <w:rPr>
          <w:rFonts w:asciiTheme="minorHAnsi" w:eastAsiaTheme="minorEastAsia" w:hAnsiTheme="minorHAnsi" w:cstheme="minorBidi"/>
          <w:noProof/>
          <w:kern w:val="2"/>
          <w:sz w:val="21"/>
          <w:szCs w:val="22"/>
          <w:lang w:val="en-US" w:eastAsia="zh-CN"/>
        </w:rPr>
      </w:pPr>
      <w:r>
        <w:rPr>
          <w:noProof/>
        </w:rPr>
        <w:t>5.6.3.2.1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_Toc199453293 \h </w:instrText>
      </w:r>
      <w:r>
        <w:rPr>
          <w:noProof/>
        </w:rPr>
      </w:r>
      <w:r>
        <w:rPr>
          <w:noProof/>
        </w:rPr>
        <w:fldChar w:fldCharType="separate"/>
      </w:r>
      <w:r>
        <w:rPr>
          <w:noProof/>
        </w:rPr>
        <w:t>370</w:t>
      </w:r>
      <w:r>
        <w:rPr>
          <w:noProof/>
        </w:rPr>
        <w:fldChar w:fldCharType="end"/>
      </w:r>
    </w:p>
    <w:p w14:paraId="52A4A5E9" w14:textId="0C244869" w:rsidR="003F6EFC" w:rsidRDefault="003F6EFC">
      <w:pPr>
        <w:pStyle w:val="TOC5"/>
        <w:rPr>
          <w:rFonts w:asciiTheme="minorHAnsi" w:eastAsiaTheme="minorEastAsia" w:hAnsiTheme="minorHAnsi" w:cstheme="minorBidi"/>
          <w:noProof/>
          <w:kern w:val="2"/>
          <w:sz w:val="21"/>
          <w:szCs w:val="22"/>
          <w:lang w:val="en-US" w:eastAsia="zh-CN"/>
        </w:rPr>
      </w:pPr>
      <w:r>
        <w:rPr>
          <w:noProof/>
        </w:rPr>
        <w:t>5.6.3.2.2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_Toc199453294 \h </w:instrText>
      </w:r>
      <w:r>
        <w:rPr>
          <w:noProof/>
        </w:rPr>
      </w:r>
      <w:r>
        <w:rPr>
          <w:noProof/>
        </w:rPr>
        <w:fldChar w:fldCharType="separate"/>
      </w:r>
      <w:r>
        <w:rPr>
          <w:noProof/>
        </w:rPr>
        <w:t>370</w:t>
      </w:r>
      <w:r>
        <w:rPr>
          <w:noProof/>
        </w:rPr>
        <w:fldChar w:fldCharType="end"/>
      </w:r>
    </w:p>
    <w:p w14:paraId="117DAFB8" w14:textId="7E833A80" w:rsidR="003F6EFC" w:rsidRDefault="003F6EFC">
      <w:pPr>
        <w:pStyle w:val="TOC5"/>
        <w:rPr>
          <w:rFonts w:asciiTheme="minorHAnsi" w:eastAsiaTheme="minorEastAsia" w:hAnsiTheme="minorHAnsi" w:cstheme="minorBidi"/>
          <w:noProof/>
          <w:kern w:val="2"/>
          <w:sz w:val="21"/>
          <w:szCs w:val="22"/>
          <w:lang w:val="en-US" w:eastAsia="zh-CN"/>
        </w:rPr>
      </w:pPr>
      <w:r>
        <w:rPr>
          <w:noProof/>
        </w:rPr>
        <w:t>5.6.3.2.3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_Toc199453295 \h </w:instrText>
      </w:r>
      <w:r>
        <w:rPr>
          <w:noProof/>
        </w:rPr>
      </w:r>
      <w:r>
        <w:rPr>
          <w:noProof/>
        </w:rPr>
        <w:fldChar w:fldCharType="separate"/>
      </w:r>
      <w:r>
        <w:rPr>
          <w:noProof/>
        </w:rPr>
        <w:t>371</w:t>
      </w:r>
      <w:r>
        <w:rPr>
          <w:noProof/>
        </w:rPr>
        <w:fldChar w:fldCharType="end"/>
      </w:r>
    </w:p>
    <w:p w14:paraId="1DCAD1AE" w14:textId="05498ACC" w:rsidR="003F6EFC" w:rsidRDefault="003F6EFC">
      <w:pPr>
        <w:pStyle w:val="TOC6"/>
        <w:rPr>
          <w:rFonts w:asciiTheme="minorHAnsi" w:eastAsiaTheme="minorEastAsia" w:hAnsiTheme="minorHAnsi" w:cstheme="minorBidi"/>
          <w:noProof/>
          <w:kern w:val="2"/>
          <w:sz w:val="21"/>
          <w:szCs w:val="22"/>
          <w:lang w:val="en-US" w:eastAsia="zh-CN"/>
        </w:rPr>
      </w:pPr>
      <w:r>
        <w:rPr>
          <w:noProof/>
        </w:rPr>
        <w:t>5.6.3.2.3.1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_Toc199453296 \h </w:instrText>
      </w:r>
      <w:r>
        <w:rPr>
          <w:noProof/>
        </w:rPr>
      </w:r>
      <w:r>
        <w:rPr>
          <w:noProof/>
        </w:rPr>
        <w:fldChar w:fldCharType="separate"/>
      </w:r>
      <w:r>
        <w:rPr>
          <w:noProof/>
        </w:rPr>
        <w:t>371</w:t>
      </w:r>
      <w:r>
        <w:rPr>
          <w:noProof/>
        </w:rPr>
        <w:fldChar w:fldCharType="end"/>
      </w:r>
    </w:p>
    <w:p w14:paraId="08DABDA8" w14:textId="1C811AF1" w:rsidR="003F6EFC" w:rsidRDefault="003F6EFC">
      <w:pPr>
        <w:pStyle w:val="TOC5"/>
        <w:rPr>
          <w:rFonts w:asciiTheme="minorHAnsi" w:eastAsiaTheme="minorEastAsia" w:hAnsiTheme="minorHAnsi" w:cstheme="minorBidi"/>
          <w:noProof/>
          <w:kern w:val="2"/>
          <w:sz w:val="21"/>
          <w:szCs w:val="22"/>
          <w:lang w:val="en-US" w:eastAsia="zh-CN"/>
        </w:rPr>
      </w:pPr>
      <w:r>
        <w:rPr>
          <w:noProof/>
        </w:rPr>
        <w:t>5.6.3.2.4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_Toc199453297 \h </w:instrText>
      </w:r>
      <w:r>
        <w:rPr>
          <w:noProof/>
        </w:rPr>
      </w:r>
      <w:r>
        <w:rPr>
          <w:noProof/>
        </w:rPr>
        <w:fldChar w:fldCharType="separate"/>
      </w:r>
      <w:r>
        <w:rPr>
          <w:noProof/>
        </w:rPr>
        <w:t>371</w:t>
      </w:r>
      <w:r>
        <w:rPr>
          <w:noProof/>
        </w:rPr>
        <w:fldChar w:fldCharType="end"/>
      </w:r>
    </w:p>
    <w:p w14:paraId="4AAA8769" w14:textId="0E0F13BB" w:rsidR="003F6EFC" w:rsidRDefault="003F6EFC">
      <w:pPr>
        <w:pStyle w:val="TOC4"/>
        <w:rPr>
          <w:rFonts w:asciiTheme="minorHAnsi" w:eastAsiaTheme="minorEastAsia" w:hAnsiTheme="minorHAnsi" w:cstheme="minorBidi"/>
          <w:noProof/>
          <w:kern w:val="2"/>
          <w:sz w:val="21"/>
          <w:szCs w:val="22"/>
          <w:lang w:val="en-US" w:eastAsia="zh-CN"/>
        </w:rPr>
      </w:pPr>
      <w:r>
        <w:rPr>
          <w:noProof/>
        </w:rPr>
        <w:t>5.6.3.3</w:t>
      </w:r>
      <w:r>
        <w:rPr>
          <w:rFonts w:asciiTheme="minorHAnsi" w:eastAsiaTheme="minorEastAsia" w:hAnsiTheme="minorHAnsi" w:cstheme="minorBidi"/>
          <w:noProof/>
          <w:kern w:val="2"/>
          <w:sz w:val="21"/>
          <w:szCs w:val="22"/>
          <w:lang w:val="en-US" w:eastAsia="zh-CN"/>
        </w:rPr>
        <w:tab/>
      </w:r>
      <w:r>
        <w:rPr>
          <w:noProof/>
        </w:rPr>
        <w:t>Resource: Individual NWDAF ML model monitoring registration</w:t>
      </w:r>
      <w:r>
        <w:rPr>
          <w:noProof/>
        </w:rPr>
        <w:tab/>
      </w:r>
      <w:r>
        <w:rPr>
          <w:noProof/>
        </w:rPr>
        <w:fldChar w:fldCharType="begin"/>
      </w:r>
      <w:r>
        <w:rPr>
          <w:noProof/>
        </w:rPr>
        <w:instrText xml:space="preserve"> PAGEREF _Toc199453298 \h </w:instrText>
      </w:r>
      <w:r>
        <w:rPr>
          <w:noProof/>
        </w:rPr>
      </w:r>
      <w:r>
        <w:rPr>
          <w:noProof/>
        </w:rPr>
        <w:fldChar w:fldCharType="separate"/>
      </w:r>
      <w:r>
        <w:rPr>
          <w:noProof/>
        </w:rPr>
        <w:t>371</w:t>
      </w:r>
      <w:r>
        <w:rPr>
          <w:noProof/>
        </w:rPr>
        <w:fldChar w:fldCharType="end"/>
      </w:r>
    </w:p>
    <w:p w14:paraId="0B199586" w14:textId="10F95839" w:rsidR="003F6EFC" w:rsidRDefault="003F6EFC">
      <w:pPr>
        <w:pStyle w:val="TOC5"/>
        <w:rPr>
          <w:rFonts w:asciiTheme="minorHAnsi" w:eastAsiaTheme="minorEastAsia" w:hAnsiTheme="minorHAnsi" w:cstheme="minorBidi"/>
          <w:noProof/>
          <w:kern w:val="2"/>
          <w:sz w:val="21"/>
          <w:szCs w:val="22"/>
          <w:lang w:val="en-US" w:eastAsia="zh-CN"/>
        </w:rPr>
      </w:pPr>
      <w:r>
        <w:rPr>
          <w:noProof/>
        </w:rPr>
        <w:t>5.6.3.3.1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_Toc199453299 \h </w:instrText>
      </w:r>
      <w:r>
        <w:rPr>
          <w:noProof/>
        </w:rPr>
      </w:r>
      <w:r>
        <w:rPr>
          <w:noProof/>
        </w:rPr>
        <w:fldChar w:fldCharType="separate"/>
      </w:r>
      <w:r>
        <w:rPr>
          <w:noProof/>
        </w:rPr>
        <w:t>371</w:t>
      </w:r>
      <w:r>
        <w:rPr>
          <w:noProof/>
        </w:rPr>
        <w:fldChar w:fldCharType="end"/>
      </w:r>
    </w:p>
    <w:p w14:paraId="6F89E901" w14:textId="49D57823" w:rsidR="003F6EFC" w:rsidRDefault="003F6EFC">
      <w:pPr>
        <w:pStyle w:val="TOC5"/>
        <w:rPr>
          <w:rFonts w:asciiTheme="minorHAnsi" w:eastAsiaTheme="minorEastAsia" w:hAnsiTheme="minorHAnsi" w:cstheme="minorBidi"/>
          <w:noProof/>
          <w:kern w:val="2"/>
          <w:sz w:val="21"/>
          <w:szCs w:val="22"/>
          <w:lang w:val="en-US" w:eastAsia="zh-CN"/>
        </w:rPr>
      </w:pPr>
      <w:r>
        <w:rPr>
          <w:noProof/>
        </w:rPr>
        <w:t>5.6.3.3.2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_Toc199453300 \h </w:instrText>
      </w:r>
      <w:r>
        <w:rPr>
          <w:noProof/>
        </w:rPr>
      </w:r>
      <w:r>
        <w:rPr>
          <w:noProof/>
        </w:rPr>
        <w:fldChar w:fldCharType="separate"/>
      </w:r>
      <w:r>
        <w:rPr>
          <w:noProof/>
        </w:rPr>
        <w:t>372</w:t>
      </w:r>
      <w:r>
        <w:rPr>
          <w:noProof/>
        </w:rPr>
        <w:fldChar w:fldCharType="end"/>
      </w:r>
    </w:p>
    <w:p w14:paraId="18BCB577" w14:textId="0C0B4821" w:rsidR="003F6EFC" w:rsidRDefault="003F6EFC">
      <w:pPr>
        <w:pStyle w:val="TOC5"/>
        <w:rPr>
          <w:rFonts w:asciiTheme="minorHAnsi" w:eastAsiaTheme="minorEastAsia" w:hAnsiTheme="minorHAnsi" w:cstheme="minorBidi"/>
          <w:noProof/>
          <w:kern w:val="2"/>
          <w:sz w:val="21"/>
          <w:szCs w:val="22"/>
          <w:lang w:val="en-US" w:eastAsia="zh-CN"/>
        </w:rPr>
      </w:pPr>
      <w:r>
        <w:rPr>
          <w:noProof/>
        </w:rPr>
        <w:t>5.6.3.3.3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_Toc199453301 \h </w:instrText>
      </w:r>
      <w:r>
        <w:rPr>
          <w:noProof/>
        </w:rPr>
      </w:r>
      <w:r>
        <w:rPr>
          <w:noProof/>
        </w:rPr>
        <w:fldChar w:fldCharType="separate"/>
      </w:r>
      <w:r>
        <w:rPr>
          <w:noProof/>
        </w:rPr>
        <w:t>372</w:t>
      </w:r>
      <w:r>
        <w:rPr>
          <w:noProof/>
        </w:rPr>
        <w:fldChar w:fldCharType="end"/>
      </w:r>
    </w:p>
    <w:p w14:paraId="1A8A5180" w14:textId="54E06A03" w:rsidR="003F6EFC" w:rsidRDefault="003F6EFC">
      <w:pPr>
        <w:pStyle w:val="TOC6"/>
        <w:rPr>
          <w:rFonts w:asciiTheme="minorHAnsi" w:eastAsiaTheme="minorEastAsia" w:hAnsiTheme="minorHAnsi" w:cstheme="minorBidi"/>
          <w:noProof/>
          <w:kern w:val="2"/>
          <w:sz w:val="21"/>
          <w:szCs w:val="22"/>
          <w:lang w:val="en-US" w:eastAsia="zh-CN"/>
        </w:rPr>
      </w:pPr>
      <w:r>
        <w:rPr>
          <w:noProof/>
        </w:rPr>
        <w:t>5.6.3.3.3.1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_Toc199453302 \h </w:instrText>
      </w:r>
      <w:r>
        <w:rPr>
          <w:noProof/>
        </w:rPr>
      </w:r>
      <w:r>
        <w:rPr>
          <w:noProof/>
        </w:rPr>
        <w:fldChar w:fldCharType="separate"/>
      </w:r>
      <w:r>
        <w:rPr>
          <w:noProof/>
        </w:rPr>
        <w:t>372</w:t>
      </w:r>
      <w:r>
        <w:rPr>
          <w:noProof/>
        </w:rPr>
        <w:fldChar w:fldCharType="end"/>
      </w:r>
    </w:p>
    <w:p w14:paraId="476568FA" w14:textId="40150D35" w:rsidR="003F6EFC" w:rsidRDefault="003F6EFC">
      <w:pPr>
        <w:pStyle w:val="TOC5"/>
        <w:rPr>
          <w:rFonts w:asciiTheme="minorHAnsi" w:eastAsiaTheme="minorEastAsia" w:hAnsiTheme="minorHAnsi" w:cstheme="minorBidi"/>
          <w:noProof/>
          <w:kern w:val="2"/>
          <w:sz w:val="21"/>
          <w:szCs w:val="22"/>
          <w:lang w:val="en-US" w:eastAsia="zh-CN"/>
        </w:rPr>
      </w:pPr>
      <w:r>
        <w:rPr>
          <w:noProof/>
        </w:rPr>
        <w:t>5.6.3.3.4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_Toc199453303 \h </w:instrText>
      </w:r>
      <w:r>
        <w:rPr>
          <w:noProof/>
        </w:rPr>
      </w:r>
      <w:r>
        <w:rPr>
          <w:noProof/>
        </w:rPr>
        <w:fldChar w:fldCharType="separate"/>
      </w:r>
      <w:r>
        <w:rPr>
          <w:noProof/>
        </w:rPr>
        <w:t>373</w:t>
      </w:r>
      <w:r>
        <w:rPr>
          <w:noProof/>
        </w:rPr>
        <w:fldChar w:fldCharType="end"/>
      </w:r>
    </w:p>
    <w:p w14:paraId="1879119E" w14:textId="73003E05" w:rsidR="003F6EFC" w:rsidRDefault="003F6EFC">
      <w:pPr>
        <w:pStyle w:val="TOC4"/>
        <w:rPr>
          <w:rFonts w:asciiTheme="minorHAnsi" w:eastAsiaTheme="minorEastAsia" w:hAnsiTheme="minorHAnsi" w:cstheme="minorBidi"/>
          <w:noProof/>
          <w:kern w:val="2"/>
          <w:sz w:val="21"/>
          <w:szCs w:val="22"/>
          <w:lang w:val="en-US" w:eastAsia="zh-CN"/>
        </w:rPr>
      </w:pPr>
      <w:r>
        <w:rPr>
          <w:noProof/>
        </w:rPr>
        <w:t>5.6.3.4</w:t>
      </w:r>
      <w:r>
        <w:rPr>
          <w:rFonts w:asciiTheme="minorHAnsi" w:eastAsiaTheme="minorEastAsia" w:hAnsiTheme="minorHAnsi" w:cstheme="minorBidi"/>
          <w:noProof/>
          <w:kern w:val="2"/>
          <w:sz w:val="21"/>
          <w:szCs w:val="22"/>
          <w:lang w:val="en-US" w:eastAsia="zh-CN"/>
        </w:rPr>
        <w:tab/>
      </w:r>
      <w:r>
        <w:rPr>
          <w:noProof/>
        </w:rPr>
        <w:t>Resource: NWDAF ML model monitoring Subscriptions</w:t>
      </w:r>
      <w:r>
        <w:rPr>
          <w:noProof/>
        </w:rPr>
        <w:tab/>
      </w:r>
      <w:r>
        <w:rPr>
          <w:noProof/>
        </w:rPr>
        <w:fldChar w:fldCharType="begin"/>
      </w:r>
      <w:r>
        <w:rPr>
          <w:noProof/>
        </w:rPr>
        <w:instrText xml:space="preserve"> PAGEREF _Toc199453304 \h </w:instrText>
      </w:r>
      <w:r>
        <w:rPr>
          <w:noProof/>
        </w:rPr>
      </w:r>
      <w:r>
        <w:rPr>
          <w:noProof/>
        </w:rPr>
        <w:fldChar w:fldCharType="separate"/>
      </w:r>
      <w:r>
        <w:rPr>
          <w:noProof/>
        </w:rPr>
        <w:t>373</w:t>
      </w:r>
      <w:r>
        <w:rPr>
          <w:noProof/>
        </w:rPr>
        <w:fldChar w:fldCharType="end"/>
      </w:r>
    </w:p>
    <w:p w14:paraId="77A5A938" w14:textId="75E49276" w:rsidR="003F6EFC" w:rsidRDefault="003F6EFC">
      <w:pPr>
        <w:pStyle w:val="TOC5"/>
        <w:rPr>
          <w:rFonts w:asciiTheme="minorHAnsi" w:eastAsiaTheme="minorEastAsia" w:hAnsiTheme="minorHAnsi" w:cstheme="minorBidi"/>
          <w:noProof/>
          <w:kern w:val="2"/>
          <w:sz w:val="21"/>
          <w:szCs w:val="22"/>
          <w:lang w:val="en-US" w:eastAsia="zh-CN"/>
        </w:rPr>
      </w:pPr>
      <w:r>
        <w:rPr>
          <w:noProof/>
        </w:rPr>
        <w:t>5.6.3.4.1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_Toc199453305 \h </w:instrText>
      </w:r>
      <w:r>
        <w:rPr>
          <w:noProof/>
        </w:rPr>
      </w:r>
      <w:r>
        <w:rPr>
          <w:noProof/>
        </w:rPr>
        <w:fldChar w:fldCharType="separate"/>
      </w:r>
      <w:r>
        <w:rPr>
          <w:noProof/>
        </w:rPr>
        <w:t>373</w:t>
      </w:r>
      <w:r>
        <w:rPr>
          <w:noProof/>
        </w:rPr>
        <w:fldChar w:fldCharType="end"/>
      </w:r>
    </w:p>
    <w:p w14:paraId="2959CCD8" w14:textId="2FDC1ED9" w:rsidR="003F6EFC" w:rsidRDefault="003F6EFC">
      <w:pPr>
        <w:pStyle w:val="TOC5"/>
        <w:rPr>
          <w:rFonts w:asciiTheme="minorHAnsi" w:eastAsiaTheme="minorEastAsia" w:hAnsiTheme="minorHAnsi" w:cstheme="minorBidi"/>
          <w:noProof/>
          <w:kern w:val="2"/>
          <w:sz w:val="21"/>
          <w:szCs w:val="22"/>
          <w:lang w:val="en-US" w:eastAsia="zh-CN"/>
        </w:rPr>
      </w:pPr>
      <w:r>
        <w:rPr>
          <w:noProof/>
        </w:rPr>
        <w:t>5.6.3.4.2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_Toc199453306 \h </w:instrText>
      </w:r>
      <w:r>
        <w:rPr>
          <w:noProof/>
        </w:rPr>
      </w:r>
      <w:r>
        <w:rPr>
          <w:noProof/>
        </w:rPr>
        <w:fldChar w:fldCharType="separate"/>
      </w:r>
      <w:r>
        <w:rPr>
          <w:noProof/>
        </w:rPr>
        <w:t>373</w:t>
      </w:r>
      <w:r>
        <w:rPr>
          <w:noProof/>
        </w:rPr>
        <w:fldChar w:fldCharType="end"/>
      </w:r>
    </w:p>
    <w:p w14:paraId="75144BEA" w14:textId="6A8B4C70" w:rsidR="003F6EFC" w:rsidRDefault="003F6EFC">
      <w:pPr>
        <w:pStyle w:val="TOC5"/>
        <w:rPr>
          <w:rFonts w:asciiTheme="minorHAnsi" w:eastAsiaTheme="minorEastAsia" w:hAnsiTheme="minorHAnsi" w:cstheme="minorBidi"/>
          <w:noProof/>
          <w:kern w:val="2"/>
          <w:sz w:val="21"/>
          <w:szCs w:val="22"/>
          <w:lang w:val="en-US" w:eastAsia="zh-CN"/>
        </w:rPr>
      </w:pPr>
      <w:r>
        <w:rPr>
          <w:noProof/>
        </w:rPr>
        <w:t>5.6.3.4.3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_Toc199453307 \h </w:instrText>
      </w:r>
      <w:r>
        <w:rPr>
          <w:noProof/>
        </w:rPr>
      </w:r>
      <w:r>
        <w:rPr>
          <w:noProof/>
        </w:rPr>
        <w:fldChar w:fldCharType="separate"/>
      </w:r>
      <w:r>
        <w:rPr>
          <w:noProof/>
        </w:rPr>
        <w:t>373</w:t>
      </w:r>
      <w:r>
        <w:rPr>
          <w:noProof/>
        </w:rPr>
        <w:fldChar w:fldCharType="end"/>
      </w:r>
    </w:p>
    <w:p w14:paraId="26B13ADC" w14:textId="023E8D91" w:rsidR="003F6EFC" w:rsidRDefault="003F6EFC">
      <w:pPr>
        <w:pStyle w:val="TOC6"/>
        <w:rPr>
          <w:rFonts w:asciiTheme="minorHAnsi" w:eastAsiaTheme="minorEastAsia" w:hAnsiTheme="minorHAnsi" w:cstheme="minorBidi"/>
          <w:noProof/>
          <w:kern w:val="2"/>
          <w:sz w:val="21"/>
          <w:szCs w:val="22"/>
          <w:lang w:val="en-US" w:eastAsia="zh-CN"/>
        </w:rPr>
      </w:pPr>
      <w:r>
        <w:rPr>
          <w:noProof/>
        </w:rPr>
        <w:t>5.6.3.4.3.1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_Toc199453308 \h </w:instrText>
      </w:r>
      <w:r>
        <w:rPr>
          <w:noProof/>
        </w:rPr>
      </w:r>
      <w:r>
        <w:rPr>
          <w:noProof/>
        </w:rPr>
        <w:fldChar w:fldCharType="separate"/>
      </w:r>
      <w:r>
        <w:rPr>
          <w:noProof/>
        </w:rPr>
        <w:t>373</w:t>
      </w:r>
      <w:r>
        <w:rPr>
          <w:noProof/>
        </w:rPr>
        <w:fldChar w:fldCharType="end"/>
      </w:r>
    </w:p>
    <w:p w14:paraId="782BBE4B" w14:textId="1FA3AB54" w:rsidR="003F6EFC" w:rsidRDefault="003F6EFC">
      <w:pPr>
        <w:pStyle w:val="TOC5"/>
        <w:rPr>
          <w:rFonts w:asciiTheme="minorHAnsi" w:eastAsiaTheme="minorEastAsia" w:hAnsiTheme="minorHAnsi" w:cstheme="minorBidi"/>
          <w:noProof/>
          <w:kern w:val="2"/>
          <w:sz w:val="21"/>
          <w:szCs w:val="22"/>
          <w:lang w:val="en-US" w:eastAsia="zh-CN"/>
        </w:rPr>
      </w:pPr>
      <w:r>
        <w:rPr>
          <w:noProof/>
        </w:rPr>
        <w:t>5.6.3.4.4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_Toc199453309 \h </w:instrText>
      </w:r>
      <w:r>
        <w:rPr>
          <w:noProof/>
        </w:rPr>
      </w:r>
      <w:r>
        <w:rPr>
          <w:noProof/>
        </w:rPr>
        <w:fldChar w:fldCharType="separate"/>
      </w:r>
      <w:r>
        <w:rPr>
          <w:noProof/>
        </w:rPr>
        <w:t>374</w:t>
      </w:r>
      <w:r>
        <w:rPr>
          <w:noProof/>
        </w:rPr>
        <w:fldChar w:fldCharType="end"/>
      </w:r>
    </w:p>
    <w:p w14:paraId="4130422D" w14:textId="7E681AA5" w:rsidR="003F6EFC" w:rsidRDefault="003F6EFC">
      <w:pPr>
        <w:pStyle w:val="TOC4"/>
        <w:rPr>
          <w:rFonts w:asciiTheme="minorHAnsi" w:eastAsiaTheme="minorEastAsia" w:hAnsiTheme="minorHAnsi" w:cstheme="minorBidi"/>
          <w:noProof/>
          <w:kern w:val="2"/>
          <w:sz w:val="21"/>
          <w:szCs w:val="22"/>
          <w:lang w:val="en-US" w:eastAsia="zh-CN"/>
        </w:rPr>
      </w:pPr>
      <w:r>
        <w:rPr>
          <w:noProof/>
        </w:rPr>
        <w:t>5.6.3.5</w:t>
      </w:r>
      <w:r>
        <w:rPr>
          <w:rFonts w:asciiTheme="minorHAnsi" w:eastAsiaTheme="minorEastAsia" w:hAnsiTheme="minorHAnsi" w:cstheme="minorBidi"/>
          <w:noProof/>
          <w:kern w:val="2"/>
          <w:sz w:val="21"/>
          <w:szCs w:val="22"/>
          <w:lang w:val="en-US" w:eastAsia="zh-CN"/>
        </w:rPr>
        <w:tab/>
      </w:r>
      <w:r>
        <w:rPr>
          <w:noProof/>
        </w:rPr>
        <w:t>Resource: Individual NWDAF ML model monitoring Subscription</w:t>
      </w:r>
      <w:r>
        <w:rPr>
          <w:noProof/>
        </w:rPr>
        <w:tab/>
      </w:r>
      <w:r>
        <w:rPr>
          <w:noProof/>
        </w:rPr>
        <w:fldChar w:fldCharType="begin"/>
      </w:r>
      <w:r>
        <w:rPr>
          <w:noProof/>
        </w:rPr>
        <w:instrText xml:space="preserve"> PAGEREF _Toc199453310 \h </w:instrText>
      </w:r>
      <w:r>
        <w:rPr>
          <w:noProof/>
        </w:rPr>
      </w:r>
      <w:r>
        <w:rPr>
          <w:noProof/>
        </w:rPr>
        <w:fldChar w:fldCharType="separate"/>
      </w:r>
      <w:r>
        <w:rPr>
          <w:noProof/>
        </w:rPr>
        <w:t>374</w:t>
      </w:r>
      <w:r>
        <w:rPr>
          <w:noProof/>
        </w:rPr>
        <w:fldChar w:fldCharType="end"/>
      </w:r>
    </w:p>
    <w:p w14:paraId="736786CB" w14:textId="546CF73C" w:rsidR="003F6EFC" w:rsidRDefault="003F6EFC">
      <w:pPr>
        <w:pStyle w:val="TOC5"/>
        <w:rPr>
          <w:rFonts w:asciiTheme="minorHAnsi" w:eastAsiaTheme="minorEastAsia" w:hAnsiTheme="minorHAnsi" w:cstheme="minorBidi"/>
          <w:noProof/>
          <w:kern w:val="2"/>
          <w:sz w:val="21"/>
          <w:szCs w:val="22"/>
          <w:lang w:val="en-US" w:eastAsia="zh-CN"/>
        </w:rPr>
      </w:pPr>
      <w:r>
        <w:rPr>
          <w:noProof/>
        </w:rPr>
        <w:t>5.6.3.5.1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_Toc199453311 \h </w:instrText>
      </w:r>
      <w:r>
        <w:rPr>
          <w:noProof/>
        </w:rPr>
      </w:r>
      <w:r>
        <w:rPr>
          <w:noProof/>
        </w:rPr>
        <w:fldChar w:fldCharType="separate"/>
      </w:r>
      <w:r>
        <w:rPr>
          <w:noProof/>
        </w:rPr>
        <w:t>374</w:t>
      </w:r>
      <w:r>
        <w:rPr>
          <w:noProof/>
        </w:rPr>
        <w:fldChar w:fldCharType="end"/>
      </w:r>
    </w:p>
    <w:p w14:paraId="65AB20C4" w14:textId="611CCA99" w:rsidR="003F6EFC" w:rsidRDefault="003F6EFC">
      <w:pPr>
        <w:pStyle w:val="TOC5"/>
        <w:rPr>
          <w:rFonts w:asciiTheme="minorHAnsi" w:eastAsiaTheme="minorEastAsia" w:hAnsiTheme="minorHAnsi" w:cstheme="minorBidi"/>
          <w:noProof/>
          <w:kern w:val="2"/>
          <w:sz w:val="21"/>
          <w:szCs w:val="22"/>
          <w:lang w:val="en-US" w:eastAsia="zh-CN"/>
        </w:rPr>
      </w:pPr>
      <w:r>
        <w:rPr>
          <w:noProof/>
        </w:rPr>
        <w:t>5.6.3.5.2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_Toc199453312 \h </w:instrText>
      </w:r>
      <w:r>
        <w:rPr>
          <w:noProof/>
        </w:rPr>
      </w:r>
      <w:r>
        <w:rPr>
          <w:noProof/>
        </w:rPr>
        <w:fldChar w:fldCharType="separate"/>
      </w:r>
      <w:r>
        <w:rPr>
          <w:noProof/>
        </w:rPr>
        <w:t>374</w:t>
      </w:r>
      <w:r>
        <w:rPr>
          <w:noProof/>
        </w:rPr>
        <w:fldChar w:fldCharType="end"/>
      </w:r>
    </w:p>
    <w:p w14:paraId="7114E554" w14:textId="4BFCC8D1" w:rsidR="003F6EFC" w:rsidRDefault="003F6EFC">
      <w:pPr>
        <w:pStyle w:val="TOC5"/>
        <w:rPr>
          <w:rFonts w:asciiTheme="minorHAnsi" w:eastAsiaTheme="minorEastAsia" w:hAnsiTheme="minorHAnsi" w:cstheme="minorBidi"/>
          <w:noProof/>
          <w:kern w:val="2"/>
          <w:sz w:val="21"/>
          <w:szCs w:val="22"/>
          <w:lang w:val="en-US" w:eastAsia="zh-CN"/>
        </w:rPr>
      </w:pPr>
      <w:r>
        <w:rPr>
          <w:noProof/>
        </w:rPr>
        <w:t>5.6.3.5.3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_Toc199453313 \h </w:instrText>
      </w:r>
      <w:r>
        <w:rPr>
          <w:noProof/>
        </w:rPr>
      </w:r>
      <w:r>
        <w:rPr>
          <w:noProof/>
        </w:rPr>
        <w:fldChar w:fldCharType="separate"/>
      </w:r>
      <w:r>
        <w:rPr>
          <w:noProof/>
        </w:rPr>
        <w:t>375</w:t>
      </w:r>
      <w:r>
        <w:rPr>
          <w:noProof/>
        </w:rPr>
        <w:fldChar w:fldCharType="end"/>
      </w:r>
    </w:p>
    <w:p w14:paraId="49AEB775" w14:textId="6BBF5734" w:rsidR="003F6EFC" w:rsidRDefault="003F6EFC">
      <w:pPr>
        <w:pStyle w:val="TOC6"/>
        <w:rPr>
          <w:rFonts w:asciiTheme="minorHAnsi" w:eastAsiaTheme="minorEastAsia" w:hAnsiTheme="minorHAnsi" w:cstheme="minorBidi"/>
          <w:noProof/>
          <w:kern w:val="2"/>
          <w:sz w:val="21"/>
          <w:szCs w:val="22"/>
          <w:lang w:val="en-US" w:eastAsia="zh-CN"/>
        </w:rPr>
      </w:pPr>
      <w:r>
        <w:rPr>
          <w:noProof/>
        </w:rPr>
        <w:t>5.6.3.5.3.1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_Toc199453314 \h </w:instrText>
      </w:r>
      <w:r>
        <w:rPr>
          <w:noProof/>
        </w:rPr>
      </w:r>
      <w:r>
        <w:rPr>
          <w:noProof/>
        </w:rPr>
        <w:fldChar w:fldCharType="separate"/>
      </w:r>
      <w:r>
        <w:rPr>
          <w:noProof/>
        </w:rPr>
        <w:t>375</w:t>
      </w:r>
      <w:r>
        <w:rPr>
          <w:noProof/>
        </w:rPr>
        <w:fldChar w:fldCharType="end"/>
      </w:r>
    </w:p>
    <w:p w14:paraId="4EC0EBBB" w14:textId="26C39FD9" w:rsidR="003F6EFC" w:rsidRDefault="003F6EFC">
      <w:pPr>
        <w:pStyle w:val="TOC6"/>
        <w:rPr>
          <w:rFonts w:asciiTheme="minorHAnsi" w:eastAsiaTheme="minorEastAsia" w:hAnsiTheme="minorHAnsi" w:cstheme="minorBidi"/>
          <w:noProof/>
          <w:kern w:val="2"/>
          <w:sz w:val="21"/>
          <w:szCs w:val="22"/>
          <w:lang w:val="en-US" w:eastAsia="zh-CN"/>
        </w:rPr>
      </w:pPr>
      <w:r>
        <w:rPr>
          <w:noProof/>
        </w:rPr>
        <w:t>5.6.3.5.3.2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_Toc199453315 \h </w:instrText>
      </w:r>
      <w:r>
        <w:rPr>
          <w:noProof/>
        </w:rPr>
      </w:r>
      <w:r>
        <w:rPr>
          <w:noProof/>
        </w:rPr>
        <w:fldChar w:fldCharType="separate"/>
      </w:r>
      <w:r>
        <w:rPr>
          <w:noProof/>
        </w:rPr>
        <w:t>376</w:t>
      </w:r>
      <w:r>
        <w:rPr>
          <w:noProof/>
        </w:rPr>
        <w:fldChar w:fldCharType="end"/>
      </w:r>
    </w:p>
    <w:p w14:paraId="5A2031CF" w14:textId="3BD72E8F" w:rsidR="003F6EFC" w:rsidRDefault="003F6EFC">
      <w:pPr>
        <w:pStyle w:val="TOC5"/>
        <w:rPr>
          <w:rFonts w:asciiTheme="minorHAnsi" w:eastAsiaTheme="minorEastAsia" w:hAnsiTheme="minorHAnsi" w:cstheme="minorBidi"/>
          <w:noProof/>
          <w:kern w:val="2"/>
          <w:sz w:val="21"/>
          <w:szCs w:val="22"/>
          <w:lang w:val="en-US" w:eastAsia="zh-CN"/>
        </w:rPr>
      </w:pPr>
      <w:r>
        <w:rPr>
          <w:noProof/>
        </w:rPr>
        <w:t>5.6.3.5.4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_Toc199453316 \h </w:instrText>
      </w:r>
      <w:r>
        <w:rPr>
          <w:noProof/>
        </w:rPr>
      </w:r>
      <w:r>
        <w:rPr>
          <w:noProof/>
        </w:rPr>
        <w:fldChar w:fldCharType="separate"/>
      </w:r>
      <w:r>
        <w:rPr>
          <w:noProof/>
        </w:rPr>
        <w:t>377</w:t>
      </w:r>
      <w:r>
        <w:rPr>
          <w:noProof/>
        </w:rPr>
        <w:fldChar w:fldCharType="end"/>
      </w:r>
    </w:p>
    <w:p w14:paraId="2023B9FA" w14:textId="4CBAC9B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_Toc199453317 \h </w:instrText>
      </w:r>
      <w:r>
        <w:rPr>
          <w:noProof/>
        </w:rPr>
      </w:r>
      <w:r>
        <w:rPr>
          <w:noProof/>
        </w:rPr>
        <w:fldChar w:fldCharType="separate"/>
      </w:r>
      <w:r>
        <w:rPr>
          <w:noProof/>
        </w:rPr>
        <w:t>377</w:t>
      </w:r>
      <w:r>
        <w:rPr>
          <w:noProof/>
        </w:rPr>
        <w:fldChar w:fldCharType="end"/>
      </w:r>
    </w:p>
    <w:p w14:paraId="15A27541" w14:textId="7F6D896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_Toc199453318 \h </w:instrText>
      </w:r>
      <w:r>
        <w:rPr>
          <w:noProof/>
        </w:rPr>
      </w:r>
      <w:r>
        <w:rPr>
          <w:noProof/>
        </w:rPr>
        <w:fldChar w:fldCharType="separate"/>
      </w:r>
      <w:r>
        <w:rPr>
          <w:noProof/>
        </w:rPr>
        <w:t>377</w:t>
      </w:r>
      <w:r>
        <w:rPr>
          <w:noProof/>
        </w:rPr>
        <w:fldChar w:fldCharType="end"/>
      </w:r>
    </w:p>
    <w:p w14:paraId="1478F264" w14:textId="24C4FF2C" w:rsidR="003F6EFC" w:rsidRDefault="003F6EFC">
      <w:pPr>
        <w:pStyle w:val="TOC4"/>
        <w:rPr>
          <w:rFonts w:asciiTheme="minorHAnsi" w:eastAsiaTheme="minorEastAsia" w:hAnsiTheme="minorHAnsi" w:cstheme="minorBidi"/>
          <w:noProof/>
          <w:kern w:val="2"/>
          <w:sz w:val="21"/>
          <w:szCs w:val="22"/>
          <w:lang w:val="en-US" w:eastAsia="zh-CN"/>
        </w:rPr>
      </w:pPr>
      <w:r>
        <w:rPr>
          <w:noProof/>
        </w:rPr>
        <w:t>5.6.5.1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_Toc199453319 \h </w:instrText>
      </w:r>
      <w:r>
        <w:rPr>
          <w:noProof/>
        </w:rPr>
      </w:r>
      <w:r>
        <w:rPr>
          <w:noProof/>
        </w:rPr>
        <w:fldChar w:fldCharType="separate"/>
      </w:r>
      <w:r>
        <w:rPr>
          <w:noProof/>
        </w:rPr>
        <w:t>377</w:t>
      </w:r>
      <w:r>
        <w:rPr>
          <w:noProof/>
        </w:rPr>
        <w:fldChar w:fldCharType="end"/>
      </w:r>
    </w:p>
    <w:p w14:paraId="7EF7AD82" w14:textId="62A98160" w:rsidR="003F6EFC" w:rsidRDefault="003F6EFC">
      <w:pPr>
        <w:pStyle w:val="TOC4"/>
        <w:rPr>
          <w:rFonts w:asciiTheme="minorHAnsi" w:eastAsiaTheme="minorEastAsia" w:hAnsiTheme="minorHAnsi" w:cstheme="minorBidi"/>
          <w:noProof/>
          <w:kern w:val="2"/>
          <w:sz w:val="21"/>
          <w:szCs w:val="22"/>
          <w:lang w:val="en-US" w:eastAsia="zh-CN"/>
        </w:rPr>
      </w:pPr>
      <w:r>
        <w:rPr>
          <w:noProof/>
        </w:rPr>
        <w:t>5.6.5.2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_Toc199453320 \h </w:instrText>
      </w:r>
      <w:r>
        <w:rPr>
          <w:noProof/>
        </w:rPr>
      </w:r>
      <w:r>
        <w:rPr>
          <w:noProof/>
        </w:rPr>
        <w:fldChar w:fldCharType="separate"/>
      </w:r>
      <w:r>
        <w:rPr>
          <w:noProof/>
        </w:rPr>
        <w:t>377</w:t>
      </w:r>
      <w:r>
        <w:rPr>
          <w:noProof/>
        </w:rPr>
        <w:fldChar w:fldCharType="end"/>
      </w:r>
    </w:p>
    <w:p w14:paraId="7EC8437E" w14:textId="20B536BE" w:rsidR="003F6EFC" w:rsidRDefault="003F6EFC">
      <w:pPr>
        <w:pStyle w:val="TOC5"/>
        <w:rPr>
          <w:rFonts w:asciiTheme="minorHAnsi" w:eastAsiaTheme="minorEastAsia" w:hAnsiTheme="minorHAnsi" w:cstheme="minorBidi"/>
          <w:noProof/>
          <w:kern w:val="2"/>
          <w:sz w:val="21"/>
          <w:szCs w:val="22"/>
          <w:lang w:val="en-US" w:eastAsia="zh-CN"/>
        </w:rPr>
      </w:pPr>
      <w:r>
        <w:rPr>
          <w:noProof/>
        </w:rPr>
        <w:t>5.6.5.2.1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_Toc199453321 \h </w:instrText>
      </w:r>
      <w:r>
        <w:rPr>
          <w:noProof/>
        </w:rPr>
      </w:r>
      <w:r>
        <w:rPr>
          <w:noProof/>
        </w:rPr>
        <w:fldChar w:fldCharType="separate"/>
      </w:r>
      <w:r>
        <w:rPr>
          <w:noProof/>
        </w:rPr>
        <w:t>377</w:t>
      </w:r>
      <w:r>
        <w:rPr>
          <w:noProof/>
        </w:rPr>
        <w:fldChar w:fldCharType="end"/>
      </w:r>
    </w:p>
    <w:p w14:paraId="63D22EEF" w14:textId="5E273532" w:rsidR="003F6EFC" w:rsidRDefault="003F6EFC">
      <w:pPr>
        <w:pStyle w:val="TOC5"/>
        <w:rPr>
          <w:rFonts w:asciiTheme="minorHAnsi" w:eastAsiaTheme="minorEastAsia" w:hAnsiTheme="minorHAnsi" w:cstheme="minorBidi"/>
          <w:noProof/>
          <w:kern w:val="2"/>
          <w:sz w:val="21"/>
          <w:szCs w:val="22"/>
          <w:lang w:val="en-US" w:eastAsia="zh-CN"/>
        </w:rPr>
      </w:pPr>
      <w:r>
        <w:rPr>
          <w:noProof/>
        </w:rPr>
        <w:t>5.6.5.2.2</w:t>
      </w:r>
      <w:r>
        <w:rPr>
          <w:rFonts w:asciiTheme="minorHAnsi" w:eastAsiaTheme="minorEastAsia" w:hAnsiTheme="minorHAnsi" w:cstheme="minorBidi"/>
          <w:noProof/>
          <w:kern w:val="2"/>
          <w:sz w:val="21"/>
          <w:szCs w:val="22"/>
          <w:lang w:val="en-US" w:eastAsia="zh-CN"/>
        </w:rPr>
        <w:tab/>
      </w:r>
      <w:r w:rsidRPr="00D64295">
        <w:rPr>
          <w:noProof/>
          <w:lang w:val="en-US" w:eastAsia="zh-CN"/>
        </w:rPr>
        <w:t>Operation Definition</w:t>
      </w:r>
      <w:r>
        <w:rPr>
          <w:noProof/>
        </w:rPr>
        <w:tab/>
      </w:r>
      <w:r>
        <w:rPr>
          <w:noProof/>
        </w:rPr>
        <w:fldChar w:fldCharType="begin"/>
      </w:r>
      <w:r>
        <w:rPr>
          <w:noProof/>
        </w:rPr>
        <w:instrText xml:space="preserve"> PAGEREF _Toc199453322 \h </w:instrText>
      </w:r>
      <w:r>
        <w:rPr>
          <w:noProof/>
        </w:rPr>
      </w:r>
      <w:r>
        <w:rPr>
          <w:noProof/>
        </w:rPr>
        <w:fldChar w:fldCharType="separate"/>
      </w:r>
      <w:r>
        <w:rPr>
          <w:noProof/>
        </w:rPr>
        <w:t>377</w:t>
      </w:r>
      <w:r>
        <w:rPr>
          <w:noProof/>
        </w:rPr>
        <w:fldChar w:fldCharType="end"/>
      </w:r>
    </w:p>
    <w:p w14:paraId="115F71E6" w14:textId="07FA8FB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_Toc199453323 \h </w:instrText>
      </w:r>
      <w:r>
        <w:rPr>
          <w:noProof/>
        </w:rPr>
      </w:r>
      <w:r>
        <w:rPr>
          <w:noProof/>
        </w:rPr>
        <w:fldChar w:fldCharType="separate"/>
      </w:r>
      <w:r>
        <w:rPr>
          <w:noProof/>
        </w:rPr>
        <w:t>379</w:t>
      </w:r>
      <w:r>
        <w:rPr>
          <w:noProof/>
        </w:rPr>
        <w:fldChar w:fldCharType="end"/>
      </w:r>
    </w:p>
    <w:p w14:paraId="15A14DB0" w14:textId="5FAEDF20" w:rsidR="003F6EFC" w:rsidRDefault="003F6EFC">
      <w:pPr>
        <w:pStyle w:val="TOC4"/>
        <w:rPr>
          <w:rFonts w:asciiTheme="minorHAnsi" w:eastAsiaTheme="minorEastAsia" w:hAnsiTheme="minorHAnsi" w:cstheme="minorBidi"/>
          <w:noProof/>
          <w:kern w:val="2"/>
          <w:sz w:val="21"/>
          <w:szCs w:val="22"/>
          <w:lang w:val="en-US" w:eastAsia="zh-CN"/>
        </w:rPr>
      </w:pPr>
      <w:r>
        <w:rPr>
          <w:noProof/>
        </w:rPr>
        <w:t>5.6.6.1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_Toc199453324 \h </w:instrText>
      </w:r>
      <w:r>
        <w:rPr>
          <w:noProof/>
        </w:rPr>
      </w:r>
      <w:r>
        <w:rPr>
          <w:noProof/>
        </w:rPr>
        <w:fldChar w:fldCharType="separate"/>
      </w:r>
      <w:r>
        <w:rPr>
          <w:noProof/>
        </w:rPr>
        <w:t>379</w:t>
      </w:r>
      <w:r>
        <w:rPr>
          <w:noProof/>
        </w:rPr>
        <w:fldChar w:fldCharType="end"/>
      </w:r>
    </w:p>
    <w:p w14:paraId="682E1733" w14:textId="3FFD436B" w:rsidR="003F6EFC" w:rsidRDefault="003F6EFC">
      <w:pPr>
        <w:pStyle w:val="TOC4"/>
        <w:rPr>
          <w:rFonts w:asciiTheme="minorHAnsi" w:eastAsiaTheme="minorEastAsia" w:hAnsiTheme="minorHAnsi" w:cstheme="minorBidi"/>
          <w:noProof/>
          <w:kern w:val="2"/>
          <w:sz w:val="21"/>
          <w:szCs w:val="22"/>
          <w:lang w:val="en-US" w:eastAsia="zh-CN"/>
        </w:rPr>
      </w:pPr>
      <w:r>
        <w:rPr>
          <w:noProof/>
        </w:rPr>
        <w:t>5.6.6.2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_Toc199453325 \h </w:instrText>
      </w:r>
      <w:r>
        <w:rPr>
          <w:noProof/>
        </w:rPr>
      </w:r>
      <w:r>
        <w:rPr>
          <w:noProof/>
        </w:rPr>
        <w:fldChar w:fldCharType="separate"/>
      </w:r>
      <w:r>
        <w:rPr>
          <w:noProof/>
        </w:rPr>
        <w:t>380</w:t>
      </w:r>
      <w:r>
        <w:rPr>
          <w:noProof/>
        </w:rPr>
        <w:fldChar w:fldCharType="end"/>
      </w:r>
    </w:p>
    <w:p w14:paraId="4B3CFD8E" w14:textId="0FF50C6B" w:rsidR="003F6EFC" w:rsidRDefault="003F6EFC">
      <w:pPr>
        <w:pStyle w:val="TOC5"/>
        <w:rPr>
          <w:rFonts w:asciiTheme="minorHAnsi" w:eastAsiaTheme="minorEastAsia" w:hAnsiTheme="minorHAnsi" w:cstheme="minorBidi"/>
          <w:noProof/>
          <w:kern w:val="2"/>
          <w:sz w:val="21"/>
          <w:szCs w:val="22"/>
          <w:lang w:val="en-US" w:eastAsia="zh-CN"/>
        </w:rPr>
      </w:pPr>
      <w:r>
        <w:rPr>
          <w:noProof/>
        </w:rPr>
        <w:t>5.6.6.2.1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_Toc199453326 \h </w:instrText>
      </w:r>
      <w:r>
        <w:rPr>
          <w:noProof/>
        </w:rPr>
      </w:r>
      <w:r>
        <w:rPr>
          <w:noProof/>
        </w:rPr>
        <w:fldChar w:fldCharType="separate"/>
      </w:r>
      <w:r>
        <w:rPr>
          <w:noProof/>
        </w:rPr>
        <w:t>380</w:t>
      </w:r>
      <w:r>
        <w:rPr>
          <w:noProof/>
        </w:rPr>
        <w:fldChar w:fldCharType="end"/>
      </w:r>
    </w:p>
    <w:p w14:paraId="7DD81E5A" w14:textId="056C43C4" w:rsidR="003F6EFC" w:rsidRDefault="003F6EFC">
      <w:pPr>
        <w:pStyle w:val="TOC5"/>
        <w:rPr>
          <w:rFonts w:asciiTheme="minorHAnsi" w:eastAsiaTheme="minorEastAsia" w:hAnsiTheme="minorHAnsi" w:cstheme="minorBidi"/>
          <w:noProof/>
          <w:kern w:val="2"/>
          <w:sz w:val="21"/>
          <w:szCs w:val="22"/>
          <w:lang w:val="en-US" w:eastAsia="zh-CN"/>
        </w:rPr>
      </w:pPr>
      <w:r>
        <w:rPr>
          <w:noProof/>
        </w:rPr>
        <w:t>5.6.6.2.2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MLModelMonitorReg</w:t>
      </w:r>
      <w:r>
        <w:rPr>
          <w:noProof/>
        </w:rPr>
        <w:tab/>
      </w:r>
      <w:r>
        <w:rPr>
          <w:noProof/>
        </w:rPr>
        <w:fldChar w:fldCharType="begin"/>
      </w:r>
      <w:r>
        <w:rPr>
          <w:noProof/>
        </w:rPr>
        <w:instrText xml:space="preserve"> PAGEREF _Toc199453327 \h </w:instrText>
      </w:r>
      <w:r>
        <w:rPr>
          <w:noProof/>
        </w:rPr>
      </w:r>
      <w:r>
        <w:rPr>
          <w:noProof/>
        </w:rPr>
        <w:fldChar w:fldCharType="separate"/>
      </w:r>
      <w:r>
        <w:rPr>
          <w:noProof/>
        </w:rPr>
        <w:t>380</w:t>
      </w:r>
      <w:r>
        <w:rPr>
          <w:noProof/>
        </w:rPr>
        <w:fldChar w:fldCharType="end"/>
      </w:r>
    </w:p>
    <w:p w14:paraId="671166DE" w14:textId="79B6C372" w:rsidR="003F6EFC" w:rsidRDefault="003F6EFC">
      <w:pPr>
        <w:pStyle w:val="TOC5"/>
        <w:rPr>
          <w:rFonts w:asciiTheme="minorHAnsi" w:eastAsiaTheme="minorEastAsia" w:hAnsiTheme="minorHAnsi" w:cstheme="minorBidi"/>
          <w:noProof/>
          <w:kern w:val="2"/>
          <w:sz w:val="21"/>
          <w:szCs w:val="22"/>
          <w:lang w:val="en-US" w:eastAsia="zh-CN"/>
        </w:rPr>
      </w:pPr>
      <w:r>
        <w:rPr>
          <w:noProof/>
        </w:rPr>
        <w:t>5.6.6.2.3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MLModelMonitor</w:t>
      </w:r>
      <w:r w:rsidRPr="00D64295">
        <w:rPr>
          <w:rFonts w:eastAsia="等线"/>
          <w:noProof/>
          <w:lang w:eastAsia="zh-CN"/>
        </w:rPr>
        <w:t>Sub</w:t>
      </w:r>
      <w:r>
        <w:rPr>
          <w:noProof/>
        </w:rPr>
        <w:tab/>
      </w:r>
      <w:r>
        <w:rPr>
          <w:noProof/>
        </w:rPr>
        <w:fldChar w:fldCharType="begin"/>
      </w:r>
      <w:r>
        <w:rPr>
          <w:noProof/>
        </w:rPr>
        <w:instrText xml:space="preserve"> PAGEREF _Toc199453328 \h </w:instrText>
      </w:r>
      <w:r>
        <w:rPr>
          <w:noProof/>
        </w:rPr>
      </w:r>
      <w:r>
        <w:rPr>
          <w:noProof/>
        </w:rPr>
        <w:fldChar w:fldCharType="separate"/>
      </w:r>
      <w:r>
        <w:rPr>
          <w:noProof/>
        </w:rPr>
        <w:t>381</w:t>
      </w:r>
      <w:r>
        <w:rPr>
          <w:noProof/>
        </w:rPr>
        <w:fldChar w:fldCharType="end"/>
      </w:r>
    </w:p>
    <w:p w14:paraId="21A43C60" w14:textId="26A8D897" w:rsidR="003F6EFC" w:rsidRDefault="003F6EFC">
      <w:pPr>
        <w:pStyle w:val="TOC5"/>
        <w:rPr>
          <w:rFonts w:asciiTheme="minorHAnsi" w:eastAsiaTheme="minorEastAsia" w:hAnsiTheme="minorHAnsi" w:cstheme="minorBidi"/>
          <w:noProof/>
          <w:kern w:val="2"/>
          <w:sz w:val="21"/>
          <w:szCs w:val="22"/>
          <w:lang w:val="en-US" w:eastAsia="zh-CN"/>
        </w:rPr>
      </w:pPr>
      <w:r>
        <w:rPr>
          <w:noProof/>
        </w:rPr>
        <w:t>5.6.6.2.4</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MLModelMonitor</w:t>
      </w:r>
      <w:r w:rsidRPr="00D64295">
        <w:rPr>
          <w:rFonts w:eastAsia="等线"/>
          <w:noProof/>
          <w:lang w:eastAsia="zh-CN"/>
        </w:rPr>
        <w:t>Notify</w:t>
      </w:r>
      <w:r>
        <w:rPr>
          <w:noProof/>
        </w:rPr>
        <w:tab/>
      </w:r>
      <w:r>
        <w:rPr>
          <w:noProof/>
        </w:rPr>
        <w:fldChar w:fldCharType="begin"/>
      </w:r>
      <w:r>
        <w:rPr>
          <w:noProof/>
        </w:rPr>
        <w:instrText xml:space="preserve"> PAGEREF _Toc199453329 \h </w:instrText>
      </w:r>
      <w:r>
        <w:rPr>
          <w:noProof/>
        </w:rPr>
      </w:r>
      <w:r>
        <w:rPr>
          <w:noProof/>
        </w:rPr>
        <w:fldChar w:fldCharType="separate"/>
      </w:r>
      <w:r>
        <w:rPr>
          <w:noProof/>
        </w:rPr>
        <w:t>382</w:t>
      </w:r>
      <w:r>
        <w:rPr>
          <w:noProof/>
        </w:rPr>
        <w:fldChar w:fldCharType="end"/>
      </w:r>
    </w:p>
    <w:p w14:paraId="34ACEDAA" w14:textId="48F9DC02" w:rsidR="003F6EFC" w:rsidRDefault="003F6EFC">
      <w:pPr>
        <w:pStyle w:val="TOC5"/>
        <w:rPr>
          <w:rFonts w:asciiTheme="minorHAnsi" w:eastAsiaTheme="minorEastAsia" w:hAnsiTheme="minorHAnsi" w:cstheme="minorBidi"/>
          <w:noProof/>
          <w:kern w:val="2"/>
          <w:sz w:val="21"/>
          <w:szCs w:val="22"/>
          <w:lang w:val="en-US" w:eastAsia="zh-CN"/>
        </w:rPr>
      </w:pPr>
      <w:r>
        <w:rPr>
          <w:noProof/>
        </w:rPr>
        <w:t>5.6.6.2.5</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MLModelAccuracyInfo</w:t>
      </w:r>
      <w:r>
        <w:rPr>
          <w:noProof/>
        </w:rPr>
        <w:tab/>
      </w:r>
      <w:r>
        <w:rPr>
          <w:noProof/>
        </w:rPr>
        <w:fldChar w:fldCharType="begin"/>
      </w:r>
      <w:r>
        <w:rPr>
          <w:noProof/>
        </w:rPr>
        <w:instrText xml:space="preserve"> PAGEREF _Toc199453330 \h </w:instrText>
      </w:r>
      <w:r>
        <w:rPr>
          <w:noProof/>
        </w:rPr>
      </w:r>
      <w:r>
        <w:rPr>
          <w:noProof/>
        </w:rPr>
        <w:fldChar w:fldCharType="separate"/>
      </w:r>
      <w:r>
        <w:rPr>
          <w:noProof/>
        </w:rPr>
        <w:t>383</w:t>
      </w:r>
      <w:r>
        <w:rPr>
          <w:noProof/>
        </w:rPr>
        <w:fldChar w:fldCharType="end"/>
      </w:r>
    </w:p>
    <w:p w14:paraId="692674D6" w14:textId="7281E59E" w:rsidR="003F6EFC" w:rsidRDefault="003F6EFC">
      <w:pPr>
        <w:pStyle w:val="TOC5"/>
        <w:rPr>
          <w:rFonts w:asciiTheme="minorHAnsi" w:eastAsiaTheme="minorEastAsia" w:hAnsiTheme="minorHAnsi" w:cstheme="minorBidi"/>
          <w:noProof/>
          <w:kern w:val="2"/>
          <w:sz w:val="21"/>
          <w:szCs w:val="22"/>
          <w:lang w:val="en-US" w:eastAsia="zh-CN"/>
        </w:rPr>
      </w:pPr>
      <w:r>
        <w:rPr>
          <w:noProof/>
        </w:rPr>
        <w:t>5.6.6.2.6</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AnalyticsFeedback</w:t>
      </w:r>
      <w:r>
        <w:rPr>
          <w:noProof/>
        </w:rPr>
        <w:tab/>
      </w:r>
      <w:r>
        <w:rPr>
          <w:noProof/>
        </w:rPr>
        <w:fldChar w:fldCharType="begin"/>
      </w:r>
      <w:r>
        <w:rPr>
          <w:noProof/>
        </w:rPr>
        <w:instrText xml:space="preserve"> PAGEREF _Toc199453331 \h </w:instrText>
      </w:r>
      <w:r>
        <w:rPr>
          <w:noProof/>
        </w:rPr>
      </w:r>
      <w:r>
        <w:rPr>
          <w:noProof/>
        </w:rPr>
        <w:fldChar w:fldCharType="separate"/>
      </w:r>
      <w:r>
        <w:rPr>
          <w:noProof/>
        </w:rPr>
        <w:t>383</w:t>
      </w:r>
      <w:r>
        <w:rPr>
          <w:noProof/>
        </w:rPr>
        <w:fldChar w:fldCharType="end"/>
      </w:r>
    </w:p>
    <w:p w14:paraId="035D2D08" w14:textId="0EE1D01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_Toc199453332 \h </w:instrText>
      </w:r>
      <w:r>
        <w:rPr>
          <w:noProof/>
        </w:rPr>
      </w:r>
      <w:r>
        <w:rPr>
          <w:noProof/>
        </w:rPr>
        <w:fldChar w:fldCharType="separate"/>
      </w:r>
      <w:r>
        <w:rPr>
          <w:noProof/>
        </w:rPr>
        <w:t>384</w:t>
      </w:r>
      <w:r>
        <w:rPr>
          <w:noProof/>
        </w:rPr>
        <w:fldChar w:fldCharType="end"/>
      </w:r>
    </w:p>
    <w:p w14:paraId="289545FA" w14:textId="3066695A" w:rsidR="003F6EFC" w:rsidRDefault="003F6EFC">
      <w:pPr>
        <w:pStyle w:val="TOC4"/>
        <w:rPr>
          <w:rFonts w:asciiTheme="minorHAnsi" w:eastAsiaTheme="minorEastAsia" w:hAnsiTheme="minorHAnsi" w:cstheme="minorBidi"/>
          <w:noProof/>
          <w:kern w:val="2"/>
          <w:sz w:val="21"/>
          <w:szCs w:val="22"/>
          <w:lang w:val="en-US" w:eastAsia="zh-CN"/>
        </w:rPr>
      </w:pPr>
      <w:r>
        <w:rPr>
          <w:noProof/>
        </w:rPr>
        <w:t>5.6.7.1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_Toc199453333 \h </w:instrText>
      </w:r>
      <w:r>
        <w:rPr>
          <w:noProof/>
        </w:rPr>
      </w:r>
      <w:r>
        <w:rPr>
          <w:noProof/>
        </w:rPr>
        <w:fldChar w:fldCharType="separate"/>
      </w:r>
      <w:r>
        <w:rPr>
          <w:noProof/>
        </w:rPr>
        <w:t>384</w:t>
      </w:r>
      <w:r>
        <w:rPr>
          <w:noProof/>
        </w:rPr>
        <w:fldChar w:fldCharType="end"/>
      </w:r>
    </w:p>
    <w:p w14:paraId="01AA58E6" w14:textId="3DD7FF91" w:rsidR="003F6EFC" w:rsidRDefault="003F6EFC">
      <w:pPr>
        <w:pStyle w:val="TOC4"/>
        <w:rPr>
          <w:rFonts w:asciiTheme="minorHAnsi" w:eastAsiaTheme="minorEastAsia" w:hAnsiTheme="minorHAnsi" w:cstheme="minorBidi"/>
          <w:noProof/>
          <w:kern w:val="2"/>
          <w:sz w:val="21"/>
          <w:szCs w:val="22"/>
          <w:lang w:val="en-US" w:eastAsia="zh-CN"/>
        </w:rPr>
      </w:pPr>
      <w:r>
        <w:rPr>
          <w:noProof/>
        </w:rPr>
        <w:t>5.6.7.2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_Toc199453334 \h </w:instrText>
      </w:r>
      <w:r>
        <w:rPr>
          <w:noProof/>
        </w:rPr>
      </w:r>
      <w:r>
        <w:rPr>
          <w:noProof/>
        </w:rPr>
        <w:fldChar w:fldCharType="separate"/>
      </w:r>
      <w:r>
        <w:rPr>
          <w:noProof/>
        </w:rPr>
        <w:t>384</w:t>
      </w:r>
      <w:r>
        <w:rPr>
          <w:noProof/>
        </w:rPr>
        <w:fldChar w:fldCharType="end"/>
      </w:r>
    </w:p>
    <w:p w14:paraId="7F211132" w14:textId="25EB0617" w:rsidR="003F6EFC" w:rsidRDefault="003F6EFC">
      <w:pPr>
        <w:pStyle w:val="TOC4"/>
        <w:rPr>
          <w:rFonts w:asciiTheme="minorHAnsi" w:eastAsiaTheme="minorEastAsia" w:hAnsiTheme="minorHAnsi" w:cstheme="minorBidi"/>
          <w:noProof/>
          <w:kern w:val="2"/>
          <w:sz w:val="21"/>
          <w:szCs w:val="22"/>
          <w:lang w:val="en-US" w:eastAsia="zh-CN"/>
        </w:rPr>
      </w:pPr>
      <w:r>
        <w:rPr>
          <w:noProof/>
        </w:rPr>
        <w:lastRenderedPageBreak/>
        <w:t>5.6.7.3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_Toc199453335 \h </w:instrText>
      </w:r>
      <w:r>
        <w:rPr>
          <w:noProof/>
        </w:rPr>
      </w:r>
      <w:r>
        <w:rPr>
          <w:noProof/>
        </w:rPr>
        <w:fldChar w:fldCharType="separate"/>
      </w:r>
      <w:r>
        <w:rPr>
          <w:noProof/>
        </w:rPr>
        <w:t>384</w:t>
      </w:r>
      <w:r>
        <w:rPr>
          <w:noProof/>
        </w:rPr>
        <w:fldChar w:fldCharType="end"/>
      </w:r>
    </w:p>
    <w:p w14:paraId="329D9A5C" w14:textId="55803BF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_Toc199453336 \h </w:instrText>
      </w:r>
      <w:r>
        <w:rPr>
          <w:noProof/>
        </w:rPr>
      </w:r>
      <w:r>
        <w:rPr>
          <w:noProof/>
        </w:rPr>
        <w:fldChar w:fldCharType="separate"/>
      </w:r>
      <w:r>
        <w:rPr>
          <w:noProof/>
        </w:rPr>
        <w:t>384</w:t>
      </w:r>
      <w:r>
        <w:rPr>
          <w:noProof/>
        </w:rPr>
        <w:fldChar w:fldCharType="end"/>
      </w:r>
    </w:p>
    <w:p w14:paraId="63378FB7" w14:textId="7F21D3B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5.6.9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_Toc199453337 \h </w:instrText>
      </w:r>
      <w:r>
        <w:rPr>
          <w:noProof/>
        </w:rPr>
      </w:r>
      <w:r>
        <w:rPr>
          <w:noProof/>
        </w:rPr>
        <w:fldChar w:fldCharType="separate"/>
      </w:r>
      <w:r>
        <w:rPr>
          <w:noProof/>
        </w:rPr>
        <w:t>384</w:t>
      </w:r>
      <w:r>
        <w:rPr>
          <w:noProof/>
        </w:rPr>
        <w:fldChar w:fldCharType="end"/>
      </w:r>
    </w:p>
    <w:p w14:paraId="65914694" w14:textId="512FFDD0"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5.7</w:t>
      </w:r>
      <w:r>
        <w:rPr>
          <w:rFonts w:asciiTheme="minorHAnsi" w:eastAsiaTheme="minorEastAsia" w:hAnsiTheme="minorHAnsi" w:cstheme="minorBidi"/>
          <w:noProof/>
          <w:kern w:val="2"/>
          <w:sz w:val="21"/>
          <w:szCs w:val="22"/>
          <w:lang w:val="en-US" w:eastAsia="zh-CN"/>
        </w:rPr>
        <w:tab/>
      </w:r>
      <w:r>
        <w:rPr>
          <w:noProof/>
          <w:lang w:eastAsia="ja-JP"/>
        </w:rPr>
        <w:t xml:space="preserve">Nnwdaf_RoamingData </w:t>
      </w:r>
      <w:r>
        <w:rPr>
          <w:noProof/>
        </w:rPr>
        <w:t>Service API</w:t>
      </w:r>
      <w:r>
        <w:rPr>
          <w:noProof/>
        </w:rPr>
        <w:tab/>
      </w:r>
      <w:r>
        <w:rPr>
          <w:noProof/>
        </w:rPr>
        <w:fldChar w:fldCharType="begin"/>
      </w:r>
      <w:r>
        <w:rPr>
          <w:noProof/>
        </w:rPr>
        <w:instrText xml:space="preserve"> PAGEREF _Toc199453338 \h </w:instrText>
      </w:r>
      <w:r>
        <w:rPr>
          <w:noProof/>
        </w:rPr>
      </w:r>
      <w:r>
        <w:rPr>
          <w:noProof/>
        </w:rPr>
        <w:fldChar w:fldCharType="separate"/>
      </w:r>
      <w:r>
        <w:rPr>
          <w:noProof/>
        </w:rPr>
        <w:t>384</w:t>
      </w:r>
      <w:r>
        <w:rPr>
          <w:noProof/>
        </w:rPr>
        <w:fldChar w:fldCharType="end"/>
      </w:r>
    </w:p>
    <w:p w14:paraId="114D9993" w14:textId="34FB2AC8"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_Toc199453339 \h </w:instrText>
      </w:r>
      <w:r>
        <w:rPr>
          <w:noProof/>
        </w:rPr>
      </w:r>
      <w:r>
        <w:rPr>
          <w:noProof/>
        </w:rPr>
        <w:fldChar w:fldCharType="separate"/>
      </w:r>
      <w:r>
        <w:rPr>
          <w:noProof/>
        </w:rPr>
        <w:t>384</w:t>
      </w:r>
      <w:r>
        <w:rPr>
          <w:noProof/>
        </w:rPr>
        <w:fldChar w:fldCharType="end"/>
      </w:r>
    </w:p>
    <w:p w14:paraId="69094EE7" w14:textId="40EEE09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_Toc199453340 \h </w:instrText>
      </w:r>
      <w:r>
        <w:rPr>
          <w:noProof/>
        </w:rPr>
      </w:r>
      <w:r>
        <w:rPr>
          <w:noProof/>
        </w:rPr>
        <w:fldChar w:fldCharType="separate"/>
      </w:r>
      <w:r>
        <w:rPr>
          <w:noProof/>
        </w:rPr>
        <w:t>385</w:t>
      </w:r>
      <w:r>
        <w:rPr>
          <w:noProof/>
        </w:rPr>
        <w:fldChar w:fldCharType="end"/>
      </w:r>
    </w:p>
    <w:p w14:paraId="2524DE18" w14:textId="721FEC97" w:rsidR="003F6EFC" w:rsidRDefault="003F6EFC">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_Toc199453341 \h </w:instrText>
      </w:r>
      <w:r>
        <w:rPr>
          <w:noProof/>
        </w:rPr>
      </w:r>
      <w:r>
        <w:rPr>
          <w:noProof/>
        </w:rPr>
        <w:fldChar w:fldCharType="separate"/>
      </w:r>
      <w:r>
        <w:rPr>
          <w:noProof/>
        </w:rPr>
        <w:t>385</w:t>
      </w:r>
      <w:r>
        <w:rPr>
          <w:noProof/>
        </w:rPr>
        <w:fldChar w:fldCharType="end"/>
      </w:r>
    </w:p>
    <w:p w14:paraId="126900F5" w14:textId="198B233B" w:rsidR="003F6EFC" w:rsidRDefault="003F6EFC">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_Toc199453342 \h </w:instrText>
      </w:r>
      <w:r>
        <w:rPr>
          <w:noProof/>
        </w:rPr>
      </w:r>
      <w:r>
        <w:rPr>
          <w:noProof/>
        </w:rPr>
        <w:fldChar w:fldCharType="separate"/>
      </w:r>
      <w:r>
        <w:rPr>
          <w:noProof/>
        </w:rPr>
        <w:t>385</w:t>
      </w:r>
      <w:r>
        <w:rPr>
          <w:noProof/>
        </w:rPr>
        <w:fldChar w:fldCharType="end"/>
      </w:r>
    </w:p>
    <w:p w14:paraId="6156805B" w14:textId="08E77262" w:rsidR="003F6EFC" w:rsidRDefault="003F6EFC">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_Toc199453343 \h </w:instrText>
      </w:r>
      <w:r>
        <w:rPr>
          <w:noProof/>
        </w:rPr>
      </w:r>
      <w:r>
        <w:rPr>
          <w:noProof/>
        </w:rPr>
        <w:fldChar w:fldCharType="separate"/>
      </w:r>
      <w:r>
        <w:rPr>
          <w:noProof/>
        </w:rPr>
        <w:t>385</w:t>
      </w:r>
      <w:r>
        <w:rPr>
          <w:noProof/>
        </w:rPr>
        <w:fldChar w:fldCharType="end"/>
      </w:r>
    </w:p>
    <w:p w14:paraId="4E871C97" w14:textId="4ADEDB59" w:rsidR="003F6EFC" w:rsidRDefault="003F6EFC">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_Toc199453344 \h </w:instrText>
      </w:r>
      <w:r>
        <w:rPr>
          <w:noProof/>
        </w:rPr>
      </w:r>
      <w:r>
        <w:rPr>
          <w:noProof/>
        </w:rPr>
        <w:fldChar w:fldCharType="separate"/>
      </w:r>
      <w:r>
        <w:rPr>
          <w:noProof/>
        </w:rPr>
        <w:t>385</w:t>
      </w:r>
      <w:r>
        <w:rPr>
          <w:noProof/>
        </w:rPr>
        <w:fldChar w:fldCharType="end"/>
      </w:r>
    </w:p>
    <w:p w14:paraId="3060BE86" w14:textId="51BEADFE" w:rsidR="003F6EFC" w:rsidRDefault="003F6EFC">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_Toc199453345 \h </w:instrText>
      </w:r>
      <w:r>
        <w:rPr>
          <w:noProof/>
        </w:rPr>
      </w:r>
      <w:r>
        <w:rPr>
          <w:noProof/>
        </w:rPr>
        <w:fldChar w:fldCharType="separate"/>
      </w:r>
      <w:r>
        <w:rPr>
          <w:noProof/>
        </w:rPr>
        <w:t>385</w:t>
      </w:r>
      <w:r>
        <w:rPr>
          <w:noProof/>
        </w:rPr>
        <w:fldChar w:fldCharType="end"/>
      </w:r>
    </w:p>
    <w:p w14:paraId="0A79E337" w14:textId="4A72346A" w:rsidR="003F6EFC" w:rsidRDefault="003F6EFC">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_Toc199453346 \h </w:instrText>
      </w:r>
      <w:r>
        <w:rPr>
          <w:noProof/>
        </w:rPr>
      </w:r>
      <w:r>
        <w:rPr>
          <w:noProof/>
        </w:rPr>
        <w:fldChar w:fldCharType="separate"/>
      </w:r>
      <w:r>
        <w:rPr>
          <w:noProof/>
        </w:rPr>
        <w:t>385</w:t>
      </w:r>
      <w:r>
        <w:rPr>
          <w:noProof/>
        </w:rPr>
        <w:fldChar w:fldCharType="end"/>
      </w:r>
    </w:p>
    <w:p w14:paraId="010E61DE" w14:textId="6DA68287" w:rsidR="003F6EFC" w:rsidRDefault="003F6EFC">
      <w:pPr>
        <w:pStyle w:val="TOC4"/>
        <w:rPr>
          <w:rFonts w:asciiTheme="minorHAnsi" w:eastAsiaTheme="minorEastAsia" w:hAnsiTheme="minorHAnsi" w:cstheme="minorBidi"/>
          <w:noProof/>
          <w:kern w:val="2"/>
          <w:sz w:val="21"/>
          <w:szCs w:val="22"/>
          <w:lang w:val="en-US" w:eastAsia="zh-CN"/>
        </w:rPr>
      </w:pPr>
      <w:r>
        <w:rPr>
          <w:noProof/>
        </w:rPr>
        <w:t>5.7.3.1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_Toc199453347 \h </w:instrText>
      </w:r>
      <w:r>
        <w:rPr>
          <w:noProof/>
        </w:rPr>
      </w:r>
      <w:r>
        <w:rPr>
          <w:noProof/>
        </w:rPr>
        <w:fldChar w:fldCharType="separate"/>
      </w:r>
      <w:r>
        <w:rPr>
          <w:noProof/>
        </w:rPr>
        <w:t>385</w:t>
      </w:r>
      <w:r>
        <w:rPr>
          <w:noProof/>
        </w:rPr>
        <w:fldChar w:fldCharType="end"/>
      </w:r>
    </w:p>
    <w:p w14:paraId="1FCD2D8F" w14:textId="396E4EF1" w:rsidR="003F6EFC" w:rsidRDefault="003F6EFC">
      <w:pPr>
        <w:pStyle w:val="TOC4"/>
        <w:rPr>
          <w:rFonts w:asciiTheme="minorHAnsi" w:eastAsiaTheme="minorEastAsia" w:hAnsiTheme="minorHAnsi" w:cstheme="minorBidi"/>
          <w:noProof/>
          <w:kern w:val="2"/>
          <w:sz w:val="21"/>
          <w:szCs w:val="22"/>
          <w:lang w:val="en-US" w:eastAsia="zh-CN"/>
        </w:rPr>
      </w:pPr>
      <w:r>
        <w:rPr>
          <w:noProof/>
        </w:rPr>
        <w:t>5.7.3.2</w:t>
      </w:r>
      <w:r>
        <w:rPr>
          <w:rFonts w:asciiTheme="minorHAnsi" w:eastAsiaTheme="minorEastAsia" w:hAnsiTheme="minorHAnsi" w:cstheme="minorBidi"/>
          <w:noProof/>
          <w:kern w:val="2"/>
          <w:sz w:val="21"/>
          <w:szCs w:val="22"/>
          <w:lang w:val="en-US" w:eastAsia="zh-CN"/>
        </w:rPr>
        <w:tab/>
      </w:r>
      <w:r>
        <w:rPr>
          <w:noProof/>
        </w:rPr>
        <w:t>Resource: NWDAF Roaming Data Subscriptions</w:t>
      </w:r>
      <w:r>
        <w:rPr>
          <w:noProof/>
        </w:rPr>
        <w:tab/>
      </w:r>
      <w:r>
        <w:rPr>
          <w:noProof/>
        </w:rPr>
        <w:fldChar w:fldCharType="begin"/>
      </w:r>
      <w:r>
        <w:rPr>
          <w:noProof/>
        </w:rPr>
        <w:instrText xml:space="preserve"> PAGEREF _Toc199453348 \h </w:instrText>
      </w:r>
      <w:r>
        <w:rPr>
          <w:noProof/>
        </w:rPr>
      </w:r>
      <w:r>
        <w:rPr>
          <w:noProof/>
        </w:rPr>
        <w:fldChar w:fldCharType="separate"/>
      </w:r>
      <w:r>
        <w:rPr>
          <w:noProof/>
        </w:rPr>
        <w:t>386</w:t>
      </w:r>
      <w:r>
        <w:rPr>
          <w:noProof/>
        </w:rPr>
        <w:fldChar w:fldCharType="end"/>
      </w:r>
    </w:p>
    <w:p w14:paraId="1D598B5D" w14:textId="075EBBAC" w:rsidR="003F6EFC" w:rsidRDefault="003F6EFC">
      <w:pPr>
        <w:pStyle w:val="TOC5"/>
        <w:rPr>
          <w:rFonts w:asciiTheme="minorHAnsi" w:eastAsiaTheme="minorEastAsia" w:hAnsiTheme="minorHAnsi" w:cstheme="minorBidi"/>
          <w:noProof/>
          <w:kern w:val="2"/>
          <w:sz w:val="21"/>
          <w:szCs w:val="22"/>
          <w:lang w:val="en-US" w:eastAsia="zh-CN"/>
        </w:rPr>
      </w:pPr>
      <w:r>
        <w:rPr>
          <w:noProof/>
        </w:rPr>
        <w:t>5.7.3.2.1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_Toc199453349 \h </w:instrText>
      </w:r>
      <w:r>
        <w:rPr>
          <w:noProof/>
        </w:rPr>
      </w:r>
      <w:r>
        <w:rPr>
          <w:noProof/>
        </w:rPr>
        <w:fldChar w:fldCharType="separate"/>
      </w:r>
      <w:r>
        <w:rPr>
          <w:noProof/>
        </w:rPr>
        <w:t>386</w:t>
      </w:r>
      <w:r>
        <w:rPr>
          <w:noProof/>
        </w:rPr>
        <w:fldChar w:fldCharType="end"/>
      </w:r>
    </w:p>
    <w:p w14:paraId="0F44278C" w14:textId="3CC69D48" w:rsidR="003F6EFC" w:rsidRDefault="003F6EFC">
      <w:pPr>
        <w:pStyle w:val="TOC5"/>
        <w:rPr>
          <w:rFonts w:asciiTheme="minorHAnsi" w:eastAsiaTheme="minorEastAsia" w:hAnsiTheme="minorHAnsi" w:cstheme="minorBidi"/>
          <w:noProof/>
          <w:kern w:val="2"/>
          <w:sz w:val="21"/>
          <w:szCs w:val="22"/>
          <w:lang w:val="en-US" w:eastAsia="zh-CN"/>
        </w:rPr>
      </w:pPr>
      <w:r>
        <w:rPr>
          <w:noProof/>
        </w:rPr>
        <w:t>5.7.3.2.2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_Toc199453350 \h </w:instrText>
      </w:r>
      <w:r>
        <w:rPr>
          <w:noProof/>
        </w:rPr>
      </w:r>
      <w:r>
        <w:rPr>
          <w:noProof/>
        </w:rPr>
        <w:fldChar w:fldCharType="separate"/>
      </w:r>
      <w:r>
        <w:rPr>
          <w:noProof/>
        </w:rPr>
        <w:t>386</w:t>
      </w:r>
      <w:r>
        <w:rPr>
          <w:noProof/>
        </w:rPr>
        <w:fldChar w:fldCharType="end"/>
      </w:r>
    </w:p>
    <w:p w14:paraId="44ADDCE5" w14:textId="354C8F2E" w:rsidR="003F6EFC" w:rsidRDefault="003F6EFC">
      <w:pPr>
        <w:pStyle w:val="TOC5"/>
        <w:rPr>
          <w:rFonts w:asciiTheme="minorHAnsi" w:eastAsiaTheme="minorEastAsia" w:hAnsiTheme="minorHAnsi" w:cstheme="minorBidi"/>
          <w:noProof/>
          <w:kern w:val="2"/>
          <w:sz w:val="21"/>
          <w:szCs w:val="22"/>
          <w:lang w:val="en-US" w:eastAsia="zh-CN"/>
        </w:rPr>
      </w:pPr>
      <w:r>
        <w:rPr>
          <w:noProof/>
        </w:rPr>
        <w:t>5.7.3.2.3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_Toc199453351 \h </w:instrText>
      </w:r>
      <w:r>
        <w:rPr>
          <w:noProof/>
        </w:rPr>
      </w:r>
      <w:r>
        <w:rPr>
          <w:noProof/>
        </w:rPr>
        <w:fldChar w:fldCharType="separate"/>
      </w:r>
      <w:r>
        <w:rPr>
          <w:noProof/>
        </w:rPr>
        <w:t>386</w:t>
      </w:r>
      <w:r>
        <w:rPr>
          <w:noProof/>
        </w:rPr>
        <w:fldChar w:fldCharType="end"/>
      </w:r>
    </w:p>
    <w:p w14:paraId="5D0013C5" w14:textId="4C1BB9E1" w:rsidR="003F6EFC" w:rsidRDefault="003F6EFC">
      <w:pPr>
        <w:pStyle w:val="TOC6"/>
        <w:rPr>
          <w:rFonts w:asciiTheme="minorHAnsi" w:eastAsiaTheme="minorEastAsia" w:hAnsiTheme="minorHAnsi" w:cstheme="minorBidi"/>
          <w:noProof/>
          <w:kern w:val="2"/>
          <w:sz w:val="21"/>
          <w:szCs w:val="22"/>
          <w:lang w:val="en-US" w:eastAsia="zh-CN"/>
        </w:rPr>
      </w:pPr>
      <w:r>
        <w:rPr>
          <w:noProof/>
        </w:rPr>
        <w:t>5.7.3.2.3.1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_Toc199453352 \h </w:instrText>
      </w:r>
      <w:r>
        <w:rPr>
          <w:noProof/>
        </w:rPr>
      </w:r>
      <w:r>
        <w:rPr>
          <w:noProof/>
        </w:rPr>
        <w:fldChar w:fldCharType="separate"/>
      </w:r>
      <w:r>
        <w:rPr>
          <w:noProof/>
        </w:rPr>
        <w:t>386</w:t>
      </w:r>
      <w:r>
        <w:rPr>
          <w:noProof/>
        </w:rPr>
        <w:fldChar w:fldCharType="end"/>
      </w:r>
    </w:p>
    <w:p w14:paraId="6703552A" w14:textId="7CBA857D" w:rsidR="003F6EFC" w:rsidRDefault="003F6EFC">
      <w:pPr>
        <w:pStyle w:val="TOC5"/>
        <w:rPr>
          <w:rFonts w:asciiTheme="minorHAnsi" w:eastAsiaTheme="minorEastAsia" w:hAnsiTheme="minorHAnsi" w:cstheme="minorBidi"/>
          <w:noProof/>
          <w:kern w:val="2"/>
          <w:sz w:val="21"/>
          <w:szCs w:val="22"/>
          <w:lang w:val="en-US" w:eastAsia="zh-CN"/>
        </w:rPr>
      </w:pPr>
      <w:r>
        <w:rPr>
          <w:noProof/>
        </w:rPr>
        <w:t>5.7.3.2.4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_Toc199453353 \h </w:instrText>
      </w:r>
      <w:r>
        <w:rPr>
          <w:noProof/>
        </w:rPr>
      </w:r>
      <w:r>
        <w:rPr>
          <w:noProof/>
        </w:rPr>
        <w:fldChar w:fldCharType="separate"/>
      </w:r>
      <w:r>
        <w:rPr>
          <w:noProof/>
        </w:rPr>
        <w:t>387</w:t>
      </w:r>
      <w:r>
        <w:rPr>
          <w:noProof/>
        </w:rPr>
        <w:fldChar w:fldCharType="end"/>
      </w:r>
    </w:p>
    <w:p w14:paraId="05E71BFB" w14:textId="007D63DF" w:rsidR="003F6EFC" w:rsidRDefault="003F6EFC">
      <w:pPr>
        <w:pStyle w:val="TOC4"/>
        <w:rPr>
          <w:rFonts w:asciiTheme="minorHAnsi" w:eastAsiaTheme="minorEastAsia" w:hAnsiTheme="minorHAnsi" w:cstheme="minorBidi"/>
          <w:noProof/>
          <w:kern w:val="2"/>
          <w:sz w:val="21"/>
          <w:szCs w:val="22"/>
          <w:lang w:val="en-US" w:eastAsia="zh-CN"/>
        </w:rPr>
      </w:pPr>
      <w:r>
        <w:rPr>
          <w:noProof/>
        </w:rPr>
        <w:t>5.7.3.3</w:t>
      </w:r>
      <w:r>
        <w:rPr>
          <w:rFonts w:asciiTheme="minorHAnsi" w:eastAsiaTheme="minorEastAsia" w:hAnsiTheme="minorHAnsi" w:cstheme="minorBidi"/>
          <w:noProof/>
          <w:kern w:val="2"/>
          <w:sz w:val="21"/>
          <w:szCs w:val="22"/>
          <w:lang w:val="en-US" w:eastAsia="zh-CN"/>
        </w:rPr>
        <w:tab/>
      </w:r>
      <w:r>
        <w:rPr>
          <w:noProof/>
        </w:rPr>
        <w:t>Resource: Individual NWDAF Roaming Data Subscription</w:t>
      </w:r>
      <w:r>
        <w:rPr>
          <w:noProof/>
        </w:rPr>
        <w:tab/>
      </w:r>
      <w:r>
        <w:rPr>
          <w:noProof/>
        </w:rPr>
        <w:fldChar w:fldCharType="begin"/>
      </w:r>
      <w:r>
        <w:rPr>
          <w:noProof/>
        </w:rPr>
        <w:instrText xml:space="preserve"> PAGEREF _Toc199453354 \h </w:instrText>
      </w:r>
      <w:r>
        <w:rPr>
          <w:noProof/>
        </w:rPr>
      </w:r>
      <w:r>
        <w:rPr>
          <w:noProof/>
        </w:rPr>
        <w:fldChar w:fldCharType="separate"/>
      </w:r>
      <w:r>
        <w:rPr>
          <w:noProof/>
        </w:rPr>
        <w:t>387</w:t>
      </w:r>
      <w:r>
        <w:rPr>
          <w:noProof/>
        </w:rPr>
        <w:fldChar w:fldCharType="end"/>
      </w:r>
    </w:p>
    <w:p w14:paraId="0E2918FE" w14:textId="7E2A4E65" w:rsidR="003F6EFC" w:rsidRDefault="003F6EFC">
      <w:pPr>
        <w:pStyle w:val="TOC5"/>
        <w:rPr>
          <w:rFonts w:asciiTheme="minorHAnsi" w:eastAsiaTheme="minorEastAsia" w:hAnsiTheme="minorHAnsi" w:cstheme="minorBidi"/>
          <w:noProof/>
          <w:kern w:val="2"/>
          <w:sz w:val="21"/>
          <w:szCs w:val="22"/>
          <w:lang w:val="en-US" w:eastAsia="zh-CN"/>
        </w:rPr>
      </w:pPr>
      <w:r>
        <w:rPr>
          <w:noProof/>
        </w:rPr>
        <w:t>5.7.3.3.1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_Toc199453355 \h </w:instrText>
      </w:r>
      <w:r>
        <w:rPr>
          <w:noProof/>
        </w:rPr>
      </w:r>
      <w:r>
        <w:rPr>
          <w:noProof/>
        </w:rPr>
        <w:fldChar w:fldCharType="separate"/>
      </w:r>
      <w:r>
        <w:rPr>
          <w:noProof/>
        </w:rPr>
        <w:t>387</w:t>
      </w:r>
      <w:r>
        <w:rPr>
          <w:noProof/>
        </w:rPr>
        <w:fldChar w:fldCharType="end"/>
      </w:r>
    </w:p>
    <w:p w14:paraId="59B09393" w14:textId="50663FB9" w:rsidR="003F6EFC" w:rsidRDefault="003F6EFC">
      <w:pPr>
        <w:pStyle w:val="TOC5"/>
        <w:rPr>
          <w:rFonts w:asciiTheme="minorHAnsi" w:eastAsiaTheme="minorEastAsia" w:hAnsiTheme="minorHAnsi" w:cstheme="minorBidi"/>
          <w:noProof/>
          <w:kern w:val="2"/>
          <w:sz w:val="21"/>
          <w:szCs w:val="22"/>
          <w:lang w:val="en-US" w:eastAsia="zh-CN"/>
        </w:rPr>
      </w:pPr>
      <w:r>
        <w:rPr>
          <w:noProof/>
        </w:rPr>
        <w:t>5.7.3.3.2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_Toc199453356 \h </w:instrText>
      </w:r>
      <w:r>
        <w:rPr>
          <w:noProof/>
        </w:rPr>
      </w:r>
      <w:r>
        <w:rPr>
          <w:noProof/>
        </w:rPr>
        <w:fldChar w:fldCharType="separate"/>
      </w:r>
      <w:r>
        <w:rPr>
          <w:noProof/>
        </w:rPr>
        <w:t>387</w:t>
      </w:r>
      <w:r>
        <w:rPr>
          <w:noProof/>
        </w:rPr>
        <w:fldChar w:fldCharType="end"/>
      </w:r>
    </w:p>
    <w:p w14:paraId="661A5D4B" w14:textId="2C90C234" w:rsidR="003F6EFC" w:rsidRDefault="003F6EFC">
      <w:pPr>
        <w:pStyle w:val="TOC5"/>
        <w:rPr>
          <w:rFonts w:asciiTheme="minorHAnsi" w:eastAsiaTheme="minorEastAsia" w:hAnsiTheme="minorHAnsi" w:cstheme="minorBidi"/>
          <w:noProof/>
          <w:kern w:val="2"/>
          <w:sz w:val="21"/>
          <w:szCs w:val="22"/>
          <w:lang w:val="en-US" w:eastAsia="zh-CN"/>
        </w:rPr>
      </w:pPr>
      <w:r>
        <w:rPr>
          <w:noProof/>
        </w:rPr>
        <w:t>5.7.3.3.3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_Toc199453357 \h </w:instrText>
      </w:r>
      <w:r>
        <w:rPr>
          <w:noProof/>
        </w:rPr>
      </w:r>
      <w:r>
        <w:rPr>
          <w:noProof/>
        </w:rPr>
        <w:fldChar w:fldCharType="separate"/>
      </w:r>
      <w:r>
        <w:rPr>
          <w:noProof/>
        </w:rPr>
        <w:t>388</w:t>
      </w:r>
      <w:r>
        <w:rPr>
          <w:noProof/>
        </w:rPr>
        <w:fldChar w:fldCharType="end"/>
      </w:r>
    </w:p>
    <w:p w14:paraId="1C79FFDB" w14:textId="2EAAF12B" w:rsidR="003F6EFC" w:rsidRDefault="003F6EFC">
      <w:pPr>
        <w:pStyle w:val="TOC6"/>
        <w:rPr>
          <w:rFonts w:asciiTheme="minorHAnsi" w:eastAsiaTheme="minorEastAsia" w:hAnsiTheme="minorHAnsi" w:cstheme="minorBidi"/>
          <w:noProof/>
          <w:kern w:val="2"/>
          <w:sz w:val="21"/>
          <w:szCs w:val="22"/>
          <w:lang w:val="en-US" w:eastAsia="zh-CN"/>
        </w:rPr>
      </w:pPr>
      <w:r>
        <w:rPr>
          <w:noProof/>
        </w:rPr>
        <w:t>5.7.3.3.3.1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_Toc199453358 \h </w:instrText>
      </w:r>
      <w:r>
        <w:rPr>
          <w:noProof/>
        </w:rPr>
      </w:r>
      <w:r>
        <w:rPr>
          <w:noProof/>
        </w:rPr>
        <w:fldChar w:fldCharType="separate"/>
      </w:r>
      <w:r>
        <w:rPr>
          <w:noProof/>
        </w:rPr>
        <w:t>388</w:t>
      </w:r>
      <w:r>
        <w:rPr>
          <w:noProof/>
        </w:rPr>
        <w:fldChar w:fldCharType="end"/>
      </w:r>
    </w:p>
    <w:p w14:paraId="0F5946D5" w14:textId="1A89A90A" w:rsidR="003F6EFC" w:rsidRDefault="003F6EFC">
      <w:pPr>
        <w:pStyle w:val="TOC6"/>
        <w:rPr>
          <w:rFonts w:asciiTheme="minorHAnsi" w:eastAsiaTheme="minorEastAsia" w:hAnsiTheme="minorHAnsi" w:cstheme="minorBidi"/>
          <w:noProof/>
          <w:kern w:val="2"/>
          <w:sz w:val="21"/>
          <w:szCs w:val="22"/>
          <w:lang w:val="en-US" w:eastAsia="zh-CN"/>
        </w:rPr>
      </w:pPr>
      <w:r>
        <w:rPr>
          <w:noProof/>
        </w:rPr>
        <w:t>5.7.3.3.3.2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_Toc199453359 \h </w:instrText>
      </w:r>
      <w:r>
        <w:rPr>
          <w:noProof/>
        </w:rPr>
      </w:r>
      <w:r>
        <w:rPr>
          <w:noProof/>
        </w:rPr>
        <w:fldChar w:fldCharType="separate"/>
      </w:r>
      <w:r>
        <w:rPr>
          <w:noProof/>
        </w:rPr>
        <w:t>389</w:t>
      </w:r>
      <w:r>
        <w:rPr>
          <w:noProof/>
        </w:rPr>
        <w:fldChar w:fldCharType="end"/>
      </w:r>
    </w:p>
    <w:p w14:paraId="6EFF1DC9" w14:textId="598B6A3F" w:rsidR="003F6EFC" w:rsidRDefault="003F6EFC">
      <w:pPr>
        <w:pStyle w:val="TOC5"/>
        <w:rPr>
          <w:rFonts w:asciiTheme="minorHAnsi" w:eastAsiaTheme="minorEastAsia" w:hAnsiTheme="minorHAnsi" w:cstheme="minorBidi"/>
          <w:noProof/>
          <w:kern w:val="2"/>
          <w:sz w:val="21"/>
          <w:szCs w:val="22"/>
          <w:lang w:val="en-US" w:eastAsia="zh-CN"/>
        </w:rPr>
      </w:pPr>
      <w:r>
        <w:rPr>
          <w:noProof/>
        </w:rPr>
        <w:t>5.7.3.3.4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_Toc199453360 \h </w:instrText>
      </w:r>
      <w:r>
        <w:rPr>
          <w:noProof/>
        </w:rPr>
      </w:r>
      <w:r>
        <w:rPr>
          <w:noProof/>
        </w:rPr>
        <w:fldChar w:fldCharType="separate"/>
      </w:r>
      <w:r>
        <w:rPr>
          <w:noProof/>
        </w:rPr>
        <w:t>390</w:t>
      </w:r>
      <w:r>
        <w:rPr>
          <w:noProof/>
        </w:rPr>
        <w:fldChar w:fldCharType="end"/>
      </w:r>
    </w:p>
    <w:p w14:paraId="4C26A201" w14:textId="50CDF8C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_Toc199453361 \h </w:instrText>
      </w:r>
      <w:r>
        <w:rPr>
          <w:noProof/>
        </w:rPr>
      </w:r>
      <w:r>
        <w:rPr>
          <w:noProof/>
        </w:rPr>
        <w:fldChar w:fldCharType="separate"/>
      </w:r>
      <w:r>
        <w:rPr>
          <w:noProof/>
        </w:rPr>
        <w:t>390</w:t>
      </w:r>
      <w:r>
        <w:rPr>
          <w:noProof/>
        </w:rPr>
        <w:fldChar w:fldCharType="end"/>
      </w:r>
    </w:p>
    <w:p w14:paraId="0121CF1E" w14:textId="1E724B8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_Toc199453362 \h </w:instrText>
      </w:r>
      <w:r>
        <w:rPr>
          <w:noProof/>
        </w:rPr>
      </w:r>
      <w:r>
        <w:rPr>
          <w:noProof/>
        </w:rPr>
        <w:fldChar w:fldCharType="separate"/>
      </w:r>
      <w:r>
        <w:rPr>
          <w:noProof/>
        </w:rPr>
        <w:t>390</w:t>
      </w:r>
      <w:r>
        <w:rPr>
          <w:noProof/>
        </w:rPr>
        <w:fldChar w:fldCharType="end"/>
      </w:r>
    </w:p>
    <w:p w14:paraId="091361B5" w14:textId="0B6EBCD9" w:rsidR="003F6EFC" w:rsidRDefault="003F6EFC">
      <w:pPr>
        <w:pStyle w:val="TOC4"/>
        <w:rPr>
          <w:rFonts w:asciiTheme="minorHAnsi" w:eastAsiaTheme="minorEastAsia" w:hAnsiTheme="minorHAnsi" w:cstheme="minorBidi"/>
          <w:noProof/>
          <w:kern w:val="2"/>
          <w:sz w:val="21"/>
          <w:szCs w:val="22"/>
          <w:lang w:val="en-US" w:eastAsia="zh-CN"/>
        </w:rPr>
      </w:pPr>
      <w:r>
        <w:rPr>
          <w:noProof/>
        </w:rPr>
        <w:t>5.7.5.1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_Toc199453363 \h </w:instrText>
      </w:r>
      <w:r>
        <w:rPr>
          <w:noProof/>
        </w:rPr>
      </w:r>
      <w:r>
        <w:rPr>
          <w:noProof/>
        </w:rPr>
        <w:fldChar w:fldCharType="separate"/>
      </w:r>
      <w:r>
        <w:rPr>
          <w:noProof/>
        </w:rPr>
        <w:t>390</w:t>
      </w:r>
      <w:r>
        <w:rPr>
          <w:noProof/>
        </w:rPr>
        <w:fldChar w:fldCharType="end"/>
      </w:r>
    </w:p>
    <w:p w14:paraId="47980BE3" w14:textId="2B94B3F6" w:rsidR="003F6EFC" w:rsidRDefault="003F6EFC">
      <w:pPr>
        <w:pStyle w:val="TOC4"/>
        <w:rPr>
          <w:rFonts w:asciiTheme="minorHAnsi" w:eastAsiaTheme="minorEastAsia" w:hAnsiTheme="minorHAnsi" w:cstheme="minorBidi"/>
          <w:noProof/>
          <w:kern w:val="2"/>
          <w:sz w:val="21"/>
          <w:szCs w:val="22"/>
          <w:lang w:val="en-US" w:eastAsia="zh-CN"/>
        </w:rPr>
      </w:pPr>
      <w:r>
        <w:rPr>
          <w:noProof/>
        </w:rPr>
        <w:t>5.7.5.2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_Toc199453364 \h </w:instrText>
      </w:r>
      <w:r>
        <w:rPr>
          <w:noProof/>
        </w:rPr>
      </w:r>
      <w:r>
        <w:rPr>
          <w:noProof/>
        </w:rPr>
        <w:fldChar w:fldCharType="separate"/>
      </w:r>
      <w:r>
        <w:rPr>
          <w:noProof/>
        </w:rPr>
        <w:t>390</w:t>
      </w:r>
      <w:r>
        <w:rPr>
          <w:noProof/>
        </w:rPr>
        <w:fldChar w:fldCharType="end"/>
      </w:r>
    </w:p>
    <w:p w14:paraId="2F0CCC1C" w14:textId="4E156AC0" w:rsidR="003F6EFC" w:rsidRDefault="003F6EFC">
      <w:pPr>
        <w:pStyle w:val="TOC5"/>
        <w:rPr>
          <w:rFonts w:asciiTheme="minorHAnsi" w:eastAsiaTheme="minorEastAsia" w:hAnsiTheme="minorHAnsi" w:cstheme="minorBidi"/>
          <w:noProof/>
          <w:kern w:val="2"/>
          <w:sz w:val="21"/>
          <w:szCs w:val="22"/>
          <w:lang w:val="en-US" w:eastAsia="zh-CN"/>
        </w:rPr>
      </w:pPr>
      <w:r>
        <w:rPr>
          <w:noProof/>
        </w:rPr>
        <w:t>5.7.5.2.1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_Toc199453365 \h </w:instrText>
      </w:r>
      <w:r>
        <w:rPr>
          <w:noProof/>
        </w:rPr>
      </w:r>
      <w:r>
        <w:rPr>
          <w:noProof/>
        </w:rPr>
        <w:fldChar w:fldCharType="separate"/>
      </w:r>
      <w:r>
        <w:rPr>
          <w:noProof/>
        </w:rPr>
        <w:t>390</w:t>
      </w:r>
      <w:r>
        <w:rPr>
          <w:noProof/>
        </w:rPr>
        <w:fldChar w:fldCharType="end"/>
      </w:r>
    </w:p>
    <w:p w14:paraId="18FF18A7" w14:textId="37350924" w:rsidR="003F6EFC" w:rsidRDefault="003F6EFC">
      <w:pPr>
        <w:pStyle w:val="TOC5"/>
        <w:rPr>
          <w:rFonts w:asciiTheme="minorHAnsi" w:eastAsiaTheme="minorEastAsia" w:hAnsiTheme="minorHAnsi" w:cstheme="minorBidi"/>
          <w:noProof/>
          <w:kern w:val="2"/>
          <w:sz w:val="21"/>
          <w:szCs w:val="22"/>
          <w:lang w:val="en-US" w:eastAsia="zh-CN"/>
        </w:rPr>
      </w:pPr>
      <w:r>
        <w:rPr>
          <w:noProof/>
        </w:rPr>
        <w:t>5.7.5.2.2</w:t>
      </w:r>
      <w:r>
        <w:rPr>
          <w:rFonts w:asciiTheme="minorHAnsi" w:eastAsiaTheme="minorEastAsia" w:hAnsiTheme="minorHAnsi" w:cstheme="minorBidi"/>
          <w:noProof/>
          <w:kern w:val="2"/>
          <w:sz w:val="21"/>
          <w:szCs w:val="22"/>
          <w:lang w:val="en-US" w:eastAsia="zh-CN"/>
        </w:rPr>
        <w:tab/>
      </w:r>
      <w:r w:rsidRPr="00D64295">
        <w:rPr>
          <w:noProof/>
          <w:lang w:val="en-US" w:eastAsia="zh-CN"/>
        </w:rPr>
        <w:t>Operation Definition</w:t>
      </w:r>
      <w:r>
        <w:rPr>
          <w:noProof/>
        </w:rPr>
        <w:tab/>
      </w:r>
      <w:r>
        <w:rPr>
          <w:noProof/>
        </w:rPr>
        <w:fldChar w:fldCharType="begin"/>
      </w:r>
      <w:r>
        <w:rPr>
          <w:noProof/>
        </w:rPr>
        <w:instrText xml:space="preserve"> PAGEREF _Toc199453366 \h </w:instrText>
      </w:r>
      <w:r>
        <w:rPr>
          <w:noProof/>
        </w:rPr>
      </w:r>
      <w:r>
        <w:rPr>
          <w:noProof/>
        </w:rPr>
        <w:fldChar w:fldCharType="separate"/>
      </w:r>
      <w:r>
        <w:rPr>
          <w:noProof/>
        </w:rPr>
        <w:t>390</w:t>
      </w:r>
      <w:r>
        <w:rPr>
          <w:noProof/>
        </w:rPr>
        <w:fldChar w:fldCharType="end"/>
      </w:r>
    </w:p>
    <w:p w14:paraId="0D618747" w14:textId="1F75E2D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_Toc199453367 \h </w:instrText>
      </w:r>
      <w:r>
        <w:rPr>
          <w:noProof/>
        </w:rPr>
      </w:r>
      <w:r>
        <w:rPr>
          <w:noProof/>
        </w:rPr>
        <w:fldChar w:fldCharType="separate"/>
      </w:r>
      <w:r>
        <w:rPr>
          <w:noProof/>
        </w:rPr>
        <w:t>392</w:t>
      </w:r>
      <w:r>
        <w:rPr>
          <w:noProof/>
        </w:rPr>
        <w:fldChar w:fldCharType="end"/>
      </w:r>
    </w:p>
    <w:p w14:paraId="718F62A4" w14:textId="79D50C43" w:rsidR="003F6EFC" w:rsidRDefault="003F6EFC">
      <w:pPr>
        <w:pStyle w:val="TOC4"/>
        <w:rPr>
          <w:rFonts w:asciiTheme="minorHAnsi" w:eastAsiaTheme="minorEastAsia" w:hAnsiTheme="minorHAnsi" w:cstheme="minorBidi"/>
          <w:noProof/>
          <w:kern w:val="2"/>
          <w:sz w:val="21"/>
          <w:szCs w:val="22"/>
          <w:lang w:val="en-US" w:eastAsia="zh-CN"/>
        </w:rPr>
      </w:pPr>
      <w:r>
        <w:rPr>
          <w:noProof/>
        </w:rPr>
        <w:t>5.7.6.1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_Toc199453368 \h </w:instrText>
      </w:r>
      <w:r>
        <w:rPr>
          <w:noProof/>
        </w:rPr>
      </w:r>
      <w:r>
        <w:rPr>
          <w:noProof/>
        </w:rPr>
        <w:fldChar w:fldCharType="separate"/>
      </w:r>
      <w:r>
        <w:rPr>
          <w:noProof/>
        </w:rPr>
        <w:t>392</w:t>
      </w:r>
      <w:r>
        <w:rPr>
          <w:noProof/>
        </w:rPr>
        <w:fldChar w:fldCharType="end"/>
      </w:r>
    </w:p>
    <w:p w14:paraId="24C82218" w14:textId="2FDBE765" w:rsidR="003F6EFC" w:rsidRDefault="003F6EFC">
      <w:pPr>
        <w:pStyle w:val="TOC4"/>
        <w:rPr>
          <w:rFonts w:asciiTheme="minorHAnsi" w:eastAsiaTheme="minorEastAsia" w:hAnsiTheme="minorHAnsi" w:cstheme="minorBidi"/>
          <w:noProof/>
          <w:kern w:val="2"/>
          <w:sz w:val="21"/>
          <w:szCs w:val="22"/>
          <w:lang w:val="en-US" w:eastAsia="zh-CN"/>
        </w:rPr>
      </w:pPr>
      <w:r>
        <w:rPr>
          <w:noProof/>
        </w:rPr>
        <w:t>5.7.6.2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_Toc199453369 \h </w:instrText>
      </w:r>
      <w:r>
        <w:rPr>
          <w:noProof/>
        </w:rPr>
      </w:r>
      <w:r>
        <w:rPr>
          <w:noProof/>
        </w:rPr>
        <w:fldChar w:fldCharType="separate"/>
      </w:r>
      <w:r>
        <w:rPr>
          <w:noProof/>
        </w:rPr>
        <w:t>392</w:t>
      </w:r>
      <w:r>
        <w:rPr>
          <w:noProof/>
        </w:rPr>
        <w:fldChar w:fldCharType="end"/>
      </w:r>
    </w:p>
    <w:p w14:paraId="2CD0B794" w14:textId="76CB13A2" w:rsidR="003F6EFC" w:rsidRDefault="003F6EFC">
      <w:pPr>
        <w:pStyle w:val="TOC5"/>
        <w:rPr>
          <w:rFonts w:asciiTheme="minorHAnsi" w:eastAsiaTheme="minorEastAsia" w:hAnsiTheme="minorHAnsi" w:cstheme="minorBidi"/>
          <w:noProof/>
          <w:kern w:val="2"/>
          <w:sz w:val="21"/>
          <w:szCs w:val="22"/>
          <w:lang w:val="en-US" w:eastAsia="zh-CN"/>
        </w:rPr>
      </w:pPr>
      <w:r>
        <w:rPr>
          <w:noProof/>
        </w:rPr>
        <w:t>5.7.6.2.1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_Toc199453370 \h </w:instrText>
      </w:r>
      <w:r>
        <w:rPr>
          <w:noProof/>
        </w:rPr>
      </w:r>
      <w:r>
        <w:rPr>
          <w:noProof/>
        </w:rPr>
        <w:fldChar w:fldCharType="separate"/>
      </w:r>
      <w:r>
        <w:rPr>
          <w:noProof/>
        </w:rPr>
        <w:t>392</w:t>
      </w:r>
      <w:r>
        <w:rPr>
          <w:noProof/>
        </w:rPr>
        <w:fldChar w:fldCharType="end"/>
      </w:r>
    </w:p>
    <w:p w14:paraId="5E1F7FD5" w14:textId="4C9B3F99" w:rsidR="003F6EFC" w:rsidRDefault="003F6EFC">
      <w:pPr>
        <w:pStyle w:val="TOC5"/>
        <w:rPr>
          <w:rFonts w:asciiTheme="minorHAnsi" w:eastAsiaTheme="minorEastAsia" w:hAnsiTheme="minorHAnsi" w:cstheme="minorBidi"/>
          <w:noProof/>
          <w:kern w:val="2"/>
          <w:sz w:val="21"/>
          <w:szCs w:val="22"/>
          <w:lang w:val="en-US" w:eastAsia="zh-CN"/>
        </w:rPr>
      </w:pPr>
      <w:r>
        <w:rPr>
          <w:noProof/>
        </w:rPr>
        <w:t>5.7.6.2.2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ja-JP"/>
        </w:rPr>
        <w:t>RoamingData</w:t>
      </w:r>
      <w:r w:rsidRPr="00D64295">
        <w:rPr>
          <w:rFonts w:eastAsia="等线"/>
          <w:noProof/>
          <w:lang w:eastAsia="zh-CN"/>
        </w:rPr>
        <w:t>Sub</w:t>
      </w:r>
      <w:r>
        <w:rPr>
          <w:noProof/>
        </w:rPr>
        <w:tab/>
      </w:r>
      <w:r>
        <w:rPr>
          <w:noProof/>
        </w:rPr>
        <w:fldChar w:fldCharType="begin"/>
      </w:r>
      <w:r>
        <w:rPr>
          <w:noProof/>
        </w:rPr>
        <w:instrText xml:space="preserve"> PAGEREF _Toc199453371 \h </w:instrText>
      </w:r>
      <w:r>
        <w:rPr>
          <w:noProof/>
        </w:rPr>
      </w:r>
      <w:r>
        <w:rPr>
          <w:noProof/>
        </w:rPr>
        <w:fldChar w:fldCharType="separate"/>
      </w:r>
      <w:r>
        <w:rPr>
          <w:noProof/>
        </w:rPr>
        <w:t>393</w:t>
      </w:r>
      <w:r>
        <w:rPr>
          <w:noProof/>
        </w:rPr>
        <w:fldChar w:fldCharType="end"/>
      </w:r>
    </w:p>
    <w:p w14:paraId="7977EAC3" w14:textId="7470FE0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_Toc199453372 \h </w:instrText>
      </w:r>
      <w:r>
        <w:rPr>
          <w:noProof/>
        </w:rPr>
      </w:r>
      <w:r>
        <w:rPr>
          <w:noProof/>
        </w:rPr>
        <w:fldChar w:fldCharType="separate"/>
      </w:r>
      <w:r>
        <w:rPr>
          <w:noProof/>
        </w:rPr>
        <w:t>395</w:t>
      </w:r>
      <w:r>
        <w:rPr>
          <w:noProof/>
        </w:rPr>
        <w:fldChar w:fldCharType="end"/>
      </w:r>
    </w:p>
    <w:p w14:paraId="0876399F" w14:textId="13CD8A35" w:rsidR="003F6EFC" w:rsidRDefault="003F6EFC">
      <w:pPr>
        <w:pStyle w:val="TOC4"/>
        <w:rPr>
          <w:rFonts w:asciiTheme="minorHAnsi" w:eastAsiaTheme="minorEastAsia" w:hAnsiTheme="minorHAnsi" w:cstheme="minorBidi"/>
          <w:noProof/>
          <w:kern w:val="2"/>
          <w:sz w:val="21"/>
          <w:szCs w:val="22"/>
          <w:lang w:val="en-US" w:eastAsia="zh-CN"/>
        </w:rPr>
      </w:pPr>
      <w:r>
        <w:rPr>
          <w:noProof/>
        </w:rPr>
        <w:t>5.7.7.1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_Toc199453373 \h </w:instrText>
      </w:r>
      <w:r>
        <w:rPr>
          <w:noProof/>
        </w:rPr>
      </w:r>
      <w:r>
        <w:rPr>
          <w:noProof/>
        </w:rPr>
        <w:fldChar w:fldCharType="separate"/>
      </w:r>
      <w:r>
        <w:rPr>
          <w:noProof/>
        </w:rPr>
        <w:t>395</w:t>
      </w:r>
      <w:r>
        <w:rPr>
          <w:noProof/>
        </w:rPr>
        <w:fldChar w:fldCharType="end"/>
      </w:r>
    </w:p>
    <w:p w14:paraId="3A8D4920" w14:textId="07AB7D0F" w:rsidR="003F6EFC" w:rsidRDefault="003F6EFC">
      <w:pPr>
        <w:pStyle w:val="TOC4"/>
        <w:rPr>
          <w:rFonts w:asciiTheme="minorHAnsi" w:eastAsiaTheme="minorEastAsia" w:hAnsiTheme="minorHAnsi" w:cstheme="minorBidi"/>
          <w:noProof/>
          <w:kern w:val="2"/>
          <w:sz w:val="21"/>
          <w:szCs w:val="22"/>
          <w:lang w:val="en-US" w:eastAsia="zh-CN"/>
        </w:rPr>
      </w:pPr>
      <w:r>
        <w:rPr>
          <w:noProof/>
        </w:rPr>
        <w:t>5.7.7.2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_Toc199453374 \h </w:instrText>
      </w:r>
      <w:r>
        <w:rPr>
          <w:noProof/>
        </w:rPr>
      </w:r>
      <w:r>
        <w:rPr>
          <w:noProof/>
        </w:rPr>
        <w:fldChar w:fldCharType="separate"/>
      </w:r>
      <w:r>
        <w:rPr>
          <w:noProof/>
        </w:rPr>
        <w:t>395</w:t>
      </w:r>
      <w:r>
        <w:rPr>
          <w:noProof/>
        </w:rPr>
        <w:fldChar w:fldCharType="end"/>
      </w:r>
    </w:p>
    <w:p w14:paraId="593B2B96" w14:textId="5DF777A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_Toc199453375 \h </w:instrText>
      </w:r>
      <w:r>
        <w:rPr>
          <w:noProof/>
        </w:rPr>
      </w:r>
      <w:r>
        <w:rPr>
          <w:noProof/>
        </w:rPr>
        <w:fldChar w:fldCharType="separate"/>
      </w:r>
      <w:r>
        <w:rPr>
          <w:noProof/>
        </w:rPr>
        <w:t>395</w:t>
      </w:r>
      <w:r>
        <w:rPr>
          <w:noProof/>
        </w:rPr>
        <w:fldChar w:fldCharType="end"/>
      </w:r>
    </w:p>
    <w:p w14:paraId="4E0406F6" w14:textId="74A02A45"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5.7.9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_Toc199453376 \h </w:instrText>
      </w:r>
      <w:r>
        <w:rPr>
          <w:noProof/>
        </w:rPr>
      </w:r>
      <w:r>
        <w:rPr>
          <w:noProof/>
        </w:rPr>
        <w:fldChar w:fldCharType="separate"/>
      </w:r>
      <w:r>
        <w:rPr>
          <w:noProof/>
        </w:rPr>
        <w:t>395</w:t>
      </w:r>
      <w:r>
        <w:rPr>
          <w:noProof/>
        </w:rPr>
        <w:fldChar w:fldCharType="end"/>
      </w:r>
    </w:p>
    <w:p w14:paraId="0B8BF3AC" w14:textId="1F3E2AF5"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5.8</w:t>
      </w:r>
      <w:r>
        <w:rPr>
          <w:rFonts w:asciiTheme="minorHAnsi" w:eastAsiaTheme="minorEastAsia" w:hAnsiTheme="minorHAnsi" w:cstheme="minorBidi"/>
          <w:noProof/>
          <w:kern w:val="2"/>
          <w:sz w:val="21"/>
          <w:szCs w:val="22"/>
          <w:lang w:val="en-US" w:eastAsia="zh-CN"/>
        </w:rPr>
        <w:tab/>
      </w:r>
      <w:r>
        <w:rPr>
          <w:noProof/>
          <w:lang w:eastAsia="ja-JP"/>
        </w:rPr>
        <w:t xml:space="preserve">Nnwdaf_RoamingAnalytics </w:t>
      </w:r>
      <w:r>
        <w:rPr>
          <w:noProof/>
        </w:rPr>
        <w:t>Service API</w:t>
      </w:r>
      <w:r>
        <w:rPr>
          <w:noProof/>
        </w:rPr>
        <w:tab/>
      </w:r>
      <w:r>
        <w:rPr>
          <w:noProof/>
        </w:rPr>
        <w:fldChar w:fldCharType="begin"/>
      </w:r>
      <w:r>
        <w:rPr>
          <w:noProof/>
        </w:rPr>
        <w:instrText xml:space="preserve"> PAGEREF _Toc199453377 \h </w:instrText>
      </w:r>
      <w:r>
        <w:rPr>
          <w:noProof/>
        </w:rPr>
      </w:r>
      <w:r>
        <w:rPr>
          <w:noProof/>
        </w:rPr>
        <w:fldChar w:fldCharType="separate"/>
      </w:r>
      <w:r>
        <w:rPr>
          <w:noProof/>
        </w:rPr>
        <w:t>396</w:t>
      </w:r>
      <w:r>
        <w:rPr>
          <w:noProof/>
        </w:rPr>
        <w:fldChar w:fldCharType="end"/>
      </w:r>
    </w:p>
    <w:p w14:paraId="130FBAF8" w14:textId="50B2724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_Toc199453378 \h </w:instrText>
      </w:r>
      <w:r>
        <w:rPr>
          <w:noProof/>
        </w:rPr>
      </w:r>
      <w:r>
        <w:rPr>
          <w:noProof/>
        </w:rPr>
        <w:fldChar w:fldCharType="separate"/>
      </w:r>
      <w:r>
        <w:rPr>
          <w:noProof/>
        </w:rPr>
        <w:t>396</w:t>
      </w:r>
      <w:r>
        <w:rPr>
          <w:noProof/>
        </w:rPr>
        <w:fldChar w:fldCharType="end"/>
      </w:r>
    </w:p>
    <w:p w14:paraId="5D847962" w14:textId="42695958"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_Toc199453379 \h </w:instrText>
      </w:r>
      <w:r>
        <w:rPr>
          <w:noProof/>
        </w:rPr>
      </w:r>
      <w:r>
        <w:rPr>
          <w:noProof/>
        </w:rPr>
        <w:fldChar w:fldCharType="separate"/>
      </w:r>
      <w:r>
        <w:rPr>
          <w:noProof/>
        </w:rPr>
        <w:t>396</w:t>
      </w:r>
      <w:r>
        <w:rPr>
          <w:noProof/>
        </w:rPr>
        <w:fldChar w:fldCharType="end"/>
      </w:r>
    </w:p>
    <w:p w14:paraId="3E3194C5" w14:textId="68410838" w:rsidR="003F6EFC" w:rsidRDefault="003F6EFC">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_Toc199453380 \h </w:instrText>
      </w:r>
      <w:r>
        <w:rPr>
          <w:noProof/>
        </w:rPr>
      </w:r>
      <w:r>
        <w:rPr>
          <w:noProof/>
        </w:rPr>
        <w:fldChar w:fldCharType="separate"/>
      </w:r>
      <w:r>
        <w:rPr>
          <w:noProof/>
        </w:rPr>
        <w:t>396</w:t>
      </w:r>
      <w:r>
        <w:rPr>
          <w:noProof/>
        </w:rPr>
        <w:fldChar w:fldCharType="end"/>
      </w:r>
    </w:p>
    <w:p w14:paraId="0F252030" w14:textId="7A156CCB" w:rsidR="003F6EFC" w:rsidRDefault="003F6EFC">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_Toc199453381 \h </w:instrText>
      </w:r>
      <w:r>
        <w:rPr>
          <w:noProof/>
        </w:rPr>
      </w:r>
      <w:r>
        <w:rPr>
          <w:noProof/>
        </w:rPr>
        <w:fldChar w:fldCharType="separate"/>
      </w:r>
      <w:r>
        <w:rPr>
          <w:noProof/>
        </w:rPr>
        <w:t>396</w:t>
      </w:r>
      <w:r>
        <w:rPr>
          <w:noProof/>
        </w:rPr>
        <w:fldChar w:fldCharType="end"/>
      </w:r>
    </w:p>
    <w:p w14:paraId="1E508404" w14:textId="6B359A56" w:rsidR="003F6EFC" w:rsidRDefault="003F6EFC">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_Toc199453382 \h </w:instrText>
      </w:r>
      <w:r>
        <w:rPr>
          <w:noProof/>
        </w:rPr>
      </w:r>
      <w:r>
        <w:rPr>
          <w:noProof/>
        </w:rPr>
        <w:fldChar w:fldCharType="separate"/>
      </w:r>
      <w:r>
        <w:rPr>
          <w:noProof/>
        </w:rPr>
        <w:t>396</w:t>
      </w:r>
      <w:r>
        <w:rPr>
          <w:noProof/>
        </w:rPr>
        <w:fldChar w:fldCharType="end"/>
      </w:r>
    </w:p>
    <w:p w14:paraId="11E5583C" w14:textId="18A43448" w:rsidR="003F6EFC" w:rsidRDefault="003F6EFC">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_Toc199453383 \h </w:instrText>
      </w:r>
      <w:r>
        <w:rPr>
          <w:noProof/>
        </w:rPr>
      </w:r>
      <w:r>
        <w:rPr>
          <w:noProof/>
        </w:rPr>
        <w:fldChar w:fldCharType="separate"/>
      </w:r>
      <w:r>
        <w:rPr>
          <w:noProof/>
        </w:rPr>
        <w:t>396</w:t>
      </w:r>
      <w:r>
        <w:rPr>
          <w:noProof/>
        </w:rPr>
        <w:fldChar w:fldCharType="end"/>
      </w:r>
    </w:p>
    <w:p w14:paraId="2676B3EA" w14:textId="060A0BAC" w:rsidR="003F6EFC" w:rsidRDefault="003F6EFC">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_Toc199453384 \h </w:instrText>
      </w:r>
      <w:r>
        <w:rPr>
          <w:noProof/>
        </w:rPr>
      </w:r>
      <w:r>
        <w:rPr>
          <w:noProof/>
        </w:rPr>
        <w:fldChar w:fldCharType="separate"/>
      </w:r>
      <w:r>
        <w:rPr>
          <w:noProof/>
        </w:rPr>
        <w:t>396</w:t>
      </w:r>
      <w:r>
        <w:rPr>
          <w:noProof/>
        </w:rPr>
        <w:fldChar w:fldCharType="end"/>
      </w:r>
    </w:p>
    <w:p w14:paraId="32E0E1BD" w14:textId="5A05CCCF" w:rsidR="003F6EFC" w:rsidRDefault="003F6EFC">
      <w:pPr>
        <w:pStyle w:val="TOC3"/>
        <w:rPr>
          <w:rFonts w:asciiTheme="minorHAnsi" w:eastAsiaTheme="minorEastAsia" w:hAnsiTheme="minorHAnsi" w:cstheme="minorBidi"/>
          <w:noProof/>
          <w:kern w:val="2"/>
          <w:sz w:val="21"/>
          <w:szCs w:val="22"/>
          <w:lang w:val="en-US" w:eastAsia="zh-CN"/>
        </w:rPr>
      </w:pPr>
      <w:r>
        <w:rPr>
          <w:noProof/>
        </w:rPr>
        <w:t>5.8.3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_Toc199453385 \h </w:instrText>
      </w:r>
      <w:r>
        <w:rPr>
          <w:noProof/>
        </w:rPr>
      </w:r>
      <w:r>
        <w:rPr>
          <w:noProof/>
        </w:rPr>
        <w:fldChar w:fldCharType="separate"/>
      </w:r>
      <w:r>
        <w:rPr>
          <w:noProof/>
        </w:rPr>
        <w:t>397</w:t>
      </w:r>
      <w:r>
        <w:rPr>
          <w:noProof/>
        </w:rPr>
        <w:fldChar w:fldCharType="end"/>
      </w:r>
    </w:p>
    <w:p w14:paraId="7840DF4E" w14:textId="49CC90AB" w:rsidR="003F6EFC" w:rsidRDefault="003F6EFC">
      <w:pPr>
        <w:pStyle w:val="TOC4"/>
        <w:rPr>
          <w:rFonts w:asciiTheme="minorHAnsi" w:eastAsiaTheme="minorEastAsia" w:hAnsiTheme="minorHAnsi" w:cstheme="minorBidi"/>
          <w:noProof/>
          <w:kern w:val="2"/>
          <w:sz w:val="21"/>
          <w:szCs w:val="22"/>
          <w:lang w:val="en-US" w:eastAsia="zh-CN"/>
        </w:rPr>
      </w:pPr>
      <w:r>
        <w:rPr>
          <w:noProof/>
        </w:rPr>
        <w:t>5.8.3.1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_Toc199453386 \h </w:instrText>
      </w:r>
      <w:r>
        <w:rPr>
          <w:noProof/>
        </w:rPr>
      </w:r>
      <w:r>
        <w:rPr>
          <w:noProof/>
        </w:rPr>
        <w:fldChar w:fldCharType="separate"/>
      </w:r>
      <w:r>
        <w:rPr>
          <w:noProof/>
        </w:rPr>
        <w:t>397</w:t>
      </w:r>
      <w:r>
        <w:rPr>
          <w:noProof/>
        </w:rPr>
        <w:fldChar w:fldCharType="end"/>
      </w:r>
    </w:p>
    <w:p w14:paraId="6BC3B6C2" w14:textId="7A327AAA" w:rsidR="003F6EFC" w:rsidRDefault="003F6EFC">
      <w:pPr>
        <w:pStyle w:val="TOC4"/>
        <w:rPr>
          <w:rFonts w:asciiTheme="minorHAnsi" w:eastAsiaTheme="minorEastAsia" w:hAnsiTheme="minorHAnsi" w:cstheme="minorBidi"/>
          <w:noProof/>
          <w:kern w:val="2"/>
          <w:sz w:val="21"/>
          <w:szCs w:val="22"/>
          <w:lang w:val="en-US" w:eastAsia="zh-CN"/>
        </w:rPr>
      </w:pPr>
      <w:r>
        <w:rPr>
          <w:noProof/>
        </w:rPr>
        <w:t>5.8.3.2</w:t>
      </w:r>
      <w:r>
        <w:rPr>
          <w:rFonts w:asciiTheme="minorHAnsi" w:eastAsiaTheme="minorEastAsia" w:hAnsiTheme="minorHAnsi" w:cstheme="minorBidi"/>
          <w:noProof/>
          <w:kern w:val="2"/>
          <w:sz w:val="21"/>
          <w:szCs w:val="22"/>
          <w:lang w:val="en-US" w:eastAsia="zh-CN"/>
        </w:rPr>
        <w:tab/>
      </w:r>
      <w:r>
        <w:rPr>
          <w:noProof/>
        </w:rPr>
        <w:t>Resource: NWDAF Roaming Analytics Subscriptions</w:t>
      </w:r>
      <w:r>
        <w:rPr>
          <w:noProof/>
        </w:rPr>
        <w:tab/>
      </w:r>
      <w:r>
        <w:rPr>
          <w:noProof/>
        </w:rPr>
        <w:fldChar w:fldCharType="begin"/>
      </w:r>
      <w:r>
        <w:rPr>
          <w:noProof/>
        </w:rPr>
        <w:instrText xml:space="preserve"> PAGEREF _Toc199453387 \h </w:instrText>
      </w:r>
      <w:r>
        <w:rPr>
          <w:noProof/>
        </w:rPr>
      </w:r>
      <w:r>
        <w:rPr>
          <w:noProof/>
        </w:rPr>
        <w:fldChar w:fldCharType="separate"/>
      </w:r>
      <w:r>
        <w:rPr>
          <w:noProof/>
        </w:rPr>
        <w:t>397</w:t>
      </w:r>
      <w:r>
        <w:rPr>
          <w:noProof/>
        </w:rPr>
        <w:fldChar w:fldCharType="end"/>
      </w:r>
    </w:p>
    <w:p w14:paraId="4E472165" w14:textId="4BDFFE1F" w:rsidR="003F6EFC" w:rsidRDefault="003F6EFC">
      <w:pPr>
        <w:pStyle w:val="TOC5"/>
        <w:rPr>
          <w:rFonts w:asciiTheme="minorHAnsi" w:eastAsiaTheme="minorEastAsia" w:hAnsiTheme="minorHAnsi" w:cstheme="minorBidi"/>
          <w:noProof/>
          <w:kern w:val="2"/>
          <w:sz w:val="21"/>
          <w:szCs w:val="22"/>
          <w:lang w:val="en-US" w:eastAsia="zh-CN"/>
        </w:rPr>
      </w:pPr>
      <w:r>
        <w:rPr>
          <w:noProof/>
        </w:rPr>
        <w:t>5.8.3.2.1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_Toc199453388 \h </w:instrText>
      </w:r>
      <w:r>
        <w:rPr>
          <w:noProof/>
        </w:rPr>
      </w:r>
      <w:r>
        <w:rPr>
          <w:noProof/>
        </w:rPr>
        <w:fldChar w:fldCharType="separate"/>
      </w:r>
      <w:r>
        <w:rPr>
          <w:noProof/>
        </w:rPr>
        <w:t>397</w:t>
      </w:r>
      <w:r>
        <w:rPr>
          <w:noProof/>
        </w:rPr>
        <w:fldChar w:fldCharType="end"/>
      </w:r>
    </w:p>
    <w:p w14:paraId="19D8EF58" w14:textId="21FBEEF0" w:rsidR="003F6EFC" w:rsidRDefault="003F6EFC">
      <w:pPr>
        <w:pStyle w:val="TOC5"/>
        <w:rPr>
          <w:rFonts w:asciiTheme="minorHAnsi" w:eastAsiaTheme="minorEastAsia" w:hAnsiTheme="minorHAnsi" w:cstheme="minorBidi"/>
          <w:noProof/>
          <w:kern w:val="2"/>
          <w:sz w:val="21"/>
          <w:szCs w:val="22"/>
          <w:lang w:val="en-US" w:eastAsia="zh-CN"/>
        </w:rPr>
      </w:pPr>
      <w:r>
        <w:rPr>
          <w:noProof/>
        </w:rPr>
        <w:t>5.8.3.2.2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_Toc199453389 \h </w:instrText>
      </w:r>
      <w:r>
        <w:rPr>
          <w:noProof/>
        </w:rPr>
      </w:r>
      <w:r>
        <w:rPr>
          <w:noProof/>
        </w:rPr>
        <w:fldChar w:fldCharType="separate"/>
      </w:r>
      <w:r>
        <w:rPr>
          <w:noProof/>
        </w:rPr>
        <w:t>397</w:t>
      </w:r>
      <w:r>
        <w:rPr>
          <w:noProof/>
        </w:rPr>
        <w:fldChar w:fldCharType="end"/>
      </w:r>
    </w:p>
    <w:p w14:paraId="3262B9AB" w14:textId="0C7431EE" w:rsidR="003F6EFC" w:rsidRDefault="003F6EFC">
      <w:pPr>
        <w:pStyle w:val="TOC5"/>
        <w:rPr>
          <w:rFonts w:asciiTheme="minorHAnsi" w:eastAsiaTheme="minorEastAsia" w:hAnsiTheme="minorHAnsi" w:cstheme="minorBidi"/>
          <w:noProof/>
          <w:kern w:val="2"/>
          <w:sz w:val="21"/>
          <w:szCs w:val="22"/>
          <w:lang w:val="en-US" w:eastAsia="zh-CN"/>
        </w:rPr>
      </w:pPr>
      <w:r>
        <w:rPr>
          <w:noProof/>
        </w:rPr>
        <w:t>5.8.3.2.3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_Toc199453390 \h </w:instrText>
      </w:r>
      <w:r>
        <w:rPr>
          <w:noProof/>
        </w:rPr>
      </w:r>
      <w:r>
        <w:rPr>
          <w:noProof/>
        </w:rPr>
        <w:fldChar w:fldCharType="separate"/>
      </w:r>
      <w:r>
        <w:rPr>
          <w:noProof/>
        </w:rPr>
        <w:t>398</w:t>
      </w:r>
      <w:r>
        <w:rPr>
          <w:noProof/>
        </w:rPr>
        <w:fldChar w:fldCharType="end"/>
      </w:r>
    </w:p>
    <w:p w14:paraId="10799F87" w14:textId="4288DBFA" w:rsidR="003F6EFC" w:rsidRDefault="003F6EFC">
      <w:pPr>
        <w:pStyle w:val="TOC6"/>
        <w:rPr>
          <w:rFonts w:asciiTheme="minorHAnsi" w:eastAsiaTheme="minorEastAsia" w:hAnsiTheme="minorHAnsi" w:cstheme="minorBidi"/>
          <w:noProof/>
          <w:kern w:val="2"/>
          <w:sz w:val="21"/>
          <w:szCs w:val="22"/>
          <w:lang w:val="en-US" w:eastAsia="zh-CN"/>
        </w:rPr>
      </w:pPr>
      <w:r>
        <w:rPr>
          <w:noProof/>
        </w:rPr>
        <w:t>5.8.3.2.3.1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_Toc199453391 \h </w:instrText>
      </w:r>
      <w:r>
        <w:rPr>
          <w:noProof/>
        </w:rPr>
      </w:r>
      <w:r>
        <w:rPr>
          <w:noProof/>
        </w:rPr>
        <w:fldChar w:fldCharType="separate"/>
      </w:r>
      <w:r>
        <w:rPr>
          <w:noProof/>
        </w:rPr>
        <w:t>398</w:t>
      </w:r>
      <w:r>
        <w:rPr>
          <w:noProof/>
        </w:rPr>
        <w:fldChar w:fldCharType="end"/>
      </w:r>
    </w:p>
    <w:p w14:paraId="24E9BFAF" w14:textId="1F454BCE" w:rsidR="003F6EFC" w:rsidRDefault="003F6EFC">
      <w:pPr>
        <w:pStyle w:val="TOC5"/>
        <w:rPr>
          <w:rFonts w:asciiTheme="minorHAnsi" w:eastAsiaTheme="minorEastAsia" w:hAnsiTheme="minorHAnsi" w:cstheme="minorBidi"/>
          <w:noProof/>
          <w:kern w:val="2"/>
          <w:sz w:val="21"/>
          <w:szCs w:val="22"/>
          <w:lang w:val="en-US" w:eastAsia="zh-CN"/>
        </w:rPr>
      </w:pPr>
      <w:r>
        <w:rPr>
          <w:noProof/>
        </w:rPr>
        <w:t>5.8.3.2.4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_Toc199453392 \h </w:instrText>
      </w:r>
      <w:r>
        <w:rPr>
          <w:noProof/>
        </w:rPr>
      </w:r>
      <w:r>
        <w:rPr>
          <w:noProof/>
        </w:rPr>
        <w:fldChar w:fldCharType="separate"/>
      </w:r>
      <w:r>
        <w:rPr>
          <w:noProof/>
        </w:rPr>
        <w:t>398</w:t>
      </w:r>
      <w:r>
        <w:rPr>
          <w:noProof/>
        </w:rPr>
        <w:fldChar w:fldCharType="end"/>
      </w:r>
    </w:p>
    <w:p w14:paraId="366B548C" w14:textId="46B4AED2" w:rsidR="003F6EFC" w:rsidRDefault="003F6EFC">
      <w:pPr>
        <w:pStyle w:val="TOC4"/>
        <w:rPr>
          <w:rFonts w:asciiTheme="minorHAnsi" w:eastAsiaTheme="minorEastAsia" w:hAnsiTheme="minorHAnsi" w:cstheme="minorBidi"/>
          <w:noProof/>
          <w:kern w:val="2"/>
          <w:sz w:val="21"/>
          <w:szCs w:val="22"/>
          <w:lang w:val="en-US" w:eastAsia="zh-CN"/>
        </w:rPr>
      </w:pPr>
      <w:r>
        <w:rPr>
          <w:noProof/>
        </w:rPr>
        <w:t>5.8.3.3</w:t>
      </w:r>
      <w:r>
        <w:rPr>
          <w:rFonts w:asciiTheme="minorHAnsi" w:eastAsiaTheme="minorEastAsia" w:hAnsiTheme="minorHAnsi" w:cstheme="minorBidi"/>
          <w:noProof/>
          <w:kern w:val="2"/>
          <w:sz w:val="21"/>
          <w:szCs w:val="22"/>
          <w:lang w:val="en-US" w:eastAsia="zh-CN"/>
        </w:rPr>
        <w:tab/>
      </w:r>
      <w:r>
        <w:rPr>
          <w:noProof/>
        </w:rPr>
        <w:t>Resource: Individual NWDAF Roaming Analytics Subscription</w:t>
      </w:r>
      <w:r>
        <w:rPr>
          <w:noProof/>
        </w:rPr>
        <w:tab/>
      </w:r>
      <w:r>
        <w:rPr>
          <w:noProof/>
        </w:rPr>
        <w:fldChar w:fldCharType="begin"/>
      </w:r>
      <w:r>
        <w:rPr>
          <w:noProof/>
        </w:rPr>
        <w:instrText xml:space="preserve"> PAGEREF _Toc199453393 \h </w:instrText>
      </w:r>
      <w:r>
        <w:rPr>
          <w:noProof/>
        </w:rPr>
      </w:r>
      <w:r>
        <w:rPr>
          <w:noProof/>
        </w:rPr>
        <w:fldChar w:fldCharType="separate"/>
      </w:r>
      <w:r>
        <w:rPr>
          <w:noProof/>
        </w:rPr>
        <w:t>399</w:t>
      </w:r>
      <w:r>
        <w:rPr>
          <w:noProof/>
        </w:rPr>
        <w:fldChar w:fldCharType="end"/>
      </w:r>
    </w:p>
    <w:p w14:paraId="4E974CA2" w14:textId="281DC15B" w:rsidR="003F6EFC" w:rsidRDefault="003F6EFC">
      <w:pPr>
        <w:pStyle w:val="TOC5"/>
        <w:rPr>
          <w:rFonts w:asciiTheme="minorHAnsi" w:eastAsiaTheme="minorEastAsia" w:hAnsiTheme="minorHAnsi" w:cstheme="minorBidi"/>
          <w:noProof/>
          <w:kern w:val="2"/>
          <w:sz w:val="21"/>
          <w:szCs w:val="22"/>
          <w:lang w:val="en-US" w:eastAsia="zh-CN"/>
        </w:rPr>
      </w:pPr>
      <w:r>
        <w:rPr>
          <w:noProof/>
        </w:rPr>
        <w:t>5.8.3.3.1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_Toc199453394 \h </w:instrText>
      </w:r>
      <w:r>
        <w:rPr>
          <w:noProof/>
        </w:rPr>
      </w:r>
      <w:r>
        <w:rPr>
          <w:noProof/>
        </w:rPr>
        <w:fldChar w:fldCharType="separate"/>
      </w:r>
      <w:r>
        <w:rPr>
          <w:noProof/>
        </w:rPr>
        <w:t>399</w:t>
      </w:r>
      <w:r>
        <w:rPr>
          <w:noProof/>
        </w:rPr>
        <w:fldChar w:fldCharType="end"/>
      </w:r>
    </w:p>
    <w:p w14:paraId="1D63D186" w14:textId="40A66F4E" w:rsidR="003F6EFC" w:rsidRDefault="003F6EFC">
      <w:pPr>
        <w:pStyle w:val="TOC5"/>
        <w:rPr>
          <w:rFonts w:asciiTheme="minorHAnsi" w:eastAsiaTheme="minorEastAsia" w:hAnsiTheme="minorHAnsi" w:cstheme="minorBidi"/>
          <w:noProof/>
          <w:kern w:val="2"/>
          <w:sz w:val="21"/>
          <w:szCs w:val="22"/>
          <w:lang w:val="en-US" w:eastAsia="zh-CN"/>
        </w:rPr>
      </w:pPr>
      <w:r>
        <w:rPr>
          <w:noProof/>
        </w:rPr>
        <w:t>5.8.3.3.2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_Toc199453395 \h </w:instrText>
      </w:r>
      <w:r>
        <w:rPr>
          <w:noProof/>
        </w:rPr>
      </w:r>
      <w:r>
        <w:rPr>
          <w:noProof/>
        </w:rPr>
        <w:fldChar w:fldCharType="separate"/>
      </w:r>
      <w:r>
        <w:rPr>
          <w:noProof/>
        </w:rPr>
        <w:t>399</w:t>
      </w:r>
      <w:r>
        <w:rPr>
          <w:noProof/>
        </w:rPr>
        <w:fldChar w:fldCharType="end"/>
      </w:r>
    </w:p>
    <w:p w14:paraId="1969C006" w14:textId="35438B5E" w:rsidR="003F6EFC" w:rsidRDefault="003F6EFC">
      <w:pPr>
        <w:pStyle w:val="TOC5"/>
        <w:rPr>
          <w:rFonts w:asciiTheme="minorHAnsi" w:eastAsiaTheme="minorEastAsia" w:hAnsiTheme="minorHAnsi" w:cstheme="minorBidi"/>
          <w:noProof/>
          <w:kern w:val="2"/>
          <w:sz w:val="21"/>
          <w:szCs w:val="22"/>
          <w:lang w:val="en-US" w:eastAsia="zh-CN"/>
        </w:rPr>
      </w:pPr>
      <w:r>
        <w:rPr>
          <w:noProof/>
        </w:rPr>
        <w:t>5.8.3.3.3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_Toc199453396 \h </w:instrText>
      </w:r>
      <w:r>
        <w:rPr>
          <w:noProof/>
        </w:rPr>
      </w:r>
      <w:r>
        <w:rPr>
          <w:noProof/>
        </w:rPr>
        <w:fldChar w:fldCharType="separate"/>
      </w:r>
      <w:r>
        <w:rPr>
          <w:noProof/>
        </w:rPr>
        <w:t>399</w:t>
      </w:r>
      <w:r>
        <w:rPr>
          <w:noProof/>
        </w:rPr>
        <w:fldChar w:fldCharType="end"/>
      </w:r>
    </w:p>
    <w:p w14:paraId="08F85E74" w14:textId="6BBB477A" w:rsidR="003F6EFC" w:rsidRDefault="003F6EFC">
      <w:pPr>
        <w:pStyle w:val="TOC6"/>
        <w:rPr>
          <w:rFonts w:asciiTheme="minorHAnsi" w:eastAsiaTheme="minorEastAsia" w:hAnsiTheme="minorHAnsi" w:cstheme="minorBidi"/>
          <w:noProof/>
          <w:kern w:val="2"/>
          <w:sz w:val="21"/>
          <w:szCs w:val="22"/>
          <w:lang w:val="en-US" w:eastAsia="zh-CN"/>
        </w:rPr>
      </w:pPr>
      <w:r>
        <w:rPr>
          <w:noProof/>
        </w:rPr>
        <w:lastRenderedPageBreak/>
        <w:t>5.8.3.3.3.1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_Toc199453397 \h </w:instrText>
      </w:r>
      <w:r>
        <w:rPr>
          <w:noProof/>
        </w:rPr>
      </w:r>
      <w:r>
        <w:rPr>
          <w:noProof/>
        </w:rPr>
        <w:fldChar w:fldCharType="separate"/>
      </w:r>
      <w:r>
        <w:rPr>
          <w:noProof/>
        </w:rPr>
        <w:t>399</w:t>
      </w:r>
      <w:r>
        <w:rPr>
          <w:noProof/>
        </w:rPr>
        <w:fldChar w:fldCharType="end"/>
      </w:r>
    </w:p>
    <w:p w14:paraId="3B4C4B6D" w14:textId="7913617D" w:rsidR="003F6EFC" w:rsidRDefault="003F6EFC">
      <w:pPr>
        <w:pStyle w:val="TOC5"/>
        <w:rPr>
          <w:rFonts w:asciiTheme="minorHAnsi" w:eastAsiaTheme="minorEastAsia" w:hAnsiTheme="minorHAnsi" w:cstheme="minorBidi"/>
          <w:noProof/>
          <w:kern w:val="2"/>
          <w:sz w:val="21"/>
          <w:szCs w:val="22"/>
          <w:lang w:val="en-US" w:eastAsia="zh-CN"/>
        </w:rPr>
      </w:pPr>
      <w:r>
        <w:rPr>
          <w:noProof/>
        </w:rPr>
        <w:t>5.8.3.3.4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_Toc199453398 \h </w:instrText>
      </w:r>
      <w:r>
        <w:rPr>
          <w:noProof/>
        </w:rPr>
      </w:r>
      <w:r>
        <w:rPr>
          <w:noProof/>
        </w:rPr>
        <w:fldChar w:fldCharType="separate"/>
      </w:r>
      <w:r>
        <w:rPr>
          <w:noProof/>
        </w:rPr>
        <w:t>402</w:t>
      </w:r>
      <w:r>
        <w:rPr>
          <w:noProof/>
        </w:rPr>
        <w:fldChar w:fldCharType="end"/>
      </w:r>
    </w:p>
    <w:p w14:paraId="78F672C8" w14:textId="6F67996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_Toc199453399 \h </w:instrText>
      </w:r>
      <w:r>
        <w:rPr>
          <w:noProof/>
        </w:rPr>
      </w:r>
      <w:r>
        <w:rPr>
          <w:noProof/>
        </w:rPr>
        <w:fldChar w:fldCharType="separate"/>
      </w:r>
      <w:r>
        <w:rPr>
          <w:noProof/>
        </w:rPr>
        <w:t>402</w:t>
      </w:r>
      <w:r>
        <w:rPr>
          <w:noProof/>
        </w:rPr>
        <w:fldChar w:fldCharType="end"/>
      </w:r>
    </w:p>
    <w:p w14:paraId="219E48DC" w14:textId="0F8EF567"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_Toc199453400 \h </w:instrText>
      </w:r>
      <w:r>
        <w:rPr>
          <w:noProof/>
        </w:rPr>
      </w:r>
      <w:r>
        <w:rPr>
          <w:noProof/>
        </w:rPr>
        <w:fldChar w:fldCharType="separate"/>
      </w:r>
      <w:r>
        <w:rPr>
          <w:noProof/>
        </w:rPr>
        <w:t>402</w:t>
      </w:r>
      <w:r>
        <w:rPr>
          <w:noProof/>
        </w:rPr>
        <w:fldChar w:fldCharType="end"/>
      </w:r>
    </w:p>
    <w:p w14:paraId="505DF078" w14:textId="20E15E20" w:rsidR="003F6EFC" w:rsidRDefault="003F6EFC">
      <w:pPr>
        <w:pStyle w:val="TOC4"/>
        <w:rPr>
          <w:rFonts w:asciiTheme="minorHAnsi" w:eastAsiaTheme="minorEastAsia" w:hAnsiTheme="minorHAnsi" w:cstheme="minorBidi"/>
          <w:noProof/>
          <w:kern w:val="2"/>
          <w:sz w:val="21"/>
          <w:szCs w:val="22"/>
          <w:lang w:val="en-US" w:eastAsia="zh-CN"/>
        </w:rPr>
      </w:pPr>
      <w:r>
        <w:rPr>
          <w:noProof/>
        </w:rPr>
        <w:t>5.8.5.1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_Toc199453401 \h </w:instrText>
      </w:r>
      <w:r>
        <w:rPr>
          <w:noProof/>
        </w:rPr>
      </w:r>
      <w:r>
        <w:rPr>
          <w:noProof/>
        </w:rPr>
        <w:fldChar w:fldCharType="separate"/>
      </w:r>
      <w:r>
        <w:rPr>
          <w:noProof/>
        </w:rPr>
        <w:t>402</w:t>
      </w:r>
      <w:r>
        <w:rPr>
          <w:noProof/>
        </w:rPr>
        <w:fldChar w:fldCharType="end"/>
      </w:r>
    </w:p>
    <w:p w14:paraId="3EDF0F8C" w14:textId="32D239DF" w:rsidR="003F6EFC" w:rsidRDefault="003F6EFC">
      <w:pPr>
        <w:pStyle w:val="TOC4"/>
        <w:rPr>
          <w:rFonts w:asciiTheme="minorHAnsi" w:eastAsiaTheme="minorEastAsia" w:hAnsiTheme="minorHAnsi" w:cstheme="minorBidi"/>
          <w:noProof/>
          <w:kern w:val="2"/>
          <w:sz w:val="21"/>
          <w:szCs w:val="22"/>
          <w:lang w:val="en-US" w:eastAsia="zh-CN"/>
        </w:rPr>
      </w:pPr>
      <w:r>
        <w:rPr>
          <w:noProof/>
        </w:rPr>
        <w:t>5.8.5.2</w:t>
      </w:r>
      <w:r>
        <w:rPr>
          <w:rFonts w:asciiTheme="minorHAnsi" w:eastAsiaTheme="minorEastAsia" w:hAnsiTheme="minorHAnsi" w:cstheme="minorBidi"/>
          <w:noProof/>
          <w:kern w:val="2"/>
          <w:sz w:val="21"/>
          <w:szCs w:val="22"/>
          <w:lang w:val="en-US" w:eastAsia="zh-CN"/>
        </w:rPr>
        <w:tab/>
      </w:r>
      <w:r>
        <w:rPr>
          <w:noProof/>
        </w:rPr>
        <w:t>Roaming Analytics Notification</w:t>
      </w:r>
      <w:r>
        <w:rPr>
          <w:noProof/>
        </w:rPr>
        <w:tab/>
      </w:r>
      <w:r>
        <w:rPr>
          <w:noProof/>
        </w:rPr>
        <w:fldChar w:fldCharType="begin"/>
      </w:r>
      <w:r>
        <w:rPr>
          <w:noProof/>
        </w:rPr>
        <w:instrText xml:space="preserve"> PAGEREF _Toc199453402 \h </w:instrText>
      </w:r>
      <w:r>
        <w:rPr>
          <w:noProof/>
        </w:rPr>
      </w:r>
      <w:r>
        <w:rPr>
          <w:noProof/>
        </w:rPr>
        <w:fldChar w:fldCharType="separate"/>
      </w:r>
      <w:r>
        <w:rPr>
          <w:noProof/>
        </w:rPr>
        <w:t>402</w:t>
      </w:r>
      <w:r>
        <w:rPr>
          <w:noProof/>
        </w:rPr>
        <w:fldChar w:fldCharType="end"/>
      </w:r>
    </w:p>
    <w:p w14:paraId="0E64538A" w14:textId="1ACB4F25" w:rsidR="003F6EFC" w:rsidRDefault="003F6EFC">
      <w:pPr>
        <w:pStyle w:val="TOC5"/>
        <w:rPr>
          <w:rFonts w:asciiTheme="minorHAnsi" w:eastAsiaTheme="minorEastAsia" w:hAnsiTheme="minorHAnsi" w:cstheme="minorBidi"/>
          <w:noProof/>
          <w:kern w:val="2"/>
          <w:sz w:val="21"/>
          <w:szCs w:val="22"/>
          <w:lang w:val="en-US" w:eastAsia="zh-CN"/>
        </w:rPr>
      </w:pPr>
      <w:r>
        <w:rPr>
          <w:noProof/>
        </w:rPr>
        <w:t>5.8.5.2.1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_Toc199453403 \h </w:instrText>
      </w:r>
      <w:r>
        <w:rPr>
          <w:noProof/>
        </w:rPr>
      </w:r>
      <w:r>
        <w:rPr>
          <w:noProof/>
        </w:rPr>
        <w:fldChar w:fldCharType="separate"/>
      </w:r>
      <w:r>
        <w:rPr>
          <w:noProof/>
        </w:rPr>
        <w:t>402</w:t>
      </w:r>
      <w:r>
        <w:rPr>
          <w:noProof/>
        </w:rPr>
        <w:fldChar w:fldCharType="end"/>
      </w:r>
    </w:p>
    <w:p w14:paraId="39E59B44" w14:textId="0E3DA4E6" w:rsidR="003F6EFC" w:rsidRDefault="003F6EFC">
      <w:pPr>
        <w:pStyle w:val="TOC5"/>
        <w:rPr>
          <w:rFonts w:asciiTheme="minorHAnsi" w:eastAsiaTheme="minorEastAsia" w:hAnsiTheme="minorHAnsi" w:cstheme="minorBidi"/>
          <w:noProof/>
          <w:kern w:val="2"/>
          <w:sz w:val="21"/>
          <w:szCs w:val="22"/>
          <w:lang w:val="en-US" w:eastAsia="zh-CN"/>
        </w:rPr>
      </w:pPr>
      <w:r>
        <w:rPr>
          <w:noProof/>
        </w:rPr>
        <w:t>5.8.5.2.2</w:t>
      </w:r>
      <w:r>
        <w:rPr>
          <w:rFonts w:asciiTheme="minorHAnsi" w:eastAsiaTheme="minorEastAsia" w:hAnsiTheme="minorHAnsi" w:cstheme="minorBidi"/>
          <w:noProof/>
          <w:kern w:val="2"/>
          <w:sz w:val="21"/>
          <w:szCs w:val="22"/>
          <w:lang w:val="en-US" w:eastAsia="zh-CN"/>
        </w:rPr>
        <w:tab/>
      </w:r>
      <w:r w:rsidRPr="00D64295">
        <w:rPr>
          <w:noProof/>
          <w:lang w:val="en-US" w:eastAsia="zh-CN"/>
        </w:rPr>
        <w:t>Operation Definition</w:t>
      </w:r>
      <w:r>
        <w:rPr>
          <w:noProof/>
        </w:rPr>
        <w:tab/>
      </w:r>
      <w:r>
        <w:rPr>
          <w:noProof/>
        </w:rPr>
        <w:fldChar w:fldCharType="begin"/>
      </w:r>
      <w:r>
        <w:rPr>
          <w:noProof/>
        </w:rPr>
        <w:instrText xml:space="preserve"> PAGEREF _Toc199453404 \h </w:instrText>
      </w:r>
      <w:r>
        <w:rPr>
          <w:noProof/>
        </w:rPr>
      </w:r>
      <w:r>
        <w:rPr>
          <w:noProof/>
        </w:rPr>
        <w:fldChar w:fldCharType="separate"/>
      </w:r>
      <w:r>
        <w:rPr>
          <w:noProof/>
        </w:rPr>
        <w:t>402</w:t>
      </w:r>
      <w:r>
        <w:rPr>
          <w:noProof/>
        </w:rPr>
        <w:fldChar w:fldCharType="end"/>
      </w:r>
    </w:p>
    <w:p w14:paraId="38825A24" w14:textId="74B40AAE"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_Toc199453405 \h </w:instrText>
      </w:r>
      <w:r>
        <w:rPr>
          <w:noProof/>
        </w:rPr>
      </w:r>
      <w:r>
        <w:rPr>
          <w:noProof/>
        </w:rPr>
        <w:fldChar w:fldCharType="separate"/>
      </w:r>
      <w:r>
        <w:rPr>
          <w:noProof/>
        </w:rPr>
        <w:t>403</w:t>
      </w:r>
      <w:r>
        <w:rPr>
          <w:noProof/>
        </w:rPr>
        <w:fldChar w:fldCharType="end"/>
      </w:r>
    </w:p>
    <w:p w14:paraId="7BC8FA21" w14:textId="741653DF" w:rsidR="003F6EFC" w:rsidRDefault="003F6EFC">
      <w:pPr>
        <w:pStyle w:val="TOC4"/>
        <w:rPr>
          <w:rFonts w:asciiTheme="minorHAnsi" w:eastAsiaTheme="minorEastAsia" w:hAnsiTheme="minorHAnsi" w:cstheme="minorBidi"/>
          <w:noProof/>
          <w:kern w:val="2"/>
          <w:sz w:val="21"/>
          <w:szCs w:val="22"/>
          <w:lang w:val="en-US" w:eastAsia="zh-CN"/>
        </w:rPr>
      </w:pPr>
      <w:r>
        <w:rPr>
          <w:noProof/>
        </w:rPr>
        <w:t>5.8.6.1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_Toc199453406 \h </w:instrText>
      </w:r>
      <w:r>
        <w:rPr>
          <w:noProof/>
        </w:rPr>
      </w:r>
      <w:r>
        <w:rPr>
          <w:noProof/>
        </w:rPr>
        <w:fldChar w:fldCharType="separate"/>
      </w:r>
      <w:r>
        <w:rPr>
          <w:noProof/>
        </w:rPr>
        <w:t>403</w:t>
      </w:r>
      <w:r>
        <w:rPr>
          <w:noProof/>
        </w:rPr>
        <w:fldChar w:fldCharType="end"/>
      </w:r>
    </w:p>
    <w:p w14:paraId="6830C922" w14:textId="45350126" w:rsidR="003F6EFC" w:rsidRDefault="003F6EFC">
      <w:pPr>
        <w:pStyle w:val="TOC4"/>
        <w:rPr>
          <w:rFonts w:asciiTheme="minorHAnsi" w:eastAsiaTheme="minorEastAsia" w:hAnsiTheme="minorHAnsi" w:cstheme="minorBidi"/>
          <w:noProof/>
          <w:kern w:val="2"/>
          <w:sz w:val="21"/>
          <w:szCs w:val="22"/>
          <w:lang w:val="en-US" w:eastAsia="zh-CN"/>
        </w:rPr>
      </w:pPr>
      <w:r>
        <w:rPr>
          <w:noProof/>
        </w:rPr>
        <w:t>5.8.6.2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_Toc199453407 \h </w:instrText>
      </w:r>
      <w:r>
        <w:rPr>
          <w:noProof/>
        </w:rPr>
      </w:r>
      <w:r>
        <w:rPr>
          <w:noProof/>
        </w:rPr>
        <w:fldChar w:fldCharType="separate"/>
      </w:r>
      <w:r>
        <w:rPr>
          <w:noProof/>
        </w:rPr>
        <w:t>404</w:t>
      </w:r>
      <w:r>
        <w:rPr>
          <w:noProof/>
        </w:rPr>
        <w:fldChar w:fldCharType="end"/>
      </w:r>
    </w:p>
    <w:p w14:paraId="32A11503" w14:textId="02E6077C" w:rsidR="003F6EFC" w:rsidRDefault="003F6EFC">
      <w:pPr>
        <w:pStyle w:val="TOC5"/>
        <w:rPr>
          <w:rFonts w:asciiTheme="minorHAnsi" w:eastAsiaTheme="minorEastAsia" w:hAnsiTheme="minorHAnsi" w:cstheme="minorBidi"/>
          <w:noProof/>
          <w:kern w:val="2"/>
          <w:sz w:val="21"/>
          <w:szCs w:val="22"/>
          <w:lang w:val="en-US" w:eastAsia="zh-CN"/>
        </w:rPr>
      </w:pPr>
      <w:r>
        <w:rPr>
          <w:noProof/>
        </w:rPr>
        <w:t>5.8.6.2.1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_Toc199453408 \h </w:instrText>
      </w:r>
      <w:r>
        <w:rPr>
          <w:noProof/>
        </w:rPr>
      </w:r>
      <w:r>
        <w:rPr>
          <w:noProof/>
        </w:rPr>
        <w:fldChar w:fldCharType="separate"/>
      </w:r>
      <w:r>
        <w:rPr>
          <w:noProof/>
        </w:rPr>
        <w:t>404</w:t>
      </w:r>
      <w:r>
        <w:rPr>
          <w:noProof/>
        </w:rPr>
        <w:fldChar w:fldCharType="end"/>
      </w:r>
    </w:p>
    <w:p w14:paraId="68AFF100" w14:textId="7B561957" w:rsidR="003F6EFC" w:rsidRDefault="003F6EFC">
      <w:pPr>
        <w:pStyle w:val="TOC5"/>
        <w:rPr>
          <w:rFonts w:asciiTheme="minorHAnsi" w:eastAsiaTheme="minorEastAsia" w:hAnsiTheme="minorHAnsi" w:cstheme="minorBidi"/>
          <w:noProof/>
          <w:kern w:val="2"/>
          <w:sz w:val="21"/>
          <w:szCs w:val="22"/>
          <w:lang w:val="en-US" w:eastAsia="zh-CN"/>
        </w:rPr>
      </w:pPr>
      <w:r>
        <w:rPr>
          <w:noProof/>
        </w:rPr>
        <w:t>5.8.6.2.2</w:t>
      </w:r>
      <w:r>
        <w:rPr>
          <w:rFonts w:asciiTheme="minorHAnsi" w:eastAsiaTheme="minorEastAsia" w:hAnsiTheme="minorHAnsi" w:cstheme="minorBidi"/>
          <w:noProof/>
          <w:kern w:val="2"/>
          <w:sz w:val="21"/>
          <w:szCs w:val="22"/>
          <w:lang w:val="en-US" w:eastAsia="zh-CN"/>
        </w:rPr>
        <w:tab/>
      </w:r>
      <w:r>
        <w:rPr>
          <w:noProof/>
        </w:rPr>
        <w:t>Type RoamingAnalyticsSubscription</w:t>
      </w:r>
      <w:r>
        <w:rPr>
          <w:noProof/>
        </w:rPr>
        <w:tab/>
      </w:r>
      <w:r>
        <w:rPr>
          <w:noProof/>
        </w:rPr>
        <w:fldChar w:fldCharType="begin"/>
      </w:r>
      <w:r>
        <w:rPr>
          <w:noProof/>
        </w:rPr>
        <w:instrText xml:space="preserve"> PAGEREF _Toc199453409 \h </w:instrText>
      </w:r>
      <w:r>
        <w:rPr>
          <w:noProof/>
        </w:rPr>
      </w:r>
      <w:r>
        <w:rPr>
          <w:noProof/>
        </w:rPr>
        <w:fldChar w:fldCharType="separate"/>
      </w:r>
      <w:r>
        <w:rPr>
          <w:noProof/>
        </w:rPr>
        <w:t>405</w:t>
      </w:r>
      <w:r>
        <w:rPr>
          <w:noProof/>
        </w:rPr>
        <w:fldChar w:fldCharType="end"/>
      </w:r>
    </w:p>
    <w:p w14:paraId="40BD6FD5" w14:textId="350CFEEC" w:rsidR="003F6EFC" w:rsidRDefault="003F6EFC">
      <w:pPr>
        <w:pStyle w:val="TOC5"/>
        <w:rPr>
          <w:rFonts w:asciiTheme="minorHAnsi" w:eastAsiaTheme="minorEastAsia" w:hAnsiTheme="minorHAnsi" w:cstheme="minorBidi"/>
          <w:noProof/>
          <w:kern w:val="2"/>
          <w:sz w:val="21"/>
          <w:szCs w:val="22"/>
          <w:lang w:val="en-US" w:eastAsia="zh-CN"/>
        </w:rPr>
      </w:pPr>
      <w:r>
        <w:rPr>
          <w:noProof/>
        </w:rPr>
        <w:t>5.8.6.2.3</w:t>
      </w:r>
      <w:r>
        <w:rPr>
          <w:rFonts w:asciiTheme="minorHAnsi" w:eastAsiaTheme="minorEastAsia" w:hAnsiTheme="minorHAnsi" w:cstheme="minorBidi"/>
          <w:noProof/>
          <w:kern w:val="2"/>
          <w:sz w:val="21"/>
          <w:szCs w:val="22"/>
          <w:lang w:val="en-US" w:eastAsia="zh-CN"/>
        </w:rPr>
        <w:tab/>
      </w:r>
      <w:r>
        <w:rPr>
          <w:noProof/>
        </w:rPr>
        <w:t>Type RoamingAnalyticsNotification</w:t>
      </w:r>
      <w:r>
        <w:rPr>
          <w:noProof/>
        </w:rPr>
        <w:tab/>
      </w:r>
      <w:r>
        <w:rPr>
          <w:noProof/>
        </w:rPr>
        <w:fldChar w:fldCharType="begin"/>
      </w:r>
      <w:r>
        <w:rPr>
          <w:noProof/>
        </w:rPr>
        <w:instrText xml:space="preserve"> PAGEREF _Toc199453410 \h </w:instrText>
      </w:r>
      <w:r>
        <w:rPr>
          <w:noProof/>
        </w:rPr>
      </w:r>
      <w:r>
        <w:rPr>
          <w:noProof/>
        </w:rPr>
        <w:fldChar w:fldCharType="separate"/>
      </w:r>
      <w:r>
        <w:rPr>
          <w:noProof/>
        </w:rPr>
        <w:t>406</w:t>
      </w:r>
      <w:r>
        <w:rPr>
          <w:noProof/>
        </w:rPr>
        <w:fldChar w:fldCharType="end"/>
      </w:r>
    </w:p>
    <w:p w14:paraId="3E780842" w14:textId="7C06EFD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_Toc199453411 \h </w:instrText>
      </w:r>
      <w:r>
        <w:rPr>
          <w:noProof/>
        </w:rPr>
      </w:r>
      <w:r>
        <w:rPr>
          <w:noProof/>
        </w:rPr>
        <w:fldChar w:fldCharType="separate"/>
      </w:r>
      <w:r>
        <w:rPr>
          <w:noProof/>
        </w:rPr>
        <w:t>406</w:t>
      </w:r>
      <w:r>
        <w:rPr>
          <w:noProof/>
        </w:rPr>
        <w:fldChar w:fldCharType="end"/>
      </w:r>
    </w:p>
    <w:p w14:paraId="1DE1A990" w14:textId="14AACD20" w:rsidR="003F6EFC" w:rsidRDefault="003F6EFC">
      <w:pPr>
        <w:pStyle w:val="TOC4"/>
        <w:rPr>
          <w:rFonts w:asciiTheme="minorHAnsi" w:eastAsiaTheme="minorEastAsia" w:hAnsiTheme="minorHAnsi" w:cstheme="minorBidi"/>
          <w:noProof/>
          <w:kern w:val="2"/>
          <w:sz w:val="21"/>
          <w:szCs w:val="22"/>
          <w:lang w:val="en-US" w:eastAsia="zh-CN"/>
        </w:rPr>
      </w:pPr>
      <w:r>
        <w:rPr>
          <w:noProof/>
        </w:rPr>
        <w:t>5.8.7.1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_Toc199453412 \h </w:instrText>
      </w:r>
      <w:r>
        <w:rPr>
          <w:noProof/>
        </w:rPr>
      </w:r>
      <w:r>
        <w:rPr>
          <w:noProof/>
        </w:rPr>
        <w:fldChar w:fldCharType="separate"/>
      </w:r>
      <w:r>
        <w:rPr>
          <w:noProof/>
        </w:rPr>
        <w:t>406</w:t>
      </w:r>
      <w:r>
        <w:rPr>
          <w:noProof/>
        </w:rPr>
        <w:fldChar w:fldCharType="end"/>
      </w:r>
    </w:p>
    <w:p w14:paraId="7532CE21" w14:textId="673EFD51" w:rsidR="003F6EFC" w:rsidRDefault="003F6EFC">
      <w:pPr>
        <w:pStyle w:val="TOC4"/>
        <w:rPr>
          <w:rFonts w:asciiTheme="minorHAnsi" w:eastAsiaTheme="minorEastAsia" w:hAnsiTheme="minorHAnsi" w:cstheme="minorBidi"/>
          <w:noProof/>
          <w:kern w:val="2"/>
          <w:sz w:val="21"/>
          <w:szCs w:val="22"/>
          <w:lang w:val="en-US" w:eastAsia="zh-CN"/>
        </w:rPr>
      </w:pPr>
      <w:r>
        <w:rPr>
          <w:noProof/>
        </w:rPr>
        <w:t>5.8.7.2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_Toc199453413 \h </w:instrText>
      </w:r>
      <w:r>
        <w:rPr>
          <w:noProof/>
        </w:rPr>
      </w:r>
      <w:r>
        <w:rPr>
          <w:noProof/>
        </w:rPr>
        <w:fldChar w:fldCharType="separate"/>
      </w:r>
      <w:r>
        <w:rPr>
          <w:noProof/>
        </w:rPr>
        <w:t>406</w:t>
      </w:r>
      <w:r>
        <w:rPr>
          <w:noProof/>
        </w:rPr>
        <w:fldChar w:fldCharType="end"/>
      </w:r>
    </w:p>
    <w:p w14:paraId="391AB981" w14:textId="27007178"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_Toc199453414 \h </w:instrText>
      </w:r>
      <w:r>
        <w:rPr>
          <w:noProof/>
        </w:rPr>
      </w:r>
      <w:r>
        <w:rPr>
          <w:noProof/>
        </w:rPr>
        <w:fldChar w:fldCharType="separate"/>
      </w:r>
      <w:r>
        <w:rPr>
          <w:noProof/>
        </w:rPr>
        <w:t>407</w:t>
      </w:r>
      <w:r>
        <w:rPr>
          <w:noProof/>
        </w:rPr>
        <w:fldChar w:fldCharType="end"/>
      </w:r>
    </w:p>
    <w:p w14:paraId="514B6AE5" w14:textId="5AB8ADA3"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5.8.9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_Toc199453415 \h </w:instrText>
      </w:r>
      <w:r>
        <w:rPr>
          <w:noProof/>
        </w:rPr>
      </w:r>
      <w:r>
        <w:rPr>
          <w:noProof/>
        </w:rPr>
        <w:fldChar w:fldCharType="separate"/>
      </w:r>
      <w:r>
        <w:rPr>
          <w:noProof/>
        </w:rPr>
        <w:t>407</w:t>
      </w:r>
      <w:r>
        <w:rPr>
          <w:noProof/>
        </w:rPr>
        <w:fldChar w:fldCharType="end"/>
      </w:r>
    </w:p>
    <w:p w14:paraId="5550B5A5" w14:textId="3E3D3B55" w:rsidR="003F6EFC" w:rsidRDefault="003F6EFC">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lang w:eastAsia="ja-JP"/>
        </w:rPr>
        <w:t>Nnwdaf_VFLTraining</w:t>
      </w:r>
      <w:r>
        <w:rPr>
          <w:noProof/>
        </w:rPr>
        <w:t xml:space="preserve"> Service API</w:t>
      </w:r>
      <w:r>
        <w:rPr>
          <w:noProof/>
        </w:rPr>
        <w:tab/>
      </w:r>
      <w:r>
        <w:rPr>
          <w:noProof/>
        </w:rPr>
        <w:fldChar w:fldCharType="begin"/>
      </w:r>
      <w:r>
        <w:rPr>
          <w:noProof/>
        </w:rPr>
        <w:instrText xml:space="preserve"> PAGEREF _Toc199453416 \h </w:instrText>
      </w:r>
      <w:r>
        <w:rPr>
          <w:noProof/>
        </w:rPr>
      </w:r>
      <w:r>
        <w:rPr>
          <w:noProof/>
        </w:rPr>
        <w:fldChar w:fldCharType="separate"/>
      </w:r>
      <w:r>
        <w:rPr>
          <w:noProof/>
        </w:rPr>
        <w:t>407</w:t>
      </w:r>
      <w:r>
        <w:rPr>
          <w:noProof/>
        </w:rPr>
        <w:fldChar w:fldCharType="end"/>
      </w:r>
    </w:p>
    <w:p w14:paraId="14556EB5" w14:textId="41142012" w:rsidR="003F6EFC" w:rsidRDefault="003F6EFC">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_Toc199453417 \h </w:instrText>
      </w:r>
      <w:r>
        <w:rPr>
          <w:noProof/>
        </w:rPr>
      </w:r>
      <w:r>
        <w:rPr>
          <w:noProof/>
        </w:rPr>
        <w:fldChar w:fldCharType="separate"/>
      </w:r>
      <w:r>
        <w:rPr>
          <w:noProof/>
        </w:rPr>
        <w:t>407</w:t>
      </w:r>
      <w:r>
        <w:rPr>
          <w:noProof/>
        </w:rPr>
        <w:fldChar w:fldCharType="end"/>
      </w:r>
    </w:p>
    <w:p w14:paraId="2C84E195" w14:textId="0407A9A8" w:rsidR="003F6EFC" w:rsidRDefault="003F6EFC">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_Toc199453418 \h </w:instrText>
      </w:r>
      <w:r>
        <w:rPr>
          <w:noProof/>
        </w:rPr>
      </w:r>
      <w:r>
        <w:rPr>
          <w:noProof/>
        </w:rPr>
        <w:fldChar w:fldCharType="separate"/>
      </w:r>
      <w:r>
        <w:rPr>
          <w:noProof/>
        </w:rPr>
        <w:t>407</w:t>
      </w:r>
      <w:r>
        <w:rPr>
          <w:noProof/>
        </w:rPr>
        <w:fldChar w:fldCharType="end"/>
      </w:r>
    </w:p>
    <w:p w14:paraId="00CEE414" w14:textId="1F74D304" w:rsidR="003F6EFC" w:rsidRDefault="003F6EFC">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_Toc199453419 \h </w:instrText>
      </w:r>
      <w:r>
        <w:rPr>
          <w:noProof/>
        </w:rPr>
      </w:r>
      <w:r>
        <w:rPr>
          <w:noProof/>
        </w:rPr>
        <w:fldChar w:fldCharType="separate"/>
      </w:r>
      <w:r>
        <w:rPr>
          <w:noProof/>
        </w:rPr>
        <w:t>407</w:t>
      </w:r>
      <w:r>
        <w:rPr>
          <w:noProof/>
        </w:rPr>
        <w:fldChar w:fldCharType="end"/>
      </w:r>
    </w:p>
    <w:p w14:paraId="1C1089AB" w14:textId="05FB74E2" w:rsidR="003F6EFC" w:rsidRDefault="003F6EFC">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_Toc199453420 \h </w:instrText>
      </w:r>
      <w:r>
        <w:rPr>
          <w:noProof/>
        </w:rPr>
      </w:r>
      <w:r>
        <w:rPr>
          <w:noProof/>
        </w:rPr>
        <w:fldChar w:fldCharType="separate"/>
      </w:r>
      <w:r>
        <w:rPr>
          <w:noProof/>
        </w:rPr>
        <w:t>408</w:t>
      </w:r>
      <w:r>
        <w:rPr>
          <w:noProof/>
        </w:rPr>
        <w:fldChar w:fldCharType="end"/>
      </w:r>
    </w:p>
    <w:p w14:paraId="417E13A7" w14:textId="44CD49A7" w:rsidR="003F6EFC" w:rsidRDefault="003F6EFC">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_Toc199453421 \h </w:instrText>
      </w:r>
      <w:r>
        <w:rPr>
          <w:noProof/>
        </w:rPr>
      </w:r>
      <w:r>
        <w:rPr>
          <w:noProof/>
        </w:rPr>
        <w:fldChar w:fldCharType="separate"/>
      </w:r>
      <w:r>
        <w:rPr>
          <w:noProof/>
        </w:rPr>
        <w:t>408</w:t>
      </w:r>
      <w:r>
        <w:rPr>
          <w:noProof/>
        </w:rPr>
        <w:fldChar w:fldCharType="end"/>
      </w:r>
    </w:p>
    <w:p w14:paraId="1CC4CB4B" w14:textId="7C686ACA" w:rsidR="003F6EFC" w:rsidRDefault="003F6EFC">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_Toc199453422 \h </w:instrText>
      </w:r>
      <w:r>
        <w:rPr>
          <w:noProof/>
        </w:rPr>
      </w:r>
      <w:r>
        <w:rPr>
          <w:noProof/>
        </w:rPr>
        <w:fldChar w:fldCharType="separate"/>
      </w:r>
      <w:r>
        <w:rPr>
          <w:noProof/>
        </w:rPr>
        <w:t>408</w:t>
      </w:r>
      <w:r>
        <w:rPr>
          <w:noProof/>
        </w:rPr>
        <w:fldChar w:fldCharType="end"/>
      </w:r>
    </w:p>
    <w:p w14:paraId="44B7C154" w14:textId="33C8CE8E" w:rsidR="003F6EFC" w:rsidRDefault="003F6EFC">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_Toc199453423 \h </w:instrText>
      </w:r>
      <w:r>
        <w:rPr>
          <w:noProof/>
        </w:rPr>
      </w:r>
      <w:r>
        <w:rPr>
          <w:noProof/>
        </w:rPr>
        <w:fldChar w:fldCharType="separate"/>
      </w:r>
      <w:r>
        <w:rPr>
          <w:noProof/>
        </w:rPr>
        <w:t>408</w:t>
      </w:r>
      <w:r>
        <w:rPr>
          <w:noProof/>
        </w:rPr>
        <w:fldChar w:fldCharType="end"/>
      </w:r>
    </w:p>
    <w:p w14:paraId="58809F7C" w14:textId="6256894C" w:rsidR="003F6EFC" w:rsidRDefault="003F6EFC">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_Toc199453424 \h </w:instrText>
      </w:r>
      <w:r>
        <w:rPr>
          <w:noProof/>
        </w:rPr>
      </w:r>
      <w:r>
        <w:rPr>
          <w:noProof/>
        </w:rPr>
        <w:fldChar w:fldCharType="separate"/>
      </w:r>
      <w:r>
        <w:rPr>
          <w:noProof/>
        </w:rPr>
        <w:t>408</w:t>
      </w:r>
      <w:r>
        <w:rPr>
          <w:noProof/>
        </w:rPr>
        <w:fldChar w:fldCharType="end"/>
      </w:r>
    </w:p>
    <w:p w14:paraId="59734E6F" w14:textId="53304559" w:rsidR="003F6EFC" w:rsidRDefault="003F6EFC">
      <w:pPr>
        <w:pStyle w:val="TOC4"/>
        <w:rPr>
          <w:rFonts w:asciiTheme="minorHAnsi" w:eastAsiaTheme="minorEastAsia" w:hAnsiTheme="minorHAnsi" w:cstheme="minorBidi"/>
          <w:noProof/>
          <w:kern w:val="2"/>
          <w:sz w:val="21"/>
          <w:szCs w:val="22"/>
          <w:lang w:val="en-US" w:eastAsia="zh-CN"/>
        </w:rPr>
      </w:pPr>
      <w:r>
        <w:rPr>
          <w:noProof/>
        </w:rPr>
        <w:t>5.9.3.1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_Toc199453425 \h </w:instrText>
      </w:r>
      <w:r>
        <w:rPr>
          <w:noProof/>
        </w:rPr>
      </w:r>
      <w:r>
        <w:rPr>
          <w:noProof/>
        </w:rPr>
        <w:fldChar w:fldCharType="separate"/>
      </w:r>
      <w:r>
        <w:rPr>
          <w:noProof/>
        </w:rPr>
        <w:t>408</w:t>
      </w:r>
      <w:r>
        <w:rPr>
          <w:noProof/>
        </w:rPr>
        <w:fldChar w:fldCharType="end"/>
      </w:r>
    </w:p>
    <w:p w14:paraId="3794D1DD" w14:textId="00880163" w:rsidR="003F6EFC" w:rsidRDefault="003F6EFC">
      <w:pPr>
        <w:pStyle w:val="TOC4"/>
        <w:rPr>
          <w:rFonts w:asciiTheme="minorHAnsi" w:eastAsiaTheme="minorEastAsia" w:hAnsiTheme="minorHAnsi" w:cstheme="minorBidi"/>
          <w:noProof/>
          <w:kern w:val="2"/>
          <w:sz w:val="21"/>
          <w:szCs w:val="22"/>
          <w:lang w:val="en-US" w:eastAsia="zh-CN"/>
        </w:rPr>
      </w:pPr>
      <w:r>
        <w:rPr>
          <w:noProof/>
        </w:rPr>
        <w:t>5.9.3.2</w:t>
      </w:r>
      <w:r>
        <w:rPr>
          <w:rFonts w:asciiTheme="minorHAnsi" w:eastAsiaTheme="minorEastAsia" w:hAnsiTheme="minorHAnsi" w:cstheme="minorBidi"/>
          <w:noProof/>
          <w:kern w:val="2"/>
          <w:sz w:val="21"/>
          <w:szCs w:val="22"/>
          <w:lang w:val="en-US" w:eastAsia="zh-CN"/>
        </w:rPr>
        <w:tab/>
      </w:r>
      <w:r>
        <w:rPr>
          <w:noProof/>
        </w:rPr>
        <w:t>Resource: VFL Training Subscriptions</w:t>
      </w:r>
      <w:r>
        <w:rPr>
          <w:noProof/>
        </w:rPr>
        <w:tab/>
      </w:r>
      <w:r>
        <w:rPr>
          <w:noProof/>
        </w:rPr>
        <w:fldChar w:fldCharType="begin"/>
      </w:r>
      <w:r>
        <w:rPr>
          <w:noProof/>
        </w:rPr>
        <w:instrText xml:space="preserve"> PAGEREF _Toc199453426 \h </w:instrText>
      </w:r>
      <w:r>
        <w:rPr>
          <w:noProof/>
        </w:rPr>
      </w:r>
      <w:r>
        <w:rPr>
          <w:noProof/>
        </w:rPr>
        <w:fldChar w:fldCharType="separate"/>
      </w:r>
      <w:r>
        <w:rPr>
          <w:noProof/>
        </w:rPr>
        <w:t>409</w:t>
      </w:r>
      <w:r>
        <w:rPr>
          <w:noProof/>
        </w:rPr>
        <w:fldChar w:fldCharType="end"/>
      </w:r>
    </w:p>
    <w:p w14:paraId="6343E772" w14:textId="5FAEC6E0" w:rsidR="003F6EFC" w:rsidRDefault="003F6EFC">
      <w:pPr>
        <w:pStyle w:val="TOC5"/>
        <w:rPr>
          <w:rFonts w:asciiTheme="minorHAnsi" w:eastAsiaTheme="minorEastAsia" w:hAnsiTheme="minorHAnsi" w:cstheme="minorBidi"/>
          <w:noProof/>
          <w:kern w:val="2"/>
          <w:sz w:val="21"/>
          <w:szCs w:val="22"/>
          <w:lang w:val="en-US" w:eastAsia="zh-CN"/>
        </w:rPr>
      </w:pPr>
      <w:r>
        <w:rPr>
          <w:noProof/>
        </w:rPr>
        <w:t>5.9.3.2.1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_Toc199453427 \h </w:instrText>
      </w:r>
      <w:r>
        <w:rPr>
          <w:noProof/>
        </w:rPr>
      </w:r>
      <w:r>
        <w:rPr>
          <w:noProof/>
        </w:rPr>
        <w:fldChar w:fldCharType="separate"/>
      </w:r>
      <w:r>
        <w:rPr>
          <w:noProof/>
        </w:rPr>
        <w:t>409</w:t>
      </w:r>
      <w:r>
        <w:rPr>
          <w:noProof/>
        </w:rPr>
        <w:fldChar w:fldCharType="end"/>
      </w:r>
    </w:p>
    <w:p w14:paraId="3F12EA4A" w14:textId="696471BA" w:rsidR="003F6EFC" w:rsidRDefault="003F6EFC">
      <w:pPr>
        <w:pStyle w:val="TOC5"/>
        <w:rPr>
          <w:rFonts w:asciiTheme="minorHAnsi" w:eastAsiaTheme="minorEastAsia" w:hAnsiTheme="minorHAnsi" w:cstheme="minorBidi"/>
          <w:noProof/>
          <w:kern w:val="2"/>
          <w:sz w:val="21"/>
          <w:szCs w:val="22"/>
          <w:lang w:val="en-US" w:eastAsia="zh-CN"/>
        </w:rPr>
      </w:pPr>
      <w:r>
        <w:rPr>
          <w:noProof/>
        </w:rPr>
        <w:t>5.9.3.2.2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_Toc199453428 \h </w:instrText>
      </w:r>
      <w:r>
        <w:rPr>
          <w:noProof/>
        </w:rPr>
      </w:r>
      <w:r>
        <w:rPr>
          <w:noProof/>
        </w:rPr>
        <w:fldChar w:fldCharType="separate"/>
      </w:r>
      <w:r>
        <w:rPr>
          <w:noProof/>
        </w:rPr>
        <w:t>409</w:t>
      </w:r>
      <w:r>
        <w:rPr>
          <w:noProof/>
        </w:rPr>
        <w:fldChar w:fldCharType="end"/>
      </w:r>
    </w:p>
    <w:p w14:paraId="53B2E59C" w14:textId="0497B9A5" w:rsidR="003F6EFC" w:rsidRDefault="003F6EFC">
      <w:pPr>
        <w:pStyle w:val="TOC5"/>
        <w:rPr>
          <w:rFonts w:asciiTheme="minorHAnsi" w:eastAsiaTheme="minorEastAsia" w:hAnsiTheme="minorHAnsi" w:cstheme="minorBidi"/>
          <w:noProof/>
          <w:kern w:val="2"/>
          <w:sz w:val="21"/>
          <w:szCs w:val="22"/>
          <w:lang w:val="en-US" w:eastAsia="zh-CN"/>
        </w:rPr>
      </w:pPr>
      <w:r>
        <w:rPr>
          <w:noProof/>
        </w:rPr>
        <w:t>5.9.3.2.3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_Toc199453429 \h </w:instrText>
      </w:r>
      <w:r>
        <w:rPr>
          <w:noProof/>
        </w:rPr>
      </w:r>
      <w:r>
        <w:rPr>
          <w:noProof/>
        </w:rPr>
        <w:fldChar w:fldCharType="separate"/>
      </w:r>
      <w:r>
        <w:rPr>
          <w:noProof/>
        </w:rPr>
        <w:t>409</w:t>
      </w:r>
      <w:r>
        <w:rPr>
          <w:noProof/>
        </w:rPr>
        <w:fldChar w:fldCharType="end"/>
      </w:r>
    </w:p>
    <w:p w14:paraId="111F6B84" w14:textId="68CEF968" w:rsidR="003F6EFC" w:rsidRDefault="003F6EFC">
      <w:pPr>
        <w:pStyle w:val="TOC6"/>
        <w:rPr>
          <w:rFonts w:asciiTheme="minorHAnsi" w:eastAsiaTheme="minorEastAsia" w:hAnsiTheme="minorHAnsi" w:cstheme="minorBidi"/>
          <w:noProof/>
          <w:kern w:val="2"/>
          <w:sz w:val="21"/>
          <w:szCs w:val="22"/>
          <w:lang w:val="en-US" w:eastAsia="zh-CN"/>
        </w:rPr>
      </w:pPr>
      <w:r>
        <w:rPr>
          <w:noProof/>
        </w:rPr>
        <w:t>5.9.3.2.3.1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_Toc199453430 \h </w:instrText>
      </w:r>
      <w:r>
        <w:rPr>
          <w:noProof/>
        </w:rPr>
      </w:r>
      <w:r>
        <w:rPr>
          <w:noProof/>
        </w:rPr>
        <w:fldChar w:fldCharType="separate"/>
      </w:r>
      <w:r>
        <w:rPr>
          <w:noProof/>
        </w:rPr>
        <w:t>409</w:t>
      </w:r>
      <w:r>
        <w:rPr>
          <w:noProof/>
        </w:rPr>
        <w:fldChar w:fldCharType="end"/>
      </w:r>
    </w:p>
    <w:p w14:paraId="7D6C5242" w14:textId="26BA1141" w:rsidR="003F6EFC" w:rsidRDefault="003F6EFC">
      <w:pPr>
        <w:pStyle w:val="TOC5"/>
        <w:rPr>
          <w:rFonts w:asciiTheme="minorHAnsi" w:eastAsiaTheme="minorEastAsia" w:hAnsiTheme="minorHAnsi" w:cstheme="minorBidi"/>
          <w:noProof/>
          <w:kern w:val="2"/>
          <w:sz w:val="21"/>
          <w:szCs w:val="22"/>
          <w:lang w:val="en-US" w:eastAsia="zh-CN"/>
        </w:rPr>
      </w:pPr>
      <w:r>
        <w:rPr>
          <w:noProof/>
        </w:rPr>
        <w:t>5.9.3.2.4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_Toc199453431 \h </w:instrText>
      </w:r>
      <w:r>
        <w:rPr>
          <w:noProof/>
        </w:rPr>
      </w:r>
      <w:r>
        <w:rPr>
          <w:noProof/>
        </w:rPr>
        <w:fldChar w:fldCharType="separate"/>
      </w:r>
      <w:r>
        <w:rPr>
          <w:noProof/>
        </w:rPr>
        <w:t>410</w:t>
      </w:r>
      <w:r>
        <w:rPr>
          <w:noProof/>
        </w:rPr>
        <w:fldChar w:fldCharType="end"/>
      </w:r>
    </w:p>
    <w:p w14:paraId="3F9CADBB" w14:textId="305AE58D" w:rsidR="003F6EFC" w:rsidRDefault="003F6EFC">
      <w:pPr>
        <w:pStyle w:val="TOC4"/>
        <w:rPr>
          <w:rFonts w:asciiTheme="minorHAnsi" w:eastAsiaTheme="minorEastAsia" w:hAnsiTheme="minorHAnsi" w:cstheme="minorBidi"/>
          <w:noProof/>
          <w:kern w:val="2"/>
          <w:sz w:val="21"/>
          <w:szCs w:val="22"/>
          <w:lang w:val="en-US" w:eastAsia="zh-CN"/>
        </w:rPr>
      </w:pPr>
      <w:r>
        <w:rPr>
          <w:noProof/>
        </w:rPr>
        <w:t>5.9.3.3</w:t>
      </w:r>
      <w:r>
        <w:rPr>
          <w:rFonts w:asciiTheme="minorHAnsi" w:eastAsiaTheme="minorEastAsia" w:hAnsiTheme="minorHAnsi" w:cstheme="minorBidi"/>
          <w:noProof/>
          <w:kern w:val="2"/>
          <w:sz w:val="21"/>
          <w:szCs w:val="22"/>
          <w:lang w:val="en-US" w:eastAsia="zh-CN"/>
        </w:rPr>
        <w:tab/>
      </w:r>
      <w:r>
        <w:rPr>
          <w:noProof/>
        </w:rPr>
        <w:t>Resource: Individual VFL Training Subscription</w:t>
      </w:r>
      <w:r>
        <w:rPr>
          <w:noProof/>
        </w:rPr>
        <w:tab/>
      </w:r>
      <w:r>
        <w:rPr>
          <w:noProof/>
        </w:rPr>
        <w:fldChar w:fldCharType="begin"/>
      </w:r>
      <w:r>
        <w:rPr>
          <w:noProof/>
        </w:rPr>
        <w:instrText xml:space="preserve"> PAGEREF _Toc199453432 \h </w:instrText>
      </w:r>
      <w:r>
        <w:rPr>
          <w:noProof/>
        </w:rPr>
      </w:r>
      <w:r>
        <w:rPr>
          <w:noProof/>
        </w:rPr>
        <w:fldChar w:fldCharType="separate"/>
      </w:r>
      <w:r>
        <w:rPr>
          <w:noProof/>
        </w:rPr>
        <w:t>410</w:t>
      </w:r>
      <w:r>
        <w:rPr>
          <w:noProof/>
        </w:rPr>
        <w:fldChar w:fldCharType="end"/>
      </w:r>
    </w:p>
    <w:p w14:paraId="78C1AD3B" w14:textId="7CE17C6E" w:rsidR="003F6EFC" w:rsidRDefault="003F6EFC">
      <w:pPr>
        <w:pStyle w:val="TOC5"/>
        <w:rPr>
          <w:rFonts w:asciiTheme="minorHAnsi" w:eastAsiaTheme="minorEastAsia" w:hAnsiTheme="minorHAnsi" w:cstheme="minorBidi"/>
          <w:noProof/>
          <w:kern w:val="2"/>
          <w:sz w:val="21"/>
          <w:szCs w:val="22"/>
          <w:lang w:val="en-US" w:eastAsia="zh-CN"/>
        </w:rPr>
      </w:pPr>
      <w:r>
        <w:rPr>
          <w:noProof/>
        </w:rPr>
        <w:t>5.9.3.3.1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_Toc199453433 \h </w:instrText>
      </w:r>
      <w:r>
        <w:rPr>
          <w:noProof/>
        </w:rPr>
      </w:r>
      <w:r>
        <w:rPr>
          <w:noProof/>
        </w:rPr>
        <w:fldChar w:fldCharType="separate"/>
      </w:r>
      <w:r>
        <w:rPr>
          <w:noProof/>
        </w:rPr>
        <w:t>410</w:t>
      </w:r>
      <w:r>
        <w:rPr>
          <w:noProof/>
        </w:rPr>
        <w:fldChar w:fldCharType="end"/>
      </w:r>
    </w:p>
    <w:p w14:paraId="391FA985" w14:textId="05BA0FA5" w:rsidR="003F6EFC" w:rsidRDefault="003F6EFC">
      <w:pPr>
        <w:pStyle w:val="TOC5"/>
        <w:rPr>
          <w:rFonts w:asciiTheme="minorHAnsi" w:eastAsiaTheme="minorEastAsia" w:hAnsiTheme="minorHAnsi" w:cstheme="minorBidi"/>
          <w:noProof/>
          <w:kern w:val="2"/>
          <w:sz w:val="21"/>
          <w:szCs w:val="22"/>
          <w:lang w:val="en-US" w:eastAsia="zh-CN"/>
        </w:rPr>
      </w:pPr>
      <w:r>
        <w:rPr>
          <w:noProof/>
        </w:rPr>
        <w:t>5.9.3.3.2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_Toc199453434 \h </w:instrText>
      </w:r>
      <w:r>
        <w:rPr>
          <w:noProof/>
        </w:rPr>
      </w:r>
      <w:r>
        <w:rPr>
          <w:noProof/>
        </w:rPr>
        <w:fldChar w:fldCharType="separate"/>
      </w:r>
      <w:r>
        <w:rPr>
          <w:noProof/>
        </w:rPr>
        <w:t>410</w:t>
      </w:r>
      <w:r>
        <w:rPr>
          <w:noProof/>
        </w:rPr>
        <w:fldChar w:fldCharType="end"/>
      </w:r>
    </w:p>
    <w:p w14:paraId="0EB71B2D" w14:textId="4942F1E7" w:rsidR="003F6EFC" w:rsidRDefault="003F6EFC">
      <w:pPr>
        <w:pStyle w:val="TOC5"/>
        <w:rPr>
          <w:rFonts w:asciiTheme="minorHAnsi" w:eastAsiaTheme="minorEastAsia" w:hAnsiTheme="minorHAnsi" w:cstheme="minorBidi"/>
          <w:noProof/>
          <w:kern w:val="2"/>
          <w:sz w:val="21"/>
          <w:szCs w:val="22"/>
          <w:lang w:val="en-US" w:eastAsia="zh-CN"/>
        </w:rPr>
      </w:pPr>
      <w:r>
        <w:rPr>
          <w:noProof/>
        </w:rPr>
        <w:t>5.9.3.3.3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_Toc199453435 \h </w:instrText>
      </w:r>
      <w:r>
        <w:rPr>
          <w:noProof/>
        </w:rPr>
      </w:r>
      <w:r>
        <w:rPr>
          <w:noProof/>
        </w:rPr>
        <w:fldChar w:fldCharType="separate"/>
      </w:r>
      <w:r>
        <w:rPr>
          <w:noProof/>
        </w:rPr>
        <w:t>410</w:t>
      </w:r>
      <w:r>
        <w:rPr>
          <w:noProof/>
        </w:rPr>
        <w:fldChar w:fldCharType="end"/>
      </w:r>
    </w:p>
    <w:p w14:paraId="219A483E" w14:textId="309B603C" w:rsidR="003F6EFC" w:rsidRDefault="003F6EFC">
      <w:pPr>
        <w:pStyle w:val="TOC6"/>
        <w:rPr>
          <w:rFonts w:asciiTheme="minorHAnsi" w:eastAsiaTheme="minorEastAsia" w:hAnsiTheme="minorHAnsi" w:cstheme="minorBidi"/>
          <w:noProof/>
          <w:kern w:val="2"/>
          <w:sz w:val="21"/>
          <w:szCs w:val="22"/>
          <w:lang w:val="en-US" w:eastAsia="zh-CN"/>
        </w:rPr>
      </w:pPr>
      <w:r>
        <w:rPr>
          <w:noProof/>
        </w:rPr>
        <w:t>5.9.3.3.3.1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_Toc199453436 \h </w:instrText>
      </w:r>
      <w:r>
        <w:rPr>
          <w:noProof/>
        </w:rPr>
      </w:r>
      <w:r>
        <w:rPr>
          <w:noProof/>
        </w:rPr>
        <w:fldChar w:fldCharType="separate"/>
      </w:r>
      <w:r>
        <w:rPr>
          <w:noProof/>
        </w:rPr>
        <w:t>410</w:t>
      </w:r>
      <w:r>
        <w:rPr>
          <w:noProof/>
        </w:rPr>
        <w:fldChar w:fldCharType="end"/>
      </w:r>
    </w:p>
    <w:p w14:paraId="36D24386" w14:textId="3058B6F6" w:rsidR="003F6EFC" w:rsidRDefault="003F6EFC">
      <w:pPr>
        <w:pStyle w:val="TOC6"/>
        <w:rPr>
          <w:rFonts w:asciiTheme="minorHAnsi" w:eastAsiaTheme="minorEastAsia" w:hAnsiTheme="minorHAnsi" w:cstheme="minorBidi"/>
          <w:noProof/>
          <w:kern w:val="2"/>
          <w:sz w:val="21"/>
          <w:szCs w:val="22"/>
          <w:lang w:val="en-US" w:eastAsia="zh-CN"/>
        </w:rPr>
      </w:pPr>
      <w:r>
        <w:rPr>
          <w:noProof/>
        </w:rPr>
        <w:t>5.9.3.3.3.2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_Toc199453437 \h </w:instrText>
      </w:r>
      <w:r>
        <w:rPr>
          <w:noProof/>
        </w:rPr>
      </w:r>
      <w:r>
        <w:rPr>
          <w:noProof/>
        </w:rPr>
        <w:fldChar w:fldCharType="separate"/>
      </w:r>
      <w:r>
        <w:rPr>
          <w:noProof/>
        </w:rPr>
        <w:t>411</w:t>
      </w:r>
      <w:r>
        <w:rPr>
          <w:noProof/>
        </w:rPr>
        <w:fldChar w:fldCharType="end"/>
      </w:r>
    </w:p>
    <w:p w14:paraId="3B752CB8" w14:textId="505EF3FA" w:rsidR="003F6EFC" w:rsidRDefault="003F6EFC">
      <w:pPr>
        <w:pStyle w:val="TOC5"/>
        <w:rPr>
          <w:rFonts w:asciiTheme="minorHAnsi" w:eastAsiaTheme="minorEastAsia" w:hAnsiTheme="minorHAnsi" w:cstheme="minorBidi"/>
          <w:noProof/>
          <w:kern w:val="2"/>
          <w:sz w:val="21"/>
          <w:szCs w:val="22"/>
          <w:lang w:val="en-US" w:eastAsia="zh-CN"/>
        </w:rPr>
      </w:pPr>
      <w:r>
        <w:rPr>
          <w:noProof/>
        </w:rPr>
        <w:t>5.9.3.3.4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_Toc199453438 \h </w:instrText>
      </w:r>
      <w:r>
        <w:rPr>
          <w:noProof/>
        </w:rPr>
      </w:r>
      <w:r>
        <w:rPr>
          <w:noProof/>
        </w:rPr>
        <w:fldChar w:fldCharType="separate"/>
      </w:r>
      <w:r>
        <w:rPr>
          <w:noProof/>
        </w:rPr>
        <w:t>412</w:t>
      </w:r>
      <w:r>
        <w:rPr>
          <w:noProof/>
        </w:rPr>
        <w:fldChar w:fldCharType="end"/>
      </w:r>
    </w:p>
    <w:p w14:paraId="19415BCC" w14:textId="6F71FE03"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5.9.4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_Toc199453439 \h </w:instrText>
      </w:r>
      <w:r>
        <w:rPr>
          <w:noProof/>
        </w:rPr>
      </w:r>
      <w:r>
        <w:rPr>
          <w:noProof/>
        </w:rPr>
        <w:fldChar w:fldCharType="separate"/>
      </w:r>
      <w:r>
        <w:rPr>
          <w:noProof/>
        </w:rPr>
        <w:t>412</w:t>
      </w:r>
      <w:r>
        <w:rPr>
          <w:noProof/>
        </w:rPr>
        <w:fldChar w:fldCharType="end"/>
      </w:r>
    </w:p>
    <w:p w14:paraId="7B6B697D" w14:textId="24BEC0A3" w:rsidR="003F6EFC" w:rsidRDefault="003F6EFC">
      <w:pPr>
        <w:pStyle w:val="TOC3"/>
        <w:rPr>
          <w:rFonts w:asciiTheme="minorHAnsi" w:eastAsiaTheme="minorEastAsia" w:hAnsiTheme="minorHAnsi" w:cstheme="minorBidi"/>
          <w:noProof/>
          <w:kern w:val="2"/>
          <w:sz w:val="21"/>
          <w:szCs w:val="22"/>
          <w:lang w:val="en-US" w:eastAsia="zh-CN"/>
        </w:rPr>
      </w:pPr>
      <w:r>
        <w:rPr>
          <w:noProof/>
        </w:rPr>
        <w:t>5.9.5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_Toc199453440 \h </w:instrText>
      </w:r>
      <w:r>
        <w:rPr>
          <w:noProof/>
        </w:rPr>
      </w:r>
      <w:r>
        <w:rPr>
          <w:noProof/>
        </w:rPr>
        <w:fldChar w:fldCharType="separate"/>
      </w:r>
      <w:r>
        <w:rPr>
          <w:noProof/>
        </w:rPr>
        <w:t>413</w:t>
      </w:r>
      <w:r>
        <w:rPr>
          <w:noProof/>
        </w:rPr>
        <w:fldChar w:fldCharType="end"/>
      </w:r>
    </w:p>
    <w:p w14:paraId="62BACC15" w14:textId="06992142" w:rsidR="003F6EFC" w:rsidRDefault="003F6EFC">
      <w:pPr>
        <w:pStyle w:val="TOC4"/>
        <w:rPr>
          <w:rFonts w:asciiTheme="minorHAnsi" w:eastAsiaTheme="minorEastAsia" w:hAnsiTheme="minorHAnsi" w:cstheme="minorBidi"/>
          <w:noProof/>
          <w:kern w:val="2"/>
          <w:sz w:val="21"/>
          <w:szCs w:val="22"/>
          <w:lang w:val="en-US" w:eastAsia="zh-CN"/>
        </w:rPr>
      </w:pPr>
      <w:r>
        <w:rPr>
          <w:noProof/>
        </w:rPr>
        <w:t>5.9.5.1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_Toc199453441 \h </w:instrText>
      </w:r>
      <w:r>
        <w:rPr>
          <w:noProof/>
        </w:rPr>
      </w:r>
      <w:r>
        <w:rPr>
          <w:noProof/>
        </w:rPr>
        <w:fldChar w:fldCharType="separate"/>
      </w:r>
      <w:r>
        <w:rPr>
          <w:noProof/>
        </w:rPr>
        <w:t>413</w:t>
      </w:r>
      <w:r>
        <w:rPr>
          <w:noProof/>
        </w:rPr>
        <w:fldChar w:fldCharType="end"/>
      </w:r>
    </w:p>
    <w:p w14:paraId="33341C38" w14:textId="09CBC4A3" w:rsidR="003F6EFC" w:rsidRDefault="003F6EFC">
      <w:pPr>
        <w:pStyle w:val="TOC4"/>
        <w:rPr>
          <w:rFonts w:asciiTheme="minorHAnsi" w:eastAsiaTheme="minorEastAsia" w:hAnsiTheme="minorHAnsi" w:cstheme="minorBidi"/>
          <w:noProof/>
          <w:kern w:val="2"/>
          <w:sz w:val="21"/>
          <w:szCs w:val="22"/>
          <w:lang w:val="en-US" w:eastAsia="zh-CN"/>
        </w:rPr>
      </w:pPr>
      <w:r>
        <w:rPr>
          <w:noProof/>
        </w:rPr>
        <w:t>5.9.5.2</w:t>
      </w:r>
      <w:r>
        <w:rPr>
          <w:rFonts w:asciiTheme="minorHAnsi" w:eastAsiaTheme="minorEastAsia" w:hAnsiTheme="minorHAnsi" w:cstheme="minorBidi"/>
          <w:noProof/>
          <w:kern w:val="2"/>
          <w:sz w:val="21"/>
          <w:szCs w:val="22"/>
          <w:lang w:val="en-US" w:eastAsia="zh-CN"/>
        </w:rPr>
        <w:tab/>
      </w:r>
      <w:r>
        <w:rPr>
          <w:noProof/>
        </w:rPr>
        <w:t xml:space="preserve">VFL </w:t>
      </w:r>
      <w:r w:rsidRPr="00D64295">
        <w:rPr>
          <w:noProof/>
          <w:lang w:val="en-US"/>
        </w:rPr>
        <w:t>Training Notification</w:t>
      </w:r>
      <w:r>
        <w:rPr>
          <w:noProof/>
        </w:rPr>
        <w:tab/>
      </w:r>
      <w:r>
        <w:rPr>
          <w:noProof/>
        </w:rPr>
        <w:fldChar w:fldCharType="begin"/>
      </w:r>
      <w:r>
        <w:rPr>
          <w:noProof/>
        </w:rPr>
        <w:instrText xml:space="preserve"> PAGEREF _Toc199453442 \h </w:instrText>
      </w:r>
      <w:r>
        <w:rPr>
          <w:noProof/>
        </w:rPr>
      </w:r>
      <w:r>
        <w:rPr>
          <w:noProof/>
        </w:rPr>
        <w:fldChar w:fldCharType="separate"/>
      </w:r>
      <w:r>
        <w:rPr>
          <w:noProof/>
        </w:rPr>
        <w:t>413</w:t>
      </w:r>
      <w:r>
        <w:rPr>
          <w:noProof/>
        </w:rPr>
        <w:fldChar w:fldCharType="end"/>
      </w:r>
    </w:p>
    <w:p w14:paraId="712B5AF8" w14:textId="53C5433F" w:rsidR="003F6EFC" w:rsidRDefault="003F6EFC">
      <w:pPr>
        <w:pStyle w:val="TOC5"/>
        <w:rPr>
          <w:rFonts w:asciiTheme="minorHAnsi" w:eastAsiaTheme="minorEastAsia" w:hAnsiTheme="minorHAnsi" w:cstheme="minorBidi"/>
          <w:noProof/>
          <w:kern w:val="2"/>
          <w:sz w:val="21"/>
          <w:szCs w:val="22"/>
          <w:lang w:val="en-US" w:eastAsia="zh-CN"/>
        </w:rPr>
      </w:pPr>
      <w:r>
        <w:rPr>
          <w:noProof/>
        </w:rPr>
        <w:t>5.9.5.2.1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_Toc199453443 \h </w:instrText>
      </w:r>
      <w:r>
        <w:rPr>
          <w:noProof/>
        </w:rPr>
      </w:r>
      <w:r>
        <w:rPr>
          <w:noProof/>
        </w:rPr>
        <w:fldChar w:fldCharType="separate"/>
      </w:r>
      <w:r>
        <w:rPr>
          <w:noProof/>
        </w:rPr>
        <w:t>413</w:t>
      </w:r>
      <w:r>
        <w:rPr>
          <w:noProof/>
        </w:rPr>
        <w:fldChar w:fldCharType="end"/>
      </w:r>
    </w:p>
    <w:p w14:paraId="274DD900" w14:textId="7FA2E0D3" w:rsidR="003F6EFC" w:rsidRDefault="003F6EFC">
      <w:pPr>
        <w:pStyle w:val="TOC5"/>
        <w:rPr>
          <w:rFonts w:asciiTheme="minorHAnsi" w:eastAsiaTheme="minorEastAsia" w:hAnsiTheme="minorHAnsi" w:cstheme="minorBidi"/>
          <w:noProof/>
          <w:kern w:val="2"/>
          <w:sz w:val="21"/>
          <w:szCs w:val="22"/>
          <w:lang w:val="en-US" w:eastAsia="zh-CN"/>
        </w:rPr>
      </w:pPr>
      <w:r>
        <w:rPr>
          <w:noProof/>
        </w:rPr>
        <w:t>5.9.5.2.2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_Toc199453444 \h </w:instrText>
      </w:r>
      <w:r>
        <w:rPr>
          <w:noProof/>
        </w:rPr>
      </w:r>
      <w:r>
        <w:rPr>
          <w:noProof/>
        </w:rPr>
        <w:fldChar w:fldCharType="separate"/>
      </w:r>
      <w:r>
        <w:rPr>
          <w:noProof/>
        </w:rPr>
        <w:t>413</w:t>
      </w:r>
      <w:r>
        <w:rPr>
          <w:noProof/>
        </w:rPr>
        <w:fldChar w:fldCharType="end"/>
      </w:r>
    </w:p>
    <w:p w14:paraId="708AA70B" w14:textId="52468B0E" w:rsidR="003F6EFC" w:rsidRDefault="003F6EFC">
      <w:pPr>
        <w:pStyle w:val="TOC5"/>
        <w:rPr>
          <w:rFonts w:asciiTheme="minorHAnsi" w:eastAsiaTheme="minorEastAsia" w:hAnsiTheme="minorHAnsi" w:cstheme="minorBidi"/>
          <w:noProof/>
          <w:kern w:val="2"/>
          <w:sz w:val="21"/>
          <w:szCs w:val="22"/>
          <w:lang w:val="en-US" w:eastAsia="zh-CN"/>
        </w:rPr>
      </w:pPr>
      <w:r>
        <w:rPr>
          <w:noProof/>
        </w:rPr>
        <w:t>5.9.5.2.3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_Toc199453445 \h </w:instrText>
      </w:r>
      <w:r>
        <w:rPr>
          <w:noProof/>
        </w:rPr>
      </w:r>
      <w:r>
        <w:rPr>
          <w:noProof/>
        </w:rPr>
        <w:fldChar w:fldCharType="separate"/>
      </w:r>
      <w:r>
        <w:rPr>
          <w:noProof/>
        </w:rPr>
        <w:t>413</w:t>
      </w:r>
      <w:r>
        <w:rPr>
          <w:noProof/>
        </w:rPr>
        <w:fldChar w:fldCharType="end"/>
      </w:r>
    </w:p>
    <w:p w14:paraId="12374D3B" w14:textId="4CA8DF5C" w:rsidR="003F6EFC" w:rsidRDefault="003F6EFC">
      <w:pPr>
        <w:pStyle w:val="TOC6"/>
        <w:rPr>
          <w:rFonts w:asciiTheme="minorHAnsi" w:eastAsiaTheme="minorEastAsia" w:hAnsiTheme="minorHAnsi" w:cstheme="minorBidi"/>
          <w:noProof/>
          <w:kern w:val="2"/>
          <w:sz w:val="21"/>
          <w:szCs w:val="22"/>
          <w:lang w:val="en-US" w:eastAsia="zh-CN"/>
        </w:rPr>
      </w:pPr>
      <w:r>
        <w:rPr>
          <w:noProof/>
        </w:rPr>
        <w:t>5.9.5.2.3.1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_Toc199453446 \h </w:instrText>
      </w:r>
      <w:r>
        <w:rPr>
          <w:noProof/>
        </w:rPr>
      </w:r>
      <w:r>
        <w:rPr>
          <w:noProof/>
        </w:rPr>
        <w:fldChar w:fldCharType="separate"/>
      </w:r>
      <w:r>
        <w:rPr>
          <w:noProof/>
        </w:rPr>
        <w:t>413</w:t>
      </w:r>
      <w:r>
        <w:rPr>
          <w:noProof/>
        </w:rPr>
        <w:fldChar w:fldCharType="end"/>
      </w:r>
    </w:p>
    <w:p w14:paraId="6E9A8A33" w14:textId="06B8B97A" w:rsidR="003F6EFC" w:rsidRDefault="003F6EFC">
      <w:pPr>
        <w:pStyle w:val="TOC3"/>
        <w:rPr>
          <w:rFonts w:asciiTheme="minorHAnsi" w:eastAsiaTheme="minorEastAsia" w:hAnsiTheme="minorHAnsi" w:cstheme="minorBidi"/>
          <w:noProof/>
          <w:kern w:val="2"/>
          <w:sz w:val="21"/>
          <w:szCs w:val="22"/>
          <w:lang w:val="en-US" w:eastAsia="zh-CN"/>
        </w:rPr>
      </w:pPr>
      <w:r>
        <w:rPr>
          <w:noProof/>
        </w:rPr>
        <w:t>5.9.6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_Toc199453447 \h </w:instrText>
      </w:r>
      <w:r>
        <w:rPr>
          <w:noProof/>
        </w:rPr>
      </w:r>
      <w:r>
        <w:rPr>
          <w:noProof/>
        </w:rPr>
        <w:fldChar w:fldCharType="separate"/>
      </w:r>
      <w:r>
        <w:rPr>
          <w:noProof/>
        </w:rPr>
        <w:t>414</w:t>
      </w:r>
      <w:r>
        <w:rPr>
          <w:noProof/>
        </w:rPr>
        <w:fldChar w:fldCharType="end"/>
      </w:r>
    </w:p>
    <w:p w14:paraId="39B4C874" w14:textId="66CCA312" w:rsidR="003F6EFC" w:rsidRDefault="003F6EFC">
      <w:pPr>
        <w:pStyle w:val="TOC4"/>
        <w:rPr>
          <w:rFonts w:asciiTheme="minorHAnsi" w:eastAsiaTheme="minorEastAsia" w:hAnsiTheme="minorHAnsi" w:cstheme="minorBidi"/>
          <w:noProof/>
          <w:kern w:val="2"/>
          <w:sz w:val="21"/>
          <w:szCs w:val="22"/>
          <w:lang w:val="en-US" w:eastAsia="zh-CN"/>
        </w:rPr>
      </w:pPr>
      <w:r>
        <w:rPr>
          <w:noProof/>
        </w:rPr>
        <w:t>5.9.6.1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_Toc199453448 \h </w:instrText>
      </w:r>
      <w:r>
        <w:rPr>
          <w:noProof/>
        </w:rPr>
      </w:r>
      <w:r>
        <w:rPr>
          <w:noProof/>
        </w:rPr>
        <w:fldChar w:fldCharType="separate"/>
      </w:r>
      <w:r>
        <w:rPr>
          <w:noProof/>
        </w:rPr>
        <w:t>414</w:t>
      </w:r>
      <w:r>
        <w:rPr>
          <w:noProof/>
        </w:rPr>
        <w:fldChar w:fldCharType="end"/>
      </w:r>
    </w:p>
    <w:p w14:paraId="677AE2C7" w14:textId="62EE3507" w:rsidR="003F6EFC" w:rsidRDefault="003F6EFC">
      <w:pPr>
        <w:pStyle w:val="TOC4"/>
        <w:rPr>
          <w:rFonts w:asciiTheme="minorHAnsi" w:eastAsiaTheme="minorEastAsia" w:hAnsiTheme="minorHAnsi" w:cstheme="minorBidi"/>
          <w:noProof/>
          <w:kern w:val="2"/>
          <w:sz w:val="21"/>
          <w:szCs w:val="22"/>
          <w:lang w:val="en-US" w:eastAsia="zh-CN"/>
        </w:rPr>
      </w:pPr>
      <w:r w:rsidRPr="00D64295">
        <w:rPr>
          <w:noProof/>
          <w:lang w:val="en-US"/>
        </w:rPr>
        <w:t>5.9.6.2</w:t>
      </w:r>
      <w:r>
        <w:rPr>
          <w:rFonts w:asciiTheme="minorHAnsi" w:eastAsiaTheme="minorEastAsia" w:hAnsiTheme="minorHAnsi" w:cstheme="minorBidi"/>
          <w:noProof/>
          <w:kern w:val="2"/>
          <w:sz w:val="21"/>
          <w:szCs w:val="22"/>
          <w:lang w:val="en-US" w:eastAsia="zh-CN"/>
        </w:rPr>
        <w:tab/>
      </w:r>
      <w:r w:rsidRPr="00D64295">
        <w:rPr>
          <w:noProof/>
          <w:lang w:val="en-US"/>
        </w:rPr>
        <w:t>Structured data types</w:t>
      </w:r>
      <w:r>
        <w:rPr>
          <w:noProof/>
        </w:rPr>
        <w:tab/>
      </w:r>
      <w:r>
        <w:rPr>
          <w:noProof/>
        </w:rPr>
        <w:fldChar w:fldCharType="begin"/>
      </w:r>
      <w:r>
        <w:rPr>
          <w:noProof/>
        </w:rPr>
        <w:instrText xml:space="preserve"> PAGEREF _Toc199453449 \h </w:instrText>
      </w:r>
      <w:r>
        <w:rPr>
          <w:noProof/>
        </w:rPr>
      </w:r>
      <w:r>
        <w:rPr>
          <w:noProof/>
        </w:rPr>
        <w:fldChar w:fldCharType="separate"/>
      </w:r>
      <w:r>
        <w:rPr>
          <w:noProof/>
        </w:rPr>
        <w:t>415</w:t>
      </w:r>
      <w:r>
        <w:rPr>
          <w:noProof/>
        </w:rPr>
        <w:fldChar w:fldCharType="end"/>
      </w:r>
    </w:p>
    <w:p w14:paraId="705AE7EC" w14:textId="526D59B5" w:rsidR="003F6EFC" w:rsidRDefault="003F6EFC">
      <w:pPr>
        <w:pStyle w:val="TOC5"/>
        <w:rPr>
          <w:rFonts w:asciiTheme="minorHAnsi" w:eastAsiaTheme="minorEastAsia" w:hAnsiTheme="minorHAnsi" w:cstheme="minorBidi"/>
          <w:noProof/>
          <w:kern w:val="2"/>
          <w:sz w:val="21"/>
          <w:szCs w:val="22"/>
          <w:lang w:val="en-US" w:eastAsia="zh-CN"/>
        </w:rPr>
      </w:pPr>
      <w:r>
        <w:rPr>
          <w:noProof/>
        </w:rPr>
        <w:t>5.9.6.2.1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_Toc199453450 \h </w:instrText>
      </w:r>
      <w:r>
        <w:rPr>
          <w:noProof/>
        </w:rPr>
      </w:r>
      <w:r>
        <w:rPr>
          <w:noProof/>
        </w:rPr>
        <w:fldChar w:fldCharType="separate"/>
      </w:r>
      <w:r>
        <w:rPr>
          <w:noProof/>
        </w:rPr>
        <w:t>415</w:t>
      </w:r>
      <w:r>
        <w:rPr>
          <w:noProof/>
        </w:rPr>
        <w:fldChar w:fldCharType="end"/>
      </w:r>
    </w:p>
    <w:p w14:paraId="6A803DB2" w14:textId="2A8BA78E" w:rsidR="003F6EFC" w:rsidRDefault="003F6EFC">
      <w:pPr>
        <w:pStyle w:val="TOC5"/>
        <w:rPr>
          <w:rFonts w:asciiTheme="minorHAnsi" w:eastAsiaTheme="minorEastAsia" w:hAnsiTheme="minorHAnsi" w:cstheme="minorBidi"/>
          <w:noProof/>
          <w:kern w:val="2"/>
          <w:sz w:val="21"/>
          <w:szCs w:val="22"/>
          <w:lang w:val="en-US" w:eastAsia="zh-CN"/>
        </w:rPr>
      </w:pPr>
      <w:r>
        <w:rPr>
          <w:noProof/>
        </w:rPr>
        <w:t>5.9.6.2.2</w:t>
      </w:r>
      <w:r>
        <w:rPr>
          <w:rFonts w:asciiTheme="minorHAnsi" w:eastAsiaTheme="minorEastAsia" w:hAnsiTheme="minorHAnsi" w:cstheme="minorBidi"/>
          <w:noProof/>
          <w:kern w:val="2"/>
          <w:sz w:val="21"/>
          <w:szCs w:val="22"/>
          <w:lang w:val="en-US" w:eastAsia="zh-CN"/>
        </w:rPr>
        <w:tab/>
      </w:r>
      <w:r>
        <w:rPr>
          <w:noProof/>
        </w:rPr>
        <w:t>Type VflTrainingSub</w:t>
      </w:r>
      <w:r>
        <w:rPr>
          <w:noProof/>
          <w:lang w:eastAsia="zh-CN"/>
        </w:rPr>
        <w:t>s</w:t>
      </w:r>
      <w:r>
        <w:rPr>
          <w:noProof/>
        </w:rPr>
        <w:tab/>
      </w:r>
      <w:r>
        <w:rPr>
          <w:noProof/>
        </w:rPr>
        <w:fldChar w:fldCharType="begin"/>
      </w:r>
      <w:r>
        <w:rPr>
          <w:noProof/>
        </w:rPr>
        <w:instrText xml:space="preserve"> PAGEREF _T</w:instrText>
      </w:r>
      <w:r>
        <w:rPr>
          <w:noProof/>
        </w:rPr>
        <w:lastRenderedPageBreak/>
        <w:instrText xml:space="preserve">oc199453451 \h </w:instrText>
      </w:r>
      <w:r>
        <w:rPr>
          <w:noProof/>
        </w:rPr>
      </w:r>
      <w:r>
        <w:rPr>
          <w:noProof/>
        </w:rPr>
        <w:fldChar w:fldCharType="separate"/>
      </w:r>
      <w:r>
        <w:rPr>
          <w:noProof/>
        </w:rPr>
        <w:t>416</w:t>
      </w:r>
      <w:r>
        <w:rPr>
          <w:noProof/>
        </w:rPr>
        <w:fldChar w:fldCharType="end"/>
      </w:r>
    </w:p>
    <w:p w14:paraId="54CBC455" w14:textId="2F76BD0B" w:rsidR="003F6EFC" w:rsidRDefault="003F6EFC">
      <w:pPr>
        <w:pStyle w:val="TOC5"/>
        <w:rPr>
          <w:rFonts w:asciiTheme="minorHAnsi" w:eastAsiaTheme="minorEastAsia" w:hAnsiTheme="minorHAnsi" w:cstheme="minorBidi"/>
          <w:noProof/>
          <w:kern w:val="2"/>
          <w:sz w:val="21"/>
          <w:szCs w:val="22"/>
          <w:lang w:val="en-US" w:eastAsia="zh-CN"/>
        </w:rPr>
      </w:pPr>
      <w:r>
        <w:rPr>
          <w:noProof/>
        </w:rPr>
        <w:t>5.9.6.2.3</w:t>
      </w:r>
      <w:r>
        <w:rPr>
          <w:rFonts w:asciiTheme="minorHAnsi" w:eastAsiaTheme="minorEastAsia" w:hAnsiTheme="minorHAnsi" w:cstheme="minorBidi"/>
          <w:noProof/>
          <w:kern w:val="2"/>
          <w:sz w:val="21"/>
          <w:szCs w:val="22"/>
          <w:lang w:val="en-US" w:eastAsia="zh-CN"/>
        </w:rPr>
        <w:tab/>
      </w:r>
      <w:r>
        <w:rPr>
          <w:noProof/>
        </w:rPr>
        <w:t>Type VflTrainingSub</w:t>
      </w:r>
      <w:r>
        <w:rPr>
          <w:noProof/>
        </w:rPr>
        <w:tab/>
      </w:r>
      <w:r>
        <w:rPr>
          <w:noProof/>
        </w:rPr>
        <w:fldChar w:fldCharType="begin"/>
      </w:r>
      <w:r>
        <w:rPr>
          <w:noProof/>
        </w:rPr>
        <w:instrText xml:space="preserve"> PAGEREF _Toc199453452 \h </w:instrText>
      </w:r>
      <w:r>
        <w:rPr>
          <w:noProof/>
        </w:rPr>
      </w:r>
      <w:r>
        <w:rPr>
          <w:noProof/>
        </w:rPr>
        <w:fldChar w:fldCharType="separate"/>
      </w:r>
      <w:r>
        <w:rPr>
          <w:noProof/>
        </w:rPr>
        <w:t>417</w:t>
      </w:r>
      <w:r>
        <w:rPr>
          <w:noProof/>
        </w:rPr>
        <w:fldChar w:fldCharType="end"/>
      </w:r>
    </w:p>
    <w:p w14:paraId="2837D596" w14:textId="267119E2" w:rsidR="003F6EFC" w:rsidRDefault="003F6EFC">
      <w:pPr>
        <w:pStyle w:val="TOC5"/>
        <w:rPr>
          <w:rFonts w:asciiTheme="minorHAnsi" w:eastAsiaTheme="minorEastAsia" w:hAnsiTheme="minorHAnsi" w:cstheme="minorBidi"/>
          <w:noProof/>
          <w:kern w:val="2"/>
          <w:sz w:val="21"/>
          <w:szCs w:val="22"/>
          <w:lang w:val="en-US" w:eastAsia="zh-CN"/>
        </w:rPr>
      </w:pPr>
      <w:r>
        <w:rPr>
          <w:noProof/>
        </w:rPr>
        <w:t>5.9.6.2.4</w:t>
      </w:r>
      <w:r>
        <w:rPr>
          <w:rFonts w:asciiTheme="minorHAnsi" w:eastAsiaTheme="minorEastAsia" w:hAnsiTheme="minorHAnsi" w:cstheme="minorBidi"/>
          <w:noProof/>
          <w:kern w:val="2"/>
          <w:sz w:val="21"/>
          <w:szCs w:val="22"/>
          <w:lang w:val="en-US" w:eastAsia="zh-CN"/>
        </w:rPr>
        <w:tab/>
      </w:r>
      <w:r>
        <w:rPr>
          <w:noProof/>
        </w:rPr>
        <w:t>Type Vfl</w:t>
      </w:r>
      <w:r w:rsidRPr="00D64295">
        <w:rPr>
          <w:rFonts w:eastAsia="等线"/>
          <w:noProof/>
        </w:rPr>
        <w:t>CheckpointInfo</w:t>
      </w:r>
      <w:r>
        <w:rPr>
          <w:noProof/>
        </w:rPr>
        <w:tab/>
      </w:r>
      <w:r>
        <w:rPr>
          <w:noProof/>
        </w:rPr>
        <w:fldChar w:fldCharType="begin"/>
      </w:r>
      <w:r>
        <w:rPr>
          <w:noProof/>
        </w:rPr>
        <w:instrText xml:space="preserve"> PAGEREF _Toc199453453 \h </w:instrText>
      </w:r>
      <w:r>
        <w:rPr>
          <w:noProof/>
        </w:rPr>
      </w:r>
      <w:r>
        <w:rPr>
          <w:noProof/>
        </w:rPr>
        <w:fldChar w:fldCharType="separate"/>
      </w:r>
      <w:r>
        <w:rPr>
          <w:noProof/>
        </w:rPr>
        <w:t>418</w:t>
      </w:r>
      <w:r>
        <w:rPr>
          <w:noProof/>
        </w:rPr>
        <w:fldChar w:fldCharType="end"/>
      </w:r>
    </w:p>
    <w:p w14:paraId="010993C4" w14:textId="7955907C" w:rsidR="003F6EFC" w:rsidRDefault="003F6EFC">
      <w:pPr>
        <w:pStyle w:val="TOC5"/>
        <w:rPr>
          <w:rFonts w:asciiTheme="minorHAnsi" w:eastAsiaTheme="minorEastAsia" w:hAnsiTheme="minorHAnsi" w:cstheme="minorBidi"/>
          <w:noProof/>
          <w:kern w:val="2"/>
          <w:sz w:val="21"/>
          <w:szCs w:val="22"/>
          <w:lang w:val="en-US" w:eastAsia="zh-CN"/>
        </w:rPr>
      </w:pPr>
      <w:r>
        <w:rPr>
          <w:noProof/>
        </w:rPr>
        <w:t>5.9.6.2.6</w:t>
      </w:r>
      <w:r>
        <w:rPr>
          <w:rFonts w:asciiTheme="minorHAnsi" w:eastAsiaTheme="minorEastAsia" w:hAnsiTheme="minorHAnsi" w:cstheme="minorBidi"/>
          <w:noProof/>
          <w:kern w:val="2"/>
          <w:sz w:val="21"/>
          <w:szCs w:val="22"/>
          <w:lang w:val="en-US" w:eastAsia="zh-CN"/>
        </w:rPr>
        <w:tab/>
      </w:r>
      <w:r>
        <w:rPr>
          <w:noProof/>
        </w:rPr>
        <w:t>Type VflTrainingNotify</w:t>
      </w:r>
      <w:r>
        <w:rPr>
          <w:noProof/>
        </w:rPr>
        <w:tab/>
      </w:r>
      <w:r>
        <w:rPr>
          <w:noProof/>
        </w:rPr>
        <w:fldChar w:fldCharType="begin"/>
      </w:r>
      <w:r>
        <w:rPr>
          <w:noProof/>
        </w:rPr>
        <w:instrText xml:space="preserve"> PAGEREF _Toc199453454 \h </w:instrText>
      </w:r>
      <w:r>
        <w:rPr>
          <w:noProof/>
        </w:rPr>
      </w:r>
      <w:r>
        <w:rPr>
          <w:noProof/>
        </w:rPr>
        <w:fldChar w:fldCharType="separate"/>
      </w:r>
      <w:r>
        <w:rPr>
          <w:noProof/>
        </w:rPr>
        <w:t>418</w:t>
      </w:r>
      <w:r>
        <w:rPr>
          <w:noProof/>
        </w:rPr>
        <w:fldChar w:fldCharType="end"/>
      </w:r>
    </w:p>
    <w:p w14:paraId="6776897D" w14:textId="6B7B71E3" w:rsidR="003F6EFC" w:rsidRDefault="003F6EFC">
      <w:pPr>
        <w:pStyle w:val="TOC3"/>
        <w:rPr>
          <w:rFonts w:asciiTheme="minorHAnsi" w:eastAsiaTheme="minorEastAsia" w:hAnsiTheme="minorHAnsi" w:cstheme="minorBidi"/>
          <w:noProof/>
          <w:kern w:val="2"/>
          <w:sz w:val="21"/>
          <w:szCs w:val="22"/>
          <w:lang w:val="en-US" w:eastAsia="zh-CN"/>
        </w:rPr>
      </w:pPr>
      <w:r>
        <w:rPr>
          <w:noProof/>
        </w:rPr>
        <w:t>5.9.7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_Toc199453455 \h </w:instrText>
      </w:r>
      <w:r>
        <w:rPr>
          <w:noProof/>
        </w:rPr>
      </w:r>
      <w:r>
        <w:rPr>
          <w:noProof/>
        </w:rPr>
        <w:fldChar w:fldCharType="separate"/>
      </w:r>
      <w:r>
        <w:rPr>
          <w:noProof/>
        </w:rPr>
        <w:t>419</w:t>
      </w:r>
      <w:r>
        <w:rPr>
          <w:noProof/>
        </w:rPr>
        <w:fldChar w:fldCharType="end"/>
      </w:r>
    </w:p>
    <w:p w14:paraId="49855E99" w14:textId="694D7BFF" w:rsidR="003F6EFC" w:rsidRDefault="003F6EFC">
      <w:pPr>
        <w:pStyle w:val="TOC4"/>
        <w:rPr>
          <w:rFonts w:asciiTheme="minorHAnsi" w:eastAsiaTheme="minorEastAsia" w:hAnsiTheme="minorHAnsi" w:cstheme="minorBidi"/>
          <w:noProof/>
          <w:kern w:val="2"/>
          <w:sz w:val="21"/>
          <w:szCs w:val="22"/>
          <w:lang w:val="en-US" w:eastAsia="zh-CN"/>
        </w:rPr>
      </w:pPr>
      <w:r>
        <w:rPr>
          <w:noProof/>
        </w:rPr>
        <w:t>5.9.7.1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_Toc199453456 \h </w:instrText>
      </w:r>
      <w:r>
        <w:rPr>
          <w:noProof/>
        </w:rPr>
      </w:r>
      <w:r>
        <w:rPr>
          <w:noProof/>
        </w:rPr>
        <w:fldChar w:fldCharType="separate"/>
      </w:r>
      <w:r>
        <w:rPr>
          <w:noProof/>
        </w:rPr>
        <w:t>419</w:t>
      </w:r>
      <w:r>
        <w:rPr>
          <w:noProof/>
        </w:rPr>
        <w:fldChar w:fldCharType="end"/>
      </w:r>
    </w:p>
    <w:p w14:paraId="1C8ADEE3" w14:textId="431CEFC1" w:rsidR="003F6EFC" w:rsidRDefault="003F6EFC">
      <w:pPr>
        <w:pStyle w:val="TOC4"/>
        <w:rPr>
          <w:rFonts w:asciiTheme="minorHAnsi" w:eastAsiaTheme="minorEastAsia" w:hAnsiTheme="minorHAnsi" w:cstheme="minorBidi"/>
          <w:noProof/>
          <w:kern w:val="2"/>
          <w:sz w:val="21"/>
          <w:szCs w:val="22"/>
          <w:lang w:val="en-US" w:eastAsia="zh-CN"/>
        </w:rPr>
      </w:pPr>
      <w:r>
        <w:rPr>
          <w:noProof/>
        </w:rPr>
        <w:t>5.9.7.2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_Toc199453457 \h </w:instrText>
      </w:r>
      <w:r>
        <w:rPr>
          <w:noProof/>
        </w:rPr>
      </w:r>
      <w:r>
        <w:rPr>
          <w:noProof/>
        </w:rPr>
        <w:fldChar w:fldCharType="separate"/>
      </w:r>
      <w:r>
        <w:rPr>
          <w:noProof/>
        </w:rPr>
        <w:t>419</w:t>
      </w:r>
      <w:r>
        <w:rPr>
          <w:noProof/>
        </w:rPr>
        <w:fldChar w:fldCharType="end"/>
      </w:r>
    </w:p>
    <w:p w14:paraId="16957300" w14:textId="15F635CE" w:rsidR="003F6EFC" w:rsidRDefault="003F6EFC">
      <w:pPr>
        <w:pStyle w:val="TOC4"/>
        <w:rPr>
          <w:rFonts w:asciiTheme="minorHAnsi" w:eastAsiaTheme="minorEastAsia" w:hAnsiTheme="minorHAnsi" w:cstheme="minorBidi"/>
          <w:noProof/>
          <w:kern w:val="2"/>
          <w:sz w:val="21"/>
          <w:szCs w:val="22"/>
          <w:lang w:val="en-US" w:eastAsia="zh-CN"/>
        </w:rPr>
      </w:pPr>
      <w:r>
        <w:rPr>
          <w:noProof/>
        </w:rPr>
        <w:t>5.9.7.3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_Toc199453458 \h </w:instrText>
      </w:r>
      <w:r>
        <w:rPr>
          <w:noProof/>
        </w:rPr>
      </w:r>
      <w:r>
        <w:rPr>
          <w:noProof/>
        </w:rPr>
        <w:fldChar w:fldCharType="separate"/>
      </w:r>
      <w:r>
        <w:rPr>
          <w:noProof/>
        </w:rPr>
        <w:t>419</w:t>
      </w:r>
      <w:r>
        <w:rPr>
          <w:noProof/>
        </w:rPr>
        <w:fldChar w:fldCharType="end"/>
      </w:r>
    </w:p>
    <w:p w14:paraId="7E6973E1" w14:textId="50C9C45C" w:rsidR="003F6EFC" w:rsidRDefault="003F6EFC">
      <w:pPr>
        <w:pStyle w:val="TOC3"/>
        <w:rPr>
          <w:rFonts w:asciiTheme="minorHAnsi" w:eastAsiaTheme="minorEastAsia" w:hAnsiTheme="minorHAnsi" w:cstheme="minorBidi"/>
          <w:noProof/>
          <w:kern w:val="2"/>
          <w:sz w:val="21"/>
          <w:szCs w:val="22"/>
          <w:lang w:val="en-US" w:eastAsia="zh-CN"/>
        </w:rPr>
      </w:pPr>
      <w:r>
        <w:rPr>
          <w:noProof/>
        </w:rPr>
        <w:lastRenderedPageBreak/>
        <w:t>5.9.8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_Toc199453459 \h </w:instrText>
      </w:r>
      <w:r>
        <w:rPr>
          <w:noProof/>
        </w:rPr>
      </w:r>
      <w:r>
        <w:rPr>
          <w:noProof/>
        </w:rPr>
        <w:fldChar w:fldCharType="separate"/>
      </w:r>
      <w:r>
        <w:rPr>
          <w:noProof/>
        </w:rPr>
        <w:t>419</w:t>
      </w:r>
      <w:r>
        <w:rPr>
          <w:noProof/>
        </w:rPr>
        <w:fldChar w:fldCharType="end"/>
      </w:r>
    </w:p>
    <w:p w14:paraId="2E8F7760" w14:textId="5ADE473F" w:rsidR="003F6EFC" w:rsidRDefault="003F6EFC">
      <w:pPr>
        <w:pStyle w:val="TOC3"/>
        <w:rPr>
          <w:rFonts w:asciiTheme="minorHAnsi" w:eastAsiaTheme="minorEastAsia" w:hAnsiTheme="minorHAnsi" w:cstheme="minorBidi"/>
          <w:noProof/>
          <w:kern w:val="2"/>
          <w:sz w:val="21"/>
          <w:szCs w:val="22"/>
          <w:lang w:val="en-US" w:eastAsia="zh-CN"/>
        </w:rPr>
      </w:pPr>
      <w:r>
        <w:rPr>
          <w:noProof/>
        </w:rPr>
        <w:t>5.9.9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_Toc199453460 \h </w:instrText>
      </w:r>
      <w:r>
        <w:rPr>
          <w:noProof/>
        </w:rPr>
      </w:r>
      <w:r>
        <w:rPr>
          <w:noProof/>
        </w:rPr>
        <w:fldChar w:fldCharType="separate"/>
      </w:r>
      <w:r>
        <w:rPr>
          <w:noProof/>
        </w:rPr>
        <w:t>419</w:t>
      </w:r>
      <w:r>
        <w:rPr>
          <w:noProof/>
        </w:rPr>
        <w:fldChar w:fldCharType="end"/>
      </w:r>
    </w:p>
    <w:p w14:paraId="50E3626F" w14:textId="44D4F84A" w:rsidR="003F6EFC" w:rsidRDefault="003F6EFC">
      <w:pPr>
        <w:pStyle w:val="TOC2"/>
        <w:rPr>
          <w:rFonts w:asciiTheme="minorHAnsi" w:eastAsiaTheme="minorEastAsia" w:hAnsiTheme="minorHAnsi" w:cstheme="minorBidi"/>
          <w:noProof/>
          <w:kern w:val="2"/>
          <w:sz w:val="21"/>
          <w:szCs w:val="22"/>
          <w:lang w:val="en-US" w:eastAsia="zh-CN"/>
        </w:rPr>
      </w:pPr>
      <w:r>
        <w:rPr>
          <w:noProof/>
          <w:lang w:eastAsia="zh-CN"/>
        </w:rPr>
        <w:t>5.10</w:t>
      </w:r>
      <w:r>
        <w:rPr>
          <w:rFonts w:asciiTheme="minorHAnsi" w:eastAsiaTheme="minorEastAsia" w:hAnsiTheme="minorHAnsi" w:cstheme="minorBidi"/>
          <w:noProof/>
          <w:kern w:val="2"/>
          <w:sz w:val="21"/>
          <w:szCs w:val="22"/>
          <w:lang w:val="en-US" w:eastAsia="zh-CN"/>
        </w:rPr>
        <w:tab/>
      </w:r>
      <w:r>
        <w:rPr>
          <w:noProof/>
          <w:lang w:eastAsia="ja-JP"/>
        </w:rPr>
        <w:t>Nnwdaf_VFLInference</w:t>
      </w:r>
      <w:r>
        <w:rPr>
          <w:noProof/>
        </w:rPr>
        <w:t xml:space="preserve"> Service API</w:t>
      </w:r>
      <w:r>
        <w:rPr>
          <w:noProof/>
        </w:rPr>
        <w:tab/>
      </w:r>
      <w:r>
        <w:rPr>
          <w:noProof/>
        </w:rPr>
        <w:fldChar w:fldCharType="begin"/>
      </w:r>
      <w:r>
        <w:rPr>
          <w:noProof/>
        </w:rPr>
        <w:instrText xml:space="preserve"> PAGEREF _Toc199453461 \h </w:instrText>
      </w:r>
      <w:r>
        <w:rPr>
          <w:noProof/>
        </w:rPr>
      </w:r>
      <w:r>
        <w:rPr>
          <w:noProof/>
        </w:rPr>
        <w:fldChar w:fldCharType="separate"/>
      </w:r>
      <w:r>
        <w:rPr>
          <w:noProof/>
        </w:rPr>
        <w:t>419</w:t>
      </w:r>
      <w:r>
        <w:rPr>
          <w:noProof/>
        </w:rPr>
        <w:fldChar w:fldCharType="end"/>
      </w:r>
    </w:p>
    <w:p w14:paraId="3E441DE2" w14:textId="0812F1E0"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5.10.1</w:t>
      </w:r>
      <w:r>
        <w:rPr>
          <w:rFonts w:asciiTheme="minorHAnsi" w:eastAsiaTheme="minorEastAsia" w:hAnsiTheme="minorHAnsi" w:cstheme="minorBidi"/>
          <w:noProof/>
          <w:kern w:val="2"/>
          <w:sz w:val="21"/>
          <w:szCs w:val="22"/>
          <w:lang w:val="en-US" w:eastAsia="zh-CN"/>
        </w:rPr>
        <w:tab/>
      </w:r>
      <w:r w:rsidRPr="00D64295">
        <w:rPr>
          <w:noProof/>
          <w:lang w:val="en-US"/>
        </w:rPr>
        <w:t>Introduction</w:t>
      </w:r>
      <w:r>
        <w:rPr>
          <w:noProof/>
        </w:rPr>
        <w:tab/>
      </w:r>
      <w:r>
        <w:rPr>
          <w:noProof/>
        </w:rPr>
        <w:fldChar w:fldCharType="begin"/>
      </w:r>
      <w:r>
        <w:rPr>
          <w:noProof/>
        </w:rPr>
        <w:instrText xml:space="preserve"> PAGEREF _Toc199453462 \h </w:instrText>
      </w:r>
      <w:r>
        <w:rPr>
          <w:noProof/>
        </w:rPr>
      </w:r>
      <w:r>
        <w:rPr>
          <w:noProof/>
        </w:rPr>
        <w:fldChar w:fldCharType="separate"/>
      </w:r>
      <w:r>
        <w:rPr>
          <w:noProof/>
        </w:rPr>
        <w:t>419</w:t>
      </w:r>
      <w:r>
        <w:rPr>
          <w:noProof/>
        </w:rPr>
        <w:fldChar w:fldCharType="end"/>
      </w:r>
    </w:p>
    <w:p w14:paraId="563B2D9C" w14:textId="654187BC"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5.10.2</w:t>
      </w:r>
      <w:r>
        <w:rPr>
          <w:rFonts w:asciiTheme="minorHAnsi" w:eastAsiaTheme="minorEastAsia" w:hAnsiTheme="minorHAnsi" w:cstheme="minorBidi"/>
          <w:noProof/>
          <w:kern w:val="2"/>
          <w:sz w:val="21"/>
          <w:szCs w:val="22"/>
          <w:lang w:val="en-US" w:eastAsia="zh-CN"/>
        </w:rPr>
        <w:tab/>
      </w:r>
      <w:r w:rsidRPr="00D64295">
        <w:rPr>
          <w:noProof/>
          <w:lang w:val="en-US"/>
        </w:rPr>
        <w:t>Usage of HTTP</w:t>
      </w:r>
      <w:r>
        <w:rPr>
          <w:noProof/>
        </w:rPr>
        <w:tab/>
      </w:r>
      <w:r>
        <w:rPr>
          <w:noProof/>
        </w:rPr>
        <w:fldChar w:fldCharType="begin"/>
      </w:r>
      <w:r>
        <w:rPr>
          <w:noProof/>
        </w:rPr>
        <w:instrText xml:space="preserve"> PAGEREF _Toc199453463 \h </w:instrText>
      </w:r>
      <w:r>
        <w:rPr>
          <w:noProof/>
        </w:rPr>
      </w:r>
      <w:r>
        <w:rPr>
          <w:noProof/>
        </w:rPr>
        <w:fldChar w:fldCharType="separate"/>
      </w:r>
      <w:r>
        <w:rPr>
          <w:noProof/>
        </w:rPr>
        <w:t>420</w:t>
      </w:r>
      <w:r>
        <w:rPr>
          <w:noProof/>
        </w:rPr>
        <w:fldChar w:fldCharType="end"/>
      </w:r>
    </w:p>
    <w:p w14:paraId="37519097" w14:textId="0AD5769C" w:rsidR="003F6EFC" w:rsidRDefault="003F6EFC">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_Toc199453464 \h </w:instrText>
      </w:r>
      <w:r>
        <w:rPr>
          <w:noProof/>
        </w:rPr>
      </w:r>
      <w:r>
        <w:rPr>
          <w:noProof/>
        </w:rPr>
        <w:fldChar w:fldCharType="separate"/>
      </w:r>
      <w:r>
        <w:rPr>
          <w:noProof/>
        </w:rPr>
        <w:t>420</w:t>
      </w:r>
      <w:r>
        <w:rPr>
          <w:noProof/>
        </w:rPr>
        <w:fldChar w:fldCharType="end"/>
      </w:r>
    </w:p>
    <w:p w14:paraId="4F24BF4E" w14:textId="7C1CB4E8" w:rsidR="003F6EFC" w:rsidRDefault="003F6EFC">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_Toc199453465 \h </w:instrText>
      </w:r>
      <w:r>
        <w:rPr>
          <w:noProof/>
        </w:rPr>
      </w:r>
      <w:r>
        <w:rPr>
          <w:noProof/>
        </w:rPr>
        <w:fldChar w:fldCharType="separate"/>
      </w:r>
      <w:r>
        <w:rPr>
          <w:noProof/>
        </w:rPr>
        <w:t>420</w:t>
      </w:r>
      <w:r>
        <w:rPr>
          <w:noProof/>
        </w:rPr>
        <w:fldChar w:fldCharType="end"/>
      </w:r>
    </w:p>
    <w:p w14:paraId="4FCBF3FE" w14:textId="47B523EE" w:rsidR="003F6EFC" w:rsidRDefault="003F6EFC">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_Toc199453466 \h </w:instrText>
      </w:r>
      <w:r>
        <w:rPr>
          <w:noProof/>
        </w:rPr>
      </w:r>
      <w:r>
        <w:rPr>
          <w:noProof/>
        </w:rPr>
        <w:fldChar w:fldCharType="separate"/>
      </w:r>
      <w:r>
        <w:rPr>
          <w:noProof/>
        </w:rPr>
        <w:t>420</w:t>
      </w:r>
      <w:r>
        <w:rPr>
          <w:noProof/>
        </w:rPr>
        <w:fldChar w:fldCharType="end"/>
      </w:r>
    </w:p>
    <w:p w14:paraId="5E5C3D40" w14:textId="2130F12B" w:rsidR="003F6EFC" w:rsidRDefault="003F6EFC">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_Toc199453467 \h </w:instrText>
      </w:r>
      <w:r>
        <w:rPr>
          <w:noProof/>
        </w:rPr>
      </w:r>
      <w:r>
        <w:rPr>
          <w:noProof/>
        </w:rPr>
        <w:fldChar w:fldCharType="separate"/>
      </w:r>
      <w:r>
        <w:rPr>
          <w:noProof/>
        </w:rPr>
        <w:t>420</w:t>
      </w:r>
      <w:r>
        <w:rPr>
          <w:noProof/>
        </w:rPr>
        <w:fldChar w:fldCharType="end"/>
      </w:r>
    </w:p>
    <w:p w14:paraId="13A6A242" w14:textId="3C163114" w:rsidR="003F6EFC" w:rsidRDefault="003F6EFC">
      <w:pPr>
        <w:pStyle w:val="TOC4"/>
        <w:rPr>
          <w:rFonts w:asciiTheme="minorHAnsi" w:eastAsiaTheme="minorEastAsia" w:hAnsiTheme="minorHAnsi" w:cstheme="minorBidi"/>
          <w:noProof/>
          <w:kern w:val="2"/>
          <w:sz w:val="21"/>
          <w:szCs w:val="22"/>
          <w:lang w:val="en-US" w:eastAsia="zh-CN"/>
        </w:rPr>
      </w:pPr>
      <w:r>
        <w:rPr>
          <w:noProof/>
        </w:rPr>
        <w:t>5.10.2.3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_Toc199453468 \h </w:instrText>
      </w:r>
      <w:r>
        <w:rPr>
          <w:noProof/>
        </w:rPr>
      </w:r>
      <w:r>
        <w:rPr>
          <w:noProof/>
        </w:rPr>
        <w:fldChar w:fldCharType="separate"/>
      </w:r>
      <w:r>
        <w:rPr>
          <w:noProof/>
        </w:rPr>
        <w:t>420</w:t>
      </w:r>
      <w:r>
        <w:rPr>
          <w:noProof/>
        </w:rPr>
        <w:fldChar w:fldCharType="end"/>
      </w:r>
    </w:p>
    <w:p w14:paraId="7AAB87ED" w14:textId="61C9E146" w:rsidR="003F6EFC" w:rsidRDefault="003F6EFC">
      <w:pPr>
        <w:pStyle w:val="TOC3"/>
        <w:rPr>
          <w:rFonts w:asciiTheme="minorHAnsi" w:eastAsiaTheme="minorEastAsia" w:hAnsiTheme="minorHAnsi" w:cstheme="minorBidi"/>
          <w:noProof/>
          <w:kern w:val="2"/>
          <w:sz w:val="21"/>
          <w:szCs w:val="22"/>
          <w:lang w:val="en-US" w:eastAsia="zh-CN"/>
        </w:rPr>
      </w:pPr>
      <w:r>
        <w:rPr>
          <w:noProof/>
        </w:rPr>
        <w:t>5.10.3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_Toc199453469 \h </w:instrText>
      </w:r>
      <w:r>
        <w:rPr>
          <w:noProof/>
        </w:rPr>
      </w:r>
      <w:r>
        <w:rPr>
          <w:noProof/>
        </w:rPr>
        <w:fldChar w:fldCharType="separate"/>
      </w:r>
      <w:r>
        <w:rPr>
          <w:noProof/>
        </w:rPr>
        <w:t>420</w:t>
      </w:r>
      <w:r>
        <w:rPr>
          <w:noProof/>
        </w:rPr>
        <w:fldChar w:fldCharType="end"/>
      </w:r>
    </w:p>
    <w:p w14:paraId="218A9A04" w14:textId="1ED6F605" w:rsidR="003F6EFC" w:rsidRDefault="003F6EFC">
      <w:pPr>
        <w:pStyle w:val="TOC4"/>
        <w:rPr>
          <w:rFonts w:asciiTheme="minorHAnsi" w:eastAsiaTheme="minorEastAsia" w:hAnsiTheme="minorHAnsi" w:cstheme="minorBidi"/>
          <w:noProof/>
          <w:kern w:val="2"/>
          <w:sz w:val="21"/>
          <w:szCs w:val="22"/>
          <w:lang w:val="en-US" w:eastAsia="zh-CN"/>
        </w:rPr>
      </w:pPr>
      <w:r>
        <w:rPr>
          <w:noProof/>
        </w:rPr>
        <w:t>5.10.3.1</w:t>
      </w:r>
      <w:r>
        <w:rPr>
          <w:rFonts w:asciiTheme="minorHAnsi" w:eastAsiaTheme="minorEastAsia" w:hAnsiTheme="minorHAnsi" w:cstheme="minorBidi"/>
          <w:noProof/>
          <w:kern w:val="2"/>
          <w:sz w:val="21"/>
          <w:szCs w:val="22"/>
          <w:lang w:val="en-US" w:eastAsia="zh-CN"/>
        </w:rPr>
        <w:tab/>
      </w:r>
      <w:r>
        <w:rPr>
          <w:noProof/>
        </w:rPr>
        <w:t>Resource Structure</w:t>
      </w:r>
      <w:r>
        <w:rPr>
          <w:noProof/>
        </w:rPr>
        <w:tab/>
      </w:r>
      <w:r>
        <w:rPr>
          <w:noProof/>
        </w:rPr>
        <w:fldChar w:fldCharType="begin"/>
      </w:r>
      <w:r>
        <w:rPr>
          <w:noProof/>
        </w:rPr>
        <w:instrText xml:space="preserve"> PAGEREF _Toc199453470 \h </w:instrText>
      </w:r>
      <w:r>
        <w:rPr>
          <w:noProof/>
        </w:rPr>
      </w:r>
      <w:r>
        <w:rPr>
          <w:noProof/>
        </w:rPr>
        <w:fldChar w:fldCharType="separate"/>
      </w:r>
      <w:r>
        <w:rPr>
          <w:noProof/>
        </w:rPr>
        <w:t>420</w:t>
      </w:r>
      <w:r>
        <w:rPr>
          <w:noProof/>
        </w:rPr>
        <w:fldChar w:fldCharType="end"/>
      </w:r>
    </w:p>
    <w:p w14:paraId="5D435C4D" w14:textId="4D4AB091" w:rsidR="003F6EFC" w:rsidRDefault="003F6EFC">
      <w:pPr>
        <w:pStyle w:val="TOC4"/>
        <w:rPr>
          <w:rFonts w:asciiTheme="minorHAnsi" w:eastAsiaTheme="minorEastAsia" w:hAnsiTheme="minorHAnsi" w:cstheme="minorBidi"/>
          <w:noProof/>
          <w:kern w:val="2"/>
          <w:sz w:val="21"/>
          <w:szCs w:val="22"/>
          <w:lang w:val="en-US" w:eastAsia="zh-CN"/>
        </w:rPr>
      </w:pPr>
      <w:r>
        <w:rPr>
          <w:noProof/>
        </w:rPr>
        <w:t>5.10.3.2</w:t>
      </w:r>
      <w:r>
        <w:rPr>
          <w:rFonts w:asciiTheme="minorHAnsi" w:eastAsiaTheme="minorEastAsia" w:hAnsiTheme="minorHAnsi" w:cstheme="minorBidi"/>
          <w:noProof/>
          <w:kern w:val="2"/>
          <w:sz w:val="21"/>
          <w:szCs w:val="22"/>
          <w:lang w:val="en-US" w:eastAsia="zh-CN"/>
        </w:rPr>
        <w:tab/>
      </w:r>
      <w:r>
        <w:rPr>
          <w:noProof/>
        </w:rPr>
        <w:t>Resource: NWDAF VFL Inference Subscriptions</w:t>
      </w:r>
      <w:r>
        <w:rPr>
          <w:noProof/>
        </w:rPr>
        <w:tab/>
      </w:r>
      <w:r>
        <w:rPr>
          <w:noProof/>
        </w:rPr>
        <w:fldChar w:fldCharType="begin"/>
      </w:r>
      <w:r>
        <w:rPr>
          <w:noProof/>
        </w:rPr>
        <w:instrText xml:space="preserve"> PAGEREF _Toc199453471 \h </w:instrText>
      </w:r>
      <w:r>
        <w:rPr>
          <w:noProof/>
        </w:rPr>
      </w:r>
      <w:r>
        <w:rPr>
          <w:noProof/>
        </w:rPr>
        <w:fldChar w:fldCharType="separate"/>
      </w:r>
      <w:r>
        <w:rPr>
          <w:noProof/>
        </w:rPr>
        <w:t>421</w:t>
      </w:r>
      <w:r>
        <w:rPr>
          <w:noProof/>
        </w:rPr>
        <w:fldChar w:fldCharType="end"/>
      </w:r>
    </w:p>
    <w:p w14:paraId="7C38CF6F" w14:textId="2CFA9376" w:rsidR="003F6EFC" w:rsidRDefault="003F6EFC">
      <w:pPr>
        <w:pStyle w:val="TOC5"/>
        <w:rPr>
          <w:rFonts w:asciiTheme="minorHAnsi" w:eastAsiaTheme="minorEastAsia" w:hAnsiTheme="minorHAnsi" w:cstheme="minorBidi"/>
          <w:noProof/>
          <w:kern w:val="2"/>
          <w:sz w:val="21"/>
          <w:szCs w:val="22"/>
          <w:lang w:val="en-US" w:eastAsia="zh-CN"/>
        </w:rPr>
      </w:pPr>
      <w:r>
        <w:rPr>
          <w:noProof/>
        </w:rPr>
        <w:t>5.10.3.2.1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_Toc199453472 \h </w:instrText>
      </w:r>
      <w:r>
        <w:rPr>
          <w:noProof/>
        </w:rPr>
      </w:r>
      <w:r>
        <w:rPr>
          <w:noProof/>
        </w:rPr>
        <w:fldChar w:fldCharType="separate"/>
      </w:r>
      <w:r>
        <w:rPr>
          <w:noProof/>
        </w:rPr>
        <w:t>421</w:t>
      </w:r>
      <w:r>
        <w:rPr>
          <w:noProof/>
        </w:rPr>
        <w:fldChar w:fldCharType="end"/>
      </w:r>
    </w:p>
    <w:p w14:paraId="2A7AD0E2" w14:textId="20C4589D" w:rsidR="003F6EFC" w:rsidRDefault="003F6EFC">
      <w:pPr>
        <w:pStyle w:val="TOC5"/>
        <w:rPr>
          <w:rFonts w:asciiTheme="minorHAnsi" w:eastAsiaTheme="minorEastAsia" w:hAnsiTheme="minorHAnsi" w:cstheme="minorBidi"/>
          <w:noProof/>
          <w:kern w:val="2"/>
          <w:sz w:val="21"/>
          <w:szCs w:val="22"/>
          <w:lang w:val="en-US" w:eastAsia="zh-CN"/>
        </w:rPr>
      </w:pPr>
      <w:r>
        <w:rPr>
          <w:noProof/>
        </w:rPr>
        <w:t>5.10.3.2.2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_Toc199453473 \h </w:instrText>
      </w:r>
      <w:r>
        <w:rPr>
          <w:noProof/>
        </w:rPr>
      </w:r>
      <w:r>
        <w:rPr>
          <w:noProof/>
        </w:rPr>
        <w:fldChar w:fldCharType="separate"/>
      </w:r>
      <w:r>
        <w:rPr>
          <w:noProof/>
        </w:rPr>
        <w:t>421</w:t>
      </w:r>
      <w:r>
        <w:rPr>
          <w:noProof/>
        </w:rPr>
        <w:fldChar w:fldCharType="end"/>
      </w:r>
    </w:p>
    <w:p w14:paraId="44AC35CF" w14:textId="251E57AF" w:rsidR="003F6EFC" w:rsidRDefault="003F6EFC">
      <w:pPr>
        <w:pStyle w:val="TOC5"/>
        <w:rPr>
          <w:rFonts w:asciiTheme="minorHAnsi" w:eastAsiaTheme="minorEastAsia" w:hAnsiTheme="minorHAnsi" w:cstheme="minorBidi"/>
          <w:noProof/>
          <w:kern w:val="2"/>
          <w:sz w:val="21"/>
          <w:szCs w:val="22"/>
          <w:lang w:val="en-US" w:eastAsia="zh-CN"/>
        </w:rPr>
      </w:pPr>
      <w:r>
        <w:rPr>
          <w:noProof/>
        </w:rPr>
        <w:t>5.10.3.2.3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_Toc199453474 \h </w:instrText>
      </w:r>
      <w:r>
        <w:rPr>
          <w:noProof/>
        </w:rPr>
      </w:r>
      <w:r>
        <w:rPr>
          <w:noProof/>
        </w:rPr>
        <w:fldChar w:fldCharType="separate"/>
      </w:r>
      <w:r>
        <w:rPr>
          <w:noProof/>
        </w:rPr>
        <w:t>421</w:t>
      </w:r>
      <w:r>
        <w:rPr>
          <w:noProof/>
        </w:rPr>
        <w:fldChar w:fldCharType="end"/>
      </w:r>
    </w:p>
    <w:p w14:paraId="1D991986" w14:textId="182899BD" w:rsidR="003F6EFC" w:rsidRDefault="003F6EFC">
      <w:pPr>
        <w:pStyle w:val="TOC6"/>
        <w:rPr>
          <w:rFonts w:asciiTheme="minorHAnsi" w:eastAsiaTheme="minorEastAsia" w:hAnsiTheme="minorHAnsi" w:cstheme="minorBidi"/>
          <w:noProof/>
          <w:kern w:val="2"/>
          <w:sz w:val="21"/>
          <w:szCs w:val="22"/>
          <w:lang w:val="en-US" w:eastAsia="zh-CN"/>
        </w:rPr>
      </w:pPr>
      <w:r>
        <w:rPr>
          <w:noProof/>
        </w:rPr>
        <w:t>5.10.3.2.3.1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_Toc199453475 \h </w:instrText>
      </w:r>
      <w:r>
        <w:rPr>
          <w:noProof/>
        </w:rPr>
      </w:r>
      <w:r>
        <w:rPr>
          <w:noProof/>
        </w:rPr>
        <w:fldChar w:fldCharType="separate"/>
      </w:r>
      <w:r>
        <w:rPr>
          <w:noProof/>
        </w:rPr>
        <w:t>421</w:t>
      </w:r>
      <w:r>
        <w:rPr>
          <w:noProof/>
        </w:rPr>
        <w:fldChar w:fldCharType="end"/>
      </w:r>
    </w:p>
    <w:p w14:paraId="1574DC8F" w14:textId="575DE584" w:rsidR="003F6EFC" w:rsidRDefault="003F6EFC">
      <w:pPr>
        <w:pStyle w:val="TOC5"/>
        <w:rPr>
          <w:rFonts w:asciiTheme="minorHAnsi" w:eastAsiaTheme="minorEastAsia" w:hAnsiTheme="minorHAnsi" w:cstheme="minorBidi"/>
          <w:noProof/>
          <w:kern w:val="2"/>
          <w:sz w:val="21"/>
          <w:szCs w:val="22"/>
          <w:lang w:val="en-US" w:eastAsia="zh-CN"/>
        </w:rPr>
      </w:pPr>
      <w:r>
        <w:rPr>
          <w:noProof/>
        </w:rPr>
        <w:t>5.10.3.2.4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_Toc199453476 \h </w:instrText>
      </w:r>
      <w:r>
        <w:rPr>
          <w:noProof/>
        </w:rPr>
      </w:r>
      <w:r>
        <w:rPr>
          <w:noProof/>
        </w:rPr>
        <w:fldChar w:fldCharType="separate"/>
      </w:r>
      <w:r>
        <w:rPr>
          <w:noProof/>
        </w:rPr>
        <w:t>422</w:t>
      </w:r>
      <w:r>
        <w:rPr>
          <w:noProof/>
        </w:rPr>
        <w:fldChar w:fldCharType="end"/>
      </w:r>
    </w:p>
    <w:p w14:paraId="3F3E1A3D" w14:textId="146D8800" w:rsidR="003F6EFC" w:rsidRDefault="003F6EFC">
      <w:pPr>
        <w:pStyle w:val="TOC4"/>
        <w:rPr>
          <w:rFonts w:asciiTheme="minorHAnsi" w:eastAsiaTheme="minorEastAsia" w:hAnsiTheme="minorHAnsi" w:cstheme="minorBidi"/>
          <w:noProof/>
          <w:kern w:val="2"/>
          <w:sz w:val="21"/>
          <w:szCs w:val="22"/>
          <w:lang w:val="en-US" w:eastAsia="zh-CN"/>
        </w:rPr>
      </w:pPr>
      <w:r>
        <w:rPr>
          <w:noProof/>
        </w:rPr>
        <w:t>5.10.3.3</w:t>
      </w:r>
      <w:r>
        <w:rPr>
          <w:rFonts w:asciiTheme="minorHAnsi" w:eastAsiaTheme="minorEastAsia" w:hAnsiTheme="minorHAnsi" w:cstheme="minorBidi"/>
          <w:noProof/>
          <w:kern w:val="2"/>
          <w:sz w:val="21"/>
          <w:szCs w:val="22"/>
          <w:lang w:val="en-US" w:eastAsia="zh-CN"/>
        </w:rPr>
        <w:tab/>
      </w:r>
      <w:r>
        <w:rPr>
          <w:noProof/>
        </w:rPr>
        <w:t>Resource: Individual NWDAF VFL Inference Subscription</w:t>
      </w:r>
      <w:r>
        <w:rPr>
          <w:noProof/>
        </w:rPr>
        <w:tab/>
      </w:r>
      <w:r>
        <w:rPr>
          <w:noProof/>
        </w:rPr>
        <w:fldChar w:fldCharType="begin"/>
      </w:r>
      <w:r>
        <w:rPr>
          <w:noProof/>
        </w:rPr>
        <w:instrText xml:space="preserve"> PAGEREF _Toc199453477 \h </w:instrText>
      </w:r>
      <w:r>
        <w:rPr>
          <w:noProof/>
        </w:rPr>
      </w:r>
      <w:r>
        <w:rPr>
          <w:noProof/>
        </w:rPr>
        <w:fldChar w:fldCharType="separate"/>
      </w:r>
      <w:r>
        <w:rPr>
          <w:noProof/>
        </w:rPr>
        <w:t>422</w:t>
      </w:r>
      <w:r>
        <w:rPr>
          <w:noProof/>
        </w:rPr>
        <w:fldChar w:fldCharType="end"/>
      </w:r>
    </w:p>
    <w:p w14:paraId="4C816A28" w14:textId="60BD1A4D" w:rsidR="003F6EFC" w:rsidRDefault="003F6EFC">
      <w:pPr>
        <w:pStyle w:val="TOC5"/>
        <w:rPr>
          <w:rFonts w:asciiTheme="minorHAnsi" w:eastAsiaTheme="minorEastAsia" w:hAnsiTheme="minorHAnsi" w:cstheme="minorBidi"/>
          <w:noProof/>
          <w:kern w:val="2"/>
          <w:sz w:val="21"/>
          <w:szCs w:val="22"/>
          <w:lang w:val="en-US" w:eastAsia="zh-CN"/>
        </w:rPr>
      </w:pPr>
      <w:r>
        <w:rPr>
          <w:noProof/>
        </w:rPr>
        <w:t>5.10.3.3.1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_Toc199453478 \h </w:instrText>
      </w:r>
      <w:r>
        <w:rPr>
          <w:noProof/>
        </w:rPr>
      </w:r>
      <w:r>
        <w:rPr>
          <w:noProof/>
        </w:rPr>
        <w:fldChar w:fldCharType="separate"/>
      </w:r>
      <w:r>
        <w:rPr>
          <w:noProof/>
        </w:rPr>
        <w:t>422</w:t>
      </w:r>
      <w:r>
        <w:rPr>
          <w:noProof/>
        </w:rPr>
        <w:fldChar w:fldCharType="end"/>
      </w:r>
    </w:p>
    <w:p w14:paraId="1BD24BC3" w14:textId="27D81345" w:rsidR="003F6EFC" w:rsidRDefault="003F6EFC">
      <w:pPr>
        <w:pStyle w:val="TOC5"/>
        <w:rPr>
          <w:rFonts w:asciiTheme="minorHAnsi" w:eastAsiaTheme="minorEastAsia" w:hAnsiTheme="minorHAnsi" w:cstheme="minorBidi"/>
          <w:noProof/>
          <w:kern w:val="2"/>
          <w:sz w:val="21"/>
          <w:szCs w:val="22"/>
          <w:lang w:val="en-US" w:eastAsia="zh-CN"/>
        </w:rPr>
      </w:pPr>
      <w:r>
        <w:rPr>
          <w:noProof/>
        </w:rPr>
        <w:t>5.10.3.3.2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_Toc199453479 \h </w:instrText>
      </w:r>
      <w:r>
        <w:rPr>
          <w:noProof/>
        </w:rPr>
      </w:r>
      <w:r>
        <w:rPr>
          <w:noProof/>
        </w:rPr>
        <w:fldChar w:fldCharType="separate"/>
      </w:r>
      <w:r>
        <w:rPr>
          <w:noProof/>
        </w:rPr>
        <w:t>422</w:t>
      </w:r>
      <w:r>
        <w:rPr>
          <w:noProof/>
        </w:rPr>
        <w:fldChar w:fldCharType="end"/>
      </w:r>
    </w:p>
    <w:p w14:paraId="6DB13966" w14:textId="70BF235E" w:rsidR="003F6EFC" w:rsidRDefault="003F6EFC">
      <w:pPr>
        <w:pStyle w:val="TOC5"/>
        <w:rPr>
          <w:rFonts w:asciiTheme="minorHAnsi" w:eastAsiaTheme="minorEastAsia" w:hAnsiTheme="minorHAnsi" w:cstheme="minorBidi"/>
          <w:noProof/>
          <w:kern w:val="2"/>
          <w:sz w:val="21"/>
          <w:szCs w:val="22"/>
          <w:lang w:val="en-US" w:eastAsia="zh-CN"/>
        </w:rPr>
      </w:pPr>
      <w:r>
        <w:rPr>
          <w:noProof/>
        </w:rPr>
        <w:t>5.10.3.3.3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_Toc199453480 \h </w:instrText>
      </w:r>
      <w:r>
        <w:rPr>
          <w:noProof/>
        </w:rPr>
      </w:r>
      <w:r>
        <w:rPr>
          <w:noProof/>
        </w:rPr>
        <w:fldChar w:fldCharType="separate"/>
      </w:r>
      <w:r>
        <w:rPr>
          <w:noProof/>
        </w:rPr>
        <w:t>423</w:t>
      </w:r>
      <w:r>
        <w:rPr>
          <w:noProof/>
        </w:rPr>
        <w:fldChar w:fldCharType="end"/>
      </w:r>
    </w:p>
    <w:p w14:paraId="42F3FBC9" w14:textId="71425404" w:rsidR="003F6EFC" w:rsidRDefault="003F6EFC">
      <w:pPr>
        <w:pStyle w:val="TOC6"/>
        <w:rPr>
          <w:rFonts w:asciiTheme="minorHAnsi" w:eastAsiaTheme="minorEastAsia" w:hAnsiTheme="minorHAnsi" w:cstheme="minorBidi"/>
          <w:noProof/>
          <w:kern w:val="2"/>
          <w:sz w:val="21"/>
          <w:szCs w:val="22"/>
          <w:lang w:val="en-US" w:eastAsia="zh-CN"/>
        </w:rPr>
      </w:pPr>
      <w:r>
        <w:rPr>
          <w:noProof/>
        </w:rPr>
        <w:t>5.10.3.3.3.1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_Toc199453481 \h </w:instrText>
      </w:r>
      <w:r>
        <w:rPr>
          <w:noProof/>
        </w:rPr>
      </w:r>
      <w:r>
        <w:rPr>
          <w:noProof/>
        </w:rPr>
        <w:fldChar w:fldCharType="separate"/>
      </w:r>
      <w:r>
        <w:rPr>
          <w:noProof/>
        </w:rPr>
        <w:t>423</w:t>
      </w:r>
      <w:r>
        <w:rPr>
          <w:noProof/>
        </w:rPr>
        <w:fldChar w:fldCharType="end"/>
      </w:r>
    </w:p>
    <w:p w14:paraId="250F2011" w14:textId="66A3C8AD" w:rsidR="003F6EFC" w:rsidRDefault="003F6EFC">
      <w:pPr>
        <w:pStyle w:val="TOC6"/>
        <w:rPr>
          <w:rFonts w:asciiTheme="minorHAnsi" w:eastAsiaTheme="minorEastAsia" w:hAnsiTheme="minorHAnsi" w:cstheme="minorBidi"/>
          <w:noProof/>
          <w:kern w:val="2"/>
          <w:sz w:val="21"/>
          <w:szCs w:val="22"/>
          <w:lang w:val="en-US" w:eastAsia="zh-CN"/>
        </w:rPr>
      </w:pPr>
      <w:r>
        <w:rPr>
          <w:noProof/>
        </w:rPr>
        <w:t>5.10.3.3.3.2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_Toc199453482 \h </w:instrText>
      </w:r>
      <w:r>
        <w:rPr>
          <w:noProof/>
        </w:rPr>
      </w:r>
      <w:r>
        <w:rPr>
          <w:noProof/>
        </w:rPr>
        <w:fldChar w:fldCharType="separate"/>
      </w:r>
      <w:r>
        <w:rPr>
          <w:noProof/>
        </w:rPr>
        <w:t>424</w:t>
      </w:r>
      <w:r>
        <w:rPr>
          <w:noProof/>
        </w:rPr>
        <w:fldChar w:fldCharType="end"/>
      </w:r>
    </w:p>
    <w:p w14:paraId="504E020B" w14:textId="58246F15" w:rsidR="003F6EFC" w:rsidRDefault="003F6EFC">
      <w:pPr>
        <w:pStyle w:val="TOC6"/>
        <w:rPr>
          <w:rFonts w:asciiTheme="minorHAnsi" w:eastAsiaTheme="minorEastAsia" w:hAnsiTheme="minorHAnsi" w:cstheme="minorBidi"/>
          <w:noProof/>
          <w:kern w:val="2"/>
          <w:sz w:val="21"/>
          <w:szCs w:val="22"/>
          <w:lang w:val="en-US" w:eastAsia="zh-CN"/>
        </w:rPr>
      </w:pPr>
      <w:r>
        <w:rPr>
          <w:noProof/>
        </w:rPr>
        <w:t>5.10.3.3.3.3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_Toc199453483 \h </w:instrText>
      </w:r>
      <w:r>
        <w:rPr>
          <w:noProof/>
        </w:rPr>
      </w:r>
      <w:r>
        <w:rPr>
          <w:noProof/>
        </w:rPr>
        <w:fldChar w:fldCharType="separate"/>
      </w:r>
      <w:r>
        <w:rPr>
          <w:noProof/>
        </w:rPr>
        <w:t>425</w:t>
      </w:r>
      <w:r>
        <w:rPr>
          <w:noProof/>
        </w:rPr>
        <w:fldChar w:fldCharType="end"/>
      </w:r>
    </w:p>
    <w:p w14:paraId="5BB13FFA" w14:textId="2911BB2A" w:rsidR="003F6EFC" w:rsidRDefault="003F6EFC">
      <w:pPr>
        <w:pStyle w:val="TOC5"/>
        <w:rPr>
          <w:rFonts w:asciiTheme="minorHAnsi" w:eastAsiaTheme="minorEastAsia" w:hAnsiTheme="minorHAnsi" w:cstheme="minorBidi"/>
          <w:noProof/>
          <w:kern w:val="2"/>
          <w:sz w:val="21"/>
          <w:szCs w:val="22"/>
          <w:lang w:val="en-US" w:eastAsia="zh-CN"/>
        </w:rPr>
      </w:pPr>
      <w:r>
        <w:rPr>
          <w:noProof/>
        </w:rPr>
        <w:t>5.10.3.3.4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_Toc199453484 \h </w:instrText>
      </w:r>
      <w:r>
        <w:rPr>
          <w:noProof/>
        </w:rPr>
      </w:r>
      <w:r>
        <w:rPr>
          <w:noProof/>
        </w:rPr>
        <w:fldChar w:fldCharType="separate"/>
      </w:r>
      <w:r>
        <w:rPr>
          <w:noProof/>
        </w:rPr>
        <w:t>426</w:t>
      </w:r>
      <w:r>
        <w:rPr>
          <w:noProof/>
        </w:rPr>
        <w:fldChar w:fldCharType="end"/>
      </w:r>
    </w:p>
    <w:p w14:paraId="39F04DCF" w14:textId="08994AC2"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5.10.4</w:t>
      </w:r>
      <w:r>
        <w:rPr>
          <w:rFonts w:asciiTheme="minorHAnsi" w:eastAsiaTheme="minorEastAsia" w:hAnsiTheme="minorHAnsi" w:cstheme="minorBidi"/>
          <w:noProof/>
          <w:kern w:val="2"/>
          <w:sz w:val="21"/>
          <w:szCs w:val="22"/>
          <w:lang w:val="en-US" w:eastAsia="zh-CN"/>
        </w:rPr>
        <w:tab/>
      </w:r>
      <w:r w:rsidRPr="00D64295">
        <w:rPr>
          <w:noProof/>
          <w:lang w:val="en-US"/>
        </w:rPr>
        <w:t>Custom Operations without associated resources</w:t>
      </w:r>
      <w:r>
        <w:rPr>
          <w:noProof/>
        </w:rPr>
        <w:tab/>
      </w:r>
      <w:r>
        <w:rPr>
          <w:noProof/>
        </w:rPr>
        <w:fldChar w:fldCharType="begin"/>
      </w:r>
      <w:r>
        <w:rPr>
          <w:noProof/>
        </w:rPr>
        <w:instrText xml:space="preserve"> PAGEREF _Toc199453485 \h </w:instrText>
      </w:r>
      <w:r>
        <w:rPr>
          <w:noProof/>
        </w:rPr>
      </w:r>
      <w:r>
        <w:rPr>
          <w:noProof/>
        </w:rPr>
        <w:fldChar w:fldCharType="separate"/>
      </w:r>
      <w:r>
        <w:rPr>
          <w:noProof/>
        </w:rPr>
        <w:t>426</w:t>
      </w:r>
      <w:r>
        <w:rPr>
          <w:noProof/>
        </w:rPr>
        <w:fldChar w:fldCharType="end"/>
      </w:r>
    </w:p>
    <w:p w14:paraId="52E5DEEE" w14:textId="179518BD"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5.10.5</w:t>
      </w:r>
      <w:r>
        <w:rPr>
          <w:rFonts w:asciiTheme="minorHAnsi" w:eastAsiaTheme="minorEastAsia" w:hAnsiTheme="minorHAnsi" w:cstheme="minorBidi"/>
          <w:noProof/>
          <w:kern w:val="2"/>
          <w:sz w:val="21"/>
          <w:szCs w:val="22"/>
          <w:lang w:val="en-US" w:eastAsia="zh-CN"/>
        </w:rPr>
        <w:tab/>
      </w:r>
      <w:r w:rsidRPr="00D64295">
        <w:rPr>
          <w:noProof/>
          <w:lang w:val="en-US"/>
        </w:rPr>
        <w:t>Notifications</w:t>
      </w:r>
      <w:r>
        <w:rPr>
          <w:noProof/>
        </w:rPr>
        <w:tab/>
      </w:r>
      <w:r>
        <w:rPr>
          <w:noProof/>
        </w:rPr>
        <w:fldChar w:fldCharType="begin"/>
      </w:r>
      <w:r>
        <w:rPr>
          <w:noProof/>
        </w:rPr>
        <w:instrText xml:space="preserve"> PAGEREF _Toc199453486 \h </w:instrText>
      </w:r>
      <w:r>
        <w:rPr>
          <w:noProof/>
        </w:rPr>
      </w:r>
      <w:r>
        <w:rPr>
          <w:noProof/>
        </w:rPr>
        <w:fldChar w:fldCharType="separate"/>
      </w:r>
      <w:r>
        <w:rPr>
          <w:noProof/>
        </w:rPr>
        <w:t>426</w:t>
      </w:r>
      <w:r>
        <w:rPr>
          <w:noProof/>
        </w:rPr>
        <w:fldChar w:fldCharType="end"/>
      </w:r>
    </w:p>
    <w:p w14:paraId="57A63D68" w14:textId="3C7D3EBA" w:rsidR="003F6EFC" w:rsidRDefault="003F6EFC">
      <w:pPr>
        <w:pStyle w:val="TOC4"/>
        <w:rPr>
          <w:rFonts w:asciiTheme="minorHAnsi" w:eastAsiaTheme="minorEastAsia" w:hAnsiTheme="minorHAnsi" w:cstheme="minorBidi"/>
          <w:noProof/>
          <w:kern w:val="2"/>
          <w:sz w:val="21"/>
          <w:szCs w:val="22"/>
          <w:lang w:val="en-US" w:eastAsia="zh-CN"/>
        </w:rPr>
      </w:pPr>
      <w:r>
        <w:rPr>
          <w:noProof/>
        </w:rPr>
        <w:t>5.10.5.1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_Toc199453487 \h </w:instrText>
      </w:r>
      <w:r>
        <w:rPr>
          <w:noProof/>
        </w:rPr>
      </w:r>
      <w:r>
        <w:rPr>
          <w:noProof/>
        </w:rPr>
        <w:fldChar w:fldCharType="separate"/>
      </w:r>
      <w:r>
        <w:rPr>
          <w:noProof/>
        </w:rPr>
        <w:t>426</w:t>
      </w:r>
      <w:r>
        <w:rPr>
          <w:noProof/>
        </w:rPr>
        <w:fldChar w:fldCharType="end"/>
      </w:r>
    </w:p>
    <w:p w14:paraId="1F8E9CAB" w14:textId="58833D10" w:rsidR="003F6EFC" w:rsidRDefault="003F6EFC">
      <w:pPr>
        <w:pStyle w:val="TOC4"/>
        <w:rPr>
          <w:rFonts w:asciiTheme="minorHAnsi" w:eastAsiaTheme="minorEastAsia" w:hAnsiTheme="minorHAnsi" w:cstheme="minorBidi"/>
          <w:noProof/>
          <w:kern w:val="2"/>
          <w:sz w:val="21"/>
          <w:szCs w:val="22"/>
          <w:lang w:val="en-US" w:eastAsia="zh-CN"/>
        </w:rPr>
      </w:pPr>
      <w:r>
        <w:rPr>
          <w:noProof/>
        </w:rPr>
        <w:t>5.10.5.2</w:t>
      </w:r>
      <w:r>
        <w:rPr>
          <w:rFonts w:asciiTheme="minorHAnsi" w:eastAsiaTheme="minorEastAsia" w:hAnsiTheme="minorHAnsi" w:cstheme="minorBidi"/>
          <w:noProof/>
          <w:kern w:val="2"/>
          <w:sz w:val="21"/>
          <w:szCs w:val="22"/>
          <w:lang w:val="en-US" w:eastAsia="zh-CN"/>
        </w:rPr>
        <w:tab/>
      </w:r>
      <w:r>
        <w:rPr>
          <w:noProof/>
        </w:rPr>
        <w:t>VFL Inference Event Notification</w:t>
      </w:r>
      <w:r>
        <w:rPr>
          <w:noProof/>
        </w:rPr>
        <w:tab/>
      </w:r>
      <w:r>
        <w:rPr>
          <w:noProof/>
        </w:rPr>
        <w:fldChar w:fldCharType="begin"/>
      </w:r>
      <w:r>
        <w:rPr>
          <w:noProof/>
        </w:rPr>
        <w:instrText xml:space="preserve"> PAGEREF _Toc199453488 \h </w:instrText>
      </w:r>
      <w:r>
        <w:rPr>
          <w:noProof/>
        </w:rPr>
      </w:r>
      <w:r>
        <w:rPr>
          <w:noProof/>
        </w:rPr>
        <w:fldChar w:fldCharType="separate"/>
      </w:r>
      <w:r>
        <w:rPr>
          <w:noProof/>
        </w:rPr>
        <w:t>427</w:t>
      </w:r>
      <w:r>
        <w:rPr>
          <w:noProof/>
        </w:rPr>
        <w:fldChar w:fldCharType="end"/>
      </w:r>
    </w:p>
    <w:p w14:paraId="3D1D1673" w14:textId="72CD96B5" w:rsidR="003F6EFC" w:rsidRDefault="003F6EFC">
      <w:pPr>
        <w:pStyle w:val="TOC5"/>
        <w:rPr>
          <w:rFonts w:asciiTheme="minorHAnsi" w:eastAsiaTheme="minorEastAsia" w:hAnsiTheme="minorHAnsi" w:cstheme="minorBidi"/>
          <w:noProof/>
          <w:kern w:val="2"/>
          <w:sz w:val="21"/>
          <w:szCs w:val="22"/>
          <w:lang w:val="en-US" w:eastAsia="zh-CN"/>
        </w:rPr>
      </w:pPr>
      <w:r>
        <w:rPr>
          <w:noProof/>
        </w:rPr>
        <w:t>5.10.5.2.1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_Toc199453489 \h </w:instrText>
      </w:r>
      <w:r>
        <w:rPr>
          <w:noProof/>
        </w:rPr>
      </w:r>
      <w:r>
        <w:rPr>
          <w:noProof/>
        </w:rPr>
        <w:fldChar w:fldCharType="separate"/>
      </w:r>
      <w:r>
        <w:rPr>
          <w:noProof/>
        </w:rPr>
        <w:t>427</w:t>
      </w:r>
      <w:r>
        <w:rPr>
          <w:noProof/>
        </w:rPr>
        <w:fldChar w:fldCharType="end"/>
      </w:r>
    </w:p>
    <w:p w14:paraId="1FF31AD0" w14:textId="15C4C091" w:rsidR="003F6EFC" w:rsidRDefault="003F6EFC">
      <w:pPr>
        <w:pStyle w:val="TOC5"/>
        <w:rPr>
          <w:rFonts w:asciiTheme="minorHAnsi" w:eastAsiaTheme="minorEastAsia" w:hAnsiTheme="minorHAnsi" w:cstheme="minorBidi"/>
          <w:noProof/>
          <w:kern w:val="2"/>
          <w:sz w:val="21"/>
          <w:szCs w:val="22"/>
          <w:lang w:val="en-US" w:eastAsia="zh-CN"/>
        </w:rPr>
      </w:pPr>
      <w:r>
        <w:rPr>
          <w:noProof/>
        </w:rPr>
        <w:t>5.10.5.2.2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_Toc199453490 \h </w:instrText>
      </w:r>
      <w:r>
        <w:rPr>
          <w:noProof/>
        </w:rPr>
      </w:r>
      <w:r>
        <w:rPr>
          <w:noProof/>
        </w:rPr>
        <w:fldChar w:fldCharType="separate"/>
      </w:r>
      <w:r>
        <w:rPr>
          <w:noProof/>
        </w:rPr>
        <w:t>427</w:t>
      </w:r>
      <w:r>
        <w:rPr>
          <w:noProof/>
        </w:rPr>
        <w:fldChar w:fldCharType="end"/>
      </w:r>
    </w:p>
    <w:p w14:paraId="4C5859A8" w14:textId="10D7FAD3"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5.10.6</w:t>
      </w:r>
      <w:r>
        <w:rPr>
          <w:rFonts w:asciiTheme="minorHAnsi" w:eastAsiaTheme="minorEastAsia" w:hAnsiTheme="minorHAnsi" w:cstheme="minorBidi"/>
          <w:noProof/>
          <w:kern w:val="2"/>
          <w:sz w:val="21"/>
          <w:szCs w:val="22"/>
          <w:lang w:val="en-US" w:eastAsia="zh-CN"/>
        </w:rPr>
        <w:tab/>
      </w:r>
      <w:r w:rsidRPr="00D64295">
        <w:rPr>
          <w:noProof/>
          <w:lang w:val="en-US"/>
        </w:rPr>
        <w:t>Data Model</w:t>
      </w:r>
      <w:r>
        <w:rPr>
          <w:noProof/>
        </w:rPr>
        <w:tab/>
      </w:r>
      <w:r>
        <w:rPr>
          <w:noProof/>
        </w:rPr>
        <w:fldChar w:fldCharType="begin"/>
      </w:r>
      <w:r>
        <w:rPr>
          <w:noProof/>
        </w:rPr>
        <w:instrText xml:space="preserve"> PAGEREF _Toc199453491 \h </w:instrText>
      </w:r>
      <w:r>
        <w:rPr>
          <w:noProof/>
        </w:rPr>
      </w:r>
      <w:r>
        <w:rPr>
          <w:noProof/>
        </w:rPr>
        <w:fldChar w:fldCharType="separate"/>
      </w:r>
      <w:r>
        <w:rPr>
          <w:noProof/>
        </w:rPr>
        <w:t>428</w:t>
      </w:r>
      <w:r>
        <w:rPr>
          <w:noProof/>
        </w:rPr>
        <w:fldChar w:fldCharType="end"/>
      </w:r>
    </w:p>
    <w:p w14:paraId="74744F6E" w14:textId="61E1D24B" w:rsidR="003F6EFC" w:rsidRDefault="003F6EFC">
      <w:pPr>
        <w:pStyle w:val="TOC4"/>
        <w:rPr>
          <w:rFonts w:asciiTheme="minorHAnsi" w:eastAsiaTheme="minorEastAsia" w:hAnsiTheme="minorHAnsi" w:cstheme="minorBidi"/>
          <w:noProof/>
          <w:kern w:val="2"/>
          <w:sz w:val="21"/>
          <w:szCs w:val="22"/>
          <w:lang w:val="en-US" w:eastAsia="zh-CN"/>
        </w:rPr>
      </w:pPr>
      <w:r>
        <w:rPr>
          <w:noProof/>
        </w:rPr>
        <w:t>5.10.6.1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_Toc199453492 \h </w:instrText>
      </w:r>
      <w:r>
        <w:rPr>
          <w:noProof/>
        </w:rPr>
      </w:r>
      <w:r>
        <w:rPr>
          <w:noProof/>
        </w:rPr>
        <w:fldChar w:fldCharType="separate"/>
      </w:r>
      <w:r>
        <w:rPr>
          <w:noProof/>
        </w:rPr>
        <w:t>428</w:t>
      </w:r>
      <w:r>
        <w:rPr>
          <w:noProof/>
        </w:rPr>
        <w:fldChar w:fldCharType="end"/>
      </w:r>
    </w:p>
    <w:p w14:paraId="2D182127" w14:textId="13082CB0" w:rsidR="003F6EFC" w:rsidRDefault="003F6EFC">
      <w:pPr>
        <w:pStyle w:val="TOC4"/>
        <w:rPr>
          <w:rFonts w:asciiTheme="minorHAnsi" w:eastAsiaTheme="minorEastAsia" w:hAnsiTheme="minorHAnsi" w:cstheme="minorBidi"/>
          <w:noProof/>
          <w:kern w:val="2"/>
          <w:sz w:val="21"/>
          <w:szCs w:val="22"/>
          <w:lang w:val="en-US" w:eastAsia="zh-CN"/>
        </w:rPr>
      </w:pPr>
      <w:r>
        <w:rPr>
          <w:noProof/>
        </w:rPr>
        <w:t>5.10.6.2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_Toc199453493 \h </w:instrText>
      </w:r>
      <w:r>
        <w:rPr>
          <w:noProof/>
        </w:rPr>
      </w:r>
      <w:r>
        <w:rPr>
          <w:noProof/>
        </w:rPr>
        <w:fldChar w:fldCharType="separate"/>
      </w:r>
      <w:r>
        <w:rPr>
          <w:noProof/>
        </w:rPr>
        <w:t>429</w:t>
      </w:r>
      <w:r>
        <w:rPr>
          <w:noProof/>
        </w:rPr>
        <w:fldChar w:fldCharType="end"/>
      </w:r>
    </w:p>
    <w:p w14:paraId="11BCA81E" w14:textId="4BC8C9B5" w:rsidR="003F6EFC" w:rsidRDefault="003F6EFC">
      <w:pPr>
        <w:pStyle w:val="TOC5"/>
        <w:rPr>
          <w:rFonts w:asciiTheme="minorHAnsi" w:eastAsiaTheme="minorEastAsia" w:hAnsiTheme="minorHAnsi" w:cstheme="minorBidi"/>
          <w:noProof/>
          <w:kern w:val="2"/>
          <w:sz w:val="21"/>
          <w:szCs w:val="22"/>
          <w:lang w:val="en-US" w:eastAsia="zh-CN"/>
        </w:rPr>
      </w:pPr>
      <w:r>
        <w:rPr>
          <w:noProof/>
        </w:rPr>
        <w:t>5.10.6.2.1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_Toc199453494 \h </w:instrText>
      </w:r>
      <w:r>
        <w:rPr>
          <w:noProof/>
        </w:rPr>
      </w:r>
      <w:r>
        <w:rPr>
          <w:noProof/>
        </w:rPr>
        <w:fldChar w:fldCharType="separate"/>
      </w:r>
      <w:r>
        <w:rPr>
          <w:noProof/>
        </w:rPr>
        <w:t>429</w:t>
      </w:r>
      <w:r>
        <w:rPr>
          <w:noProof/>
        </w:rPr>
        <w:fldChar w:fldCharType="end"/>
      </w:r>
    </w:p>
    <w:p w14:paraId="0D8A3D4D" w14:textId="3BA3B85D" w:rsidR="003F6EFC" w:rsidRDefault="003F6EFC">
      <w:pPr>
        <w:pStyle w:val="TOC5"/>
        <w:rPr>
          <w:rFonts w:asciiTheme="minorHAnsi" w:eastAsiaTheme="minorEastAsia" w:hAnsiTheme="minorHAnsi" w:cstheme="minorBidi"/>
          <w:noProof/>
          <w:kern w:val="2"/>
          <w:sz w:val="21"/>
          <w:szCs w:val="22"/>
          <w:lang w:val="en-US" w:eastAsia="zh-CN"/>
        </w:rPr>
      </w:pPr>
      <w:r>
        <w:rPr>
          <w:noProof/>
        </w:rPr>
        <w:t>5.10.6.2.2</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VflInferSub</w:t>
      </w:r>
      <w:r>
        <w:rPr>
          <w:noProof/>
        </w:rPr>
        <w:tab/>
      </w:r>
      <w:r>
        <w:rPr>
          <w:noProof/>
        </w:rPr>
        <w:fldChar w:fldCharType="begin"/>
      </w:r>
      <w:r>
        <w:rPr>
          <w:noProof/>
        </w:rPr>
        <w:instrText xml:space="preserve"> PAGEREF _Toc199453495 \h </w:instrText>
      </w:r>
      <w:r>
        <w:rPr>
          <w:noProof/>
        </w:rPr>
      </w:r>
      <w:r>
        <w:rPr>
          <w:noProof/>
        </w:rPr>
        <w:fldChar w:fldCharType="separate"/>
      </w:r>
      <w:r>
        <w:rPr>
          <w:noProof/>
        </w:rPr>
        <w:t>429</w:t>
      </w:r>
      <w:r>
        <w:rPr>
          <w:noProof/>
        </w:rPr>
        <w:fldChar w:fldCharType="end"/>
      </w:r>
    </w:p>
    <w:p w14:paraId="0B5E6182" w14:textId="645C741A" w:rsidR="003F6EFC" w:rsidRDefault="003F6EFC">
      <w:pPr>
        <w:pStyle w:val="TOC5"/>
        <w:rPr>
          <w:rFonts w:asciiTheme="minorHAnsi" w:eastAsiaTheme="minorEastAsia" w:hAnsiTheme="minorHAnsi" w:cstheme="minorBidi"/>
          <w:noProof/>
          <w:kern w:val="2"/>
          <w:sz w:val="21"/>
          <w:szCs w:val="22"/>
          <w:lang w:val="en-US" w:eastAsia="zh-CN"/>
        </w:rPr>
      </w:pPr>
      <w:r>
        <w:rPr>
          <w:noProof/>
        </w:rPr>
        <w:t>5.10.6.2.3</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VflInferSubPatch</w:t>
      </w:r>
      <w:r>
        <w:rPr>
          <w:noProof/>
        </w:rPr>
        <w:tab/>
      </w:r>
      <w:r>
        <w:rPr>
          <w:noProof/>
        </w:rPr>
        <w:fldChar w:fldCharType="begin"/>
      </w:r>
      <w:r>
        <w:rPr>
          <w:noProof/>
        </w:rPr>
        <w:instrText xml:space="preserve"> PAGEREF _Toc199453496 \h </w:instrText>
      </w:r>
      <w:r>
        <w:rPr>
          <w:noProof/>
        </w:rPr>
      </w:r>
      <w:r>
        <w:rPr>
          <w:noProof/>
        </w:rPr>
        <w:fldChar w:fldCharType="separate"/>
      </w:r>
      <w:r>
        <w:rPr>
          <w:noProof/>
        </w:rPr>
        <w:t>430</w:t>
      </w:r>
      <w:r>
        <w:rPr>
          <w:noProof/>
        </w:rPr>
        <w:fldChar w:fldCharType="end"/>
      </w:r>
    </w:p>
    <w:p w14:paraId="3ECF63FC" w14:textId="4DB7BC34" w:rsidR="003F6EFC" w:rsidRDefault="003F6EFC">
      <w:pPr>
        <w:pStyle w:val="TOC5"/>
        <w:rPr>
          <w:rFonts w:asciiTheme="minorHAnsi" w:eastAsiaTheme="minorEastAsia" w:hAnsiTheme="minorHAnsi" w:cstheme="minorBidi"/>
          <w:noProof/>
          <w:kern w:val="2"/>
          <w:sz w:val="21"/>
          <w:szCs w:val="22"/>
          <w:lang w:val="en-US" w:eastAsia="zh-CN"/>
        </w:rPr>
      </w:pPr>
      <w:r>
        <w:rPr>
          <w:noProof/>
        </w:rPr>
        <w:t>5.10.6.2.4</w:t>
      </w:r>
      <w:r>
        <w:rPr>
          <w:rFonts w:asciiTheme="minorHAnsi" w:eastAsiaTheme="minorEastAsia" w:hAnsiTheme="minorHAnsi" w:cstheme="minorBidi"/>
          <w:noProof/>
          <w:kern w:val="2"/>
          <w:sz w:val="21"/>
          <w:szCs w:val="22"/>
          <w:lang w:val="en-US" w:eastAsia="zh-CN"/>
        </w:rPr>
        <w:tab/>
      </w:r>
      <w:r>
        <w:rPr>
          <w:noProof/>
        </w:rPr>
        <w:t>Type VflInferAnaSub</w:t>
      </w:r>
      <w:r>
        <w:rPr>
          <w:noProof/>
        </w:rPr>
        <w:tab/>
      </w:r>
      <w:r>
        <w:rPr>
          <w:noProof/>
        </w:rPr>
        <w:fldChar w:fldCharType="begin"/>
      </w:r>
      <w:r>
        <w:rPr>
          <w:noProof/>
        </w:rPr>
        <w:instrText xml:space="preserve"> PAGEREF _Toc199453497 \h </w:instrText>
      </w:r>
      <w:r>
        <w:rPr>
          <w:noProof/>
        </w:rPr>
      </w:r>
      <w:r>
        <w:rPr>
          <w:noProof/>
        </w:rPr>
        <w:fldChar w:fldCharType="separate"/>
      </w:r>
      <w:r>
        <w:rPr>
          <w:noProof/>
        </w:rPr>
        <w:t>430</w:t>
      </w:r>
      <w:r>
        <w:rPr>
          <w:noProof/>
        </w:rPr>
        <w:fldChar w:fldCharType="end"/>
      </w:r>
    </w:p>
    <w:p w14:paraId="353B9762" w14:textId="0DA057AA" w:rsidR="003F6EFC" w:rsidRDefault="003F6EFC">
      <w:pPr>
        <w:pStyle w:val="TOC5"/>
        <w:rPr>
          <w:rFonts w:asciiTheme="minorHAnsi" w:eastAsiaTheme="minorEastAsia" w:hAnsiTheme="minorHAnsi" w:cstheme="minorBidi"/>
          <w:noProof/>
          <w:kern w:val="2"/>
          <w:sz w:val="21"/>
          <w:szCs w:val="22"/>
          <w:lang w:val="en-US" w:eastAsia="zh-CN"/>
        </w:rPr>
      </w:pPr>
      <w:r>
        <w:rPr>
          <w:noProof/>
        </w:rPr>
        <w:t>5.10.6.2.5</w:t>
      </w:r>
      <w:r>
        <w:rPr>
          <w:rFonts w:asciiTheme="minorHAnsi" w:eastAsiaTheme="minorEastAsia" w:hAnsiTheme="minorHAnsi" w:cstheme="minorBidi"/>
          <w:noProof/>
          <w:kern w:val="2"/>
          <w:sz w:val="21"/>
          <w:szCs w:val="22"/>
          <w:lang w:val="en-US" w:eastAsia="zh-CN"/>
        </w:rPr>
        <w:tab/>
      </w:r>
      <w:r>
        <w:rPr>
          <w:noProof/>
        </w:rPr>
        <w:t xml:space="preserve">Type </w:t>
      </w:r>
      <w:r w:rsidRPr="00D64295">
        <w:rPr>
          <w:rFonts w:eastAsia="等线"/>
          <w:noProof/>
        </w:rPr>
        <w:t>VflInferNotif</w:t>
      </w:r>
      <w:r>
        <w:rPr>
          <w:noProof/>
        </w:rPr>
        <w:tab/>
      </w:r>
      <w:r>
        <w:rPr>
          <w:noProof/>
        </w:rPr>
        <w:fldChar w:fldCharType="begin"/>
      </w:r>
      <w:r>
        <w:rPr>
          <w:noProof/>
        </w:rPr>
        <w:instrText xml:space="preserve"> PAGEREF _Toc199453498 \h </w:instrText>
      </w:r>
      <w:r>
        <w:rPr>
          <w:noProof/>
        </w:rPr>
      </w:r>
      <w:r>
        <w:rPr>
          <w:noProof/>
        </w:rPr>
        <w:fldChar w:fldCharType="separate"/>
      </w:r>
      <w:r>
        <w:rPr>
          <w:noProof/>
        </w:rPr>
        <w:t>430</w:t>
      </w:r>
      <w:r>
        <w:rPr>
          <w:noProof/>
        </w:rPr>
        <w:fldChar w:fldCharType="end"/>
      </w:r>
    </w:p>
    <w:p w14:paraId="4A2B6677" w14:textId="3643D37C" w:rsidR="003F6EFC" w:rsidRDefault="003F6EFC">
      <w:pPr>
        <w:pStyle w:val="TOC5"/>
        <w:rPr>
          <w:rFonts w:asciiTheme="minorHAnsi" w:eastAsiaTheme="minorEastAsia" w:hAnsiTheme="minorHAnsi" w:cstheme="minorBidi"/>
          <w:noProof/>
          <w:kern w:val="2"/>
          <w:sz w:val="21"/>
          <w:szCs w:val="22"/>
          <w:lang w:val="en-US" w:eastAsia="zh-CN"/>
        </w:rPr>
      </w:pPr>
      <w:r>
        <w:rPr>
          <w:noProof/>
        </w:rPr>
        <w:t>5.10.6.2.6</w:t>
      </w:r>
      <w:r>
        <w:rPr>
          <w:rFonts w:asciiTheme="minorHAnsi" w:eastAsiaTheme="minorEastAsia" w:hAnsiTheme="minorHAnsi" w:cstheme="minorBidi"/>
          <w:noProof/>
          <w:kern w:val="2"/>
          <w:sz w:val="21"/>
          <w:szCs w:val="22"/>
          <w:lang w:val="en-US" w:eastAsia="zh-CN"/>
        </w:rPr>
        <w:tab/>
      </w:r>
      <w:r>
        <w:rPr>
          <w:noProof/>
        </w:rPr>
        <w:t>Type VflInferReq</w:t>
      </w:r>
      <w:r>
        <w:rPr>
          <w:noProof/>
        </w:rPr>
        <w:tab/>
      </w:r>
      <w:r>
        <w:rPr>
          <w:noProof/>
        </w:rPr>
        <w:fldChar w:fldCharType="begin"/>
      </w:r>
      <w:r>
        <w:rPr>
          <w:noProof/>
        </w:rPr>
        <w:instrText xml:space="preserve"> PAGEREF _Toc199453499 \h </w:instrText>
      </w:r>
      <w:r>
        <w:rPr>
          <w:noProof/>
        </w:rPr>
      </w:r>
      <w:r>
        <w:rPr>
          <w:noProof/>
        </w:rPr>
        <w:fldChar w:fldCharType="separate"/>
      </w:r>
      <w:r>
        <w:rPr>
          <w:noProof/>
        </w:rPr>
        <w:t>430</w:t>
      </w:r>
      <w:r>
        <w:rPr>
          <w:noProof/>
        </w:rPr>
        <w:fldChar w:fldCharType="end"/>
      </w:r>
    </w:p>
    <w:p w14:paraId="7E06B13A" w14:textId="4544078C" w:rsidR="003F6EFC" w:rsidRDefault="003F6EFC">
      <w:pPr>
        <w:pStyle w:val="TOC5"/>
        <w:rPr>
          <w:rFonts w:asciiTheme="minorHAnsi" w:eastAsiaTheme="minorEastAsia" w:hAnsiTheme="minorHAnsi" w:cstheme="minorBidi"/>
          <w:noProof/>
          <w:kern w:val="2"/>
          <w:sz w:val="21"/>
          <w:szCs w:val="22"/>
          <w:lang w:val="en-US" w:eastAsia="zh-CN"/>
        </w:rPr>
      </w:pPr>
      <w:r>
        <w:rPr>
          <w:noProof/>
        </w:rPr>
        <w:t>5.10.6.2.7</w:t>
      </w:r>
      <w:r>
        <w:rPr>
          <w:rFonts w:asciiTheme="minorHAnsi" w:eastAsiaTheme="minorEastAsia" w:hAnsiTheme="minorHAnsi" w:cstheme="minorBidi"/>
          <w:noProof/>
          <w:kern w:val="2"/>
          <w:sz w:val="21"/>
          <w:szCs w:val="22"/>
          <w:lang w:val="en-US" w:eastAsia="zh-CN"/>
        </w:rPr>
        <w:tab/>
      </w:r>
      <w:r>
        <w:rPr>
          <w:noProof/>
        </w:rPr>
        <w:t>Type VflInferResult</w:t>
      </w:r>
      <w:r>
        <w:rPr>
          <w:noProof/>
        </w:rPr>
        <w:tab/>
      </w:r>
      <w:r>
        <w:rPr>
          <w:noProof/>
        </w:rPr>
        <w:fldChar w:fldCharType="begin"/>
      </w:r>
      <w:r>
        <w:rPr>
          <w:noProof/>
        </w:rPr>
        <w:instrText xml:space="preserve"> PAGEREF _Toc199453500 \h </w:instrText>
      </w:r>
      <w:r>
        <w:rPr>
          <w:noProof/>
        </w:rPr>
      </w:r>
      <w:r>
        <w:rPr>
          <w:noProof/>
        </w:rPr>
        <w:fldChar w:fldCharType="separate"/>
      </w:r>
      <w:r>
        <w:rPr>
          <w:noProof/>
        </w:rPr>
        <w:t>431</w:t>
      </w:r>
      <w:r>
        <w:rPr>
          <w:noProof/>
        </w:rPr>
        <w:fldChar w:fldCharType="end"/>
      </w:r>
    </w:p>
    <w:p w14:paraId="61CA01A5" w14:textId="016998A2" w:rsidR="003F6EFC" w:rsidRDefault="003F6EFC">
      <w:pPr>
        <w:pStyle w:val="TOC4"/>
        <w:rPr>
          <w:rFonts w:asciiTheme="minorHAnsi" w:eastAsiaTheme="minorEastAsia" w:hAnsiTheme="minorHAnsi" w:cstheme="minorBidi"/>
          <w:noProof/>
          <w:kern w:val="2"/>
          <w:sz w:val="21"/>
          <w:szCs w:val="22"/>
          <w:lang w:val="en-US" w:eastAsia="zh-CN"/>
        </w:rPr>
      </w:pPr>
      <w:r>
        <w:rPr>
          <w:noProof/>
        </w:rPr>
        <w:t>5.10.6.3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_Toc199453501 \h </w:instrText>
      </w:r>
      <w:r>
        <w:rPr>
          <w:noProof/>
        </w:rPr>
      </w:r>
      <w:r>
        <w:rPr>
          <w:noProof/>
        </w:rPr>
        <w:fldChar w:fldCharType="separate"/>
      </w:r>
      <w:r>
        <w:rPr>
          <w:noProof/>
        </w:rPr>
        <w:t>431</w:t>
      </w:r>
      <w:r>
        <w:rPr>
          <w:noProof/>
        </w:rPr>
        <w:fldChar w:fldCharType="end"/>
      </w:r>
    </w:p>
    <w:p w14:paraId="1DADEF49" w14:textId="27615956" w:rsidR="003F6EFC" w:rsidRDefault="003F6EFC">
      <w:pPr>
        <w:pStyle w:val="TOC5"/>
        <w:rPr>
          <w:rFonts w:asciiTheme="minorHAnsi" w:eastAsiaTheme="minorEastAsia" w:hAnsiTheme="minorHAnsi" w:cstheme="minorBidi"/>
          <w:noProof/>
          <w:kern w:val="2"/>
          <w:sz w:val="21"/>
          <w:szCs w:val="22"/>
          <w:lang w:val="en-US" w:eastAsia="zh-CN"/>
        </w:rPr>
      </w:pPr>
      <w:r>
        <w:rPr>
          <w:noProof/>
        </w:rPr>
        <w:t>5.10.6.3.1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_Toc199453502 \h </w:instrText>
      </w:r>
      <w:r>
        <w:rPr>
          <w:noProof/>
        </w:rPr>
      </w:r>
      <w:r>
        <w:rPr>
          <w:noProof/>
        </w:rPr>
        <w:fldChar w:fldCharType="separate"/>
      </w:r>
      <w:r>
        <w:rPr>
          <w:noProof/>
        </w:rPr>
        <w:t>431</w:t>
      </w:r>
      <w:r>
        <w:rPr>
          <w:noProof/>
        </w:rPr>
        <w:fldChar w:fldCharType="end"/>
      </w:r>
    </w:p>
    <w:p w14:paraId="34C17CEA" w14:textId="5CDF3022" w:rsidR="003F6EFC" w:rsidRDefault="003F6EFC">
      <w:pPr>
        <w:pStyle w:val="TOC5"/>
        <w:rPr>
          <w:rFonts w:asciiTheme="minorHAnsi" w:eastAsiaTheme="minorEastAsia" w:hAnsiTheme="minorHAnsi" w:cstheme="minorBidi"/>
          <w:noProof/>
          <w:kern w:val="2"/>
          <w:sz w:val="21"/>
          <w:szCs w:val="22"/>
          <w:lang w:val="en-US" w:eastAsia="zh-CN"/>
        </w:rPr>
      </w:pPr>
      <w:r>
        <w:rPr>
          <w:noProof/>
        </w:rPr>
        <w:t>5.10.6.3.2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_Toc199453503 \h </w:instrText>
      </w:r>
      <w:r>
        <w:rPr>
          <w:noProof/>
        </w:rPr>
      </w:r>
      <w:r>
        <w:rPr>
          <w:noProof/>
        </w:rPr>
        <w:fldChar w:fldCharType="separate"/>
      </w:r>
      <w:r>
        <w:rPr>
          <w:noProof/>
        </w:rPr>
        <w:t>431</w:t>
      </w:r>
      <w:r>
        <w:rPr>
          <w:noProof/>
        </w:rPr>
        <w:fldChar w:fldCharType="end"/>
      </w:r>
    </w:p>
    <w:p w14:paraId="7DE1FC17" w14:textId="7AF3263F"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5.10.7</w:t>
      </w:r>
      <w:r>
        <w:rPr>
          <w:rFonts w:asciiTheme="minorHAnsi" w:eastAsiaTheme="minorEastAsia" w:hAnsiTheme="minorHAnsi" w:cstheme="minorBidi"/>
          <w:noProof/>
          <w:kern w:val="2"/>
          <w:sz w:val="21"/>
          <w:szCs w:val="22"/>
          <w:lang w:val="en-US" w:eastAsia="zh-CN"/>
        </w:rPr>
        <w:tab/>
      </w:r>
      <w:r w:rsidRPr="00D64295">
        <w:rPr>
          <w:noProof/>
          <w:lang w:val="en-US"/>
        </w:rPr>
        <w:t>Error handling</w:t>
      </w:r>
      <w:r>
        <w:rPr>
          <w:noProof/>
        </w:rPr>
        <w:tab/>
      </w:r>
      <w:r>
        <w:rPr>
          <w:noProof/>
        </w:rPr>
        <w:fldChar w:fldCharType="begin"/>
      </w:r>
      <w:r>
        <w:rPr>
          <w:noProof/>
        </w:rPr>
        <w:instrText xml:space="preserve"> PAGEREF _Toc199453504 \h </w:instrText>
      </w:r>
      <w:r>
        <w:rPr>
          <w:noProof/>
        </w:rPr>
      </w:r>
      <w:r>
        <w:rPr>
          <w:noProof/>
        </w:rPr>
        <w:fldChar w:fldCharType="separate"/>
      </w:r>
      <w:r>
        <w:rPr>
          <w:noProof/>
        </w:rPr>
        <w:t>431</w:t>
      </w:r>
      <w:r>
        <w:rPr>
          <w:noProof/>
        </w:rPr>
        <w:fldChar w:fldCharType="end"/>
      </w:r>
    </w:p>
    <w:p w14:paraId="6190EB73" w14:textId="354A7E0A" w:rsidR="003F6EFC" w:rsidRDefault="003F6EFC">
      <w:pPr>
        <w:pStyle w:val="TOC4"/>
        <w:rPr>
          <w:rFonts w:asciiTheme="minorHAnsi" w:eastAsiaTheme="minorEastAsia" w:hAnsiTheme="minorHAnsi" w:cstheme="minorBidi"/>
          <w:noProof/>
          <w:kern w:val="2"/>
          <w:sz w:val="21"/>
          <w:szCs w:val="22"/>
          <w:lang w:val="en-US" w:eastAsia="zh-CN"/>
        </w:rPr>
      </w:pPr>
      <w:r>
        <w:rPr>
          <w:noProof/>
        </w:rPr>
        <w:t>5.10.7.1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_Toc199453505 \h </w:instrText>
      </w:r>
      <w:r>
        <w:rPr>
          <w:noProof/>
        </w:rPr>
      </w:r>
      <w:r>
        <w:rPr>
          <w:noProof/>
        </w:rPr>
        <w:fldChar w:fldCharType="separate"/>
      </w:r>
      <w:r>
        <w:rPr>
          <w:noProof/>
        </w:rPr>
        <w:t>431</w:t>
      </w:r>
      <w:r>
        <w:rPr>
          <w:noProof/>
        </w:rPr>
        <w:fldChar w:fldCharType="end"/>
      </w:r>
    </w:p>
    <w:p w14:paraId="0FA5869A" w14:textId="544095A5" w:rsidR="003F6EFC" w:rsidRDefault="003F6EFC">
      <w:pPr>
        <w:pStyle w:val="TOC4"/>
        <w:rPr>
          <w:rFonts w:asciiTheme="minorHAnsi" w:eastAsiaTheme="minorEastAsia" w:hAnsiTheme="minorHAnsi" w:cstheme="minorBidi"/>
          <w:noProof/>
          <w:kern w:val="2"/>
          <w:sz w:val="21"/>
          <w:szCs w:val="22"/>
          <w:lang w:val="en-US" w:eastAsia="zh-CN"/>
        </w:rPr>
      </w:pPr>
      <w:r>
        <w:rPr>
          <w:noProof/>
        </w:rPr>
        <w:t>5.10.7.2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_Toc199453506 \h </w:instrText>
      </w:r>
      <w:r>
        <w:rPr>
          <w:noProof/>
        </w:rPr>
      </w:r>
      <w:r>
        <w:rPr>
          <w:noProof/>
        </w:rPr>
        <w:fldChar w:fldCharType="separate"/>
      </w:r>
      <w:r>
        <w:rPr>
          <w:noProof/>
        </w:rPr>
        <w:t>431</w:t>
      </w:r>
      <w:r>
        <w:rPr>
          <w:noProof/>
        </w:rPr>
        <w:fldChar w:fldCharType="end"/>
      </w:r>
    </w:p>
    <w:p w14:paraId="5C298408" w14:textId="24A61DC4" w:rsidR="003F6EFC" w:rsidRDefault="003F6EFC">
      <w:pPr>
        <w:pStyle w:val="TOC4"/>
        <w:rPr>
          <w:rFonts w:asciiTheme="minorHAnsi" w:eastAsiaTheme="minorEastAsia" w:hAnsiTheme="minorHAnsi" w:cstheme="minorBidi"/>
          <w:noProof/>
          <w:kern w:val="2"/>
          <w:sz w:val="21"/>
          <w:szCs w:val="22"/>
          <w:lang w:val="en-US" w:eastAsia="zh-CN"/>
        </w:rPr>
      </w:pPr>
      <w:r>
        <w:rPr>
          <w:noProof/>
        </w:rPr>
        <w:t>5.10.7.3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_Toc199453507 \h </w:instrText>
      </w:r>
      <w:r>
        <w:rPr>
          <w:noProof/>
        </w:rPr>
      </w:r>
      <w:r>
        <w:rPr>
          <w:noProof/>
        </w:rPr>
        <w:fldChar w:fldCharType="separate"/>
      </w:r>
      <w:r>
        <w:rPr>
          <w:noProof/>
        </w:rPr>
        <w:t>432</w:t>
      </w:r>
      <w:r>
        <w:rPr>
          <w:noProof/>
        </w:rPr>
        <w:fldChar w:fldCharType="end"/>
      </w:r>
    </w:p>
    <w:p w14:paraId="3FBB08B0" w14:textId="1F30C0C1"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5.10.8</w:t>
      </w:r>
      <w:r>
        <w:rPr>
          <w:rFonts w:asciiTheme="minorHAnsi" w:eastAsiaTheme="minorEastAsia" w:hAnsiTheme="minorHAnsi" w:cstheme="minorBidi"/>
          <w:noProof/>
          <w:kern w:val="2"/>
          <w:sz w:val="21"/>
          <w:szCs w:val="22"/>
          <w:lang w:val="en-US" w:eastAsia="zh-CN"/>
        </w:rPr>
        <w:tab/>
      </w:r>
      <w:r w:rsidRPr="00D64295">
        <w:rPr>
          <w:noProof/>
          <w:lang w:val="en-US"/>
        </w:rPr>
        <w:t>Feature negotiation</w:t>
      </w:r>
      <w:r>
        <w:rPr>
          <w:noProof/>
        </w:rPr>
        <w:tab/>
      </w:r>
      <w:r>
        <w:rPr>
          <w:noProof/>
        </w:rPr>
        <w:fldChar w:fldCharType="begin"/>
      </w:r>
      <w:r>
        <w:rPr>
          <w:noProof/>
        </w:rPr>
        <w:instrText xml:space="preserve"> PAGEREF _Toc199453508 \h </w:instrText>
      </w:r>
      <w:r>
        <w:rPr>
          <w:noProof/>
        </w:rPr>
      </w:r>
      <w:r>
        <w:rPr>
          <w:noProof/>
        </w:rPr>
        <w:fldChar w:fldCharType="separate"/>
      </w:r>
      <w:r>
        <w:rPr>
          <w:noProof/>
        </w:rPr>
        <w:t>432</w:t>
      </w:r>
      <w:r>
        <w:rPr>
          <w:noProof/>
        </w:rPr>
        <w:fldChar w:fldCharType="end"/>
      </w:r>
    </w:p>
    <w:p w14:paraId="0549235B" w14:textId="52BAF3A4" w:rsidR="003F6EFC" w:rsidRDefault="003F6EFC">
      <w:pPr>
        <w:pStyle w:val="TOC3"/>
        <w:rPr>
          <w:rFonts w:asciiTheme="minorHAnsi" w:eastAsiaTheme="minorEastAsia" w:hAnsiTheme="minorHAnsi" w:cstheme="minorBidi"/>
          <w:noProof/>
          <w:kern w:val="2"/>
          <w:sz w:val="21"/>
          <w:szCs w:val="22"/>
          <w:lang w:val="en-US" w:eastAsia="zh-CN"/>
        </w:rPr>
      </w:pPr>
      <w:r w:rsidRPr="00D64295">
        <w:rPr>
          <w:noProof/>
          <w:lang w:val="en-US"/>
        </w:rPr>
        <w:t>5.10.9</w:t>
      </w:r>
      <w:r>
        <w:rPr>
          <w:rFonts w:asciiTheme="minorHAnsi" w:eastAsiaTheme="minorEastAsia" w:hAnsiTheme="minorHAnsi" w:cstheme="minorBidi"/>
          <w:noProof/>
          <w:kern w:val="2"/>
          <w:sz w:val="21"/>
          <w:szCs w:val="22"/>
          <w:lang w:val="en-US" w:eastAsia="zh-CN"/>
        </w:rPr>
        <w:tab/>
      </w:r>
      <w:r w:rsidRPr="00D64295">
        <w:rPr>
          <w:noProof/>
          <w:lang w:val="en-US"/>
        </w:rPr>
        <w:t>Security</w:t>
      </w:r>
      <w:r>
        <w:rPr>
          <w:noProof/>
        </w:rPr>
        <w:tab/>
      </w:r>
      <w:r>
        <w:rPr>
          <w:noProof/>
        </w:rPr>
        <w:fldChar w:fldCharType="begin"/>
      </w:r>
      <w:r>
        <w:rPr>
          <w:noProof/>
        </w:rPr>
        <w:instrText xml:space="preserve"> PAGEREF _Toc199453509 \h </w:instrText>
      </w:r>
      <w:r>
        <w:rPr>
          <w:noProof/>
        </w:rPr>
      </w:r>
      <w:r>
        <w:rPr>
          <w:noProof/>
        </w:rPr>
        <w:fldChar w:fldCharType="separate"/>
      </w:r>
      <w:r>
        <w:rPr>
          <w:noProof/>
        </w:rPr>
        <w:t>432</w:t>
      </w:r>
      <w:r>
        <w:rPr>
          <w:noProof/>
        </w:rPr>
        <w:fldChar w:fldCharType="end"/>
      </w:r>
    </w:p>
    <w:p w14:paraId="61DDFE3F" w14:textId="7BC9A5DC" w:rsidR="003F6EFC" w:rsidRDefault="003F6EFC">
      <w:pPr>
        <w:pStyle w:val="TOC8"/>
        <w:rPr>
          <w:rFonts w:asciiTheme="minorHAnsi" w:eastAsiaTheme="minorEastAsia" w:hAnsiTheme="minorHAnsi" w:cstheme="minorBidi"/>
          <w:b w:val="0"/>
          <w:noProof/>
          <w:kern w:val="2"/>
          <w:sz w:val="21"/>
          <w:szCs w:val="22"/>
          <w:lang w:val="en-US" w:eastAsia="zh-CN"/>
        </w:rPr>
      </w:pPr>
      <w:r>
        <w:rPr>
          <w:noProof/>
        </w:rPr>
        <w:lastRenderedPageBreak/>
        <w:t>Annex A (normative):</w:t>
      </w:r>
      <w:r w:rsidRPr="00D64295">
        <w:rPr>
          <w:noProof/>
          <w:lang w:val="en-US" w:eastAsia="zh-CN"/>
        </w:rPr>
        <w:t xml:space="preserve"> OpenAPI specification</w:t>
      </w:r>
      <w:r>
        <w:rPr>
          <w:noProof/>
        </w:rPr>
        <w:tab/>
      </w:r>
      <w:r>
        <w:rPr>
          <w:noProof/>
        </w:rPr>
        <w:fldChar w:fldCharType="begin"/>
      </w:r>
      <w:r>
        <w:rPr>
          <w:noProof/>
        </w:rPr>
        <w:instrText xml:space="preserve"> PAGEREF _Toc199453510 \h </w:instrText>
      </w:r>
      <w:r>
        <w:rPr>
          <w:noProof/>
        </w:rPr>
      </w:r>
      <w:r>
        <w:rPr>
          <w:noProof/>
        </w:rPr>
        <w:fldChar w:fldCharType="separate"/>
      </w:r>
      <w:r>
        <w:rPr>
          <w:noProof/>
        </w:rPr>
        <w:t>433</w:t>
      </w:r>
      <w:r>
        <w:rPr>
          <w:noProof/>
        </w:rPr>
        <w:fldChar w:fldCharType="end"/>
      </w:r>
    </w:p>
    <w:p w14:paraId="1C6FACD4" w14:textId="0CE0838B" w:rsidR="003F6EFC" w:rsidRDefault="003F6EFC">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_Toc199453511 \h </w:instrText>
      </w:r>
      <w:r>
        <w:rPr>
          <w:noProof/>
        </w:rPr>
      </w:r>
      <w:r>
        <w:rPr>
          <w:noProof/>
        </w:rPr>
        <w:fldChar w:fldCharType="separate"/>
      </w:r>
      <w:r>
        <w:rPr>
          <w:noProof/>
        </w:rPr>
        <w:t>433</w:t>
      </w:r>
      <w:r>
        <w:rPr>
          <w:noProof/>
        </w:rPr>
        <w:fldChar w:fldCharType="end"/>
      </w:r>
    </w:p>
    <w:p w14:paraId="0345F0C0" w14:textId="0B013CAB" w:rsidR="003F6EFC" w:rsidRDefault="003F6EFC">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sidRPr="00D64295">
        <w:rPr>
          <w:noProof/>
          <w:lang w:val="en-US" w:eastAsia="zh-CN"/>
        </w:rPr>
        <w:t>Nnwdaf_EventsSubscription API</w:t>
      </w:r>
      <w:r>
        <w:rPr>
          <w:noProof/>
        </w:rPr>
        <w:tab/>
      </w:r>
      <w:r>
        <w:rPr>
          <w:noProof/>
        </w:rPr>
        <w:fldChar w:fldCharType="begin"/>
      </w:r>
      <w:r>
        <w:rPr>
          <w:noProof/>
        </w:rPr>
        <w:instrText xml:space="preserve"> PAGEREF _Toc199453512 \h </w:instrText>
      </w:r>
      <w:r>
        <w:rPr>
          <w:noProof/>
        </w:rPr>
      </w:r>
      <w:r>
        <w:rPr>
          <w:noProof/>
        </w:rPr>
        <w:fldChar w:fldCharType="separate"/>
      </w:r>
      <w:r>
        <w:rPr>
          <w:noProof/>
        </w:rPr>
        <w:t>433</w:t>
      </w:r>
      <w:r>
        <w:rPr>
          <w:noProof/>
        </w:rPr>
        <w:fldChar w:fldCharType="end"/>
      </w:r>
    </w:p>
    <w:p w14:paraId="2D319DEA" w14:textId="32021A5B" w:rsidR="003F6EFC" w:rsidRDefault="003F6EFC">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sidRPr="00D64295">
        <w:rPr>
          <w:noProof/>
          <w:lang w:val="en-US" w:eastAsia="zh-CN"/>
        </w:rPr>
        <w:t>Nnwdaf_AnalyticsInfo API</w:t>
      </w:r>
      <w:r>
        <w:rPr>
          <w:noProof/>
        </w:rPr>
        <w:tab/>
      </w:r>
      <w:r>
        <w:rPr>
          <w:noProof/>
        </w:rPr>
        <w:fldChar w:fldCharType="begin"/>
      </w:r>
      <w:r>
        <w:rPr>
          <w:noProof/>
        </w:rPr>
        <w:instrText xml:space="preserve"> PAGEREF _Toc199453513 \h </w:instrText>
      </w:r>
      <w:r>
        <w:rPr>
          <w:noProof/>
        </w:rPr>
      </w:r>
      <w:r>
        <w:rPr>
          <w:noProof/>
        </w:rPr>
        <w:fldChar w:fldCharType="separate"/>
      </w:r>
      <w:r>
        <w:rPr>
          <w:noProof/>
        </w:rPr>
        <w:t>491</w:t>
      </w:r>
      <w:r>
        <w:rPr>
          <w:noProof/>
        </w:rPr>
        <w:fldChar w:fldCharType="end"/>
      </w:r>
    </w:p>
    <w:p w14:paraId="6383DB45" w14:textId="01644F37" w:rsidR="003F6EFC" w:rsidRDefault="003F6EFC">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lang w:eastAsia="ja-JP"/>
        </w:rPr>
        <w:t>Nnwdaf_DataManagement</w:t>
      </w:r>
      <w:r w:rsidRPr="00D64295">
        <w:rPr>
          <w:noProof/>
          <w:lang w:val="en-US" w:eastAsia="zh-CN"/>
        </w:rPr>
        <w:t xml:space="preserve"> API</w:t>
      </w:r>
      <w:r>
        <w:rPr>
          <w:noProof/>
        </w:rPr>
        <w:tab/>
      </w:r>
      <w:r>
        <w:rPr>
          <w:noProof/>
        </w:rPr>
        <w:fldChar w:fldCharType="begin"/>
      </w:r>
      <w:r>
        <w:rPr>
          <w:noProof/>
        </w:rPr>
        <w:instrText xml:space="preserve"> PAGEREF _Toc199453514 \h </w:instrText>
      </w:r>
      <w:r>
        <w:rPr>
          <w:noProof/>
        </w:rPr>
      </w:r>
      <w:r>
        <w:rPr>
          <w:noProof/>
        </w:rPr>
        <w:fldChar w:fldCharType="separate"/>
      </w:r>
      <w:r>
        <w:rPr>
          <w:noProof/>
        </w:rPr>
        <w:t>504</w:t>
      </w:r>
      <w:r>
        <w:rPr>
          <w:noProof/>
        </w:rPr>
        <w:fldChar w:fldCharType="end"/>
      </w:r>
    </w:p>
    <w:p w14:paraId="547FDEED" w14:textId="45DEE4EE" w:rsidR="003F6EFC" w:rsidRDefault="003F6EFC">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sidRPr="00D64295">
        <w:rPr>
          <w:noProof/>
          <w:lang w:val="en-US" w:eastAsia="zh-CN"/>
        </w:rPr>
        <w:t>Nnwdaf_MLModelProvision API</w:t>
      </w:r>
      <w:r>
        <w:rPr>
          <w:noProof/>
        </w:rPr>
        <w:tab/>
      </w:r>
      <w:r>
        <w:rPr>
          <w:noProof/>
        </w:rPr>
        <w:fldChar w:fldCharType="begin"/>
      </w:r>
      <w:r>
        <w:rPr>
          <w:noProof/>
        </w:rPr>
        <w:instrText xml:space="preserve"> PAGEREF _Toc199453515 \h </w:instrText>
      </w:r>
      <w:r>
        <w:rPr>
          <w:noProof/>
        </w:rPr>
      </w:r>
      <w:r>
        <w:rPr>
          <w:noProof/>
        </w:rPr>
        <w:fldChar w:fldCharType="separate"/>
      </w:r>
      <w:r>
        <w:rPr>
          <w:noProof/>
        </w:rPr>
        <w:t>510</w:t>
      </w:r>
      <w:r>
        <w:rPr>
          <w:noProof/>
        </w:rPr>
        <w:fldChar w:fldCharType="end"/>
      </w:r>
    </w:p>
    <w:p w14:paraId="48980369" w14:textId="6D1BBDC9" w:rsidR="003F6EFC" w:rsidRDefault="003F6EFC">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D64295">
        <w:rPr>
          <w:noProof/>
          <w:lang w:val="en-US" w:eastAsia="zh-CN"/>
        </w:rPr>
        <w:t>Nnwdaf_MLModelTraining API</w:t>
      </w:r>
      <w:r>
        <w:rPr>
          <w:noProof/>
        </w:rPr>
        <w:tab/>
      </w:r>
      <w:r>
        <w:rPr>
          <w:noProof/>
        </w:rPr>
        <w:fldChar w:fldCharType="begin"/>
      </w:r>
      <w:r>
        <w:rPr>
          <w:noProof/>
        </w:rPr>
        <w:instrText xml:space="preserve"> PAGEREF _Toc199453516 \h </w:instrText>
      </w:r>
      <w:r>
        <w:rPr>
          <w:noProof/>
        </w:rPr>
      </w:r>
      <w:r>
        <w:rPr>
          <w:noProof/>
        </w:rPr>
        <w:fldChar w:fldCharType="separate"/>
      </w:r>
      <w:r>
        <w:rPr>
          <w:noProof/>
        </w:rPr>
        <w:t>517</w:t>
      </w:r>
      <w:r>
        <w:rPr>
          <w:noProof/>
        </w:rPr>
        <w:fldChar w:fldCharType="end"/>
      </w:r>
    </w:p>
    <w:p w14:paraId="0AC7C0C5" w14:textId="20ECE2B8" w:rsidR="003F6EFC" w:rsidRDefault="003F6EFC">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D64295">
        <w:rPr>
          <w:noProof/>
          <w:lang w:val="en-US" w:eastAsia="zh-CN"/>
        </w:rPr>
        <w:t>Nnwdaf_MLModelMonitor</w:t>
      </w:r>
      <w:r w:rsidRPr="00D64295">
        <w:rPr>
          <w:noProof/>
          <w:lang w:val="en-US" w:eastAsia="zh-CN"/>
        </w:rPr>
        <w:t xml:space="preserve"> API</w:t>
      </w:r>
      <w:r>
        <w:rPr>
          <w:noProof/>
        </w:rPr>
        <w:tab/>
      </w:r>
      <w:r>
        <w:rPr>
          <w:noProof/>
        </w:rPr>
        <w:fldChar w:fldCharType="begin"/>
      </w:r>
      <w:r>
        <w:rPr>
          <w:noProof/>
        </w:rPr>
        <w:instrText xml:space="preserve"> PAGEREF _Toc199453517 \h </w:instrText>
      </w:r>
      <w:r>
        <w:rPr>
          <w:noProof/>
        </w:rPr>
      </w:r>
      <w:r>
        <w:rPr>
          <w:noProof/>
        </w:rPr>
        <w:fldChar w:fldCharType="separate"/>
      </w:r>
      <w:r>
        <w:rPr>
          <w:noProof/>
        </w:rPr>
        <w:t>525</w:t>
      </w:r>
      <w:r>
        <w:rPr>
          <w:noProof/>
        </w:rPr>
        <w:fldChar w:fldCharType="end"/>
      </w:r>
    </w:p>
    <w:p w14:paraId="2C3AEF14" w14:textId="390D7F55" w:rsidR="003F6EFC" w:rsidRDefault="003F6EFC">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sidRPr="00D64295">
        <w:rPr>
          <w:noProof/>
          <w:lang w:val="en-US" w:eastAsia="zh-CN"/>
        </w:rPr>
        <w:t>Nnwdaf_RoamingData</w:t>
      </w:r>
      <w:r w:rsidRPr="00D64295">
        <w:rPr>
          <w:noProof/>
          <w:lang w:val="en-US" w:eastAsia="zh-CN"/>
        </w:rPr>
        <w:t xml:space="preserve"> API</w:t>
      </w:r>
      <w:r>
        <w:rPr>
          <w:noProof/>
        </w:rPr>
        <w:tab/>
      </w:r>
      <w:r>
        <w:rPr>
          <w:noProof/>
        </w:rPr>
        <w:fldChar w:fldCharType="begin"/>
      </w:r>
      <w:r>
        <w:rPr>
          <w:noProof/>
        </w:rPr>
        <w:instrText xml:space="preserve"> PAGEREF _Toc199453518 \h </w:instrText>
      </w:r>
      <w:r>
        <w:rPr>
          <w:noProof/>
        </w:rPr>
      </w:r>
      <w:r>
        <w:rPr>
          <w:noProof/>
        </w:rPr>
        <w:fldChar w:fldCharType="separate"/>
      </w:r>
      <w:r>
        <w:rPr>
          <w:noProof/>
        </w:rPr>
        <w:t>531</w:t>
      </w:r>
      <w:r>
        <w:rPr>
          <w:noProof/>
        </w:rPr>
        <w:fldChar w:fldCharType="end"/>
      </w:r>
    </w:p>
    <w:p w14:paraId="6BF29DDE" w14:textId="606BA999" w:rsidR="003F6EFC" w:rsidRDefault="003F6EFC">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sidRPr="00D64295">
        <w:rPr>
          <w:noProof/>
          <w:lang w:val="en-US" w:eastAsia="zh-CN"/>
        </w:rPr>
        <w:t>Nnwdaf_VFLTraining API</w:t>
      </w:r>
      <w:r>
        <w:rPr>
          <w:noProof/>
        </w:rPr>
        <w:tab/>
      </w:r>
      <w:r>
        <w:rPr>
          <w:noProof/>
        </w:rPr>
        <w:fldChar w:fldCharType="begin"/>
      </w:r>
      <w:r>
        <w:rPr>
          <w:noProof/>
        </w:rPr>
        <w:instrText xml:space="preserve"> PAGEREF _Toc199453519 \h </w:instrText>
      </w:r>
      <w:r>
        <w:rPr>
          <w:noProof/>
        </w:rPr>
      </w:r>
      <w:r>
        <w:rPr>
          <w:noProof/>
        </w:rPr>
        <w:fldChar w:fldCharType="separate"/>
      </w:r>
      <w:r>
        <w:rPr>
          <w:noProof/>
        </w:rPr>
        <w:t>539</w:t>
      </w:r>
      <w:r>
        <w:rPr>
          <w:noProof/>
        </w:rPr>
        <w:fldChar w:fldCharType="end"/>
      </w:r>
    </w:p>
    <w:p w14:paraId="559F320D" w14:textId="1806A4F7" w:rsidR="003F6EFC" w:rsidRDefault="003F6EFC">
      <w:pPr>
        <w:pStyle w:val="TOC8"/>
        <w:rPr>
          <w:rFonts w:asciiTheme="minorHAnsi" w:eastAsiaTheme="minorEastAsia" w:hAnsiTheme="minorHAnsi" w:cstheme="minorBidi"/>
          <w:b w:val="0"/>
          <w:noProof/>
          <w:kern w:val="2"/>
          <w:sz w:val="21"/>
          <w:szCs w:val="22"/>
          <w:lang w:val="en-US" w:eastAsia="zh-CN"/>
        </w:rPr>
      </w:pPr>
      <w:r>
        <w:rPr>
          <w:noProof/>
        </w:rPr>
        <w:t xml:space="preserve">Annex </w:t>
      </w:r>
      <w:r>
        <w:rPr>
          <w:noProof/>
          <w:lang w:eastAsia="zh-CN"/>
        </w:rPr>
        <w:t>B</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_Toc199453520 \h </w:instrText>
      </w:r>
      <w:r>
        <w:rPr>
          <w:noProof/>
        </w:rPr>
      </w:r>
      <w:r>
        <w:rPr>
          <w:noProof/>
        </w:rPr>
        <w:fldChar w:fldCharType="separate"/>
      </w:r>
      <w:r>
        <w:rPr>
          <w:noProof/>
        </w:rPr>
        <w:t>549</w:t>
      </w:r>
      <w:r>
        <w:rPr>
          <w:noProof/>
        </w:rPr>
        <w:fldChar w:fldCharType="end"/>
      </w:r>
    </w:p>
    <w:p w14:paraId="5A8D4C20" w14:textId="6BBE4499" w:rsidR="00A10B25" w:rsidRDefault="003F6EFC">
      <w:pPr>
        <w:rPr>
          <w:lang w:eastAsia="zh-CN"/>
        </w:rPr>
      </w:pPr>
      <w:r>
        <w:rPr>
          <w:lang w:val="en-US"/>
        </w:rPr>
        <w:fldChar w:fldCharType="end"/>
      </w:r>
    </w:p>
    <w:p w14:paraId="79AE4A9A" w14:textId="77777777" w:rsidR="00A10B25" w:rsidRDefault="00A10B25">
      <w:pPr>
        <w:pStyle w:val="1"/>
      </w:pPr>
      <w:r>
        <w:br w:type="page"/>
      </w:r>
      <w:bookmarkStart w:id="6" w:name="_Toc66231723"/>
      <w:bookmarkStart w:id="7" w:name="_Toc90655742"/>
      <w:bookmarkStart w:id="8" w:name="_Toc101244279"/>
      <w:bookmarkStart w:id="9" w:name="_Toc43563427"/>
      <w:bookmarkStart w:id="10" w:name="_Toc28012744"/>
      <w:bookmarkStart w:id="11" w:name="_Toc56640887"/>
      <w:bookmarkStart w:id="12" w:name="_Toc36102385"/>
      <w:bookmarkStart w:id="13" w:name="_Toc114133669"/>
      <w:bookmarkStart w:id="14" w:name="_Toc112950990"/>
      <w:bookmarkStart w:id="15" w:name="_Toc104538868"/>
      <w:bookmarkStart w:id="16" w:name="_Toc85556955"/>
      <w:bookmarkStart w:id="17" w:name="_Toc94064123"/>
      <w:bookmarkStart w:id="18" w:name="_Toc68168884"/>
      <w:bookmarkStart w:id="19" w:name="_Toc45133970"/>
      <w:bookmarkStart w:id="20" w:name="_Toc88667457"/>
      <w:bookmarkStart w:id="21" w:name="_Toc51762820"/>
      <w:bookmarkStart w:id="22" w:name="_Toc85552856"/>
      <w:bookmarkStart w:id="23" w:name="_Toc98233503"/>
      <w:bookmarkStart w:id="24" w:name="_Toc113031530"/>
      <w:bookmarkStart w:id="25" w:name="_Toc59017855"/>
      <w:bookmarkStart w:id="26" w:name="_Toc120702169"/>
      <w:bookmarkStart w:id="27" w:name="_Toc50031900"/>
      <w:bookmarkStart w:id="28" w:name="_Toc83232967"/>
      <w:bookmarkStart w:id="29" w:name="_Toc136562216"/>
      <w:bookmarkStart w:id="30" w:name="_Toc34266214"/>
      <w:bookmarkStart w:id="31" w:name="_Toc138754050"/>
      <w:bookmarkStart w:id="32" w:name="_Toc70550530"/>
      <w:bookmarkStart w:id="33" w:name="_Toc145705537"/>
      <w:bookmarkStart w:id="34" w:name="_Toc148522441"/>
      <w:bookmarkStart w:id="35" w:name="_Toc164920565"/>
      <w:bookmarkStart w:id="36" w:name="_Toc170120107"/>
      <w:bookmarkStart w:id="37" w:name="_Toc175858352"/>
      <w:bookmarkStart w:id="38" w:name="_Toc175859425"/>
      <w:bookmarkStart w:id="39" w:name="_Toc180605715"/>
      <w:bookmarkStart w:id="40" w:name="_Toc185516969"/>
      <w:bookmarkStart w:id="41" w:name="_Toc191576020"/>
      <w:bookmarkStart w:id="42" w:name="_Toc191576760"/>
      <w:bookmarkStart w:id="43" w:name="_Toc192879830"/>
      <w:bookmarkStart w:id="44" w:name="_Toc195814713"/>
      <w:bookmarkStart w:id="45" w:name="_Toc199452660"/>
      <w:r>
        <w:lastRenderedPageBreak/>
        <w:t>Foreword</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E70FF97" w14:textId="77777777" w:rsidR="00A10B25" w:rsidRDefault="00A10B25">
      <w:r>
        <w:t>This Technical Specification has bee</w:t>
      </w:r>
      <w:r>
        <w:lastRenderedPageBreak/>
        <w:t>n produced by the 3</w:t>
      </w:r>
      <w:r>
        <w:rPr>
          <w:vertAlign w:val="superscript"/>
        </w:rPr>
        <w:t>rd</w:t>
      </w:r>
      <w:r>
        <w:t xml:space="preserve"> Generation Partnership Project (3GPP).</w:t>
      </w:r>
    </w:p>
    <w:p w14:paraId="400A1142" w14:textId="77777777" w:rsidR="00A10B25" w:rsidRDefault="00A10B2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44DCCD" w14:textId="77777777" w:rsidR="00A10B25" w:rsidRDefault="00A10B25">
      <w:pPr>
        <w:pStyle w:val="B1"/>
      </w:pPr>
      <w:r>
        <w:t>Version x.y.z</w:t>
      </w:r>
    </w:p>
    <w:p w14:paraId="35D79DC8" w14:textId="77777777" w:rsidR="00A10B25" w:rsidRDefault="00A10B25">
      <w:pPr>
        <w:pStyle w:val="B1"/>
      </w:pPr>
      <w:r>
        <w:t>where:</w:t>
      </w:r>
    </w:p>
    <w:p w14:paraId="2BCCDE6B" w14:textId="77777777" w:rsidR="00A10B25" w:rsidRDefault="00A10B25">
      <w:pPr>
        <w:pStyle w:val="B2"/>
      </w:pPr>
      <w:r>
        <w:t>x</w:t>
      </w:r>
      <w:r>
        <w:tab/>
        <w:t>the first digit:</w:t>
      </w:r>
    </w:p>
    <w:p w14:paraId="6D7D83C3" w14:textId="77777777" w:rsidR="00A10B25" w:rsidRDefault="00A10B25">
      <w:pPr>
        <w:pStyle w:val="B3"/>
      </w:pPr>
      <w:r>
        <w:t>1</w:t>
      </w:r>
      <w:r>
        <w:tab/>
        <w:t>presented to TSG for information;</w:t>
      </w:r>
    </w:p>
    <w:p w14:paraId="0334C854" w14:textId="77777777" w:rsidR="00A10B25" w:rsidRDefault="00A10B25">
      <w:pPr>
        <w:pStyle w:val="B3"/>
      </w:pPr>
      <w:r>
        <w:t>2</w:t>
      </w:r>
      <w:r>
        <w:tab/>
        <w:t>presented to TSG for approval;</w:t>
      </w:r>
    </w:p>
    <w:p w14:paraId="1AF5F4FE" w14:textId="77777777" w:rsidR="00A10B25" w:rsidRDefault="00A10B25">
      <w:pPr>
        <w:pStyle w:val="B3"/>
      </w:pPr>
      <w:r>
        <w:t>3</w:t>
      </w:r>
      <w:r>
        <w:tab/>
        <w:t>or greater indicates TSG approved document under change control.</w:t>
      </w:r>
    </w:p>
    <w:p w14:paraId="68C469C6" w14:textId="77777777" w:rsidR="00A10B25" w:rsidRDefault="00A10B25">
      <w:pPr>
        <w:pStyle w:val="B2"/>
      </w:pPr>
      <w:r>
        <w:t>y</w:t>
      </w:r>
      <w:r>
        <w:tab/>
        <w:t>the second digit is incremented for all changes of substance, i.e. technical enhancements, corrections, updates, etc.</w:t>
      </w:r>
    </w:p>
    <w:p w14:paraId="521AB5EF" w14:textId="77777777" w:rsidR="00A10B25" w:rsidRDefault="00A10B25">
      <w:pPr>
        <w:pStyle w:val="B2"/>
        <w:rPr>
          <w:rFonts w:hint="eastAsia"/>
          <w:lang w:eastAsia="zh-CN"/>
        </w:rPr>
      </w:pPr>
      <w:r>
        <w:t>z</w:t>
      </w:r>
      <w:r>
        <w:tab/>
        <w:t>the third digit is incremented when editorial only changes have been incorporated in the document.</w:t>
      </w:r>
    </w:p>
    <w:p w14:paraId="65C265F7" w14:textId="77777777" w:rsidR="00A10B25" w:rsidRDefault="00A10B25">
      <w:pPr>
        <w:pStyle w:val="1"/>
      </w:pPr>
      <w:r>
        <w:br w:type="page"/>
      </w:r>
      <w:bookmarkStart w:id="46" w:name="_Toc113031531"/>
      <w:bookmarkStart w:id="47" w:name="_Toc120702170"/>
      <w:bookmarkStart w:id="48" w:name="_Toc94064124"/>
      <w:bookmarkStart w:id="49" w:name="_Toc114133670"/>
      <w:bookmarkStart w:id="50" w:name="_Toc85556956"/>
      <w:bookmarkStart w:id="51" w:name="_Toc70550531"/>
      <w:bookmarkStart w:id="52" w:name="_Toc56640888"/>
      <w:bookmarkStart w:id="53" w:name="_Toc104538869"/>
      <w:bookmarkStart w:id="54" w:name="_Toc88667458"/>
      <w:bookmarkStart w:id="55" w:name="_Toc85552857"/>
      <w:bookmarkStart w:id="56" w:name="_Toc43563428"/>
      <w:bookmarkStart w:id="57" w:name="_Toc68168885"/>
      <w:bookmarkStart w:id="58" w:name="_Toc90655743"/>
      <w:bookmarkStart w:id="59" w:name="_Toc101244280"/>
      <w:bookmarkStart w:id="60" w:name="_Toc112950991"/>
      <w:bookmarkStart w:id="61" w:name="_Toc66231724"/>
      <w:bookmarkStart w:id="62" w:name="_Toc51762821"/>
      <w:bookmarkStart w:id="63" w:name="_Toc50031901"/>
      <w:bookmarkStart w:id="64" w:name="_Toc59017856"/>
      <w:bookmarkStart w:id="65" w:name="_Toc28012745"/>
      <w:bookmarkStart w:id="66" w:name="_Toc34266215"/>
      <w:bookmarkStart w:id="67" w:name="_Toc36102386"/>
      <w:bookmarkStart w:id="68" w:name="_Toc83232968"/>
      <w:bookmarkStart w:id="69" w:name="_Toc45133971"/>
      <w:bookmarkStart w:id="70" w:name="_Toc145705538"/>
      <w:bookmarkStart w:id="71" w:name="_Toc98233504"/>
      <w:bookmarkStart w:id="72" w:name="_Toc136562217"/>
      <w:bookmarkStart w:id="73" w:name="_Toc138754051"/>
      <w:bookmarkStart w:id="74" w:name="_Toc148522442"/>
      <w:bookmarkStart w:id="75" w:name="_Toc164920566"/>
      <w:bookmarkStart w:id="76" w:name="_Toc170120108"/>
      <w:bookmarkStart w:id="77" w:name="_Toc175858353"/>
      <w:bookmarkStart w:id="78" w:name="_Toc175859426"/>
      <w:bookmarkStart w:id="79" w:name="_Toc180605716"/>
      <w:bookmarkStart w:id="80" w:name="_Toc185516970"/>
      <w:bookmarkStart w:id="81" w:name="_Toc191576021"/>
      <w:bookmarkStart w:id="82" w:name="_Toc191576761"/>
      <w:bookmarkStart w:id="83" w:name="_Toc192879831"/>
      <w:bookmarkStart w:id="84" w:name="_Toc195814714"/>
      <w:bookmarkStart w:id="85" w:name="_Toc199452661"/>
      <w:r>
        <w:lastRenderedPageBreak/>
        <w:t>1</w:t>
      </w:r>
      <w:r>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6DCEB442" w14:textId="77777777" w:rsidR="00A10B25" w:rsidRDefault="00A10B25">
      <w:r>
        <w:t>The present specification provides the stage 3 definition of the Network Data Analytics Function Services of the 5G System.</w:t>
      </w:r>
    </w:p>
    <w:p w14:paraId="2DE627A9" w14:textId="77777777" w:rsidR="00A10B25" w:rsidRDefault="00A10B25">
      <w:r>
        <w:t>The 5G System Architecture is defined in 3GPP</w:t>
      </w:r>
      <w:r>
        <w:rPr>
          <w:rFonts w:ascii="Cambria" w:eastAsia="Cambria" w:hAnsi="Cambria"/>
        </w:rPr>
        <w:t> </w:t>
      </w:r>
      <w:r>
        <w:t>TS</w:t>
      </w:r>
      <w:r>
        <w:rPr>
          <w:rFonts w:ascii="Cambria" w:eastAsia="Cambria" w:hAnsi="Cambria"/>
        </w:rPr>
        <w:t> </w:t>
      </w:r>
      <w:r>
        <w:t xml:space="preserve">23.501 [2]. The stage 2 definition and related procedures for Network Data Analytics Function Services are specified in 3GPP TS 23.288 [17] and 3GPP TS 23.503 [4]. </w:t>
      </w:r>
    </w:p>
    <w:p w14:paraId="718C5695" w14:textId="77777777" w:rsidR="00A10B25" w:rsidRDefault="00A10B25">
      <w:r>
        <w:t>The 5G System stage 3 call flows are provided in 3GPP </w:t>
      </w:r>
      <w:r>
        <w:rPr>
          <w:lang w:eastAsia="zh-CN"/>
        </w:rPr>
        <w:t>TS</w:t>
      </w:r>
      <w:r>
        <w:t> 29.552 [25] and 3GPP </w:t>
      </w:r>
      <w:r>
        <w:rPr>
          <w:lang w:eastAsia="zh-CN"/>
        </w:rPr>
        <w:t>TS</w:t>
      </w:r>
      <w:r>
        <w:t> 29.513 [5].</w:t>
      </w:r>
    </w:p>
    <w:p w14:paraId="2FE28A51" w14:textId="77777777" w:rsidR="00A10B25" w:rsidRDefault="00A10B25">
      <w:r>
        <w:t>The Technical Realization of the Service Based Architecture and the Principles and Guidelines for Services Definition are specified in 3GPP TS 29.500 [6] and 3GPP TS 29.501 [7].</w:t>
      </w:r>
    </w:p>
    <w:p w14:paraId="20E10664" w14:textId="77777777" w:rsidR="00A10B25" w:rsidRDefault="00A10B25">
      <w:r>
        <w:t xml:space="preserve">The Network Data Analytics Function Services are provided by the Network Data Analytics Function (NWDAF). </w:t>
      </w:r>
    </w:p>
    <w:p w14:paraId="73BEF04F" w14:textId="77777777" w:rsidR="00A10B25" w:rsidRDefault="00A10B25">
      <w:pPr>
        <w:pStyle w:val="1"/>
      </w:pPr>
      <w:bookmarkStart w:id="86" w:name="_Toc90655744"/>
      <w:bookmarkStart w:id="87" w:name="_Toc50031902"/>
      <w:bookmarkStart w:id="88" w:name="_Toc83232969"/>
      <w:bookmarkStart w:id="89" w:name="_Toc70550532"/>
      <w:bookmarkStart w:id="90" w:name="_Toc28012746"/>
      <w:bookmarkStart w:id="91" w:name="_Toc68168886"/>
      <w:bookmarkStart w:id="92" w:name="_Toc101244281"/>
      <w:bookmarkStart w:id="93" w:name="_Toc43563429"/>
      <w:bookmarkStart w:id="94" w:name="_Toc85556957"/>
      <w:bookmarkStart w:id="95" w:name="_Toc66231725"/>
      <w:bookmarkStart w:id="96" w:name="_Toc112950992"/>
      <w:bookmarkStart w:id="97" w:name="_Toc88667459"/>
      <w:bookmarkStart w:id="98" w:name="_Toc45133972"/>
      <w:bookmarkStart w:id="99" w:name="_Toc113031532"/>
      <w:bookmarkStart w:id="100" w:name="_Toc94064125"/>
      <w:bookmarkStart w:id="101" w:name="_Toc34266216"/>
      <w:bookmarkStart w:id="102" w:name="_Toc104538870"/>
      <w:bookmarkStart w:id="103" w:name="_Toc36102387"/>
      <w:bookmarkStart w:id="104" w:name="_Toc56640889"/>
      <w:bookmarkStart w:id="105" w:name="_Toc114133671"/>
      <w:bookmarkStart w:id="106" w:name="_Toc145705539"/>
      <w:bookmarkStart w:id="107" w:name="_Toc148522443"/>
      <w:bookmarkStart w:id="108" w:name="_Toc136562218"/>
      <w:bookmarkStart w:id="109" w:name="_Toc59017857"/>
      <w:bookmarkStart w:id="110" w:name="_Toc98233505"/>
      <w:bookmarkStart w:id="111" w:name="_Toc85552858"/>
      <w:bookmarkStart w:id="112" w:name="_Toc138754052"/>
      <w:bookmarkStart w:id="113" w:name="_Toc120702171"/>
      <w:bookmarkStart w:id="114" w:name="_Toc51762822"/>
      <w:bookmarkStart w:id="115" w:name="_Toc164920567"/>
      <w:bookmarkStart w:id="116" w:name="_Toc170120109"/>
      <w:bookmarkStart w:id="117" w:name="_Toc175858354"/>
      <w:bookmarkStart w:id="118" w:name="_Toc175859427"/>
      <w:bookmarkStart w:id="119" w:name="_Toc180605717"/>
      <w:bookmarkStart w:id="120" w:name="_Toc185516971"/>
      <w:bookmarkStart w:id="121" w:name="_Toc191576022"/>
      <w:bookmarkStart w:id="122" w:name="_Toc191576762"/>
      <w:bookmarkStart w:id="123" w:name="_Toc192879832"/>
      <w:bookmarkStart w:id="124" w:name="_Toc195814715"/>
      <w:bookmarkStart w:id="125" w:name="_Toc199452662"/>
      <w:r>
        <w:t>2</w:t>
      </w:r>
      <w:r>
        <w:tab/>
        <w:t>References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7F15F990" w14:textId="77777777" w:rsidR="00A10B25" w:rsidRDefault="00A10B25">
      <w:r>
        <w:t>The following documents contain provisions which, through reference in this text, constitute provisions of the present document.</w:t>
      </w:r>
    </w:p>
    <w:p w14:paraId="0913F4B0" w14:textId="77777777" w:rsidR="00A10B25" w:rsidRDefault="00A10B25">
      <w:pPr>
        <w:pStyle w:val="B1"/>
      </w:pPr>
      <w:bookmarkStart w:id="126" w:name="_Toc113031533"/>
      <w:bookmarkStart w:id="127" w:name="_Toc28012747"/>
      <w:bookmarkStart w:id="128" w:name="_Toc112950993"/>
      <w:bookmarkStart w:id="129" w:name="_Toc70550533"/>
      <w:bookmarkStart w:id="130" w:name="_Toc85552859"/>
      <w:bookmarkStart w:id="131" w:name="_Toc43563430"/>
      <w:bookmarkStart w:id="132" w:name="_Toc94064126"/>
      <w:bookmarkStart w:id="133" w:name="_Toc104538871"/>
      <w:bookmarkStart w:id="134" w:name="_Toc68168887"/>
      <w:bookmarkStart w:id="135" w:name="_Toc83232970"/>
      <w:bookmarkStart w:id="136" w:name="_Toc88667460"/>
      <w:bookmarkStart w:id="137" w:name="_Toc90655745"/>
      <w:bookmarkStart w:id="138" w:name="_Toc85556958"/>
      <w:bookmarkStart w:id="139" w:name="_Toc34266217"/>
      <w:bookmarkStart w:id="140" w:name="_Toc59017858"/>
      <w:bookmarkStart w:id="141" w:name="_Toc120702172"/>
      <w:bookmarkStart w:id="142" w:name="_Toc114133672"/>
      <w:bookmarkStart w:id="143" w:name="_Toc51762823"/>
      <w:bookmarkStart w:id="144" w:name="_Toc36102388"/>
      <w:bookmarkStart w:id="145" w:name="_Toc50031903"/>
      <w:bookmarkStart w:id="146" w:name="_Toc45133973"/>
      <w:bookmarkStart w:id="147" w:name="_Toc66231726"/>
      <w:bookmarkStart w:id="148" w:name="_Toc98233506"/>
      <w:bookmarkStart w:id="149" w:name="_Toc101244282"/>
      <w:bookmarkStart w:id="150" w:name="_Toc56640890"/>
      <w:r>
        <w:t>-</w:t>
      </w:r>
      <w:r>
        <w:tab/>
        <w:t>References are either specific (identified by date of publication, edition number, version number, etc.) or non</w:t>
      </w:r>
      <w:r>
        <w:noBreakHyphen/>
        <w:t>specific.</w:t>
      </w:r>
    </w:p>
    <w:p w14:paraId="5D9EC2A7" w14:textId="77777777" w:rsidR="00A10B25" w:rsidRDefault="00A10B25">
      <w:pPr>
        <w:pStyle w:val="B1"/>
      </w:pPr>
      <w:r>
        <w:t>-</w:t>
      </w:r>
      <w:r>
        <w:tab/>
        <w:t>For a specific reference, subsequent revisions do not apply.</w:t>
      </w:r>
    </w:p>
    <w:p w14:paraId="2E9E5BC8" w14:textId="77777777" w:rsidR="00A10B25" w:rsidRDefault="00A10B2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C33DCB4" w14:textId="77777777" w:rsidR="00A10B25" w:rsidRDefault="00A10B25">
      <w:pPr>
        <w:pStyle w:val="EX"/>
      </w:pPr>
      <w:r>
        <w:t>[1]</w:t>
      </w:r>
      <w:r>
        <w:tab/>
        <w:t>3GPP TR 21.905: "Vocabulary for 3GPP Specifications".</w:t>
      </w:r>
    </w:p>
    <w:p w14:paraId="3CA69F16" w14:textId="77777777" w:rsidR="00A10B25" w:rsidRDefault="00A10B25">
      <w:pPr>
        <w:pStyle w:val="EX"/>
      </w:pPr>
      <w:r>
        <w:t>[2]</w:t>
      </w:r>
      <w:r>
        <w:tab/>
        <w:t>3GPP TS 23.501: "System Architecture for the 5G System; Stage 2".</w:t>
      </w:r>
    </w:p>
    <w:p w14:paraId="5F31E396" w14:textId="77777777" w:rsidR="00A10B25" w:rsidRDefault="00A10B25">
      <w:pPr>
        <w:pStyle w:val="EX"/>
      </w:pPr>
      <w:r>
        <w:t>[3]</w:t>
      </w:r>
      <w:r>
        <w:tab/>
        <w:t>Void.</w:t>
      </w:r>
    </w:p>
    <w:p w14:paraId="17F4CE1B" w14:textId="77777777" w:rsidR="00A10B25" w:rsidRDefault="00A10B25">
      <w:pPr>
        <w:pStyle w:val="EX"/>
      </w:pPr>
      <w:r>
        <w:t>[4]</w:t>
      </w:r>
      <w:r>
        <w:tab/>
        <w:t>3GPP TS 23.503: "Policy and Charging Control Framework for the 5G System; Stage 2".</w:t>
      </w:r>
    </w:p>
    <w:p w14:paraId="2593A8C5" w14:textId="77777777" w:rsidR="00A10B25" w:rsidRDefault="00A10B25">
      <w:pPr>
        <w:pStyle w:val="EX"/>
      </w:pPr>
      <w:r>
        <w:t>[5]</w:t>
      </w:r>
      <w:r>
        <w:tab/>
        <w:t>3GPP TS 29.513: "5G System; Policy and Charging Control signalling flows and QoS parameter mapping; Stage 3".</w:t>
      </w:r>
    </w:p>
    <w:p w14:paraId="2CBE4191" w14:textId="77777777" w:rsidR="00A10B25" w:rsidRDefault="00A10B25">
      <w:pPr>
        <w:pStyle w:val="EX"/>
      </w:pPr>
      <w:r>
        <w:t>[6]</w:t>
      </w:r>
      <w:r>
        <w:tab/>
        <w:t>3GPP TS 29.500: "5G System; Technical Realization of Service Based Architecture; Stage 3".</w:t>
      </w:r>
    </w:p>
    <w:p w14:paraId="19E633C4" w14:textId="77777777" w:rsidR="00A10B25" w:rsidRDefault="00A10B25">
      <w:pPr>
        <w:pStyle w:val="EX"/>
      </w:pPr>
      <w:r>
        <w:t>[7]</w:t>
      </w:r>
      <w:r>
        <w:tab/>
        <w:t>3GPP TS 29.501: "5G System; Principles and Guidelines for Services Definition; Stage 3".</w:t>
      </w:r>
    </w:p>
    <w:p w14:paraId="2F5CA2BF" w14:textId="77777777" w:rsidR="00A10B25" w:rsidRDefault="00A10B25">
      <w:pPr>
        <w:pStyle w:val="EX"/>
      </w:pPr>
      <w:r>
        <w:t>[8]</w:t>
      </w:r>
      <w:r>
        <w:tab/>
        <w:t>3GPP TS 29.571: "5G System; Common Data Types for Service Based Interfaces; Stage 3".</w:t>
      </w:r>
    </w:p>
    <w:p w14:paraId="0FDC4A3D" w14:textId="77777777" w:rsidR="00A10B25" w:rsidRDefault="00A10B25">
      <w:pPr>
        <w:pStyle w:val="EX"/>
        <w:rPr>
          <w:lang w:eastAsia="zh-CN"/>
        </w:rPr>
      </w:pPr>
      <w:r>
        <w:t>[9]</w:t>
      </w:r>
      <w:r>
        <w:tab/>
        <w:t>IETF RFC 9113: "HTTP/2".</w:t>
      </w:r>
    </w:p>
    <w:p w14:paraId="1118B944" w14:textId="77777777" w:rsidR="00A10B25" w:rsidRDefault="00A10B25">
      <w:pPr>
        <w:pStyle w:val="EX"/>
        <w:rPr>
          <w:lang w:eastAsia="zh-CN"/>
        </w:rPr>
      </w:pPr>
      <w:r>
        <w:rPr>
          <w:lang w:eastAsia="zh-CN"/>
        </w:rPr>
        <w:t>[10]</w:t>
      </w:r>
      <w:r>
        <w:rPr>
          <w:lang w:eastAsia="zh-CN"/>
        </w:rPr>
        <w:tab/>
        <w:t>IETF RFC 8259: "The JavaScript Object Notation (JSON) Data Interchange Format".</w:t>
      </w:r>
    </w:p>
    <w:p w14:paraId="7C881488" w14:textId="77777777" w:rsidR="00A10B25" w:rsidRDefault="00A10B25">
      <w:pPr>
        <w:pStyle w:val="EX"/>
      </w:pPr>
      <w:r>
        <w:rPr>
          <w:snapToGrid w:val="0"/>
        </w:rPr>
        <w:t>[11]</w:t>
      </w:r>
      <w:r>
        <w:rPr>
          <w:snapToGrid w:val="0"/>
        </w:rPr>
        <w:tab/>
      </w:r>
      <w:r>
        <w:t>OpenAPI: "OpenAPI Specification Version 3.0.0", https://spec.openapis.org/oas/v3.0.0</w:t>
      </w:r>
    </w:p>
    <w:p w14:paraId="0B889368" w14:textId="77777777" w:rsidR="00A10B25" w:rsidRDefault="00A10B25">
      <w:pPr>
        <w:pStyle w:val="EX"/>
        <w:rPr>
          <w:lang w:eastAsia="zh-CN"/>
        </w:rPr>
      </w:pPr>
      <w:r>
        <w:rPr>
          <w:lang w:eastAsia="zh-CN"/>
        </w:rPr>
        <w:t>[12]</w:t>
      </w:r>
      <w:r>
        <w:rPr>
          <w:lang w:eastAsia="zh-CN"/>
        </w:rPr>
        <w:tab/>
        <w:t xml:space="preserve">3GPP TS 29.510: "5G System; </w:t>
      </w:r>
      <w:r>
        <w:t>Network Function Repository Services</w:t>
      </w:r>
      <w:r>
        <w:rPr>
          <w:lang w:eastAsia="zh-CN"/>
        </w:rPr>
        <w:t>; Stage 3".</w:t>
      </w:r>
    </w:p>
    <w:p w14:paraId="118BA2C6" w14:textId="77777777" w:rsidR="00A10B25" w:rsidRDefault="00A10B25">
      <w:pPr>
        <w:pStyle w:val="EX"/>
      </w:pPr>
      <w:r>
        <w:t>[13]</w:t>
      </w:r>
      <w:r>
        <w:tab/>
        <w:t>3GPP TS 33.501: "Security architecture and procedures for 5G system".</w:t>
      </w:r>
    </w:p>
    <w:p w14:paraId="34F03CEE" w14:textId="77777777" w:rsidR="00A10B25" w:rsidRDefault="00A10B25">
      <w:pPr>
        <w:pStyle w:val="EX"/>
      </w:pPr>
      <w:r>
        <w:t>[14]</w:t>
      </w:r>
      <w:r>
        <w:tab/>
        <w:t>IETF RFC 6749: "The OAuth 2.0 Authorization Framework".</w:t>
      </w:r>
    </w:p>
    <w:p w14:paraId="7F5E365F" w14:textId="77777777" w:rsidR="00A10B25" w:rsidRDefault="00A10B25">
      <w:pPr>
        <w:pStyle w:val="EX"/>
      </w:pPr>
      <w:r>
        <w:t>[15]</w:t>
      </w:r>
      <w:r>
        <w:tab/>
        <w:t>IETF RFC 9457: "Problem Details for HTTP APIs".</w:t>
      </w:r>
    </w:p>
    <w:p w14:paraId="5C58D864" w14:textId="77777777" w:rsidR="00A10B25" w:rsidRDefault="00A10B25">
      <w:pPr>
        <w:pStyle w:val="EX"/>
      </w:pPr>
      <w:r>
        <w:t>[16]</w:t>
      </w:r>
      <w:r>
        <w:tab/>
        <w:t>3GPP TR 21.900: "Technical Specification Group working methods".</w:t>
      </w:r>
    </w:p>
    <w:p w14:paraId="57725429" w14:textId="77777777" w:rsidR="00A10B25" w:rsidRDefault="00A10B25">
      <w:pPr>
        <w:pStyle w:val="EX"/>
      </w:pPr>
      <w:r>
        <w:t>[17]</w:t>
      </w:r>
      <w:r>
        <w:tab/>
        <w:t>3GPP TS 23.288: "Architecture enhancements for 5G System (5GS) to support network data analytics services".</w:t>
      </w:r>
    </w:p>
    <w:p w14:paraId="58138EF2" w14:textId="77777777" w:rsidR="00A10B25" w:rsidRDefault="00A10B25">
      <w:pPr>
        <w:pStyle w:val="EX"/>
      </w:pPr>
      <w:r>
        <w:t>[18]</w:t>
      </w:r>
      <w:r>
        <w:tab/>
        <w:t>3GPP TS 29.554: "5G System; Background Data Transfer Policy Control Service; Stage 3".</w:t>
      </w:r>
    </w:p>
    <w:p w14:paraId="015FC2E5" w14:textId="77777777" w:rsidR="00A10B25" w:rsidRDefault="00A10B25">
      <w:pPr>
        <w:pStyle w:val="EX"/>
        <w:rPr>
          <w:lang w:eastAsia="en-GB"/>
        </w:rPr>
      </w:pPr>
      <w:r>
        <w:rPr>
          <w:lang w:eastAsia="zh-CN"/>
        </w:rPr>
        <w:lastRenderedPageBreak/>
        <w:t>[19]</w:t>
      </w:r>
      <w:r>
        <w:rPr>
          <w:lang w:eastAsia="zh-CN"/>
        </w:rPr>
        <w:tab/>
      </w:r>
      <w:r>
        <w:rPr>
          <w:lang w:eastAsia="en-GB"/>
        </w:rPr>
        <w:t>3GPP TS 29.122: "T8 reference point for Northbound APIs".</w:t>
      </w:r>
    </w:p>
    <w:p w14:paraId="51C46AA9" w14:textId="77777777" w:rsidR="00A10B25" w:rsidRDefault="00A10B25">
      <w:pPr>
        <w:pStyle w:val="EX"/>
        <w:rPr>
          <w:lang w:eastAsia="en-GB"/>
        </w:rPr>
      </w:pPr>
      <w:r>
        <w:rPr>
          <w:lang w:eastAsia="zh-CN"/>
        </w:rPr>
        <w:t>[20]</w:t>
      </w:r>
      <w:r>
        <w:rPr>
          <w:lang w:eastAsia="zh-CN"/>
        </w:rPr>
        <w:tab/>
      </w:r>
      <w:r>
        <w:rPr>
          <w:lang w:eastAsia="en-GB"/>
        </w:rPr>
        <w:t>3GPP TS 29.523: "</w:t>
      </w:r>
      <w:r>
        <w:rPr>
          <w:rFonts w:eastAsia="等线"/>
        </w:rPr>
        <w:t>5G System; Policy Control Event Exposure Service; Stage 3</w:t>
      </w:r>
      <w:r>
        <w:rPr>
          <w:lang w:eastAsia="en-GB"/>
        </w:rPr>
        <w:t>".</w:t>
      </w:r>
    </w:p>
    <w:p w14:paraId="773CBA52" w14:textId="77777777" w:rsidR="00A10B25" w:rsidRDefault="00A10B25">
      <w:pPr>
        <w:pStyle w:val="EX"/>
      </w:pPr>
      <w:r>
        <w:t>[21]</w:t>
      </w:r>
      <w:r>
        <w:tab/>
        <w:t>3GPP TS 29.514: "5G System; Policy Authorization Service; Stage 3".</w:t>
      </w:r>
    </w:p>
    <w:p w14:paraId="6FC4DACA" w14:textId="77777777" w:rsidR="00A10B25" w:rsidRDefault="00A10B25">
      <w:pPr>
        <w:pStyle w:val="EX"/>
        <w:rPr>
          <w:sz w:val="21"/>
        </w:rPr>
      </w:pPr>
      <w:r>
        <w:t>[22]</w:t>
      </w:r>
      <w:r>
        <w:tab/>
        <w:t>3GPP TS 29.517: "5G System; Application Function (AF) event exposure service".</w:t>
      </w:r>
    </w:p>
    <w:p w14:paraId="6E0A7316" w14:textId="77777777" w:rsidR="00A10B25" w:rsidRDefault="00A10B25">
      <w:pPr>
        <w:pStyle w:val="EX"/>
      </w:pPr>
      <w:r>
        <w:t>[23]</w:t>
      </w:r>
      <w:r>
        <w:tab/>
        <w:t>3GPP TS 29.503: "5G System; Unified Data Management Services; Stage 3".</w:t>
      </w:r>
    </w:p>
    <w:p w14:paraId="21EE0F00" w14:textId="77777777" w:rsidR="00A10B25" w:rsidRDefault="00A10B25">
      <w:pPr>
        <w:pStyle w:val="EX"/>
      </w:pPr>
      <w:r>
        <w:t>[24]</w:t>
      </w:r>
      <w:r>
        <w:tab/>
        <w:t>3GPP TS 29.531: "5G System; Network Slice Selection Services; Stage 3".</w:t>
      </w:r>
    </w:p>
    <w:p w14:paraId="44C23E27" w14:textId="77777777" w:rsidR="00A10B25" w:rsidRDefault="00A10B25">
      <w:pPr>
        <w:pStyle w:val="EX"/>
      </w:pPr>
      <w:r>
        <w:t>[25]</w:t>
      </w:r>
      <w:r>
        <w:tab/>
        <w:t>3GPP TS 29.552: "5G System; Network Data Analytics signalling flows; Stage 3".</w:t>
      </w:r>
    </w:p>
    <w:p w14:paraId="6AD73F1F" w14:textId="77777777" w:rsidR="00A10B25" w:rsidRDefault="00A10B25">
      <w:pPr>
        <w:pStyle w:val="EX"/>
        <w:rPr>
          <w:lang w:eastAsia="en-GB"/>
        </w:rPr>
      </w:pPr>
      <w:r>
        <w:rPr>
          <w:lang w:eastAsia="zh-CN"/>
        </w:rPr>
        <w:t>[26]</w:t>
      </w:r>
      <w:r>
        <w:rPr>
          <w:lang w:eastAsia="zh-CN"/>
        </w:rPr>
        <w:tab/>
      </w:r>
      <w:r>
        <w:rPr>
          <w:lang w:eastAsia="en-GB"/>
        </w:rPr>
        <w:t>3GPP TS 29.574: "</w:t>
      </w:r>
      <w:r>
        <w:t>5G System; Data Collection Coordination Services; Stage 3</w:t>
      </w:r>
      <w:r>
        <w:rPr>
          <w:lang w:eastAsia="en-GB"/>
        </w:rPr>
        <w:t>".</w:t>
      </w:r>
    </w:p>
    <w:p w14:paraId="5E9D8A1C" w14:textId="77777777" w:rsidR="00A10B25" w:rsidRDefault="00A10B25">
      <w:pPr>
        <w:pStyle w:val="EX"/>
        <w:rPr>
          <w:lang w:eastAsia="en-GB"/>
        </w:rPr>
      </w:pPr>
      <w:r>
        <w:rPr>
          <w:lang w:eastAsia="zh-CN"/>
        </w:rPr>
        <w:t>[27]</w:t>
      </w:r>
      <w:r>
        <w:rPr>
          <w:lang w:eastAsia="zh-CN"/>
        </w:rPr>
        <w:tab/>
      </w:r>
      <w:r>
        <w:rPr>
          <w:lang w:eastAsia="en-GB"/>
        </w:rPr>
        <w:t>3GPP TS 29.575: "</w:t>
      </w:r>
      <w:r>
        <w:t>5G System; Analytics Data Repository Services; Stage 3</w:t>
      </w:r>
      <w:r>
        <w:rPr>
          <w:lang w:eastAsia="en-GB"/>
        </w:rPr>
        <w:t>".</w:t>
      </w:r>
    </w:p>
    <w:p w14:paraId="5CC84C21" w14:textId="77777777" w:rsidR="00A10B25" w:rsidRDefault="00A10B25">
      <w:pPr>
        <w:pStyle w:val="EX"/>
        <w:rPr>
          <w:lang w:eastAsia="en-GB"/>
        </w:rPr>
      </w:pPr>
      <w:r>
        <w:rPr>
          <w:lang w:eastAsia="zh-CN"/>
        </w:rPr>
        <w:t>[28]</w:t>
      </w:r>
      <w:r>
        <w:rPr>
          <w:lang w:eastAsia="zh-CN"/>
        </w:rPr>
        <w:tab/>
      </w:r>
      <w:r>
        <w:rPr>
          <w:lang w:eastAsia="en-GB"/>
        </w:rPr>
        <w:t>3GPP TS 29.576: "</w:t>
      </w:r>
      <w:r>
        <w:t xml:space="preserve">5G System; </w:t>
      </w:r>
      <w:r>
        <w:rPr>
          <w:lang w:val="en-US"/>
        </w:rPr>
        <w:t>Messaging Framework Adaptor Services</w:t>
      </w:r>
      <w:r>
        <w:t>; Stage 3</w:t>
      </w:r>
      <w:r>
        <w:rPr>
          <w:lang w:eastAsia="en-GB"/>
        </w:rPr>
        <w:t>".</w:t>
      </w:r>
    </w:p>
    <w:p w14:paraId="0B1D86C7" w14:textId="77777777" w:rsidR="00A10B25" w:rsidRDefault="00A10B25">
      <w:pPr>
        <w:pStyle w:val="EX"/>
        <w:rPr>
          <w:lang w:eastAsia="en-GB"/>
        </w:rPr>
      </w:pPr>
      <w:r>
        <w:rPr>
          <w:lang w:eastAsia="zh-CN"/>
        </w:rPr>
        <w:t>[29]</w:t>
      </w:r>
      <w:r>
        <w:rPr>
          <w:lang w:eastAsia="zh-CN"/>
        </w:rPr>
        <w:tab/>
      </w:r>
      <w:r>
        <w:rPr>
          <w:lang w:eastAsia="en-GB"/>
        </w:rPr>
        <w:t>3GPP TS 29.508: "</w:t>
      </w:r>
      <w:r>
        <w:t>5G System; Session Management Event Exposure Service</w:t>
      </w:r>
      <w:r>
        <w:lastRenderedPageBreak/>
        <w:t>; Stage 3</w:t>
      </w:r>
      <w:r>
        <w:rPr>
          <w:lang w:eastAsia="en-GB"/>
        </w:rPr>
        <w:t>".</w:t>
      </w:r>
    </w:p>
    <w:p w14:paraId="06C82C48" w14:textId="77777777" w:rsidR="00A10B25" w:rsidRDefault="00A10B25">
      <w:pPr>
        <w:pStyle w:val="EX"/>
        <w:rPr>
          <w:lang w:eastAsia="en-GB"/>
        </w:rPr>
      </w:pPr>
      <w:r>
        <w:rPr>
          <w:lang w:eastAsia="zh-CN"/>
        </w:rPr>
        <w:t>[30]</w:t>
      </w:r>
      <w:r>
        <w:rPr>
          <w:lang w:eastAsia="zh-CN"/>
        </w:rPr>
        <w:tab/>
      </w:r>
      <w:r>
        <w:rPr>
          <w:lang w:eastAsia="en-GB"/>
        </w:rPr>
        <w:t>3GPP TS 29.572: "</w:t>
      </w:r>
      <w:r>
        <w:t>5G System; Location Management Services; Stage 3</w:t>
      </w:r>
      <w:r>
        <w:rPr>
          <w:lang w:eastAsia="en-GB"/>
        </w:rPr>
        <w:t>".</w:t>
      </w:r>
    </w:p>
    <w:p w14:paraId="48576B2C" w14:textId="77777777" w:rsidR="00A10B25" w:rsidRDefault="00A10B25">
      <w:pPr>
        <w:pStyle w:val="EX"/>
        <w:rPr>
          <w:snapToGrid w:val="0"/>
          <w:lang w:eastAsia="zh-CN"/>
        </w:rPr>
      </w:pPr>
      <w:r>
        <w:rPr>
          <w:lang w:eastAsia="zh-CN"/>
        </w:rPr>
        <w:t>[31]</w:t>
      </w:r>
      <w:r>
        <w:rPr>
          <w:lang w:eastAsia="zh-CN"/>
        </w:rPr>
        <w:tab/>
      </w:r>
      <w:r>
        <w:rPr>
          <w:snapToGrid w:val="0"/>
          <w:lang w:eastAsia="zh-CN"/>
        </w:rPr>
        <w:t xml:space="preserve">IANA: "SMI Network Management Private Enterprise Codes", </w:t>
      </w:r>
      <w:hyperlink r:id="rId10" w:history="1">
        <w:r>
          <w:rPr>
            <w:rStyle w:val="affff1"/>
            <w:snapToGrid w:val="0"/>
            <w:lang w:eastAsia="zh-CN"/>
          </w:rPr>
          <w:t>http://www.iana.org/assignments/enterprise-numbers</w:t>
        </w:r>
      </w:hyperlink>
      <w:r>
        <w:rPr>
          <w:snapToGrid w:val="0"/>
          <w:lang w:eastAsia="zh-CN"/>
        </w:rPr>
        <w:t>.</w:t>
      </w:r>
    </w:p>
    <w:p w14:paraId="5CB7467B" w14:textId="77777777" w:rsidR="00A10B25" w:rsidRDefault="00A10B25">
      <w:pPr>
        <w:pStyle w:val="EX"/>
        <w:rPr>
          <w:snapToGrid w:val="0"/>
          <w:lang w:eastAsia="zh-CN"/>
        </w:rPr>
      </w:pPr>
      <w:r>
        <w:rPr>
          <w:lang w:eastAsia="zh-CN"/>
        </w:rPr>
        <w:t>[32]</w:t>
      </w:r>
      <w:r>
        <w:rPr>
          <w:lang w:eastAsia="zh-CN"/>
        </w:rPr>
        <w:tab/>
      </w:r>
      <w:r>
        <w:t xml:space="preserve">3GPP TS 29.522: "5G System; </w:t>
      </w:r>
      <w:r>
        <w:rPr>
          <w:bCs/>
          <w:lang w:eastAsia="ja-JP"/>
        </w:rPr>
        <w:t>Network Exposure Function Northbound APIs</w:t>
      </w:r>
      <w:r>
        <w:t>; Stage 3".</w:t>
      </w:r>
    </w:p>
    <w:p w14:paraId="7E17D22B" w14:textId="77777777" w:rsidR="00A10B25" w:rsidRDefault="00A10B25">
      <w:pPr>
        <w:pStyle w:val="EX"/>
      </w:pPr>
      <w:r>
        <w:rPr>
          <w:snapToGrid w:val="0"/>
          <w:lang w:eastAsia="zh-CN"/>
        </w:rPr>
        <w:t>[33]</w:t>
      </w:r>
      <w:r>
        <w:rPr>
          <w:snapToGrid w:val="0"/>
          <w:lang w:eastAsia="zh-CN"/>
        </w:rPr>
        <w:tab/>
      </w:r>
      <w:r>
        <w:t>IETF RFC 6733: "Diameter Base Protocol".</w:t>
      </w:r>
    </w:p>
    <w:p w14:paraId="72E6B4A1" w14:textId="77777777" w:rsidR="00AD5F95" w:rsidRDefault="00AD5F95">
      <w:pPr>
        <w:pStyle w:val="EX"/>
        <w:rPr>
          <w:lang w:eastAsia="zh-CN"/>
        </w:rPr>
      </w:pPr>
      <w:r w:rsidRPr="005D2CF1">
        <w:rPr>
          <w:lang w:eastAsia="zh-CN"/>
        </w:rPr>
        <w:t>[</w:t>
      </w:r>
      <w:r>
        <w:rPr>
          <w:lang w:eastAsia="zh-CN"/>
        </w:rPr>
        <w:t>34</w:t>
      </w:r>
      <w:r w:rsidRPr="005D2CF1">
        <w:rPr>
          <w:lang w:eastAsia="zh-CN"/>
        </w:rPr>
        <w:t>]</w:t>
      </w:r>
      <w:r w:rsidRPr="005D2CF1">
        <w:rPr>
          <w:lang w:eastAsia="zh-CN"/>
        </w:rPr>
        <w:tab/>
        <w:t>3GPP</w:t>
      </w:r>
      <w:r>
        <w:rPr>
          <w:lang w:eastAsia="zh-CN"/>
        </w:rPr>
        <w:t> TS 23.032: "Universal Geographical Area Description (GAD)".</w:t>
      </w:r>
    </w:p>
    <w:p w14:paraId="17AC6BD1" w14:textId="77777777" w:rsidR="00A10B25" w:rsidRDefault="00A10B25">
      <w:pPr>
        <w:pStyle w:val="1"/>
      </w:pPr>
      <w:bookmarkStart w:id="151" w:name="_Toc136562219"/>
      <w:bookmarkStart w:id="152" w:name="_Toc138754053"/>
      <w:bookmarkStart w:id="153" w:name="_Toc145705540"/>
      <w:bookmarkStart w:id="154" w:name="_Toc148522444"/>
      <w:bookmarkStart w:id="155" w:name="_Toc164920568"/>
      <w:bookmarkStart w:id="156" w:name="_Toc170120110"/>
      <w:bookmarkStart w:id="157" w:name="_Toc175858355"/>
      <w:bookmarkStart w:id="158" w:name="_Toc175859428"/>
      <w:bookmarkStart w:id="159" w:name="_Toc180605718"/>
      <w:bookmarkStart w:id="160" w:name="_Toc185516972"/>
      <w:bookmarkStart w:id="161" w:name="_Toc191576023"/>
      <w:bookmarkStart w:id="162" w:name="_Toc191576763"/>
      <w:bookmarkStart w:id="163" w:name="_Toc192879833"/>
      <w:bookmarkStart w:id="164" w:name="_Toc195814716"/>
      <w:bookmarkStart w:id="165" w:name="_Toc199452663"/>
      <w:r>
        <w:t>3</w:t>
      </w:r>
      <w:r>
        <w:tab/>
        <w:t>Definitions</w:t>
      </w:r>
      <w:r>
        <w:rPr>
          <w:rFonts w:hint="eastAsia"/>
          <w:lang w:eastAsia="zh-CN"/>
        </w:rPr>
        <w:t xml:space="preserve"> </w:t>
      </w:r>
      <w:r>
        <w:t>and abbreviations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4CB0F6FC" w14:textId="77777777" w:rsidR="00A10B25" w:rsidRDefault="00A10B25">
      <w:pPr>
        <w:pStyle w:val="2"/>
      </w:pPr>
      <w:bookmarkStart w:id="166" w:name="_Toc94064127"/>
      <w:bookmarkStart w:id="167" w:name="_Toc45133974"/>
      <w:bookmarkStart w:id="168" w:name="_Toc50031904"/>
      <w:bookmarkStart w:id="169" w:name="_Toc90655746"/>
      <w:bookmarkStart w:id="170" w:name="_Toc68168888"/>
      <w:bookmarkStart w:id="171" w:name="_Toc104538872"/>
      <w:bookmarkStart w:id="172" w:name="_Toc114133673"/>
      <w:bookmarkStart w:id="173" w:name="_Toc66231727"/>
      <w:bookmarkStart w:id="174" w:name="_Toc85556959"/>
      <w:bookmarkStart w:id="175" w:name="_Toc98233507"/>
      <w:bookmarkStart w:id="176" w:name="_Toc88667461"/>
      <w:bookmarkStart w:id="177" w:name="_Toc56640891"/>
      <w:bookmarkStart w:id="178" w:name="_Toc43563431"/>
      <w:bookmarkStart w:id="179" w:name="_Toc70550534"/>
      <w:bookmarkStart w:id="180" w:name="_Toc85552860"/>
      <w:bookmarkStart w:id="181" w:name="_Toc36102389"/>
      <w:bookmarkStart w:id="182" w:name="_Toc136562220"/>
      <w:bookmarkStart w:id="183" w:name="_Toc83232971"/>
      <w:bookmarkStart w:id="184" w:name="_Toc34266218"/>
      <w:bookmarkStart w:id="185" w:name="_Toc101244283"/>
      <w:bookmarkStart w:id="186" w:name="_Toc59017859"/>
      <w:bookmarkStart w:id="187" w:name="_Toc112950994"/>
      <w:bookmarkStart w:id="188" w:name="_Toc51762824"/>
      <w:bookmarkStart w:id="189" w:name="_Toc138754054"/>
      <w:bookmarkStart w:id="190" w:name="_Toc145705541"/>
      <w:bookmarkStart w:id="191" w:name="_Toc148522445"/>
      <w:bookmarkStart w:id="192" w:name="_Toc28012748"/>
      <w:bookmarkStart w:id="193" w:name="_Toc113031534"/>
      <w:bookmarkStart w:id="194" w:name="_Toc120702173"/>
      <w:bookmarkStart w:id="195" w:name="_Toc164920569"/>
      <w:bookmarkStart w:id="196" w:name="_Toc170120111"/>
      <w:bookmarkStart w:id="197" w:name="_Toc175858356"/>
      <w:bookmarkStart w:id="198" w:name="_Toc175859429"/>
      <w:bookmarkStart w:id="199" w:name="_Toc180605719"/>
      <w:bookmarkStart w:id="200" w:name="_Toc185516973"/>
      <w:bookmarkStart w:id="201" w:name="_Toc191576024"/>
      <w:bookmarkStart w:id="202" w:name="_Toc191576764"/>
      <w:bookmarkStart w:id="203" w:name="_Toc192879834"/>
      <w:bookmarkStart w:id="204" w:name="_Toc195814717"/>
      <w:bookmarkStart w:id="205" w:name="_Toc199452664"/>
      <w:r>
        <w:t>3.1</w:t>
      </w:r>
      <w:r>
        <w:tab/>
        <w:t>Definitions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BFFF504" w14:textId="77777777" w:rsidR="00A10B25" w:rsidRDefault="00A10B25">
      <w:bookmarkStart w:id="206" w:name="_Hlk85557270"/>
      <w:r>
        <w:t>For the purposes of the present document, the terms and definitions given in 3GPP TR 21.905 [1] and the following apply. A term defined in the present document takes precedence over the definition of the same term, if any, in 3GPP TR 21.905 [1].</w:t>
      </w:r>
    </w:p>
    <w:p w14:paraId="656781A1" w14:textId="77777777" w:rsidR="00A10B25" w:rsidRDefault="00A10B25">
      <w:pPr>
        <w:pStyle w:val="2"/>
      </w:pPr>
      <w:bookmarkStart w:id="207" w:name="_Toc85552861"/>
      <w:bookmarkStart w:id="208" w:name="_Toc101244284"/>
      <w:bookmarkStart w:id="209" w:name="_Toc56640892"/>
      <w:bookmarkStart w:id="210" w:name="_Toc43563432"/>
      <w:bookmarkStart w:id="211" w:name="_Toc104538873"/>
      <w:bookmarkStart w:id="212" w:name="_Toc70550535"/>
      <w:bookmarkStart w:id="213" w:name="_Toc120702174"/>
      <w:bookmarkStart w:id="214" w:name="_Toc85556960"/>
      <w:bookmarkStart w:id="215" w:name="_Toc51762825"/>
      <w:bookmarkStart w:id="216" w:name="_Toc50031905"/>
      <w:bookmarkStart w:id="217" w:name="_Toc83232972"/>
      <w:bookmarkStart w:id="218" w:name="_Toc28012749"/>
      <w:bookmarkStart w:id="219" w:name="_Toc68168889"/>
      <w:bookmarkStart w:id="220" w:name="_Toc145705542"/>
      <w:bookmarkStart w:id="221" w:name="_Toc113031535"/>
      <w:bookmarkStart w:id="222" w:name="_Toc45133975"/>
      <w:bookmarkStart w:id="223" w:name="_Toc66231728"/>
      <w:bookmarkStart w:id="224" w:name="_Toc148522446"/>
      <w:bookmarkStart w:id="225" w:name="_Toc112950995"/>
      <w:bookmarkStart w:id="226" w:name="_Toc114133674"/>
      <w:bookmarkStart w:id="227" w:name="_Toc98233508"/>
      <w:bookmarkStart w:id="228" w:name="_Toc36102390"/>
      <w:bookmarkStart w:id="229" w:name="_Toc59017860"/>
      <w:bookmarkStart w:id="230" w:name="_Toc90655747"/>
      <w:bookmarkStart w:id="231" w:name="_Toc138754055"/>
      <w:bookmarkStart w:id="232" w:name="_Toc88667462"/>
      <w:bookmarkStart w:id="233" w:name="_Toc94064128"/>
      <w:bookmarkStart w:id="234" w:name="_Toc136562221"/>
      <w:bookmarkStart w:id="235" w:name="_Toc34266219"/>
      <w:bookmarkStart w:id="236" w:name="_Toc164920570"/>
      <w:bookmarkStart w:id="237" w:name="_Toc170120112"/>
      <w:bookmarkStart w:id="238" w:name="_Toc175858357"/>
      <w:bookmarkStart w:id="239" w:name="_Toc175859430"/>
      <w:bookmarkStart w:id="240" w:name="_Toc180605720"/>
      <w:bookmarkStart w:id="241" w:name="_Toc185516974"/>
      <w:bookmarkStart w:id="242" w:name="_Toc191576025"/>
      <w:bookmarkStart w:id="243" w:name="_Toc191576765"/>
      <w:bookmarkStart w:id="244" w:name="_Toc192879835"/>
      <w:bookmarkStart w:id="245" w:name="_Toc195814718"/>
      <w:bookmarkStart w:id="246" w:name="_Toc199452665"/>
      <w:bookmarkEnd w:id="206"/>
      <w:r>
        <w:t>3.2</w:t>
      </w:r>
      <w:r>
        <w:tab/>
        <w:t>Abbreviations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4EE4DBE6" w14:textId="77777777" w:rsidR="00A10B25" w:rsidRDefault="00A10B25">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CD4DB4D" w14:textId="77777777" w:rsidR="00A10B25" w:rsidRDefault="00A10B25">
      <w:pPr>
        <w:keepLines/>
        <w:spacing w:after="0"/>
        <w:ind w:left="1702" w:hanging="1418"/>
      </w:pPr>
      <w:bookmarkStart w:id="247" w:name="_Toc88667463"/>
      <w:bookmarkStart w:id="248" w:name="_Toc28012750"/>
      <w:bookmarkStart w:id="249" w:name="_Toc34266220"/>
      <w:bookmarkStart w:id="250" w:name="_Toc114133675"/>
      <w:bookmarkStart w:id="251" w:name="_Toc90655748"/>
      <w:bookmarkStart w:id="252" w:name="_Toc68168890"/>
      <w:bookmarkStart w:id="253" w:name="_Toc112950996"/>
      <w:bookmarkStart w:id="254" w:name="_Toc104538874"/>
      <w:bookmarkStart w:id="255" w:name="_Toc50031906"/>
      <w:bookmarkStart w:id="256" w:name="_Toc70550536"/>
      <w:bookmarkStart w:id="257" w:name="_Toc120702175"/>
      <w:bookmarkStart w:id="258" w:name="_Toc59017861"/>
      <w:bookmarkStart w:id="259" w:name="_Toc43563433"/>
      <w:bookmarkStart w:id="260" w:name="_Toc101244285"/>
      <w:bookmarkStart w:id="261" w:name="_Toc94064129"/>
      <w:bookmarkStart w:id="262" w:name="_Toc51762826"/>
      <w:bookmarkStart w:id="263" w:name="_Toc45133976"/>
      <w:bookmarkStart w:id="264" w:name="_Toc56640893"/>
      <w:bookmarkStart w:id="265" w:name="_Toc98233509"/>
      <w:bookmarkStart w:id="266" w:name="_Toc66231729"/>
      <w:bookmarkStart w:id="267" w:name="_Toc83232973"/>
      <w:bookmarkStart w:id="268" w:name="_Toc36102391"/>
      <w:bookmarkStart w:id="269" w:name="_Toc85552862"/>
      <w:bookmarkStart w:id="270" w:name="_Toc85556961"/>
      <w:bookmarkStart w:id="271" w:name="_Toc113031536"/>
      <w:r>
        <w:t>5QI</w:t>
      </w:r>
      <w:r>
        <w:tab/>
        <w:t>5G QoS Identifier</w:t>
      </w:r>
    </w:p>
    <w:p w14:paraId="4CEDDD28" w14:textId="77777777" w:rsidR="00A10B25" w:rsidRDefault="00A10B25">
      <w:pPr>
        <w:keepLines/>
        <w:spacing w:after="0"/>
        <w:ind w:left="1702" w:hanging="1418"/>
      </w:pPr>
      <w:r>
        <w:t>ADRF</w:t>
      </w:r>
      <w:r>
        <w:tab/>
        <w:t>Analytics Data Repository Function</w:t>
      </w:r>
    </w:p>
    <w:p w14:paraId="5C4A2C9C" w14:textId="77777777" w:rsidR="00A10B25" w:rsidRDefault="00A10B25">
      <w:pPr>
        <w:keepLines/>
        <w:spacing w:after="0"/>
        <w:ind w:left="1702" w:hanging="1418"/>
      </w:pPr>
      <w:r>
        <w:t>AF</w:t>
      </w:r>
      <w:r>
        <w:tab/>
        <w:t>Application Function</w:t>
      </w:r>
    </w:p>
    <w:p w14:paraId="249E37C9" w14:textId="77777777" w:rsidR="00A10B25" w:rsidRDefault="00A10B25">
      <w:pPr>
        <w:keepLines/>
        <w:spacing w:after="0"/>
        <w:ind w:left="1702" w:hanging="1418"/>
      </w:pPr>
      <w:r>
        <w:t>AI/ML</w:t>
      </w:r>
      <w:r>
        <w:tab/>
        <w:t>Artificial Intelligence/Machine Learning</w:t>
      </w:r>
    </w:p>
    <w:p w14:paraId="64CEEF10" w14:textId="77777777" w:rsidR="00A10B25" w:rsidRDefault="00A10B25">
      <w:pPr>
        <w:keepLines/>
        <w:spacing w:after="0"/>
        <w:ind w:left="1702" w:hanging="1418"/>
      </w:pPr>
      <w:r>
        <w:t>AMF</w:t>
      </w:r>
      <w:r>
        <w:tab/>
        <w:t>Access and Mobility Management Function</w:t>
      </w:r>
    </w:p>
    <w:p w14:paraId="71B618DE" w14:textId="77777777" w:rsidR="00A10B25" w:rsidRDefault="00A10B25">
      <w:pPr>
        <w:keepLines/>
        <w:spacing w:after="0"/>
        <w:ind w:left="1702" w:hanging="1418"/>
      </w:pPr>
      <w:r>
        <w:t>AOI</w:t>
      </w:r>
      <w:r>
        <w:tab/>
        <w:t>Area of Interest</w:t>
      </w:r>
    </w:p>
    <w:p w14:paraId="71E4F79A" w14:textId="77777777" w:rsidR="00A10B25" w:rsidRDefault="00A10B25">
      <w:pPr>
        <w:keepLines/>
        <w:spacing w:after="0"/>
        <w:ind w:left="1702" w:hanging="1418"/>
        <w:rPr>
          <w:lang w:val="en-US"/>
        </w:rPr>
      </w:pPr>
      <w:r>
        <w:t>API</w:t>
      </w:r>
      <w:r>
        <w:tab/>
      </w:r>
      <w:r>
        <w:rPr>
          <w:lang w:val="en-US"/>
        </w:rPr>
        <w:t>Application Programming Interface</w:t>
      </w:r>
    </w:p>
    <w:p w14:paraId="77FBD1FE" w14:textId="77777777" w:rsidR="00A10B25" w:rsidRDefault="00A10B25">
      <w:pPr>
        <w:keepLines/>
        <w:spacing w:after="0"/>
        <w:ind w:left="1702" w:hanging="1418"/>
        <w:rPr>
          <w:lang w:val="en-US"/>
        </w:rPr>
      </w:pPr>
      <w:r>
        <w:rPr>
          <w:lang w:val="en-US"/>
        </w:rPr>
        <w:t>CEF</w:t>
      </w:r>
      <w:r>
        <w:rPr>
          <w:lang w:val="en-US"/>
        </w:rPr>
        <w:tab/>
        <w:t>Charging Enablement Function</w:t>
      </w:r>
    </w:p>
    <w:p w14:paraId="12B3F1A4" w14:textId="77777777" w:rsidR="00A10B25" w:rsidRDefault="00A10B25">
      <w:pPr>
        <w:keepLines/>
        <w:spacing w:after="0"/>
        <w:ind w:left="1702" w:hanging="1418"/>
        <w:rPr>
          <w:lang w:val="en-US"/>
        </w:rPr>
      </w:pPr>
      <w:r>
        <w:rPr>
          <w:lang w:val="en-US"/>
        </w:rPr>
        <w:t>DCCF</w:t>
      </w:r>
      <w:r>
        <w:rPr>
          <w:lang w:val="en-US"/>
        </w:rPr>
        <w:tab/>
      </w:r>
      <w:r>
        <w:rPr>
          <w:lang w:eastAsia="zh-CN"/>
        </w:rPr>
        <w:t>Data Collection Coordination Function</w:t>
      </w:r>
    </w:p>
    <w:p w14:paraId="1C49D781" w14:textId="77777777" w:rsidR="00A10B25" w:rsidRDefault="00A10B25">
      <w:pPr>
        <w:keepLines/>
        <w:spacing w:after="0"/>
        <w:ind w:left="1702" w:hanging="1418"/>
        <w:rPr>
          <w:lang w:val="en-US"/>
        </w:rPr>
      </w:pPr>
      <w:r>
        <w:rPr>
          <w:lang w:val="en-US"/>
        </w:rPr>
        <w:t>DNN</w:t>
      </w:r>
      <w:r>
        <w:rPr>
          <w:lang w:val="en-US"/>
        </w:rPr>
        <w:tab/>
        <w:t>Data Network Name</w:t>
      </w:r>
    </w:p>
    <w:p w14:paraId="57DD28CF" w14:textId="77777777" w:rsidR="00A10B25" w:rsidRDefault="00A10B25">
      <w:pPr>
        <w:keepLines/>
        <w:spacing w:after="0"/>
        <w:ind w:left="1702" w:hanging="1418"/>
        <w:rPr>
          <w:lang w:val="en-US"/>
        </w:rPr>
      </w:pPr>
      <w:r>
        <w:t>FL</w:t>
      </w:r>
      <w:r>
        <w:tab/>
        <w:t>Federated Learning</w:t>
      </w:r>
    </w:p>
    <w:p w14:paraId="5A7368D6" w14:textId="77777777" w:rsidR="00A10B25" w:rsidRDefault="00A10B25">
      <w:pPr>
        <w:keepLines/>
        <w:spacing w:after="0"/>
        <w:ind w:left="1702" w:hanging="1418"/>
        <w:rPr>
          <w:lang w:val="en-US"/>
        </w:rPr>
      </w:pPr>
      <w:r>
        <w:rPr>
          <w:lang w:val="en-US"/>
        </w:rPr>
        <w:t>GFBR</w:t>
      </w:r>
      <w:r>
        <w:rPr>
          <w:lang w:val="en-US"/>
        </w:rPr>
        <w:tab/>
        <w:t>Guaranteed Flow Bit Rate</w:t>
      </w:r>
    </w:p>
    <w:p w14:paraId="1889B934" w14:textId="77777777" w:rsidR="00A10B25" w:rsidRDefault="00A10B25">
      <w:pPr>
        <w:keepLines/>
        <w:spacing w:after="0"/>
        <w:ind w:left="1702" w:hanging="1418"/>
        <w:rPr>
          <w:lang w:val="en-US"/>
        </w:rPr>
      </w:pPr>
      <w:r>
        <w:rPr>
          <w:lang w:val="en-US"/>
        </w:rPr>
        <w:t>GMLC</w:t>
      </w:r>
      <w:r>
        <w:rPr>
          <w:lang w:val="en-US"/>
        </w:rPr>
        <w:tab/>
      </w:r>
      <w:r>
        <w:rPr>
          <w:lang w:eastAsia="zh-CN"/>
        </w:rPr>
        <w:t>Gateway Mobile Location Centre</w:t>
      </w:r>
    </w:p>
    <w:p w14:paraId="7692C319" w14:textId="77777777" w:rsidR="00143F25" w:rsidRDefault="00143F25" w:rsidP="00143F25">
      <w:pPr>
        <w:keepLines/>
        <w:spacing w:after="0"/>
        <w:ind w:left="1702" w:hanging="1418"/>
        <w:rPr>
          <w:lang w:val="en-US"/>
        </w:rPr>
      </w:pPr>
      <w:r>
        <w:t>HFL</w:t>
      </w:r>
      <w:r>
        <w:tab/>
      </w:r>
      <w:r>
        <w:rPr>
          <w:lang w:eastAsia="ko-KR"/>
        </w:rPr>
        <w:t>Horizontal</w:t>
      </w:r>
      <w:r>
        <w:rPr>
          <w:rFonts w:eastAsia="等线"/>
          <w:lang w:eastAsia="zh-CN"/>
        </w:rPr>
        <w:t xml:space="preserve"> </w:t>
      </w:r>
      <w:r>
        <w:t>Federated Learning</w:t>
      </w:r>
    </w:p>
    <w:p w14:paraId="775393A9" w14:textId="77777777" w:rsidR="00143F25" w:rsidRDefault="00143F25" w:rsidP="00143F25">
      <w:pPr>
        <w:keepLines/>
        <w:spacing w:after="0"/>
        <w:ind w:left="1702" w:hanging="1418"/>
      </w:pPr>
      <w:r>
        <w:lastRenderedPageBreak/>
        <w:t>HTTP</w:t>
      </w:r>
      <w:r>
        <w:tab/>
        <w:t>Hypertext Transfer Protocol</w:t>
      </w:r>
    </w:p>
    <w:p w14:paraId="5C54A4B7" w14:textId="77777777" w:rsidR="00A10B25" w:rsidRDefault="00A10B25">
      <w:pPr>
        <w:keepLines/>
        <w:spacing w:after="0"/>
        <w:ind w:left="1702" w:hanging="1418"/>
      </w:pPr>
      <w:r>
        <w:t>JSON</w:t>
      </w:r>
      <w:r>
        <w:tab/>
        <w:t>JavaScript Object Notation</w:t>
      </w:r>
    </w:p>
    <w:p w14:paraId="363FF718" w14:textId="77777777" w:rsidR="00A10B25" w:rsidRDefault="00A10B25">
      <w:pPr>
        <w:keepLines/>
        <w:spacing w:after="0"/>
        <w:ind w:left="1702" w:hanging="1418"/>
      </w:pPr>
      <w:r>
        <w:t>LADN</w:t>
      </w:r>
      <w:r>
        <w:tab/>
        <w:t>Local Area Data Network</w:t>
      </w:r>
    </w:p>
    <w:p w14:paraId="4EF71BCD" w14:textId="77777777" w:rsidR="00A10B25" w:rsidRDefault="00A10B25">
      <w:pPr>
        <w:keepLines/>
        <w:spacing w:after="0"/>
        <w:ind w:left="1702" w:hanging="1418"/>
      </w:pPr>
      <w:r>
        <w:t>LMF</w:t>
      </w:r>
      <w:r>
        <w:tab/>
        <w:t>Location Management Function</w:t>
      </w:r>
    </w:p>
    <w:p w14:paraId="78F25745" w14:textId="77777777" w:rsidR="00A10B25" w:rsidRDefault="00A10B25">
      <w:pPr>
        <w:keepLines/>
        <w:spacing w:after="0"/>
        <w:ind w:left="1702" w:hanging="1418"/>
      </w:pPr>
      <w:r>
        <w:t>MFAF</w:t>
      </w:r>
      <w:r>
        <w:tab/>
        <w:t>Messaging Framework Adaptor Function</w:t>
      </w:r>
    </w:p>
    <w:p w14:paraId="040ADD11" w14:textId="77777777" w:rsidR="00A10B25" w:rsidRDefault="00A10B25">
      <w:pPr>
        <w:keepLines/>
        <w:spacing w:after="0"/>
        <w:ind w:left="1702" w:hanging="1418"/>
      </w:pPr>
      <w:r>
        <w:t>ML</w:t>
      </w:r>
      <w:r>
        <w:tab/>
        <w:t>Machine Learning</w:t>
      </w:r>
    </w:p>
    <w:p w14:paraId="2FCF9757" w14:textId="77777777" w:rsidR="00A10B25" w:rsidRDefault="00A10B25">
      <w:pPr>
        <w:keepLines/>
        <w:spacing w:after="0"/>
        <w:ind w:left="1702" w:hanging="1418"/>
      </w:pPr>
      <w:r>
        <w:t>MTLF</w:t>
      </w:r>
      <w:r>
        <w:tab/>
        <w:t>Model Training Logical Function</w:t>
      </w:r>
    </w:p>
    <w:p w14:paraId="49EDA6FE" w14:textId="77777777" w:rsidR="00A10B25" w:rsidRDefault="00A10B25">
      <w:pPr>
        <w:keepLines/>
        <w:spacing w:after="0"/>
        <w:ind w:left="1702" w:hanging="1418"/>
      </w:pPr>
      <w:r>
        <w:t>NEF</w:t>
      </w:r>
      <w:r>
        <w:tab/>
        <w:t>Network Exposure Function</w:t>
      </w:r>
    </w:p>
    <w:p w14:paraId="3D2C3591" w14:textId="77777777" w:rsidR="00A10B25" w:rsidRDefault="00A10B25">
      <w:pPr>
        <w:keepLines/>
        <w:spacing w:after="0"/>
        <w:ind w:left="1702" w:hanging="1418"/>
      </w:pPr>
      <w:r>
        <w:t>NF</w:t>
      </w:r>
      <w:r>
        <w:tab/>
        <w:t>Network Function</w:t>
      </w:r>
    </w:p>
    <w:p w14:paraId="640FC69A" w14:textId="77777777" w:rsidR="00A10B25" w:rsidRDefault="00A10B25">
      <w:pPr>
        <w:keepLines/>
        <w:spacing w:after="0"/>
        <w:ind w:left="1702" w:hanging="1418"/>
      </w:pPr>
      <w:r>
        <w:t>NLOS</w:t>
      </w:r>
      <w:r>
        <w:tab/>
        <w:t>Non Line Of Sight</w:t>
      </w:r>
    </w:p>
    <w:p w14:paraId="4C42F45C" w14:textId="77777777" w:rsidR="00A10B25" w:rsidRDefault="00A10B25">
      <w:pPr>
        <w:pStyle w:val="EW"/>
      </w:pPr>
      <w:r>
        <w:t>NRF</w:t>
      </w:r>
      <w:r>
        <w:tab/>
        <w:t>Network Repository Function</w:t>
      </w:r>
    </w:p>
    <w:p w14:paraId="3FA55546" w14:textId="77777777" w:rsidR="00A10B25" w:rsidRDefault="00A10B25">
      <w:pPr>
        <w:pStyle w:val="EW"/>
      </w:pPr>
      <w:r>
        <w:t>NSSF</w:t>
      </w:r>
      <w:r>
        <w:tab/>
        <w:t>Network Slice Selection Function</w:t>
      </w:r>
    </w:p>
    <w:p w14:paraId="44C52ED4" w14:textId="77777777" w:rsidR="00A10B25" w:rsidRDefault="00A10B25">
      <w:pPr>
        <w:pStyle w:val="EW"/>
      </w:pPr>
      <w:r>
        <w:t>NWDAF</w:t>
      </w:r>
      <w:r>
        <w:tab/>
        <w:t>Network Data Analytics Function</w:t>
      </w:r>
    </w:p>
    <w:p w14:paraId="5BA25108" w14:textId="77777777" w:rsidR="00A10B25" w:rsidRDefault="00A10B25">
      <w:pPr>
        <w:pStyle w:val="EW"/>
      </w:pPr>
      <w:r>
        <w:t>OAM</w:t>
      </w:r>
      <w:r>
        <w:tab/>
        <w:t>Operation, Administration, and Maintenance</w:t>
      </w:r>
    </w:p>
    <w:p w14:paraId="7D0B8DD3" w14:textId="77777777" w:rsidR="00A10B25" w:rsidRDefault="00A10B25">
      <w:pPr>
        <w:pStyle w:val="EW"/>
      </w:pPr>
      <w:r>
        <w:t>PCF</w:t>
      </w:r>
      <w:r>
        <w:tab/>
        <w:t>Policy Control Function</w:t>
      </w:r>
    </w:p>
    <w:p w14:paraId="3F4CC366" w14:textId="77777777" w:rsidR="00A10B25" w:rsidRDefault="00A10B25">
      <w:pPr>
        <w:pStyle w:val="EW"/>
      </w:pPr>
      <w:r>
        <w:t>PFD</w:t>
      </w:r>
      <w:r>
        <w:tab/>
        <w:t>Packet Flow Description</w:t>
      </w:r>
    </w:p>
    <w:p w14:paraId="24660D18" w14:textId="77777777" w:rsidR="003513BE" w:rsidRDefault="00A10B25" w:rsidP="003513BE">
      <w:pPr>
        <w:pStyle w:val="EW"/>
      </w:pPr>
      <w:r>
        <w:t>PFDF</w:t>
      </w:r>
      <w:r>
        <w:tab/>
        <w:t>Packet Flow Description Function</w:t>
      </w:r>
    </w:p>
    <w:p w14:paraId="7EF101AF" w14:textId="7A111E5E" w:rsidR="00A10B25" w:rsidRDefault="003513BE" w:rsidP="003513BE">
      <w:pPr>
        <w:pStyle w:val="EW"/>
      </w:pPr>
      <w:r>
        <w:t>RE-NWDAF</w:t>
      </w:r>
      <w:r>
        <w:tab/>
        <w:t xml:space="preserve">Roaming Exchange </w:t>
      </w:r>
      <w:r w:rsidRPr="00BD1735">
        <w:t>NWDAF</w:t>
      </w:r>
    </w:p>
    <w:p w14:paraId="7EDA8A69" w14:textId="77777777" w:rsidR="00A10B25" w:rsidRDefault="00A10B25">
      <w:pPr>
        <w:pStyle w:val="EW"/>
      </w:pPr>
      <w:r>
        <w:t>S-NSSAI</w:t>
      </w:r>
      <w:r>
        <w:tab/>
        <w:t xml:space="preserve">Single Network Slice Selection Assistance Information </w:t>
      </w:r>
    </w:p>
    <w:p w14:paraId="20FCD775" w14:textId="77777777" w:rsidR="00AD5F95" w:rsidRPr="00D1205D" w:rsidRDefault="00AD5F95" w:rsidP="00AD5F95">
      <w:pPr>
        <w:pStyle w:val="EW"/>
        <w:rPr>
          <w:lang w:eastAsia="zh-CN"/>
        </w:rPr>
      </w:pPr>
      <w:r w:rsidRPr="00D1205D">
        <w:rPr>
          <w:lang w:eastAsia="zh-CN"/>
        </w:rPr>
        <w:t>SCP</w:t>
      </w:r>
      <w:r w:rsidRPr="00D1205D">
        <w:rPr>
          <w:lang w:eastAsia="zh-CN"/>
        </w:rPr>
        <w:tab/>
        <w:t>Service Communication Proxy</w:t>
      </w:r>
    </w:p>
    <w:p w14:paraId="1EE259FB" w14:textId="77777777" w:rsidR="00A10B25" w:rsidRDefault="00A10B25">
      <w:pPr>
        <w:pStyle w:val="EW"/>
      </w:pPr>
      <w:r>
        <w:t>SMCC</w:t>
      </w:r>
      <w:r>
        <w:tab/>
        <w:t>Session Management Congestion Control</w:t>
      </w:r>
    </w:p>
    <w:p w14:paraId="6CA2A7AE" w14:textId="77777777" w:rsidR="00A10B25" w:rsidRDefault="00A10B25">
      <w:pPr>
        <w:pStyle w:val="EW"/>
      </w:pPr>
      <w:r>
        <w:t>SMCCE</w:t>
      </w:r>
      <w:r>
        <w:tab/>
        <w:t>Session Management Congestion Control Experience</w:t>
      </w:r>
    </w:p>
    <w:p w14:paraId="3707B293" w14:textId="77777777" w:rsidR="00A10B25" w:rsidRDefault="00A10B25">
      <w:pPr>
        <w:pStyle w:val="EW"/>
      </w:pPr>
      <w:r>
        <w:t>SMF</w:t>
      </w:r>
      <w:r>
        <w:tab/>
        <w:t>Session Management Function</w:t>
      </w:r>
    </w:p>
    <w:p w14:paraId="3D5A8EB0" w14:textId="77777777" w:rsidR="00A10B25" w:rsidRDefault="00A10B25">
      <w:pPr>
        <w:keepLines/>
        <w:overflowPunct w:val="0"/>
        <w:autoSpaceDE w:val="0"/>
        <w:autoSpaceDN w:val="0"/>
        <w:adjustRightInd w:val="0"/>
        <w:spacing w:after="0"/>
        <w:ind w:left="1702" w:hanging="1418"/>
        <w:textAlignment w:val="baseline"/>
        <w:rPr>
          <w:lang w:eastAsia="zh-CN"/>
        </w:rPr>
      </w:pPr>
      <w:r>
        <w:rPr>
          <w:lang w:eastAsia="zh-CN"/>
        </w:rPr>
        <w:t>SSC</w:t>
      </w:r>
      <w:r>
        <w:rPr>
          <w:rFonts w:eastAsia="Times New Roman"/>
          <w:lang w:eastAsia="en-GB"/>
        </w:rPr>
        <w:tab/>
      </w:r>
      <w:r>
        <w:rPr>
          <w:lang w:eastAsia="zh-CN"/>
        </w:rPr>
        <w:t>Session and Service Continuity</w:t>
      </w:r>
    </w:p>
    <w:p w14:paraId="5620D53F" w14:textId="77777777" w:rsidR="00A10B25" w:rsidRDefault="00A10B25">
      <w:pPr>
        <w:pStyle w:val="EW"/>
      </w:pPr>
      <w:r>
        <w:t>SUPI</w:t>
      </w:r>
      <w:r>
        <w:tab/>
        <w:t>Subscription Permanent Identifier</w:t>
      </w:r>
    </w:p>
    <w:p w14:paraId="44A1AD86" w14:textId="77777777" w:rsidR="00A10B25" w:rsidRDefault="00A10B25">
      <w:pPr>
        <w:pStyle w:val="EW"/>
      </w:pPr>
      <w:r>
        <w:t>UDM</w:t>
      </w:r>
      <w:r>
        <w:tab/>
        <w:t>Unified Data Management</w:t>
      </w:r>
    </w:p>
    <w:p w14:paraId="098ACD24" w14:textId="77777777" w:rsidR="00A10B25" w:rsidRDefault="00A10B25">
      <w:pPr>
        <w:pStyle w:val="EW"/>
      </w:pPr>
      <w:r>
        <w:t>UPF</w:t>
      </w:r>
      <w:r>
        <w:tab/>
        <w:t>User Plane Function</w:t>
      </w:r>
    </w:p>
    <w:p w14:paraId="2CECA14A" w14:textId="77777777" w:rsidR="00A10B25" w:rsidRDefault="00A10B25">
      <w:pPr>
        <w:pStyle w:val="EW"/>
      </w:pPr>
      <w:r>
        <w:t xml:space="preserve">URI </w:t>
      </w:r>
      <w:r>
        <w:tab/>
        <w:t>Uniform Resource Identifier</w:t>
      </w:r>
    </w:p>
    <w:p w14:paraId="0CF46B1A" w14:textId="77777777" w:rsidR="00A10B25" w:rsidRDefault="00A10B25">
      <w:pPr>
        <w:pStyle w:val="EW"/>
      </w:pPr>
      <w:r>
        <w:t>URSP</w:t>
      </w:r>
      <w:r>
        <w:tab/>
        <w:t>UE Route Selection Policy</w:t>
      </w:r>
    </w:p>
    <w:p w14:paraId="17BD8868" w14:textId="77777777" w:rsidR="005B1DF6" w:rsidRDefault="00A10B25" w:rsidP="005B1DF6">
      <w:pPr>
        <w:keepLines/>
        <w:spacing w:after="0"/>
        <w:ind w:left="1701" w:hanging="1417"/>
      </w:pPr>
      <w:r>
        <w:t>UTC</w:t>
      </w:r>
      <w:r>
        <w:tab/>
        <w:t>Universal Time Coordinated</w:t>
      </w:r>
    </w:p>
    <w:p w14:paraId="5D26CDF4" w14:textId="77777777" w:rsidR="005B1DF6" w:rsidRPr="00311B21" w:rsidRDefault="005B1DF6" w:rsidP="005B1DF6">
      <w:pPr>
        <w:keepLines/>
        <w:spacing w:after="0"/>
        <w:ind w:left="1701" w:hanging="1417"/>
      </w:pPr>
      <w:r>
        <w:t>VFL</w:t>
      </w:r>
      <w:r>
        <w:tab/>
        <w:t>Vertical Federated Learning</w:t>
      </w:r>
    </w:p>
    <w:p w14:paraId="34B7F11E" w14:textId="77777777" w:rsidR="00A10B25" w:rsidRDefault="00A10B25">
      <w:pPr>
        <w:pStyle w:val="EW"/>
      </w:pPr>
    </w:p>
    <w:p w14:paraId="0FA9DFD2" w14:textId="77777777" w:rsidR="00A10B25" w:rsidRDefault="00A10B25">
      <w:pPr>
        <w:pStyle w:val="1"/>
        <w:rPr>
          <w:rFonts w:eastAsia="Times New Roman" w:hint="eastAsia"/>
        </w:rPr>
      </w:pPr>
      <w:bookmarkStart w:id="272" w:name="_Toc145705543"/>
      <w:bookmarkStart w:id="273" w:name="_Toc138754056"/>
      <w:bookmarkStart w:id="274" w:name="_Toc148522447"/>
      <w:bookmarkStart w:id="275" w:name="_Toc136562222"/>
      <w:bookmarkStart w:id="276" w:name="_Toc164920571"/>
      <w:bookmarkStart w:id="277" w:name="_Toc170120113"/>
      <w:bookmarkStart w:id="278" w:name="_Toc175858358"/>
      <w:bookmarkStart w:id="279" w:name="_Toc175859431"/>
      <w:bookmarkStart w:id="280" w:name="_Toc180605721"/>
      <w:bookmarkStart w:id="281" w:name="_Toc185516975"/>
      <w:bookmarkStart w:id="282" w:name="_Toc191576026"/>
      <w:bookmarkStart w:id="283" w:name="_Toc191576766"/>
      <w:bookmarkStart w:id="284" w:name="_Toc192879836"/>
      <w:bookmarkStart w:id="285" w:name="_Toc195814719"/>
      <w:bookmarkStart w:id="286" w:name="_Toc199452666"/>
      <w:r>
        <w:rPr>
          <w:rFonts w:eastAsia="Times New Roman"/>
        </w:rPr>
        <w:t>4</w:t>
      </w:r>
      <w:r>
        <w:rPr>
          <w:rFonts w:eastAsia="Times New Roman"/>
        </w:rPr>
        <w:tab/>
        <w:t>Services offered by the NWDAF</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2FC3F8E" w14:textId="77777777" w:rsidR="00A10B25" w:rsidRDefault="00A10B25">
      <w:pPr>
        <w:pStyle w:val="2"/>
      </w:pPr>
      <w:bookmarkStart w:id="287" w:name="_Toc148522448"/>
      <w:bookmarkStart w:id="288" w:name="_Toc68168891"/>
      <w:bookmarkStart w:id="289" w:name="_Toc104538875"/>
      <w:bookmarkStart w:id="290" w:name="_Toc85556962"/>
      <w:bookmarkStart w:id="291" w:name="_Toc120702176"/>
      <w:bookmarkStart w:id="292" w:name="_Toc136562223"/>
      <w:bookmarkStart w:id="293" w:name="_Toc90655749"/>
      <w:bookmarkStart w:id="294" w:name="_Toc145705544"/>
      <w:bookmarkStart w:id="295" w:name="_Toc70550537"/>
      <w:bookmarkStart w:id="296" w:name="_Toc50031907"/>
      <w:bookmarkStart w:id="297" w:name="_Toc56640894"/>
      <w:bookmarkStart w:id="298" w:name="_Toc45133977"/>
      <w:bookmarkStart w:id="299" w:name="_Toc66231730"/>
      <w:bookmarkStart w:id="300" w:name="_Toc98233510"/>
      <w:bookmarkStart w:id="301" w:name="_Toc88667464"/>
      <w:bookmarkStart w:id="302" w:name="_Toc113031537"/>
      <w:bookmarkStart w:id="303" w:name="_Toc85552863"/>
      <w:bookmarkStart w:id="304" w:name="_Toc36102392"/>
      <w:bookmarkStart w:id="305" w:name="_Toc83232974"/>
      <w:bookmarkStart w:id="306" w:name="_Toc28012751"/>
      <w:bookmarkStart w:id="307" w:name="_Toc43563434"/>
      <w:bookmarkStart w:id="308" w:name="_Toc94064130"/>
      <w:bookmarkStart w:id="309" w:name="_Toc34266221"/>
      <w:bookmarkStart w:id="310" w:name="_Toc101244286"/>
      <w:bookmarkStart w:id="311" w:name="_Toc59017862"/>
      <w:bookmarkStart w:id="312" w:name="_Toc112950997"/>
      <w:bookmarkStart w:id="313" w:name="_Toc138754057"/>
      <w:bookmarkStart w:id="314" w:name="_Toc114133676"/>
      <w:bookmarkStart w:id="315" w:name="_Toc51762827"/>
      <w:bookmarkStart w:id="316" w:name="_Toc164920572"/>
      <w:bookmarkStart w:id="317" w:name="_Toc170120114"/>
      <w:bookmarkStart w:id="318" w:name="_Toc175858359"/>
      <w:bookmarkStart w:id="319" w:name="_Toc175859432"/>
      <w:bookmarkStart w:id="320" w:name="_Toc180605722"/>
      <w:bookmarkStart w:id="321" w:name="_Toc185516976"/>
      <w:bookmarkStart w:id="322" w:name="_Toc191576027"/>
      <w:bookmarkStart w:id="323" w:name="_Toc191576767"/>
      <w:bookmarkStart w:id="324" w:name="_Toc192879837"/>
      <w:bookmarkStart w:id="325" w:name="_Toc195814720"/>
      <w:bookmarkStart w:id="326" w:name="_Toc199452667"/>
      <w:r>
        <w:t>4.1</w:t>
      </w:r>
      <w:r>
        <w:tab/>
        <w:t>Introduction</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221EC9E8" w14:textId="77777777" w:rsidR="00A10B25" w:rsidRDefault="00A10B25">
      <w:pPr>
        <w:rPr>
          <w:lang w:eastAsia="zh-CN"/>
        </w:rPr>
      </w:pPr>
      <w:bookmarkStart w:id="327" w:name="historyclause"/>
      <w:r>
        <w:rPr>
          <w:lang w:eastAsia="zh-CN"/>
        </w:rPr>
        <w:t>The Nnwdaf services are used by the NWDAF to provide specific analytics</w:t>
      </w:r>
      <w:r>
        <w:t xml:space="preserve"> </w:t>
      </w:r>
      <w:r>
        <w:rPr>
          <w:lang w:eastAsia="zh-CN"/>
        </w:rPr>
        <w:t xml:space="preserve">information and </w:t>
      </w:r>
      <w:r>
        <w:rPr>
          <w:lang w:eastAsia="ja-JP"/>
        </w:rPr>
        <w:t>ML models</w:t>
      </w:r>
      <w:r>
        <w:rPr>
          <w:lang w:eastAsia="zh-CN"/>
        </w:rPr>
        <w:t>.</w:t>
      </w:r>
    </w:p>
    <w:p w14:paraId="1234A047" w14:textId="77777777" w:rsidR="00143F25" w:rsidRDefault="00A10B25" w:rsidP="00143F25">
      <w:pPr>
        <w:rPr>
          <w:lang w:eastAsia="zh-CN"/>
        </w:rPr>
      </w:pPr>
      <w:r>
        <w:rPr>
          <w:lang w:eastAsia="zh-CN"/>
        </w:rPr>
        <w:t>Analytics information is either statistical information of past events, or predictive information.</w:t>
      </w:r>
    </w:p>
    <w:p w14:paraId="07F589DB" w14:textId="77777777" w:rsidR="00143F25" w:rsidRPr="00143F25" w:rsidRDefault="00143F25" w:rsidP="00143F25">
      <w:pPr>
        <w:rPr>
          <w:rFonts w:eastAsia="等线"/>
          <w:lang w:eastAsia="ko-KR"/>
        </w:rPr>
      </w:pPr>
      <w:r>
        <w:rPr>
          <w:lang w:eastAsia="ko-KR"/>
        </w:rPr>
        <w:t>The Federated Learing (FL) refers to the Horizontal Federated Learning (HFL) in this specification</w:t>
      </w:r>
      <w:r w:rsidR="005B1DF6">
        <w:rPr>
          <w:lang w:eastAsia="ko-KR"/>
        </w:rPr>
        <w:t>, while Vertical Federated Learning is denoted as VFL</w:t>
      </w:r>
      <w:r>
        <w:rPr>
          <w:lang w:eastAsia="ko-KR"/>
        </w:rPr>
        <w:t>.</w:t>
      </w:r>
    </w:p>
    <w:p w14:paraId="71B643AA" w14:textId="77777777" w:rsidR="00A10B25" w:rsidRDefault="00A10B25">
      <w:pPr>
        <w:rPr>
          <w:lang w:eastAsia="zh-CN"/>
        </w:rPr>
      </w:pPr>
      <w:r>
        <w:rPr>
          <w:rFonts w:hint="eastAsia"/>
          <w:lang w:eastAsia="zh-CN"/>
        </w:rPr>
        <w:t>The following</w:t>
      </w:r>
      <w:r>
        <w:rPr>
          <w:lang w:eastAsia="zh-CN"/>
        </w:rPr>
        <w:t xml:space="preserve"> </w:t>
      </w:r>
      <w:r>
        <w:rPr>
          <w:rFonts w:hint="eastAsia"/>
          <w:lang w:eastAsia="zh-CN"/>
        </w:rPr>
        <w:t xml:space="preserve">services </w:t>
      </w:r>
      <w:r>
        <w:rPr>
          <w:lang w:eastAsia="zh-CN"/>
        </w:rPr>
        <w:t>are specified for the NWDAF:</w:t>
      </w:r>
    </w:p>
    <w:p w14:paraId="784EB7EE" w14:textId="77777777" w:rsidR="00AD5F95" w:rsidRDefault="00AD5F95" w:rsidP="00AD5F95">
      <w:pPr>
        <w:pStyle w:val="TH"/>
      </w:pPr>
      <w:r>
        <w:t>Table</w:t>
      </w:r>
      <w:r>
        <w:rPr>
          <w:lang w:val="en-US"/>
        </w:rPr>
        <w:t> 4.1-1</w:t>
      </w:r>
      <w:r>
        <w:t>: Services provided by NWDAF</w:t>
      </w:r>
    </w:p>
    <w:tbl>
      <w:tblPr>
        <w:tblW w:w="9605" w:type="dxa"/>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684"/>
        <w:gridCol w:w="2007"/>
        <w:gridCol w:w="1955"/>
        <w:gridCol w:w="9"/>
        <w:gridCol w:w="1417"/>
        <w:gridCol w:w="1533"/>
      </w:tblGrid>
      <w:tr w:rsidR="00AD5F95" w14:paraId="478B79B3" w14:textId="77777777" w:rsidTr="009E7F73">
        <w:tc>
          <w:tcPr>
            <w:tcW w:w="2684" w:type="dxa"/>
            <w:tcBorders>
              <w:top w:val="single" w:sz="6" w:space="0" w:color="auto"/>
              <w:left w:val="single" w:sz="6" w:space="0" w:color="auto"/>
              <w:bottom w:val="single" w:sz="6" w:space="0" w:color="auto"/>
              <w:right w:val="single" w:sz="6" w:space="0" w:color="auto"/>
            </w:tcBorders>
            <w:shd w:val="clear" w:color="auto" w:fill="C0C0C0"/>
          </w:tcPr>
          <w:p w14:paraId="7EF32A4E" w14:textId="77777777" w:rsidR="00AD5F95" w:rsidRDefault="00AD5F95" w:rsidP="009E7F73">
            <w:pPr>
              <w:pStyle w:val="TAH"/>
              <w:ind w:left="400" w:hanging="400"/>
            </w:pPr>
            <w:r>
              <w:rPr>
                <w:b w:val="0"/>
              </w:rPr>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51AAF47C" w14:textId="77777777" w:rsidR="00AD5F95" w:rsidRDefault="00AD5F95" w:rsidP="009E7F73">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26722685" w14:textId="77777777" w:rsidR="00AD5F95" w:rsidRDefault="00AD5F95" w:rsidP="009E7F73">
            <w:pPr>
              <w:pStyle w:val="TAH"/>
              <w:ind w:left="400" w:hanging="400"/>
            </w:pPr>
            <w:r>
              <w:t>Service Operations</w:t>
            </w:r>
          </w:p>
        </w:tc>
        <w:tc>
          <w:tcPr>
            <w:tcW w:w="1426" w:type="dxa"/>
            <w:gridSpan w:val="2"/>
            <w:tcBorders>
              <w:top w:val="single" w:sz="6" w:space="0" w:color="auto"/>
              <w:left w:val="single" w:sz="6" w:space="0" w:color="auto"/>
              <w:bottom w:val="single" w:sz="6" w:space="0" w:color="auto"/>
              <w:right w:val="single" w:sz="6" w:space="0" w:color="auto"/>
            </w:tcBorders>
            <w:shd w:val="clear" w:color="auto" w:fill="C0C0C0"/>
          </w:tcPr>
          <w:p w14:paraId="043C7E42" w14:textId="77777777" w:rsidR="00AD5F95" w:rsidRDefault="00AD5F95" w:rsidP="009E7F73">
            <w:pPr>
              <w:pStyle w:val="TAH"/>
              <w:ind w:left="400" w:hanging="400"/>
            </w:pPr>
            <w:r>
              <w:t>Operation</w:t>
            </w:r>
          </w:p>
          <w:p w14:paraId="1FC45776" w14:textId="77777777" w:rsidR="00AD5F95" w:rsidRDefault="00AD5F95" w:rsidP="009E7F73">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4A5C0729" w14:textId="77777777" w:rsidR="00AD5F95" w:rsidRDefault="00AD5F95" w:rsidP="009E7F73">
            <w:pPr>
              <w:pStyle w:val="TAH"/>
              <w:ind w:left="400" w:hanging="400"/>
            </w:pPr>
            <w:r>
              <w:t>Example Consumer(s)</w:t>
            </w:r>
          </w:p>
        </w:tc>
      </w:tr>
      <w:tr w:rsidR="00AD5F95" w14:paraId="02C8F04A" w14:textId="77777777" w:rsidTr="009E7F73">
        <w:tc>
          <w:tcPr>
            <w:tcW w:w="2684" w:type="dxa"/>
            <w:vMerge w:val="restart"/>
            <w:tcBorders>
              <w:top w:val="single" w:sz="6" w:space="0" w:color="auto"/>
              <w:left w:val="single" w:sz="6" w:space="0" w:color="auto"/>
              <w:bottom w:val="single" w:sz="6" w:space="0" w:color="auto"/>
              <w:right w:val="single" w:sz="6" w:space="0" w:color="auto"/>
            </w:tcBorders>
          </w:tcPr>
          <w:p w14:paraId="4CC89EA5" w14:textId="77777777" w:rsidR="00AD5F95" w:rsidRDefault="00AD5F95" w:rsidP="009E7F73">
            <w:pPr>
              <w:pStyle w:val="TAL"/>
            </w:pPr>
            <w:r>
              <w:t>Nnwdaf_EventsSubscription</w:t>
            </w:r>
          </w:p>
          <w:p w14:paraId="477AF8E2" w14:textId="77777777" w:rsidR="00AD5F95" w:rsidRDefault="00AD5F95" w:rsidP="009E7F73">
            <w:pPr>
              <w:pStyle w:val="TAL"/>
            </w:pPr>
            <w:r>
              <w:t>(NOTE</w:t>
            </w:r>
            <w:r>
              <w:rPr>
                <w:lang w:val="en-US"/>
              </w:rPr>
              <w:t> 1</w:t>
            </w:r>
            <w:r>
              <w:t>)</w:t>
            </w:r>
          </w:p>
        </w:tc>
        <w:tc>
          <w:tcPr>
            <w:tcW w:w="2007" w:type="dxa"/>
            <w:vMerge w:val="restart"/>
            <w:tcBorders>
              <w:top w:val="single" w:sz="6" w:space="0" w:color="auto"/>
              <w:left w:val="single" w:sz="6" w:space="0" w:color="auto"/>
              <w:bottom w:val="single" w:sz="6" w:space="0" w:color="auto"/>
              <w:right w:val="single" w:sz="6" w:space="0" w:color="auto"/>
            </w:tcBorders>
          </w:tcPr>
          <w:p w14:paraId="53AAC0E1" w14:textId="77777777" w:rsidR="00AD5F95" w:rsidRDefault="00AD5F95" w:rsidP="009E7F73">
            <w:pPr>
              <w:pStyle w:val="TAL"/>
            </w:pPr>
            <w:r>
              <w:t>This service enables the NF service consumers to subscribe to/unsubscribe from notifications for different analytics information from the NWDAF. It also enables the transfer of subscriptions between NWDAFs</w:t>
            </w:r>
          </w:p>
        </w:tc>
        <w:tc>
          <w:tcPr>
            <w:tcW w:w="1955" w:type="dxa"/>
            <w:tcBorders>
              <w:top w:val="single" w:sz="6" w:space="0" w:color="auto"/>
              <w:left w:val="single" w:sz="6" w:space="0" w:color="auto"/>
              <w:bottom w:val="single" w:sz="6" w:space="0" w:color="auto"/>
              <w:right w:val="single" w:sz="6" w:space="0" w:color="auto"/>
            </w:tcBorders>
          </w:tcPr>
          <w:p w14:paraId="58B65C37" w14:textId="77777777" w:rsidR="00AD5F95" w:rsidRDefault="00AD5F95" w:rsidP="009E7F73">
            <w:pPr>
              <w:pStyle w:val="TAL"/>
            </w:pPr>
            <w:r>
              <w:t>Subscribe</w:t>
            </w:r>
          </w:p>
        </w:tc>
        <w:tc>
          <w:tcPr>
            <w:tcW w:w="1426" w:type="dxa"/>
            <w:gridSpan w:val="2"/>
            <w:vMerge w:val="restart"/>
            <w:tcBorders>
              <w:top w:val="single" w:sz="6" w:space="0" w:color="auto"/>
              <w:left w:val="single" w:sz="6" w:space="0" w:color="auto"/>
              <w:bottom w:val="single" w:sz="6" w:space="0" w:color="auto"/>
              <w:right w:val="single" w:sz="6" w:space="0" w:color="auto"/>
            </w:tcBorders>
          </w:tcPr>
          <w:p w14:paraId="66FC9A12" w14:textId="77777777" w:rsidR="00AD5F95" w:rsidRDefault="00AD5F95" w:rsidP="009E7F73">
            <w:pPr>
              <w:pStyle w:val="TAL"/>
            </w:pPr>
            <w:r>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03AF9A8E" w14:textId="77777777" w:rsidR="00AD5F95" w:rsidRDefault="00AD5F95" w:rsidP="009E7F73">
            <w:pPr>
              <w:keepNext/>
              <w:keepLines/>
              <w:spacing w:after="0"/>
              <w:rPr>
                <w:rFonts w:ascii="Arial" w:hAnsi="Arial"/>
                <w:sz w:val="18"/>
              </w:rPr>
            </w:pPr>
            <w:r>
              <w:rPr>
                <w:rFonts w:ascii="Arial" w:hAnsi="Arial"/>
                <w:sz w:val="18"/>
              </w:rPr>
              <w:t>PCF, NSSF, AMF, SMF, NEF, AF, LMF, OAM, CEF, NWDAF, DCCF, ADRF, UDM, NRF, SCP</w:t>
            </w:r>
          </w:p>
        </w:tc>
      </w:tr>
      <w:tr w:rsidR="00AD5F95" w14:paraId="3FABF3E7"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71B6EAEC"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115F47BE"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F4FECB6" w14:textId="77777777" w:rsidR="00AD5F95" w:rsidRDefault="00AD5F95" w:rsidP="009E7F73">
            <w:pPr>
              <w:pStyle w:val="TAL"/>
              <w:rPr>
                <w:rFonts w:eastAsia="等线"/>
              </w:rPr>
            </w:pPr>
            <w:r>
              <w:rPr>
                <w:rFonts w:eastAsia="等线"/>
              </w:rPr>
              <w:t>Unsubscribe</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0838CDCC"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63BD01F" w14:textId="77777777" w:rsidR="00AD5F95" w:rsidRDefault="00AD5F95" w:rsidP="009E7F73">
            <w:pPr>
              <w:spacing w:after="0"/>
              <w:rPr>
                <w:rFonts w:ascii="Arial" w:hAnsi="Arial"/>
                <w:sz w:val="18"/>
              </w:rPr>
            </w:pPr>
          </w:p>
        </w:tc>
      </w:tr>
      <w:tr w:rsidR="00AD5F95" w14:paraId="39FB29B8"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42B8B910"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43A073FA"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7D8E1D80" w14:textId="77777777" w:rsidR="00AD5F95" w:rsidRDefault="00AD5F95" w:rsidP="009E7F73">
            <w:pPr>
              <w:pStyle w:val="TAL"/>
              <w:rPr>
                <w:rFonts w:eastAsia="等线"/>
              </w:rPr>
            </w:pPr>
            <w:r>
              <w:rPr>
                <w:rFonts w:eastAsia="等线"/>
              </w:rPr>
              <w:t>Notify</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500EB5FA"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5F682909" w14:textId="77777777" w:rsidR="00AD5F95" w:rsidRDefault="00AD5F95" w:rsidP="009E7F73">
            <w:pPr>
              <w:spacing w:after="0"/>
              <w:rPr>
                <w:rFonts w:ascii="Arial" w:hAnsi="Arial"/>
                <w:sz w:val="18"/>
              </w:rPr>
            </w:pPr>
          </w:p>
        </w:tc>
      </w:tr>
      <w:tr w:rsidR="00AD5F95" w14:paraId="2DAF6E73"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737C3D73"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04E5B2B"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90C33CC" w14:textId="77777777" w:rsidR="00AD5F95" w:rsidRDefault="00AD5F95" w:rsidP="009E7F73">
            <w:pPr>
              <w:pStyle w:val="TAL"/>
              <w:rPr>
                <w:rFonts w:eastAsia="等线"/>
              </w:rPr>
            </w:pPr>
            <w:r>
              <w:t>Transfer</w:t>
            </w:r>
          </w:p>
        </w:tc>
        <w:tc>
          <w:tcPr>
            <w:tcW w:w="1426" w:type="dxa"/>
            <w:gridSpan w:val="2"/>
            <w:tcBorders>
              <w:top w:val="single" w:sz="6" w:space="0" w:color="auto"/>
              <w:left w:val="single" w:sz="6" w:space="0" w:color="auto"/>
              <w:bottom w:val="single" w:sz="6" w:space="0" w:color="auto"/>
              <w:right w:val="single" w:sz="6" w:space="0" w:color="auto"/>
            </w:tcBorders>
          </w:tcPr>
          <w:p w14:paraId="442BF546" w14:textId="77777777" w:rsidR="00AD5F95" w:rsidRDefault="00AD5F95" w:rsidP="009E7F73">
            <w:pPr>
              <w:pStyle w:val="TAL"/>
              <w:rPr>
                <w:rFonts w:eastAsia="等线"/>
              </w:rPr>
            </w:pPr>
            <w:r>
              <w:t>Request / Response</w:t>
            </w:r>
          </w:p>
        </w:tc>
        <w:tc>
          <w:tcPr>
            <w:tcW w:w="1533" w:type="dxa"/>
            <w:tcBorders>
              <w:top w:val="single" w:sz="6" w:space="0" w:color="auto"/>
              <w:left w:val="single" w:sz="6" w:space="0" w:color="auto"/>
              <w:bottom w:val="single" w:sz="6" w:space="0" w:color="auto"/>
              <w:right w:val="single" w:sz="6" w:space="0" w:color="auto"/>
            </w:tcBorders>
          </w:tcPr>
          <w:p w14:paraId="656D5053" w14:textId="77777777" w:rsidR="00AD5F95" w:rsidRDefault="00AD5F95" w:rsidP="009E7F73">
            <w:pPr>
              <w:pStyle w:val="TAL"/>
              <w:rPr>
                <w:rFonts w:eastAsia="等线"/>
              </w:rPr>
            </w:pPr>
            <w:r>
              <w:t>NWDAF</w:t>
            </w:r>
          </w:p>
        </w:tc>
      </w:tr>
      <w:tr w:rsidR="00AD5F95" w14:paraId="05281C39" w14:textId="77777777" w:rsidTr="009E7F73">
        <w:trPr>
          <w:trHeight w:val="623"/>
        </w:trPr>
        <w:tc>
          <w:tcPr>
            <w:tcW w:w="2684" w:type="dxa"/>
            <w:vMerge w:val="restart"/>
            <w:tcBorders>
              <w:top w:val="single" w:sz="6" w:space="0" w:color="auto"/>
              <w:left w:val="single" w:sz="6" w:space="0" w:color="auto"/>
              <w:bottom w:val="single" w:sz="6" w:space="0" w:color="auto"/>
              <w:right w:val="single" w:sz="6" w:space="0" w:color="auto"/>
            </w:tcBorders>
          </w:tcPr>
          <w:p w14:paraId="3E2CF3A4" w14:textId="77777777" w:rsidR="00AD5F95" w:rsidRDefault="00AD5F95" w:rsidP="009E7F73">
            <w:pPr>
              <w:pStyle w:val="TAL"/>
              <w:rPr>
                <w:rFonts w:eastAsia="MS Mincho"/>
              </w:rPr>
            </w:pPr>
            <w:r>
              <w:t>Nnwdaf_AnalyticsInfo</w:t>
            </w:r>
          </w:p>
        </w:tc>
        <w:tc>
          <w:tcPr>
            <w:tcW w:w="2007" w:type="dxa"/>
            <w:vMerge w:val="restart"/>
            <w:tcBorders>
              <w:top w:val="single" w:sz="6" w:space="0" w:color="auto"/>
              <w:left w:val="single" w:sz="6" w:space="0" w:color="auto"/>
              <w:bottom w:val="single" w:sz="6" w:space="0" w:color="auto"/>
              <w:right w:val="single" w:sz="6" w:space="0" w:color="auto"/>
            </w:tcBorders>
          </w:tcPr>
          <w:p w14:paraId="5D8BA774" w14:textId="77777777" w:rsidR="00AD5F95" w:rsidRDefault="00AD5F95" w:rsidP="009E7F73">
            <w:pPr>
              <w:pStyle w:val="TAL"/>
            </w:pPr>
            <w:r>
              <w:t>This service enables the NF service consumers to request and get specific analytics or context information related to analytics subscriptions from the NWDAF.</w:t>
            </w:r>
          </w:p>
        </w:tc>
        <w:tc>
          <w:tcPr>
            <w:tcW w:w="1955" w:type="dxa"/>
            <w:tcBorders>
              <w:top w:val="single" w:sz="6" w:space="0" w:color="auto"/>
              <w:left w:val="single" w:sz="6" w:space="0" w:color="auto"/>
              <w:bottom w:val="single" w:sz="6" w:space="0" w:color="auto"/>
              <w:right w:val="single" w:sz="6" w:space="0" w:color="auto"/>
            </w:tcBorders>
          </w:tcPr>
          <w:p w14:paraId="51A3F4EA" w14:textId="77777777" w:rsidR="00AD5F95" w:rsidRDefault="00AD5F95" w:rsidP="009E7F73">
            <w:pPr>
              <w:pStyle w:val="TAL"/>
            </w:pPr>
            <w:r>
              <w:t>Request</w:t>
            </w:r>
          </w:p>
        </w:tc>
        <w:tc>
          <w:tcPr>
            <w:tcW w:w="1426" w:type="dxa"/>
            <w:gridSpan w:val="2"/>
            <w:tcBorders>
              <w:top w:val="single" w:sz="6" w:space="0" w:color="auto"/>
              <w:left w:val="single" w:sz="6" w:space="0" w:color="auto"/>
              <w:bottom w:val="single" w:sz="6" w:space="0" w:color="auto"/>
              <w:right w:val="single" w:sz="6" w:space="0" w:color="auto"/>
            </w:tcBorders>
          </w:tcPr>
          <w:p w14:paraId="19F7A4CE" w14:textId="77777777" w:rsidR="00AD5F95" w:rsidRDefault="00AD5F95" w:rsidP="009E7F73">
            <w:pPr>
              <w:pStyle w:val="TAL"/>
            </w:pPr>
            <w:r>
              <w:t>Request / Response</w:t>
            </w:r>
          </w:p>
        </w:tc>
        <w:tc>
          <w:tcPr>
            <w:tcW w:w="1533" w:type="dxa"/>
            <w:tcBorders>
              <w:top w:val="single" w:sz="6" w:space="0" w:color="auto"/>
              <w:left w:val="single" w:sz="6" w:space="0" w:color="auto"/>
              <w:bottom w:val="single" w:sz="6" w:space="0" w:color="auto"/>
              <w:right w:val="single" w:sz="6" w:space="0" w:color="auto"/>
            </w:tcBorders>
          </w:tcPr>
          <w:p w14:paraId="4C7A269C" w14:textId="77777777" w:rsidR="00AD5F95" w:rsidRDefault="00AD5F95" w:rsidP="009E7F73">
            <w:pPr>
              <w:pStyle w:val="TAL"/>
            </w:pPr>
            <w:r>
              <w:t>PCF, NSSF,</w:t>
            </w:r>
            <w:r>
              <w:rPr>
                <w:rFonts w:eastAsia="等线"/>
              </w:rPr>
              <w:t xml:space="preserve"> AMF, SMF, NEF, AF, LMF, OAM, NWDAF, DCCF</w:t>
            </w:r>
            <w:r>
              <w:rPr>
                <w:rFonts w:eastAsia="等线" w:hint="eastAsia"/>
                <w:lang w:eastAsia="zh-CN"/>
              </w:rPr>
              <w:t>,</w:t>
            </w:r>
            <w:r>
              <w:rPr>
                <w:rFonts w:eastAsia="等线"/>
                <w:lang w:eastAsia="zh-CN"/>
              </w:rPr>
              <w:t xml:space="preserve"> ADRF, UDM, NRF, SCP</w:t>
            </w:r>
          </w:p>
        </w:tc>
      </w:tr>
      <w:tr w:rsidR="00AD5F95" w14:paraId="7606B5A8" w14:textId="77777777" w:rsidTr="009E7F73">
        <w:trPr>
          <w:trHeight w:val="622"/>
        </w:trPr>
        <w:tc>
          <w:tcPr>
            <w:tcW w:w="2684" w:type="dxa"/>
            <w:vMerge/>
            <w:tcBorders>
              <w:top w:val="single" w:sz="6" w:space="0" w:color="auto"/>
              <w:left w:val="single" w:sz="6" w:space="0" w:color="auto"/>
              <w:bottom w:val="single" w:sz="6" w:space="0" w:color="auto"/>
              <w:right w:val="single" w:sz="6" w:space="0" w:color="auto"/>
            </w:tcBorders>
            <w:vAlign w:val="center"/>
          </w:tcPr>
          <w:p w14:paraId="6ECF593F"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39FBBFA"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41FB237D" w14:textId="77777777" w:rsidR="00AD5F95" w:rsidRDefault="00AD5F95" w:rsidP="009E7F73">
            <w:pPr>
              <w:pStyle w:val="TAL"/>
            </w:pPr>
            <w:r>
              <w:t>ContextTransfer</w:t>
            </w:r>
          </w:p>
        </w:tc>
        <w:tc>
          <w:tcPr>
            <w:tcW w:w="1426" w:type="dxa"/>
            <w:gridSpan w:val="2"/>
            <w:tcBorders>
              <w:top w:val="single" w:sz="6" w:space="0" w:color="auto"/>
              <w:left w:val="single" w:sz="6" w:space="0" w:color="auto"/>
              <w:bottom w:val="single" w:sz="6" w:space="0" w:color="auto"/>
              <w:right w:val="single" w:sz="6" w:space="0" w:color="auto"/>
            </w:tcBorders>
          </w:tcPr>
          <w:p w14:paraId="5A8D38B1" w14:textId="77777777" w:rsidR="00AD5F95" w:rsidRDefault="00AD5F95" w:rsidP="009E7F73">
            <w:pPr>
              <w:pStyle w:val="TAL"/>
            </w:pPr>
            <w:r>
              <w:t>Request / Response</w:t>
            </w:r>
          </w:p>
        </w:tc>
        <w:tc>
          <w:tcPr>
            <w:tcW w:w="1533" w:type="dxa"/>
            <w:tcBorders>
              <w:top w:val="single" w:sz="6" w:space="0" w:color="auto"/>
              <w:left w:val="single" w:sz="6" w:space="0" w:color="auto"/>
              <w:bottom w:val="single" w:sz="6" w:space="0" w:color="auto"/>
              <w:right w:val="single" w:sz="6" w:space="0" w:color="auto"/>
            </w:tcBorders>
          </w:tcPr>
          <w:p w14:paraId="76C4C6AC" w14:textId="77777777" w:rsidR="00AD5F95" w:rsidRDefault="00AD5F95" w:rsidP="009E7F73">
            <w:pPr>
              <w:pStyle w:val="TAL"/>
            </w:pPr>
            <w:r>
              <w:t>NWDAF</w:t>
            </w:r>
          </w:p>
        </w:tc>
      </w:tr>
      <w:tr w:rsidR="00AD5F95" w14:paraId="0EB49704" w14:textId="77777777" w:rsidTr="009E7F73">
        <w:tc>
          <w:tcPr>
            <w:tcW w:w="2684" w:type="dxa"/>
            <w:vMerge w:val="restart"/>
            <w:tcBorders>
              <w:top w:val="single" w:sz="6" w:space="0" w:color="auto"/>
              <w:left w:val="single" w:sz="6" w:space="0" w:color="auto"/>
              <w:bottom w:val="single" w:sz="6" w:space="0" w:color="auto"/>
              <w:right w:val="single" w:sz="6" w:space="0" w:color="auto"/>
            </w:tcBorders>
          </w:tcPr>
          <w:p w14:paraId="7A73F3ED" w14:textId="77777777" w:rsidR="00AD5F95" w:rsidRDefault="00AD5F95" w:rsidP="009E7F73">
            <w:pPr>
              <w:pStyle w:val="TAL"/>
            </w:pPr>
            <w:r>
              <w:rPr>
                <w:lang w:eastAsia="zh-CN"/>
              </w:rPr>
              <w:t>Nnwdaf_</w:t>
            </w:r>
            <w:r>
              <w:rPr>
                <w:lang w:eastAsia="ja-JP"/>
              </w:rPr>
              <w:t>DataManagement</w:t>
            </w:r>
          </w:p>
        </w:tc>
        <w:tc>
          <w:tcPr>
            <w:tcW w:w="2007" w:type="dxa"/>
            <w:vMerge w:val="restart"/>
            <w:tcBorders>
              <w:top w:val="single" w:sz="6" w:space="0" w:color="auto"/>
              <w:left w:val="single" w:sz="6" w:space="0" w:color="auto"/>
              <w:bottom w:val="single" w:sz="6" w:space="0" w:color="auto"/>
              <w:right w:val="single" w:sz="6" w:space="0" w:color="auto"/>
            </w:tcBorders>
          </w:tcPr>
          <w:p w14:paraId="4D61BBB7" w14:textId="77777777" w:rsidR="00AD5F95" w:rsidRDefault="00AD5F95" w:rsidP="009E7F73">
            <w:pPr>
              <w:pStyle w:val="TAL"/>
            </w:pPr>
            <w:r>
              <w:rPr>
                <w:lang w:eastAsia="zh-CN"/>
              </w:rPr>
              <w:t>This service enables the NF service consumers</w:t>
            </w:r>
            <w:r>
              <w:rPr>
                <w:lang w:eastAsia="zh-CN"/>
              </w:rPr>
              <w:lastRenderedPageBreak/>
              <w:t xml:space="preserve"> </w:t>
            </w:r>
            <w:r>
              <w:t xml:space="preserve">to subscribe to/unsubscribe from notifications </w:t>
            </w:r>
            <w:r>
              <w:rPr>
                <w:lang w:eastAsia="ja-JP"/>
              </w:rPr>
              <w:t>when subscribed event(s) are detected or retrieve the subscribed data from the NWDAF</w:t>
            </w:r>
            <w:r>
              <w:t>.</w:t>
            </w:r>
          </w:p>
        </w:tc>
        <w:tc>
          <w:tcPr>
            <w:tcW w:w="1955" w:type="dxa"/>
            <w:tcBorders>
              <w:top w:val="single" w:sz="6" w:space="0" w:color="auto"/>
              <w:left w:val="single" w:sz="6" w:space="0" w:color="auto"/>
              <w:bottom w:val="single" w:sz="6" w:space="0" w:color="auto"/>
              <w:right w:val="single" w:sz="6" w:space="0" w:color="auto"/>
            </w:tcBorders>
          </w:tcPr>
          <w:p w14:paraId="396B359F" w14:textId="77777777" w:rsidR="00AD5F95" w:rsidRDefault="00AD5F95" w:rsidP="009E7F73">
            <w:pPr>
              <w:pStyle w:val="TAL"/>
            </w:pPr>
            <w:r>
              <w:t>Subscribe</w:t>
            </w:r>
          </w:p>
        </w:tc>
        <w:tc>
          <w:tcPr>
            <w:tcW w:w="1426" w:type="dxa"/>
            <w:gridSpan w:val="2"/>
            <w:vMerge w:val="restart"/>
            <w:tcBorders>
              <w:top w:val="single" w:sz="6" w:space="0" w:color="auto"/>
              <w:left w:val="single" w:sz="6" w:space="0" w:color="auto"/>
              <w:bottom w:val="single" w:sz="6" w:space="0" w:color="auto"/>
              <w:right w:val="single" w:sz="6" w:space="0" w:color="auto"/>
            </w:tcBorders>
          </w:tcPr>
          <w:p w14:paraId="60F4DBF1" w14:textId="77777777" w:rsidR="00AD5F95" w:rsidRDefault="00AD5F95" w:rsidP="009E7F73">
            <w:pPr>
              <w:pStyle w:val="TAL"/>
            </w:pPr>
            <w:r>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2CA69BD2" w14:textId="77777777" w:rsidR="00AD5F95" w:rsidRDefault="00AD5F95" w:rsidP="009E7F73">
            <w:pPr>
              <w:pStyle w:val="TAL"/>
            </w:pPr>
            <w:r>
              <w:t>NWDAF, DCCF, MFAF</w:t>
            </w:r>
          </w:p>
        </w:tc>
      </w:tr>
      <w:tr w:rsidR="00AD5F95" w14:paraId="66DBA981"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4112321F"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7219958B"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A8ADDDF" w14:textId="77777777" w:rsidR="00AD5F95" w:rsidRDefault="00AD5F95" w:rsidP="009E7F73">
            <w:pPr>
              <w:pStyle w:val="TAL"/>
            </w:pPr>
            <w:r>
              <w:rPr>
                <w:rFonts w:eastAsia="等线"/>
              </w:rPr>
              <w:t>Unsubscribe</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1C6E8EE7"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586CF40E" w14:textId="77777777" w:rsidR="00AD5F95" w:rsidRDefault="00AD5F95" w:rsidP="009E7F73">
            <w:pPr>
              <w:spacing w:after="0"/>
              <w:rPr>
                <w:rFonts w:ascii="Arial" w:hAnsi="Arial"/>
                <w:sz w:val="18"/>
              </w:rPr>
            </w:pPr>
          </w:p>
        </w:tc>
      </w:tr>
      <w:tr w:rsidR="00AD5F95" w14:paraId="23207BD9"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1402B3B3"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46B49AD7"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19A50885" w14:textId="77777777" w:rsidR="00AD5F95" w:rsidRDefault="00AD5F95" w:rsidP="009E7F73">
            <w:pPr>
              <w:pStyle w:val="TAL"/>
            </w:pPr>
            <w:r>
              <w:rPr>
                <w:rFonts w:eastAsia="等线"/>
              </w:rPr>
              <w:t>Notify</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6B4484B2"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3EA38B36" w14:textId="77777777" w:rsidR="00AD5F95" w:rsidRDefault="00AD5F95" w:rsidP="009E7F73">
            <w:pPr>
              <w:spacing w:after="0"/>
              <w:rPr>
                <w:rFonts w:ascii="Arial" w:hAnsi="Arial"/>
                <w:sz w:val="18"/>
              </w:rPr>
            </w:pPr>
          </w:p>
        </w:tc>
      </w:tr>
      <w:tr w:rsidR="00AD5F95" w14:paraId="327B0B05"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303BF685"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76D191F"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7F6974B4" w14:textId="77777777" w:rsidR="00AD5F95" w:rsidRDefault="00AD5F95" w:rsidP="009E7F73">
            <w:pPr>
              <w:pStyle w:val="TAL"/>
            </w:pPr>
            <w:r>
              <w:rPr>
                <w:rFonts w:eastAsia="等线"/>
                <w:lang w:eastAsia="zh-CN"/>
              </w:rPr>
              <w:t>Fetch</w:t>
            </w:r>
          </w:p>
        </w:tc>
        <w:tc>
          <w:tcPr>
            <w:tcW w:w="1426" w:type="dxa"/>
            <w:gridSpan w:val="2"/>
            <w:tcBorders>
              <w:top w:val="single" w:sz="6" w:space="0" w:color="auto"/>
              <w:left w:val="single" w:sz="6" w:space="0" w:color="auto"/>
              <w:bottom w:val="single" w:sz="6" w:space="0" w:color="auto"/>
              <w:right w:val="single" w:sz="6" w:space="0" w:color="auto"/>
            </w:tcBorders>
          </w:tcPr>
          <w:p w14:paraId="0BAF114F" w14:textId="77777777" w:rsidR="00AD5F95" w:rsidRDefault="00AD5F95" w:rsidP="009E7F73">
            <w:pPr>
              <w:pStyle w:val="TAL"/>
            </w:pPr>
            <w:r>
              <w:t>Request / Response</w:t>
            </w:r>
          </w:p>
        </w:tc>
        <w:tc>
          <w:tcPr>
            <w:tcW w:w="1533" w:type="dxa"/>
            <w:tcBorders>
              <w:top w:val="single" w:sz="6" w:space="0" w:color="auto"/>
              <w:left w:val="single" w:sz="6" w:space="0" w:color="auto"/>
              <w:bottom w:val="single" w:sz="6" w:space="0" w:color="auto"/>
              <w:right w:val="single" w:sz="6" w:space="0" w:color="auto"/>
            </w:tcBorders>
          </w:tcPr>
          <w:p w14:paraId="5637B72D" w14:textId="77777777" w:rsidR="00AD5F95" w:rsidRDefault="00AD5F95" w:rsidP="009E7F73">
            <w:pPr>
              <w:pStyle w:val="TAL"/>
            </w:pPr>
            <w:r>
              <w:t>NWDAF, DCCF, MFAF</w:t>
            </w:r>
          </w:p>
        </w:tc>
      </w:tr>
      <w:tr w:rsidR="00AD5F95" w14:paraId="4B47EFBA" w14:textId="77777777" w:rsidTr="009E7F73">
        <w:tc>
          <w:tcPr>
            <w:tcW w:w="2684" w:type="dxa"/>
            <w:vMerge w:val="restart"/>
            <w:tcBorders>
              <w:top w:val="single" w:sz="6" w:space="0" w:color="auto"/>
              <w:left w:val="single" w:sz="6" w:space="0" w:color="auto"/>
              <w:bottom w:val="single" w:sz="6" w:space="0" w:color="auto"/>
              <w:right w:val="single" w:sz="6" w:space="0" w:color="auto"/>
            </w:tcBorders>
          </w:tcPr>
          <w:p w14:paraId="35629835" w14:textId="77777777" w:rsidR="00AD5F95" w:rsidRDefault="00AD5F95" w:rsidP="009E7F73">
            <w:pPr>
              <w:pStyle w:val="TAL"/>
              <w:rPr>
                <w:lang w:eastAsia="zh-CN"/>
              </w:rPr>
            </w:pPr>
            <w:r>
              <w:rPr>
                <w:lang w:eastAsia="zh-CN"/>
              </w:rPr>
              <w:t>Nnwdaf_MLModelProvision</w:t>
            </w:r>
          </w:p>
          <w:p w14:paraId="2275F77B" w14:textId="77777777" w:rsidR="00AD5F95" w:rsidRDefault="00AD5F95" w:rsidP="009E7F73">
            <w:pPr>
              <w:pStyle w:val="TAL"/>
            </w:pPr>
            <w:r>
              <w:rPr>
                <w:lang w:eastAsia="zh-CN"/>
              </w:rPr>
              <w:t>(NOTE 2)</w:t>
            </w:r>
          </w:p>
        </w:tc>
        <w:tc>
          <w:tcPr>
            <w:tcW w:w="2007" w:type="dxa"/>
            <w:vMerge w:val="restart"/>
            <w:tcBorders>
              <w:top w:val="single" w:sz="6" w:space="0" w:color="auto"/>
              <w:left w:val="single" w:sz="6" w:space="0" w:color="auto"/>
              <w:bottom w:val="single" w:sz="6" w:space="0" w:color="auto"/>
              <w:right w:val="single" w:sz="6" w:space="0" w:color="auto"/>
            </w:tcBorders>
          </w:tcPr>
          <w:p w14:paraId="22A3F570" w14:textId="77777777" w:rsidR="00AD5F95" w:rsidRDefault="00AD5F95" w:rsidP="009E7F73">
            <w:pPr>
              <w:pStyle w:val="TAL"/>
            </w:pPr>
            <w:r>
              <w:rPr>
                <w:lang w:eastAsia="zh-CN"/>
              </w:rPr>
              <w:t xml:space="preserve">This service enables the NF service consumers </w:t>
            </w:r>
            <w:r>
              <w:t xml:space="preserve">to subscribe to/unsubscribe from notifications </w:t>
            </w:r>
            <w:r>
              <w:rPr>
                <w:lang w:eastAsia="ja-JP"/>
              </w:rPr>
              <w:t>when a ML model matching the subscription parameters becomes available</w:t>
            </w:r>
            <w:r>
              <w:t>.</w:t>
            </w:r>
          </w:p>
        </w:tc>
        <w:tc>
          <w:tcPr>
            <w:tcW w:w="1955" w:type="dxa"/>
            <w:tcBorders>
              <w:top w:val="single" w:sz="6" w:space="0" w:color="auto"/>
              <w:left w:val="single" w:sz="6" w:space="0" w:color="auto"/>
              <w:bottom w:val="single" w:sz="6" w:space="0" w:color="auto"/>
              <w:right w:val="single" w:sz="6" w:space="0" w:color="auto"/>
            </w:tcBorders>
          </w:tcPr>
          <w:p w14:paraId="070B95AB" w14:textId="77777777" w:rsidR="00AD5F95" w:rsidRDefault="00AD5F95" w:rsidP="009E7F73">
            <w:pPr>
              <w:pStyle w:val="TAL"/>
              <w:rPr>
                <w:rFonts w:eastAsia="等线"/>
                <w:lang w:eastAsia="zh-CN"/>
              </w:rPr>
            </w:pPr>
            <w:r>
              <w:t>Subscribe</w:t>
            </w:r>
          </w:p>
        </w:tc>
        <w:tc>
          <w:tcPr>
            <w:tcW w:w="1426" w:type="dxa"/>
            <w:gridSpan w:val="2"/>
            <w:vMerge w:val="restart"/>
            <w:tcBorders>
              <w:top w:val="single" w:sz="6" w:space="0" w:color="auto"/>
              <w:left w:val="single" w:sz="6" w:space="0" w:color="auto"/>
              <w:bottom w:val="single" w:sz="6" w:space="0" w:color="auto"/>
              <w:right w:val="single" w:sz="6" w:space="0" w:color="auto"/>
            </w:tcBorders>
          </w:tcPr>
          <w:p w14:paraId="62797BA3" w14:textId="77777777" w:rsidR="00AD5F95" w:rsidRDefault="00AD5F95" w:rsidP="009E7F73">
            <w:pPr>
              <w:pStyle w:val="TAL"/>
              <w:rPr>
                <w:rFonts w:eastAsia="MS Mincho"/>
              </w:rPr>
            </w:pPr>
            <w:r>
              <w:t>Subscribe / Notify</w:t>
            </w:r>
          </w:p>
        </w:tc>
        <w:tc>
          <w:tcPr>
            <w:tcW w:w="1533" w:type="dxa"/>
            <w:vMerge w:val="restart"/>
            <w:tcBorders>
              <w:top w:val="single" w:sz="6" w:space="0" w:color="auto"/>
              <w:left w:val="single" w:sz="6" w:space="0" w:color="auto"/>
              <w:bottom w:val="single" w:sz="6" w:space="0" w:color="auto"/>
              <w:right w:val="single" w:sz="6" w:space="0" w:color="auto"/>
            </w:tcBorders>
          </w:tcPr>
          <w:p w14:paraId="69891718" w14:textId="77777777" w:rsidR="00AD5F95" w:rsidRDefault="00AD5F95" w:rsidP="009E7F73">
            <w:pPr>
              <w:pStyle w:val="TAL"/>
            </w:pPr>
            <w:r>
              <w:rPr>
                <w:lang w:eastAsia="zh-CN"/>
              </w:rPr>
              <w:t>NWDAF, LMF</w:t>
            </w:r>
          </w:p>
        </w:tc>
      </w:tr>
      <w:tr w:rsidR="00AD5F95" w14:paraId="591B91A4"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21C47DA7"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A15234C"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67F7D3DA" w14:textId="77777777" w:rsidR="00AD5F95" w:rsidRDefault="00AD5F95" w:rsidP="009E7F73">
            <w:pPr>
              <w:pStyle w:val="TAL"/>
              <w:rPr>
                <w:rFonts w:eastAsia="等线"/>
                <w:lang w:eastAsia="zh-CN"/>
              </w:rPr>
            </w:pPr>
            <w:r>
              <w:rPr>
                <w:rFonts w:eastAsia="等线"/>
              </w:rPr>
              <w:t>Unsubscribe</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298749B5"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462373BA" w14:textId="77777777" w:rsidR="00AD5F95" w:rsidRDefault="00AD5F95" w:rsidP="009E7F73">
            <w:pPr>
              <w:spacing w:after="0"/>
              <w:rPr>
                <w:rFonts w:ascii="Arial" w:hAnsi="Arial"/>
                <w:sz w:val="18"/>
              </w:rPr>
            </w:pPr>
          </w:p>
        </w:tc>
      </w:tr>
      <w:tr w:rsidR="00AD5F95" w14:paraId="2F098607" w14:textId="77777777" w:rsidTr="009E7F73">
        <w:tc>
          <w:tcPr>
            <w:tcW w:w="2684" w:type="dxa"/>
            <w:vMerge/>
            <w:tcBorders>
              <w:top w:val="single" w:sz="6" w:space="0" w:color="auto"/>
              <w:left w:val="single" w:sz="6" w:space="0" w:color="auto"/>
              <w:bottom w:val="single" w:sz="6" w:space="0" w:color="auto"/>
              <w:right w:val="single" w:sz="6" w:space="0" w:color="auto"/>
            </w:tcBorders>
            <w:vAlign w:val="center"/>
          </w:tcPr>
          <w:p w14:paraId="11AF3013" w14:textId="77777777" w:rsidR="00AD5F95" w:rsidRDefault="00AD5F95" w:rsidP="009E7F73">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08D4072C" w14:textId="77777777" w:rsidR="00AD5F95" w:rsidRDefault="00AD5F95" w:rsidP="009E7F73">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4923D449" w14:textId="77777777" w:rsidR="00AD5F95" w:rsidRDefault="00AD5F95" w:rsidP="009E7F73">
            <w:pPr>
              <w:pStyle w:val="TAL"/>
              <w:rPr>
                <w:rFonts w:eastAsia="等线"/>
                <w:lang w:eastAsia="zh-CN"/>
              </w:rPr>
            </w:pPr>
            <w:r>
              <w:rPr>
                <w:rFonts w:eastAsia="等线"/>
              </w:rPr>
              <w:t>Notify</w:t>
            </w:r>
          </w:p>
        </w:tc>
        <w:tc>
          <w:tcPr>
            <w:tcW w:w="1426" w:type="dxa"/>
            <w:gridSpan w:val="2"/>
            <w:vMerge/>
            <w:tcBorders>
              <w:top w:val="single" w:sz="6" w:space="0" w:color="auto"/>
              <w:left w:val="single" w:sz="6" w:space="0" w:color="auto"/>
              <w:bottom w:val="single" w:sz="6" w:space="0" w:color="auto"/>
              <w:right w:val="single" w:sz="6" w:space="0" w:color="auto"/>
            </w:tcBorders>
            <w:vAlign w:val="center"/>
          </w:tcPr>
          <w:p w14:paraId="7E93E249" w14:textId="77777777" w:rsidR="00AD5F95" w:rsidRDefault="00AD5F95" w:rsidP="009E7F73">
            <w:pPr>
              <w:spacing w:after="0"/>
              <w:rPr>
                <w:rFonts w:ascii="Arial" w:hAnsi="Arial"/>
                <w:sz w:val="18"/>
              </w:rPr>
            </w:pPr>
          </w:p>
        </w:tc>
        <w:tc>
          <w:tcPr>
            <w:tcW w:w="1533" w:type="dxa"/>
            <w:vMerge/>
            <w:tcBorders>
              <w:top w:val="single" w:sz="6" w:space="0" w:color="auto"/>
              <w:left w:val="single" w:sz="6" w:space="0" w:color="auto"/>
              <w:bottom w:val="single" w:sz="6" w:space="0" w:color="auto"/>
              <w:right w:val="single" w:sz="6" w:space="0" w:color="auto"/>
            </w:tcBorders>
            <w:vAlign w:val="center"/>
          </w:tcPr>
          <w:p w14:paraId="0A5D0EB2" w14:textId="77777777" w:rsidR="00AD5F95" w:rsidRDefault="00AD5F95" w:rsidP="009E7F73">
            <w:pPr>
              <w:spacing w:after="0"/>
              <w:rPr>
                <w:rFonts w:ascii="Arial" w:hAnsi="Arial"/>
                <w:sz w:val="18"/>
              </w:rPr>
            </w:pPr>
          </w:p>
        </w:tc>
      </w:tr>
      <w:tr w:rsidR="00AD5F95" w14:paraId="0E6D97F3" w14:textId="77777777" w:rsidTr="009E7F73">
        <w:trPr>
          <w:trHeight w:val="477"/>
        </w:trPr>
        <w:tc>
          <w:tcPr>
            <w:tcW w:w="2684" w:type="dxa"/>
            <w:vMerge w:val="restart"/>
            <w:tcBorders>
              <w:top w:val="single" w:sz="6" w:space="0" w:color="auto"/>
              <w:left w:val="single" w:sz="6" w:space="0" w:color="auto"/>
              <w:right w:val="single" w:sz="6" w:space="0" w:color="auto"/>
            </w:tcBorders>
          </w:tcPr>
          <w:p w14:paraId="1B677956" w14:textId="77777777" w:rsidR="00AD5F95" w:rsidRDefault="00AD5F95" w:rsidP="009E7F73">
            <w:pPr>
              <w:keepNext/>
              <w:keepLines/>
              <w:spacing w:after="0"/>
              <w:ind w:left="851" w:hanging="851"/>
              <w:rPr>
                <w:rFonts w:ascii="Arial" w:hAnsi="Arial"/>
                <w:sz w:val="18"/>
              </w:rPr>
            </w:pPr>
            <w:r>
              <w:rPr>
                <w:rFonts w:ascii="Arial" w:hAnsi="Arial"/>
                <w:sz w:val="18"/>
              </w:rPr>
              <w:lastRenderedPageBreak/>
              <w:t>Nnwdaf_MLModelTraining</w:t>
            </w:r>
          </w:p>
          <w:p w14:paraId="6BA693F5" w14:textId="77777777" w:rsidR="00AD5F95" w:rsidRDefault="00AD5F95" w:rsidP="009E7F73">
            <w:pPr>
              <w:pStyle w:val="TAN"/>
            </w:pPr>
            <w:r>
              <w:t>(NOTE 3)</w:t>
            </w:r>
          </w:p>
        </w:tc>
        <w:tc>
          <w:tcPr>
            <w:tcW w:w="2007" w:type="dxa"/>
            <w:vMerge w:val="restart"/>
            <w:tcBorders>
              <w:top w:val="single" w:sz="6" w:space="0" w:color="auto"/>
              <w:left w:val="single" w:sz="6" w:space="0" w:color="auto"/>
              <w:right w:val="single" w:sz="6" w:space="0" w:color="auto"/>
            </w:tcBorders>
          </w:tcPr>
          <w:p w14:paraId="70871549" w14:textId="77777777" w:rsidR="00AD5F95" w:rsidRDefault="00AD5F95" w:rsidP="009E7F73">
            <w:pPr>
              <w:pStyle w:val="TAL"/>
            </w:pPr>
            <w:r>
              <w:rPr>
                <w:lang w:eastAsia="zh-CN"/>
              </w:rPr>
              <w:t>This service enables the NF service consumers to subscribe to/unsubscribe/modify from notifications for a ML model training.</w:t>
            </w:r>
          </w:p>
        </w:tc>
        <w:tc>
          <w:tcPr>
            <w:tcW w:w="1955" w:type="dxa"/>
            <w:tcBorders>
              <w:top w:val="single" w:sz="6" w:space="0" w:color="auto"/>
              <w:left w:val="single" w:sz="6" w:space="0" w:color="auto"/>
              <w:bottom w:val="single" w:sz="6" w:space="0" w:color="auto"/>
              <w:right w:val="single" w:sz="6" w:space="0" w:color="auto"/>
            </w:tcBorders>
          </w:tcPr>
          <w:p w14:paraId="09489852" w14:textId="77777777" w:rsidR="00AD5F95" w:rsidRDefault="00AD5F95" w:rsidP="009E7F73">
            <w:pPr>
              <w:pStyle w:val="TAN"/>
              <w:rPr>
                <w:rFonts w:eastAsia="等线"/>
              </w:rPr>
            </w:pPr>
            <w:r>
              <w:t>Subscribe</w:t>
            </w:r>
          </w:p>
        </w:tc>
        <w:tc>
          <w:tcPr>
            <w:tcW w:w="1426" w:type="dxa"/>
            <w:gridSpan w:val="2"/>
            <w:vMerge w:val="restart"/>
            <w:tcBorders>
              <w:top w:val="single" w:sz="6" w:space="0" w:color="auto"/>
              <w:left w:val="single" w:sz="6" w:space="0" w:color="auto"/>
              <w:right w:val="single" w:sz="6" w:space="0" w:color="auto"/>
            </w:tcBorders>
          </w:tcPr>
          <w:p w14:paraId="41082C93" w14:textId="77777777" w:rsidR="00AD5F95" w:rsidRDefault="00AD5F95" w:rsidP="009E7F73">
            <w:pPr>
              <w:pStyle w:val="TAL"/>
            </w:pPr>
            <w:r>
              <w:t>Subscribe / Notify</w:t>
            </w:r>
          </w:p>
        </w:tc>
        <w:tc>
          <w:tcPr>
            <w:tcW w:w="1533" w:type="dxa"/>
            <w:vMerge w:val="restart"/>
            <w:tcBorders>
              <w:top w:val="single" w:sz="6" w:space="0" w:color="auto"/>
              <w:left w:val="single" w:sz="6" w:space="0" w:color="auto"/>
              <w:right w:val="single" w:sz="6" w:space="0" w:color="auto"/>
            </w:tcBorders>
          </w:tcPr>
          <w:p w14:paraId="71A2D260" w14:textId="77777777" w:rsidR="00AD5F95" w:rsidRDefault="00AD5F95" w:rsidP="009E7F73">
            <w:pPr>
              <w:pStyle w:val="TAN"/>
            </w:pPr>
            <w:r>
              <w:t>NWDAF</w:t>
            </w:r>
          </w:p>
        </w:tc>
      </w:tr>
      <w:tr w:rsidR="00AD5F95" w14:paraId="4017C68C" w14:textId="77777777" w:rsidTr="009E7F73">
        <w:trPr>
          <w:trHeight w:val="477"/>
        </w:trPr>
        <w:tc>
          <w:tcPr>
            <w:tcW w:w="2684" w:type="dxa"/>
            <w:vMerge/>
            <w:tcBorders>
              <w:left w:val="single" w:sz="6" w:space="0" w:color="auto"/>
              <w:right w:val="single" w:sz="6" w:space="0" w:color="auto"/>
            </w:tcBorders>
          </w:tcPr>
          <w:p w14:paraId="1D6B0E7C" w14:textId="77777777" w:rsidR="00AD5F95" w:rsidRDefault="00AD5F95" w:rsidP="009E7F73">
            <w:pPr>
              <w:pStyle w:val="TAL"/>
            </w:pPr>
          </w:p>
        </w:tc>
        <w:tc>
          <w:tcPr>
            <w:tcW w:w="2007" w:type="dxa"/>
            <w:vMerge/>
            <w:tcBorders>
              <w:left w:val="single" w:sz="6" w:space="0" w:color="auto"/>
              <w:right w:val="single" w:sz="6" w:space="0" w:color="auto"/>
            </w:tcBorders>
          </w:tcPr>
          <w:p w14:paraId="2F177048" w14:textId="77777777" w:rsidR="00AD5F95" w:rsidRDefault="00AD5F95" w:rsidP="009E7F73">
            <w:pPr>
              <w:pStyle w:val="TAL"/>
            </w:pPr>
          </w:p>
        </w:tc>
        <w:tc>
          <w:tcPr>
            <w:tcW w:w="1955" w:type="dxa"/>
            <w:tcBorders>
              <w:top w:val="single" w:sz="6" w:space="0" w:color="auto"/>
              <w:left w:val="single" w:sz="6" w:space="0" w:color="auto"/>
              <w:bottom w:val="single" w:sz="6" w:space="0" w:color="auto"/>
              <w:right w:val="single" w:sz="6" w:space="0" w:color="auto"/>
            </w:tcBorders>
          </w:tcPr>
          <w:p w14:paraId="313B4DB4" w14:textId="77777777" w:rsidR="00AD5F95" w:rsidRDefault="00AD5F95" w:rsidP="009E7F73">
            <w:pPr>
              <w:pStyle w:val="TAN"/>
              <w:rPr>
                <w:rFonts w:eastAsia="等线"/>
              </w:rPr>
            </w:pPr>
            <w:r>
              <w:rPr>
                <w:rFonts w:eastAsia="等线"/>
              </w:rPr>
              <w:t>Unsubscribe</w:t>
            </w:r>
          </w:p>
        </w:tc>
        <w:tc>
          <w:tcPr>
            <w:tcW w:w="1426" w:type="dxa"/>
            <w:gridSpan w:val="2"/>
            <w:vMerge/>
            <w:tcBorders>
              <w:left w:val="single" w:sz="6" w:space="0" w:color="auto"/>
              <w:right w:val="single" w:sz="6" w:space="0" w:color="auto"/>
            </w:tcBorders>
          </w:tcPr>
          <w:p w14:paraId="4B20BA2C" w14:textId="77777777" w:rsidR="00AD5F95" w:rsidRDefault="00AD5F95" w:rsidP="009E7F73">
            <w:pPr>
              <w:pStyle w:val="TAL"/>
              <w:rPr>
                <w:rFonts w:eastAsia="等线"/>
              </w:rPr>
            </w:pPr>
          </w:p>
        </w:tc>
        <w:tc>
          <w:tcPr>
            <w:tcW w:w="1533" w:type="dxa"/>
            <w:vMerge/>
            <w:tcBorders>
              <w:left w:val="single" w:sz="6" w:space="0" w:color="auto"/>
              <w:right w:val="single" w:sz="6" w:space="0" w:color="auto"/>
            </w:tcBorders>
          </w:tcPr>
          <w:p w14:paraId="41930446" w14:textId="77777777" w:rsidR="00AD5F95" w:rsidRDefault="00AD5F95" w:rsidP="009E7F73">
            <w:pPr>
              <w:pStyle w:val="TAN"/>
              <w:rPr>
                <w:rFonts w:eastAsia="等线"/>
              </w:rPr>
            </w:pPr>
          </w:p>
        </w:tc>
      </w:tr>
      <w:tr w:rsidR="00AD5F95" w14:paraId="16A448A9" w14:textId="77777777" w:rsidTr="009E7F73">
        <w:trPr>
          <w:trHeight w:val="477"/>
        </w:trPr>
        <w:tc>
          <w:tcPr>
            <w:tcW w:w="2684" w:type="dxa"/>
            <w:vMerge/>
            <w:tcBorders>
              <w:left w:val="single" w:sz="6" w:space="0" w:color="auto"/>
              <w:bottom w:val="single" w:sz="6" w:space="0" w:color="auto"/>
              <w:right w:val="single" w:sz="6" w:space="0" w:color="auto"/>
            </w:tcBorders>
          </w:tcPr>
          <w:p w14:paraId="6B28CFE2" w14:textId="77777777" w:rsidR="00AD5F95" w:rsidRDefault="00AD5F95" w:rsidP="009E7F73">
            <w:pPr>
              <w:pStyle w:val="TAL"/>
              <w:rPr>
                <w:rFonts w:eastAsia="等线"/>
              </w:rPr>
            </w:pPr>
          </w:p>
        </w:tc>
        <w:tc>
          <w:tcPr>
            <w:tcW w:w="2007" w:type="dxa"/>
            <w:vMerge/>
            <w:tcBorders>
              <w:left w:val="single" w:sz="6" w:space="0" w:color="auto"/>
              <w:bottom w:val="single" w:sz="6" w:space="0" w:color="auto"/>
              <w:right w:val="single" w:sz="6" w:space="0" w:color="auto"/>
            </w:tcBorders>
          </w:tcPr>
          <w:p w14:paraId="17BC07F1" w14:textId="77777777" w:rsidR="00AD5F95" w:rsidRDefault="00AD5F95" w:rsidP="009E7F73">
            <w:pPr>
              <w:pStyle w:val="TAL"/>
              <w:rPr>
                <w:rFonts w:eastAsia="等线"/>
              </w:rPr>
            </w:pPr>
          </w:p>
        </w:tc>
        <w:tc>
          <w:tcPr>
            <w:tcW w:w="1955" w:type="dxa"/>
            <w:tcBorders>
              <w:top w:val="single" w:sz="6" w:space="0" w:color="auto"/>
              <w:left w:val="single" w:sz="6" w:space="0" w:color="auto"/>
              <w:bottom w:val="single" w:sz="6" w:space="0" w:color="auto"/>
              <w:right w:val="single" w:sz="6" w:space="0" w:color="auto"/>
            </w:tcBorders>
          </w:tcPr>
          <w:p w14:paraId="23895F53" w14:textId="77777777" w:rsidR="00AD5F95" w:rsidRDefault="00AD5F95" w:rsidP="009E7F73">
            <w:pPr>
              <w:pStyle w:val="TAN"/>
              <w:rPr>
                <w:rFonts w:eastAsia="等线"/>
              </w:rPr>
            </w:pPr>
            <w:r>
              <w:rPr>
                <w:rFonts w:eastAsia="等线"/>
              </w:rPr>
              <w:t>Notify</w:t>
            </w:r>
          </w:p>
        </w:tc>
        <w:tc>
          <w:tcPr>
            <w:tcW w:w="1426" w:type="dxa"/>
            <w:gridSpan w:val="2"/>
            <w:vMerge/>
            <w:tcBorders>
              <w:left w:val="single" w:sz="6" w:space="0" w:color="auto"/>
              <w:bottom w:val="single" w:sz="6" w:space="0" w:color="auto"/>
              <w:right w:val="single" w:sz="6" w:space="0" w:color="auto"/>
            </w:tcBorders>
          </w:tcPr>
          <w:p w14:paraId="681AC486" w14:textId="77777777" w:rsidR="00AD5F95" w:rsidRDefault="00AD5F95" w:rsidP="009E7F73">
            <w:pPr>
              <w:pStyle w:val="TAL"/>
              <w:rPr>
                <w:rFonts w:eastAsia="等线"/>
              </w:rPr>
            </w:pPr>
          </w:p>
        </w:tc>
        <w:tc>
          <w:tcPr>
            <w:tcW w:w="1533" w:type="dxa"/>
            <w:vMerge/>
            <w:tcBorders>
              <w:left w:val="single" w:sz="6" w:space="0" w:color="auto"/>
              <w:bottom w:val="single" w:sz="6" w:space="0" w:color="auto"/>
              <w:right w:val="single" w:sz="6" w:space="0" w:color="auto"/>
            </w:tcBorders>
          </w:tcPr>
          <w:p w14:paraId="65F22C8F" w14:textId="77777777" w:rsidR="00AD5F95" w:rsidRDefault="00AD5F95" w:rsidP="009E7F73">
            <w:pPr>
              <w:pStyle w:val="TAN"/>
              <w:rPr>
                <w:rFonts w:eastAsia="等线"/>
              </w:rPr>
            </w:pPr>
          </w:p>
        </w:tc>
      </w:tr>
      <w:tr w:rsidR="00AD5F95" w14:paraId="344FFAFB" w14:textId="77777777" w:rsidTr="009E7F73">
        <w:trPr>
          <w:trHeight w:val="482"/>
        </w:trPr>
        <w:tc>
          <w:tcPr>
            <w:tcW w:w="2684" w:type="dxa"/>
            <w:vMerge w:val="restart"/>
            <w:tcBorders>
              <w:top w:val="single" w:sz="6" w:space="0" w:color="auto"/>
              <w:left w:val="single" w:sz="6" w:space="0" w:color="auto"/>
              <w:right w:val="single" w:sz="6" w:space="0" w:color="auto"/>
            </w:tcBorders>
          </w:tcPr>
          <w:p w14:paraId="378445A6" w14:textId="77777777" w:rsidR="00AD5F95" w:rsidRDefault="00AD5F95" w:rsidP="009E7F73">
            <w:pPr>
              <w:keepNext/>
              <w:keepLines/>
              <w:spacing w:after="0"/>
              <w:ind w:left="851" w:hanging="851"/>
              <w:rPr>
                <w:rFonts w:ascii="Arial" w:hAnsi="Arial"/>
                <w:sz w:val="18"/>
              </w:rPr>
            </w:pPr>
            <w:r w:rsidRPr="0076721C">
              <w:rPr>
                <w:rFonts w:ascii="Arial" w:hAnsi="Arial"/>
                <w:sz w:val="18"/>
              </w:rPr>
              <w:t>Nnwdaf_MLModelMonitor</w:t>
            </w:r>
          </w:p>
          <w:p w14:paraId="6870CB5E" w14:textId="77777777" w:rsidR="00AD5F95" w:rsidRDefault="00AD5F95" w:rsidP="009E7F73">
            <w:pPr>
              <w:pStyle w:val="TAN"/>
              <w:ind w:left="0" w:firstLine="0"/>
            </w:pPr>
          </w:p>
        </w:tc>
        <w:tc>
          <w:tcPr>
            <w:tcW w:w="2007" w:type="dxa"/>
            <w:vMerge w:val="restart"/>
            <w:tcBorders>
              <w:top w:val="single" w:sz="6" w:space="0" w:color="auto"/>
              <w:left w:val="single" w:sz="6" w:space="0" w:color="auto"/>
              <w:right w:val="single" w:sz="6" w:space="0" w:color="auto"/>
            </w:tcBorders>
          </w:tcPr>
          <w:p w14:paraId="4A36BBBA" w14:textId="77777777" w:rsidR="00AD5F95" w:rsidRDefault="00AD5F95" w:rsidP="009E7F73">
            <w:pPr>
              <w:pStyle w:val="TAL"/>
            </w:pPr>
            <w:r>
              <w:rPr>
                <w:lang w:eastAsia="zh-CN"/>
              </w:rPr>
              <w:t xml:space="preserve">This service enables the NF service consumer to </w:t>
            </w:r>
            <w:r>
              <w:rPr>
                <w:lang w:eastAsia="ja-JP"/>
              </w:rPr>
              <w:t>subscribe/unsubscribe for ML model accuracy, provide Analytics feedback information for the analytics generated by an NWDAF and enable the NWDAF containing AnLF registers the use and monitoring capability for an ML model into the model provider NWDAF</w:t>
            </w:r>
          </w:p>
        </w:tc>
        <w:tc>
          <w:tcPr>
            <w:tcW w:w="1964" w:type="dxa"/>
            <w:gridSpan w:val="2"/>
            <w:tcBorders>
              <w:top w:val="single" w:sz="6" w:space="0" w:color="auto"/>
              <w:left w:val="single" w:sz="6" w:space="0" w:color="auto"/>
              <w:bottom w:val="single" w:sz="6" w:space="0" w:color="auto"/>
              <w:right w:val="single" w:sz="6" w:space="0" w:color="auto"/>
            </w:tcBorders>
          </w:tcPr>
          <w:p w14:paraId="30CC9B99" w14:textId="77777777" w:rsidR="00AD5F95" w:rsidRDefault="00AD5F95" w:rsidP="009E7F73">
            <w:pPr>
              <w:pStyle w:val="TAN"/>
              <w:rPr>
                <w:rFonts w:eastAsia="等线"/>
              </w:rPr>
            </w:pPr>
            <w:r>
              <w:t>Subscribe</w:t>
            </w:r>
          </w:p>
        </w:tc>
        <w:tc>
          <w:tcPr>
            <w:tcW w:w="1417" w:type="dxa"/>
            <w:vMerge w:val="restart"/>
            <w:tcBorders>
              <w:top w:val="single" w:sz="6" w:space="0" w:color="auto"/>
              <w:left w:val="single" w:sz="6" w:space="0" w:color="auto"/>
              <w:right w:val="single" w:sz="6" w:space="0" w:color="auto"/>
            </w:tcBorders>
          </w:tcPr>
          <w:p w14:paraId="347A0BEF" w14:textId="77777777" w:rsidR="00AD5F95" w:rsidRDefault="00AD5F95" w:rsidP="009E7F73">
            <w:pPr>
              <w:pStyle w:val="TAL"/>
            </w:pPr>
            <w:r>
              <w:t>Subscribe / Notify</w:t>
            </w:r>
          </w:p>
        </w:tc>
        <w:tc>
          <w:tcPr>
            <w:tcW w:w="1533" w:type="dxa"/>
            <w:vMerge w:val="restart"/>
            <w:tcBorders>
              <w:top w:val="single" w:sz="6" w:space="0" w:color="auto"/>
              <w:left w:val="single" w:sz="6" w:space="0" w:color="auto"/>
              <w:right w:val="single" w:sz="6" w:space="0" w:color="auto"/>
            </w:tcBorders>
          </w:tcPr>
          <w:p w14:paraId="49289103" w14:textId="77777777" w:rsidR="00AD5F95" w:rsidRDefault="00AD5F95" w:rsidP="009E7F73">
            <w:pPr>
              <w:pStyle w:val="TAN"/>
            </w:pPr>
            <w:r>
              <w:t>NWDAF</w:t>
            </w:r>
          </w:p>
        </w:tc>
      </w:tr>
      <w:tr w:rsidR="00AD5F95" w14:paraId="01C8A2DB" w14:textId="77777777" w:rsidTr="009E7F73">
        <w:trPr>
          <w:trHeight w:val="541"/>
        </w:trPr>
        <w:tc>
          <w:tcPr>
            <w:tcW w:w="2684" w:type="dxa"/>
            <w:vMerge/>
            <w:tcBorders>
              <w:left w:val="single" w:sz="6" w:space="0" w:color="auto"/>
              <w:right w:val="single" w:sz="6" w:space="0" w:color="auto"/>
            </w:tcBorders>
          </w:tcPr>
          <w:p w14:paraId="7B5C2F52"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1A904937"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2C55702A" w14:textId="77777777" w:rsidR="00AD5F95" w:rsidRDefault="00AD5F95" w:rsidP="009E7F73">
            <w:pPr>
              <w:pStyle w:val="TAN"/>
            </w:pPr>
            <w:r>
              <w:rPr>
                <w:rFonts w:eastAsia="等线"/>
              </w:rPr>
              <w:t>Unsubscribe</w:t>
            </w:r>
          </w:p>
        </w:tc>
        <w:tc>
          <w:tcPr>
            <w:tcW w:w="1417" w:type="dxa"/>
            <w:vMerge/>
            <w:tcBorders>
              <w:left w:val="single" w:sz="6" w:space="0" w:color="auto"/>
              <w:right w:val="single" w:sz="6" w:space="0" w:color="auto"/>
            </w:tcBorders>
          </w:tcPr>
          <w:p w14:paraId="64BCC30A" w14:textId="77777777" w:rsidR="00AD5F95" w:rsidRDefault="00AD5F95" w:rsidP="009E7F73">
            <w:pPr>
              <w:pStyle w:val="TAL"/>
            </w:pPr>
          </w:p>
        </w:tc>
        <w:tc>
          <w:tcPr>
            <w:tcW w:w="1533" w:type="dxa"/>
            <w:vMerge/>
            <w:tcBorders>
              <w:left w:val="single" w:sz="6" w:space="0" w:color="auto"/>
              <w:right w:val="single" w:sz="6" w:space="0" w:color="auto"/>
            </w:tcBorders>
          </w:tcPr>
          <w:p w14:paraId="389330EC" w14:textId="77777777" w:rsidR="00AD5F95" w:rsidRDefault="00AD5F95" w:rsidP="009E7F73">
            <w:pPr>
              <w:pStyle w:val="TAN"/>
            </w:pPr>
          </w:p>
        </w:tc>
      </w:tr>
      <w:tr w:rsidR="00AD5F95" w14:paraId="7BB88D64" w14:textId="77777777" w:rsidTr="009E7F73">
        <w:trPr>
          <w:trHeight w:val="581"/>
        </w:trPr>
        <w:tc>
          <w:tcPr>
            <w:tcW w:w="2684" w:type="dxa"/>
            <w:vMerge/>
            <w:tcBorders>
              <w:left w:val="single" w:sz="6" w:space="0" w:color="auto"/>
              <w:right w:val="single" w:sz="6" w:space="0" w:color="auto"/>
            </w:tcBorders>
          </w:tcPr>
          <w:p w14:paraId="091C6C3A"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2270972F"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5464B3B1" w14:textId="77777777" w:rsidR="00AD5F95" w:rsidRDefault="00AD5F95" w:rsidP="009E7F73">
            <w:pPr>
              <w:pStyle w:val="TAN"/>
            </w:pPr>
            <w:r>
              <w:rPr>
                <w:rFonts w:eastAsia="等线"/>
              </w:rPr>
              <w:t>Notify</w:t>
            </w:r>
          </w:p>
        </w:tc>
        <w:tc>
          <w:tcPr>
            <w:tcW w:w="1417" w:type="dxa"/>
            <w:vMerge/>
            <w:tcBorders>
              <w:left w:val="single" w:sz="6" w:space="0" w:color="auto"/>
              <w:right w:val="single" w:sz="6" w:space="0" w:color="auto"/>
            </w:tcBorders>
          </w:tcPr>
          <w:p w14:paraId="364E5EC9" w14:textId="77777777" w:rsidR="00AD5F95" w:rsidRDefault="00AD5F95" w:rsidP="009E7F73">
            <w:pPr>
              <w:pStyle w:val="TAL"/>
            </w:pPr>
          </w:p>
        </w:tc>
        <w:tc>
          <w:tcPr>
            <w:tcW w:w="1533" w:type="dxa"/>
            <w:vMerge/>
            <w:tcBorders>
              <w:left w:val="single" w:sz="6" w:space="0" w:color="auto"/>
              <w:right w:val="single" w:sz="6" w:space="0" w:color="auto"/>
            </w:tcBorders>
          </w:tcPr>
          <w:p w14:paraId="77972021" w14:textId="77777777" w:rsidR="00AD5F95" w:rsidRDefault="00AD5F95" w:rsidP="009E7F73">
            <w:pPr>
              <w:pStyle w:val="TAN"/>
            </w:pPr>
          </w:p>
        </w:tc>
      </w:tr>
      <w:tr w:rsidR="00AD5F95" w14:paraId="44397FA0" w14:textId="77777777" w:rsidTr="009E7F73">
        <w:trPr>
          <w:trHeight w:val="406"/>
        </w:trPr>
        <w:tc>
          <w:tcPr>
            <w:tcW w:w="2684" w:type="dxa"/>
            <w:vMerge/>
            <w:tcBorders>
              <w:left w:val="single" w:sz="6" w:space="0" w:color="auto"/>
              <w:right w:val="single" w:sz="6" w:space="0" w:color="auto"/>
            </w:tcBorders>
          </w:tcPr>
          <w:p w14:paraId="72153BD2"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33A4E94A"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58969B6A" w14:textId="77777777" w:rsidR="00AD5F95" w:rsidRDefault="00AD5F95" w:rsidP="009E7F73">
            <w:pPr>
              <w:pStyle w:val="TAN"/>
            </w:pPr>
            <w:r>
              <w:rPr>
                <w:lang w:eastAsia="ja-JP"/>
              </w:rPr>
              <w:t>Register</w:t>
            </w:r>
          </w:p>
        </w:tc>
        <w:tc>
          <w:tcPr>
            <w:tcW w:w="1417" w:type="dxa"/>
            <w:vMerge w:val="restart"/>
            <w:tcBorders>
              <w:left w:val="single" w:sz="6" w:space="0" w:color="auto"/>
              <w:right w:val="single" w:sz="6" w:space="0" w:color="auto"/>
            </w:tcBorders>
          </w:tcPr>
          <w:p w14:paraId="24D5220D" w14:textId="77777777" w:rsidR="00AD5F95" w:rsidRDefault="00AD5F95" w:rsidP="009E7F73">
            <w:pPr>
              <w:pStyle w:val="TAL"/>
            </w:pPr>
            <w:r>
              <w:t>Request / Response</w:t>
            </w:r>
          </w:p>
        </w:tc>
        <w:tc>
          <w:tcPr>
            <w:tcW w:w="1533" w:type="dxa"/>
            <w:vMerge/>
            <w:tcBorders>
              <w:left w:val="single" w:sz="6" w:space="0" w:color="auto"/>
              <w:right w:val="single" w:sz="6" w:space="0" w:color="auto"/>
            </w:tcBorders>
          </w:tcPr>
          <w:p w14:paraId="1F881FD2" w14:textId="77777777" w:rsidR="00AD5F95" w:rsidRDefault="00AD5F95" w:rsidP="009E7F73">
            <w:pPr>
              <w:pStyle w:val="TAN"/>
            </w:pPr>
          </w:p>
        </w:tc>
      </w:tr>
      <w:tr w:rsidR="00AD5F95" w14:paraId="6F1D5C49" w14:textId="77777777" w:rsidTr="009E7F73">
        <w:trPr>
          <w:trHeight w:val="818"/>
        </w:trPr>
        <w:tc>
          <w:tcPr>
            <w:tcW w:w="2684" w:type="dxa"/>
            <w:vMerge/>
            <w:tcBorders>
              <w:left w:val="single" w:sz="6" w:space="0" w:color="auto"/>
              <w:right w:val="single" w:sz="6" w:space="0" w:color="auto"/>
            </w:tcBorders>
          </w:tcPr>
          <w:p w14:paraId="6CE1E9C6"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31D24A2A"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6B740333" w14:textId="77777777" w:rsidR="00AD5F95" w:rsidRDefault="00AD5F95" w:rsidP="009E7F73">
            <w:pPr>
              <w:pStyle w:val="TAN"/>
            </w:pPr>
            <w:r>
              <w:rPr>
                <w:lang w:eastAsia="ja-JP"/>
              </w:rPr>
              <w:t>Deregister</w:t>
            </w:r>
          </w:p>
        </w:tc>
        <w:tc>
          <w:tcPr>
            <w:tcW w:w="1417" w:type="dxa"/>
            <w:vMerge/>
            <w:tcBorders>
              <w:left w:val="single" w:sz="6" w:space="0" w:color="auto"/>
              <w:right w:val="single" w:sz="6" w:space="0" w:color="auto"/>
            </w:tcBorders>
          </w:tcPr>
          <w:p w14:paraId="5CABA27A" w14:textId="77777777" w:rsidR="00AD5F95" w:rsidRDefault="00AD5F95" w:rsidP="009E7F73">
            <w:pPr>
              <w:pStyle w:val="TAL"/>
            </w:pPr>
          </w:p>
        </w:tc>
        <w:tc>
          <w:tcPr>
            <w:tcW w:w="1533" w:type="dxa"/>
            <w:vMerge/>
            <w:tcBorders>
              <w:left w:val="single" w:sz="6" w:space="0" w:color="auto"/>
              <w:right w:val="single" w:sz="6" w:space="0" w:color="auto"/>
            </w:tcBorders>
          </w:tcPr>
          <w:p w14:paraId="3F851257" w14:textId="77777777" w:rsidR="00AD5F95" w:rsidRDefault="00AD5F95" w:rsidP="009E7F73">
            <w:pPr>
              <w:pStyle w:val="TAN"/>
            </w:pPr>
          </w:p>
        </w:tc>
      </w:tr>
      <w:tr w:rsidR="00AD5F95" w14:paraId="2E84D971" w14:textId="77777777" w:rsidTr="009E7F73">
        <w:trPr>
          <w:trHeight w:val="296"/>
        </w:trPr>
        <w:tc>
          <w:tcPr>
            <w:tcW w:w="2684" w:type="dxa"/>
            <w:vMerge w:val="restart"/>
            <w:tcBorders>
              <w:left w:val="single" w:sz="6" w:space="0" w:color="auto"/>
              <w:right w:val="single" w:sz="6" w:space="0" w:color="auto"/>
            </w:tcBorders>
          </w:tcPr>
          <w:p w14:paraId="546A3DB3" w14:textId="77777777" w:rsidR="00AD5F95" w:rsidRDefault="00AD5F95" w:rsidP="009E7F73">
            <w:pPr>
              <w:keepNext/>
              <w:keepLines/>
              <w:spacing w:after="0"/>
              <w:ind w:left="851" w:hanging="851"/>
              <w:rPr>
                <w:rFonts w:ascii="Arial" w:hAnsi="Arial"/>
                <w:sz w:val="18"/>
              </w:rPr>
            </w:pPr>
            <w:r>
              <w:rPr>
                <w:rFonts w:ascii="Arial" w:hAnsi="Arial"/>
                <w:sz w:val="18"/>
              </w:rPr>
              <w:t>Nnwdaf_RoamingData</w:t>
            </w:r>
          </w:p>
          <w:p w14:paraId="0ACDEC80" w14:textId="77777777" w:rsidR="00AD5F95" w:rsidRDefault="00AD5F95" w:rsidP="009E7F73">
            <w:pPr>
              <w:keepNext/>
              <w:keepLines/>
              <w:spacing w:after="0"/>
              <w:ind w:left="851" w:hanging="851"/>
              <w:rPr>
                <w:rFonts w:ascii="Arial" w:hAnsi="Arial"/>
                <w:sz w:val="18"/>
              </w:rPr>
            </w:pPr>
          </w:p>
        </w:tc>
        <w:tc>
          <w:tcPr>
            <w:tcW w:w="2007" w:type="dxa"/>
            <w:vMerge w:val="restart"/>
            <w:tcBorders>
              <w:left w:val="single" w:sz="6" w:space="0" w:color="auto"/>
              <w:right w:val="single" w:sz="6" w:space="0" w:color="auto"/>
            </w:tcBorders>
          </w:tcPr>
          <w:p w14:paraId="18F69044" w14:textId="77777777" w:rsidR="00AD5F95" w:rsidRDefault="00AD5F95" w:rsidP="009E7F73">
            <w:pPr>
              <w:pStyle w:val="TAL"/>
              <w:rPr>
                <w:lang w:eastAsia="zh-CN"/>
              </w:rPr>
            </w:pPr>
            <w:r>
              <w:rPr>
                <w:lang w:eastAsia="ja-JP"/>
              </w:rPr>
              <w:t>This service enables the consumer to subscribe/unsubscribe for input data related to roaming UE(s) for NWDAF analytics.</w:t>
            </w:r>
          </w:p>
        </w:tc>
        <w:tc>
          <w:tcPr>
            <w:tcW w:w="1964" w:type="dxa"/>
            <w:gridSpan w:val="2"/>
            <w:tcBorders>
              <w:top w:val="single" w:sz="6" w:space="0" w:color="auto"/>
              <w:left w:val="single" w:sz="6" w:space="0" w:color="auto"/>
              <w:bottom w:val="single" w:sz="6" w:space="0" w:color="auto"/>
              <w:right w:val="single" w:sz="6" w:space="0" w:color="auto"/>
            </w:tcBorders>
          </w:tcPr>
          <w:p w14:paraId="46094929" w14:textId="77777777" w:rsidR="00AD5F95" w:rsidRDefault="00AD5F95" w:rsidP="009E7F73">
            <w:pPr>
              <w:pStyle w:val="TAN"/>
              <w:rPr>
                <w:lang w:eastAsia="ja-JP"/>
              </w:rPr>
            </w:pPr>
            <w:r>
              <w:t>Subscribe</w:t>
            </w:r>
          </w:p>
        </w:tc>
        <w:tc>
          <w:tcPr>
            <w:tcW w:w="1417" w:type="dxa"/>
            <w:vMerge w:val="restart"/>
            <w:tcBorders>
              <w:left w:val="single" w:sz="6" w:space="0" w:color="auto"/>
              <w:right w:val="single" w:sz="6" w:space="0" w:color="auto"/>
            </w:tcBorders>
          </w:tcPr>
          <w:p w14:paraId="6D48762B" w14:textId="77777777" w:rsidR="00AD5F95" w:rsidRDefault="00AD5F95" w:rsidP="009E7F73">
            <w:pPr>
              <w:pStyle w:val="TAL"/>
            </w:pPr>
            <w:r>
              <w:t>Subscribe / Notify</w:t>
            </w:r>
          </w:p>
        </w:tc>
        <w:tc>
          <w:tcPr>
            <w:tcW w:w="1533" w:type="dxa"/>
            <w:vMerge w:val="restart"/>
            <w:tcBorders>
              <w:left w:val="single" w:sz="6" w:space="0" w:color="auto"/>
              <w:right w:val="single" w:sz="6" w:space="0" w:color="auto"/>
            </w:tcBorders>
          </w:tcPr>
          <w:p w14:paraId="0FEA4C61" w14:textId="77777777" w:rsidR="00AD5F95" w:rsidRDefault="00AD5F95" w:rsidP="009E7F73">
            <w:pPr>
              <w:pStyle w:val="TAN"/>
              <w:ind w:left="0" w:firstLine="0"/>
            </w:pPr>
            <w:r>
              <w:t>H-RE-NWDAF,</w:t>
            </w:r>
          </w:p>
          <w:p w14:paraId="2A80E95A" w14:textId="77777777" w:rsidR="00AD5F95" w:rsidRDefault="00AD5F95" w:rsidP="009E7F73">
            <w:pPr>
              <w:pStyle w:val="TAN"/>
              <w:ind w:left="0" w:firstLine="0"/>
            </w:pPr>
            <w:r>
              <w:t>V-RE-NWDAF</w:t>
            </w:r>
          </w:p>
        </w:tc>
      </w:tr>
      <w:tr w:rsidR="00AD5F95" w14:paraId="5B7A6258" w14:textId="77777777" w:rsidTr="009E7F73">
        <w:trPr>
          <w:trHeight w:val="294"/>
        </w:trPr>
        <w:tc>
          <w:tcPr>
            <w:tcW w:w="2684" w:type="dxa"/>
            <w:vMerge/>
            <w:tcBorders>
              <w:left w:val="single" w:sz="6" w:space="0" w:color="auto"/>
              <w:right w:val="single" w:sz="6" w:space="0" w:color="auto"/>
            </w:tcBorders>
          </w:tcPr>
          <w:p w14:paraId="3996A349"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6302FC30" w14:textId="77777777" w:rsidR="00AD5F95" w:rsidRDefault="00AD5F95" w:rsidP="009E7F73">
            <w:pPr>
              <w:pStyle w:val="TAL"/>
              <w:rPr>
                <w:lang w:eastAsia="ja-JP"/>
              </w:rPr>
            </w:pPr>
          </w:p>
        </w:tc>
        <w:tc>
          <w:tcPr>
            <w:tcW w:w="1964" w:type="dxa"/>
            <w:gridSpan w:val="2"/>
            <w:tcBorders>
              <w:top w:val="single" w:sz="6" w:space="0" w:color="auto"/>
              <w:left w:val="single" w:sz="6" w:space="0" w:color="auto"/>
              <w:bottom w:val="single" w:sz="6" w:space="0" w:color="auto"/>
              <w:right w:val="single" w:sz="6" w:space="0" w:color="auto"/>
            </w:tcBorders>
          </w:tcPr>
          <w:p w14:paraId="0491A105" w14:textId="77777777" w:rsidR="00AD5F95" w:rsidRDefault="00AD5F95" w:rsidP="009E7F73">
            <w:pPr>
              <w:pStyle w:val="TAN"/>
              <w:rPr>
                <w:lang w:eastAsia="ja-JP"/>
              </w:rPr>
            </w:pPr>
            <w:r>
              <w:rPr>
                <w:rFonts w:eastAsia="等线"/>
              </w:rPr>
              <w:t>Unsubscribe</w:t>
            </w:r>
          </w:p>
        </w:tc>
        <w:tc>
          <w:tcPr>
            <w:tcW w:w="1417" w:type="dxa"/>
            <w:vMerge/>
            <w:tcBorders>
              <w:left w:val="single" w:sz="6" w:space="0" w:color="auto"/>
              <w:right w:val="single" w:sz="6" w:space="0" w:color="auto"/>
            </w:tcBorders>
          </w:tcPr>
          <w:p w14:paraId="61DAFFA7" w14:textId="77777777" w:rsidR="00AD5F95" w:rsidRDefault="00AD5F95" w:rsidP="009E7F73">
            <w:pPr>
              <w:pStyle w:val="TAL"/>
            </w:pPr>
          </w:p>
        </w:tc>
        <w:tc>
          <w:tcPr>
            <w:tcW w:w="1533" w:type="dxa"/>
            <w:vMerge/>
            <w:tcBorders>
              <w:left w:val="single" w:sz="6" w:space="0" w:color="auto"/>
              <w:right w:val="single" w:sz="6" w:space="0" w:color="auto"/>
            </w:tcBorders>
          </w:tcPr>
          <w:p w14:paraId="298E8468" w14:textId="77777777" w:rsidR="00AD5F95" w:rsidRDefault="00AD5F95" w:rsidP="009E7F73">
            <w:pPr>
              <w:pStyle w:val="TAN"/>
            </w:pPr>
          </w:p>
        </w:tc>
      </w:tr>
      <w:tr w:rsidR="00AD5F95" w14:paraId="742AAE66" w14:textId="77777777" w:rsidTr="009E7F73">
        <w:trPr>
          <w:trHeight w:val="294"/>
        </w:trPr>
        <w:tc>
          <w:tcPr>
            <w:tcW w:w="2684" w:type="dxa"/>
            <w:vMerge/>
            <w:tcBorders>
              <w:left w:val="single" w:sz="6" w:space="0" w:color="auto"/>
              <w:right w:val="single" w:sz="6" w:space="0" w:color="auto"/>
            </w:tcBorders>
          </w:tcPr>
          <w:p w14:paraId="011BBEA3"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206D1F93" w14:textId="77777777" w:rsidR="00AD5F95" w:rsidRDefault="00AD5F95" w:rsidP="009E7F73">
            <w:pPr>
              <w:pStyle w:val="TAL"/>
              <w:rPr>
                <w:lang w:eastAsia="ja-JP"/>
              </w:rPr>
            </w:pPr>
          </w:p>
        </w:tc>
        <w:tc>
          <w:tcPr>
            <w:tcW w:w="1964" w:type="dxa"/>
            <w:gridSpan w:val="2"/>
            <w:tcBorders>
              <w:top w:val="single" w:sz="6" w:space="0" w:color="auto"/>
              <w:left w:val="single" w:sz="6" w:space="0" w:color="auto"/>
              <w:bottom w:val="single" w:sz="6" w:space="0" w:color="auto"/>
              <w:right w:val="single" w:sz="6" w:space="0" w:color="auto"/>
            </w:tcBorders>
          </w:tcPr>
          <w:p w14:paraId="15611243" w14:textId="77777777" w:rsidR="00AD5F95" w:rsidRDefault="00AD5F95" w:rsidP="009E7F73">
            <w:pPr>
              <w:pStyle w:val="TAN"/>
              <w:rPr>
                <w:lang w:eastAsia="ja-JP"/>
              </w:rPr>
            </w:pPr>
            <w:r>
              <w:rPr>
                <w:rFonts w:eastAsia="等线"/>
              </w:rPr>
              <w:t>Notify</w:t>
            </w:r>
          </w:p>
        </w:tc>
        <w:tc>
          <w:tcPr>
            <w:tcW w:w="1417" w:type="dxa"/>
            <w:vMerge/>
            <w:tcBorders>
              <w:left w:val="single" w:sz="6" w:space="0" w:color="auto"/>
              <w:right w:val="single" w:sz="6" w:space="0" w:color="auto"/>
            </w:tcBorders>
          </w:tcPr>
          <w:p w14:paraId="48065ABC" w14:textId="77777777" w:rsidR="00AD5F95" w:rsidRDefault="00AD5F95" w:rsidP="009E7F73">
            <w:pPr>
              <w:pStyle w:val="TAL"/>
            </w:pPr>
          </w:p>
        </w:tc>
        <w:tc>
          <w:tcPr>
            <w:tcW w:w="1533" w:type="dxa"/>
            <w:vMerge/>
            <w:tcBorders>
              <w:left w:val="single" w:sz="6" w:space="0" w:color="auto"/>
              <w:right w:val="single" w:sz="6" w:space="0" w:color="auto"/>
            </w:tcBorders>
          </w:tcPr>
          <w:p w14:paraId="36D3BDF2" w14:textId="77777777" w:rsidR="00AD5F95" w:rsidRDefault="00AD5F95" w:rsidP="009E7F73">
            <w:pPr>
              <w:pStyle w:val="TAN"/>
            </w:pPr>
          </w:p>
        </w:tc>
      </w:tr>
      <w:tr w:rsidR="00AD5F95" w14:paraId="5BC7DC21" w14:textId="77777777" w:rsidTr="009E7F73">
        <w:trPr>
          <w:trHeight w:val="491"/>
        </w:trPr>
        <w:tc>
          <w:tcPr>
            <w:tcW w:w="2684" w:type="dxa"/>
            <w:vMerge w:val="restart"/>
            <w:tcBorders>
              <w:left w:val="single" w:sz="6" w:space="0" w:color="auto"/>
              <w:right w:val="single" w:sz="6" w:space="0" w:color="auto"/>
            </w:tcBorders>
          </w:tcPr>
          <w:p w14:paraId="247175D1" w14:textId="77777777" w:rsidR="00AD5F95" w:rsidRDefault="00AD5F95" w:rsidP="009E7F73">
            <w:pPr>
              <w:keepNext/>
              <w:keepLines/>
              <w:spacing w:after="0"/>
              <w:ind w:left="851" w:hanging="851"/>
              <w:rPr>
                <w:rFonts w:ascii="Arial" w:hAnsi="Arial"/>
                <w:sz w:val="18"/>
              </w:rPr>
            </w:pPr>
            <w:r>
              <w:rPr>
                <w:rFonts w:ascii="Arial" w:hAnsi="Arial"/>
                <w:sz w:val="18"/>
              </w:rPr>
              <w:t>Nnwdaf_RoamingAnalytics</w:t>
            </w:r>
          </w:p>
        </w:tc>
        <w:tc>
          <w:tcPr>
            <w:tcW w:w="2007" w:type="dxa"/>
            <w:vMerge w:val="restart"/>
            <w:tcBorders>
              <w:left w:val="single" w:sz="6" w:space="0" w:color="auto"/>
              <w:right w:val="single" w:sz="6" w:space="0" w:color="auto"/>
            </w:tcBorders>
          </w:tcPr>
          <w:p w14:paraId="2FC1A905" w14:textId="77777777" w:rsidR="00AD5F95" w:rsidRDefault="00AD5F95" w:rsidP="009E7F73">
            <w:pPr>
              <w:pStyle w:val="TAL"/>
              <w:rPr>
                <w:lang w:eastAsia="ja-JP"/>
              </w:rPr>
            </w:pPr>
            <w:r>
              <w:rPr>
                <w:lang w:eastAsia="zh-CN"/>
              </w:rPr>
              <w:t>This service enables the NF service consumers to subscribe (or modify subscriptions) to and unsubscribe from notifications for network data analytics related to roaming UE(s).</w:t>
            </w:r>
          </w:p>
        </w:tc>
        <w:tc>
          <w:tcPr>
            <w:tcW w:w="1964" w:type="dxa"/>
            <w:gridSpan w:val="2"/>
            <w:tcBorders>
              <w:top w:val="single" w:sz="6" w:space="0" w:color="auto"/>
              <w:left w:val="single" w:sz="6" w:space="0" w:color="auto"/>
              <w:bottom w:val="single" w:sz="6" w:space="0" w:color="auto"/>
              <w:right w:val="single" w:sz="6" w:space="0" w:color="auto"/>
            </w:tcBorders>
          </w:tcPr>
          <w:p w14:paraId="337DF358" w14:textId="77777777" w:rsidR="00AD5F95" w:rsidRDefault="00AD5F95" w:rsidP="009E7F73">
            <w:pPr>
              <w:pStyle w:val="TAN"/>
              <w:rPr>
                <w:rFonts w:eastAsia="等线"/>
              </w:rPr>
            </w:pPr>
            <w:r>
              <w:t>Subscribe (NOTE 4)</w:t>
            </w:r>
          </w:p>
        </w:tc>
        <w:tc>
          <w:tcPr>
            <w:tcW w:w="1417" w:type="dxa"/>
            <w:vMerge w:val="restart"/>
            <w:tcBorders>
              <w:left w:val="single" w:sz="6" w:space="0" w:color="auto"/>
              <w:right w:val="single" w:sz="6" w:space="0" w:color="auto"/>
            </w:tcBorders>
          </w:tcPr>
          <w:p w14:paraId="01ED383C" w14:textId="77777777" w:rsidR="00AD5F95" w:rsidRDefault="00AD5F95" w:rsidP="009E7F73">
            <w:pPr>
              <w:pStyle w:val="TAL"/>
            </w:pPr>
            <w:r>
              <w:t>Subscribe / Notify</w:t>
            </w:r>
          </w:p>
        </w:tc>
        <w:tc>
          <w:tcPr>
            <w:tcW w:w="1533" w:type="dxa"/>
            <w:vMerge w:val="restart"/>
            <w:tcBorders>
              <w:left w:val="single" w:sz="6" w:space="0" w:color="auto"/>
              <w:right w:val="single" w:sz="6" w:space="0" w:color="auto"/>
            </w:tcBorders>
          </w:tcPr>
          <w:p w14:paraId="0493114B" w14:textId="77777777" w:rsidR="00AD5F95" w:rsidRDefault="00AD5F95" w:rsidP="009E7F73">
            <w:pPr>
              <w:pStyle w:val="TAN"/>
              <w:ind w:left="0" w:firstLine="0"/>
              <w:rPr>
                <w:rFonts w:cs="Arial"/>
                <w:szCs w:val="18"/>
              </w:rPr>
            </w:pPr>
            <w:r>
              <w:rPr>
                <w:rFonts w:cs="Arial"/>
                <w:szCs w:val="18"/>
              </w:rPr>
              <w:t>H-RE-NWDAF,</w:t>
            </w:r>
          </w:p>
          <w:p w14:paraId="190B2645" w14:textId="77777777" w:rsidR="00AD5F95" w:rsidRDefault="00AD5F95" w:rsidP="009E7F73">
            <w:pPr>
              <w:pStyle w:val="TAN"/>
            </w:pPr>
            <w:r>
              <w:rPr>
                <w:rFonts w:cs="Arial"/>
                <w:szCs w:val="18"/>
              </w:rPr>
              <w:t>V-RE-NWDAF</w:t>
            </w:r>
          </w:p>
        </w:tc>
      </w:tr>
      <w:tr w:rsidR="00AD5F95" w14:paraId="375DC143" w14:textId="77777777" w:rsidTr="009E7F73">
        <w:trPr>
          <w:trHeight w:val="489"/>
        </w:trPr>
        <w:tc>
          <w:tcPr>
            <w:tcW w:w="2684" w:type="dxa"/>
            <w:vMerge/>
            <w:tcBorders>
              <w:left w:val="single" w:sz="6" w:space="0" w:color="auto"/>
              <w:right w:val="single" w:sz="6" w:space="0" w:color="auto"/>
            </w:tcBorders>
          </w:tcPr>
          <w:p w14:paraId="1D54BBFD"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56BC9A8C"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1C81CB32" w14:textId="77777777" w:rsidR="00AD5F95" w:rsidRDefault="00AD5F95" w:rsidP="009E7F73">
            <w:pPr>
              <w:pStyle w:val="TAN"/>
              <w:rPr>
                <w:rFonts w:eastAsia="等线"/>
              </w:rPr>
            </w:pPr>
            <w:r>
              <w:rPr>
                <w:rFonts w:eastAsia="等线"/>
              </w:rPr>
              <w:t>Unsubscribe</w:t>
            </w:r>
          </w:p>
        </w:tc>
        <w:tc>
          <w:tcPr>
            <w:tcW w:w="1417" w:type="dxa"/>
            <w:vMerge/>
            <w:tcBorders>
              <w:left w:val="single" w:sz="6" w:space="0" w:color="auto"/>
              <w:right w:val="single" w:sz="6" w:space="0" w:color="auto"/>
            </w:tcBorders>
          </w:tcPr>
          <w:p w14:paraId="3A5D0AF1" w14:textId="77777777" w:rsidR="00AD5F95" w:rsidRDefault="00AD5F95" w:rsidP="009E7F73">
            <w:pPr>
              <w:pStyle w:val="TAL"/>
            </w:pPr>
          </w:p>
        </w:tc>
        <w:tc>
          <w:tcPr>
            <w:tcW w:w="1533" w:type="dxa"/>
            <w:vMerge/>
            <w:tcBorders>
              <w:left w:val="single" w:sz="6" w:space="0" w:color="auto"/>
              <w:right w:val="single" w:sz="6" w:space="0" w:color="auto"/>
            </w:tcBorders>
          </w:tcPr>
          <w:p w14:paraId="1E7987DC" w14:textId="77777777" w:rsidR="00AD5F95" w:rsidRDefault="00AD5F95" w:rsidP="009E7F73">
            <w:pPr>
              <w:pStyle w:val="TAN"/>
              <w:rPr>
                <w:rFonts w:cs="Arial"/>
                <w:szCs w:val="18"/>
              </w:rPr>
            </w:pPr>
          </w:p>
        </w:tc>
      </w:tr>
      <w:tr w:rsidR="00AD5F95" w14:paraId="79EB8E99" w14:textId="77777777" w:rsidTr="009E7F73">
        <w:trPr>
          <w:trHeight w:val="489"/>
        </w:trPr>
        <w:tc>
          <w:tcPr>
            <w:tcW w:w="2684" w:type="dxa"/>
            <w:vMerge/>
            <w:tcBorders>
              <w:left w:val="single" w:sz="6" w:space="0" w:color="auto"/>
              <w:right w:val="single" w:sz="6" w:space="0" w:color="auto"/>
            </w:tcBorders>
          </w:tcPr>
          <w:p w14:paraId="22CC05FA" w14:textId="77777777" w:rsidR="00AD5F95" w:rsidRDefault="00AD5F95" w:rsidP="009E7F7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080E0B1C" w14:textId="77777777" w:rsidR="00AD5F95" w:rsidRDefault="00AD5F95" w:rsidP="009E7F7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1DCCE8FF" w14:textId="77777777" w:rsidR="00AD5F95" w:rsidRDefault="00AD5F95" w:rsidP="009E7F73">
            <w:pPr>
              <w:pStyle w:val="TAN"/>
              <w:rPr>
                <w:rFonts w:eastAsia="等线"/>
              </w:rPr>
            </w:pPr>
            <w:r>
              <w:rPr>
                <w:rFonts w:eastAsia="等线"/>
              </w:rPr>
              <w:t>Notify</w:t>
            </w:r>
          </w:p>
        </w:tc>
        <w:tc>
          <w:tcPr>
            <w:tcW w:w="1417" w:type="dxa"/>
            <w:vMerge/>
            <w:tcBorders>
              <w:left w:val="single" w:sz="6" w:space="0" w:color="auto"/>
              <w:right w:val="single" w:sz="6" w:space="0" w:color="auto"/>
            </w:tcBorders>
          </w:tcPr>
          <w:p w14:paraId="59133E79" w14:textId="77777777" w:rsidR="00AD5F95" w:rsidRDefault="00AD5F95" w:rsidP="009E7F73">
            <w:pPr>
              <w:pStyle w:val="TAL"/>
            </w:pPr>
          </w:p>
        </w:tc>
        <w:tc>
          <w:tcPr>
            <w:tcW w:w="1533" w:type="dxa"/>
            <w:vMerge/>
            <w:tcBorders>
              <w:left w:val="single" w:sz="6" w:space="0" w:color="auto"/>
              <w:right w:val="single" w:sz="6" w:space="0" w:color="auto"/>
            </w:tcBorders>
          </w:tcPr>
          <w:p w14:paraId="52509EDE" w14:textId="77777777" w:rsidR="00AD5F95" w:rsidRDefault="00AD5F95" w:rsidP="009E7F73">
            <w:pPr>
              <w:pStyle w:val="TAN"/>
              <w:rPr>
                <w:rFonts w:cs="Arial"/>
                <w:szCs w:val="18"/>
              </w:rPr>
            </w:pPr>
          </w:p>
        </w:tc>
      </w:tr>
      <w:tr w:rsidR="005B1DF6" w14:paraId="294F1230" w14:textId="77777777" w:rsidTr="009E7F73">
        <w:trPr>
          <w:trHeight w:val="489"/>
        </w:trPr>
        <w:tc>
          <w:tcPr>
            <w:tcW w:w="2684" w:type="dxa"/>
            <w:vMerge w:val="restart"/>
            <w:tcBorders>
              <w:left w:val="single" w:sz="6" w:space="0" w:color="auto"/>
              <w:right w:val="single" w:sz="6" w:space="0" w:color="auto"/>
            </w:tcBorders>
          </w:tcPr>
          <w:p w14:paraId="5CCA8F9F" w14:textId="77777777" w:rsidR="005B1DF6" w:rsidRDefault="005B1DF6" w:rsidP="005B1DF6">
            <w:pPr>
              <w:keepNext/>
              <w:keepLines/>
              <w:spacing w:after="0"/>
              <w:ind w:left="851" w:hanging="851"/>
              <w:rPr>
                <w:rFonts w:ascii="Arial" w:hAnsi="Arial"/>
                <w:sz w:val="18"/>
              </w:rPr>
            </w:pPr>
            <w:r>
              <w:rPr>
                <w:rFonts w:ascii="Arial" w:hAnsi="Arial"/>
                <w:sz w:val="18"/>
              </w:rPr>
              <w:t>Nnwdaf_VFLTraining</w:t>
            </w:r>
          </w:p>
        </w:tc>
        <w:tc>
          <w:tcPr>
            <w:tcW w:w="2007" w:type="dxa"/>
            <w:vMerge w:val="restart"/>
            <w:tcBorders>
              <w:left w:val="single" w:sz="6" w:space="0" w:color="auto"/>
              <w:right w:val="single" w:sz="6" w:space="0" w:color="auto"/>
            </w:tcBorders>
          </w:tcPr>
          <w:p w14:paraId="61F4B355" w14:textId="77777777" w:rsidR="005B1DF6" w:rsidRDefault="005B1DF6" w:rsidP="005B1DF6">
            <w:pPr>
              <w:pStyle w:val="TAL"/>
              <w:rPr>
                <w:lang w:eastAsia="zh-CN"/>
              </w:rPr>
            </w:pPr>
            <w:r>
              <w:rPr>
                <w:lang w:eastAsia="zh-CN"/>
              </w:rPr>
              <w:t xml:space="preserve">This service enables the NF service consumers </w:t>
            </w:r>
            <w:r w:rsidRPr="00311B21">
              <w:rPr>
                <w:lang w:eastAsia="zh-CN"/>
              </w:rPr>
              <w:t xml:space="preserve">to </w:t>
            </w:r>
            <w:r>
              <w:rPr>
                <w:lang w:eastAsia="zh-CN"/>
              </w:rPr>
              <w:t xml:space="preserve">prepare VFL training and to create, remove, and </w:t>
            </w:r>
            <w:r w:rsidRPr="00311B21">
              <w:rPr>
                <w:lang w:eastAsia="zh-CN"/>
              </w:rPr>
              <w:t xml:space="preserve">modify </w:t>
            </w:r>
            <w:r>
              <w:rPr>
                <w:lang w:eastAsia="zh-CN"/>
              </w:rPr>
              <w:t xml:space="preserve">subscriptions to </w:t>
            </w:r>
            <w:r w:rsidRPr="00311B21">
              <w:rPr>
                <w:lang w:eastAsia="zh-CN"/>
              </w:rPr>
              <w:t xml:space="preserve">notifications </w:t>
            </w:r>
            <w:r>
              <w:rPr>
                <w:lang w:eastAsia="zh-CN"/>
              </w:rPr>
              <w:t>for VFL</w:t>
            </w:r>
            <w:r w:rsidRPr="00311B21">
              <w:rPr>
                <w:lang w:eastAsia="zh-CN"/>
              </w:rPr>
              <w:t xml:space="preserve"> training.</w:t>
            </w:r>
          </w:p>
        </w:tc>
        <w:tc>
          <w:tcPr>
            <w:tcW w:w="1964" w:type="dxa"/>
            <w:gridSpan w:val="2"/>
            <w:tcBorders>
              <w:top w:val="single" w:sz="6" w:space="0" w:color="auto"/>
              <w:left w:val="single" w:sz="6" w:space="0" w:color="auto"/>
              <w:bottom w:val="single" w:sz="6" w:space="0" w:color="auto"/>
              <w:right w:val="single" w:sz="6" w:space="0" w:color="auto"/>
            </w:tcBorders>
          </w:tcPr>
          <w:p w14:paraId="0390A54A" w14:textId="77777777" w:rsidR="005B1DF6" w:rsidRDefault="005B1DF6" w:rsidP="005B1DF6">
            <w:pPr>
              <w:pStyle w:val="TAN"/>
              <w:rPr>
                <w:rFonts w:eastAsia="等线"/>
              </w:rPr>
            </w:pPr>
            <w:r>
              <w:rPr>
                <w:rFonts w:eastAsia="等线"/>
              </w:rPr>
              <w:t xml:space="preserve">Subscribe </w:t>
            </w:r>
            <w:r w:rsidRPr="009D495B">
              <w:rPr>
                <w:rFonts w:eastAsia="等线"/>
              </w:rPr>
              <w:t>(NOTE 5)</w:t>
            </w:r>
          </w:p>
        </w:tc>
        <w:tc>
          <w:tcPr>
            <w:tcW w:w="1417" w:type="dxa"/>
            <w:vMerge w:val="restart"/>
            <w:tcBorders>
              <w:left w:val="single" w:sz="6" w:space="0" w:color="auto"/>
              <w:right w:val="single" w:sz="6" w:space="0" w:color="auto"/>
            </w:tcBorders>
          </w:tcPr>
          <w:p w14:paraId="5F21C074" w14:textId="77777777" w:rsidR="005B1DF6" w:rsidRDefault="005B1DF6" w:rsidP="005B1DF6">
            <w:pPr>
              <w:pStyle w:val="TAL"/>
            </w:pPr>
            <w:r w:rsidRPr="00311B21">
              <w:t>Subscribe / Notify</w:t>
            </w:r>
          </w:p>
        </w:tc>
        <w:tc>
          <w:tcPr>
            <w:tcW w:w="1533" w:type="dxa"/>
            <w:vMerge w:val="restart"/>
            <w:tcBorders>
              <w:left w:val="single" w:sz="6" w:space="0" w:color="auto"/>
              <w:right w:val="single" w:sz="6" w:space="0" w:color="auto"/>
            </w:tcBorders>
          </w:tcPr>
          <w:p w14:paraId="2CE1014D" w14:textId="77777777" w:rsidR="005B1DF6" w:rsidRDefault="005B1DF6" w:rsidP="005B1DF6">
            <w:pPr>
              <w:keepNext/>
              <w:keepLines/>
              <w:spacing w:after="0"/>
              <w:rPr>
                <w:rFonts w:ascii="Arial" w:hAnsi="Arial" w:cs="Arial"/>
                <w:sz w:val="18"/>
                <w:szCs w:val="18"/>
              </w:rPr>
            </w:pPr>
            <w:r>
              <w:rPr>
                <w:rFonts w:ascii="Arial" w:hAnsi="Arial" w:cs="Arial"/>
                <w:sz w:val="18"/>
                <w:szCs w:val="18"/>
              </w:rPr>
              <w:t xml:space="preserve">NWDAF, NEF, </w:t>
            </w:r>
          </w:p>
          <w:p w14:paraId="4EFBB4AC" w14:textId="77777777" w:rsidR="005B1DF6" w:rsidRDefault="005B1DF6" w:rsidP="005B1DF6">
            <w:pPr>
              <w:pStyle w:val="TAN"/>
              <w:rPr>
                <w:rFonts w:cs="Arial"/>
                <w:szCs w:val="18"/>
              </w:rPr>
            </w:pPr>
            <w:r>
              <w:rPr>
                <w:rFonts w:cs="Arial"/>
                <w:szCs w:val="18"/>
              </w:rPr>
              <w:t>AF</w:t>
            </w:r>
          </w:p>
        </w:tc>
      </w:tr>
      <w:tr w:rsidR="005B1DF6" w14:paraId="3D2BC0ED" w14:textId="77777777" w:rsidTr="009E7F73">
        <w:trPr>
          <w:trHeight w:val="489"/>
        </w:trPr>
        <w:tc>
          <w:tcPr>
            <w:tcW w:w="2684" w:type="dxa"/>
            <w:vMerge/>
            <w:tcBorders>
              <w:left w:val="single" w:sz="6" w:space="0" w:color="auto"/>
              <w:right w:val="single" w:sz="6" w:space="0" w:color="auto"/>
            </w:tcBorders>
          </w:tcPr>
          <w:p w14:paraId="59797DE6" w14:textId="77777777" w:rsidR="005B1DF6" w:rsidRDefault="005B1DF6" w:rsidP="005B1DF6">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24DFBED1" w14:textId="77777777" w:rsidR="005B1DF6" w:rsidRDefault="005B1DF6" w:rsidP="005B1DF6">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36A81EBC" w14:textId="77777777" w:rsidR="005B1DF6" w:rsidRDefault="005B1DF6" w:rsidP="005B1DF6">
            <w:pPr>
              <w:pStyle w:val="TAN"/>
              <w:rPr>
                <w:rFonts w:eastAsia="等线"/>
              </w:rPr>
            </w:pPr>
            <w:r>
              <w:rPr>
                <w:rFonts w:eastAsia="等线"/>
              </w:rPr>
              <w:t>Unsubscribe</w:t>
            </w:r>
          </w:p>
        </w:tc>
        <w:tc>
          <w:tcPr>
            <w:tcW w:w="1417" w:type="dxa"/>
            <w:vMerge/>
            <w:tcBorders>
              <w:left w:val="single" w:sz="6" w:space="0" w:color="auto"/>
              <w:right w:val="single" w:sz="6" w:space="0" w:color="auto"/>
            </w:tcBorders>
          </w:tcPr>
          <w:p w14:paraId="6AAFDEB9" w14:textId="77777777" w:rsidR="005B1DF6" w:rsidRDefault="005B1DF6" w:rsidP="005B1DF6">
            <w:pPr>
              <w:pStyle w:val="TAL"/>
            </w:pPr>
          </w:p>
        </w:tc>
        <w:tc>
          <w:tcPr>
            <w:tcW w:w="1533" w:type="dxa"/>
            <w:vMerge/>
            <w:tcBorders>
              <w:left w:val="single" w:sz="6" w:space="0" w:color="auto"/>
              <w:right w:val="single" w:sz="6" w:space="0" w:color="auto"/>
            </w:tcBorders>
          </w:tcPr>
          <w:p w14:paraId="78004388" w14:textId="77777777" w:rsidR="005B1DF6" w:rsidRDefault="005B1DF6" w:rsidP="005B1DF6">
            <w:pPr>
              <w:pStyle w:val="TAN"/>
              <w:rPr>
                <w:rFonts w:cs="Arial"/>
                <w:szCs w:val="18"/>
              </w:rPr>
            </w:pPr>
          </w:p>
        </w:tc>
      </w:tr>
      <w:tr w:rsidR="005B1DF6" w14:paraId="52EEA670" w14:textId="77777777" w:rsidTr="009E7F73">
        <w:trPr>
          <w:trHeight w:val="489"/>
        </w:trPr>
        <w:tc>
          <w:tcPr>
            <w:tcW w:w="2684" w:type="dxa"/>
            <w:vMerge/>
            <w:tcBorders>
              <w:left w:val="single" w:sz="6" w:space="0" w:color="auto"/>
              <w:right w:val="single" w:sz="6" w:space="0" w:color="auto"/>
            </w:tcBorders>
          </w:tcPr>
          <w:p w14:paraId="52951C23" w14:textId="77777777" w:rsidR="005B1DF6" w:rsidRDefault="005B1DF6" w:rsidP="005B1DF6">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3D6554F7" w14:textId="77777777" w:rsidR="005B1DF6" w:rsidRDefault="005B1DF6" w:rsidP="005B1DF6">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737950EF" w14:textId="77777777" w:rsidR="005B1DF6" w:rsidRDefault="005B1DF6" w:rsidP="005B1DF6">
            <w:pPr>
              <w:pStyle w:val="TAN"/>
              <w:rPr>
                <w:rFonts w:eastAsia="等线"/>
              </w:rPr>
            </w:pPr>
            <w:r>
              <w:rPr>
                <w:rFonts w:eastAsia="等线"/>
              </w:rPr>
              <w:t>Notify</w:t>
            </w:r>
          </w:p>
        </w:tc>
        <w:tc>
          <w:tcPr>
            <w:tcW w:w="1417" w:type="dxa"/>
            <w:vMerge/>
            <w:tcBorders>
              <w:left w:val="single" w:sz="6" w:space="0" w:color="auto"/>
              <w:right w:val="single" w:sz="6" w:space="0" w:color="auto"/>
            </w:tcBorders>
          </w:tcPr>
          <w:p w14:paraId="1022CC6D" w14:textId="77777777" w:rsidR="005B1DF6" w:rsidRDefault="005B1DF6" w:rsidP="005B1DF6">
            <w:pPr>
              <w:pStyle w:val="TAL"/>
            </w:pPr>
          </w:p>
        </w:tc>
        <w:tc>
          <w:tcPr>
            <w:tcW w:w="1533" w:type="dxa"/>
            <w:vMerge/>
            <w:tcBorders>
              <w:left w:val="single" w:sz="6" w:space="0" w:color="auto"/>
              <w:right w:val="single" w:sz="6" w:space="0" w:color="auto"/>
            </w:tcBorders>
          </w:tcPr>
          <w:p w14:paraId="22091EC8" w14:textId="77777777" w:rsidR="005B1DF6" w:rsidRDefault="005B1DF6" w:rsidP="005B1DF6">
            <w:pPr>
              <w:pStyle w:val="TAN"/>
              <w:rPr>
                <w:rFonts w:cs="Arial"/>
                <w:szCs w:val="18"/>
              </w:rPr>
            </w:pPr>
          </w:p>
        </w:tc>
      </w:tr>
      <w:tr w:rsidR="009E3903" w14:paraId="0322E3D9" w14:textId="77777777" w:rsidTr="009E7F73">
        <w:trPr>
          <w:trHeight w:val="489"/>
        </w:trPr>
        <w:tc>
          <w:tcPr>
            <w:tcW w:w="2684" w:type="dxa"/>
            <w:vMerge w:val="restart"/>
            <w:tcBorders>
              <w:left w:val="single" w:sz="6" w:space="0" w:color="auto"/>
              <w:right w:val="single" w:sz="6" w:space="0" w:color="auto"/>
            </w:tcBorders>
          </w:tcPr>
          <w:p w14:paraId="35D3E1A6" w14:textId="7F9B7A90" w:rsidR="009E3903" w:rsidRDefault="009E3903" w:rsidP="009E3903">
            <w:pPr>
              <w:keepNext/>
              <w:keepLines/>
              <w:spacing w:after="0"/>
              <w:ind w:left="851" w:hanging="851"/>
              <w:rPr>
                <w:rFonts w:ascii="Arial" w:hAnsi="Arial"/>
                <w:sz w:val="18"/>
              </w:rPr>
            </w:pPr>
            <w:r>
              <w:rPr>
                <w:rFonts w:ascii="Arial" w:hAnsi="Arial"/>
                <w:sz w:val="18"/>
              </w:rPr>
              <w:t>Nnwdaf_VFLInference</w:t>
            </w:r>
          </w:p>
        </w:tc>
        <w:tc>
          <w:tcPr>
            <w:tcW w:w="2007" w:type="dxa"/>
            <w:vMerge w:val="restart"/>
            <w:tcBorders>
              <w:left w:val="single" w:sz="6" w:space="0" w:color="auto"/>
              <w:right w:val="single" w:sz="6" w:space="0" w:color="auto"/>
            </w:tcBorders>
          </w:tcPr>
          <w:p w14:paraId="1C84684F" w14:textId="0AB9D8BB" w:rsidR="009E3903" w:rsidRDefault="009E3903" w:rsidP="009E3903">
            <w:pPr>
              <w:pStyle w:val="TAL"/>
              <w:rPr>
                <w:lang w:eastAsia="zh-CN"/>
              </w:rPr>
            </w:pPr>
            <w:r>
              <w:rPr>
                <w:lang w:eastAsia="ja-JP"/>
              </w:rPr>
              <w:t>This service is provided by an NWDAF acting as VFL client and enables NF service consumers acting as VFL servers to request the NWDAF to participate in VFL inference.</w:t>
            </w:r>
          </w:p>
        </w:tc>
        <w:tc>
          <w:tcPr>
            <w:tcW w:w="1964" w:type="dxa"/>
            <w:gridSpan w:val="2"/>
            <w:tcBorders>
              <w:top w:val="single" w:sz="6" w:space="0" w:color="auto"/>
              <w:left w:val="single" w:sz="6" w:space="0" w:color="auto"/>
              <w:bottom w:val="single" w:sz="6" w:space="0" w:color="auto"/>
              <w:right w:val="single" w:sz="6" w:space="0" w:color="auto"/>
            </w:tcBorders>
          </w:tcPr>
          <w:p w14:paraId="1EA271B9" w14:textId="69B6217B" w:rsidR="009E3903" w:rsidRDefault="009E3903" w:rsidP="009E3903">
            <w:pPr>
              <w:pStyle w:val="TAN"/>
              <w:rPr>
                <w:rFonts w:eastAsia="等线"/>
              </w:rPr>
            </w:pPr>
            <w:r>
              <w:t>Subscribe (NOTE </w:t>
            </w:r>
            <w:r>
              <w:t>6</w:t>
            </w:r>
            <w:r>
              <w:t>)</w:t>
            </w:r>
          </w:p>
        </w:tc>
        <w:tc>
          <w:tcPr>
            <w:tcW w:w="1417" w:type="dxa"/>
            <w:vMerge w:val="restart"/>
            <w:tcBorders>
              <w:left w:val="single" w:sz="6" w:space="0" w:color="auto"/>
              <w:right w:val="single" w:sz="6" w:space="0" w:color="auto"/>
            </w:tcBorders>
          </w:tcPr>
          <w:p w14:paraId="58F18392" w14:textId="6EA1914F" w:rsidR="009E3903" w:rsidRDefault="009E3903" w:rsidP="009E3903">
            <w:pPr>
              <w:pStyle w:val="TAL"/>
            </w:pPr>
            <w:r>
              <w:t>Subscribe / Notify</w:t>
            </w:r>
          </w:p>
        </w:tc>
        <w:tc>
          <w:tcPr>
            <w:tcW w:w="1533" w:type="dxa"/>
            <w:vMerge w:val="restart"/>
            <w:tcBorders>
              <w:left w:val="single" w:sz="6" w:space="0" w:color="auto"/>
              <w:right w:val="single" w:sz="6" w:space="0" w:color="auto"/>
            </w:tcBorders>
          </w:tcPr>
          <w:p w14:paraId="475081BA" w14:textId="77777777" w:rsidR="009E3903" w:rsidRDefault="009E3903" w:rsidP="009E3903">
            <w:pPr>
              <w:pStyle w:val="TAN"/>
              <w:ind w:left="0" w:firstLine="0"/>
              <w:rPr>
                <w:rFonts w:cs="Arial"/>
                <w:szCs w:val="18"/>
              </w:rPr>
            </w:pPr>
            <w:r>
              <w:rPr>
                <w:rFonts w:cs="Arial"/>
                <w:szCs w:val="18"/>
              </w:rPr>
              <w:t>NWDAF,</w:t>
            </w:r>
          </w:p>
          <w:p w14:paraId="768DAA7D" w14:textId="77777777" w:rsidR="009E3903" w:rsidRDefault="009E3903" w:rsidP="009E3903">
            <w:pPr>
              <w:pStyle w:val="TAN"/>
              <w:ind w:left="0" w:firstLine="0"/>
              <w:rPr>
                <w:rFonts w:cs="Arial"/>
                <w:szCs w:val="18"/>
              </w:rPr>
            </w:pPr>
            <w:r>
              <w:rPr>
                <w:rFonts w:cs="Arial"/>
                <w:szCs w:val="18"/>
              </w:rPr>
              <w:t>AF,</w:t>
            </w:r>
          </w:p>
          <w:p w14:paraId="44516F2D" w14:textId="33D26928" w:rsidR="009E3903" w:rsidRDefault="009E3903" w:rsidP="009E3903">
            <w:pPr>
              <w:pStyle w:val="TAN"/>
              <w:rPr>
                <w:rFonts w:cs="Arial"/>
                <w:szCs w:val="18"/>
              </w:rPr>
            </w:pPr>
            <w:r>
              <w:rPr>
                <w:rFonts w:cs="Arial"/>
                <w:szCs w:val="18"/>
              </w:rPr>
              <w:t>NEF</w:t>
            </w:r>
          </w:p>
        </w:tc>
      </w:tr>
      <w:tr w:rsidR="009E3903" w14:paraId="078167C8" w14:textId="77777777" w:rsidTr="009E7F73">
        <w:trPr>
          <w:trHeight w:val="489"/>
        </w:trPr>
        <w:tc>
          <w:tcPr>
            <w:tcW w:w="2684" w:type="dxa"/>
            <w:vMerge/>
            <w:tcBorders>
              <w:left w:val="single" w:sz="6" w:space="0" w:color="auto"/>
              <w:right w:val="single" w:sz="6" w:space="0" w:color="auto"/>
            </w:tcBorders>
          </w:tcPr>
          <w:p w14:paraId="1FD5B60D" w14:textId="77777777" w:rsidR="009E3903" w:rsidRDefault="009E3903" w:rsidP="009E390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64B5D488" w14:textId="77777777" w:rsidR="009E3903" w:rsidRDefault="009E3903" w:rsidP="009E390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2EA74E02" w14:textId="4EDCC281" w:rsidR="009E3903" w:rsidRDefault="009E3903" w:rsidP="009E3903">
            <w:pPr>
              <w:pStyle w:val="TAN"/>
              <w:rPr>
                <w:rFonts w:eastAsia="等线"/>
              </w:rPr>
            </w:pPr>
            <w:r>
              <w:t>Unsubscribe</w:t>
            </w:r>
          </w:p>
        </w:tc>
        <w:tc>
          <w:tcPr>
            <w:tcW w:w="1417" w:type="dxa"/>
            <w:vMerge/>
            <w:tcBorders>
              <w:left w:val="single" w:sz="6" w:space="0" w:color="auto"/>
              <w:right w:val="single" w:sz="6" w:space="0" w:color="auto"/>
            </w:tcBorders>
          </w:tcPr>
          <w:p w14:paraId="63686C14" w14:textId="77777777" w:rsidR="009E3903" w:rsidRDefault="009E3903" w:rsidP="009E3903">
            <w:pPr>
              <w:pStyle w:val="TAL"/>
            </w:pPr>
          </w:p>
        </w:tc>
        <w:tc>
          <w:tcPr>
            <w:tcW w:w="1533" w:type="dxa"/>
            <w:vMerge/>
            <w:tcBorders>
              <w:left w:val="single" w:sz="6" w:space="0" w:color="auto"/>
              <w:right w:val="single" w:sz="6" w:space="0" w:color="auto"/>
            </w:tcBorders>
          </w:tcPr>
          <w:p w14:paraId="380734CD" w14:textId="77777777" w:rsidR="009E3903" w:rsidRDefault="009E3903" w:rsidP="009E3903">
            <w:pPr>
              <w:pStyle w:val="TAN"/>
              <w:rPr>
                <w:rFonts w:cs="Arial"/>
                <w:szCs w:val="18"/>
              </w:rPr>
            </w:pPr>
          </w:p>
        </w:tc>
      </w:tr>
      <w:tr w:rsidR="009E3903" w14:paraId="5F038993" w14:textId="77777777" w:rsidTr="009E7F73">
        <w:trPr>
          <w:trHeight w:val="489"/>
        </w:trPr>
        <w:tc>
          <w:tcPr>
            <w:tcW w:w="2684" w:type="dxa"/>
            <w:vMerge/>
            <w:tcBorders>
              <w:left w:val="single" w:sz="6" w:space="0" w:color="auto"/>
              <w:right w:val="single" w:sz="6" w:space="0" w:color="auto"/>
            </w:tcBorders>
          </w:tcPr>
          <w:p w14:paraId="096EF819" w14:textId="77777777" w:rsidR="009E3903" w:rsidRDefault="009E3903" w:rsidP="009E3903">
            <w:pPr>
              <w:keepNext/>
              <w:keepLines/>
              <w:spacing w:after="0"/>
              <w:ind w:left="851" w:hanging="851"/>
              <w:rPr>
                <w:rFonts w:ascii="Arial" w:hAnsi="Arial"/>
                <w:sz w:val="18"/>
              </w:rPr>
            </w:pPr>
          </w:p>
        </w:tc>
        <w:tc>
          <w:tcPr>
            <w:tcW w:w="2007" w:type="dxa"/>
            <w:vMerge/>
            <w:tcBorders>
              <w:left w:val="single" w:sz="6" w:space="0" w:color="auto"/>
              <w:right w:val="single" w:sz="6" w:space="0" w:color="auto"/>
            </w:tcBorders>
          </w:tcPr>
          <w:p w14:paraId="013086E4" w14:textId="77777777" w:rsidR="009E3903" w:rsidRDefault="009E3903" w:rsidP="009E3903">
            <w:pPr>
              <w:pStyle w:val="TAL"/>
              <w:rPr>
                <w:lang w:eastAsia="zh-CN"/>
              </w:rPr>
            </w:pPr>
          </w:p>
        </w:tc>
        <w:tc>
          <w:tcPr>
            <w:tcW w:w="1964" w:type="dxa"/>
            <w:gridSpan w:val="2"/>
            <w:tcBorders>
              <w:top w:val="single" w:sz="6" w:space="0" w:color="auto"/>
              <w:left w:val="single" w:sz="6" w:space="0" w:color="auto"/>
              <w:bottom w:val="single" w:sz="6" w:space="0" w:color="auto"/>
              <w:right w:val="single" w:sz="6" w:space="0" w:color="auto"/>
            </w:tcBorders>
          </w:tcPr>
          <w:p w14:paraId="3DB387F5" w14:textId="061EA0C4" w:rsidR="009E3903" w:rsidRDefault="009E3903" w:rsidP="009E3903">
            <w:pPr>
              <w:pStyle w:val="TAN"/>
              <w:rPr>
                <w:rFonts w:eastAsia="等线"/>
              </w:rPr>
            </w:pPr>
            <w:r>
              <w:t>Notify</w:t>
            </w:r>
          </w:p>
        </w:tc>
        <w:tc>
          <w:tcPr>
            <w:tcW w:w="1417" w:type="dxa"/>
            <w:vMerge/>
            <w:tcBorders>
              <w:left w:val="single" w:sz="6" w:space="0" w:color="auto"/>
              <w:right w:val="single" w:sz="6" w:space="0" w:color="auto"/>
            </w:tcBorders>
          </w:tcPr>
          <w:p w14:paraId="2B73A583" w14:textId="77777777" w:rsidR="009E3903" w:rsidRDefault="009E3903" w:rsidP="009E3903">
            <w:pPr>
              <w:pStyle w:val="TAL"/>
            </w:pPr>
          </w:p>
        </w:tc>
        <w:tc>
          <w:tcPr>
            <w:tcW w:w="1533" w:type="dxa"/>
            <w:vMerge/>
            <w:tcBorders>
              <w:left w:val="single" w:sz="6" w:space="0" w:color="auto"/>
              <w:right w:val="single" w:sz="6" w:space="0" w:color="auto"/>
            </w:tcBorders>
          </w:tcPr>
          <w:p w14:paraId="0EA159ED" w14:textId="77777777" w:rsidR="009E3903" w:rsidRDefault="009E3903" w:rsidP="009E3903">
            <w:pPr>
              <w:pStyle w:val="TAN"/>
              <w:rPr>
                <w:rFonts w:cs="Arial"/>
                <w:szCs w:val="18"/>
              </w:rPr>
            </w:pPr>
          </w:p>
        </w:tc>
      </w:tr>
      <w:tr w:rsidR="00AD5F95" w14:paraId="6DEECFB8" w14:textId="77777777" w:rsidTr="009E7F73">
        <w:tc>
          <w:tcPr>
            <w:tcW w:w="9605" w:type="dxa"/>
            <w:gridSpan w:val="6"/>
            <w:tcBorders>
              <w:top w:val="single" w:sz="6" w:space="0" w:color="auto"/>
              <w:left w:val="single" w:sz="6" w:space="0" w:color="auto"/>
              <w:bottom w:val="single" w:sz="6" w:space="0" w:color="auto"/>
              <w:right w:val="single" w:sz="6" w:space="0" w:color="auto"/>
            </w:tcBorders>
          </w:tcPr>
          <w:p w14:paraId="2873F0FA" w14:textId="77777777" w:rsidR="00AD5F95" w:rsidRDefault="00AD5F95" w:rsidP="009E7F73">
            <w:pPr>
              <w:pStyle w:val="TAN"/>
              <w:rPr>
                <w:rFonts w:eastAsia="MS Mincho"/>
              </w:rPr>
            </w:pPr>
            <w:r>
              <w:lastRenderedPageBreak/>
              <w:t>NOTE 1:</w:t>
            </w:r>
            <w:r>
              <w:tab/>
              <w:t>This service corresponds to the Nnwdaf_AnalyticsSubscription service defined in 3GPP TS 23.288 [17].</w:t>
            </w:r>
          </w:p>
          <w:p w14:paraId="02F07BF1" w14:textId="77777777" w:rsidR="00AD5F95" w:rsidRDefault="00AD5F95" w:rsidP="009E7F73">
            <w:pPr>
              <w:pStyle w:val="TAN"/>
            </w:pPr>
            <w:r>
              <w:t>NOTE</w:t>
            </w:r>
            <w:r>
              <w:rPr>
                <w:rFonts w:eastAsia="等线"/>
              </w:rPr>
              <w:t> 2</w:t>
            </w:r>
            <w:r>
              <w:t>:</w:t>
            </w:r>
            <w:r>
              <w:tab/>
              <w:t>This service implements also the Nnwdaf_MLModelInfo service as specified in 3GPP TS 23.288 [17] by using immediate and one-time reporting requirement.</w:t>
            </w:r>
          </w:p>
          <w:p w14:paraId="5ECF8D36" w14:textId="77777777" w:rsidR="00AD5F95" w:rsidRDefault="00AD5F95" w:rsidP="009E7F73">
            <w:pPr>
              <w:keepNext/>
              <w:keepLines/>
              <w:spacing w:after="0"/>
              <w:ind w:left="851" w:hanging="851"/>
              <w:rPr>
                <w:rFonts w:ascii="Arial" w:hAnsi="Arial"/>
                <w:sz w:val="18"/>
              </w:rPr>
            </w:pPr>
            <w:r>
              <w:rPr>
                <w:rFonts w:ascii="Arial" w:hAnsi="Arial"/>
                <w:sz w:val="18"/>
              </w:rPr>
              <w:t>NOTE</w:t>
            </w:r>
            <w:r>
              <w:rPr>
                <w:rFonts w:ascii="Arial" w:eastAsia="等线" w:hAnsi="Arial"/>
                <w:sz w:val="18"/>
              </w:rPr>
              <w:t> 3</w:t>
            </w:r>
            <w:r>
              <w:rPr>
                <w:rFonts w:ascii="Arial" w:hAnsi="Arial"/>
                <w:sz w:val="18"/>
              </w:rPr>
              <w:t>:</w:t>
            </w:r>
            <w:r>
              <w:rPr>
                <w:rFonts w:ascii="Arial" w:hAnsi="Arial"/>
                <w:sz w:val="18"/>
              </w:rPr>
              <w:tab/>
              <w:t>This service implements also the Nnwdaf_MLModelTrainingInfo service as specified in 3GPP TS 23.288 [17] by using immediate and one-time reporting requirement.</w:t>
            </w:r>
          </w:p>
          <w:p w14:paraId="5B694774" w14:textId="77777777" w:rsidR="00AD5F95" w:rsidRDefault="00AD5F95" w:rsidP="009E7F73">
            <w:pPr>
              <w:pStyle w:val="TAN"/>
            </w:pPr>
            <w:r>
              <w:t>NOTE</w:t>
            </w:r>
            <w:r>
              <w:rPr>
                <w:rFonts w:eastAsia="等线"/>
              </w:rPr>
              <w:t> 4</w:t>
            </w:r>
            <w:r>
              <w:t>:</w:t>
            </w:r>
            <w:r>
              <w:tab/>
              <w:t>The Nnwdaf_RoamingAnalytics_Subscribe service operation implements also the Nnwdaf_RoamingAnalytics_Request service operation specified in 3GPP TS 23.288 [17] by using immediate and one-time reporting requirement.</w:t>
            </w:r>
          </w:p>
          <w:p w14:paraId="326AD63F" w14:textId="77777777" w:rsidR="005B1DF6" w:rsidRDefault="005B1DF6" w:rsidP="009E7F73">
            <w:pPr>
              <w:pStyle w:val="TAN"/>
            </w:pPr>
            <w:r w:rsidRPr="009B274E">
              <w:t>NOTE </w:t>
            </w:r>
            <w:r>
              <w:t>5</w:t>
            </w:r>
            <w:r w:rsidRPr="009B274E">
              <w:t>:</w:t>
            </w:r>
            <w:r w:rsidRPr="009B274E">
              <w:tab/>
              <w:t>The Nnwdaf_</w:t>
            </w:r>
            <w:r>
              <w:t>VFLTraining</w:t>
            </w:r>
            <w:r w:rsidRPr="009B274E">
              <w:t>_Subscribe service operation implements also the Nnwdaf_</w:t>
            </w:r>
            <w:r>
              <w:t>VFLTraining</w:t>
            </w:r>
            <w:r w:rsidRPr="009B274E">
              <w:t>_Request service operation specified in 3GPP TS 23.288 [17] by using immediate and one-time reporting requirement.</w:t>
            </w:r>
          </w:p>
          <w:p w14:paraId="70E72121" w14:textId="56309161" w:rsidR="009E3903" w:rsidRDefault="009E3903" w:rsidP="009E7F73">
            <w:pPr>
              <w:pStyle w:val="TAN"/>
            </w:pPr>
            <w:r w:rsidRPr="0054308A">
              <w:rPr>
                <w:rFonts w:cs="Arial"/>
                <w:szCs w:val="18"/>
              </w:rPr>
              <w:t>NOTE </w:t>
            </w:r>
            <w:r>
              <w:rPr>
                <w:rFonts w:cs="Arial"/>
                <w:szCs w:val="18"/>
              </w:rPr>
              <w:t>6</w:t>
            </w:r>
            <w:r w:rsidRPr="0054308A">
              <w:rPr>
                <w:rFonts w:cs="Arial"/>
                <w:szCs w:val="18"/>
              </w:rPr>
              <w:t>:</w:t>
            </w:r>
            <w:r w:rsidRPr="0054308A">
              <w:rPr>
                <w:rFonts w:cs="Arial"/>
                <w:szCs w:val="18"/>
              </w:rPr>
              <w:tab/>
              <w:t>The Nnwdaf_</w:t>
            </w:r>
            <w:r>
              <w:rPr>
                <w:rFonts w:cs="Arial"/>
                <w:szCs w:val="18"/>
              </w:rPr>
              <w:t>VFLInference</w:t>
            </w:r>
            <w:r w:rsidRPr="0054308A">
              <w:rPr>
                <w:rFonts w:cs="Arial"/>
                <w:szCs w:val="18"/>
              </w:rPr>
              <w:t>_Subscribe service operation implements also the Nnwdaf_</w:t>
            </w:r>
            <w:r>
              <w:rPr>
                <w:rFonts w:cs="Arial"/>
                <w:szCs w:val="18"/>
              </w:rPr>
              <w:t>VFLInference</w:t>
            </w:r>
            <w:r w:rsidRPr="0054308A">
              <w:rPr>
                <w:rFonts w:cs="Arial"/>
                <w:szCs w:val="18"/>
              </w:rPr>
              <w:t>_Request service operation specified in 3GPP TS 23.288 [17] by using immediate and one-time reporting requirement.</w:t>
            </w:r>
          </w:p>
        </w:tc>
      </w:tr>
    </w:tbl>
    <w:p w14:paraId="7DA3B2DC" w14:textId="77777777" w:rsidR="00AD5F95" w:rsidRDefault="00AD5F95" w:rsidP="00AD5F95"/>
    <w:p w14:paraId="0C11AD38" w14:textId="77777777" w:rsidR="00A10B25" w:rsidRDefault="00A10B25">
      <w:r>
        <w:t>Table </w:t>
      </w:r>
      <w:r>
        <w:rPr>
          <w:rFonts w:eastAsia="MS Mincho"/>
        </w:rPr>
        <w:t>4.1</w:t>
      </w:r>
      <w:r>
        <w:rPr>
          <w:lang w:val="en-US" w:eastAsia="zh-CN"/>
        </w:rPr>
        <w:t>-2</w:t>
      </w:r>
      <w:r>
        <w:t xml:space="preserve"> summarizes the corresponding APIs defined in this specification. </w:t>
      </w:r>
    </w:p>
    <w:p w14:paraId="1D2EE43C" w14:textId="77777777" w:rsidR="00A10B25" w:rsidRDefault="00A10B25">
      <w:pPr>
        <w:pStyle w:val="TH"/>
      </w:pPr>
      <w:r>
        <w:t>Table 4.1</w:t>
      </w:r>
      <w:r>
        <w:rPr>
          <w:lang w:val="en-US" w:eastAsia="zh-CN"/>
        </w:rPr>
        <w:t>-2</w:t>
      </w:r>
      <w:r>
        <w:t>: API Descriptions</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22"/>
        <w:gridCol w:w="834"/>
        <w:gridCol w:w="1717"/>
        <w:gridCol w:w="2268"/>
        <w:gridCol w:w="1843"/>
        <w:gridCol w:w="845"/>
      </w:tblGrid>
      <w:tr w:rsidR="00A10B25" w14:paraId="03D1418E" w14:textId="77777777">
        <w:trPr>
          <w:jc w:val="center"/>
        </w:trPr>
        <w:tc>
          <w:tcPr>
            <w:tcW w:w="2122" w:type="dxa"/>
            <w:shd w:val="clear" w:color="000000" w:fill="C0C0C0"/>
          </w:tcPr>
          <w:p w14:paraId="2AF68FB0" w14:textId="77777777" w:rsidR="00A10B25" w:rsidRDefault="00A10B25">
            <w:pPr>
              <w:pStyle w:val="TAH"/>
              <w:rPr>
                <w:rFonts w:cs="Arial"/>
                <w:szCs w:val="22"/>
              </w:rPr>
            </w:pPr>
            <w:r>
              <w:rPr>
                <w:rFonts w:cs="Arial"/>
                <w:szCs w:val="22"/>
              </w:rPr>
              <w:t>Service Name</w:t>
            </w:r>
          </w:p>
        </w:tc>
        <w:tc>
          <w:tcPr>
            <w:tcW w:w="834" w:type="dxa"/>
            <w:shd w:val="clear" w:color="000000" w:fill="C0C0C0"/>
          </w:tcPr>
          <w:p w14:paraId="4FF32E20" w14:textId="77777777" w:rsidR="00A10B25" w:rsidRDefault="00A10B25">
            <w:pPr>
              <w:pStyle w:val="TAH"/>
              <w:rPr>
                <w:rFonts w:cs="Arial"/>
                <w:szCs w:val="22"/>
              </w:rPr>
            </w:pPr>
            <w:r>
              <w:rPr>
                <w:rFonts w:cs="Arial"/>
                <w:szCs w:val="22"/>
              </w:rPr>
              <w:t>Clause</w:t>
            </w:r>
          </w:p>
        </w:tc>
        <w:tc>
          <w:tcPr>
            <w:tcW w:w="1717" w:type="dxa"/>
            <w:shd w:val="clear" w:color="000000" w:fill="C0C0C0"/>
          </w:tcPr>
          <w:p w14:paraId="3F3D5DA3" w14:textId="77777777" w:rsidR="00A10B25" w:rsidRDefault="00A10B25">
            <w:pPr>
              <w:pStyle w:val="TAH"/>
              <w:rPr>
                <w:rFonts w:cs="Arial"/>
                <w:szCs w:val="22"/>
              </w:rPr>
            </w:pPr>
            <w:r>
              <w:rPr>
                <w:rFonts w:cs="Arial"/>
                <w:szCs w:val="22"/>
              </w:rPr>
              <w:t>Description</w:t>
            </w:r>
          </w:p>
        </w:tc>
        <w:tc>
          <w:tcPr>
            <w:tcW w:w="2268" w:type="dxa"/>
            <w:shd w:val="clear" w:color="000000" w:fill="C0C0C0"/>
          </w:tcPr>
          <w:p w14:paraId="303E1227" w14:textId="77777777" w:rsidR="00A10B25" w:rsidRDefault="00A10B25">
            <w:pPr>
              <w:pStyle w:val="TAH"/>
              <w:rPr>
                <w:rFonts w:cs="Arial"/>
                <w:szCs w:val="22"/>
              </w:rPr>
            </w:pPr>
            <w:r>
              <w:rPr>
                <w:rFonts w:cs="Arial"/>
                <w:szCs w:val="22"/>
              </w:rPr>
              <w:t>OpenAPI Specification File</w:t>
            </w:r>
          </w:p>
        </w:tc>
        <w:tc>
          <w:tcPr>
            <w:tcW w:w="1843" w:type="dxa"/>
            <w:shd w:val="clear" w:color="000000" w:fill="C0C0C0"/>
          </w:tcPr>
          <w:p w14:paraId="584B3723" w14:textId="77777777" w:rsidR="00A10B25" w:rsidRDefault="00A10B25">
            <w:pPr>
              <w:pStyle w:val="TAH"/>
              <w:rPr>
                <w:rFonts w:cs="Arial"/>
                <w:szCs w:val="22"/>
              </w:rPr>
            </w:pPr>
            <w:r>
              <w:rPr>
                <w:rFonts w:cs="Arial"/>
                <w:szCs w:val="22"/>
              </w:rPr>
              <w:t>apiName</w:t>
            </w:r>
          </w:p>
        </w:tc>
        <w:tc>
          <w:tcPr>
            <w:tcW w:w="845" w:type="dxa"/>
            <w:shd w:val="clear" w:color="000000" w:fill="C0C0C0"/>
          </w:tcPr>
          <w:p w14:paraId="588F12CE" w14:textId="77777777" w:rsidR="00A10B25" w:rsidRDefault="00A10B25">
            <w:pPr>
              <w:pStyle w:val="TAH"/>
              <w:rPr>
                <w:rFonts w:cs="Arial"/>
                <w:szCs w:val="22"/>
              </w:rPr>
            </w:pPr>
            <w:r>
              <w:rPr>
                <w:rFonts w:cs="Arial"/>
                <w:szCs w:val="22"/>
              </w:rPr>
              <w:t>Annex</w:t>
            </w:r>
          </w:p>
        </w:tc>
      </w:tr>
      <w:tr w:rsidR="00A10B25" w14:paraId="668F36F4" w14:textId="77777777">
        <w:trPr>
          <w:jc w:val="center"/>
        </w:trPr>
        <w:tc>
          <w:tcPr>
            <w:tcW w:w="2122" w:type="dxa"/>
          </w:tcPr>
          <w:p w14:paraId="0DCC9A76" w14:textId="77777777" w:rsidR="00A10B25" w:rsidRDefault="00A10B25">
            <w:pPr>
              <w:pStyle w:val="TAL"/>
              <w:rPr>
                <w:rFonts w:cs="Arial"/>
                <w:szCs w:val="22"/>
                <w:lang w:val="en-US" w:eastAsia="zh-CN"/>
              </w:rPr>
            </w:pPr>
            <w:r>
              <w:rPr>
                <w:rFonts w:cs="Arial"/>
                <w:szCs w:val="22"/>
              </w:rPr>
              <w:t>Nnwdaf_EventsSubscription</w:t>
            </w:r>
          </w:p>
        </w:tc>
        <w:tc>
          <w:tcPr>
            <w:tcW w:w="834" w:type="dxa"/>
          </w:tcPr>
          <w:p w14:paraId="7D4E6B58" w14:textId="77777777" w:rsidR="00A10B25" w:rsidRDefault="00A10B25">
            <w:pPr>
              <w:pStyle w:val="TAL"/>
              <w:rPr>
                <w:rFonts w:cs="Arial"/>
                <w:szCs w:val="22"/>
                <w:lang w:val="en-US" w:eastAsia="zh-CN"/>
              </w:rPr>
            </w:pPr>
            <w:r>
              <w:rPr>
                <w:rFonts w:cs="Arial"/>
                <w:szCs w:val="22"/>
                <w:lang w:val="en-US" w:eastAsia="zh-CN"/>
              </w:rPr>
              <w:t>5.1</w:t>
            </w:r>
          </w:p>
        </w:tc>
        <w:tc>
          <w:tcPr>
            <w:tcW w:w="1717" w:type="dxa"/>
          </w:tcPr>
          <w:p w14:paraId="4478FDF0" w14:textId="77777777" w:rsidR="00A10B25" w:rsidRDefault="00A10B25">
            <w:pPr>
              <w:pStyle w:val="TAL"/>
              <w:rPr>
                <w:rFonts w:cs="Arial"/>
                <w:szCs w:val="22"/>
                <w:lang w:val="en-US" w:eastAsia="zh-CN"/>
              </w:rPr>
            </w:pPr>
            <w:r>
              <w:rPr>
                <w:rFonts w:cs="Arial"/>
                <w:szCs w:val="22"/>
              </w:rPr>
              <w:t>Nnwdaf Events Subscription Service.</w:t>
            </w:r>
          </w:p>
        </w:tc>
        <w:tc>
          <w:tcPr>
            <w:tcW w:w="2268" w:type="dxa"/>
          </w:tcPr>
          <w:p w14:paraId="70B2BA79" w14:textId="77777777" w:rsidR="00A10B25" w:rsidRDefault="00A10B25">
            <w:pPr>
              <w:pStyle w:val="TAL"/>
              <w:rPr>
                <w:rFonts w:cs="Arial"/>
                <w:szCs w:val="22"/>
                <w:lang w:val="en-US" w:eastAsia="zh-CN"/>
              </w:rPr>
            </w:pPr>
            <w:r>
              <w:rPr>
                <w:rFonts w:cs="Arial"/>
                <w:szCs w:val="22"/>
                <w:lang w:val="en-US" w:eastAsia="zh-CN"/>
              </w:rPr>
              <w:t>TS29520_Nnwdaf_EventsSubscription.yaml</w:t>
            </w:r>
          </w:p>
        </w:tc>
        <w:tc>
          <w:tcPr>
            <w:tcW w:w="1843" w:type="dxa"/>
          </w:tcPr>
          <w:p w14:paraId="13A8AF71" w14:textId="77777777" w:rsidR="00A10B25" w:rsidRDefault="00A10B25">
            <w:pPr>
              <w:pStyle w:val="TAL"/>
              <w:rPr>
                <w:rFonts w:cs="Arial"/>
                <w:szCs w:val="22"/>
                <w:lang w:val="en-US" w:eastAsia="zh-CN"/>
              </w:rPr>
            </w:pPr>
            <w:r>
              <w:rPr>
                <w:rFonts w:cs="Arial"/>
                <w:szCs w:val="22"/>
              </w:rPr>
              <w:t>nnwdaf-eventssubscription</w:t>
            </w:r>
          </w:p>
        </w:tc>
        <w:tc>
          <w:tcPr>
            <w:tcW w:w="845" w:type="dxa"/>
          </w:tcPr>
          <w:p w14:paraId="495F42B7" w14:textId="77777777" w:rsidR="00A10B25" w:rsidRDefault="00A10B25">
            <w:pPr>
              <w:pStyle w:val="TAL"/>
              <w:rPr>
                <w:rFonts w:cs="Arial"/>
                <w:szCs w:val="22"/>
                <w:lang w:val="en-US" w:eastAsia="zh-CN"/>
              </w:rPr>
            </w:pPr>
            <w:r>
              <w:rPr>
                <w:rFonts w:cs="Arial"/>
                <w:szCs w:val="22"/>
                <w:lang w:val="en-US" w:eastAsia="zh-CN"/>
              </w:rPr>
              <w:t>A.2</w:t>
            </w:r>
          </w:p>
        </w:tc>
      </w:tr>
      <w:tr w:rsidR="00A10B25" w14:paraId="1E9B8EE5" w14:textId="77777777">
        <w:trPr>
          <w:jc w:val="center"/>
        </w:trPr>
        <w:tc>
          <w:tcPr>
            <w:tcW w:w="2122" w:type="dxa"/>
          </w:tcPr>
          <w:p w14:paraId="1F3C0BA1" w14:textId="77777777" w:rsidR="00A10B25" w:rsidRDefault="00A10B25">
            <w:pPr>
              <w:pStyle w:val="TAL"/>
              <w:rPr>
                <w:rFonts w:cs="Arial"/>
                <w:szCs w:val="22"/>
              </w:rPr>
            </w:pPr>
            <w:r>
              <w:rPr>
                <w:rFonts w:cs="Arial"/>
                <w:szCs w:val="22"/>
              </w:rPr>
              <w:t>Nnwdaf_AnalyticsInfo</w:t>
            </w:r>
          </w:p>
        </w:tc>
        <w:tc>
          <w:tcPr>
            <w:tcW w:w="834" w:type="dxa"/>
          </w:tcPr>
          <w:p w14:paraId="5D96E2EC" w14:textId="77777777" w:rsidR="00A10B25" w:rsidRDefault="00A10B25">
            <w:pPr>
              <w:pStyle w:val="TAL"/>
              <w:rPr>
                <w:rFonts w:cs="Arial"/>
                <w:szCs w:val="22"/>
                <w:lang w:val="en-US" w:eastAsia="zh-CN"/>
              </w:rPr>
            </w:pPr>
            <w:r>
              <w:rPr>
                <w:rFonts w:cs="Arial"/>
                <w:szCs w:val="22"/>
                <w:lang w:val="en-US" w:eastAsia="zh-CN"/>
              </w:rPr>
              <w:t>5.2</w:t>
            </w:r>
          </w:p>
        </w:tc>
        <w:tc>
          <w:tcPr>
            <w:tcW w:w="1717" w:type="dxa"/>
          </w:tcPr>
          <w:p w14:paraId="008C63DC" w14:textId="77777777" w:rsidR="00A10B25" w:rsidRDefault="00A10B25">
            <w:pPr>
              <w:pStyle w:val="TAL"/>
              <w:rPr>
                <w:rFonts w:cs="Arial"/>
                <w:szCs w:val="22"/>
              </w:rPr>
            </w:pPr>
            <w:r>
              <w:rPr>
                <w:rFonts w:cs="Arial"/>
                <w:szCs w:val="22"/>
              </w:rPr>
              <w:t>Nnwdaf Analytics Information Service</w:t>
            </w:r>
          </w:p>
        </w:tc>
        <w:tc>
          <w:tcPr>
            <w:tcW w:w="2268" w:type="dxa"/>
          </w:tcPr>
          <w:p w14:paraId="24DFA685" w14:textId="77777777" w:rsidR="00A10B25" w:rsidRDefault="00A10B25">
            <w:pPr>
              <w:pStyle w:val="TAL"/>
              <w:rPr>
                <w:rFonts w:cs="Arial"/>
                <w:szCs w:val="22"/>
                <w:lang w:val="en-US" w:eastAsia="zh-CN"/>
              </w:rPr>
            </w:pPr>
            <w:r>
              <w:rPr>
                <w:rFonts w:cs="Arial"/>
                <w:szCs w:val="22"/>
                <w:lang w:val="en-US" w:eastAsia="zh-CN"/>
              </w:rPr>
              <w:t>TS29520_Nnwdaf_AnalyticsInfo.yaml</w:t>
            </w:r>
          </w:p>
        </w:tc>
        <w:tc>
          <w:tcPr>
            <w:tcW w:w="1843" w:type="dxa"/>
          </w:tcPr>
          <w:p w14:paraId="33040D9E" w14:textId="77777777" w:rsidR="00A10B25" w:rsidRDefault="00A10B25">
            <w:pPr>
              <w:pStyle w:val="TAL"/>
              <w:rPr>
                <w:rFonts w:cs="Arial"/>
                <w:szCs w:val="22"/>
              </w:rPr>
            </w:pPr>
            <w:r>
              <w:rPr>
                <w:rFonts w:cs="Arial"/>
                <w:szCs w:val="22"/>
              </w:rPr>
              <w:t>nnwdaf-analyticsinfo</w:t>
            </w:r>
          </w:p>
        </w:tc>
        <w:tc>
          <w:tcPr>
            <w:tcW w:w="845" w:type="dxa"/>
          </w:tcPr>
          <w:p w14:paraId="3D8B2873" w14:textId="77777777" w:rsidR="00A10B25" w:rsidRDefault="00A10B25">
            <w:pPr>
              <w:pStyle w:val="TAL"/>
              <w:rPr>
                <w:rFonts w:cs="Arial"/>
                <w:szCs w:val="22"/>
                <w:lang w:val="en-US" w:eastAsia="zh-CN"/>
              </w:rPr>
            </w:pPr>
            <w:r>
              <w:rPr>
                <w:rFonts w:cs="Arial"/>
                <w:szCs w:val="22"/>
                <w:lang w:val="en-US" w:eastAsia="zh-CN"/>
              </w:rPr>
              <w:t>A.3</w:t>
            </w:r>
          </w:p>
        </w:tc>
      </w:tr>
      <w:tr w:rsidR="00A10B25" w14:paraId="5F5A020D" w14:textId="77777777">
        <w:trPr>
          <w:jc w:val="center"/>
        </w:trPr>
        <w:tc>
          <w:tcPr>
            <w:tcW w:w="2122" w:type="dxa"/>
          </w:tcPr>
          <w:p w14:paraId="50C5B185" w14:textId="77777777" w:rsidR="00A10B25" w:rsidRDefault="00A10B25">
            <w:pPr>
              <w:pStyle w:val="TAL"/>
              <w:rPr>
                <w:rFonts w:cs="Arial"/>
                <w:szCs w:val="22"/>
              </w:rPr>
            </w:pPr>
            <w:r>
              <w:rPr>
                <w:rFonts w:hint="eastAsia"/>
                <w:lang w:eastAsia="zh-CN"/>
              </w:rPr>
              <w:t>N</w:t>
            </w:r>
            <w:r>
              <w:rPr>
                <w:lang w:eastAsia="zh-CN"/>
              </w:rPr>
              <w:t>nwdaf_</w:t>
            </w:r>
            <w:r>
              <w:rPr>
                <w:lang w:eastAsia="ja-JP"/>
              </w:rPr>
              <w:t>DataManagement</w:t>
            </w:r>
          </w:p>
        </w:tc>
        <w:tc>
          <w:tcPr>
            <w:tcW w:w="834" w:type="dxa"/>
          </w:tcPr>
          <w:p w14:paraId="4B381C59" w14:textId="77777777" w:rsidR="00A10B25" w:rsidRDefault="00A10B25">
            <w:pPr>
              <w:pStyle w:val="TAL"/>
              <w:rPr>
                <w:rFonts w:cs="Arial"/>
                <w:szCs w:val="22"/>
                <w:lang w:val="en-US" w:eastAsia="zh-CN"/>
              </w:rPr>
            </w:pPr>
            <w:r>
              <w:rPr>
                <w:rFonts w:cs="Arial" w:hint="eastAsia"/>
                <w:szCs w:val="22"/>
                <w:lang w:val="en-US" w:eastAsia="zh-CN"/>
              </w:rPr>
              <w:t>5</w:t>
            </w:r>
            <w:r>
              <w:rPr>
                <w:rFonts w:cs="Arial"/>
                <w:szCs w:val="22"/>
                <w:lang w:val="en-US" w:eastAsia="zh-CN"/>
              </w:rPr>
              <w:t>.3</w:t>
            </w:r>
          </w:p>
        </w:tc>
        <w:tc>
          <w:tcPr>
            <w:tcW w:w="1717" w:type="dxa"/>
          </w:tcPr>
          <w:p w14:paraId="42A464CA" w14:textId="77777777" w:rsidR="00A10B25" w:rsidRDefault="00A10B25">
            <w:pPr>
              <w:pStyle w:val="TAL"/>
              <w:rPr>
                <w:rFonts w:cs="Arial"/>
                <w:szCs w:val="22"/>
              </w:rPr>
            </w:pPr>
            <w:r>
              <w:rPr>
                <w:rFonts w:cs="Arial" w:hint="eastAsia"/>
                <w:szCs w:val="22"/>
                <w:lang w:eastAsia="zh-CN"/>
              </w:rPr>
              <w:t>N</w:t>
            </w:r>
            <w:r>
              <w:rPr>
                <w:rFonts w:cs="Arial"/>
                <w:szCs w:val="22"/>
                <w:lang w:eastAsia="zh-CN"/>
              </w:rPr>
              <w:t>WDAF Data Management Service</w:t>
            </w:r>
          </w:p>
        </w:tc>
        <w:tc>
          <w:tcPr>
            <w:tcW w:w="2268" w:type="dxa"/>
          </w:tcPr>
          <w:p w14:paraId="37BB66C9" w14:textId="77777777" w:rsidR="00A10B25" w:rsidRDefault="00A10B25">
            <w:pPr>
              <w:pStyle w:val="TAL"/>
              <w:rPr>
                <w:rFonts w:cs="Arial"/>
                <w:szCs w:val="22"/>
                <w:lang w:val="en-US" w:eastAsia="zh-CN"/>
              </w:rPr>
            </w:pPr>
            <w:r>
              <w:rPr>
                <w:rFonts w:cs="Arial"/>
                <w:szCs w:val="22"/>
                <w:lang w:val="en-US" w:eastAsia="zh-CN"/>
              </w:rPr>
              <w:t>TS29520_Nnwdaf_DataManagement.yaml</w:t>
            </w:r>
          </w:p>
        </w:tc>
        <w:tc>
          <w:tcPr>
            <w:tcW w:w="1843" w:type="dxa"/>
          </w:tcPr>
          <w:p w14:paraId="2B62F8D9" w14:textId="77777777" w:rsidR="00A10B25" w:rsidRDefault="00A10B25">
            <w:pPr>
              <w:pStyle w:val="TAL"/>
              <w:rPr>
                <w:rFonts w:cs="Arial"/>
                <w:szCs w:val="22"/>
              </w:rPr>
            </w:pPr>
            <w:r>
              <w:t>nnwdaf-datamanagement</w:t>
            </w:r>
          </w:p>
        </w:tc>
        <w:tc>
          <w:tcPr>
            <w:tcW w:w="845" w:type="dxa"/>
          </w:tcPr>
          <w:p w14:paraId="0EF16FC8" w14:textId="77777777" w:rsidR="00A10B25" w:rsidRDefault="00A10B25">
            <w:pPr>
              <w:pStyle w:val="TAL"/>
              <w:rPr>
                <w:rFonts w:cs="Arial"/>
                <w:szCs w:val="22"/>
                <w:lang w:val="en-US" w:eastAsia="zh-CN"/>
              </w:rPr>
            </w:pPr>
            <w:r>
              <w:rPr>
                <w:rFonts w:cs="Arial" w:hint="eastAsia"/>
                <w:szCs w:val="22"/>
                <w:lang w:val="en-US" w:eastAsia="zh-CN"/>
              </w:rPr>
              <w:t>A</w:t>
            </w:r>
            <w:r>
              <w:rPr>
                <w:rFonts w:cs="Arial"/>
                <w:szCs w:val="22"/>
                <w:lang w:val="en-US" w:eastAsia="zh-CN"/>
              </w:rPr>
              <w:t>.4</w:t>
            </w:r>
          </w:p>
        </w:tc>
      </w:tr>
      <w:tr w:rsidR="00A10B25" w14:paraId="67BD4166" w14:textId="77777777">
        <w:trPr>
          <w:jc w:val="center"/>
        </w:trPr>
        <w:tc>
          <w:tcPr>
            <w:tcW w:w="2122" w:type="dxa"/>
          </w:tcPr>
          <w:p w14:paraId="1B0DA7FB" w14:textId="77777777" w:rsidR="00A10B25" w:rsidRDefault="00A10B25">
            <w:pPr>
              <w:pStyle w:val="TAL"/>
              <w:rPr>
                <w:rFonts w:hint="eastAsia"/>
                <w:lang w:eastAsia="zh-CN"/>
              </w:rPr>
            </w:pPr>
            <w:r>
              <w:rPr>
                <w:rFonts w:hint="eastAsia"/>
                <w:lang w:eastAsia="zh-CN"/>
              </w:rPr>
              <w:t>N</w:t>
            </w:r>
            <w:r>
              <w:rPr>
                <w:lang w:eastAsia="zh-CN"/>
              </w:rPr>
              <w:t>nwdaf_MLModelProvision</w:t>
            </w:r>
          </w:p>
        </w:tc>
        <w:tc>
          <w:tcPr>
            <w:tcW w:w="834" w:type="dxa"/>
          </w:tcPr>
          <w:p w14:paraId="75F21A4D" w14:textId="77777777" w:rsidR="00A10B25" w:rsidRDefault="00A10B25">
            <w:pPr>
              <w:pStyle w:val="TAL"/>
              <w:rPr>
                <w:rFonts w:cs="Arial" w:hint="eastAsia"/>
                <w:szCs w:val="22"/>
                <w:lang w:val="en-US" w:eastAsia="zh-CN"/>
              </w:rPr>
            </w:pPr>
            <w:r>
              <w:rPr>
                <w:rFonts w:cs="Arial" w:hint="eastAsia"/>
                <w:szCs w:val="22"/>
                <w:lang w:val="en-US" w:eastAsia="zh-CN"/>
              </w:rPr>
              <w:t>5</w:t>
            </w:r>
            <w:r>
              <w:rPr>
                <w:rFonts w:cs="Arial"/>
                <w:szCs w:val="22"/>
                <w:lang w:val="en-US" w:eastAsia="zh-CN"/>
              </w:rPr>
              <w:t>.4</w:t>
            </w:r>
          </w:p>
        </w:tc>
        <w:tc>
          <w:tcPr>
            <w:tcW w:w="1717" w:type="dxa"/>
          </w:tcPr>
          <w:p w14:paraId="63E7FF2C" w14:textId="77777777" w:rsidR="00A10B25" w:rsidRDefault="00A10B25">
            <w:pPr>
              <w:pStyle w:val="TAL"/>
              <w:rPr>
                <w:rFonts w:cs="Arial" w:hint="eastAsia"/>
                <w:szCs w:val="22"/>
                <w:lang w:eastAsia="zh-CN"/>
              </w:rPr>
            </w:pPr>
            <w:r>
              <w:rPr>
                <w:rFonts w:cs="Arial" w:hint="eastAsia"/>
                <w:szCs w:val="22"/>
                <w:lang w:eastAsia="zh-CN"/>
              </w:rPr>
              <w:t>N</w:t>
            </w:r>
            <w:r>
              <w:rPr>
                <w:rFonts w:cs="Arial"/>
                <w:szCs w:val="22"/>
                <w:lang w:eastAsia="zh-CN"/>
              </w:rPr>
              <w:t>WDAF ML Model Provision Service</w:t>
            </w:r>
          </w:p>
        </w:tc>
        <w:tc>
          <w:tcPr>
            <w:tcW w:w="2268" w:type="dxa"/>
          </w:tcPr>
          <w:p w14:paraId="563516EC" w14:textId="77777777" w:rsidR="00A10B25" w:rsidRDefault="00A10B25">
            <w:pPr>
              <w:pStyle w:val="TAL"/>
              <w:rPr>
                <w:rFonts w:cs="Arial"/>
                <w:szCs w:val="22"/>
                <w:lang w:val="en-US" w:eastAsia="zh-CN"/>
              </w:rPr>
            </w:pPr>
            <w:r>
              <w:rPr>
                <w:rFonts w:cs="Arial"/>
                <w:szCs w:val="22"/>
                <w:lang w:val="en-US" w:eastAsia="zh-CN"/>
              </w:rPr>
              <w:t>TS29520_Nnwdaf_MLModelProvision.yaml</w:t>
            </w:r>
          </w:p>
        </w:tc>
        <w:tc>
          <w:tcPr>
            <w:tcW w:w="1843" w:type="dxa"/>
          </w:tcPr>
          <w:p w14:paraId="4DBD30B4" w14:textId="77777777" w:rsidR="00A10B25" w:rsidRDefault="00A10B25">
            <w:pPr>
              <w:pStyle w:val="TAL"/>
            </w:pPr>
            <w:r>
              <w:t>nnwdaf-mlmodelprovision</w:t>
            </w:r>
          </w:p>
        </w:tc>
        <w:tc>
          <w:tcPr>
            <w:tcW w:w="845" w:type="dxa"/>
          </w:tcPr>
          <w:p w14:paraId="6E02427A" w14:textId="77777777" w:rsidR="00A10B25" w:rsidRDefault="00A10B25">
            <w:pPr>
              <w:pStyle w:val="TAL"/>
              <w:rPr>
                <w:rFonts w:cs="Arial" w:hint="eastAsia"/>
                <w:szCs w:val="22"/>
                <w:lang w:val="en-US" w:eastAsia="zh-CN"/>
              </w:rPr>
            </w:pPr>
            <w:r>
              <w:rPr>
                <w:rFonts w:cs="Arial" w:hint="eastAsia"/>
                <w:szCs w:val="22"/>
                <w:lang w:val="en-US" w:eastAsia="zh-CN"/>
              </w:rPr>
              <w:t>A</w:t>
            </w:r>
            <w:r>
              <w:rPr>
                <w:rFonts w:cs="Arial"/>
                <w:szCs w:val="22"/>
                <w:lang w:val="en-US" w:eastAsia="zh-CN"/>
              </w:rPr>
              <w:t>.5</w:t>
            </w:r>
          </w:p>
        </w:tc>
      </w:tr>
      <w:tr w:rsidR="00A10B25" w14:paraId="1712DA8E" w14:textId="77777777">
        <w:trPr>
          <w:jc w:val="center"/>
        </w:trPr>
        <w:tc>
          <w:tcPr>
            <w:tcW w:w="2122" w:type="dxa"/>
          </w:tcPr>
          <w:p w14:paraId="6282C24A" w14:textId="77777777" w:rsidR="00A10B25" w:rsidRDefault="00A10B25">
            <w:pPr>
              <w:pStyle w:val="TAL"/>
              <w:rPr>
                <w:rFonts w:hint="eastAsia"/>
                <w:lang w:eastAsia="zh-CN"/>
              </w:rPr>
            </w:pPr>
            <w:r>
              <w:t>Nnwdaf_MLModelTraining</w:t>
            </w:r>
          </w:p>
        </w:tc>
        <w:tc>
          <w:tcPr>
            <w:tcW w:w="834" w:type="dxa"/>
          </w:tcPr>
          <w:p w14:paraId="4D6481B9" w14:textId="77777777" w:rsidR="00A10B25" w:rsidRDefault="00A10B25">
            <w:pPr>
              <w:pStyle w:val="TAL"/>
              <w:rPr>
                <w:rFonts w:cs="Arial" w:hint="eastAsia"/>
                <w:szCs w:val="22"/>
                <w:lang w:val="en-US" w:eastAsia="zh-CN"/>
              </w:rPr>
            </w:pPr>
            <w:r>
              <w:rPr>
                <w:rFonts w:cs="Arial"/>
                <w:szCs w:val="22"/>
                <w:lang w:eastAsia="zh-CN"/>
              </w:rPr>
              <w:t>5.5</w:t>
            </w:r>
          </w:p>
        </w:tc>
        <w:tc>
          <w:tcPr>
            <w:tcW w:w="1717" w:type="dxa"/>
          </w:tcPr>
          <w:p w14:paraId="23D1852E" w14:textId="77777777" w:rsidR="00A10B25" w:rsidRDefault="00A10B25">
            <w:pPr>
              <w:pStyle w:val="TAL"/>
              <w:rPr>
                <w:rFonts w:cs="Arial" w:hint="eastAsia"/>
                <w:szCs w:val="22"/>
                <w:lang w:eastAsia="zh-CN"/>
              </w:rPr>
            </w:pPr>
            <w:r>
              <w:rPr>
                <w:rFonts w:cs="Arial"/>
                <w:szCs w:val="22"/>
                <w:lang w:eastAsia="zh-CN"/>
              </w:rPr>
              <w:t>NWDAF ML Model Training Service</w:t>
            </w:r>
          </w:p>
        </w:tc>
        <w:tc>
          <w:tcPr>
            <w:tcW w:w="2268" w:type="dxa"/>
          </w:tcPr>
          <w:p w14:paraId="37EEE990" w14:textId="77777777" w:rsidR="00A10B25" w:rsidRDefault="00A10B25">
            <w:pPr>
              <w:pStyle w:val="TAL"/>
              <w:rPr>
                <w:rFonts w:cs="Arial"/>
                <w:szCs w:val="22"/>
                <w:lang w:val="en-US" w:eastAsia="zh-CN"/>
              </w:rPr>
            </w:pPr>
            <w:r>
              <w:rPr>
                <w:rFonts w:cs="Arial"/>
                <w:szCs w:val="22"/>
              </w:rPr>
              <w:t>TS29520_Nnwdaf_MLModelTraining.yaml</w:t>
            </w:r>
          </w:p>
        </w:tc>
        <w:tc>
          <w:tcPr>
            <w:tcW w:w="1843" w:type="dxa"/>
          </w:tcPr>
          <w:p w14:paraId="63830776" w14:textId="77777777" w:rsidR="00A10B25" w:rsidRDefault="00A10B25">
            <w:pPr>
              <w:pStyle w:val="TAL"/>
            </w:pPr>
            <w:r>
              <w:t>nnwdaf-mlmodeltraining</w:t>
            </w:r>
          </w:p>
        </w:tc>
        <w:tc>
          <w:tcPr>
            <w:tcW w:w="845" w:type="dxa"/>
          </w:tcPr>
          <w:p w14:paraId="34C22504" w14:textId="77777777" w:rsidR="00A10B25" w:rsidRDefault="00A10B25">
            <w:pPr>
              <w:pStyle w:val="TAL"/>
              <w:rPr>
                <w:rFonts w:cs="Arial" w:hint="eastAsia"/>
                <w:szCs w:val="22"/>
                <w:lang w:val="en-US" w:eastAsia="zh-CN"/>
              </w:rPr>
            </w:pPr>
            <w:r>
              <w:rPr>
                <w:rFonts w:cs="Arial" w:hint="eastAsia"/>
                <w:szCs w:val="22"/>
                <w:lang w:eastAsia="zh-CN"/>
              </w:rPr>
              <w:t>A</w:t>
            </w:r>
            <w:r>
              <w:rPr>
                <w:rFonts w:cs="Arial"/>
                <w:szCs w:val="22"/>
                <w:lang w:eastAsia="zh-CN"/>
              </w:rPr>
              <w:t>.6</w:t>
            </w:r>
          </w:p>
        </w:tc>
      </w:tr>
      <w:tr w:rsidR="00A10B25" w14:paraId="1D7A3C8F" w14:textId="77777777">
        <w:trPr>
          <w:jc w:val="center"/>
        </w:trPr>
        <w:tc>
          <w:tcPr>
            <w:tcW w:w="2122" w:type="dxa"/>
          </w:tcPr>
          <w:p w14:paraId="495733BB" w14:textId="77777777" w:rsidR="00A10B25" w:rsidRDefault="00A10B25">
            <w:pPr>
              <w:pStyle w:val="TAL"/>
            </w:pPr>
            <w:r>
              <w:rPr>
                <w:lang w:eastAsia="ja-JP"/>
              </w:rPr>
              <w:t>Nnwdaf_MLModelMonitor</w:t>
            </w:r>
          </w:p>
        </w:tc>
        <w:tc>
          <w:tcPr>
            <w:tcW w:w="834" w:type="dxa"/>
          </w:tcPr>
          <w:p w14:paraId="316864FA" w14:textId="77777777" w:rsidR="00A10B25" w:rsidRDefault="00A10B25">
            <w:pPr>
              <w:pStyle w:val="TAL"/>
              <w:rPr>
                <w:rFonts w:cs="Arial"/>
                <w:szCs w:val="22"/>
                <w:lang w:eastAsia="zh-CN"/>
              </w:rPr>
            </w:pPr>
            <w:r>
              <w:rPr>
                <w:rFonts w:cs="Arial" w:hint="eastAsia"/>
                <w:szCs w:val="22"/>
                <w:lang w:eastAsia="zh-CN"/>
              </w:rPr>
              <w:t>5</w:t>
            </w:r>
            <w:r>
              <w:rPr>
                <w:rFonts w:cs="Arial"/>
                <w:szCs w:val="22"/>
                <w:lang w:eastAsia="zh-CN"/>
              </w:rPr>
              <w:t>.6</w:t>
            </w:r>
          </w:p>
        </w:tc>
        <w:tc>
          <w:tcPr>
            <w:tcW w:w="1717" w:type="dxa"/>
          </w:tcPr>
          <w:p w14:paraId="0CF68EB5" w14:textId="77777777" w:rsidR="00A10B25" w:rsidRDefault="00A10B25">
            <w:pPr>
              <w:pStyle w:val="TAL"/>
              <w:rPr>
                <w:rFonts w:cs="Arial"/>
                <w:szCs w:val="22"/>
                <w:lang w:eastAsia="zh-CN"/>
              </w:rPr>
            </w:pPr>
            <w:r>
              <w:t xml:space="preserve">NWDAF ML model monitoring </w:t>
            </w:r>
            <w:r>
              <w:rPr>
                <w:rFonts w:cs="Arial"/>
                <w:szCs w:val="22"/>
                <w:lang w:eastAsia="zh-CN"/>
              </w:rPr>
              <w:t>Service</w:t>
            </w:r>
          </w:p>
        </w:tc>
        <w:tc>
          <w:tcPr>
            <w:tcW w:w="2268" w:type="dxa"/>
          </w:tcPr>
          <w:p w14:paraId="69CD7EF5" w14:textId="77777777" w:rsidR="00A10B25" w:rsidRDefault="00A10B25">
            <w:pPr>
              <w:pStyle w:val="TAL"/>
              <w:rPr>
                <w:rFonts w:cs="Arial"/>
                <w:szCs w:val="22"/>
              </w:rPr>
            </w:pPr>
            <w:r>
              <w:rPr>
                <w:rFonts w:cs="Arial"/>
                <w:szCs w:val="22"/>
              </w:rPr>
              <w:t>TS29520_Nnwdaf_MLModel</w:t>
            </w:r>
            <w:r>
              <w:t>Monitoring</w:t>
            </w:r>
            <w:r>
              <w:rPr>
                <w:rFonts w:cs="Arial"/>
                <w:szCs w:val="22"/>
              </w:rPr>
              <w:t>.yaml</w:t>
            </w:r>
          </w:p>
        </w:tc>
        <w:tc>
          <w:tcPr>
            <w:tcW w:w="1843" w:type="dxa"/>
          </w:tcPr>
          <w:p w14:paraId="0B8C689B" w14:textId="77777777" w:rsidR="00A10B25" w:rsidRDefault="00A10B25">
            <w:pPr>
              <w:pStyle w:val="TAL"/>
            </w:pPr>
            <w:r>
              <w:t>nnwdaf-mlmodelmonitor</w:t>
            </w:r>
          </w:p>
        </w:tc>
        <w:tc>
          <w:tcPr>
            <w:tcW w:w="845" w:type="dxa"/>
          </w:tcPr>
          <w:p w14:paraId="2495AF7E" w14:textId="77777777" w:rsidR="00A10B25" w:rsidRDefault="00A10B25">
            <w:pPr>
              <w:pStyle w:val="TAL"/>
              <w:rPr>
                <w:rFonts w:cs="Arial" w:hint="eastAsia"/>
                <w:szCs w:val="22"/>
                <w:lang w:eastAsia="zh-CN"/>
              </w:rPr>
            </w:pPr>
            <w:r>
              <w:rPr>
                <w:rFonts w:cs="Arial" w:hint="eastAsia"/>
                <w:szCs w:val="22"/>
                <w:lang w:eastAsia="zh-CN"/>
              </w:rPr>
              <w:t>A</w:t>
            </w:r>
            <w:r>
              <w:rPr>
                <w:rFonts w:cs="Arial"/>
                <w:szCs w:val="22"/>
                <w:lang w:eastAsia="zh-CN"/>
              </w:rPr>
              <w:t>.7</w:t>
            </w:r>
          </w:p>
        </w:tc>
      </w:tr>
      <w:tr w:rsidR="00A10B25" w14:paraId="4CF948D1" w14:textId="77777777">
        <w:trPr>
          <w:jc w:val="center"/>
        </w:trPr>
        <w:tc>
          <w:tcPr>
            <w:tcW w:w="2122" w:type="dxa"/>
          </w:tcPr>
          <w:p w14:paraId="7571EDDF" w14:textId="77777777" w:rsidR="00A10B25" w:rsidRDefault="00A10B25">
            <w:pPr>
              <w:pStyle w:val="TAL"/>
            </w:pPr>
            <w:r>
              <w:rPr>
                <w:lang w:eastAsia="ja-JP"/>
              </w:rPr>
              <w:t>Nnwdaf_RoamingData</w:t>
            </w:r>
          </w:p>
        </w:tc>
        <w:tc>
          <w:tcPr>
            <w:tcW w:w="834" w:type="dxa"/>
          </w:tcPr>
          <w:p w14:paraId="2EBF7F7F" w14:textId="77777777" w:rsidR="00A10B25" w:rsidRDefault="00A10B25">
            <w:pPr>
              <w:pStyle w:val="TAL"/>
              <w:rPr>
                <w:rFonts w:cs="Arial"/>
                <w:szCs w:val="22"/>
                <w:lang w:eastAsia="zh-CN"/>
              </w:rPr>
            </w:pPr>
            <w:r>
              <w:rPr>
                <w:rFonts w:cs="Arial" w:hint="eastAsia"/>
                <w:szCs w:val="22"/>
                <w:lang w:eastAsia="zh-CN"/>
              </w:rPr>
              <w:t>5</w:t>
            </w:r>
            <w:r>
              <w:rPr>
                <w:rFonts w:cs="Arial"/>
                <w:szCs w:val="22"/>
                <w:lang w:eastAsia="zh-CN"/>
              </w:rPr>
              <w:t>.7</w:t>
            </w:r>
          </w:p>
        </w:tc>
        <w:tc>
          <w:tcPr>
            <w:tcW w:w="1717" w:type="dxa"/>
          </w:tcPr>
          <w:p w14:paraId="038AEBCE" w14:textId="77777777" w:rsidR="00A10B25" w:rsidRDefault="00A10B25">
            <w:pPr>
              <w:pStyle w:val="TAL"/>
              <w:rPr>
                <w:rFonts w:cs="Arial"/>
                <w:szCs w:val="22"/>
                <w:lang w:eastAsia="zh-CN"/>
              </w:rPr>
            </w:pPr>
            <w:r>
              <w:rPr>
                <w:lang w:eastAsia="ja-JP"/>
              </w:rPr>
              <w:lastRenderedPageBreak/>
              <w:t xml:space="preserve">NWDAF Roaming Data </w:t>
            </w:r>
            <w:r>
              <w:rPr>
                <w:rFonts w:cs="Arial"/>
                <w:szCs w:val="22"/>
                <w:lang w:eastAsia="zh-CN"/>
              </w:rPr>
              <w:t>Service</w:t>
            </w:r>
          </w:p>
        </w:tc>
        <w:tc>
          <w:tcPr>
            <w:tcW w:w="2268" w:type="dxa"/>
          </w:tcPr>
          <w:p w14:paraId="0384E7F3" w14:textId="77777777" w:rsidR="00A10B25" w:rsidRDefault="00A10B25">
            <w:pPr>
              <w:pStyle w:val="TAL"/>
              <w:rPr>
                <w:rFonts w:cs="Arial"/>
                <w:szCs w:val="22"/>
              </w:rPr>
            </w:pPr>
            <w:r>
              <w:rPr>
                <w:rFonts w:cs="Arial"/>
                <w:szCs w:val="22"/>
              </w:rPr>
              <w:t>TS29520_Nnwdaf_</w:t>
            </w:r>
            <w:r>
              <w:rPr>
                <w:lang w:eastAsia="ja-JP"/>
              </w:rPr>
              <w:t xml:space="preserve"> RoamingData</w:t>
            </w:r>
            <w:r>
              <w:rPr>
                <w:rFonts w:cs="Arial"/>
                <w:szCs w:val="22"/>
              </w:rPr>
              <w:t>.yaml</w:t>
            </w:r>
          </w:p>
        </w:tc>
        <w:tc>
          <w:tcPr>
            <w:tcW w:w="1843" w:type="dxa"/>
          </w:tcPr>
          <w:p w14:paraId="1CC30BE7" w14:textId="77777777" w:rsidR="00A10B25" w:rsidRDefault="00A10B25">
            <w:pPr>
              <w:pStyle w:val="TAL"/>
            </w:pPr>
            <w:r>
              <w:t>nnwdaf-roamingdata</w:t>
            </w:r>
          </w:p>
        </w:tc>
        <w:tc>
          <w:tcPr>
            <w:tcW w:w="845" w:type="dxa"/>
          </w:tcPr>
          <w:p w14:paraId="01AC605C" w14:textId="77777777" w:rsidR="00A10B25" w:rsidRDefault="00A10B25">
            <w:pPr>
              <w:pStyle w:val="TAL"/>
              <w:rPr>
                <w:rFonts w:cs="Arial" w:hint="eastAsia"/>
                <w:szCs w:val="22"/>
                <w:lang w:eastAsia="zh-CN"/>
              </w:rPr>
            </w:pPr>
            <w:r>
              <w:rPr>
                <w:rFonts w:cs="Arial"/>
                <w:szCs w:val="22"/>
                <w:lang w:eastAsia="zh-CN"/>
              </w:rPr>
              <w:t>A.8</w:t>
            </w:r>
          </w:p>
        </w:tc>
      </w:tr>
      <w:tr w:rsidR="00A10B25" w14:paraId="2548FB29" w14:textId="77777777">
        <w:trPr>
          <w:jc w:val="center"/>
        </w:trPr>
        <w:tc>
          <w:tcPr>
            <w:tcW w:w="2122" w:type="dxa"/>
          </w:tcPr>
          <w:p w14:paraId="126B57E4" w14:textId="77777777" w:rsidR="00A10B25" w:rsidRDefault="00A10B25">
            <w:pPr>
              <w:pStyle w:val="TAL"/>
              <w:rPr>
                <w:lang w:eastAsia="ja-JP"/>
              </w:rPr>
            </w:pPr>
            <w:r>
              <w:t>Nnwdaf_RoamingAnalytics</w:t>
            </w:r>
          </w:p>
        </w:tc>
        <w:tc>
          <w:tcPr>
            <w:tcW w:w="834" w:type="dxa"/>
          </w:tcPr>
          <w:p w14:paraId="3B1787C4" w14:textId="77777777" w:rsidR="00A10B25" w:rsidRDefault="00A10B25">
            <w:pPr>
              <w:pStyle w:val="TAL"/>
              <w:rPr>
                <w:rFonts w:cs="Arial" w:hint="eastAsia"/>
                <w:szCs w:val="22"/>
                <w:lang w:eastAsia="zh-CN"/>
              </w:rPr>
            </w:pPr>
            <w:r>
              <w:rPr>
                <w:rFonts w:cs="Arial"/>
                <w:szCs w:val="22"/>
                <w:lang w:eastAsia="zh-CN"/>
              </w:rPr>
              <w:t>5.8</w:t>
            </w:r>
          </w:p>
        </w:tc>
        <w:tc>
          <w:tcPr>
            <w:tcW w:w="1717" w:type="dxa"/>
          </w:tcPr>
          <w:p w14:paraId="10C03E0D" w14:textId="77777777" w:rsidR="00A10B25" w:rsidRDefault="00A10B25">
            <w:pPr>
              <w:pStyle w:val="TAL"/>
              <w:rPr>
                <w:lang w:eastAsia="ja-JP"/>
              </w:rPr>
            </w:pPr>
            <w:r>
              <w:rPr>
                <w:rFonts w:cs="Arial"/>
                <w:szCs w:val="22"/>
                <w:lang w:eastAsia="zh-CN"/>
              </w:rPr>
              <w:t>NWDAF Roaming Analytics service</w:t>
            </w:r>
          </w:p>
        </w:tc>
        <w:tc>
          <w:tcPr>
            <w:tcW w:w="2268" w:type="dxa"/>
          </w:tcPr>
          <w:p w14:paraId="3A193604" w14:textId="77777777" w:rsidR="00A10B25" w:rsidRDefault="00A10B25">
            <w:pPr>
              <w:pStyle w:val="TAL"/>
              <w:rPr>
                <w:rFonts w:cs="Arial"/>
                <w:szCs w:val="22"/>
              </w:rPr>
            </w:pPr>
            <w:r>
              <w:rPr>
                <w:rFonts w:cs="Arial"/>
                <w:szCs w:val="22"/>
              </w:rPr>
              <w:t>TS29520_Nnwdaf_RoamingAnalytics.yaml</w:t>
            </w:r>
          </w:p>
        </w:tc>
        <w:tc>
          <w:tcPr>
            <w:tcW w:w="1843" w:type="dxa"/>
          </w:tcPr>
          <w:p w14:paraId="743A0141" w14:textId="77777777" w:rsidR="00A10B25" w:rsidRDefault="00A10B25">
            <w:pPr>
              <w:pStyle w:val="TAL"/>
            </w:pPr>
            <w:r>
              <w:t>nnwdaf-roaminganalytics</w:t>
            </w:r>
          </w:p>
        </w:tc>
        <w:tc>
          <w:tcPr>
            <w:tcW w:w="845" w:type="dxa"/>
          </w:tcPr>
          <w:p w14:paraId="704F1797" w14:textId="77777777" w:rsidR="00A10B25" w:rsidRDefault="00A10B25">
            <w:pPr>
              <w:pStyle w:val="TAL"/>
              <w:rPr>
                <w:rFonts w:cs="Arial"/>
                <w:szCs w:val="22"/>
                <w:lang w:eastAsia="zh-CN"/>
              </w:rPr>
            </w:pPr>
            <w:r>
              <w:rPr>
                <w:rFonts w:cs="Arial"/>
                <w:szCs w:val="22"/>
                <w:lang w:eastAsia="zh-CN"/>
              </w:rPr>
              <w:t>A.9</w:t>
            </w:r>
          </w:p>
        </w:tc>
      </w:tr>
      <w:tr w:rsidR="005B1DF6" w14:paraId="60CFCF73" w14:textId="77777777">
        <w:trPr>
          <w:jc w:val="center"/>
        </w:trPr>
        <w:tc>
          <w:tcPr>
            <w:tcW w:w="2122" w:type="dxa"/>
          </w:tcPr>
          <w:p w14:paraId="7BD81EBF" w14:textId="77777777" w:rsidR="005B1DF6" w:rsidRDefault="005B1DF6" w:rsidP="005B1DF6">
            <w:pPr>
              <w:pStyle w:val="TAL"/>
            </w:pPr>
            <w:r>
              <w:t>Nnwdaf_VFLTraining</w:t>
            </w:r>
          </w:p>
        </w:tc>
        <w:tc>
          <w:tcPr>
            <w:tcW w:w="834" w:type="dxa"/>
          </w:tcPr>
          <w:p w14:paraId="2D2070D6" w14:textId="77777777" w:rsidR="005B1DF6" w:rsidRDefault="005B1DF6" w:rsidP="005B1DF6">
            <w:pPr>
              <w:pStyle w:val="TAL"/>
              <w:rPr>
                <w:rFonts w:cs="Arial"/>
                <w:szCs w:val="22"/>
                <w:lang w:eastAsia="zh-CN"/>
              </w:rPr>
            </w:pPr>
            <w:r>
              <w:rPr>
                <w:rFonts w:cs="Arial"/>
                <w:szCs w:val="22"/>
                <w:lang w:eastAsia="zh-CN"/>
              </w:rPr>
              <w:t>5.9</w:t>
            </w:r>
          </w:p>
        </w:tc>
        <w:tc>
          <w:tcPr>
            <w:tcW w:w="1717" w:type="dxa"/>
          </w:tcPr>
          <w:p w14:paraId="50958780" w14:textId="77777777" w:rsidR="005B1DF6" w:rsidRDefault="005B1DF6" w:rsidP="005B1DF6">
            <w:pPr>
              <w:pStyle w:val="TAL"/>
              <w:rPr>
                <w:rFonts w:cs="Arial"/>
                <w:szCs w:val="22"/>
                <w:lang w:eastAsia="zh-CN"/>
              </w:rPr>
            </w:pPr>
            <w:r>
              <w:rPr>
                <w:rFonts w:cs="Arial"/>
                <w:szCs w:val="22"/>
                <w:lang w:eastAsia="zh-CN"/>
              </w:rPr>
              <w:t>NWDAF VFL Training service</w:t>
            </w:r>
          </w:p>
        </w:tc>
        <w:tc>
          <w:tcPr>
            <w:tcW w:w="2268" w:type="dxa"/>
          </w:tcPr>
          <w:p w14:paraId="137C1777" w14:textId="77777777" w:rsidR="005B1DF6" w:rsidRDefault="005B1DF6" w:rsidP="005B1DF6">
            <w:pPr>
              <w:pStyle w:val="TAL"/>
              <w:rPr>
                <w:rFonts w:cs="Arial"/>
                <w:szCs w:val="22"/>
              </w:rPr>
            </w:pPr>
            <w:r w:rsidRPr="00311B21">
              <w:rPr>
                <w:rFonts w:cs="Arial"/>
                <w:szCs w:val="22"/>
              </w:rPr>
              <w:t>TS29520_Nnwdaf_</w:t>
            </w:r>
            <w:r>
              <w:rPr>
                <w:rFonts w:cs="Arial"/>
                <w:szCs w:val="22"/>
              </w:rPr>
              <w:t>VFLTraining</w:t>
            </w:r>
            <w:r w:rsidRPr="00311B21">
              <w:rPr>
                <w:rFonts w:cs="Arial"/>
                <w:szCs w:val="22"/>
              </w:rPr>
              <w:t>.yaml</w:t>
            </w:r>
          </w:p>
        </w:tc>
        <w:tc>
          <w:tcPr>
            <w:tcW w:w="1843" w:type="dxa"/>
          </w:tcPr>
          <w:p w14:paraId="1A9CDB2B" w14:textId="77777777" w:rsidR="005B1DF6" w:rsidRDefault="005B1DF6" w:rsidP="005B1DF6">
            <w:pPr>
              <w:pStyle w:val="TAL"/>
            </w:pPr>
            <w:r>
              <w:t>nnwdaf-vfltraining</w:t>
            </w:r>
          </w:p>
        </w:tc>
        <w:tc>
          <w:tcPr>
            <w:tcW w:w="845" w:type="dxa"/>
          </w:tcPr>
          <w:p w14:paraId="0E90B72C" w14:textId="77777777" w:rsidR="005B1DF6" w:rsidRDefault="005B1DF6" w:rsidP="005B1DF6">
            <w:pPr>
              <w:pStyle w:val="TAL"/>
              <w:rPr>
                <w:rFonts w:cs="Arial"/>
                <w:szCs w:val="22"/>
                <w:lang w:eastAsia="zh-CN"/>
              </w:rPr>
            </w:pPr>
            <w:r>
              <w:rPr>
                <w:rFonts w:cs="Arial"/>
                <w:szCs w:val="22"/>
                <w:lang w:eastAsia="zh-CN"/>
              </w:rPr>
              <w:t>A.10</w:t>
            </w:r>
          </w:p>
        </w:tc>
      </w:tr>
    </w:tbl>
    <w:p w14:paraId="1F565F06" w14:textId="77777777" w:rsidR="00A10B25" w:rsidRDefault="00A10B25"/>
    <w:p w14:paraId="4F882067" w14:textId="77777777" w:rsidR="00A10B25" w:rsidRDefault="00A10B25">
      <w:pPr>
        <w:pStyle w:val="2"/>
      </w:pPr>
      <w:bookmarkStart w:id="328" w:name="_Toc90655750"/>
      <w:bookmarkStart w:id="329" w:name="_Toc45133978"/>
      <w:bookmarkStart w:id="330" w:name="_Toc101244287"/>
      <w:bookmarkStart w:id="331" w:name="_Toc88667465"/>
      <w:bookmarkStart w:id="332" w:name="_Toc56640895"/>
      <w:bookmarkStart w:id="333" w:name="_Toc70550538"/>
      <w:bookmarkStart w:id="334" w:name="_Toc85552864"/>
      <w:bookmarkStart w:id="335" w:name="_Toc94064131"/>
      <w:bookmarkStart w:id="336" w:name="_Toc34266222"/>
      <w:bookmarkStart w:id="337" w:name="_Toc112950998"/>
      <w:bookmarkStart w:id="338" w:name="_Toc43563435"/>
      <w:bookmarkStart w:id="339" w:name="_Toc114133677"/>
      <w:bookmarkStart w:id="340" w:name="_Toc83232975"/>
      <w:bookmarkStart w:id="341" w:name="_Toc66231731"/>
      <w:bookmarkStart w:id="342" w:name="_Toc51762828"/>
      <w:bookmarkStart w:id="343" w:name="_Toc113031538"/>
      <w:bookmarkStart w:id="344" w:name="_Toc28012752"/>
      <w:bookmarkStart w:id="345" w:name="_Toc59017863"/>
      <w:bookmarkStart w:id="346" w:name="_Toc50031908"/>
      <w:bookmarkStart w:id="347" w:name="_Toc136562224"/>
      <w:bookmarkStart w:id="348" w:name="_Toc120702177"/>
      <w:bookmarkStart w:id="349" w:name="_Toc85556963"/>
      <w:bookmarkStart w:id="350" w:name="_Toc36102393"/>
      <w:bookmarkStart w:id="351" w:name="_Toc104538876"/>
      <w:bookmarkStart w:id="352" w:name="_Toc138754058"/>
      <w:bookmarkStart w:id="353" w:name="_Toc68168892"/>
      <w:bookmarkStart w:id="354" w:name="_Toc148522449"/>
      <w:bookmarkStart w:id="355" w:name="_Toc145705545"/>
      <w:bookmarkStart w:id="356" w:name="_Toc98233511"/>
      <w:bookmarkStart w:id="357" w:name="_Toc164920573"/>
      <w:bookmarkStart w:id="358" w:name="_Toc170120115"/>
      <w:bookmarkStart w:id="359" w:name="_Toc175858360"/>
      <w:bookmarkStart w:id="360" w:name="_Toc175859433"/>
      <w:bookmarkStart w:id="361" w:name="_Toc180605723"/>
      <w:bookmarkStart w:id="362" w:name="_Toc185516977"/>
      <w:bookmarkStart w:id="363" w:name="_Toc191576028"/>
      <w:bookmarkStart w:id="364" w:name="_Toc191576768"/>
      <w:bookmarkStart w:id="365" w:name="_Toc192879838"/>
      <w:bookmarkStart w:id="366" w:name="_Toc195814721"/>
      <w:bookmarkStart w:id="367" w:name="_Toc199452668"/>
      <w:r>
        <w:t>4.2</w:t>
      </w:r>
      <w:r>
        <w:tab/>
        <w:t>Nnwdaf_EventsSubscription Service</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344FE43D" w14:textId="77777777" w:rsidR="00A10B25" w:rsidRDefault="00A10B25">
      <w:pPr>
        <w:pStyle w:val="3"/>
      </w:pPr>
      <w:bookmarkStart w:id="368" w:name="_Toc94064132"/>
      <w:bookmarkStart w:id="369" w:name="_Toc90655751"/>
      <w:bookmarkStart w:id="370" w:name="_Toc66231732"/>
      <w:bookmarkStart w:id="371" w:name="_Toc36102394"/>
      <w:bookmarkStart w:id="372" w:name="_Toc28012753"/>
      <w:bookmarkStart w:id="373" w:name="_Toc98233512"/>
      <w:bookmarkStart w:id="374" w:name="_Toc83232976"/>
      <w:bookmarkStart w:id="375" w:name="_Toc104538877"/>
      <w:bookmarkStart w:id="376" w:name="_Toc88667466"/>
      <w:bookmarkStart w:id="377" w:name="_Toc59017864"/>
      <w:bookmarkStart w:id="378" w:name="_Toc45133979"/>
      <w:bookmarkStart w:id="379" w:name="_Toc101244288"/>
      <w:bookmarkStart w:id="380" w:name="_Toc113031539"/>
      <w:bookmarkStart w:id="381" w:name="_Toc114133678"/>
      <w:bookmarkStart w:id="382" w:name="_Toc70550539"/>
      <w:bookmarkStart w:id="383" w:name="_Toc85556964"/>
      <w:bookmarkStart w:id="384" w:name="_Toc51762829"/>
      <w:bookmarkStart w:id="385" w:name="_Toc50031909"/>
      <w:bookmarkStart w:id="386" w:name="_Toc85552865"/>
      <w:bookmarkStart w:id="387" w:name="_Toc136562225"/>
      <w:bookmarkStart w:id="388" w:name="_Toc56640896"/>
      <w:bookmarkStart w:id="389" w:name="_Toc112950999"/>
      <w:bookmarkStart w:id="390" w:name="_Toc43563436"/>
      <w:bookmarkStart w:id="391" w:name="_Toc68168893"/>
      <w:bookmarkStart w:id="392" w:name="_Toc145705546"/>
      <w:bookmarkStart w:id="393" w:name="_Toc138754059"/>
      <w:bookmarkStart w:id="394" w:name="_Toc120702178"/>
      <w:bookmarkStart w:id="395" w:name="_Toc148522450"/>
      <w:bookmarkStart w:id="396" w:name="_Toc34266223"/>
      <w:bookmarkStart w:id="397" w:name="_Toc164920574"/>
      <w:bookmarkStart w:id="398" w:name="_Toc170120116"/>
      <w:bookmarkStart w:id="399" w:name="_Toc175858361"/>
      <w:bookmarkStart w:id="400" w:name="_Toc175859434"/>
      <w:bookmarkStart w:id="401" w:name="_Toc180605724"/>
      <w:bookmarkStart w:id="402" w:name="_Toc185516978"/>
      <w:bookmarkStart w:id="403" w:name="_Toc191576029"/>
      <w:bookmarkStart w:id="404" w:name="_Toc191576769"/>
      <w:bookmarkStart w:id="405" w:name="_Toc192879839"/>
      <w:bookmarkStart w:id="406" w:name="_Toc195814722"/>
      <w:bookmarkStart w:id="407" w:name="_Toc199452669"/>
      <w:r>
        <w:t>4.2.1</w:t>
      </w:r>
      <w:r>
        <w:tab/>
        <w:t>Service Description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77F3C34F" w14:textId="77777777" w:rsidR="00A10B25" w:rsidRDefault="00A10B25">
      <w:pPr>
        <w:pStyle w:val="4"/>
        <w:rPr>
          <w:lang w:eastAsia="zh-CN"/>
        </w:rPr>
      </w:pPr>
      <w:bookmarkStart w:id="408" w:name="_Toc28012754"/>
      <w:bookmarkStart w:id="409" w:name="_Toc85552866"/>
      <w:bookmarkStart w:id="410" w:name="_Toc83232977"/>
      <w:bookmarkStart w:id="411" w:name="_Toc34266224"/>
      <w:bookmarkStart w:id="412" w:name="_Toc145705547"/>
      <w:bookmarkStart w:id="413" w:name="_Toc98233513"/>
      <w:bookmarkStart w:id="414" w:name="_Toc56640897"/>
      <w:bookmarkStart w:id="415" w:name="_Toc104538878"/>
      <w:bookmarkStart w:id="416" w:name="_Toc112951000"/>
      <w:bookmarkStart w:id="417" w:name="_Toc101244289"/>
      <w:bookmarkStart w:id="418" w:name="_Toc148522451"/>
      <w:bookmarkStart w:id="419" w:name="_Toc85556965"/>
      <w:bookmarkStart w:id="420" w:name="_Toc66231733"/>
      <w:bookmarkStart w:id="421" w:name="_Toc88667467"/>
      <w:bookmarkStart w:id="422" w:name="_Toc43563437"/>
      <w:bookmarkStart w:id="423" w:name="_Toc136562226"/>
      <w:bookmarkStart w:id="424" w:name="_Toc120702179"/>
      <w:bookmarkStart w:id="425" w:name="_Toc68168894"/>
      <w:bookmarkStart w:id="426" w:name="_Toc59017865"/>
      <w:bookmarkStart w:id="427" w:name="_Toc70550540"/>
      <w:bookmarkStart w:id="428" w:name="_Toc36102395"/>
      <w:bookmarkStart w:id="429" w:name="_Toc114133679"/>
      <w:bookmarkStart w:id="430" w:name="_Toc45133980"/>
      <w:bookmarkStart w:id="431" w:name="_Toc50031910"/>
      <w:bookmarkStart w:id="432" w:name="_Toc90655752"/>
      <w:bookmarkStart w:id="433" w:name="_Toc113031540"/>
      <w:bookmarkStart w:id="434" w:name="_Toc51762830"/>
      <w:bookmarkStart w:id="435" w:name="_Toc138754060"/>
      <w:bookmarkStart w:id="436" w:name="_Toc94064133"/>
      <w:bookmarkStart w:id="437" w:name="_Toc164920575"/>
      <w:bookmarkStart w:id="438" w:name="_Toc170120117"/>
      <w:bookmarkStart w:id="439" w:name="_Toc175858362"/>
      <w:bookmarkStart w:id="440" w:name="_Toc175859435"/>
      <w:bookmarkStart w:id="441" w:name="_Toc180605725"/>
      <w:bookmarkStart w:id="442" w:name="_Toc185516979"/>
      <w:bookmarkStart w:id="443" w:name="_Toc191576030"/>
      <w:bookmarkStart w:id="444" w:name="_Toc191576770"/>
      <w:bookmarkStart w:id="445" w:name="_Toc192879840"/>
      <w:bookmarkStart w:id="446" w:name="_Toc195814723"/>
      <w:bookmarkStart w:id="447" w:name="_Toc199452670"/>
      <w:r>
        <w:t>4.2.</w:t>
      </w:r>
      <w:r>
        <w:rPr>
          <w:rFonts w:hint="eastAsia"/>
          <w:lang w:eastAsia="zh-CN"/>
        </w:rPr>
        <w:t>1</w:t>
      </w:r>
      <w:r>
        <w:rPr>
          <w:lang w:eastAsia="zh-CN"/>
        </w:rPr>
        <w:t>.1</w:t>
      </w:r>
      <w:r>
        <w:tab/>
      </w:r>
      <w:r>
        <w:rPr>
          <w:rFonts w:hint="eastAsia"/>
          <w:lang w:eastAsia="zh-CN"/>
        </w:rPr>
        <w:t>Overview</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5D98B505" w14:textId="77777777" w:rsidR="00A10B25" w:rsidRDefault="00A10B25">
      <w:r>
        <w:t>The Nnwdaf_EventsSubscription service corresponding to Nnwdaf_AnalyticsSubscription service as defined in 3GPP TS 23.501 [2], 3GPP TS 23.288 [17] and 3GPP TS 2</w:t>
      </w:r>
      <w:r>
        <w:rPr>
          <w:rFonts w:hint="eastAsia"/>
          <w:lang w:eastAsia="zh-CN"/>
        </w:rPr>
        <w:t>3</w:t>
      </w:r>
      <w:r>
        <w:t>.503 [4], is provided by the Network Data Analytics Function (NWDAF).</w:t>
      </w:r>
    </w:p>
    <w:p w14:paraId="46655C74" w14:textId="77777777" w:rsidR="00A10B25" w:rsidRDefault="00A10B25">
      <w:r>
        <w:t>This service:</w:t>
      </w:r>
    </w:p>
    <w:p w14:paraId="3998AD9A" w14:textId="77777777" w:rsidR="00432DC2" w:rsidRDefault="00432DC2" w:rsidP="00432DC2">
      <w:pPr>
        <w:pStyle w:val="B1"/>
      </w:pPr>
      <w:r>
        <w:t>-</w:t>
      </w:r>
      <w:r>
        <w:tab/>
        <w:t xml:space="preserve">allows NF </w:t>
      </w:r>
      <w:r>
        <w:rPr>
          <w:rFonts w:eastAsia="等线"/>
        </w:rPr>
        <w:t xml:space="preserve">service </w:t>
      </w:r>
      <w:r>
        <w:t>consumers to subscribe to and unsubscribe from different analytics events;</w:t>
      </w:r>
    </w:p>
    <w:p w14:paraId="3148B028" w14:textId="77777777" w:rsidR="00432DC2" w:rsidRDefault="00432DC2" w:rsidP="00432DC2">
      <w:pPr>
        <w:pStyle w:val="B1"/>
      </w:pPr>
      <w:r>
        <w:t>-</w:t>
      </w:r>
      <w:r>
        <w:tab/>
        <w:t xml:space="preserve">notifies NF </w:t>
      </w:r>
      <w:r>
        <w:rPr>
          <w:rFonts w:eastAsia="等线"/>
        </w:rPr>
        <w:t xml:space="preserve">service </w:t>
      </w:r>
      <w:r>
        <w:t>consumers with a corresponding subscription about observed events; and</w:t>
      </w:r>
    </w:p>
    <w:p w14:paraId="4C9AC5BF" w14:textId="77777777" w:rsidR="00432DC2" w:rsidRDefault="00432DC2" w:rsidP="00432DC2">
      <w:pPr>
        <w:pStyle w:val="B1"/>
      </w:pPr>
      <w:r>
        <w:t>-</w:t>
      </w:r>
      <w:r>
        <w:tab/>
        <w:t xml:space="preserve">allows NF </w:t>
      </w:r>
      <w:r>
        <w:rPr>
          <w:rFonts w:eastAsia="等线"/>
        </w:rPr>
        <w:t xml:space="preserve">service </w:t>
      </w:r>
      <w:r>
        <w:t>consumers to request the transfer of subscriptions for analytics events.</w:t>
      </w:r>
    </w:p>
    <w:p w14:paraId="68A11AB5" w14:textId="77777777" w:rsidR="00A10B25" w:rsidRDefault="00A10B25">
      <w:r>
        <w:t>The types of observed events include:</w:t>
      </w:r>
    </w:p>
    <w:p w14:paraId="078A884B" w14:textId="77777777" w:rsidR="00A10B25" w:rsidRDefault="00A10B25">
      <w:pPr>
        <w:pStyle w:val="B1"/>
      </w:pPr>
      <w:r>
        <w:t>-</w:t>
      </w:r>
      <w:r>
        <w:tab/>
        <w:t>Slice load level information;</w:t>
      </w:r>
    </w:p>
    <w:p w14:paraId="689B665B" w14:textId="77777777" w:rsidR="00A10B25" w:rsidRDefault="00A10B25">
      <w:pPr>
        <w:pStyle w:val="B1"/>
      </w:pPr>
      <w:r>
        <w:lastRenderedPageBreak/>
        <w:t>-</w:t>
      </w:r>
      <w:r>
        <w:tab/>
        <w:t>Network slice instance load level information;</w:t>
      </w:r>
    </w:p>
    <w:p w14:paraId="2CB2AB58" w14:textId="77777777" w:rsidR="00A10B25" w:rsidRDefault="00A10B25">
      <w:pPr>
        <w:pStyle w:val="B1"/>
      </w:pPr>
      <w:r>
        <w:t>-</w:t>
      </w:r>
      <w:r>
        <w:tab/>
        <w:t>Service experience;</w:t>
      </w:r>
    </w:p>
    <w:p w14:paraId="5D64133A" w14:textId="77777777" w:rsidR="00A10B25" w:rsidRDefault="00A10B25">
      <w:pPr>
        <w:pStyle w:val="B1"/>
      </w:pPr>
      <w:r>
        <w:t>-</w:t>
      </w:r>
      <w:r>
        <w:tab/>
        <w:t>NF load;</w:t>
      </w:r>
    </w:p>
    <w:p w14:paraId="6342841D" w14:textId="77777777" w:rsidR="00A10B25" w:rsidRDefault="00A10B25">
      <w:pPr>
        <w:pStyle w:val="B1"/>
      </w:pPr>
      <w:r>
        <w:t>-</w:t>
      </w:r>
      <w:r>
        <w:tab/>
        <w:t>Network performance;</w:t>
      </w:r>
    </w:p>
    <w:p w14:paraId="09D349E5" w14:textId="77777777" w:rsidR="00A10B25" w:rsidRDefault="00A10B25">
      <w:pPr>
        <w:pStyle w:val="B1"/>
      </w:pPr>
      <w:r>
        <w:t>-</w:t>
      </w:r>
      <w:r>
        <w:tab/>
        <w:t>Abnormal behaviour;</w:t>
      </w:r>
    </w:p>
    <w:p w14:paraId="09C68540" w14:textId="77777777" w:rsidR="00A10B25" w:rsidRDefault="00A10B25">
      <w:pPr>
        <w:pStyle w:val="B1"/>
      </w:pPr>
      <w:r>
        <w:t>-</w:t>
      </w:r>
      <w:r>
        <w:tab/>
        <w:t>UE mobility;</w:t>
      </w:r>
    </w:p>
    <w:p w14:paraId="1FF29E6D" w14:textId="77777777" w:rsidR="00A10B25" w:rsidRDefault="00A10B25">
      <w:pPr>
        <w:pStyle w:val="B1"/>
      </w:pPr>
      <w:r>
        <w:t>-</w:t>
      </w:r>
      <w:r>
        <w:tab/>
        <w:t>UE communication;</w:t>
      </w:r>
    </w:p>
    <w:p w14:paraId="39B47B96" w14:textId="77777777" w:rsidR="00A10B25" w:rsidRDefault="00A10B25">
      <w:pPr>
        <w:pStyle w:val="B1"/>
      </w:pPr>
      <w:r>
        <w:t>-</w:t>
      </w:r>
      <w:r>
        <w:tab/>
        <w:t>User data congestion;</w:t>
      </w:r>
    </w:p>
    <w:p w14:paraId="5BF607FA" w14:textId="77777777" w:rsidR="00A10B25" w:rsidRDefault="00A10B25">
      <w:pPr>
        <w:pStyle w:val="B1"/>
      </w:pPr>
      <w:r>
        <w:t>-</w:t>
      </w:r>
      <w:r>
        <w:tab/>
        <w:t>QoS sustainability;</w:t>
      </w:r>
    </w:p>
    <w:p w14:paraId="089CDD89" w14:textId="77777777" w:rsidR="00A10B25" w:rsidRDefault="00A10B25">
      <w:pPr>
        <w:pStyle w:val="B1"/>
      </w:pPr>
      <w:r>
        <w:t>-</w:t>
      </w:r>
      <w:r>
        <w:tab/>
        <w:t>Dispersion;</w:t>
      </w:r>
    </w:p>
    <w:p w14:paraId="04EB90D6" w14:textId="77777777" w:rsidR="00A10B25" w:rsidRDefault="00A10B25">
      <w:pPr>
        <w:pStyle w:val="B1"/>
      </w:pPr>
      <w:r>
        <w:t>-</w:t>
      </w:r>
      <w:r>
        <w:tab/>
        <w:t>Redundant transmission experience;</w:t>
      </w:r>
    </w:p>
    <w:p w14:paraId="5C2020D5" w14:textId="77777777" w:rsidR="00A10B25" w:rsidRDefault="00A10B25">
      <w:pPr>
        <w:pStyle w:val="B1"/>
      </w:pPr>
      <w:r>
        <w:t>-</w:t>
      </w:r>
      <w:r>
        <w:tab/>
        <w:t>SM congestion control experience;</w:t>
      </w:r>
    </w:p>
    <w:p w14:paraId="579862F8" w14:textId="77777777" w:rsidR="00A10B25" w:rsidRDefault="00A10B25">
      <w:pPr>
        <w:pStyle w:val="B1"/>
      </w:pPr>
      <w:bookmarkStart w:id="448" w:name="_Toc66231734"/>
      <w:bookmarkStart w:id="449" w:name="_Toc36102396"/>
      <w:bookmarkStart w:id="450" w:name="_Toc113031541"/>
      <w:bookmarkStart w:id="451" w:name="_Toc56640898"/>
      <w:bookmarkStart w:id="452" w:name="_Toc59017866"/>
      <w:bookmarkStart w:id="453" w:name="_Toc120702180"/>
      <w:bookmarkStart w:id="454" w:name="_Toc88667468"/>
      <w:bookmarkStart w:id="455" w:name="_Toc68168895"/>
      <w:bookmarkStart w:id="456" w:name="_Toc98233514"/>
      <w:bookmarkStart w:id="457" w:name="_Toc104538879"/>
      <w:bookmarkStart w:id="458" w:name="_Toc94064134"/>
      <w:bookmarkStart w:id="459" w:name="_Toc101244290"/>
      <w:bookmarkStart w:id="460" w:name="_Toc50031911"/>
      <w:bookmarkStart w:id="461" w:name="_Toc85556966"/>
      <w:bookmarkStart w:id="462" w:name="_Toc114133680"/>
      <w:bookmarkStart w:id="463" w:name="_Toc85552867"/>
      <w:bookmarkStart w:id="464" w:name="_Toc90655753"/>
      <w:bookmarkStart w:id="465" w:name="_Toc45133981"/>
      <w:bookmarkStart w:id="466" w:name="_Toc43563438"/>
      <w:bookmarkStart w:id="467" w:name="_Toc70550541"/>
      <w:bookmarkStart w:id="468" w:name="_Toc34266225"/>
      <w:bookmarkStart w:id="469" w:name="_Toc83232978"/>
      <w:bookmarkStart w:id="470" w:name="_Toc28012755"/>
      <w:bookmarkStart w:id="471" w:name="_Toc51762831"/>
      <w:bookmarkStart w:id="472" w:name="_Toc112951001"/>
      <w:r>
        <w:t>-</w:t>
      </w:r>
      <w:r>
        <w:tab/>
        <w:t>WLAN performance;</w:t>
      </w:r>
    </w:p>
    <w:p w14:paraId="0C19AAE6" w14:textId="77777777" w:rsidR="00A10B25" w:rsidRDefault="00A10B25">
      <w:pPr>
        <w:pStyle w:val="B1"/>
      </w:pPr>
      <w:r>
        <w:t>-</w:t>
      </w:r>
      <w:r>
        <w:tab/>
        <w:t>DN performance;</w:t>
      </w:r>
    </w:p>
    <w:p w14:paraId="4FBDF51F" w14:textId="77777777" w:rsidR="00432DC2" w:rsidRDefault="00432DC2" w:rsidP="00432DC2">
      <w:pPr>
        <w:pStyle w:val="B1"/>
      </w:pPr>
      <w:bookmarkStart w:id="473" w:name="_Toc138754061"/>
      <w:bookmarkStart w:id="474" w:name="_Toc148522452"/>
      <w:bookmarkStart w:id="475" w:name="_Toc136562227"/>
      <w:bookmarkStart w:id="476" w:name="_Toc145705548"/>
      <w:bookmarkStart w:id="477" w:name="_Toc164920576"/>
      <w:bookmarkStart w:id="478" w:name="_Toc170120118"/>
      <w:bookmarkStart w:id="479" w:name="_Toc175858363"/>
      <w:bookmarkStart w:id="480" w:name="_Toc175859436"/>
      <w:bookmarkStart w:id="481" w:name="_Toc180605726"/>
      <w:r>
        <w:t>-</w:t>
      </w:r>
      <w:r>
        <w:tab/>
        <w:t>PFD determination;</w:t>
      </w:r>
    </w:p>
    <w:p w14:paraId="45718F9C" w14:textId="77777777" w:rsidR="00432DC2" w:rsidRDefault="00432DC2" w:rsidP="00432DC2">
      <w:pPr>
        <w:pStyle w:val="B1"/>
      </w:pPr>
      <w:r>
        <w:t>-</w:t>
      </w:r>
      <w:r>
        <w:tab/>
        <w:t>PDU Session traffic;</w:t>
      </w:r>
    </w:p>
    <w:p w14:paraId="309F3C59" w14:textId="77777777" w:rsidR="00432DC2" w:rsidRDefault="00432DC2" w:rsidP="00432DC2">
      <w:pPr>
        <w:pStyle w:val="B1"/>
      </w:pPr>
      <w:r>
        <w:t>-</w:t>
      </w:r>
      <w:r>
        <w:tab/>
        <w:t>Movement Behaviour;</w:t>
      </w:r>
    </w:p>
    <w:p w14:paraId="67DAF2A7" w14:textId="77777777" w:rsidR="00432DC2" w:rsidRDefault="00432DC2" w:rsidP="00432DC2">
      <w:pPr>
        <w:pStyle w:val="B1"/>
        <w:rPr>
          <w:lang w:eastAsia="zh-CN"/>
        </w:rPr>
      </w:pPr>
      <w:r>
        <w:t>-</w:t>
      </w:r>
      <w:r>
        <w:tab/>
        <w:t>Location Accuracy</w:t>
      </w:r>
      <w:r>
        <w:rPr>
          <w:lang w:val="en-US" w:eastAsia="zh-CN"/>
        </w:rPr>
        <w:t>;</w:t>
      </w:r>
    </w:p>
    <w:p w14:paraId="559BE614" w14:textId="77777777" w:rsidR="00432DC2" w:rsidRDefault="00432DC2" w:rsidP="00432DC2">
      <w:pPr>
        <w:pStyle w:val="B1"/>
      </w:pPr>
      <w:r>
        <w:t>-</w:t>
      </w:r>
      <w:r>
        <w:tab/>
        <w:t>Relative Proximity;</w:t>
      </w:r>
    </w:p>
    <w:p w14:paraId="58D67F4E" w14:textId="77777777" w:rsidR="00432DC2" w:rsidRDefault="00432DC2" w:rsidP="00432DC2">
      <w:pPr>
        <w:pStyle w:val="B1"/>
      </w:pPr>
      <w:r>
        <w:t>-</w:t>
      </w:r>
      <w:r>
        <w:tab/>
      </w:r>
      <w:r w:rsidRPr="00AA50BD">
        <w:t>End-to-end data volume transfer time</w:t>
      </w:r>
      <w:r>
        <w:t>;</w:t>
      </w:r>
    </w:p>
    <w:p w14:paraId="37DEBEB6" w14:textId="77777777" w:rsidR="00F525B2" w:rsidRDefault="00432DC2" w:rsidP="00F525B2">
      <w:pPr>
        <w:pStyle w:val="B1"/>
      </w:pPr>
      <w:r>
        <w:t>-</w:t>
      </w:r>
      <w:r>
        <w:tab/>
        <w:t>Signalling Storm</w:t>
      </w:r>
      <w:r w:rsidR="00F525B2">
        <w:t>;</w:t>
      </w:r>
    </w:p>
    <w:p w14:paraId="77470AC1" w14:textId="77777777" w:rsidR="00432DC2" w:rsidRDefault="00F525B2" w:rsidP="00F525B2">
      <w:pPr>
        <w:pStyle w:val="B1"/>
      </w:pPr>
      <w:r>
        <w:t>-</w:t>
      </w:r>
      <w:r>
        <w:tab/>
        <w:t>QoS and Policy Assistance</w:t>
      </w:r>
      <w:r w:rsidR="00432DC2">
        <w:t>.</w:t>
      </w:r>
    </w:p>
    <w:p w14:paraId="7B74889E" w14:textId="77777777" w:rsidR="00A10B25" w:rsidRDefault="00A10B25">
      <w:pPr>
        <w:pStyle w:val="4"/>
      </w:pPr>
      <w:bookmarkStart w:id="482" w:name="_Toc185516980"/>
      <w:bookmarkStart w:id="483" w:name="_Toc191576031"/>
      <w:bookmarkStart w:id="484" w:name="_Toc191576771"/>
      <w:bookmarkStart w:id="485" w:name="_Toc192879841"/>
      <w:bookmarkStart w:id="486" w:name="_Toc195814724"/>
      <w:bookmarkStart w:id="487" w:name="_Toc199452671"/>
      <w:r>
        <w:t>4.2.</w:t>
      </w:r>
      <w:r>
        <w:rPr>
          <w:rFonts w:hint="eastAsia"/>
        </w:rPr>
        <w:t>1</w:t>
      </w:r>
      <w:r>
        <w:t>.2</w:t>
      </w:r>
      <w:r>
        <w:rPr>
          <w:rFonts w:hint="eastAsia"/>
        </w:rPr>
        <w:tab/>
      </w:r>
      <w:r>
        <w:t>Service Architecture</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40AA1500" w14:textId="77777777" w:rsidR="00A10B25" w:rsidRDefault="00A10B25">
      <w:r>
        <w:t xml:space="preserve">The 5G System Architecture is defined in 3GPP TS 23.501 [2]. The Network Data Analytics Exposure architecture is defined in 3GPP TS 23.288 [17]. The Network Data Analytics signalling flows are defined in 3GPP TS 29.552 [25], the Policy and Charging related 5G architecture is also described in 3GPP TS 23.503 [4] </w:t>
      </w:r>
      <w:r>
        <w:rPr>
          <w:lang w:val="en-US"/>
        </w:rPr>
        <w:t>and</w:t>
      </w:r>
      <w:r>
        <w:t xml:space="preserve"> 3GPP TS 29.513 [5].</w:t>
      </w:r>
    </w:p>
    <w:p w14:paraId="57F487BA" w14:textId="77777777" w:rsidR="00A10B25" w:rsidRDefault="00A10B25">
      <w:r>
        <w:t>The Nnwdaf_EventsSubscription service is part of the Nnwdaf service-based interface exhibited by the Network Data Analytics Function (NWDAF).</w:t>
      </w:r>
    </w:p>
    <w:p w14:paraId="5B07C588" w14:textId="77777777" w:rsidR="00A10B25" w:rsidRDefault="00A10B25">
      <w:r>
        <w:t>Known consumers of the Nnwdaf_EventsSubscription service are:</w:t>
      </w:r>
    </w:p>
    <w:p w14:paraId="5431DFE0" w14:textId="77777777" w:rsidR="00A10B25" w:rsidRDefault="00A10B25">
      <w:pPr>
        <w:pStyle w:val="B1"/>
      </w:pPr>
      <w:r>
        <w:t>-</w:t>
      </w:r>
      <w:r>
        <w:tab/>
        <w:t xml:space="preserve">Policy Control Function (PCF) </w:t>
      </w:r>
    </w:p>
    <w:p w14:paraId="18667CAE" w14:textId="77777777" w:rsidR="00A10B25" w:rsidRDefault="00A10B25">
      <w:pPr>
        <w:pStyle w:val="B1"/>
      </w:pPr>
      <w:r>
        <w:t>-</w:t>
      </w:r>
      <w:r>
        <w:tab/>
        <w:t>Network Slice Selection Function (NSSF)</w:t>
      </w:r>
    </w:p>
    <w:p w14:paraId="2EC9CCB2" w14:textId="77777777" w:rsidR="00A10B25" w:rsidRDefault="00A10B25">
      <w:pPr>
        <w:pStyle w:val="B1"/>
      </w:pPr>
      <w:r>
        <w:t>-</w:t>
      </w:r>
      <w:r>
        <w:tab/>
        <w:t xml:space="preserve">Access and Mobility Management Function (AMF) </w:t>
      </w:r>
    </w:p>
    <w:p w14:paraId="0EBE85F5" w14:textId="77777777" w:rsidR="00A10B25" w:rsidRDefault="00A10B25">
      <w:pPr>
        <w:pStyle w:val="B1"/>
      </w:pPr>
      <w:r>
        <w:t>-</w:t>
      </w:r>
      <w:r>
        <w:tab/>
        <w:t xml:space="preserve">Session Management Function (SMF) </w:t>
      </w:r>
    </w:p>
    <w:p w14:paraId="3E25D1CF" w14:textId="77777777" w:rsidR="00A10B25" w:rsidRDefault="00A10B25">
      <w:pPr>
        <w:pStyle w:val="B1"/>
      </w:pPr>
      <w:r>
        <w:t>-</w:t>
      </w:r>
      <w:r>
        <w:tab/>
        <w:t xml:space="preserve">Network Exposure Function (NEF) </w:t>
      </w:r>
    </w:p>
    <w:p w14:paraId="4BEEC8D1" w14:textId="77777777" w:rsidR="00A10B25" w:rsidRDefault="00A10B25">
      <w:pPr>
        <w:pStyle w:val="B1"/>
      </w:pPr>
      <w:r>
        <w:t>-</w:t>
      </w:r>
      <w:r>
        <w:tab/>
        <w:t xml:space="preserve">Application Function (AF) </w:t>
      </w:r>
    </w:p>
    <w:p w14:paraId="229AD2DE" w14:textId="77777777" w:rsidR="00A10B25" w:rsidRDefault="00A10B25">
      <w:pPr>
        <w:pStyle w:val="B1"/>
      </w:pPr>
      <w:r>
        <w:t>-</w:t>
      </w:r>
      <w:r>
        <w:tab/>
        <w:t>Location Management Function (LMF)</w:t>
      </w:r>
    </w:p>
    <w:p w14:paraId="2898596E" w14:textId="77777777" w:rsidR="00A10B25" w:rsidRDefault="00A10B25">
      <w:pPr>
        <w:pStyle w:val="B1"/>
      </w:pPr>
      <w:r>
        <w:t>-</w:t>
      </w:r>
      <w:r>
        <w:tab/>
        <w:t>Operation, Administration, and Maintenance (OAM)</w:t>
      </w:r>
    </w:p>
    <w:p w14:paraId="77AB8F13" w14:textId="77777777" w:rsidR="00A10B25" w:rsidRDefault="00A10B25">
      <w:pPr>
        <w:pStyle w:val="B1"/>
      </w:pPr>
      <w:r>
        <w:t>-</w:t>
      </w:r>
      <w:r>
        <w:tab/>
        <w:t xml:space="preserve">Charging Enablement Function (CEF) </w:t>
      </w:r>
    </w:p>
    <w:p w14:paraId="0B9CBC00" w14:textId="77777777" w:rsidR="00A10B25" w:rsidRDefault="00A10B25">
      <w:pPr>
        <w:pStyle w:val="B1"/>
      </w:pPr>
      <w:r>
        <w:t>-</w:t>
      </w:r>
      <w:r>
        <w:tab/>
        <w:t>Network Data Analytics Function (NWDAF)</w:t>
      </w:r>
    </w:p>
    <w:p w14:paraId="16E4F54A" w14:textId="77777777" w:rsidR="00A10B25" w:rsidRDefault="00A10B25">
      <w:pPr>
        <w:pStyle w:val="B1"/>
      </w:pPr>
      <w:r>
        <w:t>-</w:t>
      </w:r>
      <w:r>
        <w:tab/>
        <w:t>Data Collection Coordination Function (DCCF)</w:t>
      </w:r>
    </w:p>
    <w:p w14:paraId="68A2CE94" w14:textId="77777777" w:rsidR="009B01A5" w:rsidRDefault="009B01A5" w:rsidP="009B01A5">
      <w:pPr>
        <w:pStyle w:val="B1"/>
      </w:pPr>
      <w:r>
        <w:t>-</w:t>
      </w:r>
      <w:r>
        <w:tab/>
        <w:t>Analytics Data Repository Function (ADRF)</w:t>
      </w:r>
    </w:p>
    <w:p w14:paraId="48DBF488" w14:textId="77777777" w:rsidR="00AD5F95" w:rsidRDefault="00AD5F95" w:rsidP="00AD5F95">
      <w:pPr>
        <w:pStyle w:val="B1"/>
      </w:pPr>
      <w:r>
        <w:t>-</w:t>
      </w:r>
      <w:r>
        <w:tab/>
        <w:t>Unified Data Management (UDM)</w:t>
      </w:r>
    </w:p>
    <w:p w14:paraId="3940ED68" w14:textId="77777777" w:rsidR="00AD5F95" w:rsidRDefault="00AD5F95" w:rsidP="00AD5F95">
      <w:pPr>
        <w:pStyle w:val="B1"/>
      </w:pPr>
      <w:r>
        <w:t>-</w:t>
      </w:r>
      <w:r>
        <w:tab/>
        <w:t>Network Repository Function (NRF)</w:t>
      </w:r>
    </w:p>
    <w:p w14:paraId="0AE08D1F" w14:textId="77777777" w:rsidR="00AD5F95" w:rsidRDefault="00AD5F95" w:rsidP="00AD5F95">
      <w:pPr>
        <w:pStyle w:val="B1"/>
      </w:pPr>
      <w:r>
        <w:t>-</w:t>
      </w:r>
      <w:r>
        <w:tab/>
        <w:t>Service Communication Proxy (SCP)</w:t>
      </w:r>
    </w:p>
    <w:p w14:paraId="639285AC" w14:textId="77777777" w:rsidR="00AD5F95" w:rsidRDefault="00AD5F95" w:rsidP="00AD5F95">
      <w:r>
        <w:t>The PCF accesses the Nnwdaf_EventsSubscription service at the NWDAF via the N23 Reference point. The NSSF accesses the Nnwdaf_EventsSubscription service at the NWDAF via the N34 Reference point.</w:t>
      </w:r>
    </w:p>
    <w:p w14:paraId="071F0628" w14:textId="77777777" w:rsidR="00AD5F95" w:rsidRDefault="00AD5F95" w:rsidP="00AD5F95">
      <w:r>
        <w:object w:dxaOrig="16271" w:dyaOrig="2211" w14:anchorId="5280468B">
          <v:shape id="_x0000_i1027" type="#_x0000_t75" style="width:534.7pt;height:83.25pt" o:ole="">
            <v:imagedata r:id="rId11" o:title=""/>
          </v:shape>
          <o:OLEObject Type="Embed" ProgID="Visio.Drawing.15" ShapeID="_x0000_i1027" DrawAspect="Content" ObjectID="_1810065984" r:id="rId12"/>
        </w:object>
      </w:r>
    </w:p>
    <w:p w14:paraId="4C3BEADF" w14:textId="77777777" w:rsidR="00AD5F95" w:rsidRDefault="00AD5F95" w:rsidP="00AD5F95">
      <w:pPr>
        <w:pStyle w:val="TH"/>
        <w:rPr>
          <w:lang w:val="en-US"/>
        </w:rPr>
      </w:pPr>
    </w:p>
    <w:p w14:paraId="31AE4BA6" w14:textId="77777777" w:rsidR="00AD5F95" w:rsidRDefault="00AD5F95" w:rsidP="00AD5F95">
      <w:pPr>
        <w:pStyle w:val="TF"/>
      </w:pPr>
      <w:r>
        <w:t>Figure 4.2.1.2-1</w:t>
      </w:r>
      <w:r>
        <w:rPr>
          <w:lang w:eastAsia="zh-CN"/>
        </w:rPr>
        <w:t>:</w:t>
      </w:r>
      <w:r>
        <w:t xml:space="preserve"> Reference Architecture for the Nnwdaf_EventsSubscription Service; SBI representation</w:t>
      </w:r>
    </w:p>
    <w:p w14:paraId="0698E298" w14:textId="77777777" w:rsidR="00AD5F95" w:rsidRDefault="00AD5F95" w:rsidP="00AD5F95">
      <w:pPr>
        <w:pStyle w:val="TH"/>
      </w:pPr>
    </w:p>
    <w:p w14:paraId="3239990B" w14:textId="77777777" w:rsidR="00AD5F95" w:rsidRDefault="00AD5F95" w:rsidP="00AD5F95">
      <w:pPr>
        <w:pStyle w:val="TH"/>
        <w:rPr>
          <w:lang w:val="en-US" w:eastAsia="zh-CN"/>
        </w:rPr>
      </w:pPr>
      <w:r>
        <w:object w:dxaOrig="17601" w:dyaOrig="2381" w14:anchorId="0D7BDD0D">
          <v:shape id="_x0000_i1030" type="#_x0000_t75" style="width:535.95pt;height:82pt" o:ole="">
            <v:imagedata r:id="rId13" o:title=""/>
          </v:shape>
          <o:OLEObject Type="Embed" ProgID="Visio.Drawing.15" ShapeID="_x0000_i1030" DrawAspect="Content" ObjectID="_1810065985" r:id="rId14"/>
        </w:object>
      </w:r>
    </w:p>
    <w:p w14:paraId="66B0FAD5" w14:textId="77777777" w:rsidR="00AD5F95" w:rsidRDefault="00AD5F95" w:rsidP="00AD5F95">
      <w:pPr>
        <w:pStyle w:val="TF"/>
      </w:pPr>
      <w:r>
        <w:t>Figure 4.2.1.2-2</w:t>
      </w:r>
      <w:r>
        <w:rPr>
          <w:lang w:eastAsia="zh-CN"/>
        </w:rPr>
        <w:t>:</w:t>
      </w:r>
      <w:r>
        <w:t xml:space="preserve"> Reference Architecture for the Nnwdaf_EventsSubscription Service: reference point representation</w:t>
      </w:r>
    </w:p>
    <w:p w14:paraId="2E93B44B" w14:textId="77777777" w:rsidR="00A10B25" w:rsidRDefault="00A10B25">
      <w:pPr>
        <w:pStyle w:val="NO"/>
      </w:pPr>
      <w:r>
        <w:t>NOTE:</w:t>
      </w:r>
      <w:r>
        <w:tab/>
        <w:t>When the NEF subscribes the PFD Determination Analytics to the NWDAF, the NEF needs to support PFDF function as NEF (PFDF).</w:t>
      </w:r>
    </w:p>
    <w:p w14:paraId="73785ED6" w14:textId="77777777" w:rsidR="00A10B25" w:rsidRDefault="00A10B25">
      <w:pPr>
        <w:pStyle w:val="4"/>
        <w:rPr>
          <w:lang w:val="en-US"/>
        </w:rPr>
      </w:pPr>
      <w:bookmarkStart w:id="488" w:name="_Toc85552868"/>
      <w:bookmarkStart w:id="489" w:name="_Toc51762832"/>
      <w:bookmarkStart w:id="490" w:name="_Toc50031912"/>
      <w:bookmarkStart w:id="491" w:name="_Toc120702181"/>
      <w:bookmarkStart w:id="492" w:name="_Toc34266226"/>
      <w:bookmarkStart w:id="493" w:name="_Toc59017867"/>
      <w:bookmarkStart w:id="494" w:name="_Toc85556967"/>
      <w:bookmarkStart w:id="495" w:name="_Toc70550542"/>
      <w:bookmarkStart w:id="496" w:name="_Toc101244291"/>
      <w:bookmarkStart w:id="497" w:name="_Toc136562228"/>
      <w:bookmarkStart w:id="498" w:name="_Toc68168896"/>
      <w:bookmarkStart w:id="499" w:name="_Toc114133681"/>
      <w:bookmarkStart w:id="500" w:name="_Toc98233515"/>
      <w:bookmarkStart w:id="501" w:name="_Toc83232979"/>
      <w:bookmarkStart w:id="502" w:name="_Toc56640899"/>
      <w:bookmarkStart w:id="503" w:name="_Toc112951002"/>
      <w:bookmarkStart w:id="504" w:name="_Toc104538880"/>
      <w:bookmarkStart w:id="505" w:name="_Toc94064135"/>
      <w:bookmarkStart w:id="506" w:name="_Toc90655754"/>
      <w:bookmarkStart w:id="507" w:name="_Toc43563439"/>
      <w:bookmarkStart w:id="508" w:name="_Toc88667469"/>
      <w:bookmarkStart w:id="509" w:name="_Toc66231735"/>
      <w:bookmarkStart w:id="510" w:name="_Toc45133982"/>
      <w:bookmarkStart w:id="511" w:name="_Toc138754062"/>
      <w:bookmarkStart w:id="512" w:name="_Toc145705549"/>
      <w:bookmarkStart w:id="513" w:name="_Toc36102397"/>
      <w:bookmarkStart w:id="514" w:name="_Toc148522453"/>
      <w:bookmarkStart w:id="515" w:name="_Toc113031542"/>
      <w:bookmarkStart w:id="516" w:name="_Toc28012756"/>
      <w:bookmarkStart w:id="517" w:name="_Toc164920577"/>
      <w:bookmarkStart w:id="518" w:name="_Toc170120119"/>
      <w:bookmarkStart w:id="519" w:name="_Toc175858364"/>
      <w:bookmarkStart w:id="520" w:name="_Toc175859437"/>
      <w:bookmarkStart w:id="521" w:name="_Toc180605727"/>
      <w:bookmarkStart w:id="522" w:name="_Toc185516981"/>
      <w:bookmarkStart w:id="523" w:name="_Toc191576032"/>
      <w:bookmarkStart w:id="524" w:name="_Toc191576772"/>
      <w:bookmarkStart w:id="525" w:name="_Toc192879842"/>
      <w:bookmarkStart w:id="526" w:name="_Toc195814725"/>
      <w:bookmarkStart w:id="527" w:name="_Toc199452672"/>
      <w:r>
        <w:rPr>
          <w:lang w:val="en-US"/>
        </w:rPr>
        <w:t>4.2.</w:t>
      </w:r>
      <w:r>
        <w:rPr>
          <w:rFonts w:hint="eastAsia"/>
          <w:lang w:val="en-US" w:eastAsia="zh-CN"/>
        </w:rPr>
        <w:t>1.3</w:t>
      </w:r>
      <w:r>
        <w:rPr>
          <w:lang w:val="en-US"/>
        </w:rPr>
        <w:tab/>
        <w:t>Network Functions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6BDB1D6B" w14:textId="77777777" w:rsidR="00A10B25" w:rsidRDefault="00A10B25">
      <w:pPr>
        <w:pStyle w:val="5"/>
        <w:rPr>
          <w:lang w:eastAsia="zh-CN"/>
        </w:rPr>
      </w:pPr>
      <w:bookmarkStart w:id="528" w:name="_Toc145705550"/>
      <w:bookmarkStart w:id="529" w:name="_Toc138754063"/>
      <w:bookmarkStart w:id="530" w:name="_Toc148522454"/>
      <w:bookmarkStart w:id="531" w:name="_Toc59017868"/>
      <w:bookmarkStart w:id="532" w:name="_Toc45133983"/>
      <w:bookmarkStart w:id="533" w:name="_Toc85552869"/>
      <w:bookmarkStart w:id="534" w:name="_Toc88667470"/>
      <w:bookmarkStart w:id="535" w:name="_Toc83232980"/>
      <w:bookmarkStart w:id="536" w:name="_Toc51762833"/>
      <w:bookmarkStart w:id="537" w:name="_Toc70550543"/>
      <w:bookmarkStart w:id="538" w:name="_Toc68168897"/>
      <w:bookmarkStart w:id="539" w:name="_Toc56640900"/>
      <w:bookmarkStart w:id="540" w:name="_Toc136562229"/>
      <w:bookmarkStart w:id="541" w:name="_Toc28012757"/>
      <w:bookmarkStart w:id="542" w:name="_Toc34266227"/>
      <w:bookmarkStart w:id="543" w:name="_Toc113031543"/>
      <w:bookmarkStart w:id="544" w:name="_Toc50031913"/>
      <w:bookmarkStart w:id="545" w:name="_Toc43563440"/>
      <w:bookmarkStart w:id="546" w:name="_Toc85556968"/>
      <w:bookmarkStart w:id="547" w:name="_Toc98233516"/>
      <w:bookmarkStart w:id="548" w:name="_Toc112951003"/>
      <w:bookmarkStart w:id="549" w:name="_Toc104538881"/>
      <w:bookmarkStart w:id="550" w:name="_Toc120702182"/>
      <w:bookmarkStart w:id="551" w:name="_Toc101244292"/>
      <w:bookmarkStart w:id="552" w:name="_Toc90655755"/>
      <w:bookmarkStart w:id="553" w:name="_Toc66231736"/>
      <w:bookmarkStart w:id="554" w:name="_Toc94064136"/>
      <w:bookmarkStart w:id="555" w:name="_Toc36102398"/>
      <w:bookmarkStart w:id="556" w:name="_Toc114133682"/>
      <w:bookmarkStart w:id="557" w:name="_Toc164920578"/>
      <w:bookmarkStart w:id="558" w:name="_Toc170120120"/>
      <w:bookmarkStart w:id="559" w:name="_Toc175858365"/>
      <w:bookmarkStart w:id="560" w:name="_Toc175859438"/>
      <w:bookmarkStart w:id="561" w:name="_Toc180605728"/>
      <w:bookmarkStart w:id="562" w:name="_Toc185516982"/>
      <w:bookmarkStart w:id="563" w:name="_Toc191576033"/>
      <w:bookmarkStart w:id="564" w:name="_Toc191576773"/>
      <w:bookmarkStart w:id="565" w:name="_Toc192879843"/>
      <w:bookmarkStart w:id="566" w:name="_Toc195814726"/>
      <w:bookmarkStart w:id="567" w:name="_Toc199452673"/>
      <w:r>
        <w:t>4.2.</w:t>
      </w:r>
      <w:r>
        <w:rPr>
          <w:rFonts w:hint="eastAsia"/>
          <w:lang w:eastAsia="zh-CN"/>
        </w:rPr>
        <w:t>1.3.1</w:t>
      </w:r>
      <w:r>
        <w:tab/>
      </w:r>
      <w:r>
        <w:rPr>
          <w:lang w:val="en-US" w:eastAsia="zh-CN"/>
        </w:rPr>
        <w:t>Network Data Analytics Function (NWDAF)</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50047E71" w14:textId="77777777" w:rsidR="00A10B25" w:rsidRDefault="00A10B25">
      <w:r>
        <w:t>The Network Data Analytics Function (NWDAF) provides analytics information for different analytics events to NF</w:t>
      </w:r>
      <w:r>
        <w:rPr>
          <w:rFonts w:eastAsia="等线"/>
        </w:rPr>
        <w:t xml:space="preserve"> service</w:t>
      </w:r>
      <w:r>
        <w:t xml:space="preserve"> consumers.</w:t>
      </w:r>
    </w:p>
    <w:p w14:paraId="57739688" w14:textId="77777777" w:rsidR="00A10B25" w:rsidRDefault="00A10B25">
      <w:r>
        <w:t>The Network Data Analytics Function (NWDAF) allows NF</w:t>
      </w:r>
      <w:r>
        <w:rPr>
          <w:rFonts w:eastAsia="等线"/>
        </w:rPr>
        <w:t xml:space="preserve"> service</w:t>
      </w:r>
      <w:r>
        <w:t xml:space="preserve"> consumers to subscribe to and unsubscribe from one-time, periodic notification or notification when an event is detected.</w:t>
      </w:r>
    </w:p>
    <w:p w14:paraId="0862C550" w14:textId="77777777" w:rsidR="00A10B25" w:rsidRDefault="00A10B25">
      <w:r>
        <w:t xml:space="preserve">The Network Data Analytics Function (NWDAF) allows NF </w:t>
      </w:r>
      <w:r>
        <w:rPr>
          <w:rFonts w:eastAsia="等线"/>
        </w:rPr>
        <w:t xml:space="preserve">service </w:t>
      </w:r>
      <w:r>
        <w:t>consumers to request the transfer of subscriptions for analytics events.</w:t>
      </w:r>
    </w:p>
    <w:p w14:paraId="503842BD" w14:textId="77777777" w:rsidR="00A10B25" w:rsidRDefault="00A10B25">
      <w:pPr>
        <w:pStyle w:val="5"/>
        <w:rPr>
          <w:lang w:eastAsia="zh-CN"/>
        </w:rPr>
      </w:pPr>
      <w:bookmarkStart w:id="568" w:name="_Toc56640901"/>
      <w:bookmarkStart w:id="569" w:name="_Toc43563441"/>
      <w:bookmarkStart w:id="570" w:name="_Toc145705551"/>
      <w:bookmarkStart w:id="571" w:name="_Toc66231737"/>
      <w:bookmarkStart w:id="572" w:name="_Toc148522455"/>
      <w:bookmarkStart w:id="573" w:name="_Toc138754064"/>
      <w:bookmarkStart w:id="574" w:name="_Toc51762834"/>
      <w:bookmarkStart w:id="575" w:name="_Toc88667471"/>
      <w:bookmarkStart w:id="576" w:name="_Toc34266228"/>
      <w:bookmarkStart w:id="577" w:name="_Toc136562230"/>
      <w:bookmarkStart w:id="578" w:name="_Toc68168898"/>
      <w:bookmarkStart w:id="579" w:name="_Toc85556969"/>
      <w:bookmarkStart w:id="580" w:name="_Toc113031544"/>
      <w:bookmarkStart w:id="581" w:name="_Toc94064137"/>
      <w:bookmarkStart w:id="582" w:name="_Toc98233517"/>
      <w:bookmarkStart w:id="583" w:name="_Toc59017869"/>
      <w:bookmarkStart w:id="584" w:name="_Toc70550544"/>
      <w:bookmarkStart w:id="585" w:name="_Toc85552870"/>
      <w:bookmarkStart w:id="586" w:name="_Toc90655756"/>
      <w:bookmarkStart w:id="587" w:name="_Toc114133683"/>
      <w:bookmarkStart w:id="588" w:name="_Toc120702183"/>
      <w:bookmarkStart w:id="589" w:name="_Toc112951004"/>
      <w:bookmarkStart w:id="590" w:name="_Toc101244293"/>
      <w:bookmarkStart w:id="591" w:name="_Toc83232981"/>
      <w:bookmarkStart w:id="592" w:name="_Toc104538882"/>
      <w:bookmarkStart w:id="593" w:name="_Toc50031914"/>
      <w:bookmarkStart w:id="594" w:name="_Toc36102399"/>
      <w:bookmarkStart w:id="595" w:name="_Toc45133984"/>
      <w:bookmarkStart w:id="596" w:name="_Toc28012758"/>
      <w:bookmarkStart w:id="597" w:name="_Toc164920579"/>
      <w:bookmarkStart w:id="598" w:name="_Toc170120121"/>
      <w:bookmarkStart w:id="599" w:name="_Toc175858366"/>
      <w:bookmarkStart w:id="600" w:name="_Toc175859439"/>
      <w:bookmarkStart w:id="601" w:name="_Toc180605729"/>
      <w:bookmarkStart w:id="602" w:name="_Toc185516983"/>
      <w:bookmarkStart w:id="603" w:name="_Toc191576034"/>
      <w:bookmarkStart w:id="604" w:name="_Toc191576774"/>
      <w:bookmarkStart w:id="605" w:name="_Toc192879844"/>
      <w:bookmarkStart w:id="606" w:name="_Toc195814727"/>
      <w:bookmarkStart w:id="607" w:name="_Toc199452674"/>
      <w:r>
        <w:t>4.2.</w:t>
      </w:r>
      <w:r>
        <w:rPr>
          <w:lang w:eastAsia="zh-CN"/>
        </w:rPr>
        <w:t>1.3.2</w:t>
      </w:r>
      <w:r>
        <w:tab/>
      </w:r>
      <w:r>
        <w:rPr>
          <w:lang w:eastAsia="zh-CN"/>
        </w:rPr>
        <w:t>NF Service Consumers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19651ABD" w14:textId="77777777" w:rsidR="00A10B25" w:rsidRDefault="00A10B25">
      <w:r>
        <w:t>The Policy Control Function (PCF):</w:t>
      </w:r>
    </w:p>
    <w:p w14:paraId="56BF827A" w14:textId="77777777" w:rsidR="00A10B25" w:rsidRDefault="00A10B25">
      <w:pPr>
        <w:pStyle w:val="B1"/>
      </w:pPr>
      <w:r>
        <w:t>-</w:t>
      </w:r>
      <w:r>
        <w:tab/>
        <w:t>supports (un)subscription to the notification of analytics information for slice load level information from the NWDAF;</w:t>
      </w:r>
    </w:p>
    <w:p w14:paraId="0BFD568B" w14:textId="77777777" w:rsidR="00A10B25" w:rsidRDefault="00A10B25">
      <w:pPr>
        <w:pStyle w:val="B1"/>
      </w:pPr>
      <w:r>
        <w:t>-</w:t>
      </w:r>
      <w:r>
        <w:tab/>
        <w:t>supports (un)subscription to the notification of analytics information for service experience related network data from the NWDAF;</w:t>
      </w:r>
    </w:p>
    <w:p w14:paraId="10EDCC45" w14:textId="77777777" w:rsidR="00A10B25" w:rsidRDefault="00A10B25">
      <w:pPr>
        <w:pStyle w:val="B1"/>
      </w:pPr>
      <w:r>
        <w:t>-</w:t>
      </w:r>
      <w:r>
        <w:tab/>
        <w:t>supports (un)subscription to the notification of analytics information for network performance from the NWDAF;</w:t>
      </w:r>
    </w:p>
    <w:p w14:paraId="0DC22845" w14:textId="77777777" w:rsidR="00A10B25" w:rsidRDefault="00A10B25">
      <w:pPr>
        <w:pStyle w:val="B1"/>
      </w:pPr>
      <w:r>
        <w:t>-</w:t>
      </w:r>
      <w:r>
        <w:tab/>
        <w:t>supports (un)subscription to the notification of analytics information for abnormal UE behaviour from the NWDAF;</w:t>
      </w:r>
    </w:p>
    <w:p w14:paraId="6C8F9131" w14:textId="77777777" w:rsidR="00A10B25" w:rsidRDefault="00A10B25">
      <w:pPr>
        <w:pStyle w:val="B1"/>
      </w:pPr>
      <w:r>
        <w:t>-</w:t>
      </w:r>
      <w:r>
        <w:tab/>
        <w:t>supports (un)subscription to the notification of analytics infor</w:t>
      </w:r>
      <w:r>
        <w:lastRenderedPageBreak/>
        <w:t>mation for UE mobility from the NWDAF;</w:t>
      </w:r>
    </w:p>
    <w:p w14:paraId="5AC1F27F" w14:textId="77777777" w:rsidR="00A10B25" w:rsidRDefault="00A10B25">
      <w:pPr>
        <w:pStyle w:val="B1"/>
      </w:pPr>
      <w:r>
        <w:t>-</w:t>
      </w:r>
      <w:r>
        <w:tab/>
        <w:t>supports (un)subscription to the notification of analytics information for UE communication from the NWDAF;</w:t>
      </w:r>
    </w:p>
    <w:p w14:paraId="5D80C8FA" w14:textId="77777777" w:rsidR="00A10B25" w:rsidRDefault="00A10B25">
      <w:pPr>
        <w:pStyle w:val="B1"/>
      </w:pPr>
      <w:r>
        <w:t>-</w:t>
      </w:r>
      <w:r>
        <w:tab/>
        <w:t>supports (un)subscription to the notification of analytics information for user data congestion from the NWDAF;</w:t>
      </w:r>
    </w:p>
    <w:p w14:paraId="30AB0CAB" w14:textId="77777777" w:rsidR="00A10B25" w:rsidRDefault="00A10B25">
      <w:pPr>
        <w:pStyle w:val="B1"/>
      </w:pPr>
      <w:r>
        <w:t>-</w:t>
      </w:r>
      <w:r>
        <w:tab/>
        <w:t>supports (un)subscription to the notification of analytics information for dispersion from the NWDAF;</w:t>
      </w:r>
    </w:p>
    <w:p w14:paraId="2D11BA8A" w14:textId="77777777" w:rsidR="00A10B25" w:rsidRDefault="00A10B25">
      <w:pPr>
        <w:pStyle w:val="B1"/>
      </w:pPr>
      <w:r>
        <w:t>-</w:t>
      </w:r>
      <w:r>
        <w:tab/>
        <w:t xml:space="preserve">supports (un)subscription to the notification of analytics information for </w:t>
      </w:r>
      <w:r>
        <w:rPr>
          <w:rFonts w:eastAsia="等线"/>
        </w:rPr>
        <w:t>session management congestion control experience</w:t>
      </w:r>
      <w:r>
        <w:t xml:space="preserve"> from the NWDAF;</w:t>
      </w:r>
    </w:p>
    <w:p w14:paraId="1C2DFF60" w14:textId="77777777" w:rsidR="00A10B25" w:rsidRDefault="00A10B25">
      <w:pPr>
        <w:pStyle w:val="B1"/>
      </w:pPr>
      <w:r>
        <w:t>-</w:t>
      </w:r>
      <w:r>
        <w:tab/>
        <w:t xml:space="preserve">supports (un)subscription to the notification of analytics information for </w:t>
      </w:r>
      <w:r>
        <w:rPr>
          <w:rFonts w:eastAsia="等线"/>
        </w:rPr>
        <w:t>redundant transmission experience</w:t>
      </w:r>
      <w:r>
        <w:t xml:space="preserve"> from the NWDAF;</w:t>
      </w:r>
    </w:p>
    <w:p w14:paraId="2BAAC50B" w14:textId="77777777" w:rsidR="00432DC2" w:rsidRDefault="00432DC2" w:rsidP="00432DC2">
      <w:pPr>
        <w:pStyle w:val="B1"/>
      </w:pPr>
      <w:r>
        <w:t>-</w:t>
      </w:r>
      <w:r>
        <w:tab/>
        <w:t>supports (un)subscription to the notification of analytics information for DN performance from the NWDAF;</w:t>
      </w:r>
    </w:p>
    <w:p w14:paraId="5155EF31" w14:textId="77777777" w:rsidR="00432DC2" w:rsidRDefault="00432DC2" w:rsidP="00432DC2">
      <w:pPr>
        <w:pStyle w:val="B1"/>
      </w:pPr>
      <w:r>
        <w:t>-</w:t>
      </w:r>
      <w:r>
        <w:tab/>
        <w:t>supports (un)subscription to the notification of analytics information for WLAN performance from the NWDAF;</w:t>
      </w:r>
    </w:p>
    <w:p w14:paraId="68C60D7B" w14:textId="77777777" w:rsidR="00432DC2" w:rsidRDefault="00432DC2" w:rsidP="00432DC2">
      <w:pPr>
        <w:pStyle w:val="B1"/>
      </w:pPr>
      <w:r>
        <w:t>-</w:t>
      </w:r>
      <w:r>
        <w:tab/>
        <w:t>supports (un)subscription to the notification of analytics information for PDU Session traffic from the NWDAF;</w:t>
      </w:r>
    </w:p>
    <w:p w14:paraId="110009FE" w14:textId="4774D106" w:rsidR="00F525B2" w:rsidRDefault="00F525B2" w:rsidP="00F525B2">
      <w:pPr>
        <w:pStyle w:val="B1"/>
      </w:pPr>
      <w:r>
        <w:t>-</w:t>
      </w:r>
      <w:r>
        <w:tab/>
        <w:t>supports (un)subscription to the notification</w:t>
      </w:r>
      <w:r>
        <w:rPr>
          <w:rFonts w:eastAsia="等线"/>
        </w:rPr>
        <w:t xml:space="preserve"> </w:t>
      </w:r>
      <w:r>
        <w:t>of analytics information</w:t>
      </w:r>
      <w:r>
        <w:rPr>
          <w:rFonts w:eastAsia="等线"/>
        </w:rPr>
        <w:t xml:space="preserve"> for </w:t>
      </w:r>
      <w:r>
        <w:t xml:space="preserve">signalling storm from NWDAF; </w:t>
      </w:r>
    </w:p>
    <w:p w14:paraId="498C14BD" w14:textId="77777777" w:rsidR="00F525B2" w:rsidRDefault="00F525B2" w:rsidP="00F525B2">
      <w:pPr>
        <w:pStyle w:val="B1"/>
      </w:pPr>
      <w:r>
        <w:t>-</w:t>
      </w:r>
      <w:r>
        <w:tab/>
        <w:t>supports taking one or more above input from the NWDAF into consideration for policies on assignment of network resources and/or for traffic steering policies; and</w:t>
      </w:r>
    </w:p>
    <w:p w14:paraId="1E046ABB" w14:textId="77777777" w:rsidR="00F525B2" w:rsidRDefault="00F525B2" w:rsidP="00F525B2">
      <w:pPr>
        <w:pStyle w:val="B1"/>
      </w:pPr>
      <w:r>
        <w:lastRenderedPageBreak/>
        <w:t>-</w:t>
      </w:r>
      <w:r>
        <w:tab/>
        <w:t>supports (un)subscription to the notification of analytics information for QoS and policy assistance from the NWDAF.</w:t>
      </w:r>
    </w:p>
    <w:p w14:paraId="2A7F5A22" w14:textId="77777777" w:rsidR="00A10B25" w:rsidRDefault="00A10B25">
      <w:pPr>
        <w:pStyle w:val="NO"/>
      </w:pPr>
      <w:r>
        <w:rPr>
          <w:rFonts w:eastAsia="MS Mincho"/>
        </w:rPr>
        <w:t>NOTE:</w:t>
      </w:r>
      <w:r>
        <w:rPr>
          <w:rFonts w:eastAsia="MS Mincho"/>
        </w:rPr>
        <w:tab/>
        <w:t>How this information is used by the PCF is not standardized in this specification.</w:t>
      </w:r>
    </w:p>
    <w:p w14:paraId="72B187CA" w14:textId="77777777" w:rsidR="00A10B25" w:rsidRDefault="00A10B25">
      <w:r>
        <w:rPr>
          <w:rFonts w:eastAsia="MS Mincho"/>
        </w:rPr>
        <w:t xml:space="preserve">The </w:t>
      </w:r>
      <w:r>
        <w:t>Network Slice Selection Function (NSSF):</w:t>
      </w:r>
    </w:p>
    <w:p w14:paraId="1FB34E7D" w14:textId="77777777" w:rsidR="00A10B25" w:rsidRDefault="00A10B25">
      <w:pPr>
        <w:pStyle w:val="B1"/>
      </w:pPr>
      <w:r>
        <w:t>-</w:t>
      </w:r>
      <w:r>
        <w:tab/>
        <w:t>supports (un)subscription to the notification of analytics information for slice load level information or network slice instance load level information from the NWDAF to determine slice selection;</w:t>
      </w:r>
    </w:p>
    <w:p w14:paraId="3CD6DFDC" w14:textId="77777777" w:rsidR="00A10B25" w:rsidRDefault="00A10B25">
      <w:pPr>
        <w:pStyle w:val="B1"/>
      </w:pPr>
      <w:r>
        <w:t>-</w:t>
      </w:r>
      <w:r>
        <w:tab/>
        <w:t>supports (un)subscription to the notification of analytics information for service experience related network data from the NWDAF; and</w:t>
      </w:r>
    </w:p>
    <w:p w14:paraId="1A56DB95" w14:textId="77777777" w:rsidR="00A10B25" w:rsidRDefault="00A10B25">
      <w:pPr>
        <w:pStyle w:val="B1"/>
      </w:pPr>
      <w:r>
        <w:t>-</w:t>
      </w:r>
      <w:r>
        <w:tab/>
        <w:t>supports (un)subscription to the notification of analytics information for dispersion at the slice from the NWDAF.</w:t>
      </w:r>
    </w:p>
    <w:p w14:paraId="1132A2BF" w14:textId="77777777" w:rsidR="00432DC2" w:rsidRDefault="00432DC2" w:rsidP="00432DC2">
      <w:bookmarkStart w:id="608" w:name="_Toc83232982"/>
      <w:bookmarkStart w:id="609" w:name="_Toc51762835"/>
      <w:bookmarkStart w:id="610" w:name="_Toc56640902"/>
      <w:bookmarkStart w:id="611" w:name="_Toc36102400"/>
      <w:bookmarkStart w:id="612" w:name="_Toc45133985"/>
      <w:bookmarkStart w:id="613" w:name="_Toc94064138"/>
      <w:bookmarkStart w:id="614" w:name="_Toc68168899"/>
      <w:bookmarkStart w:id="615" w:name="_Toc59017870"/>
      <w:bookmarkStart w:id="616" w:name="_Toc66231738"/>
      <w:bookmarkStart w:id="617" w:name="_Toc98233518"/>
      <w:bookmarkStart w:id="618" w:name="_Toc88667472"/>
      <w:bookmarkStart w:id="619" w:name="_Toc113031545"/>
      <w:bookmarkStart w:id="620" w:name="_Toc114133684"/>
      <w:bookmarkStart w:id="621" w:name="_Toc43563442"/>
      <w:bookmarkStart w:id="622" w:name="_Toc70550545"/>
      <w:bookmarkStart w:id="623" w:name="_Toc34266229"/>
      <w:bookmarkStart w:id="624" w:name="_Toc120702184"/>
      <w:bookmarkStart w:id="625" w:name="_Toc112951005"/>
      <w:bookmarkStart w:id="626" w:name="_Toc85556970"/>
      <w:bookmarkStart w:id="627" w:name="_Toc101244294"/>
      <w:bookmarkStart w:id="628" w:name="_Toc90655757"/>
      <w:bookmarkStart w:id="629" w:name="_Toc145705552"/>
      <w:bookmarkStart w:id="630" w:name="_Toc136562231"/>
      <w:bookmarkStart w:id="631" w:name="_Toc28012759"/>
      <w:bookmarkStart w:id="632" w:name="_Toc50031915"/>
      <w:bookmarkStart w:id="633" w:name="_Toc138754065"/>
      <w:bookmarkStart w:id="634" w:name="_Toc85552871"/>
      <w:bookmarkStart w:id="635" w:name="_Toc148522456"/>
      <w:bookmarkStart w:id="636" w:name="_Toc104538883"/>
      <w:bookmarkStart w:id="637" w:name="_Toc164920580"/>
      <w:bookmarkStart w:id="638" w:name="_Toc170120122"/>
      <w:bookmarkStart w:id="639" w:name="_Toc175858367"/>
      <w:bookmarkStart w:id="640" w:name="_Toc175859440"/>
      <w:bookmarkStart w:id="641" w:name="_Toc180605730"/>
      <w:r>
        <w:rPr>
          <w:rFonts w:eastAsia="MS Mincho"/>
        </w:rPr>
        <w:t xml:space="preserve">The </w:t>
      </w:r>
      <w:r>
        <w:t>Access and Mobility Management Function (AMF):</w:t>
      </w:r>
    </w:p>
    <w:p w14:paraId="5E9A3507" w14:textId="77777777" w:rsidR="00432DC2" w:rsidRDefault="00432DC2" w:rsidP="00432DC2">
      <w:pPr>
        <w:pStyle w:val="B1"/>
      </w:pPr>
      <w:r>
        <w:t>-</w:t>
      </w:r>
      <w:r>
        <w:tab/>
        <w:t>supports (un)subscription to the notification of analytics information for slice load level information from the NWDAF;</w:t>
      </w:r>
    </w:p>
    <w:p w14:paraId="5CF13DDC" w14:textId="77777777" w:rsidR="00432DC2" w:rsidRDefault="00432DC2" w:rsidP="00432DC2">
      <w:pPr>
        <w:pStyle w:val="B1"/>
      </w:pPr>
      <w:r>
        <w:t>-</w:t>
      </w:r>
      <w:r>
        <w:tab/>
        <w:t>supports (un)subscription to the notification of analytics information for service experience related network data from the NWDAF;</w:t>
      </w:r>
    </w:p>
    <w:p w14:paraId="2DDF057A" w14:textId="77777777" w:rsidR="00F525B2" w:rsidRDefault="00F525B2" w:rsidP="00F525B2">
      <w:pPr>
        <w:pStyle w:val="B1"/>
      </w:pPr>
      <w:r>
        <w:t>-</w:t>
      </w:r>
      <w:r>
        <w:tab/>
        <w:t>supports (un)subscription to the notification of analytics information for SMF load information from the NWDAF to determine SMF selection;</w:t>
      </w:r>
    </w:p>
    <w:p w14:paraId="5FE1EA04" w14:textId="77777777" w:rsidR="00432DC2" w:rsidRDefault="00432DC2" w:rsidP="00432DC2">
      <w:pPr>
        <w:pStyle w:val="B1"/>
      </w:pPr>
      <w:r>
        <w:t>-</w:t>
      </w:r>
      <w:r>
        <w:tab/>
        <w:t>supports (un)subscription to the notification of analytics information for expected UE behavioural information (UE mobility and/or UE communication) from the NWDAF to monitor UE behaviour;</w:t>
      </w:r>
    </w:p>
    <w:p w14:paraId="78DB8D57" w14:textId="77777777" w:rsidR="00432DC2" w:rsidRDefault="00432DC2" w:rsidP="00432DC2">
      <w:pPr>
        <w:pStyle w:val="B1"/>
      </w:pPr>
      <w:r>
        <w:t>-</w:t>
      </w:r>
      <w:r>
        <w:tab/>
        <w:t>supports (un)subscription to the notification of analytics information for abnormal UE behaviour information from the NWDAF to determine adjustment of UE mobility related network parameters to solve the abnormal risk;</w:t>
      </w:r>
    </w:p>
    <w:p w14:paraId="19CA4668" w14:textId="77777777" w:rsidR="00432DC2" w:rsidRDefault="00432DC2" w:rsidP="00432DC2">
      <w:pPr>
        <w:pStyle w:val="B1"/>
      </w:pPr>
      <w:r>
        <w:t>-</w:t>
      </w:r>
      <w:r>
        <w:tab/>
        <w:t>supports (un)subscription to the notification of analytics information for dispersion at the slice from the NWDAF; and</w:t>
      </w:r>
    </w:p>
    <w:p w14:paraId="7FFBCABC"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t>signalling storm from NWDAF.</w:t>
      </w:r>
    </w:p>
    <w:p w14:paraId="799D8F05" w14:textId="77777777" w:rsidR="00432DC2" w:rsidRDefault="00432DC2" w:rsidP="00432DC2">
      <w:r>
        <w:rPr>
          <w:rFonts w:eastAsia="MS Mincho"/>
        </w:rPr>
        <w:t xml:space="preserve">The </w:t>
      </w:r>
      <w:r>
        <w:t>Session Management Function (SMF):</w:t>
      </w:r>
    </w:p>
    <w:p w14:paraId="2C84B56B" w14:textId="77777777" w:rsidR="00432DC2" w:rsidRDefault="00432DC2" w:rsidP="00432DC2">
      <w:pPr>
        <w:pStyle w:val="B1"/>
      </w:pPr>
      <w:r>
        <w:t>-</w:t>
      </w:r>
      <w:r>
        <w:tab/>
        <w:t>supports (un)subscription to the notification of analytics information for UPF load information from the NWDAF to determine UPF selection;</w:t>
      </w:r>
    </w:p>
    <w:p w14:paraId="7A30946C" w14:textId="77777777" w:rsidR="00432DC2" w:rsidRDefault="00432DC2" w:rsidP="00432DC2">
      <w:pPr>
        <w:pStyle w:val="B1"/>
      </w:pPr>
      <w:r>
        <w:t>-</w:t>
      </w:r>
      <w:r>
        <w:tab/>
        <w:t>supports (un)subscription to the notification of analytics information for UE mobility information from the NWDAF to determine UPF selection;</w:t>
      </w:r>
    </w:p>
    <w:p w14:paraId="34BAE92C" w14:textId="77777777" w:rsidR="00432DC2" w:rsidRDefault="00432DC2" w:rsidP="00432DC2">
      <w:pPr>
        <w:pStyle w:val="B1"/>
      </w:pPr>
      <w:r>
        <w:t>-</w:t>
      </w:r>
      <w:r>
        <w:tab/>
        <w:t>supports (un)subscription to the notification of analytics information for Session Management Congestion Control Experience from the NWDAF;</w:t>
      </w:r>
    </w:p>
    <w:p w14:paraId="0190133B" w14:textId="77777777" w:rsidR="00432DC2" w:rsidRDefault="00432DC2" w:rsidP="00432DC2">
      <w:pPr>
        <w:pStyle w:val="B1"/>
      </w:pPr>
      <w:r>
        <w:t>-</w:t>
      </w:r>
      <w:r>
        <w:tab/>
        <w:t>supports (un)subscription to the notification of analytics information for expected UE behavioural information (UE mobility and/or UE communication) from the NWDAF to monitor UE behaviour;</w:t>
      </w:r>
    </w:p>
    <w:p w14:paraId="0F3E7489" w14:textId="77777777" w:rsidR="00432DC2" w:rsidRDefault="00432DC2" w:rsidP="00432DC2">
      <w:pPr>
        <w:pStyle w:val="B1"/>
      </w:pPr>
      <w:r>
        <w:t>-</w:t>
      </w:r>
      <w:r>
        <w:tab/>
        <w:t>supports (un)subscription to the notification of analytics information for abnormal UE behaviour information from the NWDAF to determine adjustment of UE communication related network parameters to solve the abnormal risk;</w:t>
      </w:r>
    </w:p>
    <w:p w14:paraId="6A0964CA" w14:textId="77777777" w:rsidR="00432DC2" w:rsidRDefault="00432DC2" w:rsidP="00432DC2">
      <w:pPr>
        <w:pStyle w:val="B1"/>
      </w:pPr>
      <w:r>
        <w:t>-</w:t>
      </w:r>
      <w:r>
        <w:tab/>
        <w:t>supports (un)subscription to the notification of analytics information for slice load level info</w:t>
      </w:r>
      <w:r>
        <w:lastRenderedPageBreak/>
        <w:t xml:space="preserve">rmation or network slice instance load level information from the NWDAF to determine slice selection. </w:t>
      </w:r>
    </w:p>
    <w:p w14:paraId="056C877E" w14:textId="77777777" w:rsidR="00432DC2" w:rsidRDefault="00432DC2" w:rsidP="00432DC2">
      <w:pPr>
        <w:pStyle w:val="B1"/>
      </w:pPr>
      <w:r>
        <w:t>-</w:t>
      </w:r>
      <w:r>
        <w:tab/>
        <w:t>supports (un)subscription to the notification of analytics information for service experience related network data from the NWDAF;</w:t>
      </w:r>
    </w:p>
    <w:p w14:paraId="2F96B05C" w14:textId="77777777" w:rsidR="00432DC2" w:rsidRDefault="00432DC2" w:rsidP="00432DC2">
      <w:pPr>
        <w:pStyle w:val="B1"/>
      </w:pPr>
      <w:r>
        <w:t>-</w:t>
      </w:r>
      <w:r>
        <w:tab/>
        <w:t>supports (un)subscription to the notification of analytics information for redundant transmission experience from the NWDAF to consider whether redundant transmission shall be performed, or (if it had been activated) shall be stopped;</w:t>
      </w:r>
    </w:p>
    <w:p w14:paraId="42F88D1E" w14:textId="77777777" w:rsidR="00432DC2" w:rsidRDefault="00432DC2" w:rsidP="00432DC2">
      <w:pPr>
        <w:pStyle w:val="B1"/>
        <w:rPr>
          <w:rFonts w:eastAsia="等线"/>
        </w:rPr>
      </w:pPr>
      <w:r>
        <w:t>-</w:t>
      </w:r>
      <w:r>
        <w:tab/>
        <w:t>supports (un)subscription to the notification</w:t>
      </w:r>
      <w:r>
        <w:rPr>
          <w:rFonts w:eastAsia="等线"/>
        </w:rPr>
        <w:t xml:space="preserve"> </w:t>
      </w:r>
      <w:r>
        <w:t>of analytics information</w:t>
      </w:r>
      <w:r>
        <w:rPr>
          <w:rFonts w:eastAsia="等线"/>
        </w:rPr>
        <w:t xml:space="preserve"> for </w:t>
      </w:r>
      <w:r>
        <w:t>DN performance</w:t>
      </w:r>
      <w:r>
        <w:rPr>
          <w:rFonts w:eastAsia="等线"/>
        </w:rPr>
        <w:t xml:space="preserve"> from the NWDAF;</w:t>
      </w:r>
      <w:r>
        <w:t xml:space="preserve"> and</w:t>
      </w:r>
    </w:p>
    <w:p w14:paraId="544A8D9E"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t>signalling storm from NWDAF</w:t>
      </w:r>
      <w:r>
        <w:rPr>
          <w:rFonts w:eastAsia="等线"/>
        </w:rPr>
        <w:t>.</w:t>
      </w:r>
    </w:p>
    <w:p w14:paraId="4B27B872" w14:textId="77777777" w:rsidR="00432DC2" w:rsidRDefault="00432DC2" w:rsidP="00432DC2">
      <w:r>
        <w:rPr>
          <w:rFonts w:eastAsia="MS Mincho"/>
        </w:rPr>
        <w:t xml:space="preserve">The </w:t>
      </w:r>
      <w:r>
        <w:t>Network Exposure Function (NEF):</w:t>
      </w:r>
    </w:p>
    <w:p w14:paraId="4DDBC348" w14:textId="77777777" w:rsidR="00432DC2" w:rsidRDefault="00432DC2" w:rsidP="00432DC2">
      <w:pPr>
        <w:pStyle w:val="B1"/>
        <w:ind w:left="0" w:firstLine="284"/>
      </w:pPr>
      <w:r>
        <w:t>-</w:t>
      </w:r>
      <w:r>
        <w:tab/>
        <w:t>supports (un)subscription to the notification</w:t>
      </w:r>
      <w:r>
        <w:rPr>
          <w:rFonts w:eastAsia="等线"/>
        </w:rPr>
        <w:t xml:space="preserve"> </w:t>
      </w:r>
      <w:r>
        <w:t>of analytics information</w:t>
      </w:r>
      <w:r>
        <w:rPr>
          <w:rFonts w:eastAsia="等线"/>
        </w:rPr>
        <w:t xml:space="preserve"> for </w:t>
      </w:r>
      <w:r>
        <w:t>UE mobility from the NWDAF;</w:t>
      </w:r>
    </w:p>
    <w:p w14:paraId="02DF8125"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t>UE communication from the NWDAF;</w:t>
      </w:r>
    </w:p>
    <w:p w14:paraId="536A0FB4"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t>expected UE behavioural (UE mobility and/or UE communication) from the NWDAF;</w:t>
      </w:r>
    </w:p>
    <w:p w14:paraId="26E94D21"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t>abnormal behaviour from the NWDAF;</w:t>
      </w:r>
    </w:p>
    <w:p w14:paraId="5F40A235"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t>user data congestion from the NWDAF;</w:t>
      </w:r>
    </w:p>
    <w:p w14:paraId="4D9BC66F" w14:textId="77777777" w:rsidR="00432DC2" w:rsidRDefault="00432DC2" w:rsidP="00432DC2">
      <w:pPr>
        <w:pStyle w:val="B1"/>
      </w:pPr>
      <w:r>
        <w:lastRenderedPageBreak/>
        <w:t>-</w:t>
      </w:r>
      <w:r>
        <w:tab/>
        <w:t>supports (un)subscription to the notification</w:t>
      </w:r>
      <w:r>
        <w:rPr>
          <w:rFonts w:eastAsia="等线"/>
        </w:rPr>
        <w:t xml:space="preserve"> </w:t>
      </w:r>
      <w:r>
        <w:t>of analytics information</w:t>
      </w:r>
      <w:r>
        <w:rPr>
          <w:rFonts w:eastAsia="等线"/>
        </w:rPr>
        <w:t xml:space="preserve"> for </w:t>
      </w:r>
      <w:r>
        <w:t>network performance from the NWDAF;</w:t>
      </w:r>
    </w:p>
    <w:p w14:paraId="6C1881D7"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t>QoS Sustainability from the NWDAF;</w:t>
      </w:r>
    </w:p>
    <w:p w14:paraId="0339F611"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t>Dispersion from the NWDAF;</w:t>
      </w:r>
    </w:p>
    <w:p w14:paraId="61A19F73" w14:textId="77777777" w:rsidR="00432DC2" w:rsidRDefault="00432DC2" w:rsidP="00432DC2">
      <w:pPr>
        <w:pStyle w:val="B1"/>
      </w:pPr>
      <w:bookmarkStart w:id="642" w:name="_Hlk168547853"/>
      <w:r>
        <w:t>-</w:t>
      </w:r>
      <w:r>
        <w:tab/>
        <w:t>supports (un)subscription to the notification</w:t>
      </w:r>
      <w:r>
        <w:rPr>
          <w:rFonts w:eastAsia="等线"/>
        </w:rPr>
        <w:t xml:space="preserve"> </w:t>
      </w:r>
      <w:r>
        <w:t>of analytics information</w:t>
      </w:r>
      <w:r>
        <w:rPr>
          <w:rFonts w:eastAsia="等线"/>
        </w:rPr>
        <w:t xml:space="preserve"> for </w:t>
      </w:r>
      <w:r>
        <w:t>DN performance from the NWDAF;</w:t>
      </w:r>
    </w:p>
    <w:p w14:paraId="106EDE3E" w14:textId="77777777" w:rsidR="00432DC2" w:rsidRDefault="00432DC2" w:rsidP="00432DC2">
      <w:pPr>
        <w:pStyle w:val="B1"/>
      </w:pPr>
      <w:r>
        <w:t>-</w:t>
      </w:r>
      <w:r>
        <w:tab/>
        <w:t>supports (un)subscription to the notification of analytics information for WLAN performance from the NWDAF;</w:t>
      </w:r>
    </w:p>
    <w:bookmarkEnd w:id="642"/>
    <w:p w14:paraId="0850A461"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rPr>
          <w:lang w:eastAsia="zh-CN"/>
        </w:rPr>
        <w:t>Observed Service Experience</w:t>
      </w:r>
      <w:r>
        <w:t xml:space="preserve"> from NWDAF; </w:t>
      </w:r>
    </w:p>
    <w:p w14:paraId="18BEC507" w14:textId="77777777" w:rsidR="00432DC2" w:rsidRDefault="00432DC2" w:rsidP="00432DC2">
      <w:pPr>
        <w:pStyle w:val="B1"/>
      </w:pPr>
      <w:r>
        <w:t>-</w:t>
      </w:r>
      <w:r>
        <w:tab/>
        <w:t>with PFDF function supports (un)subscription to the notification of analytics information for NWDAF assisted PFD Determination from the NWDAF;</w:t>
      </w:r>
    </w:p>
    <w:p w14:paraId="69996253"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t>E2E data volume transfer time from NWDAF;</w:t>
      </w:r>
    </w:p>
    <w:p w14:paraId="3C5E009D"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t>Relative Proximity from NWDAF;</w:t>
      </w:r>
    </w:p>
    <w:p w14:paraId="7D4A678A"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t>movement behaviour from NWDAF; and</w:t>
      </w:r>
    </w:p>
    <w:p w14:paraId="2A73178A" w14:textId="77777777" w:rsidR="00432DC2" w:rsidRDefault="00432DC2" w:rsidP="00432DC2">
      <w:pPr>
        <w:pStyle w:val="B1"/>
      </w:pPr>
      <w:r>
        <w:t>-</w:t>
      </w:r>
      <w:r>
        <w:tab/>
        <w:t>supports (un)subscription to the notification</w:t>
      </w:r>
      <w:r>
        <w:rPr>
          <w:rFonts w:eastAsia="等线"/>
        </w:rPr>
        <w:t xml:space="preserve"> </w:t>
      </w:r>
      <w:r>
        <w:t>of analytics information</w:t>
      </w:r>
      <w:r>
        <w:rPr>
          <w:rFonts w:eastAsia="等线"/>
        </w:rPr>
        <w:t xml:space="preserve"> for </w:t>
      </w:r>
      <w:r>
        <w:t>signalling storm from NWDAF.</w:t>
      </w:r>
    </w:p>
    <w:p w14:paraId="1C5ACD18" w14:textId="77777777" w:rsidR="00432DC2" w:rsidRDefault="00432DC2" w:rsidP="00432DC2">
      <w:r>
        <w:rPr>
          <w:rFonts w:eastAsia="MS Mincho"/>
        </w:rPr>
        <w:t xml:space="preserve">The </w:t>
      </w:r>
      <w:r>
        <w:t>Application Function (AF):</w:t>
      </w:r>
    </w:p>
    <w:p w14:paraId="627AE1E4" w14:textId="77777777" w:rsidR="00432DC2" w:rsidRDefault="00432DC2" w:rsidP="00432DC2">
      <w:pPr>
        <w:pStyle w:val="B1"/>
      </w:pPr>
      <w:r>
        <w:t>-</w:t>
      </w:r>
      <w:r>
        <w:tab/>
        <w:t>supports receiving UE mobility information from NWDAF or via the NEF;</w:t>
      </w:r>
    </w:p>
    <w:p w14:paraId="1F38CF4E" w14:textId="77777777" w:rsidR="00432DC2" w:rsidRDefault="00432DC2" w:rsidP="00432DC2">
      <w:pPr>
        <w:pStyle w:val="B1"/>
      </w:pPr>
      <w:r>
        <w:t>-</w:t>
      </w:r>
      <w:r>
        <w:tab/>
        <w:t>supports receiving UE communication information from NWDAF or via the NEF;</w:t>
      </w:r>
    </w:p>
    <w:p w14:paraId="6175B741" w14:textId="77777777" w:rsidR="00432DC2" w:rsidRDefault="00432DC2" w:rsidP="00432DC2">
      <w:pPr>
        <w:pStyle w:val="B1"/>
      </w:pPr>
      <w:r>
        <w:t>-</w:t>
      </w:r>
      <w:r>
        <w:tab/>
        <w:t>supports receiving expected UE behavioural information (UE mobility and/or UE communication) from NWDAF or via the NEF;</w:t>
      </w:r>
    </w:p>
    <w:p w14:paraId="7C04233C" w14:textId="77777777" w:rsidR="00432DC2" w:rsidRDefault="00432DC2" w:rsidP="00432DC2">
      <w:pPr>
        <w:pStyle w:val="B1"/>
      </w:pPr>
      <w:r>
        <w:t>-</w:t>
      </w:r>
      <w:r>
        <w:tab/>
        <w:t>supports receiving abnormal behaviour information from the NWDAF or via the NEF;</w:t>
      </w:r>
    </w:p>
    <w:p w14:paraId="45C8A0D8" w14:textId="77777777" w:rsidR="00432DC2" w:rsidRDefault="00432DC2" w:rsidP="00432DC2">
      <w:pPr>
        <w:pStyle w:val="B1"/>
      </w:pPr>
      <w:r>
        <w:t>-</w:t>
      </w:r>
      <w:r>
        <w:tab/>
        <w:t>supports receiving user data congestion information from the NWDAF or via the NEF;</w:t>
      </w:r>
    </w:p>
    <w:p w14:paraId="3CCF559C" w14:textId="77777777" w:rsidR="00432DC2" w:rsidRDefault="00432DC2" w:rsidP="00432DC2">
      <w:pPr>
        <w:pStyle w:val="B1"/>
      </w:pPr>
      <w:r>
        <w:t>-</w:t>
      </w:r>
      <w:r>
        <w:tab/>
        <w:t>supports receiving network performance information from the NWDAF or via the NEF;</w:t>
      </w:r>
    </w:p>
    <w:p w14:paraId="79142506" w14:textId="77777777" w:rsidR="00432DC2" w:rsidRDefault="00432DC2" w:rsidP="00432DC2">
      <w:pPr>
        <w:pStyle w:val="B1"/>
      </w:pPr>
      <w:r>
        <w:t>-</w:t>
      </w:r>
      <w:r>
        <w:tab/>
        <w:t>supports receiving QoS Sustainability information from the NWDAF or via the NEF;</w:t>
      </w:r>
    </w:p>
    <w:p w14:paraId="14DD51D7" w14:textId="77777777" w:rsidR="00432DC2" w:rsidRDefault="00432DC2" w:rsidP="00432DC2">
      <w:pPr>
        <w:pStyle w:val="B1"/>
      </w:pPr>
      <w:r>
        <w:t>-</w:t>
      </w:r>
      <w:r>
        <w:tab/>
        <w:t>supports receiving Dispersion information from the NWDAF or via the NEF;</w:t>
      </w:r>
    </w:p>
    <w:p w14:paraId="099965EC" w14:textId="77777777" w:rsidR="00432DC2" w:rsidRDefault="00432DC2" w:rsidP="00432DC2">
      <w:pPr>
        <w:pStyle w:val="B1"/>
      </w:pPr>
      <w:r>
        <w:t>-</w:t>
      </w:r>
      <w:r>
        <w:tab/>
        <w:t>supports receiving DN performance information from the NWDAF or via the NEF;</w:t>
      </w:r>
    </w:p>
    <w:p w14:paraId="5CE7C6C8" w14:textId="77777777" w:rsidR="00432DC2" w:rsidRDefault="00432DC2" w:rsidP="00432DC2">
      <w:pPr>
        <w:pStyle w:val="B1"/>
      </w:pPr>
      <w:r>
        <w:t>-</w:t>
      </w:r>
      <w:r>
        <w:tab/>
        <w:t>supports receiving WLAN performance information from the NWDAF or via the NEF;</w:t>
      </w:r>
    </w:p>
    <w:p w14:paraId="42C1BB66" w14:textId="77777777" w:rsidR="00432DC2" w:rsidRDefault="00432DC2" w:rsidP="00432DC2">
      <w:pPr>
        <w:pStyle w:val="B1"/>
      </w:pPr>
      <w:r>
        <w:t>-</w:t>
      </w:r>
      <w:r>
        <w:tab/>
        <w:t xml:space="preserve">supports receiving </w:t>
      </w:r>
      <w:r>
        <w:rPr>
          <w:lang w:eastAsia="zh-CN"/>
        </w:rPr>
        <w:t>Observed Service Experience</w:t>
      </w:r>
      <w:r>
        <w:t xml:space="preserve"> information from NWDAF or via the NEF;</w:t>
      </w:r>
    </w:p>
    <w:p w14:paraId="1D3F229B" w14:textId="77777777" w:rsidR="00432DC2" w:rsidRDefault="00432DC2" w:rsidP="00432DC2">
      <w:pPr>
        <w:pStyle w:val="B1"/>
      </w:pPr>
      <w:r>
        <w:t>-</w:t>
      </w:r>
      <w:r>
        <w:tab/>
        <w:t>supports receiving E2E data volume transfer time from NWDAF or via the NEF;</w:t>
      </w:r>
    </w:p>
    <w:p w14:paraId="1A1F5307" w14:textId="77777777" w:rsidR="00432DC2" w:rsidRDefault="00432DC2" w:rsidP="00432DC2">
      <w:pPr>
        <w:pStyle w:val="B1"/>
      </w:pPr>
      <w:r>
        <w:t>-</w:t>
      </w:r>
      <w:r>
        <w:tab/>
        <w:t>supports receiving Movement Behaviour information from NWDAF or via the NEF;</w:t>
      </w:r>
    </w:p>
    <w:p w14:paraId="3EC0E84B" w14:textId="77777777" w:rsidR="00432DC2" w:rsidRDefault="00432DC2" w:rsidP="00432DC2">
      <w:pPr>
        <w:pStyle w:val="B1"/>
      </w:pPr>
      <w:r>
        <w:t>-</w:t>
      </w:r>
      <w:r>
        <w:tab/>
        <w:t>supports receiving Relative Proximity information from NWDAF or via the NEF; and</w:t>
      </w:r>
    </w:p>
    <w:p w14:paraId="099C5A4B" w14:textId="77777777" w:rsidR="00432DC2" w:rsidRPr="00BE3926" w:rsidRDefault="00432DC2" w:rsidP="00432DC2">
      <w:pPr>
        <w:pStyle w:val="B1"/>
      </w:pPr>
      <w:r>
        <w:t>-</w:t>
      </w:r>
      <w:r>
        <w:tab/>
        <w:t>supports receiving signalling storm information from NWDAF or via the NEF.</w:t>
      </w:r>
    </w:p>
    <w:p w14:paraId="4E40A8F1" w14:textId="77777777" w:rsidR="00432DC2" w:rsidRDefault="00432DC2" w:rsidP="00432DC2">
      <w:pPr>
        <w:rPr>
          <w:rFonts w:eastAsia="等线"/>
        </w:rPr>
      </w:pPr>
      <w:r>
        <w:rPr>
          <w:rFonts w:eastAsia="等线"/>
        </w:rPr>
        <w:t>The Operation, Administration, and Maintenance (OAM):</w:t>
      </w:r>
    </w:p>
    <w:p w14:paraId="219DFA26" w14:textId="77777777" w:rsidR="00432DC2" w:rsidRDefault="00432DC2" w:rsidP="00432DC2">
      <w:pPr>
        <w:pStyle w:val="B1"/>
      </w:pPr>
      <w:r>
        <w:t>-</w:t>
      </w:r>
      <w:r>
        <w:tab/>
        <w:t>supports receiving slice load level information from the NW</w:t>
      </w:r>
      <w:r>
        <w:lastRenderedPageBreak/>
        <w:t>DAF;</w:t>
      </w:r>
    </w:p>
    <w:p w14:paraId="44923A0E" w14:textId="77777777" w:rsidR="00432DC2" w:rsidRDefault="00432DC2" w:rsidP="00432DC2">
      <w:pPr>
        <w:pStyle w:val="B1"/>
      </w:pPr>
      <w:r>
        <w:t>-</w:t>
      </w:r>
      <w:r>
        <w:tab/>
        <w:t>supports receiving observed service experience from the NWDAF;</w:t>
      </w:r>
    </w:p>
    <w:p w14:paraId="38C9F20B" w14:textId="77777777" w:rsidR="00432DC2" w:rsidRDefault="00432DC2" w:rsidP="00432DC2">
      <w:pPr>
        <w:pStyle w:val="B1"/>
      </w:pPr>
      <w:r>
        <w:t>-</w:t>
      </w:r>
      <w:r>
        <w:tab/>
        <w:t>supports receiving NF load information from the NWDAF;</w:t>
      </w:r>
    </w:p>
    <w:p w14:paraId="36576A5C" w14:textId="77777777" w:rsidR="00432DC2" w:rsidRDefault="00432DC2" w:rsidP="00432DC2">
      <w:pPr>
        <w:pStyle w:val="B1"/>
      </w:pPr>
      <w:r>
        <w:t>-</w:t>
      </w:r>
      <w:r>
        <w:tab/>
        <w:t>supports receiving network performance information from the NWDAF;</w:t>
      </w:r>
    </w:p>
    <w:p w14:paraId="52982782" w14:textId="77777777" w:rsidR="00432DC2" w:rsidRDefault="00432DC2" w:rsidP="00432DC2">
      <w:pPr>
        <w:pStyle w:val="B1"/>
      </w:pPr>
      <w:r>
        <w:t>-</w:t>
      </w:r>
      <w:r>
        <w:tab/>
        <w:t>supports receiving UE mobility information from the NWDAF;</w:t>
      </w:r>
    </w:p>
    <w:p w14:paraId="32308922" w14:textId="77777777" w:rsidR="00432DC2" w:rsidRDefault="00432DC2" w:rsidP="00432DC2">
      <w:pPr>
        <w:pStyle w:val="B1"/>
      </w:pPr>
      <w:r>
        <w:t>-</w:t>
      </w:r>
      <w:r>
        <w:tab/>
        <w:t>supports receiving UE communication information from the NWDAF;</w:t>
      </w:r>
    </w:p>
    <w:p w14:paraId="0B09AE34" w14:textId="77777777" w:rsidR="00AD5F95" w:rsidRDefault="00AD5F95" w:rsidP="00AD5F95">
      <w:pPr>
        <w:pStyle w:val="B1"/>
      </w:pPr>
      <w:r>
        <w:t>-</w:t>
      </w:r>
      <w:r>
        <w:tab/>
        <w:t>supports receiving expected UE behaviour information (UE mobility and/or UE communication) from the NWDAF;</w:t>
      </w:r>
    </w:p>
    <w:p w14:paraId="0D6CB3FF" w14:textId="77777777" w:rsidR="00AD5F95" w:rsidRDefault="00AD5F95" w:rsidP="00AD5F95">
      <w:pPr>
        <w:pStyle w:val="B1"/>
      </w:pPr>
      <w:r>
        <w:t>-</w:t>
      </w:r>
      <w:r>
        <w:tab/>
        <w:t>supports receiving abnormal UE behaviour information from the NWDAF; and</w:t>
      </w:r>
    </w:p>
    <w:p w14:paraId="1E41EC78" w14:textId="77777777" w:rsidR="00AD5F95" w:rsidRDefault="00AD5F95" w:rsidP="00AD5F95">
      <w:pPr>
        <w:pStyle w:val="B1"/>
      </w:pPr>
      <w:r>
        <w:t>-</w:t>
      </w:r>
      <w:r>
        <w:tab/>
        <w:t>supports receiving</w:t>
      </w:r>
      <w:r>
        <w:rPr>
          <w:rFonts w:eastAsia="等线"/>
        </w:rPr>
        <w:t xml:space="preserve"> </w:t>
      </w:r>
      <w:r>
        <w:t>signalling storm information from the NWDAF.</w:t>
      </w:r>
    </w:p>
    <w:p w14:paraId="62197F39" w14:textId="77777777" w:rsidR="00432DC2" w:rsidRDefault="00432DC2" w:rsidP="00432DC2">
      <w:r>
        <w:t>The Charging Enablement Function (CEF):</w:t>
      </w:r>
    </w:p>
    <w:p w14:paraId="0732A06D" w14:textId="77777777" w:rsidR="00432DC2" w:rsidRDefault="00432DC2" w:rsidP="00432DC2">
      <w:pPr>
        <w:pStyle w:val="B1"/>
      </w:pPr>
      <w:r>
        <w:t>-</w:t>
      </w:r>
      <w:r>
        <w:tab/>
        <w:t>supports (un)subscription to the notification of analytics information for slice load level information from the NWDAF; and</w:t>
      </w:r>
    </w:p>
    <w:p w14:paraId="3C412C98" w14:textId="77777777" w:rsidR="00432DC2" w:rsidRDefault="00432DC2" w:rsidP="00432DC2">
      <w:pPr>
        <w:pStyle w:val="B1"/>
      </w:pPr>
      <w:r>
        <w:t>-</w:t>
      </w:r>
      <w:r>
        <w:tab/>
        <w:t>supports (un)subscription to the notification of analytics information for service experience statistics information from the NWDAF.</w:t>
      </w:r>
    </w:p>
    <w:p w14:paraId="2B58A97F" w14:textId="77777777" w:rsidR="00432DC2" w:rsidRDefault="00432DC2" w:rsidP="00432DC2">
      <w:r>
        <w:t>The Location Management Function (LMF):</w:t>
      </w:r>
    </w:p>
    <w:p w14:paraId="036B44A8" w14:textId="77777777" w:rsidR="00432DC2" w:rsidRDefault="00432DC2" w:rsidP="00432DC2">
      <w:pPr>
        <w:spacing w:after="0"/>
        <w:ind w:left="568" w:hanging="284"/>
        <w:contextualSpacing/>
      </w:pPr>
      <w:r>
        <w:t>-</w:t>
      </w:r>
      <w:r>
        <w:tab/>
        <w:t>supports (un)subscription to the notification of analytics information for location accuracy analytics from the NWDAF.</w:t>
      </w:r>
    </w:p>
    <w:p w14:paraId="45359A80" w14:textId="77777777" w:rsidR="00432DC2" w:rsidRDefault="00432DC2" w:rsidP="00432DC2">
      <w:r>
        <w:t>The Network Data Analytics Function (NWDAF):</w:t>
      </w:r>
    </w:p>
    <w:p w14:paraId="3475068E" w14:textId="77777777" w:rsidR="00432DC2" w:rsidRDefault="00432DC2" w:rsidP="00432DC2">
      <w:pPr>
        <w:pStyle w:val="B1"/>
      </w:pPr>
      <w:r>
        <w:t>-</w:t>
      </w:r>
      <w:r>
        <w:tab/>
        <w:t>supports (un)subscription to the notification of analytics information for all types of network analytics from the NWDAF; and</w:t>
      </w:r>
    </w:p>
    <w:p w14:paraId="08893833" w14:textId="77777777" w:rsidR="00432DC2" w:rsidRDefault="00432DC2" w:rsidP="00432DC2">
      <w:pPr>
        <w:pStyle w:val="B1"/>
      </w:pPr>
      <w:r>
        <w:lastRenderedPageBreak/>
        <w:t>-</w:t>
      </w:r>
      <w:r>
        <w:tab/>
        <w:t xml:space="preserve">supports requesting the transfer of subscriptions to another NWDAF. </w:t>
      </w:r>
    </w:p>
    <w:p w14:paraId="133DC25D" w14:textId="77777777" w:rsidR="00432DC2" w:rsidRDefault="00432DC2" w:rsidP="00432DC2">
      <w:r>
        <w:t>The Data Collection Coordination Function (DCCF):</w:t>
      </w:r>
    </w:p>
    <w:p w14:paraId="4356285A" w14:textId="77777777" w:rsidR="00432DC2" w:rsidRDefault="00432DC2" w:rsidP="00432DC2">
      <w:pPr>
        <w:pStyle w:val="B1"/>
      </w:pPr>
      <w:r>
        <w:t>-</w:t>
      </w:r>
      <w:r>
        <w:tab/>
        <w:t>supports (un)subscription to the notification of analytics information for all types of network analytics from the NWDAF.</w:t>
      </w:r>
    </w:p>
    <w:p w14:paraId="5B56D1DF" w14:textId="77777777" w:rsidR="009B01A5" w:rsidRDefault="009B01A5" w:rsidP="009B01A5">
      <w:r>
        <w:t>The Analytics Data Repository Function (ADRF):</w:t>
      </w:r>
    </w:p>
    <w:p w14:paraId="2CBE354D" w14:textId="77777777" w:rsidR="009B01A5" w:rsidRDefault="009B01A5" w:rsidP="009B01A5">
      <w:pPr>
        <w:pStyle w:val="B1"/>
      </w:pPr>
      <w:r>
        <w:t>-</w:t>
      </w:r>
      <w:r>
        <w:tab/>
        <w:t>supports (un)subscription to the notification of analytics information for all types of network analytics from the NWDAF.</w:t>
      </w:r>
    </w:p>
    <w:p w14:paraId="180F83EC" w14:textId="77777777" w:rsidR="00AD5F95" w:rsidRDefault="00AD5F95" w:rsidP="00AD5F95">
      <w:bookmarkStart w:id="643" w:name="_Toc185516984"/>
      <w:r>
        <w:t>The</w:t>
      </w:r>
      <w:r w:rsidRPr="004E4EA6">
        <w:t xml:space="preserve"> </w:t>
      </w:r>
      <w:r>
        <w:t>Unified Data Management (UDM):</w:t>
      </w:r>
    </w:p>
    <w:p w14:paraId="2644AA03" w14:textId="77777777" w:rsidR="00AD5F95" w:rsidRDefault="00AD5F95" w:rsidP="00AD5F95">
      <w:pPr>
        <w:pStyle w:val="B1"/>
      </w:pPr>
      <w:r>
        <w:t>-</w:t>
      </w:r>
      <w:r>
        <w:tab/>
      </w:r>
      <w:r w:rsidRPr="001D6467">
        <w:t>supports (un)subscription to the notification of analytics information for signalling storm from NWDAF</w:t>
      </w:r>
      <w:r>
        <w:t>.</w:t>
      </w:r>
    </w:p>
    <w:p w14:paraId="333AEE30" w14:textId="77777777" w:rsidR="00AD5F95" w:rsidRDefault="00AD5F95" w:rsidP="00AD5F95">
      <w:r>
        <w:t xml:space="preserve">The </w:t>
      </w:r>
      <w:r w:rsidRPr="004706A4">
        <w:t>Network Repository Function (NRF)</w:t>
      </w:r>
      <w:r>
        <w:t>:</w:t>
      </w:r>
    </w:p>
    <w:p w14:paraId="76D06AA5" w14:textId="77777777" w:rsidR="00AD5F95" w:rsidRDefault="00AD5F95" w:rsidP="00AD5F95">
      <w:pPr>
        <w:pStyle w:val="B1"/>
      </w:pPr>
      <w:r>
        <w:t>-</w:t>
      </w:r>
      <w:r>
        <w:tab/>
      </w:r>
      <w:r w:rsidRPr="001D6467">
        <w:t xml:space="preserve">supports (un)subscription to the notification of analytics information </w:t>
      </w:r>
      <w:r>
        <w:t>for signalling storm from NWDAF.</w:t>
      </w:r>
    </w:p>
    <w:p w14:paraId="34983986" w14:textId="77777777" w:rsidR="00AD5F95" w:rsidRDefault="00AD5F95" w:rsidP="00AD5F95">
      <w:pPr>
        <w:pStyle w:val="B1"/>
        <w:ind w:left="0" w:firstLine="0"/>
      </w:pPr>
      <w:r>
        <w:t>The Service Communication Proxy (SCP):</w:t>
      </w:r>
    </w:p>
    <w:p w14:paraId="4EE38DA4" w14:textId="77777777" w:rsidR="00AD5F95" w:rsidRDefault="00AD5F95" w:rsidP="00AD5F95">
      <w:pPr>
        <w:pStyle w:val="B1"/>
      </w:pPr>
      <w:r>
        <w:t>-</w:t>
      </w:r>
      <w:r>
        <w:tab/>
      </w:r>
      <w:r w:rsidRPr="00A13D14">
        <w:t>supports (un)subscription to the notification of analytics information for signalling storm from NWDAF</w:t>
      </w:r>
      <w:r>
        <w:t>.</w:t>
      </w:r>
    </w:p>
    <w:p w14:paraId="0ABD9CC1" w14:textId="77777777" w:rsidR="00A10B25" w:rsidRDefault="00A10B25">
      <w:pPr>
        <w:pStyle w:val="3"/>
      </w:pPr>
      <w:bookmarkStart w:id="644" w:name="_Toc191576035"/>
      <w:bookmarkStart w:id="645" w:name="_Toc191576775"/>
      <w:bookmarkStart w:id="646" w:name="_Toc192879845"/>
      <w:bookmarkStart w:id="647" w:name="_Toc195814728"/>
      <w:bookmarkStart w:id="648" w:name="_Toc199452675"/>
      <w:r>
        <w:t>4.2.2</w:t>
      </w:r>
      <w:r>
        <w:tab/>
        <w:t>Service Operations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3"/>
      <w:bookmarkEnd w:id="644"/>
      <w:bookmarkEnd w:id="645"/>
      <w:bookmarkEnd w:id="646"/>
      <w:bookmarkEnd w:id="647"/>
      <w:bookmarkEnd w:id="648"/>
    </w:p>
    <w:p w14:paraId="2733593A" w14:textId="77777777" w:rsidR="00A10B25" w:rsidRDefault="00A10B25">
      <w:pPr>
        <w:pStyle w:val="4"/>
      </w:pPr>
      <w:bookmarkStart w:id="649" w:name="_Toc114133685"/>
      <w:bookmarkStart w:id="650" w:name="_Toc34266230"/>
      <w:bookmarkStart w:id="651" w:name="_Toc113031546"/>
      <w:bookmarkStart w:id="652" w:name="_Toc94064139"/>
      <w:bookmarkStart w:id="653" w:name="_Toc51762836"/>
      <w:bookmarkStart w:id="654" w:name="_Toc120702185"/>
      <w:bookmarkStart w:id="655" w:name="_Toc101244295"/>
      <w:bookmarkStart w:id="656" w:name="_Toc83232983"/>
      <w:bookmarkStart w:id="657" w:name="_Toc90655758"/>
      <w:bookmarkStart w:id="658" w:name="_Toc56640903"/>
      <w:bookmarkStart w:id="659" w:name="_Toc36102401"/>
      <w:bookmarkStart w:id="660" w:name="_Toc66231739"/>
      <w:bookmarkStart w:id="661" w:name="_Toc85552872"/>
      <w:bookmarkStart w:id="662" w:name="_Toc88667473"/>
      <w:bookmarkStart w:id="663" w:name="_Toc138754066"/>
      <w:bookmarkStart w:id="664" w:name="_Toc28012760"/>
      <w:bookmarkStart w:id="665" w:name="_Toc104538884"/>
      <w:bookmarkStart w:id="666" w:name="_Toc136562232"/>
      <w:bookmarkStart w:id="667" w:name="_Toc145705553"/>
      <w:bookmarkStart w:id="668" w:name="_Toc45133986"/>
      <w:bookmarkStart w:id="669" w:name="_Toc70550546"/>
      <w:bookmarkStart w:id="670" w:name="_Toc98233519"/>
      <w:bookmarkStart w:id="671" w:name="_Toc68168900"/>
      <w:bookmarkStart w:id="672" w:name="_Toc148522457"/>
      <w:bookmarkStart w:id="673" w:name="_Toc85556971"/>
      <w:bookmarkStart w:id="674" w:name="_Toc43563443"/>
      <w:bookmarkStart w:id="675" w:name="_Toc50031916"/>
      <w:bookmarkStart w:id="676" w:name="_Toc59017871"/>
      <w:bookmarkStart w:id="677" w:name="_Toc112951006"/>
      <w:bookmarkStart w:id="678" w:name="_Toc164920581"/>
      <w:bookmarkStart w:id="679" w:name="_Toc170120123"/>
      <w:bookmarkStart w:id="680" w:name="_Toc175858368"/>
      <w:bookmarkStart w:id="681" w:name="_Toc175859441"/>
      <w:bookmarkStart w:id="682" w:name="_Toc180605731"/>
      <w:bookmarkStart w:id="683" w:name="_Toc185516985"/>
      <w:bookmarkStart w:id="684" w:name="_Toc191576036"/>
      <w:bookmarkStart w:id="685" w:name="_Toc191576776"/>
      <w:bookmarkStart w:id="686" w:name="_Toc192879846"/>
      <w:bookmarkStart w:id="687" w:name="_Toc195814729"/>
      <w:bookmarkStart w:id="688" w:name="_Toc199452676"/>
      <w:r>
        <w:t>4.2.2.1</w:t>
      </w:r>
      <w:r>
        <w:tab/>
        <w:t>Introduction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77F2D9FD" w14:textId="77777777" w:rsidR="00AD5F95" w:rsidRDefault="00AD5F95" w:rsidP="00AD5F95">
      <w:pPr>
        <w:pStyle w:val="TH"/>
        <w:overflowPunct w:val="0"/>
        <w:autoSpaceDE w:val="0"/>
        <w:autoSpaceDN w:val="0"/>
        <w:adjustRightInd w:val="0"/>
        <w:textAlignment w:val="baseline"/>
        <w:rPr>
          <w:rFonts w:eastAsia="MS Mincho"/>
        </w:rPr>
      </w:pPr>
      <w:r>
        <w:rPr>
          <w:rFonts w:eastAsia="MS Mincho"/>
        </w:rPr>
        <w:t>Table 4.2.2.1-1: Operations of the Nnwdaf_EventsSubscription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34"/>
        <w:gridCol w:w="4394"/>
        <w:gridCol w:w="1985"/>
      </w:tblGrid>
      <w:tr w:rsidR="00AD5F95" w14:paraId="71F7CEA8" w14:textId="77777777" w:rsidTr="009E7F73">
        <w:trPr>
          <w:cantSplit/>
          <w:tblHeader/>
        </w:trPr>
        <w:tc>
          <w:tcPr>
            <w:tcW w:w="3234" w:type="dxa"/>
            <w:shd w:val="clear" w:color="000000" w:fill="C0C0C0"/>
          </w:tcPr>
          <w:p w14:paraId="3AA1A989" w14:textId="77777777" w:rsidR="00AD5F95" w:rsidRDefault="00AD5F95" w:rsidP="009E7F73">
            <w:pPr>
              <w:pStyle w:val="TAH"/>
            </w:pPr>
            <w:r>
              <w:t>Service operation name</w:t>
            </w:r>
          </w:p>
        </w:tc>
        <w:tc>
          <w:tcPr>
            <w:tcW w:w="4394" w:type="dxa"/>
            <w:shd w:val="clear" w:color="000000" w:fill="C0C0C0"/>
          </w:tcPr>
          <w:p w14:paraId="66F1B287" w14:textId="77777777" w:rsidR="00AD5F95" w:rsidRDefault="00AD5F95" w:rsidP="009E7F73">
            <w:pPr>
              <w:pStyle w:val="TAH"/>
            </w:pPr>
            <w:r>
              <w:t>Description</w:t>
            </w:r>
          </w:p>
        </w:tc>
        <w:tc>
          <w:tcPr>
            <w:tcW w:w="1985" w:type="dxa"/>
            <w:shd w:val="clear" w:color="000000" w:fill="C0C0C0"/>
          </w:tcPr>
          <w:p w14:paraId="615AC300" w14:textId="77777777" w:rsidR="00AD5F95" w:rsidRDefault="00AD5F95" w:rsidP="009E7F73">
            <w:pPr>
              <w:pStyle w:val="TAH"/>
            </w:pPr>
            <w:r>
              <w:t>Initiated by</w:t>
            </w:r>
          </w:p>
        </w:tc>
      </w:tr>
      <w:tr w:rsidR="00AD5F95" w14:paraId="1DA694D0" w14:textId="77777777" w:rsidTr="009E7F73">
        <w:trPr>
          <w:cantSplit/>
        </w:trPr>
        <w:tc>
          <w:tcPr>
            <w:tcW w:w="3234" w:type="dxa"/>
          </w:tcPr>
          <w:p w14:paraId="4AC0064E" w14:textId="77777777" w:rsidR="00AD5F95" w:rsidRDefault="00AD5F95" w:rsidP="009E7F73">
            <w:pPr>
              <w:pStyle w:val="TAL"/>
            </w:pPr>
            <w:r>
              <w:t>Nnwdaf_EventsSubscription</w:t>
            </w:r>
            <w:r>
              <w:rPr>
                <w:lang w:val="en-US"/>
              </w:rPr>
              <w:t>_</w:t>
            </w:r>
            <w:r>
              <w:t>Subscribe</w:t>
            </w:r>
          </w:p>
        </w:tc>
        <w:tc>
          <w:tcPr>
            <w:tcW w:w="4394" w:type="dxa"/>
          </w:tcPr>
          <w:p w14:paraId="43BEC12B" w14:textId="77777777" w:rsidR="00AD5F95" w:rsidRDefault="00AD5F95" w:rsidP="009E7F73">
            <w:pPr>
              <w:pStyle w:val="TAL"/>
            </w:pPr>
            <w:r>
              <w:t>This service operation is used by an NF to subscribe or update subscription for event notifications of the analytics information.</w:t>
            </w:r>
          </w:p>
          <w:p w14:paraId="08055881" w14:textId="77777777" w:rsidR="00AD5F95" w:rsidRDefault="00AD5F95" w:rsidP="009E7F73">
            <w:pPr>
              <w:pStyle w:val="TAL"/>
            </w:pPr>
            <w:r>
              <w:t>One-time, periodic notification or notification upon event detected can be subscribed.</w:t>
            </w:r>
          </w:p>
        </w:tc>
        <w:tc>
          <w:tcPr>
            <w:tcW w:w="1985" w:type="dxa"/>
          </w:tcPr>
          <w:p w14:paraId="50210416" w14:textId="77777777" w:rsidR="00AD5F95" w:rsidRDefault="00AD5F95" w:rsidP="009E7F73">
            <w:pPr>
              <w:pStyle w:val="TAL"/>
            </w:pPr>
            <w:r>
              <w:t>NF</w:t>
            </w:r>
            <w:r>
              <w:rPr>
                <w:rFonts w:eastAsia="等线"/>
              </w:rPr>
              <w:t xml:space="preserve"> service</w:t>
            </w:r>
            <w:r>
              <w:t xml:space="preserve"> consumer (PCF, NSSF, AMF, SMF, NEF, AF, LMF, OAM, CEF, NWDAF, DCCF, ADRF, UDM, NRF, SCP)</w:t>
            </w:r>
          </w:p>
        </w:tc>
      </w:tr>
      <w:tr w:rsidR="00AD5F95" w14:paraId="3E443ADF" w14:textId="77777777" w:rsidTr="009E7F73">
        <w:trPr>
          <w:cantSplit/>
        </w:trPr>
        <w:tc>
          <w:tcPr>
            <w:tcW w:w="3234" w:type="dxa"/>
          </w:tcPr>
          <w:p w14:paraId="1AA7BAB8" w14:textId="77777777" w:rsidR="00AD5F95" w:rsidRDefault="00AD5F95" w:rsidP="009E7F73">
            <w:pPr>
              <w:pStyle w:val="TAL"/>
            </w:pPr>
            <w:r>
              <w:t>Nnwdaf_EventsSubscription_Unsubscribe</w:t>
            </w:r>
          </w:p>
        </w:tc>
        <w:tc>
          <w:tcPr>
            <w:tcW w:w="4394" w:type="dxa"/>
          </w:tcPr>
          <w:p w14:paraId="2FB2DF70" w14:textId="77777777" w:rsidR="00AD5F95" w:rsidRDefault="00AD5F95" w:rsidP="009E7F73">
            <w:pPr>
              <w:pStyle w:val="TAL"/>
            </w:pPr>
            <w:r>
              <w:t>This service operation is used by an NF to unsubscribe from event notifications.</w:t>
            </w:r>
          </w:p>
        </w:tc>
        <w:tc>
          <w:tcPr>
            <w:tcW w:w="1985" w:type="dxa"/>
          </w:tcPr>
          <w:p w14:paraId="7C32A72C" w14:textId="77777777" w:rsidR="00AD5F95" w:rsidRDefault="00AD5F95" w:rsidP="009E7F73">
            <w:pPr>
              <w:pStyle w:val="TAL"/>
            </w:pPr>
            <w:r>
              <w:t>NF</w:t>
            </w:r>
            <w:r>
              <w:rPr>
                <w:rFonts w:eastAsia="等线"/>
              </w:rPr>
              <w:t xml:space="preserve"> service</w:t>
            </w:r>
            <w:r>
              <w:t xml:space="preserve"> consumer (PCF, NSSF, AMF, SMF, NEF, AF, LMF, OAM, CEF, NWDAF, DCCF, ADRF, UDM, NRF, SCP)</w:t>
            </w:r>
          </w:p>
        </w:tc>
      </w:tr>
      <w:tr w:rsidR="00AD5F95" w14:paraId="0B5A16EE" w14:textId="77777777" w:rsidTr="009E7F73">
        <w:trPr>
          <w:cantSplit/>
        </w:trPr>
        <w:tc>
          <w:tcPr>
            <w:tcW w:w="3234" w:type="dxa"/>
          </w:tcPr>
          <w:p w14:paraId="5A934877" w14:textId="77777777" w:rsidR="00AD5F95" w:rsidRDefault="00AD5F95" w:rsidP="009E7F73">
            <w:pPr>
              <w:pStyle w:val="TAL"/>
            </w:pPr>
            <w:r>
              <w:t>Nnwdaf_EventsSubscription_Notify</w:t>
            </w:r>
          </w:p>
        </w:tc>
        <w:tc>
          <w:tcPr>
            <w:tcW w:w="4394" w:type="dxa"/>
          </w:tcPr>
          <w:p w14:paraId="5F4FD3B2" w14:textId="77777777" w:rsidR="00AD5F95" w:rsidRDefault="00AD5F95" w:rsidP="009E7F73">
            <w:pPr>
              <w:pStyle w:val="TAL"/>
            </w:pPr>
            <w:r>
              <w:t xml:space="preserve">This service operation is used by an NWDAF to notify NF </w:t>
            </w:r>
            <w:r>
              <w:rPr>
                <w:rFonts w:eastAsia="等线"/>
              </w:rPr>
              <w:t xml:space="preserve">service </w:t>
            </w:r>
            <w:r>
              <w:t>consumers about subscribed events.</w:t>
            </w:r>
          </w:p>
        </w:tc>
        <w:tc>
          <w:tcPr>
            <w:tcW w:w="1985" w:type="dxa"/>
          </w:tcPr>
          <w:p w14:paraId="14794509" w14:textId="77777777" w:rsidR="00AD5F95" w:rsidRDefault="00AD5F95" w:rsidP="009E7F73">
            <w:pPr>
              <w:pStyle w:val="TAL"/>
            </w:pPr>
            <w:r>
              <w:t>NWDAF</w:t>
            </w:r>
          </w:p>
        </w:tc>
      </w:tr>
      <w:tr w:rsidR="00AD5F95" w14:paraId="4B11E20E" w14:textId="77777777" w:rsidTr="009E7F73">
        <w:trPr>
          <w:cantSplit/>
        </w:trPr>
        <w:tc>
          <w:tcPr>
            <w:tcW w:w="3234" w:type="dxa"/>
          </w:tcPr>
          <w:p w14:paraId="1A2E65D4" w14:textId="77777777" w:rsidR="00AD5F95" w:rsidRDefault="00AD5F95" w:rsidP="009E7F73">
            <w:pPr>
              <w:pStyle w:val="TAL"/>
            </w:pPr>
            <w:r>
              <w:t>Nnwdaf_EventsSubscription_Transfer</w:t>
            </w:r>
          </w:p>
        </w:tc>
        <w:tc>
          <w:tcPr>
            <w:tcW w:w="4394" w:type="dxa"/>
          </w:tcPr>
          <w:p w14:paraId="010546CB" w14:textId="77777777" w:rsidR="00AD5F95" w:rsidRDefault="00AD5F95" w:rsidP="009E7F73">
            <w:pPr>
              <w:pStyle w:val="TAL"/>
            </w:pPr>
            <w:r>
              <w:t>This service operation is used by an NWDAF to request the transfer of subscription(s) for analytics events.</w:t>
            </w:r>
          </w:p>
        </w:tc>
        <w:tc>
          <w:tcPr>
            <w:tcW w:w="1985" w:type="dxa"/>
          </w:tcPr>
          <w:p w14:paraId="427985E1" w14:textId="77777777" w:rsidR="00AD5F95" w:rsidRDefault="00AD5F95" w:rsidP="009E7F73">
            <w:pPr>
              <w:pStyle w:val="TAL"/>
            </w:pPr>
            <w:r>
              <w:t>NWDAF</w:t>
            </w:r>
          </w:p>
        </w:tc>
      </w:tr>
    </w:tbl>
    <w:p w14:paraId="081A05CF" w14:textId="77777777" w:rsidR="00A10B25" w:rsidRDefault="00A10B25"/>
    <w:p w14:paraId="695D9E0E" w14:textId="77777777" w:rsidR="00A10B25" w:rsidRDefault="00A10B25">
      <w:pPr>
        <w:pStyle w:val="4"/>
      </w:pPr>
      <w:bookmarkStart w:id="689" w:name="_Toc148522458"/>
      <w:bookmarkStart w:id="690" w:name="_Toc56640904"/>
      <w:bookmarkStart w:id="691" w:name="_Toc120702186"/>
      <w:bookmarkStart w:id="692" w:name="_Toc136562233"/>
      <w:bookmarkStart w:id="693" w:name="_Toc90655759"/>
      <w:bookmarkStart w:id="694" w:name="_Toc113031547"/>
      <w:bookmarkStart w:id="695" w:name="_Toc85556972"/>
      <w:bookmarkStart w:id="696" w:name="_Toc70550547"/>
      <w:bookmarkStart w:id="697" w:name="_Toc98233520"/>
      <w:bookmarkStart w:id="698" w:name="_Toc50031917"/>
      <w:bookmarkStart w:id="699" w:name="_Toc83232984"/>
      <w:bookmarkStart w:id="700" w:name="_Toc45133987"/>
      <w:bookmarkStart w:id="701" w:name="_Toc104538885"/>
      <w:bookmarkStart w:id="702" w:name="_Toc51762837"/>
      <w:bookmarkStart w:id="703" w:name="_Toc88667474"/>
      <w:bookmarkStart w:id="704" w:name="_Toc94064140"/>
      <w:bookmarkStart w:id="705" w:name="_Toc34266231"/>
      <w:bookmarkStart w:id="706" w:name="_Toc114133686"/>
      <w:bookmarkStart w:id="707" w:name="_Toc101244296"/>
      <w:bookmarkStart w:id="708" w:name="_Toc68168901"/>
      <w:bookmarkStart w:id="709" w:name="_Toc28012761"/>
      <w:bookmarkStart w:id="710" w:name="_Toc43563444"/>
      <w:bookmarkStart w:id="711" w:name="_Toc66231740"/>
      <w:bookmarkStart w:id="712" w:name="_Toc85552873"/>
      <w:bookmarkStart w:id="713" w:name="_Toc138754067"/>
      <w:bookmarkStart w:id="714" w:name="_Toc36102402"/>
      <w:bookmarkStart w:id="715" w:name="_Toc112951007"/>
      <w:bookmarkStart w:id="716" w:name="_Toc145705554"/>
      <w:bookmarkStart w:id="717" w:name="_Toc59017872"/>
      <w:bookmarkStart w:id="718" w:name="_Toc164920582"/>
      <w:bookmarkStart w:id="719" w:name="_Toc170120124"/>
      <w:bookmarkStart w:id="720" w:name="_Toc175858369"/>
      <w:bookmarkStart w:id="721" w:name="_Toc175859442"/>
      <w:bookmarkStart w:id="722" w:name="_Toc180605732"/>
      <w:bookmarkStart w:id="723" w:name="_Toc185516986"/>
      <w:bookmarkStart w:id="724" w:name="_Toc191576037"/>
      <w:bookmarkStart w:id="725" w:name="_Toc191576777"/>
      <w:bookmarkStart w:id="726" w:name="_Toc192879847"/>
      <w:bookmarkStart w:id="727" w:name="_Toc195814730"/>
      <w:bookmarkStart w:id="728" w:name="_Toc199452677"/>
      <w:r>
        <w:t>4.2.2.2</w:t>
      </w:r>
      <w:r>
        <w:tab/>
        <w:t>Nnwdaf_EventsSubscription_Subscribe service operation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47856058" w14:textId="77777777" w:rsidR="00A10B25" w:rsidRDefault="00A10B25">
      <w:pPr>
        <w:pStyle w:val="5"/>
      </w:pPr>
      <w:bookmarkStart w:id="729" w:name="_Toc101244297"/>
      <w:bookmarkStart w:id="730" w:name="_Toc28012762"/>
      <w:bookmarkStart w:id="731" w:name="_Toc98233521"/>
      <w:bookmarkStart w:id="732" w:name="_Toc51762838"/>
      <w:bookmarkStart w:id="733" w:name="_Toc50031918"/>
      <w:bookmarkStart w:id="734" w:name="_Toc59017873"/>
      <w:bookmarkStart w:id="735" w:name="_Toc43563445"/>
      <w:bookmarkStart w:id="736" w:name="_Toc94064141"/>
      <w:bookmarkStart w:id="737" w:name="_Toc45133988"/>
      <w:bookmarkStart w:id="738" w:name="_Toc120702187"/>
      <w:bookmarkStart w:id="739" w:name="_Toc114133687"/>
      <w:bookmarkStart w:id="740" w:name="_Toc85552874"/>
      <w:bookmarkStart w:id="741" w:name="_Toc34266232"/>
      <w:bookmarkStart w:id="742" w:name="_Toc66231741"/>
      <w:bookmarkStart w:id="743" w:name="_Toc136562234"/>
      <w:bookmarkStart w:id="744" w:name="_Toc145705555"/>
      <w:bookmarkStart w:id="745" w:name="_Toc68168902"/>
      <w:bookmarkStart w:id="746" w:name="_Toc88667475"/>
      <w:bookmarkStart w:id="747" w:name="_Toc113031548"/>
      <w:bookmarkStart w:id="748" w:name="_Toc85556973"/>
      <w:bookmarkStart w:id="749" w:name="_Toc70550548"/>
      <w:bookmarkStart w:id="750" w:name="_Toc138754068"/>
      <w:bookmarkStart w:id="751" w:name="_Toc56640905"/>
      <w:bookmarkStart w:id="752" w:name="_Toc148522459"/>
      <w:bookmarkStart w:id="753" w:name="_Toc83232985"/>
      <w:bookmarkStart w:id="754" w:name="_Toc104538886"/>
      <w:bookmarkStart w:id="755" w:name="_Toc90655760"/>
      <w:bookmarkStart w:id="756" w:name="_Toc36102403"/>
      <w:bookmarkStart w:id="757" w:name="_Toc112951008"/>
      <w:bookmarkStart w:id="758" w:name="_Toc164920583"/>
      <w:bookmarkStart w:id="759" w:name="_Toc170120125"/>
      <w:bookmarkStart w:id="760" w:name="_Toc175858370"/>
      <w:bookmarkStart w:id="761" w:name="_Toc175859443"/>
      <w:bookmarkStart w:id="762" w:name="_Toc180605733"/>
      <w:bookmarkStart w:id="763" w:name="_Toc185516987"/>
      <w:bookmarkStart w:id="764" w:name="_Toc191576038"/>
      <w:bookmarkStart w:id="765" w:name="_Toc191576778"/>
      <w:bookmarkStart w:id="766" w:name="_Toc192879848"/>
      <w:bookmarkStart w:id="767" w:name="_Toc195814731"/>
      <w:bookmarkStart w:id="768" w:name="_Toc199452678"/>
      <w:r>
        <w:t>4.2.2.2.1</w:t>
      </w:r>
      <w:r>
        <w:tab/>
        <w:t>General</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62CDE0F7" w14:textId="77777777" w:rsidR="00A10B25" w:rsidRDefault="00A10B25">
      <w:r>
        <w:t>The Nnwdaf_EventsSubscription_Subscribe service operation is used by an NF service consumer to subscribe or update subscription for event notifications from the NWDAF.</w:t>
      </w:r>
    </w:p>
    <w:p w14:paraId="0F3C4B23" w14:textId="77777777" w:rsidR="00A10B25" w:rsidRDefault="00A10B25">
      <w:pPr>
        <w:pStyle w:val="5"/>
      </w:pPr>
      <w:bookmarkStart w:id="769" w:name="_Toc43563446"/>
      <w:bookmarkStart w:id="770" w:name="_Toc36102404"/>
      <w:bookmarkStart w:id="771" w:name="_Toc68168903"/>
      <w:bookmarkStart w:id="772" w:name="_Toc94064142"/>
      <w:bookmarkStart w:id="773" w:name="_Toc85556974"/>
      <w:bookmarkStart w:id="774" w:name="_Toc34266233"/>
      <w:bookmarkStart w:id="775" w:name="_Toc101244298"/>
      <w:bookmarkStart w:id="776" w:name="_Toc120702188"/>
      <w:bookmarkStart w:id="777" w:name="_Toc51762839"/>
      <w:bookmarkStart w:id="778" w:name="_Toc112951009"/>
      <w:bookmarkStart w:id="779" w:name="_Toc90655761"/>
      <w:bookmarkStart w:id="780" w:name="_Toc148522460"/>
      <w:bookmarkStart w:id="781" w:name="_Toc45133989"/>
      <w:bookmarkStart w:id="782" w:name="_Toc113031549"/>
      <w:bookmarkStart w:id="783" w:name="_Toc85552875"/>
      <w:bookmarkStart w:id="784" w:name="_Toc66231742"/>
      <w:bookmarkStart w:id="785" w:name="_Toc83232986"/>
      <w:bookmarkStart w:id="786" w:name="_Toc88667476"/>
      <w:bookmarkStart w:id="787" w:name="_Toc145705556"/>
      <w:bookmarkStart w:id="788" w:name="_Toc50031919"/>
      <w:bookmarkStart w:id="789" w:name="_Toc136562235"/>
      <w:bookmarkStart w:id="790" w:name="_Toc114133688"/>
      <w:bookmarkStart w:id="791" w:name="_Toc59017874"/>
      <w:bookmarkStart w:id="792" w:name="_Toc98233522"/>
      <w:bookmarkStart w:id="793" w:name="_Toc104538887"/>
      <w:bookmarkStart w:id="794" w:name="_Toc28012763"/>
      <w:bookmarkStart w:id="795" w:name="_Toc138754069"/>
      <w:bookmarkStart w:id="796" w:name="_Toc56640906"/>
      <w:bookmarkStart w:id="797" w:name="_Toc70550549"/>
      <w:bookmarkStart w:id="798" w:name="_Toc164920584"/>
      <w:bookmarkStart w:id="799" w:name="_Toc170120126"/>
      <w:bookmarkStart w:id="800" w:name="_Toc175858371"/>
      <w:bookmarkStart w:id="801" w:name="_Toc175859444"/>
      <w:bookmarkStart w:id="802" w:name="_Toc180605734"/>
      <w:bookmarkStart w:id="803" w:name="_Toc185516988"/>
      <w:bookmarkStart w:id="804" w:name="_Toc191576039"/>
      <w:bookmarkStart w:id="805" w:name="_Toc191576779"/>
      <w:bookmarkStart w:id="806" w:name="_Toc192879849"/>
      <w:bookmarkStart w:id="807" w:name="_Toc195814732"/>
      <w:bookmarkStart w:id="808" w:name="_Toc199452679"/>
      <w:r>
        <w:t>4.2.2.2.2</w:t>
      </w:r>
      <w:r>
        <w:tab/>
        <w:t>Subscription for event notifications</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171B244E" w14:textId="77777777" w:rsidR="00A10B25" w:rsidRDefault="00A10B25">
      <w:pPr>
        <w:rPr>
          <w:rFonts w:eastAsia="等线"/>
        </w:rPr>
      </w:pPr>
      <w:r>
        <w:rPr>
          <w:rFonts w:eastAsia="等线"/>
        </w:rPr>
        <w:t>Figure 4.2.2.2.2-1 shows a scenario where the NF service consumer sends a request to the NWDAF to subscribe</w:t>
      </w:r>
      <w:r>
        <w:rPr>
          <w:rFonts w:eastAsia="Batang"/>
        </w:rPr>
        <w:t xml:space="preserve"> </w:t>
      </w:r>
      <w:r>
        <w:rPr>
          <w:rFonts w:eastAsia="等线"/>
        </w:rPr>
        <w:t>for event notification(s) (as shown in 3GPP TS 23.288 [17]).</w:t>
      </w:r>
    </w:p>
    <w:p w14:paraId="074C8CB8" w14:textId="738A8C39" w:rsidR="00A10B25" w:rsidRDefault="00257874">
      <w:pPr>
        <w:pStyle w:val="TH"/>
        <w:rPr>
          <w:lang w:eastAsia="zh-CN"/>
        </w:rPr>
      </w:pPr>
      <w:r>
        <w:rPr>
          <w:noProof/>
          <w:lang w:val="en-US" w:eastAsia="zh-CN"/>
        </w:rPr>
        <w:lastRenderedPageBreak/>
        <w:drawing>
          <wp:inline distT="0" distB="0" distL="0" distR="0" wp14:anchorId="63DBFE1B" wp14:editId="6F3F897E">
            <wp:extent cx="5494655" cy="1494790"/>
            <wp:effectExtent l="0" t="0" r="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4655" cy="1494790"/>
                    </a:xfrm>
                    <a:prstGeom prst="rect">
                      <a:avLst/>
                    </a:prstGeom>
                    <a:noFill/>
                    <a:ln>
                      <a:noFill/>
                    </a:ln>
                  </pic:spPr>
                </pic:pic>
              </a:graphicData>
            </a:graphic>
          </wp:inline>
        </w:drawing>
      </w:r>
    </w:p>
    <w:p w14:paraId="1EBF3428" w14:textId="77777777" w:rsidR="00A10B25" w:rsidRDefault="00A10B25">
      <w:pPr>
        <w:pStyle w:val="TF"/>
      </w:pPr>
      <w:r>
        <w:t>Figure 4.2.2.2.2-1: NF service consumer subscribes to notifications</w:t>
      </w:r>
    </w:p>
    <w:p w14:paraId="284096AF" w14:textId="77777777" w:rsidR="00A10B25" w:rsidRDefault="00A10B25">
      <w:pPr>
        <w:rPr>
          <w:rFonts w:eastAsia="等线"/>
        </w:rPr>
      </w:pPr>
      <w:r>
        <w:rPr>
          <w:rFonts w:eastAsia="等线"/>
        </w:rPr>
        <w:t xml:space="preserve">The NF service consumer shall invoke the Nnwdaf_EventsSubscription_Subscribe service operation to subscribe to event notification(s). The NF </w:t>
      </w:r>
      <w:r>
        <w:t>service</w:t>
      </w:r>
      <w:r>
        <w:rPr>
          <w:rFonts w:eastAsia="等线"/>
        </w:rPr>
        <w:t xml:space="preserve"> consumer </w:t>
      </w:r>
      <w:r>
        <w:rPr>
          <w:rFonts w:eastAsia="等线"/>
          <w:lang w:val="en-US"/>
        </w:rPr>
        <w:t xml:space="preserve">shall </w:t>
      </w:r>
      <w:r>
        <w:rPr>
          <w:rFonts w:eastAsia="等线"/>
        </w:rPr>
        <w:t>send an HTTP POST request with "{apiRoot}/nnwdaf-eventssubscription/&lt;apiVersion&gt;/subsc</w:t>
      </w:r>
      <w:r>
        <w:rPr>
          <w:rFonts w:eastAsia="等线"/>
        </w:rPr>
        <w:lastRenderedPageBreak/>
        <w:t xml:space="preserve">riptions" as Resource URI representing the "NWDAF Events Subscriptions", as shown in figure 4.2.2.2.2-1, step 1, to create a subscription for an "Individual NWDAF Event Subscription" according to the information in message body. The NnwdafEventsSubscription data structure provided in the request body shall include: </w:t>
      </w:r>
    </w:p>
    <w:p w14:paraId="50E17B3C" w14:textId="77777777" w:rsidR="00A10B25" w:rsidRDefault="00A10B25">
      <w:pPr>
        <w:pStyle w:val="B1"/>
      </w:pPr>
      <w:r>
        <w:t>-</w:t>
      </w:r>
      <w:r>
        <w:tab/>
        <w:t>an URI where to receive the requested notifications as "notificationURI" attribute; and</w:t>
      </w:r>
    </w:p>
    <w:p w14:paraId="75418775" w14:textId="77777777" w:rsidR="00A10B25" w:rsidRDefault="00A10B25">
      <w:pPr>
        <w:pStyle w:val="B1"/>
      </w:pPr>
      <w:r>
        <w:t>-</w:t>
      </w:r>
      <w:r>
        <w:tab/>
        <w:t>a description of the subscribed events as "eventSubscriptions" attribute that, for each event, the EventSubscription data type shall include:</w:t>
      </w:r>
    </w:p>
    <w:p w14:paraId="6DF68B76" w14:textId="77777777" w:rsidR="00A10B25" w:rsidRDefault="00A10B25">
      <w:pPr>
        <w:pStyle w:val="B2"/>
      </w:pPr>
      <w:r>
        <w:t>1)</w:t>
      </w:r>
      <w:r>
        <w:tab/>
        <w:t>an event identifier as "event" attribute; and</w:t>
      </w:r>
    </w:p>
    <w:p w14:paraId="265126BA" w14:textId="77777777" w:rsidR="00A10B25" w:rsidRDefault="00A10B25">
      <w:pPr>
        <w:pStyle w:val="B2"/>
      </w:pPr>
      <w:r>
        <w:t>2)</w:t>
      </w:r>
      <w:r>
        <w:tab/>
        <w:t xml:space="preserve">if the event notification method "PERIODIC" is selected via the "notificationMethod" attribute, repetition period as "repetitionPeriod" attribute; </w:t>
      </w:r>
    </w:p>
    <w:p w14:paraId="124786F6" w14:textId="77777777" w:rsidR="00A10B25" w:rsidRDefault="00A10B25">
      <w:pPr>
        <w:pStyle w:val="B2"/>
        <w:rPr>
          <w:lang w:val="en-US" w:eastAsia="zh-CN"/>
        </w:rPr>
      </w:pPr>
      <w:r>
        <w:rPr>
          <w:lang w:val="en-US" w:eastAsia="zh-CN"/>
        </w:rPr>
        <w:t>and the EventSubscription data type may include the "extraReportReq" attribute with the following attributes:</w:t>
      </w:r>
    </w:p>
    <w:p w14:paraId="5D115997" w14:textId="77777777" w:rsidR="00A10B25" w:rsidRDefault="00A10B25">
      <w:pPr>
        <w:pStyle w:val="B2"/>
        <w:rPr>
          <w:lang w:val="en-US" w:eastAsia="zh-CN"/>
        </w:rPr>
      </w:pPr>
      <w:r>
        <w:rPr>
          <w:lang w:val="en-US" w:eastAsia="zh-CN"/>
        </w:rPr>
        <w:t>1)</w:t>
      </w:r>
      <w:r>
        <w:rPr>
          <w:lang w:val="en-US" w:eastAsia="zh-CN"/>
        </w:rPr>
        <w:tab/>
      </w:r>
      <w:r>
        <w:t>maximum number of objects in the "maxObjectNbr" attribute</w:t>
      </w:r>
      <w:r>
        <w:rPr>
          <w:lang w:val="en-US" w:eastAsia="zh-CN"/>
        </w:rPr>
        <w:t xml:space="preserve">; </w:t>
      </w:r>
    </w:p>
    <w:p w14:paraId="7DA6E7F8" w14:textId="77777777" w:rsidR="00A10B25" w:rsidRDefault="00A10B25">
      <w:pPr>
        <w:pStyle w:val="B2"/>
      </w:pPr>
      <w:r>
        <w:rPr>
          <w:rFonts w:eastAsia="等线"/>
          <w:lang w:val="en-US" w:eastAsia="zh-CN"/>
        </w:rPr>
        <w:t>2)</w:t>
      </w:r>
      <w:r>
        <w:rPr>
          <w:rFonts w:eastAsia="等线"/>
          <w:lang w:val="en-US" w:eastAsia="zh-CN"/>
        </w:rPr>
        <w:tab/>
      </w:r>
      <w:r>
        <w:t>maximum number of SUPIs expected for an analytics report in the "maxSupiNbr" attribute;</w:t>
      </w:r>
    </w:p>
    <w:p w14:paraId="071E0770" w14:textId="77777777" w:rsidR="00A10B25" w:rsidRDefault="00A10B25">
      <w:pPr>
        <w:pStyle w:val="B2"/>
      </w:pPr>
      <w:r>
        <w:t>3)</w:t>
      </w:r>
      <w:r>
        <w:tab/>
        <w:t xml:space="preserve"> identification of time window to which the subscription applies via identification of date-time(s) in the "startTs" and "endTs" attributes; </w:t>
      </w:r>
    </w:p>
    <w:p w14:paraId="26100E5C" w14:textId="77777777" w:rsidR="00A10B25" w:rsidRDefault="00A10B25">
      <w:pPr>
        <w:pStyle w:val="B2"/>
      </w:pPr>
      <w:r>
        <w:t>4)</w:t>
      </w:r>
      <w:r>
        <w:tab/>
        <w:t>preferred level of accuracy of the analytics in the "accuracy" attribute;</w:t>
      </w:r>
    </w:p>
    <w:p w14:paraId="51039B83" w14:textId="77777777" w:rsidR="00A10B25" w:rsidRDefault="00A10B25">
      <w:pPr>
        <w:pStyle w:val="B2"/>
      </w:pPr>
      <w:r>
        <w:t xml:space="preserve">5) </w:t>
      </w:r>
      <w:r>
        <w:tab/>
        <w:t>identification of time when analytics information is needed in the "timeAnaNeeded" atribute if the feature "EneNA" is supported;</w:t>
      </w:r>
    </w:p>
    <w:p w14:paraId="1271E45B" w14:textId="77777777" w:rsidR="00A10B25" w:rsidRDefault="00A10B25">
      <w:pPr>
        <w:pStyle w:val="B2"/>
        <w:rPr>
          <w:lang w:val="en-US" w:eastAsia="zh-CN"/>
        </w:rPr>
      </w:pPr>
      <w:r>
        <w:rPr>
          <w:lang w:val="en-US" w:eastAsia="zh-CN"/>
        </w:rPr>
        <w:t>6)</w:t>
      </w:r>
      <w:r>
        <w:rPr>
          <w:lang w:val="en-US" w:eastAsia="zh-CN"/>
        </w:rPr>
        <w:tab/>
        <w:t>indication of which analytics metadata is requested to be delivered with the notification in the "anaMeta" attribute if the feature "Aggregation" is supported;</w:t>
      </w:r>
    </w:p>
    <w:p w14:paraId="365242E3" w14:textId="77777777" w:rsidR="00956830" w:rsidRDefault="00956830" w:rsidP="00956830">
      <w:pPr>
        <w:pStyle w:val="B2"/>
        <w:rPr>
          <w:lang w:val="en-US" w:eastAsia="zh-CN"/>
        </w:rPr>
      </w:pPr>
      <w:r>
        <w:rPr>
          <w:lang w:val="en-US" w:eastAsia="zh-CN"/>
        </w:rPr>
        <w:t>7)</w:t>
      </w:r>
      <w:r>
        <w:rPr>
          <w:lang w:val="en-US" w:eastAsia="zh-CN"/>
        </w:rPr>
        <w:tab/>
        <w:t>values for analytics metadata information in the "anaMetaInd" attribute if the feature "Aggregation" is supported;</w:t>
      </w:r>
    </w:p>
    <w:p w14:paraId="0CDCD16A" w14:textId="77777777" w:rsidR="00A10B25" w:rsidRDefault="00A10B25">
      <w:pPr>
        <w:pStyle w:val="B2"/>
        <w:rPr>
          <w:lang w:val="en-US" w:eastAsia="zh-CN"/>
        </w:rPr>
      </w:pPr>
      <w:r>
        <w:rPr>
          <w:lang w:val="en-US" w:eastAsia="zh-CN"/>
        </w:rPr>
        <w:t>8)</w:t>
      </w:r>
      <w:r>
        <w:rPr>
          <w:lang w:val="en-US" w:eastAsia="zh-CN"/>
        </w:rPr>
        <w:tab/>
        <w:t>offset period to the periodic reporting in the "offsetPeriod" attribute if the feature "EneNA" is supported. It may be present if the "repPeriod" attribute within the "evtReq" attribute or the "repetitionPeriod" attribute within the EventSubscription data type is included;</w:t>
      </w:r>
    </w:p>
    <w:p w14:paraId="0E5A85E9" w14:textId="77777777" w:rsidR="00A10B25" w:rsidRDefault="00A10B25">
      <w:pPr>
        <w:pStyle w:val="B2"/>
        <w:rPr>
          <w:rFonts w:eastAsia="等线"/>
          <w:lang w:val="en-US" w:eastAsia="zh-CN"/>
        </w:rPr>
      </w:pPr>
      <w:r>
        <w:rPr>
          <w:rFonts w:eastAsia="等线"/>
          <w:lang w:val="en-US" w:eastAsia="zh-CN"/>
        </w:rPr>
        <w:t>9)</w:t>
      </w:r>
      <w:r>
        <w:rPr>
          <w:rFonts w:eastAsia="等线"/>
          <w:lang w:val="en-US" w:eastAsia="zh-CN"/>
        </w:rPr>
        <w:tab/>
      </w:r>
      <w:r>
        <w:t>preferred accuracy level per analytics subset in the "accPerSubset" attribute if the "listOfAnaSubsets" attribute is present and the "EneNA" feature is supported</w:t>
      </w:r>
      <w:r>
        <w:rPr>
          <w:rFonts w:eastAsia="等线"/>
          <w:lang w:val="en-US" w:eastAsia="zh-CN"/>
        </w:rPr>
        <w:t>; and/or</w:t>
      </w:r>
    </w:p>
    <w:p w14:paraId="41CFEA2D" w14:textId="77777777" w:rsidR="00A10B25" w:rsidRDefault="00A10B25">
      <w:pPr>
        <w:pStyle w:val="B2"/>
        <w:rPr>
          <w:rFonts w:eastAsia="等线"/>
          <w:lang w:val="en-US" w:eastAsia="zh-CN"/>
        </w:rPr>
      </w:pPr>
      <w:r>
        <w:rPr>
          <w:rFonts w:eastAsia="等线"/>
          <w:lang w:val="en-US" w:eastAsia="zh-CN"/>
        </w:rPr>
        <w:t>10)</w:t>
      </w:r>
      <w:r>
        <w:rPr>
          <w:rFonts w:eastAsia="等线"/>
          <w:lang w:val="en-US" w:eastAsia="zh-CN"/>
        </w:rPr>
        <w:tab/>
        <w:t xml:space="preserve">the </w:t>
      </w:r>
      <w:r>
        <w:t>time period of historical analytics in the "</w:t>
      </w:r>
      <w:r>
        <w:rPr>
          <w:lang w:eastAsia="zh-CN"/>
        </w:rPr>
        <w:t>histAnaTimePeriod</w:t>
      </w:r>
      <w:r>
        <w:t>" attribute, if the "EneNA" feature is supported</w:t>
      </w:r>
      <w:r>
        <w:rPr>
          <w:rFonts w:eastAsia="等线"/>
          <w:lang w:val="en-US" w:eastAsia="zh-CN"/>
        </w:rPr>
        <w:t>.</w:t>
      </w:r>
    </w:p>
    <w:p w14:paraId="60579278" w14:textId="77777777" w:rsidR="00A10B25" w:rsidRDefault="00A10B25">
      <w:r>
        <w:t>The NnwdafEventsSubscription data structure provided in the request body may include:</w:t>
      </w:r>
    </w:p>
    <w:p w14:paraId="1A9AE26F" w14:textId="77777777" w:rsidR="00A10B25" w:rsidRDefault="00A10B25" w:rsidP="0076721C">
      <w:pPr>
        <w:pStyle w:val="B1"/>
      </w:pPr>
      <w:r>
        <w:rPr>
          <w:rFonts w:eastAsia="等线"/>
        </w:rPr>
        <w:t>-</w:t>
      </w:r>
      <w:r>
        <w:rPr>
          <w:rFonts w:eastAsia="等线"/>
        </w:rPr>
        <w:tab/>
      </w:r>
      <w:r>
        <w:t>event reporting information as the "evtReq" attribute, which applies for each event and may contain the following attributes:</w:t>
      </w:r>
    </w:p>
    <w:p w14:paraId="42ED71D3" w14:textId="77777777" w:rsidR="00A10B25" w:rsidRDefault="00A10B25" w:rsidP="0076721C">
      <w:pPr>
        <w:pStyle w:val="B2"/>
      </w:pPr>
      <w:r>
        <w:rPr>
          <w:rFonts w:hint="eastAsia"/>
          <w:lang w:eastAsia="zh-CN"/>
        </w:rPr>
        <w:t>1</w:t>
      </w:r>
      <w:r>
        <w:t>)</w:t>
      </w:r>
      <w:r>
        <w:tab/>
        <w:t>event notification method (periodic, one time, on event detection) in the "notifMethod" attribute;</w:t>
      </w:r>
    </w:p>
    <w:p w14:paraId="2A3479A8" w14:textId="77777777" w:rsidR="00A10B25" w:rsidRDefault="00A10B25" w:rsidP="0076721C">
      <w:pPr>
        <w:pStyle w:val="B2"/>
      </w:pPr>
      <w:r>
        <w:rPr>
          <w:rFonts w:hint="eastAsia"/>
          <w:lang w:eastAsia="zh-CN"/>
        </w:rPr>
        <w:t>2</w:t>
      </w:r>
      <w:r>
        <w:t>)</w:t>
      </w:r>
      <w:r>
        <w:tab/>
        <w:t>maximum Number of Reports in the "maxReportNbr" attribute;</w:t>
      </w:r>
    </w:p>
    <w:p w14:paraId="3A2BD8E1" w14:textId="77777777" w:rsidR="00A10B25" w:rsidRDefault="00A10B25" w:rsidP="0076721C">
      <w:pPr>
        <w:pStyle w:val="B2"/>
      </w:pPr>
      <w:r>
        <w:rPr>
          <w:rFonts w:hint="eastAsia"/>
          <w:lang w:eastAsia="zh-CN"/>
        </w:rPr>
        <w:t>3</w:t>
      </w:r>
      <w:r>
        <w:t>)</w:t>
      </w:r>
      <w:r>
        <w:tab/>
        <w:t>monitoring duration in the "monDur" attribute;</w:t>
      </w:r>
    </w:p>
    <w:p w14:paraId="3F2C0814" w14:textId="77777777" w:rsidR="00A10B25" w:rsidRDefault="00A10B25" w:rsidP="0076721C">
      <w:pPr>
        <w:pStyle w:val="B2"/>
      </w:pPr>
      <w:r>
        <w:rPr>
          <w:rFonts w:hint="eastAsia"/>
          <w:lang w:eastAsia="zh-CN"/>
        </w:rPr>
        <w:t>4</w:t>
      </w:r>
      <w:r>
        <w:t>)</w:t>
      </w:r>
      <w:r>
        <w:tab/>
        <w:t>repetition period for periodic reporting in the "repPeriod" attribute;</w:t>
      </w:r>
    </w:p>
    <w:p w14:paraId="173EC707" w14:textId="77777777" w:rsidR="00A10B25" w:rsidRDefault="00A10B25" w:rsidP="0076721C">
      <w:pPr>
        <w:pStyle w:val="B2"/>
      </w:pPr>
      <w:r>
        <w:rPr>
          <w:rFonts w:hint="eastAsia"/>
          <w:lang w:eastAsia="zh-CN"/>
        </w:rPr>
        <w:t>5</w:t>
      </w:r>
      <w:r>
        <w:t>)</w:t>
      </w:r>
      <w:r>
        <w:tab/>
        <w:t>immediate reporting indication in the "immRep" attribute;</w:t>
      </w:r>
    </w:p>
    <w:p w14:paraId="5E661043" w14:textId="77777777" w:rsidR="00A10B25" w:rsidRDefault="00A10B25" w:rsidP="0076721C">
      <w:pPr>
        <w:pStyle w:val="B2"/>
      </w:pPr>
      <w:r>
        <w:t>6)</w:t>
      </w:r>
      <w:r>
        <w:tab/>
        <w:t>percentage of sampling among impacted UEs in the "sampRatio" attribute;</w:t>
      </w:r>
    </w:p>
    <w:p w14:paraId="0C8AC770" w14:textId="77777777" w:rsidR="00A10B25" w:rsidRDefault="00A10B25" w:rsidP="0076721C">
      <w:pPr>
        <w:pStyle w:val="B2"/>
      </w:pPr>
      <w:r>
        <w:t>7)</w:t>
      </w:r>
      <w:r>
        <w:tab/>
        <w:t>partitioning criteria for partitioning the impacted UEs before performing sampling as "partitionCriteria" attribute if the "EneNA" feature is supported;</w:t>
      </w:r>
    </w:p>
    <w:p w14:paraId="4311D925" w14:textId="77777777" w:rsidR="00A10B25" w:rsidRDefault="00A10B25" w:rsidP="0076721C">
      <w:pPr>
        <w:pStyle w:val="B2"/>
      </w:pPr>
      <w:r>
        <w:t>8)</w:t>
      </w:r>
      <w:r>
        <w:tab/>
        <w:t>group reporting guard time for aggregating the reports for a group of UEs in the "grpRepTime" attribute; and/or</w:t>
      </w:r>
    </w:p>
    <w:p w14:paraId="1EC448E5" w14:textId="77777777" w:rsidR="00A10B25" w:rsidRDefault="00A10B25" w:rsidP="0076721C">
      <w:pPr>
        <w:pStyle w:val="B2"/>
      </w:pPr>
      <w:r>
        <w:lastRenderedPageBreak/>
        <w:t>9)</w:t>
      </w:r>
      <w:r>
        <w:tab/>
        <w:t>a notification flag (used for muting and retrieving notifications) as "notifFlag" attribute if the "EneNA" feature is supported</w:t>
      </w:r>
    </w:p>
    <w:p w14:paraId="6B2D349B" w14:textId="77777777" w:rsidR="00A10B25" w:rsidRDefault="00A10B25" w:rsidP="0076721C">
      <w:pPr>
        <w:pStyle w:val="NO"/>
      </w:pPr>
      <w:r>
        <w:t>NOTE 1:</w:t>
      </w:r>
      <w:r>
        <w:tab/>
        <w:t>The notification method indicated as the "notifMethod" attribute and the periodic reporting time indicated as the "repPeriod" attributes within the event reporting information as the "evtReq" attribute provided in NnwdafEventsSubscription data type, if present, supersedes the event notification method as the "notificationMethod" attribute and repetition period as the "repetitionPeriod" attribute respectively in the EventSubscription data type.</w:t>
      </w:r>
    </w:p>
    <w:p w14:paraId="40482016" w14:textId="77777777" w:rsidR="00A10B25" w:rsidRDefault="00A10B25">
      <w:pPr>
        <w:pStyle w:val="B1"/>
      </w:pPr>
      <w:r>
        <w:t>-</w:t>
      </w:r>
      <w:r>
        <w:tab/>
        <w:t>information of previous analytics subscription in the "prevSub" attribute if the "AnaCtxTransfer" feature is supported;</w:t>
      </w:r>
    </w:p>
    <w:p w14:paraId="2A03B68C" w14:textId="77777777" w:rsidR="00A10B25" w:rsidRDefault="00A10B25" w:rsidP="0076721C">
      <w:pPr>
        <w:pStyle w:val="B1"/>
      </w:pPr>
      <w:r>
        <w:t>-</w:t>
      </w:r>
      <w:r>
        <w:tab/>
        <w:t>the notification correlation ide</w:t>
      </w:r>
      <w:r>
        <w:lastRenderedPageBreak/>
        <w:t>ntifier in the "notifCorrId" attribute, if the "EneNA" feature is supported; and/or</w:t>
      </w:r>
    </w:p>
    <w:p w14:paraId="6B7EE86E" w14:textId="77777777" w:rsidR="00A10B25" w:rsidRDefault="00A10B25" w:rsidP="0076721C">
      <w:pPr>
        <w:pStyle w:val="B1"/>
      </w:pPr>
      <w:r>
        <w:t>-</w:t>
      </w:r>
      <w:r>
        <w:tab/>
        <w:t>analytics consumer information as "consNfInfo" attribute, if the "AnaSubTransfer" feature is supported;</w:t>
      </w:r>
    </w:p>
    <w:p w14:paraId="7EA7C06A" w14:textId="77777777" w:rsidR="00A10B25" w:rsidRDefault="00A10B25" w:rsidP="0076721C">
      <w:pPr>
        <w:pStyle w:val="NO"/>
      </w:pPr>
      <w:r>
        <w:t>NOTE 2:</w:t>
      </w:r>
      <w:r>
        <w:tab/>
        <w:t>The "consNfInfo" attribute enables the NWDAF to determine whether an analytics subscription transfer procedure is applicable. Otherwise, if the "consNfInfo" attribute is not provided in a subscription and the NWDAF cannot serve anymore or transfer this subscription, the NWDAF can notify the analytics consumer with a Termination Request so that the analytics consumer can select a new target NWDAF.</w:t>
      </w:r>
    </w:p>
    <w:p w14:paraId="048D977A" w14:textId="77777777" w:rsidR="00A10B25" w:rsidRDefault="00A10B25">
      <w:r>
        <w:t>For all the event types, the "eventSubscriptions" attribute may include:</w:t>
      </w:r>
    </w:p>
    <w:p w14:paraId="46F8C543" w14:textId="77777777" w:rsidR="00A10B25" w:rsidRDefault="00A10B25">
      <w:pPr>
        <w:pStyle w:val="B1"/>
      </w:pPr>
      <w:bookmarkStart w:id="809" w:name="_Toc88667477"/>
      <w:bookmarkStart w:id="810" w:name="_Toc43563447"/>
      <w:bookmarkStart w:id="811" w:name="_Toc68168904"/>
      <w:bookmarkStart w:id="812" w:name="_Toc85552876"/>
      <w:bookmarkStart w:id="813" w:name="_Toc56640907"/>
      <w:bookmarkStart w:id="814" w:name="_Toc98233523"/>
      <w:bookmarkStart w:id="815" w:name="_Toc59017875"/>
      <w:bookmarkStart w:id="816" w:name="_Toc70550550"/>
      <w:bookmarkStart w:id="817" w:name="_Toc51762840"/>
      <w:bookmarkStart w:id="818" w:name="_Toc45133990"/>
      <w:bookmarkStart w:id="819" w:name="_Toc101244299"/>
      <w:bookmarkStart w:id="820" w:name="_Toc66231743"/>
      <w:bookmarkStart w:id="821" w:name="_Toc28012764"/>
      <w:bookmarkStart w:id="822" w:name="_Toc34266234"/>
      <w:bookmarkStart w:id="823" w:name="_Toc50031920"/>
      <w:bookmarkStart w:id="824" w:name="_Toc85556975"/>
      <w:bookmarkStart w:id="825" w:name="_Toc83232987"/>
      <w:bookmarkStart w:id="826" w:name="_Toc36102405"/>
      <w:bookmarkStart w:id="827" w:name="_Toc94064143"/>
      <w:bookmarkStart w:id="828" w:name="_Toc90655762"/>
      <w:r>
        <w:rPr>
          <w:rFonts w:eastAsia="等线"/>
        </w:rPr>
        <w:t>-</w:t>
      </w:r>
      <w:r>
        <w:rPr>
          <w:rFonts w:eastAsia="等线"/>
        </w:rPr>
        <w:tab/>
      </w:r>
      <w:r>
        <w:rPr>
          <w:lang w:val="en-US" w:eastAsia="zh-CN"/>
        </w:rPr>
        <w:t xml:space="preserve">the </w:t>
      </w:r>
      <w:r>
        <w:t>analytics accuracy requirement information in "</w:t>
      </w:r>
      <w:r>
        <w:rPr>
          <w:lang w:eastAsia="zh-CN"/>
        </w:rPr>
        <w:t>accuReq</w:t>
      </w:r>
      <w:r>
        <w:t xml:space="preserve">" attribute </w:t>
      </w:r>
      <w:bookmarkStart w:id="829" w:name="_Hlk142843758"/>
      <w:r>
        <w:t xml:space="preserve">as indication to the NWDAF to activate checking the analytics accuracy information of the subscribed event, </w:t>
      </w:r>
      <w:bookmarkEnd w:id="829"/>
      <w:r>
        <w:t>if the "</w:t>
      </w:r>
      <w:r>
        <w:rPr>
          <w:lang w:eastAsia="zh-CN"/>
        </w:rPr>
        <w:t>AnalyticsAccuracy</w:t>
      </w:r>
      <w:r>
        <w:t>" feature is supported and the NF service consumer discovered or local configured the NWDAF containing an AnLF supporting accuracy checking capability.</w:t>
      </w:r>
    </w:p>
    <w:p w14:paraId="50B4800B" w14:textId="77777777" w:rsidR="00A10B25" w:rsidRDefault="00A10B25">
      <w:pPr>
        <w:pStyle w:val="B1"/>
      </w:pPr>
      <w:r>
        <w:rPr>
          <w:rFonts w:eastAsia="等线"/>
        </w:rPr>
        <w:t>-</w:t>
      </w:r>
      <w:r>
        <w:rPr>
          <w:rFonts w:eastAsia="等线"/>
        </w:rPr>
        <w:tab/>
      </w:r>
      <w:r>
        <w:rPr>
          <w:lang w:val="en-US" w:eastAsia="zh-CN"/>
        </w:rPr>
        <w:t xml:space="preserve">the </w:t>
      </w:r>
      <w:r>
        <w:t>pause analytics consumption flag in "</w:t>
      </w:r>
      <w:r>
        <w:rPr>
          <w:lang w:eastAsia="zh-CN"/>
        </w:rPr>
        <w:t>pauseFlg</w:t>
      </w:r>
      <w:r>
        <w:t>" attribute if the "</w:t>
      </w:r>
      <w:r>
        <w:rPr>
          <w:lang w:eastAsia="zh-CN"/>
        </w:rPr>
        <w:t>AnalyticsAccuracy</w:t>
      </w:r>
      <w:r>
        <w:t>" feature is supported.</w:t>
      </w:r>
    </w:p>
    <w:p w14:paraId="37A104A2" w14:textId="77777777" w:rsidR="00A10B25" w:rsidRDefault="00A10B25">
      <w:pPr>
        <w:pStyle w:val="B1"/>
      </w:pPr>
      <w:r>
        <w:rPr>
          <w:rFonts w:eastAsia="等线"/>
        </w:rPr>
        <w:t>-</w:t>
      </w:r>
      <w:r>
        <w:rPr>
          <w:rFonts w:eastAsia="等线"/>
        </w:rPr>
        <w:tab/>
      </w:r>
      <w:r>
        <w:rPr>
          <w:lang w:val="en-US" w:eastAsia="zh-CN"/>
        </w:rPr>
        <w:t>the resume analytics consumption flag</w:t>
      </w:r>
      <w:r>
        <w:t xml:space="preserve"> in "</w:t>
      </w:r>
      <w:r>
        <w:rPr>
          <w:lang w:eastAsia="zh-CN"/>
        </w:rPr>
        <w:t>resumeFlg</w:t>
      </w:r>
      <w:r>
        <w:t>" attribute if the "</w:t>
      </w:r>
      <w:r>
        <w:rPr>
          <w:lang w:eastAsia="zh-CN"/>
        </w:rPr>
        <w:t>AnalyticsAccuracy</w:t>
      </w:r>
      <w:r>
        <w:t>" feature is supported.</w:t>
      </w:r>
    </w:p>
    <w:p w14:paraId="373B7E23" w14:textId="77777777" w:rsidR="00A10B25" w:rsidRDefault="00A10B25">
      <w:pPr>
        <w:pStyle w:val="B1"/>
      </w:pPr>
      <w:r>
        <w:t>-</w:t>
      </w:r>
      <w:r>
        <w:tab/>
        <w:t>use case context as "useCaseCxt" attribute, if the "ENAExt" feature is supported.</w:t>
      </w:r>
    </w:p>
    <w:p w14:paraId="0062E2E7" w14:textId="77777777" w:rsidR="00A10B25" w:rsidRDefault="00A10B25">
      <w:pPr>
        <w:pStyle w:val="NO"/>
      </w:pPr>
      <w:r>
        <w:t>NOTE 3:</w:t>
      </w:r>
      <w:r>
        <w:tab/>
        <w:t>The NWDAF can use the parameter "Use case context" to select the most relevant ML model, when several ML models are available for the requested Analytics ID(s). The NWDAF containing AnLF can additionally provide the parameter "Use case context" when requesting an ML model from an NWDAF containing MTLF. The values of this parameter are not standardized.</w:t>
      </w:r>
    </w:p>
    <w:p w14:paraId="6CA777C1" w14:textId="77777777" w:rsidR="00A10B25" w:rsidRDefault="00A10B25" w:rsidP="0076721C">
      <w:pPr>
        <w:pStyle w:val="NO"/>
      </w:pPr>
      <w:r>
        <w:t>NOTE</w:t>
      </w:r>
      <w:r>
        <w:rPr>
          <w:rFonts w:eastAsia="等线"/>
        </w:rPr>
        <w:t> 4</w:t>
      </w:r>
      <w:r>
        <w:t>:</w:t>
      </w:r>
      <w:r>
        <w:tab/>
        <w:t>The subscription for analytics accuracy information independently from subscription of the analytics event output is not supported in this release.</w:t>
      </w:r>
    </w:p>
    <w:p w14:paraId="6FAA1E06" w14:textId="77777777" w:rsidR="00A10B25" w:rsidRDefault="00A10B25">
      <w:pPr>
        <w:pStyle w:val="B1"/>
      </w:pPr>
      <w:r>
        <w:t>-</w:t>
      </w:r>
      <w:r>
        <w:tab/>
        <w:t>information related to roaming within the "roamingInfo" attribute if the "RoamingAnalytics" feature is supported;</w:t>
      </w:r>
    </w:p>
    <w:p w14:paraId="6C4EBE98" w14:textId="77777777" w:rsidR="00A10B25" w:rsidRDefault="00A10B25">
      <w:r>
        <w:t>For different event types, the "eventSubscriptions" attribute:</w:t>
      </w:r>
    </w:p>
    <w:p w14:paraId="23F2B525" w14:textId="77777777" w:rsidR="00A10B25" w:rsidRDefault="00A10B25">
      <w:pPr>
        <w:pStyle w:val="B1"/>
      </w:pPr>
      <w:r>
        <w:rPr>
          <w:rFonts w:eastAsia="等线"/>
        </w:rPr>
        <w:t>-</w:t>
      </w:r>
      <w:r>
        <w:rPr>
          <w:rFonts w:eastAsia="等线"/>
        </w:rPr>
        <w:tab/>
      </w:r>
      <w:r>
        <w:t>if the event is "SLICE_LOAD_LEVEL", shall provide:</w:t>
      </w:r>
    </w:p>
    <w:p w14:paraId="311C23E2" w14:textId="77777777" w:rsidR="00A10B25" w:rsidRDefault="00A10B25">
      <w:pPr>
        <w:pStyle w:val="B2"/>
      </w:pPr>
      <w:r>
        <w:t>1)</w:t>
      </w:r>
      <w:r>
        <w:tab/>
        <w:t>network slice level load level threshold in the "loadLevelThreshold" attribute if the "notifMethod" attribute in "evtReq" attribute is set to "ON_EVENT_DETECTION" or the "notificationMethod" attribute in "eventSubscriptions" attribute is set to "THRESHOLD" or omitted; and</w:t>
      </w:r>
    </w:p>
    <w:p w14:paraId="1F996DF8" w14:textId="77777777" w:rsidR="00A10B25" w:rsidRDefault="00A10B25">
      <w:pPr>
        <w:pStyle w:val="B2"/>
      </w:pPr>
      <w:r>
        <w:t>2)</w:t>
      </w:r>
      <w:r>
        <w:tab/>
        <w:t>identification of network slice(s) to which the subscription applies via identification of network slice(s) in the "snssais" attribute or any slices indication in the "anySlice" attribute;</w:t>
      </w:r>
    </w:p>
    <w:p w14:paraId="5C1C86E7" w14:textId="77777777" w:rsidR="00A10B25" w:rsidRDefault="00A10B25">
      <w:pPr>
        <w:pStyle w:val="B1"/>
      </w:pPr>
      <w:r>
        <w:rPr>
          <w:rFonts w:eastAsia="等线"/>
        </w:rPr>
        <w:t>-</w:t>
      </w:r>
      <w:r>
        <w:rPr>
          <w:rFonts w:eastAsia="等线"/>
        </w:rPr>
        <w:tab/>
      </w:r>
      <w:r>
        <w:t>if the feature "</w:t>
      </w:r>
      <w:r>
        <w:rPr>
          <w:lang w:eastAsia="zh-CN"/>
        </w:rPr>
        <w:t>NsiLoad</w:t>
      </w:r>
      <w:r>
        <w:t>" is supported and the event is "</w:t>
      </w:r>
      <w:r>
        <w:rPr>
          <w:lang w:eastAsia="zh-CN"/>
        </w:rPr>
        <w:t>NSI_LOAD_LEVEL</w:t>
      </w:r>
      <w:r>
        <w:t>", shall provide:</w:t>
      </w:r>
    </w:p>
    <w:p w14:paraId="4D703484" w14:textId="77777777" w:rsidR="00A10B25" w:rsidRDefault="00A10B25">
      <w:pPr>
        <w:pStyle w:val="B2"/>
      </w:pPr>
      <w:r>
        <w:t>1)</w:t>
      </w:r>
      <w:r>
        <w:tab/>
        <w:t>identification of network slice and the optionally associated network slice instance(s) if available, via the "nsiIdInfos" attribute or any slices indication in the "anySlice" attribute; and</w:t>
      </w:r>
    </w:p>
    <w:p w14:paraId="649B9BAB" w14:textId="77777777" w:rsidR="00A10B25" w:rsidRDefault="00A10B25">
      <w:pPr>
        <w:pStyle w:val="NO"/>
      </w:pPr>
      <w:r>
        <w:t>NOTE</w:t>
      </w:r>
      <w:r>
        <w:rPr>
          <w:rFonts w:eastAsia="等线"/>
        </w:rPr>
        <w:t> 5</w:t>
      </w:r>
      <w:r>
        <w:t>:</w:t>
      </w:r>
      <w:r>
        <w:tab/>
        <w:t>The network slice instance of a PDU session is not available in the PCF.</w:t>
      </w:r>
    </w:p>
    <w:p w14:paraId="40AFE8A8" w14:textId="77777777" w:rsidR="00A10B25" w:rsidRDefault="00A10B25">
      <w:pPr>
        <w:pStyle w:val="B2"/>
      </w:pPr>
      <w:r>
        <w:t>2)</w:t>
      </w:r>
      <w:r>
        <w:tab/>
        <w:t xml:space="preserve">the network slice or network slice instance load level thresholds in the "nsiLevelThrds" attribute if the "notifMethod" attribute in "evtReq" attribute is set to "ON_EVENT_DETECTION" or the "notificationMethod" attribute in "eventSubscriptions" attribute is set to "THRESHOLD" or omitted; </w:t>
      </w:r>
    </w:p>
    <w:p w14:paraId="377D4056" w14:textId="77777777" w:rsidR="00A10B25" w:rsidRDefault="00A10B25">
      <w:pPr>
        <w:pStyle w:val="B1"/>
      </w:pPr>
      <w:r>
        <w:tab/>
        <w:t>and may include:</w:t>
      </w:r>
    </w:p>
    <w:p w14:paraId="5B19EBC5" w14:textId="77777777" w:rsidR="00A10B25" w:rsidRDefault="00A10B25">
      <w:pPr>
        <w:pStyle w:val="B2"/>
        <w:rPr>
          <w:lang w:val="en-US" w:eastAsia="zh-CN"/>
        </w:rPr>
      </w:pPr>
      <w:r>
        <w:rPr>
          <w:lang w:val="en-US" w:eastAsia="zh-CN"/>
        </w:rPr>
        <w:t>1)</w:t>
      </w:r>
      <w:r>
        <w:rPr>
          <w:lang w:val="en-US" w:eastAsia="zh-CN"/>
        </w:rPr>
        <w:tab/>
        <w:t xml:space="preserve">a list of analytics subsets carried by "listOfAnaSubsets" attribute with value(s) only applicable to </w:t>
      </w:r>
      <w:r>
        <w:t>"</w:t>
      </w:r>
      <w:r>
        <w:rPr>
          <w:lang w:eastAsia="zh-CN"/>
        </w:rPr>
        <w:t>NSI_LOAD_LEVEL</w:t>
      </w:r>
      <w:r>
        <w:t>"</w:t>
      </w:r>
      <w:r>
        <w:rPr>
          <w:lang w:val="en-US" w:eastAsia="zh-CN"/>
        </w:rPr>
        <w:t xml:space="preserve"> event, if the "EneNA" feature is supported;</w:t>
      </w:r>
    </w:p>
    <w:p w14:paraId="0C76DE2E" w14:textId="77777777" w:rsidR="00A10B25" w:rsidRDefault="00A10B25">
      <w:pPr>
        <w:pStyle w:val="B2"/>
      </w:pPr>
      <w:r>
        <w:lastRenderedPageBreak/>
        <w:t>2)</w:t>
      </w:r>
      <w:r>
        <w:tab/>
        <w:t>identification of network area to which the subscription applies via identification of network area(s) by "networkArea" attribute, if the "NsiLoadExt" feature is supported;</w:t>
      </w:r>
    </w:p>
    <w:p w14:paraId="4736369E" w14:textId="77777777" w:rsidR="00A10B25" w:rsidRDefault="00A10B25">
      <w:pPr>
        <w:pStyle w:val="B2"/>
      </w:pPr>
      <w:r>
        <w:rPr>
          <w:lang w:val="en-US" w:eastAsia="zh-CN"/>
        </w:rPr>
        <w:t>3)</w:t>
      </w:r>
      <w:r>
        <w:rPr>
          <w:lang w:val="en-US" w:eastAsia="zh-CN"/>
        </w:rPr>
        <w:tab/>
        <w:t>a matching direction in the "matchingDir" attribute if the "nsiLevelThrds" attribute is provided</w:t>
      </w:r>
      <w:r>
        <w:t xml:space="preserve"> and </w:t>
      </w:r>
      <w:r>
        <w:rPr>
          <w:lang w:val="en-US" w:eastAsia="zh-CN"/>
        </w:rPr>
        <w:t>the "NsiLoadExt" feature is supported</w:t>
      </w:r>
      <w:r>
        <w:t>; and/or</w:t>
      </w:r>
    </w:p>
    <w:p w14:paraId="05DA362D" w14:textId="77777777" w:rsidR="00A10B25" w:rsidRDefault="00A10B25">
      <w:pPr>
        <w:pStyle w:val="B2"/>
      </w:pPr>
      <w:r>
        <w:t>4)</w:t>
      </w:r>
      <w:r>
        <w:tab/>
        <w:t>list of NF instance types in the "nfTypes" attribute, if the "NsiLoadExt" feature is supported.</w:t>
      </w:r>
    </w:p>
    <w:p w14:paraId="1F5D099B" w14:textId="77777777" w:rsidR="00A10B25" w:rsidRDefault="00A10B25">
      <w:pPr>
        <w:pStyle w:val="B1"/>
      </w:pPr>
      <w:r>
        <w:t>-</w:t>
      </w:r>
      <w:r>
        <w:tab/>
        <w:t>if the feature "NfLoad" is supporte</w:t>
      </w:r>
      <w:r>
        <w:lastRenderedPageBreak/>
        <w:t>d and the event is "NF_LOAD", shall provide:</w:t>
      </w:r>
    </w:p>
    <w:p w14:paraId="4F464E0F" w14:textId="77777777" w:rsidR="003E1F9F" w:rsidRDefault="003E1F9F" w:rsidP="003E1F9F">
      <w:pPr>
        <w:pStyle w:val="B2"/>
      </w:pPr>
      <w:r>
        <w:t>1)</w:t>
      </w:r>
      <w:r>
        <w:tab/>
        <w:t>identification of target UE(s) to which the subscription applies by "supis" or "anyUe"</w:t>
      </w:r>
      <w:r w:rsidRPr="00FC1086">
        <w:t xml:space="preserve"> </w:t>
      </w:r>
      <w:r>
        <w:t xml:space="preserve">attribute set to </w:t>
      </w:r>
      <w:r w:rsidRPr="00B14BFF">
        <w:t>"t</w:t>
      </w:r>
      <w:r>
        <w:t>rue</w:t>
      </w:r>
      <w:r w:rsidRPr="00B14BFF">
        <w:t>"</w:t>
      </w:r>
      <w:r>
        <w:t xml:space="preserve"> in the "tgtUe" attribute; and</w:t>
      </w:r>
    </w:p>
    <w:p w14:paraId="572D6B9E" w14:textId="77777777" w:rsidR="00A10B25" w:rsidRDefault="00A10B25">
      <w:pPr>
        <w:pStyle w:val="NO"/>
      </w:pPr>
      <w:r>
        <w:t>NOTE</w:t>
      </w:r>
      <w:r>
        <w:rPr>
          <w:rFonts w:eastAsia="等线"/>
        </w:rPr>
        <w:t> 6</w:t>
      </w:r>
      <w:r>
        <w:t>:</w:t>
      </w:r>
      <w:r>
        <w:tab/>
        <w:t>Only NF instances of type AMF and SMF which are serving the UE can be determined using a SUPI in "supis" attribute.</w:t>
      </w:r>
    </w:p>
    <w:p w14:paraId="048661E5" w14:textId="77777777" w:rsidR="00A10B25" w:rsidRDefault="00A10B25">
      <w:pPr>
        <w:pStyle w:val="NO"/>
      </w:pPr>
      <w:r>
        <w:t>NOTE</w:t>
      </w:r>
      <w:r>
        <w:rPr>
          <w:rFonts w:eastAsia="等线"/>
        </w:rPr>
        <w:t> 7</w:t>
      </w:r>
      <w:r>
        <w:t>:</w:t>
      </w:r>
      <w:r>
        <w:tab/>
        <w:t>If a list of the NF Instance IDs (or respectively of NF Set IDs) is provided, the NWDAF needs to provide the analytics for each designated NF instance (or respectively for each NF instance belonging to each designated NF Set). In such case the target UE</w:t>
      </w:r>
      <w:r>
        <w:rPr>
          <w:lang w:eastAsia="zh-CN"/>
        </w:rPr>
        <w:t xml:space="preserve">(s) of the </w:t>
      </w:r>
      <w:r>
        <w:t>Analytics Reporting need be ignored.</w:t>
      </w:r>
    </w:p>
    <w:p w14:paraId="32664B56" w14:textId="77777777" w:rsidR="00A10B25" w:rsidRDefault="00A10B25">
      <w:pPr>
        <w:pStyle w:val="B2"/>
      </w:pPr>
      <w:r>
        <w:t>2)</w:t>
      </w:r>
      <w:r>
        <w:tab/>
        <w:t>NF load level thresholds in the "nfLoadLvlThds" attribute if the "notifMethod" attribute in "evtReq" attribute is set to "ON_EVENT_DETECTION" or the "notificationMethod" attribute in "eventSubscriptions" attribute is set to "THRESHOLD" or omitted;</w:t>
      </w:r>
    </w:p>
    <w:p w14:paraId="1964DE1D" w14:textId="77777777" w:rsidR="00A10B25" w:rsidRDefault="00A10B25">
      <w:pPr>
        <w:pStyle w:val="B1"/>
      </w:pPr>
      <w:r>
        <w:tab/>
        <w:t>and may include:</w:t>
      </w:r>
    </w:p>
    <w:p w14:paraId="4DA9B708" w14:textId="77777777" w:rsidR="00A10B25" w:rsidRDefault="00A10B25">
      <w:pPr>
        <w:pStyle w:val="B2"/>
      </w:pPr>
      <w:r>
        <w:t>1)</w:t>
      </w:r>
      <w:r>
        <w:tab/>
        <w:t>either list of NF instance IDs in the "nfInstanceIds" attribute or list of NF set IDs in the "nfSetIds" attribute if the identification of target UE(s) applies to all UEs;</w:t>
      </w:r>
    </w:p>
    <w:p w14:paraId="02DF861A" w14:textId="77777777" w:rsidR="00A10B25" w:rsidRDefault="00A10B25">
      <w:pPr>
        <w:pStyle w:val="B2"/>
      </w:pPr>
      <w:r>
        <w:t>2)</w:t>
      </w:r>
      <w:r>
        <w:tab/>
        <w:t>list of NF instance types in the "nfTypes" attribute;</w:t>
      </w:r>
    </w:p>
    <w:p w14:paraId="54283EE7" w14:textId="77777777" w:rsidR="00A10B25" w:rsidRDefault="00A10B25">
      <w:pPr>
        <w:pStyle w:val="B2"/>
      </w:pPr>
      <w:r>
        <w:t>3)</w:t>
      </w:r>
      <w:r>
        <w:tab/>
        <w:t>identification of network slice(s) by "snssais" attribute;</w:t>
      </w:r>
    </w:p>
    <w:p w14:paraId="27020B40" w14:textId="77777777" w:rsidR="00A10B25" w:rsidRDefault="00A10B25">
      <w:pPr>
        <w:pStyle w:val="B2"/>
        <w:rPr>
          <w:lang w:val="en-US" w:eastAsia="zh-CN"/>
        </w:rPr>
      </w:pPr>
      <w:r>
        <w:rPr>
          <w:lang w:val="en-US" w:eastAsia="zh-CN"/>
        </w:rPr>
        <w:t>4)</w:t>
      </w:r>
      <w:r>
        <w:rPr>
          <w:lang w:val="en-US" w:eastAsia="zh-CN"/>
        </w:rPr>
        <w:tab/>
        <w:t>a matching direction in the "matchingDir" attribute if the "nfLoadLvlThds" attribute is provided;</w:t>
      </w:r>
    </w:p>
    <w:p w14:paraId="14764CE0" w14:textId="77777777" w:rsidR="00A10B25" w:rsidRDefault="00A10B25">
      <w:pPr>
        <w:pStyle w:val="B2"/>
        <w:rPr>
          <w:lang w:val="en-US" w:eastAsia="zh-CN"/>
        </w:rPr>
      </w:pPr>
      <w:r>
        <w:rPr>
          <w:lang w:val="en-US" w:eastAsia="zh-CN"/>
        </w:rPr>
        <w:t>5)</w:t>
      </w:r>
      <w:r>
        <w:rPr>
          <w:lang w:val="en-US" w:eastAsia="zh-CN"/>
        </w:rPr>
        <w:tab/>
        <w:t>optional area of interest by "networkArea" attribute</w:t>
      </w:r>
      <w:r>
        <w:t xml:space="preserve">, if the </w:t>
      </w:r>
      <w:r>
        <w:rPr>
          <w:lang w:val="en-US" w:eastAsia="zh-CN"/>
        </w:rPr>
        <w:t>"</w:t>
      </w:r>
      <w:r>
        <w:t>NfLoadExt</w:t>
      </w:r>
      <w:r>
        <w:rPr>
          <w:lang w:val="en-US" w:eastAsia="zh-CN"/>
        </w:rPr>
        <w:t>"</w:t>
      </w:r>
      <w:r>
        <w:t xml:space="preserve"> feature is supported</w:t>
      </w:r>
      <w:r>
        <w:rPr>
          <w:lang w:val="en-US" w:eastAsia="zh-CN"/>
        </w:rPr>
        <w:t>; and/or</w:t>
      </w:r>
    </w:p>
    <w:p w14:paraId="196FF0D0" w14:textId="77777777" w:rsidR="00A10B25" w:rsidRDefault="00A10B25">
      <w:pPr>
        <w:pStyle w:val="B2"/>
        <w:rPr>
          <w:lang w:val="en-US" w:eastAsia="zh-CN"/>
        </w:rPr>
      </w:pPr>
      <w:r>
        <w:rPr>
          <w:lang w:val="en-US" w:eastAsia="zh-CN"/>
        </w:rPr>
        <w:t>6)</w:t>
      </w:r>
      <w:r>
        <w:rPr>
          <w:lang w:val="en-US" w:eastAsia="zh-CN"/>
        </w:rPr>
        <w:tab/>
      </w:r>
      <w:r>
        <w:t>an optional list of analytics subsets</w:t>
      </w:r>
      <w:r>
        <w:rPr>
          <w:lang w:val="en-US" w:eastAsia="zh-CN"/>
        </w:rPr>
        <w:t xml:space="preserve"> by "listOfAnaSubsets" attribute with value(s) only applicable to NF_LOAD event, if the "EneNA" feature is supported;</w:t>
      </w:r>
    </w:p>
    <w:p w14:paraId="76762151" w14:textId="77777777" w:rsidR="00A10B25" w:rsidRDefault="00A10B25">
      <w:pPr>
        <w:pStyle w:val="B1"/>
      </w:pPr>
      <w:r>
        <w:t>-</w:t>
      </w:r>
      <w:r>
        <w:tab/>
        <w:t>if the feature "NetworkPerformance" is supported and the event is "NETWORK_PERFORMANCE", it shall provide:</w:t>
      </w:r>
    </w:p>
    <w:p w14:paraId="2CE924C0"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and</w:t>
      </w:r>
    </w:p>
    <w:p w14:paraId="0733AB33" w14:textId="77777777" w:rsidR="00A10B25" w:rsidRDefault="00A10B25">
      <w:pPr>
        <w:pStyle w:val="B2"/>
        <w:rPr>
          <w:lang w:eastAsia="zh-CN"/>
        </w:rPr>
      </w:pPr>
      <w:r>
        <w:t>2)</w:t>
      </w:r>
      <w:r>
        <w:tab/>
      </w:r>
      <w:r>
        <w:rPr>
          <w:lang w:eastAsia="zh-CN"/>
        </w:rPr>
        <w:t>the network performance requirements via "nwPerfRequs" attribute;</w:t>
      </w:r>
    </w:p>
    <w:p w14:paraId="643B8803" w14:textId="77777777" w:rsidR="00A10B25" w:rsidRDefault="00A10B25">
      <w:pPr>
        <w:pStyle w:val="B1"/>
      </w:pPr>
      <w:r>
        <w:tab/>
        <w:t>and may provide:</w:t>
      </w:r>
    </w:p>
    <w:p w14:paraId="5ADDB5AD" w14:textId="77777777" w:rsidR="00A10B25" w:rsidRDefault="00A10B25">
      <w:pPr>
        <w:pStyle w:val="B2"/>
      </w:pPr>
      <w:r>
        <w:t>1)</w:t>
      </w:r>
      <w:r>
        <w:tab/>
        <w:t>identification of network area to which the subscription applies via identification of network area(s) by "networkArea" attribute (mandatory if "anyUe" attribute is set to true);</w:t>
      </w:r>
    </w:p>
    <w:p w14:paraId="068F9ED8" w14:textId="77777777" w:rsidR="00A10B25" w:rsidRDefault="00A10B25">
      <w:pPr>
        <w:pStyle w:val="B2"/>
      </w:pPr>
      <w:r>
        <w:t>2)</w:t>
      </w:r>
      <w:r>
        <w:tab/>
        <w:t>a matching direction in the "matchingDir" attribute if the "nwPerfRequs" attribute is provided;</w:t>
      </w:r>
    </w:p>
    <w:p w14:paraId="4ECD74A6" w14:textId="77777777" w:rsidR="00A10B25" w:rsidRDefault="00A10B25">
      <w:pPr>
        <w:pStyle w:val="B2"/>
        <w:rPr>
          <w:lang w:eastAsia="zh-CN"/>
        </w:rPr>
      </w:pPr>
      <w:r>
        <w:t>3)</w:t>
      </w:r>
      <w:r>
        <w:tab/>
        <w:t xml:space="preserve">the spatial granularity size </w:t>
      </w:r>
      <w:r>
        <w:rPr>
          <w:lang w:eastAsia="zh-CN"/>
        </w:rPr>
        <w:t>of</w:t>
      </w:r>
      <w:r>
        <w:t xml:space="preserve"> TA in the "spatialGranSizeTa" attribute if the "NetworkPerformanceExt_eNA" feature is supported; </w:t>
      </w:r>
    </w:p>
    <w:p w14:paraId="3B00D647" w14:textId="77777777" w:rsidR="00A10B25" w:rsidRDefault="00A10B25">
      <w:pPr>
        <w:pStyle w:val="B2"/>
      </w:pPr>
      <w:r>
        <w:t>4)</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"NetworkPerformanceExt_eNA" feature is supported; and/or</w:t>
      </w:r>
    </w:p>
    <w:p w14:paraId="2A2930B2" w14:textId="77777777" w:rsidR="00A10B25" w:rsidRDefault="00A10B25">
      <w:pPr>
        <w:pStyle w:val="B2"/>
      </w:pPr>
      <w:r>
        <w:t>5)</w:t>
      </w:r>
      <w:r>
        <w:tab/>
        <w:t>the temporal granularity size in the "temporalGranSize" attribute if the "NetworkPerformanceExt_eNA" feature is supported.</w:t>
      </w:r>
    </w:p>
    <w:p w14:paraId="093DDA69" w14:textId="77777777" w:rsidR="00A10B25" w:rsidRDefault="00A10B25">
      <w:pPr>
        <w:pStyle w:val="B1"/>
        <w:rPr>
          <w:lang w:val="en-US" w:eastAsia="zh-CN"/>
        </w:rPr>
      </w:pPr>
      <w:r>
        <w:rPr>
          <w:lang w:val="en-US" w:eastAsia="zh-CN"/>
        </w:rPr>
        <w:t>-</w:t>
      </w:r>
      <w:r>
        <w:rPr>
          <w:lang w:val="en-US" w:eastAsia="zh-CN"/>
        </w:rPr>
        <w:tab/>
        <w:t>if the</w:t>
      </w:r>
      <w:r>
        <w:rPr>
          <w:lang w:val="en-US"/>
        </w:rPr>
        <w:t xml:space="preserve"> </w:t>
      </w:r>
      <w:r>
        <w:rPr>
          <w:lang w:val="en-US" w:eastAsia="zh-CN"/>
        </w:rPr>
        <w:t>feature "ServiceExperience" is supported and the event is "SERVICE_EXPERIENCE", shall provide:</w:t>
      </w:r>
    </w:p>
    <w:p w14:paraId="24F09509"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and</w:t>
      </w:r>
    </w:p>
    <w:p w14:paraId="3C923829" w14:textId="77777777" w:rsidR="00A10B25" w:rsidRDefault="00A10B25">
      <w:pPr>
        <w:pStyle w:val="B2"/>
      </w:pPr>
      <w:r>
        <w:t>2)</w:t>
      </w:r>
      <w:r>
        <w:tab/>
        <w:t>any slices indication in the "anySlice" attribute or identification of network slice(s) together with the optionally associated network slice instance(s) if available, via the "nsiIdInfos" attribute;</w:t>
      </w:r>
    </w:p>
    <w:p w14:paraId="50815815" w14:textId="77777777" w:rsidR="00A10B25" w:rsidRDefault="00A10B25">
      <w:pPr>
        <w:pStyle w:val="NO"/>
      </w:pPr>
      <w:r>
        <w:t>NOTE</w:t>
      </w:r>
      <w:r>
        <w:rPr>
          <w:rFonts w:eastAsia="等线"/>
        </w:rPr>
        <w:t> 8</w:t>
      </w:r>
      <w:r>
        <w:t>:</w:t>
      </w:r>
      <w:r>
        <w:tab/>
        <w:t>The network slice instance of a PDU session is not available in the PCF.</w:t>
      </w:r>
    </w:p>
    <w:p w14:paraId="0D1CF9A5" w14:textId="77777777" w:rsidR="00A10B25" w:rsidRDefault="00A10B25">
      <w:pPr>
        <w:pStyle w:val="B1"/>
      </w:pPr>
      <w:r>
        <w:tab/>
        <w:t>and may provide:</w:t>
      </w:r>
    </w:p>
    <w:p w14:paraId="2BA1E484" w14:textId="77777777" w:rsidR="00A10B25" w:rsidRDefault="00A10B25">
      <w:pPr>
        <w:pStyle w:val="B2"/>
      </w:pPr>
      <w:r>
        <w:t>1)</w:t>
      </w:r>
      <w:r>
        <w:tab/>
        <w:t>identification of application to which the subscription applies via identification of application(s) by "appIds" attribute;</w:t>
      </w:r>
    </w:p>
    <w:p w14:paraId="7CC870EB" w14:textId="77777777" w:rsidR="00BD381F" w:rsidRPr="004A42E5" w:rsidRDefault="00BD381F" w:rsidP="00BD381F">
      <w:pPr>
        <w:ind w:left="851" w:hanging="284"/>
        <w:contextualSpacing/>
      </w:pPr>
      <w:r w:rsidRPr="004A42E5">
        <w:lastRenderedPageBreak/>
        <w:t>2)</w:t>
      </w:r>
      <w:r w:rsidRPr="004A42E5">
        <w:tab/>
        <w:t xml:space="preserve">identification of network area to which the subscription applies via identification of network area(s) by "networkArea" attribute </w:t>
      </w:r>
      <w:r>
        <w:t xml:space="preserve">and/or, if the </w:t>
      </w:r>
      <w:r w:rsidRPr="000D5DEF">
        <w:t>ServiceExperienceExt2_eNA</w:t>
      </w:r>
      <w:r>
        <w:t xml:space="preserve"> feature is supported, "fineGranAreas" attribute. I</w:t>
      </w:r>
      <w:r w:rsidRPr="004A42E5">
        <w:t xml:space="preserve">f </w:t>
      </w:r>
      <w:r>
        <w:t xml:space="preserve">the </w:t>
      </w:r>
      <w:r w:rsidRPr="004A42E5">
        <w:t xml:space="preserve">"anyUe" attribute is set to </w:t>
      </w:r>
      <w:r>
        <w:t>"</w:t>
      </w:r>
      <w:r w:rsidRPr="004A42E5">
        <w:t>true</w:t>
      </w:r>
      <w:r>
        <w:t xml:space="preserve">", then the </w:t>
      </w:r>
      <w:r w:rsidRPr="004A42E5">
        <w:t xml:space="preserve">identification of </w:t>
      </w:r>
      <w:r>
        <w:t xml:space="preserve">the </w:t>
      </w:r>
      <w:r w:rsidRPr="004A42E5">
        <w:t>network area to which the subscription applies</w:t>
      </w:r>
      <w:r>
        <w:t xml:space="preserve"> is required (see also clause 5.1.6.2.3)</w:t>
      </w:r>
      <w:r w:rsidRPr="004A42E5">
        <w:t>;</w:t>
      </w:r>
    </w:p>
    <w:p w14:paraId="30A0E6D3" w14:textId="77777777" w:rsidR="00A10B25" w:rsidRDefault="00A10B25">
      <w:pPr>
        <w:pStyle w:val="B2"/>
        <w:rPr>
          <w:lang w:val="en-US" w:eastAsia="zh-CN"/>
        </w:rPr>
      </w:pPr>
      <w:r>
        <w:rPr>
          <w:lang w:eastAsia="zh-CN"/>
        </w:rPr>
        <w:t>3</w:t>
      </w:r>
      <w:r>
        <w:t>)</w:t>
      </w:r>
      <w:r>
        <w:tab/>
        <w:t>identification of DNN to which the subscription applies via identification of application(s) by "dnns" attribute;</w:t>
      </w:r>
      <w:r>
        <w:rPr>
          <w:lang w:val="en-US" w:eastAsia="zh-CN"/>
        </w:rPr>
        <w:t xml:space="preserve"> </w:t>
      </w:r>
    </w:p>
    <w:p w14:paraId="27C40572" w14:textId="77777777" w:rsidR="00A10B25" w:rsidRDefault="00A10B25">
      <w:pPr>
        <w:pStyle w:val="B2"/>
        <w:rPr>
          <w:lang w:val="en-US" w:eastAsia="zh-CN"/>
        </w:rPr>
      </w:pPr>
      <w:r>
        <w:rPr>
          <w:lang w:eastAsia="ja-JP"/>
        </w:rPr>
        <w:t>4</w:t>
      </w:r>
      <w:r>
        <w:t>)</w:t>
      </w:r>
      <w:r>
        <w:tab/>
        <w:t xml:space="preserve">identification of user plane access to DN(s) which </w:t>
      </w:r>
      <w:r>
        <w:lastRenderedPageBreak/>
        <w:t>the subscription applies as the "dnais" attribute;</w:t>
      </w:r>
    </w:p>
    <w:p w14:paraId="2611A342" w14:textId="77777777" w:rsidR="00A10B25" w:rsidRDefault="00A10B25">
      <w:pPr>
        <w:pStyle w:val="B2"/>
        <w:rPr>
          <w:lang w:val="en-US" w:eastAsia="zh-CN"/>
        </w:rPr>
      </w:pPr>
      <w:r>
        <w:rPr>
          <w:lang w:val="en-US" w:eastAsia="zh-CN"/>
        </w:rPr>
        <w:t>5)</w:t>
      </w:r>
      <w:bookmarkStart w:id="830" w:name="_Hlk27394264"/>
      <w:r>
        <w:rPr>
          <w:lang w:val="en-US" w:eastAsia="zh-CN"/>
        </w:rPr>
        <w:tab/>
      </w:r>
      <w:bookmarkEnd w:id="830"/>
      <w:r>
        <w:rPr>
          <w:lang w:val="en-US" w:eastAsia="zh-CN"/>
        </w:rPr>
        <w:t>identification of a user plane access to one or more DN(s) where applications are deployed by "dnais" attribute;</w:t>
      </w:r>
    </w:p>
    <w:p w14:paraId="0DB0E156" w14:textId="77777777" w:rsidR="00A10B25" w:rsidRDefault="00A10B25">
      <w:pPr>
        <w:pStyle w:val="B2"/>
        <w:rPr>
          <w:lang w:val="en-US" w:eastAsia="zh-CN"/>
        </w:rPr>
      </w:pPr>
      <w:r>
        <w:rPr>
          <w:lang w:val="en-US" w:eastAsia="zh-CN"/>
        </w:rPr>
        <w:t>6)</w:t>
      </w:r>
      <w:r>
        <w:rPr>
          <w:lang w:val="en-US" w:eastAsia="zh-CN"/>
        </w:rPr>
        <w:tab/>
        <w:t>if "appIds" attribute is provided, the bandwidth requirement of each application by "bwRequs" attribute;</w:t>
      </w:r>
    </w:p>
    <w:p w14:paraId="55C16939" w14:textId="77777777" w:rsidR="00A10B25" w:rsidRDefault="00A10B25">
      <w:pPr>
        <w:pStyle w:val="B2"/>
        <w:rPr>
          <w:lang w:val="en-US" w:eastAsia="zh-CN"/>
        </w:rPr>
      </w:pPr>
      <w:r>
        <w:rPr>
          <w:lang w:val="en-US" w:eastAsia="zh-CN"/>
        </w:rPr>
        <w:t>7)</w:t>
      </w:r>
      <w:r>
        <w:rPr>
          <w:lang w:val="en-US" w:eastAsia="zh-CN"/>
        </w:rPr>
        <w:tab/>
        <w:t>indication of all the RAT types and/or all the frequencies that the NWDAF received for the application or specific RAT type(s) and/or frequency(ies) and the service experience threshold value(s) for the RAT Type(s) and/or Frequency value(s) where the UE camps on by "ratFreqs" attribute if the feature "ServiceExperienceExt" is also supported;</w:t>
      </w:r>
    </w:p>
    <w:p w14:paraId="77EE8665" w14:textId="77777777" w:rsidR="00A10B25" w:rsidRDefault="00A10B25">
      <w:pPr>
        <w:pStyle w:val="B2"/>
        <w:rPr>
          <w:lang w:val="en-US" w:eastAsia="zh-CN"/>
        </w:rPr>
      </w:pPr>
      <w:r>
        <w:rPr>
          <w:lang w:val="en-US" w:eastAsia="zh-CN"/>
        </w:rPr>
        <w:t>8)</w:t>
      </w:r>
      <w:r>
        <w:rPr>
          <w:lang w:val="en-US" w:eastAsia="zh-CN"/>
        </w:rPr>
        <w:tab/>
        <w:t xml:space="preserve">a list of analytics subsets carried by "listOfAnaSubsets" attribute with value(s) only applicable to </w:t>
      </w:r>
      <w:r>
        <w:t>"</w:t>
      </w:r>
      <w:r>
        <w:rPr>
          <w:lang w:val="en-US" w:eastAsia="zh-CN"/>
        </w:rPr>
        <w:t>SERVICE_EXPERIENCE</w:t>
      </w:r>
      <w:r>
        <w:t>"</w:t>
      </w:r>
      <w:r>
        <w:rPr>
          <w:lang w:val="en-US" w:eastAsia="zh-CN"/>
        </w:rPr>
        <w:t xml:space="preserve"> event, if the "EneNA" feature is supported;</w:t>
      </w:r>
    </w:p>
    <w:p w14:paraId="14A6D6F7" w14:textId="77777777" w:rsidR="00A10B25" w:rsidRDefault="00A10B25">
      <w:pPr>
        <w:pStyle w:val="B2"/>
      </w:pPr>
      <w:r>
        <w:t>9)</w:t>
      </w:r>
      <w:r>
        <w:tab/>
        <w:t xml:space="preserve">the identification of the UPF as the "upfInfo" attribute </w:t>
      </w:r>
      <w:r>
        <w:rPr>
          <w:lang w:val="en-US" w:eastAsia="zh-CN"/>
        </w:rPr>
        <w:t>if the feature "ServiceExperienceExt" is also supported</w:t>
      </w:r>
      <w:r>
        <w:t>;</w:t>
      </w:r>
    </w:p>
    <w:p w14:paraId="5F918863" w14:textId="77777777" w:rsidR="00A10B25" w:rsidRDefault="00A10B25">
      <w:pPr>
        <w:pStyle w:val="B2"/>
      </w:pPr>
      <w:r>
        <w:rPr>
          <w:lang w:val="en-US" w:eastAsia="zh-CN"/>
        </w:rPr>
        <w:t>10)</w:t>
      </w:r>
      <w:r>
        <w:rPr>
          <w:lang w:val="en-US" w:eastAsia="zh-CN"/>
        </w:rPr>
        <w:tab/>
      </w:r>
      <w:r>
        <w:t>IP address(s)/FQDN(s) of the Application Server(s) as the "</w:t>
      </w:r>
      <w:r>
        <w:rPr>
          <w:lang w:eastAsia="zh-CN"/>
        </w:rPr>
        <w:t>appServerAddrs</w:t>
      </w:r>
      <w:r>
        <w:t xml:space="preserve">" attribute </w:t>
      </w:r>
      <w:r>
        <w:rPr>
          <w:lang w:val="en-US" w:eastAsia="zh-CN"/>
        </w:rPr>
        <w:t xml:space="preserve">if the feature "ServiceExperienceExt" is also </w:t>
      </w:r>
      <w:r>
        <w:t>supported;</w:t>
      </w:r>
    </w:p>
    <w:p w14:paraId="6D2A22D1" w14:textId="77777777" w:rsidR="00A10B25" w:rsidRDefault="00A10B25">
      <w:pPr>
        <w:pStyle w:val="B2"/>
      </w:pPr>
      <w:r>
        <w:t>11)</w:t>
      </w:r>
      <w:r>
        <w:tab/>
        <w:t>combination of PDU Session parameters as the "pduSesInfos" attribute if the feature "ServiceExperienceExt2_eNA" is also supported;</w:t>
      </w:r>
      <w:r>
        <w:rPr>
          <w:lang w:val="en-US" w:eastAsia="zh-CN"/>
        </w:rPr>
        <w:t xml:space="preserve"> and/or</w:t>
      </w:r>
    </w:p>
    <w:p w14:paraId="04869880" w14:textId="77777777" w:rsidR="00A10B25" w:rsidRDefault="00A10B25">
      <w:pPr>
        <w:pStyle w:val="B2"/>
      </w:pPr>
      <w:r>
        <w:t>12)</w:t>
      </w:r>
      <w:r>
        <w:tab/>
        <w:t>preferred granularity of location information as the "</w:t>
      </w:r>
      <w:r>
        <w:rPr>
          <w:lang w:eastAsia="zh-CN"/>
        </w:rPr>
        <w:t>locGranularity</w:t>
      </w:r>
      <w:r>
        <w:t>" attribute if the feature "ServiceExperienceExt</w:t>
      </w:r>
      <w:r>
        <w:rPr>
          <w:lang w:eastAsia="zh-CN"/>
        </w:rPr>
        <w:t>2_eNA</w:t>
      </w:r>
      <w:r>
        <w:t>" is supported; and/or</w:t>
      </w:r>
    </w:p>
    <w:p w14:paraId="3A95219E" w14:textId="77777777" w:rsidR="00A10B25" w:rsidRDefault="00A10B25">
      <w:pPr>
        <w:pStyle w:val="B1"/>
      </w:pPr>
      <w:r>
        <w:t>-</w:t>
      </w:r>
      <w:r>
        <w:tab/>
        <w:t>if the feature "UeMobility" is supported and the event is "UE_MOBILITY", shall provide:</w:t>
      </w:r>
    </w:p>
    <w:p w14:paraId="0637904E" w14:textId="77777777" w:rsidR="00A10B25" w:rsidRDefault="00A10B25">
      <w:pPr>
        <w:pStyle w:val="B2"/>
      </w:pPr>
      <w:r>
        <w:t>1)</w:t>
      </w:r>
      <w:r>
        <w:tab/>
        <w:t>identification of target UE(s) to which the subscription applies by "supis" or "intGroupIds" attribute in the "tgtUe" attribute;</w:t>
      </w:r>
    </w:p>
    <w:p w14:paraId="1CA7B503" w14:textId="77777777" w:rsidR="00A10B25" w:rsidRDefault="00A10B25">
      <w:pPr>
        <w:pStyle w:val="B2"/>
        <w:ind w:firstLine="0"/>
      </w:pPr>
    </w:p>
    <w:p w14:paraId="68D8022A" w14:textId="77777777" w:rsidR="00A10B25" w:rsidRDefault="00A10B25">
      <w:pPr>
        <w:pStyle w:val="NO"/>
        <w:rPr>
          <w:lang w:val="en-US"/>
        </w:rPr>
      </w:pPr>
      <w:r>
        <w:rPr>
          <w:rFonts w:eastAsia="等线"/>
          <w:lang w:val="en-US"/>
        </w:rPr>
        <w:t>NOTE 9:</w:t>
      </w:r>
      <w:r>
        <w:rPr>
          <w:rFonts w:eastAsia="等线"/>
          <w:lang w:val="en-US"/>
        </w:rPr>
        <w:tab/>
        <w:t>For LADN service, the consumer (e.g. SMF) provides the LADN DNN to refer the LADN service area as the AOI.</w:t>
      </w:r>
    </w:p>
    <w:p w14:paraId="41D7E970" w14:textId="77777777" w:rsidR="00A10B25" w:rsidRDefault="00A10B25">
      <w:pPr>
        <w:pStyle w:val="B1"/>
      </w:pPr>
      <w:r>
        <w:tab/>
        <w:t>and may provide:</w:t>
      </w:r>
    </w:p>
    <w:p w14:paraId="132341E9" w14:textId="77777777" w:rsidR="00BD381F" w:rsidRPr="004A42E5" w:rsidRDefault="00BD381F" w:rsidP="00BD381F">
      <w:pPr>
        <w:ind w:left="851" w:hanging="284"/>
        <w:contextualSpacing/>
        <w:rPr>
          <w:lang w:eastAsia="zh-CN"/>
        </w:rPr>
      </w:pPr>
      <w:r w:rsidRPr="004A42E5">
        <w:t>1)</w:t>
      </w:r>
      <w:r w:rsidRPr="004A42E5">
        <w:tab/>
        <w:t>identification of network area to which the subscription applies via identification of network area(s) by "networkArea" attribute</w:t>
      </w:r>
      <w:r>
        <w:t xml:space="preserve"> and/or, if the </w:t>
      </w:r>
      <w:r w:rsidRPr="004A42E5">
        <w:rPr>
          <w:lang w:val="en-US" w:eastAsia="zh-CN"/>
        </w:rPr>
        <w:t>"</w:t>
      </w:r>
      <w:r w:rsidRPr="004A42E5">
        <w:t>UeMobility</w:t>
      </w:r>
      <w:r w:rsidRPr="004A42E5">
        <w:rPr>
          <w:lang w:eastAsia="zh-CN"/>
        </w:rPr>
        <w:t>Ext2_eNA</w:t>
      </w:r>
      <w:r w:rsidRPr="004A42E5">
        <w:rPr>
          <w:lang w:val="en-US" w:eastAsia="zh-CN"/>
        </w:rPr>
        <w:t xml:space="preserve">" </w:t>
      </w:r>
      <w:r>
        <w:rPr>
          <w:lang w:val="en-US" w:eastAsia="zh-CN"/>
        </w:rPr>
        <w:t xml:space="preserve">feature </w:t>
      </w:r>
      <w:r w:rsidRPr="004A42E5">
        <w:rPr>
          <w:lang w:val="en-US" w:eastAsia="zh-CN"/>
        </w:rPr>
        <w:t>is supported</w:t>
      </w:r>
      <w:r>
        <w:rPr>
          <w:lang w:val="en-US" w:eastAsia="zh-CN"/>
        </w:rPr>
        <w:t>, the "fineGranAreas" attribute</w:t>
      </w:r>
      <w:r w:rsidRPr="004A42E5">
        <w:t>;</w:t>
      </w:r>
    </w:p>
    <w:p w14:paraId="4AA4416A" w14:textId="77777777" w:rsidR="00A10B25" w:rsidRDefault="00A10B25">
      <w:pPr>
        <w:pStyle w:val="B2"/>
      </w:pPr>
      <w:r>
        <w:t>2)</w:t>
      </w:r>
      <w:r>
        <w:tab/>
        <w:t>preferred granularity of location information as the "</w:t>
      </w:r>
      <w:r>
        <w:rPr>
          <w:lang w:eastAsia="zh-CN"/>
        </w:rPr>
        <w:t>locGranularity</w:t>
      </w:r>
      <w:r>
        <w:t>" attribute if the feature "UeMobilityExt2_eNA" is supported.</w:t>
      </w:r>
    </w:p>
    <w:p w14:paraId="1A6E5B13" w14:textId="77777777" w:rsidR="00A10B25" w:rsidRDefault="00A10B25">
      <w:pPr>
        <w:pStyle w:val="B2"/>
      </w:pPr>
      <w:bookmarkStart w:id="831" w:name="_Hlk143550542"/>
      <w:r>
        <w:t>3)</w:t>
      </w:r>
      <w:r>
        <w:tab/>
        <w:t>identification of the preferred orientation of location information by " locOrientation" attribute if the feature "UeMobilityExt2_eNA" is supported.</w:t>
      </w:r>
      <w:bookmarkEnd w:id="831"/>
    </w:p>
    <w:p w14:paraId="16A89A08" w14:textId="77777777" w:rsidR="00A10B25" w:rsidRDefault="00A10B25">
      <w:pPr>
        <w:pStyle w:val="B2"/>
      </w:pPr>
      <w:r>
        <w:t>4)</w:t>
      </w:r>
      <w:r>
        <w:tab/>
        <w:t xml:space="preserve">if the feature "UeMobilityExt" is supported, </w:t>
      </w:r>
    </w:p>
    <w:p w14:paraId="5D29EC3D" w14:textId="77777777" w:rsidR="00A10B25" w:rsidRDefault="00A10B25">
      <w:pPr>
        <w:pStyle w:val="B2"/>
        <w:ind w:firstLine="0"/>
      </w:pPr>
      <w:r>
        <w:t>i)</w:t>
      </w:r>
      <w:r>
        <w:tab/>
        <w:t xml:space="preserve">identification of LADN DNN in the "ladnDnns" attribute; </w:t>
      </w:r>
    </w:p>
    <w:p w14:paraId="2C58B701" w14:textId="77777777" w:rsidR="00A10B25" w:rsidRDefault="00A10B25">
      <w:pPr>
        <w:pStyle w:val="B2"/>
        <w:ind w:firstLine="0"/>
      </w:pPr>
      <w:r>
        <w:t>ii)</w:t>
      </w:r>
      <w:r>
        <w:tab/>
        <w:t>Visited Area(s) of Interest as the "visitedAreas" attirbute;</w:t>
      </w:r>
    </w:p>
    <w:p w14:paraId="627168D8" w14:textId="77777777" w:rsidR="00A10B25" w:rsidRDefault="00A10B25">
      <w:pPr>
        <w:pStyle w:val="B2"/>
        <w:rPr>
          <w:lang w:val="en-US" w:eastAsia="zh-CN"/>
        </w:rPr>
      </w:pPr>
      <w:r>
        <w:rPr>
          <w:lang w:val="en-US" w:eastAsia="zh-CN"/>
        </w:rPr>
        <w:t>5)</w:t>
      </w:r>
      <w:r>
        <w:tab/>
      </w:r>
      <w:r>
        <w:rPr>
          <w:lang w:val="en-US" w:eastAsia="zh-CN"/>
        </w:rPr>
        <w:t>other UE mobility analytics requirements in "</w:t>
      </w:r>
      <w:r>
        <w:rPr>
          <w:lang w:eastAsia="zh-CN"/>
        </w:rPr>
        <w:t>ueMobilityReqs</w:t>
      </w:r>
      <w:r>
        <w:rPr>
          <w:lang w:val="en-US" w:eastAsia="zh-CN"/>
        </w:rPr>
        <w:t xml:space="preserve">" attribute, which may include ordering criterion and ordering direction, if the </w:t>
      </w:r>
      <w:r>
        <w:t>"UeMobility</w:t>
      </w:r>
      <w:r>
        <w:rPr>
          <w:lang w:eastAsia="zh-CN"/>
        </w:rPr>
        <w:t>Ext2_eNA</w:t>
      </w:r>
      <w:r>
        <w:t>"</w:t>
      </w:r>
      <w:r>
        <w:rPr>
          <w:lang w:eastAsia="zh-CN"/>
        </w:rPr>
        <w:t xml:space="preserve"> feature is supported</w:t>
      </w:r>
      <w:r>
        <w:rPr>
          <w:lang w:val="en-US" w:eastAsia="zh-CN"/>
        </w:rPr>
        <w:t>;</w:t>
      </w:r>
    </w:p>
    <w:p w14:paraId="33D00B40" w14:textId="77777777" w:rsidR="00A10B25" w:rsidRDefault="00A10B25">
      <w:pPr>
        <w:pStyle w:val="B2"/>
        <w:rPr>
          <w:lang w:val="en-US" w:eastAsia="zh-CN"/>
        </w:rPr>
      </w:pPr>
      <w:r>
        <w:rPr>
          <w:lang w:val="en-US" w:eastAsia="zh-CN"/>
        </w:rPr>
        <w:t>6)</w:t>
      </w:r>
      <w:r>
        <w:rPr>
          <w:lang w:val="en-US" w:eastAsia="zh-CN"/>
        </w:rPr>
        <w:tab/>
        <w:t>an optional list of analytics subsets carried by "listOfAnaSubsets" attribute with value(s) only applicable to "UE_MOBILITY" event, if the "UeMobilityExt2_eNA" and "EneNA" features are supported;</w:t>
      </w:r>
    </w:p>
    <w:p w14:paraId="4F4C557D" w14:textId="77777777" w:rsidR="00A10B25" w:rsidRDefault="00A10B25">
      <w:pPr>
        <w:pStyle w:val="B2"/>
        <w:rPr>
          <w:lang w:val="en-US" w:eastAsia="zh-CN"/>
        </w:rPr>
      </w:pPr>
      <w:r>
        <w:rPr>
          <w:lang w:val="en-US" w:eastAsia="zh-CN"/>
        </w:rPr>
        <w:t>7)</w:t>
      </w:r>
      <w:r>
        <w:rPr>
          <w:lang w:val="en-US" w:eastAsia="zh-CN"/>
        </w:rPr>
        <w:tab/>
        <w:t>the spatial granularity size of TA in the "spatialGranSizeTa" attribute if the "</w:t>
      </w:r>
      <w:r>
        <w:t>UeMobilityExt2_eNA</w:t>
      </w:r>
      <w:r>
        <w:rPr>
          <w:lang w:val="en-US" w:eastAsia="zh-CN"/>
        </w:rPr>
        <w:t xml:space="preserve">" feature is supported; </w:t>
      </w:r>
    </w:p>
    <w:p w14:paraId="3E7881F0" w14:textId="77777777" w:rsidR="00A10B25" w:rsidRDefault="00A10B25">
      <w:pPr>
        <w:pStyle w:val="B2"/>
        <w:rPr>
          <w:lang w:eastAsia="zh-CN"/>
        </w:rPr>
      </w:pPr>
      <w:r>
        <w:t>8)</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"UeMobilityExt2_eNA" feature is supported</w:t>
      </w:r>
      <w:r>
        <w:rPr>
          <w:lang w:eastAsia="zh-CN"/>
        </w:rPr>
        <w:t>;</w:t>
      </w:r>
    </w:p>
    <w:p w14:paraId="301DB2C0" w14:textId="77777777" w:rsidR="00A10B25" w:rsidRDefault="00A10B25">
      <w:pPr>
        <w:pStyle w:val="B1"/>
      </w:pPr>
      <w:r>
        <w:t>-</w:t>
      </w:r>
      <w:r>
        <w:tab/>
        <w:t xml:space="preserve">if the feature "UeCommunication" is supported and the event is </w:t>
      </w:r>
      <w:r w:rsidR="00AD5F95">
        <w:t>"UE_COMMUNICATION"</w:t>
      </w:r>
      <w:r>
        <w:t>, shall provide:</w:t>
      </w:r>
    </w:p>
    <w:p w14:paraId="7E5F2C10" w14:textId="77777777" w:rsidR="00A10B25" w:rsidRDefault="00A10B25">
      <w:pPr>
        <w:pStyle w:val="B2"/>
      </w:pPr>
      <w:r>
        <w:t>1)</w:t>
      </w:r>
      <w:r>
        <w:tab/>
        <w:t>identification of target UE(s) to which the subscription applies by "supis" or "intGroupIds" attribute</w:t>
      </w:r>
      <w:r>
        <w:rPr>
          <w:rFonts w:eastAsia="等线"/>
        </w:rPr>
        <w:t xml:space="preserve"> in the "tgtUe" attribute</w:t>
      </w:r>
      <w:r>
        <w:t xml:space="preserve">; </w:t>
      </w:r>
    </w:p>
    <w:p w14:paraId="242A6A7C" w14:textId="77777777" w:rsidR="00A10B25" w:rsidRDefault="00A10B25">
      <w:pPr>
        <w:pStyle w:val="B1"/>
      </w:pPr>
      <w:r>
        <w:tab/>
        <w:t xml:space="preserve">and may include: </w:t>
      </w:r>
    </w:p>
    <w:p w14:paraId="0A43D684" w14:textId="77777777" w:rsidR="00A10B25" w:rsidRDefault="00A10B25">
      <w:pPr>
        <w:pStyle w:val="B2"/>
      </w:pPr>
      <w:r>
        <w:lastRenderedPageBreak/>
        <w:t>1)</w:t>
      </w:r>
      <w:r>
        <w:tab/>
        <w:t>identification of the application in the "appIds" attribute;</w:t>
      </w:r>
    </w:p>
    <w:p w14:paraId="678933A8" w14:textId="77777777" w:rsidR="00A10B25" w:rsidRDefault="00A10B25">
      <w:pPr>
        <w:pStyle w:val="B2"/>
      </w:pPr>
      <w:r>
        <w:t>2)</w:t>
      </w:r>
      <w:r>
        <w:tab/>
        <w:t>identification of network area to which the subscription applies via identification of network area(s) by "networkArea" attribute;</w:t>
      </w:r>
    </w:p>
    <w:p w14:paraId="158FAC98" w14:textId="77777777" w:rsidR="00A10B25" w:rsidRDefault="00A10B25">
      <w:pPr>
        <w:pStyle w:val="B2"/>
      </w:pPr>
      <w:r>
        <w:t>3)</w:t>
      </w:r>
      <w:r>
        <w:tab/>
        <w:t>an identification of DNN in the "dnns" attribute;</w:t>
      </w:r>
    </w:p>
    <w:p w14:paraId="43DD00A9" w14:textId="77777777" w:rsidR="00A10B25" w:rsidRDefault="00A10B25">
      <w:pPr>
        <w:pStyle w:val="B2"/>
      </w:pPr>
      <w:r>
        <w:t>4)</w:t>
      </w:r>
      <w:r>
        <w:tab/>
        <w:t>identification of network slice in the "snssais" attribute;</w:t>
      </w:r>
    </w:p>
    <w:p w14:paraId="106F2B24" w14:textId="77777777" w:rsidR="00A10B25" w:rsidRDefault="00A10B25">
      <w:pPr>
        <w:pStyle w:val="B2"/>
        <w:rPr>
          <w:lang w:val="en-US" w:eastAsia="zh-CN"/>
        </w:rPr>
      </w:pPr>
      <w:r>
        <w:rPr>
          <w:lang w:val="en-US" w:eastAsia="zh-CN"/>
        </w:rPr>
        <w:t>5)</w:t>
      </w:r>
      <w:r>
        <w:rPr>
          <w:lang w:val="en-US" w:eastAsia="zh-CN"/>
        </w:rPr>
        <w:tab/>
        <w:t xml:space="preserve">a list of analytics subsets carried by "listOfAnaSubsets" attribute with value(s) only applicable to </w:t>
      </w:r>
      <w:r w:rsidR="00AD5F95">
        <w:t>"UE_COMMUNICATION"</w:t>
      </w:r>
      <w:r>
        <w:rPr>
          <w:lang w:val="en-US" w:eastAsia="zh-CN"/>
        </w:rPr>
        <w:t xml:space="preserve"> event, if the "EneNA" feature is supported;</w:t>
      </w:r>
    </w:p>
    <w:p w14:paraId="13D6AC18" w14:textId="77777777" w:rsidR="00A10B25" w:rsidRDefault="00A10B25">
      <w:pPr>
        <w:pStyle w:val="B2"/>
      </w:pPr>
      <w:r>
        <w:t>6)</w:t>
      </w:r>
      <w:r>
        <w:tab/>
        <w:t xml:space="preserve">other UE communication analytics requirements in "ueCommReqs" attribute, which may include ordering criterion and ordering direction, if the </w:t>
      </w:r>
      <w:r w:rsidR="00AD5F95">
        <w:t>"UeCommunicationExt_eNA"</w:t>
      </w:r>
      <w:r>
        <w:t xml:space="preserve"> feature is supported;</w:t>
      </w:r>
    </w:p>
    <w:p w14:paraId="2D94C80C" w14:textId="77777777" w:rsidR="00A10B25" w:rsidRDefault="00A10B25">
      <w:pPr>
        <w:pStyle w:val="B2"/>
      </w:pPr>
      <w:r>
        <w:t>7)</w:t>
      </w:r>
      <w:r>
        <w:tab/>
        <w:t xml:space="preserve">the spatial granularity size of TA in the "spatialGranSizeTa" attribute if the "UeCommunicationExt_eNA" feature is supported; </w:t>
      </w:r>
    </w:p>
    <w:p w14:paraId="3FCB3818" w14:textId="77777777" w:rsidR="00A10B25" w:rsidRDefault="00A10B25">
      <w:pPr>
        <w:pStyle w:val="B2"/>
        <w:rPr>
          <w:lang w:val="en-US" w:eastAsia="zh-CN"/>
        </w:rPr>
      </w:pPr>
      <w:r>
        <w:t>8)</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"UeCommunicationExt_eNA" feature is supported</w:t>
      </w:r>
      <w:r>
        <w:rPr>
          <w:lang w:eastAsia="zh-CN"/>
        </w:rPr>
        <w:t>.</w:t>
      </w:r>
    </w:p>
    <w:p w14:paraId="7233D259" w14:textId="77777777" w:rsidR="00A10B25" w:rsidRDefault="00A10B25">
      <w:pPr>
        <w:pStyle w:val="B1"/>
      </w:pPr>
      <w:r>
        <w:t>-</w:t>
      </w:r>
      <w:r>
        <w:tab/>
        <w:t>if the feature "QoSSustainability" is supported and the event is "</w:t>
      </w:r>
      <w:r>
        <w:rPr>
          <w:lang w:val="en-US" w:eastAsia="zh-CN"/>
        </w:rPr>
        <w:t>QOS_SUSTAINABILITY</w:t>
      </w:r>
      <w:r>
        <w:t>", shall provide:</w:t>
      </w:r>
    </w:p>
    <w:p w14:paraId="4919942C" w14:textId="77777777" w:rsidR="00BD381F" w:rsidRPr="004A42E5" w:rsidRDefault="00BD381F" w:rsidP="00C869EF">
      <w:pPr>
        <w:pStyle w:val="B2"/>
        <w:rPr>
          <w:lang w:eastAsia="zh-CN"/>
        </w:rPr>
      </w:pPr>
      <w:r w:rsidRPr="004A42E5">
        <w:t>1)</w:t>
      </w:r>
      <w:r w:rsidRPr="004A42E5">
        <w:tab/>
        <w:t xml:space="preserve">identification of network area to which the subscription applies via </w:t>
      </w:r>
      <w:r>
        <w:t>the</w:t>
      </w:r>
      <w:r w:rsidRPr="004A42E5">
        <w:t xml:space="preserve"> "networkArea" attribute</w:t>
      </w:r>
      <w:r>
        <w:t xml:space="preserve"> and/or, if the </w:t>
      </w:r>
      <w:r w:rsidRPr="004A42E5">
        <w:rPr>
          <w:lang w:val="en-US" w:eastAsia="zh-CN"/>
        </w:rPr>
        <w:t>"</w:t>
      </w:r>
      <w:r w:rsidRPr="004A42E5">
        <w:rPr>
          <w:rFonts w:eastAsia="Batang"/>
        </w:rPr>
        <w:t>QoSSustainabilityExt_eNA</w:t>
      </w:r>
      <w:r w:rsidRPr="004A42E5">
        <w:rPr>
          <w:lang w:val="en-US" w:eastAsia="zh-CN"/>
        </w:rPr>
        <w:t xml:space="preserve">" </w:t>
      </w:r>
      <w:r>
        <w:rPr>
          <w:lang w:val="en-US" w:eastAsia="zh-CN"/>
        </w:rPr>
        <w:t xml:space="preserve">feature </w:t>
      </w:r>
      <w:r w:rsidRPr="004A42E5">
        <w:rPr>
          <w:lang w:val="en-US" w:eastAsia="zh-CN"/>
        </w:rPr>
        <w:t>is supported</w:t>
      </w:r>
      <w:r>
        <w:rPr>
          <w:lang w:val="en-US" w:eastAsia="zh-CN"/>
        </w:rPr>
        <w:t>, the "fineGranAreas" attribute</w:t>
      </w:r>
      <w:r w:rsidRPr="004A42E5">
        <w:rPr>
          <w:lang w:eastAsia="zh-CN"/>
        </w:rPr>
        <w:t xml:space="preserve">; </w:t>
      </w:r>
    </w:p>
    <w:p w14:paraId="75562EED" w14:textId="77777777" w:rsidR="00A10B25" w:rsidRDefault="00A10B25" w:rsidP="00C869EF">
      <w:pPr>
        <w:pStyle w:val="B2"/>
        <w:rPr>
          <w:lang w:eastAsia="zh-CN"/>
        </w:rPr>
      </w:pPr>
      <w:r>
        <w:rPr>
          <w:lang w:eastAsia="zh-CN"/>
        </w:rPr>
        <w:t>2)</w:t>
      </w:r>
      <w:r>
        <w:rPr>
          <w:lang w:eastAsia="zh-CN"/>
        </w:rPr>
        <w:tab/>
        <w:t>the QoS requirements via "qosRequ" attribute;</w:t>
      </w:r>
    </w:p>
    <w:p w14:paraId="06533D3A" w14:textId="77777777" w:rsidR="00C869EF" w:rsidRPr="00531FAC" w:rsidRDefault="00A10B25" w:rsidP="00C869EF">
      <w:pPr>
        <w:pStyle w:val="B2"/>
        <w:rPr>
          <w:lang w:eastAsia="zh-CN"/>
        </w:rPr>
      </w:pPr>
      <w:r>
        <w:rPr>
          <w:lang w:eastAsia="zh-CN"/>
        </w:rPr>
        <w:t>3)</w:t>
      </w:r>
      <w:r>
        <w:rPr>
          <w:lang w:eastAsia="zh-CN"/>
        </w:rPr>
        <w:tab/>
      </w:r>
      <w:r w:rsidR="00C869EF" w:rsidRPr="00531FAC">
        <w:rPr>
          <w:lang w:eastAsia="zh-CN"/>
        </w:rPr>
        <w:t>QoS flow retainability threshold(s) by the "qosFlowRetThds" attribute for the 5QI of GBR resource type or RAN UE throughout threshold(s) by the "ranUeThrouThds" attribute for the 5QI of non-GBR resource type</w:t>
      </w:r>
      <w:r w:rsidR="00C869EF">
        <w:rPr>
          <w:lang w:eastAsia="zh-CN"/>
        </w:rPr>
        <w:t xml:space="preserve"> or, if the "</w:t>
      </w:r>
      <w:r w:rsidR="00C869EF" w:rsidRPr="00104D65">
        <w:rPr>
          <w:lang w:eastAsia="zh-CN"/>
        </w:rPr>
        <w:t>QoSSustainabilityExt2</w:t>
      </w:r>
      <w:r w:rsidR="00C869EF">
        <w:rPr>
          <w:lang w:eastAsia="zh-CN"/>
        </w:rPr>
        <w:t xml:space="preserve">" feature is supported, end-to-end delay threshold(s) by the </w:t>
      </w:r>
      <w:r w:rsidR="00C869EF" w:rsidRPr="00531FAC">
        <w:rPr>
          <w:lang w:eastAsia="zh-CN"/>
        </w:rPr>
        <w:t>"</w:t>
      </w:r>
      <w:r w:rsidR="00C869EF">
        <w:rPr>
          <w:lang w:eastAsia="zh-CN"/>
        </w:rPr>
        <w:t>e2eDelay</w:t>
      </w:r>
      <w:r w:rsidR="00C869EF" w:rsidRPr="00531FAC">
        <w:rPr>
          <w:lang w:eastAsia="zh-CN"/>
        </w:rPr>
        <w:t>Thds" attribute, if the "notifMethod" attribute in "evtReq" attribute is set to "ON_EVENT_DETECTION" or the "notificationMethod" attribute in "eventSubscriptions" attribute is set to "THRESHOLD" or omitted; and</w:t>
      </w:r>
    </w:p>
    <w:p w14:paraId="426088C0" w14:textId="77777777" w:rsidR="00C869EF" w:rsidRPr="00531FAC" w:rsidRDefault="00C869EF" w:rsidP="00C869EF">
      <w:pPr>
        <w:pStyle w:val="B2"/>
        <w:rPr>
          <w:lang w:eastAsia="zh-CN"/>
        </w:rPr>
      </w:pPr>
      <w:r w:rsidRPr="00531FAC">
        <w:rPr>
          <w:lang w:eastAsia="zh-CN"/>
        </w:rPr>
        <w:t>4)</w:t>
      </w:r>
      <w:r w:rsidRPr="00531FAC">
        <w:rPr>
          <w:lang w:eastAsia="zh-CN"/>
        </w:rPr>
        <w:tab/>
        <w:t>identification of target UE(s) to which the subscription applies by "anyUe"</w:t>
      </w:r>
      <w:r w:rsidRPr="00531FAC">
        <w:t xml:space="preserve"> attribute set to "true"</w:t>
      </w:r>
      <w:r w:rsidRPr="00531FAC">
        <w:rPr>
          <w:lang w:eastAsia="zh-CN"/>
        </w:rPr>
        <w:t xml:space="preserve"> in the "tgtUe" attribute;</w:t>
      </w:r>
    </w:p>
    <w:p w14:paraId="0C6B0DD0" w14:textId="77777777" w:rsidR="00C869EF" w:rsidRPr="00531FAC" w:rsidRDefault="00C869EF" w:rsidP="00C869EF">
      <w:pPr>
        <w:pStyle w:val="B1"/>
      </w:pPr>
      <w:r w:rsidRPr="00531FAC">
        <w:tab/>
        <w:t xml:space="preserve">and may include: </w:t>
      </w:r>
    </w:p>
    <w:p w14:paraId="01FD92CC" w14:textId="77777777" w:rsidR="00C869EF" w:rsidRPr="00531FAC" w:rsidRDefault="00C869EF" w:rsidP="00C869EF">
      <w:pPr>
        <w:pStyle w:val="B2"/>
      </w:pPr>
      <w:r w:rsidRPr="00531FAC">
        <w:t>1)</w:t>
      </w:r>
      <w:r w:rsidRPr="00531FAC">
        <w:tab/>
        <w:t>identification of network slice(s) by "snssais" attribute;</w:t>
      </w:r>
    </w:p>
    <w:p w14:paraId="77F5525B" w14:textId="6783ACF1" w:rsidR="00C869EF" w:rsidRPr="00531FAC" w:rsidRDefault="00C869EF" w:rsidP="00C869EF">
      <w:pPr>
        <w:pStyle w:val="B2"/>
      </w:pPr>
      <w:r w:rsidRPr="00531FAC">
        <w:t>2)</w:t>
      </w:r>
      <w:r w:rsidRPr="00531FAC">
        <w:tab/>
        <w:t>a matching direction in the "matchingDir" attribute if the "qosFlowRetThds" attribute</w:t>
      </w:r>
      <w:r>
        <w:t>,</w:t>
      </w:r>
      <w:r w:rsidRPr="00531FAC">
        <w:t xml:space="preserve"> the "ranUeThrouThds" attribute</w:t>
      </w:r>
      <w:r>
        <w:t xml:space="preserve">, or the </w:t>
      </w:r>
      <w:r w:rsidRPr="00531FAC">
        <w:t>"</w:t>
      </w:r>
      <w:r>
        <w:t>e2eDelayThds</w:t>
      </w:r>
      <w:r w:rsidRPr="00531FAC">
        <w:t>" attribute is provided;</w:t>
      </w:r>
    </w:p>
    <w:p w14:paraId="19655A62" w14:textId="77777777" w:rsidR="00A10B25" w:rsidRDefault="00A10B25" w:rsidP="00C869EF">
      <w:pPr>
        <w:pStyle w:val="B2"/>
      </w:pPr>
      <w:r>
        <w:rPr>
          <w:lang w:eastAsia="zh-CN"/>
        </w:rPr>
        <w:t>3</w:t>
      </w:r>
      <w:r>
        <w:t>)</w:t>
      </w:r>
      <w:r>
        <w:tab/>
      </w:r>
      <w:r>
        <w:rPr>
          <w:lang w:eastAsia="zh-CN"/>
        </w:rPr>
        <w:t>acceptable</w:t>
      </w:r>
      <w:r>
        <w:t xml:space="preserve"> </w:t>
      </w:r>
      <w:r>
        <w:rPr>
          <w:lang w:eastAsia="zh-CN"/>
        </w:rPr>
        <w:t>deviations</w:t>
      </w:r>
      <w:r>
        <w:t xml:space="preserve"> </w:t>
      </w:r>
      <w:r>
        <w:rPr>
          <w:lang w:eastAsia="zh-CN"/>
        </w:rPr>
        <w:t>from</w:t>
      </w:r>
      <w:r>
        <w:t xml:space="preserve"> </w:t>
      </w:r>
      <w:r>
        <w:rPr>
          <w:lang w:eastAsia="zh-CN"/>
        </w:rPr>
        <w:t>the</w:t>
      </w:r>
      <w:r>
        <w:t xml:space="preserve"> </w:t>
      </w:r>
      <w:r>
        <w:rPr>
          <w:lang w:eastAsia="zh-CN"/>
        </w:rPr>
        <w:t>threshold</w:t>
      </w:r>
      <w:r>
        <w:t xml:space="preserve"> </w:t>
      </w:r>
      <w:r>
        <w:rPr>
          <w:lang w:eastAsia="zh-CN"/>
        </w:rPr>
        <w:t>levels</w:t>
      </w:r>
      <w:r>
        <w:t xml:space="preserve"> in the "deviation</w:t>
      </w:r>
      <w:r>
        <w:rPr>
          <w:lang w:eastAsia="zh-CN"/>
        </w:rPr>
        <w:t>s</w:t>
      </w:r>
      <w:r>
        <w:t>" attribute, if the "</w:t>
      </w:r>
      <w:r>
        <w:rPr>
          <w:lang w:eastAsia="zh-CN"/>
        </w:rPr>
        <w:t>En</w:t>
      </w:r>
      <w:r>
        <w:rPr>
          <w:rFonts w:eastAsia="Batang"/>
        </w:rPr>
        <w:t>QoSSustainability</w:t>
      </w:r>
      <w:r>
        <w:t xml:space="preserve">" </w:t>
      </w:r>
      <w:r>
        <w:rPr>
          <w:lang w:eastAsia="zh-CN"/>
        </w:rPr>
        <w:t>feature is supported;</w:t>
      </w:r>
    </w:p>
    <w:p w14:paraId="60492C9A" w14:textId="77777777" w:rsidR="00A10B25" w:rsidRDefault="00A10B25" w:rsidP="00C869EF">
      <w:pPr>
        <w:pStyle w:val="B2"/>
      </w:pPr>
      <w:r>
        <w:t>4)</w:t>
      </w:r>
      <w:r>
        <w:tab/>
        <w:t xml:space="preserve">the spatial granularity size of TA in the "spatialGranSizeTa" attribute if the "QoSSustainabilityExt_eNA" feature is supported; </w:t>
      </w:r>
    </w:p>
    <w:p w14:paraId="72410954" w14:textId="77777777" w:rsidR="00A10B25" w:rsidRDefault="00A10B25" w:rsidP="00C869EF">
      <w:pPr>
        <w:pStyle w:val="B2"/>
        <w:rPr>
          <w:lang w:val="en-US" w:eastAsia="zh-CN"/>
        </w:rPr>
      </w:pPr>
      <w:r>
        <w:t>5)</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"QoSSustainabilityExt_eNA" feature is supported</w:t>
      </w:r>
      <w:r>
        <w:rPr>
          <w:lang w:eastAsia="zh-CN"/>
        </w:rPr>
        <w:t>;</w:t>
      </w:r>
    </w:p>
    <w:p w14:paraId="440FBF3F" w14:textId="77777777" w:rsidR="00A10B25" w:rsidRDefault="00A10B25" w:rsidP="00C869EF">
      <w:pPr>
        <w:pStyle w:val="B2"/>
      </w:pPr>
      <w:r>
        <w:t>6)</w:t>
      </w:r>
      <w:r>
        <w:tab/>
        <w:t xml:space="preserve">the temporal granularity size in the "temporalGranSize" attribute if the "QoSSustainabilityExt_eNA" feature is supported; </w:t>
      </w:r>
      <w:r>
        <w:rPr>
          <w:lang w:eastAsia="zh-CN"/>
        </w:rPr>
        <w:t>and/or</w:t>
      </w:r>
    </w:p>
    <w:p w14:paraId="2B28A4BC" w14:textId="77777777" w:rsidR="00A10B25" w:rsidRDefault="00A10B25">
      <w:pPr>
        <w:pStyle w:val="B1"/>
      </w:pPr>
      <w:r>
        <w:t>-</w:t>
      </w:r>
      <w:r>
        <w:tab/>
        <w:t>if the feature "AbnormalBehaviour" is supported and the event is "ABNORMAL_BEHAVIOUR", shall provide:</w:t>
      </w:r>
    </w:p>
    <w:p w14:paraId="514499C3"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and</w:t>
      </w:r>
    </w:p>
    <w:p w14:paraId="4FCBA308" w14:textId="77777777" w:rsidR="00A10B25" w:rsidRDefault="00A10B25">
      <w:pPr>
        <w:pStyle w:val="B2"/>
      </w:pPr>
      <w:r>
        <w:t>2)</w:t>
      </w:r>
      <w:r>
        <w:tab/>
        <w:t xml:space="preserve">either the expected analytics type via "exptAnaType" attribute or a list of exception Ids with the associated thresholds via "excepRequs" attribute. If </w:t>
      </w:r>
      <w:r>
        <w:rPr>
          <w:lang w:val="en-US" w:eastAsia="zh-CN"/>
        </w:rPr>
        <w:t xml:space="preserve">the expected analytics type via </w:t>
      </w:r>
      <w:r>
        <w:t xml:space="preserve">"exptAnaType" attribute is provided, the NWDAF shall derive the corresponding Exception Ids from the received </w:t>
      </w:r>
      <w:r>
        <w:rPr>
          <w:lang w:val="en-US" w:eastAsia="zh-CN"/>
        </w:rPr>
        <w:t>expected analytics type as follows:</w:t>
      </w:r>
    </w:p>
    <w:p w14:paraId="523A57E6" w14:textId="77777777" w:rsidR="00A10B25" w:rsidRDefault="00A10B25">
      <w:pPr>
        <w:pStyle w:val="B3"/>
      </w:pPr>
      <w:r>
        <w:rPr>
          <w:lang w:val="en-US"/>
        </w:rPr>
        <w:t>a)</w:t>
      </w:r>
      <w:r>
        <w:rPr>
          <w:lang w:val="en-US"/>
        </w:rPr>
        <w:tab/>
      </w:r>
      <w:r>
        <w:t>if "exptAnaType" attribute sets to "MOBILITY", the corresponding list of Exception Ids are "UNEXPECTED_UE_LOCATION", "PING_PONG_ACROSS_CELLS", "UNEXPECTED_WAKEUP" and "UNEXPECTED_RADIO_LINK_FAILURES";</w:t>
      </w:r>
    </w:p>
    <w:p w14:paraId="234B0546" w14:textId="77777777" w:rsidR="00A10B25" w:rsidRDefault="00A10B25">
      <w:pPr>
        <w:pStyle w:val="B3"/>
      </w:pPr>
      <w:r>
        <w:t>b)</w:t>
      </w:r>
      <w:r>
        <w:tab/>
        <w:t>if "exptAnaType" attribute sets to "COMMUN", the corresponding list of Exception Ids are "UNEXPECTED_LONG_LIVE_FLOW", "UNEXPECTED_LARGE_RATE_FLOW", "SUSPICION_OF_DDOS_ATTACK", "WRONG_DESTINATION_ADDRESS" and "TOO_FREQUENT_SERVICE_ACCESS"; and</w:t>
      </w:r>
    </w:p>
    <w:p w14:paraId="1016056E" w14:textId="77777777" w:rsidR="00A10B25" w:rsidRDefault="00A10B25">
      <w:pPr>
        <w:pStyle w:val="B3"/>
      </w:pPr>
      <w:r>
        <w:t>c)</w:t>
      </w:r>
      <w:r>
        <w:tab/>
        <w:t>if "exptAnaType" attribute sets to "MOBILITY_AND_COMMUN", the corresponding list of Exception Ids includes all above derived exception Ids.</w:t>
      </w:r>
    </w:p>
    <w:p w14:paraId="37DB0CE0" w14:textId="77777777" w:rsidR="00A10B25" w:rsidRDefault="00A10B25">
      <w:pPr>
        <w:pStyle w:val="B3"/>
        <w:ind w:left="851" w:firstLine="0"/>
      </w:pPr>
      <w:r>
        <w:t xml:space="preserve">The derived list of Exception Ids is used by the NWDAF to notify the NF service consumer when UE's behaviour is exceptional based on one or more Exception Ids within the list. </w:t>
      </w:r>
    </w:p>
    <w:p w14:paraId="6989C4E4" w14:textId="77777777" w:rsidR="00A10B25" w:rsidRDefault="00A10B25">
      <w:pPr>
        <w:pStyle w:val="B3"/>
      </w:pPr>
      <w:r>
        <w:t>If the "anyUe" attribute in the "tgtUe" attribute sets to "true":</w:t>
      </w:r>
    </w:p>
    <w:p w14:paraId="65533EA9" w14:textId="77777777" w:rsidR="00A10B25" w:rsidRDefault="00A10B25">
      <w:pPr>
        <w:pStyle w:val="B3"/>
      </w:pPr>
      <w:r>
        <w:lastRenderedPageBreak/>
        <w:t>a)</w:t>
      </w:r>
      <w:r>
        <w:tab/>
        <w:t>the expected analytics type via the"exptAnaType" attribute or the list of Exception Ids via "excepRequs" attribute shall not be requested for both mobility and communication related analytics at the same time;</w:t>
      </w:r>
    </w:p>
    <w:p w14:paraId="4597BF72" w14:textId="77777777" w:rsidR="00A10B25" w:rsidRDefault="00A10B25">
      <w:pPr>
        <w:pStyle w:val="B3"/>
      </w:pPr>
      <w:r>
        <w:t>b)</w:t>
      </w:r>
      <w:r>
        <w:tab/>
        <w:t>if the expected analytics type via the"exptAnaType" attribute or the list of Exception Ids via "excepRequs" attribute is mobility related, at least one of identification of network area(s) by "networkArea" attribute and identification of network slice(s) by "snssais" attribute should be provided; and</w:t>
      </w:r>
    </w:p>
    <w:p w14:paraId="69986163" w14:textId="77777777" w:rsidR="00A10B25" w:rsidRDefault="00A10B25">
      <w:pPr>
        <w:pStyle w:val="B3"/>
      </w:pPr>
      <w:r>
        <w:t>c)</w:t>
      </w:r>
      <w:r>
        <w:tab/>
        <w:t>if the expected analytics type via the</w:t>
      </w:r>
      <w:r>
        <w:rPr>
          <w:lang w:eastAsia="zh-CN"/>
        </w:rPr>
        <w:t>"exptAnaType" attribute</w:t>
      </w:r>
      <w:r>
        <w:t xml:space="preserve"> or the list of Exception Ids via "excepRequs" attribute is communication related, at least one of identification of network area(s) by "networkArea" attribute, identification of application(s) by "appIds" attribute, identification of DNN(s) in the "dnns" attribute and identification of network slice(s) by "snssais" attribute should be provided;</w:t>
      </w:r>
    </w:p>
    <w:p w14:paraId="15DCFF2A" w14:textId="77777777" w:rsidR="00A10B25" w:rsidRDefault="00A10B25">
      <w:pPr>
        <w:pStyle w:val="B1"/>
      </w:pPr>
      <w:r>
        <w:tab/>
        <w:t>and may provide:</w:t>
      </w:r>
    </w:p>
    <w:p w14:paraId="5A35ACD2" w14:textId="77777777" w:rsidR="00A10B25" w:rsidRDefault="00A10B25">
      <w:pPr>
        <w:pStyle w:val="B2"/>
        <w:rPr>
          <w:lang w:val="en-US" w:eastAsia="zh-CN"/>
        </w:rPr>
      </w:pPr>
      <w:r>
        <w:rPr>
          <w:lang w:val="en-US" w:eastAsia="zh-CN"/>
        </w:rPr>
        <w:t>1)</w:t>
      </w:r>
      <w:r>
        <w:rPr>
          <w:lang w:val="en-US" w:eastAsia="zh-CN"/>
        </w:rPr>
        <w:tab/>
        <w:t>expected UE behaviour via "exptUeBehav" attribute.</w:t>
      </w:r>
    </w:p>
    <w:p w14:paraId="5833E7D4" w14:textId="77777777" w:rsidR="00A10B25" w:rsidRDefault="00A10B25">
      <w:pPr>
        <w:pStyle w:val="B1"/>
      </w:pPr>
      <w:r>
        <w:t>-</w:t>
      </w:r>
      <w:r>
        <w:tab/>
        <w:t>if the feature "UserDataCongestion" is supported and the event is "USER_DATA_CONGESTION", shall provide:</w:t>
      </w:r>
    </w:p>
    <w:p w14:paraId="5A518D4D" w14:textId="77777777" w:rsidR="003E1F9F" w:rsidRDefault="003E1F9F" w:rsidP="003E1F9F">
      <w:pPr>
        <w:pStyle w:val="B2"/>
      </w:pPr>
      <w:r>
        <w:t>1)</w:t>
      </w:r>
      <w:r>
        <w:tab/>
        <w:t>identification of target UE(s) to which the subscription applies by "supis", "gpsis" (if feature "UserDataCongestionExt" is supported) or "anyUe" attribute</w:t>
      </w:r>
      <w:r w:rsidRPr="00FC1086">
        <w:t xml:space="preserve"> </w:t>
      </w:r>
      <w:r>
        <w:t xml:space="preserve">set to </w:t>
      </w:r>
      <w:r w:rsidRPr="00B14BFF">
        <w:t>"t</w:t>
      </w:r>
      <w:r>
        <w:t>rue</w:t>
      </w:r>
      <w:r w:rsidRPr="00B14BFF">
        <w:t>"</w:t>
      </w:r>
      <w:r>
        <w:t>;</w:t>
      </w:r>
    </w:p>
    <w:p w14:paraId="05A6A249" w14:textId="77777777" w:rsidR="00A10B25" w:rsidRDefault="00A10B25">
      <w:pPr>
        <w:pStyle w:val="B1"/>
      </w:pPr>
      <w:r>
        <w:tab/>
        <w:t>and may include:</w:t>
      </w:r>
    </w:p>
    <w:p w14:paraId="64AC7FCB" w14:textId="77777777" w:rsidR="00A10B25" w:rsidRDefault="00A10B25">
      <w:pPr>
        <w:pStyle w:val="B2"/>
      </w:pPr>
      <w:r>
        <w:t>1)</w:t>
      </w:r>
      <w:r>
        <w:tab/>
        <w:t>congestion threshold by the "congThresholds" attribute if the "notifMethod" attribute in "evtReq" attribute is set to "ON_EVENT_DETECTION" or the "notificationMethod" attribute in "eventSubscriptions" attribute is set to "THRESHOLD" or omitted;</w:t>
      </w:r>
    </w:p>
    <w:p w14:paraId="48AF6E34" w14:textId="77777777" w:rsidR="00A10B25" w:rsidRDefault="00A10B25">
      <w:pPr>
        <w:pStyle w:val="B2"/>
      </w:pPr>
      <w:r>
        <w:t>2)</w:t>
      </w:r>
      <w:r>
        <w:tab/>
        <w:t>identification of network area to which the subscription applies via identification of network area(s) by "networkArea" attribute (mandatory if "anyUe" attribute is set to true);</w:t>
      </w:r>
    </w:p>
    <w:p w14:paraId="0D23AA78" w14:textId="77777777" w:rsidR="00A10B25" w:rsidRDefault="00A10B25">
      <w:pPr>
        <w:pStyle w:val="B2"/>
      </w:pPr>
      <w:r>
        <w:t>3)</w:t>
      </w:r>
      <w:r>
        <w:tab/>
        <w:t>identification of network slice(s) by "snssais" attribute;</w:t>
      </w:r>
    </w:p>
    <w:p w14:paraId="2C4F6E73" w14:textId="77777777" w:rsidR="00A10B25" w:rsidRDefault="00A10B25">
      <w:pPr>
        <w:pStyle w:val="B2"/>
        <w:rPr>
          <w:lang w:val="en-US" w:eastAsia="zh-CN"/>
        </w:rPr>
      </w:pPr>
      <w:r>
        <w:rPr>
          <w:lang w:val="en-US" w:eastAsia="zh-CN"/>
        </w:rPr>
        <w:t>4)</w:t>
      </w:r>
      <w:r>
        <w:rPr>
          <w:lang w:val="en-US" w:eastAsia="zh-CN"/>
        </w:rPr>
        <w:tab/>
        <w:t>a matching direction in the "matchingDir" attribute if the "congThresholds" attribute is provided;</w:t>
      </w:r>
    </w:p>
    <w:p w14:paraId="7E4CF5BC" w14:textId="77777777" w:rsidR="00A10B25" w:rsidRDefault="00A10B25">
      <w:pPr>
        <w:pStyle w:val="B2"/>
        <w:rPr>
          <w:lang w:val="en-US" w:eastAsia="zh-CN"/>
        </w:rPr>
      </w:pPr>
      <w:r>
        <w:rPr>
          <w:lang w:val="en-US" w:eastAsia="zh-CN"/>
        </w:rPr>
        <w:t>5)</w:t>
      </w:r>
      <w:r>
        <w:rPr>
          <w:lang w:val="en-US" w:eastAsia="zh-CN"/>
        </w:rPr>
        <w:tab/>
        <w:t xml:space="preserve">if the feature "UserDataCongestionExt" is also supported, request a list of top applications with maximum number that contribute the most to the traffic in uplink </w:t>
      </w:r>
      <w:bookmarkStart w:id="832" w:name="_Hlk79498175"/>
      <w:r>
        <w:rPr>
          <w:lang w:val="en-US" w:eastAsia="zh-CN"/>
        </w:rPr>
        <w:t xml:space="preserve">and/or downlink directions </w:t>
      </w:r>
      <w:bookmarkEnd w:id="832"/>
      <w:r>
        <w:rPr>
          <w:lang w:val="en-US" w:eastAsia="zh-CN"/>
        </w:rPr>
        <w:t xml:space="preserve">by the "maxTopAppUlNbr" attribute and/or the "maxTopAppDlNbr" attribute; </w:t>
      </w:r>
    </w:p>
    <w:p w14:paraId="697C23D5" w14:textId="77777777" w:rsidR="00A10B25" w:rsidRDefault="00A10B25">
      <w:pPr>
        <w:pStyle w:val="B2"/>
        <w:rPr>
          <w:lang w:val="en-US" w:eastAsia="zh-CN"/>
        </w:rPr>
      </w:pPr>
      <w:r>
        <w:rPr>
          <w:lang w:val="en-US" w:eastAsia="zh-CN"/>
        </w:rPr>
        <w:t>6)</w:t>
      </w:r>
      <w:r>
        <w:rPr>
          <w:lang w:val="en-US" w:eastAsia="zh-CN"/>
        </w:rPr>
        <w:tab/>
        <w:t xml:space="preserve">a list of analytics subsets carried by "listOfAnaSubsets" attribute with value(s) only applicable to </w:t>
      </w:r>
      <w:r>
        <w:t>"USER_DATA_CONGESTION"</w:t>
      </w:r>
      <w:r>
        <w:rPr>
          <w:lang w:val="en-US" w:eastAsia="zh-CN"/>
        </w:rPr>
        <w:t xml:space="preserve"> event, if the "EneNA" feature is supported; and/or</w:t>
      </w:r>
    </w:p>
    <w:p w14:paraId="5A778A01" w14:textId="77777777" w:rsidR="00A10B25" w:rsidRDefault="00A10B25">
      <w:pPr>
        <w:pStyle w:val="B2"/>
        <w:rPr>
          <w:lang w:val="en-US" w:eastAsia="zh-CN"/>
        </w:rPr>
      </w:pPr>
      <w:r>
        <w:rPr>
          <w:lang w:val="en-US" w:eastAsia="zh-CN"/>
        </w:rPr>
        <w:t>7)</w:t>
      </w:r>
      <w:r>
        <w:tab/>
      </w:r>
      <w:r>
        <w:rPr>
          <w:lang w:eastAsia="zh-CN"/>
        </w:rPr>
        <w:t>t</w:t>
      </w:r>
      <w:r>
        <w:rPr>
          <w:lang w:eastAsia="ko-KR"/>
        </w:rPr>
        <w:t xml:space="preserve">he ordering criterion for the list of </w:t>
      </w:r>
      <w:r>
        <w:t>User Data Congestion</w:t>
      </w:r>
      <w:r>
        <w:rPr>
          <w:lang w:eastAsia="ko-KR"/>
        </w:rPr>
        <w:t xml:space="preserve"> analytics </w:t>
      </w:r>
      <w:r>
        <w:rPr>
          <w:lang w:val="en-US" w:eastAsia="zh-CN"/>
        </w:rPr>
        <w:t>in "</w:t>
      </w:r>
      <w:r>
        <w:t>userDataConO</w:t>
      </w:r>
      <w:r>
        <w:rPr>
          <w:lang w:eastAsia="zh-CN"/>
        </w:rPr>
        <w:t>rderCri</w:t>
      </w:r>
      <w:r>
        <w:rPr>
          <w:lang w:val="en-US" w:eastAsia="zh-CN"/>
        </w:rPr>
        <w:t xml:space="preserve">" attribute, if the </w:t>
      </w:r>
      <w:r>
        <w:t>"UserDataCongestionExt2_eNA"</w:t>
      </w:r>
      <w:r>
        <w:rPr>
          <w:lang w:eastAsia="zh-CN"/>
        </w:rPr>
        <w:t xml:space="preserve"> feature is supported</w:t>
      </w:r>
      <w:r>
        <w:rPr>
          <w:lang w:val="en-US" w:eastAsia="zh-CN"/>
        </w:rPr>
        <w:t>;</w:t>
      </w:r>
    </w:p>
    <w:p w14:paraId="36F62A38" w14:textId="77777777" w:rsidR="00A10B25" w:rsidRDefault="00A10B25">
      <w:pPr>
        <w:pStyle w:val="B2"/>
      </w:pPr>
      <w:r>
        <w:t>8)</w:t>
      </w:r>
      <w:r>
        <w:tab/>
        <w:t>the temporal granularity size in the "temporalGranSize" attribute if the "UserDataCongestionExt2_eNA" feature is supported.</w:t>
      </w:r>
    </w:p>
    <w:p w14:paraId="1CBE88BA" w14:textId="77777777" w:rsidR="00A10B25" w:rsidRDefault="00A10B25">
      <w:pPr>
        <w:pStyle w:val="B1"/>
      </w:pPr>
      <w:r>
        <w:t>-</w:t>
      </w:r>
      <w:r>
        <w:tab/>
        <w:t>if the feature "Dispersion" is supported and the event is "DISPERSION", shall provide:</w:t>
      </w:r>
    </w:p>
    <w:p w14:paraId="54900E01"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 "anyUe" attribute</w:t>
      </w:r>
      <w:r w:rsidRPr="00FC1086">
        <w:t xml:space="preserve"> </w:t>
      </w:r>
      <w:r>
        <w:t xml:space="preserve">set to </w:t>
      </w:r>
      <w:r w:rsidRPr="00B14BFF">
        <w:t>"t</w:t>
      </w:r>
      <w:r>
        <w:t>rue</w:t>
      </w:r>
      <w:r w:rsidRPr="00B14BFF">
        <w:t>"</w:t>
      </w:r>
      <w:r>
        <w:t xml:space="preserve"> is only supported in combination with "snssais" attribute, "networkArea" attribute and/or </w:t>
      </w:r>
      <w:bookmarkStart w:id="833" w:name="_Hlk98159017"/>
      <w:r>
        <w:t>"disperClass"</w:t>
      </w:r>
      <w:bookmarkEnd w:id="833"/>
      <w:r>
        <w:t xml:space="preserve"> attribute;</w:t>
      </w:r>
    </w:p>
    <w:p w14:paraId="35760C50" w14:textId="77777777" w:rsidR="00A10B25" w:rsidRDefault="00A10B25">
      <w:pPr>
        <w:pStyle w:val="B1"/>
      </w:pPr>
      <w:r>
        <w:tab/>
        <w:t>and may include:</w:t>
      </w:r>
    </w:p>
    <w:p w14:paraId="0CC32BA3" w14:textId="77777777" w:rsidR="00A10B25" w:rsidRDefault="00A10B25">
      <w:pPr>
        <w:pStyle w:val="B2"/>
      </w:pPr>
      <w:r>
        <w:t>1)</w:t>
      </w:r>
      <w:r>
        <w:tab/>
        <w:t>identification of network area to which the subscription applies via identification of network area by "networkArea" attribute, if the "supis" attribute or "intGroupIds" attribute is included in the "tgtUe" attribute;</w:t>
      </w:r>
    </w:p>
    <w:p w14:paraId="366DC623" w14:textId="77777777" w:rsidR="00A10B25" w:rsidRDefault="00A10B25">
      <w:pPr>
        <w:pStyle w:val="B2"/>
      </w:pPr>
      <w:r>
        <w:t>2)</w:t>
      </w:r>
      <w:r>
        <w:tab/>
        <w:t>identification of network slice(s) by "snssais" attribute;</w:t>
      </w:r>
    </w:p>
    <w:p w14:paraId="2C56EFDA" w14:textId="77777777" w:rsidR="00A10B25" w:rsidRDefault="00A10B25">
      <w:pPr>
        <w:pStyle w:val="B2"/>
        <w:rPr>
          <w:lang w:val="en-US" w:eastAsia="zh-CN"/>
        </w:rPr>
      </w:pPr>
      <w:r>
        <w:rPr>
          <w:lang w:val="en-US" w:eastAsia="zh-CN"/>
        </w:rPr>
        <w:t>3)</w:t>
      </w:r>
      <w:r>
        <w:rPr>
          <w:lang w:val="en-US" w:eastAsia="zh-CN"/>
        </w:rPr>
        <w:tab/>
        <w:t>application identifier(s) in "appIds" attribute;</w:t>
      </w:r>
    </w:p>
    <w:p w14:paraId="1E3C4E72" w14:textId="77777777" w:rsidR="00A10B25" w:rsidRDefault="00A10B25">
      <w:pPr>
        <w:pStyle w:val="B2"/>
        <w:rPr>
          <w:lang w:val="en-US" w:eastAsia="zh-CN"/>
        </w:rPr>
      </w:pPr>
      <w:r>
        <w:rPr>
          <w:lang w:val="en-US" w:eastAsia="zh-CN"/>
        </w:rPr>
        <w:t>4)</w:t>
      </w:r>
      <w:r>
        <w:rPr>
          <w:lang w:val="en-US" w:eastAsia="zh-CN"/>
        </w:rPr>
        <w:tab/>
        <w:t>dispersion analytics requirements in "disperReqs" attribute, which for the requested dispersion type may include dispersion class, preferred ordering requirements;</w:t>
      </w:r>
    </w:p>
    <w:p w14:paraId="0A9A3380" w14:textId="77777777" w:rsidR="00A10B25" w:rsidRDefault="00A10B25">
      <w:pPr>
        <w:pStyle w:val="B2"/>
        <w:rPr>
          <w:lang w:val="en-US" w:eastAsia="zh-CN"/>
        </w:rPr>
      </w:pPr>
      <w:r>
        <w:rPr>
          <w:lang w:val="en-US" w:eastAsia="zh-CN"/>
        </w:rPr>
        <w:t>5)</w:t>
      </w:r>
      <w:r>
        <w:rPr>
          <w:lang w:val="en-US" w:eastAsia="zh-CN"/>
        </w:rPr>
        <w:tab/>
        <w:t>an optional list of analytics subsets by "listOfAnaSubsets" attribute with value(s) only applicable to DISPERSION event, if the "EneNA" feature is supported; and/or</w:t>
      </w:r>
    </w:p>
    <w:p w14:paraId="58B65EEF" w14:textId="77777777" w:rsidR="00A10B25" w:rsidRDefault="00A10B25">
      <w:pPr>
        <w:pStyle w:val="B2"/>
      </w:pPr>
      <w:r>
        <w:t>6)</w:t>
      </w:r>
      <w:r>
        <w:tab/>
        <w:t>preferred granularity of location information as the "</w:t>
      </w:r>
      <w:r>
        <w:rPr>
          <w:lang w:eastAsia="zh-CN"/>
        </w:rPr>
        <w:t>locGranularity</w:t>
      </w:r>
      <w:r>
        <w:t>" attribute if the feature "DispersionExt</w:t>
      </w:r>
      <w:r>
        <w:rPr>
          <w:lang w:eastAsia="zh-CN"/>
        </w:rPr>
        <w:t>_eNA</w:t>
      </w:r>
      <w:r>
        <w:t>" is supported</w:t>
      </w:r>
      <w:r>
        <w:rPr>
          <w:lang w:val="en-US" w:eastAsia="zh-CN"/>
        </w:rPr>
        <w:t>;</w:t>
      </w:r>
    </w:p>
    <w:p w14:paraId="6764E1D2" w14:textId="77777777" w:rsidR="00A10B25" w:rsidRDefault="00A10B25">
      <w:pPr>
        <w:pStyle w:val="B2"/>
      </w:pPr>
      <w:r>
        <w:t>7)</w:t>
      </w:r>
      <w:r>
        <w:tab/>
        <w:t xml:space="preserve">the spatial granularity size of TA in the "spatialGranSizeTa" attribute if the "DispersionExt_eNA" feature is supported; </w:t>
      </w:r>
    </w:p>
    <w:p w14:paraId="24381DD1" w14:textId="77777777" w:rsidR="00A10B25" w:rsidRDefault="00A10B25">
      <w:pPr>
        <w:pStyle w:val="B2"/>
        <w:rPr>
          <w:lang w:val="en-US" w:eastAsia="zh-CN"/>
        </w:rPr>
      </w:pPr>
      <w:r>
        <w:t>8)</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"DispersionExt_eNA" feature is supported</w:t>
      </w:r>
      <w:r>
        <w:rPr>
          <w:lang w:eastAsia="zh-CN"/>
        </w:rPr>
        <w:t>; and/or</w:t>
      </w:r>
    </w:p>
    <w:p w14:paraId="17DC9D51" w14:textId="77777777" w:rsidR="00A10B25" w:rsidRDefault="00A10B25">
      <w:pPr>
        <w:pStyle w:val="B2"/>
        <w:rPr>
          <w:lang w:val="en-US" w:eastAsia="zh-CN"/>
        </w:rPr>
      </w:pPr>
      <w:r>
        <w:t>9)</w:t>
      </w:r>
      <w:r>
        <w:tab/>
        <w:t>the temporal granularity size in the "temporalGranSize" attribute if the "DispersionExt_eNA" feature is supported.</w:t>
      </w:r>
    </w:p>
    <w:p w14:paraId="058BDD5C" w14:textId="77777777" w:rsidR="00A10B25" w:rsidRDefault="00A10B25">
      <w:pPr>
        <w:pStyle w:val="B1"/>
      </w:pPr>
      <w:r>
        <w:lastRenderedPageBreak/>
        <w:t>-</w:t>
      </w:r>
      <w:r>
        <w:tab/>
        <w:t>if the feature "RedundantTransmissionExp" is supported and the event is "RED_TRANS_EXP", shall provide:</w:t>
      </w:r>
    </w:p>
    <w:p w14:paraId="61B7B6FC" w14:textId="77777777" w:rsidR="003E1F9F" w:rsidRDefault="003E1F9F" w:rsidP="003E1F9F">
      <w:pPr>
        <w:pStyle w:val="B1"/>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w:t>
      </w:r>
    </w:p>
    <w:p w14:paraId="5FF3D3F6" w14:textId="77777777" w:rsidR="00A10B25" w:rsidRDefault="00A10B25">
      <w:pPr>
        <w:pStyle w:val="B1"/>
      </w:pPr>
      <w:r>
        <w:t>-</w:t>
      </w:r>
      <w:r>
        <w:tab/>
        <w:t>and may include:</w:t>
      </w:r>
    </w:p>
    <w:p w14:paraId="28176C38" w14:textId="77777777" w:rsidR="00A10B25" w:rsidRDefault="00A10B25">
      <w:pPr>
        <w:pStyle w:val="B2"/>
      </w:pPr>
      <w:r>
        <w:t>1)</w:t>
      </w:r>
      <w:r>
        <w:tab/>
        <w:t>identification of network area to which the subscription applies via identification of network area by "networkArea" attribute;</w:t>
      </w:r>
    </w:p>
    <w:p w14:paraId="259F70BE" w14:textId="77777777" w:rsidR="00A10B25" w:rsidRDefault="00A10B25">
      <w:pPr>
        <w:pStyle w:val="B2"/>
      </w:pPr>
      <w:r>
        <w:t>2)</w:t>
      </w:r>
      <w:r>
        <w:tab/>
        <w:t>identification of network slice(s) by "snssais" attribute;</w:t>
      </w:r>
    </w:p>
    <w:p w14:paraId="70B4FF0A" w14:textId="77777777" w:rsidR="00A10B25" w:rsidRDefault="00A10B25">
      <w:pPr>
        <w:pStyle w:val="B2"/>
        <w:rPr>
          <w:lang w:val="en-US" w:eastAsia="zh-CN"/>
        </w:rPr>
      </w:pPr>
      <w:r>
        <w:rPr>
          <w:lang w:val="en-US" w:eastAsia="zh-CN"/>
        </w:rPr>
        <w:t>3)</w:t>
      </w:r>
      <w:r>
        <w:rPr>
          <w:lang w:val="en-US" w:eastAsia="zh-CN"/>
        </w:rPr>
        <w:tab/>
        <w:t>identification of DNN in the "dnns" attribute;</w:t>
      </w:r>
    </w:p>
    <w:p w14:paraId="6AA9108D" w14:textId="77777777" w:rsidR="00A10B25" w:rsidRDefault="00A10B25">
      <w:pPr>
        <w:pStyle w:val="B2"/>
        <w:rPr>
          <w:lang w:val="en-US" w:eastAsia="zh-CN"/>
        </w:rPr>
      </w:pPr>
      <w:r>
        <w:rPr>
          <w:lang w:val="en-US" w:eastAsia="zh-CN"/>
        </w:rPr>
        <w:t>4)</w:t>
      </w:r>
      <w:r>
        <w:rPr>
          <w:lang w:val="en-US" w:eastAsia="zh-CN"/>
        </w:rPr>
        <w:tab/>
        <w:t>other redundant transmission experience analysis requirements in "redTransReqs" attribute, which may include preferred order of results for the list of Redundant Transmission Experience; and/or</w:t>
      </w:r>
    </w:p>
    <w:p w14:paraId="72ECDD0B" w14:textId="77777777" w:rsidR="00A10B25" w:rsidRDefault="00A10B25">
      <w:pPr>
        <w:pStyle w:val="B2"/>
        <w:rPr>
          <w:lang w:val="en-US" w:eastAsia="zh-CN"/>
        </w:rPr>
      </w:pPr>
      <w:r>
        <w:rPr>
          <w:lang w:val="en-US" w:eastAsia="zh-CN"/>
        </w:rPr>
        <w:t>5)</w:t>
      </w:r>
      <w:r>
        <w:rPr>
          <w:lang w:val="en-US" w:eastAsia="zh-CN"/>
        </w:rPr>
        <w:tab/>
        <w:t>an optional list of analytics subsets by "listOfAnaSubsets" attribute with value(s) only applicable to RED_TRANS_EXP event, if the "EneNA" feature is supported;</w:t>
      </w:r>
    </w:p>
    <w:p w14:paraId="03E8D773" w14:textId="77777777" w:rsidR="00A10B25" w:rsidRDefault="00A10B25">
      <w:pPr>
        <w:pStyle w:val="B2"/>
        <w:rPr>
          <w:lang w:val="en-US" w:eastAsia="zh-CN"/>
        </w:rPr>
      </w:pPr>
      <w:r>
        <w:t>6)</w:t>
      </w:r>
      <w:r>
        <w:tab/>
        <w:t>the temporal granularity size in the "temporalGranSize" attribute if the "RedundantTransExpExt_eNA" feature is supported.</w:t>
      </w:r>
    </w:p>
    <w:p w14:paraId="169E1259" w14:textId="77777777" w:rsidR="00A10B25" w:rsidRDefault="00A10B25">
      <w:pPr>
        <w:pStyle w:val="B1"/>
      </w:pPr>
      <w:r>
        <w:t>-</w:t>
      </w:r>
      <w:r>
        <w:tab/>
        <w:t>if the feature "WlanPerformance" is supported and the event is "WLAN_PERFORMANCE", shall provide:</w:t>
      </w:r>
    </w:p>
    <w:p w14:paraId="4932A351" w14:textId="77777777" w:rsidR="003E1F9F" w:rsidRDefault="003E1F9F" w:rsidP="003E1F9F">
      <w:pPr>
        <w:pStyle w:val="B2"/>
      </w:pPr>
      <w:r>
        <w:t>1)</w:t>
      </w:r>
      <w:r>
        <w:tab/>
        <w:t xml:space="preserve">identification of target UE(s) to which the subscription applies by "supis", "intGroupIds" or </w:t>
      </w:r>
      <w:bookmarkStart w:id="834" w:name="_Hlk90332760"/>
      <w:r>
        <w:t>"anyUe" attribute</w:t>
      </w:r>
      <w:r w:rsidRPr="00FC1086">
        <w:t xml:space="preserve"> </w:t>
      </w:r>
      <w:r>
        <w:t xml:space="preserve">set to </w:t>
      </w:r>
      <w:r w:rsidRPr="00B14BFF">
        <w:t>"t</w:t>
      </w:r>
      <w:r>
        <w:t>rue</w:t>
      </w:r>
      <w:r w:rsidRPr="00B14BFF">
        <w:t>"</w:t>
      </w:r>
      <w:r>
        <w:t xml:space="preserve"> in the "tgtUe" attribute</w:t>
      </w:r>
      <w:bookmarkEnd w:id="834"/>
      <w:r>
        <w:t>. If "anyUe" attribute</w:t>
      </w:r>
      <w:r w:rsidRPr="00FC1086">
        <w:t xml:space="preserve"> </w:t>
      </w:r>
      <w:r>
        <w:t xml:space="preserve">set to </w:t>
      </w:r>
      <w:r w:rsidRPr="00B14BFF">
        <w:t>"t</w:t>
      </w:r>
      <w:r>
        <w:t>rue</w:t>
      </w:r>
      <w:r w:rsidRPr="00B14BFF">
        <w:t>"</w:t>
      </w:r>
      <w:r>
        <w:t xml:space="preserve"> is included in the "tgtUe" attribute, then any of "networkArea" attribute, "ssIds" or "bssIds" attribute within "wlanReqs" attribute shall be present;</w:t>
      </w:r>
    </w:p>
    <w:p w14:paraId="36B0431A" w14:textId="77777777" w:rsidR="00A10B25" w:rsidRDefault="00A10B25">
      <w:pPr>
        <w:pStyle w:val="B1"/>
      </w:pPr>
      <w:r>
        <w:tab/>
        <w:t>and may include:</w:t>
      </w:r>
    </w:p>
    <w:p w14:paraId="230B0CC5" w14:textId="77777777" w:rsidR="00A10B25" w:rsidRDefault="00A10B25">
      <w:pPr>
        <w:pStyle w:val="B2"/>
      </w:pPr>
      <w:r>
        <w:t>1)</w:t>
      </w:r>
      <w:r>
        <w:tab/>
        <w:t>identification of network area to which the subscription applies via identification of network area by "networkArea" attribute;</w:t>
      </w:r>
    </w:p>
    <w:p w14:paraId="79F5B09D" w14:textId="77777777" w:rsidR="00A10B25" w:rsidRDefault="00A10B25">
      <w:pPr>
        <w:pStyle w:val="B2"/>
        <w:rPr>
          <w:lang w:val="en-US" w:eastAsia="zh-CN"/>
        </w:rPr>
      </w:pPr>
      <w:r>
        <w:rPr>
          <w:lang w:val="en-US" w:eastAsia="zh-CN"/>
        </w:rPr>
        <w:t>2)</w:t>
      </w:r>
      <w:r>
        <w:rPr>
          <w:lang w:val="en-US" w:eastAsia="zh-CN"/>
        </w:rPr>
        <w:tab/>
        <w:t>other WLAN performance analytics requirements in "wlanReqs" attribute, which may include SSID(s), BSSID(s), preferred order of results for the list of WLAN performance information and/or accuracy per analytics subset; and/or</w:t>
      </w:r>
    </w:p>
    <w:p w14:paraId="61856913" w14:textId="77777777" w:rsidR="00A10B25" w:rsidRDefault="00A10B25">
      <w:pPr>
        <w:pStyle w:val="B2"/>
        <w:rPr>
          <w:lang w:val="en-US" w:eastAsia="zh-CN"/>
        </w:rPr>
      </w:pPr>
      <w:r>
        <w:rPr>
          <w:lang w:val="en-US" w:eastAsia="zh-CN"/>
        </w:rPr>
        <w:t>3)</w:t>
      </w:r>
      <w:r>
        <w:rPr>
          <w:lang w:val="en-US" w:eastAsia="zh-CN"/>
        </w:rPr>
        <w:tab/>
        <w:t>an optional list of analytics subsets by "listOfAnaSubsets" attribute with value(s) only applicable to WLAN_PERFORMANCE event, if the "EneNA" feature is supported;</w:t>
      </w:r>
    </w:p>
    <w:p w14:paraId="561CE96C" w14:textId="77777777" w:rsidR="00A10B25" w:rsidRDefault="00A10B25">
      <w:pPr>
        <w:pStyle w:val="B2"/>
        <w:rPr>
          <w:lang w:val="en-US" w:eastAsia="zh-CN"/>
        </w:rPr>
      </w:pPr>
      <w:r>
        <w:t>4)</w:t>
      </w:r>
      <w:r>
        <w:tab/>
        <w:t>the temporal granularity size in the "temporalGranSize" attribute if the "WlanPerfExt_eNA" feature is supported.</w:t>
      </w:r>
    </w:p>
    <w:p w14:paraId="2E33C72D" w14:textId="77777777" w:rsidR="00A10B25" w:rsidRDefault="00A10B25">
      <w:pPr>
        <w:pStyle w:val="B1"/>
      </w:pPr>
      <w:r>
        <w:t>-</w:t>
      </w:r>
      <w:r>
        <w:tab/>
        <w:t>if the feature "</w:t>
      </w:r>
      <w:r>
        <w:rPr>
          <w:rFonts w:cs="Arial"/>
          <w:szCs w:val="18"/>
        </w:rPr>
        <w:t>DnPerformance</w:t>
      </w:r>
      <w:r>
        <w:t>" is supported and the event is "DN_PERFORMANCE", shall provide:</w:t>
      </w:r>
    </w:p>
    <w:p w14:paraId="136CD541"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w:t>
      </w:r>
    </w:p>
    <w:p w14:paraId="513DD22A" w14:textId="77777777" w:rsidR="00A10B25" w:rsidRDefault="00A10B25">
      <w:pPr>
        <w:pStyle w:val="B1"/>
      </w:pPr>
      <w:r>
        <w:tab/>
        <w:t>and may include:</w:t>
      </w:r>
    </w:p>
    <w:p w14:paraId="4BB46DE6" w14:textId="77777777" w:rsidR="00A10B25" w:rsidRDefault="00A10B25">
      <w:pPr>
        <w:pStyle w:val="B2"/>
      </w:pPr>
      <w:r>
        <w:t>1)</w:t>
      </w:r>
      <w:r>
        <w:tab/>
        <w:t>identification of network area to which the subscription applies via identification of network area by "networkArea" attribute;</w:t>
      </w:r>
    </w:p>
    <w:p w14:paraId="63E8E5D2" w14:textId="77777777" w:rsidR="00A10B25" w:rsidRDefault="00A10B25">
      <w:pPr>
        <w:pStyle w:val="B2"/>
      </w:pPr>
      <w:r>
        <w:t>2)</w:t>
      </w:r>
      <w:r>
        <w:tab/>
      </w:r>
      <w:r>
        <w:rPr>
          <w:lang w:eastAsia="zh-CN"/>
        </w:rPr>
        <w:t>identification of network slice(s) in the "snssais" attribute;</w:t>
      </w:r>
    </w:p>
    <w:p w14:paraId="78C59E40" w14:textId="77777777" w:rsidR="00A10B25" w:rsidRDefault="00A10B25">
      <w:pPr>
        <w:pStyle w:val="B2"/>
      </w:pPr>
      <w:r>
        <w:t>3)</w:t>
      </w:r>
      <w:r>
        <w:tab/>
        <w:t>identification of network slice and the optionally associated network slice instance(s) if available, via the "nsiIdInfos" attribute or any slices indication in the "anySlice" attribute;</w:t>
      </w:r>
    </w:p>
    <w:p w14:paraId="5054EBD8" w14:textId="77777777" w:rsidR="00A10B25" w:rsidRDefault="00A10B25">
      <w:pPr>
        <w:pStyle w:val="B2"/>
        <w:rPr>
          <w:lang w:val="en-US" w:eastAsia="zh-CN"/>
        </w:rPr>
      </w:pPr>
      <w:r>
        <w:rPr>
          <w:lang w:val="en-US" w:eastAsia="zh-CN"/>
        </w:rPr>
        <w:t>4)</w:t>
      </w:r>
      <w:r>
        <w:rPr>
          <w:lang w:val="en-US" w:eastAsia="zh-CN"/>
        </w:rPr>
        <w:tab/>
        <w:t>application identifier(s) in "appIds" attribute;</w:t>
      </w:r>
    </w:p>
    <w:p w14:paraId="64E89B34" w14:textId="77777777" w:rsidR="00A10B25" w:rsidRDefault="00A10B25">
      <w:pPr>
        <w:pStyle w:val="B2"/>
      </w:pPr>
      <w:r>
        <w:rPr>
          <w:lang w:val="en-US" w:eastAsia="ja-JP"/>
        </w:rPr>
        <w:t>5)</w:t>
      </w:r>
      <w:r>
        <w:rPr>
          <w:lang w:val="en-US" w:eastAsia="ja-JP"/>
        </w:rPr>
        <w:tab/>
      </w:r>
      <w:r>
        <w:tab/>
        <w:t>an identification of DNN in the "dnns" attribute;</w:t>
      </w:r>
    </w:p>
    <w:p w14:paraId="4A96FCA5" w14:textId="77777777" w:rsidR="00A10B25" w:rsidRDefault="00A10B25">
      <w:pPr>
        <w:pStyle w:val="B2"/>
        <w:rPr>
          <w:lang w:val="en-US" w:eastAsia="zh-CN"/>
        </w:rPr>
      </w:pPr>
      <w:r>
        <w:rPr>
          <w:lang w:val="en-US" w:eastAsia="zh-CN"/>
        </w:rPr>
        <w:t>6)</w:t>
      </w:r>
      <w:r>
        <w:rPr>
          <w:lang w:val="en-US" w:eastAsia="zh-CN"/>
        </w:rPr>
        <w:tab/>
        <w:t>identification of a user plane access to one or more DN(s) where applications are deployed by "dnais" attribute;</w:t>
      </w:r>
    </w:p>
    <w:p w14:paraId="1D672F38" w14:textId="77777777" w:rsidR="00A10B25" w:rsidRDefault="00A10B25">
      <w:pPr>
        <w:pStyle w:val="B2"/>
      </w:pPr>
      <w:r>
        <w:t>7)</w:t>
      </w:r>
      <w:r>
        <w:tab/>
        <w:t>the identification of the UPF as the "upfInfo" attribute;</w:t>
      </w:r>
    </w:p>
    <w:p w14:paraId="1A8B32B1" w14:textId="77777777" w:rsidR="00A10B25" w:rsidRDefault="00A10B25">
      <w:pPr>
        <w:pStyle w:val="B2"/>
      </w:pPr>
      <w:r>
        <w:rPr>
          <w:lang w:val="en-US" w:eastAsia="zh-CN"/>
        </w:rPr>
        <w:t>8)</w:t>
      </w:r>
      <w:r>
        <w:rPr>
          <w:lang w:val="en-US" w:eastAsia="zh-CN"/>
        </w:rPr>
        <w:tab/>
      </w:r>
      <w:r>
        <w:t>IP address(s)/FQDN(s) of the Application Server(s) as the "</w:t>
      </w:r>
      <w:r>
        <w:rPr>
          <w:lang w:eastAsia="zh-CN"/>
        </w:rPr>
        <w:t>appServerAddrs</w:t>
      </w:r>
      <w:r>
        <w:t>" attribute;</w:t>
      </w:r>
    </w:p>
    <w:p w14:paraId="69245E61" w14:textId="77777777" w:rsidR="00A10B25" w:rsidRDefault="00A10B25">
      <w:pPr>
        <w:pStyle w:val="B2"/>
        <w:rPr>
          <w:lang w:val="en-US" w:eastAsia="zh-CN"/>
        </w:rPr>
      </w:pPr>
      <w:r>
        <w:rPr>
          <w:lang w:val="en-US" w:eastAsia="ja-JP"/>
        </w:rPr>
        <w:t>9</w:t>
      </w:r>
      <w:r>
        <w:rPr>
          <w:lang w:val="en-US" w:eastAsia="zh-CN"/>
        </w:rPr>
        <w:t>)</w:t>
      </w:r>
      <w:r>
        <w:rPr>
          <w:lang w:val="en-US" w:eastAsia="zh-CN"/>
        </w:rPr>
        <w:tab/>
        <w:t xml:space="preserve">other DN performance analytics requirements in "dnPerfReqs" attribute, which may include the preferred order of results for the list of DN performance information and/or the reporting threshold of </w:t>
      </w:r>
      <w:r>
        <w:t>each applicable analytics subset</w:t>
      </w:r>
      <w:r>
        <w:rPr>
          <w:lang w:val="en-US" w:eastAsia="zh-CN"/>
        </w:rPr>
        <w:t>; and/or</w:t>
      </w:r>
    </w:p>
    <w:p w14:paraId="3345A447" w14:textId="77777777" w:rsidR="00A10B25" w:rsidRDefault="00A10B25">
      <w:pPr>
        <w:pStyle w:val="B2"/>
      </w:pPr>
      <w:r>
        <w:rPr>
          <w:lang w:val="en-US" w:eastAsia="zh-CN"/>
        </w:rPr>
        <w:t>10)</w:t>
      </w:r>
      <w:r>
        <w:rPr>
          <w:lang w:val="en-US" w:eastAsia="zh-CN"/>
        </w:rPr>
        <w:tab/>
      </w:r>
      <w:r>
        <w:rPr>
          <w:lang w:val="en-US" w:eastAsia="zh-CN"/>
        </w:rPr>
        <w:tab/>
        <w:t>an optional list of analytics subsets by "listOfAnaSubsets" attribute with value(s) only applicable to "</w:t>
      </w:r>
      <w:r>
        <w:rPr>
          <w:lang w:eastAsia="zh-CN"/>
        </w:rPr>
        <w:t>DN_PERFORMANCE</w:t>
      </w:r>
      <w:r>
        <w:rPr>
          <w:lang w:val="en-US" w:eastAsia="zh-CN"/>
        </w:rPr>
        <w:t xml:space="preserve">" event, if the "EneNA" feature is </w:t>
      </w:r>
      <w:r>
        <w:t xml:space="preserve">supported and may include the attribute with value(s) only applicable to "DN_PERFORMANCE" event and the "DnPerformanceExt_AIML" feature </w:t>
      </w:r>
      <w:bookmarkStart w:id="835" w:name="_Hlk131782232"/>
      <w:r>
        <w:t>if</w:t>
      </w:r>
      <w:bookmarkEnd w:id="835"/>
      <w:r>
        <w:t xml:space="preserve"> supported;</w:t>
      </w:r>
    </w:p>
    <w:p w14:paraId="11BC06FF" w14:textId="77777777" w:rsidR="00A10B25" w:rsidRDefault="00A10B25">
      <w:pPr>
        <w:pStyle w:val="B2"/>
      </w:pPr>
      <w:r>
        <w:t>11)</w:t>
      </w:r>
      <w:r>
        <w:tab/>
        <w:t xml:space="preserve">the spatial granularity size of TA in the "spatialGranSizeTa" attribute if the "DnPerformanceExt_eNA" feature is supported; </w:t>
      </w:r>
    </w:p>
    <w:p w14:paraId="756517E2" w14:textId="77777777" w:rsidR="00A10B25" w:rsidRDefault="00A10B25">
      <w:pPr>
        <w:pStyle w:val="B2"/>
        <w:rPr>
          <w:lang w:val="en-US" w:eastAsia="zh-CN"/>
        </w:rPr>
      </w:pPr>
      <w:r>
        <w:t>12)</w:t>
      </w:r>
      <w:r>
        <w:tab/>
        <w:t xml:space="preserve">the spatial granularity size </w:t>
      </w:r>
      <w:r>
        <w:rPr>
          <w:lang w:eastAsia="zh-CN"/>
        </w:rPr>
        <w:t>of</w:t>
      </w:r>
      <w:r>
        <w:t xml:space="preserve"> </w:t>
      </w:r>
      <w:r>
        <w:rPr>
          <w:lang w:eastAsia="zh-CN"/>
        </w:rPr>
        <w:t>cell</w:t>
      </w:r>
      <w:r>
        <w:t xml:space="preserve"> in the "spatialGranSize</w:t>
      </w:r>
      <w:r>
        <w:rPr>
          <w:lang w:eastAsia="zh-CN"/>
        </w:rPr>
        <w:t>Cell</w:t>
      </w:r>
      <w:r>
        <w:t>" attribute if the "DnPerformanceExt_eNA" feature is supported</w:t>
      </w:r>
      <w:r>
        <w:rPr>
          <w:lang w:eastAsia="zh-CN"/>
        </w:rPr>
        <w:t>; and/or</w:t>
      </w:r>
    </w:p>
    <w:p w14:paraId="42524298" w14:textId="77777777" w:rsidR="00A10B25" w:rsidRDefault="00A10B25">
      <w:pPr>
        <w:pStyle w:val="B2"/>
        <w:rPr>
          <w:lang w:val="en-US" w:eastAsia="zh-CN"/>
        </w:rPr>
      </w:pPr>
      <w:r>
        <w:lastRenderedPageBreak/>
        <w:t>13)</w:t>
      </w:r>
      <w:r>
        <w:tab/>
        <w:t>the temporal granularity size in the "temporalGranSize" attribute if the "DnPerformanceExt_eNA" feature is supported.</w:t>
      </w:r>
    </w:p>
    <w:p w14:paraId="68D1A70B" w14:textId="77777777" w:rsidR="00A10B25" w:rsidRDefault="00A10B25">
      <w:pPr>
        <w:pStyle w:val="B1"/>
      </w:pPr>
      <w:r>
        <w:t>-</w:t>
      </w:r>
      <w:r>
        <w:tab/>
        <w:t>if the feature "</w:t>
      </w:r>
      <w:r>
        <w:rPr>
          <w:lang w:eastAsia="zh-CN"/>
        </w:rPr>
        <w:t>SMCCE</w:t>
      </w:r>
      <w:r>
        <w:t>" is supported and the event is "</w:t>
      </w:r>
      <w:r>
        <w:rPr>
          <w:lang w:eastAsia="zh-CN"/>
        </w:rPr>
        <w:t>SM_</w:t>
      </w:r>
      <w:r>
        <w:t>CONGESTION", shall provide:</w:t>
      </w:r>
    </w:p>
    <w:p w14:paraId="4E024B6E" w14:textId="77777777" w:rsidR="00A10B25" w:rsidRDefault="00A10B25">
      <w:pPr>
        <w:pStyle w:val="B2"/>
      </w:pPr>
      <w:r>
        <w:t>1)</w:t>
      </w:r>
      <w:r>
        <w:tab/>
        <w:t>an identification of DNN in the "dnns" attribute;</w:t>
      </w:r>
    </w:p>
    <w:p w14:paraId="49148D28" w14:textId="77777777" w:rsidR="00A10B25" w:rsidRDefault="00A10B25">
      <w:pPr>
        <w:pStyle w:val="B2"/>
        <w:rPr>
          <w:lang w:eastAsia="zh-CN"/>
        </w:rPr>
      </w:pPr>
      <w:r>
        <w:rPr>
          <w:lang w:val="en-US" w:eastAsia="zh-CN"/>
        </w:rPr>
        <w:t>2)</w:t>
      </w:r>
      <w:r>
        <w:rPr>
          <w:lang w:val="en-US" w:eastAsia="zh-CN"/>
        </w:rPr>
        <w:tab/>
      </w:r>
      <w:r>
        <w:rPr>
          <w:lang w:eastAsia="zh-CN"/>
        </w:rPr>
        <w:t>identification of network slice in the "</w:t>
      </w:r>
      <w:r>
        <w:t>snssais</w:t>
      </w:r>
      <w:r>
        <w:rPr>
          <w:lang w:eastAsia="zh-CN"/>
        </w:rPr>
        <w:t>" attribute; and/or</w:t>
      </w:r>
    </w:p>
    <w:p w14:paraId="34781B56" w14:textId="77777777" w:rsidR="00A10B25" w:rsidRDefault="00A10B25">
      <w:pPr>
        <w:pStyle w:val="B2"/>
        <w:rPr>
          <w:lang w:eastAsia="zh-CN"/>
        </w:rPr>
      </w:pPr>
      <w:r>
        <w:rPr>
          <w:lang w:val="en-US" w:eastAsia="zh-CN"/>
        </w:rPr>
        <w:t>3)</w:t>
      </w:r>
      <w:r>
        <w:rPr>
          <w:lang w:val="en-US" w:eastAsia="zh-CN"/>
        </w:rPr>
        <w:tab/>
      </w:r>
      <w:r>
        <w:t>identification of target UE(s) via "supis" attribute in the "tgtUe" attribute where the target UE(s) are one have the PDU Session for the DNN and/or S-NSSAI</w:t>
      </w:r>
      <w:r>
        <w:rPr>
          <w:lang w:eastAsia="zh-CN"/>
        </w:rPr>
        <w:t>;</w:t>
      </w:r>
    </w:p>
    <w:p w14:paraId="7EBD89FB" w14:textId="77777777" w:rsidR="00A10B25" w:rsidRDefault="00A10B25">
      <w:pPr>
        <w:pStyle w:val="B1"/>
      </w:pPr>
      <w:r>
        <w:tab/>
        <w:t>and may include:</w:t>
      </w:r>
    </w:p>
    <w:p w14:paraId="486356EC" w14:textId="77777777" w:rsidR="00A10B25" w:rsidRDefault="00A10B25">
      <w:pPr>
        <w:pStyle w:val="B2"/>
        <w:rPr>
          <w:lang w:val="en-US" w:eastAsia="zh-CN"/>
        </w:rPr>
      </w:pPr>
      <w:r>
        <w:t>1)</w:t>
      </w:r>
      <w:r>
        <w:tab/>
      </w:r>
      <w:r>
        <w:rPr>
          <w:lang w:val="en-US" w:eastAsia="zh-CN"/>
        </w:rPr>
        <w:t>an optional list of analytics subsets by "listOfAnaSubsets" attribute with value(s) only applicable to "</w:t>
      </w:r>
      <w:r>
        <w:rPr>
          <w:lang w:eastAsia="zh-CN"/>
        </w:rPr>
        <w:t>SM_</w:t>
      </w:r>
      <w:r>
        <w:t>CONGESTION</w:t>
      </w:r>
      <w:r>
        <w:rPr>
          <w:lang w:val="en-US" w:eastAsia="zh-CN"/>
        </w:rPr>
        <w:t>" event, if the "EneNA" feature is supported</w:t>
      </w:r>
      <w:r>
        <w:t>.</w:t>
      </w:r>
    </w:p>
    <w:p w14:paraId="260A7593" w14:textId="77777777" w:rsidR="00A10B25" w:rsidRDefault="00A10B25">
      <w:pPr>
        <w:pStyle w:val="NO"/>
      </w:pPr>
      <w:r>
        <w:t>NOTE 10:</w:t>
      </w:r>
      <w:r>
        <w:tab/>
        <w:t>The predictions are not applicable for Session Management Congestion Control Experience analytics.</w:t>
      </w:r>
    </w:p>
    <w:p w14:paraId="7A4D5A12" w14:textId="77777777" w:rsidR="00A10B25" w:rsidRDefault="00A10B25">
      <w:pPr>
        <w:pStyle w:val="B1"/>
      </w:pPr>
      <w:r>
        <w:t>-</w:t>
      </w:r>
      <w:r>
        <w:tab/>
        <w:t>if the feature "PfdDetermination" is supported and the event is "PFD_DETERMINATION", it shall provide:</w:t>
      </w:r>
    </w:p>
    <w:p w14:paraId="0485644C" w14:textId="77777777" w:rsidR="00A10B25" w:rsidRDefault="00A10B25">
      <w:pPr>
        <w:pStyle w:val="B2"/>
        <w:rPr>
          <w:lang w:eastAsia="zh-CN"/>
        </w:rPr>
      </w:pPr>
      <w:r>
        <w:rPr>
          <w:lang w:eastAsia="zh-CN"/>
        </w:rPr>
        <w:t>1)</w:t>
      </w:r>
      <w:r>
        <w:rPr>
          <w:lang w:eastAsia="zh-CN"/>
        </w:rPr>
        <w:tab/>
        <w:t>a list of application identifier(s) in the "appIds" attribute.</w:t>
      </w:r>
    </w:p>
    <w:p w14:paraId="0C655F8D" w14:textId="77777777" w:rsidR="00A10B25" w:rsidRDefault="00A10B25">
      <w:pPr>
        <w:pStyle w:val="B1"/>
      </w:pPr>
      <w:r>
        <w:tab/>
        <w:t>and may provide:</w:t>
      </w:r>
    </w:p>
    <w:p w14:paraId="280F5095" w14:textId="77777777" w:rsidR="00A10B25" w:rsidRDefault="00A10B25">
      <w:pPr>
        <w:pStyle w:val="B2"/>
      </w:pPr>
      <w:r>
        <w:t>1)</w:t>
      </w:r>
      <w:r>
        <w:tab/>
        <w:t>identification of DNN in the "dnns" attribute; and/or</w:t>
      </w:r>
    </w:p>
    <w:p w14:paraId="6E932BFC" w14:textId="77777777" w:rsidR="00A10B25" w:rsidRDefault="00A10B25">
      <w:pPr>
        <w:pStyle w:val="B2"/>
        <w:rPr>
          <w:lang w:eastAsia="zh-CN"/>
        </w:rPr>
      </w:pPr>
      <w:r>
        <w:t>2)</w:t>
      </w:r>
      <w:r>
        <w:tab/>
      </w:r>
      <w:r>
        <w:rPr>
          <w:lang w:eastAsia="zh-CN"/>
        </w:rPr>
        <w:t>identification of network slice in the "</w:t>
      </w:r>
      <w:r>
        <w:t>snssais</w:t>
      </w:r>
      <w:r>
        <w:rPr>
          <w:lang w:eastAsia="zh-CN"/>
        </w:rPr>
        <w:t>" attribute.</w:t>
      </w:r>
    </w:p>
    <w:p w14:paraId="1F0B43CE" w14:textId="77777777" w:rsidR="00A10B25" w:rsidRDefault="00A10B25" w:rsidP="00F253B2">
      <w:pPr>
        <w:pStyle w:val="NO"/>
      </w:pPr>
      <w:r>
        <w:t>NOTE 11:</w:t>
      </w:r>
      <w:r w:rsidR="00F253B2">
        <w:tab/>
      </w:r>
      <w:r>
        <w:t>PFD Determination analytics do not have a target UE, they are always for any UE. The predictions are not applicable for PFD Determination analytics.</w:t>
      </w:r>
    </w:p>
    <w:p w14:paraId="0E3506FD" w14:textId="77777777" w:rsidR="00BD381F" w:rsidRPr="004A42E5" w:rsidRDefault="00BD381F" w:rsidP="00BD381F">
      <w:pPr>
        <w:ind w:left="568" w:hanging="284"/>
        <w:contextualSpacing/>
      </w:pPr>
      <w:r w:rsidRPr="004A42E5">
        <w:t>-</w:t>
      </w:r>
      <w:r w:rsidRPr="004A42E5">
        <w:tab/>
        <w:t>if the feature "</w:t>
      </w:r>
      <w:r w:rsidRPr="004A42E5">
        <w:rPr>
          <w:lang w:eastAsia="zh-CN"/>
        </w:rPr>
        <w:t>E2eDataVolTransTime</w:t>
      </w:r>
      <w:r w:rsidRPr="004A42E5">
        <w:t>" is supported and the event is "</w:t>
      </w:r>
      <w:r w:rsidRPr="004A42E5">
        <w:rPr>
          <w:lang w:eastAsia="zh-CN"/>
        </w:rPr>
        <w:t>E2E_DATA_VOL_TRANS_TIME</w:t>
      </w:r>
      <w:r w:rsidRPr="004A42E5">
        <w:t>", shall provide:</w:t>
      </w:r>
    </w:p>
    <w:p w14:paraId="2359C086" w14:textId="77777777" w:rsidR="00BD381F" w:rsidRDefault="00BD381F" w:rsidP="00BD381F">
      <w:pPr>
        <w:ind w:left="851" w:hanging="284"/>
        <w:contextualSpacing/>
      </w:pPr>
      <w:r w:rsidRPr="004A42E5">
        <w:t>1)</w:t>
      </w:r>
      <w:r w:rsidRPr="004A42E5">
        <w:tab/>
        <w:t>identification of target UE(s) to which the subscription applies by "supis" or "gpsis" attribute in the "tgtUe" attribute</w:t>
      </w:r>
      <w:r>
        <w:t>;</w:t>
      </w:r>
    </w:p>
    <w:p w14:paraId="453B9964" w14:textId="77777777" w:rsidR="00BD381F" w:rsidRPr="004A42E5" w:rsidRDefault="00BD381F" w:rsidP="00BD381F">
      <w:pPr>
        <w:ind w:left="851" w:hanging="284"/>
        <w:contextualSpacing/>
      </w:pPr>
      <w:r>
        <w:t>2)</w:t>
      </w:r>
      <w:r>
        <w:tab/>
      </w:r>
      <w:r w:rsidRPr="004A42E5">
        <w:t>area of interest of the UEs by "</w:t>
      </w:r>
      <w:r w:rsidRPr="004A42E5">
        <w:rPr>
          <w:lang w:eastAsia="zh-CN"/>
        </w:rPr>
        <w:t>networkArea</w:t>
      </w:r>
      <w:r w:rsidRPr="004A42E5">
        <w:t>" attribute; restricts the scope of the E2E data volume transfer time analytics to the provided area</w:t>
      </w:r>
      <w:r>
        <w:t>.</w:t>
      </w:r>
    </w:p>
    <w:p w14:paraId="1A785A76" w14:textId="77777777" w:rsidR="00BD381F" w:rsidRPr="004A42E5" w:rsidRDefault="00BD381F" w:rsidP="00BD381F">
      <w:pPr>
        <w:ind w:left="568" w:hanging="284"/>
        <w:contextualSpacing/>
      </w:pPr>
      <w:r w:rsidRPr="004A42E5">
        <w:tab/>
        <w:t>and may include:</w:t>
      </w:r>
    </w:p>
    <w:p w14:paraId="16331F23" w14:textId="77777777" w:rsidR="00BD381F" w:rsidRPr="004A42E5" w:rsidRDefault="00BD381F" w:rsidP="00BD381F">
      <w:pPr>
        <w:ind w:left="851" w:hanging="284"/>
        <w:contextualSpacing/>
      </w:pPr>
      <w:r w:rsidRPr="004A42E5">
        <w:t>1)</w:t>
      </w:r>
      <w:r w:rsidRPr="004A42E5">
        <w:tab/>
      </w:r>
      <w:r w:rsidRPr="004A42E5">
        <w:tab/>
        <w:t>an identification of DNN in the "dnns" attribute;</w:t>
      </w:r>
    </w:p>
    <w:p w14:paraId="423E3305" w14:textId="77777777" w:rsidR="00BD381F" w:rsidRPr="004A42E5" w:rsidRDefault="00BD381F" w:rsidP="00BD381F">
      <w:pPr>
        <w:ind w:left="851" w:hanging="284"/>
        <w:contextualSpacing/>
        <w:rPr>
          <w:lang w:eastAsia="zh-CN"/>
        </w:rPr>
      </w:pPr>
      <w:r w:rsidRPr="004A42E5">
        <w:t>2)</w:t>
      </w:r>
      <w:r w:rsidRPr="004A42E5">
        <w:tab/>
      </w:r>
      <w:r w:rsidRPr="004A42E5">
        <w:rPr>
          <w:lang w:eastAsia="zh-CN"/>
        </w:rPr>
        <w:t>identification of network slice in the "</w:t>
      </w:r>
      <w:r w:rsidRPr="004A42E5">
        <w:t>snssais</w:t>
      </w:r>
      <w:r w:rsidRPr="004A42E5">
        <w:rPr>
          <w:lang w:eastAsia="zh-CN"/>
        </w:rPr>
        <w:t xml:space="preserve">" attribute; </w:t>
      </w:r>
    </w:p>
    <w:p w14:paraId="67380E39" w14:textId="77777777" w:rsidR="00BD381F" w:rsidRPr="004A42E5" w:rsidRDefault="00BD381F" w:rsidP="00BD381F">
      <w:pPr>
        <w:ind w:left="851" w:hanging="284"/>
        <w:contextualSpacing/>
      </w:pPr>
      <w:r w:rsidRPr="004A42E5">
        <w:t>3)</w:t>
      </w:r>
      <w:r w:rsidRPr="004A42E5">
        <w:tab/>
        <w:t>application identifier(s) in "appIds" attribute;</w:t>
      </w:r>
    </w:p>
    <w:p w14:paraId="6C867E84" w14:textId="77777777" w:rsidR="00BD381F" w:rsidRPr="004A42E5" w:rsidRDefault="00BD381F" w:rsidP="00BD381F">
      <w:pPr>
        <w:ind w:left="851" w:hanging="284"/>
        <w:contextualSpacing/>
      </w:pPr>
      <w:r>
        <w:t>4</w:t>
      </w:r>
      <w:r w:rsidRPr="004A42E5">
        <w:t>)</w:t>
      </w:r>
      <w:r w:rsidRPr="004A42E5">
        <w:tab/>
        <w:t>an optional list of analytics subsets by "listOfAnaSubsets" attribute with value(s) only applicable to "</w:t>
      </w:r>
      <w:r w:rsidRPr="004A42E5">
        <w:rPr>
          <w:lang w:eastAsia="zh-CN"/>
        </w:rPr>
        <w:t>E2E_DATA_VOL_TRANS_TIME</w:t>
      </w:r>
      <w:r w:rsidRPr="004A42E5">
        <w:t>" event, if the "EneNA" feature is supported;</w:t>
      </w:r>
    </w:p>
    <w:p w14:paraId="7EB077AC" w14:textId="77777777" w:rsidR="00BD381F" w:rsidRPr="004A42E5" w:rsidRDefault="00BD381F" w:rsidP="00BD381F">
      <w:pPr>
        <w:ind w:left="851" w:hanging="284"/>
        <w:contextualSpacing/>
      </w:pPr>
      <w:bookmarkStart w:id="836" w:name="_Hlk131969602"/>
      <w:r>
        <w:rPr>
          <w:lang w:eastAsia="ja-JP"/>
        </w:rPr>
        <w:t>5</w:t>
      </w:r>
      <w:r w:rsidRPr="004A42E5">
        <w:rPr>
          <w:lang w:eastAsia="ja-JP"/>
        </w:rPr>
        <w:t>)</w:t>
      </w:r>
      <w:r w:rsidRPr="004A42E5">
        <w:rPr>
          <w:lang w:eastAsia="ja-JP"/>
        </w:rPr>
        <w:tab/>
      </w:r>
      <w:r w:rsidRPr="004A42E5">
        <w:rPr>
          <w:lang w:eastAsia="zh-CN"/>
        </w:rPr>
        <w:t>the QoS requirements via "qosRequ" attribute;</w:t>
      </w:r>
      <w:r w:rsidRPr="004A42E5">
        <w:rPr>
          <w:lang w:eastAsia="ja-JP"/>
        </w:rPr>
        <w:t xml:space="preserve"> </w:t>
      </w:r>
      <w:r w:rsidRPr="004A42E5">
        <w:t>and/or</w:t>
      </w:r>
    </w:p>
    <w:bookmarkEnd w:id="836"/>
    <w:p w14:paraId="52EC0D13" w14:textId="77777777" w:rsidR="00A10B25" w:rsidRDefault="00BD381F" w:rsidP="00BD381F">
      <w:pPr>
        <w:ind w:left="851" w:hanging="284"/>
        <w:contextualSpacing/>
      </w:pPr>
      <w:r>
        <w:t>6</w:t>
      </w:r>
      <w:r w:rsidRPr="004A42E5">
        <w:t>)</w:t>
      </w:r>
      <w:r w:rsidRPr="004A42E5">
        <w:tab/>
        <w:t>E2E data volume transfer time requirements</w:t>
      </w:r>
      <w:r w:rsidRPr="004A42E5">
        <w:rPr>
          <w:lang w:eastAsia="ja-JP"/>
        </w:rPr>
        <w:t xml:space="preserve"> </w:t>
      </w:r>
      <w:r w:rsidRPr="004A42E5">
        <w:rPr>
          <w:lang w:val="en-US" w:eastAsia="ja-JP"/>
        </w:rPr>
        <w:t>in the "</w:t>
      </w:r>
      <w:r w:rsidRPr="004A42E5">
        <w:t>dataVlTrnsTmRqs</w:t>
      </w:r>
      <w:r w:rsidRPr="004A42E5">
        <w:rPr>
          <w:lang w:val="en-US" w:eastAsia="ja-JP"/>
        </w:rPr>
        <w:t>" attribute</w:t>
      </w:r>
      <w:r w:rsidRPr="004A42E5">
        <w:t>;</w:t>
      </w:r>
    </w:p>
    <w:p w14:paraId="44BE7B07" w14:textId="77777777" w:rsidR="00A10B25" w:rsidRDefault="00A10B25">
      <w:pPr>
        <w:pStyle w:val="B1"/>
      </w:pPr>
      <w:r>
        <w:t>-</w:t>
      </w:r>
      <w:r>
        <w:tab/>
        <w:t>if the feature "PduSesTraffic" is supported and the event is "PDU_SESSION_TRAFFIC", shall provide:</w:t>
      </w:r>
    </w:p>
    <w:p w14:paraId="5A828F50" w14:textId="77777777" w:rsidR="003E1F9F" w:rsidRDefault="003E1F9F" w:rsidP="003E1F9F">
      <w:pPr>
        <w:pStyle w:val="B2"/>
      </w:pPr>
      <w:r>
        <w:t>1)</w:t>
      </w:r>
      <w:r>
        <w:tab/>
        <w:t>identification of target UE(s) to which the subscription applies by "supis", "intGroupIds" or "anyUe" attribute</w:t>
      </w:r>
      <w:r w:rsidRPr="00FC1086">
        <w:t xml:space="preserve"> </w:t>
      </w:r>
      <w:r>
        <w:t xml:space="preserve">set to </w:t>
      </w:r>
      <w:r w:rsidRPr="00B14BFF">
        <w:t>"t</w:t>
      </w:r>
      <w:r>
        <w:t>rue</w:t>
      </w:r>
      <w:r w:rsidRPr="00B14BFF">
        <w:t>"</w:t>
      </w:r>
      <w:r>
        <w:t xml:space="preserve"> in the "tgtUe" attribute;</w:t>
      </w:r>
    </w:p>
    <w:p w14:paraId="5DC0CCBF" w14:textId="77777777" w:rsidR="00A10B25" w:rsidRDefault="00A10B25">
      <w:pPr>
        <w:pStyle w:val="B2"/>
        <w:rPr>
          <w:lang w:val="en-US" w:eastAsia="zh-CN"/>
        </w:rPr>
      </w:pPr>
      <w:r>
        <w:rPr>
          <w:lang w:eastAsia="ja-JP"/>
        </w:rPr>
        <w:t>2)</w:t>
      </w:r>
      <w:r>
        <w:rPr>
          <w:lang w:val="en-US" w:eastAsia="zh-CN"/>
        </w:rPr>
        <w:tab/>
        <w:t>PDU Session traffic analytics requirements in "pduSesTrafReqs" attribute, which includes the known Application Identifier, IP Descriptions or Domain Descriptors</w:t>
      </w:r>
      <w:r>
        <w:t>; and</w:t>
      </w:r>
    </w:p>
    <w:p w14:paraId="487BAFAD" w14:textId="77777777" w:rsidR="00A10B25" w:rsidRDefault="00A10B25">
      <w:pPr>
        <w:pStyle w:val="B2"/>
        <w:rPr>
          <w:lang w:eastAsia="ja-JP"/>
        </w:rPr>
      </w:pPr>
      <w:r>
        <w:rPr>
          <w:lang w:val="en-US" w:eastAsia="zh-CN"/>
        </w:rPr>
        <w:t>3)</w:t>
      </w:r>
      <w:r>
        <w:rPr>
          <w:lang w:val="en-US" w:eastAsia="zh-CN"/>
        </w:rPr>
        <w:tab/>
        <w:t xml:space="preserve"> DNN and/or S-NSSAI for the PDU Session(s) in the </w:t>
      </w:r>
      <w:r>
        <w:t xml:space="preserve">"dnns" </w:t>
      </w:r>
      <w:r>
        <w:rPr>
          <w:lang w:eastAsia="zh-CN"/>
        </w:rPr>
        <w:t xml:space="preserve">and/or </w:t>
      </w:r>
      <w:r>
        <w:t>"snssais" attributes</w:t>
      </w:r>
      <w:r>
        <w:rPr>
          <w:lang w:val="en-US" w:eastAsia="zh-CN"/>
        </w:rPr>
        <w:t>.</w:t>
      </w:r>
    </w:p>
    <w:p w14:paraId="4C0F5617" w14:textId="77777777" w:rsidR="00A10B25" w:rsidRDefault="00A10B25">
      <w:pPr>
        <w:pStyle w:val="B1"/>
      </w:pPr>
      <w:r>
        <w:tab/>
        <w:t>and may include:</w:t>
      </w:r>
    </w:p>
    <w:p w14:paraId="03668CD2" w14:textId="77777777" w:rsidR="00A10B25" w:rsidRDefault="00A10B25">
      <w:pPr>
        <w:pStyle w:val="B2"/>
      </w:pPr>
      <w:r>
        <w:t>1)</w:t>
      </w:r>
      <w:r>
        <w:tab/>
        <w:t>identification of network area to which the subscription applies by "networkArea" attribute and/or</w:t>
      </w:r>
    </w:p>
    <w:p w14:paraId="10350D50" w14:textId="77777777" w:rsidR="00A10B25" w:rsidRDefault="00A10B25">
      <w:pPr>
        <w:pStyle w:val="B2"/>
        <w:rPr>
          <w:lang w:val="en-US" w:eastAsia="zh-CN"/>
        </w:rPr>
      </w:pPr>
      <w:r>
        <w:rPr>
          <w:lang w:val="en-US" w:eastAsia="zh-CN"/>
        </w:rPr>
        <w:t>2)</w:t>
      </w:r>
      <w:r>
        <w:rPr>
          <w:lang w:val="en-US" w:eastAsia="zh-CN"/>
        </w:rPr>
        <w:tab/>
        <w:t>an optional list of analytics subsets by "listOfAnaSubsets" attribute with value(s) only applicable to "PDU_SESSION_TRAFFIC" event, if the "EneNA" features is supported.</w:t>
      </w:r>
    </w:p>
    <w:p w14:paraId="5E4C724E" w14:textId="77777777" w:rsidR="00A10B25" w:rsidRDefault="00A10B25">
      <w:pPr>
        <w:pStyle w:val="NO"/>
      </w:pPr>
      <w:r>
        <w:t>NOTE 12:</w:t>
      </w:r>
      <w:r>
        <w:tab/>
        <w:t>The predictions are not applicable for PDU Session traffic analytics.</w:t>
      </w:r>
    </w:p>
    <w:p w14:paraId="35C9F5AD" w14:textId="77777777" w:rsidR="00A10B25" w:rsidRDefault="00A10B25">
      <w:pPr>
        <w:pStyle w:val="B1"/>
      </w:pPr>
      <w:r>
        <w:t>-</w:t>
      </w:r>
      <w:r>
        <w:tab/>
        <w:t>if the feature "MovementBehaviour" is supported and the event is "MOVEMENT_BEHAVIOUR", shall provide:</w:t>
      </w:r>
    </w:p>
    <w:p w14:paraId="1FE2B16F" w14:textId="77777777" w:rsidR="007862A2" w:rsidRDefault="007862A2" w:rsidP="007862A2">
      <w:pPr>
        <w:pStyle w:val="B2"/>
      </w:pPr>
      <w:r>
        <w:t>1)</w:t>
      </w:r>
      <w:r>
        <w:tab/>
        <w:t xml:space="preserve">identification of network area to which the subscription applies to </w:t>
      </w:r>
      <w:r w:rsidRPr="00534102">
        <w:t xml:space="preserve">restricts the scope of the movement behaviour analytics to the provided area </w:t>
      </w:r>
      <w:r>
        <w:t xml:space="preserve">by the "networkArea" attribute and/or the </w:t>
      </w:r>
      <w:r>
        <w:rPr>
          <w:rFonts w:cs="Arial"/>
          <w:szCs w:val="18"/>
        </w:rPr>
        <w:t>"</w:t>
      </w:r>
      <w:r>
        <w:t>fineGranAreas</w:t>
      </w:r>
      <w:r>
        <w:rPr>
          <w:rFonts w:cs="Arial"/>
          <w:szCs w:val="18"/>
        </w:rPr>
        <w:t>" attribute</w:t>
      </w:r>
      <w:r>
        <w:t>;</w:t>
      </w:r>
    </w:p>
    <w:p w14:paraId="56BDC305" w14:textId="77777777" w:rsidR="007862A2" w:rsidRDefault="007862A2" w:rsidP="007862A2">
      <w:pPr>
        <w:pStyle w:val="B1"/>
      </w:pPr>
      <w:r>
        <w:lastRenderedPageBreak/>
        <w:t>-</w:t>
      </w:r>
      <w:r>
        <w:tab/>
        <w:t>and may include:</w:t>
      </w:r>
    </w:p>
    <w:p w14:paraId="48EF6C89" w14:textId="77777777" w:rsidR="007862A2" w:rsidRDefault="007862A2" w:rsidP="007862A2">
      <w:pPr>
        <w:pStyle w:val="B2"/>
      </w:pPr>
      <w:bookmarkStart w:id="837" w:name="_Hlk143550682"/>
      <w:r>
        <w:t>1)</w:t>
      </w:r>
      <w:r>
        <w:tab/>
        <w:t>identification of the preferred orientation of location information by the "locOrientation" attribute;</w:t>
      </w:r>
    </w:p>
    <w:bookmarkEnd w:id="837"/>
    <w:p w14:paraId="242395D1" w14:textId="77777777" w:rsidR="007862A2" w:rsidRDefault="007862A2" w:rsidP="007862A2">
      <w:pPr>
        <w:pStyle w:val="B2"/>
        <w:rPr>
          <w:lang w:val="en-US" w:eastAsia="ja-JP"/>
        </w:rPr>
      </w:pPr>
      <w:r>
        <w:rPr>
          <w:lang w:eastAsia="ja-JP"/>
        </w:rPr>
        <w:t>2)</w:t>
      </w:r>
      <w:r>
        <w:rPr>
          <w:lang w:val="en-US" w:eastAsia="ja-JP"/>
        </w:rPr>
        <w:tab/>
      </w:r>
      <w:r>
        <w:t>Movement Behaviour</w:t>
      </w:r>
      <w:r>
        <w:rPr>
          <w:lang w:val="en-US" w:eastAsia="ja-JP"/>
        </w:rPr>
        <w:t xml:space="preserve"> analytics requirements in the "movBehavReqs" attribute, which includes</w:t>
      </w:r>
      <w:r>
        <w:t xml:space="preserve"> preferred granularity of location information or preferred orientation of location information; and/or</w:t>
      </w:r>
    </w:p>
    <w:p w14:paraId="043748CC" w14:textId="77777777" w:rsidR="007862A2" w:rsidRDefault="007862A2" w:rsidP="007862A2">
      <w:pPr>
        <w:pStyle w:val="B2"/>
        <w:rPr>
          <w:lang w:val="en-US" w:eastAsia="ja-JP"/>
        </w:rPr>
      </w:pPr>
      <w:r>
        <w:rPr>
          <w:lang w:val="en-US" w:eastAsia="ja-JP"/>
        </w:rPr>
        <w:t>3)</w:t>
      </w:r>
      <w:r>
        <w:rPr>
          <w:lang w:val="en-US" w:eastAsia="ja-JP"/>
        </w:rPr>
        <w:tab/>
        <w:t xml:space="preserve">an optional list of analytics subsets by the "listOfAnaSubsets" attribute with value(s) only applicable to the </w:t>
      </w:r>
      <w:r>
        <w:t>"MOVEMENT_BEHAVIOUR"</w:t>
      </w:r>
      <w:r>
        <w:rPr>
          <w:lang w:val="en-US" w:eastAsia="ja-JP"/>
        </w:rPr>
        <w:t xml:space="preserve"> event, if the "EneNA" features is supported.</w:t>
      </w:r>
    </w:p>
    <w:p w14:paraId="57F073BA" w14:textId="77777777" w:rsidR="00A10B25" w:rsidRDefault="00A10B25">
      <w:pPr>
        <w:pStyle w:val="B1"/>
      </w:pPr>
      <w:r>
        <w:t>-</w:t>
      </w:r>
      <w:r>
        <w:tab/>
        <w:t>if the feature "LocAccuracy" is supported and the event is "LOC_ACCURACY", it shall provide:</w:t>
      </w:r>
    </w:p>
    <w:p w14:paraId="3E949A8F" w14:textId="77777777" w:rsidR="00A10B25" w:rsidRDefault="00A10B25">
      <w:pPr>
        <w:pStyle w:val="B2"/>
      </w:pPr>
      <w:r>
        <w:t>1)</w:t>
      </w:r>
      <w:r>
        <w:tab/>
        <w:t>either a network area to which the subscription applies within the "networkArea" attribute or an exact location to which the subscription applies within the "location" attribute;</w:t>
      </w:r>
    </w:p>
    <w:p w14:paraId="65FA40AE" w14:textId="77777777" w:rsidR="00A10B25" w:rsidRDefault="00A10B25">
      <w:pPr>
        <w:pStyle w:val="B1"/>
      </w:pPr>
      <w:r>
        <w:t>-</w:t>
      </w:r>
      <w:r>
        <w:tab/>
        <w:t>and may include:</w:t>
      </w:r>
    </w:p>
    <w:p w14:paraId="4C904028" w14:textId="77777777" w:rsidR="00A10B25" w:rsidRDefault="00A10B25">
      <w:pPr>
        <w:pStyle w:val="B2"/>
      </w:pPr>
      <w:r>
        <w:t>1)</w:t>
      </w:r>
      <w:r>
        <w:tab/>
        <w:t>Location accuracy</w:t>
      </w:r>
      <w:r>
        <w:rPr>
          <w:lang w:eastAsia="en-GB"/>
        </w:rPr>
        <w:t xml:space="preserve"> analytics requirements within the "locAccReqs" attribute; and/or</w:t>
      </w:r>
    </w:p>
    <w:p w14:paraId="54FA1C6A" w14:textId="77777777" w:rsidR="00A10B25" w:rsidRDefault="00A10B25">
      <w:pPr>
        <w:pStyle w:val="B2"/>
        <w:rPr>
          <w:lang w:eastAsia="en-GB"/>
        </w:rPr>
      </w:pPr>
      <w:r>
        <w:rPr>
          <w:lang w:eastAsia="en-GB"/>
        </w:rPr>
        <w:t>2)</w:t>
      </w:r>
      <w:r>
        <w:rPr>
          <w:lang w:eastAsia="en-GB"/>
        </w:rPr>
        <w:tab/>
        <w:t>an optional list of analytics subsets within the "listOfAnaSubsets" attribute with value(s) only applicable to the "LOC_ACCURACY" event, if the "EneNA" features is supported.</w:t>
      </w:r>
    </w:p>
    <w:p w14:paraId="1A20FF34" w14:textId="77777777" w:rsidR="00A10B25" w:rsidRDefault="00A10B25">
      <w:pPr>
        <w:pStyle w:val="NO"/>
      </w:pPr>
      <w:r>
        <w:t>NOTE 13:</w:t>
      </w:r>
      <w:r>
        <w:tab/>
        <w:t>Location accuracy analytics do not have a target UE, they are always for any UE.</w:t>
      </w:r>
    </w:p>
    <w:p w14:paraId="7EEB288E" w14:textId="77777777" w:rsidR="00A10B25" w:rsidRDefault="00A10B25">
      <w:pPr>
        <w:pStyle w:val="B1"/>
      </w:pPr>
      <w:r>
        <w:t>-</w:t>
      </w:r>
      <w:r>
        <w:tab/>
        <w:t>if the feature "RelativeProximity" is supported and the event is " RELATIVE_PROXIMITY", shall provide:</w:t>
      </w:r>
    </w:p>
    <w:p w14:paraId="1E7FD868" w14:textId="77777777" w:rsidR="00A10B25" w:rsidRDefault="00A10B25">
      <w:pPr>
        <w:pStyle w:val="B2"/>
      </w:pPr>
      <w:r>
        <w:t>1)</w:t>
      </w:r>
      <w:r>
        <w:tab/>
        <w:t>identification of target UE(s) to which the subscription applies by "supis" or "intGroupIds" attribute in the "tgtUe" attribute;</w:t>
      </w:r>
    </w:p>
    <w:p w14:paraId="299DDB55" w14:textId="77777777" w:rsidR="00A10B25" w:rsidRDefault="00A10B25">
      <w:pPr>
        <w:pStyle w:val="B1"/>
      </w:pPr>
      <w:r>
        <w:t>-</w:t>
      </w:r>
      <w:r>
        <w:tab/>
        <w:t>and may include:</w:t>
      </w:r>
    </w:p>
    <w:p w14:paraId="27F425A5" w14:textId="77777777" w:rsidR="00A10B25" w:rsidRDefault="00A10B25">
      <w:pPr>
        <w:pStyle w:val="B2"/>
      </w:pPr>
      <w:r>
        <w:t>1)</w:t>
      </w:r>
      <w:r>
        <w:tab/>
        <w:t>identification of DNN in the "dnns" attribute;</w:t>
      </w:r>
    </w:p>
    <w:p w14:paraId="5C54F5A5" w14:textId="77777777" w:rsidR="00A10B25" w:rsidRDefault="00A10B25" w:rsidP="0076721C">
      <w:pPr>
        <w:pStyle w:val="B2"/>
        <w:rPr>
          <w:lang w:eastAsia="zh-CN"/>
        </w:rPr>
      </w:pPr>
      <w:r>
        <w:t>2)</w:t>
      </w:r>
      <w:r>
        <w:tab/>
      </w:r>
      <w:r>
        <w:rPr>
          <w:lang w:eastAsia="zh-CN"/>
        </w:rPr>
        <w:t>identification of network slice in the "</w:t>
      </w:r>
      <w:r>
        <w:t>snssais</w:t>
      </w:r>
      <w:r>
        <w:rPr>
          <w:lang w:eastAsia="zh-CN"/>
        </w:rPr>
        <w:t>" attribute</w:t>
      </w:r>
      <w:r>
        <w:t>;</w:t>
      </w:r>
    </w:p>
    <w:p w14:paraId="42609874" w14:textId="77777777" w:rsidR="00A10B25" w:rsidRDefault="00A10B25">
      <w:pPr>
        <w:pStyle w:val="B2"/>
      </w:pPr>
      <w:r>
        <w:t>3)</w:t>
      </w:r>
      <w:r>
        <w:tab/>
        <w:t>identification of network area to which the subscription applies by "networkArea" attribute;</w:t>
      </w:r>
    </w:p>
    <w:p w14:paraId="0EC567FF" w14:textId="77777777" w:rsidR="00A10B25" w:rsidRDefault="00A10B25">
      <w:pPr>
        <w:pStyle w:val="B2"/>
        <w:rPr>
          <w:lang w:val="en-US" w:eastAsia="ja-JP"/>
        </w:rPr>
      </w:pPr>
      <w:r>
        <w:rPr>
          <w:lang w:eastAsia="ja-JP"/>
        </w:rPr>
        <w:t>4)</w:t>
      </w:r>
      <w:r>
        <w:rPr>
          <w:lang w:val="en-US" w:eastAsia="ja-JP"/>
        </w:rPr>
        <w:tab/>
      </w:r>
      <w:r>
        <w:t>Relative Proximity</w:t>
      </w:r>
      <w:r>
        <w:rPr>
          <w:lang w:val="en-US" w:eastAsia="ja-JP"/>
        </w:rPr>
        <w:t xml:space="preserve"> analytics requirements in "</w:t>
      </w:r>
      <w:r>
        <w:rPr>
          <w:lang w:eastAsia="zh-CN"/>
        </w:rPr>
        <w:t>relProxReqs</w:t>
      </w:r>
      <w:r>
        <w:rPr>
          <w:lang w:val="en-US" w:eastAsia="ja-JP"/>
        </w:rPr>
        <w:t>" attribute</w:t>
      </w:r>
      <w:r>
        <w:t>; and/or</w:t>
      </w:r>
    </w:p>
    <w:p w14:paraId="46334A8C" w14:textId="77777777" w:rsidR="00A10B25" w:rsidRPr="0076721C" w:rsidRDefault="00A10B25" w:rsidP="0076721C">
      <w:pPr>
        <w:pStyle w:val="B2"/>
        <w:rPr>
          <w:lang w:val="en-US" w:eastAsia="ja-JP"/>
        </w:rPr>
      </w:pPr>
      <w:r>
        <w:rPr>
          <w:lang w:val="en-US" w:eastAsia="ja-JP"/>
        </w:rPr>
        <w:t>5)</w:t>
      </w:r>
      <w:r>
        <w:rPr>
          <w:lang w:val="en-US" w:eastAsia="ja-JP"/>
        </w:rPr>
        <w:tab/>
        <w:t xml:space="preserve">an optional list of analytics subsets by "listOfAnaSubsets" attribute with value(s) only applicable to </w:t>
      </w:r>
      <w:r>
        <w:t>"RELATIVE_PROXIMITY"</w:t>
      </w:r>
      <w:r>
        <w:rPr>
          <w:lang w:val="en-US" w:eastAsia="ja-JP"/>
        </w:rPr>
        <w:t xml:space="preserve"> event prediction, if the "EneNA" features is supported.</w:t>
      </w:r>
    </w:p>
    <w:p w14:paraId="38BFBD71" w14:textId="77777777" w:rsidR="00143F25" w:rsidRDefault="00143F25" w:rsidP="00143F25">
      <w:pPr>
        <w:pStyle w:val="B1"/>
      </w:pPr>
      <w:r>
        <w:t>-</w:t>
      </w:r>
      <w:r>
        <w:tab/>
        <w:t>if the feature "SignallingStorm" is supported and the event is "SIGNALLING_STORM", may provide:</w:t>
      </w:r>
    </w:p>
    <w:p w14:paraId="2ED37710" w14:textId="77777777" w:rsidR="00991119" w:rsidRDefault="00991119" w:rsidP="00991119">
      <w:pPr>
        <w:pStyle w:val="B2"/>
      </w:pPr>
      <w:r>
        <w:t>1)</w:t>
      </w:r>
      <w:r>
        <w:tab/>
        <w:t>the Target of analytics: a list of NF(s) in the "nfInstanceIds" attribute or list of NF set ID(s) in the "nfSetIds" attribute;</w:t>
      </w:r>
    </w:p>
    <w:p w14:paraId="018B6095" w14:textId="77777777" w:rsidR="00143F25" w:rsidRDefault="00143F25" w:rsidP="00143F25">
      <w:pPr>
        <w:pStyle w:val="B2"/>
      </w:pPr>
      <w:r>
        <w:t>2)</w:t>
      </w:r>
      <w:r>
        <w:tab/>
        <w:t>identification of network slice in the "snssais" attribute;</w:t>
      </w:r>
    </w:p>
    <w:p w14:paraId="5B04D758" w14:textId="77777777" w:rsidR="00143F25" w:rsidRDefault="00143F25" w:rsidP="00143F25">
      <w:pPr>
        <w:pStyle w:val="B2"/>
      </w:pPr>
      <w:r>
        <w:t>3)</w:t>
      </w:r>
      <w:r>
        <w:tab/>
        <w:t>identification of network area to which the subscription applies by "networkArea" attribute; and/or</w:t>
      </w:r>
    </w:p>
    <w:p w14:paraId="63C6330B" w14:textId="77777777" w:rsidR="00143F25" w:rsidRPr="001567E8" w:rsidRDefault="00143F25" w:rsidP="00143F25">
      <w:pPr>
        <w:pStyle w:val="B2"/>
      </w:pPr>
      <w:r>
        <w:t>4)</w:t>
      </w:r>
      <w:r>
        <w:tab/>
        <w:t>signalling storm analytics requirements in "sigStormReqs" attribute.</w:t>
      </w:r>
    </w:p>
    <w:p w14:paraId="45A11DC3" w14:textId="77777777" w:rsidR="00F525B2" w:rsidRDefault="00F525B2" w:rsidP="00F525B2">
      <w:pPr>
        <w:pStyle w:val="B1"/>
        <w:rPr>
          <w:lang w:val="en-US" w:eastAsia="zh-CN"/>
        </w:rPr>
      </w:pPr>
      <w:r>
        <w:rPr>
          <w:lang w:val="en-US" w:eastAsia="zh-CN"/>
        </w:rPr>
        <w:t>-</w:t>
      </w:r>
      <w:r>
        <w:rPr>
          <w:lang w:val="en-US" w:eastAsia="zh-CN"/>
        </w:rPr>
        <w:tab/>
        <w:t>if the</w:t>
      </w:r>
      <w:r>
        <w:rPr>
          <w:lang w:val="en-US"/>
        </w:rPr>
        <w:t xml:space="preserve"> </w:t>
      </w:r>
      <w:r>
        <w:rPr>
          <w:lang w:val="en-US" w:eastAsia="zh-CN"/>
        </w:rPr>
        <w:t>feature "QoSPolicyAssist" is supported and the event is "QOS_POLICY_ASSIST", shall provide:</w:t>
      </w:r>
    </w:p>
    <w:p w14:paraId="50FFA9D7" w14:textId="77777777" w:rsidR="00F525B2" w:rsidRDefault="00F525B2" w:rsidP="00F525B2">
      <w:pPr>
        <w:pStyle w:val="B2"/>
      </w:pPr>
      <w:r>
        <w:t>1)</w:t>
      </w:r>
      <w:r>
        <w:tab/>
        <w:t>identification of target UE(s) to which the subscription applies in the "supis"</w:t>
      </w:r>
      <w:bookmarkStart w:id="838" w:name="_Hlk193145143"/>
      <w:r>
        <w:t xml:space="preserve"> attribute</w:t>
      </w:r>
      <w:bookmarkStart w:id="839" w:name="_Hlk193145178"/>
      <w:bookmarkEnd w:id="838"/>
      <w:r>
        <w:t>,</w:t>
      </w:r>
      <w:bookmarkEnd w:id="839"/>
      <w:r>
        <w:t xml:space="preserve"> "intGroupIds" attribute </w:t>
      </w:r>
      <w:bookmarkStart w:id="840" w:name="_Hlk193145087"/>
      <w:r>
        <w:t xml:space="preserve">or </w:t>
      </w:r>
      <w:r w:rsidRPr="00217230">
        <w:t>"</w:t>
      </w:r>
      <w:r>
        <w:t>anyUe</w:t>
      </w:r>
      <w:r w:rsidRPr="00217230">
        <w:t xml:space="preserve">" </w:t>
      </w:r>
      <w:r>
        <w:t xml:space="preserve">attribute set to </w:t>
      </w:r>
      <w:r w:rsidRPr="001A7B60">
        <w:t>"t</w:t>
      </w:r>
      <w:r>
        <w:t>rue</w:t>
      </w:r>
      <w:r w:rsidRPr="001A7B60">
        <w:t xml:space="preserve">" </w:t>
      </w:r>
      <w:r>
        <w:t xml:space="preserve">value </w:t>
      </w:r>
      <w:bookmarkEnd w:id="840"/>
      <w:r>
        <w:t>within the "tgtUe" attribute</w:t>
      </w:r>
    </w:p>
    <w:p w14:paraId="7B237B70" w14:textId="77777777" w:rsidR="00F525B2" w:rsidRDefault="00F525B2" w:rsidP="00F525B2">
      <w:pPr>
        <w:pStyle w:val="B2"/>
      </w:pPr>
      <w:r>
        <w:t>2)</w:t>
      </w:r>
      <w:r>
        <w:tab/>
      </w:r>
      <w:r>
        <w:rPr>
          <w:lang w:eastAsia="zh-CN"/>
        </w:rPr>
        <w:t xml:space="preserve">identification </w:t>
      </w:r>
      <w:r>
        <w:t>the QoS and Policy Assistance requirements in the "qosPolAssistReqs" attribute; and</w:t>
      </w:r>
    </w:p>
    <w:p w14:paraId="1B436BD4" w14:textId="77777777" w:rsidR="00F525B2" w:rsidRDefault="00F525B2" w:rsidP="00F525B2">
      <w:pPr>
        <w:pStyle w:val="B2"/>
      </w:pPr>
      <w:r>
        <w:t>3)</w:t>
      </w:r>
      <w:r>
        <w:tab/>
        <w:t>application identifier(s) in the "appIds" attribute or SDF template in the "fDescs" attribute;</w:t>
      </w:r>
    </w:p>
    <w:p w14:paraId="048C6C7A" w14:textId="77777777" w:rsidR="00F525B2" w:rsidRDefault="00F525B2" w:rsidP="00F525B2">
      <w:pPr>
        <w:pStyle w:val="B1"/>
      </w:pPr>
      <w:r>
        <w:tab/>
        <w:t>and may include:</w:t>
      </w:r>
    </w:p>
    <w:p w14:paraId="1A2A2A3D" w14:textId="77777777" w:rsidR="00F525B2" w:rsidRDefault="00F525B2" w:rsidP="00F525B2">
      <w:pPr>
        <w:pStyle w:val="B2"/>
      </w:pPr>
      <w:r>
        <w:t>1)</w:t>
      </w:r>
      <w:r w:rsidRPr="004A42E5">
        <w:tab/>
        <w:t xml:space="preserve">identification of </w:t>
      </w:r>
      <w:r>
        <w:t xml:space="preserve">the </w:t>
      </w:r>
      <w:r w:rsidRPr="004A42E5">
        <w:t xml:space="preserve">area to which the subscription applies </w:t>
      </w:r>
      <w:r>
        <w:t>in the</w:t>
      </w:r>
      <w:r w:rsidRPr="004A42E5">
        <w:t xml:space="preserve"> "networkArea" attribute</w:t>
      </w:r>
      <w:r w:rsidRPr="00CB6CD4">
        <w:t xml:space="preserve"> </w:t>
      </w:r>
      <w:r>
        <w:t>or "fineGranAreas" attribute</w:t>
      </w:r>
      <w:r w:rsidRPr="004A42E5">
        <w:t>;</w:t>
      </w:r>
    </w:p>
    <w:p w14:paraId="5EA31630" w14:textId="77777777" w:rsidR="00F525B2" w:rsidRDefault="00F525B2" w:rsidP="00F525B2">
      <w:pPr>
        <w:pStyle w:val="B2"/>
        <w:rPr>
          <w:lang w:val="en-US" w:eastAsia="zh-CN"/>
        </w:rPr>
      </w:pPr>
      <w:bookmarkStart w:id="841" w:name="_Hlk193145910"/>
      <w:r>
        <w:t>2</w:t>
      </w:r>
      <w:r>
        <w:rPr>
          <w:lang w:val="en-US" w:eastAsia="zh-CN"/>
        </w:rPr>
        <w:t>)</w:t>
      </w:r>
      <w:r>
        <w:rPr>
          <w:lang w:val="en-US" w:eastAsia="zh-CN"/>
        </w:rPr>
        <w:tab/>
      </w:r>
      <w:r w:rsidRPr="00B808ED">
        <w:rPr>
          <w:lang w:val="en-US" w:eastAsia="zh-CN"/>
        </w:rPr>
        <w:t>preferred granularity of location information as the "locGranularity" attribute;</w:t>
      </w:r>
    </w:p>
    <w:bookmarkEnd w:id="841"/>
    <w:p w14:paraId="319719D6" w14:textId="77777777" w:rsidR="00F525B2" w:rsidRDefault="00F525B2" w:rsidP="00F525B2">
      <w:pPr>
        <w:pStyle w:val="B2"/>
      </w:pPr>
      <w:r>
        <w:rPr>
          <w:lang w:eastAsia="zh-CN"/>
        </w:rPr>
        <w:t>3</w:t>
      </w:r>
      <w:r>
        <w:rPr>
          <w:lang w:val="en-US" w:eastAsia="ja-JP"/>
        </w:rPr>
        <w:t>)</w:t>
      </w:r>
      <w:r>
        <w:rPr>
          <w:lang w:val="en-US" w:eastAsia="ja-JP"/>
        </w:rPr>
        <w:tab/>
      </w:r>
      <w:r>
        <w:tab/>
        <w:t>identification of DNN to which the subscription applies in the "dnns" attribute;</w:t>
      </w:r>
    </w:p>
    <w:p w14:paraId="0CC6FDE3" w14:textId="77777777" w:rsidR="00F525B2" w:rsidRDefault="00F525B2" w:rsidP="00F525B2">
      <w:pPr>
        <w:pStyle w:val="B2"/>
      </w:pPr>
      <w:r>
        <w:rPr>
          <w:lang w:val="en-US" w:eastAsia="ja-JP"/>
        </w:rPr>
        <w:t>4</w:t>
      </w:r>
      <w:r>
        <w:t>)</w:t>
      </w:r>
      <w:r>
        <w:tab/>
        <w:t>identification of network slice and optionally associated network slice instance if available, via the "nsiIdInfos" attribute;</w:t>
      </w:r>
      <w:r>
        <w:rPr>
          <w:lang w:val="en-US" w:eastAsia="zh-CN"/>
        </w:rPr>
        <w:t xml:space="preserve"> </w:t>
      </w:r>
      <w:r>
        <w:t>and/or</w:t>
      </w:r>
    </w:p>
    <w:p w14:paraId="4906AA75" w14:textId="77777777" w:rsidR="00F525B2" w:rsidRDefault="00F525B2" w:rsidP="00F525B2">
      <w:pPr>
        <w:pStyle w:val="B2"/>
      </w:pPr>
      <w:bookmarkStart w:id="842" w:name="_Hlk193145988"/>
      <w:r>
        <w:t>5)</w:t>
      </w:r>
      <w:r>
        <w:tab/>
      </w:r>
      <w:r w:rsidRPr="008E5B2A">
        <w:t>identification of a user plane access to one or more DN(s) where applications are deployed by "dnais" attribute</w:t>
      </w:r>
      <w:r>
        <w:t>.</w:t>
      </w:r>
    </w:p>
    <w:p w14:paraId="1FC61ECD" w14:textId="77777777" w:rsidR="00F525B2" w:rsidRDefault="00F525B2" w:rsidP="00F525B2">
      <w:pPr>
        <w:pStyle w:val="NO"/>
      </w:pPr>
      <w:bookmarkStart w:id="843" w:name="_Hlk193146448"/>
      <w:bookmarkEnd w:id="842"/>
      <w:r>
        <w:t>NOTE 14:</w:t>
      </w:r>
      <w:r>
        <w:tab/>
        <w:t>Only the predictions are applicable for QoS and Policy Assistance analytics.</w:t>
      </w:r>
    </w:p>
    <w:bookmarkEnd w:id="843"/>
    <w:p w14:paraId="0E985F37" w14:textId="77777777" w:rsidR="00A10B25" w:rsidRDefault="00A10B25">
      <w:pPr>
        <w:rPr>
          <w:rFonts w:eastAsia="等线"/>
        </w:rPr>
      </w:pPr>
      <w:r>
        <w:rPr>
          <w:rFonts w:eastAsia="等线"/>
        </w:rPr>
        <w:t xml:space="preserve">Upon the reception of an HTTP POST request with: "{apiRoot}/nnwdaf-eventssubscription/&lt;apiVersion&gt;/subscriptions" as Resource URI and NnwdafEventsSubscription data structure as request body, if no errors occur, the NWDAF shall: </w:t>
      </w:r>
    </w:p>
    <w:p w14:paraId="06897210" w14:textId="77777777" w:rsidR="00A10B25" w:rsidRDefault="00A10B25" w:rsidP="0076721C">
      <w:pPr>
        <w:pStyle w:val="B1"/>
        <w:rPr>
          <w:rFonts w:eastAsia="MS Mincho"/>
        </w:rPr>
      </w:pPr>
      <w:r>
        <w:lastRenderedPageBreak/>
        <w:t>-</w:t>
      </w:r>
      <w:r>
        <w:tab/>
        <w:t>create a new subscription;</w:t>
      </w:r>
    </w:p>
    <w:p w14:paraId="61E98250" w14:textId="77777777" w:rsidR="00A10B25" w:rsidRDefault="00A10B25" w:rsidP="0076721C">
      <w:pPr>
        <w:pStyle w:val="B1"/>
      </w:pPr>
      <w:r>
        <w:t>-</w:t>
      </w:r>
      <w:r>
        <w:tab/>
        <w:t xml:space="preserve">assign an </w:t>
      </w:r>
      <w:r>
        <w:rPr>
          <w:lang w:val="en-US"/>
        </w:rPr>
        <w:t xml:space="preserve">event </w:t>
      </w:r>
      <w:r>
        <w:t>subscriptionId; and</w:t>
      </w:r>
    </w:p>
    <w:p w14:paraId="5639213C" w14:textId="77777777" w:rsidR="00A10B25" w:rsidRDefault="00A10B25" w:rsidP="0076721C">
      <w:pPr>
        <w:pStyle w:val="B1"/>
        <w:rPr>
          <w:rFonts w:eastAsia="等线"/>
        </w:rPr>
      </w:pPr>
      <w:r>
        <w:t>-</w:t>
      </w:r>
      <w:r>
        <w:tab/>
        <w:t>store the subscription.</w:t>
      </w:r>
    </w:p>
    <w:p w14:paraId="68BCE365" w14:textId="77777777" w:rsidR="00A10B25" w:rsidRDefault="00A10B25">
      <w:pPr>
        <w:rPr>
          <w:rFonts w:eastAsia="等线"/>
        </w:rPr>
      </w:pPr>
      <w:r>
        <w:rPr>
          <w:rFonts w:eastAsia="等线"/>
        </w:rPr>
        <w:t xml:space="preserve">If the </w:t>
      </w:r>
      <w:r>
        <w:t>NWDAF</w:t>
      </w:r>
      <w:r>
        <w:rPr>
          <w:rFonts w:eastAsia="等线"/>
        </w:rPr>
        <w:t xml:space="preserve"> created an "Individual NWDAF Event Subscription" resource, the NWDAF shall respond with "201 Created" status code with the message body containing a representation of the created subscription, as </w:t>
      </w:r>
      <w:r>
        <w:rPr>
          <w:rFonts w:eastAsia="Batang"/>
        </w:rPr>
        <w:t>shown in figure 4.2.2.2.2-1, step 2</w:t>
      </w:r>
      <w:r>
        <w:rPr>
          <w:rFonts w:eastAsia="等线"/>
        </w:rPr>
        <w:t xml:space="preserve">. </w:t>
      </w:r>
      <w:bookmarkStart w:id="844" w:name="_Hlk68177349"/>
      <w:r>
        <w:rPr>
          <w:rFonts w:eastAsia="等线"/>
        </w:rPr>
        <w:t xml:space="preserve">If </w:t>
      </w:r>
      <w:r>
        <w:rPr>
          <w:lang w:eastAsia="zh-CN"/>
        </w:rPr>
        <w:t>not all the requested analytics events in the subscription are accepted</w:t>
      </w:r>
      <w:bookmarkEnd w:id="844"/>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 The NWDAF shall include a Location HTTP header field. The Location header field shall contain the URI of the created subscription i.e. "{apiRoot}/nnwdaf-eventssubscription/&lt;apiVersion&gt;/subscriptions/{subscriptionId}". If the immediate reporting indication in the "immRep" attribute within the "evtReq" attribute sets to true in the event subscription, the NWDAF shall include the reports of the events subscribed, if available, in the HTTP POST response.</w:t>
      </w:r>
    </w:p>
    <w:p w14:paraId="316C8969" w14:textId="77777777" w:rsidR="00640768" w:rsidRPr="005B75E5" w:rsidRDefault="00640768" w:rsidP="00635E7C">
      <w:pPr>
        <w:rPr>
          <w:lang w:eastAsia="zh-CN"/>
        </w:rPr>
      </w:pPr>
      <w:r w:rsidRPr="005B75E5">
        <w:t>When the "</w:t>
      </w:r>
      <w:r w:rsidRPr="005B75E5">
        <w:rPr>
          <w:lang w:eastAsia="zh-CN"/>
        </w:rPr>
        <w:t xml:space="preserve">notifFlag" attribute is included and set to </w:t>
      </w:r>
      <w:r w:rsidRPr="005B75E5">
        <w:t>"DEACTIVATE"</w:t>
      </w:r>
      <w:r w:rsidRPr="005B75E5">
        <w:rPr>
          <w:lang w:eastAsia="zh-CN"/>
        </w:rPr>
        <w:t xml:space="preserve"> in the request, the NWDAF shall mute the event notification and store the available events until the NF service consumer requests to retrieve them by setting the "notifFlag" attribute to "RETRIEVAL" or until a muting exception occurs (e.g. full buffer).</w:t>
      </w:r>
    </w:p>
    <w:p w14:paraId="2BE05451" w14:textId="77777777" w:rsidR="00A10B25" w:rsidRDefault="00A10B25">
      <w:pPr>
        <w:rPr>
          <w:lang w:eastAsia="zh-CN"/>
        </w:rPr>
      </w:pPr>
      <w:r>
        <w:rPr>
          <w:lang w:eastAsia="zh-CN"/>
        </w:rPr>
        <w:t xml:space="preserve">If </w:t>
      </w:r>
      <w:r>
        <w:t xml:space="preserve">the analytics target period provided in the body of the HTTP POST request includes the start time in the past and the end time in the future, </w:t>
      </w:r>
      <w:r>
        <w:rPr>
          <w:lang w:val="en-US" w:eastAsia="zh-CN"/>
        </w:rPr>
        <w:t xml:space="preserve">the NWDAF shall reject the request with </w:t>
      </w:r>
      <w:r>
        <w:t xml:space="preserve">an HTTP </w:t>
      </w:r>
      <w:r>
        <w:rPr>
          <w:rStyle w:val="B1Char"/>
        </w:rPr>
        <w:t>"</w:t>
      </w:r>
      <w:r>
        <w:t>400 Bad Request</w:t>
      </w:r>
      <w:r>
        <w:rPr>
          <w:rStyle w:val="B1Char"/>
        </w:rPr>
        <w:t xml:space="preserve">" </w:t>
      </w:r>
      <w:r>
        <w:t xml:space="preserve">response including the </w:t>
      </w:r>
      <w:r>
        <w:rPr>
          <w:rStyle w:val="B1Char"/>
        </w:rPr>
        <w:t>"cause" attribute set to "</w:t>
      </w:r>
      <w:r>
        <w:t>BOTH_STAT_PRED_NOT_ALLOWED".</w:t>
      </w:r>
    </w:p>
    <w:p w14:paraId="580F72BA" w14:textId="77777777" w:rsidR="00A10B25" w:rsidRDefault="00A10B25">
      <w:pPr>
        <w:rPr>
          <w:lang w:eastAsia="zh-CN"/>
        </w:rPr>
      </w:pPr>
      <w:r>
        <w:rPr>
          <w:lang w:eastAsia="zh-CN"/>
        </w:rPr>
        <w:t>When the "P</w:t>
      </w:r>
      <w:r>
        <w:rPr>
          <w:lang w:val="en-US" w:eastAsia="zh-CN"/>
        </w:rPr>
        <w:t>redictionError</w:t>
      </w:r>
      <w:r>
        <w:rPr>
          <w:lang w:eastAsia="zh-CN"/>
        </w:rPr>
        <w:t>" feature is supported, if the analytics target period provided in the body of the HTTP POST request includes the prediction time period in the future</w:t>
      </w:r>
      <w:r>
        <w:t xml:space="preserve"> and </w:t>
      </w:r>
      <w:r>
        <w:rPr>
          <w:lang w:eastAsia="zh-CN"/>
        </w:rPr>
        <w:t xml:space="preserve">the event is "SM_CONGESTION", </w:t>
      </w:r>
      <w:r>
        <w:t>"PFD_DETERMINATION"</w:t>
      </w:r>
      <w:r>
        <w:rPr>
          <w:lang w:eastAsia="zh-CN"/>
        </w:rPr>
        <w:t xml:space="preserve"> and/or </w:t>
      </w:r>
      <w:r>
        <w:t>"PDU_SESSION_TRAFFIC"</w:t>
      </w:r>
      <w:r>
        <w:rPr>
          <w:lang w:eastAsia="zh-CN"/>
        </w:rPr>
        <w:t>, the NWDAF shall reject the request with an HTTP "400 Bad Request" response including the "cause" attribute set to "PREDICTION_NOT_ALLOWED".</w:t>
      </w:r>
    </w:p>
    <w:p w14:paraId="63B13876" w14:textId="77777777" w:rsidR="00A10B25" w:rsidRDefault="00A10B25">
      <w:r>
        <w:rPr>
          <w:lang w:eastAsia="zh-CN"/>
        </w:rPr>
        <w:t xml:space="preserve">If the </w:t>
      </w:r>
      <w:r>
        <w:t xml:space="preserve">statistics in the past are requested but the necessary data to perform the service is unavailable, </w:t>
      </w:r>
      <w:r>
        <w:rPr>
          <w:lang w:val="en-US" w:eastAsia="zh-CN"/>
        </w:rPr>
        <w:t xml:space="preserve">the NWDAF shall reject the request with </w:t>
      </w:r>
      <w:r>
        <w:t xml:space="preserve">an HTTP </w:t>
      </w:r>
      <w:r>
        <w:rPr>
          <w:rStyle w:val="B1Char"/>
        </w:rPr>
        <w:t>"</w:t>
      </w:r>
      <w:r>
        <w:t>500 Internal Server Error</w:t>
      </w:r>
      <w:r>
        <w:rPr>
          <w:rStyle w:val="B1Char"/>
        </w:rPr>
        <w:t xml:space="preserve">" </w:t>
      </w:r>
      <w:r>
        <w:t xml:space="preserve">response including the </w:t>
      </w:r>
      <w:r>
        <w:rPr>
          <w:rStyle w:val="B1Char"/>
        </w:rPr>
        <w:t>"cause" attribute set to "</w:t>
      </w:r>
      <w:r>
        <w:t>UNAVAILABLE_DATA".</w:t>
      </w:r>
    </w:p>
    <w:p w14:paraId="20D0007A" w14:textId="77777777" w:rsidR="003E1F9F" w:rsidRPr="00E71D2C" w:rsidRDefault="003E1F9F" w:rsidP="003E1F9F">
      <w:pPr>
        <w:rPr>
          <w:rFonts w:eastAsia="等线"/>
        </w:rPr>
      </w:pPr>
      <w:r w:rsidRPr="00E71D2C">
        <w:rPr>
          <w:rFonts w:eastAsia="等线"/>
        </w:rPr>
        <w:t xml:space="preserve">If the user consent has not been checked by the NF service consumer and is required for the requested analytics collection depending on local policy and regulations, then </w:t>
      </w:r>
      <w:r w:rsidRPr="00E71D2C">
        <w:t>the NWDAF shall check user consent for the targeted UE(s) b</w:t>
      </w:r>
      <w:r>
        <w:t>ased on</w:t>
      </w:r>
      <w:r w:rsidRPr="00E71D2C">
        <w:t xml:space="preserve"> the user consent subscription data </w:t>
      </w:r>
      <w:r>
        <w:t xml:space="preserve">that is retrieved </w:t>
      </w:r>
      <w:r w:rsidRPr="00E71D2C">
        <w:t xml:space="preserve">via the Nudm_SDM service API of </w:t>
      </w:r>
      <w:r w:rsidRPr="00E71D2C">
        <w:rPr>
          <w:rFonts w:eastAsia="等线"/>
        </w:rPr>
        <w:t>the UDM as described in clause 5.2.2</w:t>
      </w:r>
      <w:r>
        <w:rPr>
          <w:rFonts w:eastAsia="等线"/>
        </w:rPr>
        <w:t>.24</w:t>
      </w:r>
      <w:r w:rsidRPr="00E71D2C">
        <w:rPr>
          <w:rFonts w:eastAsia="等线"/>
        </w:rPr>
        <w:t xml:space="preserve"> </w:t>
      </w:r>
      <w:r>
        <w:rPr>
          <w:rFonts w:eastAsia="等线"/>
        </w:rPr>
        <w:t>and clause</w:t>
      </w:r>
      <w:r w:rsidRPr="00E71D2C">
        <w:rPr>
          <w:rFonts w:eastAsia="等线"/>
        </w:rPr>
        <w:t> </w:t>
      </w:r>
      <w:r>
        <w:rPr>
          <w:rFonts w:eastAsia="等线"/>
        </w:rPr>
        <w:t xml:space="preserve">6.1.3.32 </w:t>
      </w:r>
      <w:r w:rsidRPr="00E71D2C">
        <w:rPr>
          <w:rFonts w:eastAsia="等线"/>
        </w:rPr>
        <w:t xml:space="preserve">of 3GPP TS 29.503 [23]. If the </w:t>
      </w:r>
      <w:r w:rsidRPr="00BE4CC6">
        <w:rPr>
          <w:rFonts w:eastAsia="等线"/>
        </w:rPr>
        <w:t>user consent subscription data retrieved from the UDM indicate that the user consent</w:t>
      </w:r>
      <w:r w:rsidRPr="00E71D2C">
        <w:rPr>
          <w:rFonts w:eastAsia="等线"/>
        </w:rPr>
        <w:t xml:space="preserve"> is not granted for the impacted user(s), then the NWDAF shall send an HTTP "403 Forbidden" error response including the "cause" attribute set to "USER_CONSENT_NOT_GRANTED".</w:t>
      </w:r>
    </w:p>
    <w:p w14:paraId="66AF1A97" w14:textId="418E8A9E" w:rsidR="00A10B25" w:rsidRDefault="00F525B2">
      <w:pPr>
        <w:pStyle w:val="NO"/>
        <w:rPr>
          <w:rFonts w:eastAsia="等线"/>
        </w:rPr>
      </w:pPr>
      <w:r>
        <w:rPr>
          <w:lang w:eastAsia="ja-JP"/>
        </w:rPr>
        <w:t>NOTE 15</w:t>
      </w:r>
      <w:r w:rsidR="00A10B25">
        <w:rPr>
          <w:lang w:eastAsia="ja-JP"/>
        </w:rPr>
        <w:t>:</w:t>
      </w:r>
      <w:r w:rsidR="00A10B25">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669BFDA0" w14:textId="77777777" w:rsidR="003E1F9F" w:rsidRDefault="003E1F9F" w:rsidP="003E1F9F">
      <w:pPr>
        <w:rPr>
          <w:lang w:eastAsia="ko-KR"/>
        </w:rPr>
      </w:pPr>
      <w:r w:rsidRPr="00BE4CC6">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095DDD1D" w14:textId="77777777" w:rsidR="00D654A6" w:rsidRDefault="00D654A6" w:rsidP="00D654A6">
      <w:r>
        <w:t xml:space="preserve">If the RoamingAnalytics feature is supported and the NWDAF </w:t>
      </w:r>
      <w:r w:rsidRPr="001277E6">
        <w:t xml:space="preserve">determines based on operator configuration and the requested analytics </w:t>
      </w:r>
      <w:r>
        <w:t>that</w:t>
      </w:r>
      <w:r w:rsidRPr="001277E6">
        <w:t xml:space="preserve"> analytics or input data from the VPLMN are required</w:t>
      </w:r>
      <w:r>
        <w:t xml:space="preserve">, and the NWDAF does not support roaming exchange and it cannot forward the request to another NWDAF, then the NWDAF </w:t>
      </w:r>
      <w:r w:rsidRPr="00A801F9">
        <w:t>shall reject the request with an HTTP "</w:t>
      </w:r>
      <w:r>
        <w:t>403</w:t>
      </w:r>
      <w:r w:rsidRPr="00A801F9">
        <w:t xml:space="preserve"> </w:t>
      </w:r>
      <w:r>
        <w:t>Forbidden</w:t>
      </w:r>
      <w:r w:rsidRPr="00A801F9">
        <w:t>" response including the "cause" attribute set to "</w:t>
      </w:r>
      <w:r>
        <w:t>NO_ROAMING_SUPPORT</w:t>
      </w:r>
      <w:r w:rsidRPr="00A801F9">
        <w:t>".</w:t>
      </w:r>
    </w:p>
    <w:p w14:paraId="70F849EB" w14:textId="77777777" w:rsidR="00A10B25" w:rsidRDefault="00A10B25">
      <w:pPr>
        <w:rPr>
          <w:rFonts w:eastAsia="等线"/>
        </w:rPr>
      </w:pPr>
      <w:r>
        <w:t>If an error occurs when processing the HTTP POST request, the NWDAF shall send an HTTP error response as specified in clause 5.1.7.</w:t>
      </w:r>
    </w:p>
    <w:p w14:paraId="0038B8E8" w14:textId="77777777" w:rsidR="00A10B25" w:rsidRDefault="00A10B25">
      <w:pPr>
        <w:pStyle w:val="5"/>
      </w:pPr>
      <w:bookmarkStart w:id="845" w:name="_Toc104538888"/>
      <w:bookmarkStart w:id="846" w:name="_Toc138754070"/>
      <w:bookmarkStart w:id="847" w:name="_Toc136562236"/>
      <w:bookmarkStart w:id="848" w:name="_Toc113031550"/>
      <w:bookmarkStart w:id="849" w:name="_Toc120702189"/>
      <w:bookmarkStart w:id="850" w:name="_Toc148522461"/>
      <w:bookmarkStart w:id="851" w:name="_Toc112951010"/>
      <w:bookmarkStart w:id="852" w:name="_Toc114133689"/>
      <w:bookmarkStart w:id="853" w:name="_Toc145705557"/>
      <w:bookmarkStart w:id="854" w:name="_Toc164920585"/>
      <w:bookmarkStart w:id="855" w:name="_Toc170120127"/>
      <w:bookmarkStart w:id="856" w:name="_Toc175858372"/>
      <w:bookmarkStart w:id="857" w:name="_Toc175859445"/>
      <w:bookmarkStart w:id="858" w:name="_Toc180605735"/>
      <w:bookmarkStart w:id="859" w:name="_Toc185516989"/>
      <w:bookmarkStart w:id="860" w:name="_Toc191576040"/>
      <w:bookmarkStart w:id="861" w:name="_Toc191576780"/>
      <w:bookmarkStart w:id="862" w:name="_Toc192879850"/>
      <w:bookmarkStart w:id="863" w:name="_Toc195814733"/>
      <w:bookmarkStart w:id="864" w:name="_Toc199452680"/>
      <w:r>
        <w:t>4.2.2.2.3</w:t>
      </w:r>
      <w:r>
        <w:tab/>
        <w:t>Update subscription for event notifications</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1B1A4B90" w14:textId="77777777" w:rsidR="00A10B25" w:rsidRDefault="00A10B25">
      <w:pPr>
        <w:rPr>
          <w:rFonts w:eastAsia="等线"/>
        </w:rPr>
      </w:pPr>
      <w:r>
        <w:rPr>
          <w:rFonts w:eastAsia="等线"/>
        </w:rPr>
        <w:t>Figure 4.2.2.2.3-1 shows a scenario where the NF service consumer sends a request to the NWDAF to</w:t>
      </w:r>
      <w:r>
        <w:t xml:space="preserve"> </w:t>
      </w:r>
      <w:r>
        <w:rPr>
          <w:rFonts w:eastAsia="等线"/>
        </w:rPr>
        <w:t>update the subscription for event notifications (see also 3GPP TS 23.288 [</w:t>
      </w:r>
      <w:r>
        <w:rPr>
          <w:rFonts w:eastAsia="等线" w:hint="eastAsia"/>
          <w:lang w:eastAsia="zh-CN"/>
        </w:rPr>
        <w:t>17</w:t>
      </w:r>
      <w:r>
        <w:rPr>
          <w:rFonts w:eastAsia="等线"/>
        </w:rPr>
        <w:t>]).</w:t>
      </w:r>
    </w:p>
    <w:p w14:paraId="5AD19E64" w14:textId="77777777" w:rsidR="00A10B25" w:rsidRDefault="00A10B25">
      <w:pPr>
        <w:pStyle w:val="TH"/>
        <w:rPr>
          <w:rFonts w:eastAsia="等线"/>
          <w:lang w:eastAsia="zh-CN"/>
        </w:rPr>
      </w:pPr>
      <w:r>
        <w:rPr>
          <w:lang w:val="en-US" w:eastAsia="zh-CN"/>
        </w:rPr>
        <w:object w:dxaOrig="7674" w:dyaOrig="3118" w14:anchorId="09B04F78">
          <v:shape id="Object 6" o:spid="_x0000_i1032" type="#_x0000_t75" style="width:421.35pt;height:170.3pt;mso-position-horizontal-relative:page;mso-position-vertical-relative:page" o:ole="">
            <v:imagedata r:id="rId16" o:title=""/>
          </v:shape>
          <o:OLEObject Type="Embed" ProgID="Visio.Drawing.15" ShapeID="Object 6" DrawAspect="Content" ObjectID="_1810065986" r:id="rId17"/>
        </w:object>
      </w:r>
    </w:p>
    <w:p w14:paraId="36B64AB4" w14:textId="77777777" w:rsidR="00A10B25" w:rsidRDefault="00A10B25">
      <w:pPr>
        <w:pStyle w:val="TF"/>
      </w:pPr>
      <w:r>
        <w:t>Figure 4.2.2.2.3-1: NF service consumer updates subscription to notifications</w:t>
      </w:r>
    </w:p>
    <w:p w14:paraId="0A5CB635" w14:textId="77777777" w:rsidR="00A10B25" w:rsidRDefault="00A10B25">
      <w:r>
        <w:t xml:space="preserve">The NF service consumer shall invoke the Nnwdaf_EventsSubscription_Subscribe service operation to update subscription to event notifications. The NF service consumer </w:t>
      </w:r>
      <w:r>
        <w:rPr>
          <w:lang w:val="en-US"/>
        </w:rPr>
        <w:t xml:space="preserve">shall </w:t>
      </w:r>
      <w:r>
        <w:t>send an HTTP PUT request with "{apiRoot}/nnwdaf-eventssubscription/&lt;apiVersion&gt;/subscriptions/{subscriptionId}" as Resource URI representing the "Individual NWDAF Event Subscription", as shown in figure 4.2.2.2.3-1, step 1, to update the subscription for an "Individual NWDAF Event Subscription" resource identified by the {subscriptionId}. The NnwdafEventsSubscription data structure provided in the request body shall include the same contents as described in clause 4.2.2.2.2. In addition, each element of the "eventSubscriptions" may contain the following:</w:t>
      </w:r>
    </w:p>
    <w:p w14:paraId="21C6C86D" w14:textId="77777777" w:rsidR="00A10B25" w:rsidRDefault="00A10B25">
      <w:pPr>
        <w:pStyle w:val="B1"/>
      </w:pPr>
      <w:r>
        <w:t>-</w:t>
      </w:r>
      <w:r>
        <w:tab/>
        <w:t>Analytics feedback information within the "feedback" attribute, if the "AnalyticsAccuracy" feature is supported and the susbcription is for a prediction.</w:t>
      </w:r>
    </w:p>
    <w:p w14:paraId="6203C7C6" w14:textId="77777777" w:rsidR="00A10B25" w:rsidRDefault="00A10B25">
      <w:pPr>
        <w:rPr>
          <w:rFonts w:eastAsia="等线"/>
        </w:rPr>
      </w:pPr>
      <w:r>
        <w:rPr>
          <w:rFonts w:eastAsia="等线"/>
        </w:rPr>
        <w:t>Upon the reception of an HTTP PUT request with: "{apiRoot}/nnwdaf-eventssubscription/&lt;apiVersion&gt;/subscriptions/{subscriptionId}" as Resource URI and NnwdafEventsSubscription data structure as request body, the NWDAF shall:</w:t>
      </w:r>
    </w:p>
    <w:p w14:paraId="4613F063" w14:textId="77777777" w:rsidR="00A10B25" w:rsidRDefault="00A10B25">
      <w:pPr>
        <w:pStyle w:val="B1"/>
      </w:pPr>
      <w:r>
        <w:t>-</w:t>
      </w:r>
      <w:r>
        <w:tab/>
        <w:t>update the subscription of corresponding subscriptionId; and</w:t>
      </w:r>
    </w:p>
    <w:p w14:paraId="05F9F0AB" w14:textId="77777777" w:rsidR="00A10B25" w:rsidRDefault="00A10B25">
      <w:pPr>
        <w:pStyle w:val="B1"/>
      </w:pPr>
      <w:r>
        <w:t>-</w:t>
      </w:r>
      <w:r>
        <w:tab/>
        <w:t>store the subscription.</w:t>
      </w:r>
    </w:p>
    <w:p w14:paraId="60927668" w14:textId="77777777" w:rsidR="003E1F9F" w:rsidRPr="00E71D2C" w:rsidRDefault="003E1F9F" w:rsidP="003E1F9F">
      <w:pPr>
        <w:keepLines/>
        <w:ind w:left="1135" w:hanging="851"/>
        <w:rPr>
          <w:rFonts w:eastAsia="等线"/>
        </w:rPr>
      </w:pPr>
      <w:r w:rsidRPr="00E71D2C">
        <w:t>NOTE</w:t>
      </w:r>
      <w:r>
        <w:t> 1</w:t>
      </w:r>
      <w:r w:rsidRPr="00E71D2C">
        <w:t>:</w:t>
      </w:r>
      <w:r w:rsidRPr="00E71D2C">
        <w:tab/>
        <w:t xml:space="preserve">The "notificationURI" attribute within the </w:t>
      </w:r>
      <w:r w:rsidRPr="00E71D2C">
        <w:rPr>
          <w:rFonts w:eastAsia="等线"/>
        </w:rPr>
        <w:t>NnwdafEventsSubscription</w:t>
      </w:r>
      <w:r w:rsidRPr="00E71D2C">
        <w:t xml:space="preserve"> data structure can be modified to request that subsequent notifications are sent to a new NF service consumer.</w:t>
      </w:r>
    </w:p>
    <w:p w14:paraId="6DD56D03" w14:textId="77777777" w:rsidR="00A10B25" w:rsidRDefault="00A10B25">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NWDAF Event Subscription" resource, and shall respond with:</w:t>
      </w:r>
    </w:p>
    <w:p w14:paraId="2FC4083F" w14:textId="77777777" w:rsidR="00A10B25" w:rsidRDefault="00A10B25">
      <w:pPr>
        <w:pStyle w:val="B1"/>
        <w:rPr>
          <w:rFonts w:eastAsia="等线"/>
        </w:rPr>
      </w:pPr>
      <w:r>
        <w:t>a)</w:t>
      </w:r>
      <w:r>
        <w:tab/>
        <w:t>HTTP "200 OK" status code with the message body containing a representation of the updated subscription, as shown in figure 4.2.2.2.3-1, step 2a.</w:t>
      </w:r>
      <w:r>
        <w:rPr>
          <w:rFonts w:eastAsia="等线"/>
        </w:rPr>
        <w:t xml:space="preserve"> If </w:t>
      </w:r>
      <w:r>
        <w:rPr>
          <w:lang w:eastAsia="zh-CN"/>
        </w:rPr>
        <w:t xml:space="preserve">not all the requested analytics events in the </w:t>
      </w:r>
      <w:r>
        <w:t>subscription</w:t>
      </w:r>
      <w:r>
        <w:rPr>
          <w:lang w:eastAsia="zh-CN"/>
        </w:rPr>
        <w:t xml:space="preserve"> are modified successfully</w:t>
      </w:r>
      <w:r>
        <w:rPr>
          <w:rFonts w:eastAsia="等线"/>
        </w:rPr>
        <w:t xml:space="preserve">, then the NWDAF may include the </w:t>
      </w:r>
      <w:r>
        <w:t>"</w:t>
      </w:r>
      <w:r>
        <w:rPr>
          <w:rFonts w:hint="eastAsia"/>
          <w:lang w:eastAsia="zh-CN"/>
        </w:rPr>
        <w:t>f</w:t>
      </w:r>
      <w:r>
        <w:rPr>
          <w:lang w:eastAsia="zh-CN"/>
        </w:rPr>
        <w:t>ailEventReports</w:t>
      </w:r>
      <w:r>
        <w:t>"</w:t>
      </w:r>
      <w:r>
        <w:rPr>
          <w:rFonts w:eastAsia="等线"/>
        </w:rPr>
        <w:t xml:space="preserve"> </w:t>
      </w:r>
      <w:r>
        <w:t>attribute</w:t>
      </w:r>
      <w:r>
        <w:rPr>
          <w:rFonts w:eastAsia="等线"/>
        </w:rPr>
        <w:t xml:space="preserve"> indicating the event(s) for which the modification failed and the associated reason(s)</w:t>
      </w:r>
      <w:r>
        <w:t>; or</w:t>
      </w:r>
    </w:p>
    <w:p w14:paraId="0E7D31FB" w14:textId="77777777" w:rsidR="00A10B25" w:rsidRDefault="00A10B25">
      <w:pPr>
        <w:pStyle w:val="B1"/>
      </w:pPr>
      <w:r>
        <w:t>b)</w:t>
      </w:r>
      <w:r>
        <w:tab/>
        <w:t xml:space="preserve">HTTP "204 No Content" status code, as shown in figure 4.2.2.2.3-1, step 2b. </w:t>
      </w:r>
    </w:p>
    <w:p w14:paraId="73F31C88" w14:textId="77777777" w:rsidR="00A10B25" w:rsidRDefault="00A10B25">
      <w:r>
        <w:t>If errors occur when processing the HTTP PUT request, the NWDAF shall send an HTTP error response as specified in clause 5.1.7.</w:t>
      </w:r>
    </w:p>
    <w:p w14:paraId="509A9001" w14:textId="77777777" w:rsidR="00A10B25" w:rsidRDefault="00A10B25">
      <w:r>
        <w:t>If the analytics target period provided in the body of the HTTP PUT request includes the start time in the past and the end time in the future, the NWDAF shall reject the request with an HTTP "400 Bad Request" response including the "cause" attribute set to "BOTH_STAT_PRED_NOT_ALLOWED".</w:t>
      </w:r>
    </w:p>
    <w:p w14:paraId="54936747" w14:textId="77777777" w:rsidR="00A10B25" w:rsidRDefault="00A10B25">
      <w:pPr>
        <w:rPr>
          <w:lang w:eastAsia="zh-CN"/>
        </w:rPr>
      </w:pPr>
      <w:bookmarkStart w:id="865" w:name="_Hlk151070389"/>
      <w:r>
        <w:rPr>
          <w:lang w:eastAsia="zh-CN"/>
        </w:rPr>
        <w:t xml:space="preserve">When the "PredictionError" feature is supported, </w:t>
      </w:r>
      <w:bookmarkEnd w:id="865"/>
      <w:r>
        <w:rPr>
          <w:lang w:eastAsia="zh-CN"/>
        </w:rPr>
        <w:t>if the analytics target period provided in the body of the HTTP PUT request includes the prediction time period in the future</w:t>
      </w:r>
      <w:r>
        <w:t xml:space="preserve"> and </w:t>
      </w:r>
      <w:r>
        <w:rPr>
          <w:lang w:eastAsia="zh-CN"/>
        </w:rPr>
        <w:t xml:space="preserve">the event is "SM_CONGESTION", </w:t>
      </w:r>
      <w:r>
        <w:t>"PFD_DETERMINATION"</w:t>
      </w:r>
      <w:r>
        <w:rPr>
          <w:lang w:eastAsia="zh-CN"/>
        </w:rPr>
        <w:t xml:space="preserve"> and/or </w:t>
      </w:r>
      <w:r>
        <w:t>"PDU_SESSION_TRAFFIC"</w:t>
      </w:r>
      <w:r>
        <w:rPr>
          <w:lang w:eastAsia="zh-CN"/>
        </w:rPr>
        <w:t>, the NWDAF shall reject the request with an HTTP "400 Bad Request" response including the "cause" attribute set to "PREDICTION_NOT_ALLOWED".</w:t>
      </w:r>
    </w:p>
    <w:p w14:paraId="35EE04BB" w14:textId="77777777" w:rsidR="00D654A6" w:rsidRDefault="00A10B25" w:rsidP="00D654A6">
      <w:r>
        <w:t>If the statistics in the past are requested but the necessary data to perform the service is unavailable, the NWDAF shall reject the request with an HTTP "500 Internal Server Error" response including the "cause" attribute set to "UNAVAILABLE_DATA".</w:t>
      </w:r>
    </w:p>
    <w:p w14:paraId="07385008" w14:textId="77777777" w:rsidR="003E1F9F" w:rsidRPr="00E71D2C" w:rsidRDefault="003E1F9F" w:rsidP="003E1F9F">
      <w:pPr>
        <w:rPr>
          <w:rFonts w:eastAsia="等线"/>
        </w:rPr>
      </w:pPr>
      <w:r w:rsidRPr="00E71D2C">
        <w:rPr>
          <w:rFonts w:eastAsia="等线"/>
        </w:rPr>
        <w:lastRenderedPageBreak/>
        <w:t xml:space="preserve">If the user consent has not been checked by the NF service consumer and is required for the requested analytics collection depending on local policy and regulations, then </w:t>
      </w:r>
      <w:r w:rsidRPr="00E71D2C">
        <w:t>the NWDAF shall check user consent for the targeted UE(s) b</w:t>
      </w:r>
      <w:r>
        <w:t>ased on</w:t>
      </w:r>
      <w:r w:rsidRPr="00E71D2C">
        <w:t xml:space="preserve"> the user consent subscription data </w:t>
      </w:r>
      <w:r>
        <w:t xml:space="preserve">that is retrieved </w:t>
      </w:r>
      <w:r w:rsidRPr="00E71D2C">
        <w:t xml:space="preserve">via the Nudm_SDM service API of </w:t>
      </w:r>
      <w:r w:rsidRPr="00E71D2C">
        <w:rPr>
          <w:rFonts w:eastAsia="等线"/>
        </w:rPr>
        <w:t>the UDM as described in clause 5.2.2</w:t>
      </w:r>
      <w:r>
        <w:rPr>
          <w:rFonts w:eastAsia="等线"/>
        </w:rPr>
        <w:t>.24</w:t>
      </w:r>
      <w:r w:rsidRPr="00E71D2C">
        <w:rPr>
          <w:rFonts w:eastAsia="等线"/>
        </w:rPr>
        <w:t xml:space="preserve"> </w:t>
      </w:r>
      <w:r>
        <w:rPr>
          <w:rFonts w:eastAsia="等线"/>
        </w:rPr>
        <w:t>and clause</w:t>
      </w:r>
      <w:r w:rsidRPr="00E71D2C">
        <w:rPr>
          <w:rFonts w:eastAsia="等线"/>
        </w:rPr>
        <w:t> </w:t>
      </w:r>
      <w:r>
        <w:rPr>
          <w:rFonts w:eastAsia="等线"/>
        </w:rPr>
        <w:t xml:space="preserve">6.1.3.32 </w:t>
      </w:r>
      <w:r w:rsidRPr="00E71D2C">
        <w:rPr>
          <w:rFonts w:eastAsia="等线"/>
        </w:rPr>
        <w:t xml:space="preserve">of 3GPP TS 29.503 [23]. If the </w:t>
      </w:r>
      <w:r w:rsidRPr="00BE4CC6">
        <w:rPr>
          <w:rFonts w:eastAsia="等线"/>
        </w:rPr>
        <w:t>user consent subscription data retrieved from the UDM indicate that the user consent</w:t>
      </w:r>
      <w:r w:rsidRPr="00E71D2C">
        <w:rPr>
          <w:rFonts w:eastAsia="等线"/>
        </w:rPr>
        <w:t xml:space="preserve"> is not granted for the impacted user(s), then the NWDAF shall send an HTTP "403 Forbidden" error response including the "cause" attribute set to "USER_CONSENT_NOT_GRANTED".</w:t>
      </w:r>
    </w:p>
    <w:p w14:paraId="1662EB12" w14:textId="77777777" w:rsidR="003E1F9F" w:rsidRPr="00E71D2C" w:rsidRDefault="003E1F9F" w:rsidP="003E1F9F">
      <w:pPr>
        <w:pStyle w:val="NO"/>
        <w:rPr>
          <w:rFonts w:eastAsia="等线"/>
        </w:rPr>
      </w:pPr>
      <w:r w:rsidRPr="00E71D2C">
        <w:rPr>
          <w:lang w:eastAsia="ja-JP"/>
        </w:rPr>
        <w:t>NOTE </w:t>
      </w:r>
      <w:r>
        <w:rPr>
          <w:lang w:eastAsia="ja-JP"/>
        </w:rPr>
        <w:t>2</w:t>
      </w:r>
      <w:r w:rsidRPr="00E71D2C">
        <w:rPr>
          <w:lang w:eastAsia="ja-JP"/>
        </w:rPr>
        <w:t>:</w:t>
      </w:r>
      <w:r w:rsidRPr="00E71D2C">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6BE0D2CD" w14:textId="77777777" w:rsidR="003E1F9F" w:rsidRDefault="003E1F9F" w:rsidP="003E1F9F">
      <w:pPr>
        <w:rPr>
          <w:lang w:eastAsia="ko-KR"/>
        </w:rPr>
      </w:pPr>
      <w:r w:rsidRPr="00BE4CC6">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2B03E455" w14:textId="77777777" w:rsidR="00A10B25" w:rsidRDefault="00D654A6" w:rsidP="00D654A6">
      <w:r>
        <w:t xml:space="preserve">If the RoamingAnalytics feature is supported and the NWDAF </w:t>
      </w:r>
      <w:r w:rsidRPr="001277E6">
        <w:t xml:space="preserve">determines based on operator configuration and the requested analytics </w:t>
      </w:r>
      <w:r>
        <w:t>that</w:t>
      </w:r>
      <w:r w:rsidRPr="001277E6">
        <w:t xml:space="preserve"> analytics or input data from the VPLMN are required</w:t>
      </w:r>
      <w:r>
        <w:t xml:space="preserve">, and the NWDAF does not support roaming exchange and it cannot forward the request to another NWDAF, then the NWDAF </w:t>
      </w:r>
      <w:r w:rsidRPr="00A801F9">
        <w:t>shall reject the request with an HTTP "</w:t>
      </w:r>
      <w:r>
        <w:t>403</w:t>
      </w:r>
      <w:r w:rsidRPr="00A801F9">
        <w:t xml:space="preserve"> </w:t>
      </w:r>
      <w:r>
        <w:t>Forbidden</w:t>
      </w:r>
      <w:r w:rsidRPr="00A801F9">
        <w:t>" response including the "cause" attribute set to "</w:t>
      </w:r>
      <w:r>
        <w:t>NO_ROAMING_SUPPORT</w:t>
      </w:r>
      <w:r w:rsidRPr="00A801F9">
        <w:t>".</w:t>
      </w:r>
    </w:p>
    <w:p w14:paraId="4F5B4D0C" w14:textId="77777777" w:rsidR="00A10B25" w:rsidRDefault="00A10B25">
      <w:r>
        <w:t>If the feature "ES3XX" is supported, and the NWDAF determines the received HTTP PUT request needs to be redirected, the NWDAF shall send an HTTP redirect response as specified in clause </w:t>
      </w:r>
      <w:r>
        <w:rPr>
          <w:lang w:eastAsia="zh-CN"/>
        </w:rPr>
        <w:t xml:space="preserve">6.10.9 of </w:t>
      </w:r>
      <w:r>
        <w:rPr>
          <w:lang w:val="en-US"/>
        </w:rPr>
        <w:t>3GPP TS 29.500 [6]</w:t>
      </w:r>
      <w:r>
        <w:t>.</w:t>
      </w:r>
    </w:p>
    <w:p w14:paraId="7CA799BA" w14:textId="77777777" w:rsidR="00A10B25" w:rsidRDefault="00A10B25">
      <w:pPr>
        <w:rPr>
          <w:lang w:eastAsia="zh-CN"/>
        </w:rPr>
      </w:pPr>
      <w:bookmarkStart w:id="866" w:name="_Toc51762841"/>
      <w:bookmarkStart w:id="867" w:name="_Toc120702190"/>
      <w:bookmarkStart w:id="868" w:name="_Toc36102406"/>
      <w:bookmarkStart w:id="869" w:name="_Toc66231744"/>
      <w:bookmarkStart w:id="870" w:name="_Toc104538889"/>
      <w:bookmarkStart w:id="871" w:name="_Toc34266235"/>
      <w:bookmarkStart w:id="872" w:name="_Toc50031921"/>
      <w:bookmarkStart w:id="873" w:name="_Toc113031551"/>
      <w:bookmarkStart w:id="874" w:name="_Toc56640908"/>
      <w:bookmarkStart w:id="875" w:name="_Toc85552877"/>
      <w:bookmarkStart w:id="876" w:name="_Toc70550551"/>
      <w:bookmarkStart w:id="877" w:name="_Toc114133690"/>
      <w:bookmarkStart w:id="878" w:name="_Toc59017876"/>
      <w:bookmarkStart w:id="879" w:name="_Toc101244300"/>
      <w:bookmarkStart w:id="880" w:name="_Toc88667478"/>
      <w:bookmarkStart w:id="881" w:name="_Toc98233524"/>
      <w:bookmarkStart w:id="882" w:name="_Toc68168905"/>
      <w:bookmarkStart w:id="883" w:name="_Toc85556976"/>
      <w:bookmarkStart w:id="884" w:name="_Toc28012765"/>
      <w:bookmarkStart w:id="885" w:name="_Toc43563448"/>
      <w:bookmarkStart w:id="886" w:name="_Toc145705558"/>
      <w:bookmarkStart w:id="887" w:name="_Toc90655763"/>
      <w:bookmarkStart w:id="888" w:name="_Toc94064144"/>
      <w:bookmarkStart w:id="889" w:name="_Toc83232988"/>
      <w:bookmarkStart w:id="890" w:name="_Toc45133991"/>
      <w:bookmarkStart w:id="891" w:name="_Toc138754071"/>
      <w:bookmarkStart w:id="892" w:name="_Toc148522462"/>
      <w:bookmarkStart w:id="893" w:name="_Toc136562237"/>
      <w:bookmarkStart w:id="894" w:name="_Toc112951011"/>
      <w:r>
        <w:rPr>
          <w:lang w:eastAsia="zh-CN"/>
        </w:rPr>
        <w:t xml:space="preserve">When the </w:t>
      </w:r>
      <w:r>
        <w:t>"</w:t>
      </w:r>
      <w:r>
        <w:rPr>
          <w:lang w:eastAsia="zh-CN"/>
        </w:rPr>
        <w:t xml:space="preserve">notifFlag" attribute is included in the request with the value </w:t>
      </w:r>
      <w:r>
        <w:t>"DEACTIVATE"</w:t>
      </w:r>
      <w:r>
        <w:rPr>
          <w:lang w:eastAsia="zh-CN"/>
        </w:rPr>
        <w:t xml:space="preserve">, the NWDAF shall mute the event notification and store the available events until the NF service consumer requests to retrieve them by setting the "notifFlag" attribute to "RETRIEVAL" or until a muting exception occurs (e.g. full buffer); if the "notifFlag" attribute is set to the value </w:t>
      </w:r>
      <w:r>
        <w:t>"RETRIEVAL"</w:t>
      </w:r>
      <w:r>
        <w:rPr>
          <w:lang w:eastAsia="zh-CN"/>
        </w:rPr>
        <w:t>, the NWDAF shall send the stored events to the NF service consumer, mute the event notification again and store available events; if the "notifFlag" attribute is set to the value "ACTIVATE" and the event notifications are muted (due to a previously received "DECATIVATE" value), the NWDAF shall unmute the event notification, i.e. start sending again notifications for available events.</w:t>
      </w:r>
    </w:p>
    <w:p w14:paraId="44C162A4" w14:textId="77777777" w:rsidR="00A10B25" w:rsidRDefault="00A10B25">
      <w:pPr>
        <w:pStyle w:val="4"/>
      </w:pPr>
      <w:bookmarkStart w:id="895" w:name="_Toc164920586"/>
      <w:bookmarkStart w:id="896" w:name="_Toc170120128"/>
      <w:bookmarkStart w:id="897" w:name="_Toc175858373"/>
      <w:bookmarkStart w:id="898" w:name="_Toc175859446"/>
      <w:bookmarkStart w:id="899" w:name="_Toc180605736"/>
      <w:bookmarkStart w:id="900" w:name="_Toc185516990"/>
      <w:bookmarkStart w:id="901" w:name="_Toc191576041"/>
      <w:bookmarkStart w:id="902" w:name="_Toc191576781"/>
      <w:bookmarkStart w:id="903" w:name="_Toc192879851"/>
      <w:bookmarkStart w:id="904" w:name="_Toc195814734"/>
      <w:bookmarkStart w:id="905" w:name="_Toc199452681"/>
      <w:r>
        <w:t>4.2.2.3</w:t>
      </w:r>
      <w:r>
        <w:tab/>
        <w:t>Nnwdaf_EventsSubscription_Unsubscribe service operation</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9F200F9" w14:textId="77777777" w:rsidR="00A10B25" w:rsidRDefault="00A10B25">
      <w:pPr>
        <w:pStyle w:val="5"/>
      </w:pPr>
      <w:bookmarkStart w:id="906" w:name="_Toc45133992"/>
      <w:bookmarkStart w:id="907" w:name="_Toc94064145"/>
      <w:bookmarkStart w:id="908" w:name="_Toc50031922"/>
      <w:bookmarkStart w:id="909" w:name="_Toc88667479"/>
      <w:bookmarkStart w:id="910" w:name="_Toc112951012"/>
      <w:bookmarkStart w:id="911" w:name="_Toc101244301"/>
      <w:bookmarkStart w:id="912" w:name="_Toc36102407"/>
      <w:bookmarkStart w:id="913" w:name="_Toc34266236"/>
      <w:bookmarkStart w:id="914" w:name="_Toc114133691"/>
      <w:bookmarkStart w:id="915" w:name="_Toc56640909"/>
      <w:bookmarkStart w:id="916" w:name="_Toc66231745"/>
      <w:bookmarkStart w:id="917" w:name="_Toc51762842"/>
      <w:bookmarkStart w:id="918" w:name="_Toc113031552"/>
      <w:bookmarkStart w:id="919" w:name="_Toc28012766"/>
      <w:bookmarkStart w:id="920" w:name="_Toc90655764"/>
      <w:bookmarkStart w:id="921" w:name="_Toc59017877"/>
      <w:bookmarkStart w:id="922" w:name="_Toc104538890"/>
      <w:bookmarkStart w:id="923" w:name="_Toc68168906"/>
      <w:bookmarkStart w:id="924" w:name="_Toc85552878"/>
      <w:bookmarkStart w:id="925" w:name="_Toc98233525"/>
      <w:bookmarkStart w:id="926" w:name="_Toc70550552"/>
      <w:bookmarkStart w:id="927" w:name="_Toc43563449"/>
      <w:bookmarkStart w:id="928" w:name="_Toc85556977"/>
      <w:bookmarkStart w:id="929" w:name="_Toc136562238"/>
      <w:bookmarkStart w:id="930" w:name="_Toc138754072"/>
      <w:bookmarkStart w:id="931" w:name="_Toc145705559"/>
      <w:bookmarkStart w:id="932" w:name="_Toc148522463"/>
      <w:bookmarkStart w:id="933" w:name="_Toc83232989"/>
      <w:bookmarkStart w:id="934" w:name="_Toc120702191"/>
      <w:bookmarkStart w:id="935" w:name="_Toc164920587"/>
      <w:bookmarkStart w:id="936" w:name="_Toc170120129"/>
      <w:bookmarkStart w:id="937" w:name="_Toc175858374"/>
      <w:bookmarkStart w:id="938" w:name="_Toc175859447"/>
      <w:bookmarkStart w:id="939" w:name="_Toc180605737"/>
      <w:bookmarkStart w:id="940" w:name="_Toc185516991"/>
      <w:bookmarkStart w:id="941" w:name="_Toc191576042"/>
      <w:bookmarkStart w:id="942" w:name="_Toc191576782"/>
      <w:bookmarkStart w:id="943" w:name="_Toc192879852"/>
      <w:bookmarkStart w:id="944" w:name="_Toc195814735"/>
      <w:bookmarkStart w:id="945" w:name="_Toc199452682"/>
      <w:r>
        <w:t>4.2.2.3.1</w:t>
      </w:r>
      <w:r>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641C30AA" w14:textId="77777777" w:rsidR="00A10B25" w:rsidRDefault="00A10B25">
      <w:r>
        <w:t>The Nnwdaf_EventsSubscription_Unsubscribe service operation is used by an NF service consumer to unsubscribe from event notifications.</w:t>
      </w:r>
    </w:p>
    <w:p w14:paraId="2883CC4A" w14:textId="77777777" w:rsidR="00A10B25" w:rsidRDefault="00A10B25">
      <w:pPr>
        <w:pStyle w:val="5"/>
      </w:pPr>
      <w:bookmarkStart w:id="946" w:name="_Toc88667480"/>
      <w:bookmarkStart w:id="947" w:name="_Toc114133692"/>
      <w:bookmarkStart w:id="948" w:name="_Toc50031923"/>
      <w:bookmarkStart w:id="949" w:name="_Toc113031553"/>
      <w:bookmarkStart w:id="950" w:name="_Toc59017878"/>
      <w:bookmarkStart w:id="951" w:name="_Toc36102408"/>
      <w:bookmarkStart w:id="952" w:name="_Toc85556978"/>
      <w:bookmarkStart w:id="953" w:name="_Toc45133993"/>
      <w:bookmarkStart w:id="954" w:name="_Toc120702192"/>
      <w:bookmarkStart w:id="955" w:name="_Toc68168907"/>
      <w:bookmarkStart w:id="956" w:name="_Toc104538891"/>
      <w:bookmarkStart w:id="957" w:name="_Toc94064146"/>
      <w:bookmarkStart w:id="958" w:name="_Toc56640910"/>
      <w:bookmarkStart w:id="959" w:name="_Toc70550553"/>
      <w:bookmarkStart w:id="960" w:name="_Toc51762843"/>
      <w:bookmarkStart w:id="961" w:name="_Toc138754073"/>
      <w:bookmarkStart w:id="962" w:name="_Toc145705560"/>
      <w:bookmarkStart w:id="963" w:name="_Toc28012767"/>
      <w:bookmarkStart w:id="964" w:name="_Toc98233526"/>
      <w:bookmarkStart w:id="965" w:name="_Toc85552879"/>
      <w:bookmarkStart w:id="966" w:name="_Toc148522464"/>
      <w:bookmarkStart w:id="967" w:name="_Toc43563450"/>
      <w:bookmarkStart w:id="968" w:name="_Toc83232990"/>
      <w:bookmarkStart w:id="969" w:name="_Toc66231746"/>
      <w:bookmarkStart w:id="970" w:name="_Toc101244302"/>
      <w:bookmarkStart w:id="971" w:name="_Toc90655765"/>
      <w:bookmarkStart w:id="972" w:name="_Toc136562239"/>
      <w:bookmarkStart w:id="973" w:name="_Toc112951013"/>
      <w:bookmarkStart w:id="974" w:name="_Toc34266237"/>
      <w:bookmarkStart w:id="975" w:name="_Toc164920588"/>
      <w:bookmarkStart w:id="976" w:name="_Toc170120130"/>
      <w:bookmarkStart w:id="977" w:name="_Toc175858375"/>
      <w:bookmarkStart w:id="978" w:name="_Toc175859448"/>
      <w:bookmarkStart w:id="979" w:name="_Toc180605738"/>
      <w:bookmarkStart w:id="980" w:name="_Toc185516992"/>
      <w:bookmarkStart w:id="981" w:name="_Toc191576043"/>
      <w:bookmarkStart w:id="982" w:name="_Toc191576783"/>
      <w:bookmarkStart w:id="983" w:name="_Toc192879853"/>
      <w:bookmarkStart w:id="984" w:name="_Toc195814736"/>
      <w:bookmarkStart w:id="985" w:name="_Toc199452683"/>
      <w:r>
        <w:t>4.2.2.3.2</w:t>
      </w:r>
      <w:r>
        <w:tab/>
        <w:t>Unsubscribe from event notifications</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r>
        <w:t xml:space="preserve"> </w:t>
      </w:r>
    </w:p>
    <w:p w14:paraId="63410740" w14:textId="77777777" w:rsidR="00A10B25" w:rsidRDefault="00A10B25">
      <w:pPr>
        <w:rPr>
          <w:rFonts w:eastAsia="等线"/>
        </w:rPr>
      </w:pPr>
      <w:r>
        <w:rPr>
          <w:rFonts w:eastAsia="等线"/>
        </w:rPr>
        <w:t>Figure 4.2.2.3.2-1 shows a scenario where the NF service consumer sends a request to the NWDAF to unsubscribe</w:t>
      </w:r>
      <w:r>
        <w:rPr>
          <w:rFonts w:eastAsia="Batang"/>
        </w:rPr>
        <w:t xml:space="preserve"> </w:t>
      </w:r>
      <w:r>
        <w:rPr>
          <w:rFonts w:eastAsia="等线"/>
        </w:rPr>
        <w:t>from event notifications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50C01052" w14:textId="7B83BED6" w:rsidR="00A10B25" w:rsidRDefault="00257874">
      <w:pPr>
        <w:pStyle w:val="TH"/>
        <w:rPr>
          <w:lang w:eastAsia="zh-CN"/>
        </w:rPr>
      </w:pPr>
      <w:r>
        <w:rPr>
          <w:noProof/>
          <w:lang w:val="en-US" w:eastAsia="zh-CN"/>
        </w:rPr>
        <w:drawing>
          <wp:inline distT="0" distB="0" distL="0" distR="0" wp14:anchorId="60A769AC" wp14:editId="529D66F6">
            <wp:extent cx="5494655" cy="1494790"/>
            <wp:effectExtent l="0" t="0" r="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94655" cy="1494790"/>
                    </a:xfrm>
                    <a:prstGeom prst="rect">
                      <a:avLst/>
                    </a:prstGeom>
                    <a:noFill/>
                    <a:ln>
                      <a:noFill/>
                    </a:ln>
                  </pic:spPr>
                </pic:pic>
              </a:graphicData>
            </a:graphic>
          </wp:inline>
        </w:drawing>
      </w:r>
    </w:p>
    <w:p w14:paraId="733EED1B" w14:textId="77777777" w:rsidR="00A10B25" w:rsidRDefault="00A10B25">
      <w:pPr>
        <w:pStyle w:val="TF"/>
      </w:pPr>
      <w:r>
        <w:t>Figure 4.2.2.3.2-1: NF service consumer unsubscribes from notifications</w:t>
      </w:r>
    </w:p>
    <w:p w14:paraId="501B2469" w14:textId="77777777" w:rsidR="00A10B25" w:rsidRDefault="00A10B25">
      <w:pPr>
        <w:rPr>
          <w:rFonts w:eastAsia="等线"/>
        </w:rPr>
      </w:pPr>
      <w:r>
        <w:rPr>
          <w:rFonts w:eastAsia="等线"/>
        </w:rPr>
        <w:t>The NF service consumer shall invoke the Nnwdaf_EventsSubscription_Unsubscribe service operation to unsubscribe to event notifications. The NF service consumer shall send an HTTP DELETE request with: "{apiRoot}/nnwdaf-</w:t>
      </w:r>
      <w:r>
        <w:rPr>
          <w:rFonts w:eastAsia="等线"/>
        </w:rPr>
        <w:lastRenderedPageBreak/>
        <w:t>eventssubscription/&lt;apiVersion&gt;/subscriptions/{subscriptionId}" as Resource URI, where "{subscriptionId}" is the event subscriptionId of the existing subscription that is to be deleted.</w:t>
      </w:r>
    </w:p>
    <w:p w14:paraId="3C50B6DF" w14:textId="77777777" w:rsidR="00A10B25" w:rsidRDefault="00A10B25">
      <w:pPr>
        <w:rPr>
          <w:rFonts w:eastAsia="等线"/>
        </w:rPr>
      </w:pPr>
      <w:r>
        <w:rPr>
          <w:rFonts w:eastAsia="等线"/>
        </w:rPr>
        <w:t>Upon the reception of an HTTP DELETE request with: "{apiRoot}/nnwdaf-eventssubscription/&lt;apiVersion&gt;/subscriptions/{subscriptionId}" as Resource URI,</w:t>
      </w:r>
      <w:r>
        <w:t xml:space="preserve"> </w:t>
      </w:r>
      <w:r>
        <w:rPr>
          <w:rFonts w:eastAsia="等线"/>
        </w:rPr>
        <w:t xml:space="preserve">if the NWDAF successfully processed and accepted the received HTTP DELETE request, the NWDAF shall: </w:t>
      </w:r>
    </w:p>
    <w:p w14:paraId="7F8463F9" w14:textId="77777777" w:rsidR="00A10B25" w:rsidRDefault="00A10B25">
      <w:pPr>
        <w:pStyle w:val="B1"/>
      </w:pPr>
      <w:r>
        <w:t>-</w:t>
      </w:r>
      <w:r>
        <w:tab/>
        <w:t>remove the corresponding subscription; and</w:t>
      </w:r>
    </w:p>
    <w:p w14:paraId="14FC34EE" w14:textId="77777777" w:rsidR="00A10B25" w:rsidRDefault="00A10B25">
      <w:pPr>
        <w:pStyle w:val="B1"/>
      </w:pPr>
      <w:r>
        <w:t>-</w:t>
      </w:r>
      <w:r>
        <w:tab/>
        <w:t>respond</w:t>
      </w:r>
      <w:r>
        <w:rPr>
          <w:rFonts w:eastAsia="Batang"/>
        </w:rPr>
        <w:t xml:space="preserve"> </w:t>
      </w:r>
      <w:r>
        <w:t>with HTTP "204 No Content" status code.</w:t>
      </w:r>
    </w:p>
    <w:p w14:paraId="2A875079" w14:textId="77777777" w:rsidR="00A10B25" w:rsidRDefault="00A10B25">
      <w:pPr>
        <w:rPr>
          <w:rFonts w:eastAsia="等线"/>
        </w:rPr>
      </w:pPr>
      <w:r>
        <w:rPr>
          <w:rFonts w:eastAsia="等线"/>
        </w:rPr>
        <w:t>If errors occur when processing the HTTP DELETE request, the NWDAF shall send an HTTP error response as specified in clause 5.1.7.</w:t>
      </w:r>
    </w:p>
    <w:p w14:paraId="24270CC6" w14:textId="77777777" w:rsidR="00A10B25" w:rsidRDefault="00A10B25">
      <w:r>
        <w:t xml:space="preserve">If the feature "ES3XX" is supported, and the NWDAF determines the received HTTP </w:t>
      </w:r>
      <w:r>
        <w:rPr>
          <w:rFonts w:eastAsia="等线"/>
        </w:rPr>
        <w:t>DELETE</w:t>
      </w:r>
      <w:r>
        <w:t xml:space="preserve"> request needs to be redirected, the NWDAF shall send an HTTP redirect response as specified in clause </w:t>
      </w:r>
      <w:r>
        <w:rPr>
          <w:lang w:eastAsia="zh-CN"/>
        </w:rPr>
        <w:t xml:space="preserve">6.10.9 of </w:t>
      </w:r>
      <w:r>
        <w:rPr>
          <w:lang w:val="en-US"/>
        </w:rPr>
        <w:t>3GPP TS 29.500 [6]</w:t>
      </w:r>
      <w:r>
        <w:t>.</w:t>
      </w:r>
    </w:p>
    <w:p w14:paraId="0921C11B" w14:textId="77777777" w:rsidR="00A10B25" w:rsidRDefault="00A10B25">
      <w:pPr>
        <w:pStyle w:val="4"/>
      </w:pPr>
      <w:bookmarkStart w:id="986" w:name="_Toc112951014"/>
      <w:bookmarkStart w:id="987" w:name="_Toc120702193"/>
      <w:bookmarkStart w:id="988" w:name="_Toc59017879"/>
      <w:bookmarkStart w:id="989" w:name="_Toc113031554"/>
      <w:bookmarkStart w:id="990" w:name="_Toc56640911"/>
      <w:bookmarkStart w:id="991" w:name="_Toc90655766"/>
      <w:bookmarkStart w:id="992" w:name="_Toc94064147"/>
      <w:bookmarkStart w:id="993" w:name="_Toc85552880"/>
      <w:bookmarkStart w:id="994" w:name="_Toc98233527"/>
      <w:bookmarkStart w:id="995" w:name="_Toc85556979"/>
      <w:bookmarkStart w:id="996" w:name="_Toc104538892"/>
      <w:bookmarkStart w:id="997" w:name="_Toc68168908"/>
      <w:bookmarkStart w:id="998" w:name="_Toc138754074"/>
      <w:bookmarkStart w:id="999" w:name="_Toc66231747"/>
      <w:bookmarkStart w:id="1000" w:name="_Toc34266238"/>
      <w:bookmarkStart w:id="1001" w:name="_Toc148522465"/>
      <w:bookmarkStart w:id="1002" w:name="_Toc43563451"/>
      <w:bookmarkStart w:id="1003" w:name="_Toc145705561"/>
      <w:bookmarkStart w:id="1004" w:name="_Toc45133994"/>
      <w:bookmarkStart w:id="1005" w:name="_Toc50031924"/>
      <w:bookmarkStart w:id="1006" w:name="_Toc83232991"/>
      <w:bookmarkStart w:id="1007" w:name="_Toc136562240"/>
      <w:bookmarkStart w:id="1008" w:name="_Toc101244303"/>
      <w:bookmarkStart w:id="1009" w:name="_Toc36102409"/>
      <w:bookmarkStart w:id="1010" w:name="_Toc70550554"/>
      <w:bookmarkStart w:id="1011" w:name="_Toc51762844"/>
      <w:bookmarkStart w:id="1012" w:name="_Toc88667481"/>
      <w:bookmarkStart w:id="1013" w:name="_Toc114133693"/>
      <w:bookmarkStart w:id="1014" w:name="_Toc28012768"/>
      <w:bookmarkStart w:id="1015" w:name="_Toc164920589"/>
      <w:bookmarkStart w:id="1016" w:name="_Toc170120131"/>
      <w:bookmarkStart w:id="1017" w:name="_Toc175858376"/>
      <w:bookmarkStart w:id="1018" w:name="_Toc175859449"/>
      <w:bookmarkStart w:id="1019" w:name="_Toc180605739"/>
      <w:bookmarkStart w:id="1020" w:name="_Toc185516993"/>
      <w:bookmarkStart w:id="1021" w:name="_Toc191576044"/>
      <w:bookmarkStart w:id="1022" w:name="_Toc191576784"/>
      <w:bookmarkStart w:id="1023" w:name="_Toc192879854"/>
      <w:bookmarkStart w:id="1024" w:name="_Toc195814737"/>
      <w:bookmarkStart w:id="1025" w:name="_Toc199452684"/>
      <w:r>
        <w:t>4.2.2.4</w:t>
      </w:r>
      <w:r>
        <w:tab/>
        <w:t>Nnwdaf_EventsSubscription_Notify service operation</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6EF9CC9F" w14:textId="77777777" w:rsidR="00A10B25" w:rsidRDefault="00A10B25">
      <w:pPr>
        <w:pStyle w:val="5"/>
      </w:pPr>
      <w:bookmarkStart w:id="1026" w:name="_Toc34266239"/>
      <w:bookmarkStart w:id="1027" w:name="_Toc90655767"/>
      <w:bookmarkStart w:id="1028" w:name="_Toc59017880"/>
      <w:bookmarkStart w:id="1029" w:name="_Toc85556980"/>
      <w:bookmarkStart w:id="1030" w:name="_Toc36102410"/>
      <w:bookmarkStart w:id="1031" w:name="_Toc70550555"/>
      <w:bookmarkStart w:id="1032" w:name="_Toc66231748"/>
      <w:bookmarkStart w:id="1033" w:name="_Toc114133694"/>
      <w:bookmarkStart w:id="1034" w:name="_Toc120702194"/>
      <w:bookmarkStart w:id="1035" w:name="_Toc85552881"/>
      <w:bookmarkStart w:id="1036" w:name="_Toc113031555"/>
      <w:bookmarkStart w:id="1037" w:name="_Toc50031925"/>
      <w:bookmarkStart w:id="1038" w:name="_Toc51762845"/>
      <w:bookmarkStart w:id="1039" w:name="_Toc136562241"/>
      <w:bookmarkStart w:id="1040" w:name="_Toc138754075"/>
      <w:bookmarkStart w:id="1041" w:name="_Toc148522466"/>
      <w:bookmarkStart w:id="1042" w:name="_Toc145705562"/>
      <w:bookmarkStart w:id="1043" w:name="_Toc45133995"/>
      <w:bookmarkStart w:id="1044" w:name="_Toc88667482"/>
      <w:bookmarkStart w:id="1045" w:name="_Toc101244304"/>
      <w:bookmarkStart w:id="1046" w:name="_Toc28012769"/>
      <w:bookmarkStart w:id="1047" w:name="_Toc98233528"/>
      <w:bookmarkStart w:id="1048" w:name="_Toc104538893"/>
      <w:bookmarkStart w:id="1049" w:name="_Toc56640912"/>
      <w:bookmarkStart w:id="1050" w:name="_Toc112951015"/>
      <w:bookmarkStart w:id="1051" w:name="_Toc68168909"/>
      <w:bookmarkStart w:id="1052" w:name="_Toc43563452"/>
      <w:bookmarkStart w:id="1053" w:name="_Toc94064148"/>
      <w:bookmarkStart w:id="1054" w:name="_Toc83232992"/>
      <w:bookmarkStart w:id="1055" w:name="_Toc164920590"/>
      <w:bookmarkStart w:id="1056" w:name="_Toc170120132"/>
      <w:bookmarkStart w:id="1057" w:name="_Toc175858377"/>
      <w:bookmarkStart w:id="1058" w:name="_Toc175859450"/>
      <w:bookmarkStart w:id="1059" w:name="_Toc180605740"/>
      <w:bookmarkStart w:id="1060" w:name="_Toc185516994"/>
      <w:bookmarkStart w:id="1061" w:name="_Toc191576045"/>
      <w:bookmarkStart w:id="1062" w:name="_Toc191576785"/>
      <w:bookmarkStart w:id="1063" w:name="_Toc192879855"/>
      <w:bookmarkStart w:id="1064" w:name="_Toc195814738"/>
      <w:bookmarkStart w:id="1065" w:name="_Toc199452685"/>
      <w:r>
        <w:t>4.2.2.4.1</w:t>
      </w:r>
      <w:r>
        <w:tab/>
        <w:t>General</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002BE93A" w14:textId="77777777" w:rsidR="00A10B25" w:rsidRDefault="00A10B25">
      <w:r>
        <w:rPr>
          <w:lang w:eastAsia="zh-CN"/>
        </w:rPr>
        <w:t xml:space="preserve">The Nnwdaf_EventsSubscription_Notify service operation is used by an NWDAF to notify NF consumers about subscribed events or by the </w:t>
      </w:r>
      <w:r>
        <w:rPr>
          <w:lang w:eastAsia="ko-KR"/>
        </w:rPr>
        <w:t>target NWDAF to notify the consumer of the successful analytics subscription transfer</w:t>
      </w:r>
      <w:r>
        <w:rPr>
          <w:lang w:eastAsia="zh-CN"/>
        </w:rPr>
        <w:t>.</w:t>
      </w:r>
    </w:p>
    <w:p w14:paraId="2F9EF41E" w14:textId="77777777" w:rsidR="00A10B25" w:rsidRDefault="00A10B25">
      <w:pPr>
        <w:pStyle w:val="5"/>
      </w:pPr>
      <w:bookmarkStart w:id="1066" w:name="_Toc101244305"/>
      <w:bookmarkStart w:id="1067" w:name="_Toc50031926"/>
      <w:bookmarkStart w:id="1068" w:name="_Toc66231749"/>
      <w:bookmarkStart w:id="1069" w:name="_Toc113031556"/>
      <w:bookmarkStart w:id="1070" w:name="_Toc83232993"/>
      <w:bookmarkStart w:id="1071" w:name="_Toc88667483"/>
      <w:bookmarkStart w:id="1072" w:name="_Toc136562242"/>
      <w:bookmarkStart w:id="1073" w:name="_Toc36102411"/>
      <w:bookmarkStart w:id="1074" w:name="_Toc70550556"/>
      <w:bookmarkStart w:id="1075" w:name="_Toc45133996"/>
      <w:bookmarkStart w:id="1076" w:name="_Toc98233529"/>
      <w:bookmarkStart w:id="1077" w:name="_Toc112951016"/>
      <w:bookmarkStart w:id="1078" w:name="_Toc148522467"/>
      <w:bookmarkStart w:id="1079" w:name="_Toc34266240"/>
      <w:bookmarkStart w:id="1080" w:name="_Toc104538894"/>
      <w:bookmarkStart w:id="1081" w:name="_Toc68168910"/>
      <w:bookmarkStart w:id="1082" w:name="_Toc43563453"/>
      <w:bookmarkStart w:id="1083" w:name="_Toc90655768"/>
      <w:bookmarkStart w:id="1084" w:name="_Toc120702195"/>
      <w:bookmarkStart w:id="1085" w:name="_Toc51762846"/>
      <w:bookmarkStart w:id="1086" w:name="_Toc114133695"/>
      <w:bookmarkStart w:id="1087" w:name="_Toc145705563"/>
      <w:bookmarkStart w:id="1088" w:name="_Toc28012770"/>
      <w:bookmarkStart w:id="1089" w:name="_Toc85552882"/>
      <w:bookmarkStart w:id="1090" w:name="_Toc85556981"/>
      <w:bookmarkStart w:id="1091" w:name="_Toc59017881"/>
      <w:bookmarkStart w:id="1092" w:name="_Toc138754076"/>
      <w:bookmarkStart w:id="1093" w:name="_Toc56640913"/>
      <w:bookmarkStart w:id="1094" w:name="_Toc94064149"/>
      <w:bookmarkStart w:id="1095" w:name="_Toc164920591"/>
      <w:bookmarkStart w:id="1096" w:name="_Toc170120133"/>
      <w:bookmarkStart w:id="1097" w:name="_Toc175858378"/>
      <w:bookmarkStart w:id="1098" w:name="_Toc175859451"/>
      <w:bookmarkStart w:id="1099" w:name="_Toc180605741"/>
      <w:bookmarkStart w:id="1100" w:name="_Toc185516995"/>
      <w:bookmarkStart w:id="1101" w:name="_Toc191576046"/>
      <w:bookmarkStart w:id="1102" w:name="_Toc191576786"/>
      <w:bookmarkStart w:id="1103" w:name="_Toc192879856"/>
      <w:bookmarkStart w:id="1104" w:name="_Toc195814739"/>
      <w:bookmarkStart w:id="1105" w:name="_Toc199452686"/>
      <w:r>
        <w:t>4.2.2.4.2</w:t>
      </w:r>
      <w:r>
        <w:tab/>
        <w:t>Notification about subscribed event</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007F686" w14:textId="77777777" w:rsidR="00A10B25" w:rsidRDefault="00A10B25">
      <w:pPr>
        <w:rPr>
          <w:rFonts w:eastAsia="等线"/>
        </w:rPr>
      </w:pPr>
      <w:r>
        <w:rPr>
          <w:rFonts w:eastAsia="等线"/>
        </w:rPr>
        <w:t>Figure 4.2.2.</w:t>
      </w:r>
      <w:r>
        <w:rPr>
          <w:rFonts w:eastAsia="等线"/>
          <w:lang w:eastAsia="zh-CN"/>
        </w:rPr>
        <w:t>4</w:t>
      </w:r>
      <w:r>
        <w:rPr>
          <w:rFonts w:eastAsia="等线"/>
        </w:rPr>
        <w:t>.2-1 shows a scenario where the N</w:t>
      </w:r>
      <w:r>
        <w:rPr>
          <w:rFonts w:eastAsia="等线"/>
          <w:lang w:val="en-US"/>
        </w:rPr>
        <w:t>WDAF</w:t>
      </w:r>
      <w:r>
        <w:rPr>
          <w:rFonts w:eastAsia="等线"/>
        </w:rPr>
        <w:t xml:space="preserve"> sends a request to the NF service consumer to notify</w:t>
      </w:r>
      <w:r>
        <w:rPr>
          <w:rFonts w:eastAsia="Batang"/>
        </w:rPr>
        <w:t xml:space="preserve"> </w:t>
      </w:r>
      <w:r>
        <w:rPr>
          <w:rFonts w:eastAsia="等线"/>
        </w:rPr>
        <w:t xml:space="preserve">for event notifications or notify for the </w:t>
      </w:r>
      <w:r>
        <w:rPr>
          <w:lang w:eastAsia="ko-KR"/>
        </w:rPr>
        <w:t>successful analytics subscription transfer</w:t>
      </w:r>
      <w:r>
        <w:rPr>
          <w:rFonts w:eastAsia="等线"/>
        </w:rPr>
        <w:t xml:space="preserve"> (see also 3GPP TS 23.</w:t>
      </w:r>
      <w:r>
        <w:rPr>
          <w:rFonts w:eastAsia="等线"/>
          <w:lang w:eastAsia="zh-CN"/>
        </w:rPr>
        <w:t>288</w:t>
      </w:r>
      <w:r>
        <w:rPr>
          <w:rFonts w:eastAsia="等线"/>
        </w:rPr>
        <w:t> [</w:t>
      </w:r>
      <w:r>
        <w:rPr>
          <w:rFonts w:eastAsia="等线"/>
          <w:lang w:eastAsia="zh-CN"/>
        </w:rPr>
        <w:t>17</w:t>
      </w:r>
      <w:r>
        <w:rPr>
          <w:rFonts w:eastAsia="等线"/>
        </w:rPr>
        <w:t>]).</w:t>
      </w:r>
    </w:p>
    <w:p w14:paraId="4C892974" w14:textId="30B85CCC" w:rsidR="00A10B25" w:rsidRDefault="00257874">
      <w:pPr>
        <w:pStyle w:val="TH"/>
        <w:rPr>
          <w:rFonts w:eastAsia="等线"/>
          <w:lang w:eastAsia="zh-CN"/>
        </w:rPr>
      </w:pPr>
      <w:r>
        <w:rPr>
          <w:noProof/>
          <w:lang w:val="en-US" w:eastAsia="zh-CN"/>
        </w:rPr>
        <w:drawing>
          <wp:inline distT="0" distB="0" distL="0" distR="0" wp14:anchorId="15C83723" wp14:editId="48C7B6B0">
            <wp:extent cx="6082665" cy="1693545"/>
            <wp:effectExtent l="0" t="0" r="0" b="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2665" cy="1693545"/>
                    </a:xfrm>
                    <a:prstGeom prst="rect">
                      <a:avLst/>
                    </a:prstGeom>
                    <a:noFill/>
                    <a:ln>
                      <a:noFill/>
                    </a:ln>
                  </pic:spPr>
                </pic:pic>
              </a:graphicData>
            </a:graphic>
          </wp:inline>
        </w:drawing>
      </w:r>
    </w:p>
    <w:p w14:paraId="45081884" w14:textId="77777777" w:rsidR="00A10B25" w:rsidRDefault="00A10B25">
      <w:pPr>
        <w:pStyle w:val="TF"/>
      </w:pPr>
      <w:r>
        <w:t>Figure 4.2.2.</w:t>
      </w:r>
      <w:r>
        <w:rPr>
          <w:rFonts w:hint="eastAsia"/>
          <w:lang w:eastAsia="zh-CN"/>
        </w:rPr>
        <w:t>4</w:t>
      </w:r>
      <w:r>
        <w:t>.2-1: NWDAF notifies the</w:t>
      </w:r>
      <w:r>
        <w:rPr>
          <w:rFonts w:eastAsia="Batang"/>
        </w:rPr>
        <w:t xml:space="preserve"> </w:t>
      </w:r>
      <w:r>
        <w:t>subscribed event</w:t>
      </w:r>
    </w:p>
    <w:p w14:paraId="62A14B1B" w14:textId="77777777" w:rsidR="00A10B25" w:rsidRDefault="00A10B25">
      <w:pPr>
        <w:rPr>
          <w:rFonts w:eastAsia="等线"/>
        </w:rPr>
      </w:pPr>
      <w:r>
        <w:rPr>
          <w:rFonts w:eastAsia="等线"/>
        </w:rPr>
        <w:t xml:space="preserve">The NWDAF shall invoke the Nnwdaf_EventsSubscription_Notify service operation to notify the subscribed event or </w:t>
      </w:r>
      <w:r>
        <w:rPr>
          <w:lang w:eastAsia="ko-KR"/>
        </w:rPr>
        <w:t>the successful analytics subscription transfer</w:t>
      </w:r>
      <w:r>
        <w:rPr>
          <w:rFonts w:eastAsia="等线"/>
        </w:rPr>
        <w:t>. The NWDAF shall send an HTTP POST request with "{notificationURI}" received in the Nnwdaf_EventsSubscription_Subscribe service operation as Resource URI, as shown in figure 4.2.2.4.2-1, step 1.</w:t>
      </w:r>
    </w:p>
    <w:p w14:paraId="60CB2BC4" w14:textId="77777777" w:rsidR="00A10B25" w:rsidRDefault="00A10B25">
      <w:pPr>
        <w:rPr>
          <w:rFonts w:eastAsia="等线"/>
        </w:rPr>
      </w:pPr>
      <w:r>
        <w:rPr>
          <w:rFonts w:eastAsia="等线"/>
          <w:lang w:eastAsia="zh-CN"/>
        </w:rPr>
        <w:t>If</w:t>
      </w:r>
      <w:r>
        <w:rPr>
          <w:rFonts w:eastAsia="等线"/>
        </w:rPr>
        <w:t xml:space="preserve"> </w:t>
      </w:r>
      <w:r>
        <w:rPr>
          <w:rFonts w:eastAsia="等线"/>
          <w:lang w:eastAsia="zh-CN"/>
        </w:rPr>
        <w:t>both</w:t>
      </w:r>
      <w:r>
        <w:rPr>
          <w:rFonts w:eastAsia="等线"/>
        </w:rPr>
        <w:t xml:space="preserve"> the repetition period ("repPeriod" or "repetitionPeriod") attribute and the "offsetPeriod" attribute are present in the subscription request for periodical notification, the NWDAF shall produce a notification in every repetition period seconds, including the statistics in the past offset period if the "offsetPeriod" attribute value is negative, or including the prediction for the future offset period if the "offsetPeriod" attribute value is positive.</w:t>
      </w:r>
    </w:p>
    <w:p w14:paraId="6D5AD9B0" w14:textId="77777777" w:rsidR="00A10B25" w:rsidRDefault="00A10B25">
      <w:pPr>
        <w:rPr>
          <w:rFonts w:eastAsia="等线"/>
        </w:rPr>
      </w:pPr>
      <w:r>
        <w:rPr>
          <w:rFonts w:eastAsia="等线"/>
        </w:rPr>
        <w:t>The NnwdafEventsSubscriptionNotification data structure provided in the request body shall include:</w:t>
      </w:r>
    </w:p>
    <w:p w14:paraId="515E2CD2" w14:textId="77777777" w:rsidR="00EF7075" w:rsidRDefault="00EF7075" w:rsidP="00EF7075">
      <w:pPr>
        <w:pStyle w:val="B1"/>
        <w:rPr>
          <w:lang w:val="en-US" w:eastAsia="zh-CN"/>
        </w:rPr>
      </w:pPr>
      <w:r>
        <w:t>-</w:t>
      </w:r>
      <w:r>
        <w:tab/>
        <w:t xml:space="preserve">If the notification is for notifying about </w:t>
      </w:r>
      <w:r>
        <w:rPr>
          <w:lang w:val="en-US"/>
        </w:rPr>
        <w:t>t</w:t>
      </w:r>
      <w:r>
        <w:t>he analytics information of subscribed events, a description of the notified event as "</w:t>
      </w:r>
      <w:r>
        <w:rPr>
          <w:lang w:val="en-US" w:eastAsia="zh-CN"/>
        </w:rPr>
        <w:t>eventNotifications" attribute that for each event shall include:</w:t>
      </w:r>
    </w:p>
    <w:p w14:paraId="24EA661B" w14:textId="77777777" w:rsidR="00A10B25" w:rsidRDefault="00A10B25">
      <w:pPr>
        <w:pStyle w:val="B2"/>
      </w:pPr>
      <w:r>
        <w:t>a)</w:t>
      </w:r>
      <w:r>
        <w:tab/>
        <w:t>an event identifier as "event" attribute;</w:t>
      </w:r>
    </w:p>
    <w:p w14:paraId="4F5BF046" w14:textId="77777777" w:rsidR="00A10B25" w:rsidRDefault="00A10B25">
      <w:pPr>
        <w:pStyle w:val="B2"/>
      </w:pPr>
      <w:r>
        <w:t>b)</w:t>
      </w:r>
      <w:r>
        <w:tab/>
        <w:t>network slice load level information in the "sliceLoadLevelInfo" attribute when subscribed event is "SLICE_LOAD_LEVEL";</w:t>
      </w:r>
    </w:p>
    <w:p w14:paraId="151D9ECD" w14:textId="77777777" w:rsidR="00A10B25" w:rsidRDefault="00A10B25">
      <w:pPr>
        <w:pStyle w:val="B2"/>
        <w:rPr>
          <w:lang w:val="en-US" w:eastAsia="zh-CN"/>
        </w:rPr>
      </w:pPr>
      <w:r>
        <w:rPr>
          <w:lang w:val="en-US" w:eastAsia="zh-CN"/>
        </w:rPr>
        <w:t>c)</w:t>
      </w:r>
      <w:r>
        <w:rPr>
          <w:lang w:val="en-US" w:eastAsia="zh-CN"/>
        </w:rPr>
        <w:tab/>
        <w:t xml:space="preserve">service experience information as "svcExps" attribute when subscribed event is "SERVICE_EXPERIENCE"; </w:t>
      </w:r>
    </w:p>
    <w:p w14:paraId="2C61CB22" w14:textId="77777777" w:rsidR="00A10B25" w:rsidRDefault="00A10B25">
      <w:pPr>
        <w:pStyle w:val="B2"/>
      </w:pPr>
      <w:r>
        <w:t>d)</w:t>
      </w:r>
      <w:r>
        <w:tab/>
        <w:t xml:space="preserve">UE mobility information in the "ueMobs" attribute when subscribed event is "UE_MOBILITY"; </w:t>
      </w:r>
    </w:p>
    <w:p w14:paraId="3EBA94B8" w14:textId="77777777" w:rsidR="00A10B25" w:rsidRDefault="00A10B25">
      <w:pPr>
        <w:pStyle w:val="B2"/>
      </w:pPr>
      <w:r>
        <w:lastRenderedPageBreak/>
        <w:t>e)</w:t>
      </w:r>
      <w:r>
        <w:tab/>
        <w:t xml:space="preserve">UE communication information in the "ueComms" attribute when subscribed event is </w:t>
      </w:r>
      <w:r w:rsidR="00AD5F95">
        <w:t>"UE_COMMUNICATION"</w:t>
      </w:r>
      <w:r>
        <w:t xml:space="preserve">; </w:t>
      </w:r>
    </w:p>
    <w:p w14:paraId="16E8279F" w14:textId="77777777" w:rsidR="00A10B25" w:rsidRDefault="00A10B25">
      <w:pPr>
        <w:pStyle w:val="B2"/>
      </w:pPr>
      <w:r>
        <w:t>f)</w:t>
      </w:r>
      <w:r>
        <w:tab/>
        <w:t>abnormal behaviour information in the "</w:t>
      </w:r>
      <w:r>
        <w:rPr>
          <w:rFonts w:hint="eastAsia"/>
        </w:rPr>
        <w:t>abnor</w:t>
      </w:r>
      <w:r>
        <w:t>Behavrs" attribute when subscribed event is "ABNORMAL_BEHAVIOUR";</w:t>
      </w:r>
    </w:p>
    <w:p w14:paraId="6344AAE5" w14:textId="77777777" w:rsidR="00A10B25" w:rsidRDefault="00A10B25">
      <w:pPr>
        <w:pStyle w:val="B2"/>
        <w:rPr>
          <w:lang w:val="en-US" w:eastAsia="zh-CN"/>
        </w:rPr>
      </w:pPr>
      <w:r>
        <w:rPr>
          <w:lang w:val="en-US" w:eastAsia="zh-CN"/>
        </w:rPr>
        <w:t>g)</w:t>
      </w:r>
      <w:r>
        <w:rPr>
          <w:lang w:val="en-US" w:eastAsia="zh-CN"/>
        </w:rPr>
        <w:tab/>
        <w:t>user data congestion information in the "userDataCongInfos" attribute when subscribed event is "USER_DATA_CONGESTION";</w:t>
      </w:r>
    </w:p>
    <w:p w14:paraId="5C5CEC81" w14:textId="77777777" w:rsidR="00A10B25" w:rsidRDefault="00A10B25">
      <w:pPr>
        <w:pStyle w:val="B2"/>
        <w:rPr>
          <w:lang w:val="en-US" w:eastAsia="zh-CN"/>
        </w:rPr>
      </w:pPr>
      <w:r>
        <w:rPr>
          <w:lang w:val="en-US" w:eastAsia="zh-CN"/>
        </w:rPr>
        <w:t>h)</w:t>
      </w:r>
      <w:r>
        <w:rPr>
          <w:lang w:val="en-US" w:eastAsia="zh-CN"/>
        </w:rPr>
        <w:tab/>
        <w:t xml:space="preserve">QoS sustainability information in the "qosSustainInfos" attribute when subscribed event is "QOS_SUSTAINABILITY"; </w:t>
      </w:r>
    </w:p>
    <w:p w14:paraId="73E9FE7B" w14:textId="77777777" w:rsidR="00A10B25" w:rsidRDefault="00A10B25">
      <w:pPr>
        <w:pStyle w:val="B2"/>
        <w:rPr>
          <w:lang w:val="en-US" w:eastAsia="zh-CN"/>
        </w:rPr>
      </w:pPr>
      <w:r>
        <w:rPr>
          <w:lang w:val="en-US" w:eastAsia="zh-CN"/>
        </w:rPr>
        <w:t>i)</w:t>
      </w:r>
      <w:r>
        <w:rPr>
          <w:lang w:val="en-US" w:eastAsia="zh-CN"/>
        </w:rPr>
        <w:tab/>
        <w:t>NF load information in "nfLoadLevelInfos" attribute when subscribed event is "NF_LOAD";</w:t>
      </w:r>
    </w:p>
    <w:p w14:paraId="72D4AAEB" w14:textId="77777777" w:rsidR="00A10B25" w:rsidRDefault="00A10B25">
      <w:pPr>
        <w:pStyle w:val="B2"/>
      </w:pPr>
      <w:r>
        <w:rPr>
          <w:lang w:val="en-US" w:eastAsia="zh-CN"/>
        </w:rPr>
        <w:t>j)</w:t>
      </w:r>
      <w:r>
        <w:rPr>
          <w:lang w:val="en-US" w:eastAsia="zh-CN"/>
        </w:rPr>
        <w:tab/>
      </w:r>
      <w:r>
        <w:t>network performance information in the "nwPerfs" attribute when subscribed event is "NETWORK_PERFORMANCE";</w:t>
      </w:r>
    </w:p>
    <w:p w14:paraId="63ADEB7C" w14:textId="77777777" w:rsidR="00A10B25" w:rsidRDefault="00A10B25">
      <w:pPr>
        <w:pStyle w:val="B2"/>
      </w:pPr>
      <w:r>
        <w:rPr>
          <w:lang w:val="en-US" w:eastAsia="zh-CN"/>
        </w:rPr>
        <w:t>k)</w:t>
      </w:r>
      <w:r>
        <w:rPr>
          <w:lang w:val="en-US" w:eastAsia="zh-CN"/>
        </w:rPr>
        <w:tab/>
        <w:t>Load level information for the network slice(s) and the optionally associated network slice instance(s) in "nsiLoadLevelInfos" attribute when subscribed event is "NSI_LOAD_LEVEL";</w:t>
      </w:r>
      <w:r>
        <w:t xml:space="preserve"> </w:t>
      </w:r>
    </w:p>
    <w:p w14:paraId="222FE677" w14:textId="77777777" w:rsidR="00A10B25" w:rsidRDefault="00A10B25">
      <w:pPr>
        <w:pStyle w:val="B2"/>
      </w:pPr>
      <w:r>
        <w:t>l)</w:t>
      </w:r>
      <w:r>
        <w:tab/>
        <w:t>Dispersion information in the "disperInfos" attribute when subscribed event is "DISPERSION";</w:t>
      </w:r>
    </w:p>
    <w:p w14:paraId="22A924B8" w14:textId="77777777" w:rsidR="00A10B25" w:rsidRDefault="00A10B25">
      <w:pPr>
        <w:pStyle w:val="B2"/>
      </w:pPr>
      <w:r>
        <w:t>m)</w:t>
      </w:r>
      <w:r>
        <w:tab/>
        <w:t>Redundant transmission experience information in the "redTransInfos" attribute when subscribed event is "RED_TRANS_EXP";</w:t>
      </w:r>
    </w:p>
    <w:p w14:paraId="4DF2773E" w14:textId="77777777" w:rsidR="00A10B25" w:rsidRDefault="00A10B25">
      <w:pPr>
        <w:pStyle w:val="B2"/>
      </w:pPr>
      <w:r>
        <w:t>n)</w:t>
      </w:r>
      <w:r>
        <w:tab/>
        <w:t>WLAN performance information in the "wlanInfos" attribute when subscribed event is "WLAN_PERFORMANCE";</w:t>
      </w:r>
    </w:p>
    <w:p w14:paraId="69D55B8A" w14:textId="77777777" w:rsidR="00A10B25" w:rsidRDefault="00A10B25">
      <w:pPr>
        <w:pStyle w:val="B2"/>
      </w:pPr>
      <w:r>
        <w:t>o)</w:t>
      </w:r>
      <w:r>
        <w:tab/>
        <w:t>DN performance information in the "</w:t>
      </w:r>
      <w:r>
        <w:rPr>
          <w:lang w:eastAsia="zh-CN"/>
        </w:rPr>
        <w:t>dnPerfInfos</w:t>
      </w:r>
      <w:r>
        <w:t>" attribute when subscribed event is "DN_PERFORMANCE";</w:t>
      </w:r>
    </w:p>
    <w:p w14:paraId="3925AB0E" w14:textId="77777777" w:rsidR="00A10B25" w:rsidRDefault="00A10B25">
      <w:pPr>
        <w:pStyle w:val="B2"/>
      </w:pPr>
      <w:r>
        <w:t>p)</w:t>
      </w:r>
      <w:r>
        <w:tab/>
        <w:t>SMCCE performance information in the "</w:t>
      </w:r>
      <w:r>
        <w:rPr>
          <w:rFonts w:hint="eastAsia"/>
          <w:lang w:eastAsia="ko-KR"/>
        </w:rPr>
        <w:t>smcc</w:t>
      </w:r>
      <w:r>
        <w:rPr>
          <w:lang w:eastAsia="ko-KR"/>
        </w:rPr>
        <w:t>Exps</w:t>
      </w:r>
      <w:r>
        <w:t>" attribute when subscribed event is "</w:t>
      </w:r>
      <w:r>
        <w:rPr>
          <w:rFonts w:hint="eastAsia"/>
          <w:lang w:eastAsia="zh-CN"/>
        </w:rPr>
        <w:t>S</w:t>
      </w:r>
      <w:r>
        <w:rPr>
          <w:lang w:eastAsia="zh-CN"/>
        </w:rPr>
        <w:t>M_</w:t>
      </w:r>
      <w:r>
        <w:t>CONGESTION";</w:t>
      </w:r>
    </w:p>
    <w:p w14:paraId="751FFD77" w14:textId="77777777" w:rsidR="00A10B25" w:rsidRDefault="00A10B25">
      <w:pPr>
        <w:pStyle w:val="B2"/>
      </w:pPr>
      <w:r>
        <w:t>q)</w:t>
      </w:r>
      <w:r>
        <w:tab/>
        <w:t xml:space="preserve">PFD Determination information for known application identifier(s) in the "pfdDetermInfos" attribute when subscribed event is "PFD_DETERMINATION"; </w:t>
      </w:r>
    </w:p>
    <w:p w14:paraId="674BC613" w14:textId="1468ACE9" w:rsidR="00A10B25" w:rsidRDefault="00A10B25">
      <w:pPr>
        <w:pStyle w:val="B2"/>
      </w:pPr>
      <w:r>
        <w:t>r</w:t>
      </w:r>
      <w:r w:rsidR="00F525B2">
        <w:t>)</w:t>
      </w:r>
      <w:r w:rsidR="00F525B2">
        <w:tab/>
      </w:r>
      <w:r>
        <w:tab/>
        <w:t>PDU Session traffic</w:t>
      </w:r>
      <w:r>
        <w:rPr>
          <w:lang w:val="en-US" w:eastAsia="zh-CN"/>
        </w:rPr>
        <w:t xml:space="preserve"> information</w:t>
      </w:r>
      <w:r>
        <w:t xml:space="preserve"> in the "pduSesTrafInfos" attribute when subscribed event is "PDU_SESSION_TRAFFIC";</w:t>
      </w:r>
    </w:p>
    <w:p w14:paraId="60FAACE1" w14:textId="77777777" w:rsidR="00A10B25" w:rsidRDefault="00A10B25">
      <w:pPr>
        <w:pStyle w:val="B2"/>
      </w:pPr>
      <w:r>
        <w:t>s)</w:t>
      </w:r>
      <w:r>
        <w:tab/>
        <w:t>E2E data volume transfer time in the "dataVlTrnsTmInfos" attribute when subscribed event is "</w:t>
      </w:r>
      <w:r>
        <w:rPr>
          <w:lang w:eastAsia="zh-CN"/>
        </w:rPr>
        <w:t>E2E_DATA_VOL_TRANS_TIME</w:t>
      </w:r>
      <w:r>
        <w:t>";</w:t>
      </w:r>
    </w:p>
    <w:p w14:paraId="0BC715BF" w14:textId="0EBE3480" w:rsidR="00143F25" w:rsidRDefault="00143F25" w:rsidP="00143F25">
      <w:pPr>
        <w:pStyle w:val="B2"/>
      </w:pPr>
      <w:r>
        <w:t>t</w:t>
      </w:r>
      <w:r w:rsidR="00F525B2">
        <w:t>)</w:t>
      </w:r>
      <w:r w:rsidR="00F525B2">
        <w:tab/>
      </w:r>
      <w:r>
        <w:tab/>
        <w:t>Movement Behaviour</w:t>
      </w:r>
      <w:r>
        <w:rPr>
          <w:lang w:val="en-US" w:eastAsia="ja-JP"/>
        </w:rPr>
        <w:t xml:space="preserve"> information</w:t>
      </w:r>
      <w:r>
        <w:t xml:space="preserve"> in the "movBehavInfos" attribute when subscribed event is "MOVEMENT_BEHAVIOUR";</w:t>
      </w:r>
    </w:p>
    <w:p w14:paraId="6F9A0A57" w14:textId="77777777" w:rsidR="00143F25" w:rsidRDefault="00143F25" w:rsidP="00143F25">
      <w:pPr>
        <w:pStyle w:val="B2"/>
      </w:pPr>
      <w:r>
        <w:rPr>
          <w:rFonts w:hint="eastAsia"/>
          <w:lang w:eastAsia="zh-CN"/>
        </w:rPr>
        <w:t>u</w:t>
      </w:r>
      <w:r>
        <w:t>)</w:t>
      </w:r>
      <w:r>
        <w:tab/>
        <w:t>Location Accuracy information in the "locAccInfos" attribute when the subscribed event is "LOC_ACCURACY";</w:t>
      </w:r>
    </w:p>
    <w:p w14:paraId="038B902A" w14:textId="7B528BB9" w:rsidR="00F525B2" w:rsidRDefault="00F525B2" w:rsidP="00F525B2">
      <w:pPr>
        <w:pStyle w:val="B2"/>
      </w:pPr>
      <w:r>
        <w:t>v)</w:t>
      </w:r>
      <w:r>
        <w:tab/>
      </w:r>
      <w:r>
        <w:tab/>
        <w:t>Relative Proximity</w:t>
      </w:r>
      <w:r>
        <w:rPr>
          <w:lang w:val="en-US" w:eastAsia="ja-JP"/>
        </w:rPr>
        <w:t xml:space="preserve"> information</w:t>
      </w:r>
      <w:r>
        <w:t xml:space="preserve"> in the " relProxInfos" attribute when subscribed event is "RELATIVE_PROXIMITY";</w:t>
      </w:r>
    </w:p>
    <w:p w14:paraId="1C2645BF" w14:textId="28C73D95" w:rsidR="00F525B2" w:rsidRDefault="00F525B2" w:rsidP="00F525B2">
      <w:pPr>
        <w:pStyle w:val="B2"/>
      </w:pPr>
      <w:r>
        <w:t>w)</w:t>
      </w:r>
      <w:r>
        <w:tab/>
        <w:t>signalling storm analytics information in the "signalStormInfos" attribute when subscribed event is "SIGNALLING_STORM"; and</w:t>
      </w:r>
    </w:p>
    <w:p w14:paraId="034E637E" w14:textId="77777777" w:rsidR="00F525B2" w:rsidRPr="001567E8" w:rsidRDefault="00F525B2" w:rsidP="00F525B2">
      <w:pPr>
        <w:pStyle w:val="B2"/>
      </w:pPr>
      <w:r>
        <w:t>x)</w:t>
      </w:r>
      <w:r>
        <w:tab/>
        <w:t>QoS and Policy Assistance information in the "qosPolAssistInfos" attribute when subscribed event is "QOS_POLICY_ASSIST".</w:t>
      </w:r>
    </w:p>
    <w:p w14:paraId="714B879A" w14:textId="77777777" w:rsidR="00A10B25" w:rsidRDefault="00A10B25">
      <w:pPr>
        <w:pStyle w:val="B2"/>
      </w:pPr>
      <w:r>
        <w:t xml:space="preserve">and may include: </w:t>
      </w:r>
    </w:p>
    <w:p w14:paraId="799E0CF0" w14:textId="77777777" w:rsidR="00A10B25" w:rsidRDefault="00A10B25">
      <w:pPr>
        <w:pStyle w:val="B2"/>
        <w:rPr>
          <w:lang w:val="en-US" w:eastAsia="zh-CN"/>
        </w:rPr>
      </w:pPr>
      <w:r>
        <w:rPr>
          <w:lang w:val="en-US" w:eastAsia="zh-CN"/>
        </w:rPr>
        <w:t>a)</w:t>
      </w:r>
      <w:r>
        <w:rPr>
          <w:lang w:val="en-US" w:eastAsia="zh-CN"/>
        </w:rPr>
        <w:tab/>
        <w:t xml:space="preserve">information about analytics metadata required for aggregation of the analytics in the "anaMetaInfo" attribute if the feature "Aggregation" is supported; </w:t>
      </w:r>
    </w:p>
    <w:p w14:paraId="3F635CFB" w14:textId="77777777" w:rsidR="00A10B25" w:rsidRDefault="00A10B25">
      <w:pPr>
        <w:pStyle w:val="B2"/>
        <w:rPr>
          <w:lang w:val="en-US" w:eastAsia="zh-CN"/>
        </w:rPr>
      </w:pPr>
      <w:r>
        <w:rPr>
          <w:lang w:val="en-US" w:eastAsia="zh-CN"/>
        </w:rPr>
        <w:t>b)</w:t>
      </w:r>
      <w:r>
        <w:rPr>
          <w:lang w:val="en-US" w:eastAsia="zh-CN"/>
        </w:rPr>
        <w:tab/>
      </w:r>
      <w:r>
        <w:t>the start time of which the analytics information will become valid</w:t>
      </w:r>
      <w:r>
        <w:rPr>
          <w:lang w:val="en-US" w:eastAsia="zh-CN"/>
        </w:rPr>
        <w:t xml:space="preserve"> in the "</w:t>
      </w:r>
      <w:r>
        <w:t>start</w:t>
      </w:r>
      <w:r>
        <w:rPr>
          <w:lang w:val="en-US" w:eastAsia="zh-CN"/>
        </w:rPr>
        <w:t>" attribute, if the "EneNA" feature is supported;</w:t>
      </w:r>
    </w:p>
    <w:p w14:paraId="61F2E485" w14:textId="77777777" w:rsidR="00A10B25" w:rsidRDefault="00A10B25">
      <w:pPr>
        <w:pStyle w:val="B2"/>
        <w:rPr>
          <w:lang w:val="en-US" w:eastAsia="zh-CN"/>
        </w:rPr>
      </w:pPr>
      <w:r>
        <w:rPr>
          <w:lang w:val="en-US" w:eastAsia="zh-CN"/>
        </w:rPr>
        <w:t>c)</w:t>
      </w:r>
      <w:r>
        <w:rPr>
          <w:lang w:val="en-US" w:eastAsia="zh-CN"/>
        </w:rPr>
        <w:tab/>
      </w:r>
      <w:r>
        <w:t>the expiration time after which the analytics information will become invalid</w:t>
      </w:r>
      <w:r>
        <w:rPr>
          <w:lang w:val="en-US" w:eastAsia="zh-CN"/>
        </w:rPr>
        <w:t xml:space="preserve"> in the "</w:t>
      </w:r>
      <w:r>
        <w:t>expiry</w:t>
      </w:r>
      <w:r>
        <w:rPr>
          <w:lang w:val="en-US" w:eastAsia="zh-CN"/>
        </w:rPr>
        <w:t>" attribute</w:t>
      </w:r>
      <w:r>
        <w:t>.</w:t>
      </w:r>
    </w:p>
    <w:p w14:paraId="3E35AC44" w14:textId="77777777" w:rsidR="00EF7075" w:rsidRDefault="00EF7075" w:rsidP="00EF7075">
      <w:pPr>
        <w:pStyle w:val="B1"/>
        <w:rPr>
          <w:lang w:val="en-US" w:eastAsia="zh-CN"/>
        </w:rPr>
      </w:pPr>
      <w:r>
        <w:t>-</w:t>
      </w:r>
      <w:r>
        <w:tab/>
        <w:t xml:space="preserve">If </w:t>
      </w:r>
      <w:r>
        <w:rPr>
          <w:lang w:val="en-US" w:eastAsia="zh-CN"/>
        </w:rPr>
        <w:t>the feature "</w:t>
      </w:r>
      <w:r>
        <w:rPr>
          <w:lang w:eastAsia="zh-CN"/>
        </w:rPr>
        <w:t>AnalyticsAccuracy</w:t>
      </w:r>
      <w:r>
        <w:rPr>
          <w:lang w:val="en-US" w:eastAsia="zh-CN"/>
        </w:rPr>
        <w:t>" is supported</w:t>
      </w:r>
      <w:r>
        <w:t xml:space="preserve"> and the notification is for notifying about </w:t>
      </w:r>
      <w:r>
        <w:rPr>
          <w:lang w:val="en-US"/>
        </w:rPr>
        <w:t>t</w:t>
      </w:r>
      <w:r>
        <w:t xml:space="preserve">he accuracy information of subscribed events (which requires that </w:t>
      </w:r>
      <w:r>
        <w:rPr>
          <w:lang w:val="en-US" w:eastAsia="zh-CN"/>
        </w:rPr>
        <w:t>the "accuReq" attribute was set to "true" in the subscription request</w:t>
      </w:r>
      <w:r>
        <w:t>), a description of the notified event as "</w:t>
      </w:r>
      <w:r>
        <w:rPr>
          <w:lang w:val="en-US" w:eastAsia="zh-CN"/>
        </w:rPr>
        <w:t>eventNotifications" attribute that for each event shall include:</w:t>
      </w:r>
    </w:p>
    <w:p w14:paraId="2C1E8066" w14:textId="77777777" w:rsidR="00EF7075" w:rsidRDefault="00EF7075" w:rsidP="00EF7075">
      <w:pPr>
        <w:pStyle w:val="B2"/>
      </w:pPr>
      <w:r>
        <w:t>a)</w:t>
      </w:r>
      <w:r>
        <w:tab/>
        <w:t>an event identifier as "event" attribute; and</w:t>
      </w:r>
    </w:p>
    <w:p w14:paraId="29309EC6" w14:textId="77777777" w:rsidR="00EF7075" w:rsidRDefault="00EF7075" w:rsidP="00EF7075">
      <w:pPr>
        <w:pStyle w:val="B2"/>
      </w:pPr>
      <w:r>
        <w:rPr>
          <w:lang w:val="en-US" w:eastAsia="zh-CN"/>
        </w:rPr>
        <w:t>b)</w:t>
      </w:r>
      <w:r>
        <w:rPr>
          <w:lang w:val="en-US" w:eastAsia="zh-CN"/>
        </w:rPr>
        <w:tab/>
      </w:r>
      <w:r>
        <w:t xml:space="preserve">the analytics accuracy information in </w:t>
      </w:r>
      <w:r>
        <w:rPr>
          <w:lang w:val="en-US" w:eastAsia="zh-CN"/>
        </w:rPr>
        <w:t>"</w:t>
      </w:r>
      <w:r>
        <w:rPr>
          <w:lang w:eastAsia="zh-CN"/>
        </w:rPr>
        <w:t>accuInfo</w:t>
      </w:r>
      <w:r>
        <w:rPr>
          <w:lang w:val="en-US" w:eastAsia="zh-CN"/>
        </w:rPr>
        <w:t>"</w:t>
      </w:r>
      <w:r>
        <w:t xml:space="preserve"> attribute,</w:t>
      </w:r>
      <w:r>
        <w:rPr>
          <w:lang w:val="en-US" w:eastAsia="zh-CN"/>
        </w:rPr>
        <w:t xml:space="preserve"> if </w:t>
      </w:r>
      <w:r>
        <w:t>the "cancelAccuInd" attribute is set to "false" or omitted;</w:t>
      </w:r>
    </w:p>
    <w:p w14:paraId="4947E3FA" w14:textId="77777777" w:rsidR="00EF7075" w:rsidRDefault="00EF7075" w:rsidP="00EF7075">
      <w:pPr>
        <w:pStyle w:val="B2"/>
      </w:pPr>
      <w:r>
        <w:t>and may include:</w:t>
      </w:r>
    </w:p>
    <w:p w14:paraId="6601C3B0" w14:textId="77777777" w:rsidR="00EF7075" w:rsidRDefault="00EF7075" w:rsidP="00EF7075">
      <w:pPr>
        <w:pStyle w:val="B2"/>
      </w:pPr>
      <w:r>
        <w:rPr>
          <w:lang w:val="en-US" w:eastAsia="zh-CN"/>
        </w:rPr>
        <w:t>c)</w:t>
      </w:r>
      <w:r>
        <w:rPr>
          <w:lang w:val="en-US" w:eastAsia="zh-CN"/>
        </w:rPr>
        <w:tab/>
        <w:t xml:space="preserve">an </w:t>
      </w:r>
      <w:r>
        <w:t>indication</w:t>
      </w:r>
      <w:r>
        <w:rPr>
          <w:lang w:eastAsia="zh-CN"/>
        </w:rPr>
        <w:t xml:space="preserve"> that the NWDAF cancelled subscription of analytics accuracy information</w:t>
      </w:r>
      <w:r>
        <w:t xml:space="preserve"> in </w:t>
      </w:r>
      <w:r>
        <w:rPr>
          <w:lang w:val="en-US" w:eastAsia="zh-CN"/>
        </w:rPr>
        <w:t>"</w:t>
      </w:r>
      <w:r>
        <w:rPr>
          <w:lang w:eastAsia="zh-CN"/>
        </w:rPr>
        <w:t>cancelAccuInd</w:t>
      </w:r>
      <w:r>
        <w:rPr>
          <w:lang w:val="en-US" w:eastAsia="zh-CN"/>
        </w:rPr>
        <w:t>"</w:t>
      </w:r>
      <w:r>
        <w:t xml:space="preserve"> attribute;</w:t>
      </w:r>
    </w:p>
    <w:p w14:paraId="6CBD16EB" w14:textId="77777777" w:rsidR="00EF7075" w:rsidRDefault="00EF7075" w:rsidP="00EF7075">
      <w:pPr>
        <w:pStyle w:val="B2"/>
      </w:pPr>
      <w:r>
        <w:rPr>
          <w:lang w:val="en-US" w:eastAsia="zh-CN"/>
        </w:rPr>
        <w:t>d)</w:t>
      </w:r>
      <w:r>
        <w:rPr>
          <w:lang w:val="en-US" w:eastAsia="zh-CN"/>
        </w:rPr>
        <w:tab/>
      </w:r>
      <w:r>
        <w:t xml:space="preserve">the pause analytics consumption indication in </w:t>
      </w:r>
      <w:r>
        <w:rPr>
          <w:lang w:val="en-US" w:eastAsia="zh-CN"/>
        </w:rPr>
        <w:t>"</w:t>
      </w:r>
      <w:r>
        <w:rPr>
          <w:lang w:eastAsia="zh-CN"/>
        </w:rPr>
        <w:t>pauseInd</w:t>
      </w:r>
      <w:r>
        <w:rPr>
          <w:lang w:val="en-US" w:eastAsia="zh-CN"/>
        </w:rPr>
        <w:t>"</w:t>
      </w:r>
      <w:r>
        <w:t xml:space="preserve"> attribute;</w:t>
      </w:r>
    </w:p>
    <w:p w14:paraId="2D25295D" w14:textId="77777777" w:rsidR="00EF7075" w:rsidRPr="005E0EF0" w:rsidRDefault="00EF7075" w:rsidP="00EF7075">
      <w:pPr>
        <w:pStyle w:val="B2"/>
      </w:pPr>
      <w:r>
        <w:rPr>
          <w:lang w:val="en-US" w:eastAsia="zh-CN"/>
        </w:rPr>
        <w:t>e)</w:t>
      </w:r>
      <w:r>
        <w:rPr>
          <w:lang w:val="en-US" w:eastAsia="zh-CN"/>
        </w:rPr>
        <w:tab/>
      </w:r>
      <w:r>
        <w:t xml:space="preserve">the resume analytics consumption indication in </w:t>
      </w:r>
      <w:r>
        <w:rPr>
          <w:lang w:val="en-US" w:eastAsia="zh-CN"/>
        </w:rPr>
        <w:t>"</w:t>
      </w:r>
      <w:r>
        <w:rPr>
          <w:lang w:eastAsia="zh-CN"/>
        </w:rPr>
        <w:t>resumeInd</w:t>
      </w:r>
      <w:r>
        <w:rPr>
          <w:lang w:val="en-US" w:eastAsia="zh-CN"/>
        </w:rPr>
        <w:t>"</w:t>
      </w:r>
      <w:r>
        <w:t xml:space="preserve"> attribute.</w:t>
      </w:r>
    </w:p>
    <w:p w14:paraId="05B08F28" w14:textId="77777777" w:rsidR="00A10B25" w:rsidRDefault="00A10B25">
      <w:pPr>
        <w:pStyle w:val="NO"/>
      </w:pPr>
      <w:r>
        <w:t>NOTE</w:t>
      </w:r>
      <w:r>
        <w:rPr>
          <w:lang w:val="en-US"/>
        </w:rPr>
        <w:t> 1</w:t>
      </w:r>
      <w:r>
        <w:t>:</w:t>
      </w:r>
      <w:r>
        <w:tab/>
        <w:t>In this version of the specification, the NWDAF containing AnLF can provide the accuracy information to a</w:t>
      </w:r>
      <w:r>
        <w:rPr>
          <w:lang w:val="en-US"/>
        </w:rPr>
        <w:t>n</w:t>
      </w:r>
      <w:r>
        <w:t xml:space="preserve"> NF consumer that </w:t>
      </w:r>
      <w:r>
        <w:rPr>
          <w:lang w:eastAsia="zh-CN"/>
        </w:rPr>
        <w:t>subscribe</w:t>
      </w:r>
      <w:r>
        <w:rPr>
          <w:lang w:val="en-US" w:eastAsia="zh-CN"/>
        </w:rPr>
        <w:t>s</w:t>
      </w:r>
      <w:r>
        <w:rPr>
          <w:lang w:eastAsia="zh-CN"/>
        </w:rPr>
        <w:t xml:space="preserve"> to</w:t>
      </w:r>
      <w:r>
        <w:rPr>
          <w:lang w:val="en-US" w:eastAsia="zh-CN"/>
        </w:rPr>
        <w:t xml:space="preserve"> </w:t>
      </w:r>
      <w:r>
        <w:t>the analytics.</w:t>
      </w:r>
    </w:p>
    <w:p w14:paraId="6170B81D" w14:textId="77777777" w:rsidR="00A10B25" w:rsidRDefault="00A10B25">
      <w:pPr>
        <w:pStyle w:val="NO"/>
      </w:pPr>
      <w:r>
        <w:lastRenderedPageBreak/>
        <w:t>NOTE</w:t>
      </w:r>
      <w:r>
        <w:rPr>
          <w:lang w:val="en-US"/>
        </w:rPr>
        <w:t> 2</w:t>
      </w:r>
      <w:r>
        <w:t>:</w:t>
      </w:r>
      <w:r>
        <w:tab/>
      </w:r>
      <w:r>
        <w:rPr>
          <w:lang w:val="en-US"/>
        </w:rPr>
        <w:t xml:space="preserve">When receiving </w:t>
      </w:r>
      <w:r>
        <w:rPr>
          <w:rFonts w:eastAsia="Times New Roman"/>
          <w:lang w:val="en-US" w:eastAsia="en-GB"/>
        </w:rPr>
        <w:t xml:space="preserve">a subscription from </w:t>
      </w:r>
      <w:r>
        <w:t>a</w:t>
      </w:r>
      <w:r>
        <w:rPr>
          <w:lang w:val="en-US"/>
        </w:rPr>
        <w:t>n</w:t>
      </w:r>
      <w:r>
        <w:t xml:space="preserve"> NF service consumer that includes the request for accuracy information</w:t>
      </w:r>
      <w:r>
        <w:rPr>
          <w:lang w:val="en-US"/>
        </w:rPr>
        <w:t>, t</w:t>
      </w:r>
      <w:r>
        <w:t>he analytics and</w:t>
      </w:r>
      <w:r>
        <w:rPr>
          <w:lang w:val="en-US"/>
        </w:rPr>
        <w:t>/or</w:t>
      </w:r>
      <w:r>
        <w:t xml:space="preserve"> the accuracy information</w:t>
      </w:r>
      <w:r>
        <w:rPr>
          <w:lang w:val="en-US"/>
        </w:rPr>
        <w:t xml:space="preserve"> can be provided by </w:t>
      </w:r>
      <w:r>
        <w:t>NWDAF containing AnLF</w:t>
      </w:r>
      <w:r>
        <w:rPr>
          <w:lang w:val="en-US"/>
        </w:rPr>
        <w:t xml:space="preserve"> in one notification or via different notifications</w:t>
      </w:r>
      <w:r>
        <w:t>.</w:t>
      </w:r>
    </w:p>
    <w:p w14:paraId="3C540E6C" w14:textId="77777777" w:rsidR="00A10B25" w:rsidRDefault="00A10B25">
      <w:pPr>
        <w:pStyle w:val="NO"/>
      </w:pPr>
      <w:r>
        <w:t>NOTE 3:</w:t>
      </w:r>
      <w:r>
        <w:tab/>
        <w:t>In this version of the specification, only subscribing or requesting accuracy information without requesting analytics is not supported.</w:t>
      </w:r>
    </w:p>
    <w:p w14:paraId="7FBA0F8F" w14:textId="77777777" w:rsidR="00A10B25" w:rsidRDefault="00A10B25">
      <w:pPr>
        <w:pStyle w:val="B1"/>
      </w:pPr>
      <w:r>
        <w:t>-</w:t>
      </w:r>
      <w:r>
        <w:tab/>
        <w:t xml:space="preserve">If the </w:t>
      </w:r>
      <w:r>
        <w:rPr>
          <w:lang w:val="en-US" w:eastAsia="zh-CN"/>
        </w:rPr>
        <w:t>"</w:t>
      </w:r>
      <w:r>
        <w:t>EneNA</w:t>
      </w:r>
      <w:r>
        <w:rPr>
          <w:lang w:val="en-US" w:eastAsia="zh-CN"/>
        </w:rPr>
        <w:t>"</w:t>
      </w:r>
      <w:r>
        <w:t xml:space="preserve"> feature is supported and </w:t>
      </w:r>
      <w:r>
        <w:rPr>
          <w:lang w:eastAsia="zh-CN"/>
        </w:rPr>
        <w:t>the target NWDAF notifies a</w:t>
      </w:r>
      <w:r>
        <w:rPr>
          <w:lang w:eastAsia="ko-KR"/>
        </w:rPr>
        <w:t xml:space="preserve"> successful analytics subscription transfer</w:t>
      </w:r>
      <w:r>
        <w:t xml:space="preserve">, the old subscription ID which had been allocated by the source NWDAF within the </w:t>
      </w:r>
      <w:r>
        <w:rPr>
          <w:lang w:val="en-US" w:eastAsia="zh-CN"/>
        </w:rPr>
        <w:t>"</w:t>
      </w:r>
      <w:r>
        <w:t>oldSubscriptionId</w:t>
      </w:r>
      <w:r>
        <w:rPr>
          <w:lang w:val="en-US" w:eastAsia="zh-CN"/>
        </w:rPr>
        <w:t>"</w:t>
      </w:r>
      <w:r>
        <w:t xml:space="preserve"> attribute and </w:t>
      </w:r>
      <w:r>
        <w:rPr>
          <w:lang w:val="en-US" w:eastAsia="zh-CN"/>
        </w:rPr>
        <w:t xml:space="preserve">the resource URI of the </w:t>
      </w:r>
      <w:r>
        <w:t xml:space="preserve">Individual NWDAF Event Subscription resource created by the target NWDAF within </w:t>
      </w:r>
      <w:r>
        <w:rPr>
          <w:lang w:val="en-US" w:eastAsia="zh-CN"/>
        </w:rPr>
        <w:t>"resourceUri"</w:t>
      </w:r>
      <w:r>
        <w:t xml:space="preserve"> attribute, and if the </w:t>
      </w:r>
      <w:r>
        <w:rPr>
          <w:lang w:val="en-US" w:eastAsia="zh-CN"/>
        </w:rPr>
        <w:t>"</w:t>
      </w:r>
      <w:r>
        <w:rPr>
          <w:lang w:eastAsia="zh-CN"/>
        </w:rPr>
        <w:t>PartialAnalyticsSubTransfer</w:t>
      </w:r>
      <w:r>
        <w:rPr>
          <w:lang w:val="en-US" w:eastAsia="zh-CN"/>
        </w:rPr>
        <w:t>"</w:t>
      </w:r>
      <w:r>
        <w:t xml:space="preserve"> feature is supported</w:t>
      </w:r>
      <w:r>
        <w:rPr>
          <w:rFonts w:eastAsia="等线"/>
        </w:rPr>
        <w:t xml:space="preserve"> and </w:t>
      </w:r>
      <w:r>
        <w:rPr>
          <w:lang w:eastAsia="zh-CN"/>
        </w:rPr>
        <w:t>not all the analytics events in the subscription transfer are accepted</w:t>
      </w:r>
      <w:r>
        <w:rPr>
          <w:rFonts w:eastAsia="等线"/>
        </w:rPr>
        <w:t xml:space="preserve">, </w:t>
      </w:r>
      <w:r>
        <w:rPr>
          <w:lang w:eastAsia="zh-CN"/>
        </w:rPr>
        <w:t xml:space="preserve">the successful transferred </w:t>
      </w:r>
      <w:r>
        <w:rPr>
          <w:lang w:eastAsia="ko-KR"/>
        </w:rPr>
        <w:t>subscription event(s)</w:t>
      </w:r>
      <w:r>
        <w:rPr>
          <w:rFonts w:eastAsia="等线"/>
        </w:rPr>
        <w:t xml:space="preserve"> within the </w:t>
      </w:r>
      <w:r>
        <w:t>"</w:t>
      </w:r>
      <w:r>
        <w:rPr>
          <w:lang w:eastAsia="zh-CN"/>
        </w:rPr>
        <w:t>transEvents</w:t>
      </w:r>
      <w:r>
        <w:t>"</w:t>
      </w:r>
      <w:r>
        <w:rPr>
          <w:rFonts w:eastAsia="等线"/>
        </w:rPr>
        <w:t xml:space="preserve"> </w:t>
      </w:r>
      <w:r>
        <w:t>attribute; and</w:t>
      </w:r>
    </w:p>
    <w:p w14:paraId="1FF3E859" w14:textId="77777777" w:rsidR="00A10B25" w:rsidRDefault="00A10B25">
      <w:pPr>
        <w:pStyle w:val="B1"/>
      </w:pPr>
      <w:r>
        <w:t>-</w:t>
      </w:r>
      <w:r>
        <w:tab/>
        <w:t>an event subscription Id as "subscriptionId" attribute;</w:t>
      </w:r>
    </w:p>
    <w:p w14:paraId="6B255A7F" w14:textId="77777777" w:rsidR="00A10B25" w:rsidRDefault="00A10B25">
      <w:pPr>
        <w:pStyle w:val="B1"/>
      </w:pPr>
      <w:r>
        <w:t>and may include:</w:t>
      </w:r>
    </w:p>
    <w:p w14:paraId="130DB4DF" w14:textId="77777777" w:rsidR="00A10B25" w:rsidRDefault="00A10B25">
      <w:pPr>
        <w:pStyle w:val="B1"/>
        <w:rPr>
          <w:rFonts w:eastAsia="等线"/>
        </w:rPr>
      </w:pPr>
      <w:r>
        <w:t>a)</w:t>
      </w:r>
      <w:r>
        <w:rPr>
          <w:lang w:val="en-US" w:eastAsia="zh-CN"/>
        </w:rPr>
        <w:t xml:space="preserve"> </w:t>
      </w:r>
      <w:r>
        <w:rPr>
          <w:lang w:val="en-US" w:eastAsia="zh-CN"/>
        </w:rPr>
        <w:tab/>
      </w:r>
      <w:r>
        <w:t>the notification correlation identifier in the "notifCorrId" attribute, if the "EneNA" feature is supported</w:t>
      </w:r>
      <w:r>
        <w:rPr>
          <w:lang w:eastAsia="zh-CN"/>
        </w:rPr>
        <w:t>.</w:t>
      </w:r>
    </w:p>
    <w:p w14:paraId="0FE096DF" w14:textId="77777777" w:rsidR="00A10B25" w:rsidRDefault="00A10B25">
      <w:pPr>
        <w:pStyle w:val="B1"/>
        <w:rPr>
          <w:rFonts w:eastAsia="等线"/>
        </w:rPr>
      </w:pPr>
      <w:r>
        <w:rPr>
          <w:lang w:eastAsia="zh-CN"/>
        </w:rPr>
        <w:t>b)</w:t>
      </w:r>
      <w:r>
        <w:rPr>
          <w:lang w:eastAsia="zh-CN"/>
        </w:rPr>
        <w:tab/>
        <w:t>a cause for termination in the "termCause" attribute, if the "TermRequest" feature is supported and the NWDAF wants to request the termination of this subscription, i.e. to indicate that it will send no further notifications for it.</w:t>
      </w:r>
    </w:p>
    <w:p w14:paraId="3608A3E8" w14:textId="77777777" w:rsidR="00A10B25" w:rsidRDefault="00A10B25">
      <w:pPr>
        <w:rPr>
          <w:lang w:val="en-US" w:eastAsia="zh-CN"/>
        </w:rPr>
      </w:pPr>
      <w:r>
        <w:rPr>
          <w:lang w:val="en-US" w:eastAsia="zh-CN"/>
        </w:rPr>
        <w:t xml:space="preserve">If the feature "EneNA" is supported and </w:t>
      </w:r>
      <w:r>
        <w:rPr>
          <w:rFonts w:eastAsia="等线"/>
        </w:rPr>
        <w:t xml:space="preserve">the </w:t>
      </w:r>
      <w:r>
        <w:t>time when analytics information is needed has been provided (via the "timeAnaNeeded" attribute within the "extraReportReq" attribute) during the subscription for an event (via the "e</w:t>
      </w:r>
      <w:r>
        <w:rPr>
          <w:rFonts w:hint="eastAsia"/>
        </w:rPr>
        <w:t>vent</w:t>
      </w:r>
      <w:r>
        <w:t>" attribute within the EventSubscription data type), if the time when analytics information is needed is reached but the subscribed analytics information is not ready, the consumer does not need to wait for the analytics information any longer. In this case, the NWDAF may send an HTTP POST request</w:t>
      </w:r>
      <w:r>
        <w:rPr>
          <w:rFonts w:eastAsia="等线"/>
        </w:rPr>
        <w:t xml:space="preserve"> as shown in step 1 of figure 4.2.2.4.2-1, </w:t>
      </w:r>
      <w:r>
        <w:t>which shall only provide</w:t>
      </w:r>
      <w:r>
        <w:rPr>
          <w:lang w:val="en-US" w:eastAsia="zh-CN"/>
        </w:rPr>
        <w:t xml:space="preserve"> (within the EventNotification data type in the </w:t>
      </w:r>
      <w:r>
        <w:rPr>
          <w:rFonts w:eastAsia="等线"/>
        </w:rPr>
        <w:t>NnwdafEventsSubscriptionNotification data type) an indication of the failure event v</w:t>
      </w:r>
      <w:r>
        <w:t>ia the "e</w:t>
      </w:r>
      <w:r>
        <w:rPr>
          <w:rFonts w:hint="eastAsia"/>
        </w:rPr>
        <w:t>vent</w:t>
      </w:r>
      <w:r>
        <w:t xml:space="preserve">" attribute and the corresponding failure reason via a "failNotifyCode" attribute, and </w:t>
      </w:r>
      <w:r>
        <w:rPr>
          <w:rFonts w:eastAsia="等线"/>
        </w:rPr>
        <w:t xml:space="preserve">may also </w:t>
      </w:r>
      <w:r>
        <w:t xml:space="preserve">provide a </w:t>
      </w:r>
      <w:r>
        <w:rPr>
          <w:lang w:eastAsia="ko-KR"/>
        </w:rPr>
        <w:t xml:space="preserve">minimum time interval recommended by the NWDAF </w:t>
      </w:r>
      <w:r>
        <w:rPr>
          <w:rFonts w:eastAsia="等线"/>
        </w:rPr>
        <w:t xml:space="preserve">for the event </w:t>
      </w:r>
      <w:r>
        <w:rPr>
          <w:lang w:eastAsia="ko-KR"/>
        </w:rPr>
        <w:t>via</w:t>
      </w:r>
      <w:r>
        <w:rPr>
          <w:rFonts w:eastAsia="等线"/>
        </w:rPr>
        <w:t xml:space="preserve"> a "rvWaitTime" attribute which will be</w:t>
      </w:r>
      <w:r>
        <w:rPr>
          <w:lang w:eastAsia="ko-KR"/>
        </w:rPr>
        <w:t xml:space="preserve"> used by the NF service consumer to determine the time when analytics information is needed</w:t>
      </w:r>
      <w:r>
        <w:t xml:space="preserve"> in similar future analytics subscriptions</w:t>
      </w:r>
      <w:r>
        <w:rPr>
          <w:rFonts w:eastAsia="等线"/>
        </w:rPr>
        <w:t>.</w:t>
      </w:r>
    </w:p>
    <w:p w14:paraId="0484CC48" w14:textId="77777777" w:rsidR="00A10B25" w:rsidRDefault="00A10B25">
      <w:pPr>
        <w:rPr>
          <w:rFonts w:eastAsia="等线"/>
        </w:rPr>
      </w:pPr>
      <w:r>
        <w:rPr>
          <w:rFonts w:eastAsia="等线"/>
        </w:rPr>
        <w:t xml:space="preserve">Upon the reception of an HTTP POST request with: "{notificationURI}" as Resource URI and NnwdafEventsSubscriptionNotification data structure as request body, if the NF service consumer successfully processed and accepted the received HTTP POST request, the NF service consumer shall: </w:t>
      </w:r>
    </w:p>
    <w:p w14:paraId="759DA731" w14:textId="77777777" w:rsidR="00A10B25" w:rsidRDefault="00A10B25">
      <w:pPr>
        <w:pStyle w:val="B1"/>
      </w:pPr>
      <w:r>
        <w:t>-</w:t>
      </w:r>
      <w:r>
        <w:tab/>
        <w:t>store the notification; and</w:t>
      </w:r>
    </w:p>
    <w:p w14:paraId="3C23F61E" w14:textId="77777777" w:rsidR="00A10B25" w:rsidRDefault="00A10B25">
      <w:pPr>
        <w:pStyle w:val="B1"/>
      </w:pPr>
      <w:r>
        <w:t>-</w:t>
      </w:r>
      <w:r>
        <w:tab/>
        <w:t>respond with HTTP "204 No Content" status code.</w:t>
      </w:r>
    </w:p>
    <w:p w14:paraId="4AA5A55B" w14:textId="77777777" w:rsidR="00A10B25" w:rsidRDefault="00A10B25">
      <w:pPr>
        <w:rPr>
          <w:rFonts w:eastAsia="等线"/>
        </w:rPr>
      </w:pPr>
      <w:r>
        <w:rPr>
          <w:rFonts w:eastAsia="等线"/>
        </w:rPr>
        <w:t>If errors occur when processing the HTTP POST request, the NF service consumer shall send an HTTP error response as specified in clause 5.1.7.</w:t>
      </w:r>
    </w:p>
    <w:p w14:paraId="4FC56056" w14:textId="77777777" w:rsidR="00A10B25" w:rsidRDefault="00A10B25">
      <w:r>
        <w:t xml:space="preserve">If the feature "ES3XX" is supported, and the </w:t>
      </w:r>
      <w:r>
        <w:rPr>
          <w:rFonts w:eastAsia="等线"/>
        </w:rPr>
        <w:t>NF service consumer</w:t>
      </w:r>
      <w:r>
        <w:t xml:space="preserve"> determines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620D99A2" w14:textId="77777777" w:rsidR="00A10B25" w:rsidRDefault="00A10B25">
      <w:pPr>
        <w:pStyle w:val="4"/>
      </w:pPr>
      <w:bookmarkStart w:id="1106" w:name="_Toc85556982"/>
      <w:bookmarkStart w:id="1107" w:name="_Toc112951017"/>
      <w:bookmarkStart w:id="1108" w:name="_Toc113031557"/>
      <w:bookmarkStart w:id="1109" w:name="_Toc88667484"/>
      <w:bookmarkStart w:id="1110" w:name="_Toc101244306"/>
      <w:bookmarkStart w:id="1111" w:name="_Toc114133696"/>
      <w:bookmarkStart w:id="1112" w:name="_Toc136562243"/>
      <w:bookmarkStart w:id="1113" w:name="_Toc104538895"/>
      <w:bookmarkStart w:id="1114" w:name="_Toc94064150"/>
      <w:bookmarkStart w:id="1115" w:name="_Toc73564359"/>
      <w:bookmarkStart w:id="1116" w:name="_Toc90655769"/>
      <w:bookmarkStart w:id="1117" w:name="_Toc85552883"/>
      <w:bookmarkStart w:id="1118" w:name="_Toc98233530"/>
      <w:bookmarkStart w:id="1119" w:name="_Toc120702196"/>
      <w:bookmarkStart w:id="1120" w:name="_Toc138754077"/>
      <w:bookmarkStart w:id="1121" w:name="_Toc145705564"/>
      <w:bookmarkStart w:id="1122" w:name="_Toc45133997"/>
      <w:bookmarkStart w:id="1123" w:name="_Toc59017882"/>
      <w:bookmarkStart w:id="1124" w:name="_Toc28012771"/>
      <w:bookmarkStart w:id="1125" w:name="_Toc56640914"/>
      <w:bookmarkStart w:id="1126" w:name="_Toc68168911"/>
      <w:bookmarkStart w:id="1127" w:name="_Toc148522468"/>
      <w:bookmarkStart w:id="1128" w:name="_Toc43563454"/>
      <w:bookmarkStart w:id="1129" w:name="_Toc50031927"/>
      <w:bookmarkStart w:id="1130" w:name="_Toc34266241"/>
      <w:bookmarkStart w:id="1131" w:name="_Toc51762847"/>
      <w:bookmarkStart w:id="1132" w:name="_Toc70550557"/>
      <w:bookmarkStart w:id="1133" w:name="_Toc36102412"/>
      <w:bookmarkStart w:id="1134" w:name="_Toc66231750"/>
      <w:bookmarkStart w:id="1135" w:name="_Toc83232994"/>
      <w:bookmarkStart w:id="1136" w:name="_Toc164920592"/>
      <w:bookmarkStart w:id="1137" w:name="_Toc170120134"/>
      <w:bookmarkStart w:id="1138" w:name="_Toc175858379"/>
      <w:bookmarkStart w:id="1139" w:name="_Toc175859452"/>
      <w:bookmarkStart w:id="1140" w:name="_Toc180605742"/>
      <w:bookmarkStart w:id="1141" w:name="_Toc185516996"/>
      <w:bookmarkStart w:id="1142" w:name="_Toc191576047"/>
      <w:bookmarkStart w:id="1143" w:name="_Toc191576787"/>
      <w:bookmarkStart w:id="1144" w:name="_Toc192879857"/>
      <w:bookmarkStart w:id="1145" w:name="_Toc195814740"/>
      <w:bookmarkStart w:id="1146" w:name="_Toc199452687"/>
      <w:r>
        <w:t>4.2.2.5</w:t>
      </w:r>
      <w:r>
        <w:tab/>
        <w:t>Nnwdaf_EventsSubscription_Transfer service operation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7"/>
      <w:bookmarkEnd w:id="1136"/>
      <w:bookmarkEnd w:id="1137"/>
      <w:bookmarkEnd w:id="1138"/>
      <w:bookmarkEnd w:id="1139"/>
      <w:bookmarkEnd w:id="1140"/>
      <w:bookmarkEnd w:id="1141"/>
      <w:bookmarkEnd w:id="1142"/>
      <w:bookmarkEnd w:id="1143"/>
      <w:bookmarkEnd w:id="1144"/>
      <w:bookmarkEnd w:id="1145"/>
      <w:bookmarkEnd w:id="1146"/>
    </w:p>
    <w:p w14:paraId="3ECBC640" w14:textId="77777777" w:rsidR="00A10B25" w:rsidRDefault="00A10B25">
      <w:pPr>
        <w:pStyle w:val="5"/>
      </w:pPr>
      <w:bookmarkStart w:id="1147" w:name="_Toc90655770"/>
      <w:bookmarkStart w:id="1148" w:name="_Toc85552884"/>
      <w:bookmarkStart w:id="1149" w:name="_Toc114133697"/>
      <w:bookmarkStart w:id="1150" w:name="_Toc85556983"/>
      <w:bookmarkStart w:id="1151" w:name="_Toc113031558"/>
      <w:bookmarkStart w:id="1152" w:name="_Toc98233531"/>
      <w:bookmarkStart w:id="1153" w:name="_Toc138754078"/>
      <w:bookmarkStart w:id="1154" w:name="_Toc120702197"/>
      <w:bookmarkStart w:id="1155" w:name="_Toc104538896"/>
      <w:bookmarkStart w:id="1156" w:name="_Toc112951018"/>
      <w:bookmarkStart w:id="1157" w:name="_Toc94064151"/>
      <w:bookmarkStart w:id="1158" w:name="_Toc101244307"/>
      <w:bookmarkStart w:id="1159" w:name="_Toc136562244"/>
      <w:bookmarkStart w:id="1160" w:name="_Toc73564360"/>
      <w:bookmarkStart w:id="1161" w:name="_Toc88667485"/>
      <w:bookmarkStart w:id="1162" w:name="_Toc145705565"/>
      <w:bookmarkStart w:id="1163" w:name="_Toc148522469"/>
      <w:bookmarkStart w:id="1164" w:name="_Toc164920593"/>
      <w:bookmarkStart w:id="1165" w:name="_Toc170120135"/>
      <w:bookmarkStart w:id="1166" w:name="_Toc175858380"/>
      <w:bookmarkStart w:id="1167" w:name="_Toc175859453"/>
      <w:bookmarkStart w:id="1168" w:name="_Toc180605743"/>
      <w:bookmarkStart w:id="1169" w:name="_Toc185516997"/>
      <w:bookmarkStart w:id="1170" w:name="_Toc191576048"/>
      <w:bookmarkStart w:id="1171" w:name="_Toc191576788"/>
      <w:bookmarkStart w:id="1172" w:name="_Toc192879858"/>
      <w:bookmarkStart w:id="1173" w:name="_Toc195814741"/>
      <w:bookmarkStart w:id="1174" w:name="_Toc199452688"/>
      <w:r>
        <w:t>4.2.2.5.1</w:t>
      </w:r>
      <w:r>
        <w:tab/>
        <w:t>General</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A815C65" w14:textId="77777777" w:rsidR="00A10B25" w:rsidRDefault="00A10B25">
      <w:pPr>
        <w:rPr>
          <w:lang w:eastAsia="zh-CN"/>
        </w:rPr>
      </w:pPr>
      <w:r>
        <w:rPr>
          <w:lang w:eastAsia="zh-CN"/>
        </w:rPr>
        <w:t xml:space="preserve">The Nnwdaf_EventsSubscription_Transfer service operation is used by an NWDAF instance to </w:t>
      </w:r>
      <w:r>
        <w:t>request the transfer of analytics subscription(s) to another NWDAF instance</w:t>
      </w:r>
      <w:r>
        <w:rPr>
          <w:lang w:eastAsia="zh-CN"/>
        </w:rPr>
        <w:t>.</w:t>
      </w:r>
      <w:r>
        <w:t xml:space="preserve"> </w:t>
      </w:r>
      <w:r>
        <w:rPr>
          <w:lang w:eastAsia="zh-CN"/>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3FC24BAF" w14:textId="77777777" w:rsidR="00A10B25" w:rsidRDefault="00A10B25">
      <w:pPr>
        <w:pStyle w:val="NO"/>
        <w:rPr>
          <w:lang w:eastAsia="ko-KR"/>
        </w:rPr>
      </w:pPr>
      <w:bookmarkStart w:id="1175" w:name="_Hlk86704458"/>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of the consumer is available.</w:t>
      </w:r>
    </w:p>
    <w:bookmarkEnd w:id="1175"/>
    <w:p w14:paraId="1BDE4CDF" w14:textId="77777777" w:rsidR="00A10B25" w:rsidRDefault="00A10B25">
      <w:pPr>
        <w:pStyle w:val="NO"/>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w:t>
      </w:r>
    </w:p>
    <w:p w14:paraId="3A37C7C0" w14:textId="77777777" w:rsidR="00A10B25" w:rsidRDefault="00A10B25">
      <w:pPr>
        <w:pStyle w:val="5"/>
      </w:pPr>
      <w:bookmarkStart w:id="1176" w:name="_Toc104538897"/>
      <w:bookmarkStart w:id="1177" w:name="_Toc138754079"/>
      <w:bookmarkStart w:id="1178" w:name="_Toc148522470"/>
      <w:bookmarkStart w:id="1179" w:name="_Toc90655771"/>
      <w:bookmarkStart w:id="1180" w:name="_Toc101244308"/>
      <w:bookmarkStart w:id="1181" w:name="_Toc94064152"/>
      <w:bookmarkStart w:id="1182" w:name="_Toc145705566"/>
      <w:bookmarkStart w:id="1183" w:name="_Toc85556984"/>
      <w:bookmarkStart w:id="1184" w:name="_Toc136562245"/>
      <w:bookmarkStart w:id="1185" w:name="_Toc88667486"/>
      <w:bookmarkStart w:id="1186" w:name="_Toc98233532"/>
      <w:bookmarkStart w:id="1187" w:name="_Toc120702198"/>
      <w:bookmarkStart w:id="1188" w:name="_Toc112951019"/>
      <w:bookmarkStart w:id="1189" w:name="_Toc113031559"/>
      <w:bookmarkStart w:id="1190" w:name="_Toc85552885"/>
      <w:bookmarkStart w:id="1191" w:name="_Toc73564361"/>
      <w:bookmarkStart w:id="1192" w:name="_Toc114133698"/>
      <w:bookmarkStart w:id="1193" w:name="_Toc164920594"/>
      <w:bookmarkStart w:id="1194" w:name="_Toc170120136"/>
      <w:bookmarkStart w:id="1195" w:name="_Toc175858381"/>
      <w:bookmarkStart w:id="1196" w:name="_Toc175859454"/>
      <w:bookmarkStart w:id="1197" w:name="_Toc180605744"/>
      <w:bookmarkStart w:id="1198" w:name="_Toc185516998"/>
      <w:bookmarkStart w:id="1199" w:name="_Toc191576049"/>
      <w:bookmarkStart w:id="1200" w:name="_Toc191576789"/>
      <w:bookmarkStart w:id="1201" w:name="_Toc192879859"/>
      <w:bookmarkStart w:id="1202" w:name="_Toc195814742"/>
      <w:bookmarkStart w:id="1203" w:name="_Toc199452689"/>
      <w:r>
        <w:lastRenderedPageBreak/>
        <w:t>4.2.2.5.2</w:t>
      </w:r>
      <w:r>
        <w:tab/>
      </w:r>
      <w:bookmarkEnd w:id="1191"/>
      <w:r>
        <w:t>Creation of request for analytics subscription transfer</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2"/>
      <w:bookmarkEnd w:id="1193"/>
      <w:bookmarkEnd w:id="1194"/>
      <w:bookmarkEnd w:id="1195"/>
      <w:bookmarkEnd w:id="1196"/>
      <w:bookmarkEnd w:id="1197"/>
      <w:bookmarkEnd w:id="1198"/>
      <w:bookmarkEnd w:id="1199"/>
      <w:bookmarkEnd w:id="1200"/>
      <w:bookmarkEnd w:id="1201"/>
      <w:bookmarkEnd w:id="1202"/>
      <w:bookmarkEnd w:id="1203"/>
    </w:p>
    <w:p w14:paraId="08F6E832" w14:textId="77777777" w:rsidR="00A10B25" w:rsidRDefault="00A10B25">
      <w:pPr>
        <w:rPr>
          <w:rFonts w:eastAsia="等线"/>
        </w:rPr>
      </w:pPr>
      <w:r>
        <w:rPr>
          <w:rFonts w:eastAsia="等线"/>
        </w:rPr>
        <w:t xml:space="preserve">Figure 4.2.2.5.2-1 shows a scenario where the NF Service Consumer (e.g. NWDAF) sends a request to the NWDAF to request the </w:t>
      </w:r>
      <w:r>
        <w:rPr>
          <w:lang w:eastAsia="zh-CN"/>
        </w:rPr>
        <w:t>transfer of analytics subscription(s) from the NF Service Consumer to the NF Service Producer</w:t>
      </w:r>
      <w:r>
        <w:rPr>
          <w:rFonts w:eastAsia="等线"/>
        </w:rPr>
        <w:t xml:space="preserve">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033678AB" w14:textId="77777777" w:rsidR="00A10B25" w:rsidRDefault="00A10B25">
      <w:pPr>
        <w:pStyle w:val="TH"/>
        <w:rPr>
          <w:rFonts w:eastAsia="等线"/>
          <w:lang w:eastAsia="zh-CN"/>
        </w:rPr>
      </w:pPr>
      <w:r>
        <w:rPr>
          <w:lang w:val="en-US" w:eastAsia="zh-CN"/>
        </w:rPr>
        <w:object w:dxaOrig="8723" w:dyaOrig="2916" w14:anchorId="21E31EAA">
          <v:shape id="Object 9" o:spid="_x0000_i1035" type="#_x0000_t75" style="width:478.95pt;height:160.3pt;mso-position-horizontal-relative:page;mso-position-vertical-relative:page" o:ole="">
            <v:imagedata r:id="rId20" o:title=""/>
          </v:shape>
          <o:OLEObject Type="Embed" ProgID="Visio.Drawing.11" ShapeID="Object 9" DrawAspect="Content" ObjectID="_1810065987" r:id="rId21"/>
        </w:object>
      </w:r>
    </w:p>
    <w:p w14:paraId="5BBFFBEE" w14:textId="77777777" w:rsidR="00A10B25" w:rsidRDefault="00A10B25">
      <w:pPr>
        <w:pStyle w:val="TF"/>
      </w:pPr>
      <w:r>
        <w:t>Figure 4.2.2.5.2-1: NF service consumer requests an analytics subscription transfer</w:t>
      </w:r>
    </w:p>
    <w:p w14:paraId="6F30C210" w14:textId="77777777" w:rsidR="00A10B25" w:rsidRDefault="00A10B25">
      <w:pPr>
        <w:rPr>
          <w:rFonts w:eastAsia="等线"/>
        </w:rPr>
      </w:pPr>
      <w:r>
        <w:rPr>
          <w:rFonts w:eastAsia="等线"/>
        </w:rPr>
        <w:t xml:space="preserve">The NF service consumer shall invoke the Nnwdaf_EventsSubscription_Transfer service operation to request the transfer of analytics subscription(s). The NF </w:t>
      </w:r>
      <w:r>
        <w:t>service</w:t>
      </w:r>
      <w:r>
        <w:rPr>
          <w:rFonts w:eastAsia="等线"/>
        </w:rPr>
        <w:t xml:space="preserve"> consumer </w:t>
      </w:r>
      <w:r>
        <w:rPr>
          <w:rFonts w:eastAsia="等线"/>
          <w:lang w:val="en-US"/>
        </w:rPr>
        <w:t xml:space="preserve">shall </w:t>
      </w:r>
      <w:r>
        <w:rPr>
          <w:rFonts w:eastAsia="等线"/>
        </w:rPr>
        <w:t xml:space="preserve">send an HTTP POST request with "{apiRoot}/nnwdaf-eventssubscription/&lt;apiVersion&gt;/transfers" as Resource URI representing the "NWDAF Event Subscription Transfers", as shown in figure 4.2.2.5.2-1, step 1, to create a request for an "Individual NWDAF Event Subscription Transfer" according to the information in the message body. The AnalyticsSubscriptionsTransfer data structure provided in the request body shall include: </w:t>
      </w:r>
    </w:p>
    <w:p w14:paraId="3C91C02C" w14:textId="77777777" w:rsidR="00A10B25" w:rsidRDefault="00A10B25">
      <w:pPr>
        <w:pStyle w:val="B1"/>
        <w:rPr>
          <w:lang w:val="en-US" w:eastAsia="zh-CN"/>
        </w:rPr>
      </w:pPr>
      <w:r>
        <w:t>-</w:t>
      </w:r>
      <w:r>
        <w:tab/>
        <w:t>information about the subscription(s) transfer request as "subsTransInfos</w:t>
      </w:r>
      <w:r>
        <w:rPr>
          <w:lang w:val="en-US" w:eastAsia="zh-CN"/>
        </w:rPr>
        <w:t xml:space="preserve">" attribute, which, for each subscription </w:t>
      </w:r>
      <w:r>
        <w:t>that is requested to be transferred,</w:t>
      </w:r>
      <w:r>
        <w:rPr>
          <w:lang w:val="en-US" w:eastAsia="zh-CN"/>
        </w:rPr>
        <w:t xml:space="preserve"> shall include:</w:t>
      </w:r>
    </w:p>
    <w:p w14:paraId="3E86223D" w14:textId="77777777" w:rsidR="00A10B25" w:rsidRDefault="00A10B25">
      <w:pPr>
        <w:pStyle w:val="B2"/>
      </w:pPr>
      <w:r>
        <w:t>a)</w:t>
      </w:r>
      <w:r>
        <w:tab/>
        <w:t>the type of the transfer request (i.e. if it is a request for transfer preparation or transfer execution) in the "transReqType" attribute;</w:t>
      </w:r>
    </w:p>
    <w:p w14:paraId="3ADC5839" w14:textId="77777777" w:rsidR="00A10B25" w:rsidRDefault="00A10B25">
      <w:pPr>
        <w:pStyle w:val="B2"/>
      </w:pPr>
      <w:r>
        <w:t>b)</w:t>
      </w:r>
      <w:r>
        <w:tab/>
        <w:t xml:space="preserve">information about the analytics subscription in the "nwdafEvSub" attribute, its contents being as defined for the </w:t>
      </w:r>
      <w:r>
        <w:rPr>
          <w:rFonts w:eastAsia="等线"/>
        </w:rPr>
        <w:t xml:space="preserve">NnwdafEventsSubscription data structure </w:t>
      </w:r>
      <w:r>
        <w:t>in clause 4.2.2.2.2; and</w:t>
      </w:r>
    </w:p>
    <w:p w14:paraId="32316949" w14:textId="77777777" w:rsidR="00A10B25" w:rsidRDefault="00A10B25">
      <w:pPr>
        <w:pStyle w:val="B2"/>
        <w:rPr>
          <w:lang w:val="en-US" w:eastAsia="zh-CN"/>
        </w:rPr>
      </w:pPr>
      <w:r>
        <w:rPr>
          <w:lang w:val="en-US" w:eastAsia="zh-CN"/>
        </w:rPr>
        <w:t>c)</w:t>
      </w:r>
      <w:r>
        <w:rPr>
          <w:lang w:val="en-US" w:eastAsia="zh-CN"/>
        </w:rPr>
        <w:tab/>
        <w:t xml:space="preserve">the NF instance identifer of the consumer of the analytics subscription in the "consumerId" attribute; </w:t>
      </w:r>
    </w:p>
    <w:p w14:paraId="2CA0E28C" w14:textId="77777777" w:rsidR="00A10B25" w:rsidRDefault="00A10B25">
      <w:pPr>
        <w:pStyle w:val="B2"/>
        <w:rPr>
          <w:lang w:val="en-US" w:eastAsia="zh-CN"/>
        </w:rPr>
      </w:pPr>
      <w:r>
        <w:rPr>
          <w:lang w:val="en-US" w:eastAsia="zh-CN"/>
        </w:rPr>
        <w:t>and may include:</w:t>
      </w:r>
    </w:p>
    <w:p w14:paraId="331FE436" w14:textId="77777777" w:rsidR="00A10B25" w:rsidRDefault="00A10B25">
      <w:pPr>
        <w:pStyle w:val="B2"/>
      </w:pPr>
      <w:r>
        <w:t>a)</w:t>
      </w:r>
      <w:r>
        <w:tab/>
      </w:r>
      <w:r>
        <w:rPr>
          <w:lang w:eastAsia="zh-CN"/>
        </w:rPr>
        <w:t xml:space="preserve">analytics context identifier information about the context that is available at the NF service consumer in the </w:t>
      </w:r>
      <w:r>
        <w:rPr>
          <w:lang w:val="en-US" w:eastAsia="zh-CN"/>
        </w:rPr>
        <w:t>"contextId" attribute</w:t>
      </w:r>
      <w:r>
        <w:t xml:space="preserve">; </w:t>
      </w:r>
    </w:p>
    <w:p w14:paraId="6982ACCD" w14:textId="77777777" w:rsidR="00A10B25" w:rsidRDefault="00A10B25">
      <w:pPr>
        <w:pStyle w:val="B2"/>
      </w:pPr>
      <w:r>
        <w:t>b)</w:t>
      </w:r>
      <w:r>
        <w:tab/>
      </w:r>
      <w:r>
        <w:rPr>
          <w:lang w:val="en-US" w:eastAsia="zh-CN"/>
        </w:rPr>
        <w:t xml:space="preserve">NF instance identifer(s) of </w:t>
      </w:r>
      <w:r>
        <w:rPr>
          <w:lang w:eastAsia="zh-CN"/>
        </w:rPr>
        <w:t xml:space="preserve">active data source(s) the NF service consumer is currently using for the analytics of this analytics subscription in the </w:t>
      </w:r>
      <w:r>
        <w:rPr>
          <w:lang w:val="en-US" w:eastAsia="zh-CN"/>
        </w:rPr>
        <w:t>"sourceNfIds" attribute</w:t>
      </w:r>
      <w:r>
        <w:t xml:space="preserve">; </w:t>
      </w:r>
    </w:p>
    <w:p w14:paraId="552C35B9" w14:textId="77777777" w:rsidR="00A10B25" w:rsidRDefault="00A10B25">
      <w:pPr>
        <w:pStyle w:val="B2"/>
        <w:rPr>
          <w:lang w:val="en-US" w:eastAsia="zh-CN"/>
        </w:rPr>
      </w:pPr>
      <w:r>
        <w:t>c)</w:t>
      </w:r>
      <w:r>
        <w:tab/>
      </w:r>
      <w:r>
        <w:rPr>
          <w:lang w:val="en-US" w:eastAsia="zh-CN"/>
        </w:rPr>
        <w:t xml:space="preserve">NF set identifer(s) of </w:t>
      </w:r>
      <w:r>
        <w:rPr>
          <w:lang w:eastAsia="zh-CN"/>
        </w:rPr>
        <w:t xml:space="preserve">active data source(s) the NF service consumer is currently using for the analytics of this analytics subscription in the </w:t>
      </w:r>
      <w:r>
        <w:rPr>
          <w:lang w:val="en-US" w:eastAsia="zh-CN"/>
        </w:rPr>
        <w:t>"sourceSetIds" attribute</w:t>
      </w:r>
      <w:r>
        <w:t>;</w:t>
      </w:r>
    </w:p>
    <w:p w14:paraId="1C15E0B6" w14:textId="77777777" w:rsidR="00A10B25" w:rsidRDefault="00A10B25">
      <w:pPr>
        <w:pStyle w:val="B2"/>
        <w:rPr>
          <w:lang w:val="en-US" w:eastAsia="zh-CN"/>
        </w:rPr>
      </w:pPr>
      <w:r>
        <w:rPr>
          <w:lang w:val="en-US" w:eastAsia="zh-CN"/>
        </w:rPr>
        <w:t>d)</w:t>
      </w:r>
      <w:r>
        <w:rPr>
          <w:lang w:val="en-US" w:eastAsia="zh-CN"/>
        </w:rPr>
        <w:tab/>
        <w:t>i</w:t>
      </w:r>
      <w:r>
        <w:rPr>
          <w:lang w:eastAsia="zh-CN"/>
        </w:rPr>
        <w:t xml:space="preserve">nformation identifying the ML model(s) that the NF service consumer is currently using for the analytics in the </w:t>
      </w:r>
      <w:r>
        <w:rPr>
          <w:lang w:val="en-US" w:eastAsia="zh-CN"/>
        </w:rPr>
        <w:t>"</w:t>
      </w:r>
      <w:r w:rsidR="00AD5F95">
        <w:rPr>
          <w:lang w:val="en-US" w:eastAsia="zh-CN"/>
        </w:rPr>
        <w:t>modelInfo</w:t>
      </w:r>
      <w:r>
        <w:rPr>
          <w:lang w:val="en-US" w:eastAsia="zh-CN"/>
        </w:rPr>
        <w:t>" attribute.</w:t>
      </w:r>
    </w:p>
    <w:p w14:paraId="0E5A6C2E" w14:textId="77777777" w:rsidR="00A10B25" w:rsidRDefault="00A10B25">
      <w:pPr>
        <w:rPr>
          <w:rFonts w:eastAsia="等线"/>
        </w:rPr>
      </w:pPr>
      <w:r>
        <w:rPr>
          <w:rFonts w:eastAsia="等线"/>
        </w:rPr>
        <w:t xml:space="preserve">Upon the reception of an HTTP POST request with: "{apiRoot}/nnwdaf-eventssubscription/&lt;apiVersion&gt;/transfers" as Resource URI and AnalyticsSubscriptionsTransfer data structure as request body, in the successful case the NWDAF shall: </w:t>
      </w:r>
    </w:p>
    <w:p w14:paraId="3DF4CDD1" w14:textId="77777777" w:rsidR="00A10B25" w:rsidRDefault="00A10B25">
      <w:pPr>
        <w:pStyle w:val="B1"/>
      </w:pPr>
      <w:r>
        <w:t>-</w:t>
      </w:r>
      <w:r>
        <w:tab/>
      </w:r>
      <w:bookmarkStart w:id="1204" w:name="_Toc85556985"/>
      <w:bookmarkStart w:id="1205" w:name="_Toc94064153"/>
      <w:bookmarkStart w:id="1206" w:name="_Toc85552886"/>
      <w:bookmarkStart w:id="1207" w:name="_Toc114133699"/>
      <w:bookmarkStart w:id="1208" w:name="_Toc112951020"/>
      <w:bookmarkStart w:id="1209" w:name="_Toc113031560"/>
      <w:bookmarkStart w:id="1210" w:name="_Toc101244309"/>
      <w:bookmarkStart w:id="1211" w:name="_Toc90655772"/>
      <w:bookmarkStart w:id="1212" w:name="_Toc98233533"/>
      <w:bookmarkStart w:id="1213" w:name="_Toc88667487"/>
      <w:bookmarkStart w:id="1214" w:name="_Toc104538898"/>
      <w:r>
        <w:t>if the "transReqType" attribute has the value PREPARE, perform the steps required for the preparation of an analytics subscription transfer as described in clause </w:t>
      </w:r>
      <w:r>
        <w:rPr>
          <w:lang w:eastAsia="zh-CN"/>
        </w:rPr>
        <w:t>5.4.3 of</w:t>
      </w:r>
      <w:r>
        <w:rPr>
          <w:lang w:val="en-US"/>
        </w:rPr>
        <w:t xml:space="preserve"> TS 29.552 [25], </w:t>
      </w:r>
      <w:r>
        <w:t xml:space="preserve">create a new </w:t>
      </w:r>
      <w:r>
        <w:rPr>
          <w:rFonts w:eastAsia="等线"/>
        </w:rPr>
        <w:t xml:space="preserve">Individual NWDAF Event Subscription Transfer resource and </w:t>
      </w:r>
      <w:r>
        <w:rPr>
          <w:lang w:val="en-US" w:eastAsia="zh-CN"/>
        </w:rPr>
        <w:t xml:space="preserve">send an HTTP "201 Created" response with the </w:t>
      </w:r>
      <w:r>
        <w:t>URI for the created resource</w:t>
      </w:r>
      <w:r>
        <w:rPr>
          <w:lang w:val="en-US" w:eastAsia="zh-CN"/>
        </w:rPr>
        <w:t xml:space="preserve"> in the "Location" header field, </w:t>
      </w:r>
      <w:r>
        <w:t>as shown in figure 4.2.2.5.2-1, step 2a;</w:t>
      </w:r>
      <w:r>
        <w:rPr>
          <w:rFonts w:eastAsia="等线"/>
        </w:rPr>
        <w:t xml:space="preserve"> If </w:t>
      </w:r>
      <w:r>
        <w:t xml:space="preserve">the </w:t>
      </w:r>
      <w:r>
        <w:rPr>
          <w:lang w:val="en-US" w:eastAsia="zh-CN"/>
        </w:rPr>
        <w:t>"</w:t>
      </w:r>
      <w:r>
        <w:rPr>
          <w:lang w:eastAsia="zh-CN"/>
        </w:rPr>
        <w:t>PartialAnalyticsSubTransfer</w:t>
      </w:r>
      <w:r>
        <w:rPr>
          <w:lang w:val="en-US" w:eastAsia="zh-CN"/>
        </w:rPr>
        <w:t>"</w:t>
      </w:r>
      <w:r>
        <w:t xml:space="preserve"> feature is supported and </w:t>
      </w:r>
      <w:r>
        <w:rPr>
          <w:lang w:eastAsia="zh-CN"/>
        </w:rPr>
        <w:t>not all the analytics events in the subscription transfer are accepted</w:t>
      </w:r>
      <w:r>
        <w:rPr>
          <w:rFonts w:eastAsia="等线"/>
        </w:rPr>
        <w:t xml:space="preserve">, then the NWDAF includes the </w:t>
      </w:r>
      <w:r>
        <w:t>"failTransEventReports"</w:t>
      </w:r>
      <w:r>
        <w:rPr>
          <w:rFonts w:eastAsia="等线"/>
        </w:rPr>
        <w:t xml:space="preserve"> </w:t>
      </w:r>
      <w:r>
        <w:t>attribute</w:t>
      </w:r>
      <w:r>
        <w:rPr>
          <w:rFonts w:eastAsia="等线"/>
        </w:rPr>
        <w:t xml:space="preserve"> indicating the failure event(s).</w:t>
      </w:r>
    </w:p>
    <w:p w14:paraId="7388B219" w14:textId="77777777" w:rsidR="00A10B25" w:rsidRDefault="00A10B25">
      <w:pPr>
        <w:pStyle w:val="B1"/>
      </w:pPr>
      <w:r>
        <w:t>-</w:t>
      </w:r>
      <w:r>
        <w:tab/>
        <w:t>if the "transReqType" attribute has the value TRANSFER, perform the steps required for the execution of an analytics subscription transfer as described in clause </w:t>
      </w:r>
      <w:r>
        <w:rPr>
          <w:lang w:eastAsia="zh-CN"/>
        </w:rPr>
        <w:t xml:space="preserve">5.4.2 of </w:t>
      </w:r>
      <w:r>
        <w:rPr>
          <w:lang w:val="en-US"/>
        </w:rPr>
        <w:t>TS 29.552 [25]</w:t>
      </w:r>
      <w:r>
        <w:t xml:space="preserve">, </w:t>
      </w:r>
    </w:p>
    <w:p w14:paraId="5E256DDA" w14:textId="77777777" w:rsidR="00A10B25" w:rsidRDefault="00A10B25">
      <w:pPr>
        <w:pStyle w:val="B2"/>
      </w:pPr>
      <w:r>
        <w:rPr>
          <w:rFonts w:eastAsia="等线"/>
        </w:rPr>
        <w:lastRenderedPageBreak/>
        <w:t>a)</w:t>
      </w:r>
      <w:r>
        <w:rPr>
          <w:rFonts w:eastAsia="等线"/>
        </w:rPr>
        <w:tab/>
      </w:r>
      <w:r>
        <w:t xml:space="preserve">if the </w:t>
      </w:r>
      <w:r>
        <w:rPr>
          <w:lang w:val="en-US" w:eastAsia="zh-CN"/>
        </w:rPr>
        <w:t>"</w:t>
      </w:r>
      <w:r>
        <w:rPr>
          <w:lang w:eastAsia="zh-CN"/>
        </w:rPr>
        <w:t>PartialAnalyticsSubTransfer</w:t>
      </w:r>
      <w:r>
        <w:rPr>
          <w:lang w:val="en-US" w:eastAsia="zh-CN"/>
        </w:rPr>
        <w:t>"</w:t>
      </w:r>
      <w:r>
        <w:t xml:space="preserve"> feature is not supported, or </w:t>
      </w:r>
      <w:r>
        <w:rPr>
          <w:rFonts w:eastAsia="等线"/>
        </w:rPr>
        <w:t>if</w:t>
      </w:r>
      <w:r>
        <w:t xml:space="preserve"> the </w:t>
      </w:r>
      <w:r>
        <w:rPr>
          <w:lang w:val="en-US" w:eastAsia="zh-CN"/>
        </w:rPr>
        <w:t>"</w:t>
      </w:r>
      <w:r>
        <w:rPr>
          <w:lang w:eastAsia="zh-CN"/>
        </w:rPr>
        <w:t>PartialAnalyticsSubTransfer</w:t>
      </w:r>
      <w:r>
        <w:rPr>
          <w:lang w:val="en-US" w:eastAsia="zh-CN"/>
        </w:rPr>
        <w:t>"</w:t>
      </w:r>
      <w:r>
        <w:t xml:space="preserve"> feature is supported</w:t>
      </w:r>
      <w:r>
        <w:rPr>
          <w:lang w:eastAsia="zh-CN"/>
        </w:rPr>
        <w:t xml:space="preserve"> and all the analytics events in the subscription transfer are accepted,</w:t>
      </w:r>
      <w:r>
        <w:rPr>
          <w:rFonts w:eastAsia="等线"/>
        </w:rPr>
        <w:t xml:space="preserve"> </w:t>
      </w:r>
      <w:r>
        <w:rPr>
          <w:lang w:val="en-US" w:eastAsia="zh-CN"/>
        </w:rPr>
        <w:t xml:space="preserve">send an HTTP "204 No Content" response, </w:t>
      </w:r>
      <w:r>
        <w:t>as shown in figure 4.2.2.5.2-1, step 2b;</w:t>
      </w:r>
    </w:p>
    <w:p w14:paraId="5CF43F4D" w14:textId="77777777" w:rsidR="00A10B25" w:rsidRDefault="00A10B25">
      <w:pPr>
        <w:pStyle w:val="B2"/>
      </w:pPr>
      <w:r>
        <w:rPr>
          <w:rFonts w:eastAsia="等线"/>
        </w:rPr>
        <w:t>b)</w:t>
      </w:r>
      <w:r>
        <w:rPr>
          <w:rFonts w:eastAsia="等线"/>
        </w:rPr>
        <w:tab/>
      </w:r>
      <w:r w:rsidR="00640768" w:rsidRPr="007A2337">
        <w:rPr>
          <w:rFonts w:eastAsia="等线"/>
        </w:rPr>
        <w:t>if</w:t>
      </w:r>
      <w:r w:rsidR="00640768" w:rsidRPr="007A2337">
        <w:t xml:space="preserve"> the </w:t>
      </w:r>
      <w:r w:rsidR="00640768" w:rsidRPr="007A2337">
        <w:rPr>
          <w:lang w:eastAsia="en-GB"/>
        </w:rPr>
        <w:t>"</w:t>
      </w:r>
      <w:r w:rsidR="00640768" w:rsidRPr="007A2337">
        <w:rPr>
          <w:lang w:eastAsia="zh-CN"/>
        </w:rPr>
        <w:t>PartialAnalyticsSubTransfer</w:t>
      </w:r>
      <w:r w:rsidR="00640768" w:rsidRPr="007A2337">
        <w:rPr>
          <w:lang w:eastAsia="en-GB"/>
        </w:rPr>
        <w:t>"</w:t>
      </w:r>
      <w:r w:rsidR="00640768" w:rsidRPr="007A2337">
        <w:t xml:space="preserve"> feature is supported</w:t>
      </w:r>
      <w:r w:rsidR="00640768" w:rsidRPr="007A2337">
        <w:rPr>
          <w:lang w:eastAsia="zh-CN"/>
        </w:rPr>
        <w:t xml:space="preserve"> and not all the analytics events in the subscription transfer are accepted</w:t>
      </w:r>
      <w:r w:rsidR="00640768" w:rsidRPr="007A2337">
        <w:rPr>
          <w:rFonts w:eastAsia="等线"/>
        </w:rPr>
        <w:t xml:space="preserve">, the NWDAF </w:t>
      </w:r>
      <w:r w:rsidR="00640768" w:rsidRPr="007A2337">
        <w:t xml:space="preserve">creates a new </w:t>
      </w:r>
      <w:r w:rsidR="00640768" w:rsidRPr="007A2337">
        <w:rPr>
          <w:rFonts w:eastAsia="等线"/>
        </w:rPr>
        <w:t xml:space="preserve">Individual NWDAF Event Subscription Transfer resource and </w:t>
      </w:r>
      <w:r w:rsidR="00640768" w:rsidRPr="007A2337">
        <w:rPr>
          <w:lang w:eastAsia="en-GB"/>
        </w:rPr>
        <w:t xml:space="preserve">sends an HTTP "201 Created" response with the </w:t>
      </w:r>
      <w:r w:rsidR="00640768" w:rsidRPr="007A2337">
        <w:t>URI for the created resource</w:t>
      </w:r>
      <w:r w:rsidR="00640768" w:rsidRPr="007A2337">
        <w:rPr>
          <w:lang w:eastAsia="en-GB"/>
        </w:rPr>
        <w:t xml:space="preserve"> in the "Location" header field and</w:t>
      </w:r>
      <w:r w:rsidR="00640768">
        <w:rPr>
          <w:lang w:eastAsia="en-GB"/>
        </w:rPr>
        <w:t xml:space="preserve"> with </w:t>
      </w:r>
      <w:r w:rsidR="00640768" w:rsidRPr="00E71DE3">
        <w:t xml:space="preserve">the message body containing a representation of the </w:t>
      </w:r>
      <w:r w:rsidR="00640768">
        <w:t>cre</w:t>
      </w:r>
      <w:r w:rsidR="00640768" w:rsidRPr="00E71DE3">
        <w:t>ated subscription transfer</w:t>
      </w:r>
      <w:r w:rsidR="00640768">
        <w:t xml:space="preserve"> including </w:t>
      </w:r>
      <w:r w:rsidR="00640768" w:rsidRPr="00E71DE3">
        <w:t>the "failTransEventReports" attribute indicating the failure event(s)</w:t>
      </w:r>
      <w:r w:rsidR="00640768" w:rsidRPr="007A2337">
        <w:rPr>
          <w:lang w:eastAsia="en-GB"/>
        </w:rPr>
        <w:t xml:space="preserve">, </w:t>
      </w:r>
      <w:r w:rsidR="00640768" w:rsidRPr="007A2337">
        <w:t>as shown in figure 4.2.2.5.2-1, step 2a. The NWDAF</w:t>
      </w:r>
      <w:r w:rsidR="00640768" w:rsidRPr="007A2337">
        <w:rPr>
          <w:rFonts w:eastAsia="等线"/>
        </w:rPr>
        <w:t xml:space="preserve"> then </w:t>
      </w:r>
      <w:r w:rsidR="00640768" w:rsidRPr="007A2337">
        <w:rPr>
          <w:lang w:val="en-US"/>
        </w:rPr>
        <w:t xml:space="preserve">removes the </w:t>
      </w:r>
      <w:r w:rsidR="00640768" w:rsidRPr="007A2337">
        <w:rPr>
          <w:rFonts w:eastAsia="等线"/>
        </w:rPr>
        <w:t>Individual NWDAF Event Subscription Transfer resource</w:t>
      </w:r>
      <w:r>
        <w:rPr>
          <w:rFonts w:eastAsia="等线"/>
        </w:rPr>
        <w:t>.</w:t>
      </w:r>
    </w:p>
    <w:p w14:paraId="212D5786" w14:textId="77777777" w:rsidR="00A10B25" w:rsidRDefault="00A10B25">
      <w:pPr>
        <w:pStyle w:val="B1"/>
      </w:pPr>
      <w:r>
        <w:t>If errors occur when processing the HTTP POST request, the NF service consumer shall send an HTTP error response as specified in clause 5.1.7.</w:t>
      </w:r>
    </w:p>
    <w:p w14:paraId="63836E65" w14:textId="77777777" w:rsidR="00A10B25" w:rsidRDefault="00A10B25">
      <w:pPr>
        <w:pStyle w:val="5"/>
      </w:pPr>
      <w:bookmarkStart w:id="1215" w:name="_Toc120702199"/>
      <w:bookmarkStart w:id="1216" w:name="_Toc148522471"/>
      <w:bookmarkStart w:id="1217" w:name="_Toc145705567"/>
      <w:bookmarkStart w:id="1218" w:name="_Toc136562246"/>
      <w:bookmarkStart w:id="1219" w:name="_Toc138754080"/>
      <w:bookmarkStart w:id="1220" w:name="_Toc164920595"/>
      <w:bookmarkStart w:id="1221" w:name="_Toc170120137"/>
      <w:bookmarkStart w:id="1222" w:name="_Toc175858382"/>
      <w:bookmarkStart w:id="1223" w:name="_Toc175859455"/>
      <w:bookmarkStart w:id="1224" w:name="_Toc180605745"/>
      <w:bookmarkStart w:id="1225" w:name="_Toc185516999"/>
      <w:bookmarkStart w:id="1226" w:name="_Toc191576050"/>
      <w:bookmarkStart w:id="1227" w:name="_Toc191576790"/>
      <w:bookmarkStart w:id="1228" w:name="_Toc192879860"/>
      <w:bookmarkStart w:id="1229" w:name="_Toc195814743"/>
      <w:bookmarkStart w:id="1230" w:name="_Toc199452690"/>
      <w:r>
        <w:t>4.2.2.5.3</w:t>
      </w:r>
      <w:r>
        <w:tab/>
        <w:t>Update a request for analytics subscription transfer</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42EF3CE" w14:textId="77777777" w:rsidR="00A10B25" w:rsidRDefault="00A10B25">
      <w:pPr>
        <w:rPr>
          <w:rFonts w:eastAsia="等线"/>
        </w:rPr>
      </w:pPr>
      <w:r>
        <w:rPr>
          <w:rFonts w:eastAsia="等线"/>
        </w:rPr>
        <w:t xml:space="preserve">Figure 4.2.2.5.3-1 shows a scenario where the NF Service Consumer (e.g. NWDAF) sends a request to the NWDAF to update a request for the </w:t>
      </w:r>
      <w:r>
        <w:rPr>
          <w:lang w:eastAsia="zh-CN"/>
        </w:rPr>
        <w:t>transfer of analytics subscription(s) from the NF Service Consumer to the NF Service Producer</w:t>
      </w:r>
      <w:r>
        <w:rPr>
          <w:rFonts w:eastAsia="等线"/>
        </w:rPr>
        <w:t xml:space="preserve">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584BFAE1" w14:textId="77777777" w:rsidR="00A10B25" w:rsidRDefault="00A10B25">
      <w:pPr>
        <w:pStyle w:val="TH"/>
        <w:rPr>
          <w:rFonts w:eastAsia="等线"/>
          <w:lang w:eastAsia="zh-CN"/>
        </w:rPr>
      </w:pPr>
      <w:r>
        <w:rPr>
          <w:lang w:val="en-US" w:eastAsia="zh-CN"/>
        </w:rPr>
        <w:object w:dxaOrig="7678" w:dyaOrig="3117" w14:anchorId="211C152F">
          <v:shape id="Object 10" o:spid="_x0000_i1036" type="#_x0000_t75" style="width:420.1pt;height:170.3pt;mso-position-horizontal-relative:page;mso-position-vertical-relative:page" o:ole="">
            <v:imagedata r:id="rId22" o:title=""/>
          </v:shape>
          <o:OLEObject Type="Embed" ProgID="Visio.Drawing.15" ShapeID="Object 10" DrawAspect="Content" ObjectID="_1810065988" r:id="rId23"/>
        </w:object>
      </w:r>
    </w:p>
    <w:p w14:paraId="75E469CB" w14:textId="77777777" w:rsidR="00A10B25" w:rsidRDefault="00A10B25">
      <w:pPr>
        <w:pStyle w:val="TF"/>
      </w:pPr>
      <w:r>
        <w:t>Figure 4.2.2.5.3-1: NF service consumer updates a request for an analytics subscription transfer</w:t>
      </w:r>
    </w:p>
    <w:p w14:paraId="56BB8BB4" w14:textId="77777777" w:rsidR="00A10B25" w:rsidRDefault="00A10B25">
      <w:r>
        <w:t xml:space="preserve">The NF service consumer shall invoke the Nnwdaf_EventsSubscription_Transfer service operation to update a </w:t>
      </w:r>
      <w:r>
        <w:rPr>
          <w:rFonts w:eastAsia="等线"/>
        </w:rPr>
        <w:t>request for the transfer of analytics subscription(s)</w:t>
      </w:r>
      <w:r>
        <w:t xml:space="preserve">. The NF service consumer </w:t>
      </w:r>
      <w:r>
        <w:rPr>
          <w:lang w:val="en-US"/>
        </w:rPr>
        <w:t xml:space="preserve">shall </w:t>
      </w:r>
      <w:r>
        <w:t xml:space="preserve">send an HTTP PUT request with "{apiRoot}/nnwdaf-eventssubscription/&lt;apiVersion&gt;/transfers/{transferId}" as Resource URI representing the "Individual NWDAF Event Subscription Transfer", as shown in figure 4.2.2.5.3-1, step 1, to update the "Individual NWDAF Event Subscription Transfer" resource identified by the {transferId}. The </w:t>
      </w:r>
      <w:r>
        <w:rPr>
          <w:rFonts w:eastAsia="等线"/>
        </w:rPr>
        <w:t xml:space="preserve">AnalyticsSubscriptionsTransfer </w:t>
      </w:r>
      <w:r>
        <w:t>data structure provided in the request body shall include the same contents as described in clause 4.2.2.5.2.</w:t>
      </w:r>
    </w:p>
    <w:p w14:paraId="73EB5513" w14:textId="77777777" w:rsidR="00A10B25" w:rsidRDefault="00A10B25">
      <w:pPr>
        <w:rPr>
          <w:rFonts w:eastAsia="等线"/>
        </w:rPr>
      </w:pPr>
      <w:r>
        <w:rPr>
          <w:rFonts w:eastAsia="等线"/>
        </w:rPr>
        <w:t>Upon the reception of an HTTP PUT request with: "{apiRoot}/nnwdaf-eventssubscription/&lt;apiVersion&gt;/transfers/{transferId}" as Resource URI and AnalyticsSubscriptionsTransfer data structure as request body, the NWDAF shall:</w:t>
      </w:r>
    </w:p>
    <w:p w14:paraId="262BAE31" w14:textId="77777777" w:rsidR="00A10B25" w:rsidRDefault="00A10B25">
      <w:pPr>
        <w:pStyle w:val="B1"/>
        <w:rPr>
          <w:rFonts w:eastAsia="等线"/>
        </w:rPr>
      </w:pPr>
      <w:r>
        <w:t>-</w:t>
      </w:r>
      <w:r>
        <w:tab/>
        <w:t>if the "transReqType" attribute has the value PREPARE, perform the steps required for the preparation of an analytics subscription transfer as described in clause </w:t>
      </w:r>
      <w:r>
        <w:rPr>
          <w:lang w:eastAsia="zh-CN"/>
        </w:rPr>
        <w:t xml:space="preserve">5.4.3 of </w:t>
      </w:r>
      <w:r>
        <w:rPr>
          <w:lang w:val="en-US"/>
        </w:rPr>
        <w:t xml:space="preserve">TS 29.552 [25], update the </w:t>
      </w:r>
      <w:r>
        <w:rPr>
          <w:rFonts w:eastAsia="等线"/>
        </w:rPr>
        <w:t xml:space="preserve">Individual NWDAF Event Subscription Transfer resource identified by "transferId", </w:t>
      </w:r>
    </w:p>
    <w:p w14:paraId="74C6640A" w14:textId="77777777" w:rsidR="00A10B25" w:rsidRDefault="00A10B25">
      <w:pPr>
        <w:pStyle w:val="B2"/>
      </w:pPr>
      <w:r>
        <w:rPr>
          <w:rFonts w:eastAsia="等线"/>
        </w:rPr>
        <w:t>a)</w:t>
      </w:r>
      <w:r>
        <w:rPr>
          <w:rFonts w:eastAsia="等线"/>
        </w:rPr>
        <w:tab/>
        <w:t>if</w:t>
      </w:r>
      <w:r>
        <w:t xml:space="preserve"> the </w:t>
      </w:r>
      <w:r>
        <w:rPr>
          <w:lang w:val="en-US" w:eastAsia="zh-CN"/>
        </w:rPr>
        <w:t>"</w:t>
      </w:r>
      <w:r>
        <w:rPr>
          <w:lang w:eastAsia="zh-CN"/>
        </w:rPr>
        <w:t>PartialAnalyticsSubTransfer</w:t>
      </w:r>
      <w:r>
        <w:rPr>
          <w:lang w:val="en-US" w:eastAsia="zh-CN"/>
        </w:rPr>
        <w:t>"</w:t>
      </w:r>
      <w:r>
        <w:t xml:space="preserve"> feature is not supported, or </w:t>
      </w:r>
      <w:r>
        <w:rPr>
          <w:rFonts w:eastAsia="等线"/>
        </w:rPr>
        <w:t>if</w:t>
      </w:r>
      <w:r>
        <w:t xml:space="preserve"> the </w:t>
      </w:r>
      <w:r>
        <w:rPr>
          <w:lang w:val="en-US" w:eastAsia="zh-CN"/>
        </w:rPr>
        <w:t>"</w:t>
      </w:r>
      <w:r>
        <w:rPr>
          <w:lang w:eastAsia="zh-CN"/>
        </w:rPr>
        <w:t>PartialAnalyticsSubTransfer</w:t>
      </w:r>
      <w:r>
        <w:rPr>
          <w:lang w:val="en-US" w:eastAsia="zh-CN"/>
        </w:rPr>
        <w:t>"</w:t>
      </w:r>
      <w:r>
        <w:t xml:space="preserve"> feature is supported</w:t>
      </w:r>
      <w:r>
        <w:rPr>
          <w:lang w:eastAsia="zh-CN"/>
        </w:rPr>
        <w:t xml:space="preserve"> and all the analytics events in the subscription transfer are accepted,</w:t>
      </w:r>
      <w:r>
        <w:rPr>
          <w:rFonts w:eastAsia="等线"/>
        </w:rPr>
        <w:t xml:space="preserve"> </w:t>
      </w:r>
      <w:r>
        <w:rPr>
          <w:lang w:val="en-US" w:eastAsia="zh-CN"/>
        </w:rPr>
        <w:t xml:space="preserve">send an HTTP "204 No Content" response, </w:t>
      </w:r>
      <w:r>
        <w:t>as shown in figure 4.2.2.5.3-1, step 2a;</w:t>
      </w:r>
    </w:p>
    <w:p w14:paraId="79F8D674" w14:textId="77777777" w:rsidR="00A10B25" w:rsidRDefault="00A10B25">
      <w:pPr>
        <w:pStyle w:val="B2"/>
      </w:pPr>
      <w:r>
        <w:rPr>
          <w:rFonts w:eastAsia="等线"/>
        </w:rPr>
        <w:t>b)</w:t>
      </w:r>
      <w:r>
        <w:rPr>
          <w:rFonts w:eastAsia="等线"/>
        </w:rPr>
        <w:tab/>
        <w:t>if</w:t>
      </w:r>
      <w:r>
        <w:t xml:space="preserve"> the </w:t>
      </w:r>
      <w:r>
        <w:rPr>
          <w:lang w:val="en-US" w:eastAsia="zh-CN"/>
        </w:rPr>
        <w:t>"</w:t>
      </w:r>
      <w:r>
        <w:rPr>
          <w:lang w:eastAsia="zh-CN"/>
        </w:rPr>
        <w:t>PartialAnalyticsSubTransfer</w:t>
      </w:r>
      <w:r>
        <w:rPr>
          <w:lang w:val="en-US" w:eastAsia="zh-CN"/>
        </w:rPr>
        <w:t>"</w:t>
      </w:r>
      <w:r>
        <w:t xml:space="preserve"> feature is supported and </w:t>
      </w:r>
      <w:r>
        <w:rPr>
          <w:lang w:eastAsia="zh-CN"/>
        </w:rPr>
        <w:t>and not all the analytics events in the subscription transfer are accepted</w:t>
      </w:r>
      <w:r>
        <w:rPr>
          <w:rFonts w:eastAsia="等线"/>
        </w:rPr>
        <w:t xml:space="preserve">, send an </w:t>
      </w:r>
      <w:r>
        <w:t xml:space="preserve">HTTP "200 OK" </w:t>
      </w:r>
      <w:r>
        <w:rPr>
          <w:lang w:val="en-US" w:eastAsia="zh-CN"/>
        </w:rPr>
        <w:t>response</w:t>
      </w:r>
      <w:r>
        <w:t xml:space="preserve"> with the message body containing a representation of the updated subscription transfer, as shown in figure 4.2.2.5.3-1, step 2b, </w:t>
      </w:r>
      <w:r>
        <w:rPr>
          <w:rFonts w:eastAsia="等线"/>
        </w:rPr>
        <w:t xml:space="preserve">and the NWDAF includes the </w:t>
      </w:r>
      <w:r>
        <w:t>"failTransEventReports"</w:t>
      </w:r>
      <w:r>
        <w:rPr>
          <w:rFonts w:eastAsia="等线"/>
        </w:rPr>
        <w:t xml:space="preserve"> </w:t>
      </w:r>
      <w:r>
        <w:t>attribute</w:t>
      </w:r>
      <w:r>
        <w:rPr>
          <w:rFonts w:eastAsia="等线"/>
        </w:rPr>
        <w:t xml:space="preserve"> indicating the failure event(s).</w:t>
      </w:r>
    </w:p>
    <w:p w14:paraId="5A482609" w14:textId="77777777" w:rsidR="00640768" w:rsidRPr="00E71DE3" w:rsidRDefault="00640768" w:rsidP="00640768">
      <w:pPr>
        <w:pStyle w:val="B1"/>
      </w:pPr>
      <w:r w:rsidRPr="00E71DE3">
        <w:t>-</w:t>
      </w:r>
      <w:r w:rsidRPr="00E71DE3">
        <w:tab/>
        <w:t>if the "transReqType" attribute has the value TRANSFER, perform the steps required for the execution of an analytics subscription transfer as described in clause </w:t>
      </w:r>
      <w:r w:rsidRPr="00E71DE3">
        <w:rPr>
          <w:lang w:eastAsia="zh-CN"/>
        </w:rPr>
        <w:t>5.4.</w:t>
      </w:r>
      <w:r>
        <w:rPr>
          <w:lang w:eastAsia="zh-CN"/>
        </w:rPr>
        <w:t>2</w:t>
      </w:r>
      <w:r w:rsidRPr="00E71DE3">
        <w:rPr>
          <w:lang w:eastAsia="zh-CN"/>
        </w:rPr>
        <w:t xml:space="preserve"> of </w:t>
      </w:r>
      <w:r w:rsidRPr="00E71DE3">
        <w:rPr>
          <w:lang w:val="en-US"/>
        </w:rPr>
        <w:t>TS 29.552 [25]</w:t>
      </w:r>
      <w:r w:rsidRPr="00E71DE3">
        <w:t xml:space="preserve">, </w:t>
      </w:r>
      <w:r>
        <w:t>where:</w:t>
      </w:r>
    </w:p>
    <w:p w14:paraId="1CE817E4" w14:textId="77777777" w:rsidR="00640768" w:rsidRPr="00E71DE3" w:rsidRDefault="00640768" w:rsidP="00640768">
      <w:pPr>
        <w:pStyle w:val="B2"/>
      </w:pPr>
      <w:r w:rsidRPr="00E71DE3">
        <w:rPr>
          <w:lang w:val="en-US"/>
        </w:rPr>
        <w:lastRenderedPageBreak/>
        <w:t>a)</w:t>
      </w:r>
      <w:r w:rsidRPr="00E71DE3">
        <w:rPr>
          <w:lang w:val="en-US"/>
        </w:rPr>
        <w:tab/>
      </w:r>
      <w:r w:rsidRPr="00E71DE3">
        <w:rPr>
          <w:rFonts w:eastAsia="等线"/>
        </w:rPr>
        <w:t>if</w:t>
      </w:r>
      <w:r w:rsidRPr="00E71DE3">
        <w:t xml:space="preserve"> the </w:t>
      </w:r>
      <w:r w:rsidRPr="00E71DE3">
        <w:rPr>
          <w:lang w:eastAsia="en-GB"/>
        </w:rPr>
        <w:t>"</w:t>
      </w:r>
      <w:r w:rsidRPr="00E71DE3">
        <w:rPr>
          <w:lang w:eastAsia="zh-CN"/>
        </w:rPr>
        <w:t>PartialAnalyticsSubTransfer</w:t>
      </w:r>
      <w:r w:rsidRPr="00E71DE3">
        <w:rPr>
          <w:lang w:eastAsia="en-GB"/>
        </w:rPr>
        <w:t>"</w:t>
      </w:r>
      <w:r w:rsidRPr="00E71DE3">
        <w:t xml:space="preserve"> feature is not supported, or </w:t>
      </w:r>
      <w:r w:rsidRPr="00E71DE3">
        <w:rPr>
          <w:rFonts w:eastAsia="等线"/>
        </w:rPr>
        <w:t>if</w:t>
      </w:r>
      <w:r w:rsidRPr="00E71DE3">
        <w:t xml:space="preserve"> the </w:t>
      </w:r>
      <w:r w:rsidRPr="00E71DE3">
        <w:rPr>
          <w:lang w:eastAsia="en-GB"/>
        </w:rPr>
        <w:t>"</w:t>
      </w:r>
      <w:r w:rsidRPr="00E71DE3">
        <w:rPr>
          <w:lang w:eastAsia="zh-CN"/>
        </w:rPr>
        <w:t>PartialAnalyticsSubTransfer</w:t>
      </w:r>
      <w:r w:rsidRPr="00E71DE3">
        <w:rPr>
          <w:lang w:eastAsia="en-GB"/>
        </w:rPr>
        <w:t>"</w:t>
      </w:r>
      <w:r w:rsidRPr="00E71DE3">
        <w:t xml:space="preserve"> feature is supported</w:t>
      </w:r>
      <w:r w:rsidRPr="00E71DE3">
        <w:rPr>
          <w:lang w:eastAsia="zh-CN"/>
        </w:rPr>
        <w:t xml:space="preserve"> and all the analytics events in the subscription transfer are accepted</w:t>
      </w:r>
      <w:r w:rsidRPr="00E71DE3">
        <w:rPr>
          <w:lang w:val="en-US"/>
        </w:rPr>
        <w:t xml:space="preserve">, remove the </w:t>
      </w:r>
      <w:r w:rsidRPr="00E71DE3">
        <w:rPr>
          <w:rFonts w:eastAsia="等线"/>
        </w:rPr>
        <w:t xml:space="preserve">Individual NWDAF Event Subscription Transfer resource identified by "transferId", and </w:t>
      </w:r>
      <w:r w:rsidRPr="00E71DE3">
        <w:rPr>
          <w:lang w:eastAsia="en-GB"/>
        </w:rPr>
        <w:t xml:space="preserve">send an HTTP "204 No Content" response, </w:t>
      </w:r>
      <w:r w:rsidRPr="00E71DE3">
        <w:t>as shown in figure 4.2.2.5.3-1, step 2a;</w:t>
      </w:r>
    </w:p>
    <w:p w14:paraId="0EE93988" w14:textId="77777777" w:rsidR="00640768" w:rsidRPr="00E71DE3" w:rsidRDefault="00640768" w:rsidP="00640768">
      <w:pPr>
        <w:pStyle w:val="B2"/>
      </w:pPr>
      <w:r w:rsidRPr="00E71DE3">
        <w:rPr>
          <w:lang w:val="en-US"/>
        </w:rPr>
        <w:t>b)</w:t>
      </w:r>
      <w:r w:rsidRPr="00E71DE3">
        <w:rPr>
          <w:lang w:val="en-US"/>
        </w:rPr>
        <w:tab/>
      </w:r>
      <w:r w:rsidRPr="00E71DE3">
        <w:rPr>
          <w:rFonts w:eastAsia="等线"/>
        </w:rPr>
        <w:t>if</w:t>
      </w:r>
      <w:r w:rsidRPr="00E71DE3">
        <w:t xml:space="preserve"> the </w:t>
      </w:r>
      <w:r w:rsidRPr="00E71DE3">
        <w:rPr>
          <w:lang w:eastAsia="en-GB"/>
        </w:rPr>
        <w:t>"</w:t>
      </w:r>
      <w:r w:rsidRPr="00E71DE3">
        <w:rPr>
          <w:lang w:eastAsia="zh-CN"/>
        </w:rPr>
        <w:t>PartialAnalyticsSubTransfer</w:t>
      </w:r>
      <w:r w:rsidRPr="00E71DE3">
        <w:rPr>
          <w:lang w:eastAsia="en-GB"/>
        </w:rPr>
        <w:t>"</w:t>
      </w:r>
      <w:r w:rsidRPr="00E71DE3">
        <w:t xml:space="preserve"> feature is supported and </w:t>
      </w:r>
      <w:r w:rsidRPr="00E71DE3">
        <w:rPr>
          <w:lang w:eastAsia="zh-CN"/>
        </w:rPr>
        <w:t>and not all the analytics events in the subscription transfer are accepted</w:t>
      </w:r>
      <w:r w:rsidRPr="00E71DE3">
        <w:rPr>
          <w:lang w:val="en-US"/>
        </w:rPr>
        <w:t xml:space="preserve">, update the </w:t>
      </w:r>
      <w:r w:rsidRPr="00E71DE3">
        <w:rPr>
          <w:rFonts w:eastAsia="等线"/>
        </w:rPr>
        <w:t xml:space="preserve">Individual NWDAF Event Subscription Transfer resource identified by "transferId", and send an </w:t>
      </w:r>
      <w:r w:rsidRPr="00E71DE3">
        <w:t xml:space="preserve">HTTP "200 OK" </w:t>
      </w:r>
      <w:r w:rsidRPr="00E71DE3">
        <w:rPr>
          <w:lang w:eastAsia="en-GB"/>
        </w:rPr>
        <w:t>response</w:t>
      </w:r>
      <w:r w:rsidRPr="00E71DE3">
        <w:t xml:space="preserve"> with the message body containing a representation of the updated subscription transfer</w:t>
      </w:r>
      <w:r>
        <w:t xml:space="preserve"> including </w:t>
      </w:r>
      <w:r w:rsidRPr="00E71DE3">
        <w:t>the "failTransEventReports" attribute indicating the failure event(s), as shown in figure 4.2.2.5.3-1, step 2b. T</w:t>
      </w:r>
      <w:r w:rsidRPr="00E71DE3">
        <w:rPr>
          <w:rFonts w:eastAsia="等线"/>
        </w:rPr>
        <w:t xml:space="preserve">he NWDAF </w:t>
      </w:r>
      <w:r>
        <w:rPr>
          <w:rFonts w:eastAsia="等线"/>
        </w:rPr>
        <w:t xml:space="preserve">then </w:t>
      </w:r>
      <w:r w:rsidRPr="00E71DE3">
        <w:rPr>
          <w:lang w:val="en-US"/>
        </w:rPr>
        <w:t xml:space="preserve">removes the </w:t>
      </w:r>
      <w:r w:rsidRPr="00E71DE3">
        <w:rPr>
          <w:rFonts w:eastAsia="等线"/>
        </w:rPr>
        <w:t>Individual NWDAF Event Subscription Transfer resource.</w:t>
      </w:r>
    </w:p>
    <w:p w14:paraId="2450D69F" w14:textId="77777777" w:rsidR="00A10B25" w:rsidRDefault="00A10B25">
      <w:r>
        <w:t>If errors occur when processing the HTTP PUT request, the NWDAF shall send an HTTP error response as specified in clause 5.1.7.</w:t>
      </w:r>
    </w:p>
    <w:p w14:paraId="4C465ECA" w14:textId="77777777" w:rsidR="00A10B25" w:rsidRDefault="00A10B25">
      <w:pPr>
        <w:rPr>
          <w:rFonts w:eastAsia="等线"/>
        </w:rPr>
      </w:pPr>
      <w:r>
        <w:t>If the NWDAF determines the received HTTP PUT request needs to be redirected, the NWDAF shall send an HTTP redirect response as specified in clause </w:t>
      </w:r>
      <w:r>
        <w:rPr>
          <w:lang w:eastAsia="zh-CN"/>
        </w:rPr>
        <w:t xml:space="preserve">6.10.9 of </w:t>
      </w:r>
      <w:r>
        <w:rPr>
          <w:lang w:val="en-US"/>
        </w:rPr>
        <w:t>3GPP TS 29.500 [6]</w:t>
      </w:r>
      <w:r>
        <w:t>.</w:t>
      </w:r>
    </w:p>
    <w:p w14:paraId="42AF3ABB" w14:textId="77777777" w:rsidR="00A10B25" w:rsidRDefault="00A10B25">
      <w:pPr>
        <w:pStyle w:val="5"/>
      </w:pPr>
      <w:bookmarkStart w:id="1231" w:name="_Toc136562247"/>
      <w:bookmarkStart w:id="1232" w:name="_Toc113031561"/>
      <w:bookmarkStart w:id="1233" w:name="_Toc98233534"/>
      <w:bookmarkStart w:id="1234" w:name="_Toc104538899"/>
      <w:bookmarkStart w:id="1235" w:name="_Toc145705568"/>
      <w:bookmarkStart w:id="1236" w:name="_Toc88667488"/>
      <w:bookmarkStart w:id="1237" w:name="_Toc90655773"/>
      <w:bookmarkStart w:id="1238" w:name="_Toc85552887"/>
      <w:bookmarkStart w:id="1239" w:name="_Toc101244310"/>
      <w:bookmarkStart w:id="1240" w:name="_Toc94064154"/>
      <w:bookmarkStart w:id="1241" w:name="_Toc85556986"/>
      <w:bookmarkStart w:id="1242" w:name="_Toc114133700"/>
      <w:bookmarkStart w:id="1243" w:name="_Toc138754081"/>
      <w:bookmarkStart w:id="1244" w:name="_Toc120702200"/>
      <w:bookmarkStart w:id="1245" w:name="_Toc148522472"/>
      <w:bookmarkStart w:id="1246" w:name="_Toc112951021"/>
      <w:bookmarkStart w:id="1247" w:name="_Toc164920596"/>
      <w:bookmarkStart w:id="1248" w:name="_Toc170120138"/>
      <w:bookmarkStart w:id="1249" w:name="_Toc175858383"/>
      <w:bookmarkStart w:id="1250" w:name="_Toc175859456"/>
      <w:bookmarkStart w:id="1251" w:name="_Toc180605746"/>
      <w:bookmarkStart w:id="1252" w:name="_Toc185517000"/>
      <w:bookmarkStart w:id="1253" w:name="_Toc191576051"/>
      <w:bookmarkStart w:id="1254" w:name="_Toc191576791"/>
      <w:bookmarkStart w:id="1255" w:name="_Toc192879861"/>
      <w:bookmarkStart w:id="1256" w:name="_Toc195814744"/>
      <w:bookmarkStart w:id="1257" w:name="_Toc199452691"/>
      <w:r>
        <w:t>4.2.2.5.4</w:t>
      </w:r>
      <w:r>
        <w:tab/>
        <w:t>Cancel a request for analytics subscription transfer</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576CFF7C" w14:textId="77777777" w:rsidR="00A10B25" w:rsidRDefault="00A10B25">
      <w:pPr>
        <w:rPr>
          <w:rFonts w:eastAsia="等线"/>
        </w:rPr>
      </w:pPr>
      <w:r>
        <w:rPr>
          <w:rFonts w:eastAsia="等线"/>
        </w:rPr>
        <w:t xml:space="preserve">Figure 4.2.2.5.4-1 shows a scenario where the NF service consumer (e.g. NWDAF) sends a request to the NWDAF to cancel a request for the </w:t>
      </w:r>
      <w:r>
        <w:rPr>
          <w:lang w:eastAsia="zh-CN"/>
        </w:rPr>
        <w:t>transfer of analytics subscription(s) from the NF service consumer to the NF Service Producer</w:t>
      </w:r>
      <w:r>
        <w:rPr>
          <w:rFonts w:eastAsia="等线"/>
        </w:rPr>
        <w:t xml:space="preserve">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0B9212F0" w14:textId="77777777" w:rsidR="00A10B25" w:rsidRDefault="00A10B25">
      <w:pPr>
        <w:pStyle w:val="TH"/>
        <w:rPr>
          <w:rFonts w:eastAsia="等线"/>
          <w:lang w:eastAsia="zh-CN"/>
        </w:rPr>
      </w:pPr>
      <w:r>
        <w:rPr>
          <w:lang w:val="en-US" w:eastAsia="zh-CN"/>
        </w:rPr>
        <w:object w:dxaOrig="7689" w:dyaOrig="3126" w14:anchorId="4D65731B">
          <v:shape id="Object 11" o:spid="_x0000_i1037" type="#_x0000_t75" style="width:421.35pt;height:170.3pt;mso-position-horizontal-relative:page;mso-position-vertical-relative:page" o:ole="">
            <v:imagedata r:id="rId24" o:title=""/>
          </v:shape>
          <o:OLEObject Type="Embed" ProgID="Visio.Drawing.15" ShapeID="Object 11" DrawAspect="Content" ObjectID="_1810065989" r:id="rId25"/>
        </w:object>
      </w:r>
    </w:p>
    <w:p w14:paraId="7DED4153" w14:textId="77777777" w:rsidR="00A10B25" w:rsidRDefault="00A10B25">
      <w:pPr>
        <w:pStyle w:val="TF"/>
      </w:pPr>
      <w:r>
        <w:t>Figure 4.2.2.5.4-1: NF service consumer cancels a request for an analytics subscription transfer</w:t>
      </w:r>
    </w:p>
    <w:p w14:paraId="11EFF994" w14:textId="77777777" w:rsidR="00A10B25" w:rsidRDefault="00A10B25">
      <w:pPr>
        <w:rPr>
          <w:rFonts w:eastAsia="等线"/>
        </w:rPr>
      </w:pPr>
      <w:r>
        <w:t xml:space="preserve">The NF service consumer shall invoke the Nnwdaf_EventsSubscription_Transfer service operation to cancel a </w:t>
      </w:r>
      <w:r>
        <w:rPr>
          <w:rFonts w:eastAsia="等线"/>
        </w:rPr>
        <w:t>request for the transfer of analytics subscription(s)</w:t>
      </w:r>
      <w:r>
        <w:t xml:space="preserve">. The NF service consumer </w:t>
      </w:r>
      <w:r>
        <w:rPr>
          <w:lang w:val="en-US"/>
        </w:rPr>
        <w:t xml:space="preserve">shall </w:t>
      </w:r>
      <w:r>
        <w:t>send an HTTP DELETE request with "{apiRoot}/nnwdaf-eventssubscription/&lt;apiVersion&gt;/transfers/{transferId}" as Resource URI representing the "Individual NWDAF Event Subscription Transfer", as shown in figure 4.2.2.5.4-1, step 1, to cancel the "Individual NWDAF Event Subscription Transfer" resource identified by the {transferId}.</w:t>
      </w:r>
    </w:p>
    <w:p w14:paraId="3E464FF3" w14:textId="77777777" w:rsidR="00A10B25" w:rsidRDefault="00A10B25">
      <w:pPr>
        <w:rPr>
          <w:rFonts w:eastAsia="等线"/>
        </w:rPr>
      </w:pPr>
      <w:r>
        <w:rPr>
          <w:rFonts w:eastAsia="等线"/>
        </w:rPr>
        <w:t>Upon the reception of an HTTP DELETE request with: "{apiRoot}/nnwdaf-eventssubscription/&lt;apiVersion&gt;/transfers/{transferId}" as Resource URI,</w:t>
      </w:r>
      <w:r>
        <w:t xml:space="preserve"> </w:t>
      </w:r>
      <w:r>
        <w:rPr>
          <w:rFonts w:eastAsia="等线"/>
        </w:rPr>
        <w:t xml:space="preserve">if the NWDAF successfully processed and accepted the received HTTP DELETE request, the NWDAF shall: </w:t>
      </w:r>
    </w:p>
    <w:p w14:paraId="2A75E50F" w14:textId="77777777" w:rsidR="00A10B25" w:rsidRDefault="00A10B25">
      <w:pPr>
        <w:pStyle w:val="B1"/>
      </w:pPr>
      <w:r>
        <w:t>-</w:t>
      </w:r>
      <w:r>
        <w:tab/>
        <w:t xml:space="preserve">if applicable, </w:t>
      </w:r>
      <w:r>
        <w:rPr>
          <w:lang w:eastAsia="ko-KR"/>
        </w:rPr>
        <w:t>delete any analytics data that is no longer needed and unsubscribe to entities for data collection or ML model acquisition, if the subscriptions are not needed for other active analytics subscriptions;</w:t>
      </w:r>
    </w:p>
    <w:p w14:paraId="07E14ABE" w14:textId="77777777" w:rsidR="00A10B25" w:rsidRDefault="00A10B25">
      <w:pPr>
        <w:pStyle w:val="B1"/>
      </w:pPr>
      <w:r>
        <w:t>-</w:t>
      </w:r>
      <w:r>
        <w:tab/>
        <w:t>remove the corresponding Individual NWDAF Event Subscription Transfer resource; and</w:t>
      </w:r>
    </w:p>
    <w:p w14:paraId="68FD09C7" w14:textId="77777777" w:rsidR="00A10B25" w:rsidRDefault="00A10B25">
      <w:pPr>
        <w:pStyle w:val="B1"/>
      </w:pPr>
      <w:r>
        <w:t>-</w:t>
      </w:r>
      <w:r>
        <w:tab/>
        <w:t>respond</w:t>
      </w:r>
      <w:r>
        <w:rPr>
          <w:rFonts w:eastAsia="Batang"/>
        </w:rPr>
        <w:t xml:space="preserve"> </w:t>
      </w:r>
      <w:r>
        <w:t>with HTTP "204 No Content" status code</w:t>
      </w:r>
      <w:r>
        <w:rPr>
          <w:lang w:val="en-US" w:eastAsia="zh-CN"/>
        </w:rPr>
        <w:t xml:space="preserve">, </w:t>
      </w:r>
      <w:r>
        <w:t>as shown in figure 4.2.2.5.4-1, step 2.</w:t>
      </w:r>
    </w:p>
    <w:p w14:paraId="4E6CFE52" w14:textId="77777777" w:rsidR="00A10B25" w:rsidRDefault="00A10B25">
      <w:pPr>
        <w:rPr>
          <w:rFonts w:eastAsia="等线"/>
        </w:rPr>
      </w:pPr>
      <w:r>
        <w:rPr>
          <w:rFonts w:eastAsia="等线"/>
        </w:rPr>
        <w:t>If errors occur when processing the HTTP DELETE request, the NWDAF shall send an HTTP error response as specified in clause 5.1.7.</w:t>
      </w:r>
    </w:p>
    <w:p w14:paraId="46656043" w14:textId="77777777" w:rsidR="00A10B25" w:rsidRDefault="00A10B25">
      <w:pPr>
        <w:rPr>
          <w:rFonts w:eastAsia="等线"/>
        </w:rPr>
      </w:pPr>
      <w:r>
        <w:t xml:space="preserve">If the NWDAF determines the received HTTP </w:t>
      </w:r>
      <w:r>
        <w:rPr>
          <w:rFonts w:eastAsia="等线"/>
        </w:rPr>
        <w:t>DELETE</w:t>
      </w:r>
      <w:r>
        <w:t xml:space="preserve"> request needs to be redirected, the NWDAF shall send an HTTP redirect response as specified in clause </w:t>
      </w:r>
      <w:r>
        <w:rPr>
          <w:lang w:eastAsia="zh-CN"/>
        </w:rPr>
        <w:t xml:space="preserve">6.10.9 of </w:t>
      </w:r>
      <w:r>
        <w:rPr>
          <w:lang w:val="en-US"/>
        </w:rPr>
        <w:t>3GPP TS 29.500 [6]</w:t>
      </w:r>
      <w:r>
        <w:t>.</w:t>
      </w:r>
    </w:p>
    <w:p w14:paraId="3A2AC754" w14:textId="77777777" w:rsidR="00A10B25" w:rsidRDefault="00A10B25">
      <w:pPr>
        <w:pStyle w:val="2"/>
      </w:pPr>
      <w:bookmarkStart w:id="1258" w:name="_Toc85556987"/>
      <w:bookmarkStart w:id="1259" w:name="_Toc98233535"/>
      <w:bookmarkStart w:id="1260" w:name="_Toc90655774"/>
      <w:bookmarkStart w:id="1261" w:name="_Toc85552888"/>
      <w:bookmarkStart w:id="1262" w:name="_Toc138754082"/>
      <w:bookmarkStart w:id="1263" w:name="_Toc112951022"/>
      <w:bookmarkStart w:id="1264" w:name="_Toc101244311"/>
      <w:bookmarkStart w:id="1265" w:name="_Toc104538900"/>
      <w:bookmarkStart w:id="1266" w:name="_Toc113031562"/>
      <w:bookmarkStart w:id="1267" w:name="_Toc94064155"/>
      <w:bookmarkStart w:id="1268" w:name="_Toc114133701"/>
      <w:bookmarkStart w:id="1269" w:name="_Toc88667489"/>
      <w:bookmarkStart w:id="1270" w:name="_Toc136562248"/>
      <w:bookmarkStart w:id="1271" w:name="_Toc145705569"/>
      <w:bookmarkStart w:id="1272" w:name="_Toc148522473"/>
      <w:bookmarkStart w:id="1273" w:name="_Toc120702201"/>
      <w:bookmarkStart w:id="1274" w:name="_Toc164920597"/>
      <w:bookmarkStart w:id="1275" w:name="_Toc170120139"/>
      <w:bookmarkStart w:id="1276" w:name="_Toc175858384"/>
      <w:bookmarkStart w:id="1277" w:name="_Toc175859457"/>
      <w:bookmarkStart w:id="1278" w:name="_Toc180605747"/>
      <w:bookmarkStart w:id="1279" w:name="_Toc185517001"/>
      <w:bookmarkStart w:id="1280" w:name="_Toc191576052"/>
      <w:bookmarkStart w:id="1281" w:name="_Toc191576792"/>
      <w:bookmarkStart w:id="1282" w:name="_Toc192879862"/>
      <w:bookmarkStart w:id="1283" w:name="_Toc195814745"/>
      <w:bookmarkStart w:id="1284" w:name="_Toc199452692"/>
      <w:r>
        <w:lastRenderedPageBreak/>
        <w:t>4.3</w:t>
      </w:r>
      <w:r>
        <w:tab/>
        <w:t>Nnwdaf_AnalyticsInfo Service</w:t>
      </w:r>
      <w:bookmarkEnd w:id="1122"/>
      <w:bookmarkEnd w:id="1123"/>
      <w:bookmarkEnd w:id="1124"/>
      <w:bookmarkEnd w:id="1125"/>
      <w:bookmarkEnd w:id="1126"/>
      <w:bookmarkEnd w:id="1128"/>
      <w:bookmarkEnd w:id="1129"/>
      <w:bookmarkEnd w:id="1130"/>
      <w:bookmarkEnd w:id="1131"/>
      <w:bookmarkEnd w:id="1132"/>
      <w:bookmarkEnd w:id="1133"/>
      <w:bookmarkEnd w:id="1134"/>
      <w:bookmarkEnd w:id="1135"/>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62DA4F4" w14:textId="77777777" w:rsidR="00A10B25" w:rsidRDefault="00A10B25">
      <w:pPr>
        <w:pStyle w:val="3"/>
      </w:pPr>
      <w:bookmarkStart w:id="1285" w:name="_Toc56640915"/>
      <w:bookmarkStart w:id="1286" w:name="_Toc114133702"/>
      <w:bookmarkStart w:id="1287" w:name="_Toc68168912"/>
      <w:bookmarkStart w:id="1288" w:name="_Toc112951023"/>
      <w:bookmarkStart w:id="1289" w:name="_Toc98233536"/>
      <w:bookmarkStart w:id="1290" w:name="_Toc85552889"/>
      <w:bookmarkStart w:id="1291" w:name="_Toc66231751"/>
      <w:bookmarkStart w:id="1292" w:name="_Toc28012772"/>
      <w:bookmarkStart w:id="1293" w:name="_Toc36102413"/>
      <w:bookmarkStart w:id="1294" w:name="_Toc104538901"/>
      <w:bookmarkStart w:id="1295" w:name="_Toc50031928"/>
      <w:bookmarkStart w:id="1296" w:name="_Toc83232995"/>
      <w:bookmarkStart w:id="1297" w:name="_Toc136562249"/>
      <w:bookmarkStart w:id="1298" w:name="_Toc59017883"/>
      <w:bookmarkStart w:id="1299" w:name="_Toc45133998"/>
      <w:bookmarkStart w:id="1300" w:name="_Toc51762848"/>
      <w:bookmarkStart w:id="1301" w:name="_Toc120702202"/>
      <w:bookmarkStart w:id="1302" w:name="_Toc101244312"/>
      <w:bookmarkStart w:id="1303" w:name="_Toc113031563"/>
      <w:bookmarkStart w:id="1304" w:name="_Toc94064156"/>
      <w:bookmarkStart w:id="1305" w:name="_Toc34266242"/>
      <w:bookmarkStart w:id="1306" w:name="_Toc90655775"/>
      <w:bookmarkStart w:id="1307" w:name="_Toc88667490"/>
      <w:bookmarkStart w:id="1308" w:name="_Toc70550558"/>
      <w:bookmarkStart w:id="1309" w:name="_Toc85556988"/>
      <w:bookmarkStart w:id="1310" w:name="_Toc145705570"/>
      <w:bookmarkStart w:id="1311" w:name="_Toc148522474"/>
      <w:bookmarkStart w:id="1312" w:name="_Toc138754083"/>
      <w:bookmarkStart w:id="1313" w:name="_Toc43563455"/>
      <w:bookmarkStart w:id="1314" w:name="_Toc164920598"/>
      <w:bookmarkStart w:id="1315" w:name="_Toc170120140"/>
      <w:bookmarkStart w:id="1316" w:name="_Toc175858385"/>
      <w:bookmarkStart w:id="1317" w:name="_Toc175859458"/>
      <w:bookmarkStart w:id="1318" w:name="_Toc180605748"/>
      <w:bookmarkStart w:id="1319" w:name="_Toc185517002"/>
      <w:bookmarkStart w:id="1320" w:name="_Toc191576053"/>
      <w:bookmarkStart w:id="1321" w:name="_Toc191576793"/>
      <w:bookmarkStart w:id="1322" w:name="_Toc192879863"/>
      <w:bookmarkStart w:id="1323" w:name="_Toc195814746"/>
      <w:bookmarkStart w:id="1324" w:name="_Toc199452693"/>
      <w:r>
        <w:t>4.3.1</w:t>
      </w:r>
      <w:r>
        <w:tab/>
        <w:t>Service Description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701DEA65" w14:textId="77777777" w:rsidR="00A10B25" w:rsidRDefault="00A10B25">
      <w:pPr>
        <w:pStyle w:val="4"/>
        <w:rPr>
          <w:lang w:eastAsia="zh-CN"/>
        </w:rPr>
      </w:pPr>
      <w:bookmarkStart w:id="1325" w:name="_Toc51762849"/>
      <w:bookmarkStart w:id="1326" w:name="_Toc83232996"/>
      <w:bookmarkStart w:id="1327" w:name="_Toc50031929"/>
      <w:bookmarkStart w:id="1328" w:name="_Toc90655776"/>
      <w:bookmarkStart w:id="1329" w:name="_Toc66231752"/>
      <w:bookmarkStart w:id="1330" w:name="_Toc68168913"/>
      <w:bookmarkStart w:id="1331" w:name="_Toc113031564"/>
      <w:bookmarkStart w:id="1332" w:name="_Toc70550559"/>
      <w:bookmarkStart w:id="1333" w:name="_Toc94064157"/>
      <w:bookmarkStart w:id="1334" w:name="_Toc56640916"/>
      <w:bookmarkStart w:id="1335" w:name="_Toc120702203"/>
      <w:bookmarkStart w:id="1336" w:name="_Toc59017884"/>
      <w:bookmarkStart w:id="1337" w:name="_Toc88667491"/>
      <w:bookmarkStart w:id="1338" w:name="_Toc114133703"/>
      <w:bookmarkStart w:id="1339" w:name="_Toc138754084"/>
      <w:bookmarkStart w:id="1340" w:name="_Toc28012773"/>
      <w:bookmarkStart w:id="1341" w:name="_Toc112951024"/>
      <w:bookmarkStart w:id="1342" w:name="_Toc104538902"/>
      <w:bookmarkStart w:id="1343" w:name="_Toc136562250"/>
      <w:bookmarkStart w:id="1344" w:name="_Toc36102414"/>
      <w:bookmarkStart w:id="1345" w:name="_Toc85552890"/>
      <w:bookmarkStart w:id="1346" w:name="_Toc101244313"/>
      <w:bookmarkStart w:id="1347" w:name="_Toc34266243"/>
      <w:bookmarkStart w:id="1348" w:name="_Toc148522475"/>
      <w:bookmarkStart w:id="1349" w:name="_Toc45133999"/>
      <w:bookmarkStart w:id="1350" w:name="_Toc145705571"/>
      <w:bookmarkStart w:id="1351" w:name="_Toc98233537"/>
      <w:bookmarkStart w:id="1352" w:name="_Toc85556989"/>
      <w:bookmarkStart w:id="1353" w:name="_Toc43563456"/>
      <w:bookmarkStart w:id="1354" w:name="_Toc164920599"/>
      <w:bookmarkStart w:id="1355" w:name="_Toc170120141"/>
      <w:bookmarkStart w:id="1356" w:name="_Toc175858386"/>
      <w:bookmarkStart w:id="1357" w:name="_Toc175859459"/>
      <w:bookmarkStart w:id="1358" w:name="_Toc180605749"/>
      <w:bookmarkStart w:id="1359" w:name="_Toc185517003"/>
      <w:bookmarkStart w:id="1360" w:name="_Toc191576054"/>
      <w:bookmarkStart w:id="1361" w:name="_Toc191576794"/>
      <w:bookmarkStart w:id="1362" w:name="_Toc192879864"/>
      <w:bookmarkStart w:id="1363" w:name="_Toc195814747"/>
      <w:bookmarkStart w:id="1364" w:name="_Toc199452694"/>
      <w:r>
        <w:t>4.3.</w:t>
      </w:r>
      <w:r>
        <w:rPr>
          <w:rFonts w:hint="eastAsia"/>
          <w:lang w:eastAsia="zh-CN"/>
        </w:rPr>
        <w:t>1</w:t>
      </w:r>
      <w:r>
        <w:rPr>
          <w:lang w:eastAsia="zh-CN"/>
        </w:rPr>
        <w:t>.1</w:t>
      </w:r>
      <w:r>
        <w:tab/>
      </w:r>
      <w:r>
        <w:rPr>
          <w:rFonts w:hint="eastAsia"/>
          <w:lang w:eastAsia="zh-CN"/>
        </w:rPr>
        <w:t>Overview</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46B62904" w14:textId="77777777" w:rsidR="00A10B25" w:rsidRDefault="00A10B25">
      <w:r>
        <w:t>The Nnwdaf_AnalyticsInfo service as defined in 3GPP TS 23.501 [2], 3GPP TS 23.</w:t>
      </w:r>
      <w:r>
        <w:rPr>
          <w:rFonts w:hint="eastAsia"/>
          <w:lang w:eastAsia="zh-CN"/>
        </w:rPr>
        <w:t>288</w:t>
      </w:r>
      <w:r>
        <w:t> [</w:t>
      </w:r>
      <w:r>
        <w:rPr>
          <w:rFonts w:hint="eastAsia"/>
          <w:lang w:eastAsia="zh-CN"/>
        </w:rPr>
        <w:t>17</w:t>
      </w:r>
      <w:r>
        <w:t>] and 3GPP TS 2</w:t>
      </w:r>
      <w:r>
        <w:rPr>
          <w:rFonts w:hint="eastAsia"/>
          <w:lang w:eastAsia="zh-CN"/>
        </w:rPr>
        <w:t>3</w:t>
      </w:r>
      <w:r>
        <w:t>.503 [4], is provided by the Network Data Analytics Function (NWDAF).</w:t>
      </w:r>
    </w:p>
    <w:p w14:paraId="55504FE6" w14:textId="77777777" w:rsidR="00A10B25" w:rsidRDefault="00A10B25">
      <w:r>
        <w:t>This service:</w:t>
      </w:r>
    </w:p>
    <w:p w14:paraId="05161568" w14:textId="77777777" w:rsidR="00A10B25" w:rsidRDefault="00A10B25">
      <w:pPr>
        <w:pStyle w:val="B1"/>
      </w:pPr>
      <w:r>
        <w:t>-</w:t>
      </w:r>
      <w:r>
        <w:tab/>
        <w:t>allows NF</w:t>
      </w:r>
      <w:r>
        <w:rPr>
          <w:rFonts w:eastAsia="Batang"/>
        </w:rPr>
        <w:t xml:space="preserve"> </w:t>
      </w:r>
      <w:r>
        <w:rPr>
          <w:rFonts w:eastAsia="等线"/>
        </w:rPr>
        <w:t xml:space="preserve">service </w:t>
      </w:r>
      <w:r>
        <w:t>consumers to request and get different type of analytic event information; and</w:t>
      </w:r>
    </w:p>
    <w:p w14:paraId="3B3FEB02" w14:textId="77777777" w:rsidR="00A10B25" w:rsidRDefault="00A10B25">
      <w:pPr>
        <w:pStyle w:val="B1"/>
      </w:pPr>
      <w:r>
        <w:t>-</w:t>
      </w:r>
      <w:r>
        <w:tab/>
        <w:t>allows NF</w:t>
      </w:r>
      <w:r>
        <w:rPr>
          <w:rFonts w:eastAsia="等线"/>
        </w:rPr>
        <w:t xml:space="preserve"> service</w:t>
      </w:r>
      <w:r>
        <w:rPr>
          <w:rFonts w:eastAsia="Batang"/>
        </w:rPr>
        <w:t xml:space="preserve"> </w:t>
      </w:r>
      <w:r>
        <w:t>consumers to request and get context information related to analytics subscriptions.</w:t>
      </w:r>
    </w:p>
    <w:p w14:paraId="1E27765C" w14:textId="77777777" w:rsidR="00A10B25" w:rsidRDefault="00A10B25">
      <w:pPr>
        <w:rPr>
          <w:rFonts w:eastAsia="等线"/>
        </w:rPr>
      </w:pPr>
      <w:r>
        <w:rPr>
          <w:rFonts w:eastAsia="等线"/>
        </w:rPr>
        <w:t>The types of observed events include:</w:t>
      </w:r>
    </w:p>
    <w:p w14:paraId="6AF45799" w14:textId="77777777" w:rsidR="00A10B25" w:rsidRDefault="00A10B25">
      <w:pPr>
        <w:pStyle w:val="B1"/>
      </w:pPr>
      <w:bookmarkStart w:id="1365" w:name="_Toc59017885"/>
      <w:bookmarkStart w:id="1366" w:name="_Toc113031565"/>
      <w:bookmarkStart w:id="1367" w:name="_Toc51762850"/>
      <w:bookmarkStart w:id="1368" w:name="_Toc114133704"/>
      <w:bookmarkStart w:id="1369" w:name="_Toc34266244"/>
      <w:bookmarkStart w:id="1370" w:name="_Toc85556990"/>
      <w:bookmarkStart w:id="1371" w:name="_Toc112951025"/>
      <w:bookmarkStart w:id="1372" w:name="_Toc98233538"/>
      <w:bookmarkStart w:id="1373" w:name="_Toc120702204"/>
      <w:bookmarkStart w:id="1374" w:name="_Toc43563457"/>
      <w:bookmarkStart w:id="1375" w:name="_Toc56640917"/>
      <w:bookmarkStart w:id="1376" w:name="_Toc94064158"/>
      <w:bookmarkStart w:id="1377" w:name="_Toc50031930"/>
      <w:bookmarkStart w:id="1378" w:name="_Toc28012774"/>
      <w:bookmarkStart w:id="1379" w:name="_Toc68168914"/>
      <w:bookmarkStart w:id="1380" w:name="_Toc90655777"/>
      <w:bookmarkStart w:id="1381" w:name="_Toc101244314"/>
      <w:bookmarkStart w:id="1382" w:name="_Toc45134000"/>
      <w:bookmarkStart w:id="1383" w:name="_Toc70550560"/>
      <w:bookmarkStart w:id="1384" w:name="_Toc36102415"/>
      <w:bookmarkStart w:id="1385" w:name="_Toc66231753"/>
      <w:bookmarkStart w:id="1386" w:name="_Toc85552891"/>
      <w:bookmarkStart w:id="1387" w:name="_Toc88667492"/>
      <w:bookmarkStart w:id="1388" w:name="_Toc83232997"/>
      <w:bookmarkStart w:id="1389" w:name="_Toc104538903"/>
      <w:r>
        <w:t>-</w:t>
      </w:r>
      <w:r>
        <w:tab/>
        <w:t>Slice load level information;</w:t>
      </w:r>
    </w:p>
    <w:p w14:paraId="3AD180EB" w14:textId="77777777" w:rsidR="00A10B25" w:rsidRDefault="00A10B25">
      <w:pPr>
        <w:pStyle w:val="B1"/>
      </w:pPr>
      <w:r>
        <w:t>-</w:t>
      </w:r>
      <w:r>
        <w:tab/>
        <w:t>Network slice instance load level information;</w:t>
      </w:r>
    </w:p>
    <w:p w14:paraId="124B866C" w14:textId="77777777" w:rsidR="00A10B25" w:rsidRDefault="00A10B25">
      <w:pPr>
        <w:pStyle w:val="B1"/>
      </w:pPr>
      <w:r>
        <w:t>-</w:t>
      </w:r>
      <w:r>
        <w:tab/>
        <w:t>Service experience;</w:t>
      </w:r>
    </w:p>
    <w:p w14:paraId="7670A8E9" w14:textId="77777777" w:rsidR="00A10B25" w:rsidRDefault="00A10B25">
      <w:pPr>
        <w:pStyle w:val="B1"/>
      </w:pPr>
      <w:r>
        <w:t>-</w:t>
      </w:r>
      <w:r>
        <w:tab/>
        <w:t>NF load;</w:t>
      </w:r>
    </w:p>
    <w:p w14:paraId="5B0CDE04" w14:textId="77777777" w:rsidR="00A10B25" w:rsidRDefault="00A10B25">
      <w:pPr>
        <w:pStyle w:val="B1"/>
      </w:pPr>
      <w:r>
        <w:t>-</w:t>
      </w:r>
      <w:r>
        <w:tab/>
        <w:t>Network performance;</w:t>
      </w:r>
    </w:p>
    <w:p w14:paraId="17AE2489" w14:textId="77777777" w:rsidR="00A10B25" w:rsidRDefault="00A10B25">
      <w:pPr>
        <w:pStyle w:val="B1"/>
      </w:pPr>
      <w:r>
        <w:t>-</w:t>
      </w:r>
      <w:r>
        <w:tab/>
        <w:t>Abnormal behaviour;</w:t>
      </w:r>
    </w:p>
    <w:p w14:paraId="0EBC5086" w14:textId="77777777" w:rsidR="00A10B25" w:rsidRDefault="00A10B25">
      <w:pPr>
        <w:pStyle w:val="B1"/>
      </w:pPr>
      <w:r>
        <w:t>-</w:t>
      </w:r>
      <w:r>
        <w:tab/>
        <w:t>UE mobility;</w:t>
      </w:r>
    </w:p>
    <w:p w14:paraId="6969D35C" w14:textId="77777777" w:rsidR="00A10B25" w:rsidRDefault="00A10B25">
      <w:pPr>
        <w:pStyle w:val="B1"/>
      </w:pPr>
      <w:r>
        <w:t>-</w:t>
      </w:r>
      <w:r>
        <w:tab/>
        <w:t>UE communication;</w:t>
      </w:r>
    </w:p>
    <w:p w14:paraId="1BDE507C" w14:textId="77777777" w:rsidR="00A10B25" w:rsidRDefault="00A10B25">
      <w:pPr>
        <w:pStyle w:val="B1"/>
      </w:pPr>
      <w:r>
        <w:t>-</w:t>
      </w:r>
      <w:r>
        <w:tab/>
        <w:t>User data congestion;</w:t>
      </w:r>
    </w:p>
    <w:p w14:paraId="3AC25347" w14:textId="77777777" w:rsidR="00A10B25" w:rsidRDefault="00A10B25">
      <w:pPr>
        <w:pStyle w:val="B1"/>
      </w:pPr>
      <w:r>
        <w:t>-</w:t>
      </w:r>
      <w:r>
        <w:tab/>
        <w:t>QoS sustainability;</w:t>
      </w:r>
    </w:p>
    <w:p w14:paraId="4C01A767" w14:textId="77777777" w:rsidR="00A10B25" w:rsidRDefault="00A10B25">
      <w:pPr>
        <w:pStyle w:val="B1"/>
      </w:pPr>
      <w:r>
        <w:t>-</w:t>
      </w:r>
      <w:r>
        <w:tab/>
        <w:t>SM congestion control experience;</w:t>
      </w:r>
    </w:p>
    <w:p w14:paraId="768007BC" w14:textId="77777777" w:rsidR="00A10B25" w:rsidRDefault="00A10B25">
      <w:pPr>
        <w:pStyle w:val="B1"/>
      </w:pPr>
      <w:r>
        <w:t>-</w:t>
      </w:r>
      <w:r>
        <w:tab/>
        <w:t>Dispersion;</w:t>
      </w:r>
    </w:p>
    <w:p w14:paraId="28B5B807" w14:textId="77777777" w:rsidR="00A10B25" w:rsidRDefault="00A10B25">
      <w:pPr>
        <w:pStyle w:val="B1"/>
      </w:pPr>
      <w:r>
        <w:t>-</w:t>
      </w:r>
      <w:r>
        <w:tab/>
        <w:t>Redundant transmission experience;</w:t>
      </w:r>
    </w:p>
    <w:p w14:paraId="5E619A6A" w14:textId="77777777" w:rsidR="00A10B25" w:rsidRDefault="00A10B25">
      <w:pPr>
        <w:pStyle w:val="B1"/>
      </w:pPr>
      <w:r>
        <w:t>-</w:t>
      </w:r>
      <w:r>
        <w:tab/>
        <w:t>WLAN performance;</w:t>
      </w:r>
    </w:p>
    <w:p w14:paraId="616DC559" w14:textId="77777777" w:rsidR="00A10B25" w:rsidRDefault="00A10B25">
      <w:pPr>
        <w:pStyle w:val="B1"/>
      </w:pPr>
      <w:r>
        <w:t>-</w:t>
      </w:r>
      <w:r>
        <w:tab/>
        <w:t>DN performance;</w:t>
      </w:r>
    </w:p>
    <w:p w14:paraId="4B38D64D" w14:textId="77777777" w:rsidR="00640768" w:rsidRDefault="00640768" w:rsidP="00640768">
      <w:pPr>
        <w:pStyle w:val="B1"/>
      </w:pPr>
      <w:r>
        <w:t>-</w:t>
      </w:r>
      <w:r>
        <w:tab/>
        <w:t>PDU Session traffic;</w:t>
      </w:r>
    </w:p>
    <w:p w14:paraId="5E82222F" w14:textId="77777777" w:rsidR="00A10B25" w:rsidRDefault="00A10B25">
      <w:pPr>
        <w:pStyle w:val="B1"/>
      </w:pPr>
      <w:r>
        <w:t>-</w:t>
      </w:r>
      <w:r>
        <w:tab/>
        <w:t>Movement Behaviour;</w:t>
      </w:r>
    </w:p>
    <w:p w14:paraId="41665997" w14:textId="77777777" w:rsidR="00432DC2" w:rsidRDefault="00432DC2" w:rsidP="00432DC2">
      <w:pPr>
        <w:pStyle w:val="B1"/>
      </w:pPr>
      <w:r>
        <w:t>-</w:t>
      </w:r>
      <w:r>
        <w:tab/>
        <w:t>Location Accuracy;</w:t>
      </w:r>
    </w:p>
    <w:p w14:paraId="0E87BAA5" w14:textId="7E923CE4" w:rsidR="001A238E" w:rsidRDefault="001A238E" w:rsidP="001A238E">
      <w:pPr>
        <w:pStyle w:val="B1"/>
      </w:pPr>
      <w:r>
        <w:t>-</w:t>
      </w:r>
      <w:r>
        <w:tab/>
        <w:t>Relative Proximity;</w:t>
      </w:r>
    </w:p>
    <w:p w14:paraId="080FF5AE" w14:textId="77777777" w:rsidR="001A238E" w:rsidRDefault="001A238E" w:rsidP="001A238E">
      <w:pPr>
        <w:pStyle w:val="B1"/>
      </w:pPr>
      <w:r>
        <w:t>-</w:t>
      </w:r>
      <w:r>
        <w:tab/>
        <w:t>Signalling Storm; and</w:t>
      </w:r>
    </w:p>
    <w:p w14:paraId="6750CE5A" w14:textId="77777777" w:rsidR="001A238E" w:rsidRDefault="001A238E" w:rsidP="001A238E">
      <w:pPr>
        <w:pStyle w:val="B1"/>
      </w:pPr>
      <w:r>
        <w:t>-</w:t>
      </w:r>
      <w:r>
        <w:tab/>
      </w:r>
      <w:r w:rsidRPr="00657FAD">
        <w:rPr>
          <w:noProof/>
          <w:lang w:eastAsia="zh-CN"/>
        </w:rPr>
        <w:t>QoS and Policy Assistance</w:t>
      </w:r>
      <w:r>
        <w:t>.</w:t>
      </w:r>
    </w:p>
    <w:p w14:paraId="2209511A" w14:textId="77777777" w:rsidR="00A10B25" w:rsidRPr="00432DC2" w:rsidRDefault="00A10B25">
      <w:pPr>
        <w:pStyle w:val="B1"/>
      </w:pPr>
    </w:p>
    <w:p w14:paraId="5A791654" w14:textId="77777777" w:rsidR="00A10B25" w:rsidRDefault="00A10B25">
      <w:pPr>
        <w:pStyle w:val="4"/>
      </w:pPr>
      <w:bookmarkStart w:id="1390" w:name="_Toc138754085"/>
      <w:bookmarkStart w:id="1391" w:name="_Toc145705572"/>
      <w:bookmarkStart w:id="1392" w:name="_Toc148522476"/>
      <w:bookmarkStart w:id="1393" w:name="_Toc136562251"/>
      <w:bookmarkStart w:id="1394" w:name="_Toc164920600"/>
      <w:bookmarkStart w:id="1395" w:name="_Toc170120142"/>
      <w:bookmarkStart w:id="1396" w:name="_Toc175858387"/>
      <w:bookmarkStart w:id="1397" w:name="_Toc175859460"/>
      <w:bookmarkStart w:id="1398" w:name="_Toc180605750"/>
      <w:bookmarkStart w:id="1399" w:name="_Toc185517004"/>
      <w:bookmarkStart w:id="1400" w:name="_Toc191576055"/>
      <w:bookmarkStart w:id="1401" w:name="_Toc191576795"/>
      <w:bookmarkStart w:id="1402" w:name="_Toc192879865"/>
      <w:bookmarkStart w:id="1403" w:name="_Toc195814748"/>
      <w:bookmarkStart w:id="1404" w:name="_Toc199452695"/>
      <w:r>
        <w:t>4.3.</w:t>
      </w:r>
      <w:r>
        <w:rPr>
          <w:rFonts w:hint="eastAsia"/>
        </w:rPr>
        <w:t>1</w:t>
      </w:r>
      <w:r>
        <w:t>.2</w:t>
      </w:r>
      <w:r>
        <w:rPr>
          <w:rFonts w:hint="eastAsia"/>
        </w:rPr>
        <w:tab/>
      </w:r>
      <w:r>
        <w:t>Service Architecture</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25A8415" w14:textId="77777777" w:rsidR="00A10B25" w:rsidRDefault="00A10B25">
      <w:r>
        <w:t>The 5G System Architecture is defined in 3GPP TS 23.501 [2]. The Network Data Analytics Exposure architecture is defined in 3GPP TS 23.288 [17]. The Network Data Analytics signalling flows are defined in 3GPP TS 29.552 [25], the Policy and Charging related 5G architecture is also described in 3GPP TS 2</w:t>
      </w:r>
      <w:r>
        <w:rPr>
          <w:lang w:eastAsia="zh-CN"/>
        </w:rPr>
        <w:t>3</w:t>
      </w:r>
      <w:r>
        <w:t>.503 [4] and 3GPP TS 29.513 [5].</w:t>
      </w:r>
    </w:p>
    <w:p w14:paraId="158A053B" w14:textId="77777777" w:rsidR="00A10B25" w:rsidRDefault="00A10B25">
      <w:r>
        <w:t>The</w:t>
      </w:r>
      <w:r>
        <w:rPr>
          <w:rFonts w:eastAsia="Batang"/>
        </w:rPr>
        <w:t xml:space="preserve"> </w:t>
      </w:r>
      <w:r>
        <w:t>Nnwdaf_AnalyticsInfo service is part of the Nnwdaf service-based interface exhibited by the Network Data Analytics Function (NWDAF).</w:t>
      </w:r>
    </w:p>
    <w:p w14:paraId="6AF7559D" w14:textId="77777777" w:rsidR="00A10B25" w:rsidRDefault="00A10B25">
      <w:r>
        <w:t xml:space="preserve">Known consumers of the Nnwdaf_AnalyticsInfo service are: </w:t>
      </w:r>
    </w:p>
    <w:p w14:paraId="2D9C562E" w14:textId="77777777" w:rsidR="00A10B25" w:rsidRDefault="00A10B25">
      <w:pPr>
        <w:pStyle w:val="B1"/>
      </w:pPr>
      <w:r>
        <w:t>-</w:t>
      </w:r>
      <w:r>
        <w:tab/>
        <w:t xml:space="preserve">Policy Control Function (PCF) </w:t>
      </w:r>
    </w:p>
    <w:p w14:paraId="61A2FD26" w14:textId="77777777" w:rsidR="00A10B25" w:rsidRDefault="00A10B25">
      <w:pPr>
        <w:pStyle w:val="B1"/>
        <w:rPr>
          <w:rFonts w:eastAsia="等线"/>
        </w:rPr>
      </w:pPr>
      <w:r>
        <w:t>-</w:t>
      </w:r>
      <w:r>
        <w:tab/>
        <w:t>Network Slice Selection Function (NSSF)</w:t>
      </w:r>
      <w:r>
        <w:rPr>
          <w:rFonts w:eastAsia="等线"/>
        </w:rPr>
        <w:t xml:space="preserve"> </w:t>
      </w:r>
    </w:p>
    <w:p w14:paraId="44D67DDC" w14:textId="77777777" w:rsidR="00A10B25" w:rsidRDefault="00A10B25">
      <w:pPr>
        <w:pStyle w:val="B1"/>
      </w:pPr>
      <w:r>
        <w:t>-</w:t>
      </w:r>
      <w:r>
        <w:tab/>
        <w:t xml:space="preserve">Access and Mobility Management Function (AMF) </w:t>
      </w:r>
    </w:p>
    <w:p w14:paraId="73A73FB4" w14:textId="77777777" w:rsidR="00A10B25" w:rsidRDefault="00A10B25">
      <w:pPr>
        <w:pStyle w:val="B1"/>
      </w:pPr>
      <w:r>
        <w:t>-</w:t>
      </w:r>
      <w:r>
        <w:tab/>
        <w:t xml:space="preserve">Session Management Function (SMF) </w:t>
      </w:r>
    </w:p>
    <w:p w14:paraId="7243D3F9" w14:textId="77777777" w:rsidR="00640768" w:rsidRDefault="00640768" w:rsidP="00640768">
      <w:pPr>
        <w:pStyle w:val="B1"/>
      </w:pPr>
      <w:bookmarkStart w:id="1405" w:name="_Hlk128336568"/>
      <w:r>
        <w:t>-</w:t>
      </w:r>
      <w:r>
        <w:tab/>
        <w:t>Network Exposure Function (NEF)</w:t>
      </w:r>
    </w:p>
    <w:bookmarkEnd w:id="1405"/>
    <w:p w14:paraId="2F27F3C4" w14:textId="77777777" w:rsidR="00A10B25" w:rsidRDefault="00A10B25">
      <w:pPr>
        <w:pStyle w:val="B1"/>
      </w:pPr>
      <w:r>
        <w:t>-</w:t>
      </w:r>
      <w:r>
        <w:tab/>
        <w:t>Application Function (AF)</w:t>
      </w:r>
    </w:p>
    <w:p w14:paraId="2ABF66DE" w14:textId="77777777" w:rsidR="00A10B25" w:rsidRDefault="00A10B25">
      <w:pPr>
        <w:pStyle w:val="B1"/>
      </w:pPr>
      <w:r>
        <w:t>-</w:t>
      </w:r>
      <w:r>
        <w:tab/>
        <w:t>Location Management Function (LMF)</w:t>
      </w:r>
    </w:p>
    <w:p w14:paraId="0BDA2320" w14:textId="77777777" w:rsidR="00A10B25" w:rsidRDefault="00A10B25">
      <w:pPr>
        <w:pStyle w:val="B1"/>
      </w:pPr>
      <w:r>
        <w:t>-</w:t>
      </w:r>
      <w:r>
        <w:tab/>
        <w:t>Operation, Administration, and Maintenance (OAM)</w:t>
      </w:r>
    </w:p>
    <w:p w14:paraId="4A82393F" w14:textId="77777777" w:rsidR="00A10B25" w:rsidRDefault="00A10B25">
      <w:pPr>
        <w:pStyle w:val="B1"/>
      </w:pPr>
      <w:r>
        <w:t>-</w:t>
      </w:r>
      <w:r>
        <w:tab/>
        <w:t>Network Data Analytics Function (NWDAF)</w:t>
      </w:r>
    </w:p>
    <w:p w14:paraId="00DB0FB1" w14:textId="77777777" w:rsidR="009B01A5" w:rsidRDefault="00A10B25" w:rsidP="009B01A5">
      <w:pPr>
        <w:pStyle w:val="B1"/>
        <w:rPr>
          <w:lang w:eastAsia="zh-CN"/>
        </w:rPr>
      </w:pPr>
      <w:r>
        <w:rPr>
          <w:rFonts w:hint="eastAsia"/>
          <w:lang w:eastAsia="zh-CN"/>
        </w:rPr>
        <w:t>-</w:t>
      </w:r>
      <w:r>
        <w:rPr>
          <w:lang w:eastAsia="zh-CN"/>
        </w:rPr>
        <w:tab/>
        <w:t>Data Collection Coordination Function (DCCF)</w:t>
      </w:r>
    </w:p>
    <w:p w14:paraId="6EF598B1" w14:textId="77777777" w:rsidR="00AD5F95" w:rsidRDefault="00AD5F95" w:rsidP="00AD5F95">
      <w:pPr>
        <w:pStyle w:val="B1"/>
      </w:pPr>
      <w:bookmarkStart w:id="1406" w:name="_Toc88667493"/>
      <w:bookmarkStart w:id="1407" w:name="_Toc94064159"/>
      <w:bookmarkStart w:id="1408" w:name="_Toc59017886"/>
      <w:bookmarkStart w:id="1409" w:name="_Toc66231754"/>
      <w:bookmarkStart w:id="1410" w:name="_Toc70550561"/>
      <w:bookmarkStart w:id="1411" w:name="_Toc101244315"/>
      <w:bookmarkStart w:id="1412" w:name="_Toc50031931"/>
      <w:bookmarkStart w:id="1413" w:name="_Toc56640918"/>
      <w:bookmarkStart w:id="1414" w:name="_Toc36102416"/>
      <w:bookmarkStart w:id="1415" w:name="_Toc85552892"/>
      <w:bookmarkStart w:id="1416" w:name="_Toc90655778"/>
      <w:bookmarkStart w:id="1417" w:name="_Toc45134001"/>
      <w:bookmarkStart w:id="1418" w:name="_Toc114133705"/>
      <w:bookmarkStart w:id="1419" w:name="_Toc83232998"/>
      <w:bookmarkStart w:id="1420" w:name="_Toc113031566"/>
      <w:bookmarkStart w:id="1421" w:name="_Toc112951026"/>
      <w:bookmarkStart w:id="1422" w:name="_Toc120702205"/>
      <w:bookmarkStart w:id="1423" w:name="_Toc43563458"/>
      <w:bookmarkStart w:id="1424" w:name="_Toc28012775"/>
      <w:bookmarkStart w:id="1425" w:name="_Toc34266245"/>
      <w:bookmarkStart w:id="1426" w:name="_Toc98233539"/>
      <w:bookmarkStart w:id="1427" w:name="_Toc85556991"/>
      <w:bookmarkStart w:id="1428" w:name="_Toc68168915"/>
      <w:bookmarkStart w:id="1429" w:name="_Toc104538904"/>
      <w:bookmarkStart w:id="1430" w:name="_Toc51762851"/>
      <w:bookmarkStart w:id="1431" w:name="_Toc148522477"/>
      <w:bookmarkStart w:id="1432" w:name="_Toc136562252"/>
      <w:bookmarkStart w:id="1433" w:name="_Toc138754086"/>
      <w:bookmarkStart w:id="1434" w:name="_Toc145705573"/>
      <w:bookmarkStart w:id="1435" w:name="_Toc164920601"/>
      <w:bookmarkStart w:id="1436" w:name="_Toc170120143"/>
      <w:bookmarkStart w:id="1437" w:name="_Toc175858388"/>
      <w:bookmarkStart w:id="1438" w:name="_Toc175859461"/>
      <w:bookmarkStart w:id="1439" w:name="_Toc180605751"/>
      <w:bookmarkStart w:id="1440" w:name="_Toc185517005"/>
      <w:r>
        <w:t>-</w:t>
      </w:r>
      <w:r>
        <w:tab/>
        <w:t>Analytics Data Repository Function (ADRF)</w:t>
      </w:r>
    </w:p>
    <w:p w14:paraId="5EEFC2A0" w14:textId="77777777" w:rsidR="00AD5F95" w:rsidRDefault="00AD5F95" w:rsidP="00AD5F95">
      <w:pPr>
        <w:pStyle w:val="B1"/>
      </w:pPr>
      <w:r>
        <w:lastRenderedPageBreak/>
        <w:t>-</w:t>
      </w:r>
      <w:r>
        <w:tab/>
        <w:t>Unified Data Management (UDM)</w:t>
      </w:r>
    </w:p>
    <w:p w14:paraId="2F0A50F6" w14:textId="77777777" w:rsidR="00AD5F95" w:rsidRDefault="00AD5F95" w:rsidP="00AD5F95">
      <w:pPr>
        <w:pStyle w:val="B1"/>
      </w:pPr>
      <w:r>
        <w:t>-</w:t>
      </w:r>
      <w:r>
        <w:tab/>
        <w:t>Network Repository Function (NRF)</w:t>
      </w:r>
    </w:p>
    <w:p w14:paraId="39D0C93B" w14:textId="77777777" w:rsidR="00AD5F95" w:rsidRDefault="00AD5F95" w:rsidP="00AD5F95">
      <w:pPr>
        <w:pStyle w:val="B1"/>
      </w:pPr>
      <w:r>
        <w:t>-</w:t>
      </w:r>
      <w:r>
        <w:tab/>
        <w:t>Service Communication Proxy (SCP)</w:t>
      </w:r>
    </w:p>
    <w:p w14:paraId="19C4AA70" w14:textId="77777777" w:rsidR="00AD5F95" w:rsidRDefault="00AD5F95" w:rsidP="00AD5F95">
      <w:r>
        <w:t>The PCF accesses the Nnwdaf_AnalyticsInfo service at the NWDAF via the N23 Reference point. The NSSF accesses the Nnwdaf_AnalyticsInfo service at the NWDAF via the N34 Reference point.</w:t>
      </w:r>
    </w:p>
    <w:p w14:paraId="28CB4189" w14:textId="77777777" w:rsidR="00AD5F95" w:rsidRDefault="00AD5F95" w:rsidP="00AD5F95">
      <w:pPr>
        <w:pStyle w:val="TH"/>
        <w:rPr>
          <w:lang w:val="en-US" w:eastAsia="en-GB"/>
        </w:rPr>
      </w:pPr>
    </w:p>
    <w:p w14:paraId="189DFD1D" w14:textId="77777777" w:rsidR="00AD5F95" w:rsidRDefault="00AD5F95" w:rsidP="00AD5F95">
      <w:pPr>
        <w:pStyle w:val="TH"/>
        <w:rPr>
          <w:lang w:eastAsia="en-GB"/>
        </w:rPr>
      </w:pPr>
      <w:r>
        <w:rPr>
          <w:lang w:val="en-US" w:eastAsia="en-GB"/>
        </w:rPr>
        <w:object w:dxaOrig="17430" w:dyaOrig="2830" w14:anchorId="47FDB424">
          <v:shape id="_x0000_i1038" type="#_x0000_t75" style="width:535.3pt;height:98.3pt" o:ole="">
            <v:imagedata r:id="rId26" o:title=""/>
          </v:shape>
          <o:OLEObject Type="Embed" ProgID="Visio.Drawing.15" ShapeID="_x0000_i1038" DrawAspect="Content" ObjectID="_1810065990" r:id="rId27"/>
        </w:object>
      </w:r>
    </w:p>
    <w:p w14:paraId="0003FAEF" w14:textId="77777777" w:rsidR="00AD5F95" w:rsidRDefault="00AD5F95" w:rsidP="00AD5F95">
      <w:pPr>
        <w:pStyle w:val="TF"/>
      </w:pPr>
      <w:r>
        <w:t>Figure 4.3.1.2-1</w:t>
      </w:r>
      <w:r>
        <w:rPr>
          <w:lang w:eastAsia="zh-CN"/>
        </w:rPr>
        <w:t>:</w:t>
      </w:r>
      <w:r>
        <w:t xml:space="preserve"> Reference Architecture for the Nnwdaf_AnalyticsInfo Service; SBI representation</w:t>
      </w:r>
    </w:p>
    <w:p w14:paraId="33BE5B8C" w14:textId="77777777" w:rsidR="00AD5F95" w:rsidRDefault="00AD5F95" w:rsidP="00AD5F95">
      <w:pPr>
        <w:pStyle w:val="TH"/>
        <w:rPr>
          <w:lang w:val="en-US" w:eastAsia="en-GB"/>
        </w:rPr>
      </w:pPr>
    </w:p>
    <w:p w14:paraId="28CAD098" w14:textId="77777777" w:rsidR="00AD5F95" w:rsidRDefault="00AD5F95" w:rsidP="00AD5F95">
      <w:pPr>
        <w:pStyle w:val="TH"/>
        <w:rPr>
          <w:lang w:eastAsia="zh-CN"/>
        </w:rPr>
      </w:pPr>
      <w:r>
        <w:rPr>
          <w:lang w:val="en-US" w:eastAsia="en-GB"/>
        </w:rPr>
        <w:object w:dxaOrig="17381" w:dyaOrig="2840" w14:anchorId="6AF4A10B">
          <v:shape id="_x0000_i1039" type="#_x0000_t75" style="width:535.3pt;height:105.8pt" o:ole="">
            <v:imagedata r:id="rId28" o:title=""/>
          </v:shape>
          <o:OLEObject Type="Embed" ProgID="Visio.Drawing.15" ShapeID="_x0000_i1039" DrawAspect="Content" ObjectID="_1810065991" r:id="rId29"/>
        </w:object>
      </w:r>
    </w:p>
    <w:p w14:paraId="07B12A81" w14:textId="77777777" w:rsidR="00AD5F95" w:rsidRDefault="00AD5F95" w:rsidP="00AD5F95">
      <w:pPr>
        <w:pStyle w:val="TF"/>
      </w:pPr>
      <w:r>
        <w:t>Figure 4.3.1.2-2</w:t>
      </w:r>
      <w:r>
        <w:rPr>
          <w:lang w:eastAsia="zh-CN"/>
        </w:rPr>
        <w:t>:</w:t>
      </w:r>
      <w:r>
        <w:t xml:space="preserve"> Reference Architecture for the Nnwdaf_AnalyticsInfo Service: reference point representation</w:t>
      </w:r>
    </w:p>
    <w:p w14:paraId="32B85970" w14:textId="77777777" w:rsidR="00A10B25" w:rsidRDefault="00A10B25">
      <w:pPr>
        <w:pStyle w:val="4"/>
        <w:rPr>
          <w:lang w:val="en-US"/>
        </w:rPr>
      </w:pPr>
      <w:bookmarkStart w:id="1441" w:name="_Toc191576056"/>
      <w:bookmarkStart w:id="1442" w:name="_Toc191576796"/>
      <w:bookmarkStart w:id="1443" w:name="_Toc192879866"/>
      <w:bookmarkStart w:id="1444" w:name="_Toc195814749"/>
      <w:bookmarkStart w:id="1445" w:name="_Toc199452696"/>
      <w:r>
        <w:rPr>
          <w:lang w:val="en-US"/>
        </w:rPr>
        <w:t>4.3.</w:t>
      </w:r>
      <w:r>
        <w:rPr>
          <w:rFonts w:hint="eastAsia"/>
          <w:lang w:val="en-US" w:eastAsia="zh-CN"/>
        </w:rPr>
        <w:t>1.3</w:t>
      </w:r>
      <w:r>
        <w:rPr>
          <w:lang w:val="en-US"/>
        </w:rPr>
        <w:tab/>
        <w:t>Network Functions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654BF337" w14:textId="77777777" w:rsidR="00A10B25" w:rsidRDefault="00A10B25">
      <w:pPr>
        <w:pStyle w:val="5"/>
        <w:rPr>
          <w:lang w:eastAsia="zh-CN"/>
        </w:rPr>
      </w:pPr>
      <w:bookmarkStart w:id="1446" w:name="_Toc112951027"/>
      <w:bookmarkStart w:id="1447" w:name="_Toc56640919"/>
      <w:bookmarkStart w:id="1448" w:name="_Toc34266246"/>
      <w:bookmarkStart w:id="1449" w:name="_Toc94064160"/>
      <w:bookmarkStart w:id="1450" w:name="_Toc90655779"/>
      <w:bookmarkStart w:id="1451" w:name="_Toc85556992"/>
      <w:bookmarkStart w:id="1452" w:name="_Toc51762852"/>
      <w:bookmarkStart w:id="1453" w:name="_Toc88667494"/>
      <w:bookmarkStart w:id="1454" w:name="_Toc59017887"/>
      <w:bookmarkStart w:id="1455" w:name="_Toc43563459"/>
      <w:bookmarkStart w:id="1456" w:name="_Toc104538905"/>
      <w:bookmarkStart w:id="1457" w:name="_Toc28012776"/>
      <w:bookmarkStart w:id="1458" w:name="_Toc138754087"/>
      <w:bookmarkStart w:id="1459" w:name="_Toc113031567"/>
      <w:bookmarkStart w:id="1460" w:name="_Toc66231755"/>
      <w:bookmarkStart w:id="1461" w:name="_Toc120702206"/>
      <w:bookmarkStart w:id="1462" w:name="_Toc85552893"/>
      <w:bookmarkStart w:id="1463" w:name="_Toc45134002"/>
      <w:bookmarkStart w:id="1464" w:name="_Toc114133706"/>
      <w:bookmarkStart w:id="1465" w:name="_Toc70550562"/>
      <w:bookmarkStart w:id="1466" w:name="_Toc148522478"/>
      <w:bookmarkStart w:id="1467" w:name="_Toc68168916"/>
      <w:bookmarkStart w:id="1468" w:name="_Toc50031932"/>
      <w:bookmarkStart w:id="1469" w:name="_Toc98233540"/>
      <w:bookmarkStart w:id="1470" w:name="_Toc136562253"/>
      <w:bookmarkStart w:id="1471" w:name="_Toc36102417"/>
      <w:bookmarkStart w:id="1472" w:name="_Toc83232999"/>
      <w:bookmarkStart w:id="1473" w:name="_Toc145705574"/>
      <w:bookmarkStart w:id="1474" w:name="_Toc101244316"/>
      <w:bookmarkStart w:id="1475" w:name="_Toc164920602"/>
      <w:bookmarkStart w:id="1476" w:name="_Toc170120144"/>
      <w:bookmarkStart w:id="1477" w:name="_Toc175858389"/>
      <w:bookmarkStart w:id="1478" w:name="_Toc175859462"/>
      <w:bookmarkStart w:id="1479" w:name="_Toc180605752"/>
      <w:bookmarkStart w:id="1480" w:name="_Toc185517006"/>
      <w:bookmarkStart w:id="1481" w:name="_Toc191576057"/>
      <w:bookmarkStart w:id="1482" w:name="_Toc191576797"/>
      <w:bookmarkStart w:id="1483" w:name="_Toc192879867"/>
      <w:bookmarkStart w:id="1484" w:name="_Toc195814750"/>
      <w:bookmarkStart w:id="1485" w:name="_Toc199452697"/>
      <w:r>
        <w:t>4.3.</w:t>
      </w:r>
      <w:r>
        <w:rPr>
          <w:rFonts w:hint="eastAsia"/>
          <w:lang w:eastAsia="zh-CN"/>
        </w:rPr>
        <w:t>1.3.1</w:t>
      </w:r>
      <w:r>
        <w:tab/>
      </w:r>
      <w:r>
        <w:rPr>
          <w:lang w:val="en-US" w:eastAsia="zh-CN"/>
        </w:rPr>
        <w:t>Network Data Analytics Function (NWDAF)</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2DBE7F27" w14:textId="77777777" w:rsidR="00A10B25" w:rsidRDefault="00A10B25">
      <w:r>
        <w:t xml:space="preserve">The Network Data Analytics Function (NWDAF) provides specific analytics information for different analytic events and, if the "AnaCtxTransfer" feature is supported, context information related to analytics subscriptions to NF </w:t>
      </w:r>
      <w:r>
        <w:rPr>
          <w:rFonts w:eastAsia="等线"/>
        </w:rPr>
        <w:t xml:space="preserve">service </w:t>
      </w:r>
      <w:r>
        <w:t>consumers.</w:t>
      </w:r>
    </w:p>
    <w:p w14:paraId="0020C833" w14:textId="77777777" w:rsidR="00A10B25" w:rsidRDefault="00A10B25">
      <w:pPr>
        <w:pStyle w:val="5"/>
        <w:rPr>
          <w:lang w:eastAsia="zh-CN"/>
        </w:rPr>
      </w:pPr>
      <w:bookmarkStart w:id="1486" w:name="_Toc104538906"/>
      <w:bookmarkStart w:id="1487" w:name="_Toc68168917"/>
      <w:bookmarkStart w:id="1488" w:name="_Toc34266247"/>
      <w:bookmarkStart w:id="1489" w:name="_Toc28012777"/>
      <w:bookmarkStart w:id="1490" w:name="_Toc114133707"/>
      <w:bookmarkStart w:id="1491" w:name="_Toc85552894"/>
      <w:bookmarkStart w:id="1492" w:name="_Toc66231756"/>
      <w:bookmarkStart w:id="1493" w:name="_Toc98233541"/>
      <w:bookmarkStart w:id="1494" w:name="_Toc101244317"/>
      <w:bookmarkStart w:id="1495" w:name="_Toc43563460"/>
      <w:bookmarkStart w:id="1496" w:name="_Toc88667495"/>
      <w:bookmarkStart w:id="1497" w:name="_Toc70550563"/>
      <w:bookmarkStart w:id="1498" w:name="_Toc120702207"/>
      <w:bookmarkStart w:id="1499" w:name="_Toc85556993"/>
      <w:bookmarkStart w:id="1500" w:name="_Toc90655780"/>
      <w:bookmarkStart w:id="1501" w:name="_Toc94064161"/>
      <w:bookmarkStart w:id="1502" w:name="_Toc145705575"/>
      <w:bookmarkStart w:id="1503" w:name="_Toc45134003"/>
      <w:bookmarkStart w:id="1504" w:name="_Toc148522479"/>
      <w:bookmarkStart w:id="1505" w:name="_Toc138754088"/>
      <w:bookmarkStart w:id="1506" w:name="_Toc83233000"/>
      <w:bookmarkStart w:id="1507" w:name="_Toc59017888"/>
      <w:bookmarkStart w:id="1508" w:name="_Toc36102418"/>
      <w:bookmarkStart w:id="1509" w:name="_Toc113031568"/>
      <w:bookmarkStart w:id="1510" w:name="_Toc112951028"/>
      <w:bookmarkStart w:id="1511" w:name="_Toc50031933"/>
      <w:bookmarkStart w:id="1512" w:name="_Toc56640920"/>
      <w:bookmarkStart w:id="1513" w:name="_Toc51762853"/>
      <w:bookmarkStart w:id="1514" w:name="_Toc136562254"/>
      <w:bookmarkStart w:id="1515" w:name="_Toc164920603"/>
      <w:bookmarkStart w:id="1516" w:name="_Toc170120145"/>
      <w:bookmarkStart w:id="1517" w:name="_Toc175858390"/>
      <w:bookmarkStart w:id="1518" w:name="_Toc175859463"/>
      <w:bookmarkStart w:id="1519" w:name="_Toc180605753"/>
      <w:bookmarkStart w:id="1520" w:name="_Toc185517007"/>
      <w:bookmarkStart w:id="1521" w:name="_Toc191576058"/>
      <w:bookmarkStart w:id="1522" w:name="_Toc191576798"/>
      <w:bookmarkStart w:id="1523" w:name="_Toc192879868"/>
      <w:bookmarkStart w:id="1524" w:name="_Toc195814751"/>
      <w:bookmarkStart w:id="1525" w:name="_Toc199452698"/>
      <w:r>
        <w:t>4.3.</w:t>
      </w:r>
      <w:r>
        <w:rPr>
          <w:lang w:eastAsia="zh-CN"/>
        </w:rPr>
        <w:t>1.3.2</w:t>
      </w:r>
      <w:r>
        <w:tab/>
      </w:r>
      <w:r>
        <w:rPr>
          <w:lang w:eastAsia="zh-CN"/>
        </w:rPr>
        <w:t xml:space="preserve">NF </w:t>
      </w:r>
      <w:r>
        <w:t>Service</w:t>
      </w:r>
      <w:r>
        <w:rPr>
          <w:lang w:eastAsia="zh-CN"/>
        </w:rPr>
        <w:t xml:space="preserve"> Consumers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04ACF584" w14:textId="77777777" w:rsidR="00A10B25" w:rsidRDefault="00A10B25">
      <w:r>
        <w:t>The Policy Control Function (PCF):</w:t>
      </w:r>
    </w:p>
    <w:p w14:paraId="7A538A24" w14:textId="77777777" w:rsidR="00A10B25" w:rsidRDefault="00A10B25">
      <w:pPr>
        <w:pStyle w:val="B1"/>
      </w:pPr>
      <w:r>
        <w:t>-</w:t>
      </w:r>
      <w:r>
        <w:tab/>
        <w:t>supports taking analytics information for slice load level information from the NWDAF;</w:t>
      </w:r>
    </w:p>
    <w:p w14:paraId="71E77056" w14:textId="77777777" w:rsidR="00A10B25" w:rsidRDefault="00A10B25">
      <w:pPr>
        <w:pStyle w:val="B1"/>
      </w:pPr>
      <w:r>
        <w:t>-</w:t>
      </w:r>
      <w:r>
        <w:tab/>
        <w:t>supports taking analytics information for service experience related network data from the NWDAF;</w:t>
      </w:r>
    </w:p>
    <w:p w14:paraId="56CD8475" w14:textId="77777777" w:rsidR="00A10B25" w:rsidRDefault="00A10B25">
      <w:pPr>
        <w:pStyle w:val="B1"/>
      </w:pPr>
      <w:r>
        <w:t>-</w:t>
      </w:r>
      <w:r>
        <w:tab/>
        <w:t>supports taking analytics information for network performance from the NWDAF;</w:t>
      </w:r>
    </w:p>
    <w:p w14:paraId="255F6807" w14:textId="77777777" w:rsidR="00A10B25" w:rsidRDefault="00A10B25">
      <w:pPr>
        <w:pStyle w:val="B1"/>
      </w:pPr>
      <w:r>
        <w:t>-</w:t>
      </w:r>
      <w:r>
        <w:tab/>
        <w:t>supports taking analytics information for abnormal UE behaviour from the NWDAF;</w:t>
      </w:r>
    </w:p>
    <w:p w14:paraId="5826A11E" w14:textId="77777777" w:rsidR="00A10B25" w:rsidRDefault="00A10B25">
      <w:pPr>
        <w:pStyle w:val="B1"/>
        <w:rPr>
          <w:rFonts w:eastAsia="等线"/>
        </w:rPr>
      </w:pPr>
      <w:r>
        <w:rPr>
          <w:rFonts w:eastAsia="等线"/>
        </w:rPr>
        <w:t>-</w:t>
      </w:r>
      <w:r>
        <w:rPr>
          <w:rFonts w:eastAsia="等线"/>
        </w:rPr>
        <w:tab/>
      </w:r>
      <w:r>
        <w:t>supports taking analytics information for UE mobility from the NWDAF;</w:t>
      </w:r>
    </w:p>
    <w:p w14:paraId="5CFFEE2A" w14:textId="77777777" w:rsidR="00A10B25" w:rsidRDefault="00A10B25">
      <w:pPr>
        <w:pStyle w:val="B1"/>
        <w:rPr>
          <w:rFonts w:eastAsia="等线"/>
        </w:rPr>
      </w:pPr>
      <w:r>
        <w:rPr>
          <w:rFonts w:eastAsia="等线"/>
        </w:rPr>
        <w:t>-</w:t>
      </w:r>
      <w:r>
        <w:rPr>
          <w:rFonts w:eastAsia="等线"/>
        </w:rPr>
        <w:tab/>
      </w:r>
      <w:r>
        <w:t>supports taking analytics information for UE communication from the NWDAF;</w:t>
      </w:r>
    </w:p>
    <w:p w14:paraId="61609B2C" w14:textId="77777777" w:rsidR="00A10B25" w:rsidRDefault="00A10B25">
      <w:pPr>
        <w:pStyle w:val="B1"/>
      </w:pPr>
      <w:r>
        <w:t>-</w:t>
      </w:r>
      <w:r>
        <w:tab/>
        <w:t>supports taking analytics information for user data congestion from the NWDAF.</w:t>
      </w:r>
    </w:p>
    <w:p w14:paraId="522DBFA0" w14:textId="77777777" w:rsidR="00A10B25" w:rsidRDefault="00A10B25">
      <w:pPr>
        <w:pStyle w:val="B1"/>
      </w:pPr>
      <w:r>
        <w:t>-</w:t>
      </w:r>
      <w:r>
        <w:tab/>
        <w:t>supports taking analytics information for dispersion from the NWDAF;</w:t>
      </w:r>
    </w:p>
    <w:p w14:paraId="401D3265" w14:textId="77777777" w:rsidR="00A10B25" w:rsidRDefault="00A10B25">
      <w:pPr>
        <w:pStyle w:val="B1"/>
      </w:pPr>
      <w:r>
        <w:t>-</w:t>
      </w:r>
      <w:r>
        <w:tab/>
        <w:t xml:space="preserve">supports taking analytics information for </w:t>
      </w:r>
      <w:r>
        <w:rPr>
          <w:rFonts w:eastAsia="等线"/>
        </w:rPr>
        <w:t>session management congestion control experience</w:t>
      </w:r>
      <w:r>
        <w:t xml:space="preserve"> from the NWDAF;</w:t>
      </w:r>
    </w:p>
    <w:p w14:paraId="3B231B4B" w14:textId="77777777" w:rsidR="00A10B25" w:rsidRDefault="00A10B25">
      <w:pPr>
        <w:pStyle w:val="B1"/>
      </w:pPr>
      <w:r>
        <w:t>-</w:t>
      </w:r>
      <w:r>
        <w:tab/>
        <w:t xml:space="preserve">supports taking analytics information for </w:t>
      </w:r>
      <w:r>
        <w:rPr>
          <w:rFonts w:eastAsia="等线"/>
        </w:rPr>
        <w:t>redundant transmission experience</w:t>
      </w:r>
      <w:r>
        <w:t xml:space="preserve"> from the NWDAF;</w:t>
      </w:r>
    </w:p>
    <w:p w14:paraId="4CDAD47A" w14:textId="77777777" w:rsidR="00A10B25" w:rsidRDefault="00A10B25">
      <w:pPr>
        <w:pStyle w:val="B1"/>
      </w:pPr>
      <w:r>
        <w:t>-</w:t>
      </w:r>
      <w:r>
        <w:tab/>
        <w:t>supports taking analytics information for DN performance from the NWDAF;</w:t>
      </w:r>
    </w:p>
    <w:p w14:paraId="02162A0F" w14:textId="77777777" w:rsidR="00432DC2" w:rsidRDefault="00432DC2" w:rsidP="00432DC2">
      <w:pPr>
        <w:pStyle w:val="B1"/>
      </w:pPr>
      <w:r>
        <w:rPr>
          <w:lang w:eastAsia="zh-CN"/>
        </w:rPr>
        <w:t>-</w:t>
      </w:r>
      <w:r>
        <w:rPr>
          <w:lang w:eastAsia="zh-CN"/>
        </w:rPr>
        <w:tab/>
      </w:r>
      <w:r>
        <w:t>supports taking analytics information for PDU Session traffic from the NWDAF;</w:t>
      </w:r>
    </w:p>
    <w:p w14:paraId="27583DD8" w14:textId="77777777" w:rsidR="001A238E" w:rsidRDefault="001A238E" w:rsidP="001A238E">
      <w:pPr>
        <w:pStyle w:val="B1"/>
      </w:pPr>
      <w:r>
        <w:t>-</w:t>
      </w:r>
      <w:r>
        <w:tab/>
        <w:t>supports taking analytics information</w:t>
      </w:r>
      <w:r>
        <w:rPr>
          <w:rFonts w:eastAsia="等线"/>
        </w:rPr>
        <w:t xml:space="preserve"> for S</w:t>
      </w:r>
      <w:r>
        <w:t>ignalling Storm from</w:t>
      </w:r>
      <w:r w:rsidRPr="002A490E">
        <w:t xml:space="preserve"> </w:t>
      </w:r>
      <w:r>
        <w:t>the NWDAF;</w:t>
      </w:r>
    </w:p>
    <w:p w14:paraId="7F494A61" w14:textId="77777777" w:rsidR="001A238E" w:rsidRDefault="001A238E" w:rsidP="001A238E">
      <w:pPr>
        <w:pStyle w:val="B1"/>
        <w:rPr>
          <w:lang w:eastAsia="zh-CN"/>
        </w:rPr>
      </w:pPr>
      <w:r>
        <w:lastRenderedPageBreak/>
        <w:t>-</w:t>
      </w:r>
      <w:r>
        <w:tab/>
        <w:t>supports taking analytics information</w:t>
      </w:r>
      <w:r>
        <w:rPr>
          <w:rFonts w:eastAsia="等线"/>
        </w:rPr>
        <w:t xml:space="preserve"> for </w:t>
      </w:r>
      <w:r>
        <w:t>QoS and Policy Assistance from</w:t>
      </w:r>
      <w:r w:rsidRPr="002A490E">
        <w:t xml:space="preserve"> </w:t>
      </w:r>
      <w:r>
        <w:t>the NWDAF; and</w:t>
      </w:r>
    </w:p>
    <w:p w14:paraId="39B763F3" w14:textId="77777777" w:rsidR="00AC4D38" w:rsidRDefault="00AC4D38" w:rsidP="00AC4D38">
      <w:pPr>
        <w:pStyle w:val="B1"/>
      </w:pPr>
      <w:r>
        <w:t>-</w:t>
      </w:r>
      <w:r>
        <w:tab/>
        <w:t>supports taking one or more above input from NWDAF into consideration for policies on assignment of network resources and/or for traffic steering policies.</w:t>
      </w:r>
    </w:p>
    <w:p w14:paraId="4B822CBB" w14:textId="77777777" w:rsidR="00A10B25" w:rsidRDefault="00A10B25">
      <w:pPr>
        <w:pStyle w:val="NO"/>
        <w:overflowPunct w:val="0"/>
        <w:autoSpaceDE w:val="0"/>
        <w:autoSpaceDN w:val="0"/>
        <w:adjustRightInd w:val="0"/>
        <w:textAlignment w:val="baseline"/>
      </w:pPr>
      <w:r>
        <w:t>NOTE:</w:t>
      </w:r>
      <w:r>
        <w:tab/>
        <w:t>How this information is used by the PCF is not standardized in this specification.</w:t>
      </w:r>
    </w:p>
    <w:p w14:paraId="5BFAD866" w14:textId="77777777" w:rsidR="00A10B25" w:rsidRDefault="00A10B25">
      <w:r>
        <w:rPr>
          <w:rFonts w:eastAsia="MS Mincho"/>
        </w:rPr>
        <w:t xml:space="preserve">The </w:t>
      </w:r>
      <w:r>
        <w:t>Network Slice Selection Function (NSSF):</w:t>
      </w:r>
    </w:p>
    <w:p w14:paraId="414CB26C" w14:textId="77777777" w:rsidR="00A10B25" w:rsidRDefault="00A10B25">
      <w:pPr>
        <w:pStyle w:val="B1"/>
      </w:pPr>
      <w:r>
        <w:t>-</w:t>
      </w:r>
      <w:r>
        <w:tab/>
        <w:t>supports taking slice load level information or network slice instance load level information from the NWDAF into consideration for slice selection;</w:t>
      </w:r>
    </w:p>
    <w:p w14:paraId="3665AC41" w14:textId="77777777" w:rsidR="00A10B25" w:rsidRDefault="00A10B25">
      <w:pPr>
        <w:pStyle w:val="B1"/>
      </w:pPr>
      <w:r>
        <w:t>-</w:t>
      </w:r>
      <w:r>
        <w:tab/>
        <w:t>supports taking analytics information for service experience related network data from the NWDAF; and</w:t>
      </w:r>
    </w:p>
    <w:p w14:paraId="758E1D57" w14:textId="77777777" w:rsidR="00A10B25" w:rsidRDefault="00A10B25">
      <w:pPr>
        <w:pStyle w:val="B1"/>
      </w:pPr>
      <w:r>
        <w:t>-</w:t>
      </w:r>
      <w:r>
        <w:tab/>
        <w:t>supports taking analytics information for dispersion at the slice from the NWDAF.</w:t>
      </w:r>
    </w:p>
    <w:p w14:paraId="680889BD" w14:textId="77777777" w:rsidR="00A10B25" w:rsidRDefault="00A10B25">
      <w:r>
        <w:rPr>
          <w:rFonts w:eastAsia="MS Mincho"/>
        </w:rPr>
        <w:t xml:space="preserve">The </w:t>
      </w:r>
      <w:r>
        <w:t>Access and Mobility Management Function (AMF):</w:t>
      </w:r>
    </w:p>
    <w:p w14:paraId="2A9910AC" w14:textId="77777777" w:rsidR="00A10B25" w:rsidRDefault="00A10B25">
      <w:pPr>
        <w:pStyle w:val="B1"/>
      </w:pPr>
      <w:r>
        <w:t>-</w:t>
      </w:r>
      <w:r>
        <w:tab/>
        <w:t>supports taking SMF load information from the NWDAF into consideration for SMF selection;</w:t>
      </w:r>
    </w:p>
    <w:p w14:paraId="4D21575F" w14:textId="77777777" w:rsidR="00A10B25" w:rsidRDefault="00A10B25">
      <w:pPr>
        <w:pStyle w:val="B1"/>
      </w:pPr>
      <w:r>
        <w:t>-</w:t>
      </w:r>
      <w:r>
        <w:tab/>
        <w:t>supports taking expected UE behaviour information (UE mobility and/or UE communication) from the NWDAF into consideration for monitoring UE behaviour;</w:t>
      </w:r>
    </w:p>
    <w:p w14:paraId="1321BCE5" w14:textId="77777777" w:rsidR="00A10B25" w:rsidRDefault="00A10B25">
      <w:pPr>
        <w:pStyle w:val="B1"/>
      </w:pPr>
      <w:r>
        <w:t>-</w:t>
      </w:r>
      <w:r>
        <w:tab/>
        <w:t>supports taking abnormal UE behaviour information from the NWDAF into consideration for adjustment of UE mobility related network parameters to solve the abnormal risk;</w:t>
      </w:r>
    </w:p>
    <w:p w14:paraId="10584774" w14:textId="77777777" w:rsidR="00A10B25" w:rsidRDefault="00A10B25">
      <w:pPr>
        <w:pStyle w:val="B1"/>
      </w:pPr>
      <w:r>
        <w:t>-</w:t>
      </w:r>
      <w:r>
        <w:tab/>
        <w:t>supports taking slice load level information or network slice instance load level information from NWDAF into consideration for slice selection;</w:t>
      </w:r>
    </w:p>
    <w:p w14:paraId="25B9F1B4" w14:textId="77777777" w:rsidR="00432DC2" w:rsidRDefault="00432DC2" w:rsidP="00432DC2">
      <w:pPr>
        <w:pStyle w:val="B1"/>
      </w:pPr>
      <w:r>
        <w:t>-</w:t>
      </w:r>
      <w:r>
        <w:tab/>
        <w:t>supports taking analytics information for service experience related network data from the NWDAF;</w:t>
      </w:r>
    </w:p>
    <w:p w14:paraId="697A4195" w14:textId="77777777" w:rsidR="00432DC2" w:rsidRDefault="00432DC2" w:rsidP="00432DC2">
      <w:pPr>
        <w:pStyle w:val="B1"/>
      </w:pPr>
      <w:r>
        <w:t>-</w:t>
      </w:r>
      <w:r>
        <w:tab/>
        <w:t>supports taking analytics information for dispersion at the slice from the NWDAF; and</w:t>
      </w:r>
    </w:p>
    <w:p w14:paraId="1232DE01" w14:textId="77777777" w:rsidR="00432DC2" w:rsidRDefault="00432DC2" w:rsidP="00432DC2">
      <w:pPr>
        <w:pStyle w:val="B1"/>
      </w:pPr>
      <w:r>
        <w:t>-</w:t>
      </w:r>
      <w:r>
        <w:tab/>
        <w:t>supports taking analytics information</w:t>
      </w:r>
      <w:r>
        <w:rPr>
          <w:rFonts w:eastAsia="等线"/>
        </w:rPr>
        <w:t xml:space="preserve"> for </w:t>
      </w:r>
      <w:r>
        <w:t>Signalling Storm from NWDAF.</w:t>
      </w:r>
    </w:p>
    <w:p w14:paraId="447B7CEB" w14:textId="77777777" w:rsidR="00A10B25" w:rsidRDefault="00A10B25">
      <w:r>
        <w:rPr>
          <w:rFonts w:eastAsia="MS Mincho"/>
        </w:rPr>
        <w:t xml:space="preserve">The </w:t>
      </w:r>
      <w:r>
        <w:t>Session Management Function (SMF):</w:t>
      </w:r>
    </w:p>
    <w:p w14:paraId="507411D2" w14:textId="77777777" w:rsidR="00A10B25" w:rsidRDefault="00A10B25">
      <w:pPr>
        <w:pStyle w:val="B1"/>
      </w:pPr>
      <w:r>
        <w:t>-</w:t>
      </w:r>
      <w:r>
        <w:tab/>
        <w:t>supports taking UPF load information from the NWDAF into consideration for UPF selection;</w:t>
      </w:r>
    </w:p>
    <w:p w14:paraId="0FDC85F3" w14:textId="77777777" w:rsidR="00A10B25" w:rsidRDefault="00A10B25">
      <w:pPr>
        <w:pStyle w:val="B1"/>
      </w:pPr>
      <w:r>
        <w:t>-</w:t>
      </w:r>
      <w:r>
        <w:tab/>
        <w:t>supports taking expected UE behaviour information (UE mobility and/or UE communication) from the NWDAF into consideration for monitoring UE behaviour;</w:t>
      </w:r>
    </w:p>
    <w:p w14:paraId="1A0B7AE5" w14:textId="77777777" w:rsidR="00A10B25" w:rsidRDefault="00A10B25">
      <w:pPr>
        <w:pStyle w:val="B1"/>
      </w:pPr>
      <w:r>
        <w:t>-</w:t>
      </w:r>
      <w:r>
        <w:tab/>
        <w:t>supports taking UE mobility information from the NWDAF into consideration for UPF selection;</w:t>
      </w:r>
    </w:p>
    <w:p w14:paraId="45765ED6" w14:textId="77777777" w:rsidR="00A10B25" w:rsidRDefault="00A10B25">
      <w:pPr>
        <w:pStyle w:val="B1"/>
        <w:rPr>
          <w:lang w:val="en-US"/>
        </w:rPr>
      </w:pPr>
      <w:r>
        <w:t>-</w:t>
      </w:r>
      <w:r>
        <w:tab/>
        <w:t>supports taking abnormal UE behaviour information from the NWDAF into consideration for adjustment of UE mobility related network parameters to solve the abnormal risk</w:t>
      </w:r>
      <w:r>
        <w:rPr>
          <w:lang w:val="en-US"/>
        </w:rPr>
        <w:t>;</w:t>
      </w:r>
    </w:p>
    <w:p w14:paraId="692101B2" w14:textId="77777777" w:rsidR="00A10B25" w:rsidRDefault="00A10B25">
      <w:pPr>
        <w:pStyle w:val="B1"/>
      </w:pPr>
      <w:r>
        <w:t>-</w:t>
      </w:r>
      <w:r>
        <w:tab/>
        <w:t>supports taking</w:t>
      </w:r>
      <w:r>
        <w:rPr>
          <w:rFonts w:eastAsia="等线"/>
        </w:rPr>
        <w:t xml:space="preserve"> analytics information for </w:t>
      </w:r>
      <w:r>
        <w:t>SM congestion control experience</w:t>
      </w:r>
      <w:r>
        <w:rPr>
          <w:rFonts w:eastAsia="等线"/>
        </w:rPr>
        <w:t xml:space="preserve"> from the NWDAF</w:t>
      </w:r>
      <w:r>
        <w:t xml:space="preserve"> into consideration for determining back-off timer provided to UE;</w:t>
      </w:r>
    </w:p>
    <w:p w14:paraId="324AEE38" w14:textId="77777777" w:rsidR="00A10B25" w:rsidRDefault="00A10B25">
      <w:pPr>
        <w:pStyle w:val="B1"/>
      </w:pPr>
      <w:r>
        <w:t>-</w:t>
      </w:r>
      <w:r>
        <w:tab/>
        <w:t>supports taking</w:t>
      </w:r>
      <w:r>
        <w:rPr>
          <w:rFonts w:eastAsia="等线"/>
        </w:rPr>
        <w:t xml:space="preserve"> analytics information for </w:t>
      </w:r>
      <w:r>
        <w:t xml:space="preserve">slice load level or network slice instance load level </w:t>
      </w:r>
      <w:r>
        <w:rPr>
          <w:rFonts w:eastAsia="等线"/>
        </w:rPr>
        <w:t>from the NWDAF</w:t>
      </w:r>
      <w:r>
        <w:t xml:space="preserve"> into consideration to determine slice selection;</w:t>
      </w:r>
    </w:p>
    <w:p w14:paraId="7FA1AB0A" w14:textId="77777777" w:rsidR="00A10B25" w:rsidRDefault="00A10B25">
      <w:pPr>
        <w:pStyle w:val="B1"/>
      </w:pPr>
      <w:r>
        <w:t>-</w:t>
      </w:r>
      <w:r>
        <w:tab/>
        <w:t>supports taking</w:t>
      </w:r>
      <w:r>
        <w:rPr>
          <w:rFonts w:eastAsia="等线"/>
        </w:rPr>
        <w:t xml:space="preserve"> analytics information for </w:t>
      </w:r>
      <w:r>
        <w:t>service experience</w:t>
      </w:r>
      <w:r>
        <w:rPr>
          <w:rFonts w:eastAsia="等线"/>
        </w:rPr>
        <w:t xml:space="preserve"> from the NWDAF</w:t>
      </w:r>
      <w:r>
        <w:t xml:space="preserve"> into consideration </w:t>
      </w:r>
      <w:r>
        <w:rPr>
          <w:rFonts w:eastAsia="MS Mincho"/>
        </w:rPr>
        <w:t>to (re)select UP paths</w:t>
      </w:r>
      <w:r>
        <w:t>;</w:t>
      </w:r>
    </w:p>
    <w:p w14:paraId="782B9085" w14:textId="77777777" w:rsidR="00432DC2" w:rsidRDefault="00432DC2" w:rsidP="00432DC2">
      <w:pPr>
        <w:pStyle w:val="B1"/>
      </w:pPr>
      <w:r>
        <w:t>-</w:t>
      </w:r>
      <w:r>
        <w:tab/>
        <w:t>supports taking analytics information for redundant transmission experience from the NWDAF to consider whether redundant transmission shall be performed, or (if it had been activated) shall be stopped;</w:t>
      </w:r>
    </w:p>
    <w:p w14:paraId="3A54421E" w14:textId="77777777" w:rsidR="00432DC2" w:rsidRDefault="00432DC2" w:rsidP="00432DC2">
      <w:pPr>
        <w:pStyle w:val="B1"/>
        <w:rPr>
          <w:rFonts w:eastAsia="等线"/>
        </w:rPr>
      </w:pPr>
      <w:r>
        <w:t>-</w:t>
      </w:r>
      <w:r>
        <w:tab/>
        <w:t>supports taking</w:t>
      </w:r>
      <w:r>
        <w:rPr>
          <w:rFonts w:eastAsia="等线"/>
        </w:rPr>
        <w:t xml:space="preserve"> analytics information for </w:t>
      </w:r>
      <w:r>
        <w:t>DN performance</w:t>
      </w:r>
      <w:r>
        <w:rPr>
          <w:rFonts w:eastAsia="等线"/>
        </w:rPr>
        <w:t xml:space="preserve"> from the NWDAF</w:t>
      </w:r>
      <w:r>
        <w:t xml:space="preserve"> into consideration for user plane performance</w:t>
      </w:r>
      <w:r>
        <w:rPr>
          <w:rFonts w:eastAsia="等线"/>
        </w:rPr>
        <w:t>;</w:t>
      </w:r>
      <w:r>
        <w:t xml:space="preserve"> and</w:t>
      </w:r>
    </w:p>
    <w:p w14:paraId="4D793FDB" w14:textId="77777777" w:rsidR="00432DC2" w:rsidRDefault="00432DC2" w:rsidP="00432DC2">
      <w:pPr>
        <w:pStyle w:val="B1"/>
      </w:pPr>
      <w:r>
        <w:t>-</w:t>
      </w:r>
      <w:r>
        <w:tab/>
        <w:t>supports taking</w:t>
      </w:r>
      <w:r>
        <w:rPr>
          <w:rFonts w:eastAsia="等线"/>
        </w:rPr>
        <w:t xml:space="preserve"> analytics information for </w:t>
      </w:r>
      <w:r>
        <w:t>Signalling Storm from NWDAF.</w:t>
      </w:r>
    </w:p>
    <w:p w14:paraId="3F938EEC" w14:textId="77777777" w:rsidR="00A10B25" w:rsidRDefault="00A10B25">
      <w:r>
        <w:rPr>
          <w:rFonts w:eastAsia="MS Mincho"/>
        </w:rPr>
        <w:t xml:space="preserve">The </w:t>
      </w:r>
      <w:r>
        <w:t>Network Exposure Function (NEF):</w:t>
      </w:r>
    </w:p>
    <w:p w14:paraId="1ADECFD3" w14:textId="77777777" w:rsidR="00A10B25" w:rsidRDefault="00A10B25">
      <w:pPr>
        <w:pStyle w:val="B1"/>
      </w:pPr>
      <w:r>
        <w:t>-</w:t>
      </w:r>
      <w:r>
        <w:tab/>
        <w:t>supports taking analytics information for UE mobility from the NWDAF;</w:t>
      </w:r>
    </w:p>
    <w:p w14:paraId="70D78E31" w14:textId="77777777" w:rsidR="00A10B25" w:rsidRDefault="00A10B25">
      <w:pPr>
        <w:pStyle w:val="B1"/>
      </w:pPr>
      <w:r>
        <w:t>-</w:t>
      </w:r>
      <w:r>
        <w:tab/>
        <w:t>supports taking analytics information for UE communication from the NWDAF;</w:t>
      </w:r>
    </w:p>
    <w:p w14:paraId="1876E504" w14:textId="77777777" w:rsidR="00A10B25" w:rsidRDefault="00A10B25">
      <w:pPr>
        <w:pStyle w:val="B1"/>
      </w:pPr>
      <w:r>
        <w:t>-</w:t>
      </w:r>
      <w:r>
        <w:tab/>
        <w:t>supports taking analytics information for expected UE behavioural (UE mobility and/or UE communication) from the NWDAF;</w:t>
      </w:r>
    </w:p>
    <w:p w14:paraId="243C7DA2" w14:textId="77777777" w:rsidR="00A10B25" w:rsidRDefault="00A10B25">
      <w:pPr>
        <w:pStyle w:val="B1"/>
      </w:pPr>
      <w:r>
        <w:t>-</w:t>
      </w:r>
      <w:r>
        <w:tab/>
        <w:t>supports taking analytics information for abnormal behaviour from the NWDAF;</w:t>
      </w:r>
    </w:p>
    <w:p w14:paraId="3FAC65A7" w14:textId="77777777" w:rsidR="00A10B25" w:rsidRDefault="00A10B25">
      <w:pPr>
        <w:pStyle w:val="B1"/>
      </w:pPr>
      <w:r>
        <w:t>-</w:t>
      </w:r>
      <w:r>
        <w:tab/>
        <w:t>supports taking analytics information for user data congestion from the NWDAF;</w:t>
      </w:r>
    </w:p>
    <w:p w14:paraId="53C47B2D" w14:textId="77777777" w:rsidR="00A10B25" w:rsidRDefault="00A10B25">
      <w:pPr>
        <w:pStyle w:val="B1"/>
      </w:pPr>
      <w:r>
        <w:t>-</w:t>
      </w:r>
      <w:r>
        <w:tab/>
        <w:t>supports taking analytics information for network performance from the NWDAF;</w:t>
      </w:r>
    </w:p>
    <w:p w14:paraId="33B66070" w14:textId="77777777" w:rsidR="00A10B25" w:rsidRDefault="00A10B25">
      <w:pPr>
        <w:pStyle w:val="B1"/>
      </w:pPr>
      <w:r>
        <w:t>-</w:t>
      </w:r>
      <w:r>
        <w:tab/>
        <w:t>supports taking analytics information for QoS Sustainability from the NWDAF;</w:t>
      </w:r>
    </w:p>
    <w:p w14:paraId="769E8286" w14:textId="77777777" w:rsidR="00A10B25" w:rsidRDefault="00A10B25">
      <w:pPr>
        <w:pStyle w:val="B1"/>
      </w:pPr>
      <w:r>
        <w:t>-</w:t>
      </w:r>
      <w:r>
        <w:tab/>
        <w:t>supports taking analytics information for Dispersion from the NWDAF;</w:t>
      </w:r>
    </w:p>
    <w:p w14:paraId="3A0246B7" w14:textId="77777777" w:rsidR="00A10B25" w:rsidRDefault="00A10B25">
      <w:pPr>
        <w:pStyle w:val="B1"/>
      </w:pPr>
      <w:r>
        <w:t>-</w:t>
      </w:r>
      <w:r>
        <w:tab/>
        <w:t>supports taking analytics information for DN performance</w:t>
      </w:r>
      <w:r>
        <w:rPr>
          <w:rFonts w:eastAsia="等线"/>
        </w:rPr>
        <w:t xml:space="preserve"> from the NWDAF</w:t>
      </w:r>
      <w:r>
        <w:t>;</w:t>
      </w:r>
    </w:p>
    <w:p w14:paraId="045FB406" w14:textId="77777777" w:rsidR="00EF7075" w:rsidRDefault="00EF7075" w:rsidP="00EF7075">
      <w:pPr>
        <w:pStyle w:val="B1"/>
      </w:pPr>
      <w:r>
        <w:t>-</w:t>
      </w:r>
      <w:r>
        <w:tab/>
        <w:t>supports taking analytics information for WLAN performance from the NWDAF;</w:t>
      </w:r>
    </w:p>
    <w:p w14:paraId="6689FFFA" w14:textId="77777777" w:rsidR="00A10B25" w:rsidRDefault="00A10B25">
      <w:pPr>
        <w:pStyle w:val="B1"/>
      </w:pPr>
      <w:r>
        <w:t>-</w:t>
      </w:r>
      <w:r>
        <w:tab/>
        <w:t xml:space="preserve">supports taking analytics information for </w:t>
      </w:r>
      <w:r>
        <w:rPr>
          <w:lang w:eastAsia="zh-CN"/>
        </w:rPr>
        <w:t>Observed Service Experience</w:t>
      </w:r>
      <w:r>
        <w:t xml:space="preserve"> from NWDAF;</w:t>
      </w:r>
    </w:p>
    <w:p w14:paraId="572E03B1" w14:textId="77777777" w:rsidR="00640768" w:rsidRDefault="00640768" w:rsidP="00640768">
      <w:pPr>
        <w:pStyle w:val="B1"/>
      </w:pPr>
      <w:r>
        <w:t>-</w:t>
      </w:r>
      <w:r>
        <w:tab/>
        <w:t>supports taking analytics information for E2E data volume transfer time from NWDAF;</w:t>
      </w:r>
    </w:p>
    <w:p w14:paraId="1B509065" w14:textId="77777777" w:rsidR="00432DC2" w:rsidRDefault="00432DC2" w:rsidP="00432DC2">
      <w:pPr>
        <w:pStyle w:val="B1"/>
      </w:pPr>
      <w:r>
        <w:t>-</w:t>
      </w:r>
      <w:r>
        <w:tab/>
        <w:t>supports taking</w:t>
      </w:r>
      <w:r>
        <w:rPr>
          <w:rFonts w:eastAsia="等线"/>
        </w:rPr>
        <w:t xml:space="preserve"> </w:t>
      </w:r>
      <w:r>
        <w:t>analytics information for Relative Proximity from NWDAF;</w:t>
      </w:r>
    </w:p>
    <w:p w14:paraId="7CC0262A" w14:textId="77777777" w:rsidR="00432DC2" w:rsidRDefault="00432DC2" w:rsidP="00432DC2">
      <w:pPr>
        <w:pStyle w:val="B1"/>
      </w:pPr>
      <w:r>
        <w:t>-</w:t>
      </w:r>
      <w:r>
        <w:tab/>
        <w:t>supports taking</w:t>
      </w:r>
      <w:r>
        <w:rPr>
          <w:rFonts w:eastAsia="等线"/>
        </w:rPr>
        <w:t xml:space="preserve"> </w:t>
      </w:r>
      <w:r>
        <w:t>analytics information for movement behaviour from NWDAF; and</w:t>
      </w:r>
    </w:p>
    <w:p w14:paraId="7285114A" w14:textId="77777777" w:rsidR="00432DC2" w:rsidRDefault="00432DC2" w:rsidP="00432DC2">
      <w:pPr>
        <w:pStyle w:val="B1"/>
      </w:pPr>
      <w:r>
        <w:t>-</w:t>
      </w:r>
      <w:r>
        <w:tab/>
        <w:t>supports taking</w:t>
      </w:r>
      <w:r>
        <w:rPr>
          <w:rFonts w:eastAsia="等线"/>
        </w:rPr>
        <w:t xml:space="preserve"> </w:t>
      </w:r>
      <w:r>
        <w:t>analytics information for</w:t>
      </w:r>
      <w:r>
        <w:rPr>
          <w:rFonts w:eastAsia="等线"/>
        </w:rPr>
        <w:t xml:space="preserve"> </w:t>
      </w:r>
      <w:r>
        <w:t>Signalling Storm from NWDAF.</w:t>
      </w:r>
    </w:p>
    <w:p w14:paraId="75F543C8" w14:textId="77777777" w:rsidR="00A10B25" w:rsidRDefault="00A10B25">
      <w:r>
        <w:rPr>
          <w:rFonts w:eastAsia="MS Mincho"/>
        </w:rPr>
        <w:lastRenderedPageBreak/>
        <w:t xml:space="preserve">The </w:t>
      </w:r>
      <w:r>
        <w:t>Application Function (AF):</w:t>
      </w:r>
    </w:p>
    <w:p w14:paraId="5D365241" w14:textId="77777777" w:rsidR="00A10B25" w:rsidRDefault="00A10B25">
      <w:pPr>
        <w:pStyle w:val="B1"/>
      </w:pPr>
      <w:r>
        <w:t>-</w:t>
      </w:r>
      <w:r>
        <w:tab/>
        <w:t>supports receiving UE mobility information from the NWDAF or via the NEF;</w:t>
      </w:r>
    </w:p>
    <w:p w14:paraId="07FE7889" w14:textId="77777777" w:rsidR="00A10B25" w:rsidRDefault="00A10B25">
      <w:pPr>
        <w:pStyle w:val="B1"/>
      </w:pPr>
      <w:r>
        <w:t>-</w:t>
      </w:r>
      <w:r>
        <w:tab/>
        <w:t>supports receiving UE communication information from the NWDAF or via the NEF;</w:t>
      </w:r>
    </w:p>
    <w:p w14:paraId="4862C8FB" w14:textId="77777777" w:rsidR="00A10B25" w:rsidRDefault="00A10B25">
      <w:pPr>
        <w:pStyle w:val="B1"/>
      </w:pPr>
      <w:r>
        <w:t>-</w:t>
      </w:r>
      <w:r>
        <w:tab/>
        <w:t>supports receiving expected UE behavioural information (UE mobility and/or UE communication) from the NWDAF or via the NEF;</w:t>
      </w:r>
    </w:p>
    <w:p w14:paraId="10C51B48" w14:textId="77777777" w:rsidR="00A10B25" w:rsidRDefault="00A10B25">
      <w:pPr>
        <w:pStyle w:val="B1"/>
      </w:pPr>
      <w:r>
        <w:t>-</w:t>
      </w:r>
      <w:r>
        <w:tab/>
        <w:t>supports receiving abnormal behaviour information from the NWDAF or via the NEF;</w:t>
      </w:r>
    </w:p>
    <w:p w14:paraId="74B44151" w14:textId="77777777" w:rsidR="00A10B25" w:rsidRDefault="00A10B25">
      <w:pPr>
        <w:pStyle w:val="B1"/>
      </w:pPr>
      <w:r>
        <w:t>-</w:t>
      </w:r>
      <w:r>
        <w:tab/>
        <w:t>supports receiving user data congestion information from the NWDAF or via the NEF;</w:t>
      </w:r>
    </w:p>
    <w:p w14:paraId="423AA80D" w14:textId="77777777" w:rsidR="00A10B25" w:rsidRDefault="00A10B25">
      <w:pPr>
        <w:pStyle w:val="B1"/>
      </w:pPr>
      <w:r>
        <w:t>-</w:t>
      </w:r>
      <w:r>
        <w:tab/>
        <w:t>supports receiving network performance information from the NWDAF or via the NEF;</w:t>
      </w:r>
    </w:p>
    <w:p w14:paraId="5F4DDCA7" w14:textId="77777777" w:rsidR="00A10B25" w:rsidRDefault="00A10B25">
      <w:pPr>
        <w:pStyle w:val="B1"/>
      </w:pPr>
      <w:r>
        <w:t>-</w:t>
      </w:r>
      <w:r>
        <w:tab/>
        <w:t>supports receiving QoS Sustainability information from the NWDAF or via the NEF;</w:t>
      </w:r>
    </w:p>
    <w:p w14:paraId="4916DC04" w14:textId="77777777" w:rsidR="00A10B25" w:rsidRDefault="00A10B25">
      <w:pPr>
        <w:pStyle w:val="B1"/>
      </w:pPr>
      <w:r>
        <w:t>-</w:t>
      </w:r>
      <w:r>
        <w:tab/>
        <w:t>supports receiving Dispersion information from the NWDAF or via the NEF;</w:t>
      </w:r>
    </w:p>
    <w:p w14:paraId="0D036E22" w14:textId="77777777" w:rsidR="00A10B25" w:rsidRDefault="00A10B25">
      <w:pPr>
        <w:pStyle w:val="B1"/>
      </w:pPr>
      <w:r>
        <w:t>-</w:t>
      </w:r>
      <w:r>
        <w:tab/>
        <w:t>supports receiving DN performance information from NWDAF or via the NEF;</w:t>
      </w:r>
    </w:p>
    <w:p w14:paraId="57A4B84F" w14:textId="77777777" w:rsidR="00EF7075" w:rsidRDefault="00EF7075" w:rsidP="00EF7075">
      <w:pPr>
        <w:pStyle w:val="B1"/>
      </w:pPr>
      <w:r>
        <w:t>-</w:t>
      </w:r>
      <w:r>
        <w:tab/>
        <w:t>supports receiving WLAN performance information from NWDAF or via the NEF;</w:t>
      </w:r>
    </w:p>
    <w:p w14:paraId="653FA41C" w14:textId="77777777" w:rsidR="00432DC2" w:rsidRDefault="00432DC2" w:rsidP="00432DC2">
      <w:pPr>
        <w:pStyle w:val="B1"/>
      </w:pPr>
      <w:r>
        <w:t>-</w:t>
      </w:r>
      <w:r>
        <w:tab/>
        <w:t xml:space="preserve">supports receiving </w:t>
      </w:r>
      <w:r>
        <w:rPr>
          <w:lang w:eastAsia="zh-CN"/>
        </w:rPr>
        <w:t>Observed Service Experience</w:t>
      </w:r>
      <w:r>
        <w:t xml:space="preserve"> information from NWDAF or via the NEF;</w:t>
      </w:r>
    </w:p>
    <w:p w14:paraId="5587B836" w14:textId="77777777" w:rsidR="00432DC2" w:rsidRDefault="00432DC2" w:rsidP="00432DC2">
      <w:pPr>
        <w:pStyle w:val="B1"/>
      </w:pPr>
      <w:r>
        <w:t>-</w:t>
      </w:r>
      <w:r>
        <w:tab/>
        <w:t>supports receiving E2E data volume transfer time from NWDAF or via the NEF;</w:t>
      </w:r>
    </w:p>
    <w:p w14:paraId="52B2DAFD" w14:textId="77777777" w:rsidR="00432DC2" w:rsidRDefault="00432DC2" w:rsidP="00432DC2">
      <w:pPr>
        <w:pStyle w:val="B1"/>
      </w:pPr>
      <w:r>
        <w:t>-</w:t>
      </w:r>
      <w:r>
        <w:tab/>
        <w:t>supports receiving Movement Behaviour information from NWDAF or via the NEF;</w:t>
      </w:r>
    </w:p>
    <w:p w14:paraId="328800EA" w14:textId="77777777" w:rsidR="00432DC2" w:rsidRDefault="00432DC2" w:rsidP="00432DC2">
      <w:pPr>
        <w:pStyle w:val="B1"/>
      </w:pPr>
      <w:r>
        <w:t>-</w:t>
      </w:r>
      <w:r>
        <w:tab/>
        <w:t>supports receiving Relative Proximity information from NWDAF or via the NEF; and</w:t>
      </w:r>
    </w:p>
    <w:p w14:paraId="2697E527" w14:textId="77777777" w:rsidR="00432DC2" w:rsidRDefault="00432DC2" w:rsidP="00432DC2">
      <w:pPr>
        <w:pStyle w:val="B1"/>
      </w:pPr>
      <w:r>
        <w:t>-</w:t>
      </w:r>
      <w:r>
        <w:tab/>
        <w:t>supports receiving Signalling Storm information from NWDAF or via the NEF.</w:t>
      </w:r>
    </w:p>
    <w:p w14:paraId="2C3EE256" w14:textId="77777777" w:rsidR="00A10B25" w:rsidRDefault="00A10B25">
      <w:r>
        <w:rPr>
          <w:rFonts w:eastAsia="MS Mincho"/>
        </w:rPr>
        <w:t>The Location Management</w:t>
      </w:r>
      <w:r>
        <w:t xml:space="preserve"> Function (LMF):</w:t>
      </w:r>
    </w:p>
    <w:p w14:paraId="037DB691" w14:textId="77777777" w:rsidR="00A10B25" w:rsidRDefault="00A10B25">
      <w:pPr>
        <w:pStyle w:val="B1"/>
      </w:pPr>
      <w:r>
        <w:t>-</w:t>
      </w:r>
      <w:r>
        <w:tab/>
        <w:t>supports taking Location Accuracy analytics from the NWDAF into consideration as assistance for location services.</w:t>
      </w:r>
    </w:p>
    <w:p w14:paraId="08D18A6F" w14:textId="77777777" w:rsidR="00A10B25" w:rsidRDefault="00A10B25">
      <w:pPr>
        <w:rPr>
          <w:rFonts w:eastAsia="等线"/>
        </w:rPr>
      </w:pPr>
      <w:r>
        <w:rPr>
          <w:rFonts w:eastAsia="等线"/>
        </w:rPr>
        <w:t>The Operation, Administration, and Maintenance (OAM):</w:t>
      </w:r>
    </w:p>
    <w:p w14:paraId="69B868D0" w14:textId="77777777" w:rsidR="00A10B25" w:rsidRDefault="00A10B25">
      <w:pPr>
        <w:pStyle w:val="B1"/>
      </w:pPr>
      <w:r>
        <w:t>-</w:t>
      </w:r>
      <w:r>
        <w:tab/>
        <w:t>supports receiving slice load level information from the NWDAF;</w:t>
      </w:r>
    </w:p>
    <w:p w14:paraId="6299DF02" w14:textId="77777777" w:rsidR="00A10B25" w:rsidRDefault="00A10B25">
      <w:pPr>
        <w:pStyle w:val="B1"/>
      </w:pPr>
      <w:r>
        <w:t>-</w:t>
      </w:r>
      <w:r>
        <w:tab/>
        <w:t>supports receiving observed service experience from the NWDAF;</w:t>
      </w:r>
    </w:p>
    <w:p w14:paraId="440D3BB3" w14:textId="77777777" w:rsidR="00A10B25" w:rsidRDefault="00A10B25">
      <w:pPr>
        <w:pStyle w:val="B1"/>
      </w:pPr>
      <w:r>
        <w:t>-</w:t>
      </w:r>
      <w:r>
        <w:tab/>
        <w:t>supports receiving NF load information from the NWDAF;</w:t>
      </w:r>
    </w:p>
    <w:p w14:paraId="4AB8120D" w14:textId="77777777" w:rsidR="00A10B25" w:rsidRDefault="00A10B25">
      <w:pPr>
        <w:pStyle w:val="B1"/>
      </w:pPr>
      <w:r>
        <w:t>-</w:t>
      </w:r>
      <w:r>
        <w:tab/>
        <w:t>supports receiving network performance information from the NWDAF;</w:t>
      </w:r>
    </w:p>
    <w:p w14:paraId="12995644" w14:textId="77777777" w:rsidR="00A10B25" w:rsidRDefault="00A10B25">
      <w:pPr>
        <w:pStyle w:val="B1"/>
      </w:pPr>
      <w:r>
        <w:t>-</w:t>
      </w:r>
      <w:r>
        <w:tab/>
        <w:t>supports receiving UE mobility information from the NWDAF;</w:t>
      </w:r>
    </w:p>
    <w:p w14:paraId="1F8F2481" w14:textId="77777777" w:rsidR="00A10B25" w:rsidRDefault="00A10B25">
      <w:pPr>
        <w:pStyle w:val="B1"/>
      </w:pPr>
      <w:r>
        <w:t>-</w:t>
      </w:r>
      <w:r>
        <w:tab/>
        <w:t>supports receiving UE communication information from the NWDAF;</w:t>
      </w:r>
    </w:p>
    <w:p w14:paraId="51782C5F" w14:textId="77777777" w:rsidR="00A10B25" w:rsidRDefault="00A10B25">
      <w:pPr>
        <w:pStyle w:val="B1"/>
      </w:pPr>
      <w:r>
        <w:t>-</w:t>
      </w:r>
      <w:r>
        <w:tab/>
        <w:t xml:space="preserve">supports receiving expected UE behaviour information (UE mobility and/or UE communication) from the NWDAF; </w:t>
      </w:r>
    </w:p>
    <w:p w14:paraId="0A4B2B9B" w14:textId="77777777" w:rsidR="00AD5F95" w:rsidRDefault="00AD5F95" w:rsidP="00AD5F95">
      <w:pPr>
        <w:pStyle w:val="B1"/>
      </w:pPr>
      <w:bookmarkStart w:id="1526" w:name="_Toc83233001"/>
      <w:bookmarkStart w:id="1527" w:name="_Toc56640921"/>
      <w:bookmarkStart w:id="1528" w:name="_Toc104538907"/>
      <w:bookmarkStart w:id="1529" w:name="_Toc34266248"/>
      <w:bookmarkStart w:id="1530" w:name="_Toc70550564"/>
      <w:bookmarkStart w:id="1531" w:name="_Toc85552895"/>
      <w:bookmarkStart w:id="1532" w:name="_Toc113031569"/>
      <w:bookmarkStart w:id="1533" w:name="_Toc50031934"/>
      <w:bookmarkStart w:id="1534" w:name="_Toc43563461"/>
      <w:bookmarkStart w:id="1535" w:name="_Toc36102419"/>
      <w:bookmarkStart w:id="1536" w:name="_Toc90655781"/>
      <w:bookmarkStart w:id="1537" w:name="_Toc136562255"/>
      <w:bookmarkStart w:id="1538" w:name="_Toc45134004"/>
      <w:bookmarkStart w:id="1539" w:name="_Toc114133708"/>
      <w:bookmarkStart w:id="1540" w:name="_Toc68168918"/>
      <w:bookmarkStart w:id="1541" w:name="_Toc51762854"/>
      <w:bookmarkStart w:id="1542" w:name="_Toc101244318"/>
      <w:bookmarkStart w:id="1543" w:name="_Toc66231757"/>
      <w:bookmarkStart w:id="1544" w:name="_Toc94064162"/>
      <w:bookmarkStart w:id="1545" w:name="_Toc98233542"/>
      <w:bookmarkStart w:id="1546" w:name="_Toc28012778"/>
      <w:bookmarkStart w:id="1547" w:name="_Toc59017889"/>
      <w:bookmarkStart w:id="1548" w:name="_Toc88667496"/>
      <w:bookmarkStart w:id="1549" w:name="_Toc138754089"/>
      <w:bookmarkStart w:id="1550" w:name="_Toc145705576"/>
      <w:bookmarkStart w:id="1551" w:name="_Toc112951029"/>
      <w:bookmarkStart w:id="1552" w:name="_Toc85556994"/>
      <w:bookmarkStart w:id="1553" w:name="_Toc148522480"/>
      <w:bookmarkStart w:id="1554" w:name="_Toc120702208"/>
      <w:bookmarkStart w:id="1555" w:name="_Toc164920604"/>
      <w:bookmarkStart w:id="1556" w:name="_Toc170120146"/>
      <w:bookmarkStart w:id="1557" w:name="_Toc175858391"/>
      <w:bookmarkStart w:id="1558" w:name="_Toc175859464"/>
      <w:bookmarkStart w:id="1559" w:name="_Toc180605754"/>
      <w:bookmarkStart w:id="1560" w:name="_Toc185517008"/>
      <w:r>
        <w:t>-</w:t>
      </w:r>
      <w:r>
        <w:tab/>
        <w:t>supports receiving abnormal UE behaviour information from the NWDAF; and</w:t>
      </w:r>
    </w:p>
    <w:p w14:paraId="00D48CCA" w14:textId="77777777" w:rsidR="00AD5F95" w:rsidRDefault="00AD5F95" w:rsidP="00AD5F95">
      <w:pPr>
        <w:pStyle w:val="B1"/>
      </w:pPr>
      <w:r>
        <w:t>-</w:t>
      </w:r>
      <w:r>
        <w:tab/>
        <w:t>supports receiving</w:t>
      </w:r>
      <w:r>
        <w:rPr>
          <w:rFonts w:eastAsia="等线"/>
        </w:rPr>
        <w:t xml:space="preserve"> </w:t>
      </w:r>
      <w:r>
        <w:t>signalling storm information from the NWDAF.</w:t>
      </w:r>
    </w:p>
    <w:p w14:paraId="7529CCB0" w14:textId="77777777" w:rsidR="00AD5F95" w:rsidRDefault="00AD5F95" w:rsidP="00AD5F95">
      <w:pPr>
        <w:rPr>
          <w:rFonts w:eastAsia="等线"/>
        </w:rPr>
      </w:pPr>
      <w:r>
        <w:rPr>
          <w:rFonts w:eastAsia="等线"/>
        </w:rPr>
        <w:t>The Network Data Analytics Function (NWDAF):</w:t>
      </w:r>
    </w:p>
    <w:p w14:paraId="5F9E7BB1" w14:textId="77777777" w:rsidR="00AD5F95" w:rsidRDefault="00AD5F95" w:rsidP="00AD5F95">
      <w:pPr>
        <w:pStyle w:val="B1"/>
      </w:pPr>
      <w:r>
        <w:t>-</w:t>
      </w:r>
      <w:r>
        <w:tab/>
        <w:t>supports receiving information for all types of network data analytics from the NWDAF; and</w:t>
      </w:r>
    </w:p>
    <w:p w14:paraId="5DFC0F23" w14:textId="77777777" w:rsidR="00AD5F95" w:rsidRDefault="00AD5F95" w:rsidP="00AD5F95">
      <w:pPr>
        <w:pStyle w:val="B1"/>
      </w:pPr>
      <w:r>
        <w:t>-</w:t>
      </w:r>
      <w:r>
        <w:tab/>
        <w:t>supports receiving context information related to analytics subscriptions from the NWDAF.</w:t>
      </w:r>
    </w:p>
    <w:p w14:paraId="29DDA9C0" w14:textId="77777777" w:rsidR="00AD5F95" w:rsidRDefault="00AD5F95" w:rsidP="00AD5F95">
      <w:pPr>
        <w:pStyle w:val="B1"/>
        <w:ind w:left="0" w:firstLine="0"/>
        <w:rPr>
          <w:lang w:eastAsia="zh-CN"/>
        </w:rPr>
      </w:pPr>
      <w:r>
        <w:rPr>
          <w:rFonts w:hint="eastAsia"/>
          <w:lang w:eastAsia="zh-CN"/>
        </w:rPr>
        <w:t>T</w:t>
      </w:r>
      <w:r>
        <w:rPr>
          <w:lang w:eastAsia="zh-CN"/>
        </w:rPr>
        <w:t>he Data Collection Coordination Function (DCCF):</w:t>
      </w:r>
    </w:p>
    <w:p w14:paraId="37C60424" w14:textId="77777777" w:rsidR="00AD5F95" w:rsidRDefault="00AD5F95" w:rsidP="00AD5F95">
      <w:pPr>
        <w:pStyle w:val="B1"/>
      </w:pPr>
      <w:r>
        <w:t>-</w:t>
      </w:r>
      <w:r>
        <w:tab/>
        <w:t>supports receiving information for all types of network data analytics from the NWDAF.</w:t>
      </w:r>
    </w:p>
    <w:p w14:paraId="4299A74E" w14:textId="77777777" w:rsidR="00AD5F95" w:rsidRDefault="00AD5F95" w:rsidP="00AD5F95">
      <w:r>
        <w:t>The Analytics Data Repository Function (ADRF):</w:t>
      </w:r>
    </w:p>
    <w:p w14:paraId="1BB42717" w14:textId="77777777" w:rsidR="00AD5F95" w:rsidRDefault="00AD5F95" w:rsidP="00AD5F95">
      <w:pPr>
        <w:pStyle w:val="B1"/>
      </w:pPr>
      <w:r>
        <w:t>-</w:t>
      </w:r>
      <w:r>
        <w:tab/>
        <w:t>supports receiving information for all types of network data analytics from the NWDAF.</w:t>
      </w:r>
    </w:p>
    <w:p w14:paraId="694C6955" w14:textId="77777777" w:rsidR="00AD5F95" w:rsidRDefault="00AD5F95" w:rsidP="00AD5F95">
      <w:r>
        <w:t>The</w:t>
      </w:r>
      <w:r w:rsidRPr="004E4EA6">
        <w:t xml:space="preserve"> </w:t>
      </w:r>
      <w:r>
        <w:t>Unified Data Management (UDM):</w:t>
      </w:r>
    </w:p>
    <w:p w14:paraId="3371C2C3" w14:textId="77777777" w:rsidR="00AD5F95" w:rsidRDefault="00AD5F95" w:rsidP="00AD5F95">
      <w:pPr>
        <w:pStyle w:val="B1"/>
      </w:pPr>
      <w:r>
        <w:t>-</w:t>
      </w:r>
      <w:r>
        <w:tab/>
      </w:r>
      <w:r w:rsidRPr="00E63AEB">
        <w:t>supports taking analytics information for Signalling Storm from the NWDAF</w:t>
      </w:r>
      <w:r>
        <w:t>.</w:t>
      </w:r>
    </w:p>
    <w:p w14:paraId="2E49875C" w14:textId="77777777" w:rsidR="00AD5F95" w:rsidRDefault="00AD5F95" w:rsidP="00AD5F95">
      <w:r>
        <w:t xml:space="preserve">The </w:t>
      </w:r>
      <w:r w:rsidRPr="004706A4">
        <w:t>Network Repository Function (NRF)</w:t>
      </w:r>
      <w:r>
        <w:t>:</w:t>
      </w:r>
    </w:p>
    <w:p w14:paraId="55DAAA10" w14:textId="77777777" w:rsidR="00AD5F95" w:rsidRDefault="00AD5F95" w:rsidP="00AD5F95">
      <w:pPr>
        <w:pStyle w:val="B1"/>
      </w:pPr>
      <w:r>
        <w:t>-</w:t>
      </w:r>
      <w:r>
        <w:tab/>
      </w:r>
      <w:r w:rsidRPr="00E63AEB">
        <w:t>supports taking analytics information for Signalling Storm from the NWDAF</w:t>
      </w:r>
      <w:r>
        <w:t>.</w:t>
      </w:r>
    </w:p>
    <w:p w14:paraId="40BB1941" w14:textId="77777777" w:rsidR="00AD5F95" w:rsidRDefault="00AD5F95" w:rsidP="00AD5F95">
      <w:r>
        <w:t xml:space="preserve">The </w:t>
      </w:r>
      <w:bookmarkStart w:id="1561" w:name="OLE_LINK3"/>
      <w:bookmarkStart w:id="1562" w:name="OLE_LINK4"/>
      <w:r>
        <w:t>Service Communication Proxy</w:t>
      </w:r>
      <w:bookmarkEnd w:id="1561"/>
      <w:bookmarkEnd w:id="1562"/>
      <w:r>
        <w:t xml:space="preserve"> (SCP):</w:t>
      </w:r>
    </w:p>
    <w:p w14:paraId="64C4AC9A" w14:textId="77777777" w:rsidR="00AD5F95" w:rsidRDefault="00AD5F95" w:rsidP="00AD5F95">
      <w:pPr>
        <w:pStyle w:val="B1"/>
      </w:pPr>
      <w:r>
        <w:t>-</w:t>
      </w:r>
      <w:r>
        <w:tab/>
      </w:r>
      <w:r w:rsidRPr="00352A5E">
        <w:t>supports taking analytics information for Signalling Storm from NWDAF</w:t>
      </w:r>
      <w:r>
        <w:t>.</w:t>
      </w:r>
    </w:p>
    <w:p w14:paraId="681E6F8D" w14:textId="77777777" w:rsidR="00A10B25" w:rsidRDefault="00A10B25">
      <w:pPr>
        <w:pStyle w:val="3"/>
      </w:pPr>
      <w:bookmarkStart w:id="1563" w:name="_Toc191576059"/>
      <w:bookmarkStart w:id="1564" w:name="_Toc191576799"/>
      <w:bookmarkStart w:id="1565" w:name="_Toc192879869"/>
      <w:bookmarkStart w:id="1566" w:name="_Toc195814752"/>
      <w:bookmarkStart w:id="1567" w:name="_Toc199452699"/>
      <w:r>
        <w:lastRenderedPageBreak/>
        <w:t>4.3.2</w:t>
      </w:r>
      <w:r>
        <w:tab/>
        <w:t>Service Operations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3"/>
      <w:bookmarkEnd w:id="1564"/>
      <w:bookmarkEnd w:id="1565"/>
      <w:bookmarkEnd w:id="1566"/>
      <w:bookmarkEnd w:id="1567"/>
    </w:p>
    <w:p w14:paraId="72AA6BBB" w14:textId="77777777" w:rsidR="00A10B25" w:rsidRDefault="00A10B25">
      <w:pPr>
        <w:pStyle w:val="4"/>
        <w:rPr>
          <w:lang w:eastAsia="zh-CN"/>
        </w:rPr>
      </w:pPr>
      <w:bookmarkStart w:id="1568" w:name="_Toc83233002"/>
      <w:bookmarkStart w:id="1569" w:name="_Toc94064163"/>
      <w:bookmarkStart w:id="1570" w:name="_Toc59017890"/>
      <w:bookmarkStart w:id="1571" w:name="_Toc56640922"/>
      <w:bookmarkStart w:id="1572" w:name="_Toc101244319"/>
      <w:bookmarkStart w:id="1573" w:name="_Toc113031570"/>
      <w:bookmarkStart w:id="1574" w:name="_Toc70550565"/>
      <w:bookmarkStart w:id="1575" w:name="_Toc50031935"/>
      <w:bookmarkStart w:id="1576" w:name="_Toc114133709"/>
      <w:bookmarkStart w:id="1577" w:name="_Toc36102420"/>
      <w:bookmarkStart w:id="1578" w:name="_Toc85552896"/>
      <w:bookmarkStart w:id="1579" w:name="_Toc104538908"/>
      <w:bookmarkStart w:id="1580" w:name="_Toc51762855"/>
      <w:bookmarkStart w:id="1581" w:name="_Toc66231758"/>
      <w:bookmarkStart w:id="1582" w:name="_Toc136562256"/>
      <w:bookmarkStart w:id="1583" w:name="_Toc88667497"/>
      <w:bookmarkStart w:id="1584" w:name="_Toc43563462"/>
      <w:bookmarkStart w:id="1585" w:name="_Toc98233543"/>
      <w:bookmarkStart w:id="1586" w:name="_Toc68168919"/>
      <w:bookmarkStart w:id="1587" w:name="_Toc90655782"/>
      <w:bookmarkStart w:id="1588" w:name="_Toc28012779"/>
      <w:bookmarkStart w:id="1589" w:name="_Toc120702209"/>
      <w:bookmarkStart w:id="1590" w:name="_Toc148522481"/>
      <w:bookmarkStart w:id="1591" w:name="_Toc45134005"/>
      <w:bookmarkStart w:id="1592" w:name="_Toc138754090"/>
      <w:bookmarkStart w:id="1593" w:name="_Toc85556995"/>
      <w:bookmarkStart w:id="1594" w:name="_Toc145705577"/>
      <w:bookmarkStart w:id="1595" w:name="_Toc34266249"/>
      <w:bookmarkStart w:id="1596" w:name="_Toc112951030"/>
      <w:bookmarkStart w:id="1597" w:name="_Toc164920605"/>
      <w:bookmarkStart w:id="1598" w:name="_Toc170120147"/>
      <w:bookmarkStart w:id="1599" w:name="_Toc175858392"/>
      <w:bookmarkStart w:id="1600" w:name="_Toc175859465"/>
      <w:bookmarkStart w:id="1601" w:name="_Toc180605755"/>
      <w:bookmarkStart w:id="1602" w:name="_Toc185517009"/>
      <w:bookmarkStart w:id="1603" w:name="_Toc191576060"/>
      <w:bookmarkStart w:id="1604" w:name="_Toc191576800"/>
      <w:bookmarkStart w:id="1605" w:name="_Toc192879870"/>
      <w:bookmarkStart w:id="1606" w:name="_Toc195814753"/>
      <w:bookmarkStart w:id="1607" w:name="_Toc199452700"/>
      <w:r>
        <w:t>4.</w:t>
      </w:r>
      <w:r>
        <w:rPr>
          <w:lang w:eastAsia="zh-CN"/>
        </w:rPr>
        <w:t>3</w:t>
      </w:r>
      <w:r>
        <w:t>.2.1</w:t>
      </w:r>
      <w:r>
        <w:tab/>
        <w:t>Introduction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0EF3DA46" w14:textId="77777777" w:rsidR="00AD5F95" w:rsidRDefault="00AD5F95" w:rsidP="00AD5F95">
      <w:pPr>
        <w:pStyle w:val="TH"/>
        <w:overflowPunct w:val="0"/>
        <w:autoSpaceDE w:val="0"/>
        <w:autoSpaceDN w:val="0"/>
        <w:adjustRightInd w:val="0"/>
        <w:textAlignment w:val="baseline"/>
        <w:rPr>
          <w:rFonts w:eastAsia="MS Mincho"/>
        </w:rPr>
      </w:pPr>
      <w:r>
        <w:rPr>
          <w:rFonts w:eastAsia="MS Mincho"/>
        </w:rPr>
        <w:t>Table 4.3.2.1-1: Operations of the Nnwdaf_AnalyticsInfo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34"/>
        <w:gridCol w:w="4394"/>
        <w:gridCol w:w="1985"/>
      </w:tblGrid>
      <w:tr w:rsidR="00AD5F95" w14:paraId="3A02192D" w14:textId="77777777" w:rsidTr="009E7F73">
        <w:trPr>
          <w:cantSplit/>
          <w:tblHeader/>
        </w:trPr>
        <w:tc>
          <w:tcPr>
            <w:tcW w:w="3234" w:type="dxa"/>
            <w:shd w:val="clear" w:color="000000" w:fill="C0C0C0"/>
          </w:tcPr>
          <w:p w14:paraId="3C09744A" w14:textId="77777777" w:rsidR="00AD5F95" w:rsidRDefault="00AD5F95" w:rsidP="009E7F73">
            <w:pPr>
              <w:pStyle w:val="TAH"/>
            </w:pPr>
            <w:r>
              <w:t>Service operation name</w:t>
            </w:r>
          </w:p>
        </w:tc>
        <w:tc>
          <w:tcPr>
            <w:tcW w:w="4394" w:type="dxa"/>
            <w:shd w:val="clear" w:color="000000" w:fill="C0C0C0"/>
          </w:tcPr>
          <w:p w14:paraId="51BF11F3" w14:textId="77777777" w:rsidR="00AD5F95" w:rsidRDefault="00AD5F95" w:rsidP="009E7F73">
            <w:pPr>
              <w:pStyle w:val="TAH"/>
            </w:pPr>
            <w:r>
              <w:t>Description</w:t>
            </w:r>
          </w:p>
        </w:tc>
        <w:tc>
          <w:tcPr>
            <w:tcW w:w="1985" w:type="dxa"/>
            <w:shd w:val="clear" w:color="000000" w:fill="C0C0C0"/>
          </w:tcPr>
          <w:p w14:paraId="2A2073AA" w14:textId="77777777" w:rsidR="00AD5F95" w:rsidRDefault="00AD5F95" w:rsidP="009E7F73">
            <w:pPr>
              <w:pStyle w:val="TAH"/>
            </w:pPr>
            <w:r>
              <w:t>Initiated by</w:t>
            </w:r>
          </w:p>
        </w:tc>
      </w:tr>
      <w:tr w:rsidR="00AD5F95" w14:paraId="4E755856" w14:textId="77777777" w:rsidTr="009E7F73">
        <w:trPr>
          <w:cantSplit/>
        </w:trPr>
        <w:tc>
          <w:tcPr>
            <w:tcW w:w="3234" w:type="dxa"/>
          </w:tcPr>
          <w:p w14:paraId="7D8C93B5" w14:textId="77777777" w:rsidR="00AD5F95" w:rsidRDefault="00AD5F95" w:rsidP="009E7F73">
            <w:pPr>
              <w:pStyle w:val="TAL"/>
            </w:pPr>
            <w:r>
              <w:t>Nnwdaf_AnalyticsInfo_Request</w:t>
            </w:r>
          </w:p>
        </w:tc>
        <w:tc>
          <w:tcPr>
            <w:tcW w:w="4394" w:type="dxa"/>
          </w:tcPr>
          <w:p w14:paraId="150B8815" w14:textId="77777777" w:rsidR="00AD5F95" w:rsidRDefault="00AD5F95" w:rsidP="009E7F73">
            <w:pPr>
              <w:pStyle w:val="TAL"/>
            </w:pPr>
            <w:r>
              <w:t>This service operation is used by an NF to request and get specific analytics from NWDAF.</w:t>
            </w:r>
          </w:p>
        </w:tc>
        <w:tc>
          <w:tcPr>
            <w:tcW w:w="1985" w:type="dxa"/>
          </w:tcPr>
          <w:p w14:paraId="767054E2" w14:textId="77777777" w:rsidR="00AD5F95" w:rsidRDefault="00AD5F95" w:rsidP="009E7F73">
            <w:pPr>
              <w:pStyle w:val="TAL"/>
            </w:pPr>
            <w:r>
              <w:t>NF consumer (PCF, NSSF, AMF, SMF, NEF, AF, LMF, OAM, NWDAF, DCCF, ADRF, UDM, NRF, SCP)</w:t>
            </w:r>
          </w:p>
        </w:tc>
      </w:tr>
      <w:tr w:rsidR="00AD5F95" w14:paraId="3E7FAEB5" w14:textId="77777777" w:rsidTr="009E7F73">
        <w:trPr>
          <w:cantSplit/>
        </w:trPr>
        <w:tc>
          <w:tcPr>
            <w:tcW w:w="3234" w:type="dxa"/>
          </w:tcPr>
          <w:p w14:paraId="06CACD5D" w14:textId="77777777" w:rsidR="00AD5F95" w:rsidRDefault="00AD5F95" w:rsidP="009E7F73">
            <w:pPr>
              <w:pStyle w:val="TAL"/>
            </w:pPr>
            <w:r>
              <w:t>Nnwdaf_AnalyticsInfo_ContextTransfer</w:t>
            </w:r>
          </w:p>
        </w:tc>
        <w:tc>
          <w:tcPr>
            <w:tcW w:w="4394" w:type="dxa"/>
          </w:tcPr>
          <w:p w14:paraId="2D350E67" w14:textId="77777777" w:rsidR="00AD5F95" w:rsidRDefault="00AD5F95" w:rsidP="009E7F73">
            <w:pPr>
              <w:pStyle w:val="TAL"/>
            </w:pPr>
            <w:r>
              <w:t>This service operation is used by an NF to request and get context information related to analytics subscriptions from NWDAF.</w:t>
            </w:r>
          </w:p>
        </w:tc>
        <w:tc>
          <w:tcPr>
            <w:tcW w:w="1985" w:type="dxa"/>
          </w:tcPr>
          <w:p w14:paraId="67763FEF" w14:textId="77777777" w:rsidR="00AD5F95" w:rsidRDefault="00AD5F95" w:rsidP="009E7F73">
            <w:pPr>
              <w:pStyle w:val="TAL"/>
            </w:pPr>
            <w:r>
              <w:t>NF consumer (NWDAF)</w:t>
            </w:r>
          </w:p>
        </w:tc>
      </w:tr>
    </w:tbl>
    <w:p w14:paraId="435E2B66" w14:textId="77777777" w:rsidR="00A10B25" w:rsidRDefault="00A10B25"/>
    <w:p w14:paraId="0EB3B323" w14:textId="77777777" w:rsidR="00A10B25" w:rsidRDefault="00A10B25">
      <w:pPr>
        <w:pStyle w:val="4"/>
      </w:pPr>
      <w:bookmarkStart w:id="1608" w:name="_Toc94064164"/>
      <w:bookmarkStart w:id="1609" w:name="_Toc85552897"/>
      <w:bookmarkStart w:id="1610" w:name="_Toc34266250"/>
      <w:bookmarkStart w:id="1611" w:name="_Toc59017891"/>
      <w:bookmarkStart w:id="1612" w:name="_Toc68168920"/>
      <w:bookmarkStart w:id="1613" w:name="_Toc88667498"/>
      <w:bookmarkStart w:id="1614" w:name="_Toc66231759"/>
      <w:bookmarkStart w:id="1615" w:name="_Toc83233003"/>
      <w:bookmarkStart w:id="1616" w:name="_Toc50031936"/>
      <w:bookmarkStart w:id="1617" w:name="_Toc114133710"/>
      <w:bookmarkStart w:id="1618" w:name="_Toc85556996"/>
      <w:bookmarkStart w:id="1619" w:name="_Toc120702210"/>
      <w:bookmarkStart w:id="1620" w:name="_Toc45134006"/>
      <w:bookmarkStart w:id="1621" w:name="_Toc43563463"/>
      <w:bookmarkStart w:id="1622" w:name="_Toc104538909"/>
      <w:bookmarkStart w:id="1623" w:name="_Toc112951031"/>
      <w:bookmarkStart w:id="1624" w:name="_Toc113031571"/>
      <w:bookmarkStart w:id="1625" w:name="_Toc98233544"/>
      <w:bookmarkStart w:id="1626" w:name="_Toc145705578"/>
      <w:bookmarkStart w:id="1627" w:name="_Toc51762856"/>
      <w:bookmarkStart w:id="1628" w:name="_Toc36102421"/>
      <w:bookmarkStart w:id="1629" w:name="_Toc136562257"/>
      <w:bookmarkStart w:id="1630" w:name="_Toc90655783"/>
      <w:bookmarkStart w:id="1631" w:name="_Toc70550566"/>
      <w:bookmarkStart w:id="1632" w:name="_Toc101244320"/>
      <w:bookmarkStart w:id="1633" w:name="_Toc28012780"/>
      <w:bookmarkStart w:id="1634" w:name="_Toc138754091"/>
      <w:bookmarkStart w:id="1635" w:name="_Toc148522482"/>
      <w:bookmarkStart w:id="1636" w:name="_Toc56640923"/>
      <w:bookmarkStart w:id="1637" w:name="_Toc164920606"/>
      <w:bookmarkStart w:id="1638" w:name="_Toc170120148"/>
      <w:bookmarkStart w:id="1639" w:name="_Toc175858393"/>
      <w:bookmarkStart w:id="1640" w:name="_Toc175859466"/>
      <w:bookmarkStart w:id="1641" w:name="_Toc180605756"/>
      <w:bookmarkStart w:id="1642" w:name="_Toc185517010"/>
      <w:bookmarkStart w:id="1643" w:name="_Toc191576061"/>
      <w:bookmarkStart w:id="1644" w:name="_Toc191576801"/>
      <w:bookmarkStart w:id="1645" w:name="_Toc192879871"/>
      <w:bookmarkStart w:id="1646" w:name="_Toc195814754"/>
      <w:bookmarkStart w:id="1647" w:name="_Toc199452701"/>
      <w:r>
        <w:t>4.3.2.2</w:t>
      </w:r>
      <w:r>
        <w:tab/>
        <w:t>Nnwdaf_AnalyticsInfo_Request service operation</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1EEBF958" w14:textId="77777777" w:rsidR="00A10B25" w:rsidRDefault="00A10B25">
      <w:pPr>
        <w:pStyle w:val="5"/>
      </w:pPr>
      <w:bookmarkStart w:id="1648" w:name="_Toc98233545"/>
      <w:bookmarkStart w:id="1649" w:name="_Toc104538910"/>
      <w:bookmarkStart w:id="1650" w:name="_Toc88667499"/>
      <w:bookmarkStart w:id="1651" w:name="_Toc56640924"/>
      <w:bookmarkStart w:id="1652" w:name="_Toc59017892"/>
      <w:bookmarkStart w:id="1653" w:name="_Toc51762857"/>
      <w:bookmarkStart w:id="1654" w:name="_Toc34266251"/>
      <w:bookmarkStart w:id="1655" w:name="_Toc45134007"/>
      <w:bookmarkStart w:id="1656" w:name="_Toc101244321"/>
      <w:bookmarkStart w:id="1657" w:name="_Toc83233004"/>
      <w:bookmarkStart w:id="1658" w:name="_Toc66231760"/>
      <w:bookmarkStart w:id="1659" w:name="_Toc90655784"/>
      <w:bookmarkStart w:id="1660" w:name="_Toc43563464"/>
      <w:bookmarkStart w:id="1661" w:name="_Toc148522483"/>
      <w:bookmarkStart w:id="1662" w:name="_Toc70550567"/>
      <w:bookmarkStart w:id="1663" w:name="_Toc28012781"/>
      <w:bookmarkStart w:id="1664" w:name="_Toc85556997"/>
      <w:bookmarkStart w:id="1665" w:name="_Toc68168921"/>
      <w:bookmarkStart w:id="1666" w:name="_Toc36102422"/>
      <w:bookmarkStart w:id="1667" w:name="_Toc94064165"/>
      <w:bookmarkStart w:id="1668" w:name="_Toc114133711"/>
      <w:bookmarkStart w:id="1669" w:name="_Toc136562258"/>
      <w:bookmarkStart w:id="1670" w:name="_Toc138754092"/>
      <w:bookmarkStart w:id="1671" w:name="_Toc85552898"/>
      <w:bookmarkStart w:id="1672" w:name="_Toc145705579"/>
      <w:bookmarkStart w:id="1673" w:name="_Toc50031937"/>
      <w:bookmarkStart w:id="1674" w:name="_Toc113031572"/>
      <w:bookmarkStart w:id="1675" w:name="_Toc112951032"/>
      <w:bookmarkStart w:id="1676" w:name="_Toc120702211"/>
      <w:bookmarkStart w:id="1677" w:name="_Toc164920607"/>
      <w:bookmarkStart w:id="1678" w:name="_Toc170120149"/>
      <w:bookmarkStart w:id="1679" w:name="_Toc175858394"/>
      <w:bookmarkStart w:id="1680" w:name="_Toc175859467"/>
      <w:bookmarkStart w:id="1681" w:name="_Toc180605757"/>
      <w:bookmarkStart w:id="1682" w:name="_Toc185517011"/>
      <w:bookmarkStart w:id="1683" w:name="_Toc191576062"/>
      <w:bookmarkStart w:id="1684" w:name="_Toc191576802"/>
      <w:bookmarkStart w:id="1685" w:name="_Toc192879872"/>
      <w:bookmarkStart w:id="1686" w:name="_Toc195814755"/>
      <w:bookmarkStart w:id="1687" w:name="_Toc199452702"/>
      <w:r>
        <w:t>4.3.2.2.1</w:t>
      </w:r>
      <w:r>
        <w:tab/>
        <w:t>General</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5DC95E36" w14:textId="77777777" w:rsidR="00A10B25" w:rsidRDefault="00A10B25">
      <w:r>
        <w:t>The</w:t>
      </w:r>
      <w:r>
        <w:rPr>
          <w:rFonts w:eastAsia="Batang"/>
        </w:rPr>
        <w:t xml:space="preserve"> </w:t>
      </w:r>
      <w:r>
        <w:t>Nnwdaf_AnalyticsInfo_Request service operation is used by an NF service consumer to request and get specific analytics information from the NWDAF.</w:t>
      </w:r>
    </w:p>
    <w:p w14:paraId="11303522" w14:textId="77777777" w:rsidR="00A10B25" w:rsidRDefault="00A10B25">
      <w:pPr>
        <w:pStyle w:val="5"/>
      </w:pPr>
      <w:bookmarkStart w:id="1688" w:name="_Toc83233005"/>
      <w:bookmarkStart w:id="1689" w:name="_Toc88667500"/>
      <w:bookmarkStart w:id="1690" w:name="_Toc101244322"/>
      <w:bookmarkStart w:id="1691" w:name="_Toc68168922"/>
      <w:bookmarkStart w:id="1692" w:name="_Toc56640925"/>
      <w:bookmarkStart w:id="1693" w:name="_Toc59017893"/>
      <w:bookmarkStart w:id="1694" w:name="_Toc34266252"/>
      <w:bookmarkStart w:id="1695" w:name="_Toc66231761"/>
      <w:bookmarkStart w:id="1696" w:name="_Toc50031938"/>
      <w:bookmarkStart w:id="1697" w:name="_Toc36102423"/>
      <w:bookmarkStart w:id="1698" w:name="_Toc70550568"/>
      <w:bookmarkStart w:id="1699" w:name="_Toc45134008"/>
      <w:bookmarkStart w:id="1700" w:name="_Toc136562259"/>
      <w:bookmarkStart w:id="1701" w:name="_Toc28012782"/>
      <w:bookmarkStart w:id="1702" w:name="_Toc94064166"/>
      <w:bookmarkStart w:id="1703" w:name="_Toc90655785"/>
      <w:bookmarkStart w:id="1704" w:name="_Toc145705580"/>
      <w:bookmarkStart w:id="1705" w:name="_Toc114133712"/>
      <w:bookmarkStart w:id="1706" w:name="_Toc85552899"/>
      <w:bookmarkStart w:id="1707" w:name="_Toc120702212"/>
      <w:bookmarkStart w:id="1708" w:name="_Toc98233546"/>
      <w:bookmarkStart w:id="1709" w:name="_Toc138754093"/>
      <w:bookmarkStart w:id="1710" w:name="_Toc43563465"/>
      <w:bookmarkStart w:id="1711" w:name="_Toc112951033"/>
      <w:bookmarkStart w:id="1712" w:name="_Toc148522484"/>
      <w:bookmarkStart w:id="1713" w:name="_Toc85556998"/>
      <w:bookmarkStart w:id="1714" w:name="_Toc113031573"/>
      <w:bookmarkStart w:id="1715" w:name="_Toc104538911"/>
      <w:bookmarkStart w:id="1716" w:name="_Toc51762858"/>
      <w:bookmarkStart w:id="1717" w:name="_Toc164920608"/>
      <w:bookmarkStart w:id="1718" w:name="_Toc170120150"/>
      <w:bookmarkStart w:id="1719" w:name="_Toc175858395"/>
      <w:bookmarkStart w:id="1720" w:name="_Toc175859468"/>
      <w:bookmarkStart w:id="1721" w:name="_Toc180605758"/>
      <w:bookmarkStart w:id="1722" w:name="_Toc185517012"/>
      <w:bookmarkStart w:id="1723" w:name="_Toc191576063"/>
      <w:bookmarkStart w:id="1724" w:name="_Toc191576803"/>
      <w:bookmarkStart w:id="1725" w:name="_Toc192879873"/>
      <w:bookmarkStart w:id="1726" w:name="_Toc195814756"/>
      <w:bookmarkStart w:id="1727" w:name="_Toc199452703"/>
      <w:r>
        <w:t>4.3.2.2.2</w:t>
      </w:r>
      <w:r>
        <w:tab/>
        <w:t>Request and get from NWDAF Analytics information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017301F8" w14:textId="77777777" w:rsidR="00A10B25" w:rsidRDefault="00A10B25">
      <w:pPr>
        <w:rPr>
          <w:rFonts w:eastAsia="等线"/>
        </w:rPr>
      </w:pPr>
      <w:r>
        <w:rPr>
          <w:rFonts w:eastAsia="等线"/>
        </w:rPr>
        <w:t>Figure 4.3.2.2.2-1 shows a scenario where the NF service consumer (e.g. PCF) sends a request to the NWDAF to request and get from</w:t>
      </w:r>
      <w:r>
        <w:t xml:space="preserve"> the</w:t>
      </w:r>
      <w:r>
        <w:rPr>
          <w:rFonts w:eastAsia="等线"/>
        </w:rPr>
        <w:t xml:space="preserve"> NWDAF analytics information (</w:t>
      </w:r>
      <w:r>
        <w:rPr>
          <w:rFonts w:eastAsia="等线"/>
          <w:lang w:val="en-US" w:eastAsia="zh-CN"/>
        </w:rPr>
        <w:t xml:space="preserve">as shown in </w:t>
      </w:r>
      <w:r>
        <w:rPr>
          <w:rFonts w:eastAsia="等线"/>
        </w:rPr>
        <w:t>3GPP TS 23.288 [17]).</w:t>
      </w:r>
    </w:p>
    <w:p w14:paraId="341F2571" w14:textId="77777777" w:rsidR="00A10B25" w:rsidRDefault="00A10B25">
      <w:pPr>
        <w:pStyle w:val="TH"/>
      </w:pPr>
    </w:p>
    <w:p w14:paraId="29EC292F" w14:textId="77777777" w:rsidR="00A10B25" w:rsidRDefault="00A10B25">
      <w:pPr>
        <w:pStyle w:val="TH"/>
      </w:pPr>
      <w:r>
        <w:rPr>
          <w:lang w:val="en-US" w:eastAsia="zh-CN"/>
        </w:rPr>
        <w:object w:dxaOrig="7947" w:dyaOrig="2188" w14:anchorId="759F4562">
          <v:shape id="Object 14" o:spid="_x0000_i1048" type="#_x0000_t75" style="width:433.25pt;height:119.6pt;mso-position-horizontal-relative:page;mso-position-vertical-relative:page" o:ole="">
            <v:imagedata r:id="rId30" o:title=""/>
          </v:shape>
          <o:OLEObject Type="Embed" ProgID="Visio.Drawing.11" ShapeID="Object 14" DrawAspect="Content" ObjectID="_1810065992" r:id="rId31"/>
        </w:object>
      </w:r>
    </w:p>
    <w:p w14:paraId="63F4B9D7" w14:textId="77777777" w:rsidR="00A10B25" w:rsidRDefault="00A10B25">
      <w:pPr>
        <w:pStyle w:val="TF"/>
      </w:pPr>
      <w:r>
        <w:t>Figure 4.3.2.2.2-1: Requesting a NWDAF Analytics information</w:t>
      </w:r>
    </w:p>
    <w:p w14:paraId="3E8A536C" w14:textId="77777777" w:rsidR="00A10B25" w:rsidRDefault="00A10B25">
      <w:pPr>
        <w:rPr>
          <w:rFonts w:eastAsia="等线"/>
        </w:rPr>
      </w:pPr>
      <w:r>
        <w:rPr>
          <w:rFonts w:eastAsia="等线"/>
        </w:rPr>
        <w:t>The NF service consumer (e.g. PCF) shall invoke the</w:t>
      </w:r>
      <w:r>
        <w:rPr>
          <w:rFonts w:eastAsia="Batang"/>
        </w:rPr>
        <w:t xml:space="preserve"> </w:t>
      </w:r>
      <w:r>
        <w:rPr>
          <w:rFonts w:eastAsia="等线"/>
        </w:rPr>
        <w:t>Nnwdaf_AnalyticsInfo_Request service operation when requesting the NWDAF analytics information. The NF service consumer shall send an HTTP GET request on the resource URI "{apiRoot}/nnwdaf-analyticsinfo/&lt;apiVersion&gt;/analytics" representing the "NWDAF Analytics" (as shown in figure 4.3.2.2.2-1, step 1), to request analytics data according to the query parameter value of the "event-id"</w:t>
      </w:r>
      <w:r>
        <w:t xml:space="preserve"> </w:t>
      </w:r>
      <w:r>
        <w:rPr>
          <w:rFonts w:eastAsia="等线"/>
        </w:rPr>
        <w:t>attribute. In addition, the following information may be provided:</w:t>
      </w:r>
    </w:p>
    <w:p w14:paraId="5BAF1E04" w14:textId="77777777" w:rsidR="00A10B25" w:rsidRDefault="00A10B25">
      <w:pPr>
        <w:pStyle w:val="B1"/>
      </w:pPr>
      <w:r>
        <w:t>-</w:t>
      </w:r>
      <w:r>
        <w:tab/>
        <w:t>common reporting requirement in the "ana-req" attribute as follows:</w:t>
      </w:r>
    </w:p>
    <w:p w14:paraId="681F59BD" w14:textId="77777777" w:rsidR="00A10B25" w:rsidRDefault="00A10B25">
      <w:pPr>
        <w:pStyle w:val="B2"/>
      </w:pPr>
      <w:r>
        <w:t>1)</w:t>
      </w:r>
      <w:r>
        <w:tab/>
        <w:t xml:space="preserve">identification of time window </w:t>
      </w:r>
      <w:r>
        <w:rPr>
          <w:lang w:eastAsia="zh-CN"/>
        </w:rPr>
        <w:t xml:space="preserve">for the requested </w:t>
      </w:r>
      <w:r>
        <w:rPr>
          <w:rFonts w:eastAsia="等线"/>
        </w:rPr>
        <w:t>analytics data</w:t>
      </w:r>
      <w:r>
        <w:t xml:space="preserve"> applies via identification of date-time(s) in the "startTs" and "endTs" attributes;</w:t>
      </w:r>
    </w:p>
    <w:p w14:paraId="15C2A325" w14:textId="77777777" w:rsidR="00A10B25" w:rsidRDefault="00A10B25">
      <w:pPr>
        <w:pStyle w:val="B2"/>
      </w:pPr>
      <w:r>
        <w:t>2)</w:t>
      </w:r>
      <w:r>
        <w:tab/>
        <w:t xml:space="preserve">preferred level of accuracy of the analytics in "accuracy" attribute; </w:t>
      </w:r>
    </w:p>
    <w:p w14:paraId="66F9831A" w14:textId="77777777" w:rsidR="00A10B25" w:rsidRDefault="00A10B25">
      <w:pPr>
        <w:pStyle w:val="B2"/>
      </w:pPr>
      <w:r>
        <w:t>3)</w:t>
      </w:r>
      <w:r>
        <w:tab/>
        <w:t xml:space="preserve">percentage of sampling among impacted UEs in the "sampRatio" attribute; </w:t>
      </w:r>
    </w:p>
    <w:p w14:paraId="0D277349" w14:textId="77777777" w:rsidR="00A10B25" w:rsidRDefault="00A10B25">
      <w:pPr>
        <w:pStyle w:val="B2"/>
      </w:pPr>
      <w:r>
        <w:t>4)</w:t>
      </w:r>
      <w:r>
        <w:tab/>
        <w:t>maximum number of objects in the "maxObjectNbr" attribute;</w:t>
      </w:r>
    </w:p>
    <w:p w14:paraId="3D7E6E25" w14:textId="77777777" w:rsidR="00A10B25" w:rsidRDefault="00A10B25">
      <w:pPr>
        <w:pStyle w:val="B2"/>
      </w:pPr>
      <w:r>
        <w:t>5)</w:t>
      </w:r>
      <w:r>
        <w:tab/>
        <w:t xml:space="preserve">maximum number of SUPIs expected for an analytics report in the "maxSupiNbr" attribute; </w:t>
      </w:r>
    </w:p>
    <w:p w14:paraId="365444E1" w14:textId="77777777" w:rsidR="00A10B25" w:rsidRDefault="00A10B25">
      <w:pPr>
        <w:pStyle w:val="B2"/>
      </w:pPr>
      <w:r>
        <w:t xml:space="preserve">6) </w:t>
      </w:r>
      <w:r>
        <w:tab/>
        <w:t>identification of time when analytics information is needed in the "timeAnaNeeded" attribute if the feature "EneNA" is supported;</w:t>
      </w:r>
    </w:p>
    <w:p w14:paraId="59E3317F" w14:textId="77777777" w:rsidR="00A10B25" w:rsidRDefault="00A10B25">
      <w:pPr>
        <w:pStyle w:val="B2"/>
      </w:pPr>
      <w:r>
        <w:lastRenderedPageBreak/>
        <w:t>7)</w:t>
      </w:r>
      <w:r>
        <w:tab/>
        <w:t xml:space="preserve">indication of which analytics metadata is requested to be delivered with the response in the "anaMeta" attribute if the feature "Aggregation" is supported; </w:t>
      </w:r>
    </w:p>
    <w:p w14:paraId="7BEEB318" w14:textId="77777777" w:rsidR="004D3964" w:rsidRDefault="004D3964" w:rsidP="004D3964">
      <w:pPr>
        <w:pStyle w:val="B2"/>
      </w:pPr>
      <w:r>
        <w:t>8)</w:t>
      </w:r>
      <w:r>
        <w:tab/>
        <w:t>values for the analytics metadata information in the "anaMetaInd" attribute if the feature "Aggregation" is supported;</w:t>
      </w:r>
    </w:p>
    <w:p w14:paraId="0F599762" w14:textId="77777777" w:rsidR="00A10B25" w:rsidRDefault="00A10B25">
      <w:pPr>
        <w:pStyle w:val="B2"/>
      </w:pPr>
      <w:r>
        <w:t>9)</w:t>
      </w:r>
      <w:r>
        <w:tab/>
        <w:t xml:space="preserve">preferred </w:t>
      </w:r>
      <w:r>
        <w:rPr>
          <w:rFonts w:cs="Arial"/>
          <w:szCs w:val="18"/>
        </w:rPr>
        <w:t>accuracy level per analytics subset</w:t>
      </w:r>
      <w:r>
        <w:t xml:space="preserve"> in the "</w:t>
      </w:r>
      <w:r>
        <w:rPr>
          <w:lang w:eastAsia="zh-CN"/>
        </w:rPr>
        <w:t>accPerSubset</w:t>
      </w:r>
      <w:r>
        <w:t>" attribute if the "listOfAnaSubsets" attribute is present and the EneNA feature is supported; and/or</w:t>
      </w:r>
    </w:p>
    <w:p w14:paraId="7B114139" w14:textId="77777777" w:rsidR="00A10B25" w:rsidRDefault="00A10B25">
      <w:pPr>
        <w:ind w:left="851" w:hanging="284"/>
        <w:contextualSpacing/>
      </w:pPr>
      <w:r>
        <w:rPr>
          <w:rFonts w:eastAsia="等线"/>
          <w:lang w:eastAsia="en-GB"/>
        </w:rPr>
        <w:t>10)</w:t>
      </w:r>
      <w:r>
        <w:rPr>
          <w:rFonts w:eastAsia="等线"/>
          <w:lang w:eastAsia="en-GB"/>
        </w:rPr>
        <w:tab/>
        <w:t xml:space="preserve">the </w:t>
      </w:r>
      <w:r>
        <w:t>time period of historical analytics in the "</w:t>
      </w:r>
      <w:r>
        <w:rPr>
          <w:lang w:eastAsia="zh-CN"/>
        </w:rPr>
        <w:t>histAnaTimePeriod</w:t>
      </w:r>
      <w:r>
        <w:t>" attribute if the "EneNA" feature is supported;</w:t>
      </w:r>
    </w:p>
    <w:p w14:paraId="60001181" w14:textId="77777777" w:rsidR="00A10B25" w:rsidRDefault="00A10B25">
      <w:pPr>
        <w:pStyle w:val="NO"/>
      </w:pPr>
      <w:r>
        <w:t>NOTE 1:</w:t>
      </w:r>
      <w:r>
        <w:tab/>
        <w:t>The NWDAF can use the use case context to select the most relevant ML model, when several ML models are available for the requested Analytics ID(s). The NWDAF containing AnLF can additionally provide the use case context when requesting an ML model from an NWDAF containing MTLF. The values of this parameter are not standardized.</w:t>
      </w:r>
    </w:p>
    <w:p w14:paraId="7DAC6DFB" w14:textId="77777777" w:rsidR="00A10B25" w:rsidRDefault="00A10B25">
      <w:r>
        <w:t>For all the event types, the "event-filter" attribute may include:</w:t>
      </w:r>
    </w:p>
    <w:p w14:paraId="5B043A81" w14:textId="77777777" w:rsidR="00A10B25" w:rsidRDefault="00A10B25">
      <w:pPr>
        <w:pStyle w:val="B1"/>
      </w:pPr>
      <w:r>
        <w:rPr>
          <w:rFonts w:eastAsia="等线"/>
        </w:rPr>
        <w:t>-</w:t>
      </w:r>
      <w:r>
        <w:rPr>
          <w:rFonts w:eastAsia="等线"/>
        </w:rPr>
        <w:tab/>
      </w:r>
      <w:r>
        <w:rPr>
          <w:lang w:val="en-US" w:eastAsia="zh-CN"/>
        </w:rPr>
        <w:t xml:space="preserve">the </w:t>
      </w:r>
      <w:r>
        <w:t>analytics accuracy requirement information in "</w:t>
      </w:r>
      <w:r>
        <w:rPr>
          <w:lang w:eastAsia="zh-CN"/>
        </w:rPr>
        <w:t>accuReq</w:t>
      </w:r>
      <w:r>
        <w:t>" attribute as indication to the NWDAF to activate checking the analytics accuracy information of the requested event, if the "</w:t>
      </w:r>
      <w:r>
        <w:rPr>
          <w:lang w:eastAsia="zh-CN"/>
        </w:rPr>
        <w:t>AnalyticsAccuracy</w:t>
      </w:r>
      <w:r>
        <w:t>" feature is supported and the NF service consumer discovered or local configured the NWDAF containing an AnLF supporting the accuracy checking capability.</w:t>
      </w:r>
    </w:p>
    <w:p w14:paraId="4C455EAC" w14:textId="77777777" w:rsidR="00A10B25" w:rsidRDefault="00A10B25" w:rsidP="0076721C">
      <w:pPr>
        <w:pStyle w:val="B1"/>
      </w:pPr>
      <w:r>
        <w:t>-</w:t>
      </w:r>
      <w:r>
        <w:tab/>
        <w:t>use case context as "useCaseCxt" attribute, if the "ENAExt" feature is supported.</w:t>
      </w:r>
    </w:p>
    <w:p w14:paraId="1C4DD756" w14:textId="77777777" w:rsidR="00A10B25" w:rsidRDefault="00A10B25" w:rsidP="0076721C">
      <w:pPr>
        <w:pStyle w:val="B1"/>
      </w:pPr>
      <w:r>
        <w:t>-</w:t>
      </w:r>
      <w:r>
        <w:tab/>
        <w:t>information related to roaming within the "roamingInfo" attribute if the "RoamingAnalytics" feature is supported;</w:t>
      </w:r>
    </w:p>
    <w:p w14:paraId="714AB277" w14:textId="77777777" w:rsidR="00A10B25" w:rsidRDefault="00A10B25">
      <w:pPr>
        <w:pStyle w:val="NO"/>
      </w:pPr>
      <w:r>
        <w:t>NOTE</w:t>
      </w:r>
      <w:r>
        <w:rPr>
          <w:rFonts w:eastAsia="等线"/>
        </w:rPr>
        <w:t> 2</w:t>
      </w:r>
      <w:r>
        <w:t>:</w:t>
      </w:r>
      <w:r>
        <w:tab/>
        <w:t>The request for analytics accuracy information independently from request of the analytics event output is not supported in this release.</w:t>
      </w:r>
    </w:p>
    <w:p w14:paraId="59AD7039" w14:textId="77777777" w:rsidR="00A10B25" w:rsidRDefault="00A10B25">
      <w:pPr>
        <w:rPr>
          <w:rFonts w:eastAsia="等线"/>
        </w:rPr>
      </w:pPr>
      <w:r>
        <w:t>For different event types:</w:t>
      </w:r>
    </w:p>
    <w:p w14:paraId="6DB7113F" w14:textId="77777777" w:rsidR="00A10B25" w:rsidRDefault="00A10B25">
      <w:pPr>
        <w:pStyle w:val="B1"/>
      </w:pPr>
      <w:r>
        <w:t>-</w:t>
      </w:r>
      <w:r>
        <w:tab/>
        <w:t>if the event is "LOAD_LEVEL_INFORMATION", it shall provide the event specific filter information within "event-filter" attribute including identification(s) of the network slice via:</w:t>
      </w:r>
    </w:p>
    <w:p w14:paraId="231D9639" w14:textId="77777777" w:rsidR="00A10B25" w:rsidRDefault="00A10B25">
      <w:pPr>
        <w:pStyle w:val="B2"/>
      </w:pPr>
      <w:r>
        <w:t>1)</w:t>
      </w:r>
      <w:r>
        <w:tab/>
        <w:t>identification of network slice(s) in the "snssais" attribute; or</w:t>
      </w:r>
    </w:p>
    <w:p w14:paraId="4118D7C2" w14:textId="77777777" w:rsidR="00A10B25" w:rsidRDefault="00A10B25">
      <w:pPr>
        <w:pStyle w:val="B2"/>
      </w:pPr>
      <w:r>
        <w:t>2)</w:t>
      </w:r>
      <w:r>
        <w:tab/>
        <w:t>any slices indication in the "anySlice" attribute;</w:t>
      </w:r>
    </w:p>
    <w:p w14:paraId="7119F927" w14:textId="77777777" w:rsidR="00A10B25" w:rsidRDefault="00A10B25">
      <w:pPr>
        <w:pStyle w:val="B1"/>
      </w:pPr>
      <w:r>
        <w:t>-</w:t>
      </w:r>
      <w:r>
        <w:tab/>
        <w:t>if the feature "</w:t>
      </w:r>
      <w:r>
        <w:rPr>
          <w:lang w:eastAsia="zh-CN"/>
        </w:rPr>
        <w:t>NsiLoad</w:t>
      </w:r>
      <w:r>
        <w:t>" is supported and the event is "</w:t>
      </w:r>
      <w:r>
        <w:rPr>
          <w:lang w:eastAsia="zh-CN"/>
        </w:rPr>
        <w:t>NSI_LOAD_LEVEL</w:t>
      </w:r>
      <w:r>
        <w:t>", it shall provide the event specific filter information within "event-filter" attribute including identification(s) of the network slice via:</w:t>
      </w:r>
    </w:p>
    <w:p w14:paraId="0C78388B" w14:textId="77777777" w:rsidR="00A10B25" w:rsidRDefault="00A10B25">
      <w:pPr>
        <w:pStyle w:val="B2"/>
      </w:pPr>
      <w:r>
        <w:t>1)</w:t>
      </w:r>
      <w:r>
        <w:tab/>
        <w:t>identification of network slice(s) and the optionally associated instance(s) if available, in the "nsiIdInfos" attribute; or</w:t>
      </w:r>
    </w:p>
    <w:p w14:paraId="7B1DEB35" w14:textId="77777777" w:rsidR="00A10B25" w:rsidRDefault="00A10B25">
      <w:pPr>
        <w:pStyle w:val="NO"/>
      </w:pPr>
      <w:bookmarkStart w:id="1728" w:name="_Toc98233547"/>
      <w:bookmarkStart w:id="1729" w:name="_Toc70550569"/>
      <w:bookmarkStart w:id="1730" w:name="_Toc83233006"/>
      <w:bookmarkStart w:id="1731" w:name="_Toc138754094"/>
      <w:bookmarkStart w:id="1732" w:name="_Toc88667501"/>
      <w:bookmarkStart w:id="1733" w:name="_Toc85552900"/>
      <w:bookmarkStart w:id="1734" w:name="_Toc101244323"/>
      <w:bookmarkStart w:id="1735" w:name="_Toc120702213"/>
      <w:bookmarkStart w:id="1736" w:name="_Toc104538912"/>
      <w:bookmarkStart w:id="1737" w:name="_Toc94064167"/>
      <w:bookmarkStart w:id="1738" w:name="_Toc136562260"/>
      <w:bookmarkStart w:id="1739" w:name="_Toc114133713"/>
      <w:bookmarkStart w:id="1740" w:name="_Toc113031574"/>
      <w:bookmarkStart w:id="1741" w:name="_Toc112951034"/>
      <w:bookmarkStart w:id="1742" w:name="_Toc90655786"/>
      <w:bookmarkStart w:id="1743" w:name="_Toc85556999"/>
      <w:bookmarkStart w:id="1744" w:name="_Toc73564371"/>
      <w:r>
        <w:t>NOTE</w:t>
      </w:r>
      <w:r>
        <w:rPr>
          <w:rFonts w:eastAsia="等线"/>
        </w:rPr>
        <w:t> 3</w:t>
      </w:r>
      <w:r>
        <w:t>:</w:t>
      </w:r>
      <w:r>
        <w:tab/>
      </w:r>
      <w:r>
        <w:tab/>
        <w:t>The network slice instance of a PDU session is not available in the PCF.</w:t>
      </w:r>
    </w:p>
    <w:p w14:paraId="45D551BB" w14:textId="77777777" w:rsidR="00A10B25" w:rsidRDefault="00A10B25">
      <w:pPr>
        <w:pStyle w:val="B2"/>
      </w:pPr>
      <w:r>
        <w:t>2)</w:t>
      </w:r>
      <w:r>
        <w:tab/>
        <w:t>any slices indication in the "anySlice" attribute;</w:t>
      </w:r>
    </w:p>
    <w:p w14:paraId="23AD47FB" w14:textId="77777777" w:rsidR="00A10B25" w:rsidRDefault="00A10B25">
      <w:pPr>
        <w:pStyle w:val="B1"/>
      </w:pPr>
      <w:r>
        <w:tab/>
        <w:t>and may include:</w:t>
      </w:r>
    </w:p>
    <w:p w14:paraId="49AF21E1" w14:textId="77777777" w:rsidR="00A10B25" w:rsidRDefault="00A10B25">
      <w:pPr>
        <w:pStyle w:val="B2"/>
        <w:rPr>
          <w:lang w:val="en-US" w:eastAsia="zh-CN"/>
        </w:rPr>
      </w:pPr>
      <w:r>
        <w:rPr>
          <w:lang w:val="en-US" w:eastAsia="zh-CN"/>
        </w:rPr>
        <w:t>1)</w:t>
      </w:r>
      <w:r>
        <w:rPr>
          <w:lang w:val="en-US" w:eastAsia="zh-CN"/>
        </w:rPr>
        <w:tab/>
        <w:t xml:space="preserve">a list of analytics subsets carried by "listOfAnaSubsets" attribute with value(s) only applicable to </w:t>
      </w:r>
      <w:r>
        <w:t>"</w:t>
      </w:r>
      <w:r>
        <w:rPr>
          <w:lang w:eastAsia="zh-CN"/>
        </w:rPr>
        <w:t>NSI_LOAD_LEVEL</w:t>
      </w:r>
      <w:r>
        <w:t>"</w:t>
      </w:r>
      <w:r>
        <w:rPr>
          <w:lang w:val="en-US" w:eastAsia="zh-CN"/>
        </w:rPr>
        <w:t xml:space="preserve"> event, if the "EneNA" feature is supported;</w:t>
      </w:r>
    </w:p>
    <w:p w14:paraId="5EB38955" w14:textId="77777777" w:rsidR="00A10B25" w:rsidRDefault="00A10B25">
      <w:pPr>
        <w:pStyle w:val="B2"/>
      </w:pPr>
      <w:r>
        <w:rPr>
          <w:lang w:val="en-US" w:eastAsia="zh-CN"/>
        </w:rPr>
        <w:t>2)</w:t>
      </w:r>
      <w:r>
        <w:rPr>
          <w:lang w:val="en-US" w:eastAsia="zh-CN"/>
        </w:rPr>
        <w:tab/>
      </w:r>
      <w:r>
        <w:t>event specific filter information in the "event-filter" attribute:</w:t>
      </w:r>
    </w:p>
    <w:p w14:paraId="28A85E7E" w14:textId="77777777" w:rsidR="00A10B25" w:rsidRDefault="00A10B25">
      <w:pPr>
        <w:pStyle w:val="B3"/>
      </w:pPr>
      <w:r>
        <w:t>a)</w:t>
      </w:r>
      <w:r>
        <w:tab/>
        <w:t>list of NF instance types in the "nfTypes" attribute, if the "NsiLoadExt" feature is supported; and/or</w:t>
      </w:r>
    </w:p>
    <w:p w14:paraId="5E3DCEBB" w14:textId="77777777" w:rsidR="00A10B25" w:rsidRDefault="00A10B25">
      <w:pPr>
        <w:pStyle w:val="B3"/>
      </w:pPr>
      <w:r>
        <w:t>b)</w:t>
      </w:r>
      <w:r>
        <w:tab/>
        <w:t>identification of network area to which the request applies via identification of network area by "networkArea" attribute, if the "NsiLoadExt" feature is supported.</w:t>
      </w:r>
    </w:p>
    <w:p w14:paraId="0430B64D" w14:textId="77777777" w:rsidR="00A10B25" w:rsidRDefault="00A10B25">
      <w:pPr>
        <w:pStyle w:val="B1"/>
      </w:pPr>
      <w:r>
        <w:t>-</w:t>
      </w:r>
      <w:r>
        <w:tab/>
        <w:t>if the feature "NfLoad" is supported and the event is "NF_LOAD", it shall provide:</w:t>
      </w:r>
    </w:p>
    <w:p w14:paraId="5BCE5DB2" w14:textId="77777777" w:rsidR="003E1F9F" w:rsidRDefault="003E1F9F" w:rsidP="003E1F9F">
      <w:pPr>
        <w:pStyle w:val="B2"/>
      </w:pPr>
      <w:r>
        <w:t>1)</w:t>
      </w:r>
      <w:r>
        <w:tab/>
        <w:t>identification of target UE(s) to which the request applies by "supis" or "anyUe"</w:t>
      </w:r>
      <w:r w:rsidRPr="00FC1086">
        <w:t xml:space="preserve"> </w:t>
      </w:r>
      <w:r>
        <w:t xml:space="preserve">attribute set to </w:t>
      </w:r>
      <w:r w:rsidRPr="00B14BFF">
        <w:t>"t</w:t>
      </w:r>
      <w:r>
        <w:t>rue</w:t>
      </w:r>
      <w:r w:rsidRPr="00B14BFF">
        <w:t>"</w:t>
      </w:r>
      <w:r>
        <w:t xml:space="preserve"> in the "tgt-ue" attribute; and</w:t>
      </w:r>
    </w:p>
    <w:p w14:paraId="16ED5892" w14:textId="77777777" w:rsidR="00A10B25" w:rsidRDefault="00A10B25">
      <w:pPr>
        <w:pStyle w:val="NO"/>
      </w:pPr>
      <w:r>
        <w:t>NOTE</w:t>
      </w:r>
      <w:r>
        <w:rPr>
          <w:rFonts w:eastAsia="等线"/>
        </w:rPr>
        <w:t> 4</w:t>
      </w:r>
      <w:r>
        <w:t>:</w:t>
      </w:r>
      <w:r>
        <w:tab/>
        <w:t>Only NF instances of type AMF and SMF which are serving the UE can be determined using a SUPI in "supis" attribute.</w:t>
      </w:r>
    </w:p>
    <w:p w14:paraId="2A6BA9E3" w14:textId="77777777" w:rsidR="00A10B25" w:rsidRDefault="00A10B25">
      <w:pPr>
        <w:pStyle w:val="NO"/>
      </w:pPr>
      <w:r>
        <w:lastRenderedPageBreak/>
        <w:t>NOTE</w:t>
      </w:r>
      <w:r>
        <w:rPr>
          <w:rFonts w:eastAsia="等线"/>
        </w:rPr>
        <w:t> 5</w:t>
      </w:r>
      <w:r>
        <w:t>:</w:t>
      </w:r>
      <w:r>
        <w:tab/>
        <w:t>If a list of the NF Instance IDs (or respectively of NF Set IDs) is provided, the NWDAF needs to provide the analytics for each designated NF instance (or respectively for each NF instance belonging to each designated NF Set). In such case the target UE</w:t>
      </w:r>
      <w:r>
        <w:rPr>
          <w:lang w:eastAsia="zh-CN"/>
        </w:rPr>
        <w:t xml:space="preserve">(s) of the </w:t>
      </w:r>
      <w:r>
        <w:t>Analytics Reporting need be ignored.</w:t>
      </w:r>
    </w:p>
    <w:p w14:paraId="7F6142ED" w14:textId="77777777" w:rsidR="00A10B25" w:rsidRDefault="00A10B25">
      <w:pPr>
        <w:pStyle w:val="B1"/>
      </w:pPr>
      <w:r>
        <w:t>-</w:t>
      </w:r>
      <w:r>
        <w:tab/>
        <w:t>the "event-filter" attribute may provide:</w:t>
      </w:r>
    </w:p>
    <w:p w14:paraId="515179A7" w14:textId="77777777" w:rsidR="00A10B25" w:rsidRDefault="00A10B25">
      <w:pPr>
        <w:pStyle w:val="B3"/>
      </w:pPr>
      <w:r>
        <w:t>a)</w:t>
      </w:r>
      <w:r>
        <w:tab/>
        <w:t>either list of NF instance IDs in the "nfInstanceIds" attribute or list of NF set IDs in the "nfSetIds" attribute if the identification of target UE(s) applies to all UEs;</w:t>
      </w:r>
    </w:p>
    <w:p w14:paraId="3DB4E9BD" w14:textId="77777777" w:rsidR="00A10B25" w:rsidRDefault="00A10B25">
      <w:pPr>
        <w:pStyle w:val="B3"/>
      </w:pPr>
      <w:r>
        <w:t>b)</w:t>
      </w:r>
      <w:r>
        <w:tab/>
        <w:t>list of NF instance types in the "nfTypes" attribute;</w:t>
      </w:r>
    </w:p>
    <w:p w14:paraId="6077CAFB" w14:textId="77777777" w:rsidR="00A10B25" w:rsidRDefault="00A10B25">
      <w:pPr>
        <w:pStyle w:val="B3"/>
      </w:pPr>
      <w:r>
        <w:t>c)</w:t>
      </w:r>
      <w:r>
        <w:tab/>
        <w:t>identification of network slice(s) in the "snssais" attribute;</w:t>
      </w:r>
    </w:p>
    <w:p w14:paraId="6EB2D86C" w14:textId="77777777" w:rsidR="00A10B25" w:rsidRDefault="00A10B25">
      <w:pPr>
        <w:pStyle w:val="B3"/>
      </w:pPr>
      <w:r>
        <w:t>d)</w:t>
      </w:r>
      <w:r>
        <w:tab/>
        <w:t>optional area of interest by "networkArea" attribute; and/or</w:t>
      </w:r>
    </w:p>
    <w:p w14:paraId="5E258DE2" w14:textId="77777777" w:rsidR="00A10B25" w:rsidRDefault="00A10B25">
      <w:pPr>
        <w:pStyle w:val="B3"/>
      </w:pPr>
      <w:r>
        <w:t>e)</w:t>
      </w:r>
      <w:r>
        <w:tab/>
        <w:t>an optional list of analytics subsets by "listOfAnaSubsets" attribute with value(s) only applicable to NF_LOAD event, if the "EneNA" feature is supported;</w:t>
      </w:r>
    </w:p>
    <w:p w14:paraId="61C1119C" w14:textId="77777777" w:rsidR="00A10B25" w:rsidRDefault="00A10B25">
      <w:pPr>
        <w:pStyle w:val="B1"/>
      </w:pPr>
      <w:r>
        <w:t>-</w:t>
      </w:r>
      <w:r>
        <w:tab/>
        <w:t>if the feature "UeMobility" is supported and the event is "UE_MOBILITY", it shall provide:</w:t>
      </w:r>
    </w:p>
    <w:p w14:paraId="46CD66D6" w14:textId="77777777" w:rsidR="00A10B25" w:rsidRDefault="00A10B25">
      <w:pPr>
        <w:pStyle w:val="B2"/>
      </w:pPr>
      <w:r>
        <w:t>1)</w:t>
      </w:r>
      <w:r>
        <w:tab/>
        <w:t>identification of target UE(s) to which the request applies by "supis" or "intGroupIds" attribute in the "tgt-ue" attribute;</w:t>
      </w:r>
    </w:p>
    <w:p w14:paraId="50EEFF6D" w14:textId="77777777" w:rsidR="00A10B25" w:rsidRDefault="00A10B25">
      <w:pPr>
        <w:pStyle w:val="B1"/>
      </w:pPr>
      <w:r>
        <w:tab/>
        <w:t>and may include:</w:t>
      </w:r>
    </w:p>
    <w:p w14:paraId="7BC9D0B6" w14:textId="77777777" w:rsidR="00BD381F" w:rsidRPr="004A42E5" w:rsidRDefault="00BD381F" w:rsidP="00BD381F">
      <w:pPr>
        <w:ind w:left="1135" w:hanging="284"/>
        <w:contextualSpacing/>
      </w:pPr>
      <w:r w:rsidRPr="004A42E5">
        <w:t>a)</w:t>
      </w:r>
      <w:r w:rsidRPr="004A42E5">
        <w:tab/>
        <w:t xml:space="preserve">identification of network area to which the request applies via </w:t>
      </w:r>
      <w:r>
        <w:t>the</w:t>
      </w:r>
      <w:r w:rsidRPr="004A42E5">
        <w:t xml:space="preserve"> "networkArea" attribute</w:t>
      </w:r>
      <w:r>
        <w:t xml:space="preserve"> and/or, if the </w:t>
      </w:r>
      <w:r w:rsidRPr="004A42E5">
        <w:rPr>
          <w:lang w:val="en-US" w:eastAsia="zh-CN"/>
        </w:rPr>
        <w:t>"</w:t>
      </w:r>
      <w:r w:rsidRPr="004A42E5">
        <w:t>UeMobility</w:t>
      </w:r>
      <w:r w:rsidRPr="004A42E5">
        <w:rPr>
          <w:lang w:eastAsia="zh-CN"/>
        </w:rPr>
        <w:t>Ext2_eNA</w:t>
      </w:r>
      <w:r w:rsidRPr="004A42E5">
        <w:rPr>
          <w:lang w:val="en-US" w:eastAsia="zh-CN"/>
        </w:rPr>
        <w:t xml:space="preserve">" </w:t>
      </w:r>
      <w:r>
        <w:rPr>
          <w:lang w:val="en-US" w:eastAsia="zh-CN"/>
        </w:rPr>
        <w:t xml:space="preserve">feature </w:t>
      </w:r>
      <w:r w:rsidRPr="004A42E5">
        <w:rPr>
          <w:lang w:val="en-US" w:eastAsia="zh-CN"/>
        </w:rPr>
        <w:t>is supported</w:t>
      </w:r>
      <w:r>
        <w:rPr>
          <w:lang w:val="en-US" w:eastAsia="zh-CN"/>
        </w:rPr>
        <w:t>, the "fineGranAreas" attribute</w:t>
      </w:r>
      <w:r w:rsidRPr="004A42E5">
        <w:t>;</w:t>
      </w:r>
    </w:p>
    <w:p w14:paraId="0858C756" w14:textId="77777777" w:rsidR="00BD381F" w:rsidRPr="004A42E5" w:rsidRDefault="00BD381F" w:rsidP="00BD381F">
      <w:pPr>
        <w:ind w:left="1135" w:hanging="284"/>
        <w:contextualSpacing/>
      </w:pPr>
      <w:r w:rsidRPr="004A42E5">
        <w:t>b)</w:t>
      </w:r>
      <w:r w:rsidRPr="004A42E5">
        <w:tab/>
        <w:t xml:space="preserve">if the feature "UeMobilityExt" is supported, </w:t>
      </w:r>
    </w:p>
    <w:p w14:paraId="50E3F366" w14:textId="77777777" w:rsidR="00BD381F" w:rsidRPr="004A42E5" w:rsidRDefault="00BD381F" w:rsidP="00BD381F">
      <w:pPr>
        <w:ind w:left="1135" w:firstLine="1"/>
        <w:contextualSpacing/>
      </w:pPr>
      <w:r w:rsidRPr="004A42E5">
        <w:t>i)</w:t>
      </w:r>
      <w:r w:rsidRPr="004A42E5">
        <w:tab/>
        <w:t xml:space="preserve">identification of LADN DNN in the "ladnDnns" attribute; </w:t>
      </w:r>
    </w:p>
    <w:p w14:paraId="53FD82FE" w14:textId="77777777" w:rsidR="00BD381F" w:rsidRPr="004A42E5" w:rsidRDefault="00BD381F" w:rsidP="00BD381F">
      <w:pPr>
        <w:ind w:left="1134" w:firstLine="1"/>
        <w:contextualSpacing/>
      </w:pPr>
      <w:r w:rsidRPr="004A42E5">
        <w:t>ii)</w:t>
      </w:r>
      <w:r w:rsidRPr="004A42E5">
        <w:tab/>
        <w:t>visited Area(s) of Interest as the "visitedAreas" attirbute;</w:t>
      </w:r>
    </w:p>
    <w:p w14:paraId="3F973C8A" w14:textId="77777777" w:rsidR="00BD381F" w:rsidRPr="004A42E5" w:rsidRDefault="00BD381F" w:rsidP="00BD381F">
      <w:pPr>
        <w:ind w:left="1135" w:hanging="284"/>
        <w:contextualSpacing/>
      </w:pPr>
      <w:r w:rsidRPr="004A42E5">
        <w:t>c)</w:t>
      </w:r>
      <w:r w:rsidRPr="004A42E5">
        <w:tab/>
        <w:t>other UE mobility requirements in "</w:t>
      </w:r>
      <w:r w:rsidRPr="004A42E5">
        <w:rPr>
          <w:lang w:eastAsia="zh-CN"/>
        </w:rPr>
        <w:t>ueMobilityReqs</w:t>
      </w:r>
      <w:r w:rsidRPr="004A42E5">
        <w:t>" attribute, if the "UeMobility</w:t>
      </w:r>
      <w:r w:rsidRPr="004A42E5">
        <w:rPr>
          <w:lang w:eastAsia="zh-CN"/>
        </w:rPr>
        <w:t>Ext2_eNA</w:t>
      </w:r>
      <w:r w:rsidRPr="004A42E5">
        <w:t>" feature is supported;</w:t>
      </w:r>
    </w:p>
    <w:p w14:paraId="27FA540C" w14:textId="77777777" w:rsidR="00BD381F" w:rsidRPr="004A42E5" w:rsidRDefault="00BD381F" w:rsidP="00BD381F">
      <w:pPr>
        <w:ind w:left="1135" w:hanging="284"/>
        <w:contextualSpacing/>
      </w:pPr>
      <w:r w:rsidRPr="004A42E5">
        <w:t>d)</w:t>
      </w:r>
      <w:r w:rsidRPr="004A42E5">
        <w:tab/>
        <w:t>preferred granularity of location information as the "locGranularity" attribute if the feature "UeMobilityExt2_eN</w:t>
      </w:r>
      <w:r w:rsidRPr="004A42E5">
        <w:rPr>
          <w:lang w:eastAsia="zh-CN"/>
        </w:rPr>
        <w:t>A</w:t>
      </w:r>
      <w:r w:rsidRPr="004A42E5">
        <w:t>" is also supported</w:t>
      </w:r>
      <w:r w:rsidRPr="004A42E5">
        <w:rPr>
          <w:lang w:val="en-US" w:eastAsia="zh-CN"/>
        </w:rPr>
        <w:t>;</w:t>
      </w:r>
    </w:p>
    <w:p w14:paraId="49772900" w14:textId="77777777" w:rsidR="00BD381F" w:rsidRPr="004A42E5" w:rsidRDefault="00BD381F" w:rsidP="00BD381F">
      <w:pPr>
        <w:ind w:left="1135" w:hanging="284"/>
        <w:contextualSpacing/>
      </w:pPr>
      <w:r w:rsidRPr="004A42E5">
        <w:t>e)</w:t>
      </w:r>
      <w:r w:rsidRPr="004A42E5">
        <w:tab/>
        <w:t>identification of the preferred orientation of location information by " locOrientation" attribute if the feature "UeMobilityExt2_eNA" is supported</w:t>
      </w:r>
    </w:p>
    <w:p w14:paraId="7B6CBA44" w14:textId="77777777" w:rsidR="00BD381F" w:rsidRPr="004A42E5" w:rsidRDefault="00BD381F" w:rsidP="00BD381F">
      <w:pPr>
        <w:ind w:left="1135" w:hanging="284"/>
        <w:contextualSpacing/>
        <w:rPr>
          <w:lang w:val="en-US" w:eastAsia="zh-CN"/>
        </w:rPr>
      </w:pPr>
      <w:r w:rsidRPr="004A42E5">
        <w:t>f)</w:t>
      </w:r>
      <w:r w:rsidRPr="004A42E5">
        <w:tab/>
      </w:r>
      <w:r w:rsidRPr="004A42E5">
        <w:rPr>
          <w:lang w:val="en-US" w:eastAsia="zh-CN"/>
        </w:rPr>
        <w:t xml:space="preserve">a list of analytics subsets carried by "listOfAnaSubsets" attribute with value(s) only applicable to </w:t>
      </w:r>
      <w:r w:rsidRPr="004A42E5">
        <w:t>"UE_MOBILITY"</w:t>
      </w:r>
      <w:r w:rsidRPr="004A42E5">
        <w:rPr>
          <w:lang w:val="en-US" w:eastAsia="zh-CN"/>
        </w:rPr>
        <w:t xml:space="preserve"> event, if the "</w:t>
      </w:r>
      <w:r w:rsidRPr="004A42E5">
        <w:t>UeMobility</w:t>
      </w:r>
      <w:r w:rsidRPr="004A42E5">
        <w:rPr>
          <w:lang w:eastAsia="zh-CN"/>
        </w:rPr>
        <w:t>Ext2_eNA</w:t>
      </w:r>
      <w:r w:rsidRPr="004A42E5">
        <w:rPr>
          <w:lang w:val="en-US" w:eastAsia="zh-CN"/>
        </w:rPr>
        <w:t>"</w:t>
      </w:r>
      <w:r w:rsidRPr="004A42E5">
        <w:rPr>
          <w:lang w:eastAsia="zh-CN"/>
        </w:rPr>
        <w:t xml:space="preserve"> and </w:t>
      </w:r>
      <w:r w:rsidRPr="004A42E5">
        <w:rPr>
          <w:lang w:val="en-US" w:eastAsia="zh-CN"/>
        </w:rPr>
        <w:t>"EneNA" features are supported;</w:t>
      </w:r>
    </w:p>
    <w:p w14:paraId="1532B7AB" w14:textId="77777777" w:rsidR="00BD381F" w:rsidRPr="004A42E5" w:rsidRDefault="00BD381F" w:rsidP="00BD381F">
      <w:pPr>
        <w:ind w:left="1135" w:hanging="284"/>
        <w:contextualSpacing/>
      </w:pPr>
      <w:r w:rsidRPr="004A42E5">
        <w:t>g)</w:t>
      </w:r>
      <w:r w:rsidRPr="004A42E5">
        <w:tab/>
        <w:t>the spatial granularity size of TA in the "spatialGranSizeTa" attribute if the "UeMobilityExt2_eNA" feature is supported;</w:t>
      </w:r>
    </w:p>
    <w:p w14:paraId="55BCE36D" w14:textId="77777777" w:rsidR="00BD381F" w:rsidRPr="004A42E5" w:rsidRDefault="00BD381F" w:rsidP="00BD381F">
      <w:pPr>
        <w:ind w:left="1135" w:hanging="284"/>
        <w:contextualSpacing/>
      </w:pPr>
      <w:r w:rsidRPr="004A42E5">
        <w:t>h)</w:t>
      </w:r>
      <w:r w:rsidRPr="004A42E5">
        <w:tab/>
        <w:t>the spatial granularity size of cell in the "spatialGranSizeCell" attribute if the "UeMobilityExt2_eNA" feature is supported;</w:t>
      </w:r>
    </w:p>
    <w:p w14:paraId="4A6DB14D" w14:textId="77777777" w:rsidR="00BD381F" w:rsidRPr="004A42E5" w:rsidRDefault="00BD381F" w:rsidP="00BD381F">
      <w:pPr>
        <w:ind w:left="1135" w:hanging="284"/>
        <w:contextualSpacing/>
        <w:rPr>
          <w:lang w:val="en-US" w:eastAsia="zh-CN"/>
        </w:rPr>
      </w:pPr>
      <w:r w:rsidRPr="004A42E5">
        <w:t>i)</w:t>
      </w:r>
      <w:r w:rsidRPr="004A42E5">
        <w:tab/>
        <w:t>the temporal granularity size in the "temporalGranSize" attribute if the "UeMobilityExt2_eNA" feature is supported</w:t>
      </w:r>
      <w:r w:rsidRPr="004A42E5">
        <w:rPr>
          <w:lang w:val="en-US"/>
        </w:rPr>
        <w:t>;</w:t>
      </w:r>
      <w:r w:rsidRPr="004A42E5">
        <w:t xml:space="preserve"> and/or</w:t>
      </w:r>
    </w:p>
    <w:p w14:paraId="6D37B59B" w14:textId="77777777" w:rsidR="00A10B25" w:rsidRDefault="00A10B25">
      <w:pPr>
        <w:pStyle w:val="NO"/>
      </w:pPr>
      <w:r>
        <w:rPr>
          <w:rFonts w:eastAsia="等线"/>
        </w:rPr>
        <w:t>NOTE </w:t>
      </w:r>
      <w:r>
        <w:rPr>
          <w:rFonts w:eastAsia="等线"/>
          <w:lang w:val="en-US"/>
        </w:rPr>
        <w:t>6</w:t>
      </w:r>
      <w:r>
        <w:rPr>
          <w:rFonts w:eastAsia="等线"/>
        </w:rPr>
        <w:t>:</w:t>
      </w:r>
      <w:r>
        <w:rPr>
          <w:rFonts w:eastAsia="等线"/>
        </w:rPr>
        <w:tab/>
        <w:t>For LADN service, the consumer (e.g. SMF) provides the LADN DNN to refer the LADN service area as the AOI.</w:t>
      </w:r>
    </w:p>
    <w:p w14:paraId="0D3EE4F6" w14:textId="77777777" w:rsidR="00A10B25" w:rsidRDefault="00A10B25">
      <w:pPr>
        <w:pStyle w:val="B1"/>
      </w:pPr>
      <w:r>
        <w:t>-</w:t>
      </w:r>
      <w:r>
        <w:tab/>
        <w:t xml:space="preserve">if the feature "UeCommunication" is supported and the event is </w:t>
      </w:r>
      <w:r w:rsidR="00AD5F95">
        <w:t>"UE_COMMUNICATION"</w:t>
      </w:r>
      <w:r>
        <w:t>, it shall provide:</w:t>
      </w:r>
    </w:p>
    <w:p w14:paraId="40E26957" w14:textId="77777777" w:rsidR="00A10B25" w:rsidRDefault="00A10B25">
      <w:pPr>
        <w:pStyle w:val="B2"/>
      </w:pPr>
      <w:r>
        <w:t>1)</w:t>
      </w:r>
      <w:r>
        <w:tab/>
        <w:t>identification of target UE(s) to which the request applies by "supis" or "intGroupIds" attribute in the "tgt-ue" attribute;</w:t>
      </w:r>
    </w:p>
    <w:p w14:paraId="48EFFC61" w14:textId="77777777" w:rsidR="00A10B25" w:rsidRDefault="00A10B25">
      <w:pPr>
        <w:pStyle w:val="B1"/>
      </w:pPr>
      <w:r>
        <w:tab/>
        <w:t>and may include:</w:t>
      </w:r>
    </w:p>
    <w:p w14:paraId="39B203E8" w14:textId="77777777" w:rsidR="00A10B25" w:rsidRDefault="00A10B25">
      <w:pPr>
        <w:pStyle w:val="B2"/>
      </w:pPr>
      <w:r>
        <w:t>1)</w:t>
      </w:r>
      <w:r>
        <w:tab/>
        <w:t>event specific filter information in the "event-filter" attribute:</w:t>
      </w:r>
    </w:p>
    <w:p w14:paraId="7D4CBFFB" w14:textId="77777777" w:rsidR="00A10B25" w:rsidRDefault="00A10B25">
      <w:pPr>
        <w:pStyle w:val="B3"/>
      </w:pPr>
      <w:r>
        <w:t>a)</w:t>
      </w:r>
      <w:r>
        <w:tab/>
        <w:t>identification of the application as "appIds" attribute;</w:t>
      </w:r>
    </w:p>
    <w:p w14:paraId="046E052F" w14:textId="77777777" w:rsidR="00A10B25" w:rsidRDefault="00A10B25">
      <w:pPr>
        <w:pStyle w:val="B3"/>
      </w:pPr>
      <w:r>
        <w:t>b)</w:t>
      </w:r>
      <w:r>
        <w:tab/>
        <w:t>identification of network area to which the request applies via identification of network area by "networkArea" attribute;</w:t>
      </w:r>
    </w:p>
    <w:p w14:paraId="0BC99F70" w14:textId="77777777" w:rsidR="00A10B25" w:rsidRDefault="00A10B25">
      <w:pPr>
        <w:pStyle w:val="B3"/>
      </w:pPr>
      <w:r>
        <w:t>c)</w:t>
      </w:r>
      <w:r>
        <w:tab/>
        <w:t xml:space="preserve">identification of DNN in the "dnns" attribute; </w:t>
      </w:r>
    </w:p>
    <w:p w14:paraId="50F64A7A" w14:textId="77777777" w:rsidR="00A10B25" w:rsidRDefault="00A10B25">
      <w:pPr>
        <w:pStyle w:val="B3"/>
      </w:pPr>
      <w:r>
        <w:t>d)</w:t>
      </w:r>
      <w:r>
        <w:tab/>
        <w:t>identification of network slice(s) in the "snssais" attribute;</w:t>
      </w:r>
    </w:p>
    <w:p w14:paraId="13940C68" w14:textId="77777777" w:rsidR="00A10B25" w:rsidRDefault="00A10B25">
      <w:pPr>
        <w:pStyle w:val="B3"/>
      </w:pPr>
      <w:r>
        <w:rPr>
          <w:lang w:eastAsia="zh-CN"/>
        </w:rPr>
        <w:t>e</w:t>
      </w:r>
      <w:r>
        <w:t>)</w:t>
      </w:r>
      <w:r>
        <w:tab/>
      </w:r>
      <w:r>
        <w:rPr>
          <w:lang w:val="en-US" w:eastAsia="zh-CN"/>
        </w:rPr>
        <w:t xml:space="preserve">a list of analytics subsets carried by "listOfAnaSubsets" attribute with value(s) only applicable to </w:t>
      </w:r>
      <w:r w:rsidR="00AD5F95">
        <w:t>"UE_COMMUNICATION"</w:t>
      </w:r>
      <w:r>
        <w:rPr>
          <w:lang w:val="en-US" w:eastAsia="zh-CN"/>
        </w:rPr>
        <w:t xml:space="preserve"> event, if the "EneNA" feature is supported;</w:t>
      </w:r>
    </w:p>
    <w:p w14:paraId="31AC9C57" w14:textId="77777777" w:rsidR="00A10B25" w:rsidRDefault="00A10B25">
      <w:pPr>
        <w:pStyle w:val="B3"/>
      </w:pPr>
      <w:r>
        <w:t>f)</w:t>
      </w:r>
      <w:r>
        <w:tab/>
        <w:t>other UE communication requirements in "</w:t>
      </w:r>
      <w:r>
        <w:rPr>
          <w:lang w:eastAsia="zh-CN"/>
        </w:rPr>
        <w:t>ueCommReqs</w:t>
      </w:r>
      <w:r>
        <w:t>" attribute, if the "UeCommunicationExt_eNA" feature is supported; and/or</w:t>
      </w:r>
    </w:p>
    <w:p w14:paraId="45F6960A" w14:textId="77777777" w:rsidR="00A10B25" w:rsidRDefault="00A10B25">
      <w:pPr>
        <w:pStyle w:val="B3"/>
      </w:pPr>
      <w:r>
        <w:t>g)</w:t>
      </w:r>
      <w:r>
        <w:tab/>
        <w:t>the spatial granularity size of TA in the "spatialGranSizeTa" attribute if the "UeCommunicationExt_eNA" feature is supported.</w:t>
      </w:r>
    </w:p>
    <w:p w14:paraId="1FE6CEB5" w14:textId="77777777" w:rsidR="00A10B25" w:rsidRDefault="00A10B25">
      <w:pPr>
        <w:pStyle w:val="B3"/>
      </w:pPr>
      <w:r>
        <w:lastRenderedPageBreak/>
        <w:t>h)</w:t>
      </w:r>
      <w:r>
        <w:tab/>
        <w:t>the spatial granularity size of cell in the "spatialGranSizeCell" attribute if the "UeCommunicationExt_eNA" feature is supported.</w:t>
      </w:r>
    </w:p>
    <w:p w14:paraId="7494BDC2" w14:textId="77777777" w:rsidR="00A10B25" w:rsidRDefault="00A10B25">
      <w:pPr>
        <w:pStyle w:val="B1"/>
      </w:pPr>
      <w:r>
        <w:t>-</w:t>
      </w:r>
      <w:r>
        <w:tab/>
        <w:t>if the feature "NetworkPerformance" is supported and the event is "NETWORK_PERFORMANCE", it shall provide:</w:t>
      </w:r>
    </w:p>
    <w:p w14:paraId="0940AAAC" w14:textId="77777777" w:rsidR="003E1F9F" w:rsidRDefault="003E1F9F" w:rsidP="003E1F9F">
      <w:pPr>
        <w:pStyle w:val="B2"/>
      </w:pPr>
      <w:r>
        <w:t>1)</w:t>
      </w:r>
      <w:r>
        <w:tab/>
        <w:t xml:space="preserve">identification of target UE(s) to which the request applies by "supis", "intGroupIds" or "anyUe" attribute set to </w:t>
      </w:r>
      <w:r w:rsidRPr="00B14BFF">
        <w:t>"t</w:t>
      </w:r>
      <w:r>
        <w:t>rue</w:t>
      </w:r>
      <w:r w:rsidRPr="00B14BFF">
        <w:t>"</w:t>
      </w:r>
      <w:r>
        <w:t xml:space="preserve">in the "tgt-ue" attribute; </w:t>
      </w:r>
    </w:p>
    <w:p w14:paraId="10E0513E" w14:textId="77777777" w:rsidR="00A10B25" w:rsidRDefault="00A10B25">
      <w:pPr>
        <w:pStyle w:val="B2"/>
      </w:pPr>
      <w:r>
        <w:t>2)</w:t>
      </w:r>
      <w:r>
        <w:tab/>
        <w:t>event specific filter information in the "event-filter" attribute which shall provide:</w:t>
      </w:r>
    </w:p>
    <w:p w14:paraId="08997950" w14:textId="77777777" w:rsidR="00A10B25" w:rsidRDefault="00A10B25">
      <w:pPr>
        <w:pStyle w:val="B3"/>
      </w:pPr>
      <w:r>
        <w:t>a)</w:t>
      </w:r>
      <w:r>
        <w:tab/>
        <w:t xml:space="preserve">the network performance types via "nwPerfTypes" attribute; </w:t>
      </w:r>
    </w:p>
    <w:p w14:paraId="02CFB7FA" w14:textId="77777777" w:rsidR="00A10B25" w:rsidRDefault="00A10B25">
      <w:pPr>
        <w:pStyle w:val="B3"/>
      </w:pPr>
      <w:r>
        <w:rPr>
          <w:lang w:eastAsia="zh-CN"/>
        </w:rPr>
        <w:t>b</w:t>
      </w:r>
      <w:r>
        <w:t>)</w:t>
      </w:r>
      <w:r>
        <w:tab/>
        <w:t>the network performance requirements via "</w:t>
      </w:r>
      <w:r>
        <w:rPr>
          <w:lang w:eastAsia="zh-CN"/>
        </w:rPr>
        <w:t>n</w:t>
      </w:r>
      <w:r>
        <w:t>wPerfReqs" attribute, if the feature "NetworkPerformanceExt_eNA" is supported;</w:t>
      </w:r>
    </w:p>
    <w:p w14:paraId="75D190FD" w14:textId="77777777" w:rsidR="00A10B25" w:rsidRDefault="00A10B25">
      <w:pPr>
        <w:pStyle w:val="B1"/>
      </w:pPr>
      <w:r>
        <w:tab/>
        <w:t>the "event-filter" attribute may provide:</w:t>
      </w:r>
    </w:p>
    <w:p w14:paraId="03B42956" w14:textId="77777777" w:rsidR="00A10B25" w:rsidRDefault="00A10B25">
      <w:pPr>
        <w:pStyle w:val="B3"/>
      </w:pPr>
      <w:r>
        <w:t>a)</w:t>
      </w:r>
      <w:r>
        <w:tab/>
        <w:t>identification of network area to which the request applies via identification of network area(s) by "networkArea" attribute (mandatory if "anyUe" attribute is set to true);</w:t>
      </w:r>
    </w:p>
    <w:p w14:paraId="31A2702E" w14:textId="77777777" w:rsidR="00A10B25" w:rsidRDefault="00A10B25">
      <w:pPr>
        <w:pStyle w:val="B3"/>
      </w:pPr>
      <w:r>
        <w:t>b)</w:t>
      </w:r>
      <w:r>
        <w:tab/>
      </w:r>
      <w:r>
        <w:rPr>
          <w:lang w:eastAsia="zh-CN"/>
        </w:rPr>
        <w:t xml:space="preserve">for each network performance type identified by </w:t>
      </w:r>
      <w:r>
        <w:t xml:space="preserve">"nwPerfTypes" attribute, the additional </w:t>
      </w:r>
      <w:r>
        <w:rPr>
          <w:lang w:eastAsia="zh-CN"/>
        </w:rPr>
        <w:t>requirement by</w:t>
      </w:r>
      <w:r>
        <w:t xml:space="preserve"> "addNwPerfReqs" attribute if the "NetworkPerformanceExt_AIML" feature is supported; and/or</w:t>
      </w:r>
    </w:p>
    <w:p w14:paraId="3FB6676F" w14:textId="77777777" w:rsidR="00A10B25" w:rsidRDefault="00A10B25">
      <w:pPr>
        <w:pStyle w:val="B3"/>
      </w:pPr>
      <w:r>
        <w:t>c)</w:t>
      </w:r>
      <w:r>
        <w:tab/>
        <w:t>the spatial granularity size of TA in the "spatialGranSizeTa" attribute if the "DnPerfExt_eNA" feature is supported;</w:t>
      </w:r>
    </w:p>
    <w:p w14:paraId="53AAD52E" w14:textId="77777777" w:rsidR="00A10B25" w:rsidRDefault="00A10B25">
      <w:pPr>
        <w:pStyle w:val="B3"/>
      </w:pPr>
      <w:r>
        <w:t>d)</w:t>
      </w:r>
      <w:r>
        <w:tab/>
        <w:t>the spatial granularity size of TA in the "spatialGranSizeCell" attribute if the "DnPerfExt_eNA" feature is supported; and/or</w:t>
      </w:r>
    </w:p>
    <w:p w14:paraId="5BC126F7" w14:textId="77777777" w:rsidR="00A10B25" w:rsidRDefault="00A10B25">
      <w:pPr>
        <w:pStyle w:val="B1"/>
      </w:pPr>
      <w:r>
        <w:t>e)</w:t>
      </w:r>
      <w:r>
        <w:tab/>
        <w:t>the temporal granularity size of cell in the "temporalGranSize" attribute if the "DnPerfExt_eNA" feature is supported.-</w:t>
      </w:r>
      <w:r>
        <w:tab/>
        <w:t>if the feature "ServiceExperience" is supported and the event is "</w:t>
      </w:r>
      <w:r>
        <w:rPr>
          <w:lang w:val="en-US" w:eastAsia="zh-CN"/>
        </w:rPr>
        <w:t>SERVICE_EXPERIENCE</w:t>
      </w:r>
      <w:r>
        <w:t>", it shall provide:</w:t>
      </w:r>
    </w:p>
    <w:p w14:paraId="1C00C918" w14:textId="77777777" w:rsidR="003E1F9F" w:rsidRDefault="003E1F9F" w:rsidP="003E1F9F">
      <w:pPr>
        <w:pStyle w:val="B2"/>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t xml:space="preserve"> in the "tgt-ue" attribute;</w:t>
      </w:r>
    </w:p>
    <w:p w14:paraId="652F5EC1" w14:textId="77777777" w:rsidR="00A10B25" w:rsidRDefault="00A10B25">
      <w:pPr>
        <w:pStyle w:val="B2"/>
      </w:pPr>
      <w:r>
        <w:t>2)</w:t>
      </w:r>
      <w:r>
        <w:tab/>
        <w:t>event specific filter information in the "event-filter" attribute which shall provide:</w:t>
      </w:r>
    </w:p>
    <w:p w14:paraId="6553056D" w14:textId="77777777" w:rsidR="00A10B25" w:rsidRDefault="00A10B25">
      <w:pPr>
        <w:pStyle w:val="B3"/>
      </w:pPr>
      <w:r>
        <w:t>a)</w:t>
      </w:r>
      <w:r>
        <w:tab/>
        <w:t xml:space="preserve">any slices indication in the "anySlice" attribute or identification of network slice(s) together with the optionally associated network slice instance(s) if available, via the "nsiIdInfos" attribute; and </w:t>
      </w:r>
    </w:p>
    <w:p w14:paraId="3D041558" w14:textId="77777777" w:rsidR="00A10B25" w:rsidRDefault="00A10B25">
      <w:pPr>
        <w:pStyle w:val="NO"/>
      </w:pPr>
      <w:r>
        <w:t>NOTE</w:t>
      </w:r>
      <w:r>
        <w:rPr>
          <w:rFonts w:eastAsia="等线"/>
        </w:rPr>
        <w:t> 7</w:t>
      </w:r>
      <w:r>
        <w:t>:</w:t>
      </w:r>
      <w:r>
        <w:tab/>
      </w:r>
      <w:r>
        <w:tab/>
        <w:t>The network slice instance of a PDU session is not available in the PCF.</w:t>
      </w:r>
    </w:p>
    <w:p w14:paraId="60B39647" w14:textId="77777777" w:rsidR="00A10B25" w:rsidRDefault="00A10B25">
      <w:pPr>
        <w:pStyle w:val="B1"/>
      </w:pPr>
      <w:r>
        <w:tab/>
        <w:t>the "event-filter" attribute may provide:</w:t>
      </w:r>
    </w:p>
    <w:p w14:paraId="6498FC4E" w14:textId="77777777" w:rsidR="00BD381F" w:rsidRPr="004A42E5" w:rsidRDefault="00BD381F" w:rsidP="00BD381F">
      <w:pPr>
        <w:ind w:left="1135" w:hanging="284"/>
        <w:contextualSpacing/>
      </w:pPr>
      <w:r w:rsidRPr="004A42E5">
        <w:t>a)</w:t>
      </w:r>
      <w:r w:rsidRPr="004A42E5">
        <w:tab/>
        <w:t>identification of application(s) to which the request applies via "appIds" attribute;</w:t>
      </w:r>
    </w:p>
    <w:p w14:paraId="5C14265C" w14:textId="77777777" w:rsidR="00BD381F" w:rsidRPr="004A42E5" w:rsidRDefault="00BD381F" w:rsidP="00BD381F">
      <w:pPr>
        <w:ind w:left="1135" w:hanging="284"/>
        <w:contextualSpacing/>
      </w:pPr>
      <w:r w:rsidRPr="004A42E5">
        <w:t>b)</w:t>
      </w:r>
      <w:r w:rsidRPr="004A42E5">
        <w:tab/>
        <w:t xml:space="preserve">identification of DNN via identification of Dnn(s) by "dnns" attribute; </w:t>
      </w:r>
    </w:p>
    <w:p w14:paraId="0C107217" w14:textId="77777777" w:rsidR="00BD381F" w:rsidRPr="004A42E5" w:rsidRDefault="00BD381F" w:rsidP="00BD381F">
      <w:pPr>
        <w:ind w:left="1135" w:hanging="284"/>
        <w:contextualSpacing/>
      </w:pPr>
      <w:r w:rsidRPr="004A42E5">
        <w:t>c)</w:t>
      </w:r>
      <w:r w:rsidRPr="004A42E5">
        <w:tab/>
        <w:t>identification of user plane accesses to one or more DN(s) where applications are deployed via "dnais" attribute;</w:t>
      </w:r>
    </w:p>
    <w:p w14:paraId="6DF58796" w14:textId="77777777" w:rsidR="00BD381F" w:rsidRPr="004A42E5" w:rsidRDefault="00BD381F" w:rsidP="00BD381F">
      <w:pPr>
        <w:ind w:left="1135" w:hanging="284"/>
        <w:contextualSpacing/>
      </w:pPr>
      <w:r w:rsidRPr="004A42E5">
        <w:t>d)</w:t>
      </w:r>
      <w:r w:rsidRPr="004A42E5">
        <w:tab/>
        <w:t xml:space="preserve">identification of network area to which the request applies via </w:t>
      </w:r>
      <w:r>
        <w:t>the</w:t>
      </w:r>
      <w:r w:rsidRPr="004A42E5">
        <w:t xml:space="preserve"> "networkArea" attribute</w:t>
      </w:r>
      <w:r>
        <w:t xml:space="preserve"> and/or, if the </w:t>
      </w:r>
      <w:r w:rsidRPr="004A42E5">
        <w:t xml:space="preserve">"ServiceExperienceExt2_eNA" </w:t>
      </w:r>
      <w:r>
        <w:t xml:space="preserve">feature </w:t>
      </w:r>
      <w:r w:rsidRPr="004A42E5">
        <w:t>is supported</w:t>
      </w:r>
      <w:r>
        <w:t>, the "fineGranAreas" attribute.</w:t>
      </w:r>
      <w:r w:rsidRPr="004A42E5">
        <w:t xml:space="preserve"> </w:t>
      </w:r>
      <w:r>
        <w:t>I</w:t>
      </w:r>
      <w:r w:rsidRPr="004A42E5">
        <w:t xml:space="preserve">f </w:t>
      </w:r>
      <w:r>
        <w:t xml:space="preserve">the </w:t>
      </w:r>
      <w:r w:rsidRPr="004A42E5">
        <w:t xml:space="preserve">"anyUe" attribute is set to </w:t>
      </w:r>
      <w:r>
        <w:t>"</w:t>
      </w:r>
      <w:r w:rsidRPr="004A42E5">
        <w:t>true</w:t>
      </w:r>
      <w:r>
        <w:t xml:space="preserve">" the </w:t>
      </w:r>
      <w:r w:rsidRPr="004A42E5">
        <w:t>identification of</w:t>
      </w:r>
      <w:r>
        <w:t xml:space="preserve"> the</w:t>
      </w:r>
      <w:r w:rsidRPr="004A42E5">
        <w:t xml:space="preserve"> network area to which the request applies</w:t>
      </w:r>
      <w:r>
        <w:t xml:space="preserve"> is required (see also clause 5.2.6.2.3)</w:t>
      </w:r>
      <w:r w:rsidRPr="004A42E5">
        <w:t>;</w:t>
      </w:r>
    </w:p>
    <w:p w14:paraId="7F5F7E46" w14:textId="77777777" w:rsidR="00BD381F" w:rsidRPr="004A42E5" w:rsidRDefault="00BD381F" w:rsidP="00BD381F">
      <w:pPr>
        <w:ind w:left="1135" w:hanging="284"/>
        <w:contextualSpacing/>
      </w:pPr>
      <w:r w:rsidRPr="004A42E5">
        <w:t>e)</w:t>
      </w:r>
      <w:r w:rsidRPr="004A42E5">
        <w:tab/>
        <w:t>if "appIds" attribute is provided, the bandwidth requirement of each application by "bwRequs" attribute;</w:t>
      </w:r>
    </w:p>
    <w:p w14:paraId="0D7C3C25" w14:textId="77777777" w:rsidR="001A238E" w:rsidRDefault="001A238E" w:rsidP="00BD381F">
      <w:pPr>
        <w:ind w:left="1135" w:hanging="284"/>
        <w:contextualSpacing/>
        <w:rPr>
          <w:lang w:val="en-US" w:eastAsia="zh-CN"/>
        </w:rPr>
      </w:pPr>
      <w:r w:rsidRPr="004A42E5">
        <w:t>f)</w:t>
      </w:r>
      <w:r w:rsidRPr="004A42E5">
        <w:tab/>
        <w:t>identi</w:t>
      </w:r>
      <w:r>
        <w:t>fi</w:t>
      </w:r>
      <w:r w:rsidRPr="004A42E5">
        <w:t>cation of all the RAT types and/or all the frequencies that the NWDAF received for the application or specific RAT type(s) and/or frequency(ies) by "ratFreqs" attribute</w:t>
      </w:r>
      <w:r w:rsidRPr="004A42E5">
        <w:rPr>
          <w:lang w:val="en-US" w:eastAsia="zh-CN"/>
        </w:rPr>
        <w:t xml:space="preserve"> if the feature </w:t>
      </w:r>
    </w:p>
    <w:p w14:paraId="721BFC87" w14:textId="77777777" w:rsidR="00BD381F" w:rsidRPr="004A42E5" w:rsidRDefault="00BD381F" w:rsidP="00BD381F">
      <w:pPr>
        <w:ind w:left="1135" w:hanging="284"/>
        <w:contextualSpacing/>
      </w:pPr>
      <w:r w:rsidRPr="004A42E5">
        <w:rPr>
          <w:lang w:eastAsia="zh-CN"/>
        </w:rPr>
        <w:t>g</w:t>
      </w:r>
      <w:r w:rsidRPr="004A42E5">
        <w:t>)</w:t>
      </w:r>
      <w:r w:rsidRPr="004A42E5">
        <w:tab/>
      </w:r>
      <w:r w:rsidRPr="004A42E5">
        <w:rPr>
          <w:lang w:val="en-US" w:eastAsia="zh-CN"/>
        </w:rPr>
        <w:t xml:space="preserve">a list of analytics subsets carried by "listOfAnaSubsets" attribute with value(s) only applicable to </w:t>
      </w:r>
      <w:r w:rsidRPr="004A42E5">
        <w:t>"</w:t>
      </w:r>
      <w:r w:rsidRPr="004A42E5">
        <w:rPr>
          <w:lang w:val="en-US" w:eastAsia="zh-CN"/>
        </w:rPr>
        <w:t>SERVICE_EXPERIENCE</w:t>
      </w:r>
      <w:r w:rsidRPr="004A42E5">
        <w:t>"</w:t>
      </w:r>
      <w:r w:rsidRPr="004A42E5">
        <w:rPr>
          <w:lang w:val="en-US" w:eastAsia="zh-CN"/>
        </w:rPr>
        <w:t xml:space="preserve"> event, if the "EneNA" feature is </w:t>
      </w:r>
      <w:r w:rsidRPr="004A42E5">
        <w:t>supported;</w:t>
      </w:r>
    </w:p>
    <w:p w14:paraId="36B3C3E0" w14:textId="77777777" w:rsidR="00BD381F" w:rsidRPr="004A42E5" w:rsidRDefault="00BD381F" w:rsidP="00BD381F">
      <w:pPr>
        <w:ind w:left="1135" w:hanging="284"/>
        <w:contextualSpacing/>
      </w:pPr>
      <w:r w:rsidRPr="004A42E5">
        <w:t>h)</w:t>
      </w:r>
      <w:r w:rsidRPr="004A42E5">
        <w:tab/>
        <w:t>the identification of the UPF as the "upfInfo" attribute if the feature "ServiceExperienceExt" is also supported;</w:t>
      </w:r>
    </w:p>
    <w:p w14:paraId="296E3388" w14:textId="77777777" w:rsidR="00BD381F" w:rsidRPr="004A42E5" w:rsidRDefault="00BD381F" w:rsidP="00BD381F">
      <w:pPr>
        <w:ind w:left="1135" w:hanging="284"/>
        <w:contextualSpacing/>
      </w:pPr>
      <w:r w:rsidRPr="004A42E5">
        <w:t>i)</w:t>
      </w:r>
      <w:r w:rsidRPr="004A42E5">
        <w:tab/>
        <w:t>IP address(s)/FQDN(s) of the Application Server(s) as the "appServerAddrs" attribute if the feature "ServiceExperienceExt" is also supported;</w:t>
      </w:r>
    </w:p>
    <w:p w14:paraId="03BBA301" w14:textId="77777777" w:rsidR="00BD381F" w:rsidRPr="004A42E5" w:rsidRDefault="00BD381F" w:rsidP="00BD381F">
      <w:pPr>
        <w:ind w:left="1135" w:hanging="284"/>
        <w:contextualSpacing/>
      </w:pPr>
      <w:r w:rsidRPr="004A42E5">
        <w:t>j)</w:t>
      </w:r>
      <w:r w:rsidRPr="004A42E5">
        <w:tab/>
        <w:t>combination of PDU Session parameters as the "pduSesInfos" attribute if the feature "ServiceExperienceExt2_eNA" is also supported;</w:t>
      </w:r>
    </w:p>
    <w:p w14:paraId="5069127D" w14:textId="77777777" w:rsidR="00BD381F" w:rsidRPr="004A42E5" w:rsidRDefault="00BD381F" w:rsidP="00BD381F">
      <w:pPr>
        <w:ind w:left="1135" w:hanging="284"/>
        <w:contextualSpacing/>
      </w:pPr>
      <w:r w:rsidRPr="004A42E5">
        <w:t>k)</w:t>
      </w:r>
      <w:r w:rsidRPr="004A42E5">
        <w:tab/>
        <w:t>preferred granularity of location information as the "</w:t>
      </w:r>
      <w:r w:rsidRPr="004A42E5">
        <w:rPr>
          <w:rFonts w:hint="eastAsia"/>
          <w:lang w:eastAsia="zh-CN"/>
        </w:rPr>
        <w:t>l</w:t>
      </w:r>
      <w:r w:rsidRPr="004A42E5">
        <w:rPr>
          <w:lang w:eastAsia="zh-CN"/>
        </w:rPr>
        <w:t>ocGranularity</w:t>
      </w:r>
      <w:r w:rsidRPr="004A42E5">
        <w:t>" attribute if the feature "</w:t>
      </w:r>
      <w:r w:rsidRPr="004A42E5">
        <w:rPr>
          <w:rFonts w:hint="eastAsia"/>
        </w:rPr>
        <w:t>S</w:t>
      </w:r>
      <w:r w:rsidRPr="004A42E5">
        <w:t>erviceExperienceExt</w:t>
      </w:r>
      <w:r w:rsidRPr="004A42E5">
        <w:rPr>
          <w:lang w:eastAsia="zh-CN"/>
        </w:rPr>
        <w:t>2_eNA</w:t>
      </w:r>
      <w:r w:rsidRPr="004A42E5">
        <w:t>" is supported; and/or</w:t>
      </w:r>
    </w:p>
    <w:p w14:paraId="69F716EE" w14:textId="77777777" w:rsidR="00BD381F" w:rsidRPr="004A42E5" w:rsidRDefault="00BD381F" w:rsidP="00BD381F">
      <w:pPr>
        <w:ind w:left="568" w:hanging="284"/>
        <w:contextualSpacing/>
      </w:pPr>
      <w:r w:rsidRPr="004A42E5">
        <w:t>-</w:t>
      </w:r>
      <w:r w:rsidRPr="004A42E5">
        <w:tab/>
        <w:t>if the feature "QoSSustainability" is supported and the event is "</w:t>
      </w:r>
      <w:r w:rsidRPr="004A42E5">
        <w:rPr>
          <w:lang w:val="en-US" w:eastAsia="zh-CN"/>
        </w:rPr>
        <w:t>QOS_SUSTAINABILITY</w:t>
      </w:r>
      <w:r w:rsidRPr="004A42E5">
        <w:t>", it shall provide:</w:t>
      </w:r>
    </w:p>
    <w:p w14:paraId="47379A47" w14:textId="77777777" w:rsidR="00BD381F" w:rsidRPr="004A42E5" w:rsidRDefault="00BD381F" w:rsidP="00BD381F">
      <w:pPr>
        <w:ind w:left="851" w:hanging="284"/>
        <w:contextualSpacing/>
      </w:pPr>
      <w:r w:rsidRPr="004A42E5">
        <w:t>1)</w:t>
      </w:r>
      <w:r w:rsidRPr="004A42E5">
        <w:tab/>
        <w:t>event specific filter information in the "event-filter" attribute which shall provide:</w:t>
      </w:r>
    </w:p>
    <w:p w14:paraId="3B266C43" w14:textId="77777777" w:rsidR="00A10B25" w:rsidRDefault="00BD381F" w:rsidP="00BD381F">
      <w:pPr>
        <w:ind w:left="1135" w:hanging="284"/>
        <w:contextualSpacing/>
        <w:rPr>
          <w:lang w:eastAsia="zh-CN"/>
        </w:rPr>
      </w:pPr>
      <w:r w:rsidRPr="004A42E5">
        <w:lastRenderedPageBreak/>
        <w:t>a)</w:t>
      </w:r>
      <w:r w:rsidRPr="004A42E5">
        <w:tab/>
        <w:t>identification of network area to which the request applies via identification of network area by "networkArea" attribute</w:t>
      </w:r>
      <w:r>
        <w:t xml:space="preserve"> and/or, if the </w:t>
      </w:r>
      <w:r w:rsidRPr="004A42E5">
        <w:rPr>
          <w:lang w:val="en-US" w:eastAsia="zh-CN"/>
        </w:rPr>
        <w:t>"</w:t>
      </w:r>
      <w:r w:rsidRPr="004A42E5">
        <w:rPr>
          <w:rFonts w:eastAsia="Batang"/>
        </w:rPr>
        <w:t>QoSSustainExt_eNA</w:t>
      </w:r>
      <w:r w:rsidRPr="004A42E5">
        <w:rPr>
          <w:lang w:val="en-US" w:eastAsia="zh-CN"/>
        </w:rPr>
        <w:t>" feature is supported</w:t>
      </w:r>
      <w:r>
        <w:rPr>
          <w:lang w:val="en-US" w:eastAsia="zh-CN"/>
        </w:rPr>
        <w:t>, the "fineGranAreas" attribute</w:t>
      </w:r>
      <w:r w:rsidRPr="004A42E5">
        <w:rPr>
          <w:lang w:eastAsia="zh-CN"/>
        </w:rPr>
        <w:t>;</w:t>
      </w:r>
      <w:r w:rsidRPr="004A42E5">
        <w:t xml:space="preserve"> and</w:t>
      </w:r>
    </w:p>
    <w:p w14:paraId="4C141158" w14:textId="77777777" w:rsidR="00A10B25" w:rsidRDefault="00A10B25">
      <w:pPr>
        <w:pStyle w:val="B3"/>
        <w:rPr>
          <w:lang w:eastAsia="zh-CN"/>
        </w:rPr>
      </w:pPr>
      <w:r>
        <w:rPr>
          <w:lang w:eastAsia="zh-CN"/>
        </w:rPr>
        <w:t>b)</w:t>
      </w:r>
      <w:r>
        <w:rPr>
          <w:lang w:eastAsia="zh-CN"/>
        </w:rPr>
        <w:tab/>
        <w:t>QoS requirements via "qosRequ" attribute;</w:t>
      </w:r>
    </w:p>
    <w:p w14:paraId="38EA2FFD" w14:textId="77777777" w:rsidR="003E1F9F" w:rsidRDefault="003E1F9F" w:rsidP="003E1F9F">
      <w:pPr>
        <w:pStyle w:val="B2"/>
        <w:rPr>
          <w:lang w:eastAsia="zh-CN"/>
        </w:rPr>
      </w:pPr>
      <w:r>
        <w:rPr>
          <w:lang w:eastAsia="zh-CN"/>
        </w:rPr>
        <w:t>2)</w:t>
      </w:r>
      <w:r>
        <w:rPr>
          <w:lang w:eastAsia="zh-CN"/>
        </w:rPr>
        <w:tab/>
        <w:t xml:space="preserve">identification of target UE(s) to which the </w:t>
      </w:r>
      <w:r>
        <w:t>request</w:t>
      </w:r>
      <w:r>
        <w:rPr>
          <w:lang w:eastAsia="zh-CN"/>
        </w:rPr>
        <w:t xml:space="preserve"> applies by "anyUe"</w:t>
      </w:r>
      <w:r w:rsidRPr="00FC1086">
        <w:t xml:space="preserve"> </w:t>
      </w:r>
      <w:r>
        <w:t xml:space="preserve">attribute set to </w:t>
      </w:r>
      <w:r w:rsidRPr="00B14BFF">
        <w:t>"t</w:t>
      </w:r>
      <w:r>
        <w:t>rue</w:t>
      </w:r>
      <w:r w:rsidRPr="00B14BFF">
        <w:t>"</w:t>
      </w:r>
      <w:r>
        <w:rPr>
          <w:lang w:eastAsia="zh-CN"/>
        </w:rPr>
        <w:t xml:space="preserve"> in the "tgt-ue" attribute;</w:t>
      </w:r>
    </w:p>
    <w:p w14:paraId="0B3FE0A5" w14:textId="77777777" w:rsidR="00A10B25" w:rsidRDefault="00A10B25">
      <w:pPr>
        <w:pStyle w:val="B1"/>
      </w:pPr>
      <w:r>
        <w:tab/>
        <w:t>the "event-filter" attribute may provide:</w:t>
      </w:r>
    </w:p>
    <w:p w14:paraId="2C99C45A" w14:textId="77777777" w:rsidR="00A10B25" w:rsidRDefault="00A10B25">
      <w:pPr>
        <w:pStyle w:val="B3"/>
      </w:pPr>
      <w:r>
        <w:t>a)</w:t>
      </w:r>
      <w:r>
        <w:tab/>
        <w:t>identification of network slice(s) by "snssais" attribute;</w:t>
      </w:r>
    </w:p>
    <w:p w14:paraId="220E8332" w14:textId="77777777" w:rsidR="00A10B25" w:rsidRDefault="00A10B25">
      <w:pPr>
        <w:pStyle w:val="B3"/>
      </w:pPr>
      <w:r>
        <w:t>b)</w:t>
      </w:r>
      <w:r>
        <w:tab/>
        <w:t>the spatial granularity size of TA in the "spatialGranSizeTa" attribute if the "QoSSustainExt_eNA" feature is supported;</w:t>
      </w:r>
    </w:p>
    <w:p w14:paraId="21CBC81E" w14:textId="77777777" w:rsidR="00A10B25" w:rsidRDefault="00A10B25">
      <w:pPr>
        <w:pStyle w:val="B3"/>
      </w:pPr>
      <w:r>
        <w:t>c)</w:t>
      </w:r>
      <w:r>
        <w:tab/>
        <w:t>the spatial granularity size of cell in the "spatialGranSizeCell" attribute if the "QoSSustainExt_eNA" feature is supported;</w:t>
      </w:r>
    </w:p>
    <w:p w14:paraId="21C8EE28" w14:textId="77777777" w:rsidR="00A10B25" w:rsidRDefault="00A10B25">
      <w:pPr>
        <w:pStyle w:val="B3"/>
      </w:pPr>
      <w:r>
        <w:t>d)</w:t>
      </w:r>
      <w:r>
        <w:tab/>
        <w:t>the temporal granularity size in the "temporalGranSize" attribute if the "QoSSustainExt_eNA" feature is supported;</w:t>
      </w:r>
    </w:p>
    <w:p w14:paraId="34654468" w14:textId="77777777" w:rsidR="00A10B25" w:rsidRDefault="00A10B25">
      <w:pPr>
        <w:pStyle w:val="B1"/>
      </w:pPr>
      <w:r>
        <w:t>-</w:t>
      </w:r>
      <w:r>
        <w:tab/>
        <w:t>if the feature "AbnormalBehaviour" is supported and the event is "ABNORMAL_BEHAVIOUR", it shall provide:</w:t>
      </w:r>
    </w:p>
    <w:p w14:paraId="2BFE1563" w14:textId="77777777" w:rsidR="003E1F9F" w:rsidRDefault="003E1F9F" w:rsidP="003E1F9F">
      <w:pPr>
        <w:pStyle w:val="B2"/>
        <w:rPr>
          <w:rFonts w:eastAsia="等线"/>
        </w:rPr>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rPr>
          <w:rFonts w:eastAsia="等线"/>
        </w:rPr>
        <w:t xml:space="preserve"> in the "tgt-ue" attribute; and</w:t>
      </w:r>
    </w:p>
    <w:p w14:paraId="4D873501" w14:textId="77777777" w:rsidR="00A10B25" w:rsidRDefault="00A10B25">
      <w:pPr>
        <w:pStyle w:val="B2"/>
        <w:rPr>
          <w:rFonts w:eastAsia="MS Mincho"/>
          <w:lang w:val="en-US" w:eastAsia="zh-CN"/>
        </w:rPr>
      </w:pPr>
      <w:r>
        <w:rPr>
          <w:lang w:val="en-US" w:eastAsia="zh-CN"/>
        </w:rPr>
        <w:t>2)</w:t>
      </w:r>
      <w:r>
        <w:rPr>
          <w:lang w:val="en-US" w:eastAsia="zh-CN"/>
        </w:rPr>
        <w:tab/>
        <w:t xml:space="preserve">event specific filter information in the "event-filter" attribute which shall provide </w:t>
      </w:r>
    </w:p>
    <w:p w14:paraId="5709507D" w14:textId="77777777" w:rsidR="00A10B25" w:rsidRDefault="00A10B25">
      <w:pPr>
        <w:pStyle w:val="B3"/>
      </w:pPr>
      <w:r>
        <w:rPr>
          <w:lang w:val="en-US" w:eastAsia="zh-CN"/>
        </w:rPr>
        <w:t>a)</w:t>
      </w:r>
      <w:r>
        <w:rPr>
          <w:lang w:val="en-US" w:eastAsia="zh-CN"/>
        </w:rPr>
        <w:tab/>
      </w:r>
      <w:r>
        <w:t>either the expected analytics type via "exptAnaType" attribute or a list of exception Ids via "excepIds" attribute. If the expected analytics type via "exptAnaType" attribute is provided, the NWDAF shall derive the corresponding Exception Ids from the received expected analytics type as follows:</w:t>
      </w:r>
    </w:p>
    <w:p w14:paraId="1B619F2F" w14:textId="77777777" w:rsidR="00A10B25" w:rsidRDefault="00A10B25">
      <w:pPr>
        <w:pStyle w:val="B4"/>
      </w:pPr>
      <w:r>
        <w:t>-</w:t>
      </w:r>
      <w:r>
        <w:tab/>
        <w:t>if "exptAnaType" attribute sets to "MOBILITY", the corresponding list of Exception Ids are "UNEXPECTED_UE_LOCATION", "PING_PONG_ACROSS_CELLS", "UNEXPECTED_WAKEUP" and "UNEXPECTED_RADIO_LINK_FAILURES";</w:t>
      </w:r>
    </w:p>
    <w:p w14:paraId="0B248467" w14:textId="77777777" w:rsidR="00A10B25" w:rsidRDefault="00A10B25">
      <w:pPr>
        <w:pStyle w:val="B4"/>
      </w:pPr>
      <w:r>
        <w:t>-</w:t>
      </w:r>
      <w:r>
        <w:tab/>
        <w:t>if "exptAnaType" attribute sets to "COMMUN", the corresponding list of Exception Ids are "UNEXPECTED_LONG_LIVE_FLOW", "UNEXPECTED_LARGE_RATE_FLOW", "SUSPICION_OF_DDOS_ATTACK", "WRONG_DESTINATION_ADDRESS" and "TOO_FREQUENT_SERVICE_ACCESS";</w:t>
      </w:r>
    </w:p>
    <w:p w14:paraId="12F80AFC" w14:textId="77777777" w:rsidR="00A10B25" w:rsidRDefault="00A10B25">
      <w:pPr>
        <w:pStyle w:val="B4"/>
      </w:pPr>
      <w:r>
        <w:t>-</w:t>
      </w:r>
      <w:r>
        <w:tab/>
        <w:t>if "exptAnaType" attribute sets to "MOBILITY_AND_COMMUN", the corresponding list of Exception Ids includes all above derived exception Ids.</w:t>
      </w:r>
    </w:p>
    <w:p w14:paraId="50CA156D" w14:textId="77777777" w:rsidR="00A10B25" w:rsidRDefault="00A10B25">
      <w:pPr>
        <w:pStyle w:val="B3"/>
      </w:pPr>
      <w:r>
        <w:tab/>
        <w:t xml:space="preserve">The derived list of Exception Ids are used by the NWDAF to notify the NF service consumer when UE's behaviour is exceptional based on one or more Exception Ids within the list. </w:t>
      </w:r>
    </w:p>
    <w:p w14:paraId="73A4D30E" w14:textId="77777777" w:rsidR="00A10B25" w:rsidRDefault="00A10B25">
      <w:pPr>
        <w:pStyle w:val="B3"/>
      </w:pPr>
      <w:r>
        <w:tab/>
        <w:t>If the "anyUe" attribute in the "tgt-ue" attribute sets to "true":</w:t>
      </w:r>
    </w:p>
    <w:p w14:paraId="1541C5D6" w14:textId="77777777" w:rsidR="00A10B25" w:rsidRDefault="00A10B25">
      <w:pPr>
        <w:pStyle w:val="B4"/>
      </w:pPr>
      <w:r>
        <w:t>a)</w:t>
      </w:r>
      <w:r>
        <w:tab/>
        <w:t>the expected analytics type via the"exptAnaType" attribute or the list of Exception Ids via "excepIds" attribute shall not be requested for both mobility and communication related analytics at the same time;</w:t>
      </w:r>
    </w:p>
    <w:p w14:paraId="174F5F10" w14:textId="77777777" w:rsidR="00A10B25" w:rsidRDefault="00A10B25">
      <w:pPr>
        <w:pStyle w:val="B4"/>
      </w:pPr>
      <w:r>
        <w:t>b)</w:t>
      </w:r>
      <w:r>
        <w:tab/>
        <w:t>if the expected analytics type via the"exptAnaType" attribute or the list of Exception Ids via "excepIds" attribute is mobility related, at least one of identification of network area by "networkArea" attribute and identification of network slice(s) by "snssais" attribute should be provided; and</w:t>
      </w:r>
    </w:p>
    <w:p w14:paraId="5AFEA4C1" w14:textId="77777777" w:rsidR="00A10B25" w:rsidRDefault="00A10B25">
      <w:pPr>
        <w:pStyle w:val="B4"/>
      </w:pPr>
      <w:r>
        <w:t>c)</w:t>
      </w:r>
      <w:r>
        <w:tab/>
        <w:t>if the expected analytics type via the"exptAnaType" attribute or the list of Exception Ids via "excepIds" attribute is communication related, at least one of identification of network area by "networkArea" attribute, identification of application(s) by "appIds" attribute, identification of DNN(s) in the "dnns" attribute and identification of network slice(s) by "snssais" attribute should be provided;</w:t>
      </w:r>
    </w:p>
    <w:p w14:paraId="760365F0" w14:textId="77777777" w:rsidR="00A10B25" w:rsidRDefault="00A10B25">
      <w:pPr>
        <w:pStyle w:val="B1"/>
      </w:pPr>
      <w:r>
        <w:tab/>
        <w:t>the "event-filter" attribute may provide:</w:t>
      </w:r>
    </w:p>
    <w:p w14:paraId="7B6AA29E" w14:textId="77777777" w:rsidR="00A10B25" w:rsidRDefault="00A10B25">
      <w:pPr>
        <w:pStyle w:val="B3"/>
        <w:rPr>
          <w:lang w:val="en-US" w:eastAsia="zh-CN"/>
        </w:rPr>
      </w:pPr>
      <w:r>
        <w:rPr>
          <w:lang w:val="en-US" w:eastAsia="zh-CN"/>
        </w:rPr>
        <w:t>a)</w:t>
      </w:r>
      <w:r>
        <w:rPr>
          <w:lang w:val="en-US" w:eastAsia="zh-CN"/>
        </w:rPr>
        <w:tab/>
      </w:r>
      <w:r>
        <w:t>expected UE behaviour via "exptUeBehav" attribute</w:t>
      </w:r>
      <w:r>
        <w:rPr>
          <w:lang w:val="en-US" w:eastAsia="zh-CN"/>
        </w:rPr>
        <w:t>;</w:t>
      </w:r>
    </w:p>
    <w:p w14:paraId="44ED801C" w14:textId="77777777" w:rsidR="00A10B25" w:rsidRDefault="00A10B25">
      <w:pPr>
        <w:pStyle w:val="B1"/>
      </w:pPr>
      <w:r>
        <w:lastRenderedPageBreak/>
        <w:t>-</w:t>
      </w:r>
      <w:r>
        <w:tab/>
        <w:t>if the feature "UserDataCongestion" is supported and the event is "USER_DATA_CONGESTION", it shall provide one of the following attributes:</w:t>
      </w:r>
    </w:p>
    <w:p w14:paraId="66587D9F" w14:textId="77777777" w:rsidR="003E1F9F" w:rsidRDefault="003E1F9F" w:rsidP="003E1F9F">
      <w:pPr>
        <w:pStyle w:val="B2"/>
      </w:pPr>
      <w:r>
        <w:t>1)</w:t>
      </w:r>
      <w:r>
        <w:tab/>
      </w:r>
      <w:r>
        <w:rPr>
          <w:lang w:eastAsia="zh-CN"/>
        </w:rPr>
        <w:t xml:space="preserve">identification of target UE(s) via </w:t>
      </w:r>
      <w:r>
        <w:t>"supis" "gpsis" (if feature "UserDataCongestionExt" is supported)  or "anyUe" attribute</w:t>
      </w:r>
      <w:r w:rsidRPr="00FC1086">
        <w:t xml:space="preserve"> </w:t>
      </w:r>
      <w:r>
        <w:t xml:space="preserve">set to </w:t>
      </w:r>
      <w:r w:rsidRPr="00B14BFF">
        <w:t>"t</w:t>
      </w:r>
      <w:r>
        <w:t>rue</w:t>
      </w:r>
      <w:r w:rsidRPr="00B14BFF">
        <w:t>"</w:t>
      </w:r>
      <w:r>
        <w:t xml:space="preserve"> within "tgt-ue" attribute;</w:t>
      </w:r>
    </w:p>
    <w:p w14:paraId="6BD83997" w14:textId="77777777" w:rsidR="00A10B25" w:rsidRDefault="00A10B25">
      <w:pPr>
        <w:pStyle w:val="B2"/>
      </w:pPr>
      <w:r>
        <w:t>2)</w:t>
      </w:r>
      <w:r>
        <w:tab/>
        <w:t>event specific filter information in the "event-filter" attribute which shall provide:</w:t>
      </w:r>
    </w:p>
    <w:p w14:paraId="61264738" w14:textId="77777777" w:rsidR="00A10B25" w:rsidRDefault="00A10B25">
      <w:pPr>
        <w:pStyle w:val="B3"/>
      </w:pPr>
      <w:r>
        <w:t>a)</w:t>
      </w:r>
      <w:r>
        <w:tab/>
        <w:t>the user data congestion requirements via "</w:t>
      </w:r>
      <w:r>
        <w:rPr>
          <w:lang w:eastAsia="zh-CN"/>
        </w:rPr>
        <w:t>userDataCon</w:t>
      </w:r>
      <w:r>
        <w:t>Reqs" attribute, if the feature "UserDataCongestionExt2_eNA" is supported;</w:t>
      </w:r>
    </w:p>
    <w:p w14:paraId="148728CE" w14:textId="77777777" w:rsidR="00A10B25" w:rsidRDefault="00A10B25">
      <w:pPr>
        <w:pStyle w:val="B1"/>
        <w:rPr>
          <w:lang w:eastAsia="zh-CN"/>
        </w:rPr>
      </w:pPr>
      <w:r>
        <w:tab/>
        <w:t xml:space="preserve">and </w:t>
      </w:r>
      <w:r>
        <w:rPr>
          <w:lang w:eastAsia="zh-CN"/>
        </w:rPr>
        <w:t>may provide:</w:t>
      </w:r>
    </w:p>
    <w:p w14:paraId="20352B2C" w14:textId="77777777" w:rsidR="00A10B25" w:rsidRDefault="00A10B25">
      <w:pPr>
        <w:pStyle w:val="B2"/>
      </w:pPr>
      <w:r>
        <w:rPr>
          <w:lang w:eastAsia="zh-CN"/>
        </w:rPr>
        <w:t>1)</w:t>
      </w:r>
      <w:r>
        <w:rPr>
          <w:lang w:eastAsia="zh-CN"/>
        </w:rPr>
        <w:tab/>
      </w:r>
      <w:r>
        <w:t xml:space="preserve">event specific filter information in </w:t>
      </w:r>
      <w:r>
        <w:rPr>
          <w:lang w:eastAsia="zh-CN"/>
        </w:rPr>
        <w:t xml:space="preserve">the </w:t>
      </w:r>
      <w:r>
        <w:t>"event-filter" attribute which may provide:</w:t>
      </w:r>
    </w:p>
    <w:p w14:paraId="32C603A3" w14:textId="77777777" w:rsidR="00A10B25" w:rsidRDefault="00A10B25">
      <w:pPr>
        <w:pStyle w:val="B3"/>
      </w:pPr>
      <w:r>
        <w:t>a</w:t>
      </w:r>
      <w:r>
        <w:rPr>
          <w:lang w:eastAsia="zh-CN"/>
        </w:rPr>
        <w:t>)</w:t>
      </w:r>
      <w:r>
        <w:rPr>
          <w:lang w:eastAsia="zh-CN"/>
        </w:rPr>
        <w:tab/>
      </w:r>
      <w:r>
        <w:rPr>
          <w:lang w:val="en-US" w:eastAsia="zh-CN"/>
        </w:rPr>
        <w:t>identification of network slice(s) by "snssais" attribute</w:t>
      </w:r>
      <w:r>
        <w:rPr>
          <w:lang w:eastAsia="zh-CN"/>
        </w:rPr>
        <w:t>;</w:t>
      </w:r>
    </w:p>
    <w:p w14:paraId="71865715" w14:textId="77777777" w:rsidR="00A10B25" w:rsidRDefault="00A10B25">
      <w:pPr>
        <w:pStyle w:val="B3"/>
      </w:pPr>
      <w:r>
        <w:t>b)</w:t>
      </w:r>
      <w:r>
        <w:tab/>
        <w:t>identification of network area to which the request applies via identification of network area by "networkArea" attribute (mandatory if "anyUe" attribute is set to true);</w:t>
      </w:r>
    </w:p>
    <w:p w14:paraId="49C7BCC9" w14:textId="77777777" w:rsidR="00A10B25" w:rsidRDefault="00A10B25">
      <w:pPr>
        <w:pStyle w:val="B3"/>
      </w:pPr>
      <w:r>
        <w:t>c)</w:t>
      </w:r>
      <w:r>
        <w:tab/>
        <w:t>if the feature "UserDataCongestionExt" is also supported, request a list of top applications with maximum number that contribute the most to the traffic in uplink and/or downlink directions bythe "maxTopAppUlNbr" attribute and/or the "maxTopAppDlNbr" attribute; and/or</w:t>
      </w:r>
    </w:p>
    <w:p w14:paraId="0EA2441D" w14:textId="77777777" w:rsidR="00A10B25" w:rsidRDefault="00A10B25">
      <w:pPr>
        <w:pStyle w:val="B3"/>
        <w:rPr>
          <w:lang w:val="en-US" w:eastAsia="zh-CN"/>
        </w:rPr>
      </w:pPr>
      <w:r>
        <w:rPr>
          <w:lang w:eastAsia="zh-CN"/>
        </w:rPr>
        <w:t>d</w:t>
      </w:r>
      <w:r>
        <w:t>)</w:t>
      </w:r>
      <w:r>
        <w:tab/>
      </w:r>
      <w:r>
        <w:rPr>
          <w:lang w:val="en-US" w:eastAsia="zh-CN"/>
        </w:rPr>
        <w:t xml:space="preserve">a list of analytics subsets carried by "listOfAnaSubsets" attribute with value(s) only applicable to </w:t>
      </w:r>
      <w:r>
        <w:t>"USER_DATA_CONGESTION"</w:t>
      </w:r>
      <w:r>
        <w:rPr>
          <w:lang w:val="en-US" w:eastAsia="zh-CN"/>
        </w:rPr>
        <w:t xml:space="preserve"> event, if the "EneNA" feature is supported;</w:t>
      </w:r>
    </w:p>
    <w:p w14:paraId="021BBEE4" w14:textId="77777777" w:rsidR="00A10B25" w:rsidRDefault="00A10B25">
      <w:pPr>
        <w:pStyle w:val="B3"/>
        <w:rPr>
          <w:lang w:eastAsia="zh-CN"/>
        </w:rPr>
      </w:pPr>
      <w:r>
        <w:rPr>
          <w:lang w:eastAsia="zh-CN"/>
        </w:rPr>
        <w:t>e)</w:t>
      </w:r>
      <w:r>
        <w:rPr>
          <w:lang w:eastAsia="zh-CN"/>
        </w:rPr>
        <w:tab/>
        <w:t>the temporal granularity size in the "temporalGranSize" attribute if the "UserDataCongestionExt2_eNA" feature is supported.</w:t>
      </w:r>
    </w:p>
    <w:p w14:paraId="7D76E6B3" w14:textId="77777777" w:rsidR="00A10B25" w:rsidRDefault="00A10B25">
      <w:pPr>
        <w:pStyle w:val="B1"/>
      </w:pPr>
      <w:r>
        <w:t>-</w:t>
      </w:r>
      <w:r>
        <w:tab/>
        <w:t>if the feature "SMCCE" is supported and the event is "SM_CONGESTION", it shall provide:</w:t>
      </w:r>
    </w:p>
    <w:p w14:paraId="557D51DF" w14:textId="77777777" w:rsidR="00A10B25" w:rsidRDefault="00A10B25">
      <w:pPr>
        <w:pStyle w:val="B2"/>
      </w:pPr>
      <w:r>
        <w:t>1)</w:t>
      </w:r>
      <w:r>
        <w:tab/>
        <w:t>event specific filter information in the "event-filter" attribute which shall provide:</w:t>
      </w:r>
    </w:p>
    <w:p w14:paraId="43BAB7B2" w14:textId="77777777" w:rsidR="00A10B25" w:rsidRDefault="00A10B25">
      <w:pPr>
        <w:pStyle w:val="B3"/>
      </w:pPr>
      <w:r>
        <w:t>a)</w:t>
      </w:r>
      <w:r>
        <w:tab/>
        <w:t xml:space="preserve">identification of DNN in the "dnns" attribute; and/or </w:t>
      </w:r>
    </w:p>
    <w:p w14:paraId="6D25FFC7" w14:textId="77777777" w:rsidR="00A10B25" w:rsidRDefault="00A10B25">
      <w:pPr>
        <w:pStyle w:val="B3"/>
      </w:pPr>
      <w:r>
        <w:t>b)</w:t>
      </w:r>
      <w:r>
        <w:tab/>
        <w:t>identification of network slice(s) in the "snssais" attribute; and</w:t>
      </w:r>
    </w:p>
    <w:p w14:paraId="65D26682" w14:textId="77777777" w:rsidR="00A10B25" w:rsidRDefault="00A10B25">
      <w:pPr>
        <w:pStyle w:val="B2"/>
      </w:pPr>
      <w:r>
        <w:t>2)</w:t>
      </w:r>
      <w:r>
        <w:tab/>
        <w:t>identification of target UE(s) via "supis" attribute in the "tgt-ue" attribute where the target UE(s) are one have the PDU Session for the DNN and/or S-NSSAI indicated by the event specific filter information;</w:t>
      </w:r>
    </w:p>
    <w:p w14:paraId="53B374BF" w14:textId="77777777" w:rsidR="00A10B25" w:rsidRDefault="00A10B25">
      <w:pPr>
        <w:pStyle w:val="B1"/>
      </w:pPr>
      <w:r>
        <w:tab/>
        <w:t>and may include:</w:t>
      </w:r>
    </w:p>
    <w:p w14:paraId="2692B654" w14:textId="77777777" w:rsidR="00A10B25" w:rsidRDefault="00A10B25">
      <w:pPr>
        <w:pStyle w:val="B2"/>
        <w:rPr>
          <w:lang w:val="en-US" w:eastAsia="zh-CN"/>
        </w:rPr>
      </w:pPr>
      <w:r>
        <w:t>1)</w:t>
      </w:r>
      <w:r>
        <w:tab/>
      </w:r>
      <w:r>
        <w:rPr>
          <w:lang w:val="en-US" w:eastAsia="zh-CN"/>
        </w:rPr>
        <w:t xml:space="preserve">a list of analytics subsets carried by "listOfAnaSubsets" attribute with value(s) only applicable to </w:t>
      </w:r>
      <w:r>
        <w:t>"SM_CONGESTION"</w:t>
      </w:r>
      <w:r>
        <w:rPr>
          <w:lang w:val="en-US" w:eastAsia="zh-CN"/>
        </w:rPr>
        <w:t xml:space="preserve"> event, if the "EneNA" feature is supported;</w:t>
      </w:r>
    </w:p>
    <w:p w14:paraId="6569806B" w14:textId="77777777" w:rsidR="00A10B25" w:rsidRDefault="00A10B25">
      <w:pPr>
        <w:pStyle w:val="NO"/>
      </w:pPr>
      <w:r>
        <w:t>NOTE</w:t>
      </w:r>
      <w:bookmarkStart w:id="1745" w:name="_Hlk131634676"/>
      <w:r>
        <w:t> 8</w:t>
      </w:r>
      <w:bookmarkEnd w:id="1745"/>
      <w:r>
        <w:t>:</w:t>
      </w:r>
      <w:r>
        <w:tab/>
        <w:t>The predictions are not applicable for Session Management Congestion Control Experience analytics.</w:t>
      </w:r>
    </w:p>
    <w:p w14:paraId="1B7062CA" w14:textId="77777777" w:rsidR="00A10B25" w:rsidRDefault="00A10B25">
      <w:pPr>
        <w:pStyle w:val="B1"/>
      </w:pPr>
      <w:r>
        <w:t>-</w:t>
      </w:r>
      <w:r>
        <w:tab/>
        <w:t>if the feature "Dispersion" is supported and the event is "DISPERSION", shall provide:</w:t>
      </w:r>
    </w:p>
    <w:p w14:paraId="418A91A9" w14:textId="77777777" w:rsidR="003E1F9F" w:rsidRDefault="003E1F9F" w:rsidP="003E1F9F">
      <w:pPr>
        <w:pStyle w:val="B2"/>
      </w:pPr>
      <w:r>
        <w:t>1)</w:t>
      </w:r>
      <w:r>
        <w:tab/>
        <w:t>identification of target UE(s) applies by "supis", "intGroupIds" or "anyUe" attribute</w:t>
      </w:r>
      <w:r w:rsidRPr="00FC1086">
        <w:t xml:space="preserve"> </w:t>
      </w:r>
      <w:r>
        <w:t xml:space="preserve">set to </w:t>
      </w:r>
      <w:r w:rsidRPr="00B14BFF">
        <w:t>"t</w:t>
      </w:r>
      <w:r>
        <w:t>rue</w:t>
      </w:r>
      <w:r w:rsidRPr="00B14BFF">
        <w:t>"</w:t>
      </w:r>
      <w:r>
        <w:t xml:space="preserve"> within "tgt-ue" attribute, "anyUe" attribute</w:t>
      </w:r>
      <w:r w:rsidRPr="00FC1086">
        <w:t xml:space="preserve"> </w:t>
      </w:r>
      <w:r>
        <w:t xml:space="preserve">set to </w:t>
      </w:r>
      <w:r w:rsidRPr="00B14BFF">
        <w:t>"t</w:t>
      </w:r>
      <w:r>
        <w:t>rue</w:t>
      </w:r>
      <w:r w:rsidRPr="00B14BFF">
        <w:t>"</w:t>
      </w:r>
      <w:r>
        <w:t xml:space="preserve"> is only supported in combination with "snssais" attribute, "networkArea" attribute and/or "disperClass" attribute;</w:t>
      </w:r>
    </w:p>
    <w:p w14:paraId="7C02D5A9" w14:textId="77777777" w:rsidR="00A10B25" w:rsidRDefault="00A10B25">
      <w:pPr>
        <w:pStyle w:val="B1"/>
      </w:pPr>
      <w:r>
        <w:tab/>
        <w:t>and may include:</w:t>
      </w:r>
    </w:p>
    <w:p w14:paraId="13CBA95C" w14:textId="77777777" w:rsidR="00A10B25" w:rsidRDefault="00A10B25">
      <w:pPr>
        <w:pStyle w:val="B2"/>
      </w:pPr>
      <w:r>
        <w:t>1)</w:t>
      </w:r>
      <w:r>
        <w:tab/>
        <w:t>identification of network area applies via identification of network area by "networkArea" attribute;</w:t>
      </w:r>
    </w:p>
    <w:p w14:paraId="072CF6BB" w14:textId="77777777" w:rsidR="00A10B25" w:rsidRDefault="00A10B25">
      <w:pPr>
        <w:pStyle w:val="B2"/>
      </w:pPr>
      <w:r>
        <w:t>2)</w:t>
      </w:r>
      <w:r>
        <w:tab/>
        <w:t>identification of network slice(s) by "snssais" attribute;</w:t>
      </w:r>
    </w:p>
    <w:p w14:paraId="63022246" w14:textId="77777777" w:rsidR="00A10B25" w:rsidRDefault="00A10B25">
      <w:pPr>
        <w:pStyle w:val="B2"/>
        <w:rPr>
          <w:lang w:val="en-US" w:eastAsia="zh-CN"/>
        </w:rPr>
      </w:pPr>
      <w:r>
        <w:rPr>
          <w:lang w:val="en-US" w:eastAsia="zh-CN"/>
        </w:rPr>
        <w:t>3)</w:t>
      </w:r>
      <w:r>
        <w:rPr>
          <w:lang w:val="en-US" w:eastAsia="zh-CN"/>
        </w:rPr>
        <w:tab/>
        <w:t>application identifier(s) in "appIds" attribute;</w:t>
      </w:r>
    </w:p>
    <w:p w14:paraId="63E9B610" w14:textId="77777777" w:rsidR="00A10B25" w:rsidRDefault="00A10B25">
      <w:pPr>
        <w:pStyle w:val="B2"/>
        <w:rPr>
          <w:lang w:val="en-US" w:eastAsia="zh-CN"/>
        </w:rPr>
      </w:pPr>
      <w:bookmarkStart w:id="1746" w:name="_Hlk90124121"/>
      <w:r>
        <w:rPr>
          <w:lang w:val="en-US" w:eastAsia="zh-CN"/>
        </w:rPr>
        <w:t>4)</w:t>
      </w:r>
      <w:r>
        <w:rPr>
          <w:lang w:val="en-US" w:eastAsia="zh-CN"/>
        </w:rPr>
        <w:tab/>
        <w:t>dispersion analytics requirements in "disperReqs" attribute, which for the requested dispersion type may include dispersion class, ranking, ordering and/or accuracy requirments;</w:t>
      </w:r>
    </w:p>
    <w:p w14:paraId="17FA6D77" w14:textId="77777777" w:rsidR="00A10B25" w:rsidRDefault="00A10B25">
      <w:pPr>
        <w:pStyle w:val="B2"/>
      </w:pPr>
      <w:r>
        <w:t>5)</w:t>
      </w:r>
      <w:r>
        <w:tab/>
        <w:t>an optional list of analytics subsets by "listOfAnaSubsets" attribute with value(s) only applicable to "DISPERSION" event;</w:t>
      </w:r>
    </w:p>
    <w:p w14:paraId="7D46260C" w14:textId="77777777" w:rsidR="00A10B25" w:rsidRDefault="00A10B25">
      <w:pPr>
        <w:pStyle w:val="B2"/>
      </w:pPr>
      <w:r>
        <w:t>6)</w:t>
      </w:r>
      <w:r>
        <w:tab/>
        <w:t>preferred granularity of location information as the "</w:t>
      </w:r>
      <w:r>
        <w:rPr>
          <w:lang w:eastAsia="zh-CN"/>
        </w:rPr>
        <w:t>locGranularity</w:t>
      </w:r>
      <w:r>
        <w:t>" attribute if the feature "DispersionExt</w:t>
      </w:r>
      <w:r>
        <w:rPr>
          <w:lang w:eastAsia="zh-CN"/>
        </w:rPr>
        <w:t>_eNA</w:t>
      </w:r>
      <w:r>
        <w:t>" is supported;</w:t>
      </w:r>
    </w:p>
    <w:p w14:paraId="072EA6EE" w14:textId="77777777" w:rsidR="00A10B25" w:rsidRDefault="00A10B25">
      <w:pPr>
        <w:pStyle w:val="B2"/>
      </w:pPr>
      <w:r>
        <w:rPr>
          <w:lang w:val="en-US" w:eastAsia="zh-CN"/>
        </w:rPr>
        <w:t>7)</w:t>
      </w:r>
      <w:r>
        <w:tab/>
        <w:t>the spatial granularity size of TA in the "spatialGranSizeTa" attribute if the "DispersionExt_eNA" feature is supported;</w:t>
      </w:r>
    </w:p>
    <w:p w14:paraId="23C6A2A6" w14:textId="77777777" w:rsidR="00A10B25" w:rsidRDefault="00A10B25">
      <w:pPr>
        <w:pStyle w:val="B2"/>
      </w:pPr>
      <w:r>
        <w:rPr>
          <w:lang w:val="en-US" w:eastAsia="zh-CN"/>
        </w:rPr>
        <w:t>7)</w:t>
      </w:r>
      <w:r>
        <w:tab/>
        <w:t>the spatial granularity size of cell in the "spatialGranSizeCell" attribute if the "DispersionExt_eNA" feature is supported;</w:t>
      </w:r>
      <w:r>
        <w:rPr>
          <w:lang w:val="en-US" w:eastAsia="zh-CN"/>
        </w:rPr>
        <w:t xml:space="preserve"> and/or</w:t>
      </w:r>
    </w:p>
    <w:p w14:paraId="165A77E6" w14:textId="77777777" w:rsidR="00A10B25" w:rsidRDefault="00A10B25">
      <w:pPr>
        <w:pStyle w:val="B2"/>
        <w:rPr>
          <w:lang w:val="en-US" w:eastAsia="zh-CN"/>
        </w:rPr>
      </w:pPr>
      <w:r>
        <w:t>8)</w:t>
      </w:r>
      <w:r>
        <w:tab/>
        <w:t>the temporal granularity size in the "temporalGranSize" attribute if the "DispersionExt_eNA" feature is supported.</w:t>
      </w:r>
    </w:p>
    <w:p w14:paraId="27B671DF" w14:textId="77777777" w:rsidR="00A10B25" w:rsidRDefault="00A10B25">
      <w:pPr>
        <w:pStyle w:val="B1"/>
      </w:pPr>
      <w:r>
        <w:lastRenderedPageBreak/>
        <w:t>-</w:t>
      </w:r>
      <w:r>
        <w:tab/>
        <w:t>if the feature "RedundantTransmissionExp" is supported and the event is "RED_TRANS_EXP", shall provide:</w:t>
      </w:r>
    </w:p>
    <w:p w14:paraId="1D3B3E26" w14:textId="77777777" w:rsidR="003E1F9F" w:rsidRDefault="003E1F9F" w:rsidP="003E1F9F">
      <w:pPr>
        <w:pStyle w:val="B2"/>
      </w:pPr>
      <w:r>
        <w:t>1)</w:t>
      </w:r>
      <w:r>
        <w:tab/>
        <w:t>identification of target UE(s) applies by "supis", "intGroupIds" or "anyUe" attribute</w:t>
      </w:r>
      <w:r w:rsidRPr="00FC1086">
        <w:t xml:space="preserve"> </w:t>
      </w:r>
      <w:r>
        <w:t xml:space="preserve">set to </w:t>
      </w:r>
      <w:r w:rsidRPr="00B14BFF">
        <w:t>"t</w:t>
      </w:r>
      <w:r>
        <w:t>rue</w:t>
      </w:r>
      <w:r w:rsidRPr="00B14BFF">
        <w:t>"</w:t>
      </w:r>
      <w:r>
        <w:t xml:space="preserve"> within "tgt-ue" attribute;</w:t>
      </w:r>
    </w:p>
    <w:p w14:paraId="04CBEBE2" w14:textId="77777777" w:rsidR="00A10B25" w:rsidRDefault="00A10B25">
      <w:pPr>
        <w:pStyle w:val="B1"/>
      </w:pPr>
      <w:r>
        <w:tab/>
        <w:t>and may include:</w:t>
      </w:r>
    </w:p>
    <w:p w14:paraId="1E24F9CC" w14:textId="77777777" w:rsidR="00A10B25" w:rsidRDefault="00A10B25">
      <w:pPr>
        <w:pStyle w:val="B2"/>
      </w:pPr>
      <w:r>
        <w:t>1)</w:t>
      </w:r>
      <w:r>
        <w:tab/>
        <w:t>identification of network area applies via identification of network area by "networkArea" attribute, if the "supis" attribute or "intGroupIds" attribute is included in the "tgt-ue" attribute;</w:t>
      </w:r>
    </w:p>
    <w:p w14:paraId="0B8FBF89" w14:textId="77777777" w:rsidR="00A10B25" w:rsidRDefault="00A10B25">
      <w:pPr>
        <w:pStyle w:val="B2"/>
      </w:pPr>
      <w:r>
        <w:t>2)</w:t>
      </w:r>
      <w:r>
        <w:tab/>
        <w:t>identification of network slice(s) by "snssais" attribute;</w:t>
      </w:r>
    </w:p>
    <w:p w14:paraId="24B395A1" w14:textId="77777777" w:rsidR="00A10B25" w:rsidRDefault="00A10B25">
      <w:pPr>
        <w:pStyle w:val="B2"/>
        <w:rPr>
          <w:lang w:val="en-US" w:eastAsia="zh-CN"/>
        </w:rPr>
      </w:pPr>
      <w:r>
        <w:rPr>
          <w:lang w:val="en-US" w:eastAsia="zh-CN"/>
        </w:rPr>
        <w:t>3)</w:t>
      </w:r>
      <w:r>
        <w:rPr>
          <w:lang w:val="en-US" w:eastAsia="zh-CN"/>
        </w:rPr>
        <w:tab/>
        <w:t>identification of DNN in the "dnns" attribute;</w:t>
      </w:r>
    </w:p>
    <w:bookmarkEnd w:id="1746"/>
    <w:p w14:paraId="1880176F" w14:textId="77777777" w:rsidR="00A10B25" w:rsidRDefault="00A10B25">
      <w:pPr>
        <w:pStyle w:val="B2"/>
        <w:rPr>
          <w:lang w:val="en-US" w:eastAsia="zh-CN"/>
        </w:rPr>
      </w:pPr>
      <w:r>
        <w:rPr>
          <w:lang w:val="en-US" w:eastAsia="zh-CN"/>
        </w:rPr>
        <w:t>4)</w:t>
      </w:r>
      <w:r>
        <w:rPr>
          <w:lang w:val="en-US" w:eastAsia="zh-CN"/>
        </w:rPr>
        <w:tab/>
        <w:t>other redundant transmission experience analysis requirements in "redTransReqs" attribute, which may include preferred order of results for the list of Redundant Transmission Experience;</w:t>
      </w:r>
    </w:p>
    <w:p w14:paraId="050FBDEB" w14:textId="77777777" w:rsidR="00A10B25" w:rsidRDefault="00A10B25">
      <w:pPr>
        <w:pStyle w:val="B2"/>
      </w:pPr>
      <w:r>
        <w:t>5)</w:t>
      </w:r>
      <w:r>
        <w:tab/>
        <w:t>an optional list of analytics subsets by "listOfAnaSubsets" attribute with value(s) only applicable to RED_TRANS_EXP event, if the "EneNA" feature is supported;</w:t>
      </w:r>
      <w:r>
        <w:rPr>
          <w:lang w:val="en-US" w:eastAsia="zh-CN"/>
        </w:rPr>
        <w:t xml:space="preserve"> and/or</w:t>
      </w:r>
    </w:p>
    <w:p w14:paraId="47F58383" w14:textId="77777777" w:rsidR="00A10B25" w:rsidRDefault="00A10B25">
      <w:pPr>
        <w:pStyle w:val="B2"/>
        <w:rPr>
          <w:lang w:val="en-US" w:eastAsia="zh-CN"/>
        </w:rPr>
      </w:pPr>
      <w:r>
        <w:t>6)</w:t>
      </w:r>
      <w:r>
        <w:tab/>
        <w:t>the temporal granularity size in the "temporalGranSize" attribute if the "RedundantTransExpExt_eNA" feature is supported.</w:t>
      </w:r>
    </w:p>
    <w:p w14:paraId="30C319B3" w14:textId="77777777" w:rsidR="00A10B25" w:rsidRDefault="00A10B25">
      <w:pPr>
        <w:pStyle w:val="B1"/>
      </w:pPr>
      <w:r>
        <w:t>-</w:t>
      </w:r>
      <w:r>
        <w:tab/>
        <w:t>if the feature "WlanPerformance" is supported and the event is "WLAN_PERFORMANCE", shall provide:</w:t>
      </w:r>
    </w:p>
    <w:p w14:paraId="47BDAB17" w14:textId="77777777" w:rsidR="003E1F9F" w:rsidRDefault="003E1F9F" w:rsidP="003E1F9F">
      <w:pPr>
        <w:pStyle w:val="B2"/>
      </w:pPr>
      <w:r>
        <w:t>1)</w:t>
      </w:r>
      <w:r>
        <w:tab/>
        <w:t>identification of target UE(s) by "supis", "intGroupIds" or "anyUe" attribute</w:t>
      </w:r>
      <w:r w:rsidRPr="00FC1086">
        <w:t xml:space="preserve"> </w:t>
      </w:r>
      <w:r>
        <w:t xml:space="preserve">set to </w:t>
      </w:r>
      <w:r w:rsidRPr="00B14BFF">
        <w:t>"t</w:t>
      </w:r>
      <w:r>
        <w:t>rue</w:t>
      </w:r>
      <w:r w:rsidRPr="00B14BFF">
        <w:t>"</w:t>
      </w:r>
      <w:r>
        <w:t xml:space="preserve"> in the "tgt-ue" attribute. If "anyUe" attribute</w:t>
      </w:r>
      <w:r w:rsidRPr="00FC1086">
        <w:t xml:space="preserve"> </w:t>
      </w:r>
      <w:r>
        <w:t xml:space="preserve">set to </w:t>
      </w:r>
      <w:r w:rsidRPr="00B14BFF">
        <w:t>"t</w:t>
      </w:r>
      <w:r>
        <w:t>rue</w:t>
      </w:r>
      <w:r w:rsidRPr="00B14BFF">
        <w:t>"</w:t>
      </w:r>
      <w:r>
        <w:t xml:space="preserve"> is included in the "tgt-ue" attribute, then any of "networkArea" attribute, "ssIds" or "bssIds" attribute shall be present in the "wlanReqs" attribute;</w:t>
      </w:r>
    </w:p>
    <w:p w14:paraId="52595AA2" w14:textId="77777777" w:rsidR="00A10B25" w:rsidRDefault="00A10B25">
      <w:pPr>
        <w:pStyle w:val="B1"/>
      </w:pPr>
      <w:r>
        <w:tab/>
        <w:t>and may include:</w:t>
      </w:r>
    </w:p>
    <w:p w14:paraId="48F6EB6B" w14:textId="77777777" w:rsidR="00A10B25" w:rsidRDefault="00A10B25">
      <w:pPr>
        <w:pStyle w:val="B2"/>
      </w:pPr>
      <w:r>
        <w:t>1)</w:t>
      </w:r>
      <w:r>
        <w:tab/>
        <w:t>identification of network area to which the request applies via identification of network area by "networkArea" attribute;</w:t>
      </w:r>
    </w:p>
    <w:p w14:paraId="43B2374C" w14:textId="77777777" w:rsidR="00A10B25" w:rsidRDefault="00A10B25">
      <w:pPr>
        <w:pStyle w:val="B2"/>
        <w:rPr>
          <w:lang w:val="en-US" w:eastAsia="zh-CN"/>
        </w:rPr>
      </w:pPr>
      <w:r>
        <w:rPr>
          <w:lang w:val="en-US" w:eastAsia="zh-CN"/>
        </w:rPr>
        <w:t>2)</w:t>
      </w:r>
      <w:r>
        <w:rPr>
          <w:lang w:val="en-US" w:eastAsia="zh-CN"/>
        </w:rPr>
        <w:tab/>
        <w:t>other WLAN performance analytics requirements in "wlanReqs" attribute, which may include SSID(s), BSSID(s), preferred order of results for the list of WLAN performance information and/or accuracy per analytics subset;</w:t>
      </w:r>
    </w:p>
    <w:p w14:paraId="270026C4" w14:textId="77777777" w:rsidR="00A10B25" w:rsidRDefault="00A10B25">
      <w:pPr>
        <w:pStyle w:val="B2"/>
        <w:rPr>
          <w:lang w:val="en-US" w:eastAsia="zh-CN"/>
        </w:rPr>
      </w:pPr>
      <w:r>
        <w:rPr>
          <w:lang w:val="en-US" w:eastAsia="zh-CN"/>
        </w:rPr>
        <w:t>3)</w:t>
      </w:r>
      <w:r>
        <w:rPr>
          <w:lang w:val="en-US" w:eastAsia="zh-CN"/>
        </w:rPr>
        <w:tab/>
        <w:t>an optional list of analytics subsets by "listOfAnaSubsets" attribute with value(s) only applicable to WLAN_PERFORMANCE event, if the "EneNA" feature is supported; and/or</w:t>
      </w:r>
    </w:p>
    <w:p w14:paraId="4BDC03F8" w14:textId="77777777" w:rsidR="00A10B25" w:rsidRDefault="00A10B25">
      <w:pPr>
        <w:pStyle w:val="B2"/>
        <w:rPr>
          <w:lang w:val="en-US" w:eastAsia="zh-CN"/>
        </w:rPr>
      </w:pPr>
      <w:r>
        <w:t>4)</w:t>
      </w:r>
      <w:r>
        <w:tab/>
        <w:t>the temporal granularity size in the "temporalGranSize" attribute if the "WlanPerfExt_eNA" feature is supported.</w:t>
      </w:r>
    </w:p>
    <w:p w14:paraId="529127F8" w14:textId="77777777" w:rsidR="00A10B25" w:rsidRDefault="00A10B25">
      <w:pPr>
        <w:pStyle w:val="B1"/>
      </w:pPr>
      <w:r>
        <w:t>-</w:t>
      </w:r>
      <w:r>
        <w:tab/>
        <w:t>if the feature "</w:t>
      </w:r>
      <w:r>
        <w:rPr>
          <w:rFonts w:cs="Arial"/>
          <w:szCs w:val="18"/>
        </w:rPr>
        <w:t>DnPerformance</w:t>
      </w:r>
      <w:r>
        <w:t>" is supported and the event is "DN_PERFORMANCE", shall provide:</w:t>
      </w:r>
    </w:p>
    <w:p w14:paraId="25B73DFF" w14:textId="77777777" w:rsidR="003E1F9F" w:rsidRDefault="003E1F9F" w:rsidP="003E1F9F">
      <w:pPr>
        <w:pStyle w:val="B2"/>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t xml:space="preserve"> in the "tgt-ue" attribute;</w:t>
      </w:r>
    </w:p>
    <w:p w14:paraId="01D21E81" w14:textId="77777777" w:rsidR="00A10B25" w:rsidRDefault="00A10B25">
      <w:pPr>
        <w:pStyle w:val="B2"/>
      </w:pPr>
      <w:r>
        <w:t>and may include:</w:t>
      </w:r>
    </w:p>
    <w:p w14:paraId="74E8FD8C" w14:textId="77777777" w:rsidR="00A10B25" w:rsidRDefault="00A10B25">
      <w:pPr>
        <w:pStyle w:val="B2"/>
      </w:pPr>
      <w:r>
        <w:t>1)</w:t>
      </w:r>
      <w:r>
        <w:tab/>
        <w:t>identification of network area to which the request applies via identification of network area by "networkArea" attribute;</w:t>
      </w:r>
    </w:p>
    <w:p w14:paraId="2953D707" w14:textId="77777777" w:rsidR="00A10B25" w:rsidRDefault="00A10B25">
      <w:pPr>
        <w:pStyle w:val="B2"/>
      </w:pPr>
      <w:r>
        <w:t>2)</w:t>
      </w:r>
      <w:r>
        <w:tab/>
      </w:r>
      <w:r>
        <w:rPr>
          <w:lang w:eastAsia="zh-CN"/>
        </w:rPr>
        <w:t>identification of network slice(s) in the "snssais" attribute;</w:t>
      </w:r>
    </w:p>
    <w:p w14:paraId="106CF8FE" w14:textId="77777777" w:rsidR="00A10B25" w:rsidRDefault="00A10B25">
      <w:pPr>
        <w:pStyle w:val="B2"/>
      </w:pPr>
      <w:r>
        <w:t>3)</w:t>
      </w:r>
      <w:r>
        <w:tab/>
        <w:t>identification of network slice and the optionally associated network slice instance(s) if available, via the "nsiIdInfos" attribute or any slices indication in the "anySlice" attribute;</w:t>
      </w:r>
    </w:p>
    <w:p w14:paraId="3F98ECC2" w14:textId="77777777" w:rsidR="00A10B25" w:rsidRDefault="00A10B25">
      <w:pPr>
        <w:pStyle w:val="B2"/>
        <w:rPr>
          <w:lang w:val="en-US" w:eastAsia="zh-CN"/>
        </w:rPr>
      </w:pPr>
      <w:r>
        <w:rPr>
          <w:lang w:val="en-US" w:eastAsia="zh-CN"/>
        </w:rPr>
        <w:t>4)</w:t>
      </w:r>
      <w:r>
        <w:rPr>
          <w:lang w:val="en-US" w:eastAsia="zh-CN"/>
        </w:rPr>
        <w:tab/>
        <w:t>application identifier(s) in "appIds" attribute;</w:t>
      </w:r>
    </w:p>
    <w:p w14:paraId="68BFA910" w14:textId="77777777" w:rsidR="00A10B25" w:rsidRDefault="00A10B25">
      <w:pPr>
        <w:pStyle w:val="B2"/>
      </w:pPr>
      <w:r>
        <w:rPr>
          <w:lang w:val="en-US" w:eastAsia="ja-JP"/>
        </w:rPr>
        <w:t>5)</w:t>
      </w:r>
      <w:r>
        <w:rPr>
          <w:lang w:val="en-US" w:eastAsia="ja-JP"/>
        </w:rPr>
        <w:tab/>
      </w:r>
      <w:r>
        <w:t>an identification of DNN in the "dnns" attribute;</w:t>
      </w:r>
    </w:p>
    <w:p w14:paraId="1BC5BBCF" w14:textId="77777777" w:rsidR="00A10B25" w:rsidRDefault="00A10B25">
      <w:pPr>
        <w:pStyle w:val="B2"/>
        <w:rPr>
          <w:lang w:val="en-US" w:eastAsia="ja-JP"/>
        </w:rPr>
      </w:pPr>
      <w:r>
        <w:rPr>
          <w:lang w:val="en-US" w:eastAsia="ja-JP"/>
        </w:rPr>
        <w:t>6)</w:t>
      </w:r>
      <w:r>
        <w:rPr>
          <w:lang w:val="en-US" w:eastAsia="ja-JP"/>
        </w:rPr>
        <w:tab/>
        <w:t>identification of a user plane access to one or more DN(s) where applications are deployed by "dnais" attribute;</w:t>
      </w:r>
    </w:p>
    <w:p w14:paraId="0BC2A462" w14:textId="77777777" w:rsidR="00A10B25" w:rsidRDefault="00A10B25">
      <w:pPr>
        <w:pStyle w:val="B2"/>
        <w:rPr>
          <w:lang w:val="en-US" w:eastAsia="ja-JP"/>
        </w:rPr>
      </w:pPr>
      <w:r>
        <w:rPr>
          <w:lang w:val="en-US" w:eastAsia="ja-JP"/>
        </w:rPr>
        <w:t>7)</w:t>
      </w:r>
      <w:r>
        <w:rPr>
          <w:lang w:val="en-US" w:eastAsia="ja-JP"/>
        </w:rPr>
        <w:tab/>
        <w:t>the identification of the UPF as the "upfInfo" attribute;</w:t>
      </w:r>
    </w:p>
    <w:p w14:paraId="4528EF36" w14:textId="77777777" w:rsidR="00A10B25" w:rsidRDefault="00A10B25">
      <w:pPr>
        <w:pStyle w:val="B2"/>
        <w:rPr>
          <w:lang w:val="en-US" w:eastAsia="ja-JP"/>
        </w:rPr>
      </w:pPr>
      <w:r>
        <w:rPr>
          <w:lang w:val="en-US" w:eastAsia="ja-JP"/>
        </w:rPr>
        <w:t>8)</w:t>
      </w:r>
      <w:r>
        <w:rPr>
          <w:lang w:val="en-US" w:eastAsia="ja-JP"/>
        </w:rPr>
        <w:tab/>
        <w:t>IP address(s)/FQDN(s) of the Application Server(s) as the "appServerAddrs" attribute;</w:t>
      </w:r>
    </w:p>
    <w:p w14:paraId="4E6DB984" w14:textId="77777777" w:rsidR="00A10B25" w:rsidRDefault="00A10B25">
      <w:pPr>
        <w:pStyle w:val="B2"/>
      </w:pPr>
      <w:r>
        <w:t>9)</w:t>
      </w:r>
      <w:r>
        <w:tab/>
        <w:t>DN performance analytics requirements in "dnPerfReqs" attribute, which may include the preferred order of results for the list of DN performance information and/or the reporting threshold of each applicable analytics subset; and/or</w:t>
      </w:r>
    </w:p>
    <w:p w14:paraId="6272E10E" w14:textId="77777777" w:rsidR="00A10B25" w:rsidRDefault="00A10B25">
      <w:pPr>
        <w:pStyle w:val="B2"/>
      </w:pPr>
      <w:r>
        <w:t>10)</w:t>
      </w:r>
      <w:r>
        <w:tab/>
        <w:t>an optional list of analytics subsets by "listOfAnaSubsets" attribute with value(s) only applicable to "DN_PERFORMANCE" event, if the "EneNA" feature is supported and may include the attribute with value(s) only applicable to "DN_PERFORMANCE" event and "DnPerformanceExt_AIML" feature if supported.</w:t>
      </w:r>
    </w:p>
    <w:p w14:paraId="6C30C9B3" w14:textId="77777777" w:rsidR="00A10B25" w:rsidRDefault="00A10B25">
      <w:pPr>
        <w:pStyle w:val="B2"/>
      </w:pPr>
      <w:r>
        <w:rPr>
          <w:lang w:val="en-US" w:eastAsia="zh-CN"/>
        </w:rPr>
        <w:t>11)</w:t>
      </w:r>
      <w:r>
        <w:tab/>
        <w:t>the spatial granularity size of TA in the "spatialGranSizeTa" attribute if the "DnPerfExt_eNA" feature is supported.</w:t>
      </w:r>
    </w:p>
    <w:p w14:paraId="26B6BC49" w14:textId="77777777" w:rsidR="00A10B25" w:rsidRDefault="00A10B25">
      <w:pPr>
        <w:pStyle w:val="B2"/>
      </w:pPr>
      <w:r>
        <w:rPr>
          <w:lang w:val="en-US" w:eastAsia="zh-CN"/>
        </w:rPr>
        <w:t>11)</w:t>
      </w:r>
      <w:r>
        <w:tab/>
        <w:t>the spatial granularity size of cell in the "spatialGranSizeCell" attribute if the "DnPerfExt_eNA" feature is supported.</w:t>
      </w:r>
    </w:p>
    <w:p w14:paraId="4B61F17E" w14:textId="77777777" w:rsidR="00A10B25" w:rsidRDefault="00A10B25">
      <w:pPr>
        <w:pStyle w:val="B2"/>
        <w:rPr>
          <w:lang w:val="en-US" w:eastAsia="zh-CN"/>
        </w:rPr>
      </w:pPr>
      <w:r>
        <w:lastRenderedPageBreak/>
        <w:t>12)</w:t>
      </w:r>
      <w:r>
        <w:tab/>
        <w:t>the temporal granularity size in the "temporalGranSize" attribute if the "DnPerfExt_eNA" feature is supported.</w:t>
      </w:r>
    </w:p>
    <w:p w14:paraId="077A58BA" w14:textId="77777777" w:rsidR="00AD5F95" w:rsidRPr="004A42E5" w:rsidRDefault="00AD5F95" w:rsidP="00AD5F95">
      <w:pPr>
        <w:ind w:left="568" w:hanging="284"/>
        <w:contextualSpacing/>
      </w:pPr>
      <w:r w:rsidRPr="004A42E5">
        <w:t>-</w:t>
      </w:r>
      <w:r w:rsidRPr="004A42E5">
        <w:tab/>
        <w:t>if the feature "</w:t>
      </w:r>
      <w:r w:rsidRPr="004A42E5">
        <w:rPr>
          <w:lang w:eastAsia="zh-CN"/>
        </w:rPr>
        <w:t>E2eDataVolTransTime</w:t>
      </w:r>
      <w:r w:rsidRPr="004A42E5">
        <w:t>" is supported and the event is "</w:t>
      </w:r>
      <w:r w:rsidRPr="004A42E5">
        <w:rPr>
          <w:lang w:eastAsia="zh-CN"/>
        </w:rPr>
        <w:t>E2E_DATA_VOL_TRANS_TIME</w:t>
      </w:r>
      <w:r w:rsidRPr="004A42E5">
        <w:t>", shall provide:</w:t>
      </w:r>
    </w:p>
    <w:p w14:paraId="7BAA84E6" w14:textId="77777777" w:rsidR="00AD5F95" w:rsidRDefault="00AD5F95" w:rsidP="00AD5F95">
      <w:pPr>
        <w:ind w:left="851" w:hanging="284"/>
        <w:contextualSpacing/>
      </w:pPr>
      <w:r w:rsidRPr="004A42E5">
        <w:t>1)</w:t>
      </w:r>
      <w:r w:rsidRPr="004A42E5">
        <w:tab/>
        <w:t xml:space="preserve">identification of target UE(s) to which the </w:t>
      </w:r>
      <w:r>
        <w:t>request</w:t>
      </w:r>
      <w:r w:rsidRPr="004A42E5">
        <w:t xml:space="preserve"> applies by "supis" or "gpsis" attribute in the "tgt-ue" attribute</w:t>
      </w:r>
      <w:r>
        <w:t>;</w:t>
      </w:r>
    </w:p>
    <w:p w14:paraId="57B967A3" w14:textId="77777777" w:rsidR="00AD5F95" w:rsidRPr="004A42E5" w:rsidRDefault="00AD5F95" w:rsidP="00AD5F95">
      <w:pPr>
        <w:ind w:left="851" w:hanging="284"/>
        <w:contextualSpacing/>
      </w:pPr>
      <w:r>
        <w:t>2)</w:t>
      </w:r>
      <w:r>
        <w:tab/>
      </w:r>
      <w:r w:rsidRPr="004A42E5">
        <w:t>area of interest of the UEs by "networkArea" attribute; restricts the scope of the E2E data volume transfer time analytics to the provided area</w:t>
      </w:r>
      <w:r>
        <w:t>.</w:t>
      </w:r>
    </w:p>
    <w:p w14:paraId="7EC9AA42" w14:textId="77777777" w:rsidR="00AD5F95" w:rsidRPr="004A42E5" w:rsidRDefault="00AD5F95" w:rsidP="00AD5F95">
      <w:pPr>
        <w:ind w:left="568" w:hanging="284"/>
        <w:contextualSpacing/>
      </w:pPr>
      <w:r w:rsidRPr="004A42E5">
        <w:tab/>
        <w:t>and may include:</w:t>
      </w:r>
    </w:p>
    <w:p w14:paraId="1995A236" w14:textId="77777777" w:rsidR="00AD5F95" w:rsidRPr="004A42E5" w:rsidRDefault="00AD5F95" w:rsidP="00AD5F95">
      <w:pPr>
        <w:ind w:left="851" w:hanging="284"/>
        <w:contextualSpacing/>
      </w:pPr>
      <w:r w:rsidRPr="004A42E5">
        <w:t>1)</w:t>
      </w:r>
      <w:r w:rsidRPr="004A42E5">
        <w:tab/>
      </w:r>
      <w:r w:rsidRPr="004A42E5">
        <w:tab/>
        <w:t>an identification of DNN in the "dnns" attribute;</w:t>
      </w:r>
    </w:p>
    <w:p w14:paraId="1C7CAB64" w14:textId="77777777" w:rsidR="00AD5F95" w:rsidRPr="004A42E5" w:rsidRDefault="00AD5F95" w:rsidP="00AD5F95">
      <w:pPr>
        <w:ind w:left="851" w:hanging="284"/>
        <w:contextualSpacing/>
        <w:rPr>
          <w:lang w:eastAsia="zh-CN"/>
        </w:rPr>
      </w:pPr>
      <w:r w:rsidRPr="004A42E5">
        <w:t>2)</w:t>
      </w:r>
      <w:r w:rsidRPr="004A42E5">
        <w:tab/>
      </w:r>
      <w:r w:rsidRPr="004A42E5">
        <w:rPr>
          <w:lang w:eastAsia="zh-CN"/>
        </w:rPr>
        <w:t>identification of network slice in the "</w:t>
      </w:r>
      <w:r w:rsidRPr="004A42E5">
        <w:t>snssais</w:t>
      </w:r>
      <w:r w:rsidRPr="004A42E5">
        <w:rPr>
          <w:lang w:eastAsia="zh-CN"/>
        </w:rPr>
        <w:t>" attribute;</w:t>
      </w:r>
    </w:p>
    <w:p w14:paraId="75C7D086" w14:textId="77777777" w:rsidR="00AD5F95" w:rsidRPr="004A42E5" w:rsidRDefault="00AD5F95" w:rsidP="00AD5F95">
      <w:pPr>
        <w:ind w:left="851" w:hanging="284"/>
        <w:contextualSpacing/>
      </w:pPr>
      <w:r w:rsidRPr="004A42E5">
        <w:t>3)</w:t>
      </w:r>
      <w:r w:rsidRPr="004A42E5">
        <w:tab/>
        <w:t>application identifier(s) in "appIds" attribute;</w:t>
      </w:r>
    </w:p>
    <w:p w14:paraId="0D97A389" w14:textId="77777777" w:rsidR="00AD5F95" w:rsidRPr="004A42E5" w:rsidRDefault="00AD5F95" w:rsidP="00AD5F95">
      <w:pPr>
        <w:ind w:left="851" w:hanging="284"/>
        <w:contextualSpacing/>
      </w:pPr>
      <w:r>
        <w:t>4</w:t>
      </w:r>
      <w:r w:rsidRPr="004A42E5">
        <w:t>)</w:t>
      </w:r>
      <w:r w:rsidRPr="004A42E5">
        <w:tab/>
        <w:t>an optional list of analytics subsets by "listOfAnaSubsets" attribute with value(s) only applicable to "</w:t>
      </w:r>
      <w:r w:rsidRPr="004A42E5">
        <w:rPr>
          <w:lang w:eastAsia="zh-CN"/>
        </w:rPr>
        <w:t>E2E_DATA_VOL_TRANS_TIME</w:t>
      </w:r>
      <w:r w:rsidRPr="004A42E5">
        <w:t>" event, if the "EneNA" feature is supported;</w:t>
      </w:r>
    </w:p>
    <w:p w14:paraId="0D69862E" w14:textId="77777777" w:rsidR="00AD5F95" w:rsidRPr="004A42E5" w:rsidRDefault="00AD5F95" w:rsidP="00AD5F95">
      <w:pPr>
        <w:ind w:left="851" w:hanging="284"/>
        <w:contextualSpacing/>
        <w:rPr>
          <w:lang w:eastAsia="ja-JP"/>
        </w:rPr>
      </w:pPr>
      <w:r>
        <w:rPr>
          <w:lang w:eastAsia="ja-JP"/>
        </w:rPr>
        <w:t>5</w:t>
      </w:r>
      <w:r w:rsidRPr="004A42E5">
        <w:rPr>
          <w:lang w:eastAsia="ja-JP"/>
        </w:rPr>
        <w:t>)</w:t>
      </w:r>
      <w:r w:rsidRPr="004A42E5">
        <w:rPr>
          <w:lang w:eastAsia="ja-JP"/>
        </w:rPr>
        <w:tab/>
      </w:r>
      <w:r w:rsidRPr="004A42E5">
        <w:rPr>
          <w:lang w:eastAsia="zh-CN"/>
        </w:rPr>
        <w:t>the QoS requirements via "qosRequ" attribute; and</w:t>
      </w:r>
    </w:p>
    <w:p w14:paraId="244D4A29" w14:textId="77777777" w:rsidR="00AD5F95" w:rsidRDefault="00AD5F95" w:rsidP="00AD5F95">
      <w:pPr>
        <w:ind w:left="851" w:hanging="284"/>
        <w:contextualSpacing/>
      </w:pPr>
      <w:r>
        <w:t>6</w:t>
      </w:r>
      <w:r w:rsidRPr="004A42E5">
        <w:t>)</w:t>
      </w:r>
      <w:r w:rsidRPr="004A42E5">
        <w:tab/>
        <w:t>E2E data volume transfer time requirements</w:t>
      </w:r>
      <w:r w:rsidRPr="004A42E5">
        <w:rPr>
          <w:lang w:eastAsia="ja-JP"/>
        </w:rPr>
        <w:t xml:space="preserve"> </w:t>
      </w:r>
      <w:r w:rsidRPr="004A42E5">
        <w:rPr>
          <w:lang w:val="en-US" w:eastAsia="ja-JP"/>
        </w:rPr>
        <w:t>in the "</w:t>
      </w:r>
      <w:r w:rsidRPr="004A42E5">
        <w:t>dataVlTrnsTmRqs</w:t>
      </w:r>
      <w:r w:rsidRPr="004A42E5">
        <w:rPr>
          <w:lang w:val="en-US" w:eastAsia="ja-JP"/>
        </w:rPr>
        <w:t>" attribute</w:t>
      </w:r>
      <w:r w:rsidRPr="004A42E5">
        <w:t>;</w:t>
      </w:r>
    </w:p>
    <w:p w14:paraId="4422CA41" w14:textId="77777777" w:rsidR="00AD5F95" w:rsidRDefault="00AD5F95" w:rsidP="00AD5F95">
      <w:pPr>
        <w:pStyle w:val="B1"/>
      </w:pPr>
      <w:r>
        <w:t>-</w:t>
      </w:r>
      <w:r>
        <w:tab/>
        <w:t>if the feature "PduSesTraffic" is supported and the event is "PDU_SESSION_TRAFFIC", shall provide:</w:t>
      </w:r>
    </w:p>
    <w:p w14:paraId="05B604C5" w14:textId="77777777" w:rsidR="00AD5F95" w:rsidRDefault="00AD5F95" w:rsidP="00AD5F95">
      <w:pPr>
        <w:pStyle w:val="B2"/>
      </w:pPr>
      <w:r>
        <w:t>1)</w:t>
      </w:r>
      <w:r>
        <w:tab/>
        <w:t>identification of target UE(s) to which the request applies by "supis", "intGroupIds" or "anyUe" attribute</w:t>
      </w:r>
      <w:r w:rsidRPr="00FC1086">
        <w:t xml:space="preserve"> </w:t>
      </w:r>
      <w:r>
        <w:t xml:space="preserve">set to </w:t>
      </w:r>
      <w:r w:rsidRPr="00B14BFF">
        <w:t>"t</w:t>
      </w:r>
      <w:r>
        <w:t>rue</w:t>
      </w:r>
      <w:r w:rsidRPr="00B14BFF">
        <w:t>"</w:t>
      </w:r>
      <w:r>
        <w:t xml:space="preserve"> in the "tgt-ue" attribute;</w:t>
      </w:r>
    </w:p>
    <w:p w14:paraId="32E1B549" w14:textId="77777777" w:rsidR="00A10B25" w:rsidRDefault="00A10B25">
      <w:pPr>
        <w:pStyle w:val="B2"/>
        <w:rPr>
          <w:lang w:val="en-US" w:eastAsia="zh-CN"/>
        </w:rPr>
      </w:pPr>
      <w:r>
        <w:rPr>
          <w:lang w:eastAsia="ja-JP"/>
        </w:rPr>
        <w:t>2)</w:t>
      </w:r>
      <w:r>
        <w:rPr>
          <w:lang w:val="en-US" w:eastAsia="zh-CN"/>
        </w:rPr>
        <w:tab/>
        <w:t xml:space="preserve">PDU Session traffic analytics requirements in "pduSesTrafReqs" attribute, which includes </w:t>
      </w:r>
      <w:bookmarkStart w:id="1747" w:name="_Hlk132652497"/>
      <w:r>
        <w:rPr>
          <w:lang w:val="en-US" w:eastAsia="zh-CN"/>
        </w:rPr>
        <w:t>the known Application Identifier, IP Descriptions or Domain Descriptors</w:t>
      </w:r>
      <w:bookmarkEnd w:id="1747"/>
      <w:r>
        <w:rPr>
          <w:lang w:val="en-US" w:eastAsia="zh-CN"/>
        </w:rPr>
        <w:t>.</w:t>
      </w:r>
    </w:p>
    <w:p w14:paraId="17F48272" w14:textId="77777777" w:rsidR="00A10B25" w:rsidRDefault="00A10B25">
      <w:pPr>
        <w:pStyle w:val="B2"/>
        <w:rPr>
          <w:lang w:eastAsia="ja-JP"/>
        </w:rPr>
      </w:pPr>
      <w:r>
        <w:rPr>
          <w:lang w:val="en-US" w:eastAsia="zh-CN"/>
        </w:rPr>
        <w:t>3)</w:t>
      </w:r>
      <w:r>
        <w:rPr>
          <w:lang w:val="en-US" w:eastAsia="zh-CN"/>
        </w:rPr>
        <w:tab/>
        <w:t xml:space="preserve"> DNN and/or S-NSSAI for the PDU Session(s) in the </w:t>
      </w:r>
      <w:r>
        <w:t xml:space="preserve">"dnns" </w:t>
      </w:r>
      <w:r>
        <w:rPr>
          <w:lang w:eastAsia="zh-CN"/>
        </w:rPr>
        <w:t xml:space="preserve">and/or </w:t>
      </w:r>
      <w:r>
        <w:t>"snssais" attributes</w:t>
      </w:r>
      <w:r>
        <w:rPr>
          <w:lang w:val="en-US" w:eastAsia="zh-CN"/>
        </w:rPr>
        <w:t>.</w:t>
      </w:r>
    </w:p>
    <w:p w14:paraId="1A3D097C" w14:textId="77777777" w:rsidR="00A10B25" w:rsidRDefault="00A10B25">
      <w:pPr>
        <w:pStyle w:val="B1"/>
      </w:pPr>
      <w:r>
        <w:tab/>
        <w:t>and may include:</w:t>
      </w:r>
    </w:p>
    <w:p w14:paraId="32A1AB1F" w14:textId="77777777" w:rsidR="00A10B25" w:rsidRDefault="00A10B25">
      <w:pPr>
        <w:pStyle w:val="B2"/>
      </w:pPr>
      <w:r>
        <w:t>1)</w:t>
      </w:r>
      <w:r>
        <w:tab/>
        <w:t>identification of network area to which the request applies via identification of network area by "networkArea" attribute; and/or</w:t>
      </w:r>
    </w:p>
    <w:p w14:paraId="7F2E8C44" w14:textId="77777777" w:rsidR="00A10B25" w:rsidRDefault="00A10B25">
      <w:pPr>
        <w:pStyle w:val="B2"/>
        <w:rPr>
          <w:lang w:val="en-US" w:eastAsia="zh-CN"/>
        </w:rPr>
      </w:pPr>
      <w:r>
        <w:rPr>
          <w:lang w:val="en-US" w:eastAsia="zh-CN"/>
        </w:rPr>
        <w:t>2)</w:t>
      </w:r>
      <w:r>
        <w:rPr>
          <w:lang w:val="en-US" w:eastAsia="zh-CN"/>
        </w:rPr>
        <w:tab/>
        <w:t>an optional list of analytics subsets by "listOfAnaSubsets" attribute with value(s) only applicable to "PDU_SESSION_TRAFFIC" event, if the "EneNA" feature is supported.</w:t>
      </w:r>
    </w:p>
    <w:p w14:paraId="37C7FBE6" w14:textId="77777777" w:rsidR="00A10B25" w:rsidRDefault="00A10B25">
      <w:pPr>
        <w:pStyle w:val="NO"/>
      </w:pPr>
      <w:r>
        <w:t>NOTE</w:t>
      </w:r>
      <w:bookmarkStart w:id="1748" w:name="_Hlk142856664"/>
      <w:r>
        <w:t> </w:t>
      </w:r>
      <w:bookmarkEnd w:id="1748"/>
      <w:r>
        <w:t>10:</w:t>
      </w:r>
      <w:r>
        <w:tab/>
        <w:t>The predictions are not applicable for PDU Session traffic analytics.</w:t>
      </w:r>
    </w:p>
    <w:p w14:paraId="0E176F50" w14:textId="77777777" w:rsidR="00A10B25" w:rsidRDefault="00A10B25">
      <w:pPr>
        <w:pStyle w:val="B1"/>
      </w:pPr>
      <w:r>
        <w:t>-</w:t>
      </w:r>
      <w:r>
        <w:tab/>
        <w:t>if the feature "MovementBehaviour" is supported and the event is "MOVEMENT_BEHAVIOUR", shall provide:</w:t>
      </w:r>
    </w:p>
    <w:p w14:paraId="341611DA" w14:textId="77777777" w:rsidR="007862A2" w:rsidRDefault="007862A2" w:rsidP="007862A2">
      <w:pPr>
        <w:pStyle w:val="B2"/>
      </w:pPr>
      <w:r>
        <w:t>1)</w:t>
      </w:r>
      <w:r>
        <w:tab/>
        <w:t xml:space="preserve">identification of network area to which the request applies </w:t>
      </w:r>
      <w:r w:rsidRPr="003E243D">
        <w:t>to restrict the scope of the movement behaviour analytics to the provided</w:t>
      </w:r>
      <w:r>
        <w:t xml:space="preserve"> area by the "networkArea" attribute</w:t>
      </w:r>
      <w:r w:rsidRPr="00543EBA">
        <w:t xml:space="preserve"> </w:t>
      </w:r>
      <w:r>
        <w:t>and/</w:t>
      </w:r>
      <w:r w:rsidRPr="00543EBA">
        <w:t>or the "fineGranAreas" attribute</w:t>
      </w:r>
      <w:r>
        <w:t>;</w:t>
      </w:r>
    </w:p>
    <w:p w14:paraId="4DB79E1A" w14:textId="77777777" w:rsidR="007862A2" w:rsidRDefault="007862A2" w:rsidP="007862A2">
      <w:pPr>
        <w:pStyle w:val="B1"/>
      </w:pPr>
      <w:r>
        <w:t>-</w:t>
      </w:r>
      <w:r>
        <w:tab/>
        <w:t>and may include:</w:t>
      </w:r>
    </w:p>
    <w:p w14:paraId="18393758" w14:textId="77777777" w:rsidR="007862A2" w:rsidRDefault="007862A2" w:rsidP="007862A2">
      <w:pPr>
        <w:pStyle w:val="B2"/>
      </w:pPr>
      <w:r>
        <w:t>1)</w:t>
      </w:r>
      <w:r>
        <w:tab/>
        <w:t>identification of the preferred orientation of location information by the "locOrientation" attribute;</w:t>
      </w:r>
    </w:p>
    <w:p w14:paraId="660CF406" w14:textId="77777777" w:rsidR="007862A2" w:rsidRDefault="007862A2" w:rsidP="007862A2">
      <w:pPr>
        <w:pStyle w:val="B2"/>
        <w:rPr>
          <w:lang w:val="en-US" w:eastAsia="ja-JP"/>
        </w:rPr>
      </w:pPr>
      <w:r>
        <w:rPr>
          <w:lang w:eastAsia="ja-JP"/>
        </w:rPr>
        <w:t>2)</w:t>
      </w:r>
      <w:r>
        <w:rPr>
          <w:lang w:val="en-US" w:eastAsia="ja-JP"/>
        </w:rPr>
        <w:tab/>
      </w:r>
      <w:r>
        <w:t>Movement Behaviour</w:t>
      </w:r>
      <w:r>
        <w:rPr>
          <w:lang w:val="en-US" w:eastAsia="ja-JP"/>
        </w:rPr>
        <w:t xml:space="preserve"> analytics requirements in the "movBehavReqs" attribute, which includes</w:t>
      </w:r>
      <w:r>
        <w:t xml:space="preserve"> preferred granularity of location information or preferred orientation of location information; and/or</w:t>
      </w:r>
    </w:p>
    <w:p w14:paraId="19FA67D8" w14:textId="77777777" w:rsidR="007862A2" w:rsidRDefault="007862A2" w:rsidP="007862A2">
      <w:pPr>
        <w:pStyle w:val="B2"/>
        <w:rPr>
          <w:lang w:val="en-US" w:eastAsia="ja-JP"/>
        </w:rPr>
      </w:pPr>
      <w:r>
        <w:rPr>
          <w:lang w:val="en-US" w:eastAsia="ja-JP"/>
        </w:rPr>
        <w:t>3)</w:t>
      </w:r>
      <w:r>
        <w:rPr>
          <w:lang w:val="en-US" w:eastAsia="ja-JP"/>
        </w:rPr>
        <w:tab/>
        <w:t xml:space="preserve">an optional list of analytics subsets by the "listOfAnaSubsets" attribute with value(s) only applicable to the </w:t>
      </w:r>
      <w:r>
        <w:t>"MOVEMENT_BEHAVIOUR"</w:t>
      </w:r>
      <w:r>
        <w:rPr>
          <w:lang w:val="en-US" w:eastAsia="ja-JP"/>
        </w:rPr>
        <w:t xml:space="preserve"> event, if the "EneNA" features is supported.</w:t>
      </w:r>
    </w:p>
    <w:p w14:paraId="366E7EE5" w14:textId="77777777" w:rsidR="00A10B25" w:rsidRDefault="00A10B25">
      <w:pPr>
        <w:pStyle w:val="B1"/>
      </w:pPr>
      <w:r>
        <w:t>-</w:t>
      </w:r>
      <w:r>
        <w:tab/>
        <w:t>if the feature "LocAccuracy" is supported and the event is "LOC_ACCURACY", the "event-filter" attribute shall include:</w:t>
      </w:r>
    </w:p>
    <w:p w14:paraId="4806DE39" w14:textId="77777777" w:rsidR="00A10B25" w:rsidRDefault="00A10B25">
      <w:pPr>
        <w:pStyle w:val="B2"/>
      </w:pPr>
      <w:r>
        <w:t>1)</w:t>
      </w:r>
      <w:r>
        <w:tab/>
        <w:t>either a network area to which the request applies within the "networkArea" attribute or an exact location to which the request applies within the "location" attribute;</w:t>
      </w:r>
    </w:p>
    <w:p w14:paraId="4A88120A" w14:textId="77777777" w:rsidR="00A10B25" w:rsidRDefault="00A10B25">
      <w:pPr>
        <w:pStyle w:val="B1"/>
      </w:pPr>
      <w:r>
        <w:t>-</w:t>
      </w:r>
      <w:r>
        <w:tab/>
        <w:t>and the "event-filter" attribute may include:</w:t>
      </w:r>
    </w:p>
    <w:p w14:paraId="6128E199" w14:textId="77777777" w:rsidR="00A10B25" w:rsidRDefault="00A10B25">
      <w:pPr>
        <w:pStyle w:val="B2"/>
      </w:pPr>
      <w:r>
        <w:t>1)</w:t>
      </w:r>
      <w:r>
        <w:tab/>
        <w:t>Location accuracy</w:t>
      </w:r>
      <w:r>
        <w:rPr>
          <w:lang w:eastAsia="en-GB"/>
        </w:rPr>
        <w:t xml:space="preserve"> analytics requirements within the "locAccReqs" attribute; and/or</w:t>
      </w:r>
    </w:p>
    <w:p w14:paraId="78638DDC" w14:textId="77777777" w:rsidR="00A10B25" w:rsidRDefault="00A10B25">
      <w:pPr>
        <w:pStyle w:val="B2"/>
        <w:rPr>
          <w:lang w:eastAsia="en-GB"/>
        </w:rPr>
      </w:pPr>
      <w:r>
        <w:rPr>
          <w:lang w:eastAsia="en-GB"/>
        </w:rPr>
        <w:t>2)</w:t>
      </w:r>
      <w:r>
        <w:rPr>
          <w:lang w:eastAsia="en-GB"/>
        </w:rPr>
        <w:tab/>
        <w:t>an optional list of analytics subsets within the "listOfAnaSubsets" attribute with value(s) only applicable to the "LOC_ACCURACY" event, if the "EneNA" features is supported.</w:t>
      </w:r>
    </w:p>
    <w:p w14:paraId="1E46249D" w14:textId="77777777" w:rsidR="00A10B25" w:rsidRDefault="00A10B25">
      <w:pPr>
        <w:pStyle w:val="NO"/>
        <w:rPr>
          <w:rFonts w:eastAsia="MS Mincho"/>
        </w:rPr>
      </w:pPr>
      <w:r>
        <w:rPr>
          <w:rFonts w:eastAsia="MS Mincho"/>
        </w:rPr>
        <w:t>NOTE</w:t>
      </w:r>
      <w:r>
        <w:t> 11</w:t>
      </w:r>
      <w:r>
        <w:rPr>
          <w:rFonts w:eastAsia="MS Mincho"/>
        </w:rPr>
        <w:t>:</w:t>
      </w:r>
      <w:r>
        <w:rPr>
          <w:rFonts w:eastAsia="MS Mincho"/>
        </w:rPr>
        <w:tab/>
        <w:t>Location accuracy analytics do not have a target UE, they are always for any UE.</w:t>
      </w:r>
    </w:p>
    <w:p w14:paraId="03F75FE6" w14:textId="77777777" w:rsidR="00A10B25" w:rsidRDefault="00A10B25">
      <w:pPr>
        <w:pStyle w:val="B1"/>
      </w:pPr>
      <w:r>
        <w:t>-</w:t>
      </w:r>
      <w:r>
        <w:tab/>
        <w:t>if the feature "RelativeProximity" is supported and the event is " RELATIVE_PROXIMITY", shall provide:</w:t>
      </w:r>
    </w:p>
    <w:p w14:paraId="4426AB42" w14:textId="77777777" w:rsidR="00A10B25" w:rsidRDefault="00A10B25">
      <w:pPr>
        <w:pStyle w:val="B2"/>
      </w:pPr>
      <w:r>
        <w:lastRenderedPageBreak/>
        <w:t>1)</w:t>
      </w:r>
      <w:r>
        <w:tab/>
        <w:t>identification of target UE(s) to which the request applies by "supis"or "intGroupIds" attribute in the "tgt-ue" attribute;</w:t>
      </w:r>
    </w:p>
    <w:p w14:paraId="1A84DF5E" w14:textId="77777777" w:rsidR="00A10B25" w:rsidRDefault="00A10B25">
      <w:pPr>
        <w:pStyle w:val="B1"/>
      </w:pPr>
      <w:r>
        <w:t>-</w:t>
      </w:r>
      <w:r>
        <w:tab/>
        <w:t>and may include in the "event-filter" attribute:</w:t>
      </w:r>
    </w:p>
    <w:p w14:paraId="7679CB33" w14:textId="77777777" w:rsidR="00A10B25" w:rsidRDefault="00A10B25">
      <w:pPr>
        <w:pStyle w:val="B2"/>
      </w:pPr>
      <w:r>
        <w:t>1)</w:t>
      </w:r>
      <w:r>
        <w:tab/>
        <w:t>identification of DNN in the "dnns" attribute;</w:t>
      </w:r>
    </w:p>
    <w:p w14:paraId="39754A41" w14:textId="77777777" w:rsidR="00A10B25" w:rsidRDefault="00A10B25" w:rsidP="0076721C">
      <w:pPr>
        <w:pStyle w:val="B2"/>
        <w:rPr>
          <w:lang w:eastAsia="zh-CN"/>
        </w:rPr>
      </w:pPr>
      <w:r>
        <w:t>2)</w:t>
      </w:r>
      <w:r>
        <w:tab/>
      </w:r>
      <w:r>
        <w:rPr>
          <w:lang w:eastAsia="zh-CN"/>
        </w:rPr>
        <w:t>identification of network slice in the "</w:t>
      </w:r>
      <w:r>
        <w:t>snssais</w:t>
      </w:r>
      <w:r>
        <w:rPr>
          <w:lang w:eastAsia="zh-CN"/>
        </w:rPr>
        <w:t>" attribute</w:t>
      </w:r>
      <w:r>
        <w:t>;</w:t>
      </w:r>
    </w:p>
    <w:p w14:paraId="63AE7AA6" w14:textId="77777777" w:rsidR="00A10B25" w:rsidRDefault="00A10B25">
      <w:pPr>
        <w:pStyle w:val="B2"/>
      </w:pPr>
      <w:r>
        <w:t>3)</w:t>
      </w:r>
      <w:r>
        <w:tab/>
        <w:t>identification of network area to which the request applies via identification of network area by "networkArea" attribute;</w:t>
      </w:r>
    </w:p>
    <w:p w14:paraId="37A426BE" w14:textId="77777777" w:rsidR="00A10B25" w:rsidRDefault="00A10B25">
      <w:pPr>
        <w:pStyle w:val="B2"/>
        <w:rPr>
          <w:lang w:val="en-US" w:eastAsia="ja-JP"/>
        </w:rPr>
      </w:pPr>
      <w:r>
        <w:rPr>
          <w:lang w:eastAsia="ja-JP"/>
        </w:rPr>
        <w:t>4)</w:t>
      </w:r>
      <w:r>
        <w:rPr>
          <w:lang w:val="en-US" w:eastAsia="ja-JP"/>
        </w:rPr>
        <w:tab/>
      </w:r>
      <w:r>
        <w:t>Relative Proximity</w:t>
      </w:r>
      <w:r>
        <w:rPr>
          <w:lang w:val="en-US" w:eastAsia="ja-JP"/>
        </w:rPr>
        <w:t xml:space="preserve"> analytics requirements in "</w:t>
      </w:r>
      <w:r>
        <w:rPr>
          <w:lang w:eastAsia="zh-CN"/>
        </w:rPr>
        <w:t>relProxReqs</w:t>
      </w:r>
      <w:r>
        <w:rPr>
          <w:lang w:val="en-US" w:eastAsia="ja-JP"/>
        </w:rPr>
        <w:t>" attribute</w:t>
      </w:r>
      <w:r>
        <w:t>;</w:t>
      </w:r>
      <w:r>
        <w:rPr>
          <w:lang w:val="en-US" w:eastAsia="ja-JP"/>
        </w:rPr>
        <w:t xml:space="preserve"> </w:t>
      </w:r>
      <w:r>
        <w:t>and/or</w:t>
      </w:r>
    </w:p>
    <w:p w14:paraId="2F6F2B34" w14:textId="77777777" w:rsidR="00A10B25" w:rsidRPr="0076721C" w:rsidRDefault="00A10B25" w:rsidP="0076721C">
      <w:pPr>
        <w:pStyle w:val="B2"/>
        <w:rPr>
          <w:lang w:val="en-US" w:eastAsia="ja-JP"/>
        </w:rPr>
      </w:pPr>
      <w:r>
        <w:rPr>
          <w:lang w:val="en-US" w:eastAsia="ja-JP"/>
        </w:rPr>
        <w:t>5)</w:t>
      </w:r>
      <w:r>
        <w:rPr>
          <w:lang w:val="en-US" w:eastAsia="ja-JP"/>
        </w:rPr>
        <w:tab/>
        <w:t xml:space="preserve">an optional list of analytics subsets by "listOfAnaSubsets" attribute with value(s) only applicable to </w:t>
      </w:r>
      <w:r>
        <w:t>"RELATIVE_PROXIMITY"</w:t>
      </w:r>
      <w:r>
        <w:rPr>
          <w:lang w:val="en-US" w:eastAsia="ja-JP"/>
        </w:rPr>
        <w:t xml:space="preserve"> event prediction, if the "EneNA" features is supported.</w:t>
      </w:r>
    </w:p>
    <w:p w14:paraId="56D93E1C" w14:textId="77777777" w:rsidR="00432DC2" w:rsidRDefault="00432DC2" w:rsidP="00432DC2">
      <w:pPr>
        <w:pStyle w:val="B1"/>
      </w:pPr>
      <w:r>
        <w:t>-</w:t>
      </w:r>
      <w:r>
        <w:tab/>
        <w:t>if the feature "SignallingStorm" is supported and the event is "SIGNALLING_STORM", may provide:</w:t>
      </w:r>
    </w:p>
    <w:p w14:paraId="6730984E" w14:textId="77777777" w:rsidR="00AD5F95" w:rsidRDefault="00AD5F95" w:rsidP="00AD5F95">
      <w:pPr>
        <w:pStyle w:val="B2"/>
      </w:pPr>
      <w:r>
        <w:t>1)</w:t>
      </w:r>
      <w:r>
        <w:tab/>
        <w:t>the Target of analytics: list of NF instance ID(s) in the "nfInstanceIds" attribute or list of NF set ID(s) in the "nfSetIds" attribute</w:t>
      </w:r>
      <w:r w:rsidR="00991119">
        <w:t>;</w:t>
      </w:r>
    </w:p>
    <w:p w14:paraId="4E4FC3E6" w14:textId="77777777" w:rsidR="00432DC2" w:rsidRDefault="00432DC2" w:rsidP="00432DC2">
      <w:pPr>
        <w:pStyle w:val="B2"/>
      </w:pPr>
      <w:r>
        <w:t>2)</w:t>
      </w:r>
      <w:r>
        <w:tab/>
        <w:t>identification of network slice in the "snssais" attribute;</w:t>
      </w:r>
    </w:p>
    <w:p w14:paraId="651B270B" w14:textId="77777777" w:rsidR="00AD5F95" w:rsidRDefault="00AD5F95" w:rsidP="00AD5F95">
      <w:pPr>
        <w:pStyle w:val="B2"/>
      </w:pPr>
      <w:r>
        <w:t>3)</w:t>
      </w:r>
      <w:r>
        <w:tab/>
        <w:t>identification of network area to which the request applies by "networkArea" attribute; and/or</w:t>
      </w:r>
    </w:p>
    <w:p w14:paraId="5DB5BEB1" w14:textId="77777777" w:rsidR="00432DC2" w:rsidRDefault="00432DC2" w:rsidP="00432DC2">
      <w:pPr>
        <w:pStyle w:val="B2"/>
      </w:pPr>
      <w:r>
        <w:t>4)</w:t>
      </w:r>
      <w:r>
        <w:tab/>
        <w:t>signalling storm analytics requirements in "sigStormReqs" attribute.</w:t>
      </w:r>
    </w:p>
    <w:p w14:paraId="532549EC" w14:textId="77777777" w:rsidR="001A238E" w:rsidRDefault="001A238E" w:rsidP="001A238E">
      <w:pPr>
        <w:pStyle w:val="B1"/>
        <w:rPr>
          <w:lang w:val="en-US" w:eastAsia="zh-CN"/>
        </w:rPr>
      </w:pPr>
      <w:r>
        <w:rPr>
          <w:lang w:val="en-US" w:eastAsia="zh-CN"/>
        </w:rPr>
        <w:t>-</w:t>
      </w:r>
      <w:r>
        <w:rPr>
          <w:lang w:val="en-US" w:eastAsia="zh-CN"/>
        </w:rPr>
        <w:tab/>
        <w:t>if the</w:t>
      </w:r>
      <w:r>
        <w:rPr>
          <w:lang w:val="en-US"/>
        </w:rPr>
        <w:t xml:space="preserve"> </w:t>
      </w:r>
      <w:r>
        <w:rPr>
          <w:lang w:val="en-US" w:eastAsia="zh-CN"/>
        </w:rPr>
        <w:t>feature "QoSPolicyAssist" is supported and the event is "QOS_POLICY_ASSIST", shall provide:</w:t>
      </w:r>
    </w:p>
    <w:p w14:paraId="5891C783" w14:textId="77777777" w:rsidR="001A238E" w:rsidRDefault="001A238E" w:rsidP="001A238E">
      <w:pPr>
        <w:pStyle w:val="B2"/>
      </w:pPr>
      <w:r>
        <w:t>1)</w:t>
      </w:r>
      <w:r>
        <w:tab/>
        <w:t xml:space="preserve">identification of target UE(s) to which the request applies in the "supis" attribute, "intGroupIds" attribute or </w:t>
      </w:r>
      <w:r w:rsidRPr="00217230">
        <w:t>"</w:t>
      </w:r>
      <w:r>
        <w:t>anyUe</w:t>
      </w:r>
      <w:r w:rsidRPr="00217230">
        <w:t xml:space="preserve">" </w:t>
      </w:r>
      <w:r>
        <w:t xml:space="preserve">attribute set to </w:t>
      </w:r>
      <w:r w:rsidRPr="001A7B60">
        <w:t>"t</w:t>
      </w:r>
      <w:r>
        <w:t>rue</w:t>
      </w:r>
      <w:r w:rsidRPr="001A7B60">
        <w:t xml:space="preserve">" </w:t>
      </w:r>
      <w:r>
        <w:t>value within the "tgt-ue" attribute;</w:t>
      </w:r>
    </w:p>
    <w:p w14:paraId="6B9FD231" w14:textId="77777777" w:rsidR="001A238E" w:rsidRDefault="001A238E" w:rsidP="001A238E">
      <w:pPr>
        <w:pStyle w:val="B2"/>
      </w:pPr>
      <w:r>
        <w:rPr>
          <w:lang w:val="en-US" w:eastAsia="ja-JP"/>
        </w:rPr>
        <w:t>2</w:t>
      </w:r>
      <w:r>
        <w:t>)</w:t>
      </w:r>
      <w:r>
        <w:tab/>
        <w:t>application identifier(s) in the "appIds" attribute or SDF template in the "fDescs" attribute;</w:t>
      </w:r>
    </w:p>
    <w:p w14:paraId="6D4F8754" w14:textId="77777777" w:rsidR="001A238E" w:rsidRPr="00CD03EA" w:rsidRDefault="001A238E" w:rsidP="001A238E">
      <w:pPr>
        <w:pStyle w:val="B2"/>
      </w:pPr>
      <w:r>
        <w:t>3)</w:t>
      </w:r>
      <w:r>
        <w:tab/>
        <w:t>the QoS and Policy Assistance requirements in the "</w:t>
      </w:r>
      <w:r>
        <w:rPr>
          <w:rFonts w:hint="eastAsia"/>
          <w:lang w:eastAsia="zh-CN"/>
        </w:rPr>
        <w:t>q</w:t>
      </w:r>
      <w:r>
        <w:rPr>
          <w:lang w:eastAsia="zh-CN"/>
        </w:rPr>
        <w:t>osPlyAssistReqs</w:t>
      </w:r>
      <w:r>
        <w:t>" attribute;</w:t>
      </w:r>
    </w:p>
    <w:p w14:paraId="1F078027" w14:textId="77777777" w:rsidR="001A238E" w:rsidRDefault="001A238E" w:rsidP="001A238E">
      <w:pPr>
        <w:pStyle w:val="B1"/>
      </w:pPr>
      <w:r>
        <w:tab/>
        <w:t>and may provide:</w:t>
      </w:r>
    </w:p>
    <w:p w14:paraId="7DCC1B86" w14:textId="77777777" w:rsidR="001A238E" w:rsidRDefault="001A238E" w:rsidP="001A238E">
      <w:pPr>
        <w:pStyle w:val="B2"/>
      </w:pPr>
      <w:r>
        <w:rPr>
          <w:lang w:val="en-US" w:eastAsia="ja-JP"/>
        </w:rPr>
        <w:t>2</w:t>
      </w:r>
      <w:r w:rsidRPr="004A42E5">
        <w:t>)</w:t>
      </w:r>
      <w:r w:rsidRPr="004A42E5">
        <w:tab/>
        <w:t xml:space="preserve">identification of network area to which the </w:t>
      </w:r>
      <w:r>
        <w:t>request</w:t>
      </w:r>
      <w:r w:rsidRPr="004A42E5">
        <w:t xml:space="preserve"> applies </w:t>
      </w:r>
      <w:r>
        <w:t xml:space="preserve">in the </w:t>
      </w:r>
      <w:r w:rsidRPr="004A42E5">
        <w:t>"networkArea" attribute</w:t>
      </w:r>
      <w:r w:rsidRPr="009B5184">
        <w:t xml:space="preserve"> or "fineGranAreas" attribute</w:t>
      </w:r>
      <w:r w:rsidRPr="004A42E5">
        <w:t>;</w:t>
      </w:r>
    </w:p>
    <w:p w14:paraId="1A48EF33" w14:textId="77777777" w:rsidR="001A238E" w:rsidRDefault="001A238E" w:rsidP="001A238E">
      <w:pPr>
        <w:pStyle w:val="B2"/>
        <w:rPr>
          <w:lang w:val="en-US" w:eastAsia="zh-CN"/>
        </w:rPr>
      </w:pPr>
      <w:r>
        <w:rPr>
          <w:lang w:eastAsia="zh-CN"/>
        </w:rPr>
        <w:t>3</w:t>
      </w:r>
      <w:r>
        <w:rPr>
          <w:lang w:val="en-US" w:eastAsia="zh-CN"/>
        </w:rPr>
        <w:t>)</w:t>
      </w:r>
      <w:r>
        <w:rPr>
          <w:lang w:val="en-US" w:eastAsia="zh-CN"/>
        </w:rPr>
        <w:tab/>
      </w:r>
      <w:r w:rsidRPr="00B808ED">
        <w:rPr>
          <w:lang w:val="en-US" w:eastAsia="zh-CN"/>
        </w:rPr>
        <w:t>preferred granularity of location information as the "locGranularity" attribute;</w:t>
      </w:r>
    </w:p>
    <w:p w14:paraId="7B0D3364" w14:textId="77777777" w:rsidR="001A238E" w:rsidRDefault="001A238E" w:rsidP="001A238E">
      <w:pPr>
        <w:pStyle w:val="B2"/>
      </w:pPr>
      <w:r>
        <w:t>4</w:t>
      </w:r>
      <w:r>
        <w:rPr>
          <w:lang w:val="en-US" w:eastAsia="ja-JP"/>
        </w:rPr>
        <w:t>)</w:t>
      </w:r>
      <w:r>
        <w:rPr>
          <w:lang w:val="en-US" w:eastAsia="ja-JP"/>
        </w:rPr>
        <w:tab/>
      </w:r>
      <w:r>
        <w:tab/>
        <w:t>identification of DNN to which the request applies in the "dnns" attribute;</w:t>
      </w:r>
    </w:p>
    <w:p w14:paraId="4479888D" w14:textId="77777777" w:rsidR="001A238E" w:rsidRDefault="001A238E" w:rsidP="001A238E">
      <w:pPr>
        <w:pStyle w:val="B2"/>
        <w:rPr>
          <w:lang w:val="en-US" w:eastAsia="zh-CN"/>
        </w:rPr>
      </w:pPr>
      <w:r>
        <w:t>5)</w:t>
      </w:r>
      <w:r>
        <w:tab/>
        <w:t>identification of network slice and the optionally associated network slice instance if available, via the "nsiIdInfos" attribute or any slices indication in the "anySlice" attribute.</w:t>
      </w:r>
    </w:p>
    <w:p w14:paraId="05786191" w14:textId="77777777" w:rsidR="001A238E" w:rsidRDefault="001A238E" w:rsidP="001A238E">
      <w:pPr>
        <w:pStyle w:val="B2"/>
      </w:pPr>
      <w:r>
        <w:t>6)</w:t>
      </w:r>
      <w:r>
        <w:tab/>
      </w:r>
      <w:r w:rsidRPr="008E5B2A">
        <w:t>identification of a user plane access to one or more DN(s) where applications are deployed by "dnais" attribute</w:t>
      </w:r>
      <w:r>
        <w:t>.</w:t>
      </w:r>
    </w:p>
    <w:p w14:paraId="7643B111" w14:textId="77777777" w:rsidR="001A238E" w:rsidRPr="00886693" w:rsidRDefault="001A238E" w:rsidP="001A238E">
      <w:pPr>
        <w:pStyle w:val="NO"/>
      </w:pPr>
      <w:r>
        <w:t>NOTE 12:</w:t>
      </w:r>
      <w:r>
        <w:tab/>
        <w:t>Only the predictions are applicable for QoS and Policy Assistance analytics.</w:t>
      </w:r>
    </w:p>
    <w:p w14:paraId="1DECDEA0" w14:textId="77777777" w:rsidR="00A10B25" w:rsidRDefault="00A10B25">
      <w:r>
        <w:t>Upon the reception of the HTTP GET request, the NWDAF shall:</w:t>
      </w:r>
    </w:p>
    <w:p w14:paraId="232566EF" w14:textId="77777777" w:rsidR="00A10B25" w:rsidRDefault="00A10B25">
      <w:pPr>
        <w:pStyle w:val="B1"/>
        <w:rPr>
          <w:rFonts w:eastAsia="等线"/>
        </w:rPr>
      </w:pPr>
      <w:r>
        <w:t>-</w:t>
      </w:r>
      <w:r>
        <w:tab/>
        <w:t>analyse the requested analytic data according to the requested event.</w:t>
      </w:r>
    </w:p>
    <w:p w14:paraId="6CEAAB40" w14:textId="77777777" w:rsidR="00A10B25" w:rsidRDefault="00A10B25">
      <w:pPr>
        <w:rPr>
          <w:rFonts w:eastAsia="等线"/>
        </w:rPr>
      </w:pPr>
      <w:r>
        <w:rPr>
          <w:rFonts w:eastAsia="等线"/>
        </w:rPr>
        <w:t>If the HTTP request message from the NF service consumer is accepted, the NWDAF shall respond with "200 OK"</w:t>
      </w:r>
      <w:r>
        <w:t xml:space="preserve"> </w:t>
      </w:r>
      <w:r>
        <w:rPr>
          <w:rFonts w:eastAsia="等线"/>
        </w:rPr>
        <w:t xml:space="preserve">status code with the </w:t>
      </w:r>
      <w:r>
        <w:t>message</w:t>
      </w:r>
      <w:r>
        <w:rPr>
          <w:rFonts w:eastAsia="等线"/>
        </w:rPr>
        <w:t xml:space="preserve"> body containing the analytics with parameters as relevant for the requesting NF service consumer. The AnalyticsData data structure in the response body shall include:</w:t>
      </w:r>
    </w:p>
    <w:p w14:paraId="01B89A95" w14:textId="77777777" w:rsidR="008A570A" w:rsidRPr="00974CCB" w:rsidRDefault="008A570A" w:rsidP="008A570A">
      <w:pPr>
        <w:ind w:left="568" w:hanging="284"/>
        <w:contextualSpacing/>
        <w:rPr>
          <w:rFonts w:eastAsia="MS Mincho"/>
        </w:rPr>
      </w:pPr>
      <w:r w:rsidRPr="00974CCB">
        <w:t>-</w:t>
      </w:r>
      <w:r w:rsidRPr="00974CCB">
        <w:tab/>
        <w:t>analytics with the corresponding information as described in clause 4.2.2.4.2.</w:t>
      </w:r>
    </w:p>
    <w:p w14:paraId="220F0200" w14:textId="77777777" w:rsidR="008A570A" w:rsidRPr="00974CCB" w:rsidRDefault="008A570A" w:rsidP="008A570A">
      <w:pPr>
        <w:ind w:left="568" w:hanging="284"/>
        <w:contextualSpacing/>
      </w:pPr>
      <w:r w:rsidRPr="00974CCB">
        <w:t>-</w:t>
      </w:r>
      <w:r w:rsidRPr="00974CCB">
        <w:tab/>
        <w:t>the analytics accuracy information in the "accuInfo" attribute, if the feature "AnalyticsAccuracy" is supported</w:t>
      </w:r>
      <w:r>
        <w:t xml:space="preserve">, </w:t>
      </w:r>
      <w:r w:rsidRPr="00974CCB">
        <w:t>the analytics accuracy requirement was requested in the "accuReq" attribute</w:t>
      </w:r>
      <w:r>
        <w:t>, and the "cancelAccuInd" attribute is either absent in the response or provided with the value "false"</w:t>
      </w:r>
      <w:r w:rsidRPr="00974CCB">
        <w:t>.</w:t>
      </w:r>
    </w:p>
    <w:p w14:paraId="34CC7280" w14:textId="32DA45A3" w:rsidR="001A238E" w:rsidRDefault="001A238E" w:rsidP="001A238E">
      <w:pPr>
        <w:pStyle w:val="NO"/>
      </w:pPr>
      <w:r>
        <w:t>NOTE </w:t>
      </w:r>
      <w:r>
        <w:rPr>
          <w:lang w:val="en-US"/>
        </w:rPr>
        <w:t>13</w:t>
      </w:r>
      <w:r>
        <w:t>:</w:t>
      </w:r>
      <w:r>
        <w:tab/>
        <w:t>In this version of the specification, NWDAF containing AnLF can provide accuracy information to a</w:t>
      </w:r>
      <w:r>
        <w:rPr>
          <w:lang w:val="en-US"/>
        </w:rPr>
        <w:t>n</w:t>
      </w:r>
      <w:r>
        <w:t xml:space="preserve"> NF consumer that </w:t>
      </w:r>
      <w:r>
        <w:rPr>
          <w:lang w:eastAsia="zh-CN"/>
        </w:rPr>
        <w:t xml:space="preserve">requests </w:t>
      </w:r>
      <w:r>
        <w:t>both the analytics and the accuracy information.</w:t>
      </w:r>
    </w:p>
    <w:p w14:paraId="22516155" w14:textId="7AAE5F52" w:rsidR="001A238E" w:rsidRDefault="001A238E" w:rsidP="001A238E">
      <w:pPr>
        <w:pStyle w:val="NO"/>
      </w:pPr>
      <w:r>
        <w:t>NOTE </w:t>
      </w:r>
      <w:r>
        <w:rPr>
          <w:lang w:val="en-US"/>
        </w:rPr>
        <w:t>14</w:t>
      </w:r>
      <w:r>
        <w:t>:</w:t>
      </w:r>
      <w:r>
        <w:rPr>
          <w:lang w:val="en-US"/>
        </w:rPr>
        <w:tab/>
        <w:t>When receiving a request from an NF consumer that includes a request for accuracy information, the analytics and the accuracy information can be provided by NWDAF containing AnLF within the single response</w:t>
      </w:r>
      <w:r>
        <w:t>.</w:t>
      </w:r>
    </w:p>
    <w:p w14:paraId="270FC2A3" w14:textId="77777777" w:rsidR="00A10B25" w:rsidRDefault="00A10B25">
      <w:r>
        <w:lastRenderedPageBreak/>
        <w:t xml:space="preserve">If the requested NWDAF Analytics data does not exist, the NWDAF shall respond with "204 No Content" status code. </w:t>
      </w:r>
    </w:p>
    <w:p w14:paraId="22AAA901" w14:textId="77777777" w:rsidR="00A10B25" w:rsidRDefault="00A10B25">
      <w:r>
        <w:t>If the "timeAnaNeeded" attribute within EventReportingRequirement is provided during the request, if the time is reached but the requested analytics information is not ready, the consumer does not need to wait for the analytics information any longer, the NWDAF may send a "</w:t>
      </w:r>
      <w:r>
        <w:rPr>
          <w:lang w:eastAsia="zh-CN"/>
        </w:rPr>
        <w:t>50</w:t>
      </w:r>
      <w:r>
        <w:t>0 Internal Server Error" status code to the NF service consumer. In addition, if the EneNA feature is supported, the NWDAF may provide, within the</w:t>
      </w:r>
      <w:r>
        <w:rPr>
          <w:rFonts w:eastAsia="等线"/>
        </w:rPr>
        <w:t xml:space="preserve"> </w:t>
      </w:r>
      <w:r>
        <w:rPr>
          <w:rStyle w:val="B1Char"/>
        </w:rPr>
        <w:t>ProblemDetailsAnalyticsInfo</w:t>
      </w:r>
      <w:r>
        <w:t>Request</w:t>
      </w:r>
      <w:r>
        <w:rPr>
          <w:rFonts w:eastAsia="等线"/>
        </w:rPr>
        <w:t>data in the response</w:t>
      </w:r>
      <w:r>
        <w:t xml:space="preserve">, the corresponding failure reason via a "problemDetails" attribute with the "cause" attribute set to "UNSATISFIED_REQUESTED_ANALYTICS_TIME" and a </w:t>
      </w:r>
      <w:r>
        <w:rPr>
          <w:lang w:eastAsia="ko-KR"/>
        </w:rPr>
        <w:t>minimum time interval recommended by the NWDAF via</w:t>
      </w:r>
      <w:r>
        <w:rPr>
          <w:rFonts w:eastAsia="等线"/>
        </w:rPr>
        <w:t xml:space="preserve"> a "rvWaitTime" attribute</w:t>
      </w:r>
      <w:r>
        <w:t xml:space="preserve"> which is used by the NF service consumer to determine </w:t>
      </w:r>
      <w:r>
        <w:rPr>
          <w:lang w:eastAsia="ko-KR"/>
        </w:rPr>
        <w:t>the time when analytics information is needed</w:t>
      </w:r>
      <w:r>
        <w:t xml:space="preserve"> in similar future analytics requests.</w:t>
      </w:r>
    </w:p>
    <w:p w14:paraId="08225146" w14:textId="77777777" w:rsidR="00A10B25" w:rsidRDefault="00A10B25">
      <w:r>
        <w:t>If the analytics target period provided in the body of the HTTP GET request includes the start time in the past and the end time in the future, the NWDAF shall reject the request with an HTTP "400 Bad Request" response including the "cause" attribute set to "BOTH_STAT_PRED_NOT_ALLOWED".</w:t>
      </w:r>
    </w:p>
    <w:p w14:paraId="2794AFF7" w14:textId="77777777" w:rsidR="00640768" w:rsidRDefault="00640768" w:rsidP="00640768">
      <w:pPr>
        <w:rPr>
          <w:lang w:eastAsia="zh-CN"/>
        </w:rPr>
      </w:pPr>
      <w:r>
        <w:rPr>
          <w:lang w:eastAsia="zh-CN"/>
        </w:rPr>
        <w:t>When the "PredictionError" feature is supported, if the analytics target period provided in the body of the HTTP GET request includes the prediction time period in the future</w:t>
      </w:r>
      <w:r>
        <w:t xml:space="preserve"> and </w:t>
      </w:r>
      <w:r>
        <w:rPr>
          <w:lang w:eastAsia="zh-CN"/>
        </w:rPr>
        <w:t xml:space="preserve">the event is "SM_CONGESTION" and/or </w:t>
      </w:r>
      <w:r>
        <w:t>"PDU_SESSION_TRAFFIC"</w:t>
      </w:r>
      <w:r>
        <w:rPr>
          <w:lang w:eastAsia="zh-CN"/>
        </w:rPr>
        <w:t>, the NWDAF shall reject the request with an HTTP "400 Bad Request" response including the "cause" attribute set to "PREDICTION_NOT_ALLOWED".</w:t>
      </w:r>
    </w:p>
    <w:p w14:paraId="0E2F5FCA" w14:textId="77777777" w:rsidR="00A10B25" w:rsidRDefault="00A10B25">
      <w:r>
        <w:t>If the statistics in the past are requested but the necessary data to perform the service is unavailable, the NWDAF shall reject the request with an HTTP "500 Internal Server Error" response including the "cause" attribute set to "UNAVAILABLE_DATA".</w:t>
      </w:r>
    </w:p>
    <w:p w14:paraId="4A7A7FAE" w14:textId="77777777" w:rsidR="00A10B25" w:rsidRDefault="00A10B25">
      <w:pPr>
        <w:rPr>
          <w:rFonts w:eastAsia="等线"/>
        </w:rPr>
      </w:pPr>
      <w:r>
        <w:rPr>
          <w:rFonts w:eastAsia="等线"/>
        </w:rPr>
        <w:t xml:space="preserve">If the user consent has not been checked by the NF service consumer and is required for the requested analytics collection depending on local policy and regulations, then </w:t>
      </w:r>
      <w:r>
        <w:t xml:space="preserve">the NWDAF shall check user consent for the targeted UE(s) by retrieving the user consent subscription data via the Nudm_SDM service API of </w:t>
      </w:r>
      <w:r>
        <w:rPr>
          <w:rFonts w:eastAsia="等线"/>
        </w:rPr>
        <w:t>the UDM as described in clause 5.2.2 of 3GPP TS 29.503 [23]. If the NWDAF receive the response from the UDM that it is not granted for the impacted user(s), then the NWDAF shall send an HTTP "403 Forbidden" error response including the "cause" attribute set to "USER_CONSENT_NOT_GRANTED".</w:t>
      </w:r>
    </w:p>
    <w:p w14:paraId="588111FF" w14:textId="0E8BB637" w:rsidR="001A238E" w:rsidRDefault="001A238E" w:rsidP="001A238E">
      <w:pPr>
        <w:pStyle w:val="NO"/>
        <w:rPr>
          <w:rFonts w:eastAsia="等线"/>
        </w:rPr>
      </w:pPr>
      <w:r>
        <w:rPr>
          <w:lang w:eastAsia="ja-JP"/>
        </w:rPr>
        <w:t>NOTE 15:</w:t>
      </w:r>
      <w:r>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6A9C5108" w14:textId="77777777" w:rsidR="003E1F9F" w:rsidRDefault="003E1F9F" w:rsidP="003E1F9F">
      <w:r>
        <w:t xml:space="preserve">If the RoamingAnalytics feature is supported and the NWDAF </w:t>
      </w:r>
      <w:r w:rsidRPr="001277E6">
        <w:t xml:space="preserve">determines based on operator configuration and the requested analytics </w:t>
      </w:r>
      <w:r>
        <w:t>that</w:t>
      </w:r>
      <w:r w:rsidRPr="001277E6">
        <w:t xml:space="preserve"> analytics or input data from the VPLMN are required</w:t>
      </w:r>
      <w:r>
        <w:t xml:space="preserve">, and the NWDAF does not support roaming exchange and it cannot forward the request to another NWDAF, then the NWDAF </w:t>
      </w:r>
      <w:r w:rsidRPr="00A801F9">
        <w:t>shall reject the request with an HTTP "</w:t>
      </w:r>
      <w:r>
        <w:t>403</w:t>
      </w:r>
      <w:r w:rsidRPr="00A801F9">
        <w:t xml:space="preserve"> </w:t>
      </w:r>
      <w:r>
        <w:t>Forbidden</w:t>
      </w:r>
      <w:r w:rsidRPr="00A801F9">
        <w:t>" response including the "cause" attribute set to "</w:t>
      </w:r>
      <w:r>
        <w:t>NO_ROAMING_SUPPORT</w:t>
      </w:r>
      <w:r w:rsidRPr="00A801F9">
        <w:t>".</w:t>
      </w:r>
    </w:p>
    <w:p w14:paraId="09DD813E" w14:textId="77777777" w:rsidR="00A10B25" w:rsidRDefault="00A10B25">
      <w:pPr>
        <w:rPr>
          <w:rFonts w:eastAsia="MS Mincho"/>
        </w:rPr>
      </w:pPr>
      <w:r>
        <w:t>If an error occurs when processing the HTTP GET request, the NWDAF shall send an HTTP error response as specified in clause 5.2.7.</w:t>
      </w:r>
    </w:p>
    <w:p w14:paraId="11B3D921" w14:textId="77777777" w:rsidR="00A10B25" w:rsidRDefault="00A10B25">
      <w:pPr>
        <w:pStyle w:val="4"/>
      </w:pPr>
      <w:bookmarkStart w:id="1749" w:name="_Toc148522485"/>
      <w:bookmarkStart w:id="1750" w:name="_Toc145705581"/>
      <w:bookmarkStart w:id="1751" w:name="_Toc164920609"/>
      <w:bookmarkStart w:id="1752" w:name="_Toc170120151"/>
      <w:bookmarkStart w:id="1753" w:name="_Toc175858396"/>
      <w:bookmarkStart w:id="1754" w:name="_Toc175859469"/>
      <w:bookmarkStart w:id="1755" w:name="_Toc180605759"/>
      <w:bookmarkStart w:id="1756" w:name="_Toc185517013"/>
      <w:bookmarkStart w:id="1757" w:name="_Toc191576064"/>
      <w:bookmarkStart w:id="1758" w:name="_Toc191576804"/>
      <w:bookmarkStart w:id="1759" w:name="_Toc192879874"/>
      <w:bookmarkStart w:id="1760" w:name="_Toc195814757"/>
      <w:bookmarkStart w:id="1761" w:name="_Toc199452704"/>
      <w:r>
        <w:t>4.3.2.3</w:t>
      </w:r>
      <w:r>
        <w:tab/>
        <w:t>Nnwdaf_AnalyticsInfo_ContextTransfer service operation</w:t>
      </w:r>
      <w:bookmarkEnd w:id="1728"/>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3B9D83E8" w14:textId="77777777" w:rsidR="00A10B25" w:rsidRDefault="00A10B25">
      <w:pPr>
        <w:pStyle w:val="5"/>
      </w:pPr>
      <w:bookmarkStart w:id="1762" w:name="_Toc85552901"/>
      <w:bookmarkStart w:id="1763" w:name="_Toc90655787"/>
      <w:bookmarkStart w:id="1764" w:name="_Toc104538913"/>
      <w:bookmarkStart w:id="1765" w:name="_Toc98233548"/>
      <w:bookmarkStart w:id="1766" w:name="_Toc85557000"/>
      <w:bookmarkStart w:id="1767" w:name="_Toc114133714"/>
      <w:bookmarkStart w:id="1768" w:name="_Toc101244324"/>
      <w:bookmarkStart w:id="1769" w:name="_Toc120702214"/>
      <w:bookmarkStart w:id="1770" w:name="_Toc113031575"/>
      <w:bookmarkStart w:id="1771" w:name="_Toc138754095"/>
      <w:bookmarkStart w:id="1772" w:name="_Toc145705582"/>
      <w:bookmarkStart w:id="1773" w:name="_Toc73564372"/>
      <w:bookmarkStart w:id="1774" w:name="_Toc88667502"/>
      <w:bookmarkStart w:id="1775" w:name="_Toc148522486"/>
      <w:bookmarkStart w:id="1776" w:name="_Toc94064168"/>
      <w:bookmarkStart w:id="1777" w:name="_Toc112951035"/>
      <w:bookmarkStart w:id="1778" w:name="_Toc136562261"/>
      <w:bookmarkStart w:id="1779" w:name="_Toc164920610"/>
      <w:bookmarkStart w:id="1780" w:name="_Toc170120152"/>
      <w:bookmarkStart w:id="1781" w:name="_Toc175858397"/>
      <w:bookmarkStart w:id="1782" w:name="_Toc175859470"/>
      <w:bookmarkStart w:id="1783" w:name="_Toc180605760"/>
      <w:bookmarkStart w:id="1784" w:name="_Toc185517014"/>
      <w:bookmarkStart w:id="1785" w:name="_Toc191576065"/>
      <w:bookmarkStart w:id="1786" w:name="_Toc191576805"/>
      <w:bookmarkStart w:id="1787" w:name="_Toc192879875"/>
      <w:bookmarkStart w:id="1788" w:name="_Toc195814758"/>
      <w:bookmarkStart w:id="1789" w:name="_Toc199452705"/>
      <w:r>
        <w:t>4.3.2.3.1</w:t>
      </w:r>
      <w:r>
        <w:tab/>
        <w:t>General</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24DA289C" w14:textId="77777777" w:rsidR="00A10B25" w:rsidRDefault="00A10B25">
      <w:r>
        <w:t>The</w:t>
      </w:r>
      <w:r>
        <w:rPr>
          <w:rFonts w:eastAsia="Batang"/>
        </w:rPr>
        <w:t xml:space="preserve"> </w:t>
      </w:r>
      <w:r>
        <w:t>Nnwdaf_AnalyticsInfo_ContextTransfer service operation is used by an NF service consumer to request and get context information related to analytics subscriptions from the NWDAF.</w:t>
      </w:r>
    </w:p>
    <w:p w14:paraId="6054AD88" w14:textId="77777777" w:rsidR="00A10B25" w:rsidRDefault="00A10B25">
      <w:pPr>
        <w:pStyle w:val="5"/>
      </w:pPr>
      <w:bookmarkStart w:id="1790" w:name="_Toc98233549"/>
      <w:bookmarkStart w:id="1791" w:name="_Toc136562262"/>
      <w:bookmarkStart w:id="1792" w:name="_Toc104538914"/>
      <w:bookmarkStart w:id="1793" w:name="_Toc114133715"/>
      <w:bookmarkStart w:id="1794" w:name="_Toc85552902"/>
      <w:bookmarkStart w:id="1795" w:name="_Toc112951036"/>
      <w:bookmarkStart w:id="1796" w:name="_Toc120702215"/>
      <w:bookmarkStart w:id="1797" w:name="_Toc88667503"/>
      <w:bookmarkStart w:id="1798" w:name="_Toc138754096"/>
      <w:bookmarkStart w:id="1799" w:name="_Toc90655788"/>
      <w:bookmarkStart w:id="1800" w:name="_Toc113031576"/>
      <w:bookmarkStart w:id="1801" w:name="_Toc145705583"/>
      <w:bookmarkStart w:id="1802" w:name="_Toc148522487"/>
      <w:bookmarkStart w:id="1803" w:name="_Toc101244325"/>
      <w:bookmarkStart w:id="1804" w:name="_Toc94064169"/>
      <w:bookmarkStart w:id="1805" w:name="_Toc85557001"/>
      <w:bookmarkStart w:id="1806" w:name="_Toc73564373"/>
      <w:bookmarkStart w:id="1807" w:name="_Toc164920611"/>
      <w:bookmarkStart w:id="1808" w:name="_Toc170120153"/>
      <w:bookmarkStart w:id="1809" w:name="_Toc175858398"/>
      <w:bookmarkStart w:id="1810" w:name="_Toc175859471"/>
      <w:bookmarkStart w:id="1811" w:name="_Toc180605761"/>
      <w:bookmarkStart w:id="1812" w:name="_Toc185517015"/>
      <w:bookmarkStart w:id="1813" w:name="_Toc191576066"/>
      <w:bookmarkStart w:id="1814" w:name="_Toc191576806"/>
      <w:bookmarkStart w:id="1815" w:name="_Toc192879876"/>
      <w:bookmarkStart w:id="1816" w:name="_Toc195814759"/>
      <w:bookmarkStart w:id="1817" w:name="_Toc199452706"/>
      <w:r>
        <w:t>4.3.2.3.2</w:t>
      </w:r>
      <w:r>
        <w:tab/>
        <w:t xml:space="preserve">Request and get from NWDAF </w:t>
      </w:r>
      <w:bookmarkEnd w:id="1806"/>
      <w:r>
        <w:t>context of a subscription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7"/>
      <w:bookmarkEnd w:id="1808"/>
      <w:bookmarkEnd w:id="1809"/>
      <w:bookmarkEnd w:id="1810"/>
      <w:bookmarkEnd w:id="1811"/>
      <w:bookmarkEnd w:id="1812"/>
      <w:bookmarkEnd w:id="1813"/>
      <w:bookmarkEnd w:id="1814"/>
      <w:bookmarkEnd w:id="1815"/>
      <w:bookmarkEnd w:id="1816"/>
      <w:bookmarkEnd w:id="1817"/>
    </w:p>
    <w:p w14:paraId="2B921179" w14:textId="77777777" w:rsidR="00A10B25" w:rsidRDefault="00A10B25">
      <w:pPr>
        <w:rPr>
          <w:rFonts w:eastAsia="等线"/>
        </w:rPr>
      </w:pPr>
      <w:r>
        <w:rPr>
          <w:rFonts w:eastAsia="等线"/>
        </w:rPr>
        <w:t xml:space="preserve">Figure 4.3.2.3.2-1 shows a scenario where the NF service consumer (e.g. NWDAF) sends a request to the NWDAF to request and get from NWDAF </w:t>
      </w:r>
      <w:r>
        <w:t>context information related to analytics subscriptions</w:t>
      </w:r>
      <w:r>
        <w:rPr>
          <w:rFonts w:eastAsia="等线"/>
        </w:rPr>
        <w:t xml:space="preserve"> (</w:t>
      </w:r>
      <w:r>
        <w:rPr>
          <w:rFonts w:eastAsia="等线"/>
          <w:lang w:val="en-US" w:eastAsia="zh-CN"/>
        </w:rPr>
        <w:t xml:space="preserve">see also </w:t>
      </w:r>
      <w:r>
        <w:rPr>
          <w:rFonts w:eastAsia="等线"/>
        </w:rPr>
        <w:t>3GPP TS 23.288 [17]).</w:t>
      </w:r>
    </w:p>
    <w:p w14:paraId="1DB52B59" w14:textId="77777777" w:rsidR="00A10B25" w:rsidRDefault="00A10B25">
      <w:pPr>
        <w:pStyle w:val="TH"/>
      </w:pPr>
    </w:p>
    <w:p w14:paraId="4A4CA762" w14:textId="77777777" w:rsidR="00A10B25" w:rsidRDefault="00A10B25">
      <w:pPr>
        <w:pStyle w:val="TH"/>
      </w:pPr>
      <w:r>
        <w:rPr>
          <w:lang w:val="en-US" w:eastAsia="zh-CN"/>
        </w:rPr>
        <w:object w:dxaOrig="7947" w:dyaOrig="2188" w14:anchorId="7A35A78D">
          <v:shape id="Object 15" o:spid="_x0000_i1049" type="#_x0000_t75" style="width:433.25pt;height:119.6pt;mso-position-horizontal-relative:page;mso-position-vertical-relative:page" o:ole="">
            <v:imagedata r:id="rId32" o:title=""/>
          </v:shape>
          <o:OLEObject Type="Embed" ProgID="Visio.Drawing.11" ShapeID="Object 15" DrawAspect="Content" ObjectID="_1810065993" r:id="rId33"/>
        </w:object>
      </w:r>
    </w:p>
    <w:p w14:paraId="79BE4153" w14:textId="77777777" w:rsidR="00A10B25" w:rsidRDefault="00A10B25">
      <w:pPr>
        <w:pStyle w:val="TF"/>
      </w:pPr>
      <w:r>
        <w:t>Figure 4.3.2.3.2-1: Requesting NWDAF context information related to analytics subscriptions</w:t>
      </w:r>
    </w:p>
    <w:p w14:paraId="12DD0E7B" w14:textId="77777777" w:rsidR="00A10B25" w:rsidRDefault="00A10B25">
      <w:r>
        <w:rPr>
          <w:rFonts w:eastAsia="等线"/>
        </w:rPr>
        <w:t>The NF service consumer (e.g. NWDAF) shall invoke the</w:t>
      </w:r>
      <w:r>
        <w:rPr>
          <w:rFonts w:eastAsia="Batang"/>
        </w:rPr>
        <w:t xml:space="preserve"> </w:t>
      </w:r>
      <w:r>
        <w:rPr>
          <w:rFonts w:eastAsia="等线"/>
        </w:rPr>
        <w:t xml:space="preserve">Nnwdaf_AnalyticsInfo_ContextTransfer service operation when requesting </w:t>
      </w:r>
      <w:r>
        <w:t>context information related to analytics subscriptions</w:t>
      </w:r>
      <w:r>
        <w:rPr>
          <w:rFonts w:eastAsia="等线"/>
        </w:rPr>
        <w:t xml:space="preserve">. The NF service consumer shall send an HTTP GET request on the resource URI "{apiRoot}/nnwdaf-analyticsinfo/&lt;apiVersion&gt;/context" representing the "NWDAF Context" (as shown in figure 4.3.2.3.2-1, step 1), to request </w:t>
      </w:r>
      <w:r>
        <w:t>context information related to analytics subscriptions</w:t>
      </w:r>
      <w:r>
        <w:rPr>
          <w:rFonts w:eastAsia="等线"/>
        </w:rPr>
        <w:t xml:space="preserve"> according to the query parameter values of the attributes "context-ids"</w:t>
      </w:r>
      <w:r>
        <w:t xml:space="preserve"> </w:t>
      </w:r>
      <w:r>
        <w:rPr>
          <w:rFonts w:eastAsia="等线"/>
        </w:rPr>
        <w:t>and "req-context".</w:t>
      </w:r>
    </w:p>
    <w:p w14:paraId="45814BF1" w14:textId="77777777" w:rsidR="00A10B25" w:rsidRDefault="00A10B25">
      <w:pPr>
        <w:rPr>
          <w:rFonts w:eastAsia="等线"/>
        </w:rPr>
      </w:pPr>
      <w:r>
        <w:rPr>
          <w:rFonts w:eastAsia="等线"/>
        </w:rPr>
        <w:t>Upon the reception of the HTTP GET request, the NWDAF shall retrieve the context information for the requested context identifiers</w:t>
      </w:r>
      <w:r>
        <w:t>.</w:t>
      </w:r>
    </w:p>
    <w:p w14:paraId="0C4B2C6E" w14:textId="77777777" w:rsidR="00A10B25" w:rsidRDefault="00A10B25">
      <w:pPr>
        <w:rPr>
          <w:rFonts w:eastAsia="等线"/>
        </w:rPr>
      </w:pPr>
      <w:r>
        <w:rPr>
          <w:rFonts w:eastAsia="等线"/>
        </w:rPr>
        <w:t>If the HTTP request message from the NF service consumer is accepted, the NWDAF shall respond with "200 OK"</w:t>
      </w:r>
      <w:r>
        <w:t xml:space="preserve"> </w:t>
      </w:r>
      <w:r>
        <w:rPr>
          <w:rFonts w:eastAsia="等线"/>
        </w:rPr>
        <w:t xml:space="preserve">status code with the </w:t>
      </w:r>
      <w:r>
        <w:t>message</w:t>
      </w:r>
      <w:r>
        <w:rPr>
          <w:rFonts w:eastAsia="等线"/>
        </w:rPr>
        <w:t xml:space="preserve"> body containing the retrieved </w:t>
      </w:r>
      <w:r>
        <w:t>context information</w:t>
      </w:r>
      <w:r>
        <w:rPr>
          <w:rFonts w:eastAsia="等线"/>
        </w:rPr>
        <w:t>. The ContextData data structure in the response body shall include for each of the context elements contained in the "contextElems" attribute:</w:t>
      </w:r>
    </w:p>
    <w:p w14:paraId="3AF41D33" w14:textId="77777777" w:rsidR="00A10B25" w:rsidRDefault="00A10B25">
      <w:pPr>
        <w:pStyle w:val="B1"/>
      </w:pPr>
      <w:r>
        <w:t>-</w:t>
      </w:r>
      <w:r>
        <w:tab/>
        <w:t>the context identifier that this context element refers to in the "contextId" attribute, which indicates among others the analytics subscription that this context element is associated with.</w:t>
      </w:r>
    </w:p>
    <w:p w14:paraId="421111EE" w14:textId="77777777" w:rsidR="00A10B25" w:rsidRDefault="00A10B25">
      <w:pPr>
        <w:pStyle w:val="B1"/>
      </w:pPr>
      <w:r>
        <w:t>-</w:t>
      </w:r>
      <w:r>
        <w:tab/>
        <w:t>the pending output analytics for the indicated analytics subscription in the "pendAnalytics" attribute if such analytics are available and the NF service consumer has indicated the "PENDING_ANALYTICS" context type in the "req-context" attribute of the request.</w:t>
      </w:r>
    </w:p>
    <w:p w14:paraId="23E9C096" w14:textId="77777777" w:rsidR="00A10B25" w:rsidRDefault="00A10B25">
      <w:pPr>
        <w:pStyle w:val="B1"/>
      </w:pPr>
      <w:r>
        <w:t>-</w:t>
      </w:r>
      <w:r>
        <w:tab/>
        <w:t>the historical output analytics for the indicated analytics subscription in the "histAnalytics" attribute if such analytics are available and the NF service consumer has indicated the "HISTORICAL_ANALYTICS" context type in the "req-context" attribute of the request.</w:t>
      </w:r>
    </w:p>
    <w:p w14:paraId="598E0E43" w14:textId="77777777" w:rsidR="00A10B25" w:rsidRDefault="00A10B25">
      <w:pPr>
        <w:pStyle w:val="B1"/>
      </w:pPr>
      <w:r>
        <w:t>-</w:t>
      </w:r>
      <w:r>
        <w:tab/>
        <w:t>a timestamp of the last provided output analytics in the "lastOutputTime" if the NF service consumer has indicated the "PENDING_ANALYTICS" and/or "HISTORICAL_ANALYTICS" context type in the "req-context" attribute of the request and output analytics had been provided to the analytics consumer.</w:t>
      </w:r>
    </w:p>
    <w:p w14:paraId="39C5FD07" w14:textId="77777777" w:rsidR="00A10B25" w:rsidRDefault="00A10B25">
      <w:pPr>
        <w:pStyle w:val="B1"/>
      </w:pPr>
      <w:r>
        <w:t>-</w:t>
      </w:r>
      <w:r>
        <w:tab/>
        <w:t>information about aggregation related analytics subscriptions that the NWDAF has with other NWDAFs in the "aggrSubs" attribute if such subscriptions exist and the NF service consumer has indicated the "AGGR_SUBS" context type in the "req-context" attribute of the request.</w:t>
      </w:r>
    </w:p>
    <w:p w14:paraId="7B88C377" w14:textId="77777777" w:rsidR="00A10B25" w:rsidRDefault="00A10B25">
      <w:pPr>
        <w:pStyle w:val="B1"/>
      </w:pPr>
      <w:r>
        <w:t>-</w:t>
      </w:r>
      <w:r>
        <w:tab/>
        <w:t>historical data related to the indicated analytics subscription in the "histData" attribute if such data exists and the NF service consumer has indicated the "DATA" context type in the "req-context" attribute of the request.</w:t>
      </w:r>
    </w:p>
    <w:p w14:paraId="48BFA8D6" w14:textId="77777777" w:rsidR="00A10B25" w:rsidRDefault="00A10B25">
      <w:pPr>
        <w:pStyle w:val="B1"/>
      </w:pPr>
      <w:r>
        <w:t>-</w:t>
      </w:r>
      <w:r>
        <w:tab/>
        <w:t>identifier of ADRF instance in the "adrfId" attribute if the NWDAF stores data in the ADRF.</w:t>
      </w:r>
    </w:p>
    <w:p w14:paraId="7BBCF646" w14:textId="77777777" w:rsidR="00A10B25" w:rsidRDefault="00A10B25">
      <w:pPr>
        <w:pStyle w:val="B1"/>
      </w:pPr>
      <w:r>
        <w:t>-</w:t>
      </w:r>
      <w:r>
        <w:tab/>
        <w:t>the types of data stored in the ADRF in the "adrfDataTypes" attribute if the "a</w:t>
      </w:r>
      <w:r>
        <w:rPr>
          <w:rFonts w:hint="eastAsia"/>
          <w:lang w:eastAsia="zh-CN"/>
        </w:rPr>
        <w:t>drf</w:t>
      </w:r>
      <w:r>
        <w:t>Id" attribute is provided.</w:t>
      </w:r>
    </w:p>
    <w:p w14:paraId="1B40E826" w14:textId="77777777" w:rsidR="00A10B25" w:rsidRDefault="00A10B25">
      <w:pPr>
        <w:pStyle w:val="B1"/>
      </w:pPr>
      <w:r>
        <w:t>-</w:t>
      </w:r>
      <w:r>
        <w:tab/>
        <w:t>identifiers of NWDAF instances used when aggregating multiple analytics subscriptions in the "aggrNwdafIds" if such information is available and the NF service consumer has indicated the "AGGR_INFO" context type in the "req-context" attribute of the request.</w:t>
      </w:r>
    </w:p>
    <w:p w14:paraId="2416B214" w14:textId="77777777" w:rsidR="003E1F9F" w:rsidRDefault="00A10B25" w:rsidP="003E1F9F">
      <w:pPr>
        <w:pStyle w:val="B1"/>
      </w:pPr>
      <w:r>
        <w:t>-</w:t>
      </w:r>
      <w:r>
        <w:tab/>
        <w:t>information about used ML models in the "</w:t>
      </w:r>
      <w:r w:rsidR="00AD5F95">
        <w:rPr>
          <w:lang w:val="en-US" w:eastAsia="zh-CN"/>
        </w:rPr>
        <w:t>modelInfo</w:t>
      </w:r>
      <w:r>
        <w:t>" attribute if such information is available and the NF service consumer has indicated the "ML_MODELS" context type in the "req-context" attribute of the request.</w:t>
      </w:r>
    </w:p>
    <w:p w14:paraId="15BA6C8E" w14:textId="77777777" w:rsidR="003E1F9F" w:rsidRDefault="003E1F9F" w:rsidP="003E1F9F">
      <w:pPr>
        <w:pStyle w:val="B1"/>
      </w:pPr>
      <w:r>
        <w:t>-</w:t>
      </w:r>
      <w:r>
        <w:tab/>
        <w:t>if the "</w:t>
      </w:r>
      <w:r>
        <w:rPr>
          <w:lang w:eastAsia="zh-CN"/>
        </w:rPr>
        <w:t>EnAnaCtxTransfer</w:t>
      </w:r>
      <w:r>
        <w:t>"</w:t>
      </w:r>
      <w:r>
        <w:rPr>
          <w:lang w:eastAsia="ko-KR"/>
        </w:rPr>
        <w:t xml:space="preserve"> feature is supported, the Analytics Accuracy related information</w:t>
      </w:r>
      <w:r>
        <w:t xml:space="preserve"> in the "</w:t>
      </w:r>
      <w:r>
        <w:rPr>
          <w:rFonts w:hint="eastAsia"/>
          <w:lang w:eastAsia="zh-CN"/>
        </w:rPr>
        <w:t>a</w:t>
      </w:r>
      <w:r>
        <w:rPr>
          <w:lang w:eastAsia="zh-CN"/>
        </w:rPr>
        <w:t>naAccuInfos</w:t>
      </w:r>
      <w:r>
        <w:t>" attribute if such information is available and the NF service consumer has indicated the "ANALYTICS_ACCU_INFO" context type in the "req-context" attribute of the request.</w:t>
      </w:r>
    </w:p>
    <w:p w14:paraId="2BE33B69" w14:textId="77777777" w:rsidR="00A10B25" w:rsidRDefault="003E1F9F" w:rsidP="003E1F9F">
      <w:pPr>
        <w:pStyle w:val="B1"/>
      </w:pPr>
      <w:r>
        <w:t>-</w:t>
      </w:r>
      <w:r>
        <w:tab/>
        <w:t>if the "</w:t>
      </w:r>
      <w:r>
        <w:rPr>
          <w:lang w:eastAsia="zh-CN"/>
        </w:rPr>
        <w:t>EnAnaCtxTransfer</w:t>
      </w:r>
      <w:r>
        <w:t>"</w:t>
      </w:r>
      <w:r>
        <w:rPr>
          <w:lang w:eastAsia="ko-KR"/>
        </w:rPr>
        <w:t xml:space="preserve"> feature is supported, the </w:t>
      </w:r>
      <w:r>
        <w:t>ML Model accuracy related information in the "</w:t>
      </w:r>
      <w:r>
        <w:rPr>
          <w:rFonts w:hint="eastAsia"/>
          <w:lang w:eastAsia="zh-CN"/>
        </w:rPr>
        <w:t>m</w:t>
      </w:r>
      <w:r>
        <w:rPr>
          <w:lang w:eastAsia="zh-CN"/>
        </w:rPr>
        <w:t>odelAccuInfos</w:t>
      </w:r>
      <w:r>
        <w:t>" attribute if such information is available and the NF service consumer has indicated the "ML_MODEL_ACCU_INFO" context type in the "req-context" attribute of the request.</w:t>
      </w:r>
    </w:p>
    <w:p w14:paraId="476AEAFC" w14:textId="77777777" w:rsidR="00A10B25" w:rsidRDefault="00A10B25">
      <w:r>
        <w:t xml:space="preserve">If the requested context information does not exist, the NWDAF shall respond with "204 No Content" status code. </w:t>
      </w:r>
    </w:p>
    <w:p w14:paraId="6BC59618" w14:textId="77777777" w:rsidR="00A10B25" w:rsidRDefault="00A10B25">
      <w:pPr>
        <w:pStyle w:val="2"/>
      </w:pPr>
      <w:bookmarkStart w:id="1818" w:name="_Toc88667504"/>
      <w:bookmarkStart w:id="1819" w:name="_Toc98233550"/>
      <w:bookmarkStart w:id="1820" w:name="_Toc85552903"/>
      <w:bookmarkStart w:id="1821" w:name="_Toc136562263"/>
      <w:bookmarkStart w:id="1822" w:name="_Toc120702216"/>
      <w:bookmarkStart w:id="1823" w:name="_Toc94064170"/>
      <w:bookmarkStart w:id="1824" w:name="_Toc138754097"/>
      <w:bookmarkStart w:id="1825" w:name="_Toc101244326"/>
      <w:bookmarkStart w:id="1826" w:name="_Toc90655789"/>
      <w:bookmarkStart w:id="1827" w:name="_Toc145705584"/>
      <w:bookmarkStart w:id="1828" w:name="_Toc104538915"/>
      <w:bookmarkStart w:id="1829" w:name="_Toc114133716"/>
      <w:bookmarkStart w:id="1830" w:name="_Toc148522488"/>
      <w:bookmarkStart w:id="1831" w:name="_Toc112951037"/>
      <w:bookmarkStart w:id="1832" w:name="_Toc85557002"/>
      <w:bookmarkStart w:id="1833" w:name="_Toc113031577"/>
      <w:bookmarkStart w:id="1834" w:name="_Toc164920612"/>
      <w:bookmarkStart w:id="1835" w:name="_Toc170120154"/>
      <w:bookmarkStart w:id="1836" w:name="_Toc175858399"/>
      <w:bookmarkStart w:id="1837" w:name="_Toc175859472"/>
      <w:bookmarkStart w:id="1838" w:name="_Toc180605762"/>
      <w:bookmarkStart w:id="1839" w:name="_Toc185517016"/>
      <w:bookmarkStart w:id="1840" w:name="_Toc191576067"/>
      <w:bookmarkStart w:id="1841" w:name="_Toc191576807"/>
      <w:bookmarkStart w:id="1842" w:name="_Toc192879877"/>
      <w:bookmarkStart w:id="1843" w:name="_Toc195814760"/>
      <w:bookmarkStart w:id="1844" w:name="_Toc199452707"/>
      <w:r>
        <w:lastRenderedPageBreak/>
        <w:t>4.4</w:t>
      </w:r>
      <w:r>
        <w:tab/>
      </w:r>
      <w:r>
        <w:rPr>
          <w:rFonts w:hint="eastAsia"/>
          <w:lang w:eastAsia="zh-CN"/>
        </w:rPr>
        <w:t>N</w:t>
      </w:r>
      <w:r>
        <w:rPr>
          <w:lang w:eastAsia="zh-CN"/>
        </w:rPr>
        <w:t>nwdaf_</w:t>
      </w:r>
      <w:r>
        <w:rPr>
          <w:lang w:eastAsia="ja-JP"/>
        </w:rPr>
        <w:t>DataManagement</w:t>
      </w:r>
      <w:r>
        <w:t xml:space="preserve"> Service</w:t>
      </w:r>
      <w:bookmarkEnd w:id="1729"/>
      <w:bookmarkEnd w:id="1730"/>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61BFAAD" w14:textId="77777777" w:rsidR="00A10B25" w:rsidRDefault="00A10B25">
      <w:pPr>
        <w:pStyle w:val="3"/>
      </w:pPr>
      <w:bookmarkStart w:id="1845" w:name="_Toc88667505"/>
      <w:bookmarkStart w:id="1846" w:name="_Toc104538916"/>
      <w:bookmarkStart w:id="1847" w:name="_Toc83233007"/>
      <w:bookmarkStart w:id="1848" w:name="_Toc145705585"/>
      <w:bookmarkStart w:id="1849" w:name="_Toc101244327"/>
      <w:bookmarkStart w:id="1850" w:name="_Toc90655790"/>
      <w:bookmarkStart w:id="1851" w:name="_Toc98233551"/>
      <w:bookmarkStart w:id="1852" w:name="_Toc94064171"/>
      <w:bookmarkStart w:id="1853" w:name="_Toc136562264"/>
      <w:bookmarkStart w:id="1854" w:name="_Toc70550570"/>
      <w:bookmarkStart w:id="1855" w:name="_Toc113031578"/>
      <w:bookmarkStart w:id="1856" w:name="_Toc148522489"/>
      <w:bookmarkStart w:id="1857" w:name="_Toc138754098"/>
      <w:bookmarkStart w:id="1858" w:name="_Toc114133717"/>
      <w:bookmarkStart w:id="1859" w:name="_Toc85557003"/>
      <w:bookmarkStart w:id="1860" w:name="_Toc120702217"/>
      <w:bookmarkStart w:id="1861" w:name="_Toc85552904"/>
      <w:bookmarkStart w:id="1862" w:name="_Toc112951038"/>
      <w:bookmarkStart w:id="1863" w:name="_Toc164920613"/>
      <w:bookmarkStart w:id="1864" w:name="_Toc170120155"/>
      <w:bookmarkStart w:id="1865" w:name="_Toc175858400"/>
      <w:bookmarkStart w:id="1866" w:name="_Toc175859473"/>
      <w:bookmarkStart w:id="1867" w:name="_Toc180605763"/>
      <w:bookmarkStart w:id="1868" w:name="_Toc185517017"/>
      <w:bookmarkStart w:id="1869" w:name="_Toc191576068"/>
      <w:bookmarkStart w:id="1870" w:name="_Toc191576808"/>
      <w:bookmarkStart w:id="1871" w:name="_Toc192879878"/>
      <w:bookmarkStart w:id="1872" w:name="_Toc195814761"/>
      <w:bookmarkStart w:id="1873" w:name="_Toc199452708"/>
      <w:r>
        <w:t>4.4.1</w:t>
      </w:r>
      <w:r>
        <w:tab/>
        <w:t>Service Description</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4A6C7E50" w14:textId="77777777" w:rsidR="00A10B25" w:rsidRDefault="00A10B25">
      <w:pPr>
        <w:pStyle w:val="4"/>
        <w:rPr>
          <w:lang w:eastAsia="zh-CN"/>
        </w:rPr>
      </w:pPr>
      <w:bookmarkStart w:id="1874" w:name="_Toc113031579"/>
      <w:bookmarkStart w:id="1875" w:name="_Toc85552905"/>
      <w:bookmarkStart w:id="1876" w:name="_Toc88667506"/>
      <w:bookmarkStart w:id="1877" w:name="_Toc83233008"/>
      <w:bookmarkStart w:id="1878" w:name="_Toc112951039"/>
      <w:bookmarkStart w:id="1879" w:name="_Toc70550571"/>
      <w:bookmarkStart w:id="1880" w:name="_Toc138754099"/>
      <w:bookmarkStart w:id="1881" w:name="_Toc114133718"/>
      <w:bookmarkStart w:id="1882" w:name="_Toc104538917"/>
      <w:bookmarkStart w:id="1883" w:name="_Toc120702218"/>
      <w:bookmarkStart w:id="1884" w:name="_Toc98233552"/>
      <w:bookmarkStart w:id="1885" w:name="_Toc148522490"/>
      <w:bookmarkStart w:id="1886" w:name="_Toc145705586"/>
      <w:bookmarkStart w:id="1887" w:name="_Toc90655791"/>
      <w:bookmarkStart w:id="1888" w:name="_Toc101244328"/>
      <w:bookmarkStart w:id="1889" w:name="_Toc136562265"/>
      <w:bookmarkStart w:id="1890" w:name="_Toc94064172"/>
      <w:bookmarkStart w:id="1891" w:name="_Toc85557004"/>
      <w:bookmarkStart w:id="1892" w:name="_Toc164920614"/>
      <w:bookmarkStart w:id="1893" w:name="_Toc170120156"/>
      <w:bookmarkStart w:id="1894" w:name="_Toc175858401"/>
      <w:bookmarkStart w:id="1895" w:name="_Toc175859474"/>
      <w:bookmarkStart w:id="1896" w:name="_Toc180605764"/>
      <w:bookmarkStart w:id="1897" w:name="_Toc185517018"/>
      <w:bookmarkStart w:id="1898" w:name="_Toc191576069"/>
      <w:bookmarkStart w:id="1899" w:name="_Toc191576809"/>
      <w:bookmarkStart w:id="1900" w:name="_Toc192879879"/>
      <w:bookmarkStart w:id="1901" w:name="_Toc195814762"/>
      <w:bookmarkStart w:id="1902" w:name="_Toc199452709"/>
      <w:r>
        <w:t>4.4.</w:t>
      </w:r>
      <w:r>
        <w:rPr>
          <w:rFonts w:hint="eastAsia"/>
          <w:lang w:eastAsia="zh-CN"/>
        </w:rPr>
        <w:t>1</w:t>
      </w:r>
      <w:r>
        <w:rPr>
          <w:lang w:eastAsia="zh-CN"/>
        </w:rPr>
        <w:t>.1</w:t>
      </w:r>
      <w:r>
        <w:tab/>
      </w:r>
      <w:r>
        <w:rPr>
          <w:rFonts w:hint="eastAsia"/>
          <w:lang w:eastAsia="zh-CN"/>
        </w:rPr>
        <w:t>Overview</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3F369722" w14:textId="77777777" w:rsidR="00A10B25" w:rsidRDefault="00A10B25">
      <w:r>
        <w:t>The Nnwdaf_</w:t>
      </w:r>
      <w:r>
        <w:rPr>
          <w:lang w:eastAsia="zh-CN"/>
        </w:rPr>
        <w:t>DataManagement</w:t>
      </w:r>
      <w:r>
        <w:t xml:space="preserve"> Service as defined in 3GPP TS 23.288 [17] is provided by the Network Data Analytics Function (NWDAF).</w:t>
      </w:r>
    </w:p>
    <w:p w14:paraId="2C50C58D" w14:textId="77777777" w:rsidR="00A10B25" w:rsidRDefault="00A10B25">
      <w:r>
        <w:t>This service:</w:t>
      </w:r>
    </w:p>
    <w:p w14:paraId="31B76FAA" w14:textId="77777777" w:rsidR="00A10B25" w:rsidRDefault="00A10B25">
      <w:pPr>
        <w:pStyle w:val="B1"/>
      </w:pPr>
      <w:r>
        <w:t>-</w:t>
      </w:r>
      <w:r>
        <w:tab/>
        <w:t xml:space="preserve">allows the NF service consumers to subscribe to and unsubscribe from data management related events; </w:t>
      </w:r>
    </w:p>
    <w:p w14:paraId="6543A47F" w14:textId="77777777" w:rsidR="00A10B25" w:rsidRDefault="00A10B25">
      <w:pPr>
        <w:pStyle w:val="B1"/>
      </w:pPr>
      <w:r>
        <w:t>-</w:t>
      </w:r>
      <w:r>
        <w:tab/>
        <w:t>notifies the NF service consumers with the subscribed events which are detected by the NWDAF; and</w:t>
      </w:r>
    </w:p>
    <w:p w14:paraId="6F0A90DF" w14:textId="77777777" w:rsidR="00A10B25" w:rsidRDefault="00A10B25">
      <w:pPr>
        <w:pStyle w:val="B1"/>
        <w:rPr>
          <w:rFonts w:hint="eastAsia"/>
          <w:lang w:eastAsia="zh-CN"/>
        </w:rPr>
      </w:pPr>
      <w:r>
        <w:rPr>
          <w:rFonts w:hint="eastAsia"/>
          <w:lang w:eastAsia="zh-CN"/>
        </w:rPr>
        <w:t>-</w:t>
      </w:r>
      <w:r>
        <w:rPr>
          <w:lang w:eastAsia="zh-CN"/>
        </w:rPr>
        <w:tab/>
        <w:t>allows the NF service consumers to retrieve the subscribed data from the NWDAF.</w:t>
      </w:r>
    </w:p>
    <w:p w14:paraId="0364BB11" w14:textId="77777777" w:rsidR="00A10B25" w:rsidRDefault="00A10B25">
      <w:pPr>
        <w:pStyle w:val="4"/>
      </w:pPr>
      <w:bookmarkStart w:id="1903" w:name="_Toc120702219"/>
      <w:bookmarkStart w:id="1904" w:name="_Toc88667507"/>
      <w:bookmarkStart w:id="1905" w:name="_Toc85557005"/>
      <w:bookmarkStart w:id="1906" w:name="_Toc70550572"/>
      <w:bookmarkStart w:id="1907" w:name="_Toc114133719"/>
      <w:bookmarkStart w:id="1908" w:name="_Toc85552906"/>
      <w:bookmarkStart w:id="1909" w:name="_Toc98233553"/>
      <w:bookmarkStart w:id="1910" w:name="_Toc101244329"/>
      <w:bookmarkStart w:id="1911" w:name="_Toc138754100"/>
      <w:bookmarkStart w:id="1912" w:name="_Toc112951040"/>
      <w:bookmarkStart w:id="1913" w:name="_Toc90655792"/>
      <w:bookmarkStart w:id="1914" w:name="_Toc136562266"/>
      <w:bookmarkStart w:id="1915" w:name="_Toc145705587"/>
      <w:bookmarkStart w:id="1916" w:name="_Toc83233009"/>
      <w:bookmarkStart w:id="1917" w:name="_Toc148522491"/>
      <w:bookmarkStart w:id="1918" w:name="_Toc94064173"/>
      <w:bookmarkStart w:id="1919" w:name="_Toc113031580"/>
      <w:bookmarkStart w:id="1920" w:name="_Toc104538918"/>
      <w:bookmarkStart w:id="1921" w:name="_Toc164920615"/>
      <w:bookmarkStart w:id="1922" w:name="_Toc170120157"/>
      <w:bookmarkStart w:id="1923" w:name="_Toc175858402"/>
      <w:bookmarkStart w:id="1924" w:name="_Toc175859475"/>
      <w:bookmarkStart w:id="1925" w:name="_Toc180605765"/>
      <w:bookmarkStart w:id="1926" w:name="_Toc185517019"/>
      <w:bookmarkStart w:id="1927" w:name="_Toc191576070"/>
      <w:bookmarkStart w:id="1928" w:name="_Toc191576810"/>
      <w:bookmarkStart w:id="1929" w:name="_Toc192879880"/>
      <w:bookmarkStart w:id="1930" w:name="_Toc195814763"/>
      <w:bookmarkStart w:id="1931" w:name="_Toc199452710"/>
      <w:r>
        <w:t>4.4.</w:t>
      </w:r>
      <w:r>
        <w:rPr>
          <w:rFonts w:hint="eastAsia"/>
        </w:rPr>
        <w:t>1</w:t>
      </w:r>
      <w:r>
        <w:t>.2</w:t>
      </w:r>
      <w:r>
        <w:rPr>
          <w:rFonts w:hint="eastAsia"/>
        </w:rPr>
        <w:tab/>
      </w:r>
      <w:r>
        <w:t>Service Architecture</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4A693EFC" w14:textId="77777777" w:rsidR="00A10B25" w:rsidRDefault="00A10B25">
      <w:r>
        <w:t>The 5G System Architecture is defined in 3GPP TS 23.501 [2]. The Network Data Analytics Exposure architecture is defined in 3GPP TS 23.288 [17]. The Network Data Analytics signalling flows are defined in 3GPP TS 29.552 [25].</w:t>
      </w:r>
    </w:p>
    <w:p w14:paraId="42A23226" w14:textId="77777777" w:rsidR="00A10B25" w:rsidRDefault="00A10B25">
      <w:r>
        <w:t>The Nnwdaf_DataManagement service is part of the Nnwdaf service-based interface exhibited by the N</w:t>
      </w:r>
      <w:bookmarkStart w:id="1932" w:name="_Hlk92467293"/>
      <w:r>
        <w:t>etwork Data Analytics Function (NWDAF)</w:t>
      </w:r>
      <w:bookmarkEnd w:id="1932"/>
      <w:r>
        <w:t>.</w:t>
      </w:r>
    </w:p>
    <w:p w14:paraId="636AA528" w14:textId="77777777" w:rsidR="00A10B25" w:rsidRDefault="00A10B25">
      <w:r>
        <w:t>Known consumers of the Nnwdaf_DataManagement service are:</w:t>
      </w:r>
    </w:p>
    <w:p w14:paraId="0D4EE911" w14:textId="77777777" w:rsidR="00A10B25" w:rsidRDefault="00A10B25">
      <w:pPr>
        <w:pStyle w:val="B1"/>
      </w:pPr>
      <w:r>
        <w:t>-</w:t>
      </w:r>
      <w:r>
        <w:tab/>
        <w:t>Network Data Analytics Function (NWDAF)</w:t>
      </w:r>
    </w:p>
    <w:p w14:paraId="274FFC7B" w14:textId="77777777" w:rsidR="00A10B25" w:rsidRDefault="00A10B25">
      <w:pPr>
        <w:pStyle w:val="B1"/>
      </w:pPr>
      <w:r>
        <w:t>-</w:t>
      </w:r>
      <w:r>
        <w:tab/>
        <w:t>Data Collection Coordination Function (DCCF)</w:t>
      </w:r>
    </w:p>
    <w:p w14:paraId="4295C337" w14:textId="77777777" w:rsidR="00A10B25" w:rsidRDefault="00A10B25">
      <w:pPr>
        <w:pStyle w:val="B1"/>
      </w:pPr>
      <w:r>
        <w:t>-</w:t>
      </w:r>
      <w:r>
        <w:tab/>
        <w:t>Messaging Framework Adaptor Function (MFAF)</w:t>
      </w:r>
    </w:p>
    <w:p w14:paraId="066EE83B" w14:textId="77777777" w:rsidR="00A10B25" w:rsidRDefault="00A10B25">
      <w:pPr>
        <w:pStyle w:val="B1"/>
      </w:pPr>
      <w:r>
        <w:rPr>
          <w:rFonts w:hint="eastAsia"/>
          <w:lang w:eastAsia="zh-CN"/>
        </w:rPr>
        <w:t>-</w:t>
      </w:r>
      <w:r>
        <w:tab/>
      </w:r>
      <w:r>
        <w:rPr>
          <w:lang w:eastAsia="zh-CN"/>
        </w:rPr>
        <w:t>Analytics Data Repository Function (ADRF)</w:t>
      </w:r>
    </w:p>
    <w:p w14:paraId="67CFCB57" w14:textId="77777777" w:rsidR="00A10B25" w:rsidRDefault="00A10B25">
      <w:pPr>
        <w:pStyle w:val="TH"/>
        <w:rPr>
          <w:lang w:val="en-US"/>
        </w:rPr>
      </w:pPr>
      <w:r>
        <w:rPr>
          <w:rFonts w:ascii="Times New Roman" w:hAnsi="Times New Roman"/>
          <w:lang w:val="en-US" w:eastAsia="zh-CN"/>
        </w:rPr>
        <w:object w:dxaOrig="12395" w:dyaOrig="2464" w14:anchorId="43FFEB42">
          <v:shape id="Object 16" o:spid="_x0000_i1050" type="#_x0000_t75" style="width:632.35pt;height:125.2pt;mso-position-horizontal-relative:page;mso-position-vertical-relative:page" o:ole="">
            <v:imagedata r:id="rId34" o:title=""/>
          </v:shape>
          <o:OLEObject Type="Embed" ProgID="Visio.Drawing.15" ShapeID="Object 16" DrawAspect="Content" ObjectID="_1810065994" r:id="rId35"/>
        </w:object>
      </w:r>
    </w:p>
    <w:p w14:paraId="29B8B361" w14:textId="77777777" w:rsidR="00A10B25" w:rsidRDefault="00A10B25">
      <w:pPr>
        <w:pStyle w:val="TF"/>
      </w:pPr>
      <w:r>
        <w:t>Figure 4.4.1.2-1</w:t>
      </w:r>
      <w:r>
        <w:rPr>
          <w:lang w:eastAsia="zh-CN"/>
        </w:rPr>
        <w:t>:</w:t>
      </w:r>
      <w:r>
        <w:t xml:space="preserve"> Reference Architecture for the Nnwdaf_DataManagement Service; SBI representation</w:t>
      </w:r>
    </w:p>
    <w:p w14:paraId="2DC663DC" w14:textId="77777777" w:rsidR="00A10B25" w:rsidRDefault="00A10B25">
      <w:pPr>
        <w:pStyle w:val="TH"/>
        <w:rPr>
          <w:lang w:val="en-US" w:eastAsia="zh-CN"/>
        </w:rPr>
      </w:pPr>
      <w:r>
        <w:rPr>
          <w:rFonts w:ascii="Times New Roman" w:hAnsi="Times New Roman"/>
          <w:lang w:val="en-US" w:eastAsia="zh-CN"/>
        </w:rPr>
        <w:object w:dxaOrig="11200" w:dyaOrig="2473" w14:anchorId="4BF1207D">
          <v:shape id="Object 17" o:spid="_x0000_i1051" type="#_x0000_t75" style="width:604.15pt;height:132.1pt;mso-position-horizontal-relative:page;mso-position-vertical-relative:page" o:ole="">
            <v:imagedata r:id="rId36" o:title=""/>
          </v:shape>
          <o:OLEObject Type="Embed" ProgID="Visio.Drawing.15" ShapeID="Object 17" DrawAspect="Content" ObjectID="_1810065995" r:id="rId37"/>
        </w:object>
      </w:r>
    </w:p>
    <w:p w14:paraId="2EF1BDAC" w14:textId="77777777" w:rsidR="00A10B25" w:rsidRDefault="00A10B25">
      <w:pPr>
        <w:pStyle w:val="TF"/>
      </w:pPr>
      <w:r>
        <w:t>Figure 4.4.1.2-2</w:t>
      </w:r>
      <w:r>
        <w:rPr>
          <w:lang w:eastAsia="zh-CN"/>
        </w:rPr>
        <w:t>:</w:t>
      </w:r>
      <w:r>
        <w:t xml:space="preserve"> Reference Architecture for the Nnwdaf_DataManagement Service: reference point representation</w:t>
      </w:r>
    </w:p>
    <w:p w14:paraId="0B0645A8" w14:textId="77777777" w:rsidR="00A10B25" w:rsidRDefault="00A10B25">
      <w:pPr>
        <w:pStyle w:val="4"/>
        <w:rPr>
          <w:lang w:val="en-US"/>
        </w:rPr>
      </w:pPr>
      <w:bookmarkStart w:id="1933" w:name="_Toc114133720"/>
      <w:bookmarkStart w:id="1934" w:name="_Toc94064174"/>
      <w:bookmarkStart w:id="1935" w:name="_Toc70550573"/>
      <w:bookmarkStart w:id="1936" w:name="_Toc120702220"/>
      <w:bookmarkStart w:id="1937" w:name="_Toc85552907"/>
      <w:bookmarkStart w:id="1938" w:name="_Toc85557006"/>
      <w:bookmarkStart w:id="1939" w:name="_Toc136562267"/>
      <w:bookmarkStart w:id="1940" w:name="_Toc98233554"/>
      <w:bookmarkStart w:id="1941" w:name="_Toc90655793"/>
      <w:bookmarkStart w:id="1942" w:name="_Toc113031581"/>
      <w:bookmarkStart w:id="1943" w:name="_Toc104538919"/>
      <w:bookmarkStart w:id="1944" w:name="_Toc138754101"/>
      <w:bookmarkStart w:id="1945" w:name="_Toc148522492"/>
      <w:bookmarkStart w:id="1946" w:name="_Toc112951041"/>
      <w:bookmarkStart w:id="1947" w:name="_Toc83233010"/>
      <w:bookmarkStart w:id="1948" w:name="_Toc145705588"/>
      <w:bookmarkStart w:id="1949" w:name="_Toc88667508"/>
      <w:bookmarkStart w:id="1950" w:name="_Toc101244330"/>
      <w:bookmarkStart w:id="1951" w:name="_Toc164920616"/>
      <w:bookmarkStart w:id="1952" w:name="_Toc170120158"/>
      <w:bookmarkStart w:id="1953" w:name="_Toc175858403"/>
      <w:bookmarkStart w:id="1954" w:name="_Toc175859476"/>
      <w:bookmarkStart w:id="1955" w:name="_Toc180605766"/>
      <w:bookmarkStart w:id="1956" w:name="_Toc185517020"/>
      <w:bookmarkStart w:id="1957" w:name="_Toc191576071"/>
      <w:bookmarkStart w:id="1958" w:name="_Toc191576811"/>
      <w:bookmarkStart w:id="1959" w:name="_Toc192879881"/>
      <w:bookmarkStart w:id="1960" w:name="_Toc195814764"/>
      <w:bookmarkStart w:id="1961" w:name="_Toc199452711"/>
      <w:r>
        <w:rPr>
          <w:lang w:val="en-US"/>
        </w:rPr>
        <w:lastRenderedPageBreak/>
        <w:t>4.4.</w:t>
      </w:r>
      <w:r>
        <w:rPr>
          <w:rFonts w:hint="eastAsia"/>
          <w:lang w:val="en-US" w:eastAsia="zh-CN"/>
        </w:rPr>
        <w:t>1.3</w:t>
      </w:r>
      <w:r>
        <w:rPr>
          <w:lang w:val="en-US"/>
        </w:rPr>
        <w:tab/>
        <w:t>Network Functions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0AAAED2A" w14:textId="77777777" w:rsidR="00A10B25" w:rsidRDefault="00A10B25">
      <w:pPr>
        <w:pStyle w:val="5"/>
        <w:rPr>
          <w:lang w:eastAsia="zh-CN"/>
        </w:rPr>
      </w:pPr>
      <w:bookmarkStart w:id="1962" w:name="_Toc94064175"/>
      <w:bookmarkStart w:id="1963" w:name="_Toc114133721"/>
      <w:bookmarkStart w:id="1964" w:name="_Toc120702221"/>
      <w:bookmarkStart w:id="1965" w:name="_Toc148522493"/>
      <w:bookmarkStart w:id="1966" w:name="_Toc112951042"/>
      <w:bookmarkStart w:id="1967" w:name="_Toc104538920"/>
      <w:bookmarkStart w:id="1968" w:name="_Toc136562268"/>
      <w:bookmarkStart w:id="1969" w:name="_Toc113031582"/>
      <w:bookmarkStart w:id="1970" w:name="_Toc138754102"/>
      <w:bookmarkStart w:id="1971" w:name="_Toc145705589"/>
      <w:bookmarkStart w:id="1972" w:name="_Toc98233555"/>
      <w:bookmarkStart w:id="1973" w:name="_Toc101244331"/>
      <w:bookmarkStart w:id="1974" w:name="_Toc164920617"/>
      <w:bookmarkStart w:id="1975" w:name="_Toc170120159"/>
      <w:bookmarkStart w:id="1976" w:name="_Toc175858404"/>
      <w:bookmarkStart w:id="1977" w:name="_Toc175859477"/>
      <w:bookmarkStart w:id="1978" w:name="_Toc180605767"/>
      <w:bookmarkStart w:id="1979" w:name="_Toc185517021"/>
      <w:bookmarkStart w:id="1980" w:name="_Toc191576072"/>
      <w:bookmarkStart w:id="1981" w:name="_Toc191576812"/>
      <w:bookmarkStart w:id="1982" w:name="_Toc192879882"/>
      <w:bookmarkStart w:id="1983" w:name="_Toc195814765"/>
      <w:bookmarkStart w:id="1984" w:name="_Toc199452712"/>
      <w:r>
        <w:t>4.4.</w:t>
      </w:r>
      <w:r>
        <w:rPr>
          <w:lang w:eastAsia="zh-CN"/>
        </w:rPr>
        <w:t>1.3.1</w:t>
      </w:r>
      <w:r>
        <w:tab/>
      </w:r>
      <w:r>
        <w:rPr>
          <w:lang w:val="en-US" w:eastAsia="zh-CN"/>
        </w:rPr>
        <w:t>Network Data Analytics Function (NWDAF)</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5A592166" w14:textId="77777777" w:rsidR="00A10B25" w:rsidRDefault="00A10B25">
      <w:r>
        <w:t>The Network Data Analytics Function (NWDAF) provides requested data to NF consumers.</w:t>
      </w:r>
    </w:p>
    <w:p w14:paraId="2863284A" w14:textId="77777777" w:rsidR="00A10B25" w:rsidRDefault="00A10B25">
      <w:r>
        <w:t>The Network Data Analytics Function (NWDAF) allows NF consumers to subcribe to and unsubscribe from the notification of detected event(s).</w:t>
      </w:r>
    </w:p>
    <w:p w14:paraId="7F0D5760" w14:textId="77777777" w:rsidR="00A10B25" w:rsidRDefault="00A10B25">
      <w:r>
        <w:t>The Network Data Analytics Function (NWDAF) allows NF consumers to retrieve data that was collected based on their subscriptions.</w:t>
      </w:r>
    </w:p>
    <w:p w14:paraId="3DDDFC6E" w14:textId="77777777" w:rsidR="003E1F9F" w:rsidRDefault="003E1F9F" w:rsidP="003E1F9F">
      <w:pPr>
        <w:pStyle w:val="5"/>
        <w:rPr>
          <w:lang w:eastAsia="zh-CN"/>
        </w:rPr>
      </w:pPr>
      <w:bookmarkStart w:id="1985" w:name="_Toc85552908"/>
      <w:bookmarkStart w:id="1986" w:name="_Toc94064177"/>
      <w:bookmarkStart w:id="1987" w:name="_Toc70550574"/>
      <w:bookmarkStart w:id="1988" w:name="_Toc88667509"/>
      <w:bookmarkStart w:id="1989" w:name="_Toc136562270"/>
      <w:bookmarkStart w:id="1990" w:name="_Toc85557007"/>
      <w:bookmarkStart w:id="1991" w:name="_Toc113031584"/>
      <w:bookmarkStart w:id="1992" w:name="_Toc90655794"/>
      <w:bookmarkStart w:id="1993" w:name="_Toc114133723"/>
      <w:bookmarkStart w:id="1994" w:name="_Toc120702223"/>
      <w:bookmarkStart w:id="1995" w:name="_Toc104538922"/>
      <w:bookmarkStart w:id="1996" w:name="_Toc112951044"/>
      <w:bookmarkStart w:id="1997" w:name="_Toc98233557"/>
      <w:bookmarkStart w:id="1998" w:name="_Toc138754104"/>
      <w:bookmarkStart w:id="1999" w:name="_Toc145705591"/>
      <w:bookmarkStart w:id="2000" w:name="_Toc101244333"/>
      <w:bookmarkStart w:id="2001" w:name="_Toc148522495"/>
      <w:bookmarkStart w:id="2002" w:name="_Toc83233011"/>
      <w:bookmarkStart w:id="2003" w:name="_Toc145705590"/>
      <w:bookmarkStart w:id="2004" w:name="_Toc148522494"/>
      <w:bookmarkStart w:id="2005" w:name="_Toc112951043"/>
      <w:bookmarkStart w:id="2006" w:name="_Toc104538921"/>
      <w:bookmarkStart w:id="2007" w:name="_Toc101244332"/>
      <w:bookmarkStart w:id="2008" w:name="_Toc120702222"/>
      <w:bookmarkStart w:id="2009" w:name="_Toc98233556"/>
      <w:bookmarkStart w:id="2010" w:name="_Toc138754103"/>
      <w:bookmarkStart w:id="2011" w:name="_Toc94064176"/>
      <w:bookmarkStart w:id="2012" w:name="_Toc136562269"/>
      <w:bookmarkStart w:id="2013" w:name="_Toc114133722"/>
      <w:bookmarkStart w:id="2014" w:name="_Toc113031583"/>
      <w:bookmarkStart w:id="2015" w:name="_Toc164920618"/>
      <w:bookmarkStart w:id="2016" w:name="_Toc170120160"/>
      <w:bookmarkStart w:id="2017" w:name="_Toc175858405"/>
      <w:bookmarkStart w:id="2018" w:name="_Toc175859478"/>
      <w:bookmarkStart w:id="2019" w:name="_Toc180605768"/>
      <w:bookmarkStart w:id="2020" w:name="_Toc185517022"/>
      <w:bookmarkStart w:id="2021" w:name="_Toc191576073"/>
      <w:bookmarkStart w:id="2022" w:name="_Toc191576813"/>
      <w:bookmarkStart w:id="2023" w:name="_Toc192879883"/>
      <w:bookmarkStart w:id="2024" w:name="_Toc195814766"/>
      <w:bookmarkStart w:id="2025" w:name="_Toc199452713"/>
      <w:r>
        <w:t>4.4.</w:t>
      </w:r>
      <w:r>
        <w:rPr>
          <w:lang w:eastAsia="zh-CN"/>
        </w:rPr>
        <w:t>1.3.2</w:t>
      </w:r>
      <w:r>
        <w:tab/>
      </w:r>
      <w:r>
        <w:rPr>
          <w:lang w:eastAsia="zh-CN"/>
        </w:rPr>
        <w:t>NF Service Consumers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0829D9DC" w14:textId="77777777" w:rsidR="003E1F9F" w:rsidRDefault="003E1F9F" w:rsidP="003E1F9F">
      <w:r>
        <w:t>The Network Data Analytics Function (NWDAF):</w:t>
      </w:r>
    </w:p>
    <w:p w14:paraId="489794DA" w14:textId="77777777" w:rsidR="003E1F9F" w:rsidRDefault="003E1F9F" w:rsidP="003E1F9F">
      <w:pPr>
        <w:pStyle w:val="B1"/>
      </w:pPr>
      <w:r>
        <w:t>-</w:t>
      </w:r>
      <w:r>
        <w:tab/>
        <w:t>supports (un)subscription to the notification of data exposed by the NWDAF;</w:t>
      </w:r>
    </w:p>
    <w:p w14:paraId="7A36576B" w14:textId="77777777" w:rsidR="003E1F9F" w:rsidRDefault="003E1F9F" w:rsidP="003E1F9F">
      <w:pPr>
        <w:pStyle w:val="B1"/>
        <w:rPr>
          <w:lang w:eastAsia="zh-CN"/>
        </w:rPr>
      </w:pPr>
      <w:r>
        <w:rPr>
          <w:rFonts w:hint="eastAsia"/>
          <w:lang w:eastAsia="zh-CN"/>
        </w:rPr>
        <w:t>-</w:t>
      </w:r>
      <w:r>
        <w:rPr>
          <w:lang w:eastAsia="zh-CN"/>
        </w:rPr>
        <w:tab/>
        <w:t>supports retrieving data from the NWDAF.</w:t>
      </w:r>
    </w:p>
    <w:p w14:paraId="11C4971D" w14:textId="77777777" w:rsidR="003E1F9F" w:rsidRDefault="003E1F9F" w:rsidP="003E1F9F">
      <w:r>
        <w:t>The Data Collection Coordination Function (DCCF):</w:t>
      </w:r>
    </w:p>
    <w:p w14:paraId="3DE5F519" w14:textId="77777777" w:rsidR="003E1F9F" w:rsidRDefault="003E1F9F" w:rsidP="003E1F9F">
      <w:pPr>
        <w:pStyle w:val="B1"/>
      </w:pPr>
      <w:r>
        <w:t>-</w:t>
      </w:r>
      <w:r>
        <w:tab/>
        <w:t>supports (un)subscription to the notification of data exposed by the NWDAF;</w:t>
      </w:r>
    </w:p>
    <w:p w14:paraId="39F89773" w14:textId="77777777" w:rsidR="003E1F9F" w:rsidRDefault="003E1F9F" w:rsidP="003E1F9F">
      <w:pPr>
        <w:pStyle w:val="B1"/>
        <w:rPr>
          <w:lang w:eastAsia="zh-CN"/>
        </w:rPr>
      </w:pPr>
      <w:r>
        <w:rPr>
          <w:lang w:eastAsia="zh-CN"/>
        </w:rPr>
        <w:t>-</w:t>
      </w:r>
      <w:r>
        <w:rPr>
          <w:lang w:eastAsia="zh-CN"/>
        </w:rPr>
        <w:tab/>
        <w:t>supports retrieving data from the NWDAF.</w:t>
      </w:r>
    </w:p>
    <w:p w14:paraId="10D6E8AD" w14:textId="77777777" w:rsidR="003E1F9F" w:rsidRDefault="003E1F9F" w:rsidP="003E1F9F">
      <w:r>
        <w:t>The Messaging Framework Adaptor Function (MFAF):</w:t>
      </w:r>
    </w:p>
    <w:p w14:paraId="1FA8FCC8" w14:textId="77777777" w:rsidR="003E1F9F" w:rsidRDefault="003E1F9F" w:rsidP="003E1F9F">
      <w:pPr>
        <w:pStyle w:val="B1"/>
      </w:pPr>
      <w:r>
        <w:t>-</w:t>
      </w:r>
      <w:r>
        <w:tab/>
        <w:t>supports receiving notifications of data provided by the NWDAF;</w:t>
      </w:r>
    </w:p>
    <w:p w14:paraId="30F64685" w14:textId="77777777" w:rsidR="003E1F9F" w:rsidRDefault="003E1F9F" w:rsidP="003E1F9F">
      <w:pPr>
        <w:pStyle w:val="B1"/>
        <w:rPr>
          <w:lang w:eastAsia="zh-CN"/>
        </w:rPr>
      </w:pPr>
      <w:r>
        <w:rPr>
          <w:lang w:eastAsia="zh-CN"/>
        </w:rPr>
        <w:t>-</w:t>
      </w:r>
      <w:r>
        <w:rPr>
          <w:lang w:eastAsia="zh-CN"/>
        </w:rPr>
        <w:tab/>
        <w:t>supports retrieving data from the NWDAF.</w:t>
      </w:r>
    </w:p>
    <w:p w14:paraId="72FC2931" w14:textId="77777777" w:rsidR="003E1F9F" w:rsidRDefault="003E1F9F" w:rsidP="003E1F9F">
      <w:r>
        <w:t>The Analytics Data Repository Function (ADRF):</w:t>
      </w:r>
    </w:p>
    <w:p w14:paraId="4EC52493" w14:textId="77777777" w:rsidR="003E1F9F" w:rsidRDefault="003E1F9F" w:rsidP="003E1F9F">
      <w:pPr>
        <w:pStyle w:val="B1"/>
      </w:pPr>
      <w:r>
        <w:t>-</w:t>
      </w:r>
      <w:r>
        <w:tab/>
        <w:t>supports receiving notifications of data provided by the NWDAF.</w:t>
      </w:r>
    </w:p>
    <w:p w14:paraId="7C190B44" w14:textId="77777777" w:rsidR="003E1F9F" w:rsidRDefault="003E1F9F" w:rsidP="003E1F9F">
      <w:pPr>
        <w:pStyle w:val="B1"/>
        <w:rPr>
          <w:lang w:val="en-US"/>
        </w:rPr>
      </w:pPr>
      <w:r>
        <w:t>-</w:t>
      </w:r>
      <w:r>
        <w:tab/>
      </w:r>
      <w:r>
        <w:rPr>
          <w:lang w:eastAsia="zh-CN"/>
        </w:rPr>
        <w:t>supports retrieving data from the NWDAF.</w:t>
      </w:r>
    </w:p>
    <w:p w14:paraId="67D2372C" w14:textId="77777777" w:rsidR="00A10B25" w:rsidRDefault="00A10B25">
      <w:pPr>
        <w:pStyle w:val="3"/>
      </w:pPr>
      <w:bookmarkStart w:id="2026" w:name="_Toc164920619"/>
      <w:bookmarkStart w:id="2027" w:name="_Toc170120161"/>
      <w:bookmarkStart w:id="2028" w:name="_Toc175858406"/>
      <w:bookmarkStart w:id="2029" w:name="_Toc175859479"/>
      <w:bookmarkStart w:id="2030" w:name="_Toc180605769"/>
      <w:bookmarkStart w:id="2031" w:name="_Toc185517023"/>
      <w:bookmarkStart w:id="2032" w:name="_Toc191576074"/>
      <w:bookmarkStart w:id="2033" w:name="_Toc191576814"/>
      <w:bookmarkStart w:id="2034" w:name="_Toc192879884"/>
      <w:bookmarkStart w:id="2035" w:name="_Toc195814767"/>
      <w:bookmarkStart w:id="2036" w:name="_Toc199452714"/>
      <w:r>
        <w:t>4.4.2</w:t>
      </w:r>
      <w:r>
        <w:tab/>
        <w:t>Service Operations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26"/>
      <w:bookmarkEnd w:id="2027"/>
      <w:bookmarkEnd w:id="2028"/>
      <w:bookmarkEnd w:id="2029"/>
      <w:bookmarkEnd w:id="2030"/>
      <w:bookmarkEnd w:id="2031"/>
      <w:bookmarkEnd w:id="2032"/>
      <w:bookmarkEnd w:id="2033"/>
      <w:bookmarkEnd w:id="2034"/>
      <w:bookmarkEnd w:id="2035"/>
      <w:bookmarkEnd w:id="2036"/>
    </w:p>
    <w:p w14:paraId="069B7C6A" w14:textId="77777777" w:rsidR="00A10B25" w:rsidRDefault="00A10B25">
      <w:pPr>
        <w:pStyle w:val="4"/>
        <w:rPr>
          <w:lang w:eastAsia="zh-CN"/>
        </w:rPr>
      </w:pPr>
      <w:bookmarkStart w:id="2037" w:name="_Toc114133724"/>
      <w:bookmarkStart w:id="2038" w:name="_Toc88667510"/>
      <w:bookmarkStart w:id="2039" w:name="_Toc104538923"/>
      <w:bookmarkStart w:id="2040" w:name="_Toc120702224"/>
      <w:bookmarkStart w:id="2041" w:name="_Toc85552909"/>
      <w:bookmarkStart w:id="2042" w:name="_Toc94064178"/>
      <w:bookmarkStart w:id="2043" w:name="_Toc83233012"/>
      <w:bookmarkStart w:id="2044" w:name="_Toc85557008"/>
      <w:bookmarkStart w:id="2045" w:name="_Toc112951045"/>
      <w:bookmarkStart w:id="2046" w:name="_Toc70550575"/>
      <w:bookmarkStart w:id="2047" w:name="_Toc90655795"/>
      <w:bookmarkStart w:id="2048" w:name="_Toc101244334"/>
      <w:bookmarkStart w:id="2049" w:name="_Toc136562271"/>
      <w:bookmarkStart w:id="2050" w:name="_Toc148522496"/>
      <w:bookmarkStart w:id="2051" w:name="_Toc145705592"/>
      <w:bookmarkStart w:id="2052" w:name="_Toc138754105"/>
      <w:bookmarkStart w:id="2053" w:name="_Toc98233558"/>
      <w:bookmarkStart w:id="2054" w:name="_Toc113031585"/>
      <w:bookmarkStart w:id="2055" w:name="_Toc164920620"/>
      <w:bookmarkStart w:id="2056" w:name="_Toc170120162"/>
      <w:bookmarkStart w:id="2057" w:name="_Toc175858407"/>
      <w:bookmarkStart w:id="2058" w:name="_Toc175859480"/>
      <w:bookmarkStart w:id="2059" w:name="_Toc180605770"/>
      <w:bookmarkStart w:id="2060" w:name="_Toc185517024"/>
      <w:bookmarkStart w:id="2061" w:name="_Toc191576075"/>
      <w:bookmarkStart w:id="2062" w:name="_Toc191576815"/>
      <w:bookmarkStart w:id="2063" w:name="_Toc192879885"/>
      <w:bookmarkStart w:id="2064" w:name="_Toc195814768"/>
      <w:bookmarkStart w:id="2065" w:name="_Toc199452715"/>
      <w:r>
        <w:t>4.4.2.1</w:t>
      </w:r>
      <w:r>
        <w:tab/>
        <w:t>Introduction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1600916D"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4.4.2.1-1: Operations of the </w:t>
      </w:r>
      <w:r>
        <w:rPr>
          <w:rFonts w:hint="eastAsia"/>
          <w:lang w:eastAsia="zh-CN"/>
        </w:rPr>
        <w:t>N</w:t>
      </w:r>
      <w:r>
        <w:rPr>
          <w:lang w:eastAsia="zh-CN"/>
        </w:rPr>
        <w:t>nwdaf_</w:t>
      </w:r>
      <w:r>
        <w:rPr>
          <w:lang w:eastAsia="ja-JP"/>
        </w:rPr>
        <w:t>DataManagement</w:t>
      </w:r>
      <w:r>
        <w:rPr>
          <w:rFonts w:eastAsia="MS Mincho"/>
        </w:rPr>
        <w:t xml:space="preserve"> Service</w:t>
      </w:r>
    </w:p>
    <w:tbl>
      <w:tblPr>
        <w:tblW w:w="9613" w:type="dxa"/>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7CAB04E1" w14:textId="77777777">
        <w:trPr>
          <w:cantSplit/>
          <w:tblHeader/>
        </w:trPr>
        <w:tc>
          <w:tcPr>
            <w:tcW w:w="3397" w:type="dxa"/>
            <w:shd w:val="clear" w:color="000000" w:fill="C0C0C0"/>
          </w:tcPr>
          <w:p w14:paraId="2ED7CECD" w14:textId="77777777" w:rsidR="00A10B25" w:rsidRDefault="00A10B25">
            <w:pPr>
              <w:pStyle w:val="TAH"/>
            </w:pPr>
            <w:r>
              <w:t>Service operation name</w:t>
            </w:r>
          </w:p>
        </w:tc>
        <w:tc>
          <w:tcPr>
            <w:tcW w:w="4231" w:type="dxa"/>
            <w:shd w:val="clear" w:color="000000" w:fill="C0C0C0"/>
          </w:tcPr>
          <w:p w14:paraId="28255DE6" w14:textId="77777777" w:rsidR="00A10B25" w:rsidRDefault="00A10B25">
            <w:pPr>
              <w:pStyle w:val="TAH"/>
            </w:pPr>
            <w:r>
              <w:t>Description</w:t>
            </w:r>
          </w:p>
        </w:tc>
        <w:tc>
          <w:tcPr>
            <w:tcW w:w="1985" w:type="dxa"/>
            <w:shd w:val="clear" w:color="000000" w:fill="C0C0C0"/>
          </w:tcPr>
          <w:p w14:paraId="3C9008B6" w14:textId="77777777" w:rsidR="00A10B25" w:rsidRDefault="00A10B25">
            <w:pPr>
              <w:pStyle w:val="TAH"/>
            </w:pPr>
            <w:r>
              <w:t>Initiated by</w:t>
            </w:r>
          </w:p>
        </w:tc>
      </w:tr>
      <w:tr w:rsidR="00A10B25" w14:paraId="07CD4C7C" w14:textId="77777777">
        <w:trPr>
          <w:cantSplit/>
        </w:trPr>
        <w:tc>
          <w:tcPr>
            <w:tcW w:w="3397" w:type="dxa"/>
          </w:tcPr>
          <w:p w14:paraId="47E738FA" w14:textId="77777777" w:rsidR="00A10B25" w:rsidRDefault="00A10B25">
            <w:pPr>
              <w:rPr>
                <w:rFonts w:ascii="Arial" w:hAnsi="Arial"/>
                <w:sz w:val="18"/>
              </w:rPr>
            </w:pPr>
            <w:r>
              <w:rPr>
                <w:rFonts w:ascii="Arial" w:hAnsi="Arial" w:hint="eastAsia"/>
                <w:sz w:val="18"/>
              </w:rPr>
              <w:t>N</w:t>
            </w:r>
            <w:r>
              <w:rPr>
                <w:rFonts w:ascii="Arial" w:hAnsi="Arial"/>
                <w:sz w:val="18"/>
              </w:rPr>
              <w:t>nwdaf_DataManagement_Subscribe</w:t>
            </w:r>
          </w:p>
        </w:tc>
        <w:tc>
          <w:tcPr>
            <w:tcW w:w="4231" w:type="dxa"/>
          </w:tcPr>
          <w:p w14:paraId="0C81B7CC" w14:textId="77777777" w:rsidR="00A10B25" w:rsidRDefault="00A10B25">
            <w:pPr>
              <w:pStyle w:val="TAL"/>
            </w:pPr>
            <w:r>
              <w:t>This service operation is used by an NF service consumer to subscribe to data management related event(s) from NWDAF.</w:t>
            </w:r>
          </w:p>
        </w:tc>
        <w:tc>
          <w:tcPr>
            <w:tcW w:w="1985" w:type="dxa"/>
          </w:tcPr>
          <w:p w14:paraId="6774D2F1" w14:textId="77777777" w:rsidR="00A10B25" w:rsidRDefault="00A10B25">
            <w:pPr>
              <w:pStyle w:val="TAL"/>
            </w:pPr>
            <w:r>
              <w:t>NF service consumer (NWDAF, DCCF, MFAF, ADRF)</w:t>
            </w:r>
          </w:p>
        </w:tc>
      </w:tr>
      <w:tr w:rsidR="00A10B25" w14:paraId="27B26FF4" w14:textId="77777777">
        <w:trPr>
          <w:cantSplit/>
        </w:trPr>
        <w:tc>
          <w:tcPr>
            <w:tcW w:w="3397" w:type="dxa"/>
          </w:tcPr>
          <w:p w14:paraId="69FBD7DC" w14:textId="77777777" w:rsidR="00A10B25" w:rsidRDefault="00A10B25">
            <w:pPr>
              <w:rPr>
                <w:rFonts w:ascii="Arial" w:hAnsi="Arial"/>
                <w:sz w:val="18"/>
              </w:rPr>
            </w:pPr>
            <w:r>
              <w:rPr>
                <w:rFonts w:ascii="Arial" w:hAnsi="Arial"/>
                <w:sz w:val="18"/>
              </w:rPr>
              <w:t>Nnwdaf_DataManagement_Unsubscribe</w:t>
            </w:r>
          </w:p>
        </w:tc>
        <w:tc>
          <w:tcPr>
            <w:tcW w:w="4231" w:type="dxa"/>
          </w:tcPr>
          <w:p w14:paraId="7D94F034" w14:textId="77777777" w:rsidR="00A10B25" w:rsidRDefault="00A10B25">
            <w:pPr>
              <w:pStyle w:val="TAL"/>
            </w:pPr>
            <w:r>
              <w:t>This service operation is used by an NF service consumer to unsubscribe to data management related event(s).</w:t>
            </w:r>
          </w:p>
        </w:tc>
        <w:tc>
          <w:tcPr>
            <w:tcW w:w="1985" w:type="dxa"/>
          </w:tcPr>
          <w:p w14:paraId="55D00090" w14:textId="77777777" w:rsidR="00A10B25" w:rsidRDefault="00A10B25">
            <w:pPr>
              <w:pStyle w:val="TAL"/>
            </w:pPr>
            <w:r>
              <w:t>NF service consumer (NWDAF, DCCF, MFAF, ADRF)</w:t>
            </w:r>
          </w:p>
        </w:tc>
      </w:tr>
      <w:tr w:rsidR="00A10B25" w14:paraId="72C61E64" w14:textId="77777777">
        <w:trPr>
          <w:cantSplit/>
        </w:trPr>
        <w:tc>
          <w:tcPr>
            <w:tcW w:w="3397" w:type="dxa"/>
          </w:tcPr>
          <w:p w14:paraId="037D9CBD" w14:textId="77777777" w:rsidR="00A10B25" w:rsidRDefault="00A10B25">
            <w:pPr>
              <w:rPr>
                <w:rFonts w:ascii="Arial" w:hAnsi="Arial"/>
                <w:sz w:val="18"/>
              </w:rPr>
            </w:pPr>
            <w:r>
              <w:rPr>
                <w:rFonts w:ascii="Arial" w:hAnsi="Arial"/>
                <w:sz w:val="18"/>
              </w:rPr>
              <w:t>Nnwdaf_DataManagement_Notify</w:t>
            </w:r>
          </w:p>
        </w:tc>
        <w:tc>
          <w:tcPr>
            <w:tcW w:w="4231" w:type="dxa"/>
          </w:tcPr>
          <w:p w14:paraId="04F2C1E0" w14:textId="77777777" w:rsidR="00A10B25" w:rsidRDefault="00A10B25">
            <w:pPr>
              <w:pStyle w:val="TAL"/>
            </w:pPr>
            <w:r>
              <w:t xml:space="preserve">This service operation is used by the NWDAF to </w:t>
            </w:r>
            <w:r>
              <w:rPr>
                <w:lang w:eastAsia="ja-JP"/>
              </w:rPr>
              <w:t>notify the detected event(s) to the NF service consumer instance which has subscribed to</w:t>
            </w:r>
            <w:r>
              <w:t>.</w:t>
            </w:r>
          </w:p>
        </w:tc>
        <w:tc>
          <w:tcPr>
            <w:tcW w:w="1985" w:type="dxa"/>
          </w:tcPr>
          <w:p w14:paraId="70045F3A" w14:textId="77777777" w:rsidR="00A10B25" w:rsidRDefault="00A10B25">
            <w:pPr>
              <w:pStyle w:val="TAL"/>
            </w:pPr>
            <w:r>
              <w:t>NWDAF</w:t>
            </w:r>
          </w:p>
        </w:tc>
      </w:tr>
      <w:tr w:rsidR="00AC4D38" w14:paraId="310A3832" w14:textId="77777777">
        <w:trPr>
          <w:cantSplit/>
        </w:trPr>
        <w:tc>
          <w:tcPr>
            <w:tcW w:w="3397" w:type="dxa"/>
          </w:tcPr>
          <w:p w14:paraId="3588D8F1" w14:textId="77777777" w:rsidR="00AC4D38" w:rsidRDefault="00AC4D38" w:rsidP="00AC4D38">
            <w:pPr>
              <w:rPr>
                <w:rFonts w:ascii="Arial" w:hAnsi="Arial"/>
                <w:sz w:val="18"/>
              </w:rPr>
            </w:pPr>
            <w:r>
              <w:rPr>
                <w:rFonts w:ascii="Arial" w:hAnsi="Arial"/>
                <w:sz w:val="18"/>
              </w:rPr>
              <w:t>Nnwdaf_DataManagement_Fetch</w:t>
            </w:r>
          </w:p>
        </w:tc>
        <w:tc>
          <w:tcPr>
            <w:tcW w:w="4231" w:type="dxa"/>
          </w:tcPr>
          <w:p w14:paraId="5DF75DB5" w14:textId="77777777" w:rsidR="00AC4D38" w:rsidRDefault="00AC4D38" w:rsidP="00AC4D38">
            <w:pPr>
              <w:pStyle w:val="TAL"/>
            </w:pPr>
            <w:r>
              <w:t xml:space="preserve">This service operation is used by an NF service consumer to </w:t>
            </w:r>
            <w:r>
              <w:rPr>
                <w:lang w:eastAsia="ja-JP"/>
              </w:rPr>
              <w:t>retrieve the subscribed data.</w:t>
            </w:r>
          </w:p>
        </w:tc>
        <w:tc>
          <w:tcPr>
            <w:tcW w:w="1985" w:type="dxa"/>
          </w:tcPr>
          <w:p w14:paraId="75D2BF85" w14:textId="77777777" w:rsidR="00AC4D38" w:rsidRDefault="00AC4D38" w:rsidP="00AC4D38">
            <w:pPr>
              <w:pStyle w:val="TAL"/>
            </w:pPr>
            <w:r>
              <w:t>NF service consumer (NWDAF, DCCF, MFAF, ADRF)</w:t>
            </w:r>
          </w:p>
        </w:tc>
      </w:tr>
    </w:tbl>
    <w:p w14:paraId="701A98C6" w14:textId="77777777" w:rsidR="00A10B25" w:rsidRDefault="00A10B25"/>
    <w:p w14:paraId="4763D020" w14:textId="77777777" w:rsidR="00A10B25" w:rsidRDefault="00A10B25">
      <w:pPr>
        <w:pStyle w:val="4"/>
      </w:pPr>
      <w:bookmarkStart w:id="2066" w:name="_Toc112951046"/>
      <w:bookmarkStart w:id="2067" w:name="_Toc104538924"/>
      <w:bookmarkStart w:id="2068" w:name="_Toc85552910"/>
      <w:bookmarkStart w:id="2069" w:name="_Toc85557009"/>
      <w:bookmarkStart w:id="2070" w:name="_Toc88667511"/>
      <w:bookmarkStart w:id="2071" w:name="_Toc113031586"/>
      <w:bookmarkStart w:id="2072" w:name="_Toc90655796"/>
      <w:bookmarkStart w:id="2073" w:name="_Toc138754106"/>
      <w:bookmarkStart w:id="2074" w:name="_Toc70550576"/>
      <w:bookmarkStart w:id="2075" w:name="_Toc83233013"/>
      <w:bookmarkStart w:id="2076" w:name="_Toc120702225"/>
      <w:bookmarkStart w:id="2077" w:name="_Toc114133725"/>
      <w:bookmarkStart w:id="2078" w:name="_Toc145705593"/>
      <w:bookmarkStart w:id="2079" w:name="_Toc148522497"/>
      <w:bookmarkStart w:id="2080" w:name="_Toc136562272"/>
      <w:bookmarkStart w:id="2081" w:name="_Toc101244335"/>
      <w:bookmarkStart w:id="2082" w:name="_Toc94064179"/>
      <w:bookmarkStart w:id="2083" w:name="_Toc98233559"/>
      <w:bookmarkStart w:id="2084" w:name="_Toc164920621"/>
      <w:bookmarkStart w:id="2085" w:name="_Toc170120163"/>
      <w:bookmarkStart w:id="2086" w:name="_Toc175858408"/>
      <w:bookmarkStart w:id="2087" w:name="_Toc175859481"/>
      <w:bookmarkStart w:id="2088" w:name="_Toc180605771"/>
      <w:bookmarkStart w:id="2089" w:name="_Toc185517025"/>
      <w:bookmarkStart w:id="2090" w:name="_Toc191576076"/>
      <w:bookmarkStart w:id="2091" w:name="_Toc191576816"/>
      <w:bookmarkStart w:id="2092" w:name="_Toc192879886"/>
      <w:bookmarkStart w:id="2093" w:name="_Toc195814769"/>
      <w:bookmarkStart w:id="2094" w:name="_Toc199452716"/>
      <w:r>
        <w:t>4.4.2.2</w:t>
      </w:r>
      <w:r>
        <w:tab/>
      </w:r>
      <w:r>
        <w:rPr>
          <w:rFonts w:hint="eastAsia"/>
          <w:lang w:eastAsia="zh-CN"/>
        </w:rPr>
        <w:t>N</w:t>
      </w:r>
      <w:r>
        <w:rPr>
          <w:lang w:eastAsia="zh-CN"/>
        </w:rPr>
        <w:t>nwdaf_</w:t>
      </w:r>
      <w:r>
        <w:rPr>
          <w:lang w:eastAsia="ja-JP"/>
        </w:rPr>
        <w:t>DataManagement_Subscribe</w:t>
      </w:r>
      <w:r>
        <w:t xml:space="preserve"> service operation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5B34408D" w14:textId="77777777" w:rsidR="003E1F9F" w:rsidRDefault="003E1F9F" w:rsidP="003E1F9F">
      <w:pPr>
        <w:pStyle w:val="5"/>
      </w:pPr>
      <w:bookmarkStart w:id="2095" w:name="_Toc136562274"/>
      <w:bookmarkStart w:id="2096" w:name="_Toc112951048"/>
      <w:bookmarkStart w:id="2097" w:name="_Toc98233561"/>
      <w:bookmarkStart w:id="2098" w:name="_Toc113031588"/>
      <w:bookmarkStart w:id="2099" w:name="_Toc120702227"/>
      <w:bookmarkStart w:id="2100" w:name="_Toc145705595"/>
      <w:bookmarkStart w:id="2101" w:name="_Toc114133727"/>
      <w:bookmarkStart w:id="2102" w:name="_Toc104538926"/>
      <w:bookmarkStart w:id="2103" w:name="_Toc138754108"/>
      <w:bookmarkStart w:id="2104" w:name="_Toc101244337"/>
      <w:bookmarkStart w:id="2105" w:name="_Toc148522499"/>
      <w:bookmarkStart w:id="2106" w:name="_Hlk160735026"/>
      <w:bookmarkStart w:id="2107" w:name="_Toc164920622"/>
      <w:bookmarkStart w:id="2108" w:name="_Toc170120164"/>
      <w:bookmarkStart w:id="2109" w:name="_Toc175858409"/>
      <w:bookmarkStart w:id="2110" w:name="_Toc175859482"/>
      <w:bookmarkStart w:id="2111" w:name="_Toc180605772"/>
      <w:bookmarkStart w:id="2112" w:name="_Toc185517026"/>
      <w:bookmarkStart w:id="2113" w:name="_Toc191576077"/>
      <w:bookmarkStart w:id="2114" w:name="_Toc191576817"/>
      <w:bookmarkStart w:id="2115" w:name="_Toc192879887"/>
      <w:bookmarkStart w:id="2116" w:name="_Toc195814770"/>
      <w:bookmarkStart w:id="2117" w:name="_Toc199452717"/>
      <w:r>
        <w:t>4.4.2.2.1</w:t>
      </w:r>
      <w:r>
        <w:tab/>
        <w:t>General</w:t>
      </w:r>
      <w:bookmarkEnd w:id="2107"/>
      <w:bookmarkEnd w:id="2108"/>
      <w:bookmarkEnd w:id="2109"/>
      <w:bookmarkEnd w:id="2110"/>
      <w:bookmarkEnd w:id="2111"/>
      <w:bookmarkEnd w:id="2112"/>
      <w:bookmarkEnd w:id="2113"/>
      <w:bookmarkEnd w:id="2114"/>
      <w:bookmarkEnd w:id="2115"/>
      <w:bookmarkEnd w:id="2116"/>
      <w:bookmarkEnd w:id="2117"/>
    </w:p>
    <w:p w14:paraId="7E9D54C2" w14:textId="77777777" w:rsidR="003E1F9F" w:rsidRDefault="003E1F9F" w:rsidP="003E1F9F">
      <w:r>
        <w:rPr>
          <w:lang w:eastAsia="zh-CN"/>
        </w:rPr>
        <w:t>The Nnwdaf_DataManagement_Subscribe service operation is used by an NF service consumer to create or update a subscription for data notifications from the NWDAF.</w:t>
      </w:r>
    </w:p>
    <w:p w14:paraId="74C99A1F" w14:textId="77777777" w:rsidR="003E1F9F" w:rsidRPr="005D2CF1" w:rsidRDefault="003E1F9F" w:rsidP="003E1F9F">
      <w:pPr>
        <w:pStyle w:val="NO"/>
      </w:pPr>
      <w:r>
        <w:lastRenderedPageBreak/>
        <w:t>NOTE</w:t>
      </w:r>
      <w:r w:rsidRPr="005D2CF1">
        <w:t>:</w:t>
      </w:r>
      <w:r w:rsidRPr="005D2CF1">
        <w:tab/>
      </w:r>
      <w:r>
        <w:t>If the data is to be collected for a user, i.e. SUPI or GPSI, t</w:t>
      </w:r>
      <w:r w:rsidRPr="005D2CF1">
        <w:t>he</w:t>
      </w:r>
      <w:r>
        <w:t xml:space="preserve"> consumer needs to check the user consent by retrieving the user consent information from the UDM as described in clause 5.5 of 3GPP TS 29.552 [25]</w:t>
      </w:r>
      <w:r w:rsidRPr="00BD6631">
        <w:t xml:space="preserve"> </w:t>
      </w:r>
      <w:r>
        <w:t>before invoking this service operation</w:t>
      </w:r>
      <w:r w:rsidRPr="005D2CF1">
        <w:t>.</w:t>
      </w:r>
    </w:p>
    <w:p w14:paraId="752A9D01" w14:textId="77777777" w:rsidR="00A10B25" w:rsidRDefault="00A10B25">
      <w:pPr>
        <w:pStyle w:val="5"/>
      </w:pPr>
      <w:bookmarkStart w:id="2118" w:name="_Toc164920623"/>
      <w:bookmarkStart w:id="2119" w:name="_Toc170120165"/>
      <w:bookmarkStart w:id="2120" w:name="_Toc175858410"/>
      <w:bookmarkStart w:id="2121" w:name="_Toc175859483"/>
      <w:bookmarkStart w:id="2122" w:name="_Toc180605773"/>
      <w:bookmarkStart w:id="2123" w:name="_Toc185517027"/>
      <w:bookmarkStart w:id="2124" w:name="_Toc191576078"/>
      <w:bookmarkStart w:id="2125" w:name="_Toc191576818"/>
      <w:bookmarkStart w:id="2126" w:name="_Toc192879888"/>
      <w:bookmarkStart w:id="2127" w:name="_Toc195814771"/>
      <w:bookmarkStart w:id="2128" w:name="_Toc199452718"/>
      <w:bookmarkEnd w:id="2106"/>
      <w:r>
        <w:t>4.4.2.2.2</w:t>
      </w:r>
      <w:r>
        <w:tab/>
        <w:t>Subscription for data notifications</w:t>
      </w:r>
      <w:bookmarkEnd w:id="2095"/>
      <w:bookmarkEnd w:id="2096"/>
      <w:bookmarkEnd w:id="2097"/>
      <w:bookmarkEnd w:id="2098"/>
      <w:bookmarkEnd w:id="2099"/>
      <w:bookmarkEnd w:id="2100"/>
      <w:bookmarkEnd w:id="2101"/>
      <w:bookmarkEnd w:id="2102"/>
      <w:bookmarkEnd w:id="2103"/>
      <w:bookmarkEnd w:id="2104"/>
      <w:bookmarkEnd w:id="2105"/>
      <w:bookmarkEnd w:id="2118"/>
      <w:bookmarkEnd w:id="2119"/>
      <w:bookmarkEnd w:id="2120"/>
      <w:bookmarkEnd w:id="2121"/>
      <w:bookmarkEnd w:id="2122"/>
      <w:bookmarkEnd w:id="2123"/>
      <w:bookmarkEnd w:id="2124"/>
      <w:bookmarkEnd w:id="2125"/>
      <w:bookmarkEnd w:id="2126"/>
      <w:bookmarkEnd w:id="2127"/>
      <w:bookmarkEnd w:id="2128"/>
    </w:p>
    <w:p w14:paraId="7ED63867" w14:textId="77777777" w:rsidR="00A10B25" w:rsidRDefault="00A10B25">
      <w:pPr>
        <w:rPr>
          <w:rFonts w:eastAsia="等线"/>
        </w:rPr>
      </w:pPr>
      <w:r>
        <w:rPr>
          <w:rFonts w:eastAsia="等线"/>
        </w:rPr>
        <w:t>Figure 4.4.2.2.2-1 shows a scenario where the NF service consumer sends a request to the NWDAF to subscribe</w:t>
      </w:r>
      <w:r>
        <w:rPr>
          <w:rFonts w:eastAsia="Batang"/>
        </w:rPr>
        <w:t xml:space="preserve"> </w:t>
      </w:r>
      <w:r>
        <w:rPr>
          <w:rFonts w:eastAsia="等线"/>
        </w:rPr>
        <w:t>for data notification(s).</w:t>
      </w:r>
    </w:p>
    <w:p w14:paraId="7B3ED029" w14:textId="77777777" w:rsidR="00A10B25" w:rsidRDefault="00A10B25">
      <w:pPr>
        <w:pStyle w:val="TH"/>
        <w:rPr>
          <w:lang w:eastAsia="zh-CN"/>
        </w:rPr>
      </w:pPr>
      <w:r>
        <w:rPr>
          <w:rFonts w:ascii="Times New Roman" w:hAnsi="Times New Roman"/>
          <w:lang w:val="en-US" w:eastAsia="zh-CN"/>
        </w:rPr>
        <w:object w:dxaOrig="7454" w:dyaOrig="2359" w14:anchorId="7C782942">
          <v:shape id="Object 18" o:spid="_x0000_i1052" type="#_x0000_t75" style="width:428.85pt;height:135.85pt;mso-position-horizontal-relative:page;mso-position-vertical-relative:page" o:ole="">
            <v:imagedata r:id="rId38" o:title=""/>
          </v:shape>
          <o:OLEObject Type="Embed" ProgID="Visio.Drawing.15" ShapeID="Object 18" DrawAspect="Content" ObjectID="_1810065996" r:id="rId39"/>
        </w:object>
      </w:r>
    </w:p>
    <w:p w14:paraId="33C4A1C4" w14:textId="77777777" w:rsidR="00A10B25" w:rsidRDefault="00A10B25">
      <w:pPr>
        <w:pStyle w:val="TF"/>
      </w:pPr>
      <w:r>
        <w:t>Figure 4.4.2.2.2-1: NF service consumer subscribes to data notifications</w:t>
      </w:r>
    </w:p>
    <w:p w14:paraId="197EB333" w14:textId="77777777" w:rsidR="003E1F9F" w:rsidRDefault="003E1F9F" w:rsidP="003E1F9F">
      <w:pPr>
        <w:rPr>
          <w:rFonts w:eastAsia="等线"/>
        </w:rPr>
      </w:pPr>
      <w:r>
        <w:rPr>
          <w:rFonts w:eastAsia="等线"/>
        </w:rPr>
        <w:t xml:space="preserve">The NF service consumer shall invoke the Nnwdaf_DataManagement_Subscribe service operation to subscribe to data notification(s). The NF </w:t>
      </w:r>
      <w:r>
        <w:t>service</w:t>
      </w:r>
      <w:r>
        <w:rPr>
          <w:rFonts w:eastAsia="等线"/>
        </w:rPr>
        <w:t xml:space="preserve"> consumer </w:t>
      </w:r>
      <w:r>
        <w:rPr>
          <w:rFonts w:eastAsia="等线"/>
          <w:lang w:val="en-US"/>
        </w:rPr>
        <w:t xml:space="preserve">shall </w:t>
      </w:r>
      <w:r>
        <w:rPr>
          <w:rFonts w:eastAsia="等线"/>
        </w:rPr>
        <w:t>send an HTTP POST request with "{apiRoot}/nnwdaf-datamanagement/&lt;apiVersion&gt;/subscriptions" as Resource URI representing the "NWDAF Data Management Subscriptions", as shown in figure 4.4.2.2.2-1, step 1, to create a subscription for an "Individual NWDAF Data Management Subscription" according to the information in message body.</w:t>
      </w:r>
    </w:p>
    <w:p w14:paraId="2CAD5A95" w14:textId="77777777" w:rsidR="003E1F9F" w:rsidRDefault="003E1F9F" w:rsidP="003E1F9F">
      <w:pPr>
        <w:rPr>
          <w:rFonts w:eastAsia="等线"/>
        </w:rPr>
      </w:pPr>
      <w:r>
        <w:rPr>
          <w:rFonts w:eastAsia="等线"/>
        </w:rPr>
        <w:t xml:space="preserve">The NnwdafDataManagementSubsc data structure provided in the request body shall include: </w:t>
      </w:r>
    </w:p>
    <w:p w14:paraId="1178E2AB" w14:textId="77777777" w:rsidR="003E1F9F" w:rsidRDefault="003E1F9F" w:rsidP="003E1F9F">
      <w:pPr>
        <w:pStyle w:val="B1"/>
      </w:pPr>
      <w:r>
        <w:t>-</w:t>
      </w:r>
      <w:r>
        <w:tab/>
        <w:t xml:space="preserve">an URI where to receive the requested notifications as "notificURI" attribute; </w:t>
      </w:r>
    </w:p>
    <w:p w14:paraId="659C7A1C" w14:textId="77777777" w:rsidR="003E1F9F" w:rsidRDefault="003E1F9F" w:rsidP="003E1F9F">
      <w:pPr>
        <w:pStyle w:val="B1"/>
      </w:pPr>
      <w:r>
        <w:t>-</w:t>
      </w:r>
      <w:r>
        <w:tab/>
      </w:r>
      <w:r>
        <w:rPr>
          <w:lang w:val="en-US" w:eastAsia="zh-CN"/>
        </w:rPr>
        <w:t>notification correlation identfier</w:t>
      </w:r>
      <w:r>
        <w:t xml:space="preserve"> within the "notifCorrId" attribute</w:t>
      </w:r>
      <w:r>
        <w:rPr>
          <w:lang w:eastAsia="zh-CN"/>
        </w:rPr>
        <w:t xml:space="preserve">; </w:t>
      </w:r>
      <w:r>
        <w:t>and</w:t>
      </w:r>
    </w:p>
    <w:p w14:paraId="3F0562A8" w14:textId="77777777" w:rsidR="003E1F9F" w:rsidRDefault="003E1F9F" w:rsidP="003E1F9F">
      <w:pPr>
        <w:pStyle w:val="B1"/>
      </w:pPr>
      <w:r>
        <w:t>-</w:t>
      </w:r>
      <w:r>
        <w:tab/>
        <w:t>one of the following:</w:t>
      </w:r>
    </w:p>
    <w:p w14:paraId="4CA6A2BE" w14:textId="77777777" w:rsidR="003E1F9F" w:rsidRDefault="003E1F9F" w:rsidP="003E1F9F">
      <w:pPr>
        <w:pStyle w:val="B2"/>
      </w:pPr>
      <w:r>
        <w:t>-</w:t>
      </w:r>
      <w:r>
        <w:tab/>
        <w:t>analytics subscription information to be used to determine which data shall be collected and reported within the "anaSub" attribute;</w:t>
      </w:r>
    </w:p>
    <w:p w14:paraId="2FBE3974" w14:textId="77777777" w:rsidR="003E1F9F" w:rsidRDefault="003E1F9F" w:rsidP="003E1F9F">
      <w:pPr>
        <w:pStyle w:val="B2"/>
      </w:pPr>
      <w:r>
        <w:t>-</w:t>
      </w:r>
      <w:r>
        <w:tab/>
        <w:t>data subscription information within the "dataSub" attribute;</w:t>
      </w:r>
    </w:p>
    <w:p w14:paraId="2FAED63B" w14:textId="77777777" w:rsidR="003E1F9F" w:rsidRDefault="003E1F9F" w:rsidP="003E1F9F">
      <w:pPr>
        <w:rPr>
          <w:rFonts w:eastAsia="等线"/>
        </w:rPr>
      </w:pPr>
      <w:r>
        <w:rPr>
          <w:rFonts w:eastAsia="等线"/>
        </w:rPr>
        <w:t xml:space="preserve">The NnwdafDataManagementSubsc data structure provided in the request body may include: </w:t>
      </w:r>
    </w:p>
    <w:p w14:paraId="615D6D06" w14:textId="77777777" w:rsidR="003E1F9F" w:rsidRDefault="003E1F9F" w:rsidP="003E1F9F">
      <w:pPr>
        <w:pStyle w:val="B1"/>
        <w:rPr>
          <w:lang w:eastAsia="en-GB"/>
        </w:rPr>
      </w:pPr>
      <w:r>
        <w:rPr>
          <w:lang w:eastAsia="en-GB"/>
        </w:rPr>
        <w:t>-</w:t>
      </w:r>
      <w:r>
        <w:rPr>
          <w:lang w:eastAsia="en-GB"/>
        </w:rPr>
        <w:tab/>
        <w:t>the notification endpoints within the "</w:t>
      </w:r>
      <w:r>
        <w:rPr>
          <w:lang w:eastAsia="zh-CN"/>
        </w:rPr>
        <w:t>notifEndpoints</w:t>
      </w:r>
      <w:r>
        <w:rPr>
          <w:lang w:eastAsia="en-GB"/>
        </w:rPr>
        <w:t>" attribute if the "DataAnaCollect" feature is supported;</w:t>
      </w:r>
    </w:p>
    <w:p w14:paraId="582C65FB" w14:textId="77777777" w:rsidR="003E1F9F" w:rsidRDefault="003E1F9F" w:rsidP="003E1F9F">
      <w:pPr>
        <w:pStyle w:val="B1"/>
        <w:rPr>
          <w:lang w:eastAsia="en-GB"/>
        </w:rPr>
      </w:pPr>
      <w:r>
        <w:rPr>
          <w:lang w:eastAsia="en-GB"/>
        </w:rPr>
        <w:t>-</w:t>
      </w:r>
      <w:r>
        <w:rPr>
          <w:lang w:eastAsia="en-GB"/>
        </w:rPr>
        <w:tab/>
        <w:t xml:space="preserve">formatting instructions within the "formatInstruct" attribute; </w:t>
      </w:r>
    </w:p>
    <w:p w14:paraId="3A51301E" w14:textId="77777777" w:rsidR="003E1F9F" w:rsidRDefault="003E1F9F" w:rsidP="003E1F9F">
      <w:pPr>
        <w:pStyle w:val="B1"/>
        <w:rPr>
          <w:lang w:eastAsia="en-GB"/>
        </w:rPr>
      </w:pPr>
      <w:r>
        <w:rPr>
          <w:lang w:eastAsia="en-GB"/>
        </w:rPr>
        <w:t>-</w:t>
      </w:r>
      <w:r>
        <w:rPr>
          <w:lang w:eastAsia="en-GB"/>
        </w:rPr>
        <w:tab/>
        <w:t>processing instructions within the "procInstruct" attribute or the "</w:t>
      </w:r>
      <w:r>
        <w:rPr>
          <w:lang w:eastAsia="zh-CN"/>
        </w:rPr>
        <w:t>multiProcInstructs</w:t>
      </w:r>
      <w:r>
        <w:rPr>
          <w:lang w:eastAsia="en-GB"/>
        </w:rPr>
        <w:t xml:space="preserve">" attribute if </w:t>
      </w:r>
      <w:r>
        <w:rPr>
          <w:lang w:eastAsia="zh-CN"/>
        </w:rPr>
        <w:t xml:space="preserve">the </w:t>
      </w:r>
      <w:r>
        <w:rPr>
          <w:rFonts w:cs="Arial"/>
        </w:rPr>
        <w:t>"</w:t>
      </w:r>
      <w:r>
        <w:rPr>
          <w:rFonts w:cs="Arial" w:hint="eastAsia"/>
          <w:szCs w:val="18"/>
          <w:lang w:eastAsia="zh-CN"/>
        </w:rPr>
        <w:t>Multi</w:t>
      </w:r>
      <w:r>
        <w:rPr>
          <w:lang w:eastAsia="zh-CN"/>
        </w:rPr>
        <w:t>ProcessingInstruction</w:t>
      </w:r>
      <w:r>
        <w:rPr>
          <w:rFonts w:cs="Arial"/>
        </w:rPr>
        <w:t>" feature is supported</w:t>
      </w:r>
      <w:r>
        <w:rPr>
          <w:lang w:eastAsia="en-GB"/>
        </w:rPr>
        <w:t>;</w:t>
      </w:r>
    </w:p>
    <w:p w14:paraId="57AFB1E2" w14:textId="77777777" w:rsidR="003E1F9F" w:rsidRDefault="003E1F9F" w:rsidP="003E1F9F">
      <w:pPr>
        <w:pStyle w:val="B1"/>
      </w:pPr>
      <w:r>
        <w:t>-</w:t>
      </w:r>
      <w:r>
        <w:tab/>
        <w:t>one of the following identifiers related to the ADRF:</w:t>
      </w:r>
    </w:p>
    <w:p w14:paraId="0A4813C8" w14:textId="77777777" w:rsidR="003E1F9F" w:rsidRDefault="003E1F9F" w:rsidP="005B3671">
      <w:pPr>
        <w:pStyle w:val="B2"/>
      </w:pPr>
      <w:r>
        <w:t>-</w:t>
      </w:r>
      <w:r>
        <w:tab/>
        <w:t xml:space="preserve">ADRF instance identifier within the "adrfId" attribute; </w:t>
      </w:r>
    </w:p>
    <w:p w14:paraId="0A2B899F" w14:textId="77777777" w:rsidR="003E1F9F" w:rsidRDefault="003E1F9F" w:rsidP="005B3671">
      <w:pPr>
        <w:pStyle w:val="B2"/>
      </w:pPr>
      <w:r>
        <w:t>-</w:t>
      </w:r>
      <w:r>
        <w:tab/>
        <w:t>ADRF set identifier within the "adrfSetId" attribute;</w:t>
      </w:r>
    </w:p>
    <w:p w14:paraId="434B4173" w14:textId="77777777" w:rsidR="003E1F9F" w:rsidRDefault="003E1F9F" w:rsidP="003E1F9F">
      <w:pPr>
        <w:pStyle w:val="B1"/>
      </w:pPr>
      <w:r>
        <w:t>-</w:t>
      </w:r>
      <w:r>
        <w:tab/>
        <w:t>one of the following target identifiers:</w:t>
      </w:r>
    </w:p>
    <w:p w14:paraId="391AA475" w14:textId="77777777" w:rsidR="003E1F9F" w:rsidRDefault="003E1F9F" w:rsidP="005B3671">
      <w:pPr>
        <w:pStyle w:val="B2"/>
      </w:pPr>
      <w:r>
        <w:t>-</w:t>
      </w:r>
      <w:r>
        <w:tab/>
        <w:t>NF instance identifier within the "targetNfId" attribute;</w:t>
      </w:r>
    </w:p>
    <w:p w14:paraId="4E23E183" w14:textId="77777777" w:rsidR="003E1F9F" w:rsidRDefault="003E1F9F" w:rsidP="005B3671">
      <w:pPr>
        <w:pStyle w:val="B2"/>
      </w:pPr>
      <w:r>
        <w:t>-</w:t>
      </w:r>
      <w:r>
        <w:tab/>
        <w:t>NF set identifier within the "targetNfSetId" attribute;</w:t>
      </w:r>
    </w:p>
    <w:p w14:paraId="518F4398" w14:textId="77777777" w:rsidR="003E1F9F" w:rsidRDefault="003E1F9F" w:rsidP="003E1F9F">
      <w:pPr>
        <w:pStyle w:val="B1"/>
      </w:pPr>
      <w:r>
        <w:rPr>
          <w:rFonts w:hint="eastAsia"/>
          <w:lang w:eastAsia="zh-CN"/>
        </w:rPr>
        <w:t>-</w:t>
      </w:r>
      <w:r>
        <w:tab/>
      </w:r>
      <w:r>
        <w:rPr>
          <w:rFonts w:hint="eastAsia"/>
          <w:lang w:eastAsia="zh-CN"/>
        </w:rPr>
        <w:t>tim</w:t>
      </w:r>
      <w:r>
        <w:t xml:space="preserve">e window of the occurrence of the requested data collection within the </w:t>
      </w:r>
      <w:r>
        <w:rPr>
          <w:lang w:eastAsia="en-GB"/>
        </w:rPr>
        <w:t>"</w:t>
      </w:r>
      <w:r>
        <w:rPr>
          <w:lang w:eastAsia="zh-CN"/>
        </w:rPr>
        <w:t>timePeriod</w:t>
      </w:r>
      <w:r>
        <w:rPr>
          <w:lang w:eastAsia="en-GB"/>
        </w:rPr>
        <w:t>" attribute;</w:t>
      </w:r>
    </w:p>
    <w:p w14:paraId="0020F25E" w14:textId="77777777" w:rsidR="003E1F9F" w:rsidRDefault="003E1F9F" w:rsidP="003E1F9F">
      <w:pPr>
        <w:pStyle w:val="B1"/>
        <w:rPr>
          <w:lang w:eastAsia="en-GB"/>
        </w:rPr>
      </w:pPr>
      <w:r>
        <w:rPr>
          <w:lang w:eastAsia="en-GB"/>
        </w:rPr>
        <w:t>-</w:t>
      </w:r>
      <w:r>
        <w:rPr>
          <w:lang w:eastAsia="en-GB"/>
        </w:rPr>
        <w:tab/>
        <w:t>t</w:t>
      </w:r>
      <w:r>
        <w:rPr>
          <w:lang w:eastAsia="zh-CN"/>
        </w:rPr>
        <w:t>he purpose of data collection</w:t>
      </w:r>
      <w:r>
        <w:rPr>
          <w:lang w:eastAsia="en-GB"/>
        </w:rPr>
        <w:t xml:space="preserve"> within the "</w:t>
      </w:r>
      <w:r>
        <w:rPr>
          <w:lang w:eastAsia="zh-CN"/>
        </w:rPr>
        <w:t>dataCollectPurposes</w:t>
      </w:r>
      <w:r>
        <w:rPr>
          <w:lang w:eastAsia="en-GB"/>
        </w:rPr>
        <w:t>" attribute.</w:t>
      </w:r>
    </w:p>
    <w:p w14:paraId="0AFEB2F4" w14:textId="77777777" w:rsidR="003E1F9F" w:rsidRDefault="003E1F9F" w:rsidP="003E1F9F">
      <w:pPr>
        <w:pStyle w:val="B1"/>
        <w:rPr>
          <w:lang w:eastAsia="en-GB"/>
        </w:rPr>
      </w:pPr>
      <w:r>
        <w:rPr>
          <w:lang w:eastAsia="en-GB"/>
        </w:rPr>
        <w:t>-</w:t>
      </w:r>
      <w:r>
        <w:rPr>
          <w:lang w:eastAsia="en-GB"/>
        </w:rPr>
        <w:tab/>
        <w:t>the indication that</w:t>
      </w:r>
      <w:r>
        <w:rPr>
          <w:lang w:eastAsia="zh-CN"/>
        </w:rPr>
        <w:t xml:space="preserve"> the NF service consumer has already checked the user consent within the "checkedConsentInd" attribute, if the "UserConsent" feature is supported.</w:t>
      </w:r>
    </w:p>
    <w:p w14:paraId="6823F3F6" w14:textId="77777777" w:rsidR="003E1F9F" w:rsidRDefault="003E1F9F" w:rsidP="003E1F9F">
      <w:pPr>
        <w:pStyle w:val="B1"/>
        <w:rPr>
          <w:lang w:eastAsia="en-GB"/>
        </w:rPr>
      </w:pPr>
      <w:r>
        <w:rPr>
          <w:lang w:eastAsia="zh-CN"/>
        </w:rPr>
        <w:t>-</w:t>
      </w:r>
      <w:r>
        <w:rPr>
          <w:lang w:eastAsia="zh-CN"/>
        </w:rPr>
        <w:tab/>
      </w:r>
      <w:r>
        <w:rPr>
          <w:rFonts w:eastAsia="等线"/>
        </w:rPr>
        <w:t>storage handling information within the "storeHandl" attribute, if the "EnhDataMgmt" feature is supported.</w:t>
      </w:r>
    </w:p>
    <w:p w14:paraId="46530ADC" w14:textId="77777777" w:rsidR="00A10B25" w:rsidRDefault="00A10B25">
      <w:pPr>
        <w:rPr>
          <w:rFonts w:eastAsia="等线"/>
        </w:rPr>
      </w:pPr>
      <w:r>
        <w:rPr>
          <w:rFonts w:eastAsia="等线"/>
        </w:rPr>
        <w:t xml:space="preserve">Upon the reception of an HTTP POST request with: "{apiRoot}/nnwdaf-datamanagement/&lt;apiVersion&gt;/subscriptions" as Resource URI and NnwdafDataManagementSubsc data structure as request body, the NWDAF shall use the contents </w:t>
      </w:r>
      <w:r>
        <w:rPr>
          <w:rFonts w:eastAsia="等线"/>
        </w:rPr>
        <w:lastRenderedPageBreak/>
        <w:t>of the request to determine whether the subscription can already be served or interactions with the ADRF and/or data sources are required. If the NWDAF cannot use the contents of the request to determine this, the NWDAF shall send an HTTP "400 Bad Request" error response including the "cause" attribute set to "SUBSCRIPTION_CANNOT_BE_SERVED".</w:t>
      </w:r>
    </w:p>
    <w:p w14:paraId="7AD4770E" w14:textId="77777777" w:rsidR="00A10B25" w:rsidRDefault="00A10B25">
      <w:pPr>
        <w:pStyle w:val="NO"/>
      </w:pPr>
      <w:r>
        <w:t>NOTE 1:</w:t>
      </w:r>
      <w:r>
        <w:tab/>
        <w:t>The "SUBSCRIPTION_CANNOT_BE_SERVED" error can occur, for example, in the case where the "dataSub" or "anaSub" attributes are provided, when the request is syntactically valid and there is no NWDAF internal error, but the NWDAF can neither find an existing subscription to a data source nor construct one based on the received subscription contents.</w:t>
      </w:r>
    </w:p>
    <w:p w14:paraId="43E84BD2" w14:textId="77777777" w:rsidR="003E1F9F" w:rsidRPr="008D35CD" w:rsidRDefault="003E1F9F" w:rsidP="003E1F9F">
      <w:pPr>
        <w:rPr>
          <w:rFonts w:eastAsia="等线"/>
        </w:rPr>
      </w:pPr>
      <w:r w:rsidRPr="008D35CD">
        <w:rPr>
          <w:rFonts w:eastAsia="等线"/>
        </w:rPr>
        <w:t xml:space="preserve">If the user consent has not been checked by the NF service consumer and is required for the requested data collection depending on local policy and regulations, then </w:t>
      </w:r>
      <w:r w:rsidRPr="008D35CD">
        <w:t xml:space="preserve">the NWDAF shall check user consent for the targeted UE(s) </w:t>
      </w:r>
      <w:r>
        <w:t>based on</w:t>
      </w:r>
      <w:r w:rsidRPr="008D35CD">
        <w:t xml:space="preserve"> the user consent subscription data </w:t>
      </w:r>
      <w:r>
        <w:t xml:space="preserve">that is retrieved </w:t>
      </w:r>
      <w:r w:rsidRPr="008D35CD">
        <w:t xml:space="preserve">via the Nudm_SDM service API of </w:t>
      </w:r>
      <w:r w:rsidRPr="008D35CD">
        <w:rPr>
          <w:rFonts w:eastAsia="等线"/>
        </w:rPr>
        <w:t>the UDM as described in clause 5.2.2</w:t>
      </w:r>
      <w:r>
        <w:rPr>
          <w:rFonts w:eastAsia="等线"/>
        </w:rPr>
        <w:t xml:space="preserve">.24 and </w:t>
      </w:r>
      <w:r w:rsidRPr="008D35CD">
        <w:rPr>
          <w:rFonts w:eastAsia="等线"/>
        </w:rPr>
        <w:t>clause </w:t>
      </w:r>
      <w:r>
        <w:rPr>
          <w:rFonts w:eastAsia="等线"/>
        </w:rPr>
        <w:t>6</w:t>
      </w:r>
      <w:r w:rsidRPr="008D35CD">
        <w:rPr>
          <w:rFonts w:eastAsia="等线"/>
        </w:rPr>
        <w:t>.</w:t>
      </w:r>
      <w:r>
        <w:rPr>
          <w:rFonts w:eastAsia="等线"/>
        </w:rPr>
        <w:t>1</w:t>
      </w:r>
      <w:r w:rsidRPr="008D35CD">
        <w:rPr>
          <w:rFonts w:eastAsia="等线"/>
        </w:rPr>
        <w:t>.</w:t>
      </w:r>
      <w:r>
        <w:rPr>
          <w:rFonts w:eastAsia="等线"/>
        </w:rPr>
        <w:t xml:space="preserve">3.32 </w:t>
      </w:r>
      <w:r w:rsidRPr="008D35CD">
        <w:rPr>
          <w:rFonts w:eastAsia="等线"/>
        </w:rPr>
        <w:t xml:space="preserve"> of 3GPP TS 29.503 [23]. If the </w:t>
      </w:r>
      <w:r w:rsidRPr="00BE4CC6">
        <w:rPr>
          <w:rFonts w:eastAsia="等线"/>
        </w:rPr>
        <w:t>user consent subscription data retrieved from the UDM indicate that the user consent</w:t>
      </w:r>
      <w:r w:rsidRPr="008D35CD">
        <w:rPr>
          <w:rFonts w:eastAsia="等线"/>
        </w:rPr>
        <w:t xml:space="preserve"> is not granted for the impacted user(s), then the NWDAF shall send an HTTP "403 Forbidden" error response including the "cause" attribute set to "USER_CONSENT_NOT_GRANTED".</w:t>
      </w:r>
    </w:p>
    <w:p w14:paraId="41B19B52" w14:textId="77777777" w:rsidR="003E1F9F" w:rsidRPr="008D35CD" w:rsidRDefault="003E1F9F" w:rsidP="003E1F9F">
      <w:pPr>
        <w:pStyle w:val="NO"/>
        <w:rPr>
          <w:rFonts w:eastAsia="等线"/>
        </w:rPr>
      </w:pPr>
      <w:r w:rsidRPr="008D35CD">
        <w:rPr>
          <w:lang w:eastAsia="ja-JP"/>
        </w:rPr>
        <w:t>NOTE 2:</w:t>
      </w:r>
      <w:r w:rsidRPr="008D35CD">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55A05F12" w14:textId="77777777" w:rsidR="003E1F9F" w:rsidRDefault="003E1F9F" w:rsidP="003E1F9F">
      <w:pPr>
        <w:rPr>
          <w:lang w:eastAsia="ko-KR"/>
        </w:rPr>
      </w:pPr>
      <w:r w:rsidRPr="00BE4CC6">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046C1DEB" w14:textId="77777777" w:rsidR="00A10B25" w:rsidRDefault="00A10B25">
      <w:pPr>
        <w:rPr>
          <w:rFonts w:eastAsia="等线"/>
        </w:rPr>
      </w:pPr>
      <w:r>
        <w:rPr>
          <w:rFonts w:eastAsia="等线"/>
        </w:rPr>
        <w:t xml:space="preserve">If the NWDAF determines that the subscription can already be served (without requiring further interactions with ADRF and/or data sources) or a successful response from the ADRF and/or data sources is received for the creation or modification of subscription(s) to serve this subscription, the NWDAF shall: </w:t>
      </w:r>
    </w:p>
    <w:p w14:paraId="42C474D2" w14:textId="77777777" w:rsidR="00A10B25" w:rsidRDefault="00A10B25" w:rsidP="0076721C">
      <w:pPr>
        <w:pStyle w:val="B1"/>
      </w:pPr>
      <w:r>
        <w:t>-</w:t>
      </w:r>
      <w:r>
        <w:tab/>
        <w:t>create a new subscription;</w:t>
      </w:r>
    </w:p>
    <w:p w14:paraId="05C27BD4" w14:textId="77777777" w:rsidR="00A10B25" w:rsidRDefault="00A10B25" w:rsidP="0076721C">
      <w:pPr>
        <w:pStyle w:val="B1"/>
      </w:pPr>
      <w:r>
        <w:t>-</w:t>
      </w:r>
      <w:r>
        <w:tab/>
        <w:t>assign a subscriptionId;</w:t>
      </w:r>
    </w:p>
    <w:p w14:paraId="111517D6" w14:textId="77777777" w:rsidR="00A10B25" w:rsidRDefault="00A10B25" w:rsidP="0076721C">
      <w:pPr>
        <w:pStyle w:val="B1"/>
      </w:pPr>
      <w:r>
        <w:t>-</w:t>
      </w:r>
      <w:r>
        <w:tab/>
        <w:t>store the subscription.</w:t>
      </w:r>
    </w:p>
    <w:p w14:paraId="71401979" w14:textId="77777777" w:rsidR="00A10B25" w:rsidRDefault="00A10B25">
      <w:pPr>
        <w:rPr>
          <w:rFonts w:eastAsia="等线"/>
        </w:rPr>
      </w:pPr>
      <w:r>
        <w:rPr>
          <w:rFonts w:eastAsia="等线"/>
        </w:rPr>
        <w:t xml:space="preserve">If the </w:t>
      </w:r>
      <w:r>
        <w:t>NWDAF</w:t>
      </w:r>
      <w:r>
        <w:rPr>
          <w:rFonts w:eastAsia="等线"/>
        </w:rPr>
        <w:t xml:space="preserve"> created an "Individual NWDAF Data Management Subscription" resource, the NWDAF shall respond with "201 Created" with the message body containing a representation of the created subscription, as </w:t>
      </w:r>
      <w:r>
        <w:rPr>
          <w:rFonts w:eastAsia="Batang"/>
        </w:rPr>
        <w:t>shown in figure 4.4.2.2.2-1, step 2</w:t>
      </w:r>
      <w:r>
        <w:rPr>
          <w:rFonts w:eastAsia="等线"/>
        </w:rPr>
        <w:t xml:space="preserve">. The NWDAF shall include a Location HTTP header field. The Location header field shall contain the URI of the created subscription i.e. "{apiRoot}/nnwdaf-datamanagement/&lt;apiVersion&gt;/subscriptions/{subscriptionId}". </w:t>
      </w:r>
      <w:bookmarkStart w:id="2129" w:name="_Hlk131179315"/>
      <w:r>
        <w:rPr>
          <w:rFonts w:eastAsia="等线"/>
        </w:rPr>
        <w:t>If an immediate reporting indication is provided in the subscription, the NWDAF shall include the reports of the events subscribed, if available, in the HTTP POST response within the "dataSub" attribute, or, if the DataAnaCollect feature is supported, potentially within the "immReport" attribute</w:t>
      </w:r>
      <w:bookmarkEnd w:id="2129"/>
      <w:r>
        <w:rPr>
          <w:rFonts w:eastAsia="等线"/>
        </w:rPr>
        <w:t>.</w:t>
      </w:r>
    </w:p>
    <w:p w14:paraId="431E21A8" w14:textId="77777777" w:rsidR="009B01A5" w:rsidRDefault="009B01A5" w:rsidP="009B01A5">
      <w:pPr>
        <w:rPr>
          <w:rFonts w:eastAsia="等线"/>
        </w:rPr>
      </w:pPr>
      <w:r>
        <w:rPr>
          <w:rFonts w:eastAsia="等线"/>
        </w:rPr>
        <w:t>If the NWDAF receives storage handling information in the request but determines (e.g. based on local policy) that a different storage approach shall be followed, it indicates the determined storage approach to the consumer by setting accordingly the "storeHandl" attribute (e.g. providing a different lifetime, or setting the indication about deletion alerts to "false") in the message body of the response. When more than one consumer has requested storage lifetime for the same data, the storage approach should be based on the longest requested storage lifetime.</w:t>
      </w:r>
    </w:p>
    <w:p w14:paraId="75FDF6AE" w14:textId="77777777" w:rsidR="009B01A5" w:rsidRDefault="009B01A5" w:rsidP="009B01A5">
      <w:pPr>
        <w:pStyle w:val="NO"/>
        <w:rPr>
          <w:rFonts w:eastAsia="等线"/>
        </w:rPr>
      </w:pPr>
      <w:r>
        <w:rPr>
          <w:lang w:eastAsia="ja-JP"/>
        </w:rPr>
        <w:t>NOTE 3:</w:t>
      </w:r>
      <w:r>
        <w:rPr>
          <w:lang w:eastAsia="ja-JP"/>
        </w:rPr>
        <w:tab/>
        <w:t>The default operator policy for how long data is to be stored can be longer or shorter than the lifetime requested by the consumer. A default operator policy can for example accept only consumer requested lifetimes that are shorter or longer than the default policy.</w:t>
      </w:r>
    </w:p>
    <w:p w14:paraId="2AED6A72" w14:textId="77777777" w:rsidR="00A10B25" w:rsidRDefault="00A10B25">
      <w:pPr>
        <w:rPr>
          <w:lang w:val="en-US" w:eastAsia="zh-CN"/>
        </w:rPr>
      </w:pPr>
      <w:r>
        <w:rPr>
          <w:lang w:val="en-US" w:eastAsia="zh-CN"/>
        </w:rPr>
        <w:t>When the notification flag</w:t>
      </w:r>
      <w:r>
        <w:rPr>
          <w:lang w:val="en-US" w:eastAsia="zh-CN"/>
        </w:rPr>
        <w:t xml:space="preserve"> of the "dataSub" attribute (</w:t>
      </w:r>
      <w:r>
        <w:rPr>
          <w:lang w:val="en-US" w:eastAsia="zh-CN"/>
        </w:rPr>
        <w:t xml:space="preserve">e.g. the </w:t>
      </w:r>
      <w:r>
        <w:t>"</w:t>
      </w:r>
      <w:r>
        <w:rPr>
          <w:lang w:val="en-US" w:eastAsia="zh-CN"/>
        </w:rPr>
        <w:t xml:space="preserve">notifFlag" attribute within the "eventsRepInfo" attribute in the case of AF events) is included and set to </w:t>
      </w:r>
      <w:r>
        <w:rPr>
          <w:lang w:val="en-US" w:eastAsia="zh-CN"/>
        </w:rPr>
        <w:t>"DEACTIVATE"</w:t>
      </w:r>
      <w:r>
        <w:rPr>
          <w:lang w:val="en-US" w:eastAsia="zh-CN"/>
        </w:rPr>
        <w:t xml:space="preserve"> in the request, the NWDAF shall mute the event notification and store the available events until the NF service consumer requests to retrieve them by setting the notification flag to "RETRIEVAL" or until a muting exception occurs (e.g. full buffer). When a muting exception occurs, if the </w:t>
      </w:r>
      <w:r>
        <w:rPr>
          <w:lang w:val="en-US" w:eastAsia="zh-CN"/>
        </w:rPr>
        <w:t xml:space="preserve">EnhDataMgmt feature is supported, </w:t>
      </w:r>
      <w:r>
        <w:rPr>
          <w:lang w:val="en-US" w:eastAsia="zh-CN"/>
        </w:rPr>
        <w:t>the NWDAF may consider the contents of the muting instructions of the "dataSub" attribute (if provided; e.g. the "notifFlagInstruct" attribute within the "eventsRepInfo" attribute in the case of AF events) and/or local configuration to determine its actions.</w:t>
      </w:r>
    </w:p>
    <w:p w14:paraId="71196D5B" w14:textId="77777777" w:rsidR="00A10B25" w:rsidRDefault="00A10B25">
      <w:pPr>
        <w:rPr>
          <w:lang w:val="en-US" w:eastAsia="zh-CN"/>
        </w:rPr>
      </w:pPr>
      <w:r>
        <w:rPr>
          <w:lang w:val="en-US" w:eastAsia="zh-CN"/>
        </w:rPr>
        <w:lastRenderedPageBreak/>
        <w:t xml:space="preserve">If the EnhDataMgmt feature is supported and the NWDAF accepts the provided notification flag and muting instructions, it may indicate the applied muting notification settings in the response (e.g. within the "mutingSetting" attribute in the case of AF events). If the NWDAF does not accept the provided notification flag and muting instructions, it shall </w:t>
      </w:r>
      <w:r>
        <w:rPr>
          <w:rFonts w:eastAsia="等线"/>
        </w:rPr>
        <w:t>send an HTTP "403 Forbidden" error response including the "cause" attribute set to "MUTING_INSTR_NOT_ACCEPTED"</w:t>
      </w:r>
      <w:r>
        <w:rPr>
          <w:lang w:val="en-US" w:eastAsia="zh-CN"/>
        </w:rPr>
        <w:t>.</w:t>
      </w:r>
    </w:p>
    <w:p w14:paraId="77852302" w14:textId="77777777" w:rsidR="00A10B25" w:rsidRDefault="00A10B25">
      <w:pPr>
        <w:rPr>
          <w:rFonts w:hint="eastAsia"/>
        </w:rPr>
      </w:pPr>
      <w:r>
        <w:t>If an error occurs when processing the HTTP POST request, the NWDAF shall send an HTTP error response as specified in clause 5.3.7.</w:t>
      </w:r>
    </w:p>
    <w:p w14:paraId="499CF3BE" w14:textId="77777777" w:rsidR="00A10B25" w:rsidRDefault="00A10B25">
      <w:pPr>
        <w:pStyle w:val="5"/>
      </w:pPr>
      <w:bookmarkStart w:id="2130" w:name="_Toc98233562"/>
      <w:bookmarkStart w:id="2131" w:name="_Toc104538927"/>
      <w:bookmarkStart w:id="2132" w:name="_Toc114133728"/>
      <w:bookmarkStart w:id="2133" w:name="_Toc120702228"/>
      <w:bookmarkStart w:id="2134" w:name="_Toc113031589"/>
      <w:bookmarkStart w:id="2135" w:name="_Toc136562275"/>
      <w:bookmarkStart w:id="2136" w:name="_Toc112951049"/>
      <w:bookmarkStart w:id="2137" w:name="_Toc145705596"/>
      <w:bookmarkStart w:id="2138" w:name="_Toc138754109"/>
      <w:bookmarkStart w:id="2139" w:name="_Toc148522500"/>
      <w:bookmarkStart w:id="2140" w:name="_Toc101244338"/>
      <w:bookmarkStart w:id="2141" w:name="_Toc164920624"/>
      <w:bookmarkStart w:id="2142" w:name="_Toc170120166"/>
      <w:bookmarkStart w:id="2143" w:name="_Toc175858411"/>
      <w:bookmarkStart w:id="2144" w:name="_Toc175859484"/>
      <w:bookmarkStart w:id="2145" w:name="_Toc180605774"/>
      <w:bookmarkStart w:id="2146" w:name="_Toc185517028"/>
      <w:bookmarkStart w:id="2147" w:name="_Toc191576079"/>
      <w:bookmarkStart w:id="2148" w:name="_Toc191576819"/>
      <w:bookmarkStart w:id="2149" w:name="_Toc192879889"/>
      <w:bookmarkStart w:id="2150" w:name="_Toc195814772"/>
      <w:bookmarkStart w:id="2151" w:name="_Toc199452719"/>
      <w:r>
        <w:t>4.4.2.2.3</w:t>
      </w:r>
      <w:r>
        <w:tab/>
        <w:t>Update subscription for data notifications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253FAF25" w14:textId="77777777" w:rsidR="00A10B25" w:rsidRDefault="00A10B25">
      <w:pPr>
        <w:rPr>
          <w:rFonts w:eastAsia="等线"/>
        </w:rPr>
      </w:pPr>
      <w:r>
        <w:rPr>
          <w:rFonts w:eastAsia="等线"/>
        </w:rPr>
        <w:t>Figure 4.4.2.2.3-1 shows a scenario where the NF service consumer sends a request to the NWDAF to</w:t>
      </w:r>
      <w:r>
        <w:t xml:space="preserve"> </w:t>
      </w:r>
      <w:r>
        <w:rPr>
          <w:rFonts w:eastAsia="等线"/>
        </w:rPr>
        <w:t>update the subscription for data notifications.</w:t>
      </w:r>
    </w:p>
    <w:p w14:paraId="172EE03B" w14:textId="77777777" w:rsidR="00A10B25" w:rsidRDefault="00A10B25">
      <w:pPr>
        <w:pStyle w:val="TH"/>
        <w:rPr>
          <w:rFonts w:eastAsia="等线"/>
          <w:lang w:eastAsia="zh-CN"/>
        </w:rPr>
      </w:pPr>
      <w:r>
        <w:rPr>
          <w:rFonts w:ascii="Times New Roman" w:hAnsi="Times New Roman"/>
          <w:lang w:val="en-US" w:eastAsia="zh-CN"/>
        </w:rPr>
        <w:object w:dxaOrig="7454" w:dyaOrig="2359" w14:anchorId="28D3BE9E">
          <v:shape id="Object 19" o:spid="_x0000_i1053" type="#_x0000_t75" style="width:428.85pt;height:135.85pt;mso-position-horizontal-relative:page;mso-position-vertical-relative:page" o:ole="">
            <v:imagedata r:id="rId40" o:title=""/>
          </v:shape>
          <o:OLEObject Type="Embed" ProgID="Visio.Drawing.15" ShapeID="Object 19" DrawAspect="Content" ObjectID="_1810065997" r:id="rId41"/>
        </w:object>
      </w:r>
    </w:p>
    <w:p w14:paraId="7C5CFD57" w14:textId="77777777" w:rsidR="00A10B25" w:rsidRDefault="00A10B25">
      <w:pPr>
        <w:pStyle w:val="TF"/>
      </w:pPr>
      <w:bookmarkStart w:id="2152" w:name="_Toc88667512"/>
      <w:bookmarkStart w:id="2153" w:name="_Toc83233014"/>
      <w:bookmarkStart w:id="2154" w:name="_Toc85557010"/>
      <w:bookmarkStart w:id="2155" w:name="_Toc98233563"/>
      <w:bookmarkStart w:id="2156" w:name="_Toc70550577"/>
      <w:bookmarkStart w:id="2157" w:name="_Toc94064180"/>
      <w:bookmarkStart w:id="2158" w:name="_Toc101244339"/>
      <w:bookmarkStart w:id="2159" w:name="_Toc85552911"/>
      <w:bookmarkStart w:id="2160" w:name="_Toc90655797"/>
      <w:bookmarkStart w:id="2161" w:name="_Toc104538928"/>
      <w:r>
        <w:t>Figure 4.4.2.2.3-1: NF service consumer updates subscription to data notifications</w:t>
      </w:r>
    </w:p>
    <w:p w14:paraId="166FDE81" w14:textId="77777777" w:rsidR="00A10B25" w:rsidRDefault="00A10B25">
      <w:r>
        <w:t xml:space="preserve">The NF service consumer shall invoke the Nnwdaf_DataManagement_Subscribe service operation to update subscription to data notifications. The NF service consumer </w:t>
      </w:r>
      <w:r>
        <w:rPr>
          <w:lang w:val="en-US"/>
        </w:rPr>
        <w:t xml:space="preserve">shall </w:t>
      </w:r>
      <w:r>
        <w:t>send an HTTP PUT request with "{apiRoot}/nnwdaf-datamanagement/&lt;apiVersion&gt;/subscriptions/{subscriptionId}" as Resource URI representing the "</w:t>
      </w:r>
      <w:r>
        <w:rPr>
          <w:rFonts w:eastAsia="等线"/>
        </w:rPr>
        <w:t>Individual NWDAF Data Management Subscription</w:t>
      </w:r>
      <w:r>
        <w:t>", as shown in figure 4.4.2.2.3-1, step 1, to update the subscription for an "</w:t>
      </w:r>
      <w:r>
        <w:rPr>
          <w:rFonts w:eastAsia="等线"/>
        </w:rPr>
        <w:t>Individual NWDAF Data Management Subscription</w:t>
      </w:r>
      <w:r>
        <w:t xml:space="preserve">" resource identified by the {subscriptionId}. The </w:t>
      </w:r>
      <w:r>
        <w:rPr>
          <w:rFonts w:eastAsia="等线"/>
        </w:rPr>
        <w:t>NnwdafDataManagementSubsc</w:t>
      </w:r>
      <w:r>
        <w:t xml:space="preserve"> data structure provided in the request body shall include the same contents as described in clause 4.4.2.2.2.</w:t>
      </w:r>
    </w:p>
    <w:p w14:paraId="5CB7C3EB" w14:textId="77777777" w:rsidR="00A10B25" w:rsidRDefault="00A10B25">
      <w:r>
        <w:rPr>
          <w:rFonts w:eastAsia="等线"/>
        </w:rPr>
        <w:t>Upon the reception of an HTTP PUT request with: "{apiRoot}/nnwdaf-datamanagement/&lt;apiVersion&gt;/subscriptions/{subscriptionId}" as Resource URI and NnwdafDataManagementSubsc data structure as request body, the NWDAF shall</w:t>
      </w:r>
      <w:r>
        <w:t xml:space="preserve"> use the contents of the request to determine whether the updated subscription can already be served or interactions with the ADRF and/or data sources are required. If the NWDAF cannot use the contents of the request to determine this, the NWDAF shall send an HTTP "400 Bad Request" error response including the "cause" attribute set to "SUBSCRIPTION_CANNOT_BE_SERVED".</w:t>
      </w:r>
    </w:p>
    <w:p w14:paraId="10E3EC09" w14:textId="77777777" w:rsidR="00A10B25" w:rsidRDefault="00A10B25">
      <w:pPr>
        <w:pStyle w:val="NO"/>
      </w:pPr>
      <w:r>
        <w:t>NOTE 1:</w:t>
      </w:r>
      <w:r>
        <w:tab/>
        <w:t>The "SUBSCRIPTION_CANNOT_BE_SERVED" error can occur, for example, in the case when the "dataSub" or "anaSub" attributes are provided, when the request is syntactically valid and there is no NWDAF internal error, but the NWDAF can neither find an existing subscription to a data source nor construct one based on the received subscription contents.</w:t>
      </w:r>
    </w:p>
    <w:p w14:paraId="12E2CAB2" w14:textId="77777777" w:rsidR="003E1F9F" w:rsidRPr="008D35CD" w:rsidRDefault="003E1F9F" w:rsidP="003E1F9F">
      <w:pPr>
        <w:rPr>
          <w:rFonts w:eastAsia="等线"/>
        </w:rPr>
      </w:pPr>
      <w:r w:rsidRPr="00E71D2C">
        <w:rPr>
          <w:rFonts w:eastAsia="等线"/>
        </w:rPr>
        <w:t xml:space="preserve">If the user consent has not been checked by the NF service consumer and is required for the requested </w:t>
      </w:r>
      <w:r>
        <w:rPr>
          <w:rFonts w:eastAsia="等线"/>
        </w:rPr>
        <w:t>data</w:t>
      </w:r>
      <w:r w:rsidRPr="00E71D2C">
        <w:rPr>
          <w:rFonts w:eastAsia="等线"/>
        </w:rPr>
        <w:t xml:space="preserve"> collection depending on local policy and regulations, then </w:t>
      </w:r>
      <w:r w:rsidRPr="00E71D2C">
        <w:t>the NWDAF shall check user consent for the targeted UE(s) b</w:t>
      </w:r>
      <w:r>
        <w:t>ased on</w:t>
      </w:r>
      <w:r w:rsidRPr="00E71D2C">
        <w:t xml:space="preserve"> the user consent subscription data </w:t>
      </w:r>
      <w:r>
        <w:t xml:space="preserve">that is retrieved </w:t>
      </w:r>
      <w:r w:rsidRPr="00E71D2C">
        <w:t xml:space="preserve">via the Nudm_SDM service API of </w:t>
      </w:r>
      <w:r w:rsidRPr="00E71D2C">
        <w:rPr>
          <w:rFonts w:eastAsia="等线"/>
        </w:rPr>
        <w:t>the UDM as described in clause 5.2.2</w:t>
      </w:r>
      <w:r>
        <w:rPr>
          <w:rFonts w:eastAsia="等线"/>
        </w:rPr>
        <w:t>.24</w:t>
      </w:r>
      <w:r w:rsidRPr="00E71D2C">
        <w:rPr>
          <w:rFonts w:eastAsia="等线"/>
        </w:rPr>
        <w:t xml:space="preserve"> </w:t>
      </w:r>
      <w:r>
        <w:rPr>
          <w:rFonts w:eastAsia="等线"/>
        </w:rPr>
        <w:t>and clause</w:t>
      </w:r>
      <w:r w:rsidRPr="00E71D2C">
        <w:rPr>
          <w:rFonts w:eastAsia="等线"/>
        </w:rPr>
        <w:t> </w:t>
      </w:r>
      <w:r>
        <w:rPr>
          <w:rFonts w:eastAsia="等线"/>
        </w:rPr>
        <w:t xml:space="preserve">6.1.3.32 </w:t>
      </w:r>
      <w:r w:rsidRPr="00E71D2C">
        <w:rPr>
          <w:rFonts w:eastAsia="等线"/>
        </w:rPr>
        <w:t xml:space="preserve">of 3GPP TS 29.503 [23]. If the </w:t>
      </w:r>
      <w:r w:rsidRPr="00BE4CC6">
        <w:rPr>
          <w:rFonts w:eastAsia="等线"/>
        </w:rPr>
        <w:t>user consent subscription data retrieved from the UDM indicate that the user consent</w:t>
      </w:r>
      <w:r w:rsidRPr="00E71D2C">
        <w:rPr>
          <w:rFonts w:eastAsia="等线"/>
        </w:rPr>
        <w:t xml:space="preserve"> is not granted for the impacted user(s), then the NWDAF shall send an HTTP "403 Forbidden" error response including the "cause" attribute set to "USER_CONSENT_NOT_GRANTED".</w:t>
      </w:r>
    </w:p>
    <w:p w14:paraId="2186D5B3" w14:textId="77777777" w:rsidR="003E1F9F" w:rsidRPr="00783C20" w:rsidRDefault="003E1F9F" w:rsidP="003E1F9F">
      <w:pPr>
        <w:keepLines/>
        <w:ind w:left="1135" w:hanging="851"/>
        <w:rPr>
          <w:rFonts w:eastAsia="等线"/>
        </w:rPr>
      </w:pPr>
      <w:r w:rsidRPr="008D35CD">
        <w:rPr>
          <w:lang w:eastAsia="ja-JP"/>
        </w:rPr>
        <w:t>NOTE 2:</w:t>
      </w:r>
      <w:r w:rsidRPr="008D35CD">
        <w:rPr>
          <w:lang w:eastAsia="ja-JP"/>
        </w:rPr>
        <w:tab/>
        <w:t>When the target of reporting is a SUPI or a GPSI then the subscription can be rejected, e.g. because user consent is not granted, and the error is sent to the consumer. When the target of reporting is an Internal Group Id, or a list of SUPIs/GPSI(s) or any UE, and the user consent is not granted for a subset of the impacted users, then no error is sent, but a subset of the SUPIs/GPSIs is skipped if user consent is not granted.</w:t>
      </w:r>
    </w:p>
    <w:p w14:paraId="4CC0EEFF" w14:textId="77777777" w:rsidR="003E1F9F" w:rsidRDefault="003E1F9F" w:rsidP="003E1F9F">
      <w:pPr>
        <w:rPr>
          <w:lang w:eastAsia="ko-KR"/>
        </w:rPr>
      </w:pPr>
      <w:r w:rsidRPr="00BE4CC6">
        <w:lastRenderedPageBreak/>
        <w:t>Otherwise, if the user consent subscription data retrieved from the UDM indicate that the user consent is granted for the impacted user(s), the NWDAF shall subscribe to notification of changes of the user consent (unless it is already subscribed)</w:t>
      </w:r>
      <w:r>
        <w:t xml:space="preserve">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[23]</w:t>
      </w:r>
      <w:r w:rsidRPr="005D620A">
        <w:rPr>
          <w:lang w:eastAsia="ko-KR"/>
        </w:rPr>
        <w:t>.</w:t>
      </w:r>
    </w:p>
    <w:p w14:paraId="209D849B" w14:textId="77777777" w:rsidR="00A10B25" w:rsidRDefault="00A10B25">
      <w:pPr>
        <w:rPr>
          <w:rFonts w:eastAsia="等线"/>
        </w:rPr>
      </w:pPr>
      <w:r>
        <w:t>If the NWDAF determines that the updated subscription can already be served (without requiring further interactions with the ADRF and/or data sources) or a successful response from the ADRF and/or data sources is received for the creation or modification of subscription(s) to serve this subscription, the NWDAF shall</w:t>
      </w:r>
      <w:r>
        <w:rPr>
          <w:rFonts w:eastAsia="等线"/>
        </w:rPr>
        <w:t>:</w:t>
      </w:r>
    </w:p>
    <w:p w14:paraId="55F4EB39" w14:textId="77777777" w:rsidR="00A10B25" w:rsidRDefault="00A10B25" w:rsidP="0076721C">
      <w:pPr>
        <w:pStyle w:val="B1"/>
        <w:rPr>
          <w:rFonts w:eastAsia="等线"/>
        </w:rPr>
      </w:pPr>
      <w:r>
        <w:t>-</w:t>
      </w:r>
      <w:r>
        <w:tab/>
        <w:t>update the subscription of corresponding subscriptionId; and</w:t>
      </w:r>
    </w:p>
    <w:p w14:paraId="2FF0DD66" w14:textId="77777777" w:rsidR="00A10B25" w:rsidRDefault="00A10B25" w:rsidP="0076721C">
      <w:pPr>
        <w:pStyle w:val="B1"/>
      </w:pPr>
      <w:r>
        <w:t>-</w:t>
      </w:r>
      <w:r>
        <w:tab/>
        <w:t>store the subscription.</w:t>
      </w:r>
    </w:p>
    <w:p w14:paraId="466A56EA" w14:textId="77777777" w:rsidR="00A10B25" w:rsidRDefault="00A10B25">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NWDAF Data Management Subscription" resource, and shall respond with:</w:t>
      </w:r>
    </w:p>
    <w:p w14:paraId="78952612" w14:textId="77777777" w:rsidR="00A10B25" w:rsidRDefault="00A10B25" w:rsidP="0076721C">
      <w:pPr>
        <w:pStyle w:val="B1"/>
        <w:rPr>
          <w:rFonts w:eastAsia="等线"/>
        </w:rPr>
      </w:pPr>
      <w:r>
        <w:t>a)</w:t>
      </w:r>
      <w:r>
        <w:tab/>
        <w:t xml:space="preserve">HTTP "200 OK" status code with the message body containing a representation of the updated subscription, as shown in figure 4.4.2.2.3-1, step 2a; </w:t>
      </w:r>
      <w:r>
        <w:rPr>
          <w:rFonts w:eastAsia="等线"/>
        </w:rPr>
        <w:t>If an immediate reporting indication is provided in the request, the NWDAF shall include the reports of the events subscribed, if available, in the HTTP PUT response within the "dataSub" attribute, or, if the DataAnaCollect feature is supported, potentially within the "immReport" attribute;</w:t>
      </w:r>
      <w:r>
        <w:t xml:space="preserve"> or</w:t>
      </w:r>
    </w:p>
    <w:p w14:paraId="0CE2834B" w14:textId="77777777" w:rsidR="00A10B25" w:rsidRDefault="00A10B25" w:rsidP="0076721C">
      <w:pPr>
        <w:pStyle w:val="B1"/>
        <w:rPr>
          <w:rFonts w:eastAsia="等线"/>
        </w:rPr>
      </w:pPr>
      <w:r>
        <w:t>b)</w:t>
      </w:r>
      <w:r>
        <w:tab/>
        <w:t xml:space="preserve">HTTP "204 No Content" status code, as shown in figure 4.4.2.2.3-1, step 2b. </w:t>
      </w:r>
    </w:p>
    <w:p w14:paraId="68D3865F" w14:textId="77777777" w:rsidR="009B01A5" w:rsidRDefault="009B01A5" w:rsidP="009B01A5">
      <w:pPr>
        <w:rPr>
          <w:rFonts w:eastAsia="等线"/>
        </w:rPr>
      </w:pPr>
      <w:r>
        <w:rPr>
          <w:rFonts w:eastAsia="等线"/>
        </w:rPr>
        <w:t>If the NWDAF receives storage handling information in the request but determines (e.g. based on local policy) that a different storage approach shall be followed, it indicates the determined storage approach to the consumer by setting accordingly the "storeHandl" attribute (e.g. providing a different lifetime, or setting the indication about deletion alerts to "false") in the message body of the response. When more than one consumer has requested storage lifetime for the same data, the storage approach should be based on the longest requested storage lifetime.</w:t>
      </w:r>
    </w:p>
    <w:p w14:paraId="15D6D836" w14:textId="77777777" w:rsidR="009B01A5" w:rsidRPr="00A57823" w:rsidRDefault="009B01A5" w:rsidP="009B01A5">
      <w:pPr>
        <w:keepLines/>
        <w:ind w:left="1135" w:hanging="851"/>
        <w:rPr>
          <w:rFonts w:eastAsia="等线"/>
        </w:rPr>
      </w:pPr>
      <w:r w:rsidRPr="00A57823">
        <w:rPr>
          <w:lang w:eastAsia="ja-JP"/>
        </w:rPr>
        <w:t>NOTE </w:t>
      </w:r>
      <w:r>
        <w:rPr>
          <w:lang w:eastAsia="ja-JP"/>
        </w:rPr>
        <w:t>3</w:t>
      </w:r>
      <w:r w:rsidRPr="00A57823">
        <w:rPr>
          <w:lang w:eastAsia="ja-JP"/>
        </w:rPr>
        <w:t>:</w:t>
      </w:r>
      <w:r w:rsidRPr="00A57823">
        <w:rPr>
          <w:lang w:eastAsia="ja-JP"/>
        </w:rPr>
        <w:tab/>
        <w:t xml:space="preserve">The default operator policy for how long </w:t>
      </w:r>
      <w:r>
        <w:rPr>
          <w:lang w:eastAsia="ja-JP"/>
        </w:rPr>
        <w:t>data</w:t>
      </w:r>
      <w:r w:rsidRPr="00A57823">
        <w:rPr>
          <w:lang w:eastAsia="ja-JP"/>
        </w:rPr>
        <w:t xml:space="preserve"> is to be stored can be longer or shorter than the lifetime requested by the consumer. A default operator policy can for example accept only consumer requested lifetimes that are shorter or longer than the default policy.</w:t>
      </w:r>
    </w:p>
    <w:p w14:paraId="6E314018" w14:textId="77777777" w:rsidR="00A10B25" w:rsidRDefault="00A10B25">
      <w:pPr>
        <w:rPr>
          <w:lang w:val="en-US" w:eastAsia="zh-CN"/>
        </w:rPr>
      </w:pPr>
      <w:r>
        <w:rPr>
          <w:lang w:val="en-US" w:eastAsia="zh-CN"/>
        </w:rPr>
        <w:t>When the notification flag</w:t>
      </w:r>
      <w:r>
        <w:rPr>
          <w:lang w:val="en-US" w:eastAsia="zh-CN"/>
        </w:rPr>
        <w:t xml:space="preserve"> of the "dataSub" attribute (</w:t>
      </w:r>
      <w:r>
        <w:rPr>
          <w:lang w:val="en-US" w:eastAsia="zh-CN"/>
        </w:rPr>
        <w:t xml:space="preserve">e.g. the </w:t>
      </w:r>
      <w:r>
        <w:t>"</w:t>
      </w:r>
      <w:r>
        <w:rPr>
          <w:lang w:val="en-US" w:eastAsia="zh-CN"/>
        </w:rPr>
        <w:t xml:space="preserve">notifFlag" attribute within the "eventsRepInfo" attribute in the case of AF events) is included in the request with the value </w:t>
      </w:r>
      <w:r>
        <w:rPr>
          <w:lang w:val="en-US" w:eastAsia="zh-CN"/>
        </w:rPr>
        <w:t>"DEACTIVATE"</w:t>
      </w:r>
      <w:r>
        <w:rPr>
          <w:lang w:val="en-US" w:eastAsia="zh-CN"/>
        </w:rPr>
        <w:t xml:space="preserve">, the NWDAF shall mute the event notification and store the available events until the NF service consumer requests to retrieve them by setting the notification flag attribute to "RETRIEVAL" or until a muting exception occurs (e.g. full buffer). When a muting exception occurs, if the </w:t>
      </w:r>
      <w:r>
        <w:rPr>
          <w:lang w:val="en-US" w:eastAsia="zh-CN"/>
        </w:rPr>
        <w:t xml:space="preserve">EnhDataMgmt feature is supported, </w:t>
      </w:r>
      <w:r>
        <w:rPr>
          <w:lang w:val="en-US" w:eastAsia="zh-CN"/>
        </w:rPr>
        <w:t xml:space="preserve">the NWDAF may consider the contents of the muting instructions of the "dataSub" attribute (if provided; e.g. the "notifFlagInstruct" attribute within the "eventsRepInfo" attribute in the case of AF events) and/or local configuration to determine its actions; if the notification flag is set to the value </w:t>
      </w:r>
      <w:r>
        <w:rPr>
          <w:lang w:val="en-US" w:eastAsia="zh-CN"/>
        </w:rPr>
        <w:t>"RETRIEVAL"</w:t>
      </w:r>
      <w:r>
        <w:rPr>
          <w:lang w:val="en-US" w:eastAsia="zh-CN"/>
        </w:rPr>
        <w:t>, the NWDAF shall send the stored events to the NF service consumer, mute the event notification again and store available events; if the notification flag is set to the value "ACTIVATE" and the event notifications are muted (due to a previously received "DECATIVATE" value), the NWDAF shall unmute the event notification, i.e. start sending again notifications for available events.</w:t>
      </w:r>
    </w:p>
    <w:p w14:paraId="7274C690" w14:textId="77777777" w:rsidR="00A10B25" w:rsidRDefault="00A10B25">
      <w:r>
        <w:rPr>
          <w:lang w:val="en-US" w:eastAsia="zh-CN"/>
        </w:rPr>
        <w:t xml:space="preserve">If the EnhDataMgmt feature is supported and the </w:t>
      </w:r>
      <w:r>
        <w:rPr>
          <w:lang w:val="en-US" w:eastAsia="zh-CN"/>
        </w:rPr>
        <w:t>NWDAF</w:t>
      </w:r>
      <w:r>
        <w:rPr>
          <w:lang w:val="en-US" w:eastAsia="zh-CN"/>
        </w:rPr>
        <w:t xml:space="preserve"> accepts the provided notification flag and muting instructions, it may indicate the applied muting notification settings in the response (e.g. within the "mutingSetting" attribute in the case of AF events). If the </w:t>
      </w:r>
      <w:r>
        <w:rPr>
          <w:lang w:val="en-US" w:eastAsia="zh-CN"/>
        </w:rPr>
        <w:t>NWDAF</w:t>
      </w:r>
      <w:r>
        <w:rPr>
          <w:lang w:val="en-US" w:eastAsia="zh-CN"/>
        </w:rPr>
        <w:t xml:space="preserve"> does not accept the provided notification flag and muting instructions, it shall </w:t>
      </w:r>
      <w:r>
        <w:rPr>
          <w:rFonts w:eastAsia="等线"/>
        </w:rPr>
        <w:t>send an HTTP "403 Forbidden" error response including the "cause" attribute set to "MUTING_INSTR_NOT_ACCEPTED"</w:t>
      </w:r>
      <w:r>
        <w:rPr>
          <w:lang w:val="en-US" w:eastAsia="zh-CN"/>
        </w:rPr>
        <w:t>.</w:t>
      </w:r>
      <w:r>
        <w:t>If errors occur when processing the HTTP PUT request, the NWDAF shall send an HTTP error response as specified in clause 5.3.7.</w:t>
      </w:r>
    </w:p>
    <w:p w14:paraId="04F2673F" w14:textId="77777777" w:rsidR="00A10B25" w:rsidRDefault="00A10B25">
      <w:bookmarkStart w:id="2162" w:name="_Toc113031590"/>
      <w:bookmarkStart w:id="2163" w:name="_Toc112951050"/>
      <w:bookmarkStart w:id="2164" w:name="_Toc138754110"/>
      <w:bookmarkStart w:id="2165" w:name="_Toc120702229"/>
      <w:bookmarkStart w:id="2166" w:name="_Toc114133729"/>
      <w:bookmarkStart w:id="2167" w:name="_Toc136562276"/>
      <w:r>
        <w:t>If the NWDAF determines the received HTTP PUT request needs to be redirected, the NWDAF shall send an HTTP redirect response as specified in clause </w:t>
      </w:r>
      <w:r>
        <w:rPr>
          <w:lang w:eastAsia="zh-CN"/>
        </w:rPr>
        <w:t xml:space="preserve">6.10.9 of </w:t>
      </w:r>
      <w:r>
        <w:rPr>
          <w:lang w:val="en-US"/>
        </w:rPr>
        <w:t>3GPP TS 29.500 [6]</w:t>
      </w:r>
      <w:r>
        <w:t>.</w:t>
      </w:r>
    </w:p>
    <w:p w14:paraId="626F82C6" w14:textId="77777777" w:rsidR="00A10B25" w:rsidRDefault="00A10B25">
      <w:pPr>
        <w:pStyle w:val="4"/>
      </w:pPr>
      <w:bookmarkStart w:id="2168" w:name="_Toc145705597"/>
      <w:bookmarkStart w:id="2169" w:name="_Toc148522501"/>
      <w:bookmarkStart w:id="2170" w:name="_Toc164920625"/>
      <w:bookmarkStart w:id="2171" w:name="_Toc170120167"/>
      <w:bookmarkStart w:id="2172" w:name="_Toc175858412"/>
      <w:bookmarkStart w:id="2173" w:name="_Toc175859485"/>
      <w:bookmarkStart w:id="2174" w:name="_Toc180605775"/>
      <w:bookmarkStart w:id="2175" w:name="_Toc185517029"/>
      <w:bookmarkStart w:id="2176" w:name="_Toc191576080"/>
      <w:bookmarkStart w:id="2177" w:name="_Toc191576820"/>
      <w:bookmarkStart w:id="2178" w:name="_Toc192879890"/>
      <w:bookmarkStart w:id="2179" w:name="_Toc195814773"/>
      <w:bookmarkStart w:id="2180" w:name="_Toc199452720"/>
      <w:r>
        <w:t>4.4.2.3</w:t>
      </w:r>
      <w:r>
        <w:tab/>
      </w:r>
      <w:r>
        <w:rPr>
          <w:lang w:eastAsia="ja-JP"/>
        </w:rPr>
        <w:t>Nnwdaf_DataManagement_Unsubscribe</w:t>
      </w:r>
      <w:r>
        <w:t xml:space="preserve"> service operation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6AF8CA2E" w14:textId="77777777" w:rsidR="00A10B25" w:rsidRDefault="00A10B25">
      <w:pPr>
        <w:pStyle w:val="5"/>
      </w:pPr>
      <w:bookmarkStart w:id="2181" w:name="_Toc114133730"/>
      <w:bookmarkStart w:id="2182" w:name="_Toc113031591"/>
      <w:bookmarkStart w:id="2183" w:name="_Toc136562277"/>
      <w:bookmarkStart w:id="2184" w:name="_Toc112951051"/>
      <w:bookmarkStart w:id="2185" w:name="_Toc104538929"/>
      <w:bookmarkStart w:id="2186" w:name="_Toc120702230"/>
      <w:bookmarkStart w:id="2187" w:name="_Toc148522502"/>
      <w:bookmarkStart w:id="2188" w:name="_Toc145705598"/>
      <w:bookmarkStart w:id="2189" w:name="_Toc138754111"/>
      <w:bookmarkStart w:id="2190" w:name="_Toc98233564"/>
      <w:bookmarkStart w:id="2191" w:name="_Toc101244340"/>
      <w:bookmarkStart w:id="2192" w:name="_Toc164920626"/>
      <w:bookmarkStart w:id="2193" w:name="_Toc170120168"/>
      <w:bookmarkStart w:id="2194" w:name="_Toc175858413"/>
      <w:bookmarkStart w:id="2195" w:name="_Toc175859486"/>
      <w:bookmarkStart w:id="2196" w:name="_Toc180605776"/>
      <w:bookmarkStart w:id="2197" w:name="_Toc185517030"/>
      <w:bookmarkStart w:id="2198" w:name="_Toc191576081"/>
      <w:bookmarkStart w:id="2199" w:name="_Toc191576821"/>
      <w:bookmarkStart w:id="2200" w:name="_Toc192879891"/>
      <w:bookmarkStart w:id="2201" w:name="_Toc195814774"/>
      <w:bookmarkStart w:id="2202" w:name="_Toc199452721"/>
      <w:r>
        <w:t>4.4.2.3.1</w:t>
      </w:r>
      <w:r>
        <w:tab/>
        <w:t>General</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65714843" w14:textId="77777777" w:rsidR="00A10B25" w:rsidRDefault="00A10B25">
      <w:bookmarkStart w:id="2203" w:name="_Toc98233565"/>
      <w:bookmarkStart w:id="2204" w:name="_Toc104538930"/>
      <w:bookmarkStart w:id="2205" w:name="_Toc101244341"/>
      <w:r>
        <w:t>The Nnwdaf_DataManagement_Unsubscribe service operation is used by an NF service consumer to remove a subscription for data notifications from the NWDAF.</w:t>
      </w:r>
    </w:p>
    <w:p w14:paraId="45EE0E6D" w14:textId="77777777" w:rsidR="003E1F9F" w:rsidRPr="00105384" w:rsidRDefault="003E1F9F" w:rsidP="005B3671">
      <w:pPr>
        <w:pStyle w:val="5"/>
      </w:pPr>
      <w:bookmarkStart w:id="2206" w:name="_Toc85557011"/>
      <w:bookmarkStart w:id="2207" w:name="_Toc90655798"/>
      <w:bookmarkStart w:id="2208" w:name="_Toc83233015"/>
      <w:bookmarkStart w:id="2209" w:name="_Toc98233566"/>
      <w:bookmarkStart w:id="2210" w:name="_Toc101244342"/>
      <w:bookmarkStart w:id="2211" w:name="_Toc88667513"/>
      <w:bookmarkStart w:id="2212" w:name="_Toc70550578"/>
      <w:bookmarkStart w:id="2213" w:name="_Toc85552912"/>
      <w:bookmarkStart w:id="2214" w:name="_Toc104538931"/>
      <w:bookmarkStart w:id="2215" w:name="_Toc94064181"/>
      <w:bookmarkStart w:id="2216" w:name="_Toc120702232"/>
      <w:bookmarkStart w:id="2217" w:name="_Toc114133732"/>
      <w:bookmarkStart w:id="2218" w:name="_Toc112951053"/>
      <w:bookmarkStart w:id="2219" w:name="_Toc138754113"/>
      <w:bookmarkStart w:id="2220" w:name="_Toc136562279"/>
      <w:bookmarkStart w:id="2221" w:name="_Toc113031593"/>
      <w:bookmarkStart w:id="2222" w:name="_Toc148522504"/>
      <w:bookmarkStart w:id="2223" w:name="_Toc145705600"/>
      <w:bookmarkStart w:id="2224" w:name="_Toc113031592"/>
      <w:bookmarkStart w:id="2225" w:name="_Toc112951052"/>
      <w:bookmarkStart w:id="2226" w:name="_Toc145705599"/>
      <w:bookmarkStart w:id="2227" w:name="_Toc148522503"/>
      <w:bookmarkStart w:id="2228" w:name="_Toc136562278"/>
      <w:bookmarkStart w:id="2229" w:name="_Toc138754112"/>
      <w:bookmarkStart w:id="2230" w:name="_Toc114133731"/>
      <w:bookmarkStart w:id="2231" w:name="_Toc120702231"/>
      <w:bookmarkStart w:id="2232" w:name="_Toc164920627"/>
      <w:bookmarkStart w:id="2233" w:name="_Toc170120169"/>
      <w:bookmarkStart w:id="2234" w:name="_Toc175858414"/>
      <w:bookmarkStart w:id="2235" w:name="_Toc175859487"/>
      <w:bookmarkStart w:id="2236" w:name="_Toc180605777"/>
      <w:bookmarkStart w:id="2237" w:name="_Toc185517031"/>
      <w:bookmarkStart w:id="2238" w:name="_Toc191576082"/>
      <w:bookmarkStart w:id="2239" w:name="_Toc191576822"/>
      <w:bookmarkStart w:id="2240" w:name="_Toc192879892"/>
      <w:bookmarkStart w:id="2241" w:name="_Toc195814775"/>
      <w:bookmarkStart w:id="2242" w:name="_Toc199452722"/>
      <w:bookmarkEnd w:id="2203"/>
      <w:bookmarkEnd w:id="2204"/>
      <w:bookmarkEnd w:id="2205"/>
      <w:r w:rsidRPr="00105384">
        <w:lastRenderedPageBreak/>
        <w:t>4.4.2.3.2</w:t>
      </w:r>
      <w:r w:rsidRPr="00105384">
        <w:tab/>
        <w:t>Unsubscribe from data notifications</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r w:rsidRPr="00105384">
        <w:t xml:space="preserve"> </w:t>
      </w:r>
    </w:p>
    <w:p w14:paraId="58AC4E80" w14:textId="77777777" w:rsidR="003E1F9F" w:rsidRPr="00105384" w:rsidRDefault="003E1F9F" w:rsidP="003E1F9F">
      <w:pPr>
        <w:rPr>
          <w:rFonts w:eastAsia="等线"/>
        </w:rPr>
      </w:pPr>
      <w:r w:rsidRPr="00105384">
        <w:rPr>
          <w:rFonts w:eastAsia="等线"/>
        </w:rPr>
        <w:t>Figure 4.4.2.3.2-1 shows a scenario where the NF service consumer sends a request to the NWDAF to unsubscribe</w:t>
      </w:r>
      <w:r w:rsidRPr="00105384">
        <w:rPr>
          <w:rFonts w:eastAsia="Batang"/>
        </w:rPr>
        <w:t xml:space="preserve"> </w:t>
      </w:r>
      <w:r w:rsidRPr="00105384">
        <w:rPr>
          <w:rFonts w:eastAsia="等线"/>
        </w:rPr>
        <w:t>from data notifications.</w:t>
      </w:r>
    </w:p>
    <w:p w14:paraId="654C7BB5" w14:textId="77777777" w:rsidR="003E1F9F" w:rsidRPr="00105384" w:rsidRDefault="003E1F9F" w:rsidP="005B3671">
      <w:pPr>
        <w:pStyle w:val="TH"/>
      </w:pPr>
    </w:p>
    <w:p w14:paraId="4232CE95" w14:textId="77777777" w:rsidR="003E1F9F" w:rsidRPr="00105384" w:rsidRDefault="003E1F9F" w:rsidP="005B3671">
      <w:pPr>
        <w:pStyle w:val="TH"/>
        <w:rPr>
          <w:lang w:eastAsia="zh-CN"/>
        </w:rPr>
      </w:pPr>
      <w:r w:rsidRPr="00105384">
        <w:rPr>
          <w:lang w:eastAsia="en-GB"/>
        </w:rPr>
        <w:object w:dxaOrig="8591" w:dyaOrig="2721" w14:anchorId="5E446DC4">
          <v:shape id="_x0000_i1054" type="#_x0000_t75" style="width:494.6pt;height:157.15pt" o:ole="">
            <v:imagedata r:id="rId42" o:title=""/>
          </v:shape>
          <o:OLEObject Type="Embed" ProgID="Visio.Drawing.15" ShapeID="_x0000_i1054" DrawAspect="Content" ObjectID="_1810065998" r:id="rId43"/>
        </w:object>
      </w:r>
    </w:p>
    <w:p w14:paraId="322BFF53" w14:textId="77777777" w:rsidR="003E1F9F" w:rsidRPr="00105384" w:rsidRDefault="003E1F9F" w:rsidP="005B3671">
      <w:pPr>
        <w:pStyle w:val="TF"/>
      </w:pPr>
      <w:r w:rsidRPr="00105384">
        <w:t>Figure 4.4.2.3.2-1: NF service consumer unsubscribes from data notifications</w:t>
      </w:r>
    </w:p>
    <w:p w14:paraId="5CEEDAC8" w14:textId="77777777" w:rsidR="003E1F9F" w:rsidRPr="00105384" w:rsidRDefault="003E1F9F" w:rsidP="003E1F9F">
      <w:pPr>
        <w:rPr>
          <w:rFonts w:eastAsia="等线"/>
        </w:rPr>
      </w:pPr>
      <w:r w:rsidRPr="00105384">
        <w:rPr>
          <w:rFonts w:eastAsia="等线"/>
        </w:rPr>
        <w:t>The NF service consumer shall invoke the Nnwdaf_DataManagement_Unsubscribe service operation to unsubscribe from data notifications. The NF service consumer shall send an HTTP DELETE request with: "{apiRoot}/nnwdaf-datamanagement/&lt;apiVersion&gt;/subscriptions/{subscriptionId}" as Resource URI, where "{subscriptionId}" is the identifier of the existing subscription that is to be deleted.</w:t>
      </w:r>
    </w:p>
    <w:p w14:paraId="524C1D5F" w14:textId="77777777" w:rsidR="003E1F9F" w:rsidRPr="00105384" w:rsidRDefault="003E1F9F" w:rsidP="003E1F9F">
      <w:pPr>
        <w:rPr>
          <w:rFonts w:eastAsia="等线"/>
        </w:rPr>
      </w:pPr>
      <w:r w:rsidRPr="00105384">
        <w:rPr>
          <w:rFonts w:eastAsia="等线"/>
        </w:rPr>
        <w:t>Upon the reception of an HTTP DELETE request,</w:t>
      </w:r>
      <w:r w:rsidRPr="00105384">
        <w:t xml:space="preserve"> </w:t>
      </w:r>
      <w:r w:rsidRPr="00105384">
        <w:rPr>
          <w:rFonts w:eastAsia="等线"/>
        </w:rPr>
        <w:t xml:space="preserve">if the NWDAF successfully processed and accepted the received HTTP DELETE request, the NWDAF shall: </w:t>
      </w:r>
    </w:p>
    <w:p w14:paraId="4D0FA2DF" w14:textId="77777777" w:rsidR="003E1F9F" w:rsidRPr="00105384" w:rsidRDefault="003E1F9F" w:rsidP="005B3671">
      <w:pPr>
        <w:pStyle w:val="B1"/>
        <w:rPr>
          <w:rFonts w:eastAsia="等线"/>
        </w:rPr>
      </w:pPr>
      <w:r w:rsidRPr="00105384">
        <w:t>-</w:t>
      </w:r>
      <w:r w:rsidRPr="00105384">
        <w:tab/>
        <w:t>remove the corresponding subscription;</w:t>
      </w:r>
    </w:p>
    <w:p w14:paraId="6BE82B49" w14:textId="77777777" w:rsidR="003E1F9F" w:rsidRPr="00105384" w:rsidRDefault="003E1F9F" w:rsidP="005B3671">
      <w:pPr>
        <w:pStyle w:val="B1"/>
      </w:pPr>
      <w:r w:rsidRPr="00105384">
        <w:t>-</w:t>
      </w:r>
      <w:r w:rsidRPr="00105384">
        <w:tab/>
        <w:t>respond to the NF service consumer:</w:t>
      </w:r>
    </w:p>
    <w:p w14:paraId="44D18D66" w14:textId="77777777" w:rsidR="003E1F9F" w:rsidRPr="00105384" w:rsidRDefault="003E1F9F" w:rsidP="005B3671">
      <w:pPr>
        <w:pStyle w:val="B1"/>
      </w:pPr>
      <w:r w:rsidRPr="00105384">
        <w:t>-</w:t>
      </w:r>
      <w:r w:rsidRPr="00105384">
        <w:tab/>
        <w:t>respond</w:t>
      </w:r>
      <w:r w:rsidRPr="00105384">
        <w:rPr>
          <w:rFonts w:eastAsia="Batang"/>
        </w:rPr>
        <w:t xml:space="preserve"> </w:t>
      </w:r>
      <w:r w:rsidRPr="00105384">
        <w:t>with HTTP "204 No Content" status code if the "EnhDataMgmt" feature is not supported or no stored unsent events to be included in the response; or</w:t>
      </w:r>
    </w:p>
    <w:p w14:paraId="362A61E4" w14:textId="77777777" w:rsidR="003E1F9F" w:rsidRPr="00105384" w:rsidRDefault="003E1F9F" w:rsidP="005B3671">
      <w:pPr>
        <w:pStyle w:val="B1"/>
      </w:pPr>
      <w:r w:rsidRPr="00105384">
        <w:t>-</w:t>
      </w:r>
      <w:r w:rsidRPr="00105384">
        <w:tab/>
        <w:t>respond with HTTP "200 OK" status code if the "EnhDataMgmt" feature is supported and including the stored unsent events in the NnwdafDataManagementNotif data type in the response.</w:t>
      </w:r>
    </w:p>
    <w:p w14:paraId="12FA2785" w14:textId="77777777" w:rsidR="003E1F9F" w:rsidRPr="00105384" w:rsidRDefault="003E1F9F" w:rsidP="003E1F9F">
      <w:pPr>
        <w:rPr>
          <w:rFonts w:eastAsia="等线"/>
        </w:rPr>
      </w:pPr>
      <w:r w:rsidRPr="00105384">
        <w:rPr>
          <w:rFonts w:eastAsia="等线"/>
        </w:rPr>
        <w:t>If errors occur when processing the HTTP DELETE request, the NWDAF shall send an HTTP error response as specified in clause 5.3.7.</w:t>
      </w:r>
    </w:p>
    <w:p w14:paraId="21CADBEE" w14:textId="77777777" w:rsidR="003E1F9F" w:rsidRPr="00105384" w:rsidRDefault="003E1F9F" w:rsidP="003E1F9F">
      <w:pPr>
        <w:rPr>
          <w:rFonts w:eastAsia="等线"/>
        </w:rPr>
      </w:pPr>
      <w:r w:rsidRPr="00105384">
        <w:t>If the NWDAF determines the received HTTP DELETE request needs to be redirected, the NWDAF shall send an HTTP redirect response as specified in clause </w:t>
      </w:r>
      <w:r w:rsidRPr="00105384">
        <w:rPr>
          <w:lang w:eastAsia="zh-CN"/>
        </w:rPr>
        <w:t xml:space="preserve">6.10.9 of </w:t>
      </w:r>
      <w:r w:rsidRPr="00105384">
        <w:rPr>
          <w:lang w:val="en-US"/>
        </w:rPr>
        <w:t>3GPP TS 29.500 [6]</w:t>
      </w:r>
      <w:r w:rsidRPr="00105384">
        <w:t>.</w:t>
      </w:r>
    </w:p>
    <w:p w14:paraId="7E63FF4A" w14:textId="77777777" w:rsidR="00A10B25" w:rsidRDefault="00A10B25">
      <w:pPr>
        <w:pStyle w:val="4"/>
      </w:pPr>
      <w:bookmarkStart w:id="2243" w:name="_Toc164920628"/>
      <w:bookmarkStart w:id="2244" w:name="_Toc170120170"/>
      <w:bookmarkStart w:id="2245" w:name="_Toc175858415"/>
      <w:bookmarkStart w:id="2246" w:name="_Toc175859488"/>
      <w:bookmarkStart w:id="2247" w:name="_Toc180605778"/>
      <w:bookmarkStart w:id="2248" w:name="_Toc185517032"/>
      <w:bookmarkStart w:id="2249" w:name="_Toc191576083"/>
      <w:bookmarkStart w:id="2250" w:name="_Toc191576823"/>
      <w:bookmarkStart w:id="2251" w:name="_Toc192879893"/>
      <w:bookmarkStart w:id="2252" w:name="_Toc195814776"/>
      <w:bookmarkStart w:id="2253" w:name="_Toc199452723"/>
      <w:r>
        <w:t>4.4.2.4</w:t>
      </w:r>
      <w:r>
        <w:tab/>
      </w:r>
      <w:r>
        <w:rPr>
          <w:lang w:eastAsia="ja-JP"/>
        </w:rPr>
        <w:t>Nnwdaf_DataManagement_Notify</w:t>
      </w:r>
      <w:r>
        <w:t xml:space="preserve"> service operation</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43"/>
      <w:bookmarkEnd w:id="2244"/>
      <w:bookmarkEnd w:id="2245"/>
      <w:bookmarkEnd w:id="2246"/>
      <w:bookmarkEnd w:id="2247"/>
      <w:bookmarkEnd w:id="2248"/>
      <w:bookmarkEnd w:id="2249"/>
      <w:bookmarkEnd w:id="2250"/>
      <w:bookmarkEnd w:id="2251"/>
      <w:bookmarkEnd w:id="2252"/>
      <w:bookmarkEnd w:id="2253"/>
    </w:p>
    <w:p w14:paraId="5D45C52C" w14:textId="77777777" w:rsidR="00A10B25" w:rsidRDefault="00A10B25">
      <w:pPr>
        <w:pStyle w:val="5"/>
      </w:pPr>
      <w:bookmarkStart w:id="2254" w:name="_Toc120702233"/>
      <w:bookmarkStart w:id="2255" w:name="_Toc112951054"/>
      <w:bookmarkStart w:id="2256" w:name="_Toc113031594"/>
      <w:bookmarkStart w:id="2257" w:name="_Toc104538932"/>
      <w:bookmarkStart w:id="2258" w:name="_Toc136562280"/>
      <w:bookmarkStart w:id="2259" w:name="_Toc138754114"/>
      <w:bookmarkStart w:id="2260" w:name="_Toc145705601"/>
      <w:bookmarkStart w:id="2261" w:name="_Toc148522505"/>
      <w:bookmarkStart w:id="2262" w:name="_Toc114133733"/>
      <w:bookmarkStart w:id="2263" w:name="_Toc164920629"/>
      <w:bookmarkStart w:id="2264" w:name="_Toc170120171"/>
      <w:bookmarkStart w:id="2265" w:name="_Toc175858416"/>
      <w:bookmarkStart w:id="2266" w:name="_Toc175859489"/>
      <w:bookmarkStart w:id="2267" w:name="_Toc180605779"/>
      <w:bookmarkStart w:id="2268" w:name="_Toc185517033"/>
      <w:bookmarkStart w:id="2269" w:name="_Toc191576084"/>
      <w:bookmarkStart w:id="2270" w:name="_Toc191576824"/>
      <w:bookmarkStart w:id="2271" w:name="_Toc192879894"/>
      <w:bookmarkStart w:id="2272" w:name="_Toc195814777"/>
      <w:bookmarkStart w:id="2273" w:name="_Toc199452724"/>
      <w:r>
        <w:t>4.4.2.4.1</w:t>
      </w:r>
      <w:r>
        <w:tab/>
        <w:t>General</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58AA1C99" w14:textId="77777777" w:rsidR="00A10B25" w:rsidRDefault="00A10B25">
      <w:pPr>
        <w:rPr>
          <w:lang w:eastAsia="zh-CN"/>
        </w:rPr>
      </w:pPr>
      <w:bookmarkStart w:id="2274" w:name="_Toc104538933"/>
      <w:r>
        <w:rPr>
          <w:lang w:eastAsia="zh-CN"/>
        </w:rPr>
        <w:t>The Nnwdaf_</w:t>
      </w:r>
      <w:r>
        <w:t>DataManagement</w:t>
      </w:r>
      <w:r>
        <w:rPr>
          <w:lang w:eastAsia="zh-CN"/>
        </w:rPr>
        <w:t>_Notify service operation is used by the NWDAF to notify NF service consumers about subscribed events related to data.</w:t>
      </w:r>
    </w:p>
    <w:p w14:paraId="1117FDD7" w14:textId="77777777" w:rsidR="00A10B25" w:rsidRDefault="00A10B25">
      <w:pPr>
        <w:pStyle w:val="5"/>
      </w:pPr>
      <w:bookmarkStart w:id="2275" w:name="_Toc148522506"/>
      <w:bookmarkStart w:id="2276" w:name="_Toc120702234"/>
      <w:bookmarkStart w:id="2277" w:name="_Toc136562281"/>
      <w:bookmarkStart w:id="2278" w:name="_Toc114133734"/>
      <w:bookmarkStart w:id="2279" w:name="_Toc145705602"/>
      <w:bookmarkStart w:id="2280" w:name="_Toc112951055"/>
      <w:bookmarkStart w:id="2281" w:name="_Toc113031595"/>
      <w:bookmarkStart w:id="2282" w:name="_Toc138754115"/>
      <w:bookmarkStart w:id="2283" w:name="_Toc164920630"/>
      <w:bookmarkStart w:id="2284" w:name="_Toc170120172"/>
      <w:bookmarkStart w:id="2285" w:name="_Toc175858417"/>
      <w:bookmarkStart w:id="2286" w:name="_Toc175859490"/>
      <w:bookmarkStart w:id="2287" w:name="_Toc180605780"/>
      <w:bookmarkStart w:id="2288" w:name="_Toc185517034"/>
      <w:bookmarkStart w:id="2289" w:name="_Toc191576085"/>
      <w:bookmarkStart w:id="2290" w:name="_Toc191576825"/>
      <w:bookmarkStart w:id="2291" w:name="_Toc192879895"/>
      <w:bookmarkStart w:id="2292" w:name="_Toc195814778"/>
      <w:bookmarkStart w:id="2293" w:name="_Toc199452725"/>
      <w:r>
        <w:t>4.4.2.4.2</w:t>
      </w:r>
      <w:r>
        <w:tab/>
        <w:t>Notification about subscribed data</w:t>
      </w:r>
      <w:bookmarkEnd w:id="2275"/>
      <w:bookmarkEnd w:id="2276"/>
      <w:bookmarkEnd w:id="2277"/>
      <w:bookmarkEnd w:id="2278"/>
      <w:bookmarkEnd w:id="2279"/>
      <w:bookmarkEnd w:id="2282"/>
      <w:bookmarkEnd w:id="2283"/>
      <w:bookmarkEnd w:id="2284"/>
      <w:bookmarkEnd w:id="2285"/>
      <w:bookmarkEnd w:id="2286"/>
      <w:bookmarkEnd w:id="2287"/>
      <w:bookmarkEnd w:id="2288"/>
      <w:bookmarkEnd w:id="2289"/>
      <w:bookmarkEnd w:id="2290"/>
      <w:bookmarkEnd w:id="2291"/>
      <w:bookmarkEnd w:id="2292"/>
      <w:bookmarkEnd w:id="2293"/>
      <w:r>
        <w:t xml:space="preserve"> </w:t>
      </w:r>
      <w:bookmarkEnd w:id="2274"/>
      <w:bookmarkEnd w:id="2280"/>
      <w:bookmarkEnd w:id="2281"/>
    </w:p>
    <w:p w14:paraId="6071D5EE" w14:textId="77777777" w:rsidR="00640768" w:rsidRDefault="00640768" w:rsidP="00640768">
      <w:pPr>
        <w:rPr>
          <w:rFonts w:eastAsia="等线"/>
        </w:rPr>
      </w:pPr>
      <w:r>
        <w:rPr>
          <w:rFonts w:eastAsia="等线"/>
        </w:rPr>
        <w:t>Figure 4.2.2.</w:t>
      </w:r>
      <w:r>
        <w:rPr>
          <w:rFonts w:eastAsia="等线"/>
          <w:lang w:eastAsia="zh-CN"/>
        </w:rPr>
        <w:t>4</w:t>
      </w:r>
      <w:r>
        <w:rPr>
          <w:rFonts w:eastAsia="等线"/>
        </w:rPr>
        <w:t>.2-1 shows a scenario where the N</w:t>
      </w:r>
      <w:r>
        <w:rPr>
          <w:rFonts w:eastAsia="等线"/>
          <w:lang w:val="en-US"/>
        </w:rPr>
        <w:t>WDAF</w:t>
      </w:r>
      <w:r>
        <w:rPr>
          <w:rFonts w:eastAsia="等线"/>
        </w:rPr>
        <w:t xml:space="preserve"> sends a request to the NF service consumer to notify</w:t>
      </w:r>
      <w:r>
        <w:rPr>
          <w:rFonts w:eastAsia="Batang"/>
        </w:rPr>
        <w:t xml:space="preserve"> </w:t>
      </w:r>
      <w:r>
        <w:rPr>
          <w:rFonts w:eastAsia="等线"/>
        </w:rPr>
        <w:t>for event notifications (see also 3GPP TS 23.</w:t>
      </w:r>
      <w:r>
        <w:rPr>
          <w:rFonts w:eastAsia="等线"/>
          <w:lang w:eastAsia="zh-CN"/>
        </w:rPr>
        <w:t>288</w:t>
      </w:r>
      <w:r>
        <w:rPr>
          <w:rFonts w:eastAsia="等线"/>
        </w:rPr>
        <w:t> [</w:t>
      </w:r>
      <w:r>
        <w:rPr>
          <w:rFonts w:eastAsia="等线"/>
          <w:lang w:eastAsia="zh-CN"/>
        </w:rPr>
        <w:t>17</w:t>
      </w:r>
      <w:r>
        <w:rPr>
          <w:rFonts w:eastAsia="等线"/>
        </w:rPr>
        <w:t>]).</w:t>
      </w:r>
    </w:p>
    <w:p w14:paraId="0A28E77A" w14:textId="77777777" w:rsidR="003E1F9F" w:rsidRDefault="003E1F9F" w:rsidP="005B3671">
      <w:pPr>
        <w:pStyle w:val="TH"/>
        <w:rPr>
          <w:rFonts w:eastAsia="等线"/>
          <w:lang w:eastAsia="zh-CN"/>
        </w:rPr>
      </w:pPr>
      <w:r>
        <w:object w:dxaOrig="8580" w:dyaOrig="2700" w14:anchorId="0233E527">
          <v:shape id="_x0000_i1055" type="#_x0000_t75" style="width:428.85pt;height:134.6pt" o:ole="">
            <v:imagedata r:id="rId44" o:title=""/>
          </v:shape>
          <o:OLEObject Type="Embed" ProgID="Visio.Drawing.15" ShapeID="_x0000_i1055" DrawAspect="Content" ObjectID="_1810065999" r:id="rId45"/>
        </w:object>
      </w:r>
    </w:p>
    <w:p w14:paraId="5E44E8E4" w14:textId="77777777" w:rsidR="003E1F9F" w:rsidRDefault="003E1F9F" w:rsidP="003E1F9F">
      <w:pPr>
        <w:pStyle w:val="TF"/>
      </w:pPr>
      <w:r>
        <w:t>Figure 4.4.2.</w:t>
      </w:r>
      <w:r>
        <w:rPr>
          <w:lang w:eastAsia="zh-CN"/>
        </w:rPr>
        <w:t>4</w:t>
      </w:r>
      <w:r>
        <w:t>.2-1: NWDAF notifies the</w:t>
      </w:r>
      <w:r>
        <w:rPr>
          <w:rFonts w:eastAsia="Batang"/>
        </w:rPr>
        <w:t xml:space="preserve"> </w:t>
      </w:r>
      <w:r>
        <w:t>subscribed event</w:t>
      </w:r>
    </w:p>
    <w:p w14:paraId="14A76E2A" w14:textId="77777777" w:rsidR="00A10B25" w:rsidRDefault="00A10B25">
      <w:pPr>
        <w:rPr>
          <w:rFonts w:eastAsia="等线"/>
        </w:rPr>
      </w:pPr>
      <w:r>
        <w:rPr>
          <w:rFonts w:eastAsia="等线"/>
        </w:rPr>
        <w:t>The NWDAF shall invoke the Nnwdaf_</w:t>
      </w:r>
      <w:r>
        <w:t>DataManagement</w:t>
      </w:r>
      <w:r>
        <w:rPr>
          <w:rFonts w:eastAsia="等线"/>
        </w:rPr>
        <w:t>_Notify service operation to notify the subscribed event. The NWDAF shall send an HTTP POST request with "{</w:t>
      </w:r>
      <w:r>
        <w:t>notificURI</w:t>
      </w:r>
      <w:r>
        <w:rPr>
          <w:rFonts w:eastAsia="等线"/>
        </w:rPr>
        <w:t>}" received in the Nnwdaf_</w:t>
      </w:r>
      <w:r>
        <w:t>DataManagement</w:t>
      </w:r>
      <w:r>
        <w:rPr>
          <w:rFonts w:eastAsia="等线"/>
        </w:rPr>
        <w:t>_Subscribe service operation as Resource URI, as shown in figure 4.4.2.4.2-1, step 1.</w:t>
      </w:r>
    </w:p>
    <w:p w14:paraId="7639F3FB" w14:textId="77777777" w:rsidR="00A10B25" w:rsidRDefault="00A10B25">
      <w:pPr>
        <w:rPr>
          <w:rFonts w:eastAsia="等线"/>
        </w:rPr>
      </w:pPr>
      <w:r>
        <w:rPr>
          <w:rFonts w:eastAsia="等线"/>
        </w:rPr>
        <w:t>The NnwdafDataManagementNotif data structure provided in the request body that shall include:</w:t>
      </w:r>
    </w:p>
    <w:p w14:paraId="2851E344" w14:textId="77777777" w:rsidR="00A10B25" w:rsidRDefault="00A10B25">
      <w:pPr>
        <w:pStyle w:val="B1"/>
      </w:pPr>
      <w:r>
        <w:t>-</w:t>
      </w:r>
      <w:r>
        <w:tab/>
        <w:t xml:space="preserve">the notification correlation identifier within the </w:t>
      </w:r>
      <w:bookmarkStart w:id="2294" w:name="_Hlk98948495"/>
      <w:r>
        <w:t>"notifCorrId" attribute</w:t>
      </w:r>
      <w:bookmarkEnd w:id="2294"/>
      <w:r>
        <w:t>;</w:t>
      </w:r>
    </w:p>
    <w:p w14:paraId="68885D93" w14:textId="77777777" w:rsidR="00A10B25" w:rsidRDefault="00A10B25">
      <w:pPr>
        <w:pStyle w:val="B1"/>
      </w:pPr>
      <w:r>
        <w:rPr>
          <w:lang w:eastAsia="zh-CN"/>
        </w:rPr>
        <w:t>-</w:t>
      </w:r>
      <w:r>
        <w:rPr>
          <w:lang w:eastAsia="zh-CN"/>
        </w:rPr>
        <w:tab/>
        <w:t xml:space="preserve">the timestamp of the notification within the </w:t>
      </w:r>
      <w:r>
        <w:t>"notifTimestamp" attribute;</w:t>
      </w:r>
    </w:p>
    <w:p w14:paraId="527AC13E" w14:textId="77777777" w:rsidR="00A10B25" w:rsidRDefault="00A10B25">
      <w:pPr>
        <w:pStyle w:val="B1"/>
        <w:rPr>
          <w:lang w:eastAsia="zh-CN"/>
        </w:rPr>
      </w:pPr>
      <w:r>
        <w:rPr>
          <w:lang w:eastAsia="zh-CN"/>
        </w:rPr>
        <w:t>-</w:t>
      </w:r>
      <w:r>
        <w:rPr>
          <w:lang w:eastAsia="zh-CN"/>
        </w:rPr>
        <w:tab/>
        <w:t xml:space="preserve">one of the following: </w:t>
      </w:r>
    </w:p>
    <w:p w14:paraId="4A54567E" w14:textId="77777777" w:rsidR="00A10B25" w:rsidRDefault="00A10B25">
      <w:pPr>
        <w:pStyle w:val="B2"/>
      </w:pPr>
      <w:bookmarkStart w:id="2295" w:name="_Hlk98858351"/>
      <w:r>
        <w:t>-</w:t>
      </w:r>
      <w:r>
        <w:tab/>
        <w:t>data collected from data sources (e.g. SMF, NEF) in the "</w:t>
      </w:r>
      <w:r>
        <w:rPr>
          <w:lang w:eastAsia="zh-CN"/>
        </w:rPr>
        <w:t>dataNotification</w:t>
      </w:r>
      <w:r>
        <w:t>" attribute;</w:t>
      </w:r>
    </w:p>
    <w:p w14:paraId="2086F9FD" w14:textId="77777777" w:rsidR="00A10B25" w:rsidRDefault="00A10B25">
      <w:pPr>
        <w:pStyle w:val="B2"/>
      </w:pPr>
      <w:r>
        <w:t>-</w:t>
      </w:r>
      <w:r>
        <w:tab/>
        <w:t>summarized data derived from events</w:t>
      </w:r>
      <w:r>
        <w:rPr>
          <w:lang w:val="en-US" w:eastAsia="zh-CN"/>
        </w:rPr>
        <w:t xml:space="preserve"> that occurred based on processing and formatting instructions</w:t>
      </w:r>
      <w:r>
        <w:t xml:space="preserve"> in the "</w:t>
      </w:r>
      <w:r>
        <w:rPr>
          <w:lang w:val="en-US" w:eastAsia="zh-CN"/>
        </w:rPr>
        <w:t>dataReports</w:t>
      </w:r>
      <w:r>
        <w:t>" attribute;</w:t>
      </w:r>
    </w:p>
    <w:p w14:paraId="75312D0F" w14:textId="77777777" w:rsidR="00A10B25" w:rsidRDefault="00A10B25">
      <w:pPr>
        <w:pStyle w:val="B2"/>
      </w:pPr>
      <w:r>
        <w:t>-</w:t>
      </w:r>
      <w:r>
        <w:tab/>
        <w:t>information for fetching the contents of the notification in the "</w:t>
      </w:r>
      <w:r>
        <w:rPr>
          <w:lang w:eastAsia="ja-JP"/>
        </w:rPr>
        <w:t>fetch</w:t>
      </w:r>
      <w:r>
        <w:t>Instruct" attribute.</w:t>
      </w:r>
    </w:p>
    <w:bookmarkEnd w:id="2295"/>
    <w:p w14:paraId="7A9A8398" w14:textId="77777777" w:rsidR="00A10B25" w:rsidRDefault="00A10B25" w:rsidP="0076721C">
      <w:pPr>
        <w:pStyle w:val="B2"/>
      </w:pPr>
      <w:r>
        <w:t>-</w:t>
      </w:r>
      <w:r>
        <w:tab/>
        <w:t>a deletion alert in the "delAlert" attribute, if the "EnhDataMgmt" feature is supported.</w:t>
      </w:r>
    </w:p>
    <w:p w14:paraId="14B754D5" w14:textId="77777777" w:rsidR="00A10B25" w:rsidRDefault="00A10B25">
      <w:pPr>
        <w:rPr>
          <w:rFonts w:eastAsia="等线"/>
        </w:rPr>
      </w:pPr>
      <w:r>
        <w:rPr>
          <w:rFonts w:eastAsia="等线"/>
        </w:rPr>
        <w:t>The NnwdafDataManagementNotif data structure provided in the request body may include:</w:t>
      </w:r>
    </w:p>
    <w:p w14:paraId="583E3789" w14:textId="77777777" w:rsidR="00A10B25" w:rsidRDefault="00A10B25">
      <w:pPr>
        <w:pStyle w:val="B1"/>
      </w:pPr>
      <w:r>
        <w:t>-</w:t>
      </w:r>
      <w:r>
        <w:tab/>
        <w:t>an indication that the NWDAF has requested a termination of the subscription within the "terminationReq" attribute; and/or</w:t>
      </w:r>
    </w:p>
    <w:p w14:paraId="65E55989" w14:textId="77777777" w:rsidR="00A10B25" w:rsidRDefault="00A10B25">
      <w:pPr>
        <w:pStyle w:val="B1"/>
      </w:pPr>
      <w:r>
        <w:t>-</w:t>
      </w:r>
      <w:r>
        <w:tab/>
        <w:t>a pending notification cause for the stored unsent data in the "pendNotifCause" attribute if the "EnhDataMgmt" feature is supported.</w:t>
      </w:r>
    </w:p>
    <w:p w14:paraId="2AA8C3A6" w14:textId="77777777" w:rsidR="00A10B25" w:rsidRDefault="00A10B25">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 or with HTTP "200 OK" status code and the NotifResponse data structure in the response body if the "EnhDataMgmt" feature is supported.</w:t>
      </w:r>
    </w:p>
    <w:p w14:paraId="276679D8" w14:textId="77777777" w:rsidR="00A10B25" w:rsidRDefault="00A10B25">
      <w:pPr>
        <w:rPr>
          <w:rFonts w:eastAsia="等线"/>
          <w:lang w:val="en-US" w:eastAsia="zh-CN"/>
        </w:rPr>
      </w:pPr>
      <w:r>
        <w:rPr>
          <w:rFonts w:eastAsia="等线"/>
          <w:lang w:val="en-US" w:eastAsia="zh-CN"/>
        </w:rPr>
        <w:t>After the successful processing of the HTTP POST request:</w:t>
      </w:r>
    </w:p>
    <w:p w14:paraId="215D1256" w14:textId="77777777" w:rsidR="00A10B25" w:rsidRDefault="00A10B25">
      <w:pPr>
        <w:pStyle w:val="B1"/>
        <w:rPr>
          <w:rFonts w:eastAsia="等线"/>
          <w:lang w:val="en-US" w:eastAsia="zh-CN"/>
        </w:rPr>
      </w:pPr>
      <w:r>
        <w:rPr>
          <w:rFonts w:eastAsia="等线"/>
          <w:lang w:val="en-US" w:eastAsia="zh-CN"/>
        </w:rPr>
        <w:t>-</w:t>
      </w:r>
      <w:r>
        <w:rPr>
          <w:rFonts w:eastAsia="等线"/>
          <w:lang w:val="en-US" w:eastAsia="zh-CN"/>
        </w:rPr>
        <w:tab/>
        <w:t xml:space="preserve">if the NWDAF requests the NF service consumer with the "fetchInstruct" attribute to retrieve the data, the NF service consumer may invoke </w:t>
      </w:r>
      <w:r>
        <w:rPr>
          <w:rFonts w:eastAsia="等线"/>
        </w:rPr>
        <w:t xml:space="preserve">the Nnwdaf_DataManagement_Fetch service operation to </w:t>
      </w:r>
      <w:r>
        <w:rPr>
          <w:rFonts w:eastAsia="等线"/>
          <w:lang w:eastAsia="ja-JP"/>
        </w:rPr>
        <w:t xml:space="preserve">retrieve the </w:t>
      </w:r>
      <w:r>
        <w:rPr>
          <w:rFonts w:eastAsia="等线"/>
        </w:rPr>
        <w:t xml:space="preserve">notified </w:t>
      </w:r>
      <w:r>
        <w:rPr>
          <w:rFonts w:eastAsia="等线"/>
          <w:lang w:val="en-US" w:eastAsia="zh-CN"/>
        </w:rPr>
        <w:t>data as defined in clause </w:t>
      </w:r>
      <w:r>
        <w:rPr>
          <w:rFonts w:eastAsia="等线"/>
        </w:rPr>
        <w:t>4.4.2.5</w:t>
      </w:r>
      <w:r>
        <w:rPr>
          <w:rFonts w:eastAsia="等线"/>
          <w:lang w:val="en-US" w:eastAsia="zh-CN"/>
        </w:rPr>
        <w:t>.</w:t>
      </w:r>
    </w:p>
    <w:p w14:paraId="0A952FEF" w14:textId="77777777" w:rsidR="00A10B25" w:rsidRDefault="00A10B25">
      <w:pPr>
        <w:pStyle w:val="B1"/>
        <w:rPr>
          <w:rFonts w:eastAsia="等线"/>
        </w:rPr>
      </w:pPr>
      <w:r>
        <w:rPr>
          <w:rFonts w:eastAsia="等线"/>
          <w:lang w:val="en-US" w:eastAsia="zh-CN"/>
        </w:rPr>
        <w:t>-</w:t>
      </w:r>
      <w:r>
        <w:rPr>
          <w:rFonts w:eastAsia="等线"/>
        </w:rPr>
        <w:tab/>
        <w:t xml:space="preserve">if the NWDAF provided a deletion alert to the NF service consumer, the NF service consumer may invoke the Nadrf_DataManagement_RetrievalRequest service operation as defined in </w:t>
      </w:r>
      <w:r>
        <w:t>3GPP TS 29.575 [27] clause 4.2.2.5</w:t>
      </w:r>
      <w:r>
        <w:rPr>
          <w:rFonts w:eastAsia="等线"/>
        </w:rPr>
        <w:t>, using the storage transaction identifier received within the "alertStorTransId" attribute of the "delAlert" attribute, in order to retrieve the data that are about to be deleted.</w:t>
      </w:r>
    </w:p>
    <w:p w14:paraId="185C8A44" w14:textId="77777777" w:rsidR="00A10B25" w:rsidRDefault="00A10B25">
      <w:pPr>
        <w:pStyle w:val="NO"/>
        <w:rPr>
          <w:rFonts w:eastAsia="等线"/>
        </w:rPr>
      </w:pPr>
      <w:r>
        <w:rPr>
          <w:rFonts w:eastAsia="等线"/>
        </w:rPr>
        <w:t>NOTE:</w:t>
      </w:r>
      <w:r>
        <w:rPr>
          <w:rFonts w:eastAsia="等线"/>
        </w:rPr>
        <w:tab/>
        <w:t>The "alertStorTransId" attribute, which is used for retrieving data prior to deletion, does not have to be the same with or related to the storage transaction identifier that is assigned and returned during the storage of the data in the ADRF.</w:t>
      </w:r>
    </w:p>
    <w:p w14:paraId="31310D26" w14:textId="77777777" w:rsidR="00A10B25" w:rsidRDefault="00A10B25">
      <w:r>
        <w:t>If errors occur when processing the HTTP POST request, the NF service consumer shall send an HTTP error response as specified in clause 5.3.7.</w:t>
      </w:r>
    </w:p>
    <w:p w14:paraId="41D2385B" w14:textId="77777777" w:rsidR="00A10B25" w:rsidRDefault="00A10B25">
      <w:pPr>
        <w:rPr>
          <w:lang w:eastAsia="en-GB"/>
        </w:rPr>
      </w:pPr>
      <w:bookmarkStart w:id="2296" w:name="_Toc114133735"/>
      <w:bookmarkStart w:id="2297" w:name="_Toc101244343"/>
      <w:bookmarkStart w:id="2298" w:name="_Toc112951056"/>
      <w:bookmarkStart w:id="2299" w:name="_Toc94064182"/>
      <w:bookmarkStart w:id="2300" w:name="_Toc85557012"/>
      <w:bookmarkStart w:id="2301" w:name="_Toc113031596"/>
      <w:bookmarkStart w:id="2302" w:name="_Toc136562282"/>
      <w:bookmarkStart w:id="2303" w:name="_Toc83233016"/>
      <w:bookmarkStart w:id="2304" w:name="_Toc88667514"/>
      <w:bookmarkStart w:id="2305" w:name="_Toc98233567"/>
      <w:bookmarkStart w:id="2306" w:name="_Toc90655799"/>
      <w:bookmarkStart w:id="2307" w:name="_Toc138754116"/>
      <w:bookmarkStart w:id="2308" w:name="_Toc85552913"/>
      <w:bookmarkStart w:id="2309" w:name="_Toc70550579"/>
      <w:bookmarkStart w:id="2310" w:name="_Toc104538934"/>
      <w:bookmarkStart w:id="2311" w:name="_Toc120702235"/>
      <w:r>
        <w:t>If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[6]</w:t>
      </w:r>
      <w:r>
        <w:t>.</w:t>
      </w:r>
    </w:p>
    <w:p w14:paraId="38C8D4D3" w14:textId="77777777" w:rsidR="00A10B25" w:rsidRDefault="00A10B25">
      <w:pPr>
        <w:pStyle w:val="4"/>
      </w:pPr>
      <w:bookmarkStart w:id="2312" w:name="_Toc145705603"/>
      <w:bookmarkStart w:id="2313" w:name="_Toc148522507"/>
      <w:bookmarkStart w:id="2314" w:name="_Toc164920631"/>
      <w:bookmarkStart w:id="2315" w:name="_Toc170120173"/>
      <w:bookmarkStart w:id="2316" w:name="_Toc175858418"/>
      <w:bookmarkStart w:id="2317" w:name="_Toc175859491"/>
      <w:bookmarkStart w:id="2318" w:name="_Toc180605781"/>
      <w:bookmarkStart w:id="2319" w:name="_Toc185517035"/>
      <w:bookmarkStart w:id="2320" w:name="_Toc191576086"/>
      <w:bookmarkStart w:id="2321" w:name="_Toc191576826"/>
      <w:bookmarkStart w:id="2322" w:name="_Toc192879896"/>
      <w:bookmarkStart w:id="2323" w:name="_Toc195814779"/>
      <w:bookmarkStart w:id="2324" w:name="_Toc199452726"/>
      <w:r>
        <w:lastRenderedPageBreak/>
        <w:t>4.4.2.5</w:t>
      </w:r>
      <w:r>
        <w:tab/>
      </w:r>
      <w:r>
        <w:rPr>
          <w:lang w:eastAsia="ja-JP"/>
        </w:rPr>
        <w:t>Nnwdaf_DataManagement_Fetch</w:t>
      </w:r>
      <w:r>
        <w:t xml:space="preserve"> service operation</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0B996D5C" w14:textId="77777777" w:rsidR="00A10B25" w:rsidRDefault="00A10B25">
      <w:pPr>
        <w:pStyle w:val="5"/>
      </w:pPr>
      <w:bookmarkStart w:id="2325" w:name="_Toc112951057"/>
      <w:bookmarkStart w:id="2326" w:name="_Toc136562283"/>
      <w:bookmarkStart w:id="2327" w:name="_Toc114133736"/>
      <w:bookmarkStart w:id="2328" w:name="_Toc113031597"/>
      <w:bookmarkStart w:id="2329" w:name="_Toc145705604"/>
      <w:bookmarkStart w:id="2330" w:name="_Toc148522508"/>
      <w:bookmarkStart w:id="2331" w:name="_Toc138754117"/>
      <w:bookmarkStart w:id="2332" w:name="_Toc104538935"/>
      <w:bookmarkStart w:id="2333" w:name="_Toc120702236"/>
      <w:bookmarkStart w:id="2334" w:name="_Toc164920632"/>
      <w:bookmarkStart w:id="2335" w:name="_Toc170120174"/>
      <w:bookmarkStart w:id="2336" w:name="_Toc175858419"/>
      <w:bookmarkStart w:id="2337" w:name="_Toc175859492"/>
      <w:bookmarkStart w:id="2338" w:name="_Toc180605782"/>
      <w:bookmarkStart w:id="2339" w:name="_Toc185517036"/>
      <w:bookmarkStart w:id="2340" w:name="_Toc191576087"/>
      <w:bookmarkStart w:id="2341" w:name="_Toc191576827"/>
      <w:bookmarkStart w:id="2342" w:name="_Toc192879897"/>
      <w:bookmarkStart w:id="2343" w:name="_Toc195814780"/>
      <w:bookmarkStart w:id="2344" w:name="_Toc199452727"/>
      <w:r>
        <w:t>4.4.2.5.1</w:t>
      </w:r>
      <w:r>
        <w:tab/>
        <w:t>General</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18051992" w14:textId="77777777" w:rsidR="00A10B25" w:rsidRDefault="00A10B25">
      <w:bookmarkStart w:id="2345" w:name="_Toc104538936"/>
      <w:r>
        <w:t xml:space="preserve">The Nnwdaf_DataManagement_Fetch service operation is used by an NF service consumer to </w:t>
      </w:r>
      <w:r>
        <w:rPr>
          <w:lang w:eastAsia="ja-JP"/>
        </w:rPr>
        <w:t xml:space="preserve">retrieve </w:t>
      </w:r>
      <w:r>
        <w:t>data notifications indicated by fetch instructions from the NWDAF.</w:t>
      </w:r>
    </w:p>
    <w:p w14:paraId="16B2C3E4" w14:textId="77777777" w:rsidR="00A10B25" w:rsidRDefault="00A10B25">
      <w:pPr>
        <w:pStyle w:val="5"/>
      </w:pPr>
      <w:bookmarkStart w:id="2346" w:name="_Toc112951058"/>
      <w:bookmarkStart w:id="2347" w:name="_Toc120702237"/>
      <w:bookmarkStart w:id="2348" w:name="_Toc138754118"/>
      <w:bookmarkStart w:id="2349" w:name="_Toc136562284"/>
      <w:bookmarkStart w:id="2350" w:name="_Toc145705605"/>
      <w:bookmarkStart w:id="2351" w:name="_Toc113031598"/>
      <w:bookmarkStart w:id="2352" w:name="_Toc148522509"/>
      <w:bookmarkStart w:id="2353" w:name="_Toc114133737"/>
      <w:bookmarkStart w:id="2354" w:name="_Toc98233568"/>
      <w:bookmarkStart w:id="2355" w:name="_Toc85557013"/>
      <w:bookmarkStart w:id="2356" w:name="_Toc104538937"/>
      <w:bookmarkStart w:id="2357" w:name="_Toc101244344"/>
      <w:bookmarkStart w:id="2358" w:name="_Toc83233017"/>
      <w:bookmarkStart w:id="2359" w:name="_Toc88667515"/>
      <w:bookmarkStart w:id="2360" w:name="_Toc90655800"/>
      <w:bookmarkStart w:id="2361" w:name="_Toc70550580"/>
      <w:bookmarkStart w:id="2362" w:name="_Toc85552914"/>
      <w:bookmarkStart w:id="2363" w:name="_Toc94064183"/>
      <w:bookmarkStart w:id="2364" w:name="_Toc164920633"/>
      <w:bookmarkStart w:id="2365" w:name="_Toc170120175"/>
      <w:bookmarkStart w:id="2366" w:name="_Toc175858420"/>
      <w:bookmarkStart w:id="2367" w:name="_Toc175859493"/>
      <w:bookmarkStart w:id="2368" w:name="_Toc180605783"/>
      <w:bookmarkStart w:id="2369" w:name="_Toc185517037"/>
      <w:bookmarkStart w:id="2370" w:name="_Toc191576088"/>
      <w:bookmarkStart w:id="2371" w:name="_Toc191576828"/>
      <w:bookmarkStart w:id="2372" w:name="_Toc192879898"/>
      <w:bookmarkStart w:id="2373" w:name="_Toc195814781"/>
      <w:bookmarkStart w:id="2374" w:name="_Toc199452728"/>
      <w:bookmarkEnd w:id="2345"/>
      <w:r>
        <w:t>4.4.2.5.2</w:t>
      </w:r>
      <w:r>
        <w:tab/>
        <w:t>Retrieve data from the NWDAF</w:t>
      </w:r>
      <w:bookmarkEnd w:id="2346"/>
      <w:bookmarkEnd w:id="2347"/>
      <w:bookmarkEnd w:id="2348"/>
      <w:bookmarkEnd w:id="2349"/>
      <w:bookmarkEnd w:id="2350"/>
      <w:bookmarkEnd w:id="2351"/>
      <w:bookmarkEnd w:id="2352"/>
      <w:bookmarkEnd w:id="2353"/>
      <w:bookmarkEnd w:id="2364"/>
      <w:bookmarkEnd w:id="2365"/>
      <w:bookmarkEnd w:id="2366"/>
      <w:bookmarkEnd w:id="2367"/>
      <w:bookmarkEnd w:id="2368"/>
      <w:bookmarkEnd w:id="2369"/>
      <w:bookmarkEnd w:id="2370"/>
      <w:bookmarkEnd w:id="2371"/>
      <w:bookmarkEnd w:id="2372"/>
      <w:bookmarkEnd w:id="2373"/>
      <w:bookmarkEnd w:id="2374"/>
    </w:p>
    <w:p w14:paraId="6311D11A" w14:textId="77777777" w:rsidR="00A10B25" w:rsidRDefault="00A10B25">
      <w:r>
        <w:t xml:space="preserve">Figure 4.4.2.5.2-1 shows a scenario where the NF service consumer sends a request to the NWDAF to </w:t>
      </w:r>
      <w:r>
        <w:rPr>
          <w:lang w:eastAsia="ja-JP"/>
        </w:rPr>
        <w:t xml:space="preserve">retrieve </w:t>
      </w:r>
      <w:r>
        <w:rPr>
          <w:lang w:eastAsia="zh-CN"/>
        </w:rPr>
        <w:t>notifi</w:t>
      </w:r>
      <w:r>
        <w:t>ed data.</w:t>
      </w:r>
    </w:p>
    <w:p w14:paraId="3D8FB307" w14:textId="77777777" w:rsidR="00A10B25" w:rsidRDefault="00A10B25">
      <w:pPr>
        <w:pStyle w:val="TH"/>
        <w:rPr>
          <w:rFonts w:eastAsia="等线"/>
        </w:rPr>
      </w:pPr>
    </w:p>
    <w:p w14:paraId="4CD3F28D" w14:textId="47867580" w:rsidR="00A10B25" w:rsidRDefault="00257874">
      <w:pPr>
        <w:pStyle w:val="TH"/>
        <w:rPr>
          <w:lang w:eastAsia="zh-CN"/>
        </w:rPr>
      </w:pPr>
      <w:r>
        <w:rPr>
          <w:rFonts w:ascii="Times New Roman" w:hAnsi="Times New Roman"/>
          <w:noProof/>
          <w:lang w:val="en-US" w:eastAsia="zh-CN"/>
        </w:rPr>
        <w:drawing>
          <wp:inline distT="0" distB="0" distL="0" distR="0" wp14:anchorId="1BEAC0B1" wp14:editId="0F6C4457">
            <wp:extent cx="5430520" cy="1725295"/>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30520" cy="1725295"/>
                    </a:xfrm>
                    <a:prstGeom prst="rect">
                      <a:avLst/>
                    </a:prstGeom>
                    <a:noFill/>
                    <a:ln>
                      <a:noFill/>
                    </a:ln>
                  </pic:spPr>
                </pic:pic>
              </a:graphicData>
            </a:graphic>
          </wp:inline>
        </w:drawing>
      </w:r>
    </w:p>
    <w:p w14:paraId="7A0CF159" w14:textId="77777777" w:rsidR="00A10B25" w:rsidRDefault="00A10B25">
      <w:pPr>
        <w:pStyle w:val="TF"/>
      </w:pPr>
      <w:r>
        <w:t xml:space="preserve">Figure 4.4.2.5.2-1: Requesting to </w:t>
      </w:r>
      <w:r>
        <w:rPr>
          <w:lang w:eastAsia="ja-JP"/>
        </w:rPr>
        <w:t xml:space="preserve">retrieve </w:t>
      </w:r>
      <w:r>
        <w:t>notified data</w:t>
      </w:r>
    </w:p>
    <w:p w14:paraId="5D93D346" w14:textId="77777777" w:rsidR="00EF7075" w:rsidRDefault="00EF7075" w:rsidP="00EF7075">
      <w:pPr>
        <w:rPr>
          <w:lang w:eastAsia="zh-CN"/>
        </w:rPr>
      </w:pPr>
      <w:r>
        <w:t xml:space="preserve">The NF service consumer shall invoke the Nnwdaf_DataManagement_Fetch service operation to </w:t>
      </w:r>
      <w:r>
        <w:rPr>
          <w:lang w:eastAsia="ja-JP"/>
        </w:rPr>
        <w:t xml:space="preserve">retrieve </w:t>
      </w:r>
      <w:r>
        <w:t xml:space="preserve">notified data. The NF service consumer </w:t>
      </w:r>
      <w:r>
        <w:rPr>
          <w:lang w:val="en-US"/>
        </w:rPr>
        <w:t xml:space="preserve">shall </w:t>
      </w:r>
      <w:r>
        <w:t xml:space="preserve">send an HTTP POST request with "{fetchUri}" URI previously provided by the NWDAF in "fetchInstruct" attribute within NnwdafDataManagementNotif data type, as shown in figure 4.4.2.5.2-1, step 1, to fetch NWDAF data. </w:t>
      </w:r>
      <w:r>
        <w:rPr>
          <w:lang w:eastAsia="zh-CN"/>
        </w:rPr>
        <w:t xml:space="preserve">The request body shall include fetch correlation identifiers, which was previously provided by the NWDAF in the </w:t>
      </w:r>
      <w:r>
        <w:t xml:space="preserve">"fetchCorrIds" attribute within </w:t>
      </w:r>
      <w:r>
        <w:rPr>
          <w:lang w:eastAsia="ja-JP"/>
        </w:rPr>
        <w:t>FetchInstruction</w:t>
      </w:r>
      <w:r>
        <w:t xml:space="preserve"> data structure in the NWDAF notification.</w:t>
      </w:r>
    </w:p>
    <w:p w14:paraId="0B1D0CA9" w14:textId="77777777" w:rsidR="00A10B25" w:rsidRDefault="00A10B25">
      <w:r>
        <w:t>Upon the reception of the HTTP POST request, the NWDAF shall:</w:t>
      </w:r>
    </w:p>
    <w:p w14:paraId="747B55E8" w14:textId="77777777" w:rsidR="00A10B25" w:rsidRDefault="00A10B25">
      <w:pPr>
        <w:pStyle w:val="B1"/>
      </w:pPr>
      <w:r>
        <w:t>-</w:t>
      </w:r>
      <w:r>
        <w:tab/>
        <w:t>find the data according to the requested parameters.</w:t>
      </w:r>
    </w:p>
    <w:p w14:paraId="3A9B8D0F" w14:textId="77777777" w:rsidR="00BD381F" w:rsidRDefault="00BD381F" w:rsidP="00BD381F">
      <w:r>
        <w:t xml:space="preserve">If the requested data is found, the NWDAF shall respond with "200 OK" status code with the message body containing the </w:t>
      </w:r>
      <w:r>
        <w:rPr>
          <w:lang w:val="en-US" w:eastAsia="zh-CN"/>
        </w:rPr>
        <w:t>NnwdafDataManagementNotif</w:t>
      </w:r>
      <w:r>
        <w:t xml:space="preserve"> data structure. The </w:t>
      </w:r>
      <w:r>
        <w:rPr>
          <w:lang w:val="en-US" w:eastAsia="zh-CN"/>
        </w:rPr>
        <w:t>NnwdafDataManagementNotif</w:t>
      </w:r>
      <w:r>
        <w:t xml:space="preserve"> data structure in the response body shall include one of the following:</w:t>
      </w:r>
    </w:p>
    <w:p w14:paraId="7C7F41F3" w14:textId="77777777" w:rsidR="00BD381F" w:rsidRDefault="00BD381F" w:rsidP="00BD381F">
      <w:pPr>
        <w:pStyle w:val="affff9"/>
        <w:numPr>
          <w:ilvl w:val="0"/>
          <w:numId w:val="31"/>
        </w:numPr>
      </w:pPr>
      <w:r>
        <w:t>the data collected from data sources (e.g. SMF, NEF) in the "dataNotification" attribute; and</w:t>
      </w:r>
    </w:p>
    <w:p w14:paraId="39120EC0" w14:textId="77777777" w:rsidR="00BD381F" w:rsidRDefault="00BD381F" w:rsidP="00BD381F">
      <w:pPr>
        <w:pStyle w:val="affff9"/>
        <w:numPr>
          <w:ilvl w:val="0"/>
          <w:numId w:val="31"/>
        </w:numPr>
      </w:pPr>
      <w:r>
        <w:t>the summarized data derived from events that occurred based on processing and formatting instructions in the "dataReports" attribute.</w:t>
      </w:r>
    </w:p>
    <w:p w14:paraId="04CC9ED1" w14:textId="77777777" w:rsidR="00A10B25" w:rsidRDefault="00A10B25">
      <w:r>
        <w:t>If an error occurs when processing the HTTP POST request, the NWDAF shall send an HTTP error response as specified in clause 5.3.7.</w:t>
      </w:r>
    </w:p>
    <w:p w14:paraId="38F55AD8" w14:textId="77777777" w:rsidR="00A10B25" w:rsidRDefault="00A10B25">
      <w:r>
        <w:t>If the NWDAF determines that the received HTTP POST request needs to be redirected, the NWDAF shall send an HTTP redirect response as specified in clause 6.10.9 of 3GPP TS 29.500 [6].</w:t>
      </w:r>
    </w:p>
    <w:p w14:paraId="37AADCAC" w14:textId="77777777" w:rsidR="00A10B25" w:rsidRDefault="00A10B25">
      <w:pPr>
        <w:pStyle w:val="2"/>
      </w:pPr>
      <w:bookmarkStart w:id="2375" w:name="_Toc120702238"/>
      <w:bookmarkStart w:id="2376" w:name="_Toc113031599"/>
      <w:bookmarkStart w:id="2377" w:name="_Toc114133738"/>
      <w:bookmarkStart w:id="2378" w:name="_Toc136562285"/>
      <w:bookmarkStart w:id="2379" w:name="_Toc145705606"/>
      <w:bookmarkStart w:id="2380" w:name="_Toc148522510"/>
      <w:bookmarkStart w:id="2381" w:name="_Toc138754119"/>
      <w:bookmarkStart w:id="2382" w:name="_Toc112951059"/>
      <w:bookmarkStart w:id="2383" w:name="_Toc164920634"/>
      <w:bookmarkStart w:id="2384" w:name="_Toc170120176"/>
      <w:bookmarkStart w:id="2385" w:name="_Toc175858421"/>
      <w:bookmarkStart w:id="2386" w:name="_Toc175859494"/>
      <w:bookmarkStart w:id="2387" w:name="_Toc180605784"/>
      <w:bookmarkStart w:id="2388" w:name="_Toc185517038"/>
      <w:bookmarkStart w:id="2389" w:name="_Toc191576089"/>
      <w:bookmarkStart w:id="2390" w:name="_Toc191576829"/>
      <w:bookmarkStart w:id="2391" w:name="_Toc192879899"/>
      <w:bookmarkStart w:id="2392" w:name="_Toc195814782"/>
      <w:bookmarkStart w:id="2393" w:name="_Toc199452729"/>
      <w:r>
        <w:lastRenderedPageBreak/>
        <w:t>4.5</w:t>
      </w:r>
      <w:r>
        <w:tab/>
      </w:r>
      <w:r>
        <w:rPr>
          <w:rFonts w:hint="eastAsia"/>
          <w:lang w:eastAsia="zh-CN"/>
        </w:rPr>
        <w:t>N</w:t>
      </w:r>
      <w:r>
        <w:rPr>
          <w:lang w:eastAsia="zh-CN"/>
        </w:rPr>
        <w:t>nwdaf_MLModelProvision</w:t>
      </w:r>
      <w:r>
        <w:t xml:space="preserve"> Service</w:t>
      </w:r>
      <w:bookmarkEnd w:id="2354"/>
      <w:bookmarkEnd w:id="2355"/>
      <w:bookmarkEnd w:id="2356"/>
      <w:bookmarkEnd w:id="2357"/>
      <w:bookmarkEnd w:id="2358"/>
      <w:bookmarkEnd w:id="2359"/>
      <w:bookmarkEnd w:id="2360"/>
      <w:bookmarkEnd w:id="2361"/>
      <w:bookmarkEnd w:id="2362"/>
      <w:bookmarkEnd w:id="2363"/>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0E081E9" w14:textId="77777777" w:rsidR="00A10B25" w:rsidRDefault="00A10B25">
      <w:pPr>
        <w:pStyle w:val="3"/>
      </w:pPr>
      <w:bookmarkStart w:id="2394" w:name="_Toc113031600"/>
      <w:bookmarkStart w:id="2395" w:name="_Toc104538938"/>
      <w:bookmarkStart w:id="2396" w:name="_Toc94064184"/>
      <w:bookmarkStart w:id="2397" w:name="_Toc136562286"/>
      <w:bookmarkStart w:id="2398" w:name="_Toc88667516"/>
      <w:bookmarkStart w:id="2399" w:name="_Toc101244345"/>
      <w:bookmarkStart w:id="2400" w:name="_Toc114133739"/>
      <w:bookmarkStart w:id="2401" w:name="_Toc120702239"/>
      <w:bookmarkStart w:id="2402" w:name="_Toc85557014"/>
      <w:bookmarkStart w:id="2403" w:name="_Toc83233018"/>
      <w:bookmarkStart w:id="2404" w:name="_Toc138754120"/>
      <w:bookmarkStart w:id="2405" w:name="_Toc98233569"/>
      <w:bookmarkStart w:id="2406" w:name="_Toc90655801"/>
      <w:bookmarkStart w:id="2407" w:name="_Toc70550581"/>
      <w:bookmarkStart w:id="2408" w:name="_Toc85552915"/>
      <w:bookmarkStart w:id="2409" w:name="_Toc145705607"/>
      <w:bookmarkStart w:id="2410" w:name="_Toc148522511"/>
      <w:bookmarkStart w:id="2411" w:name="_Toc112951060"/>
      <w:bookmarkStart w:id="2412" w:name="_Toc164920635"/>
      <w:bookmarkStart w:id="2413" w:name="_Toc170120177"/>
      <w:bookmarkStart w:id="2414" w:name="_Toc175858422"/>
      <w:bookmarkStart w:id="2415" w:name="_Toc175859495"/>
      <w:bookmarkStart w:id="2416" w:name="_Toc180605785"/>
      <w:bookmarkStart w:id="2417" w:name="_Toc185517039"/>
      <w:bookmarkStart w:id="2418" w:name="_Toc191576090"/>
      <w:bookmarkStart w:id="2419" w:name="_Toc191576830"/>
      <w:bookmarkStart w:id="2420" w:name="_Toc192879900"/>
      <w:bookmarkStart w:id="2421" w:name="_Toc195814783"/>
      <w:bookmarkStart w:id="2422" w:name="_Toc199452730"/>
      <w:r>
        <w:t>4.5.1</w:t>
      </w:r>
      <w:r>
        <w:tab/>
        <w:t>Service Description</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2FE48FCD" w14:textId="77777777" w:rsidR="00A10B25" w:rsidRDefault="00A10B25">
      <w:pPr>
        <w:pStyle w:val="4"/>
        <w:rPr>
          <w:lang w:eastAsia="zh-CN"/>
        </w:rPr>
      </w:pPr>
      <w:bookmarkStart w:id="2423" w:name="_Toc98233570"/>
      <w:bookmarkStart w:id="2424" w:name="_Toc114133740"/>
      <w:bookmarkStart w:id="2425" w:name="_Toc120702240"/>
      <w:bookmarkStart w:id="2426" w:name="_Toc101244346"/>
      <w:bookmarkStart w:id="2427" w:name="_Toc94064185"/>
      <w:bookmarkStart w:id="2428" w:name="_Toc113031601"/>
      <w:bookmarkStart w:id="2429" w:name="_Toc112951061"/>
      <w:bookmarkStart w:id="2430" w:name="_Toc85557015"/>
      <w:bookmarkStart w:id="2431" w:name="_Toc90655802"/>
      <w:bookmarkStart w:id="2432" w:name="_Toc70550582"/>
      <w:bookmarkStart w:id="2433" w:name="_Toc138754121"/>
      <w:bookmarkStart w:id="2434" w:name="_Toc104538939"/>
      <w:bookmarkStart w:id="2435" w:name="_Toc85552916"/>
      <w:bookmarkStart w:id="2436" w:name="_Toc83233019"/>
      <w:bookmarkStart w:id="2437" w:name="_Toc136562287"/>
      <w:bookmarkStart w:id="2438" w:name="_Toc145705608"/>
      <w:bookmarkStart w:id="2439" w:name="_Toc88667517"/>
      <w:bookmarkStart w:id="2440" w:name="_Toc148522512"/>
      <w:bookmarkStart w:id="2441" w:name="_Toc164920636"/>
      <w:bookmarkStart w:id="2442" w:name="_Toc170120178"/>
      <w:bookmarkStart w:id="2443" w:name="_Toc175858423"/>
      <w:bookmarkStart w:id="2444" w:name="_Toc175859496"/>
      <w:bookmarkStart w:id="2445" w:name="_Toc180605786"/>
      <w:bookmarkStart w:id="2446" w:name="_Toc185517040"/>
      <w:bookmarkStart w:id="2447" w:name="_Toc191576091"/>
      <w:bookmarkStart w:id="2448" w:name="_Toc191576831"/>
      <w:bookmarkStart w:id="2449" w:name="_Toc192879901"/>
      <w:bookmarkStart w:id="2450" w:name="_Toc195814784"/>
      <w:bookmarkStart w:id="2451" w:name="_Toc199452731"/>
      <w:r>
        <w:t>4.5.</w:t>
      </w:r>
      <w:r>
        <w:rPr>
          <w:rFonts w:hint="eastAsia"/>
          <w:lang w:eastAsia="zh-CN"/>
        </w:rPr>
        <w:t>1</w:t>
      </w:r>
      <w:r>
        <w:rPr>
          <w:lang w:eastAsia="zh-CN"/>
        </w:rPr>
        <w:t>.1</w:t>
      </w:r>
      <w:r>
        <w:tab/>
      </w:r>
      <w:r>
        <w:rPr>
          <w:rFonts w:hint="eastAsia"/>
          <w:lang w:eastAsia="zh-CN"/>
        </w:rPr>
        <w:t>Overview</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6E6D823D" w14:textId="77777777" w:rsidR="00640768" w:rsidRDefault="00640768" w:rsidP="00640768">
      <w:bookmarkStart w:id="2452" w:name="_Toc98233571"/>
      <w:bookmarkStart w:id="2453" w:name="_Toc120702241"/>
      <w:bookmarkStart w:id="2454" w:name="_Toc113031602"/>
      <w:bookmarkStart w:id="2455" w:name="_Toc136562288"/>
      <w:bookmarkStart w:id="2456" w:name="_Toc104538940"/>
      <w:bookmarkStart w:id="2457" w:name="_Toc101244347"/>
      <w:bookmarkStart w:id="2458" w:name="_Toc90655803"/>
      <w:bookmarkStart w:id="2459" w:name="_Toc148522513"/>
      <w:bookmarkStart w:id="2460" w:name="_Toc85552917"/>
      <w:bookmarkStart w:id="2461" w:name="_Toc85557016"/>
      <w:bookmarkStart w:id="2462" w:name="_Toc138754122"/>
      <w:bookmarkStart w:id="2463" w:name="_Toc112951062"/>
      <w:bookmarkStart w:id="2464" w:name="_Toc88667518"/>
      <w:bookmarkStart w:id="2465" w:name="_Toc70550583"/>
      <w:bookmarkStart w:id="2466" w:name="_Toc145705609"/>
      <w:bookmarkStart w:id="2467" w:name="_Toc94064186"/>
      <w:bookmarkStart w:id="2468" w:name="_Toc114133741"/>
      <w:bookmarkStart w:id="2469" w:name="_Toc83233020"/>
      <w:r>
        <w:t>The Nnwdaf_</w:t>
      </w:r>
      <w:r>
        <w:rPr>
          <w:lang w:eastAsia="zh-CN"/>
        </w:rPr>
        <w:t>MLModelProvision</w:t>
      </w:r>
      <w:r>
        <w:t xml:space="preserve"> service as defined in 3GPP TS 23.501 [2] and 3GPP TS 23.288 [17], is provided by the Network Data Analytics Function (NWDAF) containing Model Training Logical Function (MTLF).</w:t>
      </w:r>
    </w:p>
    <w:p w14:paraId="7A2A4509" w14:textId="77777777" w:rsidR="00640768" w:rsidRDefault="00640768" w:rsidP="00640768">
      <w:r>
        <w:t>This service:</w:t>
      </w:r>
    </w:p>
    <w:p w14:paraId="42A7533F" w14:textId="77777777" w:rsidR="00640768" w:rsidRDefault="00640768" w:rsidP="00640768">
      <w:pPr>
        <w:pStyle w:val="B1"/>
      </w:pPr>
      <w:r>
        <w:t>-</w:t>
      </w:r>
      <w:r>
        <w:tab/>
        <w:t>allows the NF service consumers to subscribe to and unsubscribe from different ML model analytics events;</w:t>
      </w:r>
    </w:p>
    <w:p w14:paraId="28315DCC" w14:textId="77777777" w:rsidR="008A570A" w:rsidRDefault="008A570A" w:rsidP="008A570A">
      <w:pPr>
        <w:pStyle w:val="B1"/>
      </w:pPr>
      <w:r>
        <w:t>-</w:t>
      </w:r>
      <w:r>
        <w:tab/>
        <w:t>allows MTLF-based ML Model Accuracy monitoring procedure between the AnLF and MTLF; and</w:t>
      </w:r>
    </w:p>
    <w:p w14:paraId="08E820A6" w14:textId="77777777" w:rsidR="00640768" w:rsidRDefault="00640768" w:rsidP="00640768">
      <w:pPr>
        <w:pStyle w:val="B1"/>
      </w:pPr>
      <w:r>
        <w:t>-</w:t>
      </w:r>
      <w:r>
        <w:tab/>
        <w:t>notifies the NF service consumers with a corresponding subscription about ML model information.</w:t>
      </w:r>
    </w:p>
    <w:p w14:paraId="4C3922FF" w14:textId="77777777" w:rsidR="00640768" w:rsidRDefault="00640768" w:rsidP="00640768">
      <w:r>
        <w:t>The types of analytics events supported by this serivce are the same as defined in clause 4.2.1.1.</w:t>
      </w:r>
    </w:p>
    <w:p w14:paraId="47006E4C" w14:textId="77777777" w:rsidR="00640768" w:rsidRDefault="00640768" w:rsidP="00BD381F">
      <w:pPr>
        <w:keepLines/>
        <w:ind w:left="1135" w:hanging="851"/>
        <w:rPr>
          <w:lang w:eastAsia="zh-CN"/>
        </w:rPr>
      </w:pPr>
    </w:p>
    <w:p w14:paraId="76943565" w14:textId="77777777" w:rsidR="00A10B25" w:rsidRDefault="00A10B25">
      <w:pPr>
        <w:pStyle w:val="4"/>
      </w:pPr>
      <w:bookmarkStart w:id="2470" w:name="_Toc164920637"/>
      <w:bookmarkStart w:id="2471" w:name="_Toc170120179"/>
      <w:bookmarkStart w:id="2472" w:name="_Toc175858424"/>
      <w:bookmarkStart w:id="2473" w:name="_Toc175859497"/>
      <w:bookmarkStart w:id="2474" w:name="_Toc180605787"/>
      <w:bookmarkStart w:id="2475" w:name="_Toc185517041"/>
      <w:bookmarkStart w:id="2476" w:name="_Toc191576092"/>
      <w:bookmarkStart w:id="2477" w:name="_Toc191576832"/>
      <w:bookmarkStart w:id="2478" w:name="_Toc192879902"/>
      <w:bookmarkStart w:id="2479" w:name="_Toc195814785"/>
      <w:bookmarkStart w:id="2480" w:name="_Toc199452732"/>
      <w:r>
        <w:t>4.5.</w:t>
      </w:r>
      <w:r>
        <w:rPr>
          <w:rFonts w:hint="eastAsia"/>
        </w:rPr>
        <w:t>1</w:t>
      </w:r>
      <w:r>
        <w:t>.2</w:t>
      </w:r>
      <w:r>
        <w:rPr>
          <w:rFonts w:hint="eastAsia"/>
        </w:rPr>
        <w:tab/>
      </w:r>
      <w:r>
        <w:t>Service Architecture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2ED15117" w14:textId="77777777" w:rsidR="00A10B25" w:rsidRDefault="00A10B25">
      <w:r>
        <w:t>The 5G System Architecture is defined in 3GPP TS 23.501 [2]. The Network Data Analytics Exposure architecture is defined in 3GPP TS 23.288 [17]. The ML Model provisioning signalling flows are defined in 3GPP TS 29.552 [25].</w:t>
      </w:r>
    </w:p>
    <w:p w14:paraId="2F209A53" w14:textId="77777777" w:rsidR="00A10B25" w:rsidRDefault="00A10B25">
      <w:r>
        <w:t>The Nnwdaf_MLModelProvision service is part of the Nnwdaf service-based interface exhibited by the Network Data Analytics Function (NWDAF) containing Model Training Logical Function (MTLF).</w:t>
      </w:r>
    </w:p>
    <w:p w14:paraId="10CD3A1F" w14:textId="77777777" w:rsidR="00A10B25" w:rsidRDefault="00A10B25">
      <w:r>
        <w:t>Known consumers of the Nnwdaf_MLModelProvision service are:</w:t>
      </w:r>
    </w:p>
    <w:p w14:paraId="2C3B742E" w14:textId="77777777" w:rsidR="005E22F6" w:rsidRDefault="005E22F6" w:rsidP="005E22F6">
      <w:pPr>
        <w:pStyle w:val="B1"/>
      </w:pPr>
      <w:bookmarkStart w:id="2481" w:name="_Toc85552918"/>
      <w:bookmarkStart w:id="2482" w:name="_Toc90655804"/>
      <w:bookmarkStart w:id="2483" w:name="_Toc114133742"/>
      <w:bookmarkStart w:id="2484" w:name="_Toc98233572"/>
      <w:bookmarkStart w:id="2485" w:name="_Toc101244348"/>
      <w:bookmarkStart w:id="2486" w:name="_Toc136562289"/>
      <w:bookmarkStart w:id="2487" w:name="_Toc85557017"/>
      <w:bookmarkStart w:id="2488" w:name="_Toc83233021"/>
      <w:bookmarkStart w:id="2489" w:name="_Toc70550584"/>
      <w:bookmarkStart w:id="2490" w:name="_Toc112951063"/>
      <w:bookmarkStart w:id="2491" w:name="_Toc113031603"/>
      <w:bookmarkStart w:id="2492" w:name="_Toc104538941"/>
      <w:bookmarkStart w:id="2493" w:name="_Toc94064187"/>
      <w:bookmarkStart w:id="2494" w:name="_Toc148522514"/>
      <w:bookmarkStart w:id="2495" w:name="_Toc120702242"/>
      <w:bookmarkStart w:id="2496" w:name="_Toc138754123"/>
      <w:bookmarkStart w:id="2497" w:name="_Toc145705610"/>
      <w:bookmarkStart w:id="2498" w:name="_Toc88667519"/>
      <w:r>
        <w:t>-</w:t>
      </w:r>
      <w:r>
        <w:tab/>
        <w:t>Network Data Analytics Function (NWDAF) containing Analytics Logical Function (AnLF); and</w:t>
      </w:r>
    </w:p>
    <w:p w14:paraId="7FE4D609" w14:textId="77777777" w:rsidR="008A570A" w:rsidRDefault="008A570A" w:rsidP="008A570A">
      <w:pPr>
        <w:pStyle w:val="B1"/>
      </w:pPr>
      <w:r>
        <w:t>-</w:t>
      </w:r>
      <w:r>
        <w:tab/>
        <w:t>Network Data Analytics Function (NWDAF) containing Model Training Logical Function (MTLF); and</w:t>
      </w:r>
    </w:p>
    <w:p w14:paraId="08F4027F" w14:textId="77777777" w:rsidR="008A570A" w:rsidRDefault="008A570A" w:rsidP="008A570A">
      <w:pPr>
        <w:pStyle w:val="B1"/>
      </w:pPr>
      <w:r>
        <w:t>-</w:t>
      </w:r>
      <w:r>
        <w:tab/>
        <w:t>Location Management Function (LMF).</w:t>
      </w:r>
    </w:p>
    <w:p w14:paraId="141072EB" w14:textId="77777777" w:rsidR="008A570A" w:rsidRDefault="008A570A" w:rsidP="008A570A">
      <w:pPr>
        <w:pStyle w:val="TH"/>
        <w:rPr>
          <w:lang w:val="en-US" w:eastAsia="zh-CN"/>
        </w:rPr>
      </w:pPr>
    </w:p>
    <w:p w14:paraId="56155E5D" w14:textId="77777777" w:rsidR="008A570A" w:rsidRPr="00F5758A" w:rsidRDefault="008A570A" w:rsidP="008A570A">
      <w:pPr>
        <w:pStyle w:val="TH"/>
      </w:pPr>
      <w:r>
        <w:object w:dxaOrig="7800" w:dyaOrig="2980" w14:anchorId="17EF10A2">
          <v:shape id="_x0000_i1057" type="#_x0000_t75" style="width:386.3pt;height:152.15pt" o:ole="">
            <v:imagedata r:id="rId47" o:title=""/>
          </v:shape>
          <o:OLEObject Type="Embed" ProgID="Visio.Drawing.15" ShapeID="_x0000_i1057" DrawAspect="Content" ObjectID="_1810066000" r:id="rId48"/>
        </w:object>
      </w:r>
    </w:p>
    <w:p w14:paraId="0CD1EA15" w14:textId="77777777" w:rsidR="008A570A" w:rsidRDefault="008A570A" w:rsidP="008A570A">
      <w:pPr>
        <w:pStyle w:val="TF"/>
      </w:pPr>
      <w:r>
        <w:t>Figure 4.5.1.2-1</w:t>
      </w:r>
      <w:r>
        <w:rPr>
          <w:lang w:eastAsia="zh-CN"/>
        </w:rPr>
        <w:t>:</w:t>
      </w:r>
      <w:r>
        <w:t xml:space="preserve"> Reference Architecture for the Nnwdaf_MLModelProvision Service; SBI representation</w:t>
      </w:r>
    </w:p>
    <w:p w14:paraId="6C0DE85D" w14:textId="77777777" w:rsidR="008A570A" w:rsidRDefault="008A570A" w:rsidP="008A570A">
      <w:pPr>
        <w:pStyle w:val="TH"/>
        <w:rPr>
          <w:rFonts w:ascii="Times New Roman" w:hAnsi="Times New Roman"/>
          <w:lang w:val="en-US" w:eastAsia="zh-CN"/>
        </w:rPr>
      </w:pPr>
    </w:p>
    <w:p w14:paraId="6C983596" w14:textId="77777777" w:rsidR="008A570A" w:rsidRDefault="008A570A" w:rsidP="008A570A">
      <w:pPr>
        <w:pStyle w:val="TH"/>
        <w:rPr>
          <w:rFonts w:ascii="Times New Roman" w:hAnsi="Times New Roman"/>
          <w:lang w:val="en-US" w:eastAsia="zh-CN"/>
        </w:rPr>
      </w:pPr>
      <w:r>
        <w:object w:dxaOrig="7520" w:dyaOrig="2980" w14:anchorId="495DE886">
          <v:shape id="_x0000_i1058" type="#_x0000_t75" style="width:373.15pt;height:152.15pt" o:ole="">
            <v:imagedata r:id="rId49" o:title=""/>
          </v:shape>
          <o:OLEObject Type="Embed" ProgID="Visio.Drawing.15" ShapeID="_x0000_i1058" DrawAspect="Content" ObjectID="_1810066001" r:id="rId50"/>
        </w:object>
      </w:r>
    </w:p>
    <w:p w14:paraId="264CBACC" w14:textId="77777777" w:rsidR="005E22F6" w:rsidRDefault="008A570A" w:rsidP="008A570A">
      <w:pPr>
        <w:pStyle w:val="TF"/>
      </w:pPr>
      <w:r>
        <w:t>Figure 4.5.1.2-2</w:t>
      </w:r>
      <w:r>
        <w:rPr>
          <w:lang w:eastAsia="zh-CN"/>
        </w:rPr>
        <w:t>:</w:t>
      </w:r>
      <w:r>
        <w:t xml:space="preserve"> Reference Architecture for the Nnwdaf_MLModelProvision Service: reference point representation</w:t>
      </w:r>
    </w:p>
    <w:p w14:paraId="68A6EEF6" w14:textId="77777777" w:rsidR="00A10B25" w:rsidRDefault="00A10B25">
      <w:pPr>
        <w:pStyle w:val="4"/>
        <w:rPr>
          <w:lang w:val="en-US"/>
        </w:rPr>
      </w:pPr>
      <w:bookmarkStart w:id="2499" w:name="_Toc164920638"/>
      <w:bookmarkStart w:id="2500" w:name="_Toc170120180"/>
      <w:bookmarkStart w:id="2501" w:name="_Toc175858425"/>
      <w:bookmarkStart w:id="2502" w:name="_Toc175859498"/>
      <w:bookmarkStart w:id="2503" w:name="_Toc180605788"/>
      <w:bookmarkStart w:id="2504" w:name="_Toc185517042"/>
      <w:bookmarkStart w:id="2505" w:name="_Toc191576093"/>
      <w:bookmarkStart w:id="2506" w:name="_Toc191576833"/>
      <w:bookmarkStart w:id="2507" w:name="_Toc192879903"/>
      <w:bookmarkStart w:id="2508" w:name="_Toc195814786"/>
      <w:bookmarkStart w:id="2509" w:name="_Toc199452733"/>
      <w:r>
        <w:rPr>
          <w:lang w:val="en-US"/>
        </w:rPr>
        <w:t>4.5.</w:t>
      </w:r>
      <w:r>
        <w:rPr>
          <w:rFonts w:hint="eastAsia"/>
          <w:lang w:val="en-US" w:eastAsia="zh-CN"/>
        </w:rPr>
        <w:t>1.3</w:t>
      </w:r>
      <w:r>
        <w:rPr>
          <w:lang w:val="en-US"/>
        </w:rPr>
        <w:tab/>
        <w:t>Network Functions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672A3ED0" w14:textId="77777777" w:rsidR="00A10B25" w:rsidRDefault="00A10B25">
      <w:pPr>
        <w:pStyle w:val="5"/>
        <w:rPr>
          <w:lang w:eastAsia="zh-CN"/>
        </w:rPr>
      </w:pPr>
      <w:bookmarkStart w:id="2510" w:name="_Toc98233573"/>
      <w:bookmarkStart w:id="2511" w:name="_Toc104538942"/>
      <w:bookmarkStart w:id="2512" w:name="_Toc94064188"/>
      <w:bookmarkStart w:id="2513" w:name="_Toc114133743"/>
      <w:bookmarkStart w:id="2514" w:name="_Toc83233022"/>
      <w:bookmarkStart w:id="2515" w:name="_Toc85552919"/>
      <w:bookmarkStart w:id="2516" w:name="_Toc112951064"/>
      <w:bookmarkStart w:id="2517" w:name="_Toc113031604"/>
      <w:bookmarkStart w:id="2518" w:name="_Toc85557018"/>
      <w:bookmarkStart w:id="2519" w:name="_Toc120702243"/>
      <w:bookmarkStart w:id="2520" w:name="_Toc90655805"/>
      <w:bookmarkStart w:id="2521" w:name="_Toc101244349"/>
      <w:bookmarkStart w:id="2522" w:name="_Toc138754124"/>
      <w:bookmarkStart w:id="2523" w:name="_Toc148522515"/>
      <w:bookmarkStart w:id="2524" w:name="_Toc145705611"/>
      <w:bookmarkStart w:id="2525" w:name="_Toc136562290"/>
      <w:bookmarkStart w:id="2526" w:name="_Toc88667520"/>
      <w:bookmarkStart w:id="2527" w:name="_Toc164920639"/>
      <w:bookmarkStart w:id="2528" w:name="_Toc170120181"/>
      <w:bookmarkStart w:id="2529" w:name="_Toc175858426"/>
      <w:bookmarkStart w:id="2530" w:name="_Toc175859499"/>
      <w:bookmarkStart w:id="2531" w:name="_Toc180605789"/>
      <w:bookmarkStart w:id="2532" w:name="_Toc185517043"/>
      <w:bookmarkStart w:id="2533" w:name="_Toc191576094"/>
      <w:bookmarkStart w:id="2534" w:name="_Toc191576834"/>
      <w:bookmarkStart w:id="2535" w:name="_Toc192879904"/>
      <w:bookmarkStart w:id="2536" w:name="_Toc195814787"/>
      <w:bookmarkStart w:id="2537" w:name="_Toc199452734"/>
      <w:r>
        <w:t>4.5.</w:t>
      </w:r>
      <w:r>
        <w:rPr>
          <w:rFonts w:hint="eastAsia"/>
          <w:lang w:eastAsia="zh-CN"/>
        </w:rPr>
        <w:t>1.3.1</w:t>
      </w:r>
      <w:r>
        <w:tab/>
      </w:r>
      <w:r>
        <w:rPr>
          <w:lang w:val="en-US" w:eastAsia="zh-CN"/>
        </w:rPr>
        <w:t>Network Data Analytics Function (NWDAF)</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5AB89D88" w14:textId="77777777" w:rsidR="00A10B25" w:rsidRDefault="00A10B25">
      <w:r>
        <w:t>The Network Data Analytics Function (NWDAF), containing Model Training Logical Function (MTLF), provides ML model information for different analytic events to NF</w:t>
      </w:r>
      <w:r>
        <w:rPr>
          <w:rFonts w:eastAsia="等线"/>
        </w:rPr>
        <w:t xml:space="preserve"> service</w:t>
      </w:r>
      <w:r>
        <w:t xml:space="preserve"> consumers.</w:t>
      </w:r>
    </w:p>
    <w:p w14:paraId="778060CA" w14:textId="77777777" w:rsidR="00A10B25" w:rsidRDefault="00A10B25">
      <w:r>
        <w:t xml:space="preserve">The Network Data Analytics Function (NWDAF) allows NF </w:t>
      </w:r>
      <w:r>
        <w:rPr>
          <w:rFonts w:eastAsia="等线"/>
        </w:rPr>
        <w:t xml:space="preserve">service </w:t>
      </w:r>
      <w:r>
        <w:t>consumers to subscribe to and unsubscribe from one-time, periodic notification or notification when an event is detected.</w:t>
      </w:r>
    </w:p>
    <w:p w14:paraId="130E254A" w14:textId="77777777" w:rsidR="00A10B25" w:rsidRDefault="00A10B25">
      <w:pPr>
        <w:pStyle w:val="5"/>
        <w:rPr>
          <w:lang w:eastAsia="zh-CN"/>
        </w:rPr>
      </w:pPr>
      <w:bookmarkStart w:id="2538" w:name="_Toc85552920"/>
      <w:bookmarkStart w:id="2539" w:name="_Toc114133744"/>
      <w:bookmarkStart w:id="2540" w:name="_Toc94064189"/>
      <w:bookmarkStart w:id="2541" w:name="_Toc120702244"/>
      <w:bookmarkStart w:id="2542" w:name="_Toc101244350"/>
      <w:bookmarkStart w:id="2543" w:name="_Toc88667521"/>
      <w:bookmarkStart w:id="2544" w:name="_Toc98233574"/>
      <w:bookmarkStart w:id="2545" w:name="_Toc90655806"/>
      <w:bookmarkStart w:id="2546" w:name="_Toc136562291"/>
      <w:bookmarkStart w:id="2547" w:name="_Toc148522516"/>
      <w:bookmarkStart w:id="2548" w:name="_Toc83233023"/>
      <w:bookmarkStart w:id="2549" w:name="_Toc85557019"/>
      <w:bookmarkStart w:id="2550" w:name="_Toc145705612"/>
      <w:bookmarkStart w:id="2551" w:name="_Toc112951065"/>
      <w:bookmarkStart w:id="2552" w:name="_Toc104538943"/>
      <w:bookmarkStart w:id="2553" w:name="_Toc138754125"/>
      <w:bookmarkStart w:id="2554" w:name="_Toc113031605"/>
      <w:bookmarkStart w:id="2555" w:name="_Toc164920640"/>
      <w:bookmarkStart w:id="2556" w:name="_Toc170120182"/>
      <w:bookmarkStart w:id="2557" w:name="_Toc175858427"/>
      <w:bookmarkStart w:id="2558" w:name="_Toc175859500"/>
      <w:bookmarkStart w:id="2559" w:name="_Toc180605790"/>
      <w:bookmarkStart w:id="2560" w:name="_Toc185517044"/>
      <w:bookmarkStart w:id="2561" w:name="_Toc191576095"/>
      <w:bookmarkStart w:id="2562" w:name="_Toc191576835"/>
      <w:bookmarkStart w:id="2563" w:name="_Toc192879905"/>
      <w:bookmarkStart w:id="2564" w:name="_Toc195814788"/>
      <w:bookmarkStart w:id="2565" w:name="_Toc199452735"/>
      <w:r>
        <w:t>4.5.</w:t>
      </w:r>
      <w:r>
        <w:rPr>
          <w:lang w:eastAsia="zh-CN"/>
        </w:rPr>
        <w:t>1.3.2</w:t>
      </w:r>
      <w:r>
        <w:tab/>
      </w:r>
      <w:r>
        <w:rPr>
          <w:lang w:eastAsia="zh-CN"/>
        </w:rPr>
        <w:t>NF Service Consumers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20B93DC2" w14:textId="77777777" w:rsidR="008A570A" w:rsidRDefault="008A570A" w:rsidP="008A570A">
      <w:r>
        <w:t>The Network Data Analytics Function (NWDAF) supports (un)subscription to the notification of different ML model information from the NWDAF containing MTLF.</w:t>
      </w:r>
    </w:p>
    <w:p w14:paraId="7D8305F4" w14:textId="77777777" w:rsidR="00A10B25" w:rsidRDefault="008A570A" w:rsidP="008A570A">
      <w:pPr>
        <w:rPr>
          <w:lang w:val="en-US"/>
        </w:rPr>
      </w:pPr>
      <w:r>
        <w:t>The Location Management Function (LMF) supports (un)subscription to</w:t>
      </w:r>
      <w:r w:rsidRPr="00FE72D5">
        <w:t xml:space="preserve"> </w:t>
      </w:r>
      <w:r>
        <w:t xml:space="preserve">obtain the trained </w:t>
      </w:r>
      <w:r w:rsidRPr="00981DF0">
        <w:t xml:space="preserve">ML model </w:t>
      </w:r>
      <w:r>
        <w:t xml:space="preserve">information </w:t>
      </w:r>
      <w:r>
        <w:rPr>
          <w:lang w:eastAsia="ko-KR"/>
        </w:rPr>
        <w:t>from the NWDAF containing MTLF</w:t>
      </w:r>
      <w:r>
        <w:t>.</w:t>
      </w:r>
    </w:p>
    <w:p w14:paraId="2688509C" w14:textId="77777777" w:rsidR="00A10B25" w:rsidRDefault="00A10B25">
      <w:pPr>
        <w:pStyle w:val="3"/>
      </w:pPr>
      <w:bookmarkStart w:id="2566" w:name="_Toc112951066"/>
      <w:bookmarkStart w:id="2567" w:name="_Toc114133745"/>
      <w:bookmarkStart w:id="2568" w:name="_Toc70550585"/>
      <w:bookmarkStart w:id="2569" w:name="_Toc136562292"/>
      <w:bookmarkStart w:id="2570" w:name="_Toc94064190"/>
      <w:bookmarkStart w:id="2571" w:name="_Toc85557020"/>
      <w:bookmarkStart w:id="2572" w:name="_Toc88667522"/>
      <w:bookmarkStart w:id="2573" w:name="_Toc120702245"/>
      <w:bookmarkStart w:id="2574" w:name="_Toc98233575"/>
      <w:bookmarkStart w:id="2575" w:name="_Toc113031606"/>
      <w:bookmarkStart w:id="2576" w:name="_Toc148522517"/>
      <w:bookmarkStart w:id="2577" w:name="_Toc85552921"/>
      <w:bookmarkStart w:id="2578" w:name="_Toc83233024"/>
      <w:bookmarkStart w:id="2579" w:name="_Toc104538944"/>
      <w:bookmarkStart w:id="2580" w:name="_Toc145705613"/>
      <w:bookmarkStart w:id="2581" w:name="_Toc90655807"/>
      <w:bookmarkStart w:id="2582" w:name="_Toc138754126"/>
      <w:bookmarkStart w:id="2583" w:name="_Toc101244351"/>
      <w:bookmarkStart w:id="2584" w:name="_Toc164920641"/>
      <w:bookmarkStart w:id="2585" w:name="_Toc170120183"/>
      <w:bookmarkStart w:id="2586" w:name="_Toc175858428"/>
      <w:bookmarkStart w:id="2587" w:name="_Toc175859501"/>
      <w:bookmarkStart w:id="2588" w:name="_Toc180605791"/>
      <w:bookmarkStart w:id="2589" w:name="_Toc185517045"/>
      <w:bookmarkStart w:id="2590" w:name="_Toc191576096"/>
      <w:bookmarkStart w:id="2591" w:name="_Toc191576836"/>
      <w:bookmarkStart w:id="2592" w:name="_Toc192879906"/>
      <w:bookmarkStart w:id="2593" w:name="_Toc195814789"/>
      <w:bookmarkStart w:id="2594" w:name="_Toc199452736"/>
      <w:r>
        <w:t>4.5.2</w:t>
      </w:r>
      <w:r>
        <w:tab/>
        <w:t>Service Operations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56894AF6" w14:textId="77777777" w:rsidR="00A10B25" w:rsidRDefault="00A10B25">
      <w:pPr>
        <w:pStyle w:val="4"/>
        <w:rPr>
          <w:lang w:eastAsia="zh-CN"/>
        </w:rPr>
      </w:pPr>
      <w:bookmarkStart w:id="2595" w:name="_Toc70550586"/>
      <w:bookmarkStart w:id="2596" w:name="_Toc85557021"/>
      <w:bookmarkStart w:id="2597" w:name="_Toc120702246"/>
      <w:bookmarkStart w:id="2598" w:name="_Toc83233025"/>
      <w:bookmarkStart w:id="2599" w:name="_Toc88667523"/>
      <w:bookmarkStart w:id="2600" w:name="_Toc98233576"/>
      <w:bookmarkStart w:id="2601" w:name="_Toc94064191"/>
      <w:bookmarkStart w:id="2602" w:name="_Toc112951067"/>
      <w:bookmarkStart w:id="2603" w:name="_Toc101244352"/>
      <w:bookmarkStart w:id="2604" w:name="_Toc104538945"/>
      <w:bookmarkStart w:id="2605" w:name="_Toc85552922"/>
      <w:bookmarkStart w:id="2606" w:name="_Toc136562293"/>
      <w:bookmarkStart w:id="2607" w:name="_Toc138754127"/>
      <w:bookmarkStart w:id="2608" w:name="_Toc145705614"/>
      <w:bookmarkStart w:id="2609" w:name="_Toc113031607"/>
      <w:bookmarkStart w:id="2610" w:name="_Toc90655808"/>
      <w:bookmarkStart w:id="2611" w:name="_Toc148522518"/>
      <w:bookmarkStart w:id="2612" w:name="_Toc114133746"/>
      <w:bookmarkStart w:id="2613" w:name="_Toc164920642"/>
      <w:bookmarkStart w:id="2614" w:name="_Toc170120184"/>
      <w:bookmarkStart w:id="2615" w:name="_Toc175858429"/>
      <w:bookmarkStart w:id="2616" w:name="_Toc175859502"/>
      <w:bookmarkStart w:id="2617" w:name="_Toc180605792"/>
      <w:bookmarkStart w:id="2618" w:name="_Toc185517046"/>
      <w:bookmarkStart w:id="2619" w:name="_Toc191576097"/>
      <w:bookmarkStart w:id="2620" w:name="_Toc191576837"/>
      <w:bookmarkStart w:id="2621" w:name="_Toc192879907"/>
      <w:bookmarkStart w:id="2622" w:name="_Toc195814790"/>
      <w:bookmarkStart w:id="2623" w:name="_Toc199452737"/>
      <w:r>
        <w:t>4.5.2.1</w:t>
      </w:r>
      <w:r>
        <w:tab/>
        <w:t>Introduction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6C0D947C"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4.5.2.1-1: Operations of the </w:t>
      </w:r>
      <w:r>
        <w:rPr>
          <w:rFonts w:hint="eastAsia"/>
          <w:lang w:eastAsia="zh-CN"/>
        </w:rPr>
        <w:t>N</w:t>
      </w:r>
      <w:r>
        <w:rPr>
          <w:lang w:eastAsia="zh-CN"/>
        </w:rPr>
        <w:t>nwdaf_MLModelProvision</w:t>
      </w:r>
      <w:r>
        <w:rPr>
          <w:rFonts w:eastAsia="MS Mincho"/>
        </w:rPr>
        <w:t xml:space="preserve"> Service</w:t>
      </w:r>
    </w:p>
    <w:tbl>
      <w:tblPr>
        <w:tblW w:w="9613" w:type="dxa"/>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55E41FC3" w14:textId="77777777">
        <w:trPr>
          <w:cantSplit/>
          <w:tblHeader/>
        </w:trPr>
        <w:tc>
          <w:tcPr>
            <w:tcW w:w="3397" w:type="dxa"/>
            <w:shd w:val="clear" w:color="000000" w:fill="C0C0C0"/>
          </w:tcPr>
          <w:p w14:paraId="60064012" w14:textId="77777777" w:rsidR="00A10B25" w:rsidRDefault="00A10B25">
            <w:pPr>
              <w:pStyle w:val="TAH"/>
            </w:pPr>
            <w:r>
              <w:t>Service operation name</w:t>
            </w:r>
          </w:p>
        </w:tc>
        <w:tc>
          <w:tcPr>
            <w:tcW w:w="4231" w:type="dxa"/>
            <w:shd w:val="clear" w:color="000000" w:fill="C0C0C0"/>
          </w:tcPr>
          <w:p w14:paraId="6AD4E973" w14:textId="77777777" w:rsidR="00A10B25" w:rsidRDefault="00A10B25">
            <w:pPr>
              <w:pStyle w:val="TAH"/>
            </w:pPr>
            <w:r>
              <w:t>Description</w:t>
            </w:r>
          </w:p>
        </w:tc>
        <w:tc>
          <w:tcPr>
            <w:tcW w:w="1985" w:type="dxa"/>
            <w:shd w:val="clear" w:color="000000" w:fill="C0C0C0"/>
          </w:tcPr>
          <w:p w14:paraId="050CC4BC" w14:textId="77777777" w:rsidR="00A10B25" w:rsidRDefault="00A10B25">
            <w:pPr>
              <w:pStyle w:val="TAH"/>
            </w:pPr>
            <w:r>
              <w:t>Initiated by</w:t>
            </w:r>
          </w:p>
        </w:tc>
      </w:tr>
      <w:tr w:rsidR="008A570A" w14:paraId="13C3B863" w14:textId="77777777">
        <w:trPr>
          <w:cantSplit/>
        </w:trPr>
        <w:tc>
          <w:tcPr>
            <w:tcW w:w="3397" w:type="dxa"/>
          </w:tcPr>
          <w:p w14:paraId="2BA34FE9" w14:textId="77777777" w:rsidR="008A570A" w:rsidRDefault="008A570A" w:rsidP="008A570A">
            <w:pPr>
              <w:rPr>
                <w:rFonts w:ascii="Arial" w:hAnsi="Arial"/>
                <w:sz w:val="18"/>
              </w:rPr>
            </w:pPr>
            <w:r>
              <w:rPr>
                <w:rFonts w:ascii="Arial" w:hAnsi="Arial"/>
                <w:sz w:val="18"/>
              </w:rPr>
              <w:t>Nnwdaf_MLModelProvision_Subscribe</w:t>
            </w:r>
          </w:p>
        </w:tc>
        <w:tc>
          <w:tcPr>
            <w:tcW w:w="4231" w:type="dxa"/>
          </w:tcPr>
          <w:p w14:paraId="333D6FD8" w14:textId="77777777" w:rsidR="008A570A" w:rsidRDefault="008A570A" w:rsidP="008A570A">
            <w:pPr>
              <w:pStyle w:val="TAL"/>
            </w:pPr>
            <w:r>
              <w:t>This service operation is used by an NF service consumer to subscribe to ML model provision from NWDAF.</w:t>
            </w:r>
          </w:p>
        </w:tc>
        <w:tc>
          <w:tcPr>
            <w:tcW w:w="1985" w:type="dxa"/>
          </w:tcPr>
          <w:p w14:paraId="56F86EE9" w14:textId="77777777" w:rsidR="008A570A" w:rsidRDefault="008A570A" w:rsidP="008A570A">
            <w:pPr>
              <w:pStyle w:val="TAL"/>
            </w:pPr>
            <w:r>
              <w:rPr>
                <w:lang w:eastAsia="zh-CN"/>
              </w:rPr>
              <w:t>NF service consumer (</w:t>
            </w:r>
            <w:r>
              <w:t>NWDAF, LMF)</w:t>
            </w:r>
          </w:p>
        </w:tc>
      </w:tr>
      <w:tr w:rsidR="008A570A" w14:paraId="770FE399" w14:textId="77777777">
        <w:trPr>
          <w:cantSplit/>
        </w:trPr>
        <w:tc>
          <w:tcPr>
            <w:tcW w:w="3397" w:type="dxa"/>
          </w:tcPr>
          <w:p w14:paraId="56857C57" w14:textId="77777777" w:rsidR="008A570A" w:rsidRDefault="008A570A" w:rsidP="008A570A">
            <w:pPr>
              <w:rPr>
                <w:rFonts w:ascii="Arial" w:hAnsi="Arial"/>
                <w:sz w:val="18"/>
              </w:rPr>
            </w:pPr>
            <w:r>
              <w:rPr>
                <w:rFonts w:ascii="Arial" w:hAnsi="Arial"/>
                <w:sz w:val="18"/>
              </w:rPr>
              <w:t>Nnwdaf_MLModelProvision_Unsubscribe</w:t>
            </w:r>
          </w:p>
        </w:tc>
        <w:tc>
          <w:tcPr>
            <w:tcW w:w="4231" w:type="dxa"/>
          </w:tcPr>
          <w:p w14:paraId="59FFEF4B" w14:textId="77777777" w:rsidR="008A570A" w:rsidRDefault="008A570A" w:rsidP="008A570A">
            <w:pPr>
              <w:pStyle w:val="TAL"/>
            </w:pPr>
            <w:r>
              <w:t>This service operation is used by an NF service consumer to unsubscribe to ML model provision.</w:t>
            </w:r>
          </w:p>
        </w:tc>
        <w:tc>
          <w:tcPr>
            <w:tcW w:w="1985" w:type="dxa"/>
          </w:tcPr>
          <w:p w14:paraId="4A8BFA58" w14:textId="77777777" w:rsidR="008A570A" w:rsidRDefault="008A570A" w:rsidP="008A570A">
            <w:pPr>
              <w:pStyle w:val="TAL"/>
            </w:pPr>
            <w:r>
              <w:rPr>
                <w:lang w:eastAsia="zh-CN"/>
              </w:rPr>
              <w:t>NF service consumer (</w:t>
            </w:r>
            <w:r>
              <w:t>NWDAF, LMF)</w:t>
            </w:r>
          </w:p>
        </w:tc>
      </w:tr>
      <w:tr w:rsidR="00A10B25" w14:paraId="0CFB5DDB" w14:textId="77777777">
        <w:trPr>
          <w:cantSplit/>
        </w:trPr>
        <w:tc>
          <w:tcPr>
            <w:tcW w:w="3397" w:type="dxa"/>
          </w:tcPr>
          <w:p w14:paraId="379B586C" w14:textId="77777777" w:rsidR="00A10B25" w:rsidRDefault="00A10B25">
            <w:pPr>
              <w:rPr>
                <w:rFonts w:ascii="Arial" w:hAnsi="Arial"/>
                <w:sz w:val="18"/>
              </w:rPr>
            </w:pPr>
            <w:r>
              <w:rPr>
                <w:rFonts w:ascii="Arial" w:hAnsi="Arial"/>
                <w:sz w:val="18"/>
              </w:rPr>
              <w:t>Nnwdaf_MLModelProvision_Notify</w:t>
            </w:r>
          </w:p>
        </w:tc>
        <w:tc>
          <w:tcPr>
            <w:tcW w:w="4231" w:type="dxa"/>
          </w:tcPr>
          <w:p w14:paraId="5D9BFA2E" w14:textId="77777777" w:rsidR="00A10B25" w:rsidRDefault="00A10B25">
            <w:pPr>
              <w:pStyle w:val="TAL"/>
            </w:pPr>
            <w:r>
              <w:t xml:space="preserve">This service operation is used by the NWDAF to </w:t>
            </w:r>
            <w:r>
              <w:rPr>
                <w:lang w:eastAsia="ja-JP"/>
              </w:rPr>
              <w:t>notify the ML model information to the NF service consumer instance which has subscribed to</w:t>
            </w:r>
            <w:r>
              <w:t>.</w:t>
            </w:r>
          </w:p>
        </w:tc>
        <w:tc>
          <w:tcPr>
            <w:tcW w:w="1985" w:type="dxa"/>
          </w:tcPr>
          <w:p w14:paraId="43D99379" w14:textId="77777777" w:rsidR="00A10B25" w:rsidRDefault="00A10B25">
            <w:pPr>
              <w:pStyle w:val="TAL"/>
            </w:pPr>
            <w:r>
              <w:t>NWDAF</w:t>
            </w:r>
          </w:p>
        </w:tc>
      </w:tr>
    </w:tbl>
    <w:p w14:paraId="224C4652" w14:textId="77777777" w:rsidR="00A10B25" w:rsidRDefault="00A10B25"/>
    <w:p w14:paraId="63326E43" w14:textId="77777777" w:rsidR="00A10B25" w:rsidRDefault="00A10B25">
      <w:pPr>
        <w:pStyle w:val="4"/>
      </w:pPr>
      <w:bookmarkStart w:id="2624" w:name="_Toc101244353"/>
      <w:bookmarkStart w:id="2625" w:name="_Toc136562294"/>
      <w:bookmarkStart w:id="2626" w:name="_Toc104538946"/>
      <w:bookmarkStart w:id="2627" w:name="_Toc98233577"/>
      <w:bookmarkStart w:id="2628" w:name="_Toc114133747"/>
      <w:bookmarkStart w:id="2629" w:name="_Toc88667524"/>
      <w:bookmarkStart w:id="2630" w:name="_Toc83233026"/>
      <w:bookmarkStart w:id="2631" w:name="_Toc113031608"/>
      <w:bookmarkStart w:id="2632" w:name="_Toc85557022"/>
      <w:bookmarkStart w:id="2633" w:name="_Toc120702247"/>
      <w:bookmarkStart w:id="2634" w:name="_Toc70550587"/>
      <w:bookmarkStart w:id="2635" w:name="_Toc94064192"/>
      <w:bookmarkStart w:id="2636" w:name="_Toc90655809"/>
      <w:bookmarkStart w:id="2637" w:name="_Toc145705615"/>
      <w:bookmarkStart w:id="2638" w:name="_Toc138754128"/>
      <w:bookmarkStart w:id="2639" w:name="_Toc148522519"/>
      <w:bookmarkStart w:id="2640" w:name="_Toc85552923"/>
      <w:bookmarkStart w:id="2641" w:name="_Toc112951068"/>
      <w:bookmarkStart w:id="2642" w:name="_Toc164920643"/>
      <w:bookmarkStart w:id="2643" w:name="_Toc170120185"/>
      <w:bookmarkStart w:id="2644" w:name="_Toc175858430"/>
      <w:bookmarkStart w:id="2645" w:name="_Toc175859503"/>
      <w:bookmarkStart w:id="2646" w:name="_Toc180605793"/>
      <w:bookmarkStart w:id="2647" w:name="_Toc185517047"/>
      <w:bookmarkStart w:id="2648" w:name="_Toc191576098"/>
      <w:bookmarkStart w:id="2649" w:name="_Toc191576838"/>
      <w:bookmarkStart w:id="2650" w:name="_Toc192879908"/>
      <w:bookmarkStart w:id="2651" w:name="_Toc195814791"/>
      <w:bookmarkStart w:id="2652" w:name="_Toc199452738"/>
      <w:r>
        <w:lastRenderedPageBreak/>
        <w:t>4.5.2.2</w:t>
      </w:r>
      <w:r>
        <w:tab/>
      </w:r>
      <w:r>
        <w:rPr>
          <w:lang w:eastAsia="ja-JP"/>
        </w:rPr>
        <w:t>Nnwdaf_MLModelProvision_Subscribe</w:t>
      </w:r>
      <w:r>
        <w:t xml:space="preserve"> service operation</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0BCDC34" w14:textId="77777777" w:rsidR="00A10B25" w:rsidRDefault="00A10B25">
      <w:pPr>
        <w:pStyle w:val="5"/>
      </w:pPr>
      <w:bookmarkStart w:id="2653" w:name="_Toc94064193"/>
      <w:bookmarkStart w:id="2654" w:name="_Toc120702248"/>
      <w:bookmarkStart w:id="2655" w:name="_Toc85557023"/>
      <w:bookmarkStart w:id="2656" w:name="_Toc85552924"/>
      <w:bookmarkStart w:id="2657" w:name="_Toc113031609"/>
      <w:bookmarkStart w:id="2658" w:name="_Toc101244354"/>
      <w:bookmarkStart w:id="2659" w:name="_Toc88667525"/>
      <w:bookmarkStart w:id="2660" w:name="_Toc138754129"/>
      <w:bookmarkStart w:id="2661" w:name="_Toc104538947"/>
      <w:bookmarkStart w:id="2662" w:name="_Toc98233578"/>
      <w:bookmarkStart w:id="2663" w:name="_Toc112951069"/>
      <w:bookmarkStart w:id="2664" w:name="_Toc114133748"/>
      <w:bookmarkStart w:id="2665" w:name="_Toc90655810"/>
      <w:bookmarkStart w:id="2666" w:name="_Toc83233027"/>
      <w:bookmarkStart w:id="2667" w:name="_Toc145705616"/>
      <w:bookmarkStart w:id="2668" w:name="_Toc148522520"/>
      <w:bookmarkStart w:id="2669" w:name="_Toc136562295"/>
      <w:bookmarkStart w:id="2670" w:name="_Toc164920644"/>
      <w:bookmarkStart w:id="2671" w:name="_Toc170120186"/>
      <w:bookmarkStart w:id="2672" w:name="_Toc175858431"/>
      <w:bookmarkStart w:id="2673" w:name="_Toc175859504"/>
      <w:bookmarkStart w:id="2674" w:name="_Toc180605794"/>
      <w:bookmarkStart w:id="2675" w:name="_Toc185517048"/>
      <w:bookmarkStart w:id="2676" w:name="_Toc191576099"/>
      <w:bookmarkStart w:id="2677" w:name="_Toc191576839"/>
      <w:bookmarkStart w:id="2678" w:name="_Toc192879909"/>
      <w:bookmarkStart w:id="2679" w:name="_Toc195814792"/>
      <w:bookmarkStart w:id="2680" w:name="_Toc199452739"/>
      <w:r>
        <w:t>4.5.2.2.1</w:t>
      </w:r>
      <w:r>
        <w:tab/>
        <w:t>General</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85884E5" w14:textId="77777777" w:rsidR="00A10B25" w:rsidRDefault="00A10B25">
      <w:r>
        <w:t>The Nnwdaf_</w:t>
      </w:r>
      <w:r>
        <w:rPr>
          <w:lang w:eastAsia="ja-JP"/>
        </w:rPr>
        <w:t>MLModelProvision</w:t>
      </w:r>
      <w:r>
        <w:t>_Subscribe service operation is used by an NF service consumer to subscribe or update subscription for event notifications from the NWDAF which contains Model Training Logical Function (MTLF).</w:t>
      </w:r>
    </w:p>
    <w:p w14:paraId="46EEFC0A" w14:textId="77777777" w:rsidR="00A10B25" w:rsidRDefault="00A10B25">
      <w:pPr>
        <w:pStyle w:val="5"/>
      </w:pPr>
      <w:bookmarkStart w:id="2681" w:name="_Toc88667526"/>
      <w:bookmarkStart w:id="2682" w:name="_Toc112951070"/>
      <w:bookmarkStart w:id="2683" w:name="_Toc114133749"/>
      <w:bookmarkStart w:id="2684" w:name="_Toc113031610"/>
      <w:bookmarkStart w:id="2685" w:name="_Toc136562296"/>
      <w:bookmarkStart w:id="2686" w:name="_Toc94064194"/>
      <w:bookmarkStart w:id="2687" w:name="_Toc104538948"/>
      <w:bookmarkStart w:id="2688" w:name="_Toc85557024"/>
      <w:bookmarkStart w:id="2689" w:name="_Toc85552925"/>
      <w:bookmarkStart w:id="2690" w:name="_Toc83233028"/>
      <w:bookmarkStart w:id="2691" w:name="_Toc98233579"/>
      <w:bookmarkStart w:id="2692" w:name="_Toc120702249"/>
      <w:bookmarkStart w:id="2693" w:name="_Toc145705617"/>
      <w:bookmarkStart w:id="2694" w:name="_Toc90655811"/>
      <w:bookmarkStart w:id="2695" w:name="_Toc148522521"/>
      <w:bookmarkStart w:id="2696" w:name="_Toc138754130"/>
      <w:bookmarkStart w:id="2697" w:name="_Toc101244355"/>
      <w:bookmarkStart w:id="2698" w:name="_Toc164920645"/>
      <w:bookmarkStart w:id="2699" w:name="_Toc170120187"/>
      <w:bookmarkStart w:id="2700" w:name="_Toc175858432"/>
      <w:bookmarkStart w:id="2701" w:name="_Toc175859505"/>
      <w:bookmarkStart w:id="2702" w:name="_Toc180605795"/>
      <w:bookmarkStart w:id="2703" w:name="_Toc185517049"/>
      <w:bookmarkStart w:id="2704" w:name="_Toc191576100"/>
      <w:bookmarkStart w:id="2705" w:name="_Toc191576840"/>
      <w:bookmarkStart w:id="2706" w:name="_Toc192879910"/>
      <w:bookmarkStart w:id="2707" w:name="_Toc195814793"/>
      <w:bookmarkStart w:id="2708" w:name="_Toc199452740"/>
      <w:r>
        <w:t>4.5.2.2.2</w:t>
      </w:r>
      <w:r>
        <w:tab/>
        <w:t>Subscription for event notifications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5947E3F9" w14:textId="77777777" w:rsidR="00A10B25" w:rsidRDefault="00A10B25">
      <w:pPr>
        <w:rPr>
          <w:rFonts w:eastAsia="等线"/>
        </w:rPr>
      </w:pPr>
      <w:r>
        <w:rPr>
          <w:rFonts w:eastAsia="等线"/>
        </w:rPr>
        <w:t>Figure 4.5.2.2.2-1 shows a scenario where the NF service consumer sends a request to the NWDAF to subscribe</w:t>
      </w:r>
      <w:r>
        <w:rPr>
          <w:rFonts w:eastAsia="Batang"/>
        </w:rPr>
        <w:t xml:space="preserve"> </w:t>
      </w:r>
      <w:r>
        <w:rPr>
          <w:rFonts w:eastAsia="等线"/>
        </w:rPr>
        <w:t>for event notification(s) (as shown in 3GPP TS 23.288 [17]).</w:t>
      </w:r>
    </w:p>
    <w:p w14:paraId="3601A737" w14:textId="46B32BE4" w:rsidR="00A10B25" w:rsidRDefault="00257874">
      <w:pPr>
        <w:pStyle w:val="TH"/>
        <w:rPr>
          <w:lang w:eastAsia="zh-CN"/>
        </w:rPr>
      </w:pPr>
      <w:r>
        <w:rPr>
          <w:noProof/>
          <w:lang w:val="en-US" w:eastAsia="zh-CN"/>
        </w:rPr>
        <w:drawing>
          <wp:inline distT="0" distB="0" distL="0" distR="0" wp14:anchorId="32AE3612" wp14:editId="57572F01">
            <wp:extent cx="5518150" cy="1494790"/>
            <wp:effectExtent l="0" t="0" r="0" b="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8150" cy="1494790"/>
                    </a:xfrm>
                    <a:prstGeom prst="rect">
                      <a:avLst/>
                    </a:prstGeom>
                    <a:noFill/>
                    <a:ln>
                      <a:noFill/>
                    </a:ln>
                  </pic:spPr>
                </pic:pic>
              </a:graphicData>
            </a:graphic>
          </wp:inline>
        </w:drawing>
      </w:r>
    </w:p>
    <w:p w14:paraId="7878C810" w14:textId="77777777" w:rsidR="00A10B25" w:rsidRDefault="00A10B25">
      <w:pPr>
        <w:pStyle w:val="TF"/>
      </w:pPr>
      <w:r>
        <w:t>Figure 4.5.2.2.2-1: NF service consumer subscribes to notifications</w:t>
      </w:r>
    </w:p>
    <w:p w14:paraId="4C9FFAE8" w14:textId="77777777" w:rsidR="00A10B25" w:rsidRDefault="00A10B25">
      <w:pPr>
        <w:rPr>
          <w:rFonts w:eastAsia="等线"/>
        </w:rPr>
      </w:pPr>
      <w:bookmarkStart w:id="2709" w:name="_Toc104538949"/>
      <w:bookmarkStart w:id="2710" w:name="_Toc114133750"/>
      <w:bookmarkStart w:id="2711" w:name="_Toc112951071"/>
      <w:bookmarkStart w:id="2712" w:name="_Toc88667527"/>
      <w:bookmarkStart w:id="2713" w:name="_Toc98233580"/>
      <w:bookmarkStart w:id="2714" w:name="_Toc85552926"/>
      <w:bookmarkStart w:id="2715" w:name="_Toc83233029"/>
      <w:bookmarkStart w:id="2716" w:name="_Toc120702250"/>
      <w:bookmarkStart w:id="2717" w:name="_Toc113031611"/>
      <w:bookmarkStart w:id="2718" w:name="_Toc85557025"/>
      <w:bookmarkStart w:id="2719" w:name="_Toc101244356"/>
      <w:bookmarkStart w:id="2720" w:name="_Toc94064195"/>
      <w:bookmarkStart w:id="2721" w:name="_Toc90655812"/>
      <w:r>
        <w:rPr>
          <w:rFonts w:eastAsia="等线"/>
        </w:rPr>
        <w:t>The NF service consumer shall invoke the Nnwdaf_</w:t>
      </w:r>
      <w:r>
        <w:rPr>
          <w:lang w:eastAsia="ja-JP"/>
        </w:rPr>
        <w:t>MLModelProvision</w:t>
      </w:r>
      <w:r>
        <w:rPr>
          <w:rFonts w:eastAsia="等线"/>
        </w:rPr>
        <w:t xml:space="preserve">_Subscribe service operation to subscribe to event notification(s). The NF </w:t>
      </w:r>
      <w:r>
        <w:t>service</w:t>
      </w:r>
      <w:r>
        <w:rPr>
          <w:rFonts w:eastAsia="等线"/>
        </w:rPr>
        <w:t xml:space="preserve"> consumer </w:t>
      </w:r>
      <w:r>
        <w:rPr>
          <w:rFonts w:eastAsia="等线"/>
          <w:lang w:val="en-US"/>
        </w:rPr>
        <w:t xml:space="preserve">shall </w:t>
      </w:r>
      <w:r>
        <w:rPr>
          <w:rFonts w:eastAsia="等线"/>
        </w:rPr>
        <w:t>send an HTTP POST request with "{apiRoot}/nnwdaf-</w:t>
      </w:r>
      <w:r>
        <w:t>mlmodelprovision</w:t>
      </w:r>
      <w:r>
        <w:rPr>
          <w:rFonts w:eastAsia="等线"/>
        </w:rPr>
        <w:t xml:space="preserve">/&lt;apiVersion&gt;/subscriptions" as Resource URI representing the "NWDAF </w:t>
      </w:r>
      <w:r>
        <w:t>ML Model Provision</w:t>
      </w:r>
      <w:r>
        <w:rPr>
          <w:rFonts w:eastAsia="等线"/>
        </w:rPr>
        <w:t xml:space="preserve"> Subscriptions", as shown in figure 4.5.2.2.2-1, step 1, to create a subscription for an "Individual </w:t>
      </w:r>
      <w:r>
        <w:t>NWDAF ML Model Provision</w:t>
      </w:r>
      <w:r>
        <w:rPr>
          <w:rFonts w:eastAsia="等线"/>
        </w:rPr>
        <w:t xml:space="preserve"> Subscription" according to the information in message body.</w:t>
      </w:r>
    </w:p>
    <w:p w14:paraId="3069821B" w14:textId="77777777" w:rsidR="00A10B25" w:rsidRDefault="00A10B25">
      <w:pPr>
        <w:rPr>
          <w:rFonts w:eastAsia="等线"/>
        </w:rPr>
      </w:pPr>
      <w:r>
        <w:rPr>
          <w:rFonts w:eastAsia="等线"/>
        </w:rPr>
        <w:t>The NwdafMLModelProvSubsc data structure provided in the request body shall include:</w:t>
      </w:r>
    </w:p>
    <w:p w14:paraId="5AB107E5" w14:textId="77777777" w:rsidR="00A10B25" w:rsidRDefault="00A10B25">
      <w:pPr>
        <w:pStyle w:val="B1"/>
      </w:pPr>
      <w:r>
        <w:t>-</w:t>
      </w:r>
      <w:r>
        <w:tab/>
        <w:t>an URI where to receive the requested notifications as the "notifUri" attribute; and</w:t>
      </w:r>
    </w:p>
    <w:p w14:paraId="5488BDF9" w14:textId="77777777" w:rsidR="00A10B25" w:rsidRDefault="00A10B25">
      <w:pPr>
        <w:pStyle w:val="B1"/>
        <w:rPr>
          <w:lang w:val="en-US"/>
        </w:rPr>
      </w:pPr>
      <w:r>
        <w:t>-</w:t>
      </w:r>
      <w:r>
        <w:tab/>
        <w:t>a description of the subscribed events as the "mLEventSubscs" attribute that, for each event, the MLEventSubscription data type shall include</w:t>
      </w:r>
      <w:r>
        <w:rPr>
          <w:lang w:val="en-US"/>
        </w:rPr>
        <w:t>:</w:t>
      </w:r>
    </w:p>
    <w:p w14:paraId="1CECD4DF" w14:textId="77777777" w:rsidR="00A10B25" w:rsidRDefault="00A10B25">
      <w:pPr>
        <w:pStyle w:val="B2"/>
      </w:pPr>
      <w:r>
        <w:rPr>
          <w:lang w:val="en-US"/>
        </w:rPr>
        <w:t>1)</w:t>
      </w:r>
      <w:r>
        <w:rPr>
          <w:lang w:val="en-US"/>
        </w:rPr>
        <w:tab/>
      </w:r>
      <w:r>
        <w:t>an event identifier as the "mLEvent" attribute; and</w:t>
      </w:r>
    </w:p>
    <w:p w14:paraId="44AF3991" w14:textId="77777777" w:rsidR="00A10B25" w:rsidRDefault="00A10B25">
      <w:pPr>
        <w:pStyle w:val="B2"/>
      </w:pPr>
      <w:r>
        <w:t>2)</w:t>
      </w:r>
      <w:r>
        <w:tab/>
        <w:t>event filter information as the "mLEventFilter" attribute;</w:t>
      </w:r>
    </w:p>
    <w:p w14:paraId="11403F41" w14:textId="77777777" w:rsidR="00A10B25" w:rsidRDefault="00F253B2" w:rsidP="00F253B2">
      <w:pPr>
        <w:pStyle w:val="B1"/>
      </w:pPr>
      <w:r>
        <w:tab/>
      </w:r>
      <w:r w:rsidR="00A10B25">
        <w:t>and may include:</w:t>
      </w:r>
    </w:p>
    <w:p w14:paraId="68C75057" w14:textId="77777777" w:rsidR="00A10B25" w:rsidRDefault="00A10B25">
      <w:pPr>
        <w:pStyle w:val="B2"/>
      </w:pPr>
      <w:r>
        <w:t>1)</w:t>
      </w:r>
      <w:r>
        <w:tab/>
        <w:t>an identification of target UE information as the "tgtUe" attribute;</w:t>
      </w:r>
    </w:p>
    <w:p w14:paraId="41620E7E" w14:textId="77777777" w:rsidR="00A10B25" w:rsidRDefault="00A10B25">
      <w:pPr>
        <w:pStyle w:val="B2"/>
      </w:pPr>
      <w:r>
        <w:t>2)</w:t>
      </w:r>
      <w:r>
        <w:tab/>
        <w:t xml:space="preserve">a time interval </w:t>
      </w:r>
      <w:r>
        <w:rPr>
          <w:lang w:val="en-US" w:eastAsia="zh-CN"/>
        </w:rPr>
        <w:t>for</w:t>
      </w:r>
      <w:r>
        <w:t xml:space="preserve"> which the ML model </w:t>
      </w:r>
      <w:r>
        <w:rPr>
          <w:rFonts w:cs="Arial"/>
          <w:szCs w:val="18"/>
          <w:lang w:eastAsia="zh-CN"/>
        </w:rPr>
        <w:t>for the analytics is requested</w:t>
      </w:r>
      <w:r>
        <w:t xml:space="preserve"> as the "mLTargetPeriod" attribute;</w:t>
      </w:r>
    </w:p>
    <w:p w14:paraId="69D2DF66" w14:textId="77777777" w:rsidR="00A10B25" w:rsidRDefault="00A10B25">
      <w:pPr>
        <w:pStyle w:val="B2"/>
      </w:pPr>
      <w:r>
        <w:t>3)</w:t>
      </w:r>
      <w:r>
        <w:tab/>
        <w:t>the time when the subscription expired as the "expiryTime" attribute;</w:t>
      </w:r>
    </w:p>
    <w:p w14:paraId="59D12DE9" w14:textId="77777777" w:rsidR="00164A54" w:rsidRDefault="00164A54" w:rsidP="00164A54">
      <w:pPr>
        <w:pStyle w:val="B2"/>
      </w:pPr>
      <w:r>
        <w:t>4)</w:t>
      </w:r>
      <w:r>
        <w:tab/>
        <w:t xml:space="preserve">the </w:t>
      </w:r>
      <w:r>
        <w:rPr>
          <w:lang w:eastAsia="ko-KR"/>
        </w:rPr>
        <w:t xml:space="preserve">ML event reporting condition as the </w:t>
      </w:r>
      <w:r>
        <w:t>"</w:t>
      </w:r>
      <w:r>
        <w:rPr>
          <w:lang w:eastAsia="ko-KR"/>
        </w:rPr>
        <w:t>mlEvRepCon</w:t>
      </w:r>
      <w:r>
        <w:t>"</w:t>
      </w:r>
      <w:r>
        <w:rPr>
          <w:lang w:eastAsia="ko-KR"/>
        </w:rPr>
        <w:t xml:space="preserve"> </w:t>
      </w:r>
      <w:r>
        <w:t>if the "FederatedLearning" feature or the "ModelProvisionExt" feature is supported;</w:t>
      </w:r>
    </w:p>
    <w:p w14:paraId="48DB2606" w14:textId="77777777" w:rsidR="00164A54" w:rsidRDefault="00164A54" w:rsidP="00164A54">
      <w:pPr>
        <w:pStyle w:val="B2"/>
      </w:pPr>
      <w:r>
        <w:t>5)</w:t>
      </w:r>
      <w:r>
        <w:tab/>
        <w:t xml:space="preserve">the </w:t>
      </w:r>
      <w:r>
        <w:rPr>
          <w:lang w:eastAsia="zh-CN"/>
        </w:rPr>
        <w:t>ML Model Interoperability Information</w:t>
      </w:r>
      <w:r>
        <w:t xml:space="preserve"> as the "modelInterInfo" attribute if the "ModelSharing" feature is supported;</w:t>
      </w:r>
    </w:p>
    <w:p w14:paraId="1A4EA0FA" w14:textId="77777777" w:rsidR="00164A54" w:rsidRDefault="00164A54" w:rsidP="00164A54">
      <w:pPr>
        <w:pStyle w:val="B2"/>
      </w:pPr>
      <w:r>
        <w:t>6)</w:t>
      </w:r>
      <w:r>
        <w:tab/>
        <w:t>NF consumer information as the "nfConsumerInfo" attributed if the "ModelSharing" feature is supported;</w:t>
      </w:r>
    </w:p>
    <w:p w14:paraId="558266C5" w14:textId="77777777" w:rsidR="00164A54" w:rsidRDefault="00164A54" w:rsidP="00164A54">
      <w:pPr>
        <w:pStyle w:val="B2"/>
      </w:pPr>
      <w:r>
        <w:rPr>
          <w:lang w:val="en-US"/>
        </w:rPr>
        <w:t>7</w:t>
      </w:r>
      <w:r>
        <w:t>)</w:t>
      </w:r>
      <w:r>
        <w:tab/>
        <w:t>use case context as "useCaseCxt" attribute, if the "ENAExt" feature is supported;</w:t>
      </w:r>
    </w:p>
    <w:p w14:paraId="06AD6624" w14:textId="77777777" w:rsidR="00164A54" w:rsidRDefault="00164A54" w:rsidP="00164A54">
      <w:pPr>
        <w:pStyle w:val="NO"/>
      </w:pPr>
      <w:r>
        <w:t>NOTE 1:</w:t>
      </w:r>
      <w:r>
        <w:tab/>
        <w:t>The NWDAF containing MTLF can use the "useCaseCxt" attribute to select the most relevant ML model, when several ML models are available for the requested Analytics ID(s). The values of this parameter are not standardized.</w:t>
      </w:r>
    </w:p>
    <w:p w14:paraId="45342CFF" w14:textId="77777777" w:rsidR="00164A54" w:rsidRDefault="00164A54" w:rsidP="00164A54">
      <w:pPr>
        <w:pStyle w:val="B2"/>
      </w:pPr>
      <w:r>
        <w:t>8)</w:t>
      </w:r>
      <w:r>
        <w:tab/>
        <w:t>extended parameters for ML model provisioning as the "modelProvExt" attribute, if the feature "</w:t>
      </w:r>
      <w:r>
        <w:rPr>
          <w:rFonts w:cs="Arial"/>
          <w:szCs w:val="18"/>
        </w:rPr>
        <w:t>ModelProvisionExt</w:t>
      </w:r>
      <w:r>
        <w:t>" is supported;</w:t>
      </w:r>
    </w:p>
    <w:p w14:paraId="7DAF1C22" w14:textId="77777777" w:rsidR="00164A54" w:rsidRDefault="00164A54" w:rsidP="00164A54">
      <w:pPr>
        <w:pStyle w:val="B2"/>
      </w:pPr>
      <w:r>
        <w:t>9)</w:t>
      </w:r>
      <w:r>
        <w:tab/>
        <w:t>UTC time indicating the time when the ML model is needed as the "timeModelNeeded" attribute;</w:t>
      </w:r>
    </w:p>
    <w:p w14:paraId="41D73AF7" w14:textId="77777777" w:rsidR="00164A54" w:rsidRDefault="00164A54" w:rsidP="00164A54">
      <w:pPr>
        <w:pStyle w:val="B2"/>
      </w:pPr>
      <w:r>
        <w:t>10)</w:t>
      </w:r>
      <w:r>
        <w:tab/>
      </w:r>
      <w:r>
        <w:rPr>
          <w:lang w:eastAsia="zh-CN"/>
        </w:rPr>
        <w:t>the inference data stored in ADRF which can be used by MTLF</w:t>
      </w:r>
      <w:r>
        <w:t xml:space="preserve"> as the "</w:t>
      </w:r>
      <w:r>
        <w:rPr>
          <w:lang w:eastAsia="zh-CN"/>
        </w:rPr>
        <w:t>inferDataForModel</w:t>
      </w:r>
      <w:r>
        <w:t>" attribute, if the feature "</w:t>
      </w:r>
      <w:r>
        <w:rPr>
          <w:rFonts w:cs="Arial"/>
          <w:szCs w:val="18"/>
        </w:rPr>
        <w:t>ModelProvisionExt</w:t>
      </w:r>
      <w:r>
        <w:t>" is supported; and</w:t>
      </w:r>
    </w:p>
    <w:p w14:paraId="78FDDDE2" w14:textId="77777777" w:rsidR="00A10B25" w:rsidRPr="0076721C" w:rsidRDefault="00A10B25" w:rsidP="0076721C">
      <w:pPr>
        <w:rPr>
          <w:rFonts w:eastAsia="等线"/>
        </w:rPr>
      </w:pPr>
      <w:r w:rsidRPr="0076721C">
        <w:rPr>
          <w:rFonts w:eastAsia="等线"/>
        </w:rPr>
        <w:lastRenderedPageBreak/>
        <w:t>The NwdafMLModelProvSubsc data structure provided in the request body may include:</w:t>
      </w:r>
    </w:p>
    <w:p w14:paraId="3E36243B" w14:textId="77777777" w:rsidR="00A10B25" w:rsidRDefault="00A10B25">
      <w:pPr>
        <w:pStyle w:val="B1"/>
      </w:pPr>
      <w:r>
        <w:t>-</w:t>
      </w:r>
      <w:r>
        <w:tab/>
        <w:t>a notification correlation identifier assigned by the NF service consumer for the requested notifications as "</w:t>
      </w:r>
      <w:r>
        <w:rPr>
          <w:lang w:eastAsia="zh-CN"/>
        </w:rPr>
        <w:t>notifCorreId</w:t>
      </w:r>
      <w:r>
        <w:t>" attribute; and</w:t>
      </w:r>
    </w:p>
    <w:p w14:paraId="3E18D276" w14:textId="77777777" w:rsidR="00A10B25" w:rsidRDefault="00A10B25">
      <w:pPr>
        <w:pStyle w:val="B1"/>
      </w:pPr>
      <w:r>
        <w:t>-</w:t>
      </w:r>
      <w:r>
        <w:tab/>
        <w:t>the r</w:t>
      </w:r>
      <w:r>
        <w:rPr>
          <w:lang w:eastAsia="zh-CN"/>
        </w:rPr>
        <w:t xml:space="preserve">eporting requirement information of the subscription as the </w:t>
      </w:r>
      <w:r>
        <w:t>"eventReq" attribute.</w:t>
      </w:r>
      <w:bookmarkStart w:id="2722" w:name="_Hlk131980031"/>
    </w:p>
    <w:bookmarkEnd w:id="2722"/>
    <w:p w14:paraId="594EC957" w14:textId="77777777" w:rsidR="00A10B25" w:rsidRDefault="00A10B25">
      <w:r>
        <w:t>For different event types, the filter information in "mLE</w:t>
      </w:r>
      <w:r>
        <w:rPr>
          <w:lang w:val="en-US" w:eastAsia="zh-CN"/>
        </w:rPr>
        <w:t>ventFilter" attribute within the MLEventSubscription data type is the same as described in clause </w:t>
      </w:r>
      <w:r>
        <w:t xml:space="preserve">4.3.2.2.2 for the filter information contained in </w:t>
      </w:r>
      <w:r>
        <w:rPr>
          <w:lang w:val="en-US" w:eastAsia="zh-CN"/>
        </w:rPr>
        <w:t>"</w:t>
      </w:r>
      <w:r>
        <w:t>event-filter</w:t>
      </w:r>
      <w:r>
        <w:rPr>
          <w:lang w:val="en-US" w:eastAsia="zh-CN"/>
        </w:rPr>
        <w:t>"</w:t>
      </w:r>
      <w:r>
        <w:t xml:space="preserve"> attribute.</w:t>
      </w:r>
    </w:p>
    <w:p w14:paraId="3E8EEB98" w14:textId="77777777" w:rsidR="00607DB3" w:rsidRDefault="00607DB3" w:rsidP="00607DB3">
      <w:pPr>
        <w:pStyle w:val="NO"/>
      </w:pPr>
      <w:r>
        <w:t>NOTE</w:t>
      </w:r>
      <w:r>
        <w:rPr>
          <w:lang w:val="en-US"/>
        </w:rPr>
        <w:t> 2</w:t>
      </w:r>
      <w:r>
        <w:t>:</w:t>
      </w:r>
      <w:r>
        <w:tab/>
        <w:t>The features described in clause 4.3.2.2.2 has no impact on this service, i.e. t</w:t>
      </w:r>
      <w:r w:rsidRPr="000776F3">
        <w:t xml:space="preserve">he </w:t>
      </w:r>
      <w:r>
        <w:t>features</w:t>
      </w:r>
      <w:r w:rsidRPr="000776F3">
        <w:t xml:space="preserve"> defined for the EventFilter </w:t>
      </w:r>
      <w:r>
        <w:t xml:space="preserve">data </w:t>
      </w:r>
      <w:r w:rsidRPr="000776F3">
        <w:t xml:space="preserve">type </w:t>
      </w:r>
      <w:r w:rsidRPr="00257ECB">
        <w:t>will possibly</w:t>
      </w:r>
      <w:r w:rsidRPr="000776F3">
        <w:t xml:space="preserve"> not have corresponding </w:t>
      </w:r>
      <w:r>
        <w:t>features</w:t>
      </w:r>
      <w:r w:rsidRPr="000776F3">
        <w:t xml:space="preserve"> in this </w:t>
      </w:r>
      <w:r>
        <w:t xml:space="preserve">service. </w:t>
      </w:r>
      <w:r w:rsidRPr="000776F3">
        <w:t>The result is that when the</w:t>
      </w:r>
      <w:r>
        <w:t xml:space="preserve"> releases of which the</w:t>
      </w:r>
      <w:r w:rsidRPr="000776F3">
        <w:t xml:space="preserve"> </w:t>
      </w:r>
      <w:r>
        <w:t xml:space="preserve">NF service </w:t>
      </w:r>
      <w:r w:rsidRPr="000776F3">
        <w:t xml:space="preserve">consumer and </w:t>
      </w:r>
      <w:r>
        <w:t xml:space="preserve">the </w:t>
      </w:r>
      <w:r w:rsidRPr="000776F3">
        <w:t xml:space="preserve">NWDAF </w:t>
      </w:r>
      <w:r>
        <w:t xml:space="preserve">containing MTLF </w:t>
      </w:r>
      <w:r w:rsidRPr="000776F3">
        <w:t xml:space="preserve">are </w:t>
      </w:r>
      <w:r>
        <w:t>different</w:t>
      </w:r>
      <w:r w:rsidRPr="000776F3">
        <w:t xml:space="preserve">, the </w:t>
      </w:r>
      <w:r>
        <w:t xml:space="preserve">NF service </w:t>
      </w:r>
      <w:r w:rsidRPr="000776F3">
        <w:t xml:space="preserve">consumer </w:t>
      </w:r>
      <w:r w:rsidRPr="00257ECB">
        <w:t>will possibly</w:t>
      </w:r>
      <w:r w:rsidRPr="000776F3">
        <w:t xml:space="preserve"> not know whether </w:t>
      </w:r>
      <w:r>
        <w:t xml:space="preserve">the </w:t>
      </w:r>
      <w:r w:rsidRPr="000776F3">
        <w:t xml:space="preserve">NWDAF </w:t>
      </w:r>
      <w:r>
        <w:t xml:space="preserve">containing </w:t>
      </w:r>
      <w:r w:rsidRPr="000776F3">
        <w:t xml:space="preserve">MTLF has considered all the filter information </w:t>
      </w:r>
      <w:r>
        <w:t>provided</w:t>
      </w:r>
      <w:r w:rsidRPr="000776F3">
        <w:t xml:space="preserve"> in the request message</w:t>
      </w:r>
      <w:r>
        <w:t>.</w:t>
      </w:r>
    </w:p>
    <w:p w14:paraId="0BF0E9A8" w14:textId="77777777" w:rsidR="00A10B25" w:rsidRDefault="00A10B25">
      <w:pPr>
        <w:rPr>
          <w:rFonts w:eastAsia="等线"/>
        </w:rPr>
      </w:pPr>
      <w:r>
        <w:rPr>
          <w:rFonts w:eastAsia="等线"/>
        </w:rPr>
        <w:t xml:space="preserve">Upon the reception of an HTTP POST request with: "{apiRoot}/nnwdaf-mlmodelprovision/&lt;apiVersion&gt;/subscriptions" as Resource URI and NwdafMLModelProvSubsc data structure as request body, the NWDAF shall </w:t>
      </w:r>
      <w:r>
        <w:t>create a new subscription and store the subscription.</w:t>
      </w:r>
    </w:p>
    <w:p w14:paraId="344097CA" w14:textId="77777777" w:rsidR="00A10B25" w:rsidRDefault="00A10B25">
      <w:pPr>
        <w:rPr>
          <w:rFonts w:eastAsia="等线"/>
        </w:rPr>
      </w:pPr>
      <w:r>
        <w:rPr>
          <w:rFonts w:eastAsia="等线"/>
        </w:rPr>
        <w:t xml:space="preserve">If the </w:t>
      </w:r>
      <w:r>
        <w:t>NWDAF</w:t>
      </w:r>
      <w:r>
        <w:rPr>
          <w:rFonts w:eastAsia="等线"/>
        </w:rPr>
        <w:t xml:space="preserve"> created an "</w:t>
      </w:r>
      <w:r>
        <w:t>Individual NWDAF ML Model Provision Subscription</w:t>
      </w:r>
      <w:r>
        <w:rPr>
          <w:rFonts w:eastAsia="等线"/>
        </w:rPr>
        <w:t xml:space="preserve">" resource, the NWDAF shall respond with "201 Created" with the message body containing a representation of the created subscription, as </w:t>
      </w:r>
      <w:r>
        <w:rPr>
          <w:rFonts w:eastAsia="Batang"/>
        </w:rPr>
        <w:t>shown in figure 4.5.2.2.2-1, step 2</w:t>
      </w:r>
      <w:r>
        <w:rPr>
          <w:rFonts w:eastAsia="等线"/>
        </w:rPr>
        <w:t>. The NWDAF shall include a Location HTTP header field. The Location header field shall contain the URI of the created subscription i.e. "{apiRoot}/nnwdaf-mlmodelprovision/&lt;apiVersion&gt;/subscriptions/{subscriptionId}".</w:t>
      </w:r>
    </w:p>
    <w:p w14:paraId="2D0BFE58" w14:textId="77777777" w:rsidR="00A10B25" w:rsidRDefault="00A10B25">
      <w:pPr>
        <w:rPr>
          <w:rFonts w:eastAsia="等线"/>
        </w:rPr>
      </w:pPr>
      <w:r>
        <w:rPr>
          <w:rFonts w:eastAsia="等线"/>
        </w:rPr>
        <w:t>If the immediate reporting indication in the "immRep" attribute within the "</w:t>
      </w:r>
      <w:r>
        <w:t>eventReq</w:t>
      </w:r>
      <w:r>
        <w:rPr>
          <w:rFonts w:eastAsia="等线"/>
        </w:rPr>
        <w:t xml:space="preserve">" attribute sets to true during the event subscription, the NWDAF shall include the reports of the subscribed events, if available, as the </w:t>
      </w:r>
      <w:r>
        <w:t>"mLEventNotifs"</w:t>
      </w:r>
      <w:r>
        <w:rPr>
          <w:rFonts w:eastAsia="等线"/>
        </w:rPr>
        <w:t xml:space="preserve"> attribute in the HTTP POST response.</w:t>
      </w:r>
    </w:p>
    <w:p w14:paraId="40294744" w14:textId="77777777" w:rsidR="00A10B25" w:rsidRDefault="00A10B25">
      <w:pPr>
        <w:rPr>
          <w:lang w:eastAsia="ko-KR"/>
        </w:rPr>
      </w:pPr>
      <w:r>
        <w:rPr>
          <w:rFonts w:eastAsia="等线"/>
        </w:rPr>
        <w:t xml:space="preserve">If </w:t>
      </w:r>
      <w:r>
        <w:rPr>
          <w:lang w:eastAsia="zh-CN"/>
        </w:rPr>
        <w:t>not all the requested events in the subscription are accepted</w:t>
      </w:r>
      <w:r>
        <w:rPr>
          <w:rFonts w:eastAsia="等线"/>
        </w:rPr>
        <w:t xml:space="preserve">, then the NWDAF may include the </w:t>
      </w:r>
      <w:r>
        <w:t>"</w:t>
      </w:r>
      <w:r>
        <w:rPr>
          <w:rFonts w:hint="eastAsia"/>
          <w:lang w:eastAsia="zh-CN"/>
        </w:rPr>
        <w:t>f</w:t>
      </w:r>
      <w:r>
        <w:rPr>
          <w:lang w:eastAsia="zh-CN"/>
        </w:rPr>
        <w:t>ailEventReports</w:t>
      </w:r>
      <w:r>
        <w:t>"</w:t>
      </w:r>
      <w:r>
        <w:rPr>
          <w:rFonts w:eastAsia="等线"/>
        </w:rPr>
        <w:t xml:space="preserve"> </w:t>
      </w:r>
      <w:r>
        <w:t>attribute</w:t>
      </w:r>
      <w:r>
        <w:rPr>
          <w:rFonts w:eastAsia="等线"/>
        </w:rPr>
        <w:t xml:space="preserve"> indicating the event(s) for which the subscription failed and the associated reason(s).</w:t>
      </w:r>
    </w:p>
    <w:p w14:paraId="0A9FD89E" w14:textId="77777777" w:rsidR="00A10B25" w:rsidRDefault="00A10B25">
      <w:pPr>
        <w:rPr>
          <w:lang w:eastAsia="ko-KR"/>
        </w:rPr>
      </w:pPr>
      <w:bookmarkStart w:id="2723" w:name="_Toc148522522"/>
      <w:bookmarkStart w:id="2724" w:name="_Toc145705618"/>
      <w:bookmarkStart w:id="2725" w:name="_Toc136562297"/>
      <w:bookmarkStart w:id="2726" w:name="_Toc138754131"/>
      <w:r>
        <w:rPr>
          <w:rFonts w:eastAsia="等线"/>
        </w:rPr>
        <w:t>If there is no associated ML model available for all the listed "mLEvent" attribute, the NWDAF which contains MTLF shall send a "500 Internal Server Error" status code to the NF service consumer. Also</w:t>
      </w:r>
      <w:r>
        <w:t>, the corresponding failure reason via a "problemDetails" attribute with the "cause" attribute set to "</w:t>
      </w:r>
      <w:r>
        <w:rPr>
          <w:lang w:eastAsia="zh-CN"/>
        </w:rPr>
        <w:t>UNAVAILABLE_ML_MODEL_FOR_ALLEVENTS</w:t>
      </w:r>
      <w:r>
        <w:t>"</w:t>
      </w:r>
      <w:r>
        <w:rPr>
          <w:lang w:eastAsia="ko-KR"/>
        </w:rPr>
        <w:t>.</w:t>
      </w:r>
    </w:p>
    <w:p w14:paraId="3145E1DE" w14:textId="77777777" w:rsidR="00A10B25" w:rsidRDefault="00A10B25">
      <w:r>
        <w:rPr>
          <w:rFonts w:eastAsia="等线"/>
        </w:rPr>
        <w:t>If other errors occur when processing the HTTP POST request, the NWDAF shall send an HTTP error response as specified in clause 5.4.7</w:t>
      </w:r>
      <w:r>
        <w:rPr>
          <w:rFonts w:eastAsia="等线"/>
          <w:lang w:eastAsia="zh-CN"/>
        </w:rPr>
        <w:t>.</w:t>
      </w:r>
    </w:p>
    <w:p w14:paraId="60F6CB87" w14:textId="77777777" w:rsidR="00A10B25" w:rsidRDefault="00A10B25">
      <w:pPr>
        <w:pStyle w:val="5"/>
      </w:pPr>
      <w:bookmarkStart w:id="2727" w:name="_Toc164920646"/>
      <w:bookmarkStart w:id="2728" w:name="_Toc170120188"/>
      <w:bookmarkStart w:id="2729" w:name="_Toc175858433"/>
      <w:bookmarkStart w:id="2730" w:name="_Toc175859506"/>
      <w:bookmarkStart w:id="2731" w:name="_Toc180605796"/>
      <w:bookmarkStart w:id="2732" w:name="_Toc185517050"/>
      <w:bookmarkStart w:id="2733" w:name="_Toc191576101"/>
      <w:bookmarkStart w:id="2734" w:name="_Toc191576841"/>
      <w:bookmarkStart w:id="2735" w:name="_Toc192879911"/>
      <w:bookmarkStart w:id="2736" w:name="_Toc195814794"/>
      <w:bookmarkStart w:id="2737" w:name="_Toc199452741"/>
      <w:r>
        <w:t>4.5.2.2.3</w:t>
      </w:r>
      <w:r>
        <w:tab/>
        <w:t>Update subscription for event notifications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76EAD7A0" w14:textId="77777777" w:rsidR="00A10B25" w:rsidRDefault="00A10B25">
      <w:r>
        <w:t>Figure 4.5.2.2.3-1 shows a scenario that the NF service consumer sends an HTTP PUT request to the NWDAF to modify an existing subscription (as shown in 3GPP TS 23.288 [17]).</w:t>
      </w:r>
    </w:p>
    <w:p w14:paraId="2A5F104F" w14:textId="77777777" w:rsidR="00A10B25" w:rsidRDefault="00A10B25">
      <w:pPr>
        <w:pStyle w:val="TH"/>
      </w:pPr>
      <w:r>
        <w:rPr>
          <w:lang w:val="en-US" w:eastAsia="zh-CN"/>
        </w:rPr>
        <w:object w:dxaOrig="8873" w:dyaOrig="2804" w14:anchorId="02E05EE8">
          <v:shape id="Object 26" o:spid="_x0000_i1060" type="#_x0000_t75" style="width:428.85pt;height:135.25pt;mso-position-horizontal-relative:page;mso-position-vertical-relative:page" o:ole="">
            <v:imagedata r:id="rId51" o:title=""/>
          </v:shape>
          <o:OLEObject Type="Embed" ProgID="Visio.Drawing.15" ShapeID="Object 26" DrawAspect="Content" ObjectID="_1810066002" r:id="rId52"/>
        </w:object>
      </w:r>
    </w:p>
    <w:p w14:paraId="1C0171DB" w14:textId="77777777" w:rsidR="00A10B25" w:rsidRDefault="00A10B25">
      <w:pPr>
        <w:pStyle w:val="TF"/>
      </w:pPr>
      <w:r>
        <w:t>Figure 4.5.2.2.3-1: Modification of events subscription information using HTTP PUT</w:t>
      </w:r>
    </w:p>
    <w:p w14:paraId="7E799926" w14:textId="77777777" w:rsidR="00AD5F95" w:rsidRDefault="00AD5F95" w:rsidP="00AD5F95">
      <w:pPr>
        <w:rPr>
          <w:rFonts w:eastAsia="等线"/>
        </w:rPr>
      </w:pPr>
      <w:r>
        <w:rPr>
          <w:rFonts w:eastAsia="等线"/>
        </w:rPr>
        <w:t>The NF service consumer shall invoke the Nnwdaf_</w:t>
      </w:r>
      <w:r>
        <w:rPr>
          <w:lang w:eastAsia="ja-JP"/>
        </w:rPr>
        <w:t>MLModelProvision</w:t>
      </w:r>
      <w:r>
        <w:rPr>
          <w:rFonts w:eastAsia="等线"/>
        </w:rPr>
        <w:t xml:space="preserve">_Subscribe service operation to </w:t>
      </w:r>
      <w:r>
        <w:t xml:space="preserve">modify an existing </w:t>
      </w:r>
      <w:r>
        <w:rPr>
          <w:lang w:eastAsia="ko-KR"/>
        </w:rPr>
        <w:t>ML Model</w:t>
      </w:r>
      <w:r>
        <w:t xml:space="preserve"> subscription</w:t>
      </w:r>
      <w:r>
        <w:rPr>
          <w:rFonts w:eastAsia="等线"/>
        </w:rPr>
        <w:t>. The NF service consumer shall send an HTTP PUT request with: "{apiRoot}/nnwdaf-</w:t>
      </w:r>
      <w:r>
        <w:t>mlmodelprovision</w:t>
      </w:r>
      <w:r>
        <w:rPr>
          <w:rFonts w:eastAsia="等线"/>
        </w:rPr>
        <w:t xml:space="preserve">/&lt;apiVersion&gt;/subscriptions/{subscriptionId}" as Resource URI, where "{subscriptionId}" is the event subscription identifier of the existing subscription to be modified, to update an "Individual </w:t>
      </w:r>
      <w:r>
        <w:t xml:space="preserve">NWDAF ML Model </w:t>
      </w:r>
      <w:r>
        <w:lastRenderedPageBreak/>
        <w:t>Provision</w:t>
      </w:r>
      <w:r>
        <w:rPr>
          <w:rFonts w:eastAsia="等线"/>
        </w:rPr>
        <w:t xml:space="preserve"> Subscription" according to the information in the message body.</w:t>
      </w:r>
      <w:r>
        <w:rPr>
          <w:rFonts w:eastAsia="等线" w:hint="eastAsia"/>
          <w:lang w:eastAsia="zh-CN"/>
        </w:rPr>
        <w:t xml:space="preserve"> </w:t>
      </w:r>
      <w:r>
        <w:rPr>
          <w:rFonts w:eastAsia="等线"/>
        </w:rPr>
        <w:t xml:space="preserve">The NwdafMLModelProvSubsc data structure </w:t>
      </w:r>
      <w:r>
        <w:t>provided in the request body shall include the same contents as described in clause 4.5.2.2.2.</w:t>
      </w:r>
    </w:p>
    <w:p w14:paraId="19F548A8" w14:textId="77777777" w:rsidR="00A10B25" w:rsidRDefault="00A10B25">
      <w:pPr>
        <w:rPr>
          <w:rFonts w:eastAsia="等线"/>
        </w:rPr>
      </w:pPr>
      <w:r>
        <w:rPr>
          <w:rFonts w:eastAsia="等线"/>
        </w:rPr>
        <w:t xml:space="preserve">Upon </w:t>
      </w:r>
      <w:r>
        <w:t xml:space="preserve">receipt </w:t>
      </w:r>
      <w:r>
        <w:rPr>
          <w:rFonts w:eastAsia="等线"/>
        </w:rPr>
        <w:t>of an HTTP PUT request with: "{apiRoot}/nnwdaf-</w:t>
      </w:r>
      <w:r>
        <w:t>mlmodelprovision</w:t>
      </w:r>
      <w:r>
        <w:rPr>
          <w:rFonts w:eastAsia="等线"/>
        </w:rPr>
        <w:t>/&lt;apiVersion&gt;/subscriptions/{subscriptionId}" as Resource URI and NwdafMLModelProvSubsc data type as request body, if the request is successfully processed and accepted, the NWDAF shall:</w:t>
      </w:r>
    </w:p>
    <w:p w14:paraId="71F126A0" w14:textId="77777777" w:rsidR="00A10B25" w:rsidRDefault="00A10B25">
      <w:pPr>
        <w:ind w:left="568" w:hanging="284"/>
      </w:pPr>
      <w:r>
        <w:t>-</w:t>
      </w:r>
      <w:r>
        <w:tab/>
        <w:t>modify the concerned subscription; and</w:t>
      </w:r>
    </w:p>
    <w:p w14:paraId="4B63C0E9" w14:textId="77777777" w:rsidR="00A10B25" w:rsidRDefault="00A10B25">
      <w:pPr>
        <w:ind w:left="568" w:hanging="284"/>
      </w:pPr>
      <w:r>
        <w:t>-</w:t>
      </w:r>
      <w:r>
        <w:tab/>
        <w:t>store the subscription.</w:t>
      </w:r>
    </w:p>
    <w:p w14:paraId="4CEC7CFE" w14:textId="77777777" w:rsidR="00A10B25" w:rsidRDefault="00A10B25">
      <w:pPr>
        <w:keepLines/>
        <w:ind w:left="1135" w:hanging="851"/>
      </w:pPr>
      <w:r>
        <w:t>NOTE:</w:t>
      </w:r>
      <w:r>
        <w:tab/>
        <w:t xml:space="preserve">The "notifUri" attribute within the </w:t>
      </w:r>
      <w:r>
        <w:rPr>
          <w:rFonts w:eastAsia="等线"/>
        </w:rPr>
        <w:t>NwdafMLModelProvSubsc</w:t>
      </w:r>
      <w:r>
        <w:t xml:space="preserve"> data structure can be modified to request that subsequent notifications are sent to a new NF service consumer.</w:t>
      </w:r>
    </w:p>
    <w:p w14:paraId="2783E7A7" w14:textId="77777777" w:rsidR="00A10B25" w:rsidRDefault="00A10B25">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w:t>
      </w:r>
      <w:r>
        <w:t>NWDAF ML Model Provision</w:t>
      </w:r>
      <w:r>
        <w:rPr>
          <w:rFonts w:eastAsia="等线"/>
        </w:rPr>
        <w:t xml:space="preserve"> Subscription" resource, and shall respond with:</w:t>
      </w:r>
    </w:p>
    <w:p w14:paraId="0A5AC12C" w14:textId="77777777" w:rsidR="00A10B25" w:rsidRDefault="00A10B25">
      <w:pPr>
        <w:ind w:left="568" w:hanging="284"/>
      </w:pPr>
      <w:r>
        <w:t>-</w:t>
      </w:r>
      <w:r>
        <w:tab/>
        <w:t>HTTP "204 No Content" response (as shown in figure 4.5.2.2.3-1, step 2a); or</w:t>
      </w:r>
    </w:p>
    <w:p w14:paraId="56B15DBF" w14:textId="77777777" w:rsidR="00A10B25" w:rsidRDefault="00A10B25">
      <w:pPr>
        <w:ind w:left="568" w:hanging="284"/>
      </w:pPr>
      <w:r>
        <w:t>-</w:t>
      </w:r>
      <w:r>
        <w:tab/>
        <w:t xml:space="preserve">HTTP "200 OK" response (as shown in figure 4.5.2.2.3-1, step 2b) with a response body containing a representation of the updated subscription in the </w:t>
      </w:r>
      <w:r>
        <w:rPr>
          <w:rFonts w:eastAsia="等线"/>
        </w:rPr>
        <w:t>NwdafMLModelProvSubsc</w:t>
      </w:r>
      <w:r>
        <w:t xml:space="preserve"> data type.</w:t>
      </w:r>
    </w:p>
    <w:p w14:paraId="6D663B08" w14:textId="77777777" w:rsidR="00A10B25" w:rsidRDefault="00A10B25">
      <w:pPr>
        <w:rPr>
          <w:rFonts w:eastAsia="等线"/>
        </w:rPr>
      </w:pPr>
      <w:bookmarkStart w:id="2738" w:name="_Toc120702251"/>
      <w:bookmarkStart w:id="2739" w:name="_Toc145705619"/>
      <w:bookmarkStart w:id="2740" w:name="_Toc104538950"/>
      <w:bookmarkStart w:id="2741" w:name="_Toc114133751"/>
      <w:bookmarkStart w:id="2742" w:name="_Toc90655813"/>
      <w:bookmarkStart w:id="2743" w:name="_Toc148522523"/>
      <w:bookmarkStart w:id="2744" w:name="_Toc83233030"/>
      <w:bookmarkStart w:id="2745" w:name="_Toc85552927"/>
      <w:bookmarkStart w:id="2746" w:name="_Toc88667528"/>
      <w:bookmarkStart w:id="2747" w:name="_Toc98233581"/>
      <w:bookmarkStart w:id="2748" w:name="_Toc101244357"/>
      <w:bookmarkStart w:id="2749" w:name="_Toc113031612"/>
      <w:bookmarkStart w:id="2750" w:name="_Toc85557026"/>
      <w:bookmarkStart w:id="2751" w:name="_Toc136562298"/>
      <w:bookmarkStart w:id="2752" w:name="_Toc138754132"/>
      <w:bookmarkStart w:id="2753" w:name="_Toc94064196"/>
      <w:bookmarkStart w:id="2754" w:name="_Toc70550588"/>
      <w:bookmarkStart w:id="2755" w:name="_Toc112951072"/>
      <w:r>
        <w:rPr>
          <w:rFonts w:eastAsia="等线"/>
        </w:rPr>
        <w:t xml:space="preserve">If </w:t>
      </w:r>
      <w:r>
        <w:rPr>
          <w:lang w:eastAsia="zh-CN"/>
        </w:rPr>
        <w:t>not all the requested events in the subscription are modified successfully</w:t>
      </w:r>
      <w:r>
        <w:rPr>
          <w:rFonts w:eastAsia="等线"/>
        </w:rPr>
        <w:t xml:space="preserve">, then the NWDAF may include the </w:t>
      </w:r>
      <w:r>
        <w:t>"</w:t>
      </w:r>
      <w:r>
        <w:rPr>
          <w:rFonts w:hint="eastAsia"/>
          <w:lang w:eastAsia="zh-CN"/>
        </w:rPr>
        <w:t>f</w:t>
      </w:r>
      <w:r>
        <w:rPr>
          <w:lang w:eastAsia="zh-CN"/>
        </w:rPr>
        <w:t>ailEventReports</w:t>
      </w:r>
      <w:r>
        <w:t>"</w:t>
      </w:r>
      <w:r>
        <w:rPr>
          <w:rFonts w:eastAsia="等线"/>
        </w:rPr>
        <w:t xml:space="preserve"> </w:t>
      </w:r>
      <w:r>
        <w:t>attribute</w:t>
      </w:r>
      <w:r>
        <w:rPr>
          <w:rFonts w:eastAsia="等线"/>
        </w:rPr>
        <w:t xml:space="preserve"> indicating the event(s) for which the subscription failed and the associated reason(s).</w:t>
      </w:r>
    </w:p>
    <w:p w14:paraId="05F38929" w14:textId="77777777" w:rsidR="00A10B25" w:rsidRDefault="00A10B25">
      <w:r>
        <w:t xml:space="preserve">If other errors occur when processing the HTTP PUT request, the </w:t>
      </w:r>
      <w:r>
        <w:rPr>
          <w:rFonts w:eastAsia="等线"/>
        </w:rPr>
        <w:t xml:space="preserve">NWDAF </w:t>
      </w:r>
      <w:r>
        <w:t>shall send an HTTP error response as specified in clause 5.4.7.</w:t>
      </w:r>
    </w:p>
    <w:p w14:paraId="6AE1A90F" w14:textId="77777777" w:rsidR="00A10B25" w:rsidRDefault="00A10B25">
      <w:pPr>
        <w:rPr>
          <w:lang w:eastAsia="en-GB"/>
        </w:rPr>
      </w:pPr>
      <w:r>
        <w:rPr>
          <w:lang w:eastAsia="en-GB"/>
        </w:rPr>
        <w:t xml:space="preserve">If the </w:t>
      </w:r>
      <w:r>
        <w:rPr>
          <w:rFonts w:eastAsia="等线"/>
        </w:rPr>
        <w:t xml:space="preserve">NWDAF </w:t>
      </w:r>
      <w:r>
        <w:rPr>
          <w:lang w:eastAsia="en-GB"/>
        </w:rPr>
        <w:t xml:space="preserve">determines that the received HTTP PUT request needs to be redirected, </w:t>
      </w:r>
      <w:r>
        <w:t>the NWDAF</w:t>
      </w:r>
      <w:r>
        <w:rPr>
          <w:lang w:eastAsia="en-GB"/>
        </w:rPr>
        <w:t xml:space="preserve"> shall send an HTTP redirect response as specified in clause 6.10.9 of</w:t>
      </w:r>
      <w:r>
        <w:rPr>
          <w:lang w:eastAsia="zh-CN"/>
        </w:rPr>
        <w:t xml:space="preserve"> </w:t>
      </w:r>
      <w:r>
        <w:rPr>
          <w:lang w:val="en-US"/>
        </w:rPr>
        <w:t>3GPP TS 29.500 [6]</w:t>
      </w:r>
      <w:r>
        <w:rPr>
          <w:lang w:eastAsia="en-GB"/>
        </w:rPr>
        <w:t>.</w:t>
      </w:r>
    </w:p>
    <w:p w14:paraId="6E1F8302" w14:textId="77777777" w:rsidR="00A10B25" w:rsidRDefault="00A10B25">
      <w:pPr>
        <w:pStyle w:val="4"/>
      </w:pPr>
      <w:bookmarkStart w:id="2756" w:name="_Toc164920647"/>
      <w:bookmarkStart w:id="2757" w:name="_Toc170120189"/>
      <w:bookmarkStart w:id="2758" w:name="_Toc175858434"/>
      <w:bookmarkStart w:id="2759" w:name="_Toc175859507"/>
      <w:bookmarkStart w:id="2760" w:name="_Toc180605797"/>
      <w:bookmarkStart w:id="2761" w:name="_Toc185517051"/>
      <w:bookmarkStart w:id="2762" w:name="_Toc191576102"/>
      <w:bookmarkStart w:id="2763" w:name="_Toc191576842"/>
      <w:bookmarkStart w:id="2764" w:name="_Toc192879912"/>
      <w:bookmarkStart w:id="2765" w:name="_Toc195814795"/>
      <w:bookmarkStart w:id="2766" w:name="_Toc199452742"/>
      <w:r>
        <w:t>4.5.2.3</w:t>
      </w:r>
      <w:r>
        <w:tab/>
      </w:r>
      <w:r>
        <w:rPr>
          <w:lang w:eastAsia="ja-JP"/>
        </w:rPr>
        <w:t>Nnwdaf_MLModelProvision_Unsubscribe</w:t>
      </w:r>
      <w:r>
        <w:t xml:space="preserve"> service operation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9F1C68F" w14:textId="77777777" w:rsidR="00A10B25" w:rsidRDefault="00A10B25">
      <w:pPr>
        <w:pStyle w:val="5"/>
      </w:pPr>
      <w:bookmarkStart w:id="2767" w:name="_Toc88667529"/>
      <w:bookmarkStart w:id="2768" w:name="_Toc98233582"/>
      <w:bookmarkStart w:id="2769" w:name="_Toc90655814"/>
      <w:bookmarkStart w:id="2770" w:name="_Toc145705620"/>
      <w:bookmarkStart w:id="2771" w:name="_Toc114133752"/>
      <w:bookmarkStart w:id="2772" w:name="_Toc112951073"/>
      <w:bookmarkStart w:id="2773" w:name="_Toc120702252"/>
      <w:bookmarkStart w:id="2774" w:name="_Toc136562299"/>
      <w:bookmarkStart w:id="2775" w:name="_Toc85552928"/>
      <w:bookmarkStart w:id="2776" w:name="_Toc94064197"/>
      <w:bookmarkStart w:id="2777" w:name="_Toc83233031"/>
      <w:bookmarkStart w:id="2778" w:name="_Toc104538951"/>
      <w:bookmarkStart w:id="2779" w:name="_Toc148522524"/>
      <w:bookmarkStart w:id="2780" w:name="_Toc113031613"/>
      <w:bookmarkStart w:id="2781" w:name="_Toc138754133"/>
      <w:bookmarkStart w:id="2782" w:name="_Toc85557027"/>
      <w:bookmarkStart w:id="2783" w:name="_Toc101244358"/>
      <w:bookmarkStart w:id="2784" w:name="_Toc164920648"/>
      <w:bookmarkStart w:id="2785" w:name="_Toc170120190"/>
      <w:bookmarkStart w:id="2786" w:name="_Toc175858435"/>
      <w:bookmarkStart w:id="2787" w:name="_Toc175859508"/>
      <w:bookmarkStart w:id="2788" w:name="_Toc180605798"/>
      <w:bookmarkStart w:id="2789" w:name="_Toc185517052"/>
      <w:bookmarkStart w:id="2790" w:name="_Toc191576103"/>
      <w:bookmarkStart w:id="2791" w:name="_Toc191576843"/>
      <w:bookmarkStart w:id="2792" w:name="_Toc192879913"/>
      <w:bookmarkStart w:id="2793" w:name="_Toc195814796"/>
      <w:bookmarkStart w:id="2794" w:name="_Toc199452743"/>
      <w:r>
        <w:t>4.5.2.3.1</w:t>
      </w:r>
      <w:r>
        <w:tab/>
        <w:t>General</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5B5B25E7" w14:textId="77777777" w:rsidR="00A10B25" w:rsidRDefault="00A10B25">
      <w:r>
        <w:t>The Nnwdaf_MLModelProvision_Unsubscribe service operation is used by an NF service consumer to unsubscribe from event notifications.</w:t>
      </w:r>
    </w:p>
    <w:p w14:paraId="52C9F379" w14:textId="77777777" w:rsidR="00A10B25" w:rsidRDefault="00A10B25">
      <w:pPr>
        <w:pStyle w:val="5"/>
      </w:pPr>
      <w:bookmarkStart w:id="2795" w:name="_Toc104538952"/>
      <w:bookmarkStart w:id="2796" w:name="_Toc145705621"/>
      <w:bookmarkStart w:id="2797" w:name="_Toc148522525"/>
      <w:bookmarkStart w:id="2798" w:name="_Toc138754134"/>
      <w:bookmarkStart w:id="2799" w:name="_Toc85557028"/>
      <w:bookmarkStart w:id="2800" w:name="_Toc114133753"/>
      <w:bookmarkStart w:id="2801" w:name="_Toc88667530"/>
      <w:bookmarkStart w:id="2802" w:name="_Toc98233583"/>
      <w:bookmarkStart w:id="2803" w:name="_Toc112951074"/>
      <w:bookmarkStart w:id="2804" w:name="_Toc83233032"/>
      <w:bookmarkStart w:id="2805" w:name="_Toc136562300"/>
      <w:bookmarkStart w:id="2806" w:name="_Toc120702253"/>
      <w:bookmarkStart w:id="2807" w:name="_Toc113031614"/>
      <w:bookmarkStart w:id="2808" w:name="_Toc101244359"/>
      <w:bookmarkStart w:id="2809" w:name="_Toc94064198"/>
      <w:bookmarkStart w:id="2810" w:name="_Toc90655815"/>
      <w:bookmarkStart w:id="2811" w:name="_Toc85552929"/>
      <w:bookmarkStart w:id="2812" w:name="_Toc164920649"/>
      <w:bookmarkStart w:id="2813" w:name="_Toc170120191"/>
      <w:bookmarkStart w:id="2814" w:name="_Toc175858436"/>
      <w:bookmarkStart w:id="2815" w:name="_Toc175859509"/>
      <w:bookmarkStart w:id="2816" w:name="_Toc180605799"/>
      <w:bookmarkStart w:id="2817" w:name="_Toc185517053"/>
      <w:bookmarkStart w:id="2818" w:name="_Toc191576104"/>
      <w:bookmarkStart w:id="2819" w:name="_Toc191576844"/>
      <w:bookmarkStart w:id="2820" w:name="_Toc192879914"/>
      <w:bookmarkStart w:id="2821" w:name="_Toc195814797"/>
      <w:bookmarkStart w:id="2822" w:name="_Toc199452744"/>
      <w:r>
        <w:t>4.5.2.3.2</w:t>
      </w:r>
      <w:r>
        <w:tab/>
        <w:t>Unsubscribe from event notifications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t xml:space="preserve"> </w:t>
      </w:r>
    </w:p>
    <w:p w14:paraId="288E39A8" w14:textId="77777777" w:rsidR="00A10B25" w:rsidRDefault="00A10B25">
      <w:pPr>
        <w:rPr>
          <w:rFonts w:eastAsia="等线"/>
        </w:rPr>
      </w:pPr>
      <w:r>
        <w:rPr>
          <w:rFonts w:eastAsia="等线"/>
        </w:rPr>
        <w:t>Figure 4.5.2.3.2-1 shows a scenario where the NF service consumer sends a request to the NWDAF to unsubscribe</w:t>
      </w:r>
      <w:r>
        <w:rPr>
          <w:rFonts w:eastAsia="Batang"/>
        </w:rPr>
        <w:t xml:space="preserve"> </w:t>
      </w:r>
      <w:r>
        <w:rPr>
          <w:rFonts w:eastAsia="等线"/>
        </w:rPr>
        <w:t>from event notifications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7346AD8E" w14:textId="2FB43245" w:rsidR="00A10B25" w:rsidRDefault="00257874">
      <w:pPr>
        <w:pStyle w:val="TH"/>
        <w:rPr>
          <w:lang w:eastAsia="zh-CN"/>
        </w:rPr>
      </w:pPr>
      <w:r>
        <w:rPr>
          <w:noProof/>
          <w:lang w:val="en-US" w:eastAsia="zh-CN"/>
        </w:rPr>
        <w:drawing>
          <wp:inline distT="0" distB="0" distL="0" distR="0" wp14:anchorId="74A58DCB" wp14:editId="32D4FB29">
            <wp:extent cx="5518150" cy="1510665"/>
            <wp:effectExtent l="0" t="0" r="0" b="0"/>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8150" cy="1510665"/>
                    </a:xfrm>
                    <a:prstGeom prst="rect">
                      <a:avLst/>
                    </a:prstGeom>
                    <a:noFill/>
                    <a:ln>
                      <a:noFill/>
                    </a:ln>
                  </pic:spPr>
                </pic:pic>
              </a:graphicData>
            </a:graphic>
          </wp:inline>
        </w:drawing>
      </w:r>
    </w:p>
    <w:p w14:paraId="797D2462" w14:textId="77777777" w:rsidR="00A10B25" w:rsidRDefault="00A10B25">
      <w:pPr>
        <w:pStyle w:val="TF"/>
      </w:pPr>
      <w:r>
        <w:t>Figure 4.5.2.3.2-1: NF service consumer unsubscribes from notifications</w:t>
      </w:r>
    </w:p>
    <w:p w14:paraId="50E9B0EC" w14:textId="77777777" w:rsidR="00AD5F95" w:rsidRDefault="00AD5F95" w:rsidP="00AD5F95">
      <w:pPr>
        <w:rPr>
          <w:rFonts w:eastAsia="等线"/>
        </w:rPr>
      </w:pPr>
      <w:r>
        <w:rPr>
          <w:rFonts w:eastAsia="等线"/>
        </w:rPr>
        <w:t>The NF service consumer shall invoke the Nnwdaf_</w:t>
      </w:r>
      <w:r>
        <w:rPr>
          <w:lang w:eastAsia="ja-JP"/>
        </w:rPr>
        <w:t>MLModelProvision</w:t>
      </w:r>
      <w:r>
        <w:rPr>
          <w:rFonts w:eastAsia="等线"/>
        </w:rPr>
        <w:t xml:space="preserve">_Unsubscribe service operation to </w:t>
      </w:r>
      <w:r>
        <w:t xml:space="preserve">unsubscribe from an existing </w:t>
      </w:r>
      <w:r>
        <w:rPr>
          <w:lang w:eastAsia="ko-KR"/>
        </w:rPr>
        <w:t>ML Model</w:t>
      </w:r>
      <w:r>
        <w:t xml:space="preserve"> subscription</w:t>
      </w:r>
      <w:r>
        <w:rPr>
          <w:rFonts w:eastAsia="等线"/>
        </w:rPr>
        <w:t>. The NF service consumer shall send an HTTP DELETE request with: "{apiRoot}/nnwdaf-</w:t>
      </w:r>
      <w:r>
        <w:t>mlmodelprovision</w:t>
      </w:r>
      <w:r>
        <w:rPr>
          <w:rFonts w:eastAsia="等线"/>
        </w:rPr>
        <w:t>/&lt;apiVersion&gt;/subscriptions/{subscriptionId}" as Resource URI, where "{subscriptionId}" is the event subscription id</w:t>
      </w:r>
      <w:r>
        <w:t>entifier</w:t>
      </w:r>
      <w:r>
        <w:rPr>
          <w:rFonts w:eastAsia="等线"/>
        </w:rPr>
        <w:t xml:space="preserve"> of the existing subscription to be deleted</w:t>
      </w:r>
      <w:r>
        <w:t>.</w:t>
      </w:r>
    </w:p>
    <w:p w14:paraId="3035282D" w14:textId="77777777" w:rsidR="00A10B25" w:rsidRDefault="00A10B25">
      <w:pPr>
        <w:rPr>
          <w:rFonts w:eastAsia="等线"/>
        </w:rPr>
      </w:pPr>
      <w:r>
        <w:rPr>
          <w:rFonts w:eastAsia="等线"/>
        </w:rPr>
        <w:t>Upon the reception of an HTTP DELETE request,</w:t>
      </w:r>
      <w:r>
        <w:t xml:space="preserve"> </w:t>
      </w:r>
      <w:r>
        <w:rPr>
          <w:rFonts w:eastAsia="等线"/>
        </w:rPr>
        <w:t xml:space="preserve">if the NWDAF successfully processed and accepted the received HTTP DELETE request, the NWDAF shall: </w:t>
      </w:r>
    </w:p>
    <w:p w14:paraId="0253030B" w14:textId="77777777" w:rsidR="00A10B25" w:rsidRDefault="00A10B25" w:rsidP="0076721C">
      <w:pPr>
        <w:pStyle w:val="B1"/>
      </w:pPr>
      <w:r>
        <w:lastRenderedPageBreak/>
        <w:t>-</w:t>
      </w:r>
      <w:r>
        <w:tab/>
        <w:t>remove the corresponding subscription; and</w:t>
      </w:r>
    </w:p>
    <w:p w14:paraId="45A8756B" w14:textId="77777777" w:rsidR="00A10B25" w:rsidRDefault="00A10B25" w:rsidP="0076721C">
      <w:pPr>
        <w:pStyle w:val="B1"/>
      </w:pPr>
      <w:r>
        <w:t>-</w:t>
      </w:r>
      <w:r>
        <w:tab/>
        <w:t>respond</w:t>
      </w:r>
      <w:r>
        <w:rPr>
          <w:rFonts w:eastAsia="Batang"/>
        </w:rPr>
        <w:t xml:space="preserve"> </w:t>
      </w:r>
      <w:r>
        <w:t>with HTTP "204 No Content" status code.</w:t>
      </w:r>
    </w:p>
    <w:p w14:paraId="6AAD5B18" w14:textId="77777777" w:rsidR="00A10B25" w:rsidRDefault="00A10B25">
      <w:r>
        <w:t>If the 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178C94AB" w14:textId="77777777" w:rsidR="00A10B25" w:rsidRDefault="00A10B25">
      <w:pPr>
        <w:rPr>
          <w:lang w:val="en-US" w:eastAsia="zh-CN"/>
        </w:rPr>
      </w:pPr>
      <w:r>
        <w:rPr>
          <w:rFonts w:eastAsia="等线"/>
        </w:rPr>
        <w:t>If errors occur when processing the HTTP DELETE request, the NWDAF shall send an HTTP error response as specified in clause 5.4.7.</w:t>
      </w:r>
    </w:p>
    <w:p w14:paraId="07301BA6" w14:textId="77777777" w:rsidR="00A10B25" w:rsidRDefault="00A10B25">
      <w:pPr>
        <w:pStyle w:val="4"/>
      </w:pPr>
      <w:bookmarkStart w:id="2823" w:name="_Toc83233033"/>
      <w:bookmarkStart w:id="2824" w:name="_Toc113031615"/>
      <w:bookmarkStart w:id="2825" w:name="_Toc101244360"/>
      <w:bookmarkStart w:id="2826" w:name="_Toc112951075"/>
      <w:bookmarkStart w:id="2827" w:name="_Toc85552930"/>
      <w:bookmarkStart w:id="2828" w:name="_Toc98233584"/>
      <w:bookmarkStart w:id="2829" w:name="_Toc120702254"/>
      <w:bookmarkStart w:id="2830" w:name="_Toc70550589"/>
      <w:bookmarkStart w:id="2831" w:name="_Toc114133754"/>
      <w:bookmarkStart w:id="2832" w:name="_Toc88667531"/>
      <w:bookmarkStart w:id="2833" w:name="_Toc90655816"/>
      <w:bookmarkStart w:id="2834" w:name="_Toc104538953"/>
      <w:bookmarkStart w:id="2835" w:name="_Toc148522526"/>
      <w:bookmarkStart w:id="2836" w:name="_Toc94064199"/>
      <w:bookmarkStart w:id="2837" w:name="_Toc136562301"/>
      <w:bookmarkStart w:id="2838" w:name="_Toc145705622"/>
      <w:bookmarkStart w:id="2839" w:name="_Toc138754135"/>
      <w:bookmarkStart w:id="2840" w:name="_Toc85557029"/>
      <w:bookmarkStart w:id="2841" w:name="_Toc164920650"/>
      <w:bookmarkStart w:id="2842" w:name="_Toc170120192"/>
      <w:bookmarkStart w:id="2843" w:name="_Toc175858437"/>
      <w:bookmarkStart w:id="2844" w:name="_Toc175859510"/>
      <w:bookmarkStart w:id="2845" w:name="_Toc180605800"/>
      <w:bookmarkStart w:id="2846" w:name="_Toc185517054"/>
      <w:bookmarkStart w:id="2847" w:name="_Toc191576105"/>
      <w:bookmarkStart w:id="2848" w:name="_Toc191576845"/>
      <w:bookmarkStart w:id="2849" w:name="_Toc192879915"/>
      <w:bookmarkStart w:id="2850" w:name="_Toc195814798"/>
      <w:bookmarkStart w:id="2851" w:name="_Toc199452745"/>
      <w:r>
        <w:t>4.5.2.4</w:t>
      </w:r>
      <w:r>
        <w:tab/>
      </w:r>
      <w:r>
        <w:rPr>
          <w:lang w:eastAsia="ja-JP"/>
        </w:rPr>
        <w:t>Nnwdaf_MLModelProvision_Notify</w:t>
      </w:r>
      <w:r>
        <w:t xml:space="preserve"> service operation</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5BA15345" w14:textId="77777777" w:rsidR="00A10B25" w:rsidRDefault="00A10B25">
      <w:pPr>
        <w:pStyle w:val="5"/>
      </w:pPr>
      <w:bookmarkStart w:id="2852" w:name="_Toc98233585"/>
      <w:bookmarkStart w:id="2853" w:name="_Toc85557030"/>
      <w:bookmarkStart w:id="2854" w:name="_Toc88667532"/>
      <w:bookmarkStart w:id="2855" w:name="_Toc101244361"/>
      <w:bookmarkStart w:id="2856" w:name="_Toc136562302"/>
      <w:bookmarkStart w:id="2857" w:name="_Toc112951076"/>
      <w:bookmarkStart w:id="2858" w:name="_Toc83233034"/>
      <w:bookmarkStart w:id="2859" w:name="_Toc148522527"/>
      <w:bookmarkStart w:id="2860" w:name="_Toc104538954"/>
      <w:bookmarkStart w:id="2861" w:name="_Toc120702255"/>
      <w:bookmarkStart w:id="2862" w:name="_Toc145705623"/>
      <w:bookmarkStart w:id="2863" w:name="_Toc94064200"/>
      <w:bookmarkStart w:id="2864" w:name="_Toc138754136"/>
      <w:bookmarkStart w:id="2865" w:name="_Toc90655817"/>
      <w:bookmarkStart w:id="2866" w:name="_Toc85552931"/>
      <w:bookmarkStart w:id="2867" w:name="_Toc114133755"/>
      <w:bookmarkStart w:id="2868" w:name="_Toc113031616"/>
      <w:bookmarkStart w:id="2869" w:name="_Toc164920651"/>
      <w:bookmarkStart w:id="2870" w:name="_Toc170120193"/>
      <w:bookmarkStart w:id="2871" w:name="_Toc175858438"/>
      <w:bookmarkStart w:id="2872" w:name="_Toc175859511"/>
      <w:bookmarkStart w:id="2873" w:name="_Toc180605801"/>
      <w:bookmarkStart w:id="2874" w:name="_Toc185517055"/>
      <w:bookmarkStart w:id="2875" w:name="_Toc191576106"/>
      <w:bookmarkStart w:id="2876" w:name="_Toc191576846"/>
      <w:bookmarkStart w:id="2877" w:name="_Toc192879916"/>
      <w:bookmarkStart w:id="2878" w:name="_Toc195814799"/>
      <w:bookmarkStart w:id="2879" w:name="_Toc199452746"/>
      <w:r>
        <w:t>4.5.2.4.1</w:t>
      </w:r>
      <w:r>
        <w:tab/>
        <w:t>General</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57045F19" w14:textId="77777777" w:rsidR="00A10B25" w:rsidRDefault="00A10B25">
      <w:r>
        <w:rPr>
          <w:lang w:eastAsia="zh-CN"/>
        </w:rPr>
        <w:t>The Nnwdaf_</w:t>
      </w:r>
      <w:r>
        <w:t>MLModelProvision</w:t>
      </w:r>
      <w:r>
        <w:rPr>
          <w:lang w:eastAsia="zh-CN"/>
        </w:rPr>
        <w:t>_Notify service operation is used by an NWDAF to notify NF consumers about subscribed events.</w:t>
      </w:r>
    </w:p>
    <w:p w14:paraId="5DC12489" w14:textId="77777777" w:rsidR="00D654A6" w:rsidRDefault="00D654A6" w:rsidP="00D654A6">
      <w:pPr>
        <w:pStyle w:val="5"/>
      </w:pPr>
      <w:bookmarkStart w:id="2880" w:name="_Toc138754138"/>
      <w:bookmarkStart w:id="2881" w:name="_Toc136562304"/>
      <w:bookmarkStart w:id="2882" w:name="_Toc148522529"/>
      <w:bookmarkStart w:id="2883" w:name="_Toc145705625"/>
      <w:bookmarkStart w:id="2884" w:name="_Toc104538955"/>
      <w:bookmarkStart w:id="2885" w:name="_Toc94064201"/>
      <w:bookmarkStart w:id="2886" w:name="_Toc136562303"/>
      <w:bookmarkStart w:id="2887" w:name="_Toc83233035"/>
      <w:bookmarkStart w:id="2888" w:name="_Toc98233586"/>
      <w:bookmarkStart w:id="2889" w:name="_Toc138754137"/>
      <w:bookmarkStart w:id="2890" w:name="_Toc120702256"/>
      <w:bookmarkStart w:id="2891" w:name="_Toc85557031"/>
      <w:bookmarkStart w:id="2892" w:name="_Toc85552932"/>
      <w:bookmarkStart w:id="2893" w:name="_Toc90655818"/>
      <w:bookmarkStart w:id="2894" w:name="_Toc113031617"/>
      <w:bookmarkStart w:id="2895" w:name="_Toc114133756"/>
      <w:bookmarkStart w:id="2896" w:name="_Toc148522528"/>
      <w:bookmarkStart w:id="2897" w:name="_Toc112951077"/>
      <w:bookmarkStart w:id="2898" w:name="_Toc88667533"/>
      <w:bookmarkStart w:id="2899" w:name="_Toc145705624"/>
      <w:bookmarkStart w:id="2900" w:name="_Toc101244362"/>
      <w:bookmarkStart w:id="2901" w:name="_Toc164920652"/>
      <w:bookmarkStart w:id="2902" w:name="_Toc170120194"/>
      <w:bookmarkStart w:id="2903" w:name="_Toc175858439"/>
      <w:bookmarkStart w:id="2904" w:name="_Toc175859512"/>
      <w:bookmarkStart w:id="2905" w:name="_Toc180605802"/>
      <w:bookmarkStart w:id="2906" w:name="_Toc185517056"/>
      <w:bookmarkStart w:id="2907" w:name="_Toc191576107"/>
      <w:bookmarkStart w:id="2908" w:name="_Toc191576847"/>
      <w:bookmarkStart w:id="2909" w:name="_Toc192879917"/>
      <w:bookmarkStart w:id="2910" w:name="_Toc195814800"/>
      <w:bookmarkStart w:id="2911" w:name="_Toc199452747"/>
      <w:r>
        <w:t>4.5.2.4.2</w:t>
      </w:r>
      <w:r>
        <w:tab/>
        <w:t>Notification about subscribed event</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r>
        <w:t xml:space="preserve"> </w:t>
      </w:r>
    </w:p>
    <w:p w14:paraId="55A38F88" w14:textId="77777777" w:rsidR="00D654A6" w:rsidRDefault="00D654A6" w:rsidP="00D654A6">
      <w:pPr>
        <w:rPr>
          <w:rFonts w:eastAsia="等线"/>
        </w:rPr>
      </w:pPr>
      <w:r>
        <w:rPr>
          <w:rFonts w:eastAsia="等线"/>
        </w:rPr>
        <w:t>Figure 4.5.2.</w:t>
      </w:r>
      <w:r>
        <w:rPr>
          <w:rFonts w:eastAsia="等线" w:hint="eastAsia"/>
          <w:lang w:eastAsia="zh-CN"/>
        </w:rPr>
        <w:t>4</w:t>
      </w:r>
      <w:r>
        <w:rPr>
          <w:rFonts w:eastAsia="等线"/>
        </w:rPr>
        <w:t>.2-1 shows a scenario where the N</w:t>
      </w:r>
      <w:r>
        <w:rPr>
          <w:rFonts w:eastAsia="等线"/>
          <w:lang w:val="en-US"/>
        </w:rPr>
        <w:t>WDAF</w:t>
      </w:r>
      <w:r>
        <w:rPr>
          <w:rFonts w:eastAsia="等线"/>
        </w:rPr>
        <w:t xml:space="preserve"> sends a request to the NF Service Consumer to notify</w:t>
      </w:r>
      <w:r>
        <w:rPr>
          <w:rFonts w:eastAsia="Batang"/>
        </w:rPr>
        <w:t xml:space="preserve"> </w:t>
      </w:r>
      <w:r>
        <w:rPr>
          <w:rFonts w:eastAsia="等线"/>
        </w:rPr>
        <w:t>for event notifications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7EC64698" w14:textId="77777777" w:rsidR="00D654A6" w:rsidRDefault="00D654A6" w:rsidP="00D654A6">
      <w:pPr>
        <w:pStyle w:val="TH"/>
        <w:rPr>
          <w:rFonts w:eastAsia="等线"/>
          <w:lang w:eastAsia="zh-CN"/>
        </w:rPr>
      </w:pPr>
      <w:r>
        <w:rPr>
          <w:lang w:val="en-US" w:eastAsia="zh-CN"/>
        </w:rPr>
        <w:object w:dxaOrig="9650" w:dyaOrig="2536" w14:anchorId="0E3DA8B3">
          <v:shape id="Object 28" o:spid="_x0000_i1062" type="#_x0000_t75" style="width:502.75pt;height:127.1pt;mso-position-horizontal-relative:page;mso-position-vertical-relative:page" o:ole="">
            <v:imagedata r:id="rId53" o:title=""/>
          </v:shape>
          <o:OLEObject Type="Embed" ProgID="Word.Document.12" ShapeID="Object 28" DrawAspect="Content" ObjectID="_1810066003" r:id="rId54">
            <o:FieldCodes>\s</o:FieldCodes>
          </o:OLEObject>
        </w:object>
      </w:r>
    </w:p>
    <w:p w14:paraId="178F2E88" w14:textId="77777777" w:rsidR="00D654A6" w:rsidRDefault="00D654A6" w:rsidP="00D654A6">
      <w:pPr>
        <w:pStyle w:val="TF"/>
      </w:pPr>
      <w:r>
        <w:t>Figure 4.5.2.</w:t>
      </w:r>
      <w:r>
        <w:rPr>
          <w:rFonts w:hint="eastAsia"/>
          <w:lang w:eastAsia="zh-CN"/>
        </w:rPr>
        <w:t>4</w:t>
      </w:r>
      <w:r>
        <w:t>.2-1: NWDAF notifies the</w:t>
      </w:r>
      <w:r>
        <w:rPr>
          <w:rFonts w:eastAsia="Batang"/>
        </w:rPr>
        <w:t xml:space="preserve"> </w:t>
      </w:r>
      <w:r>
        <w:t>subscribed event</w:t>
      </w:r>
    </w:p>
    <w:p w14:paraId="6AF8CDE0" w14:textId="77777777" w:rsidR="00164A54" w:rsidRDefault="00164A54" w:rsidP="00164A54">
      <w:pPr>
        <w:rPr>
          <w:rFonts w:eastAsia="等线"/>
        </w:rPr>
      </w:pPr>
      <w:r>
        <w:rPr>
          <w:rFonts w:eastAsia="等线"/>
        </w:rPr>
        <w:t>The NWDAF shall invoke the Nnwdaf_</w:t>
      </w:r>
      <w:r>
        <w:t>MLModelProvision</w:t>
      </w:r>
      <w:r>
        <w:rPr>
          <w:rFonts w:eastAsia="等线"/>
        </w:rPr>
        <w:t>_Notify service operation to notify the subscribed event. The NWDAF shall send an HTTP POST request with "{notifUri}" received in the Nnwdaf_</w:t>
      </w:r>
      <w:r>
        <w:t>MLModelProvision</w:t>
      </w:r>
      <w:r>
        <w:rPr>
          <w:rFonts w:eastAsia="等线"/>
        </w:rPr>
        <w:t>_Subscribe service operation as Resource URI, as shown in figure 4.5.2.2.2-1, step 1. The NwdafMLModelProvNotif data structure provided in the request body that shall include:</w:t>
      </w:r>
    </w:p>
    <w:p w14:paraId="65FF0C99" w14:textId="77777777" w:rsidR="00164A54" w:rsidRDefault="00164A54" w:rsidP="00164A54">
      <w:pPr>
        <w:pStyle w:val="B1"/>
      </w:pPr>
      <w:r>
        <w:t>-</w:t>
      </w:r>
      <w:r>
        <w:tab/>
        <w:t>an event subscription identifier as "subscriptionId" attribute; and</w:t>
      </w:r>
    </w:p>
    <w:p w14:paraId="04933E19" w14:textId="77777777" w:rsidR="00EF7075" w:rsidRDefault="00EF7075" w:rsidP="00EF7075">
      <w:pPr>
        <w:pStyle w:val="B1"/>
        <w:rPr>
          <w:lang w:val="en-US" w:eastAsia="zh-CN"/>
        </w:rPr>
      </w:pPr>
      <w:r>
        <w:t>-</w:t>
      </w:r>
      <w:r>
        <w:tab/>
        <w:t>description of the notified event as "</w:t>
      </w:r>
      <w:r>
        <w:rPr>
          <w:lang w:val="en-US" w:eastAsia="zh-CN"/>
        </w:rPr>
        <w:t>eventNotifs" attribute, that for each event, the MLEventNotif data type shall include:</w:t>
      </w:r>
    </w:p>
    <w:p w14:paraId="1FC209DE"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an event identifier as the "event" attribute;</w:t>
      </w:r>
    </w:p>
    <w:p w14:paraId="720159BE" w14:textId="77777777" w:rsidR="00EF7075"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an address (e.g. a URL or an FQDN) of the ML model file as the "mLFileAddr" attribute or if the "ModelProvisionExt"feature is supported,</w:t>
      </w:r>
      <w:r w:rsidRPr="00635E7C">
        <w:rPr>
          <w:lang w:val="en-US" w:eastAsia="zh-CN"/>
        </w:rPr>
        <w:t xml:space="preserve"> </w:t>
      </w:r>
      <w:r>
        <w:rPr>
          <w:lang w:val="en-US" w:eastAsia="zh-CN"/>
        </w:rPr>
        <w:t xml:space="preserve">the </w:t>
      </w:r>
      <w:r w:rsidRPr="00635E7C">
        <w:rPr>
          <w:lang w:val="en-US" w:eastAsia="zh-CN"/>
        </w:rPr>
        <w:t xml:space="preserve">ADRF (Set) information of the ML Model as the </w:t>
      </w:r>
      <w:r>
        <w:rPr>
          <w:lang w:val="en-US" w:eastAsia="zh-CN"/>
        </w:rPr>
        <w:t>"</w:t>
      </w:r>
      <w:r w:rsidRPr="00635E7C">
        <w:rPr>
          <w:lang w:val="en-US" w:eastAsia="zh-CN"/>
        </w:rPr>
        <w:t>mLModelAdrf</w:t>
      </w:r>
      <w:r>
        <w:rPr>
          <w:lang w:val="en-US" w:eastAsia="zh-CN"/>
        </w:rPr>
        <w:t>" addtribute and an u</w:t>
      </w:r>
      <w:r w:rsidRPr="00635E7C">
        <w:rPr>
          <w:lang w:val="en-US" w:eastAsia="zh-CN"/>
        </w:rPr>
        <w:t xml:space="preserve">nique identifier for the ML model as </w:t>
      </w:r>
      <w:r>
        <w:rPr>
          <w:lang w:val="en-US" w:eastAsia="zh-CN"/>
        </w:rPr>
        <w:t>"</w:t>
      </w:r>
      <w:r w:rsidRPr="00635E7C">
        <w:rPr>
          <w:lang w:val="en-US" w:eastAsia="zh-CN"/>
        </w:rPr>
        <w:t>modelUniqueId</w:t>
      </w:r>
      <w:r>
        <w:rPr>
          <w:lang w:val="en-US" w:eastAsia="zh-CN"/>
        </w:rPr>
        <w:t>" attribute; and</w:t>
      </w:r>
    </w:p>
    <w:p w14:paraId="38DCD4E5" w14:textId="77777777" w:rsidR="00EF7075" w:rsidRDefault="00EF7075" w:rsidP="00635E7C">
      <w:pPr>
        <w:pStyle w:val="B2"/>
        <w:overflowPunct w:val="0"/>
        <w:autoSpaceDE w:val="0"/>
        <w:autoSpaceDN w:val="0"/>
        <w:adjustRightInd w:val="0"/>
        <w:ind w:left="567" w:firstLine="0"/>
        <w:textAlignment w:val="baseline"/>
        <w:rPr>
          <w:lang w:val="en-US" w:eastAsia="zh-CN"/>
        </w:rPr>
      </w:pPr>
      <w:r>
        <w:rPr>
          <w:lang w:val="en-US" w:eastAsia="zh-CN"/>
        </w:rPr>
        <w:t>the MLEventNotif data type may include:</w:t>
      </w:r>
    </w:p>
    <w:p w14:paraId="0AE02D3C" w14:textId="77777777" w:rsidR="00EF7075"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sidRPr="00635E7C">
        <w:rPr>
          <w:lang w:val="en-US" w:eastAsia="zh-CN"/>
        </w:rPr>
        <w:t>a notification correlation identifier as</w:t>
      </w:r>
      <w:r>
        <w:rPr>
          <w:lang w:val="en-US" w:eastAsia="zh-CN"/>
        </w:rPr>
        <w:t xml:space="preserve"> "</w:t>
      </w:r>
      <w:r w:rsidRPr="00635E7C">
        <w:rPr>
          <w:lang w:val="en-US" w:eastAsia="zh-CN"/>
        </w:rPr>
        <w:t>notifCorreId</w:t>
      </w:r>
      <w:r>
        <w:rPr>
          <w:lang w:val="en-US" w:eastAsia="zh-CN"/>
        </w:rPr>
        <w:t>" attribute; and</w:t>
      </w:r>
    </w:p>
    <w:p w14:paraId="55341AAE" w14:textId="77777777" w:rsidR="00EF7075"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 time period when the provided ML model applies as the "validityPeriod" attribute; and</w:t>
      </w:r>
    </w:p>
    <w:p w14:paraId="4AF074C7"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an area where the provided ML model applies as the "spatialValidity" attribute; and</w:t>
      </w:r>
    </w:p>
    <w:p w14:paraId="05BCE1E5"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rFonts w:eastAsia="等线"/>
        </w:rPr>
      </w:pPr>
      <w:r>
        <w:rPr>
          <w:lang w:val="en-US" w:eastAsia="zh-CN"/>
        </w:rPr>
        <w:t>i</w:t>
      </w:r>
      <w:r>
        <w:t>f the feature "</w:t>
      </w:r>
      <w:r>
        <w:rPr>
          <w:rFonts w:cs="Arial"/>
          <w:szCs w:val="18"/>
        </w:rPr>
        <w:t>ModelProvisionExt</w:t>
      </w:r>
      <w:r>
        <w:t>" is supported,</w:t>
      </w:r>
      <w:r>
        <w:rPr>
          <w:lang w:val="en-US" w:eastAsia="zh-CN"/>
        </w:rPr>
        <w:t xml:space="preserve"> the additional ML model information as "addModelInfo" attribute; and</w:t>
      </w:r>
    </w:p>
    <w:p w14:paraId="3A32BB60" w14:textId="77777777" w:rsidR="00BD381F" w:rsidRPr="00A64F7E" w:rsidRDefault="00BD381F" w:rsidP="00BD381F">
      <w:pPr>
        <w:pStyle w:val="B2"/>
        <w:numPr>
          <w:ilvl w:val="0"/>
          <w:numId w:val="25"/>
        </w:numPr>
        <w:overflowPunct w:val="0"/>
        <w:autoSpaceDE w:val="0"/>
        <w:autoSpaceDN w:val="0"/>
        <w:adjustRightInd w:val="0"/>
        <w:contextualSpacing w:val="0"/>
        <w:textAlignment w:val="baseline"/>
        <w:rPr>
          <w:rFonts w:cs="Arial"/>
          <w:szCs w:val="18"/>
        </w:rPr>
      </w:pPr>
      <w:r>
        <w:rPr>
          <w:lang w:val="en-US" w:eastAsia="zh-CN"/>
        </w:rPr>
        <w:t>i</w:t>
      </w:r>
      <w:r>
        <w:t>f the feature "</w:t>
      </w:r>
      <w:r>
        <w:rPr>
          <w:rFonts w:cs="Arial"/>
          <w:szCs w:val="18"/>
        </w:rPr>
        <w:t>ModelProvisionExt</w:t>
      </w:r>
      <w:r>
        <w:t>" is supported,</w:t>
      </w:r>
      <w:r>
        <w:rPr>
          <w:lang w:val="en-US" w:eastAsia="zh-CN"/>
        </w:rPr>
        <w:t xml:space="preserve"> the </w:t>
      </w:r>
      <w:r>
        <w:rPr>
          <w:rFonts w:cs="Arial"/>
          <w:szCs w:val="18"/>
          <w:lang w:eastAsia="zh-CN"/>
        </w:rPr>
        <w:t>filtering information</w:t>
      </w:r>
      <w:r>
        <w:rPr>
          <w:lang w:val="en-US" w:eastAsia="zh-CN"/>
        </w:rPr>
        <w:t xml:space="preserve"> of the </w:t>
      </w:r>
      <w:r>
        <w:rPr>
          <w:rFonts w:cs="Arial"/>
          <w:szCs w:val="18"/>
          <w:lang w:eastAsia="zh-CN"/>
        </w:rPr>
        <w:t xml:space="preserve">ML Model </w:t>
      </w:r>
      <w:r>
        <w:rPr>
          <w:lang w:val="en-US" w:eastAsia="zh-CN"/>
        </w:rPr>
        <w:t xml:space="preserve">as the </w:t>
      </w:r>
      <w:r w:rsidRPr="00A64F7E">
        <w:rPr>
          <w:rFonts w:cs="Arial"/>
          <w:szCs w:val="18"/>
        </w:rPr>
        <w:t xml:space="preserve">"mLEventFilter" attribute; </w:t>
      </w:r>
    </w:p>
    <w:p w14:paraId="474B19A8" w14:textId="77777777" w:rsidR="00956830" w:rsidRDefault="00956830" w:rsidP="00956830">
      <w:pPr>
        <w:pStyle w:val="B2"/>
        <w:numPr>
          <w:ilvl w:val="0"/>
          <w:numId w:val="25"/>
        </w:numPr>
        <w:overflowPunct w:val="0"/>
        <w:autoSpaceDE w:val="0"/>
        <w:autoSpaceDN w:val="0"/>
        <w:adjustRightInd w:val="0"/>
        <w:contextualSpacing w:val="0"/>
        <w:textAlignment w:val="baseline"/>
        <w:rPr>
          <w:rFonts w:eastAsia="等线"/>
        </w:rPr>
      </w:pPr>
      <w:r>
        <w:rPr>
          <w:rFonts w:cs="Arial"/>
          <w:szCs w:val="18"/>
        </w:rPr>
        <w:lastRenderedPageBreak/>
        <w:t xml:space="preserve">if the </w:t>
      </w:r>
      <w:r>
        <w:rPr>
          <w:lang w:val="en-US" w:eastAsia="zh-CN"/>
        </w:rPr>
        <w:t>"</w:t>
      </w:r>
      <w:r>
        <w:rPr>
          <w:rFonts w:cs="Arial"/>
          <w:szCs w:val="18"/>
        </w:rPr>
        <w:t>EnModelProvision</w:t>
      </w:r>
      <w:r>
        <w:rPr>
          <w:lang w:val="en-US" w:eastAsia="zh-CN"/>
        </w:rPr>
        <w:t>"</w:t>
      </w:r>
      <w:r>
        <w:rPr>
          <w:rFonts w:cs="Arial"/>
          <w:szCs w:val="18"/>
          <w:lang w:val="en-US"/>
        </w:rPr>
        <w:t xml:space="preserve"> </w:t>
      </w:r>
      <w:r>
        <w:t>feature is supported,</w:t>
      </w:r>
      <w:r>
        <w:rPr>
          <w:rFonts w:cs="Arial"/>
          <w:szCs w:val="18"/>
        </w:rPr>
        <w:t xml:space="preserve"> the</w:t>
      </w:r>
      <w:r>
        <w:rPr>
          <w:lang w:eastAsia="zh-CN"/>
        </w:rPr>
        <w:t xml:space="preserve"> NF Instance Identifer to identify the ML Model provider</w:t>
      </w:r>
      <w:r>
        <w:rPr>
          <w:rFonts w:cs="Arial"/>
          <w:szCs w:val="18"/>
        </w:rPr>
        <w:t xml:space="preserve"> </w:t>
      </w:r>
      <w:r>
        <w:rPr>
          <w:lang w:val="en-US" w:eastAsia="zh-CN"/>
        </w:rPr>
        <w:t>as the "</w:t>
      </w:r>
      <w:r>
        <w:t>modelProviderId</w:t>
      </w:r>
      <w:r>
        <w:rPr>
          <w:lang w:val="en-US" w:eastAsia="zh-CN"/>
        </w:rPr>
        <w:t>" attribute</w:t>
      </w:r>
      <w:r>
        <w:rPr>
          <w:rFonts w:cs="Arial"/>
          <w:szCs w:val="18"/>
        </w:rPr>
        <w:t>;</w:t>
      </w:r>
    </w:p>
    <w:p w14:paraId="27241C52" w14:textId="77777777" w:rsidR="00BD381F" w:rsidRPr="00A64F7E" w:rsidRDefault="00BD381F" w:rsidP="00BD381F">
      <w:pPr>
        <w:pStyle w:val="B2"/>
        <w:numPr>
          <w:ilvl w:val="0"/>
          <w:numId w:val="25"/>
        </w:numPr>
        <w:overflowPunct w:val="0"/>
        <w:autoSpaceDE w:val="0"/>
        <w:autoSpaceDN w:val="0"/>
        <w:adjustRightInd w:val="0"/>
        <w:contextualSpacing w:val="0"/>
        <w:textAlignment w:val="baseline"/>
        <w:rPr>
          <w:rFonts w:cs="Arial"/>
          <w:szCs w:val="18"/>
        </w:rPr>
      </w:pPr>
      <w:r>
        <w:rPr>
          <w:rFonts w:cs="Arial"/>
          <w:szCs w:val="18"/>
        </w:rPr>
        <w:t xml:space="preserve">if the </w:t>
      </w:r>
      <w:r>
        <w:rPr>
          <w:lang w:val="en-US" w:eastAsia="zh-CN"/>
        </w:rPr>
        <w:t>"</w:t>
      </w:r>
      <w:r>
        <w:rPr>
          <w:rFonts w:cs="Arial" w:hint="eastAsia"/>
          <w:szCs w:val="18"/>
        </w:rPr>
        <w:t>E</w:t>
      </w:r>
      <w:r>
        <w:rPr>
          <w:rFonts w:cs="Arial"/>
          <w:szCs w:val="18"/>
        </w:rPr>
        <w:t>nModelProvision</w:t>
      </w:r>
      <w:r>
        <w:rPr>
          <w:lang w:val="en-US" w:eastAsia="zh-CN"/>
        </w:rPr>
        <w:t>"</w:t>
      </w:r>
      <w:r>
        <w:rPr>
          <w:rFonts w:cs="Arial"/>
          <w:szCs w:val="18"/>
        </w:rPr>
        <w:t xml:space="preserve"> </w:t>
      </w:r>
      <w:r>
        <w:t>feature is supported,</w:t>
      </w:r>
      <w:r>
        <w:rPr>
          <w:rFonts w:cs="Arial"/>
          <w:szCs w:val="18"/>
        </w:rPr>
        <w:t xml:space="preserve"> the indication that indicates </w:t>
      </w:r>
      <w:r w:rsidRPr="00A64F7E">
        <w:rPr>
          <w:rFonts w:cs="Arial"/>
          <w:szCs w:val="18"/>
        </w:rPr>
        <w:t>the ML model is updated</w:t>
      </w:r>
      <w:r w:rsidRPr="00844F2B">
        <w:rPr>
          <w:rFonts w:cs="Arial" w:hint="eastAsia"/>
          <w:szCs w:val="18"/>
        </w:rPr>
        <w:t xml:space="preserve"> </w:t>
      </w:r>
      <w:r>
        <w:rPr>
          <w:rFonts w:cs="Arial"/>
          <w:szCs w:val="18"/>
        </w:rPr>
        <w:t xml:space="preserve">(e.g., re-trained) </w:t>
      </w:r>
      <w:r>
        <w:rPr>
          <w:lang w:val="en-US" w:eastAsia="zh-CN"/>
        </w:rPr>
        <w:t>as the "</w:t>
      </w:r>
      <w:r>
        <w:t>modelUpdateInd</w:t>
      </w:r>
      <w:r>
        <w:rPr>
          <w:lang w:val="en-US" w:eastAsia="zh-CN"/>
        </w:rPr>
        <w:t>" attribute</w:t>
      </w:r>
      <w:r w:rsidRPr="00A64F7E">
        <w:rPr>
          <w:rFonts w:cs="Arial"/>
          <w:szCs w:val="18"/>
        </w:rPr>
        <w:t>; and</w:t>
      </w:r>
    </w:p>
    <w:p w14:paraId="2F5F4AE9" w14:textId="77777777" w:rsidR="00EF7075" w:rsidRPr="00635E7C" w:rsidRDefault="00EF7075" w:rsidP="00635E7C">
      <w:pPr>
        <w:pStyle w:val="B2"/>
        <w:numPr>
          <w:ilvl w:val="0"/>
          <w:numId w:val="25"/>
        </w:numPr>
        <w:overflowPunct w:val="0"/>
        <w:autoSpaceDE w:val="0"/>
        <w:autoSpaceDN w:val="0"/>
        <w:adjustRightInd w:val="0"/>
        <w:contextualSpacing w:val="0"/>
        <w:textAlignment w:val="baseline"/>
        <w:rPr>
          <w:lang w:val="en-US" w:eastAsia="zh-CN"/>
        </w:rPr>
      </w:pPr>
      <w:r>
        <w:rPr>
          <w:lang w:val="en-US" w:eastAsia="zh-CN"/>
        </w:rPr>
        <w:t>i</w:t>
      </w:r>
      <w:r w:rsidRPr="00635E7C">
        <w:rPr>
          <w:lang w:val="en-US" w:eastAsia="zh-CN"/>
        </w:rPr>
        <w:t>f the feature "ModelProvisionExt" is supported,</w:t>
      </w:r>
      <w:r>
        <w:rPr>
          <w:lang w:val="en-US" w:eastAsia="zh-CN"/>
        </w:rPr>
        <w:t xml:space="preserve"> </w:t>
      </w:r>
      <w:r w:rsidRPr="00635E7C">
        <w:rPr>
          <w:lang w:val="en-US" w:eastAsia="zh-CN"/>
        </w:rPr>
        <w:t xml:space="preserve">the target UEs of the ML Model </w:t>
      </w:r>
      <w:r>
        <w:rPr>
          <w:lang w:val="en-US" w:eastAsia="zh-CN"/>
        </w:rPr>
        <w:t>as the "</w:t>
      </w:r>
      <w:r w:rsidRPr="00635E7C">
        <w:rPr>
          <w:lang w:val="en-US" w:eastAsia="zh-CN"/>
        </w:rPr>
        <w:t>tgtUe</w:t>
      </w:r>
      <w:r>
        <w:rPr>
          <w:lang w:val="en-US" w:eastAsia="zh-CN"/>
        </w:rPr>
        <w:t>" attribute</w:t>
      </w:r>
      <w:r w:rsidRPr="00635E7C">
        <w:rPr>
          <w:lang w:val="en-US" w:eastAsia="zh-CN"/>
        </w:rPr>
        <w:t>.</w:t>
      </w:r>
    </w:p>
    <w:p w14:paraId="75C98D4E" w14:textId="77777777" w:rsidR="00D654A6" w:rsidRDefault="00D654A6" w:rsidP="00D654A6">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503EE02C" w14:textId="77777777" w:rsidR="00D654A6" w:rsidRDefault="00D654A6" w:rsidP="00D654A6">
      <w:pPr>
        <w:rPr>
          <w:rFonts w:eastAsia="等线"/>
        </w:rPr>
      </w:pPr>
      <w:r>
        <w:t xml:space="preserve">If the </w:t>
      </w:r>
      <w:r>
        <w:rPr>
          <w:rFonts w:eastAsia="等线"/>
        </w:rPr>
        <w:t>NF service consumer</w:t>
      </w:r>
      <w:r>
        <w:t xml:space="preserve"> receives the ADRF ID as the "adrfId" attribute or the ADRF Set ID as the "adrfSetId" attribute in the </w:t>
      </w:r>
      <w:r>
        <w:rPr>
          <w:rFonts w:eastAsia="等线"/>
        </w:rPr>
        <w:t xml:space="preserve">NwdafMLModelProvNotif data structure of the HTTP POST request, it may invoke Nadrf_MLModelManagement_RetrievalRequest service operation to retrieve ML Model from the ADRF (Set) as specified in </w:t>
      </w:r>
      <w:r>
        <w:rPr>
          <w:lang w:val="en-US"/>
        </w:rPr>
        <w:t>3GPP TS 29.575 [27]</w:t>
      </w:r>
      <w:r>
        <w:rPr>
          <w:rFonts w:eastAsia="等线"/>
        </w:rPr>
        <w:t>.</w:t>
      </w:r>
    </w:p>
    <w:p w14:paraId="172AD520" w14:textId="77777777" w:rsidR="00D654A6" w:rsidRDefault="00D654A6" w:rsidP="00D654A6">
      <w:r>
        <w:t xml:space="preserve">If the </w:t>
      </w:r>
      <w:r>
        <w:rPr>
          <w:rFonts w:eastAsia="等线"/>
        </w:rPr>
        <w:t>NF service consumer</w:t>
      </w:r>
      <w:r>
        <w:t xml:space="preserve"> determines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613ED7A2" w14:textId="77777777" w:rsidR="004D3964" w:rsidRDefault="004D3964" w:rsidP="004D3964">
      <w:pPr>
        <w:rPr>
          <w:rFonts w:eastAsia="等线"/>
        </w:rPr>
      </w:pPr>
      <w:bookmarkStart w:id="2912" w:name="_Toc164920653"/>
      <w:bookmarkStart w:id="2913" w:name="_Toc170120195"/>
      <w:bookmarkStart w:id="2914" w:name="_Toc175858440"/>
      <w:bookmarkStart w:id="2915" w:name="_Toc175859513"/>
      <w:r>
        <w:rPr>
          <w:rFonts w:eastAsia="等线"/>
        </w:rPr>
        <w:t>If errors occur when processing the HTTP POST request, the NF service consumer shall send an HTTP error response as specified in clause 5.4.7.</w:t>
      </w:r>
    </w:p>
    <w:p w14:paraId="42E345BB" w14:textId="77777777" w:rsidR="00A10B25" w:rsidRDefault="00A10B25">
      <w:pPr>
        <w:pStyle w:val="2"/>
      </w:pPr>
      <w:bookmarkStart w:id="2916" w:name="_Toc180605803"/>
      <w:bookmarkStart w:id="2917" w:name="_Toc185517057"/>
      <w:bookmarkStart w:id="2918" w:name="_Toc191576108"/>
      <w:bookmarkStart w:id="2919" w:name="_Toc191576848"/>
      <w:bookmarkStart w:id="2920" w:name="_Toc192879918"/>
      <w:bookmarkStart w:id="2921" w:name="_Toc195814801"/>
      <w:bookmarkStart w:id="2922" w:name="_Toc199452748"/>
      <w:r>
        <w:t>4.6</w:t>
      </w:r>
      <w:r>
        <w:tab/>
      </w:r>
      <w:r>
        <w:rPr>
          <w:rFonts w:hint="eastAsia"/>
          <w:lang w:eastAsia="zh-CN"/>
        </w:rPr>
        <w:t>N</w:t>
      </w:r>
      <w:r>
        <w:rPr>
          <w:lang w:eastAsia="zh-CN"/>
        </w:rPr>
        <w:t>nwdaf_MLModelTraining</w:t>
      </w:r>
      <w:r>
        <w:t xml:space="preserve"> Service</w:t>
      </w:r>
      <w:bookmarkEnd w:id="2880"/>
      <w:bookmarkEnd w:id="2881"/>
      <w:bookmarkEnd w:id="2882"/>
      <w:bookmarkEnd w:id="2883"/>
      <w:bookmarkEnd w:id="2912"/>
      <w:bookmarkEnd w:id="2913"/>
      <w:bookmarkEnd w:id="2914"/>
      <w:bookmarkEnd w:id="2915"/>
      <w:bookmarkEnd w:id="2916"/>
      <w:bookmarkEnd w:id="2917"/>
      <w:bookmarkEnd w:id="2918"/>
      <w:bookmarkEnd w:id="2919"/>
      <w:bookmarkEnd w:id="2920"/>
      <w:bookmarkEnd w:id="2921"/>
      <w:bookmarkEnd w:id="2922"/>
    </w:p>
    <w:p w14:paraId="23F6F5A5" w14:textId="77777777" w:rsidR="00A10B25" w:rsidRDefault="00A10B25">
      <w:pPr>
        <w:pStyle w:val="3"/>
      </w:pPr>
      <w:bookmarkStart w:id="2923" w:name="_Toc136562305"/>
      <w:bookmarkStart w:id="2924" w:name="_Toc138754139"/>
      <w:bookmarkStart w:id="2925" w:name="_Toc145705626"/>
      <w:bookmarkStart w:id="2926" w:name="_Toc148522530"/>
      <w:bookmarkStart w:id="2927" w:name="_Toc164920654"/>
      <w:bookmarkStart w:id="2928" w:name="_Toc170120196"/>
      <w:bookmarkStart w:id="2929" w:name="_Toc175858441"/>
      <w:bookmarkStart w:id="2930" w:name="_Toc175859514"/>
      <w:bookmarkStart w:id="2931" w:name="_Toc180605804"/>
      <w:bookmarkStart w:id="2932" w:name="_Toc185517058"/>
      <w:bookmarkStart w:id="2933" w:name="_Toc191576109"/>
      <w:bookmarkStart w:id="2934" w:name="_Toc191576849"/>
      <w:bookmarkStart w:id="2935" w:name="_Toc192879919"/>
      <w:bookmarkStart w:id="2936" w:name="_Toc195814802"/>
      <w:bookmarkStart w:id="2937" w:name="_Toc199452749"/>
      <w:r>
        <w:t>4.6.1</w:t>
      </w:r>
      <w:r>
        <w:tab/>
        <w:t>Service Description</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543A8532" w14:textId="77777777" w:rsidR="00A10B25" w:rsidRDefault="00A10B25">
      <w:pPr>
        <w:pStyle w:val="4"/>
        <w:rPr>
          <w:lang w:eastAsia="zh-CN"/>
        </w:rPr>
      </w:pPr>
      <w:bookmarkStart w:id="2938" w:name="_Toc145705627"/>
      <w:bookmarkStart w:id="2939" w:name="_Toc138754140"/>
      <w:bookmarkStart w:id="2940" w:name="_Toc148522531"/>
      <w:bookmarkStart w:id="2941" w:name="_Toc136562306"/>
      <w:bookmarkStart w:id="2942" w:name="_Toc164920655"/>
      <w:bookmarkStart w:id="2943" w:name="_Toc170120197"/>
      <w:bookmarkStart w:id="2944" w:name="_Toc175858442"/>
      <w:bookmarkStart w:id="2945" w:name="_Toc175859515"/>
      <w:bookmarkStart w:id="2946" w:name="_Toc180605805"/>
      <w:bookmarkStart w:id="2947" w:name="_Toc185517059"/>
      <w:bookmarkStart w:id="2948" w:name="_Toc191576110"/>
      <w:bookmarkStart w:id="2949" w:name="_Toc191576850"/>
      <w:bookmarkStart w:id="2950" w:name="_Toc192879920"/>
      <w:bookmarkStart w:id="2951" w:name="_Toc195814803"/>
      <w:bookmarkStart w:id="2952" w:name="_Toc199452750"/>
      <w:r>
        <w:t>4.6.</w:t>
      </w:r>
      <w:r>
        <w:rPr>
          <w:rFonts w:hint="eastAsia"/>
          <w:lang w:eastAsia="zh-CN"/>
        </w:rPr>
        <w:t>1</w:t>
      </w:r>
      <w:r>
        <w:rPr>
          <w:lang w:eastAsia="zh-CN"/>
        </w:rPr>
        <w:t>.1</w:t>
      </w:r>
      <w:r>
        <w:tab/>
      </w:r>
      <w:r>
        <w:rPr>
          <w:rFonts w:hint="eastAsia"/>
          <w:lang w:eastAsia="zh-CN"/>
        </w:rPr>
        <w:t>Overview</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6414A93A" w14:textId="77777777" w:rsidR="00A10B25" w:rsidRDefault="00A10B25">
      <w:r>
        <w:t>The Nnwdaf_</w:t>
      </w:r>
      <w:r>
        <w:rPr>
          <w:lang w:eastAsia="zh-CN"/>
        </w:rPr>
        <w:t>MLModelTraining</w:t>
      </w:r>
      <w:r>
        <w:t xml:space="preserve"> service as defined in 3GPP TS 23.288 [17], is provided by the Network Data Analytics Function (NWDAF) containing Model Training Logical Function (MTLF).</w:t>
      </w:r>
    </w:p>
    <w:p w14:paraId="07ACFCA7" w14:textId="77777777" w:rsidR="00A10B25" w:rsidRDefault="00A10B25">
      <w:r>
        <w:t>This service:</w:t>
      </w:r>
    </w:p>
    <w:p w14:paraId="12653956" w14:textId="77777777" w:rsidR="00A10B25" w:rsidRDefault="00A10B25">
      <w:pPr>
        <w:pStyle w:val="B1"/>
      </w:pPr>
      <w:r>
        <w:t>-</w:t>
      </w:r>
      <w:r>
        <w:tab/>
        <w:t>allows the NF service consumers to subscribe to and unsubscribe from different ML model training events;</w:t>
      </w:r>
    </w:p>
    <w:p w14:paraId="5055413A" w14:textId="77777777" w:rsidR="00A10B25" w:rsidRDefault="00A10B25">
      <w:pPr>
        <w:pStyle w:val="B1"/>
      </w:pPr>
      <w:r>
        <w:t>-</w:t>
      </w:r>
      <w:r>
        <w:tab/>
        <w:t>allows the NF service consumers to modify different ML model training events; and</w:t>
      </w:r>
    </w:p>
    <w:p w14:paraId="71B4359E" w14:textId="77777777" w:rsidR="00A10B25" w:rsidRDefault="00A10B25">
      <w:pPr>
        <w:pStyle w:val="B1"/>
      </w:pPr>
      <w:r>
        <w:t>-</w:t>
      </w:r>
      <w:r>
        <w:tab/>
        <w:t>notifies the NF service consumers with a corresponding subscription about ML model information.</w:t>
      </w:r>
    </w:p>
    <w:p w14:paraId="2979EFA7" w14:textId="77777777" w:rsidR="00A10B25" w:rsidRDefault="00A10B25">
      <w:pPr>
        <w:pStyle w:val="4"/>
      </w:pPr>
      <w:bookmarkStart w:id="2953" w:name="_Toc145705628"/>
      <w:bookmarkStart w:id="2954" w:name="_Toc138754141"/>
      <w:bookmarkStart w:id="2955" w:name="_Toc148522532"/>
      <w:bookmarkStart w:id="2956" w:name="_Toc136562307"/>
      <w:bookmarkStart w:id="2957" w:name="_Toc164920656"/>
      <w:bookmarkStart w:id="2958" w:name="_Toc170120198"/>
      <w:bookmarkStart w:id="2959" w:name="_Toc175858443"/>
      <w:bookmarkStart w:id="2960" w:name="_Toc175859516"/>
      <w:bookmarkStart w:id="2961" w:name="_Toc180605806"/>
      <w:bookmarkStart w:id="2962" w:name="_Toc185517060"/>
      <w:bookmarkStart w:id="2963" w:name="_Toc191576111"/>
      <w:bookmarkStart w:id="2964" w:name="_Toc191576851"/>
      <w:bookmarkStart w:id="2965" w:name="_Toc192879921"/>
      <w:bookmarkStart w:id="2966" w:name="_Toc195814804"/>
      <w:bookmarkStart w:id="2967" w:name="_Toc199452751"/>
      <w:r>
        <w:t>4.6.</w:t>
      </w:r>
      <w:r>
        <w:rPr>
          <w:rFonts w:hint="eastAsia"/>
        </w:rPr>
        <w:t>1</w:t>
      </w:r>
      <w:r>
        <w:t>.2</w:t>
      </w:r>
      <w:r>
        <w:rPr>
          <w:rFonts w:hint="eastAsia"/>
        </w:rPr>
        <w:tab/>
      </w:r>
      <w:r>
        <w:t>Service Architecture</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45EB99E2" w14:textId="77777777" w:rsidR="00A10B25" w:rsidRDefault="00A10B25">
      <w:r>
        <w:t>The 5G System Architecture is defined in 3GPP TS 23.501 [2]. The Network Data Analytics Exposure architecture is defined in 3GPP TS 23.288 [17]. The ML Model training signalling flows are defined in 3GPP TS 29.552 [25].</w:t>
      </w:r>
    </w:p>
    <w:p w14:paraId="7A7B4020" w14:textId="77777777" w:rsidR="00A10B25" w:rsidRDefault="00A10B25">
      <w:r>
        <w:t>The Nnwdaf_MLModelTraining service is part of the Nnwdaf service-based interface exhibited by the Network Data Analytics Function (NWDAF) containing Model Training Logical Function (MTLF).</w:t>
      </w:r>
    </w:p>
    <w:p w14:paraId="65580156" w14:textId="77777777" w:rsidR="00A10B25" w:rsidRDefault="00A10B25">
      <w:r>
        <w:t>Known consumers of the Nnwdaf_MLModelTraining service are:</w:t>
      </w:r>
    </w:p>
    <w:p w14:paraId="7C3827DD" w14:textId="77777777" w:rsidR="00A10B25" w:rsidRDefault="00A10B25">
      <w:pPr>
        <w:pStyle w:val="B1"/>
      </w:pPr>
      <w:r>
        <w:t>-</w:t>
      </w:r>
      <w:r>
        <w:tab/>
        <w:t>Network Data Analytics Function (NWDAF) containing Model Training Logical Function (MTLF)</w:t>
      </w:r>
    </w:p>
    <w:p w14:paraId="115E5182" w14:textId="77777777" w:rsidR="00A10B25" w:rsidRDefault="00A10B25">
      <w:pPr>
        <w:pStyle w:val="TH"/>
        <w:rPr>
          <w:lang w:val="en-US"/>
        </w:rPr>
      </w:pPr>
      <w:r>
        <w:rPr>
          <w:lang w:val="en-US" w:eastAsia="zh-CN"/>
        </w:rPr>
        <w:object w:dxaOrig="3802" w:dyaOrig="1887" w14:anchorId="46A8D8A9">
          <v:shape id="Object 48" o:spid="_x0000_i1063" type="#_x0000_t75" style="width:209.1pt;height:102.05pt;mso-position-horizontal-relative:page;mso-position-vertical-relative:page" o:ole="">
            <v:imagedata r:id="rId55" o:title=""/>
          </v:shape>
          <o:OLEObject Type="Embed" ProgID="Visio.Drawing.15" ShapeID="Object 48" DrawAspect="Content" ObjectID="_1810066004" r:id="rId56"/>
        </w:object>
      </w:r>
    </w:p>
    <w:p w14:paraId="6A69A464" w14:textId="77777777" w:rsidR="00A10B25" w:rsidRDefault="00A10B25">
      <w:pPr>
        <w:pStyle w:val="TF"/>
      </w:pPr>
      <w:r>
        <w:t>Figure 4.6.1.2-1</w:t>
      </w:r>
      <w:r>
        <w:rPr>
          <w:lang w:eastAsia="zh-CN"/>
        </w:rPr>
        <w:t>:</w:t>
      </w:r>
      <w:r>
        <w:t xml:space="preserve"> Reference Architecture for the Nnwdaf_MLModelTraining Service; SBI representation</w:t>
      </w:r>
    </w:p>
    <w:p w14:paraId="71D48B0F" w14:textId="77777777" w:rsidR="00A10B25" w:rsidRDefault="00A10B25">
      <w:pPr>
        <w:pStyle w:val="TH"/>
        <w:rPr>
          <w:lang w:val="en-US" w:eastAsia="zh-CN"/>
        </w:rPr>
      </w:pPr>
      <w:r>
        <w:rPr>
          <w:lang w:val="en-US" w:eastAsia="zh-CN"/>
        </w:rPr>
        <w:object w:dxaOrig="9511" w:dyaOrig="2279" w14:anchorId="568C9D97">
          <v:shape id="Object 49" o:spid="_x0000_i1064" type="#_x0000_t75" style="width:479.6pt;height:113.95pt;mso-position-horizontal-relative:page;mso-position-vertical-relative:page" o:ole="">
            <v:imagedata r:id="rId57" o:title=""/>
          </v:shape>
          <o:OLEObject Type="Embed" ProgID="Visio.Drawing.15" ShapeID="Object 49" DrawAspect="Content" ObjectID="_1810066005" r:id="rId58"/>
        </w:object>
      </w:r>
    </w:p>
    <w:p w14:paraId="01E7AC86" w14:textId="77777777" w:rsidR="00A10B25" w:rsidRDefault="00A10B25">
      <w:pPr>
        <w:pStyle w:val="TF"/>
      </w:pPr>
      <w:r>
        <w:t>Figure 4.6.1.2-2</w:t>
      </w:r>
      <w:r>
        <w:rPr>
          <w:lang w:eastAsia="zh-CN"/>
        </w:rPr>
        <w:t>:</w:t>
      </w:r>
      <w:r>
        <w:t xml:space="preserve"> Reference Architecture for the Nnwdaf_MLModelTraining Service: reference point representation</w:t>
      </w:r>
    </w:p>
    <w:p w14:paraId="2FD23DB7" w14:textId="77777777" w:rsidR="00A10B25" w:rsidRDefault="00A10B25">
      <w:pPr>
        <w:pStyle w:val="4"/>
        <w:rPr>
          <w:lang w:val="en-US"/>
        </w:rPr>
      </w:pPr>
      <w:bookmarkStart w:id="2968" w:name="_Toc148522533"/>
      <w:bookmarkStart w:id="2969" w:name="_Toc136562308"/>
      <w:bookmarkStart w:id="2970" w:name="_Toc138754142"/>
      <w:bookmarkStart w:id="2971" w:name="_Toc145705629"/>
      <w:bookmarkStart w:id="2972" w:name="_Toc164920657"/>
      <w:bookmarkStart w:id="2973" w:name="_Toc170120199"/>
      <w:bookmarkStart w:id="2974" w:name="_Toc175858444"/>
      <w:bookmarkStart w:id="2975" w:name="_Toc175859517"/>
      <w:bookmarkStart w:id="2976" w:name="_Toc180605807"/>
      <w:bookmarkStart w:id="2977" w:name="_Toc185517061"/>
      <w:bookmarkStart w:id="2978" w:name="_Toc191576112"/>
      <w:bookmarkStart w:id="2979" w:name="_Toc191576852"/>
      <w:bookmarkStart w:id="2980" w:name="_Toc192879922"/>
      <w:bookmarkStart w:id="2981" w:name="_Toc195814805"/>
      <w:bookmarkStart w:id="2982" w:name="_Toc199452752"/>
      <w:r>
        <w:rPr>
          <w:lang w:val="en-US"/>
        </w:rPr>
        <w:t>4.6.</w:t>
      </w:r>
      <w:r>
        <w:rPr>
          <w:rFonts w:hint="eastAsia"/>
          <w:lang w:val="en-US" w:eastAsia="zh-CN"/>
        </w:rPr>
        <w:t>1.3</w:t>
      </w:r>
      <w:r>
        <w:rPr>
          <w:lang w:val="en-US"/>
        </w:rPr>
        <w:tab/>
        <w:t>Network Functions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F964F54" w14:textId="77777777" w:rsidR="00A10B25" w:rsidRDefault="00A10B25">
      <w:pPr>
        <w:pStyle w:val="5"/>
        <w:rPr>
          <w:lang w:eastAsia="zh-CN"/>
        </w:rPr>
      </w:pPr>
      <w:bookmarkStart w:id="2983" w:name="_Toc145705630"/>
      <w:bookmarkStart w:id="2984" w:name="_Toc136562309"/>
      <w:bookmarkStart w:id="2985" w:name="_Toc138754143"/>
      <w:bookmarkStart w:id="2986" w:name="_Toc148522534"/>
      <w:bookmarkStart w:id="2987" w:name="_Toc164920658"/>
      <w:bookmarkStart w:id="2988" w:name="_Toc170120200"/>
      <w:bookmarkStart w:id="2989" w:name="_Toc175858445"/>
      <w:bookmarkStart w:id="2990" w:name="_Toc175859518"/>
      <w:bookmarkStart w:id="2991" w:name="_Toc180605808"/>
      <w:bookmarkStart w:id="2992" w:name="_Toc185517062"/>
      <w:bookmarkStart w:id="2993" w:name="_Toc191576113"/>
      <w:bookmarkStart w:id="2994" w:name="_Toc191576853"/>
      <w:bookmarkStart w:id="2995" w:name="_Toc192879923"/>
      <w:bookmarkStart w:id="2996" w:name="_Toc195814806"/>
      <w:bookmarkStart w:id="2997" w:name="_Toc199452753"/>
      <w:r>
        <w:t>4.6.</w:t>
      </w:r>
      <w:r>
        <w:rPr>
          <w:rFonts w:hint="eastAsia"/>
          <w:lang w:eastAsia="zh-CN"/>
        </w:rPr>
        <w:t>1.3.1</w:t>
      </w:r>
      <w:r>
        <w:tab/>
      </w:r>
      <w:r>
        <w:rPr>
          <w:lang w:val="en-US" w:eastAsia="zh-CN"/>
        </w:rPr>
        <w:t>Network Data Analytics Function (NWDAF)</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346E1CB0" w14:textId="77777777" w:rsidR="00A10B25" w:rsidRDefault="00A10B25">
      <w:r>
        <w:t>The Network Data Analytics Function (NWDAF), containing Model Training Logical Function (MTLF), provides ML model information for different analytic events to NF</w:t>
      </w:r>
      <w:r>
        <w:rPr>
          <w:rFonts w:eastAsia="等线"/>
        </w:rPr>
        <w:t xml:space="preserve"> service</w:t>
      </w:r>
      <w:r>
        <w:t xml:space="preserve"> consumers.</w:t>
      </w:r>
    </w:p>
    <w:p w14:paraId="7F4F573D" w14:textId="77777777" w:rsidR="00A10B25" w:rsidRDefault="00A10B25">
      <w:r>
        <w:t xml:space="preserve">The Network Data Analytics Function (NWDAF) allows NF </w:t>
      </w:r>
      <w:r>
        <w:rPr>
          <w:rFonts w:eastAsia="等线"/>
        </w:rPr>
        <w:t xml:space="preserve">service </w:t>
      </w:r>
      <w:r>
        <w:t>consumers to subscribe to and unsubscribe from one-time, periodic notification or notification when an event is detected.</w:t>
      </w:r>
    </w:p>
    <w:p w14:paraId="21D2AE0E" w14:textId="77777777" w:rsidR="00A10B25" w:rsidRDefault="00A10B25">
      <w:pPr>
        <w:pStyle w:val="5"/>
        <w:rPr>
          <w:lang w:eastAsia="zh-CN"/>
        </w:rPr>
      </w:pPr>
      <w:bookmarkStart w:id="2998" w:name="_Toc136562310"/>
      <w:bookmarkStart w:id="2999" w:name="_Toc138754144"/>
      <w:bookmarkStart w:id="3000" w:name="_Toc145705631"/>
      <w:bookmarkStart w:id="3001" w:name="_Toc148522535"/>
      <w:bookmarkStart w:id="3002" w:name="_Toc164920659"/>
      <w:bookmarkStart w:id="3003" w:name="_Toc170120201"/>
      <w:bookmarkStart w:id="3004" w:name="_Toc175858446"/>
      <w:bookmarkStart w:id="3005" w:name="_Toc175859519"/>
      <w:bookmarkStart w:id="3006" w:name="_Toc180605809"/>
      <w:bookmarkStart w:id="3007" w:name="_Toc185517063"/>
      <w:bookmarkStart w:id="3008" w:name="_Toc191576114"/>
      <w:bookmarkStart w:id="3009" w:name="_Toc191576854"/>
      <w:bookmarkStart w:id="3010" w:name="_Toc192879924"/>
      <w:bookmarkStart w:id="3011" w:name="_Toc195814807"/>
      <w:bookmarkStart w:id="3012" w:name="_Toc199452754"/>
      <w:r>
        <w:t>4.6.</w:t>
      </w:r>
      <w:r>
        <w:rPr>
          <w:lang w:eastAsia="zh-CN"/>
        </w:rPr>
        <w:t>1.3.2</w:t>
      </w:r>
      <w:r>
        <w:tab/>
      </w:r>
      <w:r>
        <w:rPr>
          <w:lang w:eastAsia="zh-CN"/>
        </w:rPr>
        <w:t>NF Service Consumers</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A6C2255" w14:textId="77777777" w:rsidR="00A10B25" w:rsidRDefault="00A10B25">
      <w:pPr>
        <w:rPr>
          <w:lang w:val="en-US"/>
        </w:rPr>
      </w:pPr>
      <w:r>
        <w:t>The Network Data Analytics Function (NWDAF) supports (un)subscription to the notification of different ML model information from the NWDAF which contains Model Training Logical Function (MTLF).</w:t>
      </w:r>
    </w:p>
    <w:p w14:paraId="116DE927" w14:textId="77777777" w:rsidR="00A10B25" w:rsidRDefault="00A10B25">
      <w:pPr>
        <w:pStyle w:val="3"/>
      </w:pPr>
      <w:bookmarkStart w:id="3013" w:name="_Toc138754145"/>
      <w:bookmarkStart w:id="3014" w:name="_Toc148522536"/>
      <w:bookmarkStart w:id="3015" w:name="_Toc145705632"/>
      <w:bookmarkStart w:id="3016" w:name="_Toc136562311"/>
      <w:bookmarkStart w:id="3017" w:name="_Toc164920660"/>
      <w:bookmarkStart w:id="3018" w:name="_Toc170120202"/>
      <w:bookmarkStart w:id="3019" w:name="_Toc175858447"/>
      <w:bookmarkStart w:id="3020" w:name="_Toc175859520"/>
      <w:bookmarkStart w:id="3021" w:name="_Toc180605810"/>
      <w:bookmarkStart w:id="3022" w:name="_Toc185517064"/>
      <w:bookmarkStart w:id="3023" w:name="_Toc191576115"/>
      <w:bookmarkStart w:id="3024" w:name="_Toc191576855"/>
      <w:bookmarkStart w:id="3025" w:name="_Toc192879925"/>
      <w:bookmarkStart w:id="3026" w:name="_Toc195814808"/>
      <w:bookmarkStart w:id="3027" w:name="_Toc199452755"/>
      <w:r>
        <w:t>4.6.2</w:t>
      </w:r>
      <w:r>
        <w:tab/>
        <w:t>Service Operations</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40964194" w14:textId="77777777" w:rsidR="00A10B25" w:rsidRDefault="00A10B25">
      <w:pPr>
        <w:pStyle w:val="4"/>
        <w:rPr>
          <w:lang w:eastAsia="zh-CN"/>
        </w:rPr>
      </w:pPr>
      <w:bookmarkStart w:id="3028" w:name="_Toc145705633"/>
      <w:bookmarkStart w:id="3029" w:name="_Toc148522537"/>
      <w:bookmarkStart w:id="3030" w:name="_Toc138754146"/>
      <w:bookmarkStart w:id="3031" w:name="_Toc136562312"/>
      <w:bookmarkStart w:id="3032" w:name="_Toc164920661"/>
      <w:bookmarkStart w:id="3033" w:name="_Toc170120203"/>
      <w:bookmarkStart w:id="3034" w:name="_Toc175858448"/>
      <w:bookmarkStart w:id="3035" w:name="_Toc175859521"/>
      <w:bookmarkStart w:id="3036" w:name="_Toc180605811"/>
      <w:bookmarkStart w:id="3037" w:name="_Toc185517065"/>
      <w:bookmarkStart w:id="3038" w:name="_Toc191576116"/>
      <w:bookmarkStart w:id="3039" w:name="_Toc191576856"/>
      <w:bookmarkStart w:id="3040" w:name="_Toc192879926"/>
      <w:bookmarkStart w:id="3041" w:name="_Toc195814809"/>
      <w:bookmarkStart w:id="3042" w:name="_Toc199452756"/>
      <w:r>
        <w:t>4.6.2.1</w:t>
      </w:r>
      <w:r>
        <w:tab/>
        <w:t>Introduction</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5F5E9E6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4.6.2.1-1: Operations of the </w:t>
      </w:r>
      <w:r>
        <w:rPr>
          <w:rFonts w:hint="eastAsia"/>
          <w:lang w:eastAsia="zh-CN"/>
        </w:rPr>
        <w:t>N</w:t>
      </w:r>
      <w:r>
        <w:rPr>
          <w:lang w:eastAsia="zh-CN"/>
        </w:rPr>
        <w:t>nwdaf_MLModelTraining</w:t>
      </w:r>
      <w:r>
        <w:rPr>
          <w:rFonts w:eastAsia="MS Mincho"/>
        </w:rPr>
        <w:t xml:space="preserve"> Service</w:t>
      </w:r>
    </w:p>
    <w:tbl>
      <w:tblPr>
        <w:tblW w:w="9613" w:type="dxa"/>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538D3A9D" w14:textId="77777777">
        <w:trPr>
          <w:cantSplit/>
          <w:tblHeader/>
        </w:trPr>
        <w:tc>
          <w:tcPr>
            <w:tcW w:w="3397" w:type="dxa"/>
            <w:shd w:val="clear" w:color="000000" w:fill="C0C0C0"/>
          </w:tcPr>
          <w:p w14:paraId="4BEF0AB7" w14:textId="77777777" w:rsidR="00A10B25" w:rsidRDefault="00A10B25">
            <w:pPr>
              <w:pStyle w:val="TAH"/>
            </w:pPr>
            <w:r>
              <w:t>Service operation name</w:t>
            </w:r>
          </w:p>
        </w:tc>
        <w:tc>
          <w:tcPr>
            <w:tcW w:w="4231" w:type="dxa"/>
            <w:shd w:val="clear" w:color="000000" w:fill="C0C0C0"/>
          </w:tcPr>
          <w:p w14:paraId="2C7AE4A6" w14:textId="77777777" w:rsidR="00A10B25" w:rsidRDefault="00A10B25">
            <w:pPr>
              <w:pStyle w:val="TAH"/>
            </w:pPr>
            <w:r>
              <w:t>Description</w:t>
            </w:r>
          </w:p>
        </w:tc>
        <w:tc>
          <w:tcPr>
            <w:tcW w:w="1985" w:type="dxa"/>
            <w:shd w:val="clear" w:color="000000" w:fill="C0C0C0"/>
          </w:tcPr>
          <w:p w14:paraId="01A289CD" w14:textId="77777777" w:rsidR="00A10B25" w:rsidRDefault="00A10B25">
            <w:pPr>
              <w:pStyle w:val="TAH"/>
            </w:pPr>
            <w:r>
              <w:t>Initiated by</w:t>
            </w:r>
          </w:p>
        </w:tc>
      </w:tr>
      <w:tr w:rsidR="00A10B25" w14:paraId="444FB9D4" w14:textId="77777777">
        <w:trPr>
          <w:cantSplit/>
        </w:trPr>
        <w:tc>
          <w:tcPr>
            <w:tcW w:w="3397" w:type="dxa"/>
          </w:tcPr>
          <w:p w14:paraId="6C0E7B44" w14:textId="77777777" w:rsidR="00A10B25" w:rsidRDefault="00A10B25">
            <w:pPr>
              <w:rPr>
                <w:rFonts w:ascii="Arial" w:hAnsi="Arial"/>
                <w:sz w:val="18"/>
              </w:rPr>
            </w:pPr>
            <w:r>
              <w:rPr>
                <w:rFonts w:ascii="Arial" w:hAnsi="Arial"/>
                <w:sz w:val="18"/>
              </w:rPr>
              <w:t>Nnwdaf_MLModelTraining_Subscribe</w:t>
            </w:r>
          </w:p>
        </w:tc>
        <w:tc>
          <w:tcPr>
            <w:tcW w:w="4231" w:type="dxa"/>
          </w:tcPr>
          <w:p w14:paraId="029BCA08" w14:textId="77777777" w:rsidR="00A10B25" w:rsidRDefault="00A10B25">
            <w:pPr>
              <w:pStyle w:val="TAL"/>
            </w:pPr>
            <w:r>
              <w:t>This service operation is used by an NF service consumer to subscribe to ML model training from NWDAF.</w:t>
            </w:r>
          </w:p>
        </w:tc>
        <w:tc>
          <w:tcPr>
            <w:tcW w:w="1985" w:type="dxa"/>
          </w:tcPr>
          <w:p w14:paraId="2DA23ECB" w14:textId="77777777" w:rsidR="00A10B25" w:rsidRDefault="00A10B25">
            <w:pPr>
              <w:pStyle w:val="TAL"/>
            </w:pPr>
            <w:r>
              <w:rPr>
                <w:lang w:eastAsia="zh-CN"/>
              </w:rPr>
              <w:t>NF service consumer (</w:t>
            </w:r>
            <w:r>
              <w:t>NWDAF)</w:t>
            </w:r>
          </w:p>
        </w:tc>
      </w:tr>
      <w:tr w:rsidR="00A10B25" w14:paraId="1FBFA9F5" w14:textId="77777777">
        <w:trPr>
          <w:cantSplit/>
        </w:trPr>
        <w:tc>
          <w:tcPr>
            <w:tcW w:w="3397" w:type="dxa"/>
          </w:tcPr>
          <w:p w14:paraId="4198E0D1" w14:textId="77777777" w:rsidR="00A10B25" w:rsidRDefault="00A10B25">
            <w:pPr>
              <w:rPr>
                <w:rFonts w:ascii="Arial" w:hAnsi="Arial"/>
                <w:sz w:val="18"/>
              </w:rPr>
            </w:pPr>
            <w:r>
              <w:rPr>
                <w:rFonts w:ascii="Arial" w:hAnsi="Arial"/>
                <w:sz w:val="18"/>
              </w:rPr>
              <w:t>Nnwdaf_MLModelTraining_Unsubscribe</w:t>
            </w:r>
          </w:p>
        </w:tc>
        <w:tc>
          <w:tcPr>
            <w:tcW w:w="4231" w:type="dxa"/>
          </w:tcPr>
          <w:p w14:paraId="20F593DC" w14:textId="77777777" w:rsidR="00A10B25" w:rsidRDefault="00A10B25">
            <w:pPr>
              <w:pStyle w:val="TAL"/>
            </w:pPr>
            <w:r>
              <w:t>This service operation is used by an NF service consumer to unsubscribe to ML model training.</w:t>
            </w:r>
          </w:p>
        </w:tc>
        <w:tc>
          <w:tcPr>
            <w:tcW w:w="1985" w:type="dxa"/>
          </w:tcPr>
          <w:p w14:paraId="083621E9" w14:textId="77777777" w:rsidR="00A10B25" w:rsidRDefault="00A10B25">
            <w:pPr>
              <w:pStyle w:val="TAL"/>
            </w:pPr>
            <w:r>
              <w:rPr>
                <w:lang w:eastAsia="zh-CN"/>
              </w:rPr>
              <w:t>NF service consumer (</w:t>
            </w:r>
            <w:r>
              <w:t>NWDAF)</w:t>
            </w:r>
          </w:p>
        </w:tc>
      </w:tr>
      <w:tr w:rsidR="00A10B25" w14:paraId="1EF1FF12" w14:textId="77777777">
        <w:trPr>
          <w:cantSplit/>
        </w:trPr>
        <w:tc>
          <w:tcPr>
            <w:tcW w:w="3397" w:type="dxa"/>
          </w:tcPr>
          <w:p w14:paraId="16E7EC54" w14:textId="77777777" w:rsidR="00A10B25" w:rsidRDefault="00A10B25">
            <w:pPr>
              <w:rPr>
                <w:rFonts w:ascii="Arial" w:hAnsi="Arial"/>
                <w:sz w:val="18"/>
              </w:rPr>
            </w:pPr>
            <w:r>
              <w:rPr>
                <w:rFonts w:ascii="Arial" w:hAnsi="Arial"/>
                <w:sz w:val="18"/>
              </w:rPr>
              <w:t>Nnwdaf_MLModelTraining_Notify</w:t>
            </w:r>
          </w:p>
        </w:tc>
        <w:tc>
          <w:tcPr>
            <w:tcW w:w="4231" w:type="dxa"/>
          </w:tcPr>
          <w:p w14:paraId="5A622190" w14:textId="77777777" w:rsidR="00A10B25" w:rsidRDefault="00A10B25">
            <w:pPr>
              <w:pStyle w:val="TAL"/>
            </w:pPr>
            <w:r>
              <w:t xml:space="preserve">This service operation is used by the NWDAF to </w:t>
            </w:r>
            <w:r>
              <w:rPr>
                <w:lang w:eastAsia="ja-JP"/>
              </w:rPr>
              <w:t>notify the ML model information to the NF service consumer instance which has subscribed to</w:t>
            </w:r>
            <w:r>
              <w:t>.</w:t>
            </w:r>
          </w:p>
        </w:tc>
        <w:tc>
          <w:tcPr>
            <w:tcW w:w="1985" w:type="dxa"/>
          </w:tcPr>
          <w:p w14:paraId="01AE835C" w14:textId="77777777" w:rsidR="00A10B25" w:rsidRDefault="00A10B25">
            <w:pPr>
              <w:pStyle w:val="TAL"/>
            </w:pPr>
            <w:r>
              <w:t>NWDAF</w:t>
            </w:r>
          </w:p>
        </w:tc>
      </w:tr>
    </w:tbl>
    <w:p w14:paraId="44D3142E" w14:textId="77777777" w:rsidR="00A10B25" w:rsidRDefault="00A10B25"/>
    <w:p w14:paraId="70BA13DB" w14:textId="77777777" w:rsidR="00A10B25" w:rsidRDefault="00A10B25">
      <w:pPr>
        <w:pStyle w:val="4"/>
      </w:pPr>
      <w:bookmarkStart w:id="3043" w:name="_Toc148522538"/>
      <w:bookmarkStart w:id="3044" w:name="_Toc136562313"/>
      <w:bookmarkStart w:id="3045" w:name="_Toc138754147"/>
      <w:bookmarkStart w:id="3046" w:name="_Toc145705634"/>
      <w:bookmarkStart w:id="3047" w:name="_Toc164920662"/>
      <w:bookmarkStart w:id="3048" w:name="_Toc170120204"/>
      <w:bookmarkStart w:id="3049" w:name="_Toc175858449"/>
      <w:bookmarkStart w:id="3050" w:name="_Toc175859522"/>
      <w:bookmarkStart w:id="3051" w:name="_Toc180605812"/>
      <w:bookmarkStart w:id="3052" w:name="_Toc185517066"/>
      <w:bookmarkStart w:id="3053" w:name="_Toc191576117"/>
      <w:bookmarkStart w:id="3054" w:name="_Toc191576857"/>
      <w:bookmarkStart w:id="3055" w:name="_Toc192879927"/>
      <w:bookmarkStart w:id="3056" w:name="_Toc195814810"/>
      <w:bookmarkStart w:id="3057" w:name="_Toc199452757"/>
      <w:r>
        <w:t>4.6.2.2</w:t>
      </w:r>
      <w:r>
        <w:tab/>
      </w:r>
      <w:r>
        <w:rPr>
          <w:lang w:eastAsia="ja-JP"/>
        </w:rPr>
        <w:t>Nnwdaf_MLModelTraining_Subscribe</w:t>
      </w:r>
      <w:r>
        <w:t xml:space="preserve"> service operation</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2D98AF06" w14:textId="77777777" w:rsidR="00A10B25" w:rsidRDefault="00A10B25">
      <w:pPr>
        <w:pStyle w:val="5"/>
      </w:pPr>
      <w:bookmarkStart w:id="3058" w:name="_Toc148522539"/>
      <w:bookmarkStart w:id="3059" w:name="_Toc136562314"/>
      <w:bookmarkStart w:id="3060" w:name="_Toc145705635"/>
      <w:bookmarkStart w:id="3061" w:name="_Toc138754148"/>
      <w:bookmarkStart w:id="3062" w:name="_Toc164920663"/>
      <w:bookmarkStart w:id="3063" w:name="_Toc170120205"/>
      <w:bookmarkStart w:id="3064" w:name="_Toc175858450"/>
      <w:bookmarkStart w:id="3065" w:name="_Toc175859523"/>
      <w:bookmarkStart w:id="3066" w:name="_Toc180605813"/>
      <w:bookmarkStart w:id="3067" w:name="_Toc185517067"/>
      <w:bookmarkStart w:id="3068" w:name="_Toc191576118"/>
      <w:bookmarkStart w:id="3069" w:name="_Toc191576858"/>
      <w:bookmarkStart w:id="3070" w:name="_Toc192879928"/>
      <w:bookmarkStart w:id="3071" w:name="_Toc195814811"/>
      <w:bookmarkStart w:id="3072" w:name="_Toc199452758"/>
      <w:r>
        <w:t>4.6.2.2.1</w:t>
      </w:r>
      <w:r>
        <w:tab/>
        <w:t>General</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557F3366" w14:textId="77777777" w:rsidR="00A10B25" w:rsidRDefault="00A10B25">
      <w:r>
        <w:t>The Nnwdaf_</w:t>
      </w:r>
      <w:r>
        <w:rPr>
          <w:lang w:eastAsia="ja-JP"/>
        </w:rPr>
        <w:t>MLModelTraining</w:t>
      </w:r>
      <w:r>
        <w:t>_Subscribe service operation is used by an NF service consumer to subscribe or update subscription for event notifications from the NWDAF which contains Model Training Logical Function (MTLF).</w:t>
      </w:r>
    </w:p>
    <w:p w14:paraId="0BE3AF11" w14:textId="77777777" w:rsidR="00A10B25" w:rsidRDefault="00A10B25">
      <w:pPr>
        <w:pStyle w:val="5"/>
      </w:pPr>
      <w:bookmarkStart w:id="3073" w:name="_Toc136562315"/>
      <w:bookmarkStart w:id="3074" w:name="_Toc148522540"/>
      <w:bookmarkStart w:id="3075" w:name="_Toc138754149"/>
      <w:bookmarkStart w:id="3076" w:name="_Toc145705636"/>
      <w:bookmarkStart w:id="3077" w:name="_Toc164920664"/>
      <w:bookmarkStart w:id="3078" w:name="_Toc170120206"/>
      <w:bookmarkStart w:id="3079" w:name="_Toc175858451"/>
      <w:bookmarkStart w:id="3080" w:name="_Toc175859524"/>
      <w:bookmarkStart w:id="3081" w:name="_Toc180605814"/>
      <w:bookmarkStart w:id="3082" w:name="_Toc185517068"/>
      <w:bookmarkStart w:id="3083" w:name="_Toc191576119"/>
      <w:bookmarkStart w:id="3084" w:name="_Toc191576859"/>
      <w:bookmarkStart w:id="3085" w:name="_Toc192879929"/>
      <w:bookmarkStart w:id="3086" w:name="_Toc195814812"/>
      <w:bookmarkStart w:id="3087" w:name="_Toc199452759"/>
      <w:r>
        <w:t>4.6.2.2.2</w:t>
      </w:r>
      <w:r>
        <w:tab/>
        <w:t>Subscription for event notifications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8BFDEF1" w14:textId="77777777" w:rsidR="00A10B25" w:rsidRDefault="00A10B25">
      <w:pPr>
        <w:rPr>
          <w:rFonts w:eastAsia="等线"/>
        </w:rPr>
      </w:pPr>
      <w:r>
        <w:rPr>
          <w:rFonts w:eastAsia="等线"/>
        </w:rPr>
        <w:t>Figure 4.6.2.2.2-1 shows a scenario where the NF service consumer sends a request to the NWDAF to subscribe</w:t>
      </w:r>
      <w:r>
        <w:rPr>
          <w:rFonts w:eastAsia="Batang"/>
        </w:rPr>
        <w:t xml:space="preserve"> </w:t>
      </w:r>
      <w:r>
        <w:rPr>
          <w:rFonts w:eastAsia="等线"/>
        </w:rPr>
        <w:t>for event notification(s) (as shown in 3GPP TS 23.288 [17]).</w:t>
      </w:r>
    </w:p>
    <w:p w14:paraId="33D88D22" w14:textId="09D0AFC5" w:rsidR="00A10B25" w:rsidRDefault="00257874">
      <w:pPr>
        <w:pStyle w:val="TH"/>
        <w:rPr>
          <w:lang w:eastAsia="zh-CN"/>
        </w:rPr>
      </w:pPr>
      <w:r>
        <w:rPr>
          <w:noProof/>
          <w:lang w:val="en-US" w:eastAsia="zh-CN"/>
        </w:rPr>
        <w:lastRenderedPageBreak/>
        <w:drawing>
          <wp:inline distT="0" distB="0" distL="0" distR="0" wp14:anchorId="6B868DA8" wp14:editId="14CFFAAE">
            <wp:extent cx="5518150" cy="1494790"/>
            <wp:effectExtent l="0" t="0" r="0" b="0"/>
            <wp:docPr id="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8150" cy="1494790"/>
                    </a:xfrm>
                    <a:prstGeom prst="rect">
                      <a:avLst/>
                    </a:prstGeom>
                    <a:noFill/>
                    <a:ln>
                      <a:noFill/>
                    </a:ln>
                  </pic:spPr>
                </pic:pic>
              </a:graphicData>
            </a:graphic>
          </wp:inline>
        </w:drawing>
      </w:r>
    </w:p>
    <w:p w14:paraId="15AB1311" w14:textId="77777777" w:rsidR="00A10B25" w:rsidRDefault="00A10B25">
      <w:pPr>
        <w:pStyle w:val="TF"/>
      </w:pPr>
      <w:r>
        <w:t>Figure 4.6.2.2.2-1: NF service consumer subscribes to notifications</w:t>
      </w:r>
    </w:p>
    <w:p w14:paraId="5F07321D" w14:textId="77777777" w:rsidR="00A10B25" w:rsidRDefault="00A10B25">
      <w:pPr>
        <w:rPr>
          <w:rFonts w:eastAsia="等线"/>
        </w:rPr>
      </w:pPr>
      <w:r>
        <w:rPr>
          <w:rFonts w:eastAsia="等线"/>
        </w:rPr>
        <w:t>The NF service consumer shall invoke the Nnwdaf_</w:t>
      </w:r>
      <w:r>
        <w:rPr>
          <w:lang w:eastAsia="ja-JP"/>
        </w:rPr>
        <w:t>MLModelTraining</w:t>
      </w:r>
      <w:r>
        <w:rPr>
          <w:rFonts w:eastAsia="等线"/>
        </w:rPr>
        <w:t xml:space="preserve">_Subscribe service operation to subscribe to event notification(s). The NF </w:t>
      </w:r>
      <w:r>
        <w:t>service</w:t>
      </w:r>
      <w:r>
        <w:rPr>
          <w:rFonts w:eastAsia="等线"/>
        </w:rPr>
        <w:t xml:space="preserve"> consumer </w:t>
      </w:r>
      <w:r>
        <w:rPr>
          <w:rFonts w:eastAsia="等线"/>
          <w:lang w:val="en-US"/>
        </w:rPr>
        <w:t xml:space="preserve">shall </w:t>
      </w:r>
      <w:r>
        <w:rPr>
          <w:rFonts w:eastAsia="等线"/>
        </w:rPr>
        <w:t>send an HTTP POST request with "{apiRoot}/nnwdaf-</w:t>
      </w:r>
      <w:r>
        <w:t>mlmodeltraining</w:t>
      </w:r>
      <w:r>
        <w:rPr>
          <w:rFonts w:eastAsia="等线"/>
        </w:rPr>
        <w:t xml:space="preserve">/&lt;apiVersion&gt;/subscriptions" as Resource URI representing the "NWDAF </w:t>
      </w:r>
      <w:r>
        <w:t>ML Model Training</w:t>
      </w:r>
      <w:r>
        <w:rPr>
          <w:rFonts w:eastAsia="等线"/>
        </w:rPr>
        <w:t xml:space="preserve"> Subscriptions", as shown in figure 4.6.2.2.2-1, step 1, to create a subscription for an "Individual </w:t>
      </w:r>
      <w:r>
        <w:t>NWDAF ML Model Training</w:t>
      </w:r>
      <w:r>
        <w:rPr>
          <w:rFonts w:eastAsia="等线"/>
        </w:rPr>
        <w:t xml:space="preserve"> Subscription" according to the information in message body.</w:t>
      </w:r>
    </w:p>
    <w:p w14:paraId="321A728E" w14:textId="77777777" w:rsidR="00A10B25" w:rsidRDefault="00A10B25">
      <w:pPr>
        <w:rPr>
          <w:rFonts w:eastAsia="等线"/>
        </w:rPr>
      </w:pPr>
      <w:r>
        <w:rPr>
          <w:rFonts w:eastAsia="等线"/>
        </w:rPr>
        <w:t>The NwdafMLModelTrainSubsc data structure provided in the request body shall include:</w:t>
      </w:r>
    </w:p>
    <w:p w14:paraId="3BA97A44" w14:textId="77777777" w:rsidR="00A10B25" w:rsidRDefault="00A10B25">
      <w:pPr>
        <w:pStyle w:val="B1"/>
      </w:pPr>
      <w:r>
        <w:t>-</w:t>
      </w:r>
      <w:r>
        <w:tab/>
        <w:t>an URI where to receive the requested notifications as the "notifUri" attribute;</w:t>
      </w:r>
    </w:p>
    <w:p w14:paraId="6FC463E2" w14:textId="77777777" w:rsidR="00A10B25" w:rsidRDefault="00A10B25">
      <w:pPr>
        <w:pStyle w:val="B1"/>
        <w:rPr>
          <w:lang w:eastAsia="en-GB"/>
        </w:rPr>
      </w:pPr>
      <w:r>
        <w:t>-</w:t>
      </w:r>
      <w:r>
        <w:tab/>
        <w:t>a description of the subscribed events as the "mLE</w:t>
      </w:r>
      <w:r>
        <w:rPr>
          <w:lang w:eastAsia="zh-CN"/>
        </w:rPr>
        <w:t>ventSubscs" attribute that, for each event, the MLEventSubscription data type shall include</w:t>
      </w:r>
      <w:r>
        <w:rPr>
          <w:lang w:val="en-US" w:eastAsia="zh-CN"/>
        </w:rPr>
        <w:t>:</w:t>
      </w:r>
    </w:p>
    <w:p w14:paraId="5C38C57E" w14:textId="77777777" w:rsidR="00A10B25" w:rsidRDefault="00A10B25">
      <w:pPr>
        <w:pStyle w:val="B2"/>
      </w:pPr>
      <w:r>
        <w:rPr>
          <w:lang w:val="en-US"/>
        </w:rPr>
        <w:t>1)</w:t>
      </w:r>
      <w:r>
        <w:rPr>
          <w:lang w:val="en-US"/>
        </w:rPr>
        <w:tab/>
      </w:r>
      <w:r>
        <w:t>an event identifier as the "mLEvent" attribute;</w:t>
      </w:r>
    </w:p>
    <w:p w14:paraId="08FD5E4D" w14:textId="77777777" w:rsidR="00A10B25" w:rsidRDefault="00A10B25">
      <w:pPr>
        <w:pStyle w:val="B2"/>
      </w:pPr>
      <w:r>
        <w:t>2)</w:t>
      </w:r>
      <w:r>
        <w:tab/>
        <w:t>event filter information as the "mLEventFilter" attribute; and</w:t>
      </w:r>
    </w:p>
    <w:p w14:paraId="7B17562F" w14:textId="77777777" w:rsidR="00A10B25" w:rsidRDefault="00A10B25">
      <w:pPr>
        <w:pStyle w:val="B2"/>
      </w:pPr>
      <w:r>
        <w:rPr>
          <w:lang w:val="en-US"/>
        </w:rPr>
        <w:t>3)</w:t>
      </w:r>
      <w:r>
        <w:rPr>
          <w:lang w:val="en-US"/>
        </w:rPr>
        <w:tab/>
      </w:r>
      <w:r>
        <w:t xml:space="preserve">the </w:t>
      </w:r>
      <w:r>
        <w:rPr>
          <w:lang w:eastAsia="zh-CN"/>
        </w:rPr>
        <w:t>ML Model Interoperability Information</w:t>
      </w:r>
      <w:r>
        <w:t xml:space="preserve"> as the "modelInterInfo" attribute;</w:t>
      </w:r>
    </w:p>
    <w:p w14:paraId="49523B57" w14:textId="77777777" w:rsidR="00A10B25" w:rsidRDefault="00A10B25">
      <w:pPr>
        <w:pStyle w:val="B1"/>
      </w:pPr>
      <w:r>
        <w:t>-</w:t>
      </w:r>
      <w:r>
        <w:tab/>
        <w:t>a notification correlation identifier assigned by the NF service consumer for the requested notifications as</w:t>
      </w:r>
      <w:r>
        <w:rPr>
          <w:lang w:eastAsia="en-GB"/>
        </w:rPr>
        <w:t xml:space="preserve"> "</w:t>
      </w:r>
      <w:r>
        <w:rPr>
          <w:lang w:eastAsia="zh-CN"/>
        </w:rPr>
        <w:t>notifCorreId</w:t>
      </w:r>
      <w:r>
        <w:rPr>
          <w:lang w:eastAsia="en-GB"/>
        </w:rPr>
        <w:t>" attribute;</w:t>
      </w:r>
    </w:p>
    <w:p w14:paraId="72BB5297" w14:textId="77777777" w:rsidR="00A10B25" w:rsidRDefault="00A10B25" w:rsidP="0076721C">
      <w:pPr>
        <w:pStyle w:val="B2"/>
        <w:rPr>
          <w:lang w:eastAsia="en-GB"/>
        </w:rPr>
      </w:pPr>
      <w:r>
        <w:rPr>
          <w:lang w:eastAsia="en-GB"/>
        </w:rPr>
        <w:t>and may include:</w:t>
      </w:r>
    </w:p>
    <w:p w14:paraId="175C70D4" w14:textId="77777777" w:rsidR="00A10B25" w:rsidRDefault="00A10B25" w:rsidP="0076721C">
      <w:pPr>
        <w:pStyle w:val="B2"/>
      </w:pPr>
      <w:r>
        <w:t>-</w:t>
      </w:r>
      <w:r>
        <w:tab/>
        <w:t>an identification of UE information for which data for ML model training is requested as the "tgtRepUe" attribute;</w:t>
      </w:r>
    </w:p>
    <w:p w14:paraId="5061462A" w14:textId="77777777" w:rsidR="00A10B25" w:rsidRDefault="00A10B25" w:rsidP="0076721C">
      <w:pPr>
        <w:pStyle w:val="B2"/>
      </w:pPr>
      <w:r>
        <w:t>-</w:t>
      </w:r>
      <w:r>
        <w:tab/>
        <w:t>the ML model information as the "mLModelInfos" attribute;</w:t>
      </w:r>
    </w:p>
    <w:p w14:paraId="3ECD883C" w14:textId="77777777" w:rsidR="00A10B25" w:rsidRDefault="00A10B25" w:rsidP="0076721C">
      <w:pPr>
        <w:pStyle w:val="B2"/>
      </w:pPr>
      <w:r>
        <w:t>-</w:t>
      </w:r>
      <w:r>
        <w:tab/>
        <w:t>the ML model training information as the "mLModelTrainInfos" attribute;</w:t>
      </w:r>
    </w:p>
    <w:p w14:paraId="6DF02A81" w14:textId="77777777" w:rsidR="00A10B25" w:rsidRDefault="00A10B25" w:rsidP="0076721C">
      <w:pPr>
        <w:pStyle w:val="B2"/>
      </w:pPr>
      <w:r>
        <w:t>-</w:t>
      </w:r>
      <w:r>
        <w:tab/>
        <w:t>identification of the ML procesure for training the ML model as the "mlCorreId" attribute;</w:t>
      </w:r>
    </w:p>
    <w:p w14:paraId="319B865C" w14:textId="77777777" w:rsidR="00A10B25" w:rsidRDefault="00A10B25" w:rsidP="0076721C">
      <w:pPr>
        <w:pStyle w:val="B2"/>
      </w:pPr>
      <w:r>
        <w:t>-</w:t>
      </w:r>
      <w:r>
        <w:tab/>
        <w:t>an indication of preparation request for ML model training as the "mLPreFlag" attribute;</w:t>
      </w:r>
    </w:p>
    <w:p w14:paraId="367E35B0" w14:textId="77777777" w:rsidR="00A10B25" w:rsidRDefault="00A10B25" w:rsidP="0076721C">
      <w:pPr>
        <w:pStyle w:val="B2"/>
      </w:pPr>
      <w:r>
        <w:t>-</w:t>
      </w:r>
      <w:r>
        <w:tab/>
        <w:t>an indication of request using the local training data as the testing dataset to calculate the Model Accuracy of the global ML model provided by the consumer as the "</w:t>
      </w:r>
      <w:r>
        <w:rPr>
          <w:color w:val="000000"/>
          <w:lang w:val="en-US" w:eastAsia="zh-CN"/>
        </w:rPr>
        <w:t>mLAccChkFlg</w:t>
      </w:r>
      <w:r>
        <w:t>" attribute;</w:t>
      </w:r>
    </w:p>
    <w:p w14:paraId="22DE789B" w14:textId="77777777" w:rsidR="00A10B25" w:rsidRDefault="00A10B25" w:rsidP="0076721C">
      <w:pPr>
        <w:pStyle w:val="B2"/>
      </w:pPr>
      <w:r>
        <w:t>-</w:t>
      </w:r>
      <w:r>
        <w:tab/>
        <w:t>the ML model training reporting information as the "mLTrainRepInfo" attribute;</w:t>
      </w:r>
    </w:p>
    <w:p w14:paraId="4BC599B7" w14:textId="77777777" w:rsidR="00640768" w:rsidRDefault="00640768" w:rsidP="00640768">
      <w:pPr>
        <w:pStyle w:val="B2"/>
      </w:pPr>
      <w:r>
        <w:t>-</w:t>
      </w:r>
      <w:r>
        <w:tab/>
        <w:t>the round number of the training in a multi-round training process as the "roundInd" attribute;</w:t>
      </w:r>
    </w:p>
    <w:p w14:paraId="76A6DF4A" w14:textId="77777777" w:rsidR="00E06B31" w:rsidRDefault="00E06B31" w:rsidP="00E06B31">
      <w:pPr>
        <w:pStyle w:val="B2"/>
      </w:pPr>
      <w:r>
        <w:t>-</w:t>
      </w:r>
      <w:r>
        <w:tab/>
        <w:t>the reporting requirement information of the subscription as the "eventReq" attribute; and</w:t>
      </w:r>
    </w:p>
    <w:p w14:paraId="7AD1039A" w14:textId="77777777" w:rsidR="00E06B31" w:rsidRPr="00B94762" w:rsidRDefault="00E06B31" w:rsidP="00E06B31">
      <w:pPr>
        <w:pStyle w:val="B2"/>
        <w:rPr>
          <w:lang w:eastAsia="zh-CN"/>
        </w:rPr>
      </w:pPr>
      <w:r>
        <w:rPr>
          <w:rFonts w:hint="eastAsia"/>
          <w:lang w:eastAsia="zh-CN"/>
        </w:rPr>
        <w:t>-</w:t>
      </w:r>
      <w:r>
        <w:rPr>
          <w:lang w:eastAsia="zh-CN"/>
        </w:rPr>
        <w:tab/>
        <w:t>the indication of skipping the current FL round</w:t>
      </w:r>
      <w:r w:rsidRPr="007F2767">
        <w:rPr>
          <w:lang w:eastAsia="zh-CN"/>
        </w:rPr>
        <w:t xml:space="preserve"> </w:t>
      </w:r>
      <w:r>
        <w:t>as the "</w:t>
      </w:r>
      <w:r>
        <w:rPr>
          <w:lang w:eastAsia="zh-CN"/>
        </w:rPr>
        <w:t>skipFlInd</w:t>
      </w:r>
      <w:r>
        <w:t>" attribute</w:t>
      </w:r>
      <w:r>
        <w:rPr>
          <w:rFonts w:hint="eastAsia"/>
          <w:lang w:eastAsia="zh-CN"/>
        </w:rPr>
        <w:t>.</w:t>
      </w:r>
    </w:p>
    <w:p w14:paraId="3F843689" w14:textId="77777777" w:rsidR="00A10B25" w:rsidRDefault="00A10B25">
      <w:pPr>
        <w:rPr>
          <w:rFonts w:eastAsia="等线"/>
        </w:rPr>
      </w:pPr>
      <w:r>
        <w:rPr>
          <w:rFonts w:eastAsia="等线"/>
        </w:rPr>
        <w:t xml:space="preserve">Upon the reception of an HTTP POST request with: "{apiRoot}/nnwdaf-mlmodeltraining/&lt;apiVersion&gt;/subscriptions" as Resource URI and NwdafMLModelTrainSubsc data structure as request body, the NWDAF shall </w:t>
      </w:r>
      <w:r>
        <w:t>create a new subscription and store the subscription.</w:t>
      </w:r>
    </w:p>
    <w:p w14:paraId="4E2D0EE5" w14:textId="77777777" w:rsidR="00A10B25" w:rsidRDefault="00A10B25">
      <w:pPr>
        <w:rPr>
          <w:rFonts w:eastAsia="等线"/>
        </w:rPr>
      </w:pPr>
      <w:r>
        <w:rPr>
          <w:rFonts w:eastAsia="等线"/>
        </w:rPr>
        <w:t xml:space="preserve">If the </w:t>
      </w:r>
      <w:r>
        <w:t>NWDAF</w:t>
      </w:r>
      <w:r>
        <w:rPr>
          <w:rFonts w:eastAsia="等线"/>
        </w:rPr>
        <w:t xml:space="preserve"> created an "</w:t>
      </w:r>
      <w:r>
        <w:t>Individual NWDAF ML Model Training Subscription</w:t>
      </w:r>
      <w:r>
        <w:rPr>
          <w:rFonts w:eastAsia="等线"/>
        </w:rPr>
        <w:t xml:space="preserve">" resource, the NWDAF shall respond with "201 Created" with the message body containing a representation of the created subscription, as </w:t>
      </w:r>
      <w:r>
        <w:rPr>
          <w:rFonts w:eastAsia="Batang"/>
        </w:rPr>
        <w:t>shown in figure 4.6.2.2.2-1, step 2</w:t>
      </w:r>
      <w:r>
        <w:rPr>
          <w:rFonts w:eastAsia="等线"/>
        </w:rPr>
        <w:t>. The NWDAF shall include a Location HTTP header field. The Location header field shall contain the URI of the created subscription i.e. "{apiRoot}/nnwdaf-mlmodeltraining/&lt;apiVersion&gt;/subscriptions/{subscriptionId}".</w:t>
      </w:r>
    </w:p>
    <w:p w14:paraId="31A13AF6" w14:textId="77777777" w:rsidR="00640768" w:rsidRDefault="00640768" w:rsidP="00640768">
      <w:pPr>
        <w:rPr>
          <w:rFonts w:eastAsia="等线"/>
        </w:rPr>
      </w:pPr>
      <w:r>
        <w:rPr>
          <w:rFonts w:eastAsia="等线"/>
        </w:rPr>
        <w:t>If the immediate reporting indication in the "immRep" attribute within the "</w:t>
      </w:r>
      <w:r>
        <w:t>eventReq</w:t>
      </w:r>
      <w:r>
        <w:rPr>
          <w:rFonts w:eastAsia="等线"/>
        </w:rPr>
        <w:t xml:space="preserve">" attribute sets to "true" during the event subscription, the NWDAF shall include the reports of the subscribed events, if available, as the </w:t>
      </w:r>
      <w:r>
        <w:t>"immReport"</w:t>
      </w:r>
      <w:r>
        <w:rPr>
          <w:rFonts w:eastAsia="等线"/>
        </w:rPr>
        <w:t xml:space="preserve"> attribute in the HTTP POST response.</w:t>
      </w:r>
    </w:p>
    <w:p w14:paraId="115FCC0F" w14:textId="77777777" w:rsidR="00A10B25" w:rsidRDefault="00A10B25">
      <w:pPr>
        <w:pStyle w:val="NO"/>
        <w:rPr>
          <w:rFonts w:eastAsia="等线"/>
        </w:rPr>
      </w:pPr>
      <w:r>
        <w:rPr>
          <w:rFonts w:eastAsia="等线"/>
        </w:rPr>
        <w:t>NOTE:</w:t>
      </w:r>
      <w:r>
        <w:rPr>
          <w:rFonts w:eastAsia="等线"/>
        </w:rPr>
        <w:tab/>
        <w:t xml:space="preserve">Immediate and one-time reporting can be used in order to implement the Nnwdaf_MLModelTrainingInfo service, which is defined in </w:t>
      </w:r>
      <w:r>
        <w:t>3GPP TS 23.288 [17]</w:t>
      </w:r>
      <w:r>
        <w:rPr>
          <w:rFonts w:eastAsia="等线"/>
        </w:rPr>
        <w:t>.</w:t>
      </w:r>
    </w:p>
    <w:p w14:paraId="23240303" w14:textId="77777777" w:rsidR="00A10B25" w:rsidRDefault="00A10B25">
      <w:pPr>
        <w:rPr>
          <w:lang w:eastAsia="ko-KR"/>
        </w:rPr>
      </w:pPr>
      <w:r>
        <w:rPr>
          <w:rFonts w:eastAsia="等线"/>
        </w:rPr>
        <w:lastRenderedPageBreak/>
        <w:t xml:space="preserve">If </w:t>
      </w:r>
      <w:r>
        <w:rPr>
          <w:lang w:eastAsia="zh-CN"/>
        </w:rPr>
        <w:t>not all the requested events in the subscription are accepted</w:t>
      </w:r>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w:t>
      </w:r>
    </w:p>
    <w:p w14:paraId="37946055" w14:textId="77777777" w:rsidR="00A10B25" w:rsidRDefault="00A10B25">
      <w:pPr>
        <w:rPr>
          <w:lang w:eastAsia="ko-KR"/>
        </w:rPr>
      </w:pPr>
      <w:r>
        <w:rPr>
          <w:rFonts w:eastAsia="等线"/>
        </w:rPr>
        <w:t>If there is no associated ML model training available for all provided "mLEvent" attributes, the NWDAF shall send a "500 Internal Server Error" status code to the NF service consumer</w:t>
      </w:r>
      <w:r>
        <w:t>, including the "cause" attribute set to "</w:t>
      </w:r>
      <w:r>
        <w:rPr>
          <w:lang w:eastAsia="zh-CN"/>
        </w:rPr>
        <w:t>UNAVAILABLE_ML_MODEL_TRAINING_FOR_ALLEVENTS</w:t>
      </w:r>
      <w:r>
        <w:t>"</w:t>
      </w:r>
      <w:r>
        <w:rPr>
          <w:lang w:eastAsia="ko-KR"/>
        </w:rPr>
        <w:t>.</w:t>
      </w:r>
    </w:p>
    <w:p w14:paraId="52407957" w14:textId="77777777" w:rsidR="003E1F9F" w:rsidRPr="00B1632D" w:rsidRDefault="003E1F9F" w:rsidP="003E1F9F">
      <w:pPr>
        <w:rPr>
          <w:lang w:eastAsia="ko-KR"/>
        </w:rPr>
      </w:pPr>
      <w:bookmarkStart w:id="3088" w:name="_Toc148522541"/>
      <w:bookmarkStart w:id="3089" w:name="_Toc138754150"/>
      <w:bookmarkStart w:id="3090" w:name="_Toc145705637"/>
      <w:bookmarkStart w:id="3091" w:name="_Toc136562316"/>
      <w:r w:rsidRPr="00B1632D">
        <w:rPr>
          <w:rFonts w:eastAsia="等线"/>
        </w:rPr>
        <w:t>If there is no ML model training satisfying the requirements listed in "mLModelTrainInfos" attribute or the ML model cannot be downloaded successfully, the NWDAF which contains MTLF shall send a "403 Forbidden" status code to the NF service consumer</w:t>
      </w:r>
      <w:r w:rsidRPr="00B1632D">
        <w:t xml:space="preserve">, and it may </w:t>
      </w:r>
      <w:r>
        <w:t>include also</w:t>
      </w:r>
      <w:r w:rsidRPr="00B1632D">
        <w:t xml:space="preserve"> the corresponding failure reason via a "problemDetails" attribute with the "cause" attribute set to "ML_MODEL_TRAINING_REQS_NOT_MET", "</w:t>
      </w:r>
      <w:r w:rsidRPr="00B1632D">
        <w:rPr>
          <w:lang w:eastAsia="zh-CN"/>
        </w:rPr>
        <w:t>ML_TRAINING_NOT_COMPLETE</w:t>
      </w:r>
      <w:r w:rsidRPr="00B1632D">
        <w:t>", "</w:t>
      </w:r>
      <w:r w:rsidRPr="00B1632D">
        <w:rPr>
          <w:lang w:eastAsia="zh-CN"/>
        </w:rPr>
        <w:t>OVERLOAD</w:t>
      </w:r>
      <w:r w:rsidRPr="00B1632D">
        <w:t>", or "</w:t>
      </w:r>
      <w:r w:rsidRPr="00B1632D">
        <w:rPr>
          <w:lang w:eastAsia="zh-CN"/>
        </w:rPr>
        <w:t>NOT_AVAILABLE_FOR_FL_PROCESS_ANYMORE</w:t>
      </w:r>
      <w:r w:rsidRPr="00B1632D">
        <w:t>"</w:t>
      </w:r>
      <w:r w:rsidRPr="00B1632D">
        <w:rPr>
          <w:lang w:eastAsia="ko-KR"/>
        </w:rPr>
        <w:t>.</w:t>
      </w:r>
    </w:p>
    <w:p w14:paraId="0E7BDDFE" w14:textId="77777777" w:rsidR="00A10B25" w:rsidRDefault="00A10B25">
      <w:pPr>
        <w:rPr>
          <w:rFonts w:eastAsia="等线"/>
          <w:lang w:eastAsia="zh-CN"/>
        </w:rPr>
      </w:pPr>
      <w:r>
        <w:rPr>
          <w:rFonts w:eastAsia="等线"/>
        </w:rPr>
        <w:t>If other errors occur when processing the HTTP POST request, the NWDAF shall send an HTTP error response as specified in clause 5.5.7</w:t>
      </w:r>
      <w:r>
        <w:rPr>
          <w:rFonts w:eastAsia="等线"/>
          <w:lang w:eastAsia="zh-CN"/>
        </w:rPr>
        <w:t>.</w:t>
      </w:r>
    </w:p>
    <w:p w14:paraId="41001584" w14:textId="77777777" w:rsidR="00A10B25" w:rsidRDefault="00A10B25">
      <w:pPr>
        <w:pStyle w:val="5"/>
      </w:pPr>
      <w:bookmarkStart w:id="3092" w:name="_Toc164920665"/>
      <w:bookmarkStart w:id="3093" w:name="_Toc170120207"/>
      <w:bookmarkStart w:id="3094" w:name="_Toc175858452"/>
      <w:bookmarkStart w:id="3095" w:name="_Toc175859525"/>
      <w:bookmarkStart w:id="3096" w:name="_Toc180605815"/>
      <w:bookmarkStart w:id="3097" w:name="_Toc185517069"/>
      <w:bookmarkStart w:id="3098" w:name="_Toc191576120"/>
      <w:bookmarkStart w:id="3099" w:name="_Toc191576860"/>
      <w:bookmarkStart w:id="3100" w:name="_Toc192879930"/>
      <w:bookmarkStart w:id="3101" w:name="_Toc195814813"/>
      <w:bookmarkStart w:id="3102" w:name="_Toc199452760"/>
      <w:r>
        <w:t>4.6.2.2.3</w:t>
      </w:r>
      <w:r>
        <w:tab/>
        <w:t>Update subscription for event notifications</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3B46444B" w14:textId="77777777" w:rsidR="00A10B25" w:rsidRDefault="00A10B25">
      <w:r>
        <w:t>Figure 4.6.2.2.3-1 shows a scenario that the NF service consumer sends an HTTP PUT request to the NWDAF to modify an existing subscription (as shown in 3GPP TS 23.288 [17]).</w:t>
      </w:r>
    </w:p>
    <w:p w14:paraId="11B6B4D6" w14:textId="77777777" w:rsidR="00A10B25" w:rsidRDefault="00A10B25">
      <w:pPr>
        <w:pStyle w:val="TH"/>
      </w:pPr>
      <w:r>
        <w:rPr>
          <w:lang w:val="en-US" w:eastAsia="zh-CN"/>
        </w:rPr>
        <w:object w:dxaOrig="8880" w:dyaOrig="2803" w14:anchorId="23F56423">
          <v:shape id="Object 50" o:spid="_x0000_i1066" type="#_x0000_t75" style="width:6in;height:136.5pt;mso-position-horizontal-relative:page;mso-position-vertical-relative:page" o:ole="">
            <v:imagedata r:id="rId51" o:title=""/>
          </v:shape>
          <o:OLEObject Type="Embed" ProgID="Visio.Drawing.15" ShapeID="Object 50" DrawAspect="Content" ObjectID="_1810066006" r:id="rId59"/>
        </w:object>
      </w:r>
    </w:p>
    <w:p w14:paraId="29442313" w14:textId="77777777" w:rsidR="00A10B25" w:rsidRDefault="00A10B25">
      <w:pPr>
        <w:pStyle w:val="TF"/>
      </w:pPr>
      <w:r>
        <w:t>Figure 4.6.2.2.3-1: Modification of events subscription information using HTTP PUT</w:t>
      </w:r>
    </w:p>
    <w:p w14:paraId="3602659F" w14:textId="77777777" w:rsidR="00A10B25" w:rsidRDefault="00A10B25">
      <w:pPr>
        <w:rPr>
          <w:rFonts w:eastAsia="等线"/>
        </w:rPr>
      </w:pPr>
      <w:r>
        <w:rPr>
          <w:rFonts w:eastAsia="等线"/>
        </w:rPr>
        <w:t>The NF service consumer shall invoke the Nnwdaf_</w:t>
      </w:r>
      <w:r>
        <w:rPr>
          <w:lang w:eastAsia="ja-JP"/>
        </w:rPr>
        <w:t>MLModelTraining</w:t>
      </w:r>
      <w:r>
        <w:rPr>
          <w:rFonts w:eastAsia="等线"/>
        </w:rPr>
        <w:t xml:space="preserve">_Subscribe service operation to </w:t>
      </w:r>
      <w:r>
        <w:t xml:space="preserve">modify an existing </w:t>
      </w:r>
      <w:r>
        <w:rPr>
          <w:lang w:eastAsia="ko-KR"/>
        </w:rPr>
        <w:t>ML Model</w:t>
      </w:r>
      <w:r>
        <w:t xml:space="preserve"> Training subscription</w:t>
      </w:r>
      <w:r>
        <w:rPr>
          <w:rFonts w:eastAsia="等线"/>
        </w:rPr>
        <w:t>. The NF service consumer shall send an HTTP PUT request with: "{apiRoot}/nnwdaf-</w:t>
      </w:r>
      <w:r>
        <w:t>mlmodeltraining</w:t>
      </w:r>
      <w:r>
        <w:rPr>
          <w:rFonts w:eastAsia="等线"/>
        </w:rPr>
        <w:t xml:space="preserve">/&lt;apiVersion&gt;/subscriptions/{subscriptionId}" as Resource URI, where "{subscriptionId}" is the event subscriptionId of the existing subscription to be modified, to update an "Individual </w:t>
      </w:r>
      <w:r>
        <w:t>NWDAF ML Model Training</w:t>
      </w:r>
      <w:r>
        <w:rPr>
          <w:rFonts w:eastAsia="等线"/>
        </w:rPr>
        <w:t xml:space="preserve"> Subscription" according to the information in the message body.</w:t>
      </w:r>
      <w:r>
        <w:rPr>
          <w:rFonts w:eastAsia="等线" w:hint="eastAsia"/>
          <w:lang w:eastAsia="zh-CN"/>
        </w:rPr>
        <w:t xml:space="preserve"> </w:t>
      </w:r>
      <w:r>
        <w:rPr>
          <w:rFonts w:eastAsia="等线"/>
        </w:rPr>
        <w:t xml:space="preserve">The NwdafMLModelTrainSubsc data structure </w:t>
      </w:r>
      <w:r>
        <w:t>provided in the request body shall include the same contents as described in clause 4.6.2.2.2.</w:t>
      </w:r>
    </w:p>
    <w:p w14:paraId="150156D0" w14:textId="77777777" w:rsidR="00A10B25" w:rsidRDefault="00A10B25">
      <w:pPr>
        <w:rPr>
          <w:rFonts w:eastAsia="等线"/>
        </w:rPr>
      </w:pPr>
      <w:r>
        <w:rPr>
          <w:rFonts w:eastAsia="等线"/>
        </w:rPr>
        <w:t xml:space="preserve">Upon </w:t>
      </w:r>
      <w:r>
        <w:t xml:space="preserve">receipt </w:t>
      </w:r>
      <w:r>
        <w:rPr>
          <w:rFonts w:eastAsia="等线"/>
        </w:rPr>
        <w:t>of an HTTP PUT request with: "{apiRoot}/nnwdaf-</w:t>
      </w:r>
      <w:r>
        <w:t>mlmodeltraining</w:t>
      </w:r>
      <w:r>
        <w:rPr>
          <w:rFonts w:eastAsia="等线"/>
        </w:rPr>
        <w:t>/&lt;apiVersion&gt;/subscriptions/{subscriptionId}" as Resource URI and NwdafMLModelTrainSubsc data type as request body, if the request is successfully processed and accepted, the NWDAF shall:</w:t>
      </w:r>
    </w:p>
    <w:p w14:paraId="6F6C1911" w14:textId="77777777" w:rsidR="00A10B25" w:rsidRDefault="00A10B25">
      <w:pPr>
        <w:pStyle w:val="B1"/>
      </w:pPr>
      <w:r>
        <w:rPr>
          <w:lang w:val="en-US" w:eastAsia="zh-CN"/>
        </w:rPr>
        <w:t>-</w:t>
      </w:r>
      <w:r>
        <w:rPr>
          <w:lang w:val="en-US" w:eastAsia="zh-CN"/>
        </w:rPr>
        <w:tab/>
      </w:r>
      <w:r>
        <w:t xml:space="preserve">modify the </w:t>
      </w:r>
      <w:r>
        <w:rPr>
          <w:lang w:val="en-US" w:eastAsia="zh-CN"/>
        </w:rPr>
        <w:t xml:space="preserve">concerned </w:t>
      </w:r>
      <w:r>
        <w:t>subscription; and</w:t>
      </w:r>
    </w:p>
    <w:p w14:paraId="210A8129" w14:textId="77777777" w:rsidR="00A10B25" w:rsidRDefault="00A10B25">
      <w:pPr>
        <w:pStyle w:val="B1"/>
      </w:pPr>
      <w:r>
        <w:rPr>
          <w:lang w:val="en-US" w:eastAsia="zh-CN"/>
        </w:rPr>
        <w:t>-</w:t>
      </w:r>
      <w:r>
        <w:rPr>
          <w:lang w:val="en-US" w:eastAsia="zh-CN"/>
        </w:rPr>
        <w:tab/>
      </w:r>
      <w:r>
        <w:t>store the subscription.</w:t>
      </w:r>
    </w:p>
    <w:p w14:paraId="2B09CF99" w14:textId="77777777" w:rsidR="00A10B25" w:rsidRDefault="00A10B25">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w:t>
      </w:r>
      <w:r>
        <w:t>NWDAF ML Model Training</w:t>
      </w:r>
      <w:r>
        <w:rPr>
          <w:rFonts w:eastAsia="等线"/>
        </w:rPr>
        <w:t xml:space="preserve"> Subscription" resource, and shall respond with:</w:t>
      </w:r>
    </w:p>
    <w:p w14:paraId="326DE1EC" w14:textId="77777777" w:rsidR="00A10B25" w:rsidRDefault="00A10B25">
      <w:pPr>
        <w:pStyle w:val="B1"/>
      </w:pPr>
      <w:r>
        <w:rPr>
          <w:lang w:val="en-US" w:eastAsia="zh-CN"/>
        </w:rPr>
        <w:t>-</w:t>
      </w:r>
      <w:r>
        <w:rPr>
          <w:lang w:val="en-US" w:eastAsia="zh-CN"/>
        </w:rPr>
        <w:tab/>
      </w:r>
      <w:r>
        <w:t>HTTP "204 No Content" response (as shown in figure 4.6.2.2.3-1, step 2a); or</w:t>
      </w:r>
    </w:p>
    <w:p w14:paraId="3C80DD32" w14:textId="77777777" w:rsidR="00A10B25" w:rsidRDefault="00A10B25">
      <w:pPr>
        <w:pStyle w:val="B1"/>
      </w:pPr>
      <w:r>
        <w:rPr>
          <w:lang w:val="en-US" w:eastAsia="zh-CN"/>
        </w:rPr>
        <w:t>-</w:t>
      </w:r>
      <w:r>
        <w:rPr>
          <w:lang w:val="en-US" w:eastAsia="zh-CN"/>
        </w:rPr>
        <w:tab/>
      </w:r>
      <w:r>
        <w:t xml:space="preserve">HTTP "200 OK" response (as shown in figure 4.6.2.2.3-1, step 2b) </w:t>
      </w:r>
      <w:r>
        <w:rPr>
          <w:lang w:val="en-US" w:eastAsia="zh-CN"/>
        </w:rPr>
        <w:t xml:space="preserve">with a response body containing a representation of the updated subscription in the </w:t>
      </w:r>
      <w:r>
        <w:rPr>
          <w:rFonts w:eastAsia="等线"/>
        </w:rPr>
        <w:t>NwdafMLModelTrainSubsc</w:t>
      </w:r>
      <w:r>
        <w:rPr>
          <w:lang w:val="en-US" w:eastAsia="zh-CN"/>
        </w:rPr>
        <w:t xml:space="preserve"> data</w:t>
      </w:r>
      <w:r>
        <w:t xml:space="preserve"> type.</w:t>
      </w:r>
    </w:p>
    <w:p w14:paraId="36B2A56D" w14:textId="77777777" w:rsidR="00A10B25" w:rsidRDefault="00A10B25">
      <w:pPr>
        <w:rPr>
          <w:rFonts w:eastAsia="等线"/>
        </w:rPr>
      </w:pPr>
      <w:r>
        <w:rPr>
          <w:rFonts w:eastAsia="等线"/>
        </w:rPr>
        <w:t xml:space="preserve">If </w:t>
      </w:r>
      <w:r>
        <w:rPr>
          <w:lang w:eastAsia="zh-CN"/>
        </w:rPr>
        <w:t>not all the requested events in the subscription are modified successfully</w:t>
      </w:r>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w:t>
      </w:r>
    </w:p>
    <w:p w14:paraId="7E810D67" w14:textId="77777777" w:rsidR="00640768" w:rsidRDefault="00640768" w:rsidP="00640768">
      <w:pPr>
        <w:rPr>
          <w:rFonts w:eastAsia="等线"/>
        </w:rPr>
      </w:pPr>
      <w:r>
        <w:rPr>
          <w:rFonts w:eastAsia="等线"/>
        </w:rPr>
        <w:t>If the immediate reporting indication in the "immRep" attribute within the "</w:t>
      </w:r>
      <w:r>
        <w:t>eventReq</w:t>
      </w:r>
      <w:r>
        <w:rPr>
          <w:rFonts w:eastAsia="等线"/>
        </w:rPr>
        <w:t xml:space="preserve">" attribute sets to "true" during the event subscription update, the NWDAF shall include the reports of the subscribed events, if available, as the </w:t>
      </w:r>
      <w:r>
        <w:t>"immReport"</w:t>
      </w:r>
      <w:r>
        <w:rPr>
          <w:rFonts w:eastAsia="等线"/>
        </w:rPr>
        <w:t xml:space="preserve"> attribute in the HTTP PUT response.</w:t>
      </w:r>
    </w:p>
    <w:p w14:paraId="37EC1B35" w14:textId="77777777" w:rsidR="00A10B25" w:rsidRDefault="00A10B25">
      <w:pPr>
        <w:pStyle w:val="NO"/>
        <w:rPr>
          <w:rFonts w:eastAsia="等线"/>
        </w:rPr>
      </w:pPr>
      <w:r>
        <w:rPr>
          <w:rFonts w:eastAsia="等线"/>
        </w:rPr>
        <w:lastRenderedPageBreak/>
        <w:t>NOTE:</w:t>
      </w:r>
      <w:r>
        <w:rPr>
          <w:rFonts w:eastAsia="等线"/>
        </w:rPr>
        <w:tab/>
        <w:t xml:space="preserve">Immediate and one-time reporting can be used in order to implement the Nnwdaf_MLModelTrainingInfo service, which is defined in </w:t>
      </w:r>
      <w:r>
        <w:t>3GPP TS 23.288 [17]</w:t>
      </w:r>
      <w:r>
        <w:rPr>
          <w:rFonts w:eastAsia="等线"/>
        </w:rPr>
        <w:t>.</w:t>
      </w:r>
    </w:p>
    <w:p w14:paraId="77DCA494" w14:textId="77777777" w:rsidR="003E1F9F" w:rsidRDefault="00A10B25" w:rsidP="003E1F9F">
      <w:pPr>
        <w:rPr>
          <w:lang w:eastAsia="ko-KR"/>
        </w:rPr>
      </w:pPr>
      <w:r>
        <w:rPr>
          <w:rFonts w:eastAsia="等线"/>
        </w:rPr>
        <w:t>If there is no associated ML model training available for all provided "mLEvent" attributes, the NWDAF shall send a "500 Internal Server Error" status code to the NF service consumer,</w:t>
      </w:r>
      <w:r>
        <w:t xml:space="preserve"> including the "cause" attribute set to "</w:t>
      </w:r>
      <w:r>
        <w:rPr>
          <w:lang w:eastAsia="zh-CN"/>
        </w:rPr>
        <w:t>UNAVAILABLE_ML_MODEL_TRAINING_FOR_ALLEVENTS</w:t>
      </w:r>
      <w:r>
        <w:t>"</w:t>
      </w:r>
      <w:r>
        <w:rPr>
          <w:lang w:eastAsia="ko-KR"/>
        </w:rPr>
        <w:t>.</w:t>
      </w:r>
    </w:p>
    <w:p w14:paraId="66A2CA48" w14:textId="77777777" w:rsidR="00A10B25" w:rsidRDefault="003E1F9F" w:rsidP="003E1F9F">
      <w:pPr>
        <w:rPr>
          <w:lang w:eastAsia="ko-KR"/>
        </w:rPr>
      </w:pPr>
      <w:r w:rsidRPr="00B1632D">
        <w:rPr>
          <w:rFonts w:eastAsia="等线"/>
        </w:rPr>
        <w:t>If there is no ML model training satisfying the requirements listed in "mLModelTrainInfos" attribute or the ML model cannot be downloaded successfully, the NWDAF which contains MTLF shall send a "403 Forbidden" status code to the NF service consumer</w:t>
      </w:r>
      <w:r w:rsidRPr="00B1632D">
        <w:t xml:space="preserve">, and it may </w:t>
      </w:r>
      <w:r>
        <w:t>include also</w:t>
      </w:r>
      <w:r w:rsidRPr="00B1632D">
        <w:t xml:space="preserve"> the corresponding failure reason via a "problemDetails" attribute with the "cause" attribute set to "ML_MODEL_TRAINING_REQS_NOT_MET", "</w:t>
      </w:r>
      <w:r w:rsidRPr="00B1632D">
        <w:rPr>
          <w:lang w:eastAsia="zh-CN"/>
        </w:rPr>
        <w:t>ML_TRAINING_NOT_COMPLETE</w:t>
      </w:r>
      <w:r w:rsidRPr="00B1632D">
        <w:t>", "</w:t>
      </w:r>
      <w:r w:rsidRPr="00B1632D">
        <w:rPr>
          <w:lang w:eastAsia="zh-CN"/>
        </w:rPr>
        <w:t>OVERLOAD</w:t>
      </w:r>
      <w:r w:rsidRPr="00B1632D">
        <w:t>", or "</w:t>
      </w:r>
      <w:r w:rsidRPr="00B1632D">
        <w:rPr>
          <w:lang w:eastAsia="zh-CN"/>
        </w:rPr>
        <w:t>NOT_AVAILABLE_FOR_FL_PROCESS_ANYMORE</w:t>
      </w:r>
      <w:r w:rsidRPr="00B1632D">
        <w:t>"</w:t>
      </w:r>
      <w:r w:rsidRPr="00B1632D">
        <w:rPr>
          <w:lang w:eastAsia="ko-KR"/>
        </w:rPr>
        <w:t>.</w:t>
      </w:r>
    </w:p>
    <w:p w14:paraId="0E372A90" w14:textId="77777777" w:rsidR="00A10B25" w:rsidRDefault="00A10B25">
      <w:pPr>
        <w:rPr>
          <w:lang w:val="en-US" w:eastAsia="zh-CN"/>
        </w:rPr>
      </w:pPr>
      <w:r>
        <w:rPr>
          <w:lang w:val="en-US" w:eastAsia="zh-CN"/>
        </w:rPr>
        <w:t xml:space="preserve">If other errors occur when processing the HTTP PUT request, the </w:t>
      </w:r>
      <w:r>
        <w:rPr>
          <w:rFonts w:eastAsia="等线"/>
        </w:rPr>
        <w:t xml:space="preserve">NWDAF </w:t>
      </w:r>
      <w:r>
        <w:rPr>
          <w:lang w:val="en-US" w:eastAsia="zh-CN"/>
        </w:rPr>
        <w:t>shall send an HTTP error response as specified in clause 5.5.7.</w:t>
      </w:r>
    </w:p>
    <w:p w14:paraId="75689A32" w14:textId="77777777" w:rsidR="00A10B25" w:rsidRDefault="00A10B25">
      <w:pPr>
        <w:rPr>
          <w:lang w:val="en-US" w:eastAsia="zh-CN"/>
        </w:rPr>
      </w:pPr>
      <w:r>
        <w:rPr>
          <w:lang w:val="en-US" w:eastAsia="zh-CN"/>
        </w:rPr>
        <w:t xml:space="preserve">If the </w:t>
      </w:r>
      <w:r>
        <w:rPr>
          <w:rFonts w:eastAsia="等线"/>
        </w:rPr>
        <w:t xml:space="preserve">NWDAF </w:t>
      </w:r>
      <w:r>
        <w:rPr>
          <w:lang w:val="en-US" w:eastAsia="zh-CN"/>
        </w:rPr>
        <w:t xml:space="preserve">determines that the received HTTP PUT request needs to be redirected, </w:t>
      </w:r>
      <w:r>
        <w:t>the NWDAF</w:t>
      </w:r>
      <w:r>
        <w:rPr>
          <w:lang w:val="en-US" w:eastAsia="zh-CN"/>
        </w:rPr>
        <w:t xml:space="preserve"> shall send an HTTP redirect response as specified in clause 6.10.9 of</w:t>
      </w:r>
      <w:r>
        <w:rPr>
          <w:lang w:eastAsia="zh-CN"/>
        </w:rPr>
        <w:t xml:space="preserve"> </w:t>
      </w:r>
      <w:r>
        <w:rPr>
          <w:lang w:val="en-US"/>
        </w:rPr>
        <w:t>3GPP TS 29.500 [6]</w:t>
      </w:r>
      <w:r>
        <w:rPr>
          <w:lang w:val="en-US" w:eastAsia="zh-CN"/>
        </w:rPr>
        <w:t>.</w:t>
      </w:r>
    </w:p>
    <w:p w14:paraId="48F05FBB" w14:textId="77777777" w:rsidR="00A10B25" w:rsidRDefault="00A10B25">
      <w:pPr>
        <w:pStyle w:val="5"/>
      </w:pPr>
      <w:bookmarkStart w:id="3103" w:name="_Toc145705638"/>
      <w:bookmarkStart w:id="3104" w:name="_Toc138754151"/>
      <w:bookmarkStart w:id="3105" w:name="_Toc136562317"/>
      <w:bookmarkStart w:id="3106" w:name="_Toc148522542"/>
      <w:bookmarkStart w:id="3107" w:name="_Toc164920666"/>
      <w:bookmarkStart w:id="3108" w:name="_Toc170120208"/>
      <w:bookmarkStart w:id="3109" w:name="_Toc175858453"/>
      <w:bookmarkStart w:id="3110" w:name="_Toc175859526"/>
      <w:bookmarkStart w:id="3111" w:name="_Toc180605816"/>
      <w:bookmarkStart w:id="3112" w:name="_Toc185517070"/>
      <w:bookmarkStart w:id="3113" w:name="_Toc191576121"/>
      <w:bookmarkStart w:id="3114" w:name="_Toc191576861"/>
      <w:bookmarkStart w:id="3115" w:name="_Toc192879931"/>
      <w:bookmarkStart w:id="3116" w:name="_Toc195814814"/>
      <w:bookmarkStart w:id="3117" w:name="_Toc199452761"/>
      <w:r>
        <w:t>4.6.2.2.4</w:t>
      </w:r>
      <w:r>
        <w:tab/>
        <w:t>Partial update subscription for event notifications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4895749B" w14:textId="77777777" w:rsidR="00A10B25" w:rsidRDefault="00A10B25">
      <w:r>
        <w:t>Figure 4.6.2.2.4-1 shows a scenario that the NF service consumer sends an HTTP PATCH request to the NWDAF to partial modify an existing subscription (as shown in 3GPP TS 23.288 [17]).</w:t>
      </w:r>
    </w:p>
    <w:p w14:paraId="28A738D3" w14:textId="77777777" w:rsidR="00A10B25" w:rsidRDefault="00A10B25">
      <w:pPr>
        <w:pStyle w:val="TH"/>
      </w:pPr>
      <w:r>
        <w:rPr>
          <w:lang w:val="en-US" w:eastAsia="zh-CN"/>
        </w:rPr>
        <w:object w:dxaOrig="7843" w:dyaOrig="2489" w14:anchorId="180F612B">
          <v:shape id="Object 51" o:spid="_x0000_i1067" type="#_x0000_t75" style="width:6in;height:137.75pt;mso-position-horizontal-relative:page;mso-position-vertical-relative:page" o:ole="">
            <v:imagedata r:id="rId60" o:title=""/>
          </v:shape>
          <o:OLEObject Type="Embed" ProgID="Visio.Drawing.15" ShapeID="Object 51" DrawAspect="Content" ObjectID="_1810066007" r:id="rId61"/>
        </w:object>
      </w:r>
    </w:p>
    <w:p w14:paraId="323BBA50" w14:textId="77777777" w:rsidR="00A10B25" w:rsidRDefault="00A10B25">
      <w:pPr>
        <w:pStyle w:val="TF"/>
      </w:pPr>
      <w:r>
        <w:t>Figure 4.6.2.2.4-1: Partial modification of events subscription information using HTTP PATCH</w:t>
      </w:r>
    </w:p>
    <w:p w14:paraId="386769BA" w14:textId="77777777" w:rsidR="00A10B25" w:rsidRDefault="00A10B25">
      <w:pPr>
        <w:rPr>
          <w:rFonts w:eastAsia="等线"/>
        </w:rPr>
      </w:pPr>
      <w:r>
        <w:rPr>
          <w:rFonts w:eastAsia="等线"/>
        </w:rPr>
        <w:t>The NF service consumer shall invoke the Nnwdaf_</w:t>
      </w:r>
      <w:r>
        <w:rPr>
          <w:lang w:eastAsia="ja-JP"/>
        </w:rPr>
        <w:t>MLModelTraining</w:t>
      </w:r>
      <w:r>
        <w:rPr>
          <w:rFonts w:eastAsia="等线"/>
        </w:rPr>
        <w:t xml:space="preserve">_Subscribe service operation to partial </w:t>
      </w:r>
      <w:r>
        <w:t xml:space="preserve">modify an existing </w:t>
      </w:r>
      <w:r>
        <w:rPr>
          <w:lang w:eastAsia="ko-KR"/>
        </w:rPr>
        <w:t>ML Model</w:t>
      </w:r>
      <w:r>
        <w:t xml:space="preserve"> Training subscription</w:t>
      </w:r>
      <w:r>
        <w:rPr>
          <w:rFonts w:eastAsia="等线"/>
        </w:rPr>
        <w:t>. The NF service consumer shall send an HTTP PATCH request with: "{apiRoot}/nnwdaf-</w:t>
      </w:r>
      <w:r>
        <w:t>mlmodeltraining</w:t>
      </w:r>
      <w:r>
        <w:rPr>
          <w:rFonts w:eastAsia="等线"/>
        </w:rPr>
        <w:t xml:space="preserve">/&lt;apiVersion&gt;/subscriptions/{subscriptionId}" as Resource URI, where "{subscriptionId}" is the event subscriptionId of the existing subscription to be modified, to update an "Individual </w:t>
      </w:r>
      <w:r>
        <w:t>NWDAF ML Model Training</w:t>
      </w:r>
      <w:r>
        <w:rPr>
          <w:rFonts w:eastAsia="等线"/>
        </w:rPr>
        <w:t xml:space="preserve"> Subscription" according to the information in the message body.</w:t>
      </w:r>
    </w:p>
    <w:p w14:paraId="724FD62A" w14:textId="77777777" w:rsidR="00A10B25" w:rsidRDefault="00A10B25">
      <w:pPr>
        <w:rPr>
          <w:rFonts w:eastAsia="等线"/>
        </w:rPr>
      </w:pPr>
      <w:r>
        <w:rPr>
          <w:rFonts w:eastAsia="等线"/>
        </w:rPr>
        <w:t xml:space="preserve">Upon </w:t>
      </w:r>
      <w:r>
        <w:t xml:space="preserve">receipt </w:t>
      </w:r>
      <w:r>
        <w:rPr>
          <w:rFonts w:eastAsia="等线"/>
        </w:rPr>
        <w:t>of an HTTP PATCH request with: "{apiRoot}/nnwdaf-</w:t>
      </w:r>
      <w:r>
        <w:t>mlmodeltraining</w:t>
      </w:r>
      <w:r>
        <w:rPr>
          <w:rFonts w:eastAsia="等线"/>
        </w:rPr>
        <w:t>/&lt;apiVersion&gt;/subscriptions/{subscriptionId}" as Resource URI and NwdafMLModelTrainSubscPatch data type as request body, if the request is successfully processed and accepted, the NWDAF shall:</w:t>
      </w:r>
    </w:p>
    <w:p w14:paraId="7BD8020A" w14:textId="77777777" w:rsidR="00A10B25" w:rsidRDefault="00A10B25">
      <w:pPr>
        <w:pStyle w:val="B1"/>
      </w:pPr>
      <w:r>
        <w:rPr>
          <w:lang w:val="en-US" w:eastAsia="zh-CN"/>
        </w:rPr>
        <w:t>-</w:t>
      </w:r>
      <w:r>
        <w:rPr>
          <w:lang w:val="en-US" w:eastAsia="zh-CN"/>
        </w:rPr>
        <w:tab/>
        <w:t xml:space="preserve">partial </w:t>
      </w:r>
      <w:r>
        <w:t xml:space="preserve">modify the </w:t>
      </w:r>
      <w:r>
        <w:rPr>
          <w:lang w:val="en-US" w:eastAsia="zh-CN"/>
        </w:rPr>
        <w:t xml:space="preserve">concerned </w:t>
      </w:r>
      <w:r>
        <w:t>subscription; and</w:t>
      </w:r>
    </w:p>
    <w:p w14:paraId="28D33258" w14:textId="77777777" w:rsidR="00A10B25" w:rsidRDefault="00A10B25">
      <w:pPr>
        <w:pStyle w:val="B1"/>
      </w:pPr>
      <w:r>
        <w:rPr>
          <w:lang w:val="en-US" w:eastAsia="zh-CN"/>
        </w:rPr>
        <w:t>-</w:t>
      </w:r>
      <w:r>
        <w:rPr>
          <w:lang w:val="en-US" w:eastAsia="zh-CN"/>
        </w:rPr>
        <w:tab/>
      </w:r>
      <w:r>
        <w:t>store the subscription.</w:t>
      </w:r>
    </w:p>
    <w:p w14:paraId="493F256C" w14:textId="77777777" w:rsidR="00A10B25" w:rsidRDefault="00A10B25">
      <w:pPr>
        <w:rPr>
          <w:rFonts w:eastAsia="等线"/>
        </w:rPr>
      </w:pPr>
      <w:r>
        <w:rPr>
          <w:rFonts w:eastAsia="等线"/>
        </w:rPr>
        <w:t xml:space="preserve">If the NWDAF successfully processed and accepted the received HTTP PATCH request, the </w:t>
      </w:r>
      <w:r>
        <w:t>NWDAF</w:t>
      </w:r>
      <w:r>
        <w:rPr>
          <w:rFonts w:eastAsia="等线"/>
        </w:rPr>
        <w:t xml:space="preserve"> shall partial update an "Individual </w:t>
      </w:r>
      <w:r>
        <w:t>NWDAF ML Model Training</w:t>
      </w:r>
      <w:r>
        <w:rPr>
          <w:rFonts w:eastAsia="等线"/>
        </w:rPr>
        <w:t xml:space="preserve"> Subscription" resource, and shall respond with:</w:t>
      </w:r>
    </w:p>
    <w:p w14:paraId="168B76B4" w14:textId="77777777" w:rsidR="00A10B25" w:rsidRDefault="00A10B25">
      <w:pPr>
        <w:pStyle w:val="B1"/>
      </w:pPr>
      <w:r>
        <w:rPr>
          <w:lang w:val="en-US" w:eastAsia="zh-CN"/>
        </w:rPr>
        <w:t>-</w:t>
      </w:r>
      <w:r>
        <w:rPr>
          <w:lang w:val="en-US" w:eastAsia="zh-CN"/>
        </w:rPr>
        <w:tab/>
      </w:r>
      <w:r>
        <w:t>HTTP "204 No Content" response (as shown in figure 4.6.2.2.4-1, step 2a); or</w:t>
      </w:r>
    </w:p>
    <w:p w14:paraId="7F55A264" w14:textId="77777777" w:rsidR="00A10B25" w:rsidRDefault="00A10B25">
      <w:pPr>
        <w:pStyle w:val="B1"/>
      </w:pPr>
      <w:r>
        <w:rPr>
          <w:lang w:val="en-US" w:eastAsia="zh-CN"/>
        </w:rPr>
        <w:t>-</w:t>
      </w:r>
      <w:r>
        <w:rPr>
          <w:lang w:val="en-US" w:eastAsia="zh-CN"/>
        </w:rPr>
        <w:tab/>
      </w:r>
      <w:r>
        <w:t xml:space="preserve">HTTP "200 OK" response (as shown in figure 4.6.2.2.4-1, step 2b) </w:t>
      </w:r>
      <w:r>
        <w:rPr>
          <w:lang w:val="en-US" w:eastAsia="zh-CN"/>
        </w:rPr>
        <w:t xml:space="preserve">with a response body containing a representation of the updated subscription in the </w:t>
      </w:r>
      <w:r>
        <w:rPr>
          <w:rFonts w:eastAsia="等线"/>
        </w:rPr>
        <w:t>NwdafMLModelTrainSubsc</w:t>
      </w:r>
      <w:r>
        <w:rPr>
          <w:lang w:val="en-US" w:eastAsia="zh-CN"/>
        </w:rPr>
        <w:t xml:space="preserve"> data</w:t>
      </w:r>
      <w:r>
        <w:t xml:space="preserve"> type.</w:t>
      </w:r>
    </w:p>
    <w:p w14:paraId="1343CFB7" w14:textId="77777777" w:rsidR="00A10B25" w:rsidRDefault="00A10B25">
      <w:pPr>
        <w:rPr>
          <w:rFonts w:eastAsia="等线"/>
        </w:rPr>
      </w:pPr>
      <w:r>
        <w:rPr>
          <w:rFonts w:eastAsia="等线"/>
        </w:rPr>
        <w:t xml:space="preserve">If </w:t>
      </w:r>
      <w:r>
        <w:rPr>
          <w:lang w:eastAsia="zh-CN"/>
        </w:rPr>
        <w:t>not all the requested events in the subscription are modified successfully</w:t>
      </w:r>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w:t>
      </w:r>
    </w:p>
    <w:p w14:paraId="2B845CD9" w14:textId="77777777" w:rsidR="00640768" w:rsidRDefault="00640768" w:rsidP="00640768">
      <w:pPr>
        <w:rPr>
          <w:rFonts w:eastAsia="等线"/>
        </w:rPr>
      </w:pPr>
      <w:r>
        <w:rPr>
          <w:rFonts w:eastAsia="等线"/>
        </w:rPr>
        <w:lastRenderedPageBreak/>
        <w:t>If the immediate reporting indication in the "immRep" attribute within the "</w:t>
      </w:r>
      <w:r>
        <w:t>eventReq</w:t>
      </w:r>
      <w:r>
        <w:rPr>
          <w:rFonts w:eastAsia="等线"/>
        </w:rPr>
        <w:t xml:space="preserve">" attribute sets to "true" during the event subscription update, the NWDAF shall include the reports of the subscribed events, if available, as the </w:t>
      </w:r>
      <w:r>
        <w:t>"immReport"</w:t>
      </w:r>
      <w:r>
        <w:rPr>
          <w:rFonts w:eastAsia="等线"/>
        </w:rPr>
        <w:t xml:space="preserve"> attribute in the HTTP </w:t>
      </w:r>
      <w:r>
        <w:rPr>
          <w:lang w:val="en-US" w:eastAsia="zh-CN"/>
        </w:rPr>
        <w:t>PATCH</w:t>
      </w:r>
      <w:r>
        <w:rPr>
          <w:rFonts w:eastAsia="等线"/>
        </w:rPr>
        <w:t xml:space="preserve"> response.</w:t>
      </w:r>
    </w:p>
    <w:p w14:paraId="0FEAC19C" w14:textId="77777777" w:rsidR="00A10B25" w:rsidRDefault="00A10B25">
      <w:pPr>
        <w:pStyle w:val="NO"/>
        <w:rPr>
          <w:rFonts w:eastAsia="等线"/>
        </w:rPr>
      </w:pPr>
      <w:r>
        <w:rPr>
          <w:rFonts w:eastAsia="等线"/>
        </w:rPr>
        <w:t>NOTE:</w:t>
      </w:r>
      <w:r>
        <w:rPr>
          <w:rFonts w:eastAsia="等线"/>
        </w:rPr>
        <w:tab/>
        <w:t xml:space="preserve">Immediate and one-time reporting can be used in order to implement the Nnwdaf_MLModelTrainingInfo service, which is defined in </w:t>
      </w:r>
      <w:r>
        <w:t>3GPP TS 23.288 [17]</w:t>
      </w:r>
      <w:r>
        <w:rPr>
          <w:rFonts w:eastAsia="等线"/>
        </w:rPr>
        <w:t>.</w:t>
      </w:r>
    </w:p>
    <w:p w14:paraId="3C1229CE" w14:textId="77777777" w:rsidR="003E1F9F" w:rsidRDefault="00A10B25" w:rsidP="003E1F9F">
      <w:pPr>
        <w:rPr>
          <w:lang w:eastAsia="ko-KR"/>
        </w:rPr>
      </w:pPr>
      <w:r>
        <w:rPr>
          <w:rFonts w:eastAsia="等线"/>
        </w:rPr>
        <w:t>If there is no associated ML model training available for all provided "mLEvent" attributes, the NWDAF shall send a "500 Internal Server Error" status code to the NF service consumer,</w:t>
      </w:r>
      <w:r>
        <w:t xml:space="preserve"> including the "cause" attribute set to "</w:t>
      </w:r>
      <w:r>
        <w:rPr>
          <w:lang w:eastAsia="zh-CN"/>
        </w:rPr>
        <w:t>UNAVAILABLE_ML_MODEL_TRAINING_FOR_ALLEVENTS</w:t>
      </w:r>
      <w:r>
        <w:t>"</w:t>
      </w:r>
      <w:r>
        <w:rPr>
          <w:lang w:eastAsia="ko-KR"/>
        </w:rPr>
        <w:t>.</w:t>
      </w:r>
    </w:p>
    <w:p w14:paraId="1FDA9D27" w14:textId="77777777" w:rsidR="00A10B25" w:rsidRDefault="003E1F9F" w:rsidP="003E1F9F">
      <w:pPr>
        <w:rPr>
          <w:lang w:eastAsia="ko-KR"/>
        </w:rPr>
      </w:pPr>
      <w:r w:rsidRPr="00B1632D">
        <w:rPr>
          <w:rFonts w:eastAsia="等线"/>
        </w:rPr>
        <w:t>If there is no ML model training satisfying the requirements listed in "mLModelTrainInfos" attribute or the ML model cannot be downloaded successfully, the NWDAF which contains MTLF shall send a "403 Forbidden" status code to the NF service consumer</w:t>
      </w:r>
      <w:r w:rsidRPr="00B1632D">
        <w:t xml:space="preserve">, and it may </w:t>
      </w:r>
      <w:r>
        <w:t>include also</w:t>
      </w:r>
      <w:r w:rsidRPr="00B1632D">
        <w:t xml:space="preserve"> the corresponding failure reason via a "problemDetails" attribute with the "cause" attribute set to "ML_MODEL_TRAINING_REQS_NOT_MET", "</w:t>
      </w:r>
      <w:r w:rsidRPr="00B1632D">
        <w:rPr>
          <w:lang w:eastAsia="zh-CN"/>
        </w:rPr>
        <w:t>ML_TRAINING_NOT_COMPLETE</w:t>
      </w:r>
      <w:r w:rsidRPr="00B1632D">
        <w:t>", "</w:t>
      </w:r>
      <w:r w:rsidRPr="00B1632D">
        <w:rPr>
          <w:lang w:eastAsia="zh-CN"/>
        </w:rPr>
        <w:t>OVERLOAD</w:t>
      </w:r>
      <w:r w:rsidRPr="00B1632D">
        <w:t>", or "</w:t>
      </w:r>
      <w:r w:rsidRPr="00B1632D">
        <w:rPr>
          <w:lang w:eastAsia="zh-CN"/>
        </w:rPr>
        <w:t>NOT_AVAILABLE_FOR_FL_PROCESS_ANYMORE</w:t>
      </w:r>
      <w:r w:rsidRPr="00B1632D">
        <w:t>"</w:t>
      </w:r>
      <w:r>
        <w:rPr>
          <w:lang w:eastAsia="ko-KR"/>
        </w:rPr>
        <w:t>.</w:t>
      </w:r>
    </w:p>
    <w:p w14:paraId="20CBA86D" w14:textId="77777777" w:rsidR="00A10B25" w:rsidRDefault="00A10B25">
      <w:pPr>
        <w:rPr>
          <w:lang w:val="en-US" w:eastAsia="zh-CN"/>
        </w:rPr>
      </w:pPr>
      <w:r>
        <w:rPr>
          <w:lang w:val="en-US" w:eastAsia="zh-CN"/>
        </w:rPr>
        <w:t xml:space="preserve">If other errors occur when processing the HTTP PATCH request, the </w:t>
      </w:r>
      <w:r>
        <w:rPr>
          <w:rFonts w:eastAsia="等线"/>
        </w:rPr>
        <w:t xml:space="preserve">NWDAF </w:t>
      </w:r>
      <w:r>
        <w:rPr>
          <w:lang w:val="en-US" w:eastAsia="zh-CN"/>
        </w:rPr>
        <w:t>shall send an HTTP error response as specified in clause 5.5.7.</w:t>
      </w:r>
    </w:p>
    <w:p w14:paraId="40092D79" w14:textId="77777777" w:rsidR="00A10B25" w:rsidRDefault="00A10B25">
      <w:pPr>
        <w:rPr>
          <w:lang w:val="en-US" w:eastAsia="zh-CN"/>
        </w:rPr>
      </w:pPr>
      <w:r>
        <w:rPr>
          <w:lang w:val="en-US" w:eastAsia="zh-CN"/>
        </w:rPr>
        <w:t xml:space="preserve">If the </w:t>
      </w:r>
      <w:r>
        <w:rPr>
          <w:rFonts w:eastAsia="等线"/>
        </w:rPr>
        <w:t xml:space="preserve">NWDAF </w:t>
      </w:r>
      <w:r>
        <w:rPr>
          <w:lang w:val="en-US" w:eastAsia="zh-CN"/>
        </w:rPr>
        <w:t xml:space="preserve">determines that the received HTTP PATCH request needs to be redirected, </w:t>
      </w:r>
      <w:r>
        <w:t>the NWDAF</w:t>
      </w:r>
      <w:r>
        <w:rPr>
          <w:lang w:val="en-US" w:eastAsia="zh-CN"/>
        </w:rPr>
        <w:t xml:space="preserve"> shall send an HTTP redirect response as specified in clause 6.10.9 of</w:t>
      </w:r>
      <w:r>
        <w:rPr>
          <w:lang w:eastAsia="zh-CN"/>
        </w:rPr>
        <w:t xml:space="preserve"> </w:t>
      </w:r>
      <w:r>
        <w:rPr>
          <w:lang w:val="en-US"/>
        </w:rPr>
        <w:t>3GPP TS 29.500 [6]</w:t>
      </w:r>
      <w:r>
        <w:rPr>
          <w:lang w:val="en-US" w:eastAsia="zh-CN"/>
        </w:rPr>
        <w:t>.</w:t>
      </w:r>
    </w:p>
    <w:p w14:paraId="3B22468F" w14:textId="77777777" w:rsidR="00A10B25" w:rsidRDefault="00A10B25">
      <w:pPr>
        <w:pStyle w:val="4"/>
      </w:pPr>
      <w:bookmarkStart w:id="3118" w:name="_Toc148522543"/>
      <w:bookmarkStart w:id="3119" w:name="_Toc138754152"/>
      <w:bookmarkStart w:id="3120" w:name="_Toc136562318"/>
      <w:bookmarkStart w:id="3121" w:name="_Toc145705639"/>
      <w:bookmarkStart w:id="3122" w:name="_Toc164920667"/>
      <w:bookmarkStart w:id="3123" w:name="_Toc170120209"/>
      <w:bookmarkStart w:id="3124" w:name="_Toc175858454"/>
      <w:bookmarkStart w:id="3125" w:name="_Toc175859527"/>
      <w:bookmarkStart w:id="3126" w:name="_Toc180605817"/>
      <w:bookmarkStart w:id="3127" w:name="_Toc185517071"/>
      <w:bookmarkStart w:id="3128" w:name="_Toc191576122"/>
      <w:bookmarkStart w:id="3129" w:name="_Toc191576862"/>
      <w:bookmarkStart w:id="3130" w:name="_Toc192879932"/>
      <w:bookmarkStart w:id="3131" w:name="_Toc195814815"/>
      <w:bookmarkStart w:id="3132" w:name="_Toc199452762"/>
      <w:r>
        <w:t>4.6.2.3</w:t>
      </w:r>
      <w:r>
        <w:tab/>
      </w:r>
      <w:r>
        <w:rPr>
          <w:lang w:eastAsia="ja-JP"/>
        </w:rPr>
        <w:t>Nnwdaf_MLModelTraining_Unsubscribe</w:t>
      </w:r>
      <w:r>
        <w:t xml:space="preserve"> service operation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2CF9C05B" w14:textId="77777777" w:rsidR="00A10B25" w:rsidRDefault="00A10B25">
      <w:pPr>
        <w:pStyle w:val="5"/>
      </w:pPr>
      <w:bookmarkStart w:id="3133" w:name="_Toc138754153"/>
      <w:bookmarkStart w:id="3134" w:name="_Toc145705640"/>
      <w:bookmarkStart w:id="3135" w:name="_Toc148522544"/>
      <w:bookmarkStart w:id="3136" w:name="_Toc136562319"/>
      <w:bookmarkStart w:id="3137" w:name="_Toc164920668"/>
      <w:bookmarkStart w:id="3138" w:name="_Toc170120210"/>
      <w:bookmarkStart w:id="3139" w:name="_Toc175858455"/>
      <w:bookmarkStart w:id="3140" w:name="_Toc175859528"/>
      <w:bookmarkStart w:id="3141" w:name="_Toc180605818"/>
      <w:bookmarkStart w:id="3142" w:name="_Toc185517072"/>
      <w:bookmarkStart w:id="3143" w:name="_Toc191576123"/>
      <w:bookmarkStart w:id="3144" w:name="_Toc191576863"/>
      <w:bookmarkStart w:id="3145" w:name="_Toc192879933"/>
      <w:bookmarkStart w:id="3146" w:name="_Toc195814816"/>
      <w:bookmarkStart w:id="3147" w:name="_Toc199452763"/>
      <w:r>
        <w:t>4.6.2.3.1</w:t>
      </w:r>
      <w:r>
        <w:tab/>
        <w:t>General</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45525D3" w14:textId="77777777" w:rsidR="00A10B25" w:rsidRDefault="00A10B25">
      <w:r>
        <w:t>The Nnwdaf_MLModelTraining_Unsubscribe service operation is used by an NF service consumer to unsubscribe from event notifications.</w:t>
      </w:r>
    </w:p>
    <w:p w14:paraId="5198BD0F" w14:textId="77777777" w:rsidR="00A10B25" w:rsidRDefault="00A10B25">
      <w:pPr>
        <w:pStyle w:val="5"/>
      </w:pPr>
      <w:bookmarkStart w:id="3148" w:name="_Toc145705641"/>
      <w:bookmarkStart w:id="3149" w:name="_Toc148522545"/>
      <w:bookmarkStart w:id="3150" w:name="_Toc138754154"/>
      <w:bookmarkStart w:id="3151" w:name="_Toc136562320"/>
      <w:bookmarkStart w:id="3152" w:name="_Toc164920669"/>
      <w:bookmarkStart w:id="3153" w:name="_Toc170120211"/>
      <w:bookmarkStart w:id="3154" w:name="_Toc175858456"/>
      <w:bookmarkStart w:id="3155" w:name="_Toc175859529"/>
      <w:bookmarkStart w:id="3156" w:name="_Toc180605819"/>
      <w:bookmarkStart w:id="3157" w:name="_Toc185517073"/>
      <w:bookmarkStart w:id="3158" w:name="_Toc191576124"/>
      <w:bookmarkStart w:id="3159" w:name="_Toc191576864"/>
      <w:bookmarkStart w:id="3160" w:name="_Toc192879934"/>
      <w:bookmarkStart w:id="3161" w:name="_Toc195814817"/>
      <w:bookmarkStart w:id="3162" w:name="_Toc199452764"/>
      <w:r>
        <w:t>4.6.2.3.2</w:t>
      </w:r>
      <w:r>
        <w:tab/>
        <w:t>Unsubscribe from event notifications</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r>
        <w:t xml:space="preserve"> </w:t>
      </w:r>
    </w:p>
    <w:p w14:paraId="6B99C522" w14:textId="77777777" w:rsidR="00A10B25" w:rsidRDefault="00A10B25">
      <w:pPr>
        <w:rPr>
          <w:rFonts w:eastAsia="等线"/>
        </w:rPr>
      </w:pPr>
      <w:r>
        <w:rPr>
          <w:rFonts w:eastAsia="等线"/>
        </w:rPr>
        <w:t>Figure 4.6.2.3.2-1 shows a scenario where the NF service consumer sends a request to the NWDAF to unsubscribe</w:t>
      </w:r>
      <w:r>
        <w:rPr>
          <w:rFonts w:eastAsia="Batang"/>
        </w:rPr>
        <w:t xml:space="preserve"> </w:t>
      </w:r>
      <w:r>
        <w:rPr>
          <w:rFonts w:eastAsia="等线"/>
        </w:rPr>
        <w:t>from event notifications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052C9DA5" w14:textId="5E7DB687" w:rsidR="00A10B25" w:rsidRDefault="00257874">
      <w:pPr>
        <w:pStyle w:val="TH"/>
        <w:rPr>
          <w:lang w:eastAsia="zh-CN"/>
        </w:rPr>
      </w:pPr>
      <w:r>
        <w:rPr>
          <w:noProof/>
          <w:lang w:val="en-US" w:eastAsia="zh-CN"/>
        </w:rPr>
        <w:drawing>
          <wp:inline distT="0" distB="0" distL="0" distR="0" wp14:anchorId="210F68EB" wp14:editId="70649A3B">
            <wp:extent cx="5518150" cy="1510665"/>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8150" cy="1510665"/>
                    </a:xfrm>
                    <a:prstGeom prst="rect">
                      <a:avLst/>
                    </a:prstGeom>
                    <a:noFill/>
                    <a:ln>
                      <a:noFill/>
                    </a:ln>
                  </pic:spPr>
                </pic:pic>
              </a:graphicData>
            </a:graphic>
          </wp:inline>
        </w:drawing>
      </w:r>
    </w:p>
    <w:p w14:paraId="1BA872D3" w14:textId="77777777" w:rsidR="00A10B25" w:rsidRDefault="00A10B25">
      <w:pPr>
        <w:pStyle w:val="TF"/>
      </w:pPr>
      <w:r>
        <w:t>Figure 4.6.2.3.2-1: NF service consumer unsubscribes from notifications</w:t>
      </w:r>
    </w:p>
    <w:p w14:paraId="2849BEC1" w14:textId="77777777" w:rsidR="00A10B25" w:rsidRDefault="00A10B25">
      <w:pPr>
        <w:rPr>
          <w:rFonts w:eastAsia="等线"/>
        </w:rPr>
      </w:pPr>
      <w:r>
        <w:rPr>
          <w:rFonts w:eastAsia="等线"/>
        </w:rPr>
        <w:t>The NF service consumer shall invoke the Nnwdaf_</w:t>
      </w:r>
      <w:r>
        <w:t>MLModelTraining</w:t>
      </w:r>
      <w:r>
        <w:rPr>
          <w:rFonts w:eastAsia="等线"/>
        </w:rPr>
        <w:t>_Unsubscribe service operation to unsubscribe to event notifications. The NF service consumer shall send an HTTP DELETE request with: "{apiRoot}/nnwdaf-</w:t>
      </w:r>
      <w:r>
        <w:t>mlmodeltraining</w:t>
      </w:r>
      <w:r>
        <w:rPr>
          <w:rFonts w:eastAsia="等线"/>
        </w:rPr>
        <w:t>/&lt;apiVersion&gt;/subscriptions/{subscriptionId}" as Resource URI, where "{subscriptionId}" is the event subscriptionId of the existing subscription that is to be deleted.</w:t>
      </w:r>
    </w:p>
    <w:p w14:paraId="3027AB23" w14:textId="77777777" w:rsidR="00A10B25" w:rsidRDefault="00A10B25">
      <w:pPr>
        <w:rPr>
          <w:rFonts w:eastAsia="等线"/>
        </w:rPr>
      </w:pPr>
      <w:r>
        <w:rPr>
          <w:rFonts w:eastAsia="等线"/>
        </w:rPr>
        <w:t>Upon the reception of an HTTP DELETE request,</w:t>
      </w:r>
      <w:r>
        <w:t xml:space="preserve"> </w:t>
      </w:r>
      <w:r>
        <w:rPr>
          <w:rFonts w:eastAsia="等线"/>
        </w:rPr>
        <w:t xml:space="preserve">if the NWDAF successfully processed and accepted the received HTTP DELETE request, the NWDAF shall: </w:t>
      </w:r>
    </w:p>
    <w:p w14:paraId="7CDD19F4" w14:textId="77777777" w:rsidR="00A10B25" w:rsidRDefault="00A10B25" w:rsidP="0076721C">
      <w:pPr>
        <w:pStyle w:val="B1"/>
      </w:pPr>
      <w:r>
        <w:t>-</w:t>
      </w:r>
      <w:r>
        <w:tab/>
        <w:t>remove the corresponding subscription; and</w:t>
      </w:r>
    </w:p>
    <w:p w14:paraId="4939A757" w14:textId="77777777" w:rsidR="00A10B25" w:rsidRDefault="00A10B25" w:rsidP="0076721C">
      <w:pPr>
        <w:pStyle w:val="B1"/>
        <w:rPr>
          <w:rFonts w:eastAsia="等线"/>
        </w:rPr>
      </w:pPr>
      <w:r>
        <w:t>-</w:t>
      </w:r>
      <w:r>
        <w:tab/>
      </w:r>
      <w:r>
        <w:rPr>
          <w:rFonts w:eastAsia="等线"/>
        </w:rPr>
        <w:t>respond</w:t>
      </w:r>
      <w:r>
        <w:rPr>
          <w:rFonts w:eastAsia="Batang"/>
        </w:rPr>
        <w:t xml:space="preserve"> </w:t>
      </w:r>
      <w:r>
        <w:rPr>
          <w:rFonts w:eastAsia="等线"/>
        </w:rPr>
        <w:t>with HTTP "204 No Content" status code.</w:t>
      </w:r>
    </w:p>
    <w:p w14:paraId="43D59EA1" w14:textId="77777777" w:rsidR="00A10B25" w:rsidRDefault="00A10B25">
      <w:r>
        <w:t>If the 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75336126" w14:textId="77777777" w:rsidR="00A10B25" w:rsidRDefault="00A10B25">
      <w:pPr>
        <w:rPr>
          <w:lang w:val="en-US" w:eastAsia="zh-CN"/>
        </w:rPr>
      </w:pPr>
      <w:r>
        <w:rPr>
          <w:rFonts w:eastAsia="等线"/>
        </w:rPr>
        <w:lastRenderedPageBreak/>
        <w:t>If errors occur when processing the HTTP DELETE request, the NWDAF shall send an HTTP error response as specified in clause 5.5.7.</w:t>
      </w:r>
    </w:p>
    <w:p w14:paraId="4F22E6C4" w14:textId="77777777" w:rsidR="00A10B25" w:rsidRDefault="00A10B25">
      <w:pPr>
        <w:pStyle w:val="4"/>
      </w:pPr>
      <w:bookmarkStart w:id="3163" w:name="_Toc136562321"/>
      <w:bookmarkStart w:id="3164" w:name="_Toc138754155"/>
      <w:bookmarkStart w:id="3165" w:name="_Toc148522546"/>
      <w:bookmarkStart w:id="3166" w:name="_Toc145705642"/>
      <w:bookmarkStart w:id="3167" w:name="_Toc164920670"/>
      <w:bookmarkStart w:id="3168" w:name="_Toc170120212"/>
      <w:bookmarkStart w:id="3169" w:name="_Toc175858457"/>
      <w:bookmarkStart w:id="3170" w:name="_Toc175859530"/>
      <w:bookmarkStart w:id="3171" w:name="_Toc180605820"/>
      <w:bookmarkStart w:id="3172" w:name="_Toc185517074"/>
      <w:bookmarkStart w:id="3173" w:name="_Toc191576125"/>
      <w:bookmarkStart w:id="3174" w:name="_Toc191576865"/>
      <w:bookmarkStart w:id="3175" w:name="_Toc192879935"/>
      <w:bookmarkStart w:id="3176" w:name="_Toc195814818"/>
      <w:bookmarkStart w:id="3177" w:name="_Toc199452765"/>
      <w:r>
        <w:t>4.6.2.4</w:t>
      </w:r>
      <w:r>
        <w:tab/>
      </w:r>
      <w:r>
        <w:rPr>
          <w:lang w:eastAsia="ja-JP"/>
        </w:rPr>
        <w:t>Nnwdaf_MLModelTraining_Notify</w:t>
      </w:r>
      <w:r>
        <w:t xml:space="preserve"> service operation</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08FBBFB4" w14:textId="77777777" w:rsidR="00A10B25" w:rsidRDefault="00A10B25">
      <w:pPr>
        <w:pStyle w:val="5"/>
      </w:pPr>
      <w:bookmarkStart w:id="3178" w:name="_Toc136562322"/>
      <w:bookmarkStart w:id="3179" w:name="_Toc138754156"/>
      <w:bookmarkStart w:id="3180" w:name="_Toc145705643"/>
      <w:bookmarkStart w:id="3181" w:name="_Toc148522547"/>
      <w:bookmarkStart w:id="3182" w:name="_Toc164920671"/>
      <w:bookmarkStart w:id="3183" w:name="_Toc170120213"/>
      <w:bookmarkStart w:id="3184" w:name="_Toc175858458"/>
      <w:bookmarkStart w:id="3185" w:name="_Toc175859531"/>
      <w:bookmarkStart w:id="3186" w:name="_Toc180605821"/>
      <w:bookmarkStart w:id="3187" w:name="_Toc185517075"/>
      <w:bookmarkStart w:id="3188" w:name="_Toc191576126"/>
      <w:bookmarkStart w:id="3189" w:name="_Toc191576866"/>
      <w:bookmarkStart w:id="3190" w:name="_Toc192879936"/>
      <w:bookmarkStart w:id="3191" w:name="_Toc195814819"/>
      <w:bookmarkStart w:id="3192" w:name="_Toc199452766"/>
      <w:r>
        <w:t>4.6.2.4.1</w:t>
      </w:r>
      <w:r>
        <w:tab/>
        <w:t>General</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3CF60F58" w14:textId="77777777" w:rsidR="00A10B25" w:rsidRDefault="00A10B25">
      <w:r>
        <w:rPr>
          <w:lang w:eastAsia="zh-CN"/>
        </w:rPr>
        <w:t>The Nnwdaf_</w:t>
      </w:r>
      <w:r>
        <w:t>MLModelTraining</w:t>
      </w:r>
      <w:r>
        <w:rPr>
          <w:lang w:eastAsia="zh-CN"/>
        </w:rPr>
        <w:t>_Notify service operation is used by an NWDAF to notify NF consumers about subscribed events.</w:t>
      </w:r>
    </w:p>
    <w:p w14:paraId="46B76A3A" w14:textId="77777777" w:rsidR="00A10B25" w:rsidRDefault="00A10B25">
      <w:pPr>
        <w:pStyle w:val="5"/>
      </w:pPr>
      <w:bookmarkStart w:id="3193" w:name="_Toc136562323"/>
      <w:bookmarkStart w:id="3194" w:name="_Toc138754157"/>
      <w:bookmarkStart w:id="3195" w:name="_Toc145705644"/>
      <w:bookmarkStart w:id="3196" w:name="_Toc148522548"/>
      <w:bookmarkStart w:id="3197" w:name="_Toc164920672"/>
      <w:bookmarkStart w:id="3198" w:name="_Toc170120214"/>
      <w:bookmarkStart w:id="3199" w:name="_Toc175858459"/>
      <w:bookmarkStart w:id="3200" w:name="_Toc175859532"/>
      <w:bookmarkStart w:id="3201" w:name="_Toc180605822"/>
      <w:bookmarkStart w:id="3202" w:name="_Toc185517076"/>
      <w:bookmarkStart w:id="3203" w:name="_Toc191576127"/>
      <w:bookmarkStart w:id="3204" w:name="_Toc191576867"/>
      <w:bookmarkStart w:id="3205" w:name="_Toc192879937"/>
      <w:bookmarkStart w:id="3206" w:name="_Toc195814820"/>
      <w:bookmarkStart w:id="3207" w:name="_Toc199452767"/>
      <w:r>
        <w:t>4.6.2.4.2</w:t>
      </w:r>
      <w:r>
        <w:tab/>
      </w:r>
      <w:bookmarkEnd w:id="3193"/>
      <w:bookmarkEnd w:id="3194"/>
      <w:bookmarkEnd w:id="3195"/>
      <w:bookmarkEnd w:id="3196"/>
      <w:r>
        <w:t>Notification about subscribed event</w:t>
      </w:r>
      <w:bookmarkEnd w:id="3197"/>
      <w:bookmarkEnd w:id="3198"/>
      <w:bookmarkEnd w:id="3199"/>
      <w:bookmarkEnd w:id="3200"/>
      <w:bookmarkEnd w:id="3201"/>
      <w:bookmarkEnd w:id="3202"/>
      <w:bookmarkEnd w:id="3203"/>
      <w:bookmarkEnd w:id="3204"/>
      <w:bookmarkEnd w:id="3205"/>
      <w:bookmarkEnd w:id="3206"/>
      <w:bookmarkEnd w:id="3207"/>
    </w:p>
    <w:p w14:paraId="057302F3" w14:textId="77777777" w:rsidR="00640768" w:rsidRDefault="00640768" w:rsidP="00635E7C">
      <w:pPr>
        <w:rPr>
          <w:rFonts w:eastAsia="等线"/>
        </w:rPr>
      </w:pPr>
      <w:r>
        <w:rPr>
          <w:rFonts w:eastAsia="等线"/>
        </w:rPr>
        <w:t>Figure 4.6.2.</w:t>
      </w:r>
      <w:r>
        <w:rPr>
          <w:rFonts w:eastAsia="等线" w:hint="eastAsia"/>
        </w:rPr>
        <w:t>4</w:t>
      </w:r>
      <w:r>
        <w:rPr>
          <w:rFonts w:eastAsia="等线"/>
        </w:rPr>
        <w:t>.2-1 shows a scenario where the N</w:t>
      </w:r>
      <w:r w:rsidRPr="00635E7C">
        <w:rPr>
          <w:rFonts w:eastAsia="等线"/>
        </w:rPr>
        <w:t>WDAF</w:t>
      </w:r>
      <w:r>
        <w:rPr>
          <w:rFonts w:eastAsia="等线"/>
        </w:rPr>
        <w:t xml:space="preserve"> sends a request to the NF Service Consumer to notify</w:t>
      </w:r>
      <w:r w:rsidRPr="00635E7C">
        <w:rPr>
          <w:rFonts w:eastAsia="等线"/>
        </w:rPr>
        <w:t xml:space="preserve"> </w:t>
      </w:r>
      <w:r>
        <w:rPr>
          <w:rFonts w:eastAsia="等线"/>
        </w:rPr>
        <w:t>for event notifications (see also 3GPP TS 23.</w:t>
      </w:r>
      <w:r>
        <w:rPr>
          <w:rFonts w:eastAsia="等线" w:hint="eastAsia"/>
        </w:rPr>
        <w:t>288</w:t>
      </w:r>
      <w:r>
        <w:rPr>
          <w:rFonts w:eastAsia="等线"/>
        </w:rPr>
        <w:t> [</w:t>
      </w:r>
      <w:r>
        <w:rPr>
          <w:rFonts w:eastAsia="等线" w:hint="eastAsia"/>
        </w:rPr>
        <w:t>17</w:t>
      </w:r>
      <w:r>
        <w:rPr>
          <w:rFonts w:eastAsia="等线"/>
        </w:rPr>
        <w:t>]).</w:t>
      </w:r>
    </w:p>
    <w:p w14:paraId="2844C985" w14:textId="77777777" w:rsidR="00A10B25" w:rsidRDefault="00A10B25">
      <w:pPr>
        <w:pStyle w:val="TH"/>
        <w:rPr>
          <w:rFonts w:eastAsia="等线"/>
          <w:lang w:eastAsia="zh-CN"/>
        </w:rPr>
      </w:pPr>
      <w:r>
        <w:rPr>
          <w:lang w:val="en-US" w:eastAsia="zh-CN"/>
        </w:rPr>
        <w:object w:dxaOrig="9650" w:dyaOrig="2537" w14:anchorId="6738BEFC">
          <v:shape id="Object 52" o:spid="_x0000_i1069" type="#_x0000_t75" style="width:7in;height:123.95pt;mso-position-horizontal-relative:page;mso-position-vertical-relative:page" o:ole="">
            <v:imagedata r:id="rId53" o:title=""/>
          </v:shape>
          <o:OLEObject Type="Embed" ProgID="Word.Document.12" ShapeID="Object 52" DrawAspect="Content" ObjectID="_1810066008" r:id="rId62">
            <o:FieldCodes>\s</o:FieldCodes>
          </o:OLEObject>
        </w:object>
      </w:r>
    </w:p>
    <w:p w14:paraId="71F3B15B" w14:textId="77777777" w:rsidR="00A10B25" w:rsidRDefault="00A10B25">
      <w:pPr>
        <w:pStyle w:val="TF"/>
      </w:pPr>
      <w:r>
        <w:t>Figure 4.6.2.</w:t>
      </w:r>
      <w:r>
        <w:rPr>
          <w:rFonts w:hint="eastAsia"/>
          <w:lang w:eastAsia="zh-CN"/>
        </w:rPr>
        <w:t>4</w:t>
      </w:r>
      <w:r>
        <w:t>.2-1: NWDAF notifies the</w:t>
      </w:r>
      <w:r>
        <w:rPr>
          <w:rFonts w:eastAsia="Batang"/>
        </w:rPr>
        <w:t xml:space="preserve"> </w:t>
      </w:r>
      <w:r>
        <w:t>subscribed event</w:t>
      </w:r>
    </w:p>
    <w:p w14:paraId="2CE7D92F" w14:textId="77777777" w:rsidR="00A10B25" w:rsidRDefault="00A10B25">
      <w:pPr>
        <w:rPr>
          <w:rFonts w:eastAsia="等线"/>
        </w:rPr>
      </w:pPr>
      <w:r>
        <w:rPr>
          <w:rFonts w:eastAsia="等线"/>
        </w:rPr>
        <w:t>The NWDAF shall invoke the Nnwdaf_</w:t>
      </w:r>
      <w:r>
        <w:t>MLModelTraining</w:t>
      </w:r>
      <w:r>
        <w:rPr>
          <w:rFonts w:eastAsia="等线"/>
        </w:rPr>
        <w:t>_Notify service operation to notify the subscribed event. The NWDAF shall send an HTTP POST request with "{notifUri}" received in the Nnwdaf_</w:t>
      </w:r>
      <w:r>
        <w:t>MLModelTraining</w:t>
      </w:r>
      <w:r>
        <w:rPr>
          <w:rFonts w:eastAsia="等线"/>
        </w:rPr>
        <w:t>_Subscribe service operation as Resource URI, as shown in figure 4.6.2.4.2-1, step 1. The NwdafMLModelTrainNotif data structure provided in the request body that shall include:</w:t>
      </w:r>
    </w:p>
    <w:p w14:paraId="5583B3EB" w14:textId="77777777" w:rsidR="00A10B25" w:rsidRDefault="00A10B25">
      <w:pPr>
        <w:pStyle w:val="B1"/>
        <w:rPr>
          <w:lang w:eastAsia="zh-CN"/>
        </w:rPr>
      </w:pPr>
      <w:r>
        <w:t>-</w:t>
      </w:r>
      <w:r>
        <w:tab/>
        <w:t>a notification correlation identifier as</w:t>
      </w:r>
      <w:r>
        <w:rPr>
          <w:lang w:eastAsia="zh-CN"/>
        </w:rPr>
        <w:t xml:space="preserve"> "</w:t>
      </w:r>
      <w:r>
        <w:rPr>
          <w:lang w:eastAsia="zh-CN"/>
        </w:rPr>
        <w:t>notifCorreId</w:t>
      </w:r>
      <w:r>
        <w:rPr>
          <w:lang w:eastAsia="zh-CN"/>
        </w:rPr>
        <w:t>" attribute;</w:t>
      </w:r>
    </w:p>
    <w:p w14:paraId="389A2207" w14:textId="77777777" w:rsidR="00A10B25" w:rsidRDefault="00A10B25">
      <w:pPr>
        <w:pStyle w:val="B1"/>
      </w:pPr>
      <w:r>
        <w:t>-</w:t>
      </w:r>
      <w:r>
        <w:tab/>
        <w:t>at least one of the notification detailed information:</w:t>
      </w:r>
    </w:p>
    <w:p w14:paraId="0C18305A" w14:textId="77777777" w:rsidR="00A10B25" w:rsidRDefault="00A10B25">
      <w:pPr>
        <w:pStyle w:val="B2"/>
      </w:pPr>
      <w:r>
        <w:t>-</w:t>
      </w:r>
      <w:r>
        <w:tab/>
        <w:t>description of the notified event as "mLModelInfos" attribute;</w:t>
      </w:r>
    </w:p>
    <w:p w14:paraId="17039CF4" w14:textId="77777777" w:rsidR="00A10B25" w:rsidRDefault="00A10B25">
      <w:pPr>
        <w:pStyle w:val="B2"/>
      </w:pPr>
      <w:r>
        <w:t>-</w:t>
      </w:r>
      <w:r>
        <w:tab/>
        <w:t>a delay event notification for training the ML model as "delayEventNotif" attribute when the service is for Federated Learning;</w:t>
      </w:r>
    </w:p>
    <w:p w14:paraId="00A8EF39" w14:textId="77777777" w:rsidR="00A10B25" w:rsidRDefault="00A10B25">
      <w:pPr>
        <w:pStyle w:val="B2"/>
      </w:pPr>
      <w:r>
        <w:t>-</w:t>
      </w:r>
      <w:r>
        <w:tab/>
        <w:t>an indication that the subscription is requested to be terminated, i.e. no further notifications related to this subscription will be provided, as "termTrainReq";</w:t>
      </w:r>
    </w:p>
    <w:p w14:paraId="6BEE021F" w14:textId="77777777" w:rsidR="00A10B25" w:rsidRDefault="00A10B25" w:rsidP="0076721C">
      <w:pPr>
        <w:pStyle w:val="B1"/>
      </w:pPr>
      <w:r>
        <w:t>and may include:</w:t>
      </w:r>
    </w:p>
    <w:p w14:paraId="24D443BE" w14:textId="77777777" w:rsidR="00A10B25" w:rsidRDefault="00A10B25">
      <w:pPr>
        <w:pStyle w:val="B1"/>
      </w:pPr>
      <w:r>
        <w:t>-</w:t>
      </w:r>
      <w:r>
        <w:tab/>
        <w:t>an identification of the Machine Learning procedure for training the ML model as "mlCorreId" attribute when the service is for Federated Learning;</w:t>
      </w:r>
    </w:p>
    <w:p w14:paraId="7E37A55D" w14:textId="77777777" w:rsidR="00640768" w:rsidRDefault="00640768" w:rsidP="00640768">
      <w:pPr>
        <w:pStyle w:val="B1"/>
      </w:pPr>
      <w:r>
        <w:t>-</w:t>
      </w:r>
      <w:r>
        <w:tab/>
        <w:t>an identification of the round number of the training in a multi-round training process as "roundInd" attribute;</w:t>
      </w:r>
      <w:r w:rsidRPr="004F4286">
        <w:t xml:space="preserve"> </w:t>
      </w:r>
      <w:r>
        <w:t>and/or</w:t>
      </w:r>
    </w:p>
    <w:p w14:paraId="37CFDCB8" w14:textId="77777777" w:rsidR="00640768" w:rsidRDefault="00640768" w:rsidP="00640768">
      <w:pPr>
        <w:pStyle w:val="B1"/>
      </w:pPr>
      <w:r>
        <w:t>-</w:t>
      </w:r>
      <w:r>
        <w:tab/>
        <w:t>the status report for the ML model training as "statusReport" attribute when the service is for Federated Learning.</w:t>
      </w:r>
    </w:p>
    <w:p w14:paraId="3C53431B" w14:textId="77777777" w:rsidR="00A10B25" w:rsidRDefault="00A10B25">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6142287D" w14:textId="77777777" w:rsidR="00A10B25" w:rsidRDefault="00A10B25">
      <w:r>
        <w:t xml:space="preserve">If the </w:t>
      </w:r>
      <w:r>
        <w:rPr>
          <w:rFonts w:eastAsia="等线"/>
        </w:rPr>
        <w:t>NF service consumer</w:t>
      </w:r>
      <w:r>
        <w:t xml:space="preserve"> determines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421840C4" w14:textId="77777777" w:rsidR="004D3964" w:rsidRDefault="004D3964" w:rsidP="004D3964">
      <w:pPr>
        <w:rPr>
          <w:rFonts w:eastAsia="等线"/>
        </w:rPr>
      </w:pPr>
      <w:bookmarkStart w:id="3208" w:name="_Toc164920673"/>
      <w:bookmarkStart w:id="3209" w:name="_Toc170120215"/>
      <w:bookmarkStart w:id="3210" w:name="_Toc175858460"/>
      <w:bookmarkStart w:id="3211" w:name="_Toc175859533"/>
      <w:r>
        <w:rPr>
          <w:rFonts w:eastAsia="等线"/>
        </w:rPr>
        <w:t>If errors occur when processing the HTTP POST request, the NF service consumer shall send an HTTP error response as specified in clause 5.5.7.</w:t>
      </w:r>
    </w:p>
    <w:p w14:paraId="3779749F" w14:textId="77777777" w:rsidR="00A10B25" w:rsidRDefault="00A10B25">
      <w:pPr>
        <w:pStyle w:val="2"/>
      </w:pPr>
      <w:bookmarkStart w:id="3212" w:name="_Toc180605823"/>
      <w:bookmarkStart w:id="3213" w:name="_Toc185517077"/>
      <w:bookmarkStart w:id="3214" w:name="_Toc191576128"/>
      <w:bookmarkStart w:id="3215" w:name="_Toc191576868"/>
      <w:bookmarkStart w:id="3216" w:name="_Toc192879938"/>
      <w:bookmarkStart w:id="3217" w:name="_Toc195814821"/>
      <w:bookmarkStart w:id="3218" w:name="_Toc199452768"/>
      <w:r>
        <w:lastRenderedPageBreak/>
        <w:t>4.7</w:t>
      </w:r>
      <w:r>
        <w:tab/>
      </w:r>
      <w:r>
        <w:rPr>
          <w:lang w:val="en-US" w:eastAsia="zh-CN"/>
        </w:rPr>
        <w:t>Nnwdaf_MLModelMonitor</w:t>
      </w:r>
      <w:r>
        <w:t xml:space="preserve"> Service</w:t>
      </w:r>
      <w:bookmarkEnd w:id="3208"/>
      <w:bookmarkEnd w:id="3209"/>
      <w:bookmarkEnd w:id="3210"/>
      <w:bookmarkEnd w:id="3211"/>
      <w:bookmarkEnd w:id="3212"/>
      <w:bookmarkEnd w:id="3213"/>
      <w:bookmarkEnd w:id="3214"/>
      <w:bookmarkEnd w:id="3215"/>
      <w:bookmarkEnd w:id="3216"/>
      <w:bookmarkEnd w:id="3217"/>
      <w:bookmarkEnd w:id="3218"/>
    </w:p>
    <w:p w14:paraId="497BD44C" w14:textId="77777777" w:rsidR="00A10B25" w:rsidRDefault="00A10B25">
      <w:pPr>
        <w:pStyle w:val="3"/>
      </w:pPr>
      <w:bookmarkStart w:id="3219" w:name="_Toc164920674"/>
      <w:bookmarkStart w:id="3220" w:name="_Toc170120216"/>
      <w:bookmarkStart w:id="3221" w:name="_Toc175858461"/>
      <w:bookmarkStart w:id="3222" w:name="_Toc175859534"/>
      <w:bookmarkStart w:id="3223" w:name="_Toc180605824"/>
      <w:bookmarkStart w:id="3224" w:name="_Toc185517078"/>
      <w:bookmarkStart w:id="3225" w:name="_Toc191576129"/>
      <w:bookmarkStart w:id="3226" w:name="_Toc191576869"/>
      <w:bookmarkStart w:id="3227" w:name="_Toc192879939"/>
      <w:bookmarkStart w:id="3228" w:name="_Toc195814822"/>
      <w:bookmarkStart w:id="3229" w:name="_Toc199452769"/>
      <w:r>
        <w:t>4.7.1</w:t>
      </w:r>
      <w:r>
        <w:tab/>
        <w:t>Service Description</w:t>
      </w:r>
      <w:bookmarkEnd w:id="3219"/>
      <w:bookmarkEnd w:id="3220"/>
      <w:bookmarkEnd w:id="3221"/>
      <w:bookmarkEnd w:id="3222"/>
      <w:bookmarkEnd w:id="3223"/>
      <w:bookmarkEnd w:id="3224"/>
      <w:bookmarkEnd w:id="3225"/>
      <w:bookmarkEnd w:id="3226"/>
      <w:bookmarkEnd w:id="3227"/>
      <w:bookmarkEnd w:id="3228"/>
      <w:bookmarkEnd w:id="3229"/>
    </w:p>
    <w:p w14:paraId="2E8C4DF6" w14:textId="77777777" w:rsidR="00A10B25" w:rsidRDefault="00A10B25">
      <w:pPr>
        <w:pStyle w:val="4"/>
        <w:rPr>
          <w:lang w:eastAsia="zh-CN"/>
        </w:rPr>
      </w:pPr>
      <w:bookmarkStart w:id="3230" w:name="_Toc164920675"/>
      <w:bookmarkStart w:id="3231" w:name="_Toc170120217"/>
      <w:bookmarkStart w:id="3232" w:name="_Toc175858462"/>
      <w:bookmarkStart w:id="3233" w:name="_Toc175859535"/>
      <w:bookmarkStart w:id="3234" w:name="_Toc180605825"/>
      <w:bookmarkStart w:id="3235" w:name="_Toc185517079"/>
      <w:bookmarkStart w:id="3236" w:name="_Toc191576130"/>
      <w:bookmarkStart w:id="3237" w:name="_Toc191576870"/>
      <w:bookmarkStart w:id="3238" w:name="_Toc192879940"/>
      <w:bookmarkStart w:id="3239" w:name="_Toc195814823"/>
      <w:bookmarkStart w:id="3240" w:name="_Toc199452770"/>
      <w:r>
        <w:t>4.7.</w:t>
      </w:r>
      <w:r>
        <w:rPr>
          <w:rFonts w:hint="eastAsia"/>
          <w:lang w:eastAsia="zh-CN"/>
        </w:rPr>
        <w:t>1</w:t>
      </w:r>
      <w:r>
        <w:rPr>
          <w:lang w:eastAsia="zh-CN"/>
        </w:rPr>
        <w:t>.1</w:t>
      </w:r>
      <w:r>
        <w:tab/>
      </w:r>
      <w:r>
        <w:rPr>
          <w:rFonts w:hint="eastAsia"/>
          <w:lang w:eastAsia="zh-CN"/>
        </w:rPr>
        <w:t>Overview</w:t>
      </w:r>
      <w:bookmarkEnd w:id="3230"/>
      <w:bookmarkEnd w:id="3231"/>
      <w:bookmarkEnd w:id="3232"/>
      <w:bookmarkEnd w:id="3233"/>
      <w:bookmarkEnd w:id="3234"/>
      <w:bookmarkEnd w:id="3235"/>
      <w:bookmarkEnd w:id="3236"/>
      <w:bookmarkEnd w:id="3237"/>
      <w:bookmarkEnd w:id="3238"/>
      <w:bookmarkEnd w:id="3239"/>
      <w:bookmarkEnd w:id="3240"/>
    </w:p>
    <w:p w14:paraId="5797B4DA" w14:textId="77777777" w:rsidR="00A10B25" w:rsidRDefault="00A10B25">
      <w:r>
        <w:t xml:space="preserve">The </w:t>
      </w:r>
      <w:r>
        <w:rPr>
          <w:lang w:val="en-US" w:eastAsia="zh-CN"/>
        </w:rPr>
        <w:t>Nnwdaf_MLModelMonitor</w:t>
      </w:r>
      <w:r>
        <w:t xml:space="preserve"> service as defined in 3GPP TS 23.288 [17], is provided by the Network Data Analytics Function (NWDAF).</w:t>
      </w:r>
    </w:p>
    <w:p w14:paraId="7201EAE8" w14:textId="77777777" w:rsidR="00A10B25" w:rsidRDefault="00A10B25">
      <w:r>
        <w:t>This service:</w:t>
      </w:r>
    </w:p>
    <w:p w14:paraId="4E9DACB5" w14:textId="77777777" w:rsidR="00640768" w:rsidRDefault="00640768" w:rsidP="00640768">
      <w:pPr>
        <w:pStyle w:val="B1"/>
      </w:pPr>
      <w:r>
        <w:t>-</w:t>
      </w:r>
      <w:r>
        <w:tab/>
        <w:t xml:space="preserve">allows the NF service consumer (i.e. NWDAF containing AnLF) to register </w:t>
      </w:r>
      <w:r>
        <w:rPr>
          <w:lang w:eastAsia="ja-JP"/>
        </w:rPr>
        <w:t xml:space="preserve">the use and monitoring capability of </w:t>
      </w:r>
      <w:r>
        <w:rPr>
          <w:lang w:eastAsia="zh-CN"/>
        </w:rPr>
        <w:t>the analytics accuracy of an ML Model at the NWDAF containing MTLF</w:t>
      </w:r>
      <w:r>
        <w:rPr>
          <w:lang w:eastAsia="ja-JP"/>
        </w:rPr>
        <w:t>;</w:t>
      </w:r>
    </w:p>
    <w:p w14:paraId="11F78149" w14:textId="77777777" w:rsidR="00640768" w:rsidRDefault="00640768" w:rsidP="00640768">
      <w:pPr>
        <w:pStyle w:val="B1"/>
      </w:pPr>
      <w:r>
        <w:t>-</w:t>
      </w:r>
      <w:r>
        <w:tab/>
        <w:t xml:space="preserve">allows the NF service consumer (i.e. NWDAF containing AnLF) to </w:t>
      </w:r>
      <w:r>
        <w:rPr>
          <w:lang w:eastAsia="ja-JP"/>
        </w:rPr>
        <w:t xml:space="preserve">deregister a previous registration of the monitoring capability of </w:t>
      </w:r>
      <w:r>
        <w:rPr>
          <w:lang w:eastAsia="zh-CN"/>
        </w:rPr>
        <w:t>the analytics accuracy of an ML Model at the NWDAF containing MTLF</w:t>
      </w:r>
      <w:r>
        <w:rPr>
          <w:lang w:eastAsia="ja-JP"/>
        </w:rPr>
        <w:t>;</w:t>
      </w:r>
    </w:p>
    <w:p w14:paraId="5F2785B7" w14:textId="77777777" w:rsidR="00640768" w:rsidRDefault="00640768" w:rsidP="00640768">
      <w:pPr>
        <w:pStyle w:val="B1"/>
      </w:pPr>
      <w:r>
        <w:t>-</w:t>
      </w:r>
      <w:r>
        <w:tab/>
        <w:t xml:space="preserve">allows the NF service consumer (i.e. NWDAF containing MTLF) to subscribe to and unsubscribe from </w:t>
      </w:r>
      <w:r>
        <w:rPr>
          <w:lang w:eastAsia="zh-CN"/>
        </w:rPr>
        <w:t>the analytics accuracy monitoring event of an ML Model and analytics feedback information from the NWDAF containing AnLF</w:t>
      </w:r>
      <w:r>
        <w:t>;</w:t>
      </w:r>
    </w:p>
    <w:p w14:paraId="0A41A02A" w14:textId="77777777" w:rsidR="00640768" w:rsidRDefault="00640768" w:rsidP="00640768">
      <w:pPr>
        <w:pStyle w:val="B1"/>
      </w:pPr>
      <w:r>
        <w:t>-</w:t>
      </w:r>
      <w:r>
        <w:tab/>
        <w:t xml:space="preserve">allows the NF service consumer (i.e. NWDAF containing MTLF) to modify an </w:t>
      </w:r>
      <w:r>
        <w:rPr>
          <w:lang w:eastAsia="zh-CN"/>
        </w:rPr>
        <w:t>analytics accuracy monitoring event of an ML Model and analytics feedback information from the NWDAF containing AnLF</w:t>
      </w:r>
      <w:r>
        <w:t>; and</w:t>
      </w:r>
    </w:p>
    <w:p w14:paraId="12AA2734" w14:textId="77777777" w:rsidR="00640768" w:rsidRDefault="00640768" w:rsidP="00640768">
      <w:pPr>
        <w:pStyle w:val="B1"/>
      </w:pPr>
      <w:r>
        <w:t>-</w:t>
      </w:r>
      <w:r>
        <w:tab/>
        <w:t xml:space="preserve">allow the NWDAF containing AnLF notifies the NF service consumer (i.e. NWDAF containing MTLF) about the monitored </w:t>
      </w:r>
      <w:r>
        <w:rPr>
          <w:lang w:eastAsia="zh-CN"/>
        </w:rPr>
        <w:t>analytics accuracy</w:t>
      </w:r>
      <w:r>
        <w:rPr>
          <w:lang w:eastAsia="ja-JP"/>
        </w:rPr>
        <w:t xml:space="preserve"> </w:t>
      </w:r>
      <w:r>
        <w:t>information</w:t>
      </w:r>
      <w:r>
        <w:rPr>
          <w:lang w:eastAsia="zh-CN"/>
        </w:rPr>
        <w:t xml:space="preserve"> of an ML Model and/or analytics feedback information</w:t>
      </w:r>
      <w:r>
        <w:t>.</w:t>
      </w:r>
    </w:p>
    <w:p w14:paraId="24AEB55B" w14:textId="77777777" w:rsidR="00A10B25" w:rsidRDefault="00A10B25">
      <w:pPr>
        <w:pStyle w:val="4"/>
      </w:pPr>
      <w:bookmarkStart w:id="3241" w:name="_Toc164920676"/>
      <w:bookmarkStart w:id="3242" w:name="_Toc170120218"/>
      <w:bookmarkStart w:id="3243" w:name="_Toc175858463"/>
      <w:bookmarkStart w:id="3244" w:name="_Toc175859536"/>
      <w:bookmarkStart w:id="3245" w:name="_Toc180605826"/>
      <w:bookmarkStart w:id="3246" w:name="_Toc185517080"/>
      <w:bookmarkStart w:id="3247" w:name="_Toc191576131"/>
      <w:bookmarkStart w:id="3248" w:name="_Toc191576871"/>
      <w:bookmarkStart w:id="3249" w:name="_Toc192879941"/>
      <w:bookmarkStart w:id="3250" w:name="_Toc195814824"/>
      <w:bookmarkStart w:id="3251" w:name="_Toc199452771"/>
      <w:r>
        <w:t>4.7.</w:t>
      </w:r>
      <w:r>
        <w:rPr>
          <w:rFonts w:hint="eastAsia"/>
        </w:rPr>
        <w:t>1</w:t>
      </w:r>
      <w:r>
        <w:t>.2</w:t>
      </w:r>
      <w:r>
        <w:rPr>
          <w:rFonts w:hint="eastAsia"/>
        </w:rPr>
        <w:tab/>
      </w:r>
      <w:r>
        <w:t>Service Architecture</w:t>
      </w:r>
      <w:bookmarkEnd w:id="3241"/>
      <w:bookmarkEnd w:id="3242"/>
      <w:bookmarkEnd w:id="3243"/>
      <w:bookmarkEnd w:id="3244"/>
      <w:bookmarkEnd w:id="3245"/>
      <w:bookmarkEnd w:id="3246"/>
      <w:bookmarkEnd w:id="3247"/>
      <w:bookmarkEnd w:id="3248"/>
      <w:bookmarkEnd w:id="3249"/>
      <w:bookmarkEnd w:id="3250"/>
      <w:bookmarkEnd w:id="3251"/>
    </w:p>
    <w:p w14:paraId="5D703820" w14:textId="77777777" w:rsidR="00A10B25" w:rsidRDefault="00A10B25">
      <w:r>
        <w:t>The 5G System Architecture is defined in 3GPP TS 23.501 [2]. The Network Data Analytics Exposure architecture is defined in 3GPP TS 23.288 [17].</w:t>
      </w:r>
    </w:p>
    <w:p w14:paraId="35261C30" w14:textId="77777777" w:rsidR="00A10B25" w:rsidRDefault="00A10B25">
      <w:r>
        <w:t>The Nnwdaf_MLModelMonitor service is part of the Nnwdaf service-based interface exhibited by the Network Data Analytics Function (NWDAF).</w:t>
      </w:r>
    </w:p>
    <w:p w14:paraId="12141AE2" w14:textId="77777777" w:rsidR="00A10B25" w:rsidRDefault="00A10B25">
      <w:r>
        <w:t>Known consumers of the Nnwdaf_MLModelMonitor service are:</w:t>
      </w:r>
    </w:p>
    <w:p w14:paraId="2858017B" w14:textId="77777777" w:rsidR="00A10B25" w:rsidRDefault="00A10B25">
      <w:pPr>
        <w:pStyle w:val="B1"/>
      </w:pPr>
      <w:r>
        <w:t>-</w:t>
      </w:r>
      <w:r>
        <w:tab/>
        <w:t>Network Data Analytics Function (NWDAF)</w:t>
      </w:r>
    </w:p>
    <w:p w14:paraId="533D9A0F" w14:textId="77777777" w:rsidR="00640768" w:rsidRDefault="00640768" w:rsidP="00640768">
      <w:pPr>
        <w:pStyle w:val="TH"/>
        <w:rPr>
          <w:lang w:val="en-US" w:eastAsia="zh-CN"/>
        </w:rPr>
      </w:pPr>
      <w:r>
        <w:fldChar w:fldCharType="begin"/>
      </w:r>
      <w:r>
        <w:fldChar w:fldCharType="end"/>
      </w:r>
    </w:p>
    <w:p w14:paraId="7D4C0B23" w14:textId="77777777" w:rsidR="00640768" w:rsidRDefault="00640768" w:rsidP="00640768">
      <w:pPr>
        <w:pStyle w:val="TH"/>
        <w:rPr>
          <w:lang w:val="en-US"/>
        </w:rPr>
      </w:pPr>
      <w:r>
        <w:rPr>
          <w:lang w:val="en-US" w:eastAsia="zh-CN"/>
        </w:rPr>
        <w:object w:dxaOrig="3980" w:dyaOrig="2100" w14:anchorId="0703AB8F">
          <v:shape id="_x0000_i1070" type="#_x0000_t75" style="width:222.25pt;height:118.95pt" o:ole="">
            <v:imagedata r:id="rId63" o:title=""/>
          </v:shape>
          <o:OLEObject Type="Embed" ProgID="Visio.Drawing.15" ShapeID="_x0000_i1070" DrawAspect="Content" ObjectID="_1810066009" r:id="rId64"/>
        </w:object>
      </w:r>
    </w:p>
    <w:p w14:paraId="695427D0" w14:textId="77777777" w:rsidR="00640768" w:rsidRDefault="00640768" w:rsidP="00640768">
      <w:pPr>
        <w:pStyle w:val="TF"/>
      </w:pPr>
      <w:r>
        <w:t>Figure 4.7.1.2-1</w:t>
      </w:r>
      <w:r>
        <w:rPr>
          <w:lang w:eastAsia="zh-CN"/>
        </w:rPr>
        <w:t>:</w:t>
      </w:r>
      <w:r>
        <w:t xml:space="preserve"> Reference Architecture for the Nnwdaf_MLModelMonitor Service; SBI representation</w:t>
      </w:r>
    </w:p>
    <w:p w14:paraId="5C883831" w14:textId="77777777" w:rsidR="00640768" w:rsidRDefault="00640768" w:rsidP="00640768">
      <w:pPr>
        <w:pStyle w:val="TH"/>
        <w:ind w:firstLineChars="1350" w:firstLine="2711"/>
        <w:jc w:val="left"/>
        <w:rPr>
          <w:lang w:val="en-US" w:eastAsia="zh-CN"/>
        </w:rPr>
      </w:pPr>
      <w:r>
        <w:lastRenderedPageBreak/>
        <w:fldChar w:fldCharType="begin"/>
      </w:r>
      <w:r>
        <w:fldChar w:fldCharType="end"/>
      </w:r>
    </w:p>
    <w:p w14:paraId="70E0A3A3" w14:textId="77777777" w:rsidR="00640768" w:rsidRDefault="00640768" w:rsidP="00640768">
      <w:pPr>
        <w:pStyle w:val="TH"/>
        <w:ind w:firstLineChars="1350" w:firstLine="2711"/>
        <w:jc w:val="left"/>
        <w:rPr>
          <w:lang w:val="en-US" w:eastAsia="zh-CN"/>
        </w:rPr>
      </w:pPr>
      <w:r>
        <w:rPr>
          <w:lang w:val="en-US" w:eastAsia="zh-CN"/>
        </w:rPr>
        <w:object w:dxaOrig="2480" w:dyaOrig="2100" w14:anchorId="32D9308B">
          <v:shape id="_x0000_i1071" type="#_x0000_t75" style="width:140.25pt;height:118.95pt" o:ole="">
            <v:imagedata r:id="rId65" o:title=""/>
          </v:shape>
          <o:OLEObject Type="Embed" ProgID="Visio.Drawing.15" ShapeID="_x0000_i1071" DrawAspect="Content" ObjectID="_1810066010" r:id="rId66"/>
        </w:object>
      </w:r>
    </w:p>
    <w:p w14:paraId="74F29D5F" w14:textId="77777777" w:rsidR="00640768" w:rsidRDefault="00640768" w:rsidP="00640768">
      <w:pPr>
        <w:pStyle w:val="TF"/>
      </w:pPr>
      <w:r>
        <w:t>Figure 4.7.1.2-2</w:t>
      </w:r>
      <w:r>
        <w:rPr>
          <w:lang w:eastAsia="zh-CN"/>
        </w:rPr>
        <w:t>:</w:t>
      </w:r>
      <w:r>
        <w:t xml:space="preserve"> Reference Architecture for the Nnwdaf_MLModelMonitor Service: reference point representation</w:t>
      </w:r>
    </w:p>
    <w:p w14:paraId="1A8C3AC7" w14:textId="77777777" w:rsidR="00A10B25" w:rsidRDefault="00A10B25">
      <w:pPr>
        <w:pStyle w:val="4"/>
        <w:rPr>
          <w:lang w:val="en-US"/>
        </w:rPr>
      </w:pPr>
      <w:bookmarkStart w:id="3252" w:name="_Toc164920677"/>
      <w:bookmarkStart w:id="3253" w:name="_Toc170120219"/>
      <w:bookmarkStart w:id="3254" w:name="_Toc175858464"/>
      <w:bookmarkStart w:id="3255" w:name="_Toc175859537"/>
      <w:bookmarkStart w:id="3256" w:name="_Toc180605827"/>
      <w:bookmarkStart w:id="3257" w:name="_Toc185517081"/>
      <w:bookmarkStart w:id="3258" w:name="_Toc191576132"/>
      <w:bookmarkStart w:id="3259" w:name="_Toc191576872"/>
      <w:bookmarkStart w:id="3260" w:name="_Toc192879942"/>
      <w:bookmarkStart w:id="3261" w:name="_Toc195814825"/>
      <w:bookmarkStart w:id="3262" w:name="_Toc199452772"/>
      <w:r>
        <w:rPr>
          <w:lang w:val="en-US"/>
        </w:rPr>
        <w:t>4.7.</w:t>
      </w:r>
      <w:r>
        <w:rPr>
          <w:rFonts w:hint="eastAsia"/>
          <w:lang w:val="en-US" w:eastAsia="zh-CN"/>
        </w:rPr>
        <w:t>1.3</w:t>
      </w:r>
      <w:r>
        <w:rPr>
          <w:lang w:val="en-US"/>
        </w:rPr>
        <w:tab/>
        <w:t>Network Functions</w:t>
      </w:r>
      <w:bookmarkEnd w:id="3252"/>
      <w:bookmarkEnd w:id="3253"/>
      <w:bookmarkEnd w:id="3254"/>
      <w:bookmarkEnd w:id="3255"/>
      <w:bookmarkEnd w:id="3256"/>
      <w:bookmarkEnd w:id="3257"/>
      <w:bookmarkEnd w:id="3258"/>
      <w:bookmarkEnd w:id="3259"/>
      <w:bookmarkEnd w:id="3260"/>
      <w:bookmarkEnd w:id="3261"/>
      <w:bookmarkEnd w:id="3262"/>
    </w:p>
    <w:p w14:paraId="10B7A21D" w14:textId="77777777" w:rsidR="00A10B25" w:rsidRDefault="00A10B25">
      <w:pPr>
        <w:pStyle w:val="5"/>
        <w:rPr>
          <w:lang w:eastAsia="zh-CN"/>
        </w:rPr>
      </w:pPr>
      <w:bookmarkStart w:id="3263" w:name="_Toc164920678"/>
      <w:bookmarkStart w:id="3264" w:name="_Toc170120220"/>
      <w:bookmarkStart w:id="3265" w:name="_Toc175858465"/>
      <w:bookmarkStart w:id="3266" w:name="_Toc175859538"/>
      <w:bookmarkStart w:id="3267" w:name="_Toc180605828"/>
      <w:bookmarkStart w:id="3268" w:name="_Toc185517082"/>
      <w:bookmarkStart w:id="3269" w:name="_Toc191576133"/>
      <w:bookmarkStart w:id="3270" w:name="_Toc191576873"/>
      <w:bookmarkStart w:id="3271" w:name="_Toc192879943"/>
      <w:bookmarkStart w:id="3272" w:name="_Toc195814826"/>
      <w:bookmarkStart w:id="3273" w:name="_Toc199452773"/>
      <w:r>
        <w:t>4.7.</w:t>
      </w:r>
      <w:r>
        <w:rPr>
          <w:rFonts w:hint="eastAsia"/>
          <w:lang w:eastAsia="zh-CN"/>
        </w:rPr>
        <w:t>1.3.1</w:t>
      </w:r>
      <w:r>
        <w:tab/>
      </w:r>
      <w:r>
        <w:rPr>
          <w:lang w:val="en-US" w:eastAsia="zh-CN"/>
        </w:rPr>
        <w:t>Network Data Analytics Function (NWDAF)</w:t>
      </w:r>
      <w:bookmarkEnd w:id="3263"/>
      <w:bookmarkEnd w:id="3264"/>
      <w:bookmarkEnd w:id="3265"/>
      <w:bookmarkEnd w:id="3266"/>
      <w:bookmarkEnd w:id="3267"/>
      <w:bookmarkEnd w:id="3268"/>
      <w:bookmarkEnd w:id="3269"/>
      <w:bookmarkEnd w:id="3270"/>
      <w:bookmarkEnd w:id="3271"/>
      <w:bookmarkEnd w:id="3272"/>
      <w:bookmarkEnd w:id="3273"/>
    </w:p>
    <w:p w14:paraId="6FD2E064" w14:textId="77777777" w:rsidR="00640768" w:rsidRDefault="00640768" w:rsidP="00640768">
      <w:r>
        <w:t xml:space="preserve">The Network Data Analytics Function (NWDAF) containing MTLF allows NF </w:t>
      </w:r>
      <w:r>
        <w:rPr>
          <w:rFonts w:eastAsia="等线"/>
        </w:rPr>
        <w:t xml:space="preserve">service </w:t>
      </w:r>
      <w:r>
        <w:t xml:space="preserve">consumer (i.e.NWDAF containing AnLF) to register and deregister </w:t>
      </w:r>
      <w:r>
        <w:rPr>
          <w:lang w:eastAsia="ja-JP"/>
        </w:rPr>
        <w:t xml:space="preserve">the use and monitoring capability of </w:t>
      </w:r>
      <w:r>
        <w:rPr>
          <w:lang w:eastAsia="zh-CN"/>
        </w:rPr>
        <w:t>the analytics accuracy of an ML Model</w:t>
      </w:r>
      <w:r>
        <w:t>.</w:t>
      </w:r>
    </w:p>
    <w:p w14:paraId="07F73C77" w14:textId="77777777" w:rsidR="00640768" w:rsidRDefault="00640768" w:rsidP="00640768">
      <w:r>
        <w:t xml:space="preserve">The Network Data Analytics Function (NWDAF) containing AnLF allows NF </w:t>
      </w:r>
      <w:r>
        <w:rPr>
          <w:rFonts w:eastAsia="等线"/>
        </w:rPr>
        <w:t xml:space="preserve">service </w:t>
      </w:r>
      <w:r>
        <w:t>consumer (i.e. NWDAF containing MTLF) to subscribe to and unsubscribe from notification of monitored analytics accuracy information of an ML Model and analytics feedback information.</w:t>
      </w:r>
    </w:p>
    <w:p w14:paraId="32D75681" w14:textId="77777777" w:rsidR="00A10B25" w:rsidRDefault="00A10B25">
      <w:pPr>
        <w:pStyle w:val="5"/>
        <w:rPr>
          <w:lang w:eastAsia="zh-CN"/>
        </w:rPr>
      </w:pPr>
      <w:bookmarkStart w:id="3274" w:name="_Toc164920679"/>
      <w:bookmarkStart w:id="3275" w:name="_Toc170120221"/>
      <w:bookmarkStart w:id="3276" w:name="_Toc175858466"/>
      <w:bookmarkStart w:id="3277" w:name="_Toc175859539"/>
      <w:bookmarkStart w:id="3278" w:name="_Toc180605829"/>
      <w:bookmarkStart w:id="3279" w:name="_Toc185517083"/>
      <w:bookmarkStart w:id="3280" w:name="_Toc191576134"/>
      <w:bookmarkStart w:id="3281" w:name="_Toc191576874"/>
      <w:bookmarkStart w:id="3282" w:name="_Toc192879944"/>
      <w:bookmarkStart w:id="3283" w:name="_Toc195814827"/>
      <w:bookmarkStart w:id="3284" w:name="_Toc199452774"/>
      <w:r>
        <w:t>4.7.</w:t>
      </w:r>
      <w:r>
        <w:rPr>
          <w:lang w:eastAsia="zh-CN"/>
        </w:rPr>
        <w:t>1.3.2</w:t>
      </w:r>
      <w:r>
        <w:tab/>
      </w:r>
      <w:r>
        <w:rPr>
          <w:lang w:eastAsia="zh-CN"/>
        </w:rPr>
        <w:t>NF Service Consumers</w:t>
      </w:r>
      <w:bookmarkEnd w:id="3274"/>
      <w:bookmarkEnd w:id="3275"/>
      <w:bookmarkEnd w:id="3276"/>
      <w:bookmarkEnd w:id="3277"/>
      <w:bookmarkEnd w:id="3278"/>
      <w:bookmarkEnd w:id="3279"/>
      <w:bookmarkEnd w:id="3280"/>
      <w:bookmarkEnd w:id="3281"/>
      <w:bookmarkEnd w:id="3282"/>
      <w:bookmarkEnd w:id="3283"/>
      <w:bookmarkEnd w:id="3284"/>
    </w:p>
    <w:p w14:paraId="0A1E7253" w14:textId="77777777" w:rsidR="00640768" w:rsidRDefault="00640768" w:rsidP="00640768">
      <w:r>
        <w:t xml:space="preserve">The Network Data Analytics Function (NWDAF) containing AnLF supports (de)registering </w:t>
      </w:r>
      <w:r>
        <w:rPr>
          <w:lang w:eastAsia="ja-JP"/>
        </w:rPr>
        <w:t xml:space="preserve">the use and monitoring capability of </w:t>
      </w:r>
      <w:r>
        <w:rPr>
          <w:lang w:eastAsia="zh-CN"/>
        </w:rPr>
        <w:t>the analytics accuracy of an ML Model</w:t>
      </w:r>
      <w:r>
        <w:t>.</w:t>
      </w:r>
    </w:p>
    <w:p w14:paraId="4D149D5D" w14:textId="77777777" w:rsidR="00640768" w:rsidRDefault="00640768" w:rsidP="00640768">
      <w:pPr>
        <w:rPr>
          <w:lang w:val="en-US"/>
        </w:rPr>
      </w:pPr>
      <w:r>
        <w:t>The Network Data Analytics Function (NWDAF) containing MTLF supports (un)subscription to the notification of</w:t>
      </w:r>
      <w:r>
        <w:rPr>
          <w:lang w:eastAsia="zh-CN"/>
        </w:rPr>
        <w:t xml:space="preserve"> analytics accuracy monitoring of an ML Model and analytics feedback information</w:t>
      </w:r>
      <w:r>
        <w:t>.</w:t>
      </w:r>
    </w:p>
    <w:p w14:paraId="2AE5D001" w14:textId="77777777" w:rsidR="00A10B25" w:rsidRDefault="00A10B25">
      <w:pPr>
        <w:pStyle w:val="3"/>
      </w:pPr>
      <w:bookmarkStart w:id="3285" w:name="_Toc164920680"/>
      <w:bookmarkStart w:id="3286" w:name="_Toc170120222"/>
      <w:bookmarkStart w:id="3287" w:name="_Toc175858467"/>
      <w:bookmarkStart w:id="3288" w:name="_Toc175859540"/>
      <w:bookmarkStart w:id="3289" w:name="_Toc180605830"/>
      <w:bookmarkStart w:id="3290" w:name="_Toc185517084"/>
      <w:bookmarkStart w:id="3291" w:name="_Toc191576135"/>
      <w:bookmarkStart w:id="3292" w:name="_Toc191576875"/>
      <w:bookmarkStart w:id="3293" w:name="_Toc192879945"/>
      <w:bookmarkStart w:id="3294" w:name="_Toc195814828"/>
      <w:bookmarkStart w:id="3295" w:name="_Toc199452775"/>
      <w:r>
        <w:t>4.7.2</w:t>
      </w:r>
      <w:r>
        <w:tab/>
        <w:t>Service Operations</w:t>
      </w:r>
      <w:bookmarkEnd w:id="3285"/>
      <w:bookmarkEnd w:id="3286"/>
      <w:bookmarkEnd w:id="3287"/>
      <w:bookmarkEnd w:id="3288"/>
      <w:bookmarkEnd w:id="3289"/>
      <w:bookmarkEnd w:id="3290"/>
      <w:bookmarkEnd w:id="3291"/>
      <w:bookmarkEnd w:id="3292"/>
      <w:bookmarkEnd w:id="3293"/>
      <w:bookmarkEnd w:id="3294"/>
      <w:bookmarkEnd w:id="3295"/>
    </w:p>
    <w:p w14:paraId="4D697A53" w14:textId="77777777" w:rsidR="00A10B25" w:rsidRDefault="00A10B25">
      <w:pPr>
        <w:pStyle w:val="4"/>
        <w:rPr>
          <w:lang w:eastAsia="zh-CN"/>
        </w:rPr>
      </w:pPr>
      <w:bookmarkStart w:id="3296" w:name="_Toc164920681"/>
      <w:bookmarkStart w:id="3297" w:name="_Toc170120223"/>
      <w:bookmarkStart w:id="3298" w:name="_Toc175858468"/>
      <w:bookmarkStart w:id="3299" w:name="_Toc175859541"/>
      <w:bookmarkStart w:id="3300" w:name="_Toc180605831"/>
      <w:bookmarkStart w:id="3301" w:name="_Toc185517085"/>
      <w:bookmarkStart w:id="3302" w:name="_Toc191576136"/>
      <w:bookmarkStart w:id="3303" w:name="_Toc191576876"/>
      <w:bookmarkStart w:id="3304" w:name="_Toc192879946"/>
      <w:bookmarkStart w:id="3305" w:name="_Toc195814829"/>
      <w:bookmarkStart w:id="3306" w:name="_Toc199452776"/>
      <w:r>
        <w:t>4.7.2.1</w:t>
      </w:r>
      <w:r>
        <w:tab/>
        <w:t>Introduction</w:t>
      </w:r>
      <w:bookmarkEnd w:id="3296"/>
      <w:bookmarkEnd w:id="3297"/>
      <w:bookmarkEnd w:id="3298"/>
      <w:bookmarkEnd w:id="3299"/>
      <w:bookmarkEnd w:id="3300"/>
      <w:bookmarkEnd w:id="3301"/>
      <w:bookmarkEnd w:id="3302"/>
      <w:bookmarkEnd w:id="3303"/>
      <w:bookmarkEnd w:id="3304"/>
      <w:bookmarkEnd w:id="3305"/>
      <w:bookmarkEnd w:id="3306"/>
    </w:p>
    <w:p w14:paraId="62869253"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4.7.2.1-1: Operations of the </w:t>
      </w:r>
      <w:r>
        <w:t>Nnwdaf_MLModelMonitor</w:t>
      </w:r>
      <w:r>
        <w:rPr>
          <w:rFonts w:eastAsia="MS Mincho"/>
        </w:rPr>
        <w:t xml:space="preserve">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30B05477" w14:textId="77777777">
        <w:trPr>
          <w:cantSplit/>
          <w:tblHeader/>
        </w:trPr>
        <w:tc>
          <w:tcPr>
            <w:tcW w:w="3397" w:type="dxa"/>
            <w:shd w:val="clear" w:color="000000" w:fill="C0C0C0"/>
          </w:tcPr>
          <w:p w14:paraId="5FA861A0" w14:textId="77777777" w:rsidR="00A10B25" w:rsidRDefault="00A10B25">
            <w:pPr>
              <w:pStyle w:val="TAH"/>
              <w:ind w:left="400" w:hanging="400"/>
            </w:pPr>
            <w:r>
              <w:t>Service operation name</w:t>
            </w:r>
          </w:p>
        </w:tc>
        <w:tc>
          <w:tcPr>
            <w:tcW w:w="4231" w:type="dxa"/>
            <w:shd w:val="clear" w:color="000000" w:fill="C0C0C0"/>
          </w:tcPr>
          <w:p w14:paraId="59B63168" w14:textId="77777777" w:rsidR="00A10B25" w:rsidRDefault="00A10B25">
            <w:pPr>
              <w:pStyle w:val="TAH"/>
              <w:ind w:left="400" w:hanging="400"/>
            </w:pPr>
            <w:r>
              <w:t>Description</w:t>
            </w:r>
          </w:p>
        </w:tc>
        <w:tc>
          <w:tcPr>
            <w:tcW w:w="1985" w:type="dxa"/>
            <w:shd w:val="clear" w:color="000000" w:fill="C0C0C0"/>
          </w:tcPr>
          <w:p w14:paraId="3D924D68" w14:textId="77777777" w:rsidR="00A10B25" w:rsidRDefault="00A10B25">
            <w:pPr>
              <w:pStyle w:val="TAH"/>
              <w:ind w:left="400" w:hanging="400"/>
            </w:pPr>
            <w:r>
              <w:t>Initiated by</w:t>
            </w:r>
          </w:p>
        </w:tc>
      </w:tr>
      <w:tr w:rsidR="00A10B25" w14:paraId="2ECF633F" w14:textId="77777777">
        <w:trPr>
          <w:cantSplit/>
        </w:trPr>
        <w:tc>
          <w:tcPr>
            <w:tcW w:w="3397" w:type="dxa"/>
          </w:tcPr>
          <w:p w14:paraId="77A53038" w14:textId="77777777" w:rsidR="00A10B25" w:rsidRDefault="00A10B25">
            <w:pPr>
              <w:rPr>
                <w:rFonts w:ascii="Arial" w:hAnsi="Arial"/>
                <w:sz w:val="18"/>
              </w:rPr>
            </w:pPr>
            <w:r>
              <w:rPr>
                <w:rFonts w:ascii="Arial" w:hAnsi="Arial"/>
                <w:sz w:val="18"/>
              </w:rPr>
              <w:t>Nnwdaf_MLModelMonitor_Register</w:t>
            </w:r>
          </w:p>
        </w:tc>
        <w:tc>
          <w:tcPr>
            <w:tcW w:w="4231" w:type="dxa"/>
          </w:tcPr>
          <w:p w14:paraId="1737D021" w14:textId="77777777" w:rsidR="00A10B25" w:rsidRDefault="00A10B25">
            <w:pPr>
              <w:pStyle w:val="TAL"/>
            </w:pPr>
            <w:r>
              <w:t xml:space="preserve">This service operation is used by an NF service consumer to register </w:t>
            </w:r>
            <w:r>
              <w:rPr>
                <w:lang w:eastAsia="ja-JP"/>
              </w:rPr>
              <w:t>the monitoring capability of the analytics accuracy of an ML Model at an NWDAF containing MTLF.</w:t>
            </w:r>
          </w:p>
        </w:tc>
        <w:tc>
          <w:tcPr>
            <w:tcW w:w="1985" w:type="dxa"/>
          </w:tcPr>
          <w:p w14:paraId="53383829" w14:textId="77777777" w:rsidR="00A10B25" w:rsidRDefault="00A10B25">
            <w:pPr>
              <w:pStyle w:val="TAL"/>
              <w:rPr>
                <w:lang w:eastAsia="zh-CN"/>
              </w:rPr>
            </w:pPr>
            <w:r>
              <w:rPr>
                <w:lang w:eastAsia="zh-CN"/>
              </w:rPr>
              <w:t>NF service consumer (</w:t>
            </w:r>
            <w:r>
              <w:t>NWDAF)</w:t>
            </w:r>
          </w:p>
        </w:tc>
      </w:tr>
      <w:tr w:rsidR="00A10B25" w14:paraId="6BEC40E1" w14:textId="77777777">
        <w:trPr>
          <w:cantSplit/>
        </w:trPr>
        <w:tc>
          <w:tcPr>
            <w:tcW w:w="3397" w:type="dxa"/>
          </w:tcPr>
          <w:p w14:paraId="651F465F" w14:textId="77777777" w:rsidR="00A10B25" w:rsidRDefault="00A10B25">
            <w:pPr>
              <w:rPr>
                <w:rFonts w:ascii="Arial" w:hAnsi="Arial"/>
                <w:sz w:val="18"/>
              </w:rPr>
            </w:pPr>
            <w:r>
              <w:rPr>
                <w:rFonts w:ascii="Arial" w:hAnsi="Arial"/>
                <w:sz w:val="18"/>
              </w:rPr>
              <w:t>Nnwdaf_MLModelMonitor_Deregister</w:t>
            </w:r>
          </w:p>
        </w:tc>
        <w:tc>
          <w:tcPr>
            <w:tcW w:w="4231" w:type="dxa"/>
          </w:tcPr>
          <w:p w14:paraId="7BDB8638" w14:textId="77777777" w:rsidR="00A10B25" w:rsidRDefault="00A10B25">
            <w:pPr>
              <w:pStyle w:val="TAL"/>
            </w:pPr>
            <w:r>
              <w:t>This service operation is used by an NF service consumer to</w:t>
            </w:r>
            <w:r>
              <w:rPr>
                <w:lang w:eastAsia="ja-JP"/>
              </w:rPr>
              <w:t xml:space="preserve"> deregister a previous registration from an NWDAF containing MTLF.</w:t>
            </w:r>
          </w:p>
        </w:tc>
        <w:tc>
          <w:tcPr>
            <w:tcW w:w="1985" w:type="dxa"/>
          </w:tcPr>
          <w:p w14:paraId="2FB91F23" w14:textId="77777777" w:rsidR="00A10B25" w:rsidRDefault="00A10B25">
            <w:pPr>
              <w:pStyle w:val="TAL"/>
              <w:rPr>
                <w:lang w:eastAsia="zh-CN"/>
              </w:rPr>
            </w:pPr>
            <w:r>
              <w:rPr>
                <w:lang w:eastAsia="zh-CN"/>
              </w:rPr>
              <w:t>NF service consumer (</w:t>
            </w:r>
            <w:r>
              <w:t>NWDAF)</w:t>
            </w:r>
          </w:p>
        </w:tc>
      </w:tr>
      <w:tr w:rsidR="00A10B25" w14:paraId="02C2840D" w14:textId="77777777">
        <w:trPr>
          <w:cantSplit/>
        </w:trPr>
        <w:tc>
          <w:tcPr>
            <w:tcW w:w="3397" w:type="dxa"/>
          </w:tcPr>
          <w:p w14:paraId="6181D64C" w14:textId="77777777" w:rsidR="00A10B25" w:rsidRDefault="00A10B25">
            <w:pPr>
              <w:rPr>
                <w:rFonts w:ascii="Arial" w:hAnsi="Arial"/>
                <w:sz w:val="18"/>
              </w:rPr>
            </w:pPr>
            <w:r>
              <w:rPr>
                <w:rFonts w:ascii="Arial" w:hAnsi="Arial"/>
                <w:sz w:val="18"/>
              </w:rPr>
              <w:t>Nnwdaf_MLModelMonitor_Subscribe</w:t>
            </w:r>
          </w:p>
        </w:tc>
        <w:tc>
          <w:tcPr>
            <w:tcW w:w="4231" w:type="dxa"/>
          </w:tcPr>
          <w:p w14:paraId="4D070470" w14:textId="77777777" w:rsidR="00A10B25" w:rsidRDefault="00A10B25">
            <w:pPr>
              <w:pStyle w:val="TAL"/>
            </w:pPr>
            <w:r>
              <w:t>This service operation is used by an NF service consumer to subscribe to the analytics accuracy monitoring event of an ML Model.</w:t>
            </w:r>
          </w:p>
        </w:tc>
        <w:tc>
          <w:tcPr>
            <w:tcW w:w="1985" w:type="dxa"/>
          </w:tcPr>
          <w:p w14:paraId="21422CEF" w14:textId="77777777" w:rsidR="00A10B25" w:rsidRDefault="00A10B25">
            <w:pPr>
              <w:pStyle w:val="TAL"/>
            </w:pPr>
            <w:r>
              <w:rPr>
                <w:lang w:eastAsia="zh-CN"/>
              </w:rPr>
              <w:t>NF service consumer (</w:t>
            </w:r>
            <w:r>
              <w:t>NWDAF)</w:t>
            </w:r>
          </w:p>
        </w:tc>
      </w:tr>
      <w:tr w:rsidR="00A10B25" w14:paraId="59BA914E" w14:textId="77777777">
        <w:trPr>
          <w:cantSplit/>
        </w:trPr>
        <w:tc>
          <w:tcPr>
            <w:tcW w:w="3397" w:type="dxa"/>
          </w:tcPr>
          <w:p w14:paraId="7B50952D" w14:textId="77777777" w:rsidR="00A10B25" w:rsidRDefault="00A10B25">
            <w:pPr>
              <w:rPr>
                <w:rFonts w:ascii="Arial" w:hAnsi="Arial"/>
                <w:sz w:val="18"/>
              </w:rPr>
            </w:pPr>
            <w:r>
              <w:rPr>
                <w:rFonts w:ascii="Arial" w:hAnsi="Arial"/>
                <w:sz w:val="18"/>
              </w:rPr>
              <w:t>Nnwdaf_MLModelMonitor_Unsubscribe</w:t>
            </w:r>
          </w:p>
        </w:tc>
        <w:tc>
          <w:tcPr>
            <w:tcW w:w="4231" w:type="dxa"/>
          </w:tcPr>
          <w:p w14:paraId="5D77D0DD" w14:textId="77777777" w:rsidR="00A10B25" w:rsidRDefault="00A10B25">
            <w:pPr>
              <w:pStyle w:val="TAL"/>
            </w:pPr>
            <w:r>
              <w:t>This service operation is used by an NF service consumer to unsubscribe from the analytics accuracy monitoring event of an ML Model.</w:t>
            </w:r>
          </w:p>
        </w:tc>
        <w:tc>
          <w:tcPr>
            <w:tcW w:w="1985" w:type="dxa"/>
          </w:tcPr>
          <w:p w14:paraId="5894A63F" w14:textId="77777777" w:rsidR="00A10B25" w:rsidRDefault="00A10B25">
            <w:pPr>
              <w:pStyle w:val="TAL"/>
            </w:pPr>
            <w:r>
              <w:rPr>
                <w:lang w:eastAsia="zh-CN"/>
              </w:rPr>
              <w:t>NF service consumer (</w:t>
            </w:r>
            <w:r>
              <w:t>NWDAF)</w:t>
            </w:r>
          </w:p>
        </w:tc>
      </w:tr>
      <w:tr w:rsidR="00A10B25" w14:paraId="492A8B18" w14:textId="77777777">
        <w:trPr>
          <w:cantSplit/>
        </w:trPr>
        <w:tc>
          <w:tcPr>
            <w:tcW w:w="3397" w:type="dxa"/>
          </w:tcPr>
          <w:p w14:paraId="6565560B" w14:textId="77777777" w:rsidR="00A10B25" w:rsidRDefault="00A10B25">
            <w:pPr>
              <w:rPr>
                <w:rFonts w:ascii="Arial" w:hAnsi="Arial"/>
                <w:sz w:val="18"/>
              </w:rPr>
            </w:pPr>
            <w:r>
              <w:rPr>
                <w:rFonts w:ascii="Arial" w:hAnsi="Arial"/>
                <w:sz w:val="18"/>
              </w:rPr>
              <w:t>Nnwdaf_MLModelMonitor_Notify</w:t>
            </w:r>
          </w:p>
        </w:tc>
        <w:tc>
          <w:tcPr>
            <w:tcW w:w="4231" w:type="dxa"/>
          </w:tcPr>
          <w:p w14:paraId="7BA2D5BC" w14:textId="77777777" w:rsidR="00A10B25" w:rsidRDefault="00A10B25">
            <w:pPr>
              <w:pStyle w:val="TAL"/>
            </w:pPr>
            <w:r>
              <w:t xml:space="preserve">This service operation is used by the NWDAF to </w:t>
            </w:r>
            <w:r>
              <w:rPr>
                <w:lang w:eastAsia="ja-JP"/>
              </w:rPr>
              <w:t>notify the monitored analytics accuracy information of an ML Model</w:t>
            </w:r>
            <w:r>
              <w:t>.</w:t>
            </w:r>
          </w:p>
        </w:tc>
        <w:tc>
          <w:tcPr>
            <w:tcW w:w="1985" w:type="dxa"/>
          </w:tcPr>
          <w:p w14:paraId="30EE8329" w14:textId="77777777" w:rsidR="00A10B25" w:rsidRDefault="00A10B25">
            <w:pPr>
              <w:pStyle w:val="TAL"/>
            </w:pPr>
            <w:r>
              <w:t>NWDAF</w:t>
            </w:r>
          </w:p>
        </w:tc>
      </w:tr>
    </w:tbl>
    <w:p w14:paraId="0026F156" w14:textId="77777777" w:rsidR="00A10B25" w:rsidRDefault="00A10B25"/>
    <w:p w14:paraId="71052D02" w14:textId="77777777" w:rsidR="00A10B25" w:rsidRDefault="00A10B25">
      <w:pPr>
        <w:pStyle w:val="4"/>
      </w:pPr>
      <w:bookmarkStart w:id="3307" w:name="_Toc164920682"/>
      <w:bookmarkStart w:id="3308" w:name="_Toc170120224"/>
      <w:bookmarkStart w:id="3309" w:name="_Toc175858469"/>
      <w:bookmarkStart w:id="3310" w:name="_Toc175859542"/>
      <w:bookmarkStart w:id="3311" w:name="_Toc180605832"/>
      <w:bookmarkStart w:id="3312" w:name="_Toc185517086"/>
      <w:bookmarkStart w:id="3313" w:name="_Toc191576137"/>
      <w:bookmarkStart w:id="3314" w:name="_Toc191576877"/>
      <w:bookmarkStart w:id="3315" w:name="_Toc192879947"/>
      <w:bookmarkStart w:id="3316" w:name="_Toc195814830"/>
      <w:bookmarkStart w:id="3317" w:name="_Toc199452777"/>
      <w:r>
        <w:lastRenderedPageBreak/>
        <w:t>4.7.2.2</w:t>
      </w:r>
      <w:r>
        <w:tab/>
        <w:t>Nnwdaf_MLModelMonitor_Register service operation</w:t>
      </w:r>
      <w:bookmarkEnd w:id="3307"/>
      <w:bookmarkEnd w:id="3308"/>
      <w:bookmarkEnd w:id="3309"/>
      <w:bookmarkEnd w:id="3310"/>
      <w:bookmarkEnd w:id="3311"/>
      <w:bookmarkEnd w:id="3312"/>
      <w:bookmarkEnd w:id="3313"/>
      <w:bookmarkEnd w:id="3314"/>
      <w:bookmarkEnd w:id="3315"/>
      <w:bookmarkEnd w:id="3316"/>
      <w:bookmarkEnd w:id="3317"/>
    </w:p>
    <w:p w14:paraId="6E9C8B7A" w14:textId="77777777" w:rsidR="00A10B25" w:rsidRDefault="00A10B25">
      <w:pPr>
        <w:pStyle w:val="5"/>
      </w:pPr>
      <w:bookmarkStart w:id="3318" w:name="_Toc164920683"/>
      <w:bookmarkStart w:id="3319" w:name="_Toc170120225"/>
      <w:bookmarkStart w:id="3320" w:name="_Toc175858470"/>
      <w:bookmarkStart w:id="3321" w:name="_Toc175859543"/>
      <w:bookmarkStart w:id="3322" w:name="_Toc180605833"/>
      <w:bookmarkStart w:id="3323" w:name="_Toc185517087"/>
      <w:bookmarkStart w:id="3324" w:name="_Toc191576138"/>
      <w:bookmarkStart w:id="3325" w:name="_Toc191576878"/>
      <w:bookmarkStart w:id="3326" w:name="_Toc192879948"/>
      <w:bookmarkStart w:id="3327" w:name="_Toc195814831"/>
      <w:bookmarkStart w:id="3328" w:name="_Toc199452778"/>
      <w:r>
        <w:t>4.7.2.2.1</w:t>
      </w:r>
      <w:r>
        <w:tab/>
        <w:t>General</w:t>
      </w:r>
      <w:bookmarkEnd w:id="3318"/>
      <w:bookmarkEnd w:id="3319"/>
      <w:bookmarkEnd w:id="3320"/>
      <w:bookmarkEnd w:id="3321"/>
      <w:bookmarkEnd w:id="3322"/>
      <w:bookmarkEnd w:id="3323"/>
      <w:bookmarkEnd w:id="3324"/>
      <w:bookmarkEnd w:id="3325"/>
      <w:bookmarkEnd w:id="3326"/>
      <w:bookmarkEnd w:id="3327"/>
      <w:bookmarkEnd w:id="3328"/>
    </w:p>
    <w:p w14:paraId="069FC92D" w14:textId="77777777" w:rsidR="00A10B25" w:rsidRDefault="00A10B25">
      <w:r>
        <w:t xml:space="preserve">The Nnwdaf_MLModelMonitor_Register service operation is used by an NF service consumer (i.e. NWDAF containing AnLF) to register </w:t>
      </w:r>
      <w:r>
        <w:rPr>
          <w:lang w:eastAsia="ja-JP"/>
        </w:rPr>
        <w:t>the monitoring capability</w:t>
      </w:r>
      <w:r>
        <w:t xml:space="preserve"> </w:t>
      </w:r>
      <w:r>
        <w:rPr>
          <w:lang w:eastAsia="ja-JP"/>
        </w:rPr>
        <w:t>of the analytics accuracy of an ML Model and analytics feedback information.</w:t>
      </w:r>
    </w:p>
    <w:p w14:paraId="3AF56E95" w14:textId="77777777" w:rsidR="00A10B25" w:rsidRDefault="00A10B25">
      <w:pPr>
        <w:pStyle w:val="5"/>
      </w:pPr>
      <w:bookmarkStart w:id="3329" w:name="_Toc164920684"/>
      <w:bookmarkStart w:id="3330" w:name="_Toc170120226"/>
      <w:bookmarkStart w:id="3331" w:name="_Toc175858471"/>
      <w:bookmarkStart w:id="3332" w:name="_Toc175859544"/>
      <w:bookmarkStart w:id="3333" w:name="_Toc180605834"/>
      <w:bookmarkStart w:id="3334" w:name="_Toc185517088"/>
      <w:bookmarkStart w:id="3335" w:name="_Toc191576139"/>
      <w:bookmarkStart w:id="3336" w:name="_Toc191576879"/>
      <w:bookmarkStart w:id="3337" w:name="_Toc192879949"/>
      <w:bookmarkStart w:id="3338" w:name="_Toc195814832"/>
      <w:bookmarkStart w:id="3339" w:name="_Toc199452779"/>
      <w:r>
        <w:t>4.7.2.2.2</w:t>
      </w:r>
      <w:r>
        <w:tab/>
      </w:r>
      <w:r>
        <w:rPr>
          <w:lang w:eastAsia="zh-CN"/>
        </w:rPr>
        <w:t>Registering the monitoring of the analytics accuracy of an ML Model</w:t>
      </w:r>
      <w:bookmarkEnd w:id="3329"/>
      <w:bookmarkEnd w:id="3330"/>
      <w:bookmarkEnd w:id="3331"/>
      <w:bookmarkEnd w:id="3332"/>
      <w:bookmarkEnd w:id="3333"/>
      <w:bookmarkEnd w:id="3334"/>
      <w:bookmarkEnd w:id="3335"/>
      <w:bookmarkEnd w:id="3336"/>
      <w:bookmarkEnd w:id="3337"/>
      <w:bookmarkEnd w:id="3338"/>
      <w:bookmarkEnd w:id="3339"/>
    </w:p>
    <w:p w14:paraId="74A01C8C" w14:textId="77777777" w:rsidR="00A10B25" w:rsidRDefault="00A10B25">
      <w:pPr>
        <w:rPr>
          <w:rFonts w:eastAsia="等线"/>
        </w:rPr>
      </w:pPr>
      <w:r>
        <w:rPr>
          <w:rFonts w:eastAsia="等线"/>
        </w:rPr>
        <w:t xml:space="preserve">Figure 4.7.2.2.2-1 shows a scenario where the </w:t>
      </w:r>
      <w:r>
        <w:t xml:space="preserve">NF service consumer </w:t>
      </w:r>
      <w:r>
        <w:rPr>
          <w:rFonts w:eastAsia="等线"/>
        </w:rPr>
        <w:t xml:space="preserve">sends a request to the NWDAF containing MTLF to </w:t>
      </w:r>
      <w:r>
        <w:t xml:space="preserve">register </w:t>
      </w:r>
      <w:r>
        <w:rPr>
          <w:lang w:eastAsia="ja-JP"/>
        </w:rPr>
        <w:t>the use and monitoring capability</w:t>
      </w:r>
      <w:r>
        <w:t xml:space="preserve"> </w:t>
      </w:r>
      <w:r>
        <w:rPr>
          <w:lang w:eastAsia="ja-JP"/>
        </w:rPr>
        <w:t>of the analytics accuracy of an ML Model</w:t>
      </w:r>
      <w:r>
        <w:rPr>
          <w:rFonts w:eastAsia="等线"/>
        </w:rPr>
        <w:t>.</w:t>
      </w:r>
    </w:p>
    <w:p w14:paraId="3D741F92" w14:textId="77777777" w:rsidR="00A10B25" w:rsidRDefault="00A10B25">
      <w:pPr>
        <w:rPr>
          <w:lang w:eastAsia="zh-CN"/>
        </w:rPr>
      </w:pPr>
    </w:p>
    <w:p w14:paraId="2AEBEF7E" w14:textId="77777777" w:rsidR="00A10B25" w:rsidRDefault="00A10B25">
      <w:pPr>
        <w:pStyle w:val="TH"/>
      </w:pPr>
      <w:r>
        <w:rPr>
          <w:lang w:val="en-US" w:eastAsia="zh-CN"/>
        </w:rPr>
        <w:object w:dxaOrig="9007" w:dyaOrig="2960" w14:anchorId="512802B0">
          <v:shape id="Object 38" o:spid="_x0000_i1072" type="#_x0000_t75" style="width:483.35pt;height:158.4pt;mso-position-horizontal-relative:page;mso-position-vertical-relative:page" o:ole="">
            <v:imagedata r:id="rId67" o:title=""/>
          </v:shape>
          <o:OLEObject Type="Embed" ProgID="Visio.Drawing.15" ShapeID="Object 38" DrawAspect="Content" ObjectID="_1810066011" r:id="rId68"/>
        </w:object>
      </w:r>
    </w:p>
    <w:p w14:paraId="384F8B3E" w14:textId="77777777" w:rsidR="00A10B25" w:rsidRDefault="00A10B25">
      <w:pPr>
        <w:pStyle w:val="TF"/>
      </w:pPr>
      <w:r>
        <w:t xml:space="preserve">Figure 4.7.2.2.2-1: NF service consumer registers </w:t>
      </w:r>
      <w:r>
        <w:rPr>
          <w:lang w:eastAsia="ja-JP"/>
        </w:rPr>
        <w:t>the use and monitoring capability</w:t>
      </w:r>
      <w:r>
        <w:t xml:space="preserve"> </w:t>
      </w:r>
      <w:r>
        <w:rPr>
          <w:lang w:eastAsia="ja-JP"/>
        </w:rPr>
        <w:t>of the analytics accuracy of an ML Model</w:t>
      </w:r>
    </w:p>
    <w:p w14:paraId="5E9D9486" w14:textId="77777777" w:rsidR="00A10B25" w:rsidRDefault="00A10B25">
      <w:r>
        <w:t>The NF service consumer shall invoke the Nnwdaf_MLModelMonitor_Register service operation to register the use and indicate the monitoring capability of the analytics accuracy of an ML Model and analytics feedback information. The NF service consumer shall send an HTTP POST request with "{apiRoot}/nnwdaf-mlmodelmonitor/&lt;apiVersion&gt;/registrations" as Resource URI representing the "NWDAF ML model monitoring registrations", as shown in figure 4.7.2.2.2-1, step 1, to create an "Individual NWDAF ML model monitoring registration" according to the information in the message body. The MLModelMonitorReg data structure provided in the request body shall include:</w:t>
      </w:r>
    </w:p>
    <w:p w14:paraId="5E57D210" w14:textId="77777777" w:rsidR="00A10B25" w:rsidRDefault="00A10B25">
      <w:pPr>
        <w:pStyle w:val="B1"/>
      </w:pPr>
      <w:r>
        <w:t>-</w:t>
      </w:r>
      <w:r>
        <w:tab/>
        <w:t>the ML model ID within the "modelId" attribute; and</w:t>
      </w:r>
    </w:p>
    <w:p w14:paraId="6A22938A" w14:textId="77777777" w:rsidR="00A10B25" w:rsidRDefault="00A10B25">
      <w:pPr>
        <w:pStyle w:val="B1"/>
      </w:pPr>
      <w:r>
        <w:t>-</w:t>
      </w:r>
      <w:r>
        <w:tab/>
        <w:t>one of the following identifiers related to the NF service consumer:</w:t>
      </w:r>
    </w:p>
    <w:p w14:paraId="4B830C45" w14:textId="77777777" w:rsidR="00A10B25" w:rsidRDefault="00A10B25">
      <w:pPr>
        <w:pStyle w:val="B2"/>
      </w:pPr>
      <w:r>
        <w:t>-</w:t>
      </w:r>
      <w:r>
        <w:tab/>
        <w:t xml:space="preserve"> the NF instance ID of the consumer within the "consumerId" attribute;</w:t>
      </w:r>
    </w:p>
    <w:p w14:paraId="7D7A858F" w14:textId="77777777" w:rsidR="00A10B25" w:rsidRDefault="00A10B25">
      <w:pPr>
        <w:pStyle w:val="B2"/>
      </w:pPr>
      <w:r>
        <w:t>-</w:t>
      </w:r>
      <w:r>
        <w:tab/>
        <w:t>NF set ID of the consumer within the "consumerSetId" attribute.</w:t>
      </w:r>
    </w:p>
    <w:p w14:paraId="6062BEA0" w14:textId="77777777" w:rsidR="00A10B25" w:rsidRDefault="00A10B25">
      <w:r>
        <w:t>and may include:</w:t>
      </w:r>
    </w:p>
    <w:p w14:paraId="4737EDBF" w14:textId="77777777" w:rsidR="00640768" w:rsidRDefault="00640768" w:rsidP="00640768">
      <w:pPr>
        <w:pStyle w:val="B1"/>
      </w:pPr>
      <w:r>
        <w:t>-</w:t>
      </w:r>
      <w:r>
        <w:tab/>
        <w:t>ML Model accuracy transfer indication within the "modelAccuInd" attribute;</w:t>
      </w:r>
    </w:p>
    <w:p w14:paraId="47A88843" w14:textId="77777777" w:rsidR="00640768" w:rsidRDefault="00640768" w:rsidP="00640768">
      <w:pPr>
        <w:pStyle w:val="B1"/>
      </w:pPr>
      <w:r>
        <w:t>-</w:t>
      </w:r>
      <w:r>
        <w:tab/>
      </w:r>
      <w:r w:rsidRPr="00876D37">
        <w:t>an event identifier as the "mLEvent" attribute</w:t>
      </w:r>
      <w:r>
        <w:t>;</w:t>
      </w:r>
    </w:p>
    <w:p w14:paraId="27803DF2" w14:textId="77777777" w:rsidR="00640768" w:rsidRDefault="00640768" w:rsidP="00640768">
      <w:pPr>
        <w:pStyle w:val="B1"/>
      </w:pPr>
      <w:r>
        <w:t>-</w:t>
      </w:r>
      <w:r>
        <w:tab/>
        <w:t>event filter information as the "mLEventFilter" attribute; and</w:t>
      </w:r>
    </w:p>
    <w:p w14:paraId="7DD52AF4" w14:textId="77777777" w:rsidR="00640768" w:rsidRDefault="00640768" w:rsidP="00640768">
      <w:pPr>
        <w:pStyle w:val="B1"/>
      </w:pPr>
      <w:r>
        <w:t>-</w:t>
      </w:r>
      <w:r>
        <w:tab/>
        <w:t>an identification of target UE information as the "tgtUe" attribute.</w:t>
      </w:r>
    </w:p>
    <w:p w14:paraId="75DDBBC3" w14:textId="77777777" w:rsidR="00A10B25" w:rsidRDefault="00A10B25">
      <w:r>
        <w:t xml:space="preserve">Upon the reception of an HTTP POST request with "{apiRoot}/nnwdaf-mlmodelmonitor/&lt;apiVersion&gt;/registrations" as Resource URI and MLModelMonitorReg data structure as request body, the NWDAF shall: </w:t>
      </w:r>
    </w:p>
    <w:p w14:paraId="5679220C" w14:textId="77777777" w:rsidR="00A10B25" w:rsidRDefault="00A10B25">
      <w:pPr>
        <w:pStyle w:val="B1"/>
      </w:pPr>
      <w:r>
        <w:t>-</w:t>
      </w:r>
      <w:r>
        <w:tab/>
        <w:t>create a new registration;</w:t>
      </w:r>
    </w:p>
    <w:p w14:paraId="001C0A18" w14:textId="77777777" w:rsidR="00A10B25" w:rsidRDefault="00A10B25">
      <w:pPr>
        <w:pStyle w:val="B1"/>
      </w:pPr>
      <w:r>
        <w:t>-</w:t>
      </w:r>
      <w:r>
        <w:tab/>
        <w:t>assign a registrationId;</w:t>
      </w:r>
    </w:p>
    <w:p w14:paraId="4EBBE521" w14:textId="77777777" w:rsidR="00A10B25" w:rsidRDefault="00A10B25">
      <w:pPr>
        <w:pStyle w:val="B1"/>
      </w:pPr>
      <w:r>
        <w:t>-</w:t>
      </w:r>
      <w:r>
        <w:tab/>
        <w:t>store the registration information.</w:t>
      </w:r>
    </w:p>
    <w:p w14:paraId="1951F57D" w14:textId="77777777" w:rsidR="00A10B25" w:rsidRDefault="00A10B25">
      <w:r>
        <w:t xml:space="preserve">If the NWDAF created an "Individual NWDAF ML model monitoring registration" resource, the NWDAF shall respond with "201 Created" with the message body containing a representation of the created registration, as shown in </w:t>
      </w:r>
      <w:r>
        <w:lastRenderedPageBreak/>
        <w:t>figure 4.7.2.2.2-1, step 2. The NWDAF shall include a Location HTTP header field. The Location header field shall contain the URI of the created profile, i.e. "{apiRoot}/nnwdaf-mlmodelmonitor/&lt;apiVersion&gt;/registrations/{registrationId}".</w:t>
      </w:r>
    </w:p>
    <w:p w14:paraId="78437DBF" w14:textId="77777777" w:rsidR="00A10B25" w:rsidRDefault="00A10B25">
      <w:r>
        <w:t>If an error occurs when processing the HTTP POST request, the NWDAF shall send an HTTP error response as specified in clause 5.6.7.</w:t>
      </w:r>
    </w:p>
    <w:p w14:paraId="503BF136" w14:textId="77777777" w:rsidR="00A10B25" w:rsidRDefault="00A10B25">
      <w:pPr>
        <w:pStyle w:val="4"/>
      </w:pPr>
      <w:bookmarkStart w:id="3340" w:name="_Toc164920685"/>
      <w:bookmarkStart w:id="3341" w:name="_Toc170120227"/>
      <w:bookmarkStart w:id="3342" w:name="_Toc175858472"/>
      <w:bookmarkStart w:id="3343" w:name="_Toc175859545"/>
      <w:bookmarkStart w:id="3344" w:name="_Toc180605835"/>
      <w:bookmarkStart w:id="3345" w:name="_Toc185517089"/>
      <w:bookmarkStart w:id="3346" w:name="_Toc191576140"/>
      <w:bookmarkStart w:id="3347" w:name="_Toc191576880"/>
      <w:bookmarkStart w:id="3348" w:name="_Toc192879950"/>
      <w:bookmarkStart w:id="3349" w:name="_Toc195814833"/>
      <w:bookmarkStart w:id="3350" w:name="_Toc199452780"/>
      <w:r>
        <w:t>4.7.2.3</w:t>
      </w:r>
      <w:r>
        <w:tab/>
        <w:t>Nnwdaf_MLModelMonitor_Deregister service operation</w:t>
      </w:r>
      <w:bookmarkEnd w:id="3340"/>
      <w:bookmarkEnd w:id="3341"/>
      <w:bookmarkEnd w:id="3342"/>
      <w:bookmarkEnd w:id="3343"/>
      <w:bookmarkEnd w:id="3344"/>
      <w:bookmarkEnd w:id="3345"/>
      <w:bookmarkEnd w:id="3346"/>
      <w:bookmarkEnd w:id="3347"/>
      <w:bookmarkEnd w:id="3348"/>
      <w:bookmarkEnd w:id="3349"/>
      <w:bookmarkEnd w:id="3350"/>
    </w:p>
    <w:p w14:paraId="26A182F4" w14:textId="77777777" w:rsidR="00A10B25" w:rsidRDefault="00A10B25">
      <w:pPr>
        <w:pStyle w:val="5"/>
      </w:pPr>
      <w:bookmarkStart w:id="3351" w:name="_Toc164920686"/>
      <w:bookmarkStart w:id="3352" w:name="_Toc170120228"/>
      <w:bookmarkStart w:id="3353" w:name="_Toc175858473"/>
      <w:bookmarkStart w:id="3354" w:name="_Toc175859546"/>
      <w:bookmarkStart w:id="3355" w:name="_Toc180605836"/>
      <w:bookmarkStart w:id="3356" w:name="_Toc185517090"/>
      <w:bookmarkStart w:id="3357" w:name="_Toc191576141"/>
      <w:bookmarkStart w:id="3358" w:name="_Toc191576881"/>
      <w:bookmarkStart w:id="3359" w:name="_Toc192879951"/>
      <w:bookmarkStart w:id="3360" w:name="_Toc195814834"/>
      <w:bookmarkStart w:id="3361" w:name="_Toc199452781"/>
      <w:r>
        <w:t>4.7.2.3.1</w:t>
      </w:r>
      <w:r>
        <w:tab/>
        <w:t>General</w:t>
      </w:r>
      <w:bookmarkEnd w:id="3351"/>
      <w:bookmarkEnd w:id="3352"/>
      <w:bookmarkEnd w:id="3353"/>
      <w:bookmarkEnd w:id="3354"/>
      <w:bookmarkEnd w:id="3355"/>
      <w:bookmarkEnd w:id="3356"/>
      <w:bookmarkEnd w:id="3357"/>
      <w:bookmarkEnd w:id="3358"/>
      <w:bookmarkEnd w:id="3359"/>
      <w:bookmarkEnd w:id="3360"/>
      <w:bookmarkEnd w:id="3361"/>
    </w:p>
    <w:p w14:paraId="1D29986B" w14:textId="77777777" w:rsidR="00A10B25" w:rsidRDefault="00A10B25">
      <w:pPr>
        <w:rPr>
          <w:lang w:eastAsia="ja-JP"/>
        </w:rPr>
      </w:pPr>
      <w:r>
        <w:t>The Nnwdaf_MLModelMonitor_Deregister service operation is used by an NF service consumer (i.e. NWDAF containing AnLF) to</w:t>
      </w:r>
      <w:r>
        <w:rPr>
          <w:lang w:eastAsia="ja-JP"/>
        </w:rPr>
        <w:t xml:space="preserve"> deregister a previous registration from an NWDAF containing MTLF.</w:t>
      </w:r>
    </w:p>
    <w:p w14:paraId="5FC9092D" w14:textId="77777777" w:rsidR="00A10B25" w:rsidRDefault="00A10B25">
      <w:pPr>
        <w:pStyle w:val="5"/>
      </w:pPr>
      <w:bookmarkStart w:id="3362" w:name="_Toc164920687"/>
      <w:bookmarkStart w:id="3363" w:name="_Toc170120229"/>
      <w:bookmarkStart w:id="3364" w:name="_Toc175858474"/>
      <w:bookmarkStart w:id="3365" w:name="_Toc175859547"/>
      <w:bookmarkStart w:id="3366" w:name="_Toc180605837"/>
      <w:bookmarkStart w:id="3367" w:name="_Toc185517091"/>
      <w:bookmarkStart w:id="3368" w:name="_Toc191576142"/>
      <w:bookmarkStart w:id="3369" w:name="_Toc191576882"/>
      <w:bookmarkStart w:id="3370" w:name="_Toc192879952"/>
      <w:bookmarkStart w:id="3371" w:name="_Toc195814835"/>
      <w:bookmarkStart w:id="3372" w:name="_Toc199452782"/>
      <w:r>
        <w:t>4.7.2.3.2</w:t>
      </w:r>
      <w:r>
        <w:tab/>
        <w:t>De</w:t>
      </w:r>
      <w:r>
        <w:rPr>
          <w:lang w:eastAsia="zh-CN"/>
        </w:rPr>
        <w:t>registering the monitoring of the analytics accuracy of an ML Model</w:t>
      </w:r>
      <w:bookmarkEnd w:id="3362"/>
      <w:bookmarkEnd w:id="3363"/>
      <w:bookmarkEnd w:id="3364"/>
      <w:bookmarkEnd w:id="3365"/>
      <w:bookmarkEnd w:id="3366"/>
      <w:bookmarkEnd w:id="3367"/>
      <w:bookmarkEnd w:id="3368"/>
      <w:bookmarkEnd w:id="3369"/>
      <w:bookmarkEnd w:id="3370"/>
      <w:bookmarkEnd w:id="3371"/>
      <w:bookmarkEnd w:id="3372"/>
      <w:r>
        <w:t xml:space="preserve"> </w:t>
      </w:r>
    </w:p>
    <w:p w14:paraId="3E71E80D" w14:textId="77777777" w:rsidR="00A10B25" w:rsidRDefault="00A10B25">
      <w:pPr>
        <w:rPr>
          <w:lang w:eastAsia="zh-CN"/>
        </w:rPr>
      </w:pPr>
      <w:r>
        <w:rPr>
          <w:rFonts w:eastAsia="等线"/>
        </w:rPr>
        <w:t>Figure 4.7.2.3.2-1 shows a scenario where the</w:t>
      </w:r>
      <w:r>
        <w:t xml:space="preserve"> NF service consumer </w:t>
      </w:r>
      <w:r>
        <w:rPr>
          <w:rFonts w:eastAsia="等线"/>
        </w:rPr>
        <w:t>sends a request to the NWDAF</w:t>
      </w:r>
      <w:r>
        <w:t xml:space="preserve"> containing MTLF </w:t>
      </w:r>
      <w:r>
        <w:rPr>
          <w:rFonts w:eastAsia="等线"/>
        </w:rPr>
        <w:t>to de</w:t>
      </w:r>
      <w:r>
        <w:t xml:space="preserve">register </w:t>
      </w:r>
      <w:r>
        <w:rPr>
          <w:lang w:eastAsia="ja-JP"/>
        </w:rPr>
        <w:t>the use or monitoring capability</w:t>
      </w:r>
      <w:r>
        <w:t xml:space="preserve"> </w:t>
      </w:r>
      <w:r>
        <w:rPr>
          <w:lang w:eastAsia="ja-JP"/>
        </w:rPr>
        <w:t>of the analytics accuracy of an ML Model</w:t>
      </w:r>
      <w:r>
        <w:rPr>
          <w:rFonts w:eastAsia="等线"/>
        </w:rPr>
        <w:t>.</w:t>
      </w:r>
    </w:p>
    <w:p w14:paraId="32E0195C" w14:textId="77777777" w:rsidR="00A10B25" w:rsidRDefault="00A10B25">
      <w:pPr>
        <w:pStyle w:val="TH"/>
        <w:rPr>
          <w:rFonts w:eastAsia="等线"/>
        </w:rPr>
      </w:pPr>
      <w:r>
        <w:rPr>
          <w:rFonts w:eastAsia="等线"/>
          <w:lang w:val="en-US" w:eastAsia="zh-CN"/>
        </w:rPr>
        <w:object w:dxaOrig="9007" w:dyaOrig="2961" w14:anchorId="358C1A0A">
          <v:shape id="Object 39" o:spid="_x0000_i1073" type="#_x0000_t75" style="width:483.35pt;height:158.4pt;mso-position-horizontal-relative:page;mso-position-vertical-relative:page" o:ole="">
            <v:imagedata r:id="rId69" o:title=""/>
          </v:shape>
          <o:OLEObject Type="Embed" ProgID="Visio.Drawing.15" ShapeID="Object 39" DrawAspect="Content" ObjectID="_1810066012" r:id="rId70"/>
        </w:object>
      </w:r>
    </w:p>
    <w:p w14:paraId="5A39A1B5" w14:textId="77777777" w:rsidR="00A10B25" w:rsidRDefault="00A10B25">
      <w:pPr>
        <w:pStyle w:val="TF"/>
      </w:pPr>
      <w:r>
        <w:t>Figure 4.7.2.3.2-1: NF service consumer deregisters the use or monitoring capability of the analytics</w:t>
      </w:r>
      <w:r>
        <w:rPr>
          <w:lang w:eastAsia="ja-JP"/>
        </w:rPr>
        <w:t xml:space="preserve"> accuracy of an ML Model</w:t>
      </w:r>
    </w:p>
    <w:p w14:paraId="6FFD7AF0" w14:textId="77777777" w:rsidR="00A10B25" w:rsidRDefault="00A10B25">
      <w:r>
        <w:t xml:space="preserve">The NF service consumer shall invoke the </w:t>
      </w:r>
      <w:r w:rsidRPr="0076721C">
        <w:t>Nnwdaf_MLModelMonitor_Deregister</w:t>
      </w:r>
      <w:r>
        <w:t xml:space="preserve"> service operation to delete a registration of the use or monitoring capability of the analytics</w:t>
      </w:r>
      <w:r>
        <w:rPr>
          <w:lang w:eastAsia="ja-JP"/>
        </w:rPr>
        <w:t xml:space="preserve"> accuracy of an ML Model</w:t>
      </w:r>
      <w:r>
        <w:t>. The NF service consumer shall send an HTTP DELETE request with "{apiRoot}/nnwdaf-mlmodelmonitor/&lt;apiVersion&gt;/registrations/{registrationId}" as Resource URI representing an "Individual NWDAF ML model monitoring registration" resource, as shown in figure 4.7.2.3.2-1, step 1, where "{registrationId}" is the identifier of the existing registration that is to be deleted.</w:t>
      </w:r>
    </w:p>
    <w:p w14:paraId="6A622F63" w14:textId="77777777" w:rsidR="00A10B25" w:rsidRDefault="00A10B25">
      <w:r>
        <w:t xml:space="preserve">Upon the reception of an HTTP DELETE request with "{apiRoot}/nnwdaf-mlmodelmonitor/&lt;apiVersion&gt;/registrations/{registrationId}" as Resource URI, if the </w:t>
      </w:r>
      <w:r>
        <w:rPr>
          <w:rFonts w:eastAsia="等线"/>
        </w:rPr>
        <w:t xml:space="preserve">NWDAF </w:t>
      </w:r>
      <w:r>
        <w:t xml:space="preserve">successfully processed and accepted the received HTTP DELETE request, the </w:t>
      </w:r>
      <w:r>
        <w:rPr>
          <w:rFonts w:eastAsia="等线"/>
        </w:rPr>
        <w:t>NWDAF</w:t>
      </w:r>
      <w:r>
        <w:t xml:space="preserve"> shall: </w:t>
      </w:r>
    </w:p>
    <w:p w14:paraId="53C0DFE0" w14:textId="77777777" w:rsidR="00A10B25" w:rsidRDefault="00A10B25">
      <w:pPr>
        <w:pStyle w:val="B1"/>
      </w:pPr>
      <w:r>
        <w:t>-</w:t>
      </w:r>
      <w:r>
        <w:tab/>
        <w:t>remove the corresponding registration;</w:t>
      </w:r>
    </w:p>
    <w:p w14:paraId="29597855" w14:textId="77777777" w:rsidR="00A10B25" w:rsidRDefault="00A10B25">
      <w:pPr>
        <w:pStyle w:val="B1"/>
      </w:pPr>
      <w:r>
        <w:t>-</w:t>
      </w:r>
      <w:r>
        <w:tab/>
        <w:t>respond</w:t>
      </w:r>
      <w:r>
        <w:rPr>
          <w:rFonts w:eastAsia="Batang"/>
        </w:rPr>
        <w:t xml:space="preserve"> </w:t>
      </w:r>
      <w:r>
        <w:t>with HTTP "204 No Content" status.</w:t>
      </w:r>
    </w:p>
    <w:p w14:paraId="686A1431" w14:textId="77777777" w:rsidR="00A10B25" w:rsidRDefault="00A10B25">
      <w:r>
        <w:t xml:space="preserve">If the </w:t>
      </w:r>
      <w:r>
        <w:rPr>
          <w:rFonts w:eastAsia="等线"/>
        </w:rPr>
        <w:t>NWDAF</w:t>
      </w:r>
      <w:r>
        <w:t xml:space="preserve"> determines the received HTTP DELETE request needs to be redirected, the </w:t>
      </w:r>
      <w:r>
        <w:rPr>
          <w:rFonts w:eastAsia="等线"/>
        </w:rPr>
        <w:t>NWDAF</w:t>
      </w:r>
      <w:r>
        <w:t xml:space="preserve"> shall send an HTTP redirect response as specified in clause </w:t>
      </w:r>
      <w:r>
        <w:rPr>
          <w:lang w:eastAsia="zh-CN"/>
        </w:rPr>
        <w:t xml:space="preserve">6.10.9 of </w:t>
      </w:r>
      <w:r>
        <w:rPr>
          <w:lang w:val="en-US"/>
        </w:rPr>
        <w:t>3GPP TS 29.500 [4]</w:t>
      </w:r>
      <w:r>
        <w:t>.</w:t>
      </w:r>
    </w:p>
    <w:p w14:paraId="4895884C" w14:textId="77777777" w:rsidR="00A10B25" w:rsidRDefault="00A10B25">
      <w:r>
        <w:t xml:space="preserve">If errors occur when processing the HTTP DELETE request, the </w:t>
      </w:r>
      <w:r>
        <w:rPr>
          <w:rFonts w:eastAsia="等线"/>
        </w:rPr>
        <w:t>NWDAF</w:t>
      </w:r>
      <w:r>
        <w:t xml:space="preserve"> shall send an HTTP error response as specified in clause 5.6.7.</w:t>
      </w:r>
    </w:p>
    <w:p w14:paraId="2B9AA60D" w14:textId="77777777" w:rsidR="00A10B25" w:rsidRDefault="00A10B25">
      <w:pPr>
        <w:pStyle w:val="4"/>
      </w:pPr>
      <w:bookmarkStart w:id="3373" w:name="_Toc164920688"/>
      <w:bookmarkStart w:id="3374" w:name="_Toc170120230"/>
      <w:bookmarkStart w:id="3375" w:name="_Toc175858475"/>
      <w:bookmarkStart w:id="3376" w:name="_Toc175859548"/>
      <w:bookmarkStart w:id="3377" w:name="_Toc180605838"/>
      <w:bookmarkStart w:id="3378" w:name="_Toc185517092"/>
      <w:bookmarkStart w:id="3379" w:name="_Toc191576143"/>
      <w:bookmarkStart w:id="3380" w:name="_Toc191576883"/>
      <w:bookmarkStart w:id="3381" w:name="_Toc192879953"/>
      <w:bookmarkStart w:id="3382" w:name="_Toc195814836"/>
      <w:bookmarkStart w:id="3383" w:name="_Toc199452783"/>
      <w:r>
        <w:lastRenderedPageBreak/>
        <w:t>4.7.2.4</w:t>
      </w:r>
      <w:r>
        <w:tab/>
        <w:t>Nnwdaf_MLModelMonitor_Subscribe service operation</w:t>
      </w:r>
      <w:bookmarkEnd w:id="3373"/>
      <w:bookmarkEnd w:id="3374"/>
      <w:bookmarkEnd w:id="3375"/>
      <w:bookmarkEnd w:id="3376"/>
      <w:bookmarkEnd w:id="3377"/>
      <w:bookmarkEnd w:id="3378"/>
      <w:bookmarkEnd w:id="3379"/>
      <w:bookmarkEnd w:id="3380"/>
      <w:bookmarkEnd w:id="3381"/>
      <w:bookmarkEnd w:id="3382"/>
      <w:bookmarkEnd w:id="3383"/>
    </w:p>
    <w:p w14:paraId="66E0FD6A" w14:textId="77777777" w:rsidR="00A10B25" w:rsidRDefault="00A10B25">
      <w:pPr>
        <w:pStyle w:val="5"/>
      </w:pPr>
      <w:bookmarkStart w:id="3384" w:name="_Toc164920689"/>
      <w:bookmarkStart w:id="3385" w:name="_Toc170120231"/>
      <w:bookmarkStart w:id="3386" w:name="_Toc175858476"/>
      <w:bookmarkStart w:id="3387" w:name="_Toc175859549"/>
      <w:bookmarkStart w:id="3388" w:name="_Toc180605839"/>
      <w:bookmarkStart w:id="3389" w:name="_Toc185517093"/>
      <w:bookmarkStart w:id="3390" w:name="_Toc191576144"/>
      <w:bookmarkStart w:id="3391" w:name="_Toc191576884"/>
      <w:bookmarkStart w:id="3392" w:name="_Toc192879954"/>
      <w:bookmarkStart w:id="3393" w:name="_Toc195814837"/>
      <w:bookmarkStart w:id="3394" w:name="_Toc199452784"/>
      <w:r>
        <w:t>4.7.2.4.1</w:t>
      </w:r>
      <w:r>
        <w:tab/>
        <w:t>General</w:t>
      </w:r>
      <w:bookmarkEnd w:id="3384"/>
      <w:bookmarkEnd w:id="3385"/>
      <w:bookmarkEnd w:id="3386"/>
      <w:bookmarkEnd w:id="3387"/>
      <w:bookmarkEnd w:id="3388"/>
      <w:bookmarkEnd w:id="3389"/>
      <w:bookmarkEnd w:id="3390"/>
      <w:bookmarkEnd w:id="3391"/>
      <w:bookmarkEnd w:id="3392"/>
      <w:bookmarkEnd w:id="3393"/>
      <w:bookmarkEnd w:id="3394"/>
    </w:p>
    <w:p w14:paraId="6066AA4A" w14:textId="77777777" w:rsidR="00A10B25" w:rsidRDefault="00A10B25">
      <w:r>
        <w:rPr>
          <w:lang w:eastAsia="zh-CN"/>
        </w:rPr>
        <w:t xml:space="preserve">The Nnwdaf_MLModelMonitor_Subscribe service operation is used by an NF service consumer (i.e NWDAF containing MTLF) to </w:t>
      </w:r>
      <w:r>
        <w:t xml:space="preserve">subscribe or update subscription for </w:t>
      </w:r>
      <w:r>
        <w:rPr>
          <w:lang w:eastAsia="zh-CN"/>
        </w:rPr>
        <w:t>analytics accuracy monitoring event of an ML Model and analytics feedback information.</w:t>
      </w:r>
    </w:p>
    <w:p w14:paraId="5D9FD078" w14:textId="77777777" w:rsidR="00A10B25" w:rsidRDefault="00A10B25">
      <w:pPr>
        <w:pStyle w:val="5"/>
      </w:pPr>
      <w:bookmarkStart w:id="3395" w:name="_Toc164920690"/>
      <w:bookmarkStart w:id="3396" w:name="_Toc170120232"/>
      <w:bookmarkStart w:id="3397" w:name="_Toc175858477"/>
      <w:bookmarkStart w:id="3398" w:name="_Toc175859550"/>
      <w:bookmarkStart w:id="3399" w:name="_Toc180605840"/>
      <w:bookmarkStart w:id="3400" w:name="_Toc185517094"/>
      <w:bookmarkStart w:id="3401" w:name="_Toc191576145"/>
      <w:bookmarkStart w:id="3402" w:name="_Toc191576885"/>
      <w:bookmarkStart w:id="3403" w:name="_Toc192879955"/>
      <w:bookmarkStart w:id="3404" w:name="_Toc195814838"/>
      <w:bookmarkStart w:id="3405" w:name="_Toc199452785"/>
      <w:r>
        <w:t>4.7.2.4.2</w:t>
      </w:r>
      <w:r>
        <w:tab/>
        <w:t>Subscription for monitoring notifications</w:t>
      </w:r>
      <w:bookmarkEnd w:id="3395"/>
      <w:bookmarkEnd w:id="3396"/>
      <w:bookmarkEnd w:id="3397"/>
      <w:bookmarkEnd w:id="3398"/>
      <w:bookmarkEnd w:id="3399"/>
      <w:bookmarkEnd w:id="3400"/>
      <w:bookmarkEnd w:id="3401"/>
      <w:bookmarkEnd w:id="3402"/>
      <w:bookmarkEnd w:id="3403"/>
      <w:bookmarkEnd w:id="3404"/>
      <w:bookmarkEnd w:id="3405"/>
    </w:p>
    <w:p w14:paraId="570D6189" w14:textId="77777777" w:rsidR="00A10B25" w:rsidRDefault="00A10B25">
      <w:pPr>
        <w:rPr>
          <w:rFonts w:eastAsia="等线"/>
        </w:rPr>
      </w:pPr>
      <w:r>
        <w:rPr>
          <w:rFonts w:eastAsia="等线"/>
        </w:rPr>
        <w:t>Figure 4.7.2.4.2-1 shows a scenario where the NF service consumer sends a request to the NWDAF</w:t>
      </w:r>
      <w:r>
        <w:t xml:space="preserve"> containing </w:t>
      </w:r>
      <w:r>
        <w:rPr>
          <w:rFonts w:eastAsia="等线"/>
        </w:rPr>
        <w:t>AnLF to subscribe</w:t>
      </w:r>
      <w:r>
        <w:rPr>
          <w:rFonts w:eastAsia="Batang"/>
        </w:rPr>
        <w:t xml:space="preserve"> </w:t>
      </w:r>
      <w:r>
        <w:rPr>
          <w:rFonts w:eastAsia="等线"/>
        </w:rPr>
        <w:t>for event notification(s) and analytics feedback information.</w:t>
      </w:r>
    </w:p>
    <w:p w14:paraId="3763ABB9" w14:textId="77777777" w:rsidR="00A10B25" w:rsidRDefault="00A10B25">
      <w:pPr>
        <w:pStyle w:val="TH"/>
      </w:pPr>
      <w:r>
        <w:rPr>
          <w:rFonts w:eastAsia="等线"/>
          <w:lang w:val="en-US" w:eastAsia="zh-CN"/>
        </w:rPr>
        <w:object w:dxaOrig="9007" w:dyaOrig="2960" w14:anchorId="5ACFCF97">
          <v:shape id="Object 40" o:spid="_x0000_i1074" type="#_x0000_t75" style="width:483.35pt;height:158.4pt;mso-position-horizontal-relative:page;mso-position-vertical-relative:page" o:ole="">
            <v:imagedata r:id="rId71" o:title=""/>
          </v:shape>
          <o:OLEObject Type="Embed" ProgID="Visio.Drawing.15" ShapeID="Object 40" DrawAspect="Content" ObjectID="_1810066013" r:id="rId72"/>
        </w:object>
      </w:r>
      <w:r>
        <w:t>Figure 4.7.2.4.2-1: NF service consumer subscribes to notifications</w:t>
      </w:r>
    </w:p>
    <w:p w14:paraId="05BFA1B7" w14:textId="77777777" w:rsidR="00A10B25" w:rsidRDefault="00A10B25">
      <w:pPr>
        <w:rPr>
          <w:rFonts w:eastAsia="等线"/>
        </w:rPr>
      </w:pPr>
      <w:r>
        <w:rPr>
          <w:rFonts w:eastAsia="等线"/>
        </w:rPr>
        <w:t xml:space="preserve">The NF service consumer shall invoke the Nnwdaf_MLModelMonitor_Subscribe service operation to subscribe to event notification(s). The NF service consumer shall send an HTTP POST request with "{apiRoot}/nnwdaf-mlmodelmonitor/&lt;apiVersion&gt;/subscriptions" as Resource URI representing the "NWDAF ML model monitoring Subscriptions", as shown in figure 4.7.2.4.2-1, step 1, to create a subscription for an "Individual NWDAF ML model monitoring Subscription" according to the information in message body. The MLModelMonitorSub data structure provided in the request body shall include: </w:t>
      </w:r>
    </w:p>
    <w:p w14:paraId="23ABA43A" w14:textId="77777777" w:rsidR="00A10B25" w:rsidRDefault="00A10B25">
      <w:pPr>
        <w:pStyle w:val="B1"/>
      </w:pPr>
      <w:r>
        <w:t>-</w:t>
      </w:r>
      <w:r>
        <w:tab/>
        <w:t xml:space="preserve">the </w:t>
      </w:r>
      <w:r>
        <w:rPr>
          <w:lang w:eastAsia="zh-CN"/>
        </w:rPr>
        <w:t>ML model IDs</w:t>
      </w:r>
      <w:r>
        <w:t xml:space="preserve"> within "modelIds" attribute;</w:t>
      </w:r>
    </w:p>
    <w:p w14:paraId="0AC80822" w14:textId="77777777" w:rsidR="00A10B25" w:rsidRDefault="00A10B25">
      <w:pPr>
        <w:pStyle w:val="B1"/>
      </w:pPr>
      <w:r>
        <w:t>-</w:t>
      </w:r>
      <w:r>
        <w:tab/>
        <w:t>the notification URI within "notificationUri" attribute;</w:t>
      </w:r>
    </w:p>
    <w:p w14:paraId="36ECC9A2" w14:textId="77777777" w:rsidR="00A10B25" w:rsidRDefault="00A10B25">
      <w:pPr>
        <w:pStyle w:val="B1"/>
      </w:pPr>
      <w:r>
        <w:rPr>
          <w:lang w:eastAsia="zh-CN"/>
        </w:rPr>
        <w:t>-</w:t>
      </w:r>
      <w:r>
        <w:rPr>
          <w:lang w:eastAsia="zh-CN"/>
        </w:rPr>
        <w:tab/>
        <w:t>the notification cor</w:t>
      </w:r>
      <w:r>
        <w:t>relation identifier within "notifCorrId" attribute;</w:t>
      </w:r>
    </w:p>
    <w:p w14:paraId="3500180E" w14:textId="77777777" w:rsidR="00A10B25" w:rsidRDefault="00A10B25" w:rsidP="0076721C">
      <w:r>
        <w:t>and may include:</w:t>
      </w:r>
    </w:p>
    <w:p w14:paraId="5FA7A082" w14:textId="77777777" w:rsidR="00A10B25" w:rsidRDefault="00A10B25">
      <w:pPr>
        <w:pStyle w:val="B1"/>
      </w:pPr>
      <w:r>
        <w:t>-</w:t>
      </w:r>
      <w:r>
        <w:tab/>
        <w:t>the ML model metrics within "modelMetric" attribute;</w:t>
      </w:r>
    </w:p>
    <w:p w14:paraId="3CC589BF" w14:textId="77777777" w:rsidR="00A10B25" w:rsidRDefault="00A10B25">
      <w:pPr>
        <w:pStyle w:val="B1"/>
      </w:pPr>
      <w:r>
        <w:t>-</w:t>
      </w:r>
      <w:r>
        <w:tab/>
        <w:t>the accuracy reporting threshold within "accuThreshold" attribute;</w:t>
      </w:r>
    </w:p>
    <w:p w14:paraId="01423B28" w14:textId="77777777" w:rsidR="00640768" w:rsidRDefault="00640768" w:rsidP="00640768">
      <w:pPr>
        <w:pStyle w:val="B1"/>
      </w:pPr>
      <w:r>
        <w:t>-</w:t>
      </w:r>
      <w:r>
        <w:tab/>
        <w:t>the reporting requirements of the event subscription within "eventReportReq" attribute;</w:t>
      </w:r>
    </w:p>
    <w:p w14:paraId="64E42E0B" w14:textId="77777777" w:rsidR="00640768" w:rsidRDefault="00640768" w:rsidP="00640768">
      <w:pPr>
        <w:pStyle w:val="B1"/>
      </w:pPr>
    </w:p>
    <w:p w14:paraId="20C744E6" w14:textId="77777777" w:rsidR="00640768" w:rsidRDefault="00640768" w:rsidP="00640768">
      <w:pPr>
        <w:pStyle w:val="B1"/>
      </w:pPr>
      <w:r>
        <w:t>-</w:t>
      </w:r>
      <w:r>
        <w:tab/>
      </w:r>
      <w:r w:rsidRPr="00876D37">
        <w:t>an event identifier as the "mLEvent" attribute</w:t>
      </w:r>
      <w:r>
        <w:t>;</w:t>
      </w:r>
    </w:p>
    <w:p w14:paraId="17AAF5E3" w14:textId="77777777" w:rsidR="00640768" w:rsidRDefault="00640768" w:rsidP="00640768">
      <w:pPr>
        <w:pStyle w:val="B1"/>
      </w:pPr>
      <w:r>
        <w:t>-</w:t>
      </w:r>
      <w:r>
        <w:tab/>
        <w:t>event filter information as the "mLEventFilter" attribute; and</w:t>
      </w:r>
    </w:p>
    <w:p w14:paraId="14A7C023" w14:textId="77777777" w:rsidR="00640768" w:rsidRDefault="00640768" w:rsidP="00640768">
      <w:pPr>
        <w:pStyle w:val="B1"/>
      </w:pPr>
      <w:r>
        <w:t>-</w:t>
      </w:r>
      <w:r>
        <w:tab/>
        <w:t>an identification of target UE information as the "tgtUe" attribute.</w:t>
      </w:r>
    </w:p>
    <w:p w14:paraId="0282BAD0" w14:textId="77777777" w:rsidR="00A10B25" w:rsidRDefault="00A10B25">
      <w:r>
        <w:t xml:space="preserve">Upon the reception of an HTTP POST request with "{apiRoot}/nnwdaf-mlmodelmonitor/&lt;apiVersion&gt;/subscriptions" as Resource URI and MLModelMonitorSub data structure as request body, the NWDAF containing AnLF shall: </w:t>
      </w:r>
    </w:p>
    <w:p w14:paraId="6C456499" w14:textId="77777777" w:rsidR="00A10B25" w:rsidRDefault="00A10B25">
      <w:pPr>
        <w:pStyle w:val="B1"/>
      </w:pPr>
      <w:r>
        <w:t>-</w:t>
      </w:r>
      <w:r>
        <w:tab/>
        <w:t>create a new new subscription;</w:t>
      </w:r>
    </w:p>
    <w:p w14:paraId="3D3133C7" w14:textId="77777777" w:rsidR="00A10B25" w:rsidRDefault="00A10B25">
      <w:pPr>
        <w:pStyle w:val="B1"/>
      </w:pPr>
      <w:r>
        <w:t>-</w:t>
      </w:r>
      <w:r>
        <w:tab/>
        <w:t>assign a subscriptionId;</w:t>
      </w:r>
    </w:p>
    <w:p w14:paraId="239C1CF5" w14:textId="77777777" w:rsidR="00A10B25" w:rsidRDefault="00A10B25">
      <w:pPr>
        <w:pStyle w:val="B1"/>
      </w:pPr>
      <w:r>
        <w:t>-</w:t>
      </w:r>
      <w:r>
        <w:tab/>
        <w:t>store the subscription.</w:t>
      </w:r>
    </w:p>
    <w:p w14:paraId="370F974E" w14:textId="77777777" w:rsidR="00A10B25" w:rsidRDefault="00A10B25">
      <w:r>
        <w:t>If the NWDAF created an "Individual NWDAF ML model monitoring Subscription" resource, the NWDAF shall respond with "201 Created" with the message body containing a representation of the created subscription, as shown in figure 4.7.2.4.2-1, step 2. The NWDAF shall include a Location HTTP header field. The Location header field shall contain the URI of the created profile, i.e. "{apiRoot}/nnwdaf-mlmodelmonitor/&lt;apiVersion&gt;/subscriptions/{subscriptionId}".</w:t>
      </w:r>
    </w:p>
    <w:p w14:paraId="6C2C5CEE" w14:textId="77777777" w:rsidR="00640768" w:rsidRDefault="00640768" w:rsidP="00640768">
      <w:pPr>
        <w:rPr>
          <w:rFonts w:eastAsia="等线"/>
        </w:rPr>
      </w:pPr>
      <w:r>
        <w:rPr>
          <w:rFonts w:eastAsia="等线"/>
        </w:rPr>
        <w:lastRenderedPageBreak/>
        <w:t>If the immediate reporting indication in the "immRep" attribute within the "</w:t>
      </w:r>
      <w:r>
        <w:t>eventReportReq</w:t>
      </w:r>
      <w:r>
        <w:rPr>
          <w:rFonts w:eastAsia="等线"/>
        </w:rPr>
        <w:t>" attribute sets to true in the event subscription, the NWDAF</w:t>
      </w:r>
      <w:r>
        <w:t xml:space="preserve"> </w:t>
      </w:r>
      <w:r>
        <w:rPr>
          <w:rFonts w:eastAsia="等线"/>
        </w:rPr>
        <w:t>shall include the reports of the events subscribed within "</w:t>
      </w:r>
      <w:r>
        <w:t>immReport</w:t>
      </w:r>
      <w:r>
        <w:rPr>
          <w:rFonts w:eastAsia="等线"/>
        </w:rPr>
        <w:t>"</w:t>
      </w:r>
      <w:r>
        <w:t xml:space="preserve"> attribute</w:t>
      </w:r>
      <w:r>
        <w:rPr>
          <w:rFonts w:eastAsia="等线"/>
        </w:rPr>
        <w:t>, if available, in the HTTP POST response.</w:t>
      </w:r>
    </w:p>
    <w:p w14:paraId="7CF60F3E" w14:textId="77777777" w:rsidR="00640768" w:rsidRDefault="00640768" w:rsidP="00640768">
      <w:r>
        <w:t>If an error occurs when processing the HTTP POST request, the NWDAF shall send an HTTP error response as specified in clause 5.6.7.</w:t>
      </w:r>
    </w:p>
    <w:p w14:paraId="06B3B63D" w14:textId="77777777" w:rsidR="00A10B25" w:rsidRDefault="00A10B25">
      <w:pPr>
        <w:pStyle w:val="5"/>
      </w:pPr>
      <w:bookmarkStart w:id="3406" w:name="_Toc164920691"/>
      <w:bookmarkStart w:id="3407" w:name="_Toc170120233"/>
      <w:bookmarkStart w:id="3408" w:name="_Toc175858478"/>
      <w:bookmarkStart w:id="3409" w:name="_Toc175859551"/>
      <w:bookmarkStart w:id="3410" w:name="_Toc180605841"/>
      <w:bookmarkStart w:id="3411" w:name="_Toc185517095"/>
      <w:bookmarkStart w:id="3412" w:name="_Toc191576146"/>
      <w:bookmarkStart w:id="3413" w:name="_Toc191576886"/>
      <w:bookmarkStart w:id="3414" w:name="_Toc192879956"/>
      <w:bookmarkStart w:id="3415" w:name="_Toc195814839"/>
      <w:bookmarkStart w:id="3416" w:name="_Toc199452786"/>
      <w:r>
        <w:t>4.7.2.4.3</w:t>
      </w:r>
      <w:r>
        <w:tab/>
        <w:t>Update of subscription for monitoring notifications</w:t>
      </w:r>
      <w:bookmarkEnd w:id="3406"/>
      <w:bookmarkEnd w:id="3407"/>
      <w:bookmarkEnd w:id="3408"/>
      <w:bookmarkEnd w:id="3409"/>
      <w:bookmarkEnd w:id="3410"/>
      <w:bookmarkEnd w:id="3411"/>
      <w:bookmarkEnd w:id="3412"/>
      <w:bookmarkEnd w:id="3413"/>
      <w:bookmarkEnd w:id="3414"/>
      <w:bookmarkEnd w:id="3415"/>
      <w:bookmarkEnd w:id="3416"/>
    </w:p>
    <w:p w14:paraId="3762E740" w14:textId="77777777" w:rsidR="00A10B25" w:rsidRDefault="00A10B25">
      <w:pPr>
        <w:rPr>
          <w:rFonts w:eastAsia="等线"/>
        </w:rPr>
      </w:pPr>
      <w:r>
        <w:rPr>
          <w:rFonts w:eastAsia="等线"/>
        </w:rPr>
        <w:t>Figure 4.7.2.4.3-1 shows a scenario where the NF service consumer (i.e. NWDAF containing MTLF) sends a request to the NWDAF containing AnLF to update a subscription</w:t>
      </w:r>
      <w:r>
        <w:rPr>
          <w:rFonts w:eastAsia="Batang"/>
        </w:rPr>
        <w:t xml:space="preserve"> </w:t>
      </w:r>
      <w:r>
        <w:rPr>
          <w:rFonts w:eastAsia="等线"/>
        </w:rPr>
        <w:t>for event notification(s).</w:t>
      </w:r>
    </w:p>
    <w:p w14:paraId="684E58B7" w14:textId="77777777" w:rsidR="00A10B25" w:rsidRDefault="00A10B25">
      <w:pPr>
        <w:pStyle w:val="TH"/>
        <w:rPr>
          <w:rFonts w:eastAsia="等线"/>
        </w:rPr>
      </w:pPr>
      <w:r>
        <w:rPr>
          <w:lang w:val="en-US" w:eastAsia="zh-CN"/>
        </w:rPr>
        <w:object w:dxaOrig="7494" w:dyaOrig="3050" w14:anchorId="715BCB83">
          <v:shape id="Object 41" o:spid="_x0000_i1075" type="#_x0000_t75" style="width:405.1pt;height:164.65pt;mso-position-horizontal-relative:page;mso-position-vertical-relative:page" o:ole="">
            <v:imagedata r:id="rId73" o:title=""/>
          </v:shape>
          <o:OLEObject Type="Embed" ProgID="Visio.Drawing.15" ShapeID="Object 41" DrawAspect="Content" ObjectID="_1810066014" r:id="rId74"/>
        </w:object>
      </w:r>
    </w:p>
    <w:p w14:paraId="20AE55D9" w14:textId="77777777" w:rsidR="00A10B25" w:rsidRDefault="00A10B25">
      <w:pPr>
        <w:pStyle w:val="TF"/>
      </w:pPr>
      <w:r>
        <w:t>Figure 4.7.2.4.3-1: NF service consumer updates subscription to notifications</w:t>
      </w:r>
    </w:p>
    <w:p w14:paraId="5B2038DA" w14:textId="77777777" w:rsidR="00A10B25" w:rsidRDefault="00A10B25">
      <w:pPr>
        <w:rPr>
          <w:rFonts w:eastAsia="等线"/>
        </w:rPr>
      </w:pPr>
      <w:r>
        <w:rPr>
          <w:rFonts w:eastAsia="等线"/>
        </w:rPr>
        <w:t>The NF service consumer shall invoke the Nnwdaf_MLModelMonitor_Subscribe service operation to update a subscription to event notification(s) by sending an HTTP PUT request with "{apiRoot}/nnwdaf-mlmodelmonitor/&lt;apiVersion&gt;/subscriptions/{subscriptionId}" as Resource URI representing the "Individual NWDAF ML model monitoring subscription", as shown in figure 4.7.2.4.3-1, step 1, to update this "Individual NWDAF ML model monitoring subscription" according to the information in message body. The MLModelMonitorSub data structure provided in the request body shall include the same contents as in clause 4.7.2.4.2.</w:t>
      </w:r>
    </w:p>
    <w:p w14:paraId="7E31E6EC" w14:textId="77777777" w:rsidR="00A10B25" w:rsidRDefault="00A10B25">
      <w:r>
        <w:t>Upon the reception of an HTTP PUT request with "{apiRoot}/nnwdaf-mlmodelmonitor/&lt;apiVersion&gt;/subscriptions</w:t>
      </w:r>
      <w:r>
        <w:rPr>
          <w:rFonts w:eastAsia="等线"/>
        </w:rPr>
        <w:t>{subscriptionId}</w:t>
      </w:r>
      <w:r>
        <w:t xml:space="preserve">" as Resource URI and MLModelMonitorSub data structure as request body, the NWDAF shall: </w:t>
      </w:r>
    </w:p>
    <w:p w14:paraId="5B74E2DE" w14:textId="77777777" w:rsidR="00A10B25" w:rsidRDefault="00A10B25" w:rsidP="0076721C">
      <w:pPr>
        <w:pStyle w:val="B1"/>
      </w:pPr>
      <w:r>
        <w:t>-</w:t>
      </w:r>
      <w:r>
        <w:tab/>
        <w:t>update the subscription of corresponding subscriptionId; and</w:t>
      </w:r>
    </w:p>
    <w:p w14:paraId="2E3057A9" w14:textId="77777777" w:rsidR="00A10B25" w:rsidRDefault="00A10B25" w:rsidP="0076721C">
      <w:pPr>
        <w:pStyle w:val="B1"/>
      </w:pPr>
      <w:r>
        <w:t>-</w:t>
      </w:r>
      <w:r>
        <w:tab/>
        <w:t>store the subscription.</w:t>
      </w:r>
    </w:p>
    <w:p w14:paraId="0F9FAF49" w14:textId="77777777" w:rsidR="00A10B25" w:rsidRDefault="00A10B25">
      <w:r>
        <w:t>If the NWDAF succesfully update the "Individual NWDAF ML model monitoring Subscription" resource, the NWDAF shall respond with "200 OK" with the message body containing a representation of the created subscription, as shown in figure 4.7.2.4.3-1, step 2a, or with "204 No Content" as shown in figure 4.7.2.4.3-1, step 2b.</w:t>
      </w:r>
    </w:p>
    <w:p w14:paraId="7C144288" w14:textId="77777777" w:rsidR="00640768" w:rsidRDefault="00640768" w:rsidP="00640768">
      <w:pPr>
        <w:rPr>
          <w:rFonts w:eastAsia="等线"/>
        </w:rPr>
      </w:pPr>
      <w:r>
        <w:rPr>
          <w:rFonts w:eastAsia="等线"/>
        </w:rPr>
        <w:t>If the immediate reporting indication in the "immRep" attribute within the "</w:t>
      </w:r>
      <w:r>
        <w:t>eventReportReq</w:t>
      </w:r>
      <w:r>
        <w:rPr>
          <w:rFonts w:eastAsia="等线"/>
        </w:rPr>
        <w:t>" attribute sets to true in the request, the NWDAF</w:t>
      </w:r>
      <w:r>
        <w:t xml:space="preserve"> </w:t>
      </w:r>
      <w:r>
        <w:rPr>
          <w:rFonts w:eastAsia="等线"/>
        </w:rPr>
        <w:t>shall include the reports of the events subscribed within "</w:t>
      </w:r>
      <w:r>
        <w:t>immReport</w:t>
      </w:r>
      <w:r>
        <w:rPr>
          <w:rFonts w:eastAsia="等线"/>
        </w:rPr>
        <w:t>"</w:t>
      </w:r>
      <w:r>
        <w:t xml:space="preserve"> attribute</w:t>
      </w:r>
      <w:r>
        <w:rPr>
          <w:rFonts w:eastAsia="等线"/>
        </w:rPr>
        <w:t>, if available, in the HTTP PUT response.</w:t>
      </w:r>
    </w:p>
    <w:p w14:paraId="30495265" w14:textId="77777777" w:rsidR="009B01A5" w:rsidRDefault="009B01A5" w:rsidP="009B01A5">
      <w:bookmarkStart w:id="3417" w:name="_Toc164920692"/>
      <w:bookmarkStart w:id="3418" w:name="_Toc170120234"/>
      <w:bookmarkStart w:id="3419" w:name="_Toc175858479"/>
      <w:bookmarkStart w:id="3420" w:name="_Toc175859552"/>
      <w:bookmarkStart w:id="3421" w:name="_Toc180605842"/>
      <w:r>
        <w:t>If an error occurs when processing the HTTP PUT request, the NWDAF shall send an HTTP error response as specified in clause 5.6.7.</w:t>
      </w:r>
    </w:p>
    <w:p w14:paraId="07EAB141" w14:textId="77777777" w:rsidR="009B01A5" w:rsidRDefault="009B01A5" w:rsidP="009B01A5">
      <w:r>
        <w:t>If the NWDAF determines that the received HTTP PUT request needs to be redirected, the NWDAF shall send an HTTP redirect response as specified in clause </w:t>
      </w:r>
      <w:r>
        <w:rPr>
          <w:lang w:eastAsia="zh-CN"/>
        </w:rPr>
        <w:t xml:space="preserve">6.10.9 of </w:t>
      </w:r>
      <w:r>
        <w:rPr>
          <w:lang w:val="en-US"/>
        </w:rPr>
        <w:t>3GPP TS 29.500 [6]</w:t>
      </w:r>
      <w:r>
        <w:t>.</w:t>
      </w:r>
    </w:p>
    <w:p w14:paraId="519EC5CE" w14:textId="77777777" w:rsidR="00A10B25" w:rsidRDefault="00A10B25">
      <w:pPr>
        <w:pStyle w:val="4"/>
      </w:pPr>
      <w:bookmarkStart w:id="3422" w:name="_Toc185517096"/>
      <w:bookmarkStart w:id="3423" w:name="_Toc191576147"/>
      <w:bookmarkStart w:id="3424" w:name="_Toc191576887"/>
      <w:bookmarkStart w:id="3425" w:name="_Toc192879957"/>
      <w:bookmarkStart w:id="3426" w:name="_Toc195814840"/>
      <w:bookmarkStart w:id="3427" w:name="_Toc199452787"/>
      <w:r>
        <w:lastRenderedPageBreak/>
        <w:t>4.7.2.5</w:t>
      </w:r>
      <w:r>
        <w:tab/>
        <w:t>Nnwdaf_MLModelMonitor_Unsubscribe service operation</w:t>
      </w:r>
      <w:bookmarkEnd w:id="3417"/>
      <w:bookmarkEnd w:id="3418"/>
      <w:bookmarkEnd w:id="3419"/>
      <w:bookmarkEnd w:id="3420"/>
      <w:bookmarkEnd w:id="3421"/>
      <w:bookmarkEnd w:id="3422"/>
      <w:bookmarkEnd w:id="3423"/>
      <w:bookmarkEnd w:id="3424"/>
      <w:bookmarkEnd w:id="3425"/>
      <w:bookmarkEnd w:id="3426"/>
      <w:bookmarkEnd w:id="3427"/>
    </w:p>
    <w:p w14:paraId="53175CB5" w14:textId="77777777" w:rsidR="00A10B25" w:rsidRDefault="00A10B25">
      <w:pPr>
        <w:pStyle w:val="5"/>
      </w:pPr>
      <w:bookmarkStart w:id="3428" w:name="_Toc164920693"/>
      <w:bookmarkStart w:id="3429" w:name="_Toc170120235"/>
      <w:bookmarkStart w:id="3430" w:name="_Toc175858480"/>
      <w:bookmarkStart w:id="3431" w:name="_Toc175859553"/>
      <w:bookmarkStart w:id="3432" w:name="_Toc180605843"/>
      <w:bookmarkStart w:id="3433" w:name="_Toc185517097"/>
      <w:bookmarkStart w:id="3434" w:name="_Toc191576148"/>
      <w:bookmarkStart w:id="3435" w:name="_Toc191576888"/>
      <w:bookmarkStart w:id="3436" w:name="_Toc192879958"/>
      <w:bookmarkStart w:id="3437" w:name="_Toc195814841"/>
      <w:bookmarkStart w:id="3438" w:name="_Toc199452788"/>
      <w:r>
        <w:t>4.7.2.5.1</w:t>
      </w:r>
      <w:r>
        <w:tab/>
        <w:t>General</w:t>
      </w:r>
      <w:bookmarkEnd w:id="3428"/>
      <w:bookmarkEnd w:id="3429"/>
      <w:bookmarkEnd w:id="3430"/>
      <w:bookmarkEnd w:id="3431"/>
      <w:bookmarkEnd w:id="3432"/>
      <w:bookmarkEnd w:id="3433"/>
      <w:bookmarkEnd w:id="3434"/>
      <w:bookmarkEnd w:id="3435"/>
      <w:bookmarkEnd w:id="3436"/>
      <w:bookmarkEnd w:id="3437"/>
      <w:bookmarkEnd w:id="3438"/>
    </w:p>
    <w:p w14:paraId="424C62AC" w14:textId="77777777" w:rsidR="00A10B25" w:rsidRDefault="00A10B25">
      <w:r>
        <w:rPr>
          <w:lang w:eastAsia="zh-CN"/>
        </w:rPr>
        <w:t xml:space="preserve">The Nnwdaf_MLModelMonitor_Unsubscribe service operation is used by an NF service consumer (i.e. NWDAF containing MTLF) to </w:t>
      </w:r>
      <w:r>
        <w:t xml:space="preserve">unsubscribe from </w:t>
      </w:r>
      <w:r>
        <w:rPr>
          <w:lang w:eastAsia="zh-CN"/>
        </w:rPr>
        <w:t>analytics accuracy monitoring event of an ML Model.</w:t>
      </w:r>
    </w:p>
    <w:p w14:paraId="07722EF0" w14:textId="77777777" w:rsidR="00A10B25" w:rsidRDefault="00A10B25">
      <w:pPr>
        <w:pStyle w:val="5"/>
      </w:pPr>
      <w:bookmarkStart w:id="3439" w:name="_Toc164920694"/>
      <w:bookmarkStart w:id="3440" w:name="_Toc170120236"/>
      <w:bookmarkStart w:id="3441" w:name="_Toc175858481"/>
      <w:bookmarkStart w:id="3442" w:name="_Toc175859554"/>
      <w:bookmarkStart w:id="3443" w:name="_Toc180605844"/>
      <w:bookmarkStart w:id="3444" w:name="_Toc185517098"/>
      <w:bookmarkStart w:id="3445" w:name="_Toc191576149"/>
      <w:bookmarkStart w:id="3446" w:name="_Toc191576889"/>
      <w:bookmarkStart w:id="3447" w:name="_Toc192879959"/>
      <w:bookmarkStart w:id="3448" w:name="_Toc195814842"/>
      <w:bookmarkStart w:id="3449" w:name="_Toc199452789"/>
      <w:r>
        <w:t>4.7.2.5.2</w:t>
      </w:r>
      <w:r>
        <w:tab/>
        <w:t>Unsubscribe from monitoring notifications</w:t>
      </w:r>
      <w:bookmarkEnd w:id="3439"/>
      <w:bookmarkEnd w:id="3440"/>
      <w:bookmarkEnd w:id="3441"/>
      <w:bookmarkEnd w:id="3442"/>
      <w:bookmarkEnd w:id="3443"/>
      <w:bookmarkEnd w:id="3444"/>
      <w:bookmarkEnd w:id="3445"/>
      <w:bookmarkEnd w:id="3446"/>
      <w:bookmarkEnd w:id="3447"/>
      <w:bookmarkEnd w:id="3448"/>
      <w:bookmarkEnd w:id="3449"/>
    </w:p>
    <w:p w14:paraId="427F677B" w14:textId="77777777" w:rsidR="00A10B25" w:rsidRDefault="00A10B25">
      <w:pPr>
        <w:rPr>
          <w:rFonts w:eastAsia="等线"/>
        </w:rPr>
      </w:pPr>
      <w:r>
        <w:rPr>
          <w:rFonts w:eastAsia="等线"/>
        </w:rPr>
        <w:t xml:space="preserve">Figure 4.7.2.5.2-1 shows a scenario where the NF service consumer sends a request to the NWDAF containing AnLF to </w:t>
      </w:r>
      <w:r>
        <w:t>unsubscribe from notifications</w:t>
      </w:r>
      <w:r>
        <w:rPr>
          <w:rFonts w:eastAsia="等线"/>
        </w:rPr>
        <w:t>.</w:t>
      </w:r>
    </w:p>
    <w:p w14:paraId="2CB1BFAA" w14:textId="77777777" w:rsidR="00A10B25" w:rsidRDefault="00A10B25">
      <w:pPr>
        <w:pStyle w:val="TH"/>
      </w:pPr>
      <w:r>
        <w:rPr>
          <w:rFonts w:eastAsia="等线"/>
          <w:lang w:val="en-US" w:eastAsia="zh-CN"/>
        </w:rPr>
        <w:object w:dxaOrig="9007" w:dyaOrig="2961" w14:anchorId="699B63DD">
          <v:shape id="Object 42" o:spid="_x0000_i1076" type="#_x0000_t75" style="width:483.35pt;height:158.4pt;mso-position-horizontal-relative:page;mso-position-vertical-relative:page" o:ole="">
            <v:imagedata r:id="rId75" o:title=""/>
          </v:shape>
          <o:OLEObject Type="Embed" ProgID="Visio.Drawing.15" ShapeID="Object 42" DrawAspect="Content" ObjectID="_1810066015" r:id="rId76"/>
        </w:object>
      </w:r>
      <w:r>
        <w:t>Figure 4.7.2.5.2-1: NF service consumer unsubscribes from notifications</w:t>
      </w:r>
    </w:p>
    <w:p w14:paraId="3A129867" w14:textId="77777777" w:rsidR="00A10B25" w:rsidRDefault="00A10B25">
      <w:pPr>
        <w:rPr>
          <w:rFonts w:eastAsia="等线"/>
        </w:rPr>
      </w:pPr>
      <w:r>
        <w:rPr>
          <w:rFonts w:eastAsia="等线"/>
        </w:rPr>
        <w:t>The NF service consumer shall invoke the Nnwdaf_MLModelMonitor_Unsubscribe service operation to unsubscribe to event notifications. The NF service consumer shall send an HTTP DELETE request with: "{apiRoot}/nnwdaf-mlmodelmonitor/&lt;apiVersion&gt;/subscriptions/{subscriptionId}" as Resource URI, where "{subscriptionId}" is the event subscription ID of the existing subscription that is to be deleted.</w:t>
      </w:r>
    </w:p>
    <w:p w14:paraId="766D715F" w14:textId="77777777" w:rsidR="00A10B25" w:rsidRDefault="00A10B25">
      <w:pPr>
        <w:rPr>
          <w:rFonts w:eastAsia="等线"/>
        </w:rPr>
      </w:pPr>
      <w:r>
        <w:rPr>
          <w:rFonts w:eastAsia="等线"/>
        </w:rPr>
        <w:t>Upon the reception of an HTTP DELETE request with: "{apiRoot}/nnwdaf-mlmodelmonitor/&lt;apiVersion&gt;/subscriptions/{subscriptionId}" as Resource URI, if the NWDAF successfully processed and accepted the received HTTP DELETE request, the NWDAF</w:t>
      </w:r>
      <w:r>
        <w:rPr>
          <w:lang w:eastAsia="zh-CN"/>
        </w:rPr>
        <w:t xml:space="preserve"> </w:t>
      </w:r>
      <w:r>
        <w:rPr>
          <w:rFonts w:eastAsia="等线"/>
        </w:rPr>
        <w:t xml:space="preserve">shall: </w:t>
      </w:r>
    </w:p>
    <w:p w14:paraId="5FA32E10" w14:textId="77777777" w:rsidR="00A10B25" w:rsidRDefault="00A10B25">
      <w:pPr>
        <w:pStyle w:val="B1"/>
      </w:pPr>
      <w:r>
        <w:t>-</w:t>
      </w:r>
      <w:r>
        <w:tab/>
        <w:t>remove the corresponding subscription; and</w:t>
      </w:r>
    </w:p>
    <w:p w14:paraId="122B1307" w14:textId="77777777" w:rsidR="00A10B25" w:rsidRDefault="00A10B25">
      <w:pPr>
        <w:pStyle w:val="B1"/>
      </w:pPr>
      <w:r>
        <w:t>-</w:t>
      </w:r>
      <w:r>
        <w:tab/>
        <w:t>respond</w:t>
      </w:r>
      <w:r>
        <w:rPr>
          <w:rFonts w:eastAsia="Batang"/>
        </w:rPr>
        <w:t xml:space="preserve"> </w:t>
      </w:r>
      <w:r>
        <w:t>with HTTP "204 No Content" status code.</w:t>
      </w:r>
    </w:p>
    <w:p w14:paraId="1985A6A6" w14:textId="77777777" w:rsidR="00A10B25" w:rsidRDefault="00A10B25">
      <w:r>
        <w:t>If the NWDAF</w:t>
      </w:r>
      <w:r>
        <w:rPr>
          <w:lang w:eastAsia="zh-CN"/>
        </w:rPr>
        <w:t xml:space="preserve"> </w:t>
      </w:r>
      <w:r>
        <w:t>determines the received HTTP DELETE request needs to be redirected, the NWDAF</w:t>
      </w:r>
      <w:r>
        <w:rPr>
          <w:lang w:eastAsia="zh-CN"/>
        </w:rPr>
        <w:t xml:space="preserve"> </w:t>
      </w:r>
      <w:r>
        <w:t>shall send an HTTP redirect response as specified in clause </w:t>
      </w:r>
      <w:r>
        <w:rPr>
          <w:lang w:eastAsia="zh-CN"/>
        </w:rPr>
        <w:t xml:space="preserve">6.10.9 of </w:t>
      </w:r>
      <w:r>
        <w:rPr>
          <w:lang w:val="en-US"/>
        </w:rPr>
        <w:t>3GPP TS 29.500 [6]</w:t>
      </w:r>
      <w:r>
        <w:t>.</w:t>
      </w:r>
    </w:p>
    <w:p w14:paraId="3756DD23" w14:textId="77777777" w:rsidR="00A10B25" w:rsidRDefault="00A10B25">
      <w:r>
        <w:t>If an error occurs when processing the HTTP DELETE request, the NWDAF</w:t>
      </w:r>
      <w:r>
        <w:rPr>
          <w:lang w:eastAsia="zh-CN"/>
        </w:rPr>
        <w:t xml:space="preserve"> </w:t>
      </w:r>
      <w:r>
        <w:t>shall send an HTTP error response as specified in clause 5.6.7.</w:t>
      </w:r>
    </w:p>
    <w:p w14:paraId="1A6E4F59" w14:textId="77777777" w:rsidR="00A10B25" w:rsidRDefault="00A10B25">
      <w:pPr>
        <w:pStyle w:val="4"/>
      </w:pPr>
      <w:bookmarkStart w:id="3450" w:name="_Toc164920695"/>
      <w:bookmarkStart w:id="3451" w:name="_Toc170120237"/>
      <w:bookmarkStart w:id="3452" w:name="_Toc175858482"/>
      <w:bookmarkStart w:id="3453" w:name="_Toc175859555"/>
      <w:bookmarkStart w:id="3454" w:name="_Toc180605845"/>
      <w:bookmarkStart w:id="3455" w:name="_Toc185517099"/>
      <w:bookmarkStart w:id="3456" w:name="_Toc191576150"/>
      <w:bookmarkStart w:id="3457" w:name="_Toc191576890"/>
      <w:bookmarkStart w:id="3458" w:name="_Toc192879960"/>
      <w:bookmarkStart w:id="3459" w:name="_Toc195814843"/>
      <w:bookmarkStart w:id="3460" w:name="_Toc199452790"/>
      <w:r>
        <w:t>4.7.2.6</w:t>
      </w:r>
      <w:r>
        <w:tab/>
        <w:t>Nnwdaf_MLModelMonitor_Notify service operation</w:t>
      </w:r>
      <w:bookmarkEnd w:id="3450"/>
      <w:bookmarkEnd w:id="3451"/>
      <w:bookmarkEnd w:id="3452"/>
      <w:bookmarkEnd w:id="3453"/>
      <w:bookmarkEnd w:id="3454"/>
      <w:bookmarkEnd w:id="3455"/>
      <w:bookmarkEnd w:id="3456"/>
      <w:bookmarkEnd w:id="3457"/>
      <w:bookmarkEnd w:id="3458"/>
      <w:bookmarkEnd w:id="3459"/>
      <w:bookmarkEnd w:id="3460"/>
    </w:p>
    <w:p w14:paraId="14E6D5B0" w14:textId="77777777" w:rsidR="00A10B25" w:rsidRDefault="00A10B25">
      <w:pPr>
        <w:pStyle w:val="5"/>
      </w:pPr>
      <w:bookmarkStart w:id="3461" w:name="_Toc164920696"/>
      <w:bookmarkStart w:id="3462" w:name="_Toc170120238"/>
      <w:bookmarkStart w:id="3463" w:name="_Toc175858483"/>
      <w:bookmarkStart w:id="3464" w:name="_Toc175859556"/>
      <w:bookmarkStart w:id="3465" w:name="_Toc180605846"/>
      <w:bookmarkStart w:id="3466" w:name="_Toc185517100"/>
      <w:bookmarkStart w:id="3467" w:name="_Toc191576151"/>
      <w:bookmarkStart w:id="3468" w:name="_Toc191576891"/>
      <w:bookmarkStart w:id="3469" w:name="_Toc192879961"/>
      <w:bookmarkStart w:id="3470" w:name="_Toc195814844"/>
      <w:bookmarkStart w:id="3471" w:name="_Toc199452791"/>
      <w:r>
        <w:t>4.7.2.6.1</w:t>
      </w:r>
      <w:r>
        <w:tab/>
        <w:t>General</w:t>
      </w:r>
      <w:bookmarkEnd w:id="3461"/>
      <w:bookmarkEnd w:id="3462"/>
      <w:bookmarkEnd w:id="3463"/>
      <w:bookmarkEnd w:id="3464"/>
      <w:bookmarkEnd w:id="3465"/>
      <w:bookmarkEnd w:id="3466"/>
      <w:bookmarkEnd w:id="3467"/>
      <w:bookmarkEnd w:id="3468"/>
      <w:bookmarkEnd w:id="3469"/>
      <w:bookmarkEnd w:id="3470"/>
      <w:bookmarkEnd w:id="3471"/>
    </w:p>
    <w:p w14:paraId="76A077EF" w14:textId="77777777" w:rsidR="00A10B25" w:rsidRDefault="00A10B25">
      <w:pPr>
        <w:rPr>
          <w:lang w:eastAsia="zh-CN"/>
        </w:rPr>
      </w:pPr>
      <w:r>
        <w:rPr>
          <w:lang w:eastAsia="zh-CN"/>
        </w:rPr>
        <w:t>The Nnwdaf_MLModelMonitor_Notify service operation is used by an NWDAF containing AnLF to notify NF service consumer (i.e. NWDAF containing MTLF) about the subscribed analytics accuracy monitoring event of an ML Model.</w:t>
      </w:r>
    </w:p>
    <w:p w14:paraId="0525F21B" w14:textId="77777777" w:rsidR="003E1F9F" w:rsidRDefault="003E1F9F" w:rsidP="003E1F9F">
      <w:pPr>
        <w:pStyle w:val="5"/>
      </w:pPr>
      <w:bookmarkStart w:id="3472" w:name="_Toc164920697"/>
      <w:bookmarkStart w:id="3473" w:name="_Toc170120239"/>
      <w:bookmarkStart w:id="3474" w:name="_Toc175858484"/>
      <w:bookmarkStart w:id="3475" w:name="_Toc175859557"/>
      <w:bookmarkStart w:id="3476" w:name="_Toc180605847"/>
      <w:bookmarkStart w:id="3477" w:name="_Toc185517101"/>
      <w:bookmarkStart w:id="3478" w:name="_Toc191576152"/>
      <w:bookmarkStart w:id="3479" w:name="_Toc191576892"/>
      <w:bookmarkStart w:id="3480" w:name="_Toc192879962"/>
      <w:bookmarkStart w:id="3481" w:name="_Toc195814845"/>
      <w:bookmarkStart w:id="3482" w:name="_Toc199452792"/>
      <w:r>
        <w:t>4.7.2.6.2</w:t>
      </w:r>
      <w:r>
        <w:tab/>
        <w:t>Notification about subscribed event</w:t>
      </w:r>
      <w:bookmarkEnd w:id="3472"/>
      <w:bookmarkEnd w:id="3473"/>
      <w:bookmarkEnd w:id="3474"/>
      <w:bookmarkEnd w:id="3475"/>
      <w:bookmarkEnd w:id="3476"/>
      <w:bookmarkEnd w:id="3477"/>
      <w:bookmarkEnd w:id="3478"/>
      <w:bookmarkEnd w:id="3479"/>
      <w:bookmarkEnd w:id="3480"/>
      <w:bookmarkEnd w:id="3481"/>
      <w:bookmarkEnd w:id="3482"/>
      <w:r>
        <w:t xml:space="preserve"> </w:t>
      </w:r>
    </w:p>
    <w:p w14:paraId="1BC5A70A" w14:textId="77777777" w:rsidR="003E1F9F" w:rsidRDefault="003E1F9F" w:rsidP="003E1F9F">
      <w:pPr>
        <w:rPr>
          <w:rFonts w:eastAsia="等线"/>
        </w:rPr>
      </w:pPr>
      <w:r>
        <w:rPr>
          <w:rFonts w:eastAsia="等线"/>
        </w:rPr>
        <w:t>Figure 4.7.2.6.2-1 shows a scenario where the NWDAF containing AnLF sends a request to notify</w:t>
      </w:r>
      <w:r>
        <w:rPr>
          <w:rFonts w:eastAsia="Batang"/>
        </w:rPr>
        <w:t xml:space="preserve"> </w:t>
      </w:r>
      <w:r>
        <w:rPr>
          <w:rFonts w:eastAsia="等线"/>
        </w:rPr>
        <w:t>for event notifications.</w:t>
      </w:r>
    </w:p>
    <w:p w14:paraId="08A5EB13" w14:textId="77777777" w:rsidR="003E1F9F" w:rsidRDefault="003E1F9F" w:rsidP="003E1F9F">
      <w:pPr>
        <w:pStyle w:val="TH"/>
        <w:rPr>
          <w:rFonts w:eastAsia="等线"/>
        </w:rPr>
      </w:pPr>
      <w:r>
        <w:rPr>
          <w:lang w:val="en-US" w:eastAsia="zh-CN"/>
        </w:rPr>
        <w:object w:dxaOrig="7732" w:dyaOrig="2125" w14:anchorId="0952F81F">
          <v:shape id="Object 43" o:spid="_x0000_i1077" type="#_x0000_t75" style="width:435.15pt;height:118.95pt;mso-position-horizontal-relative:page;mso-position-vertical-relative:page" o:ole="">
            <v:imagedata r:id="rId77" o:title=""/>
          </v:shape>
          <o:OLEObject Type="Embed" ProgID="Visio.Drawing.15" ShapeID="Object 43" DrawAspect="Content" ObjectID="_1810066016" r:id="rId78"/>
        </w:object>
      </w:r>
    </w:p>
    <w:p w14:paraId="6037F378" w14:textId="77777777" w:rsidR="003E1F9F" w:rsidRDefault="003E1F9F" w:rsidP="003E1F9F">
      <w:pPr>
        <w:pStyle w:val="TF"/>
      </w:pPr>
      <w:r>
        <w:t>Figure 4.7.2.6.2-1: NWDAF notifies the</w:t>
      </w:r>
      <w:r>
        <w:rPr>
          <w:rFonts w:eastAsia="Batang"/>
        </w:rPr>
        <w:t xml:space="preserve"> </w:t>
      </w:r>
      <w:r>
        <w:t>subscribed event</w:t>
      </w:r>
    </w:p>
    <w:p w14:paraId="5D842BF1" w14:textId="77777777" w:rsidR="00640768" w:rsidRDefault="00640768" w:rsidP="00640768">
      <w:pPr>
        <w:rPr>
          <w:rFonts w:eastAsia="等线"/>
        </w:rPr>
      </w:pPr>
      <w:r>
        <w:rPr>
          <w:rFonts w:eastAsia="等线"/>
        </w:rPr>
        <w:t>The NWDAF</w:t>
      </w:r>
      <w:r>
        <w:rPr>
          <w:lang w:eastAsia="zh-CN"/>
        </w:rPr>
        <w:t xml:space="preserve"> </w:t>
      </w:r>
      <w:r>
        <w:rPr>
          <w:rFonts w:eastAsia="等线"/>
        </w:rPr>
        <w:t>shall invoke the Nnwdaf_MLModelMonitor_Notify service operation to notify the subscribed event. The NWDAF</w:t>
      </w:r>
      <w:r>
        <w:rPr>
          <w:lang w:eastAsia="zh-CN"/>
        </w:rPr>
        <w:t xml:space="preserve"> </w:t>
      </w:r>
      <w:r>
        <w:rPr>
          <w:rFonts w:eastAsia="等线"/>
        </w:rPr>
        <w:t>shall send an HTTP POST request with "{notificationUri}" received in the Nnwdaf_MLModelMonitor_</w:t>
      </w:r>
      <w:r>
        <w:t>Subscribe</w:t>
      </w:r>
      <w:r>
        <w:rPr>
          <w:rFonts w:eastAsia="等线"/>
        </w:rPr>
        <w:t xml:space="preserve"> service operation as Resource URI, as shown in figure 4.7.2.6.2-1, step 1. The MLModelMonitorNotify data structure provided in the request body that shall include:</w:t>
      </w:r>
    </w:p>
    <w:p w14:paraId="3296A53A" w14:textId="77777777" w:rsidR="00640768" w:rsidRDefault="00640768" w:rsidP="00640768">
      <w:pPr>
        <w:pStyle w:val="B1"/>
      </w:pPr>
      <w:r>
        <w:rPr>
          <w:rFonts w:eastAsia="等线"/>
        </w:rPr>
        <w:t>-</w:t>
      </w:r>
      <w:r>
        <w:rPr>
          <w:rFonts w:eastAsia="等线"/>
        </w:rPr>
        <w:tab/>
        <w:t>a notification correlation identifier as "</w:t>
      </w:r>
      <w:r>
        <w:t>notifCorrId</w:t>
      </w:r>
      <w:r>
        <w:rPr>
          <w:lang w:val="en-US" w:eastAsia="zh-CN"/>
        </w:rPr>
        <w:t>" attribute;</w:t>
      </w:r>
    </w:p>
    <w:p w14:paraId="584D7264" w14:textId="77777777" w:rsidR="00640768" w:rsidRDefault="00640768" w:rsidP="00640768">
      <w:pPr>
        <w:pStyle w:val="B1"/>
      </w:pPr>
      <w:r>
        <w:t>-</w:t>
      </w:r>
      <w:r>
        <w:tab/>
        <w:t>at least one of:</w:t>
      </w:r>
    </w:p>
    <w:p w14:paraId="2E2A5BBE" w14:textId="77777777" w:rsidR="00640768" w:rsidRDefault="00640768" w:rsidP="00640768">
      <w:pPr>
        <w:pStyle w:val="B2"/>
      </w:pPr>
      <w:r>
        <w:t>-</w:t>
      </w:r>
      <w:r>
        <w:tab/>
        <w:t>the accuracy related information of the ML model within "</w:t>
      </w:r>
      <w:r>
        <w:rPr>
          <w:rFonts w:hint="eastAsia"/>
          <w:lang w:eastAsia="zh-CN"/>
        </w:rPr>
        <w:t>m</w:t>
      </w:r>
      <w:r>
        <w:rPr>
          <w:lang w:eastAsia="zh-CN"/>
        </w:rPr>
        <w:t>odelAccuInfos</w:t>
      </w:r>
      <w:r>
        <w:t>" attribute;</w:t>
      </w:r>
    </w:p>
    <w:p w14:paraId="2A0E53B4" w14:textId="77777777" w:rsidR="00640768" w:rsidRDefault="00640768" w:rsidP="00640768">
      <w:pPr>
        <w:pStyle w:val="B2"/>
      </w:pPr>
      <w:r>
        <w:t>-</w:t>
      </w:r>
      <w:r>
        <w:tab/>
        <w:t>the analytics feedback information within "</w:t>
      </w:r>
      <w:r>
        <w:rPr>
          <w:lang w:eastAsia="zh-CN"/>
        </w:rPr>
        <w:t>anaFeedbacks</w:t>
      </w:r>
      <w:r>
        <w:t>" attribute;</w:t>
      </w:r>
    </w:p>
    <w:p w14:paraId="02ADE567" w14:textId="77777777" w:rsidR="00640768" w:rsidRDefault="00640768" w:rsidP="00640768">
      <w:pPr>
        <w:pStyle w:val="B1"/>
        <w:ind w:left="0" w:firstLine="0"/>
      </w:pPr>
      <w:r>
        <w:t>and may include:</w:t>
      </w:r>
    </w:p>
    <w:p w14:paraId="64465F0E" w14:textId="77777777" w:rsidR="00640768" w:rsidRDefault="00640768" w:rsidP="00640768">
      <w:pPr>
        <w:pStyle w:val="B1"/>
      </w:pPr>
      <w:r>
        <w:t>-</w:t>
      </w:r>
      <w:r>
        <w:tab/>
        <w:t>the indication that the analytics accuracy of the ML model does not meet the requirement of accuracy for the ML model</w:t>
      </w:r>
      <w:r w:rsidRPr="00305A46">
        <w:t xml:space="preserve"> </w:t>
      </w:r>
      <w:r>
        <w:t>within "</w:t>
      </w:r>
      <w:r>
        <w:rPr>
          <w:rFonts w:hint="eastAsia"/>
          <w:lang w:eastAsia="zh-CN"/>
        </w:rPr>
        <w:t>a</w:t>
      </w:r>
      <w:r>
        <w:rPr>
          <w:lang w:eastAsia="zh-CN"/>
        </w:rPr>
        <w:t>ccuMeetInd</w:t>
      </w:r>
      <w:r>
        <w:t>" attribute;</w:t>
      </w:r>
    </w:p>
    <w:p w14:paraId="7AB99698" w14:textId="77777777" w:rsidR="00640768" w:rsidRDefault="00640768" w:rsidP="00640768">
      <w:pPr>
        <w:pStyle w:val="B1"/>
      </w:pPr>
      <w:r>
        <w:t>-</w:t>
      </w:r>
      <w:r>
        <w:tab/>
      </w:r>
      <w:r w:rsidRPr="00876D37">
        <w:t>an event identifier as the "mLEvent" attribute</w:t>
      </w:r>
      <w:r>
        <w:t>;</w:t>
      </w:r>
    </w:p>
    <w:p w14:paraId="3CD33563" w14:textId="77777777" w:rsidR="00640768" w:rsidRDefault="00640768" w:rsidP="00640768">
      <w:pPr>
        <w:pStyle w:val="B1"/>
      </w:pPr>
      <w:r>
        <w:t>-</w:t>
      </w:r>
      <w:r>
        <w:tab/>
        <w:t>event filter information as the "mLEventFilter" attribute; and</w:t>
      </w:r>
    </w:p>
    <w:p w14:paraId="0DB3EDA9" w14:textId="77777777" w:rsidR="00640768" w:rsidRPr="00305A46" w:rsidRDefault="00640768" w:rsidP="00640768">
      <w:pPr>
        <w:pStyle w:val="B1"/>
      </w:pPr>
      <w:r>
        <w:t>-</w:t>
      </w:r>
      <w:r>
        <w:tab/>
        <w:t>an identification of target UE information as the "tgtUe" attribute.</w:t>
      </w:r>
    </w:p>
    <w:p w14:paraId="4AB125F0" w14:textId="77777777" w:rsidR="003E1F9F" w:rsidRDefault="003E1F9F" w:rsidP="003E1F9F">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09095536" w14:textId="77777777" w:rsidR="004D3964" w:rsidRDefault="004D3964" w:rsidP="004D3964">
      <w:bookmarkStart w:id="3483" w:name="_Toc164920698"/>
      <w:bookmarkStart w:id="3484" w:name="_Toc170120240"/>
      <w:bookmarkStart w:id="3485" w:name="_Toc175858485"/>
      <w:bookmarkStart w:id="3486" w:name="_Toc175859558"/>
      <w:r>
        <w:t xml:space="preserve">If the </w:t>
      </w:r>
      <w:r>
        <w:rPr>
          <w:rFonts w:eastAsia="等线"/>
        </w:rPr>
        <w:t>NF service consumer</w:t>
      </w:r>
      <w:r>
        <w:rPr>
          <w:lang w:eastAsia="zh-CN"/>
        </w:rPr>
        <w:t xml:space="preserve"> </w:t>
      </w:r>
      <w:r>
        <w:t xml:space="preserve">determines the received HTTP </w:t>
      </w:r>
      <w:r>
        <w:rPr>
          <w:rFonts w:eastAsia="等线"/>
        </w:rPr>
        <w:t xml:space="preserve">POST </w:t>
      </w:r>
      <w:r>
        <w:t xml:space="preserve">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4616B71B" w14:textId="77777777" w:rsidR="004D3964" w:rsidRDefault="004D3964" w:rsidP="004D3964">
      <w:r>
        <w:t xml:space="preserve">If an error occurs when processing the HTTP </w:t>
      </w:r>
      <w:r>
        <w:rPr>
          <w:rFonts w:eastAsia="等线"/>
        </w:rPr>
        <w:t xml:space="preserve">POST </w:t>
      </w:r>
      <w:r>
        <w:t xml:space="preserve">request, the </w:t>
      </w:r>
      <w:r>
        <w:rPr>
          <w:rFonts w:eastAsia="等线"/>
        </w:rPr>
        <w:t>NF service consumer</w:t>
      </w:r>
      <w:r>
        <w:rPr>
          <w:lang w:eastAsia="zh-CN"/>
        </w:rPr>
        <w:t xml:space="preserve"> </w:t>
      </w:r>
      <w:r>
        <w:t>shall send an HTTP error response as specified in clause 5.6.7.</w:t>
      </w:r>
    </w:p>
    <w:p w14:paraId="707B7361" w14:textId="77777777" w:rsidR="00A10B25" w:rsidRDefault="00A10B25">
      <w:pPr>
        <w:pStyle w:val="2"/>
      </w:pPr>
      <w:bookmarkStart w:id="3487" w:name="_Toc180605848"/>
      <w:bookmarkStart w:id="3488" w:name="_Toc185517102"/>
      <w:bookmarkStart w:id="3489" w:name="_Toc191576153"/>
      <w:bookmarkStart w:id="3490" w:name="_Toc191576893"/>
      <w:bookmarkStart w:id="3491" w:name="_Toc192879963"/>
      <w:bookmarkStart w:id="3492" w:name="_Toc195814846"/>
      <w:bookmarkStart w:id="3493" w:name="_Toc199452793"/>
      <w:r>
        <w:t>4.8</w:t>
      </w:r>
      <w:r>
        <w:tab/>
      </w:r>
      <w:r>
        <w:rPr>
          <w:lang w:val="en-US" w:eastAsia="zh-CN"/>
        </w:rPr>
        <w:t>Nnwdaf_RoamingData</w:t>
      </w:r>
      <w:r>
        <w:t xml:space="preserve"> Service</w:t>
      </w:r>
      <w:bookmarkEnd w:id="3483"/>
      <w:bookmarkEnd w:id="3484"/>
      <w:bookmarkEnd w:id="3485"/>
      <w:bookmarkEnd w:id="3486"/>
      <w:bookmarkEnd w:id="3487"/>
      <w:bookmarkEnd w:id="3488"/>
      <w:bookmarkEnd w:id="3489"/>
      <w:bookmarkEnd w:id="3490"/>
      <w:bookmarkEnd w:id="3491"/>
      <w:bookmarkEnd w:id="3492"/>
      <w:bookmarkEnd w:id="3493"/>
    </w:p>
    <w:p w14:paraId="4B0631A5" w14:textId="77777777" w:rsidR="00A10B25" w:rsidRDefault="00A10B25">
      <w:pPr>
        <w:pStyle w:val="3"/>
      </w:pPr>
      <w:bookmarkStart w:id="3494" w:name="_Toc164920699"/>
      <w:bookmarkStart w:id="3495" w:name="_Toc170120241"/>
      <w:bookmarkStart w:id="3496" w:name="_Toc175858486"/>
      <w:bookmarkStart w:id="3497" w:name="_Toc175859559"/>
      <w:bookmarkStart w:id="3498" w:name="_Toc180605849"/>
      <w:bookmarkStart w:id="3499" w:name="_Toc185517103"/>
      <w:bookmarkStart w:id="3500" w:name="_Toc191576154"/>
      <w:bookmarkStart w:id="3501" w:name="_Toc191576894"/>
      <w:bookmarkStart w:id="3502" w:name="_Toc192879964"/>
      <w:bookmarkStart w:id="3503" w:name="_Toc195814847"/>
      <w:bookmarkStart w:id="3504" w:name="_Toc199452794"/>
      <w:r>
        <w:t>4.8.1</w:t>
      </w:r>
      <w:r>
        <w:tab/>
        <w:t>Service Description</w:t>
      </w:r>
      <w:bookmarkEnd w:id="3494"/>
      <w:bookmarkEnd w:id="3495"/>
      <w:bookmarkEnd w:id="3496"/>
      <w:bookmarkEnd w:id="3497"/>
      <w:bookmarkEnd w:id="3498"/>
      <w:bookmarkEnd w:id="3499"/>
      <w:bookmarkEnd w:id="3500"/>
      <w:bookmarkEnd w:id="3501"/>
      <w:bookmarkEnd w:id="3502"/>
      <w:bookmarkEnd w:id="3503"/>
      <w:bookmarkEnd w:id="3504"/>
    </w:p>
    <w:p w14:paraId="47AB65E0" w14:textId="77777777" w:rsidR="00A10B25" w:rsidRDefault="00A10B25">
      <w:pPr>
        <w:pStyle w:val="4"/>
        <w:rPr>
          <w:lang w:eastAsia="zh-CN"/>
        </w:rPr>
      </w:pPr>
      <w:bookmarkStart w:id="3505" w:name="_Toc164920700"/>
      <w:bookmarkStart w:id="3506" w:name="_Toc170120242"/>
      <w:bookmarkStart w:id="3507" w:name="_Toc175858487"/>
      <w:bookmarkStart w:id="3508" w:name="_Toc175859560"/>
      <w:bookmarkStart w:id="3509" w:name="_Toc180605850"/>
      <w:bookmarkStart w:id="3510" w:name="_Toc185517104"/>
      <w:bookmarkStart w:id="3511" w:name="_Toc191576155"/>
      <w:bookmarkStart w:id="3512" w:name="_Toc191576895"/>
      <w:bookmarkStart w:id="3513" w:name="_Toc192879965"/>
      <w:bookmarkStart w:id="3514" w:name="_Toc195814848"/>
      <w:bookmarkStart w:id="3515" w:name="_Toc199452795"/>
      <w:r>
        <w:t>4.8.</w:t>
      </w:r>
      <w:r>
        <w:rPr>
          <w:rFonts w:hint="eastAsia"/>
          <w:lang w:eastAsia="zh-CN"/>
        </w:rPr>
        <w:t>1</w:t>
      </w:r>
      <w:r>
        <w:rPr>
          <w:lang w:eastAsia="zh-CN"/>
        </w:rPr>
        <w:t>.1</w:t>
      </w:r>
      <w:r>
        <w:tab/>
      </w:r>
      <w:r>
        <w:rPr>
          <w:rFonts w:hint="eastAsia"/>
          <w:lang w:eastAsia="zh-CN"/>
        </w:rPr>
        <w:t>Overview</w:t>
      </w:r>
      <w:bookmarkEnd w:id="3505"/>
      <w:bookmarkEnd w:id="3506"/>
      <w:bookmarkEnd w:id="3507"/>
      <w:bookmarkEnd w:id="3508"/>
      <w:bookmarkEnd w:id="3509"/>
      <w:bookmarkEnd w:id="3510"/>
      <w:bookmarkEnd w:id="3511"/>
      <w:bookmarkEnd w:id="3512"/>
      <w:bookmarkEnd w:id="3513"/>
      <w:bookmarkEnd w:id="3514"/>
      <w:bookmarkEnd w:id="3515"/>
    </w:p>
    <w:p w14:paraId="15702189" w14:textId="77777777" w:rsidR="00A10B25" w:rsidRDefault="00A10B25">
      <w:r>
        <w:t xml:space="preserve">The </w:t>
      </w:r>
      <w:r>
        <w:rPr>
          <w:lang w:val="en-US" w:eastAsia="zh-CN"/>
        </w:rPr>
        <w:t>Nnwdaf_RoamingData</w:t>
      </w:r>
      <w:r>
        <w:t xml:space="preserve"> service as defined in 3GPP TS 23.288 [17], is provided by the Network Data Analytics Function (NWDAF) with roaming exchange capability, which is called Roaming Exchange NWDAF (RE-NWDAF).</w:t>
      </w:r>
    </w:p>
    <w:p w14:paraId="09C35279" w14:textId="77777777" w:rsidR="00A10B25" w:rsidRDefault="00A10B25">
      <w:r>
        <w:t>This service:</w:t>
      </w:r>
    </w:p>
    <w:p w14:paraId="253FAD4C" w14:textId="77777777" w:rsidR="00A10B25" w:rsidRDefault="00A10B25">
      <w:pPr>
        <w:pStyle w:val="B1"/>
      </w:pPr>
      <w:r>
        <w:t>-</w:t>
      </w:r>
      <w:r>
        <w:tab/>
        <w:t xml:space="preserve">allows the NF service consumers to subscribe to and unsubscribe from the </w:t>
      </w:r>
      <w:r>
        <w:rPr>
          <w:lang w:eastAsia="ja-JP"/>
        </w:rPr>
        <w:t>data of roaming UEs exposed by an RE-NWDAF</w:t>
      </w:r>
      <w:r>
        <w:t>;</w:t>
      </w:r>
    </w:p>
    <w:p w14:paraId="16E7FF13" w14:textId="77777777" w:rsidR="00A10B25" w:rsidRDefault="00A10B25">
      <w:pPr>
        <w:pStyle w:val="B1"/>
      </w:pPr>
      <w:r>
        <w:t>-</w:t>
      </w:r>
      <w:r>
        <w:tab/>
        <w:t xml:space="preserve">allows the NF service consumers to modify the subscription to the </w:t>
      </w:r>
      <w:r>
        <w:rPr>
          <w:lang w:eastAsia="ja-JP"/>
        </w:rPr>
        <w:t>data of roaming UEs exposed by an RE-NWDAF</w:t>
      </w:r>
      <w:r>
        <w:t>; and</w:t>
      </w:r>
    </w:p>
    <w:p w14:paraId="5D3133CC" w14:textId="77777777" w:rsidR="00A10B25" w:rsidRDefault="00A10B25">
      <w:pPr>
        <w:pStyle w:val="B1"/>
      </w:pPr>
      <w:r>
        <w:t>-</w:t>
      </w:r>
      <w:r>
        <w:tab/>
        <w:t xml:space="preserve">notifies the NF service consumers about the </w:t>
      </w:r>
      <w:r>
        <w:rPr>
          <w:lang w:eastAsia="ja-JP"/>
        </w:rPr>
        <w:t>data of roaming UEs exposed by an RE-NWDAF</w:t>
      </w:r>
      <w:r>
        <w:t>.</w:t>
      </w:r>
    </w:p>
    <w:p w14:paraId="439D0648" w14:textId="77777777" w:rsidR="00A10B25" w:rsidRDefault="00A10B25">
      <w:pPr>
        <w:pStyle w:val="4"/>
      </w:pPr>
      <w:bookmarkStart w:id="3516" w:name="_Toc164920701"/>
      <w:bookmarkStart w:id="3517" w:name="_Toc170120243"/>
      <w:bookmarkStart w:id="3518" w:name="_Toc175858488"/>
      <w:bookmarkStart w:id="3519" w:name="_Toc175859561"/>
      <w:bookmarkStart w:id="3520" w:name="_Toc180605851"/>
      <w:bookmarkStart w:id="3521" w:name="_Toc185517105"/>
      <w:bookmarkStart w:id="3522" w:name="_Toc191576156"/>
      <w:bookmarkStart w:id="3523" w:name="_Toc191576896"/>
      <w:bookmarkStart w:id="3524" w:name="_Toc192879966"/>
      <w:bookmarkStart w:id="3525" w:name="_Toc195814849"/>
      <w:bookmarkStart w:id="3526" w:name="_Toc199452796"/>
      <w:r>
        <w:lastRenderedPageBreak/>
        <w:t>4.8.</w:t>
      </w:r>
      <w:r>
        <w:rPr>
          <w:rFonts w:hint="eastAsia"/>
        </w:rPr>
        <w:t>1</w:t>
      </w:r>
      <w:r>
        <w:t>.2</w:t>
      </w:r>
      <w:r>
        <w:rPr>
          <w:rFonts w:hint="eastAsia"/>
        </w:rPr>
        <w:tab/>
      </w:r>
      <w:r>
        <w:t>Service Architecture</w:t>
      </w:r>
      <w:bookmarkEnd w:id="3516"/>
      <w:bookmarkEnd w:id="3517"/>
      <w:bookmarkEnd w:id="3518"/>
      <w:bookmarkEnd w:id="3519"/>
      <w:bookmarkEnd w:id="3520"/>
      <w:bookmarkEnd w:id="3521"/>
      <w:bookmarkEnd w:id="3522"/>
      <w:bookmarkEnd w:id="3523"/>
      <w:bookmarkEnd w:id="3524"/>
      <w:bookmarkEnd w:id="3525"/>
      <w:bookmarkEnd w:id="3526"/>
    </w:p>
    <w:p w14:paraId="7A06C494" w14:textId="77777777" w:rsidR="00A10B25" w:rsidRDefault="00A10B25">
      <w:r>
        <w:t>The 5G System Architecture is defined in 3GPP TS 23.501 [2]. The Network Data Analytics Exposure architecture is defined in 3GPP TS 23.288 [17].</w:t>
      </w:r>
    </w:p>
    <w:p w14:paraId="70B06C75" w14:textId="77777777" w:rsidR="00A10B25" w:rsidRDefault="00A10B25">
      <w:r>
        <w:t>The Nnwdaf_RoamingData service is part of the Nnwdaf service-based interface exhibited by the Network Data Analytics Function (NWDAF).</w:t>
      </w:r>
    </w:p>
    <w:p w14:paraId="3B3DA6BC" w14:textId="77777777" w:rsidR="00A10B25" w:rsidRDefault="00A10B25">
      <w:pPr>
        <w:tabs>
          <w:tab w:val="left" w:pos="6385"/>
        </w:tabs>
      </w:pPr>
      <w:r>
        <w:t>Known consumers of the Nnwdaf_RoamingData service are:</w:t>
      </w:r>
    </w:p>
    <w:p w14:paraId="4732593B" w14:textId="77777777" w:rsidR="00A10B25" w:rsidRDefault="00A10B25">
      <w:pPr>
        <w:pStyle w:val="B1"/>
      </w:pPr>
      <w:r>
        <w:t>-</w:t>
      </w:r>
      <w:r>
        <w:tab/>
        <w:t>Network Data Analytics Function with Roaming Exchange capability in HPLMN(H-RE-NWDAF), collecting data from V-RE-NWDAF for outbound roaming user(s);</w:t>
      </w:r>
    </w:p>
    <w:p w14:paraId="71960B97" w14:textId="77777777" w:rsidR="00A10B25" w:rsidRDefault="00A10B25">
      <w:pPr>
        <w:pStyle w:val="B1"/>
      </w:pPr>
      <w:r>
        <w:t>-</w:t>
      </w:r>
      <w:r>
        <w:tab/>
        <w:t>Network Data Analytics Function with Roaming Exchange capability in VPLMN(V-RE-NWDAF), collecting data from H-RE-NWDAF for inbound roaming user(s);</w:t>
      </w:r>
    </w:p>
    <w:p w14:paraId="244793EC" w14:textId="77777777" w:rsidR="00A10B25" w:rsidRDefault="00A10B25" w:rsidP="0076721C">
      <w:pPr>
        <w:pStyle w:val="TH"/>
        <w:rPr>
          <w:lang w:val="en-US"/>
        </w:rPr>
      </w:pPr>
      <w:r>
        <w:rPr>
          <w:lang w:val="en-US" w:eastAsia="zh-CN"/>
        </w:rPr>
        <w:object w:dxaOrig="9205" w:dyaOrig="2346" w14:anchorId="4F0560C7">
          <v:shape id="Object 44" o:spid="_x0000_i1078" type="#_x0000_t75" style="width:482.1pt;height:123.35pt;mso-position-horizontal-relative:page;mso-position-vertical-relative:page" o:ole="">
            <v:imagedata r:id="rId79" o:title=""/>
          </v:shape>
          <o:OLEObject Type="Embed" ProgID="Visio.Drawing.15" ShapeID="Object 44" DrawAspect="Content" ObjectID="_1810066017" r:id="rId80"/>
        </w:object>
      </w:r>
    </w:p>
    <w:p w14:paraId="69028625" w14:textId="77777777" w:rsidR="00A10B25" w:rsidRDefault="00A10B25">
      <w:pPr>
        <w:pStyle w:val="TF"/>
      </w:pPr>
      <w:r>
        <w:t>Figure 4.8.1.2-1</w:t>
      </w:r>
      <w:r>
        <w:rPr>
          <w:lang w:eastAsia="zh-CN"/>
        </w:rPr>
        <w:t>:</w:t>
      </w:r>
      <w:r>
        <w:t xml:space="preserve"> Reference Architecture for the Nnwdaf_RoamingData Service; SBI representation</w:t>
      </w:r>
    </w:p>
    <w:p w14:paraId="20E1293D" w14:textId="77777777" w:rsidR="00A10B25" w:rsidRDefault="00A10B25">
      <w:pPr>
        <w:pStyle w:val="TH"/>
        <w:ind w:firstLineChars="1350" w:firstLine="2711"/>
        <w:jc w:val="left"/>
        <w:rPr>
          <w:lang w:val="en-US" w:eastAsia="zh-CN"/>
        </w:rPr>
      </w:pPr>
      <w:r>
        <w:rPr>
          <w:lang w:val="en-US" w:eastAsia="zh-CN"/>
        </w:rPr>
        <w:object w:dxaOrig="2221" w:dyaOrig="1884" w14:anchorId="1C5E8FE2">
          <v:shape id="Object 45" o:spid="_x0000_i1079" type="#_x0000_t75" style="width:125.2pt;height:106.45pt;mso-position-horizontal-relative:page;mso-position-vertical-relative:page" o:ole="">
            <v:imagedata r:id="rId81" o:title=""/>
          </v:shape>
          <o:OLEObject Type="Embed" ProgID="Visio.Drawing.15" ShapeID="Object 45" DrawAspect="Content" ObjectID="_1810066018" r:id="rId82"/>
        </w:object>
      </w:r>
    </w:p>
    <w:p w14:paraId="78F7BCEF" w14:textId="77777777" w:rsidR="00A10B25" w:rsidRDefault="00A10B25">
      <w:pPr>
        <w:pStyle w:val="TF"/>
      </w:pPr>
      <w:r>
        <w:t>Figure 4.8.1.2-2</w:t>
      </w:r>
      <w:r>
        <w:rPr>
          <w:lang w:eastAsia="zh-CN"/>
        </w:rPr>
        <w:t>:</w:t>
      </w:r>
      <w:r>
        <w:t xml:space="preserve"> Reference Architecture for the Nnwdaf_RoamingData Service: reference point representation</w:t>
      </w:r>
    </w:p>
    <w:p w14:paraId="53180A5E" w14:textId="77777777" w:rsidR="00A10B25" w:rsidRDefault="00A10B25">
      <w:pPr>
        <w:pStyle w:val="4"/>
        <w:rPr>
          <w:lang w:val="en-US"/>
        </w:rPr>
      </w:pPr>
      <w:bookmarkStart w:id="3527" w:name="_Toc164920702"/>
      <w:bookmarkStart w:id="3528" w:name="_Toc170120244"/>
      <w:bookmarkStart w:id="3529" w:name="_Toc175858489"/>
      <w:bookmarkStart w:id="3530" w:name="_Toc175859562"/>
      <w:bookmarkStart w:id="3531" w:name="_Toc180605852"/>
      <w:bookmarkStart w:id="3532" w:name="_Toc185517106"/>
      <w:bookmarkStart w:id="3533" w:name="_Toc191576157"/>
      <w:bookmarkStart w:id="3534" w:name="_Toc191576897"/>
      <w:bookmarkStart w:id="3535" w:name="_Toc192879967"/>
      <w:bookmarkStart w:id="3536" w:name="_Toc195814850"/>
      <w:bookmarkStart w:id="3537" w:name="_Toc199452797"/>
      <w:r>
        <w:rPr>
          <w:lang w:val="en-US"/>
        </w:rPr>
        <w:t>4.8.</w:t>
      </w:r>
      <w:r>
        <w:rPr>
          <w:rFonts w:hint="eastAsia"/>
          <w:lang w:val="en-US" w:eastAsia="zh-CN"/>
        </w:rPr>
        <w:t>1.3</w:t>
      </w:r>
      <w:r>
        <w:rPr>
          <w:lang w:val="en-US"/>
        </w:rPr>
        <w:tab/>
        <w:t>Network Functions</w:t>
      </w:r>
      <w:bookmarkEnd w:id="3527"/>
      <w:bookmarkEnd w:id="3528"/>
      <w:bookmarkEnd w:id="3529"/>
      <w:bookmarkEnd w:id="3530"/>
      <w:bookmarkEnd w:id="3531"/>
      <w:bookmarkEnd w:id="3532"/>
      <w:bookmarkEnd w:id="3533"/>
      <w:bookmarkEnd w:id="3534"/>
      <w:bookmarkEnd w:id="3535"/>
      <w:bookmarkEnd w:id="3536"/>
      <w:bookmarkEnd w:id="3537"/>
    </w:p>
    <w:p w14:paraId="5C52A791" w14:textId="77777777" w:rsidR="00A10B25" w:rsidRDefault="00A10B25">
      <w:pPr>
        <w:pStyle w:val="5"/>
        <w:rPr>
          <w:lang w:eastAsia="zh-CN"/>
        </w:rPr>
      </w:pPr>
      <w:bookmarkStart w:id="3538" w:name="_Toc164920703"/>
      <w:bookmarkStart w:id="3539" w:name="_Toc170120245"/>
      <w:bookmarkStart w:id="3540" w:name="_Toc175858490"/>
      <w:bookmarkStart w:id="3541" w:name="_Toc175859563"/>
      <w:bookmarkStart w:id="3542" w:name="_Toc180605853"/>
      <w:bookmarkStart w:id="3543" w:name="_Toc185517107"/>
      <w:bookmarkStart w:id="3544" w:name="_Toc191576158"/>
      <w:bookmarkStart w:id="3545" w:name="_Toc191576898"/>
      <w:bookmarkStart w:id="3546" w:name="_Toc192879968"/>
      <w:bookmarkStart w:id="3547" w:name="_Toc195814851"/>
      <w:bookmarkStart w:id="3548" w:name="_Toc199452798"/>
      <w:r>
        <w:t>4.8.</w:t>
      </w:r>
      <w:r>
        <w:rPr>
          <w:rFonts w:hint="eastAsia"/>
          <w:lang w:eastAsia="zh-CN"/>
        </w:rPr>
        <w:t>1.3.1</w:t>
      </w:r>
      <w:r>
        <w:tab/>
      </w:r>
      <w:r>
        <w:rPr>
          <w:lang w:val="en-US" w:eastAsia="zh-CN"/>
        </w:rPr>
        <w:t>Network Data Analytics Function (NWDAF)</w:t>
      </w:r>
      <w:bookmarkEnd w:id="3538"/>
      <w:bookmarkEnd w:id="3539"/>
      <w:bookmarkEnd w:id="3540"/>
      <w:bookmarkEnd w:id="3541"/>
      <w:bookmarkEnd w:id="3542"/>
      <w:bookmarkEnd w:id="3543"/>
      <w:bookmarkEnd w:id="3544"/>
      <w:bookmarkEnd w:id="3545"/>
      <w:bookmarkEnd w:id="3546"/>
      <w:bookmarkEnd w:id="3547"/>
      <w:bookmarkEnd w:id="3548"/>
    </w:p>
    <w:p w14:paraId="69F34355" w14:textId="77777777" w:rsidR="00A10B25" w:rsidRDefault="00A10B25">
      <w:r>
        <w:t>The Network Data Analytics Function (NWDAF) with roaming exchange capability, i.e. the V-RE-NWDAF or H-RE-NWDAF, provides data information related to roaming UE(s) to NF service consumers.</w:t>
      </w:r>
    </w:p>
    <w:p w14:paraId="346B1608" w14:textId="6BD72769" w:rsidR="00A10B25" w:rsidRDefault="003513BE">
      <w:r>
        <w:t>The V-RE-NWDAF or H-RE-NWDAF</w:t>
      </w:r>
      <w:r w:rsidR="00A10B25">
        <w:t xml:space="preserve"> allows NF </w:t>
      </w:r>
      <w:r w:rsidR="00A10B25">
        <w:rPr>
          <w:rFonts w:eastAsia="等线"/>
        </w:rPr>
        <w:t xml:space="preserve">service </w:t>
      </w:r>
      <w:r w:rsidR="00A10B25">
        <w:t>consumers to subscribe to and unsubscribe from one-time, periodic notification or notification when an event is detected.</w:t>
      </w:r>
    </w:p>
    <w:p w14:paraId="0B38F7F1" w14:textId="77777777" w:rsidR="00A10B25" w:rsidRDefault="00A10B25">
      <w:pPr>
        <w:pStyle w:val="5"/>
        <w:rPr>
          <w:lang w:eastAsia="zh-CN"/>
        </w:rPr>
      </w:pPr>
      <w:bookmarkStart w:id="3549" w:name="_Toc164920704"/>
      <w:bookmarkStart w:id="3550" w:name="_Toc170120246"/>
      <w:bookmarkStart w:id="3551" w:name="_Toc175858491"/>
      <w:bookmarkStart w:id="3552" w:name="_Toc175859564"/>
      <w:bookmarkStart w:id="3553" w:name="_Toc180605854"/>
      <w:bookmarkStart w:id="3554" w:name="_Toc185517108"/>
      <w:bookmarkStart w:id="3555" w:name="_Toc191576159"/>
      <w:bookmarkStart w:id="3556" w:name="_Toc191576899"/>
      <w:bookmarkStart w:id="3557" w:name="_Toc192879969"/>
      <w:bookmarkStart w:id="3558" w:name="_Toc195814852"/>
      <w:bookmarkStart w:id="3559" w:name="_Toc199452799"/>
      <w:r>
        <w:t>4.8.</w:t>
      </w:r>
      <w:r>
        <w:rPr>
          <w:lang w:eastAsia="zh-CN"/>
        </w:rPr>
        <w:t>1.3.2</w:t>
      </w:r>
      <w:r>
        <w:tab/>
      </w:r>
      <w:r>
        <w:rPr>
          <w:lang w:eastAsia="zh-CN"/>
        </w:rPr>
        <w:t>NF Service Consumers</w:t>
      </w:r>
      <w:bookmarkEnd w:id="3549"/>
      <w:bookmarkEnd w:id="3550"/>
      <w:bookmarkEnd w:id="3551"/>
      <w:bookmarkEnd w:id="3552"/>
      <w:bookmarkEnd w:id="3553"/>
      <w:bookmarkEnd w:id="3554"/>
      <w:bookmarkEnd w:id="3555"/>
      <w:bookmarkEnd w:id="3556"/>
      <w:bookmarkEnd w:id="3557"/>
      <w:bookmarkEnd w:id="3558"/>
      <w:bookmarkEnd w:id="3559"/>
    </w:p>
    <w:p w14:paraId="238C9385" w14:textId="52FD6C2B" w:rsidR="00A10B25" w:rsidRDefault="00A10B25">
      <w:pPr>
        <w:rPr>
          <w:lang w:val="en-US"/>
        </w:rPr>
      </w:pPr>
      <w:r>
        <w:t>The Network Data Analytics Function (NWDAF) with roaming exchange capability, i.e. the H-RE-NWDAF or V-RE-NWDAF, supports (un)subscription to the notification of</w:t>
      </w:r>
      <w:r>
        <w:rPr>
          <w:lang w:eastAsia="zh-CN"/>
        </w:rPr>
        <w:t xml:space="preserve"> </w:t>
      </w:r>
      <w:r>
        <w:t xml:space="preserve">the </w:t>
      </w:r>
      <w:r>
        <w:rPr>
          <w:lang w:eastAsia="ja-JP"/>
        </w:rPr>
        <w:t>data of roaming UEs</w:t>
      </w:r>
      <w:r w:rsidR="003513BE" w:rsidRPr="00063904">
        <w:rPr>
          <w:lang w:eastAsia="ja-JP"/>
        </w:rPr>
        <w:t>.</w:t>
      </w:r>
    </w:p>
    <w:p w14:paraId="63042D48" w14:textId="77777777" w:rsidR="00A10B25" w:rsidRDefault="00A10B25">
      <w:pPr>
        <w:pStyle w:val="3"/>
      </w:pPr>
      <w:bookmarkStart w:id="3560" w:name="_Toc164920705"/>
      <w:bookmarkStart w:id="3561" w:name="_Toc170120247"/>
      <w:bookmarkStart w:id="3562" w:name="_Toc175858492"/>
      <w:bookmarkStart w:id="3563" w:name="_Toc175859565"/>
      <w:bookmarkStart w:id="3564" w:name="_Toc180605855"/>
      <w:bookmarkStart w:id="3565" w:name="_Toc185517109"/>
      <w:bookmarkStart w:id="3566" w:name="_Toc191576160"/>
      <w:bookmarkStart w:id="3567" w:name="_Toc191576900"/>
      <w:bookmarkStart w:id="3568" w:name="_Toc192879970"/>
      <w:bookmarkStart w:id="3569" w:name="_Toc195814853"/>
      <w:bookmarkStart w:id="3570" w:name="_Toc199452800"/>
      <w:r>
        <w:lastRenderedPageBreak/>
        <w:t>4.8.2</w:t>
      </w:r>
      <w:r>
        <w:tab/>
        <w:t>Service Operations</w:t>
      </w:r>
      <w:bookmarkEnd w:id="3560"/>
      <w:bookmarkEnd w:id="3561"/>
      <w:bookmarkEnd w:id="3562"/>
      <w:bookmarkEnd w:id="3563"/>
      <w:bookmarkEnd w:id="3564"/>
      <w:bookmarkEnd w:id="3565"/>
      <w:bookmarkEnd w:id="3566"/>
      <w:bookmarkEnd w:id="3567"/>
      <w:bookmarkEnd w:id="3568"/>
      <w:bookmarkEnd w:id="3569"/>
      <w:bookmarkEnd w:id="3570"/>
    </w:p>
    <w:p w14:paraId="324A0670" w14:textId="77777777" w:rsidR="00A10B25" w:rsidRDefault="00A10B25">
      <w:pPr>
        <w:pStyle w:val="4"/>
        <w:rPr>
          <w:lang w:eastAsia="zh-CN"/>
        </w:rPr>
      </w:pPr>
      <w:bookmarkStart w:id="3571" w:name="_Toc164920706"/>
      <w:bookmarkStart w:id="3572" w:name="_Toc170120248"/>
      <w:bookmarkStart w:id="3573" w:name="_Toc175858493"/>
      <w:bookmarkStart w:id="3574" w:name="_Toc175859566"/>
      <w:bookmarkStart w:id="3575" w:name="_Toc180605856"/>
      <w:bookmarkStart w:id="3576" w:name="_Toc185517110"/>
      <w:bookmarkStart w:id="3577" w:name="_Toc191576161"/>
      <w:bookmarkStart w:id="3578" w:name="_Toc191576901"/>
      <w:bookmarkStart w:id="3579" w:name="_Toc192879971"/>
      <w:bookmarkStart w:id="3580" w:name="_Toc195814854"/>
      <w:bookmarkStart w:id="3581" w:name="_Toc199452801"/>
      <w:r>
        <w:t>4.8.2.1</w:t>
      </w:r>
      <w:r>
        <w:tab/>
        <w:t>Introduction</w:t>
      </w:r>
      <w:bookmarkEnd w:id="3571"/>
      <w:bookmarkEnd w:id="3572"/>
      <w:bookmarkEnd w:id="3573"/>
      <w:bookmarkEnd w:id="3574"/>
      <w:bookmarkEnd w:id="3575"/>
      <w:bookmarkEnd w:id="3576"/>
      <w:bookmarkEnd w:id="3577"/>
      <w:bookmarkEnd w:id="3578"/>
      <w:bookmarkEnd w:id="3579"/>
      <w:bookmarkEnd w:id="3580"/>
      <w:bookmarkEnd w:id="3581"/>
    </w:p>
    <w:p w14:paraId="5CE5C403"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4.8.2.1-1: Operations of the </w:t>
      </w:r>
      <w:r>
        <w:t>Nnwdaf_RoamingData</w:t>
      </w:r>
      <w:r>
        <w:rPr>
          <w:rFonts w:eastAsia="MS Mincho"/>
        </w:rPr>
        <w:t xml:space="preserve">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A10B25" w14:paraId="18531F09" w14:textId="77777777">
        <w:trPr>
          <w:cantSplit/>
          <w:tblHeader/>
        </w:trPr>
        <w:tc>
          <w:tcPr>
            <w:tcW w:w="3397" w:type="dxa"/>
            <w:shd w:val="clear" w:color="000000" w:fill="C0C0C0"/>
          </w:tcPr>
          <w:p w14:paraId="759D924F" w14:textId="77777777" w:rsidR="00A10B25" w:rsidRDefault="00A10B25">
            <w:pPr>
              <w:pStyle w:val="TAH"/>
              <w:ind w:left="400" w:hanging="400"/>
            </w:pPr>
            <w:r>
              <w:t>Service operation name</w:t>
            </w:r>
          </w:p>
        </w:tc>
        <w:tc>
          <w:tcPr>
            <w:tcW w:w="4231" w:type="dxa"/>
            <w:shd w:val="clear" w:color="000000" w:fill="C0C0C0"/>
          </w:tcPr>
          <w:p w14:paraId="3902DE21" w14:textId="77777777" w:rsidR="00A10B25" w:rsidRDefault="00A10B25">
            <w:pPr>
              <w:pStyle w:val="TAH"/>
              <w:ind w:left="400" w:hanging="400"/>
            </w:pPr>
            <w:r>
              <w:t>Description</w:t>
            </w:r>
          </w:p>
        </w:tc>
        <w:tc>
          <w:tcPr>
            <w:tcW w:w="1985" w:type="dxa"/>
            <w:shd w:val="clear" w:color="000000" w:fill="C0C0C0"/>
          </w:tcPr>
          <w:p w14:paraId="3E107486" w14:textId="77777777" w:rsidR="00A10B25" w:rsidRDefault="00A10B25">
            <w:pPr>
              <w:pStyle w:val="TAH"/>
              <w:ind w:left="400" w:hanging="400"/>
            </w:pPr>
            <w:r>
              <w:t>Initiated by</w:t>
            </w:r>
          </w:p>
        </w:tc>
      </w:tr>
      <w:tr w:rsidR="00A10B25" w14:paraId="46A66EE7" w14:textId="77777777">
        <w:trPr>
          <w:cantSplit/>
        </w:trPr>
        <w:tc>
          <w:tcPr>
            <w:tcW w:w="3397" w:type="dxa"/>
          </w:tcPr>
          <w:p w14:paraId="47DA5464" w14:textId="77777777" w:rsidR="00A10B25" w:rsidRDefault="00A10B25">
            <w:pPr>
              <w:rPr>
                <w:rFonts w:ascii="Arial" w:hAnsi="Arial"/>
                <w:sz w:val="18"/>
              </w:rPr>
            </w:pPr>
            <w:r>
              <w:rPr>
                <w:rFonts w:ascii="Arial" w:hAnsi="Arial"/>
                <w:sz w:val="18"/>
              </w:rPr>
              <w:t>Nnwdaf_RoamingData_Subscribe</w:t>
            </w:r>
          </w:p>
        </w:tc>
        <w:tc>
          <w:tcPr>
            <w:tcW w:w="4231" w:type="dxa"/>
          </w:tcPr>
          <w:p w14:paraId="1DE45C0B" w14:textId="77777777" w:rsidR="00A10B25" w:rsidRDefault="00A10B25">
            <w:pPr>
              <w:pStyle w:val="TAL"/>
            </w:pPr>
            <w:r>
              <w:t xml:space="preserve">This service operation is used by an NF service consumer to subscribe to the </w:t>
            </w:r>
            <w:r>
              <w:rPr>
                <w:lang w:eastAsia="ja-JP"/>
              </w:rPr>
              <w:t>data of roaming UEs exposed by an RE-NWDAF</w:t>
            </w:r>
            <w:r>
              <w:rPr>
                <w:rFonts w:hint="eastAsia"/>
                <w:lang w:eastAsia="zh-CN"/>
              </w:rPr>
              <w:t>.</w:t>
            </w:r>
          </w:p>
        </w:tc>
        <w:tc>
          <w:tcPr>
            <w:tcW w:w="1985" w:type="dxa"/>
          </w:tcPr>
          <w:p w14:paraId="5CABD20F" w14:textId="77777777" w:rsidR="00A10B25" w:rsidRDefault="00A10B25">
            <w:pPr>
              <w:pStyle w:val="TAL"/>
            </w:pPr>
            <w:r>
              <w:rPr>
                <w:lang w:eastAsia="zh-CN"/>
              </w:rPr>
              <w:t>NF service consumer (RE-</w:t>
            </w:r>
            <w:r>
              <w:t>NWDAF)</w:t>
            </w:r>
          </w:p>
        </w:tc>
      </w:tr>
      <w:tr w:rsidR="00A10B25" w14:paraId="41C08A62" w14:textId="77777777">
        <w:trPr>
          <w:cantSplit/>
        </w:trPr>
        <w:tc>
          <w:tcPr>
            <w:tcW w:w="3397" w:type="dxa"/>
          </w:tcPr>
          <w:p w14:paraId="79F96B82" w14:textId="77777777" w:rsidR="00A10B25" w:rsidRDefault="00A10B25">
            <w:pPr>
              <w:rPr>
                <w:rFonts w:ascii="Arial" w:hAnsi="Arial"/>
                <w:sz w:val="18"/>
              </w:rPr>
            </w:pPr>
            <w:r>
              <w:rPr>
                <w:rFonts w:ascii="Arial" w:hAnsi="Arial"/>
                <w:sz w:val="18"/>
              </w:rPr>
              <w:t>Nnwdaf_RoamingData_Unsubscribe</w:t>
            </w:r>
          </w:p>
        </w:tc>
        <w:tc>
          <w:tcPr>
            <w:tcW w:w="4231" w:type="dxa"/>
          </w:tcPr>
          <w:p w14:paraId="709E4107" w14:textId="77777777" w:rsidR="00A10B25" w:rsidRDefault="00A10B25">
            <w:pPr>
              <w:pStyle w:val="TAL"/>
            </w:pPr>
            <w:r>
              <w:t xml:space="preserve">This service operation is used by an NF service consumer to unsubscribe from the </w:t>
            </w:r>
            <w:r>
              <w:rPr>
                <w:lang w:eastAsia="ja-JP"/>
              </w:rPr>
              <w:t>data of roaming UEs exposed by an RE-NWDAF</w:t>
            </w:r>
            <w:r>
              <w:rPr>
                <w:rFonts w:hint="eastAsia"/>
                <w:lang w:eastAsia="zh-CN"/>
              </w:rPr>
              <w:t>.</w:t>
            </w:r>
          </w:p>
        </w:tc>
        <w:tc>
          <w:tcPr>
            <w:tcW w:w="1985" w:type="dxa"/>
          </w:tcPr>
          <w:p w14:paraId="02318B7A" w14:textId="77777777" w:rsidR="00A10B25" w:rsidRDefault="00A10B25">
            <w:pPr>
              <w:pStyle w:val="TAL"/>
            </w:pPr>
            <w:r>
              <w:rPr>
                <w:lang w:eastAsia="zh-CN"/>
              </w:rPr>
              <w:t>NF service consumer (RE-</w:t>
            </w:r>
            <w:r>
              <w:t>NWDAF)</w:t>
            </w:r>
          </w:p>
        </w:tc>
      </w:tr>
      <w:tr w:rsidR="00A10B25" w14:paraId="40809C6E" w14:textId="77777777">
        <w:trPr>
          <w:cantSplit/>
        </w:trPr>
        <w:tc>
          <w:tcPr>
            <w:tcW w:w="3397" w:type="dxa"/>
          </w:tcPr>
          <w:p w14:paraId="12899AE3" w14:textId="77777777" w:rsidR="00A10B25" w:rsidRDefault="00A10B25">
            <w:pPr>
              <w:rPr>
                <w:rFonts w:ascii="Arial" w:hAnsi="Arial"/>
                <w:sz w:val="18"/>
              </w:rPr>
            </w:pPr>
            <w:r>
              <w:rPr>
                <w:rFonts w:ascii="Arial" w:hAnsi="Arial"/>
                <w:sz w:val="18"/>
              </w:rPr>
              <w:t>Nnwdaf_RoamingData_Notify</w:t>
            </w:r>
          </w:p>
        </w:tc>
        <w:tc>
          <w:tcPr>
            <w:tcW w:w="4231" w:type="dxa"/>
          </w:tcPr>
          <w:p w14:paraId="4407B34F" w14:textId="2406EAE5" w:rsidR="00A10B25" w:rsidRPr="003513BE" w:rsidRDefault="003513BE">
            <w:pPr>
              <w:pStyle w:val="TAL"/>
            </w:pPr>
            <w:r>
              <w:t xml:space="preserve">This service operation is used by </w:t>
            </w:r>
            <w:r w:rsidRPr="00063904">
              <w:t xml:space="preserve">the </w:t>
            </w:r>
            <w:r>
              <w:t>RE-</w:t>
            </w:r>
            <w:r w:rsidRPr="00063904">
              <w:t>NWDAF</w:t>
            </w:r>
            <w:r>
              <w:t xml:space="preserve"> to </w:t>
            </w:r>
            <w:r>
              <w:rPr>
                <w:lang w:eastAsia="ja-JP"/>
              </w:rPr>
              <w:t>notify the data of roaming UEs</w:t>
            </w:r>
            <w:r w:rsidRPr="00063904">
              <w:rPr>
                <w:rFonts w:hint="eastAsia"/>
                <w:lang w:eastAsia="zh-CN"/>
              </w:rPr>
              <w:t>.</w:t>
            </w:r>
          </w:p>
        </w:tc>
        <w:tc>
          <w:tcPr>
            <w:tcW w:w="1985" w:type="dxa"/>
          </w:tcPr>
          <w:p w14:paraId="7676A40E" w14:textId="77777777" w:rsidR="00A10B25" w:rsidRDefault="00A10B25">
            <w:pPr>
              <w:pStyle w:val="TAL"/>
            </w:pPr>
            <w:r>
              <w:t>RE-NWDAF</w:t>
            </w:r>
          </w:p>
        </w:tc>
      </w:tr>
    </w:tbl>
    <w:p w14:paraId="20FDFECE" w14:textId="77777777" w:rsidR="00A10B25" w:rsidRDefault="00A10B25"/>
    <w:p w14:paraId="4B24EC51" w14:textId="77777777" w:rsidR="00A10B25" w:rsidRDefault="00A10B25">
      <w:pPr>
        <w:pStyle w:val="4"/>
      </w:pPr>
      <w:bookmarkStart w:id="3582" w:name="_Toc164920707"/>
      <w:bookmarkStart w:id="3583" w:name="_Toc170120249"/>
      <w:bookmarkStart w:id="3584" w:name="_Toc175858494"/>
      <w:bookmarkStart w:id="3585" w:name="_Toc175859567"/>
      <w:bookmarkStart w:id="3586" w:name="_Toc180605857"/>
      <w:bookmarkStart w:id="3587" w:name="_Toc185517111"/>
      <w:bookmarkStart w:id="3588" w:name="_Toc191576162"/>
      <w:bookmarkStart w:id="3589" w:name="_Toc191576902"/>
      <w:bookmarkStart w:id="3590" w:name="_Toc192879972"/>
      <w:bookmarkStart w:id="3591" w:name="_Toc195814855"/>
      <w:bookmarkStart w:id="3592" w:name="_Toc199452802"/>
      <w:r>
        <w:t>4.8.2.2</w:t>
      </w:r>
      <w:r>
        <w:tab/>
        <w:t>Nnwdaf_RoamingData_Subscribe service operation</w:t>
      </w:r>
      <w:bookmarkEnd w:id="3582"/>
      <w:bookmarkEnd w:id="3583"/>
      <w:bookmarkEnd w:id="3584"/>
      <w:bookmarkEnd w:id="3585"/>
      <w:bookmarkEnd w:id="3586"/>
      <w:bookmarkEnd w:id="3587"/>
      <w:bookmarkEnd w:id="3588"/>
      <w:bookmarkEnd w:id="3589"/>
      <w:bookmarkEnd w:id="3590"/>
      <w:bookmarkEnd w:id="3591"/>
      <w:bookmarkEnd w:id="3592"/>
    </w:p>
    <w:p w14:paraId="628AC434" w14:textId="77777777" w:rsidR="00A10B25" w:rsidRDefault="00A10B25">
      <w:pPr>
        <w:pStyle w:val="5"/>
      </w:pPr>
      <w:bookmarkStart w:id="3593" w:name="_Toc164920708"/>
      <w:bookmarkStart w:id="3594" w:name="_Toc170120250"/>
      <w:bookmarkStart w:id="3595" w:name="_Toc175858495"/>
      <w:bookmarkStart w:id="3596" w:name="_Toc175859568"/>
      <w:bookmarkStart w:id="3597" w:name="_Toc180605858"/>
      <w:bookmarkStart w:id="3598" w:name="_Toc185517112"/>
      <w:bookmarkStart w:id="3599" w:name="_Toc191576163"/>
      <w:bookmarkStart w:id="3600" w:name="_Toc191576903"/>
      <w:bookmarkStart w:id="3601" w:name="_Toc192879973"/>
      <w:bookmarkStart w:id="3602" w:name="_Toc195814856"/>
      <w:bookmarkStart w:id="3603" w:name="_Toc199452803"/>
      <w:r>
        <w:t>4.8.2.2.1</w:t>
      </w:r>
      <w:r>
        <w:tab/>
        <w:t>General</w:t>
      </w:r>
      <w:bookmarkEnd w:id="3593"/>
      <w:bookmarkEnd w:id="3594"/>
      <w:bookmarkEnd w:id="3595"/>
      <w:bookmarkEnd w:id="3596"/>
      <w:bookmarkEnd w:id="3597"/>
      <w:bookmarkEnd w:id="3598"/>
      <w:bookmarkEnd w:id="3599"/>
      <w:bookmarkEnd w:id="3600"/>
      <w:bookmarkEnd w:id="3601"/>
      <w:bookmarkEnd w:id="3602"/>
      <w:bookmarkEnd w:id="3603"/>
    </w:p>
    <w:p w14:paraId="0095E47F" w14:textId="77777777" w:rsidR="00A10B25" w:rsidRDefault="00A10B25">
      <w:r>
        <w:rPr>
          <w:lang w:eastAsia="zh-CN"/>
        </w:rPr>
        <w:t xml:space="preserve">The Nnwdaf_RoamingData_Subscribe service operation is used by an </w:t>
      </w:r>
      <w:r>
        <w:t xml:space="preserve">NF service consumer </w:t>
      </w:r>
      <w:r>
        <w:rPr>
          <w:lang w:eastAsia="zh-CN"/>
        </w:rPr>
        <w:t xml:space="preserve">to </w:t>
      </w:r>
      <w:r>
        <w:t xml:space="preserve">subscribe or update subscription for the </w:t>
      </w:r>
      <w:r>
        <w:rPr>
          <w:lang w:eastAsia="ja-JP"/>
        </w:rPr>
        <w:t>data of roaming UEs exposed by an RE-NWDAF</w:t>
      </w:r>
      <w:r>
        <w:rPr>
          <w:lang w:eastAsia="zh-CN"/>
        </w:rPr>
        <w:t>.</w:t>
      </w:r>
    </w:p>
    <w:p w14:paraId="116B9B4E" w14:textId="77777777" w:rsidR="003E1F9F" w:rsidRPr="00F710E9" w:rsidRDefault="003E1F9F" w:rsidP="005B3671">
      <w:pPr>
        <w:pStyle w:val="5"/>
      </w:pPr>
      <w:bookmarkStart w:id="3604" w:name="_Toc164920709"/>
      <w:bookmarkStart w:id="3605" w:name="_Toc170120251"/>
      <w:bookmarkStart w:id="3606" w:name="_Toc175858496"/>
      <w:bookmarkStart w:id="3607" w:name="_Toc175859569"/>
      <w:bookmarkStart w:id="3608" w:name="_Toc180605859"/>
      <w:bookmarkStart w:id="3609" w:name="_Toc185517113"/>
      <w:bookmarkStart w:id="3610" w:name="_Toc191576164"/>
      <w:bookmarkStart w:id="3611" w:name="_Toc191576904"/>
      <w:bookmarkStart w:id="3612" w:name="_Toc192879974"/>
      <w:bookmarkStart w:id="3613" w:name="_Toc195814857"/>
      <w:bookmarkStart w:id="3614" w:name="_Toc199452804"/>
      <w:r w:rsidRPr="00F710E9">
        <w:t>4.8.2.2.2</w:t>
      </w:r>
      <w:r w:rsidRPr="00F710E9">
        <w:tab/>
        <w:t>Subscription for event notifications</w:t>
      </w:r>
      <w:bookmarkEnd w:id="3604"/>
      <w:bookmarkEnd w:id="3605"/>
      <w:bookmarkEnd w:id="3606"/>
      <w:bookmarkEnd w:id="3607"/>
      <w:bookmarkEnd w:id="3608"/>
      <w:bookmarkEnd w:id="3609"/>
      <w:bookmarkEnd w:id="3610"/>
      <w:bookmarkEnd w:id="3611"/>
      <w:bookmarkEnd w:id="3612"/>
      <w:bookmarkEnd w:id="3613"/>
      <w:bookmarkEnd w:id="3614"/>
    </w:p>
    <w:p w14:paraId="6831B788" w14:textId="77777777" w:rsidR="003E1F9F" w:rsidRPr="00F710E9" w:rsidRDefault="003E1F9F" w:rsidP="003E1F9F">
      <w:pPr>
        <w:rPr>
          <w:rFonts w:eastAsia="等线"/>
        </w:rPr>
      </w:pPr>
      <w:r w:rsidRPr="00F710E9">
        <w:rPr>
          <w:rFonts w:eastAsia="等线"/>
        </w:rPr>
        <w:t>Figure 4.8.2.2.2-1 shows a scenario where the NF service consumer sends a request to the RE-NWDAF to subscribe</w:t>
      </w:r>
      <w:r w:rsidRPr="00F710E9">
        <w:rPr>
          <w:rFonts w:eastAsia="Batang"/>
        </w:rPr>
        <w:t xml:space="preserve"> </w:t>
      </w:r>
      <w:r w:rsidRPr="00F710E9">
        <w:rPr>
          <w:rFonts w:eastAsia="等线"/>
        </w:rPr>
        <w:t>for event notification(s).</w:t>
      </w:r>
    </w:p>
    <w:p w14:paraId="565ACA96" w14:textId="77777777" w:rsidR="003E1F9F" w:rsidRPr="00F710E9" w:rsidRDefault="003E1F9F" w:rsidP="005B3671">
      <w:pPr>
        <w:pStyle w:val="TH"/>
        <w:rPr>
          <w:rFonts w:eastAsia="等线"/>
        </w:rPr>
      </w:pPr>
      <w:r w:rsidRPr="00F710E9">
        <w:rPr>
          <w:lang w:eastAsia="en-GB"/>
        </w:rPr>
        <w:object w:dxaOrig="9007" w:dyaOrig="2960" w14:anchorId="72C27F8E">
          <v:shape id="_x0000_i1080" type="#_x0000_t75" style="width:482.7pt;height:157.75pt;mso-position-horizontal-relative:page;mso-position-vertical-relative:page" o:ole="">
            <v:imagedata r:id="rId83" o:title=""/>
          </v:shape>
          <o:OLEObject Type="Embed" ProgID="Visio.Drawing.15" ShapeID="_x0000_i1080" DrawAspect="Content" ObjectID="_1810066019" r:id="rId84"/>
        </w:object>
      </w:r>
    </w:p>
    <w:p w14:paraId="741ACD7B" w14:textId="77777777" w:rsidR="003E1F9F" w:rsidRPr="00F710E9" w:rsidRDefault="003E1F9F" w:rsidP="005B3671">
      <w:pPr>
        <w:pStyle w:val="TF"/>
      </w:pPr>
      <w:r w:rsidRPr="00F710E9">
        <w:t>Figure 4.8.2.2.2-1: NF service consumer subscribes to notifications</w:t>
      </w:r>
    </w:p>
    <w:p w14:paraId="4349E497" w14:textId="77777777" w:rsidR="003E1F9F" w:rsidRPr="00F710E9" w:rsidRDefault="003E1F9F" w:rsidP="003E1F9F">
      <w:pPr>
        <w:rPr>
          <w:rFonts w:eastAsia="等线"/>
        </w:rPr>
      </w:pPr>
      <w:r w:rsidRPr="00F710E9">
        <w:rPr>
          <w:rFonts w:eastAsia="等线"/>
        </w:rPr>
        <w:t>The NF service consumer shall invoke the Nnwdaf_RoamingData_Subscribe service operation to subscribe to event notification(s). The NF service consumer shall send an HTTP POST request with "{apiRoot}/nnwdaf-roamingdata/&lt;apiVersion&gt;/subscriptions" as Resource URI representing the "</w:t>
      </w:r>
      <w:r w:rsidRPr="00F710E9">
        <w:t>NWDAF Roaming Data Subscriptions</w:t>
      </w:r>
      <w:r w:rsidRPr="00F710E9">
        <w:rPr>
          <w:rFonts w:eastAsia="等线"/>
        </w:rPr>
        <w:t xml:space="preserve">", as shown in figure 4.8.2.2.2-1, step 1, to create a subscription for an "Individual NWDAF </w:t>
      </w:r>
      <w:r w:rsidRPr="00F710E9">
        <w:t>Roaming Data</w:t>
      </w:r>
      <w:r w:rsidRPr="00F710E9">
        <w:rPr>
          <w:rFonts w:eastAsia="等线"/>
        </w:rPr>
        <w:t xml:space="preserve"> Subscription" according to the information in message body. The </w:t>
      </w:r>
      <w:r w:rsidRPr="00F710E9">
        <w:rPr>
          <w:lang w:eastAsia="ja-JP"/>
        </w:rPr>
        <w:t>RoamingData</w:t>
      </w:r>
      <w:r w:rsidRPr="00F710E9">
        <w:rPr>
          <w:rFonts w:eastAsia="等线" w:hint="eastAsia"/>
          <w:lang w:eastAsia="zh-CN"/>
        </w:rPr>
        <w:t>Sub</w:t>
      </w:r>
      <w:r w:rsidRPr="00F710E9">
        <w:rPr>
          <w:rFonts w:eastAsia="等线"/>
        </w:rPr>
        <w:t xml:space="preserve"> data structure provided in the request body shall include: </w:t>
      </w:r>
    </w:p>
    <w:p w14:paraId="04D346E8" w14:textId="77777777" w:rsidR="003E1F9F" w:rsidRPr="00F710E9" w:rsidRDefault="003E1F9F" w:rsidP="005B3671">
      <w:pPr>
        <w:pStyle w:val="B1"/>
      </w:pPr>
      <w:r w:rsidRPr="00F710E9">
        <w:t>-</w:t>
      </w:r>
      <w:r w:rsidRPr="00F710E9">
        <w:tab/>
        <w:t>the notification URI within "notificationUri" attribute;</w:t>
      </w:r>
    </w:p>
    <w:p w14:paraId="3853E1C9" w14:textId="77777777" w:rsidR="003E1F9F" w:rsidRPr="00F710E9" w:rsidRDefault="003E1F9F" w:rsidP="005B3671">
      <w:pPr>
        <w:pStyle w:val="B1"/>
      </w:pPr>
      <w:r w:rsidRPr="00F710E9">
        <w:rPr>
          <w:lang w:eastAsia="zh-CN"/>
        </w:rPr>
        <w:t>-</w:t>
      </w:r>
      <w:r w:rsidRPr="00F710E9">
        <w:rPr>
          <w:lang w:eastAsia="zh-CN"/>
        </w:rPr>
        <w:tab/>
        <w:t>the notification cor</w:t>
      </w:r>
      <w:r w:rsidRPr="00F710E9">
        <w:t>relation identifier within "notifCorrId" attribute;</w:t>
      </w:r>
    </w:p>
    <w:p w14:paraId="0509BC02" w14:textId="77777777" w:rsidR="003E1F9F" w:rsidRPr="00F710E9" w:rsidRDefault="003E1F9F" w:rsidP="005B3671">
      <w:pPr>
        <w:pStyle w:val="B1"/>
      </w:pPr>
      <w:r w:rsidRPr="00F710E9">
        <w:rPr>
          <w:lang w:eastAsia="zh-CN"/>
        </w:rPr>
        <w:t>-</w:t>
      </w:r>
      <w:r w:rsidRPr="00F710E9">
        <w:rPr>
          <w:lang w:eastAsia="zh-CN"/>
        </w:rPr>
        <w:tab/>
        <w:t xml:space="preserve">the </w:t>
      </w:r>
      <w:r w:rsidRPr="00F710E9">
        <w:t>PLMN ID of the consumer within "</w:t>
      </w:r>
      <w:r w:rsidRPr="00F710E9">
        <w:rPr>
          <w:lang w:eastAsia="zh-CN"/>
        </w:rPr>
        <w:t>p</w:t>
      </w:r>
      <w:r w:rsidRPr="00F710E9">
        <w:rPr>
          <w:rFonts w:hint="eastAsia"/>
          <w:lang w:eastAsia="zh-CN"/>
        </w:rPr>
        <w:t>lmn</w:t>
      </w:r>
      <w:r w:rsidRPr="00F710E9">
        <w:rPr>
          <w:lang w:eastAsia="zh-CN"/>
        </w:rPr>
        <w:t>Id</w:t>
      </w:r>
      <w:r w:rsidRPr="00F710E9">
        <w:t>" attribute;</w:t>
      </w:r>
    </w:p>
    <w:p w14:paraId="617E3FFD" w14:textId="77777777" w:rsidR="003E1F9F" w:rsidRPr="00F710E9" w:rsidRDefault="003E1F9F" w:rsidP="005B3671">
      <w:pPr>
        <w:pStyle w:val="B1"/>
      </w:pPr>
      <w:r w:rsidRPr="00F710E9">
        <w:t>-</w:t>
      </w:r>
      <w:r w:rsidRPr="00F710E9">
        <w:tab/>
        <w:t xml:space="preserve">either the analytics subscription information to be used by the NWDAF to determine the data that can be used to generate these analytics within the "anaSub" attribute or </w:t>
      </w:r>
      <w:r w:rsidRPr="00F710E9">
        <w:rPr>
          <w:lang w:eastAsia="zh-CN"/>
        </w:rPr>
        <w:t>subscribed data events</w:t>
      </w:r>
      <w:r w:rsidRPr="00F710E9">
        <w:t xml:space="preserve"> within the "</w:t>
      </w:r>
      <w:r w:rsidRPr="00F710E9">
        <w:rPr>
          <w:lang w:eastAsia="zh-CN"/>
        </w:rPr>
        <w:t>dataSub</w:t>
      </w:r>
      <w:r w:rsidRPr="00F710E9">
        <w:t>" attribute;</w:t>
      </w:r>
    </w:p>
    <w:p w14:paraId="4369ADA5" w14:textId="77777777" w:rsidR="003E1F9F" w:rsidRPr="00F710E9" w:rsidRDefault="003E1F9F" w:rsidP="003E1F9F">
      <w:r w:rsidRPr="00F710E9">
        <w:t>and may include:</w:t>
      </w:r>
    </w:p>
    <w:p w14:paraId="48375986" w14:textId="77777777" w:rsidR="003E1F9F" w:rsidRPr="00F710E9" w:rsidRDefault="003E1F9F" w:rsidP="005B3671">
      <w:pPr>
        <w:pStyle w:val="B1"/>
        <w:rPr>
          <w:lang w:eastAsia="en-GB"/>
        </w:rPr>
      </w:pPr>
      <w:r w:rsidRPr="00F710E9">
        <w:rPr>
          <w:lang w:eastAsia="en-GB"/>
        </w:rPr>
        <w:lastRenderedPageBreak/>
        <w:t>-</w:t>
      </w:r>
      <w:r w:rsidRPr="00F710E9">
        <w:rPr>
          <w:lang w:eastAsia="en-GB"/>
        </w:rPr>
        <w:tab/>
        <w:t>formatting instructions within the "</w:t>
      </w:r>
      <w:r w:rsidRPr="00F710E9">
        <w:rPr>
          <w:lang w:val="en-US" w:eastAsia="zh-CN"/>
        </w:rPr>
        <w:t>formatInstruct</w:t>
      </w:r>
      <w:r w:rsidRPr="00F710E9">
        <w:rPr>
          <w:lang w:eastAsia="en-GB"/>
        </w:rPr>
        <w:t>" attribute;</w:t>
      </w:r>
    </w:p>
    <w:p w14:paraId="0E724791" w14:textId="77777777" w:rsidR="003E1F9F" w:rsidRPr="00F710E9" w:rsidRDefault="003E1F9F" w:rsidP="005B3671">
      <w:pPr>
        <w:pStyle w:val="B1"/>
        <w:rPr>
          <w:lang w:eastAsia="en-GB"/>
        </w:rPr>
      </w:pPr>
      <w:r w:rsidRPr="00F710E9">
        <w:rPr>
          <w:lang w:eastAsia="en-GB"/>
        </w:rPr>
        <w:t>-</w:t>
      </w:r>
      <w:r w:rsidRPr="00F710E9">
        <w:rPr>
          <w:lang w:eastAsia="en-GB"/>
        </w:rPr>
        <w:tab/>
        <w:t>processing instructions within the "</w:t>
      </w:r>
      <w:r w:rsidRPr="00F710E9">
        <w:rPr>
          <w:lang w:val="en-US" w:eastAsia="zh-CN"/>
        </w:rPr>
        <w:t>procInstructs</w:t>
      </w:r>
      <w:r w:rsidRPr="00F710E9">
        <w:rPr>
          <w:lang w:eastAsia="en-GB"/>
        </w:rPr>
        <w:t>" attribute;</w:t>
      </w:r>
    </w:p>
    <w:p w14:paraId="51305001" w14:textId="77777777" w:rsidR="003E1F9F" w:rsidRPr="00F710E9" w:rsidRDefault="003E1F9F" w:rsidP="005B3671">
      <w:pPr>
        <w:pStyle w:val="B1"/>
      </w:pPr>
      <w:r w:rsidRPr="00F710E9">
        <w:rPr>
          <w:rFonts w:hint="eastAsia"/>
          <w:lang w:eastAsia="zh-CN"/>
        </w:rPr>
        <w:t>-</w:t>
      </w:r>
      <w:r w:rsidRPr="00F710E9">
        <w:tab/>
      </w:r>
      <w:r w:rsidRPr="00F710E9">
        <w:rPr>
          <w:rFonts w:hint="eastAsia"/>
          <w:lang w:eastAsia="zh-CN"/>
        </w:rPr>
        <w:t>tim</w:t>
      </w:r>
      <w:r w:rsidRPr="00F710E9">
        <w:t xml:space="preserve">e window of the occurrence of the requested data collection within the </w:t>
      </w:r>
      <w:r w:rsidRPr="00F710E9">
        <w:rPr>
          <w:lang w:val="en-US" w:eastAsia="zh-CN"/>
        </w:rPr>
        <w:t>"</w:t>
      </w:r>
      <w:r w:rsidRPr="00F710E9">
        <w:rPr>
          <w:lang w:eastAsia="zh-CN"/>
        </w:rPr>
        <w:t>timePeriod</w:t>
      </w:r>
      <w:r w:rsidRPr="00F710E9">
        <w:rPr>
          <w:lang w:eastAsia="en-GB"/>
        </w:rPr>
        <w:t>"</w:t>
      </w:r>
      <w:r w:rsidRPr="00F710E9">
        <w:rPr>
          <w:lang w:val="en-US" w:eastAsia="zh-CN"/>
        </w:rPr>
        <w:t xml:space="preserve"> attribute; and</w:t>
      </w:r>
    </w:p>
    <w:p w14:paraId="457A1765" w14:textId="77777777" w:rsidR="003E1F9F" w:rsidRPr="00F710E9" w:rsidRDefault="003E1F9F" w:rsidP="005B3671">
      <w:pPr>
        <w:pStyle w:val="B1"/>
        <w:rPr>
          <w:lang w:eastAsia="en-GB"/>
        </w:rPr>
      </w:pPr>
      <w:r w:rsidRPr="00F710E9">
        <w:rPr>
          <w:lang w:eastAsia="en-GB"/>
        </w:rPr>
        <w:t>-</w:t>
      </w:r>
      <w:r w:rsidRPr="00F710E9">
        <w:rPr>
          <w:lang w:eastAsia="en-GB"/>
        </w:rPr>
        <w:tab/>
        <w:t>either a target NF identifier within the "</w:t>
      </w:r>
      <w:r w:rsidRPr="00F710E9">
        <w:t>targetNfId</w:t>
      </w:r>
      <w:r w:rsidRPr="00F710E9">
        <w:rPr>
          <w:lang w:eastAsia="en-GB"/>
        </w:rPr>
        <w:t>" attribute" or a target NF set identifier within the "</w:t>
      </w:r>
      <w:r w:rsidRPr="00F710E9">
        <w:t>targetNfSetId</w:t>
      </w:r>
      <w:r w:rsidRPr="00F710E9">
        <w:rPr>
          <w:lang w:eastAsia="en-GB"/>
        </w:rPr>
        <w:t>" attribute".</w:t>
      </w:r>
    </w:p>
    <w:p w14:paraId="77E06025" w14:textId="77777777" w:rsidR="009B01A5" w:rsidRPr="00F710E9" w:rsidRDefault="009B01A5" w:rsidP="009B01A5">
      <w:r w:rsidRPr="00F710E9">
        <w:t xml:space="preserve">Upon the reception of an HTTP POST request with "{apiRoot}/nnwdaf-roamingdata/&lt;apiVersion&gt;/subscriptions" as Resource URI and </w:t>
      </w:r>
      <w:r w:rsidRPr="00F710E9">
        <w:rPr>
          <w:lang w:eastAsia="ja-JP"/>
        </w:rPr>
        <w:t>RoamingData</w:t>
      </w:r>
      <w:r w:rsidRPr="00F710E9">
        <w:rPr>
          <w:rFonts w:eastAsia="等线" w:hint="eastAsia"/>
          <w:lang w:eastAsia="zh-CN"/>
        </w:rPr>
        <w:t>Sub</w:t>
      </w:r>
      <w:r w:rsidRPr="00F710E9">
        <w:t xml:space="preserve"> data structure as request body, the RE-NWDAF shall: </w:t>
      </w:r>
    </w:p>
    <w:p w14:paraId="75D55F34" w14:textId="77777777" w:rsidR="009B01A5" w:rsidRPr="00F710E9" w:rsidRDefault="009B01A5" w:rsidP="009B01A5">
      <w:pPr>
        <w:pStyle w:val="B1"/>
      </w:pPr>
      <w:r w:rsidRPr="00F710E9">
        <w:t>-</w:t>
      </w:r>
      <w:r w:rsidRPr="00F710E9">
        <w:tab/>
        <w:t>create a new subscription;</w:t>
      </w:r>
    </w:p>
    <w:p w14:paraId="15B24029" w14:textId="77777777" w:rsidR="009B01A5" w:rsidRPr="00F710E9" w:rsidRDefault="009B01A5" w:rsidP="009B01A5">
      <w:pPr>
        <w:pStyle w:val="B1"/>
      </w:pPr>
      <w:r w:rsidRPr="00F710E9">
        <w:t>-</w:t>
      </w:r>
      <w:r w:rsidRPr="00F710E9">
        <w:tab/>
        <w:t>assign a subscriptionId;</w:t>
      </w:r>
    </w:p>
    <w:p w14:paraId="72541884" w14:textId="77777777" w:rsidR="009B01A5" w:rsidRPr="00F710E9" w:rsidRDefault="009B01A5" w:rsidP="009B01A5">
      <w:pPr>
        <w:pStyle w:val="B1"/>
      </w:pPr>
      <w:r w:rsidRPr="00F710E9">
        <w:t>-</w:t>
      </w:r>
      <w:r w:rsidRPr="00F710E9">
        <w:tab/>
        <w:t>store the subscription.</w:t>
      </w:r>
    </w:p>
    <w:p w14:paraId="1F3D85ED" w14:textId="77777777" w:rsidR="009B01A5" w:rsidRPr="00F710E9" w:rsidRDefault="009B01A5" w:rsidP="009B01A5">
      <w:r w:rsidRPr="00F710E9">
        <w:t>If the RE-NWDAF created an "Individual NWDAF Roaming Data Subscription" resource, the RE-NWDAF shall respond with "201 Created" with the message body containing a representation of the created subscription, as shown in figure 4.8.2.2.2-1, step 2. The RE-NWDAF shall include a Location HTTP header field. The Location header field shall contain the URI of the created profile, i.e. "{apiRoot}/nnwdaf-roamingdata/&lt;apiVersion&gt;/subscriptions/{subscriptionId}".</w:t>
      </w:r>
    </w:p>
    <w:p w14:paraId="1647A63F" w14:textId="77777777" w:rsidR="009B01A5" w:rsidRDefault="009B01A5" w:rsidP="009B01A5">
      <w:pPr>
        <w:rPr>
          <w:rFonts w:eastAsia="等线"/>
        </w:rPr>
      </w:pPr>
      <w:r w:rsidRPr="00327CEF">
        <w:rPr>
          <w:rFonts w:eastAsia="等线"/>
        </w:rPr>
        <w:t xml:space="preserve">If </w:t>
      </w:r>
      <w:r>
        <w:rPr>
          <w:rFonts w:eastAsia="等线"/>
        </w:rPr>
        <w:t>an indication to perform</w:t>
      </w:r>
      <w:r w:rsidRPr="00327CEF">
        <w:rPr>
          <w:rFonts w:eastAsia="等线"/>
        </w:rPr>
        <w:t xml:space="preserve"> immediate reporting </w:t>
      </w:r>
      <w:r>
        <w:rPr>
          <w:rFonts w:eastAsia="等线"/>
        </w:rPr>
        <w:t>is provided</w:t>
      </w:r>
      <w:r w:rsidRPr="00327CEF">
        <w:rPr>
          <w:rFonts w:eastAsia="等线"/>
        </w:rPr>
        <w:t xml:space="preserve"> in the event subscription, the </w:t>
      </w:r>
      <w:r>
        <w:rPr>
          <w:rFonts w:eastAsia="等线"/>
        </w:rPr>
        <w:t>RE-</w:t>
      </w:r>
      <w:r w:rsidRPr="00327CEF">
        <w:rPr>
          <w:rFonts w:eastAsia="等线"/>
        </w:rPr>
        <w:t>NWDAF shall include the reports of the events subscribed within "</w:t>
      </w:r>
      <w:r w:rsidRPr="00327CEF">
        <w:t>immReport</w:t>
      </w:r>
      <w:r w:rsidRPr="00327CEF">
        <w:rPr>
          <w:rFonts w:eastAsia="等线"/>
        </w:rPr>
        <w:t>"</w:t>
      </w:r>
      <w:r w:rsidRPr="00327CEF">
        <w:t xml:space="preserve"> attribute</w:t>
      </w:r>
      <w:r w:rsidRPr="00327CEF">
        <w:rPr>
          <w:rFonts w:eastAsia="等线"/>
        </w:rPr>
        <w:t>, if available, in the HTTP POST response</w:t>
      </w:r>
      <w:r w:rsidRPr="00F710E9">
        <w:rPr>
          <w:rFonts w:eastAsia="等线"/>
        </w:rPr>
        <w:t>.</w:t>
      </w:r>
    </w:p>
    <w:p w14:paraId="55C18DDC" w14:textId="77777777" w:rsidR="009B01A5" w:rsidRDefault="009B01A5" w:rsidP="009B01A5">
      <w:pPr>
        <w:rPr>
          <w:rFonts w:eastAsia="等线"/>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and set to "DEACTIVATE" in the request</w:t>
      </w:r>
      <w:r>
        <w:rPr>
          <w:lang w:eastAsia="zh-CN"/>
        </w:rPr>
        <w:t>, the RE-NWDAF shall mute the event notification and store the available events until the NF service consumer requests to retrieve them by setting the "notifFlag" attribute to "RETRIEVAL" or until a muting exception occurs (e.g. full buffer).</w:t>
      </w:r>
    </w:p>
    <w:p w14:paraId="7D6C1BFE" w14:textId="77777777" w:rsidR="00607DB3" w:rsidRDefault="00607DB3" w:rsidP="00607DB3">
      <w:r>
        <w:rPr>
          <w:rFonts w:eastAsia="等线"/>
        </w:rPr>
        <w:t xml:space="preserve">If the RE-NWDAF does not accept the request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051B9A15" w14:textId="729AA1EA" w:rsidR="003513BE" w:rsidRPr="00C343FC" w:rsidRDefault="003513BE" w:rsidP="003513BE">
      <w:pPr>
        <w:pStyle w:val="NO"/>
      </w:pPr>
      <w:r w:rsidRPr="00DE355F">
        <w:t>NOTE:</w:t>
      </w:r>
      <w:r w:rsidRPr="00DE355F">
        <w:tab/>
      </w:r>
      <w:r>
        <w:t>If the u</w:t>
      </w:r>
      <w:r w:rsidRPr="00EE55E9">
        <w:rPr>
          <w:rFonts w:eastAsia="等线"/>
        </w:rPr>
        <w:t xml:space="preserve">ser consent </w:t>
      </w:r>
      <w:r>
        <w:rPr>
          <w:rFonts w:eastAsia="等线"/>
        </w:rPr>
        <w:t>needs to be</w:t>
      </w:r>
      <w:r w:rsidRPr="00EE55E9">
        <w:rPr>
          <w:rFonts w:eastAsia="等线"/>
        </w:rPr>
        <w:t xml:space="preserve"> checked</w:t>
      </w:r>
      <w:r>
        <w:rPr>
          <w:rFonts w:eastAsia="等线"/>
        </w:rPr>
        <w:t>, t</w:t>
      </w:r>
      <w:r>
        <w:rPr>
          <w:rFonts w:hint="eastAsia"/>
          <w:lang w:eastAsia="zh-CN"/>
        </w:rPr>
        <w:t>he</w:t>
      </w:r>
      <w:r>
        <w:t xml:space="preserve"> RE-NWDAF checks the user consent for analytics as defined in </w:t>
      </w:r>
      <w:r w:rsidRPr="00DE355F">
        <w:t>clause X.7 and Annex V of TS 33.501 [</w:t>
      </w:r>
      <w:r>
        <w:t>13</w:t>
      </w:r>
      <w:r w:rsidRPr="00DE355F">
        <w:t>]</w:t>
      </w:r>
      <w:r>
        <w:t xml:space="preserve"> and </w:t>
      </w:r>
      <w:r w:rsidRPr="00DE355F">
        <w:t>protection of analytics exchange in roaming case</w:t>
      </w:r>
      <w:r>
        <w:t xml:space="preserve"> as defined in</w:t>
      </w:r>
      <w:r w:rsidRPr="00DE355F">
        <w:t xml:space="preserve"> clause X.8 of TS 33.501 [</w:t>
      </w:r>
      <w:r>
        <w:t>13</w:t>
      </w:r>
      <w:r w:rsidRPr="00DE355F">
        <w:t>].</w:t>
      </w:r>
    </w:p>
    <w:p w14:paraId="7D5B19D4" w14:textId="77777777" w:rsidR="003E1F9F" w:rsidRPr="00F710E9" w:rsidRDefault="003E1F9F" w:rsidP="003E1F9F">
      <w:r w:rsidRPr="00F710E9">
        <w:t>If an error occurs when processing the HTTP POST request, the RE-NWDAF shall send an HTTP error response as specified in clause 5.</w:t>
      </w:r>
      <w:r>
        <w:t>7</w:t>
      </w:r>
      <w:r w:rsidRPr="00F710E9">
        <w:t>.7.</w:t>
      </w:r>
    </w:p>
    <w:p w14:paraId="2AFAD80C" w14:textId="77777777" w:rsidR="003E1F9F" w:rsidRPr="00F710E9" w:rsidRDefault="003E1F9F" w:rsidP="005B3671">
      <w:pPr>
        <w:pStyle w:val="5"/>
      </w:pPr>
      <w:bookmarkStart w:id="3615" w:name="_Toc164920710"/>
      <w:bookmarkStart w:id="3616" w:name="_Toc170120252"/>
      <w:bookmarkStart w:id="3617" w:name="_Toc175858497"/>
      <w:bookmarkStart w:id="3618" w:name="_Toc175859570"/>
      <w:bookmarkStart w:id="3619" w:name="_Toc180605860"/>
      <w:bookmarkStart w:id="3620" w:name="_Toc185517114"/>
      <w:bookmarkStart w:id="3621" w:name="_Toc191576165"/>
      <w:bookmarkStart w:id="3622" w:name="_Toc191576905"/>
      <w:bookmarkStart w:id="3623" w:name="_Toc192879975"/>
      <w:bookmarkStart w:id="3624" w:name="_Toc195814858"/>
      <w:bookmarkStart w:id="3625" w:name="_Toc199452805"/>
      <w:r w:rsidRPr="00F710E9">
        <w:t>4.8.2.2.3</w:t>
      </w:r>
      <w:r w:rsidRPr="00F710E9">
        <w:tab/>
        <w:t>Update of subscription for event notifications</w:t>
      </w:r>
      <w:bookmarkEnd w:id="3615"/>
      <w:bookmarkEnd w:id="3616"/>
      <w:bookmarkEnd w:id="3617"/>
      <w:bookmarkEnd w:id="3618"/>
      <w:bookmarkEnd w:id="3619"/>
      <w:bookmarkEnd w:id="3620"/>
      <w:bookmarkEnd w:id="3621"/>
      <w:bookmarkEnd w:id="3622"/>
      <w:bookmarkEnd w:id="3623"/>
      <w:bookmarkEnd w:id="3624"/>
      <w:bookmarkEnd w:id="3625"/>
    </w:p>
    <w:p w14:paraId="743F0BEA" w14:textId="77777777" w:rsidR="003E1F9F" w:rsidRPr="00F710E9" w:rsidRDefault="003E1F9F" w:rsidP="003E1F9F">
      <w:pPr>
        <w:rPr>
          <w:rFonts w:eastAsia="等线"/>
        </w:rPr>
      </w:pPr>
      <w:r w:rsidRPr="00F710E9">
        <w:rPr>
          <w:rFonts w:eastAsia="等线"/>
        </w:rPr>
        <w:t>Figure 4.8.2.2.3-1 shows a scenario where the NF service consumer sends a request to the RE-NWDAF to update a subscription</w:t>
      </w:r>
      <w:r w:rsidRPr="00F710E9">
        <w:rPr>
          <w:rFonts w:eastAsia="Batang"/>
        </w:rPr>
        <w:t xml:space="preserve"> </w:t>
      </w:r>
      <w:r w:rsidRPr="00F710E9">
        <w:rPr>
          <w:rFonts w:eastAsia="等线"/>
        </w:rPr>
        <w:t>for event notification(s).</w:t>
      </w:r>
    </w:p>
    <w:p w14:paraId="31B8FBC2" w14:textId="77777777" w:rsidR="003E1F9F" w:rsidRPr="00F710E9" w:rsidRDefault="003E1F9F" w:rsidP="005B3671">
      <w:pPr>
        <w:pStyle w:val="TH"/>
      </w:pPr>
      <w:r w:rsidRPr="00F710E9">
        <w:rPr>
          <w:lang w:eastAsia="en-GB"/>
        </w:rPr>
        <w:object w:dxaOrig="9007" w:dyaOrig="2961" w14:anchorId="2AA45C1B">
          <v:shape id="_x0000_i1081" type="#_x0000_t75" style="width:482.7pt;height:158.4pt;mso-position-horizontal-relative:page;mso-position-vertical-relative:page" o:ole="">
            <v:imagedata r:id="rId85" o:title=""/>
          </v:shape>
          <o:OLEObject Type="Embed" ProgID="Visio.Drawing.15" ShapeID="_x0000_i1081" DrawAspect="Content" ObjectID="_1810066020" r:id="rId86"/>
        </w:object>
      </w:r>
    </w:p>
    <w:p w14:paraId="209EFCBF" w14:textId="77777777" w:rsidR="003E1F9F" w:rsidRPr="00F710E9" w:rsidRDefault="003E1F9F" w:rsidP="005B3671">
      <w:pPr>
        <w:pStyle w:val="TF"/>
      </w:pPr>
      <w:r w:rsidRPr="00F710E9">
        <w:t>Figure </w:t>
      </w:r>
      <w:r w:rsidRPr="00F710E9">
        <w:rPr>
          <w:rFonts w:eastAsia="等线"/>
        </w:rPr>
        <w:t>4.8.2.2.3</w:t>
      </w:r>
      <w:r w:rsidRPr="00F710E9">
        <w:t>-1: NF service consumer updates subscription to notifications</w:t>
      </w:r>
    </w:p>
    <w:p w14:paraId="0E52F8DE" w14:textId="77777777" w:rsidR="003E1F9F" w:rsidRPr="00F710E9" w:rsidRDefault="003E1F9F" w:rsidP="003E1F9F">
      <w:pPr>
        <w:rPr>
          <w:rFonts w:eastAsia="等线"/>
        </w:rPr>
      </w:pPr>
      <w:r w:rsidRPr="00F710E9">
        <w:rPr>
          <w:rFonts w:eastAsia="等线"/>
        </w:rPr>
        <w:t xml:space="preserve">The NF service consumer shall invoke the Nnwdaf_RoamingData_Subscribe service operation to update a subscription to event notification(s) by sending an HTTP PUT request with "{apiRoot}/nnwdaf-roamingdata/&lt;apiVersion&gt;/subscriptions/{subscriptionId}" as Resource URI representing the "Individual NWDAF </w:t>
      </w:r>
      <w:r w:rsidRPr="00F710E9">
        <w:t>Roaming Data</w:t>
      </w:r>
      <w:r w:rsidRPr="00F710E9">
        <w:rPr>
          <w:rFonts w:eastAsia="等线"/>
        </w:rPr>
        <w:t xml:space="preserve"> Subscription", as shown in figure 4.8.2.2.3-1, step 1, to update this "Individual NWDAF</w:t>
      </w:r>
      <w:r w:rsidRPr="00F710E9">
        <w:t xml:space="preserve"> Roaming Data</w:t>
      </w:r>
      <w:r w:rsidRPr="00F710E9">
        <w:rPr>
          <w:rFonts w:eastAsia="等线"/>
        </w:rPr>
        <w:t xml:space="preserve"> </w:t>
      </w:r>
      <w:r w:rsidRPr="00F710E9">
        <w:rPr>
          <w:rFonts w:eastAsia="等线"/>
        </w:rPr>
        <w:lastRenderedPageBreak/>
        <w:t xml:space="preserve">Subscription" according to the information in message body. The </w:t>
      </w:r>
      <w:r w:rsidRPr="00F710E9">
        <w:rPr>
          <w:lang w:eastAsia="ja-JP"/>
        </w:rPr>
        <w:t>RoamingData</w:t>
      </w:r>
      <w:r w:rsidRPr="00F710E9">
        <w:rPr>
          <w:rFonts w:eastAsia="等线" w:hint="eastAsia"/>
          <w:lang w:eastAsia="zh-CN"/>
        </w:rPr>
        <w:t>Sub</w:t>
      </w:r>
      <w:r w:rsidRPr="00F710E9">
        <w:rPr>
          <w:rFonts w:eastAsia="等线"/>
        </w:rPr>
        <w:t xml:space="preserve"> data structure provided in the request body shall include the same contents as in clause 4.8.2.2.2.</w:t>
      </w:r>
    </w:p>
    <w:p w14:paraId="20220915" w14:textId="77777777" w:rsidR="003E1F9F" w:rsidRPr="00F710E9" w:rsidRDefault="003E1F9F" w:rsidP="003E1F9F">
      <w:r w:rsidRPr="00F710E9">
        <w:t>Upon the reception of an HTTP PUT request with "{apiRoot}/nnwdaf-</w:t>
      </w:r>
      <w:r w:rsidRPr="00F710E9">
        <w:rPr>
          <w:rFonts w:eastAsia="等线"/>
        </w:rPr>
        <w:t>roamingdata</w:t>
      </w:r>
      <w:r w:rsidRPr="00F710E9">
        <w:t>/&lt;apiVersion&gt;/subscriptions</w:t>
      </w:r>
      <w:r w:rsidRPr="00F710E9">
        <w:rPr>
          <w:rFonts w:eastAsia="等线"/>
        </w:rPr>
        <w:t>{subscriptionId}</w:t>
      </w:r>
      <w:r w:rsidRPr="00F710E9">
        <w:t xml:space="preserve">" as Resource URI and </w:t>
      </w:r>
      <w:r w:rsidRPr="00F710E9">
        <w:rPr>
          <w:lang w:eastAsia="ja-JP"/>
        </w:rPr>
        <w:t>RoamingData</w:t>
      </w:r>
      <w:r w:rsidRPr="00F710E9">
        <w:rPr>
          <w:rFonts w:eastAsia="等线" w:hint="eastAsia"/>
          <w:lang w:eastAsia="zh-CN"/>
        </w:rPr>
        <w:t>Sub</w:t>
      </w:r>
      <w:r w:rsidRPr="00F710E9">
        <w:rPr>
          <w:rFonts w:eastAsia="等线"/>
        </w:rPr>
        <w:t xml:space="preserve"> </w:t>
      </w:r>
      <w:r w:rsidRPr="00F710E9">
        <w:t xml:space="preserve">data structure as request body, the RE-NWDAF shall: </w:t>
      </w:r>
    </w:p>
    <w:p w14:paraId="54C33974" w14:textId="77777777" w:rsidR="003E1F9F" w:rsidRPr="00F710E9" w:rsidRDefault="003E1F9F" w:rsidP="005B3671">
      <w:pPr>
        <w:pStyle w:val="B1"/>
      </w:pPr>
      <w:r w:rsidRPr="00F710E9">
        <w:t>-</w:t>
      </w:r>
      <w:r w:rsidRPr="00F710E9">
        <w:tab/>
        <w:t>update the subscription of corresponding subscriptionId; and</w:t>
      </w:r>
    </w:p>
    <w:p w14:paraId="607FF446" w14:textId="77777777" w:rsidR="003E1F9F" w:rsidRPr="00F710E9" w:rsidRDefault="003E1F9F" w:rsidP="005B3671">
      <w:pPr>
        <w:pStyle w:val="B1"/>
      </w:pPr>
      <w:r w:rsidRPr="00F710E9">
        <w:t>-</w:t>
      </w:r>
      <w:r w:rsidRPr="00F710E9">
        <w:tab/>
        <w:t>store the subscription.</w:t>
      </w:r>
    </w:p>
    <w:p w14:paraId="27CB192B" w14:textId="77777777" w:rsidR="003E1F9F" w:rsidRPr="00F710E9" w:rsidRDefault="003E1F9F" w:rsidP="003E1F9F">
      <w:r w:rsidRPr="00F710E9">
        <w:t>If the RE-NWDAF succesfully update the "Individual NWDAF Roaming Data</w:t>
      </w:r>
      <w:r w:rsidRPr="00F710E9">
        <w:rPr>
          <w:rFonts w:eastAsia="等线"/>
        </w:rPr>
        <w:t xml:space="preserve"> </w:t>
      </w:r>
      <w:r w:rsidRPr="00F710E9">
        <w:t>Subscription" resource, the RE-NWDAF shall respond with "200 OK" with the message body containing a representation of the created subscription, as shown in figure </w:t>
      </w:r>
      <w:r w:rsidRPr="00F710E9">
        <w:rPr>
          <w:rFonts w:eastAsia="等线"/>
        </w:rPr>
        <w:t>4.8.2.2.3-1</w:t>
      </w:r>
      <w:r w:rsidRPr="00F710E9">
        <w:t>-1, step 2a, or with "204 No Content" as shown in figure </w:t>
      </w:r>
      <w:r w:rsidRPr="00F710E9">
        <w:rPr>
          <w:rFonts w:eastAsia="等线"/>
        </w:rPr>
        <w:t>4.8.2.2.3-1</w:t>
      </w:r>
      <w:r w:rsidRPr="00F710E9">
        <w:t>-1, step 2b.</w:t>
      </w:r>
    </w:p>
    <w:p w14:paraId="35914423" w14:textId="77777777" w:rsidR="009B01A5" w:rsidRDefault="009B01A5" w:rsidP="009B01A5">
      <w:pPr>
        <w:rPr>
          <w:rFonts w:eastAsia="等线"/>
        </w:rPr>
      </w:pPr>
      <w:r w:rsidRPr="00327CEF">
        <w:rPr>
          <w:rFonts w:eastAsia="等线"/>
        </w:rPr>
        <w:t xml:space="preserve">If </w:t>
      </w:r>
      <w:r>
        <w:rPr>
          <w:rFonts w:eastAsia="等线"/>
        </w:rPr>
        <w:t>an indication to perform</w:t>
      </w:r>
      <w:r w:rsidRPr="00327CEF">
        <w:rPr>
          <w:rFonts w:eastAsia="等线"/>
        </w:rPr>
        <w:t xml:space="preserve"> immediate reporting </w:t>
      </w:r>
      <w:r>
        <w:rPr>
          <w:rFonts w:eastAsia="等线"/>
        </w:rPr>
        <w:t>is provided</w:t>
      </w:r>
      <w:r w:rsidRPr="00327CEF">
        <w:rPr>
          <w:rFonts w:eastAsia="等线"/>
        </w:rPr>
        <w:t xml:space="preserve"> in the request, the RE-NWDAF shall include the reports of the events subscribed within "</w:t>
      </w:r>
      <w:r w:rsidRPr="00327CEF">
        <w:t>immReport</w:t>
      </w:r>
      <w:r w:rsidRPr="00327CEF">
        <w:rPr>
          <w:rFonts w:eastAsia="等线"/>
        </w:rPr>
        <w:t>"</w:t>
      </w:r>
      <w:r w:rsidRPr="00327CEF">
        <w:t xml:space="preserve"> attribute</w:t>
      </w:r>
      <w:r w:rsidRPr="00327CEF">
        <w:rPr>
          <w:rFonts w:eastAsia="等线"/>
        </w:rPr>
        <w:t>, if available, in the HTTP PUT response</w:t>
      </w:r>
      <w:r w:rsidRPr="00F710E9">
        <w:rPr>
          <w:rFonts w:eastAsia="等线"/>
        </w:rPr>
        <w:t>.</w:t>
      </w:r>
    </w:p>
    <w:p w14:paraId="20EFD16D" w14:textId="77777777" w:rsidR="009B01A5" w:rsidRDefault="009B01A5" w:rsidP="009B01A5">
      <w:pPr>
        <w:rPr>
          <w:rFonts w:eastAsia="等线"/>
        </w:rPr>
      </w:pPr>
      <w:r>
        <w:rPr>
          <w:lang w:val="en-US" w:eastAsia="zh-CN"/>
        </w:rPr>
        <w:t xml:space="preserve">When the notification flag of the "dataSub" attribute (e.g. the </w:t>
      </w:r>
      <w:r>
        <w:t>"</w:t>
      </w:r>
      <w:r>
        <w:rPr>
          <w:lang w:val="en-US" w:eastAsia="zh-CN"/>
        </w:rPr>
        <w:t>notifFlag" attribute within the "eventsRepInfo" attribute in the case of AF events) is included and set to "DEACTIVATE" in the request</w:t>
      </w:r>
      <w:r>
        <w:rPr>
          <w:lang w:eastAsia="zh-CN"/>
        </w:rPr>
        <w:t xml:space="preserve">, the RE-NWDAF shall mute the event notification and store the available events until the NF service consumer requests to retrieve them by setting the "notifFlag" attribute to "RETRIEVAL" or until a muting exception occurs (e.g. full buffer); </w:t>
      </w:r>
      <w:r>
        <w:rPr>
          <w:lang w:val="en-US" w:eastAsia="zh-CN"/>
        </w:rPr>
        <w:t>if the notification flag is set to the value "RETRIEVAL"</w:t>
      </w:r>
      <w:r>
        <w:rPr>
          <w:lang w:eastAsia="zh-CN"/>
        </w:rPr>
        <w:t xml:space="preserve">, the </w:t>
      </w:r>
      <w:r w:rsidRPr="00327CEF">
        <w:rPr>
          <w:rFonts w:eastAsia="等线"/>
        </w:rPr>
        <w:t>RE-</w:t>
      </w:r>
      <w:r>
        <w:rPr>
          <w:lang w:eastAsia="zh-CN"/>
        </w:rPr>
        <w:t xml:space="preserve">NWDAF shall send the stored events to the NF service consumer, mute the event notification again and store available events; </w:t>
      </w:r>
      <w:r>
        <w:rPr>
          <w:lang w:val="en-US" w:eastAsia="zh-CN"/>
        </w:rPr>
        <w:t>if the notification flag</w:t>
      </w:r>
      <w:r>
        <w:rPr>
          <w:lang w:eastAsia="zh-CN"/>
        </w:rPr>
        <w:t xml:space="preserve"> is set to the value "ACTIVATE" and the event notifications are muted (due to a previously received "DECATIVATE" value), the </w:t>
      </w:r>
      <w:r w:rsidRPr="00327CEF">
        <w:rPr>
          <w:rFonts w:eastAsia="等线"/>
        </w:rPr>
        <w:t>RE-</w:t>
      </w:r>
      <w:r>
        <w:rPr>
          <w:lang w:eastAsia="zh-CN"/>
        </w:rPr>
        <w:t>NWDAF shall unmute the event notification, i.e. start sending again notifications for available events.</w:t>
      </w:r>
    </w:p>
    <w:p w14:paraId="2B420CDA" w14:textId="77777777" w:rsidR="003E1F9F" w:rsidRPr="00F710E9" w:rsidRDefault="003E1F9F" w:rsidP="003E1F9F">
      <w:pPr>
        <w:rPr>
          <w:rFonts w:eastAsia="等线"/>
        </w:rPr>
      </w:pPr>
      <w:r>
        <w:rPr>
          <w:rFonts w:eastAsia="等线"/>
        </w:rPr>
        <w:t xml:space="preserve">If the RE-NWDAF does not accept the request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1FF3E143" w14:textId="77777777" w:rsidR="009B01A5" w:rsidRPr="00F710E9" w:rsidRDefault="009B01A5" w:rsidP="009B01A5">
      <w:bookmarkStart w:id="3626" w:name="_Toc164920711"/>
      <w:bookmarkStart w:id="3627" w:name="_Toc170120253"/>
      <w:bookmarkStart w:id="3628" w:name="_Toc175858498"/>
      <w:bookmarkStart w:id="3629" w:name="_Toc175859571"/>
      <w:bookmarkStart w:id="3630" w:name="_Toc180605861"/>
      <w:r w:rsidRPr="00F710E9">
        <w:t>If an error occurs when processing the HTTP PUT request, the RE-NWDAF shall send an HTTP error response as specified in clause 5.7.7.</w:t>
      </w:r>
    </w:p>
    <w:p w14:paraId="6A15878D" w14:textId="77777777" w:rsidR="009B01A5" w:rsidRDefault="009B01A5" w:rsidP="009B01A5">
      <w:r>
        <w:t>If the RE-NWDAF determines that the received HTTP PUT request needs to be redirected, the RE-NWDAF shall send an HTTP redirect response as specified in clause </w:t>
      </w:r>
      <w:r>
        <w:rPr>
          <w:lang w:eastAsia="zh-CN"/>
        </w:rPr>
        <w:t xml:space="preserve">6.10.9 of </w:t>
      </w:r>
      <w:r>
        <w:rPr>
          <w:lang w:val="en-US"/>
        </w:rPr>
        <w:t>3GPP TS 29.500 [6]</w:t>
      </w:r>
      <w:r>
        <w:t>.</w:t>
      </w:r>
    </w:p>
    <w:p w14:paraId="56FE1F9C" w14:textId="77777777" w:rsidR="00A10B25" w:rsidRDefault="00A10B25">
      <w:pPr>
        <w:pStyle w:val="4"/>
      </w:pPr>
      <w:bookmarkStart w:id="3631" w:name="_Toc185517115"/>
      <w:bookmarkStart w:id="3632" w:name="_Toc191576166"/>
      <w:bookmarkStart w:id="3633" w:name="_Toc191576906"/>
      <w:bookmarkStart w:id="3634" w:name="_Toc192879976"/>
      <w:bookmarkStart w:id="3635" w:name="_Toc195814859"/>
      <w:bookmarkStart w:id="3636" w:name="_Toc199452806"/>
      <w:r>
        <w:t>4.8.2.3</w:t>
      </w:r>
      <w:r>
        <w:tab/>
        <w:t>Nnwdaf_RoamingData_Unsubscribe service operation</w:t>
      </w:r>
      <w:bookmarkEnd w:id="3626"/>
      <w:bookmarkEnd w:id="3627"/>
      <w:bookmarkEnd w:id="3628"/>
      <w:bookmarkEnd w:id="3629"/>
      <w:bookmarkEnd w:id="3630"/>
      <w:bookmarkEnd w:id="3631"/>
      <w:bookmarkEnd w:id="3632"/>
      <w:bookmarkEnd w:id="3633"/>
      <w:bookmarkEnd w:id="3634"/>
      <w:bookmarkEnd w:id="3635"/>
      <w:bookmarkEnd w:id="3636"/>
    </w:p>
    <w:p w14:paraId="6E0F9962" w14:textId="77777777" w:rsidR="00A10B25" w:rsidRDefault="00A10B25">
      <w:pPr>
        <w:pStyle w:val="5"/>
      </w:pPr>
      <w:bookmarkStart w:id="3637" w:name="_Toc164920712"/>
      <w:bookmarkStart w:id="3638" w:name="_Toc170120254"/>
      <w:bookmarkStart w:id="3639" w:name="_Toc175858499"/>
      <w:bookmarkStart w:id="3640" w:name="_Toc175859572"/>
      <w:bookmarkStart w:id="3641" w:name="_Toc180605862"/>
      <w:bookmarkStart w:id="3642" w:name="_Toc185517116"/>
      <w:bookmarkStart w:id="3643" w:name="_Toc191576167"/>
      <w:bookmarkStart w:id="3644" w:name="_Toc191576907"/>
      <w:bookmarkStart w:id="3645" w:name="_Toc192879977"/>
      <w:bookmarkStart w:id="3646" w:name="_Toc195814860"/>
      <w:bookmarkStart w:id="3647" w:name="_Toc199452807"/>
      <w:r>
        <w:t>4.8.2.3.1</w:t>
      </w:r>
      <w:r>
        <w:tab/>
        <w:t>General</w:t>
      </w:r>
      <w:bookmarkEnd w:id="3637"/>
      <w:bookmarkEnd w:id="3638"/>
      <w:bookmarkEnd w:id="3639"/>
      <w:bookmarkEnd w:id="3640"/>
      <w:bookmarkEnd w:id="3641"/>
      <w:bookmarkEnd w:id="3642"/>
      <w:bookmarkEnd w:id="3643"/>
      <w:bookmarkEnd w:id="3644"/>
      <w:bookmarkEnd w:id="3645"/>
      <w:bookmarkEnd w:id="3646"/>
      <w:bookmarkEnd w:id="3647"/>
    </w:p>
    <w:p w14:paraId="677C2C27" w14:textId="77777777" w:rsidR="00A10B25" w:rsidRDefault="00A10B25">
      <w:r>
        <w:rPr>
          <w:lang w:eastAsia="zh-CN"/>
        </w:rPr>
        <w:t xml:space="preserve">The Nnwdaf_RoamingData_Unsubscribe service operation is used by an </w:t>
      </w:r>
      <w:r>
        <w:t xml:space="preserve">NF service consumer </w:t>
      </w:r>
      <w:r>
        <w:rPr>
          <w:lang w:eastAsia="zh-CN"/>
        </w:rPr>
        <w:t xml:space="preserve">to </w:t>
      </w:r>
      <w:r>
        <w:t xml:space="preserve">unsubscribe from the </w:t>
      </w:r>
      <w:r>
        <w:rPr>
          <w:lang w:eastAsia="ja-JP"/>
        </w:rPr>
        <w:t>data of roaming UEs exposed by an RE-NWDAF</w:t>
      </w:r>
      <w:r>
        <w:rPr>
          <w:lang w:eastAsia="zh-CN"/>
        </w:rPr>
        <w:t>.</w:t>
      </w:r>
    </w:p>
    <w:p w14:paraId="21B6AF35" w14:textId="77777777" w:rsidR="00A10B25" w:rsidRDefault="00A10B25">
      <w:pPr>
        <w:pStyle w:val="5"/>
      </w:pPr>
      <w:bookmarkStart w:id="3648" w:name="_Toc164920713"/>
      <w:bookmarkStart w:id="3649" w:name="_Toc170120255"/>
      <w:bookmarkStart w:id="3650" w:name="_Toc175858500"/>
      <w:bookmarkStart w:id="3651" w:name="_Toc175859573"/>
      <w:bookmarkStart w:id="3652" w:name="_Toc180605863"/>
      <w:bookmarkStart w:id="3653" w:name="_Toc185517117"/>
      <w:bookmarkStart w:id="3654" w:name="_Toc191576168"/>
      <w:bookmarkStart w:id="3655" w:name="_Toc191576908"/>
      <w:bookmarkStart w:id="3656" w:name="_Toc192879978"/>
      <w:bookmarkStart w:id="3657" w:name="_Toc195814861"/>
      <w:bookmarkStart w:id="3658" w:name="_Toc199452808"/>
      <w:r>
        <w:t>4.8.2.3.2</w:t>
      </w:r>
      <w:r>
        <w:tab/>
        <w:t>Unsubscribe from event notifications</w:t>
      </w:r>
      <w:bookmarkEnd w:id="3648"/>
      <w:bookmarkEnd w:id="3649"/>
      <w:bookmarkEnd w:id="3650"/>
      <w:bookmarkEnd w:id="3651"/>
      <w:bookmarkEnd w:id="3652"/>
      <w:bookmarkEnd w:id="3653"/>
      <w:bookmarkEnd w:id="3654"/>
      <w:bookmarkEnd w:id="3655"/>
      <w:bookmarkEnd w:id="3656"/>
      <w:bookmarkEnd w:id="3657"/>
      <w:bookmarkEnd w:id="3658"/>
    </w:p>
    <w:p w14:paraId="786C5253" w14:textId="77777777" w:rsidR="00A10B25" w:rsidRDefault="00A10B25">
      <w:pPr>
        <w:rPr>
          <w:rFonts w:eastAsia="等线"/>
        </w:rPr>
      </w:pPr>
      <w:r>
        <w:rPr>
          <w:rFonts w:eastAsia="等线"/>
        </w:rPr>
        <w:t xml:space="preserve">Figure 4.8.2.3.2-1 shows a scenario where the NF service consumer sends a request to the RE-NWDAF to </w:t>
      </w:r>
      <w:r>
        <w:t>unsubscribe from notifications</w:t>
      </w:r>
      <w:r>
        <w:rPr>
          <w:rFonts w:eastAsia="等线"/>
        </w:rPr>
        <w:t>.</w:t>
      </w:r>
    </w:p>
    <w:p w14:paraId="6E9F44B1" w14:textId="77777777" w:rsidR="00A10B25" w:rsidRDefault="00A10B25">
      <w:pPr>
        <w:pStyle w:val="TH"/>
        <w:rPr>
          <w:rFonts w:eastAsia="等线"/>
        </w:rPr>
      </w:pPr>
      <w:r>
        <w:rPr>
          <w:rFonts w:eastAsia="等线"/>
          <w:lang w:val="en-US" w:eastAsia="zh-CN"/>
        </w:rPr>
        <w:object w:dxaOrig="9007" w:dyaOrig="2961" w14:anchorId="7E6E3279">
          <v:shape id="_x0000_i1082" type="#_x0000_t75" style="width:483.35pt;height:158.4pt;mso-position-horizontal-relative:page;mso-position-vertical-relative:page" o:ole="">
            <v:imagedata r:id="rId87" o:title=""/>
          </v:shape>
          <o:OLEObject Type="Embed" ProgID="Visio.Drawing.15" ShapeID="_x0000_i1082" DrawAspect="Content" ObjectID="_1810066021" r:id="rId88"/>
        </w:object>
      </w:r>
    </w:p>
    <w:p w14:paraId="6F1B34F5" w14:textId="77777777" w:rsidR="00A10B25" w:rsidRDefault="00A10B25">
      <w:pPr>
        <w:pStyle w:val="TF"/>
      </w:pPr>
      <w:r>
        <w:t>Figure 4.8.2.3.2-1: NF service consumer unsubscribes from notifications</w:t>
      </w:r>
    </w:p>
    <w:p w14:paraId="01CB822F" w14:textId="77777777" w:rsidR="00A10B25" w:rsidRDefault="00A10B25">
      <w:pPr>
        <w:rPr>
          <w:rFonts w:eastAsia="等线"/>
        </w:rPr>
      </w:pPr>
      <w:r>
        <w:rPr>
          <w:rFonts w:eastAsia="等线"/>
        </w:rPr>
        <w:t>The NF service consumer shall invoke the Nnwdaf_RoamingData_Unsubscribe service operation to unsubscribe to event notifications. The NF service consumer shall send an HTTP DELETE request with: "{apiRoot}/nnwdaf-roamingdata/&lt;apiVersion&gt;/subscriptions/{subscriptionId}" as Resource URI, where "{subscriptionId}" is the event subscription ID of the existing subscription that is to be deleted.</w:t>
      </w:r>
    </w:p>
    <w:p w14:paraId="774DFD31" w14:textId="77777777" w:rsidR="00A10B25" w:rsidRDefault="00A10B25">
      <w:pPr>
        <w:rPr>
          <w:rFonts w:eastAsia="等线"/>
        </w:rPr>
      </w:pPr>
      <w:r>
        <w:rPr>
          <w:rFonts w:eastAsia="等线"/>
        </w:rPr>
        <w:t xml:space="preserve">Upon the reception of an HTTP DELETE request with: "{apiRoot}/nnwdaf-roamingdata/&lt;apiVersion&gt;/subscriptions/{subscriptionId}" as Resource URI, if the RE-NWDAF successfully processed and accepted the received HTTP DELETE request, the RE-NWDAF shall: </w:t>
      </w:r>
    </w:p>
    <w:p w14:paraId="05F742E2" w14:textId="77777777" w:rsidR="00A10B25" w:rsidRDefault="00A10B25">
      <w:pPr>
        <w:pStyle w:val="B1"/>
      </w:pPr>
      <w:r>
        <w:t>-</w:t>
      </w:r>
      <w:r>
        <w:tab/>
        <w:t>remove the corresponding subscription; and</w:t>
      </w:r>
    </w:p>
    <w:p w14:paraId="79CD88E0" w14:textId="77777777" w:rsidR="00A10B25" w:rsidRDefault="00A10B25">
      <w:pPr>
        <w:pStyle w:val="B1"/>
      </w:pPr>
      <w:r>
        <w:t>-</w:t>
      </w:r>
      <w:r>
        <w:tab/>
        <w:t>respond</w:t>
      </w:r>
      <w:r>
        <w:rPr>
          <w:rFonts w:eastAsia="Batang"/>
        </w:rPr>
        <w:t xml:space="preserve"> </w:t>
      </w:r>
      <w:r>
        <w:t>with HTTP "204 No Content" status code.</w:t>
      </w:r>
    </w:p>
    <w:p w14:paraId="5D090317" w14:textId="77777777" w:rsidR="00A10B25" w:rsidRDefault="00A10B25">
      <w:r>
        <w:t>If the RE-NWDAF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3DC8842A" w14:textId="77777777" w:rsidR="003E1F9F" w:rsidRPr="00F710E9" w:rsidRDefault="003E1F9F" w:rsidP="003E1F9F">
      <w:r w:rsidRPr="003D4E32">
        <w:t>If an error occurs when processing the HTTP DELETE request, the RE-NWDAF shall send an HTTP error response as specified in clause 5.</w:t>
      </w:r>
      <w:r>
        <w:t>7</w:t>
      </w:r>
      <w:r w:rsidRPr="003D4E32">
        <w:t>.7.</w:t>
      </w:r>
    </w:p>
    <w:p w14:paraId="50830DEF" w14:textId="77777777" w:rsidR="00A10B25" w:rsidRDefault="00A10B25">
      <w:pPr>
        <w:pStyle w:val="4"/>
      </w:pPr>
      <w:bookmarkStart w:id="3659" w:name="_Toc164920714"/>
      <w:bookmarkStart w:id="3660" w:name="_Toc170120256"/>
      <w:bookmarkStart w:id="3661" w:name="_Toc175858501"/>
      <w:bookmarkStart w:id="3662" w:name="_Toc175859574"/>
      <w:bookmarkStart w:id="3663" w:name="_Toc180605864"/>
      <w:bookmarkStart w:id="3664" w:name="_Toc185517118"/>
      <w:bookmarkStart w:id="3665" w:name="_Toc191576169"/>
      <w:bookmarkStart w:id="3666" w:name="_Toc191576909"/>
      <w:bookmarkStart w:id="3667" w:name="_Toc192879979"/>
      <w:bookmarkStart w:id="3668" w:name="_Toc195814862"/>
      <w:bookmarkStart w:id="3669" w:name="_Toc199452809"/>
      <w:r>
        <w:t>4.8.2.4</w:t>
      </w:r>
      <w:r>
        <w:tab/>
        <w:t>Nnwdaf_RoamingData_Notify service operation</w:t>
      </w:r>
      <w:bookmarkEnd w:id="3659"/>
      <w:bookmarkEnd w:id="3660"/>
      <w:bookmarkEnd w:id="3661"/>
      <w:bookmarkEnd w:id="3662"/>
      <w:bookmarkEnd w:id="3663"/>
      <w:bookmarkEnd w:id="3664"/>
      <w:bookmarkEnd w:id="3665"/>
      <w:bookmarkEnd w:id="3666"/>
      <w:bookmarkEnd w:id="3667"/>
      <w:bookmarkEnd w:id="3668"/>
      <w:bookmarkEnd w:id="3669"/>
    </w:p>
    <w:p w14:paraId="4EBA5906" w14:textId="77777777" w:rsidR="00A10B25" w:rsidRDefault="00A10B25">
      <w:pPr>
        <w:pStyle w:val="5"/>
      </w:pPr>
      <w:bookmarkStart w:id="3670" w:name="_Toc164920715"/>
      <w:bookmarkStart w:id="3671" w:name="_Toc170120257"/>
      <w:bookmarkStart w:id="3672" w:name="_Toc175858502"/>
      <w:bookmarkStart w:id="3673" w:name="_Toc175859575"/>
      <w:bookmarkStart w:id="3674" w:name="_Toc180605865"/>
      <w:bookmarkStart w:id="3675" w:name="_Toc185517119"/>
      <w:bookmarkStart w:id="3676" w:name="_Toc191576170"/>
      <w:bookmarkStart w:id="3677" w:name="_Toc191576910"/>
      <w:bookmarkStart w:id="3678" w:name="_Toc192879980"/>
      <w:bookmarkStart w:id="3679" w:name="_Toc195814863"/>
      <w:bookmarkStart w:id="3680" w:name="_Toc199452810"/>
      <w:r>
        <w:t>4.8.2.4.1</w:t>
      </w:r>
      <w:r>
        <w:tab/>
        <w:t>General</w:t>
      </w:r>
      <w:bookmarkEnd w:id="3670"/>
      <w:bookmarkEnd w:id="3671"/>
      <w:bookmarkEnd w:id="3672"/>
      <w:bookmarkEnd w:id="3673"/>
      <w:bookmarkEnd w:id="3674"/>
      <w:bookmarkEnd w:id="3675"/>
      <w:bookmarkEnd w:id="3676"/>
      <w:bookmarkEnd w:id="3677"/>
      <w:bookmarkEnd w:id="3678"/>
      <w:bookmarkEnd w:id="3679"/>
      <w:bookmarkEnd w:id="3680"/>
    </w:p>
    <w:p w14:paraId="5DF614CB" w14:textId="77777777" w:rsidR="00A10B25" w:rsidRDefault="00A10B25">
      <w:pPr>
        <w:rPr>
          <w:lang w:eastAsia="zh-CN"/>
        </w:rPr>
      </w:pPr>
      <w:r>
        <w:rPr>
          <w:lang w:eastAsia="zh-CN"/>
        </w:rPr>
        <w:t>The Nnwdaf_RoamingData_Notify service operation is used by an RE-NWDAF to notify NF service consumer about the subscribed</w:t>
      </w:r>
      <w:r>
        <w:t xml:space="preserve"> </w:t>
      </w:r>
      <w:r>
        <w:rPr>
          <w:lang w:eastAsia="ja-JP"/>
        </w:rPr>
        <w:t>data of roaming UEs exposed by an RE-NWDAF</w:t>
      </w:r>
      <w:r>
        <w:rPr>
          <w:lang w:eastAsia="zh-CN"/>
        </w:rPr>
        <w:t>.</w:t>
      </w:r>
    </w:p>
    <w:p w14:paraId="448892E0" w14:textId="77777777" w:rsidR="00D654A6" w:rsidRDefault="00D654A6" w:rsidP="00D654A6">
      <w:pPr>
        <w:pStyle w:val="5"/>
      </w:pPr>
      <w:bookmarkStart w:id="3681" w:name="_Toc164920716"/>
      <w:bookmarkStart w:id="3682" w:name="_Toc170120258"/>
      <w:bookmarkStart w:id="3683" w:name="_Toc175858503"/>
      <w:bookmarkStart w:id="3684" w:name="_Toc175859576"/>
      <w:bookmarkStart w:id="3685" w:name="_Toc180605866"/>
      <w:bookmarkStart w:id="3686" w:name="_Toc185517120"/>
      <w:bookmarkStart w:id="3687" w:name="_Toc191576171"/>
      <w:bookmarkStart w:id="3688" w:name="_Toc191576911"/>
      <w:bookmarkStart w:id="3689" w:name="_Toc192879981"/>
      <w:bookmarkStart w:id="3690" w:name="_Toc195814864"/>
      <w:bookmarkStart w:id="3691" w:name="_Toc199452811"/>
      <w:r>
        <w:t>4.8.2.4.2</w:t>
      </w:r>
      <w:r>
        <w:tab/>
        <w:t>Notification about subscribed event</w:t>
      </w:r>
      <w:bookmarkEnd w:id="3681"/>
      <w:bookmarkEnd w:id="3682"/>
      <w:bookmarkEnd w:id="3683"/>
      <w:bookmarkEnd w:id="3684"/>
      <w:bookmarkEnd w:id="3685"/>
      <w:bookmarkEnd w:id="3686"/>
      <w:bookmarkEnd w:id="3687"/>
      <w:bookmarkEnd w:id="3688"/>
      <w:bookmarkEnd w:id="3689"/>
      <w:bookmarkEnd w:id="3690"/>
      <w:bookmarkEnd w:id="3691"/>
      <w:r>
        <w:t xml:space="preserve"> </w:t>
      </w:r>
    </w:p>
    <w:p w14:paraId="46778121" w14:textId="77777777" w:rsidR="00D654A6" w:rsidRDefault="00D654A6" w:rsidP="00D654A6">
      <w:pPr>
        <w:rPr>
          <w:rFonts w:eastAsia="等线"/>
        </w:rPr>
      </w:pPr>
      <w:r>
        <w:rPr>
          <w:rFonts w:eastAsia="等线"/>
        </w:rPr>
        <w:t>Figure 4.8.2.4.2-1 shows a scenario where the RE-NWDAF sends a request to notify</w:t>
      </w:r>
      <w:r>
        <w:rPr>
          <w:rFonts w:eastAsia="Batang"/>
        </w:rPr>
        <w:t xml:space="preserve"> </w:t>
      </w:r>
      <w:r>
        <w:rPr>
          <w:rFonts w:eastAsia="等线"/>
        </w:rPr>
        <w:t>for event notifications.</w:t>
      </w:r>
    </w:p>
    <w:p w14:paraId="71A19C16" w14:textId="77777777" w:rsidR="00D654A6" w:rsidRDefault="00D654A6" w:rsidP="00D654A6">
      <w:pPr>
        <w:pStyle w:val="TH"/>
        <w:rPr>
          <w:lang w:val="en-US" w:eastAsia="zh-CN"/>
        </w:rPr>
      </w:pPr>
    </w:p>
    <w:p w14:paraId="5FEDF4AC" w14:textId="77777777" w:rsidR="00D654A6" w:rsidRDefault="00D654A6" w:rsidP="00D654A6">
      <w:pPr>
        <w:pStyle w:val="TH"/>
        <w:rPr>
          <w:rFonts w:eastAsia="等线"/>
        </w:rPr>
      </w:pPr>
      <w:r>
        <w:rPr>
          <w:lang w:val="en-US" w:eastAsia="zh-CN"/>
        </w:rPr>
        <w:object w:dxaOrig="8680" w:dyaOrig="2370" w14:anchorId="649354C6">
          <v:shape id="_x0000_i1083" type="#_x0000_t75" style="width:488.95pt;height:130.85pt" o:ole="">
            <v:imagedata r:id="rId89" o:title=""/>
          </v:shape>
          <o:OLEObject Type="Embed" ProgID="Visio.Drawing.15" ShapeID="_x0000_i1083" DrawAspect="Content" ObjectID="_1810066022" r:id="rId90"/>
        </w:object>
      </w:r>
    </w:p>
    <w:p w14:paraId="46D04DEA" w14:textId="77777777" w:rsidR="00D654A6" w:rsidRDefault="00D654A6" w:rsidP="00D654A6">
      <w:pPr>
        <w:pStyle w:val="TF"/>
      </w:pPr>
      <w:r>
        <w:t>Figure 4.8.2.4.2-1: RE-NWDAF notifies the</w:t>
      </w:r>
      <w:r>
        <w:rPr>
          <w:rFonts w:eastAsia="Batang"/>
        </w:rPr>
        <w:t xml:space="preserve"> </w:t>
      </w:r>
      <w:r>
        <w:t>subscribed event</w:t>
      </w:r>
    </w:p>
    <w:p w14:paraId="4049E545" w14:textId="77777777" w:rsidR="00D654A6" w:rsidRDefault="00D654A6" w:rsidP="00D654A6">
      <w:r>
        <w:rPr>
          <w:rFonts w:eastAsia="等线"/>
        </w:rPr>
        <w:lastRenderedPageBreak/>
        <w:t xml:space="preserve">The RE-NWDAF shall invoke the Nnwdaf_RoamingData_Notify service operation to notify the subscribed event. The RE-NWDAF shall send an HTTP POST request with "{notificationUri}" received in the Nnwdaf_RoamingData_Notify service operation as Resource URI, as shown in figure 4.8.2.4.2-1, step 1. </w:t>
      </w:r>
      <w:r>
        <w:rPr>
          <w:lang w:eastAsia="zh-CN"/>
        </w:rPr>
        <w:t xml:space="preserve">The HTTP POST message shall include </w:t>
      </w:r>
      <w:r>
        <w:rPr>
          <w:rFonts w:eastAsia="等线"/>
        </w:rPr>
        <w:t xml:space="preserve">NnwdafDataManagementNotif </w:t>
      </w:r>
      <w:r>
        <w:rPr>
          <w:lang w:eastAsia="zh-CN"/>
        </w:rPr>
        <w:t xml:space="preserve">data structure as described </w:t>
      </w:r>
      <w:r>
        <w:rPr>
          <w:lang w:val="en-US" w:eastAsia="zh-CN"/>
        </w:rPr>
        <w:t>in clause </w:t>
      </w:r>
      <w:r>
        <w:t>5.3.6.2.2</w:t>
      </w:r>
      <w:r>
        <w:rPr>
          <w:lang w:val="en-US" w:eastAsia="zh-CN"/>
        </w:rPr>
        <w:t>.</w:t>
      </w:r>
    </w:p>
    <w:p w14:paraId="6DED6B0B" w14:textId="77777777" w:rsidR="00D654A6" w:rsidRDefault="00D654A6" w:rsidP="00D654A6">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4830832D" w14:textId="77777777" w:rsidR="004D3964" w:rsidRDefault="004D3964" w:rsidP="004D3964">
      <w:r>
        <w:t xml:space="preserve">If the </w:t>
      </w:r>
      <w:r>
        <w:rPr>
          <w:rFonts w:eastAsia="等线"/>
        </w:rPr>
        <w:t>NF service consumer</w:t>
      </w:r>
      <w:r>
        <w:t xml:space="preserve"> determines the received HTTP </w:t>
      </w:r>
      <w:r>
        <w:rPr>
          <w:rFonts w:eastAsia="等线"/>
        </w:rPr>
        <w:t xml:space="preserve">POST </w:t>
      </w:r>
      <w:r>
        <w:t xml:space="preserve">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08252AB2" w14:textId="77777777" w:rsidR="004D3964" w:rsidRPr="00F710E9" w:rsidRDefault="004D3964" w:rsidP="004D3964">
      <w:r w:rsidRPr="003D4E32">
        <w:t xml:space="preserve">If an error occurs when processing the HTTP </w:t>
      </w:r>
      <w:r w:rsidRPr="003D4E32">
        <w:rPr>
          <w:rFonts w:eastAsia="等线"/>
        </w:rPr>
        <w:t xml:space="preserve">POST </w:t>
      </w:r>
      <w:r w:rsidRPr="003D4E32">
        <w:t xml:space="preserve">request, the </w:t>
      </w:r>
      <w:r>
        <w:rPr>
          <w:rFonts w:eastAsia="等线"/>
        </w:rPr>
        <w:t>NF service consumer</w:t>
      </w:r>
      <w:r w:rsidRPr="003D4E32">
        <w:t xml:space="preserve"> shall send an HTTP error response as specified in clause 5.</w:t>
      </w:r>
      <w:r>
        <w:t>7</w:t>
      </w:r>
      <w:r w:rsidRPr="003D4E32">
        <w:t>.7.</w:t>
      </w:r>
    </w:p>
    <w:p w14:paraId="14E39DDF" w14:textId="77777777" w:rsidR="00A10B25" w:rsidRDefault="00A10B25">
      <w:pPr>
        <w:keepNext/>
        <w:keepLines/>
        <w:spacing w:before="180"/>
        <w:ind w:left="1134" w:hanging="1134"/>
        <w:outlineLvl w:val="1"/>
        <w:rPr>
          <w:rFonts w:ascii="Arial" w:hAnsi="Arial"/>
          <w:sz w:val="32"/>
        </w:rPr>
      </w:pPr>
      <w:r>
        <w:rPr>
          <w:rFonts w:ascii="Arial" w:hAnsi="Arial"/>
          <w:sz w:val="32"/>
        </w:rPr>
        <w:t>4.9</w:t>
      </w:r>
      <w:r>
        <w:rPr>
          <w:rFonts w:ascii="Arial" w:hAnsi="Arial"/>
          <w:sz w:val="32"/>
        </w:rPr>
        <w:tab/>
        <w:t>Nnwdaf_RoamingAnalytics Service</w:t>
      </w:r>
    </w:p>
    <w:p w14:paraId="7B2C381E" w14:textId="77777777" w:rsidR="00A10B25" w:rsidRDefault="00A10B25">
      <w:pPr>
        <w:keepNext/>
        <w:keepLines/>
        <w:spacing w:before="120"/>
        <w:ind w:left="1134" w:hanging="1134"/>
        <w:outlineLvl w:val="2"/>
        <w:rPr>
          <w:rFonts w:ascii="Arial" w:hAnsi="Arial"/>
          <w:sz w:val="28"/>
        </w:rPr>
      </w:pPr>
      <w:r>
        <w:rPr>
          <w:rFonts w:ascii="Arial" w:hAnsi="Arial"/>
          <w:sz w:val="28"/>
        </w:rPr>
        <w:t>4.9.1</w:t>
      </w:r>
      <w:r>
        <w:rPr>
          <w:rFonts w:ascii="Arial" w:hAnsi="Arial"/>
          <w:sz w:val="28"/>
        </w:rPr>
        <w:tab/>
        <w:t>Service Description</w:t>
      </w:r>
    </w:p>
    <w:p w14:paraId="6A71DB5F" w14:textId="77777777" w:rsidR="00A10B25" w:rsidRDefault="00A10B25">
      <w:pPr>
        <w:keepNext/>
        <w:keepLines/>
        <w:spacing w:before="120"/>
        <w:ind w:left="1418" w:hanging="1418"/>
        <w:outlineLvl w:val="3"/>
        <w:rPr>
          <w:rFonts w:ascii="Arial" w:hAnsi="Arial"/>
          <w:sz w:val="24"/>
          <w:lang w:eastAsia="zh-CN"/>
        </w:rPr>
      </w:pPr>
      <w:r>
        <w:rPr>
          <w:rFonts w:ascii="Arial" w:hAnsi="Arial"/>
          <w:sz w:val="24"/>
        </w:rPr>
        <w:t>4.9.</w:t>
      </w:r>
      <w:r>
        <w:rPr>
          <w:rFonts w:ascii="Arial" w:hAnsi="Arial" w:hint="eastAsia"/>
          <w:sz w:val="24"/>
          <w:lang w:eastAsia="zh-CN"/>
        </w:rPr>
        <w:t>1</w:t>
      </w:r>
      <w:r>
        <w:rPr>
          <w:rFonts w:ascii="Arial" w:hAnsi="Arial"/>
          <w:sz w:val="24"/>
          <w:lang w:eastAsia="zh-CN"/>
        </w:rPr>
        <w:t>.1</w:t>
      </w:r>
      <w:r>
        <w:rPr>
          <w:rFonts w:ascii="Arial" w:hAnsi="Arial"/>
          <w:sz w:val="24"/>
        </w:rPr>
        <w:tab/>
      </w:r>
      <w:r>
        <w:rPr>
          <w:rFonts w:ascii="Arial" w:hAnsi="Arial" w:hint="eastAsia"/>
          <w:sz w:val="24"/>
          <w:lang w:eastAsia="zh-CN"/>
        </w:rPr>
        <w:t>Overview</w:t>
      </w:r>
    </w:p>
    <w:p w14:paraId="2CF9AABF" w14:textId="77777777" w:rsidR="00A10B25" w:rsidRDefault="00A10B25">
      <w:r>
        <w:t xml:space="preserve">The Nnwdaf_RoamingAnalytics service is provided by the Network Data Analytics Function (NWDAF) </w:t>
      </w:r>
      <w:bookmarkStart w:id="3692" w:name="_Hlk150892958"/>
      <w:r>
        <w:t>with roaming exchange capability, which is called Roaming Exchange NWDAF (RE-NWDAF).</w:t>
      </w:r>
      <w:bookmarkEnd w:id="3692"/>
    </w:p>
    <w:p w14:paraId="0118360F" w14:textId="77777777" w:rsidR="00A10B25" w:rsidRDefault="00A10B25">
      <w:r>
        <w:t>This service:</w:t>
      </w:r>
    </w:p>
    <w:p w14:paraId="18DE9AAB" w14:textId="77777777" w:rsidR="00A10B25" w:rsidRDefault="00A10B25">
      <w:pPr>
        <w:pStyle w:val="B1"/>
      </w:pPr>
      <w:r>
        <w:t>-</w:t>
      </w:r>
      <w:r>
        <w:tab/>
        <w:t xml:space="preserve">allows NF </w:t>
      </w:r>
      <w:r>
        <w:rPr>
          <w:rFonts w:eastAsia="等线"/>
        </w:rPr>
        <w:t xml:space="preserve">service </w:t>
      </w:r>
      <w:r>
        <w:t>consumers to subscribe to and unsubscribe from different analytics events related to roaming UE(s); and</w:t>
      </w:r>
    </w:p>
    <w:p w14:paraId="2EE054F6" w14:textId="77777777" w:rsidR="00A10B25" w:rsidRDefault="00A10B25">
      <w:pPr>
        <w:pStyle w:val="B1"/>
      </w:pPr>
      <w:r>
        <w:t>-</w:t>
      </w:r>
      <w:r>
        <w:tab/>
        <w:t xml:space="preserve">notifies NF </w:t>
      </w:r>
      <w:r>
        <w:rPr>
          <w:rFonts w:eastAsia="等线"/>
        </w:rPr>
        <w:t xml:space="preserve">service </w:t>
      </w:r>
      <w:r>
        <w:t>consumers with a corresponding subscription about observed events related to roaming UE(s).</w:t>
      </w:r>
    </w:p>
    <w:p w14:paraId="6F28213E" w14:textId="77777777" w:rsidR="00A10B25" w:rsidRDefault="00A10B25" w:rsidP="0076721C">
      <w:pPr>
        <w:pStyle w:val="4"/>
      </w:pPr>
      <w:bookmarkStart w:id="3693" w:name="_Toc164920717"/>
      <w:bookmarkStart w:id="3694" w:name="_Toc170120259"/>
      <w:bookmarkStart w:id="3695" w:name="_Toc175858504"/>
      <w:bookmarkStart w:id="3696" w:name="_Toc175859577"/>
      <w:bookmarkStart w:id="3697" w:name="_Toc180605867"/>
      <w:bookmarkStart w:id="3698" w:name="_Toc185517121"/>
      <w:bookmarkStart w:id="3699" w:name="_Toc191576172"/>
      <w:bookmarkStart w:id="3700" w:name="_Toc191576912"/>
      <w:bookmarkStart w:id="3701" w:name="_Toc192879982"/>
      <w:bookmarkStart w:id="3702" w:name="_Toc195814865"/>
      <w:bookmarkStart w:id="3703" w:name="_Toc199452812"/>
      <w:r>
        <w:t>4.9.</w:t>
      </w:r>
      <w:r>
        <w:rPr>
          <w:rFonts w:hint="eastAsia"/>
        </w:rPr>
        <w:t>1</w:t>
      </w:r>
      <w:r>
        <w:t>.2</w:t>
      </w:r>
      <w:r>
        <w:rPr>
          <w:rFonts w:hint="eastAsia"/>
        </w:rPr>
        <w:tab/>
      </w:r>
      <w:r>
        <w:t>Service Architecture</w:t>
      </w:r>
      <w:bookmarkEnd w:id="3693"/>
      <w:bookmarkEnd w:id="3694"/>
      <w:bookmarkEnd w:id="3695"/>
      <w:bookmarkEnd w:id="3696"/>
      <w:bookmarkEnd w:id="3697"/>
      <w:bookmarkEnd w:id="3698"/>
      <w:bookmarkEnd w:id="3699"/>
      <w:bookmarkEnd w:id="3700"/>
      <w:bookmarkEnd w:id="3701"/>
      <w:bookmarkEnd w:id="3702"/>
      <w:bookmarkEnd w:id="3703"/>
    </w:p>
    <w:p w14:paraId="71902EBC" w14:textId="77777777" w:rsidR="00A10B25" w:rsidRDefault="00A10B25">
      <w:r>
        <w:t xml:space="preserve">The 5G System Architecture is defined in 3GPP TS 23.501 [2]. The Network Data Analytics Exposure architecture, including the case of roaming, is defined in 3GPP TS 23.288 [17]. The Network Data Analytics signalling flows are defined in 3GPP TS 29.552 [25], the Policy and Charging related 5G architecture is also described in 3GPP TS 23.503 [4] </w:t>
      </w:r>
      <w:r>
        <w:rPr>
          <w:lang w:val="en-US"/>
        </w:rPr>
        <w:t>and</w:t>
      </w:r>
      <w:r>
        <w:t xml:space="preserve"> 3GPP TS 29.513 [5].</w:t>
      </w:r>
    </w:p>
    <w:p w14:paraId="435DD769" w14:textId="77777777" w:rsidR="00A10B25" w:rsidRDefault="00A10B25">
      <w:r>
        <w:t>The Nnwdaf_RoamingAnalytics service is part of the Nnwdaf service-based interface exhibited by the Network Data Analytics Function (NWDAF), but it can be provided only by an NWDAF with the roaming exchange capability, which is called Roaming Exchange NWDAF (RE-NWDAF).</w:t>
      </w:r>
    </w:p>
    <w:p w14:paraId="021DAD64" w14:textId="77777777" w:rsidR="00A10B25" w:rsidRDefault="00A10B25">
      <w:r>
        <w:t>The only known consumer of the Nnwdaf_RoamingAnalytics service is the Roaming Exchange NWDAF (RE-NWDAF).</w:t>
      </w:r>
    </w:p>
    <w:p w14:paraId="47918B6D" w14:textId="77777777" w:rsidR="00EF7075" w:rsidRDefault="00EF7075" w:rsidP="00EF7075">
      <w:bookmarkStart w:id="3704" w:name="_Hlk150893288"/>
      <w:r>
        <w:t>Both the RE-NWDAF that provides the Nnwdaf_RoamingAnalytics service and the RE-NWDAF that consumes the Nnwdaf_RoamingAnalytics service may be in the HPLMN (in which case it is denoted as H-RE-NWDAF) or in the VPLMN (in which case it is denoted as V-RE-NWDAF). If the NF service producer is the H-RE-NWDAF then the NF service consumer is the V-RE-NWDAF and vice versa.</w:t>
      </w:r>
    </w:p>
    <w:p w14:paraId="359EB3FC" w14:textId="77777777" w:rsidR="00A10B25" w:rsidRDefault="00A10B25" w:rsidP="0076721C">
      <w:pPr>
        <w:pStyle w:val="TH"/>
        <w:rPr>
          <w:lang w:val="en-US"/>
        </w:rPr>
      </w:pPr>
      <w:r>
        <w:rPr>
          <w:lang w:val="en-US" w:eastAsia="zh-CN"/>
        </w:rPr>
        <w:object w:dxaOrig="9440" w:dyaOrig="2405" w14:anchorId="032823D9">
          <v:shape id="_x0000_i1084" type="#_x0000_t75" style="width:482.1pt;height:123.35pt;mso-position-horizontal-relative:page;mso-position-vertical-relative:page" o:ole="">
            <v:imagedata r:id="rId91" o:title=""/>
          </v:shape>
          <o:OLEObject Type="Embed" ProgID="Visio.Drawing.15" ShapeID="_x0000_i1084" DrawAspect="Content" ObjectID="_1810066023" r:id="rId92"/>
        </w:object>
      </w:r>
    </w:p>
    <w:bookmarkEnd w:id="3704"/>
    <w:p w14:paraId="246B9DCB" w14:textId="77777777" w:rsidR="00A10B25" w:rsidRDefault="00A10B25" w:rsidP="0076721C">
      <w:pPr>
        <w:pStyle w:val="TF"/>
      </w:pPr>
      <w:r>
        <w:t>Figure 4.9.1.2-1</w:t>
      </w:r>
      <w:r>
        <w:rPr>
          <w:lang w:eastAsia="zh-CN"/>
        </w:rPr>
        <w:t>:</w:t>
      </w:r>
      <w:r>
        <w:t xml:space="preserve"> Reference Architecture for the Nnwdaf_RoamingAnalytics Service; SBI representation</w:t>
      </w:r>
    </w:p>
    <w:p w14:paraId="4F914704" w14:textId="77777777" w:rsidR="00A10B25" w:rsidRDefault="00A10B25" w:rsidP="0076721C">
      <w:pPr>
        <w:pStyle w:val="TH"/>
        <w:rPr>
          <w:lang w:val="en-US" w:eastAsia="zh-CN"/>
        </w:rPr>
      </w:pPr>
      <w:r>
        <w:rPr>
          <w:lang w:val="en-US" w:eastAsia="zh-CN"/>
        </w:rPr>
        <w:object w:dxaOrig="3946" w:dyaOrig="2606" w14:anchorId="35F3EF3C">
          <v:shape id="_x0000_i1085" type="#_x0000_t75" style="width:3in;height:142.75pt;mso-position-horizontal-relative:page;mso-position-vertical-relative:page" o:ole="">
            <v:imagedata r:id="rId93" o:title=""/>
          </v:shape>
          <o:OLEObject Type="Embed" ProgID="Visio.Drawing.15" ShapeID="_x0000_i1085" DrawAspect="Content" ObjectID="_1810066024" r:id="rId94"/>
        </w:object>
      </w:r>
    </w:p>
    <w:p w14:paraId="135E4F3B" w14:textId="77777777" w:rsidR="00A10B25" w:rsidRDefault="00A10B25" w:rsidP="0076721C">
      <w:pPr>
        <w:pStyle w:val="TF"/>
      </w:pPr>
      <w:r>
        <w:t>Figure 4.9.1.2-2</w:t>
      </w:r>
      <w:r>
        <w:rPr>
          <w:lang w:eastAsia="zh-CN"/>
        </w:rPr>
        <w:t>:</w:t>
      </w:r>
      <w:r>
        <w:t xml:space="preserve"> Reference Architecture for the Nnwdaf_RoamingAnalytics Service: reference point representation</w:t>
      </w:r>
    </w:p>
    <w:p w14:paraId="241237B1" w14:textId="77777777" w:rsidR="00A10B25" w:rsidRDefault="00A10B25">
      <w:pPr>
        <w:pStyle w:val="4"/>
        <w:rPr>
          <w:lang w:val="en-US"/>
        </w:rPr>
      </w:pPr>
      <w:bookmarkStart w:id="3705" w:name="_Toc164920718"/>
      <w:bookmarkStart w:id="3706" w:name="_Toc170120260"/>
      <w:bookmarkStart w:id="3707" w:name="_Toc175858505"/>
      <w:bookmarkStart w:id="3708" w:name="_Toc175859578"/>
      <w:bookmarkStart w:id="3709" w:name="_Toc180605868"/>
      <w:bookmarkStart w:id="3710" w:name="_Toc185517122"/>
      <w:bookmarkStart w:id="3711" w:name="_Toc191576173"/>
      <w:bookmarkStart w:id="3712" w:name="_Toc191576913"/>
      <w:bookmarkStart w:id="3713" w:name="_Toc192879983"/>
      <w:bookmarkStart w:id="3714" w:name="_Toc195814866"/>
      <w:bookmarkStart w:id="3715" w:name="_Toc199452813"/>
      <w:r>
        <w:rPr>
          <w:lang w:val="en-US"/>
        </w:rPr>
        <w:t>4.9.</w:t>
      </w:r>
      <w:r>
        <w:rPr>
          <w:rFonts w:hint="eastAsia"/>
          <w:lang w:val="en-US" w:eastAsia="zh-CN"/>
        </w:rPr>
        <w:t>1.3</w:t>
      </w:r>
      <w:r>
        <w:rPr>
          <w:lang w:val="en-US"/>
        </w:rPr>
        <w:tab/>
        <w:t>Network Functions</w:t>
      </w:r>
      <w:bookmarkEnd w:id="3705"/>
      <w:bookmarkEnd w:id="3706"/>
      <w:bookmarkEnd w:id="3707"/>
      <w:bookmarkEnd w:id="3708"/>
      <w:bookmarkEnd w:id="3709"/>
      <w:bookmarkEnd w:id="3710"/>
      <w:bookmarkEnd w:id="3711"/>
      <w:bookmarkEnd w:id="3712"/>
      <w:bookmarkEnd w:id="3713"/>
      <w:bookmarkEnd w:id="3714"/>
      <w:bookmarkEnd w:id="3715"/>
    </w:p>
    <w:p w14:paraId="69EF500C" w14:textId="77777777" w:rsidR="00A10B25" w:rsidRDefault="00A10B25">
      <w:pPr>
        <w:pStyle w:val="5"/>
        <w:rPr>
          <w:lang w:eastAsia="zh-CN"/>
        </w:rPr>
      </w:pPr>
      <w:bookmarkStart w:id="3716" w:name="_Toc164920719"/>
      <w:bookmarkStart w:id="3717" w:name="_Toc170120261"/>
      <w:bookmarkStart w:id="3718" w:name="_Toc175858506"/>
      <w:bookmarkStart w:id="3719" w:name="_Toc175859579"/>
      <w:bookmarkStart w:id="3720" w:name="_Toc180605869"/>
      <w:bookmarkStart w:id="3721" w:name="_Toc185517123"/>
      <w:bookmarkStart w:id="3722" w:name="_Toc191576174"/>
      <w:bookmarkStart w:id="3723" w:name="_Toc191576914"/>
      <w:bookmarkStart w:id="3724" w:name="_Toc192879984"/>
      <w:bookmarkStart w:id="3725" w:name="_Toc195814867"/>
      <w:bookmarkStart w:id="3726" w:name="_Toc199452814"/>
      <w:r>
        <w:t>4.9.</w:t>
      </w:r>
      <w:r>
        <w:rPr>
          <w:rFonts w:hint="eastAsia"/>
          <w:lang w:eastAsia="zh-CN"/>
        </w:rPr>
        <w:t>1.3.1</w:t>
      </w:r>
      <w:r>
        <w:tab/>
      </w:r>
      <w:r>
        <w:rPr>
          <w:lang w:eastAsia="en-GB"/>
        </w:rPr>
        <w:t>Network Data Analytics Function (NWDAF)</w:t>
      </w:r>
      <w:bookmarkEnd w:id="3716"/>
      <w:bookmarkEnd w:id="3717"/>
      <w:bookmarkEnd w:id="3718"/>
      <w:bookmarkEnd w:id="3719"/>
      <w:bookmarkEnd w:id="3720"/>
      <w:bookmarkEnd w:id="3721"/>
      <w:bookmarkEnd w:id="3722"/>
      <w:bookmarkEnd w:id="3723"/>
      <w:bookmarkEnd w:id="3724"/>
      <w:bookmarkEnd w:id="3725"/>
      <w:bookmarkEnd w:id="3726"/>
    </w:p>
    <w:p w14:paraId="1CDED8E5" w14:textId="77777777" w:rsidR="00A10B25" w:rsidRDefault="00A10B25">
      <w:bookmarkStart w:id="3727" w:name="_Hlk150894661"/>
      <w:r>
        <w:t>The Network Data Analytics Function (NWDAF) with roaming exchange capability, i.e. the RE-NWDAF, provides analytics information for different analytics events related to roaming UE(s) to NF</w:t>
      </w:r>
      <w:r>
        <w:rPr>
          <w:rFonts w:eastAsia="等线"/>
        </w:rPr>
        <w:t xml:space="preserve"> service</w:t>
      </w:r>
      <w:r>
        <w:t xml:space="preserve"> consumers.</w:t>
      </w:r>
    </w:p>
    <w:p w14:paraId="0749C22C" w14:textId="314294E1" w:rsidR="003513BE" w:rsidRDefault="003513BE" w:rsidP="003513BE">
      <w:bookmarkStart w:id="3728" w:name="_Toc164920720"/>
      <w:bookmarkStart w:id="3729" w:name="_Toc170120262"/>
      <w:bookmarkStart w:id="3730" w:name="_Toc175858507"/>
      <w:bookmarkStart w:id="3731" w:name="_Toc175859580"/>
      <w:bookmarkStart w:id="3732" w:name="_Toc180605870"/>
      <w:bookmarkStart w:id="3733" w:name="_Toc185517124"/>
      <w:bookmarkStart w:id="3734" w:name="_Toc191576175"/>
      <w:bookmarkStart w:id="3735" w:name="_Toc191576915"/>
      <w:bookmarkStart w:id="3736" w:name="_Toc192879985"/>
      <w:bookmarkStart w:id="3737" w:name="_Toc195814868"/>
      <w:bookmarkEnd w:id="3727"/>
      <w:r>
        <w:t>The RE-NWDAF allows NF</w:t>
      </w:r>
      <w:r>
        <w:rPr>
          <w:rFonts w:eastAsia="等线"/>
        </w:rPr>
        <w:t xml:space="preserve"> service</w:t>
      </w:r>
      <w:r>
        <w:t xml:space="preserve"> consumers to subscribe to and unsubscribe from one-time, periodic notification or notification when an event is detected.</w:t>
      </w:r>
    </w:p>
    <w:p w14:paraId="4D9BC54B" w14:textId="77777777" w:rsidR="00A10B25" w:rsidRDefault="00A10B25">
      <w:pPr>
        <w:pStyle w:val="5"/>
        <w:rPr>
          <w:lang w:eastAsia="zh-CN"/>
        </w:rPr>
      </w:pPr>
      <w:bookmarkStart w:id="3738" w:name="_Toc199452815"/>
      <w:r>
        <w:t>4.9.</w:t>
      </w:r>
      <w:r>
        <w:rPr>
          <w:lang w:eastAsia="zh-CN"/>
        </w:rPr>
        <w:t>1.3.2</w:t>
      </w:r>
      <w:r>
        <w:tab/>
      </w:r>
      <w:r>
        <w:rPr>
          <w:lang w:eastAsia="zh-CN"/>
        </w:rPr>
        <w:t>NF Service Consumers</w:t>
      </w:r>
      <w:bookmarkEnd w:id="3728"/>
      <w:bookmarkEnd w:id="3729"/>
      <w:bookmarkEnd w:id="3730"/>
      <w:bookmarkEnd w:id="3731"/>
      <w:bookmarkEnd w:id="3732"/>
      <w:bookmarkEnd w:id="3733"/>
      <w:bookmarkEnd w:id="3734"/>
      <w:bookmarkEnd w:id="3735"/>
      <w:bookmarkEnd w:id="3736"/>
      <w:bookmarkEnd w:id="3737"/>
      <w:bookmarkEnd w:id="3738"/>
    </w:p>
    <w:p w14:paraId="2B57CED8" w14:textId="77777777" w:rsidR="003513BE" w:rsidRDefault="003513BE" w:rsidP="003513BE">
      <w:bookmarkStart w:id="3739" w:name="_Toc164920721"/>
      <w:bookmarkStart w:id="3740" w:name="_Toc170120263"/>
      <w:bookmarkStart w:id="3741" w:name="_Toc175858508"/>
      <w:bookmarkStart w:id="3742" w:name="_Toc175859581"/>
      <w:bookmarkStart w:id="3743" w:name="_Toc180605871"/>
      <w:bookmarkStart w:id="3744" w:name="_Toc185517125"/>
      <w:bookmarkStart w:id="3745" w:name="_Toc191576176"/>
      <w:bookmarkStart w:id="3746" w:name="_Toc191576916"/>
      <w:bookmarkStart w:id="3747" w:name="_Toc192879986"/>
      <w:bookmarkStart w:id="3748" w:name="_Toc195814869"/>
      <w:r>
        <w:t xml:space="preserve">The Network Data Analytics Function (NWDAF) with roaming exchange capability, i.e. the RE-NWDAF, supports (un)subscription to the notification of analytics information for all types of network analytics related to roaming UE(s) from </w:t>
      </w:r>
      <w:r w:rsidRPr="00063904">
        <w:t xml:space="preserve">the </w:t>
      </w:r>
      <w:r>
        <w:t>RE-</w:t>
      </w:r>
      <w:r w:rsidRPr="00063904">
        <w:t>NWDAF</w:t>
      </w:r>
      <w:r>
        <w:t>.</w:t>
      </w:r>
    </w:p>
    <w:p w14:paraId="723B172D" w14:textId="77777777" w:rsidR="00A10B25" w:rsidRDefault="00A10B25">
      <w:pPr>
        <w:pStyle w:val="3"/>
      </w:pPr>
      <w:bookmarkStart w:id="3749" w:name="_Toc199452816"/>
      <w:r>
        <w:lastRenderedPageBreak/>
        <w:t>4.9.2</w:t>
      </w:r>
      <w:r>
        <w:tab/>
        <w:t>Service Operations</w:t>
      </w:r>
      <w:bookmarkEnd w:id="3739"/>
      <w:bookmarkEnd w:id="3740"/>
      <w:bookmarkEnd w:id="3741"/>
      <w:bookmarkEnd w:id="3742"/>
      <w:bookmarkEnd w:id="3743"/>
      <w:bookmarkEnd w:id="3744"/>
      <w:bookmarkEnd w:id="3745"/>
      <w:bookmarkEnd w:id="3746"/>
      <w:bookmarkEnd w:id="3747"/>
      <w:bookmarkEnd w:id="3748"/>
      <w:bookmarkEnd w:id="3749"/>
    </w:p>
    <w:p w14:paraId="5FF5180D" w14:textId="77777777" w:rsidR="00A10B25" w:rsidRDefault="00A10B25">
      <w:pPr>
        <w:pStyle w:val="4"/>
      </w:pPr>
      <w:bookmarkStart w:id="3750" w:name="_Toc164920722"/>
      <w:bookmarkStart w:id="3751" w:name="_Toc170120264"/>
      <w:bookmarkStart w:id="3752" w:name="_Toc175858509"/>
      <w:bookmarkStart w:id="3753" w:name="_Toc175859582"/>
      <w:bookmarkStart w:id="3754" w:name="_Toc180605872"/>
      <w:bookmarkStart w:id="3755" w:name="_Toc185517126"/>
      <w:bookmarkStart w:id="3756" w:name="_Toc191576177"/>
      <w:bookmarkStart w:id="3757" w:name="_Toc191576917"/>
      <w:bookmarkStart w:id="3758" w:name="_Toc192879987"/>
      <w:bookmarkStart w:id="3759" w:name="_Toc195814870"/>
      <w:bookmarkStart w:id="3760" w:name="_Toc199452817"/>
      <w:r>
        <w:t>4.9.2.1</w:t>
      </w:r>
      <w:r>
        <w:tab/>
        <w:t>Introduction</w:t>
      </w:r>
      <w:bookmarkEnd w:id="3750"/>
      <w:bookmarkEnd w:id="3751"/>
      <w:bookmarkEnd w:id="3752"/>
      <w:bookmarkEnd w:id="3753"/>
      <w:bookmarkEnd w:id="3754"/>
      <w:bookmarkEnd w:id="3755"/>
      <w:bookmarkEnd w:id="3756"/>
      <w:bookmarkEnd w:id="3757"/>
      <w:bookmarkEnd w:id="3758"/>
      <w:bookmarkEnd w:id="3759"/>
      <w:bookmarkEnd w:id="3760"/>
    </w:p>
    <w:p w14:paraId="58A88A8E" w14:textId="77777777" w:rsidR="00A10B25" w:rsidRDefault="00A10B25">
      <w:pPr>
        <w:pStyle w:val="TH"/>
        <w:rPr>
          <w:rFonts w:eastAsia="MS Mincho"/>
        </w:rPr>
      </w:pPr>
      <w:r>
        <w:rPr>
          <w:rFonts w:eastAsia="MS Mincho"/>
        </w:rPr>
        <w:t>Table 4.9.2.1-1: Operations of the Nnwdaf_RoamingAnalytics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34"/>
        <w:gridCol w:w="4394"/>
        <w:gridCol w:w="1985"/>
      </w:tblGrid>
      <w:tr w:rsidR="00A10B25" w14:paraId="3B81C5C8" w14:textId="77777777">
        <w:trPr>
          <w:cantSplit/>
          <w:tblHeader/>
        </w:trPr>
        <w:tc>
          <w:tcPr>
            <w:tcW w:w="3234" w:type="dxa"/>
            <w:shd w:val="clear" w:color="000000" w:fill="C0C0C0"/>
          </w:tcPr>
          <w:p w14:paraId="54D84FA3" w14:textId="77777777" w:rsidR="00A10B25" w:rsidRDefault="00A10B25">
            <w:pPr>
              <w:pStyle w:val="TAH"/>
              <w:ind w:left="400" w:hanging="400"/>
            </w:pPr>
            <w:r>
              <w:t>Service operation name</w:t>
            </w:r>
          </w:p>
        </w:tc>
        <w:tc>
          <w:tcPr>
            <w:tcW w:w="4394" w:type="dxa"/>
            <w:shd w:val="clear" w:color="000000" w:fill="C0C0C0"/>
          </w:tcPr>
          <w:p w14:paraId="09740931" w14:textId="77777777" w:rsidR="00A10B25" w:rsidRDefault="00A10B25">
            <w:pPr>
              <w:pStyle w:val="TAH"/>
              <w:ind w:left="400" w:hanging="400"/>
            </w:pPr>
            <w:r>
              <w:t>Description</w:t>
            </w:r>
          </w:p>
        </w:tc>
        <w:tc>
          <w:tcPr>
            <w:tcW w:w="1985" w:type="dxa"/>
            <w:shd w:val="clear" w:color="000000" w:fill="C0C0C0"/>
          </w:tcPr>
          <w:p w14:paraId="439162A2" w14:textId="77777777" w:rsidR="00A10B25" w:rsidRDefault="00A10B25">
            <w:pPr>
              <w:pStyle w:val="TAH"/>
              <w:ind w:left="400" w:hanging="400"/>
            </w:pPr>
            <w:r>
              <w:t>Initiated by</w:t>
            </w:r>
          </w:p>
        </w:tc>
      </w:tr>
      <w:tr w:rsidR="00A10B25" w14:paraId="5842DEE9" w14:textId="77777777">
        <w:trPr>
          <w:cantSplit/>
        </w:trPr>
        <w:tc>
          <w:tcPr>
            <w:tcW w:w="3234" w:type="dxa"/>
          </w:tcPr>
          <w:p w14:paraId="7C8D56D4" w14:textId="77777777" w:rsidR="00A10B25" w:rsidRDefault="00A10B25">
            <w:pPr>
              <w:pStyle w:val="TAL"/>
            </w:pPr>
            <w:r>
              <w:t>Nnwdaf_RoamingAnalytics</w:t>
            </w:r>
            <w:r>
              <w:rPr>
                <w:lang w:val="en-US"/>
              </w:rPr>
              <w:t>_</w:t>
            </w:r>
            <w:r>
              <w:t>Subscribe</w:t>
            </w:r>
          </w:p>
        </w:tc>
        <w:tc>
          <w:tcPr>
            <w:tcW w:w="4394" w:type="dxa"/>
          </w:tcPr>
          <w:p w14:paraId="6D918724" w14:textId="2F9E14B4" w:rsidR="00A10B25" w:rsidRDefault="00A10B25" w:rsidP="003513BE">
            <w:pPr>
              <w:pStyle w:val="TAL"/>
            </w:pPr>
            <w:r>
              <w:t>This service operation is used by an NF to subscribe or update subscription for event notifications of the analytics information related to roaming UE(s).</w:t>
            </w:r>
          </w:p>
        </w:tc>
        <w:tc>
          <w:tcPr>
            <w:tcW w:w="1985" w:type="dxa"/>
          </w:tcPr>
          <w:p w14:paraId="02FA52B0" w14:textId="77777777" w:rsidR="00A10B25" w:rsidRDefault="00A10B25">
            <w:pPr>
              <w:pStyle w:val="TAL"/>
            </w:pPr>
            <w:r>
              <w:t>NF</w:t>
            </w:r>
            <w:r>
              <w:rPr>
                <w:rFonts w:eastAsia="等线"/>
              </w:rPr>
              <w:t xml:space="preserve"> service</w:t>
            </w:r>
            <w:r>
              <w:t xml:space="preserve"> consumer (RE-NWDAF)</w:t>
            </w:r>
          </w:p>
        </w:tc>
      </w:tr>
      <w:tr w:rsidR="00A10B25" w14:paraId="2B42880D" w14:textId="77777777">
        <w:trPr>
          <w:cantSplit/>
        </w:trPr>
        <w:tc>
          <w:tcPr>
            <w:tcW w:w="3234" w:type="dxa"/>
          </w:tcPr>
          <w:p w14:paraId="186E7A99" w14:textId="77777777" w:rsidR="00A10B25" w:rsidRDefault="00A10B25">
            <w:pPr>
              <w:pStyle w:val="TAL"/>
            </w:pPr>
            <w:r>
              <w:t>Nnwdaf_RoamingAnalytics_Unsubscribe</w:t>
            </w:r>
          </w:p>
        </w:tc>
        <w:tc>
          <w:tcPr>
            <w:tcW w:w="4394" w:type="dxa"/>
          </w:tcPr>
          <w:p w14:paraId="616203EA" w14:textId="77777777" w:rsidR="00A10B25" w:rsidRDefault="00A10B25">
            <w:pPr>
              <w:pStyle w:val="TAL"/>
            </w:pPr>
            <w:r>
              <w:t>This service operation is used by an NF to unsubscribe from event notifications.</w:t>
            </w:r>
          </w:p>
        </w:tc>
        <w:tc>
          <w:tcPr>
            <w:tcW w:w="1985" w:type="dxa"/>
          </w:tcPr>
          <w:p w14:paraId="083D1B07" w14:textId="77777777" w:rsidR="00A10B25" w:rsidRDefault="00A10B25">
            <w:pPr>
              <w:pStyle w:val="TAL"/>
            </w:pPr>
            <w:r>
              <w:t>NF</w:t>
            </w:r>
            <w:r>
              <w:rPr>
                <w:rFonts w:eastAsia="等线"/>
              </w:rPr>
              <w:t xml:space="preserve"> service</w:t>
            </w:r>
            <w:r>
              <w:t xml:space="preserve"> consumer (RE-NWDAF)</w:t>
            </w:r>
          </w:p>
        </w:tc>
      </w:tr>
      <w:tr w:rsidR="00A10B25" w14:paraId="2BE7D777" w14:textId="77777777">
        <w:trPr>
          <w:cantSplit/>
        </w:trPr>
        <w:tc>
          <w:tcPr>
            <w:tcW w:w="3234" w:type="dxa"/>
          </w:tcPr>
          <w:p w14:paraId="326A3084" w14:textId="77777777" w:rsidR="00A10B25" w:rsidRDefault="00A10B25">
            <w:pPr>
              <w:pStyle w:val="TAL"/>
            </w:pPr>
            <w:r>
              <w:t>Nnwdaf_RoamingAnalytics_Notify</w:t>
            </w:r>
          </w:p>
        </w:tc>
        <w:tc>
          <w:tcPr>
            <w:tcW w:w="4394" w:type="dxa"/>
          </w:tcPr>
          <w:p w14:paraId="2ED410F8" w14:textId="77777777" w:rsidR="00A10B25" w:rsidRDefault="00A10B25">
            <w:pPr>
              <w:pStyle w:val="TAL"/>
            </w:pPr>
            <w:r>
              <w:t xml:space="preserve">This service operation is used by an RE-NWDAF to notify NF </w:t>
            </w:r>
            <w:r>
              <w:rPr>
                <w:rFonts w:eastAsia="等线"/>
              </w:rPr>
              <w:t xml:space="preserve">service </w:t>
            </w:r>
            <w:r>
              <w:t>consumers about subscribed events.</w:t>
            </w:r>
          </w:p>
        </w:tc>
        <w:tc>
          <w:tcPr>
            <w:tcW w:w="1985" w:type="dxa"/>
          </w:tcPr>
          <w:p w14:paraId="189BCBD8" w14:textId="77777777" w:rsidR="00A10B25" w:rsidRDefault="00A10B25">
            <w:pPr>
              <w:pStyle w:val="TAL"/>
            </w:pPr>
            <w:r>
              <w:t>RE-NWDAF</w:t>
            </w:r>
          </w:p>
        </w:tc>
      </w:tr>
    </w:tbl>
    <w:p w14:paraId="7841BA55" w14:textId="77777777" w:rsidR="00A10B25" w:rsidRDefault="00A10B25"/>
    <w:p w14:paraId="0C96415F" w14:textId="77777777" w:rsidR="00A10B25" w:rsidRDefault="00A10B25">
      <w:pPr>
        <w:pStyle w:val="4"/>
      </w:pPr>
      <w:bookmarkStart w:id="3761" w:name="_Toc164920723"/>
      <w:bookmarkStart w:id="3762" w:name="_Toc170120265"/>
      <w:bookmarkStart w:id="3763" w:name="_Toc175858510"/>
      <w:bookmarkStart w:id="3764" w:name="_Toc175859583"/>
      <w:bookmarkStart w:id="3765" w:name="_Toc180605873"/>
      <w:bookmarkStart w:id="3766" w:name="_Toc185517127"/>
      <w:bookmarkStart w:id="3767" w:name="_Toc191576178"/>
      <w:bookmarkStart w:id="3768" w:name="_Toc191576918"/>
      <w:bookmarkStart w:id="3769" w:name="_Toc192879988"/>
      <w:bookmarkStart w:id="3770" w:name="_Toc195814871"/>
      <w:bookmarkStart w:id="3771" w:name="_Toc199452818"/>
      <w:r>
        <w:t>4.9.2.2</w:t>
      </w:r>
      <w:r>
        <w:tab/>
        <w:t>Nnwdaf_RoamingAnalytics_Subscribe service operation</w:t>
      </w:r>
      <w:bookmarkEnd w:id="3761"/>
      <w:bookmarkEnd w:id="3762"/>
      <w:bookmarkEnd w:id="3763"/>
      <w:bookmarkEnd w:id="3764"/>
      <w:bookmarkEnd w:id="3765"/>
      <w:bookmarkEnd w:id="3766"/>
      <w:bookmarkEnd w:id="3767"/>
      <w:bookmarkEnd w:id="3768"/>
      <w:bookmarkEnd w:id="3769"/>
      <w:bookmarkEnd w:id="3770"/>
      <w:bookmarkEnd w:id="3771"/>
    </w:p>
    <w:p w14:paraId="7B56A1F7" w14:textId="77777777" w:rsidR="00A10B25" w:rsidRDefault="00A10B25">
      <w:pPr>
        <w:pStyle w:val="5"/>
      </w:pPr>
      <w:bookmarkStart w:id="3772" w:name="_Toc164920724"/>
      <w:bookmarkStart w:id="3773" w:name="_Toc170120266"/>
      <w:bookmarkStart w:id="3774" w:name="_Toc175858511"/>
      <w:bookmarkStart w:id="3775" w:name="_Toc175859584"/>
      <w:bookmarkStart w:id="3776" w:name="_Toc180605874"/>
      <w:bookmarkStart w:id="3777" w:name="_Toc185517128"/>
      <w:bookmarkStart w:id="3778" w:name="_Toc191576179"/>
      <w:bookmarkStart w:id="3779" w:name="_Toc191576919"/>
      <w:bookmarkStart w:id="3780" w:name="_Toc192879989"/>
      <w:bookmarkStart w:id="3781" w:name="_Toc195814872"/>
      <w:bookmarkStart w:id="3782" w:name="_Toc199452819"/>
      <w:r>
        <w:t>4.9.2.2.1</w:t>
      </w:r>
      <w:r>
        <w:tab/>
        <w:t>General</w:t>
      </w:r>
      <w:bookmarkEnd w:id="3772"/>
      <w:bookmarkEnd w:id="3773"/>
      <w:bookmarkEnd w:id="3774"/>
      <w:bookmarkEnd w:id="3775"/>
      <w:bookmarkEnd w:id="3776"/>
      <w:bookmarkEnd w:id="3777"/>
      <w:bookmarkEnd w:id="3778"/>
      <w:bookmarkEnd w:id="3779"/>
      <w:bookmarkEnd w:id="3780"/>
      <w:bookmarkEnd w:id="3781"/>
      <w:bookmarkEnd w:id="3782"/>
    </w:p>
    <w:p w14:paraId="4590735F" w14:textId="459A3128" w:rsidR="00A10B25" w:rsidRDefault="00A10B25">
      <w:r>
        <w:t>The Nnwdaf_RoamingAnalytics_Subscribe service operation is used by an NF service consumer to subscribe or update subscription for event notifications related to roaming UE(s) from the</w:t>
      </w:r>
      <w:r w:rsidR="003513BE" w:rsidRPr="00063904">
        <w:t xml:space="preserve"> </w:t>
      </w:r>
      <w:r w:rsidR="003513BE">
        <w:t>RE-</w:t>
      </w:r>
      <w:r w:rsidR="003513BE" w:rsidRPr="00063904">
        <w:t>NWDAF.</w:t>
      </w:r>
    </w:p>
    <w:p w14:paraId="51A6DA0E" w14:textId="77777777" w:rsidR="00A10B25" w:rsidRDefault="00A10B25">
      <w:pPr>
        <w:pStyle w:val="5"/>
      </w:pPr>
      <w:bookmarkStart w:id="3783" w:name="_Toc164920725"/>
      <w:bookmarkStart w:id="3784" w:name="_Toc170120267"/>
      <w:bookmarkStart w:id="3785" w:name="_Toc175858512"/>
      <w:bookmarkStart w:id="3786" w:name="_Toc175859585"/>
      <w:bookmarkStart w:id="3787" w:name="_Toc180605875"/>
      <w:bookmarkStart w:id="3788" w:name="_Toc185517129"/>
      <w:bookmarkStart w:id="3789" w:name="_Toc191576180"/>
      <w:bookmarkStart w:id="3790" w:name="_Toc191576920"/>
      <w:bookmarkStart w:id="3791" w:name="_Toc192879990"/>
      <w:bookmarkStart w:id="3792" w:name="_Toc195814873"/>
      <w:bookmarkStart w:id="3793" w:name="_Toc199452820"/>
      <w:r>
        <w:t>4.9.2.2.2</w:t>
      </w:r>
      <w:r>
        <w:tab/>
        <w:t>Subscription for event notifications</w:t>
      </w:r>
      <w:bookmarkEnd w:id="3783"/>
      <w:bookmarkEnd w:id="3784"/>
      <w:bookmarkEnd w:id="3785"/>
      <w:bookmarkEnd w:id="3786"/>
      <w:bookmarkEnd w:id="3787"/>
      <w:bookmarkEnd w:id="3788"/>
      <w:bookmarkEnd w:id="3789"/>
      <w:bookmarkEnd w:id="3790"/>
      <w:bookmarkEnd w:id="3791"/>
      <w:bookmarkEnd w:id="3792"/>
      <w:bookmarkEnd w:id="3793"/>
    </w:p>
    <w:p w14:paraId="09081D10" w14:textId="77777777" w:rsidR="00A10B25" w:rsidRDefault="00A10B25">
      <w:pPr>
        <w:rPr>
          <w:rFonts w:eastAsia="等线"/>
        </w:rPr>
      </w:pPr>
      <w:r>
        <w:rPr>
          <w:rFonts w:eastAsia="等线"/>
        </w:rPr>
        <w:t>Figure 4.9.2.2.2-1 shows a scenario where the NF service consumer sends a request to the RE-NWDAF to subscribe</w:t>
      </w:r>
      <w:r>
        <w:rPr>
          <w:rFonts w:eastAsia="Batang"/>
        </w:rPr>
        <w:t xml:space="preserve"> </w:t>
      </w:r>
      <w:r>
        <w:rPr>
          <w:rFonts w:eastAsia="等线"/>
        </w:rPr>
        <w:t>for event notification(s).</w:t>
      </w:r>
    </w:p>
    <w:p w14:paraId="174F975A" w14:textId="77777777" w:rsidR="00A10B25" w:rsidRDefault="00A10B25">
      <w:pPr>
        <w:pStyle w:val="TH"/>
        <w:rPr>
          <w:rFonts w:eastAsia="等线"/>
        </w:rPr>
      </w:pPr>
      <w:r>
        <w:rPr>
          <w:lang w:val="en-US" w:eastAsia="zh-CN"/>
        </w:rPr>
        <w:object w:dxaOrig="9007" w:dyaOrig="2960" w14:anchorId="6A2D9B80">
          <v:shape id="_x0000_i1086" type="#_x0000_t75" style="width:483.35pt;height:158.4pt;mso-position-horizontal-relative:page;mso-position-vertical-relative:page" o:ole="">
            <v:imagedata r:id="rId95" o:title=""/>
          </v:shape>
          <o:OLEObject Type="Embed" ProgID="Visio.Drawing.15" ShapeID="_x0000_i1086" DrawAspect="Content" ObjectID="_1810066025" r:id="rId96"/>
        </w:object>
      </w:r>
    </w:p>
    <w:p w14:paraId="636E156F" w14:textId="77777777" w:rsidR="00A10B25" w:rsidRDefault="00A10B25" w:rsidP="0076721C">
      <w:pPr>
        <w:pStyle w:val="TF"/>
      </w:pPr>
      <w:r>
        <w:t>Figure 4.9.2.2.2-1: NF service consumer subscribes to notifications</w:t>
      </w:r>
    </w:p>
    <w:p w14:paraId="113936F1" w14:textId="77777777" w:rsidR="00A10B25" w:rsidRDefault="00A10B25">
      <w:pPr>
        <w:rPr>
          <w:rFonts w:eastAsia="等线"/>
        </w:rPr>
      </w:pPr>
      <w:r>
        <w:rPr>
          <w:rFonts w:eastAsia="等线"/>
        </w:rPr>
        <w:t>The NF service consumer shall invoke the Nnwdaf_RoamingAnalytics_Subscribe service operation to subscribe to event notification(s) related to roaming UE(s) by</w:t>
      </w:r>
      <w:r>
        <w:rPr>
          <w:rFonts w:eastAsia="等线"/>
          <w:lang w:val="en-US"/>
        </w:rPr>
        <w:t xml:space="preserve"> </w:t>
      </w:r>
      <w:r>
        <w:rPr>
          <w:rFonts w:eastAsia="等线"/>
        </w:rPr>
        <w:t xml:space="preserve">sending an HTTP POST request with "{apiRoot}/nnwdaf-roaminganalytics/&lt;apiVersion&gt;/subscriptions" as Resource URI representing the "NWDAF Roaming Analytics Subscriptions" resource, as shown in figure 4.9.2.2.2-1, step 1, to create an "Individual NWDAF Roaming Analytics Subscription" resource according to the information in message body. The RoamingAnalyticsSubscription data structure provided in the request body shall include: </w:t>
      </w:r>
    </w:p>
    <w:p w14:paraId="5AFD7971" w14:textId="77777777" w:rsidR="00EF7075" w:rsidRDefault="00EF7075" w:rsidP="00EF7075">
      <w:pPr>
        <w:pStyle w:val="B1"/>
      </w:pPr>
      <w:r>
        <w:t>-</w:t>
      </w:r>
      <w:r>
        <w:tab/>
        <w:t>a URI where to receive the requested notifications as "notifUri" attribute;</w:t>
      </w:r>
    </w:p>
    <w:p w14:paraId="4928BF3D" w14:textId="77777777" w:rsidR="00EF7075" w:rsidRDefault="00EF7075" w:rsidP="00EF7075">
      <w:pPr>
        <w:pStyle w:val="B1"/>
      </w:pPr>
      <w:r>
        <w:t>-</w:t>
      </w:r>
      <w:r>
        <w:tab/>
        <w:t>a notification correlation identifier as "notifCorrId" attribute;</w:t>
      </w:r>
    </w:p>
    <w:p w14:paraId="3B3D632C" w14:textId="77777777" w:rsidR="00EF7075" w:rsidRDefault="00EF7075" w:rsidP="00EF7075">
      <w:pPr>
        <w:pStyle w:val="B1"/>
      </w:pPr>
      <w:r>
        <w:t>-</w:t>
      </w:r>
      <w:r>
        <w:tab/>
        <w:t>the PLMN ID of the NF service consumer as "consPlmnId" attribute;</w:t>
      </w:r>
    </w:p>
    <w:p w14:paraId="3D126AEC" w14:textId="77777777" w:rsidR="00607DB3" w:rsidRDefault="00607DB3" w:rsidP="00607DB3">
      <w:pPr>
        <w:pStyle w:val="B1"/>
      </w:pPr>
      <w:r>
        <w:lastRenderedPageBreak/>
        <w:t>-</w:t>
      </w:r>
      <w:r>
        <w:tab/>
        <w:t>a description of the subscribed events as "roamEventSubs" attribute with the same contents as specified for the "eventSubscriptions" attribute in clause 4.2.2.2.2 but excluding the attributes that are indicated as non applicable in Table 5.8.6.2.2-1.</w:t>
      </w:r>
    </w:p>
    <w:p w14:paraId="069CB4B5" w14:textId="77777777" w:rsidR="00607DB3" w:rsidRDefault="00607DB3" w:rsidP="00607DB3">
      <w:pPr>
        <w:pStyle w:val="NO"/>
      </w:pPr>
      <w:r>
        <w:t>NOTE 1:</w:t>
      </w:r>
      <w:r>
        <w:tab/>
        <w:t>The features mentioned in clause 4.2.2.2.2 are not relevant here.</w:t>
      </w:r>
    </w:p>
    <w:p w14:paraId="44CD367B" w14:textId="77777777" w:rsidR="00A10B25" w:rsidRDefault="00A10B25">
      <w:r>
        <w:t>and may include:</w:t>
      </w:r>
    </w:p>
    <w:p w14:paraId="0FAFE567" w14:textId="77777777" w:rsidR="00A10B25" w:rsidRDefault="00A10B25" w:rsidP="0076721C">
      <w:pPr>
        <w:pStyle w:val="B1"/>
      </w:pPr>
      <w:r>
        <w:rPr>
          <w:rFonts w:eastAsia="等线"/>
        </w:rPr>
        <w:t>-</w:t>
      </w:r>
      <w:r>
        <w:rPr>
          <w:rFonts w:eastAsia="等线"/>
        </w:rPr>
        <w:tab/>
      </w:r>
      <w:r>
        <w:t>event reporting information as the "evtReq" attribute with the same contents as specified for the "evtReq" attribute in clause 4.2.2.2.2.</w:t>
      </w:r>
    </w:p>
    <w:p w14:paraId="6A00564A" w14:textId="77777777" w:rsidR="00A10B25" w:rsidRDefault="00A10B25">
      <w:pPr>
        <w:rPr>
          <w:rFonts w:eastAsia="等线"/>
        </w:rPr>
      </w:pPr>
      <w:r>
        <w:rPr>
          <w:rFonts w:eastAsia="等线"/>
        </w:rPr>
        <w:t xml:space="preserve">Upon the reception of an HTTP POST request with: "{apiRoot}/nnwdaf-roaminganalytics/&lt;apiVersion&gt;/subscriptions" as Resource URI and RoamingAnalyticsSubscription data structure as request body, if no errors occur, the RE-NWDAF shall: </w:t>
      </w:r>
    </w:p>
    <w:p w14:paraId="29FB45BA" w14:textId="77777777" w:rsidR="00A10B25" w:rsidRDefault="00A10B25" w:rsidP="0076721C">
      <w:pPr>
        <w:pStyle w:val="B1"/>
        <w:rPr>
          <w:rFonts w:eastAsia="MS Mincho"/>
        </w:rPr>
      </w:pPr>
      <w:r>
        <w:t>-</w:t>
      </w:r>
      <w:r>
        <w:tab/>
        <w:t>create a new subscription;</w:t>
      </w:r>
    </w:p>
    <w:p w14:paraId="27AEB92D" w14:textId="77777777" w:rsidR="00A10B25" w:rsidRDefault="00A10B25" w:rsidP="0076721C">
      <w:pPr>
        <w:pStyle w:val="B1"/>
      </w:pPr>
      <w:r>
        <w:t>-</w:t>
      </w:r>
      <w:r>
        <w:tab/>
        <w:t xml:space="preserve">assign an </w:t>
      </w:r>
      <w:r>
        <w:rPr>
          <w:lang w:val="en-US"/>
        </w:rPr>
        <w:t xml:space="preserve">event </w:t>
      </w:r>
      <w:r>
        <w:t>subscriptionId; and</w:t>
      </w:r>
    </w:p>
    <w:p w14:paraId="7502CD8F" w14:textId="77777777" w:rsidR="00A10B25" w:rsidRDefault="00A10B25" w:rsidP="0076721C">
      <w:pPr>
        <w:pStyle w:val="B1"/>
        <w:rPr>
          <w:rFonts w:eastAsia="等线"/>
        </w:rPr>
      </w:pPr>
      <w:r>
        <w:t>-</w:t>
      </w:r>
      <w:r>
        <w:tab/>
        <w:t>store the subscription.</w:t>
      </w:r>
    </w:p>
    <w:p w14:paraId="68D78029" w14:textId="77777777" w:rsidR="003513BE" w:rsidRDefault="003513BE" w:rsidP="003513BE">
      <w:pPr>
        <w:rPr>
          <w:rFonts w:eastAsia="等线"/>
        </w:rPr>
      </w:pPr>
      <w:r>
        <w:rPr>
          <w:rFonts w:eastAsia="等线"/>
        </w:rPr>
        <w:t>If the RE-</w:t>
      </w:r>
      <w:r>
        <w:t>NWDAF</w:t>
      </w:r>
      <w:r>
        <w:rPr>
          <w:rFonts w:eastAsia="等线"/>
        </w:rPr>
        <w:t xml:space="preserve"> created an "Individual NWDAF Roaming Analytics Subscription" resource, the RE-NWDAF shall respond with "201 Created" status code with the message body containing a representation of the created subscription, as </w:t>
      </w:r>
      <w:r>
        <w:rPr>
          <w:rFonts w:eastAsia="Batang"/>
        </w:rPr>
        <w:t>shown in figure 4.9.2.2.2-1, step 2</w:t>
      </w:r>
      <w:r>
        <w:rPr>
          <w:rFonts w:eastAsia="等线"/>
        </w:rPr>
        <w:t xml:space="preserve">. If </w:t>
      </w:r>
      <w:r>
        <w:rPr>
          <w:lang w:eastAsia="zh-CN"/>
        </w:rPr>
        <w:t>not all the requested analytics events in the subscription are accepted</w:t>
      </w:r>
      <w:r>
        <w:rPr>
          <w:rFonts w:eastAsia="等线"/>
        </w:rPr>
        <w:t xml:space="preserve">, then the NWDAF may include the </w:t>
      </w:r>
      <w:r>
        <w:t>"</w:t>
      </w:r>
      <w:r>
        <w:rPr>
          <w:lang w:eastAsia="zh-CN"/>
        </w:rPr>
        <w:t>failEventReports</w:t>
      </w:r>
      <w:r>
        <w:t>"</w:t>
      </w:r>
      <w:r>
        <w:rPr>
          <w:rFonts w:eastAsia="等线"/>
        </w:rPr>
        <w:t xml:space="preserve"> </w:t>
      </w:r>
      <w:r>
        <w:t>attribute</w:t>
      </w:r>
      <w:r>
        <w:rPr>
          <w:rFonts w:eastAsia="等线"/>
        </w:rPr>
        <w:t xml:space="preserve"> indicating the event(s) for which the subscription failed and the associated reason(s). Th</w:t>
      </w:r>
      <w:r w:rsidRPr="00063904">
        <w:rPr>
          <w:rFonts w:eastAsia="等线"/>
        </w:rPr>
        <w:t xml:space="preserve">e </w:t>
      </w:r>
      <w:r>
        <w:rPr>
          <w:rFonts w:eastAsia="等线"/>
        </w:rPr>
        <w:t>RE-</w:t>
      </w:r>
      <w:r w:rsidRPr="00063904">
        <w:rPr>
          <w:rFonts w:eastAsia="等线"/>
        </w:rPr>
        <w:t>NWDAF s</w:t>
      </w:r>
      <w:r>
        <w:rPr>
          <w:rFonts w:eastAsia="等线"/>
        </w:rPr>
        <w:t>hall include a Location HTTP header field. The Location header field shall contain the URI of the created subscription i.e. "{apiRoot}/nnwdaf-roaminganalytics/&lt;apiVersion&gt;/subscriptions/{subscriptionId}".</w:t>
      </w:r>
    </w:p>
    <w:p w14:paraId="74B42916" w14:textId="77777777" w:rsidR="009B01A5" w:rsidRDefault="009B01A5" w:rsidP="009B01A5">
      <w:pPr>
        <w:rPr>
          <w:rFonts w:eastAsia="等线"/>
        </w:rPr>
      </w:pPr>
      <w:r>
        <w:rPr>
          <w:rFonts w:eastAsia="等线"/>
        </w:rPr>
        <w:t>If the immediate reporting indication in the "immRep" attribute within the "evtReq" attribute was set to true in the event subscription, the RE-NWDAF shall include the reports of the events subscribed, if available, in the HTTP POST response within the "roamEventNotifs" attribute.</w:t>
      </w:r>
    </w:p>
    <w:p w14:paraId="3E992E6C" w14:textId="77777777" w:rsidR="009B01A5" w:rsidRPr="00EF6185" w:rsidRDefault="009B01A5" w:rsidP="009B01A5">
      <w:pPr>
        <w:rPr>
          <w:lang w:eastAsia="zh-CN"/>
        </w:rPr>
      </w:pPr>
      <w:r>
        <w:t>When the "</w:t>
      </w:r>
      <w:r>
        <w:rPr>
          <w:lang w:eastAsia="zh-CN"/>
        </w:rPr>
        <w:t xml:space="preserve">notifFlag" attribute </w:t>
      </w:r>
      <w:r>
        <w:rPr>
          <w:rFonts w:eastAsia="等线"/>
        </w:rPr>
        <w:t>within the "evtReq" attribute</w:t>
      </w:r>
      <w:r>
        <w:rPr>
          <w:lang w:eastAsia="zh-CN"/>
        </w:rPr>
        <w:t xml:space="preserve"> is set to </w:t>
      </w:r>
      <w:r>
        <w:t>"DEACTIVATE"</w:t>
      </w:r>
      <w:r>
        <w:rPr>
          <w:lang w:eastAsia="zh-CN"/>
        </w:rPr>
        <w:t xml:space="preserve"> in the request, the RE-NWDAF shall mute the event notification and store the available events until the NF service consumer requests to retrieve them by setting the "notifFlag" attribute to "RETRIEVAL" or until a muting exception occurs (e.g. full buffer).</w:t>
      </w:r>
    </w:p>
    <w:p w14:paraId="0790213F" w14:textId="77777777" w:rsidR="003513BE" w:rsidRDefault="003513BE" w:rsidP="003513BE">
      <w:r w:rsidRPr="00F710E9">
        <w:rPr>
          <w:lang w:eastAsia="zh-CN"/>
        </w:rPr>
        <w:t xml:space="preserve">If </w:t>
      </w:r>
      <w:r w:rsidRPr="00F710E9">
        <w:t xml:space="preserve">the analytics target period provided in the body of the HTTP POST request includes the start time in the past and the end time in the future, </w:t>
      </w:r>
      <w:r w:rsidRPr="00F710E9">
        <w:rPr>
          <w:lang w:val="en-US" w:eastAsia="zh-CN"/>
        </w:rPr>
        <w:t>th</w:t>
      </w:r>
      <w:r w:rsidRPr="00063904">
        <w:rPr>
          <w:lang w:val="en-US" w:eastAsia="zh-CN"/>
        </w:rPr>
        <w:t xml:space="preserve">e </w:t>
      </w:r>
      <w:r>
        <w:rPr>
          <w:lang w:val="en-US" w:eastAsia="zh-CN"/>
        </w:rPr>
        <w:t>RE-</w:t>
      </w:r>
      <w:r w:rsidRPr="00063904">
        <w:rPr>
          <w:lang w:val="en-US" w:eastAsia="zh-CN"/>
        </w:rPr>
        <w:t>NWDAF sh</w:t>
      </w:r>
      <w:r w:rsidRPr="00F710E9">
        <w:rPr>
          <w:lang w:val="en-US" w:eastAsia="zh-CN"/>
        </w:rPr>
        <w:t xml:space="preserve">all reject the request with </w:t>
      </w:r>
      <w:r w:rsidRPr="00F710E9">
        <w:t>an HTTP "400 Bad Request" response including the "cause" attribute set to "BOTH_STAT_PRED_NOT_ALLOWED".</w:t>
      </w:r>
    </w:p>
    <w:p w14:paraId="539488EB" w14:textId="77777777" w:rsidR="003E1F9F" w:rsidRPr="00BE0349" w:rsidRDefault="003E1F9F" w:rsidP="003E1F9F">
      <w:pPr>
        <w:rPr>
          <w:rFonts w:eastAsia="等线"/>
        </w:rPr>
      </w:pPr>
      <w:r>
        <w:rPr>
          <w:rFonts w:eastAsia="等线"/>
        </w:rPr>
        <w:t xml:space="preserve">If the RE-NWDAF does not accept the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04557DDC" w14:textId="77777777" w:rsidR="003E1F9F" w:rsidRPr="00F710E9" w:rsidRDefault="003E1F9F" w:rsidP="003E1F9F">
      <w:r w:rsidRPr="00F710E9">
        <w:rPr>
          <w:lang w:eastAsia="zh-CN"/>
        </w:rPr>
        <w:t xml:space="preserve">If the </w:t>
      </w:r>
      <w:r w:rsidRPr="00F710E9">
        <w:t xml:space="preserve">statistics in the past are requested but the necessary data to perform the service is unavailable, </w:t>
      </w:r>
      <w:r w:rsidRPr="00F710E9">
        <w:rPr>
          <w:lang w:val="en-US" w:eastAsia="zh-CN"/>
        </w:rPr>
        <w:t xml:space="preserve">the RE-NWDAF shall reject the request with </w:t>
      </w:r>
      <w:r w:rsidRPr="00F710E9">
        <w:t>an HTTP "500 Internal Server Error" response including the "cause" attribute set to "UNAVAILABLE_DATA".</w:t>
      </w:r>
    </w:p>
    <w:p w14:paraId="5ECA1645" w14:textId="77777777" w:rsidR="00607DB3" w:rsidRPr="00CB0C56" w:rsidRDefault="00607DB3" w:rsidP="00607DB3">
      <w:pPr>
        <w:pStyle w:val="NO"/>
      </w:pPr>
      <w:r w:rsidRPr="00DE355F">
        <w:t>NOTE </w:t>
      </w:r>
      <w:r>
        <w:t>2</w:t>
      </w:r>
      <w:r w:rsidRPr="00DE355F">
        <w:t>:</w:t>
      </w:r>
      <w:r w:rsidRPr="00DE355F">
        <w:tab/>
      </w:r>
      <w:r>
        <w:t>If the u</w:t>
      </w:r>
      <w:r w:rsidRPr="00EE55E9">
        <w:rPr>
          <w:rFonts w:eastAsia="等线"/>
        </w:rPr>
        <w:t xml:space="preserve">ser consent </w:t>
      </w:r>
      <w:r>
        <w:rPr>
          <w:rFonts w:eastAsia="等线"/>
        </w:rPr>
        <w:t>needs to be</w:t>
      </w:r>
      <w:r w:rsidRPr="00EE55E9">
        <w:rPr>
          <w:rFonts w:eastAsia="等线"/>
        </w:rPr>
        <w:t xml:space="preserve"> checked</w:t>
      </w:r>
      <w:r>
        <w:rPr>
          <w:rFonts w:eastAsia="等线"/>
        </w:rPr>
        <w:t>, t</w:t>
      </w:r>
      <w:r>
        <w:rPr>
          <w:rFonts w:hint="eastAsia"/>
          <w:lang w:eastAsia="zh-CN"/>
        </w:rPr>
        <w:t>he</w:t>
      </w:r>
      <w:r>
        <w:t xml:space="preserve"> RE-NWDAF checks the user consent for analytics as defined in </w:t>
      </w:r>
      <w:r w:rsidRPr="00DE355F">
        <w:t>clause X.7 and Annex V of TS 33.501 [</w:t>
      </w:r>
      <w:r>
        <w:t>13</w:t>
      </w:r>
      <w:r w:rsidRPr="00DE355F">
        <w:t>]</w:t>
      </w:r>
      <w:r>
        <w:t xml:space="preserve"> and </w:t>
      </w:r>
      <w:r w:rsidRPr="00DE355F">
        <w:t>protection of analytics exchange in roaming case</w:t>
      </w:r>
      <w:r>
        <w:t xml:space="preserve"> as defined in</w:t>
      </w:r>
      <w:r w:rsidRPr="00DE355F">
        <w:t xml:space="preserve"> clause X.8 of TS 33.501 [</w:t>
      </w:r>
      <w:r>
        <w:t>13</w:t>
      </w:r>
      <w:r w:rsidRPr="00DE355F">
        <w:t>].</w:t>
      </w:r>
    </w:p>
    <w:p w14:paraId="09C53B7F" w14:textId="77777777" w:rsidR="009B01A5" w:rsidRDefault="009B01A5" w:rsidP="009B01A5">
      <w:r w:rsidRPr="00F710E9">
        <w:t xml:space="preserve">If an error occurs when processing the HTTP POST request, the </w:t>
      </w:r>
      <w:r>
        <w:rPr>
          <w:lang w:eastAsia="zh-CN"/>
        </w:rPr>
        <w:t>RE-</w:t>
      </w:r>
      <w:r w:rsidRPr="00F710E9">
        <w:t>NWDAF shall send an HTTP error response as specified in clause 5.</w:t>
      </w:r>
      <w:r>
        <w:t>8</w:t>
      </w:r>
      <w:r w:rsidRPr="00F710E9">
        <w:t>.7.</w:t>
      </w:r>
    </w:p>
    <w:p w14:paraId="6E883639" w14:textId="77777777" w:rsidR="00A10B25" w:rsidRDefault="00A10B25">
      <w:pPr>
        <w:keepNext/>
        <w:keepLines/>
        <w:spacing w:before="120"/>
        <w:ind w:left="1701" w:hanging="1701"/>
        <w:outlineLvl w:val="4"/>
        <w:rPr>
          <w:rFonts w:ascii="Arial" w:hAnsi="Arial"/>
          <w:sz w:val="22"/>
        </w:rPr>
      </w:pPr>
      <w:r>
        <w:rPr>
          <w:rFonts w:ascii="Arial" w:hAnsi="Arial"/>
          <w:sz w:val="22"/>
        </w:rPr>
        <w:t>4.9.2.2.3</w:t>
      </w:r>
      <w:r>
        <w:rPr>
          <w:rFonts w:ascii="Arial" w:hAnsi="Arial"/>
          <w:sz w:val="22"/>
        </w:rPr>
        <w:tab/>
        <w:t>Update subscription for event notifications</w:t>
      </w:r>
    </w:p>
    <w:p w14:paraId="7A9526A9" w14:textId="77777777" w:rsidR="00A10B25" w:rsidRDefault="00A10B25">
      <w:pPr>
        <w:rPr>
          <w:rFonts w:eastAsia="等线"/>
        </w:rPr>
      </w:pPr>
      <w:r>
        <w:rPr>
          <w:rFonts w:eastAsia="等线"/>
        </w:rPr>
        <w:t>Figure 4.9.2.2.3-1 shows a scenario where the NF service consumer sends a request to the RE-NWDAF to</w:t>
      </w:r>
      <w:r>
        <w:t xml:space="preserve"> </w:t>
      </w:r>
      <w:r>
        <w:rPr>
          <w:rFonts w:eastAsia="等线"/>
        </w:rPr>
        <w:t>update the subscription for event notifications.</w:t>
      </w:r>
    </w:p>
    <w:p w14:paraId="46F90845" w14:textId="77777777" w:rsidR="00A10B25" w:rsidRDefault="00A10B25" w:rsidP="0076721C">
      <w:pPr>
        <w:pStyle w:val="TH"/>
        <w:rPr>
          <w:rFonts w:eastAsia="等线"/>
          <w:lang w:eastAsia="zh-CN"/>
        </w:rPr>
      </w:pPr>
      <w:r>
        <w:rPr>
          <w:rFonts w:eastAsia="等线"/>
          <w:lang w:val="en-US" w:eastAsia="zh-CN"/>
        </w:rPr>
        <w:object w:dxaOrig="9007" w:dyaOrig="2961" w14:anchorId="555645ED">
          <v:shape id="Object 53" o:spid="_x0000_i1087" type="#_x0000_t75" style="width:483.35pt;height:158.4pt;mso-position-horizontal-relative:page;mso-position-vertical-relative:page" o:ole="">
            <v:imagedata r:id="rId97" o:title=""/>
          </v:shape>
          <o:OLEObject Type="Embed" ProgID="Visio.Drawing.15" ShapeID="Object 53" DrawAspect="Content" ObjectID="_1810066026" r:id="rId98"/>
        </w:object>
      </w:r>
    </w:p>
    <w:p w14:paraId="5ABF280A" w14:textId="77777777" w:rsidR="00A10B25" w:rsidRDefault="00A10B25" w:rsidP="0076721C">
      <w:pPr>
        <w:pStyle w:val="TF"/>
      </w:pPr>
      <w:r>
        <w:t>Figure 4.9.2.2.3-1: NF service consumer updates subscription to notifications</w:t>
      </w:r>
    </w:p>
    <w:p w14:paraId="726FF3D4" w14:textId="77777777" w:rsidR="00A10B25" w:rsidRDefault="00A10B25">
      <w:r>
        <w:t xml:space="preserve">The NF service consumer shall invoke the Nnwdaf_RoamingAnalytics_Subscribe service operation to update subscription to event notifications </w:t>
      </w:r>
      <w:r>
        <w:rPr>
          <w:rFonts w:eastAsia="等线"/>
        </w:rPr>
        <w:t xml:space="preserve">related to roaming UE(s) </w:t>
      </w:r>
      <w:r>
        <w:t>by</w:t>
      </w:r>
      <w:r>
        <w:rPr>
          <w:lang w:val="en-US"/>
        </w:rPr>
        <w:t xml:space="preserve"> </w:t>
      </w:r>
      <w:r>
        <w:t>sending an HTTP PUT request with "{apiRoot}/nnwdaf-roaminganalytics/&lt;apiVersion&gt;/subscriptions/{subscriptionId}" as Resource URI representing the "Individual NWDAF Roaming Analytics Subscription", as shown in figure 4.9.2.2.3-1, step 1, to update the subscription for an "Individual NWDAF Roaming Analytics Subscription" resource identified by the {subscriptionId}. The RoamingAnalyticsSubscription data structure provided in the request body shall include the same contents as described in clause 4.9.2.2.2.</w:t>
      </w:r>
    </w:p>
    <w:p w14:paraId="4BE9F0F2" w14:textId="77777777" w:rsidR="00A10B25" w:rsidRDefault="00A10B25">
      <w:pPr>
        <w:rPr>
          <w:rFonts w:eastAsia="等线"/>
        </w:rPr>
      </w:pPr>
      <w:r>
        <w:rPr>
          <w:rFonts w:eastAsia="等线"/>
        </w:rPr>
        <w:t>Upon the reception of an HTTP PUT request with: "{apiRoot}/nnwdaf-</w:t>
      </w:r>
      <w:r>
        <w:t>roaminganalytics</w:t>
      </w:r>
      <w:r>
        <w:rPr>
          <w:rFonts w:eastAsia="等线"/>
        </w:rPr>
        <w:t xml:space="preserve">/&lt;apiVersion&gt;/subscriptions/{subscriptionId}" as Resource URI and </w:t>
      </w:r>
      <w:r>
        <w:t>RoamingAnalytics</w:t>
      </w:r>
      <w:r>
        <w:rPr>
          <w:rFonts w:eastAsia="等线"/>
        </w:rPr>
        <w:t>Subscription data structure as request body, the NWDAF shall:</w:t>
      </w:r>
    </w:p>
    <w:p w14:paraId="68CD412A" w14:textId="77777777" w:rsidR="00A10B25" w:rsidRDefault="00A10B25">
      <w:pPr>
        <w:pStyle w:val="B1"/>
      </w:pPr>
      <w:r>
        <w:t>-</w:t>
      </w:r>
      <w:r>
        <w:tab/>
        <w:t>update the subscription of corresponding subscriptionId; and</w:t>
      </w:r>
    </w:p>
    <w:p w14:paraId="2549CC84" w14:textId="77777777" w:rsidR="00A10B25" w:rsidRDefault="00A10B25">
      <w:pPr>
        <w:pStyle w:val="B1"/>
      </w:pPr>
      <w:r>
        <w:t>-</w:t>
      </w:r>
      <w:r>
        <w:tab/>
        <w:t>store the subscription.</w:t>
      </w:r>
    </w:p>
    <w:p w14:paraId="1B3798C8" w14:textId="77777777" w:rsidR="00A10B25" w:rsidRDefault="00A10B25">
      <w:pPr>
        <w:rPr>
          <w:rFonts w:eastAsia="等线"/>
        </w:rPr>
      </w:pPr>
      <w:r>
        <w:rPr>
          <w:rFonts w:eastAsia="等线"/>
        </w:rPr>
        <w:t>If the RE-NWDAF successfully processed and accepted the received HTTP PUT request, the RE-</w:t>
      </w:r>
      <w:r>
        <w:t>NWDAF</w:t>
      </w:r>
      <w:r>
        <w:rPr>
          <w:rFonts w:eastAsia="等线"/>
        </w:rPr>
        <w:t xml:space="preserve"> shall update an "Individual NWDAF </w:t>
      </w:r>
      <w:r>
        <w:t>Roaming Analytics</w:t>
      </w:r>
      <w:r>
        <w:rPr>
          <w:rFonts w:eastAsia="等线"/>
        </w:rPr>
        <w:t xml:space="preserve"> Subscription" resource, and shall respond with:</w:t>
      </w:r>
    </w:p>
    <w:p w14:paraId="3EECE64E" w14:textId="77777777" w:rsidR="00A10B25" w:rsidRDefault="00A10B25">
      <w:pPr>
        <w:pStyle w:val="B1"/>
        <w:rPr>
          <w:rFonts w:eastAsia="等线"/>
        </w:rPr>
      </w:pPr>
      <w:r>
        <w:t>a)</w:t>
      </w:r>
      <w:r>
        <w:tab/>
        <w:t>HTTP "200 OK" status code with the message body containing a representation of the updated subscription, as shown in figure 4.9.2.2.3-1, step 2a.</w:t>
      </w:r>
      <w:r>
        <w:rPr>
          <w:rFonts w:eastAsia="等线"/>
        </w:rPr>
        <w:t xml:space="preserve"> If </w:t>
      </w:r>
      <w:r>
        <w:rPr>
          <w:lang w:eastAsia="zh-CN"/>
        </w:rPr>
        <w:t xml:space="preserve">not all the requested analytics events in the </w:t>
      </w:r>
      <w:r>
        <w:t>subscription</w:t>
      </w:r>
      <w:r>
        <w:rPr>
          <w:lang w:eastAsia="zh-CN"/>
        </w:rPr>
        <w:t xml:space="preserve"> are modified successfully</w:t>
      </w:r>
      <w:r>
        <w:rPr>
          <w:rFonts w:eastAsia="等线"/>
        </w:rPr>
        <w:t xml:space="preserve">, then the RE-NWDAF may include the </w:t>
      </w:r>
      <w:r>
        <w:t>"</w:t>
      </w:r>
      <w:r>
        <w:rPr>
          <w:rFonts w:hint="eastAsia"/>
          <w:lang w:eastAsia="zh-CN"/>
        </w:rPr>
        <w:t>f</w:t>
      </w:r>
      <w:r>
        <w:rPr>
          <w:lang w:eastAsia="zh-CN"/>
        </w:rPr>
        <w:t>ailEventReports</w:t>
      </w:r>
      <w:r>
        <w:t>"</w:t>
      </w:r>
      <w:r>
        <w:rPr>
          <w:rFonts w:eastAsia="等线"/>
        </w:rPr>
        <w:t xml:space="preserve"> </w:t>
      </w:r>
      <w:r>
        <w:t>attribute</w:t>
      </w:r>
      <w:r>
        <w:rPr>
          <w:rFonts w:eastAsia="等线"/>
        </w:rPr>
        <w:t xml:space="preserve"> indicating the event(s) for which the modification failed and the associated reason(s). If the immediate reporting indication in the "immRep" attribute within the "evtReq" attribute was set to true in the request, the RE-NWDAF shall include the reports of the events subscribed, if available, in the HTTP PUT response within the "roamEventNotifs" attribute</w:t>
      </w:r>
      <w:r>
        <w:t>; or</w:t>
      </w:r>
    </w:p>
    <w:p w14:paraId="214C1A46" w14:textId="77777777" w:rsidR="00A10B25" w:rsidRDefault="00A10B25">
      <w:pPr>
        <w:pStyle w:val="B1"/>
      </w:pPr>
      <w:r>
        <w:t>b)</w:t>
      </w:r>
      <w:r>
        <w:tab/>
        <w:t xml:space="preserve">HTTP "204 No Content" status code, as shown in figure 4.9.2.2.3-1, step 2b. </w:t>
      </w:r>
    </w:p>
    <w:p w14:paraId="7F98C465" w14:textId="77777777" w:rsidR="003E1F9F" w:rsidRPr="00F710E9" w:rsidRDefault="003E1F9F" w:rsidP="003E1F9F">
      <w:r w:rsidRPr="00F710E9">
        <w:t>If errors occur when processing the HTTP PUT request, the RE-NWDAF shall send an HTTP error response as specified in clause 5.</w:t>
      </w:r>
      <w:r>
        <w:t>8</w:t>
      </w:r>
      <w:r w:rsidRPr="00F710E9">
        <w:t>.7.</w:t>
      </w:r>
    </w:p>
    <w:p w14:paraId="2133A5CD" w14:textId="77777777" w:rsidR="003513BE" w:rsidRPr="00F710E9" w:rsidRDefault="003513BE" w:rsidP="003513BE">
      <w:r w:rsidRPr="00F710E9">
        <w:t xml:space="preserve">If the analytics target period provided in the body of the HTTP PUT request includes the start time in the past and the end time in the future, the </w:t>
      </w:r>
      <w:r>
        <w:t>RE-</w:t>
      </w:r>
      <w:r w:rsidRPr="00063904">
        <w:t>NWDAF</w:t>
      </w:r>
      <w:r w:rsidRPr="00F710E9">
        <w:t xml:space="preserve"> shall reject the request with an HTTP "400 Bad Request" response including the "cause" attribute set to "BOTH_STAT_PRED_NOT_ALLOWED".</w:t>
      </w:r>
    </w:p>
    <w:p w14:paraId="54FCA23B" w14:textId="77777777" w:rsidR="003E1F9F" w:rsidRDefault="003E1F9F" w:rsidP="003E1F9F">
      <w:r w:rsidRPr="00F710E9">
        <w:t>If the statistics in the past are requested but the necessary data to perform the service is unavailable, the RE-NWDAF shall reject the request with an HTTP "500 Internal Server Error" response including the "cause" attribute set to "UNAVAILABLE_DATA".</w:t>
      </w:r>
    </w:p>
    <w:p w14:paraId="7AE894A3" w14:textId="77777777" w:rsidR="003E1F9F" w:rsidRPr="00B3182C" w:rsidRDefault="003E1F9F" w:rsidP="003E1F9F">
      <w:pPr>
        <w:rPr>
          <w:rFonts w:eastAsia="等线"/>
        </w:rPr>
      </w:pPr>
      <w:r>
        <w:rPr>
          <w:rFonts w:eastAsia="等线"/>
        </w:rPr>
        <w:t xml:space="preserve">If the RE-NWDAF does not accept the request upon missing the corresponding roaming agreements, the RE-NWDAF </w:t>
      </w:r>
      <w:r w:rsidRPr="00A801F9">
        <w:t>shall reject the request with an HTTP "</w:t>
      </w:r>
      <w:r>
        <w:t>403</w:t>
      </w:r>
      <w:r w:rsidRPr="00A801F9">
        <w:t xml:space="preserve"> </w:t>
      </w:r>
      <w:r>
        <w:t>Forbidden</w:t>
      </w:r>
      <w:r w:rsidRPr="00A801F9">
        <w:t>" response including the "cause" attribute set to "</w:t>
      </w:r>
      <w:r>
        <w:t>MISSING_ROAMING_AGREEMENT</w:t>
      </w:r>
      <w:r w:rsidRPr="00A801F9">
        <w:t>".</w:t>
      </w:r>
    </w:p>
    <w:p w14:paraId="479B1DF0" w14:textId="77777777" w:rsidR="00A10B25" w:rsidRDefault="00A10B25">
      <w:r>
        <w:t>If the RE-NWDAF determines that the received HTTP PUT request needs to be redirected, the RE-NWDAF shall send an HTTP redirect response as specified in clause </w:t>
      </w:r>
      <w:r>
        <w:rPr>
          <w:lang w:eastAsia="zh-CN"/>
        </w:rPr>
        <w:t xml:space="preserve">6.10.9 of </w:t>
      </w:r>
      <w:r>
        <w:rPr>
          <w:lang w:val="en-US"/>
        </w:rPr>
        <w:t>3GPP TS 29.500 [6]</w:t>
      </w:r>
      <w:r>
        <w:t>.</w:t>
      </w:r>
    </w:p>
    <w:p w14:paraId="24D8493F" w14:textId="77777777" w:rsidR="009B01A5" w:rsidRDefault="009B01A5" w:rsidP="009B01A5">
      <w:pPr>
        <w:rPr>
          <w:lang w:eastAsia="zh-CN"/>
        </w:rPr>
      </w:pPr>
      <w:r>
        <w:rPr>
          <w:lang w:eastAsia="zh-CN"/>
        </w:rPr>
        <w:t xml:space="preserve">When the </w:t>
      </w:r>
      <w:r>
        <w:t>"</w:t>
      </w:r>
      <w:r>
        <w:rPr>
          <w:lang w:eastAsia="zh-CN"/>
        </w:rPr>
        <w:t xml:space="preserve">notifFlag" attribute </w:t>
      </w:r>
      <w:r>
        <w:rPr>
          <w:rFonts w:eastAsia="等线"/>
        </w:rPr>
        <w:t>within the "evtReq" attribute</w:t>
      </w:r>
      <w:r>
        <w:rPr>
          <w:lang w:eastAsia="zh-CN"/>
        </w:rPr>
        <w:t xml:space="preserve"> is set to </w:t>
      </w:r>
      <w:r>
        <w:t>"DEACTIVATE"</w:t>
      </w:r>
      <w:r>
        <w:rPr>
          <w:lang w:eastAsia="zh-CN"/>
        </w:rPr>
        <w:t xml:space="preserve"> in the request, the RE-NWDAF shall mute the event notification and store the available events until the NF service consumer requests to retrieve them </w:t>
      </w:r>
      <w:r>
        <w:rPr>
          <w:lang w:eastAsia="zh-CN"/>
        </w:rPr>
        <w:lastRenderedPageBreak/>
        <w:t xml:space="preserve">by setting the "notifFlag" attribute to "RETRIEVAL" or until a muting exception occurs (e.g. full buffer); if the "notifFlag" attribute is set to the value </w:t>
      </w:r>
      <w:r>
        <w:t>"RETRIEVAL"</w:t>
      </w:r>
      <w:r>
        <w:rPr>
          <w:lang w:eastAsia="zh-CN"/>
        </w:rPr>
        <w:t>, the RE-NWDAF shall send the stored events to the NF service consumer, mute the event notification again and store available events; if the "notifFlag" attribute is set to the value "ACTIVATE" and the event notifications are muted (due to a previously received "DECATIVATE" value), the RE-NWDAF shall unmute the event notification, i.e. start sending again notifications for available events.</w:t>
      </w:r>
    </w:p>
    <w:p w14:paraId="187EAD30" w14:textId="77777777" w:rsidR="00A10B25" w:rsidRDefault="00A10B25">
      <w:pPr>
        <w:keepNext/>
        <w:keepLines/>
        <w:spacing w:before="120"/>
        <w:ind w:left="1418" w:hanging="1418"/>
        <w:outlineLvl w:val="3"/>
        <w:rPr>
          <w:rFonts w:ascii="Arial" w:hAnsi="Arial"/>
          <w:sz w:val="24"/>
        </w:rPr>
      </w:pPr>
      <w:r>
        <w:rPr>
          <w:rFonts w:ascii="Arial" w:hAnsi="Arial"/>
          <w:sz w:val="24"/>
        </w:rPr>
        <w:t>4.9.2.3</w:t>
      </w:r>
      <w:r>
        <w:rPr>
          <w:rFonts w:ascii="Arial" w:hAnsi="Arial"/>
          <w:sz w:val="24"/>
        </w:rPr>
        <w:tab/>
        <w:t>Nnwdaf_RoamingAnalytics_Unsubscribe service operation</w:t>
      </w:r>
    </w:p>
    <w:p w14:paraId="4EC6BFDC" w14:textId="77777777" w:rsidR="00A10B25" w:rsidRDefault="00A10B25">
      <w:pPr>
        <w:keepNext/>
        <w:keepLines/>
        <w:spacing w:before="120"/>
        <w:ind w:left="1701" w:hanging="1701"/>
        <w:outlineLvl w:val="4"/>
        <w:rPr>
          <w:rFonts w:ascii="Arial" w:hAnsi="Arial"/>
          <w:sz w:val="22"/>
        </w:rPr>
      </w:pPr>
      <w:r>
        <w:rPr>
          <w:rFonts w:ascii="Arial" w:hAnsi="Arial"/>
          <w:sz w:val="22"/>
        </w:rPr>
        <w:t>4.9.2.3.1</w:t>
      </w:r>
      <w:r>
        <w:rPr>
          <w:rFonts w:ascii="Arial" w:hAnsi="Arial"/>
          <w:sz w:val="22"/>
        </w:rPr>
        <w:tab/>
        <w:t>General</w:t>
      </w:r>
    </w:p>
    <w:p w14:paraId="39BB4851" w14:textId="77777777" w:rsidR="00A10B25" w:rsidRDefault="00A10B25">
      <w:r>
        <w:t>The Nnwdaf_RoamingAnalytics_Unsubscribe service operation is used by an NF service consumer to unsubscribe from event notifications related to roaming UE(s).</w:t>
      </w:r>
    </w:p>
    <w:p w14:paraId="60D22CC2" w14:textId="77777777" w:rsidR="00A10B25" w:rsidRDefault="00A10B25">
      <w:pPr>
        <w:keepNext/>
        <w:keepLines/>
        <w:spacing w:before="120"/>
        <w:ind w:left="1701" w:hanging="1701"/>
        <w:outlineLvl w:val="4"/>
        <w:rPr>
          <w:rFonts w:ascii="Arial" w:hAnsi="Arial"/>
          <w:sz w:val="22"/>
        </w:rPr>
      </w:pPr>
      <w:r>
        <w:rPr>
          <w:rFonts w:ascii="Arial" w:hAnsi="Arial"/>
          <w:sz w:val="22"/>
        </w:rPr>
        <w:t>4.9.2.3.2</w:t>
      </w:r>
      <w:r>
        <w:rPr>
          <w:rFonts w:ascii="Arial" w:hAnsi="Arial"/>
          <w:sz w:val="22"/>
        </w:rPr>
        <w:tab/>
        <w:t xml:space="preserve">Unsubscribe from event notifications </w:t>
      </w:r>
    </w:p>
    <w:p w14:paraId="457E6475" w14:textId="77777777" w:rsidR="003513BE" w:rsidRDefault="003513BE" w:rsidP="003513BE">
      <w:pPr>
        <w:rPr>
          <w:rFonts w:eastAsia="等线"/>
        </w:rPr>
      </w:pPr>
      <w:r>
        <w:rPr>
          <w:rFonts w:eastAsia="等线"/>
        </w:rPr>
        <w:t xml:space="preserve">Figure 4.9.2.3.2-1 shows a scenario where the NF service consumer sends a request to </w:t>
      </w:r>
      <w:r w:rsidRPr="00063904">
        <w:rPr>
          <w:rFonts w:eastAsia="等线"/>
        </w:rPr>
        <w:t xml:space="preserve">the </w:t>
      </w:r>
      <w:r>
        <w:rPr>
          <w:rFonts w:eastAsia="等线"/>
        </w:rPr>
        <w:t>RE-</w:t>
      </w:r>
      <w:r w:rsidRPr="00063904">
        <w:rPr>
          <w:rFonts w:eastAsia="等线"/>
        </w:rPr>
        <w:t>NWDAF</w:t>
      </w:r>
      <w:r>
        <w:rPr>
          <w:rFonts w:eastAsia="等线"/>
        </w:rPr>
        <w:t xml:space="preserve"> to unsubscribe</w:t>
      </w:r>
      <w:r>
        <w:rPr>
          <w:rFonts w:eastAsia="Batang"/>
        </w:rPr>
        <w:t xml:space="preserve"> </w:t>
      </w:r>
      <w:r>
        <w:rPr>
          <w:rFonts w:eastAsia="等线"/>
        </w:rPr>
        <w:t>from event notifications related to roaming UE(s).</w:t>
      </w:r>
    </w:p>
    <w:p w14:paraId="35946055" w14:textId="77777777" w:rsidR="00A10B25" w:rsidRDefault="00A10B25">
      <w:pPr>
        <w:pStyle w:val="TH"/>
        <w:rPr>
          <w:b w:val="0"/>
          <w:lang w:eastAsia="zh-CN"/>
        </w:rPr>
      </w:pPr>
      <w:r>
        <w:rPr>
          <w:rFonts w:eastAsia="等线"/>
          <w:lang w:val="en-US" w:eastAsia="zh-CN"/>
        </w:rPr>
        <w:object w:dxaOrig="9007" w:dyaOrig="2961" w14:anchorId="264E4D4D">
          <v:shape id="Object 54" o:spid="_x0000_i1088" type="#_x0000_t75" style="width:483.35pt;height:158.4pt;mso-position-horizontal-relative:page;mso-position-vertical-relative:page" o:ole="">
            <v:imagedata r:id="rId87" o:title=""/>
          </v:shape>
          <o:OLEObject Type="Embed" ProgID="Visio.Drawing.15" ShapeID="Object 54" DrawAspect="Content" ObjectID="_1810066027" r:id="rId99"/>
        </w:object>
      </w:r>
    </w:p>
    <w:p w14:paraId="18406A48" w14:textId="77777777" w:rsidR="00A10B25" w:rsidRDefault="00A10B25" w:rsidP="0076721C">
      <w:pPr>
        <w:pStyle w:val="TF"/>
      </w:pPr>
      <w:r>
        <w:t>Figure 4.9.2.3.2-1: NF service consumer unsubscribes from notifications</w:t>
      </w:r>
    </w:p>
    <w:p w14:paraId="7A3A17FB" w14:textId="77777777" w:rsidR="00A10B25" w:rsidRDefault="00A10B25">
      <w:pPr>
        <w:rPr>
          <w:rFonts w:eastAsia="等线"/>
        </w:rPr>
      </w:pPr>
      <w:r>
        <w:rPr>
          <w:rFonts w:eastAsia="等线"/>
        </w:rPr>
        <w:t>The NF service consumer shall invoke the Nnwdaf_</w:t>
      </w:r>
      <w:r>
        <w:t>RoamingAnalytics</w:t>
      </w:r>
      <w:r>
        <w:rPr>
          <w:rFonts w:eastAsia="等线"/>
        </w:rPr>
        <w:t>_Unsubscribe service operation to unsubscribe to event notifications related to roaming UE(s) by sending an HTTP DELETE request with: "{apiRoot}/nnwdaf-</w:t>
      </w:r>
      <w:r>
        <w:t>roaminganalytics</w:t>
      </w:r>
      <w:r>
        <w:rPr>
          <w:rFonts w:eastAsia="等线"/>
        </w:rPr>
        <w:t>/&lt;apiVersion&gt;/subscriptions/{subscriptionId}" as Resource URI, where "{subscriptionId}" is the event subscriptionId of the existing subscription that is to be deleted.</w:t>
      </w:r>
    </w:p>
    <w:p w14:paraId="21B6F17F" w14:textId="77777777" w:rsidR="00A10B25" w:rsidRDefault="00A10B25">
      <w:pPr>
        <w:rPr>
          <w:rFonts w:eastAsia="等线"/>
        </w:rPr>
      </w:pPr>
      <w:r>
        <w:rPr>
          <w:rFonts w:eastAsia="等线"/>
        </w:rPr>
        <w:t>Upon the reception of an HTTP DELETE request with: "{apiRoot}/nnwdaf-roaminganalytics/&lt;apiVersion&gt;/subscriptions/{subscriptionId}" as Resource URI,</w:t>
      </w:r>
      <w:r>
        <w:t xml:space="preserve"> </w:t>
      </w:r>
      <w:r>
        <w:rPr>
          <w:rFonts w:eastAsia="等线"/>
        </w:rPr>
        <w:t xml:space="preserve">if the RE-NWDAF successfully processed and accepted the received HTTP DELETE request, the RE-NWDAF shall: </w:t>
      </w:r>
    </w:p>
    <w:p w14:paraId="025B4B9D" w14:textId="77777777" w:rsidR="00A10B25" w:rsidRDefault="00A10B25">
      <w:pPr>
        <w:pStyle w:val="B1"/>
      </w:pPr>
      <w:r>
        <w:t>-</w:t>
      </w:r>
      <w:r>
        <w:tab/>
        <w:t>remove the corresponding subscription; and</w:t>
      </w:r>
    </w:p>
    <w:p w14:paraId="03707B8A" w14:textId="77777777" w:rsidR="00A10B25" w:rsidRDefault="00A10B25">
      <w:pPr>
        <w:pStyle w:val="B1"/>
      </w:pPr>
      <w:r>
        <w:t>-</w:t>
      </w:r>
      <w:r>
        <w:tab/>
        <w:t>respond</w:t>
      </w:r>
      <w:r>
        <w:rPr>
          <w:rFonts w:eastAsia="Batang"/>
        </w:rPr>
        <w:t xml:space="preserve"> </w:t>
      </w:r>
      <w:r>
        <w:t>with HTTP "204 No Content" status code.</w:t>
      </w:r>
    </w:p>
    <w:p w14:paraId="0D4004C7" w14:textId="77777777" w:rsidR="003E1F9F" w:rsidRPr="003D4E32" w:rsidRDefault="003E1F9F" w:rsidP="003E1F9F">
      <w:pPr>
        <w:rPr>
          <w:rFonts w:eastAsia="等线"/>
        </w:rPr>
      </w:pPr>
      <w:r w:rsidRPr="003D4E32">
        <w:rPr>
          <w:rFonts w:eastAsia="等线"/>
        </w:rPr>
        <w:t>If errors occur when processing the HTTP DELETE request, the RE-NWDAF shall send an HTTP error response as specified in clause 5.</w:t>
      </w:r>
      <w:r>
        <w:rPr>
          <w:rFonts w:eastAsia="等线"/>
        </w:rPr>
        <w:t>8</w:t>
      </w:r>
      <w:r w:rsidRPr="003D4E32">
        <w:rPr>
          <w:rFonts w:eastAsia="等线"/>
        </w:rPr>
        <w:t>.7.</w:t>
      </w:r>
    </w:p>
    <w:p w14:paraId="49CDE796" w14:textId="77777777" w:rsidR="003513BE" w:rsidRDefault="003513BE" w:rsidP="003513BE">
      <w:bookmarkStart w:id="3794" w:name="_Toc164920726"/>
      <w:bookmarkStart w:id="3795" w:name="_Toc170120268"/>
      <w:bookmarkStart w:id="3796" w:name="_Toc175858513"/>
      <w:bookmarkStart w:id="3797" w:name="_Toc175859586"/>
      <w:bookmarkStart w:id="3798" w:name="_Toc180605876"/>
      <w:bookmarkStart w:id="3799" w:name="_Toc185517130"/>
      <w:bookmarkStart w:id="3800" w:name="_Toc191576181"/>
      <w:bookmarkStart w:id="3801" w:name="_Toc191576921"/>
      <w:bookmarkStart w:id="3802" w:name="_Toc192879991"/>
      <w:bookmarkStart w:id="3803" w:name="_Toc195814874"/>
      <w:r>
        <w:t xml:space="preserve">If the RE-NWDAF determines that the received HTTP </w:t>
      </w:r>
      <w:r>
        <w:rPr>
          <w:rFonts w:eastAsia="等线"/>
        </w:rPr>
        <w:t>DELETE</w:t>
      </w:r>
      <w:r>
        <w:t xml:space="preserve"> request needs to be redirected, </w:t>
      </w:r>
      <w:r w:rsidRPr="00EF0CE2">
        <w:t xml:space="preserve">the </w:t>
      </w:r>
      <w:r>
        <w:t>RE-</w:t>
      </w:r>
      <w:r w:rsidRPr="00EF0CE2">
        <w:t>NWDAF</w:t>
      </w:r>
      <w:r>
        <w:t xml:space="preserve"> shall send an HTTP redirect response as specified in clause </w:t>
      </w:r>
      <w:r>
        <w:rPr>
          <w:lang w:eastAsia="zh-CN"/>
        </w:rPr>
        <w:t xml:space="preserve">6.10.9 of </w:t>
      </w:r>
      <w:r>
        <w:rPr>
          <w:lang w:val="en-US"/>
        </w:rPr>
        <w:t>3GPP TS 29.500 [6]</w:t>
      </w:r>
      <w:r>
        <w:t>.</w:t>
      </w:r>
    </w:p>
    <w:p w14:paraId="6DC584F2" w14:textId="77777777" w:rsidR="00A10B25" w:rsidRDefault="00A10B25">
      <w:pPr>
        <w:pStyle w:val="4"/>
      </w:pPr>
      <w:bookmarkStart w:id="3804" w:name="_Toc199452821"/>
      <w:r>
        <w:t>4.9.2.4</w:t>
      </w:r>
      <w:r>
        <w:tab/>
        <w:t>Nnwdaf_RoamingAnalytics_Notify service operation</w:t>
      </w:r>
      <w:bookmarkEnd w:id="3794"/>
      <w:bookmarkEnd w:id="3795"/>
      <w:bookmarkEnd w:id="3796"/>
      <w:bookmarkEnd w:id="3797"/>
      <w:bookmarkEnd w:id="3798"/>
      <w:bookmarkEnd w:id="3799"/>
      <w:bookmarkEnd w:id="3800"/>
      <w:bookmarkEnd w:id="3801"/>
      <w:bookmarkEnd w:id="3802"/>
      <w:bookmarkEnd w:id="3803"/>
      <w:bookmarkEnd w:id="3804"/>
    </w:p>
    <w:p w14:paraId="4D8A1DE4" w14:textId="77777777" w:rsidR="00A10B25" w:rsidRDefault="00A10B25">
      <w:pPr>
        <w:pStyle w:val="5"/>
      </w:pPr>
      <w:bookmarkStart w:id="3805" w:name="_Toc164920727"/>
      <w:bookmarkStart w:id="3806" w:name="_Toc170120269"/>
      <w:bookmarkStart w:id="3807" w:name="_Toc175858514"/>
      <w:bookmarkStart w:id="3808" w:name="_Toc175859587"/>
      <w:bookmarkStart w:id="3809" w:name="_Toc180605877"/>
      <w:bookmarkStart w:id="3810" w:name="_Toc185517131"/>
      <w:bookmarkStart w:id="3811" w:name="_Toc191576182"/>
      <w:bookmarkStart w:id="3812" w:name="_Toc191576922"/>
      <w:bookmarkStart w:id="3813" w:name="_Toc192879992"/>
      <w:bookmarkStart w:id="3814" w:name="_Toc195814875"/>
      <w:bookmarkStart w:id="3815" w:name="_Toc199452822"/>
      <w:r>
        <w:t>4.9.2.4.1</w:t>
      </w:r>
      <w:r>
        <w:tab/>
        <w:t>General</w:t>
      </w:r>
      <w:bookmarkEnd w:id="3805"/>
      <w:bookmarkEnd w:id="3806"/>
      <w:bookmarkEnd w:id="3807"/>
      <w:bookmarkEnd w:id="3808"/>
      <w:bookmarkEnd w:id="3809"/>
      <w:bookmarkEnd w:id="3810"/>
      <w:bookmarkEnd w:id="3811"/>
      <w:bookmarkEnd w:id="3812"/>
      <w:bookmarkEnd w:id="3813"/>
      <w:bookmarkEnd w:id="3814"/>
      <w:bookmarkEnd w:id="3815"/>
    </w:p>
    <w:p w14:paraId="46A995E9" w14:textId="77777777" w:rsidR="00A10B25" w:rsidRDefault="00A10B25">
      <w:r>
        <w:rPr>
          <w:lang w:eastAsia="zh-CN"/>
        </w:rPr>
        <w:t>The Nnwdaf_</w:t>
      </w:r>
      <w:r>
        <w:t>RoamingAnalytics</w:t>
      </w:r>
      <w:r>
        <w:rPr>
          <w:lang w:eastAsia="zh-CN"/>
        </w:rPr>
        <w:t>_Notify service operation is used by an RE-NWDAF to notify NF consumers about subscribed events related to roaming UE(s).</w:t>
      </w:r>
    </w:p>
    <w:p w14:paraId="72E8DC90" w14:textId="77777777" w:rsidR="00D654A6" w:rsidRDefault="00D654A6" w:rsidP="00D654A6">
      <w:pPr>
        <w:pStyle w:val="5"/>
      </w:pPr>
      <w:bookmarkStart w:id="3816" w:name="_Toc104538956"/>
      <w:bookmarkStart w:id="3817" w:name="_Toc70550590"/>
      <w:bookmarkStart w:id="3818" w:name="_Toc59017894"/>
      <w:bookmarkStart w:id="3819" w:name="_Toc94064202"/>
      <w:bookmarkStart w:id="3820" w:name="_Toc112951078"/>
      <w:bookmarkStart w:id="3821" w:name="_Toc101244363"/>
      <w:bookmarkStart w:id="3822" w:name="_Toc36102424"/>
      <w:bookmarkStart w:id="3823" w:name="_Toc68168923"/>
      <w:bookmarkStart w:id="3824" w:name="_Toc28012783"/>
      <w:bookmarkStart w:id="3825" w:name="_Toc50031939"/>
      <w:bookmarkStart w:id="3826" w:name="_Toc85552933"/>
      <w:bookmarkStart w:id="3827" w:name="_Toc51762859"/>
      <w:bookmarkStart w:id="3828" w:name="_Toc148522549"/>
      <w:bookmarkStart w:id="3829" w:name="_Toc114133757"/>
      <w:bookmarkStart w:id="3830" w:name="_Toc98233587"/>
      <w:bookmarkStart w:id="3831" w:name="_Toc45134009"/>
      <w:bookmarkStart w:id="3832" w:name="_Toc145705645"/>
      <w:bookmarkStart w:id="3833" w:name="_Toc43563466"/>
      <w:bookmarkStart w:id="3834" w:name="_Toc83233036"/>
      <w:bookmarkStart w:id="3835" w:name="_Toc66231762"/>
      <w:bookmarkStart w:id="3836" w:name="_Toc56640926"/>
      <w:bookmarkStart w:id="3837" w:name="_Toc34266253"/>
      <w:bookmarkStart w:id="3838" w:name="_Toc136562324"/>
      <w:bookmarkStart w:id="3839" w:name="_Toc90655819"/>
      <w:bookmarkStart w:id="3840" w:name="_Toc113031618"/>
      <w:bookmarkStart w:id="3841" w:name="_Toc120702257"/>
      <w:bookmarkStart w:id="3842" w:name="_Toc85557032"/>
      <w:bookmarkStart w:id="3843" w:name="_Toc88667534"/>
      <w:bookmarkStart w:id="3844" w:name="_Toc138754158"/>
      <w:bookmarkStart w:id="3845" w:name="_Toc164920728"/>
      <w:bookmarkStart w:id="3846" w:name="_Toc170120270"/>
      <w:bookmarkStart w:id="3847" w:name="_Toc175858515"/>
      <w:bookmarkStart w:id="3848" w:name="_Toc175859588"/>
      <w:bookmarkStart w:id="3849" w:name="_Toc180605878"/>
      <w:bookmarkStart w:id="3850" w:name="_Toc185517132"/>
      <w:bookmarkStart w:id="3851" w:name="_Toc191576183"/>
      <w:bookmarkStart w:id="3852" w:name="_Toc191576923"/>
      <w:bookmarkStart w:id="3853" w:name="_Toc192879993"/>
      <w:bookmarkStart w:id="3854" w:name="_Toc195814876"/>
      <w:bookmarkStart w:id="3855" w:name="_Toc199452823"/>
      <w:r>
        <w:lastRenderedPageBreak/>
        <w:t>4.9.2.4.2</w:t>
      </w:r>
      <w:r>
        <w:tab/>
        <w:t>Notification about subscribed event</w:t>
      </w:r>
      <w:bookmarkEnd w:id="3845"/>
      <w:bookmarkEnd w:id="3846"/>
      <w:bookmarkEnd w:id="3847"/>
      <w:bookmarkEnd w:id="3848"/>
      <w:bookmarkEnd w:id="3849"/>
      <w:bookmarkEnd w:id="3850"/>
      <w:bookmarkEnd w:id="3851"/>
      <w:bookmarkEnd w:id="3852"/>
      <w:bookmarkEnd w:id="3853"/>
      <w:bookmarkEnd w:id="3854"/>
      <w:bookmarkEnd w:id="3855"/>
    </w:p>
    <w:p w14:paraId="6A62871B" w14:textId="77777777" w:rsidR="00D654A6" w:rsidRDefault="00D654A6" w:rsidP="00D654A6">
      <w:pPr>
        <w:rPr>
          <w:rFonts w:eastAsia="等线"/>
        </w:rPr>
      </w:pPr>
      <w:r>
        <w:rPr>
          <w:rFonts w:eastAsia="等线"/>
        </w:rPr>
        <w:t>Figure 4.9.2.</w:t>
      </w:r>
      <w:r>
        <w:rPr>
          <w:rFonts w:eastAsia="等线"/>
          <w:lang w:eastAsia="zh-CN"/>
        </w:rPr>
        <w:t>4</w:t>
      </w:r>
      <w:r>
        <w:rPr>
          <w:rFonts w:eastAsia="等线"/>
        </w:rPr>
        <w:t>.2-1 shows a scenario where the RE-N</w:t>
      </w:r>
      <w:r>
        <w:rPr>
          <w:rFonts w:eastAsia="等线"/>
          <w:lang w:val="en-US"/>
        </w:rPr>
        <w:t>WDAF</w:t>
      </w:r>
      <w:r>
        <w:rPr>
          <w:rFonts w:eastAsia="等线"/>
        </w:rPr>
        <w:t xml:space="preserve"> sends a request to the NF service consumer to notify</w:t>
      </w:r>
      <w:r>
        <w:rPr>
          <w:rFonts w:eastAsia="Batang"/>
        </w:rPr>
        <w:t xml:space="preserve"> </w:t>
      </w:r>
      <w:r>
        <w:rPr>
          <w:rFonts w:eastAsia="等线"/>
        </w:rPr>
        <w:t>for event notifications related to roaming UE(s).</w:t>
      </w:r>
    </w:p>
    <w:p w14:paraId="60E60E51" w14:textId="77777777" w:rsidR="00607DB3" w:rsidRDefault="00607DB3" w:rsidP="00607DB3">
      <w:pPr>
        <w:pStyle w:val="TH"/>
        <w:rPr>
          <w:rFonts w:eastAsia="等线"/>
        </w:rPr>
      </w:pPr>
      <w:r>
        <w:object w:dxaOrig="8671" w:dyaOrig="2370" w14:anchorId="1E1F124C">
          <v:shape id="_x0000_i1028" type="#_x0000_t75" style="width:433.25pt;height:118.35pt" o:ole="">
            <v:imagedata r:id="rId100" o:title=""/>
          </v:shape>
          <o:OLEObject Type="Embed" ProgID="Visio.Drawing.15" ShapeID="_x0000_i1028" DrawAspect="Content" ObjectID="_1810066028" r:id="rId101"/>
        </w:object>
      </w:r>
    </w:p>
    <w:p w14:paraId="74C02EC3" w14:textId="77777777" w:rsidR="00D654A6" w:rsidRDefault="00D654A6" w:rsidP="00D654A6">
      <w:pPr>
        <w:pStyle w:val="TF"/>
      </w:pPr>
      <w:r>
        <w:t>Figure 4.9.2.</w:t>
      </w:r>
      <w:r>
        <w:rPr>
          <w:rFonts w:hint="eastAsia"/>
          <w:lang w:eastAsia="zh-CN"/>
        </w:rPr>
        <w:t>4</w:t>
      </w:r>
      <w:r>
        <w:t>.2-1: RE-NWDAF notifies the</w:t>
      </w:r>
      <w:r>
        <w:rPr>
          <w:rFonts w:eastAsia="Batang"/>
        </w:rPr>
        <w:t xml:space="preserve"> </w:t>
      </w:r>
      <w:r>
        <w:t>subscribed event</w:t>
      </w:r>
    </w:p>
    <w:p w14:paraId="0BCED9EA" w14:textId="77777777" w:rsidR="00D654A6" w:rsidRDefault="00D654A6" w:rsidP="00D654A6">
      <w:pPr>
        <w:rPr>
          <w:rFonts w:eastAsia="等线"/>
        </w:rPr>
      </w:pPr>
      <w:r>
        <w:rPr>
          <w:rFonts w:eastAsia="等线"/>
        </w:rPr>
        <w:t>The RE-NWDAF shall invoke the Nnwdaf_RoamingAnalytics_Notify service operation to notify the subscribed event related to roaming UE(s) by sending an HTTP POST request with the "{notifUri}" that was received in the Nnwdaf_RoamingAnalytics_Subscribe service operation as Resource URI, as shown in figure 4.9.2.4.2-1, step 1.</w:t>
      </w:r>
    </w:p>
    <w:p w14:paraId="198AAF37" w14:textId="77777777" w:rsidR="00D654A6" w:rsidRDefault="00D654A6" w:rsidP="00D654A6">
      <w:pPr>
        <w:rPr>
          <w:rFonts w:eastAsia="等线"/>
        </w:rPr>
      </w:pPr>
      <w:r>
        <w:rPr>
          <w:rFonts w:eastAsia="等线"/>
          <w:lang w:eastAsia="zh-CN"/>
        </w:rPr>
        <w:t>If</w:t>
      </w:r>
      <w:r>
        <w:rPr>
          <w:rFonts w:eastAsia="等线"/>
        </w:rPr>
        <w:t xml:space="preserve"> </w:t>
      </w:r>
      <w:r>
        <w:rPr>
          <w:rFonts w:eastAsia="等线"/>
          <w:lang w:eastAsia="zh-CN"/>
        </w:rPr>
        <w:t>both</w:t>
      </w:r>
      <w:r>
        <w:rPr>
          <w:rFonts w:eastAsia="等线"/>
        </w:rPr>
        <w:t xml:space="preserve"> the repetition period ("repPeriod" or "repetitionPeriod") attribute and the "offsetPeriod" attribute were present in the subscription request for periodical notification, the RE-NWDAF shall produce a notification in every repetition period seconds, including the statistics in the past offset period if the "offsetPeriod" attribute value is negative, or including the prediction for the future offset period if the "offsetPeriod" attribute value is positive.</w:t>
      </w:r>
    </w:p>
    <w:p w14:paraId="78709636" w14:textId="77777777" w:rsidR="00D654A6" w:rsidRDefault="00D654A6" w:rsidP="00D654A6">
      <w:pPr>
        <w:rPr>
          <w:rFonts w:eastAsia="等线"/>
        </w:rPr>
      </w:pPr>
      <w:r>
        <w:rPr>
          <w:rFonts w:eastAsia="等线"/>
        </w:rPr>
        <w:t>The RoamingAnalyticsNotification data structure provided in the request body shall include:</w:t>
      </w:r>
    </w:p>
    <w:p w14:paraId="123F8F87" w14:textId="77777777" w:rsidR="00D654A6" w:rsidRDefault="00D654A6" w:rsidP="00D654A6">
      <w:pPr>
        <w:pStyle w:val="B1"/>
        <w:rPr>
          <w:rFonts w:eastAsia="等线"/>
        </w:rPr>
      </w:pPr>
      <w:r>
        <w:rPr>
          <w:rFonts w:eastAsia="等线"/>
        </w:rPr>
        <w:t>-</w:t>
      </w:r>
      <w:r>
        <w:rPr>
          <w:rFonts w:eastAsia="等线"/>
        </w:rPr>
        <w:tab/>
        <w:t>the notification correlation identifier as "notifCorrId" attribute;</w:t>
      </w:r>
    </w:p>
    <w:p w14:paraId="2B71F5E7" w14:textId="77777777" w:rsidR="00D654A6" w:rsidRDefault="00D654A6" w:rsidP="00D654A6">
      <w:pPr>
        <w:pStyle w:val="B1"/>
      </w:pPr>
      <w:r>
        <w:rPr>
          <w:rFonts w:eastAsia="等线"/>
        </w:rPr>
        <w:t>-</w:t>
      </w:r>
      <w:r>
        <w:rPr>
          <w:rFonts w:eastAsia="等线"/>
        </w:rPr>
        <w:tab/>
        <w:t>a</w:t>
      </w:r>
      <w:r>
        <w:t xml:space="preserve"> description of the notified event(s) as "roamE</w:t>
      </w:r>
      <w:r>
        <w:rPr>
          <w:lang w:eastAsia="en-GB"/>
        </w:rPr>
        <w:t xml:space="preserve">ventNotifs" attribute </w:t>
      </w:r>
      <w:r>
        <w:t>with the same contents as specified for the "eventNotifications" attribute in clause 4.2.2.4.2 but excluding the attributes that are indicated as non applicable in</w:t>
      </w:r>
      <w:r w:rsidR="00607DB3">
        <w:t xml:space="preserve"> Table 5.8.6.2.3-1.</w:t>
      </w:r>
    </w:p>
    <w:p w14:paraId="4DF359D0" w14:textId="77777777" w:rsidR="00D654A6" w:rsidRDefault="00D654A6" w:rsidP="00D654A6">
      <w:pPr>
        <w:pStyle w:val="NO"/>
      </w:pPr>
      <w:r>
        <w:t>NOTE:</w:t>
      </w:r>
      <w:r>
        <w:tab/>
        <w:t>The features mentioned in clause 4.2.2.4.2 are not relevant here.</w:t>
      </w:r>
    </w:p>
    <w:p w14:paraId="0BC95190" w14:textId="77777777" w:rsidR="00D654A6" w:rsidRDefault="00D654A6" w:rsidP="00D654A6">
      <w:r>
        <w:t>and may include:</w:t>
      </w:r>
    </w:p>
    <w:p w14:paraId="454AC25A" w14:textId="77777777" w:rsidR="00D654A6" w:rsidRDefault="00D654A6" w:rsidP="00D654A6">
      <w:pPr>
        <w:pStyle w:val="B1"/>
        <w:rPr>
          <w:rFonts w:eastAsia="等线"/>
        </w:rPr>
      </w:pPr>
      <w:r>
        <w:rPr>
          <w:lang w:eastAsia="zh-CN"/>
        </w:rPr>
        <w:t>-</w:t>
      </w:r>
      <w:r>
        <w:rPr>
          <w:lang w:eastAsia="zh-CN"/>
        </w:rPr>
        <w:tab/>
        <w:t>a cause for termination in the "termCause" attribute if the RE-NWDAF wants to request the termination of this subscription, i.e. to indicate that it will send no further notifications for it.</w:t>
      </w:r>
    </w:p>
    <w:p w14:paraId="600EC3A5" w14:textId="77777777" w:rsidR="00D654A6" w:rsidRDefault="00D654A6" w:rsidP="00D654A6">
      <w:pPr>
        <w:rPr>
          <w:lang w:eastAsia="en-GB"/>
        </w:rPr>
      </w:pPr>
      <w:r>
        <w:rPr>
          <w:lang w:eastAsia="en-GB"/>
        </w:rPr>
        <w:t xml:space="preserve">If </w:t>
      </w:r>
      <w:r>
        <w:rPr>
          <w:rFonts w:eastAsia="等线"/>
        </w:rPr>
        <w:t xml:space="preserve">the </w:t>
      </w:r>
      <w:r>
        <w:t>time when analytics information is needed has been provided (via the "timeAnaNeeded" attribute within the "extraReportReq" attribute) during the subscription for an event (via the "e</w:t>
      </w:r>
      <w:r>
        <w:rPr>
          <w:rFonts w:hint="eastAsia"/>
        </w:rPr>
        <w:t>vent</w:t>
      </w:r>
      <w:r>
        <w:t>" attribute within the EventSubscription data type), if the time when analytics information is needed is reached but the subscribed analytics information is not ready, the consumer does not need to wait for the analytics information any longer. In this case, the RE-NWDAF may send an HTTP POST request</w:t>
      </w:r>
      <w:r>
        <w:rPr>
          <w:rFonts w:eastAsia="等线"/>
        </w:rPr>
        <w:t xml:space="preserve"> as shown in step 1 of figure 4.9.2.4.2-1, </w:t>
      </w:r>
      <w:r>
        <w:t>which shall only provide</w:t>
      </w:r>
      <w:r>
        <w:rPr>
          <w:lang w:eastAsia="en-GB"/>
        </w:rPr>
        <w:t xml:space="preserve"> (within the EventNotification data type in the </w:t>
      </w:r>
      <w:r>
        <w:rPr>
          <w:rFonts w:eastAsia="等线"/>
        </w:rPr>
        <w:t>RoamingAnalyticsNotification data type) an indication of the failure event v</w:t>
      </w:r>
      <w:r>
        <w:t>ia the "e</w:t>
      </w:r>
      <w:r>
        <w:rPr>
          <w:rFonts w:hint="eastAsia"/>
        </w:rPr>
        <w:t>vent</w:t>
      </w:r>
      <w:r>
        <w:t xml:space="preserve">" attribute and the corresponding failure reason via a "failNotifyCode" attribute, and </w:t>
      </w:r>
      <w:r>
        <w:rPr>
          <w:rFonts w:eastAsia="等线"/>
        </w:rPr>
        <w:t xml:space="preserve">may also </w:t>
      </w:r>
      <w:r>
        <w:t xml:space="preserve">provide a </w:t>
      </w:r>
      <w:r>
        <w:rPr>
          <w:lang w:eastAsia="ko-KR"/>
        </w:rPr>
        <w:t xml:space="preserve">minimum time interval recommended by the RE-NWDAF </w:t>
      </w:r>
      <w:r>
        <w:rPr>
          <w:rFonts w:eastAsia="等线"/>
        </w:rPr>
        <w:t xml:space="preserve">for the event </w:t>
      </w:r>
      <w:r>
        <w:rPr>
          <w:lang w:eastAsia="ko-KR"/>
        </w:rPr>
        <w:t>via</w:t>
      </w:r>
      <w:r>
        <w:rPr>
          <w:rFonts w:eastAsia="等线"/>
        </w:rPr>
        <w:t xml:space="preserve"> a "rvWaitTime" attribute which will be</w:t>
      </w:r>
      <w:r>
        <w:rPr>
          <w:lang w:eastAsia="ko-KR"/>
        </w:rPr>
        <w:t xml:space="preserve"> used by the NF service consumer to determine the time when analytics information is needed</w:t>
      </w:r>
      <w:r>
        <w:t xml:space="preserve"> in similar future analytics subscriptions</w:t>
      </w:r>
      <w:r>
        <w:rPr>
          <w:rFonts w:eastAsia="等线"/>
        </w:rPr>
        <w:t>.</w:t>
      </w:r>
    </w:p>
    <w:p w14:paraId="31747FB0" w14:textId="77777777" w:rsidR="00D654A6" w:rsidRDefault="00D654A6" w:rsidP="00D654A6">
      <w:pPr>
        <w:rPr>
          <w:rFonts w:eastAsia="等线"/>
        </w:rPr>
      </w:pPr>
      <w:r>
        <w:rPr>
          <w:rFonts w:eastAsia="等线"/>
        </w:rPr>
        <w:t xml:space="preserve">Upon the reception of an HTTP POST request with: "{notifUri}" as Resource URI and RoamingAnalyticsNotification data structure as request body, if the NF service consumer successfully processed and accepted the received HTTP POST request, the NF service consumer shall: </w:t>
      </w:r>
    </w:p>
    <w:p w14:paraId="5D53483F" w14:textId="77777777" w:rsidR="00D654A6" w:rsidRDefault="00D654A6" w:rsidP="00D654A6">
      <w:pPr>
        <w:pStyle w:val="B1"/>
      </w:pPr>
      <w:r>
        <w:t>-</w:t>
      </w:r>
      <w:r>
        <w:tab/>
        <w:t>store the notification; and</w:t>
      </w:r>
    </w:p>
    <w:p w14:paraId="5F077366" w14:textId="77777777" w:rsidR="00D654A6" w:rsidRDefault="00D654A6" w:rsidP="00D654A6">
      <w:pPr>
        <w:pStyle w:val="B1"/>
      </w:pPr>
      <w:r>
        <w:t>-</w:t>
      </w:r>
      <w:r>
        <w:tab/>
        <w:t>respond with HTTP "204 No Content" status code.</w:t>
      </w:r>
    </w:p>
    <w:p w14:paraId="3BE2FA14" w14:textId="77777777" w:rsidR="003E1F9F" w:rsidRPr="003D4E32" w:rsidRDefault="003E1F9F" w:rsidP="003E1F9F">
      <w:pPr>
        <w:rPr>
          <w:rFonts w:eastAsia="等线"/>
        </w:rPr>
      </w:pPr>
      <w:r w:rsidRPr="003D4E32">
        <w:rPr>
          <w:rFonts w:eastAsia="等线"/>
        </w:rPr>
        <w:t>If errors occur when processing the HTTP POST request, the NF service consumer shall send an HTTP error response as specified in clause 5.</w:t>
      </w:r>
      <w:r>
        <w:rPr>
          <w:rFonts w:eastAsia="等线"/>
        </w:rPr>
        <w:t>8</w:t>
      </w:r>
      <w:r w:rsidRPr="003D4E32">
        <w:rPr>
          <w:rFonts w:eastAsia="等线"/>
        </w:rPr>
        <w:t>.7.</w:t>
      </w:r>
    </w:p>
    <w:p w14:paraId="0DA0ABEF" w14:textId="77777777" w:rsidR="00D654A6" w:rsidRDefault="00D654A6" w:rsidP="00D654A6">
      <w:r>
        <w:t xml:space="preserve">If the </w:t>
      </w:r>
      <w:r>
        <w:rPr>
          <w:rFonts w:eastAsia="等线"/>
        </w:rPr>
        <w:t>NF service consumer</w:t>
      </w:r>
      <w:r>
        <w:t xml:space="preserve"> determines that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03BC803B" w14:textId="77777777" w:rsidR="003D3655" w:rsidRPr="00311B21" w:rsidRDefault="003D3655" w:rsidP="003D3655">
      <w:pPr>
        <w:keepNext/>
        <w:keepLines/>
        <w:spacing w:before="180"/>
        <w:ind w:left="1134" w:hanging="1134"/>
        <w:outlineLvl w:val="1"/>
        <w:rPr>
          <w:rFonts w:ascii="Arial" w:hAnsi="Arial"/>
          <w:sz w:val="32"/>
        </w:rPr>
      </w:pPr>
      <w:r w:rsidRPr="00311B21">
        <w:rPr>
          <w:rFonts w:ascii="Arial" w:hAnsi="Arial"/>
          <w:sz w:val="32"/>
        </w:rPr>
        <w:lastRenderedPageBreak/>
        <w:t>4.</w:t>
      </w:r>
      <w:r>
        <w:rPr>
          <w:rFonts w:ascii="Arial" w:hAnsi="Arial"/>
          <w:sz w:val="32"/>
        </w:rPr>
        <w:t>10</w:t>
      </w:r>
      <w:r w:rsidRPr="00311B21">
        <w:rPr>
          <w:rFonts w:ascii="Arial" w:hAnsi="Arial"/>
          <w:sz w:val="32"/>
        </w:rPr>
        <w:tab/>
      </w:r>
      <w:r w:rsidRPr="00311B21">
        <w:rPr>
          <w:rFonts w:ascii="Arial" w:hAnsi="Arial"/>
          <w:sz w:val="32"/>
          <w:lang w:eastAsia="zh-CN"/>
        </w:rPr>
        <w:t>Nnwdaf_</w:t>
      </w:r>
      <w:r>
        <w:rPr>
          <w:rFonts w:ascii="Arial" w:hAnsi="Arial"/>
          <w:sz w:val="32"/>
          <w:lang w:eastAsia="zh-CN"/>
        </w:rPr>
        <w:t>VFLTraining</w:t>
      </w:r>
      <w:r w:rsidRPr="00311B21">
        <w:rPr>
          <w:rFonts w:ascii="Arial" w:hAnsi="Arial"/>
          <w:sz w:val="32"/>
        </w:rPr>
        <w:t xml:space="preserve"> Service</w:t>
      </w:r>
    </w:p>
    <w:p w14:paraId="71900FB4" w14:textId="77777777" w:rsidR="003D3655" w:rsidRPr="00311B21" w:rsidRDefault="003D3655" w:rsidP="003D3655">
      <w:pPr>
        <w:keepNext/>
        <w:keepLines/>
        <w:spacing w:before="120"/>
        <w:ind w:left="1134" w:hanging="1134"/>
        <w:outlineLvl w:val="2"/>
        <w:rPr>
          <w:rFonts w:ascii="Arial" w:hAnsi="Arial"/>
          <w:sz w:val="28"/>
        </w:rPr>
      </w:pPr>
      <w:r w:rsidRPr="00311B21">
        <w:rPr>
          <w:rFonts w:ascii="Arial" w:hAnsi="Arial"/>
          <w:sz w:val="28"/>
        </w:rPr>
        <w:t>4.</w:t>
      </w:r>
      <w:r>
        <w:rPr>
          <w:rFonts w:ascii="Arial" w:hAnsi="Arial"/>
          <w:sz w:val="28"/>
        </w:rPr>
        <w:t>10</w:t>
      </w:r>
      <w:r w:rsidRPr="00311B21">
        <w:rPr>
          <w:rFonts w:ascii="Arial" w:hAnsi="Arial"/>
          <w:sz w:val="28"/>
        </w:rPr>
        <w:t>.1</w:t>
      </w:r>
      <w:r w:rsidRPr="00311B21">
        <w:rPr>
          <w:rFonts w:ascii="Arial" w:hAnsi="Arial"/>
          <w:sz w:val="28"/>
        </w:rPr>
        <w:tab/>
        <w:t>Service Description</w:t>
      </w:r>
    </w:p>
    <w:p w14:paraId="3EB7560A" w14:textId="77777777" w:rsidR="003D3655" w:rsidRPr="00311B21" w:rsidRDefault="003D3655" w:rsidP="003D3655">
      <w:pPr>
        <w:keepNext/>
        <w:keepLines/>
        <w:spacing w:before="120"/>
        <w:ind w:left="1418" w:hanging="1418"/>
        <w:outlineLvl w:val="3"/>
        <w:rPr>
          <w:rFonts w:ascii="Arial" w:hAnsi="Arial"/>
          <w:sz w:val="24"/>
          <w:lang w:eastAsia="zh-CN"/>
        </w:rPr>
      </w:pPr>
      <w:r w:rsidRPr="00311B21">
        <w:rPr>
          <w:rFonts w:ascii="Arial" w:hAnsi="Arial"/>
          <w:sz w:val="24"/>
        </w:rPr>
        <w:t>4.</w:t>
      </w:r>
      <w:r>
        <w:rPr>
          <w:rFonts w:ascii="Arial" w:hAnsi="Arial"/>
          <w:sz w:val="24"/>
        </w:rPr>
        <w:t>10</w:t>
      </w:r>
      <w:r w:rsidRPr="00311B21">
        <w:rPr>
          <w:rFonts w:ascii="Arial" w:hAnsi="Arial"/>
          <w:sz w:val="24"/>
        </w:rPr>
        <w:t>.</w:t>
      </w:r>
      <w:r w:rsidRPr="00311B21">
        <w:rPr>
          <w:rFonts w:ascii="Arial" w:hAnsi="Arial" w:hint="eastAsia"/>
          <w:sz w:val="24"/>
          <w:lang w:eastAsia="zh-CN"/>
        </w:rPr>
        <w:t>1</w:t>
      </w:r>
      <w:r w:rsidRPr="00311B21">
        <w:rPr>
          <w:rFonts w:ascii="Arial" w:hAnsi="Arial"/>
          <w:sz w:val="24"/>
          <w:lang w:eastAsia="zh-CN"/>
        </w:rPr>
        <w:t>.1</w:t>
      </w:r>
      <w:r w:rsidRPr="00311B21">
        <w:rPr>
          <w:rFonts w:ascii="Arial" w:hAnsi="Arial"/>
          <w:sz w:val="24"/>
        </w:rPr>
        <w:tab/>
      </w:r>
      <w:r w:rsidRPr="00311B21">
        <w:rPr>
          <w:rFonts w:ascii="Arial" w:hAnsi="Arial" w:hint="eastAsia"/>
          <w:sz w:val="24"/>
          <w:lang w:eastAsia="zh-CN"/>
        </w:rPr>
        <w:t>Overview</w:t>
      </w:r>
    </w:p>
    <w:p w14:paraId="1A6C9BF8" w14:textId="77777777" w:rsidR="003D3655" w:rsidRPr="00311B21" w:rsidRDefault="003D3655" w:rsidP="003D3655">
      <w:r w:rsidRPr="00311B21">
        <w:t xml:space="preserve">The </w:t>
      </w:r>
      <w:r w:rsidRPr="00311B21">
        <w:rPr>
          <w:lang w:eastAsia="zh-CN"/>
        </w:rPr>
        <w:t>Nnwdaf_</w:t>
      </w:r>
      <w:r>
        <w:rPr>
          <w:lang w:eastAsia="zh-CN"/>
        </w:rPr>
        <w:t>VFLTraining</w:t>
      </w:r>
      <w:r w:rsidRPr="00311B21">
        <w:t xml:space="preserve"> service as defined in 3GPP TS 23.288 [17], is provided by the Network Data Analytics Function (NWDAF)</w:t>
      </w:r>
      <w:r>
        <w:t xml:space="preserve"> acting as VFL client</w:t>
      </w:r>
      <w:r w:rsidRPr="00311B21">
        <w:t>.</w:t>
      </w:r>
    </w:p>
    <w:p w14:paraId="53A846DE" w14:textId="77777777" w:rsidR="003D3655" w:rsidRPr="00311B21" w:rsidRDefault="003D3655" w:rsidP="003D3655">
      <w:r w:rsidRPr="00311B21">
        <w:t>This service</w:t>
      </w:r>
      <w:r>
        <w:t xml:space="preserve"> allows the NF service consumer to</w:t>
      </w:r>
      <w:r w:rsidRPr="00311B21">
        <w:t>:</w:t>
      </w:r>
    </w:p>
    <w:p w14:paraId="79B3A150" w14:textId="77777777" w:rsidR="003D3655" w:rsidRPr="00311B21" w:rsidRDefault="003D3655" w:rsidP="003D3655">
      <w:pPr>
        <w:pStyle w:val="B1"/>
      </w:pPr>
      <w:r w:rsidRPr="00311B21">
        <w:t>-</w:t>
      </w:r>
      <w:r w:rsidRPr="00311B21">
        <w:tab/>
      </w:r>
      <w:r>
        <w:t>check if the NWDAF</w:t>
      </w:r>
      <w:r>
        <w:rPr>
          <w:lang w:eastAsia="ja-JP"/>
        </w:rPr>
        <w:t xml:space="preserve"> can support given requirements for VFL</w:t>
      </w:r>
      <w:r>
        <w:t xml:space="preserve"> as a potential VFL client</w:t>
      </w:r>
      <w:r w:rsidRPr="00311B21">
        <w:rPr>
          <w:lang w:eastAsia="ja-JP"/>
        </w:rPr>
        <w:t>;</w:t>
      </w:r>
    </w:p>
    <w:p w14:paraId="7B408520" w14:textId="77777777" w:rsidR="003D3655" w:rsidRDefault="003D3655" w:rsidP="003D3655">
      <w:pPr>
        <w:pStyle w:val="B1"/>
      </w:pPr>
      <w:r w:rsidRPr="00311B21">
        <w:t>-</w:t>
      </w:r>
      <w:r w:rsidRPr="00311B21">
        <w:tab/>
      </w:r>
      <w:r>
        <w:t xml:space="preserve">subscribe to, unsubscribe from, and modify subscriptions to </w:t>
      </w:r>
      <w:r w:rsidRPr="0075097D">
        <w:t>VFL training information</w:t>
      </w:r>
      <w:r>
        <w:t>; and</w:t>
      </w:r>
    </w:p>
    <w:p w14:paraId="7540219F" w14:textId="77777777" w:rsidR="003D3655" w:rsidRPr="00D75373" w:rsidRDefault="003D3655" w:rsidP="003D3655">
      <w:pPr>
        <w:pStyle w:val="B1"/>
      </w:pPr>
      <w:r>
        <w:t>-</w:t>
      </w:r>
      <w:r w:rsidRPr="00D75373">
        <w:tab/>
        <w:t>be notified about events for corresponding VFL training subscriptions.</w:t>
      </w:r>
    </w:p>
    <w:p w14:paraId="3856BA7D"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w:t>
      </w:r>
      <w:r w:rsidRPr="00311B21">
        <w:rPr>
          <w:rFonts w:ascii="Arial" w:hAnsi="Arial" w:hint="eastAsia"/>
          <w:sz w:val="24"/>
        </w:rPr>
        <w:t>1</w:t>
      </w:r>
      <w:r w:rsidRPr="00311B21">
        <w:rPr>
          <w:rFonts w:ascii="Arial" w:hAnsi="Arial"/>
          <w:sz w:val="24"/>
        </w:rPr>
        <w:t>.2</w:t>
      </w:r>
      <w:r w:rsidRPr="00311B21">
        <w:rPr>
          <w:rFonts w:ascii="Arial" w:hAnsi="Arial" w:hint="eastAsia"/>
          <w:sz w:val="24"/>
        </w:rPr>
        <w:tab/>
      </w:r>
      <w:r w:rsidRPr="00311B21">
        <w:rPr>
          <w:rFonts w:ascii="Arial" w:hAnsi="Arial"/>
          <w:sz w:val="24"/>
        </w:rPr>
        <w:t>Service Architecture</w:t>
      </w:r>
    </w:p>
    <w:p w14:paraId="723D0C46" w14:textId="77777777" w:rsidR="003D3655" w:rsidRPr="00311B21" w:rsidRDefault="003D3655" w:rsidP="003D3655">
      <w:r w:rsidRPr="00311B21">
        <w:t>The 5G System Architecture is defined in 3GPP TS 23.501 [2]. The Network Data Analytics Exposure architecture is defined in 3GPP TS 23.288 [17].</w:t>
      </w:r>
    </w:p>
    <w:p w14:paraId="2B0CC27B" w14:textId="77777777" w:rsidR="003D3655" w:rsidRPr="00311B21" w:rsidRDefault="003D3655" w:rsidP="003D3655">
      <w:r w:rsidRPr="00311B21">
        <w:t>The Nnwdaf_</w:t>
      </w:r>
      <w:r>
        <w:t>VFLTraining</w:t>
      </w:r>
      <w:r w:rsidRPr="00311B21">
        <w:t xml:space="preserve"> service is part of the Nnwdaf service-based interface exhibited by the Network Data Analytics Function (NWDAF).</w:t>
      </w:r>
    </w:p>
    <w:p w14:paraId="238DB5A3" w14:textId="77777777" w:rsidR="003D3655" w:rsidRPr="00311B21" w:rsidRDefault="003D3655" w:rsidP="003D3655">
      <w:r w:rsidRPr="00311B21">
        <w:t>Known consumers of the Nnwdaf</w:t>
      </w:r>
      <w:r>
        <w:t>_VFLTraining</w:t>
      </w:r>
      <w:r w:rsidRPr="00311B21">
        <w:t xml:space="preserve"> service are:</w:t>
      </w:r>
    </w:p>
    <w:p w14:paraId="0E7DF699" w14:textId="77777777" w:rsidR="003D3655" w:rsidRDefault="003D3655" w:rsidP="003D3655">
      <w:pPr>
        <w:pStyle w:val="B1"/>
      </w:pPr>
      <w:r w:rsidRPr="00311B21">
        <w:t>-</w:t>
      </w:r>
      <w:r w:rsidRPr="00311B21">
        <w:tab/>
        <w:t>Network Data Analytics Function (NWDAF)</w:t>
      </w:r>
      <w:r>
        <w:t>.</w:t>
      </w:r>
    </w:p>
    <w:p w14:paraId="116A10E5" w14:textId="77777777" w:rsidR="003D3655" w:rsidRDefault="003D3655" w:rsidP="003D3655">
      <w:pPr>
        <w:pStyle w:val="B1"/>
      </w:pPr>
      <w:r w:rsidRPr="00311B21">
        <w:t>-</w:t>
      </w:r>
      <w:r w:rsidRPr="00311B21">
        <w:tab/>
      </w:r>
      <w:r>
        <w:t>Application</w:t>
      </w:r>
      <w:r w:rsidRPr="00311B21">
        <w:t xml:space="preserve"> Function (</w:t>
      </w:r>
      <w:r>
        <w:t>A</w:t>
      </w:r>
      <w:r w:rsidRPr="00311B21">
        <w:t>F)</w:t>
      </w:r>
      <w:r>
        <w:t>.</w:t>
      </w:r>
    </w:p>
    <w:p w14:paraId="2D16D558" w14:textId="77777777" w:rsidR="003D3655" w:rsidRPr="00311B21" w:rsidRDefault="003D3655" w:rsidP="003D3655">
      <w:pPr>
        <w:pStyle w:val="B1"/>
      </w:pPr>
      <w:r w:rsidRPr="00311B21">
        <w:t>-</w:t>
      </w:r>
      <w:r w:rsidRPr="00311B21">
        <w:tab/>
        <w:t xml:space="preserve">Network </w:t>
      </w:r>
      <w:r>
        <w:t>Exposure</w:t>
      </w:r>
      <w:r w:rsidRPr="00311B21">
        <w:t xml:space="preserve"> Function (N</w:t>
      </w:r>
      <w:r>
        <w:t>E</w:t>
      </w:r>
      <w:r w:rsidRPr="00311B21">
        <w:t>F)</w:t>
      </w:r>
      <w:r>
        <w:t>.</w:t>
      </w:r>
    </w:p>
    <w:p w14:paraId="600354A1" w14:textId="77777777" w:rsidR="003D3655" w:rsidRPr="00311B21" w:rsidRDefault="003D3655" w:rsidP="003D3655">
      <w:pPr>
        <w:keepNext/>
        <w:keepLines/>
        <w:spacing w:before="60"/>
        <w:jc w:val="center"/>
        <w:rPr>
          <w:rFonts w:ascii="Arial" w:hAnsi="Arial"/>
          <w:b/>
          <w:lang w:val="en-US" w:eastAsia="zh-CN"/>
        </w:rPr>
      </w:pPr>
      <w:r w:rsidRPr="00311B21">
        <w:rPr>
          <w:rFonts w:ascii="Arial" w:hAnsi="Arial"/>
          <w:b/>
        </w:rPr>
        <w:fldChar w:fldCharType="begin"/>
      </w:r>
      <w:r w:rsidRPr="00311B21">
        <w:rPr>
          <w:rFonts w:ascii="Arial" w:hAnsi="Arial"/>
          <w:b/>
        </w:rPr>
        <w:fldChar w:fldCharType="end"/>
      </w:r>
    </w:p>
    <w:p w14:paraId="7AD27F26" w14:textId="77777777" w:rsidR="003D3655" w:rsidRPr="00311B21" w:rsidRDefault="003D3655" w:rsidP="003D3655">
      <w:pPr>
        <w:keepNext/>
        <w:keepLines/>
        <w:spacing w:before="60"/>
        <w:jc w:val="center"/>
        <w:rPr>
          <w:rFonts w:ascii="Arial" w:hAnsi="Arial"/>
          <w:b/>
          <w:lang w:val="en-US"/>
        </w:rPr>
      </w:pPr>
      <w:r w:rsidRPr="00311B21">
        <w:rPr>
          <w:rFonts w:ascii="Arial" w:hAnsi="Arial"/>
          <w:b/>
          <w:lang w:val="en-US" w:eastAsia="zh-CN"/>
        </w:rPr>
        <w:object w:dxaOrig="4008" w:dyaOrig="2118" w14:anchorId="114701B0">
          <v:shape id="_x0000_i1102" type="#_x0000_t75" style="width:226.65pt;height:118.95pt" o:ole="">
            <v:imagedata r:id="rId102" o:title=""/>
          </v:shape>
          <o:OLEObject Type="Embed" ProgID="Visio.Drawing.15" ShapeID="_x0000_i1102" DrawAspect="Content" ObjectID="_1810066029" r:id="rId103"/>
        </w:object>
      </w:r>
    </w:p>
    <w:p w14:paraId="7864CCC3"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.1.2-1</w:t>
      </w:r>
      <w:r w:rsidRPr="00311B21">
        <w:rPr>
          <w:rFonts w:ascii="Arial" w:hAnsi="Arial"/>
          <w:b/>
          <w:lang w:eastAsia="zh-CN"/>
        </w:rPr>
        <w:t>:</w:t>
      </w:r>
      <w:r w:rsidRPr="00311B21">
        <w:rPr>
          <w:rFonts w:ascii="Arial" w:hAnsi="Arial"/>
          <w:b/>
        </w:rPr>
        <w:t xml:space="preserve"> Reference Architecture for the Nnwdaf_</w:t>
      </w:r>
      <w:r>
        <w:rPr>
          <w:rFonts w:ascii="Arial" w:hAnsi="Arial"/>
          <w:b/>
        </w:rPr>
        <w:t>VFLTraining</w:t>
      </w:r>
      <w:r w:rsidRPr="00311B21">
        <w:rPr>
          <w:rFonts w:ascii="Arial" w:hAnsi="Arial"/>
          <w:b/>
        </w:rPr>
        <w:t xml:space="preserve"> Service; SBI representation</w:t>
      </w:r>
    </w:p>
    <w:p w14:paraId="4E104DB3" w14:textId="77777777" w:rsidR="003D3655" w:rsidRPr="00311B21" w:rsidRDefault="003D3655" w:rsidP="003D3655">
      <w:pPr>
        <w:keepNext/>
        <w:keepLines/>
        <w:spacing w:before="60"/>
        <w:ind w:firstLineChars="1350" w:firstLine="2711"/>
        <w:rPr>
          <w:rFonts w:ascii="Arial" w:hAnsi="Arial"/>
          <w:b/>
          <w:lang w:val="en-US" w:eastAsia="zh-CN"/>
        </w:rPr>
      </w:pPr>
      <w:r w:rsidRPr="00311B21">
        <w:rPr>
          <w:rFonts w:ascii="Arial" w:hAnsi="Arial"/>
          <w:b/>
        </w:rPr>
        <w:fldChar w:fldCharType="begin"/>
      </w:r>
      <w:r w:rsidRPr="00311B21">
        <w:rPr>
          <w:rFonts w:ascii="Arial" w:hAnsi="Arial"/>
          <w:b/>
        </w:rPr>
        <w:fldChar w:fldCharType="end"/>
      </w:r>
    </w:p>
    <w:p w14:paraId="6281A56A" w14:textId="77777777" w:rsidR="003D3655" w:rsidRPr="00311B21" w:rsidRDefault="003D3655" w:rsidP="003D3655">
      <w:pPr>
        <w:keepNext/>
        <w:keepLines/>
        <w:spacing w:before="60"/>
        <w:ind w:firstLineChars="1350" w:firstLine="2711"/>
        <w:rPr>
          <w:rFonts w:ascii="Arial" w:hAnsi="Arial"/>
          <w:b/>
          <w:lang w:val="en-US" w:eastAsia="zh-CN"/>
        </w:rPr>
      </w:pPr>
      <w:r w:rsidRPr="00311B21">
        <w:rPr>
          <w:rFonts w:ascii="Arial" w:hAnsi="Arial"/>
          <w:b/>
          <w:lang w:val="en-US" w:eastAsia="zh-CN"/>
        </w:rPr>
        <w:object w:dxaOrig="4008" w:dyaOrig="2118" w14:anchorId="6C18853E">
          <v:shape id="_x0000_i1103" type="#_x0000_t75" style="width:226.65pt;height:118.95pt" o:ole="">
            <v:imagedata r:id="rId104" o:title=""/>
          </v:shape>
          <o:OLEObject Type="Embed" ProgID="Visio.Drawing.15" ShapeID="_x0000_i1103" DrawAspect="Content" ObjectID="_1810066030" r:id="rId105"/>
        </w:object>
      </w:r>
      <w:r>
        <w:rPr>
          <w:rFonts w:ascii="Arial" w:hAnsi="Arial"/>
          <w:b/>
          <w:lang w:val="en-US" w:eastAsia="zh-CN"/>
        </w:rPr>
        <w:br w:type="textWrapping" w:clear="all"/>
      </w:r>
    </w:p>
    <w:p w14:paraId="22B3C819"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.1.2-2</w:t>
      </w:r>
      <w:r w:rsidRPr="00311B21">
        <w:rPr>
          <w:rFonts w:ascii="Arial" w:hAnsi="Arial"/>
          <w:b/>
          <w:lang w:eastAsia="zh-CN"/>
        </w:rPr>
        <w:t>:</w:t>
      </w:r>
      <w:r w:rsidRPr="00311B21">
        <w:rPr>
          <w:rFonts w:ascii="Arial" w:hAnsi="Arial"/>
          <w:b/>
        </w:rPr>
        <w:t xml:space="preserve"> Reference Architecture for the Nnwdaf_</w:t>
      </w:r>
      <w:r>
        <w:rPr>
          <w:rFonts w:ascii="Arial" w:hAnsi="Arial"/>
          <w:b/>
        </w:rPr>
        <w:t>VFLTraining</w:t>
      </w:r>
      <w:r w:rsidRPr="00311B21">
        <w:rPr>
          <w:rFonts w:ascii="Arial" w:hAnsi="Arial"/>
          <w:b/>
        </w:rPr>
        <w:t xml:space="preserve"> Service: reference point representation</w:t>
      </w:r>
    </w:p>
    <w:p w14:paraId="661032D5" w14:textId="77777777" w:rsidR="003D3655" w:rsidRPr="00311B21" w:rsidRDefault="003D3655" w:rsidP="003D3655">
      <w:pPr>
        <w:keepNext/>
        <w:keepLines/>
        <w:spacing w:before="120"/>
        <w:ind w:left="1418" w:hanging="1418"/>
        <w:outlineLvl w:val="3"/>
        <w:rPr>
          <w:rFonts w:ascii="Arial" w:hAnsi="Arial"/>
          <w:sz w:val="24"/>
          <w:lang w:val="en-US"/>
        </w:rPr>
      </w:pPr>
      <w:r w:rsidRPr="00311B21">
        <w:rPr>
          <w:rFonts w:ascii="Arial" w:hAnsi="Arial"/>
          <w:sz w:val="24"/>
          <w:lang w:val="en-US"/>
        </w:rPr>
        <w:lastRenderedPageBreak/>
        <w:t>4.</w:t>
      </w:r>
      <w:r>
        <w:rPr>
          <w:rFonts w:ascii="Arial" w:hAnsi="Arial"/>
          <w:sz w:val="24"/>
          <w:lang w:val="en-US"/>
        </w:rPr>
        <w:t>10</w:t>
      </w:r>
      <w:r w:rsidRPr="00311B21">
        <w:rPr>
          <w:rFonts w:ascii="Arial" w:hAnsi="Arial"/>
          <w:sz w:val="24"/>
          <w:lang w:val="en-US"/>
        </w:rPr>
        <w:t>.</w:t>
      </w:r>
      <w:r w:rsidRPr="00311B21">
        <w:rPr>
          <w:rFonts w:ascii="Arial" w:hAnsi="Arial" w:hint="eastAsia"/>
          <w:sz w:val="24"/>
          <w:lang w:val="en-US" w:eastAsia="zh-CN"/>
        </w:rPr>
        <w:t>1.3</w:t>
      </w:r>
      <w:r w:rsidRPr="00311B21">
        <w:rPr>
          <w:rFonts w:ascii="Arial" w:hAnsi="Arial"/>
          <w:sz w:val="24"/>
          <w:lang w:val="en-US"/>
        </w:rPr>
        <w:tab/>
        <w:t>Network Functions</w:t>
      </w:r>
    </w:p>
    <w:p w14:paraId="167B07B9" w14:textId="77777777" w:rsidR="003D3655" w:rsidRPr="00311B21" w:rsidRDefault="003D3655" w:rsidP="003D3655">
      <w:pPr>
        <w:keepNext/>
        <w:keepLines/>
        <w:spacing w:before="120"/>
        <w:ind w:left="1701" w:hanging="1701"/>
        <w:outlineLvl w:val="4"/>
        <w:rPr>
          <w:rFonts w:ascii="Arial" w:hAnsi="Arial"/>
          <w:sz w:val="22"/>
          <w:lang w:eastAsia="zh-CN"/>
        </w:rPr>
      </w:pPr>
      <w:r w:rsidRPr="00311B21">
        <w:rPr>
          <w:rFonts w:ascii="Arial" w:hAnsi="Arial"/>
          <w:sz w:val="22"/>
        </w:rPr>
        <w:t>4.</w:t>
      </w:r>
      <w:r>
        <w:rPr>
          <w:rFonts w:ascii="Arial" w:hAnsi="Arial"/>
          <w:sz w:val="22"/>
        </w:rPr>
        <w:t>10</w:t>
      </w:r>
      <w:r w:rsidRPr="00311B21">
        <w:rPr>
          <w:rFonts w:ascii="Arial" w:hAnsi="Arial"/>
          <w:sz w:val="22"/>
        </w:rPr>
        <w:t>.</w:t>
      </w:r>
      <w:r w:rsidRPr="00311B21">
        <w:rPr>
          <w:rFonts w:ascii="Arial" w:hAnsi="Arial" w:hint="eastAsia"/>
          <w:sz w:val="22"/>
          <w:lang w:eastAsia="zh-CN"/>
        </w:rPr>
        <w:t>1.3.1</w:t>
      </w:r>
      <w:r w:rsidRPr="00311B21">
        <w:rPr>
          <w:rFonts w:ascii="Arial" w:hAnsi="Arial"/>
          <w:sz w:val="22"/>
        </w:rPr>
        <w:tab/>
      </w:r>
      <w:r w:rsidRPr="00311B21">
        <w:rPr>
          <w:rFonts w:ascii="Arial" w:hAnsi="Arial"/>
          <w:sz w:val="22"/>
          <w:lang w:val="en-US" w:eastAsia="zh-CN"/>
        </w:rPr>
        <w:t>Network Data Analytics Function (NWDAF)</w:t>
      </w:r>
    </w:p>
    <w:p w14:paraId="08E3FEBB" w14:textId="77777777" w:rsidR="003D3655" w:rsidRPr="00311B21" w:rsidRDefault="003D3655" w:rsidP="003D3655">
      <w:r w:rsidRPr="00311B21">
        <w:t xml:space="preserve">The Network Data Analytics Function (NWDAF) allows </w:t>
      </w:r>
      <w:r>
        <w:t xml:space="preserve">the </w:t>
      </w:r>
      <w:r w:rsidRPr="00311B21">
        <w:t xml:space="preserve">NF </w:t>
      </w:r>
      <w:r w:rsidRPr="00311B21">
        <w:rPr>
          <w:rFonts w:eastAsia="等线"/>
        </w:rPr>
        <w:t xml:space="preserve">service </w:t>
      </w:r>
      <w:r w:rsidRPr="00311B21">
        <w:t xml:space="preserve">consumer to </w:t>
      </w:r>
      <w:r w:rsidRPr="00DE623A">
        <w:t xml:space="preserve">check if the </w:t>
      </w:r>
      <w:r w:rsidRPr="005F50F6">
        <w:t>NF service producer</w:t>
      </w:r>
      <w:r w:rsidRPr="00DE623A">
        <w:t xml:space="preserve"> can support given requirements for VFL</w:t>
      </w:r>
      <w:r>
        <w:t xml:space="preserve"> </w:t>
      </w:r>
      <w:r w:rsidRPr="00DE623A">
        <w:t>as a potential VFL client</w:t>
      </w:r>
      <w:r>
        <w:t>,</w:t>
      </w:r>
      <w:r w:rsidRPr="00DE623A">
        <w:t xml:space="preserve"> and</w:t>
      </w:r>
      <w:r>
        <w:t xml:space="preserve"> to </w:t>
      </w:r>
      <w:r w:rsidRPr="00DE623A">
        <w:t>subscribe to, unsubscribe from, and modify subscriptions to VFL training information</w:t>
      </w:r>
      <w:r w:rsidRPr="00311B21">
        <w:t>.</w:t>
      </w:r>
    </w:p>
    <w:p w14:paraId="2DAFFA17" w14:textId="77777777" w:rsidR="003D3655" w:rsidRPr="00311B21" w:rsidRDefault="003D3655" w:rsidP="003D3655">
      <w:pPr>
        <w:keepNext/>
        <w:keepLines/>
        <w:spacing w:before="120"/>
        <w:ind w:left="1701" w:hanging="1701"/>
        <w:outlineLvl w:val="4"/>
        <w:rPr>
          <w:rFonts w:ascii="Arial" w:hAnsi="Arial"/>
          <w:sz w:val="22"/>
          <w:lang w:eastAsia="zh-CN"/>
        </w:rPr>
      </w:pPr>
      <w:r w:rsidRPr="00311B21">
        <w:rPr>
          <w:rFonts w:ascii="Arial" w:hAnsi="Arial"/>
          <w:sz w:val="22"/>
        </w:rPr>
        <w:t>4.</w:t>
      </w:r>
      <w:r>
        <w:rPr>
          <w:rFonts w:ascii="Arial" w:hAnsi="Arial"/>
          <w:sz w:val="22"/>
        </w:rPr>
        <w:t>10</w:t>
      </w:r>
      <w:r w:rsidRPr="00311B21">
        <w:rPr>
          <w:rFonts w:ascii="Arial" w:hAnsi="Arial"/>
          <w:sz w:val="22"/>
        </w:rPr>
        <w:t>.</w:t>
      </w:r>
      <w:r w:rsidRPr="00311B21">
        <w:rPr>
          <w:rFonts w:ascii="Arial" w:hAnsi="Arial"/>
          <w:sz w:val="22"/>
          <w:lang w:eastAsia="zh-CN"/>
        </w:rPr>
        <w:t>1.3.2</w:t>
      </w:r>
      <w:r w:rsidRPr="00311B21">
        <w:rPr>
          <w:rFonts w:ascii="Arial" w:hAnsi="Arial"/>
          <w:sz w:val="22"/>
        </w:rPr>
        <w:tab/>
      </w:r>
      <w:r w:rsidRPr="00311B21">
        <w:rPr>
          <w:rFonts w:ascii="Arial" w:hAnsi="Arial"/>
          <w:sz w:val="22"/>
          <w:lang w:eastAsia="zh-CN"/>
        </w:rPr>
        <w:t>NF Service Consumers</w:t>
      </w:r>
    </w:p>
    <w:p w14:paraId="531A19FF" w14:textId="77777777" w:rsidR="003D3655" w:rsidRPr="00311B21" w:rsidRDefault="003D3655" w:rsidP="003D3655">
      <w:pPr>
        <w:rPr>
          <w:lang w:val="en-US"/>
        </w:rPr>
      </w:pPr>
      <w:r w:rsidRPr="00311B21">
        <w:t>The Network Data Analytics Function (NWDAF)</w:t>
      </w:r>
      <w:r>
        <w:t xml:space="preserve">, the Application Function (AF), and the Network Exposure Function (NEF) </w:t>
      </w:r>
      <w:r w:rsidRPr="00311B21">
        <w:t>support</w:t>
      </w:r>
      <w:r>
        <w:t xml:space="preserve"> </w:t>
      </w:r>
      <w:r w:rsidRPr="00DE623A">
        <w:t>check</w:t>
      </w:r>
      <w:r>
        <w:t>ing</w:t>
      </w:r>
      <w:r w:rsidRPr="00DE623A">
        <w:t xml:space="preserve"> if the </w:t>
      </w:r>
      <w:r w:rsidRPr="005F50F6">
        <w:t>NF service producer</w:t>
      </w:r>
      <w:r w:rsidRPr="00DE623A">
        <w:t xml:space="preserve"> can support given requirements for VFL</w:t>
      </w:r>
      <w:r>
        <w:t xml:space="preserve"> </w:t>
      </w:r>
      <w:r w:rsidRPr="00DE623A">
        <w:t xml:space="preserve">as a potential VFL client, and </w:t>
      </w:r>
      <w:r>
        <w:t>they support</w:t>
      </w:r>
      <w:r w:rsidRPr="00DE623A">
        <w:t xml:space="preserve"> subscrib</w:t>
      </w:r>
      <w:r>
        <w:t>ing</w:t>
      </w:r>
      <w:r w:rsidRPr="00DE623A">
        <w:t xml:space="preserve"> to, unsubscrib</w:t>
      </w:r>
      <w:r>
        <w:t>ing</w:t>
      </w:r>
      <w:r w:rsidRPr="00DE623A">
        <w:t xml:space="preserve"> from, and modify</w:t>
      </w:r>
      <w:r>
        <w:t>ing</w:t>
      </w:r>
      <w:r w:rsidRPr="00DE623A">
        <w:t xml:space="preserve"> subscriptions to VFL training information.</w:t>
      </w:r>
    </w:p>
    <w:p w14:paraId="49A21690" w14:textId="77777777" w:rsidR="003D3655" w:rsidRPr="00311B21" w:rsidRDefault="003D3655" w:rsidP="003D3655">
      <w:pPr>
        <w:keepNext/>
        <w:keepLines/>
        <w:spacing w:before="120"/>
        <w:ind w:left="1134" w:hanging="1134"/>
        <w:outlineLvl w:val="2"/>
        <w:rPr>
          <w:rFonts w:ascii="Arial" w:hAnsi="Arial"/>
          <w:sz w:val="28"/>
        </w:rPr>
      </w:pPr>
      <w:r w:rsidRPr="00311B21">
        <w:rPr>
          <w:rFonts w:ascii="Arial" w:hAnsi="Arial"/>
          <w:sz w:val="28"/>
        </w:rPr>
        <w:t>4.</w:t>
      </w:r>
      <w:r>
        <w:rPr>
          <w:rFonts w:ascii="Arial" w:hAnsi="Arial"/>
          <w:sz w:val="28"/>
        </w:rPr>
        <w:t>10</w:t>
      </w:r>
      <w:r w:rsidRPr="00311B21">
        <w:rPr>
          <w:rFonts w:ascii="Arial" w:hAnsi="Arial"/>
          <w:sz w:val="28"/>
        </w:rPr>
        <w:t>.2</w:t>
      </w:r>
      <w:r w:rsidRPr="00311B21">
        <w:rPr>
          <w:rFonts w:ascii="Arial" w:hAnsi="Arial"/>
          <w:sz w:val="28"/>
        </w:rPr>
        <w:tab/>
        <w:t>Service Operations</w:t>
      </w:r>
    </w:p>
    <w:p w14:paraId="6A487F2E" w14:textId="77777777" w:rsidR="003D3655" w:rsidRPr="00311B21" w:rsidRDefault="003D3655" w:rsidP="003D3655">
      <w:pPr>
        <w:keepNext/>
        <w:keepLines/>
        <w:spacing w:before="120"/>
        <w:ind w:left="1418" w:hanging="1418"/>
        <w:outlineLvl w:val="3"/>
        <w:rPr>
          <w:rFonts w:ascii="Arial" w:hAnsi="Arial"/>
          <w:sz w:val="24"/>
          <w:lang w:eastAsia="zh-CN"/>
        </w:rPr>
      </w:pPr>
      <w:r w:rsidRPr="00311B21">
        <w:rPr>
          <w:rFonts w:ascii="Arial" w:hAnsi="Arial"/>
          <w:sz w:val="24"/>
        </w:rPr>
        <w:t>4.</w:t>
      </w:r>
      <w:r>
        <w:rPr>
          <w:rFonts w:ascii="Arial" w:hAnsi="Arial"/>
          <w:sz w:val="24"/>
        </w:rPr>
        <w:t>10</w:t>
      </w:r>
      <w:r w:rsidRPr="00311B21">
        <w:rPr>
          <w:rFonts w:ascii="Arial" w:hAnsi="Arial"/>
          <w:sz w:val="24"/>
        </w:rPr>
        <w:t>.2.1</w:t>
      </w:r>
      <w:r w:rsidRPr="00311B21">
        <w:rPr>
          <w:rFonts w:ascii="Arial" w:hAnsi="Arial"/>
          <w:sz w:val="24"/>
        </w:rPr>
        <w:tab/>
        <w:t>Introduction</w:t>
      </w:r>
    </w:p>
    <w:p w14:paraId="7A4404FD" w14:textId="77777777" w:rsidR="003D3655" w:rsidRPr="00311B21" w:rsidRDefault="003D3655" w:rsidP="003D3655">
      <w:pPr>
        <w:keepNext/>
        <w:keepLines/>
        <w:overflowPunct w:val="0"/>
        <w:autoSpaceDE w:val="0"/>
        <w:autoSpaceDN w:val="0"/>
        <w:adjustRightInd w:val="0"/>
        <w:spacing w:before="60"/>
        <w:jc w:val="center"/>
        <w:textAlignment w:val="baseline"/>
        <w:rPr>
          <w:rFonts w:ascii="Arial" w:eastAsia="MS Mincho" w:hAnsi="Arial"/>
          <w:b/>
        </w:rPr>
      </w:pPr>
      <w:r w:rsidRPr="00311B21">
        <w:rPr>
          <w:rFonts w:ascii="Arial" w:eastAsia="MS Mincho" w:hAnsi="Arial"/>
          <w:b/>
        </w:rPr>
        <w:t>Table 4.</w:t>
      </w:r>
      <w:r>
        <w:rPr>
          <w:rFonts w:ascii="Arial" w:eastAsia="MS Mincho" w:hAnsi="Arial"/>
          <w:b/>
        </w:rPr>
        <w:t>10</w:t>
      </w:r>
      <w:r w:rsidRPr="00311B21">
        <w:rPr>
          <w:rFonts w:ascii="Arial" w:eastAsia="MS Mincho" w:hAnsi="Arial"/>
          <w:b/>
        </w:rPr>
        <w:t xml:space="preserve">.2.1-1: Operations of the </w:t>
      </w:r>
      <w:r w:rsidRPr="00311B21">
        <w:rPr>
          <w:rFonts w:ascii="Arial" w:hAnsi="Arial"/>
          <w:b/>
        </w:rPr>
        <w:t>Nnwdaf_</w:t>
      </w:r>
      <w:r>
        <w:rPr>
          <w:rFonts w:ascii="Arial" w:hAnsi="Arial"/>
          <w:b/>
        </w:rPr>
        <w:t>VFLTraining</w:t>
      </w:r>
      <w:r w:rsidRPr="00311B21">
        <w:rPr>
          <w:rFonts w:ascii="Arial" w:eastAsia="MS Mincho" w:hAnsi="Arial"/>
          <w:b/>
        </w:rPr>
        <w:t xml:space="preserve"> Service</w:t>
      </w:r>
    </w:p>
    <w:tbl>
      <w:tblPr>
        <w:tblW w:w="9613"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397"/>
        <w:gridCol w:w="4231"/>
        <w:gridCol w:w="1985"/>
      </w:tblGrid>
      <w:tr w:rsidR="003D3655" w:rsidRPr="00311B21" w14:paraId="1F13853D" w14:textId="77777777" w:rsidTr="00902260">
        <w:trPr>
          <w:cantSplit/>
          <w:tblHeader/>
        </w:trPr>
        <w:tc>
          <w:tcPr>
            <w:tcW w:w="3397" w:type="dxa"/>
            <w:shd w:val="clear" w:color="000000" w:fill="C0C0C0"/>
          </w:tcPr>
          <w:p w14:paraId="1E8052BA" w14:textId="77777777" w:rsidR="003D3655" w:rsidRPr="00311B21" w:rsidRDefault="003D3655" w:rsidP="00902260">
            <w:pPr>
              <w:keepNext/>
              <w:keepLines/>
              <w:spacing w:after="0"/>
              <w:ind w:left="400" w:hanging="400"/>
              <w:jc w:val="center"/>
              <w:rPr>
                <w:rFonts w:ascii="Arial" w:hAnsi="Arial"/>
                <w:b/>
                <w:sz w:val="18"/>
              </w:rPr>
            </w:pPr>
            <w:r w:rsidRPr="00311B21">
              <w:rPr>
                <w:rFonts w:ascii="Arial" w:hAnsi="Arial"/>
                <w:b/>
                <w:sz w:val="18"/>
              </w:rPr>
              <w:t>Service operation name</w:t>
            </w:r>
          </w:p>
        </w:tc>
        <w:tc>
          <w:tcPr>
            <w:tcW w:w="4231" w:type="dxa"/>
            <w:shd w:val="clear" w:color="000000" w:fill="C0C0C0"/>
          </w:tcPr>
          <w:p w14:paraId="3BF263F1" w14:textId="77777777" w:rsidR="003D3655" w:rsidRPr="00311B21" w:rsidRDefault="003D3655" w:rsidP="00902260">
            <w:pPr>
              <w:keepNext/>
              <w:keepLines/>
              <w:spacing w:after="0"/>
              <w:ind w:left="400" w:hanging="400"/>
              <w:jc w:val="center"/>
              <w:rPr>
                <w:rFonts w:ascii="Arial" w:hAnsi="Arial"/>
                <w:b/>
                <w:sz w:val="18"/>
              </w:rPr>
            </w:pPr>
            <w:r w:rsidRPr="00311B21">
              <w:rPr>
                <w:rFonts w:ascii="Arial" w:hAnsi="Arial"/>
                <w:b/>
                <w:sz w:val="18"/>
              </w:rPr>
              <w:t>Description</w:t>
            </w:r>
          </w:p>
        </w:tc>
        <w:tc>
          <w:tcPr>
            <w:tcW w:w="1985" w:type="dxa"/>
            <w:shd w:val="clear" w:color="000000" w:fill="C0C0C0"/>
          </w:tcPr>
          <w:p w14:paraId="5CF0DB22" w14:textId="77777777" w:rsidR="003D3655" w:rsidRPr="00311B21" w:rsidRDefault="003D3655" w:rsidP="00902260">
            <w:pPr>
              <w:keepNext/>
              <w:keepLines/>
              <w:spacing w:after="0"/>
              <w:ind w:left="400" w:hanging="400"/>
              <w:jc w:val="center"/>
              <w:rPr>
                <w:rFonts w:ascii="Arial" w:hAnsi="Arial"/>
                <w:b/>
                <w:sz w:val="18"/>
              </w:rPr>
            </w:pPr>
            <w:r w:rsidRPr="00311B21">
              <w:rPr>
                <w:rFonts w:ascii="Arial" w:hAnsi="Arial"/>
                <w:b/>
                <w:sz w:val="18"/>
              </w:rPr>
              <w:t>Initiated by</w:t>
            </w:r>
          </w:p>
        </w:tc>
      </w:tr>
      <w:tr w:rsidR="003D3655" w:rsidRPr="00311B21" w14:paraId="2E87FE5F" w14:textId="77777777" w:rsidTr="00902260">
        <w:trPr>
          <w:cantSplit/>
        </w:trPr>
        <w:tc>
          <w:tcPr>
            <w:tcW w:w="3397" w:type="dxa"/>
          </w:tcPr>
          <w:p w14:paraId="4AEB3F7D" w14:textId="77777777" w:rsidR="003D3655" w:rsidRPr="00311B21" w:rsidRDefault="003D3655" w:rsidP="00902260">
            <w:pPr>
              <w:rPr>
                <w:rFonts w:ascii="Arial" w:hAnsi="Arial"/>
                <w:sz w:val="18"/>
              </w:rPr>
            </w:pPr>
            <w:r w:rsidRPr="00311B21">
              <w:rPr>
                <w:rFonts w:ascii="Arial" w:hAnsi="Arial"/>
                <w:sz w:val="18"/>
              </w:rPr>
              <w:t>Nnwdaf_</w:t>
            </w:r>
            <w:r>
              <w:rPr>
                <w:rFonts w:ascii="Arial" w:hAnsi="Arial"/>
                <w:sz w:val="18"/>
              </w:rPr>
              <w:t>VFLTraining</w:t>
            </w:r>
            <w:r w:rsidRPr="00311B21">
              <w:rPr>
                <w:rFonts w:ascii="Arial" w:hAnsi="Arial"/>
                <w:sz w:val="18"/>
              </w:rPr>
              <w:t>_Subscribe</w:t>
            </w:r>
          </w:p>
        </w:tc>
        <w:tc>
          <w:tcPr>
            <w:tcW w:w="4231" w:type="dxa"/>
          </w:tcPr>
          <w:p w14:paraId="3DEF7F71" w14:textId="77777777" w:rsidR="003D3655" w:rsidRPr="00311B21" w:rsidRDefault="003D3655" w:rsidP="00902260">
            <w:pPr>
              <w:keepNext/>
              <w:keepLines/>
              <w:spacing w:after="0"/>
              <w:rPr>
                <w:rFonts w:ascii="Arial" w:hAnsi="Arial"/>
                <w:sz w:val="18"/>
              </w:rPr>
            </w:pPr>
            <w:r w:rsidRPr="003448D4">
              <w:rPr>
                <w:rFonts w:ascii="Arial" w:hAnsi="Arial"/>
                <w:sz w:val="18"/>
              </w:rPr>
              <w:t>This service operation is used by an NF service consumer to request NWDAF VFL client(s) to check if requirements for VFL are supported and to subscribe to VFL training events.</w:t>
            </w:r>
          </w:p>
        </w:tc>
        <w:tc>
          <w:tcPr>
            <w:tcW w:w="1985" w:type="dxa"/>
          </w:tcPr>
          <w:p w14:paraId="27F8F482" w14:textId="77777777" w:rsidR="003D3655" w:rsidRDefault="003D3655" w:rsidP="00902260">
            <w:pPr>
              <w:keepNext/>
              <w:keepLines/>
              <w:spacing w:after="0"/>
              <w:rPr>
                <w:rFonts w:ascii="Arial" w:hAnsi="Arial"/>
                <w:sz w:val="18"/>
                <w:lang w:eastAsia="zh-CN"/>
              </w:rPr>
            </w:pPr>
            <w:r w:rsidRPr="007444B7">
              <w:rPr>
                <w:rFonts w:ascii="Arial" w:hAnsi="Arial"/>
                <w:sz w:val="18"/>
                <w:lang w:eastAsia="zh-CN"/>
              </w:rPr>
              <w:t>NF service consumer (NWDAF,</w:t>
            </w:r>
            <w:r>
              <w:rPr>
                <w:rFonts w:ascii="Arial" w:hAnsi="Arial"/>
                <w:sz w:val="18"/>
                <w:lang w:eastAsia="zh-CN"/>
              </w:rPr>
              <w:t xml:space="preserve"> </w:t>
            </w:r>
          </w:p>
          <w:p w14:paraId="14C8ECA1" w14:textId="77777777" w:rsidR="003D3655" w:rsidRDefault="003D3655" w:rsidP="00902260">
            <w:pPr>
              <w:keepNext/>
              <w:keepLines/>
              <w:spacing w:after="0"/>
              <w:rPr>
                <w:rFonts w:ascii="Arial" w:hAnsi="Arial"/>
                <w:sz w:val="18"/>
                <w:lang w:eastAsia="zh-CN"/>
              </w:rPr>
            </w:pPr>
            <w:r w:rsidRPr="007444B7">
              <w:rPr>
                <w:rFonts w:ascii="Arial" w:hAnsi="Arial"/>
                <w:sz w:val="18"/>
                <w:lang w:eastAsia="zh-CN"/>
              </w:rPr>
              <w:t xml:space="preserve">AF, </w:t>
            </w:r>
          </w:p>
          <w:p w14:paraId="7B2AA850" w14:textId="77777777" w:rsidR="003D3655" w:rsidRPr="00311B21" w:rsidRDefault="003D3655" w:rsidP="00902260">
            <w:pPr>
              <w:keepNext/>
              <w:keepLines/>
              <w:spacing w:after="0"/>
              <w:rPr>
                <w:rFonts w:ascii="Arial" w:hAnsi="Arial"/>
                <w:sz w:val="18"/>
              </w:rPr>
            </w:pPr>
            <w:r w:rsidRPr="007444B7">
              <w:rPr>
                <w:rFonts w:ascii="Arial" w:hAnsi="Arial"/>
                <w:sz w:val="18"/>
                <w:lang w:eastAsia="zh-CN"/>
              </w:rPr>
              <w:t>NEF)</w:t>
            </w:r>
          </w:p>
        </w:tc>
      </w:tr>
      <w:tr w:rsidR="003D3655" w:rsidRPr="00311B21" w14:paraId="237DE18C" w14:textId="77777777" w:rsidTr="00902260">
        <w:trPr>
          <w:cantSplit/>
        </w:trPr>
        <w:tc>
          <w:tcPr>
            <w:tcW w:w="3397" w:type="dxa"/>
          </w:tcPr>
          <w:p w14:paraId="32365F59" w14:textId="77777777" w:rsidR="003D3655" w:rsidRPr="00311B21" w:rsidRDefault="003D3655" w:rsidP="00902260">
            <w:pPr>
              <w:rPr>
                <w:rFonts w:ascii="Arial" w:hAnsi="Arial"/>
                <w:sz w:val="18"/>
              </w:rPr>
            </w:pPr>
            <w:r w:rsidRPr="00311B21">
              <w:rPr>
                <w:rFonts w:ascii="Arial" w:hAnsi="Arial"/>
                <w:sz w:val="18"/>
              </w:rPr>
              <w:t>Nnwdaf_</w:t>
            </w:r>
            <w:r>
              <w:rPr>
                <w:rFonts w:ascii="Arial" w:hAnsi="Arial"/>
                <w:sz w:val="18"/>
              </w:rPr>
              <w:t>VFLTraining</w:t>
            </w:r>
            <w:r w:rsidRPr="00311B21">
              <w:rPr>
                <w:rFonts w:ascii="Arial" w:hAnsi="Arial"/>
                <w:sz w:val="18"/>
              </w:rPr>
              <w:t>_Unsubscribe</w:t>
            </w:r>
          </w:p>
        </w:tc>
        <w:tc>
          <w:tcPr>
            <w:tcW w:w="4231" w:type="dxa"/>
          </w:tcPr>
          <w:p w14:paraId="6AF4B531" w14:textId="77777777" w:rsidR="003D3655" w:rsidRPr="00311B21" w:rsidRDefault="003D3655" w:rsidP="00902260">
            <w:pPr>
              <w:keepNext/>
              <w:keepLines/>
              <w:spacing w:after="0"/>
              <w:rPr>
                <w:rFonts w:ascii="Arial" w:hAnsi="Arial"/>
                <w:sz w:val="18"/>
              </w:rPr>
            </w:pPr>
            <w:r w:rsidRPr="00311B21">
              <w:rPr>
                <w:rFonts w:ascii="Arial" w:hAnsi="Arial"/>
                <w:sz w:val="18"/>
              </w:rPr>
              <w:t xml:space="preserve">This service operation is used by an NF service consumer to unsubscribe from </w:t>
            </w:r>
            <w:r w:rsidRPr="0032645E">
              <w:rPr>
                <w:rFonts w:ascii="Arial" w:hAnsi="Arial"/>
                <w:sz w:val="18"/>
              </w:rPr>
              <w:t>VFL training information</w:t>
            </w:r>
            <w:r w:rsidRPr="00311B21">
              <w:rPr>
                <w:rFonts w:ascii="Arial" w:hAnsi="Arial"/>
                <w:sz w:val="18"/>
              </w:rPr>
              <w:t>.</w:t>
            </w:r>
          </w:p>
        </w:tc>
        <w:tc>
          <w:tcPr>
            <w:tcW w:w="1985" w:type="dxa"/>
          </w:tcPr>
          <w:p w14:paraId="48D80D2A" w14:textId="77777777" w:rsidR="003D3655" w:rsidRPr="00311B21" w:rsidRDefault="003D3655" w:rsidP="00902260">
            <w:pPr>
              <w:keepNext/>
              <w:keepLines/>
              <w:spacing w:after="0"/>
              <w:rPr>
                <w:rFonts w:ascii="Arial" w:hAnsi="Arial"/>
                <w:sz w:val="18"/>
                <w:lang w:eastAsia="zh-CN"/>
              </w:rPr>
            </w:pPr>
            <w:r w:rsidRPr="007444B7">
              <w:rPr>
                <w:rFonts w:ascii="Arial" w:hAnsi="Arial"/>
                <w:sz w:val="18"/>
                <w:lang w:eastAsia="zh-CN"/>
              </w:rPr>
              <w:t>NF service consumer (NWDAF,</w:t>
            </w:r>
            <w:r>
              <w:rPr>
                <w:rFonts w:ascii="Arial" w:hAnsi="Arial"/>
                <w:sz w:val="18"/>
                <w:lang w:eastAsia="zh-CN"/>
              </w:rPr>
              <w:t xml:space="preserve"> </w:t>
            </w:r>
            <w:r w:rsidRPr="007444B7">
              <w:rPr>
                <w:rFonts w:ascii="Arial" w:hAnsi="Arial"/>
                <w:sz w:val="18"/>
                <w:lang w:eastAsia="zh-CN"/>
              </w:rPr>
              <w:t>AF, NEF)</w:t>
            </w:r>
          </w:p>
        </w:tc>
      </w:tr>
      <w:tr w:rsidR="003D3655" w:rsidRPr="00311B21" w14:paraId="16F96316" w14:textId="77777777" w:rsidTr="00902260">
        <w:trPr>
          <w:cantSplit/>
        </w:trPr>
        <w:tc>
          <w:tcPr>
            <w:tcW w:w="3397" w:type="dxa"/>
          </w:tcPr>
          <w:p w14:paraId="2F4270CE" w14:textId="77777777" w:rsidR="003D3655" w:rsidRPr="00311B21" w:rsidRDefault="003D3655" w:rsidP="00902260">
            <w:pPr>
              <w:rPr>
                <w:rFonts w:ascii="Arial" w:hAnsi="Arial"/>
                <w:sz w:val="18"/>
              </w:rPr>
            </w:pPr>
            <w:r w:rsidRPr="00311B21">
              <w:rPr>
                <w:rFonts w:ascii="Arial" w:hAnsi="Arial"/>
                <w:sz w:val="18"/>
              </w:rPr>
              <w:t>Nnwdaf_</w:t>
            </w:r>
            <w:r>
              <w:rPr>
                <w:rFonts w:ascii="Arial" w:hAnsi="Arial"/>
                <w:sz w:val="18"/>
              </w:rPr>
              <w:t>VFLTraining</w:t>
            </w:r>
            <w:r w:rsidRPr="00311B21">
              <w:rPr>
                <w:rFonts w:ascii="Arial" w:hAnsi="Arial"/>
                <w:sz w:val="18"/>
              </w:rPr>
              <w:t>_Notify</w:t>
            </w:r>
          </w:p>
        </w:tc>
        <w:tc>
          <w:tcPr>
            <w:tcW w:w="4231" w:type="dxa"/>
          </w:tcPr>
          <w:p w14:paraId="22EE6A7A" w14:textId="77777777" w:rsidR="003D3655" w:rsidRPr="00311B21" w:rsidRDefault="003D3655" w:rsidP="00902260">
            <w:pPr>
              <w:keepNext/>
              <w:keepLines/>
              <w:spacing w:after="0"/>
              <w:rPr>
                <w:rFonts w:ascii="Arial" w:hAnsi="Arial"/>
                <w:sz w:val="18"/>
              </w:rPr>
            </w:pPr>
            <w:r w:rsidRPr="00311B21">
              <w:rPr>
                <w:rFonts w:ascii="Arial" w:hAnsi="Arial"/>
                <w:sz w:val="18"/>
              </w:rPr>
              <w:t xml:space="preserve">This service operation is used by the NWDAF to </w:t>
            </w:r>
            <w:r w:rsidRPr="00311B21">
              <w:rPr>
                <w:rFonts w:ascii="Arial" w:hAnsi="Arial"/>
                <w:sz w:val="18"/>
                <w:lang w:eastAsia="ja-JP"/>
              </w:rPr>
              <w:t xml:space="preserve">notify </w:t>
            </w:r>
            <w:r>
              <w:rPr>
                <w:rFonts w:ascii="Arial" w:hAnsi="Arial"/>
                <w:sz w:val="18"/>
                <w:lang w:eastAsia="ja-JP"/>
              </w:rPr>
              <w:t xml:space="preserve">about </w:t>
            </w:r>
            <w:r w:rsidRPr="0032645E">
              <w:rPr>
                <w:rFonts w:ascii="Arial" w:hAnsi="Arial"/>
                <w:sz w:val="18"/>
                <w:lang w:eastAsia="ja-JP"/>
              </w:rPr>
              <w:t>VFL training information</w:t>
            </w:r>
            <w:r w:rsidRPr="00311B21">
              <w:rPr>
                <w:rFonts w:ascii="Arial" w:hAnsi="Arial"/>
                <w:sz w:val="18"/>
              </w:rPr>
              <w:t>.</w:t>
            </w:r>
          </w:p>
        </w:tc>
        <w:tc>
          <w:tcPr>
            <w:tcW w:w="1985" w:type="dxa"/>
          </w:tcPr>
          <w:p w14:paraId="2F77836B" w14:textId="77777777" w:rsidR="003D3655" w:rsidRPr="00311B21" w:rsidRDefault="003D3655" w:rsidP="00902260">
            <w:pPr>
              <w:keepNext/>
              <w:keepLines/>
              <w:spacing w:after="0"/>
              <w:rPr>
                <w:rFonts w:ascii="Arial" w:hAnsi="Arial"/>
                <w:sz w:val="18"/>
              </w:rPr>
            </w:pPr>
            <w:r w:rsidRPr="00311B21">
              <w:rPr>
                <w:rFonts w:ascii="Arial" w:hAnsi="Arial"/>
                <w:sz w:val="18"/>
              </w:rPr>
              <w:t>NWDAF</w:t>
            </w:r>
          </w:p>
        </w:tc>
      </w:tr>
    </w:tbl>
    <w:p w14:paraId="785AF3D8" w14:textId="77777777" w:rsidR="003D3655" w:rsidRPr="00311B21" w:rsidRDefault="003D3655" w:rsidP="003D3655"/>
    <w:p w14:paraId="54498FCB"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.2.</w:t>
      </w:r>
      <w:r>
        <w:rPr>
          <w:rFonts w:ascii="Arial" w:hAnsi="Arial"/>
          <w:sz w:val="24"/>
        </w:rPr>
        <w:t>2</w:t>
      </w:r>
      <w:r w:rsidRPr="00311B21">
        <w:rPr>
          <w:rFonts w:ascii="Arial" w:hAnsi="Arial"/>
          <w:sz w:val="24"/>
        </w:rPr>
        <w:tab/>
        <w:t>Nnwdaf_</w:t>
      </w:r>
      <w:r>
        <w:rPr>
          <w:rFonts w:ascii="Arial" w:hAnsi="Arial"/>
          <w:sz w:val="24"/>
        </w:rPr>
        <w:t>VFLTraining</w:t>
      </w:r>
      <w:r w:rsidRPr="00311B21">
        <w:rPr>
          <w:rFonts w:ascii="Arial" w:hAnsi="Arial"/>
          <w:sz w:val="24"/>
        </w:rPr>
        <w:t>_Subscribe service operation</w:t>
      </w:r>
    </w:p>
    <w:p w14:paraId="251E2EFF"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2</w:t>
      </w:r>
      <w:r w:rsidRPr="00311B21">
        <w:rPr>
          <w:rFonts w:ascii="Arial" w:hAnsi="Arial"/>
          <w:sz w:val="22"/>
        </w:rPr>
        <w:t>.1</w:t>
      </w:r>
      <w:r w:rsidRPr="00311B21">
        <w:rPr>
          <w:rFonts w:ascii="Arial" w:hAnsi="Arial"/>
          <w:sz w:val="22"/>
        </w:rPr>
        <w:tab/>
        <w:t>General</w:t>
      </w:r>
    </w:p>
    <w:p w14:paraId="11FDB4B9" w14:textId="77777777" w:rsidR="003D3655" w:rsidRPr="00311B21" w:rsidRDefault="003D3655" w:rsidP="003D3655">
      <w:r w:rsidRPr="00311B21">
        <w:rPr>
          <w:lang w:eastAsia="zh-CN"/>
        </w:rPr>
        <w:t>The Nnwdaf_</w:t>
      </w:r>
      <w:r>
        <w:rPr>
          <w:lang w:eastAsia="zh-CN"/>
        </w:rPr>
        <w:t>VFL</w:t>
      </w:r>
      <w:r w:rsidRPr="00311B21">
        <w:rPr>
          <w:lang w:eastAsia="zh-CN"/>
        </w:rPr>
        <w:t>_Subscribe service operation is used by an NF service consumer</w:t>
      </w:r>
      <w:r>
        <w:rPr>
          <w:lang w:eastAsia="zh-CN"/>
        </w:rPr>
        <w:t xml:space="preserve"> </w:t>
      </w:r>
      <w:r>
        <w:t xml:space="preserve">to </w:t>
      </w:r>
      <w:r>
        <w:rPr>
          <w:lang w:eastAsia="ja-JP"/>
        </w:rPr>
        <w:t>request NWDAF VFL client(s) to check whether requirements for VFL training are supported and</w:t>
      </w:r>
      <w:r w:rsidRPr="00311B21">
        <w:rPr>
          <w:lang w:eastAsia="zh-CN"/>
        </w:rPr>
        <w:t xml:space="preserve"> to </w:t>
      </w:r>
      <w:r w:rsidRPr="00311B21">
        <w:t xml:space="preserve">subscribe or update subscription for </w:t>
      </w:r>
      <w:r>
        <w:rPr>
          <w:lang w:eastAsia="zh-CN"/>
        </w:rPr>
        <w:t>VFL training information</w:t>
      </w:r>
      <w:r w:rsidRPr="00311B21">
        <w:rPr>
          <w:lang w:eastAsia="zh-CN"/>
        </w:rPr>
        <w:t>.</w:t>
      </w:r>
    </w:p>
    <w:p w14:paraId="4D0AC6A4"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2</w:t>
      </w:r>
      <w:r w:rsidRPr="00311B21">
        <w:rPr>
          <w:rFonts w:ascii="Arial" w:hAnsi="Arial"/>
          <w:sz w:val="22"/>
        </w:rPr>
        <w:t>.2</w:t>
      </w:r>
      <w:r w:rsidRPr="00311B21">
        <w:rPr>
          <w:rFonts w:ascii="Arial" w:hAnsi="Arial"/>
          <w:sz w:val="22"/>
        </w:rPr>
        <w:tab/>
        <w:t xml:space="preserve">Subscription for </w:t>
      </w:r>
      <w:r>
        <w:rPr>
          <w:rFonts w:ascii="Arial" w:hAnsi="Arial"/>
          <w:sz w:val="22"/>
        </w:rPr>
        <w:t>VFL training information</w:t>
      </w:r>
    </w:p>
    <w:p w14:paraId="31736C94" w14:textId="77777777" w:rsidR="003D3655" w:rsidRPr="00311B21" w:rsidRDefault="003D3655" w:rsidP="003D3655">
      <w:pPr>
        <w:rPr>
          <w:rFonts w:eastAsia="等线"/>
        </w:rPr>
      </w:pPr>
      <w:r w:rsidRPr="00311B21">
        <w:rPr>
          <w:rFonts w:eastAsia="等线"/>
        </w:rPr>
        <w:t>Figure 4.</w:t>
      </w:r>
      <w:r>
        <w:rPr>
          <w:rFonts w:eastAsia="等线"/>
        </w:rPr>
        <w:t>10</w:t>
      </w:r>
      <w:r w:rsidRPr="00311B21">
        <w:rPr>
          <w:rFonts w:eastAsia="等线"/>
        </w:rPr>
        <w:t>.2.</w:t>
      </w:r>
      <w:r>
        <w:rPr>
          <w:rFonts w:eastAsia="等线"/>
        </w:rPr>
        <w:t>2</w:t>
      </w:r>
      <w:r w:rsidRPr="00311B21">
        <w:rPr>
          <w:rFonts w:eastAsia="等线"/>
        </w:rPr>
        <w:t>.2-1 shows a scenario where the NF service consumer sends a request to the NWDAF to subscribe</w:t>
      </w:r>
      <w:r w:rsidRPr="00311B21">
        <w:rPr>
          <w:rFonts w:eastAsia="Batang"/>
        </w:rPr>
        <w:t xml:space="preserve"> </w:t>
      </w:r>
      <w:r w:rsidRPr="00311B21">
        <w:rPr>
          <w:rFonts w:eastAsia="等线"/>
        </w:rPr>
        <w:t xml:space="preserve">for </w:t>
      </w:r>
      <w:r>
        <w:rPr>
          <w:rFonts w:eastAsia="等线"/>
        </w:rPr>
        <w:t>VFL training information</w:t>
      </w:r>
      <w:r w:rsidRPr="00311B21">
        <w:rPr>
          <w:rFonts w:eastAsia="等线"/>
        </w:rPr>
        <w:t>.</w:t>
      </w:r>
    </w:p>
    <w:p w14:paraId="34192BEE" w14:textId="77777777" w:rsidR="003D3655" w:rsidRDefault="003D3655" w:rsidP="003D3655">
      <w:pPr>
        <w:keepNext/>
        <w:keepLines/>
        <w:spacing w:before="60"/>
        <w:jc w:val="center"/>
        <w:rPr>
          <w:rFonts w:ascii="Arial" w:eastAsia="等线" w:hAnsi="Arial"/>
          <w:b/>
          <w:lang w:eastAsia="en-GB"/>
        </w:rPr>
      </w:pPr>
      <w:r w:rsidRPr="00311B21">
        <w:rPr>
          <w:rFonts w:ascii="Arial" w:eastAsia="等线" w:hAnsi="Arial"/>
          <w:b/>
          <w:lang w:eastAsia="en-GB"/>
        </w:rPr>
        <w:object w:dxaOrig="9007" w:dyaOrig="2960" w14:anchorId="5C9504C1">
          <v:shape id="_x0000_i1106" type="#_x0000_t75" style="width:482.7pt;height:159.65pt;mso-position-horizontal-relative:page;mso-position-vertical-relative:page" o:ole="">
            <v:imagedata r:id="rId106" o:title=""/>
          </v:shape>
          <o:OLEObject Type="Embed" ProgID="Visio.Drawing.15" ShapeID="_x0000_i1106" DrawAspect="Content" ObjectID="_1810066031" r:id="rId107"/>
        </w:object>
      </w:r>
    </w:p>
    <w:p w14:paraId="44B70BD9" w14:textId="77777777" w:rsidR="003D3655" w:rsidRPr="00311B21" w:rsidRDefault="003D3655" w:rsidP="003D3655">
      <w:pPr>
        <w:keepNext/>
        <w:keepLines/>
        <w:spacing w:before="6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2</w:t>
      </w:r>
      <w:r w:rsidRPr="00311B21">
        <w:rPr>
          <w:rFonts w:ascii="Arial" w:hAnsi="Arial"/>
          <w:b/>
        </w:rPr>
        <w:t xml:space="preserve">.2-1: NF service consumer subscribes to </w:t>
      </w:r>
      <w:r>
        <w:rPr>
          <w:rFonts w:ascii="Arial" w:hAnsi="Arial"/>
          <w:b/>
        </w:rPr>
        <w:t>VFL training information</w:t>
      </w:r>
    </w:p>
    <w:p w14:paraId="3D4E5B20" w14:textId="77777777" w:rsidR="003D3655" w:rsidRPr="00311B21" w:rsidRDefault="003D3655" w:rsidP="003D3655">
      <w:pPr>
        <w:rPr>
          <w:rFonts w:eastAsia="等线"/>
        </w:rPr>
      </w:pPr>
      <w:r w:rsidRPr="00311B21">
        <w:rPr>
          <w:rFonts w:eastAsia="等线"/>
        </w:rPr>
        <w:t>The NF service consumer shall invoke the Nnwdaf_</w:t>
      </w:r>
      <w:r>
        <w:rPr>
          <w:rFonts w:eastAsia="等线"/>
        </w:rPr>
        <w:t>VFLTraining</w:t>
      </w:r>
      <w:r w:rsidRPr="00311B21">
        <w:rPr>
          <w:rFonts w:eastAsia="等线"/>
        </w:rPr>
        <w:t xml:space="preserve">_Subscribe service operation </w:t>
      </w:r>
      <w:r>
        <w:t xml:space="preserve">to </w:t>
      </w:r>
      <w:r>
        <w:rPr>
          <w:lang w:eastAsia="ja-JP"/>
        </w:rPr>
        <w:t>request NWDAF VFL client(s) to check if requirements for VFL are supported and</w:t>
      </w:r>
      <w:r w:rsidRPr="00311B21">
        <w:rPr>
          <w:rFonts w:eastAsia="等线"/>
        </w:rPr>
        <w:t xml:space="preserve"> to subscribe to </w:t>
      </w:r>
      <w:r>
        <w:rPr>
          <w:rFonts w:eastAsia="等线"/>
        </w:rPr>
        <w:t>VFL training information by</w:t>
      </w:r>
      <w:r w:rsidRPr="00311B21">
        <w:rPr>
          <w:rFonts w:eastAsia="等线"/>
        </w:rPr>
        <w:t xml:space="preserve"> send</w:t>
      </w:r>
      <w:r>
        <w:rPr>
          <w:rFonts w:eastAsia="等线"/>
        </w:rPr>
        <w:t>ing</w:t>
      </w:r>
      <w:r w:rsidRPr="00311B21">
        <w:rPr>
          <w:rFonts w:eastAsia="等线"/>
        </w:rPr>
        <w:t xml:space="preserve"> an HTTP POST request with "{apiRoot}/nnwdaf-</w:t>
      </w:r>
      <w:r>
        <w:rPr>
          <w:rFonts w:eastAsia="等线"/>
        </w:rPr>
        <w:t>vfltraining</w:t>
      </w:r>
      <w:r w:rsidRPr="00311B21">
        <w:rPr>
          <w:rFonts w:eastAsia="等线"/>
        </w:rPr>
        <w:t>/&lt;apiVersion&gt;/subscriptions" as Resource URI representing the "</w:t>
      </w:r>
      <w:r>
        <w:rPr>
          <w:rFonts w:eastAsia="等线"/>
        </w:rPr>
        <w:t>VFL Training</w:t>
      </w:r>
      <w:r w:rsidRPr="00311B21">
        <w:rPr>
          <w:rFonts w:eastAsia="等线"/>
        </w:rPr>
        <w:t xml:space="preserve"> Subscriptions", as shown in figure 4.</w:t>
      </w:r>
      <w:r>
        <w:rPr>
          <w:rFonts w:eastAsia="等线"/>
        </w:rPr>
        <w:t>10</w:t>
      </w:r>
      <w:r w:rsidRPr="00311B21">
        <w:rPr>
          <w:rFonts w:eastAsia="等线"/>
        </w:rPr>
        <w:t>.2.</w:t>
      </w:r>
      <w:r>
        <w:rPr>
          <w:rFonts w:eastAsia="等线"/>
        </w:rPr>
        <w:t>2</w:t>
      </w:r>
      <w:r w:rsidRPr="00311B21">
        <w:rPr>
          <w:rFonts w:eastAsia="等线"/>
        </w:rPr>
        <w:t xml:space="preserve">.2-1, step 1, to create an "Individual </w:t>
      </w:r>
      <w:r>
        <w:rPr>
          <w:rFonts w:eastAsia="等线"/>
        </w:rPr>
        <w:t>VFL Training</w:t>
      </w:r>
      <w:r w:rsidRPr="00311B21">
        <w:rPr>
          <w:rFonts w:eastAsia="等线"/>
        </w:rPr>
        <w:t xml:space="preserve"> Subscription" according to the information in </w:t>
      </w:r>
      <w:r>
        <w:rPr>
          <w:rFonts w:eastAsia="等线"/>
        </w:rPr>
        <w:t xml:space="preserve">the </w:t>
      </w:r>
      <w:r w:rsidRPr="00311B21">
        <w:rPr>
          <w:rFonts w:eastAsia="等线"/>
        </w:rPr>
        <w:t xml:space="preserve">message body. The </w:t>
      </w:r>
      <w:r w:rsidRPr="00856849">
        <w:rPr>
          <w:rFonts w:eastAsia="等线"/>
        </w:rPr>
        <w:t>VflTrain</w:t>
      </w:r>
      <w:r>
        <w:rPr>
          <w:rFonts w:eastAsia="等线"/>
        </w:rPr>
        <w:t>ing</w:t>
      </w:r>
      <w:r w:rsidRPr="00856849">
        <w:rPr>
          <w:rFonts w:eastAsia="等线"/>
        </w:rPr>
        <w:t>Sub</w:t>
      </w:r>
      <w:r>
        <w:rPr>
          <w:rFonts w:eastAsia="等线"/>
        </w:rPr>
        <w:t xml:space="preserve">s </w:t>
      </w:r>
      <w:r w:rsidRPr="00311B21">
        <w:rPr>
          <w:rFonts w:eastAsia="等线"/>
        </w:rPr>
        <w:t xml:space="preserve">data structure provided in the request body shall include: </w:t>
      </w:r>
    </w:p>
    <w:p w14:paraId="020AA58F" w14:textId="77777777" w:rsidR="003D3655" w:rsidRDefault="003D3655" w:rsidP="003D3655">
      <w:pPr>
        <w:pStyle w:val="B1"/>
      </w:pPr>
      <w:r w:rsidRPr="00311B21">
        <w:t>-</w:t>
      </w:r>
      <w:r w:rsidRPr="00311B21">
        <w:tab/>
      </w:r>
      <w:r>
        <w:t>A notification URI within the "notifUri" attribute and a notification correlation identifier within the "notifCorrId" attribute; and</w:t>
      </w:r>
    </w:p>
    <w:p w14:paraId="6D7E04A3" w14:textId="77777777" w:rsidR="003D3655" w:rsidRPr="00311B21" w:rsidRDefault="003D3655" w:rsidP="003D3655">
      <w:pPr>
        <w:pStyle w:val="B1"/>
      </w:pPr>
      <w:r>
        <w:t>-</w:t>
      </w:r>
      <w:r>
        <w:tab/>
        <w:t>VFL training parameters within the "</w:t>
      </w:r>
      <w:r w:rsidRPr="00856849">
        <w:t>vflTrainSub</w:t>
      </w:r>
      <w:r>
        <w:t>" attribute;</w:t>
      </w:r>
    </w:p>
    <w:p w14:paraId="1684C912" w14:textId="77777777" w:rsidR="003D3655" w:rsidRPr="00311B21" w:rsidRDefault="003D3655" w:rsidP="003D3655">
      <w:r w:rsidRPr="00311B21">
        <w:t>and may include:</w:t>
      </w:r>
    </w:p>
    <w:p w14:paraId="7F2278A6" w14:textId="77777777" w:rsidR="003D3655" w:rsidRPr="00B42927" w:rsidRDefault="003D3655" w:rsidP="003D3655">
      <w:pPr>
        <w:pStyle w:val="B1"/>
      </w:pPr>
      <w:r w:rsidRPr="00311B21">
        <w:t>-</w:t>
      </w:r>
      <w:r w:rsidRPr="00311B21">
        <w:tab/>
      </w:r>
      <w:r>
        <w:t>Event reporting requirements within the "eventReq" attribute.</w:t>
      </w:r>
    </w:p>
    <w:p w14:paraId="687B7296" w14:textId="77777777" w:rsidR="003D3655" w:rsidRPr="00311B21" w:rsidRDefault="003D3655" w:rsidP="003D3655">
      <w:r w:rsidRPr="00311B21">
        <w:t>Upon the reception of an HTTP POST request with "{apiRoot}/nnwdaf-</w:t>
      </w:r>
      <w:r>
        <w:t>vfltraining</w:t>
      </w:r>
      <w:r w:rsidRPr="00311B21">
        <w:t xml:space="preserve">/&lt;apiVersion&gt;/subscriptions" as Resource URI and </w:t>
      </w:r>
      <w:r w:rsidRPr="00480C7C">
        <w:t xml:space="preserve">VflTrainSub </w:t>
      </w:r>
      <w:r w:rsidRPr="00311B21">
        <w:t>data structure as request body, the NWDAF</w:t>
      </w:r>
      <w:r>
        <w:t xml:space="preserve"> </w:t>
      </w:r>
      <w:r w:rsidRPr="00311B21">
        <w:t xml:space="preserve">shall: </w:t>
      </w:r>
    </w:p>
    <w:p w14:paraId="62E7CF1D" w14:textId="77777777" w:rsidR="003D3655" w:rsidRPr="00311B21" w:rsidRDefault="003D3655" w:rsidP="003D3655">
      <w:pPr>
        <w:pStyle w:val="B1"/>
      </w:pPr>
      <w:r w:rsidRPr="00311B21">
        <w:t>-</w:t>
      </w:r>
      <w:r w:rsidRPr="00311B21">
        <w:tab/>
        <w:t>create a new subscription;</w:t>
      </w:r>
    </w:p>
    <w:p w14:paraId="72017794" w14:textId="77777777" w:rsidR="003D3655" w:rsidRPr="00311B21" w:rsidRDefault="003D3655" w:rsidP="003D3655">
      <w:pPr>
        <w:pStyle w:val="B1"/>
      </w:pPr>
      <w:r w:rsidRPr="00311B21">
        <w:t>-</w:t>
      </w:r>
      <w:r w:rsidRPr="00311B21">
        <w:tab/>
        <w:t>assign a subscriptionId;</w:t>
      </w:r>
    </w:p>
    <w:p w14:paraId="3D55661F" w14:textId="77777777" w:rsidR="003D3655" w:rsidRPr="00311B21" w:rsidRDefault="003D3655" w:rsidP="003D3655">
      <w:pPr>
        <w:pStyle w:val="B1"/>
      </w:pPr>
      <w:r w:rsidRPr="00311B21">
        <w:t>-</w:t>
      </w:r>
      <w:r w:rsidRPr="00311B21">
        <w:tab/>
        <w:t>store the subscription.</w:t>
      </w:r>
    </w:p>
    <w:p w14:paraId="103B88C2" w14:textId="77777777" w:rsidR="003D3655" w:rsidRDefault="003D3655" w:rsidP="003D3655">
      <w:pPr>
        <w:rPr>
          <w:rFonts w:eastAsia="等线"/>
        </w:rPr>
      </w:pPr>
      <w:r>
        <w:rPr>
          <w:rFonts w:eastAsia="等线"/>
        </w:rPr>
        <w:t xml:space="preserve">If the immediate reporting indication in the "immRep" attribute within the </w:t>
      </w:r>
      <w:r>
        <w:t>"eventReq"</w:t>
      </w:r>
      <w:r>
        <w:rPr>
          <w:rFonts w:eastAsia="等线"/>
        </w:rPr>
        <w:t xml:space="preserve"> attribute sets to "true" during the event subscription, the NWDAF shall include the intermediate VFL training results of the subscribed analytics event, if available,</w:t>
      </w:r>
      <w:r w:rsidRPr="00BA681F">
        <w:t xml:space="preserve"> </w:t>
      </w:r>
      <w:r>
        <w:t>within the "</w:t>
      </w:r>
      <w:r w:rsidRPr="00856849">
        <w:t>vflTrainSub</w:t>
      </w:r>
      <w:r>
        <w:t>" attribute</w:t>
      </w:r>
      <w:r>
        <w:rPr>
          <w:rFonts w:eastAsia="等线"/>
        </w:rPr>
        <w:t xml:space="preserve"> in the HTTP POST response.</w:t>
      </w:r>
    </w:p>
    <w:p w14:paraId="56FA379E" w14:textId="77777777" w:rsidR="003D3655" w:rsidRPr="00311B21" w:rsidRDefault="003D3655" w:rsidP="003D3655">
      <w:r w:rsidRPr="00311B21">
        <w:t xml:space="preserve">If the NWDAF created an "Individual </w:t>
      </w:r>
      <w:r>
        <w:t>VFL Training</w:t>
      </w:r>
      <w:r w:rsidRPr="00311B21">
        <w:t xml:space="preserve"> Subscription" resource, the NWDAF shall respond with "201 Created" with the message body containing a representation of the created subscription, as shown in figure 4.</w:t>
      </w:r>
      <w:r>
        <w:t>10</w:t>
      </w:r>
      <w:r w:rsidRPr="00311B21">
        <w:t>.2.</w:t>
      </w:r>
      <w:r>
        <w:t>2</w:t>
      </w:r>
      <w:r w:rsidRPr="00311B21">
        <w:t>.2-1, step 2. The NWDAF shall include a Location HTTP header field. The Location header field shall contain the URI of the created profile, i.e. "{apiRoot}/nnwdaf-</w:t>
      </w:r>
      <w:r>
        <w:t>vfltraining</w:t>
      </w:r>
      <w:r w:rsidRPr="00311B21">
        <w:t>/&lt;apiVersion&gt;/subscriptions/{subscriptionId}".</w:t>
      </w:r>
    </w:p>
    <w:p w14:paraId="58348AA1" w14:textId="77777777" w:rsidR="003D3655" w:rsidRPr="00311B21" w:rsidRDefault="003D3655" w:rsidP="003D3655">
      <w:r w:rsidRPr="00311B21">
        <w:t>If an error occurs when processing the HTTP POST request, the NWDAF shall send an HTTP error response as specified in clause 5.</w:t>
      </w:r>
      <w:r>
        <w:t>9</w:t>
      </w:r>
      <w:r w:rsidRPr="00311B21">
        <w:t>.7.</w:t>
      </w:r>
    </w:p>
    <w:p w14:paraId="72B72158"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2</w:t>
      </w:r>
      <w:r w:rsidRPr="00311B21">
        <w:rPr>
          <w:rFonts w:ascii="Arial" w:hAnsi="Arial"/>
          <w:sz w:val="22"/>
        </w:rPr>
        <w:t>.3</w:t>
      </w:r>
      <w:r w:rsidRPr="00311B21">
        <w:rPr>
          <w:rFonts w:ascii="Arial" w:hAnsi="Arial"/>
          <w:sz w:val="22"/>
        </w:rPr>
        <w:tab/>
        <w:t xml:space="preserve">Update of subscription for </w:t>
      </w:r>
      <w:r>
        <w:rPr>
          <w:rFonts w:ascii="Arial" w:hAnsi="Arial"/>
          <w:sz w:val="22"/>
        </w:rPr>
        <w:t>VFL training information</w:t>
      </w:r>
    </w:p>
    <w:p w14:paraId="76872B85" w14:textId="77777777" w:rsidR="003D3655" w:rsidRPr="00311B21" w:rsidRDefault="003D3655" w:rsidP="003D3655">
      <w:pPr>
        <w:rPr>
          <w:rFonts w:eastAsia="等线"/>
        </w:rPr>
      </w:pPr>
      <w:r w:rsidRPr="00311B21">
        <w:rPr>
          <w:rFonts w:eastAsia="等线"/>
        </w:rPr>
        <w:t>Figure 4.</w:t>
      </w:r>
      <w:r>
        <w:rPr>
          <w:rFonts w:eastAsia="等线"/>
        </w:rPr>
        <w:t>10</w:t>
      </w:r>
      <w:r w:rsidRPr="00311B21">
        <w:rPr>
          <w:rFonts w:eastAsia="等线"/>
        </w:rPr>
        <w:t>.2.</w:t>
      </w:r>
      <w:r>
        <w:rPr>
          <w:rFonts w:eastAsia="等线"/>
        </w:rPr>
        <w:t>2</w:t>
      </w:r>
      <w:r w:rsidRPr="00311B21">
        <w:rPr>
          <w:rFonts w:eastAsia="等线"/>
        </w:rPr>
        <w:t>.3-1 shows a scenario where the NF service consumer sends a request to the NWDAF to update a subscription</w:t>
      </w:r>
      <w:r w:rsidRPr="00311B21">
        <w:rPr>
          <w:rFonts w:eastAsia="Batang"/>
        </w:rPr>
        <w:t xml:space="preserve"> </w:t>
      </w:r>
      <w:r w:rsidRPr="00311B21">
        <w:rPr>
          <w:rFonts w:eastAsia="等线"/>
        </w:rPr>
        <w:t xml:space="preserve">for </w:t>
      </w:r>
      <w:r w:rsidRPr="007C3908">
        <w:rPr>
          <w:rFonts w:eastAsia="等线"/>
        </w:rPr>
        <w:t>VFL training information</w:t>
      </w:r>
      <w:r w:rsidRPr="00311B21">
        <w:rPr>
          <w:rFonts w:eastAsia="等线"/>
        </w:rPr>
        <w:t>.</w:t>
      </w:r>
    </w:p>
    <w:p w14:paraId="3A9D8594" w14:textId="77777777" w:rsidR="003D3655" w:rsidRPr="00311B21" w:rsidRDefault="003D3655" w:rsidP="003D3655">
      <w:pPr>
        <w:keepNext/>
        <w:keepLines/>
        <w:spacing w:before="60"/>
        <w:jc w:val="center"/>
        <w:rPr>
          <w:rFonts w:ascii="Arial" w:eastAsia="等线" w:hAnsi="Arial"/>
          <w:b/>
        </w:rPr>
      </w:pPr>
      <w:r w:rsidRPr="00311B21">
        <w:rPr>
          <w:rFonts w:ascii="Arial" w:hAnsi="Arial"/>
          <w:b/>
          <w:lang w:eastAsia="en-GB"/>
        </w:rPr>
        <w:object w:dxaOrig="7494" w:dyaOrig="3050" w14:anchorId="5BE45500">
          <v:shape id="_x0000_i1107" type="#_x0000_t75" style="width:406.35pt;height:164.65pt;mso-position-horizontal-relative:page;mso-position-vertical-relative:page" o:ole="">
            <v:imagedata r:id="rId108" o:title=""/>
          </v:shape>
          <o:OLEObject Type="Embed" ProgID="Visio.Drawing.15" ShapeID="_x0000_i1107" DrawAspect="Content" ObjectID="_1810066032" r:id="rId109"/>
        </w:object>
      </w:r>
    </w:p>
    <w:p w14:paraId="481A46C6"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2</w:t>
      </w:r>
      <w:r w:rsidRPr="00311B21">
        <w:rPr>
          <w:rFonts w:ascii="Arial" w:hAnsi="Arial"/>
          <w:b/>
        </w:rPr>
        <w:t xml:space="preserve">.3-1: NF service consumer updates subscription to </w:t>
      </w:r>
      <w:r>
        <w:rPr>
          <w:rFonts w:ascii="Arial" w:hAnsi="Arial"/>
          <w:b/>
        </w:rPr>
        <w:t>VFL training information</w:t>
      </w:r>
    </w:p>
    <w:p w14:paraId="3319E2C3" w14:textId="77777777" w:rsidR="003D3655" w:rsidRPr="00311B21" w:rsidRDefault="003D3655" w:rsidP="003D3655">
      <w:pPr>
        <w:rPr>
          <w:rFonts w:eastAsia="等线"/>
        </w:rPr>
      </w:pPr>
      <w:r w:rsidRPr="00311B21">
        <w:rPr>
          <w:rFonts w:eastAsia="等线"/>
        </w:rPr>
        <w:t>The NF service consumer shall invoke the Nnwdaf_</w:t>
      </w:r>
      <w:r>
        <w:rPr>
          <w:rFonts w:eastAsia="等线"/>
        </w:rPr>
        <w:t>VFLTraining</w:t>
      </w:r>
      <w:r w:rsidRPr="00311B21">
        <w:rPr>
          <w:rFonts w:eastAsia="等线"/>
        </w:rPr>
        <w:t xml:space="preserve">_Subscribe service operation to update a subscription to </w:t>
      </w:r>
      <w:r>
        <w:rPr>
          <w:rFonts w:eastAsia="等线"/>
        </w:rPr>
        <w:t>VFL Training information</w:t>
      </w:r>
      <w:r w:rsidRPr="00311B21">
        <w:rPr>
          <w:rFonts w:eastAsia="等线"/>
        </w:rPr>
        <w:t xml:space="preserve"> by sending an HTTP PUT request with "{apiRoot}/nnwdaf-</w:t>
      </w:r>
      <w:r>
        <w:rPr>
          <w:rFonts w:eastAsia="等线"/>
        </w:rPr>
        <w:t>vfltraining</w:t>
      </w:r>
      <w:r w:rsidRPr="00311B21">
        <w:rPr>
          <w:rFonts w:eastAsia="等线"/>
        </w:rPr>
        <w:t>/&lt;apiVersion&gt;/subscriptions/{subscriptionId}" as Resource URI representing the "</w:t>
      </w:r>
      <w:r w:rsidRPr="007C3908">
        <w:rPr>
          <w:rFonts w:eastAsia="等线"/>
        </w:rPr>
        <w:t>Individual VFL Training Subscription</w:t>
      </w:r>
      <w:r w:rsidRPr="00311B21">
        <w:rPr>
          <w:rFonts w:eastAsia="等线"/>
        </w:rPr>
        <w:t>", as shown in figure 4.</w:t>
      </w:r>
      <w:r>
        <w:rPr>
          <w:rFonts w:eastAsia="等线"/>
        </w:rPr>
        <w:t>10</w:t>
      </w:r>
      <w:r w:rsidRPr="00311B21">
        <w:rPr>
          <w:rFonts w:eastAsia="等线"/>
        </w:rPr>
        <w:t>.2.</w:t>
      </w:r>
      <w:r>
        <w:rPr>
          <w:rFonts w:eastAsia="等线"/>
        </w:rPr>
        <w:t>3</w:t>
      </w:r>
      <w:r w:rsidRPr="00311B21">
        <w:rPr>
          <w:rFonts w:eastAsia="等线"/>
        </w:rPr>
        <w:t>.3-1, step 1, to update this "</w:t>
      </w:r>
      <w:r w:rsidRPr="007C3908">
        <w:rPr>
          <w:rFonts w:eastAsia="等线"/>
        </w:rPr>
        <w:t>Individual VFL Training Subscription</w:t>
      </w:r>
      <w:r w:rsidRPr="00311B21">
        <w:rPr>
          <w:rFonts w:eastAsia="等线"/>
        </w:rPr>
        <w:t xml:space="preserve">" according to the information in message body. The </w:t>
      </w:r>
      <w:r w:rsidRPr="00480C7C">
        <w:rPr>
          <w:rFonts w:eastAsia="等线"/>
        </w:rPr>
        <w:t>VflTrain</w:t>
      </w:r>
      <w:r>
        <w:rPr>
          <w:rFonts w:eastAsia="等线"/>
        </w:rPr>
        <w:t>ing</w:t>
      </w:r>
      <w:r w:rsidRPr="00480C7C">
        <w:rPr>
          <w:rFonts w:eastAsia="等线"/>
        </w:rPr>
        <w:t>Sub</w:t>
      </w:r>
      <w:r>
        <w:rPr>
          <w:rFonts w:eastAsia="等线"/>
        </w:rPr>
        <w:t>s</w:t>
      </w:r>
      <w:r w:rsidRPr="00480C7C">
        <w:rPr>
          <w:rFonts w:eastAsia="等线"/>
        </w:rPr>
        <w:t xml:space="preserve"> </w:t>
      </w:r>
      <w:r w:rsidRPr="00311B21">
        <w:rPr>
          <w:rFonts w:eastAsia="等线"/>
        </w:rPr>
        <w:t>data structure provided in the request body shall include the same contents as in clause 4.</w:t>
      </w:r>
      <w:r>
        <w:rPr>
          <w:rFonts w:eastAsia="等线"/>
        </w:rPr>
        <w:t>10</w:t>
      </w:r>
      <w:r w:rsidRPr="00311B21">
        <w:rPr>
          <w:rFonts w:eastAsia="等线"/>
        </w:rPr>
        <w:t>.2.</w:t>
      </w:r>
      <w:r>
        <w:rPr>
          <w:rFonts w:eastAsia="等线"/>
        </w:rPr>
        <w:t>2</w:t>
      </w:r>
      <w:r w:rsidRPr="00311B21">
        <w:rPr>
          <w:rFonts w:eastAsia="等线"/>
        </w:rPr>
        <w:t>.2.</w:t>
      </w:r>
    </w:p>
    <w:p w14:paraId="031D1B99" w14:textId="77777777" w:rsidR="003D3655" w:rsidRPr="00311B21" w:rsidRDefault="003D3655" w:rsidP="003D3655">
      <w:r w:rsidRPr="00311B21">
        <w:t>Upon the reception of an HTTP PUT request with "{apiRoot}/nnwdaf-</w:t>
      </w:r>
      <w:r>
        <w:t>vfltraining</w:t>
      </w:r>
      <w:r w:rsidRPr="00311B21">
        <w:t>/&lt;apiVersion&gt;/subscriptions</w:t>
      </w:r>
      <w:r w:rsidRPr="00311B21">
        <w:rPr>
          <w:rFonts w:eastAsia="等线"/>
        </w:rPr>
        <w:t>{subscriptionId}</w:t>
      </w:r>
      <w:r w:rsidRPr="00311B21">
        <w:t xml:space="preserve">" as Resource URI and </w:t>
      </w:r>
      <w:r w:rsidRPr="00480C7C">
        <w:t>VflTrain</w:t>
      </w:r>
      <w:r>
        <w:t>ing</w:t>
      </w:r>
      <w:r w:rsidRPr="00480C7C">
        <w:t>Sub</w:t>
      </w:r>
      <w:r>
        <w:t>s</w:t>
      </w:r>
      <w:r w:rsidRPr="00480C7C">
        <w:t xml:space="preserve"> </w:t>
      </w:r>
      <w:r w:rsidRPr="00311B21">
        <w:t xml:space="preserve">data structure as request body, the NWDAF shall: </w:t>
      </w:r>
    </w:p>
    <w:p w14:paraId="0EB87E5F" w14:textId="77777777" w:rsidR="003D3655" w:rsidRPr="00311B21" w:rsidRDefault="003D3655" w:rsidP="003D3655">
      <w:pPr>
        <w:pStyle w:val="B1"/>
      </w:pPr>
      <w:r w:rsidRPr="00311B21">
        <w:t>-</w:t>
      </w:r>
      <w:r w:rsidRPr="00311B21">
        <w:tab/>
        <w:t>update the subscription of corresponding subscriptionId; and</w:t>
      </w:r>
    </w:p>
    <w:p w14:paraId="56D4C86C" w14:textId="77777777" w:rsidR="003D3655" w:rsidRPr="00311B21" w:rsidRDefault="003D3655" w:rsidP="003D3655">
      <w:pPr>
        <w:pStyle w:val="B1"/>
      </w:pPr>
      <w:r w:rsidRPr="00311B21">
        <w:t>-</w:t>
      </w:r>
      <w:r w:rsidRPr="00311B21">
        <w:tab/>
        <w:t>store the subscription.</w:t>
      </w:r>
    </w:p>
    <w:p w14:paraId="3C19B3C5" w14:textId="77777777" w:rsidR="003D3655" w:rsidRPr="00311B21" w:rsidRDefault="003D3655" w:rsidP="003D3655">
      <w:r w:rsidRPr="00311B21">
        <w:t>If the NWDAF succesfully update</w:t>
      </w:r>
      <w:r>
        <w:t>s</w:t>
      </w:r>
      <w:r w:rsidRPr="00311B21">
        <w:t xml:space="preserve"> the "</w:t>
      </w:r>
      <w:r w:rsidRPr="007C3908">
        <w:t>Individual VFL Training Subscription</w:t>
      </w:r>
      <w:r w:rsidRPr="00311B21">
        <w:t xml:space="preserve">" resource, the NWDAF shall respond with "200 OK" with the message body containing a representation of the </w:t>
      </w:r>
      <w:r>
        <w:t>updated</w:t>
      </w:r>
      <w:r w:rsidRPr="00311B21">
        <w:t xml:space="preserve"> subscription, as shown in figure 4.</w:t>
      </w:r>
      <w:r>
        <w:t>10</w:t>
      </w:r>
      <w:r w:rsidRPr="00311B21">
        <w:t>.2.</w:t>
      </w:r>
      <w:r>
        <w:t>2</w:t>
      </w:r>
      <w:r w:rsidRPr="00311B21">
        <w:t>.3-1, step 2a, or with "204 No Content" as shown in figure 4.</w:t>
      </w:r>
      <w:r>
        <w:t>10</w:t>
      </w:r>
      <w:r w:rsidRPr="00311B21">
        <w:t>.2.</w:t>
      </w:r>
      <w:r>
        <w:t>2</w:t>
      </w:r>
      <w:r w:rsidRPr="00311B21">
        <w:t>.3-1, step 2b.</w:t>
      </w:r>
    </w:p>
    <w:p w14:paraId="411272EB" w14:textId="77777777" w:rsidR="003D3655" w:rsidRPr="00311B21" w:rsidRDefault="003D3655" w:rsidP="003D3655">
      <w:r w:rsidRPr="00311B21">
        <w:t>If an error occurs when processing the HTTP PUT request, the NWDAF shall send an HTTP error response as specified in clause 5.</w:t>
      </w:r>
      <w:r>
        <w:t>9</w:t>
      </w:r>
      <w:r w:rsidRPr="00311B21">
        <w:t>.7.</w:t>
      </w:r>
    </w:p>
    <w:p w14:paraId="7BCF7FDA" w14:textId="77777777" w:rsidR="003D3655" w:rsidRPr="00BB060C" w:rsidRDefault="003D3655" w:rsidP="003D3655">
      <w:r w:rsidRPr="00311B21">
        <w:t>If the NWDAF determines that the received HTTP PUT request needs to be redirected, the NWDAF shall send an HTTP redirect response as specified in clause </w:t>
      </w:r>
      <w:r w:rsidRPr="00311B21">
        <w:rPr>
          <w:lang w:eastAsia="zh-CN"/>
        </w:rPr>
        <w:t xml:space="preserve">6.10.9 of </w:t>
      </w:r>
      <w:r w:rsidRPr="00311B21">
        <w:rPr>
          <w:lang w:val="en-US"/>
        </w:rPr>
        <w:t>3GPP TS 29.500 [6]</w:t>
      </w:r>
      <w:r w:rsidRPr="00311B21">
        <w:t>.</w:t>
      </w:r>
    </w:p>
    <w:p w14:paraId="6268D045"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.2.</w:t>
      </w:r>
      <w:r>
        <w:rPr>
          <w:rFonts w:ascii="Arial" w:hAnsi="Arial"/>
          <w:sz w:val="24"/>
        </w:rPr>
        <w:t>3</w:t>
      </w:r>
      <w:r w:rsidRPr="00311B21">
        <w:rPr>
          <w:rFonts w:ascii="Arial" w:hAnsi="Arial"/>
          <w:sz w:val="24"/>
        </w:rPr>
        <w:tab/>
        <w:t>Nnwdaf_</w:t>
      </w:r>
      <w:r>
        <w:rPr>
          <w:rFonts w:ascii="Arial" w:hAnsi="Arial"/>
          <w:sz w:val="24"/>
        </w:rPr>
        <w:t>VFLTraining</w:t>
      </w:r>
      <w:r w:rsidRPr="00311B21">
        <w:rPr>
          <w:rFonts w:ascii="Arial" w:hAnsi="Arial"/>
          <w:sz w:val="24"/>
        </w:rPr>
        <w:t>_Unsubscribe service operation</w:t>
      </w:r>
    </w:p>
    <w:p w14:paraId="6A0ACD7E"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3</w:t>
      </w:r>
      <w:r w:rsidRPr="00311B21">
        <w:rPr>
          <w:rFonts w:ascii="Arial" w:hAnsi="Arial"/>
          <w:sz w:val="22"/>
        </w:rPr>
        <w:t>.1</w:t>
      </w:r>
      <w:r w:rsidRPr="00311B21">
        <w:rPr>
          <w:rFonts w:ascii="Arial" w:hAnsi="Arial"/>
          <w:sz w:val="22"/>
        </w:rPr>
        <w:tab/>
        <w:t>General</w:t>
      </w:r>
    </w:p>
    <w:p w14:paraId="3B7A403A" w14:textId="77777777" w:rsidR="003D3655" w:rsidRPr="00311B21" w:rsidRDefault="003D3655" w:rsidP="003D3655">
      <w:r w:rsidRPr="00311B21">
        <w:rPr>
          <w:lang w:eastAsia="zh-CN"/>
        </w:rPr>
        <w:t>The Nnwdaf_</w:t>
      </w:r>
      <w:r>
        <w:rPr>
          <w:lang w:eastAsia="zh-CN"/>
        </w:rPr>
        <w:t>VFLTraining</w:t>
      </w:r>
      <w:r w:rsidRPr="00311B21">
        <w:rPr>
          <w:lang w:eastAsia="zh-CN"/>
        </w:rPr>
        <w:t>_Unsubscribe service operation is used by an NF service consumer</w:t>
      </w:r>
      <w:r>
        <w:rPr>
          <w:lang w:eastAsia="zh-CN"/>
        </w:rPr>
        <w:t xml:space="preserve"> </w:t>
      </w:r>
      <w:r w:rsidRPr="00311B21">
        <w:rPr>
          <w:lang w:eastAsia="zh-CN"/>
        </w:rPr>
        <w:t xml:space="preserve">to </w:t>
      </w:r>
      <w:r w:rsidRPr="00311B21">
        <w:t xml:space="preserve">unsubscribe from </w:t>
      </w:r>
      <w:r>
        <w:rPr>
          <w:lang w:eastAsia="zh-CN"/>
        </w:rPr>
        <w:t>VFL training information</w:t>
      </w:r>
      <w:r w:rsidRPr="00311B21">
        <w:rPr>
          <w:lang w:eastAsia="zh-CN"/>
        </w:rPr>
        <w:t>.</w:t>
      </w:r>
    </w:p>
    <w:p w14:paraId="5BFEC8A9"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3</w:t>
      </w:r>
      <w:r w:rsidRPr="00311B21">
        <w:rPr>
          <w:rFonts w:ascii="Arial" w:hAnsi="Arial"/>
          <w:sz w:val="22"/>
        </w:rPr>
        <w:t>.2</w:t>
      </w:r>
      <w:r w:rsidRPr="00311B21">
        <w:rPr>
          <w:rFonts w:ascii="Arial" w:hAnsi="Arial"/>
          <w:sz w:val="22"/>
        </w:rPr>
        <w:tab/>
        <w:t xml:space="preserve">Unsubscribe from </w:t>
      </w:r>
      <w:r>
        <w:rPr>
          <w:rFonts w:ascii="Arial" w:hAnsi="Arial"/>
          <w:sz w:val="22"/>
        </w:rPr>
        <w:t>VFL training information</w:t>
      </w:r>
    </w:p>
    <w:p w14:paraId="5864E232" w14:textId="77777777" w:rsidR="003D3655" w:rsidRPr="00311B21" w:rsidRDefault="003D3655" w:rsidP="003D3655">
      <w:pPr>
        <w:rPr>
          <w:rFonts w:eastAsia="等线"/>
        </w:rPr>
      </w:pPr>
      <w:r w:rsidRPr="00311B21">
        <w:rPr>
          <w:rFonts w:eastAsia="等线"/>
        </w:rPr>
        <w:t>Figure 4.</w:t>
      </w:r>
      <w:r>
        <w:rPr>
          <w:rFonts w:eastAsia="等线"/>
        </w:rPr>
        <w:t>10</w:t>
      </w:r>
      <w:r w:rsidRPr="00311B21">
        <w:rPr>
          <w:rFonts w:eastAsia="等线"/>
        </w:rPr>
        <w:t>.2.</w:t>
      </w:r>
      <w:r>
        <w:rPr>
          <w:rFonts w:eastAsia="等线"/>
        </w:rPr>
        <w:t>3</w:t>
      </w:r>
      <w:r w:rsidRPr="00311B21">
        <w:rPr>
          <w:rFonts w:eastAsia="等线"/>
        </w:rPr>
        <w:t xml:space="preserve">.2-1 shows a scenario where the NF service consumer sends a request to the NWDAF to </w:t>
      </w:r>
      <w:r w:rsidRPr="00311B21">
        <w:t xml:space="preserve">unsubscribe from </w:t>
      </w:r>
      <w:r>
        <w:t>VFL training information</w:t>
      </w:r>
      <w:r w:rsidRPr="00311B21">
        <w:rPr>
          <w:rFonts w:eastAsia="等线"/>
        </w:rPr>
        <w:t>.</w:t>
      </w:r>
    </w:p>
    <w:p w14:paraId="31467A19" w14:textId="77777777" w:rsidR="003D3655" w:rsidRDefault="003D3655" w:rsidP="003D3655">
      <w:pPr>
        <w:keepNext/>
        <w:keepLines/>
        <w:spacing w:before="60"/>
        <w:jc w:val="center"/>
        <w:rPr>
          <w:rFonts w:ascii="Arial" w:eastAsia="等线" w:hAnsi="Arial"/>
          <w:b/>
          <w:lang w:eastAsia="en-GB"/>
        </w:rPr>
      </w:pPr>
      <w:r w:rsidRPr="00311B21">
        <w:rPr>
          <w:rFonts w:ascii="Arial" w:eastAsia="等线" w:hAnsi="Arial"/>
          <w:b/>
          <w:lang w:eastAsia="en-GB"/>
        </w:rPr>
        <w:object w:dxaOrig="9007" w:dyaOrig="2961" w14:anchorId="619DC8A0">
          <v:shape id="_x0000_i1108" type="#_x0000_t75" style="width:482.7pt;height:159.65pt;mso-position-horizontal-relative:page;mso-position-vertical-relative:page" o:ole="">
            <v:imagedata r:id="rId110" o:title=""/>
          </v:shape>
          <o:OLEObject Type="Embed" ProgID="Visio.Drawing.15" ShapeID="_x0000_i1108" DrawAspect="Content" ObjectID="_1810066033" r:id="rId111"/>
        </w:object>
      </w:r>
    </w:p>
    <w:p w14:paraId="77C6D411" w14:textId="77777777" w:rsidR="003D3655" w:rsidRPr="00311B21" w:rsidRDefault="003D3655" w:rsidP="003D3655">
      <w:pPr>
        <w:keepNext/>
        <w:keepLines/>
        <w:spacing w:before="6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3</w:t>
      </w:r>
      <w:r w:rsidRPr="00311B21">
        <w:rPr>
          <w:rFonts w:ascii="Arial" w:hAnsi="Arial"/>
          <w:b/>
        </w:rPr>
        <w:t xml:space="preserve">.2-1: NF service consumer unsubscribes from </w:t>
      </w:r>
      <w:r>
        <w:rPr>
          <w:rFonts w:ascii="Arial" w:hAnsi="Arial"/>
          <w:b/>
        </w:rPr>
        <w:t>VFL training information</w:t>
      </w:r>
    </w:p>
    <w:p w14:paraId="21C278DA" w14:textId="77777777" w:rsidR="003D3655" w:rsidRPr="00311B21" w:rsidRDefault="003D3655" w:rsidP="003D3655">
      <w:pPr>
        <w:rPr>
          <w:rFonts w:eastAsia="等线"/>
        </w:rPr>
      </w:pPr>
      <w:r w:rsidRPr="00311B21">
        <w:rPr>
          <w:rFonts w:eastAsia="等线"/>
        </w:rPr>
        <w:t>The NF service consumer shall invoke the Nnwdaf_</w:t>
      </w:r>
      <w:r>
        <w:rPr>
          <w:rFonts w:eastAsia="等线"/>
        </w:rPr>
        <w:t>VFLTraining</w:t>
      </w:r>
      <w:r w:rsidRPr="00311B21">
        <w:rPr>
          <w:rFonts w:eastAsia="等线"/>
        </w:rPr>
        <w:t xml:space="preserve">_Unsubscribe service operation to unsubscribe </w:t>
      </w:r>
      <w:r>
        <w:rPr>
          <w:rFonts w:eastAsia="等线"/>
        </w:rPr>
        <w:t>from</w:t>
      </w:r>
      <w:r w:rsidRPr="00311B21">
        <w:rPr>
          <w:rFonts w:eastAsia="等线"/>
        </w:rPr>
        <w:t xml:space="preserve"> </w:t>
      </w:r>
      <w:r>
        <w:rPr>
          <w:rFonts w:eastAsia="等线"/>
        </w:rPr>
        <w:t>VFL training information by</w:t>
      </w:r>
      <w:r w:rsidRPr="00311B21">
        <w:rPr>
          <w:rFonts w:eastAsia="等线"/>
        </w:rPr>
        <w:t xml:space="preserve"> send</w:t>
      </w:r>
      <w:r>
        <w:rPr>
          <w:rFonts w:eastAsia="等线"/>
        </w:rPr>
        <w:t>ing</w:t>
      </w:r>
      <w:r w:rsidRPr="00311B21">
        <w:rPr>
          <w:rFonts w:eastAsia="等线"/>
        </w:rPr>
        <w:t xml:space="preserve"> an HTTP DELETE request with: "{apiRoot}/nnwdaf-</w:t>
      </w:r>
      <w:r>
        <w:rPr>
          <w:rFonts w:eastAsia="等线"/>
        </w:rPr>
        <w:t>vfltraining</w:t>
      </w:r>
      <w:r w:rsidRPr="00311B21">
        <w:rPr>
          <w:rFonts w:eastAsia="等线"/>
        </w:rPr>
        <w:t xml:space="preserve">/&lt;apiVersion&gt;/subscriptions/{subscriptionId}" as Resource URI, where "{subscriptionId}" is the subscription </w:t>
      </w:r>
      <w:r>
        <w:rPr>
          <w:rFonts w:eastAsia="等线"/>
        </w:rPr>
        <w:t>identifier</w:t>
      </w:r>
      <w:r w:rsidRPr="00311B21">
        <w:rPr>
          <w:rFonts w:eastAsia="等线"/>
        </w:rPr>
        <w:t xml:space="preserve"> of the existing subscription that is </w:t>
      </w:r>
      <w:r>
        <w:rPr>
          <w:rFonts w:eastAsia="等线"/>
        </w:rPr>
        <w:t xml:space="preserve">requested </w:t>
      </w:r>
      <w:r w:rsidRPr="00311B21">
        <w:rPr>
          <w:rFonts w:eastAsia="等线"/>
        </w:rPr>
        <w:t>to be deleted.</w:t>
      </w:r>
    </w:p>
    <w:p w14:paraId="3CA31398" w14:textId="77777777" w:rsidR="003D3655" w:rsidRPr="00311B21" w:rsidRDefault="003D3655" w:rsidP="003D3655">
      <w:pPr>
        <w:rPr>
          <w:rFonts w:eastAsia="等线"/>
        </w:rPr>
      </w:pPr>
      <w:r w:rsidRPr="00311B21">
        <w:rPr>
          <w:rFonts w:eastAsia="等线"/>
        </w:rPr>
        <w:t>Upon the reception of an HTTP DELETE request with: "{apiRoot}/nnwdaf-</w:t>
      </w:r>
      <w:r>
        <w:rPr>
          <w:rFonts w:eastAsia="等线"/>
        </w:rPr>
        <w:t>vfltraining</w:t>
      </w:r>
      <w:r w:rsidRPr="00311B21">
        <w:rPr>
          <w:rFonts w:eastAsia="等线"/>
        </w:rPr>
        <w:t>/&lt;apiVersion&gt;/subscriptions/{subscriptionId}" as Resource URI, if the NWDAF successfully processed and accepted the received HTTP DELETE request, the NWDAF</w:t>
      </w:r>
      <w:r w:rsidRPr="00311B21">
        <w:rPr>
          <w:lang w:eastAsia="zh-CN"/>
        </w:rPr>
        <w:t xml:space="preserve"> </w:t>
      </w:r>
      <w:r w:rsidRPr="00311B21">
        <w:rPr>
          <w:rFonts w:eastAsia="等线"/>
        </w:rPr>
        <w:t xml:space="preserve">shall: </w:t>
      </w:r>
    </w:p>
    <w:p w14:paraId="5733843C" w14:textId="77777777" w:rsidR="003D3655" w:rsidRPr="00311B21" w:rsidRDefault="003D3655" w:rsidP="003D3655">
      <w:pPr>
        <w:pStyle w:val="B1"/>
      </w:pPr>
      <w:r w:rsidRPr="00311B21">
        <w:t>-</w:t>
      </w:r>
      <w:r w:rsidRPr="00311B21">
        <w:tab/>
        <w:t>remove the corresponding subscription; and</w:t>
      </w:r>
    </w:p>
    <w:p w14:paraId="6E64DFB7" w14:textId="77777777" w:rsidR="003D3655" w:rsidRPr="00311B21" w:rsidRDefault="003D3655" w:rsidP="003D3655">
      <w:pPr>
        <w:pStyle w:val="B1"/>
      </w:pPr>
      <w:r w:rsidRPr="00311B21">
        <w:t>-</w:t>
      </w:r>
      <w:r w:rsidRPr="00311B21">
        <w:tab/>
        <w:t>respond</w:t>
      </w:r>
      <w:r w:rsidRPr="00311B21">
        <w:rPr>
          <w:rFonts w:eastAsia="Batang"/>
        </w:rPr>
        <w:t xml:space="preserve"> </w:t>
      </w:r>
      <w:r w:rsidRPr="00311B21">
        <w:t>with HTTP "204 No Content" status code.</w:t>
      </w:r>
    </w:p>
    <w:p w14:paraId="2EE75B3B" w14:textId="77777777" w:rsidR="003D3655" w:rsidRPr="00311B21" w:rsidRDefault="003D3655" w:rsidP="003D3655">
      <w:r w:rsidRPr="00311B21">
        <w:t>If the NWDAF</w:t>
      </w:r>
      <w:r w:rsidRPr="00311B21">
        <w:rPr>
          <w:lang w:eastAsia="zh-CN"/>
        </w:rPr>
        <w:t xml:space="preserve"> </w:t>
      </w:r>
      <w:r w:rsidRPr="00311B21">
        <w:t>determines the received HTTP DELETE request needs to be redirected, the NWDAF</w:t>
      </w:r>
      <w:r w:rsidRPr="00311B21">
        <w:rPr>
          <w:lang w:eastAsia="zh-CN"/>
        </w:rPr>
        <w:t xml:space="preserve"> </w:t>
      </w:r>
      <w:r w:rsidRPr="00311B21">
        <w:t>shall send an HTTP redirect response as specified in clause </w:t>
      </w:r>
      <w:r w:rsidRPr="00311B21">
        <w:rPr>
          <w:lang w:eastAsia="zh-CN"/>
        </w:rPr>
        <w:t xml:space="preserve">6.10.9 of </w:t>
      </w:r>
      <w:r w:rsidRPr="00311B21">
        <w:rPr>
          <w:lang w:val="en-US"/>
        </w:rPr>
        <w:t>3GPP TS 29.500 [6]</w:t>
      </w:r>
      <w:r w:rsidRPr="00311B21">
        <w:t>.</w:t>
      </w:r>
    </w:p>
    <w:p w14:paraId="7CA3A1B3" w14:textId="77777777" w:rsidR="003D3655" w:rsidRPr="00311B21" w:rsidRDefault="003D3655" w:rsidP="003D3655">
      <w:r w:rsidRPr="00311B21">
        <w:t>If an error occurs when processing the HTTP DELETE request, the NWDAF</w:t>
      </w:r>
      <w:r w:rsidRPr="00311B21">
        <w:rPr>
          <w:lang w:eastAsia="zh-CN"/>
        </w:rPr>
        <w:t xml:space="preserve"> </w:t>
      </w:r>
      <w:r w:rsidRPr="00311B21">
        <w:t>shall send an HTTP error response as specified in clause 5.</w:t>
      </w:r>
      <w:r>
        <w:t>9</w:t>
      </w:r>
      <w:r w:rsidRPr="00311B21">
        <w:t>.7.</w:t>
      </w:r>
    </w:p>
    <w:p w14:paraId="2C7F43DE" w14:textId="77777777" w:rsidR="003D3655" w:rsidRPr="00311B21" w:rsidRDefault="003D3655" w:rsidP="003D3655">
      <w:pPr>
        <w:keepNext/>
        <w:keepLines/>
        <w:spacing w:before="120"/>
        <w:ind w:left="1418" w:hanging="1418"/>
        <w:outlineLvl w:val="3"/>
        <w:rPr>
          <w:rFonts w:ascii="Arial" w:hAnsi="Arial"/>
          <w:sz w:val="24"/>
        </w:rPr>
      </w:pPr>
      <w:r w:rsidRPr="00311B21">
        <w:rPr>
          <w:rFonts w:ascii="Arial" w:hAnsi="Arial"/>
          <w:sz w:val="24"/>
        </w:rPr>
        <w:t>4.</w:t>
      </w:r>
      <w:r>
        <w:rPr>
          <w:rFonts w:ascii="Arial" w:hAnsi="Arial"/>
          <w:sz w:val="24"/>
        </w:rPr>
        <w:t>10</w:t>
      </w:r>
      <w:r w:rsidRPr="00311B21">
        <w:rPr>
          <w:rFonts w:ascii="Arial" w:hAnsi="Arial"/>
          <w:sz w:val="24"/>
        </w:rPr>
        <w:t>.2.</w:t>
      </w:r>
      <w:r>
        <w:rPr>
          <w:rFonts w:ascii="Arial" w:hAnsi="Arial"/>
          <w:sz w:val="24"/>
        </w:rPr>
        <w:t>4</w:t>
      </w:r>
      <w:r w:rsidRPr="00311B21">
        <w:rPr>
          <w:rFonts w:ascii="Arial" w:hAnsi="Arial"/>
          <w:sz w:val="24"/>
        </w:rPr>
        <w:tab/>
        <w:t>Nnwdaf_</w:t>
      </w:r>
      <w:r>
        <w:rPr>
          <w:rFonts w:ascii="Arial" w:hAnsi="Arial"/>
          <w:sz w:val="24"/>
        </w:rPr>
        <w:t>VFLTraining</w:t>
      </w:r>
      <w:r w:rsidRPr="00311B21">
        <w:rPr>
          <w:rFonts w:ascii="Arial" w:hAnsi="Arial"/>
          <w:sz w:val="24"/>
        </w:rPr>
        <w:t>_Notify service operation</w:t>
      </w:r>
    </w:p>
    <w:p w14:paraId="295B6E99"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4</w:t>
      </w:r>
      <w:r w:rsidRPr="00311B21">
        <w:rPr>
          <w:rFonts w:ascii="Arial" w:hAnsi="Arial"/>
          <w:sz w:val="22"/>
        </w:rPr>
        <w:t>.1</w:t>
      </w:r>
      <w:r w:rsidRPr="00311B21">
        <w:rPr>
          <w:rFonts w:ascii="Arial" w:hAnsi="Arial"/>
          <w:sz w:val="22"/>
        </w:rPr>
        <w:tab/>
        <w:t>General</w:t>
      </w:r>
    </w:p>
    <w:p w14:paraId="33AE99FB" w14:textId="77777777" w:rsidR="003D3655" w:rsidRPr="00311B21" w:rsidRDefault="003D3655" w:rsidP="003D3655">
      <w:pPr>
        <w:rPr>
          <w:lang w:eastAsia="zh-CN"/>
        </w:rPr>
      </w:pPr>
      <w:r w:rsidRPr="00311B21">
        <w:rPr>
          <w:lang w:eastAsia="zh-CN"/>
        </w:rPr>
        <w:t>The Nnwdaf_</w:t>
      </w:r>
      <w:r>
        <w:rPr>
          <w:lang w:eastAsia="zh-CN"/>
        </w:rPr>
        <w:t>VFLTraining</w:t>
      </w:r>
      <w:r w:rsidRPr="00311B21">
        <w:rPr>
          <w:lang w:eastAsia="zh-CN"/>
        </w:rPr>
        <w:t xml:space="preserve">_Notify service operation is used by an NWDAF to notify NF </w:t>
      </w:r>
      <w:r>
        <w:rPr>
          <w:lang w:eastAsia="zh-CN"/>
        </w:rPr>
        <w:t xml:space="preserve">an </w:t>
      </w:r>
      <w:r w:rsidRPr="00311B21">
        <w:rPr>
          <w:lang w:eastAsia="zh-CN"/>
        </w:rPr>
        <w:t xml:space="preserve">service consumer about the subscribed </w:t>
      </w:r>
      <w:r>
        <w:rPr>
          <w:lang w:eastAsia="zh-CN"/>
        </w:rPr>
        <w:t>VFL training information</w:t>
      </w:r>
      <w:r w:rsidRPr="00311B21">
        <w:rPr>
          <w:lang w:eastAsia="zh-CN"/>
        </w:rPr>
        <w:t>.</w:t>
      </w:r>
    </w:p>
    <w:p w14:paraId="4C560714" w14:textId="77777777" w:rsidR="003D3655" w:rsidRPr="00311B21" w:rsidRDefault="003D3655" w:rsidP="003D3655">
      <w:pPr>
        <w:keepNext/>
        <w:keepLines/>
        <w:spacing w:before="120"/>
        <w:ind w:left="1701" w:hanging="1701"/>
        <w:outlineLvl w:val="4"/>
        <w:rPr>
          <w:rFonts w:ascii="Arial" w:hAnsi="Arial"/>
          <w:sz w:val="22"/>
        </w:rPr>
      </w:pPr>
      <w:r w:rsidRPr="00311B21">
        <w:rPr>
          <w:rFonts w:ascii="Arial" w:hAnsi="Arial"/>
          <w:sz w:val="22"/>
        </w:rPr>
        <w:t>4.</w:t>
      </w:r>
      <w:r>
        <w:rPr>
          <w:rFonts w:ascii="Arial" w:hAnsi="Arial"/>
          <w:sz w:val="22"/>
        </w:rPr>
        <w:t>10</w:t>
      </w:r>
      <w:r w:rsidRPr="00311B21">
        <w:rPr>
          <w:rFonts w:ascii="Arial" w:hAnsi="Arial"/>
          <w:sz w:val="22"/>
        </w:rPr>
        <w:t>.2.</w:t>
      </w:r>
      <w:r>
        <w:rPr>
          <w:rFonts w:ascii="Arial" w:hAnsi="Arial"/>
          <w:sz w:val="22"/>
        </w:rPr>
        <w:t>4</w:t>
      </w:r>
      <w:r w:rsidRPr="00311B21">
        <w:rPr>
          <w:rFonts w:ascii="Arial" w:hAnsi="Arial"/>
          <w:sz w:val="22"/>
        </w:rPr>
        <w:t>.2</w:t>
      </w:r>
      <w:r w:rsidRPr="00311B21">
        <w:rPr>
          <w:rFonts w:ascii="Arial" w:hAnsi="Arial"/>
          <w:sz w:val="22"/>
        </w:rPr>
        <w:tab/>
        <w:t xml:space="preserve">Notification about </w:t>
      </w:r>
      <w:r>
        <w:rPr>
          <w:rFonts w:ascii="Arial" w:hAnsi="Arial"/>
          <w:sz w:val="22"/>
        </w:rPr>
        <w:t>VFL training information</w:t>
      </w:r>
    </w:p>
    <w:p w14:paraId="1B5A5C64" w14:textId="77777777" w:rsidR="003D3655" w:rsidRPr="00311B21" w:rsidRDefault="003D3655" w:rsidP="003D3655">
      <w:pPr>
        <w:rPr>
          <w:rFonts w:eastAsia="等线"/>
        </w:rPr>
      </w:pPr>
      <w:r w:rsidRPr="00311B21">
        <w:rPr>
          <w:rFonts w:eastAsia="等线"/>
        </w:rPr>
        <w:t>Figure 4.</w:t>
      </w:r>
      <w:r>
        <w:rPr>
          <w:rFonts w:eastAsia="等线"/>
        </w:rPr>
        <w:t>10</w:t>
      </w:r>
      <w:r w:rsidRPr="00311B21">
        <w:rPr>
          <w:rFonts w:eastAsia="等线"/>
        </w:rPr>
        <w:t>.2.</w:t>
      </w:r>
      <w:r>
        <w:rPr>
          <w:rFonts w:eastAsia="等线"/>
        </w:rPr>
        <w:t>4</w:t>
      </w:r>
      <w:r w:rsidRPr="00311B21">
        <w:rPr>
          <w:rFonts w:eastAsia="等线"/>
        </w:rPr>
        <w:t>.2-1 shows a scenario where the NWDAF sends a request to notify</w:t>
      </w:r>
      <w:r w:rsidRPr="00311B21">
        <w:rPr>
          <w:rFonts w:eastAsia="Batang"/>
        </w:rPr>
        <w:t xml:space="preserve"> </w:t>
      </w:r>
      <w:r w:rsidRPr="00311B21">
        <w:rPr>
          <w:rFonts w:eastAsia="等线"/>
        </w:rPr>
        <w:t xml:space="preserve">for </w:t>
      </w:r>
      <w:r>
        <w:rPr>
          <w:rFonts w:eastAsia="等线"/>
        </w:rPr>
        <w:t>VFL training information</w:t>
      </w:r>
      <w:r w:rsidRPr="00311B21">
        <w:rPr>
          <w:rFonts w:eastAsia="等线"/>
        </w:rPr>
        <w:t>.</w:t>
      </w:r>
    </w:p>
    <w:p w14:paraId="74971ECC" w14:textId="77777777" w:rsidR="003D3655" w:rsidRPr="00311B21" w:rsidRDefault="003D3655" w:rsidP="003D3655">
      <w:pPr>
        <w:keepNext/>
        <w:keepLines/>
        <w:spacing w:before="60"/>
        <w:jc w:val="center"/>
        <w:rPr>
          <w:rFonts w:ascii="Arial" w:eastAsia="等线" w:hAnsi="Arial"/>
          <w:b/>
        </w:rPr>
      </w:pPr>
      <w:r w:rsidRPr="00311B21">
        <w:rPr>
          <w:rFonts w:ascii="Arial" w:hAnsi="Arial"/>
          <w:b/>
          <w:lang w:val="en-US" w:eastAsia="zh-CN"/>
        </w:rPr>
        <w:object w:dxaOrig="8690" w:dyaOrig="2380" w14:anchorId="7D2683FA">
          <v:shape id="_x0000_i1109" type="#_x0000_t75" style="width:488.35pt;height:134pt" o:ole="">
            <v:imagedata r:id="rId112" o:title=""/>
          </v:shape>
          <o:OLEObject Type="Embed" ProgID="Visio.Drawing.15" ShapeID="_x0000_i1109" DrawAspect="Content" ObjectID="_1810066034" r:id="rId113"/>
        </w:object>
      </w:r>
    </w:p>
    <w:p w14:paraId="64857A55" w14:textId="77777777" w:rsidR="003D3655" w:rsidRPr="00311B21" w:rsidRDefault="003D3655" w:rsidP="003D3655">
      <w:pPr>
        <w:keepLines/>
        <w:spacing w:after="240"/>
        <w:jc w:val="center"/>
        <w:rPr>
          <w:rFonts w:ascii="Arial" w:hAnsi="Arial"/>
          <w:b/>
        </w:rPr>
      </w:pPr>
      <w:r w:rsidRPr="00311B21">
        <w:rPr>
          <w:rFonts w:ascii="Arial" w:hAnsi="Arial"/>
          <w:b/>
        </w:rPr>
        <w:t>Figure 4.</w:t>
      </w:r>
      <w:r>
        <w:rPr>
          <w:rFonts w:ascii="Arial" w:hAnsi="Arial"/>
          <w:b/>
        </w:rPr>
        <w:t>10</w:t>
      </w:r>
      <w:r w:rsidRPr="00311B21">
        <w:rPr>
          <w:rFonts w:ascii="Arial" w:hAnsi="Arial"/>
          <w:b/>
        </w:rPr>
        <w:t>.2.</w:t>
      </w:r>
      <w:r>
        <w:rPr>
          <w:rFonts w:ascii="Arial" w:hAnsi="Arial"/>
          <w:b/>
        </w:rPr>
        <w:t>4</w:t>
      </w:r>
      <w:r w:rsidRPr="00311B21">
        <w:rPr>
          <w:rFonts w:ascii="Arial" w:hAnsi="Arial"/>
          <w:b/>
        </w:rPr>
        <w:t>.2-1: NWDAF notifies the</w:t>
      </w:r>
      <w:r w:rsidRPr="00311B21">
        <w:rPr>
          <w:rFonts w:ascii="Arial" w:eastAsia="Batang" w:hAnsi="Arial"/>
          <w:b/>
        </w:rPr>
        <w:t xml:space="preserve"> </w:t>
      </w:r>
      <w:r w:rsidRPr="00311B21">
        <w:rPr>
          <w:rFonts w:ascii="Arial" w:hAnsi="Arial"/>
          <w:b/>
        </w:rPr>
        <w:t>subscribed event</w:t>
      </w:r>
    </w:p>
    <w:p w14:paraId="6FB30364" w14:textId="77777777" w:rsidR="003D3655" w:rsidRPr="00311B21" w:rsidRDefault="003D3655" w:rsidP="003D3655">
      <w:pPr>
        <w:rPr>
          <w:rFonts w:eastAsia="等线"/>
        </w:rPr>
      </w:pPr>
      <w:r w:rsidRPr="00311B21">
        <w:rPr>
          <w:rFonts w:eastAsia="等线"/>
        </w:rPr>
        <w:lastRenderedPageBreak/>
        <w:t>The NWDAF</w:t>
      </w:r>
      <w:r w:rsidRPr="00311B21">
        <w:rPr>
          <w:lang w:eastAsia="zh-CN"/>
        </w:rPr>
        <w:t xml:space="preserve"> </w:t>
      </w:r>
      <w:r w:rsidRPr="00311B21">
        <w:rPr>
          <w:rFonts w:eastAsia="等线"/>
        </w:rPr>
        <w:t>shall invoke the Nnwdaf_</w:t>
      </w:r>
      <w:r>
        <w:rPr>
          <w:rFonts w:eastAsia="等线"/>
        </w:rPr>
        <w:t>VFLTraining</w:t>
      </w:r>
      <w:r w:rsidRPr="00311B21">
        <w:rPr>
          <w:rFonts w:eastAsia="等线"/>
        </w:rPr>
        <w:t xml:space="preserve">_Notify service operation to notify the subscribed </w:t>
      </w:r>
      <w:r>
        <w:rPr>
          <w:rFonts w:eastAsia="等线"/>
        </w:rPr>
        <w:t>VFL training information</w:t>
      </w:r>
      <w:r w:rsidRPr="00311B21">
        <w:rPr>
          <w:rFonts w:eastAsia="等线"/>
        </w:rPr>
        <w:t>. The NWDAF</w:t>
      </w:r>
      <w:r w:rsidRPr="00311B21">
        <w:rPr>
          <w:lang w:eastAsia="zh-CN"/>
        </w:rPr>
        <w:t xml:space="preserve"> </w:t>
      </w:r>
      <w:r w:rsidRPr="00311B21">
        <w:rPr>
          <w:rFonts w:eastAsia="等线"/>
        </w:rPr>
        <w:t xml:space="preserve">shall send an HTTP POST request with </w:t>
      </w:r>
      <w:r>
        <w:rPr>
          <w:rFonts w:eastAsia="等线"/>
        </w:rPr>
        <w:t xml:space="preserve">the </w:t>
      </w:r>
      <w:r w:rsidRPr="00311B21">
        <w:rPr>
          <w:rFonts w:eastAsia="等线"/>
        </w:rPr>
        <w:t>"{notifUri}" received in the Nnwdaf_</w:t>
      </w:r>
      <w:r>
        <w:rPr>
          <w:rFonts w:eastAsia="等线"/>
        </w:rPr>
        <w:t>VFLTraining</w:t>
      </w:r>
      <w:r w:rsidRPr="00311B21">
        <w:rPr>
          <w:rFonts w:eastAsia="等线"/>
        </w:rPr>
        <w:t>_</w:t>
      </w:r>
      <w:r w:rsidRPr="00311B21">
        <w:t>Subscribe</w:t>
      </w:r>
      <w:r w:rsidRPr="00311B21">
        <w:rPr>
          <w:rFonts w:eastAsia="等线"/>
        </w:rPr>
        <w:t xml:space="preserve"> service operation as Resource URI, as shown in figure 4.</w:t>
      </w:r>
      <w:r>
        <w:rPr>
          <w:rFonts w:eastAsia="等线"/>
        </w:rPr>
        <w:t>10.</w:t>
      </w:r>
      <w:r w:rsidRPr="00311B21">
        <w:rPr>
          <w:rFonts w:eastAsia="等线"/>
        </w:rPr>
        <w:t>2.</w:t>
      </w:r>
      <w:r>
        <w:rPr>
          <w:rFonts w:eastAsia="等线"/>
        </w:rPr>
        <w:t>4</w:t>
      </w:r>
      <w:r w:rsidRPr="00311B21">
        <w:rPr>
          <w:rFonts w:eastAsia="等线"/>
        </w:rPr>
        <w:t xml:space="preserve">.2-1, step 1. The </w:t>
      </w:r>
      <w:r w:rsidRPr="003D0B0F">
        <w:rPr>
          <w:rFonts w:eastAsia="等线"/>
        </w:rPr>
        <w:t>VflTrain</w:t>
      </w:r>
      <w:r>
        <w:rPr>
          <w:rFonts w:eastAsia="等线"/>
        </w:rPr>
        <w:t xml:space="preserve">ingNotify </w:t>
      </w:r>
      <w:r w:rsidRPr="00311B21">
        <w:rPr>
          <w:rFonts w:eastAsia="等线"/>
        </w:rPr>
        <w:t>data structure provided in the request body that shall include:</w:t>
      </w:r>
    </w:p>
    <w:p w14:paraId="4195FE7A" w14:textId="77777777" w:rsidR="003D3655" w:rsidRDefault="003D3655" w:rsidP="003D3655">
      <w:pPr>
        <w:pStyle w:val="B1"/>
        <w:rPr>
          <w:lang w:val="en-US" w:eastAsia="zh-CN"/>
        </w:rPr>
      </w:pPr>
      <w:r w:rsidRPr="00311B21">
        <w:rPr>
          <w:rFonts w:eastAsia="等线"/>
        </w:rPr>
        <w:t>-</w:t>
      </w:r>
      <w:r w:rsidRPr="00311B21">
        <w:rPr>
          <w:rFonts w:eastAsia="等线"/>
        </w:rPr>
        <w:tab/>
      </w:r>
      <w:r>
        <w:rPr>
          <w:rFonts w:eastAsia="等线"/>
        </w:rPr>
        <w:t>A notification correlation identifier within the "notifCorrId" attribute</w:t>
      </w:r>
      <w:r>
        <w:rPr>
          <w:lang w:eastAsia="zh-CN"/>
        </w:rPr>
        <w:t>.</w:t>
      </w:r>
    </w:p>
    <w:p w14:paraId="32505E92" w14:textId="77777777" w:rsidR="003D3655" w:rsidRDefault="003D3655" w:rsidP="003D3655">
      <w:pPr>
        <w:pStyle w:val="B1"/>
        <w:ind w:left="0" w:firstLine="0"/>
        <w:rPr>
          <w:lang w:val="en-US" w:eastAsia="zh-CN"/>
        </w:rPr>
      </w:pPr>
      <w:r>
        <w:rPr>
          <w:rFonts w:eastAsia="等线"/>
        </w:rPr>
        <w:t>and may include</w:t>
      </w:r>
      <w:r w:rsidRPr="00D37893">
        <w:rPr>
          <w:lang w:val="en-US" w:eastAsia="zh-CN"/>
        </w:rPr>
        <w:t>:</w:t>
      </w:r>
    </w:p>
    <w:p w14:paraId="5048CF1F" w14:textId="77777777" w:rsidR="003D3655" w:rsidRDefault="003D3655" w:rsidP="003D3655">
      <w:pPr>
        <w:pStyle w:val="B2"/>
      </w:pPr>
      <w:r>
        <w:t>-</w:t>
      </w:r>
      <w:r>
        <w:tab/>
        <w:t>i</w:t>
      </w:r>
      <w:r w:rsidRPr="009C720C">
        <w:t xml:space="preserve">ntermediate model training results </w:t>
      </w:r>
      <w:r>
        <w:t>within the "</w:t>
      </w:r>
      <w:r w:rsidRPr="009C720C">
        <w:t>intermed</w:t>
      </w:r>
      <w:r>
        <w:t>iateInfo" attribute.</w:t>
      </w:r>
    </w:p>
    <w:p w14:paraId="143EA810" w14:textId="77777777" w:rsidR="003D3655" w:rsidRDefault="003D3655" w:rsidP="003D3655">
      <w:pPr>
        <w:pStyle w:val="B2"/>
      </w:pPr>
      <w:r>
        <w:t>-</w:t>
      </w:r>
      <w:r>
        <w:tab/>
        <w:t>an ML Model metric within the "modelMetric" attribute; and</w:t>
      </w:r>
    </w:p>
    <w:p w14:paraId="42C23272" w14:textId="77777777" w:rsidR="003D3655" w:rsidRDefault="003D3655" w:rsidP="003D3655">
      <w:pPr>
        <w:pStyle w:val="B2"/>
      </w:pPr>
      <w:r>
        <w:t>-</w:t>
      </w:r>
      <w:r>
        <w:tab/>
      </w:r>
      <w:r w:rsidRPr="00A30324">
        <w:t>the local ML model accuracy value</w:t>
      </w:r>
      <w:r>
        <w:t xml:space="preserve"> within the "</w:t>
      </w:r>
      <w:r w:rsidRPr="00A30324">
        <w:t>accMlModel</w:t>
      </w:r>
      <w:r>
        <w:t>" attribute.</w:t>
      </w:r>
    </w:p>
    <w:p w14:paraId="2F1627F1" w14:textId="77777777" w:rsidR="003D3655" w:rsidRPr="00311B21" w:rsidRDefault="003D3655" w:rsidP="003D3655">
      <w:pPr>
        <w:rPr>
          <w:rFonts w:eastAsia="等线"/>
        </w:rPr>
      </w:pPr>
      <w:r w:rsidRPr="00311B21">
        <w:rPr>
          <w:rFonts w:eastAsia="等线"/>
        </w:rPr>
        <w:t xml:space="preserve">Upon the reception of an HTTP POST request, if the NF service consumer successfully processed and accepted the received HTTP POST request, the NF Service Consumer shall </w:t>
      </w:r>
      <w:r w:rsidRPr="00311B21">
        <w:t xml:space="preserve">store the notification and </w:t>
      </w:r>
      <w:r w:rsidRPr="00311B21">
        <w:rPr>
          <w:rFonts w:eastAsia="等线"/>
        </w:rPr>
        <w:t>respond with HTTP "204 No Content" status code.</w:t>
      </w:r>
    </w:p>
    <w:p w14:paraId="00070AF1" w14:textId="77777777" w:rsidR="003D3655" w:rsidRPr="00311B21" w:rsidRDefault="003D3655" w:rsidP="003D3655">
      <w:r w:rsidRPr="00311B21">
        <w:t xml:space="preserve">If the </w:t>
      </w:r>
      <w:r w:rsidRPr="00311B21">
        <w:rPr>
          <w:rFonts w:eastAsia="等线"/>
        </w:rPr>
        <w:t>NF service consumer</w:t>
      </w:r>
      <w:r w:rsidRPr="00311B21">
        <w:rPr>
          <w:lang w:eastAsia="zh-CN"/>
        </w:rPr>
        <w:t xml:space="preserve"> </w:t>
      </w:r>
      <w:r w:rsidRPr="00311B21">
        <w:t xml:space="preserve">determines the received HTTP </w:t>
      </w:r>
      <w:r w:rsidRPr="00311B21">
        <w:rPr>
          <w:rFonts w:eastAsia="等线"/>
        </w:rPr>
        <w:t xml:space="preserve">POST </w:t>
      </w:r>
      <w:r w:rsidRPr="00311B21">
        <w:t xml:space="preserve">request needs to be redirected, the </w:t>
      </w:r>
      <w:r w:rsidRPr="00311B21">
        <w:rPr>
          <w:rFonts w:eastAsia="等线"/>
        </w:rPr>
        <w:t>NF service consumer</w:t>
      </w:r>
      <w:r w:rsidRPr="00311B21">
        <w:t xml:space="preserve"> shall send an HTTP redirect response as specified in clause </w:t>
      </w:r>
      <w:r w:rsidRPr="00311B21">
        <w:rPr>
          <w:lang w:eastAsia="zh-CN"/>
        </w:rPr>
        <w:t xml:space="preserve">6.10.9 of </w:t>
      </w:r>
      <w:r w:rsidRPr="00311B21">
        <w:rPr>
          <w:lang w:val="en-US"/>
        </w:rPr>
        <w:t>3GPP TS 29.500 [6]</w:t>
      </w:r>
      <w:r w:rsidRPr="00311B21">
        <w:t>.</w:t>
      </w:r>
    </w:p>
    <w:p w14:paraId="293B707B" w14:textId="77777777" w:rsidR="003D3655" w:rsidRPr="00311B21" w:rsidRDefault="003D3655" w:rsidP="003D3655">
      <w:r w:rsidRPr="00311B21">
        <w:t xml:space="preserve">If an error occurs when processing the HTTP </w:t>
      </w:r>
      <w:r w:rsidRPr="00311B21">
        <w:rPr>
          <w:rFonts w:eastAsia="等线"/>
        </w:rPr>
        <w:t xml:space="preserve">POST </w:t>
      </w:r>
      <w:r w:rsidRPr="00311B21">
        <w:t xml:space="preserve">request, the </w:t>
      </w:r>
      <w:r w:rsidRPr="00311B21">
        <w:rPr>
          <w:rFonts w:eastAsia="等线"/>
        </w:rPr>
        <w:t>NF service consumer</w:t>
      </w:r>
      <w:r w:rsidRPr="00311B21">
        <w:rPr>
          <w:lang w:eastAsia="zh-CN"/>
        </w:rPr>
        <w:t xml:space="preserve"> </w:t>
      </w:r>
      <w:r w:rsidRPr="00311B21">
        <w:t>shall send an HTTP error response as specified in clause 5.</w:t>
      </w:r>
      <w:r>
        <w:t>9</w:t>
      </w:r>
      <w:r w:rsidRPr="00311B21">
        <w:t>.7.</w:t>
      </w:r>
    </w:p>
    <w:p w14:paraId="0F7F60B1" w14:textId="62AA87AB" w:rsidR="009E3903" w:rsidRPr="00323063" w:rsidRDefault="009E3903" w:rsidP="009E3903">
      <w:pPr>
        <w:pStyle w:val="2"/>
      </w:pPr>
      <w:bookmarkStart w:id="3856" w:name="_Toc164920729"/>
      <w:bookmarkStart w:id="3857" w:name="_Toc170120271"/>
      <w:bookmarkStart w:id="3858" w:name="_Toc175858516"/>
      <w:bookmarkStart w:id="3859" w:name="_Toc175859589"/>
      <w:bookmarkStart w:id="3860" w:name="_Toc180605879"/>
      <w:bookmarkStart w:id="3861" w:name="_Toc185517133"/>
      <w:bookmarkStart w:id="3862" w:name="_Toc191576184"/>
      <w:bookmarkStart w:id="3863" w:name="_Toc191576924"/>
      <w:bookmarkStart w:id="3864" w:name="_Toc192879994"/>
      <w:bookmarkStart w:id="3865" w:name="_Toc195814877"/>
      <w:bookmarkStart w:id="3866" w:name="_Toc199452824"/>
      <w:r>
        <w:t>4.11</w:t>
      </w:r>
      <w:r>
        <w:tab/>
      </w:r>
      <w:r>
        <w:rPr>
          <w:rFonts w:hint="eastAsia"/>
          <w:lang w:eastAsia="zh-CN"/>
        </w:rPr>
        <w:t>N</w:t>
      </w:r>
      <w:r>
        <w:rPr>
          <w:lang w:eastAsia="zh-CN"/>
        </w:rPr>
        <w:t>nwdaf_VFL Inference</w:t>
      </w:r>
      <w:r>
        <w:t xml:space="preserve"> Service</w:t>
      </w:r>
      <w:bookmarkEnd w:id="3866"/>
    </w:p>
    <w:p w14:paraId="24AD1834" w14:textId="77777777" w:rsidR="009E3903" w:rsidRDefault="009E3903" w:rsidP="009E3903">
      <w:pPr>
        <w:pStyle w:val="3"/>
      </w:pPr>
      <w:bookmarkStart w:id="3867" w:name="_Toc199452825"/>
      <w:r>
        <w:t>4.11.1</w:t>
      </w:r>
      <w:r>
        <w:tab/>
        <w:t>Service Description</w:t>
      </w:r>
      <w:bookmarkEnd w:id="3867"/>
    </w:p>
    <w:p w14:paraId="1F865BAF" w14:textId="77777777" w:rsidR="009E3903" w:rsidRDefault="009E3903" w:rsidP="009E3903">
      <w:pPr>
        <w:pStyle w:val="4"/>
        <w:rPr>
          <w:lang w:eastAsia="zh-CN"/>
        </w:rPr>
      </w:pPr>
      <w:bookmarkStart w:id="3868" w:name="_Toc199452826"/>
      <w:r>
        <w:t>4.11.</w:t>
      </w:r>
      <w:r>
        <w:rPr>
          <w:rFonts w:hint="eastAsia"/>
          <w:lang w:eastAsia="zh-CN"/>
        </w:rPr>
        <w:t>1</w:t>
      </w:r>
      <w:r>
        <w:rPr>
          <w:lang w:eastAsia="zh-CN"/>
        </w:rPr>
        <w:t>.1</w:t>
      </w:r>
      <w:r>
        <w:tab/>
      </w:r>
      <w:r>
        <w:rPr>
          <w:rFonts w:hint="eastAsia"/>
          <w:lang w:eastAsia="zh-CN"/>
        </w:rPr>
        <w:t>Overview</w:t>
      </w:r>
      <w:bookmarkEnd w:id="3868"/>
    </w:p>
    <w:p w14:paraId="0078056C" w14:textId="77777777" w:rsidR="009E3903" w:rsidRDefault="009E3903" w:rsidP="009E3903">
      <w:r>
        <w:t>The Nnwdaf_VFLInference service as defined in 3GPP TS 23.288 [17], is provided by the Network Data Analytics Function (NWDAF) acting as VFL client.</w:t>
      </w:r>
    </w:p>
    <w:p w14:paraId="1774A03B" w14:textId="77777777" w:rsidR="009E3903" w:rsidRDefault="009E3903" w:rsidP="009E3903">
      <w:r>
        <w:t>This service allows the NF service consumers acting as VFL servers:</w:t>
      </w:r>
    </w:p>
    <w:p w14:paraId="7033C06A" w14:textId="77777777" w:rsidR="009E3903" w:rsidRDefault="009E3903" w:rsidP="009E3903">
      <w:pPr>
        <w:pStyle w:val="B1"/>
      </w:pPr>
      <w:r>
        <w:t>-</w:t>
      </w:r>
      <w:r>
        <w:tab/>
        <w:t>to subscribe to and unsubscribe from different VFL inference events;</w:t>
      </w:r>
    </w:p>
    <w:p w14:paraId="0C6984B4" w14:textId="77777777" w:rsidR="009E3903" w:rsidRPr="00DA6E23" w:rsidRDefault="009E3903" w:rsidP="009E3903">
      <w:pPr>
        <w:pStyle w:val="B1"/>
      </w:pPr>
      <w:r>
        <w:t>-</w:t>
      </w:r>
      <w:r>
        <w:tab/>
        <w:t>to modify VFL inference subscriptions; and</w:t>
      </w:r>
    </w:p>
    <w:p w14:paraId="4714B5B2" w14:textId="77777777" w:rsidR="009E3903" w:rsidRDefault="009E3903" w:rsidP="009E3903">
      <w:pPr>
        <w:pStyle w:val="B1"/>
      </w:pPr>
      <w:r>
        <w:t>-</w:t>
      </w:r>
      <w:r>
        <w:tab/>
        <w:t>be notified about events for corresponding VFL inference subscriptions.</w:t>
      </w:r>
    </w:p>
    <w:p w14:paraId="008B525F" w14:textId="77777777" w:rsidR="009E3903" w:rsidRDefault="009E3903" w:rsidP="009E3903">
      <w:pPr>
        <w:pStyle w:val="4"/>
      </w:pPr>
      <w:bookmarkStart w:id="3869" w:name="_Toc199452827"/>
      <w:r>
        <w:t>4.11.</w:t>
      </w:r>
      <w:r>
        <w:rPr>
          <w:rFonts w:hint="eastAsia"/>
        </w:rPr>
        <w:t>1</w:t>
      </w:r>
      <w:r>
        <w:t>.2</w:t>
      </w:r>
      <w:r>
        <w:rPr>
          <w:rFonts w:hint="eastAsia"/>
        </w:rPr>
        <w:tab/>
      </w:r>
      <w:r>
        <w:t>Service Architecture</w:t>
      </w:r>
      <w:bookmarkEnd w:id="3869"/>
    </w:p>
    <w:p w14:paraId="7BE3BEC8" w14:textId="77777777" w:rsidR="009E3903" w:rsidRDefault="009E3903" w:rsidP="009E3903">
      <w:r>
        <w:t>The 5G System Architecture is defined in 3GPP TS 23.501 [2]. The Network Data Analytics Exposure architecture is defined in 3GPP TS 23.288 [17]. The VFL signalling flows are defined in 3GPP TS 29.552 [25].</w:t>
      </w:r>
    </w:p>
    <w:p w14:paraId="6B1AE84E" w14:textId="77777777" w:rsidR="009E3903" w:rsidRDefault="009E3903" w:rsidP="009E3903">
      <w:r>
        <w:t>The Nnwdaf_VFLInference service is part of the Nnwdaf service-based interface exhibited by the Network Data Analytics Function (NWDAF).</w:t>
      </w:r>
    </w:p>
    <w:p w14:paraId="024EE210" w14:textId="77777777" w:rsidR="009E3903" w:rsidRDefault="009E3903" w:rsidP="009E3903">
      <w:pPr>
        <w:tabs>
          <w:tab w:val="left" w:pos="5859"/>
        </w:tabs>
      </w:pPr>
      <w:r>
        <w:t>Known consumers of the Nnwdaf_VFLInference service are:</w:t>
      </w:r>
    </w:p>
    <w:p w14:paraId="27433EAE" w14:textId="77777777" w:rsidR="009E3903" w:rsidRDefault="009E3903" w:rsidP="009E3903">
      <w:r>
        <w:t>-</w:t>
      </w:r>
      <w:r>
        <w:tab/>
        <w:t>Network Data Analytics Function (NWDAF).</w:t>
      </w:r>
    </w:p>
    <w:p w14:paraId="59C85BE6" w14:textId="77777777" w:rsidR="009E3903" w:rsidRDefault="009E3903" w:rsidP="009E3903">
      <w:r>
        <w:t>-</w:t>
      </w:r>
      <w:r>
        <w:tab/>
        <w:t>Application Function (AF).</w:t>
      </w:r>
    </w:p>
    <w:p w14:paraId="767A6A5B" w14:textId="77777777" w:rsidR="009E3903" w:rsidRDefault="009E3903" w:rsidP="009E3903">
      <w:r>
        <w:t>-</w:t>
      </w:r>
      <w:r>
        <w:tab/>
        <w:t>Network Exposure Function (NEF).</w:t>
      </w:r>
    </w:p>
    <w:p w14:paraId="514F232A" w14:textId="77777777" w:rsidR="009E3903" w:rsidRDefault="009E3903" w:rsidP="009E3903">
      <w:pPr>
        <w:pStyle w:val="TH"/>
        <w:rPr>
          <w:lang w:val="en-US"/>
        </w:rPr>
      </w:pPr>
      <w:r>
        <w:rPr>
          <w:lang w:val="en-US"/>
        </w:rPr>
        <w:object w:dxaOrig="4152" w:dyaOrig="2065" w14:anchorId="781411E0">
          <v:shape id="_x0000_i1273" type="#_x0000_t75" style="width:229.15pt;height:111.45pt" o:ole="">
            <v:imagedata r:id="rId114" o:title=""/>
          </v:shape>
          <o:OLEObject Type="Embed" ProgID="Visio.Drawing.15" ShapeID="_x0000_i1273" DrawAspect="Content" ObjectID="_1810066035" r:id="rId115"/>
        </w:object>
      </w:r>
    </w:p>
    <w:p w14:paraId="6404D0B5" w14:textId="77777777" w:rsidR="009E3903" w:rsidRDefault="009E3903" w:rsidP="009E3903">
      <w:pPr>
        <w:pStyle w:val="TF"/>
      </w:pPr>
      <w:r>
        <w:t>Figure 4.11.1.2-1</w:t>
      </w:r>
      <w:r>
        <w:rPr>
          <w:lang w:eastAsia="zh-CN"/>
        </w:rPr>
        <w:t>:</w:t>
      </w:r>
      <w:r>
        <w:t xml:space="preserve"> Reference Architecture for the Nnwdaf_VFLInference service; SBI representation</w:t>
      </w:r>
    </w:p>
    <w:p w14:paraId="27C7906A" w14:textId="77777777" w:rsidR="009E3903" w:rsidRDefault="009E3903" w:rsidP="009E3903">
      <w:pPr>
        <w:pStyle w:val="TH"/>
        <w:rPr>
          <w:lang w:val="en-US" w:eastAsia="zh-CN"/>
        </w:rPr>
      </w:pPr>
      <w:r>
        <w:rPr>
          <w:lang w:val="en-US"/>
        </w:rPr>
        <w:object w:dxaOrig="10416" w:dyaOrig="2484" w14:anchorId="34FEA6E7">
          <v:shape id="_x0000_i1274" type="#_x0000_t75" style="width:478.35pt;height:113.3pt" o:ole="">
            <v:imagedata r:id="rId116" o:title=""/>
          </v:shape>
          <o:OLEObject Type="Embed" ProgID="Visio.Drawing.15" ShapeID="_x0000_i1274" DrawAspect="Content" ObjectID="_1810066036" r:id="rId117"/>
        </w:object>
      </w:r>
    </w:p>
    <w:p w14:paraId="2DFBF220" w14:textId="77777777" w:rsidR="009E3903" w:rsidRDefault="009E3903" w:rsidP="009E3903">
      <w:pPr>
        <w:pStyle w:val="TF"/>
      </w:pPr>
      <w:r>
        <w:t>Figure 4.11.1.2-2</w:t>
      </w:r>
      <w:r>
        <w:rPr>
          <w:lang w:eastAsia="zh-CN"/>
        </w:rPr>
        <w:t>:</w:t>
      </w:r>
      <w:r>
        <w:t xml:space="preserve"> Reference Architecture for the Nnwdaf_VFLinference service: reference point representation</w:t>
      </w:r>
    </w:p>
    <w:p w14:paraId="35847145" w14:textId="77777777" w:rsidR="009E3903" w:rsidRDefault="009E3903" w:rsidP="009E3903">
      <w:pPr>
        <w:pStyle w:val="4"/>
        <w:rPr>
          <w:lang w:val="en-US"/>
        </w:rPr>
      </w:pPr>
      <w:bookmarkStart w:id="3870" w:name="_Toc199452828"/>
      <w:r>
        <w:rPr>
          <w:lang w:val="en-US"/>
        </w:rPr>
        <w:t>4.11.</w:t>
      </w:r>
      <w:r>
        <w:rPr>
          <w:rFonts w:hint="eastAsia"/>
          <w:lang w:val="en-US" w:eastAsia="zh-CN"/>
        </w:rPr>
        <w:t>1.3</w:t>
      </w:r>
      <w:r>
        <w:rPr>
          <w:lang w:val="en-US"/>
        </w:rPr>
        <w:tab/>
        <w:t>Network Functions</w:t>
      </w:r>
      <w:bookmarkEnd w:id="3870"/>
    </w:p>
    <w:p w14:paraId="34FA2E06" w14:textId="77777777" w:rsidR="009E3903" w:rsidRDefault="009E3903" w:rsidP="009E3903">
      <w:pPr>
        <w:pStyle w:val="5"/>
        <w:rPr>
          <w:lang w:eastAsia="zh-CN"/>
        </w:rPr>
      </w:pPr>
      <w:bookmarkStart w:id="3871" w:name="_Toc199452829"/>
      <w:r>
        <w:t>4.11.</w:t>
      </w:r>
      <w:r>
        <w:rPr>
          <w:rFonts w:hint="eastAsia"/>
          <w:lang w:eastAsia="zh-CN"/>
        </w:rPr>
        <w:t>1.3.1</w:t>
      </w:r>
      <w:r>
        <w:tab/>
      </w:r>
      <w:r>
        <w:rPr>
          <w:lang w:val="en-US"/>
        </w:rPr>
        <w:t>Network Data Analytics Function (NWDAF)</w:t>
      </w:r>
      <w:bookmarkEnd w:id="3871"/>
    </w:p>
    <w:p w14:paraId="7CC45A5E" w14:textId="77777777" w:rsidR="009E3903" w:rsidRDefault="009E3903" w:rsidP="009E3903">
      <w:r>
        <w:t>The Network Data Analytics Function (NWDAF), provides VFL inference for different analytic events to NF</w:t>
      </w:r>
      <w:r>
        <w:rPr>
          <w:rFonts w:eastAsia="等线"/>
        </w:rPr>
        <w:t xml:space="preserve"> service</w:t>
      </w:r>
      <w:r>
        <w:t xml:space="preserve"> consumers.</w:t>
      </w:r>
    </w:p>
    <w:p w14:paraId="13CBBF36" w14:textId="77777777" w:rsidR="009E3903" w:rsidRDefault="009E3903" w:rsidP="009E3903">
      <w:r>
        <w:t xml:space="preserve">The Network Data Analytics Function (NWDAF) allows NF </w:t>
      </w:r>
      <w:r>
        <w:rPr>
          <w:rFonts w:eastAsia="等线"/>
        </w:rPr>
        <w:t xml:space="preserve">service </w:t>
      </w:r>
      <w:r>
        <w:t>consumers to subscribe to and unsubscribe from one-time, periodic notification or notification when a VFL inference event is detected.</w:t>
      </w:r>
    </w:p>
    <w:p w14:paraId="0A734639" w14:textId="77777777" w:rsidR="009E3903" w:rsidRDefault="009E3903" w:rsidP="009E3903">
      <w:pPr>
        <w:pStyle w:val="5"/>
        <w:rPr>
          <w:lang w:eastAsia="zh-CN"/>
        </w:rPr>
      </w:pPr>
      <w:bookmarkStart w:id="3872" w:name="_Toc199452830"/>
      <w:r>
        <w:t>4.11.</w:t>
      </w:r>
      <w:r>
        <w:rPr>
          <w:lang w:eastAsia="zh-CN"/>
        </w:rPr>
        <w:t>1.3.2</w:t>
      </w:r>
      <w:r>
        <w:tab/>
      </w:r>
      <w:r>
        <w:rPr>
          <w:lang w:eastAsia="zh-CN"/>
        </w:rPr>
        <w:t>NF Service Consumers</w:t>
      </w:r>
      <w:bookmarkEnd w:id="3872"/>
    </w:p>
    <w:p w14:paraId="0359B6C0" w14:textId="77777777" w:rsidR="009E3903" w:rsidRDefault="009E3903" w:rsidP="009E3903">
      <w:pPr>
        <w:rPr>
          <w:lang w:val="en-US"/>
        </w:rPr>
      </w:pPr>
      <w:r>
        <w:t>The Network Data Analytics Function (NWDAF), Application Function (AF) and Network Exposure Function (NEF) support (un)subscription to the notification of different VFL inference events.</w:t>
      </w:r>
    </w:p>
    <w:p w14:paraId="23C4A683" w14:textId="77777777" w:rsidR="009E3903" w:rsidRDefault="009E3903" w:rsidP="009E3903">
      <w:pPr>
        <w:pStyle w:val="3"/>
      </w:pPr>
      <w:bookmarkStart w:id="3873" w:name="_Toc199452831"/>
      <w:r>
        <w:t>4.11.2</w:t>
      </w:r>
      <w:r>
        <w:tab/>
        <w:t>Service Operations</w:t>
      </w:r>
      <w:bookmarkEnd w:id="3873"/>
    </w:p>
    <w:p w14:paraId="4A34C35C" w14:textId="77777777" w:rsidR="009E3903" w:rsidRDefault="009E3903" w:rsidP="009E3903">
      <w:pPr>
        <w:pStyle w:val="4"/>
        <w:rPr>
          <w:lang w:eastAsia="zh-CN"/>
        </w:rPr>
      </w:pPr>
      <w:bookmarkStart w:id="3874" w:name="_Toc199452832"/>
      <w:r>
        <w:t>4.11.2.1</w:t>
      </w:r>
      <w:r>
        <w:tab/>
        <w:t>Introduction</w:t>
      </w:r>
      <w:bookmarkEnd w:id="3874"/>
    </w:p>
    <w:p w14:paraId="65377D1B"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4.11.2.1-1: Operations of the </w:t>
      </w:r>
      <w:r>
        <w:rPr>
          <w:rFonts w:hint="eastAsia"/>
          <w:lang w:eastAsia="zh-CN"/>
        </w:rPr>
        <w:t>Nnwdaf_VFLInference</w:t>
      </w:r>
      <w:r>
        <w:rPr>
          <w:lang w:eastAsia="zh-CN"/>
        </w:rPr>
        <w:t xml:space="preserve"> </w:t>
      </w:r>
      <w:r>
        <w:rPr>
          <w:rFonts w:hint="eastAsia"/>
          <w:lang w:eastAsia="zh-CN"/>
        </w:rPr>
        <w:t>service</w:t>
      </w:r>
    </w:p>
    <w:tbl>
      <w:tblPr>
        <w:tblW w:w="9748" w:type="dxa"/>
        <w:tblInd w:w="1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158"/>
        <w:gridCol w:w="4486"/>
        <w:gridCol w:w="2104"/>
      </w:tblGrid>
      <w:tr w:rsidR="009E3903" w14:paraId="42900C6B" w14:textId="77777777" w:rsidTr="00902260">
        <w:trPr>
          <w:cantSplit/>
          <w:tblHeader/>
        </w:trPr>
        <w:tc>
          <w:tcPr>
            <w:tcW w:w="3158" w:type="dxa"/>
            <w:shd w:val="clear" w:color="000000" w:fill="C0C0C0"/>
          </w:tcPr>
          <w:p w14:paraId="1CC7691A" w14:textId="77777777" w:rsidR="009E3903" w:rsidRDefault="009E3903" w:rsidP="00902260">
            <w:pPr>
              <w:pStyle w:val="TAH"/>
            </w:pPr>
            <w:r>
              <w:t>Service operation name</w:t>
            </w:r>
          </w:p>
        </w:tc>
        <w:tc>
          <w:tcPr>
            <w:tcW w:w="4486" w:type="dxa"/>
            <w:shd w:val="clear" w:color="000000" w:fill="C0C0C0"/>
          </w:tcPr>
          <w:p w14:paraId="2917BA54" w14:textId="77777777" w:rsidR="009E3903" w:rsidRDefault="009E3903" w:rsidP="00902260">
            <w:pPr>
              <w:pStyle w:val="TAH"/>
            </w:pPr>
            <w:r>
              <w:t>Description</w:t>
            </w:r>
          </w:p>
        </w:tc>
        <w:tc>
          <w:tcPr>
            <w:tcW w:w="2104" w:type="dxa"/>
            <w:shd w:val="clear" w:color="000000" w:fill="C0C0C0"/>
          </w:tcPr>
          <w:p w14:paraId="0E53DE9E" w14:textId="77777777" w:rsidR="009E3903" w:rsidRDefault="009E3903" w:rsidP="00902260">
            <w:pPr>
              <w:pStyle w:val="TAH"/>
            </w:pPr>
            <w:r>
              <w:t>Initiated by</w:t>
            </w:r>
          </w:p>
        </w:tc>
      </w:tr>
      <w:tr w:rsidR="009E3903" w14:paraId="57D93F8D" w14:textId="77777777" w:rsidTr="00902260">
        <w:trPr>
          <w:cantSplit/>
          <w:trHeight w:val="331"/>
        </w:trPr>
        <w:tc>
          <w:tcPr>
            <w:tcW w:w="3158" w:type="dxa"/>
          </w:tcPr>
          <w:p w14:paraId="2B39477A" w14:textId="77777777" w:rsidR="009E3903" w:rsidRPr="00584B78" w:rsidRDefault="009E3903" w:rsidP="00902260">
            <w:pPr>
              <w:rPr>
                <w:rFonts w:ascii="Arial" w:hAnsi="Arial"/>
                <w:strike/>
                <w:sz w:val="18"/>
                <w:highlight w:val="yellow"/>
              </w:rPr>
            </w:pPr>
            <w:r>
              <w:rPr>
                <w:rFonts w:ascii="Arial" w:hAnsi="Arial"/>
                <w:sz w:val="18"/>
              </w:rPr>
              <w:t>Nnwdaf_VFLInference_Subscribe</w:t>
            </w:r>
          </w:p>
        </w:tc>
        <w:tc>
          <w:tcPr>
            <w:tcW w:w="4486" w:type="dxa"/>
          </w:tcPr>
          <w:p w14:paraId="4F77EEA8" w14:textId="77777777" w:rsidR="009E3903" w:rsidRPr="00584B78" w:rsidRDefault="009E3903" w:rsidP="00902260">
            <w:pPr>
              <w:pStyle w:val="TAL"/>
              <w:rPr>
                <w:strike/>
                <w:highlight w:val="yellow"/>
              </w:rPr>
            </w:pPr>
            <w:r>
              <w:t xml:space="preserve">This service operation is used by an NF service consumer to </w:t>
            </w:r>
            <w:r>
              <w:rPr>
                <w:lang w:eastAsia="ja-JP"/>
              </w:rPr>
              <w:t xml:space="preserve">request NWDAF VFL client(s) to </w:t>
            </w:r>
            <w:r>
              <w:t>subscribe to VFL inference events.</w:t>
            </w:r>
          </w:p>
        </w:tc>
        <w:tc>
          <w:tcPr>
            <w:tcW w:w="2104" w:type="dxa"/>
          </w:tcPr>
          <w:p w14:paraId="470B8CFB" w14:textId="77777777" w:rsidR="009E3903" w:rsidRDefault="009E3903" w:rsidP="00902260">
            <w:pPr>
              <w:pStyle w:val="TAL"/>
            </w:pPr>
            <w:r>
              <w:rPr>
                <w:lang w:eastAsia="zh-CN"/>
              </w:rPr>
              <w:t>NF service consumer (</w:t>
            </w:r>
            <w:r>
              <w:t>NWDAF,</w:t>
            </w:r>
          </w:p>
          <w:p w14:paraId="212C4CE1" w14:textId="77777777" w:rsidR="009E3903" w:rsidRDefault="009E3903" w:rsidP="00902260">
            <w:pPr>
              <w:pStyle w:val="TAL"/>
            </w:pPr>
            <w:r>
              <w:t>AF,</w:t>
            </w:r>
          </w:p>
          <w:p w14:paraId="3B8E2975" w14:textId="77777777" w:rsidR="009E3903" w:rsidRPr="00584B78" w:rsidRDefault="009E3903" w:rsidP="00902260">
            <w:pPr>
              <w:pStyle w:val="TAL"/>
              <w:rPr>
                <w:strike/>
                <w:highlight w:val="yellow"/>
              </w:rPr>
            </w:pPr>
            <w:r>
              <w:t>NEF)</w:t>
            </w:r>
          </w:p>
        </w:tc>
      </w:tr>
      <w:tr w:rsidR="009E3903" w14:paraId="7A4C6FC6" w14:textId="77777777" w:rsidTr="00902260">
        <w:trPr>
          <w:cantSplit/>
        </w:trPr>
        <w:tc>
          <w:tcPr>
            <w:tcW w:w="3158" w:type="dxa"/>
          </w:tcPr>
          <w:p w14:paraId="4467DA17" w14:textId="77777777" w:rsidR="009E3903" w:rsidRDefault="009E3903" w:rsidP="00902260">
            <w:pPr>
              <w:rPr>
                <w:rFonts w:ascii="Arial" w:hAnsi="Arial"/>
                <w:sz w:val="18"/>
              </w:rPr>
            </w:pPr>
            <w:r>
              <w:rPr>
                <w:rFonts w:ascii="Arial" w:hAnsi="Arial"/>
                <w:sz w:val="18"/>
              </w:rPr>
              <w:t>Nnwdaf_VFLInference_Unsubscribe</w:t>
            </w:r>
          </w:p>
        </w:tc>
        <w:tc>
          <w:tcPr>
            <w:tcW w:w="4486" w:type="dxa"/>
          </w:tcPr>
          <w:p w14:paraId="5F268456" w14:textId="77777777" w:rsidR="009E3903" w:rsidRDefault="009E3903" w:rsidP="00902260">
            <w:pPr>
              <w:pStyle w:val="TAL"/>
            </w:pPr>
            <w:r>
              <w:t>This service operation is used by an NF service consumer to unsubscribe to VFL inference subscriptions.</w:t>
            </w:r>
          </w:p>
        </w:tc>
        <w:tc>
          <w:tcPr>
            <w:tcW w:w="2104" w:type="dxa"/>
          </w:tcPr>
          <w:p w14:paraId="63AFCB3B" w14:textId="77777777" w:rsidR="009E3903" w:rsidRDefault="009E3903" w:rsidP="00902260">
            <w:pPr>
              <w:pStyle w:val="TAL"/>
            </w:pPr>
            <w:r>
              <w:rPr>
                <w:lang w:eastAsia="zh-CN"/>
              </w:rPr>
              <w:t>NF service consumer (</w:t>
            </w:r>
            <w:r>
              <w:t>NWDAF,</w:t>
            </w:r>
          </w:p>
          <w:p w14:paraId="6A14772A" w14:textId="77777777" w:rsidR="009E3903" w:rsidRDefault="009E3903" w:rsidP="00902260">
            <w:pPr>
              <w:pStyle w:val="TAL"/>
            </w:pPr>
            <w:r>
              <w:t>AF,</w:t>
            </w:r>
          </w:p>
          <w:p w14:paraId="2E2C7334" w14:textId="77777777" w:rsidR="009E3903" w:rsidRDefault="009E3903" w:rsidP="00902260">
            <w:pPr>
              <w:pStyle w:val="TAL"/>
            </w:pPr>
            <w:r>
              <w:t>NEF)</w:t>
            </w:r>
          </w:p>
        </w:tc>
      </w:tr>
      <w:tr w:rsidR="009E3903" w14:paraId="7ADDED4A" w14:textId="77777777" w:rsidTr="00902260">
        <w:trPr>
          <w:cantSplit/>
          <w:trHeight w:val="151"/>
        </w:trPr>
        <w:tc>
          <w:tcPr>
            <w:tcW w:w="3158" w:type="dxa"/>
          </w:tcPr>
          <w:p w14:paraId="6168EF9F" w14:textId="77777777" w:rsidR="009E3903" w:rsidRDefault="009E3903" w:rsidP="00902260">
            <w:pPr>
              <w:rPr>
                <w:rFonts w:ascii="Arial" w:hAnsi="Arial"/>
                <w:sz w:val="18"/>
              </w:rPr>
            </w:pPr>
            <w:r>
              <w:rPr>
                <w:rFonts w:ascii="Arial" w:hAnsi="Arial"/>
                <w:sz w:val="18"/>
              </w:rPr>
              <w:t>Nnwdaf_VFLInference_Notify</w:t>
            </w:r>
          </w:p>
        </w:tc>
        <w:tc>
          <w:tcPr>
            <w:tcW w:w="4486" w:type="dxa"/>
          </w:tcPr>
          <w:p w14:paraId="11BD87CC" w14:textId="77777777" w:rsidR="009E3903" w:rsidRDefault="009E3903" w:rsidP="00902260">
            <w:pPr>
              <w:pStyle w:val="TAL"/>
            </w:pPr>
            <w:r>
              <w:t xml:space="preserve">This service operation is used by the NWDAF to </w:t>
            </w:r>
            <w:r>
              <w:rPr>
                <w:lang w:eastAsia="ja-JP"/>
              </w:rPr>
              <w:t>notify the VFL inference results to the NF service consumer instance which has subscribed to</w:t>
            </w:r>
            <w:r>
              <w:t>.</w:t>
            </w:r>
          </w:p>
        </w:tc>
        <w:tc>
          <w:tcPr>
            <w:tcW w:w="2104" w:type="dxa"/>
          </w:tcPr>
          <w:p w14:paraId="2F0F5934" w14:textId="77777777" w:rsidR="009E3903" w:rsidRDefault="009E3903" w:rsidP="00902260">
            <w:pPr>
              <w:pStyle w:val="TAL"/>
            </w:pPr>
            <w:r>
              <w:t>NWDAF</w:t>
            </w:r>
          </w:p>
        </w:tc>
      </w:tr>
    </w:tbl>
    <w:p w14:paraId="2EE52213" w14:textId="77777777" w:rsidR="009E3903" w:rsidRDefault="009E3903" w:rsidP="009E3903"/>
    <w:p w14:paraId="275905DA" w14:textId="77777777" w:rsidR="009E3903" w:rsidRDefault="009E3903" w:rsidP="009E3903">
      <w:pPr>
        <w:pStyle w:val="4"/>
      </w:pPr>
      <w:bookmarkStart w:id="3875" w:name="_Toc199452833"/>
      <w:r>
        <w:t>4.11.2.2</w:t>
      </w:r>
      <w:r>
        <w:tab/>
      </w:r>
      <w:r>
        <w:rPr>
          <w:lang w:eastAsia="ja-JP"/>
        </w:rPr>
        <w:t>Nnwdaf_VFLInference_Subscribe</w:t>
      </w:r>
      <w:r>
        <w:t xml:space="preserve"> service operation</w:t>
      </w:r>
      <w:bookmarkEnd w:id="3875"/>
    </w:p>
    <w:p w14:paraId="1D423298" w14:textId="77777777" w:rsidR="009E3903" w:rsidRDefault="009E3903" w:rsidP="009E3903">
      <w:pPr>
        <w:pStyle w:val="5"/>
      </w:pPr>
      <w:bookmarkStart w:id="3876" w:name="_Toc199452834"/>
      <w:r>
        <w:t>4.11.2.2.1</w:t>
      </w:r>
      <w:r>
        <w:tab/>
        <w:t>General</w:t>
      </w:r>
      <w:bookmarkEnd w:id="3876"/>
    </w:p>
    <w:p w14:paraId="0F9BC61E" w14:textId="77777777" w:rsidR="009E3903" w:rsidRPr="009547A6" w:rsidRDefault="009E3903" w:rsidP="009E3903">
      <w:r>
        <w:t xml:space="preserve">The Nnwdaf_VFLInference_Subscribe service operation is used by an NF service consumer to </w:t>
      </w:r>
      <w:r>
        <w:rPr>
          <w:lang w:eastAsia="ja-JP"/>
        </w:rPr>
        <w:t xml:space="preserve">request NWDAF VFL client(s) </w:t>
      </w:r>
      <w:r>
        <w:t>to subscribe or update subscription for VFL inference event notifications from the NWDAF acting as VFL client.</w:t>
      </w:r>
    </w:p>
    <w:p w14:paraId="660C18A8" w14:textId="77777777" w:rsidR="009E3903" w:rsidRDefault="009E3903" w:rsidP="009E3903">
      <w:pPr>
        <w:pStyle w:val="5"/>
      </w:pPr>
      <w:bookmarkStart w:id="3877" w:name="_Toc199452835"/>
      <w:r>
        <w:t>4.11.2.2.2</w:t>
      </w:r>
      <w:r>
        <w:tab/>
        <w:t>Subscription for VFL inference event notifications</w:t>
      </w:r>
      <w:bookmarkEnd w:id="3877"/>
    </w:p>
    <w:p w14:paraId="791AC1DD" w14:textId="77777777" w:rsidR="009E3903" w:rsidRDefault="009E3903" w:rsidP="009E3903">
      <w:r>
        <w:t xml:space="preserve">Figure 4.11.2.2.2-1 shows a scenario where the NF service consumer sends a request to the NWDAF to </w:t>
      </w:r>
      <w:r w:rsidRPr="00A51E90">
        <w:t xml:space="preserve">subscribe for </w:t>
      </w:r>
      <w:r>
        <w:t>VFL inference</w:t>
      </w:r>
      <w:r w:rsidRPr="00A51E90">
        <w:t xml:space="preserve"> event notification(s) (as shown in 3GPP TS 23.288 [17]).</w:t>
      </w:r>
    </w:p>
    <w:p w14:paraId="128C3D83" w14:textId="77777777" w:rsidR="009E3903" w:rsidRDefault="009E3903" w:rsidP="009E3903">
      <w:r>
        <w:object w:dxaOrig="10123" w:dyaOrig="3319" w14:anchorId="2855AE62">
          <v:shape id="_x0000_i1275" type="#_x0000_t75" style="width:505.9pt;height:166.55pt" o:ole="">
            <v:imagedata r:id="rId118" o:title=""/>
          </v:shape>
          <o:OLEObject Type="Embed" ProgID="Visio.Drawing.15" ShapeID="_x0000_i1275" DrawAspect="Content" ObjectID="_1810066037" r:id="rId119"/>
        </w:object>
      </w:r>
    </w:p>
    <w:p w14:paraId="292098BE" w14:textId="77777777" w:rsidR="009E3903" w:rsidRDefault="009E3903" w:rsidP="009E3903">
      <w:pPr>
        <w:pStyle w:val="TF"/>
      </w:pPr>
      <w:r>
        <w:t>Figure 4.11.2.2.2-1: NF service consumer subscribes to VFL inference notifications</w:t>
      </w:r>
    </w:p>
    <w:p w14:paraId="629075CE" w14:textId="77777777" w:rsidR="009E3903" w:rsidRDefault="009E3903" w:rsidP="009E3903">
      <w:pPr>
        <w:rPr>
          <w:rFonts w:eastAsia="等线"/>
        </w:rPr>
      </w:pPr>
      <w:r>
        <w:rPr>
          <w:rFonts w:eastAsia="等线"/>
        </w:rPr>
        <w:t xml:space="preserve">The NF service consumer shall invoke the Nnwdaf_VFLInference_Subscribe service operation </w:t>
      </w:r>
      <w:r>
        <w:t xml:space="preserve">to </w:t>
      </w:r>
      <w:r>
        <w:rPr>
          <w:lang w:eastAsia="ja-JP"/>
        </w:rPr>
        <w:t>request NWDAF VFL client(s)</w:t>
      </w:r>
      <w:r>
        <w:rPr>
          <w:rFonts w:eastAsia="等线"/>
        </w:rPr>
        <w:t xml:space="preserve"> to subscribe to VFL inference event notification(s). The NF </w:t>
      </w:r>
      <w:r>
        <w:t>service</w:t>
      </w:r>
      <w:r>
        <w:rPr>
          <w:rFonts w:eastAsia="等线"/>
        </w:rPr>
        <w:t xml:space="preserve"> consumer </w:t>
      </w:r>
      <w:r>
        <w:rPr>
          <w:rFonts w:eastAsia="等线"/>
          <w:lang w:val="en-US"/>
        </w:rPr>
        <w:t xml:space="preserve">shall </w:t>
      </w:r>
      <w:r>
        <w:rPr>
          <w:rFonts w:eastAsia="等线"/>
        </w:rPr>
        <w:t xml:space="preserve">send an HTTP POST request with "{apiRoot}/nnwdaf-vflinference/&lt;apiVersion&gt;/subscriptions" as Resource URI representing the "NWDAF </w:t>
      </w:r>
      <w:r>
        <w:t>VFL Inference</w:t>
      </w:r>
      <w:r>
        <w:rPr>
          <w:rFonts w:eastAsia="等线"/>
        </w:rPr>
        <w:t xml:space="preserve"> Subscriptions", as shown in figure 4.11.2.2.2-1, step 1, to create a subscription for an "Individual </w:t>
      </w:r>
      <w:r>
        <w:t>NWDAF VFL Inference</w:t>
      </w:r>
      <w:r>
        <w:rPr>
          <w:rFonts w:eastAsia="等线"/>
        </w:rPr>
        <w:t xml:space="preserve"> Subscription" according to the information in message body.</w:t>
      </w:r>
    </w:p>
    <w:p w14:paraId="5B04564C" w14:textId="77777777" w:rsidR="009E3903" w:rsidRDefault="009E3903" w:rsidP="009E3903">
      <w:pPr>
        <w:rPr>
          <w:rFonts w:eastAsia="等线"/>
        </w:rPr>
      </w:pPr>
      <w:r>
        <w:rPr>
          <w:rFonts w:eastAsia="等线"/>
        </w:rPr>
        <w:t>The VflInferSub data structure provided in the request body shall include:</w:t>
      </w:r>
    </w:p>
    <w:p w14:paraId="506F821E" w14:textId="77777777" w:rsidR="009E3903" w:rsidRDefault="009E3903" w:rsidP="009E3903">
      <w:pPr>
        <w:pStyle w:val="B1"/>
      </w:pPr>
      <w:r>
        <w:t>-</w:t>
      </w:r>
      <w:r>
        <w:tab/>
        <w:t>an URI where to receive the requested notifications as the "notifUri" attribute;</w:t>
      </w:r>
    </w:p>
    <w:p w14:paraId="60DF90F0" w14:textId="77777777" w:rsidR="009E3903" w:rsidRDefault="009E3903" w:rsidP="009E3903">
      <w:pPr>
        <w:pStyle w:val="B1"/>
      </w:pPr>
      <w:r>
        <w:t>-</w:t>
      </w:r>
      <w:r>
        <w:tab/>
        <w:t xml:space="preserve">a notification correlation identifier assigned by the NF service consumer for the requested notifications as </w:t>
      </w:r>
      <w:r>
        <w:rPr>
          <w:lang w:eastAsia="en-GB"/>
        </w:rPr>
        <w:t>"</w:t>
      </w:r>
      <w:r>
        <w:rPr>
          <w:lang w:eastAsia="zh-CN"/>
        </w:rPr>
        <w:t>notifCorreId</w:t>
      </w:r>
      <w:r>
        <w:rPr>
          <w:lang w:eastAsia="en-GB"/>
        </w:rPr>
        <w:t>" attribute;</w:t>
      </w:r>
      <w:r>
        <w:t xml:space="preserve"> and</w:t>
      </w:r>
    </w:p>
    <w:p w14:paraId="7BC8316F" w14:textId="77777777" w:rsidR="009E3903" w:rsidRDefault="009E3903" w:rsidP="009E3903">
      <w:pPr>
        <w:pStyle w:val="B1"/>
      </w:pPr>
      <w:r>
        <w:t>-</w:t>
      </w:r>
      <w:r>
        <w:tab/>
        <w:t>a description of the subscribed analytics event as the "vflInferAnaSub</w:t>
      </w:r>
      <w:r>
        <w:rPr>
          <w:lang w:eastAsia="zh-CN"/>
        </w:rPr>
        <w:t>" attribute</w:t>
      </w:r>
      <w:r>
        <w:rPr>
          <w:lang w:val="en-US" w:eastAsia="zh-CN"/>
        </w:rPr>
        <w:t>.</w:t>
      </w:r>
    </w:p>
    <w:p w14:paraId="4A1D5EE4" w14:textId="77777777" w:rsidR="009E3903" w:rsidRDefault="009E3903" w:rsidP="009E3903">
      <w:pPr>
        <w:rPr>
          <w:lang w:eastAsia="en-GB"/>
        </w:rPr>
      </w:pPr>
      <w:r>
        <w:rPr>
          <w:lang w:eastAsia="en-GB"/>
        </w:rPr>
        <w:t xml:space="preserve">and </w:t>
      </w:r>
      <w:r>
        <w:t>may</w:t>
      </w:r>
      <w:r>
        <w:rPr>
          <w:lang w:eastAsia="en-GB"/>
        </w:rPr>
        <w:t xml:space="preserve"> include:</w:t>
      </w:r>
    </w:p>
    <w:p w14:paraId="63CE3C80" w14:textId="77777777" w:rsidR="009E3903" w:rsidRDefault="009E3903" w:rsidP="009E3903">
      <w:pPr>
        <w:pStyle w:val="B1"/>
      </w:pPr>
      <w:r>
        <w:t>-</w:t>
      </w:r>
      <w:r>
        <w:tab/>
        <w:t>the VFL reporting information as the "vflReportInfo" attribute; and</w:t>
      </w:r>
    </w:p>
    <w:p w14:paraId="79F3D503" w14:textId="77777777" w:rsidR="009E3903" w:rsidRDefault="009E3903" w:rsidP="009E3903">
      <w:pPr>
        <w:pStyle w:val="B1"/>
      </w:pPr>
      <w:r>
        <w:t>-</w:t>
      </w:r>
      <w:r w:rsidRPr="00433FEA">
        <w:t xml:space="preserve"> </w:t>
      </w:r>
      <w:r>
        <w:tab/>
        <w:t>the required conditions to apply VFL inference as the "vflInferReq" attribute;</w:t>
      </w:r>
    </w:p>
    <w:p w14:paraId="1A3FBE1E" w14:textId="77777777" w:rsidR="009E3903" w:rsidRDefault="009E3903" w:rsidP="009E3903">
      <w:pPr>
        <w:rPr>
          <w:rFonts w:eastAsia="等线"/>
        </w:rPr>
      </w:pPr>
      <w:r>
        <w:rPr>
          <w:rFonts w:eastAsia="等线"/>
        </w:rPr>
        <w:t xml:space="preserve">Upon the reception of an HTTP POST request with: "{apiRoot}/nnwdaf-vflinference/&lt;apiVersion&gt;/subscriptions" as Resource URI and VflInferAnaSub data structure as request body, the NWDAF shall </w:t>
      </w:r>
      <w:r>
        <w:t>create a new subscription and store the subscription.</w:t>
      </w:r>
    </w:p>
    <w:p w14:paraId="1A6D3947" w14:textId="77777777" w:rsidR="009E3903" w:rsidRDefault="009E3903" w:rsidP="009E3903">
      <w:pPr>
        <w:rPr>
          <w:rFonts w:eastAsia="等线"/>
        </w:rPr>
      </w:pPr>
      <w:r>
        <w:rPr>
          <w:rFonts w:eastAsia="等线"/>
        </w:rPr>
        <w:t xml:space="preserve">If the </w:t>
      </w:r>
      <w:r>
        <w:t>NWDAF</w:t>
      </w:r>
      <w:r>
        <w:rPr>
          <w:rFonts w:eastAsia="等线"/>
        </w:rPr>
        <w:t xml:space="preserve"> created an "</w:t>
      </w:r>
      <w:r>
        <w:t>Individual NWDAF VFL Inference Subscription</w:t>
      </w:r>
      <w:r>
        <w:rPr>
          <w:rFonts w:eastAsia="等线"/>
        </w:rPr>
        <w:t xml:space="preserve">" resource, the NWDAF shall respond with "201 Created" with the message body containing a representation of the created subscription, as </w:t>
      </w:r>
      <w:r>
        <w:rPr>
          <w:rFonts w:eastAsia="Batang"/>
        </w:rPr>
        <w:t>shown in figure 4.11.2.2.2-1, step 2</w:t>
      </w:r>
      <w:r>
        <w:rPr>
          <w:rFonts w:eastAsia="等线"/>
        </w:rPr>
        <w:t>. The NWDAF shall include a Location HTTP header field. The Location header field shall contain the URI of the created subscription i.e. "{apiRoot}/nnwdaf-vflinference/&lt;apiVersion&gt;/subscriptions/{subscriptionId}".</w:t>
      </w:r>
    </w:p>
    <w:p w14:paraId="6B3B0AFE" w14:textId="77777777" w:rsidR="009E3903" w:rsidRDefault="009E3903" w:rsidP="009E3903">
      <w:pPr>
        <w:rPr>
          <w:rFonts w:eastAsia="等线"/>
        </w:rPr>
      </w:pPr>
      <w:r>
        <w:rPr>
          <w:rFonts w:eastAsia="等线"/>
        </w:rPr>
        <w:t>If the immediate reporting indication in the "immRep" attribute within the "ReportingInformation" structure in the "</w:t>
      </w:r>
      <w:r>
        <w:t>vflReportInfo</w:t>
      </w:r>
      <w:r>
        <w:rPr>
          <w:rFonts w:eastAsia="等线"/>
        </w:rPr>
        <w:t xml:space="preserve">" attribute sets to "true" during the event subscription, the NWDAF shall include the intermediate VFL inference results of the subscribed events, if available, as the </w:t>
      </w:r>
      <w:r>
        <w:t>"vflInferResults"</w:t>
      </w:r>
      <w:r>
        <w:rPr>
          <w:rFonts w:eastAsia="等线"/>
        </w:rPr>
        <w:t xml:space="preserve"> attribute in the HTTP POST response.</w:t>
      </w:r>
    </w:p>
    <w:p w14:paraId="5321A6F0" w14:textId="77777777" w:rsidR="009E3903" w:rsidRDefault="009E3903" w:rsidP="009E3903">
      <w:pPr>
        <w:rPr>
          <w:rFonts w:eastAsia="等线"/>
          <w:lang w:eastAsia="zh-CN"/>
        </w:rPr>
      </w:pPr>
      <w:r>
        <w:rPr>
          <w:rFonts w:eastAsia="等线"/>
        </w:rPr>
        <w:t>If any error occurs when processing the HTTP POST request, the NWDAF shall send an HTTP error response as specified in clause 5.10.7</w:t>
      </w:r>
      <w:r>
        <w:rPr>
          <w:rFonts w:eastAsia="等线"/>
          <w:lang w:eastAsia="zh-CN"/>
        </w:rPr>
        <w:t>.</w:t>
      </w:r>
    </w:p>
    <w:p w14:paraId="4D0E17FC" w14:textId="77777777" w:rsidR="009E3903" w:rsidRDefault="009E3903" w:rsidP="009E3903">
      <w:pPr>
        <w:pStyle w:val="5"/>
      </w:pPr>
      <w:bookmarkStart w:id="3878" w:name="_Toc199452836"/>
      <w:r>
        <w:t>4.11.2.2.3</w:t>
      </w:r>
      <w:r>
        <w:tab/>
        <w:t>Update subscription for event notifications</w:t>
      </w:r>
      <w:bookmarkEnd w:id="3878"/>
    </w:p>
    <w:p w14:paraId="30BAED5F" w14:textId="77777777" w:rsidR="009E3903" w:rsidRDefault="009E3903" w:rsidP="009E3903">
      <w:r>
        <w:t>Figure 4.11.2.2.3-1 shows a scenario that the NF service consumer sends an HTTP PUT request to the NWDAF to modify an existing VFL inference subscription (as shown in 3GPP TS 23.288 [17]).</w:t>
      </w:r>
    </w:p>
    <w:p w14:paraId="0E3132A7" w14:textId="77777777" w:rsidR="009E3903" w:rsidRDefault="009E3903" w:rsidP="009E3903">
      <w:pPr>
        <w:pStyle w:val="TH"/>
      </w:pPr>
      <w:r>
        <w:rPr>
          <w:lang w:val="en-US"/>
        </w:rPr>
        <w:object w:dxaOrig="8598" w:dyaOrig="2724" w14:anchorId="7A0F9D7F">
          <v:shape id="_x0000_i1276" type="#_x0000_t75" style="width:418.25pt;height:134pt" o:ole="">
            <v:imagedata r:id="rId120" o:title=""/>
          </v:shape>
          <o:OLEObject Type="Embed" ProgID="Visio.Drawing.15" ShapeID="_x0000_i1276" DrawAspect="Content" ObjectID="_1810066038" r:id="rId121"/>
        </w:object>
      </w:r>
    </w:p>
    <w:p w14:paraId="1070DBAE" w14:textId="77777777" w:rsidR="009E3903" w:rsidRDefault="009E3903" w:rsidP="009E3903">
      <w:pPr>
        <w:pStyle w:val="TF"/>
      </w:pPr>
      <w:r>
        <w:t>Figure 4.11.2.2.3-1: Modification of VFL inference events subscription information using HTTP PUT</w:t>
      </w:r>
    </w:p>
    <w:p w14:paraId="54A85FBA" w14:textId="77777777" w:rsidR="009E3903" w:rsidRDefault="009E3903" w:rsidP="009E3903">
      <w:pPr>
        <w:rPr>
          <w:rFonts w:eastAsia="等线"/>
        </w:rPr>
      </w:pPr>
      <w:r>
        <w:rPr>
          <w:rFonts w:eastAsia="等线"/>
        </w:rPr>
        <w:t xml:space="preserve">The NF service consumer shall invoke the Nnwdaf_VFLInference_Subscribe service operation to </w:t>
      </w:r>
      <w:r>
        <w:t xml:space="preserve">modify an existing </w:t>
      </w:r>
      <w:r>
        <w:rPr>
          <w:lang w:eastAsia="ko-KR"/>
        </w:rPr>
        <w:t>VFL inference</w:t>
      </w:r>
      <w:r>
        <w:t xml:space="preserve"> subscription</w:t>
      </w:r>
      <w:r>
        <w:rPr>
          <w:rFonts w:eastAsia="等线"/>
        </w:rPr>
        <w:t xml:space="preserve">. The NF service consumer shall send an HTTP PUT request with: "{apiRoot}/nnwdaf-vflinference/&lt;apiVersion&gt;/subscriptions/{subscriptionId}" as Resource URI, where "{subscriptionId}" is the subscriptionId of the existing VFL inference subscription to be modified, to update an "Individual </w:t>
      </w:r>
      <w:r>
        <w:t>NWDAF VFL Inference</w:t>
      </w:r>
      <w:r>
        <w:rPr>
          <w:rFonts w:eastAsia="等线"/>
        </w:rPr>
        <w:t xml:space="preserve"> Subscription" according to the information in the message body.</w:t>
      </w:r>
      <w:r>
        <w:rPr>
          <w:rFonts w:eastAsia="等线" w:hint="eastAsia"/>
          <w:lang w:eastAsia="zh-CN"/>
        </w:rPr>
        <w:t xml:space="preserve"> </w:t>
      </w:r>
      <w:r>
        <w:rPr>
          <w:rFonts w:eastAsia="等线"/>
        </w:rPr>
        <w:t xml:space="preserve">The VflInferAnaSub data structure </w:t>
      </w:r>
      <w:r>
        <w:t>provided in the request body shall include the same contents as described in clause 4.11.2.2.2.</w:t>
      </w:r>
    </w:p>
    <w:p w14:paraId="5A6D4147" w14:textId="77777777" w:rsidR="009E3903" w:rsidRDefault="009E3903" w:rsidP="009E3903">
      <w:pPr>
        <w:rPr>
          <w:rFonts w:eastAsia="等线"/>
        </w:rPr>
      </w:pPr>
      <w:r>
        <w:rPr>
          <w:rFonts w:eastAsia="等线"/>
        </w:rPr>
        <w:t xml:space="preserve">Upon </w:t>
      </w:r>
      <w:r>
        <w:t xml:space="preserve">receipt </w:t>
      </w:r>
      <w:r>
        <w:rPr>
          <w:rFonts w:eastAsia="等线"/>
        </w:rPr>
        <w:t>of an HTTP PUT request with: "{apiRoot}/nnwdaf-vflinference/&lt;apiVersion&gt;/subscriptions/{subscriptionId}" as Resource URI and VflInferAnaSub data type as request body, if the request is successfully processed and accepted, the NWDAF shall:</w:t>
      </w:r>
    </w:p>
    <w:p w14:paraId="2C6E3169" w14:textId="77777777" w:rsidR="009E3903" w:rsidRDefault="009E3903" w:rsidP="009E3903">
      <w:pPr>
        <w:pStyle w:val="B1"/>
      </w:pPr>
      <w:r>
        <w:rPr>
          <w:lang w:val="en-US"/>
        </w:rPr>
        <w:t>-</w:t>
      </w:r>
      <w:r>
        <w:rPr>
          <w:lang w:val="en-US"/>
        </w:rPr>
        <w:tab/>
      </w:r>
      <w:r>
        <w:t xml:space="preserve">modify the </w:t>
      </w:r>
      <w:r>
        <w:rPr>
          <w:lang w:val="en-US"/>
        </w:rPr>
        <w:t xml:space="preserve">concerned </w:t>
      </w:r>
      <w:r>
        <w:t>subscription; and</w:t>
      </w:r>
    </w:p>
    <w:p w14:paraId="1A6A6336" w14:textId="77777777" w:rsidR="009E3903" w:rsidRDefault="009E3903" w:rsidP="009E3903">
      <w:pPr>
        <w:pStyle w:val="B1"/>
      </w:pPr>
      <w:r>
        <w:rPr>
          <w:lang w:val="en-US"/>
        </w:rPr>
        <w:t>-</w:t>
      </w:r>
      <w:r>
        <w:rPr>
          <w:lang w:val="en-US"/>
        </w:rPr>
        <w:tab/>
      </w:r>
      <w:r>
        <w:t>store the subscription.</w:t>
      </w:r>
    </w:p>
    <w:p w14:paraId="7E6CCED4" w14:textId="77777777" w:rsidR="009E3903" w:rsidRDefault="009E3903" w:rsidP="009E3903">
      <w:pPr>
        <w:rPr>
          <w:rFonts w:eastAsia="等线"/>
        </w:rPr>
      </w:pPr>
      <w:r>
        <w:rPr>
          <w:rFonts w:eastAsia="等线"/>
        </w:rPr>
        <w:t xml:space="preserve">If the NWDAF successfully processed and accepted the received HTTP PUT request, the </w:t>
      </w:r>
      <w:r>
        <w:t>NWDAF</w:t>
      </w:r>
      <w:r>
        <w:rPr>
          <w:rFonts w:eastAsia="等线"/>
        </w:rPr>
        <w:t xml:space="preserve"> shall update an "Individual </w:t>
      </w:r>
      <w:r>
        <w:t>NWDAF VFL Inference</w:t>
      </w:r>
      <w:r>
        <w:rPr>
          <w:rFonts w:eastAsia="等线"/>
        </w:rPr>
        <w:t xml:space="preserve"> Subscription" resource, and shall respond with:</w:t>
      </w:r>
    </w:p>
    <w:p w14:paraId="2F478E68" w14:textId="77777777" w:rsidR="009E3903" w:rsidRDefault="009E3903" w:rsidP="009E3903">
      <w:pPr>
        <w:pStyle w:val="B1"/>
      </w:pPr>
      <w:r>
        <w:rPr>
          <w:lang w:val="en-US"/>
        </w:rPr>
        <w:t>-</w:t>
      </w:r>
      <w:r>
        <w:rPr>
          <w:lang w:val="en-US"/>
        </w:rPr>
        <w:tab/>
      </w:r>
      <w:r>
        <w:t>HTTP "204 No Content" response (as shown in figure 4.11.2.2.3-1, step 2a); or</w:t>
      </w:r>
    </w:p>
    <w:p w14:paraId="672EFB21" w14:textId="77777777" w:rsidR="009E3903" w:rsidRDefault="009E3903" w:rsidP="009E3903">
      <w:pPr>
        <w:pStyle w:val="B1"/>
      </w:pPr>
      <w:r>
        <w:rPr>
          <w:lang w:val="en-US"/>
        </w:rPr>
        <w:t>-</w:t>
      </w:r>
      <w:r>
        <w:rPr>
          <w:lang w:val="en-US"/>
        </w:rPr>
        <w:tab/>
      </w:r>
      <w:r>
        <w:t xml:space="preserve">HTTP "200 OK" response (as shown in figure 4.11.2.2.3-1, step 2b) </w:t>
      </w:r>
      <w:r>
        <w:rPr>
          <w:lang w:val="en-US"/>
        </w:rPr>
        <w:t xml:space="preserve">with a response body containing a representation of the updated subscription in the </w:t>
      </w:r>
      <w:r>
        <w:rPr>
          <w:rFonts w:eastAsia="等线"/>
        </w:rPr>
        <w:t>VflInferAnaSub</w:t>
      </w:r>
      <w:r>
        <w:rPr>
          <w:lang w:val="en-US"/>
        </w:rPr>
        <w:t xml:space="preserve"> data</w:t>
      </w:r>
      <w:r>
        <w:t xml:space="preserve"> type.</w:t>
      </w:r>
    </w:p>
    <w:p w14:paraId="1065088B" w14:textId="77777777" w:rsidR="009E3903" w:rsidRDefault="009E3903" w:rsidP="009E3903">
      <w:pPr>
        <w:rPr>
          <w:rFonts w:eastAsia="等线"/>
        </w:rPr>
      </w:pPr>
      <w:r>
        <w:rPr>
          <w:rFonts w:eastAsia="等线"/>
        </w:rPr>
        <w:t>If the immediate reporting indication in the "immRep" attribute within the within the "ReportingInformation" structure in the "</w:t>
      </w:r>
      <w:r>
        <w:t>vflReportInfo</w:t>
      </w:r>
      <w:r>
        <w:rPr>
          <w:rFonts w:eastAsia="等线"/>
        </w:rPr>
        <w:t xml:space="preserve">" attribute sets to "true" during the event subscription update, the NWDAF shall include the reports of the subscribed events, if available, as the </w:t>
      </w:r>
      <w:r>
        <w:t>"vflInferResults"</w:t>
      </w:r>
      <w:r>
        <w:rPr>
          <w:rFonts w:eastAsia="等线"/>
        </w:rPr>
        <w:t xml:space="preserve"> attribute in the HTTP PUT response.</w:t>
      </w:r>
    </w:p>
    <w:p w14:paraId="0F057106" w14:textId="77777777" w:rsidR="009E3903" w:rsidRDefault="009E3903" w:rsidP="009E3903">
      <w:pPr>
        <w:rPr>
          <w:lang w:val="en-US"/>
        </w:rPr>
      </w:pPr>
      <w:r>
        <w:rPr>
          <w:lang w:val="en-US"/>
        </w:rPr>
        <w:t xml:space="preserve">If any error occurs when processing the HTTP PUT request, the </w:t>
      </w:r>
      <w:r>
        <w:rPr>
          <w:rFonts w:eastAsia="等线"/>
        </w:rPr>
        <w:t xml:space="preserve">NWDAF </w:t>
      </w:r>
      <w:r>
        <w:rPr>
          <w:lang w:val="en-US"/>
        </w:rPr>
        <w:t>shall send an HTTP error response as specified in clause 5.10.7.</w:t>
      </w:r>
    </w:p>
    <w:p w14:paraId="5ECDB351" w14:textId="77777777" w:rsidR="009E3903" w:rsidRDefault="009E3903" w:rsidP="009E3903">
      <w:pPr>
        <w:rPr>
          <w:lang w:val="en-US"/>
        </w:rPr>
      </w:pPr>
      <w:r>
        <w:rPr>
          <w:lang w:val="en-US"/>
        </w:rPr>
        <w:t xml:space="preserve">If the </w:t>
      </w:r>
      <w:r>
        <w:rPr>
          <w:rFonts w:eastAsia="等线"/>
        </w:rPr>
        <w:t xml:space="preserve">NWDAF </w:t>
      </w:r>
      <w:r>
        <w:rPr>
          <w:lang w:val="en-US"/>
        </w:rPr>
        <w:t xml:space="preserve">determines that the received HTTP PUT request needs to be redirected, </w:t>
      </w:r>
      <w:r>
        <w:t>the NWDAF</w:t>
      </w:r>
      <w:r>
        <w:rPr>
          <w:lang w:val="en-US"/>
        </w:rPr>
        <w:t xml:space="preserve"> shall send an HTTP redirect response as specified in clause 6.10.9 of</w:t>
      </w:r>
      <w:r>
        <w:rPr>
          <w:lang w:eastAsia="zh-CN"/>
        </w:rPr>
        <w:t xml:space="preserve"> </w:t>
      </w:r>
      <w:r>
        <w:rPr>
          <w:lang w:val="en-US"/>
        </w:rPr>
        <w:t>3GPP TS 29.500 [6].</w:t>
      </w:r>
    </w:p>
    <w:p w14:paraId="146516DA" w14:textId="77777777" w:rsidR="009E3903" w:rsidRDefault="009E3903" w:rsidP="009E3903">
      <w:pPr>
        <w:pStyle w:val="5"/>
      </w:pPr>
      <w:bookmarkStart w:id="3879" w:name="_Toc199452837"/>
      <w:r>
        <w:t>4.11.2.2.4</w:t>
      </w:r>
      <w:r>
        <w:tab/>
        <w:t>Partial update subscription for event notifications</w:t>
      </w:r>
      <w:bookmarkEnd w:id="3879"/>
    </w:p>
    <w:p w14:paraId="052A564E" w14:textId="77777777" w:rsidR="009E3903" w:rsidRDefault="009E3903" w:rsidP="009E3903">
      <w:r>
        <w:t>Figure 4.11.2.2.4-1 shows a scenario that the NF service consumer sends an HTTP PATCH request to the NWDAF to partial modify an existing VFL inference subscription (as shown in 3GPP TS 23.288 [17]).</w:t>
      </w:r>
    </w:p>
    <w:p w14:paraId="443DAF26" w14:textId="77777777" w:rsidR="009E3903" w:rsidRDefault="009E3903" w:rsidP="009E3903">
      <w:pPr>
        <w:pStyle w:val="TH"/>
      </w:pPr>
      <w:r>
        <w:rPr>
          <w:lang w:val="en-US"/>
        </w:rPr>
        <w:object w:dxaOrig="8598" w:dyaOrig="2724" w14:anchorId="4419FE4F">
          <v:shape id="_x0000_i1277" type="#_x0000_t75" style="width:473.3pt;height:150.9pt" o:ole="">
            <v:imagedata r:id="rId122" o:title=""/>
          </v:shape>
          <o:OLEObject Type="Embed" ProgID="Visio.Drawing.15" ShapeID="_x0000_i1277" DrawAspect="Content" ObjectID="_1810066039" r:id="rId123"/>
        </w:object>
      </w:r>
    </w:p>
    <w:p w14:paraId="0D752338" w14:textId="77777777" w:rsidR="009E3903" w:rsidRDefault="009E3903" w:rsidP="009E3903">
      <w:pPr>
        <w:pStyle w:val="TF"/>
      </w:pPr>
      <w:r>
        <w:t>Figure 4.11.2.2.4-1: Partial modification of VFL inference subscription information using HTTP PATCH</w:t>
      </w:r>
    </w:p>
    <w:p w14:paraId="61D4C9B9" w14:textId="77777777" w:rsidR="009E3903" w:rsidRDefault="009E3903" w:rsidP="009E3903">
      <w:pPr>
        <w:rPr>
          <w:rFonts w:eastAsia="等线"/>
        </w:rPr>
      </w:pPr>
      <w:r>
        <w:rPr>
          <w:rFonts w:eastAsia="等线"/>
        </w:rPr>
        <w:t xml:space="preserve">The NF service consumer shall invoke the Nnwdaf_VFLInference_Subscribe service operation to partial </w:t>
      </w:r>
      <w:r>
        <w:t xml:space="preserve">modify an existing </w:t>
      </w:r>
      <w:r>
        <w:rPr>
          <w:lang w:eastAsia="ko-KR"/>
        </w:rPr>
        <w:t>VFL inference</w:t>
      </w:r>
      <w:r>
        <w:t xml:space="preserve"> subscription</w:t>
      </w:r>
      <w:r>
        <w:rPr>
          <w:rFonts w:eastAsia="等线"/>
        </w:rPr>
        <w:t xml:space="preserve">. The NF service consumer shall send an HTTP PATCH request with: "{apiRoot}/nnwdaf-vflinference/&lt;apiVersion&gt;/subscriptions/{subscriptionId}" as Resource URI, where "{subscriptionId}" is the subscriptionId of the existing VFL inference subscription to be modified, to update an "Individual </w:t>
      </w:r>
      <w:r>
        <w:t>NWDAF VFL Inference</w:t>
      </w:r>
      <w:r>
        <w:rPr>
          <w:rFonts w:eastAsia="等线"/>
        </w:rPr>
        <w:t xml:space="preserve"> Subscription" according to the information in the message body.</w:t>
      </w:r>
    </w:p>
    <w:p w14:paraId="3B4BA8C1" w14:textId="77777777" w:rsidR="009E3903" w:rsidRDefault="009E3903" w:rsidP="009E3903">
      <w:pPr>
        <w:rPr>
          <w:rFonts w:eastAsia="等线"/>
        </w:rPr>
      </w:pPr>
      <w:r>
        <w:rPr>
          <w:rFonts w:eastAsia="等线"/>
        </w:rPr>
        <w:t xml:space="preserve">Upon </w:t>
      </w:r>
      <w:r>
        <w:t xml:space="preserve">receipt </w:t>
      </w:r>
      <w:r>
        <w:rPr>
          <w:rFonts w:eastAsia="等线"/>
        </w:rPr>
        <w:t>of an HTTP PATCH request with: "{apiRoot}/nnwdaf-vflinference/&lt;apiVersion&gt;/subscriptions/{subscriptionId}" as Resource URI and VflInferAnaSubPatch data type as request body, if the request is successfully processed and accepted, the NWDAF shall:</w:t>
      </w:r>
    </w:p>
    <w:p w14:paraId="6095D931" w14:textId="77777777" w:rsidR="009E3903" w:rsidRDefault="009E3903" w:rsidP="009E3903">
      <w:pPr>
        <w:pStyle w:val="B1"/>
      </w:pPr>
      <w:r>
        <w:rPr>
          <w:lang w:val="en-US"/>
        </w:rPr>
        <w:t>-</w:t>
      </w:r>
      <w:r>
        <w:rPr>
          <w:lang w:val="en-US"/>
        </w:rPr>
        <w:tab/>
        <w:t xml:space="preserve">partial </w:t>
      </w:r>
      <w:r>
        <w:t xml:space="preserve">modify the </w:t>
      </w:r>
      <w:r>
        <w:rPr>
          <w:lang w:val="en-US"/>
        </w:rPr>
        <w:t xml:space="preserve">concerned </w:t>
      </w:r>
      <w:r>
        <w:t>subscription; and</w:t>
      </w:r>
    </w:p>
    <w:p w14:paraId="6FBA07E9" w14:textId="77777777" w:rsidR="009E3903" w:rsidRDefault="009E3903" w:rsidP="009E3903">
      <w:pPr>
        <w:pStyle w:val="B1"/>
      </w:pPr>
      <w:r>
        <w:rPr>
          <w:lang w:val="en-US"/>
        </w:rPr>
        <w:t>-</w:t>
      </w:r>
      <w:r>
        <w:rPr>
          <w:lang w:val="en-US"/>
        </w:rPr>
        <w:tab/>
      </w:r>
      <w:r>
        <w:t>store the subscription.</w:t>
      </w:r>
    </w:p>
    <w:p w14:paraId="4ECE710D" w14:textId="77777777" w:rsidR="009E3903" w:rsidRDefault="009E3903" w:rsidP="009E3903">
      <w:pPr>
        <w:rPr>
          <w:rFonts w:eastAsia="等线"/>
        </w:rPr>
      </w:pPr>
      <w:r>
        <w:rPr>
          <w:rFonts w:eastAsia="等线"/>
        </w:rPr>
        <w:t xml:space="preserve">If the NWDAF successfully processed and accepted the received HTTP PATCH request, the </w:t>
      </w:r>
      <w:r>
        <w:t>NWDAF</w:t>
      </w:r>
      <w:r>
        <w:rPr>
          <w:rFonts w:eastAsia="等线"/>
        </w:rPr>
        <w:t xml:space="preserve"> shall partial update an "Individual </w:t>
      </w:r>
      <w:r>
        <w:t>NWDAF VFL Inference</w:t>
      </w:r>
      <w:r>
        <w:rPr>
          <w:rFonts w:eastAsia="等线"/>
        </w:rPr>
        <w:t xml:space="preserve"> Subscription" resource, and shall respond with:</w:t>
      </w:r>
    </w:p>
    <w:p w14:paraId="60D3DFDB" w14:textId="77777777" w:rsidR="009E3903" w:rsidRDefault="009E3903" w:rsidP="009E3903">
      <w:pPr>
        <w:pStyle w:val="B1"/>
      </w:pPr>
      <w:r>
        <w:rPr>
          <w:lang w:val="en-US"/>
        </w:rPr>
        <w:t>-</w:t>
      </w:r>
      <w:r>
        <w:rPr>
          <w:lang w:val="en-US"/>
        </w:rPr>
        <w:tab/>
      </w:r>
      <w:r>
        <w:t>HTTP "204 No Content" response (as shown in figure 4.11.2.2.4-1, step 2a); or</w:t>
      </w:r>
    </w:p>
    <w:p w14:paraId="3B3FB01F" w14:textId="77777777" w:rsidR="009E3903" w:rsidRDefault="009E3903" w:rsidP="009E3903">
      <w:pPr>
        <w:pStyle w:val="B1"/>
      </w:pPr>
      <w:r>
        <w:rPr>
          <w:lang w:val="en-US"/>
        </w:rPr>
        <w:t>-</w:t>
      </w:r>
      <w:r>
        <w:rPr>
          <w:lang w:val="en-US"/>
        </w:rPr>
        <w:tab/>
      </w:r>
      <w:r>
        <w:t xml:space="preserve">HTTP "200 OK" response (as shown in figure 4.11.2.2.4-1, step 2b) </w:t>
      </w:r>
      <w:r>
        <w:rPr>
          <w:lang w:val="en-US"/>
        </w:rPr>
        <w:t xml:space="preserve">with a response body containing a representation of the updated subscription in the </w:t>
      </w:r>
      <w:r>
        <w:rPr>
          <w:rFonts w:eastAsia="等线"/>
        </w:rPr>
        <w:t>VflInferAnaSub</w:t>
      </w:r>
      <w:r>
        <w:rPr>
          <w:lang w:val="en-US"/>
        </w:rPr>
        <w:t xml:space="preserve"> data</w:t>
      </w:r>
      <w:r>
        <w:t xml:space="preserve"> type.</w:t>
      </w:r>
    </w:p>
    <w:p w14:paraId="15546DC1" w14:textId="77777777" w:rsidR="009E3903" w:rsidRDefault="009E3903" w:rsidP="009E3903">
      <w:pPr>
        <w:rPr>
          <w:rFonts w:eastAsia="等线"/>
        </w:rPr>
      </w:pPr>
      <w:r>
        <w:rPr>
          <w:rFonts w:eastAsia="等线"/>
        </w:rPr>
        <w:t>If the immediate reporting indication in the "immRep" attribute within the within the "ReportingInformation" structure in the "</w:t>
      </w:r>
      <w:r>
        <w:t>vflReportInfo</w:t>
      </w:r>
      <w:r>
        <w:rPr>
          <w:rFonts w:eastAsia="等线"/>
        </w:rPr>
        <w:t xml:space="preserve">" attribute sets to "true" during the event subscription, the NWDAF shall include the reports of the subscribed events, if available, as the </w:t>
      </w:r>
      <w:r>
        <w:t>"vflInferResults"</w:t>
      </w:r>
      <w:r>
        <w:rPr>
          <w:rFonts w:eastAsia="等线"/>
        </w:rPr>
        <w:t xml:space="preserve"> attribute in the HTTP PATCH response.</w:t>
      </w:r>
    </w:p>
    <w:p w14:paraId="63034C71" w14:textId="77777777" w:rsidR="009E3903" w:rsidRDefault="009E3903" w:rsidP="009E3903">
      <w:pPr>
        <w:rPr>
          <w:lang w:val="en-US"/>
        </w:rPr>
      </w:pPr>
      <w:r>
        <w:rPr>
          <w:lang w:val="en-US"/>
        </w:rPr>
        <w:t xml:space="preserve">If any error occurs when processing the HTTP PATCH request, the </w:t>
      </w:r>
      <w:r>
        <w:rPr>
          <w:rFonts w:eastAsia="等线"/>
        </w:rPr>
        <w:t xml:space="preserve">NWDAF </w:t>
      </w:r>
      <w:r>
        <w:rPr>
          <w:lang w:val="en-US"/>
        </w:rPr>
        <w:t>shall send an HTTP error response as specified in clause 5.10.7.</w:t>
      </w:r>
    </w:p>
    <w:p w14:paraId="10988842" w14:textId="77777777" w:rsidR="009E3903" w:rsidRDefault="009E3903" w:rsidP="009E3903">
      <w:pPr>
        <w:rPr>
          <w:lang w:val="en-US"/>
        </w:rPr>
      </w:pPr>
      <w:r>
        <w:rPr>
          <w:lang w:val="en-US"/>
        </w:rPr>
        <w:t xml:space="preserve">If the </w:t>
      </w:r>
      <w:r>
        <w:rPr>
          <w:rFonts w:eastAsia="等线"/>
        </w:rPr>
        <w:t xml:space="preserve">NWDAF </w:t>
      </w:r>
      <w:r>
        <w:rPr>
          <w:lang w:val="en-US"/>
        </w:rPr>
        <w:t xml:space="preserve">determines that the received HTTP PATCH request needs to be redirected, </w:t>
      </w:r>
      <w:r>
        <w:t>the NWDAF</w:t>
      </w:r>
      <w:r>
        <w:rPr>
          <w:lang w:val="en-US"/>
        </w:rPr>
        <w:t xml:space="preserve"> shall send an HTTP redirect response as specified in clause 6.10.9 of</w:t>
      </w:r>
      <w:r>
        <w:rPr>
          <w:lang w:eastAsia="zh-CN"/>
        </w:rPr>
        <w:t xml:space="preserve"> </w:t>
      </w:r>
      <w:r>
        <w:rPr>
          <w:lang w:val="en-US"/>
        </w:rPr>
        <w:t>3GPP TS 29.500 [6].</w:t>
      </w:r>
    </w:p>
    <w:p w14:paraId="46B01375" w14:textId="77777777" w:rsidR="009E3903" w:rsidRDefault="009E3903" w:rsidP="009E3903">
      <w:pPr>
        <w:pStyle w:val="4"/>
      </w:pPr>
      <w:bookmarkStart w:id="3880" w:name="_Toc199452838"/>
      <w:r>
        <w:t>4.11.2.3</w:t>
      </w:r>
      <w:r>
        <w:tab/>
      </w:r>
      <w:r>
        <w:rPr>
          <w:lang w:eastAsia="ja-JP"/>
        </w:rPr>
        <w:t>Nnwdaf_VFLInference_Unsubscribe</w:t>
      </w:r>
      <w:r>
        <w:t xml:space="preserve"> service operation</w:t>
      </w:r>
      <w:bookmarkEnd w:id="3880"/>
    </w:p>
    <w:p w14:paraId="6BE75448" w14:textId="77777777" w:rsidR="009E3903" w:rsidRDefault="009E3903" w:rsidP="009E3903">
      <w:pPr>
        <w:pStyle w:val="5"/>
      </w:pPr>
      <w:bookmarkStart w:id="3881" w:name="_Toc199452839"/>
      <w:r>
        <w:t>4.11.2.3.1</w:t>
      </w:r>
      <w:r>
        <w:tab/>
        <w:t>General</w:t>
      </w:r>
      <w:bookmarkEnd w:id="3881"/>
    </w:p>
    <w:p w14:paraId="249933C3" w14:textId="77777777" w:rsidR="009E3903" w:rsidRDefault="009E3903" w:rsidP="009E3903">
      <w:r>
        <w:t>The Nnwdaf_VFLInference_Unsubscribe service operation is used by an NF service consumer to unsubscribe from VFL inference notifications.</w:t>
      </w:r>
    </w:p>
    <w:p w14:paraId="24637F02" w14:textId="77777777" w:rsidR="009E3903" w:rsidRDefault="009E3903" w:rsidP="009E3903">
      <w:pPr>
        <w:pStyle w:val="5"/>
      </w:pPr>
      <w:bookmarkStart w:id="3882" w:name="_Toc199452840"/>
      <w:r>
        <w:t>4.11.2.3.2</w:t>
      </w:r>
      <w:r>
        <w:tab/>
        <w:t>Unsubscribe from VFL inference notifications</w:t>
      </w:r>
      <w:bookmarkEnd w:id="3882"/>
    </w:p>
    <w:p w14:paraId="180C27ED" w14:textId="77777777" w:rsidR="009E3903" w:rsidRDefault="009E3903" w:rsidP="009E3903">
      <w:pPr>
        <w:rPr>
          <w:rFonts w:eastAsia="等线"/>
        </w:rPr>
      </w:pPr>
      <w:r>
        <w:rPr>
          <w:rFonts w:eastAsia="等线"/>
        </w:rPr>
        <w:t>Figure 4.11.2.3.2-1 shows a scenario where the NF service consumer sends a request to the NWDAF to unsubscribe</w:t>
      </w:r>
      <w:r>
        <w:rPr>
          <w:rFonts w:eastAsia="Batang"/>
        </w:rPr>
        <w:t xml:space="preserve"> </w:t>
      </w:r>
      <w:r>
        <w:rPr>
          <w:rFonts w:eastAsia="等线"/>
        </w:rPr>
        <w:t>from a VFL inference notification (see also 3GPP TS 23.</w:t>
      </w:r>
      <w:r>
        <w:rPr>
          <w:rFonts w:eastAsia="等线" w:hint="eastAsia"/>
          <w:lang w:eastAsia="zh-CN"/>
        </w:rPr>
        <w:t>288</w:t>
      </w:r>
      <w:r>
        <w:rPr>
          <w:rFonts w:eastAsia="等线"/>
        </w:rPr>
        <w:t> [</w:t>
      </w:r>
      <w:r>
        <w:rPr>
          <w:rFonts w:eastAsia="等线" w:hint="eastAsia"/>
          <w:lang w:eastAsia="zh-CN"/>
        </w:rPr>
        <w:t>17</w:t>
      </w:r>
      <w:r>
        <w:rPr>
          <w:rFonts w:eastAsia="等线"/>
        </w:rPr>
        <w:t>]).</w:t>
      </w:r>
    </w:p>
    <w:p w14:paraId="25646B6B" w14:textId="77777777" w:rsidR="009E3903" w:rsidRPr="00CD3817" w:rsidRDefault="009E3903" w:rsidP="009E3903">
      <w:pPr>
        <w:pStyle w:val="TF"/>
      </w:pPr>
      <w:r w:rsidRPr="00CD3817">
        <w:object w:dxaOrig="10122" w:dyaOrig="3318" w14:anchorId="343DE934">
          <v:shape id="_x0000_i1278" type="#_x0000_t75" style="width:506.5pt;height:166.55pt" o:ole="">
            <v:imagedata r:id="rId124" o:title=""/>
          </v:shape>
          <o:OLEObject Type="Embed" ProgID="Visio.Drawing.15" ShapeID="_x0000_i1278" DrawAspect="Content" ObjectID="_1810066040" r:id="rId125"/>
        </w:object>
      </w:r>
    </w:p>
    <w:p w14:paraId="1879A3D1" w14:textId="77777777" w:rsidR="009E3903" w:rsidRDefault="009E3903" w:rsidP="009E3903">
      <w:pPr>
        <w:pStyle w:val="TF"/>
      </w:pPr>
      <w:r>
        <w:t>Figure 4.11.2.3.2-1: NF service consumer unsubscribes from VFL inference notifications</w:t>
      </w:r>
    </w:p>
    <w:p w14:paraId="0D8E4865" w14:textId="77777777" w:rsidR="009E3903" w:rsidRDefault="009E3903" w:rsidP="009E3903">
      <w:pPr>
        <w:rPr>
          <w:rFonts w:eastAsia="等线"/>
        </w:rPr>
      </w:pPr>
      <w:r>
        <w:rPr>
          <w:rFonts w:eastAsia="等线"/>
        </w:rPr>
        <w:t>The NF service consumer shall invoke the Nnwdaf_VFLInference_Unsubscribe service operation to unsubscribe from VFL inference event notifications. The NF service consumer shall send an HTTP DELETE request with: "{apiRoot}/nnwdaf-vflinference/&lt;apiVersion&gt;/subscriptions/{subscriptionId}" as Resource URI, where "{subscriptionId}" is the subscriptionId of the existing VFL inference subscription that is to be deleted.</w:t>
      </w:r>
    </w:p>
    <w:p w14:paraId="267BF866" w14:textId="77777777" w:rsidR="009E3903" w:rsidRDefault="009E3903" w:rsidP="009E3903">
      <w:pPr>
        <w:rPr>
          <w:rFonts w:eastAsia="等线"/>
        </w:rPr>
      </w:pPr>
      <w:r>
        <w:rPr>
          <w:rFonts w:eastAsia="等线"/>
        </w:rPr>
        <w:t>Upon the reception of an HTTP DELETE request,</w:t>
      </w:r>
      <w:r>
        <w:t xml:space="preserve"> </w:t>
      </w:r>
      <w:r>
        <w:rPr>
          <w:rFonts w:eastAsia="等线"/>
        </w:rPr>
        <w:t xml:space="preserve">if the NWDAF successfully processed and accepted the received HTTP DELETE request, the NWDAF shall: </w:t>
      </w:r>
    </w:p>
    <w:p w14:paraId="7CF5333F" w14:textId="77777777" w:rsidR="009E3903" w:rsidRDefault="009E3903" w:rsidP="009E3903">
      <w:pPr>
        <w:pStyle w:val="B1"/>
      </w:pPr>
      <w:r>
        <w:t>-</w:t>
      </w:r>
      <w:r>
        <w:tab/>
        <w:t>remove the corresponding subscription; and</w:t>
      </w:r>
    </w:p>
    <w:p w14:paraId="65BC020D" w14:textId="77777777" w:rsidR="009E3903" w:rsidRDefault="009E3903" w:rsidP="009E3903">
      <w:pPr>
        <w:pStyle w:val="B1"/>
        <w:rPr>
          <w:rFonts w:eastAsia="等线"/>
        </w:rPr>
      </w:pPr>
      <w:r>
        <w:t>-</w:t>
      </w:r>
      <w:r>
        <w:tab/>
      </w:r>
      <w:r>
        <w:rPr>
          <w:rFonts w:eastAsia="等线"/>
        </w:rPr>
        <w:t>respond</w:t>
      </w:r>
      <w:r>
        <w:rPr>
          <w:rFonts w:eastAsia="Batang"/>
        </w:rPr>
        <w:t xml:space="preserve"> </w:t>
      </w:r>
      <w:r>
        <w:rPr>
          <w:rFonts w:eastAsia="等线"/>
        </w:rPr>
        <w:t>with HTTP "204 No Content" status code.</w:t>
      </w:r>
    </w:p>
    <w:p w14:paraId="78A7AAD3" w14:textId="77777777" w:rsidR="009E3903" w:rsidRDefault="009E3903" w:rsidP="009E3903">
      <w:r>
        <w:t>If the NWDAF determines the received HTTP DELETE request needs to be redirected, the NWDAF shall send an HTTP redirect response as specified in clause </w:t>
      </w:r>
      <w:r>
        <w:rPr>
          <w:lang w:eastAsia="zh-CN"/>
        </w:rPr>
        <w:t xml:space="preserve">6.10.9 of </w:t>
      </w:r>
      <w:r>
        <w:rPr>
          <w:lang w:val="en-US"/>
        </w:rPr>
        <w:t>3GPP TS 29.500 [6]</w:t>
      </w:r>
      <w:r>
        <w:t>.</w:t>
      </w:r>
    </w:p>
    <w:p w14:paraId="53515564" w14:textId="77777777" w:rsidR="009E3903" w:rsidRDefault="009E3903" w:rsidP="009E3903">
      <w:pPr>
        <w:rPr>
          <w:lang w:val="en-US"/>
        </w:rPr>
      </w:pPr>
      <w:r>
        <w:rPr>
          <w:rFonts w:eastAsia="等线"/>
        </w:rPr>
        <w:t>If errors occur when processing the HTTP DELETE request, the NWDAF shall send an HTTP error response as specified in clause 5.10.7.</w:t>
      </w:r>
    </w:p>
    <w:p w14:paraId="7245B72A" w14:textId="77777777" w:rsidR="009E3903" w:rsidRDefault="009E3903" w:rsidP="009E3903">
      <w:pPr>
        <w:pStyle w:val="4"/>
      </w:pPr>
      <w:bookmarkStart w:id="3883" w:name="_Toc199452841"/>
      <w:r>
        <w:t>4.11.2.4</w:t>
      </w:r>
      <w:r>
        <w:tab/>
      </w:r>
      <w:r>
        <w:rPr>
          <w:lang w:eastAsia="ja-JP"/>
        </w:rPr>
        <w:t>Nnwdaf_VFLInference_Notify</w:t>
      </w:r>
      <w:r>
        <w:t xml:space="preserve"> service operation</w:t>
      </w:r>
      <w:bookmarkEnd w:id="3883"/>
    </w:p>
    <w:p w14:paraId="7790BE4A" w14:textId="77777777" w:rsidR="009E3903" w:rsidRDefault="009E3903" w:rsidP="009E3903">
      <w:pPr>
        <w:pStyle w:val="5"/>
      </w:pPr>
      <w:bookmarkStart w:id="3884" w:name="_Toc199452842"/>
      <w:r>
        <w:t>4.11.2.4.1</w:t>
      </w:r>
      <w:r>
        <w:tab/>
        <w:t>General</w:t>
      </w:r>
      <w:bookmarkEnd w:id="3884"/>
    </w:p>
    <w:p w14:paraId="06E11CCA" w14:textId="77777777" w:rsidR="009E3903" w:rsidRDefault="009E3903" w:rsidP="009E3903">
      <w:r>
        <w:rPr>
          <w:lang w:eastAsia="zh-CN"/>
        </w:rPr>
        <w:t>The Nnwdaf_VFLInference_Notify service operation is used by an NWDAF to notify NF consumers about subscribed VFL inference events.</w:t>
      </w:r>
    </w:p>
    <w:p w14:paraId="051A2743" w14:textId="77777777" w:rsidR="009E3903" w:rsidRDefault="009E3903" w:rsidP="009E3903">
      <w:pPr>
        <w:pStyle w:val="5"/>
      </w:pPr>
      <w:bookmarkStart w:id="3885" w:name="_Toc199452843"/>
      <w:r>
        <w:t>4.11.2.4.2</w:t>
      </w:r>
      <w:r>
        <w:tab/>
        <w:t>Notification about subscribed event</w:t>
      </w:r>
      <w:bookmarkEnd w:id="3885"/>
    </w:p>
    <w:p w14:paraId="5760D974" w14:textId="77777777" w:rsidR="009E3903" w:rsidRDefault="009E3903" w:rsidP="009E3903">
      <w:pPr>
        <w:rPr>
          <w:rFonts w:eastAsia="等线"/>
        </w:rPr>
      </w:pPr>
      <w:r>
        <w:rPr>
          <w:rFonts w:eastAsia="等线"/>
        </w:rPr>
        <w:t>Figure 4.11.2.</w:t>
      </w:r>
      <w:r>
        <w:rPr>
          <w:rFonts w:eastAsia="等线" w:hint="eastAsia"/>
        </w:rPr>
        <w:t>4</w:t>
      </w:r>
      <w:r>
        <w:rPr>
          <w:rFonts w:eastAsia="等线"/>
        </w:rPr>
        <w:t>.2-1 shows a scenario where the N</w:t>
      </w:r>
      <w:r w:rsidRPr="00635E7C">
        <w:rPr>
          <w:rFonts w:eastAsia="等线"/>
        </w:rPr>
        <w:t>WDAF</w:t>
      </w:r>
      <w:r>
        <w:rPr>
          <w:rFonts w:eastAsia="等线"/>
        </w:rPr>
        <w:t xml:space="preserve"> sends a request to the NF Service Consumer to notify</w:t>
      </w:r>
      <w:r w:rsidRPr="00635E7C">
        <w:rPr>
          <w:rFonts w:eastAsia="等线"/>
        </w:rPr>
        <w:t xml:space="preserve"> </w:t>
      </w:r>
      <w:r>
        <w:rPr>
          <w:rFonts w:eastAsia="等线"/>
        </w:rPr>
        <w:t>for VFL inference event notifications (see also 3GPP TS 23.</w:t>
      </w:r>
      <w:r>
        <w:rPr>
          <w:rFonts w:eastAsia="等线" w:hint="eastAsia"/>
        </w:rPr>
        <w:t>288</w:t>
      </w:r>
      <w:r>
        <w:rPr>
          <w:rFonts w:eastAsia="等线"/>
        </w:rPr>
        <w:t> [</w:t>
      </w:r>
      <w:r>
        <w:rPr>
          <w:rFonts w:eastAsia="等线" w:hint="eastAsia"/>
        </w:rPr>
        <w:t>17</w:t>
      </w:r>
      <w:r>
        <w:rPr>
          <w:rFonts w:eastAsia="等线"/>
        </w:rPr>
        <w:t>]).</w:t>
      </w:r>
    </w:p>
    <w:p w14:paraId="3983261C" w14:textId="77777777" w:rsidR="009E3903" w:rsidRDefault="009E3903" w:rsidP="009E3903">
      <w:pPr>
        <w:rPr>
          <w:rFonts w:eastAsia="等线"/>
        </w:rPr>
      </w:pPr>
    </w:p>
    <w:p w14:paraId="7759DA62" w14:textId="77777777" w:rsidR="009E3903" w:rsidRPr="00CD3817" w:rsidRDefault="009E3903" w:rsidP="009E3903">
      <w:pPr>
        <w:pStyle w:val="TF"/>
      </w:pPr>
      <w:r w:rsidRPr="00CD3817">
        <w:object w:dxaOrig="10122" w:dyaOrig="3318" w14:anchorId="462834D3">
          <v:shape id="_x0000_i1279" type="#_x0000_t75" style="width:506.5pt;height:166.55pt" o:ole="">
            <v:imagedata r:id="rId126" o:title=""/>
          </v:shape>
          <o:OLEObject Type="Embed" ProgID="Visio.Drawing.15" ShapeID="_x0000_i1279" DrawAspect="Content" ObjectID="_1810066041" r:id="rId127"/>
        </w:object>
      </w:r>
    </w:p>
    <w:p w14:paraId="4D1BD61D" w14:textId="43239944" w:rsidR="009E3903" w:rsidRDefault="009E3903" w:rsidP="009E3903">
      <w:pPr>
        <w:pStyle w:val="TF"/>
      </w:pPr>
      <w:r>
        <w:t>Figure 4.11.2.</w:t>
      </w:r>
      <w:r>
        <w:rPr>
          <w:rFonts w:hint="eastAsia"/>
          <w:lang w:eastAsia="zh-CN"/>
        </w:rPr>
        <w:t>4</w:t>
      </w:r>
      <w:r>
        <w:t>.2-1: NWDAF notifies the</w:t>
      </w:r>
      <w:r>
        <w:rPr>
          <w:rFonts w:eastAsia="Batang"/>
        </w:rPr>
        <w:t xml:space="preserve"> </w:t>
      </w:r>
      <w:r>
        <w:t>subscribed VFL inference event</w:t>
      </w:r>
    </w:p>
    <w:p w14:paraId="3FF201C2" w14:textId="77777777" w:rsidR="009E3903" w:rsidRDefault="009E3903" w:rsidP="009E3903">
      <w:pPr>
        <w:rPr>
          <w:rFonts w:eastAsia="等线"/>
        </w:rPr>
      </w:pPr>
      <w:r>
        <w:rPr>
          <w:rFonts w:eastAsia="等线"/>
        </w:rPr>
        <w:t>The NWDAF shall invoke the Nnwdaf_VFLInference_Notify service operation to notify about a subscribed VFL inference event. The NWDAF shall send an HTTP POST request with "{notifUri}" received in the Nnwdaf_VFLInference_Subscribe service operation as Resource URI, as shown in figure 4.11.2.4.2-1, step 1. The VflInferNotif data structure provided in the request body that shall include:</w:t>
      </w:r>
    </w:p>
    <w:p w14:paraId="423A468B" w14:textId="77777777" w:rsidR="009E3903" w:rsidRDefault="009E3903" w:rsidP="009E3903">
      <w:pPr>
        <w:pStyle w:val="B1"/>
        <w:rPr>
          <w:lang w:eastAsia="zh-CN"/>
        </w:rPr>
      </w:pPr>
      <w:r>
        <w:t>-</w:t>
      </w:r>
      <w:r>
        <w:tab/>
        <w:t>a notification correlation identifier as</w:t>
      </w:r>
      <w:r>
        <w:rPr>
          <w:lang w:eastAsia="zh-CN"/>
        </w:rPr>
        <w:t xml:space="preserve"> "notifCorreId" attribute; and</w:t>
      </w:r>
    </w:p>
    <w:p w14:paraId="50B11EE2" w14:textId="77777777" w:rsidR="009E3903" w:rsidRDefault="009E3903" w:rsidP="009E3903">
      <w:pPr>
        <w:pStyle w:val="B1"/>
      </w:pPr>
      <w:r>
        <w:t>-</w:t>
      </w:r>
      <w:r>
        <w:tab/>
        <w:t>description of the notified event as "vflInferResults " attribute.</w:t>
      </w:r>
    </w:p>
    <w:p w14:paraId="35FA9C85" w14:textId="77777777" w:rsidR="009E3903" w:rsidRDefault="009E3903" w:rsidP="009E3903">
      <w:pPr>
        <w:rPr>
          <w:rFonts w:eastAsia="等线"/>
        </w:rPr>
      </w:pPr>
      <w:r>
        <w:rPr>
          <w:rFonts w:eastAsia="等线"/>
        </w:rPr>
        <w:t xml:space="preserve">Upon the reception of an HTTP POST request, if the NF service consumer successfully processed and accepted the received HTTP POST request, the NF Service Consumer shall </w:t>
      </w:r>
      <w:r>
        <w:t xml:space="preserve">store the notification and </w:t>
      </w:r>
      <w:r>
        <w:rPr>
          <w:rFonts w:eastAsia="等线"/>
        </w:rPr>
        <w:t>respond with HTTP "204 No Content" status code.</w:t>
      </w:r>
    </w:p>
    <w:p w14:paraId="6A535AAD" w14:textId="77777777" w:rsidR="009E3903" w:rsidRDefault="009E3903" w:rsidP="009E3903">
      <w:r>
        <w:t xml:space="preserve">If the </w:t>
      </w:r>
      <w:r>
        <w:rPr>
          <w:rFonts w:eastAsia="等线"/>
        </w:rPr>
        <w:t>NF service consumer</w:t>
      </w:r>
      <w:r>
        <w:t xml:space="preserve"> determines the received HTTP </w:t>
      </w:r>
      <w:r>
        <w:rPr>
          <w:rFonts w:eastAsia="等线"/>
        </w:rPr>
        <w:t>POST</w:t>
      </w:r>
      <w:r>
        <w:t xml:space="preserve"> request needs to be redirected, the </w:t>
      </w:r>
      <w:r>
        <w:rPr>
          <w:rFonts w:eastAsia="等线"/>
        </w:rPr>
        <w:t>NF service consumer</w:t>
      </w:r>
      <w:r>
        <w:t xml:space="preserve"> shall send an HTTP redirect response as specified in clause </w:t>
      </w:r>
      <w:r>
        <w:rPr>
          <w:lang w:eastAsia="zh-CN"/>
        </w:rPr>
        <w:t xml:space="preserve">6.10.9 of </w:t>
      </w:r>
      <w:r>
        <w:rPr>
          <w:lang w:val="en-US"/>
        </w:rPr>
        <w:t>3GPP TS 29.500 [6]</w:t>
      </w:r>
      <w:r>
        <w:t>.</w:t>
      </w:r>
    </w:p>
    <w:p w14:paraId="1ACAA02D" w14:textId="77777777" w:rsidR="009E3903" w:rsidRDefault="009E3903" w:rsidP="009E3903">
      <w:pPr>
        <w:rPr>
          <w:rFonts w:eastAsia="等线"/>
        </w:rPr>
      </w:pPr>
      <w:r>
        <w:rPr>
          <w:rFonts w:eastAsia="等线"/>
        </w:rPr>
        <w:t>If errors occur when processing the HTTP POST request, the NF service consumer shall send an HTTP error response as specified in clause 5.10.7.</w:t>
      </w:r>
    </w:p>
    <w:p w14:paraId="147960E0" w14:textId="77777777" w:rsidR="00A10B25" w:rsidRDefault="00A10B25">
      <w:pPr>
        <w:pStyle w:val="1"/>
        <w:rPr>
          <w:lang w:eastAsia="zh-CN"/>
        </w:rPr>
      </w:pPr>
      <w:bookmarkStart w:id="3886" w:name="_Toc199452844"/>
      <w:r>
        <w:rPr>
          <w:lang w:eastAsia="zh-CN"/>
        </w:rPr>
        <w:t>5</w:t>
      </w:r>
      <w:r>
        <w:tab/>
      </w:r>
      <w:r>
        <w:rPr>
          <w:lang w:eastAsia="zh-CN"/>
        </w:rPr>
        <w:t>API Definitions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56"/>
      <w:bookmarkEnd w:id="3857"/>
      <w:bookmarkEnd w:id="3858"/>
      <w:bookmarkEnd w:id="3859"/>
      <w:bookmarkEnd w:id="3860"/>
      <w:bookmarkEnd w:id="3861"/>
      <w:bookmarkEnd w:id="3862"/>
      <w:bookmarkEnd w:id="3863"/>
      <w:bookmarkEnd w:id="3864"/>
      <w:bookmarkEnd w:id="3865"/>
      <w:bookmarkEnd w:id="3886"/>
    </w:p>
    <w:p w14:paraId="0F861D5C" w14:textId="77777777" w:rsidR="00A10B25" w:rsidRDefault="00A10B25">
      <w:pPr>
        <w:pStyle w:val="2"/>
      </w:pPr>
      <w:bookmarkStart w:id="3887" w:name="_Toc34266254"/>
      <w:bookmarkStart w:id="3888" w:name="_Toc66231763"/>
      <w:bookmarkStart w:id="3889" w:name="_Toc85552934"/>
      <w:bookmarkStart w:id="3890" w:name="_Toc51762860"/>
      <w:bookmarkStart w:id="3891" w:name="_Toc101244364"/>
      <w:bookmarkStart w:id="3892" w:name="_Toc88667535"/>
      <w:bookmarkStart w:id="3893" w:name="_Toc85557033"/>
      <w:bookmarkStart w:id="3894" w:name="_Toc36102425"/>
      <w:bookmarkStart w:id="3895" w:name="_Toc59017895"/>
      <w:bookmarkStart w:id="3896" w:name="_Toc136562325"/>
      <w:bookmarkStart w:id="3897" w:name="_Toc83233037"/>
      <w:bookmarkStart w:id="3898" w:name="_Toc45134010"/>
      <w:bookmarkStart w:id="3899" w:name="_Toc94064203"/>
      <w:bookmarkStart w:id="3900" w:name="_Toc120702258"/>
      <w:bookmarkStart w:id="3901" w:name="_Toc90655820"/>
      <w:bookmarkStart w:id="3902" w:name="_Toc43563467"/>
      <w:bookmarkStart w:id="3903" w:name="_Toc68168924"/>
      <w:bookmarkStart w:id="3904" w:name="_Toc28012784"/>
      <w:bookmarkStart w:id="3905" w:name="_Toc56640927"/>
      <w:bookmarkStart w:id="3906" w:name="_Toc138754159"/>
      <w:bookmarkStart w:id="3907" w:name="_Toc145705646"/>
      <w:bookmarkStart w:id="3908" w:name="_Toc50031940"/>
      <w:bookmarkStart w:id="3909" w:name="_Toc104538957"/>
      <w:bookmarkStart w:id="3910" w:name="_Toc114133758"/>
      <w:bookmarkStart w:id="3911" w:name="_Toc113031619"/>
      <w:bookmarkStart w:id="3912" w:name="_Toc112951079"/>
      <w:bookmarkStart w:id="3913" w:name="_Toc148522550"/>
      <w:bookmarkStart w:id="3914" w:name="_Toc98233588"/>
      <w:bookmarkStart w:id="3915" w:name="_Toc70550591"/>
      <w:bookmarkStart w:id="3916" w:name="_Toc164920730"/>
      <w:bookmarkStart w:id="3917" w:name="_Toc170120272"/>
      <w:bookmarkStart w:id="3918" w:name="_Toc175858517"/>
      <w:bookmarkStart w:id="3919" w:name="_Toc175859590"/>
      <w:bookmarkStart w:id="3920" w:name="_Toc180605880"/>
      <w:bookmarkStart w:id="3921" w:name="_Toc185517134"/>
      <w:bookmarkStart w:id="3922" w:name="_Toc191576185"/>
      <w:bookmarkStart w:id="3923" w:name="_Toc191576925"/>
      <w:bookmarkStart w:id="3924" w:name="_Toc192879995"/>
      <w:bookmarkStart w:id="3925" w:name="_Toc195814878"/>
      <w:bookmarkStart w:id="3926" w:name="_Toc199452845"/>
      <w:r>
        <w:rPr>
          <w:lang w:eastAsia="zh-CN"/>
        </w:rPr>
        <w:t>5.</w:t>
      </w:r>
      <w:r>
        <w:t>1</w:t>
      </w:r>
      <w:r>
        <w:tab/>
        <w:t>Nnwdaf_EventsSubscription Service API</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27211DCD" w14:textId="77777777" w:rsidR="00A10B25" w:rsidRDefault="00A10B25">
      <w:pPr>
        <w:pStyle w:val="3"/>
        <w:rPr>
          <w:lang w:val="en-US"/>
        </w:rPr>
      </w:pPr>
      <w:bookmarkStart w:id="3927" w:name="_Toc70550592"/>
      <w:bookmarkStart w:id="3928" w:name="_Toc136562326"/>
      <w:bookmarkStart w:id="3929" w:name="_Toc104538958"/>
      <w:bookmarkStart w:id="3930" w:name="_Toc43563468"/>
      <w:bookmarkStart w:id="3931" w:name="_Toc83233038"/>
      <w:bookmarkStart w:id="3932" w:name="_Toc101244365"/>
      <w:bookmarkStart w:id="3933" w:name="_Toc51762861"/>
      <w:bookmarkStart w:id="3934" w:name="_Toc112951080"/>
      <w:bookmarkStart w:id="3935" w:name="_Toc66231764"/>
      <w:bookmarkStart w:id="3936" w:name="_Toc50031941"/>
      <w:bookmarkStart w:id="3937" w:name="_Toc36102426"/>
      <w:bookmarkStart w:id="3938" w:name="_Toc90655821"/>
      <w:bookmarkStart w:id="3939" w:name="_Toc98233589"/>
      <w:bookmarkStart w:id="3940" w:name="_Toc120702259"/>
      <w:bookmarkStart w:id="3941" w:name="_Toc28012785"/>
      <w:bookmarkStart w:id="3942" w:name="_Toc85552935"/>
      <w:bookmarkStart w:id="3943" w:name="_Toc113031620"/>
      <w:bookmarkStart w:id="3944" w:name="_Toc45134011"/>
      <w:bookmarkStart w:id="3945" w:name="_Toc68168925"/>
      <w:bookmarkStart w:id="3946" w:name="_Toc59017896"/>
      <w:bookmarkStart w:id="3947" w:name="_Toc85557034"/>
      <w:bookmarkStart w:id="3948" w:name="_Toc114133759"/>
      <w:bookmarkStart w:id="3949" w:name="_Toc88667536"/>
      <w:bookmarkStart w:id="3950" w:name="_Toc94064204"/>
      <w:bookmarkStart w:id="3951" w:name="_Toc148522551"/>
      <w:bookmarkStart w:id="3952" w:name="_Toc56640928"/>
      <w:bookmarkStart w:id="3953" w:name="_Toc138754160"/>
      <w:bookmarkStart w:id="3954" w:name="_Toc145705647"/>
      <w:bookmarkStart w:id="3955" w:name="_Toc34266255"/>
      <w:bookmarkStart w:id="3956" w:name="_Toc164920731"/>
      <w:bookmarkStart w:id="3957" w:name="_Toc170120273"/>
      <w:bookmarkStart w:id="3958" w:name="_Toc175858518"/>
      <w:bookmarkStart w:id="3959" w:name="_Toc175859591"/>
      <w:bookmarkStart w:id="3960" w:name="_Toc180605881"/>
      <w:bookmarkStart w:id="3961" w:name="_Toc185517135"/>
      <w:bookmarkStart w:id="3962" w:name="_Toc191576186"/>
      <w:bookmarkStart w:id="3963" w:name="_Toc191576926"/>
      <w:bookmarkStart w:id="3964" w:name="_Toc192879996"/>
      <w:bookmarkStart w:id="3965" w:name="_Toc195814879"/>
      <w:bookmarkStart w:id="3966" w:name="_Toc199452846"/>
      <w:r>
        <w:rPr>
          <w:lang w:val="en-US"/>
        </w:rPr>
        <w:t>5.</w:t>
      </w:r>
      <w:r>
        <w:rPr>
          <w:rFonts w:hint="eastAsia"/>
          <w:lang w:val="en-US"/>
        </w:rPr>
        <w:t>1.</w:t>
      </w:r>
      <w:r>
        <w:rPr>
          <w:lang w:val="en-US"/>
        </w:rPr>
        <w:t>1</w:t>
      </w:r>
      <w:r>
        <w:rPr>
          <w:lang w:val="en-US"/>
        </w:rPr>
        <w:tab/>
        <w:t>Introduction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3C8110F9" w14:textId="77777777" w:rsidR="004D166F" w:rsidRDefault="004D166F" w:rsidP="004D166F">
      <w:pPr>
        <w:rPr>
          <w:lang w:eastAsia="zh-CN"/>
        </w:rPr>
      </w:pPr>
      <w:bookmarkStart w:id="3967" w:name="_Toc85557035"/>
      <w:bookmarkStart w:id="3968" w:name="_Toc136562327"/>
      <w:bookmarkStart w:id="3969" w:name="_Toc94064205"/>
      <w:bookmarkStart w:id="3970" w:name="_Toc50031942"/>
      <w:bookmarkStart w:id="3971" w:name="_Toc90655822"/>
      <w:bookmarkStart w:id="3972" w:name="_Toc51762862"/>
      <w:bookmarkStart w:id="3973" w:name="_Toc85552936"/>
      <w:bookmarkStart w:id="3974" w:name="_Toc120702260"/>
      <w:bookmarkStart w:id="3975" w:name="_Toc70550593"/>
      <w:bookmarkStart w:id="3976" w:name="_Toc98233590"/>
      <w:bookmarkStart w:id="3977" w:name="_Toc34266256"/>
      <w:bookmarkStart w:id="3978" w:name="_Toc45134012"/>
      <w:bookmarkStart w:id="3979" w:name="_Toc138754161"/>
      <w:bookmarkStart w:id="3980" w:name="_Toc145705648"/>
      <w:bookmarkStart w:id="3981" w:name="_Toc36102427"/>
      <w:bookmarkStart w:id="3982" w:name="_Toc114133760"/>
      <w:bookmarkStart w:id="3983" w:name="_Toc43563469"/>
      <w:bookmarkStart w:id="3984" w:name="_Toc101244366"/>
      <w:bookmarkStart w:id="3985" w:name="_Toc148522552"/>
      <w:bookmarkStart w:id="3986" w:name="_Toc66231765"/>
      <w:bookmarkStart w:id="3987" w:name="_Toc112951081"/>
      <w:bookmarkStart w:id="3988" w:name="_Toc113031621"/>
      <w:bookmarkStart w:id="3989" w:name="_Toc104538959"/>
      <w:bookmarkStart w:id="3990" w:name="_Toc68168926"/>
      <w:bookmarkStart w:id="3991" w:name="_Toc28012786"/>
      <w:bookmarkStart w:id="3992" w:name="_Toc88667537"/>
      <w:bookmarkStart w:id="3993" w:name="_Toc56640929"/>
      <w:bookmarkStart w:id="3994" w:name="_Toc83233039"/>
      <w:bookmarkStart w:id="3995" w:name="_Toc59017897"/>
      <w:bookmarkStart w:id="3996" w:name="_Toc164920732"/>
      <w:bookmarkStart w:id="3997" w:name="_Toc170120274"/>
      <w:bookmarkStart w:id="3998" w:name="_Toc175858519"/>
      <w:bookmarkStart w:id="3999" w:name="_Toc175859592"/>
      <w:bookmarkStart w:id="4000" w:name="_Toc180605882"/>
      <w:bookmarkStart w:id="4001" w:name="_Toc185517136"/>
      <w:r>
        <w:t xml:space="preserve">The Nnwdaf_EventsSubscription service shall use the Nnwdaf_EventsSubscription </w:t>
      </w:r>
      <w:r>
        <w:rPr>
          <w:lang w:eastAsia="zh-CN"/>
        </w:rPr>
        <w:t>API.</w:t>
      </w:r>
    </w:p>
    <w:p w14:paraId="3E74EF95" w14:textId="77777777" w:rsidR="004D166F" w:rsidRDefault="004D166F" w:rsidP="004D166F">
      <w:r>
        <w:t>The API URI of the Nnwdaf_EventsSubscription</w:t>
      </w:r>
      <w:r>
        <w:rPr>
          <w:lang w:val="en-US"/>
        </w:rPr>
        <w:t xml:space="preserve"> </w:t>
      </w:r>
      <w:r>
        <w:rPr>
          <w:lang w:val="en-US" w:eastAsia="zh-CN"/>
        </w:rPr>
        <w:t xml:space="preserve">API shall be: </w:t>
      </w:r>
    </w:p>
    <w:p w14:paraId="2717F9C7" w14:textId="77777777" w:rsidR="004D166F" w:rsidRPr="0040274B" w:rsidRDefault="004D166F" w:rsidP="004D166F">
      <w:pPr>
        <w:pStyle w:val="B1"/>
        <w:rPr>
          <w:b/>
          <w:lang w:eastAsia="zh-CN"/>
        </w:rPr>
      </w:pPr>
      <w:r w:rsidRPr="0040274B">
        <w:rPr>
          <w:b/>
          <w:lang w:val="en-US"/>
        </w:rPr>
        <w:t>{apiRoot}/&lt;apiName&gt;/&lt;apiVersion&gt;</w:t>
      </w:r>
    </w:p>
    <w:p w14:paraId="5DD6082E" w14:textId="77777777" w:rsidR="004D166F" w:rsidRDefault="004D166F" w:rsidP="004D166F">
      <w:pPr>
        <w:rPr>
          <w:lang w:eastAsia="zh-CN"/>
        </w:rPr>
      </w:pPr>
      <w:r>
        <w:rPr>
          <w:lang w:eastAsia="zh-CN"/>
        </w:rPr>
        <w:t xml:space="preserve">The request URIs used in each HTTP requests from the NF service consumer towards the NWDAF shall have the </w:t>
      </w:r>
      <w:r>
        <w:rPr>
          <w:lang w:val="en-US" w:eastAsia="zh-CN"/>
        </w:rPr>
        <w:t>Resource URI</w:t>
      </w:r>
      <w:r>
        <w:rPr>
          <w:lang w:eastAsia="zh-CN"/>
        </w:rPr>
        <w:t xml:space="preserve"> structure defined in clause 4.4.1 of 3GPP TS 29.501 [7], i.e.:</w:t>
      </w:r>
    </w:p>
    <w:p w14:paraId="7704B216" w14:textId="77777777" w:rsidR="004D166F" w:rsidRPr="0040274B" w:rsidRDefault="004D166F" w:rsidP="004D166F">
      <w:pPr>
        <w:pStyle w:val="B1"/>
        <w:rPr>
          <w:b/>
        </w:rPr>
      </w:pPr>
      <w:r w:rsidRPr="0040274B">
        <w:rPr>
          <w:b/>
        </w:rPr>
        <w:t>{apiRoot}/&lt;apiName&gt;/&lt;apiVersion&gt;/&lt;apiSpecificResourceUriPart&gt;</w:t>
      </w:r>
    </w:p>
    <w:p w14:paraId="0A30ECFB" w14:textId="77777777" w:rsidR="004D166F" w:rsidRDefault="004D166F" w:rsidP="004D166F">
      <w:pPr>
        <w:rPr>
          <w:lang w:eastAsia="zh-CN"/>
        </w:rPr>
      </w:pPr>
      <w:r>
        <w:rPr>
          <w:lang w:eastAsia="zh-CN"/>
        </w:rPr>
        <w:t>with the following components:</w:t>
      </w:r>
    </w:p>
    <w:p w14:paraId="12001DBF" w14:textId="77777777" w:rsidR="004D166F" w:rsidRDefault="004D166F" w:rsidP="004D166F">
      <w:pPr>
        <w:pStyle w:val="B1"/>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2981E395" w14:textId="77777777" w:rsidR="004D166F" w:rsidRDefault="004D166F" w:rsidP="004D166F">
      <w:pPr>
        <w:pStyle w:val="B1"/>
      </w:pPr>
      <w:r>
        <w:rPr>
          <w:lang w:eastAsia="zh-CN"/>
        </w:rPr>
        <w:t>-</w:t>
      </w:r>
      <w:r>
        <w:rPr>
          <w:lang w:eastAsia="zh-CN"/>
        </w:rPr>
        <w:tab/>
        <w:t xml:space="preserve">The </w:t>
      </w:r>
      <w:r>
        <w:t>&lt;apiName&gt;</w:t>
      </w:r>
      <w:r>
        <w:rPr>
          <w:b/>
        </w:rPr>
        <w:t xml:space="preserve"> </w:t>
      </w:r>
      <w:r>
        <w:t>shall be "nnwdaf-eventssubscription".</w:t>
      </w:r>
    </w:p>
    <w:p w14:paraId="770491A2" w14:textId="77777777" w:rsidR="004D166F" w:rsidRDefault="004D166F" w:rsidP="004D166F">
      <w:pPr>
        <w:pStyle w:val="B1"/>
      </w:pPr>
      <w:r>
        <w:t>-</w:t>
      </w:r>
      <w:r>
        <w:tab/>
        <w:t>The &lt;apiVersion&gt; shall be "v1".</w:t>
      </w:r>
    </w:p>
    <w:p w14:paraId="0553F123" w14:textId="77777777" w:rsidR="004D166F" w:rsidRDefault="004D166F" w:rsidP="004D166F">
      <w:pPr>
        <w:pStyle w:val="B1"/>
      </w:pPr>
      <w:r>
        <w:t>-</w:t>
      </w:r>
      <w:r>
        <w:tab/>
        <w:t>The &lt;apiSpecificResourceUriPart&gt; shall be set as described in clause</w:t>
      </w:r>
      <w:r>
        <w:rPr>
          <w:lang w:eastAsia="zh-CN"/>
        </w:rPr>
        <w:t> </w:t>
      </w:r>
      <w:r>
        <w:t>5.1.3.</w:t>
      </w:r>
    </w:p>
    <w:p w14:paraId="005673CE" w14:textId="77777777" w:rsidR="00A10B25" w:rsidRDefault="00A10B25">
      <w:pPr>
        <w:pStyle w:val="3"/>
        <w:rPr>
          <w:lang w:val="en-US"/>
        </w:rPr>
      </w:pPr>
      <w:bookmarkStart w:id="4002" w:name="_Toc191576187"/>
      <w:bookmarkStart w:id="4003" w:name="_Toc191576927"/>
      <w:bookmarkStart w:id="4004" w:name="_Toc192879997"/>
      <w:bookmarkStart w:id="4005" w:name="_Toc195814880"/>
      <w:bookmarkStart w:id="4006" w:name="_Toc199452847"/>
      <w:r>
        <w:rPr>
          <w:lang w:val="en-US"/>
        </w:rPr>
        <w:t>5.1.2</w:t>
      </w:r>
      <w:r>
        <w:rPr>
          <w:lang w:val="en-US"/>
        </w:rPr>
        <w:tab/>
        <w:t>Usage of HTTP</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0FA56022" w14:textId="77777777" w:rsidR="00A10B25" w:rsidRDefault="00A10B25">
      <w:pPr>
        <w:pStyle w:val="4"/>
      </w:pPr>
      <w:bookmarkStart w:id="4007" w:name="_Toc98233591"/>
      <w:bookmarkStart w:id="4008" w:name="_Toc66231766"/>
      <w:bookmarkStart w:id="4009" w:name="_Toc43563470"/>
      <w:bookmarkStart w:id="4010" w:name="_Toc59017898"/>
      <w:bookmarkStart w:id="4011" w:name="_Toc120702261"/>
      <w:bookmarkStart w:id="4012" w:name="_Toc138754162"/>
      <w:bookmarkStart w:id="4013" w:name="_Toc136562328"/>
      <w:bookmarkStart w:id="4014" w:name="_Toc101244367"/>
      <w:bookmarkStart w:id="4015" w:name="_Toc85557036"/>
      <w:bookmarkStart w:id="4016" w:name="_Toc148522553"/>
      <w:bookmarkStart w:id="4017" w:name="_Toc90655823"/>
      <w:bookmarkStart w:id="4018" w:name="_Toc85552937"/>
      <w:bookmarkStart w:id="4019" w:name="_Toc70550594"/>
      <w:bookmarkStart w:id="4020" w:name="_Toc112951082"/>
      <w:bookmarkStart w:id="4021" w:name="_Toc28012787"/>
      <w:bookmarkStart w:id="4022" w:name="_Toc36102428"/>
      <w:bookmarkStart w:id="4023" w:name="_Toc68168927"/>
      <w:bookmarkStart w:id="4024" w:name="_Toc45134013"/>
      <w:bookmarkStart w:id="4025" w:name="_Toc114133761"/>
      <w:bookmarkStart w:id="4026" w:name="_Toc83233040"/>
      <w:bookmarkStart w:id="4027" w:name="_Toc34266257"/>
      <w:bookmarkStart w:id="4028" w:name="_Toc113031622"/>
      <w:bookmarkStart w:id="4029" w:name="_Toc145705649"/>
      <w:bookmarkStart w:id="4030" w:name="_Toc94064206"/>
      <w:bookmarkStart w:id="4031" w:name="_Toc51762863"/>
      <w:bookmarkStart w:id="4032" w:name="_Toc56640930"/>
      <w:bookmarkStart w:id="4033" w:name="_Toc88667538"/>
      <w:bookmarkStart w:id="4034" w:name="_Toc50031943"/>
      <w:bookmarkStart w:id="4035" w:name="_Toc104538960"/>
      <w:bookmarkStart w:id="4036" w:name="_Toc164920733"/>
      <w:bookmarkStart w:id="4037" w:name="_Toc170120275"/>
      <w:bookmarkStart w:id="4038" w:name="_Toc175858520"/>
      <w:bookmarkStart w:id="4039" w:name="_Toc175859593"/>
      <w:bookmarkStart w:id="4040" w:name="_Toc180605883"/>
      <w:bookmarkStart w:id="4041" w:name="_Toc185517137"/>
      <w:bookmarkStart w:id="4042" w:name="_Toc191576188"/>
      <w:bookmarkStart w:id="4043" w:name="_Toc191576928"/>
      <w:bookmarkStart w:id="4044" w:name="_Toc192879998"/>
      <w:bookmarkStart w:id="4045" w:name="_Toc195814881"/>
      <w:bookmarkStart w:id="4046" w:name="_Toc199452848"/>
      <w:r>
        <w:t>5.1.2.1</w:t>
      </w:r>
      <w:r>
        <w:tab/>
        <w:t>General</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5665B7F7" w14:textId="77777777" w:rsidR="00A10B25" w:rsidRDefault="00A10B25">
      <w:bookmarkStart w:id="4047" w:name="_Toc83233041"/>
      <w:bookmarkStart w:id="4048" w:name="_Toc45134014"/>
      <w:bookmarkStart w:id="4049" w:name="_Toc90655824"/>
      <w:bookmarkStart w:id="4050" w:name="_Toc98233592"/>
      <w:bookmarkStart w:id="4051" w:name="_Toc113031623"/>
      <w:bookmarkStart w:id="4052" w:name="_Toc136562329"/>
      <w:bookmarkStart w:id="4053" w:name="_Toc85557037"/>
      <w:bookmarkStart w:id="4054" w:name="_Toc51762864"/>
      <w:bookmarkStart w:id="4055" w:name="_Toc68168928"/>
      <w:bookmarkStart w:id="4056" w:name="_Toc94064207"/>
      <w:bookmarkStart w:id="4057" w:name="_Toc28012788"/>
      <w:bookmarkStart w:id="4058" w:name="_Toc43563471"/>
      <w:bookmarkStart w:id="4059" w:name="_Toc104538961"/>
      <w:bookmarkStart w:id="4060" w:name="_Toc112951083"/>
      <w:bookmarkStart w:id="4061" w:name="_Toc36102429"/>
      <w:bookmarkStart w:id="4062" w:name="_Toc101244368"/>
      <w:bookmarkStart w:id="4063" w:name="_Toc114133762"/>
      <w:bookmarkStart w:id="4064" w:name="_Toc120702262"/>
      <w:bookmarkStart w:id="4065" w:name="_Toc145705650"/>
      <w:bookmarkStart w:id="4066" w:name="_Toc88667539"/>
      <w:bookmarkStart w:id="4067" w:name="_Toc85552938"/>
      <w:bookmarkStart w:id="4068" w:name="_Toc148522554"/>
      <w:bookmarkStart w:id="4069" w:name="_Toc66231767"/>
      <w:bookmarkStart w:id="4070" w:name="_Toc50031944"/>
      <w:bookmarkStart w:id="4071" w:name="_Toc70550595"/>
      <w:bookmarkStart w:id="4072" w:name="_Toc59017899"/>
      <w:bookmarkStart w:id="4073" w:name="_Toc56640931"/>
      <w:bookmarkStart w:id="4074" w:name="_Toc138754163"/>
      <w:bookmarkStart w:id="4075" w:name="_Toc34266258"/>
      <w:r>
        <w:t>HTTP</w:t>
      </w:r>
      <w:r>
        <w:rPr>
          <w:lang w:eastAsia="zh-CN"/>
        </w:rPr>
        <w:t xml:space="preserve">/2, IETF RFC 9113 [9], </w:t>
      </w:r>
      <w:r>
        <w:t>shall be used as specified in clause 5 of 3GPP TS 29.500 [6].</w:t>
      </w:r>
    </w:p>
    <w:p w14:paraId="174F6F1B" w14:textId="77777777" w:rsidR="00A10B25" w:rsidRDefault="00A10B25">
      <w:r>
        <w:t>HTTP/2 shall be transported as specified in clause 5.3 of 3GPP TS 29.500 [6].</w:t>
      </w:r>
    </w:p>
    <w:p w14:paraId="5D662BD5" w14:textId="77777777" w:rsidR="00A10B25" w:rsidRDefault="00A10B25">
      <w:r>
        <w:t>The OpenAPI [11] specification of HTTP messages and content bodies for the Nnwdaf_EventsSubscription is contained in Annex A.</w:t>
      </w:r>
    </w:p>
    <w:p w14:paraId="33AC8018" w14:textId="77777777" w:rsidR="00A10B25" w:rsidRDefault="00A10B25">
      <w:pPr>
        <w:pStyle w:val="4"/>
      </w:pPr>
      <w:bookmarkStart w:id="4076" w:name="_Toc164920734"/>
      <w:bookmarkStart w:id="4077" w:name="_Toc170120276"/>
      <w:bookmarkStart w:id="4078" w:name="_Toc175858521"/>
      <w:bookmarkStart w:id="4079" w:name="_Toc175859594"/>
      <w:bookmarkStart w:id="4080" w:name="_Toc180605884"/>
      <w:bookmarkStart w:id="4081" w:name="_Toc185517138"/>
      <w:bookmarkStart w:id="4082" w:name="_Toc191576189"/>
      <w:bookmarkStart w:id="4083" w:name="_Toc191576929"/>
      <w:bookmarkStart w:id="4084" w:name="_Toc192879999"/>
      <w:bookmarkStart w:id="4085" w:name="_Toc195814882"/>
      <w:bookmarkStart w:id="4086" w:name="_Toc199452849"/>
      <w:r>
        <w:t>5.1.2.2</w:t>
      </w:r>
      <w:r>
        <w:tab/>
        <w:t>HTTP standard headers</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BBAD9E7" w14:textId="77777777" w:rsidR="00A10B25" w:rsidRDefault="00A10B25">
      <w:pPr>
        <w:pStyle w:val="5"/>
      </w:pPr>
      <w:bookmarkStart w:id="4087" w:name="_Toc59017900"/>
      <w:bookmarkStart w:id="4088" w:name="_Toc36102430"/>
      <w:bookmarkStart w:id="4089" w:name="_Toc34266259"/>
      <w:bookmarkStart w:id="4090" w:name="_Toc43563472"/>
      <w:bookmarkStart w:id="4091" w:name="_Toc112951084"/>
      <w:bookmarkStart w:id="4092" w:name="_Toc50031945"/>
      <w:bookmarkStart w:id="4093" w:name="_Toc90655825"/>
      <w:bookmarkStart w:id="4094" w:name="_Toc51762865"/>
      <w:bookmarkStart w:id="4095" w:name="_Toc98233593"/>
      <w:bookmarkStart w:id="4096" w:name="_Toc94064208"/>
      <w:bookmarkStart w:id="4097" w:name="_Toc104538962"/>
      <w:bookmarkStart w:id="4098" w:name="_Toc136562330"/>
      <w:bookmarkStart w:id="4099" w:name="_Toc113031624"/>
      <w:bookmarkStart w:id="4100" w:name="_Toc120702263"/>
      <w:bookmarkStart w:id="4101" w:name="_Toc45134015"/>
      <w:bookmarkStart w:id="4102" w:name="_Toc28012789"/>
      <w:bookmarkStart w:id="4103" w:name="_Toc83233042"/>
      <w:bookmarkStart w:id="4104" w:name="_Toc138754164"/>
      <w:bookmarkStart w:id="4105" w:name="_Toc145705651"/>
      <w:bookmarkStart w:id="4106" w:name="_Toc68168929"/>
      <w:bookmarkStart w:id="4107" w:name="_Toc148522555"/>
      <w:bookmarkStart w:id="4108" w:name="_Toc66231768"/>
      <w:bookmarkStart w:id="4109" w:name="_Toc88667540"/>
      <w:bookmarkStart w:id="4110" w:name="_Toc114133763"/>
      <w:bookmarkStart w:id="4111" w:name="_Toc85552939"/>
      <w:bookmarkStart w:id="4112" w:name="_Toc70550596"/>
      <w:bookmarkStart w:id="4113" w:name="_Toc101244369"/>
      <w:bookmarkStart w:id="4114" w:name="_Toc85557038"/>
      <w:bookmarkStart w:id="4115" w:name="_Toc56640932"/>
      <w:bookmarkStart w:id="4116" w:name="_Toc164920735"/>
      <w:bookmarkStart w:id="4117" w:name="_Toc170120277"/>
      <w:bookmarkStart w:id="4118" w:name="_Toc175858522"/>
      <w:bookmarkStart w:id="4119" w:name="_Toc175859595"/>
      <w:bookmarkStart w:id="4120" w:name="_Toc180605885"/>
      <w:bookmarkStart w:id="4121" w:name="_Toc185517139"/>
      <w:bookmarkStart w:id="4122" w:name="_Toc191576190"/>
      <w:bookmarkStart w:id="4123" w:name="_Toc191576930"/>
      <w:bookmarkStart w:id="4124" w:name="_Toc192880000"/>
      <w:bookmarkStart w:id="4125" w:name="_Toc195814883"/>
      <w:bookmarkStart w:id="4126" w:name="_Toc199452850"/>
      <w:r>
        <w:t>5.1.2.2.1</w:t>
      </w:r>
      <w:r>
        <w:tab/>
        <w:t>General</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A46742B" w14:textId="77777777" w:rsidR="00A10B25" w:rsidRDefault="00A10B25">
      <w:r>
        <w:t>See clause 5.2.2 of 3GPP TS 29.500 [6] for the usage of HTTP standard headers.</w:t>
      </w:r>
    </w:p>
    <w:p w14:paraId="0BE37C34" w14:textId="77777777" w:rsidR="00A10B25" w:rsidRDefault="00A10B25">
      <w:pPr>
        <w:pStyle w:val="5"/>
      </w:pPr>
      <w:bookmarkStart w:id="4127" w:name="_Toc101244370"/>
      <w:bookmarkStart w:id="4128" w:name="_Toc68168930"/>
      <w:bookmarkStart w:id="4129" w:name="_Toc83233043"/>
      <w:bookmarkStart w:id="4130" w:name="_Toc51762866"/>
      <w:bookmarkStart w:id="4131" w:name="_Toc90655826"/>
      <w:bookmarkStart w:id="4132" w:name="_Toc34266260"/>
      <w:bookmarkStart w:id="4133" w:name="_Toc113031625"/>
      <w:bookmarkStart w:id="4134" w:name="_Toc94064209"/>
      <w:bookmarkStart w:id="4135" w:name="_Toc85552940"/>
      <w:bookmarkStart w:id="4136" w:name="_Toc43563473"/>
      <w:bookmarkStart w:id="4137" w:name="_Toc50031946"/>
      <w:bookmarkStart w:id="4138" w:name="_Toc45134016"/>
      <w:bookmarkStart w:id="4139" w:name="_Toc66231769"/>
      <w:bookmarkStart w:id="4140" w:name="_Toc28012790"/>
      <w:bookmarkStart w:id="4141" w:name="_Toc70550597"/>
      <w:bookmarkStart w:id="4142" w:name="_Toc120702264"/>
      <w:bookmarkStart w:id="4143" w:name="_Toc85557039"/>
      <w:bookmarkStart w:id="4144" w:name="_Toc36102431"/>
      <w:bookmarkStart w:id="4145" w:name="_Toc56640933"/>
      <w:bookmarkStart w:id="4146" w:name="_Toc59017901"/>
      <w:bookmarkStart w:id="4147" w:name="_Toc136562331"/>
      <w:bookmarkStart w:id="4148" w:name="_Toc114133764"/>
      <w:bookmarkStart w:id="4149" w:name="_Toc112951085"/>
      <w:bookmarkStart w:id="4150" w:name="_Toc98233594"/>
      <w:bookmarkStart w:id="4151" w:name="_Toc104538963"/>
      <w:bookmarkStart w:id="4152" w:name="_Toc138754165"/>
      <w:bookmarkStart w:id="4153" w:name="_Toc145705652"/>
      <w:bookmarkStart w:id="4154" w:name="_Toc148522556"/>
      <w:bookmarkStart w:id="4155" w:name="_Toc88667541"/>
      <w:bookmarkStart w:id="4156" w:name="_Toc164920736"/>
      <w:bookmarkStart w:id="4157" w:name="_Toc170120278"/>
      <w:bookmarkStart w:id="4158" w:name="_Toc175858523"/>
      <w:bookmarkStart w:id="4159" w:name="_Toc175859596"/>
      <w:bookmarkStart w:id="4160" w:name="_Toc180605886"/>
      <w:bookmarkStart w:id="4161" w:name="_Toc185517140"/>
      <w:bookmarkStart w:id="4162" w:name="_Toc191576191"/>
      <w:bookmarkStart w:id="4163" w:name="_Toc191576931"/>
      <w:bookmarkStart w:id="4164" w:name="_Toc192880001"/>
      <w:bookmarkStart w:id="4165" w:name="_Toc195814884"/>
      <w:bookmarkStart w:id="4166" w:name="_Toc199452851"/>
      <w:r>
        <w:t>5.1.2.2.2</w:t>
      </w:r>
      <w:r>
        <w:tab/>
        <w:t>Content type</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1207D8E" w14:textId="77777777" w:rsidR="00A10B25" w:rsidRDefault="00A10B25">
      <w:bookmarkStart w:id="4167" w:name="_Toc50031947"/>
      <w:bookmarkStart w:id="4168" w:name="_Toc56640934"/>
      <w:bookmarkStart w:id="4169" w:name="_Toc36102432"/>
      <w:bookmarkStart w:id="4170" w:name="_Toc83233044"/>
      <w:bookmarkStart w:id="4171" w:name="_Toc85552941"/>
      <w:bookmarkStart w:id="4172" w:name="_Toc94064210"/>
      <w:bookmarkStart w:id="4173" w:name="_Toc85557040"/>
      <w:bookmarkStart w:id="4174" w:name="_Toc88667542"/>
      <w:bookmarkStart w:id="4175" w:name="_Toc59017902"/>
      <w:bookmarkStart w:id="4176" w:name="_Toc114133765"/>
      <w:bookmarkStart w:id="4177" w:name="_Toc104538964"/>
      <w:bookmarkStart w:id="4178" w:name="_Toc136562332"/>
      <w:bookmarkStart w:id="4179" w:name="_Toc43563474"/>
      <w:bookmarkStart w:id="4180" w:name="_Toc113031626"/>
      <w:bookmarkStart w:id="4181" w:name="_Toc45134017"/>
      <w:bookmarkStart w:id="4182" w:name="_Toc112951086"/>
      <w:bookmarkStart w:id="4183" w:name="_Toc66231770"/>
      <w:bookmarkStart w:id="4184" w:name="_Toc68168931"/>
      <w:bookmarkStart w:id="4185" w:name="_Toc34266261"/>
      <w:bookmarkStart w:id="4186" w:name="_Toc145705653"/>
      <w:bookmarkStart w:id="4187" w:name="_Toc138754166"/>
      <w:bookmarkStart w:id="4188" w:name="_Toc101244371"/>
      <w:bookmarkStart w:id="4189" w:name="_Toc148522557"/>
      <w:bookmarkStart w:id="4190" w:name="_Toc120702265"/>
      <w:bookmarkStart w:id="4191" w:name="_Toc51762867"/>
      <w:bookmarkStart w:id="4192" w:name="_Toc28012791"/>
      <w:bookmarkStart w:id="4193" w:name="_Toc98233595"/>
      <w:bookmarkStart w:id="4194" w:name="_Toc90655827"/>
      <w:bookmarkStart w:id="4195" w:name="_Toc70550598"/>
      <w:r>
        <w:t>JSON, IETF RFC 8259 [10], shall be used as content type of the HTTP bodies specified in the present specification as specified in clause 5.4 of 3GPP TS 29.500 [6]. The use of the JSON format shall be signalled by the content type "application/json".</w:t>
      </w:r>
    </w:p>
    <w:p w14:paraId="467D7FEF" w14:textId="77777777" w:rsidR="00A10B25" w:rsidRDefault="00A10B25">
      <w:r>
        <w:rPr>
          <w:rFonts w:eastAsia="等线"/>
        </w:rPr>
        <w:t xml:space="preserve">"Problem Details" JSON object shall be used to indicate </w:t>
      </w:r>
      <w:r>
        <w:rPr>
          <w:rFonts w:eastAsia="等线"/>
          <w:lang w:eastAsia="fr-FR"/>
        </w:rPr>
        <w:t xml:space="preserve">additional details of the error </w:t>
      </w:r>
      <w:r>
        <w:rPr>
          <w:rFonts w:eastAsia="等线"/>
        </w:rPr>
        <w:t>in a HTTP response body and shall be signalled by the content type "application/problem+json", as defined in IETF RFC </w:t>
      </w:r>
      <w:r>
        <w:t>9457</w:t>
      </w:r>
      <w:r>
        <w:rPr>
          <w:rFonts w:eastAsia="等线"/>
          <w:lang w:val="en-US"/>
        </w:rPr>
        <w:t> </w:t>
      </w:r>
      <w:r>
        <w:rPr>
          <w:rFonts w:eastAsia="等线"/>
        </w:rPr>
        <w:t>[15].</w:t>
      </w:r>
    </w:p>
    <w:p w14:paraId="57A1DB60" w14:textId="77777777" w:rsidR="00A10B25" w:rsidRDefault="00A10B25">
      <w:pPr>
        <w:pStyle w:val="4"/>
      </w:pPr>
      <w:bookmarkStart w:id="4196" w:name="_Toc164920737"/>
      <w:bookmarkStart w:id="4197" w:name="_Toc170120279"/>
      <w:bookmarkStart w:id="4198" w:name="_Toc175858524"/>
      <w:bookmarkStart w:id="4199" w:name="_Toc175859597"/>
      <w:bookmarkStart w:id="4200" w:name="_Toc180605887"/>
      <w:bookmarkStart w:id="4201" w:name="_Toc185517141"/>
      <w:bookmarkStart w:id="4202" w:name="_Toc191576192"/>
      <w:bookmarkStart w:id="4203" w:name="_Toc191576932"/>
      <w:bookmarkStart w:id="4204" w:name="_Toc192880002"/>
      <w:bookmarkStart w:id="4205" w:name="_Toc195814885"/>
      <w:bookmarkStart w:id="4206" w:name="_Toc199452852"/>
      <w:r>
        <w:t>5.1.2.3</w:t>
      </w:r>
      <w:r>
        <w:tab/>
        <w:t>HTTP custom headers</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7769CCC3" w14:textId="77777777" w:rsidR="00A10B25" w:rsidRDefault="00A10B25">
      <w:r>
        <w:t xml:space="preserve">The Nnwdaf_EventsSubscription service API shall support the </w:t>
      </w:r>
      <w:r>
        <w:rPr>
          <w:lang w:val="en-US" w:eastAsia="zh-CN"/>
        </w:rPr>
        <w:t>mandatory</w:t>
      </w:r>
      <w:r>
        <w:t xml:space="preserve"> HTTP custom header fields specified in clause 5.2.3.2 of 3GPP TS 29.500 [6] and may support the </w:t>
      </w:r>
      <w:r>
        <w:rPr>
          <w:lang w:val="en-US" w:eastAsia="zh-CN"/>
        </w:rPr>
        <w:t>optional</w:t>
      </w:r>
      <w:r>
        <w:t xml:space="preserve"> HTTP custom header fields specified in clause 5.2.3.3 of 3GPP TS 29.500 [6].</w:t>
      </w:r>
    </w:p>
    <w:p w14:paraId="30E13B58" w14:textId="77777777" w:rsidR="00A10B25" w:rsidRDefault="00A10B25">
      <w:r>
        <w:t>In this release of the specification, no specific custom headers are defined for the Nnwdaf_EventsSubscription service API.</w:t>
      </w:r>
    </w:p>
    <w:p w14:paraId="4BAE6507" w14:textId="77777777" w:rsidR="00A10B25" w:rsidRDefault="00A10B25">
      <w:pPr>
        <w:pStyle w:val="3"/>
      </w:pPr>
      <w:bookmarkStart w:id="4207" w:name="_Toc94064211"/>
      <w:bookmarkStart w:id="4208" w:name="_Toc59017903"/>
      <w:bookmarkStart w:id="4209" w:name="_Toc114133766"/>
      <w:bookmarkStart w:id="4210" w:name="_Toc85557041"/>
      <w:bookmarkStart w:id="4211" w:name="_Toc36102433"/>
      <w:bookmarkStart w:id="4212" w:name="_Toc120702266"/>
      <w:bookmarkStart w:id="4213" w:name="_Toc68168932"/>
      <w:bookmarkStart w:id="4214" w:name="_Toc34266262"/>
      <w:bookmarkStart w:id="4215" w:name="_Toc98233596"/>
      <w:bookmarkStart w:id="4216" w:name="_Toc70550599"/>
      <w:bookmarkStart w:id="4217" w:name="_Toc66231771"/>
      <w:bookmarkStart w:id="4218" w:name="_Toc90655828"/>
      <w:bookmarkStart w:id="4219" w:name="_Toc145705654"/>
      <w:bookmarkStart w:id="4220" w:name="_Toc148522558"/>
      <w:bookmarkStart w:id="4221" w:name="_Toc50031948"/>
      <w:bookmarkStart w:id="4222" w:name="_Toc85552942"/>
      <w:bookmarkStart w:id="4223" w:name="_Toc43563475"/>
      <w:bookmarkStart w:id="4224" w:name="_Toc101244372"/>
      <w:bookmarkStart w:id="4225" w:name="_Toc45134018"/>
      <w:bookmarkStart w:id="4226" w:name="_Toc113031627"/>
      <w:bookmarkStart w:id="4227" w:name="_Toc51762868"/>
      <w:bookmarkStart w:id="4228" w:name="_Toc28012792"/>
      <w:bookmarkStart w:id="4229" w:name="_Toc136562333"/>
      <w:bookmarkStart w:id="4230" w:name="_Toc56640935"/>
      <w:bookmarkStart w:id="4231" w:name="_Toc83233045"/>
      <w:bookmarkStart w:id="4232" w:name="_Toc104538965"/>
      <w:bookmarkStart w:id="4233" w:name="_Toc88667543"/>
      <w:bookmarkStart w:id="4234" w:name="_Toc138754167"/>
      <w:bookmarkStart w:id="4235" w:name="_Toc112951087"/>
      <w:bookmarkStart w:id="4236" w:name="_Toc164920738"/>
      <w:bookmarkStart w:id="4237" w:name="_Toc170120280"/>
      <w:bookmarkStart w:id="4238" w:name="_Toc175858525"/>
      <w:bookmarkStart w:id="4239" w:name="_Toc175859598"/>
      <w:bookmarkStart w:id="4240" w:name="_Toc180605888"/>
      <w:bookmarkStart w:id="4241" w:name="_Toc185517142"/>
      <w:bookmarkStart w:id="4242" w:name="_Toc191576193"/>
      <w:bookmarkStart w:id="4243" w:name="_Toc191576933"/>
      <w:bookmarkStart w:id="4244" w:name="_Toc192880003"/>
      <w:bookmarkStart w:id="4245" w:name="_Toc195814886"/>
      <w:bookmarkStart w:id="4246" w:name="_Toc199452853"/>
      <w:r>
        <w:t>5.1.3</w:t>
      </w:r>
      <w:r>
        <w:tab/>
        <w:t>Resources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7C669102" w14:textId="77777777" w:rsidR="00A10B25" w:rsidRDefault="00A10B25">
      <w:pPr>
        <w:pStyle w:val="4"/>
      </w:pPr>
      <w:bookmarkStart w:id="4247" w:name="_Toc114133767"/>
      <w:bookmarkStart w:id="4248" w:name="_Toc51762869"/>
      <w:bookmarkStart w:id="4249" w:name="_Toc85552943"/>
      <w:bookmarkStart w:id="4250" w:name="_Toc85557042"/>
      <w:bookmarkStart w:id="4251" w:name="_Toc101244373"/>
      <w:bookmarkStart w:id="4252" w:name="_Toc66231772"/>
      <w:bookmarkStart w:id="4253" w:name="_Toc68168933"/>
      <w:bookmarkStart w:id="4254" w:name="_Toc112951088"/>
      <w:bookmarkStart w:id="4255" w:name="_Toc94064212"/>
      <w:bookmarkStart w:id="4256" w:name="_Toc56640936"/>
      <w:bookmarkStart w:id="4257" w:name="_Toc120702267"/>
      <w:bookmarkStart w:id="4258" w:name="_Toc98233597"/>
      <w:bookmarkStart w:id="4259" w:name="_Toc138754168"/>
      <w:bookmarkStart w:id="4260" w:name="_Toc28012793"/>
      <w:bookmarkStart w:id="4261" w:name="_Toc113031628"/>
      <w:bookmarkStart w:id="4262" w:name="_Toc136562334"/>
      <w:bookmarkStart w:id="4263" w:name="_Toc88667544"/>
      <w:bookmarkStart w:id="4264" w:name="_Toc83233046"/>
      <w:bookmarkStart w:id="4265" w:name="_Toc36102434"/>
      <w:bookmarkStart w:id="4266" w:name="_Toc43563476"/>
      <w:bookmarkStart w:id="4267" w:name="_Toc34266263"/>
      <w:bookmarkStart w:id="4268" w:name="_Toc50031949"/>
      <w:bookmarkStart w:id="4269" w:name="_Toc90655829"/>
      <w:bookmarkStart w:id="4270" w:name="_Toc45134019"/>
      <w:bookmarkStart w:id="4271" w:name="_Toc104538966"/>
      <w:bookmarkStart w:id="4272" w:name="_Toc148522559"/>
      <w:bookmarkStart w:id="4273" w:name="_Toc145705655"/>
      <w:bookmarkStart w:id="4274" w:name="_Toc59017904"/>
      <w:bookmarkStart w:id="4275" w:name="_Toc70550600"/>
      <w:bookmarkStart w:id="4276" w:name="_Toc164920739"/>
      <w:bookmarkStart w:id="4277" w:name="_Toc170120281"/>
      <w:bookmarkStart w:id="4278" w:name="_Toc175858526"/>
      <w:bookmarkStart w:id="4279" w:name="_Toc175859599"/>
      <w:bookmarkStart w:id="4280" w:name="_Toc180605889"/>
      <w:bookmarkStart w:id="4281" w:name="_Toc185517143"/>
      <w:bookmarkStart w:id="4282" w:name="_Toc191576194"/>
      <w:bookmarkStart w:id="4283" w:name="_Toc191576934"/>
      <w:bookmarkStart w:id="4284" w:name="_Toc192880004"/>
      <w:bookmarkStart w:id="4285" w:name="_Toc195814887"/>
      <w:bookmarkStart w:id="4286" w:name="_Toc199452854"/>
      <w:r>
        <w:t>5.1.3.1</w:t>
      </w:r>
      <w:r>
        <w:tab/>
        <w:t>Resource Structure</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5D60745" w14:textId="77777777" w:rsidR="004D166F" w:rsidRDefault="004D166F" w:rsidP="004D166F">
      <w:r>
        <w:t>This clause describes the structure for the Resource URIs and the resources and methods used for the service.</w:t>
      </w:r>
    </w:p>
    <w:p w14:paraId="7EE19A2F" w14:textId="77777777" w:rsidR="00A10B25" w:rsidRDefault="00A10B25">
      <w:r>
        <w:t>Figure 5.1.3.1-1 depicts the resource URIs structure for the Nnwdaf_EventsSubscription API.</w:t>
      </w:r>
    </w:p>
    <w:p w14:paraId="2FE4FF27" w14:textId="75287840" w:rsidR="00A10B25" w:rsidRDefault="00257874">
      <w:pPr>
        <w:pStyle w:val="TH"/>
        <w:rPr>
          <w:lang w:val="en-US"/>
        </w:rPr>
      </w:pPr>
      <w:r>
        <w:rPr>
          <w:noProof/>
          <w:lang w:val="en-US" w:eastAsia="zh-CN"/>
        </w:rPr>
        <w:drawing>
          <wp:inline distT="0" distB="0" distL="0" distR="0" wp14:anchorId="290DB23F" wp14:editId="5A2FC1BE">
            <wp:extent cx="4858385" cy="2011680"/>
            <wp:effectExtent l="0" t="0" r="0" b="0"/>
            <wp:docPr id="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858385" cy="2011680"/>
                    </a:xfrm>
                    <a:prstGeom prst="rect">
                      <a:avLst/>
                    </a:prstGeom>
                    <a:noFill/>
                    <a:ln>
                      <a:noFill/>
                    </a:ln>
                  </pic:spPr>
                </pic:pic>
              </a:graphicData>
            </a:graphic>
          </wp:inline>
        </w:drawing>
      </w:r>
    </w:p>
    <w:p w14:paraId="7F1D3B3A" w14:textId="77777777" w:rsidR="00A10B25" w:rsidRDefault="00A10B25">
      <w:pPr>
        <w:pStyle w:val="TF"/>
      </w:pPr>
      <w:r>
        <w:t>Figure 5.1.3.1-</w:t>
      </w:r>
      <w:r>
        <w:rPr>
          <w:rFonts w:hint="eastAsia"/>
          <w:lang w:eastAsia="zh-CN"/>
        </w:rPr>
        <w:t>1</w:t>
      </w:r>
      <w:r>
        <w:t>: Resource URI structure of the Nnwdaf_EventsSubscription API</w:t>
      </w:r>
    </w:p>
    <w:p w14:paraId="1F762BE4" w14:textId="77777777" w:rsidR="00A10B25" w:rsidRDefault="00A10B25">
      <w:r>
        <w:t>Table 5.1.3.1-1 provides an overview of the resources and applicable HTTP methods.</w:t>
      </w:r>
    </w:p>
    <w:p w14:paraId="137E7B35" w14:textId="77777777" w:rsidR="00A10B25" w:rsidRDefault="00A10B25">
      <w:pPr>
        <w:pStyle w:val="TH"/>
        <w:overflowPunct w:val="0"/>
        <w:autoSpaceDE w:val="0"/>
        <w:autoSpaceDN w:val="0"/>
        <w:adjustRightInd w:val="0"/>
        <w:textAlignment w:val="baseline"/>
        <w:rPr>
          <w:rFonts w:eastAsia="MS Mincho"/>
        </w:rPr>
      </w:pPr>
      <w:r>
        <w:rPr>
          <w:rFonts w:eastAsia="MS Mincho"/>
        </w:rPr>
        <w:t>Table 5.1.3.1-1: Resources and methods overview</w:t>
      </w:r>
    </w:p>
    <w:tbl>
      <w:tblPr>
        <w:tblW w:w="49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8"/>
        <w:gridCol w:w="2845"/>
        <w:gridCol w:w="957"/>
        <w:gridCol w:w="3141"/>
      </w:tblGrid>
      <w:tr w:rsidR="00A10B25" w14:paraId="49993699" w14:textId="77777777">
        <w:trPr>
          <w:jc w:val="center"/>
        </w:trPr>
        <w:tc>
          <w:tcPr>
            <w:tcW w:w="1341" w:type="pct"/>
            <w:shd w:val="clear" w:color="auto" w:fill="C0C0C0"/>
            <w:vAlign w:val="center"/>
          </w:tcPr>
          <w:p w14:paraId="76496EA0" w14:textId="77777777" w:rsidR="00A10B25" w:rsidRDefault="00A10B25">
            <w:pPr>
              <w:pStyle w:val="TAH"/>
            </w:pPr>
            <w:r>
              <w:t>Resource name</w:t>
            </w:r>
          </w:p>
        </w:tc>
        <w:tc>
          <w:tcPr>
            <w:tcW w:w="1503" w:type="pct"/>
            <w:shd w:val="clear" w:color="auto" w:fill="C0C0C0"/>
            <w:vAlign w:val="center"/>
          </w:tcPr>
          <w:p w14:paraId="7A25F02D" w14:textId="77777777" w:rsidR="00A10B25" w:rsidRDefault="00A10B25">
            <w:pPr>
              <w:pStyle w:val="TAH"/>
            </w:pPr>
            <w:r>
              <w:t>Resource URI</w:t>
            </w:r>
          </w:p>
        </w:tc>
        <w:tc>
          <w:tcPr>
            <w:tcW w:w="497" w:type="pct"/>
            <w:shd w:val="clear" w:color="auto" w:fill="C0C0C0"/>
            <w:vAlign w:val="center"/>
          </w:tcPr>
          <w:p w14:paraId="1C7BD886" w14:textId="77777777" w:rsidR="00A10B25" w:rsidRDefault="00A10B25">
            <w:pPr>
              <w:pStyle w:val="TAH"/>
            </w:pPr>
            <w:r>
              <w:t>HTTP method or custom operation</w:t>
            </w:r>
          </w:p>
        </w:tc>
        <w:tc>
          <w:tcPr>
            <w:tcW w:w="1659" w:type="pct"/>
            <w:shd w:val="clear" w:color="auto" w:fill="C0C0C0"/>
            <w:vAlign w:val="center"/>
          </w:tcPr>
          <w:p w14:paraId="562E4EFD" w14:textId="77777777" w:rsidR="00A10B25" w:rsidRDefault="00A10B25">
            <w:pPr>
              <w:pStyle w:val="TAH"/>
            </w:pPr>
            <w:r>
              <w:t>Description</w:t>
            </w:r>
          </w:p>
        </w:tc>
      </w:tr>
      <w:tr w:rsidR="00A10B25" w14:paraId="114F4A9C" w14:textId="77777777">
        <w:trPr>
          <w:jc w:val="center"/>
        </w:trPr>
        <w:tc>
          <w:tcPr>
            <w:tcW w:w="0" w:type="auto"/>
            <w:vAlign w:val="center"/>
          </w:tcPr>
          <w:p w14:paraId="15D05AA2" w14:textId="77777777" w:rsidR="00A10B25" w:rsidRDefault="00A10B25">
            <w:pPr>
              <w:pStyle w:val="TAL"/>
            </w:pPr>
            <w:r>
              <w:t>NWDAF Events Subscriptions</w:t>
            </w:r>
          </w:p>
        </w:tc>
        <w:tc>
          <w:tcPr>
            <w:tcW w:w="0" w:type="auto"/>
            <w:vAlign w:val="center"/>
          </w:tcPr>
          <w:p w14:paraId="7531C487" w14:textId="77777777" w:rsidR="00A10B25" w:rsidRDefault="00A10B25">
            <w:pPr>
              <w:pStyle w:val="TAL"/>
            </w:pPr>
            <w:r>
              <w:t>/subscriptions</w:t>
            </w:r>
          </w:p>
        </w:tc>
        <w:tc>
          <w:tcPr>
            <w:tcW w:w="497" w:type="pct"/>
          </w:tcPr>
          <w:p w14:paraId="114D5A6B" w14:textId="77777777" w:rsidR="00A10B25" w:rsidRDefault="00A10B25">
            <w:pPr>
              <w:pStyle w:val="TAL"/>
            </w:pPr>
            <w:r>
              <w:t>POST</w:t>
            </w:r>
          </w:p>
        </w:tc>
        <w:tc>
          <w:tcPr>
            <w:tcW w:w="1659" w:type="pct"/>
          </w:tcPr>
          <w:p w14:paraId="5F927996" w14:textId="77777777" w:rsidR="00A10B25" w:rsidRDefault="00A10B25">
            <w:pPr>
              <w:pStyle w:val="TAL"/>
            </w:pPr>
            <w:r>
              <w:t>Creates a new Individual NWDAF Event Subscription resource.</w:t>
            </w:r>
          </w:p>
        </w:tc>
      </w:tr>
      <w:tr w:rsidR="00A10B25" w14:paraId="592DB61B" w14:textId="77777777">
        <w:trPr>
          <w:jc w:val="center"/>
        </w:trPr>
        <w:tc>
          <w:tcPr>
            <w:tcW w:w="0" w:type="auto"/>
            <w:vMerge w:val="restart"/>
            <w:vAlign w:val="center"/>
          </w:tcPr>
          <w:p w14:paraId="29EDF15B" w14:textId="77777777" w:rsidR="00A10B25" w:rsidRDefault="00A10B25">
            <w:pPr>
              <w:pStyle w:val="TAL"/>
            </w:pPr>
            <w:r>
              <w:t>Individual NWDAF Event Subscription</w:t>
            </w:r>
          </w:p>
        </w:tc>
        <w:tc>
          <w:tcPr>
            <w:tcW w:w="0" w:type="auto"/>
            <w:vMerge w:val="restart"/>
            <w:vAlign w:val="center"/>
          </w:tcPr>
          <w:p w14:paraId="2850E9C1" w14:textId="77777777" w:rsidR="00A10B25" w:rsidRDefault="00A10B25">
            <w:pPr>
              <w:pStyle w:val="TAL"/>
            </w:pPr>
            <w:r>
              <w:t>/subscriptions/{subscriptionId}</w:t>
            </w:r>
          </w:p>
        </w:tc>
        <w:tc>
          <w:tcPr>
            <w:tcW w:w="497" w:type="pct"/>
          </w:tcPr>
          <w:p w14:paraId="432465B5" w14:textId="77777777" w:rsidR="00A10B25" w:rsidRDefault="00A10B25">
            <w:pPr>
              <w:pStyle w:val="TAL"/>
            </w:pPr>
            <w:r>
              <w:t>DELETE</w:t>
            </w:r>
          </w:p>
        </w:tc>
        <w:tc>
          <w:tcPr>
            <w:tcW w:w="1659" w:type="pct"/>
          </w:tcPr>
          <w:p w14:paraId="665EAD5D" w14:textId="77777777" w:rsidR="00A10B25" w:rsidRDefault="00A10B25">
            <w:pPr>
              <w:pStyle w:val="TAL"/>
            </w:pPr>
            <w:r>
              <w:t>Deletes an Individual NWDAF Event Subscription identified by subresource {subscriptionId}.</w:t>
            </w:r>
          </w:p>
        </w:tc>
      </w:tr>
      <w:tr w:rsidR="004D166F" w14:paraId="20A5024F" w14:textId="77777777">
        <w:trPr>
          <w:jc w:val="center"/>
        </w:trPr>
        <w:tc>
          <w:tcPr>
            <w:tcW w:w="0" w:type="auto"/>
            <w:vMerge/>
            <w:vAlign w:val="center"/>
          </w:tcPr>
          <w:p w14:paraId="49B0042C" w14:textId="77777777" w:rsidR="004D166F" w:rsidRDefault="004D166F" w:rsidP="004D166F">
            <w:pPr>
              <w:pStyle w:val="TAL"/>
            </w:pPr>
          </w:p>
        </w:tc>
        <w:tc>
          <w:tcPr>
            <w:tcW w:w="0" w:type="auto"/>
            <w:vMerge/>
            <w:vAlign w:val="center"/>
          </w:tcPr>
          <w:p w14:paraId="009CE813" w14:textId="77777777" w:rsidR="004D166F" w:rsidRDefault="004D166F" w:rsidP="004D166F">
            <w:pPr>
              <w:pStyle w:val="TAL"/>
            </w:pPr>
          </w:p>
        </w:tc>
        <w:tc>
          <w:tcPr>
            <w:tcW w:w="497" w:type="pct"/>
          </w:tcPr>
          <w:p w14:paraId="1E7FDD72" w14:textId="77777777" w:rsidR="004D166F" w:rsidRDefault="004D166F" w:rsidP="004D166F">
            <w:pPr>
              <w:pStyle w:val="TAL"/>
            </w:pPr>
            <w:r>
              <w:t>PUT</w:t>
            </w:r>
          </w:p>
        </w:tc>
        <w:tc>
          <w:tcPr>
            <w:tcW w:w="1659" w:type="pct"/>
          </w:tcPr>
          <w:p w14:paraId="2A5F2F44" w14:textId="77777777" w:rsidR="004D166F" w:rsidRDefault="004D166F" w:rsidP="004D166F">
            <w:pPr>
              <w:pStyle w:val="TAL"/>
            </w:pPr>
            <w:r>
              <w:t>Updates an existing Individual Event Subscription subresource.</w:t>
            </w:r>
          </w:p>
        </w:tc>
      </w:tr>
      <w:tr w:rsidR="004D166F" w14:paraId="21539725" w14:textId="77777777">
        <w:trPr>
          <w:jc w:val="center"/>
        </w:trPr>
        <w:tc>
          <w:tcPr>
            <w:tcW w:w="0" w:type="auto"/>
            <w:vAlign w:val="center"/>
          </w:tcPr>
          <w:p w14:paraId="75564E2D" w14:textId="77777777" w:rsidR="004D166F" w:rsidRDefault="004D166F" w:rsidP="004D166F">
            <w:pPr>
              <w:pStyle w:val="TAL"/>
            </w:pPr>
            <w:r>
              <w:t>NWDAF Event Subscription Transfers</w:t>
            </w:r>
          </w:p>
        </w:tc>
        <w:tc>
          <w:tcPr>
            <w:tcW w:w="0" w:type="auto"/>
            <w:vAlign w:val="center"/>
          </w:tcPr>
          <w:p w14:paraId="0B0202C2" w14:textId="77777777" w:rsidR="004D166F" w:rsidRDefault="004D166F" w:rsidP="004D166F">
            <w:pPr>
              <w:pStyle w:val="TAL"/>
            </w:pPr>
            <w:r>
              <w:t>/transfers</w:t>
            </w:r>
          </w:p>
        </w:tc>
        <w:tc>
          <w:tcPr>
            <w:tcW w:w="497" w:type="pct"/>
          </w:tcPr>
          <w:p w14:paraId="673085A5" w14:textId="77777777" w:rsidR="004D166F" w:rsidRDefault="004D166F" w:rsidP="004D166F">
            <w:pPr>
              <w:pStyle w:val="TAL"/>
            </w:pPr>
            <w:r>
              <w:t>POST</w:t>
            </w:r>
          </w:p>
        </w:tc>
        <w:tc>
          <w:tcPr>
            <w:tcW w:w="1659" w:type="pct"/>
          </w:tcPr>
          <w:p w14:paraId="4B83FB7C" w14:textId="77777777" w:rsidR="004D166F" w:rsidRDefault="004D166F" w:rsidP="004D166F">
            <w:pPr>
              <w:pStyle w:val="TAL"/>
            </w:pPr>
            <w:r>
              <w:t>Provides information about the requested analytics subscription transfer(s), potentially creating a new Individual NWDAF Event Subscription Transfer resource.</w:t>
            </w:r>
          </w:p>
        </w:tc>
      </w:tr>
      <w:tr w:rsidR="004D166F" w14:paraId="1F0E4EA8" w14:textId="77777777">
        <w:trPr>
          <w:jc w:val="center"/>
        </w:trPr>
        <w:tc>
          <w:tcPr>
            <w:tcW w:w="0" w:type="auto"/>
            <w:vMerge w:val="restart"/>
            <w:vAlign w:val="center"/>
          </w:tcPr>
          <w:p w14:paraId="1EDA2AC7" w14:textId="77777777" w:rsidR="004D166F" w:rsidRDefault="004D166F" w:rsidP="004D166F">
            <w:pPr>
              <w:pStyle w:val="TAL"/>
            </w:pPr>
            <w:r>
              <w:t>Individual NWDAF Event Subscription Transfer</w:t>
            </w:r>
          </w:p>
        </w:tc>
        <w:tc>
          <w:tcPr>
            <w:tcW w:w="0" w:type="auto"/>
            <w:vMerge w:val="restart"/>
            <w:vAlign w:val="center"/>
          </w:tcPr>
          <w:p w14:paraId="32A7E0F2" w14:textId="77777777" w:rsidR="004D166F" w:rsidRDefault="004D166F" w:rsidP="004D166F">
            <w:pPr>
              <w:pStyle w:val="TAL"/>
            </w:pPr>
            <w:r>
              <w:t>/transfers/{transferId}</w:t>
            </w:r>
          </w:p>
        </w:tc>
        <w:tc>
          <w:tcPr>
            <w:tcW w:w="497" w:type="pct"/>
          </w:tcPr>
          <w:p w14:paraId="6D6D76C8" w14:textId="77777777" w:rsidR="004D166F" w:rsidRDefault="004D166F" w:rsidP="004D166F">
            <w:pPr>
              <w:pStyle w:val="TAL"/>
            </w:pPr>
            <w:r>
              <w:t>DELETE</w:t>
            </w:r>
          </w:p>
        </w:tc>
        <w:tc>
          <w:tcPr>
            <w:tcW w:w="1659" w:type="pct"/>
          </w:tcPr>
          <w:p w14:paraId="1B72D2D1" w14:textId="77777777" w:rsidR="004D166F" w:rsidRDefault="004D166F" w:rsidP="004D166F">
            <w:pPr>
              <w:pStyle w:val="TAL"/>
            </w:pPr>
            <w:r>
              <w:t>Deletes an Individual NWDAF Event Subscription Transfer resource identified by subresource {transferId}.</w:t>
            </w:r>
          </w:p>
        </w:tc>
      </w:tr>
      <w:tr w:rsidR="004D166F" w14:paraId="6E60F697" w14:textId="77777777">
        <w:trPr>
          <w:jc w:val="center"/>
        </w:trPr>
        <w:tc>
          <w:tcPr>
            <w:tcW w:w="0" w:type="auto"/>
            <w:vMerge/>
            <w:vAlign w:val="center"/>
          </w:tcPr>
          <w:p w14:paraId="02EC3563" w14:textId="77777777" w:rsidR="004D166F" w:rsidRDefault="004D166F" w:rsidP="004D166F">
            <w:pPr>
              <w:pStyle w:val="TAL"/>
            </w:pPr>
          </w:p>
        </w:tc>
        <w:tc>
          <w:tcPr>
            <w:tcW w:w="0" w:type="auto"/>
            <w:vMerge/>
            <w:vAlign w:val="center"/>
          </w:tcPr>
          <w:p w14:paraId="3AC8CCD7" w14:textId="77777777" w:rsidR="004D166F" w:rsidRDefault="004D166F" w:rsidP="004D166F">
            <w:pPr>
              <w:pStyle w:val="TAL"/>
            </w:pPr>
          </w:p>
        </w:tc>
        <w:tc>
          <w:tcPr>
            <w:tcW w:w="497" w:type="pct"/>
          </w:tcPr>
          <w:p w14:paraId="44671E96" w14:textId="77777777" w:rsidR="004D166F" w:rsidRDefault="004D166F" w:rsidP="004D166F">
            <w:pPr>
              <w:pStyle w:val="TAL"/>
            </w:pPr>
            <w:r>
              <w:t>PUT</w:t>
            </w:r>
          </w:p>
        </w:tc>
        <w:tc>
          <w:tcPr>
            <w:tcW w:w="1659" w:type="pct"/>
          </w:tcPr>
          <w:p w14:paraId="430D401A" w14:textId="77777777" w:rsidR="004D166F" w:rsidRDefault="004D166F" w:rsidP="004D166F">
            <w:pPr>
              <w:pStyle w:val="TAL"/>
            </w:pPr>
            <w:r>
              <w:t>Updates an existing Individual NWDAF Event Subscription Transfer resource.</w:t>
            </w:r>
          </w:p>
        </w:tc>
      </w:tr>
    </w:tbl>
    <w:p w14:paraId="18E0F432" w14:textId="77777777" w:rsidR="00A10B25" w:rsidRDefault="00A10B25"/>
    <w:p w14:paraId="0904E707" w14:textId="77777777" w:rsidR="00A10B25" w:rsidRDefault="00A10B25">
      <w:pPr>
        <w:pStyle w:val="4"/>
      </w:pPr>
      <w:bookmarkStart w:id="4287" w:name="_Toc85552944"/>
      <w:bookmarkStart w:id="4288" w:name="_Toc66231773"/>
      <w:bookmarkStart w:id="4289" w:name="_Toc59017905"/>
      <w:bookmarkStart w:id="4290" w:name="_Toc94064213"/>
      <w:bookmarkStart w:id="4291" w:name="_Toc120702268"/>
      <w:bookmarkStart w:id="4292" w:name="_Toc113031629"/>
      <w:bookmarkStart w:id="4293" w:name="_Toc36102435"/>
      <w:bookmarkStart w:id="4294" w:name="_Toc51762870"/>
      <w:bookmarkStart w:id="4295" w:name="_Toc70550601"/>
      <w:bookmarkStart w:id="4296" w:name="_Toc83233047"/>
      <w:bookmarkStart w:id="4297" w:name="_Toc114133768"/>
      <w:bookmarkStart w:id="4298" w:name="_Toc85557043"/>
      <w:bookmarkStart w:id="4299" w:name="_Toc88667545"/>
      <w:bookmarkStart w:id="4300" w:name="_Toc148522560"/>
      <w:bookmarkStart w:id="4301" w:name="_Toc34266264"/>
      <w:bookmarkStart w:id="4302" w:name="_Toc98233598"/>
      <w:bookmarkStart w:id="4303" w:name="_Toc56640937"/>
      <w:bookmarkStart w:id="4304" w:name="_Toc45134020"/>
      <w:bookmarkStart w:id="4305" w:name="_Toc43563477"/>
      <w:bookmarkStart w:id="4306" w:name="_Toc112951089"/>
      <w:bookmarkStart w:id="4307" w:name="_Toc68168934"/>
      <w:bookmarkStart w:id="4308" w:name="_Toc50031950"/>
      <w:bookmarkStart w:id="4309" w:name="_Toc145705656"/>
      <w:bookmarkStart w:id="4310" w:name="_Toc138754169"/>
      <w:bookmarkStart w:id="4311" w:name="_Toc101244374"/>
      <w:bookmarkStart w:id="4312" w:name="_Toc104538967"/>
      <w:bookmarkStart w:id="4313" w:name="_Toc136562335"/>
      <w:bookmarkStart w:id="4314" w:name="_Toc28012794"/>
      <w:bookmarkStart w:id="4315" w:name="_Toc90655830"/>
      <w:bookmarkStart w:id="4316" w:name="_Toc164920740"/>
      <w:bookmarkStart w:id="4317" w:name="_Toc170120282"/>
      <w:bookmarkStart w:id="4318" w:name="_Toc175858527"/>
      <w:bookmarkStart w:id="4319" w:name="_Toc175859600"/>
      <w:bookmarkStart w:id="4320" w:name="_Toc180605890"/>
      <w:bookmarkStart w:id="4321" w:name="_Toc185517144"/>
      <w:bookmarkStart w:id="4322" w:name="_Toc191576195"/>
      <w:bookmarkStart w:id="4323" w:name="_Toc191576935"/>
      <w:bookmarkStart w:id="4324" w:name="_Toc192880005"/>
      <w:bookmarkStart w:id="4325" w:name="_Toc195814888"/>
      <w:bookmarkStart w:id="4326" w:name="_Toc199452855"/>
      <w:r>
        <w:t>5.1.3.2</w:t>
      </w:r>
      <w:r>
        <w:tab/>
        <w:t>Resource: NWDAF Events Subscriptions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1C1FA840" w14:textId="77777777" w:rsidR="00A10B25" w:rsidRDefault="00A10B25">
      <w:pPr>
        <w:pStyle w:val="5"/>
      </w:pPr>
      <w:bookmarkStart w:id="4327" w:name="_Toc51762871"/>
      <w:bookmarkStart w:id="4328" w:name="_Toc114133769"/>
      <w:bookmarkStart w:id="4329" w:name="_Toc85557044"/>
      <w:bookmarkStart w:id="4330" w:name="_Toc88667546"/>
      <w:bookmarkStart w:id="4331" w:name="_Toc56640938"/>
      <w:bookmarkStart w:id="4332" w:name="_Toc43563478"/>
      <w:bookmarkStart w:id="4333" w:name="_Toc120702269"/>
      <w:bookmarkStart w:id="4334" w:name="_Toc68168935"/>
      <w:bookmarkStart w:id="4335" w:name="_Toc112951090"/>
      <w:bookmarkStart w:id="4336" w:name="_Toc70550602"/>
      <w:bookmarkStart w:id="4337" w:name="_Toc85552945"/>
      <w:bookmarkStart w:id="4338" w:name="_Toc90655831"/>
      <w:bookmarkStart w:id="4339" w:name="_Toc36102436"/>
      <w:bookmarkStart w:id="4340" w:name="_Toc101244375"/>
      <w:bookmarkStart w:id="4341" w:name="_Toc34266265"/>
      <w:bookmarkStart w:id="4342" w:name="_Toc28012795"/>
      <w:bookmarkStart w:id="4343" w:name="_Toc83233048"/>
      <w:bookmarkStart w:id="4344" w:name="_Toc94064214"/>
      <w:bookmarkStart w:id="4345" w:name="_Toc50031951"/>
      <w:bookmarkStart w:id="4346" w:name="_Toc45134021"/>
      <w:bookmarkStart w:id="4347" w:name="_Toc138754170"/>
      <w:bookmarkStart w:id="4348" w:name="_Toc148522561"/>
      <w:bookmarkStart w:id="4349" w:name="_Toc113031630"/>
      <w:bookmarkStart w:id="4350" w:name="_Toc66231774"/>
      <w:bookmarkStart w:id="4351" w:name="_Toc59017906"/>
      <w:bookmarkStart w:id="4352" w:name="_Toc104538968"/>
      <w:bookmarkStart w:id="4353" w:name="_Toc145705657"/>
      <w:bookmarkStart w:id="4354" w:name="_Toc136562336"/>
      <w:bookmarkStart w:id="4355" w:name="_Toc98233599"/>
      <w:bookmarkStart w:id="4356" w:name="_Toc164920741"/>
      <w:bookmarkStart w:id="4357" w:name="_Toc170120283"/>
      <w:bookmarkStart w:id="4358" w:name="_Toc175858528"/>
      <w:bookmarkStart w:id="4359" w:name="_Toc175859601"/>
      <w:bookmarkStart w:id="4360" w:name="_Toc180605891"/>
      <w:bookmarkStart w:id="4361" w:name="_Toc185517145"/>
      <w:bookmarkStart w:id="4362" w:name="_Toc191576196"/>
      <w:bookmarkStart w:id="4363" w:name="_Toc191576936"/>
      <w:bookmarkStart w:id="4364" w:name="_Toc192880006"/>
      <w:bookmarkStart w:id="4365" w:name="_Toc195814889"/>
      <w:bookmarkStart w:id="4366" w:name="_Toc199452856"/>
      <w:r>
        <w:t>5.1.3.2.1</w:t>
      </w:r>
      <w:r>
        <w:tab/>
        <w:t>Description</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05865547" w14:textId="77777777" w:rsidR="00A10B25" w:rsidRDefault="00A10B25">
      <w:r>
        <w:t>The NWDAF Events Subscriptions resource represents all subscriptions to the Nnwdaf_EventsSubscription service at a given NWDAF. The resource allows an NF service consumer to create a new Individual NWDAF Event Subscription resource.</w:t>
      </w:r>
    </w:p>
    <w:p w14:paraId="0D8236D9" w14:textId="77777777" w:rsidR="00A10B25" w:rsidRDefault="00A10B25">
      <w:pPr>
        <w:pStyle w:val="5"/>
      </w:pPr>
      <w:bookmarkStart w:id="4367" w:name="_Toc83233049"/>
      <w:bookmarkStart w:id="4368" w:name="_Toc36102437"/>
      <w:bookmarkStart w:id="4369" w:name="_Toc101244376"/>
      <w:bookmarkStart w:id="4370" w:name="_Toc59017907"/>
      <w:bookmarkStart w:id="4371" w:name="_Toc136562337"/>
      <w:bookmarkStart w:id="4372" w:name="_Toc113031631"/>
      <w:bookmarkStart w:id="4373" w:name="_Toc85552946"/>
      <w:bookmarkStart w:id="4374" w:name="_Toc114133770"/>
      <w:bookmarkStart w:id="4375" w:name="_Toc90655832"/>
      <w:bookmarkStart w:id="4376" w:name="_Toc28012796"/>
      <w:bookmarkStart w:id="4377" w:name="_Toc85557045"/>
      <w:bookmarkStart w:id="4378" w:name="_Toc120702270"/>
      <w:bookmarkStart w:id="4379" w:name="_Toc56640939"/>
      <w:bookmarkStart w:id="4380" w:name="_Toc98233600"/>
      <w:bookmarkStart w:id="4381" w:name="_Toc94064215"/>
      <w:bookmarkStart w:id="4382" w:name="_Toc51762872"/>
      <w:bookmarkStart w:id="4383" w:name="_Toc66231775"/>
      <w:bookmarkStart w:id="4384" w:name="_Toc45134022"/>
      <w:bookmarkStart w:id="4385" w:name="_Toc104538969"/>
      <w:bookmarkStart w:id="4386" w:name="_Toc112951091"/>
      <w:bookmarkStart w:id="4387" w:name="_Toc34266266"/>
      <w:bookmarkStart w:id="4388" w:name="_Toc43563479"/>
      <w:bookmarkStart w:id="4389" w:name="_Toc70550603"/>
      <w:bookmarkStart w:id="4390" w:name="_Toc88667547"/>
      <w:bookmarkStart w:id="4391" w:name="_Toc50031952"/>
      <w:bookmarkStart w:id="4392" w:name="_Toc145705658"/>
      <w:bookmarkStart w:id="4393" w:name="_Toc148522562"/>
      <w:bookmarkStart w:id="4394" w:name="_Toc138754171"/>
      <w:bookmarkStart w:id="4395" w:name="_Toc68168936"/>
      <w:bookmarkStart w:id="4396" w:name="_Toc164920742"/>
      <w:bookmarkStart w:id="4397" w:name="_Toc170120284"/>
      <w:bookmarkStart w:id="4398" w:name="_Toc175858529"/>
      <w:bookmarkStart w:id="4399" w:name="_Toc175859602"/>
      <w:bookmarkStart w:id="4400" w:name="_Toc180605892"/>
      <w:bookmarkStart w:id="4401" w:name="_Toc185517146"/>
      <w:bookmarkStart w:id="4402" w:name="_Toc191576197"/>
      <w:bookmarkStart w:id="4403" w:name="_Toc191576937"/>
      <w:bookmarkStart w:id="4404" w:name="_Toc192880007"/>
      <w:bookmarkStart w:id="4405" w:name="_Toc195814890"/>
      <w:bookmarkStart w:id="4406" w:name="_Toc199452857"/>
      <w:r>
        <w:t>5.1.3.2.2</w:t>
      </w:r>
      <w:r>
        <w:tab/>
        <w:t>Resource definition</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577EE332" w14:textId="77777777" w:rsidR="00A10B25" w:rsidRDefault="00A10B25">
      <w:r>
        <w:t xml:space="preserve">Resource URI: </w:t>
      </w:r>
      <w:r>
        <w:rPr>
          <w:b/>
        </w:rPr>
        <w:t>{apiRoot}/nnwdaf-eventssubscription/&lt;apiVersion&gt;/subscriptions</w:t>
      </w:r>
    </w:p>
    <w:p w14:paraId="39DED021" w14:textId="77777777" w:rsidR="00A10B25" w:rsidRDefault="00A10B25">
      <w:pPr>
        <w:rPr>
          <w:lang w:val="en-US"/>
        </w:rPr>
      </w:pPr>
      <w:r>
        <w:rPr>
          <w:lang w:val="en-US" w:eastAsia="zh-CN"/>
        </w:rPr>
        <w:t>The &lt;apiVersion&gt; shall be set as described in clause</w:t>
      </w:r>
      <w:r>
        <w:rPr>
          <w:lang w:val="en-US" w:eastAsia="zh-CN"/>
        </w:rPr>
        <w:t> 5.1</w:t>
      </w:r>
      <w:r>
        <w:rPr>
          <w:lang w:val="en-US" w:eastAsia="zh-CN"/>
        </w:rPr>
        <w:t>.1</w:t>
      </w:r>
      <w:r>
        <w:rPr>
          <w:lang w:val="en-US" w:eastAsia="zh-CN"/>
        </w:rPr>
        <w:t>.</w:t>
      </w:r>
    </w:p>
    <w:p w14:paraId="33E34919" w14:textId="77777777" w:rsidR="00A10B25" w:rsidRDefault="00A10B25">
      <w:pPr>
        <w:rPr>
          <w:rFonts w:ascii="Arial" w:hAnsi="Arial" w:cs="Arial"/>
        </w:rPr>
      </w:pPr>
      <w:r>
        <w:t>This resource shall support the resource URI variables defined in table 5.1.3.2.2-1</w:t>
      </w:r>
      <w:r>
        <w:rPr>
          <w:rFonts w:ascii="Arial" w:hAnsi="Arial" w:cs="Arial"/>
        </w:rPr>
        <w:t>.</w:t>
      </w:r>
    </w:p>
    <w:p w14:paraId="31780605" w14:textId="77777777" w:rsidR="00A10B25" w:rsidRDefault="00A10B25">
      <w:pPr>
        <w:pStyle w:val="TH"/>
        <w:overflowPunct w:val="0"/>
        <w:autoSpaceDE w:val="0"/>
        <w:autoSpaceDN w:val="0"/>
        <w:adjustRightInd w:val="0"/>
        <w:textAlignment w:val="baseline"/>
        <w:rPr>
          <w:rFonts w:eastAsia="MS Mincho"/>
        </w:rPr>
      </w:pPr>
      <w:r>
        <w:rPr>
          <w:rFonts w:eastAsia="MS Mincho"/>
        </w:rPr>
        <w:t>Table 5.1.3.2.2-1: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688251A8" w14:textId="77777777">
        <w:trPr>
          <w:jc w:val="center"/>
        </w:trPr>
        <w:tc>
          <w:tcPr>
            <w:tcW w:w="559" w:type="pct"/>
            <w:shd w:val="clear" w:color="000000" w:fill="C0C0C0"/>
          </w:tcPr>
          <w:p w14:paraId="648BC1A9" w14:textId="77777777" w:rsidR="00A10B25" w:rsidRDefault="00A10B25">
            <w:pPr>
              <w:pStyle w:val="TAH"/>
            </w:pPr>
            <w:r>
              <w:t>Name</w:t>
            </w:r>
          </w:p>
        </w:tc>
        <w:tc>
          <w:tcPr>
            <w:tcW w:w="636" w:type="pct"/>
            <w:shd w:val="clear" w:color="000000" w:fill="C0C0C0"/>
          </w:tcPr>
          <w:p w14:paraId="6091540C"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42524087" w14:textId="77777777" w:rsidR="00A10B25" w:rsidRDefault="00A10B25">
            <w:pPr>
              <w:pStyle w:val="TAH"/>
            </w:pPr>
            <w:r>
              <w:t>Definition</w:t>
            </w:r>
          </w:p>
        </w:tc>
      </w:tr>
      <w:tr w:rsidR="00A10B25" w14:paraId="031E5C58" w14:textId="77777777">
        <w:trPr>
          <w:jc w:val="center"/>
        </w:trPr>
        <w:tc>
          <w:tcPr>
            <w:tcW w:w="559" w:type="pct"/>
          </w:tcPr>
          <w:p w14:paraId="6A839955" w14:textId="77777777" w:rsidR="00A10B25" w:rsidRDefault="00A10B25">
            <w:pPr>
              <w:pStyle w:val="TAL"/>
            </w:pPr>
            <w:r>
              <w:t>apiRoot</w:t>
            </w:r>
          </w:p>
        </w:tc>
        <w:tc>
          <w:tcPr>
            <w:tcW w:w="636" w:type="pct"/>
          </w:tcPr>
          <w:p w14:paraId="559E4305" w14:textId="77777777" w:rsidR="00A10B25" w:rsidRDefault="00A10B25">
            <w:pPr>
              <w:pStyle w:val="TAL"/>
            </w:pPr>
            <w:r>
              <w:t>string</w:t>
            </w:r>
          </w:p>
        </w:tc>
        <w:tc>
          <w:tcPr>
            <w:tcW w:w="3805" w:type="pct"/>
            <w:vAlign w:val="center"/>
          </w:tcPr>
          <w:p w14:paraId="337DFB4C" w14:textId="77777777" w:rsidR="00A10B25" w:rsidRDefault="00A10B25">
            <w:pPr>
              <w:pStyle w:val="TAL"/>
            </w:pPr>
            <w:r>
              <w:t>See clause</w:t>
            </w:r>
            <w:r>
              <w:rPr>
                <w:lang w:val="en-US" w:eastAsia="zh-CN"/>
              </w:rPr>
              <w:t> </w:t>
            </w:r>
            <w:r>
              <w:t>5.1.1</w:t>
            </w:r>
          </w:p>
        </w:tc>
      </w:tr>
    </w:tbl>
    <w:p w14:paraId="3EC94541" w14:textId="77777777" w:rsidR="00A10B25" w:rsidRDefault="00A10B25"/>
    <w:p w14:paraId="4A72ABAD" w14:textId="77777777" w:rsidR="00A10B25" w:rsidRDefault="00A10B25">
      <w:pPr>
        <w:pStyle w:val="5"/>
      </w:pPr>
      <w:bookmarkStart w:id="4407" w:name="_Toc85557046"/>
      <w:bookmarkStart w:id="4408" w:name="_Toc45134023"/>
      <w:bookmarkStart w:id="4409" w:name="_Toc51762873"/>
      <w:bookmarkStart w:id="4410" w:name="_Toc101244377"/>
      <w:bookmarkStart w:id="4411" w:name="_Toc28012797"/>
      <w:bookmarkStart w:id="4412" w:name="_Toc113031632"/>
      <w:bookmarkStart w:id="4413" w:name="_Toc94064216"/>
      <w:bookmarkStart w:id="4414" w:name="_Toc68168937"/>
      <w:bookmarkStart w:id="4415" w:name="_Toc66231776"/>
      <w:bookmarkStart w:id="4416" w:name="_Toc114133771"/>
      <w:bookmarkStart w:id="4417" w:name="_Toc56640940"/>
      <w:bookmarkStart w:id="4418" w:name="_Toc34266267"/>
      <w:bookmarkStart w:id="4419" w:name="_Toc43563480"/>
      <w:bookmarkStart w:id="4420" w:name="_Toc36102438"/>
      <w:bookmarkStart w:id="4421" w:name="_Toc90655833"/>
      <w:bookmarkStart w:id="4422" w:name="_Toc112951092"/>
      <w:bookmarkStart w:id="4423" w:name="_Toc85552947"/>
      <w:bookmarkStart w:id="4424" w:name="_Toc88667548"/>
      <w:bookmarkStart w:id="4425" w:name="_Toc104538970"/>
      <w:bookmarkStart w:id="4426" w:name="_Toc120702271"/>
      <w:bookmarkStart w:id="4427" w:name="_Toc50031953"/>
      <w:bookmarkStart w:id="4428" w:name="_Toc59017908"/>
      <w:bookmarkStart w:id="4429" w:name="_Toc83233050"/>
      <w:bookmarkStart w:id="4430" w:name="_Toc136562338"/>
      <w:bookmarkStart w:id="4431" w:name="_Toc98233601"/>
      <w:bookmarkStart w:id="4432" w:name="_Toc70550604"/>
      <w:bookmarkStart w:id="4433" w:name="_Toc148522563"/>
      <w:bookmarkStart w:id="4434" w:name="_Toc138754172"/>
      <w:bookmarkStart w:id="4435" w:name="_Toc145705659"/>
      <w:bookmarkStart w:id="4436" w:name="_Toc164920743"/>
      <w:bookmarkStart w:id="4437" w:name="_Toc170120285"/>
      <w:bookmarkStart w:id="4438" w:name="_Toc175858530"/>
      <w:bookmarkStart w:id="4439" w:name="_Toc175859603"/>
      <w:bookmarkStart w:id="4440" w:name="_Toc180605893"/>
      <w:bookmarkStart w:id="4441" w:name="_Toc185517147"/>
      <w:bookmarkStart w:id="4442" w:name="_Toc191576198"/>
      <w:bookmarkStart w:id="4443" w:name="_Toc191576938"/>
      <w:bookmarkStart w:id="4444" w:name="_Toc192880008"/>
      <w:bookmarkStart w:id="4445" w:name="_Toc195814891"/>
      <w:bookmarkStart w:id="4446" w:name="_Toc199452858"/>
      <w:r>
        <w:t>5.1.3.2.3</w:t>
      </w:r>
      <w:r>
        <w:tab/>
        <w:t>Resource Standard Methods</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C30ED42" w14:textId="77777777" w:rsidR="00A10B25" w:rsidRDefault="00A10B25">
      <w:pPr>
        <w:pStyle w:val="6"/>
      </w:pPr>
      <w:bookmarkStart w:id="4447" w:name="_Toc138754173"/>
      <w:bookmarkStart w:id="4448" w:name="_Toc148522564"/>
      <w:bookmarkStart w:id="4449" w:name="_Toc101244378"/>
      <w:bookmarkStart w:id="4450" w:name="_Toc114133772"/>
      <w:bookmarkStart w:id="4451" w:name="_Toc83233051"/>
      <w:bookmarkStart w:id="4452" w:name="_Toc94064217"/>
      <w:bookmarkStart w:id="4453" w:name="_Toc104538971"/>
      <w:bookmarkStart w:id="4454" w:name="_Toc43563481"/>
      <w:bookmarkStart w:id="4455" w:name="_Toc85552948"/>
      <w:bookmarkStart w:id="4456" w:name="_Toc98233602"/>
      <w:bookmarkStart w:id="4457" w:name="_Toc68168938"/>
      <w:bookmarkStart w:id="4458" w:name="_Toc45134024"/>
      <w:bookmarkStart w:id="4459" w:name="_Toc70550605"/>
      <w:bookmarkStart w:id="4460" w:name="_Toc113031633"/>
      <w:bookmarkStart w:id="4461" w:name="_Toc145705660"/>
      <w:bookmarkStart w:id="4462" w:name="_Toc51762874"/>
      <w:bookmarkStart w:id="4463" w:name="_Toc66231777"/>
      <w:bookmarkStart w:id="4464" w:name="_Toc120702272"/>
      <w:bookmarkStart w:id="4465" w:name="_Toc59017909"/>
      <w:bookmarkStart w:id="4466" w:name="_Toc36102439"/>
      <w:bookmarkStart w:id="4467" w:name="_Toc56640941"/>
      <w:bookmarkStart w:id="4468" w:name="_Toc34266268"/>
      <w:bookmarkStart w:id="4469" w:name="_Toc85557047"/>
      <w:bookmarkStart w:id="4470" w:name="_Toc136562339"/>
      <w:bookmarkStart w:id="4471" w:name="_Toc28012798"/>
      <w:bookmarkStart w:id="4472" w:name="_Toc88667549"/>
      <w:bookmarkStart w:id="4473" w:name="_Toc112951093"/>
      <w:bookmarkStart w:id="4474" w:name="_Toc50031954"/>
      <w:bookmarkStart w:id="4475" w:name="_Toc90655834"/>
      <w:bookmarkStart w:id="4476" w:name="_Toc164920744"/>
      <w:bookmarkStart w:id="4477" w:name="_Toc170120286"/>
      <w:bookmarkStart w:id="4478" w:name="_Toc175858531"/>
      <w:bookmarkStart w:id="4479" w:name="_Toc175859604"/>
      <w:bookmarkStart w:id="4480" w:name="_Toc180605894"/>
      <w:bookmarkStart w:id="4481" w:name="_Toc185517148"/>
      <w:bookmarkStart w:id="4482" w:name="_Toc191576199"/>
      <w:bookmarkStart w:id="4483" w:name="_Toc191576939"/>
      <w:bookmarkStart w:id="4484" w:name="_Toc192880009"/>
      <w:bookmarkStart w:id="4485" w:name="_Toc195814892"/>
      <w:bookmarkStart w:id="4486" w:name="_Toc199452859"/>
      <w:r>
        <w:t>5.1.3.2.3.1</w:t>
      </w:r>
      <w:r>
        <w:tab/>
        <w:t>POST</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6C0AB58C" w14:textId="77777777" w:rsidR="00A10B25" w:rsidRDefault="00A10B25">
      <w:r>
        <w:t>This method shall support the URI query parameters specified in table 5.1.3.2.3.1-1.</w:t>
      </w:r>
    </w:p>
    <w:p w14:paraId="71E39B04" w14:textId="77777777" w:rsidR="00A10B25" w:rsidRDefault="00A10B25">
      <w:pPr>
        <w:pStyle w:val="TH"/>
        <w:overflowPunct w:val="0"/>
        <w:autoSpaceDE w:val="0"/>
        <w:autoSpaceDN w:val="0"/>
        <w:adjustRightInd w:val="0"/>
        <w:textAlignment w:val="baseline"/>
        <w:rPr>
          <w:rFonts w:eastAsia="MS Mincho"/>
        </w:rPr>
      </w:pPr>
      <w:r>
        <w:rPr>
          <w:rFonts w:eastAsia="MS Mincho"/>
        </w:rPr>
        <w:t>Table 5.1.3.2.3.1-1: URI query parameters supported by the POST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8DBBEE0" w14:textId="77777777">
        <w:trPr>
          <w:jc w:val="center"/>
        </w:trPr>
        <w:tc>
          <w:tcPr>
            <w:tcW w:w="825" w:type="pct"/>
            <w:tcBorders>
              <w:bottom w:val="single" w:sz="6" w:space="0" w:color="auto"/>
            </w:tcBorders>
            <w:shd w:val="clear" w:color="auto" w:fill="C0C0C0"/>
          </w:tcPr>
          <w:p w14:paraId="43BEDCAB" w14:textId="77777777" w:rsidR="00A10B25" w:rsidRDefault="00A10B25">
            <w:pPr>
              <w:pStyle w:val="TAH"/>
            </w:pPr>
            <w:r>
              <w:t>Name</w:t>
            </w:r>
          </w:p>
        </w:tc>
        <w:tc>
          <w:tcPr>
            <w:tcW w:w="732" w:type="pct"/>
            <w:tcBorders>
              <w:bottom w:val="single" w:sz="6" w:space="0" w:color="auto"/>
            </w:tcBorders>
            <w:shd w:val="clear" w:color="auto" w:fill="C0C0C0"/>
          </w:tcPr>
          <w:p w14:paraId="0C245B79" w14:textId="77777777" w:rsidR="00A10B25" w:rsidRDefault="00A10B25">
            <w:pPr>
              <w:pStyle w:val="TAH"/>
            </w:pPr>
            <w:r>
              <w:t>Data type</w:t>
            </w:r>
          </w:p>
        </w:tc>
        <w:tc>
          <w:tcPr>
            <w:tcW w:w="217" w:type="pct"/>
            <w:tcBorders>
              <w:bottom w:val="single" w:sz="6" w:space="0" w:color="auto"/>
            </w:tcBorders>
            <w:shd w:val="clear" w:color="auto" w:fill="C0C0C0"/>
          </w:tcPr>
          <w:p w14:paraId="69D5F224" w14:textId="77777777" w:rsidR="00A10B25" w:rsidRDefault="00A10B25">
            <w:pPr>
              <w:pStyle w:val="TAH"/>
            </w:pPr>
            <w:r>
              <w:t>P</w:t>
            </w:r>
          </w:p>
        </w:tc>
        <w:tc>
          <w:tcPr>
            <w:tcW w:w="581" w:type="pct"/>
            <w:tcBorders>
              <w:bottom w:val="single" w:sz="6" w:space="0" w:color="auto"/>
            </w:tcBorders>
            <w:shd w:val="clear" w:color="auto" w:fill="C0C0C0"/>
          </w:tcPr>
          <w:p w14:paraId="4FB75054"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46918D04" w14:textId="77777777" w:rsidR="00A10B25" w:rsidRDefault="00A10B25">
            <w:pPr>
              <w:pStyle w:val="TAH"/>
            </w:pPr>
            <w:r>
              <w:t>Description</w:t>
            </w:r>
          </w:p>
        </w:tc>
      </w:tr>
      <w:tr w:rsidR="00A10B25" w14:paraId="778EE006" w14:textId="77777777">
        <w:trPr>
          <w:jc w:val="center"/>
        </w:trPr>
        <w:tc>
          <w:tcPr>
            <w:tcW w:w="825" w:type="pct"/>
            <w:tcBorders>
              <w:top w:val="single" w:sz="6" w:space="0" w:color="auto"/>
            </w:tcBorders>
          </w:tcPr>
          <w:p w14:paraId="01366AD9" w14:textId="77777777" w:rsidR="00A10B25" w:rsidRDefault="00A10B25">
            <w:pPr>
              <w:pStyle w:val="TAL"/>
            </w:pPr>
            <w:r>
              <w:t>n/a</w:t>
            </w:r>
          </w:p>
        </w:tc>
        <w:tc>
          <w:tcPr>
            <w:tcW w:w="732" w:type="pct"/>
            <w:tcBorders>
              <w:top w:val="single" w:sz="6" w:space="0" w:color="auto"/>
            </w:tcBorders>
          </w:tcPr>
          <w:p w14:paraId="1FADC7A6" w14:textId="77777777" w:rsidR="00A10B25" w:rsidRDefault="00A10B25">
            <w:pPr>
              <w:pStyle w:val="TAL"/>
            </w:pPr>
          </w:p>
        </w:tc>
        <w:tc>
          <w:tcPr>
            <w:tcW w:w="217" w:type="pct"/>
            <w:tcBorders>
              <w:top w:val="single" w:sz="6" w:space="0" w:color="auto"/>
            </w:tcBorders>
          </w:tcPr>
          <w:p w14:paraId="68D0E35A" w14:textId="77777777" w:rsidR="00A10B25" w:rsidRDefault="00A10B25">
            <w:pPr>
              <w:pStyle w:val="TAC"/>
            </w:pPr>
          </w:p>
        </w:tc>
        <w:tc>
          <w:tcPr>
            <w:tcW w:w="581" w:type="pct"/>
            <w:tcBorders>
              <w:top w:val="single" w:sz="6" w:space="0" w:color="auto"/>
            </w:tcBorders>
          </w:tcPr>
          <w:p w14:paraId="30AED3F1" w14:textId="77777777" w:rsidR="00A10B25" w:rsidRDefault="00A10B25">
            <w:pPr>
              <w:pStyle w:val="TAL"/>
            </w:pPr>
          </w:p>
        </w:tc>
        <w:tc>
          <w:tcPr>
            <w:tcW w:w="2646" w:type="pct"/>
            <w:tcBorders>
              <w:top w:val="single" w:sz="6" w:space="0" w:color="auto"/>
            </w:tcBorders>
            <w:vAlign w:val="center"/>
          </w:tcPr>
          <w:p w14:paraId="3E05976C" w14:textId="77777777" w:rsidR="00A10B25" w:rsidRDefault="00A10B25">
            <w:pPr>
              <w:pStyle w:val="TAL"/>
            </w:pPr>
          </w:p>
        </w:tc>
      </w:tr>
    </w:tbl>
    <w:p w14:paraId="3F35458F" w14:textId="77777777" w:rsidR="00A10B25" w:rsidRDefault="00A10B25"/>
    <w:p w14:paraId="79BA50B1" w14:textId="77777777" w:rsidR="00A10B25" w:rsidRDefault="00A10B25">
      <w:r>
        <w:t>This method shall support the request data structures specified in table 5.1.3.2.3.1-2 and the response data structures and response codes specified in table 5.1.3.2.3.1-3.</w:t>
      </w:r>
    </w:p>
    <w:p w14:paraId="7BB69D05" w14:textId="77777777" w:rsidR="00A10B25" w:rsidRDefault="00A10B25">
      <w:pPr>
        <w:pStyle w:val="TH"/>
        <w:overflowPunct w:val="0"/>
        <w:autoSpaceDE w:val="0"/>
        <w:autoSpaceDN w:val="0"/>
        <w:adjustRightInd w:val="0"/>
        <w:textAlignment w:val="baseline"/>
        <w:rPr>
          <w:rFonts w:eastAsia="MS Mincho"/>
        </w:rPr>
      </w:pPr>
      <w:r>
        <w:rPr>
          <w:rFonts w:eastAsia="MS Mincho"/>
        </w:rPr>
        <w:t>Table 5.1.3.2.3.1-2: Data structures supported by the POST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3E8C24F" w14:textId="77777777">
        <w:trPr>
          <w:jc w:val="center"/>
        </w:trPr>
        <w:tc>
          <w:tcPr>
            <w:tcW w:w="1612" w:type="dxa"/>
            <w:tcBorders>
              <w:bottom w:val="single" w:sz="6" w:space="0" w:color="auto"/>
            </w:tcBorders>
            <w:shd w:val="clear" w:color="auto" w:fill="C0C0C0"/>
          </w:tcPr>
          <w:p w14:paraId="27B2B96F" w14:textId="77777777" w:rsidR="00A10B25" w:rsidRDefault="00A10B25">
            <w:pPr>
              <w:pStyle w:val="TAH"/>
            </w:pPr>
            <w:r>
              <w:t>Data type</w:t>
            </w:r>
          </w:p>
        </w:tc>
        <w:tc>
          <w:tcPr>
            <w:tcW w:w="422" w:type="dxa"/>
            <w:tcBorders>
              <w:bottom w:val="single" w:sz="6" w:space="0" w:color="auto"/>
            </w:tcBorders>
            <w:shd w:val="clear" w:color="auto" w:fill="C0C0C0"/>
          </w:tcPr>
          <w:p w14:paraId="0E80B177" w14:textId="77777777" w:rsidR="00A10B25" w:rsidRDefault="00A10B25">
            <w:pPr>
              <w:pStyle w:val="TAH"/>
            </w:pPr>
            <w:r>
              <w:t>P</w:t>
            </w:r>
          </w:p>
        </w:tc>
        <w:tc>
          <w:tcPr>
            <w:tcW w:w="1264" w:type="dxa"/>
            <w:tcBorders>
              <w:bottom w:val="single" w:sz="6" w:space="0" w:color="auto"/>
            </w:tcBorders>
            <w:shd w:val="clear" w:color="auto" w:fill="C0C0C0"/>
          </w:tcPr>
          <w:p w14:paraId="7A24E969"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751B5069" w14:textId="77777777" w:rsidR="00A10B25" w:rsidRDefault="00A10B25">
            <w:pPr>
              <w:pStyle w:val="TAH"/>
            </w:pPr>
            <w:r>
              <w:t>Description</w:t>
            </w:r>
          </w:p>
        </w:tc>
      </w:tr>
      <w:tr w:rsidR="00A10B25" w14:paraId="008D312E" w14:textId="77777777">
        <w:trPr>
          <w:jc w:val="center"/>
        </w:trPr>
        <w:tc>
          <w:tcPr>
            <w:tcW w:w="1612" w:type="dxa"/>
            <w:tcBorders>
              <w:top w:val="single" w:sz="6" w:space="0" w:color="auto"/>
            </w:tcBorders>
          </w:tcPr>
          <w:p w14:paraId="0373156A" w14:textId="77777777" w:rsidR="00A10B25" w:rsidRDefault="00A10B25">
            <w:pPr>
              <w:pStyle w:val="TAL"/>
            </w:pPr>
            <w:r>
              <w:t>NnwdafEventsSubscription</w:t>
            </w:r>
          </w:p>
        </w:tc>
        <w:tc>
          <w:tcPr>
            <w:tcW w:w="422" w:type="dxa"/>
            <w:tcBorders>
              <w:top w:val="single" w:sz="6" w:space="0" w:color="auto"/>
            </w:tcBorders>
          </w:tcPr>
          <w:p w14:paraId="71092646" w14:textId="77777777" w:rsidR="00A10B25" w:rsidRDefault="00A10B25">
            <w:pPr>
              <w:pStyle w:val="TAC"/>
            </w:pPr>
            <w:r>
              <w:t>M</w:t>
            </w:r>
          </w:p>
        </w:tc>
        <w:tc>
          <w:tcPr>
            <w:tcW w:w="1264" w:type="dxa"/>
            <w:tcBorders>
              <w:top w:val="single" w:sz="6" w:space="0" w:color="auto"/>
            </w:tcBorders>
          </w:tcPr>
          <w:p w14:paraId="070E3010" w14:textId="77777777" w:rsidR="00A10B25" w:rsidRDefault="00A10B25">
            <w:pPr>
              <w:pStyle w:val="TAL"/>
            </w:pPr>
            <w:r>
              <w:t>1</w:t>
            </w:r>
          </w:p>
        </w:tc>
        <w:tc>
          <w:tcPr>
            <w:tcW w:w="6381" w:type="dxa"/>
            <w:tcBorders>
              <w:top w:val="single" w:sz="6" w:space="0" w:color="auto"/>
            </w:tcBorders>
          </w:tcPr>
          <w:p w14:paraId="46568731" w14:textId="77777777" w:rsidR="00A10B25" w:rsidRDefault="00A10B25">
            <w:pPr>
              <w:pStyle w:val="TAL"/>
            </w:pPr>
            <w:r>
              <w:t>Creates a new Individual NWDAF Event Subscription resource.</w:t>
            </w:r>
          </w:p>
        </w:tc>
      </w:tr>
    </w:tbl>
    <w:p w14:paraId="43A46509" w14:textId="77777777" w:rsidR="00A10B25" w:rsidRDefault="00A10B25"/>
    <w:p w14:paraId="14C4F45F" w14:textId="77777777" w:rsidR="00A10B25" w:rsidRDefault="00A10B25">
      <w:pPr>
        <w:pStyle w:val="TH"/>
        <w:overflowPunct w:val="0"/>
        <w:autoSpaceDE w:val="0"/>
        <w:autoSpaceDN w:val="0"/>
        <w:adjustRightInd w:val="0"/>
        <w:textAlignment w:val="baseline"/>
        <w:rPr>
          <w:rFonts w:eastAsia="MS Mincho"/>
        </w:rPr>
      </w:pPr>
      <w:r>
        <w:rPr>
          <w:rFonts w:eastAsia="MS Mincho"/>
        </w:rPr>
        <w:t>Table 5.1.3.2.3.1-3: Data structures supported by the POST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52"/>
        <w:gridCol w:w="435"/>
        <w:gridCol w:w="1236"/>
        <w:gridCol w:w="1110"/>
        <w:gridCol w:w="4407"/>
      </w:tblGrid>
      <w:tr w:rsidR="00A10B25" w14:paraId="0A2BF3A7" w14:textId="77777777">
        <w:trPr>
          <w:jc w:val="center"/>
        </w:trPr>
        <w:tc>
          <w:tcPr>
            <w:tcW w:w="1232" w:type="pct"/>
            <w:tcBorders>
              <w:bottom w:val="single" w:sz="6" w:space="0" w:color="auto"/>
            </w:tcBorders>
            <w:shd w:val="clear" w:color="auto" w:fill="C0C0C0"/>
          </w:tcPr>
          <w:p w14:paraId="62DFA73E" w14:textId="77777777" w:rsidR="00A10B25" w:rsidRDefault="00A10B25">
            <w:pPr>
              <w:pStyle w:val="TAH"/>
            </w:pPr>
            <w:r>
              <w:t>Data type</w:t>
            </w:r>
          </w:p>
        </w:tc>
        <w:tc>
          <w:tcPr>
            <w:tcW w:w="228" w:type="pct"/>
            <w:tcBorders>
              <w:bottom w:val="single" w:sz="6" w:space="0" w:color="auto"/>
            </w:tcBorders>
            <w:shd w:val="clear" w:color="auto" w:fill="C0C0C0"/>
          </w:tcPr>
          <w:p w14:paraId="391FE159" w14:textId="77777777" w:rsidR="00A10B25" w:rsidRDefault="00A10B25">
            <w:pPr>
              <w:pStyle w:val="TAH"/>
            </w:pPr>
            <w:r>
              <w:t>P</w:t>
            </w:r>
          </w:p>
        </w:tc>
        <w:tc>
          <w:tcPr>
            <w:tcW w:w="648" w:type="pct"/>
            <w:tcBorders>
              <w:bottom w:val="single" w:sz="6" w:space="0" w:color="auto"/>
            </w:tcBorders>
            <w:shd w:val="clear" w:color="auto" w:fill="C0C0C0"/>
          </w:tcPr>
          <w:p w14:paraId="1714D56C" w14:textId="77777777" w:rsidR="00A10B25" w:rsidRDefault="00A10B25">
            <w:pPr>
              <w:pStyle w:val="TAH"/>
            </w:pPr>
            <w:r>
              <w:t>Cardinality</w:t>
            </w:r>
          </w:p>
        </w:tc>
        <w:tc>
          <w:tcPr>
            <w:tcW w:w="582" w:type="pct"/>
            <w:tcBorders>
              <w:bottom w:val="single" w:sz="6" w:space="0" w:color="auto"/>
            </w:tcBorders>
            <w:shd w:val="clear" w:color="auto" w:fill="C0C0C0"/>
          </w:tcPr>
          <w:p w14:paraId="154C4BA8" w14:textId="77777777" w:rsidR="00A10B25" w:rsidRDefault="00A10B25">
            <w:pPr>
              <w:pStyle w:val="TAH"/>
            </w:pPr>
            <w:r>
              <w:t>Response</w:t>
            </w:r>
          </w:p>
          <w:p w14:paraId="2AFF2115" w14:textId="77777777" w:rsidR="00A10B25" w:rsidRDefault="00A10B25">
            <w:pPr>
              <w:pStyle w:val="TAH"/>
            </w:pPr>
            <w:r>
              <w:t>codes</w:t>
            </w:r>
          </w:p>
        </w:tc>
        <w:tc>
          <w:tcPr>
            <w:tcW w:w="2310" w:type="pct"/>
            <w:tcBorders>
              <w:bottom w:val="single" w:sz="6" w:space="0" w:color="auto"/>
            </w:tcBorders>
            <w:shd w:val="clear" w:color="auto" w:fill="C0C0C0"/>
          </w:tcPr>
          <w:p w14:paraId="18A4ED2F" w14:textId="77777777" w:rsidR="00A10B25" w:rsidRDefault="00A10B25">
            <w:pPr>
              <w:pStyle w:val="TAH"/>
            </w:pPr>
            <w:r>
              <w:t>Description</w:t>
            </w:r>
          </w:p>
        </w:tc>
      </w:tr>
      <w:tr w:rsidR="00A10B25" w14:paraId="6CE41EEF" w14:textId="77777777">
        <w:trPr>
          <w:jc w:val="center"/>
        </w:trPr>
        <w:tc>
          <w:tcPr>
            <w:tcW w:w="1232" w:type="pct"/>
            <w:tcBorders>
              <w:top w:val="single" w:sz="6" w:space="0" w:color="auto"/>
            </w:tcBorders>
          </w:tcPr>
          <w:p w14:paraId="532EFD65" w14:textId="77777777" w:rsidR="00A10B25" w:rsidRDefault="00A10B25">
            <w:pPr>
              <w:pStyle w:val="TAL"/>
            </w:pPr>
            <w:r>
              <w:t>NnwdafEventsSubscription</w:t>
            </w:r>
          </w:p>
        </w:tc>
        <w:tc>
          <w:tcPr>
            <w:tcW w:w="228" w:type="pct"/>
            <w:tcBorders>
              <w:top w:val="single" w:sz="6" w:space="0" w:color="auto"/>
            </w:tcBorders>
          </w:tcPr>
          <w:p w14:paraId="4CBC0094" w14:textId="77777777" w:rsidR="00A10B25" w:rsidRDefault="00A10B25">
            <w:pPr>
              <w:pStyle w:val="TAL"/>
              <w:jc w:val="center"/>
            </w:pPr>
            <w:r>
              <w:t>M</w:t>
            </w:r>
          </w:p>
        </w:tc>
        <w:tc>
          <w:tcPr>
            <w:tcW w:w="648" w:type="pct"/>
            <w:tcBorders>
              <w:top w:val="single" w:sz="6" w:space="0" w:color="auto"/>
            </w:tcBorders>
          </w:tcPr>
          <w:p w14:paraId="636F1564" w14:textId="77777777" w:rsidR="00A10B25" w:rsidRDefault="00A10B25">
            <w:pPr>
              <w:pStyle w:val="TAL"/>
            </w:pPr>
            <w:r>
              <w:t>1</w:t>
            </w:r>
          </w:p>
        </w:tc>
        <w:tc>
          <w:tcPr>
            <w:tcW w:w="582" w:type="pct"/>
            <w:tcBorders>
              <w:top w:val="single" w:sz="6" w:space="0" w:color="auto"/>
            </w:tcBorders>
          </w:tcPr>
          <w:p w14:paraId="37947F2F" w14:textId="77777777" w:rsidR="00A10B25" w:rsidRDefault="00A10B25">
            <w:pPr>
              <w:pStyle w:val="TAL"/>
            </w:pPr>
            <w:r>
              <w:t>201 Created</w:t>
            </w:r>
          </w:p>
        </w:tc>
        <w:tc>
          <w:tcPr>
            <w:tcW w:w="2310" w:type="pct"/>
            <w:tcBorders>
              <w:top w:val="single" w:sz="6" w:space="0" w:color="auto"/>
            </w:tcBorders>
          </w:tcPr>
          <w:p w14:paraId="56E01074" w14:textId="77777777" w:rsidR="00A10B25" w:rsidRDefault="00A10B25">
            <w:pPr>
              <w:pStyle w:val="TAL"/>
            </w:pPr>
            <w:r>
              <w:t>The creation of an Individual NWDAF Event Subscription resource is confirmed and a representation of that resource is returned.</w:t>
            </w:r>
          </w:p>
        </w:tc>
      </w:tr>
      <w:tr w:rsidR="00A10B25" w14:paraId="7F5DE233" w14:textId="77777777">
        <w:trPr>
          <w:jc w:val="center"/>
        </w:trPr>
        <w:tc>
          <w:tcPr>
            <w:tcW w:w="1232" w:type="pct"/>
            <w:tcBorders>
              <w:top w:val="single" w:sz="6" w:space="0" w:color="auto"/>
            </w:tcBorders>
          </w:tcPr>
          <w:p w14:paraId="0683AD24" w14:textId="77777777" w:rsidR="00A10B25" w:rsidRDefault="00A10B25">
            <w:pPr>
              <w:pStyle w:val="TAL"/>
            </w:pPr>
            <w:r>
              <w:t>ProblemDetails</w:t>
            </w:r>
          </w:p>
        </w:tc>
        <w:tc>
          <w:tcPr>
            <w:tcW w:w="228" w:type="pct"/>
            <w:tcBorders>
              <w:top w:val="single" w:sz="6" w:space="0" w:color="auto"/>
            </w:tcBorders>
          </w:tcPr>
          <w:p w14:paraId="0495EA5D" w14:textId="77777777" w:rsidR="00A10B25" w:rsidRDefault="00A10B25">
            <w:pPr>
              <w:pStyle w:val="TAL"/>
              <w:jc w:val="center"/>
            </w:pPr>
            <w:r>
              <w:t>O</w:t>
            </w:r>
          </w:p>
        </w:tc>
        <w:tc>
          <w:tcPr>
            <w:tcW w:w="648" w:type="pct"/>
            <w:tcBorders>
              <w:top w:val="single" w:sz="6" w:space="0" w:color="auto"/>
            </w:tcBorders>
          </w:tcPr>
          <w:p w14:paraId="064CB2AD" w14:textId="77777777" w:rsidR="00A10B25" w:rsidRDefault="00A10B25">
            <w:pPr>
              <w:pStyle w:val="TAL"/>
            </w:pPr>
            <w:r>
              <w:t>0..1</w:t>
            </w:r>
          </w:p>
        </w:tc>
        <w:tc>
          <w:tcPr>
            <w:tcW w:w="582" w:type="pct"/>
            <w:tcBorders>
              <w:top w:val="single" w:sz="6" w:space="0" w:color="auto"/>
            </w:tcBorders>
          </w:tcPr>
          <w:p w14:paraId="476F55DD" w14:textId="77777777" w:rsidR="00A10B25" w:rsidRDefault="00A10B25">
            <w:pPr>
              <w:pStyle w:val="TAL"/>
            </w:pPr>
            <w:r>
              <w:t>400 Bad Request</w:t>
            </w:r>
          </w:p>
        </w:tc>
        <w:tc>
          <w:tcPr>
            <w:tcW w:w="2310" w:type="pct"/>
            <w:tcBorders>
              <w:top w:val="single" w:sz="6" w:space="0" w:color="auto"/>
            </w:tcBorders>
          </w:tcPr>
          <w:p w14:paraId="153DCFE9" w14:textId="77777777" w:rsidR="00A10B25" w:rsidRDefault="00A10B25">
            <w:pPr>
              <w:pStyle w:val="TAL"/>
            </w:pPr>
            <w:r>
              <w:t>(NOT</w:t>
            </w:r>
            <w:r>
              <w:rPr>
                <w:lang w:val="en-US"/>
              </w:rPr>
              <w:t>E 2</w:t>
            </w:r>
            <w:r>
              <w:t>)</w:t>
            </w:r>
          </w:p>
        </w:tc>
      </w:tr>
      <w:tr w:rsidR="00A10B25" w14:paraId="374A4A02" w14:textId="77777777">
        <w:trPr>
          <w:jc w:val="center"/>
        </w:trPr>
        <w:tc>
          <w:tcPr>
            <w:tcW w:w="1232" w:type="pct"/>
            <w:tcBorders>
              <w:top w:val="single" w:sz="6" w:space="0" w:color="auto"/>
            </w:tcBorders>
          </w:tcPr>
          <w:p w14:paraId="4FBBC672" w14:textId="77777777" w:rsidR="00A10B25" w:rsidRDefault="00A10B25">
            <w:pPr>
              <w:pStyle w:val="TAL"/>
            </w:pPr>
            <w:r>
              <w:t>ProblemDetails</w:t>
            </w:r>
          </w:p>
        </w:tc>
        <w:tc>
          <w:tcPr>
            <w:tcW w:w="228" w:type="pct"/>
            <w:tcBorders>
              <w:top w:val="single" w:sz="6" w:space="0" w:color="auto"/>
            </w:tcBorders>
          </w:tcPr>
          <w:p w14:paraId="71B8F06F" w14:textId="77777777" w:rsidR="00A10B25" w:rsidRDefault="00A10B25">
            <w:pPr>
              <w:pStyle w:val="TAL"/>
              <w:jc w:val="center"/>
            </w:pPr>
            <w:r>
              <w:t>O</w:t>
            </w:r>
          </w:p>
        </w:tc>
        <w:tc>
          <w:tcPr>
            <w:tcW w:w="648" w:type="pct"/>
            <w:tcBorders>
              <w:top w:val="single" w:sz="6" w:space="0" w:color="auto"/>
            </w:tcBorders>
          </w:tcPr>
          <w:p w14:paraId="5EECB72D" w14:textId="77777777" w:rsidR="00A10B25" w:rsidRDefault="00A10B25">
            <w:pPr>
              <w:pStyle w:val="TAL"/>
            </w:pPr>
            <w:r>
              <w:t>0..1</w:t>
            </w:r>
          </w:p>
        </w:tc>
        <w:tc>
          <w:tcPr>
            <w:tcW w:w="582" w:type="pct"/>
            <w:tcBorders>
              <w:top w:val="single" w:sz="6" w:space="0" w:color="auto"/>
            </w:tcBorders>
          </w:tcPr>
          <w:p w14:paraId="3A3C2612" w14:textId="77777777" w:rsidR="00A10B25" w:rsidRDefault="00A10B25">
            <w:pPr>
              <w:pStyle w:val="TAL"/>
            </w:pPr>
            <w:r>
              <w:t>403 Forbidden</w:t>
            </w:r>
          </w:p>
        </w:tc>
        <w:tc>
          <w:tcPr>
            <w:tcW w:w="2310" w:type="pct"/>
            <w:tcBorders>
              <w:top w:val="single" w:sz="6" w:space="0" w:color="auto"/>
            </w:tcBorders>
          </w:tcPr>
          <w:p w14:paraId="308D4985" w14:textId="77777777" w:rsidR="00A10B25" w:rsidRDefault="00A10B25">
            <w:pPr>
              <w:pStyle w:val="TAL"/>
            </w:pPr>
            <w:r>
              <w:t>(NOTE 2)</w:t>
            </w:r>
          </w:p>
        </w:tc>
      </w:tr>
      <w:tr w:rsidR="00A10B25" w14:paraId="35258AAA" w14:textId="77777777">
        <w:trPr>
          <w:jc w:val="center"/>
        </w:trPr>
        <w:tc>
          <w:tcPr>
            <w:tcW w:w="1232" w:type="pct"/>
            <w:tcBorders>
              <w:top w:val="single" w:sz="6" w:space="0" w:color="auto"/>
            </w:tcBorders>
          </w:tcPr>
          <w:p w14:paraId="38060EA3" w14:textId="77777777" w:rsidR="00A10B25" w:rsidRDefault="00A10B25">
            <w:pPr>
              <w:pStyle w:val="TAL"/>
            </w:pPr>
            <w:r>
              <w:t>ProblemDetails</w:t>
            </w:r>
          </w:p>
        </w:tc>
        <w:tc>
          <w:tcPr>
            <w:tcW w:w="228" w:type="pct"/>
            <w:tcBorders>
              <w:top w:val="single" w:sz="6" w:space="0" w:color="auto"/>
            </w:tcBorders>
          </w:tcPr>
          <w:p w14:paraId="5B6C49DF" w14:textId="77777777" w:rsidR="00A10B25" w:rsidRDefault="00A10B25">
            <w:pPr>
              <w:pStyle w:val="TAL"/>
              <w:jc w:val="center"/>
            </w:pPr>
            <w:r>
              <w:t>O</w:t>
            </w:r>
          </w:p>
        </w:tc>
        <w:tc>
          <w:tcPr>
            <w:tcW w:w="648" w:type="pct"/>
            <w:tcBorders>
              <w:top w:val="single" w:sz="6" w:space="0" w:color="auto"/>
            </w:tcBorders>
          </w:tcPr>
          <w:p w14:paraId="645AD4DD" w14:textId="77777777" w:rsidR="00A10B25" w:rsidRDefault="00A10B25">
            <w:pPr>
              <w:pStyle w:val="TAL"/>
            </w:pPr>
            <w:r>
              <w:t>0..1</w:t>
            </w:r>
          </w:p>
        </w:tc>
        <w:tc>
          <w:tcPr>
            <w:tcW w:w="582" w:type="pct"/>
            <w:tcBorders>
              <w:top w:val="single" w:sz="6" w:space="0" w:color="auto"/>
            </w:tcBorders>
          </w:tcPr>
          <w:p w14:paraId="0BA50EDC" w14:textId="77777777" w:rsidR="00A10B25" w:rsidRDefault="00A10B25">
            <w:pPr>
              <w:pStyle w:val="TAL"/>
            </w:pPr>
            <w:r>
              <w:t>500 Internal Server Error</w:t>
            </w:r>
          </w:p>
        </w:tc>
        <w:tc>
          <w:tcPr>
            <w:tcW w:w="2310" w:type="pct"/>
            <w:tcBorders>
              <w:top w:val="single" w:sz="6" w:space="0" w:color="auto"/>
            </w:tcBorders>
          </w:tcPr>
          <w:p w14:paraId="5637C8F7" w14:textId="77777777" w:rsidR="00A10B25" w:rsidRDefault="00A10B25">
            <w:pPr>
              <w:pStyle w:val="TAL"/>
            </w:pPr>
            <w:r>
              <w:t>(NOTE 2)</w:t>
            </w:r>
          </w:p>
        </w:tc>
      </w:tr>
      <w:tr w:rsidR="00A10B25" w14:paraId="7FDE3550" w14:textId="77777777">
        <w:tblPrEx>
          <w:tblCellMar>
            <w:right w:w="115" w:type="dxa"/>
          </w:tblCellMar>
        </w:tblPrEx>
        <w:trPr>
          <w:jc w:val="center"/>
        </w:trPr>
        <w:tc>
          <w:tcPr>
            <w:tcW w:w="5000" w:type="pct"/>
            <w:gridSpan w:val="5"/>
          </w:tcPr>
          <w:p w14:paraId="7C457AEA"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10895713" w14:textId="77777777" w:rsidR="00A10B25" w:rsidRDefault="00A10B25">
            <w:pPr>
              <w:pStyle w:val="TAN"/>
              <w:rPr>
                <w:lang w:val="en-US" w:eastAsia="zh-CN"/>
              </w:rPr>
            </w:pPr>
            <w:r>
              <w:rPr>
                <w:lang w:val="en-US" w:eastAsia="zh-CN"/>
              </w:rPr>
              <w:t>NOTE 2:</w:t>
            </w:r>
            <w:r>
              <w:rPr>
                <w:lang w:val="en-US" w:eastAsia="zh-CN"/>
              </w:rPr>
              <w:tab/>
              <w:t>Failure cases are described in clause 5.1.7.</w:t>
            </w:r>
          </w:p>
        </w:tc>
      </w:tr>
    </w:tbl>
    <w:p w14:paraId="0AB02DDC" w14:textId="77777777" w:rsidR="00A10B25" w:rsidRDefault="00A10B25"/>
    <w:p w14:paraId="23DC04B3" w14:textId="77777777" w:rsidR="00A10B25" w:rsidRDefault="00A10B25">
      <w:pPr>
        <w:pStyle w:val="TH"/>
      </w:pPr>
      <w:r>
        <w:t>Table</w:t>
      </w:r>
      <w:r>
        <w:rPr>
          <w:lang w:val="en-US" w:eastAsia="zh-CN"/>
        </w:rPr>
        <w:t> </w:t>
      </w:r>
      <w:r>
        <w:rPr>
          <w:rFonts w:eastAsia="MS Mincho"/>
        </w:rPr>
        <w:t>5.1.3.2.3.1</w:t>
      </w:r>
      <w:r>
        <w:t xml:space="preserve">-4: Headers supported by the 201 Response Code on this resource </w:t>
      </w:r>
    </w:p>
    <w:tbl>
      <w:tblPr>
        <w:tblW w:w="0" w:type="auto"/>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6D3356D2" w14:textId="77777777">
        <w:trPr>
          <w:jc w:val="center"/>
        </w:trPr>
        <w:tc>
          <w:tcPr>
            <w:tcW w:w="1832" w:type="dxa"/>
            <w:tcBorders>
              <w:bottom w:val="single" w:sz="6" w:space="0" w:color="auto"/>
            </w:tcBorders>
            <w:shd w:val="clear" w:color="auto" w:fill="C0C0C0"/>
          </w:tcPr>
          <w:p w14:paraId="4AAD0E35" w14:textId="77777777" w:rsidR="00A10B25" w:rsidRDefault="00A10B25">
            <w:pPr>
              <w:pStyle w:val="TAH"/>
            </w:pPr>
            <w:r>
              <w:t>Name</w:t>
            </w:r>
          </w:p>
        </w:tc>
        <w:tc>
          <w:tcPr>
            <w:tcW w:w="1559" w:type="dxa"/>
            <w:tcBorders>
              <w:bottom w:val="single" w:sz="6" w:space="0" w:color="auto"/>
            </w:tcBorders>
            <w:shd w:val="clear" w:color="auto" w:fill="C0C0C0"/>
          </w:tcPr>
          <w:p w14:paraId="6C06F685" w14:textId="77777777" w:rsidR="00A10B25" w:rsidRDefault="00A10B25">
            <w:pPr>
              <w:pStyle w:val="TAH"/>
            </w:pPr>
            <w:r>
              <w:t>Data type</w:t>
            </w:r>
          </w:p>
        </w:tc>
        <w:tc>
          <w:tcPr>
            <w:tcW w:w="426" w:type="dxa"/>
            <w:tcBorders>
              <w:bottom w:val="single" w:sz="6" w:space="0" w:color="auto"/>
            </w:tcBorders>
            <w:shd w:val="clear" w:color="auto" w:fill="C0C0C0"/>
          </w:tcPr>
          <w:p w14:paraId="622C4267" w14:textId="77777777" w:rsidR="00A10B25" w:rsidRDefault="00A10B25">
            <w:pPr>
              <w:pStyle w:val="TAH"/>
            </w:pPr>
            <w:r>
              <w:t>P</w:t>
            </w:r>
          </w:p>
        </w:tc>
        <w:tc>
          <w:tcPr>
            <w:tcW w:w="1275" w:type="dxa"/>
            <w:tcBorders>
              <w:bottom w:val="single" w:sz="6" w:space="0" w:color="auto"/>
            </w:tcBorders>
            <w:shd w:val="clear" w:color="auto" w:fill="C0C0C0"/>
          </w:tcPr>
          <w:p w14:paraId="56FC4D72"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2833FB10" w14:textId="77777777" w:rsidR="00A10B25" w:rsidRDefault="00A10B25">
            <w:pPr>
              <w:pStyle w:val="TAH"/>
            </w:pPr>
            <w:r>
              <w:t>Description</w:t>
            </w:r>
          </w:p>
        </w:tc>
      </w:tr>
      <w:tr w:rsidR="009E3903" w14:paraId="4CBCD570" w14:textId="77777777">
        <w:trPr>
          <w:jc w:val="center"/>
        </w:trPr>
        <w:tc>
          <w:tcPr>
            <w:tcW w:w="1832" w:type="dxa"/>
            <w:tcBorders>
              <w:top w:val="single" w:sz="6" w:space="0" w:color="auto"/>
            </w:tcBorders>
          </w:tcPr>
          <w:p w14:paraId="6596B777" w14:textId="694231F0" w:rsidR="009E3903" w:rsidRDefault="009E3903" w:rsidP="009E3903">
            <w:pPr>
              <w:pStyle w:val="TAL"/>
            </w:pPr>
            <w:r>
              <w:t>Location</w:t>
            </w:r>
          </w:p>
        </w:tc>
        <w:tc>
          <w:tcPr>
            <w:tcW w:w="1559" w:type="dxa"/>
            <w:tcBorders>
              <w:top w:val="single" w:sz="6" w:space="0" w:color="auto"/>
            </w:tcBorders>
          </w:tcPr>
          <w:p w14:paraId="62092FC3" w14:textId="5216E91D" w:rsidR="009E3903" w:rsidRDefault="009E3903" w:rsidP="009E3903">
            <w:pPr>
              <w:pStyle w:val="TAL"/>
            </w:pPr>
            <w:r>
              <w:t>string</w:t>
            </w:r>
          </w:p>
        </w:tc>
        <w:tc>
          <w:tcPr>
            <w:tcW w:w="426" w:type="dxa"/>
            <w:tcBorders>
              <w:top w:val="single" w:sz="6" w:space="0" w:color="auto"/>
            </w:tcBorders>
          </w:tcPr>
          <w:p w14:paraId="157A3C63" w14:textId="322FF667" w:rsidR="009E3903" w:rsidRDefault="009E3903" w:rsidP="009E3903">
            <w:pPr>
              <w:pStyle w:val="TAC"/>
            </w:pPr>
            <w:r>
              <w:t>M</w:t>
            </w:r>
          </w:p>
        </w:tc>
        <w:tc>
          <w:tcPr>
            <w:tcW w:w="1275" w:type="dxa"/>
            <w:tcBorders>
              <w:top w:val="single" w:sz="6" w:space="0" w:color="auto"/>
            </w:tcBorders>
          </w:tcPr>
          <w:p w14:paraId="0D6B4EB3" w14:textId="7FA4D5BA" w:rsidR="009E3903" w:rsidRDefault="009E3903" w:rsidP="009E3903">
            <w:pPr>
              <w:pStyle w:val="TAL"/>
            </w:pPr>
            <w:r>
              <w:t>1</w:t>
            </w:r>
          </w:p>
        </w:tc>
        <w:tc>
          <w:tcPr>
            <w:tcW w:w="4524" w:type="dxa"/>
            <w:tcBorders>
              <w:top w:val="single" w:sz="6" w:space="0" w:color="auto"/>
            </w:tcBorders>
            <w:vAlign w:val="center"/>
          </w:tcPr>
          <w:p w14:paraId="5BE9DEC8" w14:textId="77777777" w:rsidR="009E3903" w:rsidRDefault="009E3903" w:rsidP="009E3903">
            <w:pPr>
              <w:pStyle w:val="TAL"/>
            </w:pPr>
            <w:r>
              <w:t>Contains the URI of the newly created resource, according to the structure:</w:t>
            </w:r>
          </w:p>
          <w:p w14:paraId="68B6ED5C" w14:textId="03F5A865" w:rsidR="009E3903" w:rsidRDefault="009E3903" w:rsidP="009E3903">
            <w:pPr>
              <w:pStyle w:val="TAL"/>
            </w:pPr>
            <w:r>
              <w:t>{apiRoot}/nnwdaf-eventssubscription/&lt;apiVersion&gt;/subscriptions/{subscriptionId}</w:t>
            </w:r>
          </w:p>
        </w:tc>
      </w:tr>
    </w:tbl>
    <w:p w14:paraId="0354FC90" w14:textId="77777777" w:rsidR="00A10B25" w:rsidRDefault="00A10B25"/>
    <w:p w14:paraId="6E69CFBD" w14:textId="77777777" w:rsidR="00A10B25" w:rsidRDefault="00A10B25">
      <w:pPr>
        <w:pStyle w:val="5"/>
      </w:pPr>
      <w:bookmarkStart w:id="4487" w:name="_Toc113031634"/>
      <w:bookmarkStart w:id="4488" w:name="_Toc120702273"/>
      <w:bookmarkStart w:id="4489" w:name="_Toc36102440"/>
      <w:bookmarkStart w:id="4490" w:name="_Toc70550606"/>
      <w:bookmarkStart w:id="4491" w:name="_Toc59017910"/>
      <w:bookmarkStart w:id="4492" w:name="_Toc88667550"/>
      <w:bookmarkStart w:id="4493" w:name="_Toc114133773"/>
      <w:bookmarkStart w:id="4494" w:name="_Toc94064218"/>
      <w:bookmarkStart w:id="4495" w:name="_Toc43563482"/>
      <w:bookmarkStart w:id="4496" w:name="_Toc56640942"/>
      <w:bookmarkStart w:id="4497" w:name="_Toc83233052"/>
      <w:bookmarkStart w:id="4498" w:name="_Toc98233603"/>
      <w:bookmarkStart w:id="4499" w:name="_Toc66231778"/>
      <w:bookmarkStart w:id="4500" w:name="_Toc50031955"/>
      <w:bookmarkStart w:id="4501" w:name="_Toc85552949"/>
      <w:bookmarkStart w:id="4502" w:name="_Toc45134025"/>
      <w:bookmarkStart w:id="4503" w:name="_Toc90655835"/>
      <w:bookmarkStart w:id="4504" w:name="_Toc85557048"/>
      <w:bookmarkStart w:id="4505" w:name="_Toc101244379"/>
      <w:bookmarkStart w:id="4506" w:name="_Toc112951094"/>
      <w:bookmarkStart w:id="4507" w:name="_Toc136562340"/>
      <w:bookmarkStart w:id="4508" w:name="_Toc28012799"/>
      <w:bookmarkStart w:id="4509" w:name="_Toc68168939"/>
      <w:bookmarkStart w:id="4510" w:name="_Toc104538972"/>
      <w:bookmarkStart w:id="4511" w:name="_Toc34266269"/>
      <w:bookmarkStart w:id="4512" w:name="_Toc148522565"/>
      <w:bookmarkStart w:id="4513" w:name="_Toc138754174"/>
      <w:bookmarkStart w:id="4514" w:name="_Toc145705661"/>
      <w:bookmarkStart w:id="4515" w:name="_Toc51762875"/>
      <w:bookmarkStart w:id="4516" w:name="_Toc164920745"/>
      <w:bookmarkStart w:id="4517" w:name="_Toc170120287"/>
      <w:bookmarkStart w:id="4518" w:name="_Toc175858532"/>
      <w:bookmarkStart w:id="4519" w:name="_Toc175859605"/>
      <w:bookmarkStart w:id="4520" w:name="_Toc180605895"/>
      <w:bookmarkStart w:id="4521" w:name="_Toc185517149"/>
      <w:bookmarkStart w:id="4522" w:name="_Toc191576200"/>
      <w:bookmarkStart w:id="4523" w:name="_Toc191576940"/>
      <w:bookmarkStart w:id="4524" w:name="_Toc192880010"/>
      <w:bookmarkStart w:id="4525" w:name="_Toc195814893"/>
      <w:bookmarkStart w:id="4526" w:name="_Toc199452860"/>
      <w:r>
        <w:t>5.1.3.2.4</w:t>
      </w:r>
      <w:r>
        <w:tab/>
        <w:t>Resource Custom Operations</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6C53850A" w14:textId="77777777" w:rsidR="00A10B25" w:rsidRDefault="00A10B25">
      <w:r>
        <w:t>None in this release of the specification.</w:t>
      </w:r>
    </w:p>
    <w:p w14:paraId="5B23B975" w14:textId="77777777" w:rsidR="00A10B25" w:rsidRDefault="00A10B25">
      <w:pPr>
        <w:pStyle w:val="4"/>
      </w:pPr>
      <w:bookmarkStart w:id="4527" w:name="_Toc145705662"/>
      <w:bookmarkStart w:id="4528" w:name="_Toc56640943"/>
      <w:bookmarkStart w:id="4529" w:name="_Toc148522566"/>
      <w:bookmarkStart w:id="4530" w:name="_Toc114133774"/>
      <w:bookmarkStart w:id="4531" w:name="_Toc88667551"/>
      <w:bookmarkStart w:id="4532" w:name="_Toc120702274"/>
      <w:bookmarkStart w:id="4533" w:name="_Toc98233604"/>
      <w:bookmarkStart w:id="4534" w:name="_Toc68168940"/>
      <w:bookmarkStart w:id="4535" w:name="_Toc70550607"/>
      <w:bookmarkStart w:id="4536" w:name="_Toc104538973"/>
      <w:bookmarkStart w:id="4537" w:name="_Toc101244380"/>
      <w:bookmarkStart w:id="4538" w:name="_Toc43563483"/>
      <w:bookmarkStart w:id="4539" w:name="_Toc136562341"/>
      <w:bookmarkStart w:id="4540" w:name="_Toc85557049"/>
      <w:bookmarkStart w:id="4541" w:name="_Toc34266270"/>
      <w:bookmarkStart w:id="4542" w:name="_Toc94064219"/>
      <w:bookmarkStart w:id="4543" w:name="_Toc113031635"/>
      <w:bookmarkStart w:id="4544" w:name="_Toc50031956"/>
      <w:bookmarkStart w:id="4545" w:name="_Toc51762876"/>
      <w:bookmarkStart w:id="4546" w:name="_Toc112951095"/>
      <w:bookmarkStart w:id="4547" w:name="_Toc28012800"/>
      <w:bookmarkStart w:id="4548" w:name="_Toc66231779"/>
      <w:bookmarkStart w:id="4549" w:name="_Toc45134026"/>
      <w:bookmarkStart w:id="4550" w:name="_Toc90655836"/>
      <w:bookmarkStart w:id="4551" w:name="_Toc83233053"/>
      <w:bookmarkStart w:id="4552" w:name="_Toc85552950"/>
      <w:bookmarkStart w:id="4553" w:name="_Toc59017911"/>
      <w:bookmarkStart w:id="4554" w:name="_Toc36102441"/>
      <w:bookmarkStart w:id="4555" w:name="_Toc138754175"/>
      <w:bookmarkStart w:id="4556" w:name="_Toc164920746"/>
      <w:bookmarkStart w:id="4557" w:name="_Toc170120288"/>
      <w:bookmarkStart w:id="4558" w:name="_Toc175858533"/>
      <w:bookmarkStart w:id="4559" w:name="_Toc175859606"/>
      <w:bookmarkStart w:id="4560" w:name="_Toc180605896"/>
      <w:bookmarkStart w:id="4561" w:name="_Toc185517150"/>
      <w:bookmarkStart w:id="4562" w:name="_Toc191576201"/>
      <w:bookmarkStart w:id="4563" w:name="_Toc191576941"/>
      <w:bookmarkStart w:id="4564" w:name="_Toc192880011"/>
      <w:bookmarkStart w:id="4565" w:name="_Toc195814894"/>
      <w:bookmarkStart w:id="4566" w:name="_Toc199452861"/>
      <w:r>
        <w:t>5.1.3.3</w:t>
      </w:r>
      <w:r>
        <w:tab/>
        <w:t>Resource: Individual NWDAF Event Subscription</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048E9BD8" w14:textId="77777777" w:rsidR="00A10B25" w:rsidRDefault="00A10B25">
      <w:pPr>
        <w:pStyle w:val="5"/>
      </w:pPr>
      <w:bookmarkStart w:id="4567" w:name="_Toc112951096"/>
      <w:bookmarkStart w:id="4568" w:name="_Toc101244381"/>
      <w:bookmarkStart w:id="4569" w:name="_Toc94064220"/>
      <w:bookmarkStart w:id="4570" w:name="_Toc104538974"/>
      <w:bookmarkStart w:id="4571" w:name="_Toc85552951"/>
      <w:bookmarkStart w:id="4572" w:name="_Toc56640944"/>
      <w:bookmarkStart w:id="4573" w:name="_Toc145705663"/>
      <w:bookmarkStart w:id="4574" w:name="_Toc50031957"/>
      <w:bookmarkStart w:id="4575" w:name="_Toc98233605"/>
      <w:bookmarkStart w:id="4576" w:name="_Toc83233054"/>
      <w:bookmarkStart w:id="4577" w:name="_Toc34266271"/>
      <w:bookmarkStart w:id="4578" w:name="_Toc90655837"/>
      <w:bookmarkStart w:id="4579" w:name="_Toc66231780"/>
      <w:bookmarkStart w:id="4580" w:name="_Toc45134027"/>
      <w:bookmarkStart w:id="4581" w:name="_Toc68168941"/>
      <w:bookmarkStart w:id="4582" w:name="_Toc138754176"/>
      <w:bookmarkStart w:id="4583" w:name="_Toc136562342"/>
      <w:bookmarkStart w:id="4584" w:name="_Toc36102442"/>
      <w:bookmarkStart w:id="4585" w:name="_Toc59017912"/>
      <w:bookmarkStart w:id="4586" w:name="_Toc85557050"/>
      <w:bookmarkStart w:id="4587" w:name="_Toc43563484"/>
      <w:bookmarkStart w:id="4588" w:name="_Toc120702275"/>
      <w:bookmarkStart w:id="4589" w:name="_Toc88667552"/>
      <w:bookmarkStart w:id="4590" w:name="_Toc113031636"/>
      <w:bookmarkStart w:id="4591" w:name="_Toc148522567"/>
      <w:bookmarkStart w:id="4592" w:name="_Toc70550608"/>
      <w:bookmarkStart w:id="4593" w:name="_Toc28012801"/>
      <w:bookmarkStart w:id="4594" w:name="_Toc114133775"/>
      <w:bookmarkStart w:id="4595" w:name="_Toc51762877"/>
      <w:bookmarkStart w:id="4596" w:name="_Toc164920747"/>
      <w:bookmarkStart w:id="4597" w:name="_Toc170120289"/>
      <w:bookmarkStart w:id="4598" w:name="_Toc175858534"/>
      <w:bookmarkStart w:id="4599" w:name="_Toc175859607"/>
      <w:bookmarkStart w:id="4600" w:name="_Toc180605897"/>
      <w:bookmarkStart w:id="4601" w:name="_Toc185517151"/>
      <w:bookmarkStart w:id="4602" w:name="_Toc191576202"/>
      <w:bookmarkStart w:id="4603" w:name="_Toc191576942"/>
      <w:bookmarkStart w:id="4604" w:name="_Toc192880012"/>
      <w:bookmarkStart w:id="4605" w:name="_Toc195814895"/>
      <w:bookmarkStart w:id="4606" w:name="_Toc199452862"/>
      <w:r>
        <w:t>5.1.3.3.1</w:t>
      </w:r>
      <w:r>
        <w:tab/>
        <w:t>Description</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6DFD54E1" w14:textId="77777777" w:rsidR="00A10B25" w:rsidRDefault="00A10B25">
      <w:r>
        <w:t>The Individual NWDAF Event Subscription resource represents a single subscription to the Nnwdaf_EventsSubscription service at a given NWDAF.</w:t>
      </w:r>
    </w:p>
    <w:p w14:paraId="2AAE2A69" w14:textId="77777777" w:rsidR="00A10B25" w:rsidRDefault="00A10B25">
      <w:pPr>
        <w:pStyle w:val="5"/>
      </w:pPr>
      <w:bookmarkStart w:id="4607" w:name="_Toc45134028"/>
      <w:bookmarkStart w:id="4608" w:name="_Toc51762878"/>
      <w:bookmarkStart w:id="4609" w:name="_Toc112951097"/>
      <w:bookmarkStart w:id="4610" w:name="_Toc34266272"/>
      <w:bookmarkStart w:id="4611" w:name="_Toc66231781"/>
      <w:bookmarkStart w:id="4612" w:name="_Toc28012802"/>
      <w:bookmarkStart w:id="4613" w:name="_Toc85557051"/>
      <w:bookmarkStart w:id="4614" w:name="_Toc36102443"/>
      <w:bookmarkStart w:id="4615" w:name="_Toc104538975"/>
      <w:bookmarkStart w:id="4616" w:name="_Toc114133776"/>
      <w:bookmarkStart w:id="4617" w:name="_Toc98233606"/>
      <w:bookmarkStart w:id="4618" w:name="_Toc70550609"/>
      <w:bookmarkStart w:id="4619" w:name="_Toc85552952"/>
      <w:bookmarkStart w:id="4620" w:name="_Toc50031958"/>
      <w:bookmarkStart w:id="4621" w:name="_Toc138754177"/>
      <w:bookmarkStart w:id="4622" w:name="_Toc101244382"/>
      <w:bookmarkStart w:id="4623" w:name="_Toc56640945"/>
      <w:bookmarkStart w:id="4624" w:name="_Toc145705664"/>
      <w:bookmarkStart w:id="4625" w:name="_Toc148522568"/>
      <w:bookmarkStart w:id="4626" w:name="_Toc113031637"/>
      <w:bookmarkStart w:id="4627" w:name="_Toc83233055"/>
      <w:bookmarkStart w:id="4628" w:name="_Toc88667553"/>
      <w:bookmarkStart w:id="4629" w:name="_Toc43563485"/>
      <w:bookmarkStart w:id="4630" w:name="_Toc90655838"/>
      <w:bookmarkStart w:id="4631" w:name="_Toc59017913"/>
      <w:bookmarkStart w:id="4632" w:name="_Toc136562343"/>
      <w:bookmarkStart w:id="4633" w:name="_Toc94064221"/>
      <w:bookmarkStart w:id="4634" w:name="_Toc68168942"/>
      <w:bookmarkStart w:id="4635" w:name="_Toc28012803"/>
      <w:bookmarkStart w:id="4636" w:name="_Toc36102444"/>
      <w:bookmarkStart w:id="4637" w:name="_Toc45134029"/>
      <w:bookmarkStart w:id="4638" w:name="_Toc34266273"/>
      <w:bookmarkStart w:id="4639" w:name="_Toc43563486"/>
      <w:bookmarkStart w:id="4640" w:name="_Toc120702276"/>
      <w:bookmarkStart w:id="4641" w:name="_Toc164920748"/>
      <w:bookmarkStart w:id="4642" w:name="_Toc170120290"/>
      <w:bookmarkStart w:id="4643" w:name="_Toc175858535"/>
      <w:bookmarkStart w:id="4644" w:name="_Toc175859608"/>
      <w:bookmarkStart w:id="4645" w:name="_Toc180605898"/>
      <w:bookmarkStart w:id="4646" w:name="_Toc185517152"/>
      <w:bookmarkStart w:id="4647" w:name="_Toc191576203"/>
      <w:bookmarkStart w:id="4648" w:name="_Toc191576943"/>
      <w:bookmarkStart w:id="4649" w:name="_Toc192880013"/>
      <w:bookmarkStart w:id="4650" w:name="_Toc195814896"/>
      <w:bookmarkStart w:id="4651" w:name="_Toc199452863"/>
      <w:r>
        <w:t>5.1.3.3.2</w:t>
      </w:r>
      <w:r>
        <w:tab/>
        <w:t>Resource definition</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40"/>
      <w:bookmarkEnd w:id="4641"/>
      <w:bookmarkEnd w:id="4642"/>
      <w:bookmarkEnd w:id="4643"/>
      <w:bookmarkEnd w:id="4644"/>
      <w:bookmarkEnd w:id="4645"/>
      <w:bookmarkEnd w:id="4646"/>
      <w:bookmarkEnd w:id="4647"/>
      <w:bookmarkEnd w:id="4648"/>
      <w:bookmarkEnd w:id="4649"/>
      <w:bookmarkEnd w:id="4650"/>
      <w:bookmarkEnd w:id="4651"/>
    </w:p>
    <w:p w14:paraId="769DBC8F" w14:textId="77777777" w:rsidR="004D166F" w:rsidRPr="0040274B" w:rsidRDefault="004D166F" w:rsidP="004D166F">
      <w:pPr>
        <w:rPr>
          <w:b/>
        </w:rPr>
      </w:pPr>
      <w:r>
        <w:t xml:space="preserve">Resource URI: </w:t>
      </w:r>
      <w:r w:rsidRPr="0040274B">
        <w:rPr>
          <w:b/>
        </w:rPr>
        <w:t>{apiRoot}/nnwdaf-eventssubscription/&lt;apiVersion&gt;/subscriptions/{subscriptionId}</w:t>
      </w:r>
    </w:p>
    <w:p w14:paraId="1C579F8E" w14:textId="77777777" w:rsidR="00A10B25" w:rsidRDefault="00A10B25">
      <w:pPr>
        <w:rPr>
          <w:lang w:val="en-US"/>
        </w:rPr>
      </w:pPr>
      <w:r>
        <w:rPr>
          <w:lang w:val="en-US" w:eastAsia="zh-CN"/>
        </w:rPr>
        <w:t>The &lt;apiVersion&gt; shall be set as described in clause</w:t>
      </w:r>
      <w:r>
        <w:rPr>
          <w:lang w:val="en-US" w:eastAsia="zh-CN"/>
        </w:rPr>
        <w:t> 5.1</w:t>
      </w:r>
      <w:r>
        <w:rPr>
          <w:lang w:val="en-US" w:eastAsia="zh-CN"/>
        </w:rPr>
        <w:t>.1</w:t>
      </w:r>
      <w:r>
        <w:rPr>
          <w:lang w:val="en-US" w:eastAsia="zh-CN"/>
        </w:rPr>
        <w:t>.</w:t>
      </w:r>
    </w:p>
    <w:p w14:paraId="6890C9C0" w14:textId="77777777" w:rsidR="00A10B25" w:rsidRDefault="00A10B25">
      <w:r>
        <w:t>This resource shall support the resource URI variables defined in table 5.1.3.3.2-1</w:t>
      </w:r>
      <w:r>
        <w:rPr>
          <w:rFonts w:ascii="Arial" w:hAnsi="Arial" w:cs="Arial"/>
        </w:rPr>
        <w:t>.</w:t>
      </w:r>
    </w:p>
    <w:p w14:paraId="1598A950" w14:textId="77777777" w:rsidR="00A10B25" w:rsidRDefault="00A10B25">
      <w:pPr>
        <w:pStyle w:val="TH"/>
      </w:pPr>
      <w:r>
        <w:t>Table 5.1.3.3.2-1: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54206F39" w14:textId="77777777">
        <w:trPr>
          <w:jc w:val="center"/>
        </w:trPr>
        <w:tc>
          <w:tcPr>
            <w:tcW w:w="639" w:type="pct"/>
            <w:shd w:val="clear" w:color="000000" w:fill="C0C0C0"/>
          </w:tcPr>
          <w:p w14:paraId="1CA41E62" w14:textId="77777777" w:rsidR="00A10B25" w:rsidRDefault="00A10B25">
            <w:pPr>
              <w:pStyle w:val="TAH"/>
            </w:pPr>
            <w:r>
              <w:t>Name</w:t>
            </w:r>
          </w:p>
        </w:tc>
        <w:tc>
          <w:tcPr>
            <w:tcW w:w="846" w:type="pct"/>
            <w:shd w:val="clear" w:color="000000" w:fill="C0C0C0"/>
          </w:tcPr>
          <w:p w14:paraId="5F2E518B"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0EFB2754" w14:textId="77777777" w:rsidR="00A10B25" w:rsidRDefault="00A10B25">
            <w:pPr>
              <w:pStyle w:val="TAH"/>
            </w:pPr>
            <w:r>
              <w:t>Definition</w:t>
            </w:r>
          </w:p>
        </w:tc>
      </w:tr>
      <w:tr w:rsidR="00A10B25" w14:paraId="4E453CBA" w14:textId="77777777">
        <w:trPr>
          <w:jc w:val="center"/>
        </w:trPr>
        <w:tc>
          <w:tcPr>
            <w:tcW w:w="639" w:type="pct"/>
          </w:tcPr>
          <w:p w14:paraId="7B57AFE6" w14:textId="77777777" w:rsidR="00A10B25" w:rsidRDefault="00A10B25">
            <w:pPr>
              <w:pStyle w:val="TAL"/>
            </w:pPr>
            <w:r>
              <w:t>apiRoot</w:t>
            </w:r>
          </w:p>
        </w:tc>
        <w:tc>
          <w:tcPr>
            <w:tcW w:w="846" w:type="pct"/>
          </w:tcPr>
          <w:p w14:paraId="6E0414B8" w14:textId="77777777" w:rsidR="00A10B25" w:rsidRDefault="00A10B25">
            <w:pPr>
              <w:pStyle w:val="TAL"/>
            </w:pPr>
            <w:r>
              <w:t>string</w:t>
            </w:r>
          </w:p>
        </w:tc>
        <w:tc>
          <w:tcPr>
            <w:tcW w:w="3515" w:type="pct"/>
            <w:vAlign w:val="center"/>
          </w:tcPr>
          <w:p w14:paraId="2D9BD4F3" w14:textId="77777777" w:rsidR="00A10B25" w:rsidRDefault="00A10B25">
            <w:pPr>
              <w:pStyle w:val="TAL"/>
            </w:pPr>
            <w:r>
              <w:t>See clause</w:t>
            </w:r>
            <w:r>
              <w:rPr>
                <w:lang w:val="en-US" w:eastAsia="zh-CN"/>
              </w:rPr>
              <w:t> </w:t>
            </w:r>
            <w:r>
              <w:t>5.1.1.</w:t>
            </w:r>
          </w:p>
        </w:tc>
      </w:tr>
      <w:tr w:rsidR="00A10B25" w14:paraId="5A28611A" w14:textId="77777777">
        <w:trPr>
          <w:jc w:val="center"/>
        </w:trPr>
        <w:tc>
          <w:tcPr>
            <w:tcW w:w="639" w:type="pct"/>
          </w:tcPr>
          <w:p w14:paraId="51378C3A" w14:textId="77777777" w:rsidR="00A10B25" w:rsidRDefault="00A10B25">
            <w:pPr>
              <w:pStyle w:val="TAL"/>
            </w:pPr>
            <w:r>
              <w:t>subscriptionId</w:t>
            </w:r>
          </w:p>
        </w:tc>
        <w:tc>
          <w:tcPr>
            <w:tcW w:w="846" w:type="pct"/>
          </w:tcPr>
          <w:p w14:paraId="5B0B730C" w14:textId="77777777" w:rsidR="00A10B25" w:rsidRDefault="00A10B25">
            <w:pPr>
              <w:pStyle w:val="TAL"/>
              <w:rPr>
                <w:rFonts w:eastAsia="Batang"/>
              </w:rPr>
            </w:pPr>
            <w:r>
              <w:t>string</w:t>
            </w:r>
          </w:p>
        </w:tc>
        <w:tc>
          <w:tcPr>
            <w:tcW w:w="3515" w:type="pct"/>
            <w:vAlign w:val="center"/>
          </w:tcPr>
          <w:p w14:paraId="6149755D" w14:textId="77777777" w:rsidR="00A10B25" w:rsidRDefault="00A10B25">
            <w:pPr>
              <w:pStyle w:val="TAL"/>
            </w:pPr>
            <w:r>
              <w:rPr>
                <w:rFonts w:eastAsia="Batang"/>
              </w:rPr>
              <w:t>Identifies a subscription to the Nnwdaf_EventsSubscription service.</w:t>
            </w:r>
          </w:p>
        </w:tc>
      </w:tr>
    </w:tbl>
    <w:p w14:paraId="5A2206FF" w14:textId="77777777" w:rsidR="00A10B25" w:rsidRDefault="00A10B25"/>
    <w:p w14:paraId="66735BB2" w14:textId="77777777" w:rsidR="00A10B25" w:rsidRDefault="00A10B25">
      <w:pPr>
        <w:pStyle w:val="5"/>
      </w:pPr>
      <w:bookmarkStart w:id="4652" w:name="_Toc120702277"/>
      <w:bookmarkStart w:id="4653" w:name="_Toc112951098"/>
      <w:bookmarkStart w:id="4654" w:name="_Toc98233607"/>
      <w:bookmarkStart w:id="4655" w:name="_Toc51762879"/>
      <w:bookmarkStart w:id="4656" w:name="_Toc85552953"/>
      <w:bookmarkStart w:id="4657" w:name="_Toc59017914"/>
      <w:bookmarkStart w:id="4658" w:name="_Toc104538976"/>
      <w:bookmarkStart w:id="4659" w:name="_Toc83233056"/>
      <w:bookmarkStart w:id="4660" w:name="_Toc145705665"/>
      <w:bookmarkStart w:id="4661" w:name="_Toc114133777"/>
      <w:bookmarkStart w:id="4662" w:name="_Toc70550610"/>
      <w:bookmarkStart w:id="4663" w:name="_Toc50031959"/>
      <w:bookmarkStart w:id="4664" w:name="_Toc94064222"/>
      <w:bookmarkStart w:id="4665" w:name="_Toc85557052"/>
      <w:bookmarkStart w:id="4666" w:name="_Toc136562344"/>
      <w:bookmarkStart w:id="4667" w:name="_Toc148522569"/>
      <w:bookmarkStart w:id="4668" w:name="_Toc88667554"/>
      <w:bookmarkStart w:id="4669" w:name="_Toc66231782"/>
      <w:bookmarkStart w:id="4670" w:name="_Toc90655839"/>
      <w:bookmarkStart w:id="4671" w:name="_Toc68168943"/>
      <w:bookmarkStart w:id="4672" w:name="_Toc101244383"/>
      <w:bookmarkStart w:id="4673" w:name="_Toc138754178"/>
      <w:bookmarkStart w:id="4674" w:name="_Toc56640946"/>
      <w:bookmarkStart w:id="4675" w:name="_Toc113031638"/>
      <w:bookmarkStart w:id="4676" w:name="_Toc164920749"/>
      <w:bookmarkStart w:id="4677" w:name="_Toc170120291"/>
      <w:bookmarkStart w:id="4678" w:name="_Toc175858536"/>
      <w:bookmarkStart w:id="4679" w:name="_Toc175859609"/>
      <w:bookmarkStart w:id="4680" w:name="_Toc180605899"/>
      <w:bookmarkStart w:id="4681" w:name="_Toc185517153"/>
      <w:bookmarkStart w:id="4682" w:name="_Toc191576204"/>
      <w:bookmarkStart w:id="4683" w:name="_Toc191576944"/>
      <w:bookmarkStart w:id="4684" w:name="_Toc192880014"/>
      <w:bookmarkStart w:id="4685" w:name="_Toc195814897"/>
      <w:bookmarkStart w:id="4686" w:name="_Toc199452864"/>
      <w:r>
        <w:t>5.1.3.3.3</w:t>
      </w:r>
      <w:r>
        <w:tab/>
        <w:t>Resource Standard Methods</w:t>
      </w:r>
      <w:bookmarkEnd w:id="4635"/>
      <w:bookmarkEnd w:id="4636"/>
      <w:bookmarkEnd w:id="4637"/>
      <w:bookmarkEnd w:id="4638"/>
      <w:bookmarkEnd w:id="4639"/>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7291AD8D" w14:textId="77777777" w:rsidR="00A10B25" w:rsidRDefault="00A10B25">
      <w:pPr>
        <w:pStyle w:val="6"/>
      </w:pPr>
      <w:bookmarkStart w:id="4687" w:name="_Toc113031639"/>
      <w:bookmarkStart w:id="4688" w:name="_Toc85557053"/>
      <w:bookmarkStart w:id="4689" w:name="_Toc112951099"/>
      <w:bookmarkStart w:id="4690" w:name="_Toc98233608"/>
      <w:bookmarkStart w:id="4691" w:name="_Toc68168944"/>
      <w:bookmarkStart w:id="4692" w:name="_Toc136562345"/>
      <w:bookmarkStart w:id="4693" w:name="_Toc94064223"/>
      <w:bookmarkStart w:id="4694" w:name="_Toc59017915"/>
      <w:bookmarkStart w:id="4695" w:name="_Toc85552954"/>
      <w:bookmarkStart w:id="4696" w:name="_Toc66231783"/>
      <w:bookmarkStart w:id="4697" w:name="_Toc114133778"/>
      <w:bookmarkStart w:id="4698" w:name="_Toc101244384"/>
      <w:bookmarkStart w:id="4699" w:name="_Toc90655840"/>
      <w:bookmarkStart w:id="4700" w:name="_Toc51762880"/>
      <w:bookmarkStart w:id="4701" w:name="_Toc56640947"/>
      <w:bookmarkStart w:id="4702" w:name="_Toc83233057"/>
      <w:bookmarkStart w:id="4703" w:name="_Toc70550611"/>
      <w:bookmarkStart w:id="4704" w:name="_Toc104538977"/>
      <w:bookmarkStart w:id="4705" w:name="_Toc120702278"/>
      <w:bookmarkStart w:id="4706" w:name="_Toc50031960"/>
      <w:bookmarkStart w:id="4707" w:name="_Toc148522570"/>
      <w:bookmarkStart w:id="4708" w:name="_Toc145705666"/>
      <w:bookmarkStart w:id="4709" w:name="_Toc138754179"/>
      <w:bookmarkStart w:id="4710" w:name="_Toc88667555"/>
      <w:bookmarkStart w:id="4711" w:name="_Toc164920750"/>
      <w:bookmarkStart w:id="4712" w:name="_Toc170120292"/>
      <w:bookmarkStart w:id="4713" w:name="_Toc175858537"/>
      <w:bookmarkStart w:id="4714" w:name="_Toc175859610"/>
      <w:bookmarkStart w:id="4715" w:name="_Toc180605900"/>
      <w:bookmarkStart w:id="4716" w:name="_Toc185517154"/>
      <w:bookmarkStart w:id="4717" w:name="_Toc191576205"/>
      <w:bookmarkStart w:id="4718" w:name="_Toc191576945"/>
      <w:bookmarkStart w:id="4719" w:name="_Toc192880015"/>
      <w:bookmarkStart w:id="4720" w:name="_Toc195814898"/>
      <w:bookmarkStart w:id="4721" w:name="_Toc199452865"/>
      <w:r>
        <w:t>5.1.3.3.3.1</w:t>
      </w:r>
      <w:r>
        <w:tab/>
        <w:t>DELETE</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59BBFE05" w14:textId="77777777" w:rsidR="00A10B25" w:rsidRDefault="00A10B25">
      <w:r>
        <w:t>This method shall support the URI query parameters specified in table 5.1.3.3.3.1-1.</w:t>
      </w:r>
    </w:p>
    <w:p w14:paraId="1C0CF324" w14:textId="77777777" w:rsidR="00A10B25" w:rsidRDefault="00A10B25">
      <w:pPr>
        <w:pStyle w:val="TH"/>
      </w:pPr>
      <w:r>
        <w:t>Table 5.1.3.3.3.1-1: URI query parameters supported by the DELETE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759AD22C" w14:textId="77777777">
        <w:trPr>
          <w:jc w:val="center"/>
        </w:trPr>
        <w:tc>
          <w:tcPr>
            <w:tcW w:w="825" w:type="pct"/>
            <w:tcBorders>
              <w:bottom w:val="single" w:sz="6" w:space="0" w:color="auto"/>
            </w:tcBorders>
            <w:shd w:val="clear" w:color="auto" w:fill="C0C0C0"/>
          </w:tcPr>
          <w:p w14:paraId="37D86014" w14:textId="77777777" w:rsidR="00A10B25" w:rsidRDefault="00A10B25">
            <w:pPr>
              <w:pStyle w:val="TAH"/>
            </w:pPr>
            <w:r>
              <w:t>Name</w:t>
            </w:r>
          </w:p>
        </w:tc>
        <w:tc>
          <w:tcPr>
            <w:tcW w:w="732" w:type="pct"/>
            <w:tcBorders>
              <w:bottom w:val="single" w:sz="6" w:space="0" w:color="auto"/>
            </w:tcBorders>
            <w:shd w:val="clear" w:color="auto" w:fill="C0C0C0"/>
          </w:tcPr>
          <w:p w14:paraId="02EABB5B" w14:textId="77777777" w:rsidR="00A10B25" w:rsidRDefault="00A10B25">
            <w:pPr>
              <w:pStyle w:val="TAH"/>
            </w:pPr>
            <w:r>
              <w:t>Data type</w:t>
            </w:r>
          </w:p>
        </w:tc>
        <w:tc>
          <w:tcPr>
            <w:tcW w:w="217" w:type="pct"/>
            <w:tcBorders>
              <w:bottom w:val="single" w:sz="6" w:space="0" w:color="auto"/>
            </w:tcBorders>
            <w:shd w:val="clear" w:color="auto" w:fill="C0C0C0"/>
          </w:tcPr>
          <w:p w14:paraId="02224E9B" w14:textId="77777777" w:rsidR="00A10B25" w:rsidRDefault="00A10B25">
            <w:pPr>
              <w:pStyle w:val="TAH"/>
            </w:pPr>
            <w:r>
              <w:t>P</w:t>
            </w:r>
          </w:p>
        </w:tc>
        <w:tc>
          <w:tcPr>
            <w:tcW w:w="581" w:type="pct"/>
            <w:tcBorders>
              <w:bottom w:val="single" w:sz="6" w:space="0" w:color="auto"/>
            </w:tcBorders>
            <w:shd w:val="clear" w:color="auto" w:fill="C0C0C0"/>
          </w:tcPr>
          <w:p w14:paraId="792E3ACB"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7D926E35" w14:textId="77777777" w:rsidR="00A10B25" w:rsidRDefault="00A10B25">
            <w:pPr>
              <w:pStyle w:val="TAH"/>
            </w:pPr>
            <w:r>
              <w:t>Description</w:t>
            </w:r>
          </w:p>
        </w:tc>
      </w:tr>
      <w:tr w:rsidR="00A10B25" w14:paraId="43CDA115" w14:textId="77777777">
        <w:trPr>
          <w:jc w:val="center"/>
        </w:trPr>
        <w:tc>
          <w:tcPr>
            <w:tcW w:w="825" w:type="pct"/>
            <w:tcBorders>
              <w:top w:val="single" w:sz="6" w:space="0" w:color="auto"/>
            </w:tcBorders>
          </w:tcPr>
          <w:p w14:paraId="4F7DE9FB" w14:textId="77777777" w:rsidR="00A10B25" w:rsidRDefault="00A10B25">
            <w:pPr>
              <w:pStyle w:val="TAL"/>
            </w:pPr>
            <w:r>
              <w:t>n/a</w:t>
            </w:r>
          </w:p>
        </w:tc>
        <w:tc>
          <w:tcPr>
            <w:tcW w:w="732" w:type="pct"/>
            <w:tcBorders>
              <w:top w:val="single" w:sz="6" w:space="0" w:color="auto"/>
            </w:tcBorders>
          </w:tcPr>
          <w:p w14:paraId="2C860FBC" w14:textId="77777777" w:rsidR="00A10B25" w:rsidRDefault="00A10B25">
            <w:pPr>
              <w:pStyle w:val="TAL"/>
            </w:pPr>
          </w:p>
        </w:tc>
        <w:tc>
          <w:tcPr>
            <w:tcW w:w="217" w:type="pct"/>
            <w:tcBorders>
              <w:top w:val="single" w:sz="6" w:space="0" w:color="auto"/>
            </w:tcBorders>
          </w:tcPr>
          <w:p w14:paraId="2E167910" w14:textId="77777777" w:rsidR="00A10B25" w:rsidRDefault="00A10B25">
            <w:pPr>
              <w:pStyle w:val="TAC"/>
            </w:pPr>
          </w:p>
        </w:tc>
        <w:tc>
          <w:tcPr>
            <w:tcW w:w="581" w:type="pct"/>
            <w:tcBorders>
              <w:top w:val="single" w:sz="6" w:space="0" w:color="auto"/>
            </w:tcBorders>
          </w:tcPr>
          <w:p w14:paraId="2F2F2584" w14:textId="77777777" w:rsidR="00A10B25" w:rsidRDefault="00A10B25">
            <w:pPr>
              <w:pStyle w:val="TAL"/>
            </w:pPr>
          </w:p>
        </w:tc>
        <w:tc>
          <w:tcPr>
            <w:tcW w:w="2646" w:type="pct"/>
            <w:tcBorders>
              <w:top w:val="single" w:sz="6" w:space="0" w:color="auto"/>
            </w:tcBorders>
            <w:vAlign w:val="center"/>
          </w:tcPr>
          <w:p w14:paraId="3EBF1677" w14:textId="77777777" w:rsidR="00A10B25" w:rsidRDefault="00A10B25">
            <w:pPr>
              <w:pStyle w:val="TAL"/>
            </w:pPr>
          </w:p>
        </w:tc>
      </w:tr>
    </w:tbl>
    <w:p w14:paraId="42A971E7" w14:textId="77777777" w:rsidR="00A10B25" w:rsidRDefault="00A10B25"/>
    <w:p w14:paraId="79838B7F" w14:textId="77777777" w:rsidR="00A10B25" w:rsidRDefault="00A10B25">
      <w:r>
        <w:t>This method shall support the request data structures specified in table 5.1.3.3.3.1-2 and the response data structures and response codes specified in table 5.1.3.3.3.1-3.</w:t>
      </w:r>
    </w:p>
    <w:p w14:paraId="468B8C82" w14:textId="77777777" w:rsidR="00A10B25" w:rsidRDefault="00A10B25">
      <w:pPr>
        <w:pStyle w:val="TH"/>
      </w:pPr>
      <w:r>
        <w:t>Table 5.1.3.3.3.1-2: Data structures supported by the DELETE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182B00E0" w14:textId="77777777">
        <w:trPr>
          <w:jc w:val="center"/>
        </w:trPr>
        <w:tc>
          <w:tcPr>
            <w:tcW w:w="1627" w:type="dxa"/>
            <w:tcBorders>
              <w:bottom w:val="single" w:sz="6" w:space="0" w:color="auto"/>
            </w:tcBorders>
            <w:shd w:val="clear" w:color="auto" w:fill="C0C0C0"/>
          </w:tcPr>
          <w:p w14:paraId="729A3D5A" w14:textId="77777777" w:rsidR="00A10B25" w:rsidRDefault="00A10B25">
            <w:pPr>
              <w:pStyle w:val="TAH"/>
            </w:pPr>
            <w:r>
              <w:t>Data type</w:t>
            </w:r>
          </w:p>
        </w:tc>
        <w:tc>
          <w:tcPr>
            <w:tcW w:w="425" w:type="dxa"/>
            <w:tcBorders>
              <w:bottom w:val="single" w:sz="6" w:space="0" w:color="auto"/>
            </w:tcBorders>
            <w:shd w:val="clear" w:color="auto" w:fill="C0C0C0"/>
          </w:tcPr>
          <w:p w14:paraId="223095A4" w14:textId="77777777" w:rsidR="00A10B25" w:rsidRDefault="00A10B25">
            <w:pPr>
              <w:pStyle w:val="TAH"/>
            </w:pPr>
            <w:r>
              <w:t>P</w:t>
            </w:r>
          </w:p>
        </w:tc>
        <w:tc>
          <w:tcPr>
            <w:tcW w:w="1276" w:type="dxa"/>
            <w:tcBorders>
              <w:bottom w:val="single" w:sz="6" w:space="0" w:color="auto"/>
            </w:tcBorders>
            <w:shd w:val="clear" w:color="auto" w:fill="C0C0C0"/>
          </w:tcPr>
          <w:p w14:paraId="3CE97671"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637199ED" w14:textId="77777777" w:rsidR="00A10B25" w:rsidRDefault="00A10B25">
            <w:pPr>
              <w:pStyle w:val="TAH"/>
            </w:pPr>
            <w:r>
              <w:t>Description</w:t>
            </w:r>
          </w:p>
        </w:tc>
      </w:tr>
      <w:tr w:rsidR="00A10B25" w14:paraId="70F3B9CA" w14:textId="77777777">
        <w:trPr>
          <w:jc w:val="center"/>
        </w:trPr>
        <w:tc>
          <w:tcPr>
            <w:tcW w:w="1627" w:type="dxa"/>
            <w:tcBorders>
              <w:top w:val="single" w:sz="6" w:space="0" w:color="auto"/>
            </w:tcBorders>
          </w:tcPr>
          <w:p w14:paraId="44CD5ACE" w14:textId="77777777" w:rsidR="00A10B25" w:rsidRDefault="00A10B25">
            <w:pPr>
              <w:pStyle w:val="TAL"/>
            </w:pPr>
            <w:r>
              <w:t>n/a</w:t>
            </w:r>
          </w:p>
        </w:tc>
        <w:tc>
          <w:tcPr>
            <w:tcW w:w="425" w:type="dxa"/>
            <w:tcBorders>
              <w:top w:val="single" w:sz="6" w:space="0" w:color="auto"/>
            </w:tcBorders>
          </w:tcPr>
          <w:p w14:paraId="15216AFA" w14:textId="77777777" w:rsidR="00A10B25" w:rsidRDefault="00A10B25">
            <w:pPr>
              <w:pStyle w:val="TAC"/>
            </w:pPr>
          </w:p>
        </w:tc>
        <w:tc>
          <w:tcPr>
            <w:tcW w:w="1276" w:type="dxa"/>
            <w:tcBorders>
              <w:top w:val="single" w:sz="6" w:space="0" w:color="auto"/>
            </w:tcBorders>
          </w:tcPr>
          <w:p w14:paraId="3E11C001" w14:textId="77777777" w:rsidR="00A10B25" w:rsidRDefault="00A10B25">
            <w:pPr>
              <w:pStyle w:val="TAL"/>
            </w:pPr>
          </w:p>
        </w:tc>
        <w:tc>
          <w:tcPr>
            <w:tcW w:w="6447" w:type="dxa"/>
            <w:tcBorders>
              <w:top w:val="single" w:sz="6" w:space="0" w:color="auto"/>
            </w:tcBorders>
          </w:tcPr>
          <w:p w14:paraId="49FFAF45" w14:textId="77777777" w:rsidR="00A10B25" w:rsidRDefault="00A10B25">
            <w:pPr>
              <w:pStyle w:val="TAL"/>
            </w:pPr>
          </w:p>
        </w:tc>
      </w:tr>
    </w:tbl>
    <w:p w14:paraId="512B5E69" w14:textId="77777777" w:rsidR="00A10B25" w:rsidRDefault="00A10B25"/>
    <w:p w14:paraId="07D1CEDF" w14:textId="77777777" w:rsidR="00A10B25" w:rsidRDefault="00A10B25">
      <w:pPr>
        <w:pStyle w:val="TH"/>
      </w:pPr>
      <w:bookmarkStart w:id="4722" w:name="_Toc94064224"/>
      <w:bookmarkStart w:id="4723" w:name="_Toc83233058"/>
      <w:bookmarkStart w:id="4724" w:name="_Toc120702279"/>
      <w:bookmarkStart w:id="4725" w:name="_Toc68168945"/>
      <w:bookmarkStart w:id="4726" w:name="_Toc88667556"/>
      <w:bookmarkStart w:id="4727" w:name="_Toc113031640"/>
      <w:bookmarkStart w:id="4728" w:name="_Toc112951100"/>
      <w:bookmarkStart w:id="4729" w:name="_Toc59017916"/>
      <w:bookmarkStart w:id="4730" w:name="_Toc90655841"/>
      <w:bookmarkStart w:id="4731" w:name="_Toc98233609"/>
      <w:bookmarkStart w:id="4732" w:name="_Toc51762881"/>
      <w:bookmarkStart w:id="4733" w:name="_Toc50031961"/>
      <w:bookmarkStart w:id="4734" w:name="_Toc104538978"/>
      <w:bookmarkStart w:id="4735" w:name="_Toc101244385"/>
      <w:bookmarkStart w:id="4736" w:name="_Toc85557054"/>
      <w:bookmarkStart w:id="4737" w:name="_Toc56640948"/>
      <w:bookmarkStart w:id="4738" w:name="_Toc70550612"/>
      <w:bookmarkStart w:id="4739" w:name="_Toc85552955"/>
      <w:bookmarkStart w:id="4740" w:name="_Toc114133779"/>
      <w:bookmarkStart w:id="4741" w:name="_Toc66231784"/>
      <w:r>
        <w:t>Table 5.1.3.3.3.1-3: Data structures supported by the DELETE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2"/>
        <w:gridCol w:w="1225"/>
        <w:gridCol w:w="1101"/>
        <w:gridCol w:w="5164"/>
      </w:tblGrid>
      <w:tr w:rsidR="00A10B25" w14:paraId="749595B2" w14:textId="77777777" w:rsidTr="004D166F">
        <w:trPr>
          <w:jc w:val="center"/>
        </w:trPr>
        <w:tc>
          <w:tcPr>
            <w:tcW w:w="835" w:type="pct"/>
            <w:tcBorders>
              <w:bottom w:val="single" w:sz="6" w:space="0" w:color="auto"/>
            </w:tcBorders>
            <w:shd w:val="clear" w:color="auto" w:fill="C0C0C0"/>
          </w:tcPr>
          <w:p w14:paraId="16F9E3A2" w14:textId="77777777" w:rsidR="00A10B25" w:rsidRDefault="00A10B25">
            <w:pPr>
              <w:pStyle w:val="TAH"/>
            </w:pPr>
            <w:r>
              <w:t>Data type</w:t>
            </w:r>
          </w:p>
        </w:tc>
        <w:tc>
          <w:tcPr>
            <w:tcW w:w="225" w:type="pct"/>
            <w:tcBorders>
              <w:bottom w:val="single" w:sz="6" w:space="0" w:color="auto"/>
            </w:tcBorders>
            <w:shd w:val="clear" w:color="auto" w:fill="C0C0C0"/>
          </w:tcPr>
          <w:p w14:paraId="0B9E6E2F" w14:textId="77777777" w:rsidR="00A10B25" w:rsidRDefault="00A10B25">
            <w:pPr>
              <w:pStyle w:val="TAH"/>
            </w:pPr>
            <w:r>
              <w:t>P</w:t>
            </w:r>
          </w:p>
        </w:tc>
        <w:tc>
          <w:tcPr>
            <w:tcW w:w="646" w:type="pct"/>
            <w:tcBorders>
              <w:bottom w:val="single" w:sz="6" w:space="0" w:color="auto"/>
            </w:tcBorders>
            <w:shd w:val="clear" w:color="auto" w:fill="C0C0C0"/>
          </w:tcPr>
          <w:p w14:paraId="57F5BA9E" w14:textId="77777777" w:rsidR="00A10B25" w:rsidRDefault="00A10B25">
            <w:pPr>
              <w:pStyle w:val="TAH"/>
            </w:pPr>
            <w:r>
              <w:t>Cardinality</w:t>
            </w:r>
          </w:p>
        </w:tc>
        <w:tc>
          <w:tcPr>
            <w:tcW w:w="581" w:type="pct"/>
            <w:tcBorders>
              <w:bottom w:val="single" w:sz="6" w:space="0" w:color="auto"/>
            </w:tcBorders>
            <w:shd w:val="clear" w:color="auto" w:fill="C0C0C0"/>
          </w:tcPr>
          <w:p w14:paraId="09052C6C" w14:textId="77777777" w:rsidR="00A10B25" w:rsidRDefault="00A10B25">
            <w:pPr>
              <w:pStyle w:val="TAH"/>
            </w:pPr>
            <w:r>
              <w:t>Response</w:t>
            </w:r>
          </w:p>
          <w:p w14:paraId="2685E9BA" w14:textId="77777777" w:rsidR="00A10B25" w:rsidRDefault="00A10B25">
            <w:pPr>
              <w:pStyle w:val="TAH"/>
            </w:pPr>
            <w:r>
              <w:t>codes</w:t>
            </w:r>
          </w:p>
        </w:tc>
        <w:tc>
          <w:tcPr>
            <w:tcW w:w="2712" w:type="pct"/>
            <w:tcBorders>
              <w:bottom w:val="single" w:sz="6" w:space="0" w:color="auto"/>
            </w:tcBorders>
            <w:shd w:val="clear" w:color="auto" w:fill="C0C0C0"/>
          </w:tcPr>
          <w:p w14:paraId="7A644AC6" w14:textId="77777777" w:rsidR="00A10B25" w:rsidRDefault="00A10B25">
            <w:pPr>
              <w:pStyle w:val="TAH"/>
            </w:pPr>
            <w:r>
              <w:t>Description</w:t>
            </w:r>
          </w:p>
        </w:tc>
      </w:tr>
      <w:tr w:rsidR="00A10B25" w14:paraId="198EF794" w14:textId="77777777" w:rsidTr="004D166F">
        <w:trPr>
          <w:jc w:val="center"/>
        </w:trPr>
        <w:tc>
          <w:tcPr>
            <w:tcW w:w="835" w:type="pct"/>
            <w:tcBorders>
              <w:top w:val="single" w:sz="6" w:space="0" w:color="auto"/>
            </w:tcBorders>
          </w:tcPr>
          <w:p w14:paraId="299CD2F7" w14:textId="77777777" w:rsidR="00A10B25" w:rsidRDefault="00A10B25">
            <w:pPr>
              <w:pStyle w:val="TAL"/>
            </w:pPr>
            <w:r>
              <w:t>n/a</w:t>
            </w:r>
          </w:p>
        </w:tc>
        <w:tc>
          <w:tcPr>
            <w:tcW w:w="225" w:type="pct"/>
            <w:tcBorders>
              <w:top w:val="single" w:sz="6" w:space="0" w:color="auto"/>
            </w:tcBorders>
          </w:tcPr>
          <w:p w14:paraId="0056069B" w14:textId="77777777" w:rsidR="00A10B25" w:rsidRDefault="00A10B25">
            <w:pPr>
              <w:pStyle w:val="TAC"/>
            </w:pPr>
          </w:p>
        </w:tc>
        <w:tc>
          <w:tcPr>
            <w:tcW w:w="646" w:type="pct"/>
            <w:tcBorders>
              <w:top w:val="single" w:sz="6" w:space="0" w:color="auto"/>
            </w:tcBorders>
          </w:tcPr>
          <w:p w14:paraId="7F48169C" w14:textId="77777777" w:rsidR="00A10B25" w:rsidRDefault="00A10B25">
            <w:pPr>
              <w:pStyle w:val="TAC"/>
            </w:pPr>
          </w:p>
        </w:tc>
        <w:tc>
          <w:tcPr>
            <w:tcW w:w="581" w:type="pct"/>
            <w:tcBorders>
              <w:top w:val="single" w:sz="6" w:space="0" w:color="auto"/>
            </w:tcBorders>
          </w:tcPr>
          <w:p w14:paraId="0B98689F" w14:textId="77777777" w:rsidR="00A10B25" w:rsidRDefault="00A10B25">
            <w:pPr>
              <w:pStyle w:val="TAL"/>
            </w:pPr>
            <w:r>
              <w:t>204 No Content</w:t>
            </w:r>
          </w:p>
        </w:tc>
        <w:tc>
          <w:tcPr>
            <w:tcW w:w="2712" w:type="pct"/>
            <w:tcBorders>
              <w:top w:val="single" w:sz="6" w:space="0" w:color="auto"/>
            </w:tcBorders>
          </w:tcPr>
          <w:p w14:paraId="70F246B1" w14:textId="77777777" w:rsidR="00A10B25" w:rsidRDefault="00A10B25">
            <w:pPr>
              <w:pStyle w:val="TAL"/>
            </w:pPr>
            <w:r>
              <w:t>Successful case: The Individual NWDAF Event Subscription resource matching the subscriptionId was deleted.</w:t>
            </w:r>
          </w:p>
        </w:tc>
      </w:tr>
      <w:tr w:rsidR="004D166F" w14:paraId="3BD0FF3D" w14:textId="77777777" w:rsidTr="004D166F">
        <w:trPr>
          <w:jc w:val="center"/>
        </w:trPr>
        <w:tc>
          <w:tcPr>
            <w:tcW w:w="835" w:type="pct"/>
          </w:tcPr>
          <w:p w14:paraId="1CBCA53C" w14:textId="77777777" w:rsidR="004D166F" w:rsidRDefault="004D166F" w:rsidP="004D166F">
            <w:pPr>
              <w:pStyle w:val="TAL"/>
            </w:pPr>
            <w:r>
              <w:t>RedirectResponse</w:t>
            </w:r>
          </w:p>
        </w:tc>
        <w:tc>
          <w:tcPr>
            <w:tcW w:w="225" w:type="pct"/>
          </w:tcPr>
          <w:p w14:paraId="0C1BB8AE" w14:textId="77777777" w:rsidR="004D166F" w:rsidRDefault="004D166F" w:rsidP="004D166F">
            <w:pPr>
              <w:pStyle w:val="TAC"/>
            </w:pPr>
            <w:r>
              <w:t>O</w:t>
            </w:r>
          </w:p>
        </w:tc>
        <w:tc>
          <w:tcPr>
            <w:tcW w:w="646" w:type="pct"/>
          </w:tcPr>
          <w:p w14:paraId="1E88A26F" w14:textId="77777777" w:rsidR="004D166F" w:rsidRDefault="004D166F" w:rsidP="004D166F">
            <w:pPr>
              <w:pStyle w:val="TAC"/>
            </w:pPr>
            <w:r>
              <w:t>0..1</w:t>
            </w:r>
          </w:p>
        </w:tc>
        <w:tc>
          <w:tcPr>
            <w:tcW w:w="581" w:type="pct"/>
          </w:tcPr>
          <w:p w14:paraId="7ACC5124" w14:textId="77777777" w:rsidR="004D166F" w:rsidRDefault="004D166F" w:rsidP="004D166F">
            <w:pPr>
              <w:pStyle w:val="TAL"/>
            </w:pPr>
            <w:r>
              <w:t>307 Temporary Redirect</w:t>
            </w:r>
          </w:p>
        </w:tc>
        <w:tc>
          <w:tcPr>
            <w:tcW w:w="2712" w:type="pct"/>
          </w:tcPr>
          <w:p w14:paraId="0B51C399" w14:textId="77777777" w:rsidR="004D166F" w:rsidRDefault="004D166F" w:rsidP="004D166F">
            <w:pPr>
              <w:pStyle w:val="TAL"/>
            </w:pPr>
            <w:r>
              <w:t>Temporary redirection.</w:t>
            </w:r>
          </w:p>
          <w:p w14:paraId="5AC97F40" w14:textId="77777777" w:rsidR="004D166F" w:rsidRDefault="004D166F" w:rsidP="004D166F">
            <w:pPr>
              <w:pStyle w:val="TAL"/>
            </w:pPr>
          </w:p>
          <w:p w14:paraId="7F239CB4" w14:textId="77777777" w:rsidR="004D166F" w:rsidRDefault="004D166F" w:rsidP="004D166F">
            <w:pPr>
              <w:pStyle w:val="TAL"/>
            </w:pPr>
            <w:r>
              <w:t xml:space="preserve">Applicable if the feature </w:t>
            </w:r>
            <w:r>
              <w:rPr>
                <w:lang w:eastAsia="zh-CN"/>
              </w:rPr>
              <w:t>"</w:t>
            </w:r>
            <w:r>
              <w:rPr>
                <w:rFonts w:cs="Arial"/>
                <w:szCs w:val="18"/>
              </w:rPr>
              <w:t xml:space="preserve">ES3XX" </w:t>
            </w:r>
            <w:r>
              <w:t>is supported.</w:t>
            </w:r>
          </w:p>
          <w:p w14:paraId="143F9928" w14:textId="77777777" w:rsidR="004D166F" w:rsidRDefault="004D166F" w:rsidP="004D166F">
            <w:pPr>
              <w:pStyle w:val="TAL"/>
            </w:pPr>
          </w:p>
          <w:p w14:paraId="66E35F6E" w14:textId="77777777" w:rsidR="004D166F" w:rsidRDefault="004D166F" w:rsidP="004D166F">
            <w:pPr>
              <w:pStyle w:val="TAL"/>
            </w:pPr>
            <w:r>
              <w:t>(NOTE 2)</w:t>
            </w:r>
          </w:p>
        </w:tc>
      </w:tr>
      <w:tr w:rsidR="004D166F" w14:paraId="7C55016F" w14:textId="77777777" w:rsidTr="004D166F">
        <w:trPr>
          <w:jc w:val="center"/>
        </w:trPr>
        <w:tc>
          <w:tcPr>
            <w:tcW w:w="835" w:type="pct"/>
          </w:tcPr>
          <w:p w14:paraId="5BDC9FCD" w14:textId="77777777" w:rsidR="004D166F" w:rsidRDefault="004D166F" w:rsidP="004D166F">
            <w:pPr>
              <w:pStyle w:val="TAL"/>
            </w:pPr>
            <w:r>
              <w:t>RedirectResponse</w:t>
            </w:r>
          </w:p>
        </w:tc>
        <w:tc>
          <w:tcPr>
            <w:tcW w:w="225" w:type="pct"/>
          </w:tcPr>
          <w:p w14:paraId="39EB50BE" w14:textId="77777777" w:rsidR="004D166F" w:rsidRDefault="004D166F" w:rsidP="004D166F">
            <w:pPr>
              <w:pStyle w:val="TAC"/>
            </w:pPr>
            <w:r>
              <w:t>O</w:t>
            </w:r>
          </w:p>
        </w:tc>
        <w:tc>
          <w:tcPr>
            <w:tcW w:w="646" w:type="pct"/>
          </w:tcPr>
          <w:p w14:paraId="138557A0" w14:textId="77777777" w:rsidR="004D166F" w:rsidRDefault="004D166F" w:rsidP="004D166F">
            <w:pPr>
              <w:pStyle w:val="TAC"/>
            </w:pPr>
            <w:r>
              <w:t>0..1</w:t>
            </w:r>
          </w:p>
        </w:tc>
        <w:tc>
          <w:tcPr>
            <w:tcW w:w="581" w:type="pct"/>
          </w:tcPr>
          <w:p w14:paraId="7D7F5D5A" w14:textId="77777777" w:rsidR="004D166F" w:rsidRDefault="004D166F" w:rsidP="004D166F">
            <w:pPr>
              <w:pStyle w:val="TAL"/>
            </w:pPr>
            <w:r>
              <w:t>308 Permanent Redirect</w:t>
            </w:r>
          </w:p>
        </w:tc>
        <w:tc>
          <w:tcPr>
            <w:tcW w:w="2712" w:type="pct"/>
          </w:tcPr>
          <w:p w14:paraId="1A2D49CC" w14:textId="77777777" w:rsidR="004D166F" w:rsidRDefault="004D166F" w:rsidP="004D166F">
            <w:pPr>
              <w:pStyle w:val="TAL"/>
            </w:pPr>
            <w:r>
              <w:t>Permanent redirection.</w:t>
            </w:r>
          </w:p>
          <w:p w14:paraId="5674D393" w14:textId="77777777" w:rsidR="004D166F" w:rsidRDefault="004D166F" w:rsidP="004D166F">
            <w:pPr>
              <w:pStyle w:val="TAL"/>
            </w:pPr>
          </w:p>
          <w:p w14:paraId="5AE59EA5" w14:textId="77777777" w:rsidR="004D166F" w:rsidRDefault="004D166F" w:rsidP="004D166F">
            <w:pPr>
              <w:pStyle w:val="TAL"/>
            </w:pPr>
            <w:r>
              <w:t xml:space="preserve">Applicable if the feature </w:t>
            </w:r>
            <w:r>
              <w:rPr>
                <w:lang w:eastAsia="zh-CN"/>
              </w:rPr>
              <w:t>"</w:t>
            </w:r>
            <w:r>
              <w:rPr>
                <w:rFonts w:cs="Arial"/>
                <w:szCs w:val="18"/>
              </w:rPr>
              <w:t>ES3XX"</w:t>
            </w:r>
            <w:r>
              <w:t xml:space="preserve"> is supported.</w:t>
            </w:r>
          </w:p>
          <w:p w14:paraId="3603FD87" w14:textId="77777777" w:rsidR="004D166F" w:rsidRDefault="004D166F" w:rsidP="004D166F">
            <w:pPr>
              <w:pStyle w:val="TAL"/>
            </w:pPr>
          </w:p>
          <w:p w14:paraId="5221F8DC" w14:textId="77777777" w:rsidR="004D166F" w:rsidRDefault="004D166F" w:rsidP="004D166F">
            <w:pPr>
              <w:pStyle w:val="TAL"/>
            </w:pPr>
            <w:r>
              <w:t>(NOTE 2)</w:t>
            </w:r>
          </w:p>
        </w:tc>
      </w:tr>
      <w:tr w:rsidR="00A10B25" w14:paraId="7C67E439" w14:textId="77777777">
        <w:trPr>
          <w:jc w:val="center"/>
        </w:trPr>
        <w:tc>
          <w:tcPr>
            <w:tcW w:w="5000" w:type="pct"/>
            <w:gridSpan w:val="5"/>
          </w:tcPr>
          <w:p w14:paraId="642506A5" w14:textId="77777777" w:rsidR="00A10B25" w:rsidRDefault="00A10B25">
            <w:pPr>
              <w:pStyle w:val="TAN"/>
            </w:pPr>
            <w:r>
              <w:t>NOTE 1:</w:t>
            </w:r>
            <w:r>
              <w:tab/>
              <w:t>The mandatory HTTP error status codes for the DELETE method listed in table 5.2.7.1-1 of 3GPP TS 29.500 [6] also apply.</w:t>
            </w:r>
          </w:p>
          <w:p w14:paraId="7B7CC393" w14:textId="77777777" w:rsidR="00A10B25" w:rsidRDefault="00A10B25">
            <w:pPr>
              <w:pStyle w:val="TAN"/>
            </w:pPr>
            <w:r>
              <w:t>NOTE 2:</w:t>
            </w:r>
            <w:r>
              <w:tab/>
              <w:t>The RedirectResponse data structure may be provided by an SCP (cf. clause 6.10.9.1 of 3GPP TS 29.500 [6]).</w:t>
            </w:r>
          </w:p>
        </w:tc>
      </w:tr>
    </w:tbl>
    <w:p w14:paraId="38AB486E" w14:textId="77777777" w:rsidR="00A10B25" w:rsidRDefault="00A10B25">
      <w:pPr>
        <w:rPr>
          <w:lang w:val="en-US" w:eastAsia="zh-CN"/>
        </w:rPr>
      </w:pPr>
    </w:p>
    <w:p w14:paraId="1E068931" w14:textId="77777777" w:rsidR="00A10B25" w:rsidRDefault="00A10B25">
      <w:pPr>
        <w:pStyle w:val="TH"/>
      </w:pPr>
      <w:r>
        <w:t>Table 5.1.3.3.3.1-4: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2FCB48F2" w14:textId="77777777">
        <w:trPr>
          <w:jc w:val="center"/>
        </w:trPr>
        <w:tc>
          <w:tcPr>
            <w:tcW w:w="825" w:type="pct"/>
            <w:tcBorders>
              <w:bottom w:val="single" w:sz="6" w:space="0" w:color="auto"/>
            </w:tcBorders>
            <w:shd w:val="clear" w:color="auto" w:fill="C0C0C0"/>
          </w:tcPr>
          <w:p w14:paraId="7BC9DF7C" w14:textId="77777777" w:rsidR="00A10B25" w:rsidRDefault="00A10B25">
            <w:pPr>
              <w:pStyle w:val="TAH"/>
            </w:pPr>
            <w:r>
              <w:t>Name</w:t>
            </w:r>
          </w:p>
        </w:tc>
        <w:tc>
          <w:tcPr>
            <w:tcW w:w="732" w:type="pct"/>
            <w:tcBorders>
              <w:bottom w:val="single" w:sz="6" w:space="0" w:color="auto"/>
            </w:tcBorders>
            <w:shd w:val="clear" w:color="auto" w:fill="C0C0C0"/>
          </w:tcPr>
          <w:p w14:paraId="0A8F8B37" w14:textId="77777777" w:rsidR="00A10B25" w:rsidRDefault="00A10B25">
            <w:pPr>
              <w:pStyle w:val="TAH"/>
            </w:pPr>
            <w:r>
              <w:t>Data type</w:t>
            </w:r>
          </w:p>
        </w:tc>
        <w:tc>
          <w:tcPr>
            <w:tcW w:w="217" w:type="pct"/>
            <w:tcBorders>
              <w:bottom w:val="single" w:sz="6" w:space="0" w:color="auto"/>
            </w:tcBorders>
            <w:shd w:val="clear" w:color="auto" w:fill="C0C0C0"/>
          </w:tcPr>
          <w:p w14:paraId="3FDC7780" w14:textId="77777777" w:rsidR="00A10B25" w:rsidRDefault="00A10B25">
            <w:pPr>
              <w:pStyle w:val="TAH"/>
            </w:pPr>
            <w:r>
              <w:t>P</w:t>
            </w:r>
          </w:p>
        </w:tc>
        <w:tc>
          <w:tcPr>
            <w:tcW w:w="581" w:type="pct"/>
            <w:tcBorders>
              <w:bottom w:val="single" w:sz="6" w:space="0" w:color="auto"/>
            </w:tcBorders>
            <w:shd w:val="clear" w:color="auto" w:fill="C0C0C0"/>
          </w:tcPr>
          <w:p w14:paraId="07E13E06"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67151B75" w14:textId="77777777" w:rsidR="00A10B25" w:rsidRDefault="00A10B25">
            <w:pPr>
              <w:pStyle w:val="TAH"/>
            </w:pPr>
            <w:r>
              <w:t>Description</w:t>
            </w:r>
          </w:p>
        </w:tc>
      </w:tr>
      <w:tr w:rsidR="00A10B25" w14:paraId="385DCF16" w14:textId="77777777">
        <w:trPr>
          <w:jc w:val="center"/>
        </w:trPr>
        <w:tc>
          <w:tcPr>
            <w:tcW w:w="825" w:type="pct"/>
            <w:tcBorders>
              <w:top w:val="single" w:sz="6" w:space="0" w:color="auto"/>
            </w:tcBorders>
          </w:tcPr>
          <w:p w14:paraId="24BA45E8" w14:textId="77777777" w:rsidR="00A10B25" w:rsidRDefault="00A10B25">
            <w:pPr>
              <w:pStyle w:val="TAL"/>
            </w:pPr>
            <w:r>
              <w:t>Location</w:t>
            </w:r>
          </w:p>
        </w:tc>
        <w:tc>
          <w:tcPr>
            <w:tcW w:w="732" w:type="pct"/>
            <w:tcBorders>
              <w:top w:val="single" w:sz="6" w:space="0" w:color="auto"/>
            </w:tcBorders>
          </w:tcPr>
          <w:p w14:paraId="19188E87" w14:textId="77777777" w:rsidR="00A10B25" w:rsidRDefault="00A10B25">
            <w:pPr>
              <w:pStyle w:val="TAL"/>
            </w:pPr>
            <w:r>
              <w:t>string</w:t>
            </w:r>
          </w:p>
        </w:tc>
        <w:tc>
          <w:tcPr>
            <w:tcW w:w="217" w:type="pct"/>
            <w:tcBorders>
              <w:top w:val="single" w:sz="6" w:space="0" w:color="auto"/>
            </w:tcBorders>
          </w:tcPr>
          <w:p w14:paraId="5E20A230" w14:textId="77777777" w:rsidR="00A10B25" w:rsidRDefault="00A10B25">
            <w:pPr>
              <w:pStyle w:val="TAC"/>
            </w:pPr>
            <w:r>
              <w:t>M</w:t>
            </w:r>
          </w:p>
        </w:tc>
        <w:tc>
          <w:tcPr>
            <w:tcW w:w="581" w:type="pct"/>
            <w:tcBorders>
              <w:top w:val="single" w:sz="6" w:space="0" w:color="auto"/>
            </w:tcBorders>
          </w:tcPr>
          <w:p w14:paraId="24FB00C7" w14:textId="77777777" w:rsidR="00A10B25" w:rsidRDefault="00A10B25">
            <w:pPr>
              <w:pStyle w:val="TAL"/>
            </w:pPr>
            <w:r>
              <w:t>1</w:t>
            </w:r>
          </w:p>
        </w:tc>
        <w:tc>
          <w:tcPr>
            <w:tcW w:w="2645" w:type="pct"/>
            <w:tcBorders>
              <w:top w:val="single" w:sz="6" w:space="0" w:color="auto"/>
            </w:tcBorders>
            <w:vAlign w:val="center"/>
          </w:tcPr>
          <w:p w14:paraId="4C599700" w14:textId="77777777" w:rsidR="00A10B25" w:rsidRDefault="00A10B25">
            <w:pPr>
              <w:pStyle w:val="TAL"/>
            </w:pPr>
            <w:r>
              <w:t>Contains an alternative URI of the resource located in an alternative NWDAF (service) instance</w:t>
            </w:r>
            <w:r>
              <w:rPr>
                <w:lang w:eastAsia="fr-FR"/>
              </w:rPr>
              <w:t xml:space="preserve"> towards which the request is redirected</w:t>
            </w:r>
            <w:r>
              <w:t>.</w:t>
            </w:r>
          </w:p>
          <w:p w14:paraId="2402CA7F" w14:textId="77777777" w:rsidR="00A10B25" w:rsidRDefault="00A10B25">
            <w:pPr>
              <w:pStyle w:val="TAL"/>
            </w:pPr>
          </w:p>
          <w:p w14:paraId="1A1F2868" w14:textId="77777777" w:rsidR="00A10B25" w:rsidRDefault="00A10B25">
            <w:pPr>
              <w:pStyle w:val="TAL"/>
            </w:pPr>
            <w:r>
              <w:t>For the case where the request is redirected to the same target via a different SCP, refer to clause 6.10.9.1 of 3GPP TS 29.500 [6].</w:t>
            </w:r>
          </w:p>
        </w:tc>
      </w:tr>
      <w:tr w:rsidR="00A10B25" w14:paraId="03662F85" w14:textId="77777777">
        <w:trPr>
          <w:jc w:val="center"/>
        </w:trPr>
        <w:tc>
          <w:tcPr>
            <w:tcW w:w="825" w:type="pct"/>
          </w:tcPr>
          <w:p w14:paraId="01DE4667" w14:textId="77777777" w:rsidR="00A10B25" w:rsidRDefault="00A10B25">
            <w:pPr>
              <w:pStyle w:val="TAL"/>
            </w:pPr>
            <w:r>
              <w:rPr>
                <w:lang w:eastAsia="zh-CN"/>
              </w:rPr>
              <w:t>3gpp-Sbi-Target-Nf-Id</w:t>
            </w:r>
          </w:p>
        </w:tc>
        <w:tc>
          <w:tcPr>
            <w:tcW w:w="732" w:type="pct"/>
          </w:tcPr>
          <w:p w14:paraId="473F94DD" w14:textId="77777777" w:rsidR="00A10B25" w:rsidRDefault="00A10B25">
            <w:pPr>
              <w:pStyle w:val="TAL"/>
            </w:pPr>
            <w:r>
              <w:rPr>
                <w:lang w:eastAsia="fr-FR"/>
              </w:rPr>
              <w:t>string</w:t>
            </w:r>
          </w:p>
        </w:tc>
        <w:tc>
          <w:tcPr>
            <w:tcW w:w="217" w:type="pct"/>
          </w:tcPr>
          <w:p w14:paraId="6D3ECC02" w14:textId="77777777" w:rsidR="00A10B25" w:rsidRDefault="00A10B25">
            <w:pPr>
              <w:pStyle w:val="TAC"/>
            </w:pPr>
            <w:r>
              <w:rPr>
                <w:lang w:eastAsia="fr-FR"/>
              </w:rPr>
              <w:t>O</w:t>
            </w:r>
          </w:p>
        </w:tc>
        <w:tc>
          <w:tcPr>
            <w:tcW w:w="581" w:type="pct"/>
          </w:tcPr>
          <w:p w14:paraId="1D2564E3" w14:textId="77777777" w:rsidR="00A10B25" w:rsidRDefault="00A10B25">
            <w:pPr>
              <w:pStyle w:val="TAL"/>
            </w:pPr>
            <w:r>
              <w:rPr>
                <w:lang w:eastAsia="fr-FR"/>
              </w:rPr>
              <w:t>0..1</w:t>
            </w:r>
          </w:p>
        </w:tc>
        <w:tc>
          <w:tcPr>
            <w:tcW w:w="2645" w:type="pct"/>
            <w:vAlign w:val="center"/>
          </w:tcPr>
          <w:p w14:paraId="3E9C0B31" w14:textId="77777777" w:rsidR="00A10B25" w:rsidRDefault="00A10B25">
            <w:pPr>
              <w:pStyle w:val="TAL"/>
            </w:pPr>
            <w:r>
              <w:rPr>
                <w:lang w:eastAsia="fr-FR"/>
              </w:rPr>
              <w:t>Identifier of the target NWDAF (service) instance towards which the request is redirected.</w:t>
            </w:r>
          </w:p>
        </w:tc>
      </w:tr>
    </w:tbl>
    <w:p w14:paraId="0239B732" w14:textId="77777777" w:rsidR="00A10B25" w:rsidRDefault="00A10B25"/>
    <w:p w14:paraId="7B359D47" w14:textId="77777777" w:rsidR="00A10B25" w:rsidRDefault="00A10B25">
      <w:pPr>
        <w:pStyle w:val="TH"/>
      </w:pPr>
      <w:r>
        <w:t>Table 5.1.3.3.3.1-5: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4CE8AE2" w14:textId="77777777">
        <w:trPr>
          <w:jc w:val="center"/>
        </w:trPr>
        <w:tc>
          <w:tcPr>
            <w:tcW w:w="825" w:type="pct"/>
            <w:tcBorders>
              <w:bottom w:val="single" w:sz="6" w:space="0" w:color="auto"/>
            </w:tcBorders>
            <w:shd w:val="clear" w:color="auto" w:fill="C0C0C0"/>
          </w:tcPr>
          <w:p w14:paraId="52DF9BC3" w14:textId="77777777" w:rsidR="00A10B25" w:rsidRDefault="00A10B25">
            <w:pPr>
              <w:pStyle w:val="TAH"/>
            </w:pPr>
            <w:r>
              <w:t>Name</w:t>
            </w:r>
          </w:p>
        </w:tc>
        <w:tc>
          <w:tcPr>
            <w:tcW w:w="732" w:type="pct"/>
            <w:tcBorders>
              <w:bottom w:val="single" w:sz="6" w:space="0" w:color="auto"/>
            </w:tcBorders>
            <w:shd w:val="clear" w:color="auto" w:fill="C0C0C0"/>
          </w:tcPr>
          <w:p w14:paraId="6767790E" w14:textId="77777777" w:rsidR="00A10B25" w:rsidRDefault="00A10B25">
            <w:pPr>
              <w:pStyle w:val="TAH"/>
            </w:pPr>
            <w:r>
              <w:t>Data type</w:t>
            </w:r>
          </w:p>
        </w:tc>
        <w:tc>
          <w:tcPr>
            <w:tcW w:w="217" w:type="pct"/>
            <w:tcBorders>
              <w:bottom w:val="single" w:sz="6" w:space="0" w:color="auto"/>
            </w:tcBorders>
            <w:shd w:val="clear" w:color="auto" w:fill="C0C0C0"/>
          </w:tcPr>
          <w:p w14:paraId="079BF989" w14:textId="77777777" w:rsidR="00A10B25" w:rsidRDefault="00A10B25">
            <w:pPr>
              <w:pStyle w:val="TAH"/>
            </w:pPr>
            <w:r>
              <w:t>P</w:t>
            </w:r>
          </w:p>
        </w:tc>
        <w:tc>
          <w:tcPr>
            <w:tcW w:w="581" w:type="pct"/>
            <w:tcBorders>
              <w:bottom w:val="single" w:sz="6" w:space="0" w:color="auto"/>
            </w:tcBorders>
            <w:shd w:val="clear" w:color="auto" w:fill="C0C0C0"/>
          </w:tcPr>
          <w:p w14:paraId="05C0C262"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4EEDD343" w14:textId="77777777" w:rsidR="00A10B25" w:rsidRDefault="00A10B25">
            <w:pPr>
              <w:pStyle w:val="TAH"/>
            </w:pPr>
            <w:r>
              <w:t>Description</w:t>
            </w:r>
          </w:p>
        </w:tc>
      </w:tr>
      <w:tr w:rsidR="00A10B25" w14:paraId="603B951B" w14:textId="77777777">
        <w:trPr>
          <w:jc w:val="center"/>
        </w:trPr>
        <w:tc>
          <w:tcPr>
            <w:tcW w:w="825" w:type="pct"/>
            <w:tcBorders>
              <w:top w:val="single" w:sz="6" w:space="0" w:color="auto"/>
            </w:tcBorders>
          </w:tcPr>
          <w:p w14:paraId="52B2B5E6" w14:textId="77777777" w:rsidR="00A10B25" w:rsidRDefault="00A10B25">
            <w:pPr>
              <w:pStyle w:val="TAL"/>
            </w:pPr>
            <w:r>
              <w:t>Location</w:t>
            </w:r>
          </w:p>
        </w:tc>
        <w:tc>
          <w:tcPr>
            <w:tcW w:w="732" w:type="pct"/>
            <w:tcBorders>
              <w:top w:val="single" w:sz="6" w:space="0" w:color="auto"/>
            </w:tcBorders>
          </w:tcPr>
          <w:p w14:paraId="2CF9226E" w14:textId="77777777" w:rsidR="00A10B25" w:rsidRDefault="00A10B25">
            <w:pPr>
              <w:pStyle w:val="TAL"/>
            </w:pPr>
            <w:r>
              <w:t>string</w:t>
            </w:r>
          </w:p>
        </w:tc>
        <w:tc>
          <w:tcPr>
            <w:tcW w:w="217" w:type="pct"/>
            <w:tcBorders>
              <w:top w:val="single" w:sz="6" w:space="0" w:color="auto"/>
            </w:tcBorders>
          </w:tcPr>
          <w:p w14:paraId="6CAAA2AF" w14:textId="77777777" w:rsidR="00A10B25" w:rsidRDefault="00A10B25">
            <w:pPr>
              <w:pStyle w:val="TAC"/>
            </w:pPr>
            <w:r>
              <w:t>M</w:t>
            </w:r>
          </w:p>
        </w:tc>
        <w:tc>
          <w:tcPr>
            <w:tcW w:w="581" w:type="pct"/>
            <w:tcBorders>
              <w:top w:val="single" w:sz="6" w:space="0" w:color="auto"/>
            </w:tcBorders>
          </w:tcPr>
          <w:p w14:paraId="693013C6" w14:textId="77777777" w:rsidR="00A10B25" w:rsidRDefault="00A10B25">
            <w:pPr>
              <w:pStyle w:val="TAL"/>
            </w:pPr>
            <w:r>
              <w:t>1</w:t>
            </w:r>
          </w:p>
        </w:tc>
        <w:tc>
          <w:tcPr>
            <w:tcW w:w="2645" w:type="pct"/>
            <w:tcBorders>
              <w:top w:val="single" w:sz="6" w:space="0" w:color="auto"/>
            </w:tcBorders>
            <w:vAlign w:val="center"/>
          </w:tcPr>
          <w:p w14:paraId="74738B09" w14:textId="77777777" w:rsidR="00A10B25" w:rsidRDefault="00A10B25">
            <w:pPr>
              <w:pStyle w:val="TAL"/>
            </w:pPr>
            <w:r>
              <w:t>Contains an alternative URI of the resource located in an alternative NWDAF (service) instance</w:t>
            </w:r>
            <w:r>
              <w:rPr>
                <w:lang w:eastAsia="fr-FR"/>
              </w:rPr>
              <w:t xml:space="preserve"> towards which the request is redirected</w:t>
            </w:r>
            <w:r>
              <w:t>.</w:t>
            </w:r>
          </w:p>
          <w:p w14:paraId="0FA9DEFE" w14:textId="77777777" w:rsidR="00A10B25" w:rsidRDefault="00A10B25">
            <w:pPr>
              <w:pStyle w:val="TAL"/>
            </w:pPr>
          </w:p>
          <w:p w14:paraId="02DC8088" w14:textId="77777777" w:rsidR="00A10B25" w:rsidRDefault="00A10B25">
            <w:pPr>
              <w:pStyle w:val="TAL"/>
            </w:pPr>
            <w:r>
              <w:t>For the case where the request is redirected to the same target via a different SCP, refer to clause 6.10.9.1 of 3GPP TS 29.500 [6].</w:t>
            </w:r>
          </w:p>
        </w:tc>
      </w:tr>
      <w:tr w:rsidR="00A10B25" w14:paraId="5026B90F" w14:textId="77777777">
        <w:trPr>
          <w:jc w:val="center"/>
        </w:trPr>
        <w:tc>
          <w:tcPr>
            <w:tcW w:w="825" w:type="pct"/>
          </w:tcPr>
          <w:p w14:paraId="68D41363" w14:textId="77777777" w:rsidR="00A10B25" w:rsidRDefault="00A10B25">
            <w:pPr>
              <w:pStyle w:val="TAL"/>
            </w:pPr>
            <w:r>
              <w:rPr>
                <w:lang w:eastAsia="zh-CN"/>
              </w:rPr>
              <w:t>3gpp-Sbi-Target-Nf-Id</w:t>
            </w:r>
          </w:p>
        </w:tc>
        <w:tc>
          <w:tcPr>
            <w:tcW w:w="732" w:type="pct"/>
          </w:tcPr>
          <w:p w14:paraId="2AF8A0FF" w14:textId="77777777" w:rsidR="00A10B25" w:rsidRDefault="00A10B25">
            <w:pPr>
              <w:pStyle w:val="TAL"/>
            </w:pPr>
            <w:r>
              <w:rPr>
                <w:lang w:eastAsia="fr-FR"/>
              </w:rPr>
              <w:t>string</w:t>
            </w:r>
          </w:p>
        </w:tc>
        <w:tc>
          <w:tcPr>
            <w:tcW w:w="217" w:type="pct"/>
          </w:tcPr>
          <w:p w14:paraId="1F451CEC" w14:textId="77777777" w:rsidR="00A10B25" w:rsidRDefault="00A10B25">
            <w:pPr>
              <w:pStyle w:val="TAC"/>
            </w:pPr>
            <w:r>
              <w:rPr>
                <w:lang w:eastAsia="fr-FR"/>
              </w:rPr>
              <w:t>O</w:t>
            </w:r>
          </w:p>
        </w:tc>
        <w:tc>
          <w:tcPr>
            <w:tcW w:w="581" w:type="pct"/>
          </w:tcPr>
          <w:p w14:paraId="39734BBF" w14:textId="77777777" w:rsidR="00A10B25" w:rsidRDefault="00A10B25">
            <w:pPr>
              <w:pStyle w:val="TAL"/>
            </w:pPr>
            <w:r>
              <w:rPr>
                <w:lang w:eastAsia="fr-FR"/>
              </w:rPr>
              <w:t>0..1</w:t>
            </w:r>
          </w:p>
        </w:tc>
        <w:tc>
          <w:tcPr>
            <w:tcW w:w="2645" w:type="pct"/>
            <w:vAlign w:val="center"/>
          </w:tcPr>
          <w:p w14:paraId="172DB934" w14:textId="77777777" w:rsidR="00A10B25" w:rsidRDefault="00A10B25">
            <w:pPr>
              <w:pStyle w:val="TAL"/>
            </w:pPr>
            <w:r>
              <w:rPr>
                <w:lang w:eastAsia="fr-FR"/>
              </w:rPr>
              <w:t>Identifier of the target NWDAF (service) instance towards which the request is redirected.</w:t>
            </w:r>
          </w:p>
        </w:tc>
      </w:tr>
    </w:tbl>
    <w:p w14:paraId="789664FD" w14:textId="77777777" w:rsidR="00A10B25" w:rsidRDefault="00A10B25"/>
    <w:p w14:paraId="3CAD375F" w14:textId="77777777" w:rsidR="00A10B25" w:rsidRDefault="00A10B25">
      <w:pPr>
        <w:pStyle w:val="6"/>
      </w:pPr>
      <w:bookmarkStart w:id="4742" w:name="_Toc136562346"/>
      <w:bookmarkStart w:id="4743" w:name="_Toc138754180"/>
      <w:bookmarkStart w:id="4744" w:name="_Toc145705667"/>
      <w:bookmarkStart w:id="4745" w:name="_Toc148522571"/>
      <w:bookmarkStart w:id="4746" w:name="_Toc164920751"/>
      <w:bookmarkStart w:id="4747" w:name="_Toc170120293"/>
      <w:bookmarkStart w:id="4748" w:name="_Toc175858538"/>
      <w:bookmarkStart w:id="4749" w:name="_Toc175859611"/>
      <w:bookmarkStart w:id="4750" w:name="_Toc180605901"/>
      <w:bookmarkStart w:id="4751" w:name="_Toc185517155"/>
      <w:bookmarkStart w:id="4752" w:name="_Toc191576206"/>
      <w:bookmarkStart w:id="4753" w:name="_Toc191576946"/>
      <w:bookmarkStart w:id="4754" w:name="_Toc192880016"/>
      <w:bookmarkStart w:id="4755" w:name="_Toc195814899"/>
      <w:bookmarkStart w:id="4756" w:name="_Toc199452866"/>
      <w:r>
        <w:t>5.1.3.3.3.2</w:t>
      </w:r>
      <w:r>
        <w:tab/>
        <w:t>PUT</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C31FBEB" w14:textId="77777777" w:rsidR="00A10B25" w:rsidRDefault="00A10B25">
      <w:pPr>
        <w:rPr>
          <w:rFonts w:eastAsia="等线"/>
        </w:rPr>
      </w:pPr>
      <w:r>
        <w:rPr>
          <w:rFonts w:eastAsia="等线"/>
        </w:rPr>
        <w:t>This method shall support the URI query parameters specified in table 5.1.3.3.3.2-1.</w:t>
      </w:r>
    </w:p>
    <w:p w14:paraId="049A605C" w14:textId="77777777" w:rsidR="00A10B25" w:rsidRDefault="00A10B25">
      <w:pPr>
        <w:pStyle w:val="TH"/>
        <w:rPr>
          <w:rFonts w:cs="Arial"/>
        </w:rPr>
      </w:pPr>
      <w:r>
        <w:t>Table 5.1.3.3.3.2-1: URI query parameters supported by the PUT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8E32FC9" w14:textId="77777777">
        <w:trPr>
          <w:jc w:val="center"/>
        </w:trPr>
        <w:tc>
          <w:tcPr>
            <w:tcW w:w="825" w:type="pct"/>
            <w:tcBorders>
              <w:bottom w:val="single" w:sz="6" w:space="0" w:color="auto"/>
            </w:tcBorders>
            <w:shd w:val="clear" w:color="auto" w:fill="C0C0C0"/>
          </w:tcPr>
          <w:p w14:paraId="316F51CF" w14:textId="77777777" w:rsidR="00A10B25" w:rsidRDefault="00A10B25">
            <w:pPr>
              <w:pStyle w:val="TAH"/>
            </w:pPr>
            <w:r>
              <w:t>Name</w:t>
            </w:r>
          </w:p>
        </w:tc>
        <w:tc>
          <w:tcPr>
            <w:tcW w:w="732" w:type="pct"/>
            <w:tcBorders>
              <w:bottom w:val="single" w:sz="6" w:space="0" w:color="auto"/>
            </w:tcBorders>
            <w:shd w:val="clear" w:color="auto" w:fill="C0C0C0"/>
          </w:tcPr>
          <w:p w14:paraId="16A2485F" w14:textId="77777777" w:rsidR="00A10B25" w:rsidRDefault="00A10B25">
            <w:pPr>
              <w:pStyle w:val="TAH"/>
            </w:pPr>
            <w:r>
              <w:t>Data type</w:t>
            </w:r>
          </w:p>
        </w:tc>
        <w:tc>
          <w:tcPr>
            <w:tcW w:w="217" w:type="pct"/>
            <w:tcBorders>
              <w:bottom w:val="single" w:sz="6" w:space="0" w:color="auto"/>
            </w:tcBorders>
            <w:shd w:val="clear" w:color="auto" w:fill="C0C0C0"/>
          </w:tcPr>
          <w:p w14:paraId="6ABF13A4" w14:textId="77777777" w:rsidR="00A10B25" w:rsidRDefault="00A10B25">
            <w:pPr>
              <w:pStyle w:val="TAH"/>
            </w:pPr>
            <w:r>
              <w:t>P</w:t>
            </w:r>
          </w:p>
        </w:tc>
        <w:tc>
          <w:tcPr>
            <w:tcW w:w="581" w:type="pct"/>
            <w:tcBorders>
              <w:bottom w:val="single" w:sz="6" w:space="0" w:color="auto"/>
            </w:tcBorders>
            <w:shd w:val="clear" w:color="auto" w:fill="C0C0C0"/>
          </w:tcPr>
          <w:p w14:paraId="3F615E15"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15632DDD" w14:textId="77777777" w:rsidR="00A10B25" w:rsidRDefault="00A10B25">
            <w:pPr>
              <w:pStyle w:val="TAH"/>
            </w:pPr>
            <w:r>
              <w:t>Description</w:t>
            </w:r>
          </w:p>
        </w:tc>
      </w:tr>
      <w:tr w:rsidR="00A10B25" w14:paraId="7E7DEFA2" w14:textId="77777777">
        <w:trPr>
          <w:jc w:val="center"/>
        </w:trPr>
        <w:tc>
          <w:tcPr>
            <w:tcW w:w="825" w:type="pct"/>
            <w:tcBorders>
              <w:top w:val="single" w:sz="6" w:space="0" w:color="auto"/>
            </w:tcBorders>
          </w:tcPr>
          <w:p w14:paraId="5EACE3D8" w14:textId="77777777" w:rsidR="00A10B25" w:rsidRDefault="00A10B25">
            <w:pPr>
              <w:pStyle w:val="TAL"/>
            </w:pPr>
            <w:r>
              <w:t>n/a</w:t>
            </w:r>
          </w:p>
        </w:tc>
        <w:tc>
          <w:tcPr>
            <w:tcW w:w="732" w:type="pct"/>
            <w:tcBorders>
              <w:top w:val="single" w:sz="6" w:space="0" w:color="auto"/>
            </w:tcBorders>
          </w:tcPr>
          <w:p w14:paraId="29ADCDA8" w14:textId="77777777" w:rsidR="00A10B25" w:rsidRDefault="00A10B25">
            <w:pPr>
              <w:pStyle w:val="TAL"/>
            </w:pPr>
          </w:p>
        </w:tc>
        <w:tc>
          <w:tcPr>
            <w:tcW w:w="217" w:type="pct"/>
            <w:tcBorders>
              <w:top w:val="single" w:sz="6" w:space="0" w:color="auto"/>
            </w:tcBorders>
          </w:tcPr>
          <w:p w14:paraId="0BB766FF" w14:textId="77777777" w:rsidR="00A10B25" w:rsidRDefault="00A10B25">
            <w:pPr>
              <w:pStyle w:val="TAC"/>
            </w:pPr>
          </w:p>
        </w:tc>
        <w:tc>
          <w:tcPr>
            <w:tcW w:w="581" w:type="pct"/>
            <w:tcBorders>
              <w:top w:val="single" w:sz="6" w:space="0" w:color="auto"/>
            </w:tcBorders>
          </w:tcPr>
          <w:p w14:paraId="15F70A9F" w14:textId="77777777" w:rsidR="00A10B25" w:rsidRDefault="00A10B25">
            <w:pPr>
              <w:pStyle w:val="TAL"/>
            </w:pPr>
          </w:p>
        </w:tc>
        <w:tc>
          <w:tcPr>
            <w:tcW w:w="2646" w:type="pct"/>
            <w:tcBorders>
              <w:top w:val="single" w:sz="6" w:space="0" w:color="auto"/>
            </w:tcBorders>
            <w:vAlign w:val="center"/>
          </w:tcPr>
          <w:p w14:paraId="415F4244" w14:textId="77777777" w:rsidR="00A10B25" w:rsidRDefault="00A10B25">
            <w:pPr>
              <w:pStyle w:val="TAL"/>
            </w:pPr>
          </w:p>
        </w:tc>
      </w:tr>
    </w:tbl>
    <w:p w14:paraId="405F1E40" w14:textId="77777777" w:rsidR="00A10B25" w:rsidRDefault="00A10B25">
      <w:pPr>
        <w:rPr>
          <w:rFonts w:eastAsia="等线"/>
        </w:rPr>
      </w:pPr>
    </w:p>
    <w:p w14:paraId="1C185598" w14:textId="77777777" w:rsidR="00A10B25" w:rsidRDefault="00A10B25">
      <w:pPr>
        <w:rPr>
          <w:rFonts w:eastAsia="等线"/>
        </w:rPr>
      </w:pPr>
      <w:r>
        <w:rPr>
          <w:rFonts w:eastAsia="等线"/>
        </w:rPr>
        <w:t>This method shall support the request data structures specified in table 5.1.3.3.3.2-2 and the response data structures and response codes specified in table 5.1.3.3.3.2-3.</w:t>
      </w:r>
    </w:p>
    <w:p w14:paraId="6C98619D" w14:textId="77777777" w:rsidR="00A10B25" w:rsidRDefault="00A10B25">
      <w:pPr>
        <w:pStyle w:val="TH"/>
      </w:pPr>
      <w:r>
        <w:t>Table 5.1.3.3.3.2-2: Data structures supported by the PUT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29969239" w14:textId="77777777">
        <w:trPr>
          <w:jc w:val="center"/>
        </w:trPr>
        <w:tc>
          <w:tcPr>
            <w:tcW w:w="2539" w:type="dxa"/>
            <w:tcBorders>
              <w:bottom w:val="single" w:sz="6" w:space="0" w:color="auto"/>
            </w:tcBorders>
            <w:shd w:val="clear" w:color="auto" w:fill="C0C0C0"/>
          </w:tcPr>
          <w:p w14:paraId="2CE5A31F" w14:textId="77777777" w:rsidR="00A10B25" w:rsidRDefault="00A10B25">
            <w:pPr>
              <w:pStyle w:val="TAH"/>
            </w:pPr>
            <w:r>
              <w:t>Data type</w:t>
            </w:r>
          </w:p>
        </w:tc>
        <w:tc>
          <w:tcPr>
            <w:tcW w:w="450" w:type="dxa"/>
            <w:tcBorders>
              <w:bottom w:val="single" w:sz="6" w:space="0" w:color="auto"/>
            </w:tcBorders>
            <w:shd w:val="clear" w:color="auto" w:fill="C0C0C0"/>
          </w:tcPr>
          <w:p w14:paraId="00AFA313" w14:textId="77777777" w:rsidR="00A10B25" w:rsidRDefault="00A10B25">
            <w:pPr>
              <w:pStyle w:val="TAH"/>
            </w:pPr>
            <w:r>
              <w:t>P</w:t>
            </w:r>
          </w:p>
        </w:tc>
        <w:tc>
          <w:tcPr>
            <w:tcW w:w="1170" w:type="dxa"/>
            <w:tcBorders>
              <w:bottom w:val="single" w:sz="6" w:space="0" w:color="auto"/>
            </w:tcBorders>
            <w:shd w:val="clear" w:color="auto" w:fill="C0C0C0"/>
          </w:tcPr>
          <w:p w14:paraId="6D0FB5F7"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0EC4A910" w14:textId="77777777" w:rsidR="00A10B25" w:rsidRDefault="00A10B25">
            <w:pPr>
              <w:pStyle w:val="TAH"/>
            </w:pPr>
            <w:r>
              <w:t>Description</w:t>
            </w:r>
          </w:p>
        </w:tc>
      </w:tr>
      <w:tr w:rsidR="00A10B25" w14:paraId="3CFABCA0" w14:textId="77777777">
        <w:trPr>
          <w:jc w:val="center"/>
        </w:trPr>
        <w:tc>
          <w:tcPr>
            <w:tcW w:w="2539" w:type="dxa"/>
            <w:tcBorders>
              <w:top w:val="single" w:sz="6" w:space="0" w:color="auto"/>
            </w:tcBorders>
          </w:tcPr>
          <w:p w14:paraId="10744C28" w14:textId="77777777" w:rsidR="00A10B25" w:rsidRDefault="00A10B25">
            <w:pPr>
              <w:pStyle w:val="TAL"/>
            </w:pPr>
            <w:r>
              <w:t>NnwdafEventsSubscription</w:t>
            </w:r>
          </w:p>
        </w:tc>
        <w:tc>
          <w:tcPr>
            <w:tcW w:w="450" w:type="dxa"/>
            <w:tcBorders>
              <w:top w:val="single" w:sz="6" w:space="0" w:color="auto"/>
            </w:tcBorders>
          </w:tcPr>
          <w:p w14:paraId="589A5DE4" w14:textId="77777777" w:rsidR="00A10B25" w:rsidRDefault="00A10B25">
            <w:pPr>
              <w:pStyle w:val="TAC"/>
            </w:pPr>
            <w:r>
              <w:rPr>
                <w:rFonts w:hint="eastAsia"/>
              </w:rPr>
              <w:t>M</w:t>
            </w:r>
          </w:p>
        </w:tc>
        <w:tc>
          <w:tcPr>
            <w:tcW w:w="1170" w:type="dxa"/>
            <w:tcBorders>
              <w:top w:val="single" w:sz="6" w:space="0" w:color="auto"/>
            </w:tcBorders>
          </w:tcPr>
          <w:p w14:paraId="3510D8FB" w14:textId="77777777" w:rsidR="00A10B25" w:rsidRDefault="00A10B25">
            <w:pPr>
              <w:pStyle w:val="TAC"/>
            </w:pPr>
            <w:r>
              <w:rPr>
                <w:rFonts w:hint="eastAsia"/>
              </w:rPr>
              <w:t>1</w:t>
            </w:r>
          </w:p>
        </w:tc>
        <w:tc>
          <w:tcPr>
            <w:tcW w:w="5518" w:type="dxa"/>
            <w:tcBorders>
              <w:top w:val="single" w:sz="6" w:space="0" w:color="auto"/>
            </w:tcBorders>
          </w:tcPr>
          <w:p w14:paraId="6260F743" w14:textId="77777777" w:rsidR="00A10B25" w:rsidRDefault="00A10B25">
            <w:pPr>
              <w:pStyle w:val="TAL"/>
            </w:pPr>
            <w:r>
              <w:t>Parameters to replace a subscription to NWDAF Event Subscription resource.</w:t>
            </w:r>
          </w:p>
        </w:tc>
      </w:tr>
    </w:tbl>
    <w:p w14:paraId="7A23268E" w14:textId="77777777" w:rsidR="00A10B25" w:rsidRDefault="00A10B25">
      <w:pPr>
        <w:rPr>
          <w:rFonts w:eastAsia="等线"/>
        </w:rPr>
      </w:pPr>
    </w:p>
    <w:p w14:paraId="318B0D06" w14:textId="77777777" w:rsidR="00A10B25" w:rsidRDefault="00A10B25">
      <w:pPr>
        <w:pStyle w:val="TH"/>
      </w:pPr>
      <w:r>
        <w:t>Table 5.1.3.3.3.2-3: Data structures supported by the PUT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0"/>
        <w:gridCol w:w="442"/>
        <w:gridCol w:w="1243"/>
        <w:gridCol w:w="1685"/>
        <w:gridCol w:w="3659"/>
      </w:tblGrid>
      <w:tr w:rsidR="00A10B25" w14:paraId="1E5EFCB7" w14:textId="77777777">
        <w:trPr>
          <w:jc w:val="center"/>
        </w:trPr>
        <w:tc>
          <w:tcPr>
            <w:tcW w:w="1312" w:type="pct"/>
            <w:tcBorders>
              <w:bottom w:val="single" w:sz="6" w:space="0" w:color="auto"/>
            </w:tcBorders>
            <w:shd w:val="clear" w:color="auto" w:fill="C0C0C0"/>
          </w:tcPr>
          <w:p w14:paraId="3E7F6756" w14:textId="77777777" w:rsidR="00A10B25" w:rsidRDefault="00A10B25">
            <w:pPr>
              <w:pStyle w:val="TAH"/>
            </w:pPr>
            <w:r>
              <w:t>Data type</w:t>
            </w:r>
          </w:p>
        </w:tc>
        <w:tc>
          <w:tcPr>
            <w:tcW w:w="232" w:type="pct"/>
            <w:tcBorders>
              <w:bottom w:val="single" w:sz="6" w:space="0" w:color="auto"/>
            </w:tcBorders>
            <w:shd w:val="clear" w:color="auto" w:fill="C0C0C0"/>
          </w:tcPr>
          <w:p w14:paraId="38AC2503" w14:textId="77777777" w:rsidR="00A10B25" w:rsidRDefault="00A10B25">
            <w:pPr>
              <w:pStyle w:val="TAH"/>
            </w:pPr>
            <w:r>
              <w:t>P</w:t>
            </w:r>
          </w:p>
        </w:tc>
        <w:tc>
          <w:tcPr>
            <w:tcW w:w="652" w:type="pct"/>
            <w:tcBorders>
              <w:bottom w:val="single" w:sz="6" w:space="0" w:color="auto"/>
            </w:tcBorders>
            <w:shd w:val="clear" w:color="auto" w:fill="C0C0C0"/>
          </w:tcPr>
          <w:p w14:paraId="3F14A49A" w14:textId="77777777" w:rsidR="00A10B25" w:rsidRDefault="00A10B25">
            <w:pPr>
              <w:pStyle w:val="TAH"/>
            </w:pPr>
            <w:r>
              <w:t>Cardinality</w:t>
            </w:r>
          </w:p>
        </w:tc>
        <w:tc>
          <w:tcPr>
            <w:tcW w:w="884" w:type="pct"/>
            <w:tcBorders>
              <w:bottom w:val="single" w:sz="6" w:space="0" w:color="auto"/>
            </w:tcBorders>
            <w:shd w:val="clear" w:color="auto" w:fill="C0C0C0"/>
          </w:tcPr>
          <w:p w14:paraId="15FB90D9" w14:textId="77777777" w:rsidR="00A10B25" w:rsidRDefault="00A10B25">
            <w:pPr>
              <w:pStyle w:val="TAH"/>
            </w:pPr>
            <w:r>
              <w:t>Response codes</w:t>
            </w:r>
          </w:p>
        </w:tc>
        <w:tc>
          <w:tcPr>
            <w:tcW w:w="1920" w:type="pct"/>
            <w:tcBorders>
              <w:bottom w:val="single" w:sz="6" w:space="0" w:color="auto"/>
            </w:tcBorders>
            <w:shd w:val="clear" w:color="auto" w:fill="C0C0C0"/>
          </w:tcPr>
          <w:p w14:paraId="6EF093B2" w14:textId="77777777" w:rsidR="00A10B25" w:rsidRDefault="00A10B25">
            <w:pPr>
              <w:pStyle w:val="TAH"/>
            </w:pPr>
            <w:r>
              <w:t>Description</w:t>
            </w:r>
          </w:p>
        </w:tc>
      </w:tr>
      <w:tr w:rsidR="00A10B25" w14:paraId="0C9D58E8" w14:textId="77777777">
        <w:trPr>
          <w:jc w:val="center"/>
        </w:trPr>
        <w:tc>
          <w:tcPr>
            <w:tcW w:w="1312" w:type="pct"/>
            <w:tcBorders>
              <w:top w:val="single" w:sz="6" w:space="0" w:color="auto"/>
            </w:tcBorders>
          </w:tcPr>
          <w:p w14:paraId="3D11C56F" w14:textId="77777777" w:rsidR="00A10B25" w:rsidRDefault="00A10B25">
            <w:pPr>
              <w:pStyle w:val="TAL"/>
            </w:pPr>
            <w:r>
              <w:t>NnwdafEventsSubscription</w:t>
            </w:r>
          </w:p>
        </w:tc>
        <w:tc>
          <w:tcPr>
            <w:tcW w:w="232" w:type="pct"/>
            <w:tcBorders>
              <w:top w:val="single" w:sz="6" w:space="0" w:color="auto"/>
            </w:tcBorders>
          </w:tcPr>
          <w:p w14:paraId="6DCFFBB4" w14:textId="77777777" w:rsidR="00A10B25" w:rsidRDefault="00A10B25">
            <w:pPr>
              <w:pStyle w:val="TAC"/>
            </w:pPr>
            <w:r>
              <w:t>M</w:t>
            </w:r>
          </w:p>
        </w:tc>
        <w:tc>
          <w:tcPr>
            <w:tcW w:w="652" w:type="pct"/>
            <w:tcBorders>
              <w:top w:val="single" w:sz="6" w:space="0" w:color="auto"/>
            </w:tcBorders>
          </w:tcPr>
          <w:p w14:paraId="5EF81410" w14:textId="77777777" w:rsidR="00A10B25" w:rsidRDefault="00A10B25">
            <w:pPr>
              <w:pStyle w:val="TAC"/>
            </w:pPr>
            <w:r>
              <w:t>1</w:t>
            </w:r>
          </w:p>
        </w:tc>
        <w:tc>
          <w:tcPr>
            <w:tcW w:w="884" w:type="pct"/>
            <w:tcBorders>
              <w:top w:val="single" w:sz="6" w:space="0" w:color="auto"/>
            </w:tcBorders>
          </w:tcPr>
          <w:p w14:paraId="6E268466" w14:textId="77777777" w:rsidR="00A10B25" w:rsidRDefault="00A10B25">
            <w:pPr>
              <w:pStyle w:val="TAL"/>
            </w:pPr>
            <w:r>
              <w:rPr>
                <w:rFonts w:hint="eastAsia"/>
              </w:rPr>
              <w:t>20</w:t>
            </w:r>
            <w:r>
              <w:t>0 OK</w:t>
            </w:r>
          </w:p>
        </w:tc>
        <w:tc>
          <w:tcPr>
            <w:tcW w:w="1920" w:type="pct"/>
            <w:tcBorders>
              <w:top w:val="single" w:sz="6" w:space="0" w:color="auto"/>
            </w:tcBorders>
          </w:tcPr>
          <w:p w14:paraId="56B22E0C" w14:textId="77777777" w:rsidR="00A10B25" w:rsidRDefault="00A10B25">
            <w:pPr>
              <w:pStyle w:val="TAL"/>
            </w:pPr>
            <w:r>
              <w:t>The Individual NWDAF Event Subscription resource was modified successfully and a representation of that resource is returned.</w:t>
            </w:r>
          </w:p>
        </w:tc>
      </w:tr>
      <w:tr w:rsidR="00A10B25" w14:paraId="2508726F" w14:textId="77777777">
        <w:trPr>
          <w:jc w:val="center"/>
        </w:trPr>
        <w:tc>
          <w:tcPr>
            <w:tcW w:w="1312" w:type="pct"/>
          </w:tcPr>
          <w:p w14:paraId="0B6867E5" w14:textId="77777777" w:rsidR="00A10B25" w:rsidRDefault="00A10B25">
            <w:pPr>
              <w:pStyle w:val="TAL"/>
              <w:rPr>
                <w:rFonts w:eastAsia="等线" w:hint="eastAsia"/>
                <w:lang w:eastAsia="zh-CN"/>
              </w:rPr>
            </w:pPr>
            <w:r>
              <w:rPr>
                <w:rFonts w:eastAsia="等线" w:hint="eastAsia"/>
                <w:lang w:eastAsia="zh-CN"/>
              </w:rPr>
              <w:t>n</w:t>
            </w:r>
            <w:r>
              <w:rPr>
                <w:rFonts w:eastAsia="等线"/>
                <w:lang w:eastAsia="zh-CN"/>
              </w:rPr>
              <w:t>/a</w:t>
            </w:r>
          </w:p>
        </w:tc>
        <w:tc>
          <w:tcPr>
            <w:tcW w:w="232" w:type="pct"/>
          </w:tcPr>
          <w:p w14:paraId="3F6664BA" w14:textId="77777777" w:rsidR="00A10B25" w:rsidRDefault="00A10B25">
            <w:pPr>
              <w:pStyle w:val="TAC"/>
            </w:pPr>
          </w:p>
        </w:tc>
        <w:tc>
          <w:tcPr>
            <w:tcW w:w="652" w:type="pct"/>
          </w:tcPr>
          <w:p w14:paraId="563317AC" w14:textId="77777777" w:rsidR="00A10B25" w:rsidRDefault="00A10B25">
            <w:pPr>
              <w:pStyle w:val="TAC"/>
            </w:pPr>
          </w:p>
        </w:tc>
        <w:tc>
          <w:tcPr>
            <w:tcW w:w="884" w:type="pct"/>
          </w:tcPr>
          <w:p w14:paraId="0120151A" w14:textId="77777777" w:rsidR="00A10B25" w:rsidRDefault="00A10B25">
            <w:pPr>
              <w:pStyle w:val="TAL"/>
              <w:rPr>
                <w:rFonts w:hint="eastAsia"/>
              </w:rPr>
            </w:pPr>
            <w:r>
              <w:t>204 No Content</w:t>
            </w:r>
          </w:p>
        </w:tc>
        <w:tc>
          <w:tcPr>
            <w:tcW w:w="1920" w:type="pct"/>
          </w:tcPr>
          <w:p w14:paraId="46D64456" w14:textId="77777777" w:rsidR="00A10B25" w:rsidRDefault="00A10B25">
            <w:pPr>
              <w:pStyle w:val="TAL"/>
            </w:pPr>
            <w:r>
              <w:t>The Individual NWDAF Event Subscription resource was modified successfully.</w:t>
            </w:r>
          </w:p>
        </w:tc>
      </w:tr>
      <w:tr w:rsidR="004D166F" w14:paraId="78AE981C" w14:textId="77777777">
        <w:trPr>
          <w:jc w:val="center"/>
        </w:trPr>
        <w:tc>
          <w:tcPr>
            <w:tcW w:w="1312" w:type="pct"/>
          </w:tcPr>
          <w:p w14:paraId="501ACD70" w14:textId="77777777" w:rsidR="004D166F" w:rsidRDefault="004D166F" w:rsidP="004D166F">
            <w:pPr>
              <w:pStyle w:val="TAL"/>
              <w:rPr>
                <w:rFonts w:eastAsia="等线" w:hint="eastAsia"/>
                <w:lang w:eastAsia="zh-CN"/>
              </w:rPr>
            </w:pPr>
            <w:r>
              <w:t>RedirectResponse</w:t>
            </w:r>
          </w:p>
        </w:tc>
        <w:tc>
          <w:tcPr>
            <w:tcW w:w="232" w:type="pct"/>
          </w:tcPr>
          <w:p w14:paraId="2F48159C" w14:textId="77777777" w:rsidR="004D166F" w:rsidRDefault="004D166F" w:rsidP="004D166F">
            <w:pPr>
              <w:pStyle w:val="TAC"/>
            </w:pPr>
            <w:r>
              <w:t>O</w:t>
            </w:r>
          </w:p>
        </w:tc>
        <w:tc>
          <w:tcPr>
            <w:tcW w:w="652" w:type="pct"/>
          </w:tcPr>
          <w:p w14:paraId="7B71C5EE" w14:textId="77777777" w:rsidR="004D166F" w:rsidRDefault="004D166F" w:rsidP="004D166F">
            <w:pPr>
              <w:pStyle w:val="TAC"/>
            </w:pPr>
            <w:r>
              <w:t>0..1</w:t>
            </w:r>
          </w:p>
        </w:tc>
        <w:tc>
          <w:tcPr>
            <w:tcW w:w="884" w:type="pct"/>
          </w:tcPr>
          <w:p w14:paraId="56C32782" w14:textId="77777777" w:rsidR="004D166F" w:rsidRDefault="004D166F" w:rsidP="004D166F">
            <w:pPr>
              <w:pStyle w:val="TAL"/>
            </w:pPr>
            <w:r>
              <w:t>307 Temporary Redirect</w:t>
            </w:r>
          </w:p>
        </w:tc>
        <w:tc>
          <w:tcPr>
            <w:tcW w:w="1920" w:type="pct"/>
          </w:tcPr>
          <w:p w14:paraId="17CF7D5F" w14:textId="77777777" w:rsidR="004D166F" w:rsidRDefault="004D166F" w:rsidP="004D166F">
            <w:pPr>
              <w:pStyle w:val="TAL"/>
            </w:pPr>
            <w:r>
              <w:t>Temporary redirection.</w:t>
            </w:r>
          </w:p>
          <w:p w14:paraId="0E096282" w14:textId="77777777" w:rsidR="004D166F" w:rsidRDefault="004D166F" w:rsidP="004D166F">
            <w:pPr>
              <w:pStyle w:val="TAL"/>
            </w:pPr>
          </w:p>
          <w:p w14:paraId="1914C329" w14:textId="77777777" w:rsidR="004D166F" w:rsidRDefault="004D166F" w:rsidP="004D166F">
            <w:pPr>
              <w:pStyle w:val="TAL"/>
            </w:pPr>
            <w:r>
              <w:t xml:space="preserve">Applicable if the feature </w:t>
            </w:r>
            <w:r>
              <w:rPr>
                <w:lang w:eastAsia="zh-CN"/>
              </w:rPr>
              <w:t>"</w:t>
            </w:r>
            <w:r>
              <w:rPr>
                <w:rFonts w:cs="Arial"/>
                <w:szCs w:val="18"/>
              </w:rPr>
              <w:t xml:space="preserve">ES3XX" </w:t>
            </w:r>
            <w:r>
              <w:t>is supported.</w:t>
            </w:r>
          </w:p>
          <w:p w14:paraId="4C8FBCA2" w14:textId="77777777" w:rsidR="004D166F" w:rsidRDefault="004D166F" w:rsidP="004D166F">
            <w:pPr>
              <w:pStyle w:val="TAL"/>
            </w:pPr>
          </w:p>
          <w:p w14:paraId="41446A4B" w14:textId="77777777" w:rsidR="004D166F" w:rsidRDefault="004D166F" w:rsidP="004D166F">
            <w:pPr>
              <w:pStyle w:val="TAL"/>
            </w:pPr>
            <w:r>
              <w:t>(NOTE 3)</w:t>
            </w:r>
          </w:p>
        </w:tc>
      </w:tr>
      <w:tr w:rsidR="004D166F" w14:paraId="51615794" w14:textId="77777777">
        <w:trPr>
          <w:jc w:val="center"/>
        </w:trPr>
        <w:tc>
          <w:tcPr>
            <w:tcW w:w="1312" w:type="pct"/>
          </w:tcPr>
          <w:p w14:paraId="5D0E5458" w14:textId="77777777" w:rsidR="004D166F" w:rsidRDefault="004D166F" w:rsidP="004D166F">
            <w:pPr>
              <w:pStyle w:val="TAL"/>
              <w:rPr>
                <w:rFonts w:eastAsia="等线" w:hint="eastAsia"/>
                <w:lang w:eastAsia="zh-CN"/>
              </w:rPr>
            </w:pPr>
            <w:r>
              <w:t>RedirectResponse</w:t>
            </w:r>
          </w:p>
        </w:tc>
        <w:tc>
          <w:tcPr>
            <w:tcW w:w="232" w:type="pct"/>
          </w:tcPr>
          <w:p w14:paraId="09C69CA6" w14:textId="77777777" w:rsidR="004D166F" w:rsidRDefault="004D166F" w:rsidP="004D166F">
            <w:pPr>
              <w:pStyle w:val="TAC"/>
            </w:pPr>
            <w:r>
              <w:t>O</w:t>
            </w:r>
          </w:p>
        </w:tc>
        <w:tc>
          <w:tcPr>
            <w:tcW w:w="652" w:type="pct"/>
          </w:tcPr>
          <w:p w14:paraId="23743644" w14:textId="77777777" w:rsidR="004D166F" w:rsidRDefault="004D166F" w:rsidP="004D166F">
            <w:pPr>
              <w:pStyle w:val="TAC"/>
            </w:pPr>
            <w:r>
              <w:t>0..1</w:t>
            </w:r>
          </w:p>
        </w:tc>
        <w:tc>
          <w:tcPr>
            <w:tcW w:w="884" w:type="pct"/>
          </w:tcPr>
          <w:p w14:paraId="3C529DC1" w14:textId="77777777" w:rsidR="004D166F" w:rsidRDefault="004D166F" w:rsidP="004D166F">
            <w:pPr>
              <w:pStyle w:val="TAL"/>
            </w:pPr>
            <w:r>
              <w:t>308 Permanent Redirect</w:t>
            </w:r>
          </w:p>
        </w:tc>
        <w:tc>
          <w:tcPr>
            <w:tcW w:w="1920" w:type="pct"/>
          </w:tcPr>
          <w:p w14:paraId="487AC0CA" w14:textId="77777777" w:rsidR="004D166F" w:rsidRDefault="004D166F" w:rsidP="004D166F">
            <w:pPr>
              <w:pStyle w:val="TAL"/>
            </w:pPr>
            <w:r>
              <w:t>Permanent redirection.</w:t>
            </w:r>
          </w:p>
          <w:p w14:paraId="2842F0C2" w14:textId="77777777" w:rsidR="004D166F" w:rsidRDefault="004D166F" w:rsidP="004D166F">
            <w:pPr>
              <w:pStyle w:val="TAL"/>
            </w:pPr>
          </w:p>
          <w:p w14:paraId="2B1B011E" w14:textId="77777777" w:rsidR="004D166F" w:rsidRDefault="004D166F" w:rsidP="004D166F">
            <w:pPr>
              <w:pStyle w:val="TAL"/>
            </w:pPr>
            <w:r>
              <w:t xml:space="preserve">Applicable if the feature </w:t>
            </w:r>
            <w:r>
              <w:rPr>
                <w:lang w:eastAsia="zh-CN"/>
              </w:rPr>
              <w:t>"</w:t>
            </w:r>
            <w:r>
              <w:rPr>
                <w:rFonts w:cs="Arial"/>
                <w:szCs w:val="18"/>
              </w:rPr>
              <w:t>ES3XX"</w:t>
            </w:r>
            <w:r>
              <w:t xml:space="preserve"> is supported.</w:t>
            </w:r>
          </w:p>
          <w:p w14:paraId="4606B00B" w14:textId="77777777" w:rsidR="004D166F" w:rsidRDefault="004D166F" w:rsidP="004D166F">
            <w:pPr>
              <w:pStyle w:val="TAL"/>
            </w:pPr>
          </w:p>
          <w:p w14:paraId="099C6F2A" w14:textId="77777777" w:rsidR="004D166F" w:rsidRDefault="004D166F" w:rsidP="004D166F">
            <w:pPr>
              <w:pStyle w:val="TAL"/>
            </w:pPr>
            <w:r>
              <w:t>(NOTE 3)</w:t>
            </w:r>
          </w:p>
        </w:tc>
      </w:tr>
      <w:tr w:rsidR="00A10B25" w14:paraId="77BB4FA6" w14:textId="77777777">
        <w:trPr>
          <w:jc w:val="center"/>
        </w:trPr>
        <w:tc>
          <w:tcPr>
            <w:tcW w:w="1312" w:type="pct"/>
          </w:tcPr>
          <w:p w14:paraId="1E69A0E2" w14:textId="77777777" w:rsidR="00A10B25" w:rsidRDefault="00A10B25">
            <w:pPr>
              <w:pStyle w:val="TAL"/>
            </w:pPr>
            <w:r>
              <w:t>ProblemDetails</w:t>
            </w:r>
          </w:p>
        </w:tc>
        <w:tc>
          <w:tcPr>
            <w:tcW w:w="232" w:type="pct"/>
          </w:tcPr>
          <w:p w14:paraId="554DC8F4" w14:textId="77777777" w:rsidR="00A10B25" w:rsidRDefault="00A10B25">
            <w:pPr>
              <w:pStyle w:val="TAC"/>
            </w:pPr>
            <w:r>
              <w:t>O</w:t>
            </w:r>
          </w:p>
        </w:tc>
        <w:tc>
          <w:tcPr>
            <w:tcW w:w="652" w:type="pct"/>
          </w:tcPr>
          <w:p w14:paraId="24232417" w14:textId="77777777" w:rsidR="00A10B25" w:rsidRDefault="00A10B25">
            <w:pPr>
              <w:pStyle w:val="TAC"/>
            </w:pPr>
            <w:r>
              <w:t>0..1</w:t>
            </w:r>
          </w:p>
        </w:tc>
        <w:tc>
          <w:tcPr>
            <w:tcW w:w="884" w:type="pct"/>
          </w:tcPr>
          <w:p w14:paraId="732C4BF6" w14:textId="77777777" w:rsidR="00A10B25" w:rsidRDefault="00A10B25">
            <w:pPr>
              <w:pStyle w:val="TAL"/>
            </w:pPr>
            <w:r>
              <w:t>400 Bad Request</w:t>
            </w:r>
          </w:p>
        </w:tc>
        <w:tc>
          <w:tcPr>
            <w:tcW w:w="1920" w:type="pct"/>
          </w:tcPr>
          <w:p w14:paraId="056B12C2" w14:textId="77777777" w:rsidR="00A10B25" w:rsidRDefault="00A10B25">
            <w:pPr>
              <w:pStyle w:val="TAL"/>
            </w:pPr>
            <w:r>
              <w:t>(NOTE 2)</w:t>
            </w:r>
          </w:p>
        </w:tc>
      </w:tr>
      <w:tr w:rsidR="00A10B25" w14:paraId="28C6C532" w14:textId="77777777">
        <w:trPr>
          <w:jc w:val="center"/>
        </w:trPr>
        <w:tc>
          <w:tcPr>
            <w:tcW w:w="1312" w:type="pct"/>
          </w:tcPr>
          <w:p w14:paraId="67EB95D4" w14:textId="77777777" w:rsidR="00A10B25" w:rsidRDefault="00A10B25">
            <w:pPr>
              <w:keepNext/>
              <w:keepLines/>
              <w:spacing w:after="0"/>
            </w:pPr>
            <w:r>
              <w:rPr>
                <w:rFonts w:ascii="Arial" w:hAnsi="Arial"/>
                <w:sz w:val="18"/>
              </w:rPr>
              <w:t>ProblemDetails</w:t>
            </w:r>
          </w:p>
        </w:tc>
        <w:tc>
          <w:tcPr>
            <w:tcW w:w="232" w:type="pct"/>
          </w:tcPr>
          <w:p w14:paraId="53DFD00A" w14:textId="77777777" w:rsidR="00A10B25" w:rsidRDefault="00A10B25">
            <w:pPr>
              <w:keepNext/>
              <w:keepLines/>
              <w:spacing w:after="0"/>
              <w:jc w:val="center"/>
            </w:pPr>
            <w:r>
              <w:rPr>
                <w:rFonts w:ascii="Arial" w:hAnsi="Arial"/>
                <w:sz w:val="18"/>
              </w:rPr>
              <w:t>O</w:t>
            </w:r>
          </w:p>
        </w:tc>
        <w:tc>
          <w:tcPr>
            <w:tcW w:w="652" w:type="pct"/>
          </w:tcPr>
          <w:p w14:paraId="4C3CEA4C" w14:textId="77777777" w:rsidR="00A10B25" w:rsidRDefault="00A10B25">
            <w:pPr>
              <w:keepNext/>
              <w:keepLines/>
              <w:spacing w:after="0"/>
              <w:jc w:val="center"/>
            </w:pPr>
            <w:r>
              <w:rPr>
                <w:rFonts w:ascii="Arial" w:hAnsi="Arial"/>
                <w:sz w:val="18"/>
              </w:rPr>
              <w:t>0..1</w:t>
            </w:r>
          </w:p>
        </w:tc>
        <w:tc>
          <w:tcPr>
            <w:tcW w:w="884" w:type="pct"/>
          </w:tcPr>
          <w:p w14:paraId="57F53735" w14:textId="77777777" w:rsidR="00A10B25" w:rsidRDefault="00A10B25">
            <w:pPr>
              <w:keepNext/>
              <w:keepLines/>
              <w:spacing w:after="0"/>
            </w:pPr>
            <w:r>
              <w:rPr>
                <w:rFonts w:ascii="Arial" w:hAnsi="Arial"/>
                <w:sz w:val="18"/>
              </w:rPr>
              <w:t>403 Forbidden</w:t>
            </w:r>
          </w:p>
        </w:tc>
        <w:tc>
          <w:tcPr>
            <w:tcW w:w="1920" w:type="pct"/>
          </w:tcPr>
          <w:p w14:paraId="7553BEAC" w14:textId="77777777" w:rsidR="00A10B25" w:rsidRDefault="00A10B25">
            <w:pPr>
              <w:keepNext/>
              <w:keepLines/>
              <w:spacing w:after="0"/>
            </w:pPr>
            <w:r>
              <w:rPr>
                <w:rFonts w:ascii="Arial" w:hAnsi="Arial"/>
                <w:sz w:val="18"/>
              </w:rPr>
              <w:t>(NOTE 2)</w:t>
            </w:r>
          </w:p>
        </w:tc>
      </w:tr>
      <w:tr w:rsidR="00A10B25" w14:paraId="7FDFD94C" w14:textId="77777777">
        <w:trPr>
          <w:jc w:val="center"/>
        </w:trPr>
        <w:tc>
          <w:tcPr>
            <w:tcW w:w="1312" w:type="pct"/>
          </w:tcPr>
          <w:p w14:paraId="6C87DA9D" w14:textId="77777777" w:rsidR="00A10B25" w:rsidRDefault="00A10B25">
            <w:pPr>
              <w:pStyle w:val="TAL"/>
            </w:pPr>
            <w:r>
              <w:t>ProblemDetails</w:t>
            </w:r>
          </w:p>
        </w:tc>
        <w:tc>
          <w:tcPr>
            <w:tcW w:w="232" w:type="pct"/>
          </w:tcPr>
          <w:p w14:paraId="32DAB5DE" w14:textId="77777777" w:rsidR="00A10B25" w:rsidRDefault="00A10B25">
            <w:pPr>
              <w:pStyle w:val="TAC"/>
            </w:pPr>
            <w:r>
              <w:t>O</w:t>
            </w:r>
          </w:p>
        </w:tc>
        <w:tc>
          <w:tcPr>
            <w:tcW w:w="652" w:type="pct"/>
          </w:tcPr>
          <w:p w14:paraId="0B7FD0CE" w14:textId="77777777" w:rsidR="00A10B25" w:rsidRDefault="00A10B25">
            <w:pPr>
              <w:pStyle w:val="TAC"/>
            </w:pPr>
            <w:r>
              <w:t>0..1</w:t>
            </w:r>
          </w:p>
        </w:tc>
        <w:tc>
          <w:tcPr>
            <w:tcW w:w="884" w:type="pct"/>
          </w:tcPr>
          <w:p w14:paraId="417A296E" w14:textId="77777777" w:rsidR="00A10B25" w:rsidRDefault="00A10B25">
            <w:pPr>
              <w:pStyle w:val="TAL"/>
            </w:pPr>
            <w:r>
              <w:rPr>
                <w:lang w:eastAsia="zh-CN"/>
              </w:rPr>
              <w:t>50</w:t>
            </w:r>
            <w:r>
              <w:t>0 Internal Server Error</w:t>
            </w:r>
          </w:p>
        </w:tc>
        <w:tc>
          <w:tcPr>
            <w:tcW w:w="1920" w:type="pct"/>
          </w:tcPr>
          <w:p w14:paraId="06943C74" w14:textId="77777777" w:rsidR="00A10B25" w:rsidRDefault="00A10B25">
            <w:pPr>
              <w:pStyle w:val="TAL"/>
            </w:pPr>
            <w:r>
              <w:t>(NOTE 2)</w:t>
            </w:r>
          </w:p>
        </w:tc>
      </w:tr>
      <w:tr w:rsidR="00A10B25" w14:paraId="7B2B1A9E" w14:textId="77777777">
        <w:trPr>
          <w:jc w:val="center"/>
        </w:trPr>
        <w:tc>
          <w:tcPr>
            <w:tcW w:w="5000" w:type="pct"/>
            <w:gridSpan w:val="5"/>
          </w:tcPr>
          <w:p w14:paraId="49A02A6D" w14:textId="77777777" w:rsidR="00A10B25" w:rsidRDefault="00A10B25">
            <w:pPr>
              <w:pStyle w:val="TAN"/>
            </w:pPr>
            <w:r>
              <w:t>NOTE 1:</w:t>
            </w:r>
            <w:r>
              <w:tab/>
              <w:t>The mandatory HTTP error status codes for the PUT method listed in table 5.2.7.1-1 of 3GPP TS 29.500 [6] also apply.</w:t>
            </w:r>
          </w:p>
          <w:p w14:paraId="20886E24" w14:textId="77777777" w:rsidR="00A10B25" w:rsidRDefault="00A10B25">
            <w:pPr>
              <w:pStyle w:val="TAN"/>
            </w:pPr>
            <w:r>
              <w:t>NOTE 2:</w:t>
            </w:r>
            <w:r>
              <w:tab/>
              <w:t>Failure cases are described in clause 5.1.7.</w:t>
            </w:r>
          </w:p>
          <w:p w14:paraId="2CF62D0D" w14:textId="77777777" w:rsidR="00A10B25" w:rsidRDefault="00A10B25">
            <w:pPr>
              <w:pStyle w:val="TAN"/>
            </w:pPr>
            <w:r>
              <w:t>NOTE 3:</w:t>
            </w:r>
            <w:r>
              <w:tab/>
              <w:t>The RedirectResponse data structure may be provided by an SCP (cf. clause 6.10.9.1 of 3GPP TS 29.500 [6]).</w:t>
            </w:r>
          </w:p>
        </w:tc>
      </w:tr>
    </w:tbl>
    <w:p w14:paraId="3FA929DE" w14:textId="77777777" w:rsidR="00A10B25" w:rsidRDefault="00A10B25">
      <w:pPr>
        <w:rPr>
          <w:lang w:val="en-US" w:eastAsia="zh-CN"/>
        </w:rPr>
      </w:pPr>
    </w:p>
    <w:p w14:paraId="57B7F6E6" w14:textId="77777777" w:rsidR="00A10B25" w:rsidRDefault="00A10B25">
      <w:pPr>
        <w:pStyle w:val="TH"/>
      </w:pPr>
      <w:bookmarkStart w:id="4757" w:name="_Toc90655842"/>
      <w:bookmarkStart w:id="4758" w:name="_Toc66231785"/>
      <w:bookmarkStart w:id="4759" w:name="_Toc36102445"/>
      <w:bookmarkStart w:id="4760" w:name="_Toc101244386"/>
      <w:bookmarkStart w:id="4761" w:name="_Toc120702280"/>
      <w:bookmarkStart w:id="4762" w:name="_Toc50031962"/>
      <w:bookmarkStart w:id="4763" w:name="_Toc56640949"/>
      <w:bookmarkStart w:id="4764" w:name="_Toc112951101"/>
      <w:bookmarkStart w:id="4765" w:name="_Toc88667557"/>
      <w:bookmarkStart w:id="4766" w:name="_Toc85552956"/>
      <w:bookmarkStart w:id="4767" w:name="_Toc70550613"/>
      <w:bookmarkStart w:id="4768" w:name="_Toc113031641"/>
      <w:bookmarkStart w:id="4769" w:name="_Toc98233610"/>
      <w:bookmarkStart w:id="4770" w:name="_Toc51762882"/>
      <w:bookmarkStart w:id="4771" w:name="_Toc43563487"/>
      <w:bookmarkStart w:id="4772" w:name="_Toc28012804"/>
      <w:bookmarkStart w:id="4773" w:name="_Toc114133780"/>
      <w:bookmarkStart w:id="4774" w:name="_Toc94064225"/>
      <w:bookmarkStart w:id="4775" w:name="_Toc59017917"/>
      <w:bookmarkStart w:id="4776" w:name="_Toc85557055"/>
      <w:bookmarkStart w:id="4777" w:name="_Toc68168946"/>
      <w:bookmarkStart w:id="4778" w:name="_Toc83233059"/>
      <w:bookmarkStart w:id="4779" w:name="_Toc34266274"/>
      <w:bookmarkStart w:id="4780" w:name="_Toc45134030"/>
      <w:bookmarkStart w:id="4781" w:name="_Toc104538979"/>
      <w:r>
        <w:t>Table 5.1.3.3.3.2-4: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65F3D580" w14:textId="77777777">
        <w:trPr>
          <w:jc w:val="center"/>
        </w:trPr>
        <w:tc>
          <w:tcPr>
            <w:tcW w:w="825" w:type="pct"/>
            <w:tcBorders>
              <w:bottom w:val="single" w:sz="6" w:space="0" w:color="auto"/>
            </w:tcBorders>
            <w:shd w:val="clear" w:color="auto" w:fill="C0C0C0"/>
          </w:tcPr>
          <w:p w14:paraId="4787B9CF" w14:textId="77777777" w:rsidR="00A10B25" w:rsidRDefault="00A10B25">
            <w:pPr>
              <w:pStyle w:val="TAH"/>
            </w:pPr>
            <w:r>
              <w:t>Name</w:t>
            </w:r>
          </w:p>
        </w:tc>
        <w:tc>
          <w:tcPr>
            <w:tcW w:w="732" w:type="pct"/>
            <w:tcBorders>
              <w:bottom w:val="single" w:sz="6" w:space="0" w:color="auto"/>
            </w:tcBorders>
            <w:shd w:val="clear" w:color="auto" w:fill="C0C0C0"/>
          </w:tcPr>
          <w:p w14:paraId="3CF01563" w14:textId="77777777" w:rsidR="00A10B25" w:rsidRDefault="00A10B25">
            <w:pPr>
              <w:pStyle w:val="TAH"/>
            </w:pPr>
            <w:r>
              <w:t>Data type</w:t>
            </w:r>
          </w:p>
        </w:tc>
        <w:tc>
          <w:tcPr>
            <w:tcW w:w="217" w:type="pct"/>
            <w:tcBorders>
              <w:bottom w:val="single" w:sz="6" w:space="0" w:color="auto"/>
            </w:tcBorders>
            <w:shd w:val="clear" w:color="auto" w:fill="C0C0C0"/>
          </w:tcPr>
          <w:p w14:paraId="617152FA" w14:textId="77777777" w:rsidR="00A10B25" w:rsidRDefault="00A10B25">
            <w:pPr>
              <w:pStyle w:val="TAH"/>
            </w:pPr>
            <w:r>
              <w:t>P</w:t>
            </w:r>
          </w:p>
        </w:tc>
        <w:tc>
          <w:tcPr>
            <w:tcW w:w="581" w:type="pct"/>
            <w:tcBorders>
              <w:bottom w:val="single" w:sz="6" w:space="0" w:color="auto"/>
            </w:tcBorders>
            <w:shd w:val="clear" w:color="auto" w:fill="C0C0C0"/>
          </w:tcPr>
          <w:p w14:paraId="53891CC2"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4E211372" w14:textId="77777777" w:rsidR="00A10B25" w:rsidRDefault="00A10B25">
            <w:pPr>
              <w:pStyle w:val="TAH"/>
            </w:pPr>
            <w:r>
              <w:t>Description</w:t>
            </w:r>
          </w:p>
        </w:tc>
      </w:tr>
      <w:tr w:rsidR="00A10B25" w14:paraId="31236153" w14:textId="77777777">
        <w:trPr>
          <w:jc w:val="center"/>
        </w:trPr>
        <w:tc>
          <w:tcPr>
            <w:tcW w:w="825" w:type="pct"/>
            <w:tcBorders>
              <w:top w:val="single" w:sz="6" w:space="0" w:color="auto"/>
            </w:tcBorders>
          </w:tcPr>
          <w:p w14:paraId="56528E94" w14:textId="77777777" w:rsidR="00A10B25" w:rsidRDefault="00A10B25">
            <w:pPr>
              <w:pStyle w:val="TAL"/>
            </w:pPr>
            <w:r>
              <w:t>Location</w:t>
            </w:r>
          </w:p>
        </w:tc>
        <w:tc>
          <w:tcPr>
            <w:tcW w:w="732" w:type="pct"/>
            <w:tcBorders>
              <w:top w:val="single" w:sz="6" w:space="0" w:color="auto"/>
            </w:tcBorders>
          </w:tcPr>
          <w:p w14:paraId="3834A001" w14:textId="77777777" w:rsidR="00A10B25" w:rsidRDefault="00A10B25">
            <w:pPr>
              <w:pStyle w:val="TAL"/>
            </w:pPr>
            <w:r>
              <w:t>string</w:t>
            </w:r>
          </w:p>
        </w:tc>
        <w:tc>
          <w:tcPr>
            <w:tcW w:w="217" w:type="pct"/>
            <w:tcBorders>
              <w:top w:val="single" w:sz="6" w:space="0" w:color="auto"/>
            </w:tcBorders>
          </w:tcPr>
          <w:p w14:paraId="55EB10D7" w14:textId="77777777" w:rsidR="00A10B25" w:rsidRDefault="00A10B25">
            <w:pPr>
              <w:pStyle w:val="TAC"/>
            </w:pPr>
            <w:r>
              <w:t>M</w:t>
            </w:r>
          </w:p>
        </w:tc>
        <w:tc>
          <w:tcPr>
            <w:tcW w:w="581" w:type="pct"/>
            <w:tcBorders>
              <w:top w:val="single" w:sz="6" w:space="0" w:color="auto"/>
            </w:tcBorders>
          </w:tcPr>
          <w:p w14:paraId="35F1F713" w14:textId="77777777" w:rsidR="00A10B25" w:rsidRDefault="00A10B25">
            <w:pPr>
              <w:pStyle w:val="TAL"/>
            </w:pPr>
            <w:r>
              <w:t>1</w:t>
            </w:r>
          </w:p>
        </w:tc>
        <w:tc>
          <w:tcPr>
            <w:tcW w:w="2645" w:type="pct"/>
            <w:tcBorders>
              <w:top w:val="single" w:sz="6" w:space="0" w:color="auto"/>
            </w:tcBorders>
            <w:vAlign w:val="center"/>
          </w:tcPr>
          <w:p w14:paraId="1EA06E1E"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0BAD430D" w14:textId="77777777" w:rsidR="00A10B25" w:rsidRDefault="00A10B25">
            <w:pPr>
              <w:pStyle w:val="TAL"/>
            </w:pPr>
          </w:p>
          <w:p w14:paraId="10F20E83" w14:textId="77777777" w:rsidR="00A10B25" w:rsidRDefault="00A10B25">
            <w:pPr>
              <w:pStyle w:val="TAL"/>
            </w:pPr>
            <w:r>
              <w:t>For the case where the request is redirected to the same target via a different SCP, refer to clause 6.10.9.1 of 3GPP TS 29.500 [6].</w:t>
            </w:r>
          </w:p>
        </w:tc>
      </w:tr>
      <w:tr w:rsidR="00A10B25" w14:paraId="6A91B8D3" w14:textId="77777777">
        <w:trPr>
          <w:jc w:val="center"/>
        </w:trPr>
        <w:tc>
          <w:tcPr>
            <w:tcW w:w="825" w:type="pct"/>
          </w:tcPr>
          <w:p w14:paraId="35598DA9" w14:textId="77777777" w:rsidR="00A10B25" w:rsidRDefault="00A10B25">
            <w:pPr>
              <w:pStyle w:val="TAL"/>
            </w:pPr>
            <w:r>
              <w:rPr>
                <w:lang w:eastAsia="zh-CN"/>
              </w:rPr>
              <w:t>3gpp-Sbi-Target-Nf-Id</w:t>
            </w:r>
          </w:p>
        </w:tc>
        <w:tc>
          <w:tcPr>
            <w:tcW w:w="732" w:type="pct"/>
          </w:tcPr>
          <w:p w14:paraId="479C646F" w14:textId="77777777" w:rsidR="00A10B25" w:rsidRDefault="00A10B25">
            <w:pPr>
              <w:pStyle w:val="TAL"/>
            </w:pPr>
            <w:r>
              <w:rPr>
                <w:lang w:eastAsia="fr-FR"/>
              </w:rPr>
              <w:t>string</w:t>
            </w:r>
          </w:p>
        </w:tc>
        <w:tc>
          <w:tcPr>
            <w:tcW w:w="217" w:type="pct"/>
          </w:tcPr>
          <w:p w14:paraId="55C5E092" w14:textId="77777777" w:rsidR="00A10B25" w:rsidRDefault="00A10B25">
            <w:pPr>
              <w:pStyle w:val="TAC"/>
            </w:pPr>
            <w:r>
              <w:rPr>
                <w:lang w:eastAsia="fr-FR"/>
              </w:rPr>
              <w:t>O</w:t>
            </w:r>
          </w:p>
        </w:tc>
        <w:tc>
          <w:tcPr>
            <w:tcW w:w="581" w:type="pct"/>
          </w:tcPr>
          <w:p w14:paraId="2345309C" w14:textId="77777777" w:rsidR="00A10B25" w:rsidRDefault="00A10B25">
            <w:pPr>
              <w:pStyle w:val="TAL"/>
            </w:pPr>
            <w:r>
              <w:rPr>
                <w:lang w:eastAsia="fr-FR"/>
              </w:rPr>
              <w:t>0..1</w:t>
            </w:r>
          </w:p>
        </w:tc>
        <w:tc>
          <w:tcPr>
            <w:tcW w:w="2645" w:type="pct"/>
            <w:vAlign w:val="center"/>
          </w:tcPr>
          <w:p w14:paraId="306695E8" w14:textId="77777777" w:rsidR="00A10B25" w:rsidRDefault="00A10B25">
            <w:pPr>
              <w:pStyle w:val="TAL"/>
            </w:pPr>
            <w:r>
              <w:rPr>
                <w:lang w:eastAsia="fr-FR"/>
              </w:rPr>
              <w:t>Identifier of the target NWDAF (service) instance towards which the request is redirected.</w:t>
            </w:r>
          </w:p>
        </w:tc>
      </w:tr>
    </w:tbl>
    <w:p w14:paraId="736C64CB" w14:textId="77777777" w:rsidR="00A10B25" w:rsidRDefault="00A10B25"/>
    <w:p w14:paraId="2063C066" w14:textId="77777777" w:rsidR="00A10B25" w:rsidRDefault="00A10B25">
      <w:pPr>
        <w:pStyle w:val="TH"/>
      </w:pPr>
      <w:r>
        <w:t>Table 5.1.3.3.3.2-5: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57EE7033" w14:textId="77777777">
        <w:trPr>
          <w:jc w:val="center"/>
        </w:trPr>
        <w:tc>
          <w:tcPr>
            <w:tcW w:w="825" w:type="pct"/>
            <w:tcBorders>
              <w:bottom w:val="single" w:sz="6" w:space="0" w:color="auto"/>
            </w:tcBorders>
            <w:shd w:val="clear" w:color="auto" w:fill="C0C0C0"/>
          </w:tcPr>
          <w:p w14:paraId="2DD8DE40" w14:textId="77777777" w:rsidR="00A10B25" w:rsidRDefault="00A10B25">
            <w:pPr>
              <w:pStyle w:val="TAH"/>
            </w:pPr>
            <w:r>
              <w:t>Name</w:t>
            </w:r>
          </w:p>
        </w:tc>
        <w:tc>
          <w:tcPr>
            <w:tcW w:w="732" w:type="pct"/>
            <w:tcBorders>
              <w:bottom w:val="single" w:sz="6" w:space="0" w:color="auto"/>
            </w:tcBorders>
            <w:shd w:val="clear" w:color="auto" w:fill="C0C0C0"/>
          </w:tcPr>
          <w:p w14:paraId="73D304E1" w14:textId="77777777" w:rsidR="00A10B25" w:rsidRDefault="00A10B25">
            <w:pPr>
              <w:pStyle w:val="TAH"/>
            </w:pPr>
            <w:r>
              <w:t>Data type</w:t>
            </w:r>
          </w:p>
        </w:tc>
        <w:tc>
          <w:tcPr>
            <w:tcW w:w="217" w:type="pct"/>
            <w:tcBorders>
              <w:bottom w:val="single" w:sz="6" w:space="0" w:color="auto"/>
            </w:tcBorders>
            <w:shd w:val="clear" w:color="auto" w:fill="C0C0C0"/>
          </w:tcPr>
          <w:p w14:paraId="016F1E75" w14:textId="77777777" w:rsidR="00A10B25" w:rsidRDefault="00A10B25">
            <w:pPr>
              <w:pStyle w:val="TAH"/>
            </w:pPr>
            <w:r>
              <w:t>P</w:t>
            </w:r>
          </w:p>
        </w:tc>
        <w:tc>
          <w:tcPr>
            <w:tcW w:w="581" w:type="pct"/>
            <w:tcBorders>
              <w:bottom w:val="single" w:sz="6" w:space="0" w:color="auto"/>
            </w:tcBorders>
            <w:shd w:val="clear" w:color="auto" w:fill="C0C0C0"/>
          </w:tcPr>
          <w:p w14:paraId="1EF02594"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7DDE65A5" w14:textId="77777777" w:rsidR="00A10B25" w:rsidRDefault="00A10B25">
            <w:pPr>
              <w:pStyle w:val="TAH"/>
            </w:pPr>
            <w:r>
              <w:t>Description</w:t>
            </w:r>
          </w:p>
        </w:tc>
      </w:tr>
      <w:tr w:rsidR="00A10B25" w14:paraId="3D567982" w14:textId="77777777">
        <w:trPr>
          <w:jc w:val="center"/>
        </w:trPr>
        <w:tc>
          <w:tcPr>
            <w:tcW w:w="825" w:type="pct"/>
            <w:tcBorders>
              <w:top w:val="single" w:sz="6" w:space="0" w:color="auto"/>
            </w:tcBorders>
          </w:tcPr>
          <w:p w14:paraId="7153437E" w14:textId="77777777" w:rsidR="00A10B25" w:rsidRDefault="00A10B25">
            <w:pPr>
              <w:pStyle w:val="TAL"/>
            </w:pPr>
            <w:r>
              <w:t>Location</w:t>
            </w:r>
          </w:p>
        </w:tc>
        <w:tc>
          <w:tcPr>
            <w:tcW w:w="732" w:type="pct"/>
            <w:tcBorders>
              <w:top w:val="single" w:sz="6" w:space="0" w:color="auto"/>
            </w:tcBorders>
          </w:tcPr>
          <w:p w14:paraId="2251395A" w14:textId="77777777" w:rsidR="00A10B25" w:rsidRDefault="00A10B25">
            <w:pPr>
              <w:pStyle w:val="TAL"/>
            </w:pPr>
            <w:r>
              <w:t>string</w:t>
            </w:r>
          </w:p>
        </w:tc>
        <w:tc>
          <w:tcPr>
            <w:tcW w:w="217" w:type="pct"/>
            <w:tcBorders>
              <w:top w:val="single" w:sz="6" w:space="0" w:color="auto"/>
            </w:tcBorders>
          </w:tcPr>
          <w:p w14:paraId="2111FFD9" w14:textId="77777777" w:rsidR="00A10B25" w:rsidRDefault="00A10B25">
            <w:pPr>
              <w:pStyle w:val="TAC"/>
            </w:pPr>
            <w:r>
              <w:t>M</w:t>
            </w:r>
          </w:p>
        </w:tc>
        <w:tc>
          <w:tcPr>
            <w:tcW w:w="581" w:type="pct"/>
            <w:tcBorders>
              <w:top w:val="single" w:sz="6" w:space="0" w:color="auto"/>
            </w:tcBorders>
          </w:tcPr>
          <w:p w14:paraId="4A90EC9E" w14:textId="77777777" w:rsidR="00A10B25" w:rsidRDefault="00A10B25">
            <w:pPr>
              <w:pStyle w:val="TAL"/>
            </w:pPr>
            <w:r>
              <w:t>1</w:t>
            </w:r>
          </w:p>
        </w:tc>
        <w:tc>
          <w:tcPr>
            <w:tcW w:w="2645" w:type="pct"/>
            <w:tcBorders>
              <w:top w:val="single" w:sz="6" w:space="0" w:color="auto"/>
            </w:tcBorders>
            <w:vAlign w:val="center"/>
          </w:tcPr>
          <w:p w14:paraId="34D2397F"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7FF49DA4" w14:textId="77777777" w:rsidR="00A10B25" w:rsidRDefault="00A10B25">
            <w:pPr>
              <w:pStyle w:val="TAL"/>
            </w:pPr>
          </w:p>
          <w:p w14:paraId="66509AFB" w14:textId="77777777" w:rsidR="00A10B25" w:rsidRDefault="00A10B25">
            <w:pPr>
              <w:pStyle w:val="TAL"/>
            </w:pPr>
            <w:r>
              <w:t>For the case where the request is redirected to the same target via a different SCP, refer to clause 6.10.9.1 of 3GPP TS 29.500 [6].</w:t>
            </w:r>
          </w:p>
        </w:tc>
      </w:tr>
      <w:tr w:rsidR="00A10B25" w14:paraId="7C8B4BCF" w14:textId="77777777">
        <w:trPr>
          <w:jc w:val="center"/>
        </w:trPr>
        <w:tc>
          <w:tcPr>
            <w:tcW w:w="825" w:type="pct"/>
          </w:tcPr>
          <w:p w14:paraId="39804067" w14:textId="77777777" w:rsidR="00A10B25" w:rsidRDefault="00A10B25">
            <w:pPr>
              <w:pStyle w:val="TAL"/>
            </w:pPr>
            <w:r>
              <w:rPr>
                <w:lang w:eastAsia="zh-CN"/>
              </w:rPr>
              <w:t>3gpp-Sbi-Target-Nf-Id</w:t>
            </w:r>
          </w:p>
        </w:tc>
        <w:tc>
          <w:tcPr>
            <w:tcW w:w="732" w:type="pct"/>
          </w:tcPr>
          <w:p w14:paraId="08337089" w14:textId="77777777" w:rsidR="00A10B25" w:rsidRDefault="00A10B25">
            <w:pPr>
              <w:pStyle w:val="TAL"/>
            </w:pPr>
            <w:r>
              <w:rPr>
                <w:lang w:eastAsia="fr-FR"/>
              </w:rPr>
              <w:t>string</w:t>
            </w:r>
          </w:p>
        </w:tc>
        <w:tc>
          <w:tcPr>
            <w:tcW w:w="217" w:type="pct"/>
          </w:tcPr>
          <w:p w14:paraId="3870E554" w14:textId="77777777" w:rsidR="00A10B25" w:rsidRDefault="00A10B25">
            <w:pPr>
              <w:pStyle w:val="TAC"/>
            </w:pPr>
            <w:r>
              <w:rPr>
                <w:lang w:eastAsia="fr-FR"/>
              </w:rPr>
              <w:t>O</w:t>
            </w:r>
          </w:p>
        </w:tc>
        <w:tc>
          <w:tcPr>
            <w:tcW w:w="581" w:type="pct"/>
          </w:tcPr>
          <w:p w14:paraId="5E1A8BC6" w14:textId="77777777" w:rsidR="00A10B25" w:rsidRDefault="00A10B25">
            <w:pPr>
              <w:pStyle w:val="TAL"/>
            </w:pPr>
            <w:r>
              <w:rPr>
                <w:lang w:eastAsia="fr-FR"/>
              </w:rPr>
              <w:t>0..1</w:t>
            </w:r>
          </w:p>
        </w:tc>
        <w:tc>
          <w:tcPr>
            <w:tcW w:w="2645" w:type="pct"/>
            <w:vAlign w:val="center"/>
          </w:tcPr>
          <w:p w14:paraId="3B7116FA" w14:textId="77777777" w:rsidR="00A10B25" w:rsidRDefault="00A10B25">
            <w:pPr>
              <w:pStyle w:val="TAL"/>
            </w:pPr>
            <w:r>
              <w:rPr>
                <w:lang w:eastAsia="fr-FR"/>
              </w:rPr>
              <w:t>Identifier of the target NWDAF (service) instance towards which the request is redirected.</w:t>
            </w:r>
          </w:p>
        </w:tc>
      </w:tr>
    </w:tbl>
    <w:p w14:paraId="06E83FFC" w14:textId="77777777" w:rsidR="00A10B25" w:rsidRDefault="00A10B25">
      <w:pPr>
        <w:rPr>
          <w:lang w:val="en-US" w:eastAsia="ja-JP"/>
        </w:rPr>
      </w:pPr>
    </w:p>
    <w:p w14:paraId="16EB5CB9" w14:textId="77777777" w:rsidR="00A10B25" w:rsidRDefault="00A10B25">
      <w:pPr>
        <w:pStyle w:val="5"/>
      </w:pPr>
      <w:bookmarkStart w:id="4782" w:name="_Toc136562347"/>
      <w:bookmarkStart w:id="4783" w:name="_Toc138754181"/>
      <w:bookmarkStart w:id="4784" w:name="_Toc145705668"/>
      <w:bookmarkStart w:id="4785" w:name="_Toc148522572"/>
      <w:bookmarkStart w:id="4786" w:name="_Toc164920752"/>
      <w:bookmarkStart w:id="4787" w:name="_Toc170120294"/>
      <w:bookmarkStart w:id="4788" w:name="_Toc175858539"/>
      <w:bookmarkStart w:id="4789" w:name="_Toc175859612"/>
      <w:bookmarkStart w:id="4790" w:name="_Toc180605902"/>
      <w:bookmarkStart w:id="4791" w:name="_Toc185517156"/>
      <w:bookmarkStart w:id="4792" w:name="_Toc191576207"/>
      <w:bookmarkStart w:id="4793" w:name="_Toc191576947"/>
      <w:bookmarkStart w:id="4794" w:name="_Toc192880017"/>
      <w:bookmarkStart w:id="4795" w:name="_Toc195814900"/>
      <w:bookmarkStart w:id="4796" w:name="_Toc199452867"/>
      <w:r>
        <w:t>5.1.3.3.4</w:t>
      </w:r>
      <w:r>
        <w:tab/>
        <w:t>Resource Custom Operations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5E50E532" w14:textId="77777777" w:rsidR="00A10B25" w:rsidRDefault="00A10B25">
      <w:r>
        <w:t>None in this release of the specification.</w:t>
      </w:r>
    </w:p>
    <w:p w14:paraId="60758DA6" w14:textId="77777777" w:rsidR="00A10B25" w:rsidRDefault="00A10B25">
      <w:pPr>
        <w:pStyle w:val="4"/>
      </w:pPr>
      <w:bookmarkStart w:id="4797" w:name="_Toc104538980"/>
      <w:bookmarkStart w:id="4798" w:name="_Toc90655843"/>
      <w:bookmarkStart w:id="4799" w:name="_Toc136562348"/>
      <w:bookmarkStart w:id="4800" w:name="_Toc98233611"/>
      <w:bookmarkStart w:id="4801" w:name="_Toc101244387"/>
      <w:bookmarkStart w:id="4802" w:name="_Toc114133781"/>
      <w:bookmarkStart w:id="4803" w:name="_Toc88667558"/>
      <w:bookmarkStart w:id="4804" w:name="_Toc113031642"/>
      <w:bookmarkStart w:id="4805" w:name="_Toc112951102"/>
      <w:bookmarkStart w:id="4806" w:name="_Toc85557056"/>
      <w:bookmarkStart w:id="4807" w:name="_Toc120702281"/>
      <w:bookmarkStart w:id="4808" w:name="_Toc85552957"/>
      <w:bookmarkStart w:id="4809" w:name="_Toc138754182"/>
      <w:bookmarkStart w:id="4810" w:name="_Toc145705669"/>
      <w:bookmarkStart w:id="4811" w:name="_Toc148522573"/>
      <w:bookmarkStart w:id="4812" w:name="_Toc94064226"/>
      <w:bookmarkStart w:id="4813" w:name="_Toc73564415"/>
      <w:bookmarkStart w:id="4814" w:name="_Toc164920753"/>
      <w:bookmarkStart w:id="4815" w:name="_Toc170120295"/>
      <w:bookmarkStart w:id="4816" w:name="_Toc175858540"/>
      <w:bookmarkStart w:id="4817" w:name="_Toc175859613"/>
      <w:bookmarkStart w:id="4818" w:name="_Toc180605903"/>
      <w:bookmarkStart w:id="4819" w:name="_Toc185517157"/>
      <w:bookmarkStart w:id="4820" w:name="_Toc191576208"/>
      <w:bookmarkStart w:id="4821" w:name="_Toc191576948"/>
      <w:bookmarkStart w:id="4822" w:name="_Toc192880018"/>
      <w:bookmarkStart w:id="4823" w:name="_Toc195814901"/>
      <w:bookmarkStart w:id="4824" w:name="_Toc199452868"/>
      <w:r>
        <w:t>5.1.3.4</w:t>
      </w:r>
      <w:r>
        <w:tab/>
        <w:t>Resource: NWDAF Event Subscription</w:t>
      </w:r>
      <w:bookmarkEnd w:id="4813"/>
      <w:r>
        <w:t xml:space="preserve"> Transfers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4"/>
      <w:bookmarkEnd w:id="4815"/>
      <w:bookmarkEnd w:id="4816"/>
      <w:bookmarkEnd w:id="4817"/>
      <w:bookmarkEnd w:id="4818"/>
      <w:bookmarkEnd w:id="4819"/>
      <w:bookmarkEnd w:id="4820"/>
      <w:bookmarkEnd w:id="4821"/>
      <w:bookmarkEnd w:id="4822"/>
      <w:bookmarkEnd w:id="4823"/>
      <w:bookmarkEnd w:id="4824"/>
    </w:p>
    <w:p w14:paraId="18C7F505" w14:textId="77777777" w:rsidR="00A10B25" w:rsidRDefault="00A10B25">
      <w:pPr>
        <w:pStyle w:val="5"/>
      </w:pPr>
      <w:bookmarkStart w:id="4825" w:name="_Toc73564416"/>
      <w:bookmarkStart w:id="4826" w:name="_Toc88667559"/>
      <w:bookmarkStart w:id="4827" w:name="_Toc138754183"/>
      <w:bookmarkStart w:id="4828" w:name="_Toc120702282"/>
      <w:bookmarkStart w:id="4829" w:name="_Toc101244388"/>
      <w:bookmarkStart w:id="4830" w:name="_Toc104538981"/>
      <w:bookmarkStart w:id="4831" w:name="_Toc94064227"/>
      <w:bookmarkStart w:id="4832" w:name="_Toc85552958"/>
      <w:bookmarkStart w:id="4833" w:name="_Toc112951103"/>
      <w:bookmarkStart w:id="4834" w:name="_Toc114133782"/>
      <w:bookmarkStart w:id="4835" w:name="_Toc90655844"/>
      <w:bookmarkStart w:id="4836" w:name="_Toc85557057"/>
      <w:bookmarkStart w:id="4837" w:name="_Toc98233612"/>
      <w:bookmarkStart w:id="4838" w:name="_Toc145705670"/>
      <w:bookmarkStart w:id="4839" w:name="_Toc148522574"/>
      <w:bookmarkStart w:id="4840" w:name="_Toc136562349"/>
      <w:bookmarkStart w:id="4841" w:name="_Toc113031643"/>
      <w:bookmarkStart w:id="4842" w:name="_Toc164920754"/>
      <w:bookmarkStart w:id="4843" w:name="_Toc170120296"/>
      <w:bookmarkStart w:id="4844" w:name="_Toc175858541"/>
      <w:bookmarkStart w:id="4845" w:name="_Toc175859614"/>
      <w:bookmarkStart w:id="4846" w:name="_Toc180605904"/>
      <w:bookmarkStart w:id="4847" w:name="_Toc185517158"/>
      <w:bookmarkStart w:id="4848" w:name="_Toc191576209"/>
      <w:bookmarkStart w:id="4849" w:name="_Toc191576949"/>
      <w:bookmarkStart w:id="4850" w:name="_Toc192880019"/>
      <w:bookmarkStart w:id="4851" w:name="_Toc195814902"/>
      <w:bookmarkStart w:id="4852" w:name="_Toc199452869"/>
      <w:r>
        <w:t>5.1.3.4.1</w:t>
      </w:r>
      <w:r>
        <w:tab/>
        <w:t>Description</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4A0F80E1" w14:textId="77777777" w:rsidR="00A10B25" w:rsidRDefault="00A10B25">
      <w:r>
        <w:t>The NWDAF Event Subscription Transfers resource represents all requests to transfer subscription(s) of the Nnwdaf_EventsSubscription service at a given NWDAF. The resource allows an NF service consumer to provide information about analytics subscriptions that are requested to be:</w:t>
      </w:r>
    </w:p>
    <w:p w14:paraId="4FD01D31" w14:textId="77777777" w:rsidR="00A10B25" w:rsidRDefault="00A10B25">
      <w:pPr>
        <w:pStyle w:val="B1"/>
      </w:pPr>
      <w:r>
        <w:t>-</w:t>
      </w:r>
      <w:r>
        <w:tab/>
        <w:t>prepared for transfer, leading to the creation of a new Individual NWDAF Event Subscription Transfer resource, which can be later modified, removed, or requested to be transferred; and</w:t>
      </w:r>
    </w:p>
    <w:p w14:paraId="7DFCB863" w14:textId="77777777" w:rsidR="00A10B25" w:rsidRDefault="00A10B25">
      <w:pPr>
        <w:pStyle w:val="B1"/>
      </w:pPr>
      <w:r>
        <w:t>-</w:t>
      </w:r>
      <w:r>
        <w:tab/>
        <w:t>transferred, leading to the execution of the necessary steps for transferring the analytics subscription.</w:t>
      </w:r>
    </w:p>
    <w:p w14:paraId="633ABB21" w14:textId="77777777" w:rsidR="00A10B25" w:rsidRDefault="00A10B25">
      <w:pPr>
        <w:pStyle w:val="5"/>
      </w:pPr>
      <w:bookmarkStart w:id="4853" w:name="_Toc90655845"/>
      <w:bookmarkStart w:id="4854" w:name="_Toc73564417"/>
      <w:bookmarkStart w:id="4855" w:name="_Toc104538982"/>
      <w:bookmarkStart w:id="4856" w:name="_Toc85557058"/>
      <w:bookmarkStart w:id="4857" w:name="_Toc136562350"/>
      <w:bookmarkStart w:id="4858" w:name="_Toc113031644"/>
      <w:bookmarkStart w:id="4859" w:name="_Toc138754184"/>
      <w:bookmarkStart w:id="4860" w:name="_Toc148522575"/>
      <w:bookmarkStart w:id="4861" w:name="_Toc85552959"/>
      <w:bookmarkStart w:id="4862" w:name="_Toc98233613"/>
      <w:bookmarkStart w:id="4863" w:name="_Toc101244389"/>
      <w:bookmarkStart w:id="4864" w:name="_Toc112951104"/>
      <w:bookmarkStart w:id="4865" w:name="_Toc88667560"/>
      <w:bookmarkStart w:id="4866" w:name="_Toc120702283"/>
      <w:bookmarkStart w:id="4867" w:name="_Toc94064228"/>
      <w:bookmarkStart w:id="4868" w:name="_Toc145705671"/>
      <w:bookmarkStart w:id="4869" w:name="_Toc114133783"/>
      <w:bookmarkStart w:id="4870" w:name="_Toc164920755"/>
      <w:bookmarkStart w:id="4871" w:name="_Toc170120297"/>
      <w:bookmarkStart w:id="4872" w:name="_Toc175858542"/>
      <w:bookmarkStart w:id="4873" w:name="_Toc175859615"/>
      <w:bookmarkStart w:id="4874" w:name="_Toc180605905"/>
      <w:bookmarkStart w:id="4875" w:name="_Toc185517159"/>
      <w:bookmarkStart w:id="4876" w:name="_Toc191576210"/>
      <w:bookmarkStart w:id="4877" w:name="_Toc191576950"/>
      <w:bookmarkStart w:id="4878" w:name="_Toc192880020"/>
      <w:bookmarkStart w:id="4879" w:name="_Toc195814903"/>
      <w:bookmarkStart w:id="4880" w:name="_Toc199452870"/>
      <w:r>
        <w:t>5.1.3.4.2</w:t>
      </w:r>
      <w:r>
        <w:tab/>
        <w:t>Resource definition</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5F29C2EB" w14:textId="77777777" w:rsidR="00A10B25" w:rsidRDefault="00A10B25">
      <w:r>
        <w:t xml:space="preserve">Resource URI: </w:t>
      </w:r>
      <w:r>
        <w:rPr>
          <w:b/>
        </w:rPr>
        <w:t>{apiRoot}/nnwdaf-eventssubscription/&lt;apiVersion&gt;/transfers</w:t>
      </w:r>
    </w:p>
    <w:p w14:paraId="60279AB8" w14:textId="77777777" w:rsidR="00A10B25" w:rsidRDefault="00A10B25">
      <w:pPr>
        <w:rPr>
          <w:lang w:val="en-US"/>
        </w:rPr>
      </w:pPr>
      <w:r>
        <w:rPr>
          <w:lang w:val="en-US" w:eastAsia="zh-CN"/>
        </w:rPr>
        <w:t>The &lt;apiVersion&gt; shall be set as described in clause</w:t>
      </w:r>
      <w:r>
        <w:rPr>
          <w:lang w:val="en-US" w:eastAsia="zh-CN"/>
        </w:rPr>
        <w:t> 5.1</w:t>
      </w:r>
      <w:r>
        <w:rPr>
          <w:lang w:val="en-US" w:eastAsia="zh-CN"/>
        </w:rPr>
        <w:t>.1</w:t>
      </w:r>
      <w:r>
        <w:rPr>
          <w:lang w:val="en-US" w:eastAsia="zh-CN"/>
        </w:rPr>
        <w:t>.</w:t>
      </w:r>
    </w:p>
    <w:p w14:paraId="6A676D84" w14:textId="77777777" w:rsidR="00A10B25" w:rsidRDefault="00A10B25">
      <w:pPr>
        <w:rPr>
          <w:rFonts w:ascii="Arial" w:hAnsi="Arial" w:cs="Arial"/>
        </w:rPr>
      </w:pPr>
      <w:r>
        <w:t>This resource shall support the resource URI variables defined in table 5.1.3.4.2-1</w:t>
      </w:r>
      <w:r>
        <w:rPr>
          <w:rFonts w:ascii="Arial" w:hAnsi="Arial" w:cs="Arial"/>
        </w:rPr>
        <w:t>.</w:t>
      </w:r>
    </w:p>
    <w:p w14:paraId="1CE157A4" w14:textId="77777777" w:rsidR="00A10B25" w:rsidRDefault="00A10B25">
      <w:pPr>
        <w:pStyle w:val="TH"/>
        <w:overflowPunct w:val="0"/>
        <w:autoSpaceDE w:val="0"/>
        <w:autoSpaceDN w:val="0"/>
        <w:adjustRightInd w:val="0"/>
        <w:textAlignment w:val="baseline"/>
        <w:rPr>
          <w:rFonts w:eastAsia="MS Mincho"/>
        </w:rPr>
      </w:pPr>
      <w:r>
        <w:rPr>
          <w:rFonts w:eastAsia="MS Mincho"/>
        </w:rPr>
        <w:t>Table 5.1.3.4.2-1: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11A0E092" w14:textId="77777777">
        <w:trPr>
          <w:jc w:val="center"/>
        </w:trPr>
        <w:tc>
          <w:tcPr>
            <w:tcW w:w="559" w:type="pct"/>
            <w:shd w:val="clear" w:color="000000" w:fill="C0C0C0"/>
          </w:tcPr>
          <w:p w14:paraId="0BEBFDA2" w14:textId="77777777" w:rsidR="00A10B25" w:rsidRDefault="00A10B25">
            <w:pPr>
              <w:pStyle w:val="TAH"/>
            </w:pPr>
            <w:r>
              <w:t>Name</w:t>
            </w:r>
          </w:p>
        </w:tc>
        <w:tc>
          <w:tcPr>
            <w:tcW w:w="636" w:type="pct"/>
            <w:shd w:val="clear" w:color="000000" w:fill="C0C0C0"/>
          </w:tcPr>
          <w:p w14:paraId="776DD52A"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4B9797A1" w14:textId="77777777" w:rsidR="00A10B25" w:rsidRDefault="00A10B25">
            <w:pPr>
              <w:pStyle w:val="TAH"/>
            </w:pPr>
            <w:r>
              <w:t>Definition</w:t>
            </w:r>
          </w:p>
        </w:tc>
      </w:tr>
      <w:tr w:rsidR="00A10B25" w14:paraId="513575A0" w14:textId="77777777">
        <w:trPr>
          <w:jc w:val="center"/>
        </w:trPr>
        <w:tc>
          <w:tcPr>
            <w:tcW w:w="559" w:type="pct"/>
          </w:tcPr>
          <w:p w14:paraId="63D3F5C9" w14:textId="77777777" w:rsidR="00A10B25" w:rsidRDefault="00A10B25">
            <w:pPr>
              <w:pStyle w:val="TAL"/>
            </w:pPr>
            <w:r>
              <w:t>apiRoot</w:t>
            </w:r>
          </w:p>
        </w:tc>
        <w:tc>
          <w:tcPr>
            <w:tcW w:w="636" w:type="pct"/>
          </w:tcPr>
          <w:p w14:paraId="55891B6D" w14:textId="77777777" w:rsidR="00A10B25" w:rsidRDefault="00A10B25">
            <w:pPr>
              <w:pStyle w:val="TAL"/>
            </w:pPr>
            <w:r>
              <w:t>string</w:t>
            </w:r>
          </w:p>
        </w:tc>
        <w:tc>
          <w:tcPr>
            <w:tcW w:w="3805" w:type="pct"/>
            <w:vAlign w:val="center"/>
          </w:tcPr>
          <w:p w14:paraId="07EE04A9" w14:textId="77777777" w:rsidR="00A10B25" w:rsidRDefault="00A10B25">
            <w:pPr>
              <w:pStyle w:val="TAL"/>
            </w:pPr>
            <w:r>
              <w:t>See clause</w:t>
            </w:r>
            <w:r>
              <w:rPr>
                <w:lang w:val="en-US" w:eastAsia="zh-CN"/>
              </w:rPr>
              <w:t> </w:t>
            </w:r>
            <w:r>
              <w:t>5.1.1</w:t>
            </w:r>
          </w:p>
        </w:tc>
      </w:tr>
    </w:tbl>
    <w:p w14:paraId="0AEE57BD" w14:textId="77777777" w:rsidR="00A10B25" w:rsidRDefault="00A10B25"/>
    <w:p w14:paraId="74A8B49D" w14:textId="77777777" w:rsidR="00A10B25" w:rsidRDefault="00A10B25">
      <w:pPr>
        <w:pStyle w:val="5"/>
      </w:pPr>
      <w:bookmarkStart w:id="4881" w:name="_Toc114133784"/>
      <w:bookmarkStart w:id="4882" w:name="_Toc101244390"/>
      <w:bookmarkStart w:id="4883" w:name="_Toc85557059"/>
      <w:bookmarkStart w:id="4884" w:name="_Toc104538983"/>
      <w:bookmarkStart w:id="4885" w:name="_Toc98233614"/>
      <w:bookmarkStart w:id="4886" w:name="_Toc113031645"/>
      <w:bookmarkStart w:id="4887" w:name="_Toc85552960"/>
      <w:bookmarkStart w:id="4888" w:name="_Toc120702284"/>
      <w:bookmarkStart w:id="4889" w:name="_Toc138754185"/>
      <w:bookmarkStart w:id="4890" w:name="_Toc112951105"/>
      <w:bookmarkStart w:id="4891" w:name="_Toc73564418"/>
      <w:bookmarkStart w:id="4892" w:name="_Toc136562351"/>
      <w:bookmarkStart w:id="4893" w:name="_Toc94064229"/>
      <w:bookmarkStart w:id="4894" w:name="_Toc145705672"/>
      <w:bookmarkStart w:id="4895" w:name="_Toc88667561"/>
      <w:bookmarkStart w:id="4896" w:name="_Toc148522576"/>
      <w:bookmarkStart w:id="4897" w:name="_Toc90655846"/>
      <w:bookmarkStart w:id="4898" w:name="_Toc164920756"/>
      <w:bookmarkStart w:id="4899" w:name="_Toc170120298"/>
      <w:bookmarkStart w:id="4900" w:name="_Toc175858543"/>
      <w:bookmarkStart w:id="4901" w:name="_Toc175859616"/>
      <w:bookmarkStart w:id="4902" w:name="_Toc180605906"/>
      <w:bookmarkStart w:id="4903" w:name="_Toc185517160"/>
      <w:bookmarkStart w:id="4904" w:name="_Toc191576211"/>
      <w:bookmarkStart w:id="4905" w:name="_Toc191576951"/>
      <w:bookmarkStart w:id="4906" w:name="_Toc192880021"/>
      <w:bookmarkStart w:id="4907" w:name="_Toc195814904"/>
      <w:bookmarkStart w:id="4908" w:name="_Toc199452871"/>
      <w:r>
        <w:t>5.1.3.4.3</w:t>
      </w:r>
      <w:r>
        <w:tab/>
        <w:t>Resource Standard Methods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0725EBC4" w14:textId="77777777" w:rsidR="00A10B25" w:rsidRDefault="00A10B25">
      <w:pPr>
        <w:pStyle w:val="6"/>
      </w:pPr>
      <w:bookmarkStart w:id="4909" w:name="_Toc114133785"/>
      <w:bookmarkStart w:id="4910" w:name="_Toc136562352"/>
      <w:bookmarkStart w:id="4911" w:name="_Toc90655847"/>
      <w:bookmarkStart w:id="4912" w:name="_Toc138754186"/>
      <w:bookmarkStart w:id="4913" w:name="_Toc145705673"/>
      <w:bookmarkStart w:id="4914" w:name="_Toc113031646"/>
      <w:bookmarkStart w:id="4915" w:name="_Toc101244391"/>
      <w:bookmarkStart w:id="4916" w:name="_Toc120702285"/>
      <w:bookmarkStart w:id="4917" w:name="_Toc98233615"/>
      <w:bookmarkStart w:id="4918" w:name="_Toc85557060"/>
      <w:bookmarkStart w:id="4919" w:name="_Toc94064230"/>
      <w:bookmarkStart w:id="4920" w:name="_Toc88667562"/>
      <w:bookmarkStart w:id="4921" w:name="_Toc112951106"/>
      <w:bookmarkStart w:id="4922" w:name="_Toc73564419"/>
      <w:bookmarkStart w:id="4923" w:name="_Toc104538984"/>
      <w:bookmarkStart w:id="4924" w:name="_Toc148522577"/>
      <w:bookmarkStart w:id="4925" w:name="_Toc85552961"/>
      <w:bookmarkStart w:id="4926" w:name="_Toc164920757"/>
      <w:bookmarkStart w:id="4927" w:name="_Toc170120299"/>
      <w:bookmarkStart w:id="4928" w:name="_Toc175858544"/>
      <w:bookmarkStart w:id="4929" w:name="_Toc175859617"/>
      <w:bookmarkStart w:id="4930" w:name="_Toc180605907"/>
      <w:bookmarkStart w:id="4931" w:name="_Toc185517161"/>
      <w:bookmarkStart w:id="4932" w:name="_Toc191576212"/>
      <w:bookmarkStart w:id="4933" w:name="_Toc191576952"/>
      <w:bookmarkStart w:id="4934" w:name="_Toc192880022"/>
      <w:bookmarkStart w:id="4935" w:name="_Toc195814905"/>
      <w:bookmarkStart w:id="4936" w:name="_Toc199452872"/>
      <w:r>
        <w:t>5.1.3.4.3.1</w:t>
      </w:r>
      <w:r>
        <w:tab/>
        <w:t>POST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54D27413" w14:textId="77777777" w:rsidR="00A10B25" w:rsidRDefault="00A10B25">
      <w:r>
        <w:t>This method shall support the URI query parameters specified in table 5.1.3.4.3.1-1.</w:t>
      </w:r>
    </w:p>
    <w:p w14:paraId="28BBEDBF" w14:textId="77777777" w:rsidR="00A10B25" w:rsidRDefault="00A10B25">
      <w:pPr>
        <w:pStyle w:val="TH"/>
        <w:overflowPunct w:val="0"/>
        <w:autoSpaceDE w:val="0"/>
        <w:autoSpaceDN w:val="0"/>
        <w:adjustRightInd w:val="0"/>
        <w:textAlignment w:val="baseline"/>
        <w:rPr>
          <w:rFonts w:eastAsia="MS Mincho"/>
        </w:rPr>
      </w:pPr>
      <w:r>
        <w:rPr>
          <w:rFonts w:eastAsia="MS Mincho"/>
        </w:rPr>
        <w:t>Table 5.1.3.4.3.1-1: URI query parameters supported by the POST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73DD04B" w14:textId="77777777">
        <w:trPr>
          <w:jc w:val="center"/>
        </w:trPr>
        <w:tc>
          <w:tcPr>
            <w:tcW w:w="825" w:type="pct"/>
            <w:tcBorders>
              <w:bottom w:val="single" w:sz="6" w:space="0" w:color="auto"/>
            </w:tcBorders>
            <w:shd w:val="clear" w:color="auto" w:fill="C0C0C0"/>
          </w:tcPr>
          <w:p w14:paraId="4C9C80FE" w14:textId="77777777" w:rsidR="00A10B25" w:rsidRDefault="00A10B25">
            <w:pPr>
              <w:pStyle w:val="TAH"/>
            </w:pPr>
            <w:r>
              <w:t>Name</w:t>
            </w:r>
          </w:p>
        </w:tc>
        <w:tc>
          <w:tcPr>
            <w:tcW w:w="732" w:type="pct"/>
            <w:tcBorders>
              <w:bottom w:val="single" w:sz="6" w:space="0" w:color="auto"/>
            </w:tcBorders>
            <w:shd w:val="clear" w:color="auto" w:fill="C0C0C0"/>
          </w:tcPr>
          <w:p w14:paraId="2B0D6A7D" w14:textId="77777777" w:rsidR="00A10B25" w:rsidRDefault="00A10B25">
            <w:pPr>
              <w:pStyle w:val="TAH"/>
            </w:pPr>
            <w:r>
              <w:t>Data type</w:t>
            </w:r>
          </w:p>
        </w:tc>
        <w:tc>
          <w:tcPr>
            <w:tcW w:w="217" w:type="pct"/>
            <w:tcBorders>
              <w:bottom w:val="single" w:sz="6" w:space="0" w:color="auto"/>
            </w:tcBorders>
            <w:shd w:val="clear" w:color="auto" w:fill="C0C0C0"/>
          </w:tcPr>
          <w:p w14:paraId="3CBB0B90" w14:textId="77777777" w:rsidR="00A10B25" w:rsidRDefault="00A10B25">
            <w:pPr>
              <w:pStyle w:val="TAH"/>
            </w:pPr>
            <w:r>
              <w:t>P</w:t>
            </w:r>
          </w:p>
        </w:tc>
        <w:tc>
          <w:tcPr>
            <w:tcW w:w="581" w:type="pct"/>
            <w:tcBorders>
              <w:bottom w:val="single" w:sz="6" w:space="0" w:color="auto"/>
            </w:tcBorders>
            <w:shd w:val="clear" w:color="auto" w:fill="C0C0C0"/>
          </w:tcPr>
          <w:p w14:paraId="6EB75818"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ABB872F" w14:textId="77777777" w:rsidR="00A10B25" w:rsidRDefault="00A10B25">
            <w:pPr>
              <w:pStyle w:val="TAH"/>
            </w:pPr>
            <w:r>
              <w:t>Description</w:t>
            </w:r>
          </w:p>
        </w:tc>
      </w:tr>
      <w:tr w:rsidR="00A10B25" w14:paraId="3F77251F" w14:textId="77777777">
        <w:trPr>
          <w:jc w:val="center"/>
        </w:trPr>
        <w:tc>
          <w:tcPr>
            <w:tcW w:w="825" w:type="pct"/>
            <w:tcBorders>
              <w:top w:val="single" w:sz="6" w:space="0" w:color="auto"/>
            </w:tcBorders>
          </w:tcPr>
          <w:p w14:paraId="796CAC41" w14:textId="77777777" w:rsidR="00A10B25" w:rsidRDefault="00A10B25">
            <w:pPr>
              <w:pStyle w:val="TAL"/>
            </w:pPr>
            <w:r>
              <w:t>n/a</w:t>
            </w:r>
          </w:p>
        </w:tc>
        <w:tc>
          <w:tcPr>
            <w:tcW w:w="732" w:type="pct"/>
            <w:tcBorders>
              <w:top w:val="single" w:sz="6" w:space="0" w:color="auto"/>
            </w:tcBorders>
          </w:tcPr>
          <w:p w14:paraId="59191FBD" w14:textId="77777777" w:rsidR="00A10B25" w:rsidRDefault="00A10B25">
            <w:pPr>
              <w:pStyle w:val="TAL"/>
            </w:pPr>
          </w:p>
        </w:tc>
        <w:tc>
          <w:tcPr>
            <w:tcW w:w="217" w:type="pct"/>
            <w:tcBorders>
              <w:top w:val="single" w:sz="6" w:space="0" w:color="auto"/>
            </w:tcBorders>
          </w:tcPr>
          <w:p w14:paraId="33E385AE" w14:textId="77777777" w:rsidR="00A10B25" w:rsidRDefault="00A10B25">
            <w:pPr>
              <w:pStyle w:val="TAC"/>
            </w:pPr>
          </w:p>
        </w:tc>
        <w:tc>
          <w:tcPr>
            <w:tcW w:w="581" w:type="pct"/>
            <w:tcBorders>
              <w:top w:val="single" w:sz="6" w:space="0" w:color="auto"/>
            </w:tcBorders>
          </w:tcPr>
          <w:p w14:paraId="3A8C2CE4" w14:textId="77777777" w:rsidR="00A10B25" w:rsidRDefault="00A10B25">
            <w:pPr>
              <w:pStyle w:val="TAL"/>
            </w:pPr>
          </w:p>
        </w:tc>
        <w:tc>
          <w:tcPr>
            <w:tcW w:w="2646" w:type="pct"/>
            <w:tcBorders>
              <w:top w:val="single" w:sz="6" w:space="0" w:color="auto"/>
            </w:tcBorders>
            <w:vAlign w:val="center"/>
          </w:tcPr>
          <w:p w14:paraId="2EA30803" w14:textId="77777777" w:rsidR="00A10B25" w:rsidRDefault="00A10B25">
            <w:pPr>
              <w:pStyle w:val="TAL"/>
            </w:pPr>
          </w:p>
        </w:tc>
      </w:tr>
    </w:tbl>
    <w:p w14:paraId="58D7DB6B" w14:textId="77777777" w:rsidR="00A10B25" w:rsidRDefault="00A10B25"/>
    <w:p w14:paraId="6C098ACF" w14:textId="77777777" w:rsidR="00A10B25" w:rsidRDefault="00A10B25">
      <w:r>
        <w:t>This method shall support the request data structures specified in table 5.1.3.4.3.1-2 and the response data structures and response codes specified in table 5.1.3.4.3.1-3.</w:t>
      </w:r>
    </w:p>
    <w:p w14:paraId="451F1977" w14:textId="77777777" w:rsidR="00A10B25" w:rsidRDefault="00A10B25">
      <w:pPr>
        <w:pStyle w:val="TH"/>
        <w:overflowPunct w:val="0"/>
        <w:autoSpaceDE w:val="0"/>
        <w:autoSpaceDN w:val="0"/>
        <w:adjustRightInd w:val="0"/>
        <w:textAlignment w:val="baseline"/>
        <w:rPr>
          <w:rFonts w:eastAsia="MS Mincho"/>
        </w:rPr>
      </w:pPr>
      <w:r>
        <w:rPr>
          <w:rFonts w:eastAsia="MS Mincho"/>
        </w:rPr>
        <w:t>Table 5.1.3.4.3.1-2: Data structures supported by the POST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17794E22" w14:textId="77777777">
        <w:trPr>
          <w:jc w:val="center"/>
        </w:trPr>
        <w:tc>
          <w:tcPr>
            <w:tcW w:w="1612" w:type="dxa"/>
            <w:tcBorders>
              <w:bottom w:val="single" w:sz="6" w:space="0" w:color="auto"/>
            </w:tcBorders>
            <w:shd w:val="clear" w:color="auto" w:fill="C0C0C0"/>
          </w:tcPr>
          <w:p w14:paraId="5520C438" w14:textId="77777777" w:rsidR="00A10B25" w:rsidRDefault="00A10B25">
            <w:pPr>
              <w:pStyle w:val="TAH"/>
            </w:pPr>
            <w:r>
              <w:t>Data type</w:t>
            </w:r>
          </w:p>
        </w:tc>
        <w:tc>
          <w:tcPr>
            <w:tcW w:w="422" w:type="dxa"/>
            <w:tcBorders>
              <w:bottom w:val="single" w:sz="6" w:space="0" w:color="auto"/>
            </w:tcBorders>
            <w:shd w:val="clear" w:color="auto" w:fill="C0C0C0"/>
          </w:tcPr>
          <w:p w14:paraId="651477F3" w14:textId="77777777" w:rsidR="00A10B25" w:rsidRDefault="00A10B25">
            <w:pPr>
              <w:pStyle w:val="TAH"/>
            </w:pPr>
            <w:r>
              <w:t>P</w:t>
            </w:r>
          </w:p>
        </w:tc>
        <w:tc>
          <w:tcPr>
            <w:tcW w:w="1264" w:type="dxa"/>
            <w:tcBorders>
              <w:bottom w:val="single" w:sz="6" w:space="0" w:color="auto"/>
            </w:tcBorders>
            <w:shd w:val="clear" w:color="auto" w:fill="C0C0C0"/>
          </w:tcPr>
          <w:p w14:paraId="5D4A9CC9"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126DC05C" w14:textId="77777777" w:rsidR="00A10B25" w:rsidRDefault="00A10B25">
            <w:pPr>
              <w:pStyle w:val="TAH"/>
            </w:pPr>
            <w:r>
              <w:t>Description</w:t>
            </w:r>
          </w:p>
        </w:tc>
      </w:tr>
      <w:tr w:rsidR="00A10B25" w14:paraId="77865A7D" w14:textId="77777777">
        <w:trPr>
          <w:jc w:val="center"/>
        </w:trPr>
        <w:tc>
          <w:tcPr>
            <w:tcW w:w="1612" w:type="dxa"/>
            <w:tcBorders>
              <w:top w:val="single" w:sz="6" w:space="0" w:color="auto"/>
            </w:tcBorders>
          </w:tcPr>
          <w:p w14:paraId="23B7377C" w14:textId="77777777" w:rsidR="00A10B25" w:rsidRDefault="00A10B25">
            <w:pPr>
              <w:pStyle w:val="TAL"/>
            </w:pPr>
            <w:r>
              <w:rPr>
                <w:rFonts w:eastAsia="等线"/>
              </w:rPr>
              <w:t>AnalyticsSubscriptionsTransfer</w:t>
            </w:r>
          </w:p>
        </w:tc>
        <w:tc>
          <w:tcPr>
            <w:tcW w:w="422" w:type="dxa"/>
            <w:tcBorders>
              <w:top w:val="single" w:sz="6" w:space="0" w:color="auto"/>
            </w:tcBorders>
          </w:tcPr>
          <w:p w14:paraId="46D84E50" w14:textId="77777777" w:rsidR="00A10B25" w:rsidRDefault="00A10B25">
            <w:pPr>
              <w:pStyle w:val="TAC"/>
            </w:pPr>
            <w:r>
              <w:t>M</w:t>
            </w:r>
          </w:p>
        </w:tc>
        <w:tc>
          <w:tcPr>
            <w:tcW w:w="1264" w:type="dxa"/>
            <w:tcBorders>
              <w:top w:val="single" w:sz="6" w:space="0" w:color="auto"/>
            </w:tcBorders>
          </w:tcPr>
          <w:p w14:paraId="73412ABA" w14:textId="77777777" w:rsidR="00A10B25" w:rsidRDefault="00A10B25">
            <w:pPr>
              <w:pStyle w:val="TAL"/>
            </w:pPr>
            <w:r>
              <w:t>1</w:t>
            </w:r>
          </w:p>
        </w:tc>
        <w:tc>
          <w:tcPr>
            <w:tcW w:w="6381" w:type="dxa"/>
            <w:tcBorders>
              <w:top w:val="single" w:sz="6" w:space="0" w:color="auto"/>
            </w:tcBorders>
          </w:tcPr>
          <w:p w14:paraId="26110F58" w14:textId="77777777" w:rsidR="00A10B25" w:rsidRDefault="00A10B25">
            <w:pPr>
              <w:pStyle w:val="TAL"/>
            </w:pPr>
            <w:r>
              <w:t>Information about analytics subscription(s) that are requested to be transferred or prepared for transfer.</w:t>
            </w:r>
          </w:p>
        </w:tc>
      </w:tr>
    </w:tbl>
    <w:p w14:paraId="784A5E19" w14:textId="77777777" w:rsidR="00A10B25" w:rsidRDefault="00A10B25"/>
    <w:p w14:paraId="5808EC7A" w14:textId="77777777" w:rsidR="00A10B25" w:rsidRDefault="00A10B25">
      <w:pPr>
        <w:pStyle w:val="TH"/>
        <w:overflowPunct w:val="0"/>
        <w:autoSpaceDE w:val="0"/>
        <w:autoSpaceDN w:val="0"/>
        <w:adjustRightInd w:val="0"/>
        <w:textAlignment w:val="baseline"/>
        <w:rPr>
          <w:rFonts w:eastAsia="MS Mincho"/>
        </w:rPr>
      </w:pPr>
      <w:r>
        <w:rPr>
          <w:rFonts w:eastAsia="MS Mincho"/>
        </w:rPr>
        <w:t>Table 5.1.3.4.3.1-3: Data structures supported by the POST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07"/>
        <w:gridCol w:w="371"/>
        <w:gridCol w:w="1173"/>
        <w:gridCol w:w="1047"/>
        <w:gridCol w:w="4342"/>
      </w:tblGrid>
      <w:tr w:rsidR="00A10B25" w14:paraId="47E21C51" w14:textId="77777777">
        <w:trPr>
          <w:jc w:val="center"/>
        </w:trPr>
        <w:tc>
          <w:tcPr>
            <w:tcW w:w="1345" w:type="pct"/>
            <w:tcBorders>
              <w:bottom w:val="single" w:sz="6" w:space="0" w:color="auto"/>
            </w:tcBorders>
            <w:shd w:val="clear" w:color="auto" w:fill="C0C0C0"/>
          </w:tcPr>
          <w:p w14:paraId="6964E6D9" w14:textId="77777777" w:rsidR="00A10B25" w:rsidRDefault="00A10B25">
            <w:pPr>
              <w:pStyle w:val="TAH"/>
            </w:pPr>
            <w:r>
              <w:t>Data type</w:t>
            </w:r>
          </w:p>
        </w:tc>
        <w:tc>
          <w:tcPr>
            <w:tcW w:w="200" w:type="pct"/>
            <w:tcBorders>
              <w:bottom w:val="single" w:sz="6" w:space="0" w:color="auto"/>
            </w:tcBorders>
            <w:shd w:val="clear" w:color="auto" w:fill="C0C0C0"/>
          </w:tcPr>
          <w:p w14:paraId="5EF90D90" w14:textId="77777777" w:rsidR="00A10B25" w:rsidRDefault="00A10B25">
            <w:pPr>
              <w:pStyle w:val="TAH"/>
            </w:pPr>
            <w:r>
              <w:t>P</w:t>
            </w:r>
          </w:p>
        </w:tc>
        <w:tc>
          <w:tcPr>
            <w:tcW w:w="620" w:type="pct"/>
            <w:tcBorders>
              <w:bottom w:val="single" w:sz="6" w:space="0" w:color="auto"/>
            </w:tcBorders>
            <w:shd w:val="clear" w:color="auto" w:fill="C0C0C0"/>
          </w:tcPr>
          <w:p w14:paraId="138A3B63" w14:textId="77777777" w:rsidR="00A10B25" w:rsidRDefault="00A10B25">
            <w:pPr>
              <w:pStyle w:val="TAH"/>
            </w:pPr>
            <w:r>
              <w:t>Cardinality</w:t>
            </w:r>
          </w:p>
        </w:tc>
        <w:tc>
          <w:tcPr>
            <w:tcW w:w="554" w:type="pct"/>
            <w:tcBorders>
              <w:bottom w:val="single" w:sz="6" w:space="0" w:color="auto"/>
            </w:tcBorders>
            <w:shd w:val="clear" w:color="auto" w:fill="C0C0C0"/>
          </w:tcPr>
          <w:p w14:paraId="3914F1EC" w14:textId="77777777" w:rsidR="00A10B25" w:rsidRDefault="00A10B25">
            <w:pPr>
              <w:pStyle w:val="TAH"/>
            </w:pPr>
            <w:r>
              <w:t>Response</w:t>
            </w:r>
          </w:p>
          <w:p w14:paraId="7391C3F9" w14:textId="77777777" w:rsidR="00A10B25" w:rsidRDefault="00A10B25">
            <w:pPr>
              <w:pStyle w:val="TAH"/>
            </w:pPr>
            <w:r>
              <w:t>codes</w:t>
            </w:r>
          </w:p>
        </w:tc>
        <w:tc>
          <w:tcPr>
            <w:tcW w:w="2282" w:type="pct"/>
            <w:tcBorders>
              <w:bottom w:val="single" w:sz="6" w:space="0" w:color="auto"/>
            </w:tcBorders>
            <w:shd w:val="clear" w:color="auto" w:fill="C0C0C0"/>
          </w:tcPr>
          <w:p w14:paraId="3A180E1C" w14:textId="77777777" w:rsidR="00A10B25" w:rsidRDefault="00A10B25">
            <w:pPr>
              <w:pStyle w:val="TAH"/>
            </w:pPr>
            <w:r>
              <w:t>Description</w:t>
            </w:r>
          </w:p>
        </w:tc>
      </w:tr>
      <w:tr w:rsidR="00A10B25" w14:paraId="71F0BECC" w14:textId="77777777">
        <w:trPr>
          <w:jc w:val="center"/>
        </w:trPr>
        <w:tc>
          <w:tcPr>
            <w:tcW w:w="1345" w:type="pct"/>
            <w:tcBorders>
              <w:top w:val="single" w:sz="6" w:space="0" w:color="auto"/>
            </w:tcBorders>
          </w:tcPr>
          <w:p w14:paraId="48652897" w14:textId="77777777" w:rsidR="00A10B25" w:rsidRDefault="00A10B25">
            <w:pPr>
              <w:pStyle w:val="TAL"/>
            </w:pPr>
            <w:r>
              <w:rPr>
                <w:rFonts w:eastAsia="等线"/>
              </w:rPr>
              <w:t>AnalyticsSubscriptionsTransfer</w:t>
            </w:r>
          </w:p>
        </w:tc>
        <w:tc>
          <w:tcPr>
            <w:tcW w:w="200" w:type="pct"/>
            <w:tcBorders>
              <w:top w:val="single" w:sz="6" w:space="0" w:color="auto"/>
            </w:tcBorders>
          </w:tcPr>
          <w:p w14:paraId="6BD30889" w14:textId="77777777" w:rsidR="00A10B25" w:rsidRDefault="00A10B25">
            <w:pPr>
              <w:pStyle w:val="TAL"/>
              <w:jc w:val="center"/>
            </w:pPr>
            <w:r>
              <w:t>M</w:t>
            </w:r>
          </w:p>
        </w:tc>
        <w:tc>
          <w:tcPr>
            <w:tcW w:w="620" w:type="pct"/>
            <w:tcBorders>
              <w:top w:val="single" w:sz="6" w:space="0" w:color="auto"/>
            </w:tcBorders>
          </w:tcPr>
          <w:p w14:paraId="19FB6E40" w14:textId="77777777" w:rsidR="00A10B25" w:rsidRDefault="00A10B25">
            <w:pPr>
              <w:pStyle w:val="TAL"/>
            </w:pPr>
            <w:r>
              <w:t>1</w:t>
            </w:r>
          </w:p>
        </w:tc>
        <w:tc>
          <w:tcPr>
            <w:tcW w:w="554" w:type="pct"/>
            <w:tcBorders>
              <w:top w:val="single" w:sz="6" w:space="0" w:color="auto"/>
            </w:tcBorders>
          </w:tcPr>
          <w:p w14:paraId="5DC1581A" w14:textId="77777777" w:rsidR="00A10B25" w:rsidRDefault="00A10B25">
            <w:pPr>
              <w:pStyle w:val="TAL"/>
            </w:pPr>
            <w:r>
              <w:t>201 Created</w:t>
            </w:r>
          </w:p>
        </w:tc>
        <w:tc>
          <w:tcPr>
            <w:tcW w:w="2282" w:type="pct"/>
            <w:tcBorders>
              <w:top w:val="single" w:sz="6" w:space="0" w:color="auto"/>
            </w:tcBorders>
          </w:tcPr>
          <w:p w14:paraId="5D5DC8E4" w14:textId="77777777" w:rsidR="00A10B25" w:rsidRDefault="00A10B25">
            <w:pPr>
              <w:pStyle w:val="TAL"/>
            </w:pPr>
            <w:r>
              <w:t>The creation of an Individual NWDAF Event Subscription Transfer resource is confirmed and a representation of that resource is returned.</w:t>
            </w:r>
          </w:p>
        </w:tc>
      </w:tr>
      <w:tr w:rsidR="00A10B25" w14:paraId="2B137A53" w14:textId="77777777">
        <w:trPr>
          <w:jc w:val="center"/>
        </w:trPr>
        <w:tc>
          <w:tcPr>
            <w:tcW w:w="1345" w:type="pct"/>
          </w:tcPr>
          <w:p w14:paraId="3BD48E7F" w14:textId="77777777" w:rsidR="00A10B25" w:rsidRDefault="00A10B25">
            <w:pPr>
              <w:pStyle w:val="TAL"/>
            </w:pPr>
            <w:r>
              <w:t>n/a</w:t>
            </w:r>
          </w:p>
        </w:tc>
        <w:tc>
          <w:tcPr>
            <w:tcW w:w="200" w:type="pct"/>
          </w:tcPr>
          <w:p w14:paraId="646B77AD" w14:textId="77777777" w:rsidR="00A10B25" w:rsidRDefault="00A10B25">
            <w:pPr>
              <w:pStyle w:val="TAL"/>
              <w:jc w:val="center"/>
            </w:pPr>
          </w:p>
        </w:tc>
        <w:tc>
          <w:tcPr>
            <w:tcW w:w="620" w:type="pct"/>
          </w:tcPr>
          <w:p w14:paraId="09DB0403" w14:textId="77777777" w:rsidR="00A10B25" w:rsidRDefault="00A10B25">
            <w:pPr>
              <w:pStyle w:val="TAL"/>
            </w:pPr>
          </w:p>
        </w:tc>
        <w:tc>
          <w:tcPr>
            <w:tcW w:w="554" w:type="pct"/>
          </w:tcPr>
          <w:p w14:paraId="3235AA9A" w14:textId="77777777" w:rsidR="00A10B25" w:rsidRDefault="00A10B25">
            <w:pPr>
              <w:pStyle w:val="TAL"/>
            </w:pPr>
            <w:r>
              <w:t>204 No Content</w:t>
            </w:r>
          </w:p>
        </w:tc>
        <w:tc>
          <w:tcPr>
            <w:tcW w:w="2282" w:type="pct"/>
          </w:tcPr>
          <w:p w14:paraId="4FDEA2AC" w14:textId="77777777" w:rsidR="00A10B25" w:rsidRDefault="00A10B25">
            <w:pPr>
              <w:pStyle w:val="TAL"/>
            </w:pPr>
            <w:r>
              <w:t>The receipt of the information about analytics subscription(s) that are requested to be transferred and the ability to handle this information (e.g. execute the steps required to transfer an analytics subscription directly) is confirmed.</w:t>
            </w:r>
          </w:p>
        </w:tc>
      </w:tr>
      <w:tr w:rsidR="00A10B25" w14:paraId="6C5BDF0A" w14:textId="77777777">
        <w:tblPrEx>
          <w:tblCellMar>
            <w:right w:w="115" w:type="dxa"/>
          </w:tblCellMar>
        </w:tblPrEx>
        <w:trPr>
          <w:jc w:val="center"/>
        </w:trPr>
        <w:tc>
          <w:tcPr>
            <w:tcW w:w="5000" w:type="pct"/>
            <w:gridSpan w:val="5"/>
          </w:tcPr>
          <w:p w14:paraId="254893D3" w14:textId="77777777" w:rsidR="00A10B25" w:rsidRDefault="00A10B25">
            <w:pPr>
              <w:pStyle w:val="TAN"/>
              <w:rPr>
                <w:lang w:val="en-US" w:eastAsia="zh-CN"/>
              </w:rPr>
            </w:pPr>
            <w:r>
              <w:t>NOTE:</w:t>
            </w:r>
            <w:r>
              <w:rPr>
                <w:lang w:val="en-US" w:eastAsia="zh-CN"/>
              </w:rPr>
              <w:tab/>
              <w:t xml:space="preserve">The mandatory </w:t>
            </w:r>
            <w:r>
              <w:t>HTTP error status codes for the POST method listed in table 5.2.7.1-1 of 3GPP TS 29.500 [6] also apply.</w:t>
            </w:r>
          </w:p>
        </w:tc>
      </w:tr>
    </w:tbl>
    <w:p w14:paraId="1B887739" w14:textId="77777777" w:rsidR="00A10B25" w:rsidRDefault="00A10B25"/>
    <w:p w14:paraId="5D529175" w14:textId="77777777" w:rsidR="00A10B25" w:rsidRDefault="00A10B25">
      <w:pPr>
        <w:pStyle w:val="TH"/>
      </w:pPr>
      <w:r>
        <w:t>Table</w:t>
      </w:r>
      <w:r>
        <w:rPr>
          <w:lang w:val="en-US" w:eastAsia="zh-CN"/>
        </w:rPr>
        <w:t> </w:t>
      </w:r>
      <w:r>
        <w:rPr>
          <w:rFonts w:eastAsia="MS Mincho"/>
        </w:rPr>
        <w:t>5.1.3.4.3.1</w:t>
      </w:r>
      <w:r>
        <w:t xml:space="preserve">-4: Headers supported by the 201 Response Code on this resource </w:t>
      </w:r>
    </w:p>
    <w:tbl>
      <w:tblPr>
        <w:tblW w:w="0" w:type="auto"/>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7B053FE0" w14:textId="77777777">
        <w:trPr>
          <w:jc w:val="center"/>
        </w:trPr>
        <w:tc>
          <w:tcPr>
            <w:tcW w:w="1832" w:type="dxa"/>
            <w:tcBorders>
              <w:bottom w:val="single" w:sz="6" w:space="0" w:color="auto"/>
            </w:tcBorders>
            <w:shd w:val="clear" w:color="auto" w:fill="C0C0C0"/>
          </w:tcPr>
          <w:p w14:paraId="43A327D8" w14:textId="77777777" w:rsidR="00A10B25" w:rsidRDefault="00A10B25">
            <w:pPr>
              <w:pStyle w:val="TAH"/>
            </w:pPr>
            <w:r>
              <w:t>Name</w:t>
            </w:r>
          </w:p>
        </w:tc>
        <w:tc>
          <w:tcPr>
            <w:tcW w:w="1559" w:type="dxa"/>
            <w:tcBorders>
              <w:bottom w:val="single" w:sz="6" w:space="0" w:color="auto"/>
            </w:tcBorders>
            <w:shd w:val="clear" w:color="auto" w:fill="C0C0C0"/>
          </w:tcPr>
          <w:p w14:paraId="653C6A59" w14:textId="77777777" w:rsidR="00A10B25" w:rsidRDefault="00A10B25">
            <w:pPr>
              <w:pStyle w:val="TAH"/>
            </w:pPr>
            <w:r>
              <w:t>Data type</w:t>
            </w:r>
          </w:p>
        </w:tc>
        <w:tc>
          <w:tcPr>
            <w:tcW w:w="426" w:type="dxa"/>
            <w:tcBorders>
              <w:bottom w:val="single" w:sz="6" w:space="0" w:color="auto"/>
            </w:tcBorders>
            <w:shd w:val="clear" w:color="auto" w:fill="C0C0C0"/>
          </w:tcPr>
          <w:p w14:paraId="59C8D337" w14:textId="77777777" w:rsidR="00A10B25" w:rsidRDefault="00A10B25">
            <w:pPr>
              <w:pStyle w:val="TAH"/>
            </w:pPr>
            <w:r>
              <w:t>P</w:t>
            </w:r>
          </w:p>
        </w:tc>
        <w:tc>
          <w:tcPr>
            <w:tcW w:w="1275" w:type="dxa"/>
            <w:tcBorders>
              <w:bottom w:val="single" w:sz="6" w:space="0" w:color="auto"/>
            </w:tcBorders>
            <w:shd w:val="clear" w:color="auto" w:fill="C0C0C0"/>
          </w:tcPr>
          <w:p w14:paraId="085BBAA1"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42135734" w14:textId="77777777" w:rsidR="00A10B25" w:rsidRDefault="00A10B25">
            <w:pPr>
              <w:pStyle w:val="TAH"/>
            </w:pPr>
            <w:r>
              <w:t>Description</w:t>
            </w:r>
          </w:p>
        </w:tc>
      </w:tr>
      <w:tr w:rsidR="009E3903" w14:paraId="096EB1D2" w14:textId="77777777">
        <w:trPr>
          <w:jc w:val="center"/>
        </w:trPr>
        <w:tc>
          <w:tcPr>
            <w:tcW w:w="1832" w:type="dxa"/>
            <w:tcBorders>
              <w:top w:val="single" w:sz="6" w:space="0" w:color="auto"/>
            </w:tcBorders>
          </w:tcPr>
          <w:p w14:paraId="13707A5A" w14:textId="199C73D7" w:rsidR="009E3903" w:rsidRDefault="009E3903" w:rsidP="009E3903">
            <w:pPr>
              <w:pStyle w:val="TAL"/>
            </w:pPr>
            <w:r>
              <w:t>Location</w:t>
            </w:r>
          </w:p>
        </w:tc>
        <w:tc>
          <w:tcPr>
            <w:tcW w:w="1559" w:type="dxa"/>
            <w:tcBorders>
              <w:top w:val="single" w:sz="6" w:space="0" w:color="auto"/>
            </w:tcBorders>
          </w:tcPr>
          <w:p w14:paraId="5D12797A" w14:textId="0E44D91E" w:rsidR="009E3903" w:rsidRDefault="009E3903" w:rsidP="009E3903">
            <w:pPr>
              <w:pStyle w:val="TAL"/>
            </w:pPr>
            <w:r>
              <w:t>string</w:t>
            </w:r>
          </w:p>
        </w:tc>
        <w:tc>
          <w:tcPr>
            <w:tcW w:w="426" w:type="dxa"/>
            <w:tcBorders>
              <w:top w:val="single" w:sz="6" w:space="0" w:color="auto"/>
            </w:tcBorders>
          </w:tcPr>
          <w:p w14:paraId="28CB32A9" w14:textId="6B7191E9" w:rsidR="009E3903" w:rsidRDefault="009E3903" w:rsidP="009E3903">
            <w:pPr>
              <w:pStyle w:val="TAC"/>
            </w:pPr>
            <w:r>
              <w:t>M</w:t>
            </w:r>
          </w:p>
        </w:tc>
        <w:tc>
          <w:tcPr>
            <w:tcW w:w="1275" w:type="dxa"/>
            <w:tcBorders>
              <w:top w:val="single" w:sz="6" w:space="0" w:color="auto"/>
            </w:tcBorders>
          </w:tcPr>
          <w:p w14:paraId="1663421B" w14:textId="772DFAAF" w:rsidR="009E3903" w:rsidRDefault="009E3903" w:rsidP="009E3903">
            <w:pPr>
              <w:pStyle w:val="TAL"/>
            </w:pPr>
            <w:r>
              <w:t>1</w:t>
            </w:r>
          </w:p>
        </w:tc>
        <w:tc>
          <w:tcPr>
            <w:tcW w:w="4524" w:type="dxa"/>
            <w:tcBorders>
              <w:top w:val="single" w:sz="6" w:space="0" w:color="auto"/>
            </w:tcBorders>
            <w:vAlign w:val="center"/>
          </w:tcPr>
          <w:p w14:paraId="524A088B" w14:textId="77777777" w:rsidR="009E3903" w:rsidRDefault="009E3903" w:rsidP="009E3903">
            <w:pPr>
              <w:pStyle w:val="TAL"/>
            </w:pPr>
            <w:r>
              <w:t>Contains the URI of the newly created resource, according to the structure:</w:t>
            </w:r>
          </w:p>
          <w:p w14:paraId="78EBCEEF" w14:textId="68D6D288" w:rsidR="009E3903" w:rsidRDefault="009E3903" w:rsidP="009E3903">
            <w:pPr>
              <w:pStyle w:val="TAL"/>
            </w:pPr>
            <w:r>
              <w:t>{apiRoot}/nnwdaf-eventssubscription/&lt;apiVersion&gt;/transfers/{transferId}</w:t>
            </w:r>
          </w:p>
        </w:tc>
      </w:tr>
    </w:tbl>
    <w:p w14:paraId="76A876AA" w14:textId="77777777" w:rsidR="00A10B25" w:rsidRDefault="00A10B25"/>
    <w:p w14:paraId="37DD4C7F" w14:textId="77777777" w:rsidR="00A10B25" w:rsidRDefault="00A10B25">
      <w:pPr>
        <w:pStyle w:val="5"/>
      </w:pPr>
      <w:bookmarkStart w:id="4937" w:name="_Toc90655848"/>
      <w:bookmarkStart w:id="4938" w:name="_Toc73564420"/>
      <w:bookmarkStart w:id="4939" w:name="_Toc101244392"/>
      <w:bookmarkStart w:id="4940" w:name="_Toc85552962"/>
      <w:bookmarkStart w:id="4941" w:name="_Toc104538985"/>
      <w:bookmarkStart w:id="4942" w:name="_Toc120702286"/>
      <w:bookmarkStart w:id="4943" w:name="_Toc98233616"/>
      <w:bookmarkStart w:id="4944" w:name="_Toc136562353"/>
      <w:bookmarkStart w:id="4945" w:name="_Toc138754187"/>
      <w:bookmarkStart w:id="4946" w:name="_Toc88667563"/>
      <w:bookmarkStart w:id="4947" w:name="_Toc94064231"/>
      <w:bookmarkStart w:id="4948" w:name="_Toc145705674"/>
      <w:bookmarkStart w:id="4949" w:name="_Toc112951107"/>
      <w:bookmarkStart w:id="4950" w:name="_Toc85557061"/>
      <w:bookmarkStart w:id="4951" w:name="_Toc114133786"/>
      <w:bookmarkStart w:id="4952" w:name="_Toc148522578"/>
      <w:bookmarkStart w:id="4953" w:name="_Toc113031647"/>
      <w:bookmarkStart w:id="4954" w:name="_Toc164920758"/>
      <w:bookmarkStart w:id="4955" w:name="_Toc170120300"/>
      <w:bookmarkStart w:id="4956" w:name="_Toc175858545"/>
      <w:bookmarkStart w:id="4957" w:name="_Toc175859618"/>
      <w:bookmarkStart w:id="4958" w:name="_Toc180605908"/>
      <w:bookmarkStart w:id="4959" w:name="_Toc185517162"/>
      <w:bookmarkStart w:id="4960" w:name="_Toc191576213"/>
      <w:bookmarkStart w:id="4961" w:name="_Toc191576953"/>
      <w:bookmarkStart w:id="4962" w:name="_Toc192880023"/>
      <w:bookmarkStart w:id="4963" w:name="_Toc195814906"/>
      <w:bookmarkStart w:id="4964" w:name="_Toc199452873"/>
      <w:r>
        <w:t>5.1.3.4.4</w:t>
      </w:r>
      <w:r>
        <w:tab/>
        <w:t>Resource Custom Operations</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3FCC7DFA" w14:textId="77777777" w:rsidR="00A10B25" w:rsidRDefault="00A10B25">
      <w:r>
        <w:t>None in this release of the specification.</w:t>
      </w:r>
    </w:p>
    <w:p w14:paraId="2309B17F" w14:textId="77777777" w:rsidR="00A10B25" w:rsidRDefault="00A10B25">
      <w:pPr>
        <w:pStyle w:val="4"/>
      </w:pPr>
      <w:bookmarkStart w:id="4965" w:name="_Toc85552963"/>
      <w:bookmarkStart w:id="4966" w:name="_Toc112951108"/>
      <w:bookmarkStart w:id="4967" w:name="_Toc101244393"/>
      <w:bookmarkStart w:id="4968" w:name="_Toc94064232"/>
      <w:bookmarkStart w:id="4969" w:name="_Toc73564421"/>
      <w:bookmarkStart w:id="4970" w:name="_Toc88667564"/>
      <w:bookmarkStart w:id="4971" w:name="_Toc120702287"/>
      <w:bookmarkStart w:id="4972" w:name="_Toc138754188"/>
      <w:bookmarkStart w:id="4973" w:name="_Toc148522579"/>
      <w:bookmarkStart w:id="4974" w:name="_Toc90655849"/>
      <w:bookmarkStart w:id="4975" w:name="_Toc98233617"/>
      <w:bookmarkStart w:id="4976" w:name="_Toc113031648"/>
      <w:bookmarkStart w:id="4977" w:name="_Toc85557062"/>
      <w:bookmarkStart w:id="4978" w:name="_Toc136562354"/>
      <w:bookmarkStart w:id="4979" w:name="_Toc114133787"/>
      <w:bookmarkStart w:id="4980" w:name="_Toc104538986"/>
      <w:bookmarkStart w:id="4981" w:name="_Toc145705675"/>
      <w:bookmarkStart w:id="4982" w:name="_Toc164920759"/>
      <w:bookmarkStart w:id="4983" w:name="_Toc170120301"/>
      <w:bookmarkStart w:id="4984" w:name="_Toc175858546"/>
      <w:bookmarkStart w:id="4985" w:name="_Toc175859619"/>
      <w:bookmarkStart w:id="4986" w:name="_Toc180605909"/>
      <w:bookmarkStart w:id="4987" w:name="_Toc185517163"/>
      <w:bookmarkStart w:id="4988" w:name="_Toc191576214"/>
      <w:bookmarkStart w:id="4989" w:name="_Toc191576954"/>
      <w:bookmarkStart w:id="4990" w:name="_Toc192880024"/>
      <w:bookmarkStart w:id="4991" w:name="_Toc195814907"/>
      <w:bookmarkStart w:id="4992" w:name="_Toc199452874"/>
      <w:r>
        <w:t>5.1.3.5</w:t>
      </w:r>
      <w:r>
        <w:tab/>
        <w:t>Resource: Individual NWDAF Event Subscription</w:t>
      </w:r>
      <w:bookmarkEnd w:id="4969"/>
      <w:r>
        <w:t xml:space="preserve"> Transfer</w:t>
      </w:r>
      <w:bookmarkEnd w:id="4965"/>
      <w:bookmarkEnd w:id="4966"/>
      <w:bookmarkEnd w:id="4967"/>
      <w:bookmarkEnd w:id="4968"/>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45EB082A" w14:textId="77777777" w:rsidR="00A10B25" w:rsidRDefault="00A10B25">
      <w:pPr>
        <w:pStyle w:val="5"/>
      </w:pPr>
      <w:bookmarkStart w:id="4993" w:name="_Toc88667565"/>
      <w:bookmarkStart w:id="4994" w:name="_Toc104538987"/>
      <w:bookmarkStart w:id="4995" w:name="_Toc90655850"/>
      <w:bookmarkStart w:id="4996" w:name="_Toc94064233"/>
      <w:bookmarkStart w:id="4997" w:name="_Toc138754189"/>
      <w:bookmarkStart w:id="4998" w:name="_Toc120702288"/>
      <w:bookmarkStart w:id="4999" w:name="_Toc101244394"/>
      <w:bookmarkStart w:id="5000" w:name="_Toc136562355"/>
      <w:bookmarkStart w:id="5001" w:name="_Toc113031649"/>
      <w:bookmarkStart w:id="5002" w:name="_Toc145705676"/>
      <w:bookmarkStart w:id="5003" w:name="_Toc114133788"/>
      <w:bookmarkStart w:id="5004" w:name="_Toc85552964"/>
      <w:bookmarkStart w:id="5005" w:name="_Toc112951109"/>
      <w:bookmarkStart w:id="5006" w:name="_Toc85557063"/>
      <w:bookmarkStart w:id="5007" w:name="_Toc98233618"/>
      <w:bookmarkStart w:id="5008" w:name="_Toc148522580"/>
      <w:bookmarkStart w:id="5009" w:name="_Toc73564422"/>
      <w:bookmarkStart w:id="5010" w:name="_Toc164920760"/>
      <w:bookmarkStart w:id="5011" w:name="_Toc170120302"/>
      <w:bookmarkStart w:id="5012" w:name="_Toc175858547"/>
      <w:bookmarkStart w:id="5013" w:name="_Toc175859620"/>
      <w:bookmarkStart w:id="5014" w:name="_Toc180605910"/>
      <w:bookmarkStart w:id="5015" w:name="_Toc185517164"/>
      <w:bookmarkStart w:id="5016" w:name="_Toc191576215"/>
      <w:bookmarkStart w:id="5017" w:name="_Toc191576955"/>
      <w:bookmarkStart w:id="5018" w:name="_Toc192880025"/>
      <w:bookmarkStart w:id="5019" w:name="_Toc195814908"/>
      <w:bookmarkStart w:id="5020" w:name="_Toc199452875"/>
      <w:r>
        <w:t>5.1.3.5.1</w:t>
      </w:r>
      <w:r>
        <w:tab/>
        <w:t>Description</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64A5017B" w14:textId="77777777" w:rsidR="00A10B25" w:rsidRDefault="00A10B25">
      <w:r>
        <w:t>The Individual NWDAF Event Subscription Transfer resource represents a single request to transfer subscription(s) of the Nnwdaf_EventsSubscription service at a given NWDAF.</w:t>
      </w:r>
    </w:p>
    <w:p w14:paraId="2936BDCD" w14:textId="77777777" w:rsidR="00A10B25" w:rsidRDefault="00A10B25">
      <w:pPr>
        <w:pStyle w:val="5"/>
      </w:pPr>
      <w:bookmarkStart w:id="5021" w:name="_Toc113031650"/>
      <w:bookmarkStart w:id="5022" w:name="_Toc104538988"/>
      <w:bookmarkStart w:id="5023" w:name="_Toc145705677"/>
      <w:bookmarkStart w:id="5024" w:name="_Toc90655851"/>
      <w:bookmarkStart w:id="5025" w:name="_Toc94064234"/>
      <w:bookmarkStart w:id="5026" w:name="_Toc88667566"/>
      <w:bookmarkStart w:id="5027" w:name="_Toc98233619"/>
      <w:bookmarkStart w:id="5028" w:name="_Toc138754190"/>
      <w:bookmarkStart w:id="5029" w:name="_Toc85552965"/>
      <w:bookmarkStart w:id="5030" w:name="_Toc101244395"/>
      <w:bookmarkStart w:id="5031" w:name="_Toc112951110"/>
      <w:bookmarkStart w:id="5032" w:name="_Toc148522581"/>
      <w:bookmarkStart w:id="5033" w:name="_Toc114133789"/>
      <w:bookmarkStart w:id="5034" w:name="_Toc85557064"/>
      <w:bookmarkStart w:id="5035" w:name="_Toc120702289"/>
      <w:bookmarkStart w:id="5036" w:name="_Toc73564423"/>
      <w:bookmarkStart w:id="5037" w:name="_Toc136562356"/>
      <w:bookmarkStart w:id="5038" w:name="_Toc164920761"/>
      <w:bookmarkStart w:id="5039" w:name="_Toc170120303"/>
      <w:bookmarkStart w:id="5040" w:name="_Toc175858548"/>
      <w:bookmarkStart w:id="5041" w:name="_Toc175859621"/>
      <w:bookmarkStart w:id="5042" w:name="_Toc180605911"/>
      <w:bookmarkStart w:id="5043" w:name="_Toc185517165"/>
      <w:bookmarkStart w:id="5044" w:name="_Toc191576216"/>
      <w:bookmarkStart w:id="5045" w:name="_Toc191576956"/>
      <w:bookmarkStart w:id="5046" w:name="_Toc192880026"/>
      <w:bookmarkStart w:id="5047" w:name="_Toc195814909"/>
      <w:bookmarkStart w:id="5048" w:name="_Toc199452876"/>
      <w:r>
        <w:t>5.1.3.5.2</w:t>
      </w:r>
      <w:r>
        <w:tab/>
        <w:t>Resource definition</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341C2D73" w14:textId="77777777" w:rsidR="004D166F" w:rsidRPr="0040274B" w:rsidRDefault="004D166F" w:rsidP="004D166F">
      <w:pPr>
        <w:rPr>
          <w:b/>
        </w:rPr>
      </w:pPr>
      <w:r>
        <w:t xml:space="preserve">Resource URI: </w:t>
      </w:r>
      <w:r w:rsidRPr="0040274B">
        <w:rPr>
          <w:b/>
        </w:rPr>
        <w:t>{apiRoot}/nnwdaf-eventssubscription/&lt;apiVersion&gt;/transfers/{transferId}</w:t>
      </w:r>
    </w:p>
    <w:p w14:paraId="380875A9" w14:textId="77777777" w:rsidR="00A10B25" w:rsidRDefault="00A10B25">
      <w:pPr>
        <w:rPr>
          <w:lang w:val="en-US"/>
        </w:rPr>
      </w:pPr>
      <w:r>
        <w:rPr>
          <w:lang w:val="en-US" w:eastAsia="zh-CN"/>
        </w:rPr>
        <w:t>The &lt;apiVersion&gt; shall be set as described in clause</w:t>
      </w:r>
      <w:r>
        <w:rPr>
          <w:lang w:val="en-US" w:eastAsia="zh-CN"/>
        </w:rPr>
        <w:t> 5.1</w:t>
      </w:r>
      <w:r>
        <w:rPr>
          <w:lang w:val="en-US" w:eastAsia="zh-CN"/>
        </w:rPr>
        <w:t>.1</w:t>
      </w:r>
      <w:r>
        <w:rPr>
          <w:lang w:val="en-US" w:eastAsia="zh-CN"/>
        </w:rPr>
        <w:t>.</w:t>
      </w:r>
    </w:p>
    <w:p w14:paraId="3796A8EA" w14:textId="77777777" w:rsidR="00A10B25" w:rsidRDefault="00A10B25">
      <w:r>
        <w:t>This resource shall support the resource URI variables defined in table 5.1.3.5.2-1</w:t>
      </w:r>
      <w:r>
        <w:rPr>
          <w:rFonts w:ascii="Arial" w:hAnsi="Arial" w:cs="Arial"/>
        </w:rPr>
        <w:t>.</w:t>
      </w:r>
    </w:p>
    <w:p w14:paraId="29DAEEA7" w14:textId="77777777" w:rsidR="00A10B25" w:rsidRDefault="00A10B25">
      <w:pPr>
        <w:pStyle w:val="TH"/>
      </w:pPr>
      <w:r>
        <w:lastRenderedPageBreak/>
        <w:t>Table 5.1.3.5.2-1: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30"/>
        <w:gridCol w:w="1629"/>
        <w:gridCol w:w="6768"/>
      </w:tblGrid>
      <w:tr w:rsidR="00A10B25" w14:paraId="103AC433" w14:textId="77777777">
        <w:trPr>
          <w:jc w:val="center"/>
        </w:trPr>
        <w:tc>
          <w:tcPr>
            <w:tcW w:w="639" w:type="pct"/>
            <w:shd w:val="clear" w:color="000000" w:fill="C0C0C0"/>
          </w:tcPr>
          <w:p w14:paraId="4F0247BF" w14:textId="77777777" w:rsidR="00A10B25" w:rsidRDefault="00A10B25">
            <w:pPr>
              <w:pStyle w:val="TAH"/>
            </w:pPr>
            <w:r>
              <w:t>Name</w:t>
            </w:r>
          </w:p>
        </w:tc>
        <w:tc>
          <w:tcPr>
            <w:tcW w:w="846" w:type="pct"/>
            <w:shd w:val="clear" w:color="000000" w:fill="C0C0C0"/>
          </w:tcPr>
          <w:p w14:paraId="25874461"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5156F67C" w14:textId="77777777" w:rsidR="00A10B25" w:rsidRDefault="00A10B25">
            <w:pPr>
              <w:pStyle w:val="TAH"/>
            </w:pPr>
            <w:r>
              <w:t>Definition</w:t>
            </w:r>
          </w:p>
        </w:tc>
      </w:tr>
      <w:tr w:rsidR="00A10B25" w14:paraId="5DC35238" w14:textId="77777777">
        <w:trPr>
          <w:jc w:val="center"/>
        </w:trPr>
        <w:tc>
          <w:tcPr>
            <w:tcW w:w="639" w:type="pct"/>
          </w:tcPr>
          <w:p w14:paraId="39858124" w14:textId="77777777" w:rsidR="00A10B25" w:rsidRDefault="00A10B25">
            <w:pPr>
              <w:pStyle w:val="TAL"/>
            </w:pPr>
            <w:r>
              <w:t>apiRoot</w:t>
            </w:r>
          </w:p>
        </w:tc>
        <w:tc>
          <w:tcPr>
            <w:tcW w:w="846" w:type="pct"/>
          </w:tcPr>
          <w:p w14:paraId="51B806C9" w14:textId="77777777" w:rsidR="00A10B25" w:rsidRDefault="00A10B25">
            <w:pPr>
              <w:pStyle w:val="TAL"/>
            </w:pPr>
            <w:r>
              <w:t>string</w:t>
            </w:r>
          </w:p>
        </w:tc>
        <w:tc>
          <w:tcPr>
            <w:tcW w:w="3515" w:type="pct"/>
            <w:vAlign w:val="center"/>
          </w:tcPr>
          <w:p w14:paraId="1BE93C84" w14:textId="77777777" w:rsidR="00A10B25" w:rsidRDefault="00A10B25">
            <w:pPr>
              <w:pStyle w:val="TAL"/>
            </w:pPr>
            <w:r>
              <w:t>See clause</w:t>
            </w:r>
            <w:r>
              <w:rPr>
                <w:lang w:val="en-US" w:eastAsia="zh-CN"/>
              </w:rPr>
              <w:t> </w:t>
            </w:r>
            <w:r>
              <w:t>5.1.1.</w:t>
            </w:r>
          </w:p>
        </w:tc>
      </w:tr>
      <w:tr w:rsidR="00A10B25" w14:paraId="6DB806A3" w14:textId="77777777">
        <w:trPr>
          <w:jc w:val="center"/>
        </w:trPr>
        <w:tc>
          <w:tcPr>
            <w:tcW w:w="639" w:type="pct"/>
          </w:tcPr>
          <w:p w14:paraId="29360603" w14:textId="77777777" w:rsidR="00A10B25" w:rsidRDefault="00A10B25">
            <w:pPr>
              <w:pStyle w:val="TAL"/>
            </w:pPr>
            <w:r>
              <w:t>transferId</w:t>
            </w:r>
          </w:p>
        </w:tc>
        <w:tc>
          <w:tcPr>
            <w:tcW w:w="846" w:type="pct"/>
          </w:tcPr>
          <w:p w14:paraId="18916880" w14:textId="77777777" w:rsidR="00A10B25" w:rsidRDefault="00A10B25">
            <w:pPr>
              <w:pStyle w:val="TAL"/>
              <w:rPr>
                <w:rFonts w:eastAsia="Batang"/>
              </w:rPr>
            </w:pPr>
            <w:r>
              <w:t>string</w:t>
            </w:r>
          </w:p>
        </w:tc>
        <w:tc>
          <w:tcPr>
            <w:tcW w:w="3515" w:type="pct"/>
            <w:vAlign w:val="center"/>
          </w:tcPr>
          <w:p w14:paraId="1D62ADF3" w14:textId="77777777" w:rsidR="00A10B25" w:rsidRDefault="00A10B25">
            <w:pPr>
              <w:pStyle w:val="TAL"/>
            </w:pPr>
            <w:r>
              <w:rPr>
                <w:rFonts w:eastAsia="Batang"/>
              </w:rPr>
              <w:t xml:space="preserve">Identifies a </w:t>
            </w:r>
            <w:r>
              <w:t>request to transfer subscription(s) of</w:t>
            </w:r>
            <w:r>
              <w:rPr>
                <w:rFonts w:eastAsia="Batang"/>
              </w:rPr>
              <w:t xml:space="preserve"> the Nnwdaf_EventsSubscription service.</w:t>
            </w:r>
          </w:p>
        </w:tc>
      </w:tr>
    </w:tbl>
    <w:p w14:paraId="47E3805E" w14:textId="77777777" w:rsidR="00A10B25" w:rsidRDefault="00A10B25"/>
    <w:p w14:paraId="7DC07860" w14:textId="77777777" w:rsidR="00A10B25" w:rsidRDefault="00A10B25">
      <w:pPr>
        <w:pStyle w:val="5"/>
      </w:pPr>
      <w:bookmarkStart w:id="5049" w:name="_Toc94064235"/>
      <w:bookmarkStart w:id="5050" w:name="_Toc85557065"/>
      <w:bookmarkStart w:id="5051" w:name="_Toc73564424"/>
      <w:bookmarkStart w:id="5052" w:name="_Toc88667567"/>
      <w:bookmarkStart w:id="5053" w:name="_Toc101244396"/>
      <w:bookmarkStart w:id="5054" w:name="_Toc98233620"/>
      <w:bookmarkStart w:id="5055" w:name="_Toc104538989"/>
      <w:bookmarkStart w:id="5056" w:name="_Toc138754191"/>
      <w:bookmarkStart w:id="5057" w:name="_Toc145705678"/>
      <w:bookmarkStart w:id="5058" w:name="_Toc136562357"/>
      <w:bookmarkStart w:id="5059" w:name="_Toc90655852"/>
      <w:bookmarkStart w:id="5060" w:name="_Toc148522582"/>
      <w:bookmarkStart w:id="5061" w:name="_Toc112951111"/>
      <w:bookmarkStart w:id="5062" w:name="_Toc85552966"/>
      <w:bookmarkStart w:id="5063" w:name="_Toc114133790"/>
      <w:bookmarkStart w:id="5064" w:name="_Toc113031651"/>
      <w:bookmarkStart w:id="5065" w:name="_Toc120702290"/>
      <w:bookmarkStart w:id="5066" w:name="_Toc164920762"/>
      <w:bookmarkStart w:id="5067" w:name="_Toc170120304"/>
      <w:bookmarkStart w:id="5068" w:name="_Toc175858549"/>
      <w:bookmarkStart w:id="5069" w:name="_Toc175859622"/>
      <w:bookmarkStart w:id="5070" w:name="_Toc180605912"/>
      <w:bookmarkStart w:id="5071" w:name="_Toc185517166"/>
      <w:bookmarkStart w:id="5072" w:name="_Toc191576217"/>
      <w:bookmarkStart w:id="5073" w:name="_Toc191576957"/>
      <w:bookmarkStart w:id="5074" w:name="_Toc192880027"/>
      <w:bookmarkStart w:id="5075" w:name="_Toc195814910"/>
      <w:bookmarkStart w:id="5076" w:name="_Toc199452877"/>
      <w:r>
        <w:t>5.1.3.5.3</w:t>
      </w:r>
      <w:r>
        <w:tab/>
        <w:t>Resource Standard Methods</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BD70019" w14:textId="77777777" w:rsidR="00A10B25" w:rsidRDefault="00A10B25">
      <w:pPr>
        <w:pStyle w:val="6"/>
      </w:pPr>
      <w:bookmarkStart w:id="5077" w:name="_Toc145705679"/>
      <w:bookmarkStart w:id="5078" w:name="_Toc85557066"/>
      <w:bookmarkStart w:id="5079" w:name="_Toc148522583"/>
      <w:bookmarkStart w:id="5080" w:name="_Toc113031652"/>
      <w:bookmarkStart w:id="5081" w:name="_Toc120702291"/>
      <w:bookmarkStart w:id="5082" w:name="_Toc88667568"/>
      <w:bookmarkStart w:id="5083" w:name="_Toc114133791"/>
      <w:bookmarkStart w:id="5084" w:name="_Toc101244397"/>
      <w:bookmarkStart w:id="5085" w:name="_Toc94064236"/>
      <w:bookmarkStart w:id="5086" w:name="_Toc98233621"/>
      <w:bookmarkStart w:id="5087" w:name="_Toc85552967"/>
      <w:bookmarkStart w:id="5088" w:name="_Toc112951112"/>
      <w:bookmarkStart w:id="5089" w:name="_Toc73564425"/>
      <w:bookmarkStart w:id="5090" w:name="_Toc104538990"/>
      <w:bookmarkStart w:id="5091" w:name="_Toc90655853"/>
      <w:bookmarkStart w:id="5092" w:name="_Toc136562358"/>
      <w:bookmarkStart w:id="5093" w:name="_Toc138754192"/>
      <w:bookmarkStart w:id="5094" w:name="_Toc164920763"/>
      <w:bookmarkStart w:id="5095" w:name="_Toc170120305"/>
      <w:bookmarkStart w:id="5096" w:name="_Toc175858550"/>
      <w:bookmarkStart w:id="5097" w:name="_Toc175859623"/>
      <w:bookmarkStart w:id="5098" w:name="_Toc180605913"/>
      <w:bookmarkStart w:id="5099" w:name="_Toc185517167"/>
      <w:bookmarkStart w:id="5100" w:name="_Toc191576218"/>
      <w:bookmarkStart w:id="5101" w:name="_Toc191576958"/>
      <w:bookmarkStart w:id="5102" w:name="_Toc192880028"/>
      <w:bookmarkStart w:id="5103" w:name="_Toc195814911"/>
      <w:bookmarkStart w:id="5104" w:name="_Toc199452878"/>
      <w:r>
        <w:t>5.1.3.5.3.1</w:t>
      </w:r>
      <w:r>
        <w:tab/>
        <w:t>DELETE</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622B976C" w14:textId="77777777" w:rsidR="00A10B25" w:rsidRDefault="00A10B25">
      <w:r>
        <w:t>This method shall support the URI query parameters specified in table 5.1.3.5.3.1-1.</w:t>
      </w:r>
    </w:p>
    <w:p w14:paraId="3D5CE9FE" w14:textId="77777777" w:rsidR="00A10B25" w:rsidRDefault="00A10B25">
      <w:pPr>
        <w:pStyle w:val="TH"/>
      </w:pPr>
      <w:r>
        <w:t>Table 5.1.3.5.3.1-1: URI query parameters supported by the DELETE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080CA1F" w14:textId="77777777">
        <w:trPr>
          <w:jc w:val="center"/>
        </w:trPr>
        <w:tc>
          <w:tcPr>
            <w:tcW w:w="825" w:type="pct"/>
            <w:tcBorders>
              <w:bottom w:val="single" w:sz="6" w:space="0" w:color="auto"/>
            </w:tcBorders>
            <w:shd w:val="clear" w:color="auto" w:fill="C0C0C0"/>
          </w:tcPr>
          <w:p w14:paraId="3089945C" w14:textId="77777777" w:rsidR="00A10B25" w:rsidRDefault="00A10B25">
            <w:pPr>
              <w:pStyle w:val="TAH"/>
            </w:pPr>
            <w:r>
              <w:t>Name</w:t>
            </w:r>
          </w:p>
        </w:tc>
        <w:tc>
          <w:tcPr>
            <w:tcW w:w="732" w:type="pct"/>
            <w:tcBorders>
              <w:bottom w:val="single" w:sz="6" w:space="0" w:color="auto"/>
            </w:tcBorders>
            <w:shd w:val="clear" w:color="auto" w:fill="C0C0C0"/>
          </w:tcPr>
          <w:p w14:paraId="290D5428" w14:textId="77777777" w:rsidR="00A10B25" w:rsidRDefault="00A10B25">
            <w:pPr>
              <w:pStyle w:val="TAH"/>
            </w:pPr>
            <w:r>
              <w:t>Data type</w:t>
            </w:r>
          </w:p>
        </w:tc>
        <w:tc>
          <w:tcPr>
            <w:tcW w:w="217" w:type="pct"/>
            <w:tcBorders>
              <w:bottom w:val="single" w:sz="6" w:space="0" w:color="auto"/>
            </w:tcBorders>
            <w:shd w:val="clear" w:color="auto" w:fill="C0C0C0"/>
          </w:tcPr>
          <w:p w14:paraId="7F6247FC" w14:textId="77777777" w:rsidR="00A10B25" w:rsidRDefault="00A10B25">
            <w:pPr>
              <w:pStyle w:val="TAH"/>
            </w:pPr>
            <w:r>
              <w:t>P</w:t>
            </w:r>
          </w:p>
        </w:tc>
        <w:tc>
          <w:tcPr>
            <w:tcW w:w="581" w:type="pct"/>
            <w:tcBorders>
              <w:bottom w:val="single" w:sz="6" w:space="0" w:color="auto"/>
            </w:tcBorders>
            <w:shd w:val="clear" w:color="auto" w:fill="C0C0C0"/>
          </w:tcPr>
          <w:p w14:paraId="78709D5B"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1351B45B" w14:textId="77777777" w:rsidR="00A10B25" w:rsidRDefault="00A10B25">
            <w:pPr>
              <w:pStyle w:val="TAH"/>
            </w:pPr>
            <w:r>
              <w:t>Description</w:t>
            </w:r>
          </w:p>
        </w:tc>
      </w:tr>
      <w:tr w:rsidR="00A10B25" w14:paraId="25FDAFC1" w14:textId="77777777">
        <w:trPr>
          <w:jc w:val="center"/>
        </w:trPr>
        <w:tc>
          <w:tcPr>
            <w:tcW w:w="825" w:type="pct"/>
            <w:tcBorders>
              <w:top w:val="single" w:sz="6" w:space="0" w:color="auto"/>
            </w:tcBorders>
          </w:tcPr>
          <w:p w14:paraId="27D6D08B" w14:textId="77777777" w:rsidR="00A10B25" w:rsidRDefault="00A10B25">
            <w:pPr>
              <w:pStyle w:val="TAL"/>
            </w:pPr>
            <w:r>
              <w:t>n/a</w:t>
            </w:r>
          </w:p>
        </w:tc>
        <w:tc>
          <w:tcPr>
            <w:tcW w:w="732" w:type="pct"/>
            <w:tcBorders>
              <w:top w:val="single" w:sz="6" w:space="0" w:color="auto"/>
            </w:tcBorders>
          </w:tcPr>
          <w:p w14:paraId="770B30B2" w14:textId="77777777" w:rsidR="00A10B25" w:rsidRDefault="00A10B25">
            <w:pPr>
              <w:pStyle w:val="TAL"/>
            </w:pPr>
          </w:p>
        </w:tc>
        <w:tc>
          <w:tcPr>
            <w:tcW w:w="217" w:type="pct"/>
            <w:tcBorders>
              <w:top w:val="single" w:sz="6" w:space="0" w:color="auto"/>
            </w:tcBorders>
          </w:tcPr>
          <w:p w14:paraId="03581275" w14:textId="77777777" w:rsidR="00A10B25" w:rsidRDefault="00A10B25">
            <w:pPr>
              <w:pStyle w:val="TAC"/>
            </w:pPr>
          </w:p>
        </w:tc>
        <w:tc>
          <w:tcPr>
            <w:tcW w:w="581" w:type="pct"/>
            <w:tcBorders>
              <w:top w:val="single" w:sz="6" w:space="0" w:color="auto"/>
            </w:tcBorders>
          </w:tcPr>
          <w:p w14:paraId="64C8B44B" w14:textId="77777777" w:rsidR="00A10B25" w:rsidRDefault="00A10B25">
            <w:pPr>
              <w:pStyle w:val="TAL"/>
            </w:pPr>
          </w:p>
        </w:tc>
        <w:tc>
          <w:tcPr>
            <w:tcW w:w="2646" w:type="pct"/>
            <w:tcBorders>
              <w:top w:val="single" w:sz="6" w:space="0" w:color="auto"/>
            </w:tcBorders>
            <w:vAlign w:val="center"/>
          </w:tcPr>
          <w:p w14:paraId="02B99E61" w14:textId="77777777" w:rsidR="00A10B25" w:rsidRDefault="00A10B25">
            <w:pPr>
              <w:pStyle w:val="TAL"/>
            </w:pPr>
          </w:p>
        </w:tc>
      </w:tr>
    </w:tbl>
    <w:p w14:paraId="104C41A8" w14:textId="77777777" w:rsidR="00A10B25" w:rsidRDefault="00A10B25"/>
    <w:p w14:paraId="587F7989" w14:textId="77777777" w:rsidR="00A10B25" w:rsidRDefault="00A10B25">
      <w:r>
        <w:t>This method shall support the request data structures specified in table 5.1.3.5.3.1-2 and the response data structures and response codes specified in table 5.1.3.5.3.1-3.</w:t>
      </w:r>
    </w:p>
    <w:p w14:paraId="2D665CC1" w14:textId="77777777" w:rsidR="00A10B25" w:rsidRDefault="00A10B25">
      <w:pPr>
        <w:pStyle w:val="TH"/>
      </w:pPr>
      <w:r>
        <w:t>Table 5.1.3.5.3.1-2: Data structures supported by the DELETE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77E21D5" w14:textId="77777777">
        <w:trPr>
          <w:jc w:val="center"/>
        </w:trPr>
        <w:tc>
          <w:tcPr>
            <w:tcW w:w="1627" w:type="dxa"/>
            <w:tcBorders>
              <w:bottom w:val="single" w:sz="6" w:space="0" w:color="auto"/>
            </w:tcBorders>
            <w:shd w:val="clear" w:color="auto" w:fill="C0C0C0"/>
          </w:tcPr>
          <w:p w14:paraId="4B0125BD" w14:textId="77777777" w:rsidR="00A10B25" w:rsidRDefault="00A10B25">
            <w:pPr>
              <w:pStyle w:val="TAH"/>
            </w:pPr>
            <w:r>
              <w:t>Data type</w:t>
            </w:r>
          </w:p>
        </w:tc>
        <w:tc>
          <w:tcPr>
            <w:tcW w:w="425" w:type="dxa"/>
            <w:tcBorders>
              <w:bottom w:val="single" w:sz="6" w:space="0" w:color="auto"/>
            </w:tcBorders>
            <w:shd w:val="clear" w:color="auto" w:fill="C0C0C0"/>
          </w:tcPr>
          <w:p w14:paraId="0611A465" w14:textId="77777777" w:rsidR="00A10B25" w:rsidRDefault="00A10B25">
            <w:pPr>
              <w:pStyle w:val="TAH"/>
            </w:pPr>
            <w:r>
              <w:t>P</w:t>
            </w:r>
          </w:p>
        </w:tc>
        <w:tc>
          <w:tcPr>
            <w:tcW w:w="1276" w:type="dxa"/>
            <w:tcBorders>
              <w:bottom w:val="single" w:sz="6" w:space="0" w:color="auto"/>
            </w:tcBorders>
            <w:shd w:val="clear" w:color="auto" w:fill="C0C0C0"/>
          </w:tcPr>
          <w:p w14:paraId="6DDC7D45"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3EBEC451" w14:textId="77777777" w:rsidR="00A10B25" w:rsidRDefault="00A10B25">
            <w:pPr>
              <w:pStyle w:val="TAH"/>
            </w:pPr>
            <w:r>
              <w:t>Description</w:t>
            </w:r>
          </w:p>
        </w:tc>
      </w:tr>
      <w:tr w:rsidR="00A10B25" w14:paraId="5594F3FE" w14:textId="77777777">
        <w:trPr>
          <w:jc w:val="center"/>
        </w:trPr>
        <w:tc>
          <w:tcPr>
            <w:tcW w:w="1627" w:type="dxa"/>
            <w:tcBorders>
              <w:top w:val="single" w:sz="6" w:space="0" w:color="auto"/>
            </w:tcBorders>
          </w:tcPr>
          <w:p w14:paraId="7CE4AA03" w14:textId="77777777" w:rsidR="00A10B25" w:rsidRDefault="00A10B25">
            <w:pPr>
              <w:pStyle w:val="TAL"/>
            </w:pPr>
            <w:r>
              <w:t>n/a</w:t>
            </w:r>
          </w:p>
        </w:tc>
        <w:tc>
          <w:tcPr>
            <w:tcW w:w="425" w:type="dxa"/>
            <w:tcBorders>
              <w:top w:val="single" w:sz="6" w:space="0" w:color="auto"/>
            </w:tcBorders>
          </w:tcPr>
          <w:p w14:paraId="6B5B39C9" w14:textId="77777777" w:rsidR="00A10B25" w:rsidRDefault="00A10B25">
            <w:pPr>
              <w:pStyle w:val="TAC"/>
            </w:pPr>
          </w:p>
        </w:tc>
        <w:tc>
          <w:tcPr>
            <w:tcW w:w="1276" w:type="dxa"/>
            <w:tcBorders>
              <w:top w:val="single" w:sz="6" w:space="0" w:color="auto"/>
            </w:tcBorders>
          </w:tcPr>
          <w:p w14:paraId="25C4C83C" w14:textId="77777777" w:rsidR="00A10B25" w:rsidRDefault="00A10B25">
            <w:pPr>
              <w:pStyle w:val="TAL"/>
            </w:pPr>
          </w:p>
        </w:tc>
        <w:tc>
          <w:tcPr>
            <w:tcW w:w="6447" w:type="dxa"/>
            <w:tcBorders>
              <w:top w:val="single" w:sz="6" w:space="0" w:color="auto"/>
            </w:tcBorders>
          </w:tcPr>
          <w:p w14:paraId="09427526" w14:textId="77777777" w:rsidR="00A10B25" w:rsidRDefault="00A10B25">
            <w:pPr>
              <w:pStyle w:val="TAL"/>
            </w:pPr>
          </w:p>
        </w:tc>
      </w:tr>
    </w:tbl>
    <w:p w14:paraId="4E613229" w14:textId="77777777" w:rsidR="00A10B25" w:rsidRDefault="00A10B25"/>
    <w:p w14:paraId="01CE3567" w14:textId="77777777" w:rsidR="00A10B25" w:rsidRDefault="00A10B25">
      <w:pPr>
        <w:pStyle w:val="TH"/>
      </w:pPr>
      <w:bookmarkStart w:id="5105" w:name="_Toc85557067"/>
      <w:bookmarkStart w:id="5106" w:name="_Toc94064237"/>
      <w:bookmarkStart w:id="5107" w:name="_Toc88667569"/>
      <w:bookmarkStart w:id="5108" w:name="_Toc104538991"/>
      <w:bookmarkStart w:id="5109" w:name="_Toc101244398"/>
      <w:bookmarkStart w:id="5110" w:name="_Toc85552968"/>
      <w:bookmarkStart w:id="5111" w:name="_Toc120702292"/>
      <w:bookmarkStart w:id="5112" w:name="_Toc98233622"/>
      <w:bookmarkStart w:id="5113" w:name="_Toc73564426"/>
      <w:bookmarkStart w:id="5114" w:name="_Toc90655854"/>
      <w:bookmarkStart w:id="5115" w:name="_Toc114133792"/>
      <w:bookmarkStart w:id="5116" w:name="_Toc112951113"/>
      <w:bookmarkStart w:id="5117" w:name="_Toc113031653"/>
      <w:r>
        <w:t>Table 5.1.3.5.3.1-3: Data structures supported by the DELETE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06ED6102" w14:textId="77777777" w:rsidTr="004D166F">
        <w:trPr>
          <w:jc w:val="center"/>
        </w:trPr>
        <w:tc>
          <w:tcPr>
            <w:tcW w:w="848" w:type="pct"/>
            <w:tcBorders>
              <w:bottom w:val="single" w:sz="6" w:space="0" w:color="auto"/>
            </w:tcBorders>
            <w:shd w:val="clear" w:color="auto" w:fill="C0C0C0"/>
          </w:tcPr>
          <w:p w14:paraId="5EE3501C" w14:textId="77777777" w:rsidR="00A10B25" w:rsidRDefault="00A10B25">
            <w:pPr>
              <w:pStyle w:val="TAH"/>
            </w:pPr>
            <w:r>
              <w:t>Data type</w:t>
            </w:r>
          </w:p>
        </w:tc>
        <w:tc>
          <w:tcPr>
            <w:tcW w:w="223" w:type="pct"/>
            <w:tcBorders>
              <w:bottom w:val="single" w:sz="6" w:space="0" w:color="auto"/>
            </w:tcBorders>
            <w:shd w:val="clear" w:color="auto" w:fill="C0C0C0"/>
          </w:tcPr>
          <w:p w14:paraId="51853C02" w14:textId="77777777" w:rsidR="00A10B25" w:rsidRDefault="00A10B25">
            <w:pPr>
              <w:pStyle w:val="TAH"/>
            </w:pPr>
            <w:r>
              <w:t>P</w:t>
            </w:r>
          </w:p>
        </w:tc>
        <w:tc>
          <w:tcPr>
            <w:tcW w:w="643" w:type="pct"/>
            <w:tcBorders>
              <w:bottom w:val="single" w:sz="6" w:space="0" w:color="auto"/>
            </w:tcBorders>
            <w:shd w:val="clear" w:color="auto" w:fill="C0C0C0"/>
          </w:tcPr>
          <w:p w14:paraId="7F5BF08A" w14:textId="77777777" w:rsidR="00A10B25" w:rsidRDefault="00A10B25">
            <w:pPr>
              <w:pStyle w:val="TAH"/>
            </w:pPr>
            <w:r>
              <w:t>Cardinality</w:t>
            </w:r>
          </w:p>
        </w:tc>
        <w:tc>
          <w:tcPr>
            <w:tcW w:w="577" w:type="pct"/>
            <w:tcBorders>
              <w:bottom w:val="single" w:sz="6" w:space="0" w:color="auto"/>
            </w:tcBorders>
            <w:shd w:val="clear" w:color="auto" w:fill="C0C0C0"/>
          </w:tcPr>
          <w:p w14:paraId="0527D9D8" w14:textId="77777777" w:rsidR="00A10B25" w:rsidRDefault="00A10B25">
            <w:pPr>
              <w:pStyle w:val="TAH"/>
            </w:pPr>
            <w:r>
              <w:t>Response</w:t>
            </w:r>
          </w:p>
          <w:p w14:paraId="64DCE2BF" w14:textId="77777777" w:rsidR="00A10B25" w:rsidRDefault="00A10B25">
            <w:pPr>
              <w:pStyle w:val="TAH"/>
            </w:pPr>
            <w:r>
              <w:t>codes</w:t>
            </w:r>
          </w:p>
        </w:tc>
        <w:tc>
          <w:tcPr>
            <w:tcW w:w="2709" w:type="pct"/>
            <w:tcBorders>
              <w:bottom w:val="single" w:sz="6" w:space="0" w:color="auto"/>
            </w:tcBorders>
            <w:shd w:val="clear" w:color="auto" w:fill="C0C0C0"/>
          </w:tcPr>
          <w:p w14:paraId="08F3AAD5" w14:textId="77777777" w:rsidR="00A10B25" w:rsidRDefault="00A10B25">
            <w:pPr>
              <w:pStyle w:val="TAH"/>
            </w:pPr>
            <w:r>
              <w:t>Description</w:t>
            </w:r>
          </w:p>
        </w:tc>
      </w:tr>
      <w:tr w:rsidR="00A10B25" w14:paraId="6030C1B9" w14:textId="77777777" w:rsidTr="004D166F">
        <w:trPr>
          <w:jc w:val="center"/>
        </w:trPr>
        <w:tc>
          <w:tcPr>
            <w:tcW w:w="848" w:type="pct"/>
            <w:tcBorders>
              <w:top w:val="single" w:sz="6" w:space="0" w:color="auto"/>
            </w:tcBorders>
          </w:tcPr>
          <w:p w14:paraId="5BAF42F8" w14:textId="77777777" w:rsidR="00A10B25" w:rsidRDefault="00A10B25">
            <w:pPr>
              <w:pStyle w:val="TAL"/>
            </w:pPr>
            <w:r>
              <w:t>n/a</w:t>
            </w:r>
          </w:p>
        </w:tc>
        <w:tc>
          <w:tcPr>
            <w:tcW w:w="223" w:type="pct"/>
            <w:tcBorders>
              <w:top w:val="single" w:sz="6" w:space="0" w:color="auto"/>
            </w:tcBorders>
          </w:tcPr>
          <w:p w14:paraId="6DA91B9A" w14:textId="77777777" w:rsidR="00A10B25" w:rsidRDefault="00A10B25">
            <w:pPr>
              <w:pStyle w:val="TAC"/>
            </w:pPr>
          </w:p>
        </w:tc>
        <w:tc>
          <w:tcPr>
            <w:tcW w:w="643" w:type="pct"/>
            <w:tcBorders>
              <w:top w:val="single" w:sz="6" w:space="0" w:color="auto"/>
            </w:tcBorders>
          </w:tcPr>
          <w:p w14:paraId="0B94D849" w14:textId="77777777" w:rsidR="00A10B25" w:rsidRDefault="00A10B25">
            <w:pPr>
              <w:pStyle w:val="TAC"/>
            </w:pPr>
          </w:p>
        </w:tc>
        <w:tc>
          <w:tcPr>
            <w:tcW w:w="577" w:type="pct"/>
            <w:tcBorders>
              <w:top w:val="single" w:sz="6" w:space="0" w:color="auto"/>
            </w:tcBorders>
          </w:tcPr>
          <w:p w14:paraId="683A2D60" w14:textId="77777777" w:rsidR="00A10B25" w:rsidRDefault="00A10B25">
            <w:pPr>
              <w:pStyle w:val="TAL"/>
            </w:pPr>
            <w:r>
              <w:t>204 No Content</w:t>
            </w:r>
          </w:p>
        </w:tc>
        <w:tc>
          <w:tcPr>
            <w:tcW w:w="2709" w:type="pct"/>
            <w:tcBorders>
              <w:top w:val="single" w:sz="6" w:space="0" w:color="auto"/>
            </w:tcBorders>
          </w:tcPr>
          <w:p w14:paraId="1AEBB94F" w14:textId="77777777" w:rsidR="00A10B25" w:rsidRDefault="00A10B25">
            <w:pPr>
              <w:pStyle w:val="TAL"/>
            </w:pPr>
            <w:r>
              <w:t>Successful case: The Individual NWDAF Event Subscription Transfer resource matching the transferId was deleted.</w:t>
            </w:r>
          </w:p>
        </w:tc>
      </w:tr>
      <w:tr w:rsidR="004D166F" w14:paraId="2880AB1A" w14:textId="77777777" w:rsidTr="004D166F">
        <w:trPr>
          <w:jc w:val="center"/>
        </w:trPr>
        <w:tc>
          <w:tcPr>
            <w:tcW w:w="848" w:type="pct"/>
          </w:tcPr>
          <w:p w14:paraId="4984AE9F" w14:textId="77777777" w:rsidR="004D166F" w:rsidRDefault="004D166F" w:rsidP="004D166F">
            <w:pPr>
              <w:pStyle w:val="TAL"/>
            </w:pPr>
            <w:r>
              <w:t>RedirectResponse</w:t>
            </w:r>
          </w:p>
        </w:tc>
        <w:tc>
          <w:tcPr>
            <w:tcW w:w="223" w:type="pct"/>
          </w:tcPr>
          <w:p w14:paraId="022BF07E" w14:textId="77777777" w:rsidR="004D166F" w:rsidRDefault="004D166F" w:rsidP="004D166F">
            <w:pPr>
              <w:pStyle w:val="TAC"/>
            </w:pPr>
            <w:r>
              <w:t>O</w:t>
            </w:r>
          </w:p>
        </w:tc>
        <w:tc>
          <w:tcPr>
            <w:tcW w:w="643" w:type="pct"/>
          </w:tcPr>
          <w:p w14:paraId="6AB5C65F" w14:textId="77777777" w:rsidR="004D166F" w:rsidRDefault="004D166F" w:rsidP="004D166F">
            <w:pPr>
              <w:pStyle w:val="TAC"/>
            </w:pPr>
            <w:r>
              <w:t>0..1</w:t>
            </w:r>
          </w:p>
        </w:tc>
        <w:tc>
          <w:tcPr>
            <w:tcW w:w="577" w:type="pct"/>
          </w:tcPr>
          <w:p w14:paraId="5A8817FC" w14:textId="77777777" w:rsidR="004D166F" w:rsidRDefault="004D166F" w:rsidP="004D166F">
            <w:pPr>
              <w:pStyle w:val="TAL"/>
            </w:pPr>
            <w:r>
              <w:t>307 Temporary Redirect</w:t>
            </w:r>
          </w:p>
        </w:tc>
        <w:tc>
          <w:tcPr>
            <w:tcW w:w="2709" w:type="pct"/>
          </w:tcPr>
          <w:p w14:paraId="320CF77D" w14:textId="77777777" w:rsidR="004D166F" w:rsidRDefault="004D166F" w:rsidP="004D166F">
            <w:pPr>
              <w:pStyle w:val="TAL"/>
            </w:pPr>
            <w:r>
              <w:t>Temporary redirection.</w:t>
            </w:r>
          </w:p>
          <w:p w14:paraId="367F4131" w14:textId="77777777" w:rsidR="004D166F" w:rsidRDefault="004D166F" w:rsidP="004D166F">
            <w:pPr>
              <w:pStyle w:val="TAL"/>
            </w:pPr>
          </w:p>
          <w:p w14:paraId="4AF4B2EA" w14:textId="77777777" w:rsidR="004D166F" w:rsidRDefault="004D166F" w:rsidP="004D166F">
            <w:pPr>
              <w:pStyle w:val="TAL"/>
            </w:pPr>
            <w:r>
              <w:t>(NOTE 2)</w:t>
            </w:r>
          </w:p>
        </w:tc>
      </w:tr>
      <w:tr w:rsidR="004D166F" w14:paraId="2DCA028F" w14:textId="77777777" w:rsidTr="004D166F">
        <w:trPr>
          <w:jc w:val="center"/>
        </w:trPr>
        <w:tc>
          <w:tcPr>
            <w:tcW w:w="848" w:type="pct"/>
          </w:tcPr>
          <w:p w14:paraId="6B30D417" w14:textId="77777777" w:rsidR="004D166F" w:rsidRDefault="004D166F" w:rsidP="004D166F">
            <w:pPr>
              <w:pStyle w:val="TAL"/>
            </w:pPr>
            <w:r>
              <w:t>RedirectResponse</w:t>
            </w:r>
          </w:p>
        </w:tc>
        <w:tc>
          <w:tcPr>
            <w:tcW w:w="223" w:type="pct"/>
          </w:tcPr>
          <w:p w14:paraId="4B4579C8" w14:textId="77777777" w:rsidR="004D166F" w:rsidRDefault="004D166F" w:rsidP="004D166F">
            <w:pPr>
              <w:pStyle w:val="TAC"/>
            </w:pPr>
            <w:r>
              <w:t>O</w:t>
            </w:r>
          </w:p>
        </w:tc>
        <w:tc>
          <w:tcPr>
            <w:tcW w:w="643" w:type="pct"/>
          </w:tcPr>
          <w:p w14:paraId="435DB836" w14:textId="77777777" w:rsidR="004D166F" w:rsidRDefault="004D166F" w:rsidP="004D166F">
            <w:pPr>
              <w:pStyle w:val="TAC"/>
            </w:pPr>
            <w:r>
              <w:t>0..1</w:t>
            </w:r>
          </w:p>
        </w:tc>
        <w:tc>
          <w:tcPr>
            <w:tcW w:w="577" w:type="pct"/>
          </w:tcPr>
          <w:p w14:paraId="7D70BF30" w14:textId="77777777" w:rsidR="004D166F" w:rsidRDefault="004D166F" w:rsidP="004D166F">
            <w:pPr>
              <w:pStyle w:val="TAL"/>
            </w:pPr>
            <w:r>
              <w:t>308 Permanent Redirect</w:t>
            </w:r>
          </w:p>
        </w:tc>
        <w:tc>
          <w:tcPr>
            <w:tcW w:w="2709" w:type="pct"/>
          </w:tcPr>
          <w:p w14:paraId="696390E4" w14:textId="77777777" w:rsidR="004D166F" w:rsidRDefault="004D166F" w:rsidP="004D166F">
            <w:pPr>
              <w:pStyle w:val="TAL"/>
            </w:pPr>
            <w:r>
              <w:t>Permanent redirection.</w:t>
            </w:r>
          </w:p>
          <w:p w14:paraId="2BBA6FCB" w14:textId="77777777" w:rsidR="004D166F" w:rsidRDefault="004D166F" w:rsidP="004D166F">
            <w:pPr>
              <w:pStyle w:val="TAL"/>
            </w:pPr>
          </w:p>
          <w:p w14:paraId="2A5F86FB" w14:textId="77777777" w:rsidR="004D166F" w:rsidRDefault="004D166F" w:rsidP="004D166F">
            <w:pPr>
              <w:pStyle w:val="TAL"/>
            </w:pPr>
            <w:r>
              <w:t>(NOTE 2)</w:t>
            </w:r>
          </w:p>
        </w:tc>
      </w:tr>
      <w:tr w:rsidR="00A10B25" w14:paraId="06DE8773" w14:textId="77777777">
        <w:trPr>
          <w:jc w:val="center"/>
        </w:trPr>
        <w:tc>
          <w:tcPr>
            <w:tcW w:w="5000" w:type="pct"/>
            <w:gridSpan w:val="5"/>
          </w:tcPr>
          <w:p w14:paraId="39D0E458" w14:textId="77777777" w:rsidR="00A10B25" w:rsidRDefault="00A10B25">
            <w:pPr>
              <w:pStyle w:val="TAN"/>
            </w:pPr>
            <w:r>
              <w:t>NOTE 1:</w:t>
            </w:r>
            <w:r>
              <w:tab/>
              <w:t>The mandatory HTTP error status codes for the DELETE method listed in table 5.2.7.1-1 of 3GPP TS 29.500 [6] also apply.</w:t>
            </w:r>
          </w:p>
          <w:p w14:paraId="1DD4C6E2" w14:textId="77777777" w:rsidR="00A10B25" w:rsidRDefault="00A10B25">
            <w:pPr>
              <w:pStyle w:val="TAN"/>
            </w:pPr>
            <w:r>
              <w:t>NOTE 2:</w:t>
            </w:r>
            <w:r>
              <w:tab/>
              <w:t>The RedirectResponse data structure may be provided by an SCP (cf. clause 6.10.9.1 of 3GPP TS 29.500 [6]).</w:t>
            </w:r>
          </w:p>
        </w:tc>
      </w:tr>
    </w:tbl>
    <w:p w14:paraId="21FEF4DC" w14:textId="77777777" w:rsidR="00A10B25" w:rsidRDefault="00A10B25">
      <w:pPr>
        <w:rPr>
          <w:lang w:val="en-US" w:eastAsia="zh-CN"/>
        </w:rPr>
      </w:pPr>
    </w:p>
    <w:p w14:paraId="4D046A99" w14:textId="77777777" w:rsidR="00A10B25" w:rsidRDefault="00A10B25">
      <w:pPr>
        <w:pStyle w:val="TH"/>
      </w:pPr>
      <w:r>
        <w:t>Table 5.1.3.5.3.1-4: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402C2146" w14:textId="77777777">
        <w:trPr>
          <w:jc w:val="center"/>
        </w:trPr>
        <w:tc>
          <w:tcPr>
            <w:tcW w:w="825" w:type="pct"/>
            <w:tcBorders>
              <w:bottom w:val="single" w:sz="6" w:space="0" w:color="auto"/>
            </w:tcBorders>
            <w:shd w:val="clear" w:color="auto" w:fill="C0C0C0"/>
          </w:tcPr>
          <w:p w14:paraId="3D7A3EC8" w14:textId="77777777" w:rsidR="00A10B25" w:rsidRDefault="00A10B25">
            <w:pPr>
              <w:pStyle w:val="TAH"/>
            </w:pPr>
            <w:r>
              <w:t>Name</w:t>
            </w:r>
          </w:p>
        </w:tc>
        <w:tc>
          <w:tcPr>
            <w:tcW w:w="732" w:type="pct"/>
            <w:tcBorders>
              <w:bottom w:val="single" w:sz="6" w:space="0" w:color="auto"/>
            </w:tcBorders>
            <w:shd w:val="clear" w:color="auto" w:fill="C0C0C0"/>
          </w:tcPr>
          <w:p w14:paraId="15C75846" w14:textId="77777777" w:rsidR="00A10B25" w:rsidRDefault="00A10B25">
            <w:pPr>
              <w:pStyle w:val="TAH"/>
            </w:pPr>
            <w:r>
              <w:t>Data type</w:t>
            </w:r>
          </w:p>
        </w:tc>
        <w:tc>
          <w:tcPr>
            <w:tcW w:w="217" w:type="pct"/>
            <w:tcBorders>
              <w:bottom w:val="single" w:sz="6" w:space="0" w:color="auto"/>
            </w:tcBorders>
            <w:shd w:val="clear" w:color="auto" w:fill="C0C0C0"/>
          </w:tcPr>
          <w:p w14:paraId="1B923233" w14:textId="77777777" w:rsidR="00A10B25" w:rsidRDefault="00A10B25">
            <w:pPr>
              <w:pStyle w:val="TAH"/>
            </w:pPr>
            <w:r>
              <w:t>P</w:t>
            </w:r>
          </w:p>
        </w:tc>
        <w:tc>
          <w:tcPr>
            <w:tcW w:w="581" w:type="pct"/>
            <w:tcBorders>
              <w:bottom w:val="single" w:sz="6" w:space="0" w:color="auto"/>
            </w:tcBorders>
            <w:shd w:val="clear" w:color="auto" w:fill="C0C0C0"/>
          </w:tcPr>
          <w:p w14:paraId="529C8DEA"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5AFD3D79" w14:textId="77777777" w:rsidR="00A10B25" w:rsidRDefault="00A10B25">
            <w:pPr>
              <w:pStyle w:val="TAH"/>
            </w:pPr>
            <w:r>
              <w:t>Description</w:t>
            </w:r>
          </w:p>
        </w:tc>
      </w:tr>
      <w:tr w:rsidR="00A10B25" w14:paraId="18204D10" w14:textId="77777777">
        <w:trPr>
          <w:jc w:val="center"/>
        </w:trPr>
        <w:tc>
          <w:tcPr>
            <w:tcW w:w="825" w:type="pct"/>
            <w:tcBorders>
              <w:top w:val="single" w:sz="6" w:space="0" w:color="auto"/>
            </w:tcBorders>
          </w:tcPr>
          <w:p w14:paraId="78055DDB" w14:textId="77777777" w:rsidR="00A10B25" w:rsidRDefault="00A10B25">
            <w:pPr>
              <w:pStyle w:val="TAL"/>
            </w:pPr>
            <w:r>
              <w:t>Location</w:t>
            </w:r>
          </w:p>
        </w:tc>
        <w:tc>
          <w:tcPr>
            <w:tcW w:w="732" w:type="pct"/>
            <w:tcBorders>
              <w:top w:val="single" w:sz="6" w:space="0" w:color="auto"/>
            </w:tcBorders>
          </w:tcPr>
          <w:p w14:paraId="00EE9C30" w14:textId="77777777" w:rsidR="00A10B25" w:rsidRDefault="00A10B25">
            <w:pPr>
              <w:pStyle w:val="TAL"/>
            </w:pPr>
            <w:r>
              <w:t>string</w:t>
            </w:r>
          </w:p>
        </w:tc>
        <w:tc>
          <w:tcPr>
            <w:tcW w:w="217" w:type="pct"/>
            <w:tcBorders>
              <w:top w:val="single" w:sz="6" w:space="0" w:color="auto"/>
            </w:tcBorders>
          </w:tcPr>
          <w:p w14:paraId="5CEA9A34" w14:textId="77777777" w:rsidR="00A10B25" w:rsidRDefault="00A10B25">
            <w:pPr>
              <w:pStyle w:val="TAC"/>
            </w:pPr>
            <w:r>
              <w:t>M</w:t>
            </w:r>
          </w:p>
        </w:tc>
        <w:tc>
          <w:tcPr>
            <w:tcW w:w="581" w:type="pct"/>
            <w:tcBorders>
              <w:top w:val="single" w:sz="6" w:space="0" w:color="auto"/>
            </w:tcBorders>
          </w:tcPr>
          <w:p w14:paraId="2F2AA2A5" w14:textId="77777777" w:rsidR="00A10B25" w:rsidRDefault="00A10B25">
            <w:pPr>
              <w:pStyle w:val="TAL"/>
            </w:pPr>
            <w:r>
              <w:t>1</w:t>
            </w:r>
          </w:p>
        </w:tc>
        <w:tc>
          <w:tcPr>
            <w:tcW w:w="2645" w:type="pct"/>
            <w:tcBorders>
              <w:top w:val="single" w:sz="6" w:space="0" w:color="auto"/>
            </w:tcBorders>
            <w:vAlign w:val="center"/>
          </w:tcPr>
          <w:p w14:paraId="11AE6C83"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r>
              <w:t>.</w:t>
            </w:r>
          </w:p>
          <w:p w14:paraId="6B858586" w14:textId="77777777" w:rsidR="00A10B25" w:rsidRDefault="00A10B25">
            <w:pPr>
              <w:pStyle w:val="TAL"/>
            </w:pPr>
          </w:p>
          <w:p w14:paraId="7C605EC3" w14:textId="77777777" w:rsidR="00A10B25" w:rsidRDefault="00A10B25">
            <w:pPr>
              <w:pStyle w:val="TAL"/>
            </w:pPr>
            <w:r>
              <w:t>For the case where the request is redirected to the same target via a different SCP, refer to clause 6.10.9.1 of 3GPP TS 29.500 [6].</w:t>
            </w:r>
          </w:p>
        </w:tc>
      </w:tr>
      <w:tr w:rsidR="00A10B25" w14:paraId="4C24C80C" w14:textId="77777777">
        <w:trPr>
          <w:jc w:val="center"/>
        </w:trPr>
        <w:tc>
          <w:tcPr>
            <w:tcW w:w="825" w:type="pct"/>
          </w:tcPr>
          <w:p w14:paraId="2A3919C8" w14:textId="77777777" w:rsidR="00A10B25" w:rsidRDefault="00A10B25">
            <w:pPr>
              <w:pStyle w:val="TAL"/>
            </w:pPr>
            <w:r>
              <w:rPr>
                <w:lang w:eastAsia="zh-CN"/>
              </w:rPr>
              <w:t>3gpp-Sbi-Target-Nf-Id</w:t>
            </w:r>
          </w:p>
        </w:tc>
        <w:tc>
          <w:tcPr>
            <w:tcW w:w="732" w:type="pct"/>
          </w:tcPr>
          <w:p w14:paraId="6B9EE59F" w14:textId="77777777" w:rsidR="00A10B25" w:rsidRDefault="00A10B25">
            <w:pPr>
              <w:pStyle w:val="TAL"/>
            </w:pPr>
            <w:r>
              <w:rPr>
                <w:lang w:eastAsia="fr-FR"/>
              </w:rPr>
              <w:t>string</w:t>
            </w:r>
          </w:p>
        </w:tc>
        <w:tc>
          <w:tcPr>
            <w:tcW w:w="217" w:type="pct"/>
          </w:tcPr>
          <w:p w14:paraId="49DBE80B" w14:textId="77777777" w:rsidR="00A10B25" w:rsidRDefault="00A10B25">
            <w:pPr>
              <w:pStyle w:val="TAC"/>
            </w:pPr>
            <w:r>
              <w:rPr>
                <w:lang w:eastAsia="fr-FR"/>
              </w:rPr>
              <w:t>O</w:t>
            </w:r>
          </w:p>
        </w:tc>
        <w:tc>
          <w:tcPr>
            <w:tcW w:w="581" w:type="pct"/>
          </w:tcPr>
          <w:p w14:paraId="1461BB66" w14:textId="77777777" w:rsidR="00A10B25" w:rsidRDefault="00A10B25">
            <w:pPr>
              <w:pStyle w:val="TAL"/>
            </w:pPr>
            <w:r>
              <w:rPr>
                <w:lang w:eastAsia="fr-FR"/>
              </w:rPr>
              <w:t>0..1</w:t>
            </w:r>
          </w:p>
        </w:tc>
        <w:tc>
          <w:tcPr>
            <w:tcW w:w="2645" w:type="pct"/>
            <w:vAlign w:val="center"/>
          </w:tcPr>
          <w:p w14:paraId="045F03E3" w14:textId="77777777" w:rsidR="00A10B25" w:rsidRDefault="00A10B25">
            <w:pPr>
              <w:pStyle w:val="TAL"/>
            </w:pPr>
            <w:r>
              <w:rPr>
                <w:lang w:eastAsia="fr-FR"/>
              </w:rPr>
              <w:t>Identifier of the target NWDAF (service) instance towards which the request is redirected.</w:t>
            </w:r>
          </w:p>
        </w:tc>
      </w:tr>
    </w:tbl>
    <w:p w14:paraId="3A1B511F" w14:textId="77777777" w:rsidR="00A10B25" w:rsidRDefault="00A10B25"/>
    <w:p w14:paraId="4503E728" w14:textId="77777777" w:rsidR="00A10B25" w:rsidRDefault="00A10B25">
      <w:pPr>
        <w:pStyle w:val="TH"/>
      </w:pPr>
      <w:r>
        <w:lastRenderedPageBreak/>
        <w:t>Table 5.1.3.5.3.1-5: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3F32AC97" w14:textId="77777777">
        <w:trPr>
          <w:jc w:val="center"/>
        </w:trPr>
        <w:tc>
          <w:tcPr>
            <w:tcW w:w="825" w:type="pct"/>
            <w:tcBorders>
              <w:bottom w:val="single" w:sz="6" w:space="0" w:color="auto"/>
            </w:tcBorders>
            <w:shd w:val="clear" w:color="auto" w:fill="C0C0C0"/>
          </w:tcPr>
          <w:p w14:paraId="41C7BBA7" w14:textId="77777777" w:rsidR="00A10B25" w:rsidRDefault="00A10B25">
            <w:pPr>
              <w:pStyle w:val="TAH"/>
            </w:pPr>
            <w:r>
              <w:t>Name</w:t>
            </w:r>
          </w:p>
        </w:tc>
        <w:tc>
          <w:tcPr>
            <w:tcW w:w="732" w:type="pct"/>
            <w:tcBorders>
              <w:bottom w:val="single" w:sz="6" w:space="0" w:color="auto"/>
            </w:tcBorders>
            <w:shd w:val="clear" w:color="auto" w:fill="C0C0C0"/>
          </w:tcPr>
          <w:p w14:paraId="2676D282" w14:textId="77777777" w:rsidR="00A10B25" w:rsidRDefault="00A10B25">
            <w:pPr>
              <w:pStyle w:val="TAH"/>
            </w:pPr>
            <w:r>
              <w:t>Data type</w:t>
            </w:r>
          </w:p>
        </w:tc>
        <w:tc>
          <w:tcPr>
            <w:tcW w:w="217" w:type="pct"/>
            <w:tcBorders>
              <w:bottom w:val="single" w:sz="6" w:space="0" w:color="auto"/>
            </w:tcBorders>
            <w:shd w:val="clear" w:color="auto" w:fill="C0C0C0"/>
          </w:tcPr>
          <w:p w14:paraId="37767ABA" w14:textId="77777777" w:rsidR="00A10B25" w:rsidRDefault="00A10B25">
            <w:pPr>
              <w:pStyle w:val="TAH"/>
            </w:pPr>
            <w:r>
              <w:t>P</w:t>
            </w:r>
          </w:p>
        </w:tc>
        <w:tc>
          <w:tcPr>
            <w:tcW w:w="581" w:type="pct"/>
            <w:tcBorders>
              <w:bottom w:val="single" w:sz="6" w:space="0" w:color="auto"/>
            </w:tcBorders>
            <w:shd w:val="clear" w:color="auto" w:fill="C0C0C0"/>
          </w:tcPr>
          <w:p w14:paraId="574EFF92"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CAF6141" w14:textId="77777777" w:rsidR="00A10B25" w:rsidRDefault="00A10B25">
            <w:pPr>
              <w:pStyle w:val="TAH"/>
            </w:pPr>
            <w:r>
              <w:t>Description</w:t>
            </w:r>
          </w:p>
        </w:tc>
      </w:tr>
      <w:tr w:rsidR="00A10B25" w14:paraId="5AD70522" w14:textId="77777777">
        <w:trPr>
          <w:jc w:val="center"/>
        </w:trPr>
        <w:tc>
          <w:tcPr>
            <w:tcW w:w="825" w:type="pct"/>
            <w:tcBorders>
              <w:top w:val="single" w:sz="6" w:space="0" w:color="auto"/>
            </w:tcBorders>
          </w:tcPr>
          <w:p w14:paraId="1613FC9E" w14:textId="77777777" w:rsidR="00A10B25" w:rsidRDefault="00A10B25">
            <w:pPr>
              <w:pStyle w:val="TAL"/>
            </w:pPr>
            <w:r>
              <w:t>Location</w:t>
            </w:r>
          </w:p>
        </w:tc>
        <w:tc>
          <w:tcPr>
            <w:tcW w:w="732" w:type="pct"/>
            <w:tcBorders>
              <w:top w:val="single" w:sz="6" w:space="0" w:color="auto"/>
            </w:tcBorders>
          </w:tcPr>
          <w:p w14:paraId="17CEF21F" w14:textId="77777777" w:rsidR="00A10B25" w:rsidRDefault="00A10B25">
            <w:pPr>
              <w:pStyle w:val="TAL"/>
            </w:pPr>
            <w:r>
              <w:t>string</w:t>
            </w:r>
          </w:p>
        </w:tc>
        <w:tc>
          <w:tcPr>
            <w:tcW w:w="217" w:type="pct"/>
            <w:tcBorders>
              <w:top w:val="single" w:sz="6" w:space="0" w:color="auto"/>
            </w:tcBorders>
          </w:tcPr>
          <w:p w14:paraId="792B55FE" w14:textId="77777777" w:rsidR="00A10B25" w:rsidRDefault="00A10B25">
            <w:pPr>
              <w:pStyle w:val="TAC"/>
            </w:pPr>
            <w:r>
              <w:t>M</w:t>
            </w:r>
          </w:p>
        </w:tc>
        <w:tc>
          <w:tcPr>
            <w:tcW w:w="581" w:type="pct"/>
            <w:tcBorders>
              <w:top w:val="single" w:sz="6" w:space="0" w:color="auto"/>
            </w:tcBorders>
          </w:tcPr>
          <w:p w14:paraId="0E8EDD19" w14:textId="77777777" w:rsidR="00A10B25" w:rsidRDefault="00A10B25">
            <w:pPr>
              <w:pStyle w:val="TAL"/>
            </w:pPr>
            <w:r>
              <w:t>1</w:t>
            </w:r>
          </w:p>
        </w:tc>
        <w:tc>
          <w:tcPr>
            <w:tcW w:w="2645" w:type="pct"/>
            <w:tcBorders>
              <w:top w:val="single" w:sz="6" w:space="0" w:color="auto"/>
            </w:tcBorders>
            <w:vAlign w:val="center"/>
          </w:tcPr>
          <w:p w14:paraId="19C4CA3F"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2D8F9546" w14:textId="77777777" w:rsidR="00A10B25" w:rsidRDefault="00A10B25">
            <w:pPr>
              <w:pStyle w:val="TAL"/>
            </w:pPr>
          </w:p>
          <w:p w14:paraId="785E75B8" w14:textId="77777777" w:rsidR="00A10B25" w:rsidRDefault="00A10B25">
            <w:pPr>
              <w:pStyle w:val="TAL"/>
            </w:pPr>
            <w:r>
              <w:t>For the case where the request is redirected to the same target via a different SCP, refer to clause 6.10.9.1 of 3GPP TS 29.500 [6].</w:t>
            </w:r>
          </w:p>
        </w:tc>
      </w:tr>
      <w:tr w:rsidR="00A10B25" w14:paraId="18385EAF" w14:textId="77777777">
        <w:trPr>
          <w:jc w:val="center"/>
        </w:trPr>
        <w:tc>
          <w:tcPr>
            <w:tcW w:w="825" w:type="pct"/>
          </w:tcPr>
          <w:p w14:paraId="05ECDBC5" w14:textId="77777777" w:rsidR="00A10B25" w:rsidRDefault="00A10B25">
            <w:pPr>
              <w:pStyle w:val="TAL"/>
            </w:pPr>
            <w:r>
              <w:rPr>
                <w:lang w:eastAsia="zh-CN"/>
              </w:rPr>
              <w:t>3gpp-Sbi-Target-Nf-Id</w:t>
            </w:r>
          </w:p>
        </w:tc>
        <w:tc>
          <w:tcPr>
            <w:tcW w:w="732" w:type="pct"/>
          </w:tcPr>
          <w:p w14:paraId="6AB7D60D" w14:textId="77777777" w:rsidR="00A10B25" w:rsidRDefault="00A10B25">
            <w:pPr>
              <w:pStyle w:val="TAL"/>
            </w:pPr>
            <w:r>
              <w:rPr>
                <w:lang w:eastAsia="fr-FR"/>
              </w:rPr>
              <w:t>string</w:t>
            </w:r>
          </w:p>
        </w:tc>
        <w:tc>
          <w:tcPr>
            <w:tcW w:w="217" w:type="pct"/>
          </w:tcPr>
          <w:p w14:paraId="299BA77C" w14:textId="77777777" w:rsidR="00A10B25" w:rsidRDefault="00A10B25">
            <w:pPr>
              <w:pStyle w:val="TAC"/>
            </w:pPr>
            <w:r>
              <w:rPr>
                <w:lang w:eastAsia="fr-FR"/>
              </w:rPr>
              <w:t>O</w:t>
            </w:r>
          </w:p>
        </w:tc>
        <w:tc>
          <w:tcPr>
            <w:tcW w:w="581" w:type="pct"/>
          </w:tcPr>
          <w:p w14:paraId="53751610" w14:textId="77777777" w:rsidR="00A10B25" w:rsidRDefault="00A10B25">
            <w:pPr>
              <w:pStyle w:val="TAL"/>
            </w:pPr>
            <w:r>
              <w:rPr>
                <w:lang w:eastAsia="fr-FR"/>
              </w:rPr>
              <w:t>0..1</w:t>
            </w:r>
          </w:p>
        </w:tc>
        <w:tc>
          <w:tcPr>
            <w:tcW w:w="2645" w:type="pct"/>
            <w:vAlign w:val="center"/>
          </w:tcPr>
          <w:p w14:paraId="4DDC51BB" w14:textId="77777777" w:rsidR="00A10B25" w:rsidRDefault="00A10B25">
            <w:pPr>
              <w:pStyle w:val="TAL"/>
            </w:pPr>
            <w:r>
              <w:rPr>
                <w:lang w:eastAsia="fr-FR"/>
              </w:rPr>
              <w:t>Identifier of the target NWDAF (service) instance towards which the request is redirected.</w:t>
            </w:r>
          </w:p>
        </w:tc>
      </w:tr>
    </w:tbl>
    <w:p w14:paraId="45951AB1" w14:textId="77777777" w:rsidR="00A10B25" w:rsidRDefault="00A10B25"/>
    <w:p w14:paraId="042DDE35" w14:textId="77777777" w:rsidR="00A10B25" w:rsidRDefault="00A10B25">
      <w:pPr>
        <w:pStyle w:val="6"/>
      </w:pPr>
      <w:bookmarkStart w:id="5118" w:name="_Toc136562359"/>
      <w:bookmarkStart w:id="5119" w:name="_Toc138754193"/>
      <w:bookmarkStart w:id="5120" w:name="_Toc148522584"/>
      <w:bookmarkStart w:id="5121" w:name="_Toc145705680"/>
      <w:bookmarkStart w:id="5122" w:name="_Toc164920764"/>
      <w:bookmarkStart w:id="5123" w:name="_Toc170120306"/>
      <w:bookmarkStart w:id="5124" w:name="_Toc175858551"/>
      <w:bookmarkStart w:id="5125" w:name="_Toc175859624"/>
      <w:bookmarkStart w:id="5126" w:name="_Toc180605914"/>
      <w:bookmarkStart w:id="5127" w:name="_Toc185517168"/>
      <w:bookmarkStart w:id="5128" w:name="_Toc191576219"/>
      <w:bookmarkStart w:id="5129" w:name="_Toc191576959"/>
      <w:bookmarkStart w:id="5130" w:name="_Toc192880029"/>
      <w:bookmarkStart w:id="5131" w:name="_Toc195814912"/>
      <w:bookmarkStart w:id="5132" w:name="_Toc199452879"/>
      <w:r>
        <w:t>5.1.3.5.3.2</w:t>
      </w:r>
      <w:r>
        <w:tab/>
        <w:t>PUT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6EB24BED" w14:textId="77777777" w:rsidR="00A10B25" w:rsidRDefault="00A10B25">
      <w:pPr>
        <w:rPr>
          <w:rFonts w:eastAsia="等线"/>
        </w:rPr>
      </w:pPr>
      <w:r>
        <w:rPr>
          <w:rFonts w:eastAsia="等线"/>
        </w:rPr>
        <w:t>This method shall support the URI query parameters specified in table 5.1.3.5.3.2-1.</w:t>
      </w:r>
    </w:p>
    <w:p w14:paraId="4917B789" w14:textId="77777777" w:rsidR="00A10B25" w:rsidRDefault="00A10B25">
      <w:pPr>
        <w:pStyle w:val="TH"/>
        <w:rPr>
          <w:rFonts w:cs="Arial"/>
        </w:rPr>
      </w:pPr>
      <w:r>
        <w:t>Table 5.1.3.5.3.2-1: URI query parameters supported by the PUT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5E75855" w14:textId="77777777">
        <w:trPr>
          <w:jc w:val="center"/>
        </w:trPr>
        <w:tc>
          <w:tcPr>
            <w:tcW w:w="825" w:type="pct"/>
            <w:tcBorders>
              <w:bottom w:val="single" w:sz="6" w:space="0" w:color="auto"/>
            </w:tcBorders>
            <w:shd w:val="clear" w:color="auto" w:fill="C0C0C0"/>
          </w:tcPr>
          <w:p w14:paraId="2DE8E71A" w14:textId="77777777" w:rsidR="00A10B25" w:rsidRDefault="00A10B25">
            <w:pPr>
              <w:pStyle w:val="TAH"/>
            </w:pPr>
            <w:r>
              <w:t>Name</w:t>
            </w:r>
          </w:p>
        </w:tc>
        <w:tc>
          <w:tcPr>
            <w:tcW w:w="732" w:type="pct"/>
            <w:tcBorders>
              <w:bottom w:val="single" w:sz="6" w:space="0" w:color="auto"/>
            </w:tcBorders>
            <w:shd w:val="clear" w:color="auto" w:fill="C0C0C0"/>
          </w:tcPr>
          <w:p w14:paraId="5AF68C3D" w14:textId="77777777" w:rsidR="00A10B25" w:rsidRDefault="00A10B25">
            <w:pPr>
              <w:pStyle w:val="TAH"/>
            </w:pPr>
            <w:r>
              <w:t>Data type</w:t>
            </w:r>
          </w:p>
        </w:tc>
        <w:tc>
          <w:tcPr>
            <w:tcW w:w="217" w:type="pct"/>
            <w:tcBorders>
              <w:bottom w:val="single" w:sz="6" w:space="0" w:color="auto"/>
            </w:tcBorders>
            <w:shd w:val="clear" w:color="auto" w:fill="C0C0C0"/>
          </w:tcPr>
          <w:p w14:paraId="3F6ED80D" w14:textId="77777777" w:rsidR="00A10B25" w:rsidRDefault="00A10B25">
            <w:pPr>
              <w:pStyle w:val="TAH"/>
            </w:pPr>
            <w:r>
              <w:t>P</w:t>
            </w:r>
          </w:p>
        </w:tc>
        <w:tc>
          <w:tcPr>
            <w:tcW w:w="581" w:type="pct"/>
            <w:tcBorders>
              <w:bottom w:val="single" w:sz="6" w:space="0" w:color="auto"/>
            </w:tcBorders>
            <w:shd w:val="clear" w:color="auto" w:fill="C0C0C0"/>
          </w:tcPr>
          <w:p w14:paraId="1A634709"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6DA8F5B7" w14:textId="77777777" w:rsidR="00A10B25" w:rsidRDefault="00A10B25">
            <w:pPr>
              <w:pStyle w:val="TAH"/>
            </w:pPr>
            <w:r>
              <w:t>Description</w:t>
            </w:r>
          </w:p>
        </w:tc>
      </w:tr>
      <w:tr w:rsidR="00A10B25" w14:paraId="43288821" w14:textId="77777777">
        <w:trPr>
          <w:jc w:val="center"/>
        </w:trPr>
        <w:tc>
          <w:tcPr>
            <w:tcW w:w="825" w:type="pct"/>
            <w:tcBorders>
              <w:top w:val="single" w:sz="6" w:space="0" w:color="auto"/>
            </w:tcBorders>
          </w:tcPr>
          <w:p w14:paraId="17346942" w14:textId="77777777" w:rsidR="00A10B25" w:rsidRDefault="00A10B25">
            <w:pPr>
              <w:pStyle w:val="TAL"/>
            </w:pPr>
            <w:r>
              <w:t>n/a</w:t>
            </w:r>
          </w:p>
        </w:tc>
        <w:tc>
          <w:tcPr>
            <w:tcW w:w="732" w:type="pct"/>
            <w:tcBorders>
              <w:top w:val="single" w:sz="6" w:space="0" w:color="auto"/>
            </w:tcBorders>
          </w:tcPr>
          <w:p w14:paraId="50B6BB2E" w14:textId="77777777" w:rsidR="00A10B25" w:rsidRDefault="00A10B25">
            <w:pPr>
              <w:pStyle w:val="TAL"/>
            </w:pPr>
          </w:p>
        </w:tc>
        <w:tc>
          <w:tcPr>
            <w:tcW w:w="217" w:type="pct"/>
            <w:tcBorders>
              <w:top w:val="single" w:sz="6" w:space="0" w:color="auto"/>
            </w:tcBorders>
          </w:tcPr>
          <w:p w14:paraId="0D37A204" w14:textId="77777777" w:rsidR="00A10B25" w:rsidRDefault="00A10B25">
            <w:pPr>
              <w:pStyle w:val="TAC"/>
            </w:pPr>
          </w:p>
        </w:tc>
        <w:tc>
          <w:tcPr>
            <w:tcW w:w="581" w:type="pct"/>
            <w:tcBorders>
              <w:top w:val="single" w:sz="6" w:space="0" w:color="auto"/>
            </w:tcBorders>
          </w:tcPr>
          <w:p w14:paraId="2A4F1FD0" w14:textId="77777777" w:rsidR="00A10B25" w:rsidRDefault="00A10B25">
            <w:pPr>
              <w:pStyle w:val="TAL"/>
            </w:pPr>
          </w:p>
        </w:tc>
        <w:tc>
          <w:tcPr>
            <w:tcW w:w="2646" w:type="pct"/>
            <w:tcBorders>
              <w:top w:val="single" w:sz="6" w:space="0" w:color="auto"/>
            </w:tcBorders>
            <w:vAlign w:val="center"/>
          </w:tcPr>
          <w:p w14:paraId="3884366B" w14:textId="77777777" w:rsidR="00A10B25" w:rsidRDefault="00A10B25">
            <w:pPr>
              <w:pStyle w:val="TAL"/>
            </w:pPr>
          </w:p>
        </w:tc>
      </w:tr>
    </w:tbl>
    <w:p w14:paraId="04FB2AFD" w14:textId="77777777" w:rsidR="00A10B25" w:rsidRDefault="00A10B25">
      <w:pPr>
        <w:rPr>
          <w:rFonts w:eastAsia="等线"/>
        </w:rPr>
      </w:pPr>
    </w:p>
    <w:p w14:paraId="32ACECF3" w14:textId="77777777" w:rsidR="00A10B25" w:rsidRDefault="00A10B25">
      <w:pPr>
        <w:rPr>
          <w:rFonts w:eastAsia="等线"/>
        </w:rPr>
      </w:pPr>
      <w:r>
        <w:rPr>
          <w:rFonts w:eastAsia="等线"/>
        </w:rPr>
        <w:t>This method shall support the request data structures specified in table 5.1.3.5.3.2-2 and the response data structures and response codes specified in table 5.1.3.5.3.2-3.</w:t>
      </w:r>
    </w:p>
    <w:p w14:paraId="2F0AF33B" w14:textId="77777777" w:rsidR="00A10B25" w:rsidRDefault="00A10B25">
      <w:pPr>
        <w:pStyle w:val="TH"/>
      </w:pPr>
      <w:r>
        <w:t>Table 5.1.3.5.3.2-2: Data structures supported by the PUT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0C5024E0" w14:textId="77777777">
        <w:trPr>
          <w:jc w:val="center"/>
        </w:trPr>
        <w:tc>
          <w:tcPr>
            <w:tcW w:w="2539" w:type="dxa"/>
            <w:tcBorders>
              <w:bottom w:val="single" w:sz="6" w:space="0" w:color="auto"/>
            </w:tcBorders>
            <w:shd w:val="clear" w:color="auto" w:fill="C0C0C0"/>
          </w:tcPr>
          <w:p w14:paraId="5221E6D0" w14:textId="77777777" w:rsidR="00A10B25" w:rsidRDefault="00A10B25">
            <w:pPr>
              <w:pStyle w:val="TAH"/>
            </w:pPr>
            <w:r>
              <w:t>Data type</w:t>
            </w:r>
          </w:p>
        </w:tc>
        <w:tc>
          <w:tcPr>
            <w:tcW w:w="450" w:type="dxa"/>
            <w:tcBorders>
              <w:bottom w:val="single" w:sz="6" w:space="0" w:color="auto"/>
            </w:tcBorders>
            <w:shd w:val="clear" w:color="auto" w:fill="C0C0C0"/>
          </w:tcPr>
          <w:p w14:paraId="79A0A53B" w14:textId="77777777" w:rsidR="00A10B25" w:rsidRDefault="00A10B25">
            <w:pPr>
              <w:pStyle w:val="TAH"/>
            </w:pPr>
            <w:r>
              <w:t>P</w:t>
            </w:r>
          </w:p>
        </w:tc>
        <w:tc>
          <w:tcPr>
            <w:tcW w:w="1170" w:type="dxa"/>
            <w:tcBorders>
              <w:bottom w:val="single" w:sz="6" w:space="0" w:color="auto"/>
            </w:tcBorders>
            <w:shd w:val="clear" w:color="auto" w:fill="C0C0C0"/>
          </w:tcPr>
          <w:p w14:paraId="22EFC950"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640AC5B9" w14:textId="77777777" w:rsidR="00A10B25" w:rsidRDefault="00A10B25">
            <w:pPr>
              <w:pStyle w:val="TAH"/>
            </w:pPr>
            <w:r>
              <w:t>Description</w:t>
            </w:r>
          </w:p>
        </w:tc>
      </w:tr>
      <w:tr w:rsidR="00A10B25" w14:paraId="46930416" w14:textId="77777777">
        <w:trPr>
          <w:jc w:val="center"/>
        </w:trPr>
        <w:tc>
          <w:tcPr>
            <w:tcW w:w="2539" w:type="dxa"/>
            <w:tcBorders>
              <w:top w:val="single" w:sz="6" w:space="0" w:color="auto"/>
            </w:tcBorders>
          </w:tcPr>
          <w:p w14:paraId="79A3509B" w14:textId="77777777" w:rsidR="00A10B25" w:rsidRDefault="00A10B25">
            <w:pPr>
              <w:pStyle w:val="TAL"/>
            </w:pPr>
            <w:r>
              <w:rPr>
                <w:rFonts w:eastAsia="等线"/>
              </w:rPr>
              <w:t>AnalyticsSubscriptionsTransfer</w:t>
            </w:r>
          </w:p>
        </w:tc>
        <w:tc>
          <w:tcPr>
            <w:tcW w:w="450" w:type="dxa"/>
            <w:tcBorders>
              <w:top w:val="single" w:sz="6" w:space="0" w:color="auto"/>
            </w:tcBorders>
          </w:tcPr>
          <w:p w14:paraId="09584319" w14:textId="77777777" w:rsidR="00A10B25" w:rsidRDefault="00A10B25">
            <w:pPr>
              <w:pStyle w:val="TAC"/>
            </w:pPr>
            <w:r>
              <w:rPr>
                <w:rFonts w:hint="eastAsia"/>
              </w:rPr>
              <w:t>M</w:t>
            </w:r>
          </w:p>
        </w:tc>
        <w:tc>
          <w:tcPr>
            <w:tcW w:w="1170" w:type="dxa"/>
            <w:tcBorders>
              <w:top w:val="single" w:sz="6" w:space="0" w:color="auto"/>
            </w:tcBorders>
          </w:tcPr>
          <w:p w14:paraId="1A12C211" w14:textId="77777777" w:rsidR="00A10B25" w:rsidRDefault="00A10B25">
            <w:pPr>
              <w:pStyle w:val="TAC"/>
            </w:pPr>
            <w:r>
              <w:rPr>
                <w:rFonts w:hint="eastAsia"/>
              </w:rPr>
              <w:t>1</w:t>
            </w:r>
          </w:p>
        </w:tc>
        <w:tc>
          <w:tcPr>
            <w:tcW w:w="5518" w:type="dxa"/>
            <w:tcBorders>
              <w:top w:val="single" w:sz="6" w:space="0" w:color="auto"/>
            </w:tcBorders>
          </w:tcPr>
          <w:p w14:paraId="5CABD18D" w14:textId="77777777" w:rsidR="00A10B25" w:rsidRDefault="00A10B25">
            <w:pPr>
              <w:pStyle w:val="TAL"/>
            </w:pPr>
            <w:r>
              <w:t>Parameters to replace in an Individual NWDAF Event Subscription Transfer resource.</w:t>
            </w:r>
          </w:p>
        </w:tc>
      </w:tr>
    </w:tbl>
    <w:p w14:paraId="11108F1F" w14:textId="77777777" w:rsidR="00A10B25" w:rsidRDefault="00A10B25">
      <w:pPr>
        <w:rPr>
          <w:rFonts w:eastAsia="等线"/>
        </w:rPr>
      </w:pPr>
    </w:p>
    <w:p w14:paraId="434F448B" w14:textId="77777777" w:rsidR="00A10B25" w:rsidRDefault="00A10B25">
      <w:pPr>
        <w:pStyle w:val="TH"/>
      </w:pPr>
      <w:bookmarkStart w:id="5133" w:name="_Toc85552969"/>
      <w:bookmarkStart w:id="5134" w:name="_Toc85557068"/>
      <w:bookmarkStart w:id="5135" w:name="_Toc94064238"/>
      <w:bookmarkStart w:id="5136" w:name="_Toc90655855"/>
      <w:bookmarkStart w:id="5137" w:name="_Toc112951114"/>
      <w:bookmarkStart w:id="5138" w:name="_Toc113031654"/>
      <w:bookmarkStart w:id="5139" w:name="_Toc98233623"/>
      <w:bookmarkStart w:id="5140" w:name="_Toc104538992"/>
      <w:bookmarkStart w:id="5141" w:name="_Toc114133793"/>
      <w:bookmarkStart w:id="5142" w:name="_Toc88667570"/>
      <w:bookmarkStart w:id="5143" w:name="_Toc120702293"/>
      <w:bookmarkStart w:id="5144" w:name="_Toc101244399"/>
      <w:bookmarkStart w:id="5145" w:name="_Toc73564427"/>
      <w:r>
        <w:t>Table 5.1.3.5.3.2-3: Data structures supported by the PUT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07"/>
        <w:gridCol w:w="415"/>
        <w:gridCol w:w="1215"/>
        <w:gridCol w:w="1658"/>
        <w:gridCol w:w="3634"/>
      </w:tblGrid>
      <w:tr w:rsidR="00A10B25" w14:paraId="7983EEDF" w14:textId="77777777" w:rsidTr="004D166F">
        <w:trPr>
          <w:jc w:val="center"/>
        </w:trPr>
        <w:tc>
          <w:tcPr>
            <w:tcW w:w="1347" w:type="pct"/>
            <w:tcBorders>
              <w:bottom w:val="single" w:sz="6" w:space="0" w:color="auto"/>
            </w:tcBorders>
            <w:shd w:val="clear" w:color="auto" w:fill="C0C0C0"/>
          </w:tcPr>
          <w:p w14:paraId="53056FBF" w14:textId="77777777" w:rsidR="00A10B25" w:rsidRDefault="00A10B25">
            <w:pPr>
              <w:pStyle w:val="TAH"/>
            </w:pPr>
            <w:r>
              <w:t>Data type</w:t>
            </w:r>
          </w:p>
        </w:tc>
        <w:tc>
          <w:tcPr>
            <w:tcW w:w="223" w:type="pct"/>
            <w:tcBorders>
              <w:bottom w:val="single" w:sz="6" w:space="0" w:color="auto"/>
            </w:tcBorders>
            <w:shd w:val="clear" w:color="auto" w:fill="C0C0C0"/>
          </w:tcPr>
          <w:p w14:paraId="129CD7C5" w14:textId="77777777" w:rsidR="00A10B25" w:rsidRDefault="00A10B25">
            <w:pPr>
              <w:pStyle w:val="TAH"/>
            </w:pPr>
            <w:r>
              <w:t>P</w:t>
            </w:r>
          </w:p>
        </w:tc>
        <w:tc>
          <w:tcPr>
            <w:tcW w:w="643" w:type="pct"/>
            <w:tcBorders>
              <w:bottom w:val="single" w:sz="6" w:space="0" w:color="auto"/>
            </w:tcBorders>
            <w:shd w:val="clear" w:color="auto" w:fill="C0C0C0"/>
          </w:tcPr>
          <w:p w14:paraId="260E4AD4" w14:textId="77777777" w:rsidR="00A10B25" w:rsidRDefault="00A10B25">
            <w:pPr>
              <w:pStyle w:val="TAH"/>
            </w:pPr>
            <w:r>
              <w:t>Cardinality</w:t>
            </w:r>
          </w:p>
        </w:tc>
        <w:tc>
          <w:tcPr>
            <w:tcW w:w="875" w:type="pct"/>
            <w:tcBorders>
              <w:bottom w:val="single" w:sz="6" w:space="0" w:color="auto"/>
            </w:tcBorders>
            <w:shd w:val="clear" w:color="auto" w:fill="C0C0C0"/>
          </w:tcPr>
          <w:p w14:paraId="0D596B94" w14:textId="77777777" w:rsidR="00A10B25" w:rsidRDefault="00A10B25">
            <w:pPr>
              <w:pStyle w:val="TAH"/>
            </w:pPr>
            <w:r>
              <w:t>Response codes</w:t>
            </w:r>
          </w:p>
        </w:tc>
        <w:tc>
          <w:tcPr>
            <w:tcW w:w="1912" w:type="pct"/>
            <w:tcBorders>
              <w:bottom w:val="single" w:sz="6" w:space="0" w:color="auto"/>
            </w:tcBorders>
            <w:shd w:val="clear" w:color="auto" w:fill="C0C0C0"/>
          </w:tcPr>
          <w:p w14:paraId="3A80C7F6" w14:textId="77777777" w:rsidR="00A10B25" w:rsidRDefault="00A10B25">
            <w:pPr>
              <w:pStyle w:val="TAH"/>
            </w:pPr>
            <w:r>
              <w:t>Description</w:t>
            </w:r>
          </w:p>
        </w:tc>
      </w:tr>
      <w:tr w:rsidR="00A10B25" w14:paraId="2221A793" w14:textId="77777777" w:rsidTr="004D166F">
        <w:trPr>
          <w:jc w:val="center"/>
        </w:trPr>
        <w:tc>
          <w:tcPr>
            <w:tcW w:w="1347" w:type="pct"/>
            <w:tcBorders>
              <w:top w:val="single" w:sz="6" w:space="0" w:color="auto"/>
            </w:tcBorders>
          </w:tcPr>
          <w:p w14:paraId="556FDE4A" w14:textId="77777777" w:rsidR="00A10B25" w:rsidRDefault="00A10B25">
            <w:pPr>
              <w:pStyle w:val="TAL"/>
            </w:pPr>
            <w:r>
              <w:rPr>
                <w:rFonts w:eastAsia="等线"/>
              </w:rPr>
              <w:t>AnalyticsSubscriptionsTransfer</w:t>
            </w:r>
          </w:p>
        </w:tc>
        <w:tc>
          <w:tcPr>
            <w:tcW w:w="223" w:type="pct"/>
            <w:tcBorders>
              <w:top w:val="single" w:sz="6" w:space="0" w:color="auto"/>
            </w:tcBorders>
          </w:tcPr>
          <w:p w14:paraId="3FAFB1B2" w14:textId="77777777" w:rsidR="00A10B25" w:rsidRDefault="00A10B25">
            <w:pPr>
              <w:pStyle w:val="TAC"/>
            </w:pPr>
            <w:r>
              <w:t>M</w:t>
            </w:r>
          </w:p>
        </w:tc>
        <w:tc>
          <w:tcPr>
            <w:tcW w:w="643" w:type="pct"/>
            <w:tcBorders>
              <w:top w:val="single" w:sz="6" w:space="0" w:color="auto"/>
            </w:tcBorders>
          </w:tcPr>
          <w:p w14:paraId="5240DA52" w14:textId="77777777" w:rsidR="00A10B25" w:rsidRDefault="00A10B25">
            <w:pPr>
              <w:pStyle w:val="TAC"/>
            </w:pPr>
            <w:r>
              <w:t>1</w:t>
            </w:r>
          </w:p>
        </w:tc>
        <w:tc>
          <w:tcPr>
            <w:tcW w:w="875" w:type="pct"/>
            <w:tcBorders>
              <w:top w:val="single" w:sz="6" w:space="0" w:color="auto"/>
            </w:tcBorders>
          </w:tcPr>
          <w:p w14:paraId="1D0461C5" w14:textId="77777777" w:rsidR="00A10B25" w:rsidRDefault="00A10B25">
            <w:pPr>
              <w:pStyle w:val="TAL"/>
            </w:pPr>
            <w:r>
              <w:t>200 OK</w:t>
            </w:r>
          </w:p>
        </w:tc>
        <w:tc>
          <w:tcPr>
            <w:tcW w:w="1912" w:type="pct"/>
            <w:tcBorders>
              <w:top w:val="single" w:sz="6" w:space="0" w:color="auto"/>
            </w:tcBorders>
          </w:tcPr>
          <w:p w14:paraId="4C277E35" w14:textId="77777777" w:rsidR="00A10B25" w:rsidRDefault="00A10B25">
            <w:pPr>
              <w:pStyle w:val="TAL"/>
            </w:pPr>
            <w:r>
              <w:t>The Individual NWDAF Event Subscription Transfer resource was modified successfully and a representation of that resource is returned.</w:t>
            </w:r>
          </w:p>
        </w:tc>
      </w:tr>
      <w:tr w:rsidR="00A10B25" w14:paraId="39964CEF" w14:textId="77777777" w:rsidTr="004D166F">
        <w:trPr>
          <w:jc w:val="center"/>
        </w:trPr>
        <w:tc>
          <w:tcPr>
            <w:tcW w:w="1347" w:type="pct"/>
            <w:tcBorders>
              <w:top w:val="single" w:sz="6" w:space="0" w:color="auto"/>
            </w:tcBorders>
          </w:tcPr>
          <w:p w14:paraId="00267099" w14:textId="77777777" w:rsidR="00A10B25" w:rsidRDefault="00A10B25">
            <w:pPr>
              <w:pStyle w:val="TAL"/>
              <w:rPr>
                <w:rFonts w:eastAsia="等线"/>
                <w:lang w:eastAsia="zh-CN"/>
              </w:rPr>
            </w:pPr>
            <w:r>
              <w:t>n/a</w:t>
            </w:r>
          </w:p>
        </w:tc>
        <w:tc>
          <w:tcPr>
            <w:tcW w:w="223" w:type="pct"/>
            <w:tcBorders>
              <w:top w:val="single" w:sz="6" w:space="0" w:color="auto"/>
            </w:tcBorders>
          </w:tcPr>
          <w:p w14:paraId="5DBA47EA" w14:textId="77777777" w:rsidR="00A10B25" w:rsidRDefault="00A10B25">
            <w:pPr>
              <w:pStyle w:val="TAC"/>
            </w:pPr>
          </w:p>
        </w:tc>
        <w:tc>
          <w:tcPr>
            <w:tcW w:w="643" w:type="pct"/>
            <w:tcBorders>
              <w:top w:val="single" w:sz="6" w:space="0" w:color="auto"/>
            </w:tcBorders>
          </w:tcPr>
          <w:p w14:paraId="4E65CDE6" w14:textId="77777777" w:rsidR="00A10B25" w:rsidRDefault="00A10B25">
            <w:pPr>
              <w:pStyle w:val="TAC"/>
            </w:pPr>
          </w:p>
        </w:tc>
        <w:tc>
          <w:tcPr>
            <w:tcW w:w="875" w:type="pct"/>
            <w:tcBorders>
              <w:top w:val="single" w:sz="6" w:space="0" w:color="auto"/>
            </w:tcBorders>
          </w:tcPr>
          <w:p w14:paraId="3298DC61" w14:textId="77777777" w:rsidR="00A10B25" w:rsidRDefault="00A10B25">
            <w:pPr>
              <w:pStyle w:val="TAL"/>
            </w:pPr>
            <w:r>
              <w:t>204 No Content</w:t>
            </w:r>
          </w:p>
        </w:tc>
        <w:tc>
          <w:tcPr>
            <w:tcW w:w="1912" w:type="pct"/>
            <w:tcBorders>
              <w:top w:val="single" w:sz="6" w:space="0" w:color="auto"/>
            </w:tcBorders>
          </w:tcPr>
          <w:p w14:paraId="2D4B3754" w14:textId="77777777" w:rsidR="00A10B25" w:rsidRDefault="00A10B25">
            <w:pPr>
              <w:pStyle w:val="TAL"/>
            </w:pPr>
            <w:r>
              <w:t>The Individual NWDAF Event Subscription Transfer resource was modified successfully.</w:t>
            </w:r>
          </w:p>
        </w:tc>
      </w:tr>
      <w:tr w:rsidR="004D166F" w14:paraId="47D3EEF0" w14:textId="77777777" w:rsidTr="004D166F">
        <w:trPr>
          <w:jc w:val="center"/>
        </w:trPr>
        <w:tc>
          <w:tcPr>
            <w:tcW w:w="1347" w:type="pct"/>
          </w:tcPr>
          <w:p w14:paraId="5612483C" w14:textId="77777777" w:rsidR="004D166F" w:rsidRDefault="004D166F" w:rsidP="004D166F">
            <w:pPr>
              <w:pStyle w:val="TAL"/>
              <w:rPr>
                <w:rFonts w:eastAsia="等线"/>
                <w:lang w:eastAsia="zh-CN"/>
              </w:rPr>
            </w:pPr>
            <w:r>
              <w:t>RedirectResponse</w:t>
            </w:r>
          </w:p>
        </w:tc>
        <w:tc>
          <w:tcPr>
            <w:tcW w:w="223" w:type="pct"/>
          </w:tcPr>
          <w:p w14:paraId="166A16B7" w14:textId="77777777" w:rsidR="004D166F" w:rsidRDefault="004D166F" w:rsidP="004D166F">
            <w:pPr>
              <w:pStyle w:val="TAC"/>
            </w:pPr>
            <w:r>
              <w:t>O</w:t>
            </w:r>
          </w:p>
        </w:tc>
        <w:tc>
          <w:tcPr>
            <w:tcW w:w="643" w:type="pct"/>
          </w:tcPr>
          <w:p w14:paraId="7EF63A0D" w14:textId="77777777" w:rsidR="004D166F" w:rsidRDefault="004D166F" w:rsidP="004D166F">
            <w:pPr>
              <w:pStyle w:val="TAC"/>
            </w:pPr>
            <w:r>
              <w:t>0..1</w:t>
            </w:r>
          </w:p>
        </w:tc>
        <w:tc>
          <w:tcPr>
            <w:tcW w:w="875" w:type="pct"/>
          </w:tcPr>
          <w:p w14:paraId="471E012E" w14:textId="77777777" w:rsidR="004D166F" w:rsidRDefault="004D166F" w:rsidP="004D166F">
            <w:pPr>
              <w:pStyle w:val="TAL"/>
            </w:pPr>
            <w:r>
              <w:t>307 Temporary Redirect</w:t>
            </w:r>
          </w:p>
        </w:tc>
        <w:tc>
          <w:tcPr>
            <w:tcW w:w="1912" w:type="pct"/>
          </w:tcPr>
          <w:p w14:paraId="6520104F" w14:textId="77777777" w:rsidR="004D166F" w:rsidRDefault="004D166F" w:rsidP="004D166F">
            <w:pPr>
              <w:pStyle w:val="TAL"/>
            </w:pPr>
            <w:r>
              <w:t>Temporary redirection.</w:t>
            </w:r>
          </w:p>
          <w:p w14:paraId="1A1E954C" w14:textId="77777777" w:rsidR="004D166F" w:rsidRDefault="004D166F" w:rsidP="004D166F">
            <w:pPr>
              <w:pStyle w:val="TAL"/>
            </w:pPr>
          </w:p>
          <w:p w14:paraId="22523BFC" w14:textId="77777777" w:rsidR="004D166F" w:rsidRDefault="004D166F" w:rsidP="004D166F">
            <w:pPr>
              <w:pStyle w:val="TAL"/>
            </w:pPr>
            <w:r>
              <w:t>(NOTE 2)</w:t>
            </w:r>
          </w:p>
        </w:tc>
      </w:tr>
      <w:tr w:rsidR="004D166F" w14:paraId="57F199E6" w14:textId="77777777" w:rsidTr="004D166F">
        <w:trPr>
          <w:jc w:val="center"/>
        </w:trPr>
        <w:tc>
          <w:tcPr>
            <w:tcW w:w="1347" w:type="pct"/>
          </w:tcPr>
          <w:p w14:paraId="28825677" w14:textId="77777777" w:rsidR="004D166F" w:rsidRDefault="004D166F" w:rsidP="004D166F">
            <w:pPr>
              <w:pStyle w:val="TAL"/>
              <w:rPr>
                <w:rFonts w:eastAsia="等线"/>
                <w:lang w:eastAsia="zh-CN"/>
              </w:rPr>
            </w:pPr>
            <w:r>
              <w:t>RedirectResponse</w:t>
            </w:r>
          </w:p>
        </w:tc>
        <w:tc>
          <w:tcPr>
            <w:tcW w:w="223" w:type="pct"/>
          </w:tcPr>
          <w:p w14:paraId="2B3BCE93" w14:textId="77777777" w:rsidR="004D166F" w:rsidRDefault="004D166F" w:rsidP="004D166F">
            <w:pPr>
              <w:pStyle w:val="TAC"/>
            </w:pPr>
            <w:r>
              <w:t>O</w:t>
            </w:r>
          </w:p>
        </w:tc>
        <w:tc>
          <w:tcPr>
            <w:tcW w:w="643" w:type="pct"/>
          </w:tcPr>
          <w:p w14:paraId="3070B1D9" w14:textId="77777777" w:rsidR="004D166F" w:rsidRDefault="004D166F" w:rsidP="004D166F">
            <w:pPr>
              <w:pStyle w:val="TAC"/>
            </w:pPr>
            <w:r>
              <w:t>0..1</w:t>
            </w:r>
          </w:p>
        </w:tc>
        <w:tc>
          <w:tcPr>
            <w:tcW w:w="875" w:type="pct"/>
          </w:tcPr>
          <w:p w14:paraId="6E63A081" w14:textId="77777777" w:rsidR="004D166F" w:rsidRDefault="004D166F" w:rsidP="004D166F">
            <w:pPr>
              <w:pStyle w:val="TAL"/>
            </w:pPr>
            <w:r>
              <w:t>308 Permanent Redirect</w:t>
            </w:r>
          </w:p>
        </w:tc>
        <w:tc>
          <w:tcPr>
            <w:tcW w:w="1912" w:type="pct"/>
          </w:tcPr>
          <w:p w14:paraId="7F116A6C" w14:textId="77777777" w:rsidR="004D166F" w:rsidRDefault="004D166F" w:rsidP="004D166F">
            <w:pPr>
              <w:pStyle w:val="TAL"/>
            </w:pPr>
            <w:r>
              <w:t>Permanent redirection.</w:t>
            </w:r>
          </w:p>
          <w:p w14:paraId="5A2CB149" w14:textId="77777777" w:rsidR="004D166F" w:rsidRDefault="004D166F" w:rsidP="004D166F">
            <w:pPr>
              <w:pStyle w:val="TAL"/>
            </w:pPr>
          </w:p>
          <w:p w14:paraId="7F9A27B0" w14:textId="77777777" w:rsidR="004D166F" w:rsidRDefault="004D166F" w:rsidP="004D166F">
            <w:pPr>
              <w:pStyle w:val="TAL"/>
            </w:pPr>
            <w:r>
              <w:t>(NOTE 2)</w:t>
            </w:r>
          </w:p>
        </w:tc>
      </w:tr>
      <w:tr w:rsidR="00A10B25" w14:paraId="2AFECB40" w14:textId="77777777">
        <w:trPr>
          <w:jc w:val="center"/>
        </w:trPr>
        <w:tc>
          <w:tcPr>
            <w:tcW w:w="5000" w:type="pct"/>
            <w:gridSpan w:val="5"/>
          </w:tcPr>
          <w:p w14:paraId="6AA9FC45" w14:textId="77777777" w:rsidR="00A10B25" w:rsidRDefault="00A10B25">
            <w:pPr>
              <w:pStyle w:val="TAN"/>
            </w:pPr>
            <w:r>
              <w:t>NOTE 1:</w:t>
            </w:r>
            <w:r>
              <w:tab/>
              <w:t>The mandatory HTTP error status codes for the PUT method listed in table 5.2.7.1-1 of 3GPP TS 29.500 [6] also apply.</w:t>
            </w:r>
          </w:p>
          <w:p w14:paraId="163FDC9A" w14:textId="77777777" w:rsidR="00A10B25" w:rsidRDefault="00A10B25">
            <w:pPr>
              <w:pStyle w:val="TAN"/>
            </w:pPr>
            <w:r>
              <w:t>NOTE 2:</w:t>
            </w:r>
            <w:r>
              <w:tab/>
              <w:t>The RedirectResponse data structure may be provided by an SCP (cf. clause 6.10.9.1 of 3GPP TS 29.500 [6]).</w:t>
            </w:r>
          </w:p>
        </w:tc>
      </w:tr>
    </w:tbl>
    <w:p w14:paraId="0BC81EC9" w14:textId="77777777" w:rsidR="00A10B25" w:rsidRDefault="00A10B25">
      <w:pPr>
        <w:rPr>
          <w:lang w:val="en-US" w:eastAsia="zh-CN"/>
        </w:rPr>
      </w:pPr>
    </w:p>
    <w:p w14:paraId="1751B1E8" w14:textId="77777777" w:rsidR="00A10B25" w:rsidRDefault="00A10B25">
      <w:pPr>
        <w:pStyle w:val="TH"/>
      </w:pPr>
      <w:r>
        <w:lastRenderedPageBreak/>
        <w:t>Table 5.1.3.5.3.2-4: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78E2F35" w14:textId="77777777">
        <w:trPr>
          <w:jc w:val="center"/>
        </w:trPr>
        <w:tc>
          <w:tcPr>
            <w:tcW w:w="825" w:type="pct"/>
            <w:tcBorders>
              <w:bottom w:val="single" w:sz="6" w:space="0" w:color="auto"/>
            </w:tcBorders>
            <w:shd w:val="clear" w:color="auto" w:fill="C0C0C0"/>
          </w:tcPr>
          <w:p w14:paraId="3422BD31" w14:textId="77777777" w:rsidR="00A10B25" w:rsidRDefault="00A10B25">
            <w:pPr>
              <w:pStyle w:val="TAH"/>
            </w:pPr>
            <w:r>
              <w:t>Name</w:t>
            </w:r>
          </w:p>
        </w:tc>
        <w:tc>
          <w:tcPr>
            <w:tcW w:w="732" w:type="pct"/>
            <w:tcBorders>
              <w:bottom w:val="single" w:sz="6" w:space="0" w:color="auto"/>
            </w:tcBorders>
            <w:shd w:val="clear" w:color="auto" w:fill="C0C0C0"/>
          </w:tcPr>
          <w:p w14:paraId="33C0C536" w14:textId="77777777" w:rsidR="00A10B25" w:rsidRDefault="00A10B25">
            <w:pPr>
              <w:pStyle w:val="TAH"/>
            </w:pPr>
            <w:r>
              <w:t>Data type</w:t>
            </w:r>
          </w:p>
        </w:tc>
        <w:tc>
          <w:tcPr>
            <w:tcW w:w="217" w:type="pct"/>
            <w:tcBorders>
              <w:bottom w:val="single" w:sz="6" w:space="0" w:color="auto"/>
            </w:tcBorders>
            <w:shd w:val="clear" w:color="auto" w:fill="C0C0C0"/>
          </w:tcPr>
          <w:p w14:paraId="055A7C3E" w14:textId="77777777" w:rsidR="00A10B25" w:rsidRDefault="00A10B25">
            <w:pPr>
              <w:pStyle w:val="TAH"/>
            </w:pPr>
            <w:r>
              <w:t>P</w:t>
            </w:r>
          </w:p>
        </w:tc>
        <w:tc>
          <w:tcPr>
            <w:tcW w:w="581" w:type="pct"/>
            <w:tcBorders>
              <w:bottom w:val="single" w:sz="6" w:space="0" w:color="auto"/>
            </w:tcBorders>
            <w:shd w:val="clear" w:color="auto" w:fill="C0C0C0"/>
          </w:tcPr>
          <w:p w14:paraId="7B5CFEE8"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39AC06D0" w14:textId="77777777" w:rsidR="00A10B25" w:rsidRDefault="00A10B25">
            <w:pPr>
              <w:pStyle w:val="TAH"/>
            </w:pPr>
            <w:r>
              <w:t>Description</w:t>
            </w:r>
          </w:p>
        </w:tc>
      </w:tr>
      <w:tr w:rsidR="00A10B25" w14:paraId="3D54BB86" w14:textId="77777777">
        <w:trPr>
          <w:jc w:val="center"/>
        </w:trPr>
        <w:tc>
          <w:tcPr>
            <w:tcW w:w="825" w:type="pct"/>
            <w:tcBorders>
              <w:top w:val="single" w:sz="6" w:space="0" w:color="auto"/>
            </w:tcBorders>
          </w:tcPr>
          <w:p w14:paraId="44B5CF55" w14:textId="77777777" w:rsidR="00A10B25" w:rsidRDefault="00A10B25">
            <w:pPr>
              <w:pStyle w:val="TAL"/>
            </w:pPr>
            <w:r>
              <w:t>Location</w:t>
            </w:r>
          </w:p>
        </w:tc>
        <w:tc>
          <w:tcPr>
            <w:tcW w:w="732" w:type="pct"/>
            <w:tcBorders>
              <w:top w:val="single" w:sz="6" w:space="0" w:color="auto"/>
            </w:tcBorders>
          </w:tcPr>
          <w:p w14:paraId="0DDFC9DF" w14:textId="77777777" w:rsidR="00A10B25" w:rsidRDefault="00A10B25">
            <w:pPr>
              <w:pStyle w:val="TAL"/>
            </w:pPr>
            <w:r>
              <w:t>string</w:t>
            </w:r>
          </w:p>
        </w:tc>
        <w:tc>
          <w:tcPr>
            <w:tcW w:w="217" w:type="pct"/>
            <w:tcBorders>
              <w:top w:val="single" w:sz="6" w:space="0" w:color="auto"/>
            </w:tcBorders>
          </w:tcPr>
          <w:p w14:paraId="5D502941" w14:textId="77777777" w:rsidR="00A10B25" w:rsidRDefault="00A10B25">
            <w:pPr>
              <w:pStyle w:val="TAC"/>
            </w:pPr>
            <w:r>
              <w:t>M</w:t>
            </w:r>
          </w:p>
        </w:tc>
        <w:tc>
          <w:tcPr>
            <w:tcW w:w="581" w:type="pct"/>
            <w:tcBorders>
              <w:top w:val="single" w:sz="6" w:space="0" w:color="auto"/>
            </w:tcBorders>
          </w:tcPr>
          <w:p w14:paraId="674B9A1F" w14:textId="77777777" w:rsidR="00A10B25" w:rsidRDefault="00A10B25">
            <w:pPr>
              <w:pStyle w:val="TAL"/>
            </w:pPr>
            <w:r>
              <w:t>1</w:t>
            </w:r>
          </w:p>
        </w:tc>
        <w:tc>
          <w:tcPr>
            <w:tcW w:w="2645" w:type="pct"/>
            <w:tcBorders>
              <w:top w:val="single" w:sz="6" w:space="0" w:color="auto"/>
            </w:tcBorders>
            <w:vAlign w:val="center"/>
          </w:tcPr>
          <w:p w14:paraId="5A648C99"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5E72B4A7" w14:textId="77777777" w:rsidR="00A10B25" w:rsidRDefault="00A10B25">
            <w:pPr>
              <w:pStyle w:val="TAL"/>
            </w:pPr>
          </w:p>
          <w:p w14:paraId="71895A29" w14:textId="77777777" w:rsidR="00A10B25" w:rsidRDefault="00A10B25">
            <w:pPr>
              <w:pStyle w:val="TAL"/>
            </w:pPr>
            <w:r>
              <w:t>For the case where the request is redirected to the same target via a different SCP, refer to clause 6.10.9.1 of 3GPP TS 29.500 [6].</w:t>
            </w:r>
          </w:p>
        </w:tc>
      </w:tr>
      <w:tr w:rsidR="00A10B25" w14:paraId="250DC3E7" w14:textId="77777777">
        <w:trPr>
          <w:jc w:val="center"/>
        </w:trPr>
        <w:tc>
          <w:tcPr>
            <w:tcW w:w="825" w:type="pct"/>
          </w:tcPr>
          <w:p w14:paraId="76AADB6B" w14:textId="77777777" w:rsidR="00A10B25" w:rsidRDefault="00A10B25">
            <w:pPr>
              <w:pStyle w:val="TAL"/>
            </w:pPr>
            <w:r>
              <w:rPr>
                <w:lang w:eastAsia="zh-CN"/>
              </w:rPr>
              <w:t>3gpp-Sbi-Target-Nf-Id</w:t>
            </w:r>
          </w:p>
        </w:tc>
        <w:tc>
          <w:tcPr>
            <w:tcW w:w="732" w:type="pct"/>
          </w:tcPr>
          <w:p w14:paraId="13B08C9D" w14:textId="77777777" w:rsidR="00A10B25" w:rsidRDefault="00A10B25">
            <w:pPr>
              <w:pStyle w:val="TAL"/>
            </w:pPr>
            <w:r>
              <w:rPr>
                <w:lang w:eastAsia="fr-FR"/>
              </w:rPr>
              <w:t>string</w:t>
            </w:r>
          </w:p>
        </w:tc>
        <w:tc>
          <w:tcPr>
            <w:tcW w:w="217" w:type="pct"/>
          </w:tcPr>
          <w:p w14:paraId="770F1682" w14:textId="77777777" w:rsidR="00A10B25" w:rsidRDefault="00A10B25">
            <w:pPr>
              <w:pStyle w:val="TAC"/>
            </w:pPr>
            <w:r>
              <w:rPr>
                <w:lang w:eastAsia="fr-FR"/>
              </w:rPr>
              <w:t>O</w:t>
            </w:r>
          </w:p>
        </w:tc>
        <w:tc>
          <w:tcPr>
            <w:tcW w:w="581" w:type="pct"/>
          </w:tcPr>
          <w:p w14:paraId="18DF7144" w14:textId="77777777" w:rsidR="00A10B25" w:rsidRDefault="00A10B25">
            <w:pPr>
              <w:pStyle w:val="TAL"/>
            </w:pPr>
            <w:r>
              <w:rPr>
                <w:lang w:eastAsia="fr-FR"/>
              </w:rPr>
              <w:t>0..1</w:t>
            </w:r>
          </w:p>
        </w:tc>
        <w:tc>
          <w:tcPr>
            <w:tcW w:w="2645" w:type="pct"/>
            <w:vAlign w:val="center"/>
          </w:tcPr>
          <w:p w14:paraId="4F08F0E1" w14:textId="77777777" w:rsidR="00A10B25" w:rsidRDefault="00A10B25">
            <w:pPr>
              <w:pStyle w:val="TAL"/>
            </w:pPr>
            <w:r>
              <w:rPr>
                <w:lang w:eastAsia="fr-FR"/>
              </w:rPr>
              <w:t>Identifier of the target NWDAF (service) instance towards which the request is redirected.</w:t>
            </w:r>
          </w:p>
        </w:tc>
      </w:tr>
    </w:tbl>
    <w:p w14:paraId="1C21386E" w14:textId="77777777" w:rsidR="00A10B25" w:rsidRDefault="00A10B25"/>
    <w:p w14:paraId="417EA0B0" w14:textId="77777777" w:rsidR="00A10B25" w:rsidRDefault="00A10B25">
      <w:pPr>
        <w:pStyle w:val="TH"/>
      </w:pPr>
      <w:r>
        <w:t>Table 5.1.3.5.3.2-5: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02BA363D" w14:textId="77777777">
        <w:trPr>
          <w:jc w:val="center"/>
        </w:trPr>
        <w:tc>
          <w:tcPr>
            <w:tcW w:w="825" w:type="pct"/>
            <w:tcBorders>
              <w:bottom w:val="single" w:sz="6" w:space="0" w:color="auto"/>
            </w:tcBorders>
            <w:shd w:val="clear" w:color="auto" w:fill="C0C0C0"/>
          </w:tcPr>
          <w:p w14:paraId="31E759C7" w14:textId="77777777" w:rsidR="00A10B25" w:rsidRDefault="00A10B25">
            <w:pPr>
              <w:pStyle w:val="TAH"/>
            </w:pPr>
            <w:r>
              <w:t>Name</w:t>
            </w:r>
          </w:p>
        </w:tc>
        <w:tc>
          <w:tcPr>
            <w:tcW w:w="732" w:type="pct"/>
            <w:tcBorders>
              <w:bottom w:val="single" w:sz="6" w:space="0" w:color="auto"/>
            </w:tcBorders>
            <w:shd w:val="clear" w:color="auto" w:fill="C0C0C0"/>
          </w:tcPr>
          <w:p w14:paraId="136BF8F8" w14:textId="77777777" w:rsidR="00A10B25" w:rsidRDefault="00A10B25">
            <w:pPr>
              <w:pStyle w:val="TAH"/>
            </w:pPr>
            <w:r>
              <w:t>Data type</w:t>
            </w:r>
          </w:p>
        </w:tc>
        <w:tc>
          <w:tcPr>
            <w:tcW w:w="217" w:type="pct"/>
            <w:tcBorders>
              <w:bottom w:val="single" w:sz="6" w:space="0" w:color="auto"/>
            </w:tcBorders>
            <w:shd w:val="clear" w:color="auto" w:fill="C0C0C0"/>
          </w:tcPr>
          <w:p w14:paraId="303AF51F" w14:textId="77777777" w:rsidR="00A10B25" w:rsidRDefault="00A10B25">
            <w:pPr>
              <w:pStyle w:val="TAH"/>
            </w:pPr>
            <w:r>
              <w:t>P</w:t>
            </w:r>
          </w:p>
        </w:tc>
        <w:tc>
          <w:tcPr>
            <w:tcW w:w="581" w:type="pct"/>
            <w:tcBorders>
              <w:bottom w:val="single" w:sz="6" w:space="0" w:color="auto"/>
            </w:tcBorders>
            <w:shd w:val="clear" w:color="auto" w:fill="C0C0C0"/>
          </w:tcPr>
          <w:p w14:paraId="60DA747C"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37B3AB2A" w14:textId="77777777" w:rsidR="00A10B25" w:rsidRDefault="00A10B25">
            <w:pPr>
              <w:pStyle w:val="TAH"/>
            </w:pPr>
            <w:r>
              <w:t>Description</w:t>
            </w:r>
          </w:p>
        </w:tc>
      </w:tr>
      <w:tr w:rsidR="00A10B25" w14:paraId="39D5DBD4" w14:textId="77777777">
        <w:trPr>
          <w:jc w:val="center"/>
        </w:trPr>
        <w:tc>
          <w:tcPr>
            <w:tcW w:w="825" w:type="pct"/>
            <w:tcBorders>
              <w:top w:val="single" w:sz="6" w:space="0" w:color="auto"/>
            </w:tcBorders>
          </w:tcPr>
          <w:p w14:paraId="3CBF7CAE" w14:textId="77777777" w:rsidR="00A10B25" w:rsidRDefault="00A10B25">
            <w:pPr>
              <w:pStyle w:val="TAL"/>
            </w:pPr>
            <w:r>
              <w:t>Location</w:t>
            </w:r>
          </w:p>
        </w:tc>
        <w:tc>
          <w:tcPr>
            <w:tcW w:w="732" w:type="pct"/>
            <w:tcBorders>
              <w:top w:val="single" w:sz="6" w:space="0" w:color="auto"/>
            </w:tcBorders>
          </w:tcPr>
          <w:p w14:paraId="191EF3BC" w14:textId="77777777" w:rsidR="00A10B25" w:rsidRDefault="00A10B25">
            <w:pPr>
              <w:pStyle w:val="TAL"/>
            </w:pPr>
            <w:r>
              <w:t>string</w:t>
            </w:r>
          </w:p>
        </w:tc>
        <w:tc>
          <w:tcPr>
            <w:tcW w:w="217" w:type="pct"/>
            <w:tcBorders>
              <w:top w:val="single" w:sz="6" w:space="0" w:color="auto"/>
            </w:tcBorders>
          </w:tcPr>
          <w:p w14:paraId="53793994" w14:textId="77777777" w:rsidR="00A10B25" w:rsidRDefault="00A10B25">
            <w:pPr>
              <w:pStyle w:val="TAC"/>
            </w:pPr>
            <w:r>
              <w:t>M</w:t>
            </w:r>
          </w:p>
        </w:tc>
        <w:tc>
          <w:tcPr>
            <w:tcW w:w="581" w:type="pct"/>
            <w:tcBorders>
              <w:top w:val="single" w:sz="6" w:space="0" w:color="auto"/>
            </w:tcBorders>
          </w:tcPr>
          <w:p w14:paraId="6CA2CB23" w14:textId="77777777" w:rsidR="00A10B25" w:rsidRDefault="00A10B25">
            <w:pPr>
              <w:pStyle w:val="TAL"/>
            </w:pPr>
            <w:r>
              <w:t>1</w:t>
            </w:r>
          </w:p>
        </w:tc>
        <w:tc>
          <w:tcPr>
            <w:tcW w:w="2645" w:type="pct"/>
            <w:tcBorders>
              <w:top w:val="single" w:sz="6" w:space="0" w:color="auto"/>
            </w:tcBorders>
            <w:vAlign w:val="center"/>
          </w:tcPr>
          <w:p w14:paraId="3C57FEE4"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6DA505D" w14:textId="77777777" w:rsidR="00A10B25" w:rsidRDefault="00A10B25">
            <w:pPr>
              <w:pStyle w:val="TAL"/>
            </w:pPr>
          </w:p>
          <w:p w14:paraId="5049C9F7" w14:textId="77777777" w:rsidR="00A10B25" w:rsidRDefault="00A10B25">
            <w:pPr>
              <w:pStyle w:val="TAL"/>
            </w:pPr>
            <w:r>
              <w:t>For the case where the request is redirected to the same target via a different SCP, refer to clause 6.10.9.1 of 3GPP TS 29.500 [6].</w:t>
            </w:r>
          </w:p>
        </w:tc>
      </w:tr>
      <w:tr w:rsidR="00A10B25" w14:paraId="625E1A79" w14:textId="77777777">
        <w:trPr>
          <w:jc w:val="center"/>
        </w:trPr>
        <w:tc>
          <w:tcPr>
            <w:tcW w:w="825" w:type="pct"/>
          </w:tcPr>
          <w:p w14:paraId="5C5F1859" w14:textId="77777777" w:rsidR="00A10B25" w:rsidRDefault="00A10B25">
            <w:pPr>
              <w:pStyle w:val="TAL"/>
            </w:pPr>
            <w:r>
              <w:rPr>
                <w:lang w:eastAsia="zh-CN"/>
              </w:rPr>
              <w:t>3gpp-Sbi-Target-Nf-Id</w:t>
            </w:r>
          </w:p>
        </w:tc>
        <w:tc>
          <w:tcPr>
            <w:tcW w:w="732" w:type="pct"/>
          </w:tcPr>
          <w:p w14:paraId="47360159" w14:textId="77777777" w:rsidR="00A10B25" w:rsidRDefault="00A10B25">
            <w:pPr>
              <w:pStyle w:val="TAL"/>
            </w:pPr>
            <w:r>
              <w:rPr>
                <w:lang w:eastAsia="fr-FR"/>
              </w:rPr>
              <w:t>string</w:t>
            </w:r>
          </w:p>
        </w:tc>
        <w:tc>
          <w:tcPr>
            <w:tcW w:w="217" w:type="pct"/>
          </w:tcPr>
          <w:p w14:paraId="7DDE8633" w14:textId="77777777" w:rsidR="00A10B25" w:rsidRDefault="00A10B25">
            <w:pPr>
              <w:pStyle w:val="TAC"/>
            </w:pPr>
            <w:r>
              <w:rPr>
                <w:lang w:eastAsia="fr-FR"/>
              </w:rPr>
              <w:t>O</w:t>
            </w:r>
          </w:p>
        </w:tc>
        <w:tc>
          <w:tcPr>
            <w:tcW w:w="581" w:type="pct"/>
          </w:tcPr>
          <w:p w14:paraId="5CCF4EAF" w14:textId="77777777" w:rsidR="00A10B25" w:rsidRDefault="00A10B25">
            <w:pPr>
              <w:pStyle w:val="TAL"/>
            </w:pPr>
            <w:r>
              <w:rPr>
                <w:lang w:eastAsia="fr-FR"/>
              </w:rPr>
              <w:t>0..1</w:t>
            </w:r>
          </w:p>
        </w:tc>
        <w:tc>
          <w:tcPr>
            <w:tcW w:w="2645" w:type="pct"/>
            <w:vAlign w:val="center"/>
          </w:tcPr>
          <w:p w14:paraId="180A68AB" w14:textId="77777777" w:rsidR="00A10B25" w:rsidRDefault="00A10B25">
            <w:pPr>
              <w:pStyle w:val="TAL"/>
            </w:pPr>
            <w:r>
              <w:rPr>
                <w:lang w:eastAsia="fr-FR"/>
              </w:rPr>
              <w:t>Identifier of the target NWDAF (service) instance towards which the request is redirected.</w:t>
            </w:r>
          </w:p>
        </w:tc>
      </w:tr>
    </w:tbl>
    <w:p w14:paraId="4F2A7031" w14:textId="77777777" w:rsidR="00A10B25" w:rsidRDefault="00A10B25">
      <w:pPr>
        <w:rPr>
          <w:lang w:val="en-US" w:eastAsia="ja-JP"/>
        </w:rPr>
      </w:pPr>
    </w:p>
    <w:p w14:paraId="2A1EF8A5" w14:textId="77777777" w:rsidR="00A10B25" w:rsidRDefault="00A10B25">
      <w:pPr>
        <w:pStyle w:val="5"/>
      </w:pPr>
      <w:bookmarkStart w:id="5146" w:name="_Toc136562360"/>
      <w:bookmarkStart w:id="5147" w:name="_Toc138754194"/>
      <w:bookmarkStart w:id="5148" w:name="_Toc145705681"/>
      <w:bookmarkStart w:id="5149" w:name="_Toc148522585"/>
      <w:bookmarkStart w:id="5150" w:name="_Toc164920765"/>
      <w:bookmarkStart w:id="5151" w:name="_Toc170120307"/>
      <w:bookmarkStart w:id="5152" w:name="_Toc175858552"/>
      <w:bookmarkStart w:id="5153" w:name="_Toc175859625"/>
      <w:bookmarkStart w:id="5154" w:name="_Toc180605915"/>
      <w:bookmarkStart w:id="5155" w:name="_Toc185517169"/>
      <w:bookmarkStart w:id="5156" w:name="_Toc191576220"/>
      <w:bookmarkStart w:id="5157" w:name="_Toc191576960"/>
      <w:bookmarkStart w:id="5158" w:name="_Toc192880030"/>
      <w:bookmarkStart w:id="5159" w:name="_Toc195814913"/>
      <w:bookmarkStart w:id="5160" w:name="_Toc199452880"/>
      <w:r>
        <w:t>5.1.3.5.4</w:t>
      </w:r>
      <w:r>
        <w:tab/>
        <w:t>Resource Custom Operations</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01359A8D" w14:textId="77777777" w:rsidR="00A10B25" w:rsidRDefault="00A10B25">
      <w:r>
        <w:t>None in this release of the specification.</w:t>
      </w:r>
    </w:p>
    <w:p w14:paraId="0076C714" w14:textId="77777777" w:rsidR="00A10B25" w:rsidRDefault="00A10B25">
      <w:pPr>
        <w:pStyle w:val="3"/>
      </w:pPr>
      <w:bookmarkStart w:id="5161" w:name="_Toc88667571"/>
      <w:bookmarkStart w:id="5162" w:name="_Toc136562361"/>
      <w:bookmarkStart w:id="5163" w:name="_Toc36102446"/>
      <w:bookmarkStart w:id="5164" w:name="_Toc66231786"/>
      <w:bookmarkStart w:id="5165" w:name="_Toc51762883"/>
      <w:bookmarkStart w:id="5166" w:name="_Toc68168947"/>
      <w:bookmarkStart w:id="5167" w:name="_Toc101244400"/>
      <w:bookmarkStart w:id="5168" w:name="_Toc104538993"/>
      <w:bookmarkStart w:id="5169" w:name="_Toc114133794"/>
      <w:bookmarkStart w:id="5170" w:name="_Toc50031963"/>
      <w:bookmarkStart w:id="5171" w:name="_Toc70550614"/>
      <w:bookmarkStart w:id="5172" w:name="_Toc113031655"/>
      <w:bookmarkStart w:id="5173" w:name="_Toc120702294"/>
      <w:bookmarkStart w:id="5174" w:name="_Toc85557069"/>
      <w:bookmarkStart w:id="5175" w:name="_Toc90655856"/>
      <w:bookmarkStart w:id="5176" w:name="_Toc98233624"/>
      <w:bookmarkStart w:id="5177" w:name="_Toc138754195"/>
      <w:bookmarkStart w:id="5178" w:name="_Toc145705682"/>
      <w:bookmarkStart w:id="5179" w:name="_Toc43563488"/>
      <w:bookmarkStart w:id="5180" w:name="_Toc28012805"/>
      <w:bookmarkStart w:id="5181" w:name="_Toc34266275"/>
      <w:bookmarkStart w:id="5182" w:name="_Toc85552970"/>
      <w:bookmarkStart w:id="5183" w:name="_Toc59017918"/>
      <w:bookmarkStart w:id="5184" w:name="_Toc45134031"/>
      <w:bookmarkStart w:id="5185" w:name="_Toc112951115"/>
      <w:bookmarkStart w:id="5186" w:name="_Toc148522586"/>
      <w:bookmarkStart w:id="5187" w:name="_Toc94064239"/>
      <w:bookmarkStart w:id="5188" w:name="_Toc56640950"/>
      <w:bookmarkStart w:id="5189" w:name="_Toc83233060"/>
      <w:bookmarkStart w:id="5190" w:name="_Toc164920766"/>
      <w:bookmarkStart w:id="5191" w:name="_Toc170120308"/>
      <w:bookmarkStart w:id="5192" w:name="_Toc175858553"/>
      <w:bookmarkStart w:id="5193" w:name="_Toc175859626"/>
      <w:bookmarkStart w:id="5194" w:name="_Toc180605916"/>
      <w:bookmarkStart w:id="5195" w:name="_Toc185517170"/>
      <w:bookmarkStart w:id="5196" w:name="_Toc191576221"/>
      <w:bookmarkStart w:id="5197" w:name="_Toc191576961"/>
      <w:bookmarkStart w:id="5198" w:name="_Toc192880031"/>
      <w:bookmarkStart w:id="5199" w:name="_Toc195814914"/>
      <w:bookmarkStart w:id="5200" w:name="_Toc199452881"/>
      <w:r>
        <w:rPr>
          <w:lang w:val="en-US"/>
        </w:rPr>
        <w:t>5.1.4</w:t>
      </w:r>
      <w:r>
        <w:rPr>
          <w:lang w:val="en-US"/>
        </w:rPr>
        <w:tab/>
        <w:t>Custom Operations without associated resources</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67BFF20D" w14:textId="77777777" w:rsidR="00A10B25" w:rsidRDefault="00A10B25">
      <w:pPr>
        <w:rPr>
          <w:rFonts w:eastAsia="Batang"/>
        </w:rPr>
      </w:pPr>
      <w:r>
        <w:rPr>
          <w:rFonts w:eastAsia="Batang"/>
        </w:rPr>
        <w:t>None in this release of the specification.</w:t>
      </w:r>
    </w:p>
    <w:p w14:paraId="49B5D35E" w14:textId="77777777" w:rsidR="00A10B25" w:rsidRDefault="00A10B25">
      <w:pPr>
        <w:pStyle w:val="3"/>
        <w:rPr>
          <w:lang w:val="en-US"/>
        </w:rPr>
      </w:pPr>
      <w:bookmarkStart w:id="5201" w:name="_Toc114133795"/>
      <w:bookmarkStart w:id="5202" w:name="_Toc83233061"/>
      <w:bookmarkStart w:id="5203" w:name="_Toc34266276"/>
      <w:bookmarkStart w:id="5204" w:name="_Toc51762884"/>
      <w:bookmarkStart w:id="5205" w:name="_Toc136562362"/>
      <w:bookmarkStart w:id="5206" w:name="_Toc56640951"/>
      <w:bookmarkStart w:id="5207" w:name="_Toc104538994"/>
      <w:bookmarkStart w:id="5208" w:name="_Toc28012806"/>
      <w:bookmarkStart w:id="5209" w:name="_Toc68168948"/>
      <w:bookmarkStart w:id="5210" w:name="_Toc36102447"/>
      <w:bookmarkStart w:id="5211" w:name="_Toc101244401"/>
      <w:bookmarkStart w:id="5212" w:name="_Toc85557070"/>
      <w:bookmarkStart w:id="5213" w:name="_Toc43563489"/>
      <w:bookmarkStart w:id="5214" w:name="_Toc138754196"/>
      <w:bookmarkStart w:id="5215" w:name="_Toc45134032"/>
      <w:bookmarkStart w:id="5216" w:name="_Toc145705683"/>
      <w:bookmarkStart w:id="5217" w:name="_Toc148522587"/>
      <w:bookmarkStart w:id="5218" w:name="_Toc113031656"/>
      <w:bookmarkStart w:id="5219" w:name="_Toc88667572"/>
      <w:bookmarkStart w:id="5220" w:name="_Toc66231787"/>
      <w:bookmarkStart w:id="5221" w:name="_Toc98233625"/>
      <w:bookmarkStart w:id="5222" w:name="_Toc112951116"/>
      <w:bookmarkStart w:id="5223" w:name="_Toc59017919"/>
      <w:bookmarkStart w:id="5224" w:name="_Toc94064240"/>
      <w:bookmarkStart w:id="5225" w:name="_Toc50031964"/>
      <w:bookmarkStart w:id="5226" w:name="_Toc90655857"/>
      <w:bookmarkStart w:id="5227" w:name="_Toc120702295"/>
      <w:bookmarkStart w:id="5228" w:name="_Toc70550615"/>
      <w:bookmarkStart w:id="5229" w:name="_Toc85552971"/>
      <w:bookmarkStart w:id="5230" w:name="_Toc164920767"/>
      <w:bookmarkStart w:id="5231" w:name="_Toc170120309"/>
      <w:bookmarkStart w:id="5232" w:name="_Toc175858554"/>
      <w:bookmarkStart w:id="5233" w:name="_Toc175859627"/>
      <w:bookmarkStart w:id="5234" w:name="_Toc180605917"/>
      <w:bookmarkStart w:id="5235" w:name="_Toc185517171"/>
      <w:bookmarkStart w:id="5236" w:name="_Toc191576222"/>
      <w:bookmarkStart w:id="5237" w:name="_Toc191576962"/>
      <w:bookmarkStart w:id="5238" w:name="_Toc192880032"/>
      <w:bookmarkStart w:id="5239" w:name="_Toc195814915"/>
      <w:bookmarkStart w:id="5240" w:name="_Toc199452882"/>
      <w:r>
        <w:rPr>
          <w:lang w:val="en-US"/>
        </w:rPr>
        <w:t>5.1.5</w:t>
      </w:r>
      <w:r>
        <w:rPr>
          <w:lang w:val="en-US"/>
        </w:rPr>
        <w:tab/>
        <w:t>Notifications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5F7AAB4B" w14:textId="77777777" w:rsidR="00A10B25" w:rsidRDefault="00A10B25">
      <w:pPr>
        <w:pStyle w:val="4"/>
      </w:pPr>
      <w:bookmarkStart w:id="5241" w:name="_Toc45134033"/>
      <w:bookmarkStart w:id="5242" w:name="_Toc51762885"/>
      <w:bookmarkStart w:id="5243" w:name="_Toc136562363"/>
      <w:bookmarkStart w:id="5244" w:name="_Toc43563490"/>
      <w:bookmarkStart w:id="5245" w:name="_Toc70550616"/>
      <w:bookmarkStart w:id="5246" w:name="_Toc66231788"/>
      <w:bookmarkStart w:id="5247" w:name="_Toc88667573"/>
      <w:bookmarkStart w:id="5248" w:name="_Toc56640952"/>
      <w:bookmarkStart w:id="5249" w:name="_Toc50031965"/>
      <w:bookmarkStart w:id="5250" w:name="_Toc59017920"/>
      <w:bookmarkStart w:id="5251" w:name="_Toc28012807"/>
      <w:bookmarkStart w:id="5252" w:name="_Toc90655858"/>
      <w:bookmarkStart w:id="5253" w:name="_Toc104538995"/>
      <w:bookmarkStart w:id="5254" w:name="_Toc34266277"/>
      <w:bookmarkStart w:id="5255" w:name="_Toc113031657"/>
      <w:bookmarkStart w:id="5256" w:name="_Toc85552972"/>
      <w:bookmarkStart w:id="5257" w:name="_Toc68168949"/>
      <w:bookmarkStart w:id="5258" w:name="_Toc83233062"/>
      <w:bookmarkStart w:id="5259" w:name="_Toc94064241"/>
      <w:bookmarkStart w:id="5260" w:name="_Toc85557071"/>
      <w:bookmarkStart w:id="5261" w:name="_Toc114133796"/>
      <w:bookmarkStart w:id="5262" w:name="_Toc145705684"/>
      <w:bookmarkStart w:id="5263" w:name="_Toc138754197"/>
      <w:bookmarkStart w:id="5264" w:name="_Toc120702296"/>
      <w:bookmarkStart w:id="5265" w:name="_Toc101244402"/>
      <w:bookmarkStart w:id="5266" w:name="_Toc36102448"/>
      <w:bookmarkStart w:id="5267" w:name="_Toc98233626"/>
      <w:bookmarkStart w:id="5268" w:name="_Toc148522588"/>
      <w:bookmarkStart w:id="5269" w:name="_Toc112951117"/>
      <w:bookmarkStart w:id="5270" w:name="_Toc164920768"/>
      <w:bookmarkStart w:id="5271" w:name="_Toc170120310"/>
      <w:bookmarkStart w:id="5272" w:name="_Toc175858555"/>
      <w:bookmarkStart w:id="5273" w:name="_Toc175859628"/>
      <w:bookmarkStart w:id="5274" w:name="_Toc180605918"/>
      <w:bookmarkStart w:id="5275" w:name="_Toc185517172"/>
      <w:bookmarkStart w:id="5276" w:name="_Toc191576223"/>
      <w:bookmarkStart w:id="5277" w:name="_Toc191576963"/>
      <w:bookmarkStart w:id="5278" w:name="_Toc192880033"/>
      <w:bookmarkStart w:id="5279" w:name="_Toc195814916"/>
      <w:bookmarkStart w:id="5280" w:name="_Toc199452883"/>
      <w:r>
        <w:t>5.1.5.1</w:t>
      </w:r>
      <w:r>
        <w:tab/>
        <w:t>General</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000A368A" w14:textId="77777777" w:rsidR="00A10B25" w:rsidRDefault="00A10B25">
      <w:r>
        <w:t>Notifications shall comply with clause 6.2 of 3GPP TS 29.500 [6] and clause 4.6.2.3 of 3GPP TS 29.501 [7].</w:t>
      </w:r>
    </w:p>
    <w:p w14:paraId="22DAFAE4" w14:textId="77777777" w:rsidR="00A10B25" w:rsidRDefault="00A10B25">
      <w:pPr>
        <w:pStyle w:val="TH"/>
      </w:pPr>
      <w:r>
        <w:t>Table 5.3.3.4.1-1: Notifications overview</w:t>
      </w:r>
    </w:p>
    <w:tbl>
      <w:tblPr>
        <w:tblW w:w="4999"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21"/>
        <w:gridCol w:w="2421"/>
        <w:gridCol w:w="1282"/>
        <w:gridCol w:w="3499"/>
      </w:tblGrid>
      <w:tr w:rsidR="00A10B25" w14:paraId="54EFC1B0" w14:textId="77777777">
        <w:trPr>
          <w:jc w:val="center"/>
        </w:trPr>
        <w:tc>
          <w:tcPr>
            <w:tcW w:w="1258" w:type="pct"/>
            <w:shd w:val="clear" w:color="auto" w:fill="C0C0C0"/>
          </w:tcPr>
          <w:p w14:paraId="45D7BD7E" w14:textId="77777777" w:rsidR="00A10B25" w:rsidRDefault="00A10B25">
            <w:pPr>
              <w:pStyle w:val="TAH"/>
            </w:pPr>
            <w:r>
              <w:t>Notification</w:t>
            </w:r>
          </w:p>
        </w:tc>
        <w:tc>
          <w:tcPr>
            <w:tcW w:w="1258" w:type="pct"/>
            <w:shd w:val="clear" w:color="auto" w:fill="C0C0C0"/>
            <w:vAlign w:val="center"/>
          </w:tcPr>
          <w:p w14:paraId="008D68E3" w14:textId="77777777" w:rsidR="00A10B25" w:rsidRDefault="00A10B25">
            <w:pPr>
              <w:pStyle w:val="TAH"/>
            </w:pPr>
            <w:r>
              <w:t>Callback URI</w:t>
            </w:r>
          </w:p>
        </w:tc>
        <w:tc>
          <w:tcPr>
            <w:tcW w:w="666" w:type="pct"/>
            <w:shd w:val="clear" w:color="auto" w:fill="C0C0C0"/>
            <w:vAlign w:val="center"/>
          </w:tcPr>
          <w:p w14:paraId="4BFD8556" w14:textId="77777777" w:rsidR="00A10B25" w:rsidRDefault="00A10B25">
            <w:pPr>
              <w:pStyle w:val="TAH"/>
            </w:pPr>
            <w:r>
              <w:t>HTTP method or custom operation</w:t>
            </w:r>
          </w:p>
        </w:tc>
        <w:tc>
          <w:tcPr>
            <w:tcW w:w="1818" w:type="pct"/>
            <w:shd w:val="clear" w:color="auto" w:fill="C0C0C0"/>
            <w:vAlign w:val="center"/>
          </w:tcPr>
          <w:p w14:paraId="57F108E9" w14:textId="77777777" w:rsidR="00A10B25" w:rsidRDefault="00A10B25">
            <w:pPr>
              <w:pStyle w:val="TAH"/>
            </w:pPr>
            <w:r>
              <w:t>Description (service operation)</w:t>
            </w:r>
          </w:p>
        </w:tc>
      </w:tr>
      <w:tr w:rsidR="00A10B25" w14:paraId="43408A32" w14:textId="77777777">
        <w:trPr>
          <w:jc w:val="center"/>
        </w:trPr>
        <w:tc>
          <w:tcPr>
            <w:tcW w:w="1258" w:type="pct"/>
          </w:tcPr>
          <w:p w14:paraId="0CE65E1F" w14:textId="77777777" w:rsidR="00A10B25" w:rsidRDefault="00A10B25">
            <w:pPr>
              <w:pStyle w:val="TAL"/>
              <w:rPr>
                <w:lang w:val="en-US" w:eastAsia="zh-CN"/>
              </w:rPr>
            </w:pPr>
            <w:r>
              <w:rPr>
                <w:rFonts w:cs="Arial"/>
                <w:szCs w:val="18"/>
                <w:lang w:val="en-US"/>
              </w:rPr>
              <w:t>Event Notification</w:t>
            </w:r>
          </w:p>
        </w:tc>
        <w:tc>
          <w:tcPr>
            <w:tcW w:w="1258" w:type="pct"/>
          </w:tcPr>
          <w:p w14:paraId="7CB5954A" w14:textId="77777777" w:rsidR="00A10B25" w:rsidRDefault="00A10B25">
            <w:pPr>
              <w:pStyle w:val="TAL"/>
            </w:pPr>
            <w:r>
              <w:rPr>
                <w:lang w:val="en-US" w:eastAsia="zh-CN"/>
              </w:rPr>
              <w:t>{notificationURI}</w:t>
            </w:r>
          </w:p>
        </w:tc>
        <w:tc>
          <w:tcPr>
            <w:tcW w:w="666" w:type="pct"/>
          </w:tcPr>
          <w:p w14:paraId="5D2D2367" w14:textId="77777777" w:rsidR="00A10B25" w:rsidRDefault="00A10B25">
            <w:pPr>
              <w:pStyle w:val="TAL"/>
            </w:pPr>
            <w:r>
              <w:t>POST</w:t>
            </w:r>
          </w:p>
        </w:tc>
        <w:tc>
          <w:tcPr>
            <w:tcW w:w="1818" w:type="pct"/>
          </w:tcPr>
          <w:p w14:paraId="27B4196F" w14:textId="77777777" w:rsidR="00A10B25" w:rsidRDefault="00A10B25">
            <w:pPr>
              <w:pStyle w:val="TAL"/>
            </w:pPr>
            <w:r>
              <w:t>Reports one or several observed Events.</w:t>
            </w:r>
          </w:p>
        </w:tc>
      </w:tr>
    </w:tbl>
    <w:p w14:paraId="1E0275F6" w14:textId="77777777" w:rsidR="00A10B25" w:rsidRDefault="00A10B25"/>
    <w:p w14:paraId="5F741104" w14:textId="77777777" w:rsidR="00A10B25" w:rsidRDefault="00A10B25">
      <w:pPr>
        <w:pStyle w:val="4"/>
      </w:pPr>
      <w:bookmarkStart w:id="5281" w:name="_Toc34266278"/>
      <w:bookmarkStart w:id="5282" w:name="_Toc59017921"/>
      <w:bookmarkStart w:id="5283" w:name="_Toc43563491"/>
      <w:bookmarkStart w:id="5284" w:name="_Toc94064242"/>
      <w:bookmarkStart w:id="5285" w:name="_Toc51762886"/>
      <w:bookmarkStart w:id="5286" w:name="_Toc98233627"/>
      <w:bookmarkStart w:id="5287" w:name="_Toc85552973"/>
      <w:bookmarkStart w:id="5288" w:name="_Toc50031966"/>
      <w:bookmarkStart w:id="5289" w:name="_Toc70550617"/>
      <w:bookmarkStart w:id="5290" w:name="_Toc112951118"/>
      <w:bookmarkStart w:id="5291" w:name="_Toc114133797"/>
      <w:bookmarkStart w:id="5292" w:name="_Toc85557072"/>
      <w:bookmarkStart w:id="5293" w:name="_Toc66231789"/>
      <w:bookmarkStart w:id="5294" w:name="_Toc45134034"/>
      <w:bookmarkStart w:id="5295" w:name="_Toc101244403"/>
      <w:bookmarkStart w:id="5296" w:name="_Toc90655859"/>
      <w:bookmarkStart w:id="5297" w:name="_Toc136562364"/>
      <w:bookmarkStart w:id="5298" w:name="_Toc36102449"/>
      <w:bookmarkStart w:id="5299" w:name="_Toc88667574"/>
      <w:bookmarkStart w:id="5300" w:name="_Toc28012808"/>
      <w:bookmarkStart w:id="5301" w:name="_Toc56640953"/>
      <w:bookmarkStart w:id="5302" w:name="_Toc120702297"/>
      <w:bookmarkStart w:id="5303" w:name="_Toc113031658"/>
      <w:bookmarkStart w:id="5304" w:name="_Toc138754198"/>
      <w:bookmarkStart w:id="5305" w:name="_Toc148522589"/>
      <w:bookmarkStart w:id="5306" w:name="_Toc83233063"/>
      <w:bookmarkStart w:id="5307" w:name="_Toc145705685"/>
      <w:bookmarkStart w:id="5308" w:name="_Toc104538996"/>
      <w:bookmarkStart w:id="5309" w:name="_Toc68168950"/>
      <w:bookmarkStart w:id="5310" w:name="_Toc164920769"/>
      <w:bookmarkStart w:id="5311" w:name="_Toc170120311"/>
      <w:bookmarkStart w:id="5312" w:name="_Toc175858556"/>
      <w:bookmarkStart w:id="5313" w:name="_Toc175859629"/>
      <w:bookmarkStart w:id="5314" w:name="_Toc180605919"/>
      <w:bookmarkStart w:id="5315" w:name="_Toc185517173"/>
      <w:bookmarkStart w:id="5316" w:name="_Toc191576224"/>
      <w:bookmarkStart w:id="5317" w:name="_Toc191576964"/>
      <w:bookmarkStart w:id="5318" w:name="_Toc192880034"/>
      <w:bookmarkStart w:id="5319" w:name="_Toc195814917"/>
      <w:bookmarkStart w:id="5320" w:name="_Toc199452884"/>
      <w:r>
        <w:t>5.1.5.2</w:t>
      </w:r>
      <w:r>
        <w:tab/>
        <w:t>Event Notification</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02BDBE91" w14:textId="77777777" w:rsidR="00A10B25" w:rsidRDefault="00A10B25">
      <w:pPr>
        <w:pStyle w:val="5"/>
      </w:pPr>
      <w:bookmarkStart w:id="5321" w:name="_Toc50031967"/>
      <w:bookmarkStart w:id="5322" w:name="_Toc68168951"/>
      <w:bookmarkStart w:id="5323" w:name="_Toc113031659"/>
      <w:bookmarkStart w:id="5324" w:name="_Toc34266279"/>
      <w:bookmarkStart w:id="5325" w:name="_Toc56640954"/>
      <w:bookmarkStart w:id="5326" w:name="_Toc112951119"/>
      <w:bookmarkStart w:id="5327" w:name="_Toc59017922"/>
      <w:bookmarkStart w:id="5328" w:name="_Toc90655860"/>
      <w:bookmarkStart w:id="5329" w:name="_Toc120702298"/>
      <w:bookmarkStart w:id="5330" w:name="_Toc136562365"/>
      <w:bookmarkStart w:id="5331" w:name="_Toc104538997"/>
      <w:bookmarkStart w:id="5332" w:name="_Toc85557073"/>
      <w:bookmarkStart w:id="5333" w:name="_Toc85552974"/>
      <w:bookmarkStart w:id="5334" w:name="_Toc45134035"/>
      <w:bookmarkStart w:id="5335" w:name="_Toc94064243"/>
      <w:bookmarkStart w:id="5336" w:name="_Toc43563492"/>
      <w:bookmarkStart w:id="5337" w:name="_Toc101244404"/>
      <w:bookmarkStart w:id="5338" w:name="_Toc98233628"/>
      <w:bookmarkStart w:id="5339" w:name="_Toc114133798"/>
      <w:bookmarkStart w:id="5340" w:name="_Toc28012809"/>
      <w:bookmarkStart w:id="5341" w:name="_Toc36102450"/>
      <w:bookmarkStart w:id="5342" w:name="_Toc88667575"/>
      <w:bookmarkStart w:id="5343" w:name="_Toc66231790"/>
      <w:bookmarkStart w:id="5344" w:name="_Toc51762887"/>
      <w:bookmarkStart w:id="5345" w:name="_Toc83233064"/>
      <w:bookmarkStart w:id="5346" w:name="_Toc138754199"/>
      <w:bookmarkStart w:id="5347" w:name="_Toc145705686"/>
      <w:bookmarkStart w:id="5348" w:name="_Toc148522590"/>
      <w:bookmarkStart w:id="5349" w:name="_Toc70550618"/>
      <w:bookmarkStart w:id="5350" w:name="_Toc164920770"/>
      <w:bookmarkStart w:id="5351" w:name="_Toc170120312"/>
      <w:bookmarkStart w:id="5352" w:name="_Toc175858557"/>
      <w:bookmarkStart w:id="5353" w:name="_Toc175859630"/>
      <w:bookmarkStart w:id="5354" w:name="_Toc180605920"/>
      <w:bookmarkStart w:id="5355" w:name="_Toc185517174"/>
      <w:bookmarkStart w:id="5356" w:name="_Toc191576225"/>
      <w:bookmarkStart w:id="5357" w:name="_Toc191576965"/>
      <w:bookmarkStart w:id="5358" w:name="_Toc192880035"/>
      <w:bookmarkStart w:id="5359" w:name="_Toc195814918"/>
      <w:bookmarkStart w:id="5360" w:name="_Toc199452885"/>
      <w:r>
        <w:t>5.1.5.2.1</w:t>
      </w:r>
      <w:r>
        <w:tab/>
        <w:t>Description</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44447AAC" w14:textId="77777777" w:rsidR="00A10B25" w:rsidRDefault="00A10B25">
      <w:bookmarkStart w:id="5361" w:name="_Toc104538998"/>
      <w:bookmarkStart w:id="5362" w:name="_Toc34266280"/>
      <w:bookmarkStart w:id="5363" w:name="_Toc43563493"/>
      <w:bookmarkStart w:id="5364" w:name="_Toc56640955"/>
      <w:bookmarkStart w:id="5365" w:name="_Toc28012810"/>
      <w:bookmarkStart w:id="5366" w:name="_Toc94064244"/>
      <w:bookmarkStart w:id="5367" w:name="_Toc98233629"/>
      <w:bookmarkStart w:id="5368" w:name="_Toc45134036"/>
      <w:bookmarkStart w:id="5369" w:name="_Toc51762888"/>
      <w:bookmarkStart w:id="5370" w:name="_Toc36102451"/>
      <w:bookmarkStart w:id="5371" w:name="_Toc68168952"/>
      <w:bookmarkStart w:id="5372" w:name="_Toc113031660"/>
      <w:bookmarkStart w:id="5373" w:name="_Toc90655861"/>
      <w:bookmarkStart w:id="5374" w:name="_Toc70550619"/>
      <w:bookmarkStart w:id="5375" w:name="_Toc101244405"/>
      <w:bookmarkStart w:id="5376" w:name="_Toc59017923"/>
      <w:bookmarkStart w:id="5377" w:name="_Toc85557074"/>
      <w:bookmarkStart w:id="5378" w:name="_Toc83233065"/>
      <w:bookmarkStart w:id="5379" w:name="_Toc50031968"/>
      <w:bookmarkStart w:id="5380" w:name="_Toc85552975"/>
      <w:bookmarkStart w:id="5381" w:name="_Toc88667576"/>
      <w:bookmarkStart w:id="5382" w:name="_Toc112951120"/>
      <w:bookmarkStart w:id="5383" w:name="_Toc114133799"/>
      <w:bookmarkStart w:id="5384" w:name="_Toc66231791"/>
      <w:r>
        <w:t xml:space="preserve">The Event Notification is used by the NWDAF to report one or several observed Events to an NF service consumer that has subscribed to such Notifications or used by the target NWDAF to report </w:t>
      </w:r>
      <w:r>
        <w:rPr>
          <w:lang w:eastAsia="ko-KR"/>
        </w:rPr>
        <w:t>the successful analytics subscription transfer</w:t>
      </w:r>
      <w:r>
        <w:t xml:space="preserve"> via the Individual NWDAF Event Subscription Resource.</w:t>
      </w:r>
    </w:p>
    <w:p w14:paraId="1222E298" w14:textId="77777777" w:rsidR="00A10B25" w:rsidRDefault="00A10B25">
      <w:pPr>
        <w:pStyle w:val="5"/>
      </w:pPr>
      <w:bookmarkStart w:id="5385" w:name="_Toc120702299"/>
      <w:bookmarkStart w:id="5386" w:name="_Toc138754200"/>
      <w:bookmarkStart w:id="5387" w:name="_Toc148522591"/>
      <w:bookmarkStart w:id="5388" w:name="_Toc145705687"/>
      <w:bookmarkStart w:id="5389" w:name="_Toc136562366"/>
      <w:bookmarkStart w:id="5390" w:name="_Toc164920771"/>
      <w:bookmarkStart w:id="5391" w:name="_Toc170120313"/>
      <w:bookmarkStart w:id="5392" w:name="_Toc175858558"/>
      <w:bookmarkStart w:id="5393" w:name="_Toc175859631"/>
      <w:bookmarkStart w:id="5394" w:name="_Toc180605921"/>
      <w:bookmarkStart w:id="5395" w:name="_Toc185517175"/>
      <w:bookmarkStart w:id="5396" w:name="_Toc191576226"/>
      <w:bookmarkStart w:id="5397" w:name="_Toc191576966"/>
      <w:bookmarkStart w:id="5398" w:name="_Toc192880036"/>
      <w:bookmarkStart w:id="5399" w:name="_Toc195814919"/>
      <w:bookmarkStart w:id="5400" w:name="_Toc199452886"/>
      <w:r>
        <w:lastRenderedPageBreak/>
        <w:t>5.1.5.2.2</w:t>
      </w:r>
      <w:r>
        <w:tab/>
        <w:t>Operation Definition</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5F5B9DFC" w14:textId="77777777" w:rsidR="00A10B25" w:rsidRDefault="00A10B25">
      <w:pPr>
        <w:rPr>
          <w:rFonts w:eastAsia="Batang"/>
        </w:rPr>
      </w:pPr>
      <w:r>
        <w:rPr>
          <w:rFonts w:eastAsia="Batang"/>
        </w:rPr>
        <w:t>Callback URI:</w:t>
      </w:r>
      <w:r>
        <w:rPr>
          <w:rFonts w:ascii="Arial" w:eastAsia="Batang" w:hAnsi="Arial"/>
          <w:b/>
          <w:sz w:val="18"/>
        </w:rPr>
        <w:t xml:space="preserve"> {notificationURI}</w:t>
      </w:r>
    </w:p>
    <w:p w14:paraId="58C8B24C" w14:textId="77777777" w:rsidR="00A10B25" w:rsidRDefault="00A10B25">
      <w:pPr>
        <w:rPr>
          <w:rFonts w:ascii="Arial" w:hAnsi="Arial" w:cs="Arial"/>
        </w:rPr>
      </w:pPr>
      <w:r>
        <w:t>The operation shall support the callback URI variables defined in table 5.1.5.2.2-1</w:t>
      </w:r>
      <w:r>
        <w:rPr>
          <w:rFonts w:ascii="Arial" w:hAnsi="Arial" w:cs="Arial"/>
        </w:rPr>
        <w:t xml:space="preserve">, </w:t>
      </w:r>
      <w:r>
        <w:t>the request data structures specified in table 5.1.5.2.2-2 and the response data structure and response codes specified in table 5.1.5.2.2-3.</w:t>
      </w:r>
    </w:p>
    <w:p w14:paraId="266D0113" w14:textId="77777777" w:rsidR="00A10B25" w:rsidRDefault="00A10B25">
      <w:pPr>
        <w:pStyle w:val="TH"/>
        <w:rPr>
          <w:rFonts w:cs="Arial"/>
        </w:rPr>
      </w:pPr>
      <w:r>
        <w:t>Table 5.1.5.2.2-1: Callback URI variables</w:t>
      </w:r>
    </w:p>
    <w:tbl>
      <w:tblPr>
        <w:tblW w:w="4928"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1B1C40C9" w14:textId="77777777">
        <w:trPr>
          <w:jc w:val="center"/>
        </w:trPr>
        <w:tc>
          <w:tcPr>
            <w:tcW w:w="765" w:type="pct"/>
            <w:shd w:val="clear" w:color="000000" w:fill="C0C0C0"/>
          </w:tcPr>
          <w:p w14:paraId="3ECF0C38" w14:textId="77777777" w:rsidR="00A10B25" w:rsidRDefault="00A10B25">
            <w:pPr>
              <w:pStyle w:val="TAH"/>
            </w:pPr>
            <w:r>
              <w:t>Name</w:t>
            </w:r>
          </w:p>
        </w:tc>
        <w:tc>
          <w:tcPr>
            <w:tcW w:w="647" w:type="pct"/>
            <w:shd w:val="clear" w:color="000000" w:fill="C0C0C0"/>
          </w:tcPr>
          <w:p w14:paraId="2814A3C6" w14:textId="77777777" w:rsidR="00A10B25" w:rsidRDefault="00A10B25">
            <w:pPr>
              <w:pStyle w:val="TAH"/>
            </w:pPr>
            <w:r>
              <w:t>Data type</w:t>
            </w:r>
          </w:p>
        </w:tc>
        <w:tc>
          <w:tcPr>
            <w:tcW w:w="3588" w:type="pct"/>
            <w:shd w:val="clear" w:color="000000" w:fill="C0C0C0"/>
            <w:vAlign w:val="center"/>
          </w:tcPr>
          <w:p w14:paraId="3ADBBE31" w14:textId="77777777" w:rsidR="00A10B25" w:rsidRDefault="00A10B25">
            <w:pPr>
              <w:pStyle w:val="TAH"/>
            </w:pPr>
            <w:r>
              <w:t>Definition</w:t>
            </w:r>
          </w:p>
        </w:tc>
      </w:tr>
      <w:tr w:rsidR="00A10B25" w14:paraId="6BE75A9B" w14:textId="77777777">
        <w:trPr>
          <w:jc w:val="center"/>
        </w:trPr>
        <w:tc>
          <w:tcPr>
            <w:tcW w:w="765" w:type="pct"/>
          </w:tcPr>
          <w:p w14:paraId="25EE1079" w14:textId="77777777" w:rsidR="00A10B25" w:rsidRDefault="00A10B25">
            <w:pPr>
              <w:pStyle w:val="TAL"/>
            </w:pPr>
            <w:r>
              <w:t>notificationURI</w:t>
            </w:r>
          </w:p>
        </w:tc>
        <w:tc>
          <w:tcPr>
            <w:tcW w:w="647" w:type="pct"/>
          </w:tcPr>
          <w:p w14:paraId="38FAC74D" w14:textId="77777777" w:rsidR="00A10B25" w:rsidRDefault="00A10B25">
            <w:pPr>
              <w:pStyle w:val="TAL"/>
            </w:pPr>
            <w:r>
              <w:t>Uri</w:t>
            </w:r>
          </w:p>
        </w:tc>
        <w:tc>
          <w:tcPr>
            <w:tcW w:w="3588" w:type="pct"/>
            <w:vAlign w:val="center"/>
          </w:tcPr>
          <w:p w14:paraId="07BCAA8B" w14:textId="77777777" w:rsidR="00A10B25" w:rsidRDefault="00A10B25">
            <w:pPr>
              <w:pStyle w:val="TAL"/>
            </w:pPr>
            <w:r>
              <w:t xml:space="preserve">The Notification Uri as assigned within the Individual NWDAF Event Subscription and described within the </w:t>
            </w:r>
            <w:r>
              <w:rPr>
                <w:lang w:val="en-US" w:eastAsia="zh-CN"/>
              </w:rPr>
              <w:t>NnwdafEventsSubscription type (see t</w:t>
            </w:r>
            <w:r>
              <w:t>able 5.1.6.2.2-1).</w:t>
            </w:r>
          </w:p>
        </w:tc>
      </w:tr>
    </w:tbl>
    <w:p w14:paraId="258BCA6C" w14:textId="77777777" w:rsidR="00A10B25" w:rsidRDefault="00A10B25"/>
    <w:p w14:paraId="7EE14A1A" w14:textId="77777777" w:rsidR="00A10B25" w:rsidRDefault="00A10B25">
      <w:pPr>
        <w:pStyle w:val="TH"/>
      </w:pPr>
      <w:r>
        <w:t>Table 5.1.5.2.2-2: Data structures supported by the POST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0F6DAB2B" w14:textId="77777777">
        <w:trPr>
          <w:jc w:val="center"/>
        </w:trPr>
        <w:tc>
          <w:tcPr>
            <w:tcW w:w="2989" w:type="dxa"/>
            <w:tcBorders>
              <w:bottom w:val="single" w:sz="6" w:space="0" w:color="auto"/>
            </w:tcBorders>
            <w:shd w:val="clear" w:color="auto" w:fill="C0C0C0"/>
          </w:tcPr>
          <w:p w14:paraId="23E4C27B" w14:textId="77777777" w:rsidR="00A10B25" w:rsidRDefault="00A10B25">
            <w:pPr>
              <w:pStyle w:val="TAH"/>
            </w:pPr>
            <w:r>
              <w:t>Data type</w:t>
            </w:r>
          </w:p>
        </w:tc>
        <w:tc>
          <w:tcPr>
            <w:tcW w:w="360" w:type="dxa"/>
            <w:tcBorders>
              <w:bottom w:val="single" w:sz="6" w:space="0" w:color="auto"/>
            </w:tcBorders>
            <w:shd w:val="clear" w:color="auto" w:fill="C0C0C0"/>
          </w:tcPr>
          <w:p w14:paraId="1A05A60D" w14:textId="77777777" w:rsidR="00A10B25" w:rsidRDefault="00A10B25">
            <w:pPr>
              <w:pStyle w:val="TAH"/>
            </w:pPr>
            <w:r>
              <w:t>P</w:t>
            </w:r>
          </w:p>
        </w:tc>
        <w:tc>
          <w:tcPr>
            <w:tcW w:w="1350" w:type="dxa"/>
            <w:tcBorders>
              <w:bottom w:val="single" w:sz="6" w:space="0" w:color="auto"/>
            </w:tcBorders>
            <w:shd w:val="clear" w:color="auto" w:fill="C0C0C0"/>
          </w:tcPr>
          <w:p w14:paraId="65C0117E" w14:textId="77777777" w:rsidR="00A10B25" w:rsidRDefault="00A10B25">
            <w:pPr>
              <w:pStyle w:val="TAH"/>
            </w:pPr>
            <w:r>
              <w:t>Cardinality</w:t>
            </w:r>
          </w:p>
        </w:tc>
        <w:tc>
          <w:tcPr>
            <w:tcW w:w="4980" w:type="dxa"/>
            <w:tcBorders>
              <w:bottom w:val="single" w:sz="6" w:space="0" w:color="auto"/>
            </w:tcBorders>
            <w:shd w:val="clear" w:color="auto" w:fill="C0C0C0"/>
            <w:vAlign w:val="center"/>
          </w:tcPr>
          <w:p w14:paraId="146C07A3" w14:textId="77777777" w:rsidR="00A10B25" w:rsidRDefault="00A10B25">
            <w:pPr>
              <w:pStyle w:val="TAH"/>
            </w:pPr>
            <w:r>
              <w:t>Description</w:t>
            </w:r>
          </w:p>
        </w:tc>
      </w:tr>
      <w:tr w:rsidR="00A10B25" w14:paraId="350BC32D" w14:textId="77777777">
        <w:trPr>
          <w:jc w:val="center"/>
        </w:trPr>
        <w:tc>
          <w:tcPr>
            <w:tcW w:w="2989" w:type="dxa"/>
            <w:tcBorders>
              <w:top w:val="single" w:sz="6" w:space="0" w:color="auto"/>
            </w:tcBorders>
          </w:tcPr>
          <w:p w14:paraId="7D4C57E0" w14:textId="77777777" w:rsidR="00A10B25" w:rsidRDefault="00A10B25">
            <w:pPr>
              <w:pStyle w:val="TAL"/>
            </w:pPr>
            <w:r>
              <w:rPr>
                <w:lang w:val="en-US" w:eastAsia="zh-CN"/>
              </w:rPr>
              <w:t>array(NnwdafEventsSubscriptionNotification)</w:t>
            </w:r>
          </w:p>
        </w:tc>
        <w:tc>
          <w:tcPr>
            <w:tcW w:w="360" w:type="dxa"/>
            <w:tcBorders>
              <w:top w:val="single" w:sz="6" w:space="0" w:color="auto"/>
            </w:tcBorders>
          </w:tcPr>
          <w:p w14:paraId="74D4229C" w14:textId="77777777" w:rsidR="00A10B25" w:rsidRDefault="00A10B25">
            <w:pPr>
              <w:pStyle w:val="TAC"/>
            </w:pPr>
            <w:r>
              <w:t>M</w:t>
            </w:r>
          </w:p>
        </w:tc>
        <w:tc>
          <w:tcPr>
            <w:tcW w:w="1350" w:type="dxa"/>
            <w:tcBorders>
              <w:top w:val="single" w:sz="6" w:space="0" w:color="auto"/>
            </w:tcBorders>
          </w:tcPr>
          <w:p w14:paraId="0940ACCB" w14:textId="77777777" w:rsidR="00A10B25" w:rsidRDefault="00A10B25">
            <w:pPr>
              <w:pStyle w:val="TAC"/>
            </w:pPr>
            <w:r>
              <w:t>1..N</w:t>
            </w:r>
          </w:p>
        </w:tc>
        <w:tc>
          <w:tcPr>
            <w:tcW w:w="4980" w:type="dxa"/>
            <w:tcBorders>
              <w:top w:val="single" w:sz="6" w:space="0" w:color="auto"/>
            </w:tcBorders>
          </w:tcPr>
          <w:p w14:paraId="11318D70" w14:textId="77777777" w:rsidR="00A10B25" w:rsidRDefault="00A10B25">
            <w:pPr>
              <w:pStyle w:val="TAL"/>
            </w:pPr>
            <w:r>
              <w:t xml:space="preserve">Provides Information about observed Events or </w:t>
            </w:r>
            <w:r>
              <w:rPr>
                <w:rFonts w:eastAsia="等线"/>
              </w:rPr>
              <w:t xml:space="preserve">the </w:t>
            </w:r>
            <w:r>
              <w:rPr>
                <w:lang w:eastAsia="ko-KR"/>
              </w:rPr>
              <w:t>successful analytics subscription transfer.</w:t>
            </w:r>
          </w:p>
        </w:tc>
      </w:tr>
    </w:tbl>
    <w:p w14:paraId="1F4B65BF" w14:textId="77777777" w:rsidR="00A10B25" w:rsidRDefault="00A10B25"/>
    <w:p w14:paraId="2A8B2668" w14:textId="77777777" w:rsidR="004D166F" w:rsidRDefault="004D166F" w:rsidP="004D166F">
      <w:pPr>
        <w:pStyle w:val="TH"/>
      </w:pPr>
      <w:r>
        <w:t>Table 5.1.5.2.2-3: Data structures supported by the POST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08"/>
        <w:gridCol w:w="410"/>
        <w:gridCol w:w="1151"/>
        <w:gridCol w:w="1507"/>
        <w:gridCol w:w="4564"/>
      </w:tblGrid>
      <w:tr w:rsidR="004D166F" w14:paraId="08B90009" w14:textId="77777777" w:rsidTr="009E7F73">
        <w:trPr>
          <w:jc w:val="center"/>
        </w:trPr>
        <w:tc>
          <w:tcPr>
            <w:tcW w:w="1000" w:type="pct"/>
            <w:tcBorders>
              <w:bottom w:val="single" w:sz="6" w:space="0" w:color="auto"/>
            </w:tcBorders>
            <w:shd w:val="clear" w:color="auto" w:fill="C0C0C0"/>
          </w:tcPr>
          <w:p w14:paraId="374D2B57" w14:textId="77777777" w:rsidR="004D166F" w:rsidRDefault="004D166F" w:rsidP="009E7F73">
            <w:pPr>
              <w:pStyle w:val="TAH"/>
            </w:pPr>
            <w:r>
              <w:t>Data type</w:t>
            </w:r>
          </w:p>
        </w:tc>
        <w:tc>
          <w:tcPr>
            <w:tcW w:w="215" w:type="pct"/>
            <w:tcBorders>
              <w:bottom w:val="single" w:sz="6" w:space="0" w:color="auto"/>
            </w:tcBorders>
            <w:shd w:val="clear" w:color="auto" w:fill="C0C0C0"/>
          </w:tcPr>
          <w:p w14:paraId="26846DFE" w14:textId="77777777" w:rsidR="004D166F" w:rsidRDefault="004D166F" w:rsidP="009E7F73">
            <w:pPr>
              <w:pStyle w:val="TAH"/>
            </w:pPr>
            <w:r>
              <w:t>P</w:t>
            </w:r>
          </w:p>
        </w:tc>
        <w:tc>
          <w:tcPr>
            <w:tcW w:w="603" w:type="pct"/>
            <w:tcBorders>
              <w:bottom w:val="single" w:sz="6" w:space="0" w:color="auto"/>
            </w:tcBorders>
            <w:shd w:val="clear" w:color="auto" w:fill="C0C0C0"/>
          </w:tcPr>
          <w:p w14:paraId="417C6464" w14:textId="77777777" w:rsidR="004D166F" w:rsidRDefault="004D166F" w:rsidP="009E7F73">
            <w:pPr>
              <w:pStyle w:val="TAH"/>
            </w:pPr>
            <w:r>
              <w:t>Cardinality</w:t>
            </w:r>
          </w:p>
        </w:tc>
        <w:tc>
          <w:tcPr>
            <w:tcW w:w="790" w:type="pct"/>
            <w:tcBorders>
              <w:bottom w:val="single" w:sz="6" w:space="0" w:color="auto"/>
            </w:tcBorders>
            <w:shd w:val="clear" w:color="auto" w:fill="C0C0C0"/>
          </w:tcPr>
          <w:p w14:paraId="5C24363B" w14:textId="77777777" w:rsidR="004D166F" w:rsidRDefault="004D166F" w:rsidP="009E7F73">
            <w:pPr>
              <w:pStyle w:val="TAH"/>
            </w:pPr>
            <w:r>
              <w:t>Response codes</w:t>
            </w:r>
          </w:p>
        </w:tc>
        <w:tc>
          <w:tcPr>
            <w:tcW w:w="2383" w:type="pct"/>
            <w:tcBorders>
              <w:bottom w:val="single" w:sz="6" w:space="0" w:color="auto"/>
            </w:tcBorders>
            <w:shd w:val="clear" w:color="auto" w:fill="C0C0C0"/>
          </w:tcPr>
          <w:p w14:paraId="74415078" w14:textId="77777777" w:rsidR="004D166F" w:rsidRDefault="004D166F" w:rsidP="009E7F73">
            <w:pPr>
              <w:pStyle w:val="TAH"/>
            </w:pPr>
            <w:r>
              <w:t>Description</w:t>
            </w:r>
          </w:p>
        </w:tc>
      </w:tr>
      <w:tr w:rsidR="004D166F" w14:paraId="13D006A0" w14:textId="77777777" w:rsidTr="009E7F73">
        <w:trPr>
          <w:jc w:val="center"/>
        </w:trPr>
        <w:tc>
          <w:tcPr>
            <w:tcW w:w="1000" w:type="pct"/>
            <w:tcBorders>
              <w:top w:val="single" w:sz="6" w:space="0" w:color="auto"/>
            </w:tcBorders>
          </w:tcPr>
          <w:p w14:paraId="3C43173C" w14:textId="77777777" w:rsidR="004D166F" w:rsidRDefault="004D166F" w:rsidP="009E7F73">
            <w:pPr>
              <w:pStyle w:val="TAL"/>
            </w:pPr>
            <w:r>
              <w:t>n/a</w:t>
            </w:r>
          </w:p>
        </w:tc>
        <w:tc>
          <w:tcPr>
            <w:tcW w:w="215" w:type="pct"/>
            <w:tcBorders>
              <w:top w:val="single" w:sz="6" w:space="0" w:color="auto"/>
            </w:tcBorders>
          </w:tcPr>
          <w:p w14:paraId="74DF3AF3" w14:textId="77777777" w:rsidR="004D166F" w:rsidRDefault="004D166F" w:rsidP="009E7F73">
            <w:pPr>
              <w:pStyle w:val="TAC"/>
            </w:pPr>
          </w:p>
        </w:tc>
        <w:tc>
          <w:tcPr>
            <w:tcW w:w="603" w:type="pct"/>
            <w:tcBorders>
              <w:top w:val="single" w:sz="6" w:space="0" w:color="auto"/>
            </w:tcBorders>
          </w:tcPr>
          <w:p w14:paraId="32E57A88" w14:textId="77777777" w:rsidR="004D166F" w:rsidRDefault="004D166F" w:rsidP="009E7F73">
            <w:pPr>
              <w:pStyle w:val="TAC"/>
            </w:pPr>
          </w:p>
        </w:tc>
        <w:tc>
          <w:tcPr>
            <w:tcW w:w="790" w:type="pct"/>
            <w:tcBorders>
              <w:top w:val="single" w:sz="6" w:space="0" w:color="auto"/>
            </w:tcBorders>
          </w:tcPr>
          <w:p w14:paraId="289A8FCB" w14:textId="77777777" w:rsidR="004D166F" w:rsidRDefault="004D166F" w:rsidP="009E7F73">
            <w:pPr>
              <w:pStyle w:val="TAL"/>
            </w:pPr>
            <w:r>
              <w:t>204 No Content</w:t>
            </w:r>
          </w:p>
        </w:tc>
        <w:tc>
          <w:tcPr>
            <w:tcW w:w="2383" w:type="pct"/>
            <w:tcBorders>
              <w:top w:val="single" w:sz="6" w:space="0" w:color="auto"/>
            </w:tcBorders>
          </w:tcPr>
          <w:p w14:paraId="4C8B3729" w14:textId="77777777" w:rsidR="004D166F" w:rsidRDefault="004D166F" w:rsidP="009E7F73">
            <w:pPr>
              <w:pStyle w:val="TAL"/>
            </w:pPr>
            <w:r>
              <w:t xml:space="preserve">Successful case. The NWDAF Event Notification is </w:t>
            </w:r>
            <w:r>
              <w:rPr>
                <w:lang w:val="en-US"/>
              </w:rPr>
              <w:t xml:space="preserve">successfully received and </w:t>
            </w:r>
            <w:r>
              <w:t>acknowledged.</w:t>
            </w:r>
          </w:p>
        </w:tc>
      </w:tr>
      <w:tr w:rsidR="004D166F" w14:paraId="691DFA00" w14:textId="77777777" w:rsidTr="009E7F73">
        <w:trPr>
          <w:jc w:val="center"/>
        </w:trPr>
        <w:tc>
          <w:tcPr>
            <w:tcW w:w="1000" w:type="pct"/>
          </w:tcPr>
          <w:p w14:paraId="2E9ADCBA" w14:textId="77777777" w:rsidR="004D166F" w:rsidRDefault="004D166F" w:rsidP="009E7F73">
            <w:pPr>
              <w:pStyle w:val="TAL"/>
            </w:pPr>
            <w:r>
              <w:t>RedirectResponse</w:t>
            </w:r>
          </w:p>
        </w:tc>
        <w:tc>
          <w:tcPr>
            <w:tcW w:w="215" w:type="pct"/>
          </w:tcPr>
          <w:p w14:paraId="061292AE" w14:textId="77777777" w:rsidR="004D166F" w:rsidRDefault="004D166F" w:rsidP="009E7F73">
            <w:pPr>
              <w:pStyle w:val="TAC"/>
            </w:pPr>
            <w:r>
              <w:t>O</w:t>
            </w:r>
          </w:p>
        </w:tc>
        <w:tc>
          <w:tcPr>
            <w:tcW w:w="603" w:type="pct"/>
          </w:tcPr>
          <w:p w14:paraId="1191DF27" w14:textId="77777777" w:rsidR="004D166F" w:rsidRDefault="004D166F" w:rsidP="009E7F73">
            <w:pPr>
              <w:pStyle w:val="TAC"/>
            </w:pPr>
            <w:r>
              <w:t>0..1</w:t>
            </w:r>
          </w:p>
        </w:tc>
        <w:tc>
          <w:tcPr>
            <w:tcW w:w="790" w:type="pct"/>
          </w:tcPr>
          <w:p w14:paraId="242A88A7" w14:textId="77777777" w:rsidR="004D166F" w:rsidRDefault="004D166F" w:rsidP="009E7F73">
            <w:pPr>
              <w:pStyle w:val="TAL"/>
            </w:pPr>
            <w:r>
              <w:t>307 Temporary Redirect</w:t>
            </w:r>
          </w:p>
        </w:tc>
        <w:tc>
          <w:tcPr>
            <w:tcW w:w="2383" w:type="pct"/>
          </w:tcPr>
          <w:p w14:paraId="0EC92BF6" w14:textId="77777777" w:rsidR="004D166F" w:rsidRDefault="004D166F" w:rsidP="009E7F73">
            <w:pPr>
              <w:pStyle w:val="TAL"/>
            </w:pPr>
            <w:r>
              <w:t>Temporary redirection..</w:t>
            </w:r>
          </w:p>
          <w:p w14:paraId="56A8462C" w14:textId="77777777" w:rsidR="004D166F" w:rsidRDefault="004D166F" w:rsidP="009E7F73">
            <w:pPr>
              <w:pStyle w:val="TAL"/>
            </w:pPr>
          </w:p>
          <w:p w14:paraId="1098DC9B" w14:textId="77777777" w:rsidR="004D166F" w:rsidRDefault="004D166F" w:rsidP="009E7F73">
            <w:pPr>
              <w:pStyle w:val="TAL"/>
            </w:pPr>
            <w:r>
              <w:t xml:space="preserve">Applicable if the feature </w:t>
            </w:r>
            <w:r>
              <w:rPr>
                <w:lang w:eastAsia="zh-CN"/>
              </w:rPr>
              <w:t>"</w:t>
            </w:r>
            <w:r>
              <w:rPr>
                <w:rFonts w:cs="Arial"/>
                <w:szCs w:val="18"/>
              </w:rPr>
              <w:t>ES3XX"</w:t>
            </w:r>
            <w:r>
              <w:t xml:space="preserve"> is supported.</w:t>
            </w:r>
          </w:p>
          <w:p w14:paraId="5353D8E2" w14:textId="77777777" w:rsidR="004D166F" w:rsidRDefault="004D166F" w:rsidP="009E7F73">
            <w:pPr>
              <w:pStyle w:val="TAL"/>
            </w:pPr>
          </w:p>
          <w:p w14:paraId="52B4473E" w14:textId="77777777" w:rsidR="004D166F" w:rsidRDefault="004D166F" w:rsidP="009E7F73">
            <w:pPr>
              <w:pStyle w:val="TAL"/>
            </w:pPr>
            <w:r>
              <w:t>(NOTE 2)</w:t>
            </w:r>
          </w:p>
        </w:tc>
      </w:tr>
      <w:tr w:rsidR="004D166F" w14:paraId="1962D182" w14:textId="77777777" w:rsidTr="009E7F73">
        <w:trPr>
          <w:jc w:val="center"/>
        </w:trPr>
        <w:tc>
          <w:tcPr>
            <w:tcW w:w="1000" w:type="pct"/>
          </w:tcPr>
          <w:p w14:paraId="3E0CC218" w14:textId="77777777" w:rsidR="004D166F" w:rsidRDefault="004D166F" w:rsidP="009E7F73">
            <w:pPr>
              <w:pStyle w:val="TAL"/>
            </w:pPr>
            <w:r>
              <w:t>RedirectResponse</w:t>
            </w:r>
          </w:p>
        </w:tc>
        <w:tc>
          <w:tcPr>
            <w:tcW w:w="215" w:type="pct"/>
          </w:tcPr>
          <w:p w14:paraId="0A7EE25F" w14:textId="77777777" w:rsidR="004D166F" w:rsidRDefault="004D166F" w:rsidP="009E7F73">
            <w:pPr>
              <w:pStyle w:val="TAC"/>
            </w:pPr>
            <w:r>
              <w:t>O</w:t>
            </w:r>
          </w:p>
        </w:tc>
        <w:tc>
          <w:tcPr>
            <w:tcW w:w="603" w:type="pct"/>
          </w:tcPr>
          <w:p w14:paraId="40BF0D36" w14:textId="77777777" w:rsidR="004D166F" w:rsidRDefault="004D166F" w:rsidP="009E7F73">
            <w:pPr>
              <w:pStyle w:val="TAC"/>
            </w:pPr>
            <w:r>
              <w:t>0..1</w:t>
            </w:r>
          </w:p>
        </w:tc>
        <w:tc>
          <w:tcPr>
            <w:tcW w:w="790" w:type="pct"/>
          </w:tcPr>
          <w:p w14:paraId="7C6A9B05" w14:textId="77777777" w:rsidR="004D166F" w:rsidRDefault="004D166F" w:rsidP="009E7F73">
            <w:pPr>
              <w:pStyle w:val="TAL"/>
            </w:pPr>
            <w:r>
              <w:t>308 Permanent Redirect</w:t>
            </w:r>
          </w:p>
        </w:tc>
        <w:tc>
          <w:tcPr>
            <w:tcW w:w="2383" w:type="pct"/>
          </w:tcPr>
          <w:p w14:paraId="20C9F6D2" w14:textId="77777777" w:rsidR="004D166F" w:rsidRDefault="004D166F" w:rsidP="009E7F73">
            <w:pPr>
              <w:pStyle w:val="TAL"/>
            </w:pPr>
            <w:r>
              <w:t>Permanent redirection.</w:t>
            </w:r>
          </w:p>
          <w:p w14:paraId="7F0E8E42" w14:textId="77777777" w:rsidR="004D166F" w:rsidRDefault="004D166F" w:rsidP="009E7F73">
            <w:pPr>
              <w:pStyle w:val="TAL"/>
            </w:pPr>
          </w:p>
          <w:p w14:paraId="6C746E1D" w14:textId="77777777" w:rsidR="004D166F" w:rsidRDefault="004D166F" w:rsidP="009E7F73">
            <w:pPr>
              <w:pStyle w:val="TAL"/>
            </w:pPr>
            <w:r>
              <w:t xml:space="preserve">Applicable if the feature </w:t>
            </w:r>
            <w:r>
              <w:rPr>
                <w:lang w:eastAsia="zh-CN"/>
              </w:rPr>
              <w:t>"</w:t>
            </w:r>
            <w:r>
              <w:rPr>
                <w:rFonts w:cs="Arial"/>
                <w:szCs w:val="18"/>
              </w:rPr>
              <w:t>ES3XX"</w:t>
            </w:r>
            <w:r>
              <w:t xml:space="preserve"> is supported.</w:t>
            </w:r>
          </w:p>
          <w:p w14:paraId="49B13D5B" w14:textId="77777777" w:rsidR="004D166F" w:rsidRDefault="004D166F" w:rsidP="009E7F73">
            <w:pPr>
              <w:pStyle w:val="TAL"/>
            </w:pPr>
          </w:p>
          <w:p w14:paraId="2F8B9869" w14:textId="77777777" w:rsidR="004D166F" w:rsidRDefault="004D166F" w:rsidP="009E7F73">
            <w:pPr>
              <w:pStyle w:val="TAL"/>
            </w:pPr>
            <w:r>
              <w:t>(NOTE 2)</w:t>
            </w:r>
          </w:p>
        </w:tc>
      </w:tr>
      <w:tr w:rsidR="004D166F" w14:paraId="37BEDB0E" w14:textId="77777777" w:rsidTr="009E7F73">
        <w:tblPrEx>
          <w:tblCellMar>
            <w:right w:w="115" w:type="dxa"/>
          </w:tblCellMar>
        </w:tblPrEx>
        <w:trPr>
          <w:jc w:val="center"/>
        </w:trPr>
        <w:tc>
          <w:tcPr>
            <w:tcW w:w="5000" w:type="pct"/>
            <w:gridSpan w:val="5"/>
          </w:tcPr>
          <w:p w14:paraId="7F0C2823" w14:textId="77777777" w:rsidR="004D166F" w:rsidRDefault="004D166F" w:rsidP="009E7F73">
            <w:pPr>
              <w:pStyle w:val="TAN"/>
            </w:pPr>
            <w:r>
              <w:t>NOTE 1:</w:t>
            </w:r>
            <w:r>
              <w:rPr>
                <w:lang w:val="en-US"/>
              </w:rPr>
              <w:tab/>
              <w:t xml:space="preserve">The mandatory </w:t>
            </w:r>
            <w:r>
              <w:t>HTTP error status codes for the HTTP POST method listed in table 5.2.7.1-1 of 3GPP TS 29.500 [6] shall also apply.</w:t>
            </w:r>
          </w:p>
          <w:p w14:paraId="106CC499" w14:textId="77777777" w:rsidR="004D166F" w:rsidRDefault="004D166F" w:rsidP="009E7F73">
            <w:pPr>
              <w:pStyle w:val="TAN"/>
              <w:rPr>
                <w:lang w:val="en-US"/>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2FE667C7" w14:textId="77777777" w:rsidR="00A10B25" w:rsidRPr="004D166F" w:rsidRDefault="00A10B25"/>
    <w:p w14:paraId="3527FFE8" w14:textId="77777777" w:rsidR="004D166F" w:rsidRDefault="004D166F" w:rsidP="004D166F">
      <w:pPr>
        <w:pStyle w:val="TH"/>
      </w:pPr>
      <w:r>
        <w:t>Table 5.1.5.2.2-4: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1278"/>
        <w:gridCol w:w="425"/>
        <w:gridCol w:w="1134"/>
        <w:gridCol w:w="4810"/>
        <w:tblGridChange w:id="5401">
          <w:tblGrid>
            <w:gridCol w:w="1976"/>
            <w:gridCol w:w="1278"/>
            <w:gridCol w:w="425"/>
            <w:gridCol w:w="1134"/>
            <w:gridCol w:w="4810"/>
          </w:tblGrid>
        </w:tblGridChange>
      </w:tblGrid>
      <w:tr w:rsidR="004D166F" w14:paraId="01123AB0" w14:textId="77777777" w:rsidTr="009E7F73">
        <w:trPr>
          <w:jc w:val="center"/>
        </w:trPr>
        <w:tc>
          <w:tcPr>
            <w:tcW w:w="1026" w:type="pct"/>
            <w:tcBorders>
              <w:bottom w:val="single" w:sz="6" w:space="0" w:color="auto"/>
            </w:tcBorders>
            <w:shd w:val="clear" w:color="auto" w:fill="C0C0C0"/>
          </w:tcPr>
          <w:p w14:paraId="5A912D1D" w14:textId="77777777" w:rsidR="004D166F" w:rsidRDefault="004D166F" w:rsidP="009E7F73">
            <w:pPr>
              <w:pStyle w:val="TAH"/>
            </w:pPr>
            <w:r>
              <w:t>Name</w:t>
            </w:r>
          </w:p>
        </w:tc>
        <w:tc>
          <w:tcPr>
            <w:tcW w:w="664" w:type="pct"/>
            <w:tcBorders>
              <w:bottom w:val="single" w:sz="6" w:space="0" w:color="auto"/>
            </w:tcBorders>
            <w:shd w:val="clear" w:color="auto" w:fill="C0C0C0"/>
          </w:tcPr>
          <w:p w14:paraId="0E7C9678" w14:textId="77777777" w:rsidR="004D166F" w:rsidRDefault="004D166F" w:rsidP="009E7F73">
            <w:pPr>
              <w:pStyle w:val="TAH"/>
            </w:pPr>
            <w:r>
              <w:t>Data type</w:t>
            </w:r>
          </w:p>
        </w:tc>
        <w:tc>
          <w:tcPr>
            <w:tcW w:w="221" w:type="pct"/>
            <w:tcBorders>
              <w:bottom w:val="single" w:sz="6" w:space="0" w:color="auto"/>
            </w:tcBorders>
            <w:shd w:val="clear" w:color="auto" w:fill="C0C0C0"/>
          </w:tcPr>
          <w:p w14:paraId="5CA52068" w14:textId="77777777" w:rsidR="004D166F" w:rsidRDefault="004D166F" w:rsidP="009E7F73">
            <w:pPr>
              <w:pStyle w:val="TAH"/>
            </w:pPr>
            <w:r>
              <w:t>P</w:t>
            </w:r>
          </w:p>
        </w:tc>
        <w:tc>
          <w:tcPr>
            <w:tcW w:w="589" w:type="pct"/>
            <w:tcBorders>
              <w:bottom w:val="single" w:sz="6" w:space="0" w:color="auto"/>
            </w:tcBorders>
            <w:shd w:val="clear" w:color="auto" w:fill="C0C0C0"/>
          </w:tcPr>
          <w:p w14:paraId="45D91311" w14:textId="77777777" w:rsidR="004D166F" w:rsidRDefault="004D166F" w:rsidP="009E7F73">
            <w:pPr>
              <w:pStyle w:val="TAH"/>
            </w:pPr>
            <w:r>
              <w:t>Cardinality</w:t>
            </w:r>
          </w:p>
        </w:tc>
        <w:tc>
          <w:tcPr>
            <w:tcW w:w="2499" w:type="pct"/>
            <w:tcBorders>
              <w:bottom w:val="single" w:sz="6" w:space="0" w:color="auto"/>
            </w:tcBorders>
            <w:shd w:val="clear" w:color="auto" w:fill="C0C0C0"/>
            <w:vAlign w:val="center"/>
          </w:tcPr>
          <w:p w14:paraId="33BD527C" w14:textId="77777777" w:rsidR="004D166F" w:rsidRDefault="004D166F" w:rsidP="009E7F73">
            <w:pPr>
              <w:pStyle w:val="TAH"/>
            </w:pPr>
            <w:r>
              <w:t>Description</w:t>
            </w:r>
          </w:p>
        </w:tc>
      </w:tr>
      <w:tr w:rsidR="004D166F" w14:paraId="73BFB0EF" w14:textId="77777777" w:rsidTr="0040274B">
        <w:trPr>
          <w:jc w:val="center"/>
        </w:trPr>
        <w:tc>
          <w:tcPr>
            <w:tcW w:w="1026" w:type="pct"/>
            <w:tcBorders>
              <w:top w:val="single" w:sz="6" w:space="0" w:color="auto"/>
            </w:tcBorders>
          </w:tcPr>
          <w:p w14:paraId="33622B09" w14:textId="77777777" w:rsidR="004D166F" w:rsidRDefault="004D166F" w:rsidP="009E7F73">
            <w:pPr>
              <w:pStyle w:val="TAL"/>
            </w:pPr>
            <w:r>
              <w:t>Location</w:t>
            </w:r>
          </w:p>
        </w:tc>
        <w:tc>
          <w:tcPr>
            <w:tcW w:w="664" w:type="pct"/>
            <w:tcBorders>
              <w:top w:val="single" w:sz="6" w:space="0" w:color="auto"/>
            </w:tcBorders>
          </w:tcPr>
          <w:p w14:paraId="5819BB7B" w14:textId="77777777" w:rsidR="004D166F" w:rsidRDefault="004D166F" w:rsidP="009E7F73">
            <w:pPr>
              <w:pStyle w:val="TAL"/>
            </w:pPr>
            <w:r>
              <w:t>string</w:t>
            </w:r>
          </w:p>
        </w:tc>
        <w:tc>
          <w:tcPr>
            <w:tcW w:w="221" w:type="pct"/>
            <w:tcBorders>
              <w:top w:val="single" w:sz="6" w:space="0" w:color="auto"/>
            </w:tcBorders>
          </w:tcPr>
          <w:p w14:paraId="6E3A4066" w14:textId="77777777" w:rsidR="004D166F" w:rsidRDefault="004D166F" w:rsidP="009E7F73">
            <w:pPr>
              <w:pStyle w:val="TAC"/>
            </w:pPr>
            <w:r>
              <w:t>M</w:t>
            </w:r>
          </w:p>
        </w:tc>
        <w:tc>
          <w:tcPr>
            <w:tcW w:w="589" w:type="pct"/>
            <w:tcBorders>
              <w:top w:val="single" w:sz="6" w:space="0" w:color="auto"/>
            </w:tcBorders>
          </w:tcPr>
          <w:p w14:paraId="4BC581FD" w14:textId="77777777" w:rsidR="004D166F" w:rsidRDefault="004D166F" w:rsidP="0040274B">
            <w:pPr>
              <w:pStyle w:val="TAC"/>
            </w:pPr>
            <w:r>
              <w:t>1</w:t>
            </w:r>
          </w:p>
        </w:tc>
        <w:tc>
          <w:tcPr>
            <w:tcW w:w="2499" w:type="pct"/>
            <w:tcBorders>
              <w:top w:val="single" w:sz="6" w:space="0" w:color="auto"/>
            </w:tcBorders>
            <w:vAlign w:val="center"/>
          </w:tcPr>
          <w:p w14:paraId="7318A757" w14:textId="77777777" w:rsidR="004D166F" w:rsidRDefault="004D166F" w:rsidP="009E7F73">
            <w:pPr>
              <w:pStyle w:val="TAL"/>
            </w:pPr>
            <w:r>
              <w:rPr>
                <w:lang w:eastAsia="fr-FR"/>
              </w:rPr>
              <w:t>Contains an alternative URI representing the end point of an alternative NF consumer (service) instance towards which the notification should be redirected</w:t>
            </w:r>
            <w:r>
              <w:t>.</w:t>
            </w:r>
          </w:p>
          <w:p w14:paraId="13D8AC0B" w14:textId="77777777" w:rsidR="004D166F" w:rsidRDefault="004D166F" w:rsidP="009E7F73">
            <w:pPr>
              <w:pStyle w:val="TAL"/>
            </w:pPr>
          </w:p>
          <w:p w14:paraId="7A4CEA26" w14:textId="77777777" w:rsidR="004D166F" w:rsidRDefault="004D166F"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4D166F" w14:paraId="167EA713" w14:textId="77777777" w:rsidTr="0040274B">
        <w:trPr>
          <w:jc w:val="center"/>
        </w:trPr>
        <w:tc>
          <w:tcPr>
            <w:tcW w:w="1026" w:type="pct"/>
          </w:tcPr>
          <w:p w14:paraId="1BF3A7DA" w14:textId="77777777" w:rsidR="004D166F" w:rsidRDefault="004D166F" w:rsidP="009E7F73">
            <w:pPr>
              <w:pStyle w:val="TAL"/>
            </w:pPr>
            <w:r>
              <w:rPr>
                <w:lang w:eastAsia="zh-CN"/>
              </w:rPr>
              <w:t>3gpp-Sbi-Target-Nf-Id</w:t>
            </w:r>
          </w:p>
        </w:tc>
        <w:tc>
          <w:tcPr>
            <w:tcW w:w="664" w:type="pct"/>
          </w:tcPr>
          <w:p w14:paraId="6D7B26BE" w14:textId="77777777" w:rsidR="004D166F" w:rsidRDefault="004D166F" w:rsidP="009E7F73">
            <w:pPr>
              <w:pStyle w:val="TAL"/>
            </w:pPr>
            <w:r>
              <w:rPr>
                <w:lang w:eastAsia="fr-FR"/>
              </w:rPr>
              <w:t>string</w:t>
            </w:r>
          </w:p>
        </w:tc>
        <w:tc>
          <w:tcPr>
            <w:tcW w:w="221" w:type="pct"/>
          </w:tcPr>
          <w:p w14:paraId="288A2AFB" w14:textId="77777777" w:rsidR="004D166F" w:rsidRDefault="004D166F" w:rsidP="009E7F73">
            <w:pPr>
              <w:pStyle w:val="TAC"/>
            </w:pPr>
            <w:r>
              <w:rPr>
                <w:lang w:eastAsia="fr-FR"/>
              </w:rPr>
              <w:t>O</w:t>
            </w:r>
          </w:p>
        </w:tc>
        <w:tc>
          <w:tcPr>
            <w:tcW w:w="589" w:type="pct"/>
          </w:tcPr>
          <w:p w14:paraId="579F9EA6" w14:textId="77777777" w:rsidR="004D166F" w:rsidRDefault="004D166F" w:rsidP="0040274B">
            <w:pPr>
              <w:pStyle w:val="TAC"/>
            </w:pPr>
            <w:r>
              <w:rPr>
                <w:lang w:eastAsia="fr-FR"/>
              </w:rPr>
              <w:t>0..1</w:t>
            </w:r>
          </w:p>
        </w:tc>
        <w:tc>
          <w:tcPr>
            <w:tcW w:w="2499" w:type="pct"/>
            <w:vAlign w:val="center"/>
          </w:tcPr>
          <w:p w14:paraId="21961A60" w14:textId="77777777" w:rsidR="004D166F" w:rsidRDefault="004D166F" w:rsidP="009E7F73">
            <w:pPr>
              <w:pStyle w:val="TAL"/>
            </w:pPr>
            <w:r>
              <w:rPr>
                <w:lang w:eastAsia="fr-FR"/>
              </w:rPr>
              <w:t>Contains the identifier of the target NF (service) instance towards which the notification request is redirected.</w:t>
            </w:r>
          </w:p>
        </w:tc>
      </w:tr>
    </w:tbl>
    <w:p w14:paraId="13DC4159" w14:textId="77777777" w:rsidR="004D166F" w:rsidRDefault="004D166F" w:rsidP="004D166F"/>
    <w:p w14:paraId="03C3A4B7" w14:textId="77777777" w:rsidR="004D166F" w:rsidRDefault="004D166F" w:rsidP="004D166F">
      <w:pPr>
        <w:pStyle w:val="TH"/>
      </w:pPr>
      <w:r>
        <w:lastRenderedPageBreak/>
        <w:t>Table 5.1.5.2.2-5: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1278"/>
        <w:gridCol w:w="425"/>
        <w:gridCol w:w="1134"/>
        <w:gridCol w:w="4810"/>
        <w:tblGridChange w:id="5402">
          <w:tblGrid>
            <w:gridCol w:w="1976"/>
            <w:gridCol w:w="1278"/>
            <w:gridCol w:w="425"/>
            <w:gridCol w:w="1134"/>
            <w:gridCol w:w="4810"/>
          </w:tblGrid>
        </w:tblGridChange>
      </w:tblGrid>
      <w:tr w:rsidR="004D166F" w14:paraId="28BC7E23" w14:textId="77777777" w:rsidTr="009E7F73">
        <w:trPr>
          <w:jc w:val="center"/>
        </w:trPr>
        <w:tc>
          <w:tcPr>
            <w:tcW w:w="1026" w:type="pct"/>
            <w:tcBorders>
              <w:bottom w:val="single" w:sz="6" w:space="0" w:color="auto"/>
            </w:tcBorders>
            <w:shd w:val="clear" w:color="auto" w:fill="C0C0C0"/>
          </w:tcPr>
          <w:p w14:paraId="0392A87F" w14:textId="77777777" w:rsidR="004D166F" w:rsidRDefault="004D166F" w:rsidP="009E7F73">
            <w:pPr>
              <w:pStyle w:val="TAH"/>
            </w:pPr>
            <w:r>
              <w:t>Name</w:t>
            </w:r>
          </w:p>
        </w:tc>
        <w:tc>
          <w:tcPr>
            <w:tcW w:w="664" w:type="pct"/>
            <w:tcBorders>
              <w:bottom w:val="single" w:sz="6" w:space="0" w:color="auto"/>
            </w:tcBorders>
            <w:shd w:val="clear" w:color="auto" w:fill="C0C0C0"/>
          </w:tcPr>
          <w:p w14:paraId="2C56C377" w14:textId="77777777" w:rsidR="004D166F" w:rsidRDefault="004D166F" w:rsidP="009E7F73">
            <w:pPr>
              <w:pStyle w:val="TAH"/>
            </w:pPr>
            <w:r>
              <w:t>Data type</w:t>
            </w:r>
          </w:p>
        </w:tc>
        <w:tc>
          <w:tcPr>
            <w:tcW w:w="221" w:type="pct"/>
            <w:tcBorders>
              <w:bottom w:val="single" w:sz="6" w:space="0" w:color="auto"/>
            </w:tcBorders>
            <w:shd w:val="clear" w:color="auto" w:fill="C0C0C0"/>
          </w:tcPr>
          <w:p w14:paraId="17956FF8" w14:textId="77777777" w:rsidR="004D166F" w:rsidRDefault="004D166F" w:rsidP="009E7F73">
            <w:pPr>
              <w:pStyle w:val="TAH"/>
            </w:pPr>
            <w:r>
              <w:t>P</w:t>
            </w:r>
          </w:p>
        </w:tc>
        <w:tc>
          <w:tcPr>
            <w:tcW w:w="589" w:type="pct"/>
            <w:tcBorders>
              <w:bottom w:val="single" w:sz="6" w:space="0" w:color="auto"/>
            </w:tcBorders>
            <w:shd w:val="clear" w:color="auto" w:fill="C0C0C0"/>
          </w:tcPr>
          <w:p w14:paraId="5AF5385C" w14:textId="77777777" w:rsidR="004D166F" w:rsidRDefault="004D166F" w:rsidP="009E7F73">
            <w:pPr>
              <w:pStyle w:val="TAH"/>
            </w:pPr>
            <w:r>
              <w:t>Cardinality</w:t>
            </w:r>
          </w:p>
        </w:tc>
        <w:tc>
          <w:tcPr>
            <w:tcW w:w="2499" w:type="pct"/>
            <w:tcBorders>
              <w:bottom w:val="single" w:sz="6" w:space="0" w:color="auto"/>
            </w:tcBorders>
            <w:shd w:val="clear" w:color="auto" w:fill="C0C0C0"/>
            <w:vAlign w:val="center"/>
          </w:tcPr>
          <w:p w14:paraId="0C801544" w14:textId="77777777" w:rsidR="004D166F" w:rsidRDefault="004D166F" w:rsidP="009E7F73">
            <w:pPr>
              <w:pStyle w:val="TAH"/>
            </w:pPr>
            <w:r>
              <w:t>Description</w:t>
            </w:r>
          </w:p>
        </w:tc>
      </w:tr>
      <w:tr w:rsidR="004D166F" w14:paraId="09DAF583" w14:textId="77777777" w:rsidTr="0040274B">
        <w:trPr>
          <w:jc w:val="center"/>
        </w:trPr>
        <w:tc>
          <w:tcPr>
            <w:tcW w:w="1026" w:type="pct"/>
            <w:tcBorders>
              <w:top w:val="single" w:sz="6" w:space="0" w:color="auto"/>
            </w:tcBorders>
          </w:tcPr>
          <w:p w14:paraId="623FD38A" w14:textId="77777777" w:rsidR="004D166F" w:rsidRDefault="004D166F" w:rsidP="009E7F73">
            <w:pPr>
              <w:pStyle w:val="TAL"/>
            </w:pPr>
            <w:r>
              <w:t>Location</w:t>
            </w:r>
          </w:p>
        </w:tc>
        <w:tc>
          <w:tcPr>
            <w:tcW w:w="664" w:type="pct"/>
            <w:tcBorders>
              <w:top w:val="single" w:sz="6" w:space="0" w:color="auto"/>
            </w:tcBorders>
          </w:tcPr>
          <w:p w14:paraId="45A33245" w14:textId="77777777" w:rsidR="004D166F" w:rsidRDefault="004D166F" w:rsidP="009E7F73">
            <w:pPr>
              <w:pStyle w:val="TAL"/>
            </w:pPr>
            <w:r>
              <w:t>string</w:t>
            </w:r>
          </w:p>
        </w:tc>
        <w:tc>
          <w:tcPr>
            <w:tcW w:w="221" w:type="pct"/>
            <w:tcBorders>
              <w:top w:val="single" w:sz="6" w:space="0" w:color="auto"/>
            </w:tcBorders>
          </w:tcPr>
          <w:p w14:paraId="20CC5271" w14:textId="77777777" w:rsidR="004D166F" w:rsidRDefault="004D166F" w:rsidP="009E7F73">
            <w:pPr>
              <w:pStyle w:val="TAC"/>
            </w:pPr>
            <w:r>
              <w:t>M</w:t>
            </w:r>
          </w:p>
        </w:tc>
        <w:tc>
          <w:tcPr>
            <w:tcW w:w="589" w:type="pct"/>
            <w:tcBorders>
              <w:top w:val="single" w:sz="6" w:space="0" w:color="auto"/>
            </w:tcBorders>
          </w:tcPr>
          <w:p w14:paraId="59837691" w14:textId="77777777" w:rsidR="004D166F" w:rsidRDefault="004D166F" w:rsidP="0040274B">
            <w:pPr>
              <w:pStyle w:val="TAC"/>
            </w:pPr>
            <w:r>
              <w:t>1</w:t>
            </w:r>
          </w:p>
        </w:tc>
        <w:tc>
          <w:tcPr>
            <w:tcW w:w="2499" w:type="pct"/>
            <w:tcBorders>
              <w:top w:val="single" w:sz="6" w:space="0" w:color="auto"/>
            </w:tcBorders>
            <w:vAlign w:val="center"/>
          </w:tcPr>
          <w:p w14:paraId="23687763" w14:textId="77777777" w:rsidR="004D166F" w:rsidRDefault="004D166F" w:rsidP="009E7F73">
            <w:pPr>
              <w:pStyle w:val="TAL"/>
            </w:pPr>
            <w:r>
              <w:t xml:space="preserve">Contains an alternative URI </w:t>
            </w:r>
            <w:r>
              <w:rPr>
                <w:lang w:eastAsia="fr-FR"/>
              </w:rPr>
              <w:t>representing the end point of an alternative NF consumer (service) instance towards which the notification should be redirected</w:t>
            </w:r>
            <w:r>
              <w:t>.</w:t>
            </w:r>
          </w:p>
          <w:p w14:paraId="79B8DB37" w14:textId="77777777" w:rsidR="004D166F" w:rsidRDefault="004D166F" w:rsidP="009E7F73">
            <w:pPr>
              <w:pStyle w:val="TAL"/>
            </w:pPr>
          </w:p>
          <w:p w14:paraId="43BECD68" w14:textId="77777777" w:rsidR="004D166F" w:rsidRDefault="004D166F"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4D166F" w14:paraId="3FC3EA49" w14:textId="77777777" w:rsidTr="0040274B">
        <w:trPr>
          <w:jc w:val="center"/>
        </w:trPr>
        <w:tc>
          <w:tcPr>
            <w:tcW w:w="1026" w:type="pct"/>
          </w:tcPr>
          <w:p w14:paraId="30095731" w14:textId="77777777" w:rsidR="004D166F" w:rsidRDefault="004D166F" w:rsidP="009E7F73">
            <w:pPr>
              <w:pStyle w:val="TAL"/>
            </w:pPr>
            <w:r>
              <w:rPr>
                <w:lang w:eastAsia="zh-CN"/>
              </w:rPr>
              <w:t>3gpp-Sbi-Target-Nf-Id</w:t>
            </w:r>
          </w:p>
        </w:tc>
        <w:tc>
          <w:tcPr>
            <w:tcW w:w="664" w:type="pct"/>
          </w:tcPr>
          <w:p w14:paraId="7162B9E8" w14:textId="77777777" w:rsidR="004D166F" w:rsidRDefault="004D166F" w:rsidP="009E7F73">
            <w:pPr>
              <w:pStyle w:val="TAL"/>
            </w:pPr>
            <w:r>
              <w:rPr>
                <w:lang w:eastAsia="fr-FR"/>
              </w:rPr>
              <w:t>string</w:t>
            </w:r>
          </w:p>
        </w:tc>
        <w:tc>
          <w:tcPr>
            <w:tcW w:w="221" w:type="pct"/>
          </w:tcPr>
          <w:p w14:paraId="7382E194" w14:textId="77777777" w:rsidR="004D166F" w:rsidRDefault="004D166F" w:rsidP="009E7F73">
            <w:pPr>
              <w:pStyle w:val="TAC"/>
            </w:pPr>
            <w:r>
              <w:rPr>
                <w:lang w:eastAsia="fr-FR"/>
              </w:rPr>
              <w:t>O</w:t>
            </w:r>
          </w:p>
        </w:tc>
        <w:tc>
          <w:tcPr>
            <w:tcW w:w="589" w:type="pct"/>
          </w:tcPr>
          <w:p w14:paraId="7F14E4F8" w14:textId="77777777" w:rsidR="004D166F" w:rsidRDefault="004D166F" w:rsidP="0040274B">
            <w:pPr>
              <w:pStyle w:val="TAC"/>
            </w:pPr>
            <w:r>
              <w:rPr>
                <w:lang w:eastAsia="fr-FR"/>
              </w:rPr>
              <w:t>0..1</w:t>
            </w:r>
          </w:p>
        </w:tc>
        <w:tc>
          <w:tcPr>
            <w:tcW w:w="2499" w:type="pct"/>
            <w:vAlign w:val="center"/>
          </w:tcPr>
          <w:p w14:paraId="5FA1082F" w14:textId="77777777" w:rsidR="004D166F" w:rsidRDefault="004D166F" w:rsidP="009E7F73">
            <w:pPr>
              <w:pStyle w:val="TAL"/>
            </w:pPr>
            <w:r>
              <w:rPr>
                <w:lang w:eastAsia="fr-FR"/>
              </w:rPr>
              <w:t>Contains the identifier of the target NF (service) instance towards which the notification request is redirected.</w:t>
            </w:r>
          </w:p>
        </w:tc>
      </w:tr>
    </w:tbl>
    <w:p w14:paraId="59FFCBFC" w14:textId="77777777" w:rsidR="00A10B25" w:rsidRPr="004D166F" w:rsidRDefault="00A10B25"/>
    <w:p w14:paraId="454157BE" w14:textId="77777777" w:rsidR="00A10B25" w:rsidRDefault="00A10B25">
      <w:pPr>
        <w:pStyle w:val="3"/>
        <w:rPr>
          <w:lang w:val="en-US"/>
        </w:rPr>
      </w:pPr>
      <w:bookmarkStart w:id="5403" w:name="_Toc98233630"/>
      <w:bookmarkStart w:id="5404" w:name="_Toc68168953"/>
      <w:bookmarkStart w:id="5405" w:name="_Toc45134037"/>
      <w:bookmarkStart w:id="5406" w:name="_Toc28012811"/>
      <w:bookmarkStart w:id="5407" w:name="_Toc85557075"/>
      <w:bookmarkStart w:id="5408" w:name="_Toc120702300"/>
      <w:bookmarkStart w:id="5409" w:name="_Toc112951121"/>
      <w:bookmarkStart w:id="5410" w:name="_Toc104538999"/>
      <w:bookmarkStart w:id="5411" w:name="_Toc70550620"/>
      <w:bookmarkStart w:id="5412" w:name="_Toc51762889"/>
      <w:bookmarkStart w:id="5413" w:name="_Toc94064245"/>
      <w:bookmarkStart w:id="5414" w:name="_Toc83233066"/>
      <w:bookmarkStart w:id="5415" w:name="_Toc136562367"/>
      <w:bookmarkStart w:id="5416" w:name="_Toc43563494"/>
      <w:bookmarkStart w:id="5417" w:name="_Toc90655862"/>
      <w:bookmarkStart w:id="5418" w:name="_Toc145705688"/>
      <w:bookmarkStart w:id="5419" w:name="_Toc34266281"/>
      <w:bookmarkStart w:id="5420" w:name="_Toc85552976"/>
      <w:bookmarkStart w:id="5421" w:name="_Toc66231792"/>
      <w:bookmarkStart w:id="5422" w:name="_Toc138754201"/>
      <w:bookmarkStart w:id="5423" w:name="_Toc113031661"/>
      <w:bookmarkStart w:id="5424" w:name="_Toc56640956"/>
      <w:bookmarkStart w:id="5425" w:name="_Toc59017924"/>
      <w:bookmarkStart w:id="5426" w:name="_Toc114133800"/>
      <w:bookmarkStart w:id="5427" w:name="_Toc50031969"/>
      <w:bookmarkStart w:id="5428" w:name="_Toc36102452"/>
      <w:bookmarkStart w:id="5429" w:name="_Toc148522592"/>
      <w:bookmarkStart w:id="5430" w:name="_Toc101244406"/>
      <w:bookmarkStart w:id="5431" w:name="_Toc88667577"/>
      <w:bookmarkStart w:id="5432" w:name="_Toc164920772"/>
      <w:bookmarkStart w:id="5433" w:name="_Toc170120314"/>
      <w:bookmarkStart w:id="5434" w:name="_Toc175858559"/>
      <w:bookmarkStart w:id="5435" w:name="_Toc175859632"/>
      <w:bookmarkStart w:id="5436" w:name="_Toc180605922"/>
      <w:bookmarkStart w:id="5437" w:name="_Toc185517176"/>
      <w:bookmarkStart w:id="5438" w:name="_Toc191576227"/>
      <w:bookmarkStart w:id="5439" w:name="_Toc191576967"/>
      <w:bookmarkStart w:id="5440" w:name="_Toc192880037"/>
      <w:bookmarkStart w:id="5441" w:name="_Toc195814920"/>
      <w:bookmarkStart w:id="5442" w:name="_Toc199452887"/>
      <w:r>
        <w:rPr>
          <w:lang w:val="en-US"/>
        </w:rPr>
        <w:t>5.1.6</w:t>
      </w:r>
      <w:r>
        <w:rPr>
          <w:lang w:val="en-US"/>
        </w:rPr>
        <w:tab/>
        <w:t>Data Model</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76CFDBA7" w14:textId="77777777" w:rsidR="00A10B25" w:rsidRDefault="00A10B25">
      <w:pPr>
        <w:pStyle w:val="4"/>
      </w:pPr>
      <w:bookmarkStart w:id="5443" w:name="_Toc113031662"/>
      <w:bookmarkStart w:id="5444" w:name="_Toc56640957"/>
      <w:bookmarkStart w:id="5445" w:name="_Toc136562368"/>
      <w:bookmarkStart w:id="5446" w:name="_Toc98233631"/>
      <w:bookmarkStart w:id="5447" w:name="_Toc43563495"/>
      <w:bookmarkStart w:id="5448" w:name="_Toc83233067"/>
      <w:bookmarkStart w:id="5449" w:name="_Toc112951122"/>
      <w:bookmarkStart w:id="5450" w:name="_Toc101244407"/>
      <w:bookmarkStart w:id="5451" w:name="_Toc59017925"/>
      <w:bookmarkStart w:id="5452" w:name="_Toc90655863"/>
      <w:bookmarkStart w:id="5453" w:name="_Toc70550621"/>
      <w:bookmarkStart w:id="5454" w:name="_Toc114133801"/>
      <w:bookmarkStart w:id="5455" w:name="_Toc88667578"/>
      <w:bookmarkStart w:id="5456" w:name="_Toc34266282"/>
      <w:bookmarkStart w:id="5457" w:name="_Toc51762890"/>
      <w:bookmarkStart w:id="5458" w:name="_Toc85557076"/>
      <w:bookmarkStart w:id="5459" w:name="_Toc50031970"/>
      <w:bookmarkStart w:id="5460" w:name="_Toc85552977"/>
      <w:bookmarkStart w:id="5461" w:name="_Toc28012812"/>
      <w:bookmarkStart w:id="5462" w:name="_Toc94064246"/>
      <w:bookmarkStart w:id="5463" w:name="_Toc145705689"/>
      <w:bookmarkStart w:id="5464" w:name="_Toc36102453"/>
      <w:bookmarkStart w:id="5465" w:name="_Toc45134038"/>
      <w:bookmarkStart w:id="5466" w:name="_Toc148522593"/>
      <w:bookmarkStart w:id="5467" w:name="_Toc120702301"/>
      <w:bookmarkStart w:id="5468" w:name="_Toc138754202"/>
      <w:bookmarkStart w:id="5469" w:name="_Toc68168954"/>
      <w:bookmarkStart w:id="5470" w:name="_Toc104539000"/>
      <w:bookmarkStart w:id="5471" w:name="_Toc66231793"/>
      <w:bookmarkStart w:id="5472" w:name="_Toc164920773"/>
      <w:bookmarkStart w:id="5473" w:name="_Toc170120315"/>
      <w:bookmarkStart w:id="5474" w:name="_Toc175858560"/>
      <w:bookmarkStart w:id="5475" w:name="_Toc175859633"/>
      <w:bookmarkStart w:id="5476" w:name="_Toc180605923"/>
      <w:bookmarkStart w:id="5477" w:name="_Toc185517177"/>
      <w:bookmarkStart w:id="5478" w:name="_Toc191576228"/>
      <w:bookmarkStart w:id="5479" w:name="_Toc191576968"/>
      <w:bookmarkStart w:id="5480" w:name="_Toc192880038"/>
      <w:bookmarkStart w:id="5481" w:name="_Toc195814921"/>
      <w:bookmarkStart w:id="5482" w:name="_Toc199452888"/>
      <w:r>
        <w:t>5.1.6.1</w:t>
      </w:r>
      <w:r>
        <w:tab/>
        <w:t>General</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1F2A8863" w14:textId="77777777" w:rsidR="00A10B25" w:rsidRDefault="00A10B25">
      <w:r>
        <w:t>This clause specifies the application data model supported by the API.</w:t>
      </w:r>
    </w:p>
    <w:p w14:paraId="3DBEF50A" w14:textId="77777777" w:rsidR="004D166F" w:rsidRDefault="004D166F" w:rsidP="004D166F">
      <w:bookmarkStart w:id="5483" w:name="_Toc113031663"/>
      <w:bookmarkStart w:id="5484" w:name="_Toc50031971"/>
      <w:bookmarkStart w:id="5485" w:name="_Toc83233068"/>
      <w:bookmarkStart w:id="5486" w:name="_Toc70550622"/>
      <w:bookmarkStart w:id="5487" w:name="_Toc120702302"/>
      <w:bookmarkStart w:id="5488" w:name="_Toc43563496"/>
      <w:bookmarkStart w:id="5489" w:name="_Toc28012813"/>
      <w:bookmarkStart w:id="5490" w:name="_Toc36102454"/>
      <w:bookmarkStart w:id="5491" w:name="_Toc114133802"/>
      <w:bookmarkStart w:id="5492" w:name="_Toc56640958"/>
      <w:bookmarkStart w:id="5493" w:name="_Toc90655864"/>
      <w:bookmarkStart w:id="5494" w:name="_Toc51762891"/>
      <w:bookmarkStart w:id="5495" w:name="_Toc59017926"/>
      <w:bookmarkStart w:id="5496" w:name="_Toc101244408"/>
      <w:bookmarkStart w:id="5497" w:name="_Toc98233632"/>
      <w:bookmarkStart w:id="5498" w:name="_Toc88667579"/>
      <w:bookmarkStart w:id="5499" w:name="_Toc112951123"/>
      <w:bookmarkStart w:id="5500" w:name="_Toc66231794"/>
      <w:bookmarkStart w:id="5501" w:name="_Toc94064247"/>
      <w:bookmarkStart w:id="5502" w:name="_Toc68168955"/>
      <w:bookmarkStart w:id="5503" w:name="_Toc85557077"/>
      <w:bookmarkStart w:id="5504" w:name="_Toc104539001"/>
      <w:bookmarkStart w:id="5505" w:name="_Toc85552978"/>
      <w:bookmarkStart w:id="5506" w:name="_Toc45134039"/>
      <w:bookmarkStart w:id="5507" w:name="_Toc34266283"/>
      <w:r>
        <w:t>Table 5.1.6.1-1 specifies the data types defined for the Nnwdaf_EventsSubscription service-based interface protocol.</w:t>
      </w:r>
    </w:p>
    <w:p w14:paraId="61CB4783"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5.1.6.1-1: Nnwdaf_EventsSubscription specific Data Types</w:t>
      </w:r>
    </w:p>
    <w:tbl>
      <w:tblPr>
        <w:tblW w:w="938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5"/>
        <w:gridCol w:w="3187"/>
        <w:gridCol w:w="39"/>
        <w:gridCol w:w="1156"/>
        <w:gridCol w:w="44"/>
        <w:gridCol w:w="2088"/>
        <w:gridCol w:w="44"/>
        <w:gridCol w:w="2707"/>
        <w:gridCol w:w="85"/>
      </w:tblGrid>
      <w:tr w:rsidR="00A10B25" w14:paraId="673D73B1" w14:textId="77777777" w:rsidTr="00635E7C">
        <w:trPr>
          <w:gridAfter w:val="1"/>
          <w:wAfter w:w="85" w:type="dxa"/>
          <w:jc w:val="center"/>
        </w:trPr>
        <w:tc>
          <w:tcPr>
            <w:tcW w:w="3222" w:type="dxa"/>
            <w:gridSpan w:val="2"/>
            <w:shd w:val="clear" w:color="auto" w:fill="C0C0C0"/>
          </w:tcPr>
          <w:p w14:paraId="4E836659" w14:textId="77777777" w:rsidR="00A10B25" w:rsidRDefault="00A10B25">
            <w:pPr>
              <w:pStyle w:val="TAH"/>
            </w:pPr>
            <w:r>
              <w:lastRenderedPageBreak/>
              <w:t>Data type</w:t>
            </w:r>
          </w:p>
        </w:tc>
        <w:tc>
          <w:tcPr>
            <w:tcW w:w="1195" w:type="dxa"/>
            <w:gridSpan w:val="2"/>
            <w:shd w:val="clear" w:color="auto" w:fill="C0C0C0"/>
          </w:tcPr>
          <w:p w14:paraId="21FA448B" w14:textId="77777777" w:rsidR="00A10B25" w:rsidRDefault="00A10B25">
            <w:pPr>
              <w:pStyle w:val="TAH"/>
            </w:pPr>
            <w:r>
              <w:t>Section defined</w:t>
            </w:r>
          </w:p>
        </w:tc>
        <w:tc>
          <w:tcPr>
            <w:tcW w:w="2132" w:type="dxa"/>
            <w:gridSpan w:val="2"/>
            <w:shd w:val="clear" w:color="auto" w:fill="C0C0C0"/>
          </w:tcPr>
          <w:p w14:paraId="192444AB" w14:textId="77777777" w:rsidR="00A10B25" w:rsidRDefault="00A10B25">
            <w:pPr>
              <w:pStyle w:val="TAH"/>
            </w:pPr>
            <w:r>
              <w:t>Description</w:t>
            </w:r>
          </w:p>
        </w:tc>
        <w:tc>
          <w:tcPr>
            <w:tcW w:w="2751" w:type="dxa"/>
            <w:gridSpan w:val="2"/>
            <w:shd w:val="clear" w:color="auto" w:fill="C0C0C0"/>
          </w:tcPr>
          <w:p w14:paraId="1F6B0221" w14:textId="77777777" w:rsidR="00A10B25" w:rsidRDefault="00A10B25">
            <w:pPr>
              <w:pStyle w:val="TAH"/>
            </w:pPr>
            <w:r>
              <w:t>Applicability</w:t>
            </w:r>
          </w:p>
        </w:tc>
      </w:tr>
      <w:tr w:rsidR="00A10B25" w14:paraId="79054AE9" w14:textId="77777777" w:rsidTr="00635E7C">
        <w:trPr>
          <w:gridAfter w:val="1"/>
          <w:wAfter w:w="85" w:type="dxa"/>
          <w:jc w:val="center"/>
        </w:trPr>
        <w:tc>
          <w:tcPr>
            <w:tcW w:w="3222" w:type="dxa"/>
            <w:gridSpan w:val="2"/>
          </w:tcPr>
          <w:p w14:paraId="3B8C46FC" w14:textId="77777777" w:rsidR="00A10B25" w:rsidRDefault="00A10B25">
            <w:pPr>
              <w:pStyle w:val="TAL"/>
            </w:pPr>
            <w:r>
              <w:t>AbnormalBehaviour</w:t>
            </w:r>
          </w:p>
        </w:tc>
        <w:tc>
          <w:tcPr>
            <w:tcW w:w="1195" w:type="dxa"/>
            <w:gridSpan w:val="2"/>
          </w:tcPr>
          <w:p w14:paraId="0F8C0ACA" w14:textId="77777777" w:rsidR="00A10B25" w:rsidRDefault="00A10B25">
            <w:pPr>
              <w:pStyle w:val="TAL"/>
              <w:rPr>
                <w:lang w:eastAsia="zh-CN"/>
              </w:rPr>
            </w:pPr>
            <w:r>
              <w:rPr>
                <w:lang w:eastAsia="zh-CN"/>
              </w:rPr>
              <w:t>5.1.6.2.15</w:t>
            </w:r>
          </w:p>
        </w:tc>
        <w:tc>
          <w:tcPr>
            <w:tcW w:w="2132" w:type="dxa"/>
            <w:gridSpan w:val="2"/>
          </w:tcPr>
          <w:p w14:paraId="0A86A7AD" w14:textId="77777777" w:rsidR="00A10B25" w:rsidRDefault="00A10B25">
            <w:pPr>
              <w:pStyle w:val="TAL"/>
            </w:pPr>
            <w:r>
              <w:t>Represents the abnormal behaviour information.</w:t>
            </w:r>
          </w:p>
        </w:tc>
        <w:tc>
          <w:tcPr>
            <w:tcW w:w="2751" w:type="dxa"/>
            <w:gridSpan w:val="2"/>
          </w:tcPr>
          <w:p w14:paraId="6ADB457A" w14:textId="77777777" w:rsidR="00A10B25" w:rsidRDefault="00A10B25">
            <w:pPr>
              <w:pStyle w:val="TAL"/>
            </w:pPr>
            <w:r>
              <w:rPr>
                <w:rFonts w:cs="Arial"/>
                <w:szCs w:val="18"/>
              </w:rPr>
              <w:t>AbnormalBehaviour</w:t>
            </w:r>
          </w:p>
        </w:tc>
      </w:tr>
      <w:tr w:rsidR="00A10B25" w14:paraId="11899796" w14:textId="77777777" w:rsidTr="00635E7C">
        <w:trPr>
          <w:gridAfter w:val="1"/>
          <w:wAfter w:w="85" w:type="dxa"/>
          <w:jc w:val="center"/>
        </w:trPr>
        <w:tc>
          <w:tcPr>
            <w:tcW w:w="3222" w:type="dxa"/>
            <w:gridSpan w:val="2"/>
          </w:tcPr>
          <w:p w14:paraId="5B17B492" w14:textId="77777777" w:rsidR="00A10B25" w:rsidRDefault="00A10B25">
            <w:pPr>
              <w:pStyle w:val="TAL"/>
            </w:pPr>
            <w:r>
              <w:t>Accuracy</w:t>
            </w:r>
          </w:p>
        </w:tc>
        <w:tc>
          <w:tcPr>
            <w:tcW w:w="1195" w:type="dxa"/>
            <w:gridSpan w:val="2"/>
          </w:tcPr>
          <w:p w14:paraId="37771C7B" w14:textId="77777777" w:rsidR="00A10B25" w:rsidRDefault="00A10B25">
            <w:pPr>
              <w:pStyle w:val="TAL"/>
              <w:rPr>
                <w:lang w:eastAsia="zh-CN"/>
              </w:rPr>
            </w:pPr>
            <w:r>
              <w:t>5.1.6.3.5</w:t>
            </w:r>
          </w:p>
        </w:tc>
        <w:tc>
          <w:tcPr>
            <w:tcW w:w="2132" w:type="dxa"/>
            <w:gridSpan w:val="2"/>
          </w:tcPr>
          <w:p w14:paraId="6F8C738C" w14:textId="77777777" w:rsidR="00A10B25" w:rsidRDefault="00A10B25">
            <w:pPr>
              <w:pStyle w:val="TAL"/>
            </w:pPr>
            <w:r>
              <w:t>Represents the preferred level of accuracy of the analytics.</w:t>
            </w:r>
          </w:p>
        </w:tc>
        <w:tc>
          <w:tcPr>
            <w:tcW w:w="2751" w:type="dxa"/>
            <w:gridSpan w:val="2"/>
          </w:tcPr>
          <w:p w14:paraId="7A39AC08" w14:textId="77777777" w:rsidR="00A10B25" w:rsidRDefault="00A10B25">
            <w:pPr>
              <w:pStyle w:val="TAL"/>
            </w:pPr>
          </w:p>
        </w:tc>
      </w:tr>
      <w:tr w:rsidR="00A10B25" w14:paraId="10A668AD" w14:textId="77777777" w:rsidTr="00635E7C">
        <w:trPr>
          <w:gridAfter w:val="1"/>
          <w:wAfter w:w="85" w:type="dxa"/>
          <w:jc w:val="center"/>
        </w:trPr>
        <w:tc>
          <w:tcPr>
            <w:tcW w:w="3222" w:type="dxa"/>
            <w:gridSpan w:val="2"/>
          </w:tcPr>
          <w:p w14:paraId="6688FF86" w14:textId="77777777" w:rsidR="00A10B25" w:rsidRDefault="00A10B25">
            <w:pPr>
              <w:pStyle w:val="TAL"/>
            </w:pPr>
            <w:r>
              <w:t>AccuracyInfo</w:t>
            </w:r>
          </w:p>
        </w:tc>
        <w:tc>
          <w:tcPr>
            <w:tcW w:w="1195" w:type="dxa"/>
            <w:gridSpan w:val="2"/>
          </w:tcPr>
          <w:p w14:paraId="30BFB410" w14:textId="77777777" w:rsidR="00A10B25" w:rsidRDefault="00A10B25">
            <w:pPr>
              <w:pStyle w:val="TAL"/>
            </w:pPr>
            <w:r>
              <w:rPr>
                <w:rFonts w:hint="eastAsia"/>
                <w:lang w:eastAsia="zh-CN"/>
              </w:rPr>
              <w:t>5.</w:t>
            </w:r>
            <w:r>
              <w:rPr>
                <w:lang w:eastAsia="zh-CN"/>
              </w:rPr>
              <w:t>1.6.2.89</w:t>
            </w:r>
          </w:p>
        </w:tc>
        <w:tc>
          <w:tcPr>
            <w:tcW w:w="2132" w:type="dxa"/>
            <w:gridSpan w:val="2"/>
          </w:tcPr>
          <w:p w14:paraId="456B915E" w14:textId="77777777" w:rsidR="00A10B25" w:rsidRDefault="00A10B25">
            <w:pPr>
              <w:pStyle w:val="TAL"/>
            </w:pPr>
            <w:r>
              <w:rPr>
                <w:rFonts w:hint="eastAsia"/>
                <w:lang w:eastAsia="zh-CN"/>
              </w:rPr>
              <w:t>T</w:t>
            </w:r>
            <w:r>
              <w:rPr>
                <w:lang w:eastAsia="zh-CN"/>
              </w:rPr>
              <w:t xml:space="preserve">he </w:t>
            </w:r>
            <w:r>
              <w:t>analytics accuracy information.</w:t>
            </w:r>
          </w:p>
        </w:tc>
        <w:tc>
          <w:tcPr>
            <w:tcW w:w="2751" w:type="dxa"/>
            <w:gridSpan w:val="2"/>
          </w:tcPr>
          <w:p w14:paraId="4AB4AEE5" w14:textId="77777777" w:rsidR="00A10B25" w:rsidRDefault="00A10B25">
            <w:pPr>
              <w:pStyle w:val="TAL"/>
            </w:pPr>
            <w:r>
              <w:rPr>
                <w:lang w:eastAsia="zh-CN"/>
              </w:rPr>
              <w:t>Analytics</w:t>
            </w:r>
            <w:r>
              <w:rPr>
                <w:rFonts w:hint="eastAsia"/>
                <w:lang w:eastAsia="zh-CN"/>
              </w:rPr>
              <w:t>A</w:t>
            </w:r>
            <w:r>
              <w:rPr>
                <w:lang w:eastAsia="zh-CN"/>
              </w:rPr>
              <w:t>ccuracy</w:t>
            </w:r>
          </w:p>
        </w:tc>
      </w:tr>
      <w:tr w:rsidR="00A10B25" w14:paraId="4AD451DE" w14:textId="77777777" w:rsidTr="00635E7C">
        <w:trPr>
          <w:gridAfter w:val="1"/>
          <w:wAfter w:w="85" w:type="dxa"/>
          <w:jc w:val="center"/>
        </w:trPr>
        <w:tc>
          <w:tcPr>
            <w:tcW w:w="3222" w:type="dxa"/>
            <w:gridSpan w:val="2"/>
          </w:tcPr>
          <w:p w14:paraId="5B0A7463" w14:textId="77777777" w:rsidR="00A10B25" w:rsidRDefault="00A10B25">
            <w:pPr>
              <w:pStyle w:val="TAL"/>
            </w:pPr>
            <w:r>
              <w:t>AccuracyReq</w:t>
            </w:r>
          </w:p>
        </w:tc>
        <w:tc>
          <w:tcPr>
            <w:tcW w:w="1195" w:type="dxa"/>
            <w:gridSpan w:val="2"/>
          </w:tcPr>
          <w:p w14:paraId="3B1FD501" w14:textId="77777777" w:rsidR="00A10B25" w:rsidRDefault="00A10B25">
            <w:pPr>
              <w:pStyle w:val="TAL"/>
            </w:pPr>
            <w:r>
              <w:rPr>
                <w:rFonts w:hint="eastAsia"/>
                <w:lang w:eastAsia="zh-CN"/>
              </w:rPr>
              <w:t>5</w:t>
            </w:r>
            <w:r>
              <w:rPr>
                <w:lang w:eastAsia="zh-CN"/>
              </w:rPr>
              <w:t>.1.6.3.88</w:t>
            </w:r>
          </w:p>
        </w:tc>
        <w:tc>
          <w:tcPr>
            <w:tcW w:w="2132" w:type="dxa"/>
            <w:gridSpan w:val="2"/>
          </w:tcPr>
          <w:p w14:paraId="4F3B5570" w14:textId="77777777" w:rsidR="00A10B25" w:rsidRDefault="00A10B25">
            <w:pPr>
              <w:pStyle w:val="TAL"/>
            </w:pPr>
            <w:r>
              <w:rPr>
                <w:lang w:val="en-US" w:eastAsia="zh-CN"/>
              </w:rPr>
              <w:t xml:space="preserve">Represents the </w:t>
            </w:r>
            <w:r>
              <w:t>analytics accuracy requirement information</w:t>
            </w:r>
            <w:r>
              <w:rPr>
                <w:lang w:val="en-US" w:eastAsia="zh-CN"/>
              </w:rPr>
              <w:t>.</w:t>
            </w:r>
          </w:p>
        </w:tc>
        <w:tc>
          <w:tcPr>
            <w:tcW w:w="2751" w:type="dxa"/>
            <w:gridSpan w:val="2"/>
          </w:tcPr>
          <w:p w14:paraId="32498DDE" w14:textId="77777777" w:rsidR="00A10B25" w:rsidRDefault="00A10B25">
            <w:pPr>
              <w:pStyle w:val="TAL"/>
            </w:pPr>
            <w:r>
              <w:rPr>
                <w:lang w:eastAsia="zh-CN"/>
              </w:rPr>
              <w:t>Analytics</w:t>
            </w:r>
            <w:r>
              <w:rPr>
                <w:rFonts w:hint="eastAsia"/>
                <w:lang w:eastAsia="zh-CN"/>
              </w:rPr>
              <w:t>A</w:t>
            </w:r>
            <w:r>
              <w:rPr>
                <w:lang w:eastAsia="zh-CN"/>
              </w:rPr>
              <w:t>ccuracy</w:t>
            </w:r>
          </w:p>
        </w:tc>
      </w:tr>
      <w:tr w:rsidR="00A10B25" w14:paraId="123125BF" w14:textId="77777777" w:rsidTr="00635E7C">
        <w:trPr>
          <w:gridAfter w:val="1"/>
          <w:wAfter w:w="85" w:type="dxa"/>
          <w:jc w:val="center"/>
        </w:trPr>
        <w:tc>
          <w:tcPr>
            <w:tcW w:w="3222" w:type="dxa"/>
            <w:gridSpan w:val="2"/>
          </w:tcPr>
          <w:p w14:paraId="4E5591C8" w14:textId="77777777" w:rsidR="00A10B25" w:rsidRDefault="00A10B25">
            <w:pPr>
              <w:pStyle w:val="TAL"/>
            </w:pPr>
            <w:r>
              <w:t>AdditionalMeasurement</w:t>
            </w:r>
          </w:p>
        </w:tc>
        <w:tc>
          <w:tcPr>
            <w:tcW w:w="1195" w:type="dxa"/>
            <w:gridSpan w:val="2"/>
          </w:tcPr>
          <w:p w14:paraId="43C68138" w14:textId="77777777" w:rsidR="00A10B25" w:rsidRDefault="00A10B25">
            <w:pPr>
              <w:pStyle w:val="TAL"/>
            </w:pPr>
            <w:r>
              <w:rPr>
                <w:rFonts w:hint="eastAsia"/>
                <w:lang w:eastAsia="zh-CN"/>
              </w:rPr>
              <w:t>5</w:t>
            </w:r>
            <w:r>
              <w:rPr>
                <w:lang w:eastAsia="zh-CN"/>
              </w:rPr>
              <w:t>.1.6.2.26</w:t>
            </w:r>
          </w:p>
        </w:tc>
        <w:tc>
          <w:tcPr>
            <w:tcW w:w="2132" w:type="dxa"/>
            <w:gridSpan w:val="2"/>
          </w:tcPr>
          <w:p w14:paraId="315819D6" w14:textId="77777777" w:rsidR="00A10B25" w:rsidRDefault="00A10B25">
            <w:pPr>
              <w:pStyle w:val="TAL"/>
            </w:pPr>
            <w:r>
              <w:t>Represents additional measurement information.</w:t>
            </w:r>
          </w:p>
        </w:tc>
        <w:tc>
          <w:tcPr>
            <w:tcW w:w="2751" w:type="dxa"/>
            <w:gridSpan w:val="2"/>
          </w:tcPr>
          <w:p w14:paraId="1BE3EE14" w14:textId="77777777" w:rsidR="00A10B25" w:rsidRDefault="00A10B25">
            <w:pPr>
              <w:pStyle w:val="TAL"/>
              <w:rPr>
                <w:rFonts w:cs="Arial"/>
                <w:szCs w:val="18"/>
              </w:rPr>
            </w:pPr>
            <w:r>
              <w:t>AbnormalBehaviour</w:t>
            </w:r>
          </w:p>
        </w:tc>
      </w:tr>
      <w:tr w:rsidR="00A10B25" w14:paraId="716638F1" w14:textId="77777777" w:rsidTr="00635E7C">
        <w:trPr>
          <w:gridAfter w:val="1"/>
          <w:wAfter w:w="85" w:type="dxa"/>
          <w:jc w:val="center"/>
        </w:trPr>
        <w:tc>
          <w:tcPr>
            <w:tcW w:w="3222" w:type="dxa"/>
            <w:gridSpan w:val="2"/>
          </w:tcPr>
          <w:p w14:paraId="0281D7DF" w14:textId="77777777" w:rsidR="00A10B25" w:rsidRDefault="00A10B25">
            <w:pPr>
              <w:pStyle w:val="TAL"/>
            </w:pPr>
            <w:r>
              <w:rPr>
                <w:lang w:eastAsia="zh-CN"/>
              </w:rPr>
              <w:t>AddressList</w:t>
            </w:r>
          </w:p>
        </w:tc>
        <w:tc>
          <w:tcPr>
            <w:tcW w:w="1195" w:type="dxa"/>
            <w:gridSpan w:val="2"/>
          </w:tcPr>
          <w:p w14:paraId="4A43446D" w14:textId="77777777" w:rsidR="00A10B25" w:rsidRDefault="00A10B25">
            <w:pPr>
              <w:pStyle w:val="TAL"/>
            </w:pPr>
            <w:r>
              <w:rPr>
                <w:rFonts w:hint="eastAsia"/>
                <w:lang w:eastAsia="zh-CN"/>
              </w:rPr>
              <w:t>5</w:t>
            </w:r>
            <w:r>
              <w:rPr>
                <w:lang w:eastAsia="zh-CN"/>
              </w:rPr>
              <w:t>.1.6.2.28</w:t>
            </w:r>
          </w:p>
        </w:tc>
        <w:tc>
          <w:tcPr>
            <w:tcW w:w="2132" w:type="dxa"/>
            <w:gridSpan w:val="2"/>
          </w:tcPr>
          <w:p w14:paraId="11A4EF35" w14:textId="77777777" w:rsidR="00A10B25" w:rsidRDefault="00A10B25">
            <w:pPr>
              <w:pStyle w:val="TAL"/>
            </w:pPr>
            <w:r>
              <w:t>Represents a list of IPv4 and/or IPv6 addresses.</w:t>
            </w:r>
          </w:p>
        </w:tc>
        <w:tc>
          <w:tcPr>
            <w:tcW w:w="2751" w:type="dxa"/>
            <w:gridSpan w:val="2"/>
          </w:tcPr>
          <w:p w14:paraId="7F79740E" w14:textId="77777777" w:rsidR="00A10B25" w:rsidRDefault="00A10B25">
            <w:pPr>
              <w:pStyle w:val="TAL"/>
              <w:rPr>
                <w:rFonts w:cs="Arial"/>
                <w:szCs w:val="18"/>
              </w:rPr>
            </w:pPr>
            <w:r>
              <w:t>AbnormalBehaviour</w:t>
            </w:r>
          </w:p>
        </w:tc>
      </w:tr>
      <w:tr w:rsidR="00A10B25" w14:paraId="71597366" w14:textId="77777777" w:rsidTr="00635E7C">
        <w:trPr>
          <w:gridAfter w:val="1"/>
          <w:wAfter w:w="85" w:type="dxa"/>
          <w:jc w:val="center"/>
        </w:trPr>
        <w:tc>
          <w:tcPr>
            <w:tcW w:w="3222" w:type="dxa"/>
            <w:gridSpan w:val="2"/>
          </w:tcPr>
          <w:p w14:paraId="79A35921" w14:textId="77777777" w:rsidR="00A10B25" w:rsidRDefault="00A10B25">
            <w:pPr>
              <w:pStyle w:val="TAL"/>
              <w:rPr>
                <w:lang w:eastAsia="zh-CN"/>
              </w:rPr>
            </w:pPr>
            <w:r>
              <w:rPr>
                <w:lang w:eastAsia="zh-CN"/>
              </w:rPr>
              <w:t>AnalyticsContextIdentifier</w:t>
            </w:r>
          </w:p>
        </w:tc>
        <w:tc>
          <w:tcPr>
            <w:tcW w:w="1195" w:type="dxa"/>
            <w:gridSpan w:val="2"/>
          </w:tcPr>
          <w:p w14:paraId="0A9F3044" w14:textId="77777777" w:rsidR="00A10B25" w:rsidRDefault="00A10B25">
            <w:pPr>
              <w:pStyle w:val="TAL"/>
              <w:rPr>
                <w:lang w:eastAsia="zh-CN"/>
              </w:rPr>
            </w:pPr>
            <w:r>
              <w:rPr>
                <w:lang w:eastAsia="zh-CN"/>
              </w:rPr>
              <w:t>5.1.6.2.43</w:t>
            </w:r>
          </w:p>
        </w:tc>
        <w:tc>
          <w:tcPr>
            <w:tcW w:w="2132" w:type="dxa"/>
            <w:gridSpan w:val="2"/>
          </w:tcPr>
          <w:p w14:paraId="180B5C20" w14:textId="77777777" w:rsidR="00A10B25" w:rsidRDefault="00A10B25">
            <w:pPr>
              <w:pStyle w:val="TAL"/>
            </w:pPr>
            <w:r>
              <w:t>Contains information about available analytics contexts.</w:t>
            </w:r>
          </w:p>
        </w:tc>
        <w:tc>
          <w:tcPr>
            <w:tcW w:w="2751" w:type="dxa"/>
            <w:gridSpan w:val="2"/>
          </w:tcPr>
          <w:p w14:paraId="06D9ECAE" w14:textId="77777777" w:rsidR="00A10B25" w:rsidRDefault="00A10B25">
            <w:pPr>
              <w:pStyle w:val="TAL"/>
            </w:pPr>
            <w:r>
              <w:t>AnaSubTransfer</w:t>
            </w:r>
          </w:p>
        </w:tc>
      </w:tr>
      <w:tr w:rsidR="00A10B25" w14:paraId="61F4412C"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FAD05FF" w14:textId="77777777" w:rsidR="00A10B25" w:rsidRDefault="00A10B25">
            <w:pPr>
              <w:pStyle w:val="TAL"/>
              <w:rPr>
                <w:lang w:eastAsia="zh-CN"/>
              </w:rPr>
            </w:pPr>
            <w:r>
              <w:rPr>
                <w:lang w:eastAsia="zh-CN"/>
              </w:rPr>
              <w:t>AnalyticsAccuracyIndication</w:t>
            </w:r>
          </w:p>
        </w:tc>
        <w:tc>
          <w:tcPr>
            <w:tcW w:w="1195" w:type="dxa"/>
            <w:gridSpan w:val="2"/>
            <w:tcBorders>
              <w:top w:val="single" w:sz="6" w:space="0" w:color="auto"/>
              <w:left w:val="single" w:sz="6" w:space="0" w:color="auto"/>
              <w:bottom w:val="single" w:sz="6" w:space="0" w:color="auto"/>
              <w:right w:val="single" w:sz="6" w:space="0" w:color="auto"/>
            </w:tcBorders>
          </w:tcPr>
          <w:p w14:paraId="7BCBB783" w14:textId="77777777" w:rsidR="00A10B25" w:rsidRDefault="00A10B25">
            <w:pPr>
              <w:pStyle w:val="TAL"/>
              <w:rPr>
                <w:lang w:eastAsia="zh-CN"/>
              </w:rPr>
            </w:pPr>
            <w:r>
              <w:rPr>
                <w:lang w:eastAsia="zh-CN"/>
              </w:rPr>
              <w:t>5.1.6.3.37</w:t>
            </w:r>
          </w:p>
        </w:tc>
        <w:tc>
          <w:tcPr>
            <w:tcW w:w="2132" w:type="dxa"/>
            <w:gridSpan w:val="2"/>
            <w:tcBorders>
              <w:top w:val="single" w:sz="6" w:space="0" w:color="auto"/>
              <w:left w:val="single" w:sz="6" w:space="0" w:color="auto"/>
              <w:bottom w:val="single" w:sz="6" w:space="0" w:color="auto"/>
              <w:right w:val="single" w:sz="6" w:space="0" w:color="auto"/>
            </w:tcBorders>
          </w:tcPr>
          <w:p w14:paraId="514C1F6A" w14:textId="77777777" w:rsidR="00A10B25" w:rsidRDefault="00A10B25">
            <w:pPr>
              <w:pStyle w:val="TAL"/>
            </w:pPr>
            <w:r>
              <w:t>Represents the analytics accuracy indication.</w:t>
            </w:r>
          </w:p>
        </w:tc>
        <w:tc>
          <w:tcPr>
            <w:tcW w:w="2751" w:type="dxa"/>
            <w:gridSpan w:val="2"/>
            <w:tcBorders>
              <w:top w:val="single" w:sz="6" w:space="0" w:color="auto"/>
              <w:left w:val="single" w:sz="6" w:space="0" w:color="auto"/>
              <w:bottom w:val="single" w:sz="6" w:space="0" w:color="auto"/>
              <w:right w:val="single" w:sz="6" w:space="0" w:color="auto"/>
            </w:tcBorders>
          </w:tcPr>
          <w:p w14:paraId="705E050A" w14:textId="77777777" w:rsidR="00A10B25" w:rsidRDefault="00A10B25">
            <w:pPr>
              <w:pStyle w:val="TAL"/>
            </w:pPr>
            <w:r>
              <w:t>AnalyticsAccuracy</w:t>
            </w:r>
          </w:p>
        </w:tc>
      </w:tr>
      <w:tr w:rsidR="00F253B2" w14:paraId="0DADD659"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72752E97" w14:textId="77777777" w:rsidR="00F253B2" w:rsidRDefault="00F253B2" w:rsidP="00F253B2">
            <w:pPr>
              <w:pStyle w:val="TAL"/>
              <w:rPr>
                <w:lang w:eastAsia="zh-CN"/>
              </w:rPr>
            </w:pPr>
            <w:r>
              <w:rPr>
                <w:lang w:eastAsia="zh-CN"/>
              </w:rPr>
              <w:t>AnalyticsFeedbackInfo</w:t>
            </w:r>
          </w:p>
        </w:tc>
        <w:tc>
          <w:tcPr>
            <w:tcW w:w="1195" w:type="dxa"/>
            <w:gridSpan w:val="2"/>
            <w:tcBorders>
              <w:top w:val="single" w:sz="6" w:space="0" w:color="auto"/>
              <w:left w:val="single" w:sz="6" w:space="0" w:color="auto"/>
              <w:bottom w:val="single" w:sz="6" w:space="0" w:color="auto"/>
              <w:right w:val="single" w:sz="6" w:space="0" w:color="auto"/>
            </w:tcBorders>
          </w:tcPr>
          <w:p w14:paraId="14894F7E" w14:textId="77777777" w:rsidR="00F253B2" w:rsidRDefault="00F253B2" w:rsidP="00F253B2">
            <w:pPr>
              <w:pStyle w:val="TAL"/>
              <w:rPr>
                <w:lang w:eastAsia="zh-CN"/>
              </w:rPr>
            </w:pPr>
            <w:r>
              <w:rPr>
                <w:lang w:eastAsia="zh-CN"/>
              </w:rPr>
              <w:t>5.1.6.2.105</w:t>
            </w:r>
          </w:p>
        </w:tc>
        <w:tc>
          <w:tcPr>
            <w:tcW w:w="2132" w:type="dxa"/>
            <w:gridSpan w:val="2"/>
            <w:tcBorders>
              <w:top w:val="single" w:sz="6" w:space="0" w:color="auto"/>
              <w:left w:val="single" w:sz="6" w:space="0" w:color="auto"/>
              <w:bottom w:val="single" w:sz="6" w:space="0" w:color="auto"/>
              <w:right w:val="single" w:sz="6" w:space="0" w:color="auto"/>
            </w:tcBorders>
          </w:tcPr>
          <w:p w14:paraId="72BB5954" w14:textId="77777777" w:rsidR="00F253B2" w:rsidRDefault="00F253B2" w:rsidP="00F253B2">
            <w:pPr>
              <w:pStyle w:val="TAL"/>
            </w:pPr>
            <w:r>
              <w:t>Contains analytics feedback information.</w:t>
            </w:r>
          </w:p>
        </w:tc>
        <w:tc>
          <w:tcPr>
            <w:tcW w:w="2751" w:type="dxa"/>
            <w:gridSpan w:val="2"/>
            <w:tcBorders>
              <w:top w:val="single" w:sz="6" w:space="0" w:color="auto"/>
              <w:left w:val="single" w:sz="6" w:space="0" w:color="auto"/>
              <w:bottom w:val="single" w:sz="6" w:space="0" w:color="auto"/>
              <w:right w:val="single" w:sz="6" w:space="0" w:color="auto"/>
            </w:tcBorders>
          </w:tcPr>
          <w:p w14:paraId="185EF370" w14:textId="77777777" w:rsidR="00F253B2" w:rsidRDefault="00F253B2" w:rsidP="00F253B2">
            <w:pPr>
              <w:pStyle w:val="TAL"/>
            </w:pPr>
            <w:r>
              <w:t>AnalyticsAccuracy</w:t>
            </w:r>
          </w:p>
        </w:tc>
      </w:tr>
      <w:tr w:rsidR="00F253B2" w14:paraId="595B6303" w14:textId="77777777" w:rsidTr="00635E7C">
        <w:trPr>
          <w:gridAfter w:val="1"/>
          <w:wAfter w:w="85" w:type="dxa"/>
          <w:jc w:val="center"/>
        </w:trPr>
        <w:tc>
          <w:tcPr>
            <w:tcW w:w="3222" w:type="dxa"/>
            <w:gridSpan w:val="2"/>
          </w:tcPr>
          <w:p w14:paraId="6104D2D2" w14:textId="77777777" w:rsidR="00F253B2" w:rsidRDefault="00F253B2" w:rsidP="00F253B2">
            <w:pPr>
              <w:pStyle w:val="TAL"/>
              <w:rPr>
                <w:lang w:eastAsia="zh-CN"/>
              </w:rPr>
            </w:pPr>
            <w:r>
              <w:rPr>
                <w:lang w:eastAsia="zh-CN"/>
              </w:rPr>
              <w:t>AnalyticsMetadata</w:t>
            </w:r>
          </w:p>
        </w:tc>
        <w:tc>
          <w:tcPr>
            <w:tcW w:w="1195" w:type="dxa"/>
            <w:gridSpan w:val="2"/>
          </w:tcPr>
          <w:p w14:paraId="1118AEDD" w14:textId="77777777" w:rsidR="00F253B2" w:rsidRDefault="00F253B2" w:rsidP="00F253B2">
            <w:pPr>
              <w:pStyle w:val="TAL"/>
              <w:rPr>
                <w:lang w:eastAsia="zh-CN"/>
              </w:rPr>
            </w:pPr>
            <w:r>
              <w:rPr>
                <w:lang w:eastAsia="zh-CN"/>
              </w:rPr>
              <w:t>5.1.6.3.14</w:t>
            </w:r>
          </w:p>
        </w:tc>
        <w:tc>
          <w:tcPr>
            <w:tcW w:w="2132" w:type="dxa"/>
            <w:gridSpan w:val="2"/>
          </w:tcPr>
          <w:p w14:paraId="7AF90F53" w14:textId="77777777" w:rsidR="00F253B2" w:rsidRDefault="00F253B2" w:rsidP="00F253B2">
            <w:pPr>
              <w:pStyle w:val="TAL"/>
            </w:pPr>
            <w:r>
              <w:t>Represents the types of analytics metadata information that can be requested.</w:t>
            </w:r>
          </w:p>
        </w:tc>
        <w:tc>
          <w:tcPr>
            <w:tcW w:w="2751" w:type="dxa"/>
            <w:gridSpan w:val="2"/>
          </w:tcPr>
          <w:p w14:paraId="3FCDE873" w14:textId="77777777" w:rsidR="00F253B2" w:rsidRDefault="00F253B2" w:rsidP="00F253B2">
            <w:pPr>
              <w:pStyle w:val="TAL"/>
            </w:pPr>
            <w:r>
              <w:t>Aggregation</w:t>
            </w:r>
          </w:p>
        </w:tc>
      </w:tr>
      <w:tr w:rsidR="00F253B2" w14:paraId="4BD8799E" w14:textId="77777777" w:rsidTr="00635E7C">
        <w:trPr>
          <w:gridAfter w:val="1"/>
          <w:wAfter w:w="85" w:type="dxa"/>
          <w:jc w:val="center"/>
        </w:trPr>
        <w:tc>
          <w:tcPr>
            <w:tcW w:w="3222" w:type="dxa"/>
            <w:gridSpan w:val="2"/>
          </w:tcPr>
          <w:p w14:paraId="21F23EC3" w14:textId="77777777" w:rsidR="00F253B2" w:rsidRDefault="00F253B2" w:rsidP="00F253B2">
            <w:pPr>
              <w:pStyle w:val="TAL"/>
              <w:rPr>
                <w:lang w:eastAsia="zh-CN"/>
              </w:rPr>
            </w:pPr>
            <w:r>
              <w:rPr>
                <w:lang w:eastAsia="zh-CN"/>
              </w:rPr>
              <w:t>AnalyticsMetadataIndication</w:t>
            </w:r>
          </w:p>
        </w:tc>
        <w:tc>
          <w:tcPr>
            <w:tcW w:w="1195" w:type="dxa"/>
            <w:gridSpan w:val="2"/>
          </w:tcPr>
          <w:p w14:paraId="655E7C0E" w14:textId="77777777" w:rsidR="00F253B2" w:rsidRDefault="00F253B2" w:rsidP="00F253B2">
            <w:pPr>
              <w:pStyle w:val="TAL"/>
              <w:rPr>
                <w:lang w:eastAsia="zh-CN"/>
              </w:rPr>
            </w:pPr>
            <w:r>
              <w:rPr>
                <w:lang w:eastAsia="zh-CN"/>
              </w:rPr>
              <w:t>5.1.6.2.36</w:t>
            </w:r>
          </w:p>
        </w:tc>
        <w:tc>
          <w:tcPr>
            <w:tcW w:w="2132" w:type="dxa"/>
            <w:gridSpan w:val="2"/>
          </w:tcPr>
          <w:p w14:paraId="74CA0E48" w14:textId="77777777" w:rsidR="00F253B2" w:rsidRDefault="004D3964" w:rsidP="00F253B2">
            <w:pPr>
              <w:pStyle w:val="TAL"/>
            </w:pPr>
            <w:r>
              <w:t>Contains values for analytics metadata information.</w:t>
            </w:r>
          </w:p>
        </w:tc>
        <w:tc>
          <w:tcPr>
            <w:tcW w:w="2751" w:type="dxa"/>
            <w:gridSpan w:val="2"/>
          </w:tcPr>
          <w:p w14:paraId="0692E143" w14:textId="77777777" w:rsidR="00F253B2" w:rsidRDefault="00F253B2" w:rsidP="00F253B2">
            <w:pPr>
              <w:pStyle w:val="TAL"/>
            </w:pPr>
            <w:r>
              <w:t>Aggregation</w:t>
            </w:r>
          </w:p>
        </w:tc>
      </w:tr>
      <w:tr w:rsidR="00F253B2" w14:paraId="13A0F5FE" w14:textId="77777777" w:rsidTr="00635E7C">
        <w:trPr>
          <w:gridAfter w:val="1"/>
          <w:wAfter w:w="85" w:type="dxa"/>
          <w:jc w:val="center"/>
        </w:trPr>
        <w:tc>
          <w:tcPr>
            <w:tcW w:w="3222" w:type="dxa"/>
            <w:gridSpan w:val="2"/>
          </w:tcPr>
          <w:p w14:paraId="4ABE77AB" w14:textId="77777777" w:rsidR="00F253B2" w:rsidRDefault="00F253B2" w:rsidP="00F253B2">
            <w:pPr>
              <w:pStyle w:val="TAL"/>
              <w:rPr>
                <w:lang w:eastAsia="zh-CN"/>
              </w:rPr>
            </w:pPr>
            <w:r>
              <w:rPr>
                <w:lang w:eastAsia="zh-CN"/>
              </w:rPr>
              <w:t>AnalyticsMetadataInfo</w:t>
            </w:r>
          </w:p>
        </w:tc>
        <w:tc>
          <w:tcPr>
            <w:tcW w:w="1195" w:type="dxa"/>
            <w:gridSpan w:val="2"/>
          </w:tcPr>
          <w:p w14:paraId="0801A9BA" w14:textId="77777777" w:rsidR="00F253B2" w:rsidRDefault="00F253B2" w:rsidP="00F253B2">
            <w:pPr>
              <w:pStyle w:val="TAL"/>
              <w:rPr>
                <w:lang w:eastAsia="zh-CN"/>
              </w:rPr>
            </w:pPr>
            <w:r>
              <w:rPr>
                <w:lang w:eastAsia="zh-CN"/>
              </w:rPr>
              <w:t>5.1.6.2.37</w:t>
            </w:r>
          </w:p>
        </w:tc>
        <w:tc>
          <w:tcPr>
            <w:tcW w:w="2132" w:type="dxa"/>
            <w:gridSpan w:val="2"/>
          </w:tcPr>
          <w:p w14:paraId="42D8E670" w14:textId="77777777" w:rsidR="00F253B2" w:rsidRDefault="00F253B2" w:rsidP="00F253B2">
            <w:pPr>
              <w:pStyle w:val="TAL"/>
            </w:pPr>
            <w:r>
              <w:t>Contains analytics metadata information required for analytics aggregation.</w:t>
            </w:r>
          </w:p>
        </w:tc>
        <w:tc>
          <w:tcPr>
            <w:tcW w:w="2751" w:type="dxa"/>
            <w:gridSpan w:val="2"/>
          </w:tcPr>
          <w:p w14:paraId="160D346D" w14:textId="77777777" w:rsidR="00F253B2" w:rsidRDefault="00F253B2" w:rsidP="00F253B2">
            <w:pPr>
              <w:pStyle w:val="TAL"/>
            </w:pPr>
            <w:r>
              <w:t>Aggregation</w:t>
            </w:r>
          </w:p>
        </w:tc>
      </w:tr>
      <w:tr w:rsidR="00F253B2" w14:paraId="54E47D76" w14:textId="77777777" w:rsidTr="00635E7C">
        <w:trPr>
          <w:gridAfter w:val="1"/>
          <w:wAfter w:w="85" w:type="dxa"/>
          <w:jc w:val="center"/>
        </w:trPr>
        <w:tc>
          <w:tcPr>
            <w:tcW w:w="3222" w:type="dxa"/>
            <w:gridSpan w:val="2"/>
          </w:tcPr>
          <w:p w14:paraId="2109D430" w14:textId="77777777" w:rsidR="00F253B2" w:rsidRDefault="00F253B2" w:rsidP="00F253B2">
            <w:pPr>
              <w:pStyle w:val="TAL"/>
              <w:rPr>
                <w:lang w:eastAsia="zh-CN"/>
              </w:rPr>
            </w:pPr>
            <w:r>
              <w:rPr>
                <w:lang w:eastAsia="zh-CN"/>
              </w:rPr>
              <w:t>AnalyticsSubscriptionsTransfer</w:t>
            </w:r>
          </w:p>
        </w:tc>
        <w:tc>
          <w:tcPr>
            <w:tcW w:w="1195" w:type="dxa"/>
            <w:gridSpan w:val="2"/>
          </w:tcPr>
          <w:p w14:paraId="111DF0C9" w14:textId="77777777" w:rsidR="00F253B2" w:rsidRDefault="00F253B2" w:rsidP="00F253B2">
            <w:pPr>
              <w:pStyle w:val="TAL"/>
              <w:rPr>
                <w:lang w:eastAsia="zh-CN"/>
              </w:rPr>
            </w:pPr>
            <w:r>
              <w:rPr>
                <w:lang w:eastAsia="zh-CN"/>
              </w:rPr>
              <w:t>5.1.6.2.40</w:t>
            </w:r>
          </w:p>
        </w:tc>
        <w:tc>
          <w:tcPr>
            <w:tcW w:w="2132" w:type="dxa"/>
            <w:gridSpan w:val="2"/>
          </w:tcPr>
          <w:p w14:paraId="44AAFD1A" w14:textId="77777777" w:rsidR="00F253B2" w:rsidRDefault="00F253B2" w:rsidP="00F253B2">
            <w:pPr>
              <w:pStyle w:val="TAL"/>
            </w:pPr>
            <w:r>
              <w:rPr>
                <w:lang w:eastAsia="ko-KR"/>
              </w:rPr>
              <w:t>Contains information about a request to transfer analytics subscriptions.</w:t>
            </w:r>
          </w:p>
        </w:tc>
        <w:tc>
          <w:tcPr>
            <w:tcW w:w="2751" w:type="dxa"/>
            <w:gridSpan w:val="2"/>
          </w:tcPr>
          <w:p w14:paraId="6EBC9D1E" w14:textId="77777777" w:rsidR="00F253B2" w:rsidRDefault="00F253B2" w:rsidP="00F253B2">
            <w:pPr>
              <w:pStyle w:val="TAL"/>
            </w:pPr>
            <w:r>
              <w:t>AnaSubTransfer</w:t>
            </w:r>
          </w:p>
        </w:tc>
      </w:tr>
      <w:tr w:rsidR="00F253B2" w14:paraId="4274C7BB" w14:textId="77777777" w:rsidTr="00635E7C">
        <w:trPr>
          <w:gridAfter w:val="1"/>
          <w:wAfter w:w="85" w:type="dxa"/>
          <w:jc w:val="center"/>
        </w:trPr>
        <w:tc>
          <w:tcPr>
            <w:tcW w:w="3222" w:type="dxa"/>
            <w:gridSpan w:val="2"/>
          </w:tcPr>
          <w:p w14:paraId="5CADF18E" w14:textId="77777777" w:rsidR="00F253B2" w:rsidRDefault="00F253B2" w:rsidP="00F253B2">
            <w:pPr>
              <w:pStyle w:val="TAL"/>
              <w:rPr>
                <w:lang w:eastAsia="zh-CN"/>
              </w:rPr>
            </w:pPr>
            <w:r>
              <w:rPr>
                <w:lang w:eastAsia="zh-CN"/>
              </w:rPr>
              <w:t>AnalyticsSubset</w:t>
            </w:r>
          </w:p>
        </w:tc>
        <w:tc>
          <w:tcPr>
            <w:tcW w:w="1195" w:type="dxa"/>
            <w:gridSpan w:val="2"/>
          </w:tcPr>
          <w:p w14:paraId="1818BEB0" w14:textId="77777777" w:rsidR="00F253B2" w:rsidRDefault="00F253B2" w:rsidP="00F253B2">
            <w:pPr>
              <w:pStyle w:val="TAL"/>
              <w:rPr>
                <w:lang w:eastAsia="zh-CN"/>
              </w:rPr>
            </w:pPr>
            <w:r>
              <w:rPr>
                <w:rFonts w:eastAsia="等线"/>
              </w:rPr>
              <w:t>5.1.6.3.18</w:t>
            </w:r>
          </w:p>
        </w:tc>
        <w:tc>
          <w:tcPr>
            <w:tcW w:w="2132" w:type="dxa"/>
            <w:gridSpan w:val="2"/>
          </w:tcPr>
          <w:p w14:paraId="08582136" w14:textId="77777777" w:rsidR="00F253B2" w:rsidRDefault="00F253B2" w:rsidP="00F253B2">
            <w:pPr>
              <w:pStyle w:val="TAL"/>
              <w:rPr>
                <w:lang w:eastAsia="ko-KR"/>
              </w:rPr>
            </w:pPr>
            <w:r>
              <w:rPr>
                <w:lang w:eastAsia="zh-CN"/>
              </w:rPr>
              <w:t>Analytics subset used to indicate the content of the analytics.</w:t>
            </w:r>
          </w:p>
        </w:tc>
        <w:tc>
          <w:tcPr>
            <w:tcW w:w="2751" w:type="dxa"/>
            <w:gridSpan w:val="2"/>
          </w:tcPr>
          <w:p w14:paraId="37FEBBBB" w14:textId="77777777" w:rsidR="00F253B2" w:rsidRDefault="00F253B2" w:rsidP="00F253B2">
            <w:pPr>
              <w:pStyle w:val="TAL"/>
            </w:pPr>
            <w:r>
              <w:t>EneNA</w:t>
            </w:r>
          </w:p>
        </w:tc>
      </w:tr>
      <w:tr w:rsidR="00F253B2" w14:paraId="6660391A" w14:textId="77777777" w:rsidTr="00635E7C">
        <w:trPr>
          <w:gridAfter w:val="1"/>
          <w:wAfter w:w="85" w:type="dxa"/>
          <w:jc w:val="center"/>
        </w:trPr>
        <w:tc>
          <w:tcPr>
            <w:tcW w:w="3222" w:type="dxa"/>
            <w:gridSpan w:val="2"/>
          </w:tcPr>
          <w:p w14:paraId="151F1FC3" w14:textId="77777777" w:rsidR="00F253B2" w:rsidRDefault="00F253B2" w:rsidP="00F253B2">
            <w:pPr>
              <w:pStyle w:val="TAL"/>
              <w:rPr>
                <w:lang w:eastAsia="zh-CN"/>
              </w:rPr>
            </w:pPr>
            <w:r>
              <w:rPr>
                <w:lang w:eastAsia="zh-CN"/>
              </w:rPr>
              <w:t>AnySlice</w:t>
            </w:r>
          </w:p>
        </w:tc>
        <w:tc>
          <w:tcPr>
            <w:tcW w:w="1195" w:type="dxa"/>
            <w:gridSpan w:val="2"/>
          </w:tcPr>
          <w:p w14:paraId="6612329C" w14:textId="77777777" w:rsidR="00F253B2" w:rsidRDefault="00F253B2" w:rsidP="00F253B2">
            <w:pPr>
              <w:pStyle w:val="TAL"/>
              <w:rPr>
                <w:lang w:eastAsia="zh-CN"/>
              </w:rPr>
            </w:pPr>
            <w:r>
              <w:rPr>
                <w:rFonts w:hint="eastAsia"/>
                <w:lang w:eastAsia="zh-CN"/>
              </w:rPr>
              <w:t>5.1.6.3.2</w:t>
            </w:r>
          </w:p>
        </w:tc>
        <w:tc>
          <w:tcPr>
            <w:tcW w:w="2132" w:type="dxa"/>
            <w:gridSpan w:val="2"/>
          </w:tcPr>
          <w:p w14:paraId="632C8268" w14:textId="77777777" w:rsidR="00F253B2" w:rsidRDefault="00F253B2" w:rsidP="00F253B2">
            <w:pPr>
              <w:pStyle w:val="TAL"/>
              <w:rPr>
                <w:lang w:eastAsia="zh-CN"/>
              </w:rPr>
            </w:pPr>
            <w:r>
              <w:rPr>
                <w:lang w:eastAsia="zh-CN"/>
              </w:rPr>
              <w:t>Represents the any slices.</w:t>
            </w:r>
          </w:p>
        </w:tc>
        <w:tc>
          <w:tcPr>
            <w:tcW w:w="2751" w:type="dxa"/>
            <w:gridSpan w:val="2"/>
          </w:tcPr>
          <w:p w14:paraId="3D93B3A9" w14:textId="77777777" w:rsidR="00F253B2" w:rsidRDefault="00F253B2" w:rsidP="00F253B2">
            <w:pPr>
              <w:pStyle w:val="TAL"/>
              <w:rPr>
                <w:rFonts w:cs="Arial"/>
                <w:szCs w:val="18"/>
              </w:rPr>
            </w:pPr>
          </w:p>
        </w:tc>
      </w:tr>
      <w:tr w:rsidR="00F253B2" w14:paraId="69875D78" w14:textId="77777777" w:rsidTr="00635E7C">
        <w:trPr>
          <w:gridAfter w:val="1"/>
          <w:wAfter w:w="85" w:type="dxa"/>
          <w:jc w:val="center"/>
        </w:trPr>
        <w:tc>
          <w:tcPr>
            <w:tcW w:w="3222" w:type="dxa"/>
            <w:gridSpan w:val="2"/>
          </w:tcPr>
          <w:p w14:paraId="147B8B11" w14:textId="77777777" w:rsidR="00F253B2" w:rsidRDefault="00F253B2" w:rsidP="00F253B2">
            <w:pPr>
              <w:pStyle w:val="TAL"/>
              <w:rPr>
                <w:lang w:eastAsia="zh-CN"/>
              </w:rPr>
            </w:pPr>
            <w:r>
              <w:t>ApplicationVolume</w:t>
            </w:r>
          </w:p>
        </w:tc>
        <w:tc>
          <w:tcPr>
            <w:tcW w:w="1195" w:type="dxa"/>
            <w:gridSpan w:val="2"/>
          </w:tcPr>
          <w:p w14:paraId="6292BEE0" w14:textId="77777777" w:rsidR="00F253B2" w:rsidRDefault="00F253B2" w:rsidP="00F253B2">
            <w:pPr>
              <w:pStyle w:val="TAL"/>
              <w:rPr>
                <w:lang w:eastAsia="zh-CN"/>
              </w:rPr>
            </w:pPr>
            <w:r>
              <w:rPr>
                <w:lang w:eastAsia="zh-CN"/>
              </w:rPr>
              <w:t>5.1.6.2.55</w:t>
            </w:r>
          </w:p>
        </w:tc>
        <w:tc>
          <w:tcPr>
            <w:tcW w:w="2132" w:type="dxa"/>
            <w:gridSpan w:val="2"/>
          </w:tcPr>
          <w:p w14:paraId="32B17DF4" w14:textId="77777777" w:rsidR="00F253B2" w:rsidRDefault="00F253B2" w:rsidP="00F253B2">
            <w:pPr>
              <w:pStyle w:val="TAL"/>
              <w:rPr>
                <w:lang w:eastAsia="zh-CN"/>
              </w:rPr>
            </w:pPr>
            <w:r>
              <w:rPr>
                <w:lang w:eastAsia="ko-KR"/>
              </w:rPr>
              <w:t>Application data volume per application Id.</w:t>
            </w:r>
          </w:p>
        </w:tc>
        <w:tc>
          <w:tcPr>
            <w:tcW w:w="2751" w:type="dxa"/>
            <w:gridSpan w:val="2"/>
          </w:tcPr>
          <w:p w14:paraId="5E39C6AA" w14:textId="77777777" w:rsidR="00F253B2" w:rsidRDefault="00F253B2" w:rsidP="00F253B2">
            <w:pPr>
              <w:pStyle w:val="TAL"/>
              <w:rPr>
                <w:rFonts w:cs="Arial"/>
                <w:szCs w:val="18"/>
              </w:rPr>
            </w:pPr>
            <w:r>
              <w:t>Dispersion</w:t>
            </w:r>
          </w:p>
        </w:tc>
      </w:tr>
      <w:tr w:rsidR="00F253B2" w14:paraId="075744D9" w14:textId="77777777" w:rsidTr="00635E7C">
        <w:trPr>
          <w:gridAfter w:val="1"/>
          <w:wAfter w:w="85" w:type="dxa"/>
          <w:jc w:val="center"/>
        </w:trPr>
        <w:tc>
          <w:tcPr>
            <w:tcW w:w="3222" w:type="dxa"/>
            <w:gridSpan w:val="2"/>
          </w:tcPr>
          <w:p w14:paraId="0919AC26" w14:textId="77777777" w:rsidR="00F253B2" w:rsidRDefault="00F253B2" w:rsidP="00F253B2">
            <w:pPr>
              <w:pStyle w:val="TAL"/>
            </w:pPr>
            <w:r>
              <w:t>AppListForUeComm</w:t>
            </w:r>
          </w:p>
        </w:tc>
        <w:tc>
          <w:tcPr>
            <w:tcW w:w="1195" w:type="dxa"/>
            <w:gridSpan w:val="2"/>
          </w:tcPr>
          <w:p w14:paraId="38EDE255" w14:textId="77777777" w:rsidR="00F253B2" w:rsidRDefault="00F253B2" w:rsidP="00F253B2">
            <w:pPr>
              <w:pStyle w:val="TAL"/>
              <w:rPr>
                <w:lang w:eastAsia="zh-CN"/>
              </w:rPr>
            </w:pPr>
            <w:r>
              <w:rPr>
                <w:rFonts w:hint="eastAsia"/>
                <w:lang w:eastAsia="zh-CN"/>
              </w:rPr>
              <w:t>5.1.6.2.64</w:t>
            </w:r>
          </w:p>
        </w:tc>
        <w:tc>
          <w:tcPr>
            <w:tcW w:w="2132" w:type="dxa"/>
            <w:gridSpan w:val="2"/>
          </w:tcPr>
          <w:p w14:paraId="19109705" w14:textId="77777777" w:rsidR="00F253B2" w:rsidRDefault="00F253B2" w:rsidP="00F253B2">
            <w:pPr>
              <w:pStyle w:val="TAL"/>
              <w:rPr>
                <w:lang w:eastAsia="ko-KR"/>
              </w:rPr>
            </w:pPr>
            <w:r>
              <w:rPr>
                <w:lang w:eastAsia="zh-CN"/>
              </w:rPr>
              <w:t>Represents the analytics of the application list used by UE.</w:t>
            </w:r>
          </w:p>
        </w:tc>
        <w:tc>
          <w:tcPr>
            <w:tcW w:w="2751" w:type="dxa"/>
            <w:gridSpan w:val="2"/>
          </w:tcPr>
          <w:p w14:paraId="2C7E60E0" w14:textId="77777777" w:rsidR="00F253B2" w:rsidRDefault="00F253B2" w:rsidP="00F253B2">
            <w:pPr>
              <w:pStyle w:val="TAL"/>
            </w:pPr>
            <w:r>
              <w:t>UeCommunicationExt</w:t>
            </w:r>
          </w:p>
        </w:tc>
      </w:tr>
      <w:tr w:rsidR="00F253B2" w14:paraId="50D6C3E0" w14:textId="77777777" w:rsidTr="00635E7C">
        <w:trPr>
          <w:gridAfter w:val="1"/>
          <w:wAfter w:w="85" w:type="dxa"/>
          <w:jc w:val="center"/>
        </w:trPr>
        <w:tc>
          <w:tcPr>
            <w:tcW w:w="3222" w:type="dxa"/>
            <w:gridSpan w:val="2"/>
          </w:tcPr>
          <w:p w14:paraId="39F8F9A5" w14:textId="77777777" w:rsidR="00F253B2" w:rsidRDefault="00F253B2" w:rsidP="00F253B2">
            <w:pPr>
              <w:pStyle w:val="TAL"/>
              <w:rPr>
                <w:lang w:eastAsia="zh-CN"/>
              </w:rPr>
            </w:pPr>
            <w:r>
              <w:t>BwRequirement</w:t>
            </w:r>
          </w:p>
        </w:tc>
        <w:tc>
          <w:tcPr>
            <w:tcW w:w="1195" w:type="dxa"/>
            <w:gridSpan w:val="2"/>
          </w:tcPr>
          <w:p w14:paraId="1F8E0D5A" w14:textId="77777777" w:rsidR="00F253B2" w:rsidRDefault="00F253B2" w:rsidP="00F253B2">
            <w:pPr>
              <w:pStyle w:val="TAL"/>
              <w:rPr>
                <w:lang w:eastAsia="zh-CN"/>
              </w:rPr>
            </w:pPr>
            <w:r>
              <w:t>5.1.6.2.25</w:t>
            </w:r>
          </w:p>
        </w:tc>
        <w:tc>
          <w:tcPr>
            <w:tcW w:w="2132" w:type="dxa"/>
            <w:gridSpan w:val="2"/>
          </w:tcPr>
          <w:p w14:paraId="27A30A71" w14:textId="77777777" w:rsidR="00F253B2" w:rsidRDefault="00F253B2" w:rsidP="00F253B2">
            <w:pPr>
              <w:pStyle w:val="TAL"/>
              <w:rPr>
                <w:lang w:eastAsia="zh-CN"/>
              </w:rPr>
            </w:pPr>
            <w:r>
              <w:t>Represents bandwidth requirement.</w:t>
            </w:r>
          </w:p>
        </w:tc>
        <w:tc>
          <w:tcPr>
            <w:tcW w:w="2751" w:type="dxa"/>
            <w:gridSpan w:val="2"/>
          </w:tcPr>
          <w:p w14:paraId="34D4553D" w14:textId="77777777" w:rsidR="00F253B2" w:rsidRDefault="00F253B2" w:rsidP="00F253B2">
            <w:pPr>
              <w:pStyle w:val="TAL"/>
              <w:rPr>
                <w:rFonts w:cs="Arial"/>
                <w:szCs w:val="18"/>
              </w:rPr>
            </w:pPr>
            <w:r>
              <w:t>ServiceExperience</w:t>
            </w:r>
          </w:p>
        </w:tc>
      </w:tr>
      <w:tr w:rsidR="00542337" w14:paraId="3171CBF3" w14:textId="77777777" w:rsidTr="00635E7C">
        <w:trPr>
          <w:gridAfter w:val="1"/>
          <w:wAfter w:w="85" w:type="dxa"/>
          <w:jc w:val="center"/>
        </w:trPr>
        <w:tc>
          <w:tcPr>
            <w:tcW w:w="3222" w:type="dxa"/>
            <w:gridSpan w:val="2"/>
          </w:tcPr>
          <w:p w14:paraId="5A25437D" w14:textId="77777777" w:rsidR="00542337" w:rsidRDefault="00542337" w:rsidP="00542337">
            <w:pPr>
              <w:pStyle w:val="TAL"/>
              <w:rPr>
                <w:lang w:eastAsia="zh-CN"/>
              </w:rPr>
            </w:pPr>
            <w:r>
              <w:t>ClassCriterion</w:t>
            </w:r>
          </w:p>
        </w:tc>
        <w:tc>
          <w:tcPr>
            <w:tcW w:w="1195" w:type="dxa"/>
            <w:gridSpan w:val="2"/>
          </w:tcPr>
          <w:p w14:paraId="629AE774" w14:textId="77777777" w:rsidR="00542337" w:rsidRDefault="00542337" w:rsidP="00542337">
            <w:pPr>
              <w:pStyle w:val="TAL"/>
              <w:rPr>
                <w:lang w:eastAsia="zh-CN"/>
              </w:rPr>
            </w:pPr>
            <w:r>
              <w:rPr>
                <w:lang w:eastAsia="zh-CN"/>
              </w:rPr>
              <w:t>5.1.6.2.51</w:t>
            </w:r>
          </w:p>
        </w:tc>
        <w:tc>
          <w:tcPr>
            <w:tcW w:w="2132" w:type="dxa"/>
            <w:gridSpan w:val="2"/>
          </w:tcPr>
          <w:p w14:paraId="6BAE2D32" w14:textId="77777777" w:rsidR="00542337" w:rsidRDefault="00542337" w:rsidP="00542337">
            <w:pPr>
              <w:pStyle w:val="TAL"/>
              <w:rPr>
                <w:lang w:eastAsia="zh-CN"/>
              </w:rPr>
            </w:pPr>
            <w:r>
              <w:rPr>
                <w:lang w:eastAsia="ko-KR"/>
              </w:rPr>
              <w:t>Dispersion class criterion.</w:t>
            </w:r>
          </w:p>
        </w:tc>
        <w:tc>
          <w:tcPr>
            <w:tcW w:w="2751" w:type="dxa"/>
            <w:gridSpan w:val="2"/>
          </w:tcPr>
          <w:p w14:paraId="1408D220" w14:textId="77777777" w:rsidR="00542337" w:rsidRDefault="00542337" w:rsidP="00542337">
            <w:pPr>
              <w:pStyle w:val="TAL"/>
            </w:pPr>
            <w:r>
              <w:t>Dispersion</w:t>
            </w:r>
          </w:p>
        </w:tc>
      </w:tr>
      <w:tr w:rsidR="00F253B2" w14:paraId="2A829269" w14:textId="77777777" w:rsidTr="00635E7C">
        <w:trPr>
          <w:gridAfter w:val="1"/>
          <w:wAfter w:w="85" w:type="dxa"/>
          <w:jc w:val="center"/>
        </w:trPr>
        <w:tc>
          <w:tcPr>
            <w:tcW w:w="3222" w:type="dxa"/>
            <w:gridSpan w:val="2"/>
          </w:tcPr>
          <w:p w14:paraId="75A9F733" w14:textId="77777777" w:rsidR="00F253B2" w:rsidRDefault="00F253B2" w:rsidP="00F253B2">
            <w:pPr>
              <w:pStyle w:val="TAL"/>
              <w:rPr>
                <w:lang w:eastAsia="zh-CN"/>
              </w:rPr>
            </w:pPr>
            <w:r>
              <w:rPr>
                <w:lang w:eastAsia="zh-CN"/>
              </w:rPr>
              <w:t>CircumstanceDescription</w:t>
            </w:r>
          </w:p>
        </w:tc>
        <w:tc>
          <w:tcPr>
            <w:tcW w:w="1195" w:type="dxa"/>
            <w:gridSpan w:val="2"/>
          </w:tcPr>
          <w:p w14:paraId="147D5C23" w14:textId="77777777" w:rsidR="00F253B2" w:rsidRDefault="00F253B2" w:rsidP="00F253B2">
            <w:pPr>
              <w:pStyle w:val="TAL"/>
              <w:rPr>
                <w:lang w:eastAsia="zh-CN"/>
              </w:rPr>
            </w:pPr>
            <w:r>
              <w:rPr>
                <w:rFonts w:hint="eastAsia"/>
                <w:lang w:eastAsia="zh-CN"/>
              </w:rPr>
              <w:t>5</w:t>
            </w:r>
            <w:r>
              <w:rPr>
                <w:lang w:eastAsia="zh-CN"/>
              </w:rPr>
              <w:t>.1.6.2.29</w:t>
            </w:r>
          </w:p>
        </w:tc>
        <w:tc>
          <w:tcPr>
            <w:tcW w:w="2132" w:type="dxa"/>
            <w:gridSpan w:val="2"/>
          </w:tcPr>
          <w:p w14:paraId="284460E4" w14:textId="77777777" w:rsidR="00F253B2" w:rsidRDefault="00F253B2" w:rsidP="00F253B2">
            <w:pPr>
              <w:pStyle w:val="TAL"/>
              <w:rPr>
                <w:lang w:eastAsia="zh-CN"/>
              </w:rPr>
            </w:pPr>
            <w:r>
              <w:rPr>
                <w:lang w:eastAsia="zh-CN"/>
              </w:rPr>
              <w:t>Contains the description of a circumstance.</w:t>
            </w:r>
          </w:p>
        </w:tc>
        <w:tc>
          <w:tcPr>
            <w:tcW w:w="2751" w:type="dxa"/>
            <w:gridSpan w:val="2"/>
          </w:tcPr>
          <w:p w14:paraId="6245CAD1" w14:textId="77777777" w:rsidR="00F253B2" w:rsidRDefault="00F253B2" w:rsidP="00F253B2">
            <w:pPr>
              <w:pStyle w:val="TAL"/>
              <w:rPr>
                <w:rFonts w:cs="Arial"/>
                <w:szCs w:val="18"/>
              </w:rPr>
            </w:pPr>
            <w:r>
              <w:t>AbnormalBehaviour</w:t>
            </w:r>
          </w:p>
        </w:tc>
      </w:tr>
      <w:tr w:rsidR="00F253B2" w14:paraId="2E97C1B3" w14:textId="77777777" w:rsidTr="00635E7C">
        <w:trPr>
          <w:gridAfter w:val="1"/>
          <w:wAfter w:w="85" w:type="dxa"/>
          <w:jc w:val="center"/>
        </w:trPr>
        <w:tc>
          <w:tcPr>
            <w:tcW w:w="3222" w:type="dxa"/>
            <w:gridSpan w:val="2"/>
          </w:tcPr>
          <w:p w14:paraId="6E37A1DB" w14:textId="77777777" w:rsidR="00F253B2" w:rsidRDefault="00F253B2" w:rsidP="00F253B2">
            <w:pPr>
              <w:pStyle w:val="TAL"/>
              <w:rPr>
                <w:lang w:eastAsia="zh-CN"/>
              </w:rPr>
            </w:pPr>
            <w:r>
              <w:t>CongestionInfo</w:t>
            </w:r>
          </w:p>
        </w:tc>
        <w:tc>
          <w:tcPr>
            <w:tcW w:w="1195" w:type="dxa"/>
            <w:gridSpan w:val="2"/>
          </w:tcPr>
          <w:p w14:paraId="674934FC" w14:textId="77777777" w:rsidR="00F253B2" w:rsidRDefault="00F253B2" w:rsidP="00F253B2">
            <w:pPr>
              <w:pStyle w:val="TAL"/>
              <w:rPr>
                <w:lang w:eastAsia="zh-CN"/>
              </w:rPr>
            </w:pPr>
            <w:r>
              <w:t>5.1.6.2.18</w:t>
            </w:r>
          </w:p>
        </w:tc>
        <w:tc>
          <w:tcPr>
            <w:tcW w:w="2132" w:type="dxa"/>
            <w:gridSpan w:val="2"/>
          </w:tcPr>
          <w:p w14:paraId="7E828D12" w14:textId="77777777" w:rsidR="00F253B2" w:rsidRDefault="00F253B2" w:rsidP="00F253B2">
            <w:pPr>
              <w:pStyle w:val="TAL"/>
              <w:rPr>
                <w:lang w:eastAsia="zh-CN"/>
              </w:rPr>
            </w:pPr>
            <w:r>
              <w:rPr>
                <w:lang w:eastAsia="zh-CN"/>
              </w:rPr>
              <w:t>Represents the congestion information</w:t>
            </w:r>
          </w:p>
        </w:tc>
        <w:tc>
          <w:tcPr>
            <w:tcW w:w="2751" w:type="dxa"/>
            <w:gridSpan w:val="2"/>
          </w:tcPr>
          <w:p w14:paraId="716AF076" w14:textId="77777777" w:rsidR="00F253B2" w:rsidRDefault="00F253B2" w:rsidP="00F253B2">
            <w:pPr>
              <w:pStyle w:val="TAL"/>
              <w:rPr>
                <w:rFonts w:cs="Arial"/>
                <w:szCs w:val="18"/>
              </w:rPr>
            </w:pPr>
            <w:r>
              <w:rPr>
                <w:rFonts w:cs="Arial"/>
                <w:szCs w:val="18"/>
              </w:rPr>
              <w:t>UserDataCongestion</w:t>
            </w:r>
          </w:p>
        </w:tc>
      </w:tr>
      <w:tr w:rsidR="00F253B2" w14:paraId="620FF4A8" w14:textId="77777777" w:rsidTr="00635E7C">
        <w:trPr>
          <w:gridAfter w:val="1"/>
          <w:wAfter w:w="85" w:type="dxa"/>
          <w:jc w:val="center"/>
        </w:trPr>
        <w:tc>
          <w:tcPr>
            <w:tcW w:w="3222" w:type="dxa"/>
            <w:gridSpan w:val="2"/>
          </w:tcPr>
          <w:p w14:paraId="0EEEB9FC" w14:textId="77777777" w:rsidR="00F253B2" w:rsidRDefault="00F253B2" w:rsidP="00F253B2">
            <w:pPr>
              <w:pStyle w:val="TAL"/>
            </w:pPr>
            <w:r>
              <w:t>CongestionType</w:t>
            </w:r>
          </w:p>
        </w:tc>
        <w:tc>
          <w:tcPr>
            <w:tcW w:w="1195" w:type="dxa"/>
            <w:gridSpan w:val="2"/>
          </w:tcPr>
          <w:p w14:paraId="7761B6BC" w14:textId="77777777" w:rsidR="00F253B2" w:rsidRDefault="00F253B2" w:rsidP="00F253B2">
            <w:pPr>
              <w:pStyle w:val="TAL"/>
            </w:pPr>
            <w:r>
              <w:rPr>
                <w:rFonts w:hint="eastAsia"/>
                <w:lang w:eastAsia="zh-CN"/>
              </w:rPr>
              <w:t>5</w:t>
            </w:r>
            <w:r>
              <w:rPr>
                <w:lang w:eastAsia="zh-CN"/>
              </w:rPr>
              <w:t>.1.6.3.8</w:t>
            </w:r>
          </w:p>
        </w:tc>
        <w:tc>
          <w:tcPr>
            <w:tcW w:w="2132" w:type="dxa"/>
            <w:gridSpan w:val="2"/>
          </w:tcPr>
          <w:p w14:paraId="7AAC415B" w14:textId="77777777" w:rsidR="00F253B2" w:rsidRDefault="00F253B2" w:rsidP="00F253B2">
            <w:pPr>
              <w:pStyle w:val="TAL"/>
              <w:rPr>
                <w:lang w:eastAsia="zh-CN"/>
              </w:rPr>
            </w:pPr>
            <w:r>
              <w:rPr>
                <w:lang w:eastAsia="zh-CN"/>
              </w:rPr>
              <w:t>Identification congestion analytics type.</w:t>
            </w:r>
          </w:p>
        </w:tc>
        <w:tc>
          <w:tcPr>
            <w:tcW w:w="2751" w:type="dxa"/>
            <w:gridSpan w:val="2"/>
          </w:tcPr>
          <w:p w14:paraId="3D543206" w14:textId="77777777" w:rsidR="00F253B2" w:rsidRDefault="00F253B2" w:rsidP="00F253B2">
            <w:pPr>
              <w:pStyle w:val="TAL"/>
              <w:rPr>
                <w:rFonts w:cs="Arial"/>
                <w:szCs w:val="18"/>
              </w:rPr>
            </w:pPr>
            <w:r>
              <w:rPr>
                <w:rFonts w:cs="Arial"/>
                <w:szCs w:val="18"/>
              </w:rPr>
              <w:t>UserDataCongestion</w:t>
            </w:r>
          </w:p>
        </w:tc>
      </w:tr>
      <w:tr w:rsidR="00F253B2" w14:paraId="53182417" w14:textId="77777777" w:rsidTr="00635E7C">
        <w:trPr>
          <w:gridAfter w:val="1"/>
          <w:wAfter w:w="85" w:type="dxa"/>
          <w:jc w:val="center"/>
        </w:trPr>
        <w:tc>
          <w:tcPr>
            <w:tcW w:w="3222" w:type="dxa"/>
            <w:gridSpan w:val="2"/>
          </w:tcPr>
          <w:p w14:paraId="1929C120" w14:textId="77777777" w:rsidR="00F253B2" w:rsidRDefault="00F253B2" w:rsidP="00F253B2">
            <w:pPr>
              <w:pStyle w:val="TAL"/>
            </w:pPr>
            <w:r>
              <w:t>ConsumerNfInformation</w:t>
            </w:r>
          </w:p>
        </w:tc>
        <w:tc>
          <w:tcPr>
            <w:tcW w:w="1195" w:type="dxa"/>
            <w:gridSpan w:val="2"/>
          </w:tcPr>
          <w:p w14:paraId="71E2B845" w14:textId="77777777" w:rsidR="00F253B2" w:rsidRDefault="00F253B2" w:rsidP="00F253B2">
            <w:pPr>
              <w:pStyle w:val="TAL"/>
              <w:rPr>
                <w:lang w:eastAsia="zh-CN"/>
              </w:rPr>
            </w:pPr>
            <w:r>
              <w:t>5.1.6.2.49</w:t>
            </w:r>
          </w:p>
        </w:tc>
        <w:tc>
          <w:tcPr>
            <w:tcW w:w="2132" w:type="dxa"/>
            <w:gridSpan w:val="2"/>
          </w:tcPr>
          <w:p w14:paraId="21C4327E" w14:textId="77777777" w:rsidR="00F253B2" w:rsidRDefault="00F253B2" w:rsidP="00F253B2">
            <w:pPr>
              <w:pStyle w:val="TAL"/>
              <w:rPr>
                <w:lang w:eastAsia="zh-CN"/>
              </w:rPr>
            </w:pPr>
            <w:r>
              <w:t>Represents the analytics consumer NF Information.</w:t>
            </w:r>
          </w:p>
        </w:tc>
        <w:tc>
          <w:tcPr>
            <w:tcW w:w="2751" w:type="dxa"/>
            <w:gridSpan w:val="2"/>
          </w:tcPr>
          <w:p w14:paraId="7ED1D653" w14:textId="77777777" w:rsidR="00F253B2" w:rsidRDefault="00F253B2" w:rsidP="00F253B2">
            <w:pPr>
              <w:pStyle w:val="TAL"/>
              <w:rPr>
                <w:rFonts w:cs="Arial"/>
                <w:szCs w:val="18"/>
              </w:rPr>
            </w:pPr>
            <w:r>
              <w:t>AnaSubTransfer</w:t>
            </w:r>
          </w:p>
        </w:tc>
      </w:tr>
      <w:tr w:rsidR="00F253B2" w14:paraId="782B93CE" w14:textId="77777777" w:rsidTr="00635E7C">
        <w:trPr>
          <w:gridAfter w:val="1"/>
          <w:wAfter w:w="85" w:type="dxa"/>
          <w:jc w:val="center"/>
        </w:trPr>
        <w:tc>
          <w:tcPr>
            <w:tcW w:w="3222" w:type="dxa"/>
            <w:gridSpan w:val="2"/>
          </w:tcPr>
          <w:p w14:paraId="602D5C99" w14:textId="77777777" w:rsidR="00F253B2" w:rsidRDefault="00F253B2" w:rsidP="00F253B2">
            <w:pPr>
              <w:pStyle w:val="TAL"/>
            </w:pPr>
            <w:r>
              <w:lastRenderedPageBreak/>
              <w:t>DatasetStatisticalProperty</w:t>
            </w:r>
          </w:p>
        </w:tc>
        <w:tc>
          <w:tcPr>
            <w:tcW w:w="1195" w:type="dxa"/>
            <w:gridSpan w:val="2"/>
          </w:tcPr>
          <w:p w14:paraId="4746360B" w14:textId="77777777" w:rsidR="00F253B2" w:rsidRDefault="00F253B2" w:rsidP="00F253B2">
            <w:pPr>
              <w:pStyle w:val="TAL"/>
              <w:rPr>
                <w:lang w:eastAsia="zh-CN"/>
              </w:rPr>
            </w:pPr>
            <w:r>
              <w:rPr>
                <w:lang w:eastAsia="zh-CN"/>
              </w:rPr>
              <w:t>5.1.6.3.15</w:t>
            </w:r>
          </w:p>
        </w:tc>
        <w:tc>
          <w:tcPr>
            <w:tcW w:w="2132" w:type="dxa"/>
            <w:gridSpan w:val="2"/>
          </w:tcPr>
          <w:p w14:paraId="6B942361" w14:textId="77777777" w:rsidR="00F253B2" w:rsidRDefault="00F253B2" w:rsidP="00F253B2">
            <w:pPr>
              <w:pStyle w:val="TAL"/>
              <w:rPr>
                <w:lang w:eastAsia="zh-CN"/>
              </w:rPr>
            </w:pPr>
            <w:r>
              <w:rPr>
                <w:lang w:eastAsia="ko-KR"/>
              </w:rPr>
              <w:t>Dataset statistical properties of the data used to generate the analytics.</w:t>
            </w:r>
          </w:p>
        </w:tc>
        <w:tc>
          <w:tcPr>
            <w:tcW w:w="2751" w:type="dxa"/>
            <w:gridSpan w:val="2"/>
          </w:tcPr>
          <w:p w14:paraId="2D1E22D8" w14:textId="77777777" w:rsidR="00F253B2" w:rsidRDefault="00F253B2" w:rsidP="00F253B2">
            <w:pPr>
              <w:pStyle w:val="TAL"/>
              <w:rPr>
                <w:rFonts w:cs="Arial"/>
                <w:szCs w:val="18"/>
              </w:rPr>
            </w:pPr>
            <w:r>
              <w:t>Aggregation</w:t>
            </w:r>
          </w:p>
        </w:tc>
      </w:tr>
      <w:tr w:rsidR="00F253B2" w14:paraId="4C6C46AD" w14:textId="77777777" w:rsidTr="00635E7C">
        <w:trPr>
          <w:gridAfter w:val="1"/>
          <w:wAfter w:w="85" w:type="dxa"/>
          <w:jc w:val="center"/>
        </w:trPr>
        <w:tc>
          <w:tcPr>
            <w:tcW w:w="3222" w:type="dxa"/>
            <w:gridSpan w:val="2"/>
          </w:tcPr>
          <w:p w14:paraId="3AD22FC9" w14:textId="77777777" w:rsidR="00F253B2" w:rsidRDefault="00F253B2" w:rsidP="00F253B2">
            <w:pPr>
              <w:pStyle w:val="TAL"/>
            </w:pPr>
            <w:r>
              <w:t>DataVolume</w:t>
            </w:r>
          </w:p>
        </w:tc>
        <w:tc>
          <w:tcPr>
            <w:tcW w:w="1195" w:type="dxa"/>
            <w:gridSpan w:val="2"/>
          </w:tcPr>
          <w:p w14:paraId="2C8005DE" w14:textId="77777777" w:rsidR="00F253B2" w:rsidRDefault="00F253B2" w:rsidP="00F253B2">
            <w:pPr>
              <w:pStyle w:val="TAL"/>
              <w:rPr>
                <w:lang w:eastAsia="zh-CN"/>
              </w:rPr>
            </w:pPr>
            <w:r>
              <w:rPr>
                <w:lang w:eastAsia="zh-CN"/>
              </w:rPr>
              <w:t>5.1.6.2.85</w:t>
            </w:r>
          </w:p>
        </w:tc>
        <w:tc>
          <w:tcPr>
            <w:tcW w:w="2132" w:type="dxa"/>
            <w:gridSpan w:val="2"/>
          </w:tcPr>
          <w:p w14:paraId="466DD2F1" w14:textId="77777777" w:rsidR="00F253B2" w:rsidRDefault="00F253B2" w:rsidP="00F253B2">
            <w:pPr>
              <w:pStyle w:val="TAL"/>
              <w:rPr>
                <w:lang w:eastAsia="ko-KR"/>
              </w:rPr>
            </w:pPr>
            <w:r>
              <w:rPr>
                <w:lang w:eastAsia="zh-CN"/>
              </w:rPr>
              <w:t>Indicates a specific data volume transmitted once from UE to AF and/or from AF to UE</w:t>
            </w:r>
          </w:p>
        </w:tc>
        <w:tc>
          <w:tcPr>
            <w:tcW w:w="2751" w:type="dxa"/>
            <w:gridSpan w:val="2"/>
          </w:tcPr>
          <w:p w14:paraId="7E42315A" w14:textId="77777777" w:rsidR="00F253B2" w:rsidRDefault="00F253B2" w:rsidP="00F253B2">
            <w:pPr>
              <w:pStyle w:val="TAL"/>
            </w:pPr>
            <w:r>
              <w:rPr>
                <w:lang w:eastAsia="zh-CN"/>
              </w:rPr>
              <w:t>E2eDataVolTransTime</w:t>
            </w:r>
          </w:p>
        </w:tc>
      </w:tr>
      <w:tr w:rsidR="00F253B2" w14:paraId="7794DDBC" w14:textId="77777777" w:rsidTr="007862A2">
        <w:trPr>
          <w:gridBefore w:val="1"/>
          <w:wBefore w:w="35" w:type="dxa"/>
          <w:jc w:val="center"/>
        </w:trPr>
        <w:tc>
          <w:tcPr>
            <w:tcW w:w="3226" w:type="dxa"/>
            <w:gridSpan w:val="2"/>
            <w:tcBorders>
              <w:top w:val="single" w:sz="6" w:space="0" w:color="auto"/>
              <w:left w:val="single" w:sz="6" w:space="0" w:color="auto"/>
              <w:bottom w:val="single" w:sz="6" w:space="0" w:color="auto"/>
              <w:right w:val="single" w:sz="6" w:space="0" w:color="auto"/>
            </w:tcBorders>
          </w:tcPr>
          <w:p w14:paraId="70E033C9" w14:textId="77777777" w:rsidR="00F253B2" w:rsidRDefault="00F253B2" w:rsidP="00F253B2">
            <w:pPr>
              <w:pStyle w:val="TAL"/>
            </w:pPr>
            <w:r>
              <w:t>DataVolumeTransferTime</w:t>
            </w:r>
          </w:p>
        </w:tc>
        <w:tc>
          <w:tcPr>
            <w:tcW w:w="1200" w:type="dxa"/>
            <w:gridSpan w:val="2"/>
            <w:tcBorders>
              <w:top w:val="single" w:sz="6" w:space="0" w:color="auto"/>
              <w:left w:val="single" w:sz="6" w:space="0" w:color="auto"/>
              <w:bottom w:val="single" w:sz="6" w:space="0" w:color="auto"/>
              <w:right w:val="single" w:sz="6" w:space="0" w:color="auto"/>
            </w:tcBorders>
          </w:tcPr>
          <w:p w14:paraId="642F9729" w14:textId="77777777" w:rsidR="00F253B2" w:rsidRDefault="00F253B2" w:rsidP="00F253B2">
            <w:pPr>
              <w:pStyle w:val="TAL"/>
              <w:rPr>
                <w:lang w:eastAsia="zh-CN"/>
              </w:rPr>
            </w:pPr>
            <w:r>
              <w:rPr>
                <w:lang w:eastAsia="zh-CN"/>
              </w:rPr>
              <w:t>5.1.6.2.90</w:t>
            </w:r>
          </w:p>
        </w:tc>
        <w:tc>
          <w:tcPr>
            <w:tcW w:w="2132" w:type="dxa"/>
            <w:gridSpan w:val="2"/>
            <w:tcBorders>
              <w:top w:val="single" w:sz="6" w:space="0" w:color="auto"/>
              <w:left w:val="single" w:sz="6" w:space="0" w:color="auto"/>
              <w:bottom w:val="single" w:sz="6" w:space="0" w:color="auto"/>
              <w:right w:val="single" w:sz="6" w:space="0" w:color="auto"/>
            </w:tcBorders>
          </w:tcPr>
          <w:p w14:paraId="10C6E487" w14:textId="77777777" w:rsidR="00F253B2" w:rsidRDefault="00F253B2" w:rsidP="00F253B2">
            <w:pPr>
              <w:pStyle w:val="TAL"/>
              <w:rPr>
                <w:lang w:eastAsia="zh-CN"/>
              </w:rPr>
            </w:pPr>
            <w:r>
              <w:rPr>
                <w:lang w:eastAsia="zh-CN"/>
              </w:rPr>
              <w:t xml:space="preserve">Indicates the </w:t>
            </w:r>
            <w:r>
              <w:t>E2E data volume transfer time</w:t>
            </w:r>
            <w:r>
              <w:rPr>
                <w:lang w:eastAsia="zh-CN"/>
              </w:rPr>
              <w:t xml:space="preserve"> and the </w:t>
            </w:r>
            <w:r>
              <w:t>data volume used to derive the transfer time.</w:t>
            </w:r>
          </w:p>
        </w:tc>
        <w:tc>
          <w:tcPr>
            <w:tcW w:w="2792" w:type="dxa"/>
            <w:gridSpan w:val="2"/>
            <w:tcBorders>
              <w:top w:val="single" w:sz="6" w:space="0" w:color="auto"/>
              <w:left w:val="single" w:sz="6" w:space="0" w:color="auto"/>
              <w:bottom w:val="single" w:sz="6" w:space="0" w:color="auto"/>
              <w:right w:val="single" w:sz="6" w:space="0" w:color="auto"/>
            </w:tcBorders>
          </w:tcPr>
          <w:p w14:paraId="3939C059" w14:textId="77777777" w:rsidR="00F253B2" w:rsidRDefault="00F253B2" w:rsidP="00F253B2">
            <w:pPr>
              <w:pStyle w:val="TAL"/>
              <w:rPr>
                <w:lang w:eastAsia="zh-CN"/>
              </w:rPr>
            </w:pPr>
            <w:r>
              <w:rPr>
                <w:lang w:eastAsia="zh-CN"/>
              </w:rPr>
              <w:t>E2eDataVolTransTime</w:t>
            </w:r>
          </w:p>
        </w:tc>
      </w:tr>
      <w:tr w:rsidR="00F253B2" w14:paraId="4A4252C1" w14:textId="77777777" w:rsidTr="00635E7C">
        <w:trPr>
          <w:gridAfter w:val="1"/>
          <w:wAfter w:w="85" w:type="dxa"/>
          <w:jc w:val="center"/>
        </w:trPr>
        <w:tc>
          <w:tcPr>
            <w:tcW w:w="3222" w:type="dxa"/>
            <w:gridSpan w:val="2"/>
          </w:tcPr>
          <w:p w14:paraId="250B7979" w14:textId="77777777" w:rsidR="00F253B2" w:rsidRDefault="00F253B2" w:rsidP="00F253B2">
            <w:pPr>
              <w:pStyle w:val="TAL"/>
            </w:pPr>
            <w:r>
              <w:rPr>
                <w:rFonts w:hint="eastAsia"/>
                <w:lang w:eastAsia="zh-CN"/>
              </w:rPr>
              <w:t>D</w:t>
            </w:r>
            <w:r>
              <w:rPr>
                <w:lang w:eastAsia="zh-CN"/>
              </w:rPr>
              <w:t>eviceType</w:t>
            </w:r>
          </w:p>
        </w:tc>
        <w:tc>
          <w:tcPr>
            <w:tcW w:w="1195" w:type="dxa"/>
            <w:gridSpan w:val="2"/>
          </w:tcPr>
          <w:p w14:paraId="443FDA51" w14:textId="77777777" w:rsidR="00F253B2" w:rsidRDefault="00F253B2" w:rsidP="00F253B2">
            <w:pPr>
              <w:pStyle w:val="TAL"/>
              <w:rPr>
                <w:lang w:eastAsia="zh-CN"/>
              </w:rPr>
            </w:pPr>
            <w:r>
              <w:rPr>
                <w:lang w:eastAsia="zh-CN"/>
              </w:rPr>
              <w:t>5.1.6.3.31</w:t>
            </w:r>
          </w:p>
        </w:tc>
        <w:tc>
          <w:tcPr>
            <w:tcW w:w="2132" w:type="dxa"/>
            <w:gridSpan w:val="2"/>
          </w:tcPr>
          <w:p w14:paraId="60A73A94" w14:textId="77777777" w:rsidR="00F253B2" w:rsidRDefault="00F253B2" w:rsidP="00F253B2">
            <w:pPr>
              <w:pStyle w:val="TAL"/>
              <w:rPr>
                <w:lang w:eastAsia="ko-KR"/>
              </w:rPr>
            </w:pPr>
            <w:r>
              <w:rPr>
                <w:rFonts w:hint="eastAsia"/>
                <w:lang w:eastAsia="zh-CN"/>
              </w:rPr>
              <w:t>T</w:t>
            </w:r>
            <w:r>
              <w:rPr>
                <w:lang w:eastAsia="zh-CN"/>
              </w:rPr>
              <w:t>he type of device.</w:t>
            </w:r>
          </w:p>
        </w:tc>
        <w:tc>
          <w:tcPr>
            <w:tcW w:w="2751" w:type="dxa"/>
            <w:gridSpan w:val="2"/>
          </w:tcPr>
          <w:p w14:paraId="0A7F21DA" w14:textId="77777777" w:rsidR="00F253B2" w:rsidRDefault="00F253B2" w:rsidP="00F253B2">
            <w:pPr>
              <w:pStyle w:val="TAL"/>
            </w:pPr>
            <w:r>
              <w:rPr>
                <w:rFonts w:eastAsia="Batang"/>
              </w:rPr>
              <w:t>QoSSustainabilityExt_eNA</w:t>
            </w:r>
          </w:p>
        </w:tc>
      </w:tr>
      <w:tr w:rsidR="00F253B2" w14:paraId="57190A11"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6D6D968B" w14:textId="77777777" w:rsidR="00F253B2" w:rsidRDefault="00F253B2" w:rsidP="00F253B2">
            <w:pPr>
              <w:pStyle w:val="TAL"/>
              <w:rPr>
                <w:lang w:eastAsia="zh-CN"/>
              </w:rPr>
            </w:pPr>
            <w:r>
              <w:rPr>
                <w:lang w:eastAsia="zh-CN"/>
              </w:rPr>
              <w:t>Direction</w:t>
            </w:r>
          </w:p>
        </w:tc>
        <w:tc>
          <w:tcPr>
            <w:tcW w:w="1195" w:type="dxa"/>
            <w:gridSpan w:val="2"/>
            <w:tcBorders>
              <w:top w:val="single" w:sz="6" w:space="0" w:color="auto"/>
              <w:left w:val="single" w:sz="6" w:space="0" w:color="auto"/>
              <w:bottom w:val="single" w:sz="6" w:space="0" w:color="auto"/>
              <w:right w:val="single" w:sz="6" w:space="0" w:color="auto"/>
            </w:tcBorders>
          </w:tcPr>
          <w:p w14:paraId="203549EF" w14:textId="77777777" w:rsidR="00F253B2" w:rsidRDefault="00F253B2" w:rsidP="00F253B2">
            <w:pPr>
              <w:pStyle w:val="TAL"/>
              <w:rPr>
                <w:lang w:eastAsia="zh-CN"/>
              </w:rPr>
            </w:pPr>
            <w:r>
              <w:rPr>
                <w:lang w:eastAsia="zh-CN"/>
              </w:rPr>
              <w:t>5.1.6.3.39</w:t>
            </w:r>
          </w:p>
        </w:tc>
        <w:tc>
          <w:tcPr>
            <w:tcW w:w="2132" w:type="dxa"/>
            <w:gridSpan w:val="2"/>
            <w:tcBorders>
              <w:top w:val="single" w:sz="6" w:space="0" w:color="auto"/>
              <w:left w:val="single" w:sz="6" w:space="0" w:color="auto"/>
              <w:bottom w:val="single" w:sz="6" w:space="0" w:color="auto"/>
              <w:right w:val="single" w:sz="6" w:space="0" w:color="auto"/>
            </w:tcBorders>
          </w:tcPr>
          <w:p w14:paraId="37621DFB" w14:textId="77777777" w:rsidR="00F253B2" w:rsidRDefault="00F253B2" w:rsidP="00F253B2">
            <w:pPr>
              <w:pStyle w:val="TAL"/>
              <w:rPr>
                <w:lang w:eastAsia="zh-CN"/>
              </w:rPr>
            </w:pPr>
            <w:r>
              <w:rPr>
                <w:lang w:eastAsia="zh-CN"/>
              </w:rPr>
              <w:t>Heading directions of the UE flow in the target area.</w:t>
            </w:r>
          </w:p>
        </w:tc>
        <w:tc>
          <w:tcPr>
            <w:tcW w:w="2751" w:type="dxa"/>
            <w:gridSpan w:val="2"/>
            <w:tcBorders>
              <w:top w:val="single" w:sz="6" w:space="0" w:color="auto"/>
              <w:left w:val="single" w:sz="6" w:space="0" w:color="auto"/>
              <w:bottom w:val="single" w:sz="6" w:space="0" w:color="auto"/>
              <w:right w:val="single" w:sz="6" w:space="0" w:color="auto"/>
            </w:tcBorders>
          </w:tcPr>
          <w:p w14:paraId="4A24FCF3" w14:textId="77777777" w:rsidR="00607DB3" w:rsidRDefault="00607DB3" w:rsidP="00607DB3">
            <w:pPr>
              <w:pStyle w:val="TAL"/>
              <w:rPr>
                <w:rFonts w:eastAsia="Batang"/>
              </w:rPr>
            </w:pPr>
            <w:r>
              <w:rPr>
                <w:rFonts w:eastAsia="Batang"/>
              </w:rPr>
              <w:t>MovementBehaviour</w:t>
            </w:r>
          </w:p>
          <w:p w14:paraId="0808DD28" w14:textId="77777777" w:rsidR="00F253B2" w:rsidRDefault="00607DB3" w:rsidP="00607DB3">
            <w:pPr>
              <w:pStyle w:val="TAL"/>
              <w:rPr>
                <w:rFonts w:eastAsia="Batang"/>
              </w:rPr>
            </w:pPr>
            <w:r>
              <w:rPr>
                <w:lang w:eastAsia="zh-CN"/>
              </w:rPr>
              <w:t>RelativeProximity</w:t>
            </w:r>
          </w:p>
        </w:tc>
      </w:tr>
      <w:tr w:rsidR="00F253B2" w14:paraId="2322AAE5"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76A41367" w14:textId="77777777" w:rsidR="00F253B2" w:rsidRDefault="00F253B2" w:rsidP="00F253B2">
            <w:pPr>
              <w:pStyle w:val="TAL"/>
              <w:rPr>
                <w:lang w:eastAsia="zh-CN"/>
              </w:rPr>
            </w:pPr>
            <w:r>
              <w:rPr>
                <w:lang w:eastAsia="zh-CN"/>
              </w:rPr>
              <w:t>DirectionInfo</w:t>
            </w:r>
          </w:p>
        </w:tc>
        <w:tc>
          <w:tcPr>
            <w:tcW w:w="1195" w:type="dxa"/>
            <w:gridSpan w:val="2"/>
            <w:tcBorders>
              <w:top w:val="single" w:sz="6" w:space="0" w:color="auto"/>
              <w:left w:val="single" w:sz="6" w:space="0" w:color="auto"/>
              <w:bottom w:val="single" w:sz="6" w:space="0" w:color="auto"/>
              <w:right w:val="single" w:sz="6" w:space="0" w:color="auto"/>
            </w:tcBorders>
          </w:tcPr>
          <w:p w14:paraId="0F893F79" w14:textId="77777777" w:rsidR="00F253B2" w:rsidRDefault="00F253B2" w:rsidP="00F253B2">
            <w:pPr>
              <w:pStyle w:val="TAL"/>
              <w:rPr>
                <w:lang w:eastAsia="zh-CN"/>
              </w:rPr>
            </w:pPr>
            <w:r>
              <w:rPr>
                <w:lang w:eastAsia="zh-CN"/>
              </w:rPr>
              <w:t>5.1.6.2.75</w:t>
            </w:r>
          </w:p>
        </w:tc>
        <w:tc>
          <w:tcPr>
            <w:tcW w:w="2132" w:type="dxa"/>
            <w:gridSpan w:val="2"/>
            <w:tcBorders>
              <w:top w:val="single" w:sz="6" w:space="0" w:color="auto"/>
              <w:left w:val="single" w:sz="6" w:space="0" w:color="auto"/>
              <w:bottom w:val="single" w:sz="6" w:space="0" w:color="auto"/>
              <w:right w:val="single" w:sz="6" w:space="0" w:color="auto"/>
            </w:tcBorders>
          </w:tcPr>
          <w:p w14:paraId="1F54AB8C" w14:textId="77777777" w:rsidR="00F253B2" w:rsidRDefault="00F253B2" w:rsidP="00F253B2">
            <w:pPr>
              <w:pStyle w:val="TAL"/>
              <w:rPr>
                <w:lang w:eastAsia="zh-CN"/>
              </w:rPr>
            </w:pPr>
            <w:r>
              <w:rPr>
                <w:lang w:eastAsia="zh-CN"/>
              </w:rPr>
              <w:t>Represents the UE direction information.</w:t>
            </w:r>
          </w:p>
        </w:tc>
        <w:tc>
          <w:tcPr>
            <w:tcW w:w="2751" w:type="dxa"/>
            <w:gridSpan w:val="2"/>
            <w:tcBorders>
              <w:top w:val="single" w:sz="6" w:space="0" w:color="auto"/>
              <w:left w:val="single" w:sz="6" w:space="0" w:color="auto"/>
              <w:bottom w:val="single" w:sz="6" w:space="0" w:color="auto"/>
              <w:right w:val="single" w:sz="6" w:space="0" w:color="auto"/>
            </w:tcBorders>
          </w:tcPr>
          <w:p w14:paraId="0E45E23E" w14:textId="77777777" w:rsidR="00F253B2" w:rsidRDefault="00F253B2" w:rsidP="00F253B2">
            <w:pPr>
              <w:pStyle w:val="TAL"/>
              <w:rPr>
                <w:rFonts w:eastAsia="Batang"/>
              </w:rPr>
            </w:pPr>
            <w:r>
              <w:rPr>
                <w:rFonts w:eastAsia="Batang"/>
              </w:rPr>
              <w:t>UeMobilityExt2_eNA</w:t>
            </w:r>
          </w:p>
          <w:p w14:paraId="2A0529D5" w14:textId="77777777" w:rsidR="00F253B2" w:rsidRDefault="00F253B2" w:rsidP="00F253B2">
            <w:pPr>
              <w:pStyle w:val="TAL"/>
              <w:rPr>
                <w:rFonts w:eastAsia="Batang"/>
              </w:rPr>
            </w:pPr>
            <w:r>
              <w:rPr>
                <w:rFonts w:eastAsia="Batang"/>
              </w:rPr>
              <w:t>MovementBehaviour</w:t>
            </w:r>
          </w:p>
        </w:tc>
      </w:tr>
      <w:tr w:rsidR="00F253B2" w14:paraId="4F1FE4E0"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402D6DB" w14:textId="77777777" w:rsidR="00F253B2" w:rsidRDefault="00F253B2" w:rsidP="00F253B2">
            <w:pPr>
              <w:pStyle w:val="TAL"/>
              <w:rPr>
                <w:lang w:eastAsia="zh-CN"/>
              </w:rPr>
            </w:pPr>
            <w:r>
              <w:rPr>
                <w:lang w:eastAsia="zh-CN"/>
              </w:rPr>
              <w:t>DispersionClass</w:t>
            </w:r>
          </w:p>
        </w:tc>
        <w:tc>
          <w:tcPr>
            <w:tcW w:w="1195" w:type="dxa"/>
            <w:gridSpan w:val="2"/>
            <w:tcBorders>
              <w:top w:val="single" w:sz="6" w:space="0" w:color="auto"/>
              <w:left w:val="single" w:sz="6" w:space="0" w:color="auto"/>
              <w:bottom w:val="single" w:sz="6" w:space="0" w:color="auto"/>
              <w:right w:val="single" w:sz="6" w:space="0" w:color="auto"/>
            </w:tcBorders>
          </w:tcPr>
          <w:p w14:paraId="7BF943DB" w14:textId="77777777" w:rsidR="00F253B2" w:rsidRDefault="00F253B2" w:rsidP="00F253B2">
            <w:pPr>
              <w:pStyle w:val="TAL"/>
              <w:rPr>
                <w:lang w:eastAsia="zh-CN"/>
              </w:rPr>
            </w:pPr>
            <w:r>
              <w:rPr>
                <w:lang w:eastAsia="zh-CN"/>
              </w:rPr>
              <w:t>5.1.6.3.20</w:t>
            </w:r>
          </w:p>
        </w:tc>
        <w:tc>
          <w:tcPr>
            <w:tcW w:w="2132" w:type="dxa"/>
            <w:gridSpan w:val="2"/>
            <w:tcBorders>
              <w:top w:val="single" w:sz="6" w:space="0" w:color="auto"/>
              <w:left w:val="single" w:sz="6" w:space="0" w:color="auto"/>
              <w:bottom w:val="single" w:sz="6" w:space="0" w:color="auto"/>
              <w:right w:val="single" w:sz="6" w:space="0" w:color="auto"/>
            </w:tcBorders>
          </w:tcPr>
          <w:p w14:paraId="24AD2085" w14:textId="77777777" w:rsidR="00F253B2" w:rsidRDefault="00F253B2" w:rsidP="00F253B2">
            <w:pPr>
              <w:pStyle w:val="TAL"/>
              <w:rPr>
                <w:lang w:eastAsia="zh-CN"/>
              </w:rPr>
            </w:pPr>
            <w:r>
              <w:rPr>
                <w:lang w:eastAsia="zh-CN"/>
              </w:rPr>
              <w:t>Dispersion class.</w:t>
            </w:r>
          </w:p>
        </w:tc>
        <w:tc>
          <w:tcPr>
            <w:tcW w:w="2751" w:type="dxa"/>
            <w:gridSpan w:val="2"/>
            <w:tcBorders>
              <w:top w:val="single" w:sz="6" w:space="0" w:color="auto"/>
              <w:left w:val="single" w:sz="6" w:space="0" w:color="auto"/>
              <w:bottom w:val="single" w:sz="6" w:space="0" w:color="auto"/>
              <w:right w:val="single" w:sz="6" w:space="0" w:color="auto"/>
            </w:tcBorders>
          </w:tcPr>
          <w:p w14:paraId="20C560D1" w14:textId="77777777" w:rsidR="00F253B2" w:rsidRDefault="00F253B2" w:rsidP="00F253B2">
            <w:pPr>
              <w:pStyle w:val="TAL"/>
              <w:rPr>
                <w:rFonts w:eastAsia="Batang"/>
              </w:rPr>
            </w:pPr>
            <w:r>
              <w:rPr>
                <w:rFonts w:eastAsia="Batang"/>
              </w:rPr>
              <w:t>Dispersion</w:t>
            </w:r>
          </w:p>
        </w:tc>
      </w:tr>
      <w:tr w:rsidR="00F253B2" w14:paraId="22912504"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159C52FF" w14:textId="77777777" w:rsidR="00F253B2" w:rsidRDefault="00F253B2" w:rsidP="00F253B2">
            <w:pPr>
              <w:pStyle w:val="TAL"/>
              <w:rPr>
                <w:lang w:eastAsia="zh-CN"/>
              </w:rPr>
            </w:pPr>
            <w:r>
              <w:rPr>
                <w:lang w:eastAsia="zh-CN"/>
              </w:rPr>
              <w:t>DispersionCollection</w:t>
            </w:r>
          </w:p>
        </w:tc>
        <w:tc>
          <w:tcPr>
            <w:tcW w:w="1195" w:type="dxa"/>
            <w:gridSpan w:val="2"/>
            <w:tcBorders>
              <w:top w:val="single" w:sz="6" w:space="0" w:color="auto"/>
              <w:left w:val="single" w:sz="6" w:space="0" w:color="auto"/>
              <w:bottom w:val="single" w:sz="6" w:space="0" w:color="auto"/>
              <w:right w:val="single" w:sz="6" w:space="0" w:color="auto"/>
            </w:tcBorders>
          </w:tcPr>
          <w:p w14:paraId="2928D083" w14:textId="77777777" w:rsidR="00F253B2" w:rsidRDefault="00F253B2" w:rsidP="00F253B2">
            <w:pPr>
              <w:pStyle w:val="TAL"/>
              <w:rPr>
                <w:lang w:eastAsia="zh-CN"/>
              </w:rPr>
            </w:pPr>
            <w:r>
              <w:rPr>
                <w:lang w:eastAsia="zh-CN"/>
              </w:rPr>
              <w:t>5.1.6.2.54</w:t>
            </w:r>
          </w:p>
        </w:tc>
        <w:tc>
          <w:tcPr>
            <w:tcW w:w="2132" w:type="dxa"/>
            <w:gridSpan w:val="2"/>
            <w:tcBorders>
              <w:top w:val="single" w:sz="6" w:space="0" w:color="auto"/>
              <w:left w:val="single" w:sz="6" w:space="0" w:color="auto"/>
              <w:bottom w:val="single" w:sz="6" w:space="0" w:color="auto"/>
              <w:right w:val="single" w:sz="6" w:space="0" w:color="auto"/>
            </w:tcBorders>
          </w:tcPr>
          <w:p w14:paraId="1DD3FD32" w14:textId="77777777" w:rsidR="00F253B2" w:rsidRDefault="00F253B2" w:rsidP="00F253B2">
            <w:pPr>
              <w:pStyle w:val="TAL"/>
              <w:rPr>
                <w:lang w:eastAsia="zh-CN"/>
              </w:rPr>
            </w:pPr>
            <w:r>
              <w:rPr>
                <w:lang w:eastAsia="zh-CN"/>
              </w:rPr>
              <w:t>Dispersion collections per UE location or or per slice.</w:t>
            </w:r>
          </w:p>
        </w:tc>
        <w:tc>
          <w:tcPr>
            <w:tcW w:w="2751" w:type="dxa"/>
            <w:gridSpan w:val="2"/>
            <w:tcBorders>
              <w:top w:val="single" w:sz="6" w:space="0" w:color="auto"/>
              <w:left w:val="single" w:sz="6" w:space="0" w:color="auto"/>
              <w:bottom w:val="single" w:sz="6" w:space="0" w:color="auto"/>
              <w:right w:val="single" w:sz="6" w:space="0" w:color="auto"/>
            </w:tcBorders>
          </w:tcPr>
          <w:p w14:paraId="68A52534" w14:textId="77777777" w:rsidR="00F253B2" w:rsidRDefault="00F253B2" w:rsidP="00F253B2">
            <w:pPr>
              <w:pStyle w:val="TAL"/>
              <w:rPr>
                <w:rFonts w:eastAsia="Batang"/>
              </w:rPr>
            </w:pPr>
            <w:r>
              <w:rPr>
                <w:rFonts w:eastAsia="Batang"/>
              </w:rPr>
              <w:t>Dispersion</w:t>
            </w:r>
          </w:p>
        </w:tc>
      </w:tr>
      <w:tr w:rsidR="00F253B2" w14:paraId="5B39B80A"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3545DE39" w14:textId="77777777" w:rsidR="00F253B2" w:rsidRDefault="00F253B2" w:rsidP="00F253B2">
            <w:pPr>
              <w:pStyle w:val="TAL"/>
              <w:rPr>
                <w:lang w:eastAsia="zh-CN"/>
              </w:rPr>
            </w:pPr>
            <w:r>
              <w:rPr>
                <w:lang w:eastAsia="zh-CN"/>
              </w:rPr>
              <w:t>DispersionInfo</w:t>
            </w:r>
          </w:p>
        </w:tc>
        <w:tc>
          <w:tcPr>
            <w:tcW w:w="1195" w:type="dxa"/>
            <w:gridSpan w:val="2"/>
            <w:tcBorders>
              <w:top w:val="single" w:sz="6" w:space="0" w:color="auto"/>
              <w:left w:val="single" w:sz="6" w:space="0" w:color="auto"/>
              <w:bottom w:val="single" w:sz="6" w:space="0" w:color="auto"/>
              <w:right w:val="single" w:sz="6" w:space="0" w:color="auto"/>
            </w:tcBorders>
          </w:tcPr>
          <w:p w14:paraId="546B0D64" w14:textId="77777777" w:rsidR="00F253B2" w:rsidRDefault="00F253B2" w:rsidP="00F253B2">
            <w:pPr>
              <w:pStyle w:val="TAL"/>
              <w:rPr>
                <w:lang w:eastAsia="zh-CN"/>
              </w:rPr>
            </w:pPr>
            <w:r>
              <w:rPr>
                <w:lang w:eastAsia="zh-CN"/>
              </w:rPr>
              <w:t>5.1.6.2.53</w:t>
            </w:r>
          </w:p>
        </w:tc>
        <w:tc>
          <w:tcPr>
            <w:tcW w:w="2132" w:type="dxa"/>
            <w:gridSpan w:val="2"/>
            <w:tcBorders>
              <w:top w:val="single" w:sz="6" w:space="0" w:color="auto"/>
              <w:left w:val="single" w:sz="6" w:space="0" w:color="auto"/>
              <w:bottom w:val="single" w:sz="6" w:space="0" w:color="auto"/>
              <w:right w:val="single" w:sz="6" w:space="0" w:color="auto"/>
            </w:tcBorders>
          </w:tcPr>
          <w:p w14:paraId="29EDA99E" w14:textId="77777777" w:rsidR="00F253B2" w:rsidRDefault="00F253B2" w:rsidP="00F253B2">
            <w:pPr>
              <w:pStyle w:val="TAL"/>
              <w:rPr>
                <w:lang w:eastAsia="zh-CN"/>
              </w:rPr>
            </w:pPr>
            <w:r>
              <w:rPr>
                <w:lang w:eastAsia="zh-CN"/>
              </w:rPr>
              <w:t>Dispersion analytics information.</w:t>
            </w:r>
          </w:p>
        </w:tc>
        <w:tc>
          <w:tcPr>
            <w:tcW w:w="2751" w:type="dxa"/>
            <w:gridSpan w:val="2"/>
            <w:tcBorders>
              <w:top w:val="single" w:sz="6" w:space="0" w:color="auto"/>
              <w:left w:val="single" w:sz="6" w:space="0" w:color="auto"/>
              <w:bottom w:val="single" w:sz="6" w:space="0" w:color="auto"/>
              <w:right w:val="single" w:sz="6" w:space="0" w:color="auto"/>
            </w:tcBorders>
          </w:tcPr>
          <w:p w14:paraId="1D90E8A5" w14:textId="77777777" w:rsidR="00F253B2" w:rsidRDefault="00F253B2" w:rsidP="00F253B2">
            <w:pPr>
              <w:pStyle w:val="TAL"/>
              <w:rPr>
                <w:rFonts w:eastAsia="Batang"/>
              </w:rPr>
            </w:pPr>
            <w:r>
              <w:rPr>
                <w:rFonts w:eastAsia="Batang"/>
              </w:rPr>
              <w:t>Dispersion</w:t>
            </w:r>
          </w:p>
        </w:tc>
      </w:tr>
      <w:tr w:rsidR="00F253B2" w14:paraId="12B8A2CB"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0563704" w14:textId="77777777" w:rsidR="00F253B2" w:rsidRDefault="00F253B2" w:rsidP="00F253B2">
            <w:pPr>
              <w:pStyle w:val="TAL"/>
              <w:rPr>
                <w:lang w:eastAsia="zh-CN"/>
              </w:rPr>
            </w:pPr>
            <w:r>
              <w:rPr>
                <w:lang w:eastAsia="zh-CN"/>
              </w:rPr>
              <w:t>DispersionRequirement</w:t>
            </w:r>
          </w:p>
        </w:tc>
        <w:tc>
          <w:tcPr>
            <w:tcW w:w="1195" w:type="dxa"/>
            <w:gridSpan w:val="2"/>
            <w:tcBorders>
              <w:top w:val="single" w:sz="6" w:space="0" w:color="auto"/>
              <w:left w:val="single" w:sz="6" w:space="0" w:color="auto"/>
              <w:bottom w:val="single" w:sz="6" w:space="0" w:color="auto"/>
              <w:right w:val="single" w:sz="6" w:space="0" w:color="auto"/>
            </w:tcBorders>
          </w:tcPr>
          <w:p w14:paraId="16897710" w14:textId="77777777" w:rsidR="00F253B2" w:rsidRDefault="00F253B2" w:rsidP="00F253B2">
            <w:pPr>
              <w:pStyle w:val="TAL"/>
              <w:rPr>
                <w:lang w:eastAsia="zh-CN"/>
              </w:rPr>
            </w:pPr>
            <w:r>
              <w:rPr>
                <w:lang w:eastAsia="zh-CN"/>
              </w:rPr>
              <w:t>5.1.6.2.50</w:t>
            </w:r>
          </w:p>
        </w:tc>
        <w:tc>
          <w:tcPr>
            <w:tcW w:w="2132" w:type="dxa"/>
            <w:gridSpan w:val="2"/>
            <w:tcBorders>
              <w:top w:val="single" w:sz="6" w:space="0" w:color="auto"/>
              <w:left w:val="single" w:sz="6" w:space="0" w:color="auto"/>
              <w:bottom w:val="single" w:sz="6" w:space="0" w:color="auto"/>
              <w:right w:val="single" w:sz="6" w:space="0" w:color="auto"/>
            </w:tcBorders>
          </w:tcPr>
          <w:p w14:paraId="32A955CA" w14:textId="77777777" w:rsidR="00F253B2" w:rsidRDefault="00F253B2" w:rsidP="00F253B2">
            <w:pPr>
              <w:pStyle w:val="TAL"/>
              <w:rPr>
                <w:lang w:eastAsia="zh-CN"/>
              </w:rPr>
            </w:pPr>
            <w:r>
              <w:rPr>
                <w:lang w:eastAsia="zh-CN"/>
              </w:rPr>
              <w:t>Dispersion analytics requirement.</w:t>
            </w:r>
          </w:p>
        </w:tc>
        <w:tc>
          <w:tcPr>
            <w:tcW w:w="2751" w:type="dxa"/>
            <w:gridSpan w:val="2"/>
            <w:tcBorders>
              <w:top w:val="single" w:sz="6" w:space="0" w:color="auto"/>
              <w:left w:val="single" w:sz="6" w:space="0" w:color="auto"/>
              <w:bottom w:val="single" w:sz="6" w:space="0" w:color="auto"/>
              <w:right w:val="single" w:sz="6" w:space="0" w:color="auto"/>
            </w:tcBorders>
          </w:tcPr>
          <w:p w14:paraId="254CE9F8" w14:textId="77777777" w:rsidR="00F253B2" w:rsidRDefault="00F253B2" w:rsidP="00F253B2">
            <w:pPr>
              <w:pStyle w:val="TAL"/>
              <w:rPr>
                <w:rFonts w:eastAsia="Batang"/>
              </w:rPr>
            </w:pPr>
            <w:r>
              <w:rPr>
                <w:rFonts w:eastAsia="Batang"/>
              </w:rPr>
              <w:t>Dispersion</w:t>
            </w:r>
          </w:p>
        </w:tc>
      </w:tr>
      <w:tr w:rsidR="00F253B2" w14:paraId="1F106FF1"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049F51A" w14:textId="77777777" w:rsidR="00F253B2" w:rsidRDefault="00F253B2" w:rsidP="00F253B2">
            <w:pPr>
              <w:pStyle w:val="TAL"/>
              <w:rPr>
                <w:lang w:eastAsia="zh-CN"/>
              </w:rPr>
            </w:pPr>
            <w:r>
              <w:rPr>
                <w:lang w:eastAsia="zh-CN"/>
              </w:rPr>
              <w:t>DispersionType</w:t>
            </w:r>
          </w:p>
        </w:tc>
        <w:tc>
          <w:tcPr>
            <w:tcW w:w="1195" w:type="dxa"/>
            <w:gridSpan w:val="2"/>
            <w:tcBorders>
              <w:top w:val="single" w:sz="6" w:space="0" w:color="auto"/>
              <w:left w:val="single" w:sz="6" w:space="0" w:color="auto"/>
              <w:bottom w:val="single" w:sz="6" w:space="0" w:color="auto"/>
              <w:right w:val="single" w:sz="6" w:space="0" w:color="auto"/>
            </w:tcBorders>
          </w:tcPr>
          <w:p w14:paraId="404CB87E" w14:textId="77777777" w:rsidR="00F253B2" w:rsidRDefault="00F253B2" w:rsidP="00F253B2">
            <w:pPr>
              <w:pStyle w:val="TAL"/>
              <w:rPr>
                <w:lang w:eastAsia="zh-CN"/>
              </w:rPr>
            </w:pPr>
            <w:r>
              <w:rPr>
                <w:lang w:eastAsia="zh-CN"/>
              </w:rPr>
              <w:t>5.1.6.3.19</w:t>
            </w:r>
          </w:p>
        </w:tc>
        <w:tc>
          <w:tcPr>
            <w:tcW w:w="2132" w:type="dxa"/>
            <w:gridSpan w:val="2"/>
            <w:tcBorders>
              <w:top w:val="single" w:sz="6" w:space="0" w:color="auto"/>
              <w:left w:val="single" w:sz="6" w:space="0" w:color="auto"/>
              <w:bottom w:val="single" w:sz="6" w:space="0" w:color="auto"/>
              <w:right w:val="single" w:sz="6" w:space="0" w:color="auto"/>
            </w:tcBorders>
          </w:tcPr>
          <w:p w14:paraId="5A4E8FA4" w14:textId="77777777" w:rsidR="00F253B2" w:rsidRDefault="00F253B2" w:rsidP="00F253B2">
            <w:pPr>
              <w:pStyle w:val="TAL"/>
              <w:rPr>
                <w:lang w:eastAsia="zh-CN"/>
              </w:rPr>
            </w:pPr>
            <w:r>
              <w:rPr>
                <w:lang w:eastAsia="zh-CN"/>
              </w:rPr>
              <w:t>Dispersion type.</w:t>
            </w:r>
          </w:p>
        </w:tc>
        <w:tc>
          <w:tcPr>
            <w:tcW w:w="2751" w:type="dxa"/>
            <w:gridSpan w:val="2"/>
            <w:tcBorders>
              <w:top w:val="single" w:sz="6" w:space="0" w:color="auto"/>
              <w:left w:val="single" w:sz="6" w:space="0" w:color="auto"/>
              <w:bottom w:val="single" w:sz="6" w:space="0" w:color="auto"/>
              <w:right w:val="single" w:sz="6" w:space="0" w:color="auto"/>
            </w:tcBorders>
          </w:tcPr>
          <w:p w14:paraId="12E96690" w14:textId="77777777" w:rsidR="00F253B2" w:rsidRDefault="00F253B2" w:rsidP="00F253B2">
            <w:pPr>
              <w:pStyle w:val="TAL"/>
              <w:rPr>
                <w:rFonts w:eastAsia="Batang"/>
              </w:rPr>
            </w:pPr>
            <w:r>
              <w:rPr>
                <w:rFonts w:eastAsia="Batang"/>
              </w:rPr>
              <w:t>Dispersion</w:t>
            </w:r>
          </w:p>
        </w:tc>
      </w:tr>
      <w:tr w:rsidR="00F253B2" w14:paraId="6B30EF5C"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4A32AEB" w14:textId="77777777" w:rsidR="00F253B2" w:rsidRDefault="00F253B2" w:rsidP="00F253B2">
            <w:pPr>
              <w:pStyle w:val="TAL"/>
              <w:rPr>
                <w:lang w:eastAsia="zh-CN"/>
              </w:rPr>
            </w:pPr>
            <w:r>
              <w:rPr>
                <w:lang w:eastAsia="zh-CN"/>
              </w:rPr>
              <w:t>DispersionOrderingCriterion</w:t>
            </w:r>
          </w:p>
        </w:tc>
        <w:tc>
          <w:tcPr>
            <w:tcW w:w="1195" w:type="dxa"/>
            <w:gridSpan w:val="2"/>
            <w:tcBorders>
              <w:top w:val="single" w:sz="6" w:space="0" w:color="auto"/>
              <w:left w:val="single" w:sz="6" w:space="0" w:color="auto"/>
              <w:bottom w:val="single" w:sz="6" w:space="0" w:color="auto"/>
              <w:right w:val="single" w:sz="6" w:space="0" w:color="auto"/>
            </w:tcBorders>
          </w:tcPr>
          <w:p w14:paraId="12B26652" w14:textId="77777777" w:rsidR="00F253B2" w:rsidRDefault="00F253B2" w:rsidP="00F253B2">
            <w:pPr>
              <w:pStyle w:val="TAL"/>
              <w:rPr>
                <w:lang w:eastAsia="zh-CN"/>
              </w:rPr>
            </w:pPr>
            <w:r>
              <w:rPr>
                <w:lang w:eastAsia="zh-CN"/>
              </w:rPr>
              <w:t>5.1.6.3.21</w:t>
            </w:r>
          </w:p>
        </w:tc>
        <w:tc>
          <w:tcPr>
            <w:tcW w:w="2132" w:type="dxa"/>
            <w:gridSpan w:val="2"/>
            <w:tcBorders>
              <w:top w:val="single" w:sz="6" w:space="0" w:color="auto"/>
              <w:left w:val="single" w:sz="6" w:space="0" w:color="auto"/>
              <w:bottom w:val="single" w:sz="6" w:space="0" w:color="auto"/>
              <w:right w:val="single" w:sz="6" w:space="0" w:color="auto"/>
            </w:tcBorders>
          </w:tcPr>
          <w:p w14:paraId="610C0F4F" w14:textId="77777777" w:rsidR="00F253B2" w:rsidRDefault="00F253B2" w:rsidP="00F253B2">
            <w:pPr>
              <w:pStyle w:val="TAL"/>
              <w:rPr>
                <w:lang w:eastAsia="zh-CN"/>
              </w:rPr>
            </w:pPr>
            <w:r>
              <w:rPr>
                <w:lang w:eastAsia="zh-CN"/>
              </w:rPr>
              <w:t>Ordering criterion for the list of Dispersion.</w:t>
            </w:r>
          </w:p>
        </w:tc>
        <w:tc>
          <w:tcPr>
            <w:tcW w:w="2751" w:type="dxa"/>
            <w:gridSpan w:val="2"/>
            <w:tcBorders>
              <w:top w:val="single" w:sz="6" w:space="0" w:color="auto"/>
              <w:left w:val="single" w:sz="6" w:space="0" w:color="auto"/>
              <w:bottom w:val="single" w:sz="6" w:space="0" w:color="auto"/>
              <w:right w:val="single" w:sz="6" w:space="0" w:color="auto"/>
            </w:tcBorders>
          </w:tcPr>
          <w:p w14:paraId="26B43A65" w14:textId="77777777" w:rsidR="00F253B2" w:rsidRDefault="00F253B2" w:rsidP="00F253B2">
            <w:pPr>
              <w:pStyle w:val="TAL"/>
              <w:rPr>
                <w:rFonts w:eastAsia="Batang"/>
              </w:rPr>
            </w:pPr>
            <w:r>
              <w:rPr>
                <w:rFonts w:eastAsia="Batang"/>
              </w:rPr>
              <w:t>Dispersion</w:t>
            </w:r>
          </w:p>
        </w:tc>
      </w:tr>
      <w:tr w:rsidR="00F253B2" w14:paraId="694E303C" w14:textId="77777777" w:rsidTr="00635E7C">
        <w:trPr>
          <w:gridAfter w:val="1"/>
          <w:wAfter w:w="85" w:type="dxa"/>
          <w:jc w:val="center"/>
        </w:trPr>
        <w:tc>
          <w:tcPr>
            <w:tcW w:w="3222" w:type="dxa"/>
            <w:gridSpan w:val="2"/>
          </w:tcPr>
          <w:p w14:paraId="4F5B7EE1" w14:textId="77777777" w:rsidR="00F253B2" w:rsidRDefault="00F253B2" w:rsidP="00F253B2">
            <w:pPr>
              <w:pStyle w:val="TAL"/>
            </w:pPr>
            <w:r>
              <w:t>DnPerf</w:t>
            </w:r>
          </w:p>
        </w:tc>
        <w:tc>
          <w:tcPr>
            <w:tcW w:w="1195" w:type="dxa"/>
            <w:gridSpan w:val="2"/>
          </w:tcPr>
          <w:p w14:paraId="041F4B4B" w14:textId="77777777" w:rsidR="00F253B2" w:rsidRDefault="00F253B2" w:rsidP="00F253B2">
            <w:pPr>
              <w:pStyle w:val="TAL"/>
              <w:rPr>
                <w:lang w:eastAsia="zh-CN"/>
              </w:rPr>
            </w:pPr>
            <w:r>
              <w:t>5.1.6.2.46</w:t>
            </w:r>
          </w:p>
        </w:tc>
        <w:tc>
          <w:tcPr>
            <w:tcW w:w="2132" w:type="dxa"/>
            <w:gridSpan w:val="2"/>
          </w:tcPr>
          <w:p w14:paraId="3F982FA6" w14:textId="77777777" w:rsidR="00F253B2" w:rsidRDefault="00F253B2" w:rsidP="00F253B2">
            <w:pPr>
              <w:pStyle w:val="TAL"/>
              <w:rPr>
                <w:lang w:eastAsia="ko-KR"/>
              </w:rPr>
            </w:pPr>
            <w:r>
              <w:t>Represents DN performance information.</w:t>
            </w:r>
          </w:p>
        </w:tc>
        <w:tc>
          <w:tcPr>
            <w:tcW w:w="2751" w:type="dxa"/>
            <w:gridSpan w:val="2"/>
          </w:tcPr>
          <w:p w14:paraId="4C68BE02" w14:textId="77777777" w:rsidR="00F253B2" w:rsidRDefault="00F253B2" w:rsidP="00F253B2">
            <w:pPr>
              <w:pStyle w:val="TAL"/>
            </w:pPr>
            <w:r>
              <w:rPr>
                <w:rFonts w:hint="eastAsia"/>
                <w:lang w:eastAsia="zh-CN"/>
              </w:rPr>
              <w:t>Dn</w:t>
            </w:r>
            <w:r>
              <w:t>Performance</w:t>
            </w:r>
          </w:p>
        </w:tc>
      </w:tr>
      <w:tr w:rsidR="00F253B2" w14:paraId="17263550" w14:textId="77777777" w:rsidTr="00635E7C">
        <w:trPr>
          <w:gridAfter w:val="1"/>
          <w:wAfter w:w="85" w:type="dxa"/>
          <w:jc w:val="center"/>
        </w:trPr>
        <w:tc>
          <w:tcPr>
            <w:tcW w:w="3222" w:type="dxa"/>
            <w:gridSpan w:val="2"/>
          </w:tcPr>
          <w:p w14:paraId="779D6202" w14:textId="77777777" w:rsidR="00F253B2" w:rsidRDefault="00F253B2" w:rsidP="00F253B2">
            <w:pPr>
              <w:pStyle w:val="TAL"/>
            </w:pPr>
            <w:r>
              <w:t>DnPerfInfo</w:t>
            </w:r>
          </w:p>
        </w:tc>
        <w:tc>
          <w:tcPr>
            <w:tcW w:w="1195" w:type="dxa"/>
            <w:gridSpan w:val="2"/>
          </w:tcPr>
          <w:p w14:paraId="6BC5DC5D" w14:textId="77777777" w:rsidR="00F253B2" w:rsidRDefault="00F253B2" w:rsidP="00F253B2">
            <w:pPr>
              <w:pStyle w:val="TAL"/>
              <w:rPr>
                <w:lang w:eastAsia="zh-CN"/>
              </w:rPr>
            </w:pPr>
            <w:r>
              <w:t>5.1.6.2.45</w:t>
            </w:r>
          </w:p>
        </w:tc>
        <w:tc>
          <w:tcPr>
            <w:tcW w:w="2132" w:type="dxa"/>
            <w:gridSpan w:val="2"/>
          </w:tcPr>
          <w:p w14:paraId="20A3BC85" w14:textId="77777777" w:rsidR="00F253B2" w:rsidRDefault="00F253B2" w:rsidP="00F253B2">
            <w:pPr>
              <w:pStyle w:val="TAL"/>
              <w:rPr>
                <w:lang w:eastAsia="ko-KR"/>
              </w:rPr>
            </w:pPr>
            <w:r>
              <w:t xml:space="preserve">Represents </w:t>
            </w:r>
            <w:r>
              <w:rPr>
                <w:lang w:eastAsia="zh-CN"/>
              </w:rPr>
              <w:t>DN performances for the application.</w:t>
            </w:r>
          </w:p>
        </w:tc>
        <w:tc>
          <w:tcPr>
            <w:tcW w:w="2751" w:type="dxa"/>
            <w:gridSpan w:val="2"/>
          </w:tcPr>
          <w:p w14:paraId="448400F9" w14:textId="77777777" w:rsidR="00F253B2" w:rsidRDefault="00F253B2" w:rsidP="00F253B2">
            <w:pPr>
              <w:pStyle w:val="TAL"/>
            </w:pPr>
            <w:r>
              <w:rPr>
                <w:rFonts w:hint="eastAsia"/>
                <w:lang w:eastAsia="zh-CN"/>
              </w:rPr>
              <w:t>Dn</w:t>
            </w:r>
            <w:r>
              <w:t>Performance</w:t>
            </w:r>
          </w:p>
        </w:tc>
      </w:tr>
      <w:tr w:rsidR="00F253B2" w14:paraId="712158C2" w14:textId="77777777" w:rsidTr="00635E7C">
        <w:trPr>
          <w:gridAfter w:val="1"/>
          <w:wAfter w:w="85" w:type="dxa"/>
          <w:jc w:val="center"/>
        </w:trPr>
        <w:tc>
          <w:tcPr>
            <w:tcW w:w="3222" w:type="dxa"/>
            <w:gridSpan w:val="2"/>
          </w:tcPr>
          <w:p w14:paraId="2FD80446" w14:textId="77777777" w:rsidR="00F253B2" w:rsidRDefault="00F253B2" w:rsidP="00F253B2">
            <w:pPr>
              <w:pStyle w:val="TAL"/>
            </w:pPr>
            <w:r>
              <w:rPr>
                <w:lang w:eastAsia="zh-CN"/>
              </w:rPr>
              <w:t>DnPerfOrderingCriterion</w:t>
            </w:r>
          </w:p>
        </w:tc>
        <w:tc>
          <w:tcPr>
            <w:tcW w:w="1195" w:type="dxa"/>
            <w:gridSpan w:val="2"/>
          </w:tcPr>
          <w:p w14:paraId="0D28AC7A" w14:textId="77777777" w:rsidR="00F253B2" w:rsidRDefault="00F253B2" w:rsidP="00F253B2">
            <w:pPr>
              <w:pStyle w:val="TAL"/>
            </w:pPr>
            <w:r>
              <w:rPr>
                <w:rFonts w:hint="eastAsia"/>
                <w:lang w:eastAsia="zh-CN"/>
              </w:rPr>
              <w:t>5.1.6.3.25</w:t>
            </w:r>
          </w:p>
        </w:tc>
        <w:tc>
          <w:tcPr>
            <w:tcW w:w="2132" w:type="dxa"/>
            <w:gridSpan w:val="2"/>
          </w:tcPr>
          <w:p w14:paraId="6C6D7CE4" w14:textId="77777777" w:rsidR="00F253B2" w:rsidRDefault="00F253B2" w:rsidP="00F253B2">
            <w:pPr>
              <w:pStyle w:val="TAL"/>
            </w:pPr>
            <w:r>
              <w:rPr>
                <w:lang w:eastAsia="ko-KR"/>
              </w:rPr>
              <w:t xml:space="preserve">Ordering criterion for the list of </w:t>
            </w:r>
            <w:r>
              <w:t>DN performance</w:t>
            </w:r>
            <w:r>
              <w:rPr>
                <w:lang w:eastAsia="ko-KR"/>
              </w:rPr>
              <w:t xml:space="preserve"> analytics.</w:t>
            </w:r>
          </w:p>
        </w:tc>
        <w:tc>
          <w:tcPr>
            <w:tcW w:w="2751" w:type="dxa"/>
            <w:gridSpan w:val="2"/>
          </w:tcPr>
          <w:p w14:paraId="3F5D15FD" w14:textId="77777777" w:rsidR="00F253B2" w:rsidRDefault="00F253B2" w:rsidP="00F253B2">
            <w:pPr>
              <w:pStyle w:val="TAL"/>
              <w:rPr>
                <w:lang w:eastAsia="zh-CN"/>
              </w:rPr>
            </w:pPr>
            <w:r>
              <w:rPr>
                <w:rFonts w:hint="eastAsia"/>
                <w:lang w:eastAsia="zh-CN"/>
              </w:rPr>
              <w:t>Dn</w:t>
            </w:r>
            <w:r>
              <w:t>Performance</w:t>
            </w:r>
          </w:p>
        </w:tc>
      </w:tr>
      <w:tr w:rsidR="00F253B2" w14:paraId="20720A22" w14:textId="77777777" w:rsidTr="00635E7C">
        <w:trPr>
          <w:gridAfter w:val="1"/>
          <w:wAfter w:w="85" w:type="dxa"/>
          <w:jc w:val="center"/>
        </w:trPr>
        <w:tc>
          <w:tcPr>
            <w:tcW w:w="3222" w:type="dxa"/>
            <w:gridSpan w:val="2"/>
          </w:tcPr>
          <w:p w14:paraId="2757001E" w14:textId="77777777" w:rsidR="00F253B2" w:rsidRDefault="00F253B2" w:rsidP="00F253B2">
            <w:pPr>
              <w:pStyle w:val="TAL"/>
            </w:pPr>
            <w:r>
              <w:rPr>
                <w:rFonts w:eastAsia="等线"/>
              </w:rPr>
              <w:t>DnPerformanceReq</w:t>
            </w:r>
          </w:p>
        </w:tc>
        <w:tc>
          <w:tcPr>
            <w:tcW w:w="1195" w:type="dxa"/>
            <w:gridSpan w:val="2"/>
          </w:tcPr>
          <w:p w14:paraId="4FAC3944" w14:textId="77777777" w:rsidR="00F253B2" w:rsidRDefault="00F253B2" w:rsidP="00F253B2">
            <w:pPr>
              <w:pStyle w:val="TAL"/>
            </w:pPr>
            <w:r>
              <w:rPr>
                <w:rFonts w:hint="eastAsia"/>
                <w:lang w:eastAsia="zh-CN"/>
              </w:rPr>
              <w:t>5.1.6.2.66</w:t>
            </w:r>
          </w:p>
        </w:tc>
        <w:tc>
          <w:tcPr>
            <w:tcW w:w="2132" w:type="dxa"/>
            <w:gridSpan w:val="2"/>
          </w:tcPr>
          <w:p w14:paraId="1D1DD2A7" w14:textId="77777777" w:rsidR="00F253B2" w:rsidRDefault="00F253B2" w:rsidP="00F253B2">
            <w:pPr>
              <w:pStyle w:val="TAL"/>
            </w:pPr>
            <w:r>
              <w:t>Represents DN performance</w:t>
            </w:r>
            <w:r>
              <w:rPr>
                <w:lang w:eastAsia="ko-KR"/>
              </w:rPr>
              <w:t xml:space="preserve"> analytics requirement.</w:t>
            </w:r>
          </w:p>
        </w:tc>
        <w:tc>
          <w:tcPr>
            <w:tcW w:w="2751" w:type="dxa"/>
            <w:gridSpan w:val="2"/>
          </w:tcPr>
          <w:p w14:paraId="1C270831" w14:textId="77777777" w:rsidR="00F253B2" w:rsidRDefault="00F253B2" w:rsidP="00F253B2">
            <w:pPr>
              <w:pStyle w:val="TAL"/>
              <w:rPr>
                <w:lang w:eastAsia="zh-CN"/>
              </w:rPr>
            </w:pPr>
            <w:r>
              <w:rPr>
                <w:rFonts w:hint="eastAsia"/>
                <w:lang w:eastAsia="zh-CN"/>
              </w:rPr>
              <w:t>Dn</w:t>
            </w:r>
            <w:r>
              <w:t>Performance</w:t>
            </w:r>
          </w:p>
        </w:tc>
      </w:tr>
      <w:tr w:rsidR="00F253B2" w14:paraId="389A0833" w14:textId="77777777" w:rsidTr="00635E7C">
        <w:trPr>
          <w:gridAfter w:val="1"/>
          <w:wAfter w:w="85" w:type="dxa"/>
          <w:jc w:val="center"/>
        </w:trPr>
        <w:tc>
          <w:tcPr>
            <w:tcW w:w="3222" w:type="dxa"/>
            <w:gridSpan w:val="2"/>
          </w:tcPr>
          <w:p w14:paraId="51FB7505" w14:textId="77777777" w:rsidR="00F253B2" w:rsidRDefault="00F253B2" w:rsidP="00F253B2">
            <w:pPr>
              <w:pStyle w:val="TAL"/>
            </w:pPr>
            <w:r>
              <w:rPr>
                <w:lang w:eastAsia="zh-CN"/>
              </w:rPr>
              <w:t>E2eDataVolTransTimeCriterion</w:t>
            </w:r>
          </w:p>
        </w:tc>
        <w:tc>
          <w:tcPr>
            <w:tcW w:w="1195" w:type="dxa"/>
            <w:gridSpan w:val="2"/>
          </w:tcPr>
          <w:p w14:paraId="36C52346" w14:textId="77777777" w:rsidR="00F253B2" w:rsidRDefault="00F253B2" w:rsidP="00F253B2">
            <w:pPr>
              <w:pStyle w:val="TAL"/>
              <w:rPr>
                <w:lang w:eastAsia="zh-CN"/>
              </w:rPr>
            </w:pPr>
            <w:r>
              <w:rPr>
                <w:lang w:eastAsia="zh-CN"/>
              </w:rPr>
              <w:t>5.1.6.3.35</w:t>
            </w:r>
          </w:p>
        </w:tc>
        <w:tc>
          <w:tcPr>
            <w:tcW w:w="2132" w:type="dxa"/>
            <w:gridSpan w:val="2"/>
          </w:tcPr>
          <w:p w14:paraId="43E701D5" w14:textId="77777777" w:rsidR="00F253B2" w:rsidRDefault="00F253B2" w:rsidP="00F253B2">
            <w:pPr>
              <w:pStyle w:val="TAL"/>
              <w:rPr>
                <w:lang w:eastAsia="ko-KR"/>
              </w:rPr>
            </w:pPr>
            <w:r>
              <w:rPr>
                <w:lang w:eastAsia="ko-KR"/>
              </w:rPr>
              <w:t xml:space="preserve">Ordering criterion for the list of </w:t>
            </w:r>
            <w:r>
              <w:t>E2E data volume transfer time.</w:t>
            </w:r>
          </w:p>
        </w:tc>
        <w:tc>
          <w:tcPr>
            <w:tcW w:w="2751" w:type="dxa"/>
            <w:gridSpan w:val="2"/>
          </w:tcPr>
          <w:p w14:paraId="103E1436" w14:textId="77777777" w:rsidR="00F253B2" w:rsidRDefault="00F253B2" w:rsidP="00F253B2">
            <w:pPr>
              <w:pStyle w:val="TAL"/>
            </w:pPr>
            <w:r>
              <w:rPr>
                <w:lang w:eastAsia="zh-CN"/>
              </w:rPr>
              <w:t>E2eDataVolTransTime</w:t>
            </w:r>
          </w:p>
        </w:tc>
      </w:tr>
      <w:tr w:rsidR="00F253B2" w14:paraId="3CA182D5" w14:textId="77777777" w:rsidTr="00635E7C">
        <w:trPr>
          <w:gridAfter w:val="1"/>
          <w:wAfter w:w="85" w:type="dxa"/>
          <w:jc w:val="center"/>
        </w:trPr>
        <w:tc>
          <w:tcPr>
            <w:tcW w:w="3222" w:type="dxa"/>
            <w:gridSpan w:val="2"/>
          </w:tcPr>
          <w:p w14:paraId="0839694B" w14:textId="77777777" w:rsidR="00F253B2" w:rsidRDefault="00F253B2" w:rsidP="00F253B2">
            <w:pPr>
              <w:pStyle w:val="TAL"/>
            </w:pPr>
            <w:r>
              <w:rPr>
                <w:lang w:eastAsia="zh-CN"/>
              </w:rPr>
              <w:t>E2eDataVolTransTimeInfo</w:t>
            </w:r>
          </w:p>
        </w:tc>
        <w:tc>
          <w:tcPr>
            <w:tcW w:w="1195" w:type="dxa"/>
            <w:gridSpan w:val="2"/>
          </w:tcPr>
          <w:p w14:paraId="1D8910C7" w14:textId="77777777" w:rsidR="00F253B2" w:rsidRDefault="00F253B2" w:rsidP="00F253B2">
            <w:pPr>
              <w:pStyle w:val="TAL"/>
              <w:rPr>
                <w:lang w:eastAsia="zh-CN"/>
              </w:rPr>
            </w:pPr>
            <w:r>
              <w:rPr>
                <w:lang w:eastAsia="zh-CN"/>
              </w:rPr>
              <w:t>5.1.6.2.83</w:t>
            </w:r>
          </w:p>
        </w:tc>
        <w:tc>
          <w:tcPr>
            <w:tcW w:w="2132" w:type="dxa"/>
            <w:gridSpan w:val="2"/>
          </w:tcPr>
          <w:p w14:paraId="2E55746A" w14:textId="77777777" w:rsidR="00F253B2" w:rsidRDefault="00F253B2" w:rsidP="00F253B2">
            <w:pPr>
              <w:pStyle w:val="TAL"/>
              <w:rPr>
                <w:lang w:eastAsia="ko-KR"/>
              </w:rPr>
            </w:pPr>
            <w:r>
              <w:t>Represents the E2E data volume transfer time Information.</w:t>
            </w:r>
          </w:p>
        </w:tc>
        <w:tc>
          <w:tcPr>
            <w:tcW w:w="2751" w:type="dxa"/>
            <w:gridSpan w:val="2"/>
          </w:tcPr>
          <w:p w14:paraId="1F5FE359" w14:textId="77777777" w:rsidR="00F253B2" w:rsidRDefault="00F253B2" w:rsidP="00F253B2">
            <w:pPr>
              <w:pStyle w:val="TAL"/>
            </w:pPr>
            <w:r>
              <w:rPr>
                <w:lang w:eastAsia="zh-CN"/>
              </w:rPr>
              <w:t>E2eDataVolTransTime</w:t>
            </w:r>
          </w:p>
        </w:tc>
      </w:tr>
      <w:tr w:rsidR="00F253B2" w14:paraId="57F626FC" w14:textId="77777777" w:rsidTr="00635E7C">
        <w:trPr>
          <w:gridAfter w:val="1"/>
          <w:wAfter w:w="85" w:type="dxa"/>
          <w:jc w:val="center"/>
        </w:trPr>
        <w:tc>
          <w:tcPr>
            <w:tcW w:w="3222" w:type="dxa"/>
            <w:gridSpan w:val="2"/>
          </w:tcPr>
          <w:p w14:paraId="1B24F362" w14:textId="77777777" w:rsidR="00F253B2" w:rsidRDefault="00F253B2" w:rsidP="00F253B2">
            <w:pPr>
              <w:pStyle w:val="TAL"/>
            </w:pPr>
            <w:r>
              <w:rPr>
                <w:lang w:eastAsia="zh-CN"/>
              </w:rPr>
              <w:t>E2eDataVolTransTimeReq</w:t>
            </w:r>
          </w:p>
        </w:tc>
        <w:tc>
          <w:tcPr>
            <w:tcW w:w="1195" w:type="dxa"/>
            <w:gridSpan w:val="2"/>
          </w:tcPr>
          <w:p w14:paraId="7399AD72" w14:textId="77777777" w:rsidR="00F253B2" w:rsidRDefault="00F253B2" w:rsidP="00F253B2">
            <w:pPr>
              <w:pStyle w:val="TAL"/>
              <w:rPr>
                <w:lang w:eastAsia="zh-CN"/>
              </w:rPr>
            </w:pPr>
            <w:r>
              <w:rPr>
                <w:lang w:eastAsia="zh-CN"/>
              </w:rPr>
              <w:t>5.1.6.2.82</w:t>
            </w:r>
          </w:p>
        </w:tc>
        <w:tc>
          <w:tcPr>
            <w:tcW w:w="2132" w:type="dxa"/>
            <w:gridSpan w:val="2"/>
          </w:tcPr>
          <w:p w14:paraId="699FED1E" w14:textId="77777777" w:rsidR="00F253B2" w:rsidRDefault="00F253B2" w:rsidP="00F253B2">
            <w:pPr>
              <w:pStyle w:val="TAL"/>
              <w:rPr>
                <w:lang w:eastAsia="ko-KR"/>
              </w:rPr>
            </w:pPr>
            <w:r>
              <w:t>Represents the E2E data volume transfer time requirement.</w:t>
            </w:r>
          </w:p>
        </w:tc>
        <w:tc>
          <w:tcPr>
            <w:tcW w:w="2751" w:type="dxa"/>
            <w:gridSpan w:val="2"/>
          </w:tcPr>
          <w:p w14:paraId="375877BC" w14:textId="77777777" w:rsidR="00F253B2" w:rsidRDefault="00F253B2" w:rsidP="00F253B2">
            <w:pPr>
              <w:pStyle w:val="TAL"/>
            </w:pPr>
            <w:r>
              <w:rPr>
                <w:lang w:eastAsia="zh-CN"/>
              </w:rPr>
              <w:t>E2eDataVolTransTime</w:t>
            </w:r>
          </w:p>
        </w:tc>
      </w:tr>
      <w:tr w:rsidR="00F253B2" w14:paraId="198CC010" w14:textId="77777777" w:rsidTr="00635E7C">
        <w:trPr>
          <w:gridAfter w:val="1"/>
          <w:wAfter w:w="85" w:type="dxa"/>
          <w:jc w:val="center"/>
        </w:trPr>
        <w:tc>
          <w:tcPr>
            <w:tcW w:w="3222" w:type="dxa"/>
            <w:gridSpan w:val="2"/>
          </w:tcPr>
          <w:p w14:paraId="19427A86" w14:textId="77777777" w:rsidR="00F253B2" w:rsidRDefault="00F253B2" w:rsidP="00F253B2">
            <w:pPr>
              <w:pStyle w:val="TAL"/>
            </w:pPr>
            <w:r>
              <w:rPr>
                <w:lang w:eastAsia="zh-CN"/>
              </w:rPr>
              <w:t>E2eDataVolTransTimePerTS</w:t>
            </w:r>
          </w:p>
        </w:tc>
        <w:tc>
          <w:tcPr>
            <w:tcW w:w="1195" w:type="dxa"/>
            <w:gridSpan w:val="2"/>
          </w:tcPr>
          <w:p w14:paraId="26632C84" w14:textId="77777777" w:rsidR="00F253B2" w:rsidRDefault="00F253B2" w:rsidP="00F253B2">
            <w:pPr>
              <w:pStyle w:val="TAL"/>
              <w:rPr>
                <w:lang w:eastAsia="zh-CN"/>
              </w:rPr>
            </w:pPr>
            <w:r>
              <w:rPr>
                <w:lang w:eastAsia="zh-CN"/>
              </w:rPr>
              <w:t>5.1.6.2.84</w:t>
            </w:r>
          </w:p>
        </w:tc>
        <w:tc>
          <w:tcPr>
            <w:tcW w:w="2132" w:type="dxa"/>
            <w:gridSpan w:val="2"/>
          </w:tcPr>
          <w:p w14:paraId="45AF8285" w14:textId="77777777" w:rsidR="00F253B2" w:rsidRDefault="00F253B2" w:rsidP="00F253B2">
            <w:pPr>
              <w:pStyle w:val="TAL"/>
              <w:rPr>
                <w:lang w:eastAsia="ko-KR"/>
              </w:rPr>
            </w:pPr>
            <w:r>
              <w:t>Represents the E2E data volume transfer time requirement per Time slot.</w:t>
            </w:r>
          </w:p>
        </w:tc>
        <w:tc>
          <w:tcPr>
            <w:tcW w:w="2751" w:type="dxa"/>
            <w:gridSpan w:val="2"/>
          </w:tcPr>
          <w:p w14:paraId="792EF57D" w14:textId="77777777" w:rsidR="00F253B2" w:rsidRDefault="00F253B2" w:rsidP="00F253B2">
            <w:pPr>
              <w:pStyle w:val="TAL"/>
            </w:pPr>
            <w:r>
              <w:rPr>
                <w:lang w:eastAsia="zh-CN"/>
              </w:rPr>
              <w:t>E2eDataVolTransTime</w:t>
            </w:r>
          </w:p>
        </w:tc>
      </w:tr>
      <w:tr w:rsidR="00F253B2" w14:paraId="77E0BB6A" w14:textId="77777777" w:rsidTr="00635E7C">
        <w:trPr>
          <w:gridAfter w:val="1"/>
          <w:wAfter w:w="85" w:type="dxa"/>
          <w:jc w:val="center"/>
        </w:trPr>
        <w:tc>
          <w:tcPr>
            <w:tcW w:w="3222" w:type="dxa"/>
            <w:gridSpan w:val="2"/>
          </w:tcPr>
          <w:p w14:paraId="47B0DED5" w14:textId="77777777" w:rsidR="00F253B2" w:rsidRDefault="00F253B2" w:rsidP="00F253B2">
            <w:pPr>
              <w:pStyle w:val="TAL"/>
            </w:pPr>
            <w:r>
              <w:rPr>
                <w:lang w:eastAsia="zh-CN"/>
              </w:rPr>
              <w:t>E2eDataVolTransTimePerUe</w:t>
            </w:r>
          </w:p>
        </w:tc>
        <w:tc>
          <w:tcPr>
            <w:tcW w:w="1195" w:type="dxa"/>
            <w:gridSpan w:val="2"/>
          </w:tcPr>
          <w:p w14:paraId="676173FC" w14:textId="77777777" w:rsidR="00F253B2" w:rsidRDefault="00F253B2" w:rsidP="00F253B2">
            <w:pPr>
              <w:pStyle w:val="TAL"/>
              <w:rPr>
                <w:lang w:eastAsia="zh-CN"/>
              </w:rPr>
            </w:pPr>
            <w:r>
              <w:rPr>
                <w:lang w:eastAsia="zh-CN"/>
              </w:rPr>
              <w:t>5.1.6.2.86</w:t>
            </w:r>
          </w:p>
        </w:tc>
        <w:tc>
          <w:tcPr>
            <w:tcW w:w="2132" w:type="dxa"/>
            <w:gridSpan w:val="2"/>
          </w:tcPr>
          <w:p w14:paraId="20AB65E3" w14:textId="77777777" w:rsidR="00F253B2" w:rsidRDefault="00F253B2" w:rsidP="00F253B2">
            <w:pPr>
              <w:pStyle w:val="TAL"/>
              <w:rPr>
                <w:lang w:eastAsia="ko-KR"/>
              </w:rPr>
            </w:pPr>
            <w:r>
              <w:t>Represents the E2E data volume transfer time per UE.</w:t>
            </w:r>
          </w:p>
        </w:tc>
        <w:tc>
          <w:tcPr>
            <w:tcW w:w="2751" w:type="dxa"/>
            <w:gridSpan w:val="2"/>
          </w:tcPr>
          <w:p w14:paraId="6A70790C" w14:textId="77777777" w:rsidR="00F253B2" w:rsidRDefault="00F253B2" w:rsidP="00F253B2">
            <w:pPr>
              <w:pStyle w:val="TAL"/>
            </w:pPr>
            <w:r>
              <w:rPr>
                <w:lang w:eastAsia="zh-CN"/>
              </w:rPr>
              <w:t>E2eDataVolTransTime</w:t>
            </w:r>
          </w:p>
        </w:tc>
      </w:tr>
      <w:tr w:rsidR="00F253B2" w14:paraId="55B378FD" w14:textId="77777777" w:rsidTr="00635E7C">
        <w:trPr>
          <w:gridAfter w:val="1"/>
          <w:wAfter w:w="85" w:type="dxa"/>
          <w:jc w:val="center"/>
        </w:trPr>
        <w:tc>
          <w:tcPr>
            <w:tcW w:w="3222" w:type="dxa"/>
            <w:gridSpan w:val="2"/>
          </w:tcPr>
          <w:p w14:paraId="0382CD98" w14:textId="77777777" w:rsidR="00F253B2" w:rsidRDefault="00F253B2" w:rsidP="00F253B2">
            <w:pPr>
              <w:pStyle w:val="TAL"/>
            </w:pPr>
            <w:r>
              <w:rPr>
                <w:lang w:eastAsia="zh-CN"/>
              </w:rPr>
              <w:t>E2eDataVolTransTime</w:t>
            </w:r>
            <w:r>
              <w:t>UeList</w:t>
            </w:r>
          </w:p>
        </w:tc>
        <w:tc>
          <w:tcPr>
            <w:tcW w:w="1195" w:type="dxa"/>
            <w:gridSpan w:val="2"/>
          </w:tcPr>
          <w:p w14:paraId="4C15EBE7" w14:textId="77777777" w:rsidR="00F253B2" w:rsidRDefault="00F253B2" w:rsidP="00F253B2">
            <w:pPr>
              <w:pStyle w:val="TAL"/>
              <w:rPr>
                <w:lang w:eastAsia="zh-CN"/>
              </w:rPr>
            </w:pPr>
            <w:r>
              <w:rPr>
                <w:lang w:eastAsia="zh-CN"/>
              </w:rPr>
              <w:t>5.1.6.2.87</w:t>
            </w:r>
          </w:p>
        </w:tc>
        <w:tc>
          <w:tcPr>
            <w:tcW w:w="2132" w:type="dxa"/>
            <w:gridSpan w:val="2"/>
          </w:tcPr>
          <w:p w14:paraId="0007D2CA" w14:textId="77777777" w:rsidR="00F253B2" w:rsidRDefault="00F253B2" w:rsidP="00F253B2">
            <w:pPr>
              <w:pStyle w:val="TAL"/>
              <w:rPr>
                <w:lang w:eastAsia="ko-KR"/>
              </w:rPr>
            </w:pPr>
            <w:r>
              <w:t>Represents the E2E data volume transfer time per UE list.</w:t>
            </w:r>
          </w:p>
        </w:tc>
        <w:tc>
          <w:tcPr>
            <w:tcW w:w="2751" w:type="dxa"/>
            <w:gridSpan w:val="2"/>
          </w:tcPr>
          <w:p w14:paraId="472E4901" w14:textId="77777777" w:rsidR="00F253B2" w:rsidRDefault="00F253B2" w:rsidP="00F253B2">
            <w:pPr>
              <w:pStyle w:val="TAL"/>
            </w:pPr>
            <w:r>
              <w:rPr>
                <w:lang w:eastAsia="zh-CN"/>
              </w:rPr>
              <w:t>E2eDataVolTransTime</w:t>
            </w:r>
          </w:p>
        </w:tc>
      </w:tr>
      <w:tr w:rsidR="00F253B2" w14:paraId="64F4F98D" w14:textId="77777777" w:rsidTr="00635E7C">
        <w:trPr>
          <w:gridAfter w:val="1"/>
          <w:wAfter w:w="85" w:type="dxa"/>
          <w:jc w:val="center"/>
        </w:trPr>
        <w:tc>
          <w:tcPr>
            <w:tcW w:w="3222" w:type="dxa"/>
            <w:gridSpan w:val="2"/>
          </w:tcPr>
          <w:p w14:paraId="61357047" w14:textId="77777777" w:rsidR="00F253B2" w:rsidRDefault="00F253B2" w:rsidP="00F253B2">
            <w:pPr>
              <w:pStyle w:val="TAL"/>
            </w:pPr>
            <w:r>
              <w:rPr>
                <w:lang w:eastAsia="zh-CN"/>
              </w:rPr>
              <w:t>EventNotification</w:t>
            </w:r>
          </w:p>
        </w:tc>
        <w:tc>
          <w:tcPr>
            <w:tcW w:w="1195" w:type="dxa"/>
            <w:gridSpan w:val="2"/>
          </w:tcPr>
          <w:p w14:paraId="5A2142FC" w14:textId="77777777" w:rsidR="00F253B2" w:rsidRDefault="00F253B2" w:rsidP="00F253B2">
            <w:pPr>
              <w:pStyle w:val="TAL"/>
            </w:pPr>
            <w:r>
              <w:rPr>
                <w:lang w:eastAsia="zh-CN"/>
              </w:rPr>
              <w:t>5.1.6.2.5</w:t>
            </w:r>
          </w:p>
        </w:tc>
        <w:tc>
          <w:tcPr>
            <w:tcW w:w="2132" w:type="dxa"/>
            <w:gridSpan w:val="2"/>
          </w:tcPr>
          <w:p w14:paraId="4913ACAA" w14:textId="77777777" w:rsidR="00F253B2" w:rsidRDefault="00F253B2" w:rsidP="00F253B2">
            <w:pPr>
              <w:pStyle w:val="TAL"/>
              <w:rPr>
                <w:rFonts w:cs="Arial"/>
                <w:szCs w:val="18"/>
              </w:rPr>
            </w:pPr>
            <w:r>
              <w:rPr>
                <w:lang w:eastAsia="zh-CN"/>
              </w:rPr>
              <w:t>Describes Notifications about events that occurred.</w:t>
            </w:r>
          </w:p>
        </w:tc>
        <w:tc>
          <w:tcPr>
            <w:tcW w:w="2751" w:type="dxa"/>
            <w:gridSpan w:val="2"/>
          </w:tcPr>
          <w:p w14:paraId="12D3DDE9" w14:textId="77777777" w:rsidR="00F253B2" w:rsidRDefault="00F253B2" w:rsidP="00F253B2">
            <w:pPr>
              <w:pStyle w:val="TAL"/>
              <w:rPr>
                <w:rFonts w:cs="Arial"/>
                <w:szCs w:val="18"/>
              </w:rPr>
            </w:pPr>
          </w:p>
        </w:tc>
      </w:tr>
      <w:tr w:rsidR="00F253B2" w14:paraId="362CBB6E" w14:textId="77777777" w:rsidTr="00635E7C">
        <w:trPr>
          <w:gridAfter w:val="1"/>
          <w:wAfter w:w="85" w:type="dxa"/>
          <w:jc w:val="center"/>
        </w:trPr>
        <w:tc>
          <w:tcPr>
            <w:tcW w:w="3222" w:type="dxa"/>
            <w:gridSpan w:val="2"/>
          </w:tcPr>
          <w:p w14:paraId="2516821F" w14:textId="77777777" w:rsidR="00F253B2" w:rsidRDefault="00F253B2" w:rsidP="00F253B2">
            <w:pPr>
              <w:pStyle w:val="TAL"/>
              <w:rPr>
                <w:lang w:eastAsia="zh-CN"/>
              </w:rPr>
            </w:pPr>
            <w:r>
              <w:t>EventReportingRequirement</w:t>
            </w:r>
          </w:p>
        </w:tc>
        <w:tc>
          <w:tcPr>
            <w:tcW w:w="1195" w:type="dxa"/>
            <w:gridSpan w:val="2"/>
          </w:tcPr>
          <w:p w14:paraId="6B8AA851" w14:textId="77777777" w:rsidR="00F253B2" w:rsidRDefault="00F253B2" w:rsidP="00F253B2">
            <w:pPr>
              <w:pStyle w:val="TAL"/>
              <w:rPr>
                <w:lang w:eastAsia="zh-CN"/>
              </w:rPr>
            </w:pPr>
            <w:r>
              <w:rPr>
                <w:rFonts w:cs="Arial"/>
              </w:rPr>
              <w:t>5.1.6.2.7</w:t>
            </w:r>
          </w:p>
        </w:tc>
        <w:tc>
          <w:tcPr>
            <w:tcW w:w="2132" w:type="dxa"/>
            <w:gridSpan w:val="2"/>
          </w:tcPr>
          <w:p w14:paraId="41680916" w14:textId="77777777" w:rsidR="00F253B2" w:rsidRDefault="00F253B2" w:rsidP="00F253B2">
            <w:pPr>
              <w:pStyle w:val="TAL"/>
              <w:rPr>
                <w:lang w:eastAsia="zh-CN"/>
              </w:rPr>
            </w:pPr>
            <w:r>
              <w:rPr>
                <w:rFonts w:cs="Arial"/>
                <w:szCs w:val="18"/>
              </w:rPr>
              <w:t>Represents the type of reporting the subscription requires.</w:t>
            </w:r>
          </w:p>
        </w:tc>
        <w:tc>
          <w:tcPr>
            <w:tcW w:w="2751" w:type="dxa"/>
            <w:gridSpan w:val="2"/>
          </w:tcPr>
          <w:p w14:paraId="4F316CEE" w14:textId="77777777" w:rsidR="00F253B2" w:rsidRDefault="00F253B2" w:rsidP="00F253B2">
            <w:pPr>
              <w:pStyle w:val="TAL"/>
              <w:rPr>
                <w:rFonts w:cs="Arial"/>
                <w:szCs w:val="18"/>
              </w:rPr>
            </w:pPr>
          </w:p>
        </w:tc>
      </w:tr>
      <w:tr w:rsidR="00F253B2" w14:paraId="41618B5F" w14:textId="77777777" w:rsidTr="00635E7C">
        <w:trPr>
          <w:gridAfter w:val="1"/>
          <w:wAfter w:w="85" w:type="dxa"/>
          <w:jc w:val="center"/>
        </w:trPr>
        <w:tc>
          <w:tcPr>
            <w:tcW w:w="3222" w:type="dxa"/>
            <w:gridSpan w:val="2"/>
          </w:tcPr>
          <w:p w14:paraId="6D1F440C" w14:textId="77777777" w:rsidR="00F253B2" w:rsidRDefault="00F253B2" w:rsidP="00F253B2">
            <w:pPr>
              <w:pStyle w:val="TAL"/>
              <w:rPr>
                <w:lang w:eastAsia="zh-CN"/>
              </w:rPr>
            </w:pPr>
            <w:r>
              <w:rPr>
                <w:lang w:eastAsia="zh-CN"/>
              </w:rPr>
              <w:lastRenderedPageBreak/>
              <w:t>EventSubscription</w:t>
            </w:r>
          </w:p>
        </w:tc>
        <w:tc>
          <w:tcPr>
            <w:tcW w:w="1195" w:type="dxa"/>
            <w:gridSpan w:val="2"/>
          </w:tcPr>
          <w:p w14:paraId="63827F70" w14:textId="77777777" w:rsidR="00F253B2" w:rsidRDefault="00F253B2" w:rsidP="00F253B2">
            <w:pPr>
              <w:pStyle w:val="TAL"/>
              <w:rPr>
                <w:lang w:eastAsia="zh-CN"/>
              </w:rPr>
            </w:pPr>
            <w:r>
              <w:rPr>
                <w:rFonts w:hint="eastAsia"/>
                <w:lang w:eastAsia="zh-CN"/>
              </w:rPr>
              <w:t>5.1.6.2.3</w:t>
            </w:r>
          </w:p>
        </w:tc>
        <w:tc>
          <w:tcPr>
            <w:tcW w:w="2132" w:type="dxa"/>
            <w:gridSpan w:val="2"/>
          </w:tcPr>
          <w:p w14:paraId="205FC7ED" w14:textId="77777777" w:rsidR="00F253B2" w:rsidRDefault="00F253B2" w:rsidP="00F253B2">
            <w:pPr>
              <w:pStyle w:val="TAL"/>
              <w:rPr>
                <w:lang w:eastAsia="zh-CN"/>
              </w:rPr>
            </w:pPr>
            <w:r>
              <w:rPr>
                <w:lang w:eastAsia="zh-CN"/>
              </w:rPr>
              <w:t>Represents the subscription to a single event.</w:t>
            </w:r>
          </w:p>
        </w:tc>
        <w:tc>
          <w:tcPr>
            <w:tcW w:w="2751" w:type="dxa"/>
            <w:gridSpan w:val="2"/>
          </w:tcPr>
          <w:p w14:paraId="15859994" w14:textId="77777777" w:rsidR="00F253B2" w:rsidRDefault="00F253B2" w:rsidP="00F253B2">
            <w:pPr>
              <w:pStyle w:val="TAL"/>
              <w:rPr>
                <w:rFonts w:cs="Arial"/>
                <w:szCs w:val="18"/>
              </w:rPr>
            </w:pPr>
          </w:p>
        </w:tc>
      </w:tr>
      <w:tr w:rsidR="00F253B2" w14:paraId="5435A805" w14:textId="77777777" w:rsidTr="00635E7C">
        <w:trPr>
          <w:gridAfter w:val="1"/>
          <w:wAfter w:w="85" w:type="dxa"/>
          <w:jc w:val="center"/>
        </w:trPr>
        <w:tc>
          <w:tcPr>
            <w:tcW w:w="3222" w:type="dxa"/>
            <w:gridSpan w:val="2"/>
          </w:tcPr>
          <w:p w14:paraId="562C95B9" w14:textId="77777777" w:rsidR="00F253B2" w:rsidRDefault="00F253B2" w:rsidP="00F253B2">
            <w:pPr>
              <w:pStyle w:val="TAL"/>
              <w:rPr>
                <w:lang w:eastAsia="zh-CN"/>
              </w:rPr>
            </w:pPr>
            <w:r>
              <w:t>Exception</w:t>
            </w:r>
          </w:p>
        </w:tc>
        <w:tc>
          <w:tcPr>
            <w:tcW w:w="1195" w:type="dxa"/>
            <w:gridSpan w:val="2"/>
          </w:tcPr>
          <w:p w14:paraId="0778CEB9" w14:textId="77777777" w:rsidR="00F253B2" w:rsidRDefault="00F253B2" w:rsidP="00F253B2">
            <w:pPr>
              <w:pStyle w:val="TAL"/>
              <w:rPr>
                <w:lang w:eastAsia="zh-CN"/>
              </w:rPr>
            </w:pPr>
            <w:r>
              <w:rPr>
                <w:lang w:eastAsia="zh-CN"/>
              </w:rPr>
              <w:t>5.1.6.2.16</w:t>
            </w:r>
          </w:p>
        </w:tc>
        <w:tc>
          <w:tcPr>
            <w:tcW w:w="2132" w:type="dxa"/>
            <w:gridSpan w:val="2"/>
          </w:tcPr>
          <w:p w14:paraId="409F53FE" w14:textId="77777777" w:rsidR="00F253B2" w:rsidRDefault="00F253B2" w:rsidP="00F253B2">
            <w:pPr>
              <w:pStyle w:val="TAL"/>
              <w:rPr>
                <w:lang w:eastAsia="zh-CN"/>
              </w:rPr>
            </w:pPr>
            <w:r>
              <w:rPr>
                <w:lang w:eastAsia="zh-CN"/>
              </w:rPr>
              <w:t>Describes the Exception information.</w:t>
            </w:r>
          </w:p>
        </w:tc>
        <w:tc>
          <w:tcPr>
            <w:tcW w:w="2751" w:type="dxa"/>
            <w:gridSpan w:val="2"/>
          </w:tcPr>
          <w:p w14:paraId="3B66075F" w14:textId="77777777" w:rsidR="00F253B2" w:rsidRDefault="00F253B2" w:rsidP="00F253B2">
            <w:pPr>
              <w:pStyle w:val="TAL"/>
              <w:rPr>
                <w:rFonts w:cs="Arial"/>
                <w:szCs w:val="18"/>
              </w:rPr>
            </w:pPr>
            <w:r>
              <w:rPr>
                <w:rFonts w:cs="Arial"/>
                <w:szCs w:val="18"/>
              </w:rPr>
              <w:t>AbnormalBehaviour</w:t>
            </w:r>
          </w:p>
        </w:tc>
      </w:tr>
      <w:tr w:rsidR="00F253B2" w14:paraId="6639AFFF" w14:textId="77777777" w:rsidTr="00635E7C">
        <w:trPr>
          <w:gridAfter w:val="1"/>
          <w:wAfter w:w="85" w:type="dxa"/>
          <w:jc w:val="center"/>
        </w:trPr>
        <w:tc>
          <w:tcPr>
            <w:tcW w:w="3222" w:type="dxa"/>
            <w:gridSpan w:val="2"/>
          </w:tcPr>
          <w:p w14:paraId="297B9FDC" w14:textId="77777777" w:rsidR="00F253B2" w:rsidRDefault="00F253B2" w:rsidP="00F253B2">
            <w:pPr>
              <w:pStyle w:val="TAL"/>
              <w:rPr>
                <w:lang w:eastAsia="zh-CN"/>
              </w:rPr>
            </w:pPr>
            <w:r>
              <w:t>ExceptionId</w:t>
            </w:r>
          </w:p>
        </w:tc>
        <w:tc>
          <w:tcPr>
            <w:tcW w:w="1195" w:type="dxa"/>
            <w:gridSpan w:val="2"/>
          </w:tcPr>
          <w:p w14:paraId="06B07ED0" w14:textId="77777777" w:rsidR="00F253B2" w:rsidRDefault="00F253B2" w:rsidP="00F253B2">
            <w:pPr>
              <w:pStyle w:val="TAL"/>
              <w:rPr>
                <w:lang w:eastAsia="zh-CN"/>
              </w:rPr>
            </w:pPr>
            <w:r>
              <w:rPr>
                <w:lang w:eastAsia="zh-CN"/>
              </w:rPr>
              <w:t>5.1.6.3.6</w:t>
            </w:r>
          </w:p>
        </w:tc>
        <w:tc>
          <w:tcPr>
            <w:tcW w:w="2132" w:type="dxa"/>
            <w:gridSpan w:val="2"/>
          </w:tcPr>
          <w:p w14:paraId="3BFD9468" w14:textId="77777777" w:rsidR="00F253B2" w:rsidRDefault="00F253B2" w:rsidP="00F253B2">
            <w:pPr>
              <w:pStyle w:val="TAL"/>
              <w:rPr>
                <w:lang w:eastAsia="zh-CN"/>
              </w:rPr>
            </w:pPr>
            <w:r>
              <w:rPr>
                <w:lang w:eastAsia="zh-CN"/>
              </w:rPr>
              <w:t>Describes the Exception Id.</w:t>
            </w:r>
          </w:p>
        </w:tc>
        <w:tc>
          <w:tcPr>
            <w:tcW w:w="2751" w:type="dxa"/>
            <w:gridSpan w:val="2"/>
          </w:tcPr>
          <w:p w14:paraId="0A331F05" w14:textId="77777777" w:rsidR="00F253B2" w:rsidRDefault="00F253B2" w:rsidP="00F253B2">
            <w:pPr>
              <w:pStyle w:val="TAL"/>
              <w:rPr>
                <w:rFonts w:cs="Arial"/>
                <w:szCs w:val="18"/>
              </w:rPr>
            </w:pPr>
            <w:r>
              <w:rPr>
                <w:rFonts w:cs="Arial"/>
                <w:szCs w:val="18"/>
              </w:rPr>
              <w:t>AbnormalBehaviour</w:t>
            </w:r>
          </w:p>
        </w:tc>
      </w:tr>
      <w:tr w:rsidR="00F253B2" w14:paraId="1314D84D" w14:textId="77777777" w:rsidTr="00635E7C">
        <w:trPr>
          <w:gridAfter w:val="1"/>
          <w:wAfter w:w="85" w:type="dxa"/>
          <w:jc w:val="center"/>
        </w:trPr>
        <w:tc>
          <w:tcPr>
            <w:tcW w:w="3222" w:type="dxa"/>
            <w:gridSpan w:val="2"/>
          </w:tcPr>
          <w:p w14:paraId="4E21B7C8" w14:textId="77777777" w:rsidR="00F253B2" w:rsidRDefault="00F253B2" w:rsidP="00F253B2">
            <w:pPr>
              <w:pStyle w:val="TAL"/>
              <w:rPr>
                <w:lang w:eastAsia="zh-CN"/>
              </w:rPr>
            </w:pPr>
            <w:r>
              <w:t>ExceptionTrend</w:t>
            </w:r>
          </w:p>
        </w:tc>
        <w:tc>
          <w:tcPr>
            <w:tcW w:w="1195" w:type="dxa"/>
            <w:gridSpan w:val="2"/>
          </w:tcPr>
          <w:p w14:paraId="7E944DF1" w14:textId="77777777" w:rsidR="00F253B2" w:rsidRDefault="00F253B2" w:rsidP="00F253B2">
            <w:pPr>
              <w:pStyle w:val="TAL"/>
              <w:rPr>
                <w:lang w:eastAsia="zh-CN"/>
              </w:rPr>
            </w:pPr>
            <w:r>
              <w:rPr>
                <w:lang w:eastAsia="zh-CN"/>
              </w:rPr>
              <w:t>5.1.6.3.7</w:t>
            </w:r>
          </w:p>
        </w:tc>
        <w:tc>
          <w:tcPr>
            <w:tcW w:w="2132" w:type="dxa"/>
            <w:gridSpan w:val="2"/>
          </w:tcPr>
          <w:p w14:paraId="1A7F1209" w14:textId="77777777" w:rsidR="00F253B2" w:rsidRDefault="00F253B2" w:rsidP="00F253B2">
            <w:pPr>
              <w:pStyle w:val="TAL"/>
              <w:rPr>
                <w:lang w:eastAsia="zh-CN"/>
              </w:rPr>
            </w:pPr>
            <w:r>
              <w:rPr>
                <w:lang w:eastAsia="zh-CN"/>
              </w:rPr>
              <w:t>Describes the Exception Trend.</w:t>
            </w:r>
          </w:p>
        </w:tc>
        <w:tc>
          <w:tcPr>
            <w:tcW w:w="2751" w:type="dxa"/>
            <w:gridSpan w:val="2"/>
          </w:tcPr>
          <w:p w14:paraId="17E3A3EF" w14:textId="77777777" w:rsidR="00F253B2" w:rsidRDefault="00F253B2" w:rsidP="00F253B2">
            <w:pPr>
              <w:pStyle w:val="TAL"/>
              <w:rPr>
                <w:rFonts w:cs="Arial"/>
                <w:szCs w:val="18"/>
              </w:rPr>
            </w:pPr>
            <w:r>
              <w:rPr>
                <w:rFonts w:cs="Arial"/>
                <w:szCs w:val="18"/>
              </w:rPr>
              <w:t>AbnormalBehaviour</w:t>
            </w:r>
          </w:p>
        </w:tc>
      </w:tr>
      <w:tr w:rsidR="00F253B2" w14:paraId="0F070C16" w14:textId="77777777" w:rsidTr="00635E7C">
        <w:trPr>
          <w:gridAfter w:val="1"/>
          <w:wAfter w:w="85" w:type="dxa"/>
          <w:jc w:val="center"/>
        </w:trPr>
        <w:tc>
          <w:tcPr>
            <w:tcW w:w="3222" w:type="dxa"/>
            <w:gridSpan w:val="2"/>
          </w:tcPr>
          <w:p w14:paraId="21BAB899" w14:textId="77777777" w:rsidR="00F253B2" w:rsidRDefault="00F253B2" w:rsidP="00F253B2">
            <w:pPr>
              <w:pStyle w:val="TAL"/>
              <w:rPr>
                <w:lang w:eastAsia="zh-CN"/>
              </w:rPr>
            </w:pPr>
            <w:r>
              <w:t>ExpectedAnalyticsType</w:t>
            </w:r>
          </w:p>
        </w:tc>
        <w:tc>
          <w:tcPr>
            <w:tcW w:w="1195" w:type="dxa"/>
            <w:gridSpan w:val="2"/>
          </w:tcPr>
          <w:p w14:paraId="13488905" w14:textId="77777777" w:rsidR="00F253B2" w:rsidRDefault="00F253B2" w:rsidP="00F253B2">
            <w:pPr>
              <w:pStyle w:val="TAL"/>
              <w:rPr>
                <w:lang w:eastAsia="zh-CN"/>
              </w:rPr>
            </w:pPr>
            <w:r>
              <w:t>5.1.6.3.11</w:t>
            </w:r>
          </w:p>
        </w:tc>
        <w:tc>
          <w:tcPr>
            <w:tcW w:w="2132" w:type="dxa"/>
            <w:gridSpan w:val="2"/>
          </w:tcPr>
          <w:p w14:paraId="60BD4A93" w14:textId="77777777" w:rsidR="00F253B2" w:rsidRDefault="00F253B2" w:rsidP="00F253B2">
            <w:pPr>
              <w:pStyle w:val="TAL"/>
              <w:rPr>
                <w:lang w:eastAsia="zh-CN"/>
              </w:rPr>
            </w:pPr>
            <w:r>
              <w:rPr>
                <w:lang w:eastAsia="zh-CN"/>
              </w:rPr>
              <w:t>Represents expected UE analytics type.</w:t>
            </w:r>
          </w:p>
        </w:tc>
        <w:tc>
          <w:tcPr>
            <w:tcW w:w="2751" w:type="dxa"/>
            <w:gridSpan w:val="2"/>
          </w:tcPr>
          <w:p w14:paraId="58E2C75C" w14:textId="77777777" w:rsidR="00F253B2" w:rsidRDefault="00F253B2" w:rsidP="00F253B2">
            <w:pPr>
              <w:pStyle w:val="TAL"/>
              <w:rPr>
                <w:rFonts w:cs="Arial"/>
                <w:szCs w:val="18"/>
              </w:rPr>
            </w:pPr>
            <w:r>
              <w:t>AbnormalBehaviour</w:t>
            </w:r>
          </w:p>
        </w:tc>
      </w:tr>
      <w:tr w:rsidR="00F253B2" w14:paraId="6145C1CB" w14:textId="77777777" w:rsidTr="00635E7C">
        <w:trPr>
          <w:gridAfter w:val="1"/>
          <w:wAfter w:w="85" w:type="dxa"/>
          <w:jc w:val="center"/>
        </w:trPr>
        <w:tc>
          <w:tcPr>
            <w:tcW w:w="3222" w:type="dxa"/>
            <w:gridSpan w:val="2"/>
          </w:tcPr>
          <w:p w14:paraId="1C675E8B" w14:textId="77777777" w:rsidR="00F253B2" w:rsidRDefault="00F253B2" w:rsidP="00F253B2">
            <w:pPr>
              <w:pStyle w:val="TAL"/>
            </w:pPr>
            <w:r>
              <w:rPr>
                <w:lang w:eastAsia="zh-CN"/>
              </w:rPr>
              <w:t>FailureEventInfo</w:t>
            </w:r>
          </w:p>
        </w:tc>
        <w:tc>
          <w:tcPr>
            <w:tcW w:w="1195" w:type="dxa"/>
            <w:gridSpan w:val="2"/>
          </w:tcPr>
          <w:p w14:paraId="44A2B6F7" w14:textId="77777777" w:rsidR="00F253B2" w:rsidRDefault="00F253B2" w:rsidP="00F253B2">
            <w:pPr>
              <w:pStyle w:val="TAL"/>
            </w:pPr>
            <w:r>
              <w:rPr>
                <w:rFonts w:hint="eastAsia"/>
                <w:lang w:eastAsia="zh-CN"/>
              </w:rPr>
              <w:t>5.1.6.2.3</w:t>
            </w:r>
            <w:r>
              <w:rPr>
                <w:lang w:eastAsia="zh-CN"/>
              </w:rPr>
              <w:t>5</w:t>
            </w:r>
          </w:p>
        </w:tc>
        <w:tc>
          <w:tcPr>
            <w:tcW w:w="2132" w:type="dxa"/>
            <w:gridSpan w:val="2"/>
          </w:tcPr>
          <w:p w14:paraId="3151EB9C" w14:textId="77777777" w:rsidR="00F253B2" w:rsidRDefault="00F253B2" w:rsidP="00F253B2">
            <w:pPr>
              <w:pStyle w:val="TAL"/>
              <w:rPr>
                <w:lang w:eastAsia="zh-CN"/>
              </w:rPr>
            </w:pPr>
            <w:r>
              <w:rPr>
                <w:lang w:eastAsia="zh-CN"/>
              </w:rPr>
              <w:t>Contains information on the event for which the subscription is not successful.</w:t>
            </w:r>
          </w:p>
        </w:tc>
        <w:tc>
          <w:tcPr>
            <w:tcW w:w="2751" w:type="dxa"/>
            <w:gridSpan w:val="2"/>
          </w:tcPr>
          <w:p w14:paraId="2EC89D42" w14:textId="77777777" w:rsidR="00F253B2" w:rsidRDefault="00F253B2" w:rsidP="00F253B2">
            <w:pPr>
              <w:pStyle w:val="TAL"/>
            </w:pPr>
          </w:p>
        </w:tc>
      </w:tr>
      <w:tr w:rsidR="007862A2" w14:paraId="7D53F84E"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4C287A43" w14:textId="77777777" w:rsidR="007862A2" w:rsidRDefault="007862A2" w:rsidP="007862A2">
            <w:pPr>
              <w:pStyle w:val="TAL"/>
              <w:rPr>
                <w:lang w:eastAsia="zh-CN"/>
              </w:rPr>
            </w:pPr>
            <w:r>
              <w:rPr>
                <w:lang w:eastAsia="zh-CN"/>
              </w:rPr>
              <w:t>GeoDistributionInfo</w:t>
            </w:r>
          </w:p>
        </w:tc>
        <w:tc>
          <w:tcPr>
            <w:tcW w:w="1195" w:type="dxa"/>
            <w:gridSpan w:val="2"/>
            <w:tcBorders>
              <w:top w:val="single" w:sz="6" w:space="0" w:color="auto"/>
              <w:left w:val="single" w:sz="6" w:space="0" w:color="auto"/>
              <w:bottom w:val="single" w:sz="6" w:space="0" w:color="auto"/>
              <w:right w:val="single" w:sz="6" w:space="0" w:color="auto"/>
            </w:tcBorders>
          </w:tcPr>
          <w:p w14:paraId="47E73D4C" w14:textId="77777777" w:rsidR="007862A2" w:rsidRDefault="007862A2" w:rsidP="007862A2">
            <w:pPr>
              <w:pStyle w:val="TAL"/>
              <w:rPr>
                <w:lang w:eastAsia="zh-CN"/>
              </w:rPr>
            </w:pPr>
            <w:r>
              <w:rPr>
                <w:lang w:eastAsia="zh-CN"/>
              </w:rPr>
              <w:t>5.1.6.2.76</w:t>
            </w:r>
          </w:p>
        </w:tc>
        <w:tc>
          <w:tcPr>
            <w:tcW w:w="2132" w:type="dxa"/>
            <w:gridSpan w:val="2"/>
            <w:tcBorders>
              <w:top w:val="single" w:sz="6" w:space="0" w:color="auto"/>
              <w:left w:val="single" w:sz="6" w:space="0" w:color="auto"/>
              <w:bottom w:val="single" w:sz="6" w:space="0" w:color="auto"/>
              <w:right w:val="single" w:sz="6" w:space="0" w:color="auto"/>
            </w:tcBorders>
          </w:tcPr>
          <w:p w14:paraId="0D27681A" w14:textId="77777777" w:rsidR="007862A2" w:rsidRDefault="007862A2" w:rsidP="007862A2">
            <w:pPr>
              <w:pStyle w:val="TAL"/>
              <w:rPr>
                <w:lang w:eastAsia="zh-CN"/>
              </w:rPr>
            </w:pPr>
            <w:r>
              <w:rPr>
                <w:lang w:eastAsia="zh-CN"/>
              </w:rPr>
              <w:t>Represents the geographical distribution of the UEs.</w:t>
            </w:r>
          </w:p>
        </w:tc>
        <w:tc>
          <w:tcPr>
            <w:tcW w:w="2751" w:type="dxa"/>
            <w:gridSpan w:val="2"/>
            <w:tcBorders>
              <w:top w:val="single" w:sz="6" w:space="0" w:color="auto"/>
              <w:left w:val="single" w:sz="6" w:space="0" w:color="auto"/>
              <w:bottom w:val="single" w:sz="6" w:space="0" w:color="auto"/>
              <w:right w:val="single" w:sz="6" w:space="0" w:color="auto"/>
            </w:tcBorders>
          </w:tcPr>
          <w:p w14:paraId="3BD1589B" w14:textId="77777777" w:rsidR="007862A2" w:rsidRDefault="007862A2" w:rsidP="007862A2">
            <w:pPr>
              <w:pStyle w:val="TAL"/>
            </w:pPr>
            <w:r>
              <w:t>UeMobilityExt_AIML</w:t>
            </w:r>
          </w:p>
          <w:p w14:paraId="6940FDC2" w14:textId="77777777" w:rsidR="007862A2" w:rsidRDefault="007862A2" w:rsidP="007862A2">
            <w:pPr>
              <w:pStyle w:val="TAL"/>
            </w:pPr>
            <w:r w:rsidRPr="00043838">
              <w:t>E2eDataVolTransTime</w:t>
            </w:r>
          </w:p>
        </w:tc>
      </w:tr>
      <w:tr w:rsidR="00F253B2" w14:paraId="18864A82"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1969B9B5" w14:textId="77777777" w:rsidR="00F253B2" w:rsidRDefault="00F253B2" w:rsidP="00F253B2">
            <w:pPr>
              <w:pStyle w:val="TAL"/>
              <w:rPr>
                <w:lang w:eastAsia="zh-CN"/>
              </w:rPr>
            </w:pPr>
            <w:r>
              <w:rPr>
                <w:lang w:eastAsia="zh-CN"/>
              </w:rPr>
              <w:t>GeoLocation</w:t>
            </w:r>
          </w:p>
        </w:tc>
        <w:tc>
          <w:tcPr>
            <w:tcW w:w="1195" w:type="dxa"/>
            <w:gridSpan w:val="2"/>
            <w:tcBorders>
              <w:top w:val="single" w:sz="6" w:space="0" w:color="auto"/>
              <w:left w:val="single" w:sz="6" w:space="0" w:color="auto"/>
              <w:bottom w:val="single" w:sz="6" w:space="0" w:color="auto"/>
              <w:right w:val="single" w:sz="6" w:space="0" w:color="auto"/>
            </w:tcBorders>
          </w:tcPr>
          <w:p w14:paraId="0806017D" w14:textId="77777777" w:rsidR="00F253B2" w:rsidRDefault="00F253B2" w:rsidP="00F253B2">
            <w:pPr>
              <w:pStyle w:val="TAL"/>
              <w:rPr>
                <w:lang w:eastAsia="zh-CN"/>
              </w:rPr>
            </w:pPr>
            <w:r>
              <w:rPr>
                <w:lang w:eastAsia="zh-CN"/>
              </w:rPr>
              <w:t>5.1.6.2.95</w:t>
            </w:r>
          </w:p>
        </w:tc>
        <w:tc>
          <w:tcPr>
            <w:tcW w:w="2132" w:type="dxa"/>
            <w:gridSpan w:val="2"/>
            <w:tcBorders>
              <w:top w:val="single" w:sz="6" w:space="0" w:color="auto"/>
              <w:left w:val="single" w:sz="6" w:space="0" w:color="auto"/>
              <w:bottom w:val="single" w:sz="6" w:space="0" w:color="auto"/>
              <w:right w:val="single" w:sz="6" w:space="0" w:color="auto"/>
            </w:tcBorders>
          </w:tcPr>
          <w:p w14:paraId="6973DCBE" w14:textId="77777777" w:rsidR="00F253B2" w:rsidRDefault="00F253B2" w:rsidP="00F253B2">
            <w:pPr>
              <w:pStyle w:val="TAL"/>
              <w:rPr>
                <w:lang w:eastAsia="zh-CN"/>
              </w:rPr>
            </w:pPr>
            <w:r>
              <w:rPr>
                <w:lang w:eastAsia="zh-CN"/>
              </w:rPr>
              <w:t>Represents a geographic location, using either standard or local coordinates and optionally including the altitude.</w:t>
            </w:r>
          </w:p>
        </w:tc>
        <w:tc>
          <w:tcPr>
            <w:tcW w:w="2751" w:type="dxa"/>
            <w:gridSpan w:val="2"/>
            <w:tcBorders>
              <w:top w:val="single" w:sz="6" w:space="0" w:color="auto"/>
              <w:left w:val="single" w:sz="6" w:space="0" w:color="auto"/>
              <w:bottom w:val="single" w:sz="6" w:space="0" w:color="auto"/>
              <w:right w:val="single" w:sz="6" w:space="0" w:color="auto"/>
            </w:tcBorders>
          </w:tcPr>
          <w:p w14:paraId="1CE8580A" w14:textId="77777777" w:rsidR="00F253B2" w:rsidRDefault="00F253B2" w:rsidP="00F253B2">
            <w:pPr>
              <w:pStyle w:val="TAL"/>
            </w:pPr>
            <w:r>
              <w:t>LocAccuracy</w:t>
            </w:r>
          </w:p>
        </w:tc>
      </w:tr>
      <w:tr w:rsidR="00991119" w14:paraId="01A1EFBB"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72E50CA7" w14:textId="77777777" w:rsidR="00991119" w:rsidRDefault="00991119" w:rsidP="00991119">
            <w:pPr>
              <w:pStyle w:val="TAL"/>
              <w:rPr>
                <w:lang w:eastAsia="zh-CN"/>
              </w:rPr>
            </w:pPr>
            <w:r>
              <w:t>Target</w:t>
            </w:r>
            <w:r>
              <w:rPr>
                <w:rFonts w:hint="eastAsia"/>
                <w:lang w:eastAsia="zh-CN"/>
              </w:rPr>
              <w:t>Cause</w:t>
            </w:r>
            <w:r>
              <w:t>Id</w:t>
            </w:r>
          </w:p>
        </w:tc>
        <w:tc>
          <w:tcPr>
            <w:tcW w:w="1195" w:type="dxa"/>
            <w:gridSpan w:val="2"/>
            <w:tcBorders>
              <w:top w:val="single" w:sz="6" w:space="0" w:color="auto"/>
              <w:left w:val="single" w:sz="6" w:space="0" w:color="auto"/>
              <w:bottom w:val="single" w:sz="6" w:space="0" w:color="auto"/>
              <w:right w:val="single" w:sz="6" w:space="0" w:color="auto"/>
            </w:tcBorders>
          </w:tcPr>
          <w:p w14:paraId="5823620B" w14:textId="77777777" w:rsidR="00991119" w:rsidRDefault="00991119" w:rsidP="00991119">
            <w:pPr>
              <w:pStyle w:val="TAL"/>
              <w:rPr>
                <w:lang w:eastAsia="zh-CN"/>
              </w:rPr>
            </w:pPr>
            <w:r>
              <w:t>5.1.6.3.41</w:t>
            </w:r>
          </w:p>
        </w:tc>
        <w:tc>
          <w:tcPr>
            <w:tcW w:w="2132" w:type="dxa"/>
            <w:gridSpan w:val="2"/>
            <w:tcBorders>
              <w:top w:val="single" w:sz="6" w:space="0" w:color="auto"/>
              <w:left w:val="single" w:sz="6" w:space="0" w:color="auto"/>
              <w:bottom w:val="single" w:sz="6" w:space="0" w:color="auto"/>
              <w:right w:val="single" w:sz="6" w:space="0" w:color="auto"/>
            </w:tcBorders>
          </w:tcPr>
          <w:p w14:paraId="6075381B" w14:textId="77777777" w:rsidR="00991119" w:rsidRDefault="00991119" w:rsidP="00991119">
            <w:pPr>
              <w:pStyle w:val="TAL"/>
              <w:rPr>
                <w:lang w:eastAsia="zh-CN"/>
              </w:rPr>
            </w:pPr>
            <w:r>
              <w:t>Contains the target c</w:t>
            </w:r>
            <w:r>
              <w:rPr>
                <w:rFonts w:hint="eastAsia"/>
                <w:lang w:eastAsia="zh-CN"/>
              </w:rPr>
              <w:t>ause</w:t>
            </w:r>
            <w:r>
              <w:t xml:space="preserve"> ID(s).</w:t>
            </w:r>
          </w:p>
        </w:tc>
        <w:tc>
          <w:tcPr>
            <w:tcW w:w="2751" w:type="dxa"/>
            <w:gridSpan w:val="2"/>
            <w:tcBorders>
              <w:top w:val="single" w:sz="6" w:space="0" w:color="auto"/>
              <w:left w:val="single" w:sz="6" w:space="0" w:color="auto"/>
              <w:bottom w:val="single" w:sz="6" w:space="0" w:color="auto"/>
              <w:right w:val="single" w:sz="6" w:space="0" w:color="auto"/>
            </w:tcBorders>
          </w:tcPr>
          <w:p w14:paraId="0BF6442B" w14:textId="77777777" w:rsidR="00991119" w:rsidRDefault="00991119" w:rsidP="00991119">
            <w:pPr>
              <w:pStyle w:val="TAL"/>
            </w:pPr>
            <w:r>
              <w:t>SignallingStorm</w:t>
            </w:r>
          </w:p>
        </w:tc>
      </w:tr>
      <w:tr w:rsidR="00F253B2" w14:paraId="3619296F" w14:textId="77777777" w:rsidTr="00635E7C">
        <w:trPr>
          <w:gridAfter w:val="1"/>
          <w:wAfter w:w="85" w:type="dxa"/>
          <w:jc w:val="center"/>
        </w:trPr>
        <w:tc>
          <w:tcPr>
            <w:tcW w:w="3222" w:type="dxa"/>
            <w:gridSpan w:val="2"/>
          </w:tcPr>
          <w:p w14:paraId="3C767EB3" w14:textId="77777777" w:rsidR="00F253B2" w:rsidRDefault="00F253B2" w:rsidP="00F253B2">
            <w:pPr>
              <w:pStyle w:val="TAL"/>
              <w:rPr>
                <w:lang w:eastAsia="zh-CN"/>
              </w:rPr>
            </w:pPr>
            <w:r>
              <w:t>IpEthFlowDescription</w:t>
            </w:r>
          </w:p>
        </w:tc>
        <w:tc>
          <w:tcPr>
            <w:tcW w:w="1195" w:type="dxa"/>
            <w:gridSpan w:val="2"/>
          </w:tcPr>
          <w:p w14:paraId="28E7617C" w14:textId="77777777" w:rsidR="00F253B2" w:rsidRDefault="00F253B2" w:rsidP="00F253B2">
            <w:pPr>
              <w:pStyle w:val="TAL"/>
              <w:rPr>
                <w:lang w:eastAsia="zh-CN"/>
              </w:rPr>
            </w:pPr>
            <w:r>
              <w:t>5.1.6.2.27</w:t>
            </w:r>
          </w:p>
        </w:tc>
        <w:tc>
          <w:tcPr>
            <w:tcW w:w="2132" w:type="dxa"/>
            <w:gridSpan w:val="2"/>
          </w:tcPr>
          <w:p w14:paraId="4F93A9CA" w14:textId="77777777" w:rsidR="00F253B2" w:rsidRDefault="00F253B2" w:rsidP="00F253B2">
            <w:pPr>
              <w:pStyle w:val="TAL"/>
              <w:rPr>
                <w:lang w:eastAsia="zh-CN"/>
              </w:rPr>
            </w:pPr>
            <w:r>
              <w:rPr>
                <w:lang w:eastAsia="zh-CN"/>
              </w:rPr>
              <w:t>Contains the description of an Uplink and/or Downlink Ethernet flow.</w:t>
            </w:r>
          </w:p>
        </w:tc>
        <w:tc>
          <w:tcPr>
            <w:tcW w:w="2751" w:type="dxa"/>
            <w:gridSpan w:val="2"/>
          </w:tcPr>
          <w:p w14:paraId="6EE578C1" w14:textId="77777777" w:rsidR="00F525B2" w:rsidRDefault="00F525B2" w:rsidP="00F525B2">
            <w:pPr>
              <w:pStyle w:val="TAL"/>
              <w:rPr>
                <w:rFonts w:eastAsia="Batang"/>
              </w:rPr>
            </w:pPr>
            <w:r>
              <w:t>AbnormalBehaviour</w:t>
            </w:r>
          </w:p>
          <w:p w14:paraId="7456842A" w14:textId="77777777" w:rsidR="00F253B2" w:rsidRDefault="00F525B2" w:rsidP="00F525B2">
            <w:pPr>
              <w:pStyle w:val="TAL"/>
              <w:rPr>
                <w:rFonts w:cs="Arial"/>
                <w:szCs w:val="18"/>
              </w:rPr>
            </w:pPr>
            <w:r>
              <w:rPr>
                <w:rFonts w:eastAsia="Batang"/>
              </w:rPr>
              <w:t>QoSPolicyAssist</w:t>
            </w:r>
          </w:p>
        </w:tc>
      </w:tr>
      <w:tr w:rsidR="00F253B2" w14:paraId="76BD3DFD" w14:textId="77777777" w:rsidTr="00635E7C">
        <w:trPr>
          <w:gridAfter w:val="1"/>
          <w:wAfter w:w="85" w:type="dxa"/>
          <w:jc w:val="center"/>
        </w:trPr>
        <w:tc>
          <w:tcPr>
            <w:tcW w:w="3222" w:type="dxa"/>
            <w:gridSpan w:val="2"/>
          </w:tcPr>
          <w:p w14:paraId="7E5749A2" w14:textId="77777777" w:rsidR="00F253B2" w:rsidRDefault="00F253B2" w:rsidP="00F253B2">
            <w:pPr>
              <w:pStyle w:val="TAL"/>
              <w:rPr>
                <w:lang w:eastAsia="zh-CN"/>
              </w:rPr>
            </w:pPr>
            <w:r>
              <w:rPr>
                <w:lang w:eastAsia="zh-CN"/>
              </w:rPr>
              <w:t>LoadLevelInformation</w:t>
            </w:r>
          </w:p>
        </w:tc>
        <w:tc>
          <w:tcPr>
            <w:tcW w:w="1195" w:type="dxa"/>
            <w:gridSpan w:val="2"/>
          </w:tcPr>
          <w:p w14:paraId="75B0C289" w14:textId="77777777" w:rsidR="00F253B2" w:rsidRDefault="00F253B2" w:rsidP="00F253B2">
            <w:pPr>
              <w:pStyle w:val="TAL"/>
              <w:rPr>
                <w:lang w:eastAsia="zh-CN"/>
              </w:rPr>
            </w:pPr>
            <w:r>
              <w:rPr>
                <w:lang w:eastAsia="zh-CN"/>
              </w:rPr>
              <w:t>5.1.6.3.2</w:t>
            </w:r>
          </w:p>
        </w:tc>
        <w:tc>
          <w:tcPr>
            <w:tcW w:w="2132" w:type="dxa"/>
            <w:gridSpan w:val="2"/>
          </w:tcPr>
          <w:p w14:paraId="1923F72F" w14:textId="77777777" w:rsidR="00F253B2" w:rsidRDefault="00F253B2" w:rsidP="00F253B2">
            <w:pPr>
              <w:pStyle w:val="TAL"/>
              <w:rPr>
                <w:lang w:eastAsia="zh-CN"/>
              </w:rPr>
            </w:pPr>
            <w:r>
              <w:rPr>
                <w:rFonts w:hint="eastAsia"/>
                <w:lang w:eastAsia="zh-CN"/>
              </w:rPr>
              <w:t>Repres</w:t>
            </w:r>
            <w:r>
              <w:rPr>
                <w:lang w:eastAsia="zh-CN"/>
              </w:rPr>
              <w:t>e</w:t>
            </w:r>
            <w:r>
              <w:rPr>
                <w:rFonts w:hint="eastAsia"/>
                <w:lang w:eastAsia="zh-CN"/>
              </w:rPr>
              <w:t xml:space="preserve">nts </w:t>
            </w:r>
            <w:r>
              <w:rPr>
                <w:lang w:eastAsia="zh-CN"/>
              </w:rPr>
              <w:t>load level information of the network slice and the optionally associated network slice instance.</w:t>
            </w:r>
          </w:p>
        </w:tc>
        <w:tc>
          <w:tcPr>
            <w:tcW w:w="2751" w:type="dxa"/>
            <w:gridSpan w:val="2"/>
          </w:tcPr>
          <w:p w14:paraId="13CE91D4" w14:textId="77777777" w:rsidR="00F253B2" w:rsidRDefault="00F253B2" w:rsidP="00F253B2">
            <w:pPr>
              <w:pStyle w:val="TAL"/>
              <w:rPr>
                <w:rFonts w:cs="Arial"/>
                <w:szCs w:val="18"/>
              </w:rPr>
            </w:pPr>
          </w:p>
        </w:tc>
      </w:tr>
      <w:tr w:rsidR="00F253B2" w14:paraId="298FF957" w14:textId="77777777" w:rsidTr="00635E7C">
        <w:trPr>
          <w:gridAfter w:val="1"/>
          <w:wAfter w:w="85" w:type="dxa"/>
          <w:jc w:val="center"/>
        </w:trPr>
        <w:tc>
          <w:tcPr>
            <w:tcW w:w="3222" w:type="dxa"/>
            <w:gridSpan w:val="2"/>
          </w:tcPr>
          <w:p w14:paraId="55001A28" w14:textId="77777777" w:rsidR="00F253B2" w:rsidRDefault="00F253B2" w:rsidP="00F253B2">
            <w:pPr>
              <w:pStyle w:val="TAL"/>
              <w:rPr>
                <w:lang w:eastAsia="zh-CN"/>
              </w:rPr>
            </w:pPr>
            <w:r>
              <w:rPr>
                <w:lang w:eastAsia="zh-CN"/>
              </w:rPr>
              <w:t>LocAccuracyInfo</w:t>
            </w:r>
          </w:p>
        </w:tc>
        <w:tc>
          <w:tcPr>
            <w:tcW w:w="1195" w:type="dxa"/>
            <w:gridSpan w:val="2"/>
          </w:tcPr>
          <w:p w14:paraId="7FF8451F" w14:textId="77777777" w:rsidR="00F253B2" w:rsidRDefault="00F253B2" w:rsidP="00F253B2">
            <w:pPr>
              <w:pStyle w:val="TAL"/>
              <w:rPr>
                <w:lang w:eastAsia="zh-CN"/>
              </w:rPr>
            </w:pPr>
            <w:r>
              <w:rPr>
                <w:lang w:eastAsia="zh-CN"/>
              </w:rPr>
              <w:t>5.1.6.2.97</w:t>
            </w:r>
          </w:p>
        </w:tc>
        <w:tc>
          <w:tcPr>
            <w:tcW w:w="2132" w:type="dxa"/>
            <w:gridSpan w:val="2"/>
          </w:tcPr>
          <w:p w14:paraId="7280B93C" w14:textId="77777777" w:rsidR="00F253B2" w:rsidRDefault="00F253B2" w:rsidP="00F253B2">
            <w:pPr>
              <w:pStyle w:val="TAL"/>
              <w:rPr>
                <w:rFonts w:hint="eastAsia"/>
                <w:lang w:eastAsia="zh-CN"/>
              </w:rPr>
            </w:pPr>
            <w:r>
              <w:rPr>
                <w:lang w:eastAsia="zh-CN"/>
              </w:rPr>
              <w:t>Contains Location Accuracy information.</w:t>
            </w:r>
          </w:p>
        </w:tc>
        <w:tc>
          <w:tcPr>
            <w:tcW w:w="2751" w:type="dxa"/>
            <w:gridSpan w:val="2"/>
          </w:tcPr>
          <w:p w14:paraId="4F4F201E" w14:textId="77777777" w:rsidR="00F253B2" w:rsidRDefault="00F253B2" w:rsidP="00F253B2">
            <w:pPr>
              <w:pStyle w:val="TAL"/>
              <w:rPr>
                <w:rFonts w:cs="Arial"/>
                <w:szCs w:val="18"/>
              </w:rPr>
            </w:pPr>
            <w:r>
              <w:rPr>
                <w:rFonts w:cs="Arial"/>
                <w:szCs w:val="18"/>
              </w:rPr>
              <w:t>LocAccuracy</w:t>
            </w:r>
          </w:p>
        </w:tc>
      </w:tr>
      <w:tr w:rsidR="00F253B2" w14:paraId="62F81F3A" w14:textId="77777777" w:rsidTr="00635E7C">
        <w:trPr>
          <w:gridAfter w:val="1"/>
          <w:wAfter w:w="85" w:type="dxa"/>
          <w:jc w:val="center"/>
        </w:trPr>
        <w:tc>
          <w:tcPr>
            <w:tcW w:w="3222" w:type="dxa"/>
            <w:gridSpan w:val="2"/>
          </w:tcPr>
          <w:p w14:paraId="135D3B4D" w14:textId="77777777" w:rsidR="00F253B2" w:rsidRDefault="00F253B2" w:rsidP="00F253B2">
            <w:pPr>
              <w:pStyle w:val="TAL"/>
              <w:rPr>
                <w:lang w:eastAsia="zh-CN"/>
              </w:rPr>
            </w:pPr>
            <w:r>
              <w:rPr>
                <w:lang w:eastAsia="zh-CN"/>
              </w:rPr>
              <w:t>LocAccuracyPerMethod</w:t>
            </w:r>
          </w:p>
        </w:tc>
        <w:tc>
          <w:tcPr>
            <w:tcW w:w="1195" w:type="dxa"/>
            <w:gridSpan w:val="2"/>
          </w:tcPr>
          <w:p w14:paraId="7AB8B164" w14:textId="77777777" w:rsidR="00F253B2" w:rsidRDefault="00F253B2" w:rsidP="00F253B2">
            <w:pPr>
              <w:pStyle w:val="TAL"/>
              <w:rPr>
                <w:lang w:eastAsia="zh-CN"/>
              </w:rPr>
            </w:pPr>
            <w:r>
              <w:rPr>
                <w:lang w:eastAsia="zh-CN"/>
              </w:rPr>
              <w:t>5.1.6.2.98</w:t>
            </w:r>
          </w:p>
        </w:tc>
        <w:tc>
          <w:tcPr>
            <w:tcW w:w="2132" w:type="dxa"/>
            <w:gridSpan w:val="2"/>
          </w:tcPr>
          <w:p w14:paraId="1A7A40EB" w14:textId="77777777" w:rsidR="00F253B2" w:rsidRDefault="00F253B2" w:rsidP="00F253B2">
            <w:pPr>
              <w:pStyle w:val="TAL"/>
              <w:rPr>
                <w:rFonts w:hint="eastAsia"/>
                <w:lang w:eastAsia="zh-CN"/>
              </w:rPr>
            </w:pPr>
            <w:r>
              <w:rPr>
                <w:lang w:eastAsia="zh-CN"/>
              </w:rPr>
              <w:t>Contains Location Accuracy information per Positioning Method.</w:t>
            </w:r>
          </w:p>
        </w:tc>
        <w:tc>
          <w:tcPr>
            <w:tcW w:w="2751" w:type="dxa"/>
            <w:gridSpan w:val="2"/>
          </w:tcPr>
          <w:p w14:paraId="5F1926F3" w14:textId="77777777" w:rsidR="00F253B2" w:rsidRDefault="00F253B2" w:rsidP="00F253B2">
            <w:pPr>
              <w:pStyle w:val="TAL"/>
              <w:rPr>
                <w:rFonts w:cs="Arial"/>
                <w:szCs w:val="18"/>
              </w:rPr>
            </w:pPr>
            <w:r>
              <w:rPr>
                <w:rFonts w:cs="Arial"/>
                <w:szCs w:val="18"/>
              </w:rPr>
              <w:t>LocAccuracy</w:t>
            </w:r>
          </w:p>
        </w:tc>
      </w:tr>
      <w:tr w:rsidR="00F253B2" w14:paraId="169E7F68" w14:textId="77777777" w:rsidTr="00635E7C">
        <w:trPr>
          <w:gridAfter w:val="1"/>
          <w:wAfter w:w="85" w:type="dxa"/>
          <w:jc w:val="center"/>
        </w:trPr>
        <w:tc>
          <w:tcPr>
            <w:tcW w:w="3222" w:type="dxa"/>
            <w:gridSpan w:val="2"/>
          </w:tcPr>
          <w:p w14:paraId="63D2E3F0" w14:textId="77777777" w:rsidR="00F253B2" w:rsidRDefault="00F253B2" w:rsidP="00F253B2">
            <w:pPr>
              <w:pStyle w:val="TAL"/>
              <w:rPr>
                <w:lang w:eastAsia="zh-CN"/>
              </w:rPr>
            </w:pPr>
            <w:r>
              <w:rPr>
                <w:lang w:eastAsia="zh-CN"/>
              </w:rPr>
              <w:t>LocAccuracyReq</w:t>
            </w:r>
          </w:p>
        </w:tc>
        <w:tc>
          <w:tcPr>
            <w:tcW w:w="1195" w:type="dxa"/>
            <w:gridSpan w:val="2"/>
          </w:tcPr>
          <w:p w14:paraId="2C7F4F4C" w14:textId="77777777" w:rsidR="00F253B2" w:rsidRDefault="00F253B2" w:rsidP="00F253B2">
            <w:pPr>
              <w:pStyle w:val="TAL"/>
              <w:rPr>
                <w:lang w:eastAsia="zh-CN"/>
              </w:rPr>
            </w:pPr>
            <w:r>
              <w:rPr>
                <w:lang w:eastAsia="zh-CN"/>
              </w:rPr>
              <w:t>5.1.6.2.96</w:t>
            </w:r>
          </w:p>
        </w:tc>
        <w:tc>
          <w:tcPr>
            <w:tcW w:w="2132" w:type="dxa"/>
            <w:gridSpan w:val="2"/>
          </w:tcPr>
          <w:p w14:paraId="2B11D9AC" w14:textId="77777777" w:rsidR="00F253B2" w:rsidRDefault="00F253B2" w:rsidP="00F253B2">
            <w:pPr>
              <w:pStyle w:val="TAL"/>
              <w:rPr>
                <w:rFonts w:hint="eastAsia"/>
                <w:lang w:eastAsia="zh-CN"/>
              </w:rPr>
            </w:pPr>
            <w:r>
              <w:rPr>
                <w:lang w:eastAsia="zh-CN"/>
              </w:rPr>
              <w:t>Contains Location Accuracy analytics requirements.</w:t>
            </w:r>
          </w:p>
        </w:tc>
        <w:tc>
          <w:tcPr>
            <w:tcW w:w="2751" w:type="dxa"/>
            <w:gridSpan w:val="2"/>
          </w:tcPr>
          <w:p w14:paraId="66D864C3" w14:textId="77777777" w:rsidR="00F253B2" w:rsidRDefault="00F253B2" w:rsidP="00F253B2">
            <w:pPr>
              <w:pStyle w:val="TAL"/>
              <w:rPr>
                <w:rFonts w:cs="Arial"/>
                <w:szCs w:val="18"/>
              </w:rPr>
            </w:pPr>
            <w:r>
              <w:rPr>
                <w:rFonts w:cs="Arial"/>
                <w:szCs w:val="18"/>
              </w:rPr>
              <w:t>LocAccuracy</w:t>
            </w:r>
          </w:p>
        </w:tc>
      </w:tr>
      <w:tr w:rsidR="00F253B2" w14:paraId="3DDE2236" w14:textId="77777777" w:rsidTr="00635E7C">
        <w:trPr>
          <w:gridAfter w:val="1"/>
          <w:wAfter w:w="85" w:type="dxa"/>
          <w:jc w:val="center"/>
        </w:trPr>
        <w:tc>
          <w:tcPr>
            <w:tcW w:w="3222" w:type="dxa"/>
            <w:gridSpan w:val="2"/>
          </w:tcPr>
          <w:p w14:paraId="598A8834" w14:textId="77777777" w:rsidR="00F253B2" w:rsidRDefault="00F253B2" w:rsidP="00F253B2">
            <w:pPr>
              <w:pStyle w:val="TAL"/>
              <w:rPr>
                <w:lang w:eastAsia="zh-CN"/>
              </w:rPr>
            </w:pPr>
            <w:r>
              <w:rPr>
                <w:lang w:eastAsia="zh-CN"/>
              </w:rPr>
              <w:t>LocationInfo</w:t>
            </w:r>
          </w:p>
        </w:tc>
        <w:tc>
          <w:tcPr>
            <w:tcW w:w="1195" w:type="dxa"/>
            <w:gridSpan w:val="2"/>
          </w:tcPr>
          <w:p w14:paraId="32982169" w14:textId="77777777" w:rsidR="00F253B2" w:rsidRDefault="00F253B2" w:rsidP="00F253B2">
            <w:pPr>
              <w:pStyle w:val="TAL"/>
              <w:rPr>
                <w:lang w:eastAsia="zh-CN"/>
              </w:rPr>
            </w:pPr>
            <w:r>
              <w:rPr>
                <w:lang w:eastAsia="zh-CN"/>
              </w:rPr>
              <w:t>5.1.6.2.11</w:t>
            </w:r>
          </w:p>
        </w:tc>
        <w:tc>
          <w:tcPr>
            <w:tcW w:w="2132" w:type="dxa"/>
            <w:gridSpan w:val="2"/>
          </w:tcPr>
          <w:p w14:paraId="11468FEA" w14:textId="77777777" w:rsidR="00F253B2" w:rsidRDefault="00F253B2" w:rsidP="00F253B2">
            <w:pPr>
              <w:pStyle w:val="TAL"/>
            </w:pPr>
            <w:r>
              <w:t>Represents UE location information.</w:t>
            </w:r>
          </w:p>
        </w:tc>
        <w:tc>
          <w:tcPr>
            <w:tcW w:w="2751" w:type="dxa"/>
            <w:gridSpan w:val="2"/>
          </w:tcPr>
          <w:p w14:paraId="5B0BC485" w14:textId="77777777" w:rsidR="00F253B2" w:rsidRDefault="00F253B2" w:rsidP="00F253B2">
            <w:pPr>
              <w:pStyle w:val="TAL"/>
              <w:rPr>
                <w:rFonts w:cs="Arial"/>
                <w:szCs w:val="18"/>
              </w:rPr>
            </w:pPr>
            <w:r>
              <w:rPr>
                <w:rFonts w:cs="Arial"/>
                <w:szCs w:val="18"/>
              </w:rPr>
              <w:t>UeMobility</w:t>
            </w:r>
          </w:p>
          <w:p w14:paraId="6D7F0B37" w14:textId="77777777" w:rsidR="00F253B2" w:rsidRDefault="00F253B2" w:rsidP="00F253B2">
            <w:pPr>
              <w:pStyle w:val="TAL"/>
              <w:rPr>
                <w:rFonts w:cs="Arial"/>
                <w:szCs w:val="18"/>
              </w:rPr>
            </w:pPr>
          </w:p>
        </w:tc>
      </w:tr>
      <w:tr w:rsidR="00F253B2" w14:paraId="5FD3440E" w14:textId="77777777" w:rsidTr="00635E7C">
        <w:trPr>
          <w:gridAfter w:val="1"/>
          <w:wAfter w:w="85" w:type="dxa"/>
          <w:jc w:val="center"/>
        </w:trPr>
        <w:tc>
          <w:tcPr>
            <w:tcW w:w="3222" w:type="dxa"/>
            <w:gridSpan w:val="2"/>
          </w:tcPr>
          <w:p w14:paraId="0DD33462" w14:textId="77777777" w:rsidR="00F253B2" w:rsidRDefault="00F253B2" w:rsidP="00F253B2">
            <w:pPr>
              <w:pStyle w:val="TAL"/>
              <w:rPr>
                <w:lang w:eastAsia="zh-CN"/>
              </w:rPr>
            </w:pPr>
            <w:r>
              <w:rPr>
                <w:lang w:eastAsia="zh-CN"/>
              </w:rPr>
              <w:t>LocInfoGranularity</w:t>
            </w:r>
          </w:p>
        </w:tc>
        <w:tc>
          <w:tcPr>
            <w:tcW w:w="1195" w:type="dxa"/>
            <w:gridSpan w:val="2"/>
          </w:tcPr>
          <w:p w14:paraId="7A8D4101" w14:textId="77777777" w:rsidR="00F253B2" w:rsidRDefault="00F253B2" w:rsidP="00F253B2">
            <w:pPr>
              <w:pStyle w:val="TAL"/>
              <w:rPr>
                <w:lang w:eastAsia="zh-CN"/>
              </w:rPr>
            </w:pPr>
            <w:r>
              <w:rPr>
                <w:lang w:eastAsia="zh-CN"/>
              </w:rPr>
              <w:t>5.1.6.3.32</w:t>
            </w:r>
          </w:p>
        </w:tc>
        <w:tc>
          <w:tcPr>
            <w:tcW w:w="2132" w:type="dxa"/>
            <w:gridSpan w:val="2"/>
          </w:tcPr>
          <w:p w14:paraId="1803C66A" w14:textId="77777777" w:rsidR="00F253B2" w:rsidRDefault="00F253B2" w:rsidP="00F253B2">
            <w:pPr>
              <w:pStyle w:val="TAL"/>
            </w:pPr>
            <w:r>
              <w:rPr>
                <w:lang w:eastAsia="zh-CN"/>
              </w:rPr>
              <w:t xml:space="preserve">Represents the </w:t>
            </w:r>
            <w:r>
              <w:t>preferred granularity of location information.</w:t>
            </w:r>
          </w:p>
        </w:tc>
        <w:tc>
          <w:tcPr>
            <w:tcW w:w="2751" w:type="dxa"/>
            <w:gridSpan w:val="2"/>
          </w:tcPr>
          <w:p w14:paraId="63DF9E82" w14:textId="77777777" w:rsidR="00F253B2" w:rsidRDefault="00F253B2" w:rsidP="00F253B2">
            <w:pPr>
              <w:pStyle w:val="TAL"/>
              <w:rPr>
                <w:lang w:eastAsia="zh-CN"/>
              </w:rPr>
            </w:pPr>
            <w:r>
              <w:t>ServiceExperienceExt</w:t>
            </w:r>
            <w:r>
              <w:rPr>
                <w:lang w:eastAsia="zh-CN"/>
              </w:rPr>
              <w:t>2_eNA</w:t>
            </w:r>
          </w:p>
          <w:p w14:paraId="14D0BE71" w14:textId="77777777" w:rsidR="00F253B2" w:rsidRDefault="00F253B2" w:rsidP="00F253B2">
            <w:pPr>
              <w:pStyle w:val="TAL"/>
              <w:rPr>
                <w:lang w:eastAsia="zh-CN"/>
              </w:rPr>
            </w:pPr>
            <w:r>
              <w:t>UeMobility</w:t>
            </w:r>
            <w:r>
              <w:rPr>
                <w:lang w:eastAsia="zh-CN"/>
              </w:rPr>
              <w:t>Ext2_eNA</w:t>
            </w:r>
          </w:p>
          <w:p w14:paraId="2726A708" w14:textId="77777777" w:rsidR="00F253B2" w:rsidRDefault="00F253B2" w:rsidP="00F253B2">
            <w:pPr>
              <w:pStyle w:val="TAL"/>
              <w:rPr>
                <w:lang w:eastAsia="zh-CN"/>
              </w:rPr>
            </w:pPr>
            <w:r>
              <w:t>DispersionExt</w:t>
            </w:r>
            <w:r>
              <w:rPr>
                <w:lang w:eastAsia="zh-CN"/>
              </w:rPr>
              <w:t>_eNA</w:t>
            </w:r>
          </w:p>
          <w:p w14:paraId="10E2974E" w14:textId="77777777" w:rsidR="00F253B2" w:rsidRDefault="00F253B2" w:rsidP="00F253B2">
            <w:pPr>
              <w:pStyle w:val="TAL"/>
              <w:rPr>
                <w:rFonts w:cs="Arial"/>
                <w:szCs w:val="18"/>
              </w:rPr>
            </w:pPr>
            <w:r>
              <w:rPr>
                <w:lang w:eastAsia="zh-CN"/>
              </w:rPr>
              <w:t>MovementBehaviour</w:t>
            </w:r>
          </w:p>
        </w:tc>
      </w:tr>
      <w:tr w:rsidR="00F253B2" w14:paraId="03642706"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46E6BA2E" w14:textId="77777777" w:rsidR="00F253B2" w:rsidRDefault="00F253B2" w:rsidP="00F253B2">
            <w:pPr>
              <w:pStyle w:val="TAL"/>
              <w:rPr>
                <w:lang w:eastAsia="zh-CN"/>
              </w:rPr>
            </w:pPr>
            <w:r>
              <w:rPr>
                <w:lang w:eastAsia="zh-CN"/>
              </w:rPr>
              <w:t>LocationOrientation</w:t>
            </w:r>
          </w:p>
        </w:tc>
        <w:tc>
          <w:tcPr>
            <w:tcW w:w="1195" w:type="dxa"/>
            <w:gridSpan w:val="2"/>
            <w:tcBorders>
              <w:top w:val="single" w:sz="6" w:space="0" w:color="auto"/>
              <w:left w:val="single" w:sz="6" w:space="0" w:color="auto"/>
              <w:bottom w:val="single" w:sz="6" w:space="0" w:color="auto"/>
              <w:right w:val="single" w:sz="6" w:space="0" w:color="auto"/>
            </w:tcBorders>
          </w:tcPr>
          <w:p w14:paraId="1C816289" w14:textId="77777777" w:rsidR="00F253B2" w:rsidRDefault="00F253B2" w:rsidP="00F253B2">
            <w:pPr>
              <w:pStyle w:val="TAL"/>
              <w:rPr>
                <w:lang w:eastAsia="zh-CN"/>
              </w:rPr>
            </w:pPr>
            <w:r>
              <w:rPr>
                <w:lang w:eastAsia="zh-CN"/>
              </w:rPr>
              <w:t>5.1.6.3.38</w:t>
            </w:r>
          </w:p>
        </w:tc>
        <w:tc>
          <w:tcPr>
            <w:tcW w:w="2132" w:type="dxa"/>
            <w:gridSpan w:val="2"/>
            <w:tcBorders>
              <w:top w:val="single" w:sz="6" w:space="0" w:color="auto"/>
              <w:left w:val="single" w:sz="6" w:space="0" w:color="auto"/>
              <w:bottom w:val="single" w:sz="6" w:space="0" w:color="auto"/>
              <w:right w:val="single" w:sz="6" w:space="0" w:color="auto"/>
            </w:tcBorders>
          </w:tcPr>
          <w:p w14:paraId="2AADE3DC" w14:textId="77777777" w:rsidR="00F253B2" w:rsidRDefault="00F253B2" w:rsidP="00F253B2">
            <w:pPr>
              <w:pStyle w:val="TAL"/>
              <w:rPr>
                <w:lang w:eastAsia="zh-CN"/>
              </w:rPr>
            </w:pPr>
            <w:r>
              <w:rPr>
                <w:lang w:eastAsia="zh-CN"/>
              </w:rPr>
              <w:t>Represents preferred orientation of location information.</w:t>
            </w:r>
          </w:p>
        </w:tc>
        <w:tc>
          <w:tcPr>
            <w:tcW w:w="2751" w:type="dxa"/>
            <w:gridSpan w:val="2"/>
            <w:tcBorders>
              <w:top w:val="single" w:sz="6" w:space="0" w:color="auto"/>
              <w:left w:val="single" w:sz="6" w:space="0" w:color="auto"/>
              <w:bottom w:val="single" w:sz="6" w:space="0" w:color="auto"/>
              <w:right w:val="single" w:sz="6" w:space="0" w:color="auto"/>
            </w:tcBorders>
          </w:tcPr>
          <w:p w14:paraId="6C0B2A56" w14:textId="77777777" w:rsidR="00F253B2" w:rsidRDefault="00F253B2" w:rsidP="00F253B2">
            <w:pPr>
              <w:pStyle w:val="TAL"/>
            </w:pPr>
            <w:r>
              <w:t>MovementBehaviour</w:t>
            </w:r>
          </w:p>
        </w:tc>
      </w:tr>
      <w:tr w:rsidR="00F525B2" w14:paraId="0BAC3CE5" w14:textId="77777777" w:rsidTr="00635E7C">
        <w:trPr>
          <w:gridAfter w:val="1"/>
          <w:wAfter w:w="85" w:type="dxa"/>
          <w:jc w:val="center"/>
        </w:trPr>
        <w:tc>
          <w:tcPr>
            <w:tcW w:w="3222" w:type="dxa"/>
            <w:gridSpan w:val="2"/>
          </w:tcPr>
          <w:p w14:paraId="3439B55F" w14:textId="77777777" w:rsidR="00F525B2" w:rsidRDefault="00F525B2" w:rsidP="00F525B2">
            <w:pPr>
              <w:pStyle w:val="TAL"/>
              <w:rPr>
                <w:lang w:eastAsia="zh-CN"/>
              </w:rPr>
            </w:pPr>
            <w:r>
              <w:rPr>
                <w:lang w:eastAsia="zh-CN"/>
              </w:rPr>
              <w:t>MatchingDirection</w:t>
            </w:r>
          </w:p>
        </w:tc>
        <w:tc>
          <w:tcPr>
            <w:tcW w:w="1195" w:type="dxa"/>
            <w:gridSpan w:val="2"/>
          </w:tcPr>
          <w:p w14:paraId="24EFCD16" w14:textId="77777777" w:rsidR="00F525B2" w:rsidRDefault="00F525B2" w:rsidP="00F525B2">
            <w:pPr>
              <w:pStyle w:val="TAL"/>
              <w:rPr>
                <w:lang w:eastAsia="zh-CN"/>
              </w:rPr>
            </w:pPr>
            <w:r>
              <w:rPr>
                <w:lang w:eastAsia="zh-CN"/>
              </w:rPr>
              <w:t>5.1.6.3.12</w:t>
            </w:r>
          </w:p>
        </w:tc>
        <w:tc>
          <w:tcPr>
            <w:tcW w:w="2132" w:type="dxa"/>
            <w:gridSpan w:val="2"/>
          </w:tcPr>
          <w:p w14:paraId="1E9B9B16" w14:textId="77777777" w:rsidR="00F525B2" w:rsidRDefault="00F525B2" w:rsidP="00F525B2">
            <w:pPr>
              <w:pStyle w:val="TAL"/>
              <w:rPr>
                <w:lang w:eastAsia="zh-CN"/>
              </w:rPr>
            </w:pPr>
            <w:r>
              <w:rPr>
                <w:lang w:eastAsia="zh-CN"/>
              </w:rPr>
              <w:t>Defines the matching direction when crossing a threshold.</w:t>
            </w:r>
          </w:p>
        </w:tc>
        <w:tc>
          <w:tcPr>
            <w:tcW w:w="2751" w:type="dxa"/>
            <w:gridSpan w:val="2"/>
          </w:tcPr>
          <w:p w14:paraId="52996984" w14:textId="77777777" w:rsidR="00F525B2" w:rsidRDefault="00F525B2" w:rsidP="00F525B2">
            <w:pPr>
              <w:keepNext/>
              <w:keepLines/>
              <w:spacing w:after="0"/>
              <w:rPr>
                <w:rFonts w:ascii="Arial" w:hAnsi="Arial"/>
                <w:sz w:val="18"/>
              </w:rPr>
            </w:pPr>
            <w:r>
              <w:rPr>
                <w:rFonts w:ascii="Arial" w:hAnsi="Arial" w:cs="Arial"/>
                <w:sz w:val="18"/>
                <w:szCs w:val="18"/>
              </w:rPr>
              <w:t xml:space="preserve">NfLoad, QoSSustainability, UserDataCongestion, </w:t>
            </w:r>
            <w:r>
              <w:rPr>
                <w:rFonts w:ascii="Arial" w:hAnsi="Arial"/>
                <w:sz w:val="18"/>
              </w:rPr>
              <w:t>NetworkPerformance</w:t>
            </w:r>
          </w:p>
          <w:p w14:paraId="6271D494" w14:textId="77777777" w:rsidR="00F525B2" w:rsidRDefault="00F525B2" w:rsidP="00F525B2">
            <w:pPr>
              <w:keepNext/>
              <w:keepLines/>
              <w:spacing w:after="0"/>
              <w:rPr>
                <w:rFonts w:ascii="Arial" w:hAnsi="Arial"/>
                <w:sz w:val="18"/>
              </w:rPr>
            </w:pPr>
            <w:r>
              <w:rPr>
                <w:rFonts w:ascii="Arial" w:hAnsi="Arial" w:cs="Arial"/>
                <w:sz w:val="18"/>
                <w:szCs w:val="18"/>
              </w:rPr>
              <w:t>Dispersion</w:t>
            </w:r>
          </w:p>
          <w:p w14:paraId="43F5139F" w14:textId="77777777" w:rsidR="00F525B2" w:rsidRDefault="00F525B2" w:rsidP="00F525B2">
            <w:pPr>
              <w:keepNext/>
              <w:keepLines/>
              <w:spacing w:after="0"/>
              <w:rPr>
                <w:rFonts w:ascii="Arial" w:hAnsi="Arial" w:cs="Arial"/>
                <w:sz w:val="18"/>
                <w:szCs w:val="18"/>
              </w:rPr>
            </w:pPr>
            <w:r>
              <w:rPr>
                <w:rFonts w:ascii="Arial" w:hAnsi="Arial" w:cs="Arial"/>
                <w:sz w:val="18"/>
                <w:szCs w:val="18"/>
              </w:rPr>
              <w:t>RedundantTransmissionExp</w:t>
            </w:r>
          </w:p>
          <w:p w14:paraId="2BFE9D25" w14:textId="77777777" w:rsidR="00F525B2" w:rsidRDefault="00F525B2" w:rsidP="00F525B2">
            <w:pPr>
              <w:keepNext/>
              <w:keepLines/>
              <w:spacing w:after="0"/>
              <w:rPr>
                <w:rFonts w:ascii="Arial" w:hAnsi="Arial" w:cs="Arial"/>
                <w:sz w:val="18"/>
                <w:szCs w:val="18"/>
                <w:lang w:eastAsia="zh-CN"/>
              </w:rPr>
            </w:pPr>
            <w:r>
              <w:rPr>
                <w:rFonts w:ascii="Arial" w:hAnsi="Arial" w:cs="Arial"/>
                <w:sz w:val="18"/>
                <w:szCs w:val="18"/>
              </w:rPr>
              <w:t>Wlan</w:t>
            </w:r>
            <w:r>
              <w:rPr>
                <w:rFonts w:ascii="Arial" w:hAnsi="Arial" w:cs="Arial"/>
                <w:sz w:val="18"/>
                <w:szCs w:val="18"/>
                <w:lang w:eastAsia="zh-CN"/>
              </w:rPr>
              <w:t>Performance</w:t>
            </w:r>
          </w:p>
          <w:p w14:paraId="61DF5ADF" w14:textId="77777777" w:rsidR="00F525B2" w:rsidRDefault="00F525B2" w:rsidP="00F525B2">
            <w:pPr>
              <w:keepNext/>
              <w:keepLines/>
              <w:spacing w:after="0"/>
              <w:rPr>
                <w:rFonts w:ascii="Arial" w:hAnsi="Arial" w:cs="Arial"/>
                <w:sz w:val="18"/>
                <w:szCs w:val="18"/>
                <w:lang w:eastAsia="zh-CN"/>
              </w:rPr>
            </w:pPr>
            <w:r>
              <w:rPr>
                <w:rFonts w:ascii="Arial" w:hAnsi="Arial" w:cs="Arial"/>
                <w:sz w:val="18"/>
                <w:szCs w:val="18"/>
                <w:lang w:eastAsia="zh-CN"/>
              </w:rPr>
              <w:t>ServiceExperienceExt</w:t>
            </w:r>
          </w:p>
          <w:p w14:paraId="50AE1353" w14:textId="77777777" w:rsidR="00F525B2" w:rsidRDefault="00F525B2" w:rsidP="00F525B2">
            <w:pPr>
              <w:keepNext/>
              <w:keepLines/>
              <w:spacing w:after="0"/>
              <w:rPr>
                <w:rFonts w:ascii="Arial" w:hAnsi="Arial" w:cs="Arial"/>
                <w:sz w:val="18"/>
                <w:szCs w:val="18"/>
              </w:rPr>
            </w:pPr>
            <w:r>
              <w:rPr>
                <w:rFonts w:ascii="Arial" w:hAnsi="Arial" w:cs="Arial"/>
                <w:sz w:val="18"/>
                <w:szCs w:val="18"/>
              </w:rPr>
              <w:t>NsiLoadExt</w:t>
            </w:r>
          </w:p>
          <w:p w14:paraId="412829B9" w14:textId="77777777" w:rsidR="00F525B2" w:rsidRDefault="00F525B2" w:rsidP="00F525B2">
            <w:pPr>
              <w:pStyle w:val="TAL"/>
              <w:rPr>
                <w:rFonts w:cs="Arial"/>
                <w:szCs w:val="18"/>
              </w:rPr>
            </w:pPr>
            <w:r>
              <w:rPr>
                <w:rFonts w:cs="Arial"/>
                <w:szCs w:val="18"/>
              </w:rPr>
              <w:t>LocAccuracy</w:t>
            </w:r>
          </w:p>
          <w:p w14:paraId="3CD57E7E" w14:textId="77777777" w:rsidR="00F525B2" w:rsidRDefault="00F525B2" w:rsidP="00F525B2">
            <w:pPr>
              <w:pStyle w:val="TAL"/>
              <w:rPr>
                <w:rFonts w:cs="Arial"/>
                <w:szCs w:val="18"/>
              </w:rPr>
            </w:pPr>
            <w:r w:rsidRPr="00D95A9F">
              <w:rPr>
                <w:rFonts w:cs="Arial"/>
                <w:szCs w:val="18"/>
              </w:rPr>
              <w:t>E2eDataVolTransTime</w:t>
            </w:r>
          </w:p>
          <w:p w14:paraId="65626AE8" w14:textId="77777777" w:rsidR="00F525B2" w:rsidRDefault="00F525B2" w:rsidP="00F525B2">
            <w:pPr>
              <w:pStyle w:val="TAL"/>
              <w:rPr>
                <w:rFonts w:cs="Arial"/>
                <w:szCs w:val="18"/>
              </w:rPr>
            </w:pPr>
            <w:r>
              <w:rPr>
                <w:rFonts w:cs="Arial"/>
                <w:szCs w:val="18"/>
              </w:rPr>
              <w:t>QoSPolicyAssist</w:t>
            </w:r>
          </w:p>
        </w:tc>
      </w:tr>
      <w:tr w:rsidR="00F253B2" w14:paraId="60C2D1C7" w14:textId="77777777" w:rsidTr="00635E7C">
        <w:trPr>
          <w:gridAfter w:val="1"/>
          <w:wAfter w:w="85" w:type="dxa"/>
          <w:jc w:val="center"/>
        </w:trPr>
        <w:tc>
          <w:tcPr>
            <w:tcW w:w="3222" w:type="dxa"/>
            <w:gridSpan w:val="2"/>
          </w:tcPr>
          <w:p w14:paraId="69A8E545" w14:textId="77777777" w:rsidR="00F253B2" w:rsidRDefault="00F253B2" w:rsidP="00F253B2">
            <w:pPr>
              <w:pStyle w:val="TAL"/>
              <w:rPr>
                <w:lang w:eastAsia="zh-CN"/>
              </w:rPr>
            </w:pPr>
            <w:r>
              <w:rPr>
                <w:lang w:eastAsia="zh-CN"/>
              </w:rPr>
              <w:t>MLModelInfo</w:t>
            </w:r>
          </w:p>
        </w:tc>
        <w:tc>
          <w:tcPr>
            <w:tcW w:w="1195" w:type="dxa"/>
            <w:gridSpan w:val="2"/>
          </w:tcPr>
          <w:p w14:paraId="0F707E3B" w14:textId="77777777" w:rsidR="00F253B2" w:rsidRDefault="00F253B2" w:rsidP="00F253B2">
            <w:pPr>
              <w:pStyle w:val="TAL"/>
              <w:rPr>
                <w:lang w:eastAsia="zh-CN"/>
              </w:rPr>
            </w:pPr>
            <w:r>
              <w:rPr>
                <w:rFonts w:hint="eastAsia"/>
                <w:lang w:eastAsia="zh-CN"/>
              </w:rPr>
              <w:t>5</w:t>
            </w:r>
            <w:r>
              <w:rPr>
                <w:lang w:eastAsia="zh-CN"/>
              </w:rPr>
              <w:t>.1.6.2.69</w:t>
            </w:r>
          </w:p>
        </w:tc>
        <w:tc>
          <w:tcPr>
            <w:tcW w:w="2132" w:type="dxa"/>
            <w:gridSpan w:val="2"/>
          </w:tcPr>
          <w:p w14:paraId="69A76211" w14:textId="77777777" w:rsidR="00F253B2" w:rsidRDefault="00F253B2" w:rsidP="00F253B2">
            <w:pPr>
              <w:pStyle w:val="TAL"/>
              <w:rPr>
                <w:lang w:eastAsia="zh-CN"/>
              </w:rPr>
            </w:pPr>
            <w:r>
              <w:rPr>
                <w:lang w:eastAsia="zh-CN"/>
              </w:rPr>
              <w:t>The information of the ML model.</w:t>
            </w:r>
          </w:p>
        </w:tc>
        <w:tc>
          <w:tcPr>
            <w:tcW w:w="2751" w:type="dxa"/>
            <w:gridSpan w:val="2"/>
          </w:tcPr>
          <w:p w14:paraId="556A0EB3" w14:textId="77777777" w:rsidR="00F253B2" w:rsidRDefault="00F253B2" w:rsidP="00F253B2">
            <w:pPr>
              <w:pStyle w:val="TAL"/>
            </w:pPr>
            <w:r>
              <w:t>AnaSubTransfer</w:t>
            </w:r>
          </w:p>
        </w:tc>
      </w:tr>
      <w:tr w:rsidR="00F253B2" w14:paraId="11276710" w14:textId="77777777" w:rsidTr="00635E7C">
        <w:trPr>
          <w:gridAfter w:val="1"/>
          <w:wAfter w:w="85" w:type="dxa"/>
          <w:jc w:val="center"/>
        </w:trPr>
        <w:tc>
          <w:tcPr>
            <w:tcW w:w="3222" w:type="dxa"/>
            <w:gridSpan w:val="2"/>
          </w:tcPr>
          <w:p w14:paraId="2CF69696" w14:textId="77777777" w:rsidR="00F253B2" w:rsidRDefault="00F253B2" w:rsidP="00F253B2">
            <w:pPr>
              <w:pStyle w:val="TAL"/>
              <w:rPr>
                <w:lang w:eastAsia="zh-CN"/>
              </w:rPr>
            </w:pPr>
            <w:r>
              <w:rPr>
                <w:lang w:eastAsia="zh-CN"/>
              </w:rPr>
              <w:t>ModelInfo</w:t>
            </w:r>
          </w:p>
        </w:tc>
        <w:tc>
          <w:tcPr>
            <w:tcW w:w="1195" w:type="dxa"/>
            <w:gridSpan w:val="2"/>
          </w:tcPr>
          <w:p w14:paraId="0AFBC36D" w14:textId="77777777" w:rsidR="00F253B2" w:rsidRDefault="00F253B2" w:rsidP="00F253B2">
            <w:pPr>
              <w:pStyle w:val="TAL"/>
              <w:rPr>
                <w:lang w:eastAsia="zh-CN"/>
              </w:rPr>
            </w:pPr>
            <w:r>
              <w:rPr>
                <w:lang w:eastAsia="zh-CN"/>
              </w:rPr>
              <w:t>5.1.6.2.42</w:t>
            </w:r>
          </w:p>
        </w:tc>
        <w:tc>
          <w:tcPr>
            <w:tcW w:w="2132" w:type="dxa"/>
            <w:gridSpan w:val="2"/>
          </w:tcPr>
          <w:p w14:paraId="7784D249" w14:textId="77777777" w:rsidR="00F253B2" w:rsidRDefault="00F253B2" w:rsidP="00F253B2">
            <w:pPr>
              <w:pStyle w:val="TAL"/>
              <w:rPr>
                <w:lang w:eastAsia="zh-CN"/>
              </w:rPr>
            </w:pPr>
            <w:r>
              <w:rPr>
                <w:lang w:eastAsia="zh-CN"/>
              </w:rPr>
              <w:t>Contains information about an ML model.</w:t>
            </w:r>
          </w:p>
        </w:tc>
        <w:tc>
          <w:tcPr>
            <w:tcW w:w="2751" w:type="dxa"/>
            <w:gridSpan w:val="2"/>
          </w:tcPr>
          <w:p w14:paraId="3D84225F" w14:textId="77777777" w:rsidR="00F253B2" w:rsidRDefault="00F253B2" w:rsidP="00F253B2">
            <w:pPr>
              <w:pStyle w:val="TAL"/>
              <w:rPr>
                <w:rFonts w:cs="Arial"/>
                <w:szCs w:val="18"/>
              </w:rPr>
            </w:pPr>
            <w:r>
              <w:t>AnaSubTransfer</w:t>
            </w:r>
          </w:p>
        </w:tc>
      </w:tr>
      <w:tr w:rsidR="00F253B2" w14:paraId="5B04A7ED"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2FA98E68" w14:textId="77777777" w:rsidR="00F253B2" w:rsidRDefault="00F253B2" w:rsidP="00F253B2">
            <w:pPr>
              <w:pStyle w:val="TAL"/>
              <w:rPr>
                <w:lang w:eastAsia="zh-CN"/>
              </w:rPr>
            </w:pPr>
            <w:r>
              <w:rPr>
                <w:lang w:eastAsia="zh-CN"/>
              </w:rPr>
              <w:lastRenderedPageBreak/>
              <w:t>MovBehav</w:t>
            </w:r>
          </w:p>
        </w:tc>
        <w:tc>
          <w:tcPr>
            <w:tcW w:w="1195" w:type="dxa"/>
            <w:gridSpan w:val="2"/>
            <w:tcBorders>
              <w:top w:val="single" w:sz="6" w:space="0" w:color="auto"/>
              <w:left w:val="single" w:sz="6" w:space="0" w:color="auto"/>
              <w:bottom w:val="single" w:sz="6" w:space="0" w:color="auto"/>
              <w:right w:val="single" w:sz="6" w:space="0" w:color="auto"/>
            </w:tcBorders>
          </w:tcPr>
          <w:p w14:paraId="16C8EB19" w14:textId="77777777" w:rsidR="00F253B2" w:rsidRDefault="00F253B2" w:rsidP="00F253B2">
            <w:pPr>
              <w:pStyle w:val="TAL"/>
              <w:rPr>
                <w:lang w:eastAsia="zh-CN"/>
              </w:rPr>
            </w:pPr>
            <w:r>
              <w:rPr>
                <w:lang w:eastAsia="zh-CN"/>
              </w:rPr>
              <w:t>5.1.6.2.93</w:t>
            </w:r>
          </w:p>
        </w:tc>
        <w:tc>
          <w:tcPr>
            <w:tcW w:w="2132" w:type="dxa"/>
            <w:gridSpan w:val="2"/>
            <w:tcBorders>
              <w:top w:val="single" w:sz="6" w:space="0" w:color="auto"/>
              <w:left w:val="single" w:sz="6" w:space="0" w:color="auto"/>
              <w:bottom w:val="single" w:sz="6" w:space="0" w:color="auto"/>
              <w:right w:val="single" w:sz="6" w:space="0" w:color="auto"/>
            </w:tcBorders>
          </w:tcPr>
          <w:p w14:paraId="34EFE437" w14:textId="77777777" w:rsidR="00F253B2" w:rsidRDefault="00F253B2" w:rsidP="00F253B2">
            <w:pPr>
              <w:pStyle w:val="TAL"/>
              <w:rPr>
                <w:lang w:eastAsia="zh-CN"/>
              </w:rPr>
            </w:pPr>
            <w:r>
              <w:rPr>
                <w:lang w:eastAsia="zh-CN"/>
              </w:rPr>
              <w:t>Represents the Movement Behaviour information per time slot.</w:t>
            </w:r>
          </w:p>
        </w:tc>
        <w:tc>
          <w:tcPr>
            <w:tcW w:w="2751" w:type="dxa"/>
            <w:gridSpan w:val="2"/>
            <w:tcBorders>
              <w:top w:val="single" w:sz="6" w:space="0" w:color="auto"/>
              <w:left w:val="single" w:sz="6" w:space="0" w:color="auto"/>
              <w:bottom w:val="single" w:sz="6" w:space="0" w:color="auto"/>
              <w:right w:val="single" w:sz="6" w:space="0" w:color="auto"/>
            </w:tcBorders>
          </w:tcPr>
          <w:p w14:paraId="7212EC6B" w14:textId="77777777" w:rsidR="00F253B2" w:rsidRDefault="00F253B2" w:rsidP="00F253B2">
            <w:pPr>
              <w:pStyle w:val="TAL"/>
            </w:pPr>
            <w:r>
              <w:t>MovementBehaviour</w:t>
            </w:r>
          </w:p>
        </w:tc>
      </w:tr>
      <w:tr w:rsidR="00F253B2" w14:paraId="71485FB9"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5CAB0E08" w14:textId="77777777" w:rsidR="00F253B2" w:rsidRDefault="00F253B2" w:rsidP="00F253B2">
            <w:pPr>
              <w:pStyle w:val="TAL"/>
              <w:rPr>
                <w:lang w:eastAsia="zh-CN"/>
              </w:rPr>
            </w:pPr>
            <w:r>
              <w:rPr>
                <w:lang w:eastAsia="zh-CN"/>
              </w:rPr>
              <w:t>MovBehavInfo</w:t>
            </w:r>
          </w:p>
        </w:tc>
        <w:tc>
          <w:tcPr>
            <w:tcW w:w="1195" w:type="dxa"/>
            <w:gridSpan w:val="2"/>
            <w:tcBorders>
              <w:top w:val="single" w:sz="6" w:space="0" w:color="auto"/>
              <w:left w:val="single" w:sz="6" w:space="0" w:color="auto"/>
              <w:bottom w:val="single" w:sz="6" w:space="0" w:color="auto"/>
              <w:right w:val="single" w:sz="6" w:space="0" w:color="auto"/>
            </w:tcBorders>
          </w:tcPr>
          <w:p w14:paraId="29462811" w14:textId="77777777" w:rsidR="00F253B2" w:rsidRDefault="00F253B2" w:rsidP="00F253B2">
            <w:pPr>
              <w:pStyle w:val="TAL"/>
              <w:rPr>
                <w:lang w:eastAsia="zh-CN"/>
              </w:rPr>
            </w:pPr>
            <w:r>
              <w:rPr>
                <w:lang w:eastAsia="zh-CN"/>
              </w:rPr>
              <w:t>5.1.6.2.92</w:t>
            </w:r>
          </w:p>
        </w:tc>
        <w:tc>
          <w:tcPr>
            <w:tcW w:w="2132" w:type="dxa"/>
            <w:gridSpan w:val="2"/>
            <w:tcBorders>
              <w:top w:val="single" w:sz="6" w:space="0" w:color="auto"/>
              <w:left w:val="single" w:sz="6" w:space="0" w:color="auto"/>
              <w:bottom w:val="single" w:sz="6" w:space="0" w:color="auto"/>
              <w:right w:val="single" w:sz="6" w:space="0" w:color="auto"/>
            </w:tcBorders>
          </w:tcPr>
          <w:p w14:paraId="037BE1E1" w14:textId="77777777" w:rsidR="00F253B2" w:rsidRDefault="00F253B2" w:rsidP="00F253B2">
            <w:pPr>
              <w:pStyle w:val="TAL"/>
              <w:rPr>
                <w:lang w:eastAsia="zh-CN"/>
              </w:rPr>
            </w:pPr>
            <w:r>
              <w:rPr>
                <w:lang w:eastAsia="zh-CN"/>
              </w:rPr>
              <w:t>Represents the Movement Behaviour information.</w:t>
            </w:r>
          </w:p>
        </w:tc>
        <w:tc>
          <w:tcPr>
            <w:tcW w:w="2751" w:type="dxa"/>
            <w:gridSpan w:val="2"/>
            <w:tcBorders>
              <w:top w:val="single" w:sz="6" w:space="0" w:color="auto"/>
              <w:left w:val="single" w:sz="6" w:space="0" w:color="auto"/>
              <w:bottom w:val="single" w:sz="6" w:space="0" w:color="auto"/>
              <w:right w:val="single" w:sz="6" w:space="0" w:color="auto"/>
            </w:tcBorders>
          </w:tcPr>
          <w:p w14:paraId="42953613" w14:textId="77777777" w:rsidR="00F253B2" w:rsidRDefault="00F253B2" w:rsidP="00F253B2">
            <w:pPr>
              <w:pStyle w:val="TAL"/>
            </w:pPr>
            <w:r>
              <w:t>MovementBehaviour</w:t>
            </w:r>
          </w:p>
        </w:tc>
      </w:tr>
      <w:tr w:rsidR="00F253B2" w14:paraId="0FF2EED0"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08D40D6" w14:textId="77777777" w:rsidR="00F253B2" w:rsidRDefault="00F253B2" w:rsidP="00F253B2">
            <w:pPr>
              <w:pStyle w:val="TAL"/>
              <w:rPr>
                <w:lang w:eastAsia="zh-CN"/>
              </w:rPr>
            </w:pPr>
            <w:r>
              <w:rPr>
                <w:lang w:eastAsia="zh-CN"/>
              </w:rPr>
              <w:t>MovBehavReq</w:t>
            </w:r>
          </w:p>
        </w:tc>
        <w:tc>
          <w:tcPr>
            <w:tcW w:w="1195" w:type="dxa"/>
            <w:gridSpan w:val="2"/>
            <w:tcBorders>
              <w:top w:val="single" w:sz="6" w:space="0" w:color="auto"/>
              <w:left w:val="single" w:sz="6" w:space="0" w:color="auto"/>
              <w:bottom w:val="single" w:sz="6" w:space="0" w:color="auto"/>
              <w:right w:val="single" w:sz="6" w:space="0" w:color="auto"/>
            </w:tcBorders>
          </w:tcPr>
          <w:p w14:paraId="45FCF256" w14:textId="77777777" w:rsidR="00F253B2" w:rsidRDefault="00F253B2" w:rsidP="00F253B2">
            <w:pPr>
              <w:pStyle w:val="TAL"/>
              <w:rPr>
                <w:lang w:eastAsia="zh-CN"/>
              </w:rPr>
            </w:pPr>
            <w:r>
              <w:rPr>
                <w:lang w:eastAsia="zh-CN"/>
              </w:rPr>
              <w:t>5.1.6.2.91</w:t>
            </w:r>
          </w:p>
        </w:tc>
        <w:tc>
          <w:tcPr>
            <w:tcW w:w="2132" w:type="dxa"/>
            <w:gridSpan w:val="2"/>
            <w:tcBorders>
              <w:top w:val="single" w:sz="6" w:space="0" w:color="auto"/>
              <w:left w:val="single" w:sz="6" w:space="0" w:color="auto"/>
              <w:bottom w:val="single" w:sz="6" w:space="0" w:color="auto"/>
              <w:right w:val="single" w:sz="6" w:space="0" w:color="auto"/>
            </w:tcBorders>
          </w:tcPr>
          <w:p w14:paraId="13E9A79C" w14:textId="77777777" w:rsidR="00F253B2" w:rsidRDefault="00F253B2" w:rsidP="00F253B2">
            <w:pPr>
              <w:pStyle w:val="TAL"/>
              <w:rPr>
                <w:lang w:eastAsia="zh-CN"/>
              </w:rPr>
            </w:pPr>
            <w:r>
              <w:rPr>
                <w:lang w:eastAsia="zh-CN"/>
              </w:rPr>
              <w:t>Represents the Movement Behaviour analytics requirements.</w:t>
            </w:r>
          </w:p>
        </w:tc>
        <w:tc>
          <w:tcPr>
            <w:tcW w:w="2751" w:type="dxa"/>
            <w:gridSpan w:val="2"/>
            <w:tcBorders>
              <w:top w:val="single" w:sz="6" w:space="0" w:color="auto"/>
              <w:left w:val="single" w:sz="6" w:space="0" w:color="auto"/>
              <w:bottom w:val="single" w:sz="6" w:space="0" w:color="auto"/>
              <w:right w:val="single" w:sz="6" w:space="0" w:color="auto"/>
            </w:tcBorders>
          </w:tcPr>
          <w:p w14:paraId="05CFCCDD" w14:textId="77777777" w:rsidR="00F253B2" w:rsidRDefault="00F253B2" w:rsidP="00F253B2">
            <w:pPr>
              <w:pStyle w:val="TAL"/>
            </w:pPr>
            <w:r>
              <w:t>MovementBehaviour</w:t>
            </w:r>
          </w:p>
        </w:tc>
      </w:tr>
      <w:tr w:rsidR="00F253B2" w14:paraId="094838FD" w14:textId="77777777" w:rsidTr="00635E7C">
        <w:trPr>
          <w:gridAfter w:val="1"/>
          <w:wAfter w:w="85" w:type="dxa"/>
          <w:jc w:val="center"/>
        </w:trPr>
        <w:tc>
          <w:tcPr>
            <w:tcW w:w="3222" w:type="dxa"/>
            <w:gridSpan w:val="2"/>
          </w:tcPr>
          <w:p w14:paraId="75C061B3" w14:textId="77777777" w:rsidR="00F253B2" w:rsidRDefault="00F253B2" w:rsidP="00F253B2">
            <w:pPr>
              <w:pStyle w:val="TAL"/>
              <w:rPr>
                <w:lang w:eastAsia="zh-CN"/>
              </w:rPr>
            </w:pPr>
            <w:r>
              <w:t>NetworkPerfInfo</w:t>
            </w:r>
          </w:p>
        </w:tc>
        <w:tc>
          <w:tcPr>
            <w:tcW w:w="1195" w:type="dxa"/>
            <w:gridSpan w:val="2"/>
          </w:tcPr>
          <w:p w14:paraId="7070FC72" w14:textId="77777777" w:rsidR="00F253B2" w:rsidRDefault="00F253B2" w:rsidP="00F253B2">
            <w:pPr>
              <w:pStyle w:val="TAL"/>
              <w:rPr>
                <w:lang w:eastAsia="zh-CN"/>
              </w:rPr>
            </w:pPr>
            <w:r>
              <w:rPr>
                <w:rFonts w:hint="eastAsia"/>
                <w:lang w:eastAsia="zh-CN"/>
              </w:rPr>
              <w:t>5</w:t>
            </w:r>
            <w:r>
              <w:rPr>
                <w:lang w:eastAsia="zh-CN"/>
              </w:rPr>
              <w:t>.1.6.2.23</w:t>
            </w:r>
          </w:p>
        </w:tc>
        <w:tc>
          <w:tcPr>
            <w:tcW w:w="2132" w:type="dxa"/>
            <w:gridSpan w:val="2"/>
          </w:tcPr>
          <w:p w14:paraId="39919B53" w14:textId="77777777" w:rsidR="00F253B2" w:rsidRDefault="00F253B2" w:rsidP="00F253B2">
            <w:pPr>
              <w:pStyle w:val="TAL"/>
              <w:rPr>
                <w:lang w:eastAsia="zh-CN"/>
              </w:rPr>
            </w:pPr>
            <w:r>
              <w:rPr>
                <w:lang w:eastAsia="zh-CN"/>
              </w:rPr>
              <w:t>Represents the network performance information.</w:t>
            </w:r>
          </w:p>
        </w:tc>
        <w:tc>
          <w:tcPr>
            <w:tcW w:w="2751" w:type="dxa"/>
            <w:gridSpan w:val="2"/>
          </w:tcPr>
          <w:p w14:paraId="22008703" w14:textId="77777777" w:rsidR="00F253B2" w:rsidRDefault="00F253B2" w:rsidP="00F253B2">
            <w:pPr>
              <w:pStyle w:val="TAL"/>
              <w:rPr>
                <w:rFonts w:cs="Arial"/>
                <w:szCs w:val="18"/>
              </w:rPr>
            </w:pPr>
            <w:r>
              <w:t>NetworkPerformance</w:t>
            </w:r>
          </w:p>
        </w:tc>
      </w:tr>
      <w:tr w:rsidR="00F253B2" w14:paraId="7AB233FA" w14:textId="77777777" w:rsidTr="00635E7C">
        <w:trPr>
          <w:gridAfter w:val="1"/>
          <w:wAfter w:w="85" w:type="dxa"/>
          <w:jc w:val="center"/>
        </w:trPr>
        <w:tc>
          <w:tcPr>
            <w:tcW w:w="3222" w:type="dxa"/>
            <w:gridSpan w:val="2"/>
          </w:tcPr>
          <w:p w14:paraId="32BEEC8C" w14:textId="77777777" w:rsidR="00F253B2" w:rsidRDefault="00F253B2" w:rsidP="00F253B2">
            <w:pPr>
              <w:pStyle w:val="TAL"/>
            </w:pPr>
            <w:r>
              <w:t>NetworkPerfOrderCriterion</w:t>
            </w:r>
          </w:p>
        </w:tc>
        <w:tc>
          <w:tcPr>
            <w:tcW w:w="1195" w:type="dxa"/>
            <w:gridSpan w:val="2"/>
          </w:tcPr>
          <w:p w14:paraId="618577E5" w14:textId="77777777" w:rsidR="00F253B2" w:rsidRDefault="00F253B2" w:rsidP="00F253B2">
            <w:pPr>
              <w:pStyle w:val="TAL"/>
              <w:rPr>
                <w:lang w:eastAsia="zh-CN"/>
              </w:rPr>
            </w:pPr>
            <w:r>
              <w:rPr>
                <w:rFonts w:hint="eastAsia"/>
                <w:lang w:eastAsia="zh-CN"/>
              </w:rPr>
              <w:t>5</w:t>
            </w:r>
            <w:r>
              <w:rPr>
                <w:lang w:eastAsia="zh-CN"/>
              </w:rPr>
              <w:t>.1.6.3.30</w:t>
            </w:r>
          </w:p>
        </w:tc>
        <w:tc>
          <w:tcPr>
            <w:tcW w:w="2132" w:type="dxa"/>
            <w:gridSpan w:val="2"/>
          </w:tcPr>
          <w:p w14:paraId="58557F81" w14:textId="77777777" w:rsidR="00F253B2" w:rsidRDefault="00F253B2" w:rsidP="00F253B2">
            <w:pPr>
              <w:pStyle w:val="TAL"/>
              <w:rPr>
                <w:lang w:eastAsia="zh-CN"/>
              </w:rPr>
            </w:pPr>
            <w:r>
              <w:rPr>
                <w:lang w:eastAsia="ko-KR"/>
              </w:rPr>
              <w:t xml:space="preserve">The ordering criterion for the list of </w:t>
            </w:r>
            <w:r>
              <w:rPr>
                <w:rFonts w:hint="eastAsia"/>
                <w:lang w:eastAsia="zh-CN"/>
              </w:rPr>
              <w:t>network</w:t>
            </w:r>
            <w:r>
              <w:rPr>
                <w:lang w:eastAsia="ko-KR"/>
              </w:rPr>
              <w:t xml:space="preserve"> performance analytics.</w:t>
            </w:r>
          </w:p>
        </w:tc>
        <w:tc>
          <w:tcPr>
            <w:tcW w:w="2751" w:type="dxa"/>
            <w:gridSpan w:val="2"/>
          </w:tcPr>
          <w:p w14:paraId="6309669B" w14:textId="77777777" w:rsidR="00F253B2" w:rsidRDefault="00F253B2" w:rsidP="00F253B2">
            <w:pPr>
              <w:pStyle w:val="TAL"/>
            </w:pPr>
            <w:r>
              <w:t>NetworkPerformance</w:t>
            </w:r>
            <w:r>
              <w:rPr>
                <w:lang w:eastAsia="zh-CN"/>
              </w:rPr>
              <w:t>Ext_eNA</w:t>
            </w:r>
          </w:p>
        </w:tc>
      </w:tr>
      <w:tr w:rsidR="00F253B2" w14:paraId="70456DA8" w14:textId="77777777" w:rsidTr="00635E7C">
        <w:trPr>
          <w:gridAfter w:val="1"/>
          <w:wAfter w:w="85" w:type="dxa"/>
          <w:jc w:val="center"/>
        </w:trPr>
        <w:tc>
          <w:tcPr>
            <w:tcW w:w="3222" w:type="dxa"/>
            <w:gridSpan w:val="2"/>
          </w:tcPr>
          <w:p w14:paraId="2180FEB3" w14:textId="77777777" w:rsidR="00F253B2" w:rsidRDefault="00F253B2" w:rsidP="00F253B2">
            <w:pPr>
              <w:pStyle w:val="TAL"/>
              <w:rPr>
                <w:lang w:eastAsia="zh-CN"/>
              </w:rPr>
            </w:pPr>
            <w:r>
              <w:t>NetworkPerfRequirement</w:t>
            </w:r>
          </w:p>
        </w:tc>
        <w:tc>
          <w:tcPr>
            <w:tcW w:w="1195" w:type="dxa"/>
            <w:gridSpan w:val="2"/>
          </w:tcPr>
          <w:p w14:paraId="6CB7DCAF" w14:textId="77777777" w:rsidR="00F253B2" w:rsidRDefault="00F253B2" w:rsidP="00F253B2">
            <w:pPr>
              <w:pStyle w:val="TAL"/>
              <w:rPr>
                <w:lang w:eastAsia="zh-CN"/>
              </w:rPr>
            </w:pPr>
            <w:r>
              <w:rPr>
                <w:rFonts w:hint="eastAsia"/>
                <w:lang w:eastAsia="zh-CN"/>
              </w:rPr>
              <w:t>5</w:t>
            </w:r>
            <w:r>
              <w:rPr>
                <w:lang w:eastAsia="zh-CN"/>
              </w:rPr>
              <w:t>.1.6.2.22</w:t>
            </w:r>
          </w:p>
        </w:tc>
        <w:tc>
          <w:tcPr>
            <w:tcW w:w="2132" w:type="dxa"/>
            <w:gridSpan w:val="2"/>
          </w:tcPr>
          <w:p w14:paraId="649A2699" w14:textId="77777777" w:rsidR="00F253B2" w:rsidRDefault="00F253B2" w:rsidP="00F253B2">
            <w:pPr>
              <w:pStyle w:val="TAL"/>
              <w:rPr>
                <w:lang w:eastAsia="zh-CN"/>
              </w:rPr>
            </w:pPr>
            <w:r>
              <w:rPr>
                <w:lang w:eastAsia="zh-CN"/>
              </w:rPr>
              <w:t>Represents a network performance requirement.</w:t>
            </w:r>
          </w:p>
        </w:tc>
        <w:tc>
          <w:tcPr>
            <w:tcW w:w="2751" w:type="dxa"/>
            <w:gridSpan w:val="2"/>
          </w:tcPr>
          <w:p w14:paraId="08C7B3B2" w14:textId="77777777" w:rsidR="00F253B2" w:rsidRDefault="00F253B2" w:rsidP="00F253B2">
            <w:pPr>
              <w:pStyle w:val="TAL"/>
              <w:rPr>
                <w:rFonts w:cs="Arial"/>
                <w:szCs w:val="18"/>
              </w:rPr>
            </w:pPr>
            <w:r>
              <w:t>NetworkPerformance</w:t>
            </w:r>
          </w:p>
        </w:tc>
      </w:tr>
      <w:tr w:rsidR="00F253B2" w14:paraId="21DFEE66" w14:textId="77777777" w:rsidTr="00635E7C">
        <w:trPr>
          <w:gridAfter w:val="1"/>
          <w:wAfter w:w="85" w:type="dxa"/>
          <w:jc w:val="center"/>
        </w:trPr>
        <w:tc>
          <w:tcPr>
            <w:tcW w:w="3222" w:type="dxa"/>
            <w:gridSpan w:val="2"/>
          </w:tcPr>
          <w:p w14:paraId="328CB680" w14:textId="77777777" w:rsidR="00F253B2" w:rsidRDefault="00F253B2" w:rsidP="00F253B2">
            <w:pPr>
              <w:pStyle w:val="TAL"/>
              <w:rPr>
                <w:lang w:eastAsia="zh-CN"/>
              </w:rPr>
            </w:pPr>
            <w:r>
              <w:t>NetworkPerfType</w:t>
            </w:r>
          </w:p>
        </w:tc>
        <w:tc>
          <w:tcPr>
            <w:tcW w:w="1195" w:type="dxa"/>
            <w:gridSpan w:val="2"/>
          </w:tcPr>
          <w:p w14:paraId="5B4218B3" w14:textId="77777777" w:rsidR="00F253B2" w:rsidRDefault="00F253B2" w:rsidP="00F253B2">
            <w:pPr>
              <w:pStyle w:val="TAL"/>
              <w:rPr>
                <w:lang w:eastAsia="zh-CN"/>
              </w:rPr>
            </w:pPr>
            <w:r>
              <w:rPr>
                <w:rFonts w:hint="eastAsia"/>
                <w:lang w:eastAsia="zh-CN"/>
              </w:rPr>
              <w:t>5</w:t>
            </w:r>
            <w:r>
              <w:rPr>
                <w:lang w:eastAsia="zh-CN"/>
              </w:rPr>
              <w:t>.1.6.3.10</w:t>
            </w:r>
          </w:p>
        </w:tc>
        <w:tc>
          <w:tcPr>
            <w:tcW w:w="2132" w:type="dxa"/>
            <w:gridSpan w:val="2"/>
          </w:tcPr>
          <w:p w14:paraId="11BA80D1" w14:textId="77777777" w:rsidR="00F253B2" w:rsidRDefault="00F253B2" w:rsidP="00F253B2">
            <w:pPr>
              <w:pStyle w:val="TAL"/>
              <w:rPr>
                <w:lang w:eastAsia="zh-CN"/>
              </w:rPr>
            </w:pPr>
            <w:r>
              <w:rPr>
                <w:lang w:eastAsia="zh-CN"/>
              </w:rPr>
              <w:t>Represents the network performance types.</w:t>
            </w:r>
          </w:p>
        </w:tc>
        <w:tc>
          <w:tcPr>
            <w:tcW w:w="2751" w:type="dxa"/>
            <w:gridSpan w:val="2"/>
          </w:tcPr>
          <w:p w14:paraId="3AEC9A15" w14:textId="77777777" w:rsidR="00F253B2" w:rsidRDefault="00F253B2" w:rsidP="00F253B2">
            <w:pPr>
              <w:pStyle w:val="TAL"/>
              <w:rPr>
                <w:rFonts w:cs="Arial"/>
                <w:szCs w:val="18"/>
              </w:rPr>
            </w:pPr>
            <w:r>
              <w:t>NetworkPerformance</w:t>
            </w:r>
          </w:p>
        </w:tc>
      </w:tr>
      <w:tr w:rsidR="00F253B2" w14:paraId="2E31E9F0" w14:textId="77777777" w:rsidTr="00635E7C">
        <w:trPr>
          <w:gridAfter w:val="1"/>
          <w:wAfter w:w="85" w:type="dxa"/>
          <w:jc w:val="center"/>
        </w:trPr>
        <w:tc>
          <w:tcPr>
            <w:tcW w:w="3222" w:type="dxa"/>
            <w:gridSpan w:val="2"/>
          </w:tcPr>
          <w:p w14:paraId="26C97F92" w14:textId="77777777" w:rsidR="00F253B2" w:rsidRDefault="00F253B2" w:rsidP="00F253B2">
            <w:pPr>
              <w:pStyle w:val="TAL"/>
              <w:rPr>
                <w:lang w:eastAsia="zh-CN"/>
              </w:rPr>
            </w:pPr>
            <w:r>
              <w:rPr>
                <w:lang w:eastAsia="zh-CN"/>
              </w:rPr>
              <w:t>NfLoadLevelInformation</w:t>
            </w:r>
          </w:p>
        </w:tc>
        <w:tc>
          <w:tcPr>
            <w:tcW w:w="1195" w:type="dxa"/>
            <w:gridSpan w:val="2"/>
          </w:tcPr>
          <w:p w14:paraId="1B2FC694" w14:textId="77777777" w:rsidR="00F253B2" w:rsidRDefault="00F253B2" w:rsidP="00F253B2">
            <w:pPr>
              <w:pStyle w:val="TAL"/>
              <w:rPr>
                <w:lang w:eastAsia="zh-CN"/>
              </w:rPr>
            </w:pPr>
            <w:r>
              <w:t>5.1.6.2.31</w:t>
            </w:r>
          </w:p>
        </w:tc>
        <w:tc>
          <w:tcPr>
            <w:tcW w:w="2132" w:type="dxa"/>
            <w:gridSpan w:val="2"/>
          </w:tcPr>
          <w:p w14:paraId="12E1DAA2" w14:textId="77777777" w:rsidR="00F253B2" w:rsidRDefault="00F253B2" w:rsidP="00F253B2">
            <w:pPr>
              <w:pStyle w:val="TAL"/>
              <w:rPr>
                <w:lang w:eastAsia="zh-CN"/>
              </w:rPr>
            </w:pPr>
            <w:r>
              <w:rPr>
                <w:lang w:eastAsia="zh-CN"/>
              </w:rPr>
              <w:t>Represents load level information of a given NF instance.</w:t>
            </w:r>
          </w:p>
        </w:tc>
        <w:tc>
          <w:tcPr>
            <w:tcW w:w="2751" w:type="dxa"/>
            <w:gridSpan w:val="2"/>
          </w:tcPr>
          <w:p w14:paraId="7D8D3B89" w14:textId="77777777" w:rsidR="00F253B2" w:rsidRDefault="00F253B2" w:rsidP="00F253B2">
            <w:pPr>
              <w:pStyle w:val="TAL"/>
              <w:rPr>
                <w:rFonts w:cs="Arial"/>
                <w:szCs w:val="18"/>
              </w:rPr>
            </w:pPr>
            <w:r>
              <w:t>NfLoad</w:t>
            </w:r>
          </w:p>
        </w:tc>
      </w:tr>
      <w:tr w:rsidR="00F253B2" w14:paraId="3A59D32C" w14:textId="77777777" w:rsidTr="00635E7C">
        <w:trPr>
          <w:gridAfter w:val="1"/>
          <w:wAfter w:w="85" w:type="dxa"/>
          <w:jc w:val="center"/>
        </w:trPr>
        <w:tc>
          <w:tcPr>
            <w:tcW w:w="3222" w:type="dxa"/>
            <w:gridSpan w:val="2"/>
          </w:tcPr>
          <w:p w14:paraId="4BE856B5" w14:textId="77777777" w:rsidR="00F253B2" w:rsidRDefault="00F253B2" w:rsidP="00F253B2">
            <w:pPr>
              <w:pStyle w:val="TAL"/>
              <w:rPr>
                <w:lang w:eastAsia="zh-CN"/>
              </w:rPr>
            </w:pPr>
            <w:r>
              <w:rPr>
                <w:lang w:eastAsia="zh-CN"/>
              </w:rPr>
              <w:t>NfStatus</w:t>
            </w:r>
          </w:p>
        </w:tc>
        <w:tc>
          <w:tcPr>
            <w:tcW w:w="1195" w:type="dxa"/>
            <w:gridSpan w:val="2"/>
          </w:tcPr>
          <w:p w14:paraId="2B533246" w14:textId="77777777" w:rsidR="00F253B2" w:rsidRDefault="00F253B2" w:rsidP="00F253B2">
            <w:pPr>
              <w:pStyle w:val="TAL"/>
            </w:pPr>
            <w:r>
              <w:rPr>
                <w:lang w:eastAsia="zh-CN"/>
              </w:rPr>
              <w:t>5.1.6.2.32</w:t>
            </w:r>
          </w:p>
        </w:tc>
        <w:tc>
          <w:tcPr>
            <w:tcW w:w="2132" w:type="dxa"/>
            <w:gridSpan w:val="2"/>
          </w:tcPr>
          <w:p w14:paraId="31BC7D13" w14:textId="77777777" w:rsidR="00F253B2" w:rsidRDefault="00F253B2" w:rsidP="00F253B2">
            <w:pPr>
              <w:pStyle w:val="TAL"/>
              <w:rPr>
                <w:lang w:eastAsia="zh-CN"/>
              </w:rPr>
            </w:pPr>
            <w:r>
              <w:rPr>
                <w:lang w:eastAsia="zh-CN"/>
              </w:rPr>
              <w:t>Provides the percentage of time spent on various NF states.</w:t>
            </w:r>
          </w:p>
        </w:tc>
        <w:tc>
          <w:tcPr>
            <w:tcW w:w="2751" w:type="dxa"/>
            <w:gridSpan w:val="2"/>
          </w:tcPr>
          <w:p w14:paraId="27170CFB" w14:textId="77777777" w:rsidR="00F253B2" w:rsidRDefault="00F253B2" w:rsidP="00F253B2">
            <w:pPr>
              <w:pStyle w:val="TAL"/>
            </w:pPr>
            <w:r>
              <w:rPr>
                <w:rFonts w:cs="Arial"/>
                <w:szCs w:val="18"/>
              </w:rPr>
              <w:t>NfLoad</w:t>
            </w:r>
          </w:p>
        </w:tc>
      </w:tr>
      <w:tr w:rsidR="00F253B2" w14:paraId="5E5D3F5F" w14:textId="77777777" w:rsidTr="00635E7C">
        <w:trPr>
          <w:gridAfter w:val="1"/>
          <w:wAfter w:w="85" w:type="dxa"/>
          <w:jc w:val="center"/>
        </w:trPr>
        <w:tc>
          <w:tcPr>
            <w:tcW w:w="3222" w:type="dxa"/>
            <w:gridSpan w:val="2"/>
          </w:tcPr>
          <w:p w14:paraId="23071E98" w14:textId="77777777" w:rsidR="00F253B2" w:rsidRDefault="00F253B2" w:rsidP="00F253B2">
            <w:pPr>
              <w:pStyle w:val="TAL"/>
              <w:rPr>
                <w:lang w:eastAsia="zh-CN"/>
              </w:rPr>
            </w:pPr>
            <w:r>
              <w:rPr>
                <w:lang w:eastAsia="zh-CN"/>
              </w:rPr>
              <w:t>NnwdafEventsSubscription</w:t>
            </w:r>
          </w:p>
        </w:tc>
        <w:tc>
          <w:tcPr>
            <w:tcW w:w="1195" w:type="dxa"/>
            <w:gridSpan w:val="2"/>
          </w:tcPr>
          <w:p w14:paraId="632D7E5D" w14:textId="77777777" w:rsidR="00F253B2" w:rsidRDefault="00F253B2" w:rsidP="00F253B2">
            <w:pPr>
              <w:pStyle w:val="TAL"/>
              <w:rPr>
                <w:lang w:eastAsia="zh-CN"/>
              </w:rPr>
            </w:pPr>
            <w:r>
              <w:rPr>
                <w:lang w:eastAsia="zh-CN"/>
              </w:rPr>
              <w:t>5.1.6.2.2</w:t>
            </w:r>
          </w:p>
        </w:tc>
        <w:tc>
          <w:tcPr>
            <w:tcW w:w="2132" w:type="dxa"/>
            <w:gridSpan w:val="2"/>
          </w:tcPr>
          <w:p w14:paraId="6355AB1F" w14:textId="77777777" w:rsidR="00F253B2" w:rsidRDefault="00F253B2" w:rsidP="00F253B2">
            <w:pPr>
              <w:pStyle w:val="TAL"/>
              <w:rPr>
                <w:lang w:eastAsia="zh-CN"/>
              </w:rPr>
            </w:pPr>
            <w:r>
              <w:rPr>
                <w:lang w:eastAsia="zh-CN"/>
              </w:rPr>
              <w:t>Represents an Individual NWDAF Event Subscription resource.</w:t>
            </w:r>
          </w:p>
        </w:tc>
        <w:tc>
          <w:tcPr>
            <w:tcW w:w="2751" w:type="dxa"/>
            <w:gridSpan w:val="2"/>
          </w:tcPr>
          <w:p w14:paraId="6892AF55" w14:textId="77777777" w:rsidR="00F253B2" w:rsidRDefault="00F253B2" w:rsidP="00F253B2">
            <w:pPr>
              <w:pStyle w:val="TAL"/>
              <w:rPr>
                <w:rFonts w:cs="Arial"/>
                <w:szCs w:val="18"/>
              </w:rPr>
            </w:pPr>
          </w:p>
        </w:tc>
      </w:tr>
      <w:tr w:rsidR="00F253B2" w14:paraId="72C03C4F" w14:textId="77777777" w:rsidTr="00635E7C">
        <w:trPr>
          <w:gridAfter w:val="1"/>
          <w:wAfter w:w="85" w:type="dxa"/>
          <w:jc w:val="center"/>
        </w:trPr>
        <w:tc>
          <w:tcPr>
            <w:tcW w:w="3222" w:type="dxa"/>
            <w:gridSpan w:val="2"/>
          </w:tcPr>
          <w:p w14:paraId="3A550424" w14:textId="77777777" w:rsidR="00F253B2" w:rsidRDefault="00F253B2" w:rsidP="00F253B2">
            <w:pPr>
              <w:pStyle w:val="TAL"/>
              <w:rPr>
                <w:lang w:eastAsia="zh-CN"/>
              </w:rPr>
            </w:pPr>
            <w:r>
              <w:rPr>
                <w:lang w:eastAsia="zh-CN"/>
              </w:rPr>
              <w:t>NnwdafEventsSubscriptionNotification</w:t>
            </w:r>
          </w:p>
        </w:tc>
        <w:tc>
          <w:tcPr>
            <w:tcW w:w="1195" w:type="dxa"/>
            <w:gridSpan w:val="2"/>
          </w:tcPr>
          <w:p w14:paraId="6A8CB0BE" w14:textId="77777777" w:rsidR="00F253B2" w:rsidRDefault="00F253B2" w:rsidP="00F253B2">
            <w:pPr>
              <w:pStyle w:val="TAL"/>
              <w:rPr>
                <w:lang w:eastAsia="zh-CN"/>
              </w:rPr>
            </w:pPr>
            <w:r>
              <w:rPr>
                <w:lang w:eastAsia="zh-CN"/>
              </w:rPr>
              <w:t>5.1.6.2.4</w:t>
            </w:r>
          </w:p>
        </w:tc>
        <w:tc>
          <w:tcPr>
            <w:tcW w:w="2132" w:type="dxa"/>
            <w:gridSpan w:val="2"/>
          </w:tcPr>
          <w:p w14:paraId="326556CB" w14:textId="77777777" w:rsidR="00F253B2" w:rsidRDefault="00F253B2" w:rsidP="00F253B2">
            <w:pPr>
              <w:pStyle w:val="TAL"/>
              <w:rPr>
                <w:lang w:eastAsia="zh-CN"/>
              </w:rPr>
            </w:pPr>
            <w:r>
              <w:rPr>
                <w:lang w:eastAsia="zh-CN"/>
              </w:rPr>
              <w:t>Represents an Individual NWDAF Event Subscription Notification resource.</w:t>
            </w:r>
          </w:p>
        </w:tc>
        <w:tc>
          <w:tcPr>
            <w:tcW w:w="2751" w:type="dxa"/>
            <w:gridSpan w:val="2"/>
          </w:tcPr>
          <w:p w14:paraId="74BF878E" w14:textId="77777777" w:rsidR="00F253B2" w:rsidRDefault="00F253B2" w:rsidP="00F253B2">
            <w:pPr>
              <w:pStyle w:val="TAL"/>
              <w:rPr>
                <w:rFonts w:cs="Arial"/>
                <w:szCs w:val="18"/>
              </w:rPr>
            </w:pPr>
          </w:p>
        </w:tc>
      </w:tr>
      <w:tr w:rsidR="00F253B2" w14:paraId="1797B1A8" w14:textId="77777777" w:rsidTr="00635E7C">
        <w:trPr>
          <w:gridAfter w:val="1"/>
          <w:wAfter w:w="85" w:type="dxa"/>
          <w:jc w:val="center"/>
        </w:trPr>
        <w:tc>
          <w:tcPr>
            <w:tcW w:w="3222" w:type="dxa"/>
            <w:gridSpan w:val="2"/>
          </w:tcPr>
          <w:p w14:paraId="53D687ED" w14:textId="77777777" w:rsidR="00F253B2" w:rsidRDefault="00F253B2" w:rsidP="00F253B2">
            <w:pPr>
              <w:pStyle w:val="TAL"/>
              <w:rPr>
                <w:lang w:eastAsia="zh-CN"/>
              </w:rPr>
            </w:pPr>
            <w:r>
              <w:rPr>
                <w:lang w:eastAsia="zh-CN"/>
              </w:rPr>
              <w:t>NumberAverage</w:t>
            </w:r>
          </w:p>
        </w:tc>
        <w:tc>
          <w:tcPr>
            <w:tcW w:w="1195" w:type="dxa"/>
            <w:gridSpan w:val="2"/>
          </w:tcPr>
          <w:p w14:paraId="68297838" w14:textId="77777777" w:rsidR="00F253B2" w:rsidRDefault="00F253B2" w:rsidP="00F253B2">
            <w:pPr>
              <w:pStyle w:val="TAL"/>
              <w:rPr>
                <w:lang w:eastAsia="zh-CN"/>
              </w:rPr>
            </w:pPr>
            <w:r>
              <w:t>5.1.6.2.38</w:t>
            </w:r>
          </w:p>
        </w:tc>
        <w:tc>
          <w:tcPr>
            <w:tcW w:w="2132" w:type="dxa"/>
            <w:gridSpan w:val="2"/>
          </w:tcPr>
          <w:p w14:paraId="19F5F67B" w14:textId="77777777" w:rsidR="00F253B2" w:rsidRDefault="00F253B2" w:rsidP="00F253B2">
            <w:pPr>
              <w:pStyle w:val="TAL"/>
            </w:pPr>
            <w:r>
              <w:t>Represents average and variance information.</w:t>
            </w:r>
          </w:p>
        </w:tc>
        <w:tc>
          <w:tcPr>
            <w:tcW w:w="2751" w:type="dxa"/>
            <w:gridSpan w:val="2"/>
          </w:tcPr>
          <w:p w14:paraId="0BFD8303" w14:textId="77777777" w:rsidR="00F253B2" w:rsidRDefault="00F253B2" w:rsidP="00F253B2">
            <w:pPr>
              <w:pStyle w:val="TAL"/>
              <w:rPr>
                <w:rFonts w:cs="Arial"/>
                <w:szCs w:val="18"/>
              </w:rPr>
            </w:pPr>
            <w:r>
              <w:rPr>
                <w:rFonts w:cs="Arial"/>
                <w:szCs w:val="18"/>
                <w:lang w:eastAsia="zh-CN"/>
              </w:rPr>
              <w:t>NsiLoad</w:t>
            </w:r>
            <w:r>
              <w:t>Ext</w:t>
            </w:r>
          </w:p>
        </w:tc>
      </w:tr>
      <w:tr w:rsidR="00F253B2" w14:paraId="5617621E" w14:textId="77777777" w:rsidTr="00635E7C">
        <w:trPr>
          <w:gridAfter w:val="1"/>
          <w:wAfter w:w="85" w:type="dxa"/>
          <w:jc w:val="center"/>
        </w:trPr>
        <w:tc>
          <w:tcPr>
            <w:tcW w:w="3222" w:type="dxa"/>
            <w:gridSpan w:val="2"/>
          </w:tcPr>
          <w:p w14:paraId="318729E9" w14:textId="77777777" w:rsidR="00F253B2" w:rsidRDefault="00F253B2" w:rsidP="00F253B2">
            <w:pPr>
              <w:pStyle w:val="TAL"/>
              <w:rPr>
                <w:lang w:eastAsia="zh-CN"/>
              </w:rPr>
            </w:pPr>
            <w:r>
              <w:rPr>
                <w:rFonts w:hint="eastAsia"/>
                <w:lang w:eastAsia="zh-CN"/>
              </w:rPr>
              <w:t>NwdafEvent</w:t>
            </w:r>
          </w:p>
        </w:tc>
        <w:tc>
          <w:tcPr>
            <w:tcW w:w="1195" w:type="dxa"/>
            <w:gridSpan w:val="2"/>
          </w:tcPr>
          <w:p w14:paraId="295FAC1C" w14:textId="77777777" w:rsidR="00F253B2" w:rsidRDefault="00F253B2" w:rsidP="00F253B2">
            <w:pPr>
              <w:pStyle w:val="TAL"/>
              <w:rPr>
                <w:lang w:eastAsia="zh-CN"/>
              </w:rPr>
            </w:pPr>
            <w:r>
              <w:rPr>
                <w:rFonts w:hint="eastAsia"/>
                <w:lang w:eastAsia="zh-CN"/>
              </w:rPr>
              <w:t>5.1.6.3.</w:t>
            </w:r>
            <w:r>
              <w:rPr>
                <w:lang w:eastAsia="zh-CN"/>
              </w:rPr>
              <w:t>4</w:t>
            </w:r>
          </w:p>
        </w:tc>
        <w:tc>
          <w:tcPr>
            <w:tcW w:w="2132" w:type="dxa"/>
            <w:gridSpan w:val="2"/>
          </w:tcPr>
          <w:p w14:paraId="565A6731" w14:textId="77777777" w:rsidR="00F253B2" w:rsidRDefault="00F253B2" w:rsidP="00F253B2">
            <w:pPr>
              <w:pStyle w:val="TAL"/>
              <w:rPr>
                <w:lang w:eastAsia="zh-CN"/>
              </w:rPr>
            </w:pPr>
            <w:r>
              <w:rPr>
                <w:lang w:eastAsia="zh-CN"/>
              </w:rPr>
              <w:t>Describes the NWDAF Events.</w:t>
            </w:r>
          </w:p>
        </w:tc>
        <w:tc>
          <w:tcPr>
            <w:tcW w:w="2751" w:type="dxa"/>
            <w:gridSpan w:val="2"/>
          </w:tcPr>
          <w:p w14:paraId="6535A568" w14:textId="77777777" w:rsidR="00F253B2" w:rsidRDefault="00F253B2" w:rsidP="00F253B2">
            <w:pPr>
              <w:pStyle w:val="TAL"/>
              <w:rPr>
                <w:rFonts w:cs="Arial"/>
                <w:szCs w:val="18"/>
              </w:rPr>
            </w:pPr>
          </w:p>
        </w:tc>
      </w:tr>
      <w:tr w:rsidR="00F253B2" w14:paraId="6F046655" w14:textId="77777777" w:rsidTr="00635E7C">
        <w:trPr>
          <w:gridAfter w:val="1"/>
          <w:wAfter w:w="85" w:type="dxa"/>
          <w:jc w:val="center"/>
        </w:trPr>
        <w:tc>
          <w:tcPr>
            <w:tcW w:w="3222" w:type="dxa"/>
            <w:gridSpan w:val="2"/>
          </w:tcPr>
          <w:p w14:paraId="5A1C02D9" w14:textId="77777777" w:rsidR="00F253B2" w:rsidRDefault="00F253B2" w:rsidP="00F253B2">
            <w:pPr>
              <w:pStyle w:val="TAL"/>
              <w:rPr>
                <w:lang w:eastAsia="zh-CN"/>
              </w:rPr>
            </w:pPr>
            <w:r>
              <w:rPr>
                <w:lang w:eastAsia="zh-CN"/>
              </w:rPr>
              <w:t>NwdafFailureCode</w:t>
            </w:r>
          </w:p>
        </w:tc>
        <w:tc>
          <w:tcPr>
            <w:tcW w:w="1195" w:type="dxa"/>
            <w:gridSpan w:val="2"/>
          </w:tcPr>
          <w:p w14:paraId="7FA61286" w14:textId="77777777" w:rsidR="00F253B2" w:rsidRDefault="00F253B2" w:rsidP="00F253B2">
            <w:pPr>
              <w:pStyle w:val="TAL"/>
              <w:rPr>
                <w:lang w:eastAsia="zh-CN"/>
              </w:rPr>
            </w:pPr>
            <w:r>
              <w:rPr>
                <w:rFonts w:eastAsia="等线"/>
              </w:rPr>
              <w:t>5.1.6.3.13</w:t>
            </w:r>
          </w:p>
        </w:tc>
        <w:tc>
          <w:tcPr>
            <w:tcW w:w="2132" w:type="dxa"/>
            <w:gridSpan w:val="2"/>
          </w:tcPr>
          <w:p w14:paraId="21219AC3" w14:textId="77777777" w:rsidR="00F253B2" w:rsidRDefault="00F253B2" w:rsidP="00F253B2">
            <w:pPr>
              <w:pStyle w:val="TAL"/>
              <w:rPr>
                <w:lang w:eastAsia="zh-CN"/>
              </w:rPr>
            </w:pPr>
            <w:r>
              <w:rPr>
                <w:rFonts w:eastAsia="Times New Roman" w:cs="Arial"/>
                <w:szCs w:val="18"/>
              </w:rPr>
              <w:t>Identifies the failure reason.</w:t>
            </w:r>
          </w:p>
        </w:tc>
        <w:tc>
          <w:tcPr>
            <w:tcW w:w="2751" w:type="dxa"/>
            <w:gridSpan w:val="2"/>
          </w:tcPr>
          <w:p w14:paraId="213AFCE3" w14:textId="77777777" w:rsidR="00F253B2" w:rsidRDefault="00F253B2" w:rsidP="00F253B2">
            <w:pPr>
              <w:pStyle w:val="TAL"/>
              <w:rPr>
                <w:rFonts w:cs="Arial"/>
                <w:szCs w:val="18"/>
              </w:rPr>
            </w:pPr>
          </w:p>
        </w:tc>
      </w:tr>
      <w:tr w:rsidR="00F253B2" w14:paraId="77A81D60" w14:textId="77777777" w:rsidTr="00635E7C">
        <w:trPr>
          <w:gridAfter w:val="1"/>
          <w:wAfter w:w="85" w:type="dxa"/>
          <w:jc w:val="center"/>
        </w:trPr>
        <w:tc>
          <w:tcPr>
            <w:tcW w:w="3222" w:type="dxa"/>
            <w:gridSpan w:val="2"/>
          </w:tcPr>
          <w:p w14:paraId="16D6AADD" w14:textId="77777777" w:rsidR="00F253B2" w:rsidRDefault="00F253B2" w:rsidP="00F253B2">
            <w:pPr>
              <w:pStyle w:val="TAL"/>
              <w:rPr>
                <w:lang w:eastAsia="zh-CN"/>
              </w:rPr>
            </w:pPr>
            <w:r>
              <w:rPr>
                <w:lang w:eastAsia="zh-CN"/>
              </w:rPr>
              <w:t>NotificationMethod</w:t>
            </w:r>
          </w:p>
        </w:tc>
        <w:tc>
          <w:tcPr>
            <w:tcW w:w="1195" w:type="dxa"/>
            <w:gridSpan w:val="2"/>
          </w:tcPr>
          <w:p w14:paraId="4465ADFC" w14:textId="77777777" w:rsidR="00F253B2" w:rsidRDefault="00F253B2" w:rsidP="00F253B2">
            <w:pPr>
              <w:pStyle w:val="TAL"/>
              <w:rPr>
                <w:lang w:eastAsia="zh-CN"/>
              </w:rPr>
            </w:pPr>
            <w:r>
              <w:rPr>
                <w:rFonts w:hint="eastAsia"/>
                <w:lang w:eastAsia="zh-CN"/>
              </w:rPr>
              <w:t>5.1.6.3.3</w:t>
            </w:r>
          </w:p>
        </w:tc>
        <w:tc>
          <w:tcPr>
            <w:tcW w:w="2132" w:type="dxa"/>
            <w:gridSpan w:val="2"/>
          </w:tcPr>
          <w:p w14:paraId="0BD08440" w14:textId="77777777" w:rsidR="00F253B2" w:rsidRDefault="00F253B2" w:rsidP="00F253B2">
            <w:pPr>
              <w:pStyle w:val="TAL"/>
              <w:rPr>
                <w:lang w:eastAsia="zh-CN"/>
              </w:rPr>
            </w:pPr>
            <w:r>
              <w:rPr>
                <w:lang w:eastAsia="zh-CN"/>
              </w:rPr>
              <w:t>Represents the notification methods that can be subscribed.</w:t>
            </w:r>
          </w:p>
        </w:tc>
        <w:tc>
          <w:tcPr>
            <w:tcW w:w="2751" w:type="dxa"/>
            <w:gridSpan w:val="2"/>
          </w:tcPr>
          <w:p w14:paraId="596E4DB6" w14:textId="77777777" w:rsidR="00F253B2" w:rsidRDefault="00F253B2" w:rsidP="00F253B2">
            <w:pPr>
              <w:pStyle w:val="TAL"/>
              <w:rPr>
                <w:rFonts w:cs="Arial"/>
                <w:szCs w:val="18"/>
              </w:rPr>
            </w:pPr>
          </w:p>
        </w:tc>
      </w:tr>
      <w:tr w:rsidR="00F253B2" w14:paraId="510B9862" w14:textId="77777777" w:rsidTr="00635E7C">
        <w:trPr>
          <w:gridAfter w:val="1"/>
          <w:wAfter w:w="85" w:type="dxa"/>
          <w:jc w:val="center"/>
        </w:trPr>
        <w:tc>
          <w:tcPr>
            <w:tcW w:w="3222" w:type="dxa"/>
            <w:gridSpan w:val="2"/>
          </w:tcPr>
          <w:p w14:paraId="077BD90D" w14:textId="77777777" w:rsidR="00F253B2" w:rsidRDefault="00F253B2" w:rsidP="00F253B2">
            <w:pPr>
              <w:pStyle w:val="TAL"/>
              <w:rPr>
                <w:lang w:eastAsia="zh-CN"/>
              </w:rPr>
            </w:pPr>
            <w:r>
              <w:rPr>
                <w:lang w:eastAsia="zh-CN"/>
              </w:rPr>
              <w:t>NsiIdInfo</w:t>
            </w:r>
          </w:p>
        </w:tc>
        <w:tc>
          <w:tcPr>
            <w:tcW w:w="1195" w:type="dxa"/>
            <w:gridSpan w:val="2"/>
          </w:tcPr>
          <w:p w14:paraId="35426DDD" w14:textId="77777777" w:rsidR="00F253B2" w:rsidRDefault="00F253B2" w:rsidP="00F253B2">
            <w:pPr>
              <w:pStyle w:val="TAL"/>
              <w:rPr>
                <w:lang w:eastAsia="zh-CN"/>
              </w:rPr>
            </w:pPr>
            <w:r>
              <w:rPr>
                <w:lang w:eastAsia="zh-CN"/>
              </w:rPr>
              <w:t>5.1.6.2.33</w:t>
            </w:r>
          </w:p>
        </w:tc>
        <w:tc>
          <w:tcPr>
            <w:tcW w:w="2132" w:type="dxa"/>
            <w:gridSpan w:val="2"/>
          </w:tcPr>
          <w:p w14:paraId="507D7C38" w14:textId="77777777" w:rsidR="00F253B2" w:rsidRDefault="00F253B2" w:rsidP="00F253B2">
            <w:pPr>
              <w:pStyle w:val="TAL"/>
              <w:rPr>
                <w:lang w:eastAsia="zh-CN"/>
              </w:rPr>
            </w:pPr>
            <w:r>
              <w:rPr>
                <w:lang w:eastAsia="zh-CN"/>
              </w:rPr>
              <w:t>Represents the S-NSSAI and the optionally associated Network Slice Instance Identifier(s).</w:t>
            </w:r>
          </w:p>
        </w:tc>
        <w:tc>
          <w:tcPr>
            <w:tcW w:w="2751" w:type="dxa"/>
            <w:gridSpan w:val="2"/>
          </w:tcPr>
          <w:p w14:paraId="79134E60" w14:textId="77777777" w:rsidR="00F253B2" w:rsidRDefault="00F253B2" w:rsidP="00F253B2">
            <w:pPr>
              <w:pStyle w:val="TAL"/>
              <w:rPr>
                <w:rFonts w:cs="Arial"/>
                <w:szCs w:val="18"/>
              </w:rPr>
            </w:pPr>
            <w:r>
              <w:rPr>
                <w:rFonts w:cs="Arial"/>
                <w:szCs w:val="18"/>
              </w:rPr>
              <w:t>ServiceExperience</w:t>
            </w:r>
          </w:p>
          <w:p w14:paraId="74B2B780" w14:textId="77777777" w:rsidR="00F253B2" w:rsidRDefault="00F253B2" w:rsidP="00F253B2">
            <w:pPr>
              <w:pStyle w:val="TAL"/>
              <w:rPr>
                <w:lang w:eastAsia="zh-CN"/>
              </w:rPr>
            </w:pPr>
            <w:r>
              <w:rPr>
                <w:lang w:eastAsia="zh-CN"/>
              </w:rPr>
              <w:t>NsiLoad</w:t>
            </w:r>
          </w:p>
          <w:p w14:paraId="0736A8CF" w14:textId="77777777" w:rsidR="00F253B2" w:rsidRDefault="00F253B2" w:rsidP="00F253B2">
            <w:pPr>
              <w:pStyle w:val="TAL"/>
              <w:rPr>
                <w:lang w:eastAsia="zh-CN"/>
              </w:rPr>
            </w:pPr>
            <w:r>
              <w:rPr>
                <w:rFonts w:eastAsia="Batang"/>
              </w:rPr>
              <w:t>DnPerformance</w:t>
            </w:r>
          </w:p>
          <w:p w14:paraId="56F6B1B0" w14:textId="77777777" w:rsidR="00F253B2" w:rsidRDefault="00F253B2" w:rsidP="00F253B2">
            <w:pPr>
              <w:pStyle w:val="TAL"/>
              <w:rPr>
                <w:rFonts w:cs="Arial"/>
                <w:szCs w:val="18"/>
              </w:rPr>
            </w:pPr>
          </w:p>
        </w:tc>
      </w:tr>
      <w:tr w:rsidR="00F253B2" w14:paraId="08E445FB" w14:textId="77777777" w:rsidTr="00635E7C">
        <w:trPr>
          <w:gridAfter w:val="1"/>
          <w:wAfter w:w="85" w:type="dxa"/>
          <w:jc w:val="center"/>
        </w:trPr>
        <w:tc>
          <w:tcPr>
            <w:tcW w:w="3222" w:type="dxa"/>
            <w:gridSpan w:val="2"/>
          </w:tcPr>
          <w:p w14:paraId="44E1D393" w14:textId="77777777" w:rsidR="00F253B2" w:rsidRDefault="00F253B2" w:rsidP="00F253B2">
            <w:pPr>
              <w:pStyle w:val="TAL"/>
              <w:rPr>
                <w:lang w:eastAsia="zh-CN"/>
              </w:rPr>
            </w:pPr>
            <w:r>
              <w:rPr>
                <w:lang w:eastAsia="zh-CN"/>
              </w:rPr>
              <w:t>NsiLoadLevelInfo</w:t>
            </w:r>
          </w:p>
        </w:tc>
        <w:tc>
          <w:tcPr>
            <w:tcW w:w="1195" w:type="dxa"/>
            <w:gridSpan w:val="2"/>
          </w:tcPr>
          <w:p w14:paraId="267E7E6D" w14:textId="77777777" w:rsidR="00F253B2" w:rsidRDefault="00F253B2" w:rsidP="00F253B2">
            <w:pPr>
              <w:pStyle w:val="TAL"/>
              <w:rPr>
                <w:lang w:eastAsia="zh-CN"/>
              </w:rPr>
            </w:pPr>
            <w:r>
              <w:rPr>
                <w:lang w:eastAsia="zh-CN"/>
              </w:rPr>
              <w:t>5.1.6.2.34</w:t>
            </w:r>
          </w:p>
        </w:tc>
        <w:tc>
          <w:tcPr>
            <w:tcW w:w="2132" w:type="dxa"/>
            <w:gridSpan w:val="2"/>
          </w:tcPr>
          <w:p w14:paraId="5DC4F523" w14:textId="77777777" w:rsidR="00F253B2" w:rsidRDefault="00F253B2" w:rsidP="00F253B2">
            <w:pPr>
              <w:pStyle w:val="TAL"/>
              <w:rPr>
                <w:lang w:eastAsia="zh-CN"/>
              </w:rPr>
            </w:pPr>
            <w:r>
              <w:rPr>
                <w:lang w:eastAsia="zh-CN"/>
              </w:rPr>
              <w:t>Represents the load level information for an S-NSSAI and the optionally associated network slice instance.</w:t>
            </w:r>
          </w:p>
        </w:tc>
        <w:tc>
          <w:tcPr>
            <w:tcW w:w="2751" w:type="dxa"/>
            <w:gridSpan w:val="2"/>
          </w:tcPr>
          <w:p w14:paraId="67FD1BE0" w14:textId="77777777" w:rsidR="00F253B2" w:rsidRDefault="00F253B2" w:rsidP="00F253B2">
            <w:pPr>
              <w:pStyle w:val="TAL"/>
              <w:rPr>
                <w:lang w:eastAsia="zh-CN"/>
              </w:rPr>
            </w:pPr>
            <w:r>
              <w:rPr>
                <w:lang w:eastAsia="zh-CN"/>
              </w:rPr>
              <w:t>NsiLoad</w:t>
            </w:r>
            <w:r>
              <w:t xml:space="preserve"> </w:t>
            </w:r>
          </w:p>
          <w:p w14:paraId="74234A3F" w14:textId="77777777" w:rsidR="00F253B2" w:rsidRDefault="00F253B2" w:rsidP="00F253B2">
            <w:pPr>
              <w:pStyle w:val="TAL"/>
              <w:rPr>
                <w:rFonts w:cs="Arial"/>
                <w:szCs w:val="18"/>
              </w:rPr>
            </w:pPr>
          </w:p>
        </w:tc>
      </w:tr>
      <w:tr w:rsidR="00F253B2" w14:paraId="187EE88B" w14:textId="77777777" w:rsidTr="00635E7C">
        <w:trPr>
          <w:gridAfter w:val="1"/>
          <w:wAfter w:w="85" w:type="dxa"/>
          <w:jc w:val="center"/>
        </w:trPr>
        <w:tc>
          <w:tcPr>
            <w:tcW w:w="3222" w:type="dxa"/>
            <w:gridSpan w:val="2"/>
          </w:tcPr>
          <w:p w14:paraId="385D61A9" w14:textId="77777777" w:rsidR="00F253B2" w:rsidRDefault="00F253B2" w:rsidP="00F253B2">
            <w:pPr>
              <w:pStyle w:val="TAL"/>
              <w:rPr>
                <w:lang w:eastAsia="zh-CN"/>
              </w:rPr>
            </w:pPr>
            <w:r>
              <w:t>ObservedRedundantTransExp</w:t>
            </w:r>
          </w:p>
        </w:tc>
        <w:tc>
          <w:tcPr>
            <w:tcW w:w="1195" w:type="dxa"/>
            <w:gridSpan w:val="2"/>
          </w:tcPr>
          <w:p w14:paraId="71786210" w14:textId="77777777" w:rsidR="00F253B2" w:rsidRDefault="00F253B2" w:rsidP="00F253B2">
            <w:pPr>
              <w:pStyle w:val="TAL"/>
              <w:rPr>
                <w:lang w:eastAsia="zh-CN"/>
              </w:rPr>
            </w:pPr>
            <w:r>
              <w:t>5.1.6.2.70</w:t>
            </w:r>
          </w:p>
        </w:tc>
        <w:tc>
          <w:tcPr>
            <w:tcW w:w="2132" w:type="dxa"/>
            <w:gridSpan w:val="2"/>
          </w:tcPr>
          <w:p w14:paraId="3256FF91" w14:textId="77777777" w:rsidR="00F253B2" w:rsidRDefault="00F253B2" w:rsidP="00F253B2">
            <w:pPr>
              <w:pStyle w:val="TAL"/>
              <w:rPr>
                <w:lang w:eastAsia="zh-CN"/>
              </w:rPr>
            </w:pPr>
            <w:r>
              <w:t>Represents the observed Redundant Transmission Experience.</w:t>
            </w:r>
          </w:p>
        </w:tc>
        <w:tc>
          <w:tcPr>
            <w:tcW w:w="2751" w:type="dxa"/>
            <w:gridSpan w:val="2"/>
          </w:tcPr>
          <w:p w14:paraId="4E972BFA" w14:textId="77777777" w:rsidR="00F253B2" w:rsidRDefault="00F253B2" w:rsidP="00F253B2">
            <w:pPr>
              <w:pStyle w:val="TAL"/>
              <w:rPr>
                <w:lang w:eastAsia="zh-CN"/>
              </w:rPr>
            </w:pPr>
            <w:r>
              <w:t>RedundantTransmissionExp</w:t>
            </w:r>
          </w:p>
        </w:tc>
      </w:tr>
      <w:tr w:rsidR="00F253B2" w14:paraId="32CDFC39" w14:textId="77777777" w:rsidTr="00635E7C">
        <w:trPr>
          <w:gridAfter w:val="1"/>
          <w:wAfter w:w="85" w:type="dxa"/>
          <w:jc w:val="center"/>
        </w:trPr>
        <w:tc>
          <w:tcPr>
            <w:tcW w:w="3222" w:type="dxa"/>
            <w:gridSpan w:val="2"/>
          </w:tcPr>
          <w:p w14:paraId="57ABE45A" w14:textId="77777777" w:rsidR="00F253B2" w:rsidRDefault="00F253B2" w:rsidP="00F253B2">
            <w:pPr>
              <w:pStyle w:val="TAL"/>
              <w:rPr>
                <w:lang w:eastAsia="zh-CN"/>
              </w:rPr>
            </w:pPr>
            <w:r>
              <w:t>OutputStrategy</w:t>
            </w:r>
          </w:p>
        </w:tc>
        <w:tc>
          <w:tcPr>
            <w:tcW w:w="1195" w:type="dxa"/>
            <w:gridSpan w:val="2"/>
          </w:tcPr>
          <w:p w14:paraId="786431F3" w14:textId="77777777" w:rsidR="00F253B2" w:rsidRDefault="00F253B2" w:rsidP="00F253B2">
            <w:pPr>
              <w:pStyle w:val="TAL"/>
              <w:rPr>
                <w:lang w:eastAsia="zh-CN"/>
              </w:rPr>
            </w:pPr>
            <w:r>
              <w:t>5.1.6.3.16</w:t>
            </w:r>
          </w:p>
        </w:tc>
        <w:tc>
          <w:tcPr>
            <w:tcW w:w="2132" w:type="dxa"/>
            <w:gridSpan w:val="2"/>
          </w:tcPr>
          <w:p w14:paraId="36DD2EA4" w14:textId="77777777" w:rsidR="00F253B2" w:rsidRDefault="00F253B2" w:rsidP="00F253B2">
            <w:pPr>
              <w:pStyle w:val="TAL"/>
              <w:rPr>
                <w:lang w:eastAsia="zh-CN"/>
              </w:rPr>
            </w:pPr>
            <w:r>
              <w:t>Represents the output strategy used for the reporting of the analytics.</w:t>
            </w:r>
          </w:p>
        </w:tc>
        <w:tc>
          <w:tcPr>
            <w:tcW w:w="2751" w:type="dxa"/>
            <w:gridSpan w:val="2"/>
          </w:tcPr>
          <w:p w14:paraId="5E530AB0" w14:textId="77777777" w:rsidR="00F253B2" w:rsidRDefault="00F253B2" w:rsidP="00F253B2">
            <w:pPr>
              <w:pStyle w:val="TAL"/>
              <w:rPr>
                <w:lang w:eastAsia="zh-CN"/>
              </w:rPr>
            </w:pPr>
            <w:r>
              <w:t>Aggregation</w:t>
            </w:r>
          </w:p>
        </w:tc>
      </w:tr>
      <w:tr w:rsidR="00F253B2" w14:paraId="708FBAB9" w14:textId="77777777" w:rsidTr="00635E7C">
        <w:trPr>
          <w:gridAfter w:val="1"/>
          <w:wAfter w:w="85" w:type="dxa"/>
          <w:jc w:val="center"/>
        </w:trPr>
        <w:tc>
          <w:tcPr>
            <w:tcW w:w="3222" w:type="dxa"/>
            <w:gridSpan w:val="2"/>
          </w:tcPr>
          <w:p w14:paraId="2351DAF8" w14:textId="77777777" w:rsidR="00F253B2" w:rsidRDefault="00F253B2" w:rsidP="00F253B2">
            <w:pPr>
              <w:pStyle w:val="TAL"/>
            </w:pPr>
            <w:r>
              <w:t>Perf</w:t>
            </w:r>
            <w:r>
              <w:rPr>
                <w:rFonts w:hint="eastAsia"/>
                <w:lang w:eastAsia="zh-CN"/>
              </w:rPr>
              <w:t>Data</w:t>
            </w:r>
          </w:p>
        </w:tc>
        <w:tc>
          <w:tcPr>
            <w:tcW w:w="1195" w:type="dxa"/>
            <w:gridSpan w:val="2"/>
          </w:tcPr>
          <w:p w14:paraId="164A21C8" w14:textId="77777777" w:rsidR="00F253B2" w:rsidRDefault="00F253B2" w:rsidP="00F253B2">
            <w:pPr>
              <w:pStyle w:val="TAL"/>
            </w:pPr>
            <w:r>
              <w:t>5.1.6.2.47</w:t>
            </w:r>
          </w:p>
        </w:tc>
        <w:tc>
          <w:tcPr>
            <w:tcW w:w="2132" w:type="dxa"/>
            <w:gridSpan w:val="2"/>
          </w:tcPr>
          <w:p w14:paraId="34FEA649" w14:textId="77777777" w:rsidR="00F253B2" w:rsidRDefault="00F253B2" w:rsidP="00F253B2">
            <w:pPr>
              <w:pStyle w:val="TAL"/>
            </w:pPr>
            <w:r>
              <w:t>Represents DN performance information.</w:t>
            </w:r>
          </w:p>
        </w:tc>
        <w:tc>
          <w:tcPr>
            <w:tcW w:w="2751" w:type="dxa"/>
            <w:gridSpan w:val="2"/>
          </w:tcPr>
          <w:p w14:paraId="283E13F1" w14:textId="77777777" w:rsidR="00F253B2" w:rsidRDefault="00F253B2" w:rsidP="00F253B2">
            <w:pPr>
              <w:pStyle w:val="TAL"/>
            </w:pPr>
            <w:r>
              <w:rPr>
                <w:rFonts w:hint="eastAsia"/>
                <w:lang w:eastAsia="zh-CN"/>
              </w:rPr>
              <w:t>Dn</w:t>
            </w:r>
            <w:r>
              <w:t>Performance</w:t>
            </w:r>
          </w:p>
        </w:tc>
      </w:tr>
      <w:tr w:rsidR="00F253B2" w14:paraId="2E4A8086" w14:textId="77777777" w:rsidTr="00635E7C">
        <w:trPr>
          <w:gridAfter w:val="1"/>
          <w:wAfter w:w="85" w:type="dxa"/>
          <w:jc w:val="center"/>
        </w:trPr>
        <w:tc>
          <w:tcPr>
            <w:tcW w:w="3222" w:type="dxa"/>
            <w:gridSpan w:val="2"/>
          </w:tcPr>
          <w:p w14:paraId="54FB318F" w14:textId="77777777" w:rsidR="00F253B2" w:rsidRDefault="00F253B2" w:rsidP="00F253B2">
            <w:pPr>
              <w:pStyle w:val="TAL"/>
            </w:pPr>
            <w:r>
              <w:t>PfdDeterminationInfo</w:t>
            </w:r>
          </w:p>
        </w:tc>
        <w:tc>
          <w:tcPr>
            <w:tcW w:w="1195" w:type="dxa"/>
            <w:gridSpan w:val="2"/>
          </w:tcPr>
          <w:p w14:paraId="43A91995" w14:textId="77777777" w:rsidR="00F253B2" w:rsidRDefault="00F253B2" w:rsidP="00F253B2">
            <w:pPr>
              <w:pStyle w:val="TAL"/>
            </w:pPr>
            <w:r>
              <w:t>5.1.6.2.73</w:t>
            </w:r>
          </w:p>
        </w:tc>
        <w:tc>
          <w:tcPr>
            <w:tcW w:w="2132" w:type="dxa"/>
            <w:gridSpan w:val="2"/>
          </w:tcPr>
          <w:p w14:paraId="494752C7" w14:textId="77777777" w:rsidR="00F253B2" w:rsidRDefault="00F253B2" w:rsidP="00F253B2">
            <w:pPr>
              <w:pStyle w:val="TAL"/>
            </w:pPr>
            <w:r>
              <w:t>Represents the PFD Determination information.</w:t>
            </w:r>
          </w:p>
        </w:tc>
        <w:tc>
          <w:tcPr>
            <w:tcW w:w="2751" w:type="dxa"/>
            <w:gridSpan w:val="2"/>
          </w:tcPr>
          <w:p w14:paraId="503F7A7A" w14:textId="77777777" w:rsidR="00F253B2" w:rsidRDefault="00F253B2" w:rsidP="00F253B2">
            <w:pPr>
              <w:pStyle w:val="TAL"/>
              <w:rPr>
                <w:rFonts w:hint="eastAsia"/>
                <w:lang w:eastAsia="zh-CN"/>
              </w:rPr>
            </w:pPr>
            <w:r>
              <w:rPr>
                <w:lang w:eastAsia="zh-CN"/>
              </w:rPr>
              <w:t>PfdDetermination</w:t>
            </w:r>
          </w:p>
        </w:tc>
      </w:tr>
      <w:tr w:rsidR="00F253B2" w14:paraId="48EB8E4E" w14:textId="77777777" w:rsidTr="00635E7C">
        <w:trPr>
          <w:gridAfter w:val="1"/>
          <w:wAfter w:w="85" w:type="dxa"/>
          <w:jc w:val="center"/>
        </w:trPr>
        <w:tc>
          <w:tcPr>
            <w:tcW w:w="3222" w:type="dxa"/>
            <w:gridSpan w:val="2"/>
          </w:tcPr>
          <w:p w14:paraId="7B316539" w14:textId="77777777" w:rsidR="00F253B2" w:rsidRDefault="00F253B2" w:rsidP="00F253B2">
            <w:pPr>
              <w:pStyle w:val="TAL"/>
            </w:pPr>
            <w:r>
              <w:lastRenderedPageBreak/>
              <w:t>PrevSubInfo</w:t>
            </w:r>
          </w:p>
        </w:tc>
        <w:tc>
          <w:tcPr>
            <w:tcW w:w="1195" w:type="dxa"/>
            <w:gridSpan w:val="2"/>
          </w:tcPr>
          <w:p w14:paraId="31054607" w14:textId="77777777" w:rsidR="00F253B2" w:rsidRDefault="00F253B2" w:rsidP="00F253B2">
            <w:pPr>
              <w:pStyle w:val="TAL"/>
            </w:pPr>
            <w:r>
              <w:t>5.1.6.2.68</w:t>
            </w:r>
          </w:p>
        </w:tc>
        <w:tc>
          <w:tcPr>
            <w:tcW w:w="2132" w:type="dxa"/>
            <w:gridSpan w:val="2"/>
          </w:tcPr>
          <w:p w14:paraId="325C3A02" w14:textId="77777777" w:rsidR="00F253B2" w:rsidRDefault="00F253B2" w:rsidP="00F253B2">
            <w:pPr>
              <w:pStyle w:val="TAL"/>
            </w:pPr>
            <w:r>
              <w:t>Information of the previous subscription.</w:t>
            </w:r>
          </w:p>
        </w:tc>
        <w:tc>
          <w:tcPr>
            <w:tcW w:w="2751" w:type="dxa"/>
            <w:gridSpan w:val="2"/>
          </w:tcPr>
          <w:p w14:paraId="172A32CD" w14:textId="77777777" w:rsidR="00F253B2" w:rsidRDefault="00F253B2" w:rsidP="00F253B2">
            <w:pPr>
              <w:pStyle w:val="TAL"/>
              <w:rPr>
                <w:lang w:eastAsia="zh-CN"/>
              </w:rPr>
            </w:pPr>
            <w:r>
              <w:rPr>
                <w:lang w:eastAsia="zh-CN"/>
              </w:rPr>
              <w:t>AnaCtxTransfer</w:t>
            </w:r>
          </w:p>
        </w:tc>
      </w:tr>
      <w:tr w:rsidR="00607DB3" w14:paraId="26FF9297" w14:textId="77777777" w:rsidTr="00635E7C">
        <w:trPr>
          <w:gridAfter w:val="1"/>
          <w:wAfter w:w="85" w:type="dxa"/>
          <w:jc w:val="center"/>
        </w:trPr>
        <w:tc>
          <w:tcPr>
            <w:tcW w:w="3222" w:type="dxa"/>
            <w:gridSpan w:val="2"/>
          </w:tcPr>
          <w:p w14:paraId="0FBF2A25" w14:textId="77777777" w:rsidR="00607DB3" w:rsidRDefault="00607DB3" w:rsidP="00607DB3">
            <w:pPr>
              <w:pStyle w:val="TAL"/>
            </w:pPr>
            <w:r>
              <w:t>ProximityCriterion</w:t>
            </w:r>
          </w:p>
        </w:tc>
        <w:tc>
          <w:tcPr>
            <w:tcW w:w="1195" w:type="dxa"/>
            <w:gridSpan w:val="2"/>
          </w:tcPr>
          <w:p w14:paraId="33C07ED2" w14:textId="77777777" w:rsidR="00607DB3" w:rsidRDefault="00607DB3" w:rsidP="00607DB3">
            <w:pPr>
              <w:pStyle w:val="TAL"/>
            </w:pPr>
            <w:r>
              <w:t>5.1.6.2.99</w:t>
            </w:r>
          </w:p>
        </w:tc>
        <w:tc>
          <w:tcPr>
            <w:tcW w:w="2132" w:type="dxa"/>
            <w:gridSpan w:val="2"/>
          </w:tcPr>
          <w:p w14:paraId="7ACE0CA9" w14:textId="77777777" w:rsidR="00607DB3" w:rsidRDefault="00607DB3" w:rsidP="00607DB3">
            <w:pPr>
              <w:pStyle w:val="TAL"/>
            </w:pPr>
            <w:r>
              <w:t>Relative proximity criteria.</w:t>
            </w:r>
          </w:p>
        </w:tc>
        <w:tc>
          <w:tcPr>
            <w:tcW w:w="2751" w:type="dxa"/>
            <w:gridSpan w:val="2"/>
          </w:tcPr>
          <w:p w14:paraId="4DC8AF72" w14:textId="77777777" w:rsidR="00607DB3" w:rsidRDefault="00607DB3" w:rsidP="00607DB3">
            <w:pPr>
              <w:pStyle w:val="TAL"/>
              <w:rPr>
                <w:lang w:eastAsia="zh-CN"/>
              </w:rPr>
            </w:pPr>
            <w:r>
              <w:rPr>
                <w:lang w:eastAsia="zh-CN"/>
              </w:rPr>
              <w:t>RelativeProximity</w:t>
            </w:r>
          </w:p>
        </w:tc>
      </w:tr>
      <w:tr w:rsidR="00F525B2" w14:paraId="4BD8009A" w14:textId="77777777" w:rsidTr="00635E7C">
        <w:trPr>
          <w:gridAfter w:val="1"/>
          <w:wAfter w:w="85" w:type="dxa"/>
          <w:jc w:val="center"/>
        </w:trPr>
        <w:tc>
          <w:tcPr>
            <w:tcW w:w="3222" w:type="dxa"/>
            <w:gridSpan w:val="2"/>
          </w:tcPr>
          <w:p w14:paraId="35A76D18" w14:textId="77777777" w:rsidR="00F525B2" w:rsidRDefault="00F525B2" w:rsidP="00F525B2">
            <w:pPr>
              <w:pStyle w:val="TAL"/>
              <w:rPr>
                <w:lang w:eastAsia="zh-CN"/>
              </w:rPr>
            </w:pPr>
            <w:r>
              <w:t>QoSPara</w:t>
            </w:r>
          </w:p>
        </w:tc>
        <w:tc>
          <w:tcPr>
            <w:tcW w:w="1195" w:type="dxa"/>
            <w:gridSpan w:val="2"/>
          </w:tcPr>
          <w:p w14:paraId="7310FB12" w14:textId="77777777" w:rsidR="00F525B2" w:rsidRDefault="00F525B2" w:rsidP="00F525B2">
            <w:pPr>
              <w:pStyle w:val="TAL"/>
              <w:rPr>
                <w:lang w:eastAsia="zh-CN"/>
              </w:rPr>
            </w:pPr>
            <w:r>
              <w:t>5.1.6.2.117</w:t>
            </w:r>
          </w:p>
        </w:tc>
        <w:tc>
          <w:tcPr>
            <w:tcW w:w="2132" w:type="dxa"/>
            <w:gridSpan w:val="2"/>
          </w:tcPr>
          <w:p w14:paraId="6D7CDB12" w14:textId="77777777" w:rsidR="00F525B2" w:rsidRDefault="00F525B2" w:rsidP="00F525B2">
            <w:pPr>
              <w:pStyle w:val="TAL"/>
              <w:rPr>
                <w:lang w:eastAsia="zh-CN"/>
              </w:rPr>
            </w:pPr>
            <w:r>
              <w:t>Represents the QoS parameter set.</w:t>
            </w:r>
          </w:p>
        </w:tc>
        <w:tc>
          <w:tcPr>
            <w:tcW w:w="2751" w:type="dxa"/>
            <w:gridSpan w:val="2"/>
          </w:tcPr>
          <w:p w14:paraId="69ED335A" w14:textId="77777777" w:rsidR="00F525B2" w:rsidRDefault="00F525B2" w:rsidP="00F525B2">
            <w:pPr>
              <w:pStyle w:val="TAL"/>
              <w:rPr>
                <w:rFonts w:cs="Arial"/>
                <w:szCs w:val="18"/>
              </w:rPr>
            </w:pPr>
            <w:r w:rsidRPr="00753472">
              <w:rPr>
                <w:rFonts w:hint="eastAsia"/>
                <w:lang w:eastAsia="zh-CN"/>
              </w:rPr>
              <w:t>Q</w:t>
            </w:r>
            <w:r w:rsidRPr="00753472">
              <w:rPr>
                <w:lang w:eastAsia="zh-CN"/>
              </w:rPr>
              <w:t>oSPolicyAssist</w:t>
            </w:r>
          </w:p>
        </w:tc>
      </w:tr>
      <w:tr w:rsidR="00F525B2" w14:paraId="51F4F90D" w14:textId="77777777" w:rsidTr="00635E7C">
        <w:trPr>
          <w:gridAfter w:val="1"/>
          <w:wAfter w:w="85" w:type="dxa"/>
          <w:jc w:val="center"/>
        </w:trPr>
        <w:tc>
          <w:tcPr>
            <w:tcW w:w="3222" w:type="dxa"/>
            <w:gridSpan w:val="2"/>
          </w:tcPr>
          <w:p w14:paraId="389BE5EB" w14:textId="77777777" w:rsidR="00F525B2" w:rsidRDefault="00F525B2" w:rsidP="00F525B2">
            <w:pPr>
              <w:pStyle w:val="TAL"/>
              <w:rPr>
                <w:lang w:eastAsia="zh-CN"/>
              </w:rPr>
            </w:pPr>
            <w:r>
              <w:t>QosPolicyAssistInfo</w:t>
            </w:r>
          </w:p>
        </w:tc>
        <w:tc>
          <w:tcPr>
            <w:tcW w:w="1195" w:type="dxa"/>
            <w:gridSpan w:val="2"/>
          </w:tcPr>
          <w:p w14:paraId="4FD03745" w14:textId="77777777" w:rsidR="00F525B2" w:rsidRDefault="00F525B2" w:rsidP="00F525B2">
            <w:pPr>
              <w:pStyle w:val="TAL"/>
              <w:rPr>
                <w:lang w:eastAsia="zh-CN"/>
              </w:rPr>
            </w:pPr>
            <w:r>
              <w:t>5.1.6.2.114</w:t>
            </w:r>
          </w:p>
        </w:tc>
        <w:tc>
          <w:tcPr>
            <w:tcW w:w="2132" w:type="dxa"/>
            <w:gridSpan w:val="2"/>
          </w:tcPr>
          <w:p w14:paraId="01E5362D" w14:textId="77777777" w:rsidR="00F525B2" w:rsidRDefault="00F525B2" w:rsidP="00F525B2">
            <w:pPr>
              <w:pStyle w:val="TAL"/>
              <w:rPr>
                <w:lang w:eastAsia="zh-CN"/>
              </w:rPr>
            </w:pPr>
            <w:r>
              <w:t>Represents the QoS and policy assistance information.</w:t>
            </w:r>
          </w:p>
        </w:tc>
        <w:tc>
          <w:tcPr>
            <w:tcW w:w="2751" w:type="dxa"/>
            <w:gridSpan w:val="2"/>
          </w:tcPr>
          <w:p w14:paraId="515C033C" w14:textId="77777777" w:rsidR="00F525B2" w:rsidRDefault="00F525B2" w:rsidP="00F525B2">
            <w:pPr>
              <w:pStyle w:val="TAL"/>
              <w:rPr>
                <w:rFonts w:cs="Arial"/>
                <w:szCs w:val="18"/>
              </w:rPr>
            </w:pPr>
            <w:r>
              <w:rPr>
                <w:lang w:eastAsia="zh-CN"/>
              </w:rPr>
              <w:t>QosPolicyAssist</w:t>
            </w:r>
          </w:p>
        </w:tc>
      </w:tr>
      <w:tr w:rsidR="00F525B2" w14:paraId="748F302E" w14:textId="77777777" w:rsidTr="00635E7C">
        <w:trPr>
          <w:gridAfter w:val="1"/>
          <w:wAfter w:w="85" w:type="dxa"/>
          <w:jc w:val="center"/>
        </w:trPr>
        <w:tc>
          <w:tcPr>
            <w:tcW w:w="3222" w:type="dxa"/>
            <w:gridSpan w:val="2"/>
          </w:tcPr>
          <w:p w14:paraId="3E0359EA" w14:textId="77777777" w:rsidR="00F525B2" w:rsidRDefault="00F525B2" w:rsidP="00F525B2">
            <w:pPr>
              <w:pStyle w:val="TAL"/>
              <w:rPr>
                <w:lang w:eastAsia="zh-CN"/>
              </w:rPr>
            </w:pPr>
            <w:r>
              <w:t>QosPolicyAssistReq</w:t>
            </w:r>
          </w:p>
        </w:tc>
        <w:tc>
          <w:tcPr>
            <w:tcW w:w="1195" w:type="dxa"/>
            <w:gridSpan w:val="2"/>
          </w:tcPr>
          <w:p w14:paraId="219D38F5" w14:textId="77777777" w:rsidR="00F525B2" w:rsidRDefault="00F525B2" w:rsidP="00F525B2">
            <w:pPr>
              <w:pStyle w:val="TAL"/>
              <w:rPr>
                <w:lang w:eastAsia="zh-CN"/>
              </w:rPr>
            </w:pPr>
            <w:r>
              <w:t>5.1.6.2.113</w:t>
            </w:r>
          </w:p>
        </w:tc>
        <w:tc>
          <w:tcPr>
            <w:tcW w:w="2132" w:type="dxa"/>
            <w:gridSpan w:val="2"/>
          </w:tcPr>
          <w:p w14:paraId="279EC567" w14:textId="77777777" w:rsidR="00F525B2" w:rsidRDefault="00F525B2" w:rsidP="00F525B2">
            <w:pPr>
              <w:pStyle w:val="TAL"/>
              <w:rPr>
                <w:lang w:eastAsia="zh-CN"/>
              </w:rPr>
            </w:pPr>
            <w:r>
              <w:t>Represents the QoS and policy assistance requirements.</w:t>
            </w:r>
          </w:p>
        </w:tc>
        <w:tc>
          <w:tcPr>
            <w:tcW w:w="2751" w:type="dxa"/>
            <w:gridSpan w:val="2"/>
          </w:tcPr>
          <w:p w14:paraId="1107D551" w14:textId="77777777" w:rsidR="00F525B2" w:rsidRDefault="00F525B2" w:rsidP="00F525B2">
            <w:pPr>
              <w:pStyle w:val="TAL"/>
              <w:rPr>
                <w:rFonts w:cs="Arial"/>
                <w:szCs w:val="18"/>
              </w:rPr>
            </w:pPr>
            <w:r>
              <w:rPr>
                <w:lang w:eastAsia="zh-CN"/>
              </w:rPr>
              <w:t>QosPolicyAssist</w:t>
            </w:r>
          </w:p>
        </w:tc>
      </w:tr>
      <w:tr w:rsidR="00F525B2" w14:paraId="7B2F7E70" w14:textId="77777777" w:rsidTr="00635E7C">
        <w:trPr>
          <w:gridAfter w:val="1"/>
          <w:wAfter w:w="85" w:type="dxa"/>
          <w:jc w:val="center"/>
        </w:trPr>
        <w:tc>
          <w:tcPr>
            <w:tcW w:w="3222" w:type="dxa"/>
            <w:gridSpan w:val="2"/>
          </w:tcPr>
          <w:p w14:paraId="343857E9" w14:textId="77777777" w:rsidR="00F525B2" w:rsidRDefault="00F525B2" w:rsidP="00F525B2">
            <w:pPr>
              <w:pStyle w:val="TAL"/>
              <w:rPr>
                <w:lang w:eastAsia="zh-CN"/>
              </w:rPr>
            </w:pPr>
            <w:r>
              <w:rPr>
                <w:rFonts w:hint="eastAsia"/>
                <w:lang w:eastAsia="zh-CN"/>
              </w:rPr>
              <w:t>QosPolicyAssistSet</w:t>
            </w:r>
          </w:p>
        </w:tc>
        <w:tc>
          <w:tcPr>
            <w:tcW w:w="1195" w:type="dxa"/>
            <w:gridSpan w:val="2"/>
          </w:tcPr>
          <w:p w14:paraId="70916194" w14:textId="77777777" w:rsidR="00F525B2" w:rsidRDefault="00F525B2" w:rsidP="00F525B2">
            <w:pPr>
              <w:pStyle w:val="TAL"/>
              <w:rPr>
                <w:lang w:eastAsia="zh-CN"/>
              </w:rPr>
            </w:pPr>
            <w:r>
              <w:rPr>
                <w:rFonts w:hint="eastAsia"/>
                <w:lang w:eastAsia="zh-CN"/>
              </w:rPr>
              <w:t>5.1.6.2.115</w:t>
            </w:r>
          </w:p>
        </w:tc>
        <w:tc>
          <w:tcPr>
            <w:tcW w:w="2132" w:type="dxa"/>
            <w:gridSpan w:val="2"/>
          </w:tcPr>
          <w:p w14:paraId="1459661A" w14:textId="77777777" w:rsidR="00F525B2" w:rsidRDefault="00F525B2" w:rsidP="00F525B2">
            <w:pPr>
              <w:pStyle w:val="TAL"/>
              <w:rPr>
                <w:lang w:eastAsia="zh-CN"/>
              </w:rPr>
            </w:pPr>
            <w:r>
              <w:t xml:space="preserve">Represents the QoS and policy assistance </w:t>
            </w:r>
            <w:r>
              <w:rPr>
                <w:rFonts w:hint="eastAsia"/>
                <w:lang w:eastAsia="zh-CN"/>
              </w:rPr>
              <w:t>parameter set.</w:t>
            </w:r>
          </w:p>
        </w:tc>
        <w:tc>
          <w:tcPr>
            <w:tcW w:w="2751" w:type="dxa"/>
            <w:gridSpan w:val="2"/>
          </w:tcPr>
          <w:p w14:paraId="44AEA652" w14:textId="77777777" w:rsidR="00F525B2" w:rsidRDefault="00F525B2" w:rsidP="00F525B2">
            <w:pPr>
              <w:pStyle w:val="TAL"/>
              <w:rPr>
                <w:rFonts w:cs="Arial"/>
                <w:szCs w:val="18"/>
              </w:rPr>
            </w:pPr>
            <w:r>
              <w:rPr>
                <w:lang w:eastAsia="zh-CN"/>
              </w:rPr>
              <w:t>QosPolicyAssist</w:t>
            </w:r>
          </w:p>
        </w:tc>
      </w:tr>
      <w:tr w:rsidR="00F525B2" w14:paraId="3BC36443" w14:textId="77777777" w:rsidTr="00635E7C">
        <w:trPr>
          <w:gridAfter w:val="1"/>
          <w:wAfter w:w="85" w:type="dxa"/>
          <w:jc w:val="center"/>
        </w:trPr>
        <w:tc>
          <w:tcPr>
            <w:tcW w:w="3222" w:type="dxa"/>
            <w:gridSpan w:val="2"/>
          </w:tcPr>
          <w:p w14:paraId="6812890B" w14:textId="77777777" w:rsidR="00F525B2" w:rsidRDefault="00F525B2" w:rsidP="00F525B2">
            <w:pPr>
              <w:pStyle w:val="TAL"/>
              <w:rPr>
                <w:lang w:eastAsia="zh-CN"/>
              </w:rPr>
            </w:pPr>
            <w:r>
              <w:rPr>
                <w:rFonts w:hint="eastAsia"/>
                <w:lang w:eastAsia="zh-CN"/>
              </w:rPr>
              <w:t>QosPolicyAssistSetsPerTS</w:t>
            </w:r>
          </w:p>
        </w:tc>
        <w:tc>
          <w:tcPr>
            <w:tcW w:w="1195" w:type="dxa"/>
            <w:gridSpan w:val="2"/>
          </w:tcPr>
          <w:p w14:paraId="2A205CAA" w14:textId="77777777" w:rsidR="00F525B2" w:rsidRDefault="00F525B2" w:rsidP="00F525B2">
            <w:pPr>
              <w:pStyle w:val="TAL"/>
              <w:rPr>
                <w:lang w:eastAsia="zh-CN"/>
              </w:rPr>
            </w:pPr>
            <w:r>
              <w:rPr>
                <w:rFonts w:hint="eastAsia"/>
                <w:lang w:eastAsia="zh-CN"/>
              </w:rPr>
              <w:t>5.1.6.2.116</w:t>
            </w:r>
          </w:p>
        </w:tc>
        <w:tc>
          <w:tcPr>
            <w:tcW w:w="2132" w:type="dxa"/>
            <w:gridSpan w:val="2"/>
          </w:tcPr>
          <w:p w14:paraId="368FAE4A" w14:textId="77777777" w:rsidR="00F525B2" w:rsidRDefault="00F525B2" w:rsidP="00F525B2">
            <w:pPr>
              <w:pStyle w:val="TAL"/>
              <w:rPr>
                <w:lang w:eastAsia="zh-CN"/>
              </w:rPr>
            </w:pPr>
            <w:r w:rsidRPr="00083F43">
              <w:t xml:space="preserve">Represents the QoS and policy assistance </w:t>
            </w:r>
            <w:r>
              <w:rPr>
                <w:rFonts w:hint="eastAsia"/>
                <w:lang w:eastAsia="zh-CN"/>
              </w:rPr>
              <w:t xml:space="preserve">parameter sets </w:t>
            </w:r>
            <w:r w:rsidRPr="00083F43">
              <w:t>per Time Slo</w:t>
            </w:r>
            <w:r>
              <w:rPr>
                <w:rFonts w:hint="eastAsia"/>
                <w:lang w:eastAsia="zh-CN"/>
              </w:rPr>
              <w:t>t.</w:t>
            </w:r>
          </w:p>
        </w:tc>
        <w:tc>
          <w:tcPr>
            <w:tcW w:w="2751" w:type="dxa"/>
            <w:gridSpan w:val="2"/>
          </w:tcPr>
          <w:p w14:paraId="411E2021" w14:textId="77777777" w:rsidR="00F525B2" w:rsidRDefault="00F525B2" w:rsidP="00F525B2">
            <w:pPr>
              <w:pStyle w:val="TAL"/>
              <w:rPr>
                <w:rFonts w:cs="Arial"/>
                <w:szCs w:val="18"/>
              </w:rPr>
            </w:pPr>
            <w:r>
              <w:rPr>
                <w:rFonts w:hint="eastAsia"/>
                <w:lang w:eastAsia="zh-CN"/>
              </w:rPr>
              <w:t>QosPolicyAssist</w:t>
            </w:r>
          </w:p>
        </w:tc>
      </w:tr>
      <w:tr w:rsidR="00F525B2" w14:paraId="423612B8" w14:textId="77777777" w:rsidTr="00635E7C">
        <w:trPr>
          <w:gridAfter w:val="1"/>
          <w:wAfter w:w="85" w:type="dxa"/>
          <w:jc w:val="center"/>
        </w:trPr>
        <w:tc>
          <w:tcPr>
            <w:tcW w:w="3222" w:type="dxa"/>
            <w:gridSpan w:val="2"/>
          </w:tcPr>
          <w:p w14:paraId="51EA22C0" w14:textId="77777777" w:rsidR="00F525B2" w:rsidRDefault="00F525B2" w:rsidP="00F525B2">
            <w:pPr>
              <w:pStyle w:val="TAL"/>
              <w:rPr>
                <w:lang w:eastAsia="zh-CN"/>
              </w:rPr>
            </w:pPr>
            <w:r>
              <w:t>QosPolOrderCriterion</w:t>
            </w:r>
          </w:p>
        </w:tc>
        <w:tc>
          <w:tcPr>
            <w:tcW w:w="1195" w:type="dxa"/>
            <w:gridSpan w:val="2"/>
          </w:tcPr>
          <w:p w14:paraId="1E43F35F" w14:textId="77777777" w:rsidR="00F525B2" w:rsidRDefault="00F525B2" w:rsidP="00F525B2">
            <w:pPr>
              <w:pStyle w:val="TAL"/>
              <w:rPr>
                <w:lang w:eastAsia="zh-CN"/>
              </w:rPr>
            </w:pPr>
            <w:r>
              <w:t>5.1.6.3.43</w:t>
            </w:r>
          </w:p>
        </w:tc>
        <w:tc>
          <w:tcPr>
            <w:tcW w:w="2132" w:type="dxa"/>
            <w:gridSpan w:val="2"/>
          </w:tcPr>
          <w:p w14:paraId="2FDC5243" w14:textId="77777777" w:rsidR="00F525B2" w:rsidRDefault="00F525B2" w:rsidP="00F525B2">
            <w:pPr>
              <w:pStyle w:val="TAL"/>
              <w:rPr>
                <w:lang w:eastAsia="zh-CN"/>
              </w:rPr>
            </w:pPr>
            <w:r>
              <w:t>Represents the QoS and policy assistance order criterion.</w:t>
            </w:r>
          </w:p>
        </w:tc>
        <w:tc>
          <w:tcPr>
            <w:tcW w:w="2751" w:type="dxa"/>
            <w:gridSpan w:val="2"/>
          </w:tcPr>
          <w:p w14:paraId="324CAA82" w14:textId="77777777" w:rsidR="00F525B2" w:rsidRDefault="00F525B2" w:rsidP="00F525B2">
            <w:pPr>
              <w:pStyle w:val="TAL"/>
              <w:rPr>
                <w:rFonts w:cs="Arial"/>
                <w:szCs w:val="18"/>
              </w:rPr>
            </w:pPr>
            <w:r>
              <w:rPr>
                <w:lang w:eastAsia="zh-CN"/>
              </w:rPr>
              <w:t>QosPolicyAssist</w:t>
            </w:r>
          </w:p>
        </w:tc>
      </w:tr>
      <w:tr w:rsidR="007862A2" w14:paraId="3AFD6FE5" w14:textId="77777777" w:rsidTr="00635E7C">
        <w:trPr>
          <w:gridAfter w:val="1"/>
          <w:wAfter w:w="85" w:type="dxa"/>
          <w:jc w:val="center"/>
        </w:trPr>
        <w:tc>
          <w:tcPr>
            <w:tcW w:w="3222" w:type="dxa"/>
            <w:gridSpan w:val="2"/>
          </w:tcPr>
          <w:p w14:paraId="2F79005A" w14:textId="77777777" w:rsidR="007862A2" w:rsidRDefault="007862A2" w:rsidP="007862A2">
            <w:pPr>
              <w:pStyle w:val="TAL"/>
              <w:rPr>
                <w:lang w:eastAsia="zh-CN"/>
              </w:rPr>
            </w:pPr>
            <w:r>
              <w:rPr>
                <w:lang w:eastAsia="zh-CN"/>
              </w:rPr>
              <w:t>QosRequirement</w:t>
            </w:r>
          </w:p>
        </w:tc>
        <w:tc>
          <w:tcPr>
            <w:tcW w:w="1195" w:type="dxa"/>
            <w:gridSpan w:val="2"/>
          </w:tcPr>
          <w:p w14:paraId="500F3890" w14:textId="77777777" w:rsidR="007862A2" w:rsidRDefault="007862A2" w:rsidP="007862A2">
            <w:pPr>
              <w:pStyle w:val="TAL"/>
              <w:rPr>
                <w:lang w:eastAsia="zh-CN"/>
              </w:rPr>
            </w:pPr>
            <w:r>
              <w:rPr>
                <w:lang w:eastAsia="zh-CN"/>
              </w:rPr>
              <w:t>5.1.6.2.20</w:t>
            </w:r>
          </w:p>
        </w:tc>
        <w:tc>
          <w:tcPr>
            <w:tcW w:w="2132" w:type="dxa"/>
            <w:gridSpan w:val="2"/>
          </w:tcPr>
          <w:p w14:paraId="72F9CB2B" w14:textId="77777777" w:rsidR="007862A2" w:rsidRDefault="007862A2" w:rsidP="007862A2">
            <w:pPr>
              <w:pStyle w:val="TAL"/>
              <w:rPr>
                <w:lang w:eastAsia="zh-CN"/>
              </w:rPr>
            </w:pPr>
            <w:r>
              <w:rPr>
                <w:lang w:eastAsia="zh-CN"/>
              </w:rPr>
              <w:t>Represents the QoS requirements.</w:t>
            </w:r>
          </w:p>
        </w:tc>
        <w:tc>
          <w:tcPr>
            <w:tcW w:w="2751" w:type="dxa"/>
            <w:gridSpan w:val="2"/>
          </w:tcPr>
          <w:p w14:paraId="73F42F2C" w14:textId="77777777" w:rsidR="007862A2" w:rsidRDefault="007862A2" w:rsidP="007862A2">
            <w:pPr>
              <w:pStyle w:val="TAL"/>
              <w:rPr>
                <w:rFonts w:cs="Arial"/>
                <w:szCs w:val="18"/>
              </w:rPr>
            </w:pPr>
            <w:r>
              <w:rPr>
                <w:rFonts w:cs="Arial"/>
                <w:szCs w:val="18"/>
              </w:rPr>
              <w:t>QoSSustainability</w:t>
            </w:r>
          </w:p>
          <w:p w14:paraId="79C2A33E" w14:textId="77777777" w:rsidR="007862A2" w:rsidRDefault="007862A2" w:rsidP="007862A2">
            <w:pPr>
              <w:pStyle w:val="TAL"/>
              <w:rPr>
                <w:rFonts w:cs="Arial"/>
                <w:szCs w:val="18"/>
              </w:rPr>
            </w:pPr>
            <w:r w:rsidRPr="00043838">
              <w:rPr>
                <w:rFonts w:cs="Arial"/>
                <w:szCs w:val="18"/>
              </w:rPr>
              <w:t>E2eDataVolTransTime</w:t>
            </w:r>
          </w:p>
        </w:tc>
      </w:tr>
      <w:tr w:rsidR="00F253B2" w14:paraId="434C49D6" w14:textId="77777777" w:rsidTr="00635E7C">
        <w:trPr>
          <w:gridAfter w:val="1"/>
          <w:wAfter w:w="85" w:type="dxa"/>
          <w:jc w:val="center"/>
        </w:trPr>
        <w:tc>
          <w:tcPr>
            <w:tcW w:w="3222" w:type="dxa"/>
            <w:gridSpan w:val="2"/>
          </w:tcPr>
          <w:p w14:paraId="27BA6D19" w14:textId="77777777" w:rsidR="00F253B2" w:rsidRDefault="00F253B2" w:rsidP="00F253B2">
            <w:pPr>
              <w:pStyle w:val="TAL"/>
            </w:pPr>
            <w:r>
              <w:rPr>
                <w:lang w:eastAsia="zh-CN"/>
              </w:rPr>
              <w:t>QosSustainabilityInfo</w:t>
            </w:r>
          </w:p>
        </w:tc>
        <w:tc>
          <w:tcPr>
            <w:tcW w:w="1195" w:type="dxa"/>
            <w:gridSpan w:val="2"/>
          </w:tcPr>
          <w:p w14:paraId="35F827CF" w14:textId="77777777" w:rsidR="00F253B2" w:rsidRDefault="00F253B2" w:rsidP="00F253B2">
            <w:pPr>
              <w:pStyle w:val="TAL"/>
            </w:pPr>
            <w:r>
              <w:rPr>
                <w:lang w:eastAsia="zh-CN"/>
              </w:rPr>
              <w:t>5.1.6.2.19</w:t>
            </w:r>
          </w:p>
        </w:tc>
        <w:tc>
          <w:tcPr>
            <w:tcW w:w="2132" w:type="dxa"/>
            <w:gridSpan w:val="2"/>
          </w:tcPr>
          <w:p w14:paraId="0C1BEDDE" w14:textId="77777777" w:rsidR="00F253B2" w:rsidRDefault="00F253B2" w:rsidP="00F253B2">
            <w:pPr>
              <w:pStyle w:val="TAL"/>
            </w:pPr>
            <w:r>
              <w:rPr>
                <w:lang w:eastAsia="zh-CN"/>
              </w:rPr>
              <w:t xml:space="preserve">Represents the </w:t>
            </w:r>
            <w:r>
              <w:rPr>
                <w:rFonts w:eastAsia="Batang"/>
              </w:rPr>
              <w:t>QoS Sustainability</w:t>
            </w:r>
            <w:r>
              <w:rPr>
                <w:lang w:eastAsia="zh-CN"/>
              </w:rPr>
              <w:t xml:space="preserve"> information.</w:t>
            </w:r>
          </w:p>
        </w:tc>
        <w:tc>
          <w:tcPr>
            <w:tcW w:w="2751" w:type="dxa"/>
            <w:gridSpan w:val="2"/>
          </w:tcPr>
          <w:p w14:paraId="268123EF" w14:textId="77777777" w:rsidR="00F253B2" w:rsidRDefault="00F253B2" w:rsidP="00F253B2">
            <w:pPr>
              <w:pStyle w:val="TAL"/>
            </w:pPr>
            <w:r>
              <w:rPr>
                <w:rFonts w:cs="Arial"/>
                <w:szCs w:val="18"/>
              </w:rPr>
              <w:t>QoSSustainability</w:t>
            </w:r>
          </w:p>
        </w:tc>
      </w:tr>
      <w:tr w:rsidR="00F253B2" w14:paraId="5F501B23" w14:textId="77777777" w:rsidTr="00635E7C">
        <w:trPr>
          <w:gridAfter w:val="1"/>
          <w:wAfter w:w="85" w:type="dxa"/>
          <w:jc w:val="center"/>
        </w:trPr>
        <w:tc>
          <w:tcPr>
            <w:tcW w:w="3222" w:type="dxa"/>
            <w:gridSpan w:val="2"/>
          </w:tcPr>
          <w:p w14:paraId="60B9718E" w14:textId="77777777" w:rsidR="00F253B2" w:rsidRDefault="00F253B2" w:rsidP="00F253B2">
            <w:pPr>
              <w:pStyle w:val="TAL"/>
            </w:pPr>
            <w:r>
              <w:t>RankingCriterion</w:t>
            </w:r>
          </w:p>
        </w:tc>
        <w:tc>
          <w:tcPr>
            <w:tcW w:w="1195" w:type="dxa"/>
            <w:gridSpan w:val="2"/>
          </w:tcPr>
          <w:p w14:paraId="4546341F" w14:textId="77777777" w:rsidR="00F253B2" w:rsidRDefault="00F253B2" w:rsidP="00F253B2">
            <w:pPr>
              <w:pStyle w:val="TAL"/>
              <w:rPr>
                <w:lang w:eastAsia="zh-CN"/>
              </w:rPr>
            </w:pPr>
            <w:r>
              <w:rPr>
                <w:lang w:eastAsia="zh-CN"/>
              </w:rPr>
              <w:t>5.1.6.2.52</w:t>
            </w:r>
          </w:p>
        </w:tc>
        <w:tc>
          <w:tcPr>
            <w:tcW w:w="2132" w:type="dxa"/>
            <w:gridSpan w:val="2"/>
          </w:tcPr>
          <w:p w14:paraId="314A5371" w14:textId="77777777" w:rsidR="00F253B2" w:rsidRDefault="00F253B2" w:rsidP="00F253B2">
            <w:pPr>
              <w:pStyle w:val="TAL"/>
              <w:rPr>
                <w:lang w:eastAsia="zh-CN"/>
              </w:rPr>
            </w:pPr>
            <w:r>
              <w:rPr>
                <w:lang w:eastAsia="ko-KR"/>
              </w:rPr>
              <w:t>Ranking criterion.</w:t>
            </w:r>
          </w:p>
        </w:tc>
        <w:tc>
          <w:tcPr>
            <w:tcW w:w="2751" w:type="dxa"/>
            <w:gridSpan w:val="2"/>
          </w:tcPr>
          <w:p w14:paraId="0B6FE926" w14:textId="77777777" w:rsidR="00F253B2" w:rsidRDefault="00F253B2" w:rsidP="00F253B2">
            <w:pPr>
              <w:pStyle w:val="TAL"/>
              <w:rPr>
                <w:rFonts w:cs="Arial"/>
                <w:szCs w:val="18"/>
              </w:rPr>
            </w:pPr>
            <w:r>
              <w:t>Dispersion</w:t>
            </w:r>
          </w:p>
        </w:tc>
      </w:tr>
      <w:tr w:rsidR="00F253B2" w14:paraId="48D3279C" w14:textId="77777777" w:rsidTr="00635E7C">
        <w:trPr>
          <w:gridAfter w:val="1"/>
          <w:wAfter w:w="85" w:type="dxa"/>
          <w:jc w:val="center"/>
        </w:trPr>
        <w:tc>
          <w:tcPr>
            <w:tcW w:w="3222" w:type="dxa"/>
            <w:gridSpan w:val="2"/>
          </w:tcPr>
          <w:p w14:paraId="1F2E00BB" w14:textId="77777777" w:rsidR="00F253B2" w:rsidRDefault="00F253B2" w:rsidP="00F253B2">
            <w:pPr>
              <w:pStyle w:val="TAL"/>
            </w:pPr>
            <w:r>
              <w:t>RatFreqInformation</w:t>
            </w:r>
          </w:p>
        </w:tc>
        <w:tc>
          <w:tcPr>
            <w:tcW w:w="1195" w:type="dxa"/>
            <w:gridSpan w:val="2"/>
          </w:tcPr>
          <w:p w14:paraId="42DED8CE" w14:textId="77777777" w:rsidR="00F253B2" w:rsidRDefault="00F253B2" w:rsidP="00F253B2">
            <w:pPr>
              <w:pStyle w:val="TAL"/>
              <w:rPr>
                <w:lang w:eastAsia="zh-CN"/>
              </w:rPr>
            </w:pPr>
            <w:r>
              <w:rPr>
                <w:lang w:eastAsia="zh-CN"/>
              </w:rPr>
              <w:t>5.1.6.2.67</w:t>
            </w:r>
          </w:p>
        </w:tc>
        <w:tc>
          <w:tcPr>
            <w:tcW w:w="2132" w:type="dxa"/>
            <w:gridSpan w:val="2"/>
          </w:tcPr>
          <w:p w14:paraId="7A302CA0" w14:textId="77777777" w:rsidR="00F253B2" w:rsidRDefault="00F253B2" w:rsidP="00F253B2">
            <w:pPr>
              <w:pStyle w:val="TAL"/>
              <w:rPr>
                <w:lang w:eastAsia="ko-KR"/>
              </w:rPr>
            </w:pPr>
            <w:r>
              <w:rPr>
                <w:lang w:eastAsia="ko-KR"/>
              </w:rPr>
              <w:t>Represents the RAT type and/or Frequency information.</w:t>
            </w:r>
          </w:p>
        </w:tc>
        <w:tc>
          <w:tcPr>
            <w:tcW w:w="2751" w:type="dxa"/>
            <w:gridSpan w:val="2"/>
          </w:tcPr>
          <w:p w14:paraId="252CF581" w14:textId="77777777" w:rsidR="00F253B2" w:rsidRDefault="00F253B2" w:rsidP="00F253B2">
            <w:pPr>
              <w:pStyle w:val="TAL"/>
            </w:pPr>
            <w:r>
              <w:t>ServiceExperienceExt</w:t>
            </w:r>
          </w:p>
        </w:tc>
      </w:tr>
      <w:tr w:rsidR="00F253B2" w14:paraId="751B14BF" w14:textId="77777777" w:rsidTr="00635E7C">
        <w:trPr>
          <w:gridAfter w:val="1"/>
          <w:wAfter w:w="85" w:type="dxa"/>
          <w:jc w:val="center"/>
        </w:trPr>
        <w:tc>
          <w:tcPr>
            <w:tcW w:w="3222" w:type="dxa"/>
            <w:gridSpan w:val="2"/>
          </w:tcPr>
          <w:p w14:paraId="67A36C07" w14:textId="77777777" w:rsidR="00F253B2" w:rsidRDefault="00F253B2" w:rsidP="00F253B2">
            <w:pPr>
              <w:pStyle w:val="TAL"/>
            </w:pPr>
            <w:r>
              <w:t>RedTransExpOrderingCriterion</w:t>
            </w:r>
          </w:p>
        </w:tc>
        <w:tc>
          <w:tcPr>
            <w:tcW w:w="1195" w:type="dxa"/>
            <w:gridSpan w:val="2"/>
          </w:tcPr>
          <w:p w14:paraId="03743904" w14:textId="77777777" w:rsidR="00F253B2" w:rsidRDefault="00F253B2" w:rsidP="00F253B2">
            <w:pPr>
              <w:pStyle w:val="TAL"/>
              <w:rPr>
                <w:lang w:eastAsia="zh-CN"/>
              </w:rPr>
            </w:pPr>
            <w:r>
              <w:rPr>
                <w:lang w:eastAsia="zh-CN"/>
              </w:rPr>
              <w:t>5.1.6.3.22</w:t>
            </w:r>
          </w:p>
        </w:tc>
        <w:tc>
          <w:tcPr>
            <w:tcW w:w="2132" w:type="dxa"/>
            <w:gridSpan w:val="2"/>
          </w:tcPr>
          <w:p w14:paraId="1CBBF438" w14:textId="77777777" w:rsidR="00F253B2" w:rsidRDefault="00F253B2" w:rsidP="00F253B2">
            <w:pPr>
              <w:pStyle w:val="TAL"/>
              <w:rPr>
                <w:lang w:eastAsia="ko-KR"/>
              </w:rPr>
            </w:pPr>
            <w:r>
              <w:rPr>
                <w:lang w:eastAsia="ko-KR"/>
              </w:rPr>
              <w:t>Ordering criterion for the list of Redundant Transmission Experience.</w:t>
            </w:r>
          </w:p>
        </w:tc>
        <w:tc>
          <w:tcPr>
            <w:tcW w:w="2751" w:type="dxa"/>
            <w:gridSpan w:val="2"/>
          </w:tcPr>
          <w:p w14:paraId="7194D0CC" w14:textId="77777777" w:rsidR="00F253B2" w:rsidRDefault="00F253B2" w:rsidP="00F253B2">
            <w:pPr>
              <w:pStyle w:val="TAL"/>
            </w:pPr>
            <w:r>
              <w:t>RedundantTransmissionExp</w:t>
            </w:r>
          </w:p>
        </w:tc>
      </w:tr>
      <w:tr w:rsidR="00F253B2" w14:paraId="374E40F2" w14:textId="77777777" w:rsidTr="00635E7C">
        <w:trPr>
          <w:gridAfter w:val="1"/>
          <w:wAfter w:w="85" w:type="dxa"/>
          <w:jc w:val="center"/>
        </w:trPr>
        <w:tc>
          <w:tcPr>
            <w:tcW w:w="3222" w:type="dxa"/>
            <w:gridSpan w:val="2"/>
          </w:tcPr>
          <w:p w14:paraId="2AF7E04B" w14:textId="77777777" w:rsidR="00F253B2" w:rsidRDefault="00F253B2" w:rsidP="00F253B2">
            <w:pPr>
              <w:pStyle w:val="TAL"/>
            </w:pPr>
            <w:r>
              <w:t>RedundantTransmissionExpInfo</w:t>
            </w:r>
          </w:p>
        </w:tc>
        <w:tc>
          <w:tcPr>
            <w:tcW w:w="1195" w:type="dxa"/>
            <w:gridSpan w:val="2"/>
          </w:tcPr>
          <w:p w14:paraId="02646F4C" w14:textId="77777777" w:rsidR="00F253B2" w:rsidRDefault="00F253B2" w:rsidP="00F253B2">
            <w:pPr>
              <w:pStyle w:val="TAL"/>
              <w:rPr>
                <w:lang w:eastAsia="zh-CN"/>
              </w:rPr>
            </w:pPr>
            <w:r>
              <w:rPr>
                <w:lang w:eastAsia="zh-CN"/>
              </w:rPr>
              <w:t>5.1.6.2.57</w:t>
            </w:r>
          </w:p>
        </w:tc>
        <w:tc>
          <w:tcPr>
            <w:tcW w:w="2132" w:type="dxa"/>
            <w:gridSpan w:val="2"/>
          </w:tcPr>
          <w:p w14:paraId="620E661D" w14:textId="77777777" w:rsidR="00F253B2" w:rsidRDefault="00F253B2" w:rsidP="00F253B2">
            <w:pPr>
              <w:pStyle w:val="TAL"/>
              <w:rPr>
                <w:lang w:eastAsia="ko-KR"/>
              </w:rPr>
            </w:pPr>
            <w:r>
              <w:rPr>
                <w:lang w:eastAsia="ko-KR"/>
              </w:rPr>
              <w:t>Redundant transmission experience analytics information.</w:t>
            </w:r>
          </w:p>
        </w:tc>
        <w:tc>
          <w:tcPr>
            <w:tcW w:w="2751" w:type="dxa"/>
            <w:gridSpan w:val="2"/>
          </w:tcPr>
          <w:p w14:paraId="5D704685" w14:textId="77777777" w:rsidR="00F253B2" w:rsidRDefault="00F253B2" w:rsidP="00F253B2">
            <w:pPr>
              <w:pStyle w:val="TAL"/>
            </w:pPr>
            <w:r>
              <w:t>RedundantTransmissionExp</w:t>
            </w:r>
          </w:p>
        </w:tc>
      </w:tr>
      <w:tr w:rsidR="00F253B2" w14:paraId="313F1A91" w14:textId="77777777" w:rsidTr="00635E7C">
        <w:trPr>
          <w:gridAfter w:val="1"/>
          <w:wAfter w:w="85" w:type="dxa"/>
          <w:jc w:val="center"/>
        </w:trPr>
        <w:tc>
          <w:tcPr>
            <w:tcW w:w="3222" w:type="dxa"/>
            <w:gridSpan w:val="2"/>
          </w:tcPr>
          <w:p w14:paraId="501E5B94" w14:textId="77777777" w:rsidR="00F253B2" w:rsidRDefault="00F253B2" w:rsidP="00F253B2">
            <w:pPr>
              <w:pStyle w:val="TAL"/>
            </w:pPr>
            <w:r>
              <w:t>RedundantTransmissionExpPerTS</w:t>
            </w:r>
          </w:p>
        </w:tc>
        <w:tc>
          <w:tcPr>
            <w:tcW w:w="1195" w:type="dxa"/>
            <w:gridSpan w:val="2"/>
          </w:tcPr>
          <w:p w14:paraId="37AC2A89" w14:textId="77777777" w:rsidR="00F253B2" w:rsidRDefault="00F253B2" w:rsidP="00F253B2">
            <w:pPr>
              <w:pStyle w:val="TAL"/>
              <w:rPr>
                <w:lang w:eastAsia="zh-CN"/>
              </w:rPr>
            </w:pPr>
            <w:r>
              <w:rPr>
                <w:lang w:eastAsia="zh-CN"/>
              </w:rPr>
              <w:t>5.1.6.2.58</w:t>
            </w:r>
          </w:p>
        </w:tc>
        <w:tc>
          <w:tcPr>
            <w:tcW w:w="2132" w:type="dxa"/>
            <w:gridSpan w:val="2"/>
          </w:tcPr>
          <w:p w14:paraId="62E8A794" w14:textId="77777777" w:rsidR="00F253B2" w:rsidRDefault="00F253B2" w:rsidP="00F253B2">
            <w:pPr>
              <w:pStyle w:val="TAL"/>
              <w:rPr>
                <w:lang w:eastAsia="ko-KR"/>
              </w:rPr>
            </w:pPr>
            <w:r>
              <w:rPr>
                <w:lang w:eastAsia="ko-KR"/>
              </w:rPr>
              <w:t>Redundant Transmission Experience per Time Slot.</w:t>
            </w:r>
          </w:p>
        </w:tc>
        <w:tc>
          <w:tcPr>
            <w:tcW w:w="2751" w:type="dxa"/>
            <w:gridSpan w:val="2"/>
          </w:tcPr>
          <w:p w14:paraId="1271C27E" w14:textId="77777777" w:rsidR="00F253B2" w:rsidRDefault="00F253B2" w:rsidP="00F253B2">
            <w:pPr>
              <w:pStyle w:val="TAL"/>
            </w:pPr>
            <w:r>
              <w:t>RedundantTransmissionExp</w:t>
            </w:r>
          </w:p>
        </w:tc>
      </w:tr>
      <w:tr w:rsidR="00F253B2" w14:paraId="15C18A21" w14:textId="77777777" w:rsidTr="00635E7C">
        <w:trPr>
          <w:gridAfter w:val="1"/>
          <w:wAfter w:w="85" w:type="dxa"/>
          <w:jc w:val="center"/>
        </w:trPr>
        <w:tc>
          <w:tcPr>
            <w:tcW w:w="3222" w:type="dxa"/>
            <w:gridSpan w:val="2"/>
          </w:tcPr>
          <w:p w14:paraId="5CEAE864" w14:textId="77777777" w:rsidR="00F253B2" w:rsidRDefault="00F253B2" w:rsidP="00F253B2">
            <w:pPr>
              <w:pStyle w:val="TAL"/>
            </w:pPr>
            <w:r>
              <w:t>RedundantTransmissionExpReq</w:t>
            </w:r>
          </w:p>
        </w:tc>
        <w:tc>
          <w:tcPr>
            <w:tcW w:w="1195" w:type="dxa"/>
            <w:gridSpan w:val="2"/>
          </w:tcPr>
          <w:p w14:paraId="3AE23B9D" w14:textId="77777777" w:rsidR="00F253B2" w:rsidRDefault="00F253B2" w:rsidP="00F253B2">
            <w:pPr>
              <w:pStyle w:val="TAL"/>
              <w:rPr>
                <w:lang w:eastAsia="zh-CN"/>
              </w:rPr>
            </w:pPr>
            <w:r>
              <w:rPr>
                <w:lang w:eastAsia="zh-CN"/>
              </w:rPr>
              <w:t>5.1.6.2.56</w:t>
            </w:r>
          </w:p>
        </w:tc>
        <w:tc>
          <w:tcPr>
            <w:tcW w:w="2132" w:type="dxa"/>
            <w:gridSpan w:val="2"/>
          </w:tcPr>
          <w:p w14:paraId="1415D679" w14:textId="77777777" w:rsidR="00F253B2" w:rsidRDefault="00F253B2" w:rsidP="00F253B2">
            <w:pPr>
              <w:pStyle w:val="TAL"/>
              <w:rPr>
                <w:lang w:eastAsia="ko-KR"/>
              </w:rPr>
            </w:pPr>
            <w:r>
              <w:rPr>
                <w:lang w:eastAsia="ko-KR"/>
              </w:rPr>
              <w:t>Redundant transmission experience analytics requirement.</w:t>
            </w:r>
          </w:p>
        </w:tc>
        <w:tc>
          <w:tcPr>
            <w:tcW w:w="2751" w:type="dxa"/>
            <w:gridSpan w:val="2"/>
          </w:tcPr>
          <w:p w14:paraId="24D18AAB" w14:textId="77777777" w:rsidR="00F253B2" w:rsidRDefault="00F253B2" w:rsidP="00F253B2">
            <w:pPr>
              <w:pStyle w:val="TAL"/>
            </w:pPr>
            <w:r>
              <w:t>RedundantTransmissionExp</w:t>
            </w:r>
          </w:p>
        </w:tc>
      </w:tr>
      <w:tr w:rsidR="00F253B2" w14:paraId="5843D9AB" w14:textId="77777777" w:rsidTr="00635E7C">
        <w:trPr>
          <w:gridAfter w:val="1"/>
          <w:wAfter w:w="85" w:type="dxa"/>
          <w:jc w:val="center"/>
        </w:trPr>
        <w:tc>
          <w:tcPr>
            <w:tcW w:w="3222" w:type="dxa"/>
            <w:gridSpan w:val="2"/>
          </w:tcPr>
          <w:p w14:paraId="3CDCDCD2" w14:textId="77777777" w:rsidR="00F253B2" w:rsidRDefault="00F253B2" w:rsidP="00F253B2">
            <w:pPr>
              <w:pStyle w:val="TAL"/>
            </w:pPr>
            <w:r>
              <w:t>RelProxInfo</w:t>
            </w:r>
          </w:p>
        </w:tc>
        <w:tc>
          <w:tcPr>
            <w:tcW w:w="1195" w:type="dxa"/>
            <w:gridSpan w:val="2"/>
          </w:tcPr>
          <w:p w14:paraId="00102D0C" w14:textId="77777777" w:rsidR="00F253B2" w:rsidRDefault="00F253B2" w:rsidP="00F253B2">
            <w:pPr>
              <w:pStyle w:val="TAL"/>
              <w:rPr>
                <w:lang w:eastAsia="zh-CN"/>
              </w:rPr>
            </w:pPr>
            <w:r>
              <w:rPr>
                <w:rFonts w:hint="eastAsia"/>
                <w:lang w:eastAsia="ja-JP"/>
              </w:rPr>
              <w:t>5</w:t>
            </w:r>
            <w:r>
              <w:rPr>
                <w:lang w:eastAsia="ja-JP"/>
              </w:rPr>
              <w:t>.1.6.2.100</w:t>
            </w:r>
          </w:p>
        </w:tc>
        <w:tc>
          <w:tcPr>
            <w:tcW w:w="2132" w:type="dxa"/>
            <w:gridSpan w:val="2"/>
          </w:tcPr>
          <w:p w14:paraId="079CE726" w14:textId="77777777" w:rsidR="00F253B2" w:rsidRDefault="00F253B2" w:rsidP="00F253B2">
            <w:pPr>
              <w:pStyle w:val="TAL"/>
              <w:rPr>
                <w:lang w:eastAsia="ko-KR"/>
              </w:rPr>
            </w:pPr>
            <w:r>
              <w:rPr>
                <w:lang w:val="en-US" w:eastAsia="zh-CN"/>
              </w:rPr>
              <w:t xml:space="preserve">Relative Proximity </w:t>
            </w:r>
            <w:r>
              <w:rPr>
                <w:lang w:eastAsia="ko-KR"/>
              </w:rPr>
              <w:t>analytics information.</w:t>
            </w:r>
          </w:p>
        </w:tc>
        <w:tc>
          <w:tcPr>
            <w:tcW w:w="2751" w:type="dxa"/>
            <w:gridSpan w:val="2"/>
          </w:tcPr>
          <w:p w14:paraId="295C62B7" w14:textId="77777777" w:rsidR="00F253B2" w:rsidRDefault="00F253B2" w:rsidP="00F253B2">
            <w:pPr>
              <w:pStyle w:val="TAL"/>
            </w:pPr>
            <w:r>
              <w:rPr>
                <w:lang w:val="en-US" w:eastAsia="zh-CN"/>
              </w:rPr>
              <w:t>RelativeProximity</w:t>
            </w:r>
          </w:p>
        </w:tc>
      </w:tr>
      <w:tr w:rsidR="00F253B2" w14:paraId="1B94B0E0" w14:textId="77777777" w:rsidTr="00635E7C">
        <w:trPr>
          <w:gridAfter w:val="1"/>
          <w:wAfter w:w="85" w:type="dxa"/>
          <w:jc w:val="center"/>
        </w:trPr>
        <w:tc>
          <w:tcPr>
            <w:tcW w:w="3222" w:type="dxa"/>
            <w:gridSpan w:val="2"/>
          </w:tcPr>
          <w:p w14:paraId="3E025EEC" w14:textId="77777777" w:rsidR="00F253B2" w:rsidRDefault="00F253B2" w:rsidP="00F253B2">
            <w:pPr>
              <w:pStyle w:val="TAL"/>
            </w:pPr>
            <w:r>
              <w:t>RelProxReq</w:t>
            </w:r>
          </w:p>
        </w:tc>
        <w:tc>
          <w:tcPr>
            <w:tcW w:w="1195" w:type="dxa"/>
            <w:gridSpan w:val="2"/>
          </w:tcPr>
          <w:p w14:paraId="7C00497D" w14:textId="77777777" w:rsidR="00F253B2" w:rsidRDefault="00F253B2" w:rsidP="00F253B2">
            <w:pPr>
              <w:pStyle w:val="TAL"/>
              <w:rPr>
                <w:lang w:eastAsia="zh-CN"/>
              </w:rPr>
            </w:pPr>
            <w:r>
              <w:rPr>
                <w:rFonts w:hint="eastAsia"/>
                <w:lang w:eastAsia="ja-JP"/>
              </w:rPr>
              <w:t>5</w:t>
            </w:r>
            <w:r>
              <w:rPr>
                <w:lang w:eastAsia="ja-JP"/>
              </w:rPr>
              <w:t>.1.6.2.99</w:t>
            </w:r>
          </w:p>
        </w:tc>
        <w:tc>
          <w:tcPr>
            <w:tcW w:w="2132" w:type="dxa"/>
            <w:gridSpan w:val="2"/>
          </w:tcPr>
          <w:p w14:paraId="321044BC" w14:textId="77777777" w:rsidR="00F253B2" w:rsidRDefault="00F253B2" w:rsidP="00F253B2">
            <w:pPr>
              <w:pStyle w:val="TAL"/>
              <w:rPr>
                <w:lang w:eastAsia="ko-KR"/>
              </w:rPr>
            </w:pPr>
            <w:r>
              <w:rPr>
                <w:lang w:val="en-US" w:eastAsia="zh-CN"/>
              </w:rPr>
              <w:t>Relative Proximity analytics requirements.</w:t>
            </w:r>
          </w:p>
        </w:tc>
        <w:tc>
          <w:tcPr>
            <w:tcW w:w="2751" w:type="dxa"/>
            <w:gridSpan w:val="2"/>
          </w:tcPr>
          <w:p w14:paraId="3529B1BF" w14:textId="77777777" w:rsidR="00F253B2" w:rsidRDefault="00F253B2" w:rsidP="00F253B2">
            <w:pPr>
              <w:pStyle w:val="TAL"/>
            </w:pPr>
            <w:r>
              <w:rPr>
                <w:lang w:val="en-US" w:eastAsia="zh-CN"/>
              </w:rPr>
              <w:t>RelativeProximity</w:t>
            </w:r>
          </w:p>
        </w:tc>
      </w:tr>
      <w:tr w:rsidR="00F253B2" w14:paraId="033D945E" w14:textId="77777777" w:rsidTr="00635E7C">
        <w:trPr>
          <w:gridAfter w:val="1"/>
          <w:wAfter w:w="85" w:type="dxa"/>
          <w:jc w:val="center"/>
        </w:trPr>
        <w:tc>
          <w:tcPr>
            <w:tcW w:w="3222" w:type="dxa"/>
            <w:gridSpan w:val="2"/>
          </w:tcPr>
          <w:p w14:paraId="3252359A" w14:textId="77777777" w:rsidR="00F253B2" w:rsidRDefault="00F253B2" w:rsidP="00F253B2">
            <w:pPr>
              <w:pStyle w:val="TAL"/>
            </w:pPr>
            <w:r>
              <w:t>ResourceUsage</w:t>
            </w:r>
          </w:p>
        </w:tc>
        <w:tc>
          <w:tcPr>
            <w:tcW w:w="1195" w:type="dxa"/>
            <w:gridSpan w:val="2"/>
          </w:tcPr>
          <w:p w14:paraId="16DF1F94" w14:textId="77777777" w:rsidR="00F253B2" w:rsidRDefault="00F253B2" w:rsidP="00F253B2">
            <w:pPr>
              <w:pStyle w:val="TAL"/>
              <w:rPr>
                <w:lang w:eastAsia="zh-CN"/>
              </w:rPr>
            </w:pPr>
            <w:r>
              <w:t>5.1.6.2.48</w:t>
            </w:r>
          </w:p>
        </w:tc>
        <w:tc>
          <w:tcPr>
            <w:tcW w:w="2132" w:type="dxa"/>
            <w:gridSpan w:val="2"/>
          </w:tcPr>
          <w:p w14:paraId="08CB20F3" w14:textId="77777777" w:rsidR="00F253B2" w:rsidRDefault="00F253B2" w:rsidP="00F253B2">
            <w:pPr>
              <w:pStyle w:val="TAL"/>
            </w:pPr>
            <w:r>
              <w:t>The current usage of the virtual resources assigned to the NF instances belonging to a particular network slice instance.</w:t>
            </w:r>
          </w:p>
        </w:tc>
        <w:tc>
          <w:tcPr>
            <w:tcW w:w="2751" w:type="dxa"/>
            <w:gridSpan w:val="2"/>
          </w:tcPr>
          <w:p w14:paraId="73BBB5E2" w14:textId="77777777" w:rsidR="00F253B2" w:rsidRDefault="00F253B2" w:rsidP="00F253B2">
            <w:pPr>
              <w:pStyle w:val="TAL"/>
            </w:pPr>
            <w:r>
              <w:rPr>
                <w:rFonts w:cs="Arial"/>
                <w:szCs w:val="18"/>
                <w:lang w:eastAsia="zh-CN"/>
              </w:rPr>
              <w:t>NsiLoad</w:t>
            </w:r>
            <w:r>
              <w:t>Ext</w:t>
            </w:r>
          </w:p>
        </w:tc>
      </w:tr>
      <w:tr w:rsidR="00F253B2" w14:paraId="1C6FCD92" w14:textId="77777777" w:rsidTr="00635E7C">
        <w:trPr>
          <w:gridAfter w:val="1"/>
          <w:wAfter w:w="85" w:type="dxa"/>
          <w:jc w:val="center"/>
        </w:trPr>
        <w:tc>
          <w:tcPr>
            <w:tcW w:w="3222" w:type="dxa"/>
            <w:gridSpan w:val="2"/>
          </w:tcPr>
          <w:p w14:paraId="6C7197F6" w14:textId="77777777" w:rsidR="00F253B2" w:rsidRDefault="00F253B2" w:rsidP="00F253B2">
            <w:pPr>
              <w:pStyle w:val="TAL"/>
            </w:pPr>
            <w:r>
              <w:rPr>
                <w:lang w:eastAsia="zh-CN"/>
              </w:rPr>
              <w:t>ResourceUsageRequirement</w:t>
            </w:r>
          </w:p>
        </w:tc>
        <w:tc>
          <w:tcPr>
            <w:tcW w:w="1195" w:type="dxa"/>
            <w:gridSpan w:val="2"/>
          </w:tcPr>
          <w:p w14:paraId="5CDFB2F3" w14:textId="77777777" w:rsidR="00F253B2" w:rsidRDefault="00F253B2" w:rsidP="00F253B2">
            <w:pPr>
              <w:pStyle w:val="TAL"/>
            </w:pPr>
            <w:r>
              <w:rPr>
                <w:rFonts w:hint="eastAsia"/>
                <w:lang w:eastAsia="zh-CN"/>
              </w:rPr>
              <w:t>5</w:t>
            </w:r>
            <w:r>
              <w:rPr>
                <w:lang w:eastAsia="zh-CN"/>
              </w:rPr>
              <w:t>.1.6.2.81</w:t>
            </w:r>
          </w:p>
        </w:tc>
        <w:tc>
          <w:tcPr>
            <w:tcW w:w="2132" w:type="dxa"/>
            <w:gridSpan w:val="2"/>
          </w:tcPr>
          <w:p w14:paraId="0CE10B7E" w14:textId="77777777" w:rsidR="00F253B2" w:rsidRDefault="00F253B2" w:rsidP="00F253B2">
            <w:pPr>
              <w:pStyle w:val="TAL"/>
            </w:pPr>
            <w:r>
              <w:rPr>
                <w:lang w:eastAsia="zh-CN"/>
              </w:rPr>
              <w:t>Indicates more requirements when providing resource usage information for network performance.</w:t>
            </w:r>
          </w:p>
        </w:tc>
        <w:tc>
          <w:tcPr>
            <w:tcW w:w="2751" w:type="dxa"/>
            <w:gridSpan w:val="2"/>
          </w:tcPr>
          <w:p w14:paraId="308293E0" w14:textId="77777777" w:rsidR="00F253B2" w:rsidRDefault="00F253B2" w:rsidP="00F253B2">
            <w:pPr>
              <w:pStyle w:val="TAL"/>
              <w:rPr>
                <w:rFonts w:cs="Arial"/>
                <w:szCs w:val="18"/>
                <w:lang w:eastAsia="zh-CN"/>
              </w:rPr>
            </w:pPr>
            <w:r>
              <w:t>NetworkPerformance</w:t>
            </w:r>
            <w:r>
              <w:rPr>
                <w:lang w:eastAsia="zh-CN"/>
              </w:rPr>
              <w:t>Ext_AIML</w:t>
            </w:r>
          </w:p>
        </w:tc>
      </w:tr>
      <w:tr w:rsidR="00F253B2" w14:paraId="1EE58178" w14:textId="77777777" w:rsidTr="00635E7C">
        <w:trPr>
          <w:gridAfter w:val="1"/>
          <w:wAfter w:w="85" w:type="dxa"/>
          <w:jc w:val="center"/>
        </w:trPr>
        <w:tc>
          <w:tcPr>
            <w:tcW w:w="3222" w:type="dxa"/>
            <w:gridSpan w:val="2"/>
          </w:tcPr>
          <w:p w14:paraId="082E21AD" w14:textId="77777777" w:rsidR="00F253B2" w:rsidRDefault="00F253B2" w:rsidP="00F253B2">
            <w:pPr>
              <w:pStyle w:val="TAL"/>
            </w:pPr>
            <w:r>
              <w:t>RetainabilityThreshold</w:t>
            </w:r>
          </w:p>
        </w:tc>
        <w:tc>
          <w:tcPr>
            <w:tcW w:w="1195" w:type="dxa"/>
            <w:gridSpan w:val="2"/>
          </w:tcPr>
          <w:p w14:paraId="6CCE8FD5" w14:textId="77777777" w:rsidR="00F253B2" w:rsidRDefault="00F253B2" w:rsidP="00F253B2">
            <w:pPr>
              <w:pStyle w:val="TAL"/>
              <w:rPr>
                <w:lang w:eastAsia="zh-CN"/>
              </w:rPr>
            </w:pPr>
            <w:r>
              <w:rPr>
                <w:rFonts w:hint="eastAsia"/>
                <w:lang w:eastAsia="zh-CN"/>
              </w:rPr>
              <w:t>5</w:t>
            </w:r>
            <w:r>
              <w:rPr>
                <w:lang w:eastAsia="zh-CN"/>
              </w:rPr>
              <w:t>.1.6.2.21</w:t>
            </w:r>
          </w:p>
        </w:tc>
        <w:tc>
          <w:tcPr>
            <w:tcW w:w="2132" w:type="dxa"/>
            <w:gridSpan w:val="2"/>
          </w:tcPr>
          <w:p w14:paraId="4B70E21A" w14:textId="77777777" w:rsidR="00F253B2" w:rsidRDefault="00F253B2" w:rsidP="00F253B2">
            <w:pPr>
              <w:pStyle w:val="TAL"/>
              <w:rPr>
                <w:lang w:eastAsia="ko-KR"/>
              </w:rPr>
            </w:pPr>
            <w:r>
              <w:rPr>
                <w:lang w:eastAsia="zh-CN"/>
              </w:rPr>
              <w:t>Represents a QoS flow retainability threshold.</w:t>
            </w:r>
          </w:p>
        </w:tc>
        <w:tc>
          <w:tcPr>
            <w:tcW w:w="2751" w:type="dxa"/>
            <w:gridSpan w:val="2"/>
          </w:tcPr>
          <w:p w14:paraId="449EE5DF" w14:textId="77777777" w:rsidR="00F253B2" w:rsidRDefault="00F253B2" w:rsidP="00F253B2">
            <w:pPr>
              <w:pStyle w:val="TAL"/>
            </w:pPr>
            <w:r>
              <w:rPr>
                <w:rFonts w:cs="Arial"/>
                <w:szCs w:val="18"/>
              </w:rPr>
              <w:t>QoSSustainability</w:t>
            </w:r>
          </w:p>
        </w:tc>
      </w:tr>
      <w:tr w:rsidR="00F253B2" w14:paraId="446F8A32" w14:textId="77777777" w:rsidTr="00635E7C">
        <w:trPr>
          <w:gridAfter w:val="1"/>
          <w:wAfter w:w="85" w:type="dxa"/>
          <w:jc w:val="center"/>
        </w:trPr>
        <w:tc>
          <w:tcPr>
            <w:tcW w:w="3222" w:type="dxa"/>
            <w:gridSpan w:val="2"/>
          </w:tcPr>
          <w:p w14:paraId="65A489D2" w14:textId="77777777" w:rsidR="00F253B2" w:rsidRDefault="00F253B2" w:rsidP="00F253B2">
            <w:pPr>
              <w:pStyle w:val="TAL"/>
            </w:pPr>
            <w:r>
              <w:t>RoamingInfo</w:t>
            </w:r>
          </w:p>
        </w:tc>
        <w:tc>
          <w:tcPr>
            <w:tcW w:w="1195" w:type="dxa"/>
            <w:gridSpan w:val="2"/>
          </w:tcPr>
          <w:p w14:paraId="74482416" w14:textId="77777777" w:rsidR="00F253B2" w:rsidRDefault="00F253B2" w:rsidP="00F253B2">
            <w:pPr>
              <w:pStyle w:val="TAL"/>
              <w:rPr>
                <w:rFonts w:hint="eastAsia"/>
                <w:lang w:eastAsia="zh-CN"/>
              </w:rPr>
            </w:pPr>
            <w:r>
              <w:rPr>
                <w:lang w:eastAsia="zh-CN"/>
              </w:rPr>
              <w:t>5.1.6.2.106</w:t>
            </w:r>
          </w:p>
        </w:tc>
        <w:tc>
          <w:tcPr>
            <w:tcW w:w="2132" w:type="dxa"/>
            <w:gridSpan w:val="2"/>
          </w:tcPr>
          <w:p w14:paraId="0E9D684A" w14:textId="77777777" w:rsidR="00F253B2" w:rsidRDefault="00F253B2" w:rsidP="00F253B2">
            <w:pPr>
              <w:pStyle w:val="TAL"/>
              <w:rPr>
                <w:lang w:eastAsia="zh-CN"/>
              </w:rPr>
            </w:pPr>
            <w:r>
              <w:rPr>
                <w:lang w:eastAsia="zh-CN"/>
              </w:rPr>
              <w:t>Contains information related to roaming analytics.</w:t>
            </w:r>
          </w:p>
        </w:tc>
        <w:tc>
          <w:tcPr>
            <w:tcW w:w="2751" w:type="dxa"/>
            <w:gridSpan w:val="2"/>
          </w:tcPr>
          <w:p w14:paraId="47B6A1F2" w14:textId="77777777" w:rsidR="00F253B2" w:rsidRDefault="00F253B2" w:rsidP="00F253B2">
            <w:pPr>
              <w:pStyle w:val="TAL"/>
              <w:rPr>
                <w:rFonts w:cs="Arial"/>
                <w:szCs w:val="18"/>
              </w:rPr>
            </w:pPr>
            <w:r>
              <w:rPr>
                <w:rFonts w:cs="Arial"/>
                <w:szCs w:val="18"/>
              </w:rPr>
              <w:t>RoamingAnalytics</w:t>
            </w:r>
          </w:p>
        </w:tc>
      </w:tr>
      <w:tr w:rsidR="00F253B2" w14:paraId="5E3D133A" w14:textId="77777777" w:rsidTr="00635E7C">
        <w:trPr>
          <w:gridAfter w:val="1"/>
          <w:wAfter w:w="85" w:type="dxa"/>
          <w:jc w:val="center"/>
        </w:trPr>
        <w:tc>
          <w:tcPr>
            <w:tcW w:w="3222" w:type="dxa"/>
            <w:gridSpan w:val="2"/>
          </w:tcPr>
          <w:p w14:paraId="06156C5F" w14:textId="77777777" w:rsidR="00F253B2" w:rsidRDefault="00F253B2" w:rsidP="00F253B2">
            <w:pPr>
              <w:pStyle w:val="TAL"/>
            </w:pPr>
            <w:r>
              <w:lastRenderedPageBreak/>
              <w:t>PduSessionInfo</w:t>
            </w:r>
          </w:p>
        </w:tc>
        <w:tc>
          <w:tcPr>
            <w:tcW w:w="1195" w:type="dxa"/>
            <w:gridSpan w:val="2"/>
          </w:tcPr>
          <w:p w14:paraId="7EEB2192" w14:textId="77777777" w:rsidR="00F253B2" w:rsidRDefault="00F253B2" w:rsidP="00F253B2">
            <w:pPr>
              <w:pStyle w:val="TAL"/>
              <w:rPr>
                <w:rFonts w:hint="eastAsia"/>
                <w:lang w:eastAsia="zh-CN"/>
              </w:rPr>
            </w:pPr>
            <w:r>
              <w:rPr>
                <w:lang w:eastAsia="zh-CN"/>
              </w:rPr>
              <w:t>5.1.6.2.74</w:t>
            </w:r>
          </w:p>
        </w:tc>
        <w:tc>
          <w:tcPr>
            <w:tcW w:w="2132" w:type="dxa"/>
            <w:gridSpan w:val="2"/>
          </w:tcPr>
          <w:p w14:paraId="1D73CC90" w14:textId="77777777" w:rsidR="00F253B2" w:rsidRDefault="00F253B2" w:rsidP="00F253B2">
            <w:pPr>
              <w:pStyle w:val="TAL"/>
              <w:rPr>
                <w:lang w:eastAsia="zh-CN"/>
              </w:rPr>
            </w:pPr>
            <w:r>
              <w:rPr>
                <w:lang w:eastAsia="zh-CN"/>
              </w:rPr>
              <w:t>Represents combination of PDU Session parameters.</w:t>
            </w:r>
          </w:p>
        </w:tc>
        <w:tc>
          <w:tcPr>
            <w:tcW w:w="2751" w:type="dxa"/>
            <w:gridSpan w:val="2"/>
          </w:tcPr>
          <w:p w14:paraId="7E7B60CA" w14:textId="77777777" w:rsidR="00F253B2" w:rsidRDefault="00F253B2" w:rsidP="00F253B2">
            <w:pPr>
              <w:pStyle w:val="TAL"/>
              <w:rPr>
                <w:rFonts w:cs="Arial"/>
                <w:szCs w:val="18"/>
              </w:rPr>
            </w:pPr>
            <w:r>
              <w:rPr>
                <w:lang w:eastAsia="zh-CN"/>
              </w:rPr>
              <w:t>ServiceExperienceExt2_eNA</w:t>
            </w:r>
          </w:p>
        </w:tc>
      </w:tr>
      <w:tr w:rsidR="00F253B2" w14:paraId="68E98F88" w14:textId="77777777" w:rsidTr="00635E7C">
        <w:trPr>
          <w:gridAfter w:val="1"/>
          <w:wAfter w:w="85" w:type="dxa"/>
          <w:jc w:val="center"/>
        </w:trPr>
        <w:tc>
          <w:tcPr>
            <w:tcW w:w="3222" w:type="dxa"/>
            <w:gridSpan w:val="2"/>
          </w:tcPr>
          <w:p w14:paraId="68177CFF" w14:textId="77777777" w:rsidR="00F253B2" w:rsidRDefault="00F253B2" w:rsidP="00F253B2">
            <w:pPr>
              <w:pStyle w:val="TAL"/>
              <w:rPr>
                <w:lang w:eastAsia="zh-CN"/>
              </w:rPr>
            </w:pPr>
            <w:r>
              <w:t>ServiceExperienceInfo</w:t>
            </w:r>
          </w:p>
        </w:tc>
        <w:tc>
          <w:tcPr>
            <w:tcW w:w="1195" w:type="dxa"/>
            <w:gridSpan w:val="2"/>
          </w:tcPr>
          <w:p w14:paraId="6823362D" w14:textId="77777777" w:rsidR="00F253B2" w:rsidRDefault="00F253B2" w:rsidP="00F253B2">
            <w:pPr>
              <w:pStyle w:val="TAL"/>
              <w:rPr>
                <w:lang w:eastAsia="zh-CN"/>
              </w:rPr>
            </w:pPr>
            <w:r>
              <w:t>5.1.6.2.24</w:t>
            </w:r>
          </w:p>
        </w:tc>
        <w:tc>
          <w:tcPr>
            <w:tcW w:w="2132" w:type="dxa"/>
            <w:gridSpan w:val="2"/>
          </w:tcPr>
          <w:p w14:paraId="29E239A3" w14:textId="77777777" w:rsidR="00F253B2" w:rsidRDefault="00F253B2" w:rsidP="00F253B2">
            <w:pPr>
              <w:pStyle w:val="TAL"/>
              <w:rPr>
                <w:lang w:eastAsia="zh-CN"/>
              </w:rPr>
            </w:pPr>
            <w:r>
              <w:t>Represents the service experience information.</w:t>
            </w:r>
          </w:p>
        </w:tc>
        <w:tc>
          <w:tcPr>
            <w:tcW w:w="2751" w:type="dxa"/>
            <w:gridSpan w:val="2"/>
          </w:tcPr>
          <w:p w14:paraId="66C9DB29" w14:textId="77777777" w:rsidR="00F253B2" w:rsidRDefault="00F253B2" w:rsidP="00F253B2">
            <w:pPr>
              <w:pStyle w:val="TAL"/>
              <w:rPr>
                <w:rFonts w:cs="Arial"/>
                <w:szCs w:val="18"/>
              </w:rPr>
            </w:pPr>
            <w:r>
              <w:t>ServiceExperience</w:t>
            </w:r>
          </w:p>
        </w:tc>
      </w:tr>
      <w:tr w:rsidR="00F253B2" w14:paraId="5D0881CE" w14:textId="77777777" w:rsidTr="00635E7C">
        <w:trPr>
          <w:gridAfter w:val="1"/>
          <w:wAfter w:w="85" w:type="dxa"/>
          <w:jc w:val="center"/>
        </w:trPr>
        <w:tc>
          <w:tcPr>
            <w:tcW w:w="3222" w:type="dxa"/>
            <w:gridSpan w:val="2"/>
          </w:tcPr>
          <w:p w14:paraId="633433DD" w14:textId="77777777" w:rsidR="00F253B2" w:rsidRDefault="00F253B2" w:rsidP="00F253B2">
            <w:pPr>
              <w:pStyle w:val="TAL"/>
            </w:pPr>
            <w:r>
              <w:rPr>
                <w:lang w:eastAsia="zh-CN"/>
              </w:rPr>
              <w:t>ServiceExperienceType</w:t>
            </w:r>
          </w:p>
        </w:tc>
        <w:tc>
          <w:tcPr>
            <w:tcW w:w="1195" w:type="dxa"/>
            <w:gridSpan w:val="2"/>
          </w:tcPr>
          <w:p w14:paraId="64B68EDB" w14:textId="77777777" w:rsidR="00F253B2" w:rsidRDefault="00F253B2" w:rsidP="00F253B2">
            <w:pPr>
              <w:pStyle w:val="TAL"/>
            </w:pPr>
            <w:r>
              <w:rPr>
                <w:rFonts w:hint="eastAsia"/>
                <w:lang w:eastAsia="zh-CN"/>
              </w:rPr>
              <w:t>5.1.6.3.24</w:t>
            </w:r>
          </w:p>
        </w:tc>
        <w:tc>
          <w:tcPr>
            <w:tcW w:w="2132" w:type="dxa"/>
            <w:gridSpan w:val="2"/>
          </w:tcPr>
          <w:p w14:paraId="4A936523" w14:textId="77777777" w:rsidR="00F253B2" w:rsidRDefault="00F253B2" w:rsidP="00F253B2">
            <w:pPr>
              <w:pStyle w:val="TAL"/>
            </w:pPr>
            <w:r>
              <w:t>Represents the type of Service Experience Analytics.</w:t>
            </w:r>
          </w:p>
        </w:tc>
        <w:tc>
          <w:tcPr>
            <w:tcW w:w="2751" w:type="dxa"/>
            <w:gridSpan w:val="2"/>
          </w:tcPr>
          <w:p w14:paraId="139BDA0B" w14:textId="77777777" w:rsidR="00F253B2" w:rsidRDefault="00F253B2" w:rsidP="00F253B2">
            <w:pPr>
              <w:pStyle w:val="TAL"/>
            </w:pPr>
            <w:r>
              <w:rPr>
                <w:rFonts w:cs="Arial" w:hint="eastAsia"/>
                <w:szCs w:val="18"/>
                <w:lang w:eastAsia="zh-CN"/>
              </w:rPr>
              <w:t>S</w:t>
            </w:r>
            <w:r>
              <w:rPr>
                <w:rFonts w:cs="Arial"/>
                <w:szCs w:val="18"/>
                <w:lang w:eastAsia="zh-CN"/>
              </w:rPr>
              <w:t>erviceExperienceExt</w:t>
            </w:r>
          </w:p>
        </w:tc>
      </w:tr>
      <w:tr w:rsidR="00F253B2" w14:paraId="4E683918" w14:textId="77777777" w:rsidTr="00635E7C">
        <w:trPr>
          <w:gridAfter w:val="1"/>
          <w:wAfter w:w="85" w:type="dxa"/>
          <w:jc w:val="center"/>
        </w:trPr>
        <w:tc>
          <w:tcPr>
            <w:tcW w:w="3222" w:type="dxa"/>
            <w:gridSpan w:val="2"/>
          </w:tcPr>
          <w:p w14:paraId="2A68A350" w14:textId="77777777" w:rsidR="00F253B2" w:rsidRDefault="00F253B2" w:rsidP="00F253B2">
            <w:pPr>
              <w:pStyle w:val="TAL"/>
            </w:pPr>
            <w:r>
              <w:rPr>
                <w:lang w:eastAsia="zh-CN"/>
              </w:rPr>
              <w:t>SessInactTimer</w:t>
            </w:r>
            <w:r>
              <w:t>ForUeComm</w:t>
            </w:r>
          </w:p>
        </w:tc>
        <w:tc>
          <w:tcPr>
            <w:tcW w:w="1195" w:type="dxa"/>
            <w:gridSpan w:val="2"/>
          </w:tcPr>
          <w:p w14:paraId="0B4E07FC" w14:textId="77777777" w:rsidR="00F253B2" w:rsidRDefault="00F253B2" w:rsidP="00F253B2">
            <w:pPr>
              <w:pStyle w:val="TAL"/>
            </w:pPr>
            <w:r>
              <w:rPr>
                <w:rFonts w:hint="eastAsia"/>
                <w:lang w:eastAsia="zh-CN"/>
              </w:rPr>
              <w:t>5.1.6.2.65</w:t>
            </w:r>
          </w:p>
        </w:tc>
        <w:tc>
          <w:tcPr>
            <w:tcW w:w="2132" w:type="dxa"/>
            <w:gridSpan w:val="2"/>
          </w:tcPr>
          <w:p w14:paraId="4B9512CE" w14:textId="77777777" w:rsidR="00F253B2" w:rsidRDefault="00F253B2" w:rsidP="00F253B2">
            <w:pPr>
              <w:pStyle w:val="TAL"/>
            </w:pPr>
            <w:r>
              <w:rPr>
                <w:lang w:eastAsia="zh-CN"/>
              </w:rPr>
              <w:t>Represents the N4 Session inactivity timer.</w:t>
            </w:r>
          </w:p>
        </w:tc>
        <w:tc>
          <w:tcPr>
            <w:tcW w:w="2751" w:type="dxa"/>
            <w:gridSpan w:val="2"/>
          </w:tcPr>
          <w:p w14:paraId="30FF54E2" w14:textId="77777777" w:rsidR="00F253B2" w:rsidRDefault="00F253B2" w:rsidP="00F253B2">
            <w:pPr>
              <w:pStyle w:val="TAL"/>
            </w:pPr>
            <w:r>
              <w:t>UeCommunicationExt</w:t>
            </w:r>
          </w:p>
        </w:tc>
      </w:tr>
      <w:tr w:rsidR="00143F25" w14:paraId="2F8080AD" w14:textId="77777777" w:rsidTr="00635E7C">
        <w:trPr>
          <w:gridAfter w:val="1"/>
          <w:wAfter w:w="85" w:type="dxa"/>
          <w:jc w:val="center"/>
        </w:trPr>
        <w:tc>
          <w:tcPr>
            <w:tcW w:w="3222" w:type="dxa"/>
            <w:gridSpan w:val="2"/>
          </w:tcPr>
          <w:p w14:paraId="0F632324" w14:textId="77777777" w:rsidR="00143F25" w:rsidRDefault="00143F25" w:rsidP="00143F25">
            <w:pPr>
              <w:pStyle w:val="TAL"/>
              <w:rPr>
                <w:lang w:eastAsia="zh-CN"/>
              </w:rPr>
            </w:pPr>
            <w:r>
              <w:t>SignalAnalytics</w:t>
            </w:r>
          </w:p>
        </w:tc>
        <w:tc>
          <w:tcPr>
            <w:tcW w:w="1195" w:type="dxa"/>
            <w:gridSpan w:val="2"/>
          </w:tcPr>
          <w:p w14:paraId="6947D240" w14:textId="77777777" w:rsidR="00143F25" w:rsidRDefault="00143F25" w:rsidP="00143F25">
            <w:pPr>
              <w:pStyle w:val="TAL"/>
              <w:rPr>
                <w:rFonts w:hint="eastAsia"/>
                <w:lang w:eastAsia="zh-CN"/>
              </w:rPr>
            </w:pPr>
            <w:r>
              <w:t>5.1.6.2.111</w:t>
            </w:r>
          </w:p>
        </w:tc>
        <w:tc>
          <w:tcPr>
            <w:tcW w:w="2132" w:type="dxa"/>
            <w:gridSpan w:val="2"/>
          </w:tcPr>
          <w:p w14:paraId="0359C79B" w14:textId="77777777" w:rsidR="00143F25" w:rsidRDefault="00143F25" w:rsidP="00143F25">
            <w:pPr>
              <w:pStyle w:val="TAL"/>
              <w:rPr>
                <w:lang w:eastAsia="zh-CN"/>
              </w:rPr>
            </w:pPr>
            <w:r>
              <w:t>Represents the received signalling analytics.</w:t>
            </w:r>
          </w:p>
        </w:tc>
        <w:tc>
          <w:tcPr>
            <w:tcW w:w="2751" w:type="dxa"/>
            <w:gridSpan w:val="2"/>
          </w:tcPr>
          <w:p w14:paraId="264B3D6F" w14:textId="77777777" w:rsidR="00143F25" w:rsidRDefault="00143F25" w:rsidP="00143F25">
            <w:pPr>
              <w:pStyle w:val="TAL"/>
            </w:pPr>
            <w:r w:rsidRPr="00AA1EE0">
              <w:t>SignallingStorm</w:t>
            </w:r>
          </w:p>
        </w:tc>
      </w:tr>
      <w:tr w:rsidR="00143F25" w14:paraId="5F4F413B" w14:textId="77777777" w:rsidTr="00635E7C">
        <w:trPr>
          <w:gridAfter w:val="1"/>
          <w:wAfter w:w="85" w:type="dxa"/>
          <w:jc w:val="center"/>
        </w:trPr>
        <w:tc>
          <w:tcPr>
            <w:tcW w:w="3222" w:type="dxa"/>
            <w:gridSpan w:val="2"/>
          </w:tcPr>
          <w:p w14:paraId="6FD52CE9" w14:textId="77777777" w:rsidR="00143F25" w:rsidRDefault="00143F25" w:rsidP="00143F25">
            <w:pPr>
              <w:pStyle w:val="TAL"/>
              <w:rPr>
                <w:lang w:eastAsia="zh-CN"/>
              </w:rPr>
            </w:pPr>
            <w:r>
              <w:t>SignalInfo</w:t>
            </w:r>
          </w:p>
        </w:tc>
        <w:tc>
          <w:tcPr>
            <w:tcW w:w="1195" w:type="dxa"/>
            <w:gridSpan w:val="2"/>
          </w:tcPr>
          <w:p w14:paraId="6028CC19" w14:textId="77777777" w:rsidR="00143F25" w:rsidRDefault="00143F25" w:rsidP="00143F25">
            <w:pPr>
              <w:pStyle w:val="TAL"/>
              <w:rPr>
                <w:rFonts w:hint="eastAsia"/>
                <w:lang w:eastAsia="zh-CN"/>
              </w:rPr>
            </w:pPr>
            <w:r>
              <w:t>5.1.6.2.110</w:t>
            </w:r>
          </w:p>
        </w:tc>
        <w:tc>
          <w:tcPr>
            <w:tcW w:w="2132" w:type="dxa"/>
            <w:gridSpan w:val="2"/>
          </w:tcPr>
          <w:p w14:paraId="182AB2D3" w14:textId="77777777" w:rsidR="00143F25" w:rsidRDefault="00143F25" w:rsidP="00143F25">
            <w:pPr>
              <w:pStyle w:val="TAL"/>
              <w:rPr>
                <w:lang w:eastAsia="zh-CN"/>
              </w:rPr>
            </w:pPr>
            <w:r>
              <w:t>Represents the signalling information.</w:t>
            </w:r>
          </w:p>
        </w:tc>
        <w:tc>
          <w:tcPr>
            <w:tcW w:w="2751" w:type="dxa"/>
            <w:gridSpan w:val="2"/>
          </w:tcPr>
          <w:p w14:paraId="391B1707" w14:textId="77777777" w:rsidR="00143F25" w:rsidRDefault="00143F25" w:rsidP="00143F25">
            <w:pPr>
              <w:pStyle w:val="TAL"/>
            </w:pPr>
            <w:r w:rsidRPr="00AA1EE0">
              <w:t>SignallingStorm</w:t>
            </w:r>
          </w:p>
        </w:tc>
      </w:tr>
      <w:tr w:rsidR="00143F25" w14:paraId="7DD558CE" w14:textId="77777777" w:rsidTr="00635E7C">
        <w:trPr>
          <w:gridAfter w:val="1"/>
          <w:wAfter w:w="85" w:type="dxa"/>
          <w:jc w:val="center"/>
        </w:trPr>
        <w:tc>
          <w:tcPr>
            <w:tcW w:w="3222" w:type="dxa"/>
            <w:gridSpan w:val="2"/>
          </w:tcPr>
          <w:p w14:paraId="7E865E87" w14:textId="77777777" w:rsidR="00143F25" w:rsidRDefault="00143F25" w:rsidP="00143F25">
            <w:pPr>
              <w:pStyle w:val="TAL"/>
              <w:rPr>
                <w:lang w:eastAsia="zh-CN"/>
              </w:rPr>
            </w:pPr>
            <w:r>
              <w:t>SignalStormInfo</w:t>
            </w:r>
          </w:p>
        </w:tc>
        <w:tc>
          <w:tcPr>
            <w:tcW w:w="1195" w:type="dxa"/>
            <w:gridSpan w:val="2"/>
          </w:tcPr>
          <w:p w14:paraId="03E5690B" w14:textId="77777777" w:rsidR="00143F25" w:rsidRDefault="00143F25" w:rsidP="00143F25">
            <w:pPr>
              <w:pStyle w:val="TAL"/>
              <w:rPr>
                <w:rFonts w:hint="eastAsia"/>
                <w:lang w:eastAsia="zh-CN"/>
              </w:rPr>
            </w:pPr>
            <w:r>
              <w:t>5.1.6.2.109</w:t>
            </w:r>
          </w:p>
        </w:tc>
        <w:tc>
          <w:tcPr>
            <w:tcW w:w="2132" w:type="dxa"/>
            <w:gridSpan w:val="2"/>
          </w:tcPr>
          <w:p w14:paraId="12FB7230" w14:textId="77777777" w:rsidR="00143F25" w:rsidRDefault="00143F25" w:rsidP="00143F25">
            <w:pPr>
              <w:pStyle w:val="TAL"/>
              <w:rPr>
                <w:lang w:eastAsia="zh-CN"/>
              </w:rPr>
            </w:pPr>
            <w:r>
              <w:t>Represents the signalling storm analytics information.</w:t>
            </w:r>
          </w:p>
        </w:tc>
        <w:tc>
          <w:tcPr>
            <w:tcW w:w="2751" w:type="dxa"/>
            <w:gridSpan w:val="2"/>
          </w:tcPr>
          <w:p w14:paraId="53584ED6" w14:textId="77777777" w:rsidR="00143F25" w:rsidRDefault="00143F25" w:rsidP="00143F25">
            <w:pPr>
              <w:pStyle w:val="TAL"/>
            </w:pPr>
            <w:r w:rsidRPr="00AA1EE0">
              <w:t>SignallingStorm</w:t>
            </w:r>
          </w:p>
        </w:tc>
      </w:tr>
      <w:tr w:rsidR="00143F25" w14:paraId="7A5766C7" w14:textId="77777777" w:rsidTr="00635E7C">
        <w:trPr>
          <w:gridAfter w:val="1"/>
          <w:wAfter w:w="85" w:type="dxa"/>
          <w:jc w:val="center"/>
        </w:trPr>
        <w:tc>
          <w:tcPr>
            <w:tcW w:w="3222" w:type="dxa"/>
            <w:gridSpan w:val="2"/>
          </w:tcPr>
          <w:p w14:paraId="7CBCDAB5" w14:textId="77777777" w:rsidR="00143F25" w:rsidRDefault="00143F25" w:rsidP="00143F25">
            <w:pPr>
              <w:pStyle w:val="TAL"/>
              <w:rPr>
                <w:lang w:eastAsia="zh-CN"/>
              </w:rPr>
            </w:pPr>
            <w:r>
              <w:t>SignalStormReq</w:t>
            </w:r>
          </w:p>
        </w:tc>
        <w:tc>
          <w:tcPr>
            <w:tcW w:w="1195" w:type="dxa"/>
            <w:gridSpan w:val="2"/>
          </w:tcPr>
          <w:p w14:paraId="741F45F7" w14:textId="77777777" w:rsidR="00143F25" w:rsidRDefault="00143F25" w:rsidP="00143F25">
            <w:pPr>
              <w:pStyle w:val="TAL"/>
              <w:rPr>
                <w:rFonts w:hint="eastAsia"/>
                <w:lang w:eastAsia="zh-CN"/>
              </w:rPr>
            </w:pPr>
            <w:r>
              <w:t>5.1.6.2.108</w:t>
            </w:r>
          </w:p>
        </w:tc>
        <w:tc>
          <w:tcPr>
            <w:tcW w:w="2132" w:type="dxa"/>
            <w:gridSpan w:val="2"/>
          </w:tcPr>
          <w:p w14:paraId="6ECC0A71" w14:textId="77777777" w:rsidR="00143F25" w:rsidRDefault="00143F25" w:rsidP="00143F25">
            <w:pPr>
              <w:pStyle w:val="TAL"/>
              <w:rPr>
                <w:lang w:eastAsia="zh-CN"/>
              </w:rPr>
            </w:pPr>
            <w:r>
              <w:t>Represents the signalling storm analytics requirement information.</w:t>
            </w:r>
          </w:p>
        </w:tc>
        <w:tc>
          <w:tcPr>
            <w:tcW w:w="2751" w:type="dxa"/>
            <w:gridSpan w:val="2"/>
          </w:tcPr>
          <w:p w14:paraId="24B978AE" w14:textId="77777777" w:rsidR="00143F25" w:rsidRDefault="00143F25" w:rsidP="00143F25">
            <w:pPr>
              <w:pStyle w:val="TAL"/>
            </w:pPr>
            <w:r w:rsidRPr="00AA1EE0">
              <w:t>SignallingStorm</w:t>
            </w:r>
          </w:p>
        </w:tc>
      </w:tr>
      <w:tr w:rsidR="00F253B2" w14:paraId="6724C6A1" w14:textId="77777777" w:rsidTr="00635E7C">
        <w:trPr>
          <w:gridAfter w:val="1"/>
          <w:wAfter w:w="85" w:type="dxa"/>
          <w:jc w:val="center"/>
        </w:trPr>
        <w:tc>
          <w:tcPr>
            <w:tcW w:w="3222" w:type="dxa"/>
            <w:gridSpan w:val="2"/>
          </w:tcPr>
          <w:p w14:paraId="060EC9A5" w14:textId="77777777" w:rsidR="00F253B2" w:rsidRDefault="00F253B2" w:rsidP="00F253B2">
            <w:pPr>
              <w:pStyle w:val="TAL"/>
              <w:rPr>
                <w:lang w:eastAsia="zh-CN"/>
              </w:rPr>
            </w:pPr>
            <w:r>
              <w:rPr>
                <w:rFonts w:hint="eastAsia"/>
                <w:lang w:eastAsia="zh-CN"/>
              </w:rPr>
              <w:t>SliceLoadLevelInforma</w:t>
            </w:r>
            <w:r>
              <w:rPr>
                <w:lang w:eastAsia="zh-CN"/>
              </w:rPr>
              <w:t>tion</w:t>
            </w:r>
          </w:p>
        </w:tc>
        <w:tc>
          <w:tcPr>
            <w:tcW w:w="1195" w:type="dxa"/>
            <w:gridSpan w:val="2"/>
          </w:tcPr>
          <w:p w14:paraId="005A8168" w14:textId="77777777" w:rsidR="00F253B2" w:rsidRDefault="00F253B2" w:rsidP="00F253B2">
            <w:pPr>
              <w:pStyle w:val="TAL"/>
              <w:rPr>
                <w:lang w:eastAsia="zh-CN"/>
              </w:rPr>
            </w:pPr>
            <w:r>
              <w:rPr>
                <w:lang w:eastAsia="zh-CN"/>
              </w:rPr>
              <w:t>5.1.6.2.6</w:t>
            </w:r>
          </w:p>
        </w:tc>
        <w:tc>
          <w:tcPr>
            <w:tcW w:w="2132" w:type="dxa"/>
            <w:gridSpan w:val="2"/>
          </w:tcPr>
          <w:p w14:paraId="2B232AAE" w14:textId="77777777" w:rsidR="00F253B2" w:rsidRDefault="00F253B2" w:rsidP="00F253B2">
            <w:pPr>
              <w:pStyle w:val="TAL"/>
              <w:rPr>
                <w:lang w:eastAsia="zh-CN"/>
              </w:rPr>
            </w:pPr>
            <w:r>
              <w:rPr>
                <w:lang w:eastAsia="zh-CN"/>
              </w:rPr>
              <w:t>Represents the slices and their load level information.</w:t>
            </w:r>
          </w:p>
        </w:tc>
        <w:tc>
          <w:tcPr>
            <w:tcW w:w="2751" w:type="dxa"/>
            <w:gridSpan w:val="2"/>
          </w:tcPr>
          <w:p w14:paraId="7F291C04" w14:textId="77777777" w:rsidR="00F253B2" w:rsidRDefault="00F253B2" w:rsidP="00F253B2">
            <w:pPr>
              <w:pStyle w:val="TAL"/>
              <w:rPr>
                <w:rFonts w:cs="Arial"/>
                <w:szCs w:val="18"/>
              </w:rPr>
            </w:pPr>
          </w:p>
        </w:tc>
      </w:tr>
      <w:tr w:rsidR="00F253B2" w14:paraId="08EFB753" w14:textId="77777777" w:rsidTr="00635E7C">
        <w:trPr>
          <w:gridAfter w:val="1"/>
          <w:wAfter w:w="85" w:type="dxa"/>
          <w:jc w:val="center"/>
        </w:trPr>
        <w:tc>
          <w:tcPr>
            <w:tcW w:w="3222" w:type="dxa"/>
            <w:gridSpan w:val="2"/>
            <w:tcBorders>
              <w:top w:val="single" w:sz="6" w:space="0" w:color="auto"/>
              <w:left w:val="single" w:sz="6" w:space="0" w:color="auto"/>
              <w:bottom w:val="single" w:sz="6" w:space="0" w:color="auto"/>
              <w:right w:val="single" w:sz="6" w:space="0" w:color="auto"/>
            </w:tcBorders>
          </w:tcPr>
          <w:p w14:paraId="08E4EE07" w14:textId="77777777" w:rsidR="00F253B2" w:rsidRDefault="00F253B2" w:rsidP="00F253B2">
            <w:pPr>
              <w:pStyle w:val="TAL"/>
              <w:rPr>
                <w:lang w:eastAsia="zh-CN"/>
              </w:rPr>
            </w:pPr>
            <w:r>
              <w:rPr>
                <w:lang w:eastAsia="zh-CN"/>
              </w:rPr>
              <w:t>SpeedThresholdInfo</w:t>
            </w:r>
          </w:p>
        </w:tc>
        <w:tc>
          <w:tcPr>
            <w:tcW w:w="1195" w:type="dxa"/>
            <w:gridSpan w:val="2"/>
            <w:tcBorders>
              <w:top w:val="single" w:sz="6" w:space="0" w:color="auto"/>
              <w:left w:val="single" w:sz="6" w:space="0" w:color="auto"/>
              <w:bottom w:val="single" w:sz="6" w:space="0" w:color="auto"/>
              <w:right w:val="single" w:sz="6" w:space="0" w:color="auto"/>
            </w:tcBorders>
          </w:tcPr>
          <w:p w14:paraId="518C265C" w14:textId="77777777" w:rsidR="00F253B2" w:rsidRDefault="00F253B2" w:rsidP="00F253B2">
            <w:pPr>
              <w:pStyle w:val="TAL"/>
              <w:rPr>
                <w:lang w:eastAsia="zh-CN"/>
              </w:rPr>
            </w:pPr>
            <w:r>
              <w:rPr>
                <w:lang w:eastAsia="zh-CN"/>
              </w:rPr>
              <w:t>5.1.6.2.94</w:t>
            </w:r>
          </w:p>
        </w:tc>
        <w:tc>
          <w:tcPr>
            <w:tcW w:w="2132" w:type="dxa"/>
            <w:gridSpan w:val="2"/>
            <w:tcBorders>
              <w:top w:val="single" w:sz="6" w:space="0" w:color="auto"/>
              <w:left w:val="single" w:sz="6" w:space="0" w:color="auto"/>
              <w:bottom w:val="single" w:sz="6" w:space="0" w:color="auto"/>
              <w:right w:val="single" w:sz="6" w:space="0" w:color="auto"/>
            </w:tcBorders>
          </w:tcPr>
          <w:p w14:paraId="08A86A85" w14:textId="77777777" w:rsidR="00F253B2" w:rsidRDefault="00F253B2" w:rsidP="00F253B2">
            <w:pPr>
              <w:pStyle w:val="TAL"/>
              <w:rPr>
                <w:lang w:eastAsia="zh-CN"/>
              </w:rPr>
            </w:pPr>
            <w:r>
              <w:rPr>
                <w:lang w:eastAsia="zh-CN"/>
              </w:rPr>
              <w:t>UEs information whose speed is faster than the speed threshold.</w:t>
            </w:r>
          </w:p>
        </w:tc>
        <w:tc>
          <w:tcPr>
            <w:tcW w:w="2751" w:type="dxa"/>
            <w:gridSpan w:val="2"/>
            <w:tcBorders>
              <w:top w:val="single" w:sz="6" w:space="0" w:color="auto"/>
              <w:left w:val="single" w:sz="6" w:space="0" w:color="auto"/>
              <w:bottom w:val="single" w:sz="6" w:space="0" w:color="auto"/>
              <w:right w:val="single" w:sz="6" w:space="0" w:color="auto"/>
            </w:tcBorders>
          </w:tcPr>
          <w:p w14:paraId="400B34A7" w14:textId="77777777" w:rsidR="00F253B2" w:rsidRDefault="00F253B2" w:rsidP="00F253B2">
            <w:pPr>
              <w:pStyle w:val="TAL"/>
              <w:rPr>
                <w:rFonts w:cs="Arial"/>
                <w:szCs w:val="18"/>
              </w:rPr>
            </w:pPr>
            <w:r>
              <w:rPr>
                <w:rFonts w:cs="Arial"/>
                <w:szCs w:val="18"/>
              </w:rPr>
              <w:t>MovementBehaviour</w:t>
            </w:r>
          </w:p>
        </w:tc>
      </w:tr>
      <w:tr w:rsidR="00F253B2" w14:paraId="71F8C3B6" w14:textId="77777777" w:rsidTr="00635E7C">
        <w:trPr>
          <w:gridAfter w:val="1"/>
          <w:wAfter w:w="85" w:type="dxa"/>
          <w:jc w:val="center"/>
        </w:trPr>
        <w:tc>
          <w:tcPr>
            <w:tcW w:w="3222" w:type="dxa"/>
            <w:gridSpan w:val="2"/>
          </w:tcPr>
          <w:p w14:paraId="6F5897A8" w14:textId="77777777" w:rsidR="00F253B2" w:rsidRDefault="00F253B2" w:rsidP="00F253B2">
            <w:pPr>
              <w:pStyle w:val="TAL"/>
              <w:rPr>
                <w:lang w:eastAsia="zh-CN"/>
              </w:rPr>
            </w:pPr>
            <w:r>
              <w:rPr>
                <w:lang w:eastAsia="zh-CN"/>
              </w:rPr>
              <w:t>SubscriptionTransferInfo</w:t>
            </w:r>
          </w:p>
        </w:tc>
        <w:tc>
          <w:tcPr>
            <w:tcW w:w="1195" w:type="dxa"/>
            <w:gridSpan w:val="2"/>
          </w:tcPr>
          <w:p w14:paraId="34BF0430" w14:textId="77777777" w:rsidR="00F253B2" w:rsidRDefault="00F253B2" w:rsidP="00F253B2">
            <w:pPr>
              <w:pStyle w:val="TAL"/>
              <w:rPr>
                <w:lang w:eastAsia="zh-CN"/>
              </w:rPr>
            </w:pPr>
            <w:r>
              <w:rPr>
                <w:lang w:eastAsia="zh-CN"/>
              </w:rPr>
              <w:t>5.1.6.2.41</w:t>
            </w:r>
          </w:p>
        </w:tc>
        <w:tc>
          <w:tcPr>
            <w:tcW w:w="2132" w:type="dxa"/>
            <w:gridSpan w:val="2"/>
          </w:tcPr>
          <w:p w14:paraId="1F107E88" w14:textId="77777777" w:rsidR="00F253B2" w:rsidRDefault="00F253B2" w:rsidP="00F253B2">
            <w:pPr>
              <w:pStyle w:val="TAL"/>
              <w:rPr>
                <w:lang w:eastAsia="zh-CN"/>
              </w:rPr>
            </w:pPr>
            <w:r>
              <w:rPr>
                <w:lang w:eastAsia="ko-KR"/>
              </w:rPr>
              <w:t>Contains information about subscriptions that are requested to be transferred.</w:t>
            </w:r>
          </w:p>
        </w:tc>
        <w:tc>
          <w:tcPr>
            <w:tcW w:w="2751" w:type="dxa"/>
            <w:gridSpan w:val="2"/>
          </w:tcPr>
          <w:p w14:paraId="56D2D9C2" w14:textId="77777777" w:rsidR="00F253B2" w:rsidRDefault="00F253B2" w:rsidP="00F253B2">
            <w:pPr>
              <w:pStyle w:val="TAL"/>
              <w:rPr>
                <w:rFonts w:cs="Arial"/>
                <w:szCs w:val="18"/>
              </w:rPr>
            </w:pPr>
            <w:r>
              <w:t>AnaSubTransfer</w:t>
            </w:r>
          </w:p>
        </w:tc>
      </w:tr>
      <w:tr w:rsidR="00F525B2" w14:paraId="0653D073" w14:textId="77777777" w:rsidTr="00635E7C">
        <w:trPr>
          <w:gridAfter w:val="1"/>
          <w:wAfter w:w="85" w:type="dxa"/>
          <w:jc w:val="center"/>
        </w:trPr>
        <w:tc>
          <w:tcPr>
            <w:tcW w:w="3222" w:type="dxa"/>
            <w:gridSpan w:val="2"/>
          </w:tcPr>
          <w:p w14:paraId="6F790DF5" w14:textId="77777777" w:rsidR="00F525B2" w:rsidRDefault="00F525B2" w:rsidP="00F525B2">
            <w:pPr>
              <w:pStyle w:val="TAL"/>
              <w:rPr>
                <w:lang w:eastAsia="zh-CN"/>
              </w:rPr>
            </w:pPr>
            <w:r>
              <w:rPr>
                <w:lang w:eastAsia="zh-CN"/>
              </w:rPr>
              <w:t>SuggestedPfdInfo</w:t>
            </w:r>
          </w:p>
        </w:tc>
        <w:tc>
          <w:tcPr>
            <w:tcW w:w="1195" w:type="dxa"/>
            <w:gridSpan w:val="2"/>
          </w:tcPr>
          <w:p w14:paraId="12195F20" w14:textId="77777777" w:rsidR="00F525B2" w:rsidRDefault="00F525B2" w:rsidP="00F525B2">
            <w:pPr>
              <w:pStyle w:val="TAL"/>
              <w:rPr>
                <w:lang w:eastAsia="zh-CN"/>
              </w:rPr>
            </w:pPr>
            <w:r>
              <w:rPr>
                <w:lang w:eastAsia="zh-CN"/>
              </w:rPr>
              <w:t>5.1.6.2.107</w:t>
            </w:r>
          </w:p>
        </w:tc>
        <w:tc>
          <w:tcPr>
            <w:tcW w:w="2132" w:type="dxa"/>
            <w:gridSpan w:val="2"/>
          </w:tcPr>
          <w:p w14:paraId="7263107C" w14:textId="77777777" w:rsidR="00F525B2" w:rsidRDefault="00F525B2" w:rsidP="00F525B2">
            <w:pPr>
              <w:pStyle w:val="TAL"/>
              <w:rPr>
                <w:lang w:eastAsia="ko-KR"/>
              </w:rPr>
            </w:pPr>
            <w:r w:rsidRPr="00B36B7D">
              <w:rPr>
                <w:lang w:eastAsia="ko-KR"/>
              </w:rPr>
              <w:t>Represents the suggested PFD information for the application identifier.</w:t>
            </w:r>
          </w:p>
        </w:tc>
        <w:tc>
          <w:tcPr>
            <w:tcW w:w="2751" w:type="dxa"/>
            <w:gridSpan w:val="2"/>
          </w:tcPr>
          <w:p w14:paraId="5D7C5849" w14:textId="77777777" w:rsidR="00F525B2" w:rsidRDefault="00F525B2" w:rsidP="00F525B2">
            <w:pPr>
              <w:pStyle w:val="TAL"/>
            </w:pPr>
            <w:r>
              <w:t>PfdDetermination</w:t>
            </w:r>
          </w:p>
        </w:tc>
      </w:tr>
      <w:tr w:rsidR="00F525B2" w14:paraId="21321BF0" w14:textId="77777777" w:rsidTr="00635E7C">
        <w:trPr>
          <w:gridAfter w:val="1"/>
          <w:wAfter w:w="85" w:type="dxa"/>
          <w:jc w:val="center"/>
        </w:trPr>
        <w:tc>
          <w:tcPr>
            <w:tcW w:w="3222" w:type="dxa"/>
            <w:gridSpan w:val="2"/>
          </w:tcPr>
          <w:p w14:paraId="58707CC7" w14:textId="77777777" w:rsidR="00F525B2" w:rsidRDefault="00F525B2" w:rsidP="00F525B2">
            <w:pPr>
              <w:pStyle w:val="TAL"/>
              <w:rPr>
                <w:lang w:eastAsia="zh-CN"/>
              </w:rPr>
            </w:pPr>
            <w:r>
              <w:rPr>
                <w:lang w:eastAsia="zh-CN"/>
              </w:rPr>
              <w:t>TargetUeInformation</w:t>
            </w:r>
          </w:p>
        </w:tc>
        <w:tc>
          <w:tcPr>
            <w:tcW w:w="1195" w:type="dxa"/>
            <w:gridSpan w:val="2"/>
          </w:tcPr>
          <w:p w14:paraId="6E6FD68D" w14:textId="77777777" w:rsidR="00F525B2" w:rsidRDefault="00F525B2" w:rsidP="00F525B2">
            <w:pPr>
              <w:pStyle w:val="TAL"/>
              <w:rPr>
                <w:lang w:eastAsia="zh-CN"/>
              </w:rPr>
            </w:pPr>
            <w:r>
              <w:t>5.1.6.2.8</w:t>
            </w:r>
          </w:p>
        </w:tc>
        <w:tc>
          <w:tcPr>
            <w:tcW w:w="2132" w:type="dxa"/>
            <w:gridSpan w:val="2"/>
          </w:tcPr>
          <w:p w14:paraId="5386CD84" w14:textId="77777777" w:rsidR="00F525B2" w:rsidRDefault="00F525B2" w:rsidP="00F525B2">
            <w:pPr>
              <w:pStyle w:val="TAL"/>
              <w:rPr>
                <w:lang w:eastAsia="zh-CN"/>
              </w:rPr>
            </w:pPr>
            <w:r>
              <w:rPr>
                <w:rFonts w:cs="Arial"/>
                <w:szCs w:val="18"/>
              </w:rPr>
              <w:t>Identifies the target UE information.</w:t>
            </w:r>
          </w:p>
        </w:tc>
        <w:tc>
          <w:tcPr>
            <w:tcW w:w="2751" w:type="dxa"/>
            <w:gridSpan w:val="2"/>
          </w:tcPr>
          <w:p w14:paraId="7587292D" w14:textId="77777777" w:rsidR="00F525B2" w:rsidRDefault="00F525B2" w:rsidP="00F525B2">
            <w:pPr>
              <w:pStyle w:val="TAL"/>
            </w:pPr>
            <w:r>
              <w:t>ServiceExperience</w:t>
            </w:r>
          </w:p>
          <w:p w14:paraId="5D439696" w14:textId="77777777" w:rsidR="00F525B2" w:rsidRDefault="00F525B2" w:rsidP="00F525B2">
            <w:pPr>
              <w:pStyle w:val="TAL"/>
            </w:pPr>
            <w:r>
              <w:t>NfLoad</w:t>
            </w:r>
          </w:p>
          <w:p w14:paraId="04F4E06C" w14:textId="77777777" w:rsidR="00F525B2" w:rsidRDefault="00F525B2" w:rsidP="00F525B2">
            <w:pPr>
              <w:pStyle w:val="TAL"/>
            </w:pPr>
            <w:r>
              <w:t>NetworkPerformance</w:t>
            </w:r>
          </w:p>
          <w:p w14:paraId="4152403D" w14:textId="77777777" w:rsidR="00F525B2" w:rsidRDefault="00F525B2" w:rsidP="00F525B2">
            <w:pPr>
              <w:pStyle w:val="TAL"/>
            </w:pPr>
            <w:r>
              <w:t>UserDataCongestion</w:t>
            </w:r>
          </w:p>
          <w:p w14:paraId="0B77360F" w14:textId="77777777" w:rsidR="00F525B2" w:rsidRDefault="00F525B2" w:rsidP="00F525B2">
            <w:pPr>
              <w:pStyle w:val="TAL"/>
            </w:pPr>
            <w:r>
              <w:t>UeMobility</w:t>
            </w:r>
          </w:p>
          <w:p w14:paraId="7761A561" w14:textId="77777777" w:rsidR="00F525B2" w:rsidRDefault="00F525B2" w:rsidP="00F525B2">
            <w:pPr>
              <w:pStyle w:val="TAL"/>
            </w:pPr>
            <w:r>
              <w:t>UeCommunication</w:t>
            </w:r>
          </w:p>
          <w:p w14:paraId="78126276" w14:textId="77777777" w:rsidR="00F525B2" w:rsidRDefault="00F525B2" w:rsidP="00F525B2">
            <w:pPr>
              <w:pStyle w:val="TAL"/>
            </w:pPr>
            <w:r>
              <w:t>AbnormalBehaviour</w:t>
            </w:r>
          </w:p>
          <w:p w14:paraId="74583C2E" w14:textId="77777777" w:rsidR="00F525B2" w:rsidRDefault="00F525B2" w:rsidP="00F525B2">
            <w:pPr>
              <w:pStyle w:val="TAL"/>
            </w:pPr>
            <w:r>
              <w:t>QoSSustainability</w:t>
            </w:r>
          </w:p>
          <w:p w14:paraId="78099F87" w14:textId="77777777" w:rsidR="00F525B2" w:rsidRDefault="00F525B2" w:rsidP="00F525B2">
            <w:pPr>
              <w:pStyle w:val="TAL"/>
            </w:pPr>
            <w:r>
              <w:t>Dispersion</w:t>
            </w:r>
          </w:p>
          <w:p w14:paraId="2439F0C3" w14:textId="77777777" w:rsidR="00F525B2" w:rsidRDefault="00F525B2" w:rsidP="00F525B2">
            <w:pPr>
              <w:pStyle w:val="TAL"/>
            </w:pPr>
            <w:r>
              <w:t>RedundantTransmissionExp</w:t>
            </w:r>
          </w:p>
          <w:p w14:paraId="5DD61FE9" w14:textId="77777777" w:rsidR="00F525B2" w:rsidRDefault="00F525B2" w:rsidP="00F525B2">
            <w:pPr>
              <w:pStyle w:val="TAL"/>
            </w:pPr>
            <w:r>
              <w:t>WlanPerformance</w:t>
            </w:r>
          </w:p>
          <w:p w14:paraId="7A931AE3" w14:textId="77777777" w:rsidR="00F525B2" w:rsidRDefault="00F525B2" w:rsidP="00F525B2">
            <w:pPr>
              <w:pStyle w:val="TAL"/>
              <w:rPr>
                <w:rFonts w:eastAsia="Batang"/>
              </w:rPr>
            </w:pPr>
            <w:r>
              <w:rPr>
                <w:rFonts w:eastAsia="Batang"/>
              </w:rPr>
              <w:t>DnPerformance</w:t>
            </w:r>
          </w:p>
          <w:p w14:paraId="787B7038" w14:textId="77777777" w:rsidR="00F525B2" w:rsidRDefault="00F525B2" w:rsidP="00F525B2">
            <w:pPr>
              <w:pStyle w:val="TAL"/>
              <w:rPr>
                <w:rFonts w:eastAsia="Batang"/>
              </w:rPr>
            </w:pPr>
            <w:r>
              <w:t>PduSesTraffic</w:t>
            </w:r>
          </w:p>
          <w:p w14:paraId="328D1AFE" w14:textId="77777777" w:rsidR="00F525B2" w:rsidRDefault="00F525B2" w:rsidP="00F525B2">
            <w:pPr>
              <w:pStyle w:val="TAL"/>
              <w:rPr>
                <w:lang w:eastAsia="zh-CN"/>
              </w:rPr>
            </w:pPr>
            <w:r>
              <w:rPr>
                <w:lang w:eastAsia="zh-CN"/>
              </w:rPr>
              <w:t>E2eDataVolTransTime</w:t>
            </w:r>
          </w:p>
          <w:p w14:paraId="6A51457B" w14:textId="77777777" w:rsidR="00F525B2" w:rsidRDefault="00F525B2" w:rsidP="00F525B2">
            <w:pPr>
              <w:pStyle w:val="TAL"/>
              <w:rPr>
                <w:lang w:eastAsia="zh-CN"/>
              </w:rPr>
            </w:pPr>
            <w:r w:rsidRPr="009D3C18">
              <w:rPr>
                <w:lang w:eastAsia="zh-CN"/>
              </w:rPr>
              <w:t>MovementBehaviour</w:t>
            </w:r>
          </w:p>
          <w:p w14:paraId="4AE37D43" w14:textId="77777777" w:rsidR="00F525B2" w:rsidRDefault="00F525B2" w:rsidP="00F525B2">
            <w:pPr>
              <w:pStyle w:val="TAL"/>
            </w:pPr>
            <w:r>
              <w:t>SMCCE</w:t>
            </w:r>
          </w:p>
          <w:p w14:paraId="14495DAB" w14:textId="77777777" w:rsidR="00F525B2" w:rsidRDefault="00F525B2" w:rsidP="00F525B2">
            <w:pPr>
              <w:pStyle w:val="TAL"/>
              <w:rPr>
                <w:lang w:eastAsia="zh-CN"/>
              </w:rPr>
            </w:pPr>
            <w:r>
              <w:t>RelativeProximity</w:t>
            </w:r>
          </w:p>
          <w:p w14:paraId="5D9B12EE" w14:textId="77777777" w:rsidR="00F525B2" w:rsidRDefault="00F525B2" w:rsidP="00F525B2">
            <w:pPr>
              <w:pStyle w:val="TAL"/>
            </w:pPr>
            <w:r>
              <w:rPr>
                <w:lang w:eastAsia="zh-CN"/>
              </w:rPr>
              <w:t>QoSPolicyAssist</w:t>
            </w:r>
          </w:p>
        </w:tc>
      </w:tr>
      <w:tr w:rsidR="00F525B2" w14:paraId="19430F02" w14:textId="77777777" w:rsidTr="00635E7C">
        <w:trPr>
          <w:gridAfter w:val="1"/>
          <w:wAfter w:w="85" w:type="dxa"/>
          <w:jc w:val="center"/>
        </w:trPr>
        <w:tc>
          <w:tcPr>
            <w:tcW w:w="3222" w:type="dxa"/>
            <w:gridSpan w:val="2"/>
          </w:tcPr>
          <w:p w14:paraId="1A669A1C" w14:textId="77777777" w:rsidR="00F525B2" w:rsidRDefault="00F525B2" w:rsidP="00F525B2">
            <w:pPr>
              <w:pStyle w:val="TAL"/>
              <w:rPr>
                <w:lang w:eastAsia="zh-CN"/>
              </w:rPr>
            </w:pPr>
            <w:r>
              <w:rPr>
                <w:lang w:eastAsia="zh-CN"/>
              </w:rPr>
              <w:t>TdTraffic</w:t>
            </w:r>
          </w:p>
        </w:tc>
        <w:tc>
          <w:tcPr>
            <w:tcW w:w="1195" w:type="dxa"/>
            <w:gridSpan w:val="2"/>
          </w:tcPr>
          <w:p w14:paraId="6D32E86E" w14:textId="77777777" w:rsidR="00F525B2" w:rsidRDefault="00F525B2" w:rsidP="00F525B2">
            <w:pPr>
              <w:pStyle w:val="TAL"/>
            </w:pPr>
            <w:r>
              <w:rPr>
                <w:rFonts w:hint="eastAsia"/>
                <w:lang w:eastAsia="zh-CN"/>
              </w:rPr>
              <w:t>5</w:t>
            </w:r>
            <w:r>
              <w:rPr>
                <w:lang w:eastAsia="zh-CN"/>
              </w:rPr>
              <w:t>.1.6.2.78</w:t>
            </w:r>
          </w:p>
        </w:tc>
        <w:tc>
          <w:tcPr>
            <w:tcW w:w="2132" w:type="dxa"/>
            <w:gridSpan w:val="2"/>
          </w:tcPr>
          <w:p w14:paraId="550BB002" w14:textId="77777777" w:rsidR="00F525B2" w:rsidRDefault="00F525B2" w:rsidP="00F525B2">
            <w:pPr>
              <w:pStyle w:val="TAL"/>
              <w:rPr>
                <w:rFonts w:cs="Arial"/>
                <w:szCs w:val="18"/>
              </w:rPr>
            </w:pPr>
            <w:r>
              <w:rPr>
                <w:lang w:eastAsia="zh-CN"/>
              </w:rPr>
              <w:t xml:space="preserve">Represents </w:t>
            </w:r>
            <w:r>
              <w:t>traffic that matches or unmatches Traffic Descriptor over the established PDU Session(s).</w:t>
            </w:r>
          </w:p>
        </w:tc>
        <w:tc>
          <w:tcPr>
            <w:tcW w:w="2751" w:type="dxa"/>
            <w:gridSpan w:val="2"/>
          </w:tcPr>
          <w:p w14:paraId="3C6C13DE" w14:textId="77777777" w:rsidR="00F525B2" w:rsidRDefault="00F525B2" w:rsidP="00F525B2">
            <w:pPr>
              <w:pStyle w:val="TAL"/>
            </w:pPr>
            <w:r>
              <w:rPr>
                <w:rFonts w:cs="Arial"/>
                <w:szCs w:val="18"/>
              </w:rPr>
              <w:t>PduSesTraffic</w:t>
            </w:r>
          </w:p>
        </w:tc>
      </w:tr>
      <w:tr w:rsidR="00F525B2" w14:paraId="5B2106D8" w14:textId="77777777" w:rsidTr="00635E7C">
        <w:trPr>
          <w:gridAfter w:val="1"/>
          <w:wAfter w:w="85" w:type="dxa"/>
          <w:jc w:val="center"/>
        </w:trPr>
        <w:tc>
          <w:tcPr>
            <w:tcW w:w="3222" w:type="dxa"/>
            <w:gridSpan w:val="2"/>
          </w:tcPr>
          <w:p w14:paraId="3CA36DA8" w14:textId="77777777" w:rsidR="00F525B2" w:rsidRDefault="00F525B2" w:rsidP="00F525B2">
            <w:pPr>
              <w:pStyle w:val="TAL"/>
              <w:rPr>
                <w:lang w:eastAsia="zh-CN"/>
              </w:rPr>
            </w:pPr>
            <w:r>
              <w:rPr>
                <w:lang w:eastAsia="zh-CN"/>
              </w:rPr>
              <w:t>TermCause</w:t>
            </w:r>
          </w:p>
        </w:tc>
        <w:tc>
          <w:tcPr>
            <w:tcW w:w="1195" w:type="dxa"/>
            <w:gridSpan w:val="2"/>
          </w:tcPr>
          <w:p w14:paraId="64B2AD21" w14:textId="77777777" w:rsidR="00F525B2" w:rsidRDefault="00F525B2" w:rsidP="00F525B2">
            <w:pPr>
              <w:pStyle w:val="TAL"/>
            </w:pPr>
            <w:r>
              <w:t>5.1.6.3.26</w:t>
            </w:r>
          </w:p>
        </w:tc>
        <w:tc>
          <w:tcPr>
            <w:tcW w:w="2132" w:type="dxa"/>
            <w:gridSpan w:val="2"/>
          </w:tcPr>
          <w:p w14:paraId="35A8C8CB" w14:textId="77777777" w:rsidR="00F525B2" w:rsidRDefault="00F525B2" w:rsidP="00F525B2">
            <w:pPr>
              <w:pStyle w:val="TAL"/>
              <w:rPr>
                <w:rFonts w:cs="Arial"/>
                <w:szCs w:val="18"/>
              </w:rPr>
            </w:pPr>
            <w:r>
              <w:rPr>
                <w:rFonts w:cs="Arial"/>
                <w:szCs w:val="18"/>
              </w:rPr>
              <w:t>Represents a cause for requesting to terminate an analytics subscription.</w:t>
            </w:r>
          </w:p>
        </w:tc>
        <w:tc>
          <w:tcPr>
            <w:tcW w:w="2751" w:type="dxa"/>
            <w:gridSpan w:val="2"/>
          </w:tcPr>
          <w:p w14:paraId="272BEC9D" w14:textId="77777777" w:rsidR="00F525B2" w:rsidRDefault="00F525B2" w:rsidP="00F525B2">
            <w:pPr>
              <w:pStyle w:val="TAL"/>
            </w:pPr>
            <w:r>
              <w:t>TermRequest</w:t>
            </w:r>
          </w:p>
        </w:tc>
      </w:tr>
      <w:tr w:rsidR="00F525B2" w14:paraId="340ECDD0" w14:textId="77777777" w:rsidTr="00635E7C">
        <w:trPr>
          <w:gridAfter w:val="1"/>
          <w:wAfter w:w="85" w:type="dxa"/>
          <w:jc w:val="center"/>
        </w:trPr>
        <w:tc>
          <w:tcPr>
            <w:tcW w:w="3222" w:type="dxa"/>
            <w:gridSpan w:val="2"/>
          </w:tcPr>
          <w:p w14:paraId="1D107512" w14:textId="77777777" w:rsidR="00F525B2" w:rsidRDefault="00F525B2" w:rsidP="00F525B2">
            <w:pPr>
              <w:pStyle w:val="TAL"/>
              <w:rPr>
                <w:lang w:eastAsia="zh-CN"/>
              </w:rPr>
            </w:pPr>
            <w:r>
              <w:lastRenderedPageBreak/>
              <w:t>ThresholdLevel</w:t>
            </w:r>
          </w:p>
        </w:tc>
        <w:tc>
          <w:tcPr>
            <w:tcW w:w="1195" w:type="dxa"/>
            <w:gridSpan w:val="2"/>
          </w:tcPr>
          <w:p w14:paraId="1B67FCE5" w14:textId="77777777" w:rsidR="00F525B2" w:rsidRDefault="00F525B2" w:rsidP="00F525B2">
            <w:pPr>
              <w:pStyle w:val="TAL"/>
            </w:pPr>
            <w:r>
              <w:t>5.1.6.2.30</w:t>
            </w:r>
          </w:p>
        </w:tc>
        <w:tc>
          <w:tcPr>
            <w:tcW w:w="2132" w:type="dxa"/>
            <w:gridSpan w:val="2"/>
          </w:tcPr>
          <w:p w14:paraId="7F5DB05C" w14:textId="77777777" w:rsidR="00F525B2" w:rsidRDefault="00F525B2" w:rsidP="00F525B2">
            <w:pPr>
              <w:pStyle w:val="TAL"/>
              <w:rPr>
                <w:rFonts w:cs="Arial"/>
                <w:szCs w:val="18"/>
              </w:rPr>
            </w:pPr>
            <w:r>
              <w:t>Describes a threshold level.</w:t>
            </w:r>
          </w:p>
        </w:tc>
        <w:tc>
          <w:tcPr>
            <w:tcW w:w="2751" w:type="dxa"/>
            <w:gridSpan w:val="2"/>
          </w:tcPr>
          <w:p w14:paraId="4843AB17" w14:textId="77777777" w:rsidR="00F525B2" w:rsidRDefault="00F525B2" w:rsidP="00F525B2">
            <w:pPr>
              <w:pStyle w:val="TAL"/>
            </w:pPr>
            <w:r>
              <w:t>UserDataCongestion</w:t>
            </w:r>
          </w:p>
          <w:p w14:paraId="670759F5" w14:textId="77777777" w:rsidR="00F525B2" w:rsidRDefault="00F525B2" w:rsidP="00F525B2">
            <w:pPr>
              <w:pStyle w:val="TAL"/>
            </w:pPr>
            <w:r>
              <w:t>NfLoad</w:t>
            </w:r>
          </w:p>
          <w:p w14:paraId="20130C95" w14:textId="77777777" w:rsidR="00F525B2" w:rsidRDefault="00F525B2" w:rsidP="00F525B2">
            <w:pPr>
              <w:pStyle w:val="TAL"/>
              <w:rPr>
                <w:rFonts w:eastAsia="Batang"/>
              </w:rPr>
            </w:pPr>
            <w:r>
              <w:rPr>
                <w:rFonts w:eastAsia="Batang"/>
              </w:rPr>
              <w:t>DnPerformance</w:t>
            </w:r>
          </w:p>
          <w:p w14:paraId="15D67E48" w14:textId="77777777" w:rsidR="00F525B2" w:rsidRDefault="00F525B2" w:rsidP="00F525B2">
            <w:pPr>
              <w:pStyle w:val="TAL"/>
              <w:rPr>
                <w:rFonts w:eastAsia="Batang"/>
              </w:rPr>
            </w:pPr>
            <w:r>
              <w:rPr>
                <w:rFonts w:eastAsia="Batang"/>
              </w:rPr>
              <w:t>ServiceExperienceExt</w:t>
            </w:r>
          </w:p>
          <w:p w14:paraId="60B754F0" w14:textId="77777777" w:rsidR="00F525B2" w:rsidRDefault="00F525B2" w:rsidP="00F525B2">
            <w:pPr>
              <w:pStyle w:val="TAL"/>
              <w:rPr>
                <w:lang w:eastAsia="zh-CN"/>
              </w:rPr>
            </w:pPr>
            <w:r>
              <w:rPr>
                <w:rFonts w:cs="Arial"/>
                <w:szCs w:val="18"/>
              </w:rPr>
              <w:t>MovementBehaviour</w:t>
            </w:r>
          </w:p>
          <w:p w14:paraId="744271A5" w14:textId="77777777" w:rsidR="00F525B2" w:rsidRDefault="00F525B2" w:rsidP="00F525B2">
            <w:pPr>
              <w:pStyle w:val="TAL"/>
            </w:pPr>
            <w:r>
              <w:rPr>
                <w:lang w:eastAsia="zh-CN"/>
              </w:rPr>
              <w:t>QoSPolicyAssist</w:t>
            </w:r>
          </w:p>
        </w:tc>
      </w:tr>
      <w:tr w:rsidR="00143F25" w14:paraId="54FCC0EE" w14:textId="77777777" w:rsidTr="00635E7C">
        <w:trPr>
          <w:gridAfter w:val="1"/>
          <w:wAfter w:w="85" w:type="dxa"/>
          <w:jc w:val="center"/>
        </w:trPr>
        <w:tc>
          <w:tcPr>
            <w:tcW w:w="3222" w:type="dxa"/>
            <w:gridSpan w:val="2"/>
          </w:tcPr>
          <w:p w14:paraId="36FA7C9B" w14:textId="77777777" w:rsidR="00143F25" w:rsidRDefault="00143F25" w:rsidP="00143F25">
            <w:pPr>
              <w:pStyle w:val="TAL"/>
            </w:pPr>
            <w:r>
              <w:t>TimerInfo</w:t>
            </w:r>
          </w:p>
        </w:tc>
        <w:tc>
          <w:tcPr>
            <w:tcW w:w="1195" w:type="dxa"/>
            <w:gridSpan w:val="2"/>
          </w:tcPr>
          <w:p w14:paraId="428B0A32" w14:textId="77777777" w:rsidR="00143F25" w:rsidRDefault="00143F25" w:rsidP="00143F25">
            <w:pPr>
              <w:pStyle w:val="TAL"/>
            </w:pPr>
            <w:r>
              <w:t>5.1.6.2.110</w:t>
            </w:r>
          </w:p>
        </w:tc>
        <w:tc>
          <w:tcPr>
            <w:tcW w:w="2132" w:type="dxa"/>
            <w:gridSpan w:val="2"/>
          </w:tcPr>
          <w:p w14:paraId="6B12E95E" w14:textId="77777777" w:rsidR="00143F25" w:rsidRDefault="00143F25" w:rsidP="00143F25">
            <w:pPr>
              <w:pStyle w:val="TAL"/>
            </w:pPr>
            <w:r>
              <w:t>Represents the timer information.</w:t>
            </w:r>
          </w:p>
        </w:tc>
        <w:tc>
          <w:tcPr>
            <w:tcW w:w="2751" w:type="dxa"/>
            <w:gridSpan w:val="2"/>
          </w:tcPr>
          <w:p w14:paraId="4F8FA6BF" w14:textId="77777777" w:rsidR="00143F25" w:rsidRDefault="00143F25" w:rsidP="00143F25">
            <w:pPr>
              <w:pStyle w:val="TAL"/>
            </w:pPr>
            <w:r w:rsidRPr="00A64BE7">
              <w:t>SignallingStorm</w:t>
            </w:r>
          </w:p>
        </w:tc>
      </w:tr>
      <w:tr w:rsidR="00143F25" w14:paraId="7DD37372" w14:textId="77777777" w:rsidTr="00635E7C">
        <w:trPr>
          <w:gridAfter w:val="1"/>
          <w:wAfter w:w="85" w:type="dxa"/>
          <w:jc w:val="center"/>
        </w:trPr>
        <w:tc>
          <w:tcPr>
            <w:tcW w:w="3222" w:type="dxa"/>
            <w:gridSpan w:val="2"/>
          </w:tcPr>
          <w:p w14:paraId="7F82589A" w14:textId="77777777" w:rsidR="00143F25" w:rsidRDefault="00143F25" w:rsidP="00143F25">
            <w:pPr>
              <w:pStyle w:val="TAL"/>
            </w:pPr>
            <w:r>
              <w:t>TimerType</w:t>
            </w:r>
          </w:p>
        </w:tc>
        <w:tc>
          <w:tcPr>
            <w:tcW w:w="1195" w:type="dxa"/>
            <w:gridSpan w:val="2"/>
          </w:tcPr>
          <w:p w14:paraId="468E0C99" w14:textId="77777777" w:rsidR="00143F25" w:rsidRDefault="00143F25" w:rsidP="00143F25">
            <w:pPr>
              <w:pStyle w:val="TAL"/>
            </w:pPr>
            <w:r>
              <w:t>5.1.6.3.42</w:t>
            </w:r>
          </w:p>
        </w:tc>
        <w:tc>
          <w:tcPr>
            <w:tcW w:w="2132" w:type="dxa"/>
            <w:gridSpan w:val="2"/>
          </w:tcPr>
          <w:p w14:paraId="52861EC6" w14:textId="77777777" w:rsidR="00143F25" w:rsidRDefault="00143F25" w:rsidP="00143F25">
            <w:pPr>
              <w:pStyle w:val="TAL"/>
            </w:pPr>
            <w:r>
              <w:t>Represents the type of timer.</w:t>
            </w:r>
          </w:p>
        </w:tc>
        <w:tc>
          <w:tcPr>
            <w:tcW w:w="2751" w:type="dxa"/>
            <w:gridSpan w:val="2"/>
          </w:tcPr>
          <w:p w14:paraId="7E577FEC" w14:textId="77777777" w:rsidR="00143F25" w:rsidRDefault="00143F25" w:rsidP="00143F25">
            <w:pPr>
              <w:pStyle w:val="TAL"/>
            </w:pPr>
            <w:r w:rsidRPr="00A64BE7">
              <w:t>SignallingStorm</w:t>
            </w:r>
          </w:p>
        </w:tc>
      </w:tr>
      <w:tr w:rsidR="00F253B2" w14:paraId="6200AF9A" w14:textId="77777777" w:rsidTr="00635E7C">
        <w:trPr>
          <w:gridAfter w:val="1"/>
          <w:wAfter w:w="85" w:type="dxa"/>
          <w:jc w:val="center"/>
        </w:trPr>
        <w:tc>
          <w:tcPr>
            <w:tcW w:w="3222" w:type="dxa"/>
            <w:gridSpan w:val="2"/>
          </w:tcPr>
          <w:p w14:paraId="3400E037" w14:textId="77777777" w:rsidR="00F253B2" w:rsidRDefault="00F253B2" w:rsidP="00F253B2">
            <w:pPr>
              <w:pStyle w:val="TAL"/>
            </w:pPr>
            <w:r>
              <w:rPr>
                <w:lang w:eastAsia="zh-CN"/>
              </w:rPr>
              <w:t>TimestampedLocation</w:t>
            </w:r>
          </w:p>
        </w:tc>
        <w:tc>
          <w:tcPr>
            <w:tcW w:w="1195" w:type="dxa"/>
            <w:gridSpan w:val="2"/>
          </w:tcPr>
          <w:p w14:paraId="20A664F1" w14:textId="77777777" w:rsidR="00F253B2" w:rsidRDefault="00F253B2" w:rsidP="00F253B2">
            <w:pPr>
              <w:pStyle w:val="TAL"/>
            </w:pPr>
            <w:r>
              <w:rPr>
                <w:rFonts w:hint="eastAsia"/>
                <w:lang w:eastAsia="ja-JP"/>
              </w:rPr>
              <w:t>5</w:t>
            </w:r>
            <w:r>
              <w:rPr>
                <w:lang w:eastAsia="ja-JP"/>
              </w:rPr>
              <w:t>.1.6.2.103</w:t>
            </w:r>
          </w:p>
        </w:tc>
        <w:tc>
          <w:tcPr>
            <w:tcW w:w="2132" w:type="dxa"/>
            <w:gridSpan w:val="2"/>
          </w:tcPr>
          <w:p w14:paraId="2A7B258D" w14:textId="77777777" w:rsidR="00F253B2" w:rsidRDefault="00F253B2" w:rsidP="00F253B2">
            <w:pPr>
              <w:pStyle w:val="TAL"/>
            </w:pPr>
            <w:r>
              <w:t>The timestamped locations of the trajectory of the UE.</w:t>
            </w:r>
          </w:p>
        </w:tc>
        <w:tc>
          <w:tcPr>
            <w:tcW w:w="2751" w:type="dxa"/>
            <w:gridSpan w:val="2"/>
          </w:tcPr>
          <w:p w14:paraId="515C6E4F" w14:textId="77777777" w:rsidR="00F253B2" w:rsidRDefault="00F253B2" w:rsidP="00F253B2">
            <w:pPr>
              <w:pStyle w:val="TAL"/>
            </w:pPr>
            <w:r>
              <w:rPr>
                <w:lang w:val="en-US" w:eastAsia="zh-CN"/>
              </w:rPr>
              <w:t>RelativeProximity</w:t>
            </w:r>
          </w:p>
        </w:tc>
      </w:tr>
      <w:tr w:rsidR="00F253B2" w14:paraId="06651A72" w14:textId="77777777" w:rsidTr="00635E7C">
        <w:trPr>
          <w:gridAfter w:val="1"/>
          <w:wAfter w:w="85" w:type="dxa"/>
          <w:jc w:val="center"/>
        </w:trPr>
        <w:tc>
          <w:tcPr>
            <w:tcW w:w="3222" w:type="dxa"/>
            <w:gridSpan w:val="2"/>
          </w:tcPr>
          <w:p w14:paraId="4F5D9E28" w14:textId="77777777" w:rsidR="00F253B2" w:rsidRDefault="00F253B2" w:rsidP="00F253B2">
            <w:pPr>
              <w:pStyle w:val="TAL"/>
            </w:pPr>
            <w:r>
              <w:rPr>
                <w:lang w:eastAsia="zh-CN"/>
              </w:rPr>
              <w:t>TimeToCollisionInfo</w:t>
            </w:r>
          </w:p>
        </w:tc>
        <w:tc>
          <w:tcPr>
            <w:tcW w:w="1195" w:type="dxa"/>
            <w:gridSpan w:val="2"/>
          </w:tcPr>
          <w:p w14:paraId="55893DFF" w14:textId="77777777" w:rsidR="00F253B2" w:rsidRDefault="00F253B2" w:rsidP="00F253B2">
            <w:pPr>
              <w:pStyle w:val="TAL"/>
            </w:pPr>
            <w:r>
              <w:rPr>
                <w:rFonts w:hint="eastAsia"/>
                <w:lang w:eastAsia="ja-JP"/>
              </w:rPr>
              <w:t>5</w:t>
            </w:r>
            <w:r>
              <w:rPr>
                <w:lang w:eastAsia="ja-JP"/>
              </w:rPr>
              <w:t>.1.6.2.104</w:t>
            </w:r>
          </w:p>
        </w:tc>
        <w:tc>
          <w:tcPr>
            <w:tcW w:w="2132" w:type="dxa"/>
            <w:gridSpan w:val="2"/>
          </w:tcPr>
          <w:p w14:paraId="0D1C34D5" w14:textId="77777777" w:rsidR="00F253B2" w:rsidRDefault="00F253B2" w:rsidP="00F253B2">
            <w:pPr>
              <w:pStyle w:val="TAL"/>
            </w:pPr>
            <w:r>
              <w:t>Time To Collision (TTC) information.</w:t>
            </w:r>
          </w:p>
        </w:tc>
        <w:tc>
          <w:tcPr>
            <w:tcW w:w="2751" w:type="dxa"/>
            <w:gridSpan w:val="2"/>
          </w:tcPr>
          <w:p w14:paraId="0E239704" w14:textId="77777777" w:rsidR="00F253B2" w:rsidRDefault="00F253B2" w:rsidP="00F253B2">
            <w:pPr>
              <w:pStyle w:val="TAL"/>
            </w:pPr>
            <w:r>
              <w:rPr>
                <w:lang w:val="en-US" w:eastAsia="zh-CN"/>
              </w:rPr>
              <w:t>RelativeProximity</w:t>
            </w:r>
          </w:p>
        </w:tc>
      </w:tr>
      <w:tr w:rsidR="00F253B2" w14:paraId="2A7AF2F2" w14:textId="77777777" w:rsidTr="00635E7C">
        <w:trPr>
          <w:gridAfter w:val="1"/>
          <w:wAfter w:w="85" w:type="dxa"/>
          <w:jc w:val="center"/>
        </w:trPr>
        <w:tc>
          <w:tcPr>
            <w:tcW w:w="3222" w:type="dxa"/>
            <w:gridSpan w:val="2"/>
          </w:tcPr>
          <w:p w14:paraId="6FB43E69" w14:textId="77777777" w:rsidR="00F253B2" w:rsidRDefault="00F253B2" w:rsidP="00F253B2">
            <w:pPr>
              <w:pStyle w:val="TAL"/>
            </w:pPr>
            <w:r>
              <w:rPr>
                <w:rFonts w:hint="eastAsia"/>
                <w:lang w:eastAsia="zh-CN"/>
              </w:rPr>
              <w:t>T</w:t>
            </w:r>
            <w:r>
              <w:rPr>
                <w:lang w:eastAsia="zh-CN"/>
              </w:rPr>
              <w:t>imeUnit</w:t>
            </w:r>
          </w:p>
        </w:tc>
        <w:tc>
          <w:tcPr>
            <w:tcW w:w="1195" w:type="dxa"/>
            <w:gridSpan w:val="2"/>
          </w:tcPr>
          <w:p w14:paraId="70CB286B" w14:textId="77777777" w:rsidR="00F253B2" w:rsidRDefault="00F253B2" w:rsidP="00F253B2">
            <w:pPr>
              <w:pStyle w:val="TAL"/>
            </w:pPr>
            <w:r>
              <w:rPr>
                <w:rFonts w:hint="eastAsia"/>
                <w:lang w:eastAsia="zh-CN"/>
              </w:rPr>
              <w:t>5</w:t>
            </w:r>
            <w:r>
              <w:rPr>
                <w:lang w:eastAsia="zh-CN"/>
              </w:rPr>
              <w:t>.1.6.3.9</w:t>
            </w:r>
          </w:p>
        </w:tc>
        <w:tc>
          <w:tcPr>
            <w:tcW w:w="2132" w:type="dxa"/>
            <w:gridSpan w:val="2"/>
          </w:tcPr>
          <w:p w14:paraId="3CDA8ED3" w14:textId="77777777" w:rsidR="00F253B2" w:rsidRDefault="00F253B2" w:rsidP="00F253B2">
            <w:pPr>
              <w:pStyle w:val="TAL"/>
            </w:pPr>
            <w:r>
              <w:rPr>
                <w:lang w:eastAsia="zh-CN"/>
              </w:rPr>
              <w:t>Represents the unit for the session active time.</w:t>
            </w:r>
          </w:p>
        </w:tc>
        <w:tc>
          <w:tcPr>
            <w:tcW w:w="2751" w:type="dxa"/>
            <w:gridSpan w:val="2"/>
          </w:tcPr>
          <w:p w14:paraId="27A61B88" w14:textId="77777777" w:rsidR="00F253B2" w:rsidRDefault="00F253B2" w:rsidP="00F253B2">
            <w:pPr>
              <w:pStyle w:val="TAL"/>
            </w:pPr>
            <w:r>
              <w:t>QoSSustainability</w:t>
            </w:r>
          </w:p>
        </w:tc>
      </w:tr>
      <w:tr w:rsidR="00F253B2" w14:paraId="0E644D4D" w14:textId="77777777" w:rsidTr="00635E7C">
        <w:trPr>
          <w:gridAfter w:val="1"/>
          <w:wAfter w:w="85" w:type="dxa"/>
          <w:jc w:val="center"/>
        </w:trPr>
        <w:tc>
          <w:tcPr>
            <w:tcW w:w="3222" w:type="dxa"/>
            <w:gridSpan w:val="2"/>
          </w:tcPr>
          <w:p w14:paraId="49C6ECC7" w14:textId="77777777" w:rsidR="00F253B2" w:rsidRDefault="00F253B2" w:rsidP="00F253B2">
            <w:pPr>
              <w:pStyle w:val="TAL"/>
              <w:rPr>
                <w:lang w:eastAsia="zh-CN"/>
              </w:rPr>
            </w:pPr>
            <w:r>
              <w:t>TopApplication</w:t>
            </w:r>
          </w:p>
        </w:tc>
        <w:tc>
          <w:tcPr>
            <w:tcW w:w="1195" w:type="dxa"/>
            <w:gridSpan w:val="2"/>
          </w:tcPr>
          <w:p w14:paraId="6F767757" w14:textId="77777777" w:rsidR="00F253B2" w:rsidRDefault="00F253B2" w:rsidP="00F253B2">
            <w:pPr>
              <w:pStyle w:val="TAL"/>
              <w:rPr>
                <w:lang w:eastAsia="zh-CN"/>
              </w:rPr>
            </w:pPr>
            <w:r>
              <w:t>5.1.6.2.39</w:t>
            </w:r>
          </w:p>
        </w:tc>
        <w:tc>
          <w:tcPr>
            <w:tcW w:w="2132" w:type="dxa"/>
            <w:gridSpan w:val="2"/>
          </w:tcPr>
          <w:p w14:paraId="2ECD37C6" w14:textId="77777777" w:rsidR="00F253B2" w:rsidRDefault="00F253B2" w:rsidP="00F253B2">
            <w:pPr>
              <w:pStyle w:val="TAL"/>
              <w:rPr>
                <w:lang w:eastAsia="zh-CN"/>
              </w:rPr>
            </w:pPr>
            <w:r>
              <w:t>Top application that contributes the most to the traffic.</w:t>
            </w:r>
          </w:p>
        </w:tc>
        <w:tc>
          <w:tcPr>
            <w:tcW w:w="2751" w:type="dxa"/>
            <w:gridSpan w:val="2"/>
          </w:tcPr>
          <w:p w14:paraId="11E16174" w14:textId="77777777" w:rsidR="00F253B2" w:rsidRDefault="00F253B2" w:rsidP="00F253B2">
            <w:pPr>
              <w:pStyle w:val="TAL"/>
            </w:pPr>
            <w:r>
              <w:t>UserDataCongestionExt</w:t>
            </w:r>
          </w:p>
        </w:tc>
      </w:tr>
      <w:tr w:rsidR="00F253B2" w14:paraId="0DEFEAED" w14:textId="77777777" w:rsidTr="00635E7C">
        <w:trPr>
          <w:gridAfter w:val="1"/>
          <w:wAfter w:w="85" w:type="dxa"/>
          <w:jc w:val="center"/>
        </w:trPr>
        <w:tc>
          <w:tcPr>
            <w:tcW w:w="3222" w:type="dxa"/>
            <w:gridSpan w:val="2"/>
          </w:tcPr>
          <w:p w14:paraId="38F63241" w14:textId="77777777" w:rsidR="00F253B2" w:rsidRDefault="00F253B2" w:rsidP="00F253B2">
            <w:pPr>
              <w:pStyle w:val="TAL"/>
              <w:rPr>
                <w:lang w:eastAsia="zh-CN"/>
              </w:rPr>
            </w:pPr>
            <w:r>
              <w:rPr>
                <w:lang w:eastAsia="zh-CN"/>
              </w:rPr>
              <w:t>TrafficCharacterization</w:t>
            </w:r>
          </w:p>
        </w:tc>
        <w:tc>
          <w:tcPr>
            <w:tcW w:w="1195" w:type="dxa"/>
            <w:gridSpan w:val="2"/>
          </w:tcPr>
          <w:p w14:paraId="57F2B2B1" w14:textId="77777777" w:rsidR="00F253B2" w:rsidRDefault="00F253B2" w:rsidP="00F253B2">
            <w:pPr>
              <w:pStyle w:val="TAL"/>
              <w:rPr>
                <w:lang w:eastAsia="zh-CN"/>
              </w:rPr>
            </w:pPr>
            <w:r>
              <w:rPr>
                <w:lang w:eastAsia="zh-CN"/>
              </w:rPr>
              <w:t>5.1.6.2.14</w:t>
            </w:r>
          </w:p>
        </w:tc>
        <w:tc>
          <w:tcPr>
            <w:tcW w:w="2132" w:type="dxa"/>
            <w:gridSpan w:val="2"/>
          </w:tcPr>
          <w:p w14:paraId="14BE0A4B" w14:textId="77777777" w:rsidR="00F253B2" w:rsidRDefault="00F253B2" w:rsidP="00F253B2">
            <w:pPr>
              <w:pStyle w:val="TAL"/>
              <w:rPr>
                <w:lang w:eastAsia="zh-CN"/>
              </w:rPr>
            </w:pPr>
            <w:r>
              <w:rPr>
                <w:lang w:eastAsia="zh-CN"/>
              </w:rPr>
              <w:t>Identifies the detailed traffic characterization.</w:t>
            </w:r>
          </w:p>
        </w:tc>
        <w:tc>
          <w:tcPr>
            <w:tcW w:w="2751" w:type="dxa"/>
            <w:gridSpan w:val="2"/>
          </w:tcPr>
          <w:p w14:paraId="599D987D" w14:textId="77777777" w:rsidR="00F253B2" w:rsidRDefault="00F253B2" w:rsidP="00F253B2">
            <w:pPr>
              <w:pStyle w:val="TAL"/>
              <w:rPr>
                <w:rFonts w:cs="Arial"/>
                <w:szCs w:val="18"/>
              </w:rPr>
            </w:pPr>
            <w:r>
              <w:rPr>
                <w:rFonts w:cs="Arial"/>
                <w:szCs w:val="18"/>
              </w:rPr>
              <w:t>UeCommunication</w:t>
            </w:r>
          </w:p>
        </w:tc>
      </w:tr>
      <w:tr w:rsidR="00F253B2" w14:paraId="1EC77835" w14:textId="77777777" w:rsidTr="00635E7C">
        <w:trPr>
          <w:gridAfter w:val="1"/>
          <w:wAfter w:w="85" w:type="dxa"/>
          <w:jc w:val="center"/>
        </w:trPr>
        <w:tc>
          <w:tcPr>
            <w:tcW w:w="3222" w:type="dxa"/>
            <w:gridSpan w:val="2"/>
          </w:tcPr>
          <w:p w14:paraId="48142EB5" w14:textId="77777777" w:rsidR="00F253B2" w:rsidRDefault="00F253B2" w:rsidP="00F253B2">
            <w:pPr>
              <w:pStyle w:val="TAL"/>
              <w:rPr>
                <w:lang w:eastAsia="zh-CN"/>
              </w:rPr>
            </w:pPr>
            <w:r>
              <w:t>TrafficDirection</w:t>
            </w:r>
          </w:p>
        </w:tc>
        <w:tc>
          <w:tcPr>
            <w:tcW w:w="1195" w:type="dxa"/>
            <w:gridSpan w:val="2"/>
          </w:tcPr>
          <w:p w14:paraId="4950C0D4" w14:textId="77777777" w:rsidR="00F253B2" w:rsidRDefault="00F253B2" w:rsidP="00F253B2">
            <w:pPr>
              <w:pStyle w:val="TAL"/>
              <w:rPr>
                <w:lang w:eastAsia="zh-CN"/>
              </w:rPr>
            </w:pPr>
            <w:r>
              <w:rPr>
                <w:rFonts w:hint="eastAsia"/>
                <w:lang w:eastAsia="zh-CN"/>
              </w:rPr>
              <w:t>5</w:t>
            </w:r>
            <w:r>
              <w:rPr>
                <w:lang w:eastAsia="zh-CN"/>
              </w:rPr>
              <w:t>.1.6.3.33</w:t>
            </w:r>
          </w:p>
        </w:tc>
        <w:tc>
          <w:tcPr>
            <w:tcW w:w="2132" w:type="dxa"/>
            <w:gridSpan w:val="2"/>
          </w:tcPr>
          <w:p w14:paraId="3A024E25" w14:textId="77777777" w:rsidR="00F253B2" w:rsidRDefault="00F253B2" w:rsidP="00F253B2">
            <w:pPr>
              <w:pStyle w:val="TAL"/>
              <w:rPr>
                <w:lang w:eastAsia="zh-CN"/>
              </w:rPr>
            </w:pPr>
            <w:r>
              <w:rPr>
                <w:lang w:eastAsia="ko-KR"/>
              </w:rPr>
              <w:t>The traffic direction for the resource usage information.</w:t>
            </w:r>
          </w:p>
        </w:tc>
        <w:tc>
          <w:tcPr>
            <w:tcW w:w="2751" w:type="dxa"/>
            <w:gridSpan w:val="2"/>
          </w:tcPr>
          <w:p w14:paraId="057CC613" w14:textId="77777777" w:rsidR="00F253B2" w:rsidRDefault="00F253B2" w:rsidP="00F253B2">
            <w:pPr>
              <w:pStyle w:val="TAL"/>
              <w:rPr>
                <w:rFonts w:cs="Arial"/>
                <w:szCs w:val="18"/>
              </w:rPr>
            </w:pPr>
            <w:r>
              <w:t>NetworkPerformance</w:t>
            </w:r>
            <w:r>
              <w:rPr>
                <w:lang w:eastAsia="zh-CN"/>
              </w:rPr>
              <w:t>Ext_AIML</w:t>
            </w:r>
          </w:p>
        </w:tc>
      </w:tr>
      <w:tr w:rsidR="00F253B2" w14:paraId="7542C863" w14:textId="77777777" w:rsidTr="00635E7C">
        <w:trPr>
          <w:gridAfter w:val="1"/>
          <w:wAfter w:w="85" w:type="dxa"/>
          <w:jc w:val="center"/>
        </w:trPr>
        <w:tc>
          <w:tcPr>
            <w:tcW w:w="3222" w:type="dxa"/>
            <w:gridSpan w:val="2"/>
          </w:tcPr>
          <w:p w14:paraId="655B50A9" w14:textId="77777777" w:rsidR="00F253B2" w:rsidRDefault="00F253B2" w:rsidP="00F253B2">
            <w:pPr>
              <w:pStyle w:val="TAL"/>
              <w:rPr>
                <w:lang w:eastAsia="zh-CN"/>
              </w:rPr>
            </w:pPr>
            <w:r>
              <w:t>TrafficInformation</w:t>
            </w:r>
          </w:p>
        </w:tc>
        <w:tc>
          <w:tcPr>
            <w:tcW w:w="1195" w:type="dxa"/>
            <w:gridSpan w:val="2"/>
          </w:tcPr>
          <w:p w14:paraId="7B324134" w14:textId="77777777" w:rsidR="00F253B2" w:rsidRDefault="00F253B2" w:rsidP="00F253B2">
            <w:pPr>
              <w:pStyle w:val="TAL"/>
              <w:rPr>
                <w:lang w:eastAsia="zh-CN"/>
              </w:rPr>
            </w:pPr>
            <w:r>
              <w:rPr>
                <w:lang w:eastAsia="zh-CN"/>
              </w:rPr>
              <w:t>5.1.6.2.63</w:t>
            </w:r>
          </w:p>
        </w:tc>
        <w:tc>
          <w:tcPr>
            <w:tcW w:w="2132" w:type="dxa"/>
            <w:gridSpan w:val="2"/>
          </w:tcPr>
          <w:p w14:paraId="51FC519D" w14:textId="77777777" w:rsidR="00F253B2" w:rsidRDefault="00F253B2" w:rsidP="00F253B2">
            <w:pPr>
              <w:pStyle w:val="TAL"/>
              <w:rPr>
                <w:lang w:eastAsia="zh-CN"/>
              </w:rPr>
            </w:pPr>
            <w:r>
              <w:rPr>
                <w:lang w:eastAsia="ko-KR"/>
              </w:rPr>
              <w:t>Traffic information including UL/DL data rate and/or Traffic volume.</w:t>
            </w:r>
          </w:p>
        </w:tc>
        <w:tc>
          <w:tcPr>
            <w:tcW w:w="2751" w:type="dxa"/>
            <w:gridSpan w:val="2"/>
          </w:tcPr>
          <w:p w14:paraId="57D3D943" w14:textId="77777777" w:rsidR="00F253B2" w:rsidRDefault="00F253B2" w:rsidP="00F253B2">
            <w:pPr>
              <w:pStyle w:val="TAL"/>
              <w:rPr>
                <w:rFonts w:cs="Arial"/>
                <w:szCs w:val="18"/>
              </w:rPr>
            </w:pPr>
            <w:r>
              <w:t>WlanPerformance</w:t>
            </w:r>
          </w:p>
        </w:tc>
      </w:tr>
      <w:tr w:rsidR="00F253B2" w14:paraId="63C68ACD" w14:textId="77777777" w:rsidTr="00635E7C">
        <w:trPr>
          <w:gridAfter w:val="1"/>
          <w:wAfter w:w="85" w:type="dxa"/>
          <w:jc w:val="center"/>
        </w:trPr>
        <w:tc>
          <w:tcPr>
            <w:tcW w:w="3222" w:type="dxa"/>
            <w:gridSpan w:val="2"/>
          </w:tcPr>
          <w:p w14:paraId="1E0E7122" w14:textId="77777777" w:rsidR="00F253B2" w:rsidRDefault="00F253B2" w:rsidP="00F253B2">
            <w:pPr>
              <w:pStyle w:val="TAL"/>
              <w:rPr>
                <w:lang w:eastAsia="zh-CN"/>
              </w:rPr>
            </w:pPr>
            <w:r>
              <w:rPr>
                <w:lang w:eastAsia="zh-CN"/>
              </w:rPr>
              <w:t>TransferRequestType</w:t>
            </w:r>
          </w:p>
        </w:tc>
        <w:tc>
          <w:tcPr>
            <w:tcW w:w="1195" w:type="dxa"/>
            <w:gridSpan w:val="2"/>
          </w:tcPr>
          <w:p w14:paraId="2B16DFDF" w14:textId="77777777" w:rsidR="00F253B2" w:rsidRDefault="00F253B2" w:rsidP="00F253B2">
            <w:pPr>
              <w:pStyle w:val="TAL"/>
              <w:rPr>
                <w:lang w:eastAsia="zh-CN"/>
              </w:rPr>
            </w:pPr>
            <w:r>
              <w:rPr>
                <w:lang w:eastAsia="zh-CN"/>
              </w:rPr>
              <w:t>5.1.6.3.17</w:t>
            </w:r>
          </w:p>
        </w:tc>
        <w:tc>
          <w:tcPr>
            <w:tcW w:w="2132" w:type="dxa"/>
            <w:gridSpan w:val="2"/>
          </w:tcPr>
          <w:p w14:paraId="27974288" w14:textId="77777777" w:rsidR="00F253B2" w:rsidRDefault="00F253B2" w:rsidP="00F253B2">
            <w:pPr>
              <w:pStyle w:val="TAL"/>
              <w:rPr>
                <w:lang w:eastAsia="zh-CN"/>
              </w:rPr>
            </w:pPr>
            <w:r>
              <w:rPr>
                <w:lang w:eastAsia="zh-CN"/>
              </w:rPr>
              <w:t>Represents the type of a request for analytics subscription transfer.</w:t>
            </w:r>
          </w:p>
        </w:tc>
        <w:tc>
          <w:tcPr>
            <w:tcW w:w="2751" w:type="dxa"/>
            <w:gridSpan w:val="2"/>
          </w:tcPr>
          <w:p w14:paraId="70E0310C" w14:textId="77777777" w:rsidR="00F253B2" w:rsidRDefault="00F253B2" w:rsidP="00F253B2">
            <w:pPr>
              <w:pStyle w:val="TAL"/>
              <w:rPr>
                <w:rFonts w:cs="Arial"/>
                <w:szCs w:val="18"/>
              </w:rPr>
            </w:pPr>
            <w:r>
              <w:t>AnaSubTransfer</w:t>
            </w:r>
          </w:p>
        </w:tc>
      </w:tr>
      <w:tr w:rsidR="00F253B2" w14:paraId="5B6E117C" w14:textId="77777777" w:rsidTr="00635E7C">
        <w:trPr>
          <w:gridAfter w:val="1"/>
          <w:wAfter w:w="85" w:type="dxa"/>
          <w:jc w:val="center"/>
        </w:trPr>
        <w:tc>
          <w:tcPr>
            <w:tcW w:w="3222" w:type="dxa"/>
            <w:gridSpan w:val="2"/>
          </w:tcPr>
          <w:p w14:paraId="52C7B49C" w14:textId="77777777" w:rsidR="00F253B2" w:rsidRDefault="00F253B2" w:rsidP="00F253B2">
            <w:pPr>
              <w:pStyle w:val="TAL"/>
            </w:pPr>
            <w:r>
              <w:t>UeAnalyticsContextDescriptor</w:t>
            </w:r>
          </w:p>
        </w:tc>
        <w:tc>
          <w:tcPr>
            <w:tcW w:w="1195" w:type="dxa"/>
            <w:gridSpan w:val="2"/>
          </w:tcPr>
          <w:p w14:paraId="5268B237" w14:textId="77777777" w:rsidR="00F253B2" w:rsidRDefault="00F253B2" w:rsidP="00F253B2">
            <w:pPr>
              <w:pStyle w:val="TAL"/>
            </w:pPr>
            <w:r>
              <w:rPr>
                <w:lang w:eastAsia="zh-CN"/>
              </w:rPr>
              <w:t>5.1.6.2.44</w:t>
            </w:r>
          </w:p>
        </w:tc>
        <w:tc>
          <w:tcPr>
            <w:tcW w:w="2132" w:type="dxa"/>
            <w:gridSpan w:val="2"/>
          </w:tcPr>
          <w:p w14:paraId="1589D740" w14:textId="77777777" w:rsidR="00F253B2" w:rsidRDefault="00F253B2" w:rsidP="00F253B2">
            <w:pPr>
              <w:pStyle w:val="TAL"/>
            </w:pPr>
            <w:r>
              <w:t>Contains information about available UE related analytics contexts.</w:t>
            </w:r>
          </w:p>
        </w:tc>
        <w:tc>
          <w:tcPr>
            <w:tcW w:w="2751" w:type="dxa"/>
            <w:gridSpan w:val="2"/>
          </w:tcPr>
          <w:p w14:paraId="641381F9" w14:textId="77777777" w:rsidR="00F253B2" w:rsidRDefault="00F253B2" w:rsidP="00F253B2">
            <w:pPr>
              <w:pStyle w:val="TAL"/>
            </w:pPr>
            <w:r>
              <w:t>AnaSubTransfer</w:t>
            </w:r>
          </w:p>
        </w:tc>
      </w:tr>
      <w:tr w:rsidR="00F253B2" w14:paraId="079011A5" w14:textId="77777777" w:rsidTr="00635E7C">
        <w:trPr>
          <w:gridAfter w:val="1"/>
          <w:wAfter w:w="85" w:type="dxa"/>
          <w:jc w:val="center"/>
        </w:trPr>
        <w:tc>
          <w:tcPr>
            <w:tcW w:w="3222" w:type="dxa"/>
            <w:gridSpan w:val="2"/>
          </w:tcPr>
          <w:p w14:paraId="28A1AEB2" w14:textId="77777777" w:rsidR="00F253B2" w:rsidRDefault="00F253B2" w:rsidP="00F253B2">
            <w:pPr>
              <w:pStyle w:val="TAL"/>
              <w:rPr>
                <w:lang w:eastAsia="zh-CN"/>
              </w:rPr>
            </w:pPr>
            <w:r>
              <w:rPr>
                <w:lang w:eastAsia="zh-CN"/>
              </w:rPr>
              <w:t>UeCommunication</w:t>
            </w:r>
          </w:p>
        </w:tc>
        <w:tc>
          <w:tcPr>
            <w:tcW w:w="1195" w:type="dxa"/>
            <w:gridSpan w:val="2"/>
          </w:tcPr>
          <w:p w14:paraId="5DB7A4AD" w14:textId="77777777" w:rsidR="00F253B2" w:rsidRDefault="00F253B2" w:rsidP="00F253B2">
            <w:pPr>
              <w:pStyle w:val="TAL"/>
              <w:rPr>
                <w:lang w:eastAsia="zh-CN"/>
              </w:rPr>
            </w:pPr>
            <w:r>
              <w:rPr>
                <w:lang w:eastAsia="zh-CN"/>
              </w:rPr>
              <w:t>5.1.6.2.13</w:t>
            </w:r>
          </w:p>
        </w:tc>
        <w:tc>
          <w:tcPr>
            <w:tcW w:w="2132" w:type="dxa"/>
            <w:gridSpan w:val="2"/>
          </w:tcPr>
          <w:p w14:paraId="69355BA9" w14:textId="77777777" w:rsidR="00F253B2" w:rsidRDefault="00F253B2" w:rsidP="00F253B2">
            <w:pPr>
              <w:pStyle w:val="TAL"/>
              <w:rPr>
                <w:lang w:eastAsia="zh-CN"/>
              </w:rPr>
            </w:pPr>
            <w:r>
              <w:rPr>
                <w:lang w:eastAsia="zh-CN"/>
              </w:rPr>
              <w:t>Represents UE communication information.</w:t>
            </w:r>
          </w:p>
        </w:tc>
        <w:tc>
          <w:tcPr>
            <w:tcW w:w="2751" w:type="dxa"/>
            <w:gridSpan w:val="2"/>
          </w:tcPr>
          <w:p w14:paraId="3F0A41EE" w14:textId="77777777" w:rsidR="00F253B2" w:rsidRDefault="00F253B2" w:rsidP="00F253B2">
            <w:pPr>
              <w:pStyle w:val="TAL"/>
              <w:rPr>
                <w:rFonts w:cs="Arial"/>
                <w:szCs w:val="18"/>
              </w:rPr>
            </w:pPr>
            <w:r>
              <w:rPr>
                <w:rFonts w:cs="Arial"/>
                <w:szCs w:val="18"/>
              </w:rPr>
              <w:t>UeCommunication</w:t>
            </w:r>
          </w:p>
        </w:tc>
      </w:tr>
      <w:tr w:rsidR="00F253B2" w14:paraId="4A18C162" w14:textId="77777777" w:rsidTr="00635E7C">
        <w:trPr>
          <w:gridAfter w:val="1"/>
          <w:wAfter w:w="85" w:type="dxa"/>
          <w:jc w:val="center"/>
        </w:trPr>
        <w:tc>
          <w:tcPr>
            <w:tcW w:w="3222" w:type="dxa"/>
            <w:gridSpan w:val="2"/>
          </w:tcPr>
          <w:p w14:paraId="3D0193AD" w14:textId="77777777" w:rsidR="00F253B2" w:rsidRDefault="00F253B2" w:rsidP="00F253B2">
            <w:pPr>
              <w:pStyle w:val="TAL"/>
              <w:rPr>
                <w:lang w:eastAsia="zh-CN"/>
              </w:rPr>
            </w:pPr>
            <w:r>
              <w:t>UeCommOrderCriterion</w:t>
            </w:r>
          </w:p>
        </w:tc>
        <w:tc>
          <w:tcPr>
            <w:tcW w:w="1195" w:type="dxa"/>
            <w:gridSpan w:val="2"/>
          </w:tcPr>
          <w:p w14:paraId="008B1830" w14:textId="77777777" w:rsidR="00F253B2" w:rsidRDefault="00F253B2" w:rsidP="00F253B2">
            <w:pPr>
              <w:pStyle w:val="TAL"/>
              <w:rPr>
                <w:lang w:eastAsia="zh-CN"/>
              </w:rPr>
            </w:pPr>
            <w:r>
              <w:rPr>
                <w:lang w:eastAsia="zh-CN"/>
              </w:rPr>
              <w:t>5.1.6.3.29</w:t>
            </w:r>
          </w:p>
        </w:tc>
        <w:tc>
          <w:tcPr>
            <w:tcW w:w="2132" w:type="dxa"/>
            <w:gridSpan w:val="2"/>
          </w:tcPr>
          <w:p w14:paraId="732B8FB9" w14:textId="77777777" w:rsidR="00F253B2" w:rsidRDefault="00F253B2" w:rsidP="00F253B2">
            <w:pPr>
              <w:pStyle w:val="TAL"/>
              <w:rPr>
                <w:lang w:eastAsia="zh-CN"/>
              </w:rPr>
            </w:pPr>
            <w:r>
              <w:rPr>
                <w:lang w:eastAsia="ko-KR"/>
              </w:rPr>
              <w:t xml:space="preserve">The ordering criterion for the list of </w:t>
            </w:r>
            <w:r>
              <w:rPr>
                <w:lang w:eastAsia="zh-CN"/>
              </w:rPr>
              <w:t>UE communication</w:t>
            </w:r>
            <w:r>
              <w:rPr>
                <w:lang w:eastAsia="ko-KR"/>
              </w:rPr>
              <w:t xml:space="preserve"> analytics.</w:t>
            </w:r>
          </w:p>
        </w:tc>
        <w:tc>
          <w:tcPr>
            <w:tcW w:w="2751" w:type="dxa"/>
            <w:gridSpan w:val="2"/>
          </w:tcPr>
          <w:p w14:paraId="6935A571" w14:textId="77777777" w:rsidR="00F253B2" w:rsidRDefault="00F253B2" w:rsidP="00F253B2">
            <w:pPr>
              <w:pStyle w:val="TAL"/>
              <w:rPr>
                <w:rFonts w:cs="Arial"/>
                <w:szCs w:val="18"/>
              </w:rPr>
            </w:pPr>
            <w:r>
              <w:t>UeCommunication</w:t>
            </w:r>
            <w:r>
              <w:rPr>
                <w:lang w:eastAsia="zh-CN"/>
              </w:rPr>
              <w:t>Ext_eNA</w:t>
            </w:r>
          </w:p>
        </w:tc>
      </w:tr>
      <w:tr w:rsidR="00F253B2" w14:paraId="23AD9FBB" w14:textId="77777777" w:rsidTr="00635E7C">
        <w:trPr>
          <w:gridAfter w:val="1"/>
          <w:wAfter w:w="85" w:type="dxa"/>
          <w:jc w:val="center"/>
        </w:trPr>
        <w:tc>
          <w:tcPr>
            <w:tcW w:w="3222" w:type="dxa"/>
            <w:gridSpan w:val="2"/>
          </w:tcPr>
          <w:p w14:paraId="32BFA492" w14:textId="77777777" w:rsidR="00F253B2" w:rsidRDefault="00F253B2" w:rsidP="00F253B2">
            <w:pPr>
              <w:pStyle w:val="TAL"/>
              <w:rPr>
                <w:lang w:eastAsia="zh-CN"/>
              </w:rPr>
            </w:pPr>
            <w:r>
              <w:t>UeCommReq</w:t>
            </w:r>
          </w:p>
        </w:tc>
        <w:tc>
          <w:tcPr>
            <w:tcW w:w="1195" w:type="dxa"/>
            <w:gridSpan w:val="2"/>
          </w:tcPr>
          <w:p w14:paraId="7D1931F4" w14:textId="77777777" w:rsidR="00F253B2" w:rsidRDefault="00F253B2" w:rsidP="00F253B2">
            <w:pPr>
              <w:pStyle w:val="TAL"/>
              <w:rPr>
                <w:lang w:eastAsia="zh-CN"/>
              </w:rPr>
            </w:pPr>
            <w:r>
              <w:rPr>
                <w:lang w:eastAsia="zh-CN"/>
              </w:rPr>
              <w:t>5.1.6.2.72</w:t>
            </w:r>
          </w:p>
        </w:tc>
        <w:tc>
          <w:tcPr>
            <w:tcW w:w="2132" w:type="dxa"/>
            <w:gridSpan w:val="2"/>
          </w:tcPr>
          <w:p w14:paraId="4A9E5154" w14:textId="77777777" w:rsidR="00F253B2" w:rsidRDefault="00F253B2" w:rsidP="00F253B2">
            <w:pPr>
              <w:pStyle w:val="TAL"/>
              <w:rPr>
                <w:lang w:eastAsia="zh-CN"/>
              </w:rPr>
            </w:pPr>
            <w:r>
              <w:rPr>
                <w:rFonts w:hint="eastAsia"/>
                <w:lang w:eastAsia="zh-CN"/>
              </w:rPr>
              <w:t>U</w:t>
            </w:r>
            <w:r>
              <w:rPr>
                <w:lang w:eastAsia="zh-CN"/>
              </w:rPr>
              <w:t xml:space="preserve">E communication analytics </w:t>
            </w:r>
            <w:r>
              <w:rPr>
                <w:lang w:eastAsia="ko-KR"/>
              </w:rPr>
              <w:t>requirement.</w:t>
            </w:r>
          </w:p>
        </w:tc>
        <w:tc>
          <w:tcPr>
            <w:tcW w:w="2751" w:type="dxa"/>
            <w:gridSpan w:val="2"/>
          </w:tcPr>
          <w:p w14:paraId="36A2EEBD" w14:textId="77777777" w:rsidR="00F253B2" w:rsidRDefault="00F253B2" w:rsidP="00F253B2">
            <w:pPr>
              <w:pStyle w:val="TAL"/>
              <w:rPr>
                <w:rFonts w:cs="Arial"/>
                <w:szCs w:val="18"/>
              </w:rPr>
            </w:pPr>
            <w:r>
              <w:t>UeCommunication</w:t>
            </w:r>
            <w:r>
              <w:rPr>
                <w:lang w:eastAsia="zh-CN"/>
              </w:rPr>
              <w:t>Ext_eNA</w:t>
            </w:r>
          </w:p>
        </w:tc>
      </w:tr>
      <w:tr w:rsidR="00F253B2" w14:paraId="64A9B9F7" w14:textId="77777777" w:rsidTr="00635E7C">
        <w:trPr>
          <w:gridAfter w:val="1"/>
          <w:wAfter w:w="85" w:type="dxa"/>
          <w:jc w:val="center"/>
        </w:trPr>
        <w:tc>
          <w:tcPr>
            <w:tcW w:w="3222" w:type="dxa"/>
            <w:gridSpan w:val="2"/>
          </w:tcPr>
          <w:p w14:paraId="56D57EF5" w14:textId="77777777" w:rsidR="00F253B2" w:rsidRDefault="00F253B2" w:rsidP="00F253B2">
            <w:pPr>
              <w:pStyle w:val="TAL"/>
              <w:rPr>
                <w:lang w:eastAsia="zh-CN"/>
              </w:rPr>
            </w:pPr>
            <w:r>
              <w:t>UeMobilityOrderCriterion</w:t>
            </w:r>
          </w:p>
        </w:tc>
        <w:tc>
          <w:tcPr>
            <w:tcW w:w="1195" w:type="dxa"/>
            <w:gridSpan w:val="2"/>
          </w:tcPr>
          <w:p w14:paraId="5774556B" w14:textId="77777777" w:rsidR="00F253B2" w:rsidRDefault="00F253B2" w:rsidP="00F253B2">
            <w:pPr>
              <w:pStyle w:val="TAL"/>
              <w:rPr>
                <w:lang w:eastAsia="zh-CN"/>
              </w:rPr>
            </w:pPr>
            <w:r>
              <w:rPr>
                <w:lang w:eastAsia="zh-CN"/>
              </w:rPr>
              <w:t>5.1.6.3.28</w:t>
            </w:r>
          </w:p>
        </w:tc>
        <w:tc>
          <w:tcPr>
            <w:tcW w:w="2132" w:type="dxa"/>
            <w:gridSpan w:val="2"/>
          </w:tcPr>
          <w:p w14:paraId="24FDD09A" w14:textId="77777777" w:rsidR="00F253B2" w:rsidRDefault="00F253B2" w:rsidP="00F253B2">
            <w:pPr>
              <w:pStyle w:val="TAL"/>
              <w:rPr>
                <w:lang w:eastAsia="zh-CN"/>
              </w:rPr>
            </w:pPr>
            <w:r>
              <w:rPr>
                <w:lang w:eastAsia="ko-KR"/>
              </w:rPr>
              <w:t xml:space="preserve">The ordering criterion for the list of </w:t>
            </w:r>
            <w:r>
              <w:rPr>
                <w:lang w:eastAsia="zh-CN"/>
              </w:rPr>
              <w:t>UE mobility</w:t>
            </w:r>
            <w:r>
              <w:rPr>
                <w:lang w:eastAsia="ko-KR"/>
              </w:rPr>
              <w:t xml:space="preserve"> analytics.</w:t>
            </w:r>
          </w:p>
        </w:tc>
        <w:tc>
          <w:tcPr>
            <w:tcW w:w="2751" w:type="dxa"/>
            <w:gridSpan w:val="2"/>
          </w:tcPr>
          <w:p w14:paraId="3838588C" w14:textId="77777777" w:rsidR="00F253B2" w:rsidRDefault="00F253B2" w:rsidP="00F253B2">
            <w:pPr>
              <w:pStyle w:val="TAL"/>
              <w:rPr>
                <w:rFonts w:cs="Arial"/>
                <w:szCs w:val="18"/>
              </w:rPr>
            </w:pPr>
            <w:r>
              <w:t>UeMobility</w:t>
            </w:r>
            <w:r>
              <w:rPr>
                <w:lang w:eastAsia="zh-CN"/>
              </w:rPr>
              <w:t>Ext2_eNA</w:t>
            </w:r>
          </w:p>
        </w:tc>
      </w:tr>
      <w:tr w:rsidR="00F253B2" w14:paraId="21AE941D" w14:textId="77777777" w:rsidTr="00635E7C">
        <w:trPr>
          <w:gridAfter w:val="1"/>
          <w:wAfter w:w="85" w:type="dxa"/>
          <w:jc w:val="center"/>
        </w:trPr>
        <w:tc>
          <w:tcPr>
            <w:tcW w:w="3222" w:type="dxa"/>
            <w:gridSpan w:val="2"/>
          </w:tcPr>
          <w:p w14:paraId="5E502107" w14:textId="77777777" w:rsidR="00F253B2" w:rsidRDefault="00F253B2" w:rsidP="00F253B2">
            <w:pPr>
              <w:pStyle w:val="TAL"/>
              <w:rPr>
                <w:lang w:eastAsia="zh-CN"/>
              </w:rPr>
            </w:pPr>
            <w:r>
              <w:t>UeMobilityReq</w:t>
            </w:r>
          </w:p>
        </w:tc>
        <w:tc>
          <w:tcPr>
            <w:tcW w:w="1195" w:type="dxa"/>
            <w:gridSpan w:val="2"/>
          </w:tcPr>
          <w:p w14:paraId="431003C0" w14:textId="77777777" w:rsidR="00F253B2" w:rsidRDefault="00F253B2" w:rsidP="00F253B2">
            <w:pPr>
              <w:pStyle w:val="TAL"/>
              <w:rPr>
                <w:lang w:eastAsia="zh-CN"/>
              </w:rPr>
            </w:pPr>
            <w:r>
              <w:rPr>
                <w:lang w:eastAsia="zh-CN"/>
              </w:rPr>
              <w:t>5.1.6.2.71</w:t>
            </w:r>
          </w:p>
        </w:tc>
        <w:tc>
          <w:tcPr>
            <w:tcW w:w="2132" w:type="dxa"/>
            <w:gridSpan w:val="2"/>
          </w:tcPr>
          <w:p w14:paraId="586CC067" w14:textId="77777777" w:rsidR="00F253B2" w:rsidRDefault="00F253B2" w:rsidP="00F253B2">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Pr>
                <w:lang w:eastAsia="ko-KR"/>
              </w:rPr>
              <w:t>requirement.</w:t>
            </w:r>
          </w:p>
        </w:tc>
        <w:tc>
          <w:tcPr>
            <w:tcW w:w="2751" w:type="dxa"/>
            <w:gridSpan w:val="2"/>
          </w:tcPr>
          <w:p w14:paraId="5F1E1F96" w14:textId="77777777" w:rsidR="00F253B2" w:rsidRDefault="00F253B2" w:rsidP="00F253B2">
            <w:pPr>
              <w:pStyle w:val="TAL"/>
              <w:rPr>
                <w:rFonts w:cs="Arial"/>
                <w:szCs w:val="18"/>
              </w:rPr>
            </w:pPr>
            <w:r>
              <w:t>UeMobility</w:t>
            </w:r>
            <w:r>
              <w:rPr>
                <w:lang w:eastAsia="zh-CN"/>
              </w:rPr>
              <w:t>Ext2_eNA</w:t>
            </w:r>
          </w:p>
        </w:tc>
      </w:tr>
      <w:tr w:rsidR="00F253B2" w14:paraId="0AB93DB9" w14:textId="77777777" w:rsidTr="00635E7C">
        <w:trPr>
          <w:gridAfter w:val="1"/>
          <w:wAfter w:w="85" w:type="dxa"/>
          <w:jc w:val="center"/>
        </w:trPr>
        <w:tc>
          <w:tcPr>
            <w:tcW w:w="3222" w:type="dxa"/>
            <w:gridSpan w:val="2"/>
          </w:tcPr>
          <w:p w14:paraId="4174CF1D" w14:textId="77777777" w:rsidR="00F253B2" w:rsidRDefault="00F253B2" w:rsidP="00F253B2">
            <w:pPr>
              <w:pStyle w:val="TAL"/>
              <w:rPr>
                <w:lang w:eastAsia="zh-CN"/>
              </w:rPr>
            </w:pPr>
            <w:r>
              <w:rPr>
                <w:lang w:eastAsia="zh-CN"/>
              </w:rPr>
              <w:t>UeMobility</w:t>
            </w:r>
          </w:p>
        </w:tc>
        <w:tc>
          <w:tcPr>
            <w:tcW w:w="1195" w:type="dxa"/>
            <w:gridSpan w:val="2"/>
          </w:tcPr>
          <w:p w14:paraId="393A5650" w14:textId="77777777" w:rsidR="00F253B2" w:rsidRDefault="00F253B2" w:rsidP="00F253B2">
            <w:pPr>
              <w:pStyle w:val="TAL"/>
              <w:rPr>
                <w:lang w:eastAsia="zh-CN"/>
              </w:rPr>
            </w:pPr>
            <w:r>
              <w:rPr>
                <w:lang w:eastAsia="zh-CN"/>
              </w:rPr>
              <w:t>5.1.6.2.10</w:t>
            </w:r>
          </w:p>
        </w:tc>
        <w:tc>
          <w:tcPr>
            <w:tcW w:w="2132" w:type="dxa"/>
            <w:gridSpan w:val="2"/>
          </w:tcPr>
          <w:p w14:paraId="0E0E1F8B" w14:textId="77777777" w:rsidR="00F253B2" w:rsidRDefault="00F253B2" w:rsidP="00F253B2">
            <w:pPr>
              <w:pStyle w:val="TAL"/>
              <w:rPr>
                <w:lang w:eastAsia="zh-CN"/>
              </w:rPr>
            </w:pPr>
            <w:r>
              <w:rPr>
                <w:lang w:eastAsia="zh-CN"/>
              </w:rPr>
              <w:t>Represents UE mobility information.</w:t>
            </w:r>
          </w:p>
        </w:tc>
        <w:tc>
          <w:tcPr>
            <w:tcW w:w="2751" w:type="dxa"/>
            <w:gridSpan w:val="2"/>
          </w:tcPr>
          <w:p w14:paraId="4EDCE13A" w14:textId="77777777" w:rsidR="00F253B2" w:rsidRDefault="00F253B2" w:rsidP="00F253B2">
            <w:pPr>
              <w:pStyle w:val="TAL"/>
              <w:rPr>
                <w:rFonts w:cs="Arial"/>
                <w:szCs w:val="18"/>
              </w:rPr>
            </w:pPr>
            <w:r>
              <w:rPr>
                <w:rFonts w:cs="Arial"/>
                <w:szCs w:val="18"/>
              </w:rPr>
              <w:t>UeMobility</w:t>
            </w:r>
          </w:p>
        </w:tc>
      </w:tr>
      <w:tr w:rsidR="00F253B2" w14:paraId="5D038253" w14:textId="77777777" w:rsidTr="00635E7C">
        <w:trPr>
          <w:gridAfter w:val="1"/>
          <w:wAfter w:w="85" w:type="dxa"/>
          <w:jc w:val="center"/>
        </w:trPr>
        <w:tc>
          <w:tcPr>
            <w:tcW w:w="3222" w:type="dxa"/>
            <w:gridSpan w:val="2"/>
          </w:tcPr>
          <w:p w14:paraId="7F8198E7" w14:textId="77777777" w:rsidR="00F253B2" w:rsidRDefault="00F253B2" w:rsidP="00F253B2">
            <w:pPr>
              <w:pStyle w:val="TAL"/>
              <w:rPr>
                <w:lang w:eastAsia="zh-CN"/>
              </w:rPr>
            </w:pPr>
            <w:r>
              <w:rPr>
                <w:lang w:eastAsia="zh-CN"/>
              </w:rPr>
              <w:t>UeProximity</w:t>
            </w:r>
          </w:p>
        </w:tc>
        <w:tc>
          <w:tcPr>
            <w:tcW w:w="1195" w:type="dxa"/>
            <w:gridSpan w:val="2"/>
          </w:tcPr>
          <w:p w14:paraId="29D3C6B0" w14:textId="77777777" w:rsidR="00F253B2" w:rsidRDefault="00F253B2" w:rsidP="00F253B2">
            <w:pPr>
              <w:pStyle w:val="TAL"/>
              <w:rPr>
                <w:lang w:eastAsia="zh-CN"/>
              </w:rPr>
            </w:pPr>
            <w:r>
              <w:rPr>
                <w:rFonts w:hint="eastAsia"/>
                <w:lang w:eastAsia="ja-JP"/>
              </w:rPr>
              <w:t>5</w:t>
            </w:r>
            <w:r>
              <w:rPr>
                <w:lang w:eastAsia="ja-JP"/>
              </w:rPr>
              <w:t>.1.6.2.101</w:t>
            </w:r>
          </w:p>
        </w:tc>
        <w:tc>
          <w:tcPr>
            <w:tcW w:w="2132" w:type="dxa"/>
            <w:gridSpan w:val="2"/>
          </w:tcPr>
          <w:p w14:paraId="3C7A0FA6" w14:textId="77777777" w:rsidR="00F253B2" w:rsidRDefault="00F253B2" w:rsidP="00F253B2">
            <w:pPr>
              <w:pStyle w:val="TAL"/>
              <w:rPr>
                <w:lang w:eastAsia="zh-CN"/>
              </w:rPr>
            </w:pPr>
            <w:r>
              <w:rPr>
                <w:rFonts w:cs="Arial"/>
                <w:szCs w:val="18"/>
              </w:rPr>
              <w:t>Observed or Predicted proximity information.</w:t>
            </w:r>
          </w:p>
        </w:tc>
        <w:tc>
          <w:tcPr>
            <w:tcW w:w="2751" w:type="dxa"/>
            <w:gridSpan w:val="2"/>
          </w:tcPr>
          <w:p w14:paraId="31B7389C" w14:textId="77777777" w:rsidR="00F253B2" w:rsidRDefault="00F253B2" w:rsidP="00F253B2">
            <w:pPr>
              <w:pStyle w:val="TAL"/>
              <w:rPr>
                <w:rFonts w:cs="Arial"/>
                <w:szCs w:val="18"/>
              </w:rPr>
            </w:pPr>
            <w:r>
              <w:rPr>
                <w:lang w:val="en-US" w:eastAsia="zh-CN"/>
              </w:rPr>
              <w:t>RelativeProximity</w:t>
            </w:r>
          </w:p>
        </w:tc>
      </w:tr>
      <w:tr w:rsidR="00F253B2" w14:paraId="5B04587D" w14:textId="77777777" w:rsidTr="00635E7C">
        <w:trPr>
          <w:gridAfter w:val="1"/>
          <w:wAfter w:w="85" w:type="dxa"/>
          <w:jc w:val="center"/>
        </w:trPr>
        <w:tc>
          <w:tcPr>
            <w:tcW w:w="3222" w:type="dxa"/>
            <w:gridSpan w:val="2"/>
          </w:tcPr>
          <w:p w14:paraId="6AAB9932" w14:textId="77777777" w:rsidR="00F253B2" w:rsidRDefault="00F253B2" w:rsidP="00F253B2">
            <w:pPr>
              <w:pStyle w:val="TAL"/>
              <w:rPr>
                <w:lang w:eastAsia="zh-CN"/>
              </w:rPr>
            </w:pPr>
            <w:r>
              <w:rPr>
                <w:lang w:eastAsia="zh-CN"/>
              </w:rPr>
              <w:t>UeTrajectory</w:t>
            </w:r>
          </w:p>
        </w:tc>
        <w:tc>
          <w:tcPr>
            <w:tcW w:w="1195" w:type="dxa"/>
            <w:gridSpan w:val="2"/>
          </w:tcPr>
          <w:p w14:paraId="5420F458" w14:textId="77777777" w:rsidR="00F253B2" w:rsidRDefault="00F253B2" w:rsidP="00F253B2">
            <w:pPr>
              <w:pStyle w:val="TAL"/>
              <w:rPr>
                <w:lang w:eastAsia="zh-CN"/>
              </w:rPr>
            </w:pPr>
            <w:r>
              <w:rPr>
                <w:rFonts w:hint="eastAsia"/>
                <w:lang w:eastAsia="ja-JP"/>
              </w:rPr>
              <w:t>5</w:t>
            </w:r>
            <w:r>
              <w:rPr>
                <w:lang w:eastAsia="ja-JP"/>
              </w:rPr>
              <w:t>.1.6.2.102</w:t>
            </w:r>
          </w:p>
        </w:tc>
        <w:tc>
          <w:tcPr>
            <w:tcW w:w="2132" w:type="dxa"/>
            <w:gridSpan w:val="2"/>
          </w:tcPr>
          <w:p w14:paraId="0F4AC45D" w14:textId="77777777" w:rsidR="00F253B2" w:rsidRDefault="00F253B2" w:rsidP="00F253B2">
            <w:pPr>
              <w:pStyle w:val="TAL"/>
              <w:rPr>
                <w:lang w:eastAsia="zh-CN"/>
              </w:rPr>
            </w:pPr>
            <w:r>
              <w:rPr>
                <w:lang w:val="en-US" w:eastAsia="zh-CN"/>
              </w:rPr>
              <w:t xml:space="preserve">Relative </w:t>
            </w:r>
            <w:r>
              <w:rPr>
                <w:rFonts w:cs="Arial"/>
                <w:szCs w:val="18"/>
              </w:rPr>
              <w:t>timestamped UE positions.</w:t>
            </w:r>
          </w:p>
        </w:tc>
        <w:tc>
          <w:tcPr>
            <w:tcW w:w="2751" w:type="dxa"/>
            <w:gridSpan w:val="2"/>
          </w:tcPr>
          <w:p w14:paraId="425BE8F2" w14:textId="77777777" w:rsidR="00F253B2" w:rsidRDefault="00F253B2" w:rsidP="00F253B2">
            <w:pPr>
              <w:pStyle w:val="TAL"/>
              <w:rPr>
                <w:rFonts w:cs="Arial"/>
                <w:szCs w:val="18"/>
              </w:rPr>
            </w:pPr>
            <w:r>
              <w:rPr>
                <w:lang w:val="en-US" w:eastAsia="zh-CN"/>
              </w:rPr>
              <w:t>RelativeProximity</w:t>
            </w:r>
          </w:p>
        </w:tc>
      </w:tr>
      <w:tr w:rsidR="00F253B2" w14:paraId="76A4821C" w14:textId="77777777" w:rsidTr="00635E7C">
        <w:trPr>
          <w:gridAfter w:val="1"/>
          <w:wAfter w:w="85" w:type="dxa"/>
          <w:jc w:val="center"/>
        </w:trPr>
        <w:tc>
          <w:tcPr>
            <w:tcW w:w="3222" w:type="dxa"/>
            <w:gridSpan w:val="2"/>
          </w:tcPr>
          <w:p w14:paraId="50C3A5AD" w14:textId="77777777" w:rsidR="00F253B2" w:rsidRDefault="00F253B2" w:rsidP="00F253B2">
            <w:pPr>
              <w:pStyle w:val="TAL"/>
              <w:rPr>
                <w:lang w:eastAsia="zh-CN"/>
              </w:rPr>
            </w:pPr>
            <w:r>
              <w:rPr>
                <w:lang w:eastAsia="zh-CN"/>
              </w:rPr>
              <w:t>PduSesTrafficInfo</w:t>
            </w:r>
          </w:p>
        </w:tc>
        <w:tc>
          <w:tcPr>
            <w:tcW w:w="1195" w:type="dxa"/>
            <w:gridSpan w:val="2"/>
          </w:tcPr>
          <w:p w14:paraId="7CB7B7C2" w14:textId="77777777" w:rsidR="00F253B2" w:rsidRDefault="00F253B2" w:rsidP="00F253B2">
            <w:pPr>
              <w:pStyle w:val="TAL"/>
              <w:rPr>
                <w:lang w:eastAsia="zh-CN"/>
              </w:rPr>
            </w:pPr>
            <w:r>
              <w:rPr>
                <w:rFonts w:hint="eastAsia"/>
                <w:lang w:eastAsia="zh-CN"/>
              </w:rPr>
              <w:t>5</w:t>
            </w:r>
            <w:r>
              <w:rPr>
                <w:lang w:eastAsia="zh-CN"/>
              </w:rPr>
              <w:t>.1.6.2.77</w:t>
            </w:r>
          </w:p>
        </w:tc>
        <w:tc>
          <w:tcPr>
            <w:tcW w:w="2132" w:type="dxa"/>
            <w:gridSpan w:val="2"/>
          </w:tcPr>
          <w:p w14:paraId="2F118C7B" w14:textId="77777777" w:rsidR="00F253B2" w:rsidRDefault="00F253B2" w:rsidP="00F253B2">
            <w:pPr>
              <w:pStyle w:val="TAL"/>
              <w:rPr>
                <w:lang w:eastAsia="zh-CN"/>
              </w:rPr>
            </w:pPr>
            <w:r>
              <w:rPr>
                <w:lang w:eastAsia="zh-CN"/>
              </w:rPr>
              <w:t xml:space="preserve">Represents </w:t>
            </w:r>
            <w:r>
              <w:rPr>
                <w:lang w:eastAsia="ko-KR"/>
              </w:rPr>
              <w:t>PDU Session traffic analytics information.</w:t>
            </w:r>
          </w:p>
        </w:tc>
        <w:tc>
          <w:tcPr>
            <w:tcW w:w="2751" w:type="dxa"/>
            <w:gridSpan w:val="2"/>
          </w:tcPr>
          <w:p w14:paraId="4F472007" w14:textId="77777777" w:rsidR="00F253B2" w:rsidRDefault="00F253B2" w:rsidP="00F253B2">
            <w:pPr>
              <w:pStyle w:val="TAL"/>
              <w:rPr>
                <w:rFonts w:cs="Arial"/>
                <w:szCs w:val="18"/>
              </w:rPr>
            </w:pPr>
            <w:r>
              <w:rPr>
                <w:rFonts w:cs="Arial"/>
                <w:szCs w:val="18"/>
              </w:rPr>
              <w:t>PduSesTraffic</w:t>
            </w:r>
          </w:p>
        </w:tc>
      </w:tr>
      <w:tr w:rsidR="00F253B2" w14:paraId="237FC045" w14:textId="77777777" w:rsidTr="00635E7C">
        <w:trPr>
          <w:gridAfter w:val="1"/>
          <w:wAfter w:w="85" w:type="dxa"/>
          <w:jc w:val="center"/>
        </w:trPr>
        <w:tc>
          <w:tcPr>
            <w:tcW w:w="3222" w:type="dxa"/>
            <w:gridSpan w:val="2"/>
          </w:tcPr>
          <w:p w14:paraId="202056A6" w14:textId="77777777" w:rsidR="00F253B2" w:rsidRDefault="00F253B2" w:rsidP="00F253B2">
            <w:pPr>
              <w:pStyle w:val="TAL"/>
              <w:rPr>
                <w:lang w:eastAsia="zh-CN"/>
              </w:rPr>
            </w:pPr>
            <w:r>
              <w:t>PduSesTrafficReq</w:t>
            </w:r>
          </w:p>
        </w:tc>
        <w:tc>
          <w:tcPr>
            <w:tcW w:w="1195" w:type="dxa"/>
            <w:gridSpan w:val="2"/>
          </w:tcPr>
          <w:p w14:paraId="13A8D621" w14:textId="77777777" w:rsidR="00F253B2" w:rsidRDefault="00F253B2" w:rsidP="00F253B2">
            <w:pPr>
              <w:pStyle w:val="TAL"/>
              <w:rPr>
                <w:lang w:eastAsia="zh-CN"/>
              </w:rPr>
            </w:pPr>
            <w:r>
              <w:rPr>
                <w:rFonts w:hint="eastAsia"/>
                <w:lang w:eastAsia="zh-CN"/>
              </w:rPr>
              <w:t>5</w:t>
            </w:r>
            <w:r>
              <w:rPr>
                <w:lang w:eastAsia="zh-CN"/>
              </w:rPr>
              <w:t>.1.6.2.79</w:t>
            </w:r>
          </w:p>
        </w:tc>
        <w:tc>
          <w:tcPr>
            <w:tcW w:w="2132" w:type="dxa"/>
            <w:gridSpan w:val="2"/>
          </w:tcPr>
          <w:p w14:paraId="4F2B6FD4" w14:textId="77777777" w:rsidR="00F253B2" w:rsidRDefault="00F253B2" w:rsidP="00F253B2">
            <w:pPr>
              <w:pStyle w:val="TAL"/>
              <w:rPr>
                <w:lang w:eastAsia="zh-CN"/>
              </w:rPr>
            </w:pPr>
            <w:r>
              <w:rPr>
                <w:lang w:eastAsia="zh-CN"/>
              </w:rPr>
              <w:t xml:space="preserve">Represents </w:t>
            </w:r>
            <w:r>
              <w:rPr>
                <w:lang w:eastAsia="ko-KR"/>
              </w:rPr>
              <w:t>PDU Session traffic analytics requirement.</w:t>
            </w:r>
          </w:p>
        </w:tc>
        <w:tc>
          <w:tcPr>
            <w:tcW w:w="2751" w:type="dxa"/>
            <w:gridSpan w:val="2"/>
          </w:tcPr>
          <w:p w14:paraId="506DE890" w14:textId="77777777" w:rsidR="00F253B2" w:rsidRDefault="00F253B2" w:rsidP="00F253B2">
            <w:pPr>
              <w:pStyle w:val="TAL"/>
              <w:rPr>
                <w:rFonts w:cs="Arial"/>
                <w:szCs w:val="18"/>
              </w:rPr>
            </w:pPr>
            <w:r>
              <w:t>PduSesTraffic</w:t>
            </w:r>
          </w:p>
        </w:tc>
      </w:tr>
      <w:tr w:rsidR="00F253B2" w14:paraId="67CB837B" w14:textId="77777777" w:rsidTr="00635E7C">
        <w:trPr>
          <w:gridAfter w:val="1"/>
          <w:wAfter w:w="85" w:type="dxa"/>
          <w:jc w:val="center"/>
        </w:trPr>
        <w:tc>
          <w:tcPr>
            <w:tcW w:w="3222" w:type="dxa"/>
            <w:gridSpan w:val="2"/>
          </w:tcPr>
          <w:p w14:paraId="76FFD661" w14:textId="77777777" w:rsidR="00F253B2" w:rsidRDefault="00F253B2" w:rsidP="00F253B2">
            <w:pPr>
              <w:pStyle w:val="TAL"/>
              <w:rPr>
                <w:lang w:eastAsia="zh-CN"/>
              </w:rPr>
            </w:pPr>
            <w:r>
              <w:t>UserDataConOrderCrit</w:t>
            </w:r>
          </w:p>
        </w:tc>
        <w:tc>
          <w:tcPr>
            <w:tcW w:w="1195" w:type="dxa"/>
            <w:gridSpan w:val="2"/>
          </w:tcPr>
          <w:p w14:paraId="4FD033BC" w14:textId="77777777" w:rsidR="00F253B2" w:rsidRDefault="00F253B2" w:rsidP="00F253B2">
            <w:pPr>
              <w:pStyle w:val="TAL"/>
              <w:rPr>
                <w:lang w:eastAsia="zh-CN"/>
              </w:rPr>
            </w:pPr>
            <w:r>
              <w:rPr>
                <w:rFonts w:hint="eastAsia"/>
                <w:lang w:eastAsia="zh-CN"/>
              </w:rPr>
              <w:t>5</w:t>
            </w:r>
            <w:r>
              <w:rPr>
                <w:lang w:eastAsia="zh-CN"/>
              </w:rPr>
              <w:t>.1.6.3.27</w:t>
            </w:r>
          </w:p>
        </w:tc>
        <w:tc>
          <w:tcPr>
            <w:tcW w:w="2132" w:type="dxa"/>
            <w:gridSpan w:val="2"/>
          </w:tcPr>
          <w:p w14:paraId="015D8DBD" w14:textId="77777777" w:rsidR="00F253B2" w:rsidRDefault="00F253B2" w:rsidP="00F253B2">
            <w:pPr>
              <w:pStyle w:val="TAL"/>
              <w:rPr>
                <w:lang w:eastAsia="zh-CN"/>
              </w:rPr>
            </w:pPr>
            <w:r>
              <w:rPr>
                <w:lang w:eastAsia="ko-KR"/>
              </w:rPr>
              <w:t xml:space="preserve">The ordering criterion for the list of </w:t>
            </w:r>
            <w:r>
              <w:t>User Data Congestion</w:t>
            </w:r>
            <w:r>
              <w:rPr>
                <w:lang w:eastAsia="ko-KR"/>
              </w:rPr>
              <w:t xml:space="preserve"> analytics.</w:t>
            </w:r>
          </w:p>
        </w:tc>
        <w:tc>
          <w:tcPr>
            <w:tcW w:w="2751" w:type="dxa"/>
            <w:gridSpan w:val="2"/>
          </w:tcPr>
          <w:p w14:paraId="7D134859" w14:textId="77777777" w:rsidR="00F253B2" w:rsidRDefault="00F253B2" w:rsidP="00F253B2">
            <w:pPr>
              <w:pStyle w:val="TAL"/>
              <w:rPr>
                <w:rFonts w:cs="Arial"/>
                <w:szCs w:val="18"/>
              </w:rPr>
            </w:pPr>
            <w:r>
              <w:t>UserDataCongestionExt2_eNA</w:t>
            </w:r>
          </w:p>
        </w:tc>
      </w:tr>
      <w:tr w:rsidR="00F253B2" w14:paraId="5D8A5BDB" w14:textId="77777777" w:rsidTr="00635E7C">
        <w:trPr>
          <w:gridAfter w:val="1"/>
          <w:wAfter w:w="85" w:type="dxa"/>
          <w:jc w:val="center"/>
        </w:trPr>
        <w:tc>
          <w:tcPr>
            <w:tcW w:w="3222" w:type="dxa"/>
            <w:gridSpan w:val="2"/>
          </w:tcPr>
          <w:p w14:paraId="057FE286" w14:textId="77777777" w:rsidR="00F253B2" w:rsidRDefault="00F253B2" w:rsidP="00F253B2">
            <w:pPr>
              <w:pStyle w:val="TAL"/>
            </w:pPr>
            <w:r>
              <w:lastRenderedPageBreak/>
              <w:t>UserDataCongestionInfo</w:t>
            </w:r>
          </w:p>
        </w:tc>
        <w:tc>
          <w:tcPr>
            <w:tcW w:w="1195" w:type="dxa"/>
            <w:gridSpan w:val="2"/>
          </w:tcPr>
          <w:p w14:paraId="1621E42E" w14:textId="77777777" w:rsidR="00F253B2" w:rsidRDefault="00F253B2" w:rsidP="00F253B2">
            <w:pPr>
              <w:pStyle w:val="TAL"/>
              <w:rPr>
                <w:lang w:eastAsia="zh-CN"/>
              </w:rPr>
            </w:pPr>
            <w:r>
              <w:t>5.1.6.2.17</w:t>
            </w:r>
          </w:p>
        </w:tc>
        <w:tc>
          <w:tcPr>
            <w:tcW w:w="2132" w:type="dxa"/>
            <w:gridSpan w:val="2"/>
          </w:tcPr>
          <w:p w14:paraId="2D3B86B6" w14:textId="77777777" w:rsidR="00F253B2" w:rsidRDefault="00F253B2" w:rsidP="00F253B2">
            <w:pPr>
              <w:pStyle w:val="TAL"/>
            </w:pPr>
            <w:r>
              <w:t>Represents the user data congestion information.</w:t>
            </w:r>
          </w:p>
        </w:tc>
        <w:tc>
          <w:tcPr>
            <w:tcW w:w="2751" w:type="dxa"/>
            <w:gridSpan w:val="2"/>
          </w:tcPr>
          <w:p w14:paraId="5FABD154" w14:textId="77777777" w:rsidR="00F253B2" w:rsidRDefault="00F253B2" w:rsidP="00F253B2">
            <w:pPr>
              <w:pStyle w:val="TAL"/>
              <w:rPr>
                <w:rFonts w:cs="Arial"/>
                <w:szCs w:val="18"/>
              </w:rPr>
            </w:pPr>
            <w:r>
              <w:t>UserDataCongestion</w:t>
            </w:r>
          </w:p>
        </w:tc>
      </w:tr>
      <w:tr w:rsidR="00F253B2" w14:paraId="79DFFC1E" w14:textId="77777777" w:rsidTr="00635E7C">
        <w:trPr>
          <w:gridAfter w:val="1"/>
          <w:wAfter w:w="85" w:type="dxa"/>
          <w:jc w:val="center"/>
        </w:trPr>
        <w:tc>
          <w:tcPr>
            <w:tcW w:w="3222" w:type="dxa"/>
            <w:gridSpan w:val="2"/>
          </w:tcPr>
          <w:p w14:paraId="1FF2C052" w14:textId="77777777" w:rsidR="00F253B2" w:rsidRDefault="00F253B2" w:rsidP="00F253B2">
            <w:pPr>
              <w:pStyle w:val="TAL"/>
            </w:pPr>
            <w:r>
              <w:rPr>
                <w:lang w:eastAsia="zh-CN"/>
              </w:rPr>
              <w:t>ValueExpression</w:t>
            </w:r>
          </w:p>
        </w:tc>
        <w:tc>
          <w:tcPr>
            <w:tcW w:w="1195" w:type="dxa"/>
            <w:gridSpan w:val="2"/>
          </w:tcPr>
          <w:p w14:paraId="3EC8C283" w14:textId="77777777" w:rsidR="00F253B2" w:rsidRDefault="00F253B2" w:rsidP="00F253B2">
            <w:pPr>
              <w:pStyle w:val="TAL"/>
            </w:pPr>
            <w:r>
              <w:rPr>
                <w:rFonts w:hint="eastAsia"/>
                <w:lang w:eastAsia="zh-CN"/>
              </w:rPr>
              <w:t>5</w:t>
            </w:r>
            <w:r>
              <w:rPr>
                <w:lang w:eastAsia="zh-CN"/>
              </w:rPr>
              <w:t>.1.6.3.34</w:t>
            </w:r>
          </w:p>
        </w:tc>
        <w:tc>
          <w:tcPr>
            <w:tcW w:w="2132" w:type="dxa"/>
            <w:gridSpan w:val="2"/>
          </w:tcPr>
          <w:p w14:paraId="36DAE253" w14:textId="77777777" w:rsidR="00F253B2" w:rsidRDefault="00F253B2" w:rsidP="00F253B2">
            <w:pPr>
              <w:pStyle w:val="TAL"/>
            </w:pPr>
            <w:r>
              <w:rPr>
                <w:lang w:eastAsia="zh-CN"/>
              </w:rPr>
              <w:t>Indicates average or peak value of the resource usage for the network performance type</w:t>
            </w:r>
          </w:p>
        </w:tc>
        <w:tc>
          <w:tcPr>
            <w:tcW w:w="2751" w:type="dxa"/>
            <w:gridSpan w:val="2"/>
          </w:tcPr>
          <w:p w14:paraId="06294F9D" w14:textId="77777777" w:rsidR="00F253B2" w:rsidRDefault="00F253B2" w:rsidP="00F253B2">
            <w:pPr>
              <w:pStyle w:val="TAL"/>
            </w:pPr>
            <w:r>
              <w:t>NetworkPerformance</w:t>
            </w:r>
            <w:r>
              <w:rPr>
                <w:lang w:eastAsia="zh-CN"/>
              </w:rPr>
              <w:t>Ext_AIML</w:t>
            </w:r>
          </w:p>
        </w:tc>
      </w:tr>
      <w:tr w:rsidR="00F253B2" w14:paraId="7F52523D" w14:textId="77777777" w:rsidTr="00635E7C">
        <w:trPr>
          <w:gridAfter w:val="1"/>
          <w:wAfter w:w="85" w:type="dxa"/>
          <w:jc w:val="center"/>
        </w:trPr>
        <w:tc>
          <w:tcPr>
            <w:tcW w:w="3222" w:type="dxa"/>
            <w:gridSpan w:val="2"/>
          </w:tcPr>
          <w:p w14:paraId="20D8130C" w14:textId="77777777" w:rsidR="00F253B2" w:rsidRDefault="00F253B2" w:rsidP="00F253B2">
            <w:pPr>
              <w:pStyle w:val="TAL"/>
            </w:pPr>
            <w:r>
              <w:t>WlanOrderingCriterion</w:t>
            </w:r>
          </w:p>
        </w:tc>
        <w:tc>
          <w:tcPr>
            <w:tcW w:w="1195" w:type="dxa"/>
            <w:gridSpan w:val="2"/>
          </w:tcPr>
          <w:p w14:paraId="1C5F687C" w14:textId="77777777" w:rsidR="00F253B2" w:rsidRDefault="00F253B2" w:rsidP="00F253B2">
            <w:pPr>
              <w:pStyle w:val="TAL"/>
            </w:pPr>
            <w:r>
              <w:rPr>
                <w:lang w:eastAsia="zh-CN"/>
              </w:rPr>
              <w:t>5.1.6.3.23</w:t>
            </w:r>
          </w:p>
        </w:tc>
        <w:tc>
          <w:tcPr>
            <w:tcW w:w="2132" w:type="dxa"/>
            <w:gridSpan w:val="2"/>
          </w:tcPr>
          <w:p w14:paraId="13382E92" w14:textId="77777777" w:rsidR="00F253B2" w:rsidRDefault="00F253B2" w:rsidP="00F253B2">
            <w:pPr>
              <w:pStyle w:val="TAL"/>
            </w:pPr>
            <w:r>
              <w:rPr>
                <w:lang w:eastAsia="ko-KR"/>
              </w:rPr>
              <w:t>Ordering criterion for the list of WLAN performance information.</w:t>
            </w:r>
          </w:p>
        </w:tc>
        <w:tc>
          <w:tcPr>
            <w:tcW w:w="2751" w:type="dxa"/>
            <w:gridSpan w:val="2"/>
          </w:tcPr>
          <w:p w14:paraId="6D5F627D" w14:textId="77777777" w:rsidR="00F253B2" w:rsidRDefault="00F253B2" w:rsidP="00F253B2">
            <w:pPr>
              <w:pStyle w:val="TAL"/>
            </w:pPr>
            <w:r>
              <w:t>WlanPerformance</w:t>
            </w:r>
          </w:p>
        </w:tc>
      </w:tr>
      <w:tr w:rsidR="00F253B2" w14:paraId="17BEBF82" w14:textId="77777777" w:rsidTr="00635E7C">
        <w:trPr>
          <w:gridAfter w:val="1"/>
          <w:wAfter w:w="85" w:type="dxa"/>
          <w:jc w:val="center"/>
        </w:trPr>
        <w:tc>
          <w:tcPr>
            <w:tcW w:w="3222" w:type="dxa"/>
            <w:gridSpan w:val="2"/>
          </w:tcPr>
          <w:p w14:paraId="1429DFAE" w14:textId="77777777" w:rsidR="00F253B2" w:rsidRDefault="00F253B2" w:rsidP="00F253B2">
            <w:pPr>
              <w:pStyle w:val="TAL"/>
            </w:pPr>
            <w:r>
              <w:t>WlanPerformanceReq</w:t>
            </w:r>
          </w:p>
        </w:tc>
        <w:tc>
          <w:tcPr>
            <w:tcW w:w="1195" w:type="dxa"/>
            <w:gridSpan w:val="2"/>
          </w:tcPr>
          <w:p w14:paraId="2576D0E2" w14:textId="77777777" w:rsidR="00F253B2" w:rsidRDefault="00F253B2" w:rsidP="00F253B2">
            <w:pPr>
              <w:pStyle w:val="TAL"/>
              <w:rPr>
                <w:lang w:eastAsia="zh-CN"/>
              </w:rPr>
            </w:pPr>
            <w:r>
              <w:rPr>
                <w:lang w:eastAsia="zh-CN"/>
              </w:rPr>
              <w:t>5.1.6.2.59</w:t>
            </w:r>
          </w:p>
        </w:tc>
        <w:tc>
          <w:tcPr>
            <w:tcW w:w="2132" w:type="dxa"/>
            <w:gridSpan w:val="2"/>
          </w:tcPr>
          <w:p w14:paraId="5A382A31" w14:textId="77777777" w:rsidR="00F253B2" w:rsidRDefault="00F253B2" w:rsidP="00F253B2">
            <w:pPr>
              <w:pStyle w:val="TAL"/>
              <w:rPr>
                <w:lang w:eastAsia="ko-KR"/>
              </w:rPr>
            </w:pPr>
            <w:r>
              <w:rPr>
                <w:lang w:eastAsia="ko-KR"/>
              </w:rPr>
              <w:t>WLAN performance analytics requirement.</w:t>
            </w:r>
          </w:p>
        </w:tc>
        <w:tc>
          <w:tcPr>
            <w:tcW w:w="2751" w:type="dxa"/>
            <w:gridSpan w:val="2"/>
          </w:tcPr>
          <w:p w14:paraId="37B78D91" w14:textId="77777777" w:rsidR="00F253B2" w:rsidRDefault="00F253B2" w:rsidP="00F253B2">
            <w:pPr>
              <w:pStyle w:val="TAL"/>
            </w:pPr>
            <w:r>
              <w:t>WlanPerformance</w:t>
            </w:r>
          </w:p>
        </w:tc>
      </w:tr>
      <w:tr w:rsidR="00F253B2" w14:paraId="48F248B4" w14:textId="77777777" w:rsidTr="00635E7C">
        <w:trPr>
          <w:gridAfter w:val="1"/>
          <w:wAfter w:w="85" w:type="dxa"/>
          <w:jc w:val="center"/>
        </w:trPr>
        <w:tc>
          <w:tcPr>
            <w:tcW w:w="3222" w:type="dxa"/>
            <w:gridSpan w:val="2"/>
          </w:tcPr>
          <w:p w14:paraId="0BC58AD0" w14:textId="77777777" w:rsidR="00F253B2" w:rsidRDefault="00F253B2" w:rsidP="00F253B2">
            <w:pPr>
              <w:pStyle w:val="TAL"/>
            </w:pPr>
            <w:r>
              <w:t>WlanPerformanceInfo</w:t>
            </w:r>
          </w:p>
        </w:tc>
        <w:tc>
          <w:tcPr>
            <w:tcW w:w="1195" w:type="dxa"/>
            <w:gridSpan w:val="2"/>
          </w:tcPr>
          <w:p w14:paraId="346B03F6" w14:textId="77777777" w:rsidR="00F253B2" w:rsidRDefault="00F253B2" w:rsidP="00F253B2">
            <w:pPr>
              <w:pStyle w:val="TAL"/>
            </w:pPr>
            <w:r>
              <w:rPr>
                <w:lang w:eastAsia="zh-CN"/>
              </w:rPr>
              <w:t>5.1.6.2.60</w:t>
            </w:r>
          </w:p>
        </w:tc>
        <w:tc>
          <w:tcPr>
            <w:tcW w:w="2132" w:type="dxa"/>
            <w:gridSpan w:val="2"/>
          </w:tcPr>
          <w:p w14:paraId="0883C944" w14:textId="77777777" w:rsidR="00F253B2" w:rsidRDefault="00F253B2" w:rsidP="00F253B2">
            <w:pPr>
              <w:pStyle w:val="TAL"/>
            </w:pPr>
            <w:r>
              <w:rPr>
                <w:lang w:eastAsia="ko-KR"/>
              </w:rPr>
              <w:t>WLAN performance analytics information.</w:t>
            </w:r>
          </w:p>
        </w:tc>
        <w:tc>
          <w:tcPr>
            <w:tcW w:w="2751" w:type="dxa"/>
            <w:gridSpan w:val="2"/>
          </w:tcPr>
          <w:p w14:paraId="42CCE176" w14:textId="77777777" w:rsidR="00F253B2" w:rsidRDefault="00F253B2" w:rsidP="00F253B2">
            <w:pPr>
              <w:pStyle w:val="TAL"/>
            </w:pPr>
            <w:r>
              <w:t>WlanPerformance</w:t>
            </w:r>
          </w:p>
        </w:tc>
      </w:tr>
      <w:tr w:rsidR="00F253B2" w14:paraId="76D7DDE7" w14:textId="77777777" w:rsidTr="00635E7C">
        <w:trPr>
          <w:gridAfter w:val="1"/>
          <w:wAfter w:w="85" w:type="dxa"/>
          <w:jc w:val="center"/>
        </w:trPr>
        <w:tc>
          <w:tcPr>
            <w:tcW w:w="3222" w:type="dxa"/>
            <w:gridSpan w:val="2"/>
          </w:tcPr>
          <w:p w14:paraId="11DBFD41" w14:textId="77777777" w:rsidR="00F253B2" w:rsidRDefault="00F253B2" w:rsidP="00F253B2">
            <w:pPr>
              <w:pStyle w:val="TAL"/>
            </w:pPr>
            <w:r>
              <w:t>WlanPerSsIdPerformanceInfo</w:t>
            </w:r>
          </w:p>
        </w:tc>
        <w:tc>
          <w:tcPr>
            <w:tcW w:w="1195" w:type="dxa"/>
            <w:gridSpan w:val="2"/>
          </w:tcPr>
          <w:p w14:paraId="3F8F749D" w14:textId="77777777" w:rsidR="00F253B2" w:rsidRDefault="00F253B2" w:rsidP="00F253B2">
            <w:pPr>
              <w:pStyle w:val="TAL"/>
            </w:pPr>
            <w:r>
              <w:rPr>
                <w:lang w:eastAsia="zh-CN"/>
              </w:rPr>
              <w:t>5.1.6.2.61</w:t>
            </w:r>
          </w:p>
        </w:tc>
        <w:tc>
          <w:tcPr>
            <w:tcW w:w="2132" w:type="dxa"/>
            <w:gridSpan w:val="2"/>
          </w:tcPr>
          <w:p w14:paraId="7D79883E" w14:textId="77777777" w:rsidR="00F253B2" w:rsidRDefault="00F253B2" w:rsidP="00F253B2">
            <w:pPr>
              <w:pStyle w:val="TAL"/>
            </w:pPr>
            <w:r>
              <w:rPr>
                <w:lang w:eastAsia="ko-KR"/>
              </w:rPr>
              <w:t>WLAN performance information per SSID of WLAN access points deployed in the Area of Interest.</w:t>
            </w:r>
          </w:p>
        </w:tc>
        <w:tc>
          <w:tcPr>
            <w:tcW w:w="2751" w:type="dxa"/>
            <w:gridSpan w:val="2"/>
          </w:tcPr>
          <w:p w14:paraId="3A6CB13A" w14:textId="77777777" w:rsidR="00F253B2" w:rsidRDefault="00F253B2" w:rsidP="00F253B2">
            <w:pPr>
              <w:pStyle w:val="TAL"/>
            </w:pPr>
            <w:r>
              <w:t>WlanPerformance</w:t>
            </w:r>
          </w:p>
        </w:tc>
      </w:tr>
      <w:tr w:rsidR="00F253B2" w14:paraId="75A97CA1" w14:textId="77777777" w:rsidTr="00635E7C">
        <w:trPr>
          <w:gridAfter w:val="1"/>
          <w:wAfter w:w="85" w:type="dxa"/>
          <w:jc w:val="center"/>
        </w:trPr>
        <w:tc>
          <w:tcPr>
            <w:tcW w:w="3222" w:type="dxa"/>
            <w:gridSpan w:val="2"/>
          </w:tcPr>
          <w:p w14:paraId="5268CCF8" w14:textId="77777777" w:rsidR="00F253B2" w:rsidRDefault="00F253B2" w:rsidP="00F253B2">
            <w:pPr>
              <w:pStyle w:val="TAL"/>
            </w:pPr>
            <w:r>
              <w:t>WlanPerTsPerformanceInfo</w:t>
            </w:r>
          </w:p>
        </w:tc>
        <w:tc>
          <w:tcPr>
            <w:tcW w:w="1195" w:type="dxa"/>
            <w:gridSpan w:val="2"/>
          </w:tcPr>
          <w:p w14:paraId="198C2F39" w14:textId="77777777" w:rsidR="00F253B2" w:rsidRDefault="00F253B2" w:rsidP="00F253B2">
            <w:pPr>
              <w:pStyle w:val="TAL"/>
            </w:pPr>
            <w:r>
              <w:rPr>
                <w:lang w:eastAsia="zh-CN"/>
              </w:rPr>
              <w:t>5.1.6.2.62</w:t>
            </w:r>
          </w:p>
        </w:tc>
        <w:tc>
          <w:tcPr>
            <w:tcW w:w="2132" w:type="dxa"/>
            <w:gridSpan w:val="2"/>
          </w:tcPr>
          <w:p w14:paraId="31FC4B1D" w14:textId="77777777" w:rsidR="00F253B2" w:rsidRDefault="00F253B2" w:rsidP="00F253B2">
            <w:pPr>
              <w:pStyle w:val="TAL"/>
            </w:pPr>
            <w:r>
              <w:rPr>
                <w:lang w:eastAsia="ko-KR"/>
              </w:rPr>
              <w:t>WLAN performance information per Time Slot during the analytics target period.</w:t>
            </w:r>
          </w:p>
        </w:tc>
        <w:tc>
          <w:tcPr>
            <w:tcW w:w="2751" w:type="dxa"/>
            <w:gridSpan w:val="2"/>
          </w:tcPr>
          <w:p w14:paraId="36DA7439" w14:textId="77777777" w:rsidR="00F253B2" w:rsidRDefault="00F253B2" w:rsidP="00F253B2">
            <w:pPr>
              <w:pStyle w:val="TAL"/>
            </w:pPr>
            <w:r>
              <w:t>WlanPerformance</w:t>
            </w:r>
          </w:p>
        </w:tc>
      </w:tr>
      <w:tr w:rsidR="00F253B2" w14:paraId="35F92F7C" w14:textId="77777777" w:rsidTr="00635E7C">
        <w:trPr>
          <w:gridAfter w:val="1"/>
          <w:wAfter w:w="85" w:type="dxa"/>
          <w:jc w:val="center"/>
        </w:trPr>
        <w:tc>
          <w:tcPr>
            <w:tcW w:w="3222" w:type="dxa"/>
            <w:gridSpan w:val="2"/>
          </w:tcPr>
          <w:p w14:paraId="021F2919" w14:textId="77777777" w:rsidR="00F253B2" w:rsidRDefault="00F253B2" w:rsidP="00F253B2">
            <w:pPr>
              <w:pStyle w:val="TAL"/>
            </w:pPr>
            <w:r>
              <w:rPr>
                <w:lang w:eastAsia="zh-CN"/>
              </w:rPr>
              <w:t>WlanPerUeIdPerformanceInfo</w:t>
            </w:r>
          </w:p>
        </w:tc>
        <w:tc>
          <w:tcPr>
            <w:tcW w:w="1195" w:type="dxa"/>
            <w:gridSpan w:val="2"/>
          </w:tcPr>
          <w:p w14:paraId="00785A42" w14:textId="77777777" w:rsidR="00F253B2" w:rsidRDefault="00F253B2" w:rsidP="00F253B2">
            <w:pPr>
              <w:pStyle w:val="TAL"/>
              <w:rPr>
                <w:lang w:eastAsia="zh-CN"/>
              </w:rPr>
            </w:pPr>
            <w:r>
              <w:rPr>
                <w:lang w:eastAsia="zh-CN"/>
              </w:rPr>
              <w:t>5.1.6.2.80</w:t>
            </w:r>
          </w:p>
        </w:tc>
        <w:tc>
          <w:tcPr>
            <w:tcW w:w="2132" w:type="dxa"/>
            <w:gridSpan w:val="2"/>
          </w:tcPr>
          <w:p w14:paraId="242B55F8" w14:textId="77777777" w:rsidR="00F253B2" w:rsidRDefault="00F253B2" w:rsidP="00F253B2">
            <w:pPr>
              <w:pStyle w:val="TAL"/>
              <w:rPr>
                <w:lang w:eastAsia="ko-KR"/>
              </w:rPr>
            </w:pPr>
            <w:r>
              <w:rPr>
                <w:lang w:eastAsia="ko-KR"/>
              </w:rPr>
              <w:t>WLAN performance information per UE ID of WLAN access points deployed in the Area of Interest.</w:t>
            </w:r>
          </w:p>
        </w:tc>
        <w:tc>
          <w:tcPr>
            <w:tcW w:w="2751" w:type="dxa"/>
            <w:gridSpan w:val="2"/>
          </w:tcPr>
          <w:p w14:paraId="2D8DDA37" w14:textId="77777777" w:rsidR="00F253B2" w:rsidRDefault="00F253B2" w:rsidP="00F253B2">
            <w:pPr>
              <w:pStyle w:val="TAL"/>
            </w:pPr>
            <w:r>
              <w:t>WlanPerformanceExt_AIML</w:t>
            </w:r>
          </w:p>
        </w:tc>
      </w:tr>
    </w:tbl>
    <w:p w14:paraId="339F6C6C" w14:textId="77777777" w:rsidR="00A10B25" w:rsidRDefault="00A10B25"/>
    <w:p w14:paraId="060F283B" w14:textId="77777777" w:rsidR="00A10B25" w:rsidRDefault="00A10B25">
      <w:r>
        <w:t xml:space="preserve">Table 5.1.6.1-2 specifies data types re-used by the Nnwdaf_EventsSubscription service based interface protocol from other specifications, including a reference to their respective specifications and when needed, a short description of their use within the Nnwdaf service based interface. </w:t>
      </w:r>
    </w:p>
    <w:p w14:paraId="0E870D5E" w14:textId="77777777" w:rsidR="00E06B31" w:rsidRDefault="00E06B31" w:rsidP="00E06B31">
      <w:pPr>
        <w:pStyle w:val="TH"/>
        <w:overflowPunct w:val="0"/>
        <w:autoSpaceDE w:val="0"/>
        <w:autoSpaceDN w:val="0"/>
        <w:adjustRightInd w:val="0"/>
        <w:textAlignment w:val="baseline"/>
        <w:rPr>
          <w:rFonts w:eastAsia="MS Mincho"/>
        </w:rPr>
      </w:pPr>
      <w:bookmarkStart w:id="5508" w:name="_Toc148522594"/>
      <w:bookmarkStart w:id="5509" w:name="_Toc136562369"/>
      <w:bookmarkStart w:id="5510" w:name="_Toc138754203"/>
      <w:bookmarkStart w:id="5511" w:name="_Toc145705690"/>
      <w:r>
        <w:rPr>
          <w:rFonts w:eastAsia="MS Mincho"/>
        </w:rPr>
        <w:lastRenderedPageBreak/>
        <w:t>Table 5.1.6.1-2: Nnwdaf_EventsSubscription re-used Data Types</w:t>
      </w:r>
    </w:p>
    <w:tbl>
      <w:tblPr>
        <w:tblW w:w="9831"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38"/>
        <w:gridCol w:w="2117"/>
        <w:gridCol w:w="2578"/>
        <w:gridCol w:w="2498"/>
      </w:tblGrid>
      <w:tr w:rsidR="00E06B31" w14:paraId="0660A588" w14:textId="77777777" w:rsidTr="007605E0">
        <w:trPr>
          <w:jc w:val="center"/>
        </w:trPr>
        <w:tc>
          <w:tcPr>
            <w:tcW w:w="2637" w:type="dxa"/>
            <w:shd w:val="clear" w:color="auto" w:fill="C0C0C0"/>
          </w:tcPr>
          <w:p w14:paraId="6E188FE2" w14:textId="77777777" w:rsidR="00E06B31" w:rsidRDefault="00E06B31" w:rsidP="008867D9">
            <w:pPr>
              <w:pStyle w:val="TAH"/>
            </w:pPr>
            <w:r>
              <w:lastRenderedPageBreak/>
              <w:t>Data type</w:t>
            </w:r>
          </w:p>
        </w:tc>
        <w:tc>
          <w:tcPr>
            <w:tcW w:w="2118" w:type="dxa"/>
            <w:shd w:val="clear" w:color="auto" w:fill="C0C0C0"/>
          </w:tcPr>
          <w:p w14:paraId="3F54CEE8" w14:textId="77777777" w:rsidR="00E06B31" w:rsidRDefault="00E06B31" w:rsidP="008867D9">
            <w:pPr>
              <w:pStyle w:val="TAH"/>
            </w:pPr>
            <w:r>
              <w:t>Reference</w:t>
            </w:r>
          </w:p>
        </w:tc>
        <w:tc>
          <w:tcPr>
            <w:tcW w:w="2578" w:type="dxa"/>
            <w:shd w:val="clear" w:color="auto" w:fill="C0C0C0"/>
          </w:tcPr>
          <w:p w14:paraId="33927339" w14:textId="77777777" w:rsidR="00E06B31" w:rsidRDefault="00E06B31" w:rsidP="008867D9">
            <w:pPr>
              <w:pStyle w:val="TAH"/>
            </w:pPr>
            <w:r>
              <w:t>Comments</w:t>
            </w:r>
          </w:p>
        </w:tc>
        <w:tc>
          <w:tcPr>
            <w:tcW w:w="2498" w:type="dxa"/>
            <w:shd w:val="clear" w:color="auto" w:fill="C0C0C0"/>
          </w:tcPr>
          <w:p w14:paraId="145B1C7D" w14:textId="77777777" w:rsidR="00E06B31" w:rsidRDefault="00E06B31" w:rsidP="008867D9">
            <w:pPr>
              <w:pStyle w:val="TAH"/>
            </w:pPr>
            <w:r>
              <w:t>Applicability</w:t>
            </w:r>
          </w:p>
        </w:tc>
      </w:tr>
      <w:tr w:rsidR="00F525B2" w14:paraId="1EDADA1C" w14:textId="77777777" w:rsidTr="007605E0">
        <w:trPr>
          <w:jc w:val="center"/>
        </w:trPr>
        <w:tc>
          <w:tcPr>
            <w:tcW w:w="2637" w:type="dxa"/>
          </w:tcPr>
          <w:p w14:paraId="44BAF5C6" w14:textId="77777777" w:rsidR="00F525B2" w:rsidRDefault="00F525B2" w:rsidP="00F525B2">
            <w:pPr>
              <w:pStyle w:val="TAL"/>
            </w:pPr>
            <w:r>
              <w:t>5Qi</w:t>
            </w:r>
          </w:p>
        </w:tc>
        <w:tc>
          <w:tcPr>
            <w:tcW w:w="2118" w:type="dxa"/>
          </w:tcPr>
          <w:p w14:paraId="53737C94" w14:textId="77777777" w:rsidR="00F525B2" w:rsidRDefault="00F525B2" w:rsidP="00F525B2">
            <w:pPr>
              <w:pStyle w:val="TAL"/>
              <w:rPr>
                <w:rFonts w:cs="Arial"/>
              </w:rPr>
            </w:pPr>
            <w:r>
              <w:rPr>
                <w:rFonts w:cs="Arial"/>
              </w:rPr>
              <w:t>3GPP TS 29.571 [8]</w:t>
            </w:r>
          </w:p>
        </w:tc>
        <w:tc>
          <w:tcPr>
            <w:tcW w:w="2578" w:type="dxa"/>
          </w:tcPr>
          <w:p w14:paraId="107F16D4" w14:textId="77777777" w:rsidR="00F525B2" w:rsidRDefault="00F525B2" w:rsidP="00F525B2">
            <w:pPr>
              <w:pStyle w:val="TAL"/>
              <w:rPr>
                <w:lang w:eastAsia="zh-CN"/>
              </w:rPr>
            </w:pPr>
            <w:r>
              <w:rPr>
                <w:lang w:eastAsia="zh-CN"/>
              </w:rPr>
              <w:t>Identifies the 5G QoS identifier</w:t>
            </w:r>
          </w:p>
        </w:tc>
        <w:tc>
          <w:tcPr>
            <w:tcW w:w="2498" w:type="dxa"/>
          </w:tcPr>
          <w:p w14:paraId="769B8D6B" w14:textId="77777777" w:rsidR="00F525B2" w:rsidRDefault="00F525B2" w:rsidP="00F525B2">
            <w:pPr>
              <w:pStyle w:val="TAL"/>
            </w:pPr>
            <w:r>
              <w:t>QoSSustainability</w:t>
            </w:r>
          </w:p>
          <w:p w14:paraId="488D29DF" w14:textId="77777777" w:rsidR="00F525B2" w:rsidRDefault="00F525B2" w:rsidP="00F525B2">
            <w:pPr>
              <w:pStyle w:val="TAL"/>
              <w:rPr>
                <w:lang w:eastAsia="zh-CN"/>
              </w:rPr>
            </w:pPr>
            <w:r>
              <w:rPr>
                <w:lang w:eastAsia="zh-CN"/>
              </w:rPr>
              <w:t>E2eDataVolTransTime</w:t>
            </w:r>
          </w:p>
          <w:p w14:paraId="6A8C2E58" w14:textId="77777777" w:rsidR="00F525B2" w:rsidRDefault="00F525B2" w:rsidP="00F525B2">
            <w:pPr>
              <w:pStyle w:val="TAL"/>
            </w:pPr>
            <w:r>
              <w:rPr>
                <w:lang w:eastAsia="zh-CN"/>
              </w:rPr>
              <w:t>QoSPolicyAssist</w:t>
            </w:r>
          </w:p>
        </w:tc>
      </w:tr>
      <w:tr w:rsidR="00F525B2" w14:paraId="470669AD" w14:textId="77777777" w:rsidTr="007605E0">
        <w:trPr>
          <w:jc w:val="center"/>
        </w:trPr>
        <w:tc>
          <w:tcPr>
            <w:tcW w:w="2637" w:type="dxa"/>
          </w:tcPr>
          <w:p w14:paraId="4CEE2C7A" w14:textId="77777777" w:rsidR="00F525B2" w:rsidRDefault="00F525B2" w:rsidP="00F525B2">
            <w:pPr>
              <w:pStyle w:val="TAL"/>
            </w:pPr>
            <w:r>
              <w:t>AccessType</w:t>
            </w:r>
          </w:p>
        </w:tc>
        <w:tc>
          <w:tcPr>
            <w:tcW w:w="2118" w:type="dxa"/>
          </w:tcPr>
          <w:p w14:paraId="682D2906" w14:textId="77777777" w:rsidR="00F525B2" w:rsidRDefault="00F525B2" w:rsidP="00F525B2">
            <w:pPr>
              <w:pStyle w:val="TAL"/>
              <w:rPr>
                <w:rFonts w:cs="Arial"/>
              </w:rPr>
            </w:pPr>
            <w:r>
              <w:rPr>
                <w:rFonts w:cs="Arial"/>
              </w:rPr>
              <w:t>3GPP TS 29.571 [8]</w:t>
            </w:r>
          </w:p>
        </w:tc>
        <w:tc>
          <w:tcPr>
            <w:tcW w:w="2578" w:type="dxa"/>
          </w:tcPr>
          <w:p w14:paraId="278BA9D1" w14:textId="77777777" w:rsidR="00F525B2" w:rsidRDefault="00F525B2" w:rsidP="00F525B2">
            <w:pPr>
              <w:pStyle w:val="TAL"/>
              <w:rPr>
                <w:lang w:eastAsia="zh-CN"/>
              </w:rPr>
            </w:pPr>
            <w:r>
              <w:rPr>
                <w:lang w:eastAsia="zh-CN"/>
              </w:rPr>
              <w:t>Identifies the access type.</w:t>
            </w:r>
          </w:p>
        </w:tc>
        <w:tc>
          <w:tcPr>
            <w:tcW w:w="2498" w:type="dxa"/>
          </w:tcPr>
          <w:p w14:paraId="33FE7A36" w14:textId="77777777" w:rsidR="00F525B2" w:rsidRDefault="00F525B2" w:rsidP="00F525B2">
            <w:pPr>
              <w:pStyle w:val="TAL"/>
            </w:pPr>
            <w:r>
              <w:t>ServiceExperienceExt2_eNA</w:t>
            </w:r>
          </w:p>
          <w:p w14:paraId="44A347CD" w14:textId="77777777" w:rsidR="00F525B2" w:rsidRDefault="00F525B2" w:rsidP="00F525B2">
            <w:pPr>
              <w:pStyle w:val="TAL"/>
            </w:pPr>
            <w:r>
              <w:t>E2eDataVolTransTime</w:t>
            </w:r>
          </w:p>
        </w:tc>
      </w:tr>
      <w:tr w:rsidR="00F525B2" w14:paraId="5632FE8B" w14:textId="77777777" w:rsidTr="007605E0">
        <w:trPr>
          <w:jc w:val="center"/>
        </w:trPr>
        <w:tc>
          <w:tcPr>
            <w:tcW w:w="2637" w:type="dxa"/>
          </w:tcPr>
          <w:p w14:paraId="5C10E265" w14:textId="77777777" w:rsidR="00F525B2" w:rsidRDefault="00F525B2" w:rsidP="00F525B2">
            <w:pPr>
              <w:pStyle w:val="TAL"/>
            </w:pPr>
            <w:r>
              <w:rPr>
                <w:rFonts w:hint="eastAsia"/>
                <w:lang w:eastAsia="zh-CN"/>
              </w:rPr>
              <w:t>A</w:t>
            </w:r>
            <w:r>
              <w:rPr>
                <w:lang w:eastAsia="zh-CN"/>
              </w:rPr>
              <w:t>ddrFqdn</w:t>
            </w:r>
          </w:p>
        </w:tc>
        <w:tc>
          <w:tcPr>
            <w:tcW w:w="2118" w:type="dxa"/>
          </w:tcPr>
          <w:p w14:paraId="0ECA20A6" w14:textId="77777777" w:rsidR="00F525B2" w:rsidRDefault="00F525B2" w:rsidP="00F525B2">
            <w:pPr>
              <w:pStyle w:val="TAL"/>
              <w:rPr>
                <w:rFonts w:cs="Arial"/>
              </w:rPr>
            </w:pPr>
            <w:r>
              <w:rPr>
                <w:rFonts w:cs="Arial"/>
              </w:rPr>
              <w:t>3GPP TS 29.517 [22]</w:t>
            </w:r>
          </w:p>
        </w:tc>
        <w:tc>
          <w:tcPr>
            <w:tcW w:w="2578" w:type="dxa"/>
          </w:tcPr>
          <w:p w14:paraId="7B533F9E" w14:textId="77777777" w:rsidR="00F525B2" w:rsidRDefault="00F525B2" w:rsidP="00F525B2">
            <w:pPr>
              <w:pStyle w:val="TAL"/>
              <w:rPr>
                <w:lang w:eastAsia="zh-CN"/>
              </w:rPr>
            </w:pPr>
            <w:r>
              <w:t>Represents the IP address or FQDN of the Application Server.</w:t>
            </w:r>
          </w:p>
        </w:tc>
        <w:tc>
          <w:tcPr>
            <w:tcW w:w="2498" w:type="dxa"/>
          </w:tcPr>
          <w:p w14:paraId="43BC7CE5" w14:textId="77777777" w:rsidR="00F525B2" w:rsidRDefault="00F525B2" w:rsidP="00F525B2">
            <w:pPr>
              <w:pStyle w:val="TAL"/>
            </w:pPr>
            <w:r>
              <w:rPr>
                <w:rFonts w:hint="eastAsia"/>
                <w:lang w:eastAsia="zh-CN"/>
              </w:rPr>
              <w:t>Dn</w:t>
            </w:r>
            <w:r>
              <w:t>Performance</w:t>
            </w:r>
          </w:p>
          <w:p w14:paraId="311037A2" w14:textId="77777777" w:rsidR="00F525B2" w:rsidRDefault="00F525B2" w:rsidP="00F525B2">
            <w:pPr>
              <w:pStyle w:val="TAL"/>
            </w:pPr>
            <w:r>
              <w:t>ServiceExperienceExt</w:t>
            </w:r>
          </w:p>
        </w:tc>
      </w:tr>
      <w:tr w:rsidR="00F525B2" w14:paraId="4A8D9CB8" w14:textId="77777777" w:rsidTr="007605E0">
        <w:trPr>
          <w:jc w:val="center"/>
        </w:trPr>
        <w:tc>
          <w:tcPr>
            <w:tcW w:w="2637" w:type="dxa"/>
          </w:tcPr>
          <w:p w14:paraId="7D5BF947" w14:textId="77777777" w:rsidR="00F525B2" w:rsidRDefault="00F525B2" w:rsidP="00F525B2">
            <w:pPr>
              <w:pStyle w:val="TAL"/>
            </w:pPr>
            <w:r>
              <w:t>ApplicationId</w:t>
            </w:r>
          </w:p>
        </w:tc>
        <w:tc>
          <w:tcPr>
            <w:tcW w:w="2118" w:type="dxa"/>
          </w:tcPr>
          <w:p w14:paraId="4C771061" w14:textId="77777777" w:rsidR="00F525B2" w:rsidRDefault="00F525B2" w:rsidP="00F525B2">
            <w:pPr>
              <w:pStyle w:val="TAL"/>
            </w:pPr>
            <w:r>
              <w:rPr>
                <w:rFonts w:cs="Arial"/>
              </w:rPr>
              <w:t>3GPP TS 29.571 [8]</w:t>
            </w:r>
          </w:p>
        </w:tc>
        <w:tc>
          <w:tcPr>
            <w:tcW w:w="2578" w:type="dxa"/>
          </w:tcPr>
          <w:p w14:paraId="0EBC2F2F" w14:textId="77777777" w:rsidR="00F525B2" w:rsidRDefault="00F525B2" w:rsidP="00F525B2">
            <w:pPr>
              <w:pStyle w:val="TAL"/>
            </w:pPr>
            <w:r>
              <w:rPr>
                <w:rFonts w:cs="Arial"/>
                <w:szCs w:val="18"/>
                <w:lang w:eastAsia="zh-CN"/>
              </w:rPr>
              <w:t>Identifies the application identifier.</w:t>
            </w:r>
          </w:p>
        </w:tc>
        <w:tc>
          <w:tcPr>
            <w:tcW w:w="2498" w:type="dxa"/>
          </w:tcPr>
          <w:p w14:paraId="646ADEA9" w14:textId="77777777" w:rsidR="00F525B2" w:rsidRDefault="00F525B2" w:rsidP="00F525B2">
            <w:pPr>
              <w:pStyle w:val="TAL"/>
            </w:pPr>
            <w:r>
              <w:t xml:space="preserve">ServiceExperience </w:t>
            </w:r>
          </w:p>
          <w:p w14:paraId="72ECE942" w14:textId="77777777" w:rsidR="00F525B2" w:rsidRDefault="00F525B2" w:rsidP="00F525B2">
            <w:pPr>
              <w:pStyle w:val="TAL"/>
            </w:pPr>
            <w:r>
              <w:t>UeCommunication</w:t>
            </w:r>
          </w:p>
          <w:p w14:paraId="05BD9073" w14:textId="77777777" w:rsidR="00F525B2" w:rsidRDefault="00F525B2" w:rsidP="00F525B2">
            <w:pPr>
              <w:pStyle w:val="TAL"/>
            </w:pPr>
            <w:r>
              <w:t>AbnormalBehaviour</w:t>
            </w:r>
          </w:p>
          <w:p w14:paraId="545B4ED6" w14:textId="77777777" w:rsidR="00F525B2" w:rsidRDefault="00F525B2" w:rsidP="00F525B2">
            <w:pPr>
              <w:pStyle w:val="TAL"/>
              <w:rPr>
                <w:rFonts w:cs="Arial"/>
                <w:szCs w:val="18"/>
              </w:rPr>
            </w:pPr>
            <w:r>
              <w:rPr>
                <w:rFonts w:cs="Arial"/>
                <w:szCs w:val="18"/>
              </w:rPr>
              <w:t>Dispersion</w:t>
            </w:r>
          </w:p>
          <w:p w14:paraId="4DEC5763" w14:textId="77777777" w:rsidR="00F525B2" w:rsidRDefault="00F525B2" w:rsidP="00F525B2">
            <w:pPr>
              <w:pStyle w:val="TAL"/>
              <w:rPr>
                <w:rFonts w:eastAsia="Batang"/>
              </w:rPr>
            </w:pPr>
            <w:r>
              <w:rPr>
                <w:rFonts w:eastAsia="Batang"/>
              </w:rPr>
              <w:t>DnPerformance</w:t>
            </w:r>
          </w:p>
          <w:p w14:paraId="7EE13D2A" w14:textId="77777777" w:rsidR="00F525B2" w:rsidRDefault="00F525B2" w:rsidP="00F525B2">
            <w:pPr>
              <w:pStyle w:val="TAL"/>
              <w:rPr>
                <w:rFonts w:eastAsia="Batang" w:cs="Arial"/>
                <w:szCs w:val="18"/>
              </w:rPr>
            </w:pPr>
            <w:r>
              <w:rPr>
                <w:rFonts w:eastAsia="Batang" w:cs="Arial"/>
                <w:szCs w:val="18"/>
              </w:rPr>
              <w:t>PduSesTraffic</w:t>
            </w:r>
          </w:p>
          <w:p w14:paraId="21F46A0C" w14:textId="77777777" w:rsidR="00F525B2" w:rsidRDefault="00F525B2" w:rsidP="00F525B2">
            <w:pPr>
              <w:pStyle w:val="TAL"/>
              <w:rPr>
                <w:lang w:eastAsia="zh-CN"/>
              </w:rPr>
            </w:pPr>
            <w:r w:rsidRPr="00043838">
              <w:rPr>
                <w:rFonts w:cs="Arial"/>
                <w:szCs w:val="18"/>
              </w:rPr>
              <w:t>E2eDataVolTransTime</w:t>
            </w:r>
          </w:p>
          <w:p w14:paraId="38951684" w14:textId="77777777" w:rsidR="00F525B2" w:rsidRDefault="00F525B2" w:rsidP="00F525B2">
            <w:pPr>
              <w:pStyle w:val="TAL"/>
              <w:rPr>
                <w:rFonts w:cs="Arial"/>
                <w:szCs w:val="18"/>
              </w:rPr>
            </w:pPr>
            <w:r>
              <w:rPr>
                <w:lang w:eastAsia="zh-CN"/>
              </w:rPr>
              <w:t>QoSPolicyAssist</w:t>
            </w:r>
          </w:p>
        </w:tc>
      </w:tr>
      <w:tr w:rsidR="00F525B2" w14:paraId="124574A0" w14:textId="77777777" w:rsidTr="007605E0">
        <w:trPr>
          <w:jc w:val="center"/>
        </w:trPr>
        <w:tc>
          <w:tcPr>
            <w:tcW w:w="2637" w:type="dxa"/>
          </w:tcPr>
          <w:p w14:paraId="35C225B9" w14:textId="77777777" w:rsidR="00F525B2" w:rsidRDefault="00F525B2" w:rsidP="00F525B2">
            <w:pPr>
              <w:pStyle w:val="TAL"/>
              <w:rPr>
                <w:lang w:eastAsia="zh-CN"/>
              </w:rPr>
            </w:pPr>
            <w:r>
              <w:rPr>
                <w:rFonts w:hint="eastAsia"/>
                <w:lang w:eastAsia="zh-CN"/>
              </w:rPr>
              <w:t>A</w:t>
            </w:r>
            <w:r>
              <w:rPr>
                <w:lang w:eastAsia="zh-CN"/>
              </w:rPr>
              <w:t>rfcnValueNR</w:t>
            </w:r>
          </w:p>
        </w:tc>
        <w:tc>
          <w:tcPr>
            <w:tcW w:w="2118" w:type="dxa"/>
          </w:tcPr>
          <w:p w14:paraId="742DECBE" w14:textId="77777777" w:rsidR="00F525B2" w:rsidRDefault="00F525B2" w:rsidP="00F525B2">
            <w:pPr>
              <w:pStyle w:val="TAL"/>
              <w:rPr>
                <w:rFonts w:cs="Arial"/>
              </w:rPr>
            </w:pPr>
            <w:r>
              <w:rPr>
                <w:rFonts w:cs="Arial"/>
              </w:rPr>
              <w:t>3GPP TS 29.571 [8]</w:t>
            </w:r>
          </w:p>
        </w:tc>
        <w:tc>
          <w:tcPr>
            <w:tcW w:w="2578" w:type="dxa"/>
          </w:tcPr>
          <w:p w14:paraId="20E01A41" w14:textId="77777777" w:rsidR="00F525B2" w:rsidRDefault="00F525B2" w:rsidP="00F525B2">
            <w:pPr>
              <w:pStyle w:val="TAL"/>
            </w:pPr>
            <w:r>
              <w:t>Integer value indicating the ARFCN applicable for a downlink, uplink or bi-directional (TDD) NR global frequency raster.</w:t>
            </w:r>
          </w:p>
          <w:p w14:paraId="505BF260" w14:textId="77777777" w:rsidR="00F525B2" w:rsidRDefault="00F525B2" w:rsidP="00F525B2">
            <w:pPr>
              <w:pStyle w:val="TAL"/>
              <w:rPr>
                <w:rFonts w:cs="Arial"/>
                <w:szCs w:val="18"/>
                <w:lang w:eastAsia="zh-CN"/>
              </w:rPr>
            </w:pPr>
          </w:p>
          <w:p w14:paraId="726E20A4" w14:textId="77777777" w:rsidR="00F525B2" w:rsidRDefault="00F525B2" w:rsidP="00F525B2">
            <w:pPr>
              <w:pStyle w:val="TAL"/>
              <w:rPr>
                <w:rFonts w:cs="Arial"/>
                <w:szCs w:val="18"/>
                <w:lang w:eastAsia="zh-CN"/>
              </w:rPr>
            </w:pPr>
            <w:r>
              <w:rPr>
                <w:szCs w:val="18"/>
              </w:rPr>
              <w:t>Minimum = 0. Maximum = 3279165.</w:t>
            </w:r>
          </w:p>
        </w:tc>
        <w:tc>
          <w:tcPr>
            <w:tcW w:w="2498" w:type="dxa"/>
          </w:tcPr>
          <w:p w14:paraId="05E736A2" w14:textId="77777777" w:rsidR="00F525B2" w:rsidRDefault="00F525B2" w:rsidP="00F525B2">
            <w:pPr>
              <w:pStyle w:val="TAL"/>
              <w:rPr>
                <w:rFonts w:cs="Arial"/>
                <w:szCs w:val="18"/>
              </w:rPr>
            </w:pPr>
            <w:r>
              <w:rPr>
                <w:rFonts w:eastAsia="等线" w:hint="eastAsia"/>
                <w:lang w:eastAsia="zh-CN"/>
              </w:rPr>
              <w:t>S</w:t>
            </w:r>
            <w:r>
              <w:rPr>
                <w:rFonts w:eastAsia="等线"/>
                <w:lang w:eastAsia="zh-CN"/>
              </w:rPr>
              <w:t>erviceExperienceExt</w:t>
            </w:r>
          </w:p>
          <w:p w14:paraId="12278C7E" w14:textId="77777777" w:rsidR="00F525B2" w:rsidRDefault="00F525B2" w:rsidP="00F525B2">
            <w:pPr>
              <w:pStyle w:val="TAL"/>
              <w:rPr>
                <w:rFonts w:eastAsia="等线"/>
                <w:lang w:eastAsia="zh-CN"/>
              </w:rPr>
            </w:pPr>
            <w:r>
              <w:rPr>
                <w:rFonts w:cs="Arial"/>
                <w:szCs w:val="18"/>
              </w:rPr>
              <w:t>QoSPolicyAssist</w:t>
            </w:r>
          </w:p>
        </w:tc>
      </w:tr>
      <w:tr w:rsidR="00F525B2" w14:paraId="1C73FA63" w14:textId="77777777" w:rsidTr="007605E0">
        <w:trPr>
          <w:jc w:val="center"/>
        </w:trPr>
        <w:tc>
          <w:tcPr>
            <w:tcW w:w="2637" w:type="dxa"/>
          </w:tcPr>
          <w:p w14:paraId="0D97D01B" w14:textId="77777777" w:rsidR="00F525B2" w:rsidRDefault="00F525B2" w:rsidP="00F525B2">
            <w:pPr>
              <w:pStyle w:val="TAL"/>
            </w:pPr>
            <w:r>
              <w:t>BitRate</w:t>
            </w:r>
          </w:p>
        </w:tc>
        <w:tc>
          <w:tcPr>
            <w:tcW w:w="2118" w:type="dxa"/>
          </w:tcPr>
          <w:p w14:paraId="14175535" w14:textId="77777777" w:rsidR="00F525B2" w:rsidRDefault="00F525B2" w:rsidP="00F525B2">
            <w:pPr>
              <w:pStyle w:val="TAL"/>
              <w:rPr>
                <w:rFonts w:cs="Arial"/>
              </w:rPr>
            </w:pPr>
            <w:r>
              <w:rPr>
                <w:rFonts w:cs="Arial"/>
              </w:rPr>
              <w:t>3GPP TS 29.571 [8]</w:t>
            </w:r>
          </w:p>
        </w:tc>
        <w:tc>
          <w:tcPr>
            <w:tcW w:w="2578" w:type="dxa"/>
          </w:tcPr>
          <w:p w14:paraId="5E2C8AF9" w14:textId="77777777" w:rsidR="00F525B2" w:rsidRDefault="00F525B2" w:rsidP="00F525B2">
            <w:pPr>
              <w:pStyle w:val="TAL"/>
              <w:rPr>
                <w:rFonts w:cs="Arial"/>
                <w:szCs w:val="18"/>
                <w:lang w:eastAsia="zh-CN"/>
              </w:rPr>
            </w:pPr>
            <w:r>
              <w:rPr>
                <w:rFonts w:cs="Arial"/>
                <w:szCs w:val="18"/>
                <w:lang w:eastAsia="zh-CN"/>
              </w:rPr>
              <w:t>String representing a bit rate that shall be formatted as follows:</w:t>
            </w:r>
          </w:p>
          <w:p w14:paraId="6DDC5F8D" w14:textId="77777777" w:rsidR="00F525B2" w:rsidRDefault="00F525B2" w:rsidP="00F525B2">
            <w:pPr>
              <w:pStyle w:val="TAL"/>
              <w:rPr>
                <w:rFonts w:cs="Arial"/>
                <w:szCs w:val="18"/>
                <w:lang w:eastAsia="zh-CN"/>
              </w:rPr>
            </w:pPr>
          </w:p>
          <w:p w14:paraId="3A4A900C" w14:textId="77777777" w:rsidR="00F525B2" w:rsidRDefault="00F525B2" w:rsidP="00F525B2">
            <w:pPr>
              <w:pStyle w:val="TAL"/>
              <w:rPr>
                <w:rFonts w:cs="Arial"/>
                <w:szCs w:val="18"/>
                <w:lang w:eastAsia="zh-CN"/>
              </w:rPr>
            </w:pPr>
            <w:r>
              <w:rPr>
                <w:rFonts w:cs="Arial"/>
                <w:szCs w:val="18"/>
                <w:lang w:eastAsia="zh-CN"/>
              </w:rPr>
              <w:t>pattern: "^\d+(\.\d+)? (bps|Kbps|Mbps|Gbps|Tbps)$"</w:t>
            </w:r>
          </w:p>
          <w:p w14:paraId="5984DE85" w14:textId="77777777" w:rsidR="00F525B2" w:rsidRDefault="00F525B2" w:rsidP="00F525B2">
            <w:pPr>
              <w:pStyle w:val="TAL"/>
              <w:rPr>
                <w:rFonts w:cs="Arial"/>
                <w:szCs w:val="18"/>
                <w:lang w:eastAsia="zh-CN"/>
              </w:rPr>
            </w:pPr>
            <w:r>
              <w:rPr>
                <w:rFonts w:cs="Arial"/>
                <w:szCs w:val="18"/>
                <w:lang w:eastAsia="zh-CN"/>
              </w:rPr>
              <w:t xml:space="preserve">Examples: </w:t>
            </w:r>
          </w:p>
          <w:p w14:paraId="59597D11" w14:textId="77777777" w:rsidR="00F525B2" w:rsidRDefault="00F525B2" w:rsidP="00F525B2">
            <w:pPr>
              <w:pStyle w:val="TAL"/>
              <w:rPr>
                <w:rFonts w:cs="Arial"/>
                <w:szCs w:val="18"/>
                <w:lang w:eastAsia="zh-CN"/>
              </w:rPr>
            </w:pPr>
            <w:r>
              <w:rPr>
                <w:rFonts w:cs="Arial"/>
                <w:szCs w:val="18"/>
                <w:lang w:eastAsia="zh-CN"/>
              </w:rPr>
              <w:t>"125 Mbps", "0.125 Gbps", "125000 Kbps".</w:t>
            </w:r>
          </w:p>
        </w:tc>
        <w:tc>
          <w:tcPr>
            <w:tcW w:w="2498" w:type="dxa"/>
          </w:tcPr>
          <w:p w14:paraId="591FCC77" w14:textId="77777777" w:rsidR="00F525B2" w:rsidRDefault="00F525B2" w:rsidP="00F525B2">
            <w:pPr>
              <w:pStyle w:val="TAL"/>
            </w:pPr>
            <w:r>
              <w:t>ServiceExperience</w:t>
            </w:r>
          </w:p>
          <w:p w14:paraId="33F3E286" w14:textId="77777777" w:rsidR="00F525B2" w:rsidRDefault="00F525B2" w:rsidP="00F525B2">
            <w:pPr>
              <w:pStyle w:val="TAL"/>
            </w:pPr>
            <w:r>
              <w:t>QoSSustainability</w:t>
            </w:r>
          </w:p>
          <w:p w14:paraId="2E45FABC" w14:textId="77777777" w:rsidR="00F525B2" w:rsidRDefault="00F525B2" w:rsidP="00F525B2">
            <w:pPr>
              <w:pStyle w:val="TAL"/>
            </w:pPr>
            <w:r>
              <w:t>WlanPerformance</w:t>
            </w:r>
          </w:p>
          <w:p w14:paraId="4DB0BFC9" w14:textId="77777777" w:rsidR="00F525B2" w:rsidRDefault="00F525B2" w:rsidP="00F525B2">
            <w:pPr>
              <w:pStyle w:val="TAL"/>
            </w:pPr>
            <w:r>
              <w:rPr>
                <w:rFonts w:eastAsia="Batang"/>
              </w:rPr>
              <w:t>DnPerformance</w:t>
            </w:r>
          </w:p>
          <w:p w14:paraId="10BA526C" w14:textId="77777777" w:rsidR="00F525B2" w:rsidRDefault="00F525B2" w:rsidP="00F525B2">
            <w:pPr>
              <w:pStyle w:val="TAL"/>
              <w:rPr>
                <w:lang w:eastAsia="zh-CN"/>
              </w:rPr>
            </w:pPr>
            <w:r>
              <w:rPr>
                <w:lang w:eastAsia="zh-CN"/>
              </w:rPr>
              <w:t>E2eDataVolTransTime</w:t>
            </w:r>
          </w:p>
          <w:p w14:paraId="56F8A8E3" w14:textId="77777777" w:rsidR="00F525B2" w:rsidRDefault="00F525B2" w:rsidP="00F525B2">
            <w:pPr>
              <w:pStyle w:val="TAL"/>
            </w:pPr>
            <w:r>
              <w:rPr>
                <w:lang w:eastAsia="zh-CN"/>
              </w:rPr>
              <w:t>QoSPolicyAssist</w:t>
            </w:r>
          </w:p>
        </w:tc>
      </w:tr>
      <w:tr w:rsidR="00F525B2" w14:paraId="73DB7E24" w14:textId="77777777" w:rsidTr="007605E0">
        <w:trPr>
          <w:jc w:val="center"/>
        </w:trPr>
        <w:tc>
          <w:tcPr>
            <w:tcW w:w="2637" w:type="dxa"/>
          </w:tcPr>
          <w:p w14:paraId="28596D5A" w14:textId="77777777" w:rsidR="00F525B2" w:rsidRDefault="00F525B2" w:rsidP="00F525B2">
            <w:pPr>
              <w:pStyle w:val="TAL"/>
            </w:pPr>
            <w:r>
              <w:t>DateTime</w:t>
            </w:r>
          </w:p>
        </w:tc>
        <w:tc>
          <w:tcPr>
            <w:tcW w:w="2118" w:type="dxa"/>
          </w:tcPr>
          <w:p w14:paraId="09C4D0D1" w14:textId="77777777" w:rsidR="00F525B2" w:rsidRDefault="00F525B2" w:rsidP="00F525B2">
            <w:pPr>
              <w:pStyle w:val="TAL"/>
            </w:pPr>
            <w:r>
              <w:rPr>
                <w:rFonts w:cs="Arial"/>
              </w:rPr>
              <w:t>3GPP TS 29.571 [8]</w:t>
            </w:r>
          </w:p>
        </w:tc>
        <w:tc>
          <w:tcPr>
            <w:tcW w:w="2578" w:type="dxa"/>
          </w:tcPr>
          <w:p w14:paraId="5E8BA177" w14:textId="77777777" w:rsidR="00F525B2" w:rsidRDefault="00F525B2" w:rsidP="00F525B2">
            <w:pPr>
              <w:pStyle w:val="TAL"/>
            </w:pPr>
            <w:r>
              <w:rPr>
                <w:rFonts w:cs="Arial"/>
                <w:szCs w:val="18"/>
                <w:lang w:eastAsia="zh-CN"/>
              </w:rPr>
              <w:t>Identifies the time.</w:t>
            </w:r>
          </w:p>
        </w:tc>
        <w:tc>
          <w:tcPr>
            <w:tcW w:w="2498" w:type="dxa"/>
          </w:tcPr>
          <w:p w14:paraId="2DBE2D45" w14:textId="77777777" w:rsidR="00F525B2" w:rsidRDefault="00F525B2" w:rsidP="00F525B2">
            <w:pPr>
              <w:pStyle w:val="TAL"/>
              <w:rPr>
                <w:rFonts w:cs="Arial"/>
                <w:szCs w:val="18"/>
              </w:rPr>
            </w:pPr>
          </w:p>
        </w:tc>
      </w:tr>
      <w:tr w:rsidR="00F525B2" w14:paraId="764A4B6A" w14:textId="77777777" w:rsidTr="007605E0">
        <w:trPr>
          <w:jc w:val="center"/>
        </w:trPr>
        <w:tc>
          <w:tcPr>
            <w:tcW w:w="2637" w:type="dxa"/>
          </w:tcPr>
          <w:p w14:paraId="46830F42" w14:textId="77777777" w:rsidR="00F525B2" w:rsidRDefault="00F525B2" w:rsidP="00F525B2">
            <w:pPr>
              <w:pStyle w:val="TAL"/>
            </w:pPr>
            <w:r>
              <w:t>Dnai</w:t>
            </w:r>
          </w:p>
        </w:tc>
        <w:tc>
          <w:tcPr>
            <w:tcW w:w="2118" w:type="dxa"/>
          </w:tcPr>
          <w:p w14:paraId="2CED2B46" w14:textId="77777777" w:rsidR="00F525B2" w:rsidRDefault="00F525B2" w:rsidP="00F525B2">
            <w:pPr>
              <w:pStyle w:val="TAL"/>
              <w:rPr>
                <w:rFonts w:cs="Arial"/>
              </w:rPr>
            </w:pPr>
            <w:r>
              <w:t>3GPP TS 29.571 [8]</w:t>
            </w:r>
          </w:p>
        </w:tc>
        <w:tc>
          <w:tcPr>
            <w:tcW w:w="2578" w:type="dxa"/>
          </w:tcPr>
          <w:p w14:paraId="21A1DD2B" w14:textId="77777777" w:rsidR="00F525B2" w:rsidRDefault="00F525B2" w:rsidP="00F525B2">
            <w:pPr>
              <w:pStyle w:val="TAL"/>
              <w:rPr>
                <w:rFonts w:cs="Arial"/>
                <w:szCs w:val="18"/>
                <w:lang w:eastAsia="zh-CN"/>
              </w:rPr>
            </w:pPr>
            <w:r>
              <w:t>Identifies a user plane access to one or more DN(s).</w:t>
            </w:r>
          </w:p>
        </w:tc>
        <w:tc>
          <w:tcPr>
            <w:tcW w:w="2498" w:type="dxa"/>
          </w:tcPr>
          <w:p w14:paraId="59AE9210" w14:textId="77777777" w:rsidR="00F525B2" w:rsidRDefault="00F525B2" w:rsidP="00F525B2">
            <w:pPr>
              <w:pStyle w:val="TAL"/>
            </w:pPr>
            <w:r>
              <w:t>ServiceExperience</w:t>
            </w:r>
          </w:p>
          <w:p w14:paraId="192648AE" w14:textId="77777777" w:rsidR="00F525B2" w:rsidRDefault="00F525B2" w:rsidP="00F525B2">
            <w:pPr>
              <w:pStyle w:val="TAL"/>
              <w:rPr>
                <w:rFonts w:eastAsia="Batang"/>
              </w:rPr>
            </w:pPr>
            <w:r>
              <w:rPr>
                <w:rFonts w:eastAsia="Batang"/>
              </w:rPr>
              <w:t>DnPerformance</w:t>
            </w:r>
          </w:p>
          <w:p w14:paraId="6CBEFF05" w14:textId="77777777" w:rsidR="00F525B2" w:rsidRDefault="00F525B2" w:rsidP="001A238E">
            <w:pPr>
              <w:pStyle w:val="TAL"/>
            </w:pPr>
            <w:r>
              <w:rPr>
                <w:rFonts w:eastAsia="Batang"/>
              </w:rPr>
              <w:t>QoSPolicyAssist</w:t>
            </w:r>
          </w:p>
        </w:tc>
      </w:tr>
      <w:tr w:rsidR="00F525B2" w14:paraId="60F7B8EE" w14:textId="77777777" w:rsidTr="007605E0">
        <w:trPr>
          <w:jc w:val="center"/>
        </w:trPr>
        <w:tc>
          <w:tcPr>
            <w:tcW w:w="2637" w:type="dxa"/>
          </w:tcPr>
          <w:p w14:paraId="1B3C113A" w14:textId="77777777" w:rsidR="00F525B2" w:rsidRDefault="00F525B2" w:rsidP="00F525B2">
            <w:pPr>
              <w:pStyle w:val="TAL"/>
            </w:pPr>
            <w:r>
              <w:rPr>
                <w:rFonts w:hint="eastAsia"/>
              </w:rPr>
              <w:t>D</w:t>
            </w:r>
            <w:r>
              <w:t>nn</w:t>
            </w:r>
          </w:p>
        </w:tc>
        <w:tc>
          <w:tcPr>
            <w:tcW w:w="2118" w:type="dxa"/>
          </w:tcPr>
          <w:p w14:paraId="6A6DB150" w14:textId="77777777" w:rsidR="00F525B2" w:rsidRDefault="00F525B2" w:rsidP="00F525B2">
            <w:pPr>
              <w:pStyle w:val="TAL"/>
            </w:pPr>
            <w:r>
              <w:rPr>
                <w:rFonts w:cs="Arial"/>
              </w:rPr>
              <w:t>3GPP TS 29.571 [8]</w:t>
            </w:r>
          </w:p>
        </w:tc>
        <w:tc>
          <w:tcPr>
            <w:tcW w:w="2578" w:type="dxa"/>
          </w:tcPr>
          <w:p w14:paraId="0D3842B3" w14:textId="77777777" w:rsidR="00F525B2" w:rsidRDefault="00F525B2" w:rsidP="00F525B2">
            <w:pPr>
              <w:pStyle w:val="TAL"/>
            </w:pPr>
            <w:r>
              <w:rPr>
                <w:rFonts w:cs="Arial"/>
                <w:szCs w:val="18"/>
                <w:lang w:eastAsia="zh-CN"/>
              </w:rPr>
              <w:t>Identifies the DNN.</w:t>
            </w:r>
          </w:p>
        </w:tc>
        <w:tc>
          <w:tcPr>
            <w:tcW w:w="2498" w:type="dxa"/>
          </w:tcPr>
          <w:p w14:paraId="42639170" w14:textId="77777777" w:rsidR="00F525B2" w:rsidRDefault="00F525B2" w:rsidP="00F525B2">
            <w:pPr>
              <w:pStyle w:val="TAL"/>
            </w:pPr>
            <w:r>
              <w:t>ServiceExperience</w:t>
            </w:r>
          </w:p>
          <w:p w14:paraId="00CF4950" w14:textId="77777777" w:rsidR="00F525B2" w:rsidRDefault="00F525B2" w:rsidP="00F525B2">
            <w:pPr>
              <w:pStyle w:val="TAL"/>
            </w:pPr>
            <w:r>
              <w:t>AbnormalBehaviour</w:t>
            </w:r>
          </w:p>
          <w:p w14:paraId="2B3C2A73" w14:textId="77777777" w:rsidR="00F525B2" w:rsidRDefault="00F525B2" w:rsidP="00F525B2">
            <w:pPr>
              <w:pStyle w:val="TAL"/>
              <w:rPr>
                <w:rFonts w:cs="Arial"/>
                <w:szCs w:val="18"/>
              </w:rPr>
            </w:pPr>
            <w:r>
              <w:rPr>
                <w:rFonts w:cs="Arial"/>
                <w:szCs w:val="18"/>
              </w:rPr>
              <w:t>UeCommunication</w:t>
            </w:r>
          </w:p>
          <w:p w14:paraId="3E3553F2" w14:textId="77777777" w:rsidR="00F525B2" w:rsidRDefault="00F525B2" w:rsidP="00F525B2">
            <w:pPr>
              <w:pStyle w:val="TAL"/>
              <w:rPr>
                <w:rFonts w:eastAsia="Batang"/>
              </w:rPr>
            </w:pPr>
            <w:r>
              <w:rPr>
                <w:rFonts w:eastAsia="Batang"/>
              </w:rPr>
              <w:t>DnPerformance</w:t>
            </w:r>
          </w:p>
          <w:p w14:paraId="1EE24BE9" w14:textId="77777777" w:rsidR="00F525B2" w:rsidRDefault="00F525B2" w:rsidP="00F525B2">
            <w:pPr>
              <w:pStyle w:val="TAL"/>
              <w:rPr>
                <w:rFonts w:eastAsia="Batang" w:cs="Arial"/>
                <w:szCs w:val="18"/>
              </w:rPr>
            </w:pPr>
            <w:r>
              <w:rPr>
                <w:rFonts w:eastAsia="Batang" w:cs="Arial" w:hint="eastAsia"/>
                <w:szCs w:val="18"/>
              </w:rPr>
              <w:t>S</w:t>
            </w:r>
            <w:r>
              <w:rPr>
                <w:rFonts w:eastAsia="Batang" w:cs="Arial"/>
                <w:szCs w:val="18"/>
              </w:rPr>
              <w:t>MCCE</w:t>
            </w:r>
          </w:p>
          <w:p w14:paraId="6A86F578" w14:textId="77777777" w:rsidR="00F525B2" w:rsidRDefault="00F525B2" w:rsidP="00F525B2">
            <w:pPr>
              <w:pStyle w:val="TAL"/>
            </w:pPr>
            <w:r>
              <w:rPr>
                <w:rFonts w:cs="Arial"/>
                <w:szCs w:val="18"/>
              </w:rPr>
              <w:t>PduSesTraffic</w:t>
            </w:r>
          </w:p>
          <w:p w14:paraId="5683F5E7" w14:textId="77777777" w:rsidR="00F525B2" w:rsidRDefault="00F525B2" w:rsidP="00F525B2">
            <w:pPr>
              <w:pStyle w:val="TAL"/>
              <w:rPr>
                <w:lang w:eastAsia="zh-CN"/>
              </w:rPr>
            </w:pPr>
            <w:r>
              <w:rPr>
                <w:lang w:eastAsia="zh-CN"/>
              </w:rPr>
              <w:t>E2eDataVolTransTime</w:t>
            </w:r>
          </w:p>
          <w:p w14:paraId="1F7D7BAE" w14:textId="77777777" w:rsidR="00F525B2" w:rsidRDefault="00F525B2" w:rsidP="00F525B2">
            <w:pPr>
              <w:pStyle w:val="TAL"/>
              <w:rPr>
                <w:lang w:eastAsia="zh-CN"/>
              </w:rPr>
            </w:pPr>
            <w:r>
              <w:rPr>
                <w:lang w:eastAsia="zh-CN"/>
              </w:rPr>
              <w:t>RelativeProximity</w:t>
            </w:r>
          </w:p>
          <w:p w14:paraId="2BFE971B" w14:textId="77777777" w:rsidR="00F525B2" w:rsidRDefault="00F525B2" w:rsidP="00F525B2">
            <w:pPr>
              <w:pStyle w:val="TAL"/>
              <w:rPr>
                <w:rFonts w:cs="Arial"/>
                <w:szCs w:val="18"/>
              </w:rPr>
            </w:pPr>
            <w:r>
              <w:rPr>
                <w:lang w:eastAsia="zh-CN"/>
              </w:rPr>
              <w:t>QoSPolicyAssist</w:t>
            </w:r>
          </w:p>
        </w:tc>
      </w:tr>
      <w:tr w:rsidR="00F525B2" w14:paraId="09E52B32" w14:textId="77777777" w:rsidTr="007605E0">
        <w:trPr>
          <w:jc w:val="center"/>
        </w:trPr>
        <w:tc>
          <w:tcPr>
            <w:tcW w:w="2637" w:type="dxa"/>
          </w:tcPr>
          <w:p w14:paraId="1A7E5F4D" w14:textId="77777777" w:rsidR="00F525B2" w:rsidRDefault="00F525B2" w:rsidP="00F525B2">
            <w:pPr>
              <w:pStyle w:val="TAL"/>
            </w:pPr>
            <w:r>
              <w:t>DomainNameProtocol</w:t>
            </w:r>
          </w:p>
        </w:tc>
        <w:tc>
          <w:tcPr>
            <w:tcW w:w="2118" w:type="dxa"/>
          </w:tcPr>
          <w:p w14:paraId="7D1AC278" w14:textId="77777777" w:rsidR="00F525B2" w:rsidRDefault="00F525B2" w:rsidP="00F525B2">
            <w:pPr>
              <w:pStyle w:val="TAL"/>
              <w:rPr>
                <w:rFonts w:cs="Arial"/>
              </w:rPr>
            </w:pPr>
            <w:r>
              <w:rPr>
                <w:rFonts w:cs="Arial"/>
              </w:rPr>
              <w:t>3GPP TS 29.122 [19]</w:t>
            </w:r>
          </w:p>
        </w:tc>
        <w:tc>
          <w:tcPr>
            <w:tcW w:w="2578" w:type="dxa"/>
          </w:tcPr>
          <w:p w14:paraId="06A369F6" w14:textId="77777777" w:rsidR="00F525B2" w:rsidRDefault="00F525B2" w:rsidP="00F525B2">
            <w:pPr>
              <w:pStyle w:val="TAL"/>
              <w:rPr>
                <w:rFonts w:cs="Arial"/>
                <w:szCs w:val="18"/>
                <w:lang w:eastAsia="zh-CN"/>
              </w:rPr>
            </w:pPr>
            <w:r>
              <w:rPr>
                <w:rFonts w:cs="Arial"/>
                <w:szCs w:val="18"/>
                <w:lang w:eastAsia="zh-CN"/>
              </w:rPr>
              <w:t>Indicates the additional protocol and protocol field for domain names to be matched.</w:t>
            </w:r>
          </w:p>
        </w:tc>
        <w:tc>
          <w:tcPr>
            <w:tcW w:w="2498" w:type="dxa"/>
          </w:tcPr>
          <w:p w14:paraId="4624B94A" w14:textId="77777777" w:rsidR="00F525B2" w:rsidRDefault="00F525B2" w:rsidP="00F525B2">
            <w:pPr>
              <w:pStyle w:val="TAL"/>
              <w:rPr>
                <w:rFonts w:eastAsia="Batang" w:cs="Arial"/>
                <w:szCs w:val="18"/>
              </w:rPr>
            </w:pPr>
            <w:r>
              <w:t>PfdDetermination</w:t>
            </w:r>
          </w:p>
        </w:tc>
      </w:tr>
      <w:tr w:rsidR="00F525B2" w14:paraId="101DB151" w14:textId="77777777" w:rsidTr="007605E0">
        <w:trPr>
          <w:jc w:val="center"/>
        </w:trPr>
        <w:tc>
          <w:tcPr>
            <w:tcW w:w="2637" w:type="dxa"/>
          </w:tcPr>
          <w:p w14:paraId="37B6D270" w14:textId="77777777" w:rsidR="00F525B2" w:rsidRDefault="00F525B2" w:rsidP="00F525B2">
            <w:pPr>
              <w:pStyle w:val="TAL"/>
            </w:pPr>
            <w:r>
              <w:t>DurationSec</w:t>
            </w:r>
          </w:p>
        </w:tc>
        <w:tc>
          <w:tcPr>
            <w:tcW w:w="2118" w:type="dxa"/>
          </w:tcPr>
          <w:p w14:paraId="7BB3F225" w14:textId="77777777" w:rsidR="00F525B2" w:rsidRDefault="00F525B2" w:rsidP="00F525B2">
            <w:pPr>
              <w:pStyle w:val="TAL"/>
            </w:pPr>
            <w:r>
              <w:t>3GPP TS 29.571 [8]</w:t>
            </w:r>
          </w:p>
        </w:tc>
        <w:tc>
          <w:tcPr>
            <w:tcW w:w="2578" w:type="dxa"/>
          </w:tcPr>
          <w:p w14:paraId="415D5F04" w14:textId="77777777" w:rsidR="00F525B2" w:rsidRDefault="00F525B2" w:rsidP="00F525B2">
            <w:pPr>
              <w:pStyle w:val="TAL"/>
            </w:pPr>
            <w:r>
              <w:t>Represents a time duration expressed in units of seconds.</w:t>
            </w:r>
          </w:p>
        </w:tc>
        <w:tc>
          <w:tcPr>
            <w:tcW w:w="2498" w:type="dxa"/>
          </w:tcPr>
          <w:p w14:paraId="3612F3BF" w14:textId="77777777" w:rsidR="00F525B2" w:rsidRDefault="00F525B2" w:rsidP="00F525B2">
            <w:pPr>
              <w:pStyle w:val="TAL"/>
              <w:rPr>
                <w:rFonts w:cs="Arial"/>
                <w:szCs w:val="18"/>
              </w:rPr>
            </w:pPr>
          </w:p>
        </w:tc>
      </w:tr>
      <w:tr w:rsidR="00F525B2" w14:paraId="68836C77" w14:textId="77777777" w:rsidTr="007605E0">
        <w:trPr>
          <w:jc w:val="center"/>
        </w:trPr>
        <w:tc>
          <w:tcPr>
            <w:tcW w:w="2637" w:type="dxa"/>
          </w:tcPr>
          <w:p w14:paraId="5E283C7A" w14:textId="77777777" w:rsidR="00F525B2" w:rsidRDefault="00F525B2" w:rsidP="00F525B2">
            <w:pPr>
              <w:pStyle w:val="TAL"/>
            </w:pPr>
            <w:r>
              <w:t>EthFlowDescription</w:t>
            </w:r>
          </w:p>
        </w:tc>
        <w:tc>
          <w:tcPr>
            <w:tcW w:w="2118" w:type="dxa"/>
          </w:tcPr>
          <w:p w14:paraId="48A4FC2C" w14:textId="77777777" w:rsidR="00F525B2" w:rsidRDefault="00F525B2" w:rsidP="00F525B2">
            <w:pPr>
              <w:pStyle w:val="TAL"/>
            </w:pPr>
            <w:r>
              <w:t>3GPP TS 29.514 [21]</w:t>
            </w:r>
          </w:p>
        </w:tc>
        <w:tc>
          <w:tcPr>
            <w:tcW w:w="2578" w:type="dxa"/>
          </w:tcPr>
          <w:p w14:paraId="7C6AF461" w14:textId="77777777" w:rsidR="00F525B2" w:rsidRDefault="00F525B2" w:rsidP="00F525B2">
            <w:pPr>
              <w:pStyle w:val="TAL"/>
            </w:pPr>
            <w:r>
              <w:t>Represents an ethernet flow description.</w:t>
            </w:r>
          </w:p>
        </w:tc>
        <w:tc>
          <w:tcPr>
            <w:tcW w:w="2498" w:type="dxa"/>
          </w:tcPr>
          <w:p w14:paraId="2E2E299F" w14:textId="77777777" w:rsidR="00F525B2" w:rsidRDefault="00F525B2" w:rsidP="00F525B2">
            <w:pPr>
              <w:pStyle w:val="TAL"/>
              <w:rPr>
                <w:rFonts w:cs="Arial"/>
                <w:szCs w:val="18"/>
              </w:rPr>
            </w:pPr>
            <w:r>
              <w:rPr>
                <w:rFonts w:cs="Arial"/>
                <w:szCs w:val="18"/>
              </w:rPr>
              <w:t>UeCommunication</w:t>
            </w:r>
          </w:p>
          <w:p w14:paraId="3BFF8052" w14:textId="77777777" w:rsidR="00F525B2" w:rsidRDefault="00F525B2" w:rsidP="00F525B2">
            <w:pPr>
              <w:pStyle w:val="TAL"/>
              <w:rPr>
                <w:lang w:eastAsia="zh-CN"/>
              </w:rPr>
            </w:pPr>
            <w:r>
              <w:rPr>
                <w:rFonts w:cs="Arial"/>
                <w:szCs w:val="18"/>
              </w:rPr>
              <w:t>AbnormalBehaviour</w:t>
            </w:r>
          </w:p>
          <w:p w14:paraId="53EA8F2C" w14:textId="77777777" w:rsidR="00F525B2" w:rsidRDefault="00F525B2" w:rsidP="00F525B2">
            <w:pPr>
              <w:pStyle w:val="TAL"/>
              <w:rPr>
                <w:rFonts w:cs="Arial"/>
                <w:szCs w:val="18"/>
              </w:rPr>
            </w:pPr>
            <w:r>
              <w:rPr>
                <w:lang w:eastAsia="zh-CN"/>
              </w:rPr>
              <w:t>QoSPolicyAssist</w:t>
            </w:r>
          </w:p>
        </w:tc>
      </w:tr>
      <w:tr w:rsidR="00F525B2" w14:paraId="1033E8CE" w14:textId="77777777" w:rsidTr="007605E0">
        <w:trPr>
          <w:jc w:val="center"/>
        </w:trPr>
        <w:tc>
          <w:tcPr>
            <w:tcW w:w="2637" w:type="dxa"/>
          </w:tcPr>
          <w:p w14:paraId="14E4F723" w14:textId="77777777" w:rsidR="00F525B2" w:rsidRDefault="00F525B2" w:rsidP="00F525B2">
            <w:pPr>
              <w:pStyle w:val="TAL"/>
            </w:pPr>
            <w:r>
              <w:t>ExpectedUeBehaviourData</w:t>
            </w:r>
          </w:p>
        </w:tc>
        <w:tc>
          <w:tcPr>
            <w:tcW w:w="2118" w:type="dxa"/>
          </w:tcPr>
          <w:p w14:paraId="2EE9AE64" w14:textId="77777777" w:rsidR="00F525B2" w:rsidRDefault="00F525B2" w:rsidP="00F525B2">
            <w:pPr>
              <w:pStyle w:val="TAL"/>
            </w:pPr>
            <w:r>
              <w:t>3GPP TS 29.503 [23]</w:t>
            </w:r>
          </w:p>
        </w:tc>
        <w:tc>
          <w:tcPr>
            <w:tcW w:w="2578" w:type="dxa"/>
          </w:tcPr>
          <w:p w14:paraId="55D40067" w14:textId="77777777" w:rsidR="00F525B2" w:rsidRDefault="00F525B2" w:rsidP="00F525B2">
            <w:pPr>
              <w:pStyle w:val="TAL"/>
            </w:pPr>
            <w:r>
              <w:t>Represents expected UE behaviour data.</w:t>
            </w:r>
          </w:p>
        </w:tc>
        <w:tc>
          <w:tcPr>
            <w:tcW w:w="2498" w:type="dxa"/>
          </w:tcPr>
          <w:p w14:paraId="41205399" w14:textId="77777777" w:rsidR="00F525B2" w:rsidRDefault="00F525B2" w:rsidP="00F525B2">
            <w:pPr>
              <w:pStyle w:val="TAL"/>
              <w:rPr>
                <w:rFonts w:cs="Arial"/>
                <w:szCs w:val="18"/>
              </w:rPr>
            </w:pPr>
            <w:r>
              <w:t>AbnormalBehaviour</w:t>
            </w:r>
          </w:p>
        </w:tc>
      </w:tr>
      <w:tr w:rsidR="00F525B2" w14:paraId="43F96502" w14:textId="77777777" w:rsidTr="007605E0">
        <w:trPr>
          <w:jc w:val="center"/>
        </w:trPr>
        <w:tc>
          <w:tcPr>
            <w:tcW w:w="2637" w:type="dxa"/>
          </w:tcPr>
          <w:p w14:paraId="3276E09B" w14:textId="77777777" w:rsidR="00F525B2" w:rsidRDefault="00F525B2" w:rsidP="00F525B2">
            <w:pPr>
              <w:pStyle w:val="TAL"/>
            </w:pPr>
            <w:r>
              <w:t>Float</w:t>
            </w:r>
          </w:p>
        </w:tc>
        <w:tc>
          <w:tcPr>
            <w:tcW w:w="2118" w:type="dxa"/>
          </w:tcPr>
          <w:p w14:paraId="159375E0" w14:textId="77777777" w:rsidR="00F525B2" w:rsidRDefault="00F525B2" w:rsidP="00F525B2">
            <w:pPr>
              <w:pStyle w:val="TAL"/>
            </w:pPr>
            <w:r>
              <w:t>3GPP TS 29.571 [8]</w:t>
            </w:r>
          </w:p>
        </w:tc>
        <w:tc>
          <w:tcPr>
            <w:tcW w:w="2578" w:type="dxa"/>
          </w:tcPr>
          <w:p w14:paraId="551DC480" w14:textId="77777777" w:rsidR="00F525B2" w:rsidRDefault="00F525B2" w:rsidP="00F525B2">
            <w:pPr>
              <w:pStyle w:val="TAL"/>
            </w:pPr>
            <w:r>
              <w:t>Represents a float.</w:t>
            </w:r>
          </w:p>
        </w:tc>
        <w:tc>
          <w:tcPr>
            <w:tcW w:w="2498" w:type="dxa"/>
          </w:tcPr>
          <w:p w14:paraId="72085031" w14:textId="77777777" w:rsidR="00F525B2" w:rsidRDefault="00F525B2" w:rsidP="00F525B2">
            <w:pPr>
              <w:pStyle w:val="TAL"/>
              <w:rPr>
                <w:rFonts w:cs="Arial"/>
                <w:szCs w:val="18"/>
              </w:rPr>
            </w:pPr>
          </w:p>
        </w:tc>
      </w:tr>
      <w:tr w:rsidR="00F525B2" w14:paraId="618ACA10" w14:textId="77777777" w:rsidTr="007605E0">
        <w:trPr>
          <w:jc w:val="center"/>
        </w:trPr>
        <w:tc>
          <w:tcPr>
            <w:tcW w:w="2637" w:type="dxa"/>
          </w:tcPr>
          <w:p w14:paraId="51A4C548" w14:textId="77777777" w:rsidR="00F525B2" w:rsidRDefault="00F525B2" w:rsidP="00F525B2">
            <w:pPr>
              <w:pStyle w:val="TAL"/>
            </w:pPr>
            <w:r>
              <w:t>FlowDescription</w:t>
            </w:r>
          </w:p>
        </w:tc>
        <w:tc>
          <w:tcPr>
            <w:tcW w:w="2118" w:type="dxa"/>
          </w:tcPr>
          <w:p w14:paraId="393146E7" w14:textId="77777777" w:rsidR="00F525B2" w:rsidRDefault="00F525B2" w:rsidP="00F525B2">
            <w:pPr>
              <w:pStyle w:val="TAL"/>
            </w:pPr>
            <w:r>
              <w:t>3GPP TS 29.514 [21]</w:t>
            </w:r>
          </w:p>
        </w:tc>
        <w:tc>
          <w:tcPr>
            <w:tcW w:w="2578" w:type="dxa"/>
          </w:tcPr>
          <w:p w14:paraId="3279ED67" w14:textId="77777777" w:rsidR="00F525B2" w:rsidRDefault="00F525B2" w:rsidP="00F525B2">
            <w:pPr>
              <w:pStyle w:val="TAL"/>
            </w:pPr>
            <w:r>
              <w:t>Represents an IP flow description.</w:t>
            </w:r>
          </w:p>
        </w:tc>
        <w:tc>
          <w:tcPr>
            <w:tcW w:w="2498" w:type="dxa"/>
          </w:tcPr>
          <w:p w14:paraId="0A9547F6" w14:textId="77777777" w:rsidR="00F525B2" w:rsidRDefault="00F525B2" w:rsidP="00F525B2">
            <w:pPr>
              <w:pStyle w:val="TAL"/>
              <w:rPr>
                <w:rFonts w:cs="Arial"/>
                <w:szCs w:val="18"/>
              </w:rPr>
            </w:pPr>
            <w:r>
              <w:rPr>
                <w:rFonts w:cs="Arial"/>
                <w:szCs w:val="18"/>
              </w:rPr>
              <w:t>UeCommunication</w:t>
            </w:r>
          </w:p>
          <w:p w14:paraId="1BF65D0B" w14:textId="77777777" w:rsidR="00F525B2" w:rsidRDefault="00F525B2" w:rsidP="00F525B2">
            <w:pPr>
              <w:pStyle w:val="TAL"/>
              <w:rPr>
                <w:rFonts w:eastAsia="Batang" w:cs="Arial"/>
                <w:szCs w:val="18"/>
              </w:rPr>
            </w:pPr>
            <w:r>
              <w:rPr>
                <w:rFonts w:cs="Arial"/>
                <w:szCs w:val="18"/>
              </w:rPr>
              <w:t>AbnormalBehaviour</w:t>
            </w:r>
          </w:p>
          <w:p w14:paraId="555C3D12" w14:textId="77777777" w:rsidR="00F525B2" w:rsidRDefault="00F525B2" w:rsidP="00F525B2">
            <w:pPr>
              <w:pStyle w:val="TAL"/>
              <w:rPr>
                <w:lang w:eastAsia="zh-CN"/>
              </w:rPr>
            </w:pPr>
            <w:r>
              <w:rPr>
                <w:rFonts w:cs="Arial"/>
                <w:szCs w:val="18"/>
              </w:rPr>
              <w:t>PduSesTraffic</w:t>
            </w:r>
          </w:p>
          <w:p w14:paraId="4E9FBFB8" w14:textId="77777777" w:rsidR="00F525B2" w:rsidRDefault="00F525B2" w:rsidP="00F525B2">
            <w:pPr>
              <w:pStyle w:val="TAL"/>
              <w:rPr>
                <w:rFonts w:cs="Arial"/>
                <w:szCs w:val="18"/>
              </w:rPr>
            </w:pPr>
            <w:r>
              <w:rPr>
                <w:lang w:eastAsia="zh-CN"/>
              </w:rPr>
              <w:t>QoSPolicyAssist</w:t>
            </w:r>
          </w:p>
        </w:tc>
      </w:tr>
      <w:tr w:rsidR="00F525B2" w14:paraId="7D6203E7" w14:textId="77777777" w:rsidTr="007605E0">
        <w:trPr>
          <w:jc w:val="center"/>
        </w:trPr>
        <w:tc>
          <w:tcPr>
            <w:tcW w:w="2637" w:type="dxa"/>
          </w:tcPr>
          <w:p w14:paraId="2476A7F3" w14:textId="77777777" w:rsidR="00F525B2" w:rsidRDefault="00F525B2" w:rsidP="00F525B2">
            <w:pPr>
              <w:pStyle w:val="TAL"/>
            </w:pPr>
            <w:r>
              <w:t>FlowInfo</w:t>
            </w:r>
          </w:p>
        </w:tc>
        <w:tc>
          <w:tcPr>
            <w:tcW w:w="2118" w:type="dxa"/>
          </w:tcPr>
          <w:p w14:paraId="7715CA79" w14:textId="77777777" w:rsidR="00F525B2" w:rsidRDefault="00F525B2" w:rsidP="00F525B2">
            <w:pPr>
              <w:pStyle w:val="TAL"/>
            </w:pPr>
            <w:r>
              <w:t>3GPP TS 29.122 [19]</w:t>
            </w:r>
          </w:p>
        </w:tc>
        <w:tc>
          <w:tcPr>
            <w:tcW w:w="2578" w:type="dxa"/>
          </w:tcPr>
          <w:p w14:paraId="1A0582D0" w14:textId="77777777" w:rsidR="00F525B2" w:rsidRDefault="00F525B2" w:rsidP="00F525B2">
            <w:pPr>
              <w:pStyle w:val="TAL"/>
            </w:pPr>
            <w:r>
              <w:t>Represents IP flow information.</w:t>
            </w:r>
          </w:p>
        </w:tc>
        <w:tc>
          <w:tcPr>
            <w:tcW w:w="2498" w:type="dxa"/>
          </w:tcPr>
          <w:p w14:paraId="60782CF8" w14:textId="77777777" w:rsidR="00F525B2" w:rsidRDefault="00F525B2" w:rsidP="00F525B2">
            <w:pPr>
              <w:pStyle w:val="TAL"/>
              <w:rPr>
                <w:rFonts w:cs="Arial"/>
                <w:szCs w:val="18"/>
              </w:rPr>
            </w:pPr>
            <w:r>
              <w:t>UserDataCongestionExt</w:t>
            </w:r>
          </w:p>
        </w:tc>
      </w:tr>
      <w:tr w:rsidR="00F525B2" w14:paraId="7809F64F" w14:textId="77777777" w:rsidTr="007605E0">
        <w:trPr>
          <w:jc w:val="center"/>
        </w:trPr>
        <w:tc>
          <w:tcPr>
            <w:tcW w:w="2637" w:type="dxa"/>
          </w:tcPr>
          <w:p w14:paraId="343C9EA5" w14:textId="77777777" w:rsidR="00F525B2" w:rsidRDefault="00F525B2" w:rsidP="00F525B2">
            <w:pPr>
              <w:pStyle w:val="TAL"/>
            </w:pPr>
            <w:r>
              <w:lastRenderedPageBreak/>
              <w:t>GeographicalArea</w:t>
            </w:r>
          </w:p>
        </w:tc>
        <w:tc>
          <w:tcPr>
            <w:tcW w:w="2118" w:type="dxa"/>
          </w:tcPr>
          <w:p w14:paraId="149EDECF" w14:textId="77777777" w:rsidR="00F525B2" w:rsidRDefault="00F525B2" w:rsidP="00F525B2">
            <w:pPr>
              <w:pStyle w:val="TAL"/>
            </w:pPr>
            <w:r>
              <w:rPr>
                <w:lang w:eastAsia="en-GB"/>
              </w:rPr>
              <w:t>3GPP TS 29.522</w:t>
            </w:r>
            <w:r>
              <w:t> [32]</w:t>
            </w:r>
          </w:p>
        </w:tc>
        <w:tc>
          <w:tcPr>
            <w:tcW w:w="2578" w:type="dxa"/>
          </w:tcPr>
          <w:p w14:paraId="2DD66DE3" w14:textId="77777777" w:rsidR="00F525B2" w:rsidRDefault="00F525B2" w:rsidP="00F525B2">
            <w:pPr>
              <w:pStyle w:val="TAL"/>
              <w:rPr>
                <w:rFonts w:cs="Arial"/>
                <w:szCs w:val="18"/>
              </w:rPr>
            </w:pPr>
            <w:r>
              <w:t>Identifies the geographical location.</w:t>
            </w:r>
          </w:p>
        </w:tc>
        <w:tc>
          <w:tcPr>
            <w:tcW w:w="2498" w:type="dxa"/>
          </w:tcPr>
          <w:p w14:paraId="16426A45" w14:textId="77777777" w:rsidR="00F525B2" w:rsidRDefault="00F525B2" w:rsidP="00F525B2">
            <w:pPr>
              <w:pStyle w:val="TAL"/>
            </w:pPr>
            <w:r>
              <w:t>UeMobilityExt2_eNA</w:t>
            </w:r>
          </w:p>
          <w:p w14:paraId="0CF39384" w14:textId="77777777" w:rsidR="00F525B2" w:rsidRDefault="00F525B2" w:rsidP="00F525B2">
            <w:pPr>
              <w:pStyle w:val="TAL"/>
              <w:rPr>
                <w:lang w:eastAsia="zh-CN"/>
              </w:rPr>
            </w:pPr>
            <w:r>
              <w:rPr>
                <w:lang w:eastAsia="zh-CN"/>
              </w:rPr>
              <w:t>ServiceExperienceExt2_eNA</w:t>
            </w:r>
          </w:p>
          <w:p w14:paraId="776ED623" w14:textId="77777777" w:rsidR="00F525B2" w:rsidRDefault="00F525B2" w:rsidP="00F525B2">
            <w:pPr>
              <w:pStyle w:val="TAL"/>
            </w:pPr>
            <w:r>
              <w:rPr>
                <w:rFonts w:eastAsia="Batang"/>
              </w:rPr>
              <w:t>QoSSustainabilityExt_eNA</w:t>
            </w:r>
          </w:p>
          <w:p w14:paraId="7219FCD7" w14:textId="77777777" w:rsidR="00F525B2" w:rsidRDefault="00F525B2" w:rsidP="00F525B2">
            <w:pPr>
              <w:pStyle w:val="TAL"/>
              <w:rPr>
                <w:lang w:eastAsia="zh-CN"/>
              </w:rPr>
            </w:pPr>
            <w:r>
              <w:rPr>
                <w:rFonts w:cs="Arial"/>
                <w:szCs w:val="18"/>
              </w:rPr>
              <w:t>MovementBehaviour</w:t>
            </w:r>
          </w:p>
          <w:p w14:paraId="6A05B552" w14:textId="77777777" w:rsidR="00F525B2" w:rsidRDefault="00F525B2" w:rsidP="00F525B2">
            <w:pPr>
              <w:pStyle w:val="TAL"/>
              <w:rPr>
                <w:rFonts w:cs="Arial"/>
                <w:szCs w:val="18"/>
              </w:rPr>
            </w:pPr>
            <w:r>
              <w:rPr>
                <w:lang w:eastAsia="zh-CN"/>
              </w:rPr>
              <w:t>QoSPolicyAssist</w:t>
            </w:r>
          </w:p>
        </w:tc>
      </w:tr>
      <w:tr w:rsidR="00F525B2" w14:paraId="4DB72875" w14:textId="77777777" w:rsidTr="007605E0">
        <w:trPr>
          <w:jc w:val="center"/>
        </w:trPr>
        <w:tc>
          <w:tcPr>
            <w:tcW w:w="2637" w:type="dxa"/>
          </w:tcPr>
          <w:p w14:paraId="313B27A4" w14:textId="77777777" w:rsidR="00F525B2" w:rsidRDefault="00F525B2" w:rsidP="00F525B2">
            <w:pPr>
              <w:pStyle w:val="TAL"/>
            </w:pPr>
            <w:r>
              <w:t>GeographicalCoordinates</w:t>
            </w:r>
          </w:p>
        </w:tc>
        <w:tc>
          <w:tcPr>
            <w:tcW w:w="2118" w:type="dxa"/>
          </w:tcPr>
          <w:p w14:paraId="456C8AA1" w14:textId="77777777" w:rsidR="00F525B2" w:rsidRDefault="00F525B2" w:rsidP="00F525B2">
            <w:pPr>
              <w:pStyle w:val="TAL"/>
            </w:pPr>
            <w:r>
              <w:rPr>
                <w:lang w:eastAsia="en-GB"/>
              </w:rPr>
              <w:t>3GPP TS 29.572</w:t>
            </w:r>
            <w:r>
              <w:t> [30]</w:t>
            </w:r>
          </w:p>
        </w:tc>
        <w:tc>
          <w:tcPr>
            <w:tcW w:w="2578" w:type="dxa"/>
          </w:tcPr>
          <w:p w14:paraId="700F2A56" w14:textId="77777777" w:rsidR="00F525B2" w:rsidRDefault="00F525B2" w:rsidP="00F525B2">
            <w:pPr>
              <w:pStyle w:val="TAL"/>
              <w:rPr>
                <w:rFonts w:cs="Arial"/>
                <w:szCs w:val="18"/>
              </w:rPr>
            </w:pPr>
            <w:r>
              <w:rPr>
                <w:rFonts w:cs="Arial"/>
                <w:szCs w:val="18"/>
              </w:rPr>
              <w:t>Represents the geographical coordinates.</w:t>
            </w:r>
          </w:p>
        </w:tc>
        <w:tc>
          <w:tcPr>
            <w:tcW w:w="2498" w:type="dxa"/>
          </w:tcPr>
          <w:p w14:paraId="10D81C02" w14:textId="77777777" w:rsidR="00F525B2" w:rsidRDefault="00F525B2" w:rsidP="00F525B2">
            <w:pPr>
              <w:pStyle w:val="TAL"/>
              <w:rPr>
                <w:rFonts w:cs="Arial"/>
                <w:szCs w:val="18"/>
              </w:rPr>
            </w:pPr>
            <w:r>
              <w:t>MovementBehaviour</w:t>
            </w:r>
          </w:p>
        </w:tc>
      </w:tr>
      <w:tr w:rsidR="00F525B2" w14:paraId="437B6F2F" w14:textId="77777777" w:rsidTr="007605E0">
        <w:trPr>
          <w:jc w:val="center"/>
        </w:trPr>
        <w:tc>
          <w:tcPr>
            <w:tcW w:w="2637" w:type="dxa"/>
          </w:tcPr>
          <w:p w14:paraId="0697DF08" w14:textId="77777777" w:rsidR="00F525B2" w:rsidRDefault="00F525B2" w:rsidP="00F525B2">
            <w:pPr>
              <w:pStyle w:val="TAL"/>
            </w:pPr>
            <w:r>
              <w:t>Gpsi</w:t>
            </w:r>
          </w:p>
        </w:tc>
        <w:tc>
          <w:tcPr>
            <w:tcW w:w="2118" w:type="dxa"/>
          </w:tcPr>
          <w:p w14:paraId="0B53F72C" w14:textId="77777777" w:rsidR="00F525B2" w:rsidRDefault="00F525B2" w:rsidP="00F525B2">
            <w:pPr>
              <w:pStyle w:val="TAL"/>
            </w:pPr>
            <w:r>
              <w:t>3GPP TS 29.571 [8]</w:t>
            </w:r>
          </w:p>
        </w:tc>
        <w:tc>
          <w:tcPr>
            <w:tcW w:w="2578" w:type="dxa"/>
          </w:tcPr>
          <w:p w14:paraId="2F3E0E7B" w14:textId="77777777" w:rsidR="00F525B2" w:rsidRDefault="00F525B2" w:rsidP="00F525B2">
            <w:pPr>
              <w:pStyle w:val="TAL"/>
              <w:rPr>
                <w:rFonts w:cs="Arial"/>
                <w:szCs w:val="18"/>
              </w:rPr>
            </w:pPr>
            <w:r>
              <w:rPr>
                <w:rFonts w:cs="Arial"/>
                <w:szCs w:val="18"/>
              </w:rPr>
              <w:t>The GPSI for an UE.</w:t>
            </w:r>
          </w:p>
        </w:tc>
        <w:tc>
          <w:tcPr>
            <w:tcW w:w="2498" w:type="dxa"/>
          </w:tcPr>
          <w:p w14:paraId="7ABE40B3" w14:textId="77777777" w:rsidR="00F525B2" w:rsidRDefault="00F525B2" w:rsidP="00F525B2">
            <w:pPr>
              <w:pStyle w:val="TAL"/>
              <w:rPr>
                <w:rFonts w:cs="Arial"/>
                <w:szCs w:val="18"/>
              </w:rPr>
            </w:pPr>
            <w:r>
              <w:rPr>
                <w:rFonts w:cs="Arial"/>
                <w:szCs w:val="18"/>
              </w:rPr>
              <w:t>UserDataCongestionExt</w:t>
            </w:r>
          </w:p>
          <w:p w14:paraId="6FC4FFD2" w14:textId="77777777" w:rsidR="00F525B2" w:rsidRDefault="00F525B2" w:rsidP="00F525B2">
            <w:pPr>
              <w:pStyle w:val="TAL"/>
              <w:rPr>
                <w:lang w:eastAsia="zh-CN"/>
              </w:rPr>
            </w:pPr>
            <w:r>
              <w:rPr>
                <w:lang w:eastAsia="zh-CN"/>
              </w:rPr>
              <w:t>UeMobilityExt_AIML</w:t>
            </w:r>
          </w:p>
          <w:p w14:paraId="73971199" w14:textId="77777777" w:rsidR="00F525B2" w:rsidRDefault="00F525B2" w:rsidP="00F525B2">
            <w:pPr>
              <w:pStyle w:val="TAL"/>
              <w:rPr>
                <w:rFonts w:cs="Arial"/>
                <w:szCs w:val="18"/>
                <w:lang w:eastAsia="zh-CN"/>
              </w:rPr>
            </w:pPr>
            <w:r>
              <w:rPr>
                <w:rFonts w:cs="Arial"/>
                <w:szCs w:val="18"/>
                <w:lang w:eastAsia="zh-CN"/>
              </w:rPr>
              <w:t>E2eDataVolTransTime</w:t>
            </w:r>
          </w:p>
          <w:p w14:paraId="058B1398" w14:textId="77777777" w:rsidR="00F525B2" w:rsidRDefault="00F525B2" w:rsidP="00F525B2">
            <w:pPr>
              <w:pStyle w:val="TAL"/>
              <w:rPr>
                <w:rFonts w:cs="Arial"/>
                <w:szCs w:val="18"/>
              </w:rPr>
            </w:pPr>
            <w:r>
              <w:rPr>
                <w:lang w:eastAsia="zh-CN"/>
              </w:rPr>
              <w:t>RelativeProximity</w:t>
            </w:r>
          </w:p>
        </w:tc>
      </w:tr>
      <w:tr w:rsidR="00F525B2" w14:paraId="30C988EE" w14:textId="77777777" w:rsidTr="007605E0">
        <w:trPr>
          <w:jc w:val="center"/>
        </w:trPr>
        <w:tc>
          <w:tcPr>
            <w:tcW w:w="2637" w:type="dxa"/>
          </w:tcPr>
          <w:p w14:paraId="7165240E" w14:textId="77777777" w:rsidR="00F525B2" w:rsidRDefault="00F525B2" w:rsidP="00F525B2">
            <w:pPr>
              <w:pStyle w:val="TAL"/>
            </w:pPr>
            <w:r>
              <w:t>GroupId</w:t>
            </w:r>
          </w:p>
        </w:tc>
        <w:tc>
          <w:tcPr>
            <w:tcW w:w="2118" w:type="dxa"/>
          </w:tcPr>
          <w:p w14:paraId="50251FF3" w14:textId="77777777" w:rsidR="00F525B2" w:rsidRDefault="00F525B2" w:rsidP="00F525B2">
            <w:pPr>
              <w:pStyle w:val="TAL"/>
            </w:pPr>
            <w:r>
              <w:t>3GPP TS 29.571 [8]</w:t>
            </w:r>
          </w:p>
        </w:tc>
        <w:tc>
          <w:tcPr>
            <w:tcW w:w="2578" w:type="dxa"/>
          </w:tcPr>
          <w:p w14:paraId="3B4798A6" w14:textId="77777777" w:rsidR="00F525B2" w:rsidRDefault="00F525B2" w:rsidP="00F525B2">
            <w:pPr>
              <w:pStyle w:val="TAL"/>
            </w:pPr>
            <w:r>
              <w:rPr>
                <w:rFonts w:cs="Arial"/>
                <w:szCs w:val="18"/>
              </w:rPr>
              <w:t>Identifies a group of UEs.</w:t>
            </w:r>
          </w:p>
        </w:tc>
        <w:tc>
          <w:tcPr>
            <w:tcW w:w="2498" w:type="dxa"/>
          </w:tcPr>
          <w:p w14:paraId="44B7FD4F" w14:textId="77777777" w:rsidR="00F525B2" w:rsidRDefault="00F525B2" w:rsidP="00F525B2">
            <w:pPr>
              <w:pStyle w:val="TAL"/>
              <w:rPr>
                <w:rFonts w:cs="Arial"/>
                <w:szCs w:val="18"/>
              </w:rPr>
            </w:pPr>
            <w:r>
              <w:rPr>
                <w:rFonts w:cs="Arial"/>
                <w:szCs w:val="18"/>
              </w:rPr>
              <w:t>UeMobility</w:t>
            </w:r>
          </w:p>
          <w:p w14:paraId="617D93D8" w14:textId="77777777" w:rsidR="00F525B2" w:rsidRDefault="00F525B2" w:rsidP="00F525B2">
            <w:pPr>
              <w:pStyle w:val="TAL"/>
              <w:rPr>
                <w:rFonts w:cs="Arial"/>
                <w:szCs w:val="18"/>
              </w:rPr>
            </w:pPr>
            <w:r>
              <w:rPr>
                <w:rFonts w:cs="Arial"/>
                <w:szCs w:val="18"/>
              </w:rPr>
              <w:t xml:space="preserve">UeCommunication NetworkPerformance </w:t>
            </w:r>
          </w:p>
          <w:p w14:paraId="299D9EA3" w14:textId="77777777" w:rsidR="00F525B2" w:rsidRDefault="00F525B2" w:rsidP="00F525B2">
            <w:pPr>
              <w:pStyle w:val="TAL"/>
              <w:rPr>
                <w:rFonts w:cs="Arial"/>
                <w:szCs w:val="18"/>
              </w:rPr>
            </w:pPr>
            <w:r>
              <w:rPr>
                <w:rFonts w:cs="Arial"/>
                <w:szCs w:val="18"/>
              </w:rPr>
              <w:t>AbnormalBehaviour</w:t>
            </w:r>
          </w:p>
          <w:p w14:paraId="1EDB8C8A" w14:textId="77777777" w:rsidR="00F525B2" w:rsidRDefault="00F525B2" w:rsidP="00F525B2">
            <w:pPr>
              <w:pStyle w:val="TAL"/>
              <w:rPr>
                <w:rFonts w:cs="Arial"/>
                <w:szCs w:val="18"/>
              </w:rPr>
            </w:pPr>
            <w:r>
              <w:rPr>
                <w:rFonts w:cs="Arial"/>
                <w:szCs w:val="18"/>
              </w:rPr>
              <w:t>ServiceExperience</w:t>
            </w:r>
          </w:p>
          <w:p w14:paraId="67AB3BE2" w14:textId="77777777" w:rsidR="00F525B2" w:rsidRDefault="00F525B2" w:rsidP="00F525B2">
            <w:pPr>
              <w:pStyle w:val="TAL"/>
              <w:rPr>
                <w:rFonts w:cs="Arial"/>
                <w:szCs w:val="18"/>
              </w:rPr>
            </w:pPr>
            <w:r>
              <w:rPr>
                <w:rFonts w:cs="Arial"/>
                <w:szCs w:val="18"/>
              </w:rPr>
              <w:t>Dispersion</w:t>
            </w:r>
          </w:p>
          <w:p w14:paraId="2F253E52" w14:textId="77777777" w:rsidR="00F525B2" w:rsidRDefault="00F525B2" w:rsidP="00F525B2">
            <w:pPr>
              <w:pStyle w:val="TAL"/>
              <w:rPr>
                <w:rFonts w:cs="Arial"/>
                <w:szCs w:val="18"/>
              </w:rPr>
            </w:pPr>
            <w:r>
              <w:rPr>
                <w:rFonts w:cs="Arial"/>
                <w:szCs w:val="18"/>
              </w:rPr>
              <w:t>RedundantTransmissionExp</w:t>
            </w:r>
          </w:p>
          <w:p w14:paraId="42D494E0" w14:textId="77777777" w:rsidR="00F525B2" w:rsidRDefault="00F525B2" w:rsidP="00F525B2">
            <w:pPr>
              <w:pStyle w:val="TAL"/>
              <w:rPr>
                <w:rFonts w:eastAsia="Batang" w:cs="Arial"/>
                <w:szCs w:val="18"/>
              </w:rPr>
            </w:pPr>
            <w:r>
              <w:rPr>
                <w:rFonts w:cs="Arial"/>
                <w:szCs w:val="18"/>
              </w:rPr>
              <w:t>Wlan</w:t>
            </w:r>
            <w:r>
              <w:rPr>
                <w:rFonts w:cs="Arial"/>
                <w:szCs w:val="18"/>
                <w:lang w:eastAsia="zh-CN"/>
              </w:rPr>
              <w:t>Performance</w:t>
            </w:r>
          </w:p>
          <w:p w14:paraId="70601AFB" w14:textId="77777777" w:rsidR="00F525B2" w:rsidRDefault="00F525B2" w:rsidP="00F525B2">
            <w:pPr>
              <w:pStyle w:val="TAL"/>
              <w:rPr>
                <w:rFonts w:cs="Arial"/>
                <w:szCs w:val="18"/>
              </w:rPr>
            </w:pPr>
            <w:r>
              <w:rPr>
                <w:rFonts w:cs="Arial"/>
                <w:szCs w:val="18"/>
              </w:rPr>
              <w:t>PduSesTraffic</w:t>
            </w:r>
          </w:p>
          <w:p w14:paraId="31F80592" w14:textId="77777777" w:rsidR="00F525B2" w:rsidRDefault="00F525B2" w:rsidP="00F525B2">
            <w:pPr>
              <w:pStyle w:val="TAL"/>
              <w:rPr>
                <w:rFonts w:cs="Arial"/>
                <w:szCs w:val="18"/>
              </w:rPr>
            </w:pPr>
            <w:r>
              <w:rPr>
                <w:lang w:eastAsia="zh-CN"/>
              </w:rPr>
              <w:t>RelativeProximity</w:t>
            </w:r>
          </w:p>
          <w:p w14:paraId="12FA8B95" w14:textId="77777777" w:rsidR="00F525B2" w:rsidRDefault="00F525B2" w:rsidP="00F525B2">
            <w:pPr>
              <w:pStyle w:val="TAL"/>
              <w:rPr>
                <w:rFonts w:cs="Arial"/>
                <w:szCs w:val="18"/>
              </w:rPr>
            </w:pPr>
            <w:r>
              <w:t>SignallingStorm</w:t>
            </w:r>
          </w:p>
        </w:tc>
      </w:tr>
      <w:tr w:rsidR="00F525B2" w14:paraId="2383809A" w14:textId="77777777" w:rsidTr="007605E0">
        <w:trPr>
          <w:jc w:val="center"/>
        </w:trPr>
        <w:tc>
          <w:tcPr>
            <w:tcW w:w="2637" w:type="dxa"/>
          </w:tcPr>
          <w:p w14:paraId="3E96D5F9" w14:textId="77777777" w:rsidR="00F525B2" w:rsidRDefault="00F525B2" w:rsidP="00F525B2">
            <w:pPr>
              <w:pStyle w:val="TAL"/>
            </w:pPr>
            <w:r>
              <w:t>Ipv4Addr</w:t>
            </w:r>
          </w:p>
        </w:tc>
        <w:tc>
          <w:tcPr>
            <w:tcW w:w="2118" w:type="dxa"/>
          </w:tcPr>
          <w:p w14:paraId="3B9B7E2F" w14:textId="77777777" w:rsidR="00F525B2" w:rsidRDefault="00F525B2" w:rsidP="00F525B2">
            <w:pPr>
              <w:pStyle w:val="TAL"/>
            </w:pPr>
            <w:r>
              <w:t>3GPP TS 29.571 [8]</w:t>
            </w:r>
          </w:p>
        </w:tc>
        <w:tc>
          <w:tcPr>
            <w:tcW w:w="2578" w:type="dxa"/>
          </w:tcPr>
          <w:p w14:paraId="5744AAEA" w14:textId="77777777" w:rsidR="00F525B2" w:rsidRDefault="00F525B2" w:rsidP="00F525B2">
            <w:pPr>
              <w:pStyle w:val="TAL"/>
              <w:rPr>
                <w:rFonts w:cs="Arial"/>
                <w:szCs w:val="18"/>
              </w:rPr>
            </w:pPr>
            <w:r>
              <w:rPr>
                <w:rFonts w:cs="Arial"/>
                <w:szCs w:val="18"/>
              </w:rPr>
              <w:t>Represents an IPv4 address.</w:t>
            </w:r>
          </w:p>
        </w:tc>
        <w:tc>
          <w:tcPr>
            <w:tcW w:w="2498" w:type="dxa"/>
          </w:tcPr>
          <w:p w14:paraId="005DA4AF" w14:textId="77777777" w:rsidR="00F525B2" w:rsidRDefault="00F525B2" w:rsidP="00F525B2">
            <w:pPr>
              <w:pStyle w:val="TAL"/>
              <w:rPr>
                <w:rFonts w:cs="Arial"/>
                <w:szCs w:val="18"/>
              </w:rPr>
            </w:pPr>
          </w:p>
        </w:tc>
      </w:tr>
      <w:tr w:rsidR="00F525B2" w14:paraId="1B8C8F89" w14:textId="77777777" w:rsidTr="007605E0">
        <w:trPr>
          <w:jc w:val="center"/>
        </w:trPr>
        <w:tc>
          <w:tcPr>
            <w:tcW w:w="2637" w:type="dxa"/>
          </w:tcPr>
          <w:p w14:paraId="06E9622D" w14:textId="77777777" w:rsidR="00F525B2" w:rsidRDefault="00F525B2" w:rsidP="00F525B2">
            <w:pPr>
              <w:pStyle w:val="TAL"/>
            </w:pPr>
            <w:r>
              <w:t>Ipv6Addr</w:t>
            </w:r>
          </w:p>
        </w:tc>
        <w:tc>
          <w:tcPr>
            <w:tcW w:w="2118" w:type="dxa"/>
          </w:tcPr>
          <w:p w14:paraId="42680C20" w14:textId="77777777" w:rsidR="00F525B2" w:rsidRDefault="00F525B2" w:rsidP="00F525B2">
            <w:pPr>
              <w:pStyle w:val="TAL"/>
            </w:pPr>
            <w:r>
              <w:t>3GPP TS 29.571 [8]</w:t>
            </w:r>
          </w:p>
        </w:tc>
        <w:tc>
          <w:tcPr>
            <w:tcW w:w="2578" w:type="dxa"/>
          </w:tcPr>
          <w:p w14:paraId="2CA5EECF" w14:textId="77777777" w:rsidR="00F525B2" w:rsidRDefault="00F525B2" w:rsidP="00F525B2">
            <w:pPr>
              <w:pStyle w:val="TAL"/>
              <w:rPr>
                <w:rFonts w:cs="Arial"/>
                <w:szCs w:val="18"/>
              </w:rPr>
            </w:pPr>
            <w:r>
              <w:rPr>
                <w:rFonts w:cs="Arial"/>
                <w:szCs w:val="18"/>
              </w:rPr>
              <w:t>Represents an IPv6 address.</w:t>
            </w:r>
          </w:p>
        </w:tc>
        <w:tc>
          <w:tcPr>
            <w:tcW w:w="2498" w:type="dxa"/>
          </w:tcPr>
          <w:p w14:paraId="74C7441A" w14:textId="77777777" w:rsidR="00F525B2" w:rsidRDefault="00F525B2" w:rsidP="00F525B2">
            <w:pPr>
              <w:pStyle w:val="TAL"/>
              <w:rPr>
                <w:rFonts w:cs="Arial"/>
                <w:szCs w:val="18"/>
              </w:rPr>
            </w:pPr>
          </w:p>
        </w:tc>
      </w:tr>
      <w:tr w:rsidR="00F525B2" w14:paraId="62D286F7" w14:textId="77777777" w:rsidTr="007605E0">
        <w:trPr>
          <w:jc w:val="center"/>
        </w:trPr>
        <w:tc>
          <w:tcPr>
            <w:tcW w:w="2637" w:type="dxa"/>
          </w:tcPr>
          <w:p w14:paraId="7A6B386F" w14:textId="77777777" w:rsidR="00F525B2" w:rsidRDefault="00F525B2" w:rsidP="00F525B2">
            <w:pPr>
              <w:pStyle w:val="TAL"/>
            </w:pPr>
            <w:r>
              <w:t>LocalOrigin</w:t>
            </w:r>
          </w:p>
        </w:tc>
        <w:tc>
          <w:tcPr>
            <w:tcW w:w="2118" w:type="dxa"/>
          </w:tcPr>
          <w:p w14:paraId="7E60E6F7" w14:textId="77777777" w:rsidR="00F525B2" w:rsidRDefault="00F525B2" w:rsidP="00F525B2">
            <w:pPr>
              <w:pStyle w:val="TAL"/>
            </w:pPr>
            <w:r>
              <w:rPr>
                <w:lang w:eastAsia="en-GB"/>
              </w:rPr>
              <w:t>3GPP TS 29.572</w:t>
            </w:r>
            <w:r>
              <w:t> [30]</w:t>
            </w:r>
          </w:p>
        </w:tc>
        <w:tc>
          <w:tcPr>
            <w:tcW w:w="2578" w:type="dxa"/>
          </w:tcPr>
          <w:p w14:paraId="6689A09E" w14:textId="77777777" w:rsidR="00F525B2" w:rsidRDefault="00F525B2" w:rsidP="00F525B2">
            <w:pPr>
              <w:pStyle w:val="TAL"/>
              <w:rPr>
                <w:rFonts w:cs="Arial"/>
                <w:szCs w:val="18"/>
              </w:rPr>
            </w:pPr>
            <w:r>
              <w:rPr>
                <w:rFonts w:cs="Arial"/>
                <w:szCs w:val="18"/>
              </w:rPr>
              <w:t>Represents a reference point for modelling locations in relation to it.</w:t>
            </w:r>
          </w:p>
        </w:tc>
        <w:tc>
          <w:tcPr>
            <w:tcW w:w="2498" w:type="dxa"/>
          </w:tcPr>
          <w:p w14:paraId="48E3B639" w14:textId="77777777" w:rsidR="00F525B2" w:rsidRDefault="00F525B2" w:rsidP="00F525B2">
            <w:pPr>
              <w:pStyle w:val="TAL"/>
              <w:rPr>
                <w:rFonts w:cs="Arial"/>
                <w:szCs w:val="18"/>
              </w:rPr>
            </w:pPr>
            <w:r>
              <w:rPr>
                <w:rFonts w:cs="Arial"/>
                <w:szCs w:val="18"/>
              </w:rPr>
              <w:t>LocAccuracy</w:t>
            </w:r>
          </w:p>
        </w:tc>
      </w:tr>
      <w:tr w:rsidR="00542337" w14:paraId="68D70C18" w14:textId="77777777" w:rsidTr="007605E0">
        <w:trPr>
          <w:jc w:val="center"/>
        </w:trPr>
        <w:tc>
          <w:tcPr>
            <w:tcW w:w="2637" w:type="dxa"/>
          </w:tcPr>
          <w:p w14:paraId="41909EE7" w14:textId="77777777" w:rsidR="00542337" w:rsidRDefault="00542337" w:rsidP="00542337">
            <w:pPr>
              <w:pStyle w:val="TAL"/>
            </w:pPr>
            <w:r>
              <w:t>MLModelAddr</w:t>
            </w:r>
          </w:p>
        </w:tc>
        <w:tc>
          <w:tcPr>
            <w:tcW w:w="2118" w:type="dxa"/>
          </w:tcPr>
          <w:p w14:paraId="642CD058" w14:textId="77777777" w:rsidR="00542337" w:rsidRDefault="00542337" w:rsidP="00542337">
            <w:pPr>
              <w:pStyle w:val="TAL"/>
              <w:rPr>
                <w:lang w:eastAsia="en-GB"/>
              </w:rPr>
            </w:pPr>
            <w:r>
              <w:rPr>
                <w:lang w:eastAsia="en-GB"/>
              </w:rPr>
              <w:t>5.4.6.2.8</w:t>
            </w:r>
          </w:p>
        </w:tc>
        <w:tc>
          <w:tcPr>
            <w:tcW w:w="2578" w:type="dxa"/>
          </w:tcPr>
          <w:p w14:paraId="2641A44D" w14:textId="77777777" w:rsidR="00542337" w:rsidRDefault="00542337" w:rsidP="00542337">
            <w:pPr>
              <w:pStyle w:val="TAL"/>
              <w:rPr>
                <w:rFonts w:cs="Arial"/>
                <w:szCs w:val="18"/>
              </w:rPr>
            </w:pPr>
            <w:r>
              <w:rPr>
                <w:rFonts w:cs="Arial"/>
                <w:szCs w:val="18"/>
              </w:rPr>
              <w:t xml:space="preserve">Represents the address </w:t>
            </w:r>
            <w:r w:rsidRPr="00872B95">
              <w:rPr>
                <w:rFonts w:cs="Arial"/>
                <w:szCs w:val="18"/>
              </w:rPr>
              <w:t>of the ML Model file</w:t>
            </w:r>
            <w:r>
              <w:rPr>
                <w:rFonts w:cs="Arial"/>
                <w:szCs w:val="18"/>
              </w:rPr>
              <w:t>.</w:t>
            </w:r>
          </w:p>
        </w:tc>
        <w:tc>
          <w:tcPr>
            <w:tcW w:w="2498" w:type="dxa"/>
          </w:tcPr>
          <w:p w14:paraId="3F48D9C4" w14:textId="77777777" w:rsidR="00542337" w:rsidRDefault="00542337" w:rsidP="00542337">
            <w:pPr>
              <w:pStyle w:val="TAL"/>
              <w:rPr>
                <w:rFonts w:cs="Arial"/>
                <w:szCs w:val="18"/>
              </w:rPr>
            </w:pPr>
            <w:r>
              <w:t>AnaSubTransfer</w:t>
            </w:r>
          </w:p>
        </w:tc>
      </w:tr>
      <w:tr w:rsidR="00F525B2" w14:paraId="43421267" w14:textId="77777777" w:rsidTr="007605E0">
        <w:trPr>
          <w:jc w:val="center"/>
        </w:trPr>
        <w:tc>
          <w:tcPr>
            <w:tcW w:w="2637" w:type="dxa"/>
          </w:tcPr>
          <w:p w14:paraId="1CF7D108" w14:textId="77777777" w:rsidR="00F525B2" w:rsidRDefault="00F525B2" w:rsidP="00F525B2">
            <w:pPr>
              <w:pStyle w:val="TAL"/>
            </w:pPr>
            <w:r>
              <w:t>NetworkAreaInfo</w:t>
            </w:r>
          </w:p>
        </w:tc>
        <w:tc>
          <w:tcPr>
            <w:tcW w:w="2118" w:type="dxa"/>
          </w:tcPr>
          <w:p w14:paraId="6A1AF15A" w14:textId="77777777" w:rsidR="00F525B2" w:rsidRDefault="00F525B2" w:rsidP="00F525B2">
            <w:pPr>
              <w:pStyle w:val="TAL"/>
            </w:pPr>
            <w:r>
              <w:rPr>
                <w:rFonts w:cs="Arial"/>
              </w:rPr>
              <w:t>3GPP TS 29.554 [18]</w:t>
            </w:r>
          </w:p>
        </w:tc>
        <w:tc>
          <w:tcPr>
            <w:tcW w:w="2578" w:type="dxa"/>
          </w:tcPr>
          <w:p w14:paraId="26A9F48C" w14:textId="77777777" w:rsidR="00F525B2" w:rsidRDefault="00F525B2" w:rsidP="00F525B2">
            <w:pPr>
              <w:pStyle w:val="TAL"/>
            </w:pPr>
            <w:r>
              <w:rPr>
                <w:rFonts w:cs="Arial"/>
                <w:szCs w:val="18"/>
                <w:lang w:eastAsia="zh-CN"/>
              </w:rPr>
              <w:t>Identifies the network area.</w:t>
            </w:r>
          </w:p>
        </w:tc>
        <w:tc>
          <w:tcPr>
            <w:tcW w:w="2498" w:type="dxa"/>
          </w:tcPr>
          <w:p w14:paraId="61175315" w14:textId="77777777" w:rsidR="00F525B2" w:rsidRDefault="00F525B2" w:rsidP="00F525B2">
            <w:pPr>
              <w:pStyle w:val="TAL"/>
              <w:rPr>
                <w:rFonts w:eastAsia="Batang"/>
              </w:rPr>
            </w:pPr>
            <w:r>
              <w:rPr>
                <w:rFonts w:eastAsia="Batang"/>
              </w:rPr>
              <w:t>ServiceExperience</w:t>
            </w:r>
          </w:p>
          <w:p w14:paraId="56DB3D9F" w14:textId="77777777" w:rsidR="00F525B2" w:rsidRDefault="00F525B2" w:rsidP="00F525B2">
            <w:pPr>
              <w:pStyle w:val="TAL"/>
              <w:rPr>
                <w:rFonts w:cs="Arial"/>
                <w:szCs w:val="18"/>
              </w:rPr>
            </w:pPr>
            <w:r>
              <w:rPr>
                <w:rFonts w:cs="Arial"/>
                <w:szCs w:val="18"/>
              </w:rPr>
              <w:t>QoSSustainability</w:t>
            </w:r>
          </w:p>
          <w:p w14:paraId="33D7D34E" w14:textId="77777777" w:rsidR="00F525B2" w:rsidRDefault="00F525B2" w:rsidP="00F525B2">
            <w:pPr>
              <w:pStyle w:val="TAL"/>
              <w:rPr>
                <w:rFonts w:cs="Arial"/>
                <w:szCs w:val="18"/>
              </w:rPr>
            </w:pPr>
            <w:r>
              <w:rPr>
                <w:rFonts w:cs="Arial"/>
                <w:szCs w:val="18"/>
              </w:rPr>
              <w:t>AbnormalBehaviour</w:t>
            </w:r>
          </w:p>
          <w:p w14:paraId="79D2294E" w14:textId="77777777" w:rsidR="00F525B2" w:rsidRDefault="00F525B2" w:rsidP="00F525B2">
            <w:pPr>
              <w:pStyle w:val="TAL"/>
              <w:rPr>
                <w:rFonts w:cs="Arial"/>
                <w:szCs w:val="18"/>
              </w:rPr>
            </w:pPr>
            <w:r>
              <w:rPr>
                <w:rFonts w:cs="Arial"/>
                <w:szCs w:val="18"/>
              </w:rPr>
              <w:t>UeMobility</w:t>
            </w:r>
          </w:p>
          <w:p w14:paraId="0E878A9A" w14:textId="77777777" w:rsidR="00F525B2" w:rsidRDefault="00F525B2" w:rsidP="00F525B2">
            <w:pPr>
              <w:pStyle w:val="TAL"/>
              <w:rPr>
                <w:rFonts w:cs="Arial"/>
                <w:szCs w:val="18"/>
              </w:rPr>
            </w:pPr>
            <w:r>
              <w:rPr>
                <w:rFonts w:cs="Arial"/>
                <w:szCs w:val="18"/>
              </w:rPr>
              <w:t>UserDataCongestion</w:t>
            </w:r>
          </w:p>
          <w:p w14:paraId="00DCF3C4" w14:textId="77777777" w:rsidR="00F525B2" w:rsidRDefault="00F525B2" w:rsidP="00F525B2">
            <w:pPr>
              <w:pStyle w:val="TAL"/>
              <w:rPr>
                <w:rFonts w:cs="Arial"/>
                <w:szCs w:val="18"/>
              </w:rPr>
            </w:pPr>
            <w:r>
              <w:rPr>
                <w:rFonts w:cs="Arial"/>
                <w:szCs w:val="18"/>
              </w:rPr>
              <w:t>NetworkPerformance</w:t>
            </w:r>
            <w:r>
              <w:t xml:space="preserve"> </w:t>
            </w:r>
          </w:p>
          <w:p w14:paraId="3780540F" w14:textId="77777777" w:rsidR="00F525B2" w:rsidRDefault="00F525B2" w:rsidP="00F525B2">
            <w:pPr>
              <w:pStyle w:val="TAL"/>
            </w:pPr>
            <w:r>
              <w:rPr>
                <w:rFonts w:cs="Arial"/>
                <w:szCs w:val="18"/>
              </w:rPr>
              <w:t>NsiLoadExt</w:t>
            </w:r>
          </w:p>
          <w:p w14:paraId="5125A395" w14:textId="77777777" w:rsidR="00F525B2" w:rsidRDefault="00F525B2" w:rsidP="00F525B2">
            <w:pPr>
              <w:pStyle w:val="TAL"/>
              <w:rPr>
                <w:rFonts w:cs="Arial"/>
              </w:rPr>
            </w:pPr>
            <w:r>
              <w:rPr>
                <w:rFonts w:cs="Arial"/>
              </w:rPr>
              <w:t>NfLoadExt</w:t>
            </w:r>
          </w:p>
          <w:p w14:paraId="2C017228" w14:textId="77777777" w:rsidR="00F525B2" w:rsidRDefault="00F525B2" w:rsidP="00F525B2">
            <w:pPr>
              <w:pStyle w:val="TAL"/>
              <w:rPr>
                <w:rFonts w:cs="Arial"/>
              </w:rPr>
            </w:pPr>
            <w:r>
              <w:rPr>
                <w:rFonts w:cs="Arial"/>
              </w:rPr>
              <w:t>Dispersion</w:t>
            </w:r>
          </w:p>
          <w:p w14:paraId="4E853901" w14:textId="77777777" w:rsidR="00F525B2" w:rsidRDefault="00F525B2" w:rsidP="00F525B2">
            <w:pPr>
              <w:pStyle w:val="TAL"/>
              <w:rPr>
                <w:rFonts w:cs="Arial"/>
                <w:szCs w:val="18"/>
              </w:rPr>
            </w:pPr>
            <w:r>
              <w:rPr>
                <w:rFonts w:cs="Arial"/>
                <w:szCs w:val="18"/>
              </w:rPr>
              <w:t>RedundantTransmissionExp</w:t>
            </w:r>
          </w:p>
          <w:p w14:paraId="67E8B859" w14:textId="77777777" w:rsidR="00F525B2" w:rsidRDefault="00F525B2" w:rsidP="00F525B2">
            <w:pPr>
              <w:pStyle w:val="TAL"/>
              <w:rPr>
                <w:rFonts w:cs="Arial"/>
                <w:szCs w:val="18"/>
              </w:rPr>
            </w:pPr>
            <w:r>
              <w:rPr>
                <w:rFonts w:cs="Arial"/>
                <w:szCs w:val="18"/>
              </w:rPr>
              <w:t>Wlan</w:t>
            </w:r>
            <w:r>
              <w:rPr>
                <w:rFonts w:cs="Arial"/>
                <w:szCs w:val="18"/>
                <w:lang w:eastAsia="zh-CN"/>
              </w:rPr>
              <w:t>Performance</w:t>
            </w:r>
          </w:p>
          <w:p w14:paraId="65F51821" w14:textId="77777777" w:rsidR="00F525B2" w:rsidRDefault="00F525B2" w:rsidP="00F525B2">
            <w:pPr>
              <w:pStyle w:val="TAL"/>
              <w:rPr>
                <w:rFonts w:eastAsia="Times New Roman"/>
                <w:lang w:eastAsia="ja-JP"/>
              </w:rPr>
            </w:pPr>
            <w:r>
              <w:rPr>
                <w:rFonts w:eastAsia="Times New Roman"/>
                <w:lang w:eastAsia="ja-JP"/>
              </w:rPr>
              <w:t>UeCommunication</w:t>
            </w:r>
          </w:p>
          <w:p w14:paraId="06AB961D" w14:textId="77777777" w:rsidR="00F525B2" w:rsidRDefault="00F525B2" w:rsidP="00F525B2">
            <w:pPr>
              <w:pStyle w:val="TAL"/>
              <w:rPr>
                <w:rFonts w:eastAsia="Batang" w:cs="Arial"/>
                <w:szCs w:val="18"/>
              </w:rPr>
            </w:pPr>
            <w:r>
              <w:rPr>
                <w:rFonts w:eastAsia="Batang"/>
              </w:rPr>
              <w:t>DnPerformance</w:t>
            </w:r>
          </w:p>
          <w:p w14:paraId="7FAA8E21" w14:textId="77777777" w:rsidR="00F525B2" w:rsidRDefault="00F525B2" w:rsidP="00F525B2">
            <w:pPr>
              <w:pStyle w:val="TAL"/>
            </w:pPr>
            <w:r>
              <w:rPr>
                <w:rFonts w:cs="Arial"/>
                <w:szCs w:val="18"/>
              </w:rPr>
              <w:t>PduSesTraffic</w:t>
            </w:r>
          </w:p>
          <w:p w14:paraId="4D1B7FA6" w14:textId="77777777" w:rsidR="00F525B2" w:rsidRDefault="00F525B2" w:rsidP="00F525B2">
            <w:pPr>
              <w:pStyle w:val="TAL"/>
              <w:rPr>
                <w:lang w:eastAsia="zh-CN"/>
              </w:rPr>
            </w:pPr>
            <w:r>
              <w:rPr>
                <w:lang w:eastAsia="zh-CN"/>
              </w:rPr>
              <w:t>E2eDataVolTransTime</w:t>
            </w:r>
          </w:p>
          <w:p w14:paraId="32FCE04B" w14:textId="77777777" w:rsidR="00F525B2" w:rsidRDefault="00F525B2" w:rsidP="00F525B2">
            <w:pPr>
              <w:pStyle w:val="TAL"/>
              <w:rPr>
                <w:rFonts w:cs="Arial"/>
                <w:szCs w:val="18"/>
              </w:rPr>
            </w:pPr>
            <w:r>
              <w:rPr>
                <w:rFonts w:cs="Arial"/>
                <w:szCs w:val="18"/>
              </w:rPr>
              <w:t>MovementBehaviour</w:t>
            </w:r>
          </w:p>
          <w:p w14:paraId="2A3560AF" w14:textId="77777777" w:rsidR="00F525B2" w:rsidRDefault="00F525B2" w:rsidP="00F525B2">
            <w:pPr>
              <w:pStyle w:val="TAL"/>
              <w:rPr>
                <w:rFonts w:cs="Arial"/>
                <w:szCs w:val="18"/>
              </w:rPr>
            </w:pPr>
            <w:r>
              <w:rPr>
                <w:lang w:eastAsia="zh-CN"/>
              </w:rPr>
              <w:t>RelativeProximity</w:t>
            </w:r>
          </w:p>
          <w:p w14:paraId="5CCADF55" w14:textId="77777777" w:rsidR="00F525B2" w:rsidRDefault="00F525B2" w:rsidP="00F525B2">
            <w:pPr>
              <w:pStyle w:val="TAL"/>
              <w:rPr>
                <w:lang w:eastAsia="zh-CN"/>
              </w:rPr>
            </w:pPr>
            <w:r>
              <w:t>SignallingStorm</w:t>
            </w:r>
          </w:p>
          <w:p w14:paraId="6DE69DD6" w14:textId="77777777" w:rsidR="00F525B2" w:rsidRDefault="00F525B2" w:rsidP="00F525B2">
            <w:pPr>
              <w:pStyle w:val="TAL"/>
              <w:rPr>
                <w:rFonts w:cs="Arial"/>
                <w:szCs w:val="18"/>
              </w:rPr>
            </w:pPr>
            <w:r>
              <w:rPr>
                <w:lang w:eastAsia="zh-CN"/>
              </w:rPr>
              <w:t>QoSPolicyAssist</w:t>
            </w:r>
          </w:p>
        </w:tc>
      </w:tr>
      <w:tr w:rsidR="00F525B2" w14:paraId="0DC6D02E" w14:textId="77777777" w:rsidTr="007605E0">
        <w:trPr>
          <w:jc w:val="center"/>
        </w:trPr>
        <w:tc>
          <w:tcPr>
            <w:tcW w:w="2637" w:type="dxa"/>
          </w:tcPr>
          <w:p w14:paraId="58C8D667" w14:textId="77777777" w:rsidR="00F525B2" w:rsidRDefault="00F525B2" w:rsidP="00F525B2">
            <w:pPr>
              <w:pStyle w:val="TAL"/>
            </w:pPr>
            <w:r>
              <w:t>NfInstanceId</w:t>
            </w:r>
          </w:p>
        </w:tc>
        <w:tc>
          <w:tcPr>
            <w:tcW w:w="2118" w:type="dxa"/>
          </w:tcPr>
          <w:p w14:paraId="2BD61738" w14:textId="77777777" w:rsidR="00F525B2" w:rsidRDefault="00F525B2" w:rsidP="00F525B2">
            <w:pPr>
              <w:pStyle w:val="TAL"/>
              <w:rPr>
                <w:rFonts w:cs="Arial"/>
              </w:rPr>
            </w:pPr>
            <w:r>
              <w:rPr>
                <w:rFonts w:cs="Arial"/>
              </w:rPr>
              <w:t>3GPP TS </w:t>
            </w:r>
            <w:r>
              <w:t>29.571 [8]</w:t>
            </w:r>
          </w:p>
        </w:tc>
        <w:tc>
          <w:tcPr>
            <w:tcW w:w="2578" w:type="dxa"/>
          </w:tcPr>
          <w:p w14:paraId="4F45851A" w14:textId="77777777" w:rsidR="00F525B2" w:rsidRDefault="00F525B2" w:rsidP="00F525B2">
            <w:pPr>
              <w:pStyle w:val="TAL"/>
              <w:rPr>
                <w:rFonts w:cs="Arial"/>
                <w:szCs w:val="18"/>
                <w:lang w:eastAsia="zh-CN"/>
              </w:rPr>
            </w:pPr>
            <w:r>
              <w:t>Identifies an NF instance.</w:t>
            </w:r>
          </w:p>
        </w:tc>
        <w:tc>
          <w:tcPr>
            <w:tcW w:w="2498" w:type="dxa"/>
          </w:tcPr>
          <w:p w14:paraId="39101468" w14:textId="77777777" w:rsidR="00F525B2" w:rsidRDefault="00F525B2" w:rsidP="00F525B2">
            <w:pPr>
              <w:pStyle w:val="TAL"/>
            </w:pPr>
            <w:r>
              <w:t>NfLoad</w:t>
            </w:r>
          </w:p>
          <w:p w14:paraId="38EBAB14" w14:textId="77777777" w:rsidR="00F525B2" w:rsidRDefault="00F525B2" w:rsidP="00F525B2">
            <w:pPr>
              <w:pStyle w:val="TAL"/>
              <w:rPr>
                <w:rFonts w:cs="Arial"/>
                <w:szCs w:val="18"/>
              </w:rPr>
            </w:pPr>
            <w:r>
              <w:t>Aggregation</w:t>
            </w:r>
          </w:p>
          <w:p w14:paraId="440EFB2D" w14:textId="77777777" w:rsidR="00F525B2" w:rsidRDefault="00F525B2" w:rsidP="00F525B2">
            <w:pPr>
              <w:pStyle w:val="TAL"/>
              <w:rPr>
                <w:rFonts w:eastAsia="Batang"/>
              </w:rPr>
            </w:pPr>
            <w:r>
              <w:t>SignallingStorm</w:t>
            </w:r>
          </w:p>
        </w:tc>
      </w:tr>
      <w:tr w:rsidR="00F525B2" w14:paraId="73BD8E9D" w14:textId="77777777" w:rsidTr="007605E0">
        <w:trPr>
          <w:jc w:val="center"/>
        </w:trPr>
        <w:tc>
          <w:tcPr>
            <w:tcW w:w="2637" w:type="dxa"/>
          </w:tcPr>
          <w:p w14:paraId="1F2D3E98" w14:textId="77777777" w:rsidR="00F525B2" w:rsidRDefault="00F525B2" w:rsidP="00F525B2">
            <w:pPr>
              <w:pStyle w:val="TAL"/>
            </w:pPr>
            <w:r>
              <w:t>NfSetId</w:t>
            </w:r>
          </w:p>
        </w:tc>
        <w:tc>
          <w:tcPr>
            <w:tcW w:w="2118" w:type="dxa"/>
          </w:tcPr>
          <w:p w14:paraId="25C70471" w14:textId="77777777" w:rsidR="00F525B2" w:rsidRDefault="00F525B2" w:rsidP="00F525B2">
            <w:pPr>
              <w:pStyle w:val="TAL"/>
              <w:rPr>
                <w:rFonts w:cs="Arial"/>
              </w:rPr>
            </w:pPr>
            <w:r>
              <w:rPr>
                <w:rFonts w:cs="Arial"/>
              </w:rPr>
              <w:t>3GPP TS </w:t>
            </w:r>
            <w:r>
              <w:t>29.571 [8]</w:t>
            </w:r>
          </w:p>
        </w:tc>
        <w:tc>
          <w:tcPr>
            <w:tcW w:w="2578" w:type="dxa"/>
          </w:tcPr>
          <w:p w14:paraId="5F0237DE" w14:textId="77777777" w:rsidR="00F525B2" w:rsidRDefault="00F525B2" w:rsidP="00F525B2">
            <w:pPr>
              <w:pStyle w:val="TAL"/>
              <w:rPr>
                <w:rFonts w:cs="Arial"/>
                <w:szCs w:val="18"/>
                <w:lang w:eastAsia="zh-CN"/>
              </w:rPr>
            </w:pPr>
            <w:r>
              <w:t>Identifies an NF Set instance.</w:t>
            </w:r>
          </w:p>
        </w:tc>
        <w:tc>
          <w:tcPr>
            <w:tcW w:w="2498" w:type="dxa"/>
          </w:tcPr>
          <w:p w14:paraId="73263129" w14:textId="77777777" w:rsidR="00F525B2" w:rsidRDefault="00F525B2" w:rsidP="00F525B2">
            <w:pPr>
              <w:pStyle w:val="TAL"/>
              <w:rPr>
                <w:rFonts w:cs="Arial"/>
                <w:szCs w:val="18"/>
              </w:rPr>
            </w:pPr>
            <w:r>
              <w:t>NfLoad</w:t>
            </w:r>
          </w:p>
          <w:p w14:paraId="1B38F938" w14:textId="77777777" w:rsidR="00F525B2" w:rsidRDefault="00F525B2" w:rsidP="00F525B2">
            <w:pPr>
              <w:pStyle w:val="TAL"/>
              <w:rPr>
                <w:rFonts w:eastAsia="Batang"/>
              </w:rPr>
            </w:pPr>
            <w:r>
              <w:t>SignallingStorm</w:t>
            </w:r>
          </w:p>
        </w:tc>
      </w:tr>
      <w:tr w:rsidR="00F525B2" w14:paraId="102C7195" w14:textId="77777777" w:rsidTr="007605E0">
        <w:trPr>
          <w:jc w:val="center"/>
        </w:trPr>
        <w:tc>
          <w:tcPr>
            <w:tcW w:w="2637" w:type="dxa"/>
          </w:tcPr>
          <w:p w14:paraId="4A1522DB" w14:textId="77777777" w:rsidR="00F525B2" w:rsidRDefault="00F525B2" w:rsidP="00F525B2">
            <w:pPr>
              <w:pStyle w:val="TAL"/>
            </w:pPr>
            <w:r>
              <w:t>NFType</w:t>
            </w:r>
          </w:p>
        </w:tc>
        <w:tc>
          <w:tcPr>
            <w:tcW w:w="2118" w:type="dxa"/>
          </w:tcPr>
          <w:p w14:paraId="27E71549" w14:textId="77777777" w:rsidR="00F525B2" w:rsidRDefault="00F525B2" w:rsidP="00F525B2">
            <w:pPr>
              <w:pStyle w:val="TAL"/>
              <w:rPr>
                <w:rFonts w:cs="Arial"/>
              </w:rPr>
            </w:pPr>
            <w:r>
              <w:rPr>
                <w:rFonts w:cs="Arial"/>
                <w:szCs w:val="18"/>
              </w:rPr>
              <w:t>3GPP TS 29.5</w:t>
            </w:r>
            <w:r>
              <w:rPr>
                <w:rFonts w:cs="Arial" w:hint="eastAsia"/>
                <w:szCs w:val="18"/>
                <w:lang w:eastAsia="zh-CN"/>
              </w:rPr>
              <w:t>10</w:t>
            </w:r>
            <w:r>
              <w:rPr>
                <w:rFonts w:cs="Arial"/>
                <w:szCs w:val="18"/>
              </w:rPr>
              <w:t> [12]</w:t>
            </w:r>
          </w:p>
        </w:tc>
        <w:tc>
          <w:tcPr>
            <w:tcW w:w="2578" w:type="dxa"/>
          </w:tcPr>
          <w:p w14:paraId="6728504F" w14:textId="77777777" w:rsidR="00F525B2" w:rsidRDefault="00F525B2" w:rsidP="00F525B2">
            <w:pPr>
              <w:pStyle w:val="TAL"/>
              <w:rPr>
                <w:rFonts w:cs="Arial"/>
                <w:szCs w:val="18"/>
                <w:lang w:eastAsia="zh-CN"/>
              </w:rPr>
            </w:pPr>
            <w:r>
              <w:t>Indentifies a type of NF.</w:t>
            </w:r>
          </w:p>
        </w:tc>
        <w:tc>
          <w:tcPr>
            <w:tcW w:w="2498" w:type="dxa"/>
          </w:tcPr>
          <w:p w14:paraId="109DC8C9" w14:textId="77777777" w:rsidR="00F525B2" w:rsidRDefault="00F525B2" w:rsidP="00F525B2">
            <w:pPr>
              <w:pStyle w:val="TAL"/>
              <w:rPr>
                <w:rFonts w:eastAsia="Batang"/>
              </w:rPr>
            </w:pPr>
            <w:r>
              <w:t>NfLoad</w:t>
            </w:r>
          </w:p>
        </w:tc>
      </w:tr>
      <w:tr w:rsidR="00F525B2" w14:paraId="4BF7FBDF" w14:textId="77777777" w:rsidTr="007605E0">
        <w:trPr>
          <w:jc w:val="center"/>
        </w:trPr>
        <w:tc>
          <w:tcPr>
            <w:tcW w:w="2637" w:type="dxa"/>
          </w:tcPr>
          <w:p w14:paraId="140E1B34" w14:textId="77777777" w:rsidR="00F525B2" w:rsidRDefault="00F525B2" w:rsidP="00F525B2">
            <w:pPr>
              <w:pStyle w:val="TAL"/>
            </w:pPr>
            <w:r>
              <w:t>NsiId</w:t>
            </w:r>
          </w:p>
        </w:tc>
        <w:tc>
          <w:tcPr>
            <w:tcW w:w="2118" w:type="dxa"/>
          </w:tcPr>
          <w:p w14:paraId="7C364499" w14:textId="77777777" w:rsidR="00F525B2" w:rsidRDefault="00F525B2" w:rsidP="00F525B2">
            <w:pPr>
              <w:pStyle w:val="TAL"/>
              <w:rPr>
                <w:rFonts w:cs="Arial"/>
                <w:szCs w:val="18"/>
              </w:rPr>
            </w:pPr>
            <w:r>
              <w:rPr>
                <w:rFonts w:cs="Arial"/>
                <w:szCs w:val="18"/>
              </w:rPr>
              <w:t>3GPP TS 29.531 [24]</w:t>
            </w:r>
          </w:p>
        </w:tc>
        <w:tc>
          <w:tcPr>
            <w:tcW w:w="2578" w:type="dxa"/>
          </w:tcPr>
          <w:p w14:paraId="48F28FF4" w14:textId="77777777" w:rsidR="00F525B2" w:rsidRDefault="00F525B2" w:rsidP="00F525B2">
            <w:pPr>
              <w:pStyle w:val="TAL"/>
            </w:pPr>
            <w:r>
              <w:t>Identifies a Network Slice Instance.</w:t>
            </w:r>
          </w:p>
        </w:tc>
        <w:tc>
          <w:tcPr>
            <w:tcW w:w="2498" w:type="dxa"/>
          </w:tcPr>
          <w:p w14:paraId="1C894C8C" w14:textId="77777777" w:rsidR="00F525B2" w:rsidRDefault="00F525B2" w:rsidP="00F525B2">
            <w:pPr>
              <w:pStyle w:val="TAL"/>
            </w:pPr>
            <w:r>
              <w:t>ServiceExperience</w:t>
            </w:r>
          </w:p>
          <w:p w14:paraId="5A4A6695" w14:textId="77777777" w:rsidR="00F525B2" w:rsidRDefault="00F525B2" w:rsidP="00F525B2">
            <w:pPr>
              <w:pStyle w:val="TAL"/>
            </w:pPr>
            <w:r>
              <w:t>NsiLoad</w:t>
            </w:r>
          </w:p>
          <w:p w14:paraId="734E4628" w14:textId="77777777" w:rsidR="00F525B2" w:rsidRDefault="00F525B2" w:rsidP="00F525B2">
            <w:pPr>
              <w:pStyle w:val="TAL"/>
            </w:pPr>
            <w:r>
              <w:rPr>
                <w:rFonts w:eastAsia="Batang"/>
              </w:rPr>
              <w:t>DnPerformance</w:t>
            </w:r>
          </w:p>
          <w:p w14:paraId="1CE6592E" w14:textId="77777777" w:rsidR="00F525B2" w:rsidRDefault="00F525B2" w:rsidP="00F525B2">
            <w:pPr>
              <w:pStyle w:val="TAL"/>
            </w:pPr>
            <w:r>
              <w:rPr>
                <w:lang w:eastAsia="zh-CN"/>
              </w:rPr>
              <w:t>QoSPolicyAssist</w:t>
            </w:r>
          </w:p>
        </w:tc>
      </w:tr>
      <w:tr w:rsidR="00F525B2" w14:paraId="51E75FFC" w14:textId="77777777" w:rsidTr="007605E0">
        <w:trPr>
          <w:jc w:val="center"/>
        </w:trPr>
        <w:tc>
          <w:tcPr>
            <w:tcW w:w="2637" w:type="dxa"/>
          </w:tcPr>
          <w:p w14:paraId="038682C4" w14:textId="77777777" w:rsidR="00F525B2" w:rsidRDefault="00F525B2" w:rsidP="00F525B2">
            <w:pPr>
              <w:pStyle w:val="TAL"/>
            </w:pPr>
            <w:r>
              <w:t>PacketDelBudget</w:t>
            </w:r>
          </w:p>
        </w:tc>
        <w:tc>
          <w:tcPr>
            <w:tcW w:w="2118" w:type="dxa"/>
          </w:tcPr>
          <w:p w14:paraId="5A534A21" w14:textId="77777777" w:rsidR="00F525B2" w:rsidRDefault="00F525B2" w:rsidP="00F525B2">
            <w:pPr>
              <w:pStyle w:val="TAL"/>
            </w:pPr>
            <w:r>
              <w:t>3GPP TS 29.571 [8]</w:t>
            </w:r>
          </w:p>
        </w:tc>
        <w:tc>
          <w:tcPr>
            <w:tcW w:w="2578" w:type="dxa"/>
          </w:tcPr>
          <w:p w14:paraId="484FC548" w14:textId="77777777" w:rsidR="00F525B2" w:rsidRDefault="00F525B2" w:rsidP="00F525B2">
            <w:pPr>
              <w:pStyle w:val="TAL"/>
            </w:pPr>
            <w:r>
              <w:t>Represents the packet delay budget.</w:t>
            </w:r>
          </w:p>
        </w:tc>
        <w:tc>
          <w:tcPr>
            <w:tcW w:w="2498" w:type="dxa"/>
          </w:tcPr>
          <w:p w14:paraId="37502736" w14:textId="77777777" w:rsidR="00F525B2" w:rsidRDefault="00F525B2" w:rsidP="00F525B2">
            <w:pPr>
              <w:pStyle w:val="TAL"/>
            </w:pPr>
            <w:r>
              <w:t>QoSSustainability</w:t>
            </w:r>
          </w:p>
          <w:p w14:paraId="18FD041B" w14:textId="77777777" w:rsidR="00F525B2" w:rsidRDefault="00F525B2" w:rsidP="00F525B2">
            <w:pPr>
              <w:pStyle w:val="TAL"/>
              <w:rPr>
                <w:rFonts w:eastAsia="Batang"/>
              </w:rPr>
            </w:pPr>
            <w:r>
              <w:rPr>
                <w:rFonts w:eastAsia="Batang"/>
              </w:rPr>
              <w:t>DnPerformance</w:t>
            </w:r>
          </w:p>
          <w:p w14:paraId="3D935035" w14:textId="77777777" w:rsidR="00F525B2" w:rsidRDefault="00F525B2" w:rsidP="00F525B2">
            <w:pPr>
              <w:pStyle w:val="TAL"/>
              <w:rPr>
                <w:lang w:eastAsia="zh-CN"/>
              </w:rPr>
            </w:pPr>
            <w:r>
              <w:t>RedundantTransExpExt</w:t>
            </w:r>
            <w:r>
              <w:rPr>
                <w:lang w:eastAsia="zh-CN"/>
              </w:rPr>
              <w:t>_eNA</w:t>
            </w:r>
          </w:p>
          <w:p w14:paraId="5778D745" w14:textId="77777777" w:rsidR="00F525B2" w:rsidRDefault="00F525B2" w:rsidP="00F525B2">
            <w:pPr>
              <w:pStyle w:val="TAL"/>
            </w:pPr>
            <w:r>
              <w:rPr>
                <w:lang w:eastAsia="zh-CN"/>
              </w:rPr>
              <w:t>QoSPolicyAssist</w:t>
            </w:r>
          </w:p>
        </w:tc>
      </w:tr>
      <w:tr w:rsidR="00F525B2" w14:paraId="45C9379E" w14:textId="77777777" w:rsidTr="007605E0">
        <w:trPr>
          <w:jc w:val="center"/>
        </w:trPr>
        <w:tc>
          <w:tcPr>
            <w:tcW w:w="2637" w:type="dxa"/>
          </w:tcPr>
          <w:p w14:paraId="345A324B" w14:textId="77777777" w:rsidR="00F525B2" w:rsidRDefault="00F525B2" w:rsidP="00F525B2">
            <w:pPr>
              <w:pStyle w:val="TAL"/>
            </w:pPr>
            <w:r>
              <w:t>PacketErrRate</w:t>
            </w:r>
          </w:p>
        </w:tc>
        <w:tc>
          <w:tcPr>
            <w:tcW w:w="2118" w:type="dxa"/>
          </w:tcPr>
          <w:p w14:paraId="034848BB" w14:textId="77777777" w:rsidR="00F525B2" w:rsidRDefault="00F525B2" w:rsidP="00F525B2">
            <w:pPr>
              <w:pStyle w:val="TAL"/>
            </w:pPr>
            <w:r>
              <w:t>3GPP TS 29.571 [8]</w:t>
            </w:r>
          </w:p>
        </w:tc>
        <w:tc>
          <w:tcPr>
            <w:tcW w:w="2578" w:type="dxa"/>
          </w:tcPr>
          <w:p w14:paraId="071AED7A" w14:textId="77777777" w:rsidR="00F525B2" w:rsidRDefault="00F525B2" w:rsidP="00F525B2">
            <w:pPr>
              <w:pStyle w:val="TAL"/>
            </w:pPr>
            <w:r>
              <w:t>Represents the packet error rate.</w:t>
            </w:r>
          </w:p>
        </w:tc>
        <w:tc>
          <w:tcPr>
            <w:tcW w:w="2498" w:type="dxa"/>
          </w:tcPr>
          <w:p w14:paraId="2F151600" w14:textId="77777777" w:rsidR="00F525B2" w:rsidRDefault="00F525B2" w:rsidP="00F525B2">
            <w:pPr>
              <w:pStyle w:val="TAL"/>
              <w:rPr>
                <w:lang w:eastAsia="zh-CN"/>
              </w:rPr>
            </w:pPr>
            <w:r>
              <w:t>QoSSustainability</w:t>
            </w:r>
          </w:p>
          <w:p w14:paraId="56F9BCB4" w14:textId="77777777" w:rsidR="00F525B2" w:rsidRDefault="00F525B2" w:rsidP="00F525B2">
            <w:pPr>
              <w:pStyle w:val="TAL"/>
            </w:pPr>
            <w:r>
              <w:rPr>
                <w:lang w:eastAsia="zh-CN"/>
              </w:rPr>
              <w:t>QoSPolicyAssist</w:t>
            </w:r>
          </w:p>
        </w:tc>
      </w:tr>
      <w:tr w:rsidR="00F525B2" w14:paraId="10D21AD6" w14:textId="77777777" w:rsidTr="007605E0">
        <w:trPr>
          <w:jc w:val="center"/>
        </w:trPr>
        <w:tc>
          <w:tcPr>
            <w:tcW w:w="2637" w:type="dxa"/>
          </w:tcPr>
          <w:p w14:paraId="5367920C" w14:textId="77777777" w:rsidR="00F525B2" w:rsidRDefault="00F525B2" w:rsidP="00F525B2">
            <w:pPr>
              <w:pStyle w:val="TAL"/>
            </w:pPr>
            <w:r>
              <w:t>PacketLossRate</w:t>
            </w:r>
          </w:p>
        </w:tc>
        <w:tc>
          <w:tcPr>
            <w:tcW w:w="2118" w:type="dxa"/>
          </w:tcPr>
          <w:p w14:paraId="475AB48B" w14:textId="77777777" w:rsidR="00F525B2" w:rsidRDefault="00F525B2" w:rsidP="00F525B2">
            <w:pPr>
              <w:pStyle w:val="TAL"/>
            </w:pPr>
            <w:r>
              <w:rPr>
                <w:rFonts w:cs="Arial"/>
              </w:rPr>
              <w:t>3GPP TS 29.517 [22]</w:t>
            </w:r>
          </w:p>
        </w:tc>
        <w:tc>
          <w:tcPr>
            <w:tcW w:w="2578" w:type="dxa"/>
          </w:tcPr>
          <w:p w14:paraId="7DCD1EB2" w14:textId="77777777" w:rsidR="00F525B2" w:rsidRDefault="00F525B2" w:rsidP="00F525B2">
            <w:pPr>
              <w:pStyle w:val="TAL"/>
            </w:pPr>
            <w:r>
              <w:rPr>
                <w:lang w:eastAsia="zh-CN"/>
              </w:rPr>
              <w:t>Indicates Packet Loss Rate.</w:t>
            </w:r>
          </w:p>
        </w:tc>
        <w:tc>
          <w:tcPr>
            <w:tcW w:w="2498" w:type="dxa"/>
          </w:tcPr>
          <w:p w14:paraId="411F8993" w14:textId="77777777" w:rsidR="00F525B2" w:rsidRDefault="00F525B2" w:rsidP="00F525B2">
            <w:pPr>
              <w:pStyle w:val="TAL"/>
            </w:pPr>
            <w:r>
              <w:rPr>
                <w:lang w:eastAsia="zh-CN"/>
              </w:rPr>
              <w:t>Dn</w:t>
            </w:r>
            <w:r>
              <w:t>Performance</w:t>
            </w:r>
          </w:p>
          <w:p w14:paraId="71EDB06E" w14:textId="77777777" w:rsidR="00F525B2" w:rsidRDefault="00F525B2" w:rsidP="00F525B2">
            <w:pPr>
              <w:pStyle w:val="TAL"/>
              <w:rPr>
                <w:lang w:eastAsia="zh-CN"/>
              </w:rPr>
            </w:pPr>
            <w:r>
              <w:t>RedundantTransExpExt</w:t>
            </w:r>
            <w:r>
              <w:rPr>
                <w:lang w:eastAsia="zh-CN"/>
              </w:rPr>
              <w:t>_eNA</w:t>
            </w:r>
          </w:p>
          <w:p w14:paraId="4696589B" w14:textId="77777777" w:rsidR="00F525B2" w:rsidRDefault="00F525B2" w:rsidP="00F525B2">
            <w:pPr>
              <w:pStyle w:val="TAL"/>
            </w:pPr>
            <w:r>
              <w:rPr>
                <w:lang w:eastAsia="zh-CN"/>
              </w:rPr>
              <w:t>QoSPolicyAssist</w:t>
            </w:r>
          </w:p>
        </w:tc>
      </w:tr>
      <w:tr w:rsidR="00F525B2" w14:paraId="06DC55DA" w14:textId="77777777" w:rsidTr="007605E0">
        <w:trPr>
          <w:jc w:val="center"/>
        </w:trPr>
        <w:tc>
          <w:tcPr>
            <w:tcW w:w="2637" w:type="dxa"/>
          </w:tcPr>
          <w:p w14:paraId="675C4620" w14:textId="77777777" w:rsidR="00F525B2" w:rsidRDefault="00F525B2" w:rsidP="00F525B2">
            <w:pPr>
              <w:pStyle w:val="TAL"/>
            </w:pPr>
            <w:r>
              <w:lastRenderedPageBreak/>
              <w:t>PduSessionId</w:t>
            </w:r>
          </w:p>
        </w:tc>
        <w:tc>
          <w:tcPr>
            <w:tcW w:w="2118" w:type="dxa"/>
          </w:tcPr>
          <w:p w14:paraId="59FB3747" w14:textId="77777777" w:rsidR="00F525B2" w:rsidRDefault="00F525B2" w:rsidP="00F525B2">
            <w:pPr>
              <w:pStyle w:val="TAL"/>
              <w:rPr>
                <w:rFonts w:cs="Arial"/>
              </w:rPr>
            </w:pPr>
            <w:r>
              <w:rPr>
                <w:rFonts w:cs="Arial" w:hint="eastAsia"/>
                <w:lang w:eastAsia="ja-JP"/>
              </w:rPr>
              <w:t>3</w:t>
            </w:r>
            <w:r>
              <w:rPr>
                <w:rFonts w:cs="Arial"/>
              </w:rPr>
              <w:t>GPP </w:t>
            </w:r>
            <w:r>
              <w:t>TS 29.571 [8]</w:t>
            </w:r>
          </w:p>
        </w:tc>
        <w:tc>
          <w:tcPr>
            <w:tcW w:w="2578" w:type="dxa"/>
          </w:tcPr>
          <w:p w14:paraId="15849016" w14:textId="77777777" w:rsidR="00F525B2" w:rsidRDefault="00F525B2" w:rsidP="00F525B2">
            <w:pPr>
              <w:pStyle w:val="TAL"/>
              <w:rPr>
                <w:lang w:eastAsia="zh-CN"/>
              </w:rPr>
            </w:pPr>
            <w:r>
              <w:t>Identifies PDU Session</w:t>
            </w:r>
          </w:p>
        </w:tc>
        <w:tc>
          <w:tcPr>
            <w:tcW w:w="2498" w:type="dxa"/>
          </w:tcPr>
          <w:p w14:paraId="1998680C" w14:textId="77777777" w:rsidR="00F525B2" w:rsidRDefault="00F525B2" w:rsidP="00F525B2">
            <w:pPr>
              <w:pStyle w:val="TAL"/>
              <w:rPr>
                <w:lang w:eastAsia="zh-CN"/>
              </w:rPr>
            </w:pPr>
          </w:p>
        </w:tc>
      </w:tr>
      <w:tr w:rsidR="00F525B2" w14:paraId="08327DA1" w14:textId="77777777" w:rsidTr="007605E0">
        <w:trPr>
          <w:jc w:val="center"/>
        </w:trPr>
        <w:tc>
          <w:tcPr>
            <w:tcW w:w="2637" w:type="dxa"/>
          </w:tcPr>
          <w:p w14:paraId="4DD6363B" w14:textId="77777777" w:rsidR="00F525B2" w:rsidRDefault="00F525B2" w:rsidP="00F525B2">
            <w:pPr>
              <w:pStyle w:val="TAL"/>
            </w:pPr>
            <w:r>
              <w:t>PduSessionType</w:t>
            </w:r>
          </w:p>
        </w:tc>
        <w:tc>
          <w:tcPr>
            <w:tcW w:w="2118" w:type="dxa"/>
          </w:tcPr>
          <w:p w14:paraId="2DEB4B74" w14:textId="77777777" w:rsidR="00F525B2" w:rsidRDefault="00F525B2" w:rsidP="00F525B2">
            <w:pPr>
              <w:pStyle w:val="TAL"/>
              <w:rPr>
                <w:rFonts w:cs="Arial"/>
                <w:lang w:eastAsia="ja-JP"/>
              </w:rPr>
            </w:pPr>
            <w:r>
              <w:rPr>
                <w:rFonts w:cs="Arial" w:hint="eastAsia"/>
                <w:lang w:eastAsia="ja-JP"/>
              </w:rPr>
              <w:t>3</w:t>
            </w:r>
            <w:r>
              <w:rPr>
                <w:rFonts w:cs="Arial"/>
              </w:rPr>
              <w:t>GPP </w:t>
            </w:r>
            <w:r>
              <w:t>TS 29.571 [8]</w:t>
            </w:r>
          </w:p>
        </w:tc>
        <w:tc>
          <w:tcPr>
            <w:tcW w:w="2578" w:type="dxa"/>
          </w:tcPr>
          <w:p w14:paraId="36BA68B3" w14:textId="77777777" w:rsidR="00F525B2" w:rsidRDefault="00F525B2" w:rsidP="00F525B2">
            <w:pPr>
              <w:pStyle w:val="TAL"/>
            </w:pPr>
            <w:r>
              <w:t>Identifies the PDU Session Type.</w:t>
            </w:r>
          </w:p>
        </w:tc>
        <w:tc>
          <w:tcPr>
            <w:tcW w:w="2498" w:type="dxa"/>
          </w:tcPr>
          <w:p w14:paraId="284F606A" w14:textId="77777777" w:rsidR="00F525B2" w:rsidRDefault="00F525B2" w:rsidP="00F525B2">
            <w:pPr>
              <w:pStyle w:val="TAL"/>
              <w:rPr>
                <w:lang w:eastAsia="zh-CN"/>
              </w:rPr>
            </w:pPr>
            <w:r>
              <w:rPr>
                <w:lang w:eastAsia="zh-CN"/>
              </w:rPr>
              <w:t>ServiceExperienceExt2_eNA</w:t>
            </w:r>
          </w:p>
        </w:tc>
      </w:tr>
      <w:tr w:rsidR="00F525B2" w14:paraId="08BEE7C3" w14:textId="77777777" w:rsidTr="007605E0">
        <w:trPr>
          <w:jc w:val="center"/>
        </w:trPr>
        <w:tc>
          <w:tcPr>
            <w:tcW w:w="2637" w:type="dxa"/>
          </w:tcPr>
          <w:p w14:paraId="140A4908" w14:textId="77777777" w:rsidR="00F525B2" w:rsidRDefault="00F525B2" w:rsidP="00F525B2">
            <w:pPr>
              <w:pStyle w:val="TAL"/>
            </w:pPr>
            <w:r>
              <w:t>PlmnIdNid</w:t>
            </w:r>
          </w:p>
        </w:tc>
        <w:tc>
          <w:tcPr>
            <w:tcW w:w="2118" w:type="dxa"/>
          </w:tcPr>
          <w:p w14:paraId="69A06C94" w14:textId="77777777" w:rsidR="00F525B2" w:rsidRDefault="00F525B2" w:rsidP="00F525B2">
            <w:pPr>
              <w:pStyle w:val="TAL"/>
              <w:rPr>
                <w:rFonts w:cs="Arial"/>
                <w:lang w:eastAsia="ja-JP"/>
              </w:rPr>
            </w:pPr>
            <w:r>
              <w:rPr>
                <w:rFonts w:cs="Arial" w:hint="eastAsia"/>
                <w:lang w:eastAsia="ja-JP"/>
              </w:rPr>
              <w:t>3</w:t>
            </w:r>
            <w:r>
              <w:rPr>
                <w:rFonts w:cs="Arial"/>
              </w:rPr>
              <w:t>GPP </w:t>
            </w:r>
            <w:r>
              <w:t>TS 29.571 [8]</w:t>
            </w:r>
          </w:p>
        </w:tc>
        <w:tc>
          <w:tcPr>
            <w:tcW w:w="2578" w:type="dxa"/>
          </w:tcPr>
          <w:p w14:paraId="4A725E34" w14:textId="77777777" w:rsidR="00F525B2" w:rsidRDefault="00F525B2" w:rsidP="00F525B2">
            <w:pPr>
              <w:pStyle w:val="TAL"/>
            </w:pPr>
            <w:r>
              <w:t>PLMN identifier.</w:t>
            </w:r>
          </w:p>
        </w:tc>
        <w:tc>
          <w:tcPr>
            <w:tcW w:w="2498" w:type="dxa"/>
          </w:tcPr>
          <w:p w14:paraId="2094D512" w14:textId="77777777" w:rsidR="00F525B2" w:rsidRDefault="00F525B2" w:rsidP="00F525B2">
            <w:pPr>
              <w:pStyle w:val="TAL"/>
              <w:rPr>
                <w:lang w:eastAsia="zh-CN"/>
              </w:rPr>
            </w:pPr>
            <w:r>
              <w:rPr>
                <w:lang w:eastAsia="zh-CN"/>
              </w:rPr>
              <w:t>RoamingAnalytics</w:t>
            </w:r>
          </w:p>
        </w:tc>
      </w:tr>
      <w:tr w:rsidR="00F525B2" w14:paraId="6F6959D2" w14:textId="77777777" w:rsidTr="007605E0">
        <w:trPr>
          <w:jc w:val="center"/>
        </w:trPr>
        <w:tc>
          <w:tcPr>
            <w:tcW w:w="2637" w:type="dxa"/>
          </w:tcPr>
          <w:p w14:paraId="1ECDDD9D" w14:textId="77777777" w:rsidR="00F525B2" w:rsidRDefault="00F525B2" w:rsidP="00F525B2">
            <w:pPr>
              <w:pStyle w:val="TAL"/>
            </w:pPr>
            <w:r>
              <w:t>Point</w:t>
            </w:r>
          </w:p>
        </w:tc>
        <w:tc>
          <w:tcPr>
            <w:tcW w:w="2118" w:type="dxa"/>
          </w:tcPr>
          <w:p w14:paraId="5ABB853C" w14:textId="77777777" w:rsidR="00F525B2" w:rsidRDefault="00F525B2" w:rsidP="00F525B2">
            <w:pPr>
              <w:pStyle w:val="TAL"/>
              <w:rPr>
                <w:rFonts w:cs="Arial"/>
                <w:lang w:eastAsia="ja-JP"/>
              </w:rPr>
            </w:pPr>
            <w:r>
              <w:rPr>
                <w:lang w:eastAsia="en-GB"/>
              </w:rPr>
              <w:t>3GPP TS 29.572</w:t>
            </w:r>
            <w:r>
              <w:t> [30]</w:t>
            </w:r>
          </w:p>
        </w:tc>
        <w:tc>
          <w:tcPr>
            <w:tcW w:w="2578" w:type="dxa"/>
          </w:tcPr>
          <w:p w14:paraId="66F32749" w14:textId="77777777" w:rsidR="00F525B2" w:rsidRDefault="00F525B2" w:rsidP="00F525B2">
            <w:pPr>
              <w:pStyle w:val="TAL"/>
            </w:pPr>
            <w:r>
              <w:t>Represents a location in geographical co-ordinates.</w:t>
            </w:r>
          </w:p>
        </w:tc>
        <w:tc>
          <w:tcPr>
            <w:tcW w:w="2498" w:type="dxa"/>
          </w:tcPr>
          <w:p w14:paraId="19370938" w14:textId="77777777" w:rsidR="00F525B2" w:rsidRDefault="00F525B2" w:rsidP="00F525B2">
            <w:pPr>
              <w:pStyle w:val="TAL"/>
              <w:rPr>
                <w:lang w:eastAsia="zh-CN"/>
              </w:rPr>
            </w:pPr>
            <w:r>
              <w:rPr>
                <w:lang w:eastAsia="zh-CN"/>
              </w:rPr>
              <w:t>LocAccuracy</w:t>
            </w:r>
          </w:p>
        </w:tc>
      </w:tr>
      <w:tr w:rsidR="00F525B2" w14:paraId="016B4792" w14:textId="77777777" w:rsidTr="007605E0">
        <w:trPr>
          <w:jc w:val="center"/>
        </w:trPr>
        <w:tc>
          <w:tcPr>
            <w:tcW w:w="2637" w:type="dxa"/>
          </w:tcPr>
          <w:p w14:paraId="37A7BB23" w14:textId="77777777" w:rsidR="00F525B2" w:rsidRDefault="00F525B2" w:rsidP="00F525B2">
            <w:pPr>
              <w:pStyle w:val="TAL"/>
            </w:pPr>
            <w:r>
              <w:t>PointAltitude</w:t>
            </w:r>
          </w:p>
        </w:tc>
        <w:tc>
          <w:tcPr>
            <w:tcW w:w="2118" w:type="dxa"/>
          </w:tcPr>
          <w:p w14:paraId="38C2EC48" w14:textId="77777777" w:rsidR="00F525B2" w:rsidRDefault="00F525B2" w:rsidP="00F525B2">
            <w:pPr>
              <w:pStyle w:val="TAL"/>
              <w:rPr>
                <w:rFonts w:cs="Arial"/>
                <w:lang w:eastAsia="ja-JP"/>
              </w:rPr>
            </w:pPr>
            <w:r>
              <w:rPr>
                <w:lang w:eastAsia="en-GB"/>
              </w:rPr>
              <w:t>3GPP TS 29.572</w:t>
            </w:r>
            <w:r>
              <w:t> [30]</w:t>
            </w:r>
          </w:p>
        </w:tc>
        <w:tc>
          <w:tcPr>
            <w:tcW w:w="2578" w:type="dxa"/>
          </w:tcPr>
          <w:p w14:paraId="28EF5356" w14:textId="77777777" w:rsidR="00F525B2" w:rsidRDefault="00F525B2" w:rsidP="00F525B2">
            <w:pPr>
              <w:pStyle w:val="TAL"/>
            </w:pPr>
            <w:r>
              <w:t>Represents a location including an altitude in geographical co-ordinates.</w:t>
            </w:r>
          </w:p>
        </w:tc>
        <w:tc>
          <w:tcPr>
            <w:tcW w:w="2498" w:type="dxa"/>
          </w:tcPr>
          <w:p w14:paraId="005CC12B" w14:textId="77777777" w:rsidR="00F525B2" w:rsidRDefault="00F525B2" w:rsidP="00F525B2">
            <w:pPr>
              <w:pStyle w:val="TAL"/>
              <w:rPr>
                <w:lang w:eastAsia="zh-CN"/>
              </w:rPr>
            </w:pPr>
            <w:r>
              <w:rPr>
                <w:lang w:eastAsia="zh-CN"/>
              </w:rPr>
              <w:t>LocAccuracy</w:t>
            </w:r>
          </w:p>
        </w:tc>
      </w:tr>
      <w:tr w:rsidR="00F525B2" w14:paraId="364B85D0" w14:textId="77777777" w:rsidTr="007605E0">
        <w:trPr>
          <w:jc w:val="center"/>
        </w:trPr>
        <w:tc>
          <w:tcPr>
            <w:tcW w:w="2637" w:type="dxa"/>
          </w:tcPr>
          <w:p w14:paraId="0BA56151" w14:textId="77777777" w:rsidR="00F525B2" w:rsidRPr="000E754F" w:rsidRDefault="00F525B2" w:rsidP="00F525B2">
            <w:pPr>
              <w:pStyle w:val="TAL"/>
            </w:pPr>
            <w:r w:rsidRPr="000E754F">
              <w:t>PointAltitudeUncertainty</w:t>
            </w:r>
          </w:p>
        </w:tc>
        <w:tc>
          <w:tcPr>
            <w:tcW w:w="2118" w:type="dxa"/>
          </w:tcPr>
          <w:p w14:paraId="629327E5" w14:textId="77777777" w:rsidR="00F525B2" w:rsidRDefault="00F525B2" w:rsidP="00F525B2">
            <w:pPr>
              <w:pStyle w:val="TAL"/>
              <w:rPr>
                <w:lang w:eastAsia="en-GB"/>
              </w:rPr>
            </w:pPr>
            <w:r>
              <w:rPr>
                <w:lang w:eastAsia="en-GB"/>
              </w:rPr>
              <w:t>3GPP TS 29.572 [30]</w:t>
            </w:r>
          </w:p>
        </w:tc>
        <w:tc>
          <w:tcPr>
            <w:tcW w:w="2578" w:type="dxa"/>
          </w:tcPr>
          <w:p w14:paraId="426E5595" w14:textId="77777777" w:rsidR="00F525B2" w:rsidRPr="000E754F" w:rsidRDefault="00F525B2" w:rsidP="00F525B2">
            <w:pPr>
              <w:pStyle w:val="TAL"/>
            </w:pPr>
            <w:r w:rsidRPr="000E754F">
              <w:t>Ellipsoid point with altitude and uncertainty ellipsoid</w:t>
            </w:r>
            <w:r>
              <w:t>.</w:t>
            </w:r>
          </w:p>
        </w:tc>
        <w:tc>
          <w:tcPr>
            <w:tcW w:w="2498" w:type="dxa"/>
          </w:tcPr>
          <w:p w14:paraId="1DD6035B" w14:textId="77777777" w:rsidR="00F525B2" w:rsidRPr="000E754F" w:rsidRDefault="00F525B2" w:rsidP="00F525B2">
            <w:pPr>
              <w:pStyle w:val="TAL"/>
              <w:rPr>
                <w:lang w:eastAsia="zh-CN"/>
              </w:rPr>
            </w:pPr>
            <w:r w:rsidRPr="000E754F">
              <w:rPr>
                <w:lang w:eastAsia="zh-CN"/>
              </w:rPr>
              <w:t>RelativeProximityExt</w:t>
            </w:r>
          </w:p>
        </w:tc>
      </w:tr>
      <w:tr w:rsidR="00F525B2" w14:paraId="632BA686" w14:textId="77777777" w:rsidTr="007605E0">
        <w:trPr>
          <w:jc w:val="center"/>
        </w:trPr>
        <w:tc>
          <w:tcPr>
            <w:tcW w:w="2637" w:type="dxa"/>
          </w:tcPr>
          <w:p w14:paraId="0A59488B" w14:textId="77777777" w:rsidR="00F525B2" w:rsidRDefault="00F525B2" w:rsidP="00F525B2">
            <w:pPr>
              <w:pStyle w:val="TAL"/>
            </w:pPr>
            <w:r>
              <w:t>PositioningMethod</w:t>
            </w:r>
          </w:p>
        </w:tc>
        <w:tc>
          <w:tcPr>
            <w:tcW w:w="2118" w:type="dxa"/>
          </w:tcPr>
          <w:p w14:paraId="1E40B704" w14:textId="77777777" w:rsidR="00F525B2" w:rsidRDefault="00F525B2" w:rsidP="00F525B2">
            <w:pPr>
              <w:pStyle w:val="TAL"/>
              <w:rPr>
                <w:rFonts w:cs="Arial"/>
                <w:lang w:eastAsia="ja-JP"/>
              </w:rPr>
            </w:pPr>
            <w:r>
              <w:rPr>
                <w:lang w:eastAsia="en-GB"/>
              </w:rPr>
              <w:t>3GPP TS 29.572</w:t>
            </w:r>
            <w:r>
              <w:t> [30]</w:t>
            </w:r>
          </w:p>
        </w:tc>
        <w:tc>
          <w:tcPr>
            <w:tcW w:w="2578" w:type="dxa"/>
          </w:tcPr>
          <w:p w14:paraId="33B9E8F9" w14:textId="77777777" w:rsidR="00F525B2" w:rsidRDefault="00F525B2" w:rsidP="00F525B2">
            <w:pPr>
              <w:pStyle w:val="TAL"/>
            </w:pPr>
            <w:r>
              <w:t>Represents a positioning method.</w:t>
            </w:r>
          </w:p>
        </w:tc>
        <w:tc>
          <w:tcPr>
            <w:tcW w:w="2498" w:type="dxa"/>
          </w:tcPr>
          <w:p w14:paraId="7E2B6E19" w14:textId="77777777" w:rsidR="00F525B2" w:rsidRDefault="00F525B2" w:rsidP="00F525B2">
            <w:pPr>
              <w:pStyle w:val="TAL"/>
              <w:rPr>
                <w:lang w:eastAsia="zh-CN"/>
              </w:rPr>
            </w:pPr>
            <w:r>
              <w:rPr>
                <w:lang w:eastAsia="zh-CN"/>
              </w:rPr>
              <w:t>LocAccuracy</w:t>
            </w:r>
          </w:p>
        </w:tc>
      </w:tr>
      <w:tr w:rsidR="00F525B2" w14:paraId="5D2297C1" w14:textId="77777777" w:rsidTr="007605E0">
        <w:trPr>
          <w:jc w:val="center"/>
        </w:trPr>
        <w:tc>
          <w:tcPr>
            <w:tcW w:w="2637" w:type="dxa"/>
          </w:tcPr>
          <w:p w14:paraId="1CA03CD2" w14:textId="77777777" w:rsidR="00F525B2" w:rsidRDefault="00F525B2" w:rsidP="00F525B2">
            <w:pPr>
              <w:pStyle w:val="TAL"/>
            </w:pPr>
            <w:r>
              <w:t>ProblemDetails</w:t>
            </w:r>
          </w:p>
        </w:tc>
        <w:tc>
          <w:tcPr>
            <w:tcW w:w="2118" w:type="dxa"/>
          </w:tcPr>
          <w:p w14:paraId="4A4A0B78" w14:textId="77777777" w:rsidR="00F525B2" w:rsidRDefault="00F525B2" w:rsidP="00F525B2">
            <w:pPr>
              <w:pStyle w:val="TAL"/>
            </w:pPr>
            <w:r>
              <w:rPr>
                <w:rFonts w:cs="Arial"/>
              </w:rPr>
              <w:t>3GPP TS 29.571 [8]</w:t>
            </w:r>
          </w:p>
        </w:tc>
        <w:tc>
          <w:tcPr>
            <w:tcW w:w="2578" w:type="dxa"/>
          </w:tcPr>
          <w:p w14:paraId="15A6E9DD" w14:textId="77777777" w:rsidR="00F525B2" w:rsidRDefault="00F525B2" w:rsidP="00F525B2">
            <w:pPr>
              <w:pStyle w:val="TAL"/>
              <w:rPr>
                <w:rFonts w:cs="Arial"/>
                <w:szCs w:val="18"/>
              </w:rPr>
            </w:pPr>
            <w:r>
              <w:rPr>
                <w:rFonts w:cs="Arial"/>
                <w:szCs w:val="18"/>
                <w:lang w:eastAsia="zh-CN"/>
              </w:rPr>
              <w:t>Used in error responses to provide more detailed information about an error.</w:t>
            </w:r>
          </w:p>
        </w:tc>
        <w:tc>
          <w:tcPr>
            <w:tcW w:w="2498" w:type="dxa"/>
          </w:tcPr>
          <w:p w14:paraId="3F669302" w14:textId="77777777" w:rsidR="00F525B2" w:rsidRDefault="00F525B2" w:rsidP="00F525B2">
            <w:pPr>
              <w:pStyle w:val="TAL"/>
              <w:rPr>
                <w:rFonts w:cs="Arial"/>
                <w:szCs w:val="18"/>
              </w:rPr>
            </w:pPr>
          </w:p>
        </w:tc>
      </w:tr>
      <w:tr w:rsidR="00F525B2" w14:paraId="76312285" w14:textId="77777777" w:rsidTr="007605E0">
        <w:trPr>
          <w:jc w:val="center"/>
        </w:trPr>
        <w:tc>
          <w:tcPr>
            <w:tcW w:w="2637" w:type="dxa"/>
          </w:tcPr>
          <w:p w14:paraId="1324B3C3" w14:textId="77777777" w:rsidR="00F525B2" w:rsidRDefault="00F525B2" w:rsidP="00F525B2">
            <w:pPr>
              <w:pStyle w:val="TAL"/>
            </w:pPr>
            <w:r>
              <w:t>ProcessingInstruction</w:t>
            </w:r>
          </w:p>
        </w:tc>
        <w:tc>
          <w:tcPr>
            <w:tcW w:w="2118" w:type="dxa"/>
          </w:tcPr>
          <w:p w14:paraId="021101DB" w14:textId="77777777" w:rsidR="00F525B2" w:rsidRDefault="00F525B2" w:rsidP="00F525B2">
            <w:pPr>
              <w:pStyle w:val="TAL"/>
              <w:rPr>
                <w:rFonts w:cs="Arial"/>
              </w:rPr>
            </w:pPr>
            <w:r>
              <w:t>3GPP TS 29.574 [26]</w:t>
            </w:r>
          </w:p>
        </w:tc>
        <w:tc>
          <w:tcPr>
            <w:tcW w:w="2578" w:type="dxa"/>
          </w:tcPr>
          <w:p w14:paraId="6180E302" w14:textId="77777777" w:rsidR="00F525B2" w:rsidRDefault="00F525B2" w:rsidP="00F525B2">
            <w:pPr>
              <w:pStyle w:val="TAL"/>
              <w:rPr>
                <w:rFonts w:cs="Arial"/>
                <w:szCs w:val="18"/>
                <w:lang w:eastAsia="zh-CN"/>
              </w:rPr>
            </w:pPr>
            <w:r>
              <w:rPr>
                <w:lang w:eastAsia="zh-CN"/>
              </w:rPr>
              <w:t>Processing Instruction.</w:t>
            </w:r>
          </w:p>
        </w:tc>
        <w:tc>
          <w:tcPr>
            <w:tcW w:w="2498" w:type="dxa"/>
          </w:tcPr>
          <w:p w14:paraId="2891A344" w14:textId="77777777" w:rsidR="00F525B2" w:rsidRDefault="00F525B2" w:rsidP="00F525B2">
            <w:pPr>
              <w:pStyle w:val="TAL"/>
              <w:rPr>
                <w:rFonts w:cs="Arial"/>
                <w:szCs w:val="18"/>
              </w:rPr>
            </w:pPr>
            <w:r>
              <w:rPr>
                <w:lang w:eastAsia="zh-CN"/>
              </w:rPr>
              <w:t>EnAggregation</w:t>
            </w:r>
          </w:p>
        </w:tc>
      </w:tr>
      <w:tr w:rsidR="00F525B2" w14:paraId="3731836C" w14:textId="77777777" w:rsidTr="007605E0">
        <w:trPr>
          <w:jc w:val="center"/>
        </w:trPr>
        <w:tc>
          <w:tcPr>
            <w:tcW w:w="2637" w:type="dxa"/>
          </w:tcPr>
          <w:p w14:paraId="560638B5" w14:textId="77777777" w:rsidR="00F525B2" w:rsidRDefault="00F525B2" w:rsidP="00F525B2">
            <w:pPr>
              <w:pStyle w:val="TAL"/>
            </w:pPr>
            <w:r>
              <w:t>QosResourceType</w:t>
            </w:r>
          </w:p>
        </w:tc>
        <w:tc>
          <w:tcPr>
            <w:tcW w:w="2118" w:type="dxa"/>
          </w:tcPr>
          <w:p w14:paraId="47BA6347" w14:textId="77777777" w:rsidR="00F525B2" w:rsidRDefault="00F525B2" w:rsidP="00F525B2">
            <w:pPr>
              <w:pStyle w:val="TAL"/>
            </w:pPr>
            <w:r>
              <w:t>3GPP TS 29.571 [8]</w:t>
            </w:r>
          </w:p>
        </w:tc>
        <w:tc>
          <w:tcPr>
            <w:tcW w:w="2578" w:type="dxa"/>
          </w:tcPr>
          <w:p w14:paraId="547F675E" w14:textId="77777777" w:rsidR="00F525B2" w:rsidRDefault="00F525B2" w:rsidP="00F525B2">
            <w:pPr>
              <w:pStyle w:val="TAL"/>
            </w:pPr>
            <w:r>
              <w:t>Identifies the resource type in QoS characteristics.</w:t>
            </w:r>
          </w:p>
        </w:tc>
        <w:tc>
          <w:tcPr>
            <w:tcW w:w="2498" w:type="dxa"/>
          </w:tcPr>
          <w:p w14:paraId="36AD736A" w14:textId="77777777" w:rsidR="00F525B2" w:rsidRDefault="00F525B2" w:rsidP="00F525B2">
            <w:pPr>
              <w:pStyle w:val="TAL"/>
            </w:pPr>
            <w:r>
              <w:t>QoSSustainability</w:t>
            </w:r>
          </w:p>
        </w:tc>
      </w:tr>
      <w:tr w:rsidR="00F525B2" w14:paraId="7C43F984" w14:textId="77777777" w:rsidTr="007605E0">
        <w:trPr>
          <w:jc w:val="center"/>
        </w:trPr>
        <w:tc>
          <w:tcPr>
            <w:tcW w:w="2637" w:type="dxa"/>
          </w:tcPr>
          <w:p w14:paraId="018B9EE1" w14:textId="77777777" w:rsidR="00F525B2" w:rsidRDefault="00F525B2" w:rsidP="00F525B2">
            <w:pPr>
              <w:pStyle w:val="TAL"/>
            </w:pPr>
            <w:r>
              <w:t>RangeDirection</w:t>
            </w:r>
          </w:p>
        </w:tc>
        <w:tc>
          <w:tcPr>
            <w:tcW w:w="2118" w:type="dxa"/>
          </w:tcPr>
          <w:p w14:paraId="645ACCA4" w14:textId="77777777" w:rsidR="00F525B2" w:rsidRDefault="00F525B2" w:rsidP="00F525B2">
            <w:pPr>
              <w:pStyle w:val="TAL"/>
            </w:pPr>
            <w:r>
              <w:t>3GPP TS 29.572 [30]</w:t>
            </w:r>
          </w:p>
        </w:tc>
        <w:tc>
          <w:tcPr>
            <w:tcW w:w="2578" w:type="dxa"/>
          </w:tcPr>
          <w:p w14:paraId="0A69A48C" w14:textId="77777777" w:rsidR="00F525B2" w:rsidRPr="000E754F" w:rsidRDefault="00F525B2" w:rsidP="00F525B2">
            <w:pPr>
              <w:pStyle w:val="TAL"/>
            </w:pPr>
            <w:r w:rsidRPr="000E754F">
              <w:t>Represents the distance and direction between two points.</w:t>
            </w:r>
          </w:p>
        </w:tc>
        <w:tc>
          <w:tcPr>
            <w:tcW w:w="2498" w:type="dxa"/>
          </w:tcPr>
          <w:p w14:paraId="11DA3C32" w14:textId="77777777" w:rsidR="00F525B2" w:rsidRPr="000E754F" w:rsidRDefault="00F525B2" w:rsidP="00F525B2">
            <w:pPr>
              <w:pStyle w:val="TAL"/>
            </w:pPr>
            <w:r w:rsidRPr="000E754F">
              <w:t>RelativeProximityExt</w:t>
            </w:r>
          </w:p>
        </w:tc>
      </w:tr>
      <w:tr w:rsidR="00F525B2" w14:paraId="44D1B3FF" w14:textId="77777777" w:rsidTr="007605E0">
        <w:trPr>
          <w:jc w:val="center"/>
        </w:trPr>
        <w:tc>
          <w:tcPr>
            <w:tcW w:w="2637" w:type="dxa"/>
          </w:tcPr>
          <w:p w14:paraId="56C8355D" w14:textId="77777777" w:rsidR="00F525B2" w:rsidRDefault="00F525B2" w:rsidP="00F525B2">
            <w:pPr>
              <w:pStyle w:val="TAL"/>
            </w:pPr>
            <w:r>
              <w:t>RatType</w:t>
            </w:r>
          </w:p>
        </w:tc>
        <w:tc>
          <w:tcPr>
            <w:tcW w:w="2118" w:type="dxa"/>
          </w:tcPr>
          <w:p w14:paraId="59B406BA" w14:textId="77777777" w:rsidR="00F525B2" w:rsidRDefault="00F525B2" w:rsidP="00F525B2">
            <w:pPr>
              <w:pStyle w:val="TAL"/>
            </w:pPr>
            <w:r>
              <w:t>3GPP TS 29.571 [8]</w:t>
            </w:r>
          </w:p>
        </w:tc>
        <w:tc>
          <w:tcPr>
            <w:tcW w:w="2578" w:type="dxa"/>
          </w:tcPr>
          <w:p w14:paraId="6A72F485" w14:textId="77777777" w:rsidR="00F525B2" w:rsidRDefault="00F525B2" w:rsidP="00F525B2">
            <w:pPr>
              <w:pStyle w:val="TAL"/>
            </w:pPr>
            <w:r>
              <w:rPr>
                <w:rFonts w:hint="eastAsia"/>
              </w:rPr>
              <w:t>I</w:t>
            </w:r>
            <w:r>
              <w:t>dentifies the RAT type.</w:t>
            </w:r>
          </w:p>
        </w:tc>
        <w:tc>
          <w:tcPr>
            <w:tcW w:w="2498" w:type="dxa"/>
          </w:tcPr>
          <w:p w14:paraId="571B822F" w14:textId="77777777" w:rsidR="00F525B2" w:rsidRDefault="00F525B2" w:rsidP="00F525B2">
            <w:pPr>
              <w:pStyle w:val="TAL"/>
            </w:pPr>
            <w:r>
              <w:t>ServiceExperienceExt</w:t>
            </w:r>
          </w:p>
          <w:p w14:paraId="555E262E" w14:textId="77777777" w:rsidR="00F525B2" w:rsidRDefault="00F525B2" w:rsidP="00F525B2">
            <w:pPr>
              <w:pStyle w:val="TAL"/>
              <w:rPr>
                <w:lang w:eastAsia="zh-CN"/>
              </w:rPr>
            </w:pPr>
            <w:r>
              <w:t>E2eDataVolTransTime</w:t>
            </w:r>
          </w:p>
          <w:p w14:paraId="17EB9C23" w14:textId="77777777" w:rsidR="00F525B2" w:rsidRDefault="00F525B2" w:rsidP="00F525B2">
            <w:pPr>
              <w:pStyle w:val="TAL"/>
            </w:pPr>
            <w:r>
              <w:rPr>
                <w:lang w:eastAsia="zh-CN"/>
              </w:rPr>
              <w:t>QoSPolicyAssist</w:t>
            </w:r>
          </w:p>
        </w:tc>
      </w:tr>
      <w:tr w:rsidR="00F525B2" w14:paraId="46265203" w14:textId="77777777" w:rsidTr="007605E0">
        <w:trPr>
          <w:jc w:val="center"/>
        </w:trPr>
        <w:tc>
          <w:tcPr>
            <w:tcW w:w="2637" w:type="dxa"/>
          </w:tcPr>
          <w:p w14:paraId="3BF309D7" w14:textId="77777777" w:rsidR="00F525B2" w:rsidRDefault="00F525B2" w:rsidP="00F525B2">
            <w:pPr>
              <w:pStyle w:val="TAL"/>
            </w:pPr>
            <w:r>
              <w:t>RedirectResponse</w:t>
            </w:r>
          </w:p>
        </w:tc>
        <w:tc>
          <w:tcPr>
            <w:tcW w:w="2118" w:type="dxa"/>
          </w:tcPr>
          <w:p w14:paraId="75CD4C87" w14:textId="77777777" w:rsidR="00F525B2" w:rsidRDefault="00F525B2" w:rsidP="00F525B2">
            <w:pPr>
              <w:pStyle w:val="TAL"/>
            </w:pPr>
            <w:r>
              <w:t>3GPP TS 29.571 [8]</w:t>
            </w:r>
          </w:p>
        </w:tc>
        <w:tc>
          <w:tcPr>
            <w:tcW w:w="2578" w:type="dxa"/>
          </w:tcPr>
          <w:p w14:paraId="5FFDC590" w14:textId="77777777" w:rsidR="00F525B2" w:rsidRDefault="00F525B2" w:rsidP="00F525B2">
            <w:pPr>
              <w:pStyle w:val="TAL"/>
            </w:pPr>
            <w:r>
              <w:t>Contains redirection related information.</w:t>
            </w:r>
          </w:p>
        </w:tc>
        <w:tc>
          <w:tcPr>
            <w:tcW w:w="2498" w:type="dxa"/>
          </w:tcPr>
          <w:p w14:paraId="2590FC28" w14:textId="77777777" w:rsidR="00F525B2" w:rsidRDefault="00F525B2" w:rsidP="00F525B2">
            <w:pPr>
              <w:pStyle w:val="TAL"/>
            </w:pPr>
            <w:r>
              <w:t>ES3XX</w:t>
            </w:r>
          </w:p>
        </w:tc>
      </w:tr>
      <w:tr w:rsidR="00F525B2" w14:paraId="0E537CC0" w14:textId="77777777" w:rsidTr="007605E0">
        <w:trPr>
          <w:jc w:val="center"/>
        </w:trPr>
        <w:tc>
          <w:tcPr>
            <w:tcW w:w="2637" w:type="dxa"/>
          </w:tcPr>
          <w:p w14:paraId="472521DE" w14:textId="77777777" w:rsidR="00F525B2" w:rsidRDefault="00F525B2" w:rsidP="00F525B2">
            <w:pPr>
              <w:pStyle w:val="TAL"/>
            </w:pPr>
            <w:r>
              <w:t>RelativeCartesianLocation</w:t>
            </w:r>
          </w:p>
        </w:tc>
        <w:tc>
          <w:tcPr>
            <w:tcW w:w="2118" w:type="dxa"/>
          </w:tcPr>
          <w:p w14:paraId="76912740" w14:textId="77777777" w:rsidR="00F525B2" w:rsidRDefault="00F525B2" w:rsidP="00F525B2">
            <w:pPr>
              <w:pStyle w:val="TAL"/>
            </w:pPr>
            <w:r>
              <w:rPr>
                <w:lang w:eastAsia="en-GB"/>
              </w:rPr>
              <w:t>3GPP TS 29.572</w:t>
            </w:r>
            <w:r>
              <w:t> [30]</w:t>
            </w:r>
          </w:p>
        </w:tc>
        <w:tc>
          <w:tcPr>
            <w:tcW w:w="2578" w:type="dxa"/>
          </w:tcPr>
          <w:p w14:paraId="399BA7C7" w14:textId="77777777" w:rsidR="00F525B2" w:rsidRDefault="00F525B2" w:rsidP="00F525B2">
            <w:pPr>
              <w:pStyle w:val="TAL"/>
            </w:pPr>
            <w:r>
              <w:t>Represents distances from a reference point.</w:t>
            </w:r>
          </w:p>
        </w:tc>
        <w:tc>
          <w:tcPr>
            <w:tcW w:w="2498" w:type="dxa"/>
          </w:tcPr>
          <w:p w14:paraId="23805BEE" w14:textId="77777777" w:rsidR="00F525B2" w:rsidRDefault="00F525B2" w:rsidP="00F525B2">
            <w:pPr>
              <w:pStyle w:val="TAL"/>
            </w:pPr>
            <w:r>
              <w:rPr>
                <w:lang w:eastAsia="zh-CN"/>
              </w:rPr>
              <w:t>LocAccuracy</w:t>
            </w:r>
          </w:p>
        </w:tc>
      </w:tr>
      <w:tr w:rsidR="00F525B2" w14:paraId="0C013474" w14:textId="77777777" w:rsidTr="007605E0">
        <w:trPr>
          <w:jc w:val="center"/>
        </w:trPr>
        <w:tc>
          <w:tcPr>
            <w:tcW w:w="2637" w:type="dxa"/>
          </w:tcPr>
          <w:p w14:paraId="33E58993" w14:textId="77777777" w:rsidR="00F525B2" w:rsidRDefault="00F525B2" w:rsidP="00F525B2">
            <w:pPr>
              <w:pStyle w:val="TAL"/>
            </w:pPr>
            <w:r>
              <w:t>ReportingInformation</w:t>
            </w:r>
          </w:p>
        </w:tc>
        <w:tc>
          <w:tcPr>
            <w:tcW w:w="2118" w:type="dxa"/>
          </w:tcPr>
          <w:p w14:paraId="07DB8C3F" w14:textId="77777777" w:rsidR="00F525B2" w:rsidRDefault="00F525B2" w:rsidP="00F525B2">
            <w:pPr>
              <w:pStyle w:val="TAL"/>
            </w:pPr>
            <w:r>
              <w:t>3GPP TS 29.523 [20]</w:t>
            </w:r>
          </w:p>
        </w:tc>
        <w:tc>
          <w:tcPr>
            <w:tcW w:w="2578" w:type="dxa"/>
          </w:tcPr>
          <w:p w14:paraId="0C9FF713" w14:textId="77777777" w:rsidR="00F525B2" w:rsidRDefault="00F525B2" w:rsidP="00F525B2">
            <w:pPr>
              <w:pStyle w:val="TAL"/>
            </w:pPr>
            <w:r>
              <w:t>Represents the type of reporting the subscription requires.</w:t>
            </w:r>
          </w:p>
        </w:tc>
        <w:tc>
          <w:tcPr>
            <w:tcW w:w="2498" w:type="dxa"/>
          </w:tcPr>
          <w:p w14:paraId="6FD6517E" w14:textId="77777777" w:rsidR="00F525B2" w:rsidRDefault="00F525B2" w:rsidP="00F525B2">
            <w:pPr>
              <w:pStyle w:val="TAL"/>
            </w:pPr>
          </w:p>
        </w:tc>
      </w:tr>
      <w:tr w:rsidR="00F525B2" w14:paraId="01B5FCF1" w14:textId="77777777" w:rsidTr="007605E0">
        <w:trPr>
          <w:jc w:val="center"/>
        </w:trPr>
        <w:tc>
          <w:tcPr>
            <w:tcW w:w="2637" w:type="dxa"/>
          </w:tcPr>
          <w:p w14:paraId="25460C5A" w14:textId="77777777" w:rsidR="00F525B2" w:rsidRDefault="00F525B2" w:rsidP="00F525B2">
            <w:pPr>
              <w:pStyle w:val="TAL"/>
            </w:pPr>
            <w:r>
              <w:t>SamplingRatio</w:t>
            </w:r>
          </w:p>
        </w:tc>
        <w:tc>
          <w:tcPr>
            <w:tcW w:w="2118" w:type="dxa"/>
          </w:tcPr>
          <w:p w14:paraId="0B5493BE" w14:textId="77777777" w:rsidR="00F525B2" w:rsidRDefault="00F525B2" w:rsidP="00F525B2">
            <w:pPr>
              <w:pStyle w:val="TAL"/>
            </w:pPr>
            <w:r>
              <w:t>3GPP TS 29.571 [8]</w:t>
            </w:r>
          </w:p>
        </w:tc>
        <w:tc>
          <w:tcPr>
            <w:tcW w:w="2578" w:type="dxa"/>
          </w:tcPr>
          <w:p w14:paraId="46B49898" w14:textId="77777777" w:rsidR="00F525B2" w:rsidRDefault="00F525B2" w:rsidP="00F525B2">
            <w:pPr>
              <w:pStyle w:val="TAL"/>
              <w:rPr>
                <w:rFonts w:cs="Arial"/>
                <w:szCs w:val="18"/>
                <w:lang w:eastAsia="zh-CN"/>
              </w:rPr>
            </w:pPr>
            <w:r>
              <w:rPr>
                <w:rFonts w:cs="Arial"/>
                <w:szCs w:val="18"/>
                <w:lang w:eastAsia="zh-CN"/>
              </w:rPr>
              <w:t>Represents the sampling ratio.</w:t>
            </w:r>
          </w:p>
        </w:tc>
        <w:tc>
          <w:tcPr>
            <w:tcW w:w="2498" w:type="dxa"/>
          </w:tcPr>
          <w:p w14:paraId="194EDE61" w14:textId="77777777" w:rsidR="00F525B2" w:rsidRDefault="00F525B2" w:rsidP="00F525B2">
            <w:pPr>
              <w:pStyle w:val="TAL"/>
              <w:rPr>
                <w:rFonts w:cs="Arial"/>
                <w:szCs w:val="18"/>
              </w:rPr>
            </w:pPr>
          </w:p>
        </w:tc>
      </w:tr>
      <w:tr w:rsidR="00F525B2" w14:paraId="4EE2920E" w14:textId="77777777" w:rsidTr="007605E0">
        <w:trPr>
          <w:jc w:val="center"/>
        </w:trPr>
        <w:tc>
          <w:tcPr>
            <w:tcW w:w="2637" w:type="dxa"/>
          </w:tcPr>
          <w:p w14:paraId="3DB56AE4" w14:textId="77777777" w:rsidR="00F525B2" w:rsidRDefault="00F525B2" w:rsidP="00F525B2">
            <w:pPr>
              <w:pStyle w:val="TAL"/>
            </w:pPr>
            <w:r>
              <w:t>ScheduledCommunicationTime</w:t>
            </w:r>
          </w:p>
        </w:tc>
        <w:tc>
          <w:tcPr>
            <w:tcW w:w="2118" w:type="dxa"/>
          </w:tcPr>
          <w:p w14:paraId="73D26F4A" w14:textId="77777777" w:rsidR="00F525B2" w:rsidRDefault="00F525B2" w:rsidP="00F525B2">
            <w:pPr>
              <w:pStyle w:val="TAL"/>
              <w:rPr>
                <w:rFonts w:cs="Arial"/>
              </w:rPr>
            </w:pPr>
            <w:r>
              <w:t>3GPP TS 29.122 [19]</w:t>
            </w:r>
          </w:p>
        </w:tc>
        <w:tc>
          <w:tcPr>
            <w:tcW w:w="2578" w:type="dxa"/>
          </w:tcPr>
          <w:p w14:paraId="6B045F25" w14:textId="77777777" w:rsidR="00F525B2" w:rsidRDefault="00F525B2" w:rsidP="00F525B2">
            <w:pPr>
              <w:pStyle w:val="TAL"/>
              <w:rPr>
                <w:rFonts w:cs="Arial"/>
                <w:szCs w:val="18"/>
                <w:lang w:eastAsia="zh-CN"/>
              </w:rPr>
            </w:pPr>
            <w:r>
              <w:rPr>
                <w:rFonts w:cs="Arial"/>
                <w:szCs w:val="18"/>
                <w:lang w:eastAsia="zh-CN"/>
              </w:rPr>
              <w:t>Represents the scheduled communication time information.</w:t>
            </w:r>
          </w:p>
        </w:tc>
        <w:tc>
          <w:tcPr>
            <w:tcW w:w="2498" w:type="dxa"/>
          </w:tcPr>
          <w:p w14:paraId="21C2F29F" w14:textId="77777777" w:rsidR="00F525B2" w:rsidRDefault="00F525B2" w:rsidP="00F525B2">
            <w:pPr>
              <w:pStyle w:val="TAL"/>
              <w:rPr>
                <w:rFonts w:cs="Arial"/>
                <w:szCs w:val="18"/>
              </w:rPr>
            </w:pPr>
            <w:r>
              <w:rPr>
                <w:rFonts w:cs="Arial"/>
                <w:szCs w:val="18"/>
              </w:rPr>
              <w:t>UeMobility UeCommunication</w:t>
            </w:r>
          </w:p>
        </w:tc>
      </w:tr>
      <w:tr w:rsidR="00F525B2" w14:paraId="03940F81" w14:textId="77777777" w:rsidTr="007605E0">
        <w:trPr>
          <w:jc w:val="center"/>
        </w:trPr>
        <w:tc>
          <w:tcPr>
            <w:tcW w:w="2637" w:type="dxa"/>
          </w:tcPr>
          <w:p w14:paraId="650A0A2F" w14:textId="77777777" w:rsidR="00F525B2" w:rsidRDefault="00F525B2" w:rsidP="00F525B2">
            <w:pPr>
              <w:pStyle w:val="TAL"/>
            </w:pPr>
            <w:r>
              <w:t>SmcceInfo</w:t>
            </w:r>
          </w:p>
        </w:tc>
        <w:tc>
          <w:tcPr>
            <w:tcW w:w="2118" w:type="dxa"/>
          </w:tcPr>
          <w:p w14:paraId="4D35AAE1" w14:textId="77777777" w:rsidR="00F525B2" w:rsidRDefault="00F525B2" w:rsidP="00F525B2">
            <w:pPr>
              <w:pStyle w:val="TAL"/>
            </w:pPr>
            <w:r>
              <w:rPr>
                <w:rFonts w:hint="eastAsia"/>
                <w:lang w:eastAsia="ko-KR"/>
              </w:rPr>
              <w:t>5.2.6.2.12</w:t>
            </w:r>
          </w:p>
        </w:tc>
        <w:tc>
          <w:tcPr>
            <w:tcW w:w="2578" w:type="dxa"/>
          </w:tcPr>
          <w:p w14:paraId="1EE9529B" w14:textId="77777777" w:rsidR="00F525B2" w:rsidRDefault="00F525B2" w:rsidP="00F525B2">
            <w:pPr>
              <w:pStyle w:val="TAL"/>
              <w:rPr>
                <w:rFonts w:cs="Arial"/>
                <w:szCs w:val="18"/>
                <w:lang w:eastAsia="zh-CN"/>
              </w:rPr>
            </w:pPr>
            <w:r>
              <w:rPr>
                <w:lang w:val="en-US"/>
              </w:rPr>
              <w:t>Represents the analytics of Session Management Congestion Control Experience information.</w:t>
            </w:r>
          </w:p>
        </w:tc>
        <w:tc>
          <w:tcPr>
            <w:tcW w:w="2498" w:type="dxa"/>
          </w:tcPr>
          <w:p w14:paraId="7812C81E" w14:textId="77777777" w:rsidR="00F525B2" w:rsidRDefault="00F525B2" w:rsidP="00F525B2">
            <w:pPr>
              <w:pStyle w:val="TAL"/>
              <w:rPr>
                <w:rFonts w:cs="Arial"/>
                <w:szCs w:val="18"/>
              </w:rPr>
            </w:pPr>
            <w:r>
              <w:rPr>
                <w:rFonts w:hint="eastAsia"/>
                <w:lang w:eastAsia="zh-CN"/>
              </w:rPr>
              <w:t>S</w:t>
            </w:r>
            <w:r>
              <w:rPr>
                <w:lang w:eastAsia="zh-CN"/>
              </w:rPr>
              <w:t>MCCE</w:t>
            </w:r>
          </w:p>
        </w:tc>
      </w:tr>
      <w:tr w:rsidR="00F525B2" w14:paraId="1212EC8D" w14:textId="77777777" w:rsidTr="007605E0">
        <w:trPr>
          <w:jc w:val="center"/>
        </w:trPr>
        <w:tc>
          <w:tcPr>
            <w:tcW w:w="2637" w:type="dxa"/>
          </w:tcPr>
          <w:p w14:paraId="62236ADA" w14:textId="77777777" w:rsidR="00F525B2" w:rsidRDefault="00F525B2" w:rsidP="00F525B2">
            <w:pPr>
              <w:pStyle w:val="TAL"/>
            </w:pPr>
            <w:r>
              <w:t>Snssai</w:t>
            </w:r>
          </w:p>
        </w:tc>
        <w:tc>
          <w:tcPr>
            <w:tcW w:w="2118" w:type="dxa"/>
          </w:tcPr>
          <w:p w14:paraId="03C726BC" w14:textId="77777777" w:rsidR="00F525B2" w:rsidRDefault="00F525B2" w:rsidP="00F525B2">
            <w:pPr>
              <w:pStyle w:val="TAL"/>
            </w:pPr>
            <w:r>
              <w:t>3GPP TS 29.571 [8]</w:t>
            </w:r>
          </w:p>
        </w:tc>
        <w:tc>
          <w:tcPr>
            <w:tcW w:w="2578" w:type="dxa"/>
          </w:tcPr>
          <w:p w14:paraId="0A259F3D" w14:textId="77777777" w:rsidR="00F525B2" w:rsidRDefault="00F525B2" w:rsidP="00F525B2">
            <w:pPr>
              <w:pStyle w:val="TAL"/>
            </w:pPr>
            <w:r>
              <w:rPr>
                <w:rFonts w:cs="Arial"/>
                <w:szCs w:val="18"/>
              </w:rPr>
              <w:t>Identifies the S-NSSAI (</w:t>
            </w:r>
            <w:r>
              <w:t>Single Network Slice Selection Assistance</w:t>
            </w:r>
            <w:r>
              <w:rPr>
                <w:lang w:val="en-US"/>
              </w:rPr>
              <w:t xml:space="preserve"> Information</w:t>
            </w:r>
            <w:r>
              <w:rPr>
                <w:rFonts w:cs="Arial"/>
                <w:szCs w:val="18"/>
              </w:rPr>
              <w:t>).</w:t>
            </w:r>
          </w:p>
        </w:tc>
        <w:tc>
          <w:tcPr>
            <w:tcW w:w="2498" w:type="dxa"/>
          </w:tcPr>
          <w:p w14:paraId="605AAFB0" w14:textId="77777777" w:rsidR="00F525B2" w:rsidRDefault="00F525B2" w:rsidP="00F525B2">
            <w:pPr>
              <w:pStyle w:val="TAL"/>
              <w:rPr>
                <w:rFonts w:cs="Arial"/>
                <w:szCs w:val="18"/>
              </w:rPr>
            </w:pPr>
          </w:p>
        </w:tc>
      </w:tr>
      <w:tr w:rsidR="00F525B2" w14:paraId="750CE774" w14:textId="77777777" w:rsidTr="007605E0">
        <w:trPr>
          <w:jc w:val="center"/>
        </w:trPr>
        <w:tc>
          <w:tcPr>
            <w:tcW w:w="2637" w:type="dxa"/>
          </w:tcPr>
          <w:p w14:paraId="7B098921" w14:textId="77777777" w:rsidR="00F525B2" w:rsidRDefault="00F525B2" w:rsidP="00F525B2">
            <w:pPr>
              <w:pStyle w:val="TAL"/>
            </w:pPr>
            <w:r>
              <w:t>SscMode</w:t>
            </w:r>
          </w:p>
        </w:tc>
        <w:tc>
          <w:tcPr>
            <w:tcW w:w="2118" w:type="dxa"/>
          </w:tcPr>
          <w:p w14:paraId="37DEA1C3" w14:textId="77777777" w:rsidR="00F525B2" w:rsidRDefault="00F525B2" w:rsidP="00F525B2">
            <w:pPr>
              <w:pStyle w:val="TAL"/>
            </w:pPr>
            <w:r>
              <w:t>3GPP TS 29.571 [8]</w:t>
            </w:r>
          </w:p>
        </w:tc>
        <w:tc>
          <w:tcPr>
            <w:tcW w:w="2578" w:type="dxa"/>
          </w:tcPr>
          <w:p w14:paraId="72F08988" w14:textId="77777777" w:rsidR="00F525B2" w:rsidRDefault="00F525B2" w:rsidP="00F525B2">
            <w:pPr>
              <w:pStyle w:val="TAL"/>
              <w:rPr>
                <w:rFonts w:cs="Arial"/>
                <w:szCs w:val="18"/>
              </w:rPr>
            </w:pPr>
            <w:r>
              <w:rPr>
                <w:rFonts w:cs="Arial"/>
                <w:szCs w:val="18"/>
              </w:rPr>
              <w:t>Identifies te SSC Mode of the PDU Session.</w:t>
            </w:r>
          </w:p>
        </w:tc>
        <w:tc>
          <w:tcPr>
            <w:tcW w:w="2498" w:type="dxa"/>
          </w:tcPr>
          <w:p w14:paraId="10D9227E" w14:textId="77777777" w:rsidR="00F525B2" w:rsidRDefault="00F525B2" w:rsidP="00F525B2">
            <w:pPr>
              <w:pStyle w:val="TAL"/>
              <w:rPr>
                <w:rFonts w:cs="Arial"/>
                <w:szCs w:val="18"/>
              </w:rPr>
            </w:pPr>
            <w:r>
              <w:rPr>
                <w:rFonts w:cs="Arial"/>
                <w:szCs w:val="18"/>
              </w:rPr>
              <w:t>ServiceExperienceExt2_eNA</w:t>
            </w:r>
          </w:p>
        </w:tc>
      </w:tr>
      <w:tr w:rsidR="00F525B2" w14:paraId="47DE4F7C" w14:textId="77777777" w:rsidTr="007605E0">
        <w:trPr>
          <w:jc w:val="center"/>
        </w:trPr>
        <w:tc>
          <w:tcPr>
            <w:tcW w:w="2637" w:type="dxa"/>
          </w:tcPr>
          <w:p w14:paraId="0B184960" w14:textId="77777777" w:rsidR="00F525B2" w:rsidRDefault="00F525B2" w:rsidP="00F525B2">
            <w:pPr>
              <w:pStyle w:val="TAL"/>
            </w:pPr>
            <w:r>
              <w:t>Supi</w:t>
            </w:r>
          </w:p>
        </w:tc>
        <w:tc>
          <w:tcPr>
            <w:tcW w:w="2118" w:type="dxa"/>
          </w:tcPr>
          <w:p w14:paraId="3DC3A1A5" w14:textId="77777777" w:rsidR="00F525B2" w:rsidRDefault="00F525B2" w:rsidP="00F525B2">
            <w:pPr>
              <w:pStyle w:val="TAL"/>
            </w:pPr>
            <w:r>
              <w:t>3GPP TS 29.571 [8]</w:t>
            </w:r>
          </w:p>
        </w:tc>
        <w:tc>
          <w:tcPr>
            <w:tcW w:w="2578" w:type="dxa"/>
          </w:tcPr>
          <w:p w14:paraId="151D1282" w14:textId="77777777" w:rsidR="00F525B2" w:rsidRDefault="00F525B2" w:rsidP="00F525B2">
            <w:pPr>
              <w:pStyle w:val="TAL"/>
              <w:rPr>
                <w:rFonts w:cs="Arial"/>
                <w:szCs w:val="18"/>
              </w:rPr>
            </w:pPr>
            <w:r>
              <w:rPr>
                <w:rFonts w:cs="Arial"/>
                <w:szCs w:val="18"/>
              </w:rPr>
              <w:t>The SUPI for an UE.</w:t>
            </w:r>
          </w:p>
        </w:tc>
        <w:tc>
          <w:tcPr>
            <w:tcW w:w="2498" w:type="dxa"/>
          </w:tcPr>
          <w:p w14:paraId="175BB75B" w14:textId="77777777" w:rsidR="00F525B2" w:rsidRDefault="00F525B2" w:rsidP="00F525B2">
            <w:pPr>
              <w:pStyle w:val="TAL"/>
            </w:pPr>
            <w:r>
              <w:t>ServiceExperience,</w:t>
            </w:r>
          </w:p>
          <w:p w14:paraId="3495E564" w14:textId="77777777" w:rsidR="00F525B2" w:rsidRDefault="00F525B2" w:rsidP="00F525B2">
            <w:pPr>
              <w:pStyle w:val="TAL"/>
            </w:pPr>
            <w:r>
              <w:t>NfLoad</w:t>
            </w:r>
          </w:p>
          <w:p w14:paraId="758E042B" w14:textId="77777777" w:rsidR="00F525B2" w:rsidRDefault="00F525B2" w:rsidP="00F525B2">
            <w:pPr>
              <w:pStyle w:val="TAL"/>
            </w:pPr>
            <w:r>
              <w:t>NetworkPerformance,</w:t>
            </w:r>
          </w:p>
          <w:p w14:paraId="6442D377" w14:textId="77777777" w:rsidR="00F525B2" w:rsidRDefault="00F525B2" w:rsidP="00F525B2">
            <w:pPr>
              <w:pStyle w:val="TAL"/>
            </w:pPr>
            <w:r>
              <w:t>UserDataCongestion</w:t>
            </w:r>
          </w:p>
          <w:p w14:paraId="72B76128" w14:textId="77777777" w:rsidR="00F525B2" w:rsidRDefault="00F525B2" w:rsidP="00F525B2">
            <w:pPr>
              <w:pStyle w:val="TAL"/>
            </w:pPr>
            <w:r>
              <w:t>UeMobility</w:t>
            </w:r>
          </w:p>
          <w:p w14:paraId="00172F13" w14:textId="77777777" w:rsidR="00F525B2" w:rsidRDefault="00F525B2" w:rsidP="00F525B2">
            <w:pPr>
              <w:pStyle w:val="TAL"/>
            </w:pPr>
            <w:r>
              <w:t>UeCommunication</w:t>
            </w:r>
          </w:p>
          <w:p w14:paraId="1475A2FA" w14:textId="77777777" w:rsidR="00F525B2" w:rsidRDefault="00F525B2" w:rsidP="00F525B2">
            <w:pPr>
              <w:pStyle w:val="TAL"/>
            </w:pPr>
            <w:r>
              <w:t>AbnormalBehaviour</w:t>
            </w:r>
          </w:p>
          <w:p w14:paraId="7FFA17B3" w14:textId="77777777" w:rsidR="00F525B2" w:rsidRDefault="00F525B2" w:rsidP="00F525B2">
            <w:pPr>
              <w:pStyle w:val="TAL"/>
            </w:pPr>
            <w:r>
              <w:t>Dispersion</w:t>
            </w:r>
          </w:p>
          <w:p w14:paraId="386C3571" w14:textId="77777777" w:rsidR="00F525B2" w:rsidRDefault="00F525B2" w:rsidP="00F525B2">
            <w:pPr>
              <w:pStyle w:val="TAL"/>
            </w:pPr>
            <w:r>
              <w:t>RedundantTransmissionExp</w:t>
            </w:r>
          </w:p>
          <w:p w14:paraId="2A4B0ACA" w14:textId="77777777" w:rsidR="00F525B2" w:rsidRDefault="00F525B2" w:rsidP="00F525B2">
            <w:pPr>
              <w:pStyle w:val="TAL"/>
              <w:rPr>
                <w:rFonts w:eastAsia="Batang" w:cs="Arial"/>
                <w:szCs w:val="18"/>
              </w:rPr>
            </w:pPr>
            <w:r>
              <w:t>WlanPerformance</w:t>
            </w:r>
          </w:p>
          <w:p w14:paraId="1BE9BFF3" w14:textId="77777777" w:rsidR="00F525B2" w:rsidRDefault="00F525B2" w:rsidP="00F525B2">
            <w:pPr>
              <w:pStyle w:val="TAL"/>
              <w:rPr>
                <w:rFonts w:cs="Arial"/>
                <w:szCs w:val="18"/>
              </w:rPr>
            </w:pPr>
            <w:r>
              <w:rPr>
                <w:rFonts w:cs="Arial"/>
                <w:szCs w:val="18"/>
              </w:rPr>
              <w:t>PduSesTraffic</w:t>
            </w:r>
          </w:p>
          <w:p w14:paraId="71759B93" w14:textId="77777777" w:rsidR="00F525B2" w:rsidRDefault="00F525B2" w:rsidP="00F525B2">
            <w:pPr>
              <w:pStyle w:val="TAL"/>
            </w:pPr>
            <w:r>
              <w:rPr>
                <w:lang w:eastAsia="zh-CN"/>
              </w:rPr>
              <w:t>RelativeProximity</w:t>
            </w:r>
          </w:p>
        </w:tc>
      </w:tr>
      <w:tr w:rsidR="00F525B2" w14:paraId="08332265" w14:textId="77777777" w:rsidTr="007605E0">
        <w:trPr>
          <w:jc w:val="center"/>
        </w:trPr>
        <w:tc>
          <w:tcPr>
            <w:tcW w:w="2637" w:type="dxa"/>
          </w:tcPr>
          <w:p w14:paraId="369C3644" w14:textId="77777777" w:rsidR="00F525B2" w:rsidRDefault="00F525B2" w:rsidP="00F525B2">
            <w:pPr>
              <w:pStyle w:val="TAL"/>
            </w:pPr>
            <w:r>
              <w:t>SupportedFeatures</w:t>
            </w:r>
          </w:p>
        </w:tc>
        <w:tc>
          <w:tcPr>
            <w:tcW w:w="2118" w:type="dxa"/>
          </w:tcPr>
          <w:p w14:paraId="21DAAFF6" w14:textId="77777777" w:rsidR="00F525B2" w:rsidRDefault="00F525B2" w:rsidP="00F525B2">
            <w:pPr>
              <w:pStyle w:val="TAL"/>
            </w:pPr>
            <w:r>
              <w:t>3GPP TS 29.571 [8]</w:t>
            </w:r>
          </w:p>
        </w:tc>
        <w:tc>
          <w:tcPr>
            <w:tcW w:w="2578" w:type="dxa"/>
          </w:tcPr>
          <w:p w14:paraId="5D9D415D" w14:textId="77777777" w:rsidR="00F525B2" w:rsidRDefault="00F525B2" w:rsidP="00F525B2">
            <w:pPr>
              <w:pStyle w:val="TAL"/>
            </w:pPr>
            <w:r>
              <w:t>Used to negotiate the applicability of the optional features defined in table 5.1.8-1.</w:t>
            </w:r>
          </w:p>
        </w:tc>
        <w:tc>
          <w:tcPr>
            <w:tcW w:w="2498" w:type="dxa"/>
          </w:tcPr>
          <w:p w14:paraId="74E1742F" w14:textId="77777777" w:rsidR="00F525B2" w:rsidRDefault="00F525B2" w:rsidP="00F525B2">
            <w:pPr>
              <w:pStyle w:val="TAL"/>
            </w:pPr>
          </w:p>
        </w:tc>
      </w:tr>
      <w:tr w:rsidR="00F525B2" w14:paraId="16A4C133" w14:textId="77777777" w:rsidTr="007605E0">
        <w:trPr>
          <w:jc w:val="center"/>
        </w:trPr>
        <w:tc>
          <w:tcPr>
            <w:tcW w:w="2637" w:type="dxa"/>
          </w:tcPr>
          <w:p w14:paraId="2CBB1EC9" w14:textId="77777777" w:rsidR="00F525B2" w:rsidRDefault="00F525B2" w:rsidP="00F525B2">
            <w:pPr>
              <w:pStyle w:val="TAL"/>
            </w:pPr>
            <w:r>
              <w:t>SvcExperience</w:t>
            </w:r>
          </w:p>
        </w:tc>
        <w:tc>
          <w:tcPr>
            <w:tcW w:w="2118" w:type="dxa"/>
          </w:tcPr>
          <w:p w14:paraId="2198D14C" w14:textId="77777777" w:rsidR="00F525B2" w:rsidRDefault="00F525B2" w:rsidP="00F525B2">
            <w:pPr>
              <w:pStyle w:val="TAL"/>
            </w:pPr>
            <w:r>
              <w:t>3GPP TS 29.517 [22]</w:t>
            </w:r>
          </w:p>
        </w:tc>
        <w:tc>
          <w:tcPr>
            <w:tcW w:w="2578" w:type="dxa"/>
          </w:tcPr>
          <w:p w14:paraId="7EA22700" w14:textId="77777777" w:rsidR="00F525B2" w:rsidRDefault="00F525B2" w:rsidP="00F525B2">
            <w:pPr>
              <w:pStyle w:val="TAL"/>
            </w:pPr>
            <w:r>
              <w:t>Represents the service experience information.</w:t>
            </w:r>
          </w:p>
        </w:tc>
        <w:tc>
          <w:tcPr>
            <w:tcW w:w="2498" w:type="dxa"/>
          </w:tcPr>
          <w:p w14:paraId="2DBF1566" w14:textId="77777777" w:rsidR="00F525B2" w:rsidRDefault="00F525B2" w:rsidP="00F525B2">
            <w:pPr>
              <w:pStyle w:val="TAL"/>
            </w:pPr>
            <w:r>
              <w:t>ServiceExperience</w:t>
            </w:r>
          </w:p>
        </w:tc>
      </w:tr>
      <w:tr w:rsidR="00F525B2" w14:paraId="70061360" w14:textId="77777777" w:rsidTr="007605E0">
        <w:trPr>
          <w:jc w:val="center"/>
        </w:trPr>
        <w:tc>
          <w:tcPr>
            <w:tcW w:w="2637" w:type="dxa"/>
          </w:tcPr>
          <w:p w14:paraId="49947E85" w14:textId="77777777" w:rsidR="00F525B2" w:rsidRDefault="00F525B2" w:rsidP="00F525B2">
            <w:pPr>
              <w:pStyle w:val="TAL"/>
            </w:pPr>
            <w:r>
              <w:t>Tai</w:t>
            </w:r>
          </w:p>
        </w:tc>
        <w:tc>
          <w:tcPr>
            <w:tcW w:w="2118" w:type="dxa"/>
          </w:tcPr>
          <w:p w14:paraId="60C6889C" w14:textId="77777777" w:rsidR="00F525B2" w:rsidRDefault="00F525B2" w:rsidP="00F525B2">
            <w:pPr>
              <w:pStyle w:val="TAL"/>
            </w:pPr>
            <w:r>
              <w:t>3GPP TS 29.571 [8]</w:t>
            </w:r>
          </w:p>
        </w:tc>
        <w:tc>
          <w:tcPr>
            <w:tcW w:w="2578" w:type="dxa"/>
          </w:tcPr>
          <w:p w14:paraId="3B73AFC6" w14:textId="77777777" w:rsidR="00F525B2" w:rsidRDefault="00F525B2" w:rsidP="00F525B2">
            <w:pPr>
              <w:pStyle w:val="TAL"/>
            </w:pPr>
            <w:r>
              <w:t>Tracking Area Information.</w:t>
            </w:r>
          </w:p>
        </w:tc>
        <w:tc>
          <w:tcPr>
            <w:tcW w:w="2498" w:type="dxa"/>
          </w:tcPr>
          <w:p w14:paraId="602B165F" w14:textId="77777777" w:rsidR="00F525B2" w:rsidRDefault="00F525B2" w:rsidP="00F525B2">
            <w:pPr>
              <w:pStyle w:val="TAL"/>
              <w:rPr>
                <w:rFonts w:cs="Arial"/>
                <w:szCs w:val="18"/>
              </w:rPr>
            </w:pPr>
            <w:r>
              <w:t>AnaSubTransfer</w:t>
            </w:r>
          </w:p>
        </w:tc>
      </w:tr>
      <w:tr w:rsidR="00F525B2" w14:paraId="0F35CEBF" w14:textId="77777777" w:rsidTr="007605E0">
        <w:trPr>
          <w:jc w:val="center"/>
        </w:trPr>
        <w:tc>
          <w:tcPr>
            <w:tcW w:w="2637" w:type="dxa"/>
          </w:tcPr>
          <w:p w14:paraId="3422340D" w14:textId="77777777" w:rsidR="00F525B2" w:rsidRDefault="00F525B2" w:rsidP="00F525B2">
            <w:pPr>
              <w:pStyle w:val="TAL"/>
            </w:pPr>
            <w:r>
              <w:t>TimeWindow</w:t>
            </w:r>
          </w:p>
        </w:tc>
        <w:tc>
          <w:tcPr>
            <w:tcW w:w="2118" w:type="dxa"/>
          </w:tcPr>
          <w:p w14:paraId="1F339909" w14:textId="77777777" w:rsidR="00F525B2" w:rsidRDefault="00F525B2" w:rsidP="00F525B2">
            <w:pPr>
              <w:pStyle w:val="TAL"/>
            </w:pPr>
            <w:r>
              <w:t>3GPP TS 29.122 [19]</w:t>
            </w:r>
          </w:p>
        </w:tc>
        <w:tc>
          <w:tcPr>
            <w:tcW w:w="2578" w:type="dxa"/>
          </w:tcPr>
          <w:p w14:paraId="1982BE98" w14:textId="77777777" w:rsidR="00F525B2" w:rsidRDefault="00F525B2" w:rsidP="00F525B2">
            <w:pPr>
              <w:pStyle w:val="TAL"/>
            </w:pPr>
            <w:r>
              <w:t>Represents a time window.</w:t>
            </w:r>
          </w:p>
        </w:tc>
        <w:tc>
          <w:tcPr>
            <w:tcW w:w="2498" w:type="dxa"/>
          </w:tcPr>
          <w:p w14:paraId="47D69C45" w14:textId="77777777" w:rsidR="00F525B2" w:rsidRDefault="00F525B2" w:rsidP="00F525B2">
            <w:pPr>
              <w:pStyle w:val="TAL"/>
              <w:rPr>
                <w:rFonts w:cs="Arial"/>
                <w:szCs w:val="18"/>
              </w:rPr>
            </w:pPr>
          </w:p>
        </w:tc>
      </w:tr>
      <w:tr w:rsidR="00F525B2" w14:paraId="1AA75258" w14:textId="77777777" w:rsidTr="007605E0">
        <w:trPr>
          <w:jc w:val="center"/>
        </w:trPr>
        <w:tc>
          <w:tcPr>
            <w:tcW w:w="2637" w:type="dxa"/>
          </w:tcPr>
          <w:p w14:paraId="1E493A66" w14:textId="77777777" w:rsidR="00F525B2" w:rsidRDefault="00F525B2" w:rsidP="00F525B2">
            <w:pPr>
              <w:pStyle w:val="TAL"/>
            </w:pPr>
            <w:r>
              <w:t>Uinteger</w:t>
            </w:r>
          </w:p>
        </w:tc>
        <w:tc>
          <w:tcPr>
            <w:tcW w:w="2118" w:type="dxa"/>
          </w:tcPr>
          <w:p w14:paraId="7A5219B1" w14:textId="77777777" w:rsidR="00F525B2" w:rsidRDefault="00F525B2" w:rsidP="00F525B2">
            <w:pPr>
              <w:pStyle w:val="TAL"/>
            </w:pPr>
            <w:r>
              <w:t>3GPP TS 29.571 [8]</w:t>
            </w:r>
          </w:p>
        </w:tc>
        <w:tc>
          <w:tcPr>
            <w:tcW w:w="2578" w:type="dxa"/>
          </w:tcPr>
          <w:p w14:paraId="3AB095CF" w14:textId="77777777" w:rsidR="00F525B2" w:rsidRDefault="00F525B2" w:rsidP="00F525B2">
            <w:pPr>
              <w:pStyle w:val="TAL"/>
            </w:pPr>
            <w:r>
              <w:t>Unsigned Integer, i.e. only value 0 and integers above 0 are permissible.</w:t>
            </w:r>
          </w:p>
        </w:tc>
        <w:tc>
          <w:tcPr>
            <w:tcW w:w="2498" w:type="dxa"/>
          </w:tcPr>
          <w:p w14:paraId="236FFF71" w14:textId="77777777" w:rsidR="00F525B2" w:rsidRDefault="00F525B2" w:rsidP="00F525B2">
            <w:pPr>
              <w:pStyle w:val="TAL"/>
              <w:rPr>
                <w:rFonts w:cs="Arial"/>
                <w:szCs w:val="18"/>
              </w:rPr>
            </w:pPr>
          </w:p>
        </w:tc>
      </w:tr>
      <w:tr w:rsidR="00F525B2" w14:paraId="06EC46BC" w14:textId="77777777" w:rsidTr="007605E0">
        <w:trPr>
          <w:jc w:val="center"/>
        </w:trPr>
        <w:tc>
          <w:tcPr>
            <w:tcW w:w="2637" w:type="dxa"/>
          </w:tcPr>
          <w:p w14:paraId="200EA79A" w14:textId="77777777" w:rsidR="00F525B2" w:rsidRDefault="00F525B2" w:rsidP="00F525B2">
            <w:pPr>
              <w:pStyle w:val="TAL"/>
            </w:pPr>
            <w:r>
              <w:lastRenderedPageBreak/>
              <w:t>UpfInformation</w:t>
            </w:r>
          </w:p>
        </w:tc>
        <w:tc>
          <w:tcPr>
            <w:tcW w:w="2118" w:type="dxa"/>
          </w:tcPr>
          <w:p w14:paraId="6D408A2C" w14:textId="77777777" w:rsidR="00F525B2" w:rsidRDefault="00F525B2" w:rsidP="00F525B2">
            <w:pPr>
              <w:pStyle w:val="TAL"/>
            </w:pPr>
            <w:r>
              <w:t>3GPP TS 29.508 [</w:t>
            </w:r>
            <w:r>
              <w:rPr>
                <w:lang w:eastAsia="zh-CN"/>
              </w:rPr>
              <w:t>29</w:t>
            </w:r>
            <w:r>
              <w:t>]</w:t>
            </w:r>
          </w:p>
        </w:tc>
        <w:tc>
          <w:tcPr>
            <w:tcW w:w="2578" w:type="dxa"/>
          </w:tcPr>
          <w:p w14:paraId="6001A1E9" w14:textId="77777777" w:rsidR="00F525B2" w:rsidRDefault="00F525B2" w:rsidP="00F525B2">
            <w:pPr>
              <w:pStyle w:val="TAL"/>
            </w:pPr>
            <w:r>
              <w:rPr>
                <w:rFonts w:cs="Arial"/>
                <w:szCs w:val="18"/>
                <w:lang w:eastAsia="zh-CN"/>
              </w:rPr>
              <w:t xml:space="preserve">The </w:t>
            </w:r>
            <w:r>
              <w:rPr>
                <w:lang w:eastAsia="zh-CN"/>
              </w:rPr>
              <w:t>information of the UPF serving the UE.</w:t>
            </w:r>
          </w:p>
        </w:tc>
        <w:tc>
          <w:tcPr>
            <w:tcW w:w="2498" w:type="dxa"/>
          </w:tcPr>
          <w:p w14:paraId="39AD3F16" w14:textId="77777777" w:rsidR="00F525B2" w:rsidRDefault="00F525B2" w:rsidP="00F525B2">
            <w:pPr>
              <w:pStyle w:val="TAL"/>
              <w:rPr>
                <w:rFonts w:cs="Arial"/>
                <w:szCs w:val="18"/>
                <w:lang w:eastAsia="zh-CN"/>
              </w:rPr>
            </w:pPr>
            <w:r>
              <w:rPr>
                <w:rFonts w:cs="Arial"/>
                <w:szCs w:val="18"/>
                <w:lang w:eastAsia="zh-CN"/>
              </w:rPr>
              <w:t>ServiceExperienceExt</w:t>
            </w:r>
          </w:p>
          <w:p w14:paraId="465A07DB" w14:textId="77777777" w:rsidR="00F525B2" w:rsidRDefault="00F525B2" w:rsidP="00F525B2">
            <w:pPr>
              <w:pStyle w:val="TAL"/>
              <w:rPr>
                <w:rFonts w:cs="Arial"/>
                <w:szCs w:val="18"/>
              </w:rPr>
            </w:pPr>
            <w:r>
              <w:rPr>
                <w:lang w:eastAsia="zh-CN"/>
              </w:rPr>
              <w:t>DnPerformance</w:t>
            </w:r>
          </w:p>
        </w:tc>
      </w:tr>
      <w:tr w:rsidR="00F525B2" w14:paraId="4466331D" w14:textId="77777777" w:rsidTr="007605E0">
        <w:trPr>
          <w:jc w:val="center"/>
        </w:trPr>
        <w:tc>
          <w:tcPr>
            <w:tcW w:w="2637" w:type="dxa"/>
          </w:tcPr>
          <w:p w14:paraId="31625C89" w14:textId="77777777" w:rsidR="00F525B2" w:rsidRDefault="00F525B2" w:rsidP="00F525B2">
            <w:pPr>
              <w:pStyle w:val="TAL"/>
            </w:pPr>
            <w:r>
              <w:t>Uri</w:t>
            </w:r>
          </w:p>
        </w:tc>
        <w:tc>
          <w:tcPr>
            <w:tcW w:w="2118" w:type="dxa"/>
          </w:tcPr>
          <w:p w14:paraId="2584BD20" w14:textId="77777777" w:rsidR="00F525B2" w:rsidRDefault="00F525B2" w:rsidP="00F525B2">
            <w:pPr>
              <w:pStyle w:val="TAL"/>
            </w:pPr>
            <w:r>
              <w:t>3GPP TS 29.571 [8]</w:t>
            </w:r>
          </w:p>
        </w:tc>
        <w:tc>
          <w:tcPr>
            <w:tcW w:w="2578" w:type="dxa"/>
          </w:tcPr>
          <w:p w14:paraId="705847CB" w14:textId="77777777" w:rsidR="00F525B2" w:rsidRDefault="00F525B2" w:rsidP="00F525B2">
            <w:pPr>
              <w:pStyle w:val="TAL"/>
            </w:pPr>
            <w:r>
              <w:t>Represents a URI.</w:t>
            </w:r>
          </w:p>
        </w:tc>
        <w:tc>
          <w:tcPr>
            <w:tcW w:w="2498" w:type="dxa"/>
          </w:tcPr>
          <w:p w14:paraId="05C7286B" w14:textId="77777777" w:rsidR="00F525B2" w:rsidRDefault="00F525B2" w:rsidP="00F525B2">
            <w:pPr>
              <w:pStyle w:val="TAL"/>
              <w:rPr>
                <w:rFonts w:cs="Arial"/>
                <w:szCs w:val="18"/>
              </w:rPr>
            </w:pPr>
          </w:p>
        </w:tc>
      </w:tr>
      <w:tr w:rsidR="00F525B2" w14:paraId="02D5E366" w14:textId="77777777" w:rsidTr="007605E0">
        <w:trPr>
          <w:jc w:val="center"/>
        </w:trPr>
        <w:tc>
          <w:tcPr>
            <w:tcW w:w="2637" w:type="dxa"/>
          </w:tcPr>
          <w:p w14:paraId="1FC3B9C0" w14:textId="77777777" w:rsidR="00F525B2" w:rsidRDefault="00F525B2" w:rsidP="00F525B2">
            <w:pPr>
              <w:pStyle w:val="TAL"/>
            </w:pPr>
            <w:r>
              <w:t>UserLocation</w:t>
            </w:r>
          </w:p>
        </w:tc>
        <w:tc>
          <w:tcPr>
            <w:tcW w:w="2118" w:type="dxa"/>
          </w:tcPr>
          <w:p w14:paraId="32B9C8E7" w14:textId="77777777" w:rsidR="00F525B2" w:rsidRDefault="00F525B2" w:rsidP="00F525B2">
            <w:pPr>
              <w:pStyle w:val="TAL"/>
            </w:pPr>
            <w:r>
              <w:t>3GPP TS 29.571 [8]</w:t>
            </w:r>
          </w:p>
        </w:tc>
        <w:tc>
          <w:tcPr>
            <w:tcW w:w="2578" w:type="dxa"/>
          </w:tcPr>
          <w:p w14:paraId="1C5D0AB4" w14:textId="77777777" w:rsidR="00F525B2" w:rsidRDefault="00F525B2" w:rsidP="00F525B2">
            <w:pPr>
              <w:pStyle w:val="TAL"/>
            </w:pPr>
            <w:r>
              <w:t>Represents user location information.</w:t>
            </w:r>
          </w:p>
        </w:tc>
        <w:tc>
          <w:tcPr>
            <w:tcW w:w="2498" w:type="dxa"/>
          </w:tcPr>
          <w:p w14:paraId="38706B7D" w14:textId="77777777" w:rsidR="00F525B2" w:rsidRDefault="00F525B2" w:rsidP="00F525B2">
            <w:pPr>
              <w:pStyle w:val="TAL"/>
            </w:pPr>
            <w:r>
              <w:rPr>
                <w:rFonts w:cs="Arial"/>
                <w:szCs w:val="18"/>
              </w:rPr>
              <w:t>UeMobility</w:t>
            </w:r>
          </w:p>
          <w:p w14:paraId="4BD87AEB" w14:textId="77777777" w:rsidR="00F525B2" w:rsidRDefault="00F525B2" w:rsidP="00F525B2">
            <w:pPr>
              <w:pStyle w:val="TAL"/>
            </w:pPr>
            <w:r>
              <w:t>Dispersion</w:t>
            </w:r>
          </w:p>
          <w:p w14:paraId="4AF06169" w14:textId="77777777" w:rsidR="00F525B2" w:rsidRDefault="00F525B2" w:rsidP="00F525B2">
            <w:pPr>
              <w:pStyle w:val="TAL"/>
              <w:rPr>
                <w:rFonts w:cs="Arial"/>
                <w:szCs w:val="18"/>
              </w:rPr>
            </w:pPr>
            <w:r w:rsidRPr="00FF0D56">
              <w:rPr>
                <w:rFonts w:cs="Arial"/>
                <w:szCs w:val="18"/>
              </w:rPr>
              <w:t>E2eDataVolTransTime</w:t>
            </w:r>
          </w:p>
        </w:tc>
      </w:tr>
      <w:tr w:rsidR="00F525B2" w14:paraId="5A54D2CD" w14:textId="77777777" w:rsidTr="007605E0">
        <w:trPr>
          <w:jc w:val="center"/>
        </w:trPr>
        <w:tc>
          <w:tcPr>
            <w:tcW w:w="2637" w:type="dxa"/>
          </w:tcPr>
          <w:p w14:paraId="628162E5" w14:textId="77777777" w:rsidR="00F525B2" w:rsidRDefault="00F525B2" w:rsidP="00F525B2">
            <w:pPr>
              <w:pStyle w:val="TAL"/>
            </w:pPr>
            <w:r>
              <w:t>VelocityEstimate</w:t>
            </w:r>
          </w:p>
        </w:tc>
        <w:tc>
          <w:tcPr>
            <w:tcW w:w="2118" w:type="dxa"/>
          </w:tcPr>
          <w:p w14:paraId="18BBD6CB" w14:textId="77777777" w:rsidR="00F525B2" w:rsidRDefault="00F525B2" w:rsidP="00F525B2">
            <w:pPr>
              <w:pStyle w:val="TAL"/>
            </w:pPr>
            <w:r>
              <w:rPr>
                <w:lang w:eastAsia="en-GB"/>
              </w:rPr>
              <w:t>3GPP TS 29.572</w:t>
            </w:r>
            <w:r>
              <w:t> [30]</w:t>
            </w:r>
          </w:p>
        </w:tc>
        <w:tc>
          <w:tcPr>
            <w:tcW w:w="2578" w:type="dxa"/>
          </w:tcPr>
          <w:p w14:paraId="792BEDED" w14:textId="77777777" w:rsidR="00F525B2" w:rsidRDefault="00F525B2" w:rsidP="00F525B2">
            <w:pPr>
              <w:pStyle w:val="TAL"/>
            </w:pPr>
            <w:r>
              <w:t>Velocity estimate</w:t>
            </w:r>
          </w:p>
        </w:tc>
        <w:tc>
          <w:tcPr>
            <w:tcW w:w="2498" w:type="dxa"/>
          </w:tcPr>
          <w:p w14:paraId="2553A88B" w14:textId="77777777" w:rsidR="00F525B2" w:rsidRDefault="00F525B2" w:rsidP="00F525B2">
            <w:pPr>
              <w:pStyle w:val="TAL"/>
              <w:rPr>
                <w:rFonts w:cs="Arial"/>
                <w:szCs w:val="18"/>
              </w:rPr>
            </w:pPr>
            <w:r>
              <w:rPr>
                <w:rFonts w:eastAsia="Batang"/>
              </w:rPr>
              <w:t>QoSSustainabilityExt_eNA</w:t>
            </w:r>
          </w:p>
          <w:p w14:paraId="15759153" w14:textId="77777777" w:rsidR="00F525B2" w:rsidRDefault="00F525B2" w:rsidP="00F525B2">
            <w:pPr>
              <w:pStyle w:val="TAL"/>
              <w:rPr>
                <w:rFonts w:cs="Arial"/>
                <w:szCs w:val="18"/>
              </w:rPr>
            </w:pPr>
            <w:r>
              <w:rPr>
                <w:lang w:eastAsia="zh-CN"/>
              </w:rPr>
              <w:t>RelativeProximity</w:t>
            </w:r>
          </w:p>
        </w:tc>
      </w:tr>
      <w:tr w:rsidR="00F525B2" w14:paraId="6CC41456" w14:textId="77777777" w:rsidTr="007605E0">
        <w:trPr>
          <w:jc w:val="center"/>
        </w:trPr>
        <w:tc>
          <w:tcPr>
            <w:tcW w:w="2637" w:type="dxa"/>
          </w:tcPr>
          <w:p w14:paraId="0327DE6A" w14:textId="77777777" w:rsidR="00F525B2" w:rsidRDefault="00F525B2" w:rsidP="00F525B2">
            <w:pPr>
              <w:pStyle w:val="TAL"/>
            </w:pPr>
            <w:r>
              <w:t>Volume</w:t>
            </w:r>
          </w:p>
        </w:tc>
        <w:tc>
          <w:tcPr>
            <w:tcW w:w="2118" w:type="dxa"/>
          </w:tcPr>
          <w:p w14:paraId="2B8C371D" w14:textId="77777777" w:rsidR="00F525B2" w:rsidRDefault="00F525B2" w:rsidP="00F525B2">
            <w:pPr>
              <w:pStyle w:val="TAL"/>
            </w:pPr>
            <w:r>
              <w:t>3GPP TS 29.122 [19]</w:t>
            </w:r>
          </w:p>
        </w:tc>
        <w:tc>
          <w:tcPr>
            <w:tcW w:w="2578" w:type="dxa"/>
          </w:tcPr>
          <w:p w14:paraId="3D2B2CA1" w14:textId="77777777" w:rsidR="00F525B2" w:rsidRDefault="00F525B2" w:rsidP="00F525B2">
            <w:pPr>
              <w:pStyle w:val="TAL"/>
            </w:pPr>
            <w:r>
              <w:t>Represents a data volume.</w:t>
            </w:r>
          </w:p>
        </w:tc>
        <w:tc>
          <w:tcPr>
            <w:tcW w:w="2498" w:type="dxa"/>
          </w:tcPr>
          <w:p w14:paraId="3C5BE5D8" w14:textId="77777777" w:rsidR="00F525B2" w:rsidRDefault="00F525B2" w:rsidP="00F525B2">
            <w:pPr>
              <w:pStyle w:val="TAL"/>
              <w:rPr>
                <w:rFonts w:cs="Arial"/>
                <w:szCs w:val="18"/>
              </w:rPr>
            </w:pPr>
            <w:r>
              <w:rPr>
                <w:rFonts w:cs="Arial"/>
                <w:szCs w:val="18"/>
              </w:rPr>
              <w:t>UeCommunication</w:t>
            </w:r>
          </w:p>
          <w:p w14:paraId="2C8D62A4" w14:textId="77777777" w:rsidR="00F525B2" w:rsidRDefault="00F525B2" w:rsidP="00F525B2">
            <w:pPr>
              <w:pStyle w:val="TAL"/>
              <w:rPr>
                <w:rFonts w:cs="Arial"/>
                <w:szCs w:val="18"/>
              </w:rPr>
            </w:pPr>
            <w:r>
              <w:rPr>
                <w:rFonts w:cs="Arial"/>
                <w:szCs w:val="18"/>
              </w:rPr>
              <w:t>AbnormalBehaviour</w:t>
            </w:r>
          </w:p>
          <w:p w14:paraId="470DF8E2" w14:textId="77777777" w:rsidR="00F525B2" w:rsidRDefault="00F525B2" w:rsidP="00F525B2">
            <w:pPr>
              <w:pStyle w:val="TAL"/>
              <w:rPr>
                <w:rFonts w:cs="Arial"/>
                <w:szCs w:val="18"/>
              </w:rPr>
            </w:pPr>
            <w:r>
              <w:rPr>
                <w:rFonts w:cs="Arial"/>
                <w:szCs w:val="18"/>
              </w:rPr>
              <w:t>Dispersion</w:t>
            </w:r>
          </w:p>
          <w:p w14:paraId="7E11BEA1" w14:textId="77777777" w:rsidR="00F525B2" w:rsidRDefault="00F525B2" w:rsidP="00F525B2">
            <w:pPr>
              <w:pStyle w:val="TAL"/>
              <w:rPr>
                <w:rFonts w:eastAsia="Batang" w:cs="Arial"/>
                <w:szCs w:val="18"/>
              </w:rPr>
            </w:pPr>
            <w:r>
              <w:rPr>
                <w:rFonts w:cs="Arial"/>
                <w:szCs w:val="18"/>
              </w:rPr>
              <w:t>Wlan</w:t>
            </w:r>
            <w:r>
              <w:rPr>
                <w:rFonts w:cs="Arial"/>
                <w:szCs w:val="18"/>
                <w:lang w:eastAsia="zh-CN"/>
              </w:rPr>
              <w:t>Performance</w:t>
            </w:r>
          </w:p>
          <w:p w14:paraId="09CB201A" w14:textId="77777777" w:rsidR="00F525B2" w:rsidRDefault="00F525B2" w:rsidP="00F525B2">
            <w:pPr>
              <w:pStyle w:val="TAL"/>
              <w:rPr>
                <w:rFonts w:cs="Arial"/>
                <w:szCs w:val="18"/>
              </w:rPr>
            </w:pPr>
            <w:r>
              <w:rPr>
                <w:rFonts w:cs="Arial"/>
                <w:szCs w:val="18"/>
              </w:rPr>
              <w:t>PduSesTraffic</w:t>
            </w:r>
          </w:p>
          <w:p w14:paraId="509B316D" w14:textId="77777777" w:rsidR="00F525B2" w:rsidRDefault="00F525B2" w:rsidP="00F525B2">
            <w:pPr>
              <w:pStyle w:val="TAL"/>
              <w:rPr>
                <w:rFonts w:cs="Arial"/>
                <w:szCs w:val="18"/>
              </w:rPr>
            </w:pPr>
            <w:r>
              <w:rPr>
                <w:rFonts w:cs="Arial"/>
                <w:szCs w:val="18"/>
              </w:rPr>
              <w:t>E2eDataVolTransTime</w:t>
            </w:r>
          </w:p>
        </w:tc>
      </w:tr>
    </w:tbl>
    <w:p w14:paraId="394D1D1B" w14:textId="77777777" w:rsidR="00E06B31" w:rsidRDefault="00E06B31" w:rsidP="00E06B31">
      <w:pPr>
        <w:rPr>
          <w:noProof/>
          <w:lang w:eastAsia="zh-CN"/>
        </w:rPr>
      </w:pPr>
    </w:p>
    <w:p w14:paraId="5E626402" w14:textId="77777777" w:rsidR="00A10B25" w:rsidRDefault="00A10B25">
      <w:pPr>
        <w:pStyle w:val="4"/>
      </w:pPr>
      <w:bookmarkStart w:id="5512" w:name="_Toc164920774"/>
      <w:bookmarkStart w:id="5513" w:name="_Toc170120316"/>
      <w:bookmarkStart w:id="5514" w:name="_Toc175858561"/>
      <w:bookmarkStart w:id="5515" w:name="_Toc175859634"/>
      <w:bookmarkStart w:id="5516" w:name="_Toc180605924"/>
      <w:bookmarkStart w:id="5517" w:name="_Toc185517178"/>
      <w:bookmarkStart w:id="5518" w:name="_Toc191576229"/>
      <w:bookmarkStart w:id="5519" w:name="_Toc191576969"/>
      <w:bookmarkStart w:id="5520" w:name="_Toc192880039"/>
      <w:bookmarkStart w:id="5521" w:name="_Toc195814922"/>
      <w:bookmarkStart w:id="5522" w:name="_Toc199452889"/>
      <w:r>
        <w:t>5.1.6.2</w:t>
      </w:r>
      <w:r>
        <w:tab/>
        <w:t>Structured data types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FA37A56" w14:textId="77777777" w:rsidR="00A10B25" w:rsidRDefault="00A10B25">
      <w:pPr>
        <w:pStyle w:val="5"/>
      </w:pPr>
      <w:bookmarkStart w:id="5523" w:name="_Toc66231795"/>
      <w:bookmarkStart w:id="5524" w:name="_Toc94064248"/>
      <w:bookmarkStart w:id="5525" w:name="_Toc83233069"/>
      <w:bookmarkStart w:id="5526" w:name="_Toc101244409"/>
      <w:bookmarkStart w:id="5527" w:name="_Toc114133803"/>
      <w:bookmarkStart w:id="5528" w:name="_Toc56640959"/>
      <w:bookmarkStart w:id="5529" w:name="_Toc34266284"/>
      <w:bookmarkStart w:id="5530" w:name="_Toc98233633"/>
      <w:bookmarkStart w:id="5531" w:name="_Toc28012814"/>
      <w:bookmarkStart w:id="5532" w:name="_Toc85552979"/>
      <w:bookmarkStart w:id="5533" w:name="_Toc59017927"/>
      <w:bookmarkStart w:id="5534" w:name="_Toc104539002"/>
      <w:bookmarkStart w:id="5535" w:name="_Toc70550623"/>
      <w:bookmarkStart w:id="5536" w:name="_Toc145705691"/>
      <w:bookmarkStart w:id="5537" w:name="_Toc148522595"/>
      <w:bookmarkStart w:id="5538" w:name="_Toc90655865"/>
      <w:bookmarkStart w:id="5539" w:name="_Toc85557078"/>
      <w:bookmarkStart w:id="5540" w:name="_Toc113031664"/>
      <w:bookmarkStart w:id="5541" w:name="_Toc68168956"/>
      <w:bookmarkStart w:id="5542" w:name="_Toc138754204"/>
      <w:bookmarkStart w:id="5543" w:name="_Toc45134040"/>
      <w:bookmarkStart w:id="5544" w:name="_Toc120702303"/>
      <w:bookmarkStart w:id="5545" w:name="_Toc51762892"/>
      <w:bookmarkStart w:id="5546" w:name="_Toc50031972"/>
      <w:bookmarkStart w:id="5547" w:name="_Toc112951124"/>
      <w:bookmarkStart w:id="5548" w:name="_Toc136562370"/>
      <w:bookmarkStart w:id="5549" w:name="_Toc43563497"/>
      <w:bookmarkStart w:id="5550" w:name="_Toc88667580"/>
      <w:bookmarkStart w:id="5551" w:name="_Toc36102455"/>
      <w:bookmarkStart w:id="5552" w:name="_Toc164920775"/>
      <w:bookmarkStart w:id="5553" w:name="_Toc170120317"/>
      <w:bookmarkStart w:id="5554" w:name="_Toc175858562"/>
      <w:bookmarkStart w:id="5555" w:name="_Toc175859635"/>
      <w:bookmarkStart w:id="5556" w:name="_Toc180605925"/>
      <w:bookmarkStart w:id="5557" w:name="_Toc185517179"/>
      <w:bookmarkStart w:id="5558" w:name="_Toc191576230"/>
      <w:bookmarkStart w:id="5559" w:name="_Toc191576970"/>
      <w:bookmarkStart w:id="5560" w:name="_Toc192880040"/>
      <w:bookmarkStart w:id="5561" w:name="_Toc195814923"/>
      <w:bookmarkStart w:id="5562" w:name="_Toc199452890"/>
      <w:r>
        <w:t>5.1.6.2.1</w:t>
      </w:r>
      <w:r>
        <w:tab/>
        <w:t>Introduction</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3D993EBC" w14:textId="77777777" w:rsidR="00A10B25" w:rsidRDefault="00A10B25">
      <w:r>
        <w:t xml:space="preserve">This clause defines the structures to be used in resource representations. </w:t>
      </w:r>
    </w:p>
    <w:p w14:paraId="3B089820" w14:textId="77777777" w:rsidR="00A10B25" w:rsidRDefault="00A10B25">
      <w:pPr>
        <w:pStyle w:val="5"/>
      </w:pPr>
      <w:bookmarkStart w:id="5563" w:name="_Toc66231796"/>
      <w:bookmarkStart w:id="5564" w:name="_Toc70550624"/>
      <w:bookmarkStart w:id="5565" w:name="_Toc88667581"/>
      <w:bookmarkStart w:id="5566" w:name="_Toc28012815"/>
      <w:bookmarkStart w:id="5567" w:name="_Toc51762893"/>
      <w:bookmarkStart w:id="5568" w:name="_Toc90655866"/>
      <w:bookmarkStart w:id="5569" w:name="_Toc98233634"/>
      <w:bookmarkStart w:id="5570" w:name="_Toc59017928"/>
      <w:bookmarkStart w:id="5571" w:name="_Toc101244410"/>
      <w:bookmarkStart w:id="5572" w:name="_Toc113031665"/>
      <w:bookmarkStart w:id="5573" w:name="_Toc94064249"/>
      <w:bookmarkStart w:id="5574" w:name="_Toc114133804"/>
      <w:bookmarkStart w:id="5575" w:name="_Toc50031973"/>
      <w:bookmarkStart w:id="5576" w:name="_Toc85557079"/>
      <w:bookmarkStart w:id="5577" w:name="_Toc68168957"/>
      <w:bookmarkStart w:id="5578" w:name="_Toc120702304"/>
      <w:bookmarkStart w:id="5579" w:name="_Toc56640960"/>
      <w:bookmarkStart w:id="5580" w:name="_Toc34266285"/>
      <w:bookmarkStart w:id="5581" w:name="_Toc36102456"/>
      <w:bookmarkStart w:id="5582" w:name="_Toc83233070"/>
      <w:bookmarkStart w:id="5583" w:name="_Toc43563498"/>
      <w:bookmarkStart w:id="5584" w:name="_Toc145705692"/>
      <w:bookmarkStart w:id="5585" w:name="_Toc148522596"/>
      <w:bookmarkStart w:id="5586" w:name="_Toc112951125"/>
      <w:bookmarkStart w:id="5587" w:name="_Toc138754205"/>
      <w:bookmarkStart w:id="5588" w:name="_Toc85552980"/>
      <w:bookmarkStart w:id="5589" w:name="_Toc104539003"/>
      <w:bookmarkStart w:id="5590" w:name="_Toc136562371"/>
      <w:bookmarkStart w:id="5591" w:name="_Toc45134041"/>
      <w:bookmarkStart w:id="5592" w:name="_Toc164920776"/>
      <w:bookmarkStart w:id="5593" w:name="_Toc170120318"/>
      <w:bookmarkStart w:id="5594" w:name="_Toc175858563"/>
      <w:bookmarkStart w:id="5595" w:name="_Toc175859636"/>
      <w:bookmarkStart w:id="5596" w:name="_Toc180605926"/>
      <w:bookmarkStart w:id="5597" w:name="_Toc185517180"/>
      <w:bookmarkStart w:id="5598" w:name="_Toc191576231"/>
      <w:bookmarkStart w:id="5599" w:name="_Toc191576971"/>
      <w:bookmarkStart w:id="5600" w:name="_Toc192880041"/>
      <w:bookmarkStart w:id="5601" w:name="_Toc195814924"/>
      <w:bookmarkStart w:id="5602" w:name="_Toc199452891"/>
      <w:r>
        <w:lastRenderedPageBreak/>
        <w:t>5.1.6.2.2</w:t>
      </w:r>
      <w:r>
        <w:tab/>
        <w:t>Type NnwdafEventsSubscription</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53C0D7B2" w14:textId="77777777" w:rsidR="00A10B25" w:rsidRDefault="00A10B25">
      <w:pPr>
        <w:pStyle w:val="TH"/>
        <w:overflowPunct w:val="0"/>
        <w:autoSpaceDE w:val="0"/>
        <w:autoSpaceDN w:val="0"/>
        <w:adjustRightInd w:val="0"/>
        <w:textAlignment w:val="baseline"/>
        <w:rPr>
          <w:rFonts w:eastAsia="MS Mincho"/>
        </w:rPr>
      </w:pPr>
      <w:r>
        <w:rPr>
          <w:rFonts w:eastAsia="MS Mincho"/>
        </w:rPr>
        <w:t>Table 5.1.6.2.2-1: Definition of type NnwdafEventsSubscription</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
        <w:gridCol w:w="1624"/>
        <w:gridCol w:w="33"/>
        <w:gridCol w:w="2461"/>
        <w:gridCol w:w="33"/>
        <w:gridCol w:w="454"/>
        <w:gridCol w:w="33"/>
        <w:gridCol w:w="1034"/>
        <w:gridCol w:w="33"/>
        <w:gridCol w:w="2664"/>
        <w:gridCol w:w="33"/>
        <w:gridCol w:w="1131"/>
        <w:gridCol w:w="33"/>
      </w:tblGrid>
      <w:tr w:rsidR="00A10B25" w14:paraId="73E30E16" w14:textId="77777777">
        <w:trPr>
          <w:gridAfter w:val="1"/>
          <w:wAfter w:w="33" w:type="dxa"/>
          <w:trHeight w:val="209"/>
          <w:jc w:val="center"/>
        </w:trPr>
        <w:tc>
          <w:tcPr>
            <w:tcW w:w="1657" w:type="dxa"/>
            <w:gridSpan w:val="2"/>
            <w:shd w:val="clear" w:color="auto" w:fill="C0C0C0"/>
          </w:tcPr>
          <w:p w14:paraId="281F99DD" w14:textId="77777777" w:rsidR="00A10B25" w:rsidRDefault="00A10B25">
            <w:pPr>
              <w:pStyle w:val="TAH"/>
            </w:pPr>
            <w:r>
              <w:lastRenderedPageBreak/>
              <w:t>Attribute name</w:t>
            </w:r>
          </w:p>
        </w:tc>
        <w:tc>
          <w:tcPr>
            <w:tcW w:w="2494" w:type="dxa"/>
            <w:gridSpan w:val="2"/>
            <w:shd w:val="clear" w:color="auto" w:fill="C0C0C0"/>
          </w:tcPr>
          <w:p w14:paraId="5F5E70BA" w14:textId="77777777" w:rsidR="00A10B25" w:rsidRDefault="00A10B25">
            <w:pPr>
              <w:pStyle w:val="TAH"/>
            </w:pPr>
            <w:r>
              <w:t>Data type</w:t>
            </w:r>
          </w:p>
        </w:tc>
        <w:tc>
          <w:tcPr>
            <w:tcW w:w="487" w:type="dxa"/>
            <w:gridSpan w:val="2"/>
            <w:shd w:val="clear" w:color="auto" w:fill="C0C0C0"/>
          </w:tcPr>
          <w:p w14:paraId="45176750" w14:textId="77777777" w:rsidR="00A10B25" w:rsidRDefault="00A10B25">
            <w:pPr>
              <w:pStyle w:val="TAH"/>
            </w:pPr>
            <w:r>
              <w:t>P</w:t>
            </w:r>
          </w:p>
        </w:tc>
        <w:tc>
          <w:tcPr>
            <w:tcW w:w="1067" w:type="dxa"/>
            <w:gridSpan w:val="2"/>
            <w:shd w:val="clear" w:color="auto" w:fill="C0C0C0"/>
          </w:tcPr>
          <w:p w14:paraId="2DE33670" w14:textId="77777777" w:rsidR="00A10B25" w:rsidRDefault="00A10B25">
            <w:pPr>
              <w:pStyle w:val="TAH"/>
            </w:pPr>
            <w:r>
              <w:t>Cardinality</w:t>
            </w:r>
          </w:p>
        </w:tc>
        <w:tc>
          <w:tcPr>
            <w:tcW w:w="2697" w:type="dxa"/>
            <w:gridSpan w:val="2"/>
            <w:shd w:val="clear" w:color="auto" w:fill="C0C0C0"/>
          </w:tcPr>
          <w:p w14:paraId="00AC4061" w14:textId="77777777" w:rsidR="00A10B25" w:rsidRDefault="00A10B25">
            <w:pPr>
              <w:pStyle w:val="TAH"/>
              <w:rPr>
                <w:rFonts w:cs="Arial"/>
                <w:szCs w:val="18"/>
              </w:rPr>
            </w:pPr>
            <w:r>
              <w:rPr>
                <w:rFonts w:cs="Arial"/>
                <w:szCs w:val="18"/>
              </w:rPr>
              <w:t>Description</w:t>
            </w:r>
          </w:p>
        </w:tc>
        <w:tc>
          <w:tcPr>
            <w:tcW w:w="1164" w:type="dxa"/>
            <w:gridSpan w:val="2"/>
            <w:shd w:val="clear" w:color="auto" w:fill="C0C0C0"/>
          </w:tcPr>
          <w:p w14:paraId="6B2E8CF9" w14:textId="77777777" w:rsidR="00A10B25" w:rsidRDefault="00A10B25">
            <w:pPr>
              <w:pStyle w:val="TAH"/>
              <w:rPr>
                <w:rFonts w:cs="Arial"/>
                <w:szCs w:val="18"/>
              </w:rPr>
            </w:pPr>
            <w:r>
              <w:rPr>
                <w:rFonts w:cs="Arial"/>
                <w:szCs w:val="18"/>
              </w:rPr>
              <w:t>Applicability</w:t>
            </w:r>
          </w:p>
        </w:tc>
      </w:tr>
      <w:tr w:rsidR="00A10B25" w14:paraId="08D6007E" w14:textId="77777777">
        <w:trPr>
          <w:gridAfter w:val="1"/>
          <w:wAfter w:w="33" w:type="dxa"/>
          <w:trHeight w:val="420"/>
          <w:jc w:val="center"/>
        </w:trPr>
        <w:tc>
          <w:tcPr>
            <w:tcW w:w="1657" w:type="dxa"/>
            <w:gridSpan w:val="2"/>
          </w:tcPr>
          <w:p w14:paraId="68A06171" w14:textId="77777777" w:rsidR="00A10B25" w:rsidRDefault="00A10B25">
            <w:pPr>
              <w:pStyle w:val="TAL"/>
            </w:pPr>
            <w:r>
              <w:t>eventSubscriptions</w:t>
            </w:r>
          </w:p>
        </w:tc>
        <w:tc>
          <w:tcPr>
            <w:tcW w:w="2494" w:type="dxa"/>
            <w:gridSpan w:val="2"/>
          </w:tcPr>
          <w:p w14:paraId="6BC72B34" w14:textId="77777777" w:rsidR="00A10B25" w:rsidRDefault="00A10B25">
            <w:pPr>
              <w:pStyle w:val="TAL"/>
            </w:pPr>
            <w:r>
              <w:t>array(EventSubscription)</w:t>
            </w:r>
          </w:p>
        </w:tc>
        <w:tc>
          <w:tcPr>
            <w:tcW w:w="487" w:type="dxa"/>
            <w:gridSpan w:val="2"/>
          </w:tcPr>
          <w:p w14:paraId="52D14D18" w14:textId="77777777" w:rsidR="00A10B25" w:rsidRDefault="00A10B25">
            <w:pPr>
              <w:pStyle w:val="TAL"/>
            </w:pPr>
            <w:r>
              <w:t>M</w:t>
            </w:r>
          </w:p>
        </w:tc>
        <w:tc>
          <w:tcPr>
            <w:tcW w:w="1067" w:type="dxa"/>
            <w:gridSpan w:val="2"/>
          </w:tcPr>
          <w:p w14:paraId="42877E71" w14:textId="77777777" w:rsidR="00A10B25" w:rsidRDefault="00A10B25">
            <w:pPr>
              <w:pStyle w:val="TAL"/>
            </w:pPr>
            <w:r>
              <w:t>1..N</w:t>
            </w:r>
          </w:p>
        </w:tc>
        <w:tc>
          <w:tcPr>
            <w:tcW w:w="2697" w:type="dxa"/>
            <w:gridSpan w:val="2"/>
          </w:tcPr>
          <w:p w14:paraId="630A7E07" w14:textId="77777777" w:rsidR="00A10B25" w:rsidRDefault="00A10B25">
            <w:pPr>
              <w:pStyle w:val="TAL"/>
              <w:rPr>
                <w:rFonts w:cs="Arial"/>
                <w:szCs w:val="18"/>
              </w:rPr>
            </w:pPr>
            <w:r>
              <w:t>Subscribed events.</w:t>
            </w:r>
          </w:p>
        </w:tc>
        <w:tc>
          <w:tcPr>
            <w:tcW w:w="1164" w:type="dxa"/>
            <w:gridSpan w:val="2"/>
          </w:tcPr>
          <w:p w14:paraId="2491CF9A" w14:textId="77777777" w:rsidR="00A10B25" w:rsidRDefault="00A10B25">
            <w:pPr>
              <w:pStyle w:val="TAL"/>
              <w:rPr>
                <w:rFonts w:cs="Arial"/>
                <w:szCs w:val="18"/>
              </w:rPr>
            </w:pPr>
          </w:p>
        </w:tc>
      </w:tr>
      <w:tr w:rsidR="00A10B25" w14:paraId="60D9180B" w14:textId="77777777">
        <w:trPr>
          <w:gridAfter w:val="1"/>
          <w:wAfter w:w="33" w:type="dxa"/>
          <w:trHeight w:val="420"/>
          <w:jc w:val="center"/>
        </w:trPr>
        <w:tc>
          <w:tcPr>
            <w:tcW w:w="1657" w:type="dxa"/>
            <w:gridSpan w:val="2"/>
          </w:tcPr>
          <w:p w14:paraId="14DDA86F" w14:textId="77777777" w:rsidR="00A10B25" w:rsidRDefault="00A10B25">
            <w:pPr>
              <w:pStyle w:val="TAL"/>
            </w:pPr>
            <w:r>
              <w:t>evtReq</w:t>
            </w:r>
          </w:p>
        </w:tc>
        <w:tc>
          <w:tcPr>
            <w:tcW w:w="2494" w:type="dxa"/>
            <w:gridSpan w:val="2"/>
          </w:tcPr>
          <w:p w14:paraId="169368D1" w14:textId="77777777" w:rsidR="00A10B25" w:rsidRDefault="00A10B25">
            <w:pPr>
              <w:pStyle w:val="TAL"/>
            </w:pPr>
            <w:r>
              <w:rPr>
                <w:rFonts w:eastAsia="等线"/>
              </w:rPr>
              <w:t>ReportingInformation</w:t>
            </w:r>
          </w:p>
        </w:tc>
        <w:tc>
          <w:tcPr>
            <w:tcW w:w="487" w:type="dxa"/>
            <w:gridSpan w:val="2"/>
          </w:tcPr>
          <w:p w14:paraId="3028E023" w14:textId="77777777" w:rsidR="00A10B25" w:rsidRDefault="00A10B25">
            <w:pPr>
              <w:pStyle w:val="TAL"/>
            </w:pPr>
            <w:r>
              <w:t>O</w:t>
            </w:r>
          </w:p>
        </w:tc>
        <w:tc>
          <w:tcPr>
            <w:tcW w:w="1067" w:type="dxa"/>
            <w:gridSpan w:val="2"/>
          </w:tcPr>
          <w:p w14:paraId="2B2B59C3" w14:textId="77777777" w:rsidR="00A10B25" w:rsidRDefault="00A10B25">
            <w:pPr>
              <w:pStyle w:val="TAL"/>
            </w:pPr>
            <w:r>
              <w:t>0..1</w:t>
            </w:r>
          </w:p>
        </w:tc>
        <w:tc>
          <w:tcPr>
            <w:tcW w:w="2697" w:type="dxa"/>
            <w:gridSpan w:val="2"/>
          </w:tcPr>
          <w:p w14:paraId="391F4669" w14:textId="77777777" w:rsidR="00A10B25" w:rsidRDefault="00A10B25">
            <w:pPr>
              <w:keepNext/>
              <w:keepLines/>
              <w:spacing w:after="0"/>
              <w:rPr>
                <w:rFonts w:ascii="Arial" w:hAnsi="Arial"/>
                <w:sz w:val="18"/>
              </w:rPr>
            </w:pPr>
            <w:r>
              <w:rPr>
                <w:rFonts w:ascii="Arial" w:hAnsi="Arial"/>
                <w:sz w:val="18"/>
              </w:rPr>
              <w:t>Represents the reporting requirements of the event subscription. (NOTE 1</w:t>
            </w:r>
            <w:r>
              <w:rPr>
                <w:rFonts w:ascii="Arial" w:hAnsi="Arial" w:hint="eastAsia"/>
                <w:sz w:val="18"/>
                <w:lang w:eastAsia="zh-CN"/>
              </w:rPr>
              <w:t>,</w:t>
            </w:r>
            <w:r>
              <w:rPr>
                <w:rFonts w:ascii="Arial" w:hAnsi="Arial"/>
                <w:sz w:val="18"/>
                <w:lang w:eastAsia="zh-CN"/>
              </w:rPr>
              <w:t xml:space="preserve"> NOTE</w:t>
            </w:r>
            <w:r>
              <w:rPr>
                <w:rFonts w:ascii="Arial" w:hAnsi="Arial"/>
                <w:sz w:val="18"/>
                <w:lang w:val="en-US" w:eastAsia="zh-CN"/>
              </w:rPr>
              <w:t> 2, NOTE 4</w:t>
            </w:r>
            <w:r>
              <w:rPr>
                <w:rFonts w:ascii="Arial" w:hAnsi="Arial"/>
                <w:sz w:val="18"/>
              </w:rPr>
              <w:t>)</w:t>
            </w:r>
          </w:p>
          <w:p w14:paraId="7FDD094D" w14:textId="77777777" w:rsidR="00A10B25" w:rsidRDefault="00A10B25">
            <w:pPr>
              <w:pStyle w:val="TAL"/>
            </w:pPr>
            <w:r>
              <w:t>If omitted, the default values within the ReportingInformation data type apply.</w:t>
            </w:r>
          </w:p>
        </w:tc>
        <w:tc>
          <w:tcPr>
            <w:tcW w:w="1164" w:type="dxa"/>
            <w:gridSpan w:val="2"/>
          </w:tcPr>
          <w:p w14:paraId="5DBAC309" w14:textId="77777777" w:rsidR="00A10B25" w:rsidRDefault="00A10B25">
            <w:pPr>
              <w:pStyle w:val="TAL"/>
              <w:rPr>
                <w:rFonts w:cs="Arial"/>
                <w:szCs w:val="18"/>
              </w:rPr>
            </w:pPr>
          </w:p>
        </w:tc>
      </w:tr>
      <w:tr w:rsidR="007605E0" w14:paraId="0BC2698F" w14:textId="77777777">
        <w:trPr>
          <w:gridAfter w:val="1"/>
          <w:wAfter w:w="33" w:type="dxa"/>
          <w:trHeight w:val="1469"/>
          <w:jc w:val="center"/>
        </w:trPr>
        <w:tc>
          <w:tcPr>
            <w:tcW w:w="1657" w:type="dxa"/>
            <w:gridSpan w:val="2"/>
          </w:tcPr>
          <w:p w14:paraId="037C4DCB" w14:textId="77777777" w:rsidR="007605E0" w:rsidRDefault="007605E0" w:rsidP="007605E0">
            <w:pPr>
              <w:pStyle w:val="TAL"/>
            </w:pPr>
            <w:r>
              <w:t>notificationURI</w:t>
            </w:r>
          </w:p>
          <w:p w14:paraId="52C11885" w14:textId="77777777" w:rsidR="007605E0" w:rsidRDefault="007605E0" w:rsidP="007605E0">
            <w:pPr>
              <w:pStyle w:val="TAL"/>
            </w:pPr>
          </w:p>
          <w:p w14:paraId="54D693DC" w14:textId="77777777" w:rsidR="007605E0" w:rsidRDefault="007605E0" w:rsidP="007605E0">
            <w:pPr>
              <w:pStyle w:val="TAL"/>
            </w:pPr>
            <w:r>
              <w:t>(NOTE 5)</w:t>
            </w:r>
          </w:p>
        </w:tc>
        <w:tc>
          <w:tcPr>
            <w:tcW w:w="2494" w:type="dxa"/>
            <w:gridSpan w:val="2"/>
          </w:tcPr>
          <w:p w14:paraId="46F34E31" w14:textId="77777777" w:rsidR="007605E0" w:rsidRDefault="007605E0" w:rsidP="007605E0">
            <w:pPr>
              <w:pStyle w:val="TAL"/>
            </w:pPr>
            <w:r>
              <w:t>Uri</w:t>
            </w:r>
          </w:p>
        </w:tc>
        <w:tc>
          <w:tcPr>
            <w:tcW w:w="487" w:type="dxa"/>
            <w:gridSpan w:val="2"/>
          </w:tcPr>
          <w:p w14:paraId="7F0B7D85" w14:textId="77777777" w:rsidR="007605E0" w:rsidRDefault="007605E0" w:rsidP="007605E0">
            <w:pPr>
              <w:pStyle w:val="TAL"/>
            </w:pPr>
            <w:r>
              <w:t>C</w:t>
            </w:r>
          </w:p>
        </w:tc>
        <w:tc>
          <w:tcPr>
            <w:tcW w:w="1067" w:type="dxa"/>
            <w:gridSpan w:val="2"/>
          </w:tcPr>
          <w:p w14:paraId="76DB61B5" w14:textId="77777777" w:rsidR="007605E0" w:rsidRDefault="007605E0" w:rsidP="007605E0">
            <w:pPr>
              <w:pStyle w:val="TAL"/>
            </w:pPr>
            <w:r>
              <w:t>0..1</w:t>
            </w:r>
          </w:p>
        </w:tc>
        <w:tc>
          <w:tcPr>
            <w:tcW w:w="2697" w:type="dxa"/>
            <w:gridSpan w:val="2"/>
          </w:tcPr>
          <w:p w14:paraId="59404979" w14:textId="77777777" w:rsidR="007605E0" w:rsidRDefault="007605E0" w:rsidP="007605E0">
            <w:pPr>
              <w:pStyle w:val="TAL"/>
            </w:pPr>
            <w:r>
              <w:t>Identifies the recipient of Notifications sent by the NWDAF.</w:t>
            </w:r>
          </w:p>
          <w:p w14:paraId="124F9661" w14:textId="77777777" w:rsidR="007605E0" w:rsidRDefault="007605E0" w:rsidP="007605E0">
            <w:pPr>
              <w:pStyle w:val="TAL"/>
              <w:rPr>
                <w:rFonts w:cs="Arial"/>
                <w:szCs w:val="18"/>
              </w:rPr>
            </w:pPr>
            <w:r>
              <w:t>This parameter shall be supplied by the NF service consumer in the HTTP POST requests that create the subscriptions for event notifications and in the HTTP PUT requests that update the subscriptions for event notifications.</w:t>
            </w:r>
          </w:p>
        </w:tc>
        <w:tc>
          <w:tcPr>
            <w:tcW w:w="1164" w:type="dxa"/>
            <w:gridSpan w:val="2"/>
          </w:tcPr>
          <w:p w14:paraId="1248BE8A" w14:textId="77777777" w:rsidR="007605E0" w:rsidRDefault="007605E0" w:rsidP="007605E0">
            <w:pPr>
              <w:pStyle w:val="TAL"/>
              <w:rPr>
                <w:rFonts w:cs="Arial"/>
                <w:szCs w:val="18"/>
              </w:rPr>
            </w:pPr>
          </w:p>
        </w:tc>
      </w:tr>
      <w:tr w:rsidR="00A10B25" w14:paraId="26BCAAF7" w14:textId="77777777">
        <w:trPr>
          <w:gridAfter w:val="1"/>
          <w:wAfter w:w="33" w:type="dxa"/>
          <w:trHeight w:val="1469"/>
          <w:jc w:val="center"/>
        </w:trPr>
        <w:tc>
          <w:tcPr>
            <w:tcW w:w="1657" w:type="dxa"/>
            <w:gridSpan w:val="2"/>
          </w:tcPr>
          <w:p w14:paraId="3C5859FB" w14:textId="77777777" w:rsidR="00A10B25" w:rsidRDefault="00A10B25">
            <w:pPr>
              <w:pStyle w:val="TAL"/>
            </w:pPr>
            <w:r>
              <w:t>notifCorrId</w:t>
            </w:r>
          </w:p>
        </w:tc>
        <w:tc>
          <w:tcPr>
            <w:tcW w:w="2494" w:type="dxa"/>
            <w:gridSpan w:val="2"/>
          </w:tcPr>
          <w:p w14:paraId="2480D384" w14:textId="77777777" w:rsidR="00A10B25" w:rsidRDefault="00A10B25">
            <w:pPr>
              <w:pStyle w:val="TAL"/>
            </w:pPr>
            <w:r>
              <w:t>string</w:t>
            </w:r>
          </w:p>
        </w:tc>
        <w:tc>
          <w:tcPr>
            <w:tcW w:w="487" w:type="dxa"/>
            <w:gridSpan w:val="2"/>
          </w:tcPr>
          <w:p w14:paraId="7D3F46EA" w14:textId="77777777" w:rsidR="00A10B25" w:rsidRDefault="00A10B25">
            <w:pPr>
              <w:pStyle w:val="TAL"/>
            </w:pPr>
            <w:r>
              <w:t>O</w:t>
            </w:r>
          </w:p>
        </w:tc>
        <w:tc>
          <w:tcPr>
            <w:tcW w:w="1067" w:type="dxa"/>
            <w:gridSpan w:val="2"/>
          </w:tcPr>
          <w:p w14:paraId="7F9088A6" w14:textId="77777777" w:rsidR="00A10B25" w:rsidRDefault="00A10B25">
            <w:pPr>
              <w:pStyle w:val="TAL"/>
            </w:pPr>
            <w:r>
              <w:t>0..1</w:t>
            </w:r>
          </w:p>
        </w:tc>
        <w:tc>
          <w:tcPr>
            <w:tcW w:w="2697" w:type="dxa"/>
            <w:gridSpan w:val="2"/>
          </w:tcPr>
          <w:p w14:paraId="66D73C11" w14:textId="77777777" w:rsidR="00A10B25" w:rsidRDefault="00A10B25">
            <w:pPr>
              <w:pStyle w:val="TAL"/>
            </w:pPr>
            <w:r>
              <w:t>Notification correlation identifier.</w:t>
            </w:r>
          </w:p>
        </w:tc>
        <w:tc>
          <w:tcPr>
            <w:tcW w:w="1164" w:type="dxa"/>
            <w:gridSpan w:val="2"/>
          </w:tcPr>
          <w:p w14:paraId="6A284A70" w14:textId="77777777" w:rsidR="00A10B25" w:rsidRDefault="00A10B25">
            <w:pPr>
              <w:pStyle w:val="TAL"/>
              <w:rPr>
                <w:rFonts w:cs="Arial"/>
                <w:szCs w:val="18"/>
              </w:rPr>
            </w:pPr>
            <w:r>
              <w:rPr>
                <w:rFonts w:cs="Arial"/>
                <w:szCs w:val="18"/>
              </w:rPr>
              <w:t>EneNA</w:t>
            </w:r>
          </w:p>
        </w:tc>
      </w:tr>
      <w:tr w:rsidR="00A10B25" w14:paraId="1F245AFC" w14:textId="77777777">
        <w:trPr>
          <w:gridAfter w:val="1"/>
          <w:wAfter w:w="33" w:type="dxa"/>
          <w:trHeight w:val="1469"/>
          <w:jc w:val="center"/>
        </w:trPr>
        <w:tc>
          <w:tcPr>
            <w:tcW w:w="1657" w:type="dxa"/>
            <w:gridSpan w:val="2"/>
          </w:tcPr>
          <w:p w14:paraId="2EF79E5F" w14:textId="77777777" w:rsidR="00A10B25" w:rsidRDefault="00A10B25">
            <w:pPr>
              <w:pStyle w:val="TAL"/>
            </w:pPr>
            <w:r>
              <w:t>eventNotifications</w:t>
            </w:r>
          </w:p>
        </w:tc>
        <w:tc>
          <w:tcPr>
            <w:tcW w:w="2494" w:type="dxa"/>
            <w:gridSpan w:val="2"/>
          </w:tcPr>
          <w:p w14:paraId="6C8377C7" w14:textId="77777777" w:rsidR="00A10B25" w:rsidRDefault="00A10B25">
            <w:pPr>
              <w:pStyle w:val="TAL"/>
            </w:pPr>
            <w:r>
              <w:t>array(EventNotification)</w:t>
            </w:r>
          </w:p>
        </w:tc>
        <w:tc>
          <w:tcPr>
            <w:tcW w:w="487" w:type="dxa"/>
            <w:gridSpan w:val="2"/>
          </w:tcPr>
          <w:p w14:paraId="0A970242" w14:textId="77777777" w:rsidR="00A10B25" w:rsidRDefault="00A10B25">
            <w:pPr>
              <w:pStyle w:val="TAL"/>
            </w:pPr>
            <w:r>
              <w:t>C</w:t>
            </w:r>
          </w:p>
        </w:tc>
        <w:tc>
          <w:tcPr>
            <w:tcW w:w="1067" w:type="dxa"/>
            <w:gridSpan w:val="2"/>
          </w:tcPr>
          <w:p w14:paraId="5E3E6648" w14:textId="77777777" w:rsidR="00A10B25" w:rsidRDefault="00A10B25">
            <w:pPr>
              <w:pStyle w:val="TAL"/>
            </w:pPr>
            <w:r>
              <w:t>1..N</w:t>
            </w:r>
          </w:p>
        </w:tc>
        <w:tc>
          <w:tcPr>
            <w:tcW w:w="2697" w:type="dxa"/>
            <w:gridSpan w:val="2"/>
          </w:tcPr>
          <w:p w14:paraId="1AE6BCDD" w14:textId="77777777" w:rsidR="00A10B25" w:rsidRDefault="00A10B25">
            <w:pPr>
              <w:pStyle w:val="TAL"/>
            </w:pPr>
            <w:r>
              <w:t>Notifications about Individual Events.</w:t>
            </w:r>
          </w:p>
          <w:p w14:paraId="20E8228F" w14:textId="77777777" w:rsidR="00A10B25" w:rsidRDefault="00A10B25">
            <w:pPr>
              <w:pStyle w:val="TAL"/>
            </w:pPr>
            <w:r>
              <w:t>Shall only be present if the immediate reporting indication in the "immRep" attribute within the "evtReq" attribute sets to true in the event subscription, and the reports are available.</w:t>
            </w:r>
          </w:p>
        </w:tc>
        <w:tc>
          <w:tcPr>
            <w:tcW w:w="1164" w:type="dxa"/>
            <w:gridSpan w:val="2"/>
          </w:tcPr>
          <w:p w14:paraId="04828B3D" w14:textId="77777777" w:rsidR="00A10B25" w:rsidRDefault="00A10B25">
            <w:pPr>
              <w:pStyle w:val="TAL"/>
              <w:rPr>
                <w:rFonts w:cs="Arial"/>
                <w:szCs w:val="18"/>
              </w:rPr>
            </w:pPr>
          </w:p>
        </w:tc>
      </w:tr>
      <w:tr w:rsidR="00A10B25" w14:paraId="134D63BA" w14:textId="77777777">
        <w:trPr>
          <w:gridAfter w:val="1"/>
          <w:wAfter w:w="33" w:type="dxa"/>
          <w:trHeight w:val="1469"/>
          <w:jc w:val="center"/>
        </w:trPr>
        <w:tc>
          <w:tcPr>
            <w:tcW w:w="1657" w:type="dxa"/>
            <w:gridSpan w:val="2"/>
          </w:tcPr>
          <w:p w14:paraId="50C33563" w14:textId="77777777" w:rsidR="00A10B25" w:rsidRDefault="00A10B25">
            <w:pPr>
              <w:pStyle w:val="TAL"/>
            </w:pPr>
            <w:r>
              <w:t>failEventReports</w:t>
            </w:r>
          </w:p>
        </w:tc>
        <w:tc>
          <w:tcPr>
            <w:tcW w:w="2494" w:type="dxa"/>
            <w:gridSpan w:val="2"/>
          </w:tcPr>
          <w:p w14:paraId="6BE3E783" w14:textId="77777777" w:rsidR="00A10B25" w:rsidRDefault="00A10B25">
            <w:pPr>
              <w:pStyle w:val="TAL"/>
            </w:pPr>
            <w:r>
              <w:t>array(FailureEventInfo)</w:t>
            </w:r>
          </w:p>
        </w:tc>
        <w:tc>
          <w:tcPr>
            <w:tcW w:w="487" w:type="dxa"/>
            <w:gridSpan w:val="2"/>
          </w:tcPr>
          <w:p w14:paraId="2135708C" w14:textId="77777777" w:rsidR="00A10B25" w:rsidRDefault="00A10B25">
            <w:pPr>
              <w:pStyle w:val="TAL"/>
            </w:pPr>
            <w:r>
              <w:t>O</w:t>
            </w:r>
          </w:p>
        </w:tc>
        <w:tc>
          <w:tcPr>
            <w:tcW w:w="1067" w:type="dxa"/>
            <w:gridSpan w:val="2"/>
          </w:tcPr>
          <w:p w14:paraId="1A2B6A54" w14:textId="77777777" w:rsidR="00A10B25" w:rsidRDefault="00A10B25">
            <w:pPr>
              <w:pStyle w:val="TAL"/>
            </w:pPr>
            <w:r>
              <w:t>1..N</w:t>
            </w:r>
          </w:p>
        </w:tc>
        <w:tc>
          <w:tcPr>
            <w:tcW w:w="2697" w:type="dxa"/>
            <w:gridSpan w:val="2"/>
          </w:tcPr>
          <w:p w14:paraId="0E9AC63A" w14:textId="77777777" w:rsidR="00A10B25" w:rsidRDefault="00A10B25">
            <w:pPr>
              <w:pStyle w:val="TAL"/>
            </w:pPr>
            <w:r>
              <w:t xml:space="preserve">Supplied by the NWDAF. When available, shall contain the event(s) for which the subscription is not successful including the failure reason(s). </w:t>
            </w:r>
          </w:p>
        </w:tc>
        <w:tc>
          <w:tcPr>
            <w:tcW w:w="1164" w:type="dxa"/>
            <w:gridSpan w:val="2"/>
          </w:tcPr>
          <w:p w14:paraId="62B34AE7" w14:textId="77777777" w:rsidR="00A10B25" w:rsidRDefault="00A10B25">
            <w:pPr>
              <w:pStyle w:val="TAL"/>
              <w:rPr>
                <w:rFonts w:cs="Arial"/>
                <w:szCs w:val="18"/>
              </w:rPr>
            </w:pPr>
          </w:p>
        </w:tc>
      </w:tr>
      <w:tr w:rsidR="00A10B25" w14:paraId="40203F3E" w14:textId="77777777">
        <w:trPr>
          <w:gridAfter w:val="1"/>
          <w:wAfter w:w="33" w:type="dxa"/>
          <w:trHeight w:val="1469"/>
          <w:jc w:val="center"/>
        </w:trPr>
        <w:tc>
          <w:tcPr>
            <w:tcW w:w="1657" w:type="dxa"/>
            <w:gridSpan w:val="2"/>
          </w:tcPr>
          <w:p w14:paraId="1AF787F3" w14:textId="77777777" w:rsidR="00A10B25" w:rsidRDefault="00A10B25">
            <w:pPr>
              <w:pStyle w:val="TAL"/>
            </w:pPr>
            <w:r>
              <w:t>consNfInfo</w:t>
            </w:r>
          </w:p>
        </w:tc>
        <w:tc>
          <w:tcPr>
            <w:tcW w:w="2494" w:type="dxa"/>
            <w:gridSpan w:val="2"/>
          </w:tcPr>
          <w:p w14:paraId="252743A8" w14:textId="77777777" w:rsidR="00A10B25" w:rsidRDefault="00A10B25">
            <w:pPr>
              <w:pStyle w:val="TAL"/>
            </w:pPr>
            <w:r>
              <w:t>ConsumerNfInformation</w:t>
            </w:r>
          </w:p>
        </w:tc>
        <w:tc>
          <w:tcPr>
            <w:tcW w:w="487" w:type="dxa"/>
            <w:gridSpan w:val="2"/>
          </w:tcPr>
          <w:p w14:paraId="6E5B375B" w14:textId="77777777" w:rsidR="00A10B25" w:rsidRDefault="00A10B25">
            <w:pPr>
              <w:pStyle w:val="TAL"/>
            </w:pPr>
            <w:r>
              <w:t>O</w:t>
            </w:r>
          </w:p>
        </w:tc>
        <w:tc>
          <w:tcPr>
            <w:tcW w:w="1067" w:type="dxa"/>
            <w:gridSpan w:val="2"/>
          </w:tcPr>
          <w:p w14:paraId="3C678828" w14:textId="77777777" w:rsidR="00A10B25" w:rsidRDefault="00A10B25">
            <w:pPr>
              <w:pStyle w:val="TAL"/>
            </w:pPr>
            <w:r>
              <w:t>0..1</w:t>
            </w:r>
          </w:p>
        </w:tc>
        <w:tc>
          <w:tcPr>
            <w:tcW w:w="2697" w:type="dxa"/>
            <w:gridSpan w:val="2"/>
          </w:tcPr>
          <w:p w14:paraId="6ADF4829" w14:textId="77777777" w:rsidR="00A10B25" w:rsidRDefault="00A10B25">
            <w:pPr>
              <w:pStyle w:val="TAL"/>
            </w:pPr>
            <w:r>
              <w:t>Represents the analytics consumer NF Information.</w:t>
            </w:r>
          </w:p>
        </w:tc>
        <w:tc>
          <w:tcPr>
            <w:tcW w:w="1164" w:type="dxa"/>
            <w:gridSpan w:val="2"/>
          </w:tcPr>
          <w:p w14:paraId="12E040BD" w14:textId="77777777" w:rsidR="00A10B25" w:rsidRDefault="00A10B25">
            <w:pPr>
              <w:pStyle w:val="TAL"/>
              <w:rPr>
                <w:rFonts w:cs="Arial"/>
                <w:szCs w:val="18"/>
              </w:rPr>
            </w:pPr>
            <w:r>
              <w:t>AnaSubTransfer</w:t>
            </w:r>
          </w:p>
        </w:tc>
      </w:tr>
      <w:tr w:rsidR="00A10B25" w14:paraId="5B4FB2E8" w14:textId="77777777">
        <w:trPr>
          <w:gridBefore w:val="1"/>
          <w:wBefore w:w="33" w:type="dxa"/>
          <w:trHeight w:val="1469"/>
          <w:jc w:val="center"/>
        </w:trPr>
        <w:tc>
          <w:tcPr>
            <w:tcW w:w="1657" w:type="dxa"/>
            <w:gridSpan w:val="2"/>
          </w:tcPr>
          <w:p w14:paraId="30270A49" w14:textId="77777777" w:rsidR="00A10B25" w:rsidRDefault="00A10B25">
            <w:pPr>
              <w:pStyle w:val="TAL"/>
            </w:pPr>
            <w:r>
              <w:t>prevSub</w:t>
            </w:r>
          </w:p>
        </w:tc>
        <w:tc>
          <w:tcPr>
            <w:tcW w:w="2494" w:type="dxa"/>
            <w:gridSpan w:val="2"/>
          </w:tcPr>
          <w:p w14:paraId="64C26769" w14:textId="77777777" w:rsidR="00A10B25" w:rsidRDefault="00A10B25">
            <w:pPr>
              <w:pStyle w:val="TAL"/>
            </w:pPr>
            <w:r>
              <w:t>PrevSubInfo</w:t>
            </w:r>
          </w:p>
        </w:tc>
        <w:tc>
          <w:tcPr>
            <w:tcW w:w="487" w:type="dxa"/>
            <w:gridSpan w:val="2"/>
          </w:tcPr>
          <w:p w14:paraId="11061FA2" w14:textId="77777777" w:rsidR="00A10B25" w:rsidRDefault="00A10B25">
            <w:pPr>
              <w:pStyle w:val="TAL"/>
            </w:pPr>
            <w:r>
              <w:t>O</w:t>
            </w:r>
          </w:p>
        </w:tc>
        <w:tc>
          <w:tcPr>
            <w:tcW w:w="1067" w:type="dxa"/>
            <w:gridSpan w:val="2"/>
          </w:tcPr>
          <w:p w14:paraId="32F84053" w14:textId="77777777" w:rsidR="00A10B25" w:rsidRDefault="00A10B25">
            <w:pPr>
              <w:pStyle w:val="TAL"/>
            </w:pPr>
            <w:r>
              <w:t>0..1</w:t>
            </w:r>
          </w:p>
        </w:tc>
        <w:tc>
          <w:tcPr>
            <w:tcW w:w="2697" w:type="dxa"/>
            <w:gridSpan w:val="2"/>
          </w:tcPr>
          <w:p w14:paraId="78C88C03" w14:textId="77777777" w:rsidR="00A10B25" w:rsidRDefault="00A10B25">
            <w:pPr>
              <w:pStyle w:val="TAL"/>
            </w:pPr>
            <w:r>
              <w:t xml:space="preserve">Contains information about the previous analytics subscription that the NF service consumer had with the source NWDAF. </w:t>
            </w:r>
          </w:p>
          <w:p w14:paraId="40B04374" w14:textId="77777777" w:rsidR="00A10B25" w:rsidRDefault="00A10B25">
            <w:pPr>
              <w:pStyle w:val="TAL"/>
            </w:pPr>
            <w:r>
              <w:t>(NOTE 3)</w:t>
            </w:r>
          </w:p>
        </w:tc>
        <w:tc>
          <w:tcPr>
            <w:tcW w:w="1164" w:type="dxa"/>
            <w:gridSpan w:val="2"/>
          </w:tcPr>
          <w:p w14:paraId="4518966D" w14:textId="77777777" w:rsidR="00A10B25" w:rsidRDefault="00A10B25">
            <w:pPr>
              <w:pStyle w:val="TAL"/>
              <w:rPr>
                <w:rFonts w:cs="Arial"/>
                <w:szCs w:val="18"/>
              </w:rPr>
            </w:pPr>
            <w:r>
              <w:t>AnaCtxTransfer</w:t>
            </w:r>
          </w:p>
        </w:tc>
      </w:tr>
      <w:tr w:rsidR="00A10B25" w14:paraId="1491FA5A" w14:textId="77777777">
        <w:trPr>
          <w:gridAfter w:val="1"/>
          <w:wAfter w:w="33" w:type="dxa"/>
          <w:trHeight w:val="1888"/>
          <w:jc w:val="center"/>
        </w:trPr>
        <w:tc>
          <w:tcPr>
            <w:tcW w:w="1657" w:type="dxa"/>
            <w:gridSpan w:val="2"/>
          </w:tcPr>
          <w:p w14:paraId="1B8F49EC" w14:textId="77777777" w:rsidR="00A10B25" w:rsidRDefault="00A10B25">
            <w:pPr>
              <w:pStyle w:val="TAL"/>
            </w:pPr>
            <w:r>
              <w:lastRenderedPageBreak/>
              <w:t>supportedFeatures</w:t>
            </w:r>
          </w:p>
        </w:tc>
        <w:tc>
          <w:tcPr>
            <w:tcW w:w="2494" w:type="dxa"/>
            <w:gridSpan w:val="2"/>
          </w:tcPr>
          <w:p w14:paraId="63139BD4" w14:textId="77777777" w:rsidR="00A10B25" w:rsidRDefault="00A10B25">
            <w:pPr>
              <w:pStyle w:val="TAL"/>
            </w:pPr>
            <w:r>
              <w:t>SupportedFeatures</w:t>
            </w:r>
          </w:p>
        </w:tc>
        <w:tc>
          <w:tcPr>
            <w:tcW w:w="487" w:type="dxa"/>
            <w:gridSpan w:val="2"/>
          </w:tcPr>
          <w:p w14:paraId="024DFD98" w14:textId="77777777" w:rsidR="00A10B25" w:rsidRDefault="00A10B25">
            <w:pPr>
              <w:pStyle w:val="TAL"/>
            </w:pPr>
            <w:r>
              <w:t>C</w:t>
            </w:r>
          </w:p>
        </w:tc>
        <w:tc>
          <w:tcPr>
            <w:tcW w:w="1067" w:type="dxa"/>
            <w:gridSpan w:val="2"/>
          </w:tcPr>
          <w:p w14:paraId="05066113" w14:textId="77777777" w:rsidR="00A10B25" w:rsidRDefault="00A10B25">
            <w:pPr>
              <w:pStyle w:val="TAL"/>
            </w:pPr>
            <w:r>
              <w:t>0..1</w:t>
            </w:r>
          </w:p>
        </w:tc>
        <w:tc>
          <w:tcPr>
            <w:tcW w:w="2697" w:type="dxa"/>
            <w:gridSpan w:val="2"/>
          </w:tcPr>
          <w:p w14:paraId="60C6D9DD" w14:textId="77777777" w:rsidR="00A10B25" w:rsidRDefault="00A10B25">
            <w:pPr>
              <w:pStyle w:val="TAL"/>
            </w:pPr>
            <w:r>
              <w:t>List of Supported features used as described in clause 5.1.8.</w:t>
            </w:r>
          </w:p>
          <w:p w14:paraId="47A0DA74" w14:textId="77777777" w:rsidR="00A10B25" w:rsidRDefault="00A10B25">
            <w:pPr>
              <w:pStyle w:val="TAL"/>
              <w:rPr>
                <w:rFonts w:cs="Arial"/>
                <w:szCs w:val="18"/>
              </w:rPr>
            </w:pPr>
            <w:r>
              <w:t>This parameter shall be supplied by NF service consumer in the POST request that request the creation of an NWDAF Event Subscriptions resource, and shall be supplied by the NWDAF in the reply of corresponding request.</w:t>
            </w:r>
          </w:p>
        </w:tc>
        <w:tc>
          <w:tcPr>
            <w:tcW w:w="1164" w:type="dxa"/>
            <w:gridSpan w:val="2"/>
          </w:tcPr>
          <w:p w14:paraId="00E96345" w14:textId="77777777" w:rsidR="00A10B25" w:rsidRDefault="00A10B25">
            <w:pPr>
              <w:pStyle w:val="TAL"/>
              <w:rPr>
                <w:rFonts w:cs="Arial"/>
                <w:szCs w:val="18"/>
              </w:rPr>
            </w:pPr>
          </w:p>
        </w:tc>
      </w:tr>
      <w:tr w:rsidR="00A10B25" w14:paraId="73DC5B3B" w14:textId="77777777">
        <w:trPr>
          <w:gridAfter w:val="1"/>
          <w:wAfter w:w="33" w:type="dxa"/>
          <w:trHeight w:val="850"/>
          <w:jc w:val="center"/>
        </w:trPr>
        <w:tc>
          <w:tcPr>
            <w:tcW w:w="9566" w:type="dxa"/>
            <w:gridSpan w:val="12"/>
          </w:tcPr>
          <w:p w14:paraId="3F3E0F96" w14:textId="77777777" w:rsidR="00A10B25" w:rsidRDefault="00A10B25">
            <w:pPr>
              <w:pStyle w:val="TAN"/>
            </w:pPr>
            <w:r>
              <w:t>NOTE 1:</w:t>
            </w:r>
            <w:r>
              <w:tab/>
              <w:t>If the "evtReq" attribute (of data type ReportingInformation) is provided and contains the "notifMethod" attribute, the notification method indicated by the "notifMethod" attribute within the ReportingInformation data type takes preference over the notification method indicated by the "notificationMethod" attribute within the EventSubscription data type.</w:t>
            </w:r>
            <w:r>
              <w:rPr>
                <w:rFonts w:hint="eastAsia"/>
              </w:rPr>
              <w:t xml:space="preserve"> </w:t>
            </w:r>
          </w:p>
          <w:p w14:paraId="4AE8B802" w14:textId="77777777" w:rsidR="00A10B25" w:rsidRDefault="00A10B25">
            <w:pPr>
              <w:pStyle w:val="TAN"/>
            </w:pPr>
            <w:r>
              <w:t>NOTE 2:</w:t>
            </w:r>
            <w:r>
              <w:tab/>
              <w:t>If the "evtReq" attribute (of data type ReportingInformation) is provided and contains the "repPeriod" attribute, the periodic reporting time indicated by the "repPeriod" attribute in the ReportingInformation data type takes preference over the periodic reporting time indicated by the "repetitionPeriod" attribute in the EventSubscription data type.</w:t>
            </w:r>
          </w:p>
          <w:p w14:paraId="5CE80409" w14:textId="77777777" w:rsidR="007605E0" w:rsidRDefault="007605E0" w:rsidP="007605E0">
            <w:pPr>
              <w:keepNext/>
              <w:keepLines/>
              <w:spacing w:after="0"/>
              <w:ind w:left="851" w:hanging="851"/>
              <w:rPr>
                <w:rFonts w:ascii="Arial" w:hAnsi="Arial"/>
                <w:sz w:val="18"/>
              </w:rPr>
            </w:pPr>
            <w:r>
              <w:rPr>
                <w:rFonts w:ascii="Arial" w:hAnsi="Arial"/>
                <w:sz w:val="18"/>
              </w:rPr>
              <w:t>NOTE 3:</w:t>
            </w:r>
            <w:r>
              <w:rPr>
                <w:rFonts w:ascii="Arial" w:hAnsi="Arial"/>
                <w:sz w:val="18"/>
              </w:rPr>
              <w:tab/>
              <w:t>The "prevSub" attribute may be used by the NWDAF to derive analytics context identifier(s), which may be used in the Nnwdaf_AnalyticsInfo_ContextTransfer service operation invoked by the NWDAF.</w:t>
            </w:r>
          </w:p>
          <w:p w14:paraId="4BEFA8E8" w14:textId="77777777" w:rsidR="007605E0" w:rsidRDefault="007605E0" w:rsidP="007605E0">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442FABBD" w14:textId="77777777" w:rsidR="00A10B25" w:rsidRDefault="007605E0" w:rsidP="007605E0">
            <w:pPr>
              <w:pStyle w:val="TAN"/>
            </w:pPr>
            <w:r>
              <w:t>NOTE 5:</w:t>
            </w:r>
            <w:r>
              <w:tab/>
              <w:t>The "notificationURI" attribute does not respect the related naming convention (i.e., "lowerCamel") defined</w:t>
            </w:r>
            <w:r w:rsidRPr="00C11AB2">
              <w:t xml:space="preserve"> in </w:t>
            </w:r>
            <w:r>
              <w:t xml:space="preserve">clause 5.1.4 of </w:t>
            </w:r>
            <w:r>
              <w:rPr>
                <w:lang w:eastAsia="zh-CN"/>
              </w:rPr>
              <w:t>3GPP TS 29.501 [7]</w:t>
            </w:r>
            <w:r>
              <w:t xml:space="preserve">. </w:t>
            </w:r>
            <w:r w:rsidRPr="00FC0827">
              <w:t>Th</w:t>
            </w:r>
            <w:r>
              <w:t>is</w:t>
            </w:r>
            <w:r w:rsidRPr="00FC0827">
              <w:t xml:space="preserve"> </w:t>
            </w:r>
            <w:r>
              <w:t xml:space="preserve">attribute </w:t>
            </w:r>
            <w:r w:rsidRPr="00FC0827">
              <w:t xml:space="preserve">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tbl>
    <w:p w14:paraId="67A4E403" w14:textId="77777777" w:rsidR="00A10B25" w:rsidRDefault="00A10B25"/>
    <w:p w14:paraId="3BCC316A" w14:textId="77777777" w:rsidR="00A10B25" w:rsidRDefault="00A10B25">
      <w:pPr>
        <w:pStyle w:val="5"/>
      </w:pPr>
      <w:bookmarkStart w:id="5603" w:name="_Toc50031974"/>
      <w:bookmarkStart w:id="5604" w:name="_Toc70550625"/>
      <w:bookmarkStart w:id="5605" w:name="_Toc88667582"/>
      <w:bookmarkStart w:id="5606" w:name="_Toc45134042"/>
      <w:bookmarkStart w:id="5607" w:name="_Toc104539004"/>
      <w:bookmarkStart w:id="5608" w:name="_Toc68168958"/>
      <w:bookmarkStart w:id="5609" w:name="_Toc85552981"/>
      <w:bookmarkStart w:id="5610" w:name="_Toc28012816"/>
      <w:bookmarkStart w:id="5611" w:name="_Toc120702305"/>
      <w:bookmarkStart w:id="5612" w:name="_Toc98233635"/>
      <w:bookmarkStart w:id="5613" w:name="_Toc114133805"/>
      <w:bookmarkStart w:id="5614" w:name="_Toc112951126"/>
      <w:bookmarkStart w:id="5615" w:name="_Toc83233071"/>
      <w:bookmarkStart w:id="5616" w:name="_Toc51762894"/>
      <w:bookmarkStart w:id="5617" w:name="_Toc101244411"/>
      <w:bookmarkStart w:id="5618" w:name="_Toc94064250"/>
      <w:bookmarkStart w:id="5619" w:name="_Toc113031666"/>
      <w:bookmarkStart w:id="5620" w:name="_Toc136562372"/>
      <w:bookmarkStart w:id="5621" w:name="_Toc43563499"/>
      <w:bookmarkStart w:id="5622" w:name="_Toc34266286"/>
      <w:bookmarkStart w:id="5623" w:name="_Toc138754206"/>
      <w:bookmarkStart w:id="5624" w:name="_Toc66231797"/>
      <w:bookmarkStart w:id="5625" w:name="_Toc85557080"/>
      <w:bookmarkStart w:id="5626" w:name="_Toc59017929"/>
      <w:bookmarkStart w:id="5627" w:name="_Toc148522597"/>
      <w:bookmarkStart w:id="5628" w:name="_Toc36102457"/>
      <w:bookmarkStart w:id="5629" w:name="_Toc56640961"/>
      <w:bookmarkStart w:id="5630" w:name="_Toc90655867"/>
      <w:bookmarkStart w:id="5631" w:name="_Toc145705693"/>
      <w:bookmarkStart w:id="5632" w:name="_Toc164920777"/>
      <w:bookmarkStart w:id="5633" w:name="_Toc170120319"/>
      <w:bookmarkStart w:id="5634" w:name="_Toc175858564"/>
      <w:bookmarkStart w:id="5635" w:name="_Toc175859637"/>
      <w:bookmarkStart w:id="5636" w:name="_Toc180605927"/>
      <w:bookmarkStart w:id="5637" w:name="_Toc185517181"/>
      <w:bookmarkStart w:id="5638" w:name="_Toc191576232"/>
      <w:bookmarkStart w:id="5639" w:name="_Toc191576972"/>
      <w:bookmarkStart w:id="5640" w:name="_Toc192880042"/>
      <w:bookmarkStart w:id="5641" w:name="_Toc195814925"/>
      <w:bookmarkStart w:id="5642" w:name="_Toc199452892"/>
      <w:r>
        <w:lastRenderedPageBreak/>
        <w:t>5.1.6.2.3</w:t>
      </w:r>
      <w:r>
        <w:tab/>
        <w:t>Type EventSubscription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23907FAF" w14:textId="77777777" w:rsidR="00A10B25" w:rsidRDefault="00A10B25">
      <w:pPr>
        <w:pStyle w:val="TH"/>
      </w:pPr>
      <w:r>
        <w:t>Table 5.1.6.2.3-1: Definition of type EventSubscription</w:t>
      </w:r>
    </w:p>
    <w:tbl>
      <w:tblPr>
        <w:tblW w:w="918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
        <w:gridCol w:w="1568"/>
        <w:gridCol w:w="37"/>
        <w:gridCol w:w="1964"/>
        <w:gridCol w:w="38"/>
        <w:gridCol w:w="248"/>
        <w:gridCol w:w="38"/>
        <w:gridCol w:w="1025"/>
        <w:gridCol w:w="39"/>
        <w:gridCol w:w="2684"/>
        <w:gridCol w:w="40"/>
        <w:gridCol w:w="1423"/>
        <w:gridCol w:w="41"/>
      </w:tblGrid>
      <w:tr w:rsidR="00F525B2" w14:paraId="79C7C5A0" w14:textId="77777777" w:rsidTr="009B329F">
        <w:trPr>
          <w:jc w:val="center"/>
        </w:trPr>
        <w:tc>
          <w:tcPr>
            <w:tcW w:w="1603" w:type="dxa"/>
            <w:gridSpan w:val="2"/>
            <w:shd w:val="clear" w:color="auto" w:fill="C0C0C0"/>
          </w:tcPr>
          <w:p w14:paraId="797F1DAF" w14:textId="77777777" w:rsidR="00F525B2" w:rsidRDefault="00F525B2" w:rsidP="009B329F">
            <w:pPr>
              <w:pStyle w:val="TAH"/>
            </w:pPr>
            <w:r>
              <w:lastRenderedPageBreak/>
              <w:t>Attribute name</w:t>
            </w:r>
          </w:p>
        </w:tc>
        <w:tc>
          <w:tcPr>
            <w:tcW w:w="2001" w:type="dxa"/>
            <w:gridSpan w:val="2"/>
            <w:shd w:val="clear" w:color="auto" w:fill="C0C0C0"/>
          </w:tcPr>
          <w:p w14:paraId="1CA2BCDC" w14:textId="77777777" w:rsidR="00F525B2" w:rsidRDefault="00F525B2" w:rsidP="009B329F">
            <w:pPr>
              <w:pStyle w:val="TAH"/>
            </w:pPr>
            <w:r>
              <w:t>Data type</w:t>
            </w:r>
          </w:p>
        </w:tc>
        <w:tc>
          <w:tcPr>
            <w:tcW w:w="286" w:type="dxa"/>
            <w:gridSpan w:val="2"/>
            <w:shd w:val="clear" w:color="auto" w:fill="C0C0C0"/>
          </w:tcPr>
          <w:p w14:paraId="2A34082F" w14:textId="77777777" w:rsidR="00F525B2" w:rsidRDefault="00F525B2" w:rsidP="009B329F">
            <w:pPr>
              <w:pStyle w:val="TAH"/>
            </w:pPr>
            <w:r>
              <w:t>P</w:t>
            </w:r>
          </w:p>
        </w:tc>
        <w:tc>
          <w:tcPr>
            <w:tcW w:w="1063" w:type="dxa"/>
            <w:gridSpan w:val="2"/>
            <w:shd w:val="clear" w:color="auto" w:fill="C0C0C0"/>
          </w:tcPr>
          <w:p w14:paraId="292AB8C2" w14:textId="77777777" w:rsidR="00F525B2" w:rsidRDefault="00F525B2" w:rsidP="009B329F">
            <w:pPr>
              <w:pStyle w:val="TAH"/>
            </w:pPr>
            <w:r>
              <w:t>Cardinality</w:t>
            </w:r>
          </w:p>
        </w:tc>
        <w:tc>
          <w:tcPr>
            <w:tcW w:w="2723" w:type="dxa"/>
            <w:gridSpan w:val="2"/>
            <w:shd w:val="clear" w:color="auto" w:fill="C0C0C0"/>
          </w:tcPr>
          <w:p w14:paraId="66FEC177" w14:textId="77777777" w:rsidR="00F525B2" w:rsidRDefault="00F525B2" w:rsidP="009B329F">
            <w:pPr>
              <w:pStyle w:val="TAH"/>
              <w:rPr>
                <w:rFonts w:cs="Arial"/>
                <w:szCs w:val="18"/>
              </w:rPr>
            </w:pPr>
            <w:r>
              <w:rPr>
                <w:rFonts w:cs="Arial"/>
                <w:szCs w:val="18"/>
              </w:rPr>
              <w:t>Description</w:t>
            </w:r>
          </w:p>
        </w:tc>
        <w:tc>
          <w:tcPr>
            <w:tcW w:w="1504" w:type="dxa"/>
            <w:gridSpan w:val="3"/>
            <w:shd w:val="clear" w:color="auto" w:fill="C0C0C0"/>
          </w:tcPr>
          <w:p w14:paraId="5650EE03" w14:textId="77777777" w:rsidR="00F525B2" w:rsidRDefault="00F525B2" w:rsidP="009B329F">
            <w:pPr>
              <w:pStyle w:val="TAH"/>
              <w:rPr>
                <w:rFonts w:cs="Arial"/>
                <w:szCs w:val="18"/>
              </w:rPr>
            </w:pPr>
            <w:r>
              <w:rPr>
                <w:rFonts w:cs="Arial"/>
                <w:szCs w:val="18"/>
              </w:rPr>
              <w:t>Applicability</w:t>
            </w:r>
          </w:p>
        </w:tc>
      </w:tr>
      <w:tr w:rsidR="00F525B2" w14:paraId="371C4B58" w14:textId="77777777" w:rsidTr="009B329F">
        <w:trPr>
          <w:gridAfter w:val="1"/>
          <w:wAfter w:w="41" w:type="dxa"/>
          <w:jc w:val="center"/>
        </w:trPr>
        <w:tc>
          <w:tcPr>
            <w:tcW w:w="1603" w:type="dxa"/>
            <w:gridSpan w:val="2"/>
          </w:tcPr>
          <w:p w14:paraId="7FF57179" w14:textId="77777777" w:rsidR="00F525B2" w:rsidRDefault="00F525B2" w:rsidP="009B329F">
            <w:pPr>
              <w:pStyle w:val="TAL"/>
            </w:pPr>
            <w:r>
              <w:t>anySlice</w:t>
            </w:r>
          </w:p>
        </w:tc>
        <w:tc>
          <w:tcPr>
            <w:tcW w:w="2001" w:type="dxa"/>
            <w:gridSpan w:val="2"/>
          </w:tcPr>
          <w:p w14:paraId="060F33F5" w14:textId="77777777" w:rsidR="00F525B2" w:rsidRDefault="00F525B2" w:rsidP="009B329F">
            <w:pPr>
              <w:pStyle w:val="TAL"/>
            </w:pPr>
            <w:r>
              <w:t>AnySlice</w:t>
            </w:r>
          </w:p>
        </w:tc>
        <w:tc>
          <w:tcPr>
            <w:tcW w:w="286" w:type="dxa"/>
            <w:gridSpan w:val="2"/>
          </w:tcPr>
          <w:p w14:paraId="1049015E" w14:textId="77777777" w:rsidR="00F525B2" w:rsidRDefault="00F525B2" w:rsidP="009B329F">
            <w:pPr>
              <w:pStyle w:val="TAC"/>
            </w:pPr>
            <w:r>
              <w:t>C</w:t>
            </w:r>
          </w:p>
        </w:tc>
        <w:tc>
          <w:tcPr>
            <w:tcW w:w="1063" w:type="dxa"/>
            <w:gridSpan w:val="2"/>
          </w:tcPr>
          <w:p w14:paraId="5BC631F0" w14:textId="77777777" w:rsidR="00F525B2" w:rsidRDefault="00F525B2" w:rsidP="009B329F">
            <w:pPr>
              <w:pStyle w:val="TAL"/>
            </w:pPr>
            <w:r>
              <w:t>0..1</w:t>
            </w:r>
          </w:p>
        </w:tc>
        <w:tc>
          <w:tcPr>
            <w:tcW w:w="2723" w:type="dxa"/>
            <w:gridSpan w:val="2"/>
          </w:tcPr>
          <w:p w14:paraId="5D76A644" w14:textId="77777777" w:rsidR="00F525B2" w:rsidRDefault="00F525B2" w:rsidP="009B329F">
            <w:pPr>
              <w:pStyle w:val="TAL"/>
            </w:pPr>
            <w:r>
              <w:t>Default is "false". (NOTE 1)</w:t>
            </w:r>
          </w:p>
        </w:tc>
        <w:tc>
          <w:tcPr>
            <w:tcW w:w="1463" w:type="dxa"/>
            <w:gridSpan w:val="2"/>
          </w:tcPr>
          <w:p w14:paraId="2BD575FE" w14:textId="77777777" w:rsidR="00F525B2" w:rsidRDefault="00F525B2" w:rsidP="009B329F">
            <w:pPr>
              <w:pStyle w:val="TAL"/>
              <w:rPr>
                <w:rFonts w:cs="Arial"/>
                <w:szCs w:val="18"/>
              </w:rPr>
            </w:pPr>
          </w:p>
        </w:tc>
      </w:tr>
      <w:tr w:rsidR="00F525B2" w14:paraId="1E8E80AC" w14:textId="77777777" w:rsidTr="009B329F">
        <w:trPr>
          <w:gridAfter w:val="1"/>
          <w:wAfter w:w="41" w:type="dxa"/>
          <w:jc w:val="center"/>
        </w:trPr>
        <w:tc>
          <w:tcPr>
            <w:tcW w:w="1603" w:type="dxa"/>
            <w:gridSpan w:val="2"/>
          </w:tcPr>
          <w:p w14:paraId="5383400A" w14:textId="77777777" w:rsidR="00F525B2" w:rsidRDefault="00F525B2" w:rsidP="009B329F">
            <w:pPr>
              <w:pStyle w:val="TAL"/>
            </w:pPr>
            <w:r>
              <w:rPr>
                <w:rFonts w:hint="eastAsia"/>
              </w:rPr>
              <w:t>a</w:t>
            </w:r>
            <w:r>
              <w:t>ppIds</w:t>
            </w:r>
          </w:p>
        </w:tc>
        <w:tc>
          <w:tcPr>
            <w:tcW w:w="2001" w:type="dxa"/>
            <w:gridSpan w:val="2"/>
          </w:tcPr>
          <w:p w14:paraId="6D3CAE00" w14:textId="77777777" w:rsidR="00F525B2" w:rsidRDefault="00F525B2" w:rsidP="009B329F">
            <w:pPr>
              <w:pStyle w:val="TAL"/>
            </w:pPr>
            <w:r>
              <w:t>array(ApplicationId)</w:t>
            </w:r>
          </w:p>
        </w:tc>
        <w:tc>
          <w:tcPr>
            <w:tcW w:w="286" w:type="dxa"/>
            <w:gridSpan w:val="2"/>
          </w:tcPr>
          <w:p w14:paraId="4BEC2531" w14:textId="77777777" w:rsidR="00F525B2" w:rsidRDefault="00F525B2" w:rsidP="009B329F">
            <w:pPr>
              <w:pStyle w:val="TAC"/>
            </w:pPr>
            <w:r>
              <w:t>C</w:t>
            </w:r>
          </w:p>
        </w:tc>
        <w:tc>
          <w:tcPr>
            <w:tcW w:w="1063" w:type="dxa"/>
            <w:gridSpan w:val="2"/>
          </w:tcPr>
          <w:p w14:paraId="3D5BB7EC" w14:textId="77777777" w:rsidR="00F525B2" w:rsidRDefault="00F525B2" w:rsidP="009B329F">
            <w:pPr>
              <w:pStyle w:val="TAL"/>
            </w:pPr>
            <w:r>
              <w:t>1..N</w:t>
            </w:r>
          </w:p>
        </w:tc>
        <w:tc>
          <w:tcPr>
            <w:tcW w:w="2723" w:type="dxa"/>
            <w:gridSpan w:val="2"/>
          </w:tcPr>
          <w:p w14:paraId="02AB9A87" w14:textId="77777777" w:rsidR="00F525B2" w:rsidRDefault="00F525B2" w:rsidP="009B329F">
            <w:pPr>
              <w:pStyle w:val="TAL"/>
            </w:pPr>
            <w:r>
              <w:t xml:space="preserve">Represents the Application Identifier(s) to which the subscription applies. </w:t>
            </w:r>
          </w:p>
          <w:p w14:paraId="0C53CC97" w14:textId="77777777" w:rsidR="00F525B2" w:rsidRDefault="00F525B2" w:rsidP="009B329F">
            <w:pPr>
              <w:pStyle w:val="TAL"/>
            </w:pPr>
            <w:r>
              <w:t xml:space="preserve">The absence of appIds means subscription to all applications. (NOTE 8) (NOTE 15) (NOTE 16) (NOTE 24) </w:t>
            </w:r>
          </w:p>
        </w:tc>
        <w:tc>
          <w:tcPr>
            <w:tcW w:w="1463" w:type="dxa"/>
            <w:gridSpan w:val="2"/>
          </w:tcPr>
          <w:p w14:paraId="05DC8265" w14:textId="77777777" w:rsidR="00F525B2" w:rsidRDefault="00F525B2" w:rsidP="009B329F">
            <w:pPr>
              <w:pStyle w:val="TAL"/>
              <w:rPr>
                <w:rFonts w:eastAsia="Batang"/>
              </w:rPr>
            </w:pPr>
            <w:r>
              <w:rPr>
                <w:rFonts w:eastAsia="Batang"/>
              </w:rPr>
              <w:t>ServiceExperience</w:t>
            </w:r>
          </w:p>
          <w:p w14:paraId="77831660" w14:textId="77777777" w:rsidR="00F525B2" w:rsidRDefault="00F525B2" w:rsidP="009B329F">
            <w:pPr>
              <w:pStyle w:val="TAL"/>
              <w:rPr>
                <w:rFonts w:cs="Arial"/>
                <w:szCs w:val="18"/>
              </w:rPr>
            </w:pPr>
            <w:r>
              <w:rPr>
                <w:rFonts w:cs="Arial"/>
                <w:szCs w:val="18"/>
              </w:rPr>
              <w:t>UeCommunication</w:t>
            </w:r>
            <w:r>
              <w:t xml:space="preserve"> </w:t>
            </w:r>
          </w:p>
          <w:p w14:paraId="7AFE4C92" w14:textId="77777777" w:rsidR="00F525B2" w:rsidRDefault="00F525B2" w:rsidP="009B329F">
            <w:pPr>
              <w:pStyle w:val="TAL"/>
              <w:rPr>
                <w:rFonts w:cs="Arial"/>
                <w:szCs w:val="18"/>
              </w:rPr>
            </w:pPr>
            <w:r>
              <w:rPr>
                <w:rFonts w:cs="Arial"/>
                <w:szCs w:val="18"/>
              </w:rPr>
              <w:t>AbnormalBehaviour</w:t>
            </w:r>
          </w:p>
          <w:p w14:paraId="08CC8556" w14:textId="77777777" w:rsidR="00F525B2" w:rsidRDefault="00F525B2" w:rsidP="009B329F">
            <w:pPr>
              <w:pStyle w:val="TAL"/>
              <w:rPr>
                <w:rFonts w:cs="Arial"/>
                <w:szCs w:val="18"/>
              </w:rPr>
            </w:pPr>
            <w:r>
              <w:rPr>
                <w:rFonts w:cs="Arial"/>
                <w:szCs w:val="18"/>
              </w:rPr>
              <w:t>Dispersion</w:t>
            </w:r>
          </w:p>
          <w:p w14:paraId="2923F74E" w14:textId="77777777" w:rsidR="00F525B2" w:rsidRDefault="00F525B2" w:rsidP="009B329F">
            <w:pPr>
              <w:pStyle w:val="TAL"/>
              <w:rPr>
                <w:rFonts w:eastAsia="Batang"/>
              </w:rPr>
            </w:pPr>
            <w:r>
              <w:rPr>
                <w:rFonts w:eastAsia="Batang"/>
              </w:rPr>
              <w:t>DnPerformance</w:t>
            </w:r>
          </w:p>
          <w:p w14:paraId="63D3349D" w14:textId="77777777" w:rsidR="00F525B2" w:rsidRDefault="00F525B2" w:rsidP="009B329F">
            <w:pPr>
              <w:pStyle w:val="TAL"/>
              <w:rPr>
                <w:rFonts w:eastAsia="Batang"/>
              </w:rPr>
            </w:pPr>
            <w:r>
              <w:rPr>
                <w:rFonts w:eastAsia="Batang"/>
              </w:rPr>
              <w:t>PfdDetermination</w:t>
            </w:r>
          </w:p>
          <w:p w14:paraId="38965D9A" w14:textId="77777777" w:rsidR="00F525B2" w:rsidRDefault="00F525B2" w:rsidP="009B329F">
            <w:pPr>
              <w:pStyle w:val="TAL"/>
              <w:rPr>
                <w:lang w:eastAsia="zh-CN"/>
              </w:rPr>
            </w:pPr>
            <w:r>
              <w:rPr>
                <w:lang w:eastAsia="zh-CN"/>
              </w:rPr>
              <w:t>E2eDataVolTransTime</w:t>
            </w:r>
          </w:p>
          <w:p w14:paraId="7B91AC5E" w14:textId="77777777" w:rsidR="00F525B2" w:rsidRDefault="00F525B2" w:rsidP="009B329F">
            <w:pPr>
              <w:pStyle w:val="TAL"/>
              <w:rPr>
                <w:rFonts w:eastAsia="Batang"/>
              </w:rPr>
            </w:pPr>
            <w:r>
              <w:rPr>
                <w:rFonts w:cs="Arial"/>
                <w:szCs w:val="18"/>
              </w:rPr>
              <w:t>QoSPolicyAssist</w:t>
            </w:r>
          </w:p>
        </w:tc>
      </w:tr>
      <w:tr w:rsidR="00C869EF" w14:paraId="3A6D4B3E" w14:textId="77777777" w:rsidTr="009B329F">
        <w:trPr>
          <w:gridAfter w:val="1"/>
          <w:wAfter w:w="41" w:type="dxa"/>
          <w:jc w:val="center"/>
        </w:trPr>
        <w:tc>
          <w:tcPr>
            <w:tcW w:w="1603" w:type="dxa"/>
            <w:gridSpan w:val="2"/>
          </w:tcPr>
          <w:p w14:paraId="5BEAF6F6" w14:textId="77777777" w:rsidR="00C869EF" w:rsidRDefault="00C869EF" w:rsidP="00C869EF">
            <w:pPr>
              <w:pStyle w:val="TAL"/>
            </w:pPr>
            <w:r>
              <w:t>deviation</w:t>
            </w:r>
            <w:r>
              <w:rPr>
                <w:rFonts w:hint="eastAsia"/>
                <w:lang w:eastAsia="zh-CN"/>
              </w:rPr>
              <w:t>s</w:t>
            </w:r>
          </w:p>
        </w:tc>
        <w:tc>
          <w:tcPr>
            <w:tcW w:w="2001" w:type="dxa"/>
            <w:gridSpan w:val="2"/>
          </w:tcPr>
          <w:p w14:paraId="60112936" w14:textId="77777777" w:rsidR="00C869EF" w:rsidRDefault="00C869EF" w:rsidP="00C869EF">
            <w:pPr>
              <w:pStyle w:val="TAL"/>
            </w:pPr>
            <w:r>
              <w:t>array(Uinteger</w:t>
            </w:r>
            <w:r>
              <w:rPr>
                <w:rFonts w:hint="eastAsia"/>
                <w:lang w:eastAsia="zh-CN"/>
              </w:rPr>
              <w:t>)</w:t>
            </w:r>
          </w:p>
        </w:tc>
        <w:tc>
          <w:tcPr>
            <w:tcW w:w="286" w:type="dxa"/>
            <w:gridSpan w:val="2"/>
          </w:tcPr>
          <w:p w14:paraId="0D66E166" w14:textId="77777777" w:rsidR="00C869EF" w:rsidRDefault="00C869EF" w:rsidP="00C869EF">
            <w:pPr>
              <w:pStyle w:val="TAC"/>
            </w:pPr>
            <w:r>
              <w:rPr>
                <w:rFonts w:hint="eastAsia"/>
                <w:lang w:eastAsia="zh-CN"/>
              </w:rPr>
              <w:t>O</w:t>
            </w:r>
          </w:p>
        </w:tc>
        <w:tc>
          <w:tcPr>
            <w:tcW w:w="1063" w:type="dxa"/>
            <w:gridSpan w:val="2"/>
          </w:tcPr>
          <w:p w14:paraId="3EE1C54B" w14:textId="77777777" w:rsidR="00C869EF" w:rsidRDefault="00C869EF" w:rsidP="00C869EF">
            <w:pPr>
              <w:pStyle w:val="TAL"/>
            </w:pPr>
            <w:r>
              <w:t>1..N</w:t>
            </w:r>
          </w:p>
        </w:tc>
        <w:tc>
          <w:tcPr>
            <w:tcW w:w="2723" w:type="dxa"/>
            <w:gridSpan w:val="2"/>
          </w:tcPr>
          <w:p w14:paraId="765AB3C5" w14:textId="7D186520" w:rsidR="00C869EF" w:rsidRDefault="00C869EF" w:rsidP="00C869EF">
            <w:pPr>
              <w:pStyle w:val="TAL"/>
            </w:pPr>
            <w:r w:rsidRPr="00CC318C">
              <w:rPr>
                <w:rFonts w:hint="eastAsia"/>
                <w:lang w:eastAsia="zh-CN"/>
              </w:rPr>
              <w:t>Each</w:t>
            </w:r>
            <w:r w:rsidRPr="00CC318C">
              <w:t xml:space="preserve"> </w:t>
            </w:r>
            <w:r w:rsidRPr="00CC318C">
              <w:rPr>
                <w:rFonts w:hint="eastAsia"/>
                <w:lang w:eastAsia="zh-CN"/>
              </w:rPr>
              <w:t>element</w:t>
            </w:r>
            <w:r w:rsidRPr="00CC318C">
              <w:rPr>
                <w:lang w:eastAsia="zh-CN"/>
              </w:rPr>
              <w:t xml:space="preserve"> </w:t>
            </w:r>
            <w:r w:rsidRPr="00CC318C">
              <w:rPr>
                <w:rFonts w:hint="eastAsia"/>
                <w:lang w:eastAsia="zh-CN"/>
              </w:rPr>
              <w:t>indicates</w:t>
            </w:r>
            <w:r w:rsidRPr="00CC318C">
              <w:t xml:space="preserve"> </w:t>
            </w:r>
            <w:r w:rsidRPr="00CC318C">
              <w:rPr>
                <w:rFonts w:hint="eastAsia"/>
                <w:lang w:eastAsia="zh-CN"/>
              </w:rPr>
              <w:t>an</w:t>
            </w:r>
            <w:r w:rsidRPr="00CC318C">
              <w:t xml:space="preserve"> acceptable deviation from the threshold level </w:t>
            </w:r>
            <w:r w:rsidRPr="00CC318C">
              <w:rPr>
                <w:rFonts w:hint="eastAsia"/>
                <w:lang w:eastAsia="zh-CN"/>
              </w:rPr>
              <w:t>included</w:t>
            </w:r>
            <w:r w:rsidRPr="00CC318C">
              <w:t xml:space="preserve"> </w:t>
            </w:r>
            <w:r w:rsidRPr="00CC318C">
              <w:rPr>
                <w:rFonts w:hint="eastAsia"/>
                <w:lang w:eastAsia="zh-CN"/>
              </w:rPr>
              <w:t>in</w:t>
            </w:r>
            <w:r w:rsidRPr="00CC318C">
              <w:t xml:space="preserve"> </w:t>
            </w:r>
            <w:r w:rsidRPr="00CC318C">
              <w:rPr>
                <w:rFonts w:eastAsia="Batang"/>
              </w:rPr>
              <w:t>"</w:t>
            </w:r>
            <w:r w:rsidRPr="00CC318C">
              <w:t>ranUeThrouThds</w:t>
            </w:r>
            <w:r w:rsidRPr="00CC318C">
              <w:rPr>
                <w:rFonts w:eastAsia="Batang"/>
              </w:rPr>
              <w:t>"</w:t>
            </w:r>
            <w:r w:rsidRPr="00CC318C">
              <w:t xml:space="preserve"> attribute</w:t>
            </w:r>
            <w:r>
              <w:t>, the</w:t>
            </w:r>
            <w:r w:rsidRPr="00CC318C">
              <w:t xml:space="preserve"> </w:t>
            </w:r>
            <w:r w:rsidRPr="00CC318C">
              <w:rPr>
                <w:rFonts w:eastAsia="Batang"/>
              </w:rPr>
              <w:t>"</w:t>
            </w:r>
            <w:r w:rsidRPr="00CC318C">
              <w:t>qosFlowRetThds</w:t>
            </w:r>
            <w:r w:rsidRPr="00CC318C">
              <w:rPr>
                <w:rFonts w:eastAsia="Batang"/>
              </w:rPr>
              <w:t>"</w:t>
            </w:r>
            <w:r w:rsidRPr="00CC318C">
              <w:t xml:space="preserve"> </w:t>
            </w:r>
            <w:r w:rsidRPr="00CC318C">
              <w:rPr>
                <w:rFonts w:hint="eastAsia"/>
                <w:lang w:eastAsia="zh-CN"/>
              </w:rPr>
              <w:t>attribute</w:t>
            </w:r>
            <w:r>
              <w:rPr>
                <w:lang w:eastAsia="zh-CN"/>
              </w:rPr>
              <w:t>, or, if the "</w:t>
            </w:r>
            <w:r w:rsidRPr="006C62CC">
              <w:rPr>
                <w:rFonts w:cs="Arial"/>
                <w:szCs w:val="18"/>
              </w:rPr>
              <w:t>QoSSustainabilityExt2</w:t>
            </w:r>
            <w:r>
              <w:rPr>
                <w:lang w:eastAsia="zh-CN"/>
              </w:rPr>
              <w:t xml:space="preserve">" feature is supported, the </w:t>
            </w:r>
            <w:r w:rsidRPr="00CC318C">
              <w:rPr>
                <w:rFonts w:eastAsia="Batang"/>
              </w:rPr>
              <w:t>"</w:t>
            </w:r>
            <w:r>
              <w:t>e2eDelay</w:t>
            </w:r>
            <w:r w:rsidRPr="00CC318C">
              <w:t>Thds</w:t>
            </w:r>
            <w:r w:rsidRPr="00CC318C">
              <w:rPr>
                <w:rFonts w:eastAsia="Batang"/>
              </w:rPr>
              <w:t>"</w:t>
            </w:r>
            <w:r w:rsidRPr="00CC318C">
              <w:t xml:space="preserve"> </w:t>
            </w:r>
            <w:r w:rsidRPr="00CC318C">
              <w:rPr>
                <w:rFonts w:hint="eastAsia"/>
                <w:lang w:eastAsia="zh-CN"/>
              </w:rPr>
              <w:t>attribute</w:t>
            </w:r>
            <w:r w:rsidRPr="00CC318C">
              <w:t>. T</w:t>
            </w:r>
            <w:r w:rsidRPr="00CC318C">
              <w:rPr>
                <w:rFonts w:hint="eastAsia"/>
                <w:lang w:eastAsia="zh-CN"/>
              </w:rPr>
              <w:t>his</w:t>
            </w:r>
            <w:r w:rsidRPr="00CC318C">
              <w:t xml:space="preserve"> </w:t>
            </w:r>
            <w:r w:rsidRPr="00CC318C">
              <w:rPr>
                <w:rFonts w:hint="eastAsia"/>
                <w:lang w:eastAsia="zh-CN"/>
              </w:rPr>
              <w:t>attribute</w:t>
            </w:r>
            <w:r w:rsidRPr="00CC318C">
              <w:t xml:space="preserve"> </w:t>
            </w:r>
            <w:r w:rsidRPr="00CC318C">
              <w:rPr>
                <w:rFonts w:hint="eastAsia"/>
                <w:lang w:eastAsia="zh-CN"/>
              </w:rPr>
              <w:t>may</w:t>
            </w:r>
            <w:r w:rsidRPr="00CC318C">
              <w:t xml:space="preserve"> </w:t>
            </w:r>
            <w:r w:rsidRPr="00CC318C">
              <w:rPr>
                <w:rFonts w:hint="eastAsia"/>
                <w:lang w:eastAsia="zh-CN"/>
              </w:rPr>
              <w:t>only</w:t>
            </w:r>
            <w:r w:rsidRPr="00CC318C">
              <w:t xml:space="preserve"> </w:t>
            </w:r>
            <w:r w:rsidRPr="00CC318C">
              <w:rPr>
                <w:rFonts w:hint="eastAsia"/>
                <w:lang w:eastAsia="zh-CN"/>
              </w:rPr>
              <w:t>b</w:t>
            </w:r>
            <w:r w:rsidRPr="00CC318C">
              <w:rPr>
                <w:lang w:eastAsia="zh-CN"/>
              </w:rPr>
              <w:t xml:space="preserve">e present if </w:t>
            </w:r>
            <w:r w:rsidRPr="00CC318C">
              <w:rPr>
                <w:rFonts w:hint="eastAsia"/>
                <w:lang w:eastAsia="zh-CN"/>
              </w:rPr>
              <w:t>either</w:t>
            </w:r>
            <w:r w:rsidRPr="00CC318C">
              <w:rPr>
                <w:lang w:eastAsia="zh-CN"/>
              </w:rPr>
              <w:t xml:space="preserve"> the </w:t>
            </w:r>
            <w:r w:rsidRPr="00CC318C">
              <w:rPr>
                <w:rFonts w:eastAsia="Batang"/>
              </w:rPr>
              <w:t>"</w:t>
            </w:r>
            <w:r w:rsidRPr="00CC318C">
              <w:t>ranUeThrouThds</w:t>
            </w:r>
            <w:r w:rsidRPr="00CC318C">
              <w:rPr>
                <w:rFonts w:eastAsia="Batang"/>
              </w:rPr>
              <w:t>"</w:t>
            </w:r>
            <w:r w:rsidRPr="00CC318C">
              <w:t xml:space="preserve"> attribute </w:t>
            </w:r>
            <w:r w:rsidRPr="00CC318C">
              <w:rPr>
                <w:rFonts w:hint="eastAsia"/>
                <w:lang w:eastAsia="zh-CN"/>
              </w:rPr>
              <w:t>or</w:t>
            </w:r>
            <w:r w:rsidRPr="00CC318C">
              <w:rPr>
                <w:lang w:eastAsia="zh-CN"/>
              </w:rPr>
              <w:t xml:space="preserve"> </w:t>
            </w:r>
            <w:r>
              <w:rPr>
                <w:lang w:eastAsia="zh-CN"/>
              </w:rPr>
              <w:t xml:space="preserve">the </w:t>
            </w:r>
            <w:r w:rsidRPr="00CC318C">
              <w:rPr>
                <w:rFonts w:eastAsia="Batang"/>
              </w:rPr>
              <w:t>"</w:t>
            </w:r>
            <w:r w:rsidRPr="00CC318C">
              <w:t>qosFlowRetThds</w:t>
            </w:r>
            <w:r w:rsidRPr="00CC318C">
              <w:rPr>
                <w:rFonts w:eastAsia="Batang"/>
              </w:rPr>
              <w:t>"</w:t>
            </w:r>
            <w:r w:rsidRPr="00CC318C">
              <w:t xml:space="preserve"> </w:t>
            </w:r>
            <w:r w:rsidRPr="00CC318C">
              <w:rPr>
                <w:rFonts w:hint="eastAsia"/>
                <w:lang w:eastAsia="zh-CN"/>
              </w:rPr>
              <w:t>attribute</w:t>
            </w:r>
            <w:r w:rsidRPr="00CC318C">
              <w:t xml:space="preserve"> </w:t>
            </w:r>
            <w:r>
              <w:t xml:space="preserve">or, </w:t>
            </w:r>
            <w:r>
              <w:rPr>
                <w:lang w:eastAsia="zh-CN"/>
              </w:rPr>
              <w:t>if the "</w:t>
            </w:r>
            <w:r w:rsidRPr="006C62CC">
              <w:rPr>
                <w:rFonts w:cs="Arial"/>
                <w:szCs w:val="18"/>
              </w:rPr>
              <w:t>QoSSustainabilityExt2</w:t>
            </w:r>
            <w:r>
              <w:rPr>
                <w:lang w:eastAsia="zh-CN"/>
              </w:rPr>
              <w:t>" feature is supported,</w:t>
            </w:r>
            <w:r>
              <w:t xml:space="preserve"> the "e2eDelay</w:t>
            </w:r>
            <w:r w:rsidRPr="00CC318C">
              <w:t>Thds</w:t>
            </w:r>
            <w:r>
              <w:t xml:space="preserve">" attribute </w:t>
            </w:r>
            <w:r w:rsidRPr="00CC318C">
              <w:t>is provided.</w:t>
            </w:r>
          </w:p>
        </w:tc>
        <w:tc>
          <w:tcPr>
            <w:tcW w:w="1463" w:type="dxa"/>
            <w:gridSpan w:val="2"/>
          </w:tcPr>
          <w:p w14:paraId="10AF917E" w14:textId="77777777" w:rsidR="00C869EF" w:rsidRDefault="00C869EF" w:rsidP="00C869EF">
            <w:pPr>
              <w:pStyle w:val="TAL"/>
            </w:pPr>
            <w:r>
              <w:rPr>
                <w:rFonts w:hint="eastAsia"/>
                <w:lang w:eastAsia="zh-CN"/>
              </w:rPr>
              <w:t>E</w:t>
            </w:r>
            <w:r>
              <w:rPr>
                <w:lang w:eastAsia="zh-CN"/>
              </w:rPr>
              <w:t>n</w:t>
            </w:r>
            <w:r>
              <w:rPr>
                <w:rFonts w:eastAsia="Batang"/>
              </w:rPr>
              <w:t>QoSSustainability</w:t>
            </w:r>
          </w:p>
        </w:tc>
      </w:tr>
      <w:tr w:rsidR="00F525B2" w14:paraId="4E1117F2" w14:textId="77777777" w:rsidTr="009B329F">
        <w:trPr>
          <w:gridAfter w:val="1"/>
          <w:wAfter w:w="41" w:type="dxa"/>
          <w:jc w:val="center"/>
        </w:trPr>
        <w:tc>
          <w:tcPr>
            <w:tcW w:w="1603" w:type="dxa"/>
            <w:gridSpan w:val="2"/>
          </w:tcPr>
          <w:p w14:paraId="0DEC5368" w14:textId="77777777" w:rsidR="00F525B2" w:rsidRDefault="00F525B2" w:rsidP="009B329F">
            <w:pPr>
              <w:pStyle w:val="TAL"/>
            </w:pPr>
            <w:r>
              <w:rPr>
                <w:rFonts w:hint="eastAsia"/>
              </w:rPr>
              <w:t>d</w:t>
            </w:r>
            <w:r>
              <w:t>nns</w:t>
            </w:r>
          </w:p>
        </w:tc>
        <w:tc>
          <w:tcPr>
            <w:tcW w:w="2001" w:type="dxa"/>
            <w:gridSpan w:val="2"/>
          </w:tcPr>
          <w:p w14:paraId="3E487401" w14:textId="77777777" w:rsidR="00F525B2" w:rsidRDefault="00F525B2" w:rsidP="009B329F">
            <w:pPr>
              <w:pStyle w:val="TAL"/>
            </w:pPr>
            <w:r>
              <w:rPr>
                <w:rFonts w:hint="eastAsia"/>
              </w:rPr>
              <w:t>a</w:t>
            </w:r>
            <w:r>
              <w:t>rray(Dnn)</w:t>
            </w:r>
          </w:p>
        </w:tc>
        <w:tc>
          <w:tcPr>
            <w:tcW w:w="286" w:type="dxa"/>
            <w:gridSpan w:val="2"/>
          </w:tcPr>
          <w:p w14:paraId="7C971F2E" w14:textId="77777777" w:rsidR="00F525B2" w:rsidRDefault="00F525B2" w:rsidP="009B329F">
            <w:pPr>
              <w:pStyle w:val="TAC"/>
            </w:pPr>
            <w:r>
              <w:rPr>
                <w:rFonts w:hint="eastAsia"/>
              </w:rPr>
              <w:t>C</w:t>
            </w:r>
          </w:p>
        </w:tc>
        <w:tc>
          <w:tcPr>
            <w:tcW w:w="1063" w:type="dxa"/>
            <w:gridSpan w:val="2"/>
          </w:tcPr>
          <w:p w14:paraId="4C94193A" w14:textId="77777777" w:rsidR="00F525B2" w:rsidRDefault="00F525B2" w:rsidP="009B329F">
            <w:pPr>
              <w:pStyle w:val="TAL"/>
            </w:pPr>
            <w:r>
              <w:rPr>
                <w:rFonts w:hint="eastAsia"/>
              </w:rPr>
              <w:t>1</w:t>
            </w:r>
            <w:r>
              <w:t>..N</w:t>
            </w:r>
          </w:p>
        </w:tc>
        <w:tc>
          <w:tcPr>
            <w:tcW w:w="2723" w:type="dxa"/>
            <w:gridSpan w:val="2"/>
          </w:tcPr>
          <w:p w14:paraId="6898A71A" w14:textId="77777777" w:rsidR="00F525B2" w:rsidRDefault="00F525B2" w:rsidP="009B329F">
            <w:pPr>
              <w:pStyle w:val="TAL"/>
            </w:pPr>
            <w:r>
              <w:t>Represents the DNN(s) to which the subscription applies. Each DNN is a full DNN with both the Network Identifier and Operator Identifier, or a DNN with the Network Identifier only.</w:t>
            </w:r>
          </w:p>
          <w:p w14:paraId="434F72E7" w14:textId="77777777" w:rsidR="00F525B2" w:rsidRDefault="00F525B2" w:rsidP="009B329F">
            <w:pPr>
              <w:pStyle w:val="TAL"/>
            </w:pPr>
            <w:r>
              <w:t>The absence of dnns means subscription to all DNNs. (NOTE 8) (NOTE 17)</w:t>
            </w:r>
          </w:p>
        </w:tc>
        <w:tc>
          <w:tcPr>
            <w:tcW w:w="1463" w:type="dxa"/>
            <w:gridSpan w:val="2"/>
          </w:tcPr>
          <w:p w14:paraId="59F7D551" w14:textId="77777777" w:rsidR="00F525B2" w:rsidRDefault="00F525B2" w:rsidP="009B329F">
            <w:pPr>
              <w:pStyle w:val="TAL"/>
            </w:pPr>
            <w:r>
              <w:t>ServiceExperience, AbnormalBehaviour</w:t>
            </w:r>
          </w:p>
          <w:p w14:paraId="13BF769F" w14:textId="77777777" w:rsidR="00F525B2" w:rsidRDefault="00F525B2" w:rsidP="009B329F">
            <w:pPr>
              <w:pStyle w:val="TAL"/>
              <w:rPr>
                <w:rFonts w:cs="Arial"/>
                <w:szCs w:val="18"/>
              </w:rPr>
            </w:pPr>
            <w:r>
              <w:rPr>
                <w:rFonts w:cs="Arial"/>
                <w:szCs w:val="18"/>
              </w:rPr>
              <w:t>UeCommunication</w:t>
            </w:r>
          </w:p>
          <w:p w14:paraId="33365E58" w14:textId="77777777" w:rsidR="00F525B2" w:rsidRDefault="00F525B2" w:rsidP="009B329F">
            <w:pPr>
              <w:pStyle w:val="TAL"/>
              <w:rPr>
                <w:rFonts w:cs="Arial"/>
                <w:szCs w:val="18"/>
              </w:rPr>
            </w:pPr>
            <w:r>
              <w:rPr>
                <w:rFonts w:cs="Arial"/>
                <w:szCs w:val="18"/>
              </w:rPr>
              <w:t>RedundantTransmissionExp</w:t>
            </w:r>
          </w:p>
          <w:p w14:paraId="47CE32BB" w14:textId="77777777" w:rsidR="00F525B2" w:rsidRDefault="00F525B2" w:rsidP="009B329F">
            <w:pPr>
              <w:pStyle w:val="TAL"/>
              <w:rPr>
                <w:rFonts w:eastAsia="Batang"/>
              </w:rPr>
            </w:pPr>
            <w:r>
              <w:rPr>
                <w:rFonts w:eastAsia="Batang"/>
              </w:rPr>
              <w:t>DnPerformance</w:t>
            </w:r>
          </w:p>
          <w:p w14:paraId="4C7D04D4" w14:textId="77777777" w:rsidR="00F525B2" w:rsidRDefault="00F525B2" w:rsidP="009B329F">
            <w:pPr>
              <w:pStyle w:val="TAL"/>
              <w:rPr>
                <w:rFonts w:eastAsia="Batang"/>
              </w:rPr>
            </w:pPr>
            <w:r>
              <w:rPr>
                <w:rFonts w:eastAsia="Batang" w:hint="eastAsia"/>
              </w:rPr>
              <w:t>S</w:t>
            </w:r>
            <w:r>
              <w:rPr>
                <w:rFonts w:eastAsia="Batang"/>
              </w:rPr>
              <w:t>MCCE</w:t>
            </w:r>
          </w:p>
          <w:p w14:paraId="732F0B22" w14:textId="77777777" w:rsidR="00F525B2" w:rsidRDefault="00F525B2" w:rsidP="009B329F">
            <w:pPr>
              <w:pStyle w:val="TAL"/>
              <w:rPr>
                <w:rFonts w:eastAsia="Batang" w:cs="Arial"/>
                <w:szCs w:val="18"/>
              </w:rPr>
            </w:pPr>
            <w:r>
              <w:rPr>
                <w:rFonts w:eastAsia="Batang"/>
              </w:rPr>
              <w:t>PfdDetermination</w:t>
            </w:r>
          </w:p>
          <w:p w14:paraId="6ECB1A8C" w14:textId="77777777" w:rsidR="00F525B2" w:rsidRDefault="00F525B2" w:rsidP="009B329F">
            <w:pPr>
              <w:pStyle w:val="TAL"/>
              <w:rPr>
                <w:rFonts w:eastAsia="Batang"/>
              </w:rPr>
            </w:pPr>
            <w:r>
              <w:rPr>
                <w:rFonts w:cs="Arial"/>
                <w:szCs w:val="18"/>
              </w:rPr>
              <w:t>PduSesTraffic</w:t>
            </w:r>
          </w:p>
          <w:p w14:paraId="00C66F2A" w14:textId="77777777" w:rsidR="00F525B2" w:rsidRDefault="00F525B2" w:rsidP="009B329F">
            <w:pPr>
              <w:pStyle w:val="TAL"/>
              <w:rPr>
                <w:lang w:eastAsia="zh-CN"/>
              </w:rPr>
            </w:pPr>
            <w:r>
              <w:rPr>
                <w:lang w:eastAsia="zh-CN"/>
              </w:rPr>
              <w:t>E2eDataVolTransTime</w:t>
            </w:r>
          </w:p>
          <w:p w14:paraId="57A34CF0" w14:textId="77777777" w:rsidR="00F525B2" w:rsidRDefault="00F525B2" w:rsidP="009B329F">
            <w:pPr>
              <w:pStyle w:val="TAL"/>
              <w:rPr>
                <w:rFonts w:eastAsia="Batang"/>
              </w:rPr>
            </w:pPr>
            <w:r>
              <w:rPr>
                <w:rFonts w:eastAsia="Batang"/>
              </w:rPr>
              <w:t>RelativeProximity</w:t>
            </w:r>
          </w:p>
          <w:p w14:paraId="2ECB7340" w14:textId="77777777" w:rsidR="00F525B2" w:rsidRDefault="00F525B2" w:rsidP="009B329F">
            <w:pPr>
              <w:pStyle w:val="TAL"/>
              <w:rPr>
                <w:rFonts w:eastAsia="Batang"/>
              </w:rPr>
            </w:pPr>
            <w:r>
              <w:rPr>
                <w:rFonts w:cs="Arial"/>
                <w:szCs w:val="18"/>
              </w:rPr>
              <w:t>QoSPolicyAssist</w:t>
            </w:r>
          </w:p>
        </w:tc>
      </w:tr>
      <w:tr w:rsidR="00F525B2" w14:paraId="3B201E88" w14:textId="77777777" w:rsidTr="009B329F">
        <w:trPr>
          <w:gridAfter w:val="1"/>
          <w:wAfter w:w="41" w:type="dxa"/>
          <w:jc w:val="center"/>
        </w:trPr>
        <w:tc>
          <w:tcPr>
            <w:tcW w:w="1603" w:type="dxa"/>
            <w:gridSpan w:val="2"/>
          </w:tcPr>
          <w:p w14:paraId="00D07383" w14:textId="77777777" w:rsidR="00F525B2" w:rsidRDefault="00F525B2" w:rsidP="009B329F">
            <w:pPr>
              <w:pStyle w:val="TAL"/>
            </w:pPr>
            <w:r>
              <w:t>dnais</w:t>
            </w:r>
          </w:p>
        </w:tc>
        <w:tc>
          <w:tcPr>
            <w:tcW w:w="2001" w:type="dxa"/>
            <w:gridSpan w:val="2"/>
          </w:tcPr>
          <w:p w14:paraId="57EC1ED6" w14:textId="77777777" w:rsidR="00F525B2" w:rsidRDefault="00F525B2" w:rsidP="009B329F">
            <w:pPr>
              <w:pStyle w:val="TAL"/>
            </w:pPr>
            <w:r>
              <w:t>array(Dnai)</w:t>
            </w:r>
          </w:p>
        </w:tc>
        <w:tc>
          <w:tcPr>
            <w:tcW w:w="286" w:type="dxa"/>
            <w:gridSpan w:val="2"/>
          </w:tcPr>
          <w:p w14:paraId="1867E511" w14:textId="77777777" w:rsidR="00F525B2" w:rsidRDefault="00F525B2" w:rsidP="009B329F">
            <w:pPr>
              <w:pStyle w:val="TAC"/>
            </w:pPr>
            <w:r>
              <w:t>O</w:t>
            </w:r>
          </w:p>
        </w:tc>
        <w:tc>
          <w:tcPr>
            <w:tcW w:w="1063" w:type="dxa"/>
            <w:gridSpan w:val="2"/>
          </w:tcPr>
          <w:p w14:paraId="64CB7CA3" w14:textId="77777777" w:rsidR="00F525B2" w:rsidRDefault="00F525B2" w:rsidP="009B329F">
            <w:pPr>
              <w:pStyle w:val="TAL"/>
            </w:pPr>
            <w:r>
              <w:t>1..N</w:t>
            </w:r>
          </w:p>
        </w:tc>
        <w:tc>
          <w:tcPr>
            <w:tcW w:w="2723" w:type="dxa"/>
            <w:gridSpan w:val="2"/>
          </w:tcPr>
          <w:p w14:paraId="6D7973A5" w14:textId="77777777" w:rsidR="00F525B2" w:rsidRDefault="00F525B2" w:rsidP="009B329F">
            <w:pPr>
              <w:pStyle w:val="TAL"/>
            </w:pPr>
            <w:r>
              <w:t>Represents the Data Network Access Identifier(s) of user plane access to DN(s) which the subscription applies.</w:t>
            </w:r>
          </w:p>
        </w:tc>
        <w:tc>
          <w:tcPr>
            <w:tcW w:w="1463" w:type="dxa"/>
            <w:gridSpan w:val="2"/>
          </w:tcPr>
          <w:p w14:paraId="67567980" w14:textId="77777777" w:rsidR="00F525B2" w:rsidRDefault="00F525B2" w:rsidP="009B329F">
            <w:pPr>
              <w:pStyle w:val="TAL"/>
              <w:rPr>
                <w:rFonts w:cs="Arial"/>
                <w:szCs w:val="18"/>
              </w:rPr>
            </w:pPr>
            <w:r>
              <w:rPr>
                <w:rFonts w:cs="Arial"/>
                <w:szCs w:val="18"/>
              </w:rPr>
              <w:t>ServiceExperience</w:t>
            </w:r>
          </w:p>
          <w:p w14:paraId="7B800760" w14:textId="77777777" w:rsidR="00F525B2" w:rsidRDefault="00F525B2" w:rsidP="009B329F">
            <w:pPr>
              <w:pStyle w:val="TAL"/>
              <w:rPr>
                <w:rFonts w:eastAsia="Batang"/>
              </w:rPr>
            </w:pPr>
            <w:r>
              <w:rPr>
                <w:rFonts w:eastAsia="Batang"/>
              </w:rPr>
              <w:t>DnPerformance</w:t>
            </w:r>
          </w:p>
          <w:p w14:paraId="79A7F2F2" w14:textId="77777777" w:rsidR="00F525B2" w:rsidRDefault="00F525B2" w:rsidP="009B329F">
            <w:pPr>
              <w:pStyle w:val="TAL"/>
              <w:rPr>
                <w:rFonts w:eastAsia="Batang"/>
              </w:rPr>
            </w:pPr>
            <w:r>
              <w:rPr>
                <w:rFonts w:eastAsia="Batang"/>
              </w:rPr>
              <w:t>QoSPolicyAssist</w:t>
            </w:r>
          </w:p>
        </w:tc>
      </w:tr>
      <w:tr w:rsidR="00F525B2" w14:paraId="7D277803" w14:textId="77777777" w:rsidTr="009B329F">
        <w:trPr>
          <w:gridAfter w:val="1"/>
          <w:wAfter w:w="41" w:type="dxa"/>
          <w:jc w:val="center"/>
        </w:trPr>
        <w:tc>
          <w:tcPr>
            <w:tcW w:w="1603" w:type="dxa"/>
            <w:gridSpan w:val="2"/>
          </w:tcPr>
          <w:p w14:paraId="5A40218B" w14:textId="77777777" w:rsidR="00F525B2" w:rsidRDefault="00F525B2" w:rsidP="009B329F">
            <w:pPr>
              <w:pStyle w:val="TAL"/>
            </w:pPr>
            <w:r>
              <w:t>dataVlTrnsTmRqs</w:t>
            </w:r>
          </w:p>
        </w:tc>
        <w:tc>
          <w:tcPr>
            <w:tcW w:w="2001" w:type="dxa"/>
            <w:gridSpan w:val="2"/>
          </w:tcPr>
          <w:p w14:paraId="6953BF0A" w14:textId="77777777" w:rsidR="00F525B2" w:rsidRDefault="00F525B2" w:rsidP="009B329F">
            <w:pPr>
              <w:pStyle w:val="TAL"/>
            </w:pPr>
            <w:r>
              <w:rPr>
                <w:rFonts w:eastAsia="等线"/>
              </w:rPr>
              <w:t>array(</w:t>
            </w:r>
            <w:r>
              <w:rPr>
                <w:lang w:eastAsia="zh-CN"/>
              </w:rPr>
              <w:t>E2eDataVolTransTimeReq</w:t>
            </w:r>
            <w:r>
              <w:rPr>
                <w:rFonts w:eastAsia="等线"/>
              </w:rPr>
              <w:t>)</w:t>
            </w:r>
          </w:p>
        </w:tc>
        <w:tc>
          <w:tcPr>
            <w:tcW w:w="286" w:type="dxa"/>
            <w:gridSpan w:val="2"/>
          </w:tcPr>
          <w:p w14:paraId="4CD4D1E7" w14:textId="77777777" w:rsidR="00F525B2" w:rsidRDefault="00F525B2" w:rsidP="009B329F">
            <w:pPr>
              <w:pStyle w:val="TAC"/>
            </w:pPr>
            <w:r>
              <w:rPr>
                <w:rFonts w:cs="Arial"/>
                <w:szCs w:val="18"/>
                <w:lang w:eastAsia="zh-CN"/>
              </w:rPr>
              <w:t>O</w:t>
            </w:r>
          </w:p>
        </w:tc>
        <w:tc>
          <w:tcPr>
            <w:tcW w:w="1063" w:type="dxa"/>
            <w:gridSpan w:val="2"/>
          </w:tcPr>
          <w:p w14:paraId="1B855AA5" w14:textId="77777777" w:rsidR="00F525B2" w:rsidRDefault="00F525B2" w:rsidP="009B329F">
            <w:pPr>
              <w:pStyle w:val="TAL"/>
            </w:pPr>
            <w:r>
              <w:rPr>
                <w:rFonts w:cs="Arial"/>
                <w:szCs w:val="18"/>
                <w:lang w:eastAsia="zh-CN"/>
              </w:rPr>
              <w:t>1..N</w:t>
            </w:r>
          </w:p>
        </w:tc>
        <w:tc>
          <w:tcPr>
            <w:tcW w:w="2723" w:type="dxa"/>
            <w:gridSpan w:val="2"/>
          </w:tcPr>
          <w:p w14:paraId="65F3299B" w14:textId="77777777" w:rsidR="00F525B2" w:rsidRDefault="00F525B2" w:rsidP="009B329F">
            <w:pPr>
              <w:pStyle w:val="TAL"/>
            </w:pPr>
            <w:r>
              <w:rPr>
                <w:lang w:val="en-US" w:eastAsia="zh-CN"/>
              </w:rPr>
              <w:t xml:space="preserve">Represents the </w:t>
            </w:r>
            <w:r>
              <w:t>E2E data volume transfer time requirements</w:t>
            </w:r>
          </w:p>
        </w:tc>
        <w:tc>
          <w:tcPr>
            <w:tcW w:w="1463" w:type="dxa"/>
            <w:gridSpan w:val="2"/>
          </w:tcPr>
          <w:p w14:paraId="3C900BF5" w14:textId="77777777" w:rsidR="00F525B2" w:rsidRDefault="00F525B2" w:rsidP="009B329F">
            <w:pPr>
              <w:pStyle w:val="TAL"/>
              <w:rPr>
                <w:rFonts w:cs="Arial"/>
                <w:szCs w:val="18"/>
              </w:rPr>
            </w:pPr>
            <w:r>
              <w:rPr>
                <w:lang w:eastAsia="zh-CN"/>
              </w:rPr>
              <w:t>E2eDataVolTransTime</w:t>
            </w:r>
          </w:p>
        </w:tc>
      </w:tr>
      <w:tr w:rsidR="00C869EF" w14:paraId="34634A77" w14:textId="77777777" w:rsidTr="009B329F">
        <w:trPr>
          <w:gridAfter w:val="1"/>
          <w:wAfter w:w="41" w:type="dxa"/>
          <w:jc w:val="center"/>
        </w:trPr>
        <w:tc>
          <w:tcPr>
            <w:tcW w:w="1603" w:type="dxa"/>
            <w:gridSpan w:val="2"/>
          </w:tcPr>
          <w:p w14:paraId="6E340C44" w14:textId="77777777" w:rsidR="00C869EF" w:rsidRDefault="00C869EF" w:rsidP="00C869EF">
            <w:pPr>
              <w:pStyle w:val="TAL"/>
            </w:pPr>
            <w:r>
              <w:t>e2eDelayThds</w:t>
            </w:r>
          </w:p>
        </w:tc>
        <w:tc>
          <w:tcPr>
            <w:tcW w:w="2001" w:type="dxa"/>
            <w:gridSpan w:val="2"/>
          </w:tcPr>
          <w:p w14:paraId="5DC76C3C" w14:textId="77777777" w:rsidR="00C869EF" w:rsidRDefault="00C869EF" w:rsidP="00C869EF">
            <w:pPr>
              <w:pStyle w:val="TAL"/>
              <w:rPr>
                <w:rFonts w:hint="eastAsia"/>
              </w:rPr>
            </w:pPr>
            <w:r>
              <w:t>array(PacketDelBudget)</w:t>
            </w:r>
          </w:p>
        </w:tc>
        <w:tc>
          <w:tcPr>
            <w:tcW w:w="286" w:type="dxa"/>
            <w:gridSpan w:val="2"/>
          </w:tcPr>
          <w:p w14:paraId="46902A6A" w14:textId="77777777" w:rsidR="00C869EF" w:rsidRDefault="00C869EF" w:rsidP="00C869EF">
            <w:pPr>
              <w:pStyle w:val="TAC"/>
              <w:rPr>
                <w:rFonts w:hint="eastAsia"/>
              </w:rPr>
            </w:pPr>
            <w:r>
              <w:t>C</w:t>
            </w:r>
          </w:p>
        </w:tc>
        <w:tc>
          <w:tcPr>
            <w:tcW w:w="1063" w:type="dxa"/>
            <w:gridSpan w:val="2"/>
          </w:tcPr>
          <w:p w14:paraId="23B7FE93" w14:textId="77777777" w:rsidR="00C869EF" w:rsidRDefault="00C869EF" w:rsidP="00C869EF">
            <w:pPr>
              <w:pStyle w:val="TAL"/>
              <w:rPr>
                <w:rFonts w:hint="eastAsia"/>
              </w:rPr>
            </w:pPr>
            <w:r>
              <w:rPr>
                <w:lang w:eastAsia="zh-CN"/>
              </w:rPr>
              <w:t>1..N</w:t>
            </w:r>
          </w:p>
        </w:tc>
        <w:tc>
          <w:tcPr>
            <w:tcW w:w="2723" w:type="dxa"/>
            <w:gridSpan w:val="2"/>
          </w:tcPr>
          <w:p w14:paraId="64AE0D9D" w14:textId="77777777" w:rsidR="00C869EF" w:rsidRPr="00CC318C" w:rsidRDefault="00C869EF" w:rsidP="00C869EF">
            <w:pPr>
              <w:keepNext/>
              <w:keepLines/>
              <w:spacing w:after="0"/>
              <w:rPr>
                <w:rFonts w:ascii="Arial" w:eastAsia="Batang" w:hAnsi="Arial"/>
                <w:sz w:val="18"/>
              </w:rPr>
            </w:pPr>
            <w:r w:rsidRPr="00CC318C">
              <w:rPr>
                <w:rFonts w:ascii="Arial" w:eastAsia="Batang" w:hAnsi="Arial"/>
                <w:sz w:val="18"/>
              </w:rPr>
              <w:t xml:space="preserve">Represents the </w:t>
            </w:r>
            <w:r>
              <w:rPr>
                <w:rFonts w:ascii="Arial" w:eastAsia="Batang" w:hAnsi="Arial"/>
                <w:sz w:val="18"/>
              </w:rPr>
              <w:t>end-to-end delay (i.e. sum of RAN delay and GTP delay)</w:t>
            </w:r>
            <w:r w:rsidRPr="00CC318C">
              <w:rPr>
                <w:rFonts w:ascii="Arial" w:eastAsia="Batang" w:hAnsi="Arial"/>
                <w:sz w:val="18"/>
              </w:rPr>
              <w:t xml:space="preserve"> thresholds.</w:t>
            </w:r>
          </w:p>
          <w:p w14:paraId="044D336E" w14:textId="77777777" w:rsidR="00C869EF" w:rsidRDefault="00C869EF" w:rsidP="00C869EF">
            <w:pPr>
              <w:pStyle w:val="TAL"/>
            </w:pPr>
            <w:r w:rsidRPr="00CC318C">
              <w:rPr>
                <w:rFonts w:eastAsia="Batang"/>
              </w:rPr>
              <w:t>(NOTE 4)</w:t>
            </w:r>
          </w:p>
        </w:tc>
        <w:tc>
          <w:tcPr>
            <w:tcW w:w="1463" w:type="dxa"/>
            <w:gridSpan w:val="2"/>
          </w:tcPr>
          <w:p w14:paraId="20BAABF3" w14:textId="77777777" w:rsidR="00C869EF" w:rsidRDefault="00C869EF" w:rsidP="00C869EF">
            <w:pPr>
              <w:pStyle w:val="TAL"/>
              <w:rPr>
                <w:rFonts w:cs="Arial"/>
                <w:szCs w:val="18"/>
              </w:rPr>
            </w:pPr>
            <w:r w:rsidRPr="006C62CC">
              <w:rPr>
                <w:rFonts w:cs="Arial"/>
                <w:szCs w:val="18"/>
              </w:rPr>
              <w:t>QoSSustainabilityExt2</w:t>
            </w:r>
          </w:p>
        </w:tc>
      </w:tr>
      <w:tr w:rsidR="00F525B2" w14:paraId="3788552B" w14:textId="77777777" w:rsidTr="009B329F">
        <w:trPr>
          <w:gridAfter w:val="1"/>
          <w:wAfter w:w="41" w:type="dxa"/>
          <w:jc w:val="center"/>
        </w:trPr>
        <w:tc>
          <w:tcPr>
            <w:tcW w:w="1603" w:type="dxa"/>
            <w:gridSpan w:val="2"/>
          </w:tcPr>
          <w:p w14:paraId="602C921E" w14:textId="77777777" w:rsidR="00F525B2" w:rsidRDefault="00F525B2" w:rsidP="009B329F">
            <w:pPr>
              <w:pStyle w:val="TAL"/>
            </w:pPr>
            <w:r>
              <w:t>e</w:t>
            </w:r>
            <w:r>
              <w:rPr>
                <w:rFonts w:hint="eastAsia"/>
              </w:rPr>
              <w:t>vent</w:t>
            </w:r>
          </w:p>
        </w:tc>
        <w:tc>
          <w:tcPr>
            <w:tcW w:w="2001" w:type="dxa"/>
            <w:gridSpan w:val="2"/>
          </w:tcPr>
          <w:p w14:paraId="28EE6F67" w14:textId="77777777" w:rsidR="00F525B2" w:rsidRDefault="00F525B2" w:rsidP="009B329F">
            <w:pPr>
              <w:pStyle w:val="TAL"/>
            </w:pPr>
            <w:r>
              <w:rPr>
                <w:rFonts w:hint="eastAsia"/>
              </w:rPr>
              <w:t>NwdafEvent</w:t>
            </w:r>
          </w:p>
        </w:tc>
        <w:tc>
          <w:tcPr>
            <w:tcW w:w="286" w:type="dxa"/>
            <w:gridSpan w:val="2"/>
          </w:tcPr>
          <w:p w14:paraId="5E348879" w14:textId="77777777" w:rsidR="00F525B2" w:rsidRDefault="00F525B2" w:rsidP="009B329F">
            <w:pPr>
              <w:pStyle w:val="TAC"/>
            </w:pPr>
            <w:r>
              <w:rPr>
                <w:rFonts w:hint="eastAsia"/>
              </w:rPr>
              <w:t>M</w:t>
            </w:r>
          </w:p>
        </w:tc>
        <w:tc>
          <w:tcPr>
            <w:tcW w:w="1063" w:type="dxa"/>
            <w:gridSpan w:val="2"/>
          </w:tcPr>
          <w:p w14:paraId="206483CB" w14:textId="77777777" w:rsidR="00F525B2" w:rsidRDefault="00F525B2" w:rsidP="009B329F">
            <w:pPr>
              <w:pStyle w:val="TAL"/>
            </w:pPr>
            <w:r>
              <w:rPr>
                <w:rFonts w:hint="eastAsia"/>
              </w:rPr>
              <w:t>1</w:t>
            </w:r>
          </w:p>
        </w:tc>
        <w:tc>
          <w:tcPr>
            <w:tcW w:w="2723" w:type="dxa"/>
            <w:gridSpan w:val="2"/>
          </w:tcPr>
          <w:p w14:paraId="4B20C38F" w14:textId="77777777" w:rsidR="00F525B2" w:rsidRDefault="00F525B2" w:rsidP="009B329F">
            <w:pPr>
              <w:pStyle w:val="TAL"/>
            </w:pPr>
            <w:r>
              <w:t>Event that is subscribed.</w:t>
            </w:r>
          </w:p>
        </w:tc>
        <w:tc>
          <w:tcPr>
            <w:tcW w:w="1463" w:type="dxa"/>
            <w:gridSpan w:val="2"/>
          </w:tcPr>
          <w:p w14:paraId="42FB235C" w14:textId="77777777" w:rsidR="00F525B2" w:rsidRDefault="00F525B2" w:rsidP="009B329F">
            <w:pPr>
              <w:pStyle w:val="TAL"/>
              <w:rPr>
                <w:rFonts w:cs="Arial"/>
                <w:szCs w:val="18"/>
              </w:rPr>
            </w:pPr>
          </w:p>
        </w:tc>
      </w:tr>
      <w:tr w:rsidR="00F525B2" w14:paraId="68505321" w14:textId="77777777" w:rsidTr="009B329F">
        <w:trPr>
          <w:gridAfter w:val="1"/>
          <w:wAfter w:w="41" w:type="dxa"/>
          <w:jc w:val="center"/>
        </w:trPr>
        <w:tc>
          <w:tcPr>
            <w:tcW w:w="1603" w:type="dxa"/>
            <w:gridSpan w:val="2"/>
          </w:tcPr>
          <w:p w14:paraId="043816CF" w14:textId="77777777" w:rsidR="00F525B2" w:rsidRDefault="00F525B2" w:rsidP="009B329F">
            <w:pPr>
              <w:pStyle w:val="TAL"/>
            </w:pPr>
            <w:r>
              <w:t>extraReportReq</w:t>
            </w:r>
          </w:p>
        </w:tc>
        <w:tc>
          <w:tcPr>
            <w:tcW w:w="2001" w:type="dxa"/>
            <w:gridSpan w:val="2"/>
          </w:tcPr>
          <w:p w14:paraId="76CFC1E9" w14:textId="77777777" w:rsidR="00F525B2" w:rsidRDefault="00F525B2" w:rsidP="009B329F">
            <w:pPr>
              <w:pStyle w:val="TAL"/>
            </w:pPr>
            <w:r>
              <w:t>EventReportingRequirement</w:t>
            </w:r>
          </w:p>
        </w:tc>
        <w:tc>
          <w:tcPr>
            <w:tcW w:w="286" w:type="dxa"/>
            <w:gridSpan w:val="2"/>
          </w:tcPr>
          <w:p w14:paraId="1B4F0920" w14:textId="77777777" w:rsidR="00F525B2" w:rsidRDefault="00F525B2" w:rsidP="009B329F">
            <w:pPr>
              <w:pStyle w:val="TAC"/>
            </w:pPr>
            <w:r>
              <w:rPr>
                <w:rFonts w:cs="Arial"/>
                <w:szCs w:val="18"/>
                <w:lang w:eastAsia="zh-CN"/>
              </w:rPr>
              <w:t>O</w:t>
            </w:r>
          </w:p>
        </w:tc>
        <w:tc>
          <w:tcPr>
            <w:tcW w:w="1063" w:type="dxa"/>
            <w:gridSpan w:val="2"/>
          </w:tcPr>
          <w:p w14:paraId="421DBF4E" w14:textId="77777777" w:rsidR="00F525B2" w:rsidRDefault="00F525B2" w:rsidP="009B329F">
            <w:pPr>
              <w:pStyle w:val="TAL"/>
            </w:pPr>
            <w:r>
              <w:rPr>
                <w:rFonts w:cs="Arial"/>
                <w:szCs w:val="18"/>
                <w:lang w:eastAsia="zh-CN"/>
              </w:rPr>
              <w:t>0..1</w:t>
            </w:r>
          </w:p>
        </w:tc>
        <w:tc>
          <w:tcPr>
            <w:tcW w:w="2723" w:type="dxa"/>
            <w:gridSpan w:val="2"/>
          </w:tcPr>
          <w:p w14:paraId="0A40F366" w14:textId="77777777" w:rsidR="00F525B2" w:rsidRDefault="00F525B2" w:rsidP="009B329F">
            <w:pPr>
              <w:pStyle w:val="TAL"/>
            </w:pPr>
            <w:r>
              <w:rPr>
                <w:rFonts w:cs="Arial"/>
                <w:szCs w:val="18"/>
              </w:rPr>
              <w:t>The extra event reporting requirement information.</w:t>
            </w:r>
            <w:r>
              <w:t xml:space="preserve"> </w:t>
            </w:r>
          </w:p>
        </w:tc>
        <w:tc>
          <w:tcPr>
            <w:tcW w:w="1463" w:type="dxa"/>
            <w:gridSpan w:val="2"/>
          </w:tcPr>
          <w:p w14:paraId="78C63E48" w14:textId="77777777" w:rsidR="00F525B2" w:rsidRDefault="00F525B2" w:rsidP="009B329F">
            <w:pPr>
              <w:pStyle w:val="TAL"/>
              <w:rPr>
                <w:rFonts w:cs="Arial"/>
                <w:szCs w:val="18"/>
              </w:rPr>
            </w:pPr>
          </w:p>
        </w:tc>
      </w:tr>
      <w:tr w:rsidR="00C869EF" w14:paraId="01D8D5DA" w14:textId="77777777" w:rsidTr="009B329F">
        <w:trPr>
          <w:gridAfter w:val="1"/>
          <w:wAfter w:w="41" w:type="dxa"/>
          <w:jc w:val="center"/>
        </w:trPr>
        <w:tc>
          <w:tcPr>
            <w:tcW w:w="1603" w:type="dxa"/>
            <w:gridSpan w:val="2"/>
          </w:tcPr>
          <w:p w14:paraId="6C92064E" w14:textId="77777777" w:rsidR="00C869EF" w:rsidRDefault="00C869EF" w:rsidP="00C869EF">
            <w:pPr>
              <w:pStyle w:val="TAL"/>
            </w:pPr>
            <w:r>
              <w:t>fDescs</w:t>
            </w:r>
          </w:p>
        </w:tc>
        <w:tc>
          <w:tcPr>
            <w:tcW w:w="2001" w:type="dxa"/>
            <w:gridSpan w:val="2"/>
          </w:tcPr>
          <w:p w14:paraId="3908DF10" w14:textId="77777777" w:rsidR="00C869EF" w:rsidRDefault="00C869EF" w:rsidP="00C869EF">
            <w:pPr>
              <w:pStyle w:val="TAL"/>
            </w:pPr>
            <w:r>
              <w:t>array(IpEthFlowDescription)</w:t>
            </w:r>
          </w:p>
        </w:tc>
        <w:tc>
          <w:tcPr>
            <w:tcW w:w="286" w:type="dxa"/>
            <w:gridSpan w:val="2"/>
          </w:tcPr>
          <w:p w14:paraId="2462450D" w14:textId="77777777" w:rsidR="00C869EF" w:rsidRDefault="00C869EF" w:rsidP="00C869EF">
            <w:pPr>
              <w:pStyle w:val="TAC"/>
              <w:rPr>
                <w:rFonts w:cs="Arial"/>
                <w:szCs w:val="18"/>
                <w:lang w:eastAsia="zh-CN"/>
              </w:rPr>
            </w:pPr>
            <w:r>
              <w:t>C</w:t>
            </w:r>
          </w:p>
        </w:tc>
        <w:tc>
          <w:tcPr>
            <w:tcW w:w="1063" w:type="dxa"/>
            <w:gridSpan w:val="2"/>
          </w:tcPr>
          <w:p w14:paraId="68FFCE33" w14:textId="77777777" w:rsidR="00C869EF" w:rsidRDefault="00C869EF" w:rsidP="00C869EF">
            <w:pPr>
              <w:pStyle w:val="TAL"/>
              <w:rPr>
                <w:rFonts w:cs="Arial"/>
                <w:szCs w:val="18"/>
                <w:lang w:eastAsia="zh-CN"/>
              </w:rPr>
            </w:pPr>
            <w:r>
              <w:t>1..N</w:t>
            </w:r>
          </w:p>
        </w:tc>
        <w:tc>
          <w:tcPr>
            <w:tcW w:w="2723" w:type="dxa"/>
            <w:gridSpan w:val="2"/>
          </w:tcPr>
          <w:p w14:paraId="3896697F" w14:textId="77777777" w:rsidR="00C869EF" w:rsidRDefault="00C869EF" w:rsidP="00C869EF">
            <w:pPr>
              <w:pStyle w:val="TAL"/>
              <w:rPr>
                <w:rFonts w:cs="Arial"/>
                <w:szCs w:val="18"/>
              </w:rPr>
            </w:pPr>
            <w:r>
              <w:rPr>
                <w:rFonts w:cs="Arial"/>
                <w:szCs w:val="18"/>
              </w:rPr>
              <w:t>Contains the flow description for IP and/or Ethernet flows. (NOTE</w:t>
            </w:r>
            <w:r>
              <w:t> </w:t>
            </w:r>
            <w:r>
              <w:rPr>
                <w:rFonts w:cs="Arial"/>
                <w:szCs w:val="18"/>
              </w:rPr>
              <w:t>24)</w:t>
            </w:r>
          </w:p>
        </w:tc>
        <w:tc>
          <w:tcPr>
            <w:tcW w:w="1463" w:type="dxa"/>
            <w:gridSpan w:val="2"/>
          </w:tcPr>
          <w:p w14:paraId="7D5A0759" w14:textId="77777777" w:rsidR="00C869EF" w:rsidRDefault="00C869EF" w:rsidP="00C869EF">
            <w:pPr>
              <w:pStyle w:val="TAL"/>
              <w:rPr>
                <w:rFonts w:cs="Arial"/>
                <w:szCs w:val="18"/>
              </w:rPr>
            </w:pPr>
            <w:r>
              <w:rPr>
                <w:rFonts w:cs="Arial"/>
                <w:szCs w:val="18"/>
              </w:rPr>
              <w:t>QoSPolicyAssist</w:t>
            </w:r>
          </w:p>
        </w:tc>
      </w:tr>
      <w:tr w:rsidR="00F525B2" w14:paraId="5ADE7272" w14:textId="77777777" w:rsidTr="009B329F">
        <w:trPr>
          <w:gridAfter w:val="1"/>
          <w:wAfter w:w="41" w:type="dxa"/>
          <w:jc w:val="center"/>
        </w:trPr>
        <w:tc>
          <w:tcPr>
            <w:tcW w:w="1603" w:type="dxa"/>
            <w:gridSpan w:val="2"/>
          </w:tcPr>
          <w:p w14:paraId="7690AAB0" w14:textId="77777777" w:rsidR="00F525B2" w:rsidRDefault="00F525B2" w:rsidP="009B329F">
            <w:pPr>
              <w:pStyle w:val="TAL"/>
            </w:pPr>
            <w:r>
              <w:lastRenderedPageBreak/>
              <w:t>ladnDnns</w:t>
            </w:r>
          </w:p>
        </w:tc>
        <w:tc>
          <w:tcPr>
            <w:tcW w:w="2001" w:type="dxa"/>
            <w:gridSpan w:val="2"/>
          </w:tcPr>
          <w:p w14:paraId="26F11F5F" w14:textId="77777777" w:rsidR="00F525B2" w:rsidRDefault="00F525B2" w:rsidP="009B329F">
            <w:pPr>
              <w:pStyle w:val="TAL"/>
            </w:pPr>
            <w:r>
              <w:t>array(Dnn)</w:t>
            </w:r>
          </w:p>
        </w:tc>
        <w:tc>
          <w:tcPr>
            <w:tcW w:w="286" w:type="dxa"/>
            <w:gridSpan w:val="2"/>
          </w:tcPr>
          <w:p w14:paraId="0B4D4C9E" w14:textId="77777777" w:rsidR="00F525B2" w:rsidRDefault="00F525B2" w:rsidP="009B329F">
            <w:pPr>
              <w:pStyle w:val="TAC"/>
              <w:rPr>
                <w:rFonts w:cs="Arial"/>
                <w:szCs w:val="18"/>
                <w:lang w:eastAsia="zh-CN"/>
              </w:rPr>
            </w:pPr>
            <w:r>
              <w:t>O</w:t>
            </w:r>
          </w:p>
        </w:tc>
        <w:tc>
          <w:tcPr>
            <w:tcW w:w="1063" w:type="dxa"/>
            <w:gridSpan w:val="2"/>
          </w:tcPr>
          <w:p w14:paraId="2F80F95B" w14:textId="77777777" w:rsidR="00F525B2" w:rsidRDefault="00F525B2" w:rsidP="009B329F">
            <w:pPr>
              <w:pStyle w:val="TAL"/>
              <w:rPr>
                <w:rFonts w:cs="Arial"/>
                <w:szCs w:val="18"/>
                <w:lang w:eastAsia="zh-CN"/>
              </w:rPr>
            </w:pPr>
            <w:r>
              <w:t>1..N</w:t>
            </w:r>
          </w:p>
        </w:tc>
        <w:tc>
          <w:tcPr>
            <w:tcW w:w="2723" w:type="dxa"/>
            <w:gridSpan w:val="2"/>
          </w:tcPr>
          <w:p w14:paraId="01EAD521" w14:textId="77777777" w:rsidR="00F525B2" w:rsidRDefault="00F525B2" w:rsidP="009B329F">
            <w:pPr>
              <w:pStyle w:val="TAL"/>
              <w:rPr>
                <w:rFonts w:cs="Arial"/>
                <w:szCs w:val="18"/>
              </w:rPr>
            </w:pPr>
            <w:r>
              <w:t>LADN DNN(s) to indicate the LADN service area(s) as the AoI(s).</w:t>
            </w:r>
          </w:p>
        </w:tc>
        <w:tc>
          <w:tcPr>
            <w:tcW w:w="1463" w:type="dxa"/>
            <w:gridSpan w:val="2"/>
          </w:tcPr>
          <w:p w14:paraId="28FF07E4" w14:textId="77777777" w:rsidR="00F525B2" w:rsidRDefault="00F525B2" w:rsidP="009B329F">
            <w:pPr>
              <w:pStyle w:val="TAL"/>
              <w:rPr>
                <w:rFonts w:cs="Arial"/>
                <w:szCs w:val="18"/>
              </w:rPr>
            </w:pPr>
            <w:r>
              <w:t>UeMobilityExt</w:t>
            </w:r>
          </w:p>
        </w:tc>
      </w:tr>
      <w:tr w:rsidR="00F525B2" w14:paraId="3730269B" w14:textId="77777777" w:rsidTr="009B329F">
        <w:trPr>
          <w:gridAfter w:val="1"/>
          <w:wAfter w:w="41" w:type="dxa"/>
          <w:jc w:val="center"/>
        </w:trPr>
        <w:tc>
          <w:tcPr>
            <w:tcW w:w="1603" w:type="dxa"/>
            <w:gridSpan w:val="2"/>
          </w:tcPr>
          <w:p w14:paraId="22D96E3C" w14:textId="77777777" w:rsidR="00F525B2" w:rsidRDefault="00F525B2" w:rsidP="009B329F">
            <w:pPr>
              <w:pStyle w:val="TAL"/>
            </w:pPr>
            <w:r>
              <w:t>loadLevelThreshold</w:t>
            </w:r>
          </w:p>
        </w:tc>
        <w:tc>
          <w:tcPr>
            <w:tcW w:w="2001" w:type="dxa"/>
            <w:gridSpan w:val="2"/>
          </w:tcPr>
          <w:p w14:paraId="0A66C014" w14:textId="77777777" w:rsidR="00F525B2" w:rsidRDefault="00F525B2" w:rsidP="009B329F">
            <w:pPr>
              <w:pStyle w:val="TAL"/>
            </w:pPr>
            <w:r>
              <w:t>integer</w:t>
            </w:r>
          </w:p>
        </w:tc>
        <w:tc>
          <w:tcPr>
            <w:tcW w:w="286" w:type="dxa"/>
            <w:gridSpan w:val="2"/>
          </w:tcPr>
          <w:p w14:paraId="22E36F4C" w14:textId="77777777" w:rsidR="00F525B2" w:rsidRDefault="00F525B2" w:rsidP="009B329F">
            <w:pPr>
              <w:pStyle w:val="TAC"/>
            </w:pPr>
            <w:r>
              <w:t>C</w:t>
            </w:r>
          </w:p>
        </w:tc>
        <w:tc>
          <w:tcPr>
            <w:tcW w:w="1063" w:type="dxa"/>
            <w:gridSpan w:val="2"/>
          </w:tcPr>
          <w:p w14:paraId="0A317AA6" w14:textId="77777777" w:rsidR="00F525B2" w:rsidRDefault="00F525B2" w:rsidP="009B329F">
            <w:pPr>
              <w:pStyle w:val="TAL"/>
            </w:pPr>
            <w:r>
              <w:t>0..1</w:t>
            </w:r>
          </w:p>
        </w:tc>
        <w:tc>
          <w:tcPr>
            <w:tcW w:w="2723" w:type="dxa"/>
            <w:gridSpan w:val="2"/>
          </w:tcPr>
          <w:p w14:paraId="273AE316" w14:textId="77777777" w:rsidR="00F525B2" w:rsidRDefault="00F525B2" w:rsidP="009B329F">
            <w:pPr>
              <w:pStyle w:val="TAL"/>
            </w:pPr>
            <w:r>
              <w:t>Indicates that the NWDAF shall report the corresponding network slice load level to the NF service consumer where the load level of the network slice identified by snssais is reached. (NOTE 4)</w:t>
            </w:r>
          </w:p>
          <w:p w14:paraId="19267FFD" w14:textId="77777777" w:rsidR="00F525B2" w:rsidRDefault="00F525B2" w:rsidP="009B329F">
            <w:pPr>
              <w:pStyle w:val="TAL"/>
            </w:pPr>
          </w:p>
          <w:p w14:paraId="7508BAD7" w14:textId="77777777" w:rsidR="00F525B2" w:rsidRDefault="00F525B2" w:rsidP="009B329F">
            <w:pPr>
              <w:pStyle w:val="TAL"/>
            </w:pPr>
            <w:r>
              <w:t xml:space="preserve">May be included when subscribed event is "SLICE_LOAD_LEVEL". </w:t>
            </w:r>
          </w:p>
          <w:p w14:paraId="6AF4B134" w14:textId="77777777" w:rsidR="00F525B2" w:rsidRDefault="00F525B2" w:rsidP="009B329F">
            <w:pPr>
              <w:pStyle w:val="TAL"/>
            </w:pPr>
            <w:r>
              <w:t>Minimum = 0. Maximum = 100.</w:t>
            </w:r>
          </w:p>
        </w:tc>
        <w:tc>
          <w:tcPr>
            <w:tcW w:w="1463" w:type="dxa"/>
            <w:gridSpan w:val="2"/>
          </w:tcPr>
          <w:p w14:paraId="483F15B2" w14:textId="77777777" w:rsidR="00F525B2" w:rsidRDefault="00F525B2" w:rsidP="009B329F">
            <w:pPr>
              <w:pStyle w:val="TAL"/>
              <w:rPr>
                <w:rFonts w:cs="Arial"/>
                <w:szCs w:val="18"/>
              </w:rPr>
            </w:pPr>
          </w:p>
        </w:tc>
      </w:tr>
      <w:tr w:rsidR="00F525B2" w14:paraId="101E88CE" w14:textId="77777777" w:rsidTr="009B329F">
        <w:trPr>
          <w:gridAfter w:val="1"/>
          <w:wAfter w:w="41" w:type="dxa"/>
          <w:jc w:val="center"/>
        </w:trPr>
        <w:tc>
          <w:tcPr>
            <w:tcW w:w="1603" w:type="dxa"/>
            <w:gridSpan w:val="2"/>
          </w:tcPr>
          <w:p w14:paraId="4D45D316" w14:textId="77777777" w:rsidR="00F525B2" w:rsidRDefault="00F525B2" w:rsidP="009B329F">
            <w:pPr>
              <w:pStyle w:val="TAL"/>
            </w:pPr>
            <w:r>
              <w:t>matchingDir</w:t>
            </w:r>
          </w:p>
        </w:tc>
        <w:tc>
          <w:tcPr>
            <w:tcW w:w="2001" w:type="dxa"/>
            <w:gridSpan w:val="2"/>
          </w:tcPr>
          <w:p w14:paraId="0ABFD779" w14:textId="77777777" w:rsidR="00F525B2" w:rsidRDefault="00F525B2" w:rsidP="009B329F">
            <w:pPr>
              <w:pStyle w:val="TAL"/>
            </w:pPr>
            <w:r>
              <w:t>MatchingDirection</w:t>
            </w:r>
          </w:p>
        </w:tc>
        <w:tc>
          <w:tcPr>
            <w:tcW w:w="286" w:type="dxa"/>
            <w:gridSpan w:val="2"/>
          </w:tcPr>
          <w:p w14:paraId="7CBA06AF" w14:textId="77777777" w:rsidR="00F525B2" w:rsidRDefault="00F525B2" w:rsidP="009B329F">
            <w:pPr>
              <w:pStyle w:val="TAC"/>
            </w:pPr>
            <w:r>
              <w:t>O</w:t>
            </w:r>
          </w:p>
        </w:tc>
        <w:tc>
          <w:tcPr>
            <w:tcW w:w="1063" w:type="dxa"/>
            <w:gridSpan w:val="2"/>
          </w:tcPr>
          <w:p w14:paraId="079F5D97" w14:textId="77777777" w:rsidR="00F525B2" w:rsidRDefault="00F525B2" w:rsidP="009B329F">
            <w:pPr>
              <w:pStyle w:val="TAL"/>
            </w:pPr>
            <w:r>
              <w:t>0..1</w:t>
            </w:r>
          </w:p>
        </w:tc>
        <w:tc>
          <w:tcPr>
            <w:tcW w:w="2723" w:type="dxa"/>
            <w:gridSpan w:val="2"/>
          </w:tcPr>
          <w:p w14:paraId="07D620A2" w14:textId="77777777" w:rsidR="00F525B2" w:rsidRDefault="00F525B2" w:rsidP="009B329F">
            <w:pPr>
              <w:pStyle w:val="TAL"/>
            </w:pPr>
            <w:r>
              <w:t>A matching direction may be provided alongside a threshold. If omitted, the default value is CROSSED.</w:t>
            </w:r>
          </w:p>
        </w:tc>
        <w:tc>
          <w:tcPr>
            <w:tcW w:w="1463" w:type="dxa"/>
            <w:gridSpan w:val="2"/>
          </w:tcPr>
          <w:p w14:paraId="3CAE91DC" w14:textId="77777777" w:rsidR="00F525B2" w:rsidRDefault="00F525B2" w:rsidP="009B329F">
            <w:pPr>
              <w:pStyle w:val="TAL"/>
              <w:rPr>
                <w:rFonts w:cs="Arial"/>
                <w:szCs w:val="18"/>
              </w:rPr>
            </w:pPr>
            <w:r>
              <w:rPr>
                <w:rFonts w:cs="Arial"/>
                <w:szCs w:val="18"/>
              </w:rPr>
              <w:t xml:space="preserve">NfLoad, QoSSustainability, UserDataCongestion, </w:t>
            </w:r>
            <w:r>
              <w:t>NetworkPerformance,</w:t>
            </w:r>
            <w:r>
              <w:rPr>
                <w:rFonts w:cs="Arial"/>
                <w:szCs w:val="18"/>
              </w:rPr>
              <w:t xml:space="preserve"> NsiLoadExt</w:t>
            </w:r>
          </w:p>
        </w:tc>
      </w:tr>
      <w:tr w:rsidR="00F525B2" w14:paraId="02E41B79" w14:textId="77777777" w:rsidTr="009B329F">
        <w:trPr>
          <w:gridAfter w:val="1"/>
          <w:wAfter w:w="41" w:type="dxa"/>
          <w:jc w:val="center"/>
        </w:trPr>
        <w:tc>
          <w:tcPr>
            <w:tcW w:w="1603" w:type="dxa"/>
            <w:gridSpan w:val="2"/>
          </w:tcPr>
          <w:p w14:paraId="7E72FF2E" w14:textId="77777777" w:rsidR="00F525B2" w:rsidRDefault="00F525B2" w:rsidP="009B329F">
            <w:pPr>
              <w:pStyle w:val="TAL"/>
            </w:pPr>
            <w:r>
              <w:t>nfLoadLvlThds</w:t>
            </w:r>
          </w:p>
        </w:tc>
        <w:tc>
          <w:tcPr>
            <w:tcW w:w="2001" w:type="dxa"/>
            <w:gridSpan w:val="2"/>
          </w:tcPr>
          <w:p w14:paraId="1CB47855" w14:textId="77777777" w:rsidR="00F525B2" w:rsidRDefault="00F525B2" w:rsidP="009B329F">
            <w:pPr>
              <w:pStyle w:val="TAL"/>
            </w:pPr>
            <w:r>
              <w:t>array(ThresholdLevel)</w:t>
            </w:r>
          </w:p>
        </w:tc>
        <w:tc>
          <w:tcPr>
            <w:tcW w:w="286" w:type="dxa"/>
            <w:gridSpan w:val="2"/>
          </w:tcPr>
          <w:p w14:paraId="527908A7" w14:textId="77777777" w:rsidR="00F525B2" w:rsidRDefault="00F525B2" w:rsidP="009B329F">
            <w:pPr>
              <w:pStyle w:val="TAC"/>
            </w:pPr>
            <w:r>
              <w:t>C</w:t>
            </w:r>
          </w:p>
        </w:tc>
        <w:tc>
          <w:tcPr>
            <w:tcW w:w="1063" w:type="dxa"/>
            <w:gridSpan w:val="2"/>
          </w:tcPr>
          <w:p w14:paraId="084DDC38" w14:textId="77777777" w:rsidR="00F525B2" w:rsidRDefault="00F525B2" w:rsidP="009B329F">
            <w:pPr>
              <w:pStyle w:val="TAL"/>
            </w:pPr>
            <w:r>
              <w:rPr>
                <w:rFonts w:hint="eastAsia"/>
                <w:lang w:eastAsia="zh-CN"/>
              </w:rPr>
              <w:t>1..N</w:t>
            </w:r>
          </w:p>
        </w:tc>
        <w:tc>
          <w:tcPr>
            <w:tcW w:w="2723" w:type="dxa"/>
            <w:gridSpan w:val="2"/>
          </w:tcPr>
          <w:p w14:paraId="2E05F2E3" w14:textId="77777777" w:rsidR="00F525B2" w:rsidRDefault="00F525B2" w:rsidP="009B329F">
            <w:pPr>
              <w:pStyle w:val="TAL"/>
            </w:pPr>
            <w:r>
              <w:t>Shall be supplied in order to start reporting when an average load level is reached. (</w:t>
            </w:r>
            <w:r>
              <w:rPr>
                <w:rFonts w:cs="Arial"/>
                <w:szCs w:val="18"/>
              </w:rPr>
              <w:t>NOTE 4)</w:t>
            </w:r>
          </w:p>
        </w:tc>
        <w:tc>
          <w:tcPr>
            <w:tcW w:w="1463" w:type="dxa"/>
            <w:gridSpan w:val="2"/>
          </w:tcPr>
          <w:p w14:paraId="3543BE31" w14:textId="77777777" w:rsidR="00F525B2" w:rsidRDefault="00F525B2" w:rsidP="009B329F">
            <w:pPr>
              <w:pStyle w:val="TAL"/>
              <w:rPr>
                <w:rFonts w:cs="Arial"/>
                <w:szCs w:val="18"/>
              </w:rPr>
            </w:pPr>
            <w:r>
              <w:rPr>
                <w:rFonts w:cs="Arial"/>
                <w:szCs w:val="18"/>
              </w:rPr>
              <w:t>NfLoad</w:t>
            </w:r>
          </w:p>
        </w:tc>
      </w:tr>
      <w:tr w:rsidR="00F525B2" w14:paraId="06200581" w14:textId="77777777" w:rsidTr="009B329F">
        <w:trPr>
          <w:gridAfter w:val="1"/>
          <w:wAfter w:w="41" w:type="dxa"/>
          <w:jc w:val="center"/>
        </w:trPr>
        <w:tc>
          <w:tcPr>
            <w:tcW w:w="1603" w:type="dxa"/>
            <w:gridSpan w:val="2"/>
          </w:tcPr>
          <w:p w14:paraId="03FE90E1" w14:textId="77777777" w:rsidR="00F525B2" w:rsidRDefault="00F525B2" w:rsidP="009B329F">
            <w:pPr>
              <w:pStyle w:val="TAL"/>
            </w:pPr>
            <w:r>
              <w:t>networkArea</w:t>
            </w:r>
          </w:p>
        </w:tc>
        <w:tc>
          <w:tcPr>
            <w:tcW w:w="2001" w:type="dxa"/>
            <w:gridSpan w:val="2"/>
          </w:tcPr>
          <w:p w14:paraId="5808C9C0" w14:textId="77777777" w:rsidR="00F525B2" w:rsidRDefault="00F525B2" w:rsidP="009B329F">
            <w:pPr>
              <w:pStyle w:val="TAL"/>
            </w:pPr>
            <w:r>
              <w:t>NetworkAreaInfo</w:t>
            </w:r>
          </w:p>
        </w:tc>
        <w:tc>
          <w:tcPr>
            <w:tcW w:w="286" w:type="dxa"/>
            <w:gridSpan w:val="2"/>
          </w:tcPr>
          <w:p w14:paraId="6430BC8E" w14:textId="77777777" w:rsidR="00F525B2" w:rsidRDefault="00F525B2" w:rsidP="009B329F">
            <w:pPr>
              <w:pStyle w:val="TAC"/>
            </w:pPr>
            <w:r>
              <w:t>C</w:t>
            </w:r>
          </w:p>
        </w:tc>
        <w:tc>
          <w:tcPr>
            <w:tcW w:w="1063" w:type="dxa"/>
            <w:gridSpan w:val="2"/>
          </w:tcPr>
          <w:p w14:paraId="3CBE8122" w14:textId="77777777" w:rsidR="00F525B2" w:rsidRDefault="00F525B2" w:rsidP="009B329F">
            <w:pPr>
              <w:pStyle w:val="TAL"/>
            </w:pPr>
            <w:r>
              <w:t>0..1</w:t>
            </w:r>
          </w:p>
        </w:tc>
        <w:tc>
          <w:tcPr>
            <w:tcW w:w="2723" w:type="dxa"/>
            <w:gridSpan w:val="2"/>
          </w:tcPr>
          <w:p w14:paraId="736CBE41" w14:textId="77777777" w:rsidR="00F525B2" w:rsidRDefault="00F525B2" w:rsidP="009B329F">
            <w:pPr>
              <w:pStyle w:val="TAL"/>
            </w:pPr>
            <w:r>
              <w:t xml:space="preserve">Identification of network area to which the subscription applies. </w:t>
            </w:r>
          </w:p>
          <w:p w14:paraId="2DCBB9B4" w14:textId="2BEC860C" w:rsidR="00F525B2" w:rsidRDefault="00F525B2" w:rsidP="009B329F">
            <w:pPr>
              <w:pStyle w:val="TAL"/>
              <w:rPr>
                <w:rFonts w:eastAsia="Batang"/>
              </w:rPr>
            </w:pPr>
            <w:r>
              <w:t>The absence of "networkArea" and "fineGranAreas" means subscription to all network areas. (NOTE 7, NOTE 8, NOTE 20, NOTE 22)</w:t>
            </w:r>
          </w:p>
          <w:p w14:paraId="7B9FEC0E" w14:textId="77777777" w:rsidR="00F525B2" w:rsidRDefault="00F525B2" w:rsidP="009B329F">
            <w:pPr>
              <w:pStyle w:val="TAL"/>
              <w:rPr>
                <w:rFonts w:eastAsia="Batang"/>
              </w:rPr>
            </w:pPr>
          </w:p>
        </w:tc>
        <w:tc>
          <w:tcPr>
            <w:tcW w:w="1463" w:type="dxa"/>
            <w:gridSpan w:val="2"/>
          </w:tcPr>
          <w:p w14:paraId="412FC1BB" w14:textId="77777777" w:rsidR="00F525B2" w:rsidRDefault="00F525B2" w:rsidP="009B329F">
            <w:pPr>
              <w:pStyle w:val="TAL"/>
              <w:rPr>
                <w:rFonts w:eastAsia="Batang"/>
              </w:rPr>
            </w:pPr>
            <w:r>
              <w:rPr>
                <w:rFonts w:eastAsia="Batang"/>
              </w:rPr>
              <w:t>ServiceExperience</w:t>
            </w:r>
          </w:p>
          <w:p w14:paraId="60280B75" w14:textId="77777777" w:rsidR="00F525B2" w:rsidRDefault="00F525B2" w:rsidP="009B329F">
            <w:pPr>
              <w:pStyle w:val="TAL"/>
              <w:rPr>
                <w:rFonts w:cs="Arial"/>
                <w:szCs w:val="18"/>
              </w:rPr>
            </w:pPr>
            <w:r>
              <w:rPr>
                <w:rFonts w:cs="Arial"/>
                <w:szCs w:val="18"/>
              </w:rPr>
              <w:t>UeMobility</w:t>
            </w:r>
          </w:p>
          <w:p w14:paraId="7B4C7040" w14:textId="77777777" w:rsidR="00F525B2" w:rsidRDefault="00F525B2" w:rsidP="009B329F">
            <w:pPr>
              <w:pStyle w:val="TAL"/>
              <w:rPr>
                <w:rFonts w:cs="Arial"/>
                <w:szCs w:val="18"/>
              </w:rPr>
            </w:pPr>
            <w:r>
              <w:rPr>
                <w:rFonts w:cs="Arial"/>
                <w:szCs w:val="18"/>
              </w:rPr>
              <w:t>UeCommunication</w:t>
            </w:r>
          </w:p>
          <w:p w14:paraId="3E7B44E8" w14:textId="77777777" w:rsidR="00F525B2" w:rsidRDefault="00F525B2" w:rsidP="009B329F">
            <w:pPr>
              <w:pStyle w:val="TAL"/>
              <w:rPr>
                <w:rFonts w:cs="Arial"/>
                <w:szCs w:val="18"/>
              </w:rPr>
            </w:pPr>
            <w:r>
              <w:rPr>
                <w:rFonts w:cs="Arial"/>
                <w:szCs w:val="18"/>
              </w:rPr>
              <w:t>QoSSustainability</w:t>
            </w:r>
          </w:p>
          <w:p w14:paraId="1A0F434A" w14:textId="77777777" w:rsidR="00F525B2" w:rsidRDefault="00F525B2" w:rsidP="009B329F">
            <w:pPr>
              <w:pStyle w:val="TAL"/>
              <w:rPr>
                <w:rFonts w:cs="Arial"/>
                <w:szCs w:val="18"/>
              </w:rPr>
            </w:pPr>
            <w:r>
              <w:rPr>
                <w:rFonts w:cs="Arial"/>
                <w:szCs w:val="18"/>
              </w:rPr>
              <w:t>AbnormalBehaviour</w:t>
            </w:r>
          </w:p>
          <w:p w14:paraId="56951A8A" w14:textId="77777777" w:rsidR="00F525B2" w:rsidRDefault="00F525B2" w:rsidP="009B329F">
            <w:pPr>
              <w:pStyle w:val="TAL"/>
              <w:rPr>
                <w:rFonts w:cs="Arial"/>
                <w:szCs w:val="18"/>
              </w:rPr>
            </w:pPr>
            <w:r>
              <w:rPr>
                <w:rFonts w:cs="Arial"/>
                <w:szCs w:val="18"/>
              </w:rPr>
              <w:t>UserDataCongestion</w:t>
            </w:r>
          </w:p>
          <w:p w14:paraId="312803DD" w14:textId="77777777" w:rsidR="00F525B2" w:rsidRDefault="00F525B2" w:rsidP="009B329F">
            <w:pPr>
              <w:pStyle w:val="TAL"/>
              <w:rPr>
                <w:rFonts w:cs="Arial"/>
                <w:szCs w:val="18"/>
              </w:rPr>
            </w:pPr>
            <w:r>
              <w:rPr>
                <w:rFonts w:cs="Arial"/>
                <w:szCs w:val="18"/>
              </w:rPr>
              <w:t>NetworkPerformance</w:t>
            </w:r>
            <w:r>
              <w:t xml:space="preserve"> </w:t>
            </w:r>
          </w:p>
          <w:p w14:paraId="6729060E" w14:textId="77777777" w:rsidR="00F525B2" w:rsidRDefault="00F525B2" w:rsidP="009B329F">
            <w:pPr>
              <w:pStyle w:val="TAL"/>
            </w:pPr>
            <w:r>
              <w:rPr>
                <w:rFonts w:cs="Arial"/>
                <w:szCs w:val="18"/>
              </w:rPr>
              <w:t>NsiLoadExt</w:t>
            </w:r>
          </w:p>
          <w:p w14:paraId="2BDA3FF2" w14:textId="77777777" w:rsidR="00F525B2" w:rsidRDefault="00F525B2" w:rsidP="009B329F">
            <w:pPr>
              <w:pStyle w:val="TAL"/>
              <w:rPr>
                <w:rFonts w:cs="Arial"/>
              </w:rPr>
            </w:pPr>
            <w:r>
              <w:rPr>
                <w:rFonts w:cs="Arial"/>
              </w:rPr>
              <w:t>NfLoadExt</w:t>
            </w:r>
          </w:p>
          <w:p w14:paraId="6ED4003A" w14:textId="77777777" w:rsidR="00F525B2" w:rsidRDefault="00F525B2" w:rsidP="009B329F">
            <w:pPr>
              <w:pStyle w:val="TAL"/>
              <w:rPr>
                <w:rFonts w:cs="Arial"/>
                <w:szCs w:val="18"/>
              </w:rPr>
            </w:pPr>
            <w:r>
              <w:rPr>
                <w:rFonts w:cs="Arial"/>
                <w:szCs w:val="18"/>
              </w:rPr>
              <w:t>Dispersion</w:t>
            </w:r>
          </w:p>
          <w:p w14:paraId="56199EB0" w14:textId="77777777" w:rsidR="00F525B2" w:rsidRDefault="00F525B2" w:rsidP="009B329F">
            <w:pPr>
              <w:pStyle w:val="TAL"/>
              <w:rPr>
                <w:rFonts w:cs="Arial"/>
                <w:szCs w:val="18"/>
              </w:rPr>
            </w:pPr>
            <w:r>
              <w:rPr>
                <w:rFonts w:cs="Arial"/>
                <w:szCs w:val="18"/>
              </w:rPr>
              <w:t>RedundantTransmissionExp</w:t>
            </w:r>
          </w:p>
          <w:p w14:paraId="2FE9BC40" w14:textId="77777777" w:rsidR="00F525B2" w:rsidRDefault="00F525B2" w:rsidP="009B329F">
            <w:pPr>
              <w:pStyle w:val="TAL"/>
              <w:rPr>
                <w:rFonts w:cs="Arial"/>
                <w:szCs w:val="18"/>
                <w:lang w:eastAsia="zh-CN"/>
              </w:rPr>
            </w:pPr>
            <w:r>
              <w:rPr>
                <w:rFonts w:cs="Arial"/>
                <w:szCs w:val="18"/>
              </w:rPr>
              <w:t>Wlan</w:t>
            </w:r>
            <w:r>
              <w:rPr>
                <w:rFonts w:cs="Arial"/>
                <w:szCs w:val="18"/>
                <w:lang w:eastAsia="zh-CN"/>
              </w:rPr>
              <w:t>Performance</w:t>
            </w:r>
          </w:p>
          <w:p w14:paraId="34E7B5D2" w14:textId="77777777" w:rsidR="00F525B2" w:rsidRDefault="00F525B2" w:rsidP="009B329F">
            <w:pPr>
              <w:pStyle w:val="TAL"/>
              <w:rPr>
                <w:rFonts w:eastAsia="Batang" w:cs="Arial"/>
                <w:szCs w:val="18"/>
              </w:rPr>
            </w:pPr>
            <w:r>
              <w:rPr>
                <w:rFonts w:eastAsia="Batang"/>
              </w:rPr>
              <w:t>DnPerformance</w:t>
            </w:r>
          </w:p>
          <w:p w14:paraId="38371993" w14:textId="77777777" w:rsidR="00F525B2" w:rsidRDefault="00F525B2" w:rsidP="009B329F">
            <w:pPr>
              <w:pStyle w:val="TAL"/>
              <w:rPr>
                <w:rFonts w:eastAsia="Batang"/>
              </w:rPr>
            </w:pPr>
            <w:r>
              <w:rPr>
                <w:rFonts w:cs="Arial"/>
                <w:szCs w:val="18"/>
              </w:rPr>
              <w:t>PduSesTraffic</w:t>
            </w:r>
          </w:p>
          <w:p w14:paraId="34DCDF8A" w14:textId="77777777" w:rsidR="00F525B2" w:rsidRDefault="00F525B2" w:rsidP="009B329F">
            <w:pPr>
              <w:pStyle w:val="TAL"/>
              <w:rPr>
                <w:lang w:eastAsia="zh-CN"/>
              </w:rPr>
            </w:pPr>
            <w:r>
              <w:rPr>
                <w:lang w:eastAsia="zh-CN"/>
              </w:rPr>
              <w:t>E2eDataVolTransTime</w:t>
            </w:r>
          </w:p>
          <w:p w14:paraId="18788162" w14:textId="77777777" w:rsidR="00F525B2" w:rsidRDefault="00F525B2" w:rsidP="009B329F">
            <w:pPr>
              <w:pStyle w:val="TAL"/>
              <w:rPr>
                <w:lang w:eastAsia="zh-CN"/>
              </w:rPr>
            </w:pPr>
            <w:r>
              <w:rPr>
                <w:lang w:eastAsia="zh-CN"/>
              </w:rPr>
              <w:t>MovementBehaviour</w:t>
            </w:r>
          </w:p>
          <w:p w14:paraId="620854AE" w14:textId="77777777" w:rsidR="00F525B2" w:rsidRDefault="00F525B2" w:rsidP="009B329F">
            <w:pPr>
              <w:pStyle w:val="TAL"/>
              <w:rPr>
                <w:lang w:eastAsia="zh-CN"/>
              </w:rPr>
            </w:pPr>
            <w:r>
              <w:rPr>
                <w:lang w:eastAsia="zh-CN"/>
              </w:rPr>
              <w:t>LocAccuracy</w:t>
            </w:r>
          </w:p>
          <w:p w14:paraId="74A58D5F" w14:textId="77777777" w:rsidR="00F525B2" w:rsidRDefault="00F525B2" w:rsidP="009B329F">
            <w:pPr>
              <w:pStyle w:val="TAL"/>
              <w:rPr>
                <w:rFonts w:eastAsia="Batang"/>
              </w:rPr>
            </w:pPr>
            <w:r>
              <w:rPr>
                <w:rFonts w:eastAsia="Batang"/>
              </w:rPr>
              <w:t>RelativeProximity</w:t>
            </w:r>
          </w:p>
          <w:p w14:paraId="0E2D6083" w14:textId="77777777" w:rsidR="00F525B2" w:rsidRDefault="00F525B2" w:rsidP="009B329F">
            <w:pPr>
              <w:pStyle w:val="TAL"/>
            </w:pPr>
            <w:r>
              <w:t>S</w:t>
            </w:r>
            <w:r w:rsidRPr="001C406B">
              <w:t>ignalling</w:t>
            </w:r>
            <w:r>
              <w:t>S</w:t>
            </w:r>
            <w:r w:rsidRPr="001C406B">
              <w:t>torm</w:t>
            </w:r>
          </w:p>
          <w:p w14:paraId="7DDC43C0" w14:textId="77777777" w:rsidR="00F525B2" w:rsidRDefault="00F525B2" w:rsidP="009B329F">
            <w:pPr>
              <w:pStyle w:val="TAL"/>
              <w:rPr>
                <w:rFonts w:eastAsia="Batang"/>
              </w:rPr>
            </w:pPr>
            <w:r>
              <w:rPr>
                <w:rFonts w:cs="Arial"/>
                <w:szCs w:val="18"/>
              </w:rPr>
              <w:t>QoSPolicyAssist</w:t>
            </w:r>
          </w:p>
        </w:tc>
      </w:tr>
      <w:tr w:rsidR="00F525B2" w14:paraId="0183CCAD" w14:textId="77777777" w:rsidTr="009B329F">
        <w:trPr>
          <w:gridAfter w:val="1"/>
          <w:wAfter w:w="41" w:type="dxa"/>
          <w:jc w:val="center"/>
        </w:trPr>
        <w:tc>
          <w:tcPr>
            <w:tcW w:w="1603" w:type="dxa"/>
            <w:gridSpan w:val="2"/>
          </w:tcPr>
          <w:p w14:paraId="157FD6F2" w14:textId="77777777" w:rsidR="00F525B2" w:rsidRDefault="00F525B2" w:rsidP="009B329F">
            <w:pPr>
              <w:pStyle w:val="TAL"/>
            </w:pPr>
            <w:r>
              <w:t>location</w:t>
            </w:r>
          </w:p>
        </w:tc>
        <w:tc>
          <w:tcPr>
            <w:tcW w:w="2001" w:type="dxa"/>
            <w:gridSpan w:val="2"/>
          </w:tcPr>
          <w:p w14:paraId="6465B46A" w14:textId="77777777" w:rsidR="00F525B2" w:rsidRDefault="00F525B2" w:rsidP="009B329F">
            <w:pPr>
              <w:pStyle w:val="TAL"/>
            </w:pPr>
            <w:r>
              <w:t>GeoLocation</w:t>
            </w:r>
          </w:p>
        </w:tc>
        <w:tc>
          <w:tcPr>
            <w:tcW w:w="286" w:type="dxa"/>
            <w:gridSpan w:val="2"/>
          </w:tcPr>
          <w:p w14:paraId="2CC730AF" w14:textId="77777777" w:rsidR="00F525B2" w:rsidRDefault="00F525B2" w:rsidP="009B329F">
            <w:pPr>
              <w:pStyle w:val="TAC"/>
            </w:pPr>
            <w:r>
              <w:t>C</w:t>
            </w:r>
          </w:p>
        </w:tc>
        <w:tc>
          <w:tcPr>
            <w:tcW w:w="1063" w:type="dxa"/>
            <w:gridSpan w:val="2"/>
          </w:tcPr>
          <w:p w14:paraId="70A36BCF" w14:textId="77777777" w:rsidR="00F525B2" w:rsidRDefault="00F525B2" w:rsidP="009B329F">
            <w:pPr>
              <w:pStyle w:val="TAL"/>
            </w:pPr>
            <w:r>
              <w:t>0..1</w:t>
            </w:r>
          </w:p>
        </w:tc>
        <w:tc>
          <w:tcPr>
            <w:tcW w:w="2723" w:type="dxa"/>
            <w:gridSpan w:val="2"/>
          </w:tcPr>
          <w:p w14:paraId="486BD3EB" w14:textId="77777777" w:rsidR="00F525B2" w:rsidRDefault="00F525B2" w:rsidP="009B329F">
            <w:pPr>
              <w:pStyle w:val="TAL"/>
            </w:pPr>
            <w:r>
              <w:t>A location (i.e. geographical location or location in local coordinates) to which the subscription applies. (NOTE 22)</w:t>
            </w:r>
          </w:p>
        </w:tc>
        <w:tc>
          <w:tcPr>
            <w:tcW w:w="1463" w:type="dxa"/>
            <w:gridSpan w:val="2"/>
          </w:tcPr>
          <w:p w14:paraId="6BADB19D" w14:textId="77777777" w:rsidR="00F525B2" w:rsidRDefault="00F525B2" w:rsidP="009B329F">
            <w:pPr>
              <w:pStyle w:val="TAL"/>
              <w:rPr>
                <w:rFonts w:eastAsia="Batang"/>
              </w:rPr>
            </w:pPr>
            <w:r>
              <w:rPr>
                <w:rFonts w:eastAsia="Batang"/>
              </w:rPr>
              <w:t>LocAccuracy</w:t>
            </w:r>
          </w:p>
        </w:tc>
      </w:tr>
      <w:tr w:rsidR="00F525B2" w14:paraId="63AE0D8B"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384FA70B" w14:textId="77777777" w:rsidR="00F525B2" w:rsidRDefault="00F525B2" w:rsidP="009B329F">
            <w:pPr>
              <w:pStyle w:val="TAL"/>
            </w:pPr>
            <w:r>
              <w:lastRenderedPageBreak/>
              <w:t>temporalGranSize</w:t>
            </w:r>
          </w:p>
        </w:tc>
        <w:tc>
          <w:tcPr>
            <w:tcW w:w="2001" w:type="dxa"/>
            <w:gridSpan w:val="2"/>
            <w:tcBorders>
              <w:top w:val="single" w:sz="6" w:space="0" w:color="auto"/>
              <w:left w:val="single" w:sz="6" w:space="0" w:color="auto"/>
              <w:bottom w:val="single" w:sz="6" w:space="0" w:color="auto"/>
              <w:right w:val="single" w:sz="6" w:space="0" w:color="auto"/>
            </w:tcBorders>
          </w:tcPr>
          <w:p w14:paraId="62C8328D" w14:textId="77777777" w:rsidR="00F525B2" w:rsidRDefault="00F525B2" w:rsidP="009B329F">
            <w:pPr>
              <w:pStyle w:val="TAL"/>
            </w:pPr>
            <w:r>
              <w:t>DurationSec</w:t>
            </w:r>
          </w:p>
        </w:tc>
        <w:tc>
          <w:tcPr>
            <w:tcW w:w="286" w:type="dxa"/>
            <w:gridSpan w:val="2"/>
            <w:tcBorders>
              <w:top w:val="single" w:sz="6" w:space="0" w:color="auto"/>
              <w:left w:val="single" w:sz="6" w:space="0" w:color="auto"/>
              <w:bottom w:val="single" w:sz="6" w:space="0" w:color="auto"/>
              <w:right w:val="single" w:sz="6" w:space="0" w:color="auto"/>
            </w:tcBorders>
          </w:tcPr>
          <w:p w14:paraId="3548438F" w14:textId="77777777" w:rsidR="00F525B2" w:rsidRDefault="00F525B2" w:rsidP="009B329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305493DA" w14:textId="77777777" w:rsidR="00F525B2" w:rsidRDefault="00F525B2" w:rsidP="009B329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37B8CFF0" w14:textId="77777777" w:rsidR="00F525B2" w:rsidRDefault="00F525B2" w:rsidP="009B329F">
            <w:pPr>
              <w:pStyle w:val="TAL"/>
            </w:pPr>
            <w:r>
              <w:t>Indicates the minimum duration of each time slot for which the analytics are provided.</w:t>
            </w:r>
          </w:p>
          <w:p w14:paraId="480DF770" w14:textId="77777777" w:rsidR="00F525B2" w:rsidRDefault="00F525B2" w:rsidP="009B329F">
            <w:pPr>
              <w:pStyle w:val="TAL"/>
            </w:pPr>
            <w:r>
              <w:t>(NOTE 18)</w:t>
            </w:r>
          </w:p>
        </w:tc>
        <w:tc>
          <w:tcPr>
            <w:tcW w:w="1463" w:type="dxa"/>
            <w:gridSpan w:val="2"/>
            <w:tcBorders>
              <w:top w:val="single" w:sz="6" w:space="0" w:color="auto"/>
              <w:left w:val="single" w:sz="6" w:space="0" w:color="auto"/>
              <w:bottom w:val="single" w:sz="6" w:space="0" w:color="auto"/>
              <w:right w:val="single" w:sz="6" w:space="0" w:color="auto"/>
            </w:tcBorders>
          </w:tcPr>
          <w:p w14:paraId="5ADA67F1" w14:textId="77777777" w:rsidR="00F525B2" w:rsidRDefault="00F525B2" w:rsidP="009B329F">
            <w:pPr>
              <w:pStyle w:val="TAL"/>
              <w:rPr>
                <w:rFonts w:eastAsia="Batang"/>
              </w:rPr>
            </w:pPr>
            <w:r>
              <w:rPr>
                <w:rFonts w:eastAsia="Batang"/>
              </w:rPr>
              <w:t>NetworkPerformanceExt_eNA</w:t>
            </w:r>
          </w:p>
          <w:p w14:paraId="07D263BE" w14:textId="77777777" w:rsidR="00F525B2" w:rsidRDefault="00F525B2" w:rsidP="009B329F">
            <w:pPr>
              <w:pStyle w:val="TAL"/>
              <w:rPr>
                <w:rFonts w:eastAsia="Batang"/>
              </w:rPr>
            </w:pPr>
            <w:r>
              <w:rPr>
                <w:rFonts w:eastAsia="Batang"/>
              </w:rPr>
              <w:t>UeMobilityExt2_eNA</w:t>
            </w:r>
          </w:p>
          <w:p w14:paraId="2D4925AC" w14:textId="77777777" w:rsidR="00F525B2" w:rsidRDefault="00F525B2" w:rsidP="009B329F">
            <w:pPr>
              <w:pStyle w:val="TAL"/>
              <w:rPr>
                <w:rFonts w:eastAsia="Batang"/>
              </w:rPr>
            </w:pPr>
            <w:r>
              <w:rPr>
                <w:rFonts w:eastAsia="Batang"/>
              </w:rPr>
              <w:t>UserDataCongestionExt2_eNA</w:t>
            </w:r>
          </w:p>
          <w:p w14:paraId="6A37136B" w14:textId="77777777" w:rsidR="00F525B2" w:rsidRDefault="00F525B2" w:rsidP="009B329F">
            <w:pPr>
              <w:pStyle w:val="TAL"/>
              <w:rPr>
                <w:rFonts w:eastAsia="Batang"/>
              </w:rPr>
            </w:pPr>
            <w:r>
              <w:rPr>
                <w:rFonts w:eastAsia="Batang"/>
              </w:rPr>
              <w:t>QoSSustainabilityExt_eNA</w:t>
            </w:r>
          </w:p>
          <w:p w14:paraId="5DF0EB34" w14:textId="77777777" w:rsidR="00F525B2" w:rsidRDefault="00F525B2" w:rsidP="009B329F">
            <w:pPr>
              <w:pStyle w:val="TAL"/>
              <w:rPr>
                <w:rFonts w:eastAsia="Batang"/>
              </w:rPr>
            </w:pPr>
            <w:r>
              <w:rPr>
                <w:rFonts w:eastAsia="Batang"/>
              </w:rPr>
              <w:t>DispersionExt_eNA</w:t>
            </w:r>
          </w:p>
          <w:p w14:paraId="7E7C02FA" w14:textId="77777777" w:rsidR="00F525B2" w:rsidRDefault="00F525B2" w:rsidP="009B329F">
            <w:pPr>
              <w:pStyle w:val="TAL"/>
              <w:rPr>
                <w:rFonts w:eastAsia="Batang"/>
              </w:rPr>
            </w:pPr>
            <w:r>
              <w:rPr>
                <w:rFonts w:eastAsia="Batang"/>
              </w:rPr>
              <w:t>WlanPerfExt_eNA</w:t>
            </w:r>
          </w:p>
          <w:p w14:paraId="768B2FE5" w14:textId="77777777" w:rsidR="00F525B2" w:rsidRDefault="00F525B2" w:rsidP="009B329F">
            <w:pPr>
              <w:pStyle w:val="TAL"/>
              <w:rPr>
                <w:rFonts w:eastAsia="Batang"/>
              </w:rPr>
            </w:pPr>
            <w:r>
              <w:rPr>
                <w:rFonts w:eastAsia="Batang"/>
              </w:rPr>
              <w:t>RedundantTransExpExt_eNA</w:t>
            </w:r>
          </w:p>
          <w:p w14:paraId="54B966CA" w14:textId="77777777" w:rsidR="00F525B2" w:rsidRDefault="00F525B2" w:rsidP="009B329F">
            <w:pPr>
              <w:pStyle w:val="TAL"/>
              <w:rPr>
                <w:rFonts w:eastAsia="Batang"/>
              </w:rPr>
            </w:pPr>
            <w:r>
              <w:rPr>
                <w:rFonts w:eastAsia="Batang"/>
              </w:rPr>
              <w:t>DnPerformanceExt_eNA</w:t>
            </w:r>
          </w:p>
          <w:p w14:paraId="67A9444C" w14:textId="77777777" w:rsidR="00F525B2" w:rsidRDefault="00F525B2" w:rsidP="009B329F">
            <w:pPr>
              <w:pStyle w:val="TAL"/>
              <w:rPr>
                <w:rFonts w:eastAsia="Batang"/>
              </w:rPr>
            </w:pPr>
            <w:r>
              <w:rPr>
                <w:rFonts w:cs="Arial"/>
                <w:szCs w:val="18"/>
              </w:rPr>
              <w:t>QoSPolicyAssist</w:t>
            </w:r>
          </w:p>
        </w:tc>
      </w:tr>
      <w:tr w:rsidR="00C869EF" w14:paraId="3079D585"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274A89F4" w14:textId="77777777" w:rsidR="00C869EF" w:rsidRDefault="00C869EF" w:rsidP="00C869EF">
            <w:pPr>
              <w:pStyle w:val="TAL"/>
            </w:pPr>
            <w:r>
              <w:t>spatialGranSizeTa</w:t>
            </w:r>
          </w:p>
        </w:tc>
        <w:tc>
          <w:tcPr>
            <w:tcW w:w="2001" w:type="dxa"/>
            <w:gridSpan w:val="2"/>
            <w:tcBorders>
              <w:top w:val="single" w:sz="6" w:space="0" w:color="auto"/>
              <w:left w:val="single" w:sz="6" w:space="0" w:color="auto"/>
              <w:bottom w:val="single" w:sz="6" w:space="0" w:color="auto"/>
              <w:right w:val="single" w:sz="6" w:space="0" w:color="auto"/>
            </w:tcBorders>
          </w:tcPr>
          <w:p w14:paraId="719B242A" w14:textId="77777777" w:rsidR="00C869EF" w:rsidRDefault="00C869EF" w:rsidP="00C869EF">
            <w:pPr>
              <w:pStyle w:val="TAL"/>
            </w:pPr>
            <w:r>
              <w:t>Uinteger</w:t>
            </w:r>
          </w:p>
        </w:tc>
        <w:tc>
          <w:tcPr>
            <w:tcW w:w="286" w:type="dxa"/>
            <w:gridSpan w:val="2"/>
            <w:tcBorders>
              <w:top w:val="single" w:sz="6" w:space="0" w:color="auto"/>
              <w:left w:val="single" w:sz="6" w:space="0" w:color="auto"/>
              <w:bottom w:val="single" w:sz="6" w:space="0" w:color="auto"/>
              <w:right w:val="single" w:sz="6" w:space="0" w:color="auto"/>
            </w:tcBorders>
          </w:tcPr>
          <w:p w14:paraId="67C746E2" w14:textId="77777777" w:rsidR="00C869EF" w:rsidRDefault="00C869EF" w:rsidP="00C869E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62F72E08" w14:textId="77777777" w:rsidR="00C869EF" w:rsidRDefault="00C869EF" w:rsidP="00C869E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3FADD241" w14:textId="2BDF32EF" w:rsidR="00C869EF" w:rsidRPr="00D21089" w:rsidRDefault="00C869EF" w:rsidP="00C869EF">
            <w:pPr>
              <w:keepNext/>
              <w:keepLines/>
              <w:spacing w:after="0"/>
              <w:rPr>
                <w:rFonts w:ascii="Arial" w:hAnsi="Arial"/>
                <w:sz w:val="18"/>
              </w:rPr>
            </w:pPr>
            <w:r w:rsidRPr="00D21089">
              <w:rPr>
                <w:rFonts w:ascii="Arial" w:hAnsi="Arial"/>
                <w:sz w:val="18"/>
              </w:rPr>
              <w:t xml:space="preserve">Indicates the maximum number of TAs used to define an area for which the analytics are </w:t>
            </w:r>
            <w:r>
              <w:rPr>
                <w:rFonts w:ascii="Arial" w:hAnsi="Arial"/>
                <w:sz w:val="18"/>
              </w:rPr>
              <w:t>requested</w:t>
            </w:r>
            <w:r w:rsidRPr="00D21089">
              <w:rPr>
                <w:rFonts w:ascii="Arial" w:hAnsi="Arial"/>
                <w:sz w:val="18"/>
              </w:rPr>
              <w:t>.</w:t>
            </w:r>
          </w:p>
          <w:p w14:paraId="0A67F04B" w14:textId="77777777" w:rsidR="00C869EF" w:rsidRPr="00D21089" w:rsidRDefault="00C869EF" w:rsidP="00C869EF">
            <w:pPr>
              <w:keepNext/>
              <w:keepLines/>
              <w:spacing w:after="0"/>
              <w:rPr>
                <w:rFonts w:ascii="Arial" w:hAnsi="Arial"/>
                <w:sz w:val="18"/>
              </w:rPr>
            </w:pPr>
            <w:r w:rsidRPr="00D21089">
              <w:rPr>
                <w:rFonts w:ascii="Arial" w:hAnsi="Arial"/>
                <w:sz w:val="18"/>
              </w:rPr>
              <w:t>May be included when the "networkArea" attribute in the EventSubscription data type is provided.</w:t>
            </w:r>
          </w:p>
          <w:p w14:paraId="507A1735" w14:textId="77777777" w:rsidR="00C869EF" w:rsidRDefault="00C869EF" w:rsidP="00C869EF">
            <w:pPr>
              <w:pStyle w:val="TAL"/>
            </w:pPr>
            <w:r w:rsidRPr="00D21089">
              <w:t>(NOTE 19)</w:t>
            </w:r>
          </w:p>
        </w:tc>
        <w:tc>
          <w:tcPr>
            <w:tcW w:w="1463" w:type="dxa"/>
            <w:gridSpan w:val="2"/>
            <w:tcBorders>
              <w:top w:val="single" w:sz="6" w:space="0" w:color="auto"/>
              <w:left w:val="single" w:sz="6" w:space="0" w:color="auto"/>
              <w:bottom w:val="single" w:sz="6" w:space="0" w:color="auto"/>
              <w:right w:val="single" w:sz="6" w:space="0" w:color="auto"/>
            </w:tcBorders>
          </w:tcPr>
          <w:p w14:paraId="76D91B4D" w14:textId="77777777" w:rsidR="00C869EF" w:rsidRDefault="00C869EF" w:rsidP="00C869EF">
            <w:pPr>
              <w:pStyle w:val="TAL"/>
              <w:rPr>
                <w:rFonts w:eastAsia="Batang"/>
              </w:rPr>
            </w:pPr>
            <w:r>
              <w:rPr>
                <w:rFonts w:eastAsia="Batang"/>
              </w:rPr>
              <w:t>NetworkPerformanceExt_eNA</w:t>
            </w:r>
          </w:p>
          <w:p w14:paraId="01F94B05" w14:textId="77777777" w:rsidR="00C869EF" w:rsidRDefault="00C869EF" w:rsidP="00C869EF">
            <w:pPr>
              <w:pStyle w:val="TAL"/>
              <w:rPr>
                <w:rFonts w:eastAsia="Batang"/>
              </w:rPr>
            </w:pPr>
            <w:r>
              <w:rPr>
                <w:rFonts w:eastAsia="Batang"/>
              </w:rPr>
              <w:t>UeMobilityExt2_eNA</w:t>
            </w:r>
          </w:p>
          <w:p w14:paraId="53BF9D9C" w14:textId="77777777" w:rsidR="00C869EF" w:rsidRDefault="00C869EF" w:rsidP="00C869EF">
            <w:pPr>
              <w:pStyle w:val="TAL"/>
              <w:rPr>
                <w:rFonts w:eastAsia="Batang"/>
              </w:rPr>
            </w:pPr>
            <w:r>
              <w:rPr>
                <w:rFonts w:eastAsia="Batang"/>
              </w:rPr>
              <w:t>UeCommunicationExt_eNA</w:t>
            </w:r>
          </w:p>
          <w:p w14:paraId="790E5C9C" w14:textId="77777777" w:rsidR="00C869EF" w:rsidRDefault="00C869EF" w:rsidP="00C869EF">
            <w:pPr>
              <w:pStyle w:val="TAL"/>
              <w:rPr>
                <w:rFonts w:eastAsia="Batang"/>
              </w:rPr>
            </w:pPr>
            <w:r>
              <w:rPr>
                <w:rFonts w:eastAsia="Batang"/>
              </w:rPr>
              <w:t>QoSSustainabilityExt_eNA</w:t>
            </w:r>
          </w:p>
          <w:p w14:paraId="3703D5F1" w14:textId="77777777" w:rsidR="00C869EF" w:rsidRDefault="00C869EF" w:rsidP="00C869EF">
            <w:pPr>
              <w:pStyle w:val="TAL"/>
              <w:rPr>
                <w:rFonts w:eastAsia="Batang"/>
              </w:rPr>
            </w:pPr>
            <w:r>
              <w:rPr>
                <w:rFonts w:eastAsia="Batang"/>
              </w:rPr>
              <w:t>DispersionExt_eNA</w:t>
            </w:r>
          </w:p>
          <w:p w14:paraId="29334F66" w14:textId="77777777" w:rsidR="00C869EF" w:rsidRDefault="00C869EF" w:rsidP="00C869EF">
            <w:pPr>
              <w:pStyle w:val="TAL"/>
              <w:rPr>
                <w:rFonts w:eastAsia="Batang"/>
              </w:rPr>
            </w:pPr>
            <w:r>
              <w:rPr>
                <w:rFonts w:eastAsia="Batang"/>
              </w:rPr>
              <w:t>DnPerformanceExt_eNA</w:t>
            </w:r>
          </w:p>
        </w:tc>
      </w:tr>
      <w:tr w:rsidR="00C869EF" w14:paraId="7718986D"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4D012482" w14:textId="77777777" w:rsidR="00C869EF" w:rsidRDefault="00C869EF" w:rsidP="00C869EF">
            <w:pPr>
              <w:pStyle w:val="TAL"/>
            </w:pPr>
            <w:r>
              <w:t>spatialGranSizeCell</w:t>
            </w:r>
          </w:p>
        </w:tc>
        <w:tc>
          <w:tcPr>
            <w:tcW w:w="2001" w:type="dxa"/>
            <w:gridSpan w:val="2"/>
            <w:tcBorders>
              <w:top w:val="single" w:sz="6" w:space="0" w:color="auto"/>
              <w:left w:val="single" w:sz="6" w:space="0" w:color="auto"/>
              <w:bottom w:val="single" w:sz="6" w:space="0" w:color="auto"/>
              <w:right w:val="single" w:sz="6" w:space="0" w:color="auto"/>
            </w:tcBorders>
          </w:tcPr>
          <w:p w14:paraId="3FE27D39" w14:textId="77777777" w:rsidR="00C869EF" w:rsidRDefault="00C869EF" w:rsidP="00C869EF">
            <w:pPr>
              <w:pStyle w:val="TAL"/>
            </w:pPr>
            <w:r>
              <w:t>Uinteger</w:t>
            </w:r>
          </w:p>
        </w:tc>
        <w:tc>
          <w:tcPr>
            <w:tcW w:w="286" w:type="dxa"/>
            <w:gridSpan w:val="2"/>
            <w:tcBorders>
              <w:top w:val="single" w:sz="6" w:space="0" w:color="auto"/>
              <w:left w:val="single" w:sz="6" w:space="0" w:color="auto"/>
              <w:bottom w:val="single" w:sz="6" w:space="0" w:color="auto"/>
              <w:right w:val="single" w:sz="6" w:space="0" w:color="auto"/>
            </w:tcBorders>
          </w:tcPr>
          <w:p w14:paraId="6EEAC00E" w14:textId="77777777" w:rsidR="00C869EF" w:rsidRDefault="00C869EF" w:rsidP="00C869E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3ED6DCCF" w14:textId="77777777" w:rsidR="00C869EF" w:rsidRDefault="00C869EF" w:rsidP="00C869E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53E1D7A0" w14:textId="2CB1B39F" w:rsidR="00C869EF" w:rsidRPr="00D21089" w:rsidRDefault="00C869EF" w:rsidP="00C869EF">
            <w:pPr>
              <w:keepNext/>
              <w:keepLines/>
              <w:spacing w:after="0"/>
              <w:rPr>
                <w:rFonts w:ascii="Arial" w:hAnsi="Arial"/>
                <w:sz w:val="18"/>
              </w:rPr>
            </w:pPr>
            <w:r w:rsidRPr="00D21089">
              <w:rPr>
                <w:rFonts w:ascii="Arial" w:hAnsi="Arial"/>
                <w:sz w:val="18"/>
              </w:rPr>
              <w:t xml:space="preserve">Indicates the maximum number of cells used to define an area for which the analytics are </w:t>
            </w:r>
            <w:r>
              <w:rPr>
                <w:rFonts w:ascii="Arial" w:hAnsi="Arial"/>
                <w:sz w:val="18"/>
              </w:rPr>
              <w:t>requested</w:t>
            </w:r>
            <w:r w:rsidRPr="00D21089">
              <w:rPr>
                <w:rFonts w:ascii="Arial" w:hAnsi="Arial"/>
                <w:sz w:val="18"/>
              </w:rPr>
              <w:t>.</w:t>
            </w:r>
          </w:p>
          <w:p w14:paraId="1A19FA95" w14:textId="77777777" w:rsidR="00C869EF" w:rsidRPr="00D21089" w:rsidRDefault="00C869EF" w:rsidP="00C869EF">
            <w:pPr>
              <w:keepNext/>
              <w:keepLines/>
              <w:spacing w:after="0"/>
              <w:rPr>
                <w:rFonts w:ascii="Arial" w:hAnsi="Arial"/>
                <w:sz w:val="18"/>
              </w:rPr>
            </w:pPr>
            <w:r w:rsidRPr="00D21089">
              <w:rPr>
                <w:rFonts w:ascii="Arial" w:hAnsi="Arial"/>
                <w:sz w:val="18"/>
              </w:rPr>
              <w:t>May be included when the "networkArea" attribute in the EventSubscription data type is provided.</w:t>
            </w:r>
          </w:p>
          <w:p w14:paraId="71AED75B" w14:textId="77777777" w:rsidR="00C869EF" w:rsidRDefault="00C869EF" w:rsidP="00C869EF">
            <w:pPr>
              <w:pStyle w:val="TAL"/>
            </w:pPr>
            <w:r w:rsidRPr="00D21089">
              <w:t>(NOTE 19)</w:t>
            </w:r>
          </w:p>
        </w:tc>
        <w:tc>
          <w:tcPr>
            <w:tcW w:w="1463" w:type="dxa"/>
            <w:gridSpan w:val="2"/>
            <w:tcBorders>
              <w:top w:val="single" w:sz="6" w:space="0" w:color="auto"/>
              <w:left w:val="single" w:sz="6" w:space="0" w:color="auto"/>
              <w:bottom w:val="single" w:sz="6" w:space="0" w:color="auto"/>
              <w:right w:val="single" w:sz="6" w:space="0" w:color="auto"/>
            </w:tcBorders>
          </w:tcPr>
          <w:p w14:paraId="5B88A4DC" w14:textId="77777777" w:rsidR="00C869EF" w:rsidRDefault="00C869EF" w:rsidP="00C869EF">
            <w:pPr>
              <w:pStyle w:val="TAL"/>
              <w:rPr>
                <w:rFonts w:eastAsia="Batang"/>
              </w:rPr>
            </w:pPr>
            <w:r>
              <w:rPr>
                <w:rFonts w:eastAsia="Batang"/>
              </w:rPr>
              <w:t>NetworkPerformanceExt_eNA</w:t>
            </w:r>
          </w:p>
          <w:p w14:paraId="24296DDB" w14:textId="77777777" w:rsidR="00C869EF" w:rsidRDefault="00C869EF" w:rsidP="00C869EF">
            <w:pPr>
              <w:pStyle w:val="TAL"/>
              <w:rPr>
                <w:rFonts w:eastAsia="Batang"/>
              </w:rPr>
            </w:pPr>
            <w:r>
              <w:rPr>
                <w:rFonts w:eastAsia="Batang"/>
              </w:rPr>
              <w:t>UeMobilityExt2_eNA</w:t>
            </w:r>
          </w:p>
          <w:p w14:paraId="64682D8B" w14:textId="77777777" w:rsidR="00C869EF" w:rsidRDefault="00C869EF" w:rsidP="00C869EF">
            <w:pPr>
              <w:pStyle w:val="TAL"/>
              <w:rPr>
                <w:rFonts w:eastAsia="Batang"/>
              </w:rPr>
            </w:pPr>
            <w:r>
              <w:rPr>
                <w:rFonts w:eastAsia="Batang"/>
              </w:rPr>
              <w:t>UeCommunicationExt_eNA</w:t>
            </w:r>
          </w:p>
          <w:p w14:paraId="0BA8162D" w14:textId="77777777" w:rsidR="00C869EF" w:rsidRDefault="00C869EF" w:rsidP="00C869EF">
            <w:pPr>
              <w:pStyle w:val="TAL"/>
              <w:rPr>
                <w:rFonts w:eastAsia="Batang"/>
              </w:rPr>
            </w:pPr>
            <w:r>
              <w:rPr>
                <w:rFonts w:eastAsia="Batang"/>
              </w:rPr>
              <w:t>QoSSustainabilityExt_eNA</w:t>
            </w:r>
          </w:p>
          <w:p w14:paraId="4A67664F" w14:textId="77777777" w:rsidR="00C869EF" w:rsidRDefault="00C869EF" w:rsidP="00C869EF">
            <w:pPr>
              <w:pStyle w:val="TAL"/>
              <w:rPr>
                <w:rFonts w:eastAsia="Batang"/>
              </w:rPr>
            </w:pPr>
            <w:r>
              <w:rPr>
                <w:rFonts w:eastAsia="Batang"/>
              </w:rPr>
              <w:t>DispersionExt_eNA</w:t>
            </w:r>
          </w:p>
          <w:p w14:paraId="7BCCB3BF" w14:textId="77777777" w:rsidR="00C869EF" w:rsidRDefault="00C869EF" w:rsidP="00C869EF">
            <w:pPr>
              <w:pStyle w:val="TAL"/>
              <w:rPr>
                <w:rFonts w:eastAsia="Batang"/>
              </w:rPr>
            </w:pPr>
            <w:r>
              <w:rPr>
                <w:rFonts w:eastAsia="Batang"/>
              </w:rPr>
              <w:t>DnPerformanceExt_eNA</w:t>
            </w:r>
          </w:p>
        </w:tc>
      </w:tr>
      <w:tr w:rsidR="00F525B2" w14:paraId="00E31529" w14:textId="77777777" w:rsidTr="009B329F">
        <w:trPr>
          <w:gridAfter w:val="1"/>
          <w:wAfter w:w="41" w:type="dxa"/>
          <w:jc w:val="center"/>
        </w:trPr>
        <w:tc>
          <w:tcPr>
            <w:tcW w:w="1603" w:type="dxa"/>
            <w:gridSpan w:val="2"/>
            <w:tcBorders>
              <w:top w:val="single" w:sz="6" w:space="0" w:color="auto"/>
              <w:left w:val="single" w:sz="6" w:space="0" w:color="auto"/>
              <w:bottom w:val="single" w:sz="6" w:space="0" w:color="auto"/>
              <w:right w:val="single" w:sz="6" w:space="0" w:color="auto"/>
            </w:tcBorders>
          </w:tcPr>
          <w:p w14:paraId="059C7920" w14:textId="77777777" w:rsidR="00F525B2" w:rsidRDefault="00F525B2" w:rsidP="009B329F">
            <w:pPr>
              <w:pStyle w:val="TAL"/>
            </w:pPr>
            <w:r>
              <w:t>fineGranAreas</w:t>
            </w:r>
          </w:p>
        </w:tc>
        <w:tc>
          <w:tcPr>
            <w:tcW w:w="2001" w:type="dxa"/>
            <w:gridSpan w:val="2"/>
            <w:tcBorders>
              <w:top w:val="single" w:sz="6" w:space="0" w:color="auto"/>
              <w:left w:val="single" w:sz="6" w:space="0" w:color="auto"/>
              <w:bottom w:val="single" w:sz="6" w:space="0" w:color="auto"/>
              <w:right w:val="single" w:sz="6" w:space="0" w:color="auto"/>
            </w:tcBorders>
          </w:tcPr>
          <w:p w14:paraId="5EDF66E9" w14:textId="77777777" w:rsidR="00F525B2" w:rsidRDefault="00F525B2" w:rsidP="009B329F">
            <w:pPr>
              <w:pStyle w:val="TAL"/>
            </w:pPr>
            <w:r>
              <w:t>array(GeographicalArea)</w:t>
            </w:r>
          </w:p>
        </w:tc>
        <w:tc>
          <w:tcPr>
            <w:tcW w:w="286" w:type="dxa"/>
            <w:gridSpan w:val="2"/>
            <w:tcBorders>
              <w:top w:val="single" w:sz="6" w:space="0" w:color="auto"/>
              <w:left w:val="single" w:sz="6" w:space="0" w:color="auto"/>
              <w:bottom w:val="single" w:sz="6" w:space="0" w:color="auto"/>
              <w:right w:val="single" w:sz="6" w:space="0" w:color="auto"/>
            </w:tcBorders>
          </w:tcPr>
          <w:p w14:paraId="3B7BF1E1" w14:textId="77777777" w:rsidR="00F525B2" w:rsidRDefault="00F525B2" w:rsidP="009B329F">
            <w:pPr>
              <w:pStyle w:val="TAC"/>
            </w:pPr>
            <w:r>
              <w:t>O</w:t>
            </w:r>
          </w:p>
        </w:tc>
        <w:tc>
          <w:tcPr>
            <w:tcW w:w="1063" w:type="dxa"/>
            <w:gridSpan w:val="2"/>
            <w:tcBorders>
              <w:top w:val="single" w:sz="6" w:space="0" w:color="auto"/>
              <w:left w:val="single" w:sz="6" w:space="0" w:color="auto"/>
              <w:bottom w:val="single" w:sz="6" w:space="0" w:color="auto"/>
              <w:right w:val="single" w:sz="6" w:space="0" w:color="auto"/>
            </w:tcBorders>
          </w:tcPr>
          <w:p w14:paraId="1CFB1A89" w14:textId="77777777" w:rsidR="00F525B2" w:rsidRDefault="00F525B2" w:rsidP="009B329F">
            <w:pPr>
              <w:pStyle w:val="TAL"/>
            </w:pPr>
            <w:r>
              <w:t>1..N</w:t>
            </w:r>
          </w:p>
        </w:tc>
        <w:tc>
          <w:tcPr>
            <w:tcW w:w="2723" w:type="dxa"/>
            <w:gridSpan w:val="2"/>
            <w:tcBorders>
              <w:top w:val="single" w:sz="6" w:space="0" w:color="auto"/>
              <w:left w:val="single" w:sz="6" w:space="0" w:color="auto"/>
              <w:bottom w:val="single" w:sz="6" w:space="0" w:color="auto"/>
              <w:right w:val="single" w:sz="6" w:space="0" w:color="auto"/>
            </w:tcBorders>
          </w:tcPr>
          <w:p w14:paraId="6835AC6B" w14:textId="77777777" w:rsidR="00F525B2" w:rsidRDefault="00F525B2" w:rsidP="009B329F">
            <w:pPr>
              <w:pStyle w:val="TAL"/>
            </w:pPr>
            <w:r>
              <w:t>Indicates the fine granularity areas to which the subscription applies. (i.e. with a finer granularity than cell).</w:t>
            </w:r>
          </w:p>
          <w:p w14:paraId="6E247CFB" w14:textId="77777777" w:rsidR="00F525B2" w:rsidRDefault="00F525B2" w:rsidP="009B329F">
            <w:pPr>
              <w:pStyle w:val="TAL"/>
            </w:pPr>
            <w:r>
              <w:t>(NOTE 7, NOTE 20)</w:t>
            </w:r>
          </w:p>
        </w:tc>
        <w:tc>
          <w:tcPr>
            <w:tcW w:w="1463" w:type="dxa"/>
            <w:gridSpan w:val="2"/>
            <w:tcBorders>
              <w:top w:val="single" w:sz="6" w:space="0" w:color="auto"/>
              <w:left w:val="single" w:sz="6" w:space="0" w:color="auto"/>
              <w:bottom w:val="single" w:sz="6" w:space="0" w:color="auto"/>
              <w:right w:val="single" w:sz="6" w:space="0" w:color="auto"/>
            </w:tcBorders>
          </w:tcPr>
          <w:p w14:paraId="08DB898C" w14:textId="77777777" w:rsidR="00F525B2" w:rsidRPr="00B70A58" w:rsidRDefault="00F525B2" w:rsidP="009B329F">
            <w:pPr>
              <w:pStyle w:val="TAL"/>
              <w:rPr>
                <w:rFonts w:eastAsia="Batang"/>
              </w:rPr>
            </w:pPr>
            <w:r w:rsidRPr="00B70A58">
              <w:rPr>
                <w:rFonts w:eastAsia="Batang"/>
              </w:rPr>
              <w:t>ServiceExperienceExt2_eNA</w:t>
            </w:r>
          </w:p>
          <w:p w14:paraId="693863BF" w14:textId="77777777" w:rsidR="00F525B2" w:rsidRPr="00B70A58" w:rsidRDefault="00F525B2" w:rsidP="009B329F">
            <w:pPr>
              <w:pStyle w:val="TAL"/>
              <w:rPr>
                <w:rFonts w:eastAsia="Batang"/>
              </w:rPr>
            </w:pPr>
            <w:r w:rsidRPr="00B70A58">
              <w:rPr>
                <w:rFonts w:eastAsia="Batang"/>
              </w:rPr>
              <w:t>UeMobilityExt2_eNA</w:t>
            </w:r>
          </w:p>
          <w:p w14:paraId="335796D1" w14:textId="77777777" w:rsidR="00F525B2" w:rsidRDefault="00F525B2" w:rsidP="009B329F">
            <w:pPr>
              <w:pStyle w:val="TAL"/>
              <w:rPr>
                <w:rFonts w:eastAsia="Batang"/>
              </w:rPr>
            </w:pPr>
            <w:r>
              <w:rPr>
                <w:rFonts w:eastAsia="Batang"/>
              </w:rPr>
              <w:t>QoSSustainabilityExt_eNA</w:t>
            </w:r>
          </w:p>
          <w:p w14:paraId="42419024" w14:textId="77777777" w:rsidR="00F525B2" w:rsidRDefault="00F525B2" w:rsidP="009B329F">
            <w:pPr>
              <w:pStyle w:val="TAL"/>
              <w:rPr>
                <w:rFonts w:eastAsia="Batang"/>
              </w:rPr>
            </w:pPr>
            <w:r>
              <w:rPr>
                <w:rFonts w:eastAsia="Batang"/>
              </w:rPr>
              <w:t>MovementBehaviour</w:t>
            </w:r>
          </w:p>
          <w:p w14:paraId="6843821A" w14:textId="77777777" w:rsidR="00F525B2" w:rsidRDefault="00F525B2" w:rsidP="009B329F">
            <w:pPr>
              <w:pStyle w:val="TAL"/>
              <w:rPr>
                <w:rFonts w:eastAsia="Batang"/>
              </w:rPr>
            </w:pPr>
            <w:r w:rsidRPr="00CB6CD4">
              <w:rPr>
                <w:rFonts w:eastAsia="Batang"/>
              </w:rPr>
              <w:t>QoSPolicyAssist</w:t>
            </w:r>
          </w:p>
        </w:tc>
      </w:tr>
      <w:tr w:rsidR="00F525B2" w14:paraId="3BC52C79" w14:textId="77777777" w:rsidTr="009B329F">
        <w:trPr>
          <w:jc w:val="center"/>
        </w:trPr>
        <w:tc>
          <w:tcPr>
            <w:tcW w:w="1603" w:type="dxa"/>
            <w:gridSpan w:val="2"/>
          </w:tcPr>
          <w:p w14:paraId="22AF8716" w14:textId="77777777" w:rsidR="00F525B2" w:rsidRDefault="00F525B2" w:rsidP="009B329F">
            <w:pPr>
              <w:pStyle w:val="TAL"/>
            </w:pPr>
            <w:r>
              <w:t>visitedAreas</w:t>
            </w:r>
          </w:p>
        </w:tc>
        <w:tc>
          <w:tcPr>
            <w:tcW w:w="2001" w:type="dxa"/>
            <w:gridSpan w:val="2"/>
          </w:tcPr>
          <w:p w14:paraId="42DE0B85" w14:textId="77777777" w:rsidR="00F525B2" w:rsidRDefault="00F525B2" w:rsidP="009B329F">
            <w:pPr>
              <w:pStyle w:val="TAL"/>
            </w:pPr>
            <w:r>
              <w:t>array(NetworkAreaInfo)</w:t>
            </w:r>
          </w:p>
        </w:tc>
        <w:tc>
          <w:tcPr>
            <w:tcW w:w="286" w:type="dxa"/>
            <w:gridSpan w:val="2"/>
          </w:tcPr>
          <w:p w14:paraId="5B6CB8F5" w14:textId="77777777" w:rsidR="00F525B2" w:rsidRDefault="00F525B2" w:rsidP="009B329F">
            <w:pPr>
              <w:pStyle w:val="TAC"/>
            </w:pPr>
            <w:r>
              <w:rPr>
                <w:lang w:eastAsia="zh-CN"/>
              </w:rPr>
              <w:t>O</w:t>
            </w:r>
          </w:p>
        </w:tc>
        <w:tc>
          <w:tcPr>
            <w:tcW w:w="1063" w:type="dxa"/>
            <w:gridSpan w:val="2"/>
          </w:tcPr>
          <w:p w14:paraId="750063AC" w14:textId="77777777" w:rsidR="00F525B2" w:rsidRDefault="00F525B2" w:rsidP="009B329F">
            <w:pPr>
              <w:pStyle w:val="TAL"/>
            </w:pPr>
            <w:r>
              <w:rPr>
                <w:rFonts w:hint="eastAsia"/>
                <w:lang w:eastAsia="zh-CN"/>
              </w:rPr>
              <w:t>1..N</w:t>
            </w:r>
          </w:p>
        </w:tc>
        <w:tc>
          <w:tcPr>
            <w:tcW w:w="2723" w:type="dxa"/>
            <w:gridSpan w:val="2"/>
          </w:tcPr>
          <w:p w14:paraId="2AFCA111" w14:textId="77777777" w:rsidR="00F525B2" w:rsidRDefault="00F525B2" w:rsidP="009B329F">
            <w:pPr>
              <w:pStyle w:val="TAL"/>
            </w:pPr>
            <w:r>
              <w:t>Indicates the visited network area(s) which the UEs had previously been in at least one of the Visited Area(s) of Interest.</w:t>
            </w:r>
          </w:p>
          <w:p w14:paraId="38BBCC16" w14:textId="77777777" w:rsidR="00F525B2" w:rsidRDefault="00F525B2" w:rsidP="009B329F">
            <w:pPr>
              <w:pStyle w:val="TAL"/>
            </w:pPr>
            <w:r>
              <w:t>(NOTE 10)</w:t>
            </w:r>
          </w:p>
        </w:tc>
        <w:tc>
          <w:tcPr>
            <w:tcW w:w="1504" w:type="dxa"/>
            <w:gridSpan w:val="3"/>
          </w:tcPr>
          <w:p w14:paraId="179149B4" w14:textId="77777777" w:rsidR="00F525B2" w:rsidRDefault="00F525B2" w:rsidP="009B329F">
            <w:pPr>
              <w:pStyle w:val="TAL"/>
              <w:rPr>
                <w:rFonts w:eastAsia="Batang"/>
              </w:rPr>
            </w:pPr>
            <w:r>
              <w:t>UeMobilityExt</w:t>
            </w:r>
          </w:p>
        </w:tc>
      </w:tr>
      <w:tr w:rsidR="00F525B2" w14:paraId="452FCF99" w14:textId="77777777" w:rsidTr="009B329F">
        <w:trPr>
          <w:jc w:val="center"/>
        </w:trPr>
        <w:tc>
          <w:tcPr>
            <w:tcW w:w="1603" w:type="dxa"/>
            <w:gridSpan w:val="2"/>
          </w:tcPr>
          <w:p w14:paraId="1647ECA2" w14:textId="77777777" w:rsidR="00F525B2" w:rsidRDefault="00F525B2" w:rsidP="009B329F">
            <w:pPr>
              <w:pStyle w:val="TAL"/>
            </w:pPr>
            <w:r>
              <w:rPr>
                <w:rFonts w:hint="eastAsia"/>
              </w:rPr>
              <w:t>m</w:t>
            </w:r>
            <w:r>
              <w:t>axTopAppUlNbr</w:t>
            </w:r>
          </w:p>
        </w:tc>
        <w:tc>
          <w:tcPr>
            <w:tcW w:w="2001" w:type="dxa"/>
            <w:gridSpan w:val="2"/>
          </w:tcPr>
          <w:p w14:paraId="604DD20D" w14:textId="77777777" w:rsidR="00F525B2" w:rsidRDefault="00F525B2" w:rsidP="009B329F">
            <w:pPr>
              <w:pStyle w:val="TAL"/>
            </w:pPr>
            <w:r>
              <w:t>Uinteger</w:t>
            </w:r>
          </w:p>
        </w:tc>
        <w:tc>
          <w:tcPr>
            <w:tcW w:w="286" w:type="dxa"/>
            <w:gridSpan w:val="2"/>
          </w:tcPr>
          <w:p w14:paraId="24801657" w14:textId="77777777" w:rsidR="00F525B2" w:rsidRDefault="00F525B2" w:rsidP="009B329F">
            <w:pPr>
              <w:pStyle w:val="TAC"/>
            </w:pPr>
            <w:r>
              <w:t>O</w:t>
            </w:r>
          </w:p>
        </w:tc>
        <w:tc>
          <w:tcPr>
            <w:tcW w:w="1063" w:type="dxa"/>
            <w:gridSpan w:val="2"/>
          </w:tcPr>
          <w:p w14:paraId="60E5C45F" w14:textId="77777777" w:rsidR="00F525B2" w:rsidRDefault="00F525B2" w:rsidP="009B329F">
            <w:pPr>
              <w:pStyle w:val="TAL"/>
            </w:pPr>
            <w:r>
              <w:t>0..1</w:t>
            </w:r>
          </w:p>
        </w:tc>
        <w:tc>
          <w:tcPr>
            <w:tcW w:w="2723" w:type="dxa"/>
            <w:gridSpan w:val="2"/>
          </w:tcPr>
          <w:p w14:paraId="69AB5643" w14:textId="77777777" w:rsidR="00F525B2" w:rsidRDefault="00F525B2" w:rsidP="009B329F">
            <w:pPr>
              <w:pStyle w:val="TAL"/>
              <w:rPr>
                <w:rFonts w:cs="Arial"/>
                <w:szCs w:val="18"/>
                <w:lang w:eastAsia="zh-CN"/>
              </w:rPr>
            </w:pPr>
            <w:r>
              <w:rPr>
                <w:rFonts w:hint="eastAsia"/>
                <w:lang w:eastAsia="zh-CN"/>
              </w:rPr>
              <w:t>I</w:t>
            </w:r>
            <w:r>
              <w:t xml:space="preserve">ndicates the requested maximum number of top applications that contribute the most to the traffic in Uplink direction. </w:t>
            </w:r>
            <w:r>
              <w:rPr>
                <w:rFonts w:cs="Arial"/>
                <w:szCs w:val="18"/>
                <w:lang w:eastAsia="zh-CN"/>
              </w:rPr>
              <w:t>Minimum = 1.</w:t>
            </w:r>
          </w:p>
          <w:p w14:paraId="6D193BCD" w14:textId="77777777" w:rsidR="00F525B2" w:rsidRDefault="00F525B2" w:rsidP="009B329F">
            <w:pPr>
              <w:pStyle w:val="TAL"/>
            </w:pPr>
            <w:r>
              <w:rPr>
                <w:lang w:eastAsia="zh-CN"/>
              </w:rPr>
              <w:t>May be included when one of the elements in the "listOfAnaSubsets" attribute is set to LIST_OF_TOP_APP_UL.</w:t>
            </w:r>
          </w:p>
        </w:tc>
        <w:tc>
          <w:tcPr>
            <w:tcW w:w="1504" w:type="dxa"/>
            <w:gridSpan w:val="3"/>
          </w:tcPr>
          <w:p w14:paraId="7C182426" w14:textId="77777777" w:rsidR="00F525B2" w:rsidRDefault="00F525B2" w:rsidP="009B329F">
            <w:pPr>
              <w:pStyle w:val="TAL"/>
              <w:rPr>
                <w:rFonts w:eastAsia="Batang"/>
              </w:rPr>
            </w:pPr>
            <w:r>
              <w:rPr>
                <w:rFonts w:eastAsia="Batang"/>
              </w:rPr>
              <w:t>UserDataCongestionExt</w:t>
            </w:r>
          </w:p>
        </w:tc>
      </w:tr>
      <w:tr w:rsidR="00F525B2" w14:paraId="4E5C8EBA" w14:textId="77777777" w:rsidTr="009B329F">
        <w:trPr>
          <w:jc w:val="center"/>
        </w:trPr>
        <w:tc>
          <w:tcPr>
            <w:tcW w:w="1603" w:type="dxa"/>
            <w:gridSpan w:val="2"/>
          </w:tcPr>
          <w:p w14:paraId="563BFBEB" w14:textId="77777777" w:rsidR="00F525B2" w:rsidRDefault="00F525B2" w:rsidP="009B329F">
            <w:pPr>
              <w:pStyle w:val="TAL"/>
            </w:pPr>
            <w:r>
              <w:rPr>
                <w:rFonts w:hint="eastAsia"/>
              </w:rPr>
              <w:lastRenderedPageBreak/>
              <w:t>m</w:t>
            </w:r>
            <w:r>
              <w:t>axTopAppDlNbr</w:t>
            </w:r>
          </w:p>
        </w:tc>
        <w:tc>
          <w:tcPr>
            <w:tcW w:w="2001" w:type="dxa"/>
            <w:gridSpan w:val="2"/>
          </w:tcPr>
          <w:p w14:paraId="563C5052" w14:textId="77777777" w:rsidR="00F525B2" w:rsidRDefault="00F525B2" w:rsidP="009B329F">
            <w:pPr>
              <w:pStyle w:val="TAL"/>
            </w:pPr>
            <w:r>
              <w:t>Uinteger</w:t>
            </w:r>
          </w:p>
        </w:tc>
        <w:tc>
          <w:tcPr>
            <w:tcW w:w="286" w:type="dxa"/>
            <w:gridSpan w:val="2"/>
          </w:tcPr>
          <w:p w14:paraId="62E22D7B" w14:textId="77777777" w:rsidR="00F525B2" w:rsidRDefault="00F525B2" w:rsidP="009B329F">
            <w:pPr>
              <w:pStyle w:val="TAC"/>
            </w:pPr>
            <w:r>
              <w:t>O</w:t>
            </w:r>
          </w:p>
        </w:tc>
        <w:tc>
          <w:tcPr>
            <w:tcW w:w="1063" w:type="dxa"/>
            <w:gridSpan w:val="2"/>
          </w:tcPr>
          <w:p w14:paraId="19F7C3C4" w14:textId="77777777" w:rsidR="00F525B2" w:rsidRDefault="00F525B2" w:rsidP="009B329F">
            <w:pPr>
              <w:pStyle w:val="TAL"/>
            </w:pPr>
            <w:r>
              <w:t>0..1</w:t>
            </w:r>
          </w:p>
        </w:tc>
        <w:tc>
          <w:tcPr>
            <w:tcW w:w="2723" w:type="dxa"/>
            <w:gridSpan w:val="2"/>
          </w:tcPr>
          <w:p w14:paraId="511E0840" w14:textId="77777777" w:rsidR="00F525B2" w:rsidRDefault="00F525B2" w:rsidP="009B329F">
            <w:pPr>
              <w:pStyle w:val="TAL"/>
              <w:rPr>
                <w:rFonts w:cs="Arial"/>
                <w:szCs w:val="18"/>
                <w:lang w:eastAsia="zh-CN"/>
              </w:rPr>
            </w:pPr>
            <w:r>
              <w:rPr>
                <w:rFonts w:hint="eastAsia"/>
              </w:rPr>
              <w:t>I</w:t>
            </w:r>
            <w:r>
              <w:t xml:space="preserve">ndicates the requested maximum number of top applications that contribute the most to the traffic in Downlink direction. </w:t>
            </w:r>
            <w:r>
              <w:rPr>
                <w:rFonts w:cs="Arial"/>
                <w:szCs w:val="18"/>
                <w:lang w:eastAsia="zh-CN"/>
              </w:rPr>
              <w:t>Minimum = 1.</w:t>
            </w:r>
          </w:p>
          <w:p w14:paraId="082F551F" w14:textId="77777777" w:rsidR="00F525B2" w:rsidRDefault="00F525B2" w:rsidP="009B329F">
            <w:pPr>
              <w:pStyle w:val="TAL"/>
            </w:pPr>
            <w:r>
              <w:rPr>
                <w:lang w:eastAsia="zh-CN"/>
              </w:rPr>
              <w:t>May be included when one of the elements in the "listOfAnaSubsets" attribute is set to LIST_OF_TOP_APP_DL.</w:t>
            </w:r>
          </w:p>
        </w:tc>
        <w:tc>
          <w:tcPr>
            <w:tcW w:w="1504" w:type="dxa"/>
            <w:gridSpan w:val="3"/>
          </w:tcPr>
          <w:p w14:paraId="1AE13FE2" w14:textId="77777777" w:rsidR="00F525B2" w:rsidRDefault="00F525B2" w:rsidP="009B329F">
            <w:pPr>
              <w:pStyle w:val="TAL"/>
              <w:rPr>
                <w:rFonts w:eastAsia="Batang"/>
              </w:rPr>
            </w:pPr>
            <w:r>
              <w:rPr>
                <w:rFonts w:eastAsia="Batang"/>
              </w:rPr>
              <w:t>UserDataCongestionExt</w:t>
            </w:r>
          </w:p>
        </w:tc>
      </w:tr>
      <w:tr w:rsidR="00F525B2" w14:paraId="62A63CF1" w14:textId="77777777" w:rsidTr="009B329F">
        <w:trPr>
          <w:jc w:val="center"/>
        </w:trPr>
        <w:tc>
          <w:tcPr>
            <w:tcW w:w="1603" w:type="dxa"/>
            <w:gridSpan w:val="2"/>
          </w:tcPr>
          <w:p w14:paraId="4FDC564D" w14:textId="77777777" w:rsidR="00F525B2" w:rsidRDefault="00F525B2" w:rsidP="009B329F">
            <w:pPr>
              <w:pStyle w:val="TAL"/>
            </w:pPr>
            <w:r>
              <w:t>nfInstanceIds</w:t>
            </w:r>
          </w:p>
        </w:tc>
        <w:tc>
          <w:tcPr>
            <w:tcW w:w="2001" w:type="dxa"/>
            <w:gridSpan w:val="2"/>
          </w:tcPr>
          <w:p w14:paraId="52E7B4EB" w14:textId="77777777" w:rsidR="00F525B2" w:rsidRDefault="00F525B2" w:rsidP="009B329F">
            <w:pPr>
              <w:pStyle w:val="TAL"/>
            </w:pPr>
            <w:r>
              <w:t>array(NfInstanceId)</w:t>
            </w:r>
          </w:p>
        </w:tc>
        <w:tc>
          <w:tcPr>
            <w:tcW w:w="286" w:type="dxa"/>
            <w:gridSpan w:val="2"/>
          </w:tcPr>
          <w:p w14:paraId="1E147942" w14:textId="77777777" w:rsidR="00F525B2" w:rsidRDefault="00F525B2" w:rsidP="009B329F">
            <w:pPr>
              <w:pStyle w:val="TAC"/>
            </w:pPr>
            <w:r>
              <w:t>O</w:t>
            </w:r>
          </w:p>
        </w:tc>
        <w:tc>
          <w:tcPr>
            <w:tcW w:w="1063" w:type="dxa"/>
            <w:gridSpan w:val="2"/>
          </w:tcPr>
          <w:p w14:paraId="127CA34F" w14:textId="77777777" w:rsidR="00F525B2" w:rsidRDefault="00F525B2" w:rsidP="009B329F">
            <w:pPr>
              <w:pStyle w:val="TAL"/>
            </w:pPr>
            <w:r>
              <w:t>1..N</w:t>
            </w:r>
          </w:p>
        </w:tc>
        <w:tc>
          <w:tcPr>
            <w:tcW w:w="2723" w:type="dxa"/>
            <w:gridSpan w:val="2"/>
          </w:tcPr>
          <w:p w14:paraId="5291C85E" w14:textId="77777777" w:rsidR="00F525B2" w:rsidRDefault="00F525B2" w:rsidP="009B329F">
            <w:pPr>
              <w:pStyle w:val="TAL"/>
              <w:rPr>
                <w:rFonts w:eastAsia="Batang"/>
              </w:rPr>
            </w:pPr>
            <w:r>
              <w:t>Identification(s) of NF instance(s).</w:t>
            </w:r>
          </w:p>
        </w:tc>
        <w:tc>
          <w:tcPr>
            <w:tcW w:w="1504" w:type="dxa"/>
            <w:gridSpan w:val="3"/>
          </w:tcPr>
          <w:p w14:paraId="3DC0A09B" w14:textId="77777777" w:rsidR="00F525B2" w:rsidRDefault="00F525B2" w:rsidP="009B329F">
            <w:pPr>
              <w:pStyle w:val="TAL"/>
              <w:rPr>
                <w:rFonts w:cs="Arial"/>
                <w:szCs w:val="18"/>
              </w:rPr>
            </w:pPr>
            <w:r>
              <w:rPr>
                <w:rFonts w:cs="Arial"/>
                <w:szCs w:val="18"/>
              </w:rPr>
              <w:t>NfLoad</w:t>
            </w:r>
          </w:p>
          <w:p w14:paraId="21DE27B6" w14:textId="77777777" w:rsidR="00F525B2" w:rsidRDefault="00F525B2" w:rsidP="009B329F">
            <w:pPr>
              <w:pStyle w:val="TAL"/>
              <w:rPr>
                <w:rFonts w:cs="Arial"/>
                <w:szCs w:val="18"/>
              </w:rPr>
            </w:pPr>
            <w:r>
              <w:t>S</w:t>
            </w:r>
            <w:r w:rsidRPr="001C406B">
              <w:t>ignalling</w:t>
            </w:r>
            <w:r>
              <w:t>S</w:t>
            </w:r>
            <w:r w:rsidRPr="001C406B">
              <w:t>torm</w:t>
            </w:r>
          </w:p>
        </w:tc>
      </w:tr>
      <w:tr w:rsidR="00F525B2" w14:paraId="362FC450" w14:textId="77777777" w:rsidTr="009B329F">
        <w:trPr>
          <w:jc w:val="center"/>
        </w:trPr>
        <w:tc>
          <w:tcPr>
            <w:tcW w:w="1603" w:type="dxa"/>
            <w:gridSpan w:val="2"/>
          </w:tcPr>
          <w:p w14:paraId="1E7CE2DD" w14:textId="77777777" w:rsidR="00F525B2" w:rsidRDefault="00F525B2" w:rsidP="009B329F">
            <w:pPr>
              <w:pStyle w:val="TAL"/>
            </w:pPr>
            <w:r>
              <w:t>nfSetIds</w:t>
            </w:r>
          </w:p>
        </w:tc>
        <w:tc>
          <w:tcPr>
            <w:tcW w:w="2001" w:type="dxa"/>
            <w:gridSpan w:val="2"/>
          </w:tcPr>
          <w:p w14:paraId="3817EEAF" w14:textId="77777777" w:rsidR="00F525B2" w:rsidRDefault="00F525B2" w:rsidP="009B329F">
            <w:pPr>
              <w:pStyle w:val="TAL"/>
            </w:pPr>
            <w:r>
              <w:t>array(NfSetId)</w:t>
            </w:r>
          </w:p>
        </w:tc>
        <w:tc>
          <w:tcPr>
            <w:tcW w:w="286" w:type="dxa"/>
            <w:gridSpan w:val="2"/>
          </w:tcPr>
          <w:p w14:paraId="092C8479" w14:textId="77777777" w:rsidR="00F525B2" w:rsidRDefault="00F525B2" w:rsidP="009B329F">
            <w:pPr>
              <w:pStyle w:val="TAC"/>
            </w:pPr>
            <w:r>
              <w:t>O</w:t>
            </w:r>
          </w:p>
        </w:tc>
        <w:tc>
          <w:tcPr>
            <w:tcW w:w="1063" w:type="dxa"/>
            <w:gridSpan w:val="2"/>
          </w:tcPr>
          <w:p w14:paraId="0BE2C1B8" w14:textId="77777777" w:rsidR="00F525B2" w:rsidRDefault="00F525B2" w:rsidP="009B329F">
            <w:pPr>
              <w:pStyle w:val="TAL"/>
            </w:pPr>
            <w:r>
              <w:t>1..N</w:t>
            </w:r>
          </w:p>
        </w:tc>
        <w:tc>
          <w:tcPr>
            <w:tcW w:w="2723" w:type="dxa"/>
            <w:gridSpan w:val="2"/>
          </w:tcPr>
          <w:p w14:paraId="152E6652" w14:textId="77777777" w:rsidR="00F525B2" w:rsidRDefault="00F525B2" w:rsidP="009B329F">
            <w:pPr>
              <w:pStyle w:val="TAL"/>
              <w:rPr>
                <w:rFonts w:eastAsia="Batang"/>
              </w:rPr>
            </w:pPr>
            <w:r>
              <w:t>Identification(s) of NF instance set(s).</w:t>
            </w:r>
          </w:p>
        </w:tc>
        <w:tc>
          <w:tcPr>
            <w:tcW w:w="1504" w:type="dxa"/>
            <w:gridSpan w:val="3"/>
          </w:tcPr>
          <w:p w14:paraId="30180D4A" w14:textId="77777777" w:rsidR="00F525B2" w:rsidRDefault="00F525B2" w:rsidP="009B329F">
            <w:pPr>
              <w:pStyle w:val="TAL"/>
              <w:rPr>
                <w:rFonts w:cs="Arial"/>
                <w:szCs w:val="18"/>
              </w:rPr>
            </w:pPr>
            <w:r>
              <w:rPr>
                <w:rFonts w:cs="Arial"/>
                <w:szCs w:val="18"/>
              </w:rPr>
              <w:t>NfLoad</w:t>
            </w:r>
          </w:p>
          <w:p w14:paraId="25C29DE3" w14:textId="77777777" w:rsidR="00F525B2" w:rsidRDefault="00F525B2" w:rsidP="009B329F">
            <w:pPr>
              <w:pStyle w:val="TAL"/>
              <w:rPr>
                <w:rFonts w:cs="Arial"/>
                <w:szCs w:val="18"/>
              </w:rPr>
            </w:pPr>
            <w:r>
              <w:t>S</w:t>
            </w:r>
            <w:r w:rsidRPr="001C406B">
              <w:t>ignalling</w:t>
            </w:r>
            <w:r>
              <w:t>S</w:t>
            </w:r>
            <w:r w:rsidRPr="001C406B">
              <w:t>torm</w:t>
            </w:r>
          </w:p>
        </w:tc>
      </w:tr>
      <w:tr w:rsidR="00F525B2" w14:paraId="464242C9" w14:textId="77777777" w:rsidTr="009B329F">
        <w:trPr>
          <w:jc w:val="center"/>
        </w:trPr>
        <w:tc>
          <w:tcPr>
            <w:tcW w:w="1603" w:type="dxa"/>
            <w:gridSpan w:val="2"/>
          </w:tcPr>
          <w:p w14:paraId="618B0967" w14:textId="77777777" w:rsidR="00F525B2" w:rsidRDefault="00F525B2" w:rsidP="009B329F">
            <w:pPr>
              <w:pStyle w:val="TAL"/>
            </w:pPr>
            <w:r>
              <w:t>nfTypes</w:t>
            </w:r>
          </w:p>
        </w:tc>
        <w:tc>
          <w:tcPr>
            <w:tcW w:w="2001" w:type="dxa"/>
            <w:gridSpan w:val="2"/>
          </w:tcPr>
          <w:p w14:paraId="2DF4942E" w14:textId="77777777" w:rsidR="00F525B2" w:rsidRDefault="00F525B2" w:rsidP="009B329F">
            <w:pPr>
              <w:pStyle w:val="TAL"/>
            </w:pPr>
            <w:r>
              <w:t>array(NFType)</w:t>
            </w:r>
          </w:p>
        </w:tc>
        <w:tc>
          <w:tcPr>
            <w:tcW w:w="286" w:type="dxa"/>
            <w:gridSpan w:val="2"/>
          </w:tcPr>
          <w:p w14:paraId="1AE5616F" w14:textId="77777777" w:rsidR="00F525B2" w:rsidRDefault="00F525B2" w:rsidP="009B329F">
            <w:pPr>
              <w:pStyle w:val="TAC"/>
            </w:pPr>
            <w:r>
              <w:t>O</w:t>
            </w:r>
          </w:p>
        </w:tc>
        <w:tc>
          <w:tcPr>
            <w:tcW w:w="1063" w:type="dxa"/>
            <w:gridSpan w:val="2"/>
          </w:tcPr>
          <w:p w14:paraId="6CD7A60E" w14:textId="77777777" w:rsidR="00F525B2" w:rsidRDefault="00F525B2" w:rsidP="009B329F">
            <w:pPr>
              <w:pStyle w:val="TAL"/>
            </w:pPr>
            <w:r>
              <w:t>1..N</w:t>
            </w:r>
          </w:p>
        </w:tc>
        <w:tc>
          <w:tcPr>
            <w:tcW w:w="2723" w:type="dxa"/>
            <w:gridSpan w:val="2"/>
          </w:tcPr>
          <w:p w14:paraId="280A52E9" w14:textId="77777777" w:rsidR="00F525B2" w:rsidRDefault="00F525B2" w:rsidP="009B329F">
            <w:pPr>
              <w:pStyle w:val="TAL"/>
              <w:rPr>
                <w:rFonts w:eastAsia="Batang"/>
              </w:rPr>
            </w:pPr>
            <w:r>
              <w:t>Identification(s) of NF type(s). (</w:t>
            </w:r>
            <w:r>
              <w:rPr>
                <w:rFonts w:eastAsia="Batang"/>
              </w:rPr>
              <w:t>NOTE</w:t>
            </w:r>
            <w:r>
              <w:t> </w:t>
            </w:r>
            <w:r>
              <w:rPr>
                <w:rFonts w:eastAsia="Batang"/>
              </w:rPr>
              <w:t>13</w:t>
            </w:r>
            <w:r>
              <w:t>)</w:t>
            </w:r>
          </w:p>
        </w:tc>
        <w:tc>
          <w:tcPr>
            <w:tcW w:w="1504" w:type="dxa"/>
            <w:gridSpan w:val="3"/>
          </w:tcPr>
          <w:p w14:paraId="2F1B76CF" w14:textId="77777777" w:rsidR="00F525B2" w:rsidRDefault="00F525B2" w:rsidP="009B329F">
            <w:pPr>
              <w:pStyle w:val="TAL"/>
              <w:rPr>
                <w:rFonts w:cs="Arial"/>
                <w:szCs w:val="18"/>
              </w:rPr>
            </w:pPr>
            <w:r>
              <w:rPr>
                <w:rFonts w:cs="Arial"/>
                <w:szCs w:val="18"/>
              </w:rPr>
              <w:t>NfLoad</w:t>
            </w:r>
          </w:p>
          <w:p w14:paraId="4BA9A596" w14:textId="77777777" w:rsidR="00F525B2" w:rsidRDefault="00F525B2" w:rsidP="009B329F">
            <w:pPr>
              <w:pStyle w:val="TAL"/>
              <w:rPr>
                <w:rFonts w:cs="Arial"/>
                <w:szCs w:val="18"/>
              </w:rPr>
            </w:pPr>
            <w:r>
              <w:rPr>
                <w:rFonts w:cs="Arial"/>
                <w:szCs w:val="18"/>
              </w:rPr>
              <w:t>NsiLoadExt</w:t>
            </w:r>
          </w:p>
        </w:tc>
      </w:tr>
      <w:tr w:rsidR="00F525B2" w14:paraId="66D0F85C" w14:textId="77777777" w:rsidTr="009B329F">
        <w:trPr>
          <w:gridAfter w:val="1"/>
          <w:wAfter w:w="41" w:type="dxa"/>
          <w:jc w:val="center"/>
        </w:trPr>
        <w:tc>
          <w:tcPr>
            <w:tcW w:w="1603" w:type="dxa"/>
            <w:gridSpan w:val="2"/>
          </w:tcPr>
          <w:p w14:paraId="7708E3F2" w14:textId="77777777" w:rsidR="00F525B2" w:rsidRDefault="00F525B2" w:rsidP="009B329F">
            <w:pPr>
              <w:pStyle w:val="TAL"/>
            </w:pPr>
            <w:r>
              <w:t>notificationMethod</w:t>
            </w:r>
          </w:p>
        </w:tc>
        <w:tc>
          <w:tcPr>
            <w:tcW w:w="2001" w:type="dxa"/>
            <w:gridSpan w:val="2"/>
          </w:tcPr>
          <w:p w14:paraId="2B1DAD55" w14:textId="77777777" w:rsidR="00F525B2" w:rsidRDefault="00F525B2" w:rsidP="009B329F">
            <w:pPr>
              <w:pStyle w:val="TAL"/>
            </w:pPr>
            <w:r>
              <w:t>NotificationMethod</w:t>
            </w:r>
          </w:p>
        </w:tc>
        <w:tc>
          <w:tcPr>
            <w:tcW w:w="286" w:type="dxa"/>
            <w:gridSpan w:val="2"/>
          </w:tcPr>
          <w:p w14:paraId="2C8F5771" w14:textId="77777777" w:rsidR="00F525B2" w:rsidRDefault="00F525B2" w:rsidP="009B329F">
            <w:pPr>
              <w:pStyle w:val="TAC"/>
            </w:pPr>
            <w:r>
              <w:t>O</w:t>
            </w:r>
          </w:p>
        </w:tc>
        <w:tc>
          <w:tcPr>
            <w:tcW w:w="1063" w:type="dxa"/>
            <w:gridSpan w:val="2"/>
          </w:tcPr>
          <w:p w14:paraId="121A616C" w14:textId="77777777" w:rsidR="00F525B2" w:rsidRDefault="00F525B2" w:rsidP="009B329F">
            <w:pPr>
              <w:pStyle w:val="TAL"/>
            </w:pPr>
            <w:r>
              <w:t>0..1</w:t>
            </w:r>
          </w:p>
        </w:tc>
        <w:tc>
          <w:tcPr>
            <w:tcW w:w="2723" w:type="dxa"/>
            <w:gridSpan w:val="2"/>
          </w:tcPr>
          <w:p w14:paraId="191817C5" w14:textId="77777777" w:rsidR="00F525B2" w:rsidRDefault="00F525B2" w:rsidP="009B329F">
            <w:pPr>
              <w:pStyle w:val="TAL"/>
            </w:pPr>
            <w:r>
              <w:rPr>
                <w:rFonts w:eastAsia="Batang" w:hint="eastAsia"/>
              </w:rPr>
              <w:t>Indicate the notification method.</w:t>
            </w:r>
            <w:r>
              <w:rPr>
                <w:rFonts w:eastAsia="Batang"/>
              </w:rPr>
              <w:t xml:space="preserve"> </w:t>
            </w:r>
            <w:r>
              <w:rPr>
                <w:rFonts w:eastAsia="Batang" w:hint="eastAsia"/>
              </w:rPr>
              <w:t>(</w:t>
            </w:r>
            <w:r>
              <w:rPr>
                <w:rFonts w:eastAsia="Batang"/>
              </w:rPr>
              <w:t>NOTE</w:t>
            </w:r>
            <w:r>
              <w:t> </w:t>
            </w:r>
            <w:r>
              <w:rPr>
                <w:rFonts w:eastAsia="Batang"/>
              </w:rPr>
              <w:t>2)</w:t>
            </w:r>
          </w:p>
        </w:tc>
        <w:tc>
          <w:tcPr>
            <w:tcW w:w="1463" w:type="dxa"/>
            <w:gridSpan w:val="2"/>
          </w:tcPr>
          <w:p w14:paraId="4C54A87F" w14:textId="77777777" w:rsidR="00F525B2" w:rsidRDefault="00F525B2" w:rsidP="009B329F">
            <w:pPr>
              <w:pStyle w:val="TAL"/>
              <w:rPr>
                <w:rFonts w:cs="Arial"/>
                <w:szCs w:val="18"/>
              </w:rPr>
            </w:pPr>
          </w:p>
        </w:tc>
      </w:tr>
      <w:tr w:rsidR="00F525B2" w14:paraId="47F0214B" w14:textId="77777777" w:rsidTr="009B329F">
        <w:trPr>
          <w:gridAfter w:val="1"/>
          <w:wAfter w:w="41" w:type="dxa"/>
          <w:jc w:val="center"/>
        </w:trPr>
        <w:tc>
          <w:tcPr>
            <w:tcW w:w="1603" w:type="dxa"/>
            <w:gridSpan w:val="2"/>
          </w:tcPr>
          <w:p w14:paraId="79D4D4A9" w14:textId="77777777" w:rsidR="00F525B2" w:rsidRDefault="00F525B2" w:rsidP="009B329F">
            <w:pPr>
              <w:pStyle w:val="TAL"/>
            </w:pPr>
            <w:r>
              <w:t>nsiIdInfos</w:t>
            </w:r>
          </w:p>
        </w:tc>
        <w:tc>
          <w:tcPr>
            <w:tcW w:w="2001" w:type="dxa"/>
            <w:gridSpan w:val="2"/>
          </w:tcPr>
          <w:p w14:paraId="74EF3F2B" w14:textId="77777777" w:rsidR="00F525B2" w:rsidRDefault="00F525B2" w:rsidP="009B329F">
            <w:pPr>
              <w:pStyle w:val="TAL"/>
            </w:pPr>
            <w:r>
              <w:t>array(NsiIdInfo)</w:t>
            </w:r>
          </w:p>
        </w:tc>
        <w:tc>
          <w:tcPr>
            <w:tcW w:w="286" w:type="dxa"/>
            <w:gridSpan w:val="2"/>
          </w:tcPr>
          <w:p w14:paraId="1957447E" w14:textId="77777777" w:rsidR="00F525B2" w:rsidRDefault="00F525B2" w:rsidP="009B329F">
            <w:pPr>
              <w:pStyle w:val="TAC"/>
            </w:pPr>
            <w:r>
              <w:t>O</w:t>
            </w:r>
          </w:p>
        </w:tc>
        <w:tc>
          <w:tcPr>
            <w:tcW w:w="1063" w:type="dxa"/>
            <w:gridSpan w:val="2"/>
          </w:tcPr>
          <w:p w14:paraId="43EB5098" w14:textId="77777777" w:rsidR="00F525B2" w:rsidRDefault="00F525B2" w:rsidP="009B329F">
            <w:pPr>
              <w:pStyle w:val="TAL"/>
            </w:pPr>
            <w:r>
              <w:t>1..N</w:t>
            </w:r>
          </w:p>
        </w:tc>
        <w:tc>
          <w:tcPr>
            <w:tcW w:w="2723" w:type="dxa"/>
            <w:gridSpan w:val="2"/>
          </w:tcPr>
          <w:p w14:paraId="357FA140" w14:textId="77777777" w:rsidR="00F525B2" w:rsidRDefault="00F525B2" w:rsidP="009B329F">
            <w:pPr>
              <w:pStyle w:val="TAL"/>
              <w:rPr>
                <w:rFonts w:eastAsia="Batang"/>
              </w:rPr>
            </w:pPr>
            <w:r>
              <w:rPr>
                <w:rFonts w:eastAsia="Batang"/>
              </w:rPr>
              <w:t>Each element identifies the S-NSSAI and the optionally associated network slice instance(s).</w:t>
            </w:r>
          </w:p>
          <w:p w14:paraId="7C59D968" w14:textId="77777777" w:rsidR="00F525B2" w:rsidRDefault="00F525B2" w:rsidP="009B329F">
            <w:pPr>
              <w:pStyle w:val="TAL"/>
              <w:rPr>
                <w:rFonts w:eastAsia="Batang"/>
              </w:rPr>
            </w:pPr>
            <w:r>
              <w:rPr>
                <w:rFonts w:eastAsia="Batang"/>
              </w:rPr>
              <w:t>May be included when subscribed event is "</w:t>
            </w:r>
            <w:r>
              <w:rPr>
                <w:lang w:eastAsia="zh-CN"/>
              </w:rPr>
              <w:t>NSI_LOAD_LEVEL</w:t>
            </w:r>
            <w:r>
              <w:rPr>
                <w:rFonts w:eastAsia="Batang"/>
              </w:rPr>
              <w:t xml:space="preserve">", </w:t>
            </w:r>
          </w:p>
          <w:p w14:paraId="1DF65DB9" w14:textId="3844A877" w:rsidR="00F525B2" w:rsidRDefault="00F525B2" w:rsidP="009B329F">
            <w:pPr>
              <w:pStyle w:val="TAL"/>
              <w:rPr>
                <w:rFonts w:eastAsia="Batang"/>
              </w:rPr>
            </w:pPr>
            <w:r>
              <w:rPr>
                <w:rFonts w:eastAsia="Batang"/>
              </w:rPr>
              <w:t>"</w:t>
            </w:r>
            <w:r>
              <w:t>SERVICE_EXPERIENCE</w:t>
            </w:r>
            <w:r>
              <w:rPr>
                <w:rFonts w:eastAsia="Batang"/>
              </w:rPr>
              <w:t>",  "</w:t>
            </w:r>
            <w:r>
              <w:rPr>
                <w:rFonts w:hint="eastAsia"/>
                <w:lang w:eastAsia="zh-CN"/>
              </w:rPr>
              <w:t>D</w:t>
            </w:r>
            <w:r>
              <w:rPr>
                <w:lang w:eastAsia="zh-CN"/>
              </w:rPr>
              <w:t>N_PERFORMANCE</w:t>
            </w:r>
            <w:r>
              <w:rPr>
                <w:rFonts w:eastAsia="Batang"/>
              </w:rPr>
              <w:t xml:space="preserve">" or </w:t>
            </w:r>
            <w:r w:rsidRPr="00E0377F">
              <w:rPr>
                <w:rFonts w:eastAsia="Batang"/>
              </w:rPr>
              <w:t>"</w:t>
            </w:r>
            <w:r>
              <w:rPr>
                <w:rFonts w:eastAsia="Batang"/>
              </w:rPr>
              <w:t>QOS_POLICY_ASSIST".</w:t>
            </w:r>
          </w:p>
          <w:p w14:paraId="0F764E43" w14:textId="77777777" w:rsidR="00F525B2" w:rsidRDefault="00F525B2" w:rsidP="009B329F">
            <w:pPr>
              <w:pStyle w:val="TAL"/>
              <w:rPr>
                <w:rFonts w:eastAsia="Batang"/>
              </w:rPr>
            </w:pPr>
            <w:r>
              <w:rPr>
                <w:rFonts w:eastAsia="Batang"/>
              </w:rPr>
              <w:t>(NOTE 1)</w:t>
            </w:r>
          </w:p>
        </w:tc>
        <w:tc>
          <w:tcPr>
            <w:tcW w:w="1463" w:type="dxa"/>
            <w:gridSpan w:val="2"/>
          </w:tcPr>
          <w:p w14:paraId="48A521D4" w14:textId="77777777" w:rsidR="00F525B2" w:rsidRDefault="00F525B2" w:rsidP="009B329F">
            <w:pPr>
              <w:pStyle w:val="TAL"/>
              <w:rPr>
                <w:lang w:eastAsia="zh-CN"/>
              </w:rPr>
            </w:pPr>
            <w:r>
              <w:rPr>
                <w:rFonts w:cs="Arial"/>
                <w:szCs w:val="18"/>
              </w:rPr>
              <w:t>ServiceExperience</w:t>
            </w:r>
            <w:r>
              <w:rPr>
                <w:lang w:eastAsia="zh-CN"/>
              </w:rPr>
              <w:t xml:space="preserve"> </w:t>
            </w:r>
          </w:p>
          <w:p w14:paraId="020F926B" w14:textId="77777777" w:rsidR="00F525B2" w:rsidRDefault="00F525B2" w:rsidP="009B329F">
            <w:pPr>
              <w:pStyle w:val="TAL"/>
            </w:pPr>
            <w:r>
              <w:rPr>
                <w:lang w:eastAsia="zh-CN"/>
              </w:rPr>
              <w:t>NsiLoad</w:t>
            </w:r>
          </w:p>
          <w:p w14:paraId="2A70C287" w14:textId="77777777" w:rsidR="00F525B2" w:rsidRDefault="00F525B2" w:rsidP="009B329F">
            <w:pPr>
              <w:pStyle w:val="TAL"/>
              <w:rPr>
                <w:rFonts w:eastAsia="Batang"/>
              </w:rPr>
            </w:pPr>
            <w:r>
              <w:rPr>
                <w:rFonts w:eastAsia="Batang"/>
              </w:rPr>
              <w:t>DnPerformance</w:t>
            </w:r>
          </w:p>
          <w:p w14:paraId="42E37C9A" w14:textId="77777777" w:rsidR="00F525B2" w:rsidRDefault="00F525B2" w:rsidP="009B329F">
            <w:pPr>
              <w:pStyle w:val="TAL"/>
              <w:rPr>
                <w:lang w:eastAsia="zh-CN"/>
              </w:rPr>
            </w:pPr>
            <w:r>
              <w:rPr>
                <w:rFonts w:cs="Arial"/>
                <w:szCs w:val="18"/>
              </w:rPr>
              <w:t>QoSPolicyAssist</w:t>
            </w:r>
          </w:p>
          <w:p w14:paraId="2C2FFC55" w14:textId="77777777" w:rsidR="00F525B2" w:rsidRDefault="00F525B2" w:rsidP="009B329F">
            <w:pPr>
              <w:pStyle w:val="TAL"/>
              <w:rPr>
                <w:rFonts w:cs="Arial"/>
                <w:szCs w:val="18"/>
              </w:rPr>
            </w:pPr>
          </w:p>
        </w:tc>
      </w:tr>
      <w:tr w:rsidR="00F525B2" w14:paraId="069B5559" w14:textId="77777777" w:rsidTr="009B329F">
        <w:trPr>
          <w:jc w:val="center"/>
        </w:trPr>
        <w:tc>
          <w:tcPr>
            <w:tcW w:w="1603" w:type="dxa"/>
            <w:gridSpan w:val="2"/>
          </w:tcPr>
          <w:p w14:paraId="623A20F9" w14:textId="77777777" w:rsidR="00F525B2" w:rsidRDefault="00F525B2" w:rsidP="009B329F">
            <w:pPr>
              <w:pStyle w:val="TAL"/>
            </w:pPr>
            <w:r>
              <w:t>nsiLevelThrds</w:t>
            </w:r>
          </w:p>
        </w:tc>
        <w:tc>
          <w:tcPr>
            <w:tcW w:w="2001" w:type="dxa"/>
            <w:gridSpan w:val="2"/>
          </w:tcPr>
          <w:p w14:paraId="6B0FCB6B" w14:textId="77777777" w:rsidR="00F525B2" w:rsidRDefault="00F525B2" w:rsidP="009B329F">
            <w:pPr>
              <w:pStyle w:val="TAL"/>
            </w:pPr>
            <w:r>
              <w:t>array(Uinteger)</w:t>
            </w:r>
          </w:p>
        </w:tc>
        <w:tc>
          <w:tcPr>
            <w:tcW w:w="286" w:type="dxa"/>
            <w:gridSpan w:val="2"/>
          </w:tcPr>
          <w:p w14:paraId="57FBB557" w14:textId="77777777" w:rsidR="00F525B2" w:rsidRDefault="00F525B2" w:rsidP="009B329F">
            <w:pPr>
              <w:pStyle w:val="TAC"/>
            </w:pPr>
            <w:r>
              <w:rPr>
                <w:lang w:eastAsia="zh-CN"/>
              </w:rPr>
              <w:t>O</w:t>
            </w:r>
          </w:p>
        </w:tc>
        <w:tc>
          <w:tcPr>
            <w:tcW w:w="1063" w:type="dxa"/>
            <w:gridSpan w:val="2"/>
          </w:tcPr>
          <w:p w14:paraId="6E68B2FA" w14:textId="77777777" w:rsidR="00F525B2" w:rsidRDefault="00F525B2" w:rsidP="009B329F">
            <w:pPr>
              <w:pStyle w:val="TAL"/>
            </w:pPr>
            <w:r>
              <w:rPr>
                <w:lang w:eastAsia="zh-CN"/>
              </w:rPr>
              <w:t>1..N</w:t>
            </w:r>
          </w:p>
        </w:tc>
        <w:tc>
          <w:tcPr>
            <w:tcW w:w="2723" w:type="dxa"/>
            <w:gridSpan w:val="2"/>
          </w:tcPr>
          <w:p w14:paraId="41A721FF" w14:textId="77777777" w:rsidR="00F525B2" w:rsidRDefault="00F525B2" w:rsidP="009B329F">
            <w:pPr>
              <w:pStyle w:val="TAL"/>
              <w:rPr>
                <w:rFonts w:eastAsia="等线"/>
                <w:lang w:eastAsia="zh-CN"/>
              </w:rPr>
            </w:pPr>
            <w:r>
              <w:rPr>
                <w:rFonts w:eastAsia="等线"/>
                <w:lang w:eastAsia="zh-CN"/>
              </w:rPr>
              <w:t xml:space="preserve">Identifies the load threshold for each S-NSSAI or S-NSSAI and the optionally associated network slice instance identified by the </w:t>
            </w:r>
            <w:r>
              <w:rPr>
                <w:rFonts w:eastAsia="Batang"/>
              </w:rPr>
              <w:t>"</w:t>
            </w:r>
            <w:r>
              <w:t>nsiIds</w:t>
            </w:r>
            <w:r>
              <w:rPr>
                <w:rFonts w:eastAsia="Batang"/>
              </w:rPr>
              <w:t>"</w:t>
            </w:r>
            <w:r>
              <w:rPr>
                <w:rFonts w:eastAsia="等线"/>
                <w:lang w:eastAsia="zh-CN"/>
              </w:rPr>
              <w:t xml:space="preserve"> attribute within the </w:t>
            </w:r>
            <w:r>
              <w:rPr>
                <w:rFonts w:eastAsia="Batang"/>
              </w:rPr>
              <w:t>"</w:t>
            </w:r>
            <w:r>
              <w:t>nsiIdInfos</w:t>
            </w:r>
            <w:r>
              <w:rPr>
                <w:rFonts w:eastAsia="Batang"/>
              </w:rPr>
              <w:t>"</w:t>
            </w:r>
            <w:r>
              <w:rPr>
                <w:rFonts w:eastAsia="等线"/>
                <w:lang w:eastAsia="zh-CN"/>
              </w:rPr>
              <w:t xml:space="preserve"> attribute. </w:t>
            </w:r>
          </w:p>
          <w:p w14:paraId="43D0132C" w14:textId="77777777" w:rsidR="00F525B2" w:rsidRDefault="00F525B2" w:rsidP="009B329F">
            <w:pPr>
              <w:pStyle w:val="TAL"/>
              <w:rPr>
                <w:rFonts w:eastAsia="等线"/>
                <w:lang w:eastAsia="zh-CN"/>
              </w:rPr>
            </w:pPr>
            <w:r>
              <w:rPr>
                <w:rFonts w:eastAsia="等线"/>
                <w:lang w:eastAsia="zh-CN"/>
              </w:rPr>
              <w:t>(NOTE</w:t>
            </w:r>
            <w:r>
              <w:rPr>
                <w:rFonts w:eastAsia="等线"/>
                <w:lang w:val="en-US" w:eastAsia="zh-CN"/>
              </w:rPr>
              <w:t> 4</w:t>
            </w:r>
            <w:r>
              <w:rPr>
                <w:rFonts w:eastAsia="等线"/>
                <w:lang w:eastAsia="zh-CN"/>
              </w:rPr>
              <w:t xml:space="preserve">) </w:t>
            </w:r>
          </w:p>
          <w:p w14:paraId="207C492A" w14:textId="77777777" w:rsidR="00F525B2" w:rsidRDefault="00F525B2" w:rsidP="009B329F">
            <w:pPr>
              <w:pStyle w:val="TAL"/>
              <w:rPr>
                <w:rFonts w:eastAsia="Batang"/>
              </w:rPr>
            </w:pPr>
            <w:r>
              <w:rPr>
                <w:rFonts w:cs="Arial"/>
                <w:szCs w:val="18"/>
                <w:lang w:eastAsia="zh-CN"/>
              </w:rPr>
              <w:t>Minimum = 0. Maximum = 100.</w:t>
            </w:r>
          </w:p>
        </w:tc>
        <w:tc>
          <w:tcPr>
            <w:tcW w:w="1504" w:type="dxa"/>
            <w:gridSpan w:val="3"/>
          </w:tcPr>
          <w:p w14:paraId="5B0FA35A" w14:textId="77777777" w:rsidR="00F525B2" w:rsidRDefault="00F525B2" w:rsidP="009B329F">
            <w:pPr>
              <w:pStyle w:val="TAL"/>
              <w:rPr>
                <w:lang w:eastAsia="zh-CN"/>
              </w:rPr>
            </w:pPr>
            <w:r>
              <w:rPr>
                <w:lang w:eastAsia="zh-CN"/>
              </w:rPr>
              <w:t>NsiLoad</w:t>
            </w:r>
            <w:r>
              <w:t xml:space="preserve"> </w:t>
            </w:r>
          </w:p>
          <w:p w14:paraId="01FA9E66" w14:textId="77777777" w:rsidR="00F525B2" w:rsidRDefault="00F525B2" w:rsidP="009B329F">
            <w:pPr>
              <w:pStyle w:val="TAL"/>
              <w:rPr>
                <w:rFonts w:cs="Arial"/>
                <w:szCs w:val="18"/>
              </w:rPr>
            </w:pPr>
          </w:p>
        </w:tc>
      </w:tr>
      <w:tr w:rsidR="00F525B2" w14:paraId="1F962D72" w14:textId="77777777" w:rsidTr="009B329F">
        <w:trPr>
          <w:jc w:val="center"/>
        </w:trPr>
        <w:tc>
          <w:tcPr>
            <w:tcW w:w="1603" w:type="dxa"/>
            <w:gridSpan w:val="2"/>
          </w:tcPr>
          <w:p w14:paraId="1025E3D8" w14:textId="77777777" w:rsidR="00F525B2" w:rsidRDefault="00F525B2" w:rsidP="009B329F">
            <w:pPr>
              <w:pStyle w:val="TAL"/>
            </w:pPr>
            <w:r>
              <w:t>qosRequ</w:t>
            </w:r>
          </w:p>
        </w:tc>
        <w:tc>
          <w:tcPr>
            <w:tcW w:w="2001" w:type="dxa"/>
            <w:gridSpan w:val="2"/>
          </w:tcPr>
          <w:p w14:paraId="18A29BE5" w14:textId="77777777" w:rsidR="00F525B2" w:rsidRDefault="00F525B2" w:rsidP="009B329F">
            <w:pPr>
              <w:pStyle w:val="TAL"/>
            </w:pPr>
            <w:r>
              <w:t>QosRequirement</w:t>
            </w:r>
          </w:p>
        </w:tc>
        <w:tc>
          <w:tcPr>
            <w:tcW w:w="286" w:type="dxa"/>
            <w:gridSpan w:val="2"/>
          </w:tcPr>
          <w:p w14:paraId="314360E5" w14:textId="77777777" w:rsidR="00F525B2" w:rsidRDefault="00F525B2" w:rsidP="009B329F">
            <w:pPr>
              <w:pStyle w:val="TAC"/>
            </w:pPr>
            <w:r>
              <w:t>C</w:t>
            </w:r>
          </w:p>
        </w:tc>
        <w:tc>
          <w:tcPr>
            <w:tcW w:w="1063" w:type="dxa"/>
            <w:gridSpan w:val="2"/>
          </w:tcPr>
          <w:p w14:paraId="00E8F1F9" w14:textId="77777777" w:rsidR="00F525B2" w:rsidRDefault="00F525B2" w:rsidP="009B329F">
            <w:pPr>
              <w:pStyle w:val="TAL"/>
            </w:pPr>
            <w:r>
              <w:t>0..1</w:t>
            </w:r>
          </w:p>
        </w:tc>
        <w:tc>
          <w:tcPr>
            <w:tcW w:w="2723" w:type="dxa"/>
            <w:gridSpan w:val="2"/>
          </w:tcPr>
          <w:p w14:paraId="03977ED7" w14:textId="77777777" w:rsidR="00F525B2" w:rsidRDefault="00F525B2" w:rsidP="009B329F">
            <w:pPr>
              <w:pStyle w:val="TAL"/>
            </w:pPr>
            <w:r>
              <w:rPr>
                <w:rFonts w:eastAsia="Batang"/>
              </w:rPr>
              <w:t xml:space="preserve">Indicates the QoS requirements. It shall be included when subscribed event is </w:t>
            </w:r>
            <w:r>
              <w:t>"QOS_SUSTAINABILITY" or "</w:t>
            </w:r>
            <w:r>
              <w:rPr>
                <w:lang w:eastAsia="zh-CN"/>
              </w:rPr>
              <w:t>E2E_DATA_VOL_TRANS_TIME</w:t>
            </w:r>
            <w:r>
              <w:t>".</w:t>
            </w:r>
          </w:p>
        </w:tc>
        <w:tc>
          <w:tcPr>
            <w:tcW w:w="1504" w:type="dxa"/>
            <w:gridSpan w:val="3"/>
          </w:tcPr>
          <w:p w14:paraId="65E9C1BA" w14:textId="77777777" w:rsidR="00F525B2" w:rsidRDefault="00F525B2" w:rsidP="009B329F">
            <w:pPr>
              <w:pStyle w:val="TAL"/>
              <w:rPr>
                <w:rFonts w:cs="Arial"/>
                <w:szCs w:val="18"/>
              </w:rPr>
            </w:pPr>
            <w:r>
              <w:rPr>
                <w:rFonts w:cs="Arial"/>
                <w:szCs w:val="18"/>
              </w:rPr>
              <w:t>QoSSustainability</w:t>
            </w:r>
          </w:p>
          <w:p w14:paraId="53B9F26D" w14:textId="77777777" w:rsidR="00F525B2" w:rsidRDefault="00F525B2" w:rsidP="009B329F">
            <w:pPr>
              <w:pStyle w:val="TAL"/>
              <w:rPr>
                <w:rFonts w:cs="Arial"/>
                <w:szCs w:val="18"/>
              </w:rPr>
            </w:pPr>
            <w:bookmarkStart w:id="5643" w:name="_Hlk134699191"/>
            <w:r>
              <w:rPr>
                <w:lang w:eastAsia="zh-CN"/>
              </w:rPr>
              <w:t>E2eDataVolTransTime</w:t>
            </w:r>
            <w:bookmarkEnd w:id="5643"/>
          </w:p>
        </w:tc>
      </w:tr>
      <w:tr w:rsidR="00F525B2" w14:paraId="34732E10" w14:textId="77777777" w:rsidTr="009B329F">
        <w:trPr>
          <w:jc w:val="center"/>
        </w:trPr>
        <w:tc>
          <w:tcPr>
            <w:tcW w:w="1603" w:type="dxa"/>
            <w:gridSpan w:val="2"/>
          </w:tcPr>
          <w:p w14:paraId="5F5A2CD4" w14:textId="77777777" w:rsidR="00F525B2" w:rsidRDefault="00F525B2" w:rsidP="009B329F">
            <w:pPr>
              <w:pStyle w:val="TAL"/>
            </w:pPr>
            <w:r>
              <w:t>qosFlowRetThds</w:t>
            </w:r>
          </w:p>
        </w:tc>
        <w:tc>
          <w:tcPr>
            <w:tcW w:w="2001" w:type="dxa"/>
            <w:gridSpan w:val="2"/>
          </w:tcPr>
          <w:p w14:paraId="2176A69F" w14:textId="77777777" w:rsidR="00F525B2" w:rsidRDefault="00F525B2" w:rsidP="009B329F">
            <w:pPr>
              <w:pStyle w:val="TAL"/>
            </w:pPr>
            <w:r>
              <w:t>array(RetainabilityThreshold)</w:t>
            </w:r>
          </w:p>
        </w:tc>
        <w:tc>
          <w:tcPr>
            <w:tcW w:w="286" w:type="dxa"/>
            <w:gridSpan w:val="2"/>
          </w:tcPr>
          <w:p w14:paraId="5FE2E0ED" w14:textId="77777777" w:rsidR="00F525B2" w:rsidRDefault="00F525B2" w:rsidP="009B329F">
            <w:pPr>
              <w:pStyle w:val="TAC"/>
            </w:pPr>
            <w:r>
              <w:t>C</w:t>
            </w:r>
          </w:p>
        </w:tc>
        <w:tc>
          <w:tcPr>
            <w:tcW w:w="1063" w:type="dxa"/>
            <w:gridSpan w:val="2"/>
          </w:tcPr>
          <w:p w14:paraId="1DDBC2A9" w14:textId="77777777" w:rsidR="00F525B2" w:rsidRDefault="00F525B2" w:rsidP="009B329F">
            <w:pPr>
              <w:pStyle w:val="TAL"/>
            </w:pPr>
            <w:r>
              <w:rPr>
                <w:rFonts w:hint="eastAsia"/>
                <w:lang w:eastAsia="zh-CN"/>
              </w:rPr>
              <w:t>1..N</w:t>
            </w:r>
          </w:p>
        </w:tc>
        <w:tc>
          <w:tcPr>
            <w:tcW w:w="2723" w:type="dxa"/>
            <w:gridSpan w:val="2"/>
          </w:tcPr>
          <w:p w14:paraId="12C789B7" w14:textId="77777777" w:rsidR="00F525B2" w:rsidRDefault="00F525B2" w:rsidP="009B329F">
            <w:pPr>
              <w:pStyle w:val="TAL"/>
            </w:pPr>
            <w:r>
              <w:rPr>
                <w:rFonts w:eastAsia="Batang"/>
              </w:rPr>
              <w:t>Represents the QoS flow retainability thresholds. Shall be supplied for the 5QI ("5qi" in "qosRequ") or resource type ("resType" in "qosRequ") of GBR resource type. (NOTE 4)</w:t>
            </w:r>
          </w:p>
        </w:tc>
        <w:tc>
          <w:tcPr>
            <w:tcW w:w="1504" w:type="dxa"/>
            <w:gridSpan w:val="3"/>
          </w:tcPr>
          <w:p w14:paraId="0BFAED6D" w14:textId="77777777" w:rsidR="00F525B2" w:rsidRDefault="00F525B2" w:rsidP="009B329F">
            <w:pPr>
              <w:pStyle w:val="TAL"/>
              <w:rPr>
                <w:rFonts w:cs="Arial"/>
                <w:szCs w:val="18"/>
              </w:rPr>
            </w:pPr>
            <w:r>
              <w:rPr>
                <w:rFonts w:cs="Arial"/>
                <w:szCs w:val="18"/>
              </w:rPr>
              <w:t>QoSSustainability</w:t>
            </w:r>
          </w:p>
        </w:tc>
      </w:tr>
      <w:tr w:rsidR="00F525B2" w14:paraId="4B6AADCF" w14:textId="77777777" w:rsidTr="009B329F">
        <w:trPr>
          <w:jc w:val="center"/>
        </w:trPr>
        <w:tc>
          <w:tcPr>
            <w:tcW w:w="1603" w:type="dxa"/>
            <w:gridSpan w:val="2"/>
          </w:tcPr>
          <w:p w14:paraId="41BAEFE2" w14:textId="77777777" w:rsidR="00F525B2" w:rsidRDefault="00F525B2" w:rsidP="009B329F">
            <w:pPr>
              <w:pStyle w:val="TAL"/>
            </w:pPr>
            <w:r>
              <w:t>ranUeThrouThds</w:t>
            </w:r>
          </w:p>
        </w:tc>
        <w:tc>
          <w:tcPr>
            <w:tcW w:w="2001" w:type="dxa"/>
            <w:gridSpan w:val="2"/>
          </w:tcPr>
          <w:p w14:paraId="3B91834C" w14:textId="77777777" w:rsidR="00F525B2" w:rsidRDefault="00F525B2" w:rsidP="009B329F">
            <w:pPr>
              <w:pStyle w:val="TAL"/>
            </w:pPr>
            <w:r>
              <w:t>array(BitRate)</w:t>
            </w:r>
          </w:p>
        </w:tc>
        <w:tc>
          <w:tcPr>
            <w:tcW w:w="286" w:type="dxa"/>
            <w:gridSpan w:val="2"/>
          </w:tcPr>
          <w:p w14:paraId="5866DE6A" w14:textId="77777777" w:rsidR="00F525B2" w:rsidRDefault="00F525B2" w:rsidP="009B329F">
            <w:pPr>
              <w:pStyle w:val="TAC"/>
            </w:pPr>
            <w:r>
              <w:t>C</w:t>
            </w:r>
          </w:p>
        </w:tc>
        <w:tc>
          <w:tcPr>
            <w:tcW w:w="1063" w:type="dxa"/>
            <w:gridSpan w:val="2"/>
          </w:tcPr>
          <w:p w14:paraId="7D6F603F" w14:textId="77777777" w:rsidR="00F525B2" w:rsidRDefault="00F525B2" w:rsidP="009B329F">
            <w:pPr>
              <w:pStyle w:val="TAL"/>
            </w:pPr>
            <w:r>
              <w:rPr>
                <w:rFonts w:hint="eastAsia"/>
                <w:lang w:eastAsia="zh-CN"/>
              </w:rPr>
              <w:t>1..N</w:t>
            </w:r>
          </w:p>
        </w:tc>
        <w:tc>
          <w:tcPr>
            <w:tcW w:w="2723" w:type="dxa"/>
            <w:gridSpan w:val="2"/>
          </w:tcPr>
          <w:p w14:paraId="34CC45A0" w14:textId="77777777" w:rsidR="00F525B2" w:rsidRDefault="00F525B2" w:rsidP="009B329F">
            <w:pPr>
              <w:pStyle w:val="TAL"/>
              <w:rPr>
                <w:rFonts w:eastAsia="Batang"/>
              </w:rPr>
            </w:pPr>
            <w:r>
              <w:rPr>
                <w:rFonts w:eastAsia="Batang"/>
              </w:rPr>
              <w:t>Represents the RAN UE throughput thresholds.</w:t>
            </w:r>
          </w:p>
          <w:p w14:paraId="1B97E4F7" w14:textId="77777777" w:rsidR="00F525B2" w:rsidRDefault="00F525B2" w:rsidP="009B329F">
            <w:pPr>
              <w:pStyle w:val="TAL"/>
            </w:pPr>
            <w:r>
              <w:rPr>
                <w:rFonts w:eastAsia="Batang"/>
              </w:rPr>
              <w:t>Shall be supplied for the 5QI ("5qi" in "qosRequ") or resource type ("resType" in "qosRequ") of non-GBR resource type. (NOTE 4)</w:t>
            </w:r>
          </w:p>
        </w:tc>
        <w:tc>
          <w:tcPr>
            <w:tcW w:w="1504" w:type="dxa"/>
            <w:gridSpan w:val="3"/>
          </w:tcPr>
          <w:p w14:paraId="2D37A967" w14:textId="77777777" w:rsidR="00F525B2" w:rsidRDefault="00F525B2" w:rsidP="009B329F">
            <w:pPr>
              <w:pStyle w:val="TAL"/>
              <w:rPr>
                <w:rFonts w:cs="Arial"/>
                <w:szCs w:val="18"/>
              </w:rPr>
            </w:pPr>
            <w:r>
              <w:rPr>
                <w:rFonts w:cs="Arial"/>
                <w:szCs w:val="18"/>
              </w:rPr>
              <w:t>QoSSustainability</w:t>
            </w:r>
          </w:p>
        </w:tc>
      </w:tr>
      <w:tr w:rsidR="00F525B2" w14:paraId="6618C947" w14:textId="77777777" w:rsidTr="009B329F">
        <w:trPr>
          <w:jc w:val="center"/>
        </w:trPr>
        <w:tc>
          <w:tcPr>
            <w:tcW w:w="1603" w:type="dxa"/>
            <w:gridSpan w:val="2"/>
          </w:tcPr>
          <w:p w14:paraId="569AAC6C" w14:textId="77777777" w:rsidR="00F525B2" w:rsidRDefault="00F525B2" w:rsidP="009B329F">
            <w:pPr>
              <w:pStyle w:val="TAL"/>
            </w:pPr>
            <w:r>
              <w:t>repetitionPeriod</w:t>
            </w:r>
          </w:p>
        </w:tc>
        <w:tc>
          <w:tcPr>
            <w:tcW w:w="2001" w:type="dxa"/>
            <w:gridSpan w:val="2"/>
          </w:tcPr>
          <w:p w14:paraId="06D59D5B" w14:textId="77777777" w:rsidR="00F525B2" w:rsidRDefault="00F525B2" w:rsidP="009B329F">
            <w:pPr>
              <w:pStyle w:val="TAL"/>
            </w:pPr>
            <w:r>
              <w:t>DurationSec</w:t>
            </w:r>
          </w:p>
        </w:tc>
        <w:tc>
          <w:tcPr>
            <w:tcW w:w="286" w:type="dxa"/>
            <w:gridSpan w:val="2"/>
          </w:tcPr>
          <w:p w14:paraId="4C0251AC" w14:textId="77777777" w:rsidR="00F525B2" w:rsidRDefault="00F525B2" w:rsidP="009B329F">
            <w:pPr>
              <w:pStyle w:val="TAC"/>
            </w:pPr>
            <w:r>
              <w:t>C</w:t>
            </w:r>
          </w:p>
        </w:tc>
        <w:tc>
          <w:tcPr>
            <w:tcW w:w="1063" w:type="dxa"/>
            <w:gridSpan w:val="2"/>
          </w:tcPr>
          <w:p w14:paraId="1004145F" w14:textId="77777777" w:rsidR="00F525B2" w:rsidRDefault="00F525B2" w:rsidP="009B329F">
            <w:pPr>
              <w:pStyle w:val="TAL"/>
            </w:pPr>
            <w:r>
              <w:t>0..1</w:t>
            </w:r>
          </w:p>
        </w:tc>
        <w:tc>
          <w:tcPr>
            <w:tcW w:w="2723" w:type="dxa"/>
            <w:gridSpan w:val="2"/>
          </w:tcPr>
          <w:p w14:paraId="078E2EAC" w14:textId="77777777" w:rsidR="00F525B2" w:rsidRDefault="00F525B2" w:rsidP="009B329F">
            <w:pPr>
              <w:pStyle w:val="TAL"/>
            </w:pPr>
            <w:r>
              <w:t>Shall be supplied for notification method "PERIODIC" by the "notificationMethod" attribute.</w:t>
            </w:r>
          </w:p>
        </w:tc>
        <w:tc>
          <w:tcPr>
            <w:tcW w:w="1504" w:type="dxa"/>
            <w:gridSpan w:val="3"/>
          </w:tcPr>
          <w:p w14:paraId="74A12BC3" w14:textId="77777777" w:rsidR="00F525B2" w:rsidRDefault="00F525B2" w:rsidP="009B329F">
            <w:pPr>
              <w:pStyle w:val="TAL"/>
              <w:rPr>
                <w:rFonts w:cs="Arial"/>
                <w:szCs w:val="18"/>
              </w:rPr>
            </w:pPr>
          </w:p>
        </w:tc>
      </w:tr>
      <w:tr w:rsidR="00F525B2" w14:paraId="604199A2" w14:textId="77777777" w:rsidTr="009B329F">
        <w:trPr>
          <w:jc w:val="center"/>
        </w:trPr>
        <w:tc>
          <w:tcPr>
            <w:tcW w:w="1603" w:type="dxa"/>
            <w:gridSpan w:val="2"/>
          </w:tcPr>
          <w:p w14:paraId="5FEEA94B" w14:textId="77777777" w:rsidR="00F525B2" w:rsidRDefault="00F525B2" w:rsidP="009B329F">
            <w:pPr>
              <w:pStyle w:val="TAL"/>
            </w:pPr>
            <w:r>
              <w:t>snssais</w:t>
            </w:r>
          </w:p>
        </w:tc>
        <w:tc>
          <w:tcPr>
            <w:tcW w:w="2001" w:type="dxa"/>
            <w:gridSpan w:val="2"/>
          </w:tcPr>
          <w:p w14:paraId="61E18FCA" w14:textId="77777777" w:rsidR="00F525B2" w:rsidRDefault="00F525B2" w:rsidP="009B329F">
            <w:pPr>
              <w:pStyle w:val="TAL"/>
            </w:pPr>
            <w:r>
              <w:t>array(Snssai)</w:t>
            </w:r>
          </w:p>
        </w:tc>
        <w:tc>
          <w:tcPr>
            <w:tcW w:w="286" w:type="dxa"/>
            <w:gridSpan w:val="2"/>
          </w:tcPr>
          <w:p w14:paraId="255627A7" w14:textId="77777777" w:rsidR="00F525B2" w:rsidRDefault="00F525B2" w:rsidP="009B329F">
            <w:pPr>
              <w:pStyle w:val="TAC"/>
            </w:pPr>
            <w:r>
              <w:t>C</w:t>
            </w:r>
          </w:p>
        </w:tc>
        <w:tc>
          <w:tcPr>
            <w:tcW w:w="1063" w:type="dxa"/>
            <w:gridSpan w:val="2"/>
          </w:tcPr>
          <w:p w14:paraId="753C0164" w14:textId="77777777" w:rsidR="00F525B2" w:rsidRDefault="00F525B2" w:rsidP="009B329F">
            <w:pPr>
              <w:pStyle w:val="TAL"/>
            </w:pPr>
            <w:r>
              <w:t>1..N</w:t>
            </w:r>
          </w:p>
        </w:tc>
        <w:tc>
          <w:tcPr>
            <w:tcW w:w="2723" w:type="dxa"/>
            <w:gridSpan w:val="2"/>
          </w:tcPr>
          <w:p w14:paraId="1A0E3D5C" w14:textId="77777777" w:rsidR="00F525B2" w:rsidRDefault="00F525B2" w:rsidP="009B329F">
            <w:pPr>
              <w:pStyle w:val="TAL"/>
            </w:pPr>
            <w:r>
              <w:t>Identification(s) of network slice(s) to which the subscription applies. (NOTE 1, NOTE 8) (NOTE 17)</w:t>
            </w:r>
          </w:p>
        </w:tc>
        <w:tc>
          <w:tcPr>
            <w:tcW w:w="1504" w:type="dxa"/>
            <w:gridSpan w:val="3"/>
          </w:tcPr>
          <w:p w14:paraId="2F54B8C8" w14:textId="77777777" w:rsidR="00F525B2" w:rsidRDefault="00F525B2" w:rsidP="009B329F">
            <w:pPr>
              <w:pStyle w:val="TAL"/>
              <w:rPr>
                <w:rFonts w:cs="Arial"/>
                <w:szCs w:val="18"/>
              </w:rPr>
            </w:pPr>
          </w:p>
        </w:tc>
      </w:tr>
      <w:tr w:rsidR="00F525B2" w14:paraId="1CB32DC9" w14:textId="77777777" w:rsidTr="009B329F">
        <w:trPr>
          <w:jc w:val="center"/>
        </w:trPr>
        <w:tc>
          <w:tcPr>
            <w:tcW w:w="1603" w:type="dxa"/>
            <w:gridSpan w:val="2"/>
          </w:tcPr>
          <w:p w14:paraId="4FAFD8E8" w14:textId="77777777" w:rsidR="00F525B2" w:rsidRDefault="00F525B2" w:rsidP="009B329F">
            <w:pPr>
              <w:pStyle w:val="TAL"/>
            </w:pPr>
            <w:r>
              <w:t>tgtUe</w:t>
            </w:r>
          </w:p>
        </w:tc>
        <w:tc>
          <w:tcPr>
            <w:tcW w:w="2001" w:type="dxa"/>
            <w:gridSpan w:val="2"/>
          </w:tcPr>
          <w:p w14:paraId="28211C31" w14:textId="77777777" w:rsidR="00F525B2" w:rsidRDefault="00F525B2" w:rsidP="009B329F">
            <w:pPr>
              <w:pStyle w:val="TAL"/>
            </w:pPr>
            <w:r>
              <w:t>TargetUeInformation</w:t>
            </w:r>
          </w:p>
        </w:tc>
        <w:tc>
          <w:tcPr>
            <w:tcW w:w="286" w:type="dxa"/>
            <w:gridSpan w:val="2"/>
          </w:tcPr>
          <w:p w14:paraId="19434A76" w14:textId="77777777" w:rsidR="00F525B2" w:rsidRDefault="00F525B2" w:rsidP="009B329F">
            <w:pPr>
              <w:pStyle w:val="TAC"/>
            </w:pPr>
            <w:r>
              <w:rPr>
                <w:rFonts w:cs="Arial"/>
                <w:szCs w:val="18"/>
                <w:lang w:eastAsia="zh-CN"/>
              </w:rPr>
              <w:t>O</w:t>
            </w:r>
          </w:p>
        </w:tc>
        <w:tc>
          <w:tcPr>
            <w:tcW w:w="1063" w:type="dxa"/>
            <w:gridSpan w:val="2"/>
          </w:tcPr>
          <w:p w14:paraId="458C4F5B" w14:textId="77777777" w:rsidR="00F525B2" w:rsidRDefault="00F525B2" w:rsidP="009B329F">
            <w:pPr>
              <w:pStyle w:val="TAL"/>
            </w:pPr>
            <w:r>
              <w:rPr>
                <w:rFonts w:cs="Arial"/>
                <w:szCs w:val="18"/>
                <w:lang w:eastAsia="zh-CN"/>
              </w:rPr>
              <w:t>0..1</w:t>
            </w:r>
          </w:p>
        </w:tc>
        <w:tc>
          <w:tcPr>
            <w:tcW w:w="2723" w:type="dxa"/>
            <w:gridSpan w:val="2"/>
          </w:tcPr>
          <w:p w14:paraId="32CD42A1" w14:textId="77777777" w:rsidR="00F525B2" w:rsidRDefault="00F525B2" w:rsidP="009B329F">
            <w:pPr>
              <w:pStyle w:val="TAL"/>
              <w:rPr>
                <w:rFonts w:cs="Arial"/>
                <w:szCs w:val="18"/>
              </w:rPr>
            </w:pPr>
            <w:r>
              <w:rPr>
                <w:rFonts w:cs="Arial"/>
                <w:szCs w:val="18"/>
              </w:rPr>
              <w:t>Identifies target UE information.</w:t>
            </w:r>
          </w:p>
          <w:p w14:paraId="0781FBE6" w14:textId="77777777" w:rsidR="00F525B2" w:rsidRDefault="00F525B2" w:rsidP="009B329F">
            <w:pPr>
              <w:pStyle w:val="TAL"/>
              <w:rPr>
                <w:rFonts w:cs="Arial"/>
                <w:szCs w:val="18"/>
              </w:rPr>
            </w:pPr>
            <w:r>
              <w:rPr>
                <w:rFonts w:eastAsia="Batang"/>
              </w:rPr>
              <w:t>(NOTE 3)</w:t>
            </w:r>
          </w:p>
        </w:tc>
        <w:tc>
          <w:tcPr>
            <w:tcW w:w="1504" w:type="dxa"/>
            <w:gridSpan w:val="3"/>
          </w:tcPr>
          <w:p w14:paraId="20A95F21" w14:textId="77777777" w:rsidR="00F525B2" w:rsidRDefault="00F525B2" w:rsidP="009B329F">
            <w:pPr>
              <w:pStyle w:val="TAL"/>
              <w:rPr>
                <w:rFonts w:eastAsia="Batang"/>
              </w:rPr>
            </w:pPr>
          </w:p>
        </w:tc>
      </w:tr>
      <w:tr w:rsidR="00F525B2" w14:paraId="19FB0D95" w14:textId="77777777" w:rsidTr="009B329F">
        <w:trPr>
          <w:jc w:val="center"/>
        </w:trPr>
        <w:tc>
          <w:tcPr>
            <w:tcW w:w="1603" w:type="dxa"/>
            <w:gridSpan w:val="2"/>
          </w:tcPr>
          <w:p w14:paraId="20F045B9" w14:textId="77777777" w:rsidR="00F525B2" w:rsidRDefault="00F525B2" w:rsidP="009B329F">
            <w:pPr>
              <w:pStyle w:val="TAL"/>
            </w:pPr>
            <w:r>
              <w:lastRenderedPageBreak/>
              <w:t>roamingInfo</w:t>
            </w:r>
          </w:p>
        </w:tc>
        <w:tc>
          <w:tcPr>
            <w:tcW w:w="2001" w:type="dxa"/>
            <w:gridSpan w:val="2"/>
          </w:tcPr>
          <w:p w14:paraId="3CAF8B8C" w14:textId="77777777" w:rsidR="00F525B2" w:rsidRDefault="00F525B2" w:rsidP="009B329F">
            <w:pPr>
              <w:pStyle w:val="TAL"/>
            </w:pPr>
            <w:r>
              <w:t>RoamingInfo</w:t>
            </w:r>
          </w:p>
        </w:tc>
        <w:tc>
          <w:tcPr>
            <w:tcW w:w="286" w:type="dxa"/>
            <w:gridSpan w:val="2"/>
          </w:tcPr>
          <w:p w14:paraId="35893C52"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6CDBF40C" w14:textId="77777777" w:rsidR="00F525B2" w:rsidRDefault="00F525B2" w:rsidP="009B329F">
            <w:pPr>
              <w:pStyle w:val="TAL"/>
              <w:rPr>
                <w:rFonts w:cs="Arial"/>
                <w:szCs w:val="18"/>
                <w:lang w:eastAsia="zh-CN"/>
              </w:rPr>
            </w:pPr>
            <w:r>
              <w:rPr>
                <w:rFonts w:cs="Arial"/>
                <w:szCs w:val="18"/>
                <w:lang w:eastAsia="zh-CN"/>
              </w:rPr>
              <w:t>0..1</w:t>
            </w:r>
          </w:p>
        </w:tc>
        <w:tc>
          <w:tcPr>
            <w:tcW w:w="2723" w:type="dxa"/>
            <w:gridSpan w:val="2"/>
          </w:tcPr>
          <w:p w14:paraId="4D2E5D88" w14:textId="77777777" w:rsidR="00F525B2" w:rsidRDefault="00F525B2" w:rsidP="009B329F">
            <w:pPr>
              <w:pStyle w:val="TAL"/>
              <w:rPr>
                <w:rFonts w:cs="Arial"/>
                <w:szCs w:val="18"/>
              </w:rPr>
            </w:pPr>
            <w:r>
              <w:rPr>
                <w:rFonts w:cs="Arial"/>
                <w:szCs w:val="18"/>
              </w:rPr>
              <w:t>Information about roaming analytics. When this attribute is provided, the request should contain only attributes that are applicable also in the Nnwdaf_RoamingAnalytics service.</w:t>
            </w:r>
          </w:p>
        </w:tc>
        <w:tc>
          <w:tcPr>
            <w:tcW w:w="1504" w:type="dxa"/>
            <w:gridSpan w:val="3"/>
          </w:tcPr>
          <w:p w14:paraId="06C6F6E9" w14:textId="77777777" w:rsidR="00F525B2" w:rsidRDefault="00F525B2" w:rsidP="009B329F">
            <w:pPr>
              <w:pStyle w:val="TAL"/>
              <w:rPr>
                <w:rFonts w:eastAsia="Batang"/>
              </w:rPr>
            </w:pPr>
            <w:r>
              <w:rPr>
                <w:rFonts w:eastAsia="Batang"/>
              </w:rPr>
              <w:t>RoamingAnalytics</w:t>
            </w:r>
          </w:p>
        </w:tc>
      </w:tr>
      <w:tr w:rsidR="00F525B2" w14:paraId="4718D008" w14:textId="77777777" w:rsidTr="009B329F">
        <w:trPr>
          <w:jc w:val="center"/>
        </w:trPr>
        <w:tc>
          <w:tcPr>
            <w:tcW w:w="1603" w:type="dxa"/>
            <w:gridSpan w:val="2"/>
          </w:tcPr>
          <w:p w14:paraId="4F44C4CD" w14:textId="77777777" w:rsidR="00F525B2" w:rsidRDefault="00F525B2" w:rsidP="009B329F">
            <w:pPr>
              <w:pStyle w:val="TAL"/>
            </w:pPr>
            <w:r>
              <w:t>congThresholds</w:t>
            </w:r>
          </w:p>
        </w:tc>
        <w:tc>
          <w:tcPr>
            <w:tcW w:w="2001" w:type="dxa"/>
            <w:gridSpan w:val="2"/>
          </w:tcPr>
          <w:p w14:paraId="1C3EC4BE" w14:textId="77777777" w:rsidR="00F525B2" w:rsidRDefault="00F525B2" w:rsidP="009B329F">
            <w:pPr>
              <w:pStyle w:val="TAL"/>
            </w:pPr>
            <w:r>
              <w:t>array(ThresholdLevel)</w:t>
            </w:r>
          </w:p>
        </w:tc>
        <w:tc>
          <w:tcPr>
            <w:tcW w:w="286" w:type="dxa"/>
            <w:gridSpan w:val="2"/>
          </w:tcPr>
          <w:p w14:paraId="2F0E5F74"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5570A1FB"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5D0306E7" w14:textId="77777777" w:rsidR="00F525B2" w:rsidRDefault="00F525B2" w:rsidP="009B329F">
            <w:pPr>
              <w:pStyle w:val="TAL"/>
              <w:rPr>
                <w:rFonts w:cs="Arial"/>
                <w:szCs w:val="18"/>
              </w:rPr>
            </w:pPr>
            <w:r>
              <w:rPr>
                <w:rFonts w:cs="Arial"/>
                <w:szCs w:val="18"/>
              </w:rPr>
              <w:t>Represents the congestion threshold levels. (NOTE 4)</w:t>
            </w:r>
          </w:p>
        </w:tc>
        <w:tc>
          <w:tcPr>
            <w:tcW w:w="1504" w:type="dxa"/>
            <w:gridSpan w:val="3"/>
          </w:tcPr>
          <w:p w14:paraId="582CBB43" w14:textId="77777777" w:rsidR="00F525B2" w:rsidRDefault="00F525B2" w:rsidP="009B329F">
            <w:pPr>
              <w:pStyle w:val="TAL"/>
              <w:rPr>
                <w:rFonts w:eastAsia="Batang"/>
              </w:rPr>
            </w:pPr>
            <w:r>
              <w:rPr>
                <w:rFonts w:eastAsia="Batang"/>
              </w:rPr>
              <w:t>UserDataCongestion</w:t>
            </w:r>
          </w:p>
        </w:tc>
      </w:tr>
      <w:tr w:rsidR="00F525B2" w14:paraId="1496B0FF" w14:textId="77777777" w:rsidTr="009B329F">
        <w:trPr>
          <w:jc w:val="center"/>
        </w:trPr>
        <w:tc>
          <w:tcPr>
            <w:tcW w:w="1603" w:type="dxa"/>
            <w:gridSpan w:val="2"/>
          </w:tcPr>
          <w:p w14:paraId="1DF1A2D1" w14:textId="77777777" w:rsidR="00F525B2" w:rsidRDefault="00F525B2" w:rsidP="009B329F">
            <w:pPr>
              <w:pStyle w:val="TAL"/>
            </w:pPr>
            <w:r>
              <w:t>nwPerfRequs</w:t>
            </w:r>
          </w:p>
        </w:tc>
        <w:tc>
          <w:tcPr>
            <w:tcW w:w="2001" w:type="dxa"/>
            <w:gridSpan w:val="2"/>
          </w:tcPr>
          <w:p w14:paraId="59FFF295" w14:textId="77777777" w:rsidR="00F525B2" w:rsidRDefault="00F525B2" w:rsidP="009B329F">
            <w:pPr>
              <w:pStyle w:val="TAL"/>
            </w:pPr>
            <w:r>
              <w:t>array(NetworkPerfRequirement)</w:t>
            </w:r>
          </w:p>
        </w:tc>
        <w:tc>
          <w:tcPr>
            <w:tcW w:w="286" w:type="dxa"/>
            <w:gridSpan w:val="2"/>
          </w:tcPr>
          <w:p w14:paraId="4B0A22FB"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5EECE3C1" w14:textId="77777777" w:rsidR="00F525B2" w:rsidRDefault="00F525B2" w:rsidP="009B329F">
            <w:pPr>
              <w:pStyle w:val="TAL"/>
              <w:rPr>
                <w:rFonts w:cs="Arial"/>
                <w:szCs w:val="18"/>
                <w:lang w:eastAsia="zh-CN"/>
              </w:rPr>
            </w:pPr>
            <w:r>
              <w:t>1..N</w:t>
            </w:r>
          </w:p>
        </w:tc>
        <w:tc>
          <w:tcPr>
            <w:tcW w:w="2723" w:type="dxa"/>
            <w:gridSpan w:val="2"/>
          </w:tcPr>
          <w:p w14:paraId="40EA4485" w14:textId="77777777" w:rsidR="00F525B2" w:rsidRDefault="00F525B2" w:rsidP="009B329F">
            <w:pPr>
              <w:pStyle w:val="TAL"/>
            </w:pPr>
            <w:r>
              <w:t>Represents the network performance requirements. This attribute shall be included when subscribed event is "NETWORK_PERFORMANCE".</w:t>
            </w:r>
          </w:p>
          <w:p w14:paraId="7653813F" w14:textId="77777777" w:rsidR="00F525B2" w:rsidRDefault="00F525B2" w:rsidP="009B329F">
            <w:pPr>
              <w:pStyle w:val="TAL"/>
              <w:rPr>
                <w:rFonts w:cs="Arial"/>
                <w:szCs w:val="18"/>
              </w:rPr>
            </w:pPr>
          </w:p>
        </w:tc>
        <w:tc>
          <w:tcPr>
            <w:tcW w:w="1504" w:type="dxa"/>
            <w:gridSpan w:val="3"/>
          </w:tcPr>
          <w:p w14:paraId="7C925368" w14:textId="77777777" w:rsidR="00F525B2" w:rsidRDefault="00F525B2" w:rsidP="009B329F">
            <w:pPr>
              <w:pStyle w:val="TAL"/>
              <w:rPr>
                <w:rFonts w:eastAsia="Batang"/>
              </w:rPr>
            </w:pPr>
            <w:r>
              <w:rPr>
                <w:rFonts w:cs="Arial"/>
                <w:szCs w:val="18"/>
              </w:rPr>
              <w:t>NetworkPerformance</w:t>
            </w:r>
          </w:p>
        </w:tc>
      </w:tr>
      <w:tr w:rsidR="00F525B2" w14:paraId="704D7265" w14:textId="77777777" w:rsidTr="009B329F">
        <w:trPr>
          <w:jc w:val="center"/>
        </w:trPr>
        <w:tc>
          <w:tcPr>
            <w:tcW w:w="1603" w:type="dxa"/>
            <w:gridSpan w:val="2"/>
          </w:tcPr>
          <w:p w14:paraId="7410F5FC" w14:textId="77777777" w:rsidR="00F525B2" w:rsidRDefault="00F525B2" w:rsidP="009B329F">
            <w:pPr>
              <w:pStyle w:val="TAL"/>
            </w:pPr>
            <w:r>
              <w:t>bwRequs</w:t>
            </w:r>
          </w:p>
        </w:tc>
        <w:tc>
          <w:tcPr>
            <w:tcW w:w="2001" w:type="dxa"/>
            <w:gridSpan w:val="2"/>
          </w:tcPr>
          <w:p w14:paraId="49B9AC19" w14:textId="77777777" w:rsidR="00F525B2" w:rsidRDefault="00F525B2" w:rsidP="009B329F">
            <w:pPr>
              <w:pStyle w:val="TAL"/>
            </w:pPr>
            <w:r>
              <w:t>array(BwRequirement)</w:t>
            </w:r>
          </w:p>
        </w:tc>
        <w:tc>
          <w:tcPr>
            <w:tcW w:w="286" w:type="dxa"/>
            <w:gridSpan w:val="2"/>
          </w:tcPr>
          <w:p w14:paraId="730C161E" w14:textId="77777777" w:rsidR="00F525B2" w:rsidRDefault="00F525B2" w:rsidP="009B329F">
            <w:pPr>
              <w:pStyle w:val="TAC"/>
              <w:rPr>
                <w:rFonts w:cs="Arial"/>
                <w:szCs w:val="18"/>
                <w:lang w:eastAsia="zh-CN"/>
              </w:rPr>
            </w:pPr>
            <w:r>
              <w:t>O</w:t>
            </w:r>
          </w:p>
        </w:tc>
        <w:tc>
          <w:tcPr>
            <w:tcW w:w="1063" w:type="dxa"/>
            <w:gridSpan w:val="2"/>
          </w:tcPr>
          <w:p w14:paraId="31B97157" w14:textId="77777777" w:rsidR="00F525B2" w:rsidRDefault="00F525B2" w:rsidP="009B329F">
            <w:pPr>
              <w:pStyle w:val="TAL"/>
            </w:pPr>
            <w:r>
              <w:t>1..N</w:t>
            </w:r>
          </w:p>
        </w:tc>
        <w:tc>
          <w:tcPr>
            <w:tcW w:w="2723" w:type="dxa"/>
            <w:gridSpan w:val="2"/>
          </w:tcPr>
          <w:p w14:paraId="323DD493" w14:textId="77777777" w:rsidR="00F525B2" w:rsidRDefault="00F525B2" w:rsidP="009B329F">
            <w:pPr>
              <w:pStyle w:val="TAL"/>
            </w:pPr>
            <w:r>
              <w:t>Represents the bandwidth requirement for each application.</w:t>
            </w:r>
          </w:p>
          <w:p w14:paraId="0910C733" w14:textId="77777777" w:rsidR="00F525B2" w:rsidRDefault="00F525B2" w:rsidP="009B329F">
            <w:pPr>
              <w:pStyle w:val="TAL"/>
            </w:pPr>
            <w:r>
              <w:t>It may only be present if "appIds" attribute is provided.</w:t>
            </w:r>
          </w:p>
        </w:tc>
        <w:tc>
          <w:tcPr>
            <w:tcW w:w="1504" w:type="dxa"/>
            <w:gridSpan w:val="3"/>
          </w:tcPr>
          <w:p w14:paraId="63B6A10E" w14:textId="77777777" w:rsidR="00F525B2" w:rsidRDefault="00F525B2" w:rsidP="009B329F">
            <w:pPr>
              <w:pStyle w:val="TAL"/>
              <w:rPr>
                <w:rFonts w:cs="Arial"/>
                <w:szCs w:val="18"/>
              </w:rPr>
            </w:pPr>
            <w:r>
              <w:t>ServiceExperience</w:t>
            </w:r>
          </w:p>
        </w:tc>
      </w:tr>
      <w:tr w:rsidR="00F525B2" w14:paraId="20A1801C" w14:textId="77777777" w:rsidTr="009B329F">
        <w:trPr>
          <w:jc w:val="center"/>
        </w:trPr>
        <w:tc>
          <w:tcPr>
            <w:tcW w:w="1603" w:type="dxa"/>
            <w:gridSpan w:val="2"/>
          </w:tcPr>
          <w:p w14:paraId="662A8480" w14:textId="77777777" w:rsidR="00F525B2" w:rsidRDefault="00F525B2" w:rsidP="009B329F">
            <w:pPr>
              <w:pStyle w:val="TAL"/>
            </w:pPr>
            <w:r>
              <w:t>excepRequs</w:t>
            </w:r>
          </w:p>
        </w:tc>
        <w:tc>
          <w:tcPr>
            <w:tcW w:w="2001" w:type="dxa"/>
            <w:gridSpan w:val="2"/>
          </w:tcPr>
          <w:p w14:paraId="082A0D6D" w14:textId="77777777" w:rsidR="00F525B2" w:rsidRDefault="00F525B2" w:rsidP="009B329F">
            <w:pPr>
              <w:pStyle w:val="TAL"/>
            </w:pPr>
            <w:r>
              <w:t>array(Exception)</w:t>
            </w:r>
          </w:p>
        </w:tc>
        <w:tc>
          <w:tcPr>
            <w:tcW w:w="286" w:type="dxa"/>
            <w:gridSpan w:val="2"/>
          </w:tcPr>
          <w:p w14:paraId="5051C9CA" w14:textId="77777777" w:rsidR="00F525B2" w:rsidRDefault="00F525B2" w:rsidP="009B329F">
            <w:pPr>
              <w:pStyle w:val="TAC"/>
            </w:pPr>
            <w:r>
              <w:rPr>
                <w:rFonts w:cs="Arial"/>
                <w:szCs w:val="18"/>
                <w:lang w:eastAsia="zh-CN"/>
              </w:rPr>
              <w:t>C</w:t>
            </w:r>
          </w:p>
        </w:tc>
        <w:tc>
          <w:tcPr>
            <w:tcW w:w="1063" w:type="dxa"/>
            <w:gridSpan w:val="2"/>
          </w:tcPr>
          <w:p w14:paraId="6CB73740" w14:textId="77777777" w:rsidR="00F525B2" w:rsidRDefault="00F525B2" w:rsidP="009B329F">
            <w:pPr>
              <w:pStyle w:val="TAL"/>
            </w:pPr>
            <w:r>
              <w:rPr>
                <w:rFonts w:cs="Arial"/>
                <w:szCs w:val="18"/>
                <w:lang w:eastAsia="zh-CN"/>
              </w:rPr>
              <w:t>1..N</w:t>
            </w:r>
          </w:p>
        </w:tc>
        <w:tc>
          <w:tcPr>
            <w:tcW w:w="2723" w:type="dxa"/>
            <w:gridSpan w:val="2"/>
          </w:tcPr>
          <w:p w14:paraId="4BCF8F88" w14:textId="77777777" w:rsidR="00F525B2" w:rsidRDefault="00F525B2" w:rsidP="009B329F">
            <w:pPr>
              <w:pStyle w:val="TAL"/>
              <w:rPr>
                <w:rFonts w:cs="Arial"/>
                <w:szCs w:val="18"/>
              </w:rPr>
            </w:pPr>
            <w:r>
              <w:rPr>
                <w:rFonts w:cs="Arial"/>
                <w:szCs w:val="18"/>
              </w:rPr>
              <w:t>Represents a list of Exception Ids with associated thresholds.</w:t>
            </w:r>
            <w:r>
              <w:t xml:space="preserve"> </w:t>
            </w:r>
            <w:r>
              <w:rPr>
                <w:rFonts w:cs="Arial"/>
                <w:szCs w:val="18"/>
              </w:rPr>
              <w:t>May only be present when subscribed event is "ABNORMAL_BEHAVIOUR".</w:t>
            </w:r>
          </w:p>
          <w:p w14:paraId="74C222DA" w14:textId="77777777" w:rsidR="00F525B2" w:rsidRDefault="00F525B2" w:rsidP="009B329F">
            <w:pPr>
              <w:pStyle w:val="TAL"/>
            </w:pPr>
            <w:r>
              <w:rPr>
                <w:rFonts w:cs="Arial"/>
                <w:szCs w:val="18"/>
              </w:rPr>
              <w:t>(NOTE 5, NOTE 6, NOTE 8)</w:t>
            </w:r>
          </w:p>
        </w:tc>
        <w:tc>
          <w:tcPr>
            <w:tcW w:w="1504" w:type="dxa"/>
            <w:gridSpan w:val="3"/>
          </w:tcPr>
          <w:p w14:paraId="56C00C37" w14:textId="77777777" w:rsidR="00F525B2" w:rsidRDefault="00F525B2" w:rsidP="009B329F">
            <w:pPr>
              <w:pStyle w:val="TAL"/>
            </w:pPr>
            <w:r>
              <w:rPr>
                <w:rFonts w:cs="Arial"/>
                <w:szCs w:val="18"/>
              </w:rPr>
              <w:t>AbnormalBehaviour</w:t>
            </w:r>
          </w:p>
        </w:tc>
      </w:tr>
      <w:tr w:rsidR="00F525B2" w14:paraId="433F04FD" w14:textId="77777777" w:rsidTr="009B329F">
        <w:trPr>
          <w:gridAfter w:val="1"/>
          <w:wAfter w:w="41" w:type="dxa"/>
          <w:jc w:val="center"/>
        </w:trPr>
        <w:tc>
          <w:tcPr>
            <w:tcW w:w="1603" w:type="dxa"/>
            <w:gridSpan w:val="2"/>
          </w:tcPr>
          <w:p w14:paraId="6EBC7BC0" w14:textId="77777777" w:rsidR="00F525B2" w:rsidRDefault="00F525B2" w:rsidP="009B329F">
            <w:pPr>
              <w:pStyle w:val="TAL"/>
            </w:pPr>
            <w:r>
              <w:t>exptAnaType</w:t>
            </w:r>
          </w:p>
        </w:tc>
        <w:tc>
          <w:tcPr>
            <w:tcW w:w="2001" w:type="dxa"/>
            <w:gridSpan w:val="2"/>
          </w:tcPr>
          <w:p w14:paraId="4FE45CD3" w14:textId="77777777" w:rsidR="00F525B2" w:rsidRDefault="00F525B2" w:rsidP="009B329F">
            <w:pPr>
              <w:pStyle w:val="TAL"/>
            </w:pPr>
            <w:r>
              <w:t>ExpectedAnalyticsType</w:t>
            </w:r>
          </w:p>
        </w:tc>
        <w:tc>
          <w:tcPr>
            <w:tcW w:w="286" w:type="dxa"/>
            <w:gridSpan w:val="2"/>
          </w:tcPr>
          <w:p w14:paraId="06C9F009" w14:textId="77777777" w:rsidR="00F525B2" w:rsidRDefault="00F525B2" w:rsidP="009B329F">
            <w:pPr>
              <w:pStyle w:val="TAC"/>
            </w:pPr>
            <w:r>
              <w:rPr>
                <w:rFonts w:cs="Arial"/>
                <w:szCs w:val="18"/>
                <w:lang w:eastAsia="zh-CN"/>
              </w:rPr>
              <w:t>C</w:t>
            </w:r>
          </w:p>
        </w:tc>
        <w:tc>
          <w:tcPr>
            <w:tcW w:w="1063" w:type="dxa"/>
            <w:gridSpan w:val="2"/>
          </w:tcPr>
          <w:p w14:paraId="0C0A3388" w14:textId="77777777" w:rsidR="00F525B2" w:rsidRDefault="00F525B2" w:rsidP="009B329F">
            <w:pPr>
              <w:pStyle w:val="TAL"/>
            </w:pPr>
            <w:r>
              <w:rPr>
                <w:rFonts w:cs="Arial"/>
                <w:szCs w:val="18"/>
                <w:lang w:eastAsia="zh-CN"/>
              </w:rPr>
              <w:t>0..1</w:t>
            </w:r>
          </w:p>
        </w:tc>
        <w:tc>
          <w:tcPr>
            <w:tcW w:w="2723" w:type="dxa"/>
            <w:gridSpan w:val="2"/>
          </w:tcPr>
          <w:p w14:paraId="7E67ACF6" w14:textId="77777777" w:rsidR="00F525B2" w:rsidRDefault="00F525B2" w:rsidP="009B329F">
            <w:pPr>
              <w:pStyle w:val="TAL"/>
              <w:rPr>
                <w:rFonts w:cs="Arial"/>
                <w:szCs w:val="18"/>
              </w:rPr>
            </w:pPr>
            <w:r>
              <w:rPr>
                <w:rFonts w:cs="Arial"/>
                <w:szCs w:val="18"/>
              </w:rPr>
              <w:t>Represents expected UE analytics type.</w:t>
            </w:r>
          </w:p>
          <w:p w14:paraId="6A636149" w14:textId="77777777" w:rsidR="00F525B2" w:rsidRDefault="00F525B2" w:rsidP="009B329F">
            <w:pPr>
              <w:pStyle w:val="TAL"/>
            </w:pPr>
            <w:r>
              <w:rPr>
                <w:rFonts w:cs="Arial"/>
                <w:szCs w:val="18"/>
              </w:rPr>
              <w:t xml:space="preserve">It shall not be present if the </w:t>
            </w:r>
            <w:r>
              <w:t>"excepRequs" attribute is provided. (NOTE 6, NOTE</w:t>
            </w:r>
            <w:r>
              <w:rPr>
                <w:rFonts w:cs="Arial"/>
                <w:szCs w:val="18"/>
              </w:rPr>
              <w:t> </w:t>
            </w:r>
            <w:r>
              <w:t>8)</w:t>
            </w:r>
          </w:p>
        </w:tc>
        <w:tc>
          <w:tcPr>
            <w:tcW w:w="1463" w:type="dxa"/>
            <w:gridSpan w:val="2"/>
          </w:tcPr>
          <w:p w14:paraId="01981A8B" w14:textId="77777777" w:rsidR="00F525B2" w:rsidRDefault="00F525B2" w:rsidP="009B329F">
            <w:pPr>
              <w:pStyle w:val="TAL"/>
            </w:pPr>
            <w:r>
              <w:rPr>
                <w:rFonts w:cs="Arial"/>
                <w:szCs w:val="18"/>
              </w:rPr>
              <w:t>AbnormalBehaviour</w:t>
            </w:r>
          </w:p>
        </w:tc>
      </w:tr>
      <w:tr w:rsidR="00F525B2" w14:paraId="7823381A" w14:textId="77777777" w:rsidTr="009B329F">
        <w:trPr>
          <w:jc w:val="center"/>
        </w:trPr>
        <w:tc>
          <w:tcPr>
            <w:tcW w:w="1603" w:type="dxa"/>
            <w:gridSpan w:val="2"/>
          </w:tcPr>
          <w:p w14:paraId="63AF241E" w14:textId="77777777" w:rsidR="00F525B2" w:rsidRDefault="00F525B2" w:rsidP="009B329F">
            <w:pPr>
              <w:pStyle w:val="TAL"/>
            </w:pPr>
            <w:r>
              <w:t>exptUeBehav</w:t>
            </w:r>
          </w:p>
        </w:tc>
        <w:tc>
          <w:tcPr>
            <w:tcW w:w="2001" w:type="dxa"/>
            <w:gridSpan w:val="2"/>
          </w:tcPr>
          <w:p w14:paraId="51097FC5" w14:textId="77777777" w:rsidR="00F525B2" w:rsidRDefault="00F525B2" w:rsidP="009B329F">
            <w:pPr>
              <w:pStyle w:val="TAL"/>
            </w:pPr>
            <w:r>
              <w:t>ExpectedUeBehaviourData</w:t>
            </w:r>
          </w:p>
        </w:tc>
        <w:tc>
          <w:tcPr>
            <w:tcW w:w="286" w:type="dxa"/>
            <w:gridSpan w:val="2"/>
          </w:tcPr>
          <w:p w14:paraId="74777F7B" w14:textId="77777777" w:rsidR="00F525B2" w:rsidRDefault="00F525B2" w:rsidP="009B329F">
            <w:pPr>
              <w:pStyle w:val="TAC"/>
            </w:pPr>
            <w:r>
              <w:rPr>
                <w:rFonts w:cs="Arial"/>
                <w:szCs w:val="18"/>
                <w:lang w:eastAsia="zh-CN"/>
              </w:rPr>
              <w:t>O</w:t>
            </w:r>
          </w:p>
        </w:tc>
        <w:tc>
          <w:tcPr>
            <w:tcW w:w="1063" w:type="dxa"/>
            <w:gridSpan w:val="2"/>
          </w:tcPr>
          <w:p w14:paraId="27628680" w14:textId="77777777" w:rsidR="00F525B2" w:rsidRDefault="00F525B2" w:rsidP="009B329F">
            <w:pPr>
              <w:pStyle w:val="TAL"/>
            </w:pPr>
            <w:r>
              <w:rPr>
                <w:rFonts w:cs="Arial"/>
                <w:szCs w:val="18"/>
                <w:lang w:eastAsia="zh-CN"/>
              </w:rPr>
              <w:t>0..1</w:t>
            </w:r>
          </w:p>
        </w:tc>
        <w:tc>
          <w:tcPr>
            <w:tcW w:w="2723" w:type="dxa"/>
            <w:gridSpan w:val="2"/>
          </w:tcPr>
          <w:p w14:paraId="09CE96DF" w14:textId="77777777" w:rsidR="00F525B2" w:rsidRDefault="00F525B2" w:rsidP="009B329F">
            <w:pPr>
              <w:pStyle w:val="TAL"/>
            </w:pPr>
            <w:r>
              <w:rPr>
                <w:rFonts w:cs="Arial"/>
                <w:szCs w:val="18"/>
              </w:rPr>
              <w:t>Represents expected UE behaviour.</w:t>
            </w:r>
          </w:p>
        </w:tc>
        <w:tc>
          <w:tcPr>
            <w:tcW w:w="1504" w:type="dxa"/>
            <w:gridSpan w:val="3"/>
          </w:tcPr>
          <w:p w14:paraId="557EAF98" w14:textId="77777777" w:rsidR="00F525B2" w:rsidRDefault="00F525B2" w:rsidP="009B329F">
            <w:pPr>
              <w:pStyle w:val="TAL"/>
            </w:pPr>
            <w:r>
              <w:rPr>
                <w:rFonts w:cs="Arial"/>
                <w:szCs w:val="18"/>
              </w:rPr>
              <w:t>AbnormalBehaviour</w:t>
            </w:r>
          </w:p>
        </w:tc>
      </w:tr>
      <w:tr w:rsidR="00F525B2" w14:paraId="38E038A3" w14:textId="77777777" w:rsidTr="009B329F">
        <w:trPr>
          <w:jc w:val="center"/>
        </w:trPr>
        <w:tc>
          <w:tcPr>
            <w:tcW w:w="1603" w:type="dxa"/>
            <w:gridSpan w:val="2"/>
          </w:tcPr>
          <w:p w14:paraId="7A2C2E22" w14:textId="77777777" w:rsidR="00F525B2" w:rsidRDefault="00F525B2" w:rsidP="009B329F">
            <w:pPr>
              <w:pStyle w:val="TAL"/>
              <w:rPr>
                <w:lang w:eastAsia="zh-CN"/>
              </w:rPr>
            </w:pPr>
            <w:r>
              <w:t>ratFreqs</w:t>
            </w:r>
          </w:p>
        </w:tc>
        <w:tc>
          <w:tcPr>
            <w:tcW w:w="2001" w:type="dxa"/>
            <w:gridSpan w:val="2"/>
          </w:tcPr>
          <w:p w14:paraId="0BF2D5C0" w14:textId="77777777" w:rsidR="00F525B2" w:rsidRDefault="00F525B2" w:rsidP="009B329F">
            <w:pPr>
              <w:pStyle w:val="TAL"/>
              <w:rPr>
                <w:lang w:eastAsia="zh-CN"/>
              </w:rPr>
            </w:pPr>
            <w:r>
              <w:t>array(RatFreqInformation)</w:t>
            </w:r>
          </w:p>
        </w:tc>
        <w:tc>
          <w:tcPr>
            <w:tcW w:w="286" w:type="dxa"/>
            <w:gridSpan w:val="2"/>
          </w:tcPr>
          <w:p w14:paraId="7DFEE2EA"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365425BE"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5538B1E1" w14:textId="77777777" w:rsidR="00F525B2" w:rsidRDefault="00F525B2" w:rsidP="009B329F">
            <w:pPr>
              <w:pStyle w:val="TAL"/>
              <w:rPr>
                <w:rFonts w:cs="Arial"/>
                <w:szCs w:val="18"/>
                <w:lang w:eastAsia="zh-CN"/>
              </w:rPr>
            </w:pPr>
            <w:r>
              <w:rPr>
                <w:rFonts w:cs="Arial" w:hint="eastAsia"/>
                <w:szCs w:val="18"/>
                <w:lang w:eastAsia="zh-CN"/>
              </w:rPr>
              <w:t>I</w:t>
            </w:r>
            <w:r>
              <w:rPr>
                <w:rFonts w:cs="Arial"/>
                <w:szCs w:val="18"/>
                <w:lang w:eastAsia="zh-CN"/>
              </w:rPr>
              <w:t>dentification(s) of the RAT type(s) and/or frequency(ies) of UE's serving cell(s) which the subscription applies.</w:t>
            </w:r>
            <w:r>
              <w:t xml:space="preserve"> (NOTE 9)</w:t>
            </w:r>
          </w:p>
        </w:tc>
        <w:tc>
          <w:tcPr>
            <w:tcW w:w="1504" w:type="dxa"/>
            <w:gridSpan w:val="3"/>
          </w:tcPr>
          <w:p w14:paraId="7B0CE5FE" w14:textId="77777777" w:rsidR="00F525B2" w:rsidRDefault="00F525B2" w:rsidP="009B329F">
            <w:pPr>
              <w:pStyle w:val="TAL"/>
            </w:pPr>
            <w:r>
              <w:rPr>
                <w:rFonts w:cs="Arial"/>
                <w:szCs w:val="18"/>
              </w:rPr>
              <w:t>ServiceExperienceExt</w:t>
            </w:r>
          </w:p>
        </w:tc>
      </w:tr>
      <w:tr w:rsidR="00F525B2" w14:paraId="64B18DD8" w14:textId="77777777" w:rsidTr="009B329F">
        <w:trPr>
          <w:jc w:val="center"/>
        </w:trPr>
        <w:tc>
          <w:tcPr>
            <w:tcW w:w="1603" w:type="dxa"/>
            <w:gridSpan w:val="2"/>
          </w:tcPr>
          <w:p w14:paraId="0CE98655" w14:textId="77777777" w:rsidR="00F525B2" w:rsidRDefault="00F525B2" w:rsidP="009B329F">
            <w:pPr>
              <w:pStyle w:val="TAL"/>
              <w:rPr>
                <w:lang w:eastAsia="zh-CN"/>
              </w:rPr>
            </w:pPr>
            <w:r>
              <w:t>listOfAnaSubsets</w:t>
            </w:r>
          </w:p>
        </w:tc>
        <w:tc>
          <w:tcPr>
            <w:tcW w:w="2001" w:type="dxa"/>
            <w:gridSpan w:val="2"/>
          </w:tcPr>
          <w:p w14:paraId="75D3186F" w14:textId="77777777" w:rsidR="00F525B2" w:rsidRDefault="00F525B2" w:rsidP="009B329F">
            <w:pPr>
              <w:pStyle w:val="TAL"/>
              <w:rPr>
                <w:lang w:eastAsia="zh-CN"/>
              </w:rPr>
            </w:pPr>
            <w:r>
              <w:rPr>
                <w:rFonts w:eastAsia="等线"/>
              </w:rPr>
              <w:t>array(</w:t>
            </w:r>
            <w:r>
              <w:rPr>
                <w:lang w:eastAsia="zh-CN"/>
              </w:rPr>
              <w:t>AnalyticsSubset)</w:t>
            </w:r>
          </w:p>
        </w:tc>
        <w:tc>
          <w:tcPr>
            <w:tcW w:w="286" w:type="dxa"/>
            <w:gridSpan w:val="2"/>
          </w:tcPr>
          <w:p w14:paraId="3E5D44F3"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1B2AE40A"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577B0B3A" w14:textId="77777777" w:rsidR="00F525B2" w:rsidRDefault="00F525B2" w:rsidP="009B329F">
            <w:pPr>
              <w:pStyle w:val="TAL"/>
              <w:rPr>
                <w:rFonts w:cs="Arial"/>
                <w:szCs w:val="18"/>
                <w:lang w:eastAsia="zh-CN"/>
              </w:rPr>
            </w:pPr>
            <w:r>
              <w:rPr>
                <w:lang w:val="en-US" w:eastAsia="zh-CN"/>
              </w:rPr>
              <w:t>The list of analytics subsets can be used to indicate the content of the analytics.</w:t>
            </w:r>
          </w:p>
        </w:tc>
        <w:tc>
          <w:tcPr>
            <w:tcW w:w="1504" w:type="dxa"/>
            <w:gridSpan w:val="3"/>
          </w:tcPr>
          <w:p w14:paraId="266AA7BC" w14:textId="77777777" w:rsidR="00F525B2" w:rsidRDefault="00F525B2" w:rsidP="009B329F">
            <w:pPr>
              <w:pStyle w:val="TAL"/>
            </w:pPr>
            <w:r>
              <w:t>EneNA</w:t>
            </w:r>
          </w:p>
        </w:tc>
      </w:tr>
      <w:tr w:rsidR="00F525B2" w14:paraId="04D65B80" w14:textId="77777777" w:rsidTr="009B329F">
        <w:trPr>
          <w:jc w:val="center"/>
        </w:trPr>
        <w:tc>
          <w:tcPr>
            <w:tcW w:w="1603" w:type="dxa"/>
            <w:gridSpan w:val="2"/>
          </w:tcPr>
          <w:p w14:paraId="0A9B7A4E" w14:textId="77777777" w:rsidR="00F525B2" w:rsidRDefault="00F525B2" w:rsidP="009B329F">
            <w:pPr>
              <w:pStyle w:val="TAL"/>
            </w:pPr>
            <w:r>
              <w:t>disperReqs</w:t>
            </w:r>
          </w:p>
        </w:tc>
        <w:tc>
          <w:tcPr>
            <w:tcW w:w="2001" w:type="dxa"/>
            <w:gridSpan w:val="2"/>
          </w:tcPr>
          <w:p w14:paraId="09AFA5DB" w14:textId="77777777" w:rsidR="00F525B2" w:rsidRDefault="00F525B2" w:rsidP="009B329F">
            <w:pPr>
              <w:pStyle w:val="TAL"/>
              <w:rPr>
                <w:rFonts w:eastAsia="等线"/>
              </w:rPr>
            </w:pPr>
            <w:r>
              <w:rPr>
                <w:rFonts w:eastAsia="等线"/>
              </w:rPr>
              <w:t>array(DispersionRequirement)</w:t>
            </w:r>
          </w:p>
        </w:tc>
        <w:tc>
          <w:tcPr>
            <w:tcW w:w="286" w:type="dxa"/>
            <w:gridSpan w:val="2"/>
          </w:tcPr>
          <w:p w14:paraId="327A79C8"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1F9EC27A"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28978D7A" w14:textId="77777777" w:rsidR="00F525B2" w:rsidRDefault="00F525B2" w:rsidP="009B329F">
            <w:pPr>
              <w:pStyle w:val="TAL"/>
              <w:rPr>
                <w:lang w:val="en-US" w:eastAsia="zh-CN"/>
              </w:rPr>
            </w:pPr>
            <w:r>
              <w:rPr>
                <w:lang w:val="en-US" w:eastAsia="zh-CN"/>
              </w:rPr>
              <w:t>Represents the dispersion analytics requirements.</w:t>
            </w:r>
          </w:p>
        </w:tc>
        <w:tc>
          <w:tcPr>
            <w:tcW w:w="1504" w:type="dxa"/>
            <w:gridSpan w:val="3"/>
          </w:tcPr>
          <w:p w14:paraId="591B3BEA" w14:textId="77777777" w:rsidR="00F525B2" w:rsidRDefault="00F525B2" w:rsidP="009B329F">
            <w:pPr>
              <w:pStyle w:val="TAL"/>
            </w:pPr>
            <w:r>
              <w:t>Dispersion</w:t>
            </w:r>
          </w:p>
        </w:tc>
      </w:tr>
      <w:tr w:rsidR="00F525B2" w14:paraId="06185F85" w14:textId="77777777" w:rsidTr="009B329F">
        <w:trPr>
          <w:jc w:val="center"/>
        </w:trPr>
        <w:tc>
          <w:tcPr>
            <w:tcW w:w="1603" w:type="dxa"/>
            <w:gridSpan w:val="2"/>
          </w:tcPr>
          <w:p w14:paraId="2E80E8A9" w14:textId="77777777" w:rsidR="00F525B2" w:rsidRDefault="00F525B2" w:rsidP="009B329F">
            <w:pPr>
              <w:pStyle w:val="TAL"/>
            </w:pPr>
            <w:r>
              <w:t>redTransReqs</w:t>
            </w:r>
          </w:p>
        </w:tc>
        <w:tc>
          <w:tcPr>
            <w:tcW w:w="2001" w:type="dxa"/>
            <w:gridSpan w:val="2"/>
          </w:tcPr>
          <w:p w14:paraId="226A66D9" w14:textId="77777777" w:rsidR="00F525B2" w:rsidRDefault="00F525B2" w:rsidP="009B329F">
            <w:pPr>
              <w:pStyle w:val="TAL"/>
              <w:rPr>
                <w:rFonts w:eastAsia="等线"/>
              </w:rPr>
            </w:pPr>
            <w:r>
              <w:rPr>
                <w:rFonts w:eastAsia="等线"/>
              </w:rPr>
              <w:t>array(RedundantTransmissionExpReq)</w:t>
            </w:r>
          </w:p>
        </w:tc>
        <w:tc>
          <w:tcPr>
            <w:tcW w:w="286" w:type="dxa"/>
            <w:gridSpan w:val="2"/>
          </w:tcPr>
          <w:p w14:paraId="66F8694C"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62EC79F9"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25103ED8" w14:textId="77777777" w:rsidR="00F525B2" w:rsidRDefault="00F525B2" w:rsidP="009B329F">
            <w:pPr>
              <w:pStyle w:val="TAL"/>
              <w:rPr>
                <w:lang w:val="en-US" w:eastAsia="zh-CN"/>
              </w:rPr>
            </w:pPr>
            <w:r>
              <w:rPr>
                <w:lang w:val="en-US" w:eastAsia="zh-CN"/>
              </w:rPr>
              <w:t>Represents the redundant transmission experience analytics requirements.</w:t>
            </w:r>
          </w:p>
        </w:tc>
        <w:tc>
          <w:tcPr>
            <w:tcW w:w="1504" w:type="dxa"/>
            <w:gridSpan w:val="3"/>
          </w:tcPr>
          <w:p w14:paraId="7B47A1D5" w14:textId="77777777" w:rsidR="00F525B2" w:rsidRDefault="00F525B2" w:rsidP="009B329F">
            <w:pPr>
              <w:pStyle w:val="TAL"/>
            </w:pPr>
            <w:r>
              <w:t>RedundantTransmissionExp</w:t>
            </w:r>
          </w:p>
        </w:tc>
      </w:tr>
      <w:tr w:rsidR="00F525B2" w14:paraId="1977F87B" w14:textId="77777777" w:rsidTr="009B329F">
        <w:trPr>
          <w:jc w:val="center"/>
        </w:trPr>
        <w:tc>
          <w:tcPr>
            <w:tcW w:w="1603" w:type="dxa"/>
            <w:gridSpan w:val="2"/>
          </w:tcPr>
          <w:p w14:paraId="70151D99" w14:textId="77777777" w:rsidR="00F525B2" w:rsidRDefault="00F525B2" w:rsidP="009B329F">
            <w:pPr>
              <w:pStyle w:val="TAL"/>
            </w:pPr>
            <w:r>
              <w:t>wlanReqs</w:t>
            </w:r>
          </w:p>
        </w:tc>
        <w:tc>
          <w:tcPr>
            <w:tcW w:w="2001" w:type="dxa"/>
            <w:gridSpan w:val="2"/>
          </w:tcPr>
          <w:p w14:paraId="751D5DD5" w14:textId="77777777" w:rsidR="00F525B2" w:rsidRDefault="00F525B2" w:rsidP="009B329F">
            <w:pPr>
              <w:pStyle w:val="TAL"/>
              <w:rPr>
                <w:rFonts w:eastAsia="等线"/>
              </w:rPr>
            </w:pPr>
            <w:r>
              <w:rPr>
                <w:rFonts w:eastAsia="等线"/>
              </w:rPr>
              <w:t>array(WlanPerformanceReq)</w:t>
            </w:r>
          </w:p>
        </w:tc>
        <w:tc>
          <w:tcPr>
            <w:tcW w:w="286" w:type="dxa"/>
            <w:gridSpan w:val="2"/>
          </w:tcPr>
          <w:p w14:paraId="02A599E9"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260E37EB"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0A83F5AA" w14:textId="77777777" w:rsidR="00F525B2" w:rsidRDefault="00F525B2" w:rsidP="009B329F">
            <w:pPr>
              <w:pStyle w:val="TAL"/>
              <w:rPr>
                <w:lang w:val="en-US" w:eastAsia="zh-CN"/>
              </w:rPr>
            </w:pPr>
            <w:r>
              <w:rPr>
                <w:lang w:val="en-US" w:eastAsia="zh-CN"/>
              </w:rPr>
              <w:t>Represents other WLAN performance analytics requirements. If the attribute contains no content, may take default handling action.</w:t>
            </w:r>
          </w:p>
        </w:tc>
        <w:tc>
          <w:tcPr>
            <w:tcW w:w="1504" w:type="dxa"/>
            <w:gridSpan w:val="3"/>
          </w:tcPr>
          <w:p w14:paraId="03742339" w14:textId="77777777" w:rsidR="00F525B2" w:rsidRDefault="00F525B2" w:rsidP="009B329F">
            <w:pPr>
              <w:pStyle w:val="TAL"/>
            </w:pPr>
            <w:r>
              <w:t>WlanPerformance</w:t>
            </w:r>
          </w:p>
        </w:tc>
      </w:tr>
      <w:tr w:rsidR="00F525B2" w14:paraId="7AA8439E" w14:textId="77777777" w:rsidTr="009B329F">
        <w:trPr>
          <w:jc w:val="center"/>
        </w:trPr>
        <w:tc>
          <w:tcPr>
            <w:tcW w:w="1603" w:type="dxa"/>
            <w:gridSpan w:val="2"/>
          </w:tcPr>
          <w:p w14:paraId="2A84580F" w14:textId="77777777" w:rsidR="00F525B2" w:rsidRDefault="00F525B2" w:rsidP="009B329F">
            <w:pPr>
              <w:pStyle w:val="TAL"/>
              <w:rPr>
                <w:lang w:eastAsia="zh-CN"/>
              </w:rPr>
            </w:pPr>
            <w:r>
              <w:rPr>
                <w:rFonts w:hint="eastAsia"/>
                <w:lang w:eastAsia="zh-CN"/>
              </w:rPr>
              <w:t>u</w:t>
            </w:r>
            <w:r>
              <w:rPr>
                <w:lang w:eastAsia="zh-CN"/>
              </w:rPr>
              <w:t>eCommReqs</w:t>
            </w:r>
          </w:p>
        </w:tc>
        <w:tc>
          <w:tcPr>
            <w:tcW w:w="2001" w:type="dxa"/>
            <w:gridSpan w:val="2"/>
          </w:tcPr>
          <w:p w14:paraId="3232F4F7" w14:textId="77777777" w:rsidR="00F525B2" w:rsidRDefault="00F525B2" w:rsidP="009B329F">
            <w:pPr>
              <w:pStyle w:val="TAL"/>
            </w:pPr>
            <w:r>
              <w:t>array(UeCommReq)</w:t>
            </w:r>
          </w:p>
        </w:tc>
        <w:tc>
          <w:tcPr>
            <w:tcW w:w="286" w:type="dxa"/>
            <w:gridSpan w:val="2"/>
          </w:tcPr>
          <w:p w14:paraId="67EC8670"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77EE674D" w14:textId="77777777" w:rsidR="00F525B2" w:rsidRDefault="00F525B2" w:rsidP="009B329F">
            <w:pPr>
              <w:pStyle w:val="TAL"/>
            </w:pPr>
            <w:r>
              <w:t>1..N</w:t>
            </w:r>
          </w:p>
        </w:tc>
        <w:tc>
          <w:tcPr>
            <w:tcW w:w="2723" w:type="dxa"/>
            <w:gridSpan w:val="2"/>
          </w:tcPr>
          <w:p w14:paraId="0FFDF567" w14:textId="77777777" w:rsidR="00F525B2" w:rsidRDefault="00F525B2" w:rsidP="009B329F">
            <w:pPr>
              <w:pStyle w:val="TAL"/>
            </w:pPr>
            <w:r>
              <w:t>Represents the UE communication requirements. This attribute may be included when the subscribed event is "UE_COMMUNICATION".</w:t>
            </w:r>
          </w:p>
        </w:tc>
        <w:tc>
          <w:tcPr>
            <w:tcW w:w="1504" w:type="dxa"/>
            <w:gridSpan w:val="3"/>
          </w:tcPr>
          <w:p w14:paraId="1CBC30C9" w14:textId="77777777" w:rsidR="00F525B2" w:rsidRDefault="00F525B2" w:rsidP="009B329F">
            <w:pPr>
              <w:pStyle w:val="TAL"/>
            </w:pPr>
            <w:r>
              <w:t>UeCommunication</w:t>
            </w:r>
            <w:r>
              <w:rPr>
                <w:lang w:eastAsia="zh-CN"/>
              </w:rPr>
              <w:t>Ext_eNA</w:t>
            </w:r>
          </w:p>
        </w:tc>
      </w:tr>
      <w:tr w:rsidR="00F525B2" w14:paraId="1B143794" w14:textId="77777777" w:rsidTr="009B329F">
        <w:trPr>
          <w:jc w:val="center"/>
        </w:trPr>
        <w:tc>
          <w:tcPr>
            <w:tcW w:w="1603" w:type="dxa"/>
            <w:gridSpan w:val="2"/>
          </w:tcPr>
          <w:p w14:paraId="2436F1DF" w14:textId="77777777" w:rsidR="00F525B2" w:rsidRDefault="00F525B2" w:rsidP="009B329F">
            <w:pPr>
              <w:pStyle w:val="TAL"/>
            </w:pPr>
            <w:r>
              <w:rPr>
                <w:rFonts w:hint="eastAsia"/>
                <w:lang w:eastAsia="zh-CN"/>
              </w:rPr>
              <w:t>u</w:t>
            </w:r>
            <w:r>
              <w:rPr>
                <w:lang w:eastAsia="zh-CN"/>
              </w:rPr>
              <w:t>eMobilityReqs</w:t>
            </w:r>
          </w:p>
        </w:tc>
        <w:tc>
          <w:tcPr>
            <w:tcW w:w="2001" w:type="dxa"/>
            <w:gridSpan w:val="2"/>
          </w:tcPr>
          <w:p w14:paraId="6AE9BA05" w14:textId="77777777" w:rsidR="00F525B2" w:rsidRDefault="00F525B2" w:rsidP="009B329F">
            <w:pPr>
              <w:pStyle w:val="TAL"/>
            </w:pPr>
            <w:r>
              <w:t>array(UeMobilityReq)</w:t>
            </w:r>
          </w:p>
        </w:tc>
        <w:tc>
          <w:tcPr>
            <w:tcW w:w="286" w:type="dxa"/>
            <w:gridSpan w:val="2"/>
          </w:tcPr>
          <w:p w14:paraId="239252FF"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3F86B9CF" w14:textId="77777777" w:rsidR="00F525B2" w:rsidRDefault="00F525B2" w:rsidP="009B329F">
            <w:pPr>
              <w:pStyle w:val="TAL"/>
              <w:rPr>
                <w:rFonts w:cs="Arial"/>
                <w:szCs w:val="18"/>
                <w:lang w:eastAsia="zh-CN"/>
              </w:rPr>
            </w:pPr>
            <w:r>
              <w:t>1..N</w:t>
            </w:r>
          </w:p>
        </w:tc>
        <w:tc>
          <w:tcPr>
            <w:tcW w:w="2723" w:type="dxa"/>
            <w:gridSpan w:val="2"/>
          </w:tcPr>
          <w:p w14:paraId="2E930461" w14:textId="77777777" w:rsidR="00F525B2" w:rsidRDefault="00F525B2" w:rsidP="009B329F">
            <w:pPr>
              <w:pStyle w:val="TAL"/>
              <w:rPr>
                <w:lang w:eastAsia="zh-CN"/>
              </w:rPr>
            </w:pPr>
            <w:r>
              <w:t>Represents the UE mobility requirements. This attribute may be included when the subscribed event is "UE_MOBILITY".</w:t>
            </w:r>
          </w:p>
        </w:tc>
        <w:tc>
          <w:tcPr>
            <w:tcW w:w="1504" w:type="dxa"/>
            <w:gridSpan w:val="3"/>
          </w:tcPr>
          <w:p w14:paraId="591BD055" w14:textId="77777777" w:rsidR="00F525B2" w:rsidRDefault="00F525B2" w:rsidP="009B329F">
            <w:pPr>
              <w:pStyle w:val="TAL"/>
            </w:pPr>
            <w:r>
              <w:t>UeMobility</w:t>
            </w:r>
            <w:r>
              <w:rPr>
                <w:lang w:eastAsia="zh-CN"/>
              </w:rPr>
              <w:t>Ext2_eNA</w:t>
            </w:r>
          </w:p>
        </w:tc>
      </w:tr>
      <w:tr w:rsidR="00F525B2" w14:paraId="2ECCDC78" w14:textId="77777777" w:rsidTr="009B329F">
        <w:trPr>
          <w:jc w:val="center"/>
        </w:trPr>
        <w:tc>
          <w:tcPr>
            <w:tcW w:w="1603" w:type="dxa"/>
            <w:gridSpan w:val="2"/>
          </w:tcPr>
          <w:p w14:paraId="71A4F56A" w14:textId="77777777" w:rsidR="00F525B2" w:rsidRDefault="00F525B2" w:rsidP="009B329F">
            <w:pPr>
              <w:pStyle w:val="TAL"/>
            </w:pPr>
            <w:r>
              <w:t>upfInfo</w:t>
            </w:r>
          </w:p>
        </w:tc>
        <w:tc>
          <w:tcPr>
            <w:tcW w:w="2001" w:type="dxa"/>
            <w:gridSpan w:val="2"/>
          </w:tcPr>
          <w:p w14:paraId="6067DCBD" w14:textId="77777777" w:rsidR="00F525B2" w:rsidRDefault="00F525B2" w:rsidP="009B329F">
            <w:pPr>
              <w:pStyle w:val="TAL"/>
              <w:rPr>
                <w:rFonts w:eastAsia="等线"/>
              </w:rPr>
            </w:pPr>
            <w:r>
              <w:t>UpfInformation</w:t>
            </w:r>
          </w:p>
        </w:tc>
        <w:tc>
          <w:tcPr>
            <w:tcW w:w="286" w:type="dxa"/>
            <w:gridSpan w:val="2"/>
          </w:tcPr>
          <w:p w14:paraId="0B8C3AF8"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1DBEFCAF" w14:textId="77777777" w:rsidR="00F525B2" w:rsidRDefault="00F525B2" w:rsidP="009B329F">
            <w:pPr>
              <w:pStyle w:val="TAL"/>
              <w:rPr>
                <w:rFonts w:cs="Arial"/>
                <w:szCs w:val="18"/>
                <w:lang w:eastAsia="zh-CN"/>
              </w:rPr>
            </w:pPr>
            <w:r>
              <w:rPr>
                <w:rFonts w:cs="Arial"/>
                <w:szCs w:val="18"/>
                <w:lang w:eastAsia="zh-CN"/>
              </w:rPr>
              <w:t>0..1</w:t>
            </w:r>
          </w:p>
        </w:tc>
        <w:tc>
          <w:tcPr>
            <w:tcW w:w="2723" w:type="dxa"/>
            <w:gridSpan w:val="2"/>
          </w:tcPr>
          <w:p w14:paraId="42F08F14" w14:textId="77777777" w:rsidR="00F525B2" w:rsidRDefault="00F525B2" w:rsidP="009B329F">
            <w:pPr>
              <w:pStyle w:val="TAL"/>
              <w:rPr>
                <w:lang w:val="en-US" w:eastAsia="zh-CN"/>
              </w:rPr>
            </w:pPr>
            <w:r>
              <w:rPr>
                <w:lang w:eastAsia="zh-CN"/>
              </w:rPr>
              <w:t>Identifies the UPF.</w:t>
            </w:r>
            <w:r>
              <w:t xml:space="preserve"> (NOTE 12)</w:t>
            </w:r>
          </w:p>
        </w:tc>
        <w:tc>
          <w:tcPr>
            <w:tcW w:w="1504" w:type="dxa"/>
            <w:gridSpan w:val="3"/>
          </w:tcPr>
          <w:p w14:paraId="21ADD360" w14:textId="77777777" w:rsidR="00F525B2" w:rsidRDefault="00F525B2" w:rsidP="009B329F">
            <w:pPr>
              <w:pStyle w:val="TAL"/>
            </w:pPr>
            <w:r>
              <w:t>ServiceExperienceExt</w:t>
            </w:r>
          </w:p>
          <w:p w14:paraId="2492CCF0" w14:textId="77777777" w:rsidR="00F525B2" w:rsidRDefault="00F525B2" w:rsidP="009B329F">
            <w:pPr>
              <w:pStyle w:val="TAL"/>
            </w:pPr>
            <w:r>
              <w:rPr>
                <w:lang w:val="en-US" w:eastAsia="zh-CN"/>
              </w:rPr>
              <w:t>DnPerformance</w:t>
            </w:r>
          </w:p>
        </w:tc>
      </w:tr>
      <w:tr w:rsidR="00F525B2" w14:paraId="43DC7FF9" w14:textId="77777777" w:rsidTr="009B329F">
        <w:trPr>
          <w:jc w:val="center"/>
        </w:trPr>
        <w:tc>
          <w:tcPr>
            <w:tcW w:w="1603" w:type="dxa"/>
            <w:gridSpan w:val="2"/>
          </w:tcPr>
          <w:p w14:paraId="0432B3CD" w14:textId="77777777" w:rsidR="00F525B2" w:rsidRDefault="00F525B2" w:rsidP="009B329F">
            <w:pPr>
              <w:pStyle w:val="TAL"/>
            </w:pPr>
            <w:r>
              <w:t>userDataConO</w:t>
            </w:r>
            <w:r>
              <w:rPr>
                <w:lang w:eastAsia="zh-CN"/>
              </w:rPr>
              <w:t>rderCri</w:t>
            </w:r>
          </w:p>
        </w:tc>
        <w:tc>
          <w:tcPr>
            <w:tcW w:w="2001" w:type="dxa"/>
            <w:gridSpan w:val="2"/>
          </w:tcPr>
          <w:p w14:paraId="28286889" w14:textId="77777777" w:rsidR="00F525B2" w:rsidRDefault="00F525B2" w:rsidP="009B329F">
            <w:pPr>
              <w:pStyle w:val="TAL"/>
            </w:pPr>
            <w:r>
              <w:t>UserDataConOrderCrit</w:t>
            </w:r>
          </w:p>
        </w:tc>
        <w:tc>
          <w:tcPr>
            <w:tcW w:w="286" w:type="dxa"/>
            <w:gridSpan w:val="2"/>
          </w:tcPr>
          <w:p w14:paraId="313F17ED" w14:textId="77777777" w:rsidR="00F525B2" w:rsidRDefault="00F525B2" w:rsidP="009B329F">
            <w:pPr>
              <w:pStyle w:val="TAC"/>
              <w:rPr>
                <w:rFonts w:cs="Arial"/>
                <w:szCs w:val="18"/>
                <w:lang w:eastAsia="zh-CN"/>
              </w:rPr>
            </w:pPr>
            <w:r>
              <w:rPr>
                <w:rFonts w:hint="eastAsia"/>
                <w:lang w:eastAsia="zh-CN"/>
              </w:rPr>
              <w:t>O</w:t>
            </w:r>
          </w:p>
        </w:tc>
        <w:tc>
          <w:tcPr>
            <w:tcW w:w="1063" w:type="dxa"/>
            <w:gridSpan w:val="2"/>
          </w:tcPr>
          <w:p w14:paraId="5C85B5DD" w14:textId="77777777" w:rsidR="00F525B2" w:rsidRDefault="00F525B2" w:rsidP="009B329F">
            <w:pPr>
              <w:pStyle w:val="TAL"/>
              <w:rPr>
                <w:rFonts w:cs="Arial"/>
                <w:szCs w:val="18"/>
                <w:lang w:eastAsia="zh-CN"/>
              </w:rPr>
            </w:pPr>
            <w:r>
              <w:t>0..1</w:t>
            </w:r>
          </w:p>
        </w:tc>
        <w:tc>
          <w:tcPr>
            <w:tcW w:w="2723" w:type="dxa"/>
            <w:gridSpan w:val="2"/>
          </w:tcPr>
          <w:p w14:paraId="109EC62A" w14:textId="77777777" w:rsidR="00F525B2" w:rsidRDefault="00F525B2" w:rsidP="009B329F">
            <w:pPr>
              <w:pStyle w:val="TAL"/>
              <w:rPr>
                <w:lang w:eastAsia="zh-CN"/>
              </w:rPr>
            </w:pPr>
            <w:r>
              <w:rPr>
                <w:lang w:eastAsia="ko-KR"/>
              </w:rPr>
              <w:t xml:space="preserve">The ordering criterion for the list of </w:t>
            </w:r>
            <w:r>
              <w:rPr>
                <w:lang w:eastAsia="zh-CN"/>
              </w:rPr>
              <w:t>User Data Congestion</w:t>
            </w:r>
            <w:r>
              <w:rPr>
                <w:lang w:eastAsia="ko-KR"/>
              </w:rPr>
              <w:t xml:space="preserve"> analytics.</w:t>
            </w:r>
            <w:r>
              <w:rPr>
                <w:rFonts w:eastAsia="Times New Roman" w:cs="Arial"/>
                <w:szCs w:val="18"/>
              </w:rPr>
              <w:t xml:space="preserve"> (NOTE</w:t>
            </w:r>
            <w:r>
              <w:rPr>
                <w:lang w:eastAsia="zh-CN"/>
              </w:rPr>
              <w:t> 14</w:t>
            </w:r>
            <w:r>
              <w:rPr>
                <w:rFonts w:eastAsia="Times New Roman" w:cs="Arial"/>
                <w:szCs w:val="18"/>
              </w:rPr>
              <w:t>)</w:t>
            </w:r>
          </w:p>
        </w:tc>
        <w:tc>
          <w:tcPr>
            <w:tcW w:w="1504" w:type="dxa"/>
            <w:gridSpan w:val="3"/>
          </w:tcPr>
          <w:p w14:paraId="3624FBCC" w14:textId="77777777" w:rsidR="00F525B2" w:rsidRDefault="00F525B2" w:rsidP="009B329F">
            <w:pPr>
              <w:pStyle w:val="TAL"/>
            </w:pPr>
            <w:r>
              <w:t>userDataConO</w:t>
            </w:r>
            <w:r>
              <w:rPr>
                <w:lang w:eastAsia="zh-CN"/>
              </w:rPr>
              <w:t>rderCri</w:t>
            </w:r>
          </w:p>
        </w:tc>
      </w:tr>
      <w:tr w:rsidR="00F525B2" w14:paraId="0FC35AF1" w14:textId="77777777" w:rsidTr="009B329F">
        <w:trPr>
          <w:jc w:val="center"/>
        </w:trPr>
        <w:tc>
          <w:tcPr>
            <w:tcW w:w="1603" w:type="dxa"/>
            <w:gridSpan w:val="2"/>
          </w:tcPr>
          <w:p w14:paraId="7D265C81" w14:textId="77777777" w:rsidR="00F525B2" w:rsidRDefault="00F525B2" w:rsidP="009B329F">
            <w:pPr>
              <w:pStyle w:val="TAL"/>
            </w:pPr>
            <w:r>
              <w:rPr>
                <w:lang w:eastAsia="zh-CN"/>
              </w:rPr>
              <w:lastRenderedPageBreak/>
              <w:t>appServerAddrs</w:t>
            </w:r>
          </w:p>
        </w:tc>
        <w:tc>
          <w:tcPr>
            <w:tcW w:w="2001" w:type="dxa"/>
            <w:gridSpan w:val="2"/>
          </w:tcPr>
          <w:p w14:paraId="43B7B407" w14:textId="77777777" w:rsidR="00F525B2" w:rsidRDefault="00F525B2" w:rsidP="009B329F">
            <w:pPr>
              <w:pStyle w:val="TAL"/>
            </w:pPr>
            <w:r>
              <w:rPr>
                <w:rFonts w:eastAsia="等线"/>
              </w:rPr>
              <w:t>array(</w:t>
            </w:r>
            <w:r>
              <w:rPr>
                <w:rFonts w:hint="eastAsia"/>
                <w:lang w:eastAsia="zh-CN"/>
              </w:rPr>
              <w:t>A</w:t>
            </w:r>
            <w:r>
              <w:rPr>
                <w:lang w:eastAsia="zh-CN"/>
              </w:rPr>
              <w:t>ddrFqdn)</w:t>
            </w:r>
          </w:p>
        </w:tc>
        <w:tc>
          <w:tcPr>
            <w:tcW w:w="286" w:type="dxa"/>
            <w:gridSpan w:val="2"/>
          </w:tcPr>
          <w:p w14:paraId="7982516C"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177A971F" w14:textId="77777777" w:rsidR="00F525B2" w:rsidRDefault="00F525B2" w:rsidP="009B329F">
            <w:pPr>
              <w:pStyle w:val="TAL"/>
              <w:rPr>
                <w:rFonts w:cs="Arial"/>
                <w:szCs w:val="18"/>
                <w:lang w:eastAsia="zh-CN"/>
              </w:rPr>
            </w:pPr>
            <w:r>
              <w:rPr>
                <w:rFonts w:cs="Arial" w:hint="eastAsia"/>
                <w:szCs w:val="18"/>
                <w:lang w:eastAsia="zh-CN"/>
              </w:rPr>
              <w:t>1</w:t>
            </w:r>
            <w:r>
              <w:rPr>
                <w:rFonts w:cs="Arial"/>
                <w:szCs w:val="18"/>
                <w:lang w:eastAsia="zh-CN"/>
              </w:rPr>
              <w:t>..N</w:t>
            </w:r>
          </w:p>
        </w:tc>
        <w:tc>
          <w:tcPr>
            <w:tcW w:w="2723" w:type="dxa"/>
            <w:gridSpan w:val="2"/>
          </w:tcPr>
          <w:p w14:paraId="55042F8A" w14:textId="77777777" w:rsidR="00F525B2" w:rsidRDefault="00F525B2" w:rsidP="009B329F">
            <w:pPr>
              <w:pStyle w:val="TAL"/>
              <w:rPr>
                <w:lang w:eastAsia="zh-CN"/>
              </w:rPr>
            </w:pPr>
            <w:r>
              <w:rPr>
                <w:lang w:eastAsia="zh-CN"/>
              </w:rPr>
              <w:t>Each element r</w:t>
            </w:r>
            <w:r>
              <w:rPr>
                <w:rFonts w:hint="eastAsia"/>
                <w:lang w:eastAsia="zh-CN"/>
              </w:rPr>
              <w:t>epresents</w:t>
            </w:r>
            <w:r>
              <w:t xml:space="preserve"> the Application Server Instance (IP address/FQDN of the Application Server). (NOTE 11)</w:t>
            </w:r>
          </w:p>
        </w:tc>
        <w:tc>
          <w:tcPr>
            <w:tcW w:w="1504" w:type="dxa"/>
            <w:gridSpan w:val="3"/>
          </w:tcPr>
          <w:p w14:paraId="1CA0B294" w14:textId="77777777" w:rsidR="00F525B2" w:rsidRDefault="00F525B2" w:rsidP="009B329F">
            <w:pPr>
              <w:pStyle w:val="TAL"/>
            </w:pPr>
            <w:r>
              <w:t>ServiceExperienceExt</w:t>
            </w:r>
          </w:p>
          <w:p w14:paraId="5BEF8B64" w14:textId="77777777" w:rsidR="00F525B2" w:rsidRDefault="00F525B2" w:rsidP="009B329F">
            <w:pPr>
              <w:pStyle w:val="TAL"/>
            </w:pPr>
            <w:r>
              <w:t>DnPerformance</w:t>
            </w:r>
          </w:p>
        </w:tc>
      </w:tr>
      <w:tr w:rsidR="00F525B2" w14:paraId="6A082C1A" w14:textId="77777777" w:rsidTr="009B329F">
        <w:trPr>
          <w:jc w:val="center"/>
        </w:trPr>
        <w:tc>
          <w:tcPr>
            <w:tcW w:w="1603" w:type="dxa"/>
            <w:gridSpan w:val="2"/>
          </w:tcPr>
          <w:p w14:paraId="54847A55" w14:textId="77777777" w:rsidR="00F525B2" w:rsidRDefault="00F525B2" w:rsidP="009B329F">
            <w:pPr>
              <w:pStyle w:val="TAL"/>
              <w:rPr>
                <w:lang w:eastAsia="zh-CN"/>
              </w:rPr>
            </w:pPr>
            <w:r>
              <w:rPr>
                <w:lang w:eastAsia="zh-CN"/>
              </w:rPr>
              <w:t>dnPerfReqs</w:t>
            </w:r>
          </w:p>
        </w:tc>
        <w:tc>
          <w:tcPr>
            <w:tcW w:w="2001" w:type="dxa"/>
            <w:gridSpan w:val="2"/>
          </w:tcPr>
          <w:p w14:paraId="79560437" w14:textId="77777777" w:rsidR="00F525B2" w:rsidRDefault="00F525B2" w:rsidP="009B329F">
            <w:pPr>
              <w:pStyle w:val="TAL"/>
              <w:rPr>
                <w:rFonts w:eastAsia="等线"/>
              </w:rPr>
            </w:pPr>
            <w:r>
              <w:rPr>
                <w:rFonts w:eastAsia="等线"/>
              </w:rPr>
              <w:t>array(DnPerformanceReq)</w:t>
            </w:r>
          </w:p>
        </w:tc>
        <w:tc>
          <w:tcPr>
            <w:tcW w:w="286" w:type="dxa"/>
            <w:gridSpan w:val="2"/>
          </w:tcPr>
          <w:p w14:paraId="73EC9D0D"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5751EB4A"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7CBC618D" w14:textId="77777777" w:rsidR="00F525B2" w:rsidRDefault="00F525B2" w:rsidP="009B329F">
            <w:pPr>
              <w:pStyle w:val="TAL"/>
              <w:rPr>
                <w:lang w:eastAsia="zh-CN"/>
              </w:rPr>
            </w:pPr>
            <w:r>
              <w:rPr>
                <w:lang w:val="en-US" w:eastAsia="zh-CN"/>
              </w:rPr>
              <w:t>Represents the DN performance analytics requirements.</w:t>
            </w:r>
          </w:p>
        </w:tc>
        <w:tc>
          <w:tcPr>
            <w:tcW w:w="1504" w:type="dxa"/>
            <w:gridSpan w:val="3"/>
          </w:tcPr>
          <w:p w14:paraId="61F75F19" w14:textId="77777777" w:rsidR="00F525B2" w:rsidRDefault="00F525B2" w:rsidP="009B329F">
            <w:pPr>
              <w:pStyle w:val="TAL"/>
            </w:pPr>
            <w:r>
              <w:rPr>
                <w:rFonts w:hint="eastAsia"/>
                <w:lang w:eastAsia="zh-CN"/>
              </w:rPr>
              <w:t>Dn</w:t>
            </w:r>
            <w:r>
              <w:t>Performance</w:t>
            </w:r>
          </w:p>
        </w:tc>
      </w:tr>
      <w:tr w:rsidR="00F525B2" w14:paraId="2472333C" w14:textId="77777777" w:rsidTr="009B329F">
        <w:trPr>
          <w:jc w:val="center"/>
        </w:trPr>
        <w:tc>
          <w:tcPr>
            <w:tcW w:w="1603" w:type="dxa"/>
            <w:gridSpan w:val="2"/>
          </w:tcPr>
          <w:p w14:paraId="5690E279" w14:textId="77777777" w:rsidR="00F525B2" w:rsidRDefault="00F525B2" w:rsidP="009B329F">
            <w:pPr>
              <w:pStyle w:val="TAL"/>
              <w:rPr>
                <w:lang w:eastAsia="zh-CN"/>
              </w:rPr>
            </w:pPr>
            <w:r>
              <w:rPr>
                <w:lang w:eastAsia="zh-CN"/>
              </w:rPr>
              <w:t>pduSesInfos</w:t>
            </w:r>
          </w:p>
        </w:tc>
        <w:tc>
          <w:tcPr>
            <w:tcW w:w="2001" w:type="dxa"/>
            <w:gridSpan w:val="2"/>
          </w:tcPr>
          <w:p w14:paraId="0F4D0D8F" w14:textId="77777777" w:rsidR="00F525B2" w:rsidRDefault="00F525B2" w:rsidP="009B329F">
            <w:pPr>
              <w:pStyle w:val="TAL"/>
              <w:rPr>
                <w:rFonts w:eastAsia="等线"/>
              </w:rPr>
            </w:pPr>
            <w:r>
              <w:rPr>
                <w:rFonts w:eastAsia="等线"/>
              </w:rPr>
              <w:t>array(PduSessionInfo)</w:t>
            </w:r>
          </w:p>
        </w:tc>
        <w:tc>
          <w:tcPr>
            <w:tcW w:w="286" w:type="dxa"/>
            <w:gridSpan w:val="2"/>
          </w:tcPr>
          <w:p w14:paraId="1A0DD302"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1F64C613"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780F9247" w14:textId="77777777" w:rsidR="00F525B2" w:rsidRDefault="00F525B2" w:rsidP="009B329F">
            <w:pPr>
              <w:pStyle w:val="TAL"/>
              <w:rPr>
                <w:lang w:val="en-US" w:eastAsia="zh-CN"/>
              </w:rPr>
            </w:pPr>
            <w:r>
              <w:rPr>
                <w:lang w:eastAsia="zh-CN"/>
              </w:rPr>
              <w:t>Represents combination of PDU Session parameter(s).</w:t>
            </w:r>
            <w:r>
              <w:t xml:space="preserve"> (NOTE 15)</w:t>
            </w:r>
          </w:p>
        </w:tc>
        <w:tc>
          <w:tcPr>
            <w:tcW w:w="1504" w:type="dxa"/>
            <w:gridSpan w:val="3"/>
          </w:tcPr>
          <w:p w14:paraId="086BA3A9" w14:textId="77777777" w:rsidR="00F525B2" w:rsidRDefault="00F525B2" w:rsidP="009B329F">
            <w:pPr>
              <w:pStyle w:val="TAL"/>
              <w:rPr>
                <w:lang w:eastAsia="zh-CN"/>
              </w:rPr>
            </w:pPr>
            <w:r>
              <w:rPr>
                <w:lang w:eastAsia="zh-CN"/>
              </w:rPr>
              <w:t>ServiceExperienceExt2_eNA</w:t>
            </w:r>
          </w:p>
        </w:tc>
      </w:tr>
      <w:tr w:rsidR="00F525B2" w14:paraId="4163AE95" w14:textId="77777777" w:rsidTr="009B329F">
        <w:trPr>
          <w:jc w:val="center"/>
        </w:trPr>
        <w:tc>
          <w:tcPr>
            <w:tcW w:w="1603" w:type="dxa"/>
            <w:gridSpan w:val="2"/>
          </w:tcPr>
          <w:p w14:paraId="4C24380C" w14:textId="77777777" w:rsidR="00F525B2" w:rsidRDefault="00F525B2" w:rsidP="009B329F">
            <w:pPr>
              <w:pStyle w:val="TAL"/>
              <w:rPr>
                <w:lang w:eastAsia="zh-CN"/>
              </w:rPr>
            </w:pPr>
            <w:r>
              <w:rPr>
                <w:lang w:eastAsia="zh-CN"/>
              </w:rPr>
              <w:t>useCaseCxt</w:t>
            </w:r>
          </w:p>
        </w:tc>
        <w:tc>
          <w:tcPr>
            <w:tcW w:w="2001" w:type="dxa"/>
            <w:gridSpan w:val="2"/>
          </w:tcPr>
          <w:p w14:paraId="2487077E" w14:textId="77777777" w:rsidR="00F525B2" w:rsidRDefault="00F525B2" w:rsidP="009B329F">
            <w:pPr>
              <w:pStyle w:val="TAL"/>
              <w:rPr>
                <w:rFonts w:eastAsia="等线"/>
              </w:rPr>
            </w:pPr>
            <w:r>
              <w:rPr>
                <w:rFonts w:eastAsia="等线"/>
              </w:rPr>
              <w:t>string</w:t>
            </w:r>
          </w:p>
        </w:tc>
        <w:tc>
          <w:tcPr>
            <w:tcW w:w="286" w:type="dxa"/>
            <w:gridSpan w:val="2"/>
          </w:tcPr>
          <w:p w14:paraId="6B372C29"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3EA6145C" w14:textId="77777777" w:rsidR="00F525B2" w:rsidRDefault="00F525B2" w:rsidP="009B329F">
            <w:pPr>
              <w:pStyle w:val="TAL"/>
              <w:rPr>
                <w:rFonts w:cs="Arial"/>
                <w:szCs w:val="18"/>
                <w:lang w:eastAsia="zh-CN"/>
              </w:rPr>
            </w:pPr>
            <w:r>
              <w:rPr>
                <w:rFonts w:cs="Arial"/>
                <w:szCs w:val="18"/>
                <w:lang w:eastAsia="zh-CN"/>
              </w:rPr>
              <w:t>0..1</w:t>
            </w:r>
          </w:p>
        </w:tc>
        <w:tc>
          <w:tcPr>
            <w:tcW w:w="2723" w:type="dxa"/>
            <w:gridSpan w:val="2"/>
          </w:tcPr>
          <w:p w14:paraId="0467E3D1" w14:textId="77777777" w:rsidR="00F525B2" w:rsidRDefault="00F525B2" w:rsidP="009B329F">
            <w:pPr>
              <w:pStyle w:val="TAL"/>
              <w:rPr>
                <w:lang w:eastAsia="zh-CN"/>
              </w:rPr>
            </w:pPr>
            <w:r>
              <w:rPr>
                <w:lang w:eastAsia="zh-CN"/>
              </w:rPr>
              <w:t>Indicates the context of usage of the analytics.</w:t>
            </w:r>
          </w:p>
          <w:p w14:paraId="209B8CF7" w14:textId="77777777" w:rsidR="00F525B2" w:rsidRDefault="00F525B2" w:rsidP="009B329F">
            <w:pPr>
              <w:pStyle w:val="TAL"/>
              <w:rPr>
                <w:lang w:eastAsia="zh-CN"/>
              </w:rPr>
            </w:pPr>
            <w:r>
              <w:rPr>
                <w:lang w:eastAsia="zh-CN"/>
              </w:rPr>
              <w:t>The value and format of this parameter are not standardized.</w:t>
            </w:r>
          </w:p>
        </w:tc>
        <w:tc>
          <w:tcPr>
            <w:tcW w:w="1504" w:type="dxa"/>
            <w:gridSpan w:val="3"/>
          </w:tcPr>
          <w:p w14:paraId="0A7B9083" w14:textId="77777777" w:rsidR="00F525B2" w:rsidRDefault="00F525B2" w:rsidP="009B329F">
            <w:pPr>
              <w:pStyle w:val="TAL"/>
              <w:rPr>
                <w:lang w:eastAsia="zh-CN"/>
              </w:rPr>
            </w:pPr>
            <w:r>
              <w:rPr>
                <w:lang w:eastAsia="zh-CN"/>
              </w:rPr>
              <w:t>ENAExt</w:t>
            </w:r>
          </w:p>
        </w:tc>
      </w:tr>
      <w:tr w:rsidR="00F525B2" w14:paraId="66E67A21" w14:textId="77777777" w:rsidTr="009B329F">
        <w:trPr>
          <w:trHeight w:val="90"/>
          <w:jc w:val="center"/>
        </w:trPr>
        <w:tc>
          <w:tcPr>
            <w:tcW w:w="1603" w:type="dxa"/>
            <w:gridSpan w:val="2"/>
          </w:tcPr>
          <w:p w14:paraId="282D5E6D" w14:textId="77777777" w:rsidR="00F525B2" w:rsidRDefault="00F525B2" w:rsidP="009B329F">
            <w:pPr>
              <w:pStyle w:val="TAL"/>
              <w:rPr>
                <w:lang w:eastAsia="zh-CN"/>
              </w:rPr>
            </w:pPr>
            <w:r>
              <w:rPr>
                <w:lang w:eastAsia="zh-CN"/>
              </w:rPr>
              <w:t>pduSesTrafReqs</w:t>
            </w:r>
          </w:p>
        </w:tc>
        <w:tc>
          <w:tcPr>
            <w:tcW w:w="2001" w:type="dxa"/>
            <w:gridSpan w:val="2"/>
          </w:tcPr>
          <w:p w14:paraId="6F8C3C55" w14:textId="77777777" w:rsidR="00F525B2" w:rsidRDefault="00F525B2" w:rsidP="009B329F">
            <w:pPr>
              <w:pStyle w:val="TAL"/>
              <w:rPr>
                <w:rFonts w:eastAsia="等线"/>
              </w:rPr>
            </w:pPr>
            <w:r>
              <w:rPr>
                <w:rFonts w:eastAsia="等线"/>
              </w:rPr>
              <w:t>array(</w:t>
            </w:r>
            <w:r>
              <w:rPr>
                <w:lang w:eastAsia="zh-CN"/>
              </w:rPr>
              <w:t>PduSesTrafficReq</w:t>
            </w:r>
            <w:r>
              <w:rPr>
                <w:rFonts w:eastAsia="等线"/>
              </w:rPr>
              <w:t>)</w:t>
            </w:r>
          </w:p>
        </w:tc>
        <w:tc>
          <w:tcPr>
            <w:tcW w:w="286" w:type="dxa"/>
            <w:gridSpan w:val="2"/>
          </w:tcPr>
          <w:p w14:paraId="71F386AE" w14:textId="77777777" w:rsidR="00F525B2" w:rsidRDefault="00F525B2" w:rsidP="009B329F">
            <w:pPr>
              <w:pStyle w:val="TAC"/>
              <w:rPr>
                <w:rFonts w:cs="Arial"/>
                <w:szCs w:val="18"/>
                <w:lang w:eastAsia="zh-CN"/>
              </w:rPr>
            </w:pPr>
            <w:r>
              <w:rPr>
                <w:rFonts w:cs="Arial"/>
                <w:szCs w:val="18"/>
                <w:lang w:eastAsia="zh-CN"/>
              </w:rPr>
              <w:t>C</w:t>
            </w:r>
          </w:p>
        </w:tc>
        <w:tc>
          <w:tcPr>
            <w:tcW w:w="1063" w:type="dxa"/>
            <w:gridSpan w:val="2"/>
          </w:tcPr>
          <w:p w14:paraId="2682C084"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012052D0" w14:textId="77777777" w:rsidR="00F525B2" w:rsidRDefault="00F525B2" w:rsidP="009B329F">
            <w:pPr>
              <w:pStyle w:val="TAL"/>
              <w:rPr>
                <w:lang w:eastAsia="zh-CN"/>
              </w:rPr>
            </w:pPr>
            <w:r>
              <w:rPr>
                <w:lang w:val="en-US" w:eastAsia="zh-CN"/>
              </w:rPr>
              <w:t xml:space="preserve">Represents the </w:t>
            </w:r>
            <w:r>
              <w:rPr>
                <w:rFonts w:eastAsia="等线"/>
              </w:rPr>
              <w:t>PDU Session traffic</w:t>
            </w:r>
            <w:r>
              <w:rPr>
                <w:lang w:val="en-US" w:eastAsia="zh-CN"/>
              </w:rPr>
              <w:t xml:space="preserve"> analytics requirements. </w:t>
            </w:r>
            <w:r>
              <w:t>This attribute shall be included when subscribed event is "PDU_SESSION_TRAFFIC".</w:t>
            </w:r>
          </w:p>
        </w:tc>
        <w:tc>
          <w:tcPr>
            <w:tcW w:w="1504" w:type="dxa"/>
            <w:gridSpan w:val="3"/>
          </w:tcPr>
          <w:p w14:paraId="50159448" w14:textId="77777777" w:rsidR="00F525B2" w:rsidRDefault="00F525B2" w:rsidP="009B329F">
            <w:pPr>
              <w:pStyle w:val="TAL"/>
              <w:rPr>
                <w:lang w:eastAsia="zh-CN"/>
              </w:rPr>
            </w:pPr>
            <w:r>
              <w:t>PduSesTraffic</w:t>
            </w:r>
          </w:p>
        </w:tc>
      </w:tr>
      <w:tr w:rsidR="00F525B2" w14:paraId="3FA99538" w14:textId="77777777" w:rsidTr="009B329F">
        <w:trPr>
          <w:trHeight w:val="90"/>
          <w:jc w:val="center"/>
        </w:trPr>
        <w:tc>
          <w:tcPr>
            <w:tcW w:w="1603" w:type="dxa"/>
            <w:gridSpan w:val="2"/>
          </w:tcPr>
          <w:p w14:paraId="32E81F7A" w14:textId="77777777" w:rsidR="00F525B2" w:rsidRDefault="00F525B2" w:rsidP="009B329F">
            <w:pPr>
              <w:pStyle w:val="TAL"/>
              <w:rPr>
                <w:lang w:eastAsia="zh-CN"/>
              </w:rPr>
            </w:pPr>
            <w:r>
              <w:rPr>
                <w:lang w:eastAsia="zh-CN"/>
              </w:rPr>
              <w:t>locAccReqs</w:t>
            </w:r>
          </w:p>
        </w:tc>
        <w:tc>
          <w:tcPr>
            <w:tcW w:w="2001" w:type="dxa"/>
            <w:gridSpan w:val="2"/>
          </w:tcPr>
          <w:p w14:paraId="0E0C5CD8" w14:textId="77777777" w:rsidR="00F525B2" w:rsidRDefault="00F525B2" w:rsidP="009B329F">
            <w:pPr>
              <w:pStyle w:val="TAL"/>
              <w:rPr>
                <w:rFonts w:eastAsia="等线"/>
              </w:rPr>
            </w:pPr>
            <w:r>
              <w:rPr>
                <w:rFonts w:eastAsia="等线"/>
              </w:rPr>
              <w:t>array(LocAccuracyReq)</w:t>
            </w:r>
          </w:p>
        </w:tc>
        <w:tc>
          <w:tcPr>
            <w:tcW w:w="286" w:type="dxa"/>
            <w:gridSpan w:val="2"/>
          </w:tcPr>
          <w:p w14:paraId="0B5295ED" w14:textId="77777777" w:rsidR="00F525B2" w:rsidRDefault="00F525B2" w:rsidP="009B329F">
            <w:pPr>
              <w:pStyle w:val="TAC"/>
              <w:rPr>
                <w:rFonts w:cs="Arial"/>
                <w:szCs w:val="18"/>
                <w:lang w:eastAsia="zh-CN"/>
              </w:rPr>
            </w:pPr>
            <w:r>
              <w:rPr>
                <w:rFonts w:cs="Arial"/>
                <w:szCs w:val="18"/>
                <w:lang w:eastAsia="zh-CN"/>
              </w:rPr>
              <w:t>O</w:t>
            </w:r>
          </w:p>
        </w:tc>
        <w:tc>
          <w:tcPr>
            <w:tcW w:w="1063" w:type="dxa"/>
            <w:gridSpan w:val="2"/>
          </w:tcPr>
          <w:p w14:paraId="7A4E5533" w14:textId="77777777" w:rsidR="00F525B2" w:rsidRDefault="00F525B2" w:rsidP="009B329F">
            <w:pPr>
              <w:pStyle w:val="TAL"/>
              <w:rPr>
                <w:rFonts w:cs="Arial"/>
                <w:szCs w:val="18"/>
                <w:lang w:eastAsia="zh-CN"/>
              </w:rPr>
            </w:pPr>
            <w:r>
              <w:rPr>
                <w:rFonts w:cs="Arial"/>
                <w:szCs w:val="18"/>
                <w:lang w:eastAsia="zh-CN"/>
              </w:rPr>
              <w:t>1..N</w:t>
            </w:r>
          </w:p>
        </w:tc>
        <w:tc>
          <w:tcPr>
            <w:tcW w:w="2723" w:type="dxa"/>
            <w:gridSpan w:val="2"/>
          </w:tcPr>
          <w:p w14:paraId="2A2776E5" w14:textId="77777777" w:rsidR="00F525B2" w:rsidRDefault="00F525B2" w:rsidP="009B329F">
            <w:pPr>
              <w:pStyle w:val="TAL"/>
              <w:rPr>
                <w:lang w:val="en-US" w:eastAsia="zh-CN"/>
              </w:rPr>
            </w:pPr>
            <w:r>
              <w:rPr>
                <w:lang w:eastAsia="zh-CN"/>
              </w:rPr>
              <w:t xml:space="preserve">Represents the </w:t>
            </w:r>
            <w:r>
              <w:rPr>
                <w:rFonts w:eastAsia="等线"/>
              </w:rPr>
              <w:t>Location Accuracy</w:t>
            </w:r>
            <w:r>
              <w:rPr>
                <w:lang w:eastAsia="zh-CN"/>
              </w:rPr>
              <w:t xml:space="preserve"> analytics requirements. </w:t>
            </w:r>
            <w:r>
              <w:t>This attribute may only be included when the subscribed event is "LOC_ACCURACY".</w:t>
            </w:r>
          </w:p>
        </w:tc>
        <w:tc>
          <w:tcPr>
            <w:tcW w:w="1504" w:type="dxa"/>
            <w:gridSpan w:val="3"/>
          </w:tcPr>
          <w:p w14:paraId="47090249" w14:textId="77777777" w:rsidR="00F525B2" w:rsidRDefault="00F525B2" w:rsidP="009B329F">
            <w:pPr>
              <w:pStyle w:val="TAL"/>
            </w:pPr>
            <w:r>
              <w:t>LocAccuracy</w:t>
            </w:r>
          </w:p>
        </w:tc>
      </w:tr>
      <w:tr w:rsidR="00F525B2" w14:paraId="1423201B" w14:textId="77777777" w:rsidTr="009B329F">
        <w:trPr>
          <w:trHeight w:val="90"/>
          <w:jc w:val="center"/>
        </w:trPr>
        <w:tc>
          <w:tcPr>
            <w:tcW w:w="1603" w:type="dxa"/>
            <w:gridSpan w:val="2"/>
          </w:tcPr>
          <w:p w14:paraId="67CE51FE" w14:textId="77777777" w:rsidR="00F525B2" w:rsidRDefault="00F525B2" w:rsidP="009B329F">
            <w:pPr>
              <w:pStyle w:val="TAL"/>
              <w:rPr>
                <w:lang w:eastAsia="zh-CN"/>
              </w:rPr>
            </w:pPr>
            <w:r>
              <w:rPr>
                <w:lang w:eastAsia="zh-CN"/>
              </w:rPr>
              <w:t>locGranularity</w:t>
            </w:r>
          </w:p>
        </w:tc>
        <w:tc>
          <w:tcPr>
            <w:tcW w:w="2001" w:type="dxa"/>
            <w:gridSpan w:val="2"/>
          </w:tcPr>
          <w:p w14:paraId="712C7681" w14:textId="77777777" w:rsidR="00F525B2" w:rsidRDefault="00F525B2" w:rsidP="009B329F">
            <w:pPr>
              <w:pStyle w:val="TAL"/>
              <w:rPr>
                <w:rFonts w:eastAsia="等线"/>
              </w:rPr>
            </w:pPr>
            <w:r>
              <w:rPr>
                <w:lang w:eastAsia="zh-CN"/>
              </w:rPr>
              <w:t>LocInfoGranularity</w:t>
            </w:r>
          </w:p>
        </w:tc>
        <w:tc>
          <w:tcPr>
            <w:tcW w:w="286" w:type="dxa"/>
            <w:gridSpan w:val="2"/>
          </w:tcPr>
          <w:p w14:paraId="51CB2F05" w14:textId="77777777" w:rsidR="00F525B2" w:rsidRDefault="00F525B2" w:rsidP="009B329F">
            <w:pPr>
              <w:pStyle w:val="TAC"/>
              <w:rPr>
                <w:rFonts w:cs="Arial"/>
                <w:szCs w:val="18"/>
                <w:lang w:eastAsia="zh-CN"/>
              </w:rPr>
            </w:pPr>
            <w:r>
              <w:rPr>
                <w:lang w:eastAsia="zh-CN"/>
              </w:rPr>
              <w:t>O</w:t>
            </w:r>
          </w:p>
        </w:tc>
        <w:tc>
          <w:tcPr>
            <w:tcW w:w="1063" w:type="dxa"/>
            <w:gridSpan w:val="2"/>
          </w:tcPr>
          <w:p w14:paraId="7AD7ABE7" w14:textId="77777777" w:rsidR="00F525B2" w:rsidRDefault="00F525B2" w:rsidP="009B329F">
            <w:pPr>
              <w:pStyle w:val="TAL"/>
              <w:rPr>
                <w:rFonts w:cs="Arial"/>
                <w:szCs w:val="18"/>
                <w:lang w:eastAsia="zh-CN"/>
              </w:rPr>
            </w:pPr>
            <w:r>
              <w:t>0..1</w:t>
            </w:r>
          </w:p>
        </w:tc>
        <w:tc>
          <w:tcPr>
            <w:tcW w:w="2723" w:type="dxa"/>
            <w:gridSpan w:val="2"/>
          </w:tcPr>
          <w:p w14:paraId="3EEABBFF" w14:textId="77777777" w:rsidR="00F525B2" w:rsidRDefault="00F525B2" w:rsidP="009B329F">
            <w:pPr>
              <w:pStyle w:val="TAL"/>
            </w:pPr>
            <w:r>
              <w:rPr>
                <w:lang w:eastAsia="zh-CN"/>
              </w:rPr>
              <w:t xml:space="preserve">The </w:t>
            </w:r>
            <w:r>
              <w:t>preferred granularity of UE location information.</w:t>
            </w:r>
          </w:p>
          <w:p w14:paraId="4E3B01DF" w14:textId="77777777" w:rsidR="00F525B2" w:rsidRDefault="00F525B2" w:rsidP="009B329F">
            <w:pPr>
              <w:pStyle w:val="TAL"/>
              <w:rPr>
                <w:lang w:eastAsia="zh-CN"/>
              </w:rPr>
            </w:pPr>
            <w:r>
              <w:t>(NOTE 21)</w:t>
            </w:r>
          </w:p>
        </w:tc>
        <w:tc>
          <w:tcPr>
            <w:tcW w:w="1504" w:type="dxa"/>
            <w:gridSpan w:val="3"/>
          </w:tcPr>
          <w:p w14:paraId="48C3B8DA" w14:textId="77777777" w:rsidR="00F525B2" w:rsidRDefault="00F525B2" w:rsidP="009B329F">
            <w:pPr>
              <w:pStyle w:val="TAL"/>
              <w:rPr>
                <w:lang w:eastAsia="zh-CN"/>
              </w:rPr>
            </w:pPr>
            <w:r>
              <w:rPr>
                <w:rFonts w:hint="eastAsia"/>
              </w:rPr>
              <w:t>S</w:t>
            </w:r>
            <w:r>
              <w:t>erviceExperienceExt</w:t>
            </w:r>
            <w:r>
              <w:rPr>
                <w:lang w:eastAsia="zh-CN"/>
              </w:rPr>
              <w:t>2_eNA</w:t>
            </w:r>
          </w:p>
          <w:p w14:paraId="1797722B" w14:textId="77777777" w:rsidR="00F525B2" w:rsidRDefault="00F525B2" w:rsidP="009B329F">
            <w:pPr>
              <w:pStyle w:val="TAL"/>
              <w:rPr>
                <w:lang w:eastAsia="zh-CN"/>
              </w:rPr>
            </w:pPr>
            <w:r>
              <w:t>UeMobility</w:t>
            </w:r>
            <w:r>
              <w:rPr>
                <w:lang w:eastAsia="zh-CN"/>
              </w:rPr>
              <w:t>Ext2_eNA</w:t>
            </w:r>
          </w:p>
          <w:p w14:paraId="28038F79" w14:textId="77777777" w:rsidR="00F525B2" w:rsidRDefault="00F525B2" w:rsidP="009B329F">
            <w:pPr>
              <w:pStyle w:val="TAL"/>
              <w:rPr>
                <w:lang w:eastAsia="zh-CN"/>
              </w:rPr>
            </w:pPr>
            <w:r>
              <w:t>DispersionExt</w:t>
            </w:r>
            <w:r>
              <w:rPr>
                <w:lang w:eastAsia="zh-CN"/>
              </w:rPr>
              <w:t>_eNA</w:t>
            </w:r>
          </w:p>
          <w:p w14:paraId="2BA3E31C" w14:textId="77777777" w:rsidR="00F525B2" w:rsidRDefault="00F525B2" w:rsidP="009B329F">
            <w:pPr>
              <w:pStyle w:val="TAL"/>
              <w:rPr>
                <w:lang w:eastAsia="zh-CN"/>
              </w:rPr>
            </w:pPr>
            <w:r>
              <w:rPr>
                <w:lang w:eastAsia="zh-CN"/>
              </w:rPr>
              <w:t>MovementBehaviour</w:t>
            </w:r>
          </w:p>
          <w:p w14:paraId="494C6DF5" w14:textId="77777777" w:rsidR="00F525B2" w:rsidRDefault="00F525B2" w:rsidP="009B329F">
            <w:pPr>
              <w:pStyle w:val="TAL"/>
              <w:rPr>
                <w:lang w:eastAsia="zh-CN"/>
              </w:rPr>
            </w:pPr>
            <w:r w:rsidRPr="00E30982">
              <w:rPr>
                <w:lang w:eastAsia="zh-CN"/>
              </w:rPr>
              <w:t>QoSPolicyAssist</w:t>
            </w:r>
          </w:p>
        </w:tc>
      </w:tr>
      <w:tr w:rsidR="00F525B2" w14:paraId="1861A38E" w14:textId="77777777" w:rsidTr="009B329F">
        <w:trPr>
          <w:trHeight w:val="90"/>
          <w:jc w:val="center"/>
        </w:trPr>
        <w:tc>
          <w:tcPr>
            <w:tcW w:w="1603" w:type="dxa"/>
            <w:gridSpan w:val="2"/>
            <w:tcBorders>
              <w:top w:val="single" w:sz="6" w:space="0" w:color="auto"/>
              <w:left w:val="single" w:sz="6" w:space="0" w:color="auto"/>
              <w:bottom w:val="single" w:sz="6" w:space="0" w:color="auto"/>
              <w:right w:val="single" w:sz="6" w:space="0" w:color="auto"/>
            </w:tcBorders>
          </w:tcPr>
          <w:p w14:paraId="229365F4" w14:textId="77777777" w:rsidR="00F525B2" w:rsidRDefault="00F525B2" w:rsidP="009B329F">
            <w:pPr>
              <w:pStyle w:val="TAL"/>
              <w:rPr>
                <w:lang w:eastAsia="zh-CN"/>
              </w:rPr>
            </w:pPr>
            <w:r>
              <w:rPr>
                <w:lang w:eastAsia="zh-CN"/>
              </w:rPr>
              <w:t>locOrientation</w:t>
            </w:r>
          </w:p>
        </w:tc>
        <w:tc>
          <w:tcPr>
            <w:tcW w:w="2001" w:type="dxa"/>
            <w:gridSpan w:val="2"/>
            <w:tcBorders>
              <w:top w:val="single" w:sz="6" w:space="0" w:color="auto"/>
              <w:left w:val="single" w:sz="6" w:space="0" w:color="auto"/>
              <w:bottom w:val="single" w:sz="6" w:space="0" w:color="auto"/>
              <w:right w:val="single" w:sz="6" w:space="0" w:color="auto"/>
            </w:tcBorders>
          </w:tcPr>
          <w:p w14:paraId="0BBB19AF" w14:textId="77777777" w:rsidR="00F525B2" w:rsidRDefault="00F525B2" w:rsidP="009B329F">
            <w:pPr>
              <w:pStyle w:val="TAL"/>
              <w:rPr>
                <w:lang w:eastAsia="zh-CN"/>
              </w:rPr>
            </w:pPr>
            <w:r>
              <w:rPr>
                <w:lang w:eastAsia="zh-CN"/>
              </w:rPr>
              <w:t>LocationOrientation</w:t>
            </w:r>
          </w:p>
        </w:tc>
        <w:tc>
          <w:tcPr>
            <w:tcW w:w="286" w:type="dxa"/>
            <w:gridSpan w:val="2"/>
            <w:tcBorders>
              <w:top w:val="single" w:sz="6" w:space="0" w:color="auto"/>
              <w:left w:val="single" w:sz="6" w:space="0" w:color="auto"/>
              <w:bottom w:val="single" w:sz="6" w:space="0" w:color="auto"/>
              <w:right w:val="single" w:sz="6" w:space="0" w:color="auto"/>
            </w:tcBorders>
          </w:tcPr>
          <w:p w14:paraId="23D51276" w14:textId="77777777" w:rsidR="00F525B2" w:rsidRDefault="00F525B2" w:rsidP="009B329F">
            <w:pPr>
              <w:pStyle w:val="TAC"/>
              <w:rPr>
                <w:lang w:eastAsia="zh-CN"/>
              </w:rPr>
            </w:pPr>
            <w:r>
              <w:rPr>
                <w:lang w:eastAsia="zh-CN"/>
              </w:rPr>
              <w:t>O</w:t>
            </w:r>
          </w:p>
        </w:tc>
        <w:tc>
          <w:tcPr>
            <w:tcW w:w="1063" w:type="dxa"/>
            <w:gridSpan w:val="2"/>
            <w:tcBorders>
              <w:top w:val="single" w:sz="6" w:space="0" w:color="auto"/>
              <w:left w:val="single" w:sz="6" w:space="0" w:color="auto"/>
              <w:bottom w:val="single" w:sz="6" w:space="0" w:color="auto"/>
              <w:right w:val="single" w:sz="6" w:space="0" w:color="auto"/>
            </w:tcBorders>
          </w:tcPr>
          <w:p w14:paraId="40320213" w14:textId="77777777" w:rsidR="00F525B2" w:rsidRDefault="00F525B2" w:rsidP="009B329F">
            <w:pPr>
              <w:pStyle w:val="TAL"/>
            </w:pPr>
            <w:r>
              <w:t>0..1</w:t>
            </w:r>
          </w:p>
        </w:tc>
        <w:tc>
          <w:tcPr>
            <w:tcW w:w="2723" w:type="dxa"/>
            <w:gridSpan w:val="2"/>
            <w:tcBorders>
              <w:top w:val="single" w:sz="6" w:space="0" w:color="auto"/>
              <w:left w:val="single" w:sz="6" w:space="0" w:color="auto"/>
              <w:bottom w:val="single" w:sz="6" w:space="0" w:color="auto"/>
              <w:right w:val="single" w:sz="6" w:space="0" w:color="auto"/>
            </w:tcBorders>
          </w:tcPr>
          <w:p w14:paraId="59865823" w14:textId="77777777" w:rsidR="00F525B2" w:rsidRDefault="00F525B2" w:rsidP="009B329F">
            <w:pPr>
              <w:pStyle w:val="TAL"/>
              <w:rPr>
                <w:lang w:eastAsia="zh-CN"/>
              </w:rPr>
            </w:pPr>
            <w:r>
              <w:rPr>
                <w:lang w:eastAsia="zh-CN"/>
              </w:rPr>
              <w:t>Indicates the preferred orientation of location information.</w:t>
            </w:r>
          </w:p>
        </w:tc>
        <w:tc>
          <w:tcPr>
            <w:tcW w:w="1504" w:type="dxa"/>
            <w:gridSpan w:val="3"/>
            <w:tcBorders>
              <w:top w:val="single" w:sz="6" w:space="0" w:color="auto"/>
              <w:left w:val="single" w:sz="6" w:space="0" w:color="auto"/>
              <w:bottom w:val="single" w:sz="6" w:space="0" w:color="auto"/>
              <w:right w:val="single" w:sz="6" w:space="0" w:color="auto"/>
            </w:tcBorders>
          </w:tcPr>
          <w:p w14:paraId="11F00A43" w14:textId="77777777" w:rsidR="00F525B2" w:rsidRDefault="00F525B2" w:rsidP="009B329F">
            <w:pPr>
              <w:pStyle w:val="TAL"/>
            </w:pPr>
            <w:r>
              <w:t>MovementBehaviour</w:t>
            </w:r>
          </w:p>
          <w:p w14:paraId="40C6741F" w14:textId="77777777" w:rsidR="00F525B2" w:rsidRDefault="00F525B2" w:rsidP="009B329F">
            <w:pPr>
              <w:pStyle w:val="TAL"/>
            </w:pPr>
            <w:r>
              <w:t>UeMobilityExt2_eNA</w:t>
            </w:r>
          </w:p>
        </w:tc>
      </w:tr>
      <w:tr w:rsidR="00F525B2" w14:paraId="59ADED78" w14:textId="77777777" w:rsidTr="009B329F">
        <w:trPr>
          <w:trHeight w:val="90"/>
          <w:jc w:val="center"/>
        </w:trPr>
        <w:tc>
          <w:tcPr>
            <w:tcW w:w="1603" w:type="dxa"/>
            <w:gridSpan w:val="2"/>
          </w:tcPr>
          <w:p w14:paraId="74CC2D57" w14:textId="77777777" w:rsidR="00F525B2" w:rsidRDefault="00F525B2" w:rsidP="009B329F">
            <w:pPr>
              <w:pStyle w:val="TAL"/>
              <w:rPr>
                <w:lang w:eastAsia="zh-CN"/>
              </w:rPr>
            </w:pPr>
            <w:r>
              <w:rPr>
                <w:rFonts w:hint="eastAsia"/>
                <w:lang w:eastAsia="zh-CN"/>
              </w:rPr>
              <w:t>a</w:t>
            </w:r>
            <w:r>
              <w:rPr>
                <w:lang w:eastAsia="zh-CN"/>
              </w:rPr>
              <w:t>ccuReq</w:t>
            </w:r>
          </w:p>
        </w:tc>
        <w:tc>
          <w:tcPr>
            <w:tcW w:w="2001" w:type="dxa"/>
            <w:gridSpan w:val="2"/>
          </w:tcPr>
          <w:p w14:paraId="57F449A1" w14:textId="77777777" w:rsidR="00F525B2" w:rsidRDefault="00F525B2" w:rsidP="009B329F">
            <w:pPr>
              <w:pStyle w:val="TAL"/>
              <w:rPr>
                <w:lang w:eastAsia="zh-CN"/>
              </w:rPr>
            </w:pPr>
            <w:r>
              <w:t>AccuracyReq</w:t>
            </w:r>
          </w:p>
        </w:tc>
        <w:tc>
          <w:tcPr>
            <w:tcW w:w="286" w:type="dxa"/>
            <w:gridSpan w:val="2"/>
          </w:tcPr>
          <w:p w14:paraId="51B99C66" w14:textId="77777777" w:rsidR="00F525B2" w:rsidRDefault="00F525B2" w:rsidP="009B329F">
            <w:pPr>
              <w:pStyle w:val="TAC"/>
              <w:rPr>
                <w:lang w:eastAsia="zh-CN"/>
              </w:rPr>
            </w:pPr>
            <w:r>
              <w:rPr>
                <w:rFonts w:hint="eastAsia"/>
                <w:lang w:eastAsia="zh-CN"/>
              </w:rPr>
              <w:t>O</w:t>
            </w:r>
          </w:p>
        </w:tc>
        <w:tc>
          <w:tcPr>
            <w:tcW w:w="1063" w:type="dxa"/>
            <w:gridSpan w:val="2"/>
          </w:tcPr>
          <w:p w14:paraId="58B1D902" w14:textId="77777777" w:rsidR="00F525B2" w:rsidRDefault="00F525B2" w:rsidP="009B329F">
            <w:pPr>
              <w:pStyle w:val="TAL"/>
            </w:pPr>
            <w:r>
              <w:t>0..1</w:t>
            </w:r>
          </w:p>
        </w:tc>
        <w:tc>
          <w:tcPr>
            <w:tcW w:w="2723" w:type="dxa"/>
            <w:gridSpan w:val="2"/>
          </w:tcPr>
          <w:p w14:paraId="39DF0768" w14:textId="77777777" w:rsidR="00F525B2" w:rsidRDefault="00F525B2" w:rsidP="009B329F">
            <w:pPr>
              <w:pStyle w:val="TAL"/>
              <w:rPr>
                <w:lang w:val="en-US" w:eastAsia="zh-CN"/>
              </w:rPr>
            </w:pPr>
            <w:r>
              <w:rPr>
                <w:lang w:val="en-US" w:eastAsia="zh-CN"/>
              </w:rPr>
              <w:t xml:space="preserve">Represents the </w:t>
            </w:r>
            <w:r>
              <w:t>analytics accuracy requirement information</w:t>
            </w:r>
            <w:r>
              <w:rPr>
                <w:lang w:val="en-US" w:eastAsia="zh-CN"/>
              </w:rPr>
              <w:t>.</w:t>
            </w:r>
          </w:p>
          <w:p w14:paraId="3C2BE6EA" w14:textId="77777777" w:rsidR="00F525B2" w:rsidRDefault="00F525B2" w:rsidP="009B329F">
            <w:pPr>
              <w:pStyle w:val="TAL"/>
              <w:rPr>
                <w:lang w:eastAsia="zh-CN"/>
              </w:rPr>
            </w:pPr>
            <w:r>
              <w:rPr>
                <w:lang w:eastAsia="zh-CN"/>
              </w:rPr>
              <w:t>May be included as indication to the NWDAF (containing an AnLF supporting Accuracy checking capability) to activate checking the analytics accuracy information of the event.</w:t>
            </w:r>
          </w:p>
        </w:tc>
        <w:tc>
          <w:tcPr>
            <w:tcW w:w="1504" w:type="dxa"/>
            <w:gridSpan w:val="3"/>
          </w:tcPr>
          <w:p w14:paraId="7B467971" w14:textId="77777777" w:rsidR="00F525B2" w:rsidRDefault="00F525B2" w:rsidP="009B329F">
            <w:pPr>
              <w:pStyle w:val="TAL"/>
            </w:pPr>
            <w:r>
              <w:rPr>
                <w:lang w:eastAsia="zh-CN"/>
              </w:rPr>
              <w:t>Analytics</w:t>
            </w:r>
            <w:r>
              <w:rPr>
                <w:rFonts w:hint="eastAsia"/>
                <w:lang w:eastAsia="zh-CN"/>
              </w:rPr>
              <w:t>A</w:t>
            </w:r>
            <w:r>
              <w:rPr>
                <w:lang w:eastAsia="zh-CN"/>
              </w:rPr>
              <w:t>ccuracy</w:t>
            </w:r>
          </w:p>
        </w:tc>
      </w:tr>
      <w:tr w:rsidR="00F525B2" w14:paraId="291912A6" w14:textId="77777777" w:rsidTr="009B329F">
        <w:trPr>
          <w:trHeight w:val="90"/>
          <w:jc w:val="center"/>
        </w:trPr>
        <w:tc>
          <w:tcPr>
            <w:tcW w:w="1603" w:type="dxa"/>
            <w:gridSpan w:val="2"/>
            <w:tcBorders>
              <w:top w:val="single" w:sz="6" w:space="0" w:color="auto"/>
              <w:left w:val="single" w:sz="6" w:space="0" w:color="auto"/>
              <w:bottom w:val="single" w:sz="6" w:space="0" w:color="auto"/>
              <w:right w:val="single" w:sz="6" w:space="0" w:color="auto"/>
            </w:tcBorders>
          </w:tcPr>
          <w:p w14:paraId="007BF388" w14:textId="77777777" w:rsidR="00F525B2" w:rsidRDefault="00F525B2" w:rsidP="009B329F">
            <w:pPr>
              <w:pStyle w:val="TAL"/>
              <w:rPr>
                <w:lang w:eastAsia="zh-CN"/>
              </w:rPr>
            </w:pPr>
            <w:r>
              <w:rPr>
                <w:lang w:eastAsia="zh-CN"/>
              </w:rPr>
              <w:t>movBehavReqs</w:t>
            </w:r>
          </w:p>
        </w:tc>
        <w:tc>
          <w:tcPr>
            <w:tcW w:w="2001" w:type="dxa"/>
            <w:gridSpan w:val="2"/>
            <w:tcBorders>
              <w:top w:val="single" w:sz="6" w:space="0" w:color="auto"/>
              <w:left w:val="single" w:sz="6" w:space="0" w:color="auto"/>
              <w:bottom w:val="single" w:sz="6" w:space="0" w:color="auto"/>
              <w:right w:val="single" w:sz="6" w:space="0" w:color="auto"/>
            </w:tcBorders>
          </w:tcPr>
          <w:p w14:paraId="2E3A6134" w14:textId="77777777" w:rsidR="00F525B2" w:rsidRDefault="00F525B2" w:rsidP="009B329F">
            <w:pPr>
              <w:pStyle w:val="TAL"/>
            </w:pPr>
            <w:r>
              <w:t>array(MovBehavReq)</w:t>
            </w:r>
          </w:p>
        </w:tc>
        <w:tc>
          <w:tcPr>
            <w:tcW w:w="286" w:type="dxa"/>
            <w:gridSpan w:val="2"/>
            <w:tcBorders>
              <w:top w:val="single" w:sz="6" w:space="0" w:color="auto"/>
              <w:left w:val="single" w:sz="6" w:space="0" w:color="auto"/>
              <w:bottom w:val="single" w:sz="6" w:space="0" w:color="auto"/>
              <w:right w:val="single" w:sz="6" w:space="0" w:color="auto"/>
            </w:tcBorders>
          </w:tcPr>
          <w:p w14:paraId="10AFD598" w14:textId="77777777" w:rsidR="00F525B2" w:rsidRDefault="00F525B2" w:rsidP="009B329F">
            <w:pPr>
              <w:pStyle w:val="TAC"/>
              <w:rPr>
                <w:lang w:eastAsia="zh-CN"/>
              </w:rPr>
            </w:pPr>
            <w:r>
              <w:rPr>
                <w:lang w:eastAsia="zh-CN"/>
              </w:rPr>
              <w:t>O</w:t>
            </w:r>
          </w:p>
        </w:tc>
        <w:tc>
          <w:tcPr>
            <w:tcW w:w="1063" w:type="dxa"/>
            <w:gridSpan w:val="2"/>
            <w:tcBorders>
              <w:top w:val="single" w:sz="6" w:space="0" w:color="auto"/>
              <w:left w:val="single" w:sz="6" w:space="0" w:color="auto"/>
              <w:bottom w:val="single" w:sz="6" w:space="0" w:color="auto"/>
              <w:right w:val="single" w:sz="6" w:space="0" w:color="auto"/>
            </w:tcBorders>
          </w:tcPr>
          <w:p w14:paraId="44A1F50F" w14:textId="77777777" w:rsidR="00F525B2" w:rsidRDefault="00F525B2" w:rsidP="009B329F">
            <w:pPr>
              <w:pStyle w:val="TAL"/>
            </w:pPr>
            <w:r>
              <w:t>1..N</w:t>
            </w:r>
          </w:p>
        </w:tc>
        <w:tc>
          <w:tcPr>
            <w:tcW w:w="2723" w:type="dxa"/>
            <w:gridSpan w:val="2"/>
            <w:tcBorders>
              <w:top w:val="single" w:sz="6" w:space="0" w:color="auto"/>
              <w:left w:val="single" w:sz="6" w:space="0" w:color="auto"/>
              <w:bottom w:val="single" w:sz="6" w:space="0" w:color="auto"/>
              <w:right w:val="single" w:sz="6" w:space="0" w:color="auto"/>
            </w:tcBorders>
          </w:tcPr>
          <w:p w14:paraId="14431190" w14:textId="77777777" w:rsidR="00F525B2" w:rsidRDefault="00F525B2" w:rsidP="009B329F">
            <w:pPr>
              <w:pStyle w:val="TAL"/>
              <w:rPr>
                <w:lang w:val="en-US" w:eastAsia="zh-CN"/>
              </w:rPr>
            </w:pPr>
            <w:r>
              <w:rPr>
                <w:lang w:val="en-US" w:eastAsia="zh-CN"/>
              </w:rPr>
              <w:t>Represents the Movement Behaviour analytics requirements.</w:t>
            </w:r>
          </w:p>
        </w:tc>
        <w:tc>
          <w:tcPr>
            <w:tcW w:w="1504" w:type="dxa"/>
            <w:gridSpan w:val="3"/>
            <w:tcBorders>
              <w:top w:val="single" w:sz="6" w:space="0" w:color="auto"/>
              <w:left w:val="single" w:sz="6" w:space="0" w:color="auto"/>
              <w:bottom w:val="single" w:sz="6" w:space="0" w:color="auto"/>
              <w:right w:val="single" w:sz="6" w:space="0" w:color="auto"/>
            </w:tcBorders>
          </w:tcPr>
          <w:p w14:paraId="6C0579A8" w14:textId="77777777" w:rsidR="00F525B2" w:rsidRDefault="00F525B2" w:rsidP="009B329F">
            <w:pPr>
              <w:pStyle w:val="TAL"/>
              <w:rPr>
                <w:lang w:eastAsia="zh-CN"/>
              </w:rPr>
            </w:pPr>
            <w:r>
              <w:rPr>
                <w:lang w:eastAsia="zh-CN"/>
              </w:rPr>
              <w:t>MovementBehaviour</w:t>
            </w:r>
          </w:p>
        </w:tc>
      </w:tr>
      <w:tr w:rsidR="00F525B2" w14:paraId="32EBA059" w14:textId="77777777" w:rsidTr="009B329F">
        <w:trPr>
          <w:trHeight w:val="90"/>
          <w:jc w:val="center"/>
        </w:trPr>
        <w:tc>
          <w:tcPr>
            <w:tcW w:w="1603" w:type="dxa"/>
            <w:gridSpan w:val="2"/>
            <w:tcBorders>
              <w:top w:val="single" w:sz="6" w:space="0" w:color="auto"/>
              <w:left w:val="single" w:sz="6" w:space="0" w:color="auto"/>
              <w:bottom w:val="single" w:sz="6" w:space="0" w:color="auto"/>
              <w:right w:val="single" w:sz="6" w:space="0" w:color="auto"/>
            </w:tcBorders>
          </w:tcPr>
          <w:p w14:paraId="41ED4472" w14:textId="77777777" w:rsidR="00F525B2" w:rsidRDefault="00F525B2" w:rsidP="009B329F">
            <w:pPr>
              <w:pStyle w:val="TAL"/>
              <w:rPr>
                <w:lang w:eastAsia="zh-CN"/>
              </w:rPr>
            </w:pPr>
            <w:r>
              <w:rPr>
                <w:lang w:eastAsia="zh-CN"/>
              </w:rPr>
              <w:t>relProxReqs</w:t>
            </w:r>
          </w:p>
        </w:tc>
        <w:tc>
          <w:tcPr>
            <w:tcW w:w="2001" w:type="dxa"/>
            <w:gridSpan w:val="2"/>
            <w:tcBorders>
              <w:top w:val="single" w:sz="6" w:space="0" w:color="auto"/>
              <w:left w:val="single" w:sz="6" w:space="0" w:color="auto"/>
              <w:bottom w:val="single" w:sz="6" w:space="0" w:color="auto"/>
              <w:right w:val="single" w:sz="6" w:space="0" w:color="auto"/>
            </w:tcBorders>
          </w:tcPr>
          <w:p w14:paraId="46679099" w14:textId="77777777" w:rsidR="00F525B2" w:rsidRDefault="00F525B2" w:rsidP="009B329F">
            <w:pPr>
              <w:pStyle w:val="TAL"/>
            </w:pPr>
            <w:r>
              <w:t>array(RelProxReq)</w:t>
            </w:r>
          </w:p>
        </w:tc>
        <w:tc>
          <w:tcPr>
            <w:tcW w:w="286" w:type="dxa"/>
            <w:gridSpan w:val="2"/>
            <w:tcBorders>
              <w:top w:val="single" w:sz="6" w:space="0" w:color="auto"/>
              <w:left w:val="single" w:sz="6" w:space="0" w:color="auto"/>
              <w:bottom w:val="single" w:sz="6" w:space="0" w:color="auto"/>
              <w:right w:val="single" w:sz="6" w:space="0" w:color="auto"/>
            </w:tcBorders>
          </w:tcPr>
          <w:p w14:paraId="0E23067E" w14:textId="77777777" w:rsidR="00F525B2" w:rsidRDefault="00F525B2" w:rsidP="009B329F">
            <w:pPr>
              <w:pStyle w:val="TAC"/>
              <w:rPr>
                <w:lang w:eastAsia="zh-CN"/>
              </w:rPr>
            </w:pPr>
            <w:r>
              <w:rPr>
                <w:lang w:eastAsia="zh-CN"/>
              </w:rPr>
              <w:t>O</w:t>
            </w:r>
          </w:p>
        </w:tc>
        <w:tc>
          <w:tcPr>
            <w:tcW w:w="1063" w:type="dxa"/>
            <w:gridSpan w:val="2"/>
            <w:tcBorders>
              <w:top w:val="single" w:sz="6" w:space="0" w:color="auto"/>
              <w:left w:val="single" w:sz="6" w:space="0" w:color="auto"/>
              <w:bottom w:val="single" w:sz="6" w:space="0" w:color="auto"/>
              <w:right w:val="single" w:sz="6" w:space="0" w:color="auto"/>
            </w:tcBorders>
          </w:tcPr>
          <w:p w14:paraId="70BCB922" w14:textId="77777777" w:rsidR="00F525B2" w:rsidRDefault="00F525B2" w:rsidP="009B329F">
            <w:pPr>
              <w:pStyle w:val="TAL"/>
            </w:pPr>
            <w:r>
              <w:t>1..N</w:t>
            </w:r>
          </w:p>
        </w:tc>
        <w:tc>
          <w:tcPr>
            <w:tcW w:w="2723" w:type="dxa"/>
            <w:gridSpan w:val="2"/>
            <w:tcBorders>
              <w:top w:val="single" w:sz="6" w:space="0" w:color="auto"/>
              <w:left w:val="single" w:sz="6" w:space="0" w:color="auto"/>
              <w:bottom w:val="single" w:sz="6" w:space="0" w:color="auto"/>
              <w:right w:val="single" w:sz="6" w:space="0" w:color="auto"/>
            </w:tcBorders>
          </w:tcPr>
          <w:p w14:paraId="13173162" w14:textId="77777777" w:rsidR="00F525B2" w:rsidRDefault="00F525B2" w:rsidP="009B329F">
            <w:pPr>
              <w:pStyle w:val="TAL"/>
              <w:rPr>
                <w:lang w:val="en-US" w:eastAsia="zh-CN"/>
              </w:rPr>
            </w:pPr>
            <w:r>
              <w:rPr>
                <w:lang w:val="en-US" w:eastAsia="zh-CN"/>
              </w:rPr>
              <w:t>Represents the Relative Proximity analytics requirements.</w:t>
            </w:r>
          </w:p>
        </w:tc>
        <w:tc>
          <w:tcPr>
            <w:tcW w:w="1504" w:type="dxa"/>
            <w:gridSpan w:val="3"/>
            <w:tcBorders>
              <w:top w:val="single" w:sz="6" w:space="0" w:color="auto"/>
              <w:left w:val="single" w:sz="6" w:space="0" w:color="auto"/>
              <w:bottom w:val="single" w:sz="6" w:space="0" w:color="auto"/>
              <w:right w:val="single" w:sz="6" w:space="0" w:color="auto"/>
            </w:tcBorders>
          </w:tcPr>
          <w:p w14:paraId="7BCE42F5" w14:textId="77777777" w:rsidR="00F525B2" w:rsidRDefault="00F525B2" w:rsidP="009B329F">
            <w:pPr>
              <w:pStyle w:val="TAL"/>
              <w:rPr>
                <w:lang w:eastAsia="zh-CN"/>
              </w:rPr>
            </w:pPr>
            <w:r>
              <w:rPr>
                <w:lang w:eastAsia="zh-CN"/>
              </w:rPr>
              <w:t>RelativeProximity</w:t>
            </w:r>
          </w:p>
        </w:tc>
      </w:tr>
      <w:tr w:rsidR="00F525B2" w14:paraId="6D337E83"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14734D2D" w14:textId="77777777" w:rsidR="00F525B2" w:rsidRDefault="00F525B2" w:rsidP="009B329F">
            <w:pPr>
              <w:pStyle w:val="TAL"/>
              <w:rPr>
                <w:lang w:eastAsia="zh-CN"/>
              </w:rPr>
            </w:pPr>
            <w:r>
              <w:rPr>
                <w:lang w:eastAsia="zh-CN"/>
              </w:rPr>
              <w:lastRenderedPageBreak/>
              <w:t>pauseFlg</w:t>
            </w:r>
          </w:p>
        </w:tc>
        <w:tc>
          <w:tcPr>
            <w:tcW w:w="2002" w:type="dxa"/>
            <w:gridSpan w:val="2"/>
            <w:tcBorders>
              <w:top w:val="single" w:sz="6" w:space="0" w:color="auto"/>
              <w:left w:val="single" w:sz="6" w:space="0" w:color="auto"/>
              <w:bottom w:val="single" w:sz="6" w:space="0" w:color="auto"/>
              <w:right w:val="single" w:sz="6" w:space="0" w:color="auto"/>
            </w:tcBorders>
          </w:tcPr>
          <w:p w14:paraId="26647ED5" w14:textId="77777777" w:rsidR="00F525B2" w:rsidRDefault="00F525B2" w:rsidP="009B329F">
            <w:pPr>
              <w:pStyle w:val="TAL"/>
            </w:pPr>
            <w:r>
              <w:t>boolean</w:t>
            </w:r>
          </w:p>
        </w:tc>
        <w:tc>
          <w:tcPr>
            <w:tcW w:w="286" w:type="dxa"/>
            <w:gridSpan w:val="2"/>
            <w:tcBorders>
              <w:top w:val="single" w:sz="6" w:space="0" w:color="auto"/>
              <w:left w:val="single" w:sz="6" w:space="0" w:color="auto"/>
              <w:bottom w:val="single" w:sz="6" w:space="0" w:color="auto"/>
              <w:right w:val="single" w:sz="6" w:space="0" w:color="auto"/>
            </w:tcBorders>
          </w:tcPr>
          <w:p w14:paraId="78626FCB" w14:textId="77777777" w:rsidR="00F525B2" w:rsidRDefault="00F525B2" w:rsidP="009B329F">
            <w:pPr>
              <w:pStyle w:val="TAC"/>
              <w:rPr>
                <w:lang w:eastAsia="zh-CN"/>
              </w:rPr>
            </w:pPr>
            <w:r>
              <w:t>O</w:t>
            </w:r>
          </w:p>
        </w:tc>
        <w:tc>
          <w:tcPr>
            <w:tcW w:w="1064" w:type="dxa"/>
            <w:gridSpan w:val="2"/>
            <w:tcBorders>
              <w:top w:val="single" w:sz="6" w:space="0" w:color="auto"/>
              <w:left w:val="single" w:sz="6" w:space="0" w:color="auto"/>
              <w:bottom w:val="single" w:sz="6" w:space="0" w:color="auto"/>
              <w:right w:val="single" w:sz="6" w:space="0" w:color="auto"/>
            </w:tcBorders>
          </w:tcPr>
          <w:p w14:paraId="7367A459" w14:textId="77777777" w:rsidR="00F525B2" w:rsidRDefault="00F525B2" w:rsidP="009B329F">
            <w:pPr>
              <w:pStyle w:val="TAL"/>
            </w:pPr>
            <w:r>
              <w:t>0..1</w:t>
            </w:r>
          </w:p>
        </w:tc>
        <w:tc>
          <w:tcPr>
            <w:tcW w:w="2724" w:type="dxa"/>
            <w:gridSpan w:val="2"/>
            <w:tcBorders>
              <w:top w:val="single" w:sz="6" w:space="0" w:color="auto"/>
              <w:left w:val="single" w:sz="6" w:space="0" w:color="auto"/>
              <w:bottom w:val="single" w:sz="6" w:space="0" w:color="auto"/>
              <w:right w:val="single" w:sz="6" w:space="0" w:color="auto"/>
            </w:tcBorders>
          </w:tcPr>
          <w:p w14:paraId="6A18CFDC" w14:textId="77777777" w:rsidR="00F525B2" w:rsidRDefault="00F525B2" w:rsidP="009B329F">
            <w:pPr>
              <w:pStyle w:val="TAL"/>
            </w:pPr>
            <w:r>
              <w:t>Pause analytics consumption flag</w:t>
            </w:r>
            <w:r>
              <w:rPr>
                <w:rFonts w:ascii="Calibri" w:hAnsi="Calibri"/>
                <w:sz w:val="22"/>
                <w:szCs w:val="22"/>
              </w:rPr>
              <w:t xml:space="preserve"> </w:t>
            </w:r>
            <w:r>
              <w:t>applicable on analytics ID level. Set to "true" to indicate the NWDAF to stop including analytics of this event type in its notifications (without cancelling the subscription), because the accuracy level needs to be increased.</w:t>
            </w:r>
          </w:p>
          <w:p w14:paraId="54EB098E" w14:textId="77777777" w:rsidR="00F525B2" w:rsidRDefault="00F525B2" w:rsidP="009B329F">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7DA763C" w14:textId="77777777" w:rsidR="00F525B2" w:rsidRDefault="00F525B2" w:rsidP="009B329F">
            <w:pPr>
              <w:pStyle w:val="TAL"/>
              <w:rPr>
                <w:lang w:val="en-US" w:eastAsia="zh-CN"/>
              </w:rPr>
            </w:pPr>
          </w:p>
          <w:p w14:paraId="72F6B9FB" w14:textId="77777777" w:rsidR="00F525B2" w:rsidRDefault="00F525B2" w:rsidP="009B329F">
            <w:pPr>
              <w:pStyle w:val="TAL"/>
              <w:rPr>
                <w:lang w:val="en-US" w:eastAsia="zh-CN"/>
              </w:rPr>
            </w:pPr>
            <w:r>
              <w:rPr>
                <w:lang w:eastAsia="zh-CN"/>
              </w:rPr>
              <w:t>This attribute may be present in a update request message if the "pauseInd" attribute was provided in the notification.</w:t>
            </w:r>
          </w:p>
        </w:tc>
        <w:tc>
          <w:tcPr>
            <w:tcW w:w="1464" w:type="dxa"/>
            <w:gridSpan w:val="2"/>
            <w:tcBorders>
              <w:top w:val="single" w:sz="6" w:space="0" w:color="auto"/>
              <w:left w:val="single" w:sz="6" w:space="0" w:color="auto"/>
              <w:bottom w:val="single" w:sz="6" w:space="0" w:color="auto"/>
              <w:right w:val="single" w:sz="6" w:space="0" w:color="auto"/>
            </w:tcBorders>
          </w:tcPr>
          <w:p w14:paraId="7E49B862" w14:textId="77777777" w:rsidR="00F525B2" w:rsidRDefault="00F525B2" w:rsidP="009B329F">
            <w:pPr>
              <w:pStyle w:val="TAL"/>
              <w:rPr>
                <w:lang w:eastAsia="zh-CN"/>
              </w:rPr>
            </w:pPr>
            <w:r>
              <w:rPr>
                <w:lang w:eastAsia="zh-CN"/>
              </w:rPr>
              <w:t>AnalyticsAccuracy</w:t>
            </w:r>
          </w:p>
        </w:tc>
      </w:tr>
      <w:tr w:rsidR="00F525B2" w14:paraId="0608A249"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6B894B9E" w14:textId="77777777" w:rsidR="00F525B2" w:rsidRDefault="00F525B2" w:rsidP="009B329F">
            <w:pPr>
              <w:pStyle w:val="TAL"/>
              <w:rPr>
                <w:lang w:eastAsia="zh-CN"/>
              </w:rPr>
            </w:pPr>
            <w:r>
              <w:rPr>
                <w:lang w:eastAsia="zh-CN"/>
              </w:rPr>
              <w:t>resumeFlg</w:t>
            </w:r>
          </w:p>
        </w:tc>
        <w:tc>
          <w:tcPr>
            <w:tcW w:w="2002" w:type="dxa"/>
            <w:gridSpan w:val="2"/>
            <w:tcBorders>
              <w:top w:val="single" w:sz="6" w:space="0" w:color="auto"/>
              <w:left w:val="single" w:sz="6" w:space="0" w:color="auto"/>
              <w:bottom w:val="single" w:sz="6" w:space="0" w:color="auto"/>
              <w:right w:val="single" w:sz="6" w:space="0" w:color="auto"/>
            </w:tcBorders>
          </w:tcPr>
          <w:p w14:paraId="0D26D91F" w14:textId="77777777" w:rsidR="00F525B2" w:rsidRDefault="00F525B2" w:rsidP="009B329F">
            <w:pPr>
              <w:pStyle w:val="TAL"/>
            </w:pPr>
            <w:r>
              <w:t>boolean</w:t>
            </w:r>
          </w:p>
        </w:tc>
        <w:tc>
          <w:tcPr>
            <w:tcW w:w="286" w:type="dxa"/>
            <w:gridSpan w:val="2"/>
            <w:tcBorders>
              <w:top w:val="single" w:sz="6" w:space="0" w:color="auto"/>
              <w:left w:val="single" w:sz="6" w:space="0" w:color="auto"/>
              <w:bottom w:val="single" w:sz="6" w:space="0" w:color="auto"/>
              <w:right w:val="single" w:sz="6" w:space="0" w:color="auto"/>
            </w:tcBorders>
          </w:tcPr>
          <w:p w14:paraId="26644352" w14:textId="77777777" w:rsidR="00F525B2" w:rsidRDefault="00F525B2" w:rsidP="009B329F">
            <w:pPr>
              <w:pStyle w:val="TAC"/>
              <w:rPr>
                <w:lang w:eastAsia="zh-CN"/>
              </w:rPr>
            </w:pPr>
            <w:r>
              <w:t>O</w:t>
            </w:r>
          </w:p>
        </w:tc>
        <w:tc>
          <w:tcPr>
            <w:tcW w:w="1064" w:type="dxa"/>
            <w:gridSpan w:val="2"/>
            <w:tcBorders>
              <w:top w:val="single" w:sz="6" w:space="0" w:color="auto"/>
              <w:left w:val="single" w:sz="6" w:space="0" w:color="auto"/>
              <w:bottom w:val="single" w:sz="6" w:space="0" w:color="auto"/>
              <w:right w:val="single" w:sz="6" w:space="0" w:color="auto"/>
            </w:tcBorders>
          </w:tcPr>
          <w:p w14:paraId="6F775815" w14:textId="77777777" w:rsidR="00F525B2" w:rsidRDefault="00F525B2" w:rsidP="009B329F">
            <w:pPr>
              <w:pStyle w:val="TAL"/>
            </w:pPr>
            <w:r>
              <w:t>0..1</w:t>
            </w:r>
          </w:p>
        </w:tc>
        <w:tc>
          <w:tcPr>
            <w:tcW w:w="2724" w:type="dxa"/>
            <w:gridSpan w:val="2"/>
            <w:tcBorders>
              <w:top w:val="single" w:sz="6" w:space="0" w:color="auto"/>
              <w:left w:val="single" w:sz="6" w:space="0" w:color="auto"/>
              <w:bottom w:val="single" w:sz="6" w:space="0" w:color="auto"/>
              <w:right w:val="single" w:sz="6" w:space="0" w:color="auto"/>
            </w:tcBorders>
          </w:tcPr>
          <w:p w14:paraId="507B1FC7" w14:textId="77777777" w:rsidR="00F525B2" w:rsidRDefault="00F525B2" w:rsidP="009B329F">
            <w:pPr>
              <w:pStyle w:val="TAL"/>
            </w:pPr>
            <w:r>
              <w:t xml:space="preserve">Resume analytics consumption flag applicable on analytics ID level. Set to </w:t>
            </w:r>
            <w:r>
              <w:rPr>
                <w:rFonts w:cs="Arial"/>
                <w:szCs w:val="18"/>
                <w:lang w:eastAsia="zh-CN"/>
              </w:rPr>
              <w:t>"</w:t>
            </w:r>
            <w:r>
              <w:t>true</w:t>
            </w:r>
            <w:r>
              <w:rPr>
                <w:rFonts w:cs="Arial"/>
                <w:szCs w:val="18"/>
                <w:lang w:eastAsia="zh-CN"/>
              </w:rPr>
              <w:t>"</w:t>
            </w:r>
            <w:r>
              <w:t xml:space="preserve"> to indicate the NWDAF to resume sending the notifications of analytics because the accuracy has been improved.</w:t>
            </w:r>
          </w:p>
          <w:p w14:paraId="1E7F02C4" w14:textId="77777777" w:rsidR="00F525B2" w:rsidRDefault="00F525B2" w:rsidP="009B329F">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0999DB25" w14:textId="77777777" w:rsidR="00F525B2" w:rsidRDefault="00F525B2" w:rsidP="009B329F">
            <w:pPr>
              <w:pStyle w:val="TAL"/>
              <w:rPr>
                <w:lang w:val="en-US" w:eastAsia="zh-CN"/>
              </w:rPr>
            </w:pPr>
          </w:p>
          <w:p w14:paraId="6E78C7EC" w14:textId="77777777" w:rsidR="00F525B2" w:rsidRDefault="00F525B2" w:rsidP="009B329F">
            <w:pPr>
              <w:pStyle w:val="TAL"/>
              <w:rPr>
                <w:lang w:val="en-US" w:eastAsia="zh-CN"/>
              </w:rPr>
            </w:pPr>
            <w:r>
              <w:rPr>
                <w:lang w:eastAsia="zh-CN"/>
              </w:rPr>
              <w:t>This attribute may be present in a update request message if the "resumeInd" attribute was provided in the notification.</w:t>
            </w:r>
          </w:p>
        </w:tc>
        <w:tc>
          <w:tcPr>
            <w:tcW w:w="1464" w:type="dxa"/>
            <w:gridSpan w:val="2"/>
            <w:tcBorders>
              <w:top w:val="single" w:sz="6" w:space="0" w:color="auto"/>
              <w:left w:val="single" w:sz="6" w:space="0" w:color="auto"/>
              <w:bottom w:val="single" w:sz="6" w:space="0" w:color="auto"/>
              <w:right w:val="single" w:sz="6" w:space="0" w:color="auto"/>
            </w:tcBorders>
          </w:tcPr>
          <w:p w14:paraId="2A9A8C64" w14:textId="77777777" w:rsidR="00F525B2" w:rsidRDefault="00F525B2" w:rsidP="009B329F">
            <w:pPr>
              <w:pStyle w:val="TAL"/>
              <w:rPr>
                <w:lang w:eastAsia="zh-CN"/>
              </w:rPr>
            </w:pPr>
            <w:r>
              <w:rPr>
                <w:lang w:eastAsia="zh-CN"/>
              </w:rPr>
              <w:t>AnalyticsAccuracy</w:t>
            </w:r>
          </w:p>
        </w:tc>
      </w:tr>
      <w:tr w:rsidR="00F525B2" w14:paraId="572C9BFA"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144688B7" w14:textId="77777777" w:rsidR="00F525B2" w:rsidRDefault="00F525B2" w:rsidP="009B329F">
            <w:pPr>
              <w:pStyle w:val="TAL"/>
              <w:rPr>
                <w:lang w:eastAsia="zh-CN"/>
              </w:rPr>
            </w:pPr>
            <w:r>
              <w:rPr>
                <w:lang w:eastAsia="zh-CN"/>
              </w:rPr>
              <w:t>feedback</w:t>
            </w:r>
          </w:p>
        </w:tc>
        <w:tc>
          <w:tcPr>
            <w:tcW w:w="2002" w:type="dxa"/>
            <w:gridSpan w:val="2"/>
            <w:tcBorders>
              <w:top w:val="single" w:sz="6" w:space="0" w:color="auto"/>
              <w:left w:val="single" w:sz="6" w:space="0" w:color="auto"/>
              <w:bottom w:val="single" w:sz="6" w:space="0" w:color="auto"/>
              <w:right w:val="single" w:sz="6" w:space="0" w:color="auto"/>
            </w:tcBorders>
          </w:tcPr>
          <w:p w14:paraId="70F77ED0" w14:textId="77777777" w:rsidR="00F525B2" w:rsidRDefault="00F525B2" w:rsidP="009B329F">
            <w:pPr>
              <w:pStyle w:val="TAL"/>
            </w:pPr>
            <w:r>
              <w:t>AnalyticsFeedbackInfo</w:t>
            </w:r>
          </w:p>
        </w:tc>
        <w:tc>
          <w:tcPr>
            <w:tcW w:w="286" w:type="dxa"/>
            <w:gridSpan w:val="2"/>
            <w:tcBorders>
              <w:top w:val="single" w:sz="6" w:space="0" w:color="auto"/>
              <w:left w:val="single" w:sz="6" w:space="0" w:color="auto"/>
              <w:bottom w:val="single" w:sz="6" w:space="0" w:color="auto"/>
              <w:right w:val="single" w:sz="6" w:space="0" w:color="auto"/>
            </w:tcBorders>
          </w:tcPr>
          <w:p w14:paraId="61C8E374" w14:textId="77777777" w:rsidR="00F525B2" w:rsidRDefault="00F525B2" w:rsidP="009B329F">
            <w:pPr>
              <w:pStyle w:val="TAC"/>
            </w:pPr>
            <w:r>
              <w:t>O</w:t>
            </w:r>
          </w:p>
        </w:tc>
        <w:tc>
          <w:tcPr>
            <w:tcW w:w="1064" w:type="dxa"/>
            <w:gridSpan w:val="2"/>
            <w:tcBorders>
              <w:top w:val="single" w:sz="6" w:space="0" w:color="auto"/>
              <w:left w:val="single" w:sz="6" w:space="0" w:color="auto"/>
              <w:bottom w:val="single" w:sz="6" w:space="0" w:color="auto"/>
              <w:right w:val="single" w:sz="6" w:space="0" w:color="auto"/>
            </w:tcBorders>
          </w:tcPr>
          <w:p w14:paraId="72CAB693" w14:textId="77777777" w:rsidR="00F525B2" w:rsidRDefault="00F525B2" w:rsidP="009B329F">
            <w:pPr>
              <w:pStyle w:val="TAL"/>
            </w:pPr>
            <w:r>
              <w:t>0..1</w:t>
            </w:r>
          </w:p>
        </w:tc>
        <w:tc>
          <w:tcPr>
            <w:tcW w:w="2724" w:type="dxa"/>
            <w:gridSpan w:val="2"/>
            <w:tcBorders>
              <w:top w:val="single" w:sz="6" w:space="0" w:color="auto"/>
              <w:left w:val="single" w:sz="6" w:space="0" w:color="auto"/>
              <w:bottom w:val="single" w:sz="6" w:space="0" w:color="auto"/>
              <w:right w:val="single" w:sz="6" w:space="0" w:color="auto"/>
            </w:tcBorders>
          </w:tcPr>
          <w:p w14:paraId="65CB12A5" w14:textId="77777777" w:rsidR="00F525B2" w:rsidRDefault="00F525B2" w:rsidP="009B329F">
            <w:pPr>
              <w:pStyle w:val="TAL"/>
            </w:pPr>
            <w:r>
              <w:t>Analytics feedback information. It may only be provided in requests to update an existing analytics subscription for predictions.</w:t>
            </w:r>
          </w:p>
        </w:tc>
        <w:tc>
          <w:tcPr>
            <w:tcW w:w="1464" w:type="dxa"/>
            <w:gridSpan w:val="2"/>
            <w:tcBorders>
              <w:top w:val="single" w:sz="6" w:space="0" w:color="auto"/>
              <w:left w:val="single" w:sz="6" w:space="0" w:color="auto"/>
              <w:bottom w:val="single" w:sz="6" w:space="0" w:color="auto"/>
              <w:right w:val="single" w:sz="6" w:space="0" w:color="auto"/>
            </w:tcBorders>
          </w:tcPr>
          <w:p w14:paraId="3A973DDA" w14:textId="77777777" w:rsidR="00F525B2" w:rsidRDefault="00F525B2" w:rsidP="009B329F">
            <w:pPr>
              <w:pStyle w:val="TAL"/>
              <w:rPr>
                <w:lang w:eastAsia="zh-CN"/>
              </w:rPr>
            </w:pPr>
            <w:r>
              <w:rPr>
                <w:lang w:eastAsia="zh-CN"/>
              </w:rPr>
              <w:t>AnalyticsAccuracy</w:t>
            </w:r>
          </w:p>
        </w:tc>
      </w:tr>
      <w:tr w:rsidR="00F525B2" w14:paraId="1959C0E2"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6568A01B" w14:textId="77777777" w:rsidR="00F525B2" w:rsidRDefault="00F525B2" w:rsidP="009B329F">
            <w:pPr>
              <w:pStyle w:val="TAL"/>
              <w:rPr>
                <w:lang w:eastAsia="zh-CN"/>
              </w:rPr>
            </w:pPr>
            <w:r>
              <w:rPr>
                <w:lang w:eastAsia="zh-CN"/>
              </w:rPr>
              <w:t>sigStormReqs</w:t>
            </w:r>
          </w:p>
        </w:tc>
        <w:tc>
          <w:tcPr>
            <w:tcW w:w="2002" w:type="dxa"/>
            <w:gridSpan w:val="2"/>
            <w:tcBorders>
              <w:top w:val="single" w:sz="6" w:space="0" w:color="auto"/>
              <w:left w:val="single" w:sz="6" w:space="0" w:color="auto"/>
              <w:bottom w:val="single" w:sz="6" w:space="0" w:color="auto"/>
              <w:right w:val="single" w:sz="6" w:space="0" w:color="auto"/>
            </w:tcBorders>
          </w:tcPr>
          <w:p w14:paraId="79D3274A" w14:textId="77777777" w:rsidR="00F525B2" w:rsidRDefault="00F525B2" w:rsidP="009B329F">
            <w:pPr>
              <w:pStyle w:val="TAL"/>
            </w:pPr>
            <w:r>
              <w:t>array(SignalStormReq)</w:t>
            </w:r>
          </w:p>
        </w:tc>
        <w:tc>
          <w:tcPr>
            <w:tcW w:w="286" w:type="dxa"/>
            <w:gridSpan w:val="2"/>
            <w:tcBorders>
              <w:top w:val="single" w:sz="6" w:space="0" w:color="auto"/>
              <w:left w:val="single" w:sz="6" w:space="0" w:color="auto"/>
              <w:bottom w:val="single" w:sz="6" w:space="0" w:color="auto"/>
              <w:right w:val="single" w:sz="6" w:space="0" w:color="auto"/>
            </w:tcBorders>
          </w:tcPr>
          <w:p w14:paraId="349728E9" w14:textId="77777777" w:rsidR="00F525B2" w:rsidRDefault="00F525B2" w:rsidP="009B329F">
            <w:pPr>
              <w:pStyle w:val="TAC"/>
            </w:pPr>
            <w:r>
              <w:rPr>
                <w:lang w:eastAsia="zh-CN"/>
              </w:rPr>
              <w:t>O</w:t>
            </w:r>
          </w:p>
        </w:tc>
        <w:tc>
          <w:tcPr>
            <w:tcW w:w="1064" w:type="dxa"/>
            <w:gridSpan w:val="2"/>
            <w:tcBorders>
              <w:top w:val="single" w:sz="6" w:space="0" w:color="auto"/>
              <w:left w:val="single" w:sz="6" w:space="0" w:color="auto"/>
              <w:bottom w:val="single" w:sz="6" w:space="0" w:color="auto"/>
              <w:right w:val="single" w:sz="6" w:space="0" w:color="auto"/>
            </w:tcBorders>
          </w:tcPr>
          <w:p w14:paraId="26094332" w14:textId="77777777" w:rsidR="00F525B2" w:rsidRDefault="00F525B2" w:rsidP="009B329F">
            <w:pPr>
              <w:pStyle w:val="TAL"/>
            </w:pPr>
            <w:r>
              <w:t>1..N</w:t>
            </w:r>
          </w:p>
        </w:tc>
        <w:tc>
          <w:tcPr>
            <w:tcW w:w="2724" w:type="dxa"/>
            <w:gridSpan w:val="2"/>
            <w:tcBorders>
              <w:top w:val="single" w:sz="6" w:space="0" w:color="auto"/>
              <w:left w:val="single" w:sz="6" w:space="0" w:color="auto"/>
              <w:bottom w:val="single" w:sz="6" w:space="0" w:color="auto"/>
              <w:right w:val="single" w:sz="6" w:space="0" w:color="auto"/>
            </w:tcBorders>
          </w:tcPr>
          <w:p w14:paraId="4C6392C1" w14:textId="77777777" w:rsidR="00F525B2" w:rsidRDefault="00F525B2" w:rsidP="009B329F">
            <w:pPr>
              <w:pStyle w:val="TAL"/>
            </w:pPr>
            <w:r>
              <w:t xml:space="preserve">Represents the </w:t>
            </w:r>
            <w:r>
              <w:rPr>
                <w:rFonts w:eastAsia="Malgun Gothic"/>
                <w:lang w:eastAsia="ko-KR"/>
              </w:rPr>
              <w:t>signalling storm</w:t>
            </w:r>
            <w:r>
              <w:t xml:space="preserve"> </w:t>
            </w:r>
            <w:r>
              <w:rPr>
                <w:lang w:val="en-US" w:eastAsia="zh-CN"/>
              </w:rPr>
              <w:t xml:space="preserve">analytics </w:t>
            </w:r>
            <w:r>
              <w:t>requirements. This attribute may be included when the subscribed event is "SIGNALLING_STORM".</w:t>
            </w:r>
          </w:p>
        </w:tc>
        <w:tc>
          <w:tcPr>
            <w:tcW w:w="1464" w:type="dxa"/>
            <w:gridSpan w:val="2"/>
            <w:tcBorders>
              <w:top w:val="single" w:sz="6" w:space="0" w:color="auto"/>
              <w:left w:val="single" w:sz="6" w:space="0" w:color="auto"/>
              <w:bottom w:val="single" w:sz="6" w:space="0" w:color="auto"/>
              <w:right w:val="single" w:sz="6" w:space="0" w:color="auto"/>
            </w:tcBorders>
          </w:tcPr>
          <w:p w14:paraId="2301DBCB" w14:textId="77777777" w:rsidR="00F525B2" w:rsidRDefault="00F525B2" w:rsidP="009B329F">
            <w:pPr>
              <w:pStyle w:val="TAL"/>
              <w:rPr>
                <w:lang w:eastAsia="zh-CN"/>
              </w:rPr>
            </w:pPr>
            <w:r>
              <w:t>S</w:t>
            </w:r>
            <w:r w:rsidRPr="001C406B">
              <w:t>ignalling</w:t>
            </w:r>
            <w:r>
              <w:t>S</w:t>
            </w:r>
            <w:r w:rsidRPr="001C406B">
              <w:t>torm</w:t>
            </w:r>
          </w:p>
        </w:tc>
      </w:tr>
      <w:tr w:rsidR="00F525B2" w14:paraId="359DFD6F" w14:textId="77777777" w:rsidTr="009B329F">
        <w:trPr>
          <w:gridBefore w:val="1"/>
          <w:wBefore w:w="35" w:type="dxa"/>
          <w:trHeight w:val="90"/>
          <w:jc w:val="center"/>
        </w:trPr>
        <w:tc>
          <w:tcPr>
            <w:tcW w:w="1605" w:type="dxa"/>
            <w:gridSpan w:val="2"/>
            <w:tcBorders>
              <w:top w:val="single" w:sz="6" w:space="0" w:color="auto"/>
              <w:left w:val="single" w:sz="6" w:space="0" w:color="auto"/>
              <w:bottom w:val="single" w:sz="6" w:space="0" w:color="auto"/>
              <w:right w:val="single" w:sz="6" w:space="0" w:color="auto"/>
            </w:tcBorders>
          </w:tcPr>
          <w:p w14:paraId="2349522E" w14:textId="77777777" w:rsidR="00F525B2" w:rsidRDefault="00F525B2" w:rsidP="009B329F">
            <w:pPr>
              <w:pStyle w:val="TAL"/>
              <w:rPr>
                <w:lang w:eastAsia="zh-CN"/>
              </w:rPr>
            </w:pPr>
            <w:r>
              <w:rPr>
                <w:lang w:eastAsia="zh-CN"/>
              </w:rPr>
              <w:t>qosPolAssistReqs</w:t>
            </w:r>
          </w:p>
        </w:tc>
        <w:tc>
          <w:tcPr>
            <w:tcW w:w="2002" w:type="dxa"/>
            <w:gridSpan w:val="2"/>
            <w:tcBorders>
              <w:top w:val="single" w:sz="6" w:space="0" w:color="auto"/>
              <w:left w:val="single" w:sz="6" w:space="0" w:color="auto"/>
              <w:bottom w:val="single" w:sz="6" w:space="0" w:color="auto"/>
              <w:right w:val="single" w:sz="6" w:space="0" w:color="auto"/>
            </w:tcBorders>
          </w:tcPr>
          <w:p w14:paraId="4EE26B67" w14:textId="77777777" w:rsidR="00F525B2" w:rsidRDefault="00F525B2" w:rsidP="009B329F">
            <w:pPr>
              <w:pStyle w:val="TAL"/>
            </w:pPr>
            <w:r>
              <w:t>array(QosPolicyAssistReq)</w:t>
            </w:r>
          </w:p>
        </w:tc>
        <w:tc>
          <w:tcPr>
            <w:tcW w:w="286" w:type="dxa"/>
            <w:gridSpan w:val="2"/>
            <w:tcBorders>
              <w:top w:val="single" w:sz="6" w:space="0" w:color="auto"/>
              <w:left w:val="single" w:sz="6" w:space="0" w:color="auto"/>
              <w:bottom w:val="single" w:sz="6" w:space="0" w:color="auto"/>
              <w:right w:val="single" w:sz="6" w:space="0" w:color="auto"/>
            </w:tcBorders>
          </w:tcPr>
          <w:p w14:paraId="5F3F2D33" w14:textId="77777777" w:rsidR="00F525B2" w:rsidRDefault="00F525B2" w:rsidP="009B329F">
            <w:pPr>
              <w:pStyle w:val="TAC"/>
              <w:rPr>
                <w:lang w:eastAsia="zh-CN"/>
              </w:rPr>
            </w:pPr>
            <w:r>
              <w:rPr>
                <w:rFonts w:hint="eastAsia"/>
                <w:lang w:eastAsia="zh-CN"/>
              </w:rPr>
              <w:t>C</w:t>
            </w:r>
          </w:p>
        </w:tc>
        <w:tc>
          <w:tcPr>
            <w:tcW w:w="1064" w:type="dxa"/>
            <w:gridSpan w:val="2"/>
            <w:tcBorders>
              <w:top w:val="single" w:sz="6" w:space="0" w:color="auto"/>
              <w:left w:val="single" w:sz="6" w:space="0" w:color="auto"/>
              <w:bottom w:val="single" w:sz="6" w:space="0" w:color="auto"/>
              <w:right w:val="single" w:sz="6" w:space="0" w:color="auto"/>
            </w:tcBorders>
          </w:tcPr>
          <w:p w14:paraId="15B5F51E" w14:textId="77777777" w:rsidR="00F525B2" w:rsidRDefault="00F525B2" w:rsidP="009B329F">
            <w:pPr>
              <w:pStyle w:val="TAL"/>
            </w:pPr>
            <w:r>
              <w:t>1..N</w:t>
            </w:r>
          </w:p>
        </w:tc>
        <w:tc>
          <w:tcPr>
            <w:tcW w:w="2724" w:type="dxa"/>
            <w:gridSpan w:val="2"/>
            <w:tcBorders>
              <w:top w:val="single" w:sz="6" w:space="0" w:color="auto"/>
              <w:left w:val="single" w:sz="6" w:space="0" w:color="auto"/>
              <w:bottom w:val="single" w:sz="6" w:space="0" w:color="auto"/>
              <w:right w:val="single" w:sz="6" w:space="0" w:color="auto"/>
            </w:tcBorders>
          </w:tcPr>
          <w:p w14:paraId="00892F7B" w14:textId="77777777" w:rsidR="00F525B2" w:rsidRDefault="00F525B2" w:rsidP="009B329F">
            <w:pPr>
              <w:pStyle w:val="TAL"/>
            </w:pPr>
            <w:r>
              <w:t xml:space="preserve">Represents the QoS and policy assistance analytics requirements. </w:t>
            </w:r>
          </w:p>
          <w:p w14:paraId="29EF4246" w14:textId="77777777" w:rsidR="00F525B2" w:rsidRDefault="00F525B2" w:rsidP="009B329F">
            <w:pPr>
              <w:pStyle w:val="TAL"/>
            </w:pPr>
            <w:r>
              <w:rPr>
                <w:rFonts w:hint="eastAsia"/>
                <w:lang w:eastAsia="zh-CN"/>
              </w:rPr>
              <w:t>Shall</w:t>
            </w:r>
            <w:r>
              <w:t xml:space="preserve"> only be present when the subscribed event is "QOS_POLICY_ASSIST".</w:t>
            </w:r>
          </w:p>
        </w:tc>
        <w:tc>
          <w:tcPr>
            <w:tcW w:w="1464" w:type="dxa"/>
            <w:gridSpan w:val="2"/>
            <w:tcBorders>
              <w:top w:val="single" w:sz="6" w:space="0" w:color="auto"/>
              <w:left w:val="single" w:sz="6" w:space="0" w:color="auto"/>
              <w:bottom w:val="single" w:sz="6" w:space="0" w:color="auto"/>
              <w:right w:val="single" w:sz="6" w:space="0" w:color="auto"/>
            </w:tcBorders>
          </w:tcPr>
          <w:p w14:paraId="5ACE40EF" w14:textId="77777777" w:rsidR="00F525B2" w:rsidRDefault="00F525B2" w:rsidP="009B329F">
            <w:pPr>
              <w:pStyle w:val="TAL"/>
            </w:pPr>
            <w:r>
              <w:t>QoSPolicyAssist</w:t>
            </w:r>
          </w:p>
        </w:tc>
      </w:tr>
      <w:tr w:rsidR="00F525B2" w14:paraId="005E9DC6" w14:textId="77777777" w:rsidTr="009B329F">
        <w:trPr>
          <w:jc w:val="center"/>
        </w:trPr>
        <w:tc>
          <w:tcPr>
            <w:tcW w:w="9180" w:type="dxa"/>
            <w:gridSpan w:val="13"/>
          </w:tcPr>
          <w:p w14:paraId="09105D00" w14:textId="35730980" w:rsidR="00F525B2" w:rsidRDefault="00F525B2" w:rsidP="009B329F">
            <w:pPr>
              <w:pStyle w:val="TAN"/>
            </w:pPr>
            <w:r>
              <w:lastRenderedPageBreak/>
              <w:t>NOTE 1:</w:t>
            </w:r>
            <w:r>
              <w:tab/>
              <w:t xml:space="preserve">The "anySlice" attribute is not applicable to features "UeMobility" and "NetworkPerformance". The "snssais" attribute is not applicable to features "ServiceExperience", "NsiLoad", "UeMobility", "NetworkPerformance" </w:t>
            </w:r>
            <w:r w:rsidRPr="006D3B45">
              <w:t>and "QosPolicyAssist</w:t>
            </w:r>
            <w:r>
              <w:t>". When subscribed event is "SLICE_LOAD_LEVEL", the identifications of network slices, either information about slice(s) identified by "snssais", or "anySlice" set to "true" shall be included. When subscribed event is "QOS_SUSTAINABILITY", "NF_LOAD", "UE_COMMUNICATION", "ABNORMAL_BEHAVIOUR", "USER_DATA_CONGESTION", "DISPERSION", "RED_TRANS_EXP", "PDU_SESSION_TRAFFIC", "PFD_DETERMINATION", "RELATIVE_PROXIMITY" or "SIGNALLING_STORM", the identifications of network slices identified by "snssais" is optional. When subscribed event is "NSI_LOAD_LEVEL", "SERVICE_EXPERIENCE" or "DN_PERFORMANCE", either the "nsiIdInfos" attribute or "anySlice" set to "true" shall be included.</w:t>
            </w:r>
          </w:p>
          <w:p w14:paraId="53CC7C06" w14:textId="77777777" w:rsidR="00F525B2" w:rsidRDefault="00F525B2" w:rsidP="009B329F">
            <w:pPr>
              <w:pStyle w:val="TAN"/>
            </w:pPr>
            <w:r>
              <w:t>NOTE 2:</w:t>
            </w:r>
            <w:r>
              <w:tab/>
              <w:t>When notificationMethod is not supplied, the default value is "THRESHOLD".</w:t>
            </w:r>
          </w:p>
          <w:p w14:paraId="66BEE6C4" w14:textId="77777777" w:rsidR="00F525B2" w:rsidRDefault="00F525B2" w:rsidP="009B329F">
            <w:pPr>
              <w:keepNext/>
              <w:keepLines/>
              <w:spacing w:after="0"/>
              <w:ind w:left="851" w:hanging="851"/>
              <w:rPr>
                <w:rFonts w:ascii="Arial" w:hAnsi="Arial" w:cs="Arial"/>
                <w:sz w:val="18"/>
                <w:szCs w:val="18"/>
              </w:rPr>
            </w:pPr>
            <w:r>
              <w:rPr>
                <w:rFonts w:ascii="Arial" w:hAnsi="Arial" w:cs="Arial"/>
                <w:sz w:val="18"/>
                <w:szCs w:val="18"/>
              </w:rPr>
              <w:t>NOTE 3:</w:t>
            </w:r>
            <w:r>
              <w:rPr>
                <w:rFonts w:ascii="Arial" w:hAnsi="Arial" w:cs="Arial"/>
                <w:sz w:val="18"/>
                <w:szCs w:val="18"/>
              </w:rPr>
              <w:tab/>
              <w:t>Applicability is further described in the corresponding data type.</w:t>
            </w:r>
            <w:r>
              <w:rPr>
                <w:rFonts w:ascii="Arial" w:hAnsi="Arial"/>
                <w:sz w:val="18"/>
              </w:rPr>
              <w:t xml:space="preserve"> All target UE(s) indicated by this attribute shall belong to the same PLMN. </w:t>
            </w:r>
            <w:r>
              <w:rPr>
                <w:rFonts w:ascii="Arial" w:hAnsi="Arial" w:cs="Arial"/>
                <w:sz w:val="18"/>
                <w:szCs w:val="18"/>
              </w:rPr>
              <w:t xml:space="preserve">When the </w:t>
            </w:r>
            <w:r w:rsidRPr="003E19F3">
              <w:rPr>
                <w:rFonts w:ascii="Arial" w:hAnsi="Arial" w:cs="Arial"/>
                <w:sz w:val="18"/>
                <w:szCs w:val="18"/>
              </w:rPr>
              <w:t>"</w:t>
            </w:r>
            <w:r>
              <w:rPr>
                <w:rFonts w:ascii="Arial" w:hAnsi="Arial" w:cs="Arial"/>
                <w:sz w:val="18"/>
                <w:szCs w:val="18"/>
              </w:rPr>
              <w:t>RoamingAnalytics</w:t>
            </w:r>
            <w:r w:rsidRPr="003E19F3">
              <w:rPr>
                <w:rFonts w:ascii="Arial" w:hAnsi="Arial" w:cs="Arial"/>
                <w:sz w:val="18"/>
                <w:szCs w:val="18"/>
              </w:rPr>
              <w:t>"</w:t>
            </w:r>
            <w:r>
              <w:rPr>
                <w:rFonts w:ascii="Arial" w:hAnsi="Arial" w:cs="Arial"/>
                <w:sz w:val="18"/>
                <w:szCs w:val="18"/>
              </w:rPr>
              <w:t xml:space="preserve"> feature is supported and the target </w:t>
            </w:r>
            <w:r>
              <w:rPr>
                <w:rFonts w:ascii="Arial" w:hAnsi="Arial"/>
                <w:sz w:val="18"/>
              </w:rPr>
              <w:t xml:space="preserve">UE(s) indicated by this attribute </w:t>
            </w:r>
            <w:r>
              <w:rPr>
                <w:rFonts w:ascii="Arial" w:hAnsi="Arial" w:cs="Arial"/>
                <w:sz w:val="18"/>
                <w:szCs w:val="18"/>
              </w:rPr>
              <w:t>belong to a PLMN different than the PLMN of the NF service consumer, the request should contain only attributes that are applicable also in the Nnwdaf_RoamingAnalytics service.</w:t>
            </w:r>
          </w:p>
          <w:p w14:paraId="44A7DF52" w14:textId="538D6CA5" w:rsidR="00C869EF" w:rsidRPr="00CC318C" w:rsidRDefault="00C869EF" w:rsidP="00C869EF">
            <w:pPr>
              <w:keepNext/>
              <w:keepLines/>
              <w:spacing w:after="0"/>
              <w:ind w:left="851" w:hanging="851"/>
              <w:rPr>
                <w:rFonts w:ascii="Arial" w:hAnsi="Arial" w:cs="Arial"/>
                <w:sz w:val="18"/>
                <w:szCs w:val="18"/>
              </w:rPr>
            </w:pPr>
            <w:r w:rsidRPr="00CC318C">
              <w:rPr>
                <w:rFonts w:ascii="Arial" w:hAnsi="Arial" w:cs="Arial"/>
                <w:sz w:val="18"/>
                <w:szCs w:val="18"/>
              </w:rPr>
              <w:t>NOTE </w:t>
            </w:r>
            <w:r w:rsidRPr="00CC318C">
              <w:rPr>
                <w:rFonts w:ascii="Arial" w:hAnsi="Arial" w:cs="Arial" w:hint="eastAsia"/>
                <w:sz w:val="18"/>
                <w:szCs w:val="18"/>
                <w:lang w:eastAsia="zh-CN"/>
              </w:rPr>
              <w:t>4</w:t>
            </w:r>
            <w:r w:rsidRPr="00CC318C">
              <w:rPr>
                <w:rFonts w:ascii="Arial" w:hAnsi="Arial" w:cs="Arial"/>
                <w:sz w:val="18"/>
                <w:szCs w:val="18"/>
              </w:rPr>
              <w:t>:</w:t>
            </w:r>
            <w:r w:rsidRPr="00CC318C">
              <w:rPr>
                <w:rFonts w:ascii="Arial" w:hAnsi="Arial" w:cs="Arial"/>
                <w:sz w:val="18"/>
                <w:szCs w:val="18"/>
              </w:rPr>
              <w:tab/>
              <w:t xml:space="preserve">This property </w:t>
            </w:r>
            <w:r>
              <w:rPr>
                <w:rFonts w:ascii="Arial" w:hAnsi="Arial" w:cs="Arial"/>
                <w:sz w:val="18"/>
                <w:szCs w:val="18"/>
              </w:rPr>
              <w:t>is only</w:t>
            </w:r>
            <w:r w:rsidRPr="00CC318C">
              <w:rPr>
                <w:rFonts w:ascii="Arial" w:hAnsi="Arial" w:cs="Arial"/>
                <w:sz w:val="18"/>
                <w:szCs w:val="18"/>
              </w:rPr>
              <w:t xml:space="preserve">  provided if the "notifMethod" in "evtReq" is set to "ON_EVENT_DETECTION" or "notificationMethod" in "eventSubscriptions" is set to "THRESHOLD" or omitted. </w:t>
            </w:r>
          </w:p>
          <w:p w14:paraId="772F18C3" w14:textId="77777777" w:rsidR="00F525B2" w:rsidRDefault="00F525B2" w:rsidP="009B329F">
            <w:pPr>
              <w:pStyle w:val="TAN"/>
            </w:pPr>
            <w:r>
              <w:rPr>
                <w:rFonts w:cs="Arial" w:hint="eastAsia"/>
                <w:szCs w:val="18"/>
                <w:lang w:eastAsia="zh-CN"/>
              </w:rPr>
              <w:t>NOTE </w:t>
            </w:r>
            <w:r>
              <w:rPr>
                <w:rFonts w:cs="Arial"/>
                <w:szCs w:val="18"/>
                <w:lang w:eastAsia="zh-CN"/>
              </w:rPr>
              <w:t>5</w:t>
            </w:r>
            <w:r>
              <w:rPr>
                <w:rFonts w:cs="Arial" w:hint="eastAsia"/>
                <w:szCs w:val="18"/>
                <w:lang w:eastAsia="zh-CN"/>
              </w:rPr>
              <w:t>:</w:t>
            </w:r>
            <w:r>
              <w:rPr>
                <w:rFonts w:cs="Arial"/>
                <w:szCs w:val="18"/>
              </w:rPr>
              <w:tab/>
            </w:r>
            <w:r>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 within EventSubscription data type.</w:t>
            </w:r>
          </w:p>
          <w:p w14:paraId="64D5F815" w14:textId="77777777" w:rsidR="00F525B2" w:rsidRDefault="00F525B2" w:rsidP="009B329F">
            <w:pPr>
              <w:pStyle w:val="TAN"/>
            </w:pPr>
            <w:r>
              <w:rPr>
                <w:rFonts w:cs="Arial" w:hint="eastAsia"/>
                <w:szCs w:val="18"/>
                <w:lang w:eastAsia="zh-CN"/>
              </w:rPr>
              <w:t>NOTE </w:t>
            </w:r>
            <w:r>
              <w:rPr>
                <w:rFonts w:cs="Arial"/>
                <w:szCs w:val="18"/>
                <w:lang w:eastAsia="zh-CN"/>
              </w:rPr>
              <w:t>6</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subscribed event is "ABNORMAL_BEHAVIOUR".</w:t>
            </w:r>
          </w:p>
          <w:p w14:paraId="7F9B3895" w14:textId="77777777" w:rsidR="00F525B2" w:rsidRDefault="00F525B2" w:rsidP="009B329F">
            <w:pPr>
              <w:pStyle w:val="TAN"/>
              <w:ind w:left="900" w:hangingChars="500" w:hanging="900"/>
              <w:rPr>
                <w:rFonts w:cs="Arial"/>
                <w:szCs w:val="18"/>
              </w:rPr>
            </w:pPr>
            <w:r>
              <w:t>NOTE 7:</w:t>
            </w:r>
            <w:r>
              <w:tab/>
              <w:t>For different events, the following rules apply:</w:t>
            </w:r>
            <w:r>
              <w:rPr>
                <w:rFonts w:cs="Arial"/>
                <w:szCs w:val="18"/>
              </w:rPr>
              <w:t xml:space="preserve"> </w:t>
            </w:r>
          </w:p>
          <w:p w14:paraId="00D6AF1C" w14:textId="77777777" w:rsidR="00F525B2" w:rsidRDefault="00F525B2" w:rsidP="009B329F">
            <w:pPr>
              <w:pStyle w:val="TAN"/>
              <w:ind w:left="1135" w:hanging="284"/>
              <w:rPr>
                <w:rFonts w:cs="Arial"/>
                <w:szCs w:val="18"/>
              </w:rPr>
            </w:pPr>
            <w:r>
              <w:rPr>
                <w:rFonts w:cs="Arial"/>
                <w:szCs w:val="18"/>
              </w:rPr>
              <w:t>-</w:t>
            </w:r>
            <w:r>
              <w:rPr>
                <w:rFonts w:cs="Arial"/>
                <w:szCs w:val="18"/>
              </w:rPr>
              <w:tab/>
              <w:t xml:space="preserve">For "NETWORK_PERFORMANCE", </w:t>
            </w:r>
            <w:r>
              <w:t xml:space="preserve">"USER_DATA_CONGESTION" or </w:t>
            </w:r>
            <w:r>
              <w:rPr>
                <w:rFonts w:cs="Arial"/>
                <w:szCs w:val="18"/>
              </w:rPr>
              <w:t>"</w:t>
            </w:r>
            <w:r>
              <w:rPr>
                <w:lang w:eastAsia="ja-JP"/>
              </w:rPr>
              <w:t>DN_PERFORMANCE</w:t>
            </w:r>
            <w:r>
              <w:rPr>
                <w:rFonts w:cs="Arial"/>
                <w:szCs w:val="18"/>
              </w:rPr>
              <w:t>"</w:t>
            </w:r>
            <w:r>
              <w:t xml:space="preserve"> event</w:t>
            </w:r>
            <w:r>
              <w:rPr>
                <w:rFonts w:cs="Arial"/>
                <w:szCs w:val="18"/>
              </w:rPr>
              <w:t>, the "</w:t>
            </w:r>
            <w:r>
              <w:t>networkArea</w:t>
            </w:r>
            <w:r>
              <w:rPr>
                <w:rFonts w:cs="Arial"/>
                <w:szCs w:val="18"/>
              </w:rPr>
              <w:t>" attribute shall be provided if the event applied for all UEs (i.e. "anyUe" attribute set to true within the "</w:t>
            </w:r>
            <w:r>
              <w:t>tgtUe</w:t>
            </w:r>
            <w:r>
              <w:rPr>
                <w:rFonts w:cs="Arial"/>
                <w:szCs w:val="18"/>
              </w:rPr>
              <w:t>"</w:t>
            </w:r>
            <w:r>
              <w:t xml:space="preserve"> attribute</w:t>
            </w:r>
            <w:r>
              <w:rPr>
                <w:rFonts w:cs="Arial"/>
                <w:szCs w:val="18"/>
              </w:rPr>
              <w:t>).</w:t>
            </w:r>
          </w:p>
          <w:p w14:paraId="470865C4" w14:textId="77777777" w:rsidR="00F525B2" w:rsidRDefault="00F525B2" w:rsidP="009B329F">
            <w:pPr>
              <w:pStyle w:val="TAN"/>
              <w:ind w:left="1135" w:hanging="284"/>
              <w:rPr>
                <w:rFonts w:cs="Arial"/>
                <w:szCs w:val="18"/>
              </w:rPr>
            </w:pPr>
            <w:r>
              <w:rPr>
                <w:rFonts w:cs="Arial"/>
                <w:szCs w:val="18"/>
              </w:rPr>
              <w:t>-</w:t>
            </w:r>
            <w:r>
              <w:rPr>
                <w:rFonts w:cs="Arial"/>
                <w:szCs w:val="18"/>
              </w:rPr>
              <w:tab/>
              <w:t>For "QOS_SUSTAINABILITY", at least one of "</w:t>
            </w:r>
            <w:r>
              <w:t>networkArea</w:t>
            </w:r>
            <w:r>
              <w:rPr>
                <w:rFonts w:cs="Arial"/>
                <w:szCs w:val="18"/>
              </w:rPr>
              <w:t>"</w:t>
            </w:r>
            <w:r>
              <w:t xml:space="preserve"> and </w:t>
            </w:r>
            <w:r>
              <w:rPr>
                <w:rFonts w:cs="Arial"/>
                <w:szCs w:val="18"/>
              </w:rPr>
              <w:t>"</w:t>
            </w:r>
            <w:r>
              <w:t>fineGranAreas</w:t>
            </w:r>
            <w:r>
              <w:rPr>
                <w:rFonts w:cs="Arial"/>
                <w:szCs w:val="18"/>
              </w:rPr>
              <w:t>" attributes shall be provided.</w:t>
            </w:r>
          </w:p>
          <w:p w14:paraId="2834EA92" w14:textId="738DE8BB" w:rsidR="00C869EF" w:rsidRDefault="00C869EF" w:rsidP="00C869EF">
            <w:pPr>
              <w:pStyle w:val="TAN"/>
              <w:ind w:left="1135" w:hanging="284"/>
              <w:rPr>
                <w:rFonts w:cs="Arial"/>
                <w:szCs w:val="18"/>
              </w:rPr>
            </w:pPr>
            <w:r>
              <w:rPr>
                <w:rFonts w:cs="Arial"/>
                <w:szCs w:val="18"/>
              </w:rPr>
              <w:t>-</w:t>
            </w:r>
            <w:r>
              <w:rPr>
                <w:rFonts w:cs="Arial"/>
                <w:szCs w:val="18"/>
              </w:rPr>
              <w:tab/>
              <w:t>For "E2E_DATA_VOL_TRANS_TIME" event, the "</w:t>
            </w:r>
            <w:r>
              <w:t>networkArea</w:t>
            </w:r>
            <w:r>
              <w:rPr>
                <w:rFonts w:cs="Arial"/>
                <w:szCs w:val="18"/>
              </w:rPr>
              <w:t>"</w:t>
            </w:r>
            <w:r>
              <w:t xml:space="preserve"> </w:t>
            </w:r>
            <w:r>
              <w:rPr>
                <w:rFonts w:cs="Arial"/>
                <w:szCs w:val="18"/>
              </w:rPr>
              <w:t>attribute shall be provided if the event applied for single UE or group of UEs.</w:t>
            </w:r>
          </w:p>
          <w:p w14:paraId="1117A43B" w14:textId="77777777" w:rsidR="00F525B2" w:rsidRDefault="00F525B2" w:rsidP="009B329F">
            <w:pPr>
              <w:pStyle w:val="TAN"/>
              <w:ind w:left="1135" w:hanging="284"/>
              <w:rPr>
                <w:rFonts w:cs="Arial"/>
                <w:szCs w:val="18"/>
              </w:rPr>
            </w:pPr>
            <w:r>
              <w:rPr>
                <w:rFonts w:cs="Arial"/>
                <w:szCs w:val="18"/>
              </w:rPr>
              <w:t>-</w:t>
            </w:r>
            <w:r>
              <w:rPr>
                <w:rFonts w:cs="Arial"/>
                <w:szCs w:val="18"/>
              </w:rPr>
              <w:tab/>
              <w:t xml:space="preserve">For "SERVICE_EXPERIENCE" </w:t>
            </w:r>
            <w:r>
              <w:t>event</w:t>
            </w:r>
            <w:r>
              <w:rPr>
                <w:rFonts w:cs="Arial"/>
                <w:szCs w:val="18"/>
              </w:rPr>
              <w:t>, if the event applied for all UEs (i.e. "anyUe" attribute set to true within the "</w:t>
            </w:r>
            <w:r>
              <w:t>tgtUe</w:t>
            </w:r>
            <w:r>
              <w:rPr>
                <w:rFonts w:cs="Arial"/>
                <w:szCs w:val="18"/>
              </w:rPr>
              <w:t>"</w:t>
            </w:r>
            <w:r>
              <w:t xml:space="preserve"> attribute</w:t>
            </w:r>
            <w:r>
              <w:rPr>
                <w:rFonts w:cs="Arial"/>
                <w:szCs w:val="18"/>
              </w:rPr>
              <w:t>): at least one of "</w:t>
            </w:r>
            <w:r>
              <w:t>networkArea</w:t>
            </w:r>
            <w:r>
              <w:rPr>
                <w:rFonts w:cs="Arial"/>
                <w:szCs w:val="18"/>
              </w:rPr>
              <w:t>"</w:t>
            </w:r>
            <w:r>
              <w:t xml:space="preserve"> or </w:t>
            </w:r>
            <w:r>
              <w:rPr>
                <w:rFonts w:cs="Arial"/>
                <w:szCs w:val="18"/>
              </w:rPr>
              <w:t>"</w:t>
            </w:r>
            <w:r>
              <w:t>fineGranAreas</w:t>
            </w:r>
            <w:r>
              <w:rPr>
                <w:rFonts w:cs="Arial"/>
                <w:szCs w:val="18"/>
              </w:rPr>
              <w:t>" attributes shall be provided.</w:t>
            </w:r>
          </w:p>
          <w:p w14:paraId="53041FF5" w14:textId="77777777" w:rsidR="00F525B2" w:rsidRDefault="00F525B2" w:rsidP="009B329F">
            <w:pPr>
              <w:pStyle w:val="TAN"/>
              <w:ind w:left="1135" w:hanging="284"/>
              <w:rPr>
                <w:rFonts w:cs="Arial"/>
                <w:szCs w:val="18"/>
              </w:rPr>
            </w:pPr>
            <w:r>
              <w:rPr>
                <w:rFonts w:cs="Arial" w:hint="eastAsia"/>
                <w:szCs w:val="18"/>
              </w:rPr>
              <w:t>-</w:t>
            </w:r>
            <w:r>
              <w:rPr>
                <w:rFonts w:cs="Arial"/>
                <w:szCs w:val="18"/>
              </w:rPr>
              <w:t xml:space="preserve"> </w:t>
            </w:r>
            <w:r>
              <w:rPr>
                <w:rFonts w:cs="Arial"/>
                <w:szCs w:val="18"/>
              </w:rPr>
              <w:tab/>
              <w:t xml:space="preserve">For </w:t>
            </w:r>
            <w:r>
              <w:t>"MOVEMENT_BEHAVIOUR" event</w:t>
            </w:r>
            <w:r>
              <w:rPr>
                <w:rFonts w:cs="Arial"/>
                <w:szCs w:val="18"/>
              </w:rPr>
              <w:t>, at least one of the "</w:t>
            </w:r>
            <w:r>
              <w:t>networkArea</w:t>
            </w:r>
            <w:r>
              <w:rPr>
                <w:rFonts w:cs="Arial"/>
                <w:szCs w:val="18"/>
              </w:rPr>
              <w:t>"</w:t>
            </w:r>
            <w:r>
              <w:t xml:space="preserve"> or </w:t>
            </w:r>
            <w:r>
              <w:rPr>
                <w:rFonts w:cs="Arial"/>
                <w:szCs w:val="18"/>
              </w:rPr>
              <w:t>"</w:t>
            </w:r>
            <w:r>
              <w:t>fineGranAreas</w:t>
            </w:r>
            <w:r>
              <w:rPr>
                <w:rFonts w:cs="Arial"/>
                <w:szCs w:val="18"/>
              </w:rPr>
              <w:t>" attributes shall be provided.</w:t>
            </w:r>
          </w:p>
          <w:p w14:paraId="604AE081" w14:textId="77777777" w:rsidR="00F525B2" w:rsidRDefault="00F525B2" w:rsidP="009B329F">
            <w:pPr>
              <w:pStyle w:val="TAN"/>
              <w:rPr>
                <w:rFonts w:cs="Arial"/>
                <w:szCs w:val="18"/>
              </w:rPr>
            </w:pPr>
            <w:r>
              <w:t>NOTE 8:</w:t>
            </w:r>
            <w:r>
              <w:tab/>
            </w:r>
            <w:r>
              <w:rPr>
                <w:rFonts w:cs="Arial"/>
                <w:szCs w:val="18"/>
              </w:rPr>
              <w:t xml:space="preserve">For "ABNORMAL_BEHAVIOUR" </w:t>
            </w:r>
            <w:r>
              <w:t>event</w:t>
            </w:r>
            <w:r>
              <w:rPr>
                <w:rFonts w:cs="Arial"/>
                <w:szCs w:val="18"/>
              </w:rPr>
              <w:t xml:space="preserve"> with "anyUe" attribute in "tgtUe" attribute sets to true,</w:t>
            </w:r>
          </w:p>
          <w:p w14:paraId="3393A149" w14:textId="77777777" w:rsidR="00F525B2" w:rsidRDefault="00F525B2" w:rsidP="009B329F">
            <w:pPr>
              <w:pStyle w:val="TAN"/>
              <w:ind w:left="1135" w:hanging="284"/>
              <w:rPr>
                <w:rFonts w:cs="Arial"/>
                <w:szCs w:val="18"/>
              </w:rPr>
            </w:pPr>
            <w:r>
              <w:rPr>
                <w:rFonts w:cs="Arial"/>
                <w:szCs w:val="18"/>
              </w:rPr>
              <w:t>-</w:t>
            </w:r>
            <w:r>
              <w:rPr>
                <w:rFonts w:cs="Arial"/>
                <w:szCs w:val="18"/>
              </w:rPr>
              <w:tab/>
              <w:t>at least one of the "networkArea" and the "snssais" attribute should be included, if the expected analytics type via the"exptAnaType" attribute or the list of Exception Ids via the "excepRequs" attribute is mobility related;</w:t>
            </w:r>
          </w:p>
          <w:p w14:paraId="419F40FD" w14:textId="77777777" w:rsidR="00F525B2" w:rsidRDefault="00F525B2" w:rsidP="009B329F">
            <w:pPr>
              <w:pStyle w:val="TAN"/>
              <w:ind w:left="1135" w:hanging="284"/>
              <w:rPr>
                <w:rFonts w:cs="Arial"/>
                <w:szCs w:val="18"/>
              </w:rPr>
            </w:pPr>
            <w:r>
              <w:rPr>
                <w:rFonts w:cs="Arial"/>
                <w:szCs w:val="18"/>
              </w:rPr>
              <w:t>-</w:t>
            </w:r>
            <w:r>
              <w:rPr>
                <w:rFonts w:cs="Arial"/>
                <w:szCs w:val="18"/>
              </w:rPr>
              <w:tab/>
              <w:t xml:space="preserve">at least one of the "networkArea", "appIds", "dnns" and "snssais" attribute should be included, if the expected analytics type via the"exptAnaType" attribute or the list of Exception Ids via the "excepRequs" attribute is communication related; </w:t>
            </w:r>
          </w:p>
          <w:p w14:paraId="158D1117" w14:textId="77777777" w:rsidR="00F525B2" w:rsidRDefault="00F525B2" w:rsidP="009B329F">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5FD55766" w14:textId="77777777" w:rsidR="00F525B2" w:rsidRDefault="00F525B2" w:rsidP="009B329F">
            <w:pPr>
              <w:pStyle w:val="TAN"/>
            </w:pPr>
            <w:r>
              <w:t>NOTE 9:</w:t>
            </w:r>
            <w:r>
              <w:tab/>
              <w:t>If both the "allFreq" attribute and the "allRat" attribute are present within the RatFreqInformation data type, then only one instance of the RatFreqInformation data type shall be present to indicate for all the RAT type and all the Frequency values the NWDAF has received for the application.</w:t>
            </w:r>
          </w:p>
          <w:p w14:paraId="1686DF2A" w14:textId="77777777" w:rsidR="00F525B2" w:rsidRDefault="00F525B2" w:rsidP="009B329F">
            <w:pPr>
              <w:pStyle w:val="TAN"/>
            </w:pPr>
            <w:r>
              <w:t>NOTE 10:</w:t>
            </w:r>
            <w:r>
              <w:tab/>
              <w:t>If this attribute is provided, the analytics target period shall be a past time period (i.e. only statistics is supported).</w:t>
            </w:r>
          </w:p>
          <w:p w14:paraId="4F2C1271" w14:textId="77777777" w:rsidR="00F525B2" w:rsidRDefault="00F525B2" w:rsidP="009B329F">
            <w:pPr>
              <w:keepNext/>
              <w:keepLines/>
              <w:spacing w:after="0"/>
              <w:ind w:left="851" w:hanging="851"/>
              <w:rPr>
                <w:rFonts w:ascii="Arial" w:hAnsi="Arial"/>
                <w:sz w:val="18"/>
              </w:rPr>
            </w:pPr>
            <w:r>
              <w:rPr>
                <w:rFonts w:ascii="Arial" w:hAnsi="Arial"/>
                <w:sz w:val="18"/>
              </w:rPr>
              <w:t>NOTE </w:t>
            </w:r>
            <w:r>
              <w:rPr>
                <w:rFonts w:ascii="Arial" w:hAnsi="Arial"/>
                <w:sz w:val="18"/>
                <w:lang w:eastAsia="zh-CN"/>
              </w:rPr>
              <w:t>11</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shall be provided when a consumer requires analytics for an edge application over a UP path.</w:t>
            </w:r>
          </w:p>
          <w:p w14:paraId="68CC5E20" w14:textId="77777777" w:rsidR="00F525B2" w:rsidRDefault="00F525B2" w:rsidP="009B329F">
            <w:pPr>
              <w:keepNext/>
              <w:keepLines/>
              <w:spacing w:after="0"/>
              <w:ind w:left="851" w:hanging="851"/>
              <w:rPr>
                <w:rFonts w:ascii="Arial" w:hAnsi="Arial"/>
                <w:sz w:val="18"/>
              </w:rPr>
            </w:pPr>
            <w:r>
              <w:rPr>
                <w:rFonts w:ascii="Arial" w:hAnsi="Arial"/>
                <w:sz w:val="18"/>
              </w:rPr>
              <w:t>NOTE </w:t>
            </w:r>
            <w:r>
              <w:rPr>
                <w:rFonts w:ascii="Arial" w:hAnsi="Arial"/>
                <w:sz w:val="18"/>
                <w:lang w:eastAsia="zh-CN"/>
              </w:rPr>
              <w:t>12</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may be provided when a consumer requires analytics for an edge application over a UP path, and it is only needed when the target of the service experience analytics is a specific UPF included in this UP path.</w:t>
            </w:r>
          </w:p>
          <w:p w14:paraId="0343F31B" w14:textId="77777777" w:rsidR="00F525B2" w:rsidRDefault="00F525B2" w:rsidP="009B329F">
            <w:pPr>
              <w:pStyle w:val="TAN"/>
              <w:rPr>
                <w:bCs/>
              </w:rPr>
            </w:pPr>
            <w:r>
              <w:t>NOTE 13:</w:t>
            </w:r>
            <w:r>
              <w:tab/>
              <w:t xml:space="preserve">When subscribed event is "NSI_LOAD_LEVEL" and the </w:t>
            </w:r>
            <w:r w:rsidRPr="003E19F3">
              <w:t>"</w:t>
            </w:r>
            <w:r>
              <w:t>NsiLoadExt</w:t>
            </w:r>
            <w:r w:rsidRPr="003E19F3">
              <w:t>"</w:t>
            </w:r>
            <w:r>
              <w:t xml:space="preserve"> feature is supported, and the NF service consumer provides the "nfTypes" attribute, then the </w:t>
            </w:r>
            <w:r>
              <w:rPr>
                <w:bCs/>
              </w:rPr>
              <w:t>NWDAF accounts only for the resource usage of the NF types included in "nfTypes" to derive the output analytics</w:t>
            </w:r>
            <w:r>
              <w:t xml:space="preserve">. If the "nfTypes" attribute is not provided, then </w:t>
            </w:r>
            <w:r>
              <w:rPr>
                <w:bCs/>
              </w:rPr>
              <w:t>NWDAF accounts for the resource usage of all NF types.</w:t>
            </w:r>
          </w:p>
          <w:p w14:paraId="60D2017D" w14:textId="77777777" w:rsidR="00F525B2" w:rsidRDefault="00F525B2" w:rsidP="009B329F">
            <w:pPr>
              <w:pStyle w:val="TAN"/>
              <w:rPr>
                <w:lang w:eastAsia="ko-KR"/>
              </w:rPr>
            </w:pPr>
            <w:r>
              <w:t>NOTE</w:t>
            </w:r>
            <w:r>
              <w:rPr>
                <w:lang w:eastAsia="zh-CN"/>
              </w:rPr>
              <w:t> 14</w:t>
            </w:r>
            <w:r>
              <w:t>:</w:t>
            </w:r>
            <w:r>
              <w:tab/>
              <w:t xml:space="preserve">If the the value of </w:t>
            </w:r>
            <w:r>
              <w:rPr>
                <w:rFonts w:cs="Arial"/>
                <w:szCs w:val="18"/>
              </w:rPr>
              <w:t>"</w:t>
            </w:r>
            <w:r>
              <w:t>userDataConO</w:t>
            </w:r>
            <w:r>
              <w:rPr>
                <w:lang w:eastAsia="zh-CN"/>
              </w:rPr>
              <w:t>rderCri</w:t>
            </w:r>
            <w:r>
              <w:rPr>
                <w:rFonts w:cs="Arial"/>
                <w:szCs w:val="18"/>
              </w:rPr>
              <w:t>"</w:t>
            </w:r>
            <w:r>
              <w:rPr>
                <w:lang w:eastAsia="zh-CN"/>
              </w:rPr>
              <w:t xml:space="preserve"> attribute</w:t>
            </w:r>
            <w:r>
              <w:t xml:space="preserve"> is "APPLICABLE_TIME_WINDOW", the "</w:t>
            </w:r>
            <w:r>
              <w:rPr>
                <w:lang w:eastAsia="zh-CN"/>
              </w:rPr>
              <w:t>ASCENDING</w:t>
            </w:r>
            <w:r>
              <w:t xml:space="preserve">" direction indicates that the list of </w:t>
            </w:r>
            <w:r>
              <w:rPr>
                <w:lang w:eastAsia="zh-CN"/>
              </w:rPr>
              <w:t>User Data Congestion</w:t>
            </w:r>
            <w:r>
              <w:rPr>
                <w:lang w:eastAsia="ko-KR"/>
              </w:rPr>
              <w:t xml:space="preserve"> analytics</w:t>
            </w:r>
            <w:r>
              <w:t xml:space="preserve"> </w:t>
            </w:r>
            <w:r>
              <w:rPr>
                <w:lang w:eastAsia="ko-KR"/>
              </w:rPr>
              <w:t xml:space="preserve">are in chronological order and </w:t>
            </w:r>
            <w:r>
              <w:t>the "</w:t>
            </w:r>
            <w:r>
              <w:rPr>
                <w:lang w:eastAsia="zh-CN"/>
              </w:rPr>
              <w:t>DESCENDING</w:t>
            </w:r>
            <w:r>
              <w:t xml:space="preserve">" direction indicates that the list of </w:t>
            </w:r>
            <w:r>
              <w:rPr>
                <w:lang w:eastAsia="zh-CN"/>
              </w:rPr>
              <w:t>User Data Congestion</w:t>
            </w:r>
            <w:r>
              <w:rPr>
                <w:lang w:eastAsia="ko-KR"/>
              </w:rPr>
              <w:t xml:space="preserve"> analytics</w:t>
            </w:r>
            <w:r>
              <w:t xml:space="preserve"> </w:t>
            </w:r>
            <w:r>
              <w:rPr>
                <w:lang w:eastAsia="ko-KR"/>
              </w:rPr>
              <w:t>are in reverse chronological order.</w:t>
            </w:r>
          </w:p>
          <w:p w14:paraId="738FF878" w14:textId="77777777" w:rsidR="00F525B2" w:rsidRDefault="00F525B2" w:rsidP="009B329F">
            <w:pPr>
              <w:pStyle w:val="TAN"/>
              <w:rPr>
                <w:rFonts w:cs="Arial"/>
                <w:szCs w:val="18"/>
              </w:rPr>
            </w:pPr>
            <w:r>
              <w:t>NOTE 15:</w:t>
            </w:r>
            <w:r>
              <w:tab/>
              <w:t xml:space="preserve">When </w:t>
            </w:r>
            <w:r>
              <w:rPr>
                <w:rFonts w:cs="Arial"/>
                <w:szCs w:val="18"/>
              </w:rPr>
              <w:t xml:space="preserve">the </w:t>
            </w:r>
            <w:r>
              <w:t xml:space="preserve">"pduSesInfos" attribute is provided, the associated </w:t>
            </w:r>
            <w:r>
              <w:rPr>
                <w:rFonts w:cs="Arial"/>
                <w:szCs w:val="18"/>
              </w:rPr>
              <w:t>"appIds" attribute shall also be provided for the NWDAF to be able to compute the service experience per application.</w:t>
            </w:r>
          </w:p>
          <w:p w14:paraId="753BFF30" w14:textId="77777777" w:rsidR="00F525B2" w:rsidRDefault="00F525B2" w:rsidP="009B329F">
            <w:pPr>
              <w:pStyle w:val="TAN"/>
            </w:pPr>
            <w:r>
              <w:t>NOTE 16:</w:t>
            </w:r>
            <w:r>
              <w:tab/>
              <w:t xml:space="preserve">When subscribed event is "PFD_DETERMINATION" and the </w:t>
            </w:r>
            <w:r w:rsidRPr="003E19F3">
              <w:t>"</w:t>
            </w:r>
            <w:r>
              <w:t>PfdDetermination</w:t>
            </w:r>
            <w:r w:rsidRPr="003E19F3">
              <w:t>"</w:t>
            </w:r>
            <w:r>
              <w:t xml:space="preserve"> feature is supported, the "appIds" attribute shall be included.</w:t>
            </w:r>
          </w:p>
          <w:p w14:paraId="19B9CE59" w14:textId="77777777" w:rsidR="00F525B2" w:rsidRDefault="00F525B2" w:rsidP="009B329F">
            <w:pPr>
              <w:pStyle w:val="TAN"/>
              <w:rPr>
                <w:lang w:eastAsia="ko-KR"/>
              </w:rPr>
            </w:pPr>
            <w:r>
              <w:lastRenderedPageBreak/>
              <w:t>NOTE</w:t>
            </w:r>
            <w:r>
              <w:rPr>
                <w:lang w:eastAsia="zh-CN"/>
              </w:rPr>
              <w:t> 17</w:t>
            </w:r>
            <w:r>
              <w:t>:</w:t>
            </w:r>
            <w:r>
              <w:tab/>
              <w:t xml:space="preserve">When the subscribed event is "PDU_SESSION_TRAFFIC" and the </w:t>
            </w:r>
            <w:r w:rsidRPr="003E19F3">
              <w:t>"</w:t>
            </w:r>
            <w:r>
              <w:t>PduSesTraffic</w:t>
            </w:r>
            <w:r w:rsidRPr="003E19F3">
              <w:t>"</w:t>
            </w:r>
            <w:r>
              <w:t xml:space="preserve"> feature is supported, at least one of the </w:t>
            </w:r>
            <w:r>
              <w:rPr>
                <w:rFonts w:cs="Arial"/>
                <w:szCs w:val="18"/>
              </w:rPr>
              <w:t>"</w:t>
            </w:r>
            <w:r>
              <w:t>dnns</w:t>
            </w:r>
            <w:r>
              <w:rPr>
                <w:lang w:eastAsia="en-GB"/>
              </w:rPr>
              <w:t>"</w:t>
            </w:r>
            <w:r>
              <w:rPr>
                <w:rFonts w:cs="Arial"/>
                <w:szCs w:val="18"/>
              </w:rPr>
              <w:t xml:space="preserve"> and/or "</w:t>
            </w:r>
            <w:r>
              <w:t>snssais</w:t>
            </w:r>
            <w:r>
              <w:rPr>
                <w:lang w:eastAsia="en-GB"/>
              </w:rPr>
              <w:t>"</w:t>
            </w:r>
            <w:r>
              <w:rPr>
                <w:rFonts w:cs="Arial"/>
                <w:szCs w:val="18"/>
              </w:rPr>
              <w:t xml:space="preserve"> </w:t>
            </w:r>
            <w:r>
              <w:rPr>
                <w:lang w:eastAsia="zh-CN"/>
              </w:rPr>
              <w:t>attributes as the route selection descriptor(s) for the URSP rule shall be included</w:t>
            </w:r>
            <w:r>
              <w:rPr>
                <w:lang w:eastAsia="ko-KR"/>
              </w:rPr>
              <w:t>.</w:t>
            </w:r>
          </w:p>
          <w:p w14:paraId="082DF431" w14:textId="77777777" w:rsidR="00F525B2" w:rsidRDefault="00F525B2" w:rsidP="009B329F">
            <w:pPr>
              <w:pStyle w:val="TAN"/>
            </w:pPr>
            <w:r>
              <w:t>NOTE</w:t>
            </w:r>
            <w:r>
              <w:rPr>
                <w:lang w:eastAsia="zh-CN"/>
              </w:rPr>
              <w:t> 18</w:t>
            </w:r>
            <w:r>
              <w:t>:</w:t>
            </w:r>
            <w:r>
              <w:tab/>
              <w:t xml:space="preserve">When this </w:t>
            </w:r>
            <w:r>
              <w:rPr>
                <w:lang w:eastAsia="zh-CN"/>
              </w:rPr>
              <w:t>attribute</w:t>
            </w:r>
            <w:r>
              <w:t xml:space="preserve"> is provided, the NWDAF </w:t>
            </w:r>
            <w:r>
              <w:rPr>
                <w:lang w:eastAsia="zh-CN"/>
              </w:rPr>
              <w:t>shall</w:t>
            </w:r>
            <w:r>
              <w:t xml:space="preserve"> provide the analytics per elementary time slot accordingly.</w:t>
            </w:r>
          </w:p>
          <w:p w14:paraId="65FDB6B1" w14:textId="77777777" w:rsidR="00F525B2" w:rsidRDefault="00F525B2" w:rsidP="009B329F">
            <w:pPr>
              <w:pStyle w:val="TAN"/>
            </w:pPr>
            <w:r>
              <w:t>NOTE</w:t>
            </w:r>
            <w:r>
              <w:rPr>
                <w:lang w:eastAsia="zh-CN"/>
              </w:rPr>
              <w:t> 19</w:t>
            </w:r>
            <w:r>
              <w:t>:</w:t>
            </w:r>
            <w:r>
              <w:tab/>
              <w:t xml:space="preserve">When this </w:t>
            </w:r>
            <w:r>
              <w:rPr>
                <w:lang w:eastAsia="zh-CN"/>
              </w:rPr>
              <w:t>attribute</w:t>
            </w:r>
            <w:r>
              <w:t xml:space="preserve"> is provided, the NWDAF </w:t>
            </w:r>
            <w:r>
              <w:rPr>
                <w:lang w:eastAsia="zh-CN"/>
              </w:rPr>
              <w:t>shall</w:t>
            </w:r>
            <w:r>
              <w:t xml:space="preserve"> provide the analytics per group of TAs or cells accordingly.</w:t>
            </w:r>
          </w:p>
          <w:p w14:paraId="51569BA9" w14:textId="77777777" w:rsidR="00F525B2" w:rsidRDefault="00F525B2" w:rsidP="009B329F">
            <w:pPr>
              <w:pStyle w:val="TAN"/>
              <w:rPr>
                <w:lang w:eastAsia="ko-KR"/>
              </w:rPr>
            </w:pPr>
            <w:r>
              <w:rPr>
                <w:rFonts w:eastAsia="Times New Roman"/>
                <w:lang w:eastAsia="en-GB"/>
              </w:rPr>
              <w:t>NOTE 20:</w:t>
            </w:r>
            <w:r>
              <w:rPr>
                <w:rFonts w:eastAsia="Times New Roman"/>
                <w:lang w:eastAsia="en-GB"/>
              </w:rPr>
              <w:tab/>
            </w:r>
            <w:r>
              <w:t xml:space="preserve">If both </w:t>
            </w:r>
            <w:r>
              <w:rPr>
                <w:rFonts w:cs="Arial"/>
                <w:szCs w:val="18"/>
              </w:rPr>
              <w:t>"</w:t>
            </w:r>
            <w:r>
              <w:t>networkArea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029E89CD" w14:textId="26263244" w:rsidR="00F525B2" w:rsidRDefault="00F525B2" w:rsidP="009B329F">
            <w:pPr>
              <w:pStyle w:val="TAN"/>
            </w:pPr>
            <w:r>
              <w:t>NOTE</w:t>
            </w:r>
            <w:r>
              <w:rPr>
                <w:lang w:eastAsia="zh-CN"/>
              </w:rPr>
              <w:t> 21</w:t>
            </w:r>
            <w:r>
              <w:t>:</w:t>
            </w:r>
            <w:r>
              <w:tab/>
              <w:t>The "</w:t>
            </w:r>
            <w:r>
              <w:rPr>
                <w:lang w:eastAsia="zh-CN"/>
              </w:rPr>
              <w:t>LON_AND_LAT_LEVEL</w:t>
            </w:r>
            <w:r>
              <w:t>" value of "</w:t>
            </w:r>
            <w:r>
              <w:rPr>
                <w:rFonts w:hint="eastAsia"/>
                <w:lang w:eastAsia="zh-CN"/>
              </w:rPr>
              <w:t>l</w:t>
            </w:r>
            <w:r>
              <w:rPr>
                <w:lang w:eastAsia="zh-CN"/>
              </w:rPr>
              <w:t>ocGranularity</w:t>
            </w:r>
            <w:r>
              <w:t>" attribute is not applicable to features</w:t>
            </w:r>
            <w:r>
              <w:rPr>
                <w:rFonts w:hint="eastAsia"/>
                <w:lang w:eastAsia="ja-JP"/>
              </w:rPr>
              <w:t xml:space="preserve"> </w:t>
            </w:r>
            <w:r>
              <w:t>"DispersionExt</w:t>
            </w:r>
            <w:r>
              <w:rPr>
                <w:lang w:eastAsia="zh-CN"/>
              </w:rPr>
              <w:t>_eNA</w:t>
            </w:r>
            <w:r>
              <w:t>". The "TA_LEVEL" or "CELL_LEVEL" value of "</w:t>
            </w:r>
            <w:r>
              <w:rPr>
                <w:rFonts w:hint="eastAsia"/>
                <w:lang w:eastAsia="zh-CN"/>
              </w:rPr>
              <w:t>l</w:t>
            </w:r>
            <w:r>
              <w:rPr>
                <w:lang w:eastAsia="zh-CN"/>
              </w:rPr>
              <w:t>ocGranularity</w:t>
            </w:r>
            <w:r>
              <w:t>" attribute is not applicable to feature</w:t>
            </w:r>
            <w:r>
              <w:rPr>
                <w:rFonts w:hint="eastAsia"/>
                <w:lang w:eastAsia="ja-JP"/>
              </w:rPr>
              <w:t xml:space="preserve"> </w:t>
            </w:r>
            <w:r>
              <w:t>"</w:t>
            </w:r>
            <w:r>
              <w:rPr>
                <w:lang w:eastAsia="zh-CN"/>
              </w:rPr>
              <w:t>MovementBehaviour</w:t>
            </w:r>
            <w:r>
              <w:t>".</w:t>
            </w:r>
          </w:p>
          <w:p w14:paraId="17192410" w14:textId="77777777" w:rsidR="00F525B2" w:rsidRDefault="00F525B2" w:rsidP="009B329F">
            <w:pPr>
              <w:pStyle w:val="TAN"/>
              <w:rPr>
                <w:lang w:eastAsia="ko-KR"/>
              </w:rPr>
            </w:pPr>
            <w:r>
              <w:t>NOTE</w:t>
            </w:r>
            <w:r>
              <w:rPr>
                <w:lang w:eastAsia="zh-CN"/>
              </w:rPr>
              <w:t> 22</w:t>
            </w:r>
            <w:r>
              <w:t>:</w:t>
            </w:r>
            <w:r>
              <w:tab/>
              <w:t xml:space="preserve">When the subscribed event is "LOC_ACCURACY", only one of the </w:t>
            </w:r>
            <w:r>
              <w:rPr>
                <w:rFonts w:cs="Arial"/>
                <w:szCs w:val="18"/>
              </w:rPr>
              <w:t>"</w:t>
            </w:r>
            <w:r>
              <w:t>networkArea</w:t>
            </w:r>
            <w:r>
              <w:rPr>
                <w:lang w:eastAsia="en-GB"/>
              </w:rPr>
              <w:t>"</w:t>
            </w:r>
            <w:r>
              <w:rPr>
                <w:rFonts w:cs="Arial"/>
                <w:szCs w:val="18"/>
              </w:rPr>
              <w:t xml:space="preserve"> attribute or "</w:t>
            </w:r>
            <w:r>
              <w:t>location</w:t>
            </w:r>
            <w:r>
              <w:rPr>
                <w:lang w:eastAsia="en-GB"/>
              </w:rPr>
              <w:t>"</w:t>
            </w:r>
            <w:r>
              <w:rPr>
                <w:rFonts w:cs="Arial"/>
                <w:szCs w:val="18"/>
              </w:rPr>
              <w:t xml:space="preserve"> </w:t>
            </w:r>
            <w:r>
              <w:rPr>
                <w:lang w:eastAsia="zh-CN"/>
              </w:rPr>
              <w:t>attribute shall be included</w:t>
            </w:r>
            <w:r>
              <w:rPr>
                <w:lang w:eastAsia="ko-KR"/>
              </w:rPr>
              <w:t>.</w:t>
            </w:r>
          </w:p>
          <w:p w14:paraId="3A894232" w14:textId="094C30A5" w:rsidR="00C869EF" w:rsidRDefault="00C869EF" w:rsidP="009B329F">
            <w:pPr>
              <w:pStyle w:val="TAN"/>
              <w:rPr>
                <w:lang w:eastAsia="ko-KR"/>
              </w:rPr>
            </w:pPr>
            <w:r>
              <w:t>NOTE</w:t>
            </w:r>
            <w:r>
              <w:rPr>
                <w:lang w:eastAsia="zh-CN"/>
              </w:rPr>
              <w:t> 23</w:t>
            </w:r>
            <w:r>
              <w:t>:</w:t>
            </w:r>
            <w:r>
              <w:tab/>
              <w:t>When the subscribed event is "SIGNALLING_STORM",</w:t>
            </w:r>
            <w:r w:rsidR="00183EFC">
              <w:t xml:space="preserve"> </w:t>
            </w:r>
            <w:r w:rsidR="00183EFC">
              <w:t xml:space="preserve">the "nfInstanceIds" or "nfSetIds" attribute may be included to indicate the NF instances or NF sets that may cause the signalling storm </w:t>
            </w:r>
            <w:r w:rsidR="00183EFC" w:rsidRPr="009B4D31">
              <w:rPr>
                <w:rFonts w:eastAsia="Malgun Gothic"/>
                <w:lang w:eastAsia="ko-KR"/>
              </w:rPr>
              <w:t>to the target NF</w:t>
            </w:r>
            <w:r w:rsidR="00183EFC">
              <w:rPr>
                <w:lang w:eastAsia="ko-KR"/>
              </w:rPr>
              <w:t>.</w:t>
            </w:r>
          </w:p>
          <w:p w14:paraId="3EBD547A" w14:textId="77777777" w:rsidR="00F525B2" w:rsidRPr="00F01812" w:rsidRDefault="00F525B2" w:rsidP="009B329F">
            <w:pPr>
              <w:pStyle w:val="TAN"/>
              <w:rPr>
                <w:rFonts w:cs="Arial"/>
                <w:szCs w:val="18"/>
              </w:rPr>
            </w:pPr>
            <w:r>
              <w:t>NOTE 24:</w:t>
            </w:r>
            <w:r>
              <w:tab/>
              <w:t xml:space="preserve">When subscribed event is "QOS_POLICY_ASSIST" and the </w:t>
            </w:r>
            <w:r w:rsidRPr="003E19F3">
              <w:t>"</w:t>
            </w:r>
            <w:r>
              <w:t>QoSPolicyAssist</w:t>
            </w:r>
            <w:r w:rsidRPr="003E19F3">
              <w:t>"</w:t>
            </w:r>
            <w:r>
              <w:t xml:space="preserve"> feature is supported, one of the associated </w:t>
            </w:r>
            <w:r>
              <w:rPr>
                <w:rFonts w:cs="Arial"/>
                <w:szCs w:val="18"/>
              </w:rPr>
              <w:t>"appIds" attribute or "fDescs" attribute containing the SDF template shall also be provided for the NWDAF to be able to compute the service experience per application.</w:t>
            </w:r>
          </w:p>
        </w:tc>
      </w:tr>
    </w:tbl>
    <w:p w14:paraId="48D7530D" w14:textId="77777777" w:rsidR="00A10B25" w:rsidRPr="00F525B2" w:rsidRDefault="00A10B25"/>
    <w:p w14:paraId="0799F451" w14:textId="77777777" w:rsidR="00A10B25" w:rsidRDefault="00A10B25">
      <w:pPr>
        <w:pStyle w:val="NO"/>
      </w:pPr>
      <w:r>
        <w:t>NOTE:</w:t>
      </w:r>
      <w:r>
        <w:tab/>
        <w:t>Care needs to be taken to avoid excessive signalling.</w:t>
      </w:r>
    </w:p>
    <w:p w14:paraId="383E7A14" w14:textId="77777777" w:rsidR="00A10B25" w:rsidRDefault="00A10B25">
      <w:pPr>
        <w:pStyle w:val="5"/>
      </w:pPr>
      <w:bookmarkStart w:id="5644" w:name="_Toc98233636"/>
      <w:bookmarkStart w:id="5645" w:name="_Toc138754207"/>
      <w:bookmarkStart w:id="5646" w:name="_Toc90655868"/>
      <w:bookmarkStart w:id="5647" w:name="_Toc136562373"/>
      <w:bookmarkStart w:id="5648" w:name="_Toc101244412"/>
      <w:bookmarkStart w:id="5649" w:name="_Toc88667583"/>
      <w:bookmarkStart w:id="5650" w:name="_Toc145705694"/>
      <w:bookmarkStart w:id="5651" w:name="_Toc85552982"/>
      <w:bookmarkStart w:id="5652" w:name="_Toc120702306"/>
      <w:bookmarkStart w:id="5653" w:name="_Toc34266287"/>
      <w:bookmarkStart w:id="5654" w:name="_Toc148522598"/>
      <w:bookmarkStart w:id="5655" w:name="_Toc94064251"/>
      <w:bookmarkStart w:id="5656" w:name="_Toc70550626"/>
      <w:bookmarkStart w:id="5657" w:name="_Toc43563500"/>
      <w:bookmarkStart w:id="5658" w:name="_Toc56640962"/>
      <w:bookmarkStart w:id="5659" w:name="_Toc28012817"/>
      <w:bookmarkStart w:id="5660" w:name="_Toc83233072"/>
      <w:bookmarkStart w:id="5661" w:name="_Toc51762895"/>
      <w:bookmarkStart w:id="5662" w:name="_Toc66231798"/>
      <w:bookmarkStart w:id="5663" w:name="_Toc113031667"/>
      <w:bookmarkStart w:id="5664" w:name="_Toc45134043"/>
      <w:bookmarkStart w:id="5665" w:name="_Toc50031975"/>
      <w:bookmarkStart w:id="5666" w:name="_Toc112951127"/>
      <w:bookmarkStart w:id="5667" w:name="_Toc104539005"/>
      <w:bookmarkStart w:id="5668" w:name="_Toc114133806"/>
      <w:bookmarkStart w:id="5669" w:name="_Toc68168959"/>
      <w:bookmarkStart w:id="5670" w:name="_Toc36102458"/>
      <w:bookmarkStart w:id="5671" w:name="_Toc85557081"/>
      <w:bookmarkStart w:id="5672" w:name="_Toc59017930"/>
      <w:bookmarkStart w:id="5673" w:name="_Toc164920778"/>
      <w:bookmarkStart w:id="5674" w:name="_Toc170120320"/>
      <w:bookmarkStart w:id="5675" w:name="_Toc175858565"/>
      <w:bookmarkStart w:id="5676" w:name="_Toc175859638"/>
      <w:bookmarkStart w:id="5677" w:name="_Toc180605928"/>
      <w:bookmarkStart w:id="5678" w:name="_Toc185517182"/>
      <w:bookmarkStart w:id="5679" w:name="_Toc191576233"/>
      <w:bookmarkStart w:id="5680" w:name="_Toc191576973"/>
      <w:bookmarkStart w:id="5681" w:name="_Toc192880043"/>
      <w:bookmarkStart w:id="5682" w:name="_Toc195814926"/>
      <w:bookmarkStart w:id="5683" w:name="_Toc199452893"/>
      <w:r>
        <w:lastRenderedPageBreak/>
        <w:t>5.1.6.2.4</w:t>
      </w:r>
      <w:r>
        <w:tab/>
        <w:t>Type NnwdafEventsSubscriptionNotification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4FDE2303" w14:textId="77777777" w:rsidR="00A10B25" w:rsidRDefault="00A10B25">
      <w:pPr>
        <w:pStyle w:val="TH"/>
      </w:pPr>
      <w:r>
        <w:t>Table 5.1.6.2.4-1: Definition of type NnwdafEventsSubscriptionNotification</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559"/>
        <w:gridCol w:w="425"/>
        <w:gridCol w:w="1134"/>
        <w:gridCol w:w="2856"/>
        <w:gridCol w:w="1843"/>
      </w:tblGrid>
      <w:tr w:rsidR="00A10B25" w14:paraId="2C5A17ED" w14:textId="77777777">
        <w:trPr>
          <w:jc w:val="center"/>
        </w:trPr>
        <w:tc>
          <w:tcPr>
            <w:tcW w:w="1531" w:type="dxa"/>
            <w:shd w:val="clear" w:color="auto" w:fill="C0C0C0"/>
          </w:tcPr>
          <w:p w14:paraId="17F20A73" w14:textId="77777777" w:rsidR="00A10B25" w:rsidRDefault="00A10B25">
            <w:pPr>
              <w:pStyle w:val="TAH"/>
            </w:pPr>
            <w:r>
              <w:t>Attribute name</w:t>
            </w:r>
          </w:p>
        </w:tc>
        <w:tc>
          <w:tcPr>
            <w:tcW w:w="1559" w:type="dxa"/>
            <w:shd w:val="clear" w:color="auto" w:fill="C0C0C0"/>
          </w:tcPr>
          <w:p w14:paraId="3B87A7E2" w14:textId="77777777" w:rsidR="00A10B25" w:rsidRDefault="00A10B25">
            <w:pPr>
              <w:pStyle w:val="TAH"/>
            </w:pPr>
            <w:r>
              <w:t>Data type</w:t>
            </w:r>
          </w:p>
        </w:tc>
        <w:tc>
          <w:tcPr>
            <w:tcW w:w="425" w:type="dxa"/>
            <w:shd w:val="clear" w:color="auto" w:fill="C0C0C0"/>
          </w:tcPr>
          <w:p w14:paraId="5E40553A" w14:textId="77777777" w:rsidR="00A10B25" w:rsidRDefault="00A10B25">
            <w:pPr>
              <w:pStyle w:val="TAH"/>
            </w:pPr>
            <w:r>
              <w:t>P</w:t>
            </w:r>
          </w:p>
        </w:tc>
        <w:tc>
          <w:tcPr>
            <w:tcW w:w="1134" w:type="dxa"/>
            <w:shd w:val="clear" w:color="auto" w:fill="C0C0C0"/>
          </w:tcPr>
          <w:p w14:paraId="651280E3" w14:textId="77777777" w:rsidR="00A10B25" w:rsidRDefault="00A10B25">
            <w:pPr>
              <w:pStyle w:val="TAH"/>
            </w:pPr>
            <w:r>
              <w:t>Cardinality</w:t>
            </w:r>
          </w:p>
        </w:tc>
        <w:tc>
          <w:tcPr>
            <w:tcW w:w="2856" w:type="dxa"/>
            <w:shd w:val="clear" w:color="auto" w:fill="C0C0C0"/>
          </w:tcPr>
          <w:p w14:paraId="11E7771C" w14:textId="77777777" w:rsidR="00A10B25" w:rsidRDefault="00A10B25">
            <w:pPr>
              <w:pStyle w:val="TAH"/>
              <w:rPr>
                <w:rFonts w:cs="Arial"/>
                <w:szCs w:val="18"/>
              </w:rPr>
            </w:pPr>
            <w:r>
              <w:rPr>
                <w:rFonts w:cs="Arial"/>
                <w:szCs w:val="18"/>
              </w:rPr>
              <w:t>Description</w:t>
            </w:r>
          </w:p>
        </w:tc>
        <w:tc>
          <w:tcPr>
            <w:tcW w:w="1843" w:type="dxa"/>
            <w:shd w:val="clear" w:color="auto" w:fill="C0C0C0"/>
          </w:tcPr>
          <w:p w14:paraId="77D11D33" w14:textId="77777777" w:rsidR="00A10B25" w:rsidRDefault="00A10B25">
            <w:pPr>
              <w:pStyle w:val="TAH"/>
              <w:rPr>
                <w:rFonts w:cs="Arial"/>
                <w:szCs w:val="18"/>
              </w:rPr>
            </w:pPr>
            <w:r>
              <w:rPr>
                <w:rFonts w:cs="Arial"/>
                <w:szCs w:val="18"/>
              </w:rPr>
              <w:t>Applicability</w:t>
            </w:r>
          </w:p>
        </w:tc>
      </w:tr>
      <w:tr w:rsidR="00A10B25" w14:paraId="42C117DD" w14:textId="77777777">
        <w:trPr>
          <w:jc w:val="center"/>
        </w:trPr>
        <w:tc>
          <w:tcPr>
            <w:tcW w:w="1531" w:type="dxa"/>
          </w:tcPr>
          <w:p w14:paraId="1754B63E" w14:textId="77777777" w:rsidR="00A10B25" w:rsidRDefault="00A10B25">
            <w:pPr>
              <w:pStyle w:val="TAL"/>
            </w:pPr>
            <w:r>
              <w:t>eventNotifications</w:t>
            </w:r>
          </w:p>
        </w:tc>
        <w:tc>
          <w:tcPr>
            <w:tcW w:w="1559" w:type="dxa"/>
          </w:tcPr>
          <w:p w14:paraId="27E02584" w14:textId="77777777" w:rsidR="00A10B25" w:rsidRDefault="00A10B25">
            <w:pPr>
              <w:pStyle w:val="TAL"/>
            </w:pPr>
            <w:r>
              <w:t>array(EventNotification)</w:t>
            </w:r>
          </w:p>
        </w:tc>
        <w:tc>
          <w:tcPr>
            <w:tcW w:w="425" w:type="dxa"/>
          </w:tcPr>
          <w:p w14:paraId="5D0C0D3F" w14:textId="77777777" w:rsidR="00A10B25" w:rsidRDefault="00A10B25">
            <w:pPr>
              <w:pStyle w:val="TAC"/>
            </w:pPr>
            <w:r>
              <w:t>C</w:t>
            </w:r>
          </w:p>
        </w:tc>
        <w:tc>
          <w:tcPr>
            <w:tcW w:w="1134" w:type="dxa"/>
          </w:tcPr>
          <w:p w14:paraId="326510FD" w14:textId="77777777" w:rsidR="00A10B25" w:rsidRDefault="00A10B25">
            <w:pPr>
              <w:pStyle w:val="TAL"/>
            </w:pPr>
            <w:r>
              <w:t>1..N</w:t>
            </w:r>
          </w:p>
        </w:tc>
        <w:tc>
          <w:tcPr>
            <w:tcW w:w="2856" w:type="dxa"/>
          </w:tcPr>
          <w:p w14:paraId="6A499159" w14:textId="77777777" w:rsidR="00A10B25" w:rsidRDefault="00A10B25">
            <w:pPr>
              <w:pStyle w:val="TAL"/>
            </w:pPr>
            <w:r>
              <w:t>Notifications about Individual Events.</w:t>
            </w:r>
          </w:p>
          <w:p w14:paraId="235A0290" w14:textId="77777777" w:rsidR="00A10B25" w:rsidRDefault="00A10B25">
            <w:pPr>
              <w:pStyle w:val="TAL"/>
            </w:pPr>
            <w:r>
              <w:rPr>
                <w:lang w:eastAsia="zh-CN"/>
              </w:rPr>
              <w:t>(NOTE</w:t>
            </w:r>
            <w:r>
              <w:rPr>
                <w:lang w:val="en-US" w:eastAsia="zh-CN"/>
              </w:rPr>
              <w:t> 1</w:t>
            </w:r>
            <w:r>
              <w:rPr>
                <w:lang w:eastAsia="zh-CN"/>
              </w:rPr>
              <w:t>)</w:t>
            </w:r>
          </w:p>
        </w:tc>
        <w:tc>
          <w:tcPr>
            <w:tcW w:w="1843" w:type="dxa"/>
          </w:tcPr>
          <w:p w14:paraId="4F21121F" w14:textId="77777777" w:rsidR="00A10B25" w:rsidRDefault="00A10B25">
            <w:pPr>
              <w:pStyle w:val="TAL"/>
              <w:rPr>
                <w:rFonts w:cs="Arial"/>
                <w:szCs w:val="18"/>
              </w:rPr>
            </w:pPr>
          </w:p>
        </w:tc>
      </w:tr>
      <w:tr w:rsidR="00A10B25" w14:paraId="62F154AA" w14:textId="77777777">
        <w:trPr>
          <w:jc w:val="center"/>
        </w:trPr>
        <w:tc>
          <w:tcPr>
            <w:tcW w:w="1531" w:type="dxa"/>
          </w:tcPr>
          <w:p w14:paraId="04BD42A5" w14:textId="77777777" w:rsidR="00A10B25" w:rsidRDefault="00A10B25">
            <w:pPr>
              <w:pStyle w:val="TAL"/>
            </w:pPr>
            <w:r>
              <w:t>subscriptionId</w:t>
            </w:r>
          </w:p>
        </w:tc>
        <w:tc>
          <w:tcPr>
            <w:tcW w:w="1559" w:type="dxa"/>
          </w:tcPr>
          <w:p w14:paraId="6BB260BF" w14:textId="77777777" w:rsidR="00A10B25" w:rsidRDefault="00A10B25">
            <w:pPr>
              <w:pStyle w:val="TAL"/>
            </w:pPr>
            <w:r>
              <w:t>string</w:t>
            </w:r>
          </w:p>
        </w:tc>
        <w:tc>
          <w:tcPr>
            <w:tcW w:w="425" w:type="dxa"/>
          </w:tcPr>
          <w:p w14:paraId="3536710E" w14:textId="77777777" w:rsidR="00A10B25" w:rsidRDefault="00A10B25">
            <w:pPr>
              <w:pStyle w:val="TAC"/>
            </w:pPr>
            <w:r>
              <w:rPr>
                <w:rFonts w:hint="eastAsia"/>
              </w:rPr>
              <w:t>M</w:t>
            </w:r>
          </w:p>
        </w:tc>
        <w:tc>
          <w:tcPr>
            <w:tcW w:w="1134" w:type="dxa"/>
          </w:tcPr>
          <w:p w14:paraId="049BEEB2" w14:textId="77777777" w:rsidR="00A10B25" w:rsidRDefault="00A10B25">
            <w:pPr>
              <w:pStyle w:val="TAL"/>
            </w:pPr>
            <w:r>
              <w:rPr>
                <w:rFonts w:hint="eastAsia"/>
              </w:rPr>
              <w:t>1</w:t>
            </w:r>
          </w:p>
        </w:tc>
        <w:tc>
          <w:tcPr>
            <w:tcW w:w="2856" w:type="dxa"/>
            <w:vAlign w:val="center"/>
          </w:tcPr>
          <w:p w14:paraId="6D20D683" w14:textId="77777777" w:rsidR="00A10B25" w:rsidRDefault="00A10B25">
            <w:pPr>
              <w:pStyle w:val="TAL"/>
            </w:pPr>
            <w:r>
              <w:t xml:space="preserve">String identifying a subscription to the Nnwdaf_EventsSubscription service. </w:t>
            </w:r>
            <w:r>
              <w:rPr>
                <w:lang w:eastAsia="zh-CN"/>
              </w:rPr>
              <w:t>(NOTE</w:t>
            </w:r>
            <w:r>
              <w:rPr>
                <w:lang w:val="en-US" w:eastAsia="zh-CN"/>
              </w:rPr>
              <w:t> 2</w:t>
            </w:r>
            <w:r>
              <w:rPr>
                <w:lang w:eastAsia="zh-CN"/>
              </w:rPr>
              <w:t>)</w:t>
            </w:r>
          </w:p>
        </w:tc>
        <w:tc>
          <w:tcPr>
            <w:tcW w:w="1843" w:type="dxa"/>
          </w:tcPr>
          <w:p w14:paraId="1FD2541B" w14:textId="77777777" w:rsidR="00A10B25" w:rsidRDefault="00A10B25">
            <w:pPr>
              <w:pStyle w:val="TAL"/>
              <w:rPr>
                <w:rFonts w:cs="Arial"/>
                <w:szCs w:val="18"/>
              </w:rPr>
            </w:pPr>
          </w:p>
        </w:tc>
      </w:tr>
      <w:tr w:rsidR="00A10B25" w14:paraId="4732EF8E" w14:textId="77777777">
        <w:trPr>
          <w:jc w:val="center"/>
        </w:trPr>
        <w:tc>
          <w:tcPr>
            <w:tcW w:w="1531" w:type="dxa"/>
          </w:tcPr>
          <w:p w14:paraId="5F49FB30" w14:textId="77777777" w:rsidR="00A10B25" w:rsidRDefault="00A10B25">
            <w:pPr>
              <w:pStyle w:val="TAL"/>
            </w:pPr>
            <w:r>
              <w:t>notifCorrId</w:t>
            </w:r>
          </w:p>
        </w:tc>
        <w:tc>
          <w:tcPr>
            <w:tcW w:w="1559" w:type="dxa"/>
          </w:tcPr>
          <w:p w14:paraId="34363CD3" w14:textId="77777777" w:rsidR="00A10B25" w:rsidRDefault="00A10B25">
            <w:pPr>
              <w:pStyle w:val="TAL"/>
            </w:pPr>
            <w:r>
              <w:t>string</w:t>
            </w:r>
          </w:p>
        </w:tc>
        <w:tc>
          <w:tcPr>
            <w:tcW w:w="425" w:type="dxa"/>
          </w:tcPr>
          <w:p w14:paraId="1FC84312" w14:textId="77777777" w:rsidR="00A10B25" w:rsidRDefault="00A10B25">
            <w:pPr>
              <w:pStyle w:val="TAC"/>
            </w:pPr>
            <w:r>
              <w:t>O</w:t>
            </w:r>
          </w:p>
        </w:tc>
        <w:tc>
          <w:tcPr>
            <w:tcW w:w="1134" w:type="dxa"/>
          </w:tcPr>
          <w:p w14:paraId="60C1C9E7" w14:textId="77777777" w:rsidR="00A10B25" w:rsidRDefault="00A10B25">
            <w:pPr>
              <w:pStyle w:val="TAL"/>
            </w:pPr>
            <w:r>
              <w:t>0..1</w:t>
            </w:r>
          </w:p>
        </w:tc>
        <w:tc>
          <w:tcPr>
            <w:tcW w:w="2856" w:type="dxa"/>
          </w:tcPr>
          <w:p w14:paraId="056B7DE3" w14:textId="77777777" w:rsidR="00A10B25" w:rsidRDefault="00A10B25">
            <w:pPr>
              <w:pStyle w:val="TAL"/>
            </w:pPr>
            <w:r>
              <w:t>Notification correlation identifier.</w:t>
            </w:r>
          </w:p>
        </w:tc>
        <w:tc>
          <w:tcPr>
            <w:tcW w:w="1843" w:type="dxa"/>
          </w:tcPr>
          <w:p w14:paraId="07C90E36" w14:textId="77777777" w:rsidR="00A10B25" w:rsidRDefault="00A10B25">
            <w:pPr>
              <w:pStyle w:val="TAL"/>
              <w:rPr>
                <w:rFonts w:cs="Arial"/>
                <w:szCs w:val="18"/>
              </w:rPr>
            </w:pPr>
            <w:r>
              <w:rPr>
                <w:rFonts w:cs="Arial"/>
                <w:szCs w:val="18"/>
              </w:rPr>
              <w:t>EneNA</w:t>
            </w:r>
          </w:p>
        </w:tc>
      </w:tr>
      <w:tr w:rsidR="00A10B25" w14:paraId="0659A527" w14:textId="77777777">
        <w:trPr>
          <w:jc w:val="center"/>
        </w:trPr>
        <w:tc>
          <w:tcPr>
            <w:tcW w:w="1531" w:type="dxa"/>
          </w:tcPr>
          <w:p w14:paraId="081CEE6F" w14:textId="77777777" w:rsidR="00A10B25" w:rsidRDefault="00A10B25">
            <w:pPr>
              <w:pStyle w:val="TAL"/>
            </w:pPr>
            <w:r>
              <w:t>oldSubscriptionId</w:t>
            </w:r>
          </w:p>
        </w:tc>
        <w:tc>
          <w:tcPr>
            <w:tcW w:w="1559" w:type="dxa"/>
          </w:tcPr>
          <w:p w14:paraId="58F3D59D" w14:textId="77777777" w:rsidR="00A10B25" w:rsidRDefault="00A10B25">
            <w:pPr>
              <w:pStyle w:val="TAL"/>
            </w:pPr>
            <w:r>
              <w:t>string</w:t>
            </w:r>
          </w:p>
        </w:tc>
        <w:tc>
          <w:tcPr>
            <w:tcW w:w="425" w:type="dxa"/>
          </w:tcPr>
          <w:p w14:paraId="1D56D835" w14:textId="77777777" w:rsidR="00A10B25" w:rsidRDefault="00A10B25">
            <w:pPr>
              <w:pStyle w:val="TAC"/>
            </w:pPr>
            <w:r>
              <w:t>C</w:t>
            </w:r>
          </w:p>
        </w:tc>
        <w:tc>
          <w:tcPr>
            <w:tcW w:w="1134" w:type="dxa"/>
          </w:tcPr>
          <w:p w14:paraId="27B11982" w14:textId="77777777" w:rsidR="00A10B25" w:rsidRDefault="00A10B25">
            <w:pPr>
              <w:pStyle w:val="TAL"/>
            </w:pPr>
            <w:r>
              <w:t>0..1</w:t>
            </w:r>
          </w:p>
        </w:tc>
        <w:tc>
          <w:tcPr>
            <w:tcW w:w="2856" w:type="dxa"/>
            <w:vAlign w:val="center"/>
          </w:tcPr>
          <w:p w14:paraId="502C692A" w14:textId="77777777" w:rsidR="00A10B25" w:rsidRDefault="00A10B25">
            <w:pPr>
              <w:pStyle w:val="TAL"/>
              <w:rPr>
                <w:lang w:eastAsia="zh-CN"/>
              </w:rPr>
            </w:pPr>
            <w:r>
              <w:t>Subscription</w:t>
            </w:r>
            <w:r>
              <w:rPr>
                <w:lang w:eastAsia="zh-CN"/>
              </w:rPr>
              <w:t xml:space="preserve"> ID </w:t>
            </w:r>
            <w:r>
              <w:rPr>
                <w:lang w:eastAsia="ko-KR"/>
              </w:rPr>
              <w:t>which was allocated by the source NWDAF</w:t>
            </w:r>
            <w:r>
              <w:rPr>
                <w:lang w:eastAsia="zh-CN"/>
              </w:rPr>
              <w:t>.</w:t>
            </w:r>
          </w:p>
          <w:p w14:paraId="52CB6166" w14:textId="77777777" w:rsidR="00A10B25" w:rsidRDefault="00A10B25">
            <w:pPr>
              <w:pStyle w:val="TAL"/>
              <w:rPr>
                <w:lang w:eastAsia="zh-CN"/>
              </w:rPr>
            </w:pPr>
            <w:r>
              <w:rPr>
                <w:lang w:eastAsia="zh-CN"/>
              </w:rPr>
              <w:t xml:space="preserve">This parameter shall be present if the notification is for informing the assignment of a new Subscription Id by the target NWDAF in the </w:t>
            </w:r>
            <w:r>
              <w:rPr>
                <w:lang w:eastAsia="ko-KR"/>
              </w:rPr>
              <w:t>analytics transfer procedure</w:t>
            </w:r>
            <w:r>
              <w:rPr>
                <w:lang w:eastAsia="zh-CN"/>
              </w:rPr>
              <w:t>.</w:t>
            </w:r>
          </w:p>
          <w:p w14:paraId="5F646A88" w14:textId="77777777" w:rsidR="00A10B25" w:rsidRDefault="00A10B25">
            <w:pPr>
              <w:pStyle w:val="TAL"/>
            </w:pPr>
            <w:r>
              <w:rPr>
                <w:lang w:eastAsia="zh-CN"/>
              </w:rPr>
              <w:t>(NOTE</w:t>
            </w:r>
            <w:r>
              <w:rPr>
                <w:lang w:val="en-US" w:eastAsia="zh-CN"/>
              </w:rPr>
              <w:t> 1</w:t>
            </w:r>
            <w:r>
              <w:rPr>
                <w:lang w:eastAsia="zh-CN"/>
              </w:rPr>
              <w:t>)</w:t>
            </w:r>
          </w:p>
        </w:tc>
        <w:tc>
          <w:tcPr>
            <w:tcW w:w="1843" w:type="dxa"/>
          </w:tcPr>
          <w:p w14:paraId="2A57D380" w14:textId="77777777" w:rsidR="00A10B25" w:rsidRDefault="00A10B25">
            <w:pPr>
              <w:pStyle w:val="TAL"/>
              <w:rPr>
                <w:rFonts w:cs="Arial"/>
                <w:szCs w:val="18"/>
              </w:rPr>
            </w:pPr>
            <w:r>
              <w:t>EneNA</w:t>
            </w:r>
          </w:p>
        </w:tc>
      </w:tr>
      <w:tr w:rsidR="00A10B25" w14:paraId="643CF980" w14:textId="77777777">
        <w:trPr>
          <w:jc w:val="center"/>
        </w:trPr>
        <w:tc>
          <w:tcPr>
            <w:tcW w:w="1531" w:type="dxa"/>
          </w:tcPr>
          <w:p w14:paraId="38217FDE" w14:textId="77777777" w:rsidR="00A10B25" w:rsidRDefault="00A10B25">
            <w:pPr>
              <w:pStyle w:val="TAL"/>
            </w:pPr>
            <w:r>
              <w:rPr>
                <w:lang w:eastAsia="zh-CN"/>
              </w:rPr>
              <w:t>resourceUri</w:t>
            </w:r>
          </w:p>
        </w:tc>
        <w:tc>
          <w:tcPr>
            <w:tcW w:w="1559" w:type="dxa"/>
          </w:tcPr>
          <w:p w14:paraId="7833320D" w14:textId="77777777" w:rsidR="00A10B25" w:rsidRDefault="00A10B25">
            <w:pPr>
              <w:pStyle w:val="TAL"/>
            </w:pPr>
            <w:r>
              <w:rPr>
                <w:lang w:eastAsia="zh-CN"/>
              </w:rPr>
              <w:t>Uri</w:t>
            </w:r>
          </w:p>
        </w:tc>
        <w:tc>
          <w:tcPr>
            <w:tcW w:w="425" w:type="dxa"/>
          </w:tcPr>
          <w:p w14:paraId="5F1404B9" w14:textId="77777777" w:rsidR="00A10B25" w:rsidRDefault="00A10B25">
            <w:pPr>
              <w:pStyle w:val="TAC"/>
            </w:pPr>
            <w:r>
              <w:rPr>
                <w:lang w:eastAsia="zh-CN"/>
              </w:rPr>
              <w:t>C</w:t>
            </w:r>
          </w:p>
        </w:tc>
        <w:tc>
          <w:tcPr>
            <w:tcW w:w="1134" w:type="dxa"/>
          </w:tcPr>
          <w:p w14:paraId="1E060B8B" w14:textId="77777777" w:rsidR="00A10B25" w:rsidRDefault="00A10B25">
            <w:pPr>
              <w:pStyle w:val="TAL"/>
            </w:pPr>
            <w:r>
              <w:rPr>
                <w:lang w:val="en-US" w:eastAsia="zh-CN"/>
              </w:rPr>
              <w:t>0..</w:t>
            </w:r>
            <w:r>
              <w:rPr>
                <w:lang w:eastAsia="zh-CN"/>
              </w:rPr>
              <w:t>1</w:t>
            </w:r>
          </w:p>
        </w:tc>
        <w:tc>
          <w:tcPr>
            <w:tcW w:w="2856" w:type="dxa"/>
          </w:tcPr>
          <w:p w14:paraId="68F5A145" w14:textId="77777777" w:rsidR="00A10B25" w:rsidRDefault="00A10B25">
            <w:pPr>
              <w:pStyle w:val="TAL"/>
            </w:pPr>
            <w:r>
              <w:rPr>
                <w:lang w:eastAsia="zh-CN"/>
              </w:rPr>
              <w:t xml:space="preserve">The resource URI of the </w:t>
            </w:r>
            <w:r>
              <w:t>Individual NWDAF Event Subscription resource created by the target NWDAF.</w:t>
            </w:r>
          </w:p>
          <w:p w14:paraId="3238C2BD" w14:textId="77777777" w:rsidR="00A10B25" w:rsidRDefault="00A10B25">
            <w:pPr>
              <w:pStyle w:val="TAL"/>
              <w:rPr>
                <w:lang w:eastAsia="zh-CN"/>
              </w:rPr>
            </w:pPr>
            <w:r>
              <w:rPr>
                <w:lang w:eastAsia="zh-CN"/>
              </w:rPr>
              <w:t>Shall be present when the target NWDAF notifies a</w:t>
            </w:r>
            <w:r>
              <w:rPr>
                <w:lang w:eastAsia="ko-KR"/>
              </w:rPr>
              <w:t xml:space="preserve"> successful analytics subscription transfer.</w:t>
            </w:r>
          </w:p>
          <w:p w14:paraId="46938B00" w14:textId="77777777" w:rsidR="00A10B25" w:rsidRDefault="00A10B25">
            <w:pPr>
              <w:pStyle w:val="TAL"/>
            </w:pPr>
            <w:r>
              <w:rPr>
                <w:lang w:eastAsia="zh-CN"/>
              </w:rPr>
              <w:t xml:space="preserve">(NOTE 1) </w:t>
            </w:r>
            <w:r>
              <w:rPr>
                <w:lang w:eastAsia="zh-CN"/>
              </w:rPr>
              <w:t>(NOTE</w:t>
            </w:r>
            <w:r>
              <w:rPr>
                <w:lang w:val="en-US" w:eastAsia="zh-CN"/>
              </w:rPr>
              <w:t> 2</w:t>
            </w:r>
            <w:r>
              <w:rPr>
                <w:lang w:eastAsia="zh-CN"/>
              </w:rPr>
              <w:t>)</w:t>
            </w:r>
          </w:p>
        </w:tc>
        <w:tc>
          <w:tcPr>
            <w:tcW w:w="1843" w:type="dxa"/>
          </w:tcPr>
          <w:p w14:paraId="25485DA3" w14:textId="77777777" w:rsidR="00A10B25" w:rsidRDefault="00A10B25">
            <w:pPr>
              <w:pStyle w:val="TAL"/>
            </w:pPr>
            <w:r>
              <w:t>EneNA</w:t>
            </w:r>
          </w:p>
        </w:tc>
      </w:tr>
      <w:tr w:rsidR="00A10B25" w14:paraId="71EAF6FF" w14:textId="77777777">
        <w:trPr>
          <w:jc w:val="center"/>
        </w:trPr>
        <w:tc>
          <w:tcPr>
            <w:tcW w:w="1531" w:type="dxa"/>
          </w:tcPr>
          <w:p w14:paraId="123C81B0" w14:textId="77777777" w:rsidR="00A10B25" w:rsidRDefault="00A10B25">
            <w:pPr>
              <w:pStyle w:val="TAL"/>
              <w:rPr>
                <w:lang w:eastAsia="zh-CN"/>
              </w:rPr>
            </w:pPr>
            <w:r>
              <w:t>termCause</w:t>
            </w:r>
          </w:p>
        </w:tc>
        <w:tc>
          <w:tcPr>
            <w:tcW w:w="1559" w:type="dxa"/>
          </w:tcPr>
          <w:p w14:paraId="3647FCC7" w14:textId="77777777" w:rsidR="00A10B25" w:rsidRDefault="00A10B25">
            <w:pPr>
              <w:pStyle w:val="TAL"/>
              <w:rPr>
                <w:lang w:eastAsia="zh-CN"/>
              </w:rPr>
            </w:pPr>
            <w:r>
              <w:t>TermCause</w:t>
            </w:r>
          </w:p>
        </w:tc>
        <w:tc>
          <w:tcPr>
            <w:tcW w:w="425" w:type="dxa"/>
          </w:tcPr>
          <w:p w14:paraId="02B92ED8" w14:textId="77777777" w:rsidR="00A10B25" w:rsidRDefault="00A10B25">
            <w:pPr>
              <w:pStyle w:val="TAC"/>
              <w:rPr>
                <w:lang w:eastAsia="zh-CN"/>
              </w:rPr>
            </w:pPr>
            <w:r>
              <w:t>O</w:t>
            </w:r>
          </w:p>
        </w:tc>
        <w:tc>
          <w:tcPr>
            <w:tcW w:w="1134" w:type="dxa"/>
          </w:tcPr>
          <w:p w14:paraId="1546D210" w14:textId="77777777" w:rsidR="00A10B25" w:rsidRDefault="00A10B25">
            <w:pPr>
              <w:pStyle w:val="TAL"/>
              <w:rPr>
                <w:lang w:eastAsia="zh-CN"/>
              </w:rPr>
            </w:pPr>
            <w:r>
              <w:t>0..1</w:t>
            </w:r>
          </w:p>
        </w:tc>
        <w:tc>
          <w:tcPr>
            <w:tcW w:w="2856" w:type="dxa"/>
            <w:vAlign w:val="center"/>
          </w:tcPr>
          <w:p w14:paraId="58F56F21" w14:textId="77777777" w:rsidR="00A10B25" w:rsidRDefault="00A10B25">
            <w:pPr>
              <w:pStyle w:val="TAL"/>
              <w:rPr>
                <w:lang w:eastAsia="zh-CN"/>
              </w:rPr>
            </w:pPr>
            <w:r>
              <w:t>A cause for which the NWDAF will send no further notifications for this subscription. Its presence indicates that the NWDAF requests the termination of the subscription.</w:t>
            </w:r>
          </w:p>
        </w:tc>
        <w:tc>
          <w:tcPr>
            <w:tcW w:w="1843" w:type="dxa"/>
          </w:tcPr>
          <w:p w14:paraId="5AB5221F" w14:textId="77777777" w:rsidR="00A10B25" w:rsidRDefault="00A10B25">
            <w:pPr>
              <w:pStyle w:val="TAL"/>
            </w:pPr>
            <w:r>
              <w:t>TermRequest</w:t>
            </w:r>
          </w:p>
        </w:tc>
      </w:tr>
      <w:tr w:rsidR="00A10B25" w14:paraId="4F8BF38D" w14:textId="77777777">
        <w:trPr>
          <w:jc w:val="center"/>
        </w:trPr>
        <w:tc>
          <w:tcPr>
            <w:tcW w:w="1531" w:type="dxa"/>
          </w:tcPr>
          <w:p w14:paraId="5E127884" w14:textId="77777777" w:rsidR="00A10B25" w:rsidRDefault="00A10B25">
            <w:pPr>
              <w:pStyle w:val="TAL"/>
            </w:pPr>
            <w:r>
              <w:rPr>
                <w:lang w:eastAsia="zh-CN"/>
              </w:rPr>
              <w:t>transEvents</w:t>
            </w:r>
          </w:p>
        </w:tc>
        <w:tc>
          <w:tcPr>
            <w:tcW w:w="1559" w:type="dxa"/>
          </w:tcPr>
          <w:p w14:paraId="05A63EBE" w14:textId="77777777" w:rsidR="00A10B25" w:rsidRDefault="00A10B25">
            <w:pPr>
              <w:pStyle w:val="TAL"/>
            </w:pPr>
            <w:r>
              <w:rPr>
                <w:lang w:eastAsia="zh-CN"/>
              </w:rPr>
              <w:t>array(</w:t>
            </w:r>
            <w:r>
              <w:t>NwdafEvent</w:t>
            </w:r>
            <w:r>
              <w:rPr>
                <w:lang w:eastAsia="zh-CN"/>
              </w:rPr>
              <w:t>)</w:t>
            </w:r>
          </w:p>
        </w:tc>
        <w:tc>
          <w:tcPr>
            <w:tcW w:w="425" w:type="dxa"/>
          </w:tcPr>
          <w:p w14:paraId="55C1A9E2" w14:textId="77777777" w:rsidR="00A10B25" w:rsidRDefault="00A10B25">
            <w:pPr>
              <w:pStyle w:val="TAC"/>
            </w:pPr>
            <w:r>
              <w:t>C</w:t>
            </w:r>
          </w:p>
        </w:tc>
        <w:tc>
          <w:tcPr>
            <w:tcW w:w="1134" w:type="dxa"/>
          </w:tcPr>
          <w:p w14:paraId="019F190C" w14:textId="77777777" w:rsidR="00A10B25" w:rsidRDefault="00A10B25">
            <w:pPr>
              <w:pStyle w:val="TAL"/>
            </w:pPr>
            <w:r>
              <w:t>1..N</w:t>
            </w:r>
          </w:p>
        </w:tc>
        <w:tc>
          <w:tcPr>
            <w:tcW w:w="2856" w:type="dxa"/>
            <w:vAlign w:val="center"/>
          </w:tcPr>
          <w:p w14:paraId="4F90A1F2" w14:textId="77777777" w:rsidR="00A10B25" w:rsidRDefault="00A10B25">
            <w:pPr>
              <w:pStyle w:val="TAL"/>
              <w:rPr>
                <w:lang w:eastAsia="ko-KR"/>
              </w:rPr>
            </w:pPr>
            <w:r>
              <w:t>I</w:t>
            </w:r>
            <w:r>
              <w:rPr>
                <w:lang w:eastAsia="zh-CN"/>
              </w:rPr>
              <w:t xml:space="preserve">ndicates the successful transferred </w:t>
            </w:r>
            <w:r>
              <w:rPr>
                <w:lang w:eastAsia="ko-KR"/>
              </w:rPr>
              <w:t>subscription event(s) for</w:t>
            </w:r>
            <w:r>
              <w:rPr>
                <w:lang w:eastAsia="zh-CN"/>
              </w:rPr>
              <w:t xml:space="preserve"> a</w:t>
            </w:r>
            <w:r>
              <w:rPr>
                <w:lang w:eastAsia="ko-KR"/>
              </w:rPr>
              <w:t xml:space="preserve"> partial successful analytics subscription transfer.</w:t>
            </w:r>
          </w:p>
          <w:p w14:paraId="7AA1B0C8" w14:textId="77777777" w:rsidR="00A10B25" w:rsidRDefault="00A10B25">
            <w:pPr>
              <w:pStyle w:val="TAL"/>
            </w:pPr>
            <w:r>
              <w:rPr>
                <w:lang w:eastAsia="zh-CN"/>
              </w:rPr>
              <w:t xml:space="preserve">It shall be </w:t>
            </w:r>
            <w:r>
              <w:t>supplied by the Target NWDAF</w:t>
            </w:r>
            <w:r>
              <w:rPr>
                <w:lang w:eastAsia="zh-CN"/>
              </w:rPr>
              <w:t xml:space="preserve"> if not all the analytics events in the subscription transfer are accepted.</w:t>
            </w:r>
          </w:p>
        </w:tc>
        <w:tc>
          <w:tcPr>
            <w:tcW w:w="1843" w:type="dxa"/>
          </w:tcPr>
          <w:p w14:paraId="2807D53B" w14:textId="77777777" w:rsidR="00A10B25" w:rsidRDefault="00A10B25">
            <w:pPr>
              <w:pStyle w:val="TAL"/>
            </w:pPr>
            <w:r>
              <w:rPr>
                <w:lang w:eastAsia="zh-CN"/>
              </w:rPr>
              <w:t>PartialAnalyticsSubTransfer</w:t>
            </w:r>
          </w:p>
        </w:tc>
      </w:tr>
      <w:tr w:rsidR="00A10B25" w14:paraId="61A9D3D5" w14:textId="77777777">
        <w:trPr>
          <w:jc w:val="center"/>
        </w:trPr>
        <w:tc>
          <w:tcPr>
            <w:tcW w:w="9348" w:type="dxa"/>
            <w:gridSpan w:val="6"/>
          </w:tcPr>
          <w:p w14:paraId="470B4E20" w14:textId="77777777" w:rsidR="00A10B25" w:rsidRDefault="00A10B25">
            <w:pPr>
              <w:pStyle w:val="TAN"/>
            </w:pPr>
            <w:r>
              <w:t>NOTE 1:</w:t>
            </w:r>
            <w:r>
              <w:tab/>
              <w:t>Either "eventNotifications" attribute, or "</w:t>
            </w:r>
            <w:r>
              <w:rPr>
                <w:lang w:eastAsia="zh-CN"/>
              </w:rPr>
              <w:t>resourceUri</w:t>
            </w:r>
            <w:r>
              <w:t>" and "oldSubscriptionId" attributes shall be provided.</w:t>
            </w:r>
          </w:p>
          <w:p w14:paraId="17C0FCAA" w14:textId="77777777" w:rsidR="00A10B25" w:rsidRDefault="00A10B25">
            <w:pPr>
              <w:pStyle w:val="TAN"/>
            </w:pPr>
            <w:r>
              <w:t>NOTE 2:</w:t>
            </w:r>
            <w:r>
              <w:tab/>
            </w:r>
            <w:r>
              <w:rPr>
                <w:lang w:eastAsia="zh-CN"/>
              </w:rPr>
              <w:t xml:space="preserve">It shall be the same as the last segment of the </w:t>
            </w:r>
            <w:r>
              <w:rPr>
                <w:lang w:eastAsia="en-GB"/>
              </w:rPr>
              <w:t>"</w:t>
            </w:r>
            <w:r>
              <w:rPr>
                <w:lang w:eastAsia="zh-CN"/>
              </w:rPr>
              <w:t>resourceUri</w:t>
            </w:r>
            <w:r>
              <w:rPr>
                <w:lang w:eastAsia="en-GB"/>
              </w:rPr>
              <w:t>"</w:t>
            </w:r>
            <w:r>
              <w:rPr>
                <w:lang w:eastAsia="zh-CN"/>
              </w:rPr>
              <w:t xml:space="preserve"> attribute</w:t>
            </w:r>
            <w:r>
              <w:rPr>
                <w:rFonts w:eastAsia="等线"/>
              </w:rPr>
              <w:t xml:space="preserve"> when the </w:t>
            </w:r>
            <w:r>
              <w:rPr>
                <w:lang w:eastAsia="ko-KR"/>
              </w:rPr>
              <w:t>target NWDAF notifies the consumer of the successful analytics subscription transfer</w:t>
            </w:r>
            <w:r>
              <w:t>.</w:t>
            </w:r>
          </w:p>
        </w:tc>
      </w:tr>
    </w:tbl>
    <w:p w14:paraId="4B30768F" w14:textId="77777777" w:rsidR="00A10B25" w:rsidRDefault="00A10B25">
      <w:pPr>
        <w:rPr>
          <w:lang w:eastAsia="zh-CN"/>
        </w:rPr>
      </w:pPr>
    </w:p>
    <w:p w14:paraId="1D41202C" w14:textId="77777777" w:rsidR="00A10B25" w:rsidRDefault="00A10B25">
      <w:pPr>
        <w:pStyle w:val="5"/>
      </w:pPr>
      <w:bookmarkStart w:id="5684" w:name="_Toc50031976"/>
      <w:bookmarkStart w:id="5685" w:name="_Toc94064252"/>
      <w:bookmarkStart w:id="5686" w:name="_Toc90655869"/>
      <w:bookmarkStart w:id="5687" w:name="_Toc28012818"/>
      <w:bookmarkStart w:id="5688" w:name="_Toc136562374"/>
      <w:bookmarkStart w:id="5689" w:name="_Toc83233073"/>
      <w:bookmarkStart w:id="5690" w:name="_Toc43563501"/>
      <w:bookmarkStart w:id="5691" w:name="_Toc36102459"/>
      <w:bookmarkStart w:id="5692" w:name="_Toc112951128"/>
      <w:bookmarkStart w:id="5693" w:name="_Toc104539006"/>
      <w:bookmarkStart w:id="5694" w:name="_Toc70550627"/>
      <w:bookmarkStart w:id="5695" w:name="_Toc88667584"/>
      <w:bookmarkStart w:id="5696" w:name="_Toc85557082"/>
      <w:bookmarkStart w:id="5697" w:name="_Toc66231799"/>
      <w:bookmarkStart w:id="5698" w:name="_Toc101244413"/>
      <w:bookmarkStart w:id="5699" w:name="_Toc34266288"/>
      <w:bookmarkStart w:id="5700" w:name="_Toc59017931"/>
      <w:bookmarkStart w:id="5701" w:name="_Toc85552983"/>
      <w:bookmarkStart w:id="5702" w:name="_Toc148522599"/>
      <w:bookmarkStart w:id="5703" w:name="_Toc56640963"/>
      <w:bookmarkStart w:id="5704" w:name="_Toc51762896"/>
      <w:bookmarkStart w:id="5705" w:name="_Toc98233637"/>
      <w:bookmarkStart w:id="5706" w:name="_Toc114133807"/>
      <w:bookmarkStart w:id="5707" w:name="_Toc45134044"/>
      <w:bookmarkStart w:id="5708" w:name="_Toc138754208"/>
      <w:bookmarkStart w:id="5709" w:name="_Toc145705695"/>
      <w:bookmarkStart w:id="5710" w:name="_Toc120702307"/>
      <w:bookmarkStart w:id="5711" w:name="_Toc68168960"/>
      <w:bookmarkStart w:id="5712" w:name="_Toc113031668"/>
      <w:bookmarkStart w:id="5713" w:name="_Toc164920779"/>
      <w:bookmarkStart w:id="5714" w:name="_Toc170120321"/>
      <w:bookmarkStart w:id="5715" w:name="_Toc175858566"/>
      <w:bookmarkStart w:id="5716" w:name="_Toc175859639"/>
      <w:bookmarkStart w:id="5717" w:name="_Toc180605929"/>
      <w:bookmarkStart w:id="5718" w:name="_Toc185517183"/>
      <w:bookmarkStart w:id="5719" w:name="_Toc191576234"/>
      <w:bookmarkStart w:id="5720" w:name="_Toc191576974"/>
      <w:bookmarkStart w:id="5721" w:name="_Toc192880044"/>
      <w:bookmarkStart w:id="5722" w:name="_Toc195814927"/>
      <w:bookmarkStart w:id="5723" w:name="_Toc199452894"/>
      <w:r>
        <w:lastRenderedPageBreak/>
        <w:t>5.1.6.2.5</w:t>
      </w:r>
      <w:r>
        <w:tab/>
        <w:t>Type EventNotification</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667BF1C1" w14:textId="77777777" w:rsidR="00A10B25" w:rsidRDefault="00A10B25">
      <w:pPr>
        <w:pStyle w:val="TH"/>
      </w:pPr>
      <w:r>
        <w:t>Table 5.1.6.2.5-1: Definition of type EventNotification</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559"/>
        <w:gridCol w:w="425"/>
        <w:gridCol w:w="1134"/>
        <w:gridCol w:w="2856"/>
        <w:gridCol w:w="1843"/>
      </w:tblGrid>
      <w:tr w:rsidR="00F525B2" w14:paraId="41E8A5A1" w14:textId="77777777" w:rsidTr="009B329F">
        <w:trPr>
          <w:jc w:val="center"/>
        </w:trPr>
        <w:tc>
          <w:tcPr>
            <w:tcW w:w="1531" w:type="dxa"/>
            <w:shd w:val="clear" w:color="auto" w:fill="C0C0C0"/>
          </w:tcPr>
          <w:p w14:paraId="3BF654AD" w14:textId="77777777" w:rsidR="00F525B2" w:rsidRDefault="00F525B2" w:rsidP="009B329F">
            <w:pPr>
              <w:pStyle w:val="TAH"/>
            </w:pPr>
            <w:r>
              <w:lastRenderedPageBreak/>
              <w:t>Attribute name</w:t>
            </w:r>
          </w:p>
        </w:tc>
        <w:tc>
          <w:tcPr>
            <w:tcW w:w="1559" w:type="dxa"/>
            <w:shd w:val="clear" w:color="auto" w:fill="C0C0C0"/>
          </w:tcPr>
          <w:p w14:paraId="741B4956" w14:textId="77777777" w:rsidR="00F525B2" w:rsidRDefault="00F525B2" w:rsidP="009B329F">
            <w:pPr>
              <w:pStyle w:val="TAH"/>
            </w:pPr>
            <w:r>
              <w:t>Data type</w:t>
            </w:r>
          </w:p>
        </w:tc>
        <w:tc>
          <w:tcPr>
            <w:tcW w:w="425" w:type="dxa"/>
            <w:shd w:val="clear" w:color="auto" w:fill="C0C0C0"/>
          </w:tcPr>
          <w:p w14:paraId="55D955F0" w14:textId="77777777" w:rsidR="00F525B2" w:rsidRDefault="00F525B2" w:rsidP="009B329F">
            <w:pPr>
              <w:pStyle w:val="TAH"/>
            </w:pPr>
            <w:r>
              <w:t>P</w:t>
            </w:r>
          </w:p>
        </w:tc>
        <w:tc>
          <w:tcPr>
            <w:tcW w:w="1134" w:type="dxa"/>
            <w:shd w:val="clear" w:color="auto" w:fill="C0C0C0"/>
          </w:tcPr>
          <w:p w14:paraId="0DC2AF08" w14:textId="77777777" w:rsidR="00F525B2" w:rsidRDefault="00F525B2" w:rsidP="009B329F">
            <w:pPr>
              <w:pStyle w:val="TAH"/>
            </w:pPr>
            <w:r>
              <w:t>Cardinality</w:t>
            </w:r>
          </w:p>
        </w:tc>
        <w:tc>
          <w:tcPr>
            <w:tcW w:w="2856" w:type="dxa"/>
            <w:shd w:val="clear" w:color="auto" w:fill="C0C0C0"/>
          </w:tcPr>
          <w:p w14:paraId="00C18D64" w14:textId="77777777" w:rsidR="00F525B2" w:rsidRDefault="00F525B2" w:rsidP="009B329F">
            <w:pPr>
              <w:pStyle w:val="TAH"/>
              <w:rPr>
                <w:rFonts w:cs="Arial"/>
                <w:szCs w:val="18"/>
              </w:rPr>
            </w:pPr>
            <w:r>
              <w:rPr>
                <w:rFonts w:cs="Arial"/>
                <w:szCs w:val="18"/>
              </w:rPr>
              <w:t>Description</w:t>
            </w:r>
          </w:p>
        </w:tc>
        <w:tc>
          <w:tcPr>
            <w:tcW w:w="1843" w:type="dxa"/>
            <w:shd w:val="clear" w:color="auto" w:fill="C0C0C0"/>
          </w:tcPr>
          <w:p w14:paraId="1C59F3BF" w14:textId="77777777" w:rsidR="00F525B2" w:rsidRDefault="00F525B2" w:rsidP="009B329F">
            <w:pPr>
              <w:pStyle w:val="TAH"/>
              <w:rPr>
                <w:rFonts w:cs="Arial"/>
                <w:szCs w:val="18"/>
              </w:rPr>
            </w:pPr>
            <w:r>
              <w:rPr>
                <w:rFonts w:cs="Arial"/>
                <w:szCs w:val="18"/>
              </w:rPr>
              <w:t>Applicability</w:t>
            </w:r>
          </w:p>
        </w:tc>
      </w:tr>
      <w:tr w:rsidR="00F525B2" w14:paraId="56C165A0" w14:textId="77777777" w:rsidTr="009B329F">
        <w:trPr>
          <w:jc w:val="center"/>
        </w:trPr>
        <w:tc>
          <w:tcPr>
            <w:tcW w:w="1531" w:type="dxa"/>
          </w:tcPr>
          <w:p w14:paraId="1526DC28" w14:textId="77777777" w:rsidR="00F525B2" w:rsidRDefault="00F525B2" w:rsidP="009B329F">
            <w:pPr>
              <w:keepNext/>
              <w:keepLines/>
              <w:spacing w:after="0"/>
              <w:rPr>
                <w:rFonts w:ascii="Arial" w:hAnsi="Arial"/>
                <w:sz w:val="18"/>
              </w:rPr>
            </w:pPr>
            <w:r>
              <w:rPr>
                <w:rFonts w:ascii="Arial" w:hAnsi="Arial"/>
                <w:sz w:val="18"/>
              </w:rPr>
              <w:t>e</w:t>
            </w:r>
            <w:r>
              <w:rPr>
                <w:rFonts w:ascii="Arial" w:hAnsi="Arial" w:hint="eastAsia"/>
                <w:sz w:val="18"/>
              </w:rPr>
              <w:t>vent</w:t>
            </w:r>
          </w:p>
        </w:tc>
        <w:tc>
          <w:tcPr>
            <w:tcW w:w="1559" w:type="dxa"/>
          </w:tcPr>
          <w:p w14:paraId="0ED8B16B" w14:textId="77777777" w:rsidR="00F525B2" w:rsidRDefault="00F525B2" w:rsidP="009B329F">
            <w:pPr>
              <w:keepNext/>
              <w:keepLines/>
              <w:spacing w:after="0"/>
              <w:rPr>
                <w:rFonts w:ascii="Arial" w:hAnsi="Arial"/>
                <w:sz w:val="18"/>
              </w:rPr>
            </w:pPr>
            <w:r>
              <w:rPr>
                <w:rFonts w:ascii="Arial" w:hAnsi="Arial" w:hint="eastAsia"/>
                <w:sz w:val="18"/>
              </w:rPr>
              <w:t>NwdafEvent</w:t>
            </w:r>
          </w:p>
        </w:tc>
        <w:tc>
          <w:tcPr>
            <w:tcW w:w="425" w:type="dxa"/>
          </w:tcPr>
          <w:p w14:paraId="2A1B02E8" w14:textId="77777777" w:rsidR="00F525B2" w:rsidRDefault="00F525B2" w:rsidP="009B329F">
            <w:pPr>
              <w:pStyle w:val="TAC"/>
            </w:pPr>
            <w:r>
              <w:rPr>
                <w:rFonts w:hint="eastAsia"/>
              </w:rPr>
              <w:t>M</w:t>
            </w:r>
          </w:p>
        </w:tc>
        <w:tc>
          <w:tcPr>
            <w:tcW w:w="1134" w:type="dxa"/>
          </w:tcPr>
          <w:p w14:paraId="694B3820" w14:textId="77777777" w:rsidR="00F525B2" w:rsidRDefault="00F525B2" w:rsidP="009B329F">
            <w:pPr>
              <w:keepNext/>
              <w:keepLines/>
              <w:spacing w:after="0"/>
              <w:rPr>
                <w:rFonts w:ascii="Arial" w:hAnsi="Arial"/>
                <w:sz w:val="18"/>
              </w:rPr>
            </w:pPr>
            <w:r>
              <w:rPr>
                <w:rFonts w:ascii="Arial" w:hAnsi="Arial" w:hint="eastAsia"/>
                <w:sz w:val="18"/>
              </w:rPr>
              <w:t>1</w:t>
            </w:r>
          </w:p>
        </w:tc>
        <w:tc>
          <w:tcPr>
            <w:tcW w:w="2856" w:type="dxa"/>
          </w:tcPr>
          <w:p w14:paraId="05B50629" w14:textId="77777777" w:rsidR="00F525B2" w:rsidRDefault="00F525B2" w:rsidP="009B329F">
            <w:pPr>
              <w:keepNext/>
              <w:keepLines/>
              <w:spacing w:after="0"/>
              <w:rPr>
                <w:rFonts w:ascii="Arial" w:hAnsi="Arial"/>
                <w:sz w:val="18"/>
              </w:rPr>
            </w:pPr>
            <w:r>
              <w:rPr>
                <w:rFonts w:ascii="Arial" w:hAnsi="Arial"/>
                <w:sz w:val="18"/>
              </w:rPr>
              <w:t>Event that is notified.</w:t>
            </w:r>
          </w:p>
        </w:tc>
        <w:tc>
          <w:tcPr>
            <w:tcW w:w="1843" w:type="dxa"/>
          </w:tcPr>
          <w:p w14:paraId="0CBA00E7" w14:textId="77777777" w:rsidR="00F525B2" w:rsidRDefault="00F525B2" w:rsidP="009B329F">
            <w:pPr>
              <w:keepNext/>
              <w:keepLines/>
              <w:spacing w:after="0"/>
              <w:rPr>
                <w:rFonts w:ascii="Arial" w:hAnsi="Arial" w:cs="Arial"/>
                <w:sz w:val="18"/>
                <w:szCs w:val="18"/>
              </w:rPr>
            </w:pPr>
          </w:p>
        </w:tc>
      </w:tr>
      <w:tr w:rsidR="00F525B2" w14:paraId="29F26701" w14:textId="77777777" w:rsidTr="009B329F">
        <w:trPr>
          <w:jc w:val="center"/>
        </w:trPr>
        <w:tc>
          <w:tcPr>
            <w:tcW w:w="1531" w:type="dxa"/>
          </w:tcPr>
          <w:p w14:paraId="54647E72" w14:textId="77777777" w:rsidR="00F525B2" w:rsidRDefault="00F525B2" w:rsidP="009B329F">
            <w:pPr>
              <w:pStyle w:val="TAL"/>
            </w:pPr>
            <w:r>
              <w:t>start</w:t>
            </w:r>
          </w:p>
        </w:tc>
        <w:tc>
          <w:tcPr>
            <w:tcW w:w="1559" w:type="dxa"/>
          </w:tcPr>
          <w:p w14:paraId="2E53B4A8" w14:textId="77777777" w:rsidR="00F525B2" w:rsidRDefault="00F525B2" w:rsidP="009B329F">
            <w:pPr>
              <w:pStyle w:val="TAL"/>
            </w:pPr>
            <w:r>
              <w:t>DateTime</w:t>
            </w:r>
          </w:p>
        </w:tc>
        <w:tc>
          <w:tcPr>
            <w:tcW w:w="425" w:type="dxa"/>
          </w:tcPr>
          <w:p w14:paraId="5C465151" w14:textId="77777777" w:rsidR="00F525B2" w:rsidRDefault="00F525B2" w:rsidP="009B329F">
            <w:pPr>
              <w:pStyle w:val="TAC"/>
            </w:pPr>
            <w:r>
              <w:t>O</w:t>
            </w:r>
          </w:p>
        </w:tc>
        <w:tc>
          <w:tcPr>
            <w:tcW w:w="1134" w:type="dxa"/>
          </w:tcPr>
          <w:p w14:paraId="10AA8AC9" w14:textId="77777777" w:rsidR="00F525B2" w:rsidRDefault="00F525B2" w:rsidP="009B329F">
            <w:pPr>
              <w:pStyle w:val="TAL"/>
            </w:pPr>
            <w:r>
              <w:t>0..1</w:t>
            </w:r>
          </w:p>
        </w:tc>
        <w:tc>
          <w:tcPr>
            <w:tcW w:w="2856" w:type="dxa"/>
          </w:tcPr>
          <w:p w14:paraId="799B0C3F" w14:textId="77777777" w:rsidR="00F525B2" w:rsidRDefault="00F525B2" w:rsidP="009B329F">
            <w:pPr>
              <w:pStyle w:val="TAL"/>
            </w:pPr>
            <w:r>
              <w:t xml:space="preserve">It defines the start time of which the </w:t>
            </w:r>
            <w:r>
              <w:rPr>
                <w:lang w:eastAsia="zh-CN"/>
              </w:rPr>
              <w:t xml:space="preserve">statistics </w:t>
            </w:r>
            <w:r>
              <w:t>analytics information is applicable or predictions analytics information is valid. (NOTE 1) (NOTE 4)</w:t>
            </w:r>
          </w:p>
        </w:tc>
        <w:tc>
          <w:tcPr>
            <w:tcW w:w="1843" w:type="dxa"/>
          </w:tcPr>
          <w:p w14:paraId="4C31B4D0" w14:textId="77777777" w:rsidR="00F525B2" w:rsidRDefault="00F525B2" w:rsidP="009B329F">
            <w:pPr>
              <w:pStyle w:val="TAL"/>
              <w:rPr>
                <w:rFonts w:cs="Arial"/>
                <w:szCs w:val="18"/>
              </w:rPr>
            </w:pPr>
          </w:p>
        </w:tc>
      </w:tr>
      <w:tr w:rsidR="00F525B2" w14:paraId="0E8ACEA6" w14:textId="77777777" w:rsidTr="009B329F">
        <w:trPr>
          <w:jc w:val="center"/>
        </w:trPr>
        <w:tc>
          <w:tcPr>
            <w:tcW w:w="1531" w:type="dxa"/>
          </w:tcPr>
          <w:p w14:paraId="53666A3A" w14:textId="77777777" w:rsidR="00F525B2" w:rsidRDefault="00F525B2" w:rsidP="009B329F">
            <w:pPr>
              <w:pStyle w:val="TAL"/>
            </w:pPr>
            <w:r>
              <w:t>dataVlTrnsTmInfos</w:t>
            </w:r>
          </w:p>
        </w:tc>
        <w:tc>
          <w:tcPr>
            <w:tcW w:w="1559" w:type="dxa"/>
          </w:tcPr>
          <w:p w14:paraId="1B061D3F" w14:textId="77777777" w:rsidR="00F525B2" w:rsidRDefault="00F525B2" w:rsidP="009B329F">
            <w:pPr>
              <w:pStyle w:val="TAL"/>
            </w:pPr>
            <w:r>
              <w:t>array(E2eDataVolTransTimeInfo)</w:t>
            </w:r>
          </w:p>
        </w:tc>
        <w:tc>
          <w:tcPr>
            <w:tcW w:w="425" w:type="dxa"/>
          </w:tcPr>
          <w:p w14:paraId="549CBC1F" w14:textId="77777777" w:rsidR="00F525B2" w:rsidRDefault="00F525B2" w:rsidP="009B329F">
            <w:pPr>
              <w:pStyle w:val="TAC"/>
            </w:pPr>
            <w:r>
              <w:t>C</w:t>
            </w:r>
          </w:p>
        </w:tc>
        <w:tc>
          <w:tcPr>
            <w:tcW w:w="1134" w:type="dxa"/>
          </w:tcPr>
          <w:p w14:paraId="1BE9E0FB" w14:textId="77777777" w:rsidR="00F525B2" w:rsidRDefault="00F525B2" w:rsidP="009B329F">
            <w:pPr>
              <w:pStyle w:val="TAL"/>
            </w:pPr>
            <w:r>
              <w:t>1..N</w:t>
            </w:r>
          </w:p>
        </w:tc>
        <w:tc>
          <w:tcPr>
            <w:tcW w:w="2856" w:type="dxa"/>
          </w:tcPr>
          <w:p w14:paraId="7668D05A" w14:textId="77777777" w:rsidR="00F525B2" w:rsidRDefault="00F525B2" w:rsidP="009B329F">
            <w:pPr>
              <w:pStyle w:val="TAL"/>
            </w:pPr>
            <w:r>
              <w:t>E2E data volume transfer time information.</w:t>
            </w:r>
          </w:p>
          <w:p w14:paraId="2E0DFE5D" w14:textId="77777777" w:rsidR="00F525B2" w:rsidRDefault="00F525B2" w:rsidP="009B329F">
            <w:pPr>
              <w:pStyle w:val="TAL"/>
            </w:pPr>
            <w:r>
              <w:t>Shall be present if the subscribed event is "E2E_DATA_VOL_TRANS_TIME".</w:t>
            </w:r>
          </w:p>
          <w:p w14:paraId="69E3FE63" w14:textId="77777777" w:rsidR="00F525B2" w:rsidRDefault="00F525B2" w:rsidP="009B329F">
            <w:pPr>
              <w:pStyle w:val="TAL"/>
            </w:pPr>
            <w:r>
              <w:t>(NOTE 5)</w:t>
            </w:r>
          </w:p>
        </w:tc>
        <w:tc>
          <w:tcPr>
            <w:tcW w:w="1843" w:type="dxa"/>
          </w:tcPr>
          <w:p w14:paraId="6AA31C8A" w14:textId="77777777" w:rsidR="00F525B2" w:rsidRDefault="00F525B2" w:rsidP="009B329F">
            <w:pPr>
              <w:pStyle w:val="TAL"/>
              <w:rPr>
                <w:rFonts w:cs="Arial"/>
                <w:szCs w:val="18"/>
              </w:rPr>
            </w:pPr>
            <w:bookmarkStart w:id="5724" w:name="_Hlk134712198"/>
            <w:r>
              <w:rPr>
                <w:rFonts w:cs="Arial"/>
                <w:szCs w:val="18"/>
              </w:rPr>
              <w:t>E2eDataVolTransTime</w:t>
            </w:r>
            <w:bookmarkEnd w:id="5724"/>
          </w:p>
        </w:tc>
      </w:tr>
      <w:tr w:rsidR="00F525B2" w14:paraId="1EC817D4" w14:textId="77777777" w:rsidTr="009B329F">
        <w:trPr>
          <w:jc w:val="center"/>
        </w:trPr>
        <w:tc>
          <w:tcPr>
            <w:tcW w:w="1531" w:type="dxa"/>
          </w:tcPr>
          <w:p w14:paraId="7E267B16" w14:textId="77777777" w:rsidR="00F525B2" w:rsidRDefault="00F525B2" w:rsidP="009B329F">
            <w:pPr>
              <w:pStyle w:val="TAL"/>
            </w:pPr>
            <w:r>
              <w:t>expiry</w:t>
            </w:r>
          </w:p>
        </w:tc>
        <w:tc>
          <w:tcPr>
            <w:tcW w:w="1559" w:type="dxa"/>
          </w:tcPr>
          <w:p w14:paraId="254CF175" w14:textId="77777777" w:rsidR="00F525B2" w:rsidRDefault="00F525B2" w:rsidP="009B329F">
            <w:pPr>
              <w:pStyle w:val="TAL"/>
            </w:pPr>
            <w:r>
              <w:t>DateTime</w:t>
            </w:r>
          </w:p>
        </w:tc>
        <w:tc>
          <w:tcPr>
            <w:tcW w:w="425" w:type="dxa"/>
          </w:tcPr>
          <w:p w14:paraId="13D7CFBA" w14:textId="77777777" w:rsidR="00F525B2" w:rsidRDefault="00F525B2" w:rsidP="009B329F">
            <w:pPr>
              <w:pStyle w:val="TAC"/>
            </w:pPr>
            <w:r>
              <w:t>O</w:t>
            </w:r>
          </w:p>
        </w:tc>
        <w:tc>
          <w:tcPr>
            <w:tcW w:w="1134" w:type="dxa"/>
          </w:tcPr>
          <w:p w14:paraId="5948CB37" w14:textId="77777777" w:rsidR="00F525B2" w:rsidRDefault="00F525B2" w:rsidP="009B329F">
            <w:pPr>
              <w:pStyle w:val="TAL"/>
            </w:pPr>
            <w:r>
              <w:t>0..1</w:t>
            </w:r>
          </w:p>
        </w:tc>
        <w:tc>
          <w:tcPr>
            <w:tcW w:w="2856" w:type="dxa"/>
          </w:tcPr>
          <w:p w14:paraId="58A8E31B" w14:textId="77777777" w:rsidR="00F525B2" w:rsidRDefault="00F525B2" w:rsidP="009B329F">
            <w:pPr>
              <w:pStyle w:val="TAL"/>
            </w:pPr>
            <w:r>
              <w:t xml:space="preserve">It defines the expiration time after which the </w:t>
            </w:r>
            <w:r>
              <w:rPr>
                <w:lang w:eastAsia="zh-CN"/>
              </w:rPr>
              <w:t xml:space="preserve">statistics </w:t>
            </w:r>
            <w:r>
              <w:t>analytics information is not applicable or predictions analytics information is invalid. (NOTE 1) (NOTE 4)</w:t>
            </w:r>
          </w:p>
        </w:tc>
        <w:tc>
          <w:tcPr>
            <w:tcW w:w="1843" w:type="dxa"/>
          </w:tcPr>
          <w:p w14:paraId="621D72C0" w14:textId="77777777" w:rsidR="00F525B2" w:rsidRDefault="00F525B2" w:rsidP="009B329F">
            <w:pPr>
              <w:pStyle w:val="TAL"/>
              <w:rPr>
                <w:rFonts w:cs="Arial"/>
                <w:szCs w:val="18"/>
              </w:rPr>
            </w:pPr>
          </w:p>
        </w:tc>
      </w:tr>
      <w:tr w:rsidR="00F525B2" w14:paraId="5211BE8D" w14:textId="77777777" w:rsidTr="009B329F">
        <w:trPr>
          <w:jc w:val="center"/>
        </w:trPr>
        <w:tc>
          <w:tcPr>
            <w:tcW w:w="1531" w:type="dxa"/>
          </w:tcPr>
          <w:p w14:paraId="7D46DEF4" w14:textId="77777777" w:rsidR="00F525B2" w:rsidRDefault="00F525B2" w:rsidP="009B329F">
            <w:pPr>
              <w:pStyle w:val="TAL"/>
            </w:pPr>
            <w:r>
              <w:t>timeStampGen</w:t>
            </w:r>
          </w:p>
        </w:tc>
        <w:tc>
          <w:tcPr>
            <w:tcW w:w="1559" w:type="dxa"/>
          </w:tcPr>
          <w:p w14:paraId="22E426A9" w14:textId="77777777" w:rsidR="00F525B2" w:rsidRDefault="00F525B2" w:rsidP="009B329F">
            <w:pPr>
              <w:pStyle w:val="TAL"/>
            </w:pPr>
            <w:r>
              <w:t>DateTime</w:t>
            </w:r>
          </w:p>
        </w:tc>
        <w:tc>
          <w:tcPr>
            <w:tcW w:w="425" w:type="dxa"/>
          </w:tcPr>
          <w:p w14:paraId="25ABEA27" w14:textId="77777777" w:rsidR="00F525B2" w:rsidRDefault="00F525B2" w:rsidP="009B329F">
            <w:pPr>
              <w:pStyle w:val="TAC"/>
            </w:pPr>
            <w:r>
              <w:t>C</w:t>
            </w:r>
          </w:p>
        </w:tc>
        <w:tc>
          <w:tcPr>
            <w:tcW w:w="1134" w:type="dxa"/>
          </w:tcPr>
          <w:p w14:paraId="4F429BF4" w14:textId="77777777" w:rsidR="00F525B2" w:rsidRDefault="00F525B2" w:rsidP="009B329F">
            <w:pPr>
              <w:pStyle w:val="TAL"/>
            </w:pPr>
            <w:r>
              <w:t>0..1</w:t>
            </w:r>
          </w:p>
        </w:tc>
        <w:tc>
          <w:tcPr>
            <w:tcW w:w="2856" w:type="dxa"/>
          </w:tcPr>
          <w:p w14:paraId="4965CBE9" w14:textId="77777777" w:rsidR="00F525B2" w:rsidRDefault="00F525B2" w:rsidP="009B329F">
            <w:pPr>
              <w:pStyle w:val="TAL"/>
            </w:pPr>
            <w:r>
              <w:t>It defines the timestamp of analytics generation. (NOTE 3)</w:t>
            </w:r>
          </w:p>
        </w:tc>
        <w:tc>
          <w:tcPr>
            <w:tcW w:w="1843" w:type="dxa"/>
          </w:tcPr>
          <w:p w14:paraId="614C958A" w14:textId="77777777" w:rsidR="00F525B2" w:rsidRDefault="00F525B2" w:rsidP="009B329F">
            <w:pPr>
              <w:pStyle w:val="TAL"/>
            </w:pPr>
          </w:p>
        </w:tc>
      </w:tr>
      <w:tr w:rsidR="00F525B2" w14:paraId="3FCBA6CC"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0DC804E3" w14:textId="77777777" w:rsidR="00F525B2" w:rsidRDefault="00F525B2" w:rsidP="009B329F">
            <w:pPr>
              <w:pStyle w:val="TAL"/>
            </w:pPr>
            <w:r>
              <w:t>failNotifyCode</w:t>
            </w:r>
          </w:p>
        </w:tc>
        <w:tc>
          <w:tcPr>
            <w:tcW w:w="1559" w:type="dxa"/>
            <w:tcBorders>
              <w:top w:val="single" w:sz="6" w:space="0" w:color="auto"/>
              <w:left w:val="single" w:sz="6" w:space="0" w:color="auto"/>
              <w:bottom w:val="single" w:sz="6" w:space="0" w:color="auto"/>
              <w:right w:val="single" w:sz="6" w:space="0" w:color="auto"/>
            </w:tcBorders>
          </w:tcPr>
          <w:p w14:paraId="4D702DE3" w14:textId="77777777" w:rsidR="00F525B2" w:rsidRDefault="00F525B2" w:rsidP="009B329F">
            <w:pPr>
              <w:pStyle w:val="TAL"/>
            </w:pPr>
            <w:r>
              <w:t>NwdafFailureCode</w:t>
            </w:r>
          </w:p>
        </w:tc>
        <w:tc>
          <w:tcPr>
            <w:tcW w:w="425" w:type="dxa"/>
            <w:tcBorders>
              <w:top w:val="single" w:sz="6" w:space="0" w:color="auto"/>
              <w:left w:val="single" w:sz="6" w:space="0" w:color="auto"/>
              <w:bottom w:val="single" w:sz="6" w:space="0" w:color="auto"/>
              <w:right w:val="single" w:sz="6" w:space="0" w:color="auto"/>
            </w:tcBorders>
          </w:tcPr>
          <w:p w14:paraId="639D4ADC" w14:textId="77777777" w:rsidR="00F525B2" w:rsidRDefault="00F525B2" w:rsidP="009B329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44DBB41"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55158494" w14:textId="77777777" w:rsidR="00F525B2" w:rsidRPr="005C3539" w:rsidRDefault="00F525B2" w:rsidP="009B329F">
            <w:pPr>
              <w:pStyle w:val="TAL"/>
            </w:pPr>
            <w:r w:rsidRPr="005C3539">
              <w:t>Identifies the failure reason for the event notification.</w:t>
            </w:r>
          </w:p>
          <w:p w14:paraId="358C050C" w14:textId="77777777" w:rsidR="00F525B2" w:rsidRPr="005C3539" w:rsidRDefault="00F525B2" w:rsidP="009B329F">
            <w:pPr>
              <w:pStyle w:val="TAL"/>
            </w:pPr>
            <w:r w:rsidRPr="005C3539">
              <w:t>It shall only be included if the event notification is failed or the analytics information is not ready.</w:t>
            </w:r>
            <w:r w:rsidRPr="005C3539">
              <w:rPr>
                <w:rFonts w:hint="eastAsia"/>
              </w:rPr>
              <w:t xml:space="preserve"> </w:t>
            </w:r>
            <w:r w:rsidRPr="005C3539">
              <w:t>(NOTE 2)</w:t>
            </w:r>
          </w:p>
        </w:tc>
        <w:tc>
          <w:tcPr>
            <w:tcW w:w="1843" w:type="dxa"/>
            <w:tcBorders>
              <w:top w:val="single" w:sz="6" w:space="0" w:color="auto"/>
              <w:left w:val="single" w:sz="6" w:space="0" w:color="auto"/>
              <w:bottom w:val="single" w:sz="6" w:space="0" w:color="auto"/>
              <w:right w:val="single" w:sz="6" w:space="0" w:color="auto"/>
            </w:tcBorders>
          </w:tcPr>
          <w:p w14:paraId="57AA6AAF" w14:textId="77777777" w:rsidR="00F525B2" w:rsidRDefault="00F525B2" w:rsidP="009B329F">
            <w:pPr>
              <w:pStyle w:val="TAL"/>
            </w:pPr>
            <w:r>
              <w:t>EneNA</w:t>
            </w:r>
          </w:p>
        </w:tc>
      </w:tr>
      <w:tr w:rsidR="00F525B2" w14:paraId="127AE962"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02CAB72E" w14:textId="77777777" w:rsidR="00F525B2" w:rsidRDefault="00F525B2" w:rsidP="009B329F">
            <w:pPr>
              <w:pStyle w:val="TAL"/>
            </w:pPr>
            <w:r>
              <w:t>rvWaitTime</w:t>
            </w:r>
          </w:p>
        </w:tc>
        <w:tc>
          <w:tcPr>
            <w:tcW w:w="1559" w:type="dxa"/>
            <w:tcBorders>
              <w:top w:val="single" w:sz="6" w:space="0" w:color="auto"/>
              <w:left w:val="single" w:sz="6" w:space="0" w:color="auto"/>
              <w:bottom w:val="single" w:sz="6" w:space="0" w:color="auto"/>
              <w:right w:val="single" w:sz="6" w:space="0" w:color="auto"/>
            </w:tcBorders>
          </w:tcPr>
          <w:p w14:paraId="35E215BC" w14:textId="77777777" w:rsidR="00F525B2" w:rsidRDefault="00F525B2" w:rsidP="009B329F">
            <w:pPr>
              <w:pStyle w:val="TAL"/>
            </w:pPr>
            <w:r>
              <w:t>DurationSec</w:t>
            </w:r>
          </w:p>
        </w:tc>
        <w:tc>
          <w:tcPr>
            <w:tcW w:w="425" w:type="dxa"/>
            <w:tcBorders>
              <w:top w:val="single" w:sz="6" w:space="0" w:color="auto"/>
              <w:left w:val="single" w:sz="6" w:space="0" w:color="auto"/>
              <w:bottom w:val="single" w:sz="6" w:space="0" w:color="auto"/>
              <w:right w:val="single" w:sz="6" w:space="0" w:color="auto"/>
            </w:tcBorders>
          </w:tcPr>
          <w:p w14:paraId="3D68A5B7" w14:textId="77777777" w:rsidR="00F525B2" w:rsidRDefault="00F525B2" w:rsidP="009B329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2AA34D8"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06BA3ABC" w14:textId="77777777" w:rsidR="00F525B2" w:rsidRDefault="00F525B2" w:rsidP="009B329F">
            <w:pPr>
              <w:pStyle w:val="TAL"/>
            </w:pPr>
            <w:r>
              <w:t xml:space="preserve">Indicate a recommended time interval (in seconds) which is used to determine the time when analytics information is needed in similar future event subscriptions. It may only be included if the </w:t>
            </w:r>
            <w:r w:rsidRPr="005C3539">
              <w:t>"</w:t>
            </w:r>
            <w:r>
              <w:t>failNotifyCode</w:t>
            </w:r>
            <w:r w:rsidRPr="005C3539">
              <w:t>" attribute sets to "</w:t>
            </w:r>
            <w:r>
              <w:t>UNSATISFIED_REQUESTED_ANALYTICS_TIME</w:t>
            </w:r>
            <w:r w:rsidRPr="005C3539">
              <w:t>"</w:t>
            </w:r>
            <w:r>
              <w:t>.</w:t>
            </w:r>
          </w:p>
        </w:tc>
        <w:tc>
          <w:tcPr>
            <w:tcW w:w="1843" w:type="dxa"/>
            <w:tcBorders>
              <w:top w:val="single" w:sz="6" w:space="0" w:color="auto"/>
              <w:left w:val="single" w:sz="6" w:space="0" w:color="auto"/>
              <w:bottom w:val="single" w:sz="6" w:space="0" w:color="auto"/>
              <w:right w:val="single" w:sz="6" w:space="0" w:color="auto"/>
            </w:tcBorders>
          </w:tcPr>
          <w:p w14:paraId="316BDFF1" w14:textId="77777777" w:rsidR="00F525B2" w:rsidRDefault="00F525B2" w:rsidP="009B329F">
            <w:pPr>
              <w:pStyle w:val="TAL"/>
            </w:pPr>
            <w:r>
              <w:t>EneNA</w:t>
            </w:r>
          </w:p>
        </w:tc>
      </w:tr>
      <w:tr w:rsidR="00F525B2" w14:paraId="78653E10"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10581D5C" w14:textId="77777777" w:rsidR="00F525B2" w:rsidRDefault="00F525B2" w:rsidP="009B329F">
            <w:pPr>
              <w:pStyle w:val="TAL"/>
            </w:pPr>
            <w:r>
              <w:t>anaMetaInfo</w:t>
            </w:r>
          </w:p>
        </w:tc>
        <w:tc>
          <w:tcPr>
            <w:tcW w:w="1559" w:type="dxa"/>
            <w:tcBorders>
              <w:top w:val="single" w:sz="6" w:space="0" w:color="auto"/>
              <w:left w:val="single" w:sz="6" w:space="0" w:color="auto"/>
              <w:bottom w:val="single" w:sz="6" w:space="0" w:color="auto"/>
              <w:right w:val="single" w:sz="6" w:space="0" w:color="auto"/>
            </w:tcBorders>
          </w:tcPr>
          <w:p w14:paraId="1F6B1436" w14:textId="77777777" w:rsidR="00F525B2" w:rsidRDefault="00F525B2" w:rsidP="009B329F">
            <w:pPr>
              <w:pStyle w:val="TAL"/>
            </w:pPr>
            <w:r>
              <w:t>AnalyticsMetadataInfo</w:t>
            </w:r>
          </w:p>
        </w:tc>
        <w:tc>
          <w:tcPr>
            <w:tcW w:w="425" w:type="dxa"/>
            <w:tcBorders>
              <w:top w:val="single" w:sz="6" w:space="0" w:color="auto"/>
              <w:left w:val="single" w:sz="6" w:space="0" w:color="auto"/>
              <w:bottom w:val="single" w:sz="6" w:space="0" w:color="auto"/>
              <w:right w:val="single" w:sz="6" w:space="0" w:color="auto"/>
            </w:tcBorders>
          </w:tcPr>
          <w:p w14:paraId="69F32186" w14:textId="77777777" w:rsidR="00F525B2" w:rsidRDefault="00F525B2" w:rsidP="009B329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F59FD94"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2A61DFD3" w14:textId="77777777" w:rsidR="00F525B2" w:rsidRDefault="00F525B2" w:rsidP="009B329F">
            <w:pPr>
              <w:pStyle w:val="TAL"/>
            </w:pPr>
            <w:r>
              <w:t>Contains information about analytics metadata required to aggregate the analytics. It shall be present if the "anaMeta" attribute was included in the subscription, and contains the information requested by the "anaMeta" attribute.</w:t>
            </w:r>
          </w:p>
        </w:tc>
        <w:tc>
          <w:tcPr>
            <w:tcW w:w="1843" w:type="dxa"/>
            <w:tcBorders>
              <w:top w:val="single" w:sz="6" w:space="0" w:color="auto"/>
              <w:left w:val="single" w:sz="6" w:space="0" w:color="auto"/>
              <w:bottom w:val="single" w:sz="6" w:space="0" w:color="auto"/>
              <w:right w:val="single" w:sz="6" w:space="0" w:color="auto"/>
            </w:tcBorders>
          </w:tcPr>
          <w:p w14:paraId="07D458F4" w14:textId="77777777" w:rsidR="00F525B2" w:rsidRDefault="00F525B2" w:rsidP="009B329F">
            <w:pPr>
              <w:pStyle w:val="TAL"/>
            </w:pPr>
            <w:r>
              <w:t>Aggregation</w:t>
            </w:r>
          </w:p>
        </w:tc>
      </w:tr>
      <w:tr w:rsidR="00F525B2" w14:paraId="136F0BEA" w14:textId="77777777" w:rsidTr="009B329F">
        <w:trPr>
          <w:jc w:val="center"/>
        </w:trPr>
        <w:tc>
          <w:tcPr>
            <w:tcW w:w="1531" w:type="dxa"/>
          </w:tcPr>
          <w:p w14:paraId="5F0AD935" w14:textId="77777777" w:rsidR="00F525B2" w:rsidRDefault="00F525B2" w:rsidP="009B329F">
            <w:pPr>
              <w:pStyle w:val="TAL"/>
            </w:pPr>
            <w:r>
              <w:t>nwPerfs</w:t>
            </w:r>
          </w:p>
        </w:tc>
        <w:tc>
          <w:tcPr>
            <w:tcW w:w="1559" w:type="dxa"/>
          </w:tcPr>
          <w:p w14:paraId="3E3BA796" w14:textId="77777777" w:rsidR="00F525B2" w:rsidRDefault="00F525B2" w:rsidP="009B329F">
            <w:pPr>
              <w:pStyle w:val="TAL"/>
            </w:pPr>
            <w:r>
              <w:t>array(NetworkPerfInfo)</w:t>
            </w:r>
          </w:p>
        </w:tc>
        <w:tc>
          <w:tcPr>
            <w:tcW w:w="425" w:type="dxa"/>
          </w:tcPr>
          <w:p w14:paraId="1198FD76" w14:textId="77777777" w:rsidR="00F525B2" w:rsidRDefault="00F525B2" w:rsidP="009B329F">
            <w:pPr>
              <w:pStyle w:val="TAC"/>
            </w:pPr>
            <w:r>
              <w:t>C</w:t>
            </w:r>
          </w:p>
        </w:tc>
        <w:tc>
          <w:tcPr>
            <w:tcW w:w="1134" w:type="dxa"/>
          </w:tcPr>
          <w:p w14:paraId="354054C9" w14:textId="77777777" w:rsidR="00F525B2" w:rsidRDefault="00F525B2" w:rsidP="009B329F">
            <w:pPr>
              <w:pStyle w:val="TAL"/>
            </w:pPr>
            <w:r>
              <w:t>1..N</w:t>
            </w:r>
          </w:p>
        </w:tc>
        <w:tc>
          <w:tcPr>
            <w:tcW w:w="2856" w:type="dxa"/>
          </w:tcPr>
          <w:p w14:paraId="0001705A" w14:textId="77777777" w:rsidR="00F525B2" w:rsidRDefault="00F525B2" w:rsidP="009B329F">
            <w:pPr>
              <w:pStyle w:val="TAL"/>
            </w:pPr>
            <w:r>
              <w:t>The network performance information.</w:t>
            </w:r>
          </w:p>
          <w:p w14:paraId="523FCB31" w14:textId="77777777" w:rsidR="00F525B2" w:rsidRDefault="00F525B2" w:rsidP="009B329F">
            <w:pPr>
              <w:pStyle w:val="TAL"/>
            </w:pPr>
            <w:r>
              <w:t xml:space="preserve">Shall be present when </w:t>
            </w:r>
            <w:r>
              <w:rPr>
                <w:rFonts w:cs="Arial"/>
                <w:szCs w:val="18"/>
              </w:rPr>
              <w:t>subscribed even</w:t>
            </w:r>
            <w:r>
              <w:t xml:space="preserve"> is "NETWORK_PERFORMANCE".</w:t>
            </w:r>
          </w:p>
          <w:p w14:paraId="7462EDDE" w14:textId="77777777" w:rsidR="00F525B2" w:rsidRDefault="00F525B2" w:rsidP="009B329F">
            <w:pPr>
              <w:pStyle w:val="TAL"/>
              <w:rPr>
                <w:rFonts w:cs="Arial"/>
                <w:szCs w:val="18"/>
              </w:rPr>
            </w:pPr>
            <w:r>
              <w:t>(NOTE 5)</w:t>
            </w:r>
          </w:p>
        </w:tc>
        <w:tc>
          <w:tcPr>
            <w:tcW w:w="1843" w:type="dxa"/>
          </w:tcPr>
          <w:p w14:paraId="124C47E6" w14:textId="77777777" w:rsidR="00F525B2" w:rsidRDefault="00F525B2" w:rsidP="009B329F">
            <w:pPr>
              <w:pStyle w:val="TAL"/>
              <w:rPr>
                <w:rFonts w:cs="Arial"/>
                <w:szCs w:val="18"/>
              </w:rPr>
            </w:pPr>
            <w:r>
              <w:t>NetworkPerformance</w:t>
            </w:r>
          </w:p>
        </w:tc>
      </w:tr>
      <w:tr w:rsidR="00F525B2" w14:paraId="11285C6D" w14:textId="77777777" w:rsidTr="009B329F">
        <w:trPr>
          <w:jc w:val="center"/>
        </w:trPr>
        <w:tc>
          <w:tcPr>
            <w:tcW w:w="1531" w:type="dxa"/>
          </w:tcPr>
          <w:p w14:paraId="2628BCD1" w14:textId="77777777" w:rsidR="00F525B2" w:rsidRDefault="00F525B2" w:rsidP="009B329F">
            <w:pPr>
              <w:pStyle w:val="TAL"/>
            </w:pPr>
            <w:r>
              <w:t>nfLoadLevelInfos</w:t>
            </w:r>
          </w:p>
        </w:tc>
        <w:tc>
          <w:tcPr>
            <w:tcW w:w="1559" w:type="dxa"/>
          </w:tcPr>
          <w:p w14:paraId="03E0693C" w14:textId="77777777" w:rsidR="00F525B2" w:rsidRDefault="00F525B2" w:rsidP="009B329F">
            <w:pPr>
              <w:pStyle w:val="TAL"/>
            </w:pPr>
            <w:r>
              <w:t>array(NfLoadLevelInformation)</w:t>
            </w:r>
          </w:p>
        </w:tc>
        <w:tc>
          <w:tcPr>
            <w:tcW w:w="425" w:type="dxa"/>
          </w:tcPr>
          <w:p w14:paraId="5331C4F7" w14:textId="77777777" w:rsidR="00F525B2" w:rsidRDefault="00F525B2" w:rsidP="009B329F">
            <w:pPr>
              <w:pStyle w:val="TAC"/>
            </w:pPr>
            <w:r>
              <w:t>C</w:t>
            </w:r>
          </w:p>
        </w:tc>
        <w:tc>
          <w:tcPr>
            <w:tcW w:w="1134" w:type="dxa"/>
          </w:tcPr>
          <w:p w14:paraId="375E0AFA" w14:textId="77777777" w:rsidR="00F525B2" w:rsidRDefault="00F525B2" w:rsidP="009B329F">
            <w:pPr>
              <w:pStyle w:val="TAL"/>
            </w:pPr>
            <w:r>
              <w:t>1..N</w:t>
            </w:r>
          </w:p>
        </w:tc>
        <w:tc>
          <w:tcPr>
            <w:tcW w:w="2856" w:type="dxa"/>
          </w:tcPr>
          <w:p w14:paraId="2DD7EB18" w14:textId="77777777" w:rsidR="00F525B2" w:rsidRDefault="00F525B2" w:rsidP="009B329F">
            <w:pPr>
              <w:pStyle w:val="TAL"/>
            </w:pPr>
            <w:r>
              <w:rPr>
                <w:rFonts w:cs="Arial"/>
                <w:szCs w:val="18"/>
              </w:rPr>
              <w:t>The NF load level information. When subscribed event is "NF_LOAD", the nfLoadLevelInfos shall be included.</w:t>
            </w:r>
          </w:p>
          <w:p w14:paraId="4F62BC21" w14:textId="77777777" w:rsidR="00F525B2" w:rsidRDefault="00F525B2" w:rsidP="009B329F">
            <w:pPr>
              <w:pStyle w:val="TAL"/>
            </w:pPr>
            <w:r>
              <w:t>(NOTE 5)</w:t>
            </w:r>
          </w:p>
        </w:tc>
        <w:tc>
          <w:tcPr>
            <w:tcW w:w="1843" w:type="dxa"/>
          </w:tcPr>
          <w:p w14:paraId="19D8119C" w14:textId="77777777" w:rsidR="00F525B2" w:rsidRDefault="00F525B2" w:rsidP="009B329F">
            <w:pPr>
              <w:pStyle w:val="TAL"/>
              <w:rPr>
                <w:rFonts w:cs="Arial"/>
                <w:szCs w:val="18"/>
              </w:rPr>
            </w:pPr>
            <w:r>
              <w:rPr>
                <w:rFonts w:cs="Arial"/>
                <w:szCs w:val="18"/>
              </w:rPr>
              <w:t>NfLoad</w:t>
            </w:r>
          </w:p>
        </w:tc>
      </w:tr>
      <w:tr w:rsidR="00F525B2" w14:paraId="318FA3A9" w14:textId="77777777" w:rsidTr="009B329F">
        <w:trPr>
          <w:jc w:val="center"/>
        </w:trPr>
        <w:tc>
          <w:tcPr>
            <w:tcW w:w="1531" w:type="dxa"/>
          </w:tcPr>
          <w:p w14:paraId="546E7167" w14:textId="77777777" w:rsidR="00F525B2" w:rsidRDefault="00F525B2" w:rsidP="009B329F">
            <w:pPr>
              <w:pStyle w:val="TAL"/>
            </w:pPr>
            <w:r>
              <w:t>nsiLoadLevelInfos</w:t>
            </w:r>
          </w:p>
        </w:tc>
        <w:tc>
          <w:tcPr>
            <w:tcW w:w="1559" w:type="dxa"/>
          </w:tcPr>
          <w:p w14:paraId="2C0151EA" w14:textId="77777777" w:rsidR="00F525B2" w:rsidRDefault="00F525B2" w:rsidP="009B329F">
            <w:pPr>
              <w:pStyle w:val="TAL"/>
            </w:pPr>
            <w:r>
              <w:t>array(NsiLoadLevelInfo)</w:t>
            </w:r>
          </w:p>
        </w:tc>
        <w:tc>
          <w:tcPr>
            <w:tcW w:w="425" w:type="dxa"/>
          </w:tcPr>
          <w:p w14:paraId="49B03B26" w14:textId="77777777" w:rsidR="00F525B2" w:rsidRDefault="00F525B2" w:rsidP="009B329F">
            <w:pPr>
              <w:pStyle w:val="TAC"/>
            </w:pPr>
            <w:r>
              <w:t>C</w:t>
            </w:r>
          </w:p>
        </w:tc>
        <w:tc>
          <w:tcPr>
            <w:tcW w:w="1134" w:type="dxa"/>
          </w:tcPr>
          <w:p w14:paraId="08DA030A" w14:textId="77777777" w:rsidR="00F525B2" w:rsidRDefault="00F525B2" w:rsidP="009B329F">
            <w:pPr>
              <w:pStyle w:val="TAL"/>
            </w:pPr>
            <w:r>
              <w:t>1..N</w:t>
            </w:r>
          </w:p>
        </w:tc>
        <w:tc>
          <w:tcPr>
            <w:tcW w:w="2856" w:type="dxa"/>
          </w:tcPr>
          <w:p w14:paraId="2EB34F21" w14:textId="77777777" w:rsidR="00F525B2" w:rsidRDefault="00F525B2" w:rsidP="009B329F">
            <w:pPr>
              <w:pStyle w:val="TAL"/>
              <w:rPr>
                <w:rFonts w:cs="Arial"/>
                <w:szCs w:val="18"/>
              </w:rPr>
            </w:pPr>
            <w:r>
              <w:rPr>
                <w:rFonts w:cs="Arial"/>
                <w:szCs w:val="18"/>
              </w:rPr>
              <w:t>Each element identifies the load level information for each S-NSSAI and the optionally associated network slice instance.</w:t>
            </w:r>
          </w:p>
          <w:p w14:paraId="2FEF7D2E" w14:textId="77777777" w:rsidR="00F525B2" w:rsidRDefault="00F525B2" w:rsidP="009B329F">
            <w:pPr>
              <w:pStyle w:val="TAL"/>
            </w:pPr>
            <w:r>
              <w:t>Shall be included when subscribed event is "</w:t>
            </w:r>
            <w:r>
              <w:rPr>
                <w:lang w:eastAsia="zh-CN"/>
              </w:rPr>
              <w:t>NSI_LOAD_LEVEL</w:t>
            </w:r>
            <w:r>
              <w:t>".</w:t>
            </w:r>
          </w:p>
          <w:p w14:paraId="11A21F89" w14:textId="77777777" w:rsidR="00F525B2" w:rsidRDefault="00F525B2" w:rsidP="009B329F">
            <w:pPr>
              <w:pStyle w:val="TAL"/>
              <w:rPr>
                <w:rFonts w:cs="Arial"/>
                <w:szCs w:val="18"/>
              </w:rPr>
            </w:pPr>
            <w:r>
              <w:t>(NOTE 5)</w:t>
            </w:r>
          </w:p>
        </w:tc>
        <w:tc>
          <w:tcPr>
            <w:tcW w:w="1843" w:type="dxa"/>
          </w:tcPr>
          <w:p w14:paraId="13A08BBC" w14:textId="77777777" w:rsidR="00F525B2" w:rsidRDefault="00F525B2" w:rsidP="009B329F">
            <w:pPr>
              <w:pStyle w:val="TAL"/>
              <w:rPr>
                <w:lang w:eastAsia="zh-CN"/>
              </w:rPr>
            </w:pPr>
            <w:r>
              <w:rPr>
                <w:lang w:eastAsia="zh-CN"/>
              </w:rPr>
              <w:t>NsiLoad</w:t>
            </w:r>
            <w:r>
              <w:t xml:space="preserve"> </w:t>
            </w:r>
          </w:p>
          <w:p w14:paraId="111D7148" w14:textId="77777777" w:rsidR="00F525B2" w:rsidRDefault="00F525B2" w:rsidP="009B329F">
            <w:pPr>
              <w:pStyle w:val="TAL"/>
              <w:rPr>
                <w:rFonts w:cs="Arial"/>
                <w:szCs w:val="18"/>
              </w:rPr>
            </w:pPr>
          </w:p>
        </w:tc>
      </w:tr>
      <w:tr w:rsidR="00F525B2" w14:paraId="5FD4BCDE" w14:textId="77777777" w:rsidTr="009B329F">
        <w:trPr>
          <w:jc w:val="center"/>
        </w:trPr>
        <w:tc>
          <w:tcPr>
            <w:tcW w:w="1531" w:type="dxa"/>
          </w:tcPr>
          <w:p w14:paraId="6E864F53" w14:textId="77777777" w:rsidR="00F525B2" w:rsidRDefault="00F525B2" w:rsidP="009B329F">
            <w:pPr>
              <w:pStyle w:val="TAL"/>
            </w:pPr>
            <w:r>
              <w:lastRenderedPageBreak/>
              <w:t>pfdDetermInfos</w:t>
            </w:r>
          </w:p>
        </w:tc>
        <w:tc>
          <w:tcPr>
            <w:tcW w:w="1559" w:type="dxa"/>
          </w:tcPr>
          <w:p w14:paraId="319E278D" w14:textId="77777777" w:rsidR="00F525B2" w:rsidRDefault="00F525B2" w:rsidP="009B329F">
            <w:pPr>
              <w:pStyle w:val="TAL"/>
            </w:pPr>
            <w:r>
              <w:t>array(PfdDeterminationInfo)</w:t>
            </w:r>
          </w:p>
        </w:tc>
        <w:tc>
          <w:tcPr>
            <w:tcW w:w="425" w:type="dxa"/>
          </w:tcPr>
          <w:p w14:paraId="1B602491" w14:textId="77777777" w:rsidR="00F525B2" w:rsidRDefault="00F525B2" w:rsidP="009B329F">
            <w:pPr>
              <w:pStyle w:val="TAC"/>
            </w:pPr>
            <w:r>
              <w:t>C</w:t>
            </w:r>
          </w:p>
        </w:tc>
        <w:tc>
          <w:tcPr>
            <w:tcW w:w="1134" w:type="dxa"/>
          </w:tcPr>
          <w:p w14:paraId="52678812" w14:textId="77777777" w:rsidR="00F525B2" w:rsidRDefault="00F525B2" w:rsidP="009B329F">
            <w:pPr>
              <w:pStyle w:val="TAL"/>
            </w:pPr>
            <w:r>
              <w:t>1..N</w:t>
            </w:r>
          </w:p>
        </w:tc>
        <w:tc>
          <w:tcPr>
            <w:tcW w:w="2856" w:type="dxa"/>
          </w:tcPr>
          <w:p w14:paraId="68DBF99F" w14:textId="77777777" w:rsidR="00F525B2" w:rsidRDefault="00F525B2" w:rsidP="009B329F">
            <w:pPr>
              <w:pStyle w:val="TAL"/>
            </w:pPr>
            <w:r>
              <w:t>Represents the PFD Determination information for a known application identifier.</w:t>
            </w:r>
          </w:p>
          <w:p w14:paraId="5A0435DB" w14:textId="77777777" w:rsidR="00F525B2" w:rsidRDefault="00F525B2" w:rsidP="009B329F">
            <w:pPr>
              <w:pStyle w:val="TAL"/>
            </w:pPr>
            <w:r>
              <w:t>Shall be included when subscribed event is "PFD_DETERMINATION".</w:t>
            </w:r>
          </w:p>
          <w:p w14:paraId="6E92FE61" w14:textId="77777777" w:rsidR="00F525B2" w:rsidRDefault="00F525B2" w:rsidP="009B329F">
            <w:pPr>
              <w:pStyle w:val="TAL"/>
            </w:pPr>
            <w:r>
              <w:t>(NOTE 5)</w:t>
            </w:r>
          </w:p>
        </w:tc>
        <w:tc>
          <w:tcPr>
            <w:tcW w:w="1843" w:type="dxa"/>
          </w:tcPr>
          <w:p w14:paraId="1835B7B1" w14:textId="77777777" w:rsidR="00F525B2" w:rsidRDefault="00F525B2" w:rsidP="009B329F">
            <w:pPr>
              <w:pStyle w:val="TAL"/>
              <w:rPr>
                <w:rFonts w:cs="Arial"/>
                <w:szCs w:val="18"/>
              </w:rPr>
            </w:pPr>
            <w:r>
              <w:rPr>
                <w:lang w:eastAsia="zh-CN"/>
              </w:rPr>
              <w:t>PfdDetermination</w:t>
            </w:r>
          </w:p>
        </w:tc>
      </w:tr>
      <w:tr w:rsidR="00F525B2" w14:paraId="08ECC559" w14:textId="77777777" w:rsidTr="009B329F">
        <w:trPr>
          <w:jc w:val="center"/>
        </w:trPr>
        <w:tc>
          <w:tcPr>
            <w:tcW w:w="1531" w:type="dxa"/>
          </w:tcPr>
          <w:p w14:paraId="7F5E79FE" w14:textId="77777777" w:rsidR="00F525B2" w:rsidRDefault="00F525B2" w:rsidP="009B329F">
            <w:pPr>
              <w:keepNext/>
              <w:keepLines/>
              <w:spacing w:after="0"/>
              <w:rPr>
                <w:rFonts w:ascii="Arial" w:hAnsi="Arial"/>
                <w:sz w:val="18"/>
              </w:rPr>
            </w:pPr>
            <w:r>
              <w:rPr>
                <w:rFonts w:ascii="Arial" w:hAnsi="Arial"/>
                <w:sz w:val="18"/>
              </w:rPr>
              <w:t>qosSustainInfos</w:t>
            </w:r>
          </w:p>
        </w:tc>
        <w:tc>
          <w:tcPr>
            <w:tcW w:w="1559" w:type="dxa"/>
          </w:tcPr>
          <w:p w14:paraId="667B144F" w14:textId="77777777" w:rsidR="00F525B2" w:rsidRDefault="00F525B2" w:rsidP="009B329F">
            <w:pPr>
              <w:keepNext/>
              <w:keepLines/>
              <w:spacing w:after="0"/>
              <w:rPr>
                <w:rFonts w:ascii="Arial" w:hAnsi="Arial"/>
                <w:sz w:val="18"/>
              </w:rPr>
            </w:pPr>
            <w:r>
              <w:rPr>
                <w:rFonts w:ascii="Arial" w:hAnsi="Arial"/>
                <w:sz w:val="18"/>
              </w:rPr>
              <w:t>array(QosSustainabilityInfo)</w:t>
            </w:r>
          </w:p>
        </w:tc>
        <w:tc>
          <w:tcPr>
            <w:tcW w:w="425" w:type="dxa"/>
          </w:tcPr>
          <w:p w14:paraId="1AC71177" w14:textId="77777777" w:rsidR="00F525B2" w:rsidRDefault="00F525B2" w:rsidP="009B329F">
            <w:pPr>
              <w:pStyle w:val="TAC"/>
              <w:rPr>
                <w:lang w:eastAsia="zh-CN"/>
              </w:rPr>
            </w:pPr>
            <w:r>
              <w:t>C</w:t>
            </w:r>
          </w:p>
        </w:tc>
        <w:tc>
          <w:tcPr>
            <w:tcW w:w="1134" w:type="dxa"/>
          </w:tcPr>
          <w:p w14:paraId="61F5B1E2" w14:textId="77777777" w:rsidR="00F525B2" w:rsidRDefault="00F525B2" w:rsidP="009B329F">
            <w:pPr>
              <w:pStyle w:val="TAL"/>
            </w:pPr>
            <w:r>
              <w:t>1..N</w:t>
            </w:r>
          </w:p>
        </w:tc>
        <w:tc>
          <w:tcPr>
            <w:tcW w:w="2856" w:type="dxa"/>
          </w:tcPr>
          <w:p w14:paraId="29B61906" w14:textId="77777777" w:rsidR="00F525B2" w:rsidRDefault="00F525B2" w:rsidP="009B329F">
            <w:pPr>
              <w:pStyle w:val="TAL"/>
            </w:pPr>
            <w:r>
              <w:t>The QoS sustainability information.</w:t>
            </w:r>
          </w:p>
          <w:p w14:paraId="49EAC090" w14:textId="77777777" w:rsidR="00F525B2" w:rsidRDefault="00F525B2" w:rsidP="009B329F">
            <w:pPr>
              <w:pStyle w:val="TAL"/>
            </w:pPr>
            <w:r>
              <w:t>When subscribed event is "QOS_SUSTAINABILITY", the qosSustainInfos shall be included.</w:t>
            </w:r>
          </w:p>
          <w:p w14:paraId="4DEA35CB" w14:textId="77777777" w:rsidR="00F525B2" w:rsidRDefault="00F525B2" w:rsidP="009B329F">
            <w:pPr>
              <w:pStyle w:val="TAL"/>
            </w:pPr>
            <w:r>
              <w:t>(NOTE 5)</w:t>
            </w:r>
          </w:p>
        </w:tc>
        <w:tc>
          <w:tcPr>
            <w:tcW w:w="1843" w:type="dxa"/>
          </w:tcPr>
          <w:p w14:paraId="2D1E92A6" w14:textId="77777777" w:rsidR="00F525B2" w:rsidRDefault="00F525B2" w:rsidP="009B329F">
            <w:pPr>
              <w:keepNext/>
              <w:keepLines/>
              <w:spacing w:after="0"/>
              <w:rPr>
                <w:rFonts w:ascii="Arial" w:hAnsi="Arial" w:cs="Arial"/>
                <w:sz w:val="18"/>
                <w:szCs w:val="18"/>
              </w:rPr>
            </w:pPr>
            <w:r>
              <w:rPr>
                <w:rFonts w:ascii="Arial" w:hAnsi="Arial" w:cs="Arial"/>
                <w:sz w:val="18"/>
                <w:szCs w:val="18"/>
              </w:rPr>
              <w:t>QoSSustainability</w:t>
            </w:r>
          </w:p>
        </w:tc>
      </w:tr>
      <w:tr w:rsidR="00F525B2" w14:paraId="1D58B182" w14:textId="77777777" w:rsidTr="009B329F">
        <w:trPr>
          <w:jc w:val="center"/>
        </w:trPr>
        <w:tc>
          <w:tcPr>
            <w:tcW w:w="1531" w:type="dxa"/>
          </w:tcPr>
          <w:p w14:paraId="7E5B8F0A" w14:textId="77777777" w:rsidR="00F525B2" w:rsidRDefault="00F525B2" w:rsidP="009B329F">
            <w:pPr>
              <w:keepNext/>
              <w:keepLines/>
              <w:spacing w:after="0"/>
              <w:rPr>
                <w:rFonts w:ascii="Arial" w:hAnsi="Arial"/>
                <w:sz w:val="18"/>
              </w:rPr>
            </w:pPr>
            <w:r>
              <w:rPr>
                <w:rFonts w:ascii="Arial" w:hAnsi="Arial" w:hint="eastAsia"/>
                <w:sz w:val="18"/>
              </w:rPr>
              <w:t>sliceLoadLevelInfo</w:t>
            </w:r>
          </w:p>
        </w:tc>
        <w:tc>
          <w:tcPr>
            <w:tcW w:w="1559" w:type="dxa"/>
          </w:tcPr>
          <w:p w14:paraId="198B7D2E" w14:textId="77777777" w:rsidR="00F525B2" w:rsidRDefault="00F525B2" w:rsidP="009B329F">
            <w:pPr>
              <w:keepNext/>
              <w:keepLines/>
              <w:spacing w:after="0"/>
              <w:rPr>
                <w:rFonts w:ascii="Arial" w:hAnsi="Arial"/>
                <w:sz w:val="18"/>
              </w:rPr>
            </w:pPr>
            <w:r>
              <w:rPr>
                <w:rFonts w:ascii="Arial" w:hAnsi="Arial"/>
                <w:sz w:val="18"/>
              </w:rPr>
              <w:t>SliceLoadLevelInformation</w:t>
            </w:r>
          </w:p>
        </w:tc>
        <w:tc>
          <w:tcPr>
            <w:tcW w:w="425" w:type="dxa"/>
          </w:tcPr>
          <w:p w14:paraId="174DFBA5" w14:textId="77777777" w:rsidR="00F525B2" w:rsidRDefault="00F525B2" w:rsidP="009B329F">
            <w:pPr>
              <w:pStyle w:val="TAC"/>
            </w:pPr>
            <w:r>
              <w:rPr>
                <w:rFonts w:hint="eastAsia"/>
                <w:lang w:eastAsia="zh-CN"/>
              </w:rPr>
              <w:t>C</w:t>
            </w:r>
          </w:p>
        </w:tc>
        <w:tc>
          <w:tcPr>
            <w:tcW w:w="1134" w:type="dxa"/>
          </w:tcPr>
          <w:p w14:paraId="25BBA9AE" w14:textId="77777777" w:rsidR="00F525B2" w:rsidRDefault="00F525B2" w:rsidP="009B329F">
            <w:pPr>
              <w:pStyle w:val="TAL"/>
            </w:pPr>
            <w:r>
              <w:t>0..</w:t>
            </w:r>
            <w:r>
              <w:rPr>
                <w:rFonts w:hint="eastAsia"/>
              </w:rPr>
              <w:t>1</w:t>
            </w:r>
          </w:p>
        </w:tc>
        <w:tc>
          <w:tcPr>
            <w:tcW w:w="2856" w:type="dxa"/>
          </w:tcPr>
          <w:p w14:paraId="2B694FA7" w14:textId="77777777" w:rsidR="00F525B2" w:rsidRDefault="00F525B2" w:rsidP="009B329F">
            <w:pPr>
              <w:pStyle w:val="TAL"/>
            </w:pPr>
            <w:r>
              <w:t>The slices and the load level information.</w:t>
            </w:r>
          </w:p>
          <w:p w14:paraId="02219289" w14:textId="77777777" w:rsidR="00F525B2" w:rsidRDefault="00F525B2" w:rsidP="009B329F">
            <w:pPr>
              <w:pStyle w:val="TAL"/>
            </w:pPr>
            <w:r>
              <w:t>When subscribed event is "SLICE_LOAD_LEVEL", the sliceLoadLevelInfo shall be included.</w:t>
            </w:r>
          </w:p>
          <w:p w14:paraId="5CFF5594" w14:textId="77777777" w:rsidR="00F525B2" w:rsidRDefault="00F525B2" w:rsidP="009B329F">
            <w:pPr>
              <w:pStyle w:val="TAL"/>
            </w:pPr>
            <w:r>
              <w:t>(NOTE 5)</w:t>
            </w:r>
          </w:p>
        </w:tc>
        <w:tc>
          <w:tcPr>
            <w:tcW w:w="1843" w:type="dxa"/>
          </w:tcPr>
          <w:p w14:paraId="4A82F75E" w14:textId="77777777" w:rsidR="00F525B2" w:rsidRDefault="00F525B2" w:rsidP="009B329F">
            <w:pPr>
              <w:keepNext/>
              <w:keepLines/>
              <w:spacing w:after="0"/>
              <w:rPr>
                <w:rFonts w:ascii="Arial" w:hAnsi="Arial" w:cs="Arial"/>
                <w:sz w:val="18"/>
                <w:szCs w:val="18"/>
              </w:rPr>
            </w:pPr>
          </w:p>
        </w:tc>
      </w:tr>
      <w:tr w:rsidR="00F525B2" w14:paraId="43418792" w14:textId="77777777" w:rsidTr="009B329F">
        <w:trPr>
          <w:jc w:val="center"/>
        </w:trPr>
        <w:tc>
          <w:tcPr>
            <w:tcW w:w="1531" w:type="dxa"/>
          </w:tcPr>
          <w:p w14:paraId="6E9E9254" w14:textId="77777777" w:rsidR="00F525B2" w:rsidRDefault="00F525B2" w:rsidP="009B329F">
            <w:pPr>
              <w:keepNext/>
              <w:keepLines/>
              <w:spacing w:after="0"/>
              <w:rPr>
                <w:rFonts w:ascii="Arial" w:hAnsi="Arial"/>
                <w:sz w:val="18"/>
              </w:rPr>
            </w:pPr>
            <w:r>
              <w:rPr>
                <w:rFonts w:ascii="Arial" w:hAnsi="Arial"/>
                <w:sz w:val="18"/>
              </w:rPr>
              <w:t>svcExp</w:t>
            </w:r>
            <w:r>
              <w:rPr>
                <w:rFonts w:ascii="Arial" w:hAnsi="Arial"/>
                <w:sz w:val="18"/>
                <w:lang w:val="en-US"/>
              </w:rPr>
              <w:t>s</w:t>
            </w:r>
          </w:p>
        </w:tc>
        <w:tc>
          <w:tcPr>
            <w:tcW w:w="1559" w:type="dxa"/>
          </w:tcPr>
          <w:p w14:paraId="54609301" w14:textId="77777777" w:rsidR="00F525B2" w:rsidRDefault="00F525B2" w:rsidP="009B329F">
            <w:pPr>
              <w:keepNext/>
              <w:keepLines/>
              <w:spacing w:after="0"/>
              <w:rPr>
                <w:rFonts w:ascii="Arial" w:hAnsi="Arial"/>
                <w:sz w:val="18"/>
              </w:rPr>
            </w:pPr>
            <w:r>
              <w:rPr>
                <w:rFonts w:ascii="Arial" w:hAnsi="Arial"/>
                <w:sz w:val="18"/>
              </w:rPr>
              <w:t>array(ServiceExperienceInfo)</w:t>
            </w:r>
          </w:p>
        </w:tc>
        <w:tc>
          <w:tcPr>
            <w:tcW w:w="425" w:type="dxa"/>
          </w:tcPr>
          <w:p w14:paraId="17F47C2F" w14:textId="77777777" w:rsidR="00F525B2" w:rsidRDefault="00F525B2" w:rsidP="009B329F">
            <w:pPr>
              <w:pStyle w:val="TAC"/>
              <w:rPr>
                <w:lang w:eastAsia="zh-CN"/>
              </w:rPr>
            </w:pPr>
            <w:r>
              <w:t>C</w:t>
            </w:r>
          </w:p>
        </w:tc>
        <w:tc>
          <w:tcPr>
            <w:tcW w:w="1134" w:type="dxa"/>
          </w:tcPr>
          <w:p w14:paraId="194CE35B" w14:textId="77777777" w:rsidR="00F525B2" w:rsidRDefault="00F525B2" w:rsidP="009B329F">
            <w:pPr>
              <w:pStyle w:val="TAL"/>
            </w:pPr>
            <w:r>
              <w:rPr>
                <w:rFonts w:hint="eastAsia"/>
              </w:rPr>
              <w:t>1</w:t>
            </w:r>
            <w:r>
              <w:t>..N</w:t>
            </w:r>
          </w:p>
        </w:tc>
        <w:tc>
          <w:tcPr>
            <w:tcW w:w="2856" w:type="dxa"/>
          </w:tcPr>
          <w:p w14:paraId="35BACA17" w14:textId="77777777" w:rsidR="00F525B2" w:rsidRDefault="00F525B2" w:rsidP="009B329F">
            <w:pPr>
              <w:pStyle w:val="TAL"/>
            </w:pPr>
            <w:r>
              <w:t>The service experience information.</w:t>
            </w:r>
          </w:p>
          <w:p w14:paraId="59E79864" w14:textId="77777777" w:rsidR="00F525B2" w:rsidRDefault="00F525B2" w:rsidP="009B329F">
            <w:pPr>
              <w:pStyle w:val="TAL"/>
            </w:pPr>
            <w:r>
              <w:t>When subscribed event is "SERVICE_EXPERIENCE", the svcExps shall be included.</w:t>
            </w:r>
          </w:p>
          <w:p w14:paraId="24CE0B79" w14:textId="77777777" w:rsidR="00F525B2" w:rsidRDefault="00F525B2" w:rsidP="009B329F">
            <w:pPr>
              <w:pStyle w:val="TAL"/>
            </w:pPr>
            <w:r>
              <w:t>(NOTE 5)</w:t>
            </w:r>
          </w:p>
        </w:tc>
        <w:tc>
          <w:tcPr>
            <w:tcW w:w="1843" w:type="dxa"/>
          </w:tcPr>
          <w:p w14:paraId="0F9ADDF4" w14:textId="77777777" w:rsidR="00F525B2" w:rsidRDefault="00F525B2" w:rsidP="009B329F">
            <w:pPr>
              <w:keepNext/>
              <w:keepLines/>
              <w:spacing w:after="0"/>
              <w:rPr>
                <w:rFonts w:ascii="Arial" w:hAnsi="Arial" w:cs="Arial"/>
                <w:sz w:val="18"/>
                <w:szCs w:val="18"/>
              </w:rPr>
            </w:pPr>
            <w:r>
              <w:rPr>
                <w:rFonts w:ascii="Arial" w:hAnsi="Arial" w:cs="Arial"/>
                <w:sz w:val="18"/>
                <w:szCs w:val="18"/>
              </w:rPr>
              <w:t>ServiceExperience</w:t>
            </w:r>
          </w:p>
        </w:tc>
      </w:tr>
      <w:tr w:rsidR="00F525B2" w14:paraId="10403A6B" w14:textId="77777777" w:rsidTr="009B329F">
        <w:trPr>
          <w:jc w:val="center"/>
        </w:trPr>
        <w:tc>
          <w:tcPr>
            <w:tcW w:w="1531" w:type="dxa"/>
          </w:tcPr>
          <w:p w14:paraId="43FAD324" w14:textId="77777777" w:rsidR="00F525B2" w:rsidRDefault="00F525B2" w:rsidP="009B329F">
            <w:pPr>
              <w:pStyle w:val="TAL"/>
            </w:pPr>
            <w:r>
              <w:rPr>
                <w:lang w:eastAsia="zh-CN"/>
              </w:rPr>
              <w:t>ueComms</w:t>
            </w:r>
          </w:p>
        </w:tc>
        <w:tc>
          <w:tcPr>
            <w:tcW w:w="1559" w:type="dxa"/>
          </w:tcPr>
          <w:p w14:paraId="0882E386" w14:textId="77777777" w:rsidR="00F525B2" w:rsidRDefault="00F525B2" w:rsidP="009B329F">
            <w:pPr>
              <w:pStyle w:val="TAL"/>
            </w:pPr>
            <w:r>
              <w:t>array(UeCommunication)</w:t>
            </w:r>
          </w:p>
        </w:tc>
        <w:tc>
          <w:tcPr>
            <w:tcW w:w="425" w:type="dxa"/>
          </w:tcPr>
          <w:p w14:paraId="205F3E2F" w14:textId="77777777" w:rsidR="00F525B2" w:rsidRDefault="00F525B2" w:rsidP="009B329F">
            <w:pPr>
              <w:pStyle w:val="TAC"/>
            </w:pPr>
            <w:r>
              <w:t>C</w:t>
            </w:r>
          </w:p>
        </w:tc>
        <w:tc>
          <w:tcPr>
            <w:tcW w:w="1134" w:type="dxa"/>
          </w:tcPr>
          <w:p w14:paraId="00E154E3" w14:textId="77777777" w:rsidR="00F525B2" w:rsidRDefault="00F525B2" w:rsidP="009B329F">
            <w:pPr>
              <w:pStyle w:val="TAL"/>
            </w:pPr>
            <w:r>
              <w:t>1..N</w:t>
            </w:r>
          </w:p>
        </w:tc>
        <w:tc>
          <w:tcPr>
            <w:tcW w:w="2856" w:type="dxa"/>
          </w:tcPr>
          <w:p w14:paraId="5F824AB3" w14:textId="77777777" w:rsidR="00F525B2" w:rsidRDefault="00F525B2" w:rsidP="009B329F">
            <w:pPr>
              <w:pStyle w:val="TAL"/>
            </w:pPr>
            <w:r>
              <w:t>The UE communication information.</w:t>
            </w:r>
          </w:p>
          <w:p w14:paraId="2478A4C0" w14:textId="77777777" w:rsidR="00F525B2" w:rsidRDefault="00F525B2" w:rsidP="009B329F">
            <w:pPr>
              <w:pStyle w:val="TAL"/>
            </w:pPr>
            <w:r>
              <w:t>When subscribed event is "UE_COMMUNICATION", the ueComms shall be included.</w:t>
            </w:r>
          </w:p>
          <w:p w14:paraId="43551205" w14:textId="77777777" w:rsidR="00F525B2" w:rsidRDefault="00F525B2" w:rsidP="009B329F">
            <w:pPr>
              <w:pStyle w:val="TAL"/>
              <w:rPr>
                <w:rFonts w:cs="Arial"/>
                <w:szCs w:val="18"/>
              </w:rPr>
            </w:pPr>
            <w:r>
              <w:t>(NOTE 5)</w:t>
            </w:r>
          </w:p>
        </w:tc>
        <w:tc>
          <w:tcPr>
            <w:tcW w:w="1843" w:type="dxa"/>
          </w:tcPr>
          <w:p w14:paraId="31A13377" w14:textId="77777777" w:rsidR="00F525B2" w:rsidRDefault="00F525B2" w:rsidP="009B329F">
            <w:pPr>
              <w:pStyle w:val="TAL"/>
              <w:rPr>
                <w:rFonts w:cs="Arial"/>
                <w:szCs w:val="18"/>
              </w:rPr>
            </w:pPr>
            <w:r>
              <w:t>UeCommunication</w:t>
            </w:r>
          </w:p>
        </w:tc>
      </w:tr>
      <w:tr w:rsidR="00F525B2" w14:paraId="46469668" w14:textId="77777777" w:rsidTr="009B329F">
        <w:trPr>
          <w:jc w:val="center"/>
        </w:trPr>
        <w:tc>
          <w:tcPr>
            <w:tcW w:w="1531" w:type="dxa"/>
          </w:tcPr>
          <w:p w14:paraId="0B0DDAB7" w14:textId="77777777" w:rsidR="00F525B2" w:rsidRDefault="00F525B2" w:rsidP="009B329F">
            <w:pPr>
              <w:pStyle w:val="TAL"/>
            </w:pPr>
            <w:r>
              <w:rPr>
                <w:lang w:eastAsia="zh-CN"/>
              </w:rPr>
              <w:t>ueMobs</w:t>
            </w:r>
          </w:p>
        </w:tc>
        <w:tc>
          <w:tcPr>
            <w:tcW w:w="1559" w:type="dxa"/>
          </w:tcPr>
          <w:p w14:paraId="2D8C48AB" w14:textId="77777777" w:rsidR="00F525B2" w:rsidRDefault="00F525B2" w:rsidP="009B329F">
            <w:pPr>
              <w:pStyle w:val="TAL"/>
            </w:pPr>
            <w:r>
              <w:t>array(UeMobility)</w:t>
            </w:r>
          </w:p>
        </w:tc>
        <w:tc>
          <w:tcPr>
            <w:tcW w:w="425" w:type="dxa"/>
          </w:tcPr>
          <w:p w14:paraId="79CC85B5" w14:textId="77777777" w:rsidR="00F525B2" w:rsidRDefault="00F525B2" w:rsidP="009B329F">
            <w:pPr>
              <w:pStyle w:val="TAC"/>
            </w:pPr>
            <w:r>
              <w:t>C</w:t>
            </w:r>
          </w:p>
        </w:tc>
        <w:tc>
          <w:tcPr>
            <w:tcW w:w="1134" w:type="dxa"/>
          </w:tcPr>
          <w:p w14:paraId="36327CCC" w14:textId="77777777" w:rsidR="00F525B2" w:rsidRDefault="00F525B2" w:rsidP="009B329F">
            <w:pPr>
              <w:pStyle w:val="TAL"/>
            </w:pPr>
            <w:r>
              <w:t>1..N</w:t>
            </w:r>
          </w:p>
        </w:tc>
        <w:tc>
          <w:tcPr>
            <w:tcW w:w="2856" w:type="dxa"/>
          </w:tcPr>
          <w:p w14:paraId="49EA6451" w14:textId="77777777" w:rsidR="00F525B2" w:rsidRDefault="00F525B2" w:rsidP="009B329F">
            <w:pPr>
              <w:pStyle w:val="TAL"/>
            </w:pPr>
            <w:r>
              <w:t>The UE mobility information.</w:t>
            </w:r>
          </w:p>
          <w:p w14:paraId="401758D5" w14:textId="77777777" w:rsidR="00F525B2" w:rsidRDefault="00F525B2" w:rsidP="009B329F">
            <w:pPr>
              <w:pStyle w:val="TAL"/>
            </w:pPr>
            <w:r>
              <w:t>When subscribed event is "UE_MOBILITY", the ueMobs shall be included.</w:t>
            </w:r>
          </w:p>
          <w:p w14:paraId="5AB7C250" w14:textId="77777777" w:rsidR="00F525B2" w:rsidRDefault="00F525B2" w:rsidP="009B329F">
            <w:pPr>
              <w:pStyle w:val="TAL"/>
              <w:rPr>
                <w:rFonts w:cs="Arial"/>
                <w:szCs w:val="18"/>
              </w:rPr>
            </w:pPr>
            <w:r>
              <w:t>(NOTE 5)</w:t>
            </w:r>
          </w:p>
        </w:tc>
        <w:tc>
          <w:tcPr>
            <w:tcW w:w="1843" w:type="dxa"/>
          </w:tcPr>
          <w:p w14:paraId="56A65638" w14:textId="77777777" w:rsidR="00F525B2" w:rsidRDefault="00F525B2" w:rsidP="009B329F">
            <w:pPr>
              <w:pStyle w:val="TAL"/>
              <w:rPr>
                <w:rFonts w:cs="Arial"/>
                <w:szCs w:val="18"/>
              </w:rPr>
            </w:pPr>
            <w:r>
              <w:t>UeMobility</w:t>
            </w:r>
          </w:p>
        </w:tc>
      </w:tr>
      <w:tr w:rsidR="00F525B2" w14:paraId="527D8A57" w14:textId="77777777" w:rsidTr="009B329F">
        <w:trPr>
          <w:jc w:val="center"/>
        </w:trPr>
        <w:tc>
          <w:tcPr>
            <w:tcW w:w="1531" w:type="dxa"/>
          </w:tcPr>
          <w:p w14:paraId="1D04FB7C" w14:textId="77777777" w:rsidR="00F525B2" w:rsidRDefault="00F525B2" w:rsidP="009B329F">
            <w:pPr>
              <w:pStyle w:val="TAL"/>
              <w:rPr>
                <w:lang w:eastAsia="zh-CN"/>
              </w:rPr>
            </w:pPr>
            <w:r>
              <w:t>abnorBehavrs</w:t>
            </w:r>
          </w:p>
        </w:tc>
        <w:tc>
          <w:tcPr>
            <w:tcW w:w="1559" w:type="dxa"/>
          </w:tcPr>
          <w:p w14:paraId="63308682" w14:textId="77777777" w:rsidR="00F525B2" w:rsidRDefault="00F525B2" w:rsidP="009B329F">
            <w:pPr>
              <w:pStyle w:val="TAL"/>
            </w:pPr>
            <w:r>
              <w:t>array(AbnormalBehaviour)</w:t>
            </w:r>
          </w:p>
        </w:tc>
        <w:tc>
          <w:tcPr>
            <w:tcW w:w="425" w:type="dxa"/>
          </w:tcPr>
          <w:p w14:paraId="57A5077C" w14:textId="77777777" w:rsidR="00F525B2" w:rsidRDefault="00F525B2" w:rsidP="009B329F">
            <w:pPr>
              <w:pStyle w:val="TAC"/>
            </w:pPr>
            <w:r>
              <w:t>C</w:t>
            </w:r>
          </w:p>
        </w:tc>
        <w:tc>
          <w:tcPr>
            <w:tcW w:w="1134" w:type="dxa"/>
          </w:tcPr>
          <w:p w14:paraId="711D0D37" w14:textId="77777777" w:rsidR="00F525B2" w:rsidRDefault="00F525B2" w:rsidP="009B329F">
            <w:pPr>
              <w:pStyle w:val="TAL"/>
            </w:pPr>
            <w:r>
              <w:t>1..N</w:t>
            </w:r>
          </w:p>
        </w:tc>
        <w:tc>
          <w:tcPr>
            <w:tcW w:w="2856" w:type="dxa"/>
          </w:tcPr>
          <w:p w14:paraId="0290E9C6" w14:textId="77777777" w:rsidR="00F525B2" w:rsidRDefault="00F525B2" w:rsidP="009B329F">
            <w:pPr>
              <w:pStyle w:val="TAL"/>
            </w:pPr>
            <w:r>
              <w:t>The Abnormal Behaviour information.</w:t>
            </w:r>
          </w:p>
          <w:p w14:paraId="0C650EE6" w14:textId="77777777" w:rsidR="00F525B2" w:rsidRDefault="00F525B2" w:rsidP="009B329F">
            <w:pPr>
              <w:pStyle w:val="TAL"/>
            </w:pPr>
            <w:r>
              <w:t xml:space="preserve">When subscribed event is "ABNORMAL_BEHAVIOUR", the </w:t>
            </w:r>
            <w:r>
              <w:rPr>
                <w:rFonts w:hint="eastAsia"/>
                <w:lang w:val="en-US" w:eastAsia="zh-CN"/>
              </w:rPr>
              <w:t>abnor</w:t>
            </w:r>
            <w:r>
              <w:rPr>
                <w:lang w:val="en-US" w:eastAsia="zh-CN"/>
              </w:rPr>
              <w:t>Behavrs</w:t>
            </w:r>
            <w:r>
              <w:t xml:space="preserve"> shall be included.</w:t>
            </w:r>
          </w:p>
          <w:p w14:paraId="1BF9495A" w14:textId="77777777" w:rsidR="00F525B2" w:rsidRDefault="00F525B2" w:rsidP="009B329F">
            <w:pPr>
              <w:pStyle w:val="TAL"/>
            </w:pPr>
            <w:r>
              <w:t>(NOTE 5)</w:t>
            </w:r>
          </w:p>
        </w:tc>
        <w:tc>
          <w:tcPr>
            <w:tcW w:w="1843" w:type="dxa"/>
          </w:tcPr>
          <w:p w14:paraId="457FCA37" w14:textId="77777777" w:rsidR="00F525B2" w:rsidRDefault="00F525B2" w:rsidP="009B329F">
            <w:pPr>
              <w:pStyle w:val="TAL"/>
            </w:pPr>
            <w:r>
              <w:t>AbnormalBehaviour</w:t>
            </w:r>
          </w:p>
        </w:tc>
      </w:tr>
      <w:tr w:rsidR="00F525B2" w14:paraId="67E0AC24" w14:textId="77777777" w:rsidTr="009B329F">
        <w:trPr>
          <w:jc w:val="center"/>
        </w:trPr>
        <w:tc>
          <w:tcPr>
            <w:tcW w:w="1531" w:type="dxa"/>
          </w:tcPr>
          <w:p w14:paraId="35311268" w14:textId="77777777" w:rsidR="00F525B2" w:rsidRDefault="00F525B2" w:rsidP="009B329F">
            <w:pPr>
              <w:pStyle w:val="TAL"/>
            </w:pPr>
            <w:r>
              <w:rPr>
                <w:lang w:eastAsia="zh-CN"/>
              </w:rPr>
              <w:t>userDataCongInfos</w:t>
            </w:r>
          </w:p>
        </w:tc>
        <w:tc>
          <w:tcPr>
            <w:tcW w:w="1559" w:type="dxa"/>
          </w:tcPr>
          <w:p w14:paraId="369C01B7" w14:textId="77777777" w:rsidR="00F525B2" w:rsidRDefault="00F525B2" w:rsidP="009B329F">
            <w:pPr>
              <w:pStyle w:val="TAL"/>
            </w:pPr>
            <w:r>
              <w:t>array(UserDataCongestionInfo)</w:t>
            </w:r>
          </w:p>
        </w:tc>
        <w:tc>
          <w:tcPr>
            <w:tcW w:w="425" w:type="dxa"/>
          </w:tcPr>
          <w:p w14:paraId="19FA8C78" w14:textId="77777777" w:rsidR="00F525B2" w:rsidRDefault="00F525B2" w:rsidP="009B329F">
            <w:pPr>
              <w:pStyle w:val="TAC"/>
            </w:pPr>
            <w:r>
              <w:t>C</w:t>
            </w:r>
          </w:p>
        </w:tc>
        <w:tc>
          <w:tcPr>
            <w:tcW w:w="1134" w:type="dxa"/>
          </w:tcPr>
          <w:p w14:paraId="3BEB99E8" w14:textId="77777777" w:rsidR="00F525B2" w:rsidRDefault="00F525B2" w:rsidP="009B329F">
            <w:pPr>
              <w:pStyle w:val="TAL"/>
            </w:pPr>
            <w:r>
              <w:t>1..N</w:t>
            </w:r>
          </w:p>
        </w:tc>
        <w:tc>
          <w:tcPr>
            <w:tcW w:w="2856" w:type="dxa"/>
          </w:tcPr>
          <w:p w14:paraId="587C299A" w14:textId="77777777" w:rsidR="00F525B2" w:rsidRDefault="00F525B2" w:rsidP="009B329F">
            <w:pPr>
              <w:pStyle w:val="TAL"/>
            </w:pPr>
            <w:r>
              <w:t xml:space="preserve">The location and user data congestion information. </w:t>
            </w:r>
          </w:p>
          <w:p w14:paraId="2E54EE5C" w14:textId="77777777" w:rsidR="00F525B2" w:rsidRDefault="00F525B2" w:rsidP="009B329F">
            <w:pPr>
              <w:pStyle w:val="TAL"/>
            </w:pPr>
            <w:r>
              <w:t>Shall be present if the subscribed event is "USER_DATA_CONGESTION".</w:t>
            </w:r>
          </w:p>
          <w:p w14:paraId="0B490B1A" w14:textId="77777777" w:rsidR="00F525B2" w:rsidRDefault="00F525B2" w:rsidP="009B329F">
            <w:pPr>
              <w:pStyle w:val="TAL"/>
            </w:pPr>
            <w:r>
              <w:t>(NOTE 5)</w:t>
            </w:r>
          </w:p>
        </w:tc>
        <w:tc>
          <w:tcPr>
            <w:tcW w:w="1843" w:type="dxa"/>
          </w:tcPr>
          <w:p w14:paraId="0C3BA975" w14:textId="77777777" w:rsidR="00F525B2" w:rsidRDefault="00F525B2" w:rsidP="009B329F">
            <w:pPr>
              <w:pStyle w:val="TAL"/>
            </w:pPr>
            <w:r>
              <w:t>UserDataCongestion</w:t>
            </w:r>
          </w:p>
        </w:tc>
      </w:tr>
      <w:tr w:rsidR="00F525B2" w14:paraId="77BF3CF9" w14:textId="77777777" w:rsidTr="009B329F">
        <w:trPr>
          <w:jc w:val="center"/>
        </w:trPr>
        <w:tc>
          <w:tcPr>
            <w:tcW w:w="1531" w:type="dxa"/>
          </w:tcPr>
          <w:p w14:paraId="3138DB96" w14:textId="77777777" w:rsidR="00F525B2" w:rsidRDefault="00F525B2" w:rsidP="009B329F">
            <w:pPr>
              <w:pStyle w:val="TAL"/>
              <w:rPr>
                <w:lang w:eastAsia="zh-CN"/>
              </w:rPr>
            </w:pPr>
            <w:r>
              <w:rPr>
                <w:lang w:eastAsia="zh-CN"/>
              </w:rPr>
              <w:t>dnPerfInfos</w:t>
            </w:r>
          </w:p>
        </w:tc>
        <w:tc>
          <w:tcPr>
            <w:tcW w:w="1559" w:type="dxa"/>
          </w:tcPr>
          <w:p w14:paraId="6D4CE2A8" w14:textId="77777777" w:rsidR="00F525B2" w:rsidRDefault="00F525B2" w:rsidP="009B329F">
            <w:pPr>
              <w:pStyle w:val="TAL"/>
            </w:pPr>
            <w:r>
              <w:t>array(DnPerfInfo)</w:t>
            </w:r>
          </w:p>
        </w:tc>
        <w:tc>
          <w:tcPr>
            <w:tcW w:w="425" w:type="dxa"/>
          </w:tcPr>
          <w:p w14:paraId="39A026B7" w14:textId="77777777" w:rsidR="00F525B2" w:rsidRDefault="00F525B2" w:rsidP="009B329F">
            <w:pPr>
              <w:pStyle w:val="TAC"/>
            </w:pPr>
            <w:r>
              <w:t>C</w:t>
            </w:r>
          </w:p>
        </w:tc>
        <w:tc>
          <w:tcPr>
            <w:tcW w:w="1134" w:type="dxa"/>
          </w:tcPr>
          <w:p w14:paraId="4FFA12AC" w14:textId="77777777" w:rsidR="00F525B2" w:rsidRDefault="00F525B2" w:rsidP="009B329F">
            <w:pPr>
              <w:pStyle w:val="TAL"/>
            </w:pPr>
            <w:r>
              <w:t>1..N</w:t>
            </w:r>
          </w:p>
        </w:tc>
        <w:tc>
          <w:tcPr>
            <w:tcW w:w="2856" w:type="dxa"/>
          </w:tcPr>
          <w:p w14:paraId="47AB224E" w14:textId="77777777" w:rsidR="00F525B2" w:rsidRDefault="00F525B2" w:rsidP="009B329F">
            <w:pPr>
              <w:pStyle w:val="TAL"/>
            </w:pPr>
            <w:r>
              <w:t>The DN performance information.</w:t>
            </w:r>
          </w:p>
          <w:p w14:paraId="0B4FF1AA" w14:textId="77777777" w:rsidR="00F525B2" w:rsidRDefault="00F525B2" w:rsidP="009B329F">
            <w:pPr>
              <w:pStyle w:val="TAL"/>
            </w:pPr>
            <w:r>
              <w:t>Shall be present if the subscribed event is "</w:t>
            </w:r>
            <w:r>
              <w:rPr>
                <w:rFonts w:hint="eastAsia"/>
                <w:lang w:eastAsia="zh-CN"/>
              </w:rPr>
              <w:t>D</w:t>
            </w:r>
            <w:r>
              <w:rPr>
                <w:lang w:eastAsia="zh-CN"/>
              </w:rPr>
              <w:t>N_PERFORMANCE</w:t>
            </w:r>
            <w:r>
              <w:t>".</w:t>
            </w:r>
          </w:p>
          <w:p w14:paraId="14F6CCBE" w14:textId="77777777" w:rsidR="00F525B2" w:rsidRDefault="00F525B2" w:rsidP="009B329F">
            <w:pPr>
              <w:pStyle w:val="TAL"/>
            </w:pPr>
            <w:r>
              <w:t>(NOTE 5)</w:t>
            </w:r>
          </w:p>
        </w:tc>
        <w:tc>
          <w:tcPr>
            <w:tcW w:w="1843" w:type="dxa"/>
          </w:tcPr>
          <w:p w14:paraId="5B196186" w14:textId="77777777" w:rsidR="00F525B2" w:rsidRDefault="00F525B2" w:rsidP="009B329F">
            <w:pPr>
              <w:pStyle w:val="TAL"/>
            </w:pPr>
            <w:r>
              <w:rPr>
                <w:rFonts w:hint="eastAsia"/>
                <w:lang w:eastAsia="zh-CN"/>
              </w:rPr>
              <w:t>Dn</w:t>
            </w:r>
            <w:r>
              <w:t>Performance</w:t>
            </w:r>
          </w:p>
        </w:tc>
      </w:tr>
      <w:tr w:rsidR="00F525B2" w14:paraId="7FF4F7C6" w14:textId="77777777" w:rsidTr="009B329F">
        <w:trPr>
          <w:jc w:val="center"/>
        </w:trPr>
        <w:tc>
          <w:tcPr>
            <w:tcW w:w="1531" w:type="dxa"/>
          </w:tcPr>
          <w:p w14:paraId="7E9320DA" w14:textId="77777777" w:rsidR="00F525B2" w:rsidRDefault="00F525B2" w:rsidP="009B329F">
            <w:pPr>
              <w:pStyle w:val="TAL"/>
              <w:rPr>
                <w:lang w:eastAsia="zh-CN"/>
              </w:rPr>
            </w:pPr>
            <w:r>
              <w:rPr>
                <w:lang w:eastAsia="zh-CN"/>
              </w:rPr>
              <w:t>disperInfos</w:t>
            </w:r>
          </w:p>
        </w:tc>
        <w:tc>
          <w:tcPr>
            <w:tcW w:w="1559" w:type="dxa"/>
          </w:tcPr>
          <w:p w14:paraId="6D6049E6" w14:textId="77777777" w:rsidR="00F525B2" w:rsidRDefault="00F525B2" w:rsidP="009B329F">
            <w:pPr>
              <w:pStyle w:val="TAL"/>
            </w:pPr>
            <w:r>
              <w:t>array(DispersionInfo)</w:t>
            </w:r>
          </w:p>
        </w:tc>
        <w:tc>
          <w:tcPr>
            <w:tcW w:w="425" w:type="dxa"/>
          </w:tcPr>
          <w:p w14:paraId="21FFDC64" w14:textId="77777777" w:rsidR="00F525B2" w:rsidRDefault="00F525B2" w:rsidP="009B329F">
            <w:pPr>
              <w:pStyle w:val="TAC"/>
            </w:pPr>
            <w:r>
              <w:t>C</w:t>
            </w:r>
          </w:p>
        </w:tc>
        <w:tc>
          <w:tcPr>
            <w:tcW w:w="1134" w:type="dxa"/>
          </w:tcPr>
          <w:p w14:paraId="6FB6A817" w14:textId="77777777" w:rsidR="00F525B2" w:rsidRDefault="00F525B2" w:rsidP="009B329F">
            <w:pPr>
              <w:pStyle w:val="TAL"/>
            </w:pPr>
            <w:r>
              <w:t>1..N</w:t>
            </w:r>
          </w:p>
        </w:tc>
        <w:tc>
          <w:tcPr>
            <w:tcW w:w="2856" w:type="dxa"/>
          </w:tcPr>
          <w:p w14:paraId="4D5B6A4C" w14:textId="77777777" w:rsidR="00F525B2" w:rsidRDefault="00F525B2" w:rsidP="009B329F">
            <w:pPr>
              <w:pStyle w:val="TAL"/>
            </w:pPr>
            <w:r>
              <w:t>The Dispersion information.</w:t>
            </w:r>
          </w:p>
          <w:p w14:paraId="4709CDD6" w14:textId="77777777" w:rsidR="00F525B2" w:rsidRDefault="00F525B2" w:rsidP="009B329F">
            <w:pPr>
              <w:pStyle w:val="TAL"/>
            </w:pPr>
            <w:r>
              <w:t>When subscribed event is "DISPERSION", the "disperInfos" attribute shall be included.</w:t>
            </w:r>
          </w:p>
          <w:p w14:paraId="5E2A579E" w14:textId="77777777" w:rsidR="00F525B2" w:rsidRDefault="00F525B2" w:rsidP="009B329F">
            <w:pPr>
              <w:pStyle w:val="TAL"/>
            </w:pPr>
            <w:r>
              <w:t>(NOTE 5)</w:t>
            </w:r>
          </w:p>
        </w:tc>
        <w:tc>
          <w:tcPr>
            <w:tcW w:w="1843" w:type="dxa"/>
          </w:tcPr>
          <w:p w14:paraId="1970302D" w14:textId="77777777" w:rsidR="00F525B2" w:rsidRDefault="00F525B2" w:rsidP="009B329F">
            <w:pPr>
              <w:pStyle w:val="TAL"/>
              <w:rPr>
                <w:lang w:eastAsia="zh-CN"/>
              </w:rPr>
            </w:pPr>
            <w:r>
              <w:rPr>
                <w:lang w:eastAsia="zh-CN"/>
              </w:rPr>
              <w:t>Dispersion</w:t>
            </w:r>
          </w:p>
        </w:tc>
      </w:tr>
      <w:tr w:rsidR="00F525B2" w14:paraId="7A0E0F50" w14:textId="77777777" w:rsidTr="009B329F">
        <w:trPr>
          <w:jc w:val="center"/>
        </w:trPr>
        <w:tc>
          <w:tcPr>
            <w:tcW w:w="1531" w:type="dxa"/>
          </w:tcPr>
          <w:p w14:paraId="73D2676E" w14:textId="77777777" w:rsidR="00F525B2" w:rsidRDefault="00F525B2" w:rsidP="009B329F">
            <w:pPr>
              <w:pStyle w:val="TAL"/>
              <w:rPr>
                <w:lang w:eastAsia="zh-CN"/>
              </w:rPr>
            </w:pPr>
            <w:r>
              <w:rPr>
                <w:lang w:eastAsia="zh-CN"/>
              </w:rPr>
              <w:t>redTransInfos</w:t>
            </w:r>
          </w:p>
        </w:tc>
        <w:tc>
          <w:tcPr>
            <w:tcW w:w="1559" w:type="dxa"/>
          </w:tcPr>
          <w:p w14:paraId="69D6D494" w14:textId="77777777" w:rsidR="00F525B2" w:rsidRDefault="00F525B2" w:rsidP="009B329F">
            <w:pPr>
              <w:pStyle w:val="TAL"/>
            </w:pPr>
            <w:r>
              <w:t>array(RedundantTransmissionExpInfo)</w:t>
            </w:r>
          </w:p>
        </w:tc>
        <w:tc>
          <w:tcPr>
            <w:tcW w:w="425" w:type="dxa"/>
          </w:tcPr>
          <w:p w14:paraId="71A62813" w14:textId="77777777" w:rsidR="00F525B2" w:rsidRDefault="00F525B2" w:rsidP="009B329F">
            <w:pPr>
              <w:pStyle w:val="TAC"/>
            </w:pPr>
            <w:r>
              <w:t>C</w:t>
            </w:r>
          </w:p>
        </w:tc>
        <w:tc>
          <w:tcPr>
            <w:tcW w:w="1134" w:type="dxa"/>
          </w:tcPr>
          <w:p w14:paraId="0E5C59D7" w14:textId="77777777" w:rsidR="00F525B2" w:rsidRDefault="00F525B2" w:rsidP="009B329F">
            <w:pPr>
              <w:pStyle w:val="TAL"/>
            </w:pPr>
            <w:r>
              <w:t>1..N</w:t>
            </w:r>
          </w:p>
        </w:tc>
        <w:tc>
          <w:tcPr>
            <w:tcW w:w="2856" w:type="dxa"/>
          </w:tcPr>
          <w:p w14:paraId="07EF472E" w14:textId="77777777" w:rsidR="00F525B2" w:rsidRDefault="00F525B2" w:rsidP="009B329F">
            <w:pPr>
              <w:pStyle w:val="TAL"/>
            </w:pPr>
            <w:r>
              <w:t>The redundant transmission experience related information.</w:t>
            </w:r>
          </w:p>
          <w:p w14:paraId="018A5A6D" w14:textId="77777777" w:rsidR="00F525B2" w:rsidRDefault="00F525B2" w:rsidP="009B329F">
            <w:pPr>
              <w:pStyle w:val="TAL"/>
            </w:pPr>
            <w:r>
              <w:t>When subscribed event is "RED_TRANS_EXP", the "redTransInfos" attribute shall be included.</w:t>
            </w:r>
          </w:p>
          <w:p w14:paraId="33BBA93E" w14:textId="77777777" w:rsidR="00F525B2" w:rsidRDefault="00F525B2" w:rsidP="009B329F">
            <w:pPr>
              <w:pStyle w:val="TAL"/>
            </w:pPr>
            <w:r>
              <w:t>(NOTE 5)</w:t>
            </w:r>
          </w:p>
        </w:tc>
        <w:tc>
          <w:tcPr>
            <w:tcW w:w="1843" w:type="dxa"/>
          </w:tcPr>
          <w:p w14:paraId="4158785B" w14:textId="77777777" w:rsidR="00F525B2" w:rsidRDefault="00F525B2" w:rsidP="009B329F">
            <w:pPr>
              <w:pStyle w:val="TAL"/>
              <w:rPr>
                <w:lang w:eastAsia="zh-CN"/>
              </w:rPr>
            </w:pPr>
            <w:r>
              <w:rPr>
                <w:lang w:eastAsia="zh-CN"/>
              </w:rPr>
              <w:t>RedundantTransmissionExp</w:t>
            </w:r>
          </w:p>
        </w:tc>
      </w:tr>
      <w:tr w:rsidR="00F525B2" w14:paraId="5E9FE44E" w14:textId="77777777" w:rsidTr="009B329F">
        <w:trPr>
          <w:jc w:val="center"/>
        </w:trPr>
        <w:tc>
          <w:tcPr>
            <w:tcW w:w="1531" w:type="dxa"/>
          </w:tcPr>
          <w:p w14:paraId="086E66E7" w14:textId="77777777" w:rsidR="00F525B2" w:rsidRDefault="00F525B2" w:rsidP="009B329F">
            <w:pPr>
              <w:pStyle w:val="TAL"/>
              <w:rPr>
                <w:lang w:eastAsia="zh-CN"/>
              </w:rPr>
            </w:pPr>
            <w:r>
              <w:rPr>
                <w:lang w:eastAsia="zh-CN"/>
              </w:rPr>
              <w:lastRenderedPageBreak/>
              <w:t>wlanInfos</w:t>
            </w:r>
          </w:p>
        </w:tc>
        <w:tc>
          <w:tcPr>
            <w:tcW w:w="1559" w:type="dxa"/>
          </w:tcPr>
          <w:p w14:paraId="0E6E62B2" w14:textId="77777777" w:rsidR="00F525B2" w:rsidRDefault="00F525B2" w:rsidP="009B329F">
            <w:pPr>
              <w:pStyle w:val="TAL"/>
            </w:pPr>
            <w:r>
              <w:t>array(WlanPerformanceInfo)</w:t>
            </w:r>
          </w:p>
        </w:tc>
        <w:tc>
          <w:tcPr>
            <w:tcW w:w="425" w:type="dxa"/>
          </w:tcPr>
          <w:p w14:paraId="3BCCF1AC" w14:textId="77777777" w:rsidR="00F525B2" w:rsidRDefault="00F525B2" w:rsidP="009B329F">
            <w:pPr>
              <w:pStyle w:val="TAC"/>
            </w:pPr>
            <w:r>
              <w:t>C</w:t>
            </w:r>
          </w:p>
        </w:tc>
        <w:tc>
          <w:tcPr>
            <w:tcW w:w="1134" w:type="dxa"/>
          </w:tcPr>
          <w:p w14:paraId="4060375D" w14:textId="77777777" w:rsidR="00F525B2" w:rsidRDefault="00F525B2" w:rsidP="009B329F">
            <w:pPr>
              <w:pStyle w:val="TAL"/>
            </w:pPr>
            <w:r>
              <w:t>1..N</w:t>
            </w:r>
          </w:p>
        </w:tc>
        <w:tc>
          <w:tcPr>
            <w:tcW w:w="2856" w:type="dxa"/>
          </w:tcPr>
          <w:p w14:paraId="4638C97F" w14:textId="77777777" w:rsidR="00F525B2" w:rsidRDefault="00F525B2" w:rsidP="009B329F">
            <w:pPr>
              <w:pStyle w:val="TAL"/>
            </w:pPr>
            <w:r>
              <w:t>The WLAN performance related information.</w:t>
            </w:r>
          </w:p>
          <w:p w14:paraId="0B96D765" w14:textId="77777777" w:rsidR="00F525B2" w:rsidRDefault="00F525B2" w:rsidP="009B329F">
            <w:pPr>
              <w:pStyle w:val="TAL"/>
            </w:pPr>
            <w:r>
              <w:t>When subscribed event is "WLAN_PERFORMANCE", the "wlanInfos" attribute shall be included.</w:t>
            </w:r>
          </w:p>
          <w:p w14:paraId="34D1F165" w14:textId="77777777" w:rsidR="00F525B2" w:rsidRDefault="00F525B2" w:rsidP="009B329F">
            <w:pPr>
              <w:pStyle w:val="TAL"/>
            </w:pPr>
            <w:r>
              <w:t>(NOTE 5)</w:t>
            </w:r>
          </w:p>
        </w:tc>
        <w:tc>
          <w:tcPr>
            <w:tcW w:w="1843" w:type="dxa"/>
          </w:tcPr>
          <w:p w14:paraId="75266FE7" w14:textId="77777777" w:rsidR="00F525B2" w:rsidRDefault="00F525B2" w:rsidP="009B329F">
            <w:pPr>
              <w:pStyle w:val="TAL"/>
              <w:rPr>
                <w:lang w:eastAsia="zh-CN"/>
              </w:rPr>
            </w:pPr>
            <w:r>
              <w:rPr>
                <w:lang w:eastAsia="zh-CN"/>
              </w:rPr>
              <w:t>WlanPerformance</w:t>
            </w:r>
          </w:p>
        </w:tc>
      </w:tr>
      <w:tr w:rsidR="00F525B2" w14:paraId="0024E386" w14:textId="77777777" w:rsidTr="009B329F">
        <w:trPr>
          <w:jc w:val="center"/>
        </w:trPr>
        <w:tc>
          <w:tcPr>
            <w:tcW w:w="1531" w:type="dxa"/>
          </w:tcPr>
          <w:p w14:paraId="37067A0D" w14:textId="77777777" w:rsidR="00F525B2" w:rsidRDefault="00F525B2" w:rsidP="009B329F">
            <w:pPr>
              <w:pStyle w:val="TAL"/>
              <w:rPr>
                <w:lang w:eastAsia="zh-CN"/>
              </w:rPr>
            </w:pPr>
            <w:r>
              <w:rPr>
                <w:rFonts w:hint="eastAsia"/>
                <w:lang w:eastAsia="ko-KR"/>
              </w:rPr>
              <w:t>smcc</w:t>
            </w:r>
            <w:r>
              <w:rPr>
                <w:lang w:eastAsia="ko-KR"/>
              </w:rPr>
              <w:t>Exps</w:t>
            </w:r>
          </w:p>
        </w:tc>
        <w:tc>
          <w:tcPr>
            <w:tcW w:w="1559" w:type="dxa"/>
          </w:tcPr>
          <w:p w14:paraId="0E8505EA" w14:textId="77777777" w:rsidR="00F525B2" w:rsidRDefault="00F525B2" w:rsidP="009B329F">
            <w:pPr>
              <w:pStyle w:val="TAL"/>
            </w:pPr>
            <w:r>
              <w:t>array(SmcceInfo)</w:t>
            </w:r>
          </w:p>
        </w:tc>
        <w:tc>
          <w:tcPr>
            <w:tcW w:w="425" w:type="dxa"/>
          </w:tcPr>
          <w:p w14:paraId="20409689" w14:textId="77777777" w:rsidR="00F525B2" w:rsidRDefault="00F525B2" w:rsidP="009B329F">
            <w:pPr>
              <w:pStyle w:val="TAC"/>
            </w:pPr>
            <w:r>
              <w:t>C</w:t>
            </w:r>
          </w:p>
        </w:tc>
        <w:tc>
          <w:tcPr>
            <w:tcW w:w="1134" w:type="dxa"/>
          </w:tcPr>
          <w:p w14:paraId="68DBC5E8" w14:textId="77777777" w:rsidR="00F525B2" w:rsidRDefault="00F525B2" w:rsidP="009B329F">
            <w:pPr>
              <w:pStyle w:val="TAL"/>
            </w:pPr>
            <w:r>
              <w:t>1..N</w:t>
            </w:r>
          </w:p>
        </w:tc>
        <w:tc>
          <w:tcPr>
            <w:tcW w:w="2856" w:type="dxa"/>
          </w:tcPr>
          <w:p w14:paraId="524441B4" w14:textId="77777777" w:rsidR="00F525B2" w:rsidRDefault="00F525B2" w:rsidP="009B329F">
            <w:pPr>
              <w:pStyle w:val="TAL"/>
              <w:rPr>
                <w:lang w:eastAsia="ko-KR"/>
              </w:rPr>
            </w:pPr>
            <w:r>
              <w:rPr>
                <w:rFonts w:hint="eastAsia"/>
                <w:lang w:eastAsia="ko-KR"/>
              </w:rPr>
              <w:t xml:space="preserve">The Session Management </w:t>
            </w:r>
            <w:r>
              <w:rPr>
                <w:lang w:eastAsia="ko-KR"/>
              </w:rPr>
              <w:t>C</w:t>
            </w:r>
            <w:r>
              <w:rPr>
                <w:rFonts w:hint="eastAsia"/>
                <w:lang w:eastAsia="ko-KR"/>
              </w:rPr>
              <w:t xml:space="preserve">ongestion </w:t>
            </w:r>
            <w:r>
              <w:rPr>
                <w:lang w:eastAsia="ko-KR"/>
              </w:rPr>
              <w:t>C</w:t>
            </w:r>
            <w:r>
              <w:rPr>
                <w:rFonts w:hint="eastAsia"/>
                <w:lang w:eastAsia="ko-KR"/>
              </w:rPr>
              <w:t xml:space="preserve">ontrol </w:t>
            </w:r>
            <w:r>
              <w:rPr>
                <w:lang w:eastAsia="ko-KR"/>
              </w:rPr>
              <w:t>E</w:t>
            </w:r>
            <w:r>
              <w:rPr>
                <w:rFonts w:hint="eastAsia"/>
                <w:lang w:eastAsia="ko-KR"/>
              </w:rPr>
              <w:t>xperience information.</w:t>
            </w:r>
          </w:p>
          <w:p w14:paraId="1F9969DD" w14:textId="77777777" w:rsidR="00F525B2" w:rsidRDefault="00F525B2" w:rsidP="009B329F">
            <w:pPr>
              <w:pStyle w:val="TAL"/>
            </w:pPr>
            <w:r>
              <w:t>Shall be present when the requested event is "</w:t>
            </w:r>
            <w:r>
              <w:rPr>
                <w:rFonts w:hint="eastAsia"/>
                <w:lang w:eastAsia="zh-CN"/>
              </w:rPr>
              <w:t>S</w:t>
            </w:r>
            <w:r>
              <w:rPr>
                <w:lang w:eastAsia="zh-CN"/>
              </w:rPr>
              <w:t>M_</w:t>
            </w:r>
            <w:r>
              <w:t>CONGESTION".</w:t>
            </w:r>
          </w:p>
          <w:p w14:paraId="5B7F0419" w14:textId="77777777" w:rsidR="00F525B2" w:rsidRDefault="00F525B2" w:rsidP="009B329F">
            <w:pPr>
              <w:pStyle w:val="TAL"/>
            </w:pPr>
            <w:r>
              <w:t>(NOTE 5)</w:t>
            </w:r>
          </w:p>
        </w:tc>
        <w:tc>
          <w:tcPr>
            <w:tcW w:w="1843" w:type="dxa"/>
          </w:tcPr>
          <w:p w14:paraId="32CD117E" w14:textId="77777777" w:rsidR="00F525B2" w:rsidRDefault="00F525B2" w:rsidP="009B329F">
            <w:pPr>
              <w:pStyle w:val="TAL"/>
              <w:rPr>
                <w:lang w:eastAsia="zh-CN"/>
              </w:rPr>
            </w:pPr>
            <w:r>
              <w:rPr>
                <w:rFonts w:hint="eastAsia"/>
                <w:lang w:eastAsia="zh-CN"/>
              </w:rPr>
              <w:t>S</w:t>
            </w:r>
            <w:r>
              <w:rPr>
                <w:lang w:eastAsia="zh-CN"/>
              </w:rPr>
              <w:t>MCCE</w:t>
            </w:r>
          </w:p>
        </w:tc>
      </w:tr>
      <w:tr w:rsidR="00F525B2" w14:paraId="63868F11" w14:textId="77777777" w:rsidTr="009B329F">
        <w:trPr>
          <w:jc w:val="center"/>
        </w:trPr>
        <w:tc>
          <w:tcPr>
            <w:tcW w:w="1531" w:type="dxa"/>
          </w:tcPr>
          <w:p w14:paraId="22392981" w14:textId="77777777" w:rsidR="00F525B2" w:rsidRDefault="00F525B2" w:rsidP="009B329F">
            <w:pPr>
              <w:pStyle w:val="TAL"/>
              <w:rPr>
                <w:lang w:eastAsia="ko-KR"/>
              </w:rPr>
            </w:pPr>
            <w:r>
              <w:rPr>
                <w:lang w:eastAsia="zh-CN"/>
              </w:rPr>
              <w:t>pduSesTrafInfos</w:t>
            </w:r>
          </w:p>
        </w:tc>
        <w:tc>
          <w:tcPr>
            <w:tcW w:w="1559" w:type="dxa"/>
          </w:tcPr>
          <w:p w14:paraId="05F9F895" w14:textId="77777777" w:rsidR="00F525B2" w:rsidRDefault="00F525B2" w:rsidP="009B329F">
            <w:pPr>
              <w:pStyle w:val="TAL"/>
            </w:pPr>
            <w:r>
              <w:t>array(PduSesTrafficInfo)</w:t>
            </w:r>
          </w:p>
        </w:tc>
        <w:tc>
          <w:tcPr>
            <w:tcW w:w="425" w:type="dxa"/>
          </w:tcPr>
          <w:p w14:paraId="61C22F43" w14:textId="77777777" w:rsidR="00F525B2" w:rsidRDefault="00F525B2" w:rsidP="009B329F">
            <w:pPr>
              <w:pStyle w:val="TAC"/>
            </w:pPr>
            <w:r>
              <w:t>C</w:t>
            </w:r>
          </w:p>
        </w:tc>
        <w:tc>
          <w:tcPr>
            <w:tcW w:w="1134" w:type="dxa"/>
          </w:tcPr>
          <w:p w14:paraId="719C13F3" w14:textId="77777777" w:rsidR="00F525B2" w:rsidRDefault="00F525B2" w:rsidP="009B329F">
            <w:pPr>
              <w:pStyle w:val="TAL"/>
            </w:pPr>
            <w:r>
              <w:t>1..N</w:t>
            </w:r>
          </w:p>
        </w:tc>
        <w:tc>
          <w:tcPr>
            <w:tcW w:w="2856" w:type="dxa"/>
          </w:tcPr>
          <w:p w14:paraId="0BB63FBA" w14:textId="77777777" w:rsidR="00F525B2" w:rsidRDefault="00F525B2" w:rsidP="009B329F">
            <w:pPr>
              <w:pStyle w:val="TAL"/>
            </w:pPr>
            <w:r>
              <w:t>The PDU Session traffic related information.</w:t>
            </w:r>
          </w:p>
          <w:p w14:paraId="69B76C27" w14:textId="77777777" w:rsidR="00F525B2" w:rsidRDefault="00F525B2" w:rsidP="009B329F">
            <w:pPr>
              <w:pStyle w:val="TAL"/>
            </w:pPr>
            <w:r>
              <w:t>When subscribed event is "PDU_SESSION_TRAFFIC", the "</w:t>
            </w:r>
            <w:r>
              <w:rPr>
                <w:lang w:eastAsia="zh-CN"/>
              </w:rPr>
              <w:t>pduSesTrafInfos</w:t>
            </w:r>
            <w:r>
              <w:t>" attribute shall be included.</w:t>
            </w:r>
          </w:p>
          <w:p w14:paraId="3CBD0D1A" w14:textId="77777777" w:rsidR="00F525B2" w:rsidRDefault="00F525B2" w:rsidP="009B329F">
            <w:pPr>
              <w:pStyle w:val="TAL"/>
            </w:pPr>
            <w:r>
              <w:t>(NOTE 5)</w:t>
            </w:r>
          </w:p>
        </w:tc>
        <w:tc>
          <w:tcPr>
            <w:tcW w:w="1843" w:type="dxa"/>
          </w:tcPr>
          <w:p w14:paraId="3BAC7EBB" w14:textId="77777777" w:rsidR="00F525B2" w:rsidRDefault="00F525B2" w:rsidP="009B329F">
            <w:pPr>
              <w:pStyle w:val="TAL"/>
              <w:rPr>
                <w:lang w:eastAsia="zh-CN"/>
              </w:rPr>
            </w:pPr>
            <w:r>
              <w:rPr>
                <w:lang w:eastAsia="zh-CN"/>
              </w:rPr>
              <w:t>PduSesTraffic</w:t>
            </w:r>
          </w:p>
        </w:tc>
      </w:tr>
      <w:tr w:rsidR="00F525B2" w14:paraId="677A1934" w14:textId="77777777" w:rsidTr="009B329F">
        <w:trPr>
          <w:jc w:val="center"/>
        </w:trPr>
        <w:tc>
          <w:tcPr>
            <w:tcW w:w="1531" w:type="dxa"/>
          </w:tcPr>
          <w:p w14:paraId="3C2B75CA" w14:textId="77777777" w:rsidR="00F525B2" w:rsidRDefault="00F525B2" w:rsidP="009B329F">
            <w:pPr>
              <w:pStyle w:val="TAL"/>
              <w:rPr>
                <w:lang w:eastAsia="zh-CN"/>
              </w:rPr>
            </w:pPr>
            <w:r>
              <w:rPr>
                <w:lang w:eastAsia="zh-CN"/>
              </w:rPr>
              <w:t>accuInfo</w:t>
            </w:r>
          </w:p>
        </w:tc>
        <w:tc>
          <w:tcPr>
            <w:tcW w:w="1559" w:type="dxa"/>
          </w:tcPr>
          <w:p w14:paraId="6A528E76" w14:textId="77777777" w:rsidR="00F525B2" w:rsidRDefault="00F525B2" w:rsidP="009B329F">
            <w:pPr>
              <w:pStyle w:val="TAL"/>
            </w:pPr>
            <w:r>
              <w:t>AccuracyInfo</w:t>
            </w:r>
          </w:p>
        </w:tc>
        <w:tc>
          <w:tcPr>
            <w:tcW w:w="425" w:type="dxa"/>
          </w:tcPr>
          <w:p w14:paraId="7C303B07" w14:textId="77777777" w:rsidR="00F525B2" w:rsidRDefault="00F525B2" w:rsidP="009B329F">
            <w:pPr>
              <w:pStyle w:val="TAC"/>
            </w:pPr>
            <w:r>
              <w:rPr>
                <w:lang w:eastAsia="zh-CN"/>
              </w:rPr>
              <w:t>C</w:t>
            </w:r>
          </w:p>
        </w:tc>
        <w:tc>
          <w:tcPr>
            <w:tcW w:w="1134" w:type="dxa"/>
          </w:tcPr>
          <w:p w14:paraId="6155668A" w14:textId="77777777" w:rsidR="00F525B2" w:rsidRDefault="00F525B2" w:rsidP="009B329F">
            <w:pPr>
              <w:pStyle w:val="TAL"/>
            </w:pPr>
            <w:r>
              <w:t>0..1</w:t>
            </w:r>
          </w:p>
        </w:tc>
        <w:tc>
          <w:tcPr>
            <w:tcW w:w="2856" w:type="dxa"/>
          </w:tcPr>
          <w:p w14:paraId="244BA4A9" w14:textId="77777777" w:rsidR="00F525B2" w:rsidRDefault="00F525B2" w:rsidP="009B329F">
            <w:pPr>
              <w:pStyle w:val="TAL"/>
            </w:pPr>
            <w:r>
              <w:rPr>
                <w:lang w:eastAsia="zh-CN"/>
              </w:rPr>
              <w:t xml:space="preserve">The </w:t>
            </w:r>
            <w:r>
              <w:t>analytics accuracy information.</w:t>
            </w:r>
          </w:p>
          <w:p w14:paraId="04F8A9C9" w14:textId="77777777" w:rsidR="00F525B2" w:rsidRDefault="00F525B2" w:rsidP="009B329F">
            <w:pPr>
              <w:pStyle w:val="TAL"/>
            </w:pPr>
            <w:r>
              <w:t>Shall be provided if the analytics accuracy requirement was subscribed in the "accuReq" attribute and the "cancelAccuInd" attribute is set to "false" or omitted.</w:t>
            </w:r>
          </w:p>
        </w:tc>
        <w:tc>
          <w:tcPr>
            <w:tcW w:w="1843" w:type="dxa"/>
          </w:tcPr>
          <w:p w14:paraId="529634F2" w14:textId="77777777" w:rsidR="00F525B2" w:rsidRDefault="00F525B2" w:rsidP="009B329F">
            <w:pPr>
              <w:pStyle w:val="TAL"/>
              <w:rPr>
                <w:lang w:eastAsia="zh-CN"/>
              </w:rPr>
            </w:pPr>
            <w:r>
              <w:rPr>
                <w:lang w:eastAsia="zh-CN"/>
              </w:rPr>
              <w:t>AnalyticsAccuracy</w:t>
            </w:r>
          </w:p>
        </w:tc>
      </w:tr>
      <w:tr w:rsidR="00F525B2" w14:paraId="4C1682D0"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5225D24E" w14:textId="77777777" w:rsidR="00F525B2" w:rsidRDefault="00F525B2" w:rsidP="009B329F">
            <w:pPr>
              <w:pStyle w:val="TAL"/>
              <w:rPr>
                <w:lang w:eastAsia="zh-CN"/>
              </w:rPr>
            </w:pPr>
            <w:r>
              <w:rPr>
                <w:lang w:eastAsia="zh-CN"/>
              </w:rPr>
              <w:t>cancelAccuInd</w:t>
            </w:r>
          </w:p>
        </w:tc>
        <w:tc>
          <w:tcPr>
            <w:tcW w:w="1559" w:type="dxa"/>
            <w:tcBorders>
              <w:top w:val="single" w:sz="6" w:space="0" w:color="auto"/>
              <w:left w:val="single" w:sz="6" w:space="0" w:color="auto"/>
              <w:bottom w:val="single" w:sz="6" w:space="0" w:color="auto"/>
              <w:right w:val="single" w:sz="6" w:space="0" w:color="auto"/>
            </w:tcBorders>
          </w:tcPr>
          <w:p w14:paraId="1001E231" w14:textId="77777777" w:rsidR="00F525B2" w:rsidRDefault="00F525B2" w:rsidP="009B329F">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34F1BD6" w14:textId="77777777" w:rsidR="00F525B2" w:rsidRDefault="00F525B2" w:rsidP="009B329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CEBB6C2"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79CF1E65" w14:textId="77777777" w:rsidR="00F525B2" w:rsidRDefault="00F525B2" w:rsidP="009B329F">
            <w:pPr>
              <w:pStyle w:val="TAL"/>
              <w:rPr>
                <w:lang w:eastAsia="zh-CN"/>
              </w:rPr>
            </w:pPr>
            <w:r>
              <w:rPr>
                <w:lang w:eastAsia="zh-CN"/>
              </w:rPr>
              <w:t>Indicates cancelled subscription of the analytics accuracy information.</w:t>
            </w:r>
          </w:p>
          <w:p w14:paraId="19CDF484" w14:textId="77777777" w:rsidR="00F525B2" w:rsidRDefault="00F525B2" w:rsidP="009B329F">
            <w:pPr>
              <w:pStyle w:val="TAL"/>
              <w:rPr>
                <w:lang w:eastAsia="zh-CN"/>
              </w:rPr>
            </w:pPr>
            <w:r>
              <w:rPr>
                <w:lang w:eastAsia="zh-CN"/>
              </w:rPr>
              <w:t>Set to "true" indicates the NWDAF cancelled subscription of analytics accuracy information as the NWDAF does not support the accuracy checking capability.</w:t>
            </w:r>
          </w:p>
          <w:p w14:paraId="0D2A2E1E" w14:textId="77777777" w:rsidR="00F525B2" w:rsidRDefault="00F525B2" w:rsidP="009B329F">
            <w:pPr>
              <w:pStyle w:val="TAL"/>
              <w:rPr>
                <w:lang w:eastAsia="zh-CN"/>
              </w:rPr>
            </w:pPr>
            <w:r w:rsidRPr="005C3539">
              <w:rPr>
                <w:lang w:eastAsia="zh-CN"/>
              </w:rPr>
              <w:t>Otherwise set to "false". Default value is "false" if omitted.</w:t>
            </w:r>
          </w:p>
        </w:tc>
        <w:tc>
          <w:tcPr>
            <w:tcW w:w="1843" w:type="dxa"/>
            <w:tcBorders>
              <w:top w:val="single" w:sz="6" w:space="0" w:color="auto"/>
              <w:left w:val="single" w:sz="6" w:space="0" w:color="auto"/>
              <w:bottom w:val="single" w:sz="6" w:space="0" w:color="auto"/>
              <w:right w:val="single" w:sz="6" w:space="0" w:color="auto"/>
            </w:tcBorders>
          </w:tcPr>
          <w:p w14:paraId="2637F749" w14:textId="77777777" w:rsidR="00F525B2" w:rsidRDefault="00F525B2" w:rsidP="009B329F">
            <w:pPr>
              <w:pStyle w:val="TAL"/>
              <w:rPr>
                <w:lang w:eastAsia="zh-CN"/>
              </w:rPr>
            </w:pPr>
            <w:r>
              <w:rPr>
                <w:lang w:eastAsia="zh-CN"/>
              </w:rPr>
              <w:t>AnalyticsAccuracy</w:t>
            </w:r>
          </w:p>
        </w:tc>
      </w:tr>
      <w:tr w:rsidR="00F525B2" w14:paraId="2D0EEA83"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16A5307E" w14:textId="77777777" w:rsidR="00F525B2" w:rsidRDefault="00F525B2" w:rsidP="009B329F">
            <w:pPr>
              <w:pStyle w:val="TAL"/>
              <w:rPr>
                <w:lang w:eastAsia="zh-CN"/>
              </w:rPr>
            </w:pPr>
            <w:r>
              <w:rPr>
                <w:lang w:eastAsia="zh-CN"/>
              </w:rPr>
              <w:t>pauseInd</w:t>
            </w:r>
          </w:p>
        </w:tc>
        <w:tc>
          <w:tcPr>
            <w:tcW w:w="1559" w:type="dxa"/>
            <w:tcBorders>
              <w:top w:val="single" w:sz="6" w:space="0" w:color="auto"/>
              <w:left w:val="single" w:sz="6" w:space="0" w:color="auto"/>
              <w:bottom w:val="single" w:sz="6" w:space="0" w:color="auto"/>
              <w:right w:val="single" w:sz="6" w:space="0" w:color="auto"/>
            </w:tcBorders>
          </w:tcPr>
          <w:p w14:paraId="5A421DD3" w14:textId="77777777" w:rsidR="00F525B2" w:rsidRDefault="00F525B2" w:rsidP="009B329F">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7F0F81" w14:textId="77777777" w:rsidR="00F525B2" w:rsidRDefault="00F525B2" w:rsidP="009B329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6829842"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3B18185C" w14:textId="77777777" w:rsidR="00F525B2" w:rsidRDefault="00F525B2" w:rsidP="009B329F">
            <w:pPr>
              <w:pStyle w:val="TAL"/>
              <w:rPr>
                <w:lang w:eastAsia="zh-CN"/>
              </w:rPr>
            </w:pPr>
            <w:r>
              <w:rPr>
                <w:lang w:eastAsia="zh-CN"/>
              </w:rPr>
              <w:t>Pause analytics consumption indication</w:t>
            </w:r>
            <w:r w:rsidRPr="005C3539">
              <w:rPr>
                <w:lang w:eastAsia="zh-CN"/>
              </w:rPr>
              <w:t xml:space="preserve"> </w:t>
            </w:r>
            <w:r>
              <w:rPr>
                <w:lang w:eastAsia="zh-CN"/>
              </w:rPr>
              <w:t xml:space="preserve">applicable on analytics ID level. Set to </w:t>
            </w:r>
            <w:r w:rsidRPr="005C3539">
              <w:rPr>
                <w:lang w:eastAsia="zh-CN"/>
              </w:rPr>
              <w:t>"</w:t>
            </w:r>
            <w:r>
              <w:rPr>
                <w:lang w:eastAsia="zh-CN"/>
              </w:rPr>
              <w:t>true</w:t>
            </w:r>
            <w:r w:rsidRPr="005C3539">
              <w:rPr>
                <w:lang w:eastAsia="zh-CN"/>
              </w:rPr>
              <w:t>"</w:t>
            </w:r>
            <w:r>
              <w:rPr>
                <w:lang w:eastAsia="zh-CN"/>
              </w:rPr>
              <w:t xml:space="preserve"> to indicate the consumer to stop the consumption of the analytics because the accuracy level needs to be increased.</w:t>
            </w:r>
          </w:p>
          <w:p w14:paraId="266B48FB" w14:textId="77777777" w:rsidR="00F525B2" w:rsidRDefault="00F525B2" w:rsidP="009B329F">
            <w:pPr>
              <w:pStyle w:val="TAL"/>
              <w:rPr>
                <w:lang w:eastAsia="zh-CN"/>
              </w:rPr>
            </w:pPr>
          </w:p>
          <w:p w14:paraId="7CDB8A90" w14:textId="77777777" w:rsidR="00F525B2" w:rsidRDefault="00F525B2" w:rsidP="009B329F">
            <w:pPr>
              <w:pStyle w:val="TAL"/>
              <w:rPr>
                <w:lang w:eastAsia="zh-CN"/>
              </w:rPr>
            </w:pPr>
            <w:r>
              <w:rPr>
                <w:lang w:eastAsia="zh-CN"/>
              </w:rPr>
              <w:t xml:space="preserve">Default value is </w:t>
            </w:r>
            <w:r w:rsidRPr="005C3539">
              <w:rPr>
                <w:lang w:eastAsia="zh-CN"/>
              </w:rPr>
              <w:t>"</w:t>
            </w:r>
            <w:r>
              <w:rPr>
                <w:lang w:eastAsia="zh-CN"/>
              </w:rPr>
              <w:t>false</w:t>
            </w:r>
            <w:r w:rsidRPr="005C3539">
              <w:rPr>
                <w:lang w:eastAsia="zh-CN"/>
              </w:rPr>
              <w:t>"</w:t>
            </w:r>
            <w:r>
              <w:rPr>
                <w:lang w:eastAsia="zh-CN"/>
              </w:rPr>
              <w:t xml:space="preserve"> if omitted.</w:t>
            </w:r>
          </w:p>
        </w:tc>
        <w:tc>
          <w:tcPr>
            <w:tcW w:w="1843" w:type="dxa"/>
            <w:tcBorders>
              <w:top w:val="single" w:sz="6" w:space="0" w:color="auto"/>
              <w:left w:val="single" w:sz="6" w:space="0" w:color="auto"/>
              <w:bottom w:val="single" w:sz="6" w:space="0" w:color="auto"/>
              <w:right w:val="single" w:sz="6" w:space="0" w:color="auto"/>
            </w:tcBorders>
          </w:tcPr>
          <w:p w14:paraId="0D5FBE29" w14:textId="77777777" w:rsidR="00F525B2" w:rsidRDefault="00F525B2" w:rsidP="009B329F">
            <w:pPr>
              <w:pStyle w:val="TAL"/>
              <w:rPr>
                <w:lang w:eastAsia="zh-CN"/>
              </w:rPr>
            </w:pPr>
            <w:r>
              <w:rPr>
                <w:lang w:eastAsia="zh-CN"/>
              </w:rPr>
              <w:t>AnalyticsAccuracy</w:t>
            </w:r>
          </w:p>
        </w:tc>
      </w:tr>
      <w:tr w:rsidR="00F525B2" w14:paraId="2FD5B615"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0475F3C" w14:textId="77777777" w:rsidR="00F525B2" w:rsidRDefault="00F525B2" w:rsidP="009B329F">
            <w:pPr>
              <w:pStyle w:val="TAL"/>
              <w:rPr>
                <w:lang w:eastAsia="zh-CN"/>
              </w:rPr>
            </w:pPr>
            <w:r>
              <w:rPr>
                <w:lang w:eastAsia="zh-CN"/>
              </w:rPr>
              <w:t>resumeInd</w:t>
            </w:r>
          </w:p>
        </w:tc>
        <w:tc>
          <w:tcPr>
            <w:tcW w:w="1559" w:type="dxa"/>
            <w:tcBorders>
              <w:top w:val="single" w:sz="6" w:space="0" w:color="auto"/>
              <w:left w:val="single" w:sz="6" w:space="0" w:color="auto"/>
              <w:bottom w:val="single" w:sz="6" w:space="0" w:color="auto"/>
              <w:right w:val="single" w:sz="6" w:space="0" w:color="auto"/>
            </w:tcBorders>
          </w:tcPr>
          <w:p w14:paraId="3D1D4AC0" w14:textId="77777777" w:rsidR="00F525B2" w:rsidRDefault="00F525B2" w:rsidP="009B329F">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27C98C4E" w14:textId="77777777" w:rsidR="00F525B2" w:rsidRDefault="00F525B2" w:rsidP="009B329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A185D08" w14:textId="77777777" w:rsidR="00F525B2" w:rsidRDefault="00F525B2" w:rsidP="009B329F">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13B5EDCD" w14:textId="77777777" w:rsidR="00F525B2" w:rsidRDefault="00F525B2" w:rsidP="009B329F">
            <w:pPr>
              <w:pStyle w:val="TAL"/>
              <w:rPr>
                <w:lang w:eastAsia="zh-CN"/>
              </w:rPr>
            </w:pPr>
            <w:r>
              <w:rPr>
                <w:lang w:eastAsia="zh-CN"/>
              </w:rPr>
              <w:t>Resume analytics consumption indication</w:t>
            </w:r>
            <w:r w:rsidRPr="005C3539">
              <w:rPr>
                <w:lang w:eastAsia="zh-CN"/>
              </w:rPr>
              <w:t xml:space="preserve"> </w:t>
            </w:r>
            <w:r>
              <w:rPr>
                <w:lang w:eastAsia="zh-CN"/>
              </w:rPr>
              <w:t xml:space="preserve">applicable on analytics ID level. Set to </w:t>
            </w:r>
            <w:r w:rsidRPr="005C3539">
              <w:rPr>
                <w:lang w:eastAsia="zh-CN"/>
              </w:rPr>
              <w:t>"</w:t>
            </w:r>
            <w:r>
              <w:rPr>
                <w:lang w:eastAsia="zh-CN"/>
              </w:rPr>
              <w:t>true</w:t>
            </w:r>
            <w:r w:rsidRPr="005C3539">
              <w:rPr>
                <w:lang w:eastAsia="zh-CN"/>
              </w:rPr>
              <w:t>"</w:t>
            </w:r>
            <w:r>
              <w:rPr>
                <w:lang w:eastAsia="zh-CN"/>
              </w:rPr>
              <w:t xml:space="preserve"> to indicate the consumer to resume the consumption of the analytics because the accuracy has been improved.</w:t>
            </w:r>
          </w:p>
          <w:p w14:paraId="4570888C" w14:textId="77777777" w:rsidR="00F525B2" w:rsidRDefault="00F525B2" w:rsidP="009B329F">
            <w:pPr>
              <w:pStyle w:val="TAL"/>
              <w:rPr>
                <w:lang w:eastAsia="zh-CN"/>
              </w:rPr>
            </w:pPr>
          </w:p>
          <w:p w14:paraId="093329BF" w14:textId="77777777" w:rsidR="00F525B2" w:rsidRDefault="00F525B2" w:rsidP="009B329F">
            <w:pPr>
              <w:pStyle w:val="TAL"/>
              <w:rPr>
                <w:lang w:eastAsia="zh-CN"/>
              </w:rPr>
            </w:pPr>
            <w:r>
              <w:rPr>
                <w:lang w:eastAsia="zh-CN"/>
              </w:rPr>
              <w:t xml:space="preserve">Default value is </w:t>
            </w:r>
            <w:r w:rsidRPr="005C3539">
              <w:rPr>
                <w:lang w:eastAsia="zh-CN"/>
              </w:rPr>
              <w:t>"</w:t>
            </w:r>
            <w:r>
              <w:rPr>
                <w:lang w:eastAsia="zh-CN"/>
              </w:rPr>
              <w:t>false</w:t>
            </w:r>
            <w:r w:rsidRPr="005C3539">
              <w:rPr>
                <w:lang w:eastAsia="zh-CN"/>
              </w:rPr>
              <w:t>"</w:t>
            </w:r>
            <w:r>
              <w:rPr>
                <w:lang w:eastAsia="zh-CN"/>
              </w:rPr>
              <w:t xml:space="preserve"> if omitted.</w:t>
            </w:r>
          </w:p>
        </w:tc>
        <w:tc>
          <w:tcPr>
            <w:tcW w:w="1843" w:type="dxa"/>
            <w:tcBorders>
              <w:top w:val="single" w:sz="6" w:space="0" w:color="auto"/>
              <w:left w:val="single" w:sz="6" w:space="0" w:color="auto"/>
              <w:bottom w:val="single" w:sz="6" w:space="0" w:color="auto"/>
              <w:right w:val="single" w:sz="6" w:space="0" w:color="auto"/>
            </w:tcBorders>
          </w:tcPr>
          <w:p w14:paraId="0AD5316C" w14:textId="77777777" w:rsidR="00F525B2" w:rsidRDefault="00F525B2" w:rsidP="009B329F">
            <w:pPr>
              <w:pStyle w:val="TAL"/>
              <w:rPr>
                <w:lang w:eastAsia="zh-CN"/>
              </w:rPr>
            </w:pPr>
            <w:r>
              <w:rPr>
                <w:lang w:eastAsia="zh-CN"/>
              </w:rPr>
              <w:t>AnalyticsAccuracy</w:t>
            </w:r>
          </w:p>
        </w:tc>
      </w:tr>
      <w:tr w:rsidR="00F525B2" w14:paraId="757C57DB"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4B6FFCC" w14:textId="77777777" w:rsidR="00F525B2" w:rsidRDefault="00F525B2" w:rsidP="009B329F">
            <w:pPr>
              <w:pStyle w:val="TAL"/>
              <w:rPr>
                <w:lang w:eastAsia="zh-CN"/>
              </w:rPr>
            </w:pPr>
            <w:bookmarkStart w:id="5725" w:name="_Hlk138711559"/>
            <w:r>
              <w:rPr>
                <w:lang w:eastAsia="zh-CN"/>
              </w:rPr>
              <w:t>movBehavInfos</w:t>
            </w:r>
            <w:bookmarkEnd w:id="5725"/>
          </w:p>
        </w:tc>
        <w:tc>
          <w:tcPr>
            <w:tcW w:w="1559" w:type="dxa"/>
            <w:tcBorders>
              <w:top w:val="single" w:sz="6" w:space="0" w:color="auto"/>
              <w:left w:val="single" w:sz="6" w:space="0" w:color="auto"/>
              <w:bottom w:val="single" w:sz="6" w:space="0" w:color="auto"/>
              <w:right w:val="single" w:sz="6" w:space="0" w:color="auto"/>
            </w:tcBorders>
          </w:tcPr>
          <w:p w14:paraId="6B80097A" w14:textId="77777777" w:rsidR="00F525B2" w:rsidRDefault="00F525B2" w:rsidP="009B329F">
            <w:pPr>
              <w:pStyle w:val="TAL"/>
            </w:pPr>
            <w:r>
              <w:t>array(</w:t>
            </w:r>
            <w:bookmarkStart w:id="5726" w:name="_Hlk138711575"/>
            <w:r>
              <w:t>MovBehavInfo</w:t>
            </w:r>
            <w:bookmarkEnd w:id="5726"/>
            <w:r>
              <w:t>)</w:t>
            </w:r>
          </w:p>
        </w:tc>
        <w:tc>
          <w:tcPr>
            <w:tcW w:w="425" w:type="dxa"/>
            <w:tcBorders>
              <w:top w:val="single" w:sz="6" w:space="0" w:color="auto"/>
              <w:left w:val="single" w:sz="6" w:space="0" w:color="auto"/>
              <w:bottom w:val="single" w:sz="6" w:space="0" w:color="auto"/>
              <w:right w:val="single" w:sz="6" w:space="0" w:color="auto"/>
            </w:tcBorders>
          </w:tcPr>
          <w:p w14:paraId="29F87B64"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CA27EB9"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0E45F6A" w14:textId="77777777" w:rsidR="00F525B2" w:rsidRDefault="00F525B2" w:rsidP="009B329F">
            <w:pPr>
              <w:pStyle w:val="TAL"/>
              <w:rPr>
                <w:lang w:eastAsia="zh-CN"/>
              </w:rPr>
            </w:pPr>
            <w:r>
              <w:rPr>
                <w:lang w:eastAsia="zh-CN"/>
              </w:rPr>
              <w:t>The Movement Behaviour information.</w:t>
            </w:r>
          </w:p>
          <w:p w14:paraId="142D480B" w14:textId="77777777" w:rsidR="00F525B2" w:rsidRDefault="00F525B2" w:rsidP="009B329F">
            <w:pPr>
              <w:pStyle w:val="TAL"/>
              <w:rPr>
                <w:lang w:eastAsia="zh-CN"/>
              </w:rPr>
            </w:pPr>
            <w:r>
              <w:rPr>
                <w:lang w:eastAsia="zh-CN"/>
              </w:rPr>
              <w:t>When subscribed event is "MOVEMENT_BEHAVIOUR", the "movBehavInfos" attribute shall be included.</w:t>
            </w:r>
          </w:p>
          <w:p w14:paraId="28317C01" w14:textId="77777777" w:rsidR="00F525B2" w:rsidRDefault="00F525B2" w:rsidP="009B329F">
            <w:pPr>
              <w:pStyle w:val="TAL"/>
              <w:rPr>
                <w:lang w:eastAsia="zh-CN"/>
              </w:rPr>
            </w:pPr>
            <w:r>
              <w:rPr>
                <w:lang w:eastAsia="zh-CN"/>
              </w:rPr>
              <w:t>(NOTE 5)</w:t>
            </w:r>
          </w:p>
        </w:tc>
        <w:tc>
          <w:tcPr>
            <w:tcW w:w="1843" w:type="dxa"/>
            <w:tcBorders>
              <w:top w:val="single" w:sz="6" w:space="0" w:color="auto"/>
              <w:left w:val="single" w:sz="6" w:space="0" w:color="auto"/>
              <w:bottom w:val="single" w:sz="6" w:space="0" w:color="auto"/>
              <w:right w:val="single" w:sz="6" w:space="0" w:color="auto"/>
            </w:tcBorders>
          </w:tcPr>
          <w:p w14:paraId="0D6EFA13" w14:textId="77777777" w:rsidR="00F525B2" w:rsidRDefault="00F525B2" w:rsidP="009B329F">
            <w:pPr>
              <w:pStyle w:val="TAL"/>
              <w:rPr>
                <w:lang w:eastAsia="zh-CN"/>
              </w:rPr>
            </w:pPr>
            <w:r>
              <w:rPr>
                <w:lang w:eastAsia="zh-CN"/>
              </w:rPr>
              <w:t>MovementBehaviour</w:t>
            </w:r>
          </w:p>
        </w:tc>
      </w:tr>
      <w:tr w:rsidR="00F525B2" w14:paraId="63AE5FD9"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E436C29" w14:textId="77777777" w:rsidR="00F525B2" w:rsidRDefault="00F525B2" w:rsidP="009B329F">
            <w:pPr>
              <w:pStyle w:val="TAL"/>
              <w:rPr>
                <w:lang w:eastAsia="zh-CN"/>
              </w:rPr>
            </w:pPr>
            <w:r>
              <w:rPr>
                <w:lang w:eastAsia="zh-CN"/>
              </w:rPr>
              <w:lastRenderedPageBreak/>
              <w:t>relProxInfos</w:t>
            </w:r>
          </w:p>
        </w:tc>
        <w:tc>
          <w:tcPr>
            <w:tcW w:w="1559" w:type="dxa"/>
            <w:tcBorders>
              <w:top w:val="single" w:sz="6" w:space="0" w:color="auto"/>
              <w:left w:val="single" w:sz="6" w:space="0" w:color="auto"/>
              <w:bottom w:val="single" w:sz="6" w:space="0" w:color="auto"/>
              <w:right w:val="single" w:sz="6" w:space="0" w:color="auto"/>
            </w:tcBorders>
          </w:tcPr>
          <w:p w14:paraId="3B99479F" w14:textId="77777777" w:rsidR="00F525B2" w:rsidRDefault="00F525B2" w:rsidP="009B329F">
            <w:pPr>
              <w:pStyle w:val="TAL"/>
            </w:pPr>
            <w:r>
              <w:t>array(RelProxInfo)</w:t>
            </w:r>
          </w:p>
        </w:tc>
        <w:tc>
          <w:tcPr>
            <w:tcW w:w="425" w:type="dxa"/>
            <w:tcBorders>
              <w:top w:val="single" w:sz="6" w:space="0" w:color="auto"/>
              <w:left w:val="single" w:sz="6" w:space="0" w:color="auto"/>
              <w:bottom w:val="single" w:sz="6" w:space="0" w:color="auto"/>
              <w:right w:val="single" w:sz="6" w:space="0" w:color="auto"/>
            </w:tcBorders>
          </w:tcPr>
          <w:p w14:paraId="025D79BB"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7139BAD"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26482427" w14:textId="77777777" w:rsidR="00F525B2" w:rsidRDefault="00F525B2" w:rsidP="009B329F">
            <w:pPr>
              <w:pStyle w:val="TAL"/>
              <w:rPr>
                <w:lang w:eastAsia="zh-CN"/>
              </w:rPr>
            </w:pPr>
            <w:r>
              <w:rPr>
                <w:lang w:eastAsia="zh-CN"/>
              </w:rPr>
              <w:t>The Relative Proximity information.</w:t>
            </w:r>
          </w:p>
          <w:p w14:paraId="389FB0A7" w14:textId="77777777" w:rsidR="00F525B2" w:rsidRDefault="00F525B2" w:rsidP="009B329F">
            <w:pPr>
              <w:pStyle w:val="TAL"/>
              <w:rPr>
                <w:lang w:eastAsia="zh-CN"/>
              </w:rPr>
            </w:pPr>
            <w:r>
              <w:rPr>
                <w:lang w:eastAsia="zh-CN"/>
              </w:rPr>
              <w:t>When subscribed event is "RELATIVE_PROXIMITY", the "relProxInfos" attribute shall be included.</w:t>
            </w:r>
          </w:p>
          <w:p w14:paraId="6148D141" w14:textId="77777777" w:rsidR="00F525B2" w:rsidRDefault="00F525B2" w:rsidP="009B329F">
            <w:pPr>
              <w:pStyle w:val="TAL"/>
              <w:rPr>
                <w:lang w:eastAsia="zh-CN"/>
              </w:rPr>
            </w:pPr>
            <w:r>
              <w:rPr>
                <w:lang w:eastAsia="zh-CN"/>
              </w:rPr>
              <w:t>(NOTE 5)</w:t>
            </w:r>
          </w:p>
        </w:tc>
        <w:tc>
          <w:tcPr>
            <w:tcW w:w="1843" w:type="dxa"/>
            <w:tcBorders>
              <w:top w:val="single" w:sz="6" w:space="0" w:color="auto"/>
              <w:left w:val="single" w:sz="6" w:space="0" w:color="auto"/>
              <w:bottom w:val="single" w:sz="6" w:space="0" w:color="auto"/>
              <w:right w:val="single" w:sz="6" w:space="0" w:color="auto"/>
            </w:tcBorders>
          </w:tcPr>
          <w:p w14:paraId="41909B9B" w14:textId="77777777" w:rsidR="00F525B2" w:rsidRDefault="00F525B2" w:rsidP="009B329F">
            <w:pPr>
              <w:pStyle w:val="TAL"/>
              <w:rPr>
                <w:lang w:eastAsia="zh-CN"/>
              </w:rPr>
            </w:pPr>
            <w:r>
              <w:rPr>
                <w:lang w:eastAsia="zh-CN"/>
              </w:rPr>
              <w:t>RelativeProximity</w:t>
            </w:r>
          </w:p>
        </w:tc>
      </w:tr>
      <w:tr w:rsidR="00F525B2" w14:paraId="571F00AE"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3A0002B" w14:textId="77777777" w:rsidR="00F525B2" w:rsidRDefault="00F525B2" w:rsidP="009B329F">
            <w:pPr>
              <w:pStyle w:val="TAL"/>
              <w:rPr>
                <w:lang w:eastAsia="zh-CN"/>
              </w:rPr>
            </w:pPr>
            <w:r>
              <w:rPr>
                <w:lang w:eastAsia="zh-CN"/>
              </w:rPr>
              <w:t>locAccInfos</w:t>
            </w:r>
          </w:p>
        </w:tc>
        <w:tc>
          <w:tcPr>
            <w:tcW w:w="1559" w:type="dxa"/>
            <w:tcBorders>
              <w:top w:val="single" w:sz="6" w:space="0" w:color="auto"/>
              <w:left w:val="single" w:sz="6" w:space="0" w:color="auto"/>
              <w:bottom w:val="single" w:sz="6" w:space="0" w:color="auto"/>
              <w:right w:val="single" w:sz="6" w:space="0" w:color="auto"/>
            </w:tcBorders>
          </w:tcPr>
          <w:p w14:paraId="1C334086" w14:textId="77777777" w:rsidR="00F525B2" w:rsidRDefault="00F525B2" w:rsidP="009B329F">
            <w:pPr>
              <w:pStyle w:val="TAL"/>
            </w:pPr>
            <w:r>
              <w:t>array(LocAccuracyInfo)</w:t>
            </w:r>
          </w:p>
        </w:tc>
        <w:tc>
          <w:tcPr>
            <w:tcW w:w="425" w:type="dxa"/>
            <w:tcBorders>
              <w:top w:val="single" w:sz="6" w:space="0" w:color="auto"/>
              <w:left w:val="single" w:sz="6" w:space="0" w:color="auto"/>
              <w:bottom w:val="single" w:sz="6" w:space="0" w:color="auto"/>
              <w:right w:val="single" w:sz="6" w:space="0" w:color="auto"/>
            </w:tcBorders>
          </w:tcPr>
          <w:p w14:paraId="753F126B"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FB2867D"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EDE2760" w14:textId="77777777" w:rsidR="00F525B2" w:rsidRDefault="00F525B2" w:rsidP="009B329F">
            <w:pPr>
              <w:pStyle w:val="TAL"/>
              <w:rPr>
                <w:lang w:eastAsia="zh-CN"/>
              </w:rPr>
            </w:pPr>
            <w:r>
              <w:rPr>
                <w:lang w:eastAsia="zh-CN"/>
              </w:rPr>
              <w:t>The Location Accuracy related information.</w:t>
            </w:r>
          </w:p>
          <w:p w14:paraId="3B997008" w14:textId="77777777" w:rsidR="00F525B2" w:rsidRDefault="00F525B2" w:rsidP="009B329F">
            <w:pPr>
              <w:pStyle w:val="TAL"/>
              <w:rPr>
                <w:lang w:eastAsia="zh-CN"/>
              </w:rPr>
            </w:pPr>
            <w:r>
              <w:rPr>
                <w:lang w:eastAsia="zh-CN"/>
              </w:rPr>
              <w:t>It shall be present when the subscribed event is "LOC_ACCURACY".</w:t>
            </w:r>
          </w:p>
          <w:p w14:paraId="086BBACD" w14:textId="77777777" w:rsidR="00F525B2" w:rsidRDefault="00F525B2" w:rsidP="009B329F">
            <w:pPr>
              <w:pStyle w:val="TAL"/>
              <w:rPr>
                <w:lang w:eastAsia="zh-CN"/>
              </w:rPr>
            </w:pPr>
            <w:r>
              <w:rPr>
                <w:lang w:eastAsia="zh-CN"/>
              </w:rPr>
              <w:t>(NOTE 5)</w:t>
            </w:r>
          </w:p>
        </w:tc>
        <w:tc>
          <w:tcPr>
            <w:tcW w:w="1843" w:type="dxa"/>
            <w:tcBorders>
              <w:top w:val="single" w:sz="6" w:space="0" w:color="auto"/>
              <w:left w:val="single" w:sz="6" w:space="0" w:color="auto"/>
              <w:bottom w:val="single" w:sz="6" w:space="0" w:color="auto"/>
              <w:right w:val="single" w:sz="6" w:space="0" w:color="auto"/>
            </w:tcBorders>
          </w:tcPr>
          <w:p w14:paraId="27EA006C" w14:textId="77777777" w:rsidR="00F525B2" w:rsidRDefault="00F525B2" w:rsidP="009B329F">
            <w:pPr>
              <w:pStyle w:val="TAL"/>
              <w:rPr>
                <w:lang w:eastAsia="zh-CN"/>
              </w:rPr>
            </w:pPr>
            <w:r>
              <w:rPr>
                <w:lang w:eastAsia="zh-CN"/>
              </w:rPr>
              <w:t>LocAccuracy</w:t>
            </w:r>
          </w:p>
        </w:tc>
      </w:tr>
      <w:tr w:rsidR="00F525B2" w14:paraId="50ED2193"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5B69FE0F" w14:textId="77777777" w:rsidR="00F525B2" w:rsidRDefault="00F525B2" w:rsidP="009B329F">
            <w:pPr>
              <w:pStyle w:val="TAL"/>
              <w:rPr>
                <w:lang w:eastAsia="zh-CN"/>
              </w:rPr>
            </w:pPr>
            <w:r>
              <w:rPr>
                <w:lang w:eastAsia="zh-CN"/>
              </w:rPr>
              <w:t>signalStormInfos</w:t>
            </w:r>
          </w:p>
        </w:tc>
        <w:tc>
          <w:tcPr>
            <w:tcW w:w="1559" w:type="dxa"/>
            <w:tcBorders>
              <w:top w:val="single" w:sz="6" w:space="0" w:color="auto"/>
              <w:left w:val="single" w:sz="6" w:space="0" w:color="auto"/>
              <w:bottom w:val="single" w:sz="6" w:space="0" w:color="auto"/>
              <w:right w:val="single" w:sz="6" w:space="0" w:color="auto"/>
            </w:tcBorders>
          </w:tcPr>
          <w:p w14:paraId="0C44600A" w14:textId="77777777" w:rsidR="00F525B2" w:rsidRDefault="00F525B2" w:rsidP="009B329F">
            <w:pPr>
              <w:pStyle w:val="TAL"/>
            </w:pPr>
            <w:r>
              <w:t>array(SignalStormInfo)</w:t>
            </w:r>
          </w:p>
        </w:tc>
        <w:tc>
          <w:tcPr>
            <w:tcW w:w="425" w:type="dxa"/>
            <w:tcBorders>
              <w:top w:val="single" w:sz="6" w:space="0" w:color="auto"/>
              <w:left w:val="single" w:sz="6" w:space="0" w:color="auto"/>
              <w:bottom w:val="single" w:sz="6" w:space="0" w:color="auto"/>
              <w:right w:val="single" w:sz="6" w:space="0" w:color="auto"/>
            </w:tcBorders>
          </w:tcPr>
          <w:p w14:paraId="36252A43"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AD322E2"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20EE0A13" w14:textId="77777777" w:rsidR="00F525B2" w:rsidRDefault="00F525B2" w:rsidP="009B329F">
            <w:pPr>
              <w:pStyle w:val="TAL"/>
              <w:rPr>
                <w:lang w:eastAsia="zh-CN"/>
              </w:rPr>
            </w:pPr>
            <w:r>
              <w:rPr>
                <w:lang w:eastAsia="zh-CN"/>
              </w:rPr>
              <w:t>The signalling storm information. It shall be present when the subscribed event is "SIGNALLING_STORM".</w:t>
            </w:r>
          </w:p>
        </w:tc>
        <w:tc>
          <w:tcPr>
            <w:tcW w:w="1843" w:type="dxa"/>
            <w:tcBorders>
              <w:top w:val="single" w:sz="6" w:space="0" w:color="auto"/>
              <w:left w:val="single" w:sz="6" w:space="0" w:color="auto"/>
              <w:bottom w:val="single" w:sz="6" w:space="0" w:color="auto"/>
              <w:right w:val="single" w:sz="6" w:space="0" w:color="auto"/>
            </w:tcBorders>
          </w:tcPr>
          <w:p w14:paraId="670549CD" w14:textId="77777777" w:rsidR="00F525B2" w:rsidRDefault="00F525B2" w:rsidP="009B329F">
            <w:pPr>
              <w:pStyle w:val="TAL"/>
              <w:rPr>
                <w:lang w:eastAsia="zh-CN"/>
              </w:rPr>
            </w:pPr>
            <w:r>
              <w:rPr>
                <w:lang w:eastAsia="zh-CN"/>
              </w:rPr>
              <w:t>SignallingStorm</w:t>
            </w:r>
          </w:p>
        </w:tc>
      </w:tr>
      <w:tr w:rsidR="00F525B2" w14:paraId="4AF8516F" w14:textId="77777777" w:rsidTr="009B329F">
        <w:trPr>
          <w:jc w:val="center"/>
        </w:trPr>
        <w:tc>
          <w:tcPr>
            <w:tcW w:w="1531" w:type="dxa"/>
            <w:tcBorders>
              <w:top w:val="single" w:sz="6" w:space="0" w:color="auto"/>
              <w:left w:val="single" w:sz="6" w:space="0" w:color="auto"/>
              <w:bottom w:val="single" w:sz="6" w:space="0" w:color="auto"/>
              <w:right w:val="single" w:sz="6" w:space="0" w:color="auto"/>
            </w:tcBorders>
          </w:tcPr>
          <w:p w14:paraId="342DF805" w14:textId="77777777" w:rsidR="00F525B2" w:rsidRDefault="00F525B2" w:rsidP="009B329F">
            <w:pPr>
              <w:pStyle w:val="TAL"/>
              <w:rPr>
                <w:lang w:eastAsia="zh-CN"/>
              </w:rPr>
            </w:pPr>
            <w:r w:rsidRPr="00C80343">
              <w:rPr>
                <w:lang w:eastAsia="zh-CN"/>
              </w:rPr>
              <w:t>q</w:t>
            </w:r>
            <w:r>
              <w:rPr>
                <w:lang w:eastAsia="zh-CN"/>
              </w:rPr>
              <w:t>os</w:t>
            </w:r>
            <w:r w:rsidRPr="00C80343">
              <w:rPr>
                <w:lang w:eastAsia="zh-CN"/>
              </w:rPr>
              <w:t>PolAssist</w:t>
            </w:r>
            <w:r>
              <w:rPr>
                <w:lang w:eastAsia="zh-CN"/>
              </w:rPr>
              <w:t>Info</w:t>
            </w:r>
            <w:r w:rsidRPr="00C80343">
              <w:rPr>
                <w:lang w:eastAsia="zh-CN"/>
              </w:rPr>
              <w:t>s</w:t>
            </w:r>
          </w:p>
        </w:tc>
        <w:tc>
          <w:tcPr>
            <w:tcW w:w="1559" w:type="dxa"/>
            <w:tcBorders>
              <w:top w:val="single" w:sz="6" w:space="0" w:color="auto"/>
              <w:left w:val="single" w:sz="6" w:space="0" w:color="auto"/>
              <w:bottom w:val="single" w:sz="6" w:space="0" w:color="auto"/>
              <w:right w:val="single" w:sz="6" w:space="0" w:color="auto"/>
            </w:tcBorders>
          </w:tcPr>
          <w:p w14:paraId="629095B5" w14:textId="77777777" w:rsidR="00F525B2" w:rsidRDefault="00F525B2" w:rsidP="009B329F">
            <w:pPr>
              <w:pStyle w:val="TAL"/>
            </w:pPr>
            <w:r>
              <w:t>array(QosPolicyAssistInfo)</w:t>
            </w:r>
          </w:p>
        </w:tc>
        <w:tc>
          <w:tcPr>
            <w:tcW w:w="425" w:type="dxa"/>
            <w:tcBorders>
              <w:top w:val="single" w:sz="6" w:space="0" w:color="auto"/>
              <w:left w:val="single" w:sz="6" w:space="0" w:color="auto"/>
              <w:bottom w:val="single" w:sz="6" w:space="0" w:color="auto"/>
              <w:right w:val="single" w:sz="6" w:space="0" w:color="auto"/>
            </w:tcBorders>
          </w:tcPr>
          <w:p w14:paraId="5FCC1BF1" w14:textId="77777777" w:rsidR="00F525B2" w:rsidRDefault="00F525B2" w:rsidP="009B329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458C890" w14:textId="77777777" w:rsidR="00F525B2" w:rsidRDefault="00F525B2" w:rsidP="009B329F">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D131840" w14:textId="77777777" w:rsidR="00F525B2" w:rsidRDefault="00F525B2" w:rsidP="009B329F">
            <w:pPr>
              <w:pStyle w:val="TAL"/>
              <w:rPr>
                <w:lang w:eastAsia="zh-CN"/>
              </w:rPr>
            </w:pPr>
            <w:r>
              <w:rPr>
                <w:lang w:eastAsia="zh-CN"/>
              </w:rPr>
              <w:t>The QoS and policy assistance information. It shall be present when the subscribed event is "QOS_POLICY_ASSIST".</w:t>
            </w:r>
          </w:p>
        </w:tc>
        <w:tc>
          <w:tcPr>
            <w:tcW w:w="1843" w:type="dxa"/>
            <w:tcBorders>
              <w:top w:val="single" w:sz="6" w:space="0" w:color="auto"/>
              <w:left w:val="single" w:sz="6" w:space="0" w:color="auto"/>
              <w:bottom w:val="single" w:sz="6" w:space="0" w:color="auto"/>
              <w:right w:val="single" w:sz="6" w:space="0" w:color="auto"/>
            </w:tcBorders>
          </w:tcPr>
          <w:p w14:paraId="70962437" w14:textId="77777777" w:rsidR="00F525B2" w:rsidRDefault="00F525B2" w:rsidP="009B329F">
            <w:pPr>
              <w:pStyle w:val="TAL"/>
              <w:rPr>
                <w:lang w:eastAsia="zh-CN"/>
              </w:rPr>
            </w:pPr>
            <w:r>
              <w:rPr>
                <w:lang w:eastAsia="zh-CN"/>
              </w:rPr>
              <w:t>QoSPolicyAssist</w:t>
            </w:r>
          </w:p>
        </w:tc>
      </w:tr>
      <w:tr w:rsidR="00F525B2" w14:paraId="4F216A16" w14:textId="77777777" w:rsidTr="009B329F">
        <w:trPr>
          <w:jc w:val="center"/>
        </w:trPr>
        <w:tc>
          <w:tcPr>
            <w:tcW w:w="9348" w:type="dxa"/>
            <w:gridSpan w:val="6"/>
          </w:tcPr>
          <w:p w14:paraId="3358E81E" w14:textId="77777777" w:rsidR="00F525B2" w:rsidRDefault="00F525B2" w:rsidP="009B329F">
            <w:pPr>
              <w:pStyle w:val="TAN"/>
            </w:pPr>
            <w:r>
              <w:rPr>
                <w:rFonts w:cs="Arial"/>
                <w:szCs w:val="18"/>
              </w:rPr>
              <w:t>NOTE</w:t>
            </w:r>
            <w:r>
              <w:rPr>
                <w:rFonts w:cs="Arial"/>
                <w:szCs w:val="18"/>
                <w:lang w:val="en-US"/>
              </w:rPr>
              <w:t> 1</w:t>
            </w:r>
            <w:r>
              <w:rPr>
                <w:rFonts w:cs="Arial"/>
                <w:szCs w:val="18"/>
              </w:rPr>
              <w:t>:</w:t>
            </w:r>
            <w:r>
              <w:tab/>
              <w:t>If the "start" attribute and the "expiry" attribute are both provided, the DateTime of the "expiry" attribute shall not be earlier than the DateTime of the "start" attribute.</w:t>
            </w:r>
          </w:p>
          <w:p w14:paraId="74CD83BD" w14:textId="77777777" w:rsidR="00F525B2" w:rsidRDefault="00F525B2" w:rsidP="009B329F">
            <w:pPr>
              <w:pStyle w:val="TAN"/>
            </w:pPr>
            <w:r>
              <w:rPr>
                <w:rFonts w:cs="Arial"/>
                <w:szCs w:val="18"/>
              </w:rPr>
              <w:t>NOTE 2:</w:t>
            </w:r>
            <w:r>
              <w:tab/>
            </w:r>
            <w:r>
              <w:rPr>
                <w:lang w:val="en-US" w:eastAsia="zh-CN"/>
              </w:rPr>
              <w:t>The value of "</w:t>
            </w:r>
            <w:r>
              <w:rPr>
                <w:lang w:val="en-US"/>
              </w:rPr>
              <w:t>PREDICTION</w:t>
            </w:r>
            <w:r>
              <w:t>_NOT_ALLOWED</w:t>
            </w:r>
            <w:r>
              <w:rPr>
                <w:lang w:val="en-US" w:eastAsia="zh-CN"/>
              </w:rPr>
              <w:t>" and "</w:t>
            </w:r>
            <w:r>
              <w:t>BOTH_STAT_PRED_NOT_ALLOWED</w:t>
            </w:r>
            <w:r>
              <w:rPr>
                <w:lang w:val="en-US" w:eastAsia="zh-CN"/>
              </w:rPr>
              <w:t>" of the</w:t>
            </w:r>
            <w:r>
              <w:rPr>
                <w:lang w:eastAsia="zh-CN"/>
              </w:rPr>
              <w:t xml:space="preserve"> NwdafFailureCode data type</w:t>
            </w:r>
            <w:r>
              <w:rPr>
                <w:lang w:val="en-US" w:eastAsia="zh-CN"/>
              </w:rPr>
              <w:t xml:space="preserve"> is not applicable for the </w:t>
            </w:r>
            <w:r>
              <w:t xml:space="preserve">"failNotifyCode" attribute. The value of </w:t>
            </w:r>
            <w:r>
              <w:rPr>
                <w:lang w:val="en-US" w:eastAsia="zh-CN"/>
              </w:rPr>
              <w:t>"</w:t>
            </w:r>
            <w:r>
              <w:rPr>
                <w:lang w:eastAsia="zh-CN"/>
              </w:rPr>
              <w:t>UNAVAILABLE_DATA</w:t>
            </w:r>
            <w:r>
              <w:rPr>
                <w:lang w:val="en-US" w:eastAsia="zh-CN"/>
              </w:rPr>
              <w:t xml:space="preserve">" of the </w:t>
            </w:r>
            <w:r>
              <w:rPr>
                <w:lang w:eastAsia="zh-CN"/>
              </w:rPr>
              <w:t xml:space="preserve">NwdafFailureCode data type is applicable for the </w:t>
            </w:r>
            <w:r>
              <w:rPr>
                <w:lang w:val="en-US" w:eastAsia="zh-CN"/>
              </w:rPr>
              <w:t xml:space="preserve">the </w:t>
            </w:r>
            <w:r>
              <w:t xml:space="preserve">"failNotifyCode" attribute only when the </w:t>
            </w:r>
            <w:r>
              <w:rPr>
                <w:lang w:val="en-US" w:eastAsia="zh-CN"/>
              </w:rPr>
              <w:t>"StatisticsFailure"</w:t>
            </w:r>
            <w:r>
              <w:t xml:space="preserve"> feature is supported.</w:t>
            </w:r>
          </w:p>
          <w:p w14:paraId="0B43D662" w14:textId="77777777" w:rsidR="00F525B2" w:rsidRDefault="00F525B2" w:rsidP="009B329F">
            <w:pPr>
              <w:pStyle w:val="TAN"/>
            </w:pPr>
            <w:r>
              <w:t xml:space="preserve">NOTE 3: </w:t>
            </w:r>
            <w:r>
              <w:tab/>
              <w:t xml:space="preserve">This attribute shall be included </w:t>
            </w:r>
            <w:r>
              <w:rPr>
                <w:lang w:eastAsia="zh-CN"/>
              </w:rPr>
              <w:t>when</w:t>
            </w:r>
            <w:r>
              <w:t xml:space="preserve"> ADRF is deployed.</w:t>
            </w:r>
          </w:p>
          <w:p w14:paraId="448436A8" w14:textId="77777777" w:rsidR="00F525B2" w:rsidRDefault="00F525B2" w:rsidP="009B329F">
            <w:pPr>
              <w:pStyle w:val="TAN"/>
            </w:pPr>
            <w:r>
              <w:t xml:space="preserve">NOTE 4: </w:t>
            </w:r>
            <w:r>
              <w:tab/>
              <w:t xml:space="preserve">The </w:t>
            </w:r>
            <w:r>
              <w:rPr>
                <w:lang w:eastAsia="zh-CN"/>
              </w:rPr>
              <w:t>validity period specified by</w:t>
            </w:r>
            <w:r>
              <w:t xml:space="preserve"> </w:t>
            </w:r>
            <w:r>
              <w:rPr>
                <w:lang w:val="en-US" w:eastAsia="zh-CN"/>
              </w:rPr>
              <w:t>"</w:t>
            </w:r>
            <w:r>
              <w:t>start</w:t>
            </w:r>
            <w:r>
              <w:rPr>
                <w:lang w:val="en-US" w:eastAsia="zh-CN"/>
              </w:rPr>
              <w:t>"</w:t>
            </w:r>
            <w:r>
              <w:rPr>
                <w:lang w:eastAsia="zh-CN"/>
              </w:rPr>
              <w:t xml:space="preserve"> and </w:t>
            </w:r>
            <w:r>
              <w:rPr>
                <w:lang w:val="en-US" w:eastAsia="zh-CN"/>
              </w:rPr>
              <w:t>"</w:t>
            </w:r>
            <w:r>
              <w:t>expiry</w:t>
            </w:r>
            <w:r>
              <w:rPr>
                <w:lang w:val="en-US" w:eastAsia="zh-CN"/>
              </w:rPr>
              <w:t>"</w:t>
            </w:r>
            <w:r>
              <w:rPr>
                <w:lang w:eastAsia="zh-CN"/>
              </w:rPr>
              <w:t xml:space="preserve"> attributes is determined by NWDAF internal logic, and is a subset of the </w:t>
            </w:r>
            <w:r>
              <w:t xml:space="preserve">analytics target period indicated by </w:t>
            </w:r>
            <w:r>
              <w:rPr>
                <w:lang w:val="en-US" w:eastAsia="zh-CN"/>
              </w:rPr>
              <w:t>"</w:t>
            </w:r>
            <w:r>
              <w:t>startTs</w:t>
            </w:r>
            <w:r>
              <w:rPr>
                <w:lang w:val="en-US" w:eastAsia="zh-CN"/>
              </w:rPr>
              <w:t>"</w:t>
            </w:r>
            <w:r>
              <w:t xml:space="preserve"> and </w:t>
            </w:r>
            <w:r>
              <w:rPr>
                <w:lang w:val="en-US" w:eastAsia="zh-CN"/>
              </w:rPr>
              <w:t>"</w:t>
            </w:r>
            <w:r>
              <w:t>endTs</w:t>
            </w:r>
            <w:r>
              <w:rPr>
                <w:lang w:val="en-US" w:eastAsia="zh-CN"/>
              </w:rPr>
              <w:t>"</w:t>
            </w:r>
            <w:r>
              <w:t xml:space="preserve">, or </w:t>
            </w:r>
            <w:r>
              <w:rPr>
                <w:lang w:val="en-US" w:eastAsia="zh-CN"/>
              </w:rPr>
              <w:t>"</w:t>
            </w:r>
            <w:r>
              <w:t>offsetPeriod</w:t>
            </w:r>
            <w:r>
              <w:rPr>
                <w:lang w:val="en-US" w:eastAsia="zh-CN"/>
              </w:rPr>
              <w:t>"</w:t>
            </w:r>
            <w:r>
              <w:t xml:space="preserve"> attributes contained in </w:t>
            </w:r>
            <w:r>
              <w:rPr>
                <w:lang w:val="en-US" w:eastAsia="zh-CN"/>
              </w:rPr>
              <w:t>"</w:t>
            </w:r>
            <w:r>
              <w:t>extraReportReq</w:t>
            </w:r>
            <w:r>
              <w:rPr>
                <w:lang w:val="en-US" w:eastAsia="zh-CN"/>
              </w:rPr>
              <w:t>"</w:t>
            </w:r>
            <w:r>
              <w:t xml:space="preserve"> attribute of the subscription</w:t>
            </w:r>
            <w:r>
              <w:rPr>
                <w:lang w:eastAsia="zh-CN"/>
              </w:rPr>
              <w:t xml:space="preserve">. If the </w:t>
            </w:r>
            <w:r>
              <w:t xml:space="preserve">analytics target period </w:t>
            </w:r>
            <w:r>
              <w:rPr>
                <w:lang w:eastAsia="zh-CN"/>
              </w:rPr>
              <w:t>refers to the past, the period specified by these two attributes indicate the time period over which the statistics are applicable</w:t>
            </w:r>
            <w:r>
              <w:t xml:space="preserve">. </w:t>
            </w:r>
            <w:r>
              <w:rPr>
                <w:lang w:eastAsia="zh-CN"/>
              </w:rPr>
              <w:t xml:space="preserve">If the </w:t>
            </w:r>
            <w:r>
              <w:t xml:space="preserve">analytics target period </w:t>
            </w:r>
            <w:r>
              <w:rPr>
                <w:lang w:eastAsia="zh-CN"/>
              </w:rPr>
              <w:t xml:space="preserve">refers to the future, the period specified by these two attributes indicate the time period </w:t>
            </w:r>
            <w:r>
              <w:t>over which the predictions are valid.</w:t>
            </w:r>
          </w:p>
          <w:p w14:paraId="1F31A8B2" w14:textId="77777777" w:rsidR="00F525B2" w:rsidRDefault="00F525B2" w:rsidP="009B329F">
            <w:pPr>
              <w:pStyle w:val="TAN"/>
            </w:pPr>
            <w:r>
              <w:t xml:space="preserve">NOTE 5: </w:t>
            </w:r>
            <w:r>
              <w:tab/>
              <w:t xml:space="preserve">If </w:t>
            </w:r>
            <w:r>
              <w:rPr>
                <w:lang w:val="en-US" w:eastAsia="zh-CN"/>
              </w:rPr>
              <w:t xml:space="preserve">the </w:t>
            </w:r>
            <w:r w:rsidRPr="003E19F3">
              <w:rPr>
                <w:lang w:val="en-US" w:eastAsia="zh-CN"/>
              </w:rPr>
              <w:t>"</w:t>
            </w:r>
            <w:r>
              <w:rPr>
                <w:lang w:eastAsia="zh-CN"/>
              </w:rPr>
              <w:t>AnalyticsAccuracy</w:t>
            </w:r>
            <w:r w:rsidRPr="003E19F3">
              <w:rPr>
                <w:lang w:eastAsia="zh-CN"/>
              </w:rPr>
              <w:t>"</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tc>
      </w:tr>
    </w:tbl>
    <w:p w14:paraId="4FEFBB63" w14:textId="77777777" w:rsidR="00A10B25" w:rsidRPr="00F525B2" w:rsidRDefault="00A10B25"/>
    <w:p w14:paraId="3AF4A64C" w14:textId="77777777" w:rsidR="00A10B25" w:rsidRDefault="00A10B25">
      <w:pPr>
        <w:pStyle w:val="5"/>
      </w:pPr>
      <w:bookmarkStart w:id="5727" w:name="_Toc70550628"/>
      <w:bookmarkStart w:id="5728" w:name="_Toc104539007"/>
      <w:bookmarkStart w:id="5729" w:name="_Toc85552984"/>
      <w:bookmarkStart w:id="5730" w:name="_Toc120702308"/>
      <w:bookmarkStart w:id="5731" w:name="_Toc112951129"/>
      <w:bookmarkStart w:id="5732" w:name="_Toc45134045"/>
      <w:bookmarkStart w:id="5733" w:name="_Toc85557083"/>
      <w:bookmarkStart w:id="5734" w:name="_Toc68168961"/>
      <w:bookmarkStart w:id="5735" w:name="_Toc36102460"/>
      <w:bookmarkStart w:id="5736" w:name="_Toc66231800"/>
      <w:bookmarkStart w:id="5737" w:name="_Toc101244414"/>
      <w:bookmarkStart w:id="5738" w:name="_Toc50031977"/>
      <w:bookmarkStart w:id="5739" w:name="_Toc94064253"/>
      <w:bookmarkStart w:id="5740" w:name="_Toc114133808"/>
      <w:bookmarkStart w:id="5741" w:name="_Toc34266289"/>
      <w:bookmarkStart w:id="5742" w:name="_Toc43563502"/>
      <w:bookmarkStart w:id="5743" w:name="_Toc28012819"/>
      <w:bookmarkStart w:id="5744" w:name="_Toc136562375"/>
      <w:bookmarkStart w:id="5745" w:name="_Toc90655870"/>
      <w:bookmarkStart w:id="5746" w:name="_Toc59017932"/>
      <w:bookmarkStart w:id="5747" w:name="_Toc83233074"/>
      <w:bookmarkStart w:id="5748" w:name="_Toc88667585"/>
      <w:bookmarkStart w:id="5749" w:name="_Toc98233638"/>
      <w:bookmarkStart w:id="5750" w:name="_Toc113031669"/>
      <w:bookmarkStart w:id="5751" w:name="_Toc145705696"/>
      <w:bookmarkStart w:id="5752" w:name="_Toc148522600"/>
      <w:bookmarkStart w:id="5753" w:name="_Toc51762897"/>
      <w:bookmarkStart w:id="5754" w:name="_Toc56640964"/>
      <w:bookmarkStart w:id="5755" w:name="_Toc138754209"/>
      <w:bookmarkStart w:id="5756" w:name="_Toc164920780"/>
      <w:bookmarkStart w:id="5757" w:name="_Toc170120322"/>
      <w:bookmarkStart w:id="5758" w:name="_Toc175858567"/>
      <w:bookmarkStart w:id="5759" w:name="_Toc175859640"/>
      <w:bookmarkStart w:id="5760" w:name="_Toc180605930"/>
      <w:bookmarkStart w:id="5761" w:name="_Toc185517184"/>
      <w:bookmarkStart w:id="5762" w:name="_Toc191576235"/>
      <w:bookmarkStart w:id="5763" w:name="_Toc191576975"/>
      <w:bookmarkStart w:id="5764" w:name="_Toc192880045"/>
      <w:bookmarkStart w:id="5765" w:name="_Toc195814928"/>
      <w:bookmarkStart w:id="5766" w:name="_Toc199452895"/>
      <w:r>
        <w:t>5.1.6.2.6</w:t>
      </w:r>
      <w:r>
        <w:tab/>
        <w:t>Type SliceLoadLevelInformation</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569C8993" w14:textId="77777777" w:rsidR="00A10B25" w:rsidRDefault="00A10B25">
      <w:pPr>
        <w:pStyle w:val="TH"/>
      </w:pPr>
      <w:r>
        <w:t>Table 5.1.6.2.6-1: Definition of type SliceLoadLevelInformation</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559"/>
        <w:gridCol w:w="425"/>
        <w:gridCol w:w="1134"/>
        <w:gridCol w:w="2856"/>
        <w:gridCol w:w="1843"/>
      </w:tblGrid>
      <w:tr w:rsidR="00A10B25" w14:paraId="1714880B" w14:textId="77777777">
        <w:trPr>
          <w:jc w:val="center"/>
        </w:trPr>
        <w:tc>
          <w:tcPr>
            <w:tcW w:w="1531" w:type="dxa"/>
            <w:shd w:val="clear" w:color="auto" w:fill="C0C0C0"/>
          </w:tcPr>
          <w:p w14:paraId="4E56AFAF" w14:textId="77777777" w:rsidR="00A10B25" w:rsidRDefault="00A10B25">
            <w:pPr>
              <w:pStyle w:val="TAH"/>
            </w:pPr>
            <w:r>
              <w:t>Attribute name</w:t>
            </w:r>
          </w:p>
        </w:tc>
        <w:tc>
          <w:tcPr>
            <w:tcW w:w="1559" w:type="dxa"/>
            <w:shd w:val="clear" w:color="auto" w:fill="C0C0C0"/>
          </w:tcPr>
          <w:p w14:paraId="6E9E99E6" w14:textId="77777777" w:rsidR="00A10B25" w:rsidRDefault="00A10B25">
            <w:pPr>
              <w:pStyle w:val="TAH"/>
            </w:pPr>
            <w:r>
              <w:t>Data type</w:t>
            </w:r>
          </w:p>
        </w:tc>
        <w:tc>
          <w:tcPr>
            <w:tcW w:w="425" w:type="dxa"/>
            <w:shd w:val="clear" w:color="auto" w:fill="C0C0C0"/>
          </w:tcPr>
          <w:p w14:paraId="5582F7C7" w14:textId="77777777" w:rsidR="00A10B25" w:rsidRDefault="00A10B25">
            <w:pPr>
              <w:pStyle w:val="TAH"/>
            </w:pPr>
            <w:r>
              <w:t>P</w:t>
            </w:r>
          </w:p>
        </w:tc>
        <w:tc>
          <w:tcPr>
            <w:tcW w:w="1134" w:type="dxa"/>
            <w:shd w:val="clear" w:color="auto" w:fill="C0C0C0"/>
          </w:tcPr>
          <w:p w14:paraId="1C686470" w14:textId="77777777" w:rsidR="00A10B25" w:rsidRDefault="00A10B25">
            <w:pPr>
              <w:pStyle w:val="TAH"/>
            </w:pPr>
            <w:r>
              <w:t>Cardinality</w:t>
            </w:r>
          </w:p>
        </w:tc>
        <w:tc>
          <w:tcPr>
            <w:tcW w:w="2856" w:type="dxa"/>
            <w:shd w:val="clear" w:color="auto" w:fill="C0C0C0"/>
          </w:tcPr>
          <w:p w14:paraId="6BE1D9AD" w14:textId="77777777" w:rsidR="00A10B25" w:rsidRDefault="00A10B25">
            <w:pPr>
              <w:pStyle w:val="TAH"/>
              <w:rPr>
                <w:rFonts w:cs="Arial"/>
                <w:szCs w:val="18"/>
              </w:rPr>
            </w:pPr>
            <w:r>
              <w:rPr>
                <w:rFonts w:cs="Arial"/>
                <w:szCs w:val="18"/>
              </w:rPr>
              <w:t>Description</w:t>
            </w:r>
          </w:p>
        </w:tc>
        <w:tc>
          <w:tcPr>
            <w:tcW w:w="1843" w:type="dxa"/>
            <w:shd w:val="clear" w:color="auto" w:fill="C0C0C0"/>
          </w:tcPr>
          <w:p w14:paraId="5268BC81" w14:textId="77777777" w:rsidR="00A10B25" w:rsidRDefault="00A10B25">
            <w:pPr>
              <w:pStyle w:val="TAH"/>
              <w:rPr>
                <w:rFonts w:cs="Arial"/>
                <w:szCs w:val="18"/>
              </w:rPr>
            </w:pPr>
            <w:r>
              <w:rPr>
                <w:rFonts w:cs="Arial"/>
                <w:szCs w:val="18"/>
              </w:rPr>
              <w:t>Applicability</w:t>
            </w:r>
          </w:p>
        </w:tc>
      </w:tr>
      <w:tr w:rsidR="00A10B25" w14:paraId="6F62067B" w14:textId="77777777">
        <w:trPr>
          <w:jc w:val="center"/>
        </w:trPr>
        <w:tc>
          <w:tcPr>
            <w:tcW w:w="1531" w:type="dxa"/>
          </w:tcPr>
          <w:p w14:paraId="09B3C60C" w14:textId="77777777" w:rsidR="00A10B25" w:rsidRDefault="00A10B25">
            <w:pPr>
              <w:pStyle w:val="TAL"/>
            </w:pPr>
            <w:r>
              <w:t>loadLevelInformation</w:t>
            </w:r>
          </w:p>
        </w:tc>
        <w:tc>
          <w:tcPr>
            <w:tcW w:w="1559" w:type="dxa"/>
          </w:tcPr>
          <w:p w14:paraId="50C168BD" w14:textId="77777777" w:rsidR="00A10B25" w:rsidRDefault="00A10B25">
            <w:pPr>
              <w:pStyle w:val="TAL"/>
            </w:pPr>
            <w:r>
              <w:t>LoadLevelInformation</w:t>
            </w:r>
          </w:p>
        </w:tc>
        <w:tc>
          <w:tcPr>
            <w:tcW w:w="425" w:type="dxa"/>
          </w:tcPr>
          <w:p w14:paraId="26DC0536" w14:textId="77777777" w:rsidR="00A10B25" w:rsidRDefault="00A10B25">
            <w:pPr>
              <w:pStyle w:val="TAC"/>
            </w:pPr>
            <w:r>
              <w:rPr>
                <w:rFonts w:hint="eastAsia"/>
              </w:rPr>
              <w:t>M</w:t>
            </w:r>
          </w:p>
        </w:tc>
        <w:tc>
          <w:tcPr>
            <w:tcW w:w="1134" w:type="dxa"/>
          </w:tcPr>
          <w:p w14:paraId="61C0A755" w14:textId="77777777" w:rsidR="00A10B25" w:rsidRDefault="00A10B25">
            <w:pPr>
              <w:pStyle w:val="TAL"/>
            </w:pPr>
            <w:r>
              <w:rPr>
                <w:rFonts w:hint="eastAsia"/>
              </w:rPr>
              <w:t>1</w:t>
            </w:r>
          </w:p>
        </w:tc>
        <w:tc>
          <w:tcPr>
            <w:tcW w:w="2856" w:type="dxa"/>
          </w:tcPr>
          <w:p w14:paraId="36E042FE" w14:textId="77777777" w:rsidR="00A10B25" w:rsidRDefault="00A10B25">
            <w:pPr>
              <w:pStyle w:val="TAL"/>
              <w:rPr>
                <w:rFonts w:cs="Arial"/>
                <w:szCs w:val="18"/>
              </w:rPr>
            </w:pPr>
            <w:r>
              <w:rPr>
                <w:rFonts w:cs="Arial"/>
                <w:szCs w:val="18"/>
              </w:rPr>
              <w:t>Load level information which applies for each network slice identified by snssais.</w:t>
            </w:r>
          </w:p>
        </w:tc>
        <w:tc>
          <w:tcPr>
            <w:tcW w:w="1843" w:type="dxa"/>
          </w:tcPr>
          <w:p w14:paraId="5476DF51" w14:textId="77777777" w:rsidR="00A10B25" w:rsidRDefault="00A10B25">
            <w:pPr>
              <w:pStyle w:val="TAL"/>
              <w:rPr>
                <w:rFonts w:cs="Arial"/>
                <w:szCs w:val="18"/>
              </w:rPr>
            </w:pPr>
          </w:p>
        </w:tc>
      </w:tr>
      <w:tr w:rsidR="00A10B25" w14:paraId="5F8A8282" w14:textId="77777777">
        <w:trPr>
          <w:jc w:val="center"/>
        </w:trPr>
        <w:tc>
          <w:tcPr>
            <w:tcW w:w="1531" w:type="dxa"/>
          </w:tcPr>
          <w:p w14:paraId="1E9F97A5" w14:textId="77777777" w:rsidR="00A10B25" w:rsidRDefault="00A10B25">
            <w:pPr>
              <w:pStyle w:val="TAL"/>
            </w:pPr>
            <w:r>
              <w:t>snssais</w:t>
            </w:r>
          </w:p>
        </w:tc>
        <w:tc>
          <w:tcPr>
            <w:tcW w:w="1559" w:type="dxa"/>
          </w:tcPr>
          <w:p w14:paraId="6B894B43" w14:textId="77777777" w:rsidR="00A10B25" w:rsidRDefault="00A10B25">
            <w:pPr>
              <w:pStyle w:val="TAL"/>
            </w:pPr>
            <w:r>
              <w:t>array(Snssai)</w:t>
            </w:r>
          </w:p>
        </w:tc>
        <w:tc>
          <w:tcPr>
            <w:tcW w:w="425" w:type="dxa"/>
          </w:tcPr>
          <w:p w14:paraId="0D193DA2" w14:textId="77777777" w:rsidR="00A10B25" w:rsidRDefault="00A10B25">
            <w:pPr>
              <w:pStyle w:val="TAC"/>
              <w:rPr>
                <w:rFonts w:hint="eastAsia"/>
              </w:rPr>
            </w:pPr>
            <w:r>
              <w:rPr>
                <w:rFonts w:hint="eastAsia"/>
              </w:rPr>
              <w:t>M</w:t>
            </w:r>
          </w:p>
        </w:tc>
        <w:tc>
          <w:tcPr>
            <w:tcW w:w="1134" w:type="dxa"/>
          </w:tcPr>
          <w:p w14:paraId="1C5E1FBC" w14:textId="77777777" w:rsidR="00A10B25" w:rsidRDefault="00A10B25">
            <w:pPr>
              <w:pStyle w:val="TAL"/>
              <w:rPr>
                <w:rFonts w:hint="eastAsia"/>
              </w:rPr>
            </w:pPr>
            <w:r>
              <w:rPr>
                <w:rFonts w:hint="eastAsia"/>
              </w:rPr>
              <w:t>1</w:t>
            </w:r>
            <w:r>
              <w:t>..N</w:t>
            </w:r>
          </w:p>
        </w:tc>
        <w:tc>
          <w:tcPr>
            <w:tcW w:w="2856" w:type="dxa"/>
          </w:tcPr>
          <w:p w14:paraId="61F42565" w14:textId="77777777" w:rsidR="00A10B25" w:rsidRDefault="00A10B25">
            <w:pPr>
              <w:pStyle w:val="TAL"/>
              <w:rPr>
                <w:rFonts w:cs="Arial"/>
                <w:szCs w:val="18"/>
              </w:rPr>
            </w:pPr>
            <w:r>
              <w:rPr>
                <w:rFonts w:cs="Arial"/>
                <w:szCs w:val="18"/>
              </w:rPr>
              <w:t>Identification(s) of network slice to which the subscription applies.</w:t>
            </w:r>
          </w:p>
        </w:tc>
        <w:tc>
          <w:tcPr>
            <w:tcW w:w="1843" w:type="dxa"/>
          </w:tcPr>
          <w:p w14:paraId="6E4B7313" w14:textId="77777777" w:rsidR="00A10B25" w:rsidRDefault="00A10B25">
            <w:pPr>
              <w:pStyle w:val="TAL"/>
              <w:rPr>
                <w:rFonts w:cs="Arial"/>
                <w:szCs w:val="18"/>
              </w:rPr>
            </w:pPr>
          </w:p>
        </w:tc>
      </w:tr>
    </w:tbl>
    <w:p w14:paraId="5FBD9090" w14:textId="77777777" w:rsidR="00A10B25" w:rsidRDefault="00A10B25"/>
    <w:p w14:paraId="065FCE44" w14:textId="77777777" w:rsidR="00A10B25" w:rsidRDefault="00A10B25">
      <w:pPr>
        <w:pStyle w:val="NO"/>
      </w:pPr>
      <w:r>
        <w:rPr>
          <w:rFonts w:eastAsia="等线"/>
        </w:rPr>
        <w:t>NOTE:</w:t>
      </w:r>
      <w:r>
        <w:rPr>
          <w:rFonts w:eastAsia="等线"/>
        </w:rPr>
        <w:tab/>
      </w:r>
      <w:r>
        <w:t>The functionality of the Slice Load Level Information is a subset of the functionality of the NSI Load Level Information, does not need to be used if the NsiLoadExt feature is supported, and is maintained only for backwards compatibility purposes.</w:t>
      </w:r>
    </w:p>
    <w:p w14:paraId="2478B409" w14:textId="77777777" w:rsidR="00A10B25" w:rsidRDefault="00A10B25">
      <w:pPr>
        <w:pStyle w:val="5"/>
      </w:pPr>
      <w:bookmarkStart w:id="5767" w:name="_Toc136562376"/>
      <w:bookmarkStart w:id="5768" w:name="_Toc98233639"/>
      <w:bookmarkStart w:id="5769" w:name="_Toc85552985"/>
      <w:bookmarkStart w:id="5770" w:name="_Toc120702309"/>
      <w:bookmarkStart w:id="5771" w:name="_Toc51762898"/>
      <w:bookmarkStart w:id="5772" w:name="_Toc113031670"/>
      <w:bookmarkStart w:id="5773" w:name="_Toc70550629"/>
      <w:bookmarkStart w:id="5774" w:name="_Toc28012820"/>
      <w:bookmarkStart w:id="5775" w:name="_Toc85557084"/>
      <w:bookmarkStart w:id="5776" w:name="_Toc34266290"/>
      <w:bookmarkStart w:id="5777" w:name="_Toc104539008"/>
      <w:bookmarkStart w:id="5778" w:name="_Toc83233075"/>
      <w:bookmarkStart w:id="5779" w:name="_Toc45134046"/>
      <w:bookmarkStart w:id="5780" w:name="_Toc94064254"/>
      <w:bookmarkStart w:id="5781" w:name="_Toc66231801"/>
      <w:bookmarkStart w:id="5782" w:name="_Toc68168962"/>
      <w:bookmarkStart w:id="5783" w:name="_Toc36102461"/>
      <w:bookmarkStart w:id="5784" w:name="_Toc138754210"/>
      <w:bookmarkStart w:id="5785" w:name="_Toc90655871"/>
      <w:bookmarkStart w:id="5786" w:name="_Toc114133809"/>
      <w:bookmarkStart w:id="5787" w:name="_Toc112951130"/>
      <w:bookmarkStart w:id="5788" w:name="_Toc145705697"/>
      <w:bookmarkStart w:id="5789" w:name="_Toc101244415"/>
      <w:bookmarkStart w:id="5790" w:name="_Toc59017933"/>
      <w:bookmarkStart w:id="5791" w:name="_Toc56640965"/>
      <w:bookmarkStart w:id="5792" w:name="_Toc88667586"/>
      <w:bookmarkStart w:id="5793" w:name="_Toc50031978"/>
      <w:bookmarkStart w:id="5794" w:name="_Toc148522601"/>
      <w:bookmarkStart w:id="5795" w:name="_Toc43563503"/>
      <w:bookmarkStart w:id="5796" w:name="_Toc164920781"/>
      <w:bookmarkStart w:id="5797" w:name="_Toc170120323"/>
      <w:bookmarkStart w:id="5798" w:name="_Toc175858568"/>
      <w:bookmarkStart w:id="5799" w:name="_Toc175859641"/>
      <w:bookmarkStart w:id="5800" w:name="_Toc180605931"/>
      <w:bookmarkStart w:id="5801" w:name="_Toc185517185"/>
      <w:bookmarkStart w:id="5802" w:name="_Toc191576236"/>
      <w:bookmarkStart w:id="5803" w:name="_Toc191576976"/>
      <w:bookmarkStart w:id="5804" w:name="_Toc192880046"/>
      <w:bookmarkStart w:id="5805" w:name="_Toc195814929"/>
      <w:bookmarkStart w:id="5806" w:name="_Toc199452896"/>
      <w:r>
        <w:lastRenderedPageBreak/>
        <w:t>5.1.6.2.7</w:t>
      </w:r>
      <w:r>
        <w:tab/>
        <w:t>Type EventReportingRequirement</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459F92FD" w14:textId="77777777" w:rsidR="00A10B25" w:rsidRDefault="00A10B25">
      <w:pPr>
        <w:pStyle w:val="TH"/>
      </w:pPr>
      <w:r>
        <w:t>Table 5.1.6.2.7-1: Definition of type EventReportingRequirement</w:t>
      </w:r>
    </w:p>
    <w:tbl>
      <w:tblPr>
        <w:tblW w:w="9566"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49"/>
        <w:gridCol w:w="1559"/>
        <w:gridCol w:w="425"/>
        <w:gridCol w:w="1134"/>
        <w:gridCol w:w="2856"/>
        <w:gridCol w:w="1843"/>
      </w:tblGrid>
      <w:tr w:rsidR="00A10B25" w14:paraId="3C976023" w14:textId="77777777">
        <w:trPr>
          <w:jc w:val="center"/>
        </w:trPr>
        <w:tc>
          <w:tcPr>
            <w:tcW w:w="1749" w:type="dxa"/>
            <w:shd w:val="clear" w:color="auto" w:fill="C0C0C0"/>
          </w:tcPr>
          <w:p w14:paraId="15D6C5F6" w14:textId="77777777" w:rsidR="00A10B25" w:rsidRDefault="00A10B25">
            <w:pPr>
              <w:pStyle w:val="TAH"/>
            </w:pPr>
            <w:r>
              <w:lastRenderedPageBreak/>
              <w:t>Attribute name</w:t>
            </w:r>
          </w:p>
        </w:tc>
        <w:tc>
          <w:tcPr>
            <w:tcW w:w="1559" w:type="dxa"/>
            <w:shd w:val="clear" w:color="auto" w:fill="C0C0C0"/>
          </w:tcPr>
          <w:p w14:paraId="6B751DDF" w14:textId="77777777" w:rsidR="00A10B25" w:rsidRDefault="00A10B25">
            <w:pPr>
              <w:pStyle w:val="TAH"/>
            </w:pPr>
            <w:r>
              <w:t>Data type</w:t>
            </w:r>
          </w:p>
        </w:tc>
        <w:tc>
          <w:tcPr>
            <w:tcW w:w="425" w:type="dxa"/>
            <w:shd w:val="clear" w:color="auto" w:fill="C0C0C0"/>
          </w:tcPr>
          <w:p w14:paraId="0707D400" w14:textId="77777777" w:rsidR="00A10B25" w:rsidRDefault="00A10B25">
            <w:pPr>
              <w:pStyle w:val="TAH"/>
            </w:pPr>
            <w:r>
              <w:t>P</w:t>
            </w:r>
          </w:p>
        </w:tc>
        <w:tc>
          <w:tcPr>
            <w:tcW w:w="1134" w:type="dxa"/>
            <w:shd w:val="clear" w:color="auto" w:fill="C0C0C0"/>
          </w:tcPr>
          <w:p w14:paraId="525CAB56" w14:textId="77777777" w:rsidR="00A10B25" w:rsidRDefault="00A10B25">
            <w:pPr>
              <w:pStyle w:val="TAH"/>
            </w:pPr>
            <w:r>
              <w:t>Cardinality</w:t>
            </w:r>
          </w:p>
        </w:tc>
        <w:tc>
          <w:tcPr>
            <w:tcW w:w="2856" w:type="dxa"/>
            <w:shd w:val="clear" w:color="auto" w:fill="C0C0C0"/>
          </w:tcPr>
          <w:p w14:paraId="4825E9F1" w14:textId="77777777" w:rsidR="00A10B25" w:rsidRDefault="00A10B25">
            <w:pPr>
              <w:pStyle w:val="TAH"/>
            </w:pPr>
            <w:r>
              <w:t>Description</w:t>
            </w:r>
          </w:p>
        </w:tc>
        <w:tc>
          <w:tcPr>
            <w:tcW w:w="1843" w:type="dxa"/>
            <w:shd w:val="clear" w:color="auto" w:fill="C0C0C0"/>
          </w:tcPr>
          <w:p w14:paraId="718CAB5F" w14:textId="77777777" w:rsidR="00A10B25" w:rsidRDefault="00A10B25">
            <w:pPr>
              <w:pStyle w:val="TAH"/>
            </w:pPr>
            <w:r>
              <w:t>Applicability</w:t>
            </w:r>
          </w:p>
        </w:tc>
      </w:tr>
      <w:tr w:rsidR="00A10B25" w14:paraId="74EE8730" w14:textId="77777777">
        <w:trPr>
          <w:jc w:val="center"/>
        </w:trPr>
        <w:tc>
          <w:tcPr>
            <w:tcW w:w="1749" w:type="dxa"/>
          </w:tcPr>
          <w:p w14:paraId="164FE5AD" w14:textId="77777777" w:rsidR="00A10B25" w:rsidRDefault="00A10B25">
            <w:pPr>
              <w:pStyle w:val="TAL"/>
            </w:pPr>
            <w:r>
              <w:rPr>
                <w:lang w:eastAsia="zh-CN"/>
              </w:rPr>
              <w:t>accuracy</w:t>
            </w:r>
          </w:p>
        </w:tc>
        <w:tc>
          <w:tcPr>
            <w:tcW w:w="1559" w:type="dxa"/>
          </w:tcPr>
          <w:p w14:paraId="122AD1DA" w14:textId="77777777" w:rsidR="00A10B25" w:rsidRDefault="00A10B25">
            <w:pPr>
              <w:pStyle w:val="TAL"/>
            </w:pPr>
            <w:r>
              <w:t>Accuracy</w:t>
            </w:r>
          </w:p>
        </w:tc>
        <w:tc>
          <w:tcPr>
            <w:tcW w:w="425" w:type="dxa"/>
          </w:tcPr>
          <w:p w14:paraId="0FC14DEC" w14:textId="77777777" w:rsidR="00A10B25" w:rsidRDefault="00A10B25">
            <w:pPr>
              <w:pStyle w:val="TAC"/>
            </w:pPr>
            <w:r>
              <w:t>O</w:t>
            </w:r>
          </w:p>
        </w:tc>
        <w:tc>
          <w:tcPr>
            <w:tcW w:w="1134" w:type="dxa"/>
          </w:tcPr>
          <w:p w14:paraId="05D71348" w14:textId="77777777" w:rsidR="00A10B25" w:rsidRDefault="00A10B25">
            <w:pPr>
              <w:pStyle w:val="TAL"/>
            </w:pPr>
            <w:r>
              <w:t>0..1</w:t>
            </w:r>
          </w:p>
        </w:tc>
        <w:tc>
          <w:tcPr>
            <w:tcW w:w="2856" w:type="dxa"/>
          </w:tcPr>
          <w:p w14:paraId="270B5BA4" w14:textId="77777777" w:rsidR="00A10B25" w:rsidRDefault="00A10B25">
            <w:pPr>
              <w:pStyle w:val="TAL"/>
            </w:pPr>
            <w:r>
              <w:t>Preferred level of accuracy of the analytics.</w:t>
            </w:r>
            <w:r>
              <w:rPr>
                <w:rFonts w:cs="Arial"/>
                <w:szCs w:val="18"/>
              </w:rPr>
              <w:t xml:space="preserve"> (NOTE 5)</w:t>
            </w:r>
          </w:p>
        </w:tc>
        <w:tc>
          <w:tcPr>
            <w:tcW w:w="1843" w:type="dxa"/>
          </w:tcPr>
          <w:p w14:paraId="79C77C0A" w14:textId="77777777" w:rsidR="00A10B25" w:rsidRDefault="00A10B25">
            <w:pPr>
              <w:pStyle w:val="TAL"/>
            </w:pPr>
          </w:p>
        </w:tc>
      </w:tr>
      <w:tr w:rsidR="00A10B25" w14:paraId="5BF8A928" w14:textId="77777777">
        <w:trPr>
          <w:jc w:val="center"/>
        </w:trPr>
        <w:tc>
          <w:tcPr>
            <w:tcW w:w="1749" w:type="dxa"/>
          </w:tcPr>
          <w:p w14:paraId="7DC52A81" w14:textId="77777777" w:rsidR="00A10B25" w:rsidRDefault="00A10B25">
            <w:pPr>
              <w:pStyle w:val="TAL"/>
              <w:rPr>
                <w:lang w:eastAsia="zh-CN"/>
              </w:rPr>
            </w:pPr>
            <w:r>
              <w:rPr>
                <w:lang w:eastAsia="zh-CN"/>
              </w:rPr>
              <w:t>accPerSubset</w:t>
            </w:r>
          </w:p>
        </w:tc>
        <w:tc>
          <w:tcPr>
            <w:tcW w:w="1559" w:type="dxa"/>
          </w:tcPr>
          <w:p w14:paraId="0FFC90A0" w14:textId="77777777" w:rsidR="00A10B25" w:rsidRDefault="00A10B25">
            <w:pPr>
              <w:pStyle w:val="TAL"/>
            </w:pPr>
            <w:r>
              <w:rPr>
                <w:lang w:eastAsia="zh-CN"/>
              </w:rPr>
              <w:t>array(Accuracy)</w:t>
            </w:r>
          </w:p>
        </w:tc>
        <w:tc>
          <w:tcPr>
            <w:tcW w:w="425" w:type="dxa"/>
          </w:tcPr>
          <w:p w14:paraId="6745040B" w14:textId="77777777" w:rsidR="00A10B25" w:rsidRDefault="00A10B25">
            <w:pPr>
              <w:pStyle w:val="TAC"/>
            </w:pPr>
            <w:r>
              <w:t>O</w:t>
            </w:r>
          </w:p>
        </w:tc>
        <w:tc>
          <w:tcPr>
            <w:tcW w:w="1134" w:type="dxa"/>
          </w:tcPr>
          <w:p w14:paraId="5DB9037E" w14:textId="77777777" w:rsidR="00A10B25" w:rsidRDefault="00A10B25">
            <w:pPr>
              <w:pStyle w:val="TAL"/>
            </w:pPr>
            <w:r>
              <w:rPr>
                <w:rFonts w:cs="Arial"/>
                <w:szCs w:val="18"/>
              </w:rPr>
              <w:t>1..N</w:t>
            </w:r>
          </w:p>
        </w:tc>
        <w:tc>
          <w:tcPr>
            <w:tcW w:w="2856" w:type="dxa"/>
          </w:tcPr>
          <w:p w14:paraId="1DC7EF63" w14:textId="77777777" w:rsidR="00A10B25" w:rsidRDefault="00A10B25">
            <w:pPr>
              <w:pStyle w:val="TAL"/>
            </w:pPr>
            <w:r>
              <w:rPr>
                <w:rFonts w:cs="Arial"/>
                <w:szCs w:val="18"/>
              </w:rPr>
              <w:t>Each element indicates the preferred accuracy level per analytics subset. It may be present if the "</w:t>
            </w:r>
            <w:r>
              <w:t>listOfAnaSubsets</w:t>
            </w:r>
            <w:r>
              <w:rPr>
                <w:rFonts w:cs="Arial"/>
                <w:szCs w:val="18"/>
              </w:rPr>
              <w:t>" attribute is present in the subscription request (NOTE 4, NOTE 5)</w:t>
            </w:r>
          </w:p>
        </w:tc>
        <w:tc>
          <w:tcPr>
            <w:tcW w:w="1843" w:type="dxa"/>
          </w:tcPr>
          <w:p w14:paraId="1A37710C" w14:textId="77777777" w:rsidR="00A10B25" w:rsidRDefault="00A10B25">
            <w:pPr>
              <w:pStyle w:val="TAL"/>
            </w:pPr>
            <w:r>
              <w:t>EneNA</w:t>
            </w:r>
          </w:p>
        </w:tc>
      </w:tr>
      <w:tr w:rsidR="00A10B25" w14:paraId="1E277980" w14:textId="77777777">
        <w:trPr>
          <w:jc w:val="center"/>
        </w:trPr>
        <w:tc>
          <w:tcPr>
            <w:tcW w:w="1749" w:type="dxa"/>
          </w:tcPr>
          <w:p w14:paraId="6D7E4E87" w14:textId="77777777" w:rsidR="00A10B25" w:rsidRDefault="00A10B25">
            <w:pPr>
              <w:pStyle w:val="TAL"/>
              <w:rPr>
                <w:lang w:eastAsia="zh-CN"/>
              </w:rPr>
            </w:pPr>
            <w:r>
              <w:t>startTs</w:t>
            </w:r>
          </w:p>
        </w:tc>
        <w:tc>
          <w:tcPr>
            <w:tcW w:w="1559" w:type="dxa"/>
          </w:tcPr>
          <w:p w14:paraId="21977992" w14:textId="77777777" w:rsidR="00A10B25" w:rsidRDefault="00A10B25">
            <w:pPr>
              <w:pStyle w:val="TAL"/>
              <w:rPr>
                <w:lang w:eastAsia="zh-CN"/>
              </w:rPr>
            </w:pPr>
            <w:r>
              <w:t>DateTime</w:t>
            </w:r>
          </w:p>
        </w:tc>
        <w:tc>
          <w:tcPr>
            <w:tcW w:w="425" w:type="dxa"/>
          </w:tcPr>
          <w:p w14:paraId="4B1F9880" w14:textId="77777777" w:rsidR="00A10B25" w:rsidRDefault="00A10B25">
            <w:pPr>
              <w:pStyle w:val="TAC"/>
              <w:rPr>
                <w:rFonts w:eastAsia="Times New Roman"/>
              </w:rPr>
            </w:pPr>
            <w:r>
              <w:t>O</w:t>
            </w:r>
          </w:p>
        </w:tc>
        <w:tc>
          <w:tcPr>
            <w:tcW w:w="1134" w:type="dxa"/>
          </w:tcPr>
          <w:p w14:paraId="162A44C3" w14:textId="77777777" w:rsidR="00A10B25" w:rsidRDefault="00A10B25">
            <w:pPr>
              <w:pStyle w:val="TAL"/>
              <w:rPr>
                <w:rFonts w:eastAsia="Times New Roman"/>
              </w:rPr>
            </w:pPr>
            <w:r>
              <w:t>0..1</w:t>
            </w:r>
          </w:p>
        </w:tc>
        <w:tc>
          <w:tcPr>
            <w:tcW w:w="2856" w:type="dxa"/>
          </w:tcPr>
          <w:p w14:paraId="6E9CB3A5" w14:textId="77777777" w:rsidR="00A10B25" w:rsidRDefault="00A10B25">
            <w:pPr>
              <w:pStyle w:val="TAL"/>
            </w:pPr>
            <w:r>
              <w:t>UTC time indicating the start time of the observation period.</w:t>
            </w:r>
          </w:p>
          <w:p w14:paraId="0CA4B3BC" w14:textId="77777777" w:rsidR="00A10B25" w:rsidRDefault="00A10B25">
            <w:pPr>
              <w:pStyle w:val="TAL"/>
            </w:pPr>
            <w:r>
              <w:t>The absence of this attribute means subscription at the present time unless the "offsetPeriod" attribute is included. (NOTE 3)</w:t>
            </w:r>
          </w:p>
        </w:tc>
        <w:tc>
          <w:tcPr>
            <w:tcW w:w="1843" w:type="dxa"/>
          </w:tcPr>
          <w:p w14:paraId="258FF144" w14:textId="77777777" w:rsidR="00A10B25" w:rsidRDefault="00A10B25">
            <w:pPr>
              <w:pStyle w:val="TAL"/>
              <w:rPr>
                <w:rFonts w:cs="Arial"/>
                <w:szCs w:val="18"/>
              </w:rPr>
            </w:pPr>
          </w:p>
        </w:tc>
      </w:tr>
      <w:tr w:rsidR="00A10B25" w14:paraId="5C5E70DA" w14:textId="77777777">
        <w:trPr>
          <w:jc w:val="center"/>
        </w:trPr>
        <w:tc>
          <w:tcPr>
            <w:tcW w:w="1749" w:type="dxa"/>
          </w:tcPr>
          <w:p w14:paraId="6B6CD506" w14:textId="77777777" w:rsidR="00A10B25" w:rsidRDefault="00A10B25">
            <w:pPr>
              <w:pStyle w:val="TAL"/>
              <w:rPr>
                <w:lang w:eastAsia="zh-CN"/>
              </w:rPr>
            </w:pPr>
            <w:r>
              <w:t>endTs</w:t>
            </w:r>
          </w:p>
        </w:tc>
        <w:tc>
          <w:tcPr>
            <w:tcW w:w="1559" w:type="dxa"/>
          </w:tcPr>
          <w:p w14:paraId="493549DB" w14:textId="77777777" w:rsidR="00A10B25" w:rsidRDefault="00A10B25">
            <w:pPr>
              <w:pStyle w:val="TAL"/>
              <w:rPr>
                <w:lang w:eastAsia="zh-CN"/>
              </w:rPr>
            </w:pPr>
            <w:r>
              <w:t>DateTime</w:t>
            </w:r>
          </w:p>
        </w:tc>
        <w:tc>
          <w:tcPr>
            <w:tcW w:w="425" w:type="dxa"/>
          </w:tcPr>
          <w:p w14:paraId="1C5F2802" w14:textId="77777777" w:rsidR="00A10B25" w:rsidRDefault="00A10B25">
            <w:pPr>
              <w:pStyle w:val="TAC"/>
              <w:rPr>
                <w:rFonts w:eastAsia="Times New Roman"/>
              </w:rPr>
            </w:pPr>
            <w:r>
              <w:rPr>
                <w:rFonts w:cs="Arial"/>
                <w:szCs w:val="18"/>
                <w:lang w:eastAsia="zh-CN"/>
              </w:rPr>
              <w:t>O</w:t>
            </w:r>
          </w:p>
        </w:tc>
        <w:tc>
          <w:tcPr>
            <w:tcW w:w="1134" w:type="dxa"/>
          </w:tcPr>
          <w:p w14:paraId="098E9937" w14:textId="77777777" w:rsidR="00A10B25" w:rsidRDefault="00A10B25">
            <w:pPr>
              <w:pStyle w:val="TAL"/>
              <w:rPr>
                <w:rFonts w:eastAsia="Times New Roman"/>
              </w:rPr>
            </w:pPr>
            <w:r>
              <w:rPr>
                <w:rFonts w:cs="Arial"/>
                <w:szCs w:val="18"/>
                <w:lang w:eastAsia="zh-CN"/>
              </w:rPr>
              <w:t>0..1</w:t>
            </w:r>
          </w:p>
        </w:tc>
        <w:tc>
          <w:tcPr>
            <w:tcW w:w="2856" w:type="dxa"/>
          </w:tcPr>
          <w:p w14:paraId="3E988735" w14:textId="77777777" w:rsidR="00A10B25" w:rsidRDefault="00A10B25">
            <w:pPr>
              <w:pStyle w:val="TAL"/>
            </w:pPr>
            <w:r>
              <w:t>UTC time indicating the end time of the observation period.</w:t>
            </w:r>
          </w:p>
          <w:p w14:paraId="7C87C6E1" w14:textId="77777777" w:rsidR="00A10B25" w:rsidRDefault="00A10B25">
            <w:pPr>
              <w:pStyle w:val="TAL"/>
            </w:pPr>
            <w:r>
              <w:t xml:space="preserve">If the start time is in the past, then </w:t>
            </w:r>
            <w:r>
              <w:rPr>
                <w:rFonts w:hint="eastAsia"/>
                <w:lang w:eastAsia="zh-CN"/>
              </w:rPr>
              <w:t>t</w:t>
            </w:r>
            <w:r>
              <w:t>he absence of this attribute means that the end time of the subscription is at the present time, unless the "offsetPeriod" attribute is included.</w:t>
            </w:r>
          </w:p>
          <w:p w14:paraId="7FE5A2A4" w14:textId="77777777" w:rsidR="00A10B25" w:rsidRDefault="00A10B25">
            <w:pPr>
              <w:pStyle w:val="TAL"/>
            </w:pPr>
            <w:r>
              <w:t>If provided, it shall not be less than the start time. (NOTE 3)</w:t>
            </w:r>
          </w:p>
        </w:tc>
        <w:tc>
          <w:tcPr>
            <w:tcW w:w="1843" w:type="dxa"/>
          </w:tcPr>
          <w:p w14:paraId="279D65FD" w14:textId="77777777" w:rsidR="00A10B25" w:rsidRDefault="00A10B25">
            <w:pPr>
              <w:pStyle w:val="TAL"/>
              <w:rPr>
                <w:rFonts w:cs="Arial"/>
                <w:szCs w:val="18"/>
              </w:rPr>
            </w:pPr>
          </w:p>
        </w:tc>
      </w:tr>
      <w:tr w:rsidR="00A10B25" w14:paraId="62CE4B0B" w14:textId="77777777">
        <w:trPr>
          <w:jc w:val="center"/>
        </w:trPr>
        <w:tc>
          <w:tcPr>
            <w:tcW w:w="1749" w:type="dxa"/>
          </w:tcPr>
          <w:p w14:paraId="2E1C4226" w14:textId="77777777" w:rsidR="00A10B25" w:rsidRDefault="00A10B25">
            <w:pPr>
              <w:pStyle w:val="TAL"/>
            </w:pPr>
            <w:r>
              <w:t>offsetPeriod</w:t>
            </w:r>
          </w:p>
        </w:tc>
        <w:tc>
          <w:tcPr>
            <w:tcW w:w="1559" w:type="dxa"/>
          </w:tcPr>
          <w:p w14:paraId="0D227550" w14:textId="77777777" w:rsidR="00A10B25" w:rsidRDefault="00A10B25">
            <w:pPr>
              <w:pStyle w:val="TAL"/>
            </w:pPr>
            <w:r>
              <w:t>integer</w:t>
            </w:r>
          </w:p>
        </w:tc>
        <w:tc>
          <w:tcPr>
            <w:tcW w:w="425" w:type="dxa"/>
          </w:tcPr>
          <w:p w14:paraId="7DFB38CE" w14:textId="77777777" w:rsidR="00A10B25" w:rsidRDefault="00A10B25">
            <w:pPr>
              <w:pStyle w:val="TAC"/>
              <w:rPr>
                <w:rFonts w:cs="Arial"/>
                <w:szCs w:val="18"/>
                <w:lang w:eastAsia="zh-CN"/>
              </w:rPr>
            </w:pPr>
            <w:r>
              <w:rPr>
                <w:rFonts w:cs="Arial"/>
                <w:szCs w:val="18"/>
                <w:lang w:eastAsia="zh-CN"/>
              </w:rPr>
              <w:t>O</w:t>
            </w:r>
          </w:p>
        </w:tc>
        <w:tc>
          <w:tcPr>
            <w:tcW w:w="1134" w:type="dxa"/>
          </w:tcPr>
          <w:p w14:paraId="29BF2043" w14:textId="77777777" w:rsidR="00A10B25" w:rsidRDefault="00A10B25">
            <w:pPr>
              <w:pStyle w:val="TAL"/>
              <w:rPr>
                <w:rFonts w:cs="Arial"/>
                <w:szCs w:val="18"/>
                <w:lang w:eastAsia="zh-CN"/>
              </w:rPr>
            </w:pPr>
            <w:r>
              <w:rPr>
                <w:rFonts w:cs="Arial"/>
                <w:szCs w:val="18"/>
                <w:lang w:eastAsia="zh-CN"/>
              </w:rPr>
              <w:t>0..1</w:t>
            </w:r>
          </w:p>
        </w:tc>
        <w:tc>
          <w:tcPr>
            <w:tcW w:w="2856" w:type="dxa"/>
          </w:tcPr>
          <w:p w14:paraId="244573B2" w14:textId="77777777" w:rsidR="00A10B25" w:rsidRDefault="00A10B25">
            <w:pPr>
              <w:pStyle w:val="TAL"/>
            </w:pPr>
            <w:r>
              <w:t>Offset period in units of seconds to the reporting time, if the value is negative means statistics in the past offset period, otherwise a positive value means prediction in the future offset period. May be present if the "repPeriod" attribute is included within the "evtReq" attribute or the "repetitionPeriod" attribute is included within the EventSubscription type. (NOTE 3)</w:t>
            </w:r>
          </w:p>
        </w:tc>
        <w:tc>
          <w:tcPr>
            <w:tcW w:w="1843" w:type="dxa"/>
          </w:tcPr>
          <w:p w14:paraId="177446D6" w14:textId="77777777" w:rsidR="00A10B25" w:rsidRDefault="00A10B25">
            <w:pPr>
              <w:pStyle w:val="TAL"/>
              <w:rPr>
                <w:rFonts w:cs="Arial"/>
                <w:szCs w:val="18"/>
              </w:rPr>
            </w:pPr>
            <w:r>
              <w:rPr>
                <w:rFonts w:cs="Arial"/>
                <w:szCs w:val="18"/>
              </w:rPr>
              <w:t>EneNA</w:t>
            </w:r>
          </w:p>
        </w:tc>
      </w:tr>
      <w:tr w:rsidR="00A10B25" w14:paraId="0C731C17" w14:textId="77777777">
        <w:trPr>
          <w:jc w:val="center"/>
        </w:trPr>
        <w:tc>
          <w:tcPr>
            <w:tcW w:w="1749" w:type="dxa"/>
          </w:tcPr>
          <w:p w14:paraId="1F21D3E4" w14:textId="77777777" w:rsidR="00A10B25" w:rsidRDefault="00A10B25">
            <w:pPr>
              <w:pStyle w:val="TAL"/>
            </w:pPr>
            <w:r>
              <w:rPr>
                <w:rFonts w:cs="Arial"/>
                <w:szCs w:val="18"/>
                <w:lang w:eastAsia="zh-CN"/>
              </w:rPr>
              <w:t>sampRatio</w:t>
            </w:r>
          </w:p>
        </w:tc>
        <w:tc>
          <w:tcPr>
            <w:tcW w:w="1559" w:type="dxa"/>
          </w:tcPr>
          <w:p w14:paraId="6FCAA512" w14:textId="77777777" w:rsidR="00A10B25" w:rsidRDefault="00A10B25">
            <w:pPr>
              <w:pStyle w:val="TAL"/>
            </w:pPr>
            <w:r>
              <w:t>SamplingRatio</w:t>
            </w:r>
          </w:p>
        </w:tc>
        <w:tc>
          <w:tcPr>
            <w:tcW w:w="425" w:type="dxa"/>
          </w:tcPr>
          <w:p w14:paraId="4C2B9C2C" w14:textId="77777777" w:rsidR="00A10B25" w:rsidRDefault="00A10B25">
            <w:pPr>
              <w:pStyle w:val="TAC"/>
              <w:rPr>
                <w:rFonts w:cs="Arial"/>
                <w:szCs w:val="18"/>
                <w:lang w:eastAsia="zh-CN"/>
              </w:rPr>
            </w:pPr>
            <w:r>
              <w:rPr>
                <w:rFonts w:cs="Arial"/>
                <w:szCs w:val="18"/>
                <w:lang w:eastAsia="zh-CN"/>
              </w:rPr>
              <w:t>O</w:t>
            </w:r>
          </w:p>
        </w:tc>
        <w:tc>
          <w:tcPr>
            <w:tcW w:w="1134" w:type="dxa"/>
          </w:tcPr>
          <w:p w14:paraId="40132EE8" w14:textId="77777777" w:rsidR="00A10B25" w:rsidRDefault="00A10B25">
            <w:pPr>
              <w:pStyle w:val="TAL"/>
              <w:rPr>
                <w:rFonts w:cs="Arial"/>
                <w:szCs w:val="18"/>
                <w:lang w:eastAsia="zh-CN"/>
              </w:rPr>
            </w:pPr>
            <w:r>
              <w:rPr>
                <w:rFonts w:cs="Arial"/>
                <w:szCs w:val="18"/>
                <w:lang w:eastAsia="zh-CN"/>
              </w:rPr>
              <w:t>0..1</w:t>
            </w:r>
          </w:p>
        </w:tc>
        <w:tc>
          <w:tcPr>
            <w:tcW w:w="2856" w:type="dxa"/>
          </w:tcPr>
          <w:p w14:paraId="3AFB5BD7" w14:textId="77777777" w:rsidR="00A10B25" w:rsidRDefault="00A10B25">
            <w:pPr>
              <w:pStyle w:val="TAL"/>
            </w:pPr>
            <w:r>
              <w:t>Percentage of sampling (1%...100%) among impacted UEs.</w:t>
            </w:r>
          </w:p>
          <w:p w14:paraId="57FF0D9D" w14:textId="77777777" w:rsidR="00A10B25" w:rsidRDefault="00A10B25">
            <w:pPr>
              <w:pStyle w:val="TAL"/>
            </w:pPr>
            <w:r>
              <w:t>Applicable to event targeting a group of UEs or any UE.</w:t>
            </w:r>
          </w:p>
          <w:p w14:paraId="6EBA16F3" w14:textId="77777777" w:rsidR="00A10B25" w:rsidRDefault="00A10B25">
            <w:pPr>
              <w:pStyle w:val="TAL"/>
            </w:pPr>
            <w:r>
              <w:t>(NOTE 1)</w:t>
            </w:r>
          </w:p>
        </w:tc>
        <w:tc>
          <w:tcPr>
            <w:tcW w:w="1843" w:type="dxa"/>
          </w:tcPr>
          <w:p w14:paraId="740F5D16" w14:textId="77777777" w:rsidR="00A10B25" w:rsidRDefault="00A10B25">
            <w:pPr>
              <w:pStyle w:val="TAL"/>
              <w:rPr>
                <w:rFonts w:cs="Arial"/>
                <w:szCs w:val="18"/>
              </w:rPr>
            </w:pPr>
          </w:p>
        </w:tc>
      </w:tr>
      <w:tr w:rsidR="00A10B25" w14:paraId="4D551CA8" w14:textId="77777777">
        <w:trPr>
          <w:jc w:val="center"/>
        </w:trPr>
        <w:tc>
          <w:tcPr>
            <w:tcW w:w="1749" w:type="dxa"/>
          </w:tcPr>
          <w:p w14:paraId="37096504" w14:textId="77777777" w:rsidR="00A10B25" w:rsidRDefault="00A10B25">
            <w:pPr>
              <w:pStyle w:val="TAL"/>
            </w:pPr>
            <w:r>
              <w:rPr>
                <w:rFonts w:hint="eastAsia"/>
                <w:lang w:eastAsia="zh-CN"/>
              </w:rPr>
              <w:t>m</w:t>
            </w:r>
            <w:r>
              <w:rPr>
                <w:lang w:eastAsia="zh-CN"/>
              </w:rPr>
              <w:t>axSupiNbr</w:t>
            </w:r>
          </w:p>
        </w:tc>
        <w:tc>
          <w:tcPr>
            <w:tcW w:w="1559" w:type="dxa"/>
          </w:tcPr>
          <w:p w14:paraId="7E7508F1" w14:textId="77777777" w:rsidR="00A10B25" w:rsidRDefault="00A10B25">
            <w:pPr>
              <w:pStyle w:val="TAL"/>
            </w:pPr>
            <w:r>
              <w:rPr>
                <w:lang w:eastAsia="zh-CN"/>
              </w:rPr>
              <w:t>Uinteger</w:t>
            </w:r>
          </w:p>
        </w:tc>
        <w:tc>
          <w:tcPr>
            <w:tcW w:w="425" w:type="dxa"/>
          </w:tcPr>
          <w:p w14:paraId="6AE4F21F" w14:textId="77777777" w:rsidR="00A10B25" w:rsidRDefault="00A10B25">
            <w:pPr>
              <w:pStyle w:val="TAC"/>
              <w:rPr>
                <w:rFonts w:cs="Arial"/>
                <w:szCs w:val="18"/>
                <w:lang w:eastAsia="zh-CN"/>
              </w:rPr>
            </w:pPr>
            <w:r>
              <w:rPr>
                <w:rFonts w:cs="Arial" w:hint="eastAsia"/>
                <w:szCs w:val="18"/>
                <w:lang w:eastAsia="zh-CN"/>
              </w:rPr>
              <w:t>O</w:t>
            </w:r>
          </w:p>
        </w:tc>
        <w:tc>
          <w:tcPr>
            <w:tcW w:w="1134" w:type="dxa"/>
          </w:tcPr>
          <w:p w14:paraId="6C2970BE" w14:textId="77777777" w:rsidR="00A10B25" w:rsidRDefault="00A10B25">
            <w:pPr>
              <w:pStyle w:val="TAL"/>
              <w:rPr>
                <w:rFonts w:cs="Arial"/>
                <w:szCs w:val="18"/>
                <w:lang w:eastAsia="zh-CN"/>
              </w:rPr>
            </w:pPr>
            <w:r>
              <w:rPr>
                <w:rFonts w:cs="Arial" w:hint="eastAsia"/>
                <w:szCs w:val="18"/>
                <w:lang w:eastAsia="zh-CN"/>
              </w:rPr>
              <w:t>0</w:t>
            </w:r>
            <w:r>
              <w:rPr>
                <w:rFonts w:cs="Arial"/>
                <w:szCs w:val="18"/>
                <w:lang w:eastAsia="zh-CN"/>
              </w:rPr>
              <w:t>..1</w:t>
            </w:r>
          </w:p>
        </w:tc>
        <w:tc>
          <w:tcPr>
            <w:tcW w:w="2856" w:type="dxa"/>
          </w:tcPr>
          <w:p w14:paraId="0CD70F01" w14:textId="77777777" w:rsidR="00A10B25" w:rsidRDefault="00A10B25">
            <w:pPr>
              <w:pStyle w:val="TAL"/>
            </w:pPr>
            <w:r>
              <w:rPr>
                <w:lang w:val="en-US" w:eastAsia="zh-CN"/>
              </w:rPr>
              <w:t>Represents the maximum number of SUPIs</w:t>
            </w:r>
            <w:r>
              <w:t xml:space="preserve"> expected in an object. </w:t>
            </w:r>
          </w:p>
          <w:p w14:paraId="31675515" w14:textId="77777777" w:rsidR="00A10B25" w:rsidRDefault="00A10B25">
            <w:pPr>
              <w:pStyle w:val="TAL"/>
            </w:pPr>
            <w:r>
              <w:t>Applicable for the event(s) providing a list of SUPIs during the analytics response.</w:t>
            </w:r>
          </w:p>
        </w:tc>
        <w:tc>
          <w:tcPr>
            <w:tcW w:w="1843" w:type="dxa"/>
          </w:tcPr>
          <w:p w14:paraId="6437D78D" w14:textId="77777777" w:rsidR="00A10B25" w:rsidRDefault="00A10B25">
            <w:pPr>
              <w:pStyle w:val="TAL"/>
              <w:rPr>
                <w:rFonts w:cs="Arial"/>
                <w:szCs w:val="18"/>
              </w:rPr>
            </w:pPr>
          </w:p>
        </w:tc>
      </w:tr>
      <w:tr w:rsidR="00A10B25" w14:paraId="591D5DF3" w14:textId="77777777">
        <w:trPr>
          <w:jc w:val="center"/>
        </w:trPr>
        <w:tc>
          <w:tcPr>
            <w:tcW w:w="1749" w:type="dxa"/>
          </w:tcPr>
          <w:p w14:paraId="55392A1A" w14:textId="77777777" w:rsidR="00A10B25" w:rsidRDefault="00A10B25">
            <w:pPr>
              <w:pStyle w:val="TAL"/>
              <w:rPr>
                <w:rFonts w:hint="eastAsia"/>
                <w:lang w:eastAsia="zh-CN"/>
              </w:rPr>
            </w:pPr>
            <w:r>
              <w:t>maxObjectNbr</w:t>
            </w:r>
          </w:p>
        </w:tc>
        <w:tc>
          <w:tcPr>
            <w:tcW w:w="1559" w:type="dxa"/>
          </w:tcPr>
          <w:p w14:paraId="0D1115D1" w14:textId="77777777" w:rsidR="00A10B25" w:rsidRDefault="00A10B25">
            <w:pPr>
              <w:pStyle w:val="TAL"/>
              <w:rPr>
                <w:lang w:eastAsia="zh-CN"/>
              </w:rPr>
            </w:pPr>
            <w:r>
              <w:t>Uinteger</w:t>
            </w:r>
          </w:p>
        </w:tc>
        <w:tc>
          <w:tcPr>
            <w:tcW w:w="425" w:type="dxa"/>
          </w:tcPr>
          <w:p w14:paraId="637EBBC1" w14:textId="77777777" w:rsidR="00A10B25" w:rsidRDefault="00A10B25">
            <w:pPr>
              <w:pStyle w:val="TAC"/>
              <w:rPr>
                <w:rFonts w:cs="Arial" w:hint="eastAsia"/>
                <w:szCs w:val="18"/>
                <w:lang w:eastAsia="zh-CN"/>
              </w:rPr>
            </w:pPr>
            <w:r>
              <w:t>O</w:t>
            </w:r>
          </w:p>
        </w:tc>
        <w:tc>
          <w:tcPr>
            <w:tcW w:w="1134" w:type="dxa"/>
          </w:tcPr>
          <w:p w14:paraId="0FF5CA3C" w14:textId="77777777" w:rsidR="00A10B25" w:rsidRDefault="00A10B25">
            <w:pPr>
              <w:pStyle w:val="TAL"/>
              <w:rPr>
                <w:rFonts w:cs="Arial" w:hint="eastAsia"/>
                <w:szCs w:val="18"/>
                <w:lang w:eastAsia="zh-CN"/>
              </w:rPr>
            </w:pPr>
            <w:r>
              <w:t>0..1</w:t>
            </w:r>
          </w:p>
        </w:tc>
        <w:tc>
          <w:tcPr>
            <w:tcW w:w="2856" w:type="dxa"/>
          </w:tcPr>
          <w:p w14:paraId="635C2195" w14:textId="77777777" w:rsidR="00A10B25" w:rsidRDefault="00A10B25">
            <w:pPr>
              <w:pStyle w:val="TAL"/>
              <w:rPr>
                <w:lang w:val="en-US" w:eastAsia="zh-CN"/>
              </w:rPr>
            </w:pPr>
            <w:r>
              <w:t>Maximum number of objects expected for an analytics report. It's only applicable for the event(s) which may provide more than one entries or objects during event notification.</w:t>
            </w:r>
          </w:p>
        </w:tc>
        <w:tc>
          <w:tcPr>
            <w:tcW w:w="1843" w:type="dxa"/>
          </w:tcPr>
          <w:p w14:paraId="60813D66" w14:textId="77777777" w:rsidR="00A10B25" w:rsidRDefault="00A10B25">
            <w:pPr>
              <w:pStyle w:val="TAL"/>
              <w:rPr>
                <w:rFonts w:cs="Arial"/>
                <w:szCs w:val="18"/>
              </w:rPr>
            </w:pPr>
          </w:p>
        </w:tc>
      </w:tr>
      <w:tr w:rsidR="00A10B25" w14:paraId="7D04DCA8" w14:textId="77777777">
        <w:trPr>
          <w:jc w:val="center"/>
        </w:trPr>
        <w:tc>
          <w:tcPr>
            <w:tcW w:w="1749" w:type="dxa"/>
          </w:tcPr>
          <w:p w14:paraId="56AA22B2" w14:textId="77777777" w:rsidR="00A10B25" w:rsidRDefault="00A10B25">
            <w:pPr>
              <w:pStyle w:val="TAL"/>
            </w:pPr>
            <w:r>
              <w:t>timeAnaNeeded</w:t>
            </w:r>
          </w:p>
        </w:tc>
        <w:tc>
          <w:tcPr>
            <w:tcW w:w="1559" w:type="dxa"/>
          </w:tcPr>
          <w:p w14:paraId="5801E453" w14:textId="77777777" w:rsidR="00A10B25" w:rsidRDefault="00A10B25">
            <w:pPr>
              <w:pStyle w:val="TAL"/>
            </w:pPr>
            <w:r>
              <w:t>DateTime</w:t>
            </w:r>
          </w:p>
        </w:tc>
        <w:tc>
          <w:tcPr>
            <w:tcW w:w="425" w:type="dxa"/>
          </w:tcPr>
          <w:p w14:paraId="5BA11FF0" w14:textId="77777777" w:rsidR="00A10B25" w:rsidRDefault="00A10B25">
            <w:pPr>
              <w:pStyle w:val="TAC"/>
            </w:pPr>
            <w:r>
              <w:t>O</w:t>
            </w:r>
          </w:p>
        </w:tc>
        <w:tc>
          <w:tcPr>
            <w:tcW w:w="1134" w:type="dxa"/>
          </w:tcPr>
          <w:p w14:paraId="4F532795" w14:textId="77777777" w:rsidR="00A10B25" w:rsidRDefault="00A10B25">
            <w:pPr>
              <w:pStyle w:val="TAL"/>
            </w:pPr>
            <w:r>
              <w:t>0..1</w:t>
            </w:r>
          </w:p>
        </w:tc>
        <w:tc>
          <w:tcPr>
            <w:tcW w:w="2856" w:type="dxa"/>
          </w:tcPr>
          <w:p w14:paraId="44226076" w14:textId="77777777" w:rsidR="00A10B25" w:rsidRDefault="00A10B25">
            <w:pPr>
              <w:pStyle w:val="TAL"/>
            </w:pPr>
            <w:r>
              <w:t>UTC time indicating the time when analytcs information is needed.</w:t>
            </w:r>
          </w:p>
        </w:tc>
        <w:tc>
          <w:tcPr>
            <w:tcW w:w="1843" w:type="dxa"/>
          </w:tcPr>
          <w:p w14:paraId="75DB66D4" w14:textId="77777777" w:rsidR="00A10B25" w:rsidRDefault="00A10B25">
            <w:pPr>
              <w:pStyle w:val="TAL"/>
              <w:rPr>
                <w:rFonts w:cs="Arial"/>
                <w:szCs w:val="18"/>
              </w:rPr>
            </w:pPr>
            <w:r>
              <w:rPr>
                <w:rFonts w:cs="Arial"/>
                <w:szCs w:val="18"/>
              </w:rPr>
              <w:t>EneNA</w:t>
            </w:r>
          </w:p>
        </w:tc>
      </w:tr>
      <w:tr w:rsidR="00A10B25" w14:paraId="61B5E85F" w14:textId="77777777">
        <w:trPr>
          <w:jc w:val="center"/>
        </w:trPr>
        <w:tc>
          <w:tcPr>
            <w:tcW w:w="1749" w:type="dxa"/>
          </w:tcPr>
          <w:p w14:paraId="3E920CCC" w14:textId="77777777" w:rsidR="00A10B25" w:rsidRDefault="00A10B25">
            <w:pPr>
              <w:pStyle w:val="TAL"/>
            </w:pPr>
            <w:r>
              <w:t>anaMeta</w:t>
            </w:r>
          </w:p>
        </w:tc>
        <w:tc>
          <w:tcPr>
            <w:tcW w:w="1559" w:type="dxa"/>
          </w:tcPr>
          <w:p w14:paraId="0401BA04" w14:textId="77777777" w:rsidR="00A10B25" w:rsidRDefault="00A10B25">
            <w:pPr>
              <w:pStyle w:val="TAL"/>
            </w:pPr>
            <w:r>
              <w:t>array(AnalyticsMetadata)</w:t>
            </w:r>
          </w:p>
        </w:tc>
        <w:tc>
          <w:tcPr>
            <w:tcW w:w="425" w:type="dxa"/>
          </w:tcPr>
          <w:p w14:paraId="5149DF01" w14:textId="77777777" w:rsidR="00A10B25" w:rsidRDefault="00A10B25">
            <w:pPr>
              <w:pStyle w:val="TAC"/>
            </w:pPr>
            <w:r>
              <w:t>O</w:t>
            </w:r>
          </w:p>
        </w:tc>
        <w:tc>
          <w:tcPr>
            <w:tcW w:w="1134" w:type="dxa"/>
          </w:tcPr>
          <w:p w14:paraId="19FD0202" w14:textId="77777777" w:rsidR="00A10B25" w:rsidRDefault="00A10B25">
            <w:pPr>
              <w:pStyle w:val="TAL"/>
            </w:pPr>
            <w:r>
              <w:t>1..N</w:t>
            </w:r>
          </w:p>
        </w:tc>
        <w:tc>
          <w:tcPr>
            <w:tcW w:w="2856" w:type="dxa"/>
          </w:tcPr>
          <w:p w14:paraId="1A42B5A2" w14:textId="77777777" w:rsidR="00A10B25" w:rsidRDefault="00A10B25">
            <w:pPr>
              <w:pStyle w:val="TAL"/>
            </w:pPr>
            <w:r>
              <w:t>List of analytics metadata that are requested to be included.</w:t>
            </w:r>
          </w:p>
        </w:tc>
        <w:tc>
          <w:tcPr>
            <w:tcW w:w="1843" w:type="dxa"/>
          </w:tcPr>
          <w:p w14:paraId="0C3ED674" w14:textId="77777777" w:rsidR="00A10B25" w:rsidRDefault="00A10B25">
            <w:pPr>
              <w:pStyle w:val="TAL"/>
              <w:rPr>
                <w:rFonts w:cs="Arial"/>
                <w:szCs w:val="18"/>
              </w:rPr>
            </w:pPr>
            <w:r>
              <w:t>Aggregation</w:t>
            </w:r>
          </w:p>
        </w:tc>
      </w:tr>
      <w:tr w:rsidR="00A10B25" w14:paraId="4F1E6711" w14:textId="77777777">
        <w:trPr>
          <w:jc w:val="center"/>
        </w:trPr>
        <w:tc>
          <w:tcPr>
            <w:tcW w:w="1749" w:type="dxa"/>
          </w:tcPr>
          <w:p w14:paraId="1AA06240" w14:textId="77777777" w:rsidR="00A10B25" w:rsidRDefault="00A10B25">
            <w:pPr>
              <w:pStyle w:val="TAL"/>
            </w:pPr>
            <w:r>
              <w:t>anaMetaInd</w:t>
            </w:r>
          </w:p>
        </w:tc>
        <w:tc>
          <w:tcPr>
            <w:tcW w:w="1559" w:type="dxa"/>
          </w:tcPr>
          <w:p w14:paraId="15E5EDA5" w14:textId="77777777" w:rsidR="00A10B25" w:rsidRDefault="00A10B25">
            <w:pPr>
              <w:pStyle w:val="TAL"/>
            </w:pPr>
            <w:r>
              <w:t>AnalyticsMetadataIndication</w:t>
            </w:r>
          </w:p>
        </w:tc>
        <w:tc>
          <w:tcPr>
            <w:tcW w:w="425" w:type="dxa"/>
          </w:tcPr>
          <w:p w14:paraId="30DA95DB" w14:textId="77777777" w:rsidR="00A10B25" w:rsidRDefault="00A10B25">
            <w:pPr>
              <w:pStyle w:val="TAC"/>
            </w:pPr>
            <w:r>
              <w:t>O</w:t>
            </w:r>
          </w:p>
        </w:tc>
        <w:tc>
          <w:tcPr>
            <w:tcW w:w="1134" w:type="dxa"/>
          </w:tcPr>
          <w:p w14:paraId="4CB3ADE7" w14:textId="77777777" w:rsidR="00A10B25" w:rsidRDefault="00A10B25">
            <w:pPr>
              <w:pStyle w:val="TAL"/>
            </w:pPr>
            <w:r>
              <w:t>0..1</w:t>
            </w:r>
          </w:p>
        </w:tc>
        <w:tc>
          <w:tcPr>
            <w:tcW w:w="2856" w:type="dxa"/>
          </w:tcPr>
          <w:p w14:paraId="24234B5D" w14:textId="77777777" w:rsidR="00A10B25" w:rsidRDefault="004D3964">
            <w:pPr>
              <w:pStyle w:val="TAL"/>
            </w:pPr>
            <w:r>
              <w:t>Contains values for the analytics metadata information</w:t>
            </w:r>
            <w:r>
              <w:rPr>
                <w:lang w:eastAsia="ko-KR"/>
              </w:rPr>
              <w:t>.</w:t>
            </w:r>
          </w:p>
        </w:tc>
        <w:tc>
          <w:tcPr>
            <w:tcW w:w="1843" w:type="dxa"/>
          </w:tcPr>
          <w:p w14:paraId="790EFD75" w14:textId="77777777" w:rsidR="00A10B25" w:rsidRDefault="00A10B25">
            <w:pPr>
              <w:pStyle w:val="TAL"/>
              <w:rPr>
                <w:rFonts w:cs="Arial"/>
                <w:szCs w:val="18"/>
              </w:rPr>
            </w:pPr>
            <w:r>
              <w:t>Aggregation</w:t>
            </w:r>
          </w:p>
        </w:tc>
      </w:tr>
      <w:tr w:rsidR="00A10B25" w14:paraId="48F6051C" w14:textId="77777777">
        <w:trPr>
          <w:jc w:val="center"/>
        </w:trPr>
        <w:tc>
          <w:tcPr>
            <w:tcW w:w="1749" w:type="dxa"/>
          </w:tcPr>
          <w:p w14:paraId="5C64D0DD" w14:textId="77777777" w:rsidR="00A10B25" w:rsidRDefault="00A10B25">
            <w:pPr>
              <w:pStyle w:val="TAL"/>
            </w:pPr>
            <w:r>
              <w:rPr>
                <w:lang w:eastAsia="zh-CN"/>
              </w:rPr>
              <w:lastRenderedPageBreak/>
              <w:t>histAnaTimePeriod</w:t>
            </w:r>
          </w:p>
        </w:tc>
        <w:tc>
          <w:tcPr>
            <w:tcW w:w="1559" w:type="dxa"/>
          </w:tcPr>
          <w:p w14:paraId="22AD9863" w14:textId="77777777" w:rsidR="00A10B25" w:rsidRDefault="00A10B25">
            <w:pPr>
              <w:pStyle w:val="TAL"/>
            </w:pPr>
            <w:r>
              <w:rPr>
                <w:rFonts w:eastAsia="等线"/>
                <w:lang w:eastAsia="zh-CN"/>
              </w:rPr>
              <w:t>TimeWindow</w:t>
            </w:r>
          </w:p>
        </w:tc>
        <w:tc>
          <w:tcPr>
            <w:tcW w:w="425" w:type="dxa"/>
          </w:tcPr>
          <w:p w14:paraId="78BBC93B" w14:textId="77777777" w:rsidR="00A10B25" w:rsidRDefault="00A10B25">
            <w:pPr>
              <w:pStyle w:val="TAC"/>
            </w:pPr>
            <w:r>
              <w:t>O</w:t>
            </w:r>
          </w:p>
        </w:tc>
        <w:tc>
          <w:tcPr>
            <w:tcW w:w="1134" w:type="dxa"/>
          </w:tcPr>
          <w:p w14:paraId="5723D046" w14:textId="77777777" w:rsidR="00A10B25" w:rsidRDefault="00A10B25">
            <w:pPr>
              <w:pStyle w:val="TAL"/>
            </w:pPr>
            <w:r>
              <w:rPr>
                <w:rFonts w:eastAsia="Yu Mincho"/>
                <w:lang w:eastAsia="ja-JP"/>
              </w:rPr>
              <w:t>0..1</w:t>
            </w:r>
          </w:p>
        </w:tc>
        <w:tc>
          <w:tcPr>
            <w:tcW w:w="2856" w:type="dxa"/>
          </w:tcPr>
          <w:p w14:paraId="13F9E061" w14:textId="77777777" w:rsidR="00A10B25" w:rsidRDefault="00A10B25">
            <w:pPr>
              <w:pStyle w:val="TAL"/>
            </w:pPr>
            <w:r>
              <w:t>The time period of historical analytics indicates the start time and end time during which the historical analytics was generated. If this attribute is included,</w:t>
            </w:r>
            <w:r>
              <w:rPr>
                <w:lang w:eastAsia="zh-CN"/>
              </w:rPr>
              <w:t xml:space="preserve"> the NWDAF only needs to provide the existing analytics, and does not need to generate new analytics.</w:t>
            </w:r>
          </w:p>
        </w:tc>
        <w:tc>
          <w:tcPr>
            <w:tcW w:w="1843" w:type="dxa"/>
          </w:tcPr>
          <w:p w14:paraId="74219FA2" w14:textId="77777777" w:rsidR="00A10B25" w:rsidRDefault="00A10B25">
            <w:pPr>
              <w:pStyle w:val="TAL"/>
            </w:pPr>
            <w:r>
              <w:rPr>
                <w:rFonts w:cs="Arial"/>
                <w:szCs w:val="18"/>
              </w:rPr>
              <w:t>EneNA</w:t>
            </w:r>
          </w:p>
        </w:tc>
      </w:tr>
      <w:tr w:rsidR="00A10B25" w14:paraId="225827D4" w14:textId="77777777">
        <w:trPr>
          <w:jc w:val="center"/>
        </w:trPr>
        <w:tc>
          <w:tcPr>
            <w:tcW w:w="9566" w:type="dxa"/>
            <w:gridSpan w:val="6"/>
          </w:tcPr>
          <w:p w14:paraId="212ED55F" w14:textId="77777777" w:rsidR="00A10B25" w:rsidRDefault="00A10B25">
            <w:pPr>
              <w:pStyle w:val="TAN"/>
            </w:pPr>
            <w:r>
              <w:rPr>
                <w:rFonts w:cs="Arial"/>
                <w:szCs w:val="18"/>
              </w:rPr>
              <w:t>NOTE 1:</w:t>
            </w:r>
            <w:r>
              <w:tab/>
              <w:t>The "sampRatio" attribute within EventReportingRequirement data type is not applicable for the Nnwdaf_EventsSubscription API.</w:t>
            </w:r>
          </w:p>
          <w:p w14:paraId="1CBC5AF5" w14:textId="77777777" w:rsidR="00A10B25" w:rsidRDefault="00A10B25">
            <w:pPr>
              <w:pStyle w:val="TAN"/>
            </w:pPr>
            <w:r>
              <w:rPr>
                <w:rFonts w:cs="Arial"/>
                <w:szCs w:val="18"/>
              </w:rPr>
              <w:t>NOTE 2:</w:t>
            </w:r>
            <w:r>
              <w:tab/>
              <w:t>Void.</w:t>
            </w:r>
          </w:p>
          <w:p w14:paraId="00FA1A63" w14:textId="77777777" w:rsidR="00A10B25" w:rsidRDefault="00A10B25">
            <w:pPr>
              <w:pStyle w:val="TAN"/>
            </w:pPr>
            <w:r>
              <w:t>NOTE 3:</w:t>
            </w:r>
            <w:r>
              <w:tab/>
              <w:t>When the "offsetPeriod" attribute is included, the "startTs" and "endTs" attributes shall not be included. If the analytics target period is indicated either by providing a "startTs" attribute and an "endTs" attribute that are equal, or by providing an "offsetPeriod" attribute equal to zero (which means there is no offset to the periodic reporting time indicated by the "repPeriod" attribute or "repetitionPeriod" attribute), then this is a request for analytics for a specific time of the same "startTs" attribute and "endTs" attribute or each specific time periodically indicated by the "repPeriod" attribute , rather than for a time interval. If none of the attributes "startTs", "endTs" and "offsetPeriod" is provided, the analytics target period starts at the present time and there is no specified end time.</w:t>
            </w:r>
          </w:p>
          <w:p w14:paraId="15D2EFFB" w14:textId="77777777" w:rsidR="00A10B25" w:rsidRDefault="00A10B25">
            <w:pPr>
              <w:pStyle w:val="TAN"/>
            </w:pPr>
            <w:r>
              <w:t>NOTE</w:t>
            </w:r>
            <w:r>
              <w:rPr>
                <w:lang w:eastAsia="zh-CN"/>
              </w:rPr>
              <w:t> 4</w:t>
            </w:r>
            <w:r>
              <w:t>:</w:t>
            </w:r>
            <w:r>
              <w:tab/>
              <w:t>If multiple accuracy entries are included, the order of the entries of the "accPerSubset" attribute corresponds with the order of the entries of the "listOfAnaSubsets" attribute, i.e. the first entry of the "accPerSubset" attribute holds the requested accuracy for the analytics subset that is indicated by the first entry of the "listOfAnaSubsets" attribute, and so on.</w:t>
            </w:r>
          </w:p>
          <w:p w14:paraId="584D2382" w14:textId="77777777" w:rsidR="00A10B25" w:rsidRDefault="00A10B25">
            <w:pPr>
              <w:pStyle w:val="TAN"/>
              <w:rPr>
                <w:rFonts w:cs="Arial"/>
                <w:szCs w:val="18"/>
              </w:rPr>
            </w:pPr>
            <w:r>
              <w:t>NOTE</w:t>
            </w:r>
            <w:r>
              <w:rPr>
                <w:lang w:eastAsia="zh-CN"/>
              </w:rPr>
              <w:t> 5</w:t>
            </w:r>
            <w:r>
              <w:t>:</w:t>
            </w:r>
            <w:r>
              <w:tab/>
              <w:t>If both the</w:t>
            </w:r>
            <w:r>
              <w:rPr>
                <w:lang w:eastAsia="zh-CN"/>
              </w:rPr>
              <w:t xml:space="preserve"> </w:t>
            </w:r>
            <w:r>
              <w:t>"</w:t>
            </w:r>
            <w:r>
              <w:rPr>
                <w:lang w:eastAsia="zh-CN"/>
              </w:rPr>
              <w:t>accuracy</w:t>
            </w:r>
            <w:r>
              <w:t>" attribute and "accPerSubset" attribute were provided in the request, the "accPerSubset" attribute takes precedence over the "</w:t>
            </w:r>
            <w:r>
              <w:rPr>
                <w:lang w:eastAsia="zh-CN"/>
              </w:rPr>
              <w:t>accuracy</w:t>
            </w:r>
            <w:r>
              <w:t>" attribute.</w:t>
            </w:r>
          </w:p>
        </w:tc>
      </w:tr>
    </w:tbl>
    <w:p w14:paraId="2AFCB9E6" w14:textId="77777777" w:rsidR="00A10B25" w:rsidRDefault="00A10B25"/>
    <w:p w14:paraId="3C7463C7" w14:textId="77777777" w:rsidR="00956830" w:rsidRDefault="00956830" w:rsidP="00956830">
      <w:pPr>
        <w:pStyle w:val="5"/>
      </w:pPr>
      <w:bookmarkStart w:id="5807" w:name="_Toc94064256"/>
      <w:bookmarkStart w:id="5808" w:name="_Toc120702311"/>
      <w:bookmarkStart w:id="5809" w:name="_Toc83233077"/>
      <w:bookmarkStart w:id="5810" w:name="_Toc51762900"/>
      <w:bookmarkStart w:id="5811" w:name="_Toc43563505"/>
      <w:bookmarkStart w:id="5812" w:name="_Toc66231803"/>
      <w:bookmarkStart w:id="5813" w:name="_Toc113031672"/>
      <w:bookmarkStart w:id="5814" w:name="_Toc34266292"/>
      <w:bookmarkStart w:id="5815" w:name="_Toc59017935"/>
      <w:bookmarkStart w:id="5816" w:name="_Toc90655873"/>
      <w:bookmarkStart w:id="5817" w:name="_Toc104539010"/>
      <w:bookmarkStart w:id="5818" w:name="_Toc85552987"/>
      <w:bookmarkStart w:id="5819" w:name="_Toc88667588"/>
      <w:bookmarkStart w:id="5820" w:name="_Toc45134048"/>
      <w:bookmarkStart w:id="5821" w:name="_Toc68168964"/>
      <w:bookmarkStart w:id="5822" w:name="_Toc145705699"/>
      <w:bookmarkStart w:id="5823" w:name="_Toc136562378"/>
      <w:bookmarkStart w:id="5824" w:name="_Toc148522603"/>
      <w:bookmarkStart w:id="5825" w:name="_Toc114133811"/>
      <w:bookmarkStart w:id="5826" w:name="_Toc101244417"/>
      <w:bookmarkStart w:id="5827" w:name="_Toc85557086"/>
      <w:bookmarkStart w:id="5828" w:name="_Toc98233641"/>
      <w:bookmarkStart w:id="5829" w:name="_Toc56640967"/>
      <w:bookmarkStart w:id="5830" w:name="_Toc28012822"/>
      <w:bookmarkStart w:id="5831" w:name="_Toc138754212"/>
      <w:bookmarkStart w:id="5832" w:name="_Toc70550631"/>
      <w:bookmarkStart w:id="5833" w:name="_Toc50031980"/>
      <w:bookmarkStart w:id="5834" w:name="_Toc36102463"/>
      <w:bookmarkStart w:id="5835" w:name="_Toc112951132"/>
      <w:bookmarkStart w:id="5836" w:name="_Toc56640966"/>
      <w:bookmarkStart w:id="5837" w:name="_Toc120702310"/>
      <w:bookmarkStart w:id="5838" w:name="_Toc85552986"/>
      <w:bookmarkStart w:id="5839" w:name="_Toc104539009"/>
      <w:bookmarkStart w:id="5840" w:name="_Toc145705698"/>
      <w:bookmarkStart w:id="5841" w:name="_Toc148522602"/>
      <w:bookmarkStart w:id="5842" w:name="_Toc51762899"/>
      <w:bookmarkStart w:id="5843" w:name="_Toc94064255"/>
      <w:bookmarkStart w:id="5844" w:name="_Toc36102462"/>
      <w:bookmarkStart w:id="5845" w:name="_Toc43563504"/>
      <w:bookmarkStart w:id="5846" w:name="_Toc90655872"/>
      <w:bookmarkStart w:id="5847" w:name="_Toc85557085"/>
      <w:bookmarkStart w:id="5848" w:name="_Toc83233076"/>
      <w:bookmarkStart w:id="5849" w:name="_Toc45134047"/>
      <w:bookmarkStart w:id="5850" w:name="_Toc70550630"/>
      <w:bookmarkStart w:id="5851" w:name="_Toc98233640"/>
      <w:bookmarkStart w:id="5852" w:name="_Toc112951131"/>
      <w:bookmarkStart w:id="5853" w:name="_Toc114133810"/>
      <w:bookmarkStart w:id="5854" w:name="_Toc50031979"/>
      <w:bookmarkStart w:id="5855" w:name="_Toc88667587"/>
      <w:bookmarkStart w:id="5856" w:name="_Toc28012821"/>
      <w:bookmarkStart w:id="5857" w:name="_Toc68168963"/>
      <w:bookmarkStart w:id="5858" w:name="_Toc59017934"/>
      <w:bookmarkStart w:id="5859" w:name="_Toc101244416"/>
      <w:bookmarkStart w:id="5860" w:name="_Toc138754211"/>
      <w:bookmarkStart w:id="5861" w:name="_Toc136562377"/>
      <w:bookmarkStart w:id="5862" w:name="_Toc113031671"/>
      <w:bookmarkStart w:id="5863" w:name="_Toc34266291"/>
      <w:bookmarkStart w:id="5864" w:name="_Toc66231802"/>
      <w:bookmarkStart w:id="5865" w:name="_Toc164920782"/>
      <w:bookmarkStart w:id="5866" w:name="_Toc170120324"/>
      <w:bookmarkStart w:id="5867" w:name="_Toc175858569"/>
      <w:bookmarkStart w:id="5868" w:name="_Toc175859642"/>
      <w:bookmarkStart w:id="5869" w:name="_Toc185517186"/>
      <w:bookmarkStart w:id="5870" w:name="_Toc191576237"/>
      <w:bookmarkStart w:id="5871" w:name="_Toc191576977"/>
      <w:bookmarkStart w:id="5872" w:name="_Toc192880047"/>
      <w:bookmarkStart w:id="5873" w:name="_Toc195814930"/>
      <w:bookmarkStart w:id="5874" w:name="_Toc199452897"/>
      <w:r>
        <w:lastRenderedPageBreak/>
        <w:t>5.1.6.2.8</w:t>
      </w:r>
      <w:r>
        <w:tab/>
        <w:t>Type TargetUeInformation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58249E1C" w14:textId="77777777" w:rsidR="00956830" w:rsidRDefault="00956830" w:rsidP="00956830">
      <w:pPr>
        <w:pStyle w:val="TH"/>
      </w:pPr>
      <w:r>
        <w:t>Table 5.1.6.2.8-1: Definition of type TargetUeInformation</w:t>
      </w:r>
    </w:p>
    <w:tbl>
      <w:tblPr>
        <w:tblW w:w="961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0"/>
        <w:gridCol w:w="1619"/>
        <w:gridCol w:w="360"/>
        <w:gridCol w:w="1169"/>
        <w:gridCol w:w="2878"/>
        <w:gridCol w:w="1889"/>
      </w:tblGrid>
      <w:tr w:rsidR="00956830" w14:paraId="412ECB7F"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shd w:val="clear" w:color="auto" w:fill="C0C0C0"/>
          </w:tcPr>
          <w:p w14:paraId="0FD289B1" w14:textId="77777777" w:rsidR="00956830" w:rsidRDefault="00956830" w:rsidP="007D0950">
            <w:pPr>
              <w:keepNext/>
              <w:keepLines/>
              <w:spacing w:after="0"/>
              <w:jc w:val="center"/>
              <w:rPr>
                <w:rFonts w:ascii="Arial" w:hAnsi="Arial"/>
                <w:b/>
                <w:sz w:val="18"/>
              </w:rPr>
            </w:pPr>
            <w:r>
              <w:rPr>
                <w:rFonts w:ascii="Arial" w:hAnsi="Arial"/>
                <w:b/>
                <w:sz w:val="18"/>
              </w:rPr>
              <w:t>Attribute name</w:t>
            </w:r>
          </w:p>
        </w:tc>
        <w:tc>
          <w:tcPr>
            <w:tcW w:w="1619" w:type="dxa"/>
            <w:tcBorders>
              <w:top w:val="single" w:sz="6" w:space="0" w:color="auto"/>
              <w:left w:val="single" w:sz="6" w:space="0" w:color="auto"/>
              <w:bottom w:val="single" w:sz="6" w:space="0" w:color="auto"/>
              <w:right w:val="single" w:sz="6" w:space="0" w:color="auto"/>
            </w:tcBorders>
            <w:shd w:val="clear" w:color="auto" w:fill="C0C0C0"/>
          </w:tcPr>
          <w:p w14:paraId="1AF905E6" w14:textId="77777777" w:rsidR="00956830" w:rsidRDefault="00956830" w:rsidP="007D095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tcPr>
          <w:p w14:paraId="5E63FDAD" w14:textId="77777777" w:rsidR="00956830" w:rsidRDefault="00956830" w:rsidP="007D0950">
            <w:pPr>
              <w:keepNext/>
              <w:keepLines/>
              <w:spacing w:after="0"/>
              <w:jc w:val="center"/>
              <w:rPr>
                <w:rFonts w:ascii="Arial" w:hAnsi="Arial"/>
                <w:b/>
                <w:sz w:val="18"/>
              </w:rPr>
            </w:pPr>
            <w:r>
              <w:rPr>
                <w:rFonts w:ascii="Arial" w:hAnsi="Arial"/>
                <w:b/>
                <w:sz w:val="18"/>
              </w:rPr>
              <w:t>P</w:t>
            </w:r>
          </w:p>
        </w:tc>
        <w:tc>
          <w:tcPr>
            <w:tcW w:w="1169" w:type="dxa"/>
            <w:tcBorders>
              <w:top w:val="single" w:sz="6" w:space="0" w:color="auto"/>
              <w:left w:val="single" w:sz="6" w:space="0" w:color="auto"/>
              <w:bottom w:val="single" w:sz="6" w:space="0" w:color="auto"/>
              <w:right w:val="single" w:sz="6" w:space="0" w:color="auto"/>
            </w:tcBorders>
            <w:shd w:val="clear" w:color="auto" w:fill="C0C0C0"/>
          </w:tcPr>
          <w:p w14:paraId="3D07CDBC" w14:textId="77777777" w:rsidR="00956830" w:rsidRDefault="00956830" w:rsidP="007D0950">
            <w:pPr>
              <w:keepNext/>
              <w:keepLines/>
              <w:spacing w:after="0"/>
              <w:jc w:val="center"/>
              <w:rPr>
                <w:rFonts w:ascii="Arial" w:hAnsi="Arial"/>
                <w:b/>
                <w:sz w:val="18"/>
              </w:rPr>
            </w:pPr>
            <w:r>
              <w:rPr>
                <w:rFonts w:ascii="Arial" w:hAnsi="Arial"/>
                <w:b/>
                <w:sz w:val="18"/>
              </w:rPr>
              <w:t>Cardinality</w:t>
            </w:r>
          </w:p>
        </w:tc>
        <w:tc>
          <w:tcPr>
            <w:tcW w:w="2878" w:type="dxa"/>
            <w:tcBorders>
              <w:top w:val="single" w:sz="6" w:space="0" w:color="auto"/>
              <w:left w:val="single" w:sz="6" w:space="0" w:color="auto"/>
              <w:bottom w:val="single" w:sz="6" w:space="0" w:color="auto"/>
              <w:right w:val="single" w:sz="6" w:space="0" w:color="auto"/>
            </w:tcBorders>
            <w:shd w:val="clear" w:color="auto" w:fill="C0C0C0"/>
          </w:tcPr>
          <w:p w14:paraId="6F6C70BF" w14:textId="77777777" w:rsidR="00956830" w:rsidRDefault="00956830" w:rsidP="007D0950">
            <w:pPr>
              <w:keepNext/>
              <w:keepLines/>
              <w:spacing w:after="0"/>
              <w:jc w:val="center"/>
              <w:rPr>
                <w:rFonts w:ascii="Arial" w:hAnsi="Arial"/>
                <w:b/>
                <w:sz w:val="18"/>
              </w:rPr>
            </w:pPr>
            <w:r>
              <w:rPr>
                <w:rFonts w:ascii="Arial" w:hAnsi="Arial"/>
                <w:b/>
                <w:sz w:val="18"/>
              </w:rPr>
              <w:t>Description</w:t>
            </w:r>
          </w:p>
        </w:tc>
        <w:tc>
          <w:tcPr>
            <w:tcW w:w="1889" w:type="dxa"/>
            <w:tcBorders>
              <w:top w:val="single" w:sz="6" w:space="0" w:color="auto"/>
              <w:left w:val="single" w:sz="6" w:space="0" w:color="auto"/>
              <w:bottom w:val="single" w:sz="6" w:space="0" w:color="auto"/>
              <w:right w:val="single" w:sz="6" w:space="0" w:color="auto"/>
            </w:tcBorders>
            <w:shd w:val="clear" w:color="auto" w:fill="C0C0C0"/>
          </w:tcPr>
          <w:p w14:paraId="2E2E4C38" w14:textId="77777777" w:rsidR="00956830" w:rsidRDefault="00956830" w:rsidP="007D0950">
            <w:pPr>
              <w:keepNext/>
              <w:keepLines/>
              <w:spacing w:after="0"/>
              <w:jc w:val="center"/>
              <w:rPr>
                <w:rFonts w:ascii="Arial" w:hAnsi="Arial"/>
                <w:b/>
                <w:sz w:val="18"/>
              </w:rPr>
            </w:pPr>
            <w:r>
              <w:rPr>
                <w:rFonts w:ascii="Arial" w:hAnsi="Arial"/>
                <w:b/>
                <w:sz w:val="18"/>
              </w:rPr>
              <w:t>Applicability</w:t>
            </w:r>
          </w:p>
        </w:tc>
      </w:tr>
      <w:tr w:rsidR="00F525B2" w14:paraId="726BB093"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3B41A818" w14:textId="77777777" w:rsidR="00F525B2" w:rsidRDefault="00F525B2" w:rsidP="00F525B2">
            <w:pPr>
              <w:pStyle w:val="TAL"/>
            </w:pPr>
            <w:r>
              <w:rPr>
                <w:lang w:eastAsia="zh-CN"/>
              </w:rPr>
              <w:t>anyUe</w:t>
            </w:r>
          </w:p>
        </w:tc>
        <w:tc>
          <w:tcPr>
            <w:tcW w:w="1619" w:type="dxa"/>
            <w:tcBorders>
              <w:top w:val="single" w:sz="6" w:space="0" w:color="auto"/>
              <w:left w:val="single" w:sz="6" w:space="0" w:color="auto"/>
              <w:bottom w:val="single" w:sz="6" w:space="0" w:color="auto"/>
              <w:right w:val="single" w:sz="6" w:space="0" w:color="auto"/>
            </w:tcBorders>
          </w:tcPr>
          <w:p w14:paraId="60DA7C34" w14:textId="77777777" w:rsidR="00F525B2" w:rsidRDefault="00F525B2" w:rsidP="00F525B2">
            <w:pPr>
              <w:pStyle w:val="TAL"/>
            </w:pPr>
            <w:r>
              <w:t>boolean</w:t>
            </w:r>
          </w:p>
        </w:tc>
        <w:tc>
          <w:tcPr>
            <w:tcW w:w="360" w:type="dxa"/>
            <w:tcBorders>
              <w:top w:val="single" w:sz="6" w:space="0" w:color="auto"/>
              <w:left w:val="single" w:sz="6" w:space="0" w:color="auto"/>
              <w:bottom w:val="single" w:sz="6" w:space="0" w:color="auto"/>
              <w:right w:val="single" w:sz="6" w:space="0" w:color="auto"/>
            </w:tcBorders>
          </w:tcPr>
          <w:p w14:paraId="38DBCEC7" w14:textId="77777777" w:rsidR="00F525B2" w:rsidRDefault="00F525B2" w:rsidP="00F525B2">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639873BE" w14:textId="77777777" w:rsidR="00F525B2" w:rsidRDefault="00F525B2" w:rsidP="00F525B2">
            <w:pPr>
              <w:pStyle w:val="TAL"/>
            </w:pPr>
            <w:r>
              <w:t>0..1</w:t>
            </w:r>
          </w:p>
        </w:tc>
        <w:tc>
          <w:tcPr>
            <w:tcW w:w="2878" w:type="dxa"/>
            <w:tcBorders>
              <w:top w:val="single" w:sz="6" w:space="0" w:color="auto"/>
              <w:left w:val="single" w:sz="6" w:space="0" w:color="auto"/>
              <w:bottom w:val="single" w:sz="6" w:space="0" w:color="auto"/>
              <w:right w:val="single" w:sz="6" w:space="0" w:color="auto"/>
            </w:tcBorders>
          </w:tcPr>
          <w:p w14:paraId="6A9D3CDA" w14:textId="77777777" w:rsidR="00F525B2" w:rsidRDefault="00F525B2" w:rsidP="00F525B2">
            <w:pPr>
              <w:pStyle w:val="TAL"/>
            </w:pPr>
            <w:r>
              <w:t>Identifies whether any UE is applicable.</w:t>
            </w:r>
          </w:p>
          <w:p w14:paraId="2D346890" w14:textId="77777777" w:rsidR="00F525B2" w:rsidRDefault="00F525B2" w:rsidP="00F525B2">
            <w:pPr>
              <w:pStyle w:val="TAL"/>
            </w:pPr>
          </w:p>
          <w:p w14:paraId="4E9C2F55" w14:textId="77777777" w:rsidR="00F525B2" w:rsidRDefault="00F525B2" w:rsidP="00F525B2">
            <w:pPr>
              <w:pStyle w:val="TAL"/>
              <w:spacing w:afterLines="50" w:after="120"/>
              <w:rPr>
                <w:lang w:eastAsia="zh-CN"/>
              </w:rPr>
            </w:pPr>
            <w:r>
              <w:rPr>
                <w:rFonts w:eastAsia="Malgun Gothic"/>
              </w:rPr>
              <w:t>-</w:t>
            </w:r>
            <w:r>
              <w:rPr>
                <w:rFonts w:eastAsia="Malgun Gothic"/>
              </w:rPr>
              <w:tab/>
            </w:r>
            <w:r>
              <w:rPr>
                <w:rFonts w:cs="Arial"/>
                <w:szCs w:val="18"/>
              </w:rPr>
              <w:t xml:space="preserve">Set to </w:t>
            </w:r>
            <w:r>
              <w:rPr>
                <w:lang w:eastAsia="zh-CN"/>
              </w:rPr>
              <w:t>"true" if applicable for any UE.</w:t>
            </w:r>
          </w:p>
          <w:p w14:paraId="58D0B39B" w14:textId="77777777" w:rsidR="00F525B2" w:rsidRDefault="00F525B2" w:rsidP="00F525B2">
            <w:pPr>
              <w:pStyle w:val="TAL"/>
              <w:spacing w:afterLines="50" w:after="120"/>
              <w:rPr>
                <w:lang w:eastAsia="zh-CN"/>
              </w:rPr>
            </w:pPr>
            <w:r>
              <w:rPr>
                <w:rFonts w:eastAsia="Malgun Gothic"/>
              </w:rPr>
              <w:t>-</w:t>
            </w:r>
            <w:r>
              <w:rPr>
                <w:rFonts w:eastAsia="Malgun Gothic"/>
              </w:rPr>
              <w:tab/>
            </w:r>
            <w:r>
              <w:rPr>
                <w:lang w:eastAsia="zh-CN"/>
              </w:rPr>
              <w:t>Set to "false" if not applicable for any UE.</w:t>
            </w:r>
          </w:p>
          <w:p w14:paraId="59873871" w14:textId="77777777" w:rsidR="00F525B2" w:rsidRDefault="00F525B2" w:rsidP="00F525B2">
            <w:pPr>
              <w:pStyle w:val="TAL"/>
              <w:rPr>
                <w:rFonts w:eastAsia="Times New Roman" w:cs="Arial"/>
                <w:szCs w:val="18"/>
              </w:rPr>
            </w:pPr>
            <w:r>
              <w:rPr>
                <w:rFonts w:eastAsia="Malgun Gothic"/>
              </w:rPr>
              <w:t>-</w:t>
            </w:r>
            <w:r>
              <w:rPr>
                <w:rFonts w:eastAsia="Malgun Gothic"/>
              </w:rPr>
              <w:tab/>
            </w:r>
            <w:r>
              <w:t xml:space="preserve">Default value is </w:t>
            </w:r>
            <w:r>
              <w:rPr>
                <w:rFonts w:cs="Arial"/>
                <w:szCs w:val="18"/>
                <w:lang w:eastAsia="zh-CN"/>
              </w:rPr>
              <w:t>"</w:t>
            </w:r>
            <w:r>
              <w:t>false</w:t>
            </w:r>
            <w:r>
              <w:rPr>
                <w:rFonts w:cs="Arial"/>
                <w:szCs w:val="18"/>
                <w:lang w:eastAsia="zh-CN"/>
              </w:rPr>
              <w:t>"</w:t>
            </w:r>
            <w:r>
              <w:t xml:space="preserve"> if omitted.</w:t>
            </w:r>
          </w:p>
          <w:p w14:paraId="338D3FE9" w14:textId="77777777" w:rsidR="00F525B2" w:rsidRDefault="00F525B2" w:rsidP="00F525B2">
            <w:pPr>
              <w:pStyle w:val="TAL"/>
            </w:pPr>
            <w:r>
              <w:rPr>
                <w:rFonts w:eastAsia="Times New Roman" w:cs="Arial"/>
                <w:szCs w:val="18"/>
              </w:rPr>
              <w:t>(NOTE 3)</w:t>
            </w:r>
          </w:p>
        </w:tc>
        <w:tc>
          <w:tcPr>
            <w:tcW w:w="1889" w:type="dxa"/>
            <w:tcBorders>
              <w:top w:val="single" w:sz="6" w:space="0" w:color="auto"/>
              <w:left w:val="single" w:sz="6" w:space="0" w:color="auto"/>
              <w:bottom w:val="single" w:sz="6" w:space="0" w:color="auto"/>
              <w:right w:val="single" w:sz="6" w:space="0" w:color="auto"/>
            </w:tcBorders>
          </w:tcPr>
          <w:p w14:paraId="4CD9A6F5" w14:textId="77777777" w:rsidR="00F525B2" w:rsidRDefault="00F525B2" w:rsidP="00F525B2">
            <w:pPr>
              <w:pStyle w:val="TAL"/>
              <w:rPr>
                <w:rFonts w:cs="Arial"/>
                <w:szCs w:val="18"/>
              </w:rPr>
            </w:pPr>
            <w:r>
              <w:rPr>
                <w:rFonts w:cs="Arial"/>
                <w:szCs w:val="18"/>
              </w:rPr>
              <w:t>ServiceExperience</w:t>
            </w:r>
          </w:p>
          <w:p w14:paraId="54E6F29F" w14:textId="77777777" w:rsidR="00F525B2" w:rsidRDefault="00F525B2" w:rsidP="00F525B2">
            <w:pPr>
              <w:pStyle w:val="TAL"/>
              <w:rPr>
                <w:rFonts w:cs="Arial"/>
                <w:szCs w:val="18"/>
              </w:rPr>
            </w:pPr>
            <w:r>
              <w:rPr>
                <w:rFonts w:cs="Arial"/>
                <w:szCs w:val="18"/>
              </w:rPr>
              <w:t>NetworkPerformance</w:t>
            </w:r>
          </w:p>
          <w:p w14:paraId="3AF6B400" w14:textId="77777777" w:rsidR="00F525B2" w:rsidRDefault="00F525B2" w:rsidP="00F525B2">
            <w:pPr>
              <w:pStyle w:val="TAL"/>
              <w:rPr>
                <w:rFonts w:cs="Arial"/>
                <w:szCs w:val="18"/>
              </w:rPr>
            </w:pPr>
            <w:r>
              <w:rPr>
                <w:rFonts w:cs="Arial"/>
                <w:szCs w:val="18"/>
              </w:rPr>
              <w:t>NfLoad</w:t>
            </w:r>
          </w:p>
          <w:p w14:paraId="25642F9B" w14:textId="77777777" w:rsidR="00F525B2" w:rsidRDefault="00F525B2" w:rsidP="00F525B2">
            <w:pPr>
              <w:pStyle w:val="TAL"/>
              <w:rPr>
                <w:rFonts w:cs="Arial"/>
                <w:szCs w:val="18"/>
              </w:rPr>
            </w:pPr>
            <w:r>
              <w:rPr>
                <w:rFonts w:cs="Arial"/>
                <w:szCs w:val="18"/>
              </w:rPr>
              <w:t>UserDataCongestion</w:t>
            </w:r>
          </w:p>
          <w:p w14:paraId="0F830B5A" w14:textId="77777777" w:rsidR="00F525B2" w:rsidRDefault="00F525B2" w:rsidP="00F525B2">
            <w:pPr>
              <w:pStyle w:val="TAL"/>
              <w:rPr>
                <w:rFonts w:cs="Arial"/>
                <w:szCs w:val="18"/>
              </w:rPr>
            </w:pPr>
            <w:r>
              <w:rPr>
                <w:rFonts w:cs="Arial"/>
                <w:szCs w:val="18"/>
              </w:rPr>
              <w:t>AbnormalBehaviour</w:t>
            </w:r>
          </w:p>
          <w:p w14:paraId="31573E75" w14:textId="77777777" w:rsidR="00F525B2" w:rsidRDefault="00F525B2" w:rsidP="00F525B2">
            <w:pPr>
              <w:pStyle w:val="TAL"/>
              <w:rPr>
                <w:rFonts w:cs="Arial"/>
                <w:szCs w:val="18"/>
              </w:rPr>
            </w:pPr>
            <w:r>
              <w:rPr>
                <w:rFonts w:cs="Arial"/>
                <w:szCs w:val="18"/>
              </w:rPr>
              <w:t>QoSSustainability</w:t>
            </w:r>
          </w:p>
          <w:p w14:paraId="7B03E245" w14:textId="77777777" w:rsidR="00F525B2" w:rsidRDefault="00F525B2" w:rsidP="00F525B2">
            <w:pPr>
              <w:pStyle w:val="TAL"/>
              <w:rPr>
                <w:rFonts w:cs="Arial"/>
                <w:szCs w:val="18"/>
              </w:rPr>
            </w:pPr>
            <w:r>
              <w:rPr>
                <w:rFonts w:cs="Arial"/>
                <w:szCs w:val="18"/>
              </w:rPr>
              <w:t>Dispersion</w:t>
            </w:r>
          </w:p>
          <w:p w14:paraId="5F0C741D" w14:textId="77777777" w:rsidR="00F525B2" w:rsidRDefault="00F525B2" w:rsidP="00F525B2">
            <w:pPr>
              <w:pStyle w:val="TAL"/>
              <w:rPr>
                <w:rFonts w:cs="Arial"/>
                <w:szCs w:val="18"/>
              </w:rPr>
            </w:pPr>
            <w:r>
              <w:rPr>
                <w:rFonts w:cs="Arial"/>
                <w:szCs w:val="18"/>
              </w:rPr>
              <w:t>RedundantTransmissionExp</w:t>
            </w:r>
          </w:p>
          <w:p w14:paraId="7BCF70E5" w14:textId="77777777" w:rsidR="00F525B2" w:rsidRDefault="00F525B2" w:rsidP="00F525B2">
            <w:pPr>
              <w:pStyle w:val="TAL"/>
              <w:rPr>
                <w:rFonts w:cs="Arial"/>
                <w:szCs w:val="18"/>
              </w:rPr>
            </w:pPr>
            <w:r>
              <w:rPr>
                <w:rFonts w:cs="Arial"/>
                <w:szCs w:val="18"/>
              </w:rPr>
              <w:t>WlanPerformance</w:t>
            </w:r>
          </w:p>
          <w:p w14:paraId="602B04C4" w14:textId="77777777" w:rsidR="00F525B2" w:rsidRDefault="00F525B2" w:rsidP="00F525B2">
            <w:pPr>
              <w:pStyle w:val="TAL"/>
            </w:pPr>
            <w:r>
              <w:rPr>
                <w:lang w:eastAsia="zh-CN"/>
              </w:rPr>
              <w:t>Dn</w:t>
            </w:r>
            <w:r>
              <w:t>Performance</w:t>
            </w:r>
          </w:p>
          <w:p w14:paraId="6D62AB8B" w14:textId="77777777" w:rsidR="00F525B2" w:rsidRDefault="00F525B2" w:rsidP="00F525B2">
            <w:pPr>
              <w:pStyle w:val="TAL"/>
              <w:rPr>
                <w:rFonts w:cs="Arial"/>
                <w:szCs w:val="18"/>
              </w:rPr>
            </w:pPr>
            <w:r>
              <w:rPr>
                <w:rFonts w:cs="Arial"/>
                <w:szCs w:val="18"/>
              </w:rPr>
              <w:t>PduSesTraffic</w:t>
            </w:r>
          </w:p>
          <w:p w14:paraId="7D5BD340" w14:textId="77777777" w:rsidR="00F525B2" w:rsidRDefault="00F525B2" w:rsidP="00F525B2">
            <w:pPr>
              <w:pStyle w:val="TAL"/>
              <w:rPr>
                <w:lang w:eastAsia="zh-CN"/>
              </w:rPr>
            </w:pPr>
            <w:r>
              <w:rPr>
                <w:lang w:eastAsia="zh-CN"/>
              </w:rPr>
              <w:t>MovementBehaviour</w:t>
            </w:r>
          </w:p>
          <w:p w14:paraId="46C443D9" w14:textId="77777777" w:rsidR="00F525B2" w:rsidRDefault="00F525B2" w:rsidP="00F525B2">
            <w:pPr>
              <w:pStyle w:val="TAL"/>
            </w:pPr>
            <w:r>
              <w:rPr>
                <w:lang w:eastAsia="zh-CN"/>
              </w:rPr>
              <w:t>QoSPolicyAssist</w:t>
            </w:r>
          </w:p>
        </w:tc>
      </w:tr>
      <w:tr w:rsidR="00F525B2" w14:paraId="406ADAE5"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2861E1F4" w14:textId="77777777" w:rsidR="00F525B2" w:rsidRDefault="00F525B2" w:rsidP="00F525B2">
            <w:pPr>
              <w:pStyle w:val="TAL"/>
              <w:rPr>
                <w:lang w:eastAsia="zh-CN"/>
              </w:rPr>
            </w:pPr>
            <w:r>
              <w:rPr>
                <w:lang w:eastAsia="zh-CN"/>
              </w:rPr>
              <w:t>supis</w:t>
            </w:r>
          </w:p>
        </w:tc>
        <w:tc>
          <w:tcPr>
            <w:tcW w:w="1619" w:type="dxa"/>
            <w:tcBorders>
              <w:top w:val="single" w:sz="6" w:space="0" w:color="auto"/>
              <w:left w:val="single" w:sz="6" w:space="0" w:color="auto"/>
              <w:bottom w:val="single" w:sz="6" w:space="0" w:color="auto"/>
              <w:right w:val="single" w:sz="6" w:space="0" w:color="auto"/>
            </w:tcBorders>
          </w:tcPr>
          <w:p w14:paraId="4E260C81" w14:textId="77777777" w:rsidR="00F525B2" w:rsidRDefault="00F525B2" w:rsidP="00F525B2">
            <w:pPr>
              <w:pStyle w:val="TAL"/>
              <w:rPr>
                <w:lang w:eastAsia="zh-CN"/>
              </w:rPr>
            </w:pPr>
            <w:r>
              <w:rPr>
                <w:lang w:eastAsia="zh-CN"/>
              </w:rPr>
              <w:t>array(Supi)</w:t>
            </w:r>
          </w:p>
        </w:tc>
        <w:tc>
          <w:tcPr>
            <w:tcW w:w="360" w:type="dxa"/>
            <w:tcBorders>
              <w:top w:val="single" w:sz="6" w:space="0" w:color="auto"/>
              <w:left w:val="single" w:sz="6" w:space="0" w:color="auto"/>
              <w:bottom w:val="single" w:sz="6" w:space="0" w:color="auto"/>
              <w:right w:val="single" w:sz="6" w:space="0" w:color="auto"/>
            </w:tcBorders>
          </w:tcPr>
          <w:p w14:paraId="24BA99EA" w14:textId="77777777" w:rsidR="00F525B2" w:rsidRDefault="00F525B2" w:rsidP="00F525B2">
            <w:pPr>
              <w:pStyle w:val="TAC"/>
              <w:rPr>
                <w:rFonts w:eastAsia="Times New Roman"/>
              </w:rPr>
            </w:pPr>
            <w:r>
              <w:t>O</w:t>
            </w:r>
          </w:p>
        </w:tc>
        <w:tc>
          <w:tcPr>
            <w:tcW w:w="1169" w:type="dxa"/>
            <w:tcBorders>
              <w:top w:val="single" w:sz="6" w:space="0" w:color="auto"/>
              <w:left w:val="single" w:sz="6" w:space="0" w:color="auto"/>
              <w:bottom w:val="single" w:sz="6" w:space="0" w:color="auto"/>
              <w:right w:val="single" w:sz="6" w:space="0" w:color="auto"/>
            </w:tcBorders>
          </w:tcPr>
          <w:p w14:paraId="25AF72D0" w14:textId="77777777" w:rsidR="00F525B2" w:rsidRDefault="00F525B2" w:rsidP="00F525B2">
            <w:pPr>
              <w:pStyle w:val="TAL"/>
              <w:rPr>
                <w:rFonts w:eastAsia="Times New Roman"/>
              </w:rPr>
            </w:pPr>
            <w:r>
              <w:t>1..N</w:t>
            </w:r>
          </w:p>
        </w:tc>
        <w:tc>
          <w:tcPr>
            <w:tcW w:w="2878" w:type="dxa"/>
            <w:tcBorders>
              <w:top w:val="single" w:sz="6" w:space="0" w:color="auto"/>
              <w:left w:val="single" w:sz="6" w:space="0" w:color="auto"/>
              <w:bottom w:val="single" w:sz="6" w:space="0" w:color="auto"/>
              <w:right w:val="single" w:sz="6" w:space="0" w:color="auto"/>
            </w:tcBorders>
          </w:tcPr>
          <w:p w14:paraId="56D45001" w14:textId="77777777" w:rsidR="00F525B2" w:rsidRDefault="00F525B2" w:rsidP="00F525B2">
            <w:pPr>
              <w:pStyle w:val="TAL"/>
            </w:pPr>
            <w:r>
              <w:rPr>
                <w:rFonts w:cs="Arial"/>
                <w:szCs w:val="18"/>
              </w:rPr>
              <w:t>Each element</w:t>
            </w:r>
            <w:r>
              <w:t xml:space="preserve"> represents a SUPI for a UE.</w:t>
            </w:r>
          </w:p>
          <w:p w14:paraId="2A0E2A47" w14:textId="77777777" w:rsidR="00F525B2" w:rsidRDefault="00F525B2" w:rsidP="00F525B2">
            <w:pPr>
              <w:pStyle w:val="TAL"/>
              <w:rPr>
                <w:rFonts w:eastAsia="Times New Roman" w:cs="Arial"/>
                <w:szCs w:val="18"/>
              </w:rPr>
            </w:pPr>
            <w:r>
              <w:rPr>
                <w:rFonts w:eastAsia="Times New Roman" w:cs="Arial"/>
                <w:szCs w:val="18"/>
              </w:rPr>
              <w:t>(NOTE 2)</w:t>
            </w:r>
          </w:p>
        </w:tc>
        <w:tc>
          <w:tcPr>
            <w:tcW w:w="1889" w:type="dxa"/>
            <w:tcBorders>
              <w:top w:val="single" w:sz="6" w:space="0" w:color="auto"/>
              <w:left w:val="single" w:sz="6" w:space="0" w:color="auto"/>
              <w:bottom w:val="single" w:sz="6" w:space="0" w:color="auto"/>
              <w:right w:val="single" w:sz="6" w:space="0" w:color="auto"/>
            </w:tcBorders>
          </w:tcPr>
          <w:p w14:paraId="7C78BF8E" w14:textId="77777777" w:rsidR="00F525B2" w:rsidRDefault="00F525B2" w:rsidP="00F525B2">
            <w:pPr>
              <w:pStyle w:val="TAL"/>
              <w:rPr>
                <w:rFonts w:cs="Arial"/>
                <w:szCs w:val="18"/>
              </w:rPr>
            </w:pPr>
            <w:r>
              <w:rPr>
                <w:rFonts w:cs="Arial"/>
                <w:szCs w:val="18"/>
              </w:rPr>
              <w:t>UeMobility</w:t>
            </w:r>
          </w:p>
          <w:p w14:paraId="3F599BA7" w14:textId="77777777" w:rsidR="00F525B2" w:rsidRDefault="00F525B2" w:rsidP="00F525B2">
            <w:pPr>
              <w:pStyle w:val="TAL"/>
              <w:rPr>
                <w:rFonts w:cs="Arial"/>
                <w:szCs w:val="18"/>
              </w:rPr>
            </w:pPr>
            <w:r>
              <w:rPr>
                <w:rFonts w:cs="Arial"/>
                <w:szCs w:val="18"/>
              </w:rPr>
              <w:t>UeCommunication</w:t>
            </w:r>
          </w:p>
          <w:p w14:paraId="6BB53340" w14:textId="77777777" w:rsidR="00F525B2" w:rsidRDefault="00F525B2" w:rsidP="00F525B2">
            <w:pPr>
              <w:pStyle w:val="TAL"/>
              <w:rPr>
                <w:rFonts w:cs="Arial"/>
                <w:szCs w:val="18"/>
              </w:rPr>
            </w:pPr>
            <w:r>
              <w:rPr>
                <w:rFonts w:cs="Arial"/>
                <w:szCs w:val="18"/>
              </w:rPr>
              <w:t>NetworkPerformance</w:t>
            </w:r>
            <w:r>
              <w:t xml:space="preserve"> </w:t>
            </w:r>
          </w:p>
          <w:p w14:paraId="217C196F" w14:textId="77777777" w:rsidR="00F525B2" w:rsidRDefault="00F525B2" w:rsidP="00F525B2">
            <w:pPr>
              <w:pStyle w:val="TAL"/>
              <w:rPr>
                <w:rFonts w:cs="Arial"/>
                <w:szCs w:val="18"/>
              </w:rPr>
            </w:pPr>
            <w:r>
              <w:rPr>
                <w:rFonts w:cs="Arial"/>
                <w:szCs w:val="18"/>
              </w:rPr>
              <w:t>AbnormalBehaviour</w:t>
            </w:r>
          </w:p>
          <w:p w14:paraId="30E8827B" w14:textId="77777777" w:rsidR="00F525B2" w:rsidRDefault="00F525B2" w:rsidP="00F525B2">
            <w:pPr>
              <w:pStyle w:val="TAL"/>
              <w:rPr>
                <w:rFonts w:cs="Arial"/>
                <w:szCs w:val="18"/>
              </w:rPr>
            </w:pPr>
            <w:r>
              <w:rPr>
                <w:rFonts w:cs="Arial"/>
                <w:szCs w:val="18"/>
              </w:rPr>
              <w:t>UserDataCongestion</w:t>
            </w:r>
          </w:p>
          <w:p w14:paraId="62E26347" w14:textId="77777777" w:rsidR="00F525B2" w:rsidRDefault="00F525B2" w:rsidP="00F525B2">
            <w:pPr>
              <w:pStyle w:val="TAL"/>
              <w:rPr>
                <w:rFonts w:cs="Arial"/>
                <w:szCs w:val="18"/>
              </w:rPr>
            </w:pPr>
            <w:r>
              <w:rPr>
                <w:rFonts w:cs="Arial"/>
                <w:szCs w:val="18"/>
              </w:rPr>
              <w:t>NfLoad</w:t>
            </w:r>
          </w:p>
          <w:p w14:paraId="22077648" w14:textId="77777777" w:rsidR="00F525B2" w:rsidRDefault="00F525B2" w:rsidP="00F525B2">
            <w:pPr>
              <w:pStyle w:val="TAL"/>
              <w:rPr>
                <w:rFonts w:cs="Arial"/>
                <w:szCs w:val="18"/>
              </w:rPr>
            </w:pPr>
            <w:r>
              <w:rPr>
                <w:rFonts w:cs="Arial"/>
                <w:szCs w:val="18"/>
              </w:rPr>
              <w:t>ServiceExperience</w:t>
            </w:r>
          </w:p>
          <w:p w14:paraId="135179AE" w14:textId="77777777" w:rsidR="00F525B2" w:rsidRDefault="00F525B2" w:rsidP="00F525B2">
            <w:pPr>
              <w:pStyle w:val="TAL"/>
              <w:rPr>
                <w:rFonts w:cs="Arial"/>
                <w:szCs w:val="18"/>
              </w:rPr>
            </w:pPr>
            <w:r>
              <w:rPr>
                <w:rFonts w:cs="Arial"/>
                <w:szCs w:val="18"/>
              </w:rPr>
              <w:t>Dispersion</w:t>
            </w:r>
          </w:p>
          <w:p w14:paraId="37B5D3AA" w14:textId="77777777" w:rsidR="00F525B2" w:rsidRDefault="00F525B2" w:rsidP="00F525B2">
            <w:pPr>
              <w:pStyle w:val="TAL"/>
              <w:rPr>
                <w:rFonts w:cs="Arial"/>
                <w:szCs w:val="18"/>
              </w:rPr>
            </w:pPr>
            <w:r>
              <w:rPr>
                <w:rFonts w:cs="Arial"/>
                <w:szCs w:val="18"/>
              </w:rPr>
              <w:t>RedundantTransmissionExp</w:t>
            </w:r>
          </w:p>
          <w:p w14:paraId="5585F739" w14:textId="77777777" w:rsidR="00F525B2" w:rsidRDefault="00F525B2" w:rsidP="00F525B2">
            <w:pPr>
              <w:pStyle w:val="TAL"/>
              <w:rPr>
                <w:rFonts w:cs="Arial"/>
                <w:szCs w:val="18"/>
              </w:rPr>
            </w:pPr>
            <w:r>
              <w:rPr>
                <w:rFonts w:cs="Arial"/>
                <w:szCs w:val="18"/>
              </w:rPr>
              <w:t>WlanPerformance</w:t>
            </w:r>
          </w:p>
          <w:p w14:paraId="0F6A3714" w14:textId="77777777" w:rsidR="00F525B2" w:rsidRDefault="00F525B2" w:rsidP="00F525B2">
            <w:pPr>
              <w:pStyle w:val="TAL"/>
              <w:rPr>
                <w:rFonts w:cs="Arial"/>
                <w:szCs w:val="18"/>
                <w:lang w:eastAsia="zh-CN"/>
              </w:rPr>
            </w:pPr>
            <w:r>
              <w:rPr>
                <w:rFonts w:cs="Arial"/>
                <w:szCs w:val="18"/>
                <w:lang w:eastAsia="zh-CN"/>
              </w:rPr>
              <w:t>SMCCE</w:t>
            </w:r>
          </w:p>
          <w:p w14:paraId="78CFA6EB" w14:textId="77777777" w:rsidR="00F525B2" w:rsidRDefault="00F525B2" w:rsidP="00F525B2">
            <w:pPr>
              <w:pStyle w:val="TAL"/>
            </w:pPr>
            <w:r>
              <w:rPr>
                <w:lang w:eastAsia="zh-CN"/>
              </w:rPr>
              <w:t>Dn</w:t>
            </w:r>
            <w:r>
              <w:t>Performance</w:t>
            </w:r>
          </w:p>
          <w:p w14:paraId="51438F77" w14:textId="77777777" w:rsidR="00F525B2" w:rsidRDefault="00F525B2" w:rsidP="00F525B2">
            <w:pPr>
              <w:pStyle w:val="TAL"/>
              <w:rPr>
                <w:rFonts w:cs="Arial"/>
                <w:szCs w:val="18"/>
              </w:rPr>
            </w:pPr>
            <w:r>
              <w:rPr>
                <w:rFonts w:cs="Arial"/>
                <w:szCs w:val="18"/>
              </w:rPr>
              <w:t>PduSesTraffic</w:t>
            </w:r>
          </w:p>
          <w:p w14:paraId="27E39914" w14:textId="77777777" w:rsidR="00F525B2" w:rsidRDefault="00F525B2" w:rsidP="00F525B2">
            <w:pPr>
              <w:pStyle w:val="TAL"/>
              <w:rPr>
                <w:lang w:val="en-US" w:eastAsia="zh-CN"/>
              </w:rPr>
            </w:pPr>
            <w:r>
              <w:rPr>
                <w:lang w:val="en-US" w:eastAsia="zh-CN"/>
              </w:rPr>
              <w:t>RelativeProximity</w:t>
            </w:r>
          </w:p>
          <w:p w14:paraId="61746DBA" w14:textId="77777777" w:rsidR="00F525B2" w:rsidRDefault="00F525B2" w:rsidP="00F525B2">
            <w:pPr>
              <w:pStyle w:val="TAL"/>
              <w:rPr>
                <w:lang w:val="en-US" w:eastAsia="zh-CN"/>
              </w:rPr>
            </w:pPr>
            <w:r w:rsidRPr="00AA50BD">
              <w:rPr>
                <w:lang w:val="en-US" w:eastAsia="zh-CN"/>
              </w:rPr>
              <w:t>E2eDataVolTransTime</w:t>
            </w:r>
          </w:p>
          <w:p w14:paraId="4AA27420" w14:textId="77777777" w:rsidR="00F525B2" w:rsidRDefault="00F525B2" w:rsidP="00F525B2">
            <w:pPr>
              <w:pStyle w:val="TAL"/>
              <w:rPr>
                <w:lang w:val="en-US" w:eastAsia="zh-CN"/>
              </w:rPr>
            </w:pPr>
            <w:r w:rsidRPr="008170C6">
              <w:rPr>
                <w:lang w:val="en-US" w:eastAsia="zh-CN"/>
              </w:rPr>
              <w:t>QoSSustainabilityExt2</w:t>
            </w:r>
          </w:p>
          <w:p w14:paraId="554DDD9E" w14:textId="77777777" w:rsidR="00F525B2" w:rsidRDefault="00F525B2" w:rsidP="00F525B2">
            <w:pPr>
              <w:pStyle w:val="TAL"/>
              <w:rPr>
                <w:lang w:eastAsia="zh-CN"/>
              </w:rPr>
            </w:pPr>
            <w:r>
              <w:rPr>
                <w:lang w:eastAsia="zh-CN"/>
              </w:rPr>
              <w:t>EnMovementBehaviour</w:t>
            </w:r>
          </w:p>
          <w:p w14:paraId="273BE91E" w14:textId="77777777" w:rsidR="00F525B2" w:rsidRDefault="00F525B2" w:rsidP="00F525B2">
            <w:pPr>
              <w:pStyle w:val="TAL"/>
              <w:rPr>
                <w:lang w:val="en-US" w:eastAsia="zh-CN"/>
              </w:rPr>
            </w:pPr>
            <w:r>
              <w:rPr>
                <w:lang w:eastAsia="zh-CN"/>
              </w:rPr>
              <w:t>QoSPolicyAssist</w:t>
            </w:r>
          </w:p>
        </w:tc>
      </w:tr>
      <w:tr w:rsidR="00F525B2" w14:paraId="6658D83D"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5E5C6978" w14:textId="77777777" w:rsidR="00F525B2" w:rsidRDefault="00F525B2" w:rsidP="00F525B2">
            <w:pPr>
              <w:pStyle w:val="TAL"/>
              <w:rPr>
                <w:lang w:eastAsia="zh-CN"/>
              </w:rPr>
            </w:pPr>
            <w:r>
              <w:rPr>
                <w:lang w:eastAsia="zh-CN"/>
              </w:rPr>
              <w:t>gpsis</w:t>
            </w:r>
          </w:p>
        </w:tc>
        <w:tc>
          <w:tcPr>
            <w:tcW w:w="1619" w:type="dxa"/>
            <w:tcBorders>
              <w:top w:val="single" w:sz="6" w:space="0" w:color="auto"/>
              <w:left w:val="single" w:sz="6" w:space="0" w:color="auto"/>
              <w:bottom w:val="single" w:sz="6" w:space="0" w:color="auto"/>
              <w:right w:val="single" w:sz="6" w:space="0" w:color="auto"/>
            </w:tcBorders>
          </w:tcPr>
          <w:p w14:paraId="1A46F81D" w14:textId="77777777" w:rsidR="00F525B2" w:rsidRDefault="00F525B2" w:rsidP="00F525B2">
            <w:pPr>
              <w:pStyle w:val="TAL"/>
              <w:rPr>
                <w:lang w:eastAsia="zh-CN"/>
              </w:rPr>
            </w:pPr>
            <w:r>
              <w:rPr>
                <w:lang w:eastAsia="zh-CN"/>
              </w:rPr>
              <w:t>array(Gpsi)</w:t>
            </w:r>
          </w:p>
        </w:tc>
        <w:tc>
          <w:tcPr>
            <w:tcW w:w="360" w:type="dxa"/>
            <w:tcBorders>
              <w:top w:val="single" w:sz="6" w:space="0" w:color="auto"/>
              <w:left w:val="single" w:sz="6" w:space="0" w:color="auto"/>
              <w:bottom w:val="single" w:sz="6" w:space="0" w:color="auto"/>
              <w:right w:val="single" w:sz="6" w:space="0" w:color="auto"/>
            </w:tcBorders>
          </w:tcPr>
          <w:p w14:paraId="2FA92A02" w14:textId="77777777" w:rsidR="00F525B2" w:rsidRDefault="00F525B2" w:rsidP="00F525B2">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07BD4E6B" w14:textId="77777777" w:rsidR="00F525B2" w:rsidRDefault="00F525B2" w:rsidP="00F525B2">
            <w:pPr>
              <w:pStyle w:val="TAL"/>
            </w:pPr>
            <w:r>
              <w:t>1..N</w:t>
            </w:r>
          </w:p>
        </w:tc>
        <w:tc>
          <w:tcPr>
            <w:tcW w:w="2878" w:type="dxa"/>
            <w:tcBorders>
              <w:top w:val="single" w:sz="6" w:space="0" w:color="auto"/>
              <w:left w:val="single" w:sz="6" w:space="0" w:color="auto"/>
              <w:bottom w:val="single" w:sz="6" w:space="0" w:color="auto"/>
              <w:right w:val="single" w:sz="6" w:space="0" w:color="auto"/>
            </w:tcBorders>
          </w:tcPr>
          <w:p w14:paraId="0476217C" w14:textId="77777777" w:rsidR="00F525B2" w:rsidRDefault="00F525B2" w:rsidP="00F525B2">
            <w:pPr>
              <w:pStyle w:val="TAL"/>
            </w:pPr>
            <w:r>
              <w:rPr>
                <w:rFonts w:cs="Arial"/>
                <w:szCs w:val="18"/>
              </w:rPr>
              <w:t>Each element</w:t>
            </w:r>
            <w:r>
              <w:t xml:space="preserve"> represents a </w:t>
            </w:r>
            <w:r>
              <w:rPr>
                <w:lang w:eastAsia="zh-CN"/>
              </w:rPr>
              <w:t>GPSI</w:t>
            </w:r>
            <w:r>
              <w:t xml:space="preserve"> for a UE.</w:t>
            </w:r>
          </w:p>
          <w:p w14:paraId="42EF57E1" w14:textId="77777777" w:rsidR="00F525B2" w:rsidRDefault="00F525B2" w:rsidP="00F525B2">
            <w:pPr>
              <w:pStyle w:val="TAL"/>
            </w:pPr>
            <w:r>
              <w:rPr>
                <w:rFonts w:eastAsia="Times New Roman" w:cs="Arial"/>
                <w:szCs w:val="18"/>
              </w:rPr>
              <w:t>(NOTE 2)</w:t>
            </w:r>
          </w:p>
        </w:tc>
        <w:tc>
          <w:tcPr>
            <w:tcW w:w="1889" w:type="dxa"/>
            <w:tcBorders>
              <w:top w:val="single" w:sz="6" w:space="0" w:color="auto"/>
              <w:left w:val="single" w:sz="6" w:space="0" w:color="auto"/>
              <w:bottom w:val="single" w:sz="6" w:space="0" w:color="auto"/>
              <w:right w:val="single" w:sz="6" w:space="0" w:color="auto"/>
            </w:tcBorders>
          </w:tcPr>
          <w:p w14:paraId="730B37AA" w14:textId="77777777" w:rsidR="00F525B2" w:rsidRDefault="00F525B2" w:rsidP="00F525B2">
            <w:pPr>
              <w:pStyle w:val="TAL"/>
              <w:rPr>
                <w:rFonts w:cs="Arial"/>
                <w:szCs w:val="18"/>
              </w:rPr>
            </w:pPr>
            <w:r>
              <w:rPr>
                <w:rFonts w:cs="Arial"/>
                <w:szCs w:val="18"/>
              </w:rPr>
              <w:t>UserDataCongestionExt</w:t>
            </w:r>
          </w:p>
          <w:p w14:paraId="1063684D" w14:textId="77777777" w:rsidR="00F525B2" w:rsidRDefault="00F525B2" w:rsidP="00F525B2">
            <w:pPr>
              <w:pStyle w:val="TAL"/>
            </w:pPr>
            <w:r>
              <w:rPr>
                <w:lang w:eastAsia="zh-CN"/>
              </w:rPr>
              <w:t>Dn</w:t>
            </w:r>
            <w:r>
              <w:t>Performance</w:t>
            </w:r>
          </w:p>
          <w:p w14:paraId="50A5090B" w14:textId="77777777" w:rsidR="00F525B2" w:rsidRDefault="00F525B2" w:rsidP="00F525B2">
            <w:pPr>
              <w:pStyle w:val="TAL"/>
              <w:rPr>
                <w:rFonts w:cs="Arial"/>
                <w:szCs w:val="18"/>
              </w:rPr>
            </w:pPr>
            <w:r w:rsidRPr="00AA50BD">
              <w:rPr>
                <w:rFonts w:cs="Arial"/>
                <w:szCs w:val="18"/>
              </w:rPr>
              <w:t>E2eDataVolTransTime</w:t>
            </w:r>
          </w:p>
        </w:tc>
      </w:tr>
      <w:tr w:rsidR="00F525B2" w14:paraId="4B543088" w14:textId="77777777" w:rsidTr="007D0950">
        <w:trPr>
          <w:jc w:val="center"/>
        </w:trPr>
        <w:tc>
          <w:tcPr>
            <w:tcW w:w="1700" w:type="dxa"/>
            <w:tcBorders>
              <w:top w:val="single" w:sz="6" w:space="0" w:color="auto"/>
              <w:left w:val="single" w:sz="6" w:space="0" w:color="auto"/>
              <w:bottom w:val="single" w:sz="6" w:space="0" w:color="auto"/>
              <w:right w:val="single" w:sz="6" w:space="0" w:color="auto"/>
            </w:tcBorders>
          </w:tcPr>
          <w:p w14:paraId="796C95EA" w14:textId="77777777" w:rsidR="00F525B2" w:rsidRDefault="00F525B2" w:rsidP="00F525B2">
            <w:pPr>
              <w:pStyle w:val="TAL"/>
              <w:rPr>
                <w:lang w:eastAsia="zh-CN"/>
              </w:rPr>
            </w:pPr>
            <w:r>
              <w:t>intGroupIds</w:t>
            </w:r>
          </w:p>
        </w:tc>
        <w:tc>
          <w:tcPr>
            <w:tcW w:w="1619" w:type="dxa"/>
            <w:tcBorders>
              <w:top w:val="single" w:sz="6" w:space="0" w:color="auto"/>
              <w:left w:val="single" w:sz="6" w:space="0" w:color="auto"/>
              <w:bottom w:val="single" w:sz="6" w:space="0" w:color="auto"/>
              <w:right w:val="single" w:sz="6" w:space="0" w:color="auto"/>
            </w:tcBorders>
          </w:tcPr>
          <w:p w14:paraId="55C03894" w14:textId="77777777" w:rsidR="00F525B2" w:rsidRDefault="00F525B2" w:rsidP="00F525B2">
            <w:pPr>
              <w:pStyle w:val="TAL"/>
              <w:rPr>
                <w:lang w:eastAsia="zh-CN"/>
              </w:rPr>
            </w:pPr>
            <w:r>
              <w:t>array(GroupId)</w:t>
            </w:r>
          </w:p>
        </w:tc>
        <w:tc>
          <w:tcPr>
            <w:tcW w:w="360" w:type="dxa"/>
            <w:tcBorders>
              <w:top w:val="single" w:sz="6" w:space="0" w:color="auto"/>
              <w:left w:val="single" w:sz="6" w:space="0" w:color="auto"/>
              <w:bottom w:val="single" w:sz="6" w:space="0" w:color="auto"/>
              <w:right w:val="single" w:sz="6" w:space="0" w:color="auto"/>
            </w:tcBorders>
          </w:tcPr>
          <w:p w14:paraId="4A47684C" w14:textId="77777777" w:rsidR="00F525B2" w:rsidRDefault="00F525B2" w:rsidP="00F525B2">
            <w:pPr>
              <w:pStyle w:val="TAC"/>
              <w:rPr>
                <w:rFonts w:eastAsia="Times New Roman"/>
              </w:rPr>
            </w:pPr>
            <w:r>
              <w:rPr>
                <w:rFonts w:cs="Arial"/>
                <w:szCs w:val="18"/>
                <w:lang w:eastAsia="zh-CN"/>
              </w:rPr>
              <w:t>O</w:t>
            </w:r>
          </w:p>
        </w:tc>
        <w:tc>
          <w:tcPr>
            <w:tcW w:w="1169" w:type="dxa"/>
            <w:tcBorders>
              <w:top w:val="single" w:sz="6" w:space="0" w:color="auto"/>
              <w:left w:val="single" w:sz="6" w:space="0" w:color="auto"/>
              <w:bottom w:val="single" w:sz="6" w:space="0" w:color="auto"/>
              <w:right w:val="single" w:sz="6" w:space="0" w:color="auto"/>
            </w:tcBorders>
          </w:tcPr>
          <w:p w14:paraId="3078FFFB" w14:textId="77777777" w:rsidR="00F525B2" w:rsidRDefault="00F525B2" w:rsidP="00F525B2">
            <w:pPr>
              <w:pStyle w:val="TAL"/>
              <w:rPr>
                <w:rFonts w:eastAsia="Times New Roman"/>
              </w:rPr>
            </w:pPr>
            <w:r>
              <w:rPr>
                <w:rFonts w:cs="Arial"/>
                <w:szCs w:val="18"/>
                <w:lang w:eastAsia="zh-CN"/>
              </w:rPr>
              <w:t>1..N</w:t>
            </w:r>
          </w:p>
        </w:tc>
        <w:tc>
          <w:tcPr>
            <w:tcW w:w="2878" w:type="dxa"/>
            <w:tcBorders>
              <w:top w:val="single" w:sz="6" w:space="0" w:color="auto"/>
              <w:left w:val="single" w:sz="6" w:space="0" w:color="auto"/>
              <w:bottom w:val="single" w:sz="6" w:space="0" w:color="auto"/>
              <w:right w:val="single" w:sz="6" w:space="0" w:color="auto"/>
            </w:tcBorders>
          </w:tcPr>
          <w:p w14:paraId="2D0107E4" w14:textId="77777777" w:rsidR="00F525B2" w:rsidRDefault="00F525B2" w:rsidP="00F525B2">
            <w:pPr>
              <w:pStyle w:val="TAL"/>
            </w:pPr>
            <w:r>
              <w:rPr>
                <w:rFonts w:cs="Arial"/>
                <w:szCs w:val="18"/>
              </w:rPr>
              <w:t>Each element</w:t>
            </w:r>
            <w:r>
              <w:t xml:space="preserve"> represents an internal group identifier and identifies a group of UEs.</w:t>
            </w:r>
          </w:p>
          <w:p w14:paraId="1B988927" w14:textId="77777777" w:rsidR="00F525B2" w:rsidRDefault="00F525B2" w:rsidP="00F525B2">
            <w:pPr>
              <w:pStyle w:val="TAL"/>
              <w:rPr>
                <w:rFonts w:eastAsia="Times New Roman" w:cs="Arial"/>
                <w:szCs w:val="18"/>
              </w:rPr>
            </w:pPr>
            <w:r>
              <w:rPr>
                <w:rFonts w:eastAsia="Times New Roman" w:cs="Arial"/>
                <w:szCs w:val="18"/>
              </w:rPr>
              <w:t>(NOTE 2)</w:t>
            </w:r>
          </w:p>
        </w:tc>
        <w:tc>
          <w:tcPr>
            <w:tcW w:w="1889" w:type="dxa"/>
            <w:tcBorders>
              <w:top w:val="single" w:sz="6" w:space="0" w:color="auto"/>
              <w:left w:val="single" w:sz="6" w:space="0" w:color="auto"/>
              <w:bottom w:val="single" w:sz="6" w:space="0" w:color="auto"/>
              <w:right w:val="single" w:sz="6" w:space="0" w:color="auto"/>
            </w:tcBorders>
          </w:tcPr>
          <w:p w14:paraId="45D2500B" w14:textId="77777777" w:rsidR="00F525B2" w:rsidRDefault="00F525B2" w:rsidP="00F525B2">
            <w:pPr>
              <w:pStyle w:val="TAL"/>
              <w:rPr>
                <w:rFonts w:cs="Arial"/>
                <w:szCs w:val="18"/>
              </w:rPr>
            </w:pPr>
            <w:r>
              <w:rPr>
                <w:rFonts w:cs="Arial"/>
                <w:szCs w:val="18"/>
              </w:rPr>
              <w:t>UeMobility</w:t>
            </w:r>
          </w:p>
          <w:p w14:paraId="30559CA6" w14:textId="77777777" w:rsidR="00F525B2" w:rsidRDefault="00F525B2" w:rsidP="00F525B2">
            <w:pPr>
              <w:pStyle w:val="TAL"/>
              <w:rPr>
                <w:rFonts w:cs="Arial"/>
                <w:szCs w:val="18"/>
              </w:rPr>
            </w:pPr>
            <w:r>
              <w:rPr>
                <w:rFonts w:cs="Arial"/>
                <w:szCs w:val="18"/>
              </w:rPr>
              <w:t>UeCommunication</w:t>
            </w:r>
          </w:p>
          <w:p w14:paraId="5F67604C" w14:textId="77777777" w:rsidR="00F525B2" w:rsidRDefault="00F525B2" w:rsidP="00F525B2">
            <w:pPr>
              <w:pStyle w:val="TAL"/>
              <w:rPr>
                <w:rFonts w:cs="Arial"/>
                <w:szCs w:val="18"/>
              </w:rPr>
            </w:pPr>
            <w:r>
              <w:rPr>
                <w:rFonts w:cs="Arial"/>
                <w:szCs w:val="18"/>
              </w:rPr>
              <w:t>NetworkPerformance</w:t>
            </w:r>
            <w:r>
              <w:t xml:space="preserve"> </w:t>
            </w:r>
          </w:p>
          <w:p w14:paraId="1BE63534" w14:textId="77777777" w:rsidR="00F525B2" w:rsidRDefault="00F525B2" w:rsidP="00F525B2">
            <w:pPr>
              <w:pStyle w:val="TAL"/>
              <w:rPr>
                <w:rFonts w:cs="Arial"/>
                <w:szCs w:val="18"/>
              </w:rPr>
            </w:pPr>
            <w:r>
              <w:rPr>
                <w:rFonts w:cs="Arial"/>
                <w:szCs w:val="18"/>
              </w:rPr>
              <w:t>AbnormalBehaviour</w:t>
            </w:r>
          </w:p>
          <w:p w14:paraId="6993CD73" w14:textId="77777777" w:rsidR="00F525B2" w:rsidRDefault="00F525B2" w:rsidP="00F525B2">
            <w:pPr>
              <w:pStyle w:val="TAL"/>
              <w:rPr>
                <w:rFonts w:cs="Arial"/>
                <w:szCs w:val="18"/>
              </w:rPr>
            </w:pPr>
            <w:r>
              <w:rPr>
                <w:rFonts w:cs="Arial"/>
                <w:szCs w:val="18"/>
              </w:rPr>
              <w:t>ServiceExperience</w:t>
            </w:r>
          </w:p>
          <w:p w14:paraId="663DB281" w14:textId="77777777" w:rsidR="00F525B2" w:rsidRDefault="00F525B2" w:rsidP="00F525B2">
            <w:pPr>
              <w:pStyle w:val="TAL"/>
              <w:rPr>
                <w:rFonts w:cs="Arial"/>
                <w:szCs w:val="18"/>
              </w:rPr>
            </w:pPr>
            <w:r>
              <w:rPr>
                <w:rFonts w:cs="Arial"/>
                <w:szCs w:val="18"/>
              </w:rPr>
              <w:t>Dispersion</w:t>
            </w:r>
          </w:p>
          <w:p w14:paraId="67F5F71F" w14:textId="77777777" w:rsidR="00F525B2" w:rsidRDefault="00F525B2" w:rsidP="00F525B2">
            <w:pPr>
              <w:pStyle w:val="TAL"/>
              <w:rPr>
                <w:rFonts w:cs="Arial"/>
                <w:szCs w:val="18"/>
              </w:rPr>
            </w:pPr>
            <w:r>
              <w:rPr>
                <w:rFonts w:cs="Arial"/>
                <w:szCs w:val="18"/>
              </w:rPr>
              <w:t>RedundantTransmissionExp</w:t>
            </w:r>
          </w:p>
          <w:p w14:paraId="62164E8E" w14:textId="77777777" w:rsidR="00F525B2" w:rsidRDefault="00F525B2" w:rsidP="00F525B2">
            <w:pPr>
              <w:pStyle w:val="TAL"/>
              <w:rPr>
                <w:rFonts w:cs="Arial"/>
                <w:szCs w:val="18"/>
              </w:rPr>
            </w:pPr>
            <w:r>
              <w:rPr>
                <w:rFonts w:cs="Arial"/>
                <w:szCs w:val="18"/>
              </w:rPr>
              <w:t>WlanPerformance</w:t>
            </w:r>
          </w:p>
          <w:p w14:paraId="0CD085D1" w14:textId="77777777" w:rsidR="00F525B2" w:rsidRDefault="00F525B2" w:rsidP="00F525B2">
            <w:pPr>
              <w:pStyle w:val="TAL"/>
            </w:pPr>
            <w:r>
              <w:rPr>
                <w:lang w:eastAsia="zh-CN"/>
              </w:rPr>
              <w:t>Dn</w:t>
            </w:r>
            <w:r>
              <w:t>Performance</w:t>
            </w:r>
          </w:p>
          <w:p w14:paraId="36AA4971" w14:textId="77777777" w:rsidR="00F525B2" w:rsidRDefault="00F525B2" w:rsidP="00F525B2">
            <w:pPr>
              <w:pStyle w:val="TAL"/>
              <w:rPr>
                <w:rFonts w:cs="Arial"/>
                <w:szCs w:val="18"/>
              </w:rPr>
            </w:pPr>
            <w:r>
              <w:rPr>
                <w:rFonts w:cs="Arial"/>
                <w:szCs w:val="18"/>
              </w:rPr>
              <w:t>PduSesTraffic</w:t>
            </w:r>
          </w:p>
          <w:p w14:paraId="3DD03577" w14:textId="77777777" w:rsidR="00F525B2" w:rsidRPr="00E53854" w:rsidRDefault="00F525B2" w:rsidP="00F525B2">
            <w:pPr>
              <w:pStyle w:val="TAL"/>
              <w:rPr>
                <w:lang w:val="en-US" w:eastAsia="zh-CN"/>
              </w:rPr>
            </w:pPr>
            <w:r>
              <w:rPr>
                <w:lang w:val="en-US" w:eastAsia="zh-CN"/>
              </w:rPr>
              <w:t>RelativeProximity</w:t>
            </w:r>
          </w:p>
          <w:p w14:paraId="779FDFA8" w14:textId="77777777" w:rsidR="00F525B2" w:rsidRDefault="00F525B2" w:rsidP="00F525B2">
            <w:pPr>
              <w:pStyle w:val="TAL"/>
            </w:pPr>
            <w:r>
              <w:rPr>
                <w:lang w:eastAsia="zh-CN"/>
              </w:rPr>
              <w:t>QoSPolicyAssist</w:t>
            </w:r>
          </w:p>
        </w:tc>
      </w:tr>
      <w:tr w:rsidR="00956830" w14:paraId="62CD411A" w14:textId="77777777" w:rsidTr="007D0950">
        <w:trPr>
          <w:jc w:val="center"/>
        </w:trPr>
        <w:tc>
          <w:tcPr>
            <w:tcW w:w="9615" w:type="dxa"/>
            <w:gridSpan w:val="6"/>
            <w:tcBorders>
              <w:top w:val="single" w:sz="6" w:space="0" w:color="auto"/>
              <w:left w:val="single" w:sz="6" w:space="0" w:color="auto"/>
              <w:bottom w:val="single" w:sz="6" w:space="0" w:color="auto"/>
              <w:right w:val="single" w:sz="6" w:space="0" w:color="auto"/>
            </w:tcBorders>
          </w:tcPr>
          <w:p w14:paraId="77D6BF06" w14:textId="77777777" w:rsidR="00956830" w:rsidRDefault="00956830" w:rsidP="007D0950">
            <w:pPr>
              <w:pStyle w:val="TAN"/>
            </w:pPr>
            <w:r>
              <w:t>NOTE 1:</w:t>
            </w:r>
            <w:r>
              <w:tab/>
              <w:t xml:space="preserve">For an applicable feature or UserDataCongestion and </w:t>
            </w:r>
            <w:r w:rsidR="00F525B2" w:rsidRPr="003E19F3">
              <w:t>"</w:t>
            </w:r>
            <w:r w:rsidR="00F525B2">
              <w:t>UserDataCongestionExt</w:t>
            </w:r>
            <w:r w:rsidR="00F525B2" w:rsidRPr="003E19F3">
              <w:t>"</w:t>
            </w:r>
            <w:r>
              <w:t xml:space="preserve"> features are both applicable, only one attribute identifying the target UE shall be provided. I</w:t>
            </w:r>
            <w:r w:rsidRPr="00720CA4">
              <w:t>f only the "anyUe” attribute is provided</w:t>
            </w:r>
            <w:r>
              <w:t xml:space="preserve">, </w:t>
            </w:r>
            <w:r w:rsidRPr="00720CA4">
              <w:t xml:space="preserve">shall set </w:t>
            </w:r>
            <w:r>
              <w:t>the attribute value as</w:t>
            </w:r>
            <w:r w:rsidRPr="00720CA4">
              <w:t xml:space="preserve"> "true"</w:t>
            </w:r>
            <w:r>
              <w:t>.</w:t>
            </w:r>
          </w:p>
          <w:p w14:paraId="046B3F6C" w14:textId="77777777" w:rsidR="00A42460" w:rsidRDefault="00A42460" w:rsidP="00A42460">
            <w:pPr>
              <w:pStyle w:val="TAN"/>
            </w:pPr>
            <w:r>
              <w:t>NOTE 2:</w:t>
            </w:r>
            <w:r>
              <w:tab/>
              <w:t>Only one element in the attribute shall be provided for the applicable events except the "SERVICE_EXPERIENCE" event, the "DISPERSION" event</w:t>
            </w:r>
            <w:r>
              <w:rPr>
                <w:rFonts w:hint="eastAsia"/>
                <w:lang w:eastAsia="zh-CN"/>
              </w:rPr>
              <w:t xml:space="preserve"> a</w:t>
            </w:r>
            <w:r>
              <w:rPr>
                <w:lang w:eastAsia="zh-CN"/>
              </w:rPr>
              <w:t>nd</w:t>
            </w:r>
            <w:r>
              <w:t xml:space="preserve"> the "</w:t>
            </w:r>
            <w:r>
              <w:rPr>
                <w:rFonts w:hint="eastAsia"/>
                <w:lang w:eastAsia="zh-CN"/>
              </w:rPr>
              <w:t>S</w:t>
            </w:r>
            <w:r>
              <w:rPr>
                <w:lang w:eastAsia="zh-CN"/>
              </w:rPr>
              <w:t>M_</w:t>
            </w:r>
            <w:r>
              <w:t>CONGESTION" event</w:t>
            </w:r>
            <w:r>
              <w:rPr>
                <w:rFonts w:hint="eastAsia"/>
                <w:lang w:eastAsia="zh-CN"/>
              </w:rPr>
              <w:t xml:space="preserve">, the </w:t>
            </w:r>
            <w:r w:rsidRPr="008170C6">
              <w:rPr>
                <w:lang w:eastAsia="zh-CN"/>
              </w:rPr>
              <w:t>"QOS_SUSTAINABILITY"</w:t>
            </w:r>
            <w:r>
              <w:rPr>
                <w:rFonts w:hint="eastAsia"/>
                <w:lang w:eastAsia="zh-CN"/>
              </w:rPr>
              <w:t xml:space="preserve"> event</w:t>
            </w:r>
            <w:r>
              <w:t>.</w:t>
            </w:r>
          </w:p>
          <w:p w14:paraId="216CB7A0" w14:textId="77777777" w:rsidR="00956830" w:rsidRDefault="00956830" w:rsidP="007D0950">
            <w:pPr>
              <w:pStyle w:val="TAN"/>
            </w:pPr>
            <w:r>
              <w:t>NOTE 3:</w:t>
            </w:r>
            <w:r>
              <w:tab/>
              <w:t>For feature "Dispersion", any UE is only supported in combination with S-NSSAI, Area of Interest and/or Dispersion Class.</w:t>
            </w:r>
          </w:p>
        </w:tc>
      </w:tr>
    </w:tbl>
    <w:p w14:paraId="77476353" w14:textId="77777777" w:rsidR="00956830" w:rsidRDefault="00956830" w:rsidP="00956830"/>
    <w:p w14:paraId="08BA620A" w14:textId="77777777" w:rsidR="00A10B25" w:rsidRDefault="00A10B25">
      <w:pPr>
        <w:pStyle w:val="5"/>
      </w:pPr>
      <w:bookmarkStart w:id="5875" w:name="_Toc164920783"/>
      <w:bookmarkStart w:id="5876" w:name="_Toc170120325"/>
      <w:bookmarkStart w:id="5877" w:name="_Toc175858570"/>
      <w:bookmarkStart w:id="5878" w:name="_Toc175859643"/>
      <w:bookmarkStart w:id="5879" w:name="_Toc180605933"/>
      <w:bookmarkStart w:id="5880" w:name="_Toc185517187"/>
      <w:bookmarkStart w:id="5881" w:name="_Toc191576238"/>
      <w:bookmarkStart w:id="5882" w:name="_Toc191576978"/>
      <w:bookmarkStart w:id="5883" w:name="_Toc192880048"/>
      <w:bookmarkStart w:id="5884" w:name="_Toc195814931"/>
      <w:bookmarkStart w:id="5885" w:name="_Toc199452898"/>
      <w:r>
        <w:lastRenderedPageBreak/>
        <w:t>5.1.6.2.9</w:t>
      </w:r>
      <w:r>
        <w:tab/>
        <w:t>Void</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75"/>
      <w:bookmarkEnd w:id="5876"/>
      <w:bookmarkEnd w:id="5877"/>
      <w:bookmarkEnd w:id="5878"/>
      <w:bookmarkEnd w:id="5879"/>
      <w:bookmarkEnd w:id="5880"/>
      <w:bookmarkEnd w:id="5881"/>
      <w:bookmarkEnd w:id="5882"/>
      <w:bookmarkEnd w:id="5883"/>
      <w:bookmarkEnd w:id="5884"/>
      <w:bookmarkEnd w:id="5885"/>
    </w:p>
    <w:p w14:paraId="714FC8E9" w14:textId="77777777" w:rsidR="00A10B25" w:rsidRDefault="00A10B25">
      <w:pPr>
        <w:pStyle w:val="5"/>
      </w:pPr>
      <w:bookmarkStart w:id="5886" w:name="_Toc85557087"/>
      <w:bookmarkStart w:id="5887" w:name="_Toc90655874"/>
      <w:bookmarkStart w:id="5888" w:name="_Toc98233642"/>
      <w:bookmarkStart w:id="5889" w:name="_Toc70550632"/>
      <w:bookmarkStart w:id="5890" w:name="_Toc114133812"/>
      <w:bookmarkStart w:id="5891" w:name="_Toc104539011"/>
      <w:bookmarkStart w:id="5892" w:name="_Toc51762901"/>
      <w:bookmarkStart w:id="5893" w:name="_Toc50031981"/>
      <w:bookmarkStart w:id="5894" w:name="_Toc59017936"/>
      <w:bookmarkStart w:id="5895" w:name="_Toc43563506"/>
      <w:bookmarkStart w:id="5896" w:name="_Toc112951133"/>
      <w:bookmarkStart w:id="5897" w:name="_Toc36102464"/>
      <w:bookmarkStart w:id="5898" w:name="_Toc101244418"/>
      <w:bookmarkStart w:id="5899" w:name="_Toc68168965"/>
      <w:bookmarkStart w:id="5900" w:name="_Toc28012823"/>
      <w:bookmarkStart w:id="5901" w:name="_Toc120702312"/>
      <w:bookmarkStart w:id="5902" w:name="_Toc88667589"/>
      <w:bookmarkStart w:id="5903" w:name="_Toc34266293"/>
      <w:bookmarkStart w:id="5904" w:name="_Toc85552988"/>
      <w:bookmarkStart w:id="5905" w:name="_Toc83233078"/>
      <w:bookmarkStart w:id="5906" w:name="_Toc56640968"/>
      <w:bookmarkStart w:id="5907" w:name="_Toc138754213"/>
      <w:bookmarkStart w:id="5908" w:name="_Toc45134049"/>
      <w:bookmarkStart w:id="5909" w:name="_Toc145705700"/>
      <w:bookmarkStart w:id="5910" w:name="_Toc94064257"/>
      <w:bookmarkStart w:id="5911" w:name="_Toc136562379"/>
      <w:bookmarkStart w:id="5912" w:name="_Toc148522604"/>
      <w:bookmarkStart w:id="5913" w:name="_Toc66231804"/>
      <w:bookmarkStart w:id="5914" w:name="_Toc113031673"/>
      <w:bookmarkStart w:id="5915" w:name="_Toc164920784"/>
      <w:bookmarkStart w:id="5916" w:name="_Toc170120326"/>
      <w:bookmarkStart w:id="5917" w:name="_Toc175858571"/>
      <w:bookmarkStart w:id="5918" w:name="_Toc175859644"/>
      <w:bookmarkStart w:id="5919" w:name="_Toc180605934"/>
      <w:bookmarkStart w:id="5920" w:name="_Toc185517188"/>
      <w:bookmarkStart w:id="5921" w:name="_Toc191576239"/>
      <w:bookmarkStart w:id="5922" w:name="_Toc191576979"/>
      <w:bookmarkStart w:id="5923" w:name="_Toc192880049"/>
      <w:bookmarkStart w:id="5924" w:name="_Toc195814932"/>
      <w:bookmarkStart w:id="5925" w:name="_Toc199452899"/>
      <w:r>
        <w:t>5.1.6.2.10</w:t>
      </w:r>
      <w:r>
        <w:tab/>
        <w:t>Type UeMobility</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1CDB8417" w14:textId="77777777" w:rsidR="00A10B25" w:rsidRDefault="00A10B25">
      <w:pPr>
        <w:pStyle w:val="TH"/>
      </w:pPr>
      <w:bookmarkStart w:id="5926" w:name="_Toc70550633"/>
      <w:bookmarkStart w:id="5927" w:name="_Toc88667590"/>
      <w:bookmarkStart w:id="5928" w:name="_Toc85552989"/>
      <w:bookmarkStart w:id="5929" w:name="_Toc50031982"/>
      <w:bookmarkStart w:id="5930" w:name="_Toc113031674"/>
      <w:bookmarkStart w:id="5931" w:name="_Toc83233079"/>
      <w:bookmarkStart w:id="5932" w:name="_Toc36102465"/>
      <w:bookmarkStart w:id="5933" w:name="_Toc98233643"/>
      <w:bookmarkStart w:id="5934" w:name="_Toc66231805"/>
      <w:bookmarkStart w:id="5935" w:name="_Toc136562380"/>
      <w:bookmarkStart w:id="5936" w:name="_Toc120702313"/>
      <w:bookmarkStart w:id="5937" w:name="_Toc138754214"/>
      <w:bookmarkStart w:id="5938" w:name="_Toc101244419"/>
      <w:bookmarkStart w:id="5939" w:name="_Toc45134050"/>
      <w:bookmarkStart w:id="5940" w:name="_Toc104539012"/>
      <w:bookmarkStart w:id="5941" w:name="_Toc51762902"/>
      <w:bookmarkStart w:id="5942" w:name="_Toc43563507"/>
      <w:bookmarkStart w:id="5943" w:name="_Toc68168966"/>
      <w:bookmarkStart w:id="5944" w:name="_Toc114133813"/>
      <w:bookmarkStart w:id="5945" w:name="_Toc34266294"/>
      <w:bookmarkStart w:id="5946" w:name="_Toc59017937"/>
      <w:bookmarkStart w:id="5947" w:name="_Toc90655875"/>
      <w:bookmarkStart w:id="5948" w:name="_Toc94064258"/>
      <w:bookmarkStart w:id="5949" w:name="_Toc85557088"/>
      <w:bookmarkStart w:id="5950" w:name="_Toc28012824"/>
      <w:bookmarkStart w:id="5951" w:name="_Toc112951134"/>
      <w:bookmarkStart w:id="5952" w:name="_Toc56640969"/>
      <w:r>
        <w:t>Table 5.1.6.2.10-1: Definition of type UeMobility</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ADD9EAA"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2C671A22"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0A625189"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8DEBDAC"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141F6593"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13887612"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752656D2" w14:textId="77777777" w:rsidR="00A10B25" w:rsidRDefault="00A10B25">
            <w:pPr>
              <w:pStyle w:val="TAH"/>
            </w:pPr>
            <w:r>
              <w:t>Applicability</w:t>
            </w:r>
          </w:p>
        </w:tc>
      </w:tr>
      <w:tr w:rsidR="00A10B25" w14:paraId="2E9A7217"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31CBAA6" w14:textId="77777777" w:rsidR="00A10B25" w:rsidRDefault="00A10B25">
            <w:pPr>
              <w:pStyle w:val="TAL"/>
              <w:rPr>
                <w:lang w:eastAsia="zh-CN"/>
              </w:rPr>
            </w:pPr>
            <w:r>
              <w:t>ts</w:t>
            </w:r>
          </w:p>
        </w:tc>
        <w:tc>
          <w:tcPr>
            <w:tcW w:w="1560" w:type="dxa"/>
            <w:tcBorders>
              <w:top w:val="single" w:sz="6" w:space="0" w:color="auto"/>
              <w:left w:val="single" w:sz="6" w:space="0" w:color="auto"/>
              <w:bottom w:val="single" w:sz="6" w:space="0" w:color="auto"/>
              <w:right w:val="single" w:sz="6" w:space="0" w:color="auto"/>
            </w:tcBorders>
          </w:tcPr>
          <w:p w14:paraId="00313273"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7A69057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A03DD6D" w14:textId="77777777" w:rsidR="00A10B25" w:rsidRDefault="00A10B25">
            <w:pPr>
              <w:pStyle w:val="TAL"/>
              <w:rPr>
                <w:rFonts w:eastAsia="Times New Roman"/>
              </w:rPr>
            </w:pPr>
            <w:r>
              <w:rPr>
                <w:lang w:eastAsia="zh-CN"/>
              </w:rPr>
              <w:t>0..1</w:t>
            </w:r>
          </w:p>
        </w:tc>
        <w:tc>
          <w:tcPr>
            <w:tcW w:w="2857" w:type="dxa"/>
            <w:tcBorders>
              <w:top w:val="single" w:sz="6" w:space="0" w:color="auto"/>
              <w:left w:val="single" w:sz="6" w:space="0" w:color="auto"/>
              <w:bottom w:val="single" w:sz="6" w:space="0" w:color="auto"/>
              <w:right w:val="single" w:sz="6" w:space="0" w:color="auto"/>
            </w:tcBorders>
          </w:tcPr>
          <w:p w14:paraId="71526C98" w14:textId="77777777" w:rsidR="00A10B25" w:rsidRDefault="00A10B25">
            <w:pPr>
              <w:pStyle w:val="TAL"/>
              <w:rPr>
                <w:rFonts w:eastAsia="Times New Roman" w:cs="Arial"/>
                <w:szCs w:val="18"/>
              </w:rPr>
            </w:pPr>
            <w:r>
              <w:rPr>
                <w:rFonts w:cs="Arial"/>
                <w:szCs w:val="18"/>
                <w:lang w:eastAsia="zh-CN"/>
              </w:rPr>
              <w:t>This attribute identifies the timestamp when the UE arrives the location. (NOTE 1)</w:t>
            </w:r>
          </w:p>
        </w:tc>
        <w:tc>
          <w:tcPr>
            <w:tcW w:w="1844" w:type="dxa"/>
            <w:tcBorders>
              <w:top w:val="single" w:sz="6" w:space="0" w:color="auto"/>
              <w:left w:val="single" w:sz="6" w:space="0" w:color="auto"/>
              <w:bottom w:val="single" w:sz="6" w:space="0" w:color="auto"/>
              <w:right w:val="single" w:sz="6" w:space="0" w:color="auto"/>
            </w:tcBorders>
          </w:tcPr>
          <w:p w14:paraId="021D06CC" w14:textId="77777777" w:rsidR="00A10B25" w:rsidRDefault="00A10B25">
            <w:pPr>
              <w:keepNext/>
              <w:keepLines/>
              <w:spacing w:after="0"/>
              <w:rPr>
                <w:rFonts w:ascii="Arial" w:hAnsi="Arial" w:cs="Arial"/>
                <w:sz w:val="18"/>
                <w:szCs w:val="18"/>
              </w:rPr>
            </w:pPr>
          </w:p>
        </w:tc>
      </w:tr>
      <w:tr w:rsidR="00A10B25" w14:paraId="496712DA"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61795C0" w14:textId="77777777" w:rsidR="00A10B25" w:rsidRDefault="00A10B25">
            <w:pPr>
              <w:pStyle w:val="TAL"/>
            </w:pPr>
            <w:r>
              <w:t>recurringTime</w:t>
            </w:r>
          </w:p>
        </w:tc>
        <w:tc>
          <w:tcPr>
            <w:tcW w:w="1560" w:type="dxa"/>
            <w:tcBorders>
              <w:top w:val="single" w:sz="6" w:space="0" w:color="auto"/>
              <w:left w:val="single" w:sz="6" w:space="0" w:color="auto"/>
              <w:bottom w:val="single" w:sz="6" w:space="0" w:color="auto"/>
              <w:right w:val="single" w:sz="6" w:space="0" w:color="auto"/>
            </w:tcBorders>
          </w:tcPr>
          <w:p w14:paraId="01D8DCD7" w14:textId="77777777" w:rsidR="00A10B25" w:rsidRDefault="00A10B25">
            <w:pPr>
              <w:pStyle w:val="TAL"/>
              <w:rPr>
                <w:lang w:eastAsia="zh-CN"/>
              </w:rPr>
            </w:pPr>
            <w:r>
              <w:t>ScheduledCommunicationTime</w:t>
            </w:r>
          </w:p>
        </w:tc>
        <w:tc>
          <w:tcPr>
            <w:tcW w:w="425" w:type="dxa"/>
            <w:tcBorders>
              <w:top w:val="single" w:sz="6" w:space="0" w:color="auto"/>
              <w:left w:val="single" w:sz="6" w:space="0" w:color="auto"/>
              <w:bottom w:val="single" w:sz="6" w:space="0" w:color="auto"/>
              <w:right w:val="single" w:sz="6" w:space="0" w:color="auto"/>
            </w:tcBorders>
          </w:tcPr>
          <w:p w14:paraId="779CE1C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88E2F37" w14:textId="77777777" w:rsidR="00A10B25" w:rsidRDefault="00A10B25">
            <w:pPr>
              <w:pStyle w:val="TAL"/>
              <w:rPr>
                <w:lang w:eastAsia="zh-CN"/>
              </w:rPr>
            </w:pPr>
            <w:r>
              <w:rPr>
                <w:lang w:eastAsia="zh-CN"/>
              </w:rPr>
              <w:t>0..1</w:t>
            </w:r>
          </w:p>
        </w:tc>
        <w:tc>
          <w:tcPr>
            <w:tcW w:w="2857" w:type="dxa"/>
            <w:tcBorders>
              <w:top w:val="single" w:sz="6" w:space="0" w:color="auto"/>
              <w:left w:val="single" w:sz="6" w:space="0" w:color="auto"/>
              <w:bottom w:val="single" w:sz="6" w:space="0" w:color="auto"/>
              <w:right w:val="single" w:sz="6" w:space="0" w:color="auto"/>
            </w:tcBorders>
          </w:tcPr>
          <w:p w14:paraId="61B62A12" w14:textId="77777777" w:rsidR="00A10B25" w:rsidRDefault="00A10B25">
            <w:pPr>
              <w:pStyle w:val="TAL"/>
              <w:rPr>
                <w:rFonts w:cs="Arial"/>
                <w:szCs w:val="18"/>
                <w:lang w:eastAsia="zh-CN"/>
              </w:rPr>
            </w:pPr>
            <w:r>
              <w:rPr>
                <w:rFonts w:cs="Arial"/>
                <w:szCs w:val="18"/>
                <w:lang w:eastAsia="zh-CN"/>
              </w:rPr>
              <w:t>Identifies time of the day and day of the week which are valid within the observation period when the UE moves. (NOTE 1, NOTE 2)</w:t>
            </w:r>
          </w:p>
        </w:tc>
        <w:tc>
          <w:tcPr>
            <w:tcW w:w="1844" w:type="dxa"/>
            <w:tcBorders>
              <w:top w:val="single" w:sz="6" w:space="0" w:color="auto"/>
              <w:left w:val="single" w:sz="6" w:space="0" w:color="auto"/>
              <w:bottom w:val="single" w:sz="6" w:space="0" w:color="auto"/>
              <w:right w:val="single" w:sz="6" w:space="0" w:color="auto"/>
            </w:tcBorders>
          </w:tcPr>
          <w:p w14:paraId="2478CD42" w14:textId="77777777" w:rsidR="00A10B25" w:rsidRDefault="00A10B25">
            <w:pPr>
              <w:keepNext/>
              <w:keepLines/>
              <w:spacing w:after="0"/>
              <w:rPr>
                <w:rFonts w:ascii="Arial" w:hAnsi="Arial" w:cs="Arial"/>
                <w:sz w:val="18"/>
                <w:szCs w:val="18"/>
              </w:rPr>
            </w:pPr>
          </w:p>
        </w:tc>
      </w:tr>
      <w:tr w:rsidR="00A10B25" w14:paraId="511FA8D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24AFFAD" w14:textId="77777777" w:rsidR="00A10B25" w:rsidRDefault="00A10B25">
            <w:pPr>
              <w:pStyle w:val="TAL"/>
              <w:rPr>
                <w:lang w:eastAsia="zh-CN"/>
              </w:rPr>
            </w:pPr>
            <w:r>
              <w:t>duration</w:t>
            </w:r>
          </w:p>
        </w:tc>
        <w:tc>
          <w:tcPr>
            <w:tcW w:w="1560" w:type="dxa"/>
            <w:tcBorders>
              <w:top w:val="single" w:sz="6" w:space="0" w:color="auto"/>
              <w:left w:val="single" w:sz="6" w:space="0" w:color="auto"/>
              <w:bottom w:val="single" w:sz="6" w:space="0" w:color="auto"/>
              <w:right w:val="single" w:sz="6" w:space="0" w:color="auto"/>
            </w:tcBorders>
          </w:tcPr>
          <w:p w14:paraId="623F5874" w14:textId="77777777" w:rsidR="00A10B25" w:rsidRDefault="00A10B25">
            <w:pPr>
              <w:pStyle w:val="TAL"/>
              <w:rPr>
                <w:lang w:eastAsia="zh-CN"/>
              </w:rPr>
            </w:pPr>
            <w:r>
              <w:t>DurationSec</w:t>
            </w:r>
          </w:p>
        </w:tc>
        <w:tc>
          <w:tcPr>
            <w:tcW w:w="425" w:type="dxa"/>
            <w:tcBorders>
              <w:top w:val="single" w:sz="6" w:space="0" w:color="auto"/>
              <w:left w:val="single" w:sz="6" w:space="0" w:color="auto"/>
              <w:bottom w:val="single" w:sz="6" w:space="0" w:color="auto"/>
              <w:right w:val="single" w:sz="6" w:space="0" w:color="auto"/>
            </w:tcBorders>
          </w:tcPr>
          <w:p w14:paraId="3331345B"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01B25537" w14:textId="77777777" w:rsidR="00A10B25" w:rsidRDefault="00A10B25">
            <w:pPr>
              <w:pStyle w:val="TAL"/>
              <w:rPr>
                <w:rFonts w:eastAsia="Times New Roman"/>
              </w:rPr>
            </w:pPr>
            <w:r>
              <w:rPr>
                <w:lang w:eastAsia="zh-CN"/>
              </w:rPr>
              <w:t>1</w:t>
            </w:r>
          </w:p>
        </w:tc>
        <w:tc>
          <w:tcPr>
            <w:tcW w:w="2857" w:type="dxa"/>
            <w:tcBorders>
              <w:top w:val="single" w:sz="6" w:space="0" w:color="auto"/>
              <w:left w:val="single" w:sz="6" w:space="0" w:color="auto"/>
              <w:bottom w:val="single" w:sz="6" w:space="0" w:color="auto"/>
              <w:right w:val="single" w:sz="6" w:space="0" w:color="auto"/>
            </w:tcBorders>
          </w:tcPr>
          <w:p w14:paraId="317BBD67" w14:textId="77777777" w:rsidR="00A10B25" w:rsidRDefault="00A10B25">
            <w:pPr>
              <w:pStyle w:val="TAL"/>
              <w:rPr>
                <w:rFonts w:cs="Arial"/>
                <w:szCs w:val="18"/>
                <w:lang w:eastAsia="zh-CN"/>
              </w:rPr>
            </w:pPr>
            <w:r>
              <w:rPr>
                <w:rFonts w:cs="Arial"/>
                <w:szCs w:val="18"/>
                <w:lang w:eastAsia="zh-CN"/>
              </w:rPr>
              <w:t>This attribute identifies the time duration the UE stays in the location.</w:t>
            </w:r>
          </w:p>
          <w:p w14:paraId="731DE884" w14:textId="77777777" w:rsidR="00A10B25" w:rsidRDefault="00A10B25">
            <w:pPr>
              <w:pStyle w:val="TAL"/>
              <w:rPr>
                <w:rFonts w:eastAsia="Times New Roman" w:cs="Arial"/>
                <w:szCs w:val="18"/>
              </w:rPr>
            </w:pPr>
            <w:r>
              <w:rPr>
                <w:rFonts w:eastAsia="Times New Roman" w:cs="Arial"/>
                <w:szCs w:val="18"/>
              </w:rPr>
              <w:t>If the analytics result applies for a group of UEs, it indicates the average duration for the group of UEs.</w:t>
            </w:r>
          </w:p>
          <w:p w14:paraId="5D6E0776" w14:textId="77777777" w:rsidR="00A10B25" w:rsidRDefault="00A10B25">
            <w:pPr>
              <w:pStyle w:val="TAL"/>
              <w:rPr>
                <w:rFonts w:eastAsia="Times New Roman" w:cs="Arial"/>
                <w:szCs w:val="18"/>
              </w:rPr>
            </w:pPr>
            <w:r>
              <w:rPr>
                <w:rFonts w:cs="Arial"/>
                <w:szCs w:val="18"/>
                <w:lang w:eastAsia="zh-CN"/>
              </w:rPr>
              <w:t>(NOTE 3)</w:t>
            </w:r>
          </w:p>
        </w:tc>
        <w:tc>
          <w:tcPr>
            <w:tcW w:w="1844" w:type="dxa"/>
            <w:tcBorders>
              <w:top w:val="single" w:sz="6" w:space="0" w:color="auto"/>
              <w:left w:val="single" w:sz="6" w:space="0" w:color="auto"/>
              <w:bottom w:val="single" w:sz="6" w:space="0" w:color="auto"/>
              <w:right w:val="single" w:sz="6" w:space="0" w:color="auto"/>
            </w:tcBorders>
          </w:tcPr>
          <w:p w14:paraId="61212F47" w14:textId="77777777" w:rsidR="00A10B25" w:rsidRDefault="00A10B25">
            <w:pPr>
              <w:keepNext/>
              <w:keepLines/>
              <w:spacing w:after="0"/>
              <w:rPr>
                <w:rFonts w:ascii="Arial" w:hAnsi="Arial" w:cs="Arial"/>
                <w:sz w:val="18"/>
                <w:szCs w:val="18"/>
              </w:rPr>
            </w:pPr>
          </w:p>
        </w:tc>
      </w:tr>
      <w:tr w:rsidR="00A10B25" w14:paraId="36F0426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69CDEC0" w14:textId="77777777" w:rsidR="00A10B25" w:rsidRDefault="00A10B25">
            <w:pPr>
              <w:pStyle w:val="TAL"/>
            </w:pPr>
            <w:r>
              <w:t>durationVariance</w:t>
            </w:r>
          </w:p>
        </w:tc>
        <w:tc>
          <w:tcPr>
            <w:tcW w:w="1560" w:type="dxa"/>
            <w:tcBorders>
              <w:top w:val="single" w:sz="6" w:space="0" w:color="auto"/>
              <w:left w:val="single" w:sz="6" w:space="0" w:color="auto"/>
              <w:bottom w:val="single" w:sz="6" w:space="0" w:color="auto"/>
              <w:right w:val="single" w:sz="6" w:space="0" w:color="auto"/>
            </w:tcBorders>
          </w:tcPr>
          <w:p w14:paraId="0B1A50C2" w14:textId="77777777" w:rsidR="00A10B25" w:rsidRDefault="00A10B25">
            <w:pPr>
              <w:pStyle w:val="TAL"/>
            </w:pPr>
            <w:r>
              <w:t>Float</w:t>
            </w:r>
          </w:p>
        </w:tc>
        <w:tc>
          <w:tcPr>
            <w:tcW w:w="425" w:type="dxa"/>
            <w:tcBorders>
              <w:top w:val="single" w:sz="6" w:space="0" w:color="auto"/>
              <w:left w:val="single" w:sz="6" w:space="0" w:color="auto"/>
              <w:bottom w:val="single" w:sz="6" w:space="0" w:color="auto"/>
              <w:right w:val="single" w:sz="6" w:space="0" w:color="auto"/>
            </w:tcBorders>
          </w:tcPr>
          <w:p w14:paraId="0B98D043" w14:textId="77777777" w:rsidR="00A10B25" w:rsidRDefault="00A10B25">
            <w:pPr>
              <w:pStyle w:val="TAC"/>
            </w:pPr>
            <w:r>
              <w:rPr>
                <w:rFonts w:eastAsia="Times New Roman"/>
              </w:rPr>
              <w:t>C</w:t>
            </w:r>
          </w:p>
        </w:tc>
        <w:tc>
          <w:tcPr>
            <w:tcW w:w="1134" w:type="dxa"/>
            <w:tcBorders>
              <w:top w:val="single" w:sz="6" w:space="0" w:color="auto"/>
              <w:left w:val="single" w:sz="6" w:space="0" w:color="auto"/>
              <w:bottom w:val="single" w:sz="6" w:space="0" w:color="auto"/>
              <w:right w:val="single" w:sz="6" w:space="0" w:color="auto"/>
            </w:tcBorders>
          </w:tcPr>
          <w:p w14:paraId="007A4D25" w14:textId="77777777" w:rsidR="00A10B25" w:rsidRDefault="00A10B25">
            <w:pPr>
              <w:pStyle w:val="TAL"/>
              <w:rPr>
                <w:lang w:eastAsia="zh-CN"/>
              </w:rPr>
            </w:pPr>
            <w:r>
              <w:rPr>
                <w:lang w:eastAsia="zh-CN"/>
              </w:rPr>
              <w:t>0..1</w:t>
            </w:r>
          </w:p>
        </w:tc>
        <w:tc>
          <w:tcPr>
            <w:tcW w:w="2857" w:type="dxa"/>
            <w:tcBorders>
              <w:top w:val="single" w:sz="6" w:space="0" w:color="auto"/>
              <w:left w:val="single" w:sz="6" w:space="0" w:color="auto"/>
              <w:bottom w:val="single" w:sz="6" w:space="0" w:color="auto"/>
              <w:right w:val="single" w:sz="6" w:space="0" w:color="auto"/>
            </w:tcBorders>
          </w:tcPr>
          <w:p w14:paraId="6EEE3DC2" w14:textId="77777777" w:rsidR="00A10B25" w:rsidRDefault="00A10B25">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4" w:type="dxa"/>
            <w:tcBorders>
              <w:top w:val="single" w:sz="6" w:space="0" w:color="auto"/>
              <w:left w:val="single" w:sz="6" w:space="0" w:color="auto"/>
              <w:bottom w:val="single" w:sz="6" w:space="0" w:color="auto"/>
              <w:right w:val="single" w:sz="6" w:space="0" w:color="auto"/>
            </w:tcBorders>
          </w:tcPr>
          <w:p w14:paraId="44C439F5" w14:textId="77777777" w:rsidR="00A10B25" w:rsidRDefault="00A10B25">
            <w:pPr>
              <w:keepNext/>
              <w:keepLines/>
              <w:spacing w:after="0"/>
              <w:rPr>
                <w:rFonts w:ascii="Arial" w:hAnsi="Arial" w:cs="Arial"/>
                <w:sz w:val="18"/>
                <w:szCs w:val="18"/>
              </w:rPr>
            </w:pPr>
          </w:p>
        </w:tc>
      </w:tr>
      <w:tr w:rsidR="00A10B25" w14:paraId="457E867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A300717" w14:textId="77777777" w:rsidR="00A10B25" w:rsidRDefault="00A10B25">
            <w:pPr>
              <w:pStyle w:val="TAL"/>
            </w:pPr>
            <w:r>
              <w:rPr>
                <w:lang w:eastAsia="zh-CN"/>
              </w:rPr>
              <w:t>locInfos</w:t>
            </w:r>
          </w:p>
        </w:tc>
        <w:tc>
          <w:tcPr>
            <w:tcW w:w="1560" w:type="dxa"/>
            <w:tcBorders>
              <w:top w:val="single" w:sz="6" w:space="0" w:color="auto"/>
              <w:left w:val="single" w:sz="6" w:space="0" w:color="auto"/>
              <w:bottom w:val="single" w:sz="6" w:space="0" w:color="auto"/>
              <w:right w:val="single" w:sz="6" w:space="0" w:color="auto"/>
            </w:tcBorders>
          </w:tcPr>
          <w:p w14:paraId="5F8CD47F" w14:textId="77777777" w:rsidR="00A10B25" w:rsidRDefault="00A10B25">
            <w:pPr>
              <w:pStyle w:val="TAL"/>
            </w:pPr>
            <w:r>
              <w:t>array(LocationInfo)</w:t>
            </w:r>
          </w:p>
        </w:tc>
        <w:tc>
          <w:tcPr>
            <w:tcW w:w="425" w:type="dxa"/>
            <w:tcBorders>
              <w:top w:val="single" w:sz="6" w:space="0" w:color="auto"/>
              <w:left w:val="single" w:sz="6" w:space="0" w:color="auto"/>
              <w:bottom w:val="single" w:sz="6" w:space="0" w:color="auto"/>
              <w:right w:val="single" w:sz="6" w:space="0" w:color="auto"/>
            </w:tcBorders>
          </w:tcPr>
          <w:p w14:paraId="38C0EF7E"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5CB08911" w14:textId="77777777" w:rsidR="00A10B25" w:rsidRDefault="00A10B25">
            <w:pPr>
              <w:pStyle w:val="TAL"/>
              <w:rPr>
                <w:lang w:eastAsia="zh-CN"/>
              </w:rPr>
            </w:pPr>
            <w:r>
              <w:rPr>
                <w:lang w:eastAsia="zh-CN"/>
              </w:rPr>
              <w:t>1..N</w:t>
            </w:r>
          </w:p>
        </w:tc>
        <w:tc>
          <w:tcPr>
            <w:tcW w:w="2857" w:type="dxa"/>
            <w:tcBorders>
              <w:top w:val="single" w:sz="6" w:space="0" w:color="auto"/>
              <w:left w:val="single" w:sz="6" w:space="0" w:color="auto"/>
              <w:bottom w:val="single" w:sz="6" w:space="0" w:color="auto"/>
              <w:right w:val="single" w:sz="6" w:space="0" w:color="auto"/>
            </w:tcBorders>
          </w:tcPr>
          <w:p w14:paraId="7B873846" w14:textId="77777777" w:rsidR="00A10B25" w:rsidRDefault="00A10B25">
            <w:pPr>
              <w:pStyle w:val="TAL"/>
              <w:rPr>
                <w:rFonts w:cs="Arial"/>
                <w:szCs w:val="18"/>
                <w:lang w:eastAsia="zh-CN"/>
              </w:rPr>
            </w:pPr>
            <w:r>
              <w:rPr>
                <w:rFonts w:cs="Arial"/>
                <w:szCs w:val="18"/>
                <w:lang w:eastAsia="zh-CN"/>
              </w:rPr>
              <w:t>This attribute includes a list of UE location information during the time duration.</w:t>
            </w:r>
          </w:p>
          <w:p w14:paraId="0D86D33D" w14:textId="77777777" w:rsidR="00A10B25" w:rsidRDefault="00A10B25">
            <w:pPr>
              <w:pStyle w:val="TAL"/>
              <w:rPr>
                <w:rFonts w:cs="Arial"/>
                <w:szCs w:val="18"/>
                <w:lang w:eastAsia="zh-CN"/>
              </w:rPr>
            </w:pPr>
            <w:r>
              <w:rPr>
                <w:rFonts w:cs="Arial"/>
                <w:szCs w:val="18"/>
                <w:lang w:eastAsia="zh-CN"/>
              </w:rPr>
              <w:t>(NOTE 4)</w:t>
            </w:r>
          </w:p>
        </w:tc>
        <w:tc>
          <w:tcPr>
            <w:tcW w:w="1844" w:type="dxa"/>
            <w:tcBorders>
              <w:top w:val="single" w:sz="6" w:space="0" w:color="auto"/>
              <w:left w:val="single" w:sz="6" w:space="0" w:color="auto"/>
              <w:bottom w:val="single" w:sz="6" w:space="0" w:color="auto"/>
              <w:right w:val="single" w:sz="6" w:space="0" w:color="auto"/>
            </w:tcBorders>
          </w:tcPr>
          <w:p w14:paraId="08627DBE" w14:textId="77777777" w:rsidR="00A10B25" w:rsidRDefault="00A10B25">
            <w:pPr>
              <w:keepNext/>
              <w:keepLines/>
              <w:spacing w:after="0"/>
              <w:rPr>
                <w:rFonts w:ascii="Arial" w:hAnsi="Arial" w:cs="Arial"/>
                <w:sz w:val="18"/>
                <w:szCs w:val="18"/>
              </w:rPr>
            </w:pPr>
          </w:p>
        </w:tc>
      </w:tr>
      <w:tr w:rsidR="00A10B25" w14:paraId="6E262B5C"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1F85B2B" w14:textId="77777777" w:rsidR="00A10B25" w:rsidRDefault="00A10B25">
            <w:pPr>
              <w:pStyle w:val="TAL"/>
              <w:rPr>
                <w:lang w:eastAsia="zh-CN"/>
              </w:rPr>
            </w:pPr>
            <w:r>
              <w:rPr>
                <w:lang w:eastAsia="zh-CN"/>
              </w:rPr>
              <w:t>directionInfos</w:t>
            </w:r>
          </w:p>
        </w:tc>
        <w:tc>
          <w:tcPr>
            <w:tcW w:w="1560" w:type="dxa"/>
            <w:tcBorders>
              <w:top w:val="single" w:sz="6" w:space="0" w:color="auto"/>
              <w:left w:val="single" w:sz="6" w:space="0" w:color="auto"/>
              <w:bottom w:val="single" w:sz="6" w:space="0" w:color="auto"/>
              <w:right w:val="single" w:sz="6" w:space="0" w:color="auto"/>
            </w:tcBorders>
          </w:tcPr>
          <w:p w14:paraId="4FCE4A5A" w14:textId="77777777" w:rsidR="00A10B25" w:rsidRDefault="00A10B25">
            <w:pPr>
              <w:pStyle w:val="TAL"/>
            </w:pPr>
            <w:r>
              <w:t>array(DirectionInfo)</w:t>
            </w:r>
          </w:p>
        </w:tc>
        <w:tc>
          <w:tcPr>
            <w:tcW w:w="425" w:type="dxa"/>
            <w:tcBorders>
              <w:top w:val="single" w:sz="6" w:space="0" w:color="auto"/>
              <w:left w:val="single" w:sz="6" w:space="0" w:color="auto"/>
              <w:bottom w:val="single" w:sz="6" w:space="0" w:color="auto"/>
              <w:right w:val="single" w:sz="6" w:space="0" w:color="auto"/>
            </w:tcBorders>
          </w:tcPr>
          <w:p w14:paraId="38072E58"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89C309" w14:textId="77777777" w:rsidR="00A10B25" w:rsidRDefault="00A10B25">
            <w:pPr>
              <w:pStyle w:val="TAL"/>
              <w:rPr>
                <w:lang w:eastAsia="zh-CN"/>
              </w:rPr>
            </w:pPr>
            <w:r>
              <w:rPr>
                <w:lang w:eastAsia="zh-CN"/>
              </w:rPr>
              <w:t>1..N</w:t>
            </w:r>
          </w:p>
        </w:tc>
        <w:tc>
          <w:tcPr>
            <w:tcW w:w="2857" w:type="dxa"/>
            <w:tcBorders>
              <w:top w:val="single" w:sz="6" w:space="0" w:color="auto"/>
              <w:left w:val="single" w:sz="6" w:space="0" w:color="auto"/>
              <w:bottom w:val="single" w:sz="6" w:space="0" w:color="auto"/>
              <w:right w:val="single" w:sz="6" w:space="0" w:color="auto"/>
            </w:tcBorders>
          </w:tcPr>
          <w:p w14:paraId="6E0BD44F" w14:textId="77777777" w:rsidR="00A10B25" w:rsidRDefault="00A10B25">
            <w:pPr>
              <w:pStyle w:val="TAL"/>
              <w:rPr>
                <w:rFonts w:cs="Arial"/>
                <w:szCs w:val="18"/>
                <w:lang w:eastAsia="zh-CN"/>
              </w:rPr>
            </w:pPr>
            <w:r>
              <w:rPr>
                <w:rFonts w:cs="Arial"/>
                <w:szCs w:val="18"/>
                <w:lang w:eastAsia="zh-CN"/>
              </w:rPr>
              <w:t>This attribute includes a list of UE direction information.</w:t>
            </w:r>
            <w:r>
              <w:rPr>
                <w:lang w:val="en-US"/>
              </w:rPr>
              <w:t xml:space="preserve"> </w:t>
            </w:r>
            <w:r>
              <w:rPr>
                <w:rFonts w:cs="Arial"/>
                <w:szCs w:val="18"/>
              </w:rPr>
              <w:t>Shall be present</w:t>
            </w:r>
            <w:r>
              <w:rPr>
                <w:lang w:eastAsia="zh-CN"/>
              </w:rPr>
              <w:t xml:space="preserve"> if one of the elements in the "listOfAnaSubsets" attribute in the request was set to "</w:t>
            </w:r>
            <w:r>
              <w:rPr>
                <w:lang w:val="en-US"/>
              </w:rPr>
              <w:t>UE_DIRECTION</w:t>
            </w:r>
            <w:r>
              <w:rPr>
                <w:lang w:eastAsia="zh-CN"/>
              </w:rPr>
              <w:t>"</w:t>
            </w:r>
            <w:r>
              <w:t>.</w:t>
            </w:r>
          </w:p>
        </w:tc>
        <w:tc>
          <w:tcPr>
            <w:tcW w:w="1844" w:type="dxa"/>
            <w:tcBorders>
              <w:top w:val="single" w:sz="6" w:space="0" w:color="auto"/>
              <w:left w:val="single" w:sz="6" w:space="0" w:color="auto"/>
              <w:bottom w:val="single" w:sz="6" w:space="0" w:color="auto"/>
              <w:right w:val="single" w:sz="6" w:space="0" w:color="auto"/>
            </w:tcBorders>
          </w:tcPr>
          <w:p w14:paraId="56DCC2B3" w14:textId="77777777" w:rsidR="00A10B25" w:rsidRDefault="00A10B25">
            <w:pPr>
              <w:keepNext/>
              <w:keepLines/>
              <w:spacing w:after="0"/>
              <w:rPr>
                <w:rFonts w:ascii="Arial" w:hAnsi="Arial" w:cs="Arial"/>
                <w:sz w:val="18"/>
                <w:szCs w:val="18"/>
              </w:rPr>
            </w:pPr>
            <w:r>
              <w:rPr>
                <w:rFonts w:ascii="Arial" w:hAnsi="Arial" w:cs="Arial"/>
                <w:sz w:val="18"/>
                <w:szCs w:val="18"/>
                <w:lang w:eastAsia="zh-CN"/>
              </w:rPr>
              <w:t>UeMobilityExt_AIML</w:t>
            </w:r>
          </w:p>
        </w:tc>
      </w:tr>
      <w:tr w:rsidR="00A10B25" w14:paraId="22AD4753"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vAlign w:val="center"/>
          </w:tcPr>
          <w:p w14:paraId="495A5C8F" w14:textId="77777777" w:rsidR="00A10B25" w:rsidRDefault="00A10B25">
            <w:pPr>
              <w:pStyle w:val="TAN"/>
              <w:rPr>
                <w:lang w:eastAsia="zh-CN"/>
              </w:rPr>
            </w:pPr>
            <w:r>
              <w:t>NOTE 1:</w:t>
            </w:r>
            <w:r>
              <w:tab/>
            </w:r>
            <w:r>
              <w:rPr>
                <w:lang w:eastAsia="zh-CN"/>
              </w:rPr>
              <w:t>Either "ts" or "recurringTime" shall be provided.</w:t>
            </w:r>
          </w:p>
          <w:p w14:paraId="2A9DC8C5" w14:textId="77777777" w:rsidR="00A10B25" w:rsidRDefault="00A10B25">
            <w:pPr>
              <w:pStyle w:val="TAN"/>
              <w:rPr>
                <w:lang w:eastAsia="zh-CN"/>
              </w:rPr>
            </w:pPr>
            <w:r>
              <w:t>NOTE 2:</w:t>
            </w:r>
            <w:r>
              <w:tab/>
            </w:r>
            <w:r>
              <w:rPr>
                <w:lang w:eastAsia="zh-CN"/>
              </w:rPr>
              <w:t>If this attribute is present, it indicates the UE movement is periodic. This attribute is suitable to be present for a recurring mobility in a long observation time.</w:t>
            </w:r>
          </w:p>
          <w:p w14:paraId="022BF9D9" w14:textId="77777777" w:rsidR="00A10B25" w:rsidRDefault="00A10B25">
            <w:pPr>
              <w:pStyle w:val="TAN"/>
            </w:pPr>
            <w:r>
              <w:t>NOTE 3:</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 xml:space="preserve">" </w:t>
            </w:r>
            <w:r>
              <w:t xml:space="preserve">attribute is provided in the request, the duration indicated by the "duration" attribute </w:t>
            </w:r>
            <w:r>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 xml:space="preserve">" </w:t>
            </w:r>
            <w:r>
              <w:t>attribute.</w:t>
            </w:r>
          </w:p>
          <w:p w14:paraId="6C1CA9DC" w14:textId="77777777" w:rsidR="00A10B25" w:rsidRDefault="00A10B25">
            <w:pPr>
              <w:pStyle w:val="TAN"/>
            </w:pPr>
            <w:r>
              <w:t>NOTE 4:</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 and/or "</w:t>
            </w:r>
            <w:r>
              <w:t>spatialGranSizeCell</w:t>
            </w:r>
            <w:r>
              <w:rPr>
                <w:lang w:val="en-US" w:eastAsia="zh-CN"/>
              </w:rPr>
              <w:t>"</w:t>
            </w:r>
            <w:r>
              <w:rPr>
                <w:lang w:val="en-US"/>
              </w:rPr>
              <w:t xml:space="preserve"> </w:t>
            </w:r>
            <w:r>
              <w:t xml:space="preserve">attributes </w:t>
            </w:r>
            <w:r>
              <w:rPr>
                <w:lang w:eastAsia="zh-CN"/>
              </w:rPr>
              <w:t>are</w:t>
            </w:r>
            <w:r>
              <w:t xml:space="preserve"> provided in the request, the number of TAs or cells contained in </w:t>
            </w:r>
            <w:r>
              <w:rPr>
                <w:lang w:val="en-US" w:eastAsia="zh-CN"/>
              </w:rPr>
              <w:t>"</w:t>
            </w:r>
            <w:r>
              <w:t>areaInfo</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 and/or "</w:t>
            </w:r>
            <w:r>
              <w:t>spatialGranSizeCell</w:t>
            </w:r>
            <w:r>
              <w:rPr>
                <w:lang w:val="en-US" w:eastAsia="zh-CN"/>
              </w:rPr>
              <w:t>"</w:t>
            </w:r>
            <w:r>
              <w:t xml:space="preserve"> attributes</w:t>
            </w:r>
            <w:r>
              <w:rPr>
                <w:rFonts w:cs="Arial"/>
                <w:szCs w:val="18"/>
                <w:lang w:eastAsia="zh-CN"/>
              </w:rPr>
              <w:t>.</w:t>
            </w:r>
          </w:p>
        </w:tc>
      </w:tr>
    </w:tbl>
    <w:p w14:paraId="6C960302" w14:textId="77777777" w:rsidR="00A10B25" w:rsidRDefault="00A10B25"/>
    <w:p w14:paraId="51FE44FC" w14:textId="77777777" w:rsidR="00D654A6" w:rsidRDefault="00D654A6" w:rsidP="00D654A6">
      <w:pPr>
        <w:pStyle w:val="5"/>
      </w:pPr>
      <w:bookmarkStart w:id="5953" w:name="_Toc28012825"/>
      <w:bookmarkStart w:id="5954" w:name="_Toc101244420"/>
      <w:bookmarkStart w:id="5955" w:name="_Toc56640970"/>
      <w:bookmarkStart w:id="5956" w:name="_Toc45134051"/>
      <w:bookmarkStart w:id="5957" w:name="_Toc34266295"/>
      <w:bookmarkStart w:id="5958" w:name="_Toc85557089"/>
      <w:bookmarkStart w:id="5959" w:name="_Toc51762903"/>
      <w:bookmarkStart w:id="5960" w:name="_Toc85552990"/>
      <w:bookmarkStart w:id="5961" w:name="_Toc112951135"/>
      <w:bookmarkStart w:id="5962" w:name="_Toc36102466"/>
      <w:bookmarkStart w:id="5963" w:name="_Toc120702314"/>
      <w:bookmarkStart w:id="5964" w:name="_Toc98233644"/>
      <w:bookmarkStart w:id="5965" w:name="_Toc113031675"/>
      <w:bookmarkStart w:id="5966" w:name="_Toc90655876"/>
      <w:bookmarkStart w:id="5967" w:name="_Toc104539013"/>
      <w:bookmarkStart w:id="5968" w:name="_Toc114133814"/>
      <w:bookmarkStart w:id="5969" w:name="_Toc50031983"/>
      <w:bookmarkStart w:id="5970" w:name="_Toc88667591"/>
      <w:bookmarkStart w:id="5971" w:name="_Toc70550634"/>
      <w:bookmarkStart w:id="5972" w:name="_Toc43563508"/>
      <w:bookmarkStart w:id="5973" w:name="_Toc59017938"/>
      <w:bookmarkStart w:id="5974" w:name="_Toc68168967"/>
      <w:bookmarkStart w:id="5975" w:name="_Toc66231806"/>
      <w:bookmarkStart w:id="5976" w:name="_Toc94064259"/>
      <w:bookmarkStart w:id="5977" w:name="_Toc83233080"/>
      <w:bookmarkStart w:id="5978" w:name="_Toc145705702"/>
      <w:bookmarkStart w:id="5979" w:name="_Toc148522606"/>
      <w:bookmarkStart w:id="5980" w:name="_Toc136562381"/>
      <w:bookmarkStart w:id="5981" w:name="_Toc138754215"/>
      <w:bookmarkStart w:id="5982" w:name="_Toc145705701"/>
      <w:bookmarkStart w:id="5983" w:name="_Toc148522605"/>
      <w:bookmarkStart w:id="5984" w:name="_Toc164920785"/>
      <w:bookmarkStart w:id="5985" w:name="_Toc170120327"/>
      <w:bookmarkStart w:id="5986" w:name="_Toc175858572"/>
      <w:bookmarkStart w:id="5987" w:name="_Toc175859645"/>
      <w:bookmarkStart w:id="5988" w:name="_Toc180605935"/>
      <w:bookmarkStart w:id="5989" w:name="_Toc185517189"/>
      <w:bookmarkStart w:id="5990" w:name="_Toc191576240"/>
      <w:bookmarkStart w:id="5991" w:name="_Toc191576980"/>
      <w:bookmarkStart w:id="5992" w:name="_Toc192880050"/>
      <w:bookmarkStart w:id="5993" w:name="_Toc195814933"/>
      <w:bookmarkStart w:id="5994" w:name="_Toc199452900"/>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r>
        <w:lastRenderedPageBreak/>
        <w:t>5.1.6.2.11</w:t>
      </w:r>
      <w:r>
        <w:tab/>
        <w:t>Type LocationInfo</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22A948B2" w14:textId="77777777" w:rsidR="00D654A6" w:rsidRDefault="00D654A6" w:rsidP="00D654A6">
      <w:pPr>
        <w:pStyle w:val="TH"/>
      </w:pPr>
      <w:r>
        <w:t>Table 5.1.6.2.11-1: Definition of type LocationInfo</w:t>
      </w:r>
    </w:p>
    <w:tbl>
      <w:tblPr>
        <w:tblW w:w="9566"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06"/>
        <w:gridCol w:w="36"/>
        <w:gridCol w:w="1517"/>
        <w:gridCol w:w="36"/>
        <w:gridCol w:w="388"/>
        <w:gridCol w:w="36"/>
        <w:gridCol w:w="1094"/>
        <w:gridCol w:w="36"/>
        <w:gridCol w:w="2809"/>
        <w:gridCol w:w="36"/>
        <w:gridCol w:w="1800"/>
        <w:gridCol w:w="36"/>
      </w:tblGrid>
      <w:tr w:rsidR="00D654A6" w14:paraId="7B570C85" w14:textId="77777777" w:rsidTr="005A20DD">
        <w:trPr>
          <w:gridAfter w:val="1"/>
          <w:wAfter w:w="36" w:type="dxa"/>
          <w:jc w:val="center"/>
        </w:trPr>
        <w:tc>
          <w:tcPr>
            <w:tcW w:w="1749" w:type="dxa"/>
            <w:gridSpan w:val="2"/>
            <w:shd w:val="clear" w:color="auto" w:fill="C0C0C0"/>
          </w:tcPr>
          <w:p w14:paraId="5356A3A3" w14:textId="77777777" w:rsidR="00D654A6" w:rsidRDefault="00D654A6" w:rsidP="005A20DD">
            <w:pPr>
              <w:pStyle w:val="TAH"/>
              <w:ind w:left="400" w:hanging="400"/>
            </w:pPr>
            <w:r>
              <w:t>Attribute name</w:t>
            </w:r>
          </w:p>
        </w:tc>
        <w:tc>
          <w:tcPr>
            <w:tcW w:w="1559" w:type="dxa"/>
            <w:gridSpan w:val="2"/>
            <w:shd w:val="clear" w:color="auto" w:fill="C0C0C0"/>
          </w:tcPr>
          <w:p w14:paraId="3DD08F4A" w14:textId="77777777" w:rsidR="00D654A6" w:rsidRDefault="00D654A6" w:rsidP="005A20DD">
            <w:pPr>
              <w:pStyle w:val="TAH"/>
              <w:ind w:left="400" w:hanging="400"/>
            </w:pPr>
            <w:r>
              <w:t>Data type</w:t>
            </w:r>
          </w:p>
        </w:tc>
        <w:tc>
          <w:tcPr>
            <w:tcW w:w="425" w:type="dxa"/>
            <w:gridSpan w:val="2"/>
            <w:shd w:val="clear" w:color="auto" w:fill="C0C0C0"/>
          </w:tcPr>
          <w:p w14:paraId="0515D304" w14:textId="77777777" w:rsidR="00D654A6" w:rsidRDefault="00D654A6" w:rsidP="005A20DD">
            <w:pPr>
              <w:pStyle w:val="TAH"/>
              <w:ind w:left="400" w:hanging="400"/>
            </w:pPr>
            <w:r>
              <w:t>P</w:t>
            </w:r>
          </w:p>
        </w:tc>
        <w:tc>
          <w:tcPr>
            <w:tcW w:w="1134" w:type="dxa"/>
            <w:gridSpan w:val="2"/>
            <w:shd w:val="clear" w:color="auto" w:fill="C0C0C0"/>
          </w:tcPr>
          <w:p w14:paraId="314CFEB8" w14:textId="77777777" w:rsidR="00D654A6" w:rsidRDefault="00D654A6" w:rsidP="005A20DD">
            <w:pPr>
              <w:pStyle w:val="TAH"/>
              <w:ind w:left="400" w:hanging="400"/>
            </w:pPr>
            <w:r>
              <w:t>Cardinality</w:t>
            </w:r>
          </w:p>
        </w:tc>
        <w:tc>
          <w:tcPr>
            <w:tcW w:w="2856" w:type="dxa"/>
            <w:gridSpan w:val="2"/>
            <w:shd w:val="clear" w:color="auto" w:fill="C0C0C0"/>
          </w:tcPr>
          <w:p w14:paraId="71D4B082" w14:textId="77777777" w:rsidR="00D654A6" w:rsidRDefault="00D654A6" w:rsidP="005A20DD">
            <w:pPr>
              <w:pStyle w:val="TAH"/>
              <w:ind w:left="400" w:hanging="400"/>
            </w:pPr>
            <w:r>
              <w:t>Description</w:t>
            </w:r>
          </w:p>
        </w:tc>
        <w:tc>
          <w:tcPr>
            <w:tcW w:w="1843" w:type="dxa"/>
            <w:gridSpan w:val="2"/>
            <w:shd w:val="clear" w:color="auto" w:fill="C0C0C0"/>
          </w:tcPr>
          <w:p w14:paraId="07845900" w14:textId="77777777" w:rsidR="00D654A6" w:rsidRDefault="00D654A6" w:rsidP="005A20DD">
            <w:pPr>
              <w:pStyle w:val="TAH"/>
              <w:ind w:left="400" w:hanging="400"/>
            </w:pPr>
            <w:r>
              <w:t>Applicability</w:t>
            </w:r>
          </w:p>
        </w:tc>
      </w:tr>
      <w:tr w:rsidR="00D654A6" w14:paraId="4AF3621B" w14:textId="77777777" w:rsidTr="005A20DD">
        <w:trPr>
          <w:gridAfter w:val="1"/>
          <w:wAfter w:w="36" w:type="dxa"/>
          <w:jc w:val="center"/>
        </w:trPr>
        <w:tc>
          <w:tcPr>
            <w:tcW w:w="1749" w:type="dxa"/>
            <w:gridSpan w:val="2"/>
          </w:tcPr>
          <w:p w14:paraId="55883B02" w14:textId="77777777" w:rsidR="00D654A6" w:rsidRDefault="00D654A6" w:rsidP="005A20DD">
            <w:pPr>
              <w:pStyle w:val="TAL"/>
              <w:rPr>
                <w:lang w:eastAsia="zh-CN"/>
              </w:rPr>
            </w:pPr>
            <w:r>
              <w:rPr>
                <w:lang w:eastAsia="zh-CN"/>
              </w:rPr>
              <w:t>loc</w:t>
            </w:r>
          </w:p>
        </w:tc>
        <w:tc>
          <w:tcPr>
            <w:tcW w:w="1559" w:type="dxa"/>
            <w:gridSpan w:val="2"/>
          </w:tcPr>
          <w:p w14:paraId="664C9CC2" w14:textId="77777777" w:rsidR="00D654A6" w:rsidRDefault="00D654A6" w:rsidP="005A20DD">
            <w:pPr>
              <w:pStyle w:val="TAL"/>
              <w:rPr>
                <w:lang w:eastAsia="zh-CN"/>
              </w:rPr>
            </w:pPr>
            <w:r>
              <w:rPr>
                <w:lang w:eastAsia="zh-CN"/>
              </w:rPr>
              <w:t>UserLocation</w:t>
            </w:r>
          </w:p>
        </w:tc>
        <w:tc>
          <w:tcPr>
            <w:tcW w:w="425" w:type="dxa"/>
            <w:gridSpan w:val="2"/>
          </w:tcPr>
          <w:p w14:paraId="2426A0EF" w14:textId="77777777" w:rsidR="00D654A6" w:rsidRDefault="00D654A6" w:rsidP="005A20DD">
            <w:pPr>
              <w:pStyle w:val="TAL"/>
            </w:pPr>
            <w:r>
              <w:t>M</w:t>
            </w:r>
          </w:p>
        </w:tc>
        <w:tc>
          <w:tcPr>
            <w:tcW w:w="1134" w:type="dxa"/>
            <w:gridSpan w:val="2"/>
          </w:tcPr>
          <w:p w14:paraId="78F8BE39" w14:textId="77777777" w:rsidR="00D654A6" w:rsidRDefault="00D654A6" w:rsidP="005A20DD">
            <w:pPr>
              <w:pStyle w:val="TAL"/>
              <w:rPr>
                <w:rFonts w:eastAsia="Times New Roman"/>
              </w:rPr>
            </w:pPr>
            <w:r>
              <w:rPr>
                <w:lang w:eastAsia="zh-CN"/>
              </w:rPr>
              <w:t>1</w:t>
            </w:r>
          </w:p>
        </w:tc>
        <w:tc>
          <w:tcPr>
            <w:tcW w:w="2856" w:type="dxa"/>
            <w:gridSpan w:val="2"/>
          </w:tcPr>
          <w:p w14:paraId="79A682E5" w14:textId="77777777" w:rsidR="00D654A6" w:rsidRDefault="00D654A6" w:rsidP="005A20DD">
            <w:pPr>
              <w:pStyle w:val="TAL"/>
              <w:rPr>
                <w:rFonts w:cs="Arial"/>
                <w:szCs w:val="18"/>
                <w:lang w:eastAsia="zh-CN"/>
              </w:rPr>
            </w:pPr>
            <w:r>
              <w:rPr>
                <w:rFonts w:cs="Arial"/>
                <w:szCs w:val="18"/>
                <w:lang w:eastAsia="zh-CN"/>
              </w:rPr>
              <w:t xml:space="preserve">This attribute contains the detailed location, the </w:t>
            </w:r>
            <w:r>
              <w:t>ueLocationTimestamp</w:t>
            </w:r>
            <w:r>
              <w:rPr>
                <w:rFonts w:cs="Arial"/>
                <w:szCs w:val="18"/>
                <w:lang w:eastAsia="zh-CN"/>
              </w:rPr>
              <w:t xml:space="preserve"> attribute in the 3GPP access type of UserLocation data type shall not be provided.</w:t>
            </w:r>
          </w:p>
          <w:p w14:paraId="03F88481" w14:textId="77777777" w:rsidR="00D654A6" w:rsidRDefault="00D654A6" w:rsidP="005A20DD">
            <w:pPr>
              <w:pStyle w:val="TAL"/>
              <w:rPr>
                <w:rFonts w:eastAsia="Times New Roman" w:cs="Arial"/>
                <w:szCs w:val="18"/>
              </w:rPr>
            </w:pPr>
            <w:r>
              <w:t>(NOTE</w:t>
            </w:r>
            <w:r>
              <w:rPr>
                <w:rFonts w:cs="Arial"/>
                <w:szCs w:val="18"/>
                <w:lang w:eastAsia="zh-CN"/>
              </w:rPr>
              <w:t> 3</w:t>
            </w:r>
            <w:r>
              <w:t>)</w:t>
            </w:r>
          </w:p>
        </w:tc>
        <w:tc>
          <w:tcPr>
            <w:tcW w:w="1843" w:type="dxa"/>
            <w:gridSpan w:val="2"/>
          </w:tcPr>
          <w:p w14:paraId="6FFFFF55" w14:textId="77777777" w:rsidR="00D654A6" w:rsidRDefault="00D654A6" w:rsidP="005A20DD">
            <w:pPr>
              <w:pStyle w:val="TAL"/>
              <w:rPr>
                <w:rFonts w:cs="Arial"/>
                <w:szCs w:val="18"/>
              </w:rPr>
            </w:pPr>
          </w:p>
        </w:tc>
      </w:tr>
      <w:tr w:rsidR="00D654A6" w14:paraId="3506AFA7" w14:textId="77777777" w:rsidTr="005A20DD">
        <w:trPr>
          <w:gridAfter w:val="1"/>
          <w:wAfter w:w="36" w:type="dxa"/>
          <w:jc w:val="center"/>
        </w:trPr>
        <w:tc>
          <w:tcPr>
            <w:tcW w:w="1749" w:type="dxa"/>
            <w:gridSpan w:val="2"/>
          </w:tcPr>
          <w:p w14:paraId="760773F5" w14:textId="77777777" w:rsidR="00D654A6" w:rsidRDefault="00D654A6" w:rsidP="005A20DD">
            <w:pPr>
              <w:pStyle w:val="TAL"/>
            </w:pPr>
            <w:r>
              <w:rPr>
                <w:lang w:eastAsia="zh-CN"/>
              </w:rPr>
              <w:t>geoLoc</w:t>
            </w:r>
          </w:p>
        </w:tc>
        <w:tc>
          <w:tcPr>
            <w:tcW w:w="1559" w:type="dxa"/>
            <w:gridSpan w:val="2"/>
          </w:tcPr>
          <w:p w14:paraId="16F86927" w14:textId="77777777" w:rsidR="00D654A6" w:rsidRDefault="00D654A6" w:rsidP="005A20DD">
            <w:pPr>
              <w:pStyle w:val="TAL"/>
            </w:pPr>
            <w:r>
              <w:t>GeographicalArea</w:t>
            </w:r>
          </w:p>
        </w:tc>
        <w:tc>
          <w:tcPr>
            <w:tcW w:w="425" w:type="dxa"/>
            <w:gridSpan w:val="2"/>
          </w:tcPr>
          <w:p w14:paraId="52E6CD6A" w14:textId="77777777" w:rsidR="00D654A6" w:rsidRDefault="00D654A6" w:rsidP="005A20DD">
            <w:pPr>
              <w:pStyle w:val="TAL"/>
            </w:pPr>
            <w:r>
              <w:t>C</w:t>
            </w:r>
          </w:p>
        </w:tc>
        <w:tc>
          <w:tcPr>
            <w:tcW w:w="1134" w:type="dxa"/>
            <w:gridSpan w:val="2"/>
          </w:tcPr>
          <w:p w14:paraId="7B6349F3" w14:textId="77777777" w:rsidR="00D654A6" w:rsidRDefault="00D654A6" w:rsidP="005A20DD">
            <w:pPr>
              <w:pStyle w:val="TAL"/>
              <w:rPr>
                <w:lang w:eastAsia="zh-CN"/>
              </w:rPr>
            </w:pPr>
            <w:r>
              <w:rPr>
                <w:lang w:eastAsia="zh-CN"/>
              </w:rPr>
              <w:t>0..1</w:t>
            </w:r>
          </w:p>
        </w:tc>
        <w:tc>
          <w:tcPr>
            <w:tcW w:w="2856" w:type="dxa"/>
            <w:gridSpan w:val="2"/>
          </w:tcPr>
          <w:p w14:paraId="2B18E571" w14:textId="77777777" w:rsidR="00D654A6" w:rsidRDefault="00D654A6" w:rsidP="005A20DD">
            <w:pPr>
              <w:pStyle w:val="TAL"/>
              <w:rPr>
                <w:rFonts w:cs="Arial"/>
                <w:szCs w:val="18"/>
                <w:lang w:eastAsia="zh-CN"/>
              </w:rPr>
            </w:pPr>
            <w:r>
              <w:rPr>
                <w:rFonts w:cs="Arial"/>
                <w:szCs w:val="18"/>
                <w:lang w:eastAsia="zh-CN"/>
              </w:rPr>
              <w:t xml:space="preserve">This attribute contains the geographical location </w:t>
            </w:r>
            <w:r>
              <w:t>in a fine granularity</w:t>
            </w:r>
            <w:r>
              <w:rPr>
                <w:rFonts w:cs="Arial"/>
                <w:szCs w:val="18"/>
                <w:lang w:eastAsia="zh-CN"/>
              </w:rPr>
              <w:t xml:space="preserve"> (</w:t>
            </w:r>
            <w:r>
              <w:t>e.g. smaller than a cell</w:t>
            </w:r>
            <w:r>
              <w:rPr>
                <w:rFonts w:cs="Arial"/>
                <w:szCs w:val="18"/>
                <w:lang w:eastAsia="zh-CN"/>
              </w:rPr>
              <w:t>).</w:t>
            </w:r>
          </w:p>
          <w:p w14:paraId="7526E4C2" w14:textId="77777777" w:rsidR="00D654A6" w:rsidRDefault="00D654A6" w:rsidP="005A20DD">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7022D5F8" w14:textId="77777777" w:rsidR="00D654A6" w:rsidRDefault="00D654A6" w:rsidP="005A20DD">
            <w:pPr>
              <w:pStyle w:val="TAL"/>
              <w:rPr>
                <w:rFonts w:cs="Arial"/>
                <w:szCs w:val="18"/>
                <w:lang w:eastAsia="zh-CN"/>
              </w:rPr>
            </w:pPr>
            <w:r>
              <w:t>(NOTE</w:t>
            </w:r>
            <w:r>
              <w:rPr>
                <w:rFonts w:cs="Arial"/>
                <w:szCs w:val="18"/>
                <w:lang w:eastAsia="zh-CN"/>
              </w:rPr>
              <w:t> 2</w:t>
            </w:r>
            <w:r>
              <w:t>) (NOTE</w:t>
            </w:r>
            <w:r>
              <w:rPr>
                <w:rFonts w:cs="Arial"/>
                <w:szCs w:val="18"/>
                <w:lang w:eastAsia="zh-CN"/>
              </w:rPr>
              <w:t> 3</w:t>
            </w:r>
            <w:r>
              <w:t>)</w:t>
            </w:r>
          </w:p>
        </w:tc>
        <w:tc>
          <w:tcPr>
            <w:tcW w:w="1843" w:type="dxa"/>
            <w:gridSpan w:val="2"/>
          </w:tcPr>
          <w:p w14:paraId="03776FBA" w14:textId="77777777" w:rsidR="00D654A6" w:rsidRDefault="00D654A6" w:rsidP="005A20DD">
            <w:pPr>
              <w:pStyle w:val="TAL"/>
              <w:rPr>
                <w:rFonts w:cs="Arial"/>
                <w:szCs w:val="18"/>
              </w:rPr>
            </w:pPr>
            <w:r>
              <w:rPr>
                <w:rFonts w:cs="Arial"/>
                <w:szCs w:val="18"/>
              </w:rPr>
              <w:t>UeMobilityExt2_eNA</w:t>
            </w:r>
          </w:p>
          <w:p w14:paraId="1805E3F3" w14:textId="77777777" w:rsidR="00D654A6" w:rsidRDefault="00D654A6" w:rsidP="005A20DD">
            <w:pPr>
              <w:pStyle w:val="TAL"/>
              <w:rPr>
                <w:rFonts w:cs="Arial"/>
                <w:szCs w:val="18"/>
              </w:rPr>
            </w:pPr>
            <w:r>
              <w:rPr>
                <w:lang w:eastAsia="zh-CN"/>
              </w:rPr>
              <w:t>ServiceExperienceExt2_eNA</w:t>
            </w:r>
          </w:p>
        </w:tc>
      </w:tr>
      <w:tr w:rsidR="00D654A6" w14:paraId="0359B4FD" w14:textId="77777777" w:rsidTr="005A20DD">
        <w:trPr>
          <w:gridAfter w:val="1"/>
          <w:wAfter w:w="36" w:type="dxa"/>
          <w:jc w:val="center"/>
        </w:trPr>
        <w:tc>
          <w:tcPr>
            <w:tcW w:w="1749" w:type="dxa"/>
            <w:gridSpan w:val="2"/>
          </w:tcPr>
          <w:p w14:paraId="5C8D735B" w14:textId="77777777" w:rsidR="00D654A6" w:rsidRDefault="00D654A6" w:rsidP="005A20DD">
            <w:pPr>
              <w:pStyle w:val="TAL"/>
              <w:rPr>
                <w:lang w:eastAsia="zh-CN"/>
              </w:rPr>
            </w:pPr>
            <w:r>
              <w:t>ratio</w:t>
            </w:r>
          </w:p>
        </w:tc>
        <w:tc>
          <w:tcPr>
            <w:tcW w:w="1559" w:type="dxa"/>
            <w:gridSpan w:val="2"/>
          </w:tcPr>
          <w:p w14:paraId="398F5428" w14:textId="77777777" w:rsidR="00D654A6" w:rsidRDefault="00D654A6" w:rsidP="005A20DD">
            <w:pPr>
              <w:pStyle w:val="TAL"/>
              <w:rPr>
                <w:lang w:eastAsia="zh-CN"/>
              </w:rPr>
            </w:pPr>
            <w:r>
              <w:t>SamplingRatio</w:t>
            </w:r>
          </w:p>
        </w:tc>
        <w:tc>
          <w:tcPr>
            <w:tcW w:w="425" w:type="dxa"/>
            <w:gridSpan w:val="2"/>
          </w:tcPr>
          <w:p w14:paraId="4A9C642A" w14:textId="77777777" w:rsidR="00D654A6" w:rsidRDefault="00D654A6" w:rsidP="005A20DD">
            <w:pPr>
              <w:pStyle w:val="TAL"/>
            </w:pPr>
            <w:r>
              <w:t>C</w:t>
            </w:r>
          </w:p>
        </w:tc>
        <w:tc>
          <w:tcPr>
            <w:tcW w:w="1134" w:type="dxa"/>
            <w:gridSpan w:val="2"/>
          </w:tcPr>
          <w:p w14:paraId="6CBB6CBB" w14:textId="77777777" w:rsidR="00D654A6" w:rsidRDefault="00D654A6" w:rsidP="005A20DD">
            <w:pPr>
              <w:pStyle w:val="TAL"/>
              <w:rPr>
                <w:rFonts w:eastAsia="Times New Roman"/>
              </w:rPr>
            </w:pPr>
            <w:r>
              <w:rPr>
                <w:lang w:eastAsia="zh-CN"/>
              </w:rPr>
              <w:t>0..1</w:t>
            </w:r>
          </w:p>
        </w:tc>
        <w:tc>
          <w:tcPr>
            <w:tcW w:w="2856" w:type="dxa"/>
            <w:gridSpan w:val="2"/>
          </w:tcPr>
          <w:p w14:paraId="6D473B17" w14:textId="77777777" w:rsidR="00D654A6" w:rsidRDefault="00D654A6" w:rsidP="005A20DD">
            <w:pPr>
              <w:pStyle w:val="TAL"/>
              <w:rPr>
                <w:rFonts w:cs="Arial"/>
                <w:szCs w:val="18"/>
                <w:lang w:eastAsia="zh-CN"/>
              </w:rPr>
            </w:pPr>
            <w:r>
              <w:rPr>
                <w:rFonts w:cs="Arial"/>
                <w:szCs w:val="18"/>
                <w:lang w:eastAsia="zh-CN"/>
              </w:rPr>
              <w:t>This attribute contains the percentage of UEs with same analytics result in the group.</w:t>
            </w:r>
          </w:p>
          <w:p w14:paraId="60B2D69E" w14:textId="77777777" w:rsidR="00D654A6" w:rsidRDefault="00D654A6" w:rsidP="005A20DD">
            <w:pPr>
              <w:pStyle w:val="TAL"/>
              <w:rPr>
                <w:rFonts w:eastAsia="Times New Roman" w:cs="Arial"/>
                <w:szCs w:val="18"/>
              </w:rPr>
            </w:pPr>
            <w:r>
              <w:rPr>
                <w:rFonts w:cs="Arial"/>
                <w:szCs w:val="18"/>
                <w:lang w:eastAsia="zh-CN"/>
              </w:rPr>
              <w:t>Shall be present if the analytics result applies for a group of UEs</w:t>
            </w:r>
            <w:r>
              <w:rPr>
                <w:lang w:eastAsia="zh-CN"/>
              </w:rPr>
              <w:t>.</w:t>
            </w:r>
          </w:p>
        </w:tc>
        <w:tc>
          <w:tcPr>
            <w:tcW w:w="1843" w:type="dxa"/>
            <w:gridSpan w:val="2"/>
          </w:tcPr>
          <w:p w14:paraId="47E04F94" w14:textId="77777777" w:rsidR="00D654A6" w:rsidRDefault="00D654A6" w:rsidP="005A20DD">
            <w:pPr>
              <w:pStyle w:val="TAL"/>
              <w:rPr>
                <w:rFonts w:cs="Arial"/>
                <w:szCs w:val="18"/>
              </w:rPr>
            </w:pPr>
          </w:p>
        </w:tc>
      </w:tr>
      <w:tr w:rsidR="00D654A6" w14:paraId="123E92B5" w14:textId="77777777" w:rsidTr="005A20DD">
        <w:trPr>
          <w:gridAfter w:val="1"/>
          <w:wAfter w:w="36" w:type="dxa"/>
          <w:jc w:val="center"/>
        </w:trPr>
        <w:tc>
          <w:tcPr>
            <w:tcW w:w="1749" w:type="dxa"/>
            <w:gridSpan w:val="2"/>
          </w:tcPr>
          <w:p w14:paraId="238107AF" w14:textId="77777777" w:rsidR="00D654A6" w:rsidRDefault="00D654A6" w:rsidP="005A20DD">
            <w:pPr>
              <w:pStyle w:val="TAL"/>
            </w:pPr>
            <w:r>
              <w:t>confidence</w:t>
            </w:r>
          </w:p>
        </w:tc>
        <w:tc>
          <w:tcPr>
            <w:tcW w:w="1559" w:type="dxa"/>
            <w:gridSpan w:val="2"/>
          </w:tcPr>
          <w:p w14:paraId="281079C6" w14:textId="77777777" w:rsidR="00D654A6" w:rsidRDefault="00D654A6" w:rsidP="005A20DD">
            <w:pPr>
              <w:pStyle w:val="TAL"/>
            </w:pPr>
            <w:r>
              <w:rPr>
                <w:lang w:eastAsia="zh-CN"/>
              </w:rPr>
              <w:t>Uinteger</w:t>
            </w:r>
          </w:p>
        </w:tc>
        <w:tc>
          <w:tcPr>
            <w:tcW w:w="425" w:type="dxa"/>
            <w:gridSpan w:val="2"/>
          </w:tcPr>
          <w:p w14:paraId="1B1C796C" w14:textId="77777777" w:rsidR="00D654A6" w:rsidRDefault="00D654A6" w:rsidP="005A20DD">
            <w:pPr>
              <w:pStyle w:val="TAL"/>
            </w:pPr>
            <w:r>
              <w:t>C</w:t>
            </w:r>
          </w:p>
        </w:tc>
        <w:tc>
          <w:tcPr>
            <w:tcW w:w="1134" w:type="dxa"/>
            <w:gridSpan w:val="2"/>
          </w:tcPr>
          <w:p w14:paraId="2E6AEB91" w14:textId="77777777" w:rsidR="00D654A6" w:rsidRDefault="00D654A6" w:rsidP="005A20DD">
            <w:pPr>
              <w:pStyle w:val="TAL"/>
              <w:rPr>
                <w:lang w:eastAsia="zh-CN"/>
              </w:rPr>
            </w:pPr>
            <w:r>
              <w:t>0..1</w:t>
            </w:r>
          </w:p>
        </w:tc>
        <w:tc>
          <w:tcPr>
            <w:tcW w:w="2856" w:type="dxa"/>
            <w:gridSpan w:val="2"/>
          </w:tcPr>
          <w:p w14:paraId="56DBF084" w14:textId="77777777" w:rsidR="00D654A6" w:rsidRDefault="00D654A6" w:rsidP="005A20DD">
            <w:pPr>
              <w:pStyle w:val="TAL"/>
            </w:pPr>
            <w:r>
              <w:t>Indicates the confidence of the prediction. (NOTE</w:t>
            </w:r>
            <w:r>
              <w:rPr>
                <w:rFonts w:cs="Arial"/>
                <w:szCs w:val="18"/>
                <w:lang w:eastAsia="zh-CN"/>
              </w:rPr>
              <w:t> 1</w:t>
            </w:r>
            <w:r>
              <w:t>)</w:t>
            </w:r>
          </w:p>
          <w:p w14:paraId="4EA6E5CC" w14:textId="77777777" w:rsidR="00D654A6" w:rsidRDefault="00D654A6" w:rsidP="005A20DD">
            <w:pPr>
              <w:pStyle w:val="TAL"/>
            </w:pPr>
            <w:r>
              <w:t>Shall be present if the analytics result is a prediction.</w:t>
            </w:r>
          </w:p>
          <w:p w14:paraId="73CAA7E3" w14:textId="77777777" w:rsidR="00D654A6" w:rsidRDefault="00D654A6" w:rsidP="005A20DD">
            <w:pPr>
              <w:pStyle w:val="TAL"/>
              <w:rPr>
                <w:rFonts w:cs="Arial"/>
                <w:szCs w:val="18"/>
                <w:lang w:eastAsia="zh-CN"/>
              </w:rPr>
            </w:pPr>
            <w:r>
              <w:rPr>
                <w:rFonts w:cs="Arial"/>
                <w:szCs w:val="18"/>
                <w:lang w:eastAsia="zh-CN"/>
              </w:rPr>
              <w:t>Minimum = 0. Maximum = 100.</w:t>
            </w:r>
          </w:p>
        </w:tc>
        <w:tc>
          <w:tcPr>
            <w:tcW w:w="1843" w:type="dxa"/>
            <w:gridSpan w:val="2"/>
          </w:tcPr>
          <w:p w14:paraId="40979511" w14:textId="77777777" w:rsidR="00D654A6" w:rsidRDefault="00D654A6" w:rsidP="005A20DD">
            <w:pPr>
              <w:pStyle w:val="TAL"/>
              <w:rPr>
                <w:rFonts w:cs="Arial"/>
                <w:szCs w:val="18"/>
              </w:rPr>
            </w:pPr>
          </w:p>
        </w:tc>
      </w:tr>
      <w:tr w:rsidR="00D654A6" w14:paraId="084E9C7C" w14:textId="77777777" w:rsidTr="005A20DD">
        <w:trPr>
          <w:gridAfter w:val="1"/>
          <w:wAfter w:w="36" w:type="dxa"/>
          <w:jc w:val="center"/>
        </w:trPr>
        <w:tc>
          <w:tcPr>
            <w:tcW w:w="1749" w:type="dxa"/>
            <w:gridSpan w:val="2"/>
          </w:tcPr>
          <w:p w14:paraId="058EE1F4" w14:textId="77777777" w:rsidR="00D654A6" w:rsidRDefault="00D654A6" w:rsidP="005A20DD">
            <w:pPr>
              <w:pStyle w:val="TAL"/>
            </w:pPr>
            <w:r>
              <w:t>geoDistrInfos</w:t>
            </w:r>
          </w:p>
        </w:tc>
        <w:tc>
          <w:tcPr>
            <w:tcW w:w="1559" w:type="dxa"/>
            <w:gridSpan w:val="2"/>
          </w:tcPr>
          <w:p w14:paraId="557F09F5" w14:textId="77777777" w:rsidR="00D654A6" w:rsidRDefault="00D654A6" w:rsidP="005A20DD">
            <w:pPr>
              <w:pStyle w:val="TAL"/>
              <w:rPr>
                <w:lang w:eastAsia="zh-CN"/>
              </w:rPr>
            </w:pPr>
            <w:r>
              <w:rPr>
                <w:lang w:eastAsia="zh-CN"/>
              </w:rPr>
              <w:t>array(GeoDistributionInfo)</w:t>
            </w:r>
          </w:p>
        </w:tc>
        <w:tc>
          <w:tcPr>
            <w:tcW w:w="425" w:type="dxa"/>
            <w:gridSpan w:val="2"/>
          </w:tcPr>
          <w:p w14:paraId="05ADDE50" w14:textId="77777777" w:rsidR="00D654A6" w:rsidRDefault="00D654A6" w:rsidP="005A20DD">
            <w:pPr>
              <w:pStyle w:val="TAL"/>
            </w:pPr>
            <w:r>
              <w:t>C</w:t>
            </w:r>
          </w:p>
        </w:tc>
        <w:tc>
          <w:tcPr>
            <w:tcW w:w="1134" w:type="dxa"/>
            <w:gridSpan w:val="2"/>
          </w:tcPr>
          <w:p w14:paraId="7A366286" w14:textId="77777777" w:rsidR="00D654A6" w:rsidRDefault="00D654A6" w:rsidP="005A20DD">
            <w:pPr>
              <w:pStyle w:val="TAL"/>
            </w:pPr>
            <w:r>
              <w:t>1..N</w:t>
            </w:r>
          </w:p>
        </w:tc>
        <w:tc>
          <w:tcPr>
            <w:tcW w:w="2856" w:type="dxa"/>
            <w:gridSpan w:val="2"/>
          </w:tcPr>
          <w:p w14:paraId="136EA91E" w14:textId="77777777" w:rsidR="00D654A6" w:rsidRDefault="00D654A6" w:rsidP="005A20DD">
            <w:pPr>
              <w:pStyle w:val="TAL"/>
            </w:pPr>
            <w:r>
              <w:t>Indicates the geographical distribution of the UEs that may be selected by the AF for application service.</w:t>
            </w:r>
            <w:r>
              <w:rPr>
                <w:lang w:val="en-US"/>
              </w:rPr>
              <w:t xml:space="preserve"> </w:t>
            </w: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E_GEOG_DIST"</w:t>
            </w:r>
            <w:r>
              <w:t>.</w:t>
            </w:r>
          </w:p>
        </w:tc>
        <w:tc>
          <w:tcPr>
            <w:tcW w:w="1843" w:type="dxa"/>
            <w:gridSpan w:val="2"/>
          </w:tcPr>
          <w:p w14:paraId="175A8FE2" w14:textId="77777777" w:rsidR="00D654A6" w:rsidRDefault="00D654A6" w:rsidP="005A20DD">
            <w:pPr>
              <w:pStyle w:val="TAL"/>
              <w:rPr>
                <w:rFonts w:cs="Arial"/>
                <w:szCs w:val="18"/>
              </w:rPr>
            </w:pPr>
            <w:r>
              <w:rPr>
                <w:lang w:eastAsia="zh-CN"/>
              </w:rPr>
              <w:t>UeMobilityExt_AIML</w:t>
            </w:r>
          </w:p>
        </w:tc>
      </w:tr>
      <w:tr w:rsidR="00D654A6" w14:paraId="49D613E3" w14:textId="77777777" w:rsidTr="005A20DD">
        <w:trPr>
          <w:gridBefore w:val="1"/>
          <w:wBefore w:w="36" w:type="dxa"/>
          <w:jc w:val="center"/>
        </w:trPr>
        <w:tc>
          <w:tcPr>
            <w:tcW w:w="1749" w:type="dxa"/>
            <w:gridSpan w:val="2"/>
          </w:tcPr>
          <w:p w14:paraId="4AD5EA2F" w14:textId="77777777" w:rsidR="00D654A6" w:rsidRDefault="00D654A6" w:rsidP="005A20DD">
            <w:pPr>
              <w:pStyle w:val="TAL"/>
            </w:pPr>
            <w:r>
              <w:rPr>
                <w:rFonts w:hint="eastAsia"/>
                <w:lang w:eastAsia="zh-CN"/>
              </w:rPr>
              <w:t>d</w:t>
            </w:r>
            <w:r>
              <w:rPr>
                <w:lang w:eastAsia="zh-CN"/>
              </w:rPr>
              <w:t>istThreshold</w:t>
            </w:r>
          </w:p>
        </w:tc>
        <w:tc>
          <w:tcPr>
            <w:tcW w:w="1559" w:type="dxa"/>
            <w:gridSpan w:val="2"/>
          </w:tcPr>
          <w:p w14:paraId="0B85DC34" w14:textId="77777777" w:rsidR="00D654A6" w:rsidRDefault="00D654A6" w:rsidP="005A20DD">
            <w:pPr>
              <w:pStyle w:val="TAL"/>
              <w:rPr>
                <w:lang w:eastAsia="zh-CN"/>
              </w:rPr>
            </w:pPr>
            <w:r>
              <w:rPr>
                <w:lang w:eastAsia="zh-CN"/>
              </w:rPr>
              <w:t>Uinteger</w:t>
            </w:r>
          </w:p>
        </w:tc>
        <w:tc>
          <w:tcPr>
            <w:tcW w:w="425" w:type="dxa"/>
            <w:gridSpan w:val="2"/>
          </w:tcPr>
          <w:p w14:paraId="295D632D" w14:textId="77777777" w:rsidR="00D654A6" w:rsidRDefault="00D654A6" w:rsidP="005A20DD">
            <w:pPr>
              <w:pStyle w:val="TAL"/>
            </w:pPr>
            <w:r>
              <w:t>O</w:t>
            </w:r>
          </w:p>
        </w:tc>
        <w:tc>
          <w:tcPr>
            <w:tcW w:w="1134" w:type="dxa"/>
            <w:gridSpan w:val="2"/>
          </w:tcPr>
          <w:p w14:paraId="7EB2763B" w14:textId="77777777" w:rsidR="00D654A6" w:rsidRDefault="00D654A6" w:rsidP="005A20DD">
            <w:pPr>
              <w:pStyle w:val="TAL"/>
            </w:pPr>
            <w:r>
              <w:t>0..1</w:t>
            </w:r>
          </w:p>
        </w:tc>
        <w:tc>
          <w:tcPr>
            <w:tcW w:w="2856" w:type="dxa"/>
            <w:gridSpan w:val="2"/>
          </w:tcPr>
          <w:p w14:paraId="1F6EC12D" w14:textId="77777777" w:rsidR="00D654A6" w:rsidRDefault="00D654A6" w:rsidP="005A20DD">
            <w:pPr>
              <w:pStyle w:val="TAL"/>
            </w:pPr>
            <w:r>
              <w:rPr>
                <w:lang w:eastAsia="zh-CN"/>
              </w:rPr>
              <w:t xml:space="preserve">Indicates the </w:t>
            </w:r>
            <w:r>
              <w:t>linear distance threshold which has been reached</w:t>
            </w:r>
            <w:r>
              <w:rPr>
                <w:lang w:eastAsia="zh-CN"/>
              </w:rPr>
              <w:t xml:space="preserve">. This attribute will be provided only if </w:t>
            </w:r>
            <w:r>
              <w:t>more than one thresholds were provided in "</w:t>
            </w:r>
            <w:r>
              <w:rPr>
                <w:rFonts w:hint="eastAsia"/>
                <w:lang w:eastAsia="zh-CN"/>
              </w:rPr>
              <w:t>d</w:t>
            </w:r>
            <w:r>
              <w:rPr>
                <w:lang w:eastAsia="zh-CN"/>
              </w:rPr>
              <w:t>istThresholds</w:t>
            </w:r>
            <w:r>
              <w:t>"</w:t>
            </w:r>
            <w:r>
              <w:rPr>
                <w:lang w:eastAsia="zh-CN"/>
              </w:rPr>
              <w:t xml:space="preserve"> attribute contained in </w:t>
            </w:r>
            <w:r>
              <w:t>UeMobilityReq data type and the target is a single UE.</w:t>
            </w:r>
          </w:p>
        </w:tc>
        <w:tc>
          <w:tcPr>
            <w:tcW w:w="1843" w:type="dxa"/>
            <w:gridSpan w:val="2"/>
          </w:tcPr>
          <w:p w14:paraId="76F5AC0B" w14:textId="77777777" w:rsidR="00D654A6" w:rsidRDefault="00D654A6" w:rsidP="005A20DD">
            <w:pPr>
              <w:pStyle w:val="TAL"/>
              <w:rPr>
                <w:lang w:eastAsia="zh-CN"/>
              </w:rPr>
            </w:pPr>
            <w:r>
              <w:t>UeMobility</w:t>
            </w:r>
            <w:r>
              <w:rPr>
                <w:lang w:eastAsia="zh-CN"/>
              </w:rPr>
              <w:t>Ext2_eNA</w:t>
            </w:r>
          </w:p>
        </w:tc>
      </w:tr>
      <w:tr w:rsidR="00D654A6" w14:paraId="45C80FDB" w14:textId="77777777" w:rsidTr="005A20DD">
        <w:trPr>
          <w:gridAfter w:val="1"/>
          <w:wAfter w:w="36" w:type="dxa"/>
          <w:jc w:val="center"/>
        </w:trPr>
        <w:tc>
          <w:tcPr>
            <w:tcW w:w="9566" w:type="dxa"/>
            <w:gridSpan w:val="12"/>
          </w:tcPr>
          <w:p w14:paraId="34C5C8E7" w14:textId="77777777" w:rsidR="00D654A6" w:rsidRDefault="00D654A6" w:rsidP="005A20DD">
            <w:pPr>
              <w:pStyle w:val="TAN"/>
            </w:pPr>
            <w:r>
              <w:t>NOTE</w:t>
            </w:r>
            <w:r>
              <w:rPr>
                <w:rFonts w:cs="Arial"/>
                <w:szCs w:val="18"/>
                <w:lang w:eastAsia="zh-CN"/>
              </w:rPr>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22B90CCD" w14:textId="77777777" w:rsidR="00D654A6" w:rsidRDefault="00D654A6" w:rsidP="005A20DD">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302CE7DE" w14:textId="77777777" w:rsidR="00D654A6" w:rsidRDefault="00D654A6" w:rsidP="005A20DD">
            <w:pPr>
              <w:pStyle w:val="TAN"/>
              <w:rPr>
                <w:rFonts w:cs="Arial"/>
                <w:szCs w:val="18"/>
              </w:rPr>
            </w:pPr>
            <w:r>
              <w:rPr>
                <w:rFonts w:eastAsia="Times New Roman"/>
                <w:lang w:eastAsia="en-GB"/>
              </w:rPr>
              <w:t>NOTE 3:</w:t>
            </w:r>
            <w:r>
              <w:rPr>
                <w:rFonts w:eastAsia="Times New Roman"/>
                <w:lang w:eastAsia="en-GB"/>
              </w:rPr>
              <w:tab/>
              <w:t>When the "</w:t>
            </w:r>
            <w:r>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27152717" w14:textId="77777777" w:rsidR="00D654A6" w:rsidRDefault="00D654A6" w:rsidP="00D654A6"/>
    <w:p w14:paraId="718971B9" w14:textId="77777777" w:rsidR="00A10B25" w:rsidRDefault="00A10B25">
      <w:pPr>
        <w:pStyle w:val="5"/>
      </w:pPr>
      <w:bookmarkStart w:id="5995" w:name="_Toc164920786"/>
      <w:bookmarkStart w:id="5996" w:name="_Toc170120328"/>
      <w:bookmarkStart w:id="5997" w:name="_Toc175858573"/>
      <w:bookmarkStart w:id="5998" w:name="_Toc175859646"/>
      <w:bookmarkStart w:id="5999" w:name="_Toc180605936"/>
      <w:bookmarkStart w:id="6000" w:name="_Toc185517190"/>
      <w:bookmarkStart w:id="6001" w:name="_Toc191576241"/>
      <w:bookmarkStart w:id="6002" w:name="_Toc191576981"/>
      <w:bookmarkStart w:id="6003" w:name="_Toc192880051"/>
      <w:bookmarkStart w:id="6004" w:name="_Toc195814934"/>
      <w:bookmarkStart w:id="6005" w:name="_Toc199452901"/>
      <w:r>
        <w:lastRenderedPageBreak/>
        <w:t>5.1.6.2.12</w:t>
      </w:r>
      <w:r>
        <w:tab/>
      </w:r>
      <w:bookmarkEnd w:id="5953"/>
      <w:r>
        <w:t>Void</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95"/>
      <w:bookmarkEnd w:id="5996"/>
      <w:bookmarkEnd w:id="5997"/>
      <w:bookmarkEnd w:id="5998"/>
      <w:bookmarkEnd w:id="5999"/>
      <w:bookmarkEnd w:id="6000"/>
      <w:bookmarkEnd w:id="6001"/>
      <w:bookmarkEnd w:id="6002"/>
      <w:bookmarkEnd w:id="6003"/>
      <w:bookmarkEnd w:id="6004"/>
      <w:bookmarkEnd w:id="6005"/>
    </w:p>
    <w:p w14:paraId="40DCB447" w14:textId="77777777" w:rsidR="00A10B25" w:rsidRDefault="00A10B25">
      <w:pPr>
        <w:pStyle w:val="5"/>
      </w:pPr>
      <w:bookmarkStart w:id="6006" w:name="_Toc28012826"/>
      <w:bookmarkStart w:id="6007" w:name="_Toc136562382"/>
      <w:bookmarkStart w:id="6008" w:name="_Toc113031676"/>
      <w:bookmarkStart w:id="6009" w:name="_Toc68168968"/>
      <w:bookmarkStart w:id="6010" w:name="_Toc94064260"/>
      <w:bookmarkStart w:id="6011" w:name="_Toc85557090"/>
      <w:bookmarkStart w:id="6012" w:name="_Toc45134052"/>
      <w:bookmarkStart w:id="6013" w:name="_Toc34266296"/>
      <w:bookmarkStart w:id="6014" w:name="_Toc104539014"/>
      <w:bookmarkStart w:id="6015" w:name="_Toc70550635"/>
      <w:bookmarkStart w:id="6016" w:name="_Toc85552991"/>
      <w:bookmarkStart w:id="6017" w:name="_Toc145705703"/>
      <w:bookmarkStart w:id="6018" w:name="_Toc56640971"/>
      <w:bookmarkStart w:id="6019" w:name="_Toc90655877"/>
      <w:bookmarkStart w:id="6020" w:name="_Toc114133815"/>
      <w:bookmarkStart w:id="6021" w:name="_Toc50031984"/>
      <w:bookmarkStart w:id="6022" w:name="_Toc36102467"/>
      <w:bookmarkStart w:id="6023" w:name="_Toc66231807"/>
      <w:bookmarkStart w:id="6024" w:name="_Toc83233081"/>
      <w:bookmarkStart w:id="6025" w:name="_Toc59017939"/>
      <w:bookmarkStart w:id="6026" w:name="_Toc98233645"/>
      <w:bookmarkStart w:id="6027" w:name="_Toc112951136"/>
      <w:bookmarkStart w:id="6028" w:name="_Toc43563509"/>
      <w:bookmarkStart w:id="6029" w:name="_Toc138754216"/>
      <w:bookmarkStart w:id="6030" w:name="_Toc51762904"/>
      <w:bookmarkStart w:id="6031" w:name="_Toc148522607"/>
      <w:bookmarkStart w:id="6032" w:name="_Toc101244421"/>
      <w:bookmarkStart w:id="6033" w:name="_Toc88667592"/>
      <w:bookmarkStart w:id="6034" w:name="_Toc120702315"/>
      <w:bookmarkStart w:id="6035" w:name="_Toc164920787"/>
      <w:bookmarkStart w:id="6036" w:name="_Toc170120329"/>
      <w:bookmarkStart w:id="6037" w:name="_Toc175858574"/>
      <w:bookmarkStart w:id="6038" w:name="_Toc175859647"/>
      <w:bookmarkStart w:id="6039" w:name="_Toc180605937"/>
      <w:bookmarkStart w:id="6040" w:name="_Toc185517191"/>
      <w:bookmarkStart w:id="6041" w:name="_Toc191576242"/>
      <w:bookmarkStart w:id="6042" w:name="_Toc191576982"/>
      <w:bookmarkStart w:id="6043" w:name="_Toc192880052"/>
      <w:bookmarkStart w:id="6044" w:name="_Toc195814935"/>
      <w:bookmarkStart w:id="6045" w:name="_Toc199452902"/>
      <w:r>
        <w:t>5.1.6.2.13</w:t>
      </w:r>
      <w:r>
        <w:tab/>
        <w:t>Type UeCommunication</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6DFCDB30" w14:textId="77777777" w:rsidR="00A10B25" w:rsidRDefault="00A10B25">
      <w:pPr>
        <w:pStyle w:val="TH"/>
      </w:pPr>
      <w:r>
        <w:t>Table 5.1.6.2.13-1: Definition of type UeCommunication</w:t>
      </w:r>
    </w:p>
    <w:tbl>
      <w:tblPr>
        <w:tblW w:w="960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76C4D274" w14:textId="77777777">
        <w:trPr>
          <w:jc w:val="center"/>
        </w:trPr>
        <w:tc>
          <w:tcPr>
            <w:tcW w:w="1825" w:type="dxa"/>
            <w:shd w:val="clear" w:color="auto" w:fill="C0C0C0"/>
          </w:tcPr>
          <w:p w14:paraId="1871A0A6" w14:textId="77777777" w:rsidR="00A10B25" w:rsidRDefault="00A10B25">
            <w:pPr>
              <w:pStyle w:val="TAH"/>
            </w:pPr>
            <w:r>
              <w:lastRenderedPageBreak/>
              <w:t>Attribute name</w:t>
            </w:r>
          </w:p>
        </w:tc>
        <w:tc>
          <w:tcPr>
            <w:tcW w:w="1559" w:type="dxa"/>
            <w:shd w:val="clear" w:color="auto" w:fill="C0C0C0"/>
          </w:tcPr>
          <w:p w14:paraId="5A2CBC79" w14:textId="77777777" w:rsidR="00A10B25" w:rsidRDefault="00A10B25">
            <w:pPr>
              <w:pStyle w:val="TAH"/>
            </w:pPr>
            <w:r>
              <w:t>Data type</w:t>
            </w:r>
          </w:p>
        </w:tc>
        <w:tc>
          <w:tcPr>
            <w:tcW w:w="426" w:type="dxa"/>
            <w:shd w:val="clear" w:color="auto" w:fill="C0C0C0"/>
          </w:tcPr>
          <w:p w14:paraId="01474255" w14:textId="77777777" w:rsidR="00A10B25" w:rsidRDefault="00A10B25">
            <w:pPr>
              <w:pStyle w:val="TAH"/>
            </w:pPr>
            <w:r>
              <w:t>P</w:t>
            </w:r>
          </w:p>
        </w:tc>
        <w:tc>
          <w:tcPr>
            <w:tcW w:w="1134" w:type="dxa"/>
            <w:shd w:val="clear" w:color="auto" w:fill="C0C0C0"/>
          </w:tcPr>
          <w:p w14:paraId="25C85839" w14:textId="77777777" w:rsidR="00A10B25" w:rsidRDefault="00A10B25">
            <w:pPr>
              <w:pStyle w:val="TAH"/>
            </w:pPr>
            <w:r>
              <w:t>Cardinality</w:t>
            </w:r>
          </w:p>
        </w:tc>
        <w:tc>
          <w:tcPr>
            <w:tcW w:w="2835" w:type="dxa"/>
            <w:shd w:val="clear" w:color="auto" w:fill="C0C0C0"/>
          </w:tcPr>
          <w:p w14:paraId="11ED5608" w14:textId="77777777" w:rsidR="00A10B25" w:rsidRDefault="00A10B25">
            <w:pPr>
              <w:pStyle w:val="TAH"/>
            </w:pPr>
            <w:r>
              <w:t>Description</w:t>
            </w:r>
          </w:p>
        </w:tc>
        <w:tc>
          <w:tcPr>
            <w:tcW w:w="1824" w:type="dxa"/>
            <w:shd w:val="clear" w:color="auto" w:fill="C0C0C0"/>
          </w:tcPr>
          <w:p w14:paraId="590A2F48" w14:textId="77777777" w:rsidR="00A10B25" w:rsidRDefault="00A10B25">
            <w:pPr>
              <w:pStyle w:val="TAH"/>
            </w:pPr>
            <w:r>
              <w:t>Applicability</w:t>
            </w:r>
          </w:p>
        </w:tc>
      </w:tr>
      <w:tr w:rsidR="00A10B25" w14:paraId="53D6FAD4" w14:textId="77777777">
        <w:trPr>
          <w:jc w:val="center"/>
        </w:trPr>
        <w:tc>
          <w:tcPr>
            <w:tcW w:w="1825" w:type="dxa"/>
          </w:tcPr>
          <w:p w14:paraId="77CAA6DF" w14:textId="77777777" w:rsidR="00A10B25" w:rsidRDefault="00A10B25">
            <w:pPr>
              <w:pStyle w:val="TAL"/>
              <w:rPr>
                <w:lang w:eastAsia="zh-CN"/>
              </w:rPr>
            </w:pPr>
            <w:r>
              <w:rPr>
                <w:lang w:eastAsia="zh-CN"/>
              </w:rPr>
              <w:t>commDur</w:t>
            </w:r>
          </w:p>
        </w:tc>
        <w:tc>
          <w:tcPr>
            <w:tcW w:w="1559" w:type="dxa"/>
          </w:tcPr>
          <w:p w14:paraId="3470A73B" w14:textId="77777777" w:rsidR="00A10B25" w:rsidRDefault="00A10B25">
            <w:pPr>
              <w:pStyle w:val="TAL"/>
              <w:rPr>
                <w:lang w:eastAsia="zh-CN"/>
              </w:rPr>
            </w:pPr>
            <w:bookmarkStart w:id="6046" w:name="_Hlk16251879"/>
            <w:r>
              <w:rPr>
                <w:lang w:eastAsia="zh-CN"/>
              </w:rPr>
              <w:t>DurationSec</w:t>
            </w:r>
            <w:bookmarkEnd w:id="6046"/>
          </w:p>
        </w:tc>
        <w:tc>
          <w:tcPr>
            <w:tcW w:w="426" w:type="dxa"/>
          </w:tcPr>
          <w:p w14:paraId="60CC63C4"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C1C2E2C" w14:textId="77777777" w:rsidR="00A10B25" w:rsidRDefault="00A10B25">
            <w:pPr>
              <w:pStyle w:val="TAL"/>
              <w:rPr>
                <w:lang w:eastAsia="zh-CN"/>
              </w:rPr>
            </w:pPr>
            <w:r>
              <w:rPr>
                <w:lang w:eastAsia="zh-CN"/>
              </w:rPr>
              <w:t>1</w:t>
            </w:r>
          </w:p>
        </w:tc>
        <w:tc>
          <w:tcPr>
            <w:tcW w:w="2835" w:type="dxa"/>
          </w:tcPr>
          <w:p w14:paraId="00240AE8" w14:textId="77777777" w:rsidR="00A10B25" w:rsidRDefault="00A10B25">
            <w:pPr>
              <w:pStyle w:val="TAL"/>
              <w:rPr>
                <w:rFonts w:cs="Arial"/>
                <w:szCs w:val="18"/>
                <w:lang w:eastAsia="zh-CN"/>
              </w:rPr>
            </w:pPr>
            <w:r>
              <w:rPr>
                <w:rFonts w:cs="Arial"/>
                <w:szCs w:val="18"/>
                <w:lang w:eastAsia="zh-CN"/>
              </w:rPr>
              <w:t>Identifies the duration of the communication.</w:t>
            </w:r>
          </w:p>
          <w:p w14:paraId="01C30D40" w14:textId="77777777" w:rsidR="00A10B25" w:rsidRDefault="00A10B25">
            <w:pPr>
              <w:pStyle w:val="TAL"/>
              <w:rPr>
                <w:rFonts w:cs="Arial" w:hint="eastAsia"/>
                <w:szCs w:val="18"/>
                <w:lang w:eastAsia="zh-CN"/>
              </w:rPr>
            </w:pPr>
            <w:r>
              <w:rPr>
                <w:rFonts w:cs="Arial"/>
                <w:szCs w:val="18"/>
                <w:lang w:eastAsia="zh-CN"/>
              </w:rPr>
              <w:t>If the analytics result applies for a group of UEs, it indicates the average duration for the subset of UEs indicated by a given ratio in the group.</w:t>
            </w:r>
          </w:p>
        </w:tc>
        <w:tc>
          <w:tcPr>
            <w:tcW w:w="1824" w:type="dxa"/>
          </w:tcPr>
          <w:p w14:paraId="32DFEEC0" w14:textId="77777777" w:rsidR="00A10B25" w:rsidRDefault="00A10B25">
            <w:pPr>
              <w:pStyle w:val="TAL"/>
              <w:rPr>
                <w:rFonts w:cs="Arial"/>
                <w:szCs w:val="18"/>
              </w:rPr>
            </w:pPr>
          </w:p>
        </w:tc>
      </w:tr>
      <w:tr w:rsidR="00A10B25" w14:paraId="4833BAB0" w14:textId="77777777">
        <w:trPr>
          <w:jc w:val="center"/>
        </w:trPr>
        <w:tc>
          <w:tcPr>
            <w:tcW w:w="1825" w:type="dxa"/>
          </w:tcPr>
          <w:p w14:paraId="79616EB7" w14:textId="77777777" w:rsidR="00A10B25" w:rsidRDefault="00A10B25">
            <w:pPr>
              <w:pStyle w:val="TAL"/>
              <w:rPr>
                <w:lang w:eastAsia="zh-CN"/>
              </w:rPr>
            </w:pPr>
            <w:r>
              <w:t>commDurVariance</w:t>
            </w:r>
          </w:p>
        </w:tc>
        <w:tc>
          <w:tcPr>
            <w:tcW w:w="1559" w:type="dxa"/>
          </w:tcPr>
          <w:p w14:paraId="29E166F5" w14:textId="77777777" w:rsidR="00A10B25" w:rsidRDefault="00A10B25">
            <w:pPr>
              <w:pStyle w:val="TAL"/>
              <w:rPr>
                <w:lang w:eastAsia="zh-CN"/>
              </w:rPr>
            </w:pPr>
            <w:r>
              <w:t>Float</w:t>
            </w:r>
          </w:p>
        </w:tc>
        <w:tc>
          <w:tcPr>
            <w:tcW w:w="426" w:type="dxa"/>
          </w:tcPr>
          <w:p w14:paraId="47377DE0"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36E4CF0B" w14:textId="77777777" w:rsidR="00A10B25" w:rsidRDefault="00A10B25">
            <w:pPr>
              <w:pStyle w:val="TAL"/>
              <w:rPr>
                <w:lang w:eastAsia="zh-CN"/>
              </w:rPr>
            </w:pPr>
            <w:r>
              <w:rPr>
                <w:lang w:eastAsia="zh-CN"/>
              </w:rPr>
              <w:t>0..1</w:t>
            </w:r>
          </w:p>
        </w:tc>
        <w:tc>
          <w:tcPr>
            <w:tcW w:w="2835" w:type="dxa"/>
          </w:tcPr>
          <w:p w14:paraId="02E7BC94" w14:textId="77777777" w:rsidR="00A10B25" w:rsidRDefault="00A10B25">
            <w:pPr>
              <w:pStyle w:val="TAL"/>
              <w:rPr>
                <w:rFonts w:cs="Arial"/>
                <w:szCs w:val="18"/>
                <w:lang w:eastAsia="zh-CN"/>
              </w:rPr>
            </w:pPr>
            <w:r>
              <w:rPr>
                <w:rFonts w:cs="Arial"/>
                <w:szCs w:val="18"/>
                <w:lang w:eastAsia="zh-CN"/>
              </w:rPr>
              <w:t>This attribute indicates the variance of the analysed durations for the subset of UEs indicated by a given ratio in the group. It shall be provided if the analytics result applies for a group of UEs.</w:t>
            </w:r>
          </w:p>
        </w:tc>
        <w:tc>
          <w:tcPr>
            <w:tcW w:w="1824" w:type="dxa"/>
          </w:tcPr>
          <w:p w14:paraId="0F3A3C9B" w14:textId="77777777" w:rsidR="00A10B25" w:rsidRDefault="00A10B25">
            <w:pPr>
              <w:pStyle w:val="TAL"/>
              <w:rPr>
                <w:rFonts w:cs="Arial"/>
                <w:szCs w:val="18"/>
              </w:rPr>
            </w:pPr>
          </w:p>
        </w:tc>
      </w:tr>
      <w:tr w:rsidR="00A10B25" w14:paraId="17FD302C" w14:textId="77777777">
        <w:trPr>
          <w:jc w:val="center"/>
        </w:trPr>
        <w:tc>
          <w:tcPr>
            <w:tcW w:w="1825" w:type="dxa"/>
          </w:tcPr>
          <w:p w14:paraId="038DBB25" w14:textId="77777777" w:rsidR="00A10B25" w:rsidRDefault="00A10B25">
            <w:pPr>
              <w:pStyle w:val="TAL"/>
              <w:rPr>
                <w:lang w:eastAsia="zh-CN"/>
              </w:rPr>
            </w:pPr>
            <w:r>
              <w:rPr>
                <w:lang w:eastAsia="zh-CN"/>
              </w:rPr>
              <w:t>perioTime</w:t>
            </w:r>
          </w:p>
        </w:tc>
        <w:tc>
          <w:tcPr>
            <w:tcW w:w="1559" w:type="dxa"/>
          </w:tcPr>
          <w:p w14:paraId="6F513FAC" w14:textId="77777777" w:rsidR="00A10B25" w:rsidRDefault="00A10B25">
            <w:pPr>
              <w:pStyle w:val="TAL"/>
              <w:rPr>
                <w:lang w:eastAsia="zh-CN"/>
              </w:rPr>
            </w:pPr>
            <w:r>
              <w:rPr>
                <w:lang w:eastAsia="zh-CN"/>
              </w:rPr>
              <w:t>DurationSec</w:t>
            </w:r>
          </w:p>
        </w:tc>
        <w:tc>
          <w:tcPr>
            <w:tcW w:w="426" w:type="dxa"/>
          </w:tcPr>
          <w:p w14:paraId="1B04A365"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1BFD218D" w14:textId="77777777" w:rsidR="00A10B25" w:rsidRDefault="00A10B25">
            <w:pPr>
              <w:pStyle w:val="TAL"/>
              <w:rPr>
                <w:lang w:eastAsia="zh-CN"/>
              </w:rPr>
            </w:pPr>
            <w:r>
              <w:rPr>
                <w:lang w:eastAsia="zh-CN"/>
              </w:rPr>
              <w:t>0..1</w:t>
            </w:r>
          </w:p>
        </w:tc>
        <w:tc>
          <w:tcPr>
            <w:tcW w:w="2835" w:type="dxa"/>
          </w:tcPr>
          <w:p w14:paraId="58FCD91D" w14:textId="77777777" w:rsidR="00A10B25" w:rsidRDefault="00A10B25">
            <w:pPr>
              <w:pStyle w:val="TAL"/>
              <w:rPr>
                <w:rFonts w:cs="Arial"/>
                <w:szCs w:val="18"/>
                <w:lang w:eastAsia="zh-CN"/>
              </w:rPr>
            </w:pPr>
            <w:r>
              <w:rPr>
                <w:rFonts w:cs="Arial"/>
                <w:szCs w:val="18"/>
                <w:lang w:eastAsia="zh-CN"/>
              </w:rPr>
              <w:t>Identifies interval time of periodic communication, e.g. every 10 minutes or 1 hour. (NOTE 2)</w:t>
            </w:r>
          </w:p>
          <w:p w14:paraId="772224E5" w14:textId="77777777" w:rsidR="00A10B25" w:rsidRDefault="00A10B25">
            <w:pPr>
              <w:pStyle w:val="TAL"/>
              <w:rPr>
                <w:rFonts w:cs="Arial" w:hint="eastAsia"/>
                <w:szCs w:val="18"/>
                <w:lang w:eastAsia="zh-CN"/>
              </w:rPr>
            </w:pPr>
            <w:r>
              <w:rPr>
                <w:rFonts w:cs="Arial"/>
                <w:szCs w:val="18"/>
                <w:lang w:eastAsia="zh-CN"/>
              </w:rPr>
              <w:t>If the analytics result applies for a group of UEs, it indicates the average interval time of periodic communication for the subset of UEs indicated by a given ratio in the group.</w:t>
            </w:r>
          </w:p>
        </w:tc>
        <w:tc>
          <w:tcPr>
            <w:tcW w:w="1824" w:type="dxa"/>
          </w:tcPr>
          <w:p w14:paraId="73EE4C97" w14:textId="77777777" w:rsidR="00A10B25" w:rsidRDefault="00A10B25">
            <w:pPr>
              <w:pStyle w:val="TAL"/>
              <w:rPr>
                <w:rFonts w:cs="Arial"/>
                <w:szCs w:val="18"/>
              </w:rPr>
            </w:pPr>
          </w:p>
        </w:tc>
      </w:tr>
      <w:tr w:rsidR="00A10B25" w14:paraId="729A6204" w14:textId="77777777">
        <w:trPr>
          <w:jc w:val="center"/>
        </w:trPr>
        <w:tc>
          <w:tcPr>
            <w:tcW w:w="1825" w:type="dxa"/>
          </w:tcPr>
          <w:p w14:paraId="672DD070" w14:textId="77777777" w:rsidR="00A10B25" w:rsidRDefault="00A10B25">
            <w:pPr>
              <w:pStyle w:val="TAL"/>
              <w:rPr>
                <w:lang w:eastAsia="zh-CN"/>
              </w:rPr>
            </w:pPr>
            <w:r>
              <w:rPr>
                <w:lang w:eastAsia="zh-CN"/>
              </w:rPr>
              <w:t>perioTimeVariance</w:t>
            </w:r>
          </w:p>
        </w:tc>
        <w:tc>
          <w:tcPr>
            <w:tcW w:w="1559" w:type="dxa"/>
          </w:tcPr>
          <w:p w14:paraId="63A24B53" w14:textId="77777777" w:rsidR="00A10B25" w:rsidRDefault="00A10B25">
            <w:pPr>
              <w:pStyle w:val="TAL"/>
              <w:rPr>
                <w:lang w:eastAsia="zh-CN"/>
              </w:rPr>
            </w:pPr>
            <w:r>
              <w:rPr>
                <w:lang w:eastAsia="zh-CN"/>
              </w:rPr>
              <w:t>Float</w:t>
            </w:r>
          </w:p>
        </w:tc>
        <w:tc>
          <w:tcPr>
            <w:tcW w:w="426" w:type="dxa"/>
          </w:tcPr>
          <w:p w14:paraId="6430ABE8"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3A3FCDAE" w14:textId="77777777" w:rsidR="00A10B25" w:rsidRDefault="00A10B25">
            <w:pPr>
              <w:pStyle w:val="TAL"/>
              <w:rPr>
                <w:lang w:eastAsia="zh-CN"/>
              </w:rPr>
            </w:pPr>
            <w:r>
              <w:rPr>
                <w:lang w:eastAsia="zh-CN"/>
              </w:rPr>
              <w:t>0..1</w:t>
            </w:r>
          </w:p>
        </w:tc>
        <w:tc>
          <w:tcPr>
            <w:tcW w:w="2835" w:type="dxa"/>
          </w:tcPr>
          <w:p w14:paraId="3CC2635A" w14:textId="77777777" w:rsidR="00A10B25" w:rsidRDefault="00A10B25">
            <w:pPr>
              <w:pStyle w:val="TAL"/>
              <w:rPr>
                <w:rFonts w:cs="Arial"/>
                <w:szCs w:val="18"/>
                <w:lang w:eastAsia="zh-CN"/>
              </w:rPr>
            </w:pPr>
            <w:r>
              <w:rPr>
                <w:rFonts w:cs="Arial"/>
                <w:szCs w:val="18"/>
                <w:lang w:eastAsia="zh-CN"/>
              </w:rPr>
              <w:t>This attribute indicates the variance of the analysed intervals of periodic communication for the subset of UEs indicated by a given ratio in the group. It shall be provided if the analytics result applies for a group of UEs.</w:t>
            </w:r>
          </w:p>
        </w:tc>
        <w:tc>
          <w:tcPr>
            <w:tcW w:w="1824" w:type="dxa"/>
          </w:tcPr>
          <w:p w14:paraId="086A570E" w14:textId="77777777" w:rsidR="00A10B25" w:rsidRDefault="00A10B25">
            <w:pPr>
              <w:pStyle w:val="TAL"/>
              <w:rPr>
                <w:rFonts w:cs="Arial"/>
                <w:szCs w:val="18"/>
              </w:rPr>
            </w:pPr>
          </w:p>
        </w:tc>
      </w:tr>
      <w:tr w:rsidR="00A10B25" w14:paraId="0C081FEA" w14:textId="77777777">
        <w:trPr>
          <w:jc w:val="center"/>
        </w:trPr>
        <w:tc>
          <w:tcPr>
            <w:tcW w:w="1825" w:type="dxa"/>
          </w:tcPr>
          <w:p w14:paraId="27AF1A8E" w14:textId="77777777" w:rsidR="00A10B25" w:rsidRDefault="00A10B25">
            <w:pPr>
              <w:pStyle w:val="TAL"/>
              <w:rPr>
                <w:lang w:eastAsia="zh-CN"/>
              </w:rPr>
            </w:pPr>
            <w:r>
              <w:rPr>
                <w:lang w:eastAsia="zh-CN"/>
              </w:rPr>
              <w:t>ts</w:t>
            </w:r>
          </w:p>
        </w:tc>
        <w:tc>
          <w:tcPr>
            <w:tcW w:w="1559" w:type="dxa"/>
          </w:tcPr>
          <w:p w14:paraId="039A9108" w14:textId="77777777" w:rsidR="00A10B25" w:rsidRDefault="00A10B25">
            <w:pPr>
              <w:pStyle w:val="TAL"/>
              <w:rPr>
                <w:lang w:eastAsia="zh-CN"/>
              </w:rPr>
            </w:pPr>
            <w:r>
              <w:rPr>
                <w:lang w:eastAsia="zh-CN"/>
              </w:rPr>
              <w:t>DateTime</w:t>
            </w:r>
          </w:p>
        </w:tc>
        <w:tc>
          <w:tcPr>
            <w:tcW w:w="426" w:type="dxa"/>
          </w:tcPr>
          <w:p w14:paraId="5BBA9268"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1F8F89F5" w14:textId="77777777" w:rsidR="00A10B25" w:rsidRDefault="00A10B25">
            <w:pPr>
              <w:pStyle w:val="TAL"/>
              <w:rPr>
                <w:lang w:eastAsia="zh-CN"/>
              </w:rPr>
            </w:pPr>
            <w:r>
              <w:rPr>
                <w:lang w:eastAsia="zh-CN"/>
              </w:rPr>
              <w:t>0..1</w:t>
            </w:r>
          </w:p>
        </w:tc>
        <w:tc>
          <w:tcPr>
            <w:tcW w:w="2835" w:type="dxa"/>
          </w:tcPr>
          <w:p w14:paraId="60AC3E3D" w14:textId="77777777" w:rsidR="00A10B25" w:rsidRDefault="00A10B25">
            <w:pPr>
              <w:pStyle w:val="TAL"/>
              <w:rPr>
                <w:rFonts w:cs="Arial"/>
                <w:szCs w:val="18"/>
                <w:lang w:eastAsia="zh-CN"/>
              </w:rPr>
            </w:pPr>
            <w:r>
              <w:rPr>
                <w:rFonts w:cs="Arial"/>
                <w:szCs w:val="18"/>
                <w:lang w:eastAsia="zh-CN"/>
              </w:rPr>
              <w:t>Identifies the start time of the communication. (NOTE 1)</w:t>
            </w:r>
          </w:p>
        </w:tc>
        <w:tc>
          <w:tcPr>
            <w:tcW w:w="1824" w:type="dxa"/>
          </w:tcPr>
          <w:p w14:paraId="4ADC99E1" w14:textId="77777777" w:rsidR="00A10B25" w:rsidRDefault="00A10B25">
            <w:pPr>
              <w:pStyle w:val="TAL"/>
              <w:rPr>
                <w:rFonts w:cs="Arial"/>
                <w:szCs w:val="18"/>
              </w:rPr>
            </w:pPr>
          </w:p>
        </w:tc>
      </w:tr>
      <w:tr w:rsidR="00A10B25" w14:paraId="400FE564" w14:textId="77777777">
        <w:trPr>
          <w:jc w:val="center"/>
        </w:trPr>
        <w:tc>
          <w:tcPr>
            <w:tcW w:w="1825" w:type="dxa"/>
          </w:tcPr>
          <w:p w14:paraId="2EBCF8F3" w14:textId="77777777" w:rsidR="00A10B25" w:rsidRDefault="00A10B25">
            <w:pPr>
              <w:pStyle w:val="TAL"/>
              <w:rPr>
                <w:lang w:eastAsia="zh-CN"/>
              </w:rPr>
            </w:pPr>
            <w:bookmarkStart w:id="6047" w:name="_Hlk38384073"/>
            <w:r>
              <w:rPr>
                <w:lang w:eastAsia="zh-CN"/>
              </w:rPr>
              <w:t>tsVariance</w:t>
            </w:r>
            <w:bookmarkEnd w:id="6047"/>
          </w:p>
        </w:tc>
        <w:tc>
          <w:tcPr>
            <w:tcW w:w="1559" w:type="dxa"/>
          </w:tcPr>
          <w:p w14:paraId="22A74ACF" w14:textId="77777777" w:rsidR="00A10B25" w:rsidRDefault="00A10B25">
            <w:pPr>
              <w:pStyle w:val="TAL"/>
              <w:rPr>
                <w:lang w:eastAsia="zh-CN"/>
              </w:rPr>
            </w:pPr>
            <w:r>
              <w:rPr>
                <w:lang w:eastAsia="zh-CN"/>
              </w:rPr>
              <w:t>Float</w:t>
            </w:r>
          </w:p>
        </w:tc>
        <w:tc>
          <w:tcPr>
            <w:tcW w:w="426" w:type="dxa"/>
          </w:tcPr>
          <w:p w14:paraId="06EDBA73"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91679AF" w14:textId="77777777" w:rsidR="00A10B25" w:rsidRDefault="00A10B25">
            <w:pPr>
              <w:pStyle w:val="TAL"/>
              <w:rPr>
                <w:lang w:eastAsia="zh-CN"/>
              </w:rPr>
            </w:pPr>
            <w:r>
              <w:rPr>
                <w:lang w:eastAsia="zh-CN"/>
              </w:rPr>
              <w:t>0..1</w:t>
            </w:r>
          </w:p>
        </w:tc>
        <w:tc>
          <w:tcPr>
            <w:tcW w:w="2835" w:type="dxa"/>
          </w:tcPr>
          <w:p w14:paraId="1E471959" w14:textId="77777777" w:rsidR="00A10B25" w:rsidRDefault="00A10B25">
            <w:pPr>
              <w:pStyle w:val="TAL"/>
              <w:rPr>
                <w:rFonts w:cs="Arial"/>
                <w:szCs w:val="18"/>
                <w:lang w:eastAsia="zh-CN"/>
              </w:rPr>
            </w:pPr>
            <w:r>
              <w:rPr>
                <w:rFonts w:cs="Arial"/>
                <w:szCs w:val="18"/>
                <w:lang w:eastAsia="zh-CN"/>
              </w:rPr>
              <w:t>This attribute indicates the variance of the analysed start time for the subset of UEs indicated by a given ratio in the group. It may only be provided if the ts attribute is provided.</w:t>
            </w:r>
          </w:p>
        </w:tc>
        <w:tc>
          <w:tcPr>
            <w:tcW w:w="1824" w:type="dxa"/>
          </w:tcPr>
          <w:p w14:paraId="28A43EF4" w14:textId="77777777" w:rsidR="00A10B25" w:rsidRDefault="00A10B25">
            <w:pPr>
              <w:pStyle w:val="TAL"/>
              <w:rPr>
                <w:rFonts w:cs="Arial"/>
                <w:szCs w:val="18"/>
              </w:rPr>
            </w:pPr>
          </w:p>
        </w:tc>
      </w:tr>
      <w:tr w:rsidR="00A10B25" w14:paraId="11E4E3E1" w14:textId="77777777">
        <w:trPr>
          <w:jc w:val="center"/>
        </w:trPr>
        <w:tc>
          <w:tcPr>
            <w:tcW w:w="1825" w:type="dxa"/>
          </w:tcPr>
          <w:p w14:paraId="3CE0037F" w14:textId="77777777" w:rsidR="00A10B25" w:rsidRDefault="00A10B25">
            <w:pPr>
              <w:pStyle w:val="TAL"/>
            </w:pPr>
            <w:r>
              <w:t>recurringTime</w:t>
            </w:r>
          </w:p>
        </w:tc>
        <w:tc>
          <w:tcPr>
            <w:tcW w:w="1559" w:type="dxa"/>
          </w:tcPr>
          <w:p w14:paraId="78F2F4A0" w14:textId="77777777" w:rsidR="00A10B25" w:rsidRDefault="00A10B25">
            <w:pPr>
              <w:pStyle w:val="TAL"/>
            </w:pPr>
            <w:bookmarkStart w:id="6048" w:name="_Hlk16251926"/>
            <w:r>
              <w:t>ScheduledCommunicationTime</w:t>
            </w:r>
            <w:bookmarkEnd w:id="6048"/>
          </w:p>
        </w:tc>
        <w:tc>
          <w:tcPr>
            <w:tcW w:w="426" w:type="dxa"/>
          </w:tcPr>
          <w:p w14:paraId="1B9FA7FF"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56FC9D81" w14:textId="77777777" w:rsidR="00A10B25" w:rsidRDefault="00A10B25">
            <w:pPr>
              <w:pStyle w:val="TAL"/>
              <w:rPr>
                <w:lang w:eastAsia="zh-CN"/>
              </w:rPr>
            </w:pPr>
            <w:r>
              <w:rPr>
                <w:lang w:eastAsia="zh-CN"/>
              </w:rPr>
              <w:t>0..1</w:t>
            </w:r>
          </w:p>
        </w:tc>
        <w:tc>
          <w:tcPr>
            <w:tcW w:w="2835" w:type="dxa"/>
          </w:tcPr>
          <w:p w14:paraId="34333CB9" w14:textId="77777777" w:rsidR="00A10B25" w:rsidRDefault="00A10B25">
            <w:pPr>
              <w:pStyle w:val="TAL"/>
              <w:rPr>
                <w:rFonts w:cs="Arial"/>
                <w:szCs w:val="18"/>
                <w:lang w:eastAsia="zh-CN"/>
              </w:rPr>
            </w:pPr>
            <w:r>
              <w:rPr>
                <w:rFonts w:cs="Arial"/>
                <w:szCs w:val="18"/>
                <w:lang w:eastAsia="zh-CN"/>
              </w:rPr>
              <w:t>Identifies time of the day and day of the week which are valid within the observation period when the UE has communication. Providing the end time in ScheduledCommunicationTime data type is not required. (NOTE 1, NOTE 3)</w:t>
            </w:r>
          </w:p>
        </w:tc>
        <w:tc>
          <w:tcPr>
            <w:tcW w:w="1824" w:type="dxa"/>
          </w:tcPr>
          <w:p w14:paraId="2CAD5D66" w14:textId="77777777" w:rsidR="00A10B25" w:rsidRDefault="00A10B25">
            <w:pPr>
              <w:pStyle w:val="TAL"/>
              <w:rPr>
                <w:rFonts w:cs="Arial"/>
                <w:szCs w:val="18"/>
              </w:rPr>
            </w:pPr>
          </w:p>
        </w:tc>
      </w:tr>
      <w:tr w:rsidR="00A10B25" w14:paraId="3678CB4A" w14:textId="77777777">
        <w:trPr>
          <w:jc w:val="center"/>
        </w:trPr>
        <w:tc>
          <w:tcPr>
            <w:tcW w:w="1825" w:type="dxa"/>
          </w:tcPr>
          <w:p w14:paraId="1506EFB4" w14:textId="77777777" w:rsidR="00A10B25" w:rsidRDefault="00A10B25">
            <w:pPr>
              <w:pStyle w:val="TAL"/>
            </w:pPr>
            <w:r>
              <w:t>trafChar</w:t>
            </w:r>
          </w:p>
        </w:tc>
        <w:tc>
          <w:tcPr>
            <w:tcW w:w="1559" w:type="dxa"/>
          </w:tcPr>
          <w:p w14:paraId="46269260" w14:textId="77777777" w:rsidR="00A10B25" w:rsidRDefault="00A10B25">
            <w:pPr>
              <w:pStyle w:val="TAL"/>
            </w:pPr>
            <w:r>
              <w:rPr>
                <w:lang w:eastAsia="zh-CN"/>
              </w:rPr>
              <w:t>TrafficC</w:t>
            </w:r>
            <w:r>
              <w:t>haracterization</w:t>
            </w:r>
          </w:p>
        </w:tc>
        <w:tc>
          <w:tcPr>
            <w:tcW w:w="426" w:type="dxa"/>
          </w:tcPr>
          <w:p w14:paraId="50CA3960" w14:textId="77777777" w:rsidR="00A10B25" w:rsidRDefault="00A10B25">
            <w:pPr>
              <w:keepNext/>
              <w:keepLines/>
              <w:spacing w:after="0"/>
              <w:jc w:val="center"/>
              <w:rPr>
                <w:rFonts w:ascii="Arial" w:eastAsia="Times New Roman" w:hAnsi="Arial"/>
                <w:sz w:val="18"/>
              </w:rPr>
            </w:pPr>
            <w:r>
              <w:rPr>
                <w:rFonts w:ascii="Arial" w:hAnsi="Arial"/>
                <w:sz w:val="18"/>
              </w:rPr>
              <w:t>M</w:t>
            </w:r>
          </w:p>
        </w:tc>
        <w:tc>
          <w:tcPr>
            <w:tcW w:w="1134" w:type="dxa"/>
          </w:tcPr>
          <w:p w14:paraId="7908032B" w14:textId="77777777" w:rsidR="00A10B25" w:rsidRDefault="00A10B25">
            <w:pPr>
              <w:pStyle w:val="TAL"/>
              <w:rPr>
                <w:lang w:eastAsia="zh-CN"/>
              </w:rPr>
            </w:pPr>
            <w:r>
              <w:t>1</w:t>
            </w:r>
          </w:p>
        </w:tc>
        <w:tc>
          <w:tcPr>
            <w:tcW w:w="2835" w:type="dxa"/>
          </w:tcPr>
          <w:p w14:paraId="436E8D05" w14:textId="77777777" w:rsidR="00A10B25" w:rsidRDefault="00A10B25">
            <w:pPr>
              <w:pStyle w:val="TAL"/>
              <w:rPr>
                <w:rFonts w:cs="Arial"/>
                <w:szCs w:val="18"/>
                <w:lang w:eastAsia="zh-CN"/>
              </w:rPr>
            </w:pPr>
            <w:r>
              <w:rPr>
                <w:rFonts w:cs="Arial"/>
                <w:szCs w:val="18"/>
                <w:lang w:eastAsia="zh-CN"/>
              </w:rPr>
              <w:t>Identifies the detailed traffic characterization.</w:t>
            </w:r>
          </w:p>
        </w:tc>
        <w:tc>
          <w:tcPr>
            <w:tcW w:w="1824" w:type="dxa"/>
          </w:tcPr>
          <w:p w14:paraId="0324D129" w14:textId="77777777" w:rsidR="00A10B25" w:rsidRDefault="00A10B25">
            <w:pPr>
              <w:pStyle w:val="TAL"/>
              <w:rPr>
                <w:rFonts w:cs="Arial"/>
                <w:szCs w:val="18"/>
              </w:rPr>
            </w:pPr>
          </w:p>
        </w:tc>
      </w:tr>
      <w:tr w:rsidR="00A10B25" w14:paraId="541B669E" w14:textId="77777777">
        <w:trPr>
          <w:jc w:val="center"/>
        </w:trPr>
        <w:tc>
          <w:tcPr>
            <w:tcW w:w="1825" w:type="dxa"/>
          </w:tcPr>
          <w:p w14:paraId="531BB4F8" w14:textId="77777777" w:rsidR="00A10B25" w:rsidRDefault="00A10B25">
            <w:pPr>
              <w:pStyle w:val="TAL"/>
            </w:pPr>
            <w:r>
              <w:t>ratio</w:t>
            </w:r>
          </w:p>
        </w:tc>
        <w:tc>
          <w:tcPr>
            <w:tcW w:w="1559" w:type="dxa"/>
          </w:tcPr>
          <w:p w14:paraId="68FA6BD4" w14:textId="77777777" w:rsidR="00A10B25" w:rsidRDefault="00A10B25">
            <w:pPr>
              <w:pStyle w:val="TAL"/>
            </w:pPr>
            <w:r>
              <w:t>SamplingRatio</w:t>
            </w:r>
          </w:p>
        </w:tc>
        <w:tc>
          <w:tcPr>
            <w:tcW w:w="426" w:type="dxa"/>
          </w:tcPr>
          <w:p w14:paraId="6A0786C5"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3DCA1CD7" w14:textId="77777777" w:rsidR="00A10B25" w:rsidRDefault="00A10B25">
            <w:pPr>
              <w:pStyle w:val="TAL"/>
              <w:rPr>
                <w:lang w:eastAsia="zh-CN"/>
              </w:rPr>
            </w:pPr>
            <w:r>
              <w:rPr>
                <w:lang w:eastAsia="zh-CN"/>
              </w:rPr>
              <w:t>0..1</w:t>
            </w:r>
          </w:p>
        </w:tc>
        <w:tc>
          <w:tcPr>
            <w:tcW w:w="2835" w:type="dxa"/>
          </w:tcPr>
          <w:p w14:paraId="0DC145D1" w14:textId="77777777" w:rsidR="00A10B25" w:rsidRDefault="00A10B25">
            <w:pPr>
              <w:pStyle w:val="TAL"/>
              <w:rPr>
                <w:rFonts w:cs="Arial"/>
                <w:szCs w:val="18"/>
                <w:lang w:eastAsia="zh-CN"/>
              </w:rPr>
            </w:pPr>
            <w:r>
              <w:rPr>
                <w:rFonts w:cs="Arial"/>
                <w:szCs w:val="18"/>
                <w:lang w:eastAsia="zh-CN"/>
              </w:rPr>
              <w:t>This attribute contains the percentage of UEs with same analytics result in the group.</w:t>
            </w:r>
          </w:p>
          <w:p w14:paraId="4AA01102" w14:textId="77777777" w:rsidR="00A10B25" w:rsidRDefault="00A10B25">
            <w:pPr>
              <w:pStyle w:val="TAL"/>
              <w:rPr>
                <w:rFonts w:cs="Arial"/>
                <w:szCs w:val="18"/>
                <w:lang w:eastAsia="zh-CN"/>
              </w:rPr>
            </w:pPr>
            <w:r>
              <w:rPr>
                <w:rFonts w:cs="Arial"/>
                <w:szCs w:val="18"/>
                <w:lang w:eastAsia="zh-CN"/>
              </w:rPr>
              <w:t>Shall be present if the analytics result applies for a group of UEs</w:t>
            </w:r>
            <w:r>
              <w:rPr>
                <w:lang w:eastAsia="zh-CN"/>
              </w:rPr>
              <w:t>.</w:t>
            </w:r>
          </w:p>
        </w:tc>
        <w:tc>
          <w:tcPr>
            <w:tcW w:w="1824" w:type="dxa"/>
          </w:tcPr>
          <w:p w14:paraId="79B94866" w14:textId="77777777" w:rsidR="00A10B25" w:rsidRDefault="00A10B25">
            <w:pPr>
              <w:pStyle w:val="TAL"/>
              <w:rPr>
                <w:rFonts w:cs="Arial"/>
                <w:szCs w:val="18"/>
              </w:rPr>
            </w:pPr>
          </w:p>
        </w:tc>
      </w:tr>
      <w:tr w:rsidR="00A10B25" w14:paraId="26F544B6" w14:textId="77777777">
        <w:trPr>
          <w:jc w:val="center"/>
        </w:trPr>
        <w:tc>
          <w:tcPr>
            <w:tcW w:w="1825" w:type="dxa"/>
          </w:tcPr>
          <w:p w14:paraId="3A3C9517" w14:textId="77777777" w:rsidR="00A10B25" w:rsidRDefault="00A10B25">
            <w:pPr>
              <w:pStyle w:val="TAL"/>
            </w:pPr>
            <w:r>
              <w:rPr>
                <w:lang w:eastAsia="zh-CN"/>
              </w:rPr>
              <w:t>perioCommInd</w:t>
            </w:r>
          </w:p>
        </w:tc>
        <w:tc>
          <w:tcPr>
            <w:tcW w:w="1559" w:type="dxa"/>
          </w:tcPr>
          <w:p w14:paraId="41305717" w14:textId="77777777" w:rsidR="00A10B25" w:rsidRDefault="00A10B25">
            <w:pPr>
              <w:pStyle w:val="TAL"/>
            </w:pPr>
            <w:r>
              <w:t>boolean</w:t>
            </w:r>
          </w:p>
        </w:tc>
        <w:tc>
          <w:tcPr>
            <w:tcW w:w="426" w:type="dxa"/>
          </w:tcPr>
          <w:p w14:paraId="7689EEFC" w14:textId="77777777" w:rsidR="00A10B25" w:rsidRDefault="00A10B25">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24A22D63" w14:textId="77777777" w:rsidR="00A10B25" w:rsidRDefault="00A10B25">
            <w:pPr>
              <w:pStyle w:val="TAL"/>
              <w:rPr>
                <w:lang w:eastAsia="zh-CN"/>
              </w:rPr>
            </w:pPr>
            <w:r>
              <w:t>0..1</w:t>
            </w:r>
          </w:p>
        </w:tc>
        <w:tc>
          <w:tcPr>
            <w:tcW w:w="2835" w:type="dxa"/>
          </w:tcPr>
          <w:p w14:paraId="7CB401E8" w14:textId="77777777" w:rsidR="00A10B25" w:rsidRDefault="00A10B25">
            <w:pPr>
              <w:pStyle w:val="TAL"/>
              <w:rPr>
                <w:rFonts w:cs="Arial"/>
                <w:szCs w:val="18"/>
                <w:lang w:eastAsia="zh-CN"/>
              </w:rPr>
            </w:pPr>
            <w:r>
              <w:rPr>
                <w:rFonts w:cs="Arial"/>
                <w:szCs w:val="18"/>
                <w:lang w:eastAsia="zh-CN"/>
              </w:rPr>
              <w:t>This attribute indicates whether the UE communicates periodically or not.</w:t>
            </w:r>
          </w:p>
          <w:p w14:paraId="20BA2468" w14:textId="77777777" w:rsidR="00A10B25" w:rsidRDefault="00A10B25">
            <w:pPr>
              <w:pStyle w:val="TAL"/>
              <w:rPr>
                <w:rFonts w:cs="Arial"/>
                <w:szCs w:val="18"/>
                <w:lang w:eastAsia="zh-CN"/>
              </w:rPr>
            </w:pPr>
            <w:r>
              <w:rPr>
                <w:rFonts w:cs="Arial"/>
                <w:szCs w:val="18"/>
                <w:lang w:eastAsia="zh-CN"/>
              </w:rPr>
              <w:t>Set to "true" to indicate the UE communicates periodically, set to "false" to indicate the UE does not communicate periodically. Default value is "false" if omitted.</w:t>
            </w:r>
          </w:p>
        </w:tc>
        <w:tc>
          <w:tcPr>
            <w:tcW w:w="1824" w:type="dxa"/>
          </w:tcPr>
          <w:p w14:paraId="20137ED4" w14:textId="77777777" w:rsidR="00A10B25" w:rsidRDefault="00A10B25">
            <w:pPr>
              <w:pStyle w:val="TAL"/>
              <w:rPr>
                <w:rFonts w:cs="Arial"/>
                <w:szCs w:val="18"/>
              </w:rPr>
            </w:pPr>
            <w:r>
              <w:t>UeCommunicationExt</w:t>
            </w:r>
          </w:p>
        </w:tc>
      </w:tr>
      <w:tr w:rsidR="00A10B25" w14:paraId="0D25F3D0" w14:textId="77777777">
        <w:trPr>
          <w:jc w:val="center"/>
        </w:trPr>
        <w:tc>
          <w:tcPr>
            <w:tcW w:w="1825" w:type="dxa"/>
          </w:tcPr>
          <w:p w14:paraId="2A59CEB6" w14:textId="77777777" w:rsidR="00A10B25" w:rsidRDefault="00A10B25">
            <w:pPr>
              <w:pStyle w:val="TAL"/>
            </w:pPr>
            <w:r>
              <w:t>confidence</w:t>
            </w:r>
          </w:p>
        </w:tc>
        <w:tc>
          <w:tcPr>
            <w:tcW w:w="1559" w:type="dxa"/>
          </w:tcPr>
          <w:p w14:paraId="525BF8BA" w14:textId="77777777" w:rsidR="00A10B25" w:rsidRDefault="00A10B25">
            <w:pPr>
              <w:pStyle w:val="TAL"/>
            </w:pPr>
            <w:r>
              <w:rPr>
                <w:lang w:eastAsia="zh-CN"/>
              </w:rPr>
              <w:t>Uinteger</w:t>
            </w:r>
          </w:p>
        </w:tc>
        <w:tc>
          <w:tcPr>
            <w:tcW w:w="426" w:type="dxa"/>
          </w:tcPr>
          <w:p w14:paraId="2D61E4E4" w14:textId="77777777" w:rsidR="00A10B25" w:rsidRDefault="00A10B25">
            <w:pPr>
              <w:keepNext/>
              <w:keepLines/>
              <w:spacing w:after="0"/>
              <w:jc w:val="center"/>
              <w:rPr>
                <w:rFonts w:ascii="Arial" w:eastAsia="Times New Roman" w:hAnsi="Arial"/>
                <w:sz w:val="18"/>
              </w:rPr>
            </w:pPr>
            <w:r>
              <w:rPr>
                <w:rFonts w:ascii="Arial" w:hAnsi="Arial"/>
                <w:sz w:val="18"/>
              </w:rPr>
              <w:t>C</w:t>
            </w:r>
          </w:p>
        </w:tc>
        <w:tc>
          <w:tcPr>
            <w:tcW w:w="1134" w:type="dxa"/>
          </w:tcPr>
          <w:p w14:paraId="1F96D932" w14:textId="77777777" w:rsidR="00A10B25" w:rsidRDefault="00A10B25">
            <w:pPr>
              <w:pStyle w:val="TAL"/>
              <w:rPr>
                <w:lang w:eastAsia="zh-CN"/>
              </w:rPr>
            </w:pPr>
            <w:r>
              <w:t>0..1</w:t>
            </w:r>
          </w:p>
        </w:tc>
        <w:tc>
          <w:tcPr>
            <w:tcW w:w="2835" w:type="dxa"/>
          </w:tcPr>
          <w:p w14:paraId="791708E2" w14:textId="77777777" w:rsidR="00A10B25" w:rsidRDefault="00A10B25">
            <w:pPr>
              <w:pStyle w:val="TAL"/>
            </w:pPr>
            <w:r>
              <w:t>Indicates the confidence of the prediction. (NOTE 4)</w:t>
            </w:r>
          </w:p>
          <w:p w14:paraId="03BCCF60" w14:textId="77777777" w:rsidR="00A10B25" w:rsidRDefault="00A10B25">
            <w:pPr>
              <w:pStyle w:val="TAL"/>
            </w:pPr>
            <w:r>
              <w:t>Shall be present if the analytics result is a prediction.</w:t>
            </w:r>
          </w:p>
          <w:p w14:paraId="7D6C405B" w14:textId="77777777" w:rsidR="00A10B25" w:rsidRDefault="00A10B25">
            <w:pPr>
              <w:pStyle w:val="TAL"/>
              <w:rPr>
                <w:rFonts w:cs="Arial" w:hint="eastAsia"/>
                <w:szCs w:val="18"/>
                <w:lang w:eastAsia="zh-CN"/>
              </w:rPr>
            </w:pPr>
            <w:r>
              <w:rPr>
                <w:rFonts w:cs="Arial"/>
                <w:szCs w:val="18"/>
                <w:lang w:eastAsia="zh-CN"/>
              </w:rPr>
              <w:t>Minimum = 0. Maximum = 100.</w:t>
            </w:r>
          </w:p>
        </w:tc>
        <w:tc>
          <w:tcPr>
            <w:tcW w:w="1824" w:type="dxa"/>
          </w:tcPr>
          <w:p w14:paraId="3CEDE2E3" w14:textId="77777777" w:rsidR="00A10B25" w:rsidRDefault="00A10B25">
            <w:pPr>
              <w:pStyle w:val="TAL"/>
              <w:rPr>
                <w:rFonts w:cs="Arial"/>
                <w:szCs w:val="18"/>
              </w:rPr>
            </w:pPr>
          </w:p>
        </w:tc>
      </w:tr>
      <w:tr w:rsidR="00A10B25" w14:paraId="4BC5E19C" w14:textId="77777777">
        <w:trPr>
          <w:jc w:val="center"/>
        </w:trPr>
        <w:tc>
          <w:tcPr>
            <w:tcW w:w="1825" w:type="dxa"/>
          </w:tcPr>
          <w:p w14:paraId="040721C5" w14:textId="77777777" w:rsidR="00A10B25" w:rsidRDefault="00A10B25">
            <w:pPr>
              <w:pStyle w:val="TAL"/>
            </w:pPr>
            <w:r>
              <w:lastRenderedPageBreak/>
              <w:t>anaOfAppList</w:t>
            </w:r>
          </w:p>
        </w:tc>
        <w:tc>
          <w:tcPr>
            <w:tcW w:w="1559" w:type="dxa"/>
          </w:tcPr>
          <w:p w14:paraId="20A746AE" w14:textId="77777777" w:rsidR="00A10B25" w:rsidRDefault="00A10B25">
            <w:pPr>
              <w:pStyle w:val="TAL"/>
              <w:rPr>
                <w:lang w:eastAsia="zh-CN"/>
              </w:rPr>
            </w:pPr>
            <w:r>
              <w:t>AppListForUeComm</w:t>
            </w:r>
          </w:p>
        </w:tc>
        <w:tc>
          <w:tcPr>
            <w:tcW w:w="426" w:type="dxa"/>
          </w:tcPr>
          <w:p w14:paraId="4C4F38F5" w14:textId="77777777" w:rsidR="00A10B25" w:rsidRDefault="00A10B25">
            <w:pPr>
              <w:keepNext/>
              <w:keepLines/>
              <w:spacing w:after="0"/>
              <w:jc w:val="center"/>
              <w:rPr>
                <w:rFonts w:ascii="Arial" w:hAnsi="Arial"/>
                <w:sz w:val="18"/>
              </w:rPr>
            </w:pPr>
            <w:r>
              <w:rPr>
                <w:rFonts w:ascii="Arial" w:eastAsia="Times New Roman" w:hAnsi="Arial"/>
                <w:sz w:val="18"/>
              </w:rPr>
              <w:t>C</w:t>
            </w:r>
          </w:p>
        </w:tc>
        <w:tc>
          <w:tcPr>
            <w:tcW w:w="1134" w:type="dxa"/>
          </w:tcPr>
          <w:p w14:paraId="1648EE3E" w14:textId="77777777" w:rsidR="00A10B25" w:rsidRDefault="00A10B25">
            <w:pPr>
              <w:pStyle w:val="TAL"/>
            </w:pPr>
            <w:r>
              <w:rPr>
                <w:lang w:eastAsia="zh-CN"/>
              </w:rPr>
              <w:t>0..1</w:t>
            </w:r>
          </w:p>
        </w:tc>
        <w:tc>
          <w:tcPr>
            <w:tcW w:w="2835" w:type="dxa"/>
          </w:tcPr>
          <w:p w14:paraId="06E86ED5" w14:textId="77777777" w:rsidR="00A10B25" w:rsidRDefault="00A10B25">
            <w:pPr>
              <w:pStyle w:val="TAL"/>
              <w:rPr>
                <w:rFonts w:cs="Arial"/>
                <w:szCs w:val="18"/>
              </w:rPr>
            </w:pPr>
            <w:r>
              <w:rPr>
                <w:lang w:eastAsia="zh-CN"/>
              </w:rPr>
              <w:t>Represents the analytics of the application list used by UE.</w:t>
            </w:r>
            <w:r>
              <w:rPr>
                <w:rFonts w:cs="Arial"/>
                <w:szCs w:val="18"/>
              </w:rPr>
              <w:t xml:space="preserve"> </w:t>
            </w:r>
          </w:p>
          <w:p w14:paraId="1DF09E99" w14:textId="77777777" w:rsidR="00A10B25" w:rsidRDefault="00A10B25">
            <w:pPr>
              <w:pStyle w:val="TAL"/>
            </w:pPr>
            <w:r>
              <w:rPr>
                <w:rFonts w:cs="Arial"/>
                <w:szCs w:val="18"/>
              </w:rPr>
              <w:t>Shall be present</w:t>
            </w:r>
            <w:r>
              <w:rPr>
                <w:lang w:eastAsia="zh-CN"/>
              </w:rPr>
              <w:t xml:space="preserve"> if </w:t>
            </w:r>
            <w:r>
              <w:rPr>
                <w:rFonts w:cs="Arial"/>
                <w:szCs w:val="18"/>
              </w:rPr>
              <w:t xml:space="preserve">one of the elements in the </w:t>
            </w:r>
            <w:r>
              <w:t>"listOfAnaSubsets"</w:t>
            </w:r>
            <w:r>
              <w:rPr>
                <w:rFonts w:cs="Arial"/>
                <w:szCs w:val="18"/>
              </w:rPr>
              <w:t xml:space="preserve"> attribute was set to </w:t>
            </w:r>
            <w:r>
              <w:rPr>
                <w:lang w:eastAsia="zh-CN"/>
              </w:rPr>
              <w:t>APP_LIST_FOR_UE_COMM</w:t>
            </w:r>
            <w:r>
              <w:rPr>
                <w:rFonts w:cs="Arial"/>
                <w:szCs w:val="18"/>
              </w:rPr>
              <w:t>.</w:t>
            </w:r>
          </w:p>
        </w:tc>
        <w:tc>
          <w:tcPr>
            <w:tcW w:w="1824" w:type="dxa"/>
          </w:tcPr>
          <w:p w14:paraId="3301166B" w14:textId="77777777" w:rsidR="00A10B25" w:rsidRDefault="00A10B25">
            <w:pPr>
              <w:pStyle w:val="TAL"/>
              <w:rPr>
                <w:rFonts w:cs="Arial"/>
                <w:szCs w:val="18"/>
              </w:rPr>
            </w:pPr>
            <w:r>
              <w:t>UeCommunicationExt</w:t>
            </w:r>
          </w:p>
        </w:tc>
      </w:tr>
      <w:tr w:rsidR="00A10B25" w14:paraId="3D1E8DCF" w14:textId="77777777">
        <w:trPr>
          <w:jc w:val="center"/>
        </w:trPr>
        <w:tc>
          <w:tcPr>
            <w:tcW w:w="1825" w:type="dxa"/>
          </w:tcPr>
          <w:p w14:paraId="016CF63E" w14:textId="77777777" w:rsidR="00A10B25" w:rsidRDefault="00A10B25">
            <w:pPr>
              <w:pStyle w:val="TAL"/>
            </w:pPr>
            <w:r>
              <w:rPr>
                <w:lang w:val="en-US" w:eastAsia="zh-CN"/>
              </w:rPr>
              <w:t>sessInactTimer</w:t>
            </w:r>
          </w:p>
        </w:tc>
        <w:tc>
          <w:tcPr>
            <w:tcW w:w="1559" w:type="dxa"/>
          </w:tcPr>
          <w:p w14:paraId="4C2F5076" w14:textId="77777777" w:rsidR="00A10B25" w:rsidRDefault="00A10B25">
            <w:pPr>
              <w:pStyle w:val="TAL"/>
            </w:pPr>
            <w:r>
              <w:rPr>
                <w:lang w:val="en-US" w:eastAsia="zh-CN"/>
              </w:rPr>
              <w:t>SessInactTimer</w:t>
            </w:r>
            <w:r>
              <w:t>ForUeComm</w:t>
            </w:r>
          </w:p>
        </w:tc>
        <w:tc>
          <w:tcPr>
            <w:tcW w:w="426" w:type="dxa"/>
          </w:tcPr>
          <w:p w14:paraId="4E2E9197" w14:textId="77777777" w:rsidR="00A10B25" w:rsidRDefault="00A10B25">
            <w:pPr>
              <w:keepNext/>
              <w:keepLines/>
              <w:spacing w:after="0"/>
              <w:jc w:val="center"/>
              <w:rPr>
                <w:rFonts w:ascii="Arial" w:eastAsia="Times New Roman" w:hAnsi="Arial"/>
                <w:sz w:val="18"/>
              </w:rPr>
            </w:pPr>
            <w:r>
              <w:rPr>
                <w:rFonts w:ascii="Arial" w:hAnsi="Arial"/>
                <w:sz w:val="18"/>
              </w:rPr>
              <w:t>C</w:t>
            </w:r>
          </w:p>
        </w:tc>
        <w:tc>
          <w:tcPr>
            <w:tcW w:w="1134" w:type="dxa"/>
          </w:tcPr>
          <w:p w14:paraId="6B94212C" w14:textId="77777777" w:rsidR="00A10B25" w:rsidRDefault="00A10B25">
            <w:pPr>
              <w:pStyle w:val="TAL"/>
              <w:rPr>
                <w:lang w:eastAsia="zh-CN"/>
              </w:rPr>
            </w:pPr>
            <w:r>
              <w:rPr>
                <w:lang w:eastAsia="zh-CN"/>
              </w:rPr>
              <w:t>0..1</w:t>
            </w:r>
          </w:p>
        </w:tc>
        <w:tc>
          <w:tcPr>
            <w:tcW w:w="2835" w:type="dxa"/>
          </w:tcPr>
          <w:p w14:paraId="2CC99497" w14:textId="77777777" w:rsidR="00A10B25" w:rsidRDefault="00A10B25">
            <w:pPr>
              <w:pStyle w:val="TAL"/>
              <w:rPr>
                <w:rFonts w:cs="Arial"/>
                <w:szCs w:val="18"/>
              </w:rPr>
            </w:pPr>
            <w:r>
              <w:rPr>
                <w:lang w:eastAsia="zh-CN"/>
              </w:rPr>
              <w:t>Represents the N4 Session inactivity timer.</w:t>
            </w:r>
          </w:p>
          <w:p w14:paraId="4C562538" w14:textId="77777777" w:rsidR="00A10B25" w:rsidRDefault="00A10B25">
            <w:pPr>
              <w:pStyle w:val="TAL"/>
              <w:rPr>
                <w:lang w:eastAsia="zh-CN"/>
              </w:rPr>
            </w:pPr>
            <w:r>
              <w:rPr>
                <w:rFonts w:cs="Arial"/>
                <w:szCs w:val="18"/>
              </w:rPr>
              <w:t>Shall be present</w:t>
            </w:r>
            <w:r>
              <w:rPr>
                <w:lang w:eastAsia="zh-CN"/>
              </w:rPr>
              <w:t xml:space="preserve"> only if </w:t>
            </w:r>
            <w:r>
              <w:rPr>
                <w:rFonts w:cs="Arial"/>
                <w:szCs w:val="18"/>
              </w:rPr>
              <w:t xml:space="preserve">one of the elements in the </w:t>
            </w:r>
            <w:r>
              <w:t>"listOfAnaSubsets"</w:t>
            </w:r>
            <w:r>
              <w:rPr>
                <w:rFonts w:cs="Arial"/>
                <w:szCs w:val="18"/>
              </w:rPr>
              <w:t xml:space="preserve"> attribute was set to </w:t>
            </w:r>
            <w:r>
              <w:rPr>
                <w:lang w:eastAsia="zh-CN"/>
              </w:rPr>
              <w:t>N4_SESS_INACT_TIMER_FOR_UE_COMM and the identified NF service consumer is an SMF.</w:t>
            </w:r>
            <w:r>
              <w:rPr>
                <w:rFonts w:cs="Arial"/>
                <w:szCs w:val="18"/>
                <w:lang w:eastAsia="zh-CN"/>
              </w:rPr>
              <w:t xml:space="preserve"> (NOTE 5)</w:t>
            </w:r>
          </w:p>
        </w:tc>
        <w:tc>
          <w:tcPr>
            <w:tcW w:w="1824" w:type="dxa"/>
          </w:tcPr>
          <w:p w14:paraId="1FDEB04F" w14:textId="77777777" w:rsidR="00A10B25" w:rsidRDefault="00A10B25">
            <w:pPr>
              <w:pStyle w:val="TAL"/>
            </w:pPr>
            <w:r>
              <w:t>UeCommunicationExt</w:t>
            </w:r>
          </w:p>
        </w:tc>
      </w:tr>
      <w:tr w:rsidR="00A10B25" w14:paraId="33AF2F1C" w14:textId="77777777">
        <w:trPr>
          <w:jc w:val="center"/>
        </w:trPr>
        <w:tc>
          <w:tcPr>
            <w:tcW w:w="9603" w:type="dxa"/>
            <w:gridSpan w:val="6"/>
            <w:vAlign w:val="center"/>
          </w:tcPr>
          <w:p w14:paraId="58330023" w14:textId="77777777" w:rsidR="00A10B25" w:rsidRDefault="00A10B25">
            <w:pPr>
              <w:pStyle w:val="TAN"/>
            </w:pPr>
            <w:r>
              <w:t>NOTE 1:</w:t>
            </w:r>
            <w:r>
              <w:tab/>
              <w:t>Either "ts"</w:t>
            </w:r>
            <w:r>
              <w:rPr>
                <w:lang w:eastAsia="zh-CN"/>
              </w:rPr>
              <w:t xml:space="preserve"> or "recurringTime" shall be provided.</w:t>
            </w:r>
          </w:p>
          <w:p w14:paraId="3799128F" w14:textId="77777777" w:rsidR="00A10B25" w:rsidRDefault="00A10B25">
            <w:pPr>
              <w:pStyle w:val="TAN"/>
              <w:rPr>
                <w:lang w:eastAsia="zh-CN"/>
              </w:rPr>
            </w:pPr>
            <w:r>
              <w:t>NOTE 2:</w:t>
            </w:r>
            <w:r>
              <w:tab/>
            </w:r>
            <w:r>
              <w:rPr>
                <w:lang w:eastAsia="zh-CN"/>
              </w:rPr>
              <w:t>If this attribute is present, it indicates the communication is periodic and its value shall be larger than the commDur value. If this attribute is present with the ts attribute, it indicates the periodic communication time valid within the observation period; if it is present with the recurringTime attribute, it indicates the periodic communication time valid within the day(s).</w:t>
            </w:r>
          </w:p>
          <w:p w14:paraId="0669DB9C" w14:textId="77777777" w:rsidR="00A10B25" w:rsidRDefault="00A10B25">
            <w:pPr>
              <w:pStyle w:val="TAN"/>
              <w:rPr>
                <w:lang w:eastAsia="zh-CN"/>
              </w:rPr>
            </w:pPr>
            <w:r>
              <w:t>NOTE 3:</w:t>
            </w:r>
            <w:r>
              <w:tab/>
            </w:r>
            <w:r>
              <w:rPr>
                <w:lang w:eastAsia="zh-CN"/>
              </w:rPr>
              <w:t>If this attribute is present, it indicates the communication is periodic. This attribute is suitable to be present for a recurring communication in a long observation time.</w:t>
            </w:r>
          </w:p>
          <w:p w14:paraId="261A931D" w14:textId="77777777" w:rsidR="00A10B25" w:rsidRDefault="00A10B25">
            <w:pPr>
              <w:pStyle w:val="TAN"/>
            </w:pPr>
            <w:r>
              <w:t>NOTE 4:</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648A9626" w14:textId="77777777" w:rsidR="00A10B25" w:rsidRDefault="00A10B25">
            <w:pPr>
              <w:pStyle w:val="TAN"/>
            </w:pPr>
            <w:r>
              <w:t>NOTE 5:</w:t>
            </w:r>
            <w:r>
              <w:tab/>
              <w:t>This attribute shall not be provided if the NWDAF does not know the NF service consumer type or if the NWDAF knows that the NF service consumer is not an SMF.</w:t>
            </w:r>
          </w:p>
        </w:tc>
      </w:tr>
    </w:tbl>
    <w:p w14:paraId="62AF0FF3" w14:textId="77777777" w:rsidR="00A10B25" w:rsidRDefault="00A10B25"/>
    <w:p w14:paraId="7103C1C1" w14:textId="77777777" w:rsidR="00A10B25" w:rsidRDefault="00A10B25">
      <w:pPr>
        <w:pStyle w:val="5"/>
      </w:pPr>
      <w:bookmarkStart w:id="6049" w:name="_Toc50031985"/>
      <w:bookmarkStart w:id="6050" w:name="_Toc88667593"/>
      <w:bookmarkStart w:id="6051" w:name="_Toc85557091"/>
      <w:bookmarkStart w:id="6052" w:name="_Toc114133816"/>
      <w:bookmarkStart w:id="6053" w:name="_Toc56640972"/>
      <w:bookmarkStart w:id="6054" w:name="_Toc104539015"/>
      <w:bookmarkStart w:id="6055" w:name="_Toc36102468"/>
      <w:bookmarkStart w:id="6056" w:name="_Toc28012827"/>
      <w:bookmarkStart w:id="6057" w:name="_Toc112951137"/>
      <w:bookmarkStart w:id="6058" w:name="_Toc85552992"/>
      <w:bookmarkStart w:id="6059" w:name="_Toc145705704"/>
      <w:bookmarkStart w:id="6060" w:name="_Toc101244422"/>
      <w:bookmarkStart w:id="6061" w:name="_Toc98233646"/>
      <w:bookmarkStart w:id="6062" w:name="_Toc43563510"/>
      <w:bookmarkStart w:id="6063" w:name="_Toc66231808"/>
      <w:bookmarkStart w:id="6064" w:name="_Toc59017940"/>
      <w:bookmarkStart w:id="6065" w:name="_Toc113031677"/>
      <w:bookmarkStart w:id="6066" w:name="_Toc120702316"/>
      <w:bookmarkStart w:id="6067" w:name="_Toc34266297"/>
      <w:bookmarkStart w:id="6068" w:name="_Toc68168969"/>
      <w:bookmarkStart w:id="6069" w:name="_Toc136562383"/>
      <w:bookmarkStart w:id="6070" w:name="_Toc83233082"/>
      <w:bookmarkStart w:id="6071" w:name="_Toc94064261"/>
      <w:bookmarkStart w:id="6072" w:name="_Toc138754217"/>
      <w:bookmarkStart w:id="6073" w:name="_Toc148522608"/>
      <w:bookmarkStart w:id="6074" w:name="_Toc90655878"/>
      <w:bookmarkStart w:id="6075" w:name="_Toc51762905"/>
      <w:bookmarkStart w:id="6076" w:name="_Toc45134053"/>
      <w:bookmarkStart w:id="6077" w:name="_Toc70550636"/>
      <w:bookmarkStart w:id="6078" w:name="_Toc164920788"/>
      <w:bookmarkStart w:id="6079" w:name="_Toc170120330"/>
      <w:bookmarkStart w:id="6080" w:name="_Toc175858575"/>
      <w:bookmarkStart w:id="6081" w:name="_Toc175859648"/>
      <w:bookmarkStart w:id="6082" w:name="_Toc180605938"/>
      <w:bookmarkStart w:id="6083" w:name="_Toc185517192"/>
      <w:bookmarkStart w:id="6084" w:name="_Toc191576243"/>
      <w:bookmarkStart w:id="6085" w:name="_Toc191576983"/>
      <w:bookmarkStart w:id="6086" w:name="_Toc192880053"/>
      <w:bookmarkStart w:id="6087" w:name="_Toc195814936"/>
      <w:bookmarkStart w:id="6088" w:name="_Toc199452903"/>
      <w:r>
        <w:lastRenderedPageBreak/>
        <w:t>5.1.6.2.14</w:t>
      </w:r>
      <w:r>
        <w:tab/>
        <w:t>Type T</w:t>
      </w:r>
      <w:r>
        <w:rPr>
          <w:lang w:eastAsia="zh-CN"/>
        </w:rPr>
        <w:t>rafficC</w:t>
      </w:r>
      <w:r>
        <w:t>haracterization</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382CF935" w14:textId="77777777" w:rsidR="00A10B25" w:rsidRDefault="00A10B25">
      <w:pPr>
        <w:pStyle w:val="TH"/>
      </w:pPr>
      <w:r>
        <w:t>Table 5.1.6.2.14-1: Definition of type T</w:t>
      </w:r>
      <w:r>
        <w:rPr>
          <w:lang w:eastAsia="zh-CN"/>
        </w:rPr>
        <w:t>rafficC</w:t>
      </w:r>
      <w:r>
        <w:t>haracterization</w:t>
      </w:r>
    </w:p>
    <w:tbl>
      <w:tblPr>
        <w:tblW w:w="960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72DA9573" w14:textId="77777777">
        <w:trPr>
          <w:jc w:val="center"/>
        </w:trPr>
        <w:tc>
          <w:tcPr>
            <w:tcW w:w="1825" w:type="dxa"/>
            <w:shd w:val="clear" w:color="auto" w:fill="C0C0C0"/>
          </w:tcPr>
          <w:p w14:paraId="306135E7" w14:textId="77777777" w:rsidR="00A10B25" w:rsidRDefault="00A10B25">
            <w:pPr>
              <w:pStyle w:val="TAH"/>
            </w:pPr>
            <w:r>
              <w:t>Attribute name</w:t>
            </w:r>
          </w:p>
        </w:tc>
        <w:tc>
          <w:tcPr>
            <w:tcW w:w="1559" w:type="dxa"/>
            <w:shd w:val="clear" w:color="auto" w:fill="C0C0C0"/>
          </w:tcPr>
          <w:p w14:paraId="1C5DBBFB" w14:textId="77777777" w:rsidR="00A10B25" w:rsidRDefault="00A10B25">
            <w:pPr>
              <w:pStyle w:val="TAH"/>
            </w:pPr>
            <w:r>
              <w:t>Data type</w:t>
            </w:r>
          </w:p>
        </w:tc>
        <w:tc>
          <w:tcPr>
            <w:tcW w:w="426" w:type="dxa"/>
            <w:shd w:val="clear" w:color="auto" w:fill="C0C0C0"/>
          </w:tcPr>
          <w:p w14:paraId="53015696" w14:textId="77777777" w:rsidR="00A10B25" w:rsidRDefault="00A10B25">
            <w:pPr>
              <w:pStyle w:val="TAH"/>
            </w:pPr>
            <w:r>
              <w:t>P</w:t>
            </w:r>
          </w:p>
        </w:tc>
        <w:tc>
          <w:tcPr>
            <w:tcW w:w="1134" w:type="dxa"/>
            <w:shd w:val="clear" w:color="auto" w:fill="C0C0C0"/>
          </w:tcPr>
          <w:p w14:paraId="7563A07D" w14:textId="77777777" w:rsidR="00A10B25" w:rsidRDefault="00A10B25">
            <w:pPr>
              <w:pStyle w:val="TAH"/>
            </w:pPr>
            <w:r>
              <w:t>Cardinality</w:t>
            </w:r>
          </w:p>
        </w:tc>
        <w:tc>
          <w:tcPr>
            <w:tcW w:w="2835" w:type="dxa"/>
            <w:shd w:val="clear" w:color="auto" w:fill="C0C0C0"/>
          </w:tcPr>
          <w:p w14:paraId="0A10E01D" w14:textId="77777777" w:rsidR="00A10B25" w:rsidRDefault="00A10B25">
            <w:pPr>
              <w:pStyle w:val="TAH"/>
            </w:pPr>
            <w:r>
              <w:t>Description</w:t>
            </w:r>
          </w:p>
        </w:tc>
        <w:tc>
          <w:tcPr>
            <w:tcW w:w="1824" w:type="dxa"/>
            <w:shd w:val="clear" w:color="auto" w:fill="C0C0C0"/>
          </w:tcPr>
          <w:p w14:paraId="44726006" w14:textId="77777777" w:rsidR="00A10B25" w:rsidRDefault="00A10B25">
            <w:pPr>
              <w:pStyle w:val="TAH"/>
            </w:pPr>
            <w:r>
              <w:t>Applicability</w:t>
            </w:r>
          </w:p>
        </w:tc>
      </w:tr>
      <w:tr w:rsidR="00A10B25" w14:paraId="7D84DD90" w14:textId="77777777">
        <w:trPr>
          <w:jc w:val="center"/>
        </w:trPr>
        <w:tc>
          <w:tcPr>
            <w:tcW w:w="1825" w:type="dxa"/>
          </w:tcPr>
          <w:p w14:paraId="46A463B9" w14:textId="77777777" w:rsidR="00A10B25" w:rsidRDefault="00A10B25">
            <w:pPr>
              <w:pStyle w:val="TAL"/>
              <w:jc w:val="both"/>
            </w:pPr>
            <w:r>
              <w:t>appId</w:t>
            </w:r>
          </w:p>
        </w:tc>
        <w:tc>
          <w:tcPr>
            <w:tcW w:w="1559" w:type="dxa"/>
          </w:tcPr>
          <w:p w14:paraId="2B928F4B" w14:textId="77777777" w:rsidR="00A10B25" w:rsidRDefault="00A10B25">
            <w:pPr>
              <w:pStyle w:val="TAL"/>
              <w:jc w:val="both"/>
            </w:pPr>
            <w:r>
              <w:t>ApplicationId</w:t>
            </w:r>
          </w:p>
        </w:tc>
        <w:tc>
          <w:tcPr>
            <w:tcW w:w="426" w:type="dxa"/>
          </w:tcPr>
          <w:p w14:paraId="308FF6FB" w14:textId="77777777" w:rsidR="00A10B25" w:rsidRDefault="00A10B25">
            <w:pPr>
              <w:pStyle w:val="TAC"/>
            </w:pPr>
            <w:r>
              <w:t>O</w:t>
            </w:r>
          </w:p>
        </w:tc>
        <w:tc>
          <w:tcPr>
            <w:tcW w:w="1134" w:type="dxa"/>
          </w:tcPr>
          <w:p w14:paraId="1E02C0A5" w14:textId="77777777" w:rsidR="00A10B25" w:rsidRDefault="00A10B25">
            <w:pPr>
              <w:pStyle w:val="TAL"/>
              <w:rPr>
                <w:lang w:eastAsia="zh-CN"/>
              </w:rPr>
            </w:pPr>
            <w:r>
              <w:t>0..1</w:t>
            </w:r>
          </w:p>
        </w:tc>
        <w:tc>
          <w:tcPr>
            <w:tcW w:w="2835" w:type="dxa"/>
          </w:tcPr>
          <w:p w14:paraId="6AA53C07" w14:textId="77777777" w:rsidR="00A10B25" w:rsidRDefault="00A10B25">
            <w:pPr>
              <w:pStyle w:val="TAL"/>
              <w:rPr>
                <w:rFonts w:cs="Arial"/>
                <w:szCs w:val="18"/>
                <w:lang w:eastAsia="zh-CN"/>
              </w:rPr>
            </w:pPr>
            <w:r>
              <w:t>Contains the application identifier.</w:t>
            </w:r>
          </w:p>
        </w:tc>
        <w:tc>
          <w:tcPr>
            <w:tcW w:w="1824" w:type="dxa"/>
          </w:tcPr>
          <w:p w14:paraId="5FFCBA53" w14:textId="77777777" w:rsidR="00A10B25" w:rsidRDefault="00A10B25">
            <w:pPr>
              <w:pStyle w:val="TAL"/>
              <w:rPr>
                <w:rFonts w:cs="Arial"/>
                <w:szCs w:val="18"/>
              </w:rPr>
            </w:pPr>
          </w:p>
        </w:tc>
      </w:tr>
      <w:tr w:rsidR="00A10B25" w14:paraId="789F4BFB" w14:textId="77777777">
        <w:trPr>
          <w:jc w:val="center"/>
        </w:trPr>
        <w:tc>
          <w:tcPr>
            <w:tcW w:w="1825" w:type="dxa"/>
          </w:tcPr>
          <w:p w14:paraId="6D34CE3A" w14:textId="77777777" w:rsidR="00A10B25" w:rsidRDefault="00A10B25">
            <w:pPr>
              <w:pStyle w:val="TAL"/>
            </w:pPr>
            <w:r>
              <w:t>dnn</w:t>
            </w:r>
          </w:p>
        </w:tc>
        <w:tc>
          <w:tcPr>
            <w:tcW w:w="1559" w:type="dxa"/>
          </w:tcPr>
          <w:p w14:paraId="1DD87D16" w14:textId="77777777" w:rsidR="00A10B25" w:rsidRDefault="00A10B25">
            <w:pPr>
              <w:pStyle w:val="TAL"/>
              <w:jc w:val="both"/>
            </w:pPr>
            <w:r>
              <w:t>Dnn</w:t>
            </w:r>
          </w:p>
        </w:tc>
        <w:tc>
          <w:tcPr>
            <w:tcW w:w="426" w:type="dxa"/>
          </w:tcPr>
          <w:p w14:paraId="15436BC5" w14:textId="77777777" w:rsidR="00A10B25" w:rsidRDefault="00A10B25">
            <w:pPr>
              <w:pStyle w:val="TAC"/>
            </w:pPr>
            <w:r>
              <w:t>O</w:t>
            </w:r>
          </w:p>
        </w:tc>
        <w:tc>
          <w:tcPr>
            <w:tcW w:w="1134" w:type="dxa"/>
          </w:tcPr>
          <w:p w14:paraId="568A0F93" w14:textId="77777777" w:rsidR="00A10B25" w:rsidRDefault="00A10B25">
            <w:pPr>
              <w:pStyle w:val="TAL"/>
              <w:rPr>
                <w:lang w:eastAsia="zh-CN"/>
              </w:rPr>
            </w:pPr>
            <w:r>
              <w:rPr>
                <w:lang w:eastAsia="zh-CN"/>
              </w:rPr>
              <w:t>0..1</w:t>
            </w:r>
          </w:p>
        </w:tc>
        <w:tc>
          <w:tcPr>
            <w:tcW w:w="2835" w:type="dxa"/>
          </w:tcPr>
          <w:p w14:paraId="09845E49"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3621CEDE" w14:textId="77777777" w:rsidR="00A10B25" w:rsidRDefault="00A10B25">
            <w:pPr>
              <w:pStyle w:val="TAL"/>
              <w:rPr>
                <w:rFonts w:cs="Arial"/>
                <w:szCs w:val="18"/>
                <w:lang w:eastAsia="zh-CN"/>
              </w:rPr>
            </w:pPr>
            <w:r>
              <w:rPr>
                <w:rFonts w:cs="Arial"/>
                <w:szCs w:val="18"/>
                <w:lang w:eastAsia="zh-CN"/>
              </w:rPr>
              <w:t>Shall be present if the "dnns" was provided within EventSubscription during the subscription for event notification procedure.</w:t>
            </w:r>
          </w:p>
        </w:tc>
        <w:tc>
          <w:tcPr>
            <w:tcW w:w="1824" w:type="dxa"/>
          </w:tcPr>
          <w:p w14:paraId="4A09E4E7" w14:textId="77777777" w:rsidR="00A10B25" w:rsidRDefault="00A10B25">
            <w:pPr>
              <w:pStyle w:val="TAL"/>
              <w:rPr>
                <w:rFonts w:cs="Arial"/>
                <w:szCs w:val="18"/>
              </w:rPr>
            </w:pPr>
          </w:p>
        </w:tc>
      </w:tr>
      <w:tr w:rsidR="00A10B25" w14:paraId="4AC28AFB" w14:textId="77777777">
        <w:trPr>
          <w:jc w:val="center"/>
        </w:trPr>
        <w:tc>
          <w:tcPr>
            <w:tcW w:w="1825" w:type="dxa"/>
          </w:tcPr>
          <w:p w14:paraId="1232C2C3" w14:textId="77777777" w:rsidR="00A10B25" w:rsidRDefault="00A10B25">
            <w:pPr>
              <w:pStyle w:val="TAL"/>
            </w:pPr>
            <w:r>
              <w:t>snssai</w:t>
            </w:r>
          </w:p>
        </w:tc>
        <w:tc>
          <w:tcPr>
            <w:tcW w:w="1559" w:type="dxa"/>
          </w:tcPr>
          <w:p w14:paraId="40667FF1" w14:textId="77777777" w:rsidR="00A10B25" w:rsidRDefault="00A10B25">
            <w:pPr>
              <w:pStyle w:val="TAL"/>
              <w:rPr>
                <w:lang w:eastAsia="zh-CN"/>
              </w:rPr>
            </w:pPr>
            <w:r>
              <w:rPr>
                <w:lang w:eastAsia="zh-CN"/>
              </w:rPr>
              <w:t>Snssai</w:t>
            </w:r>
          </w:p>
        </w:tc>
        <w:tc>
          <w:tcPr>
            <w:tcW w:w="426" w:type="dxa"/>
          </w:tcPr>
          <w:p w14:paraId="374716DE" w14:textId="77777777" w:rsidR="00A10B25" w:rsidRDefault="00A10B25">
            <w:pPr>
              <w:pStyle w:val="TAC"/>
            </w:pPr>
            <w:r>
              <w:t>C</w:t>
            </w:r>
          </w:p>
        </w:tc>
        <w:tc>
          <w:tcPr>
            <w:tcW w:w="1134" w:type="dxa"/>
          </w:tcPr>
          <w:p w14:paraId="3D452614" w14:textId="77777777" w:rsidR="00A10B25" w:rsidRDefault="00A10B25">
            <w:pPr>
              <w:pStyle w:val="TAL"/>
              <w:rPr>
                <w:lang w:eastAsia="zh-CN"/>
              </w:rPr>
            </w:pPr>
            <w:r>
              <w:rPr>
                <w:lang w:eastAsia="zh-CN"/>
              </w:rPr>
              <w:t>0..1</w:t>
            </w:r>
          </w:p>
        </w:tc>
        <w:tc>
          <w:tcPr>
            <w:tcW w:w="2835" w:type="dxa"/>
          </w:tcPr>
          <w:p w14:paraId="20D2A888" w14:textId="77777777" w:rsidR="00A10B25" w:rsidRDefault="00A10B25">
            <w:pPr>
              <w:pStyle w:val="TAL"/>
              <w:rPr>
                <w:rFonts w:cs="Arial"/>
                <w:szCs w:val="18"/>
                <w:lang w:eastAsia="zh-CN"/>
              </w:rPr>
            </w:pPr>
            <w:r>
              <w:rPr>
                <w:rFonts w:cs="Arial"/>
                <w:szCs w:val="18"/>
                <w:lang w:eastAsia="zh-CN"/>
              </w:rPr>
              <w:t>Identifies the network slice.</w:t>
            </w:r>
          </w:p>
          <w:p w14:paraId="4C982606" w14:textId="77777777" w:rsidR="00A10B25" w:rsidRDefault="00A10B25">
            <w:pPr>
              <w:pStyle w:val="TAL"/>
              <w:rPr>
                <w:rFonts w:cs="Arial" w:hint="eastAsia"/>
                <w:szCs w:val="18"/>
                <w:lang w:eastAsia="zh-CN"/>
              </w:rPr>
            </w:pPr>
            <w:r>
              <w:rPr>
                <w:rFonts w:cs="Arial"/>
                <w:szCs w:val="18"/>
                <w:lang w:eastAsia="zh-CN"/>
              </w:rPr>
              <w:t>Shall be present if the "snssais" was provided within EventSubscription during the subscription for event notification procedure.</w:t>
            </w:r>
          </w:p>
        </w:tc>
        <w:tc>
          <w:tcPr>
            <w:tcW w:w="1824" w:type="dxa"/>
          </w:tcPr>
          <w:p w14:paraId="03F78C00" w14:textId="77777777" w:rsidR="00A10B25" w:rsidRDefault="00A10B25">
            <w:pPr>
              <w:pStyle w:val="TAL"/>
              <w:rPr>
                <w:rFonts w:cs="Arial"/>
                <w:szCs w:val="18"/>
              </w:rPr>
            </w:pPr>
          </w:p>
        </w:tc>
      </w:tr>
      <w:tr w:rsidR="00A10B25" w14:paraId="23C95ADE" w14:textId="77777777">
        <w:trPr>
          <w:jc w:val="center"/>
        </w:trPr>
        <w:tc>
          <w:tcPr>
            <w:tcW w:w="1825" w:type="dxa"/>
          </w:tcPr>
          <w:p w14:paraId="245A94C1" w14:textId="77777777" w:rsidR="00A10B25" w:rsidRDefault="00A10B25">
            <w:pPr>
              <w:pStyle w:val="TAL"/>
            </w:pPr>
            <w:r>
              <w:t>fDescs</w:t>
            </w:r>
          </w:p>
        </w:tc>
        <w:tc>
          <w:tcPr>
            <w:tcW w:w="1559" w:type="dxa"/>
          </w:tcPr>
          <w:p w14:paraId="42097439" w14:textId="77777777" w:rsidR="00A10B25" w:rsidRDefault="00A10B25">
            <w:pPr>
              <w:pStyle w:val="TAL"/>
              <w:rPr>
                <w:lang w:eastAsia="zh-CN"/>
              </w:rPr>
            </w:pPr>
            <w:r>
              <w:t>array(IpEthFlowDescription)</w:t>
            </w:r>
          </w:p>
        </w:tc>
        <w:tc>
          <w:tcPr>
            <w:tcW w:w="426" w:type="dxa"/>
          </w:tcPr>
          <w:p w14:paraId="7FBC8CD0" w14:textId="77777777" w:rsidR="00A10B25" w:rsidRDefault="00A10B25">
            <w:pPr>
              <w:pStyle w:val="TAC"/>
            </w:pPr>
            <w:r>
              <w:t>O</w:t>
            </w:r>
          </w:p>
        </w:tc>
        <w:tc>
          <w:tcPr>
            <w:tcW w:w="1134" w:type="dxa"/>
          </w:tcPr>
          <w:p w14:paraId="7F730D28" w14:textId="77777777" w:rsidR="00A10B25" w:rsidRDefault="00A10B25">
            <w:pPr>
              <w:pStyle w:val="TAL"/>
            </w:pPr>
            <w:r>
              <w:t>1..2</w:t>
            </w:r>
          </w:p>
        </w:tc>
        <w:tc>
          <w:tcPr>
            <w:tcW w:w="2835" w:type="dxa"/>
          </w:tcPr>
          <w:p w14:paraId="7BCCB2A3" w14:textId="77777777" w:rsidR="00A10B25" w:rsidRDefault="00A10B25">
            <w:pPr>
              <w:pStyle w:val="TAL"/>
            </w:pPr>
            <w:r>
              <w:rPr>
                <w:rFonts w:cs="Arial"/>
                <w:szCs w:val="18"/>
              </w:rPr>
              <w:t xml:space="preserve">Contains the flow description for the Uplink and/or Downlink flows. </w:t>
            </w:r>
          </w:p>
        </w:tc>
        <w:tc>
          <w:tcPr>
            <w:tcW w:w="1824" w:type="dxa"/>
          </w:tcPr>
          <w:p w14:paraId="76EE01D6" w14:textId="77777777" w:rsidR="00A10B25" w:rsidRDefault="00A10B25">
            <w:pPr>
              <w:pStyle w:val="TAL"/>
              <w:rPr>
                <w:rFonts w:cs="Arial"/>
                <w:szCs w:val="18"/>
              </w:rPr>
            </w:pPr>
          </w:p>
        </w:tc>
      </w:tr>
      <w:tr w:rsidR="00A10B25" w14:paraId="0E59C56E" w14:textId="77777777">
        <w:trPr>
          <w:jc w:val="center"/>
        </w:trPr>
        <w:tc>
          <w:tcPr>
            <w:tcW w:w="1825" w:type="dxa"/>
          </w:tcPr>
          <w:p w14:paraId="7EAFAE51" w14:textId="77777777" w:rsidR="00A10B25" w:rsidRDefault="00A10B25">
            <w:pPr>
              <w:pStyle w:val="TAL"/>
            </w:pPr>
            <w:r>
              <w:t>ulVol</w:t>
            </w:r>
          </w:p>
        </w:tc>
        <w:tc>
          <w:tcPr>
            <w:tcW w:w="1559" w:type="dxa"/>
          </w:tcPr>
          <w:p w14:paraId="34BF580E" w14:textId="77777777" w:rsidR="00A10B25" w:rsidRDefault="00A10B25">
            <w:pPr>
              <w:pStyle w:val="TAL"/>
            </w:pPr>
            <w:r>
              <w:t>Volume</w:t>
            </w:r>
          </w:p>
        </w:tc>
        <w:tc>
          <w:tcPr>
            <w:tcW w:w="426" w:type="dxa"/>
          </w:tcPr>
          <w:p w14:paraId="2BA1EA07" w14:textId="77777777" w:rsidR="00A10B25" w:rsidRDefault="00A10B25">
            <w:pPr>
              <w:pStyle w:val="TAC"/>
            </w:pPr>
            <w:r>
              <w:t>C</w:t>
            </w:r>
          </w:p>
        </w:tc>
        <w:tc>
          <w:tcPr>
            <w:tcW w:w="1134" w:type="dxa"/>
          </w:tcPr>
          <w:p w14:paraId="7D9BD951" w14:textId="77777777" w:rsidR="00A10B25" w:rsidRDefault="00A10B25">
            <w:pPr>
              <w:pStyle w:val="TAL"/>
            </w:pPr>
            <w:r>
              <w:rPr>
                <w:lang w:eastAsia="zh-CN"/>
              </w:rPr>
              <w:t>0..1</w:t>
            </w:r>
          </w:p>
        </w:tc>
        <w:tc>
          <w:tcPr>
            <w:tcW w:w="2835" w:type="dxa"/>
          </w:tcPr>
          <w:p w14:paraId="5EED0344" w14:textId="77777777" w:rsidR="00A10B25" w:rsidRDefault="00A10B25">
            <w:pPr>
              <w:pStyle w:val="TAL"/>
              <w:rPr>
                <w:rFonts w:cs="Arial"/>
                <w:szCs w:val="18"/>
                <w:lang w:eastAsia="zh-CN"/>
              </w:rPr>
            </w:pPr>
            <w:r>
              <w:rPr>
                <w:rFonts w:cs="Arial"/>
                <w:szCs w:val="18"/>
                <w:lang w:eastAsia="zh-CN"/>
              </w:rPr>
              <w:t>Identifies the uplink traffic volume. (NOTE)</w:t>
            </w:r>
          </w:p>
          <w:p w14:paraId="45A337DF" w14:textId="77777777" w:rsidR="00A10B25" w:rsidRDefault="00A10B25">
            <w:pPr>
              <w:pStyle w:val="TAL"/>
              <w:rPr>
                <w:rFonts w:cs="Arial"/>
                <w:szCs w:val="18"/>
              </w:rPr>
            </w:pPr>
            <w:r>
              <w:rPr>
                <w:rFonts w:cs="Arial"/>
                <w:szCs w:val="18"/>
              </w:rPr>
              <w:t>If the analytics result applies for a group of UEs, it indicates the average uplink traffic volume for the subset of UEs indicated by a given ratio in the group.</w:t>
            </w:r>
          </w:p>
        </w:tc>
        <w:tc>
          <w:tcPr>
            <w:tcW w:w="1824" w:type="dxa"/>
          </w:tcPr>
          <w:p w14:paraId="21A33CA2" w14:textId="77777777" w:rsidR="00A10B25" w:rsidRDefault="00A10B25">
            <w:pPr>
              <w:pStyle w:val="TAL"/>
              <w:rPr>
                <w:rFonts w:cs="Arial"/>
                <w:szCs w:val="18"/>
              </w:rPr>
            </w:pPr>
          </w:p>
        </w:tc>
      </w:tr>
      <w:tr w:rsidR="00A10B25" w14:paraId="567FEF4D" w14:textId="77777777">
        <w:trPr>
          <w:jc w:val="center"/>
        </w:trPr>
        <w:tc>
          <w:tcPr>
            <w:tcW w:w="1825" w:type="dxa"/>
          </w:tcPr>
          <w:p w14:paraId="24F7D7BE" w14:textId="77777777" w:rsidR="00A10B25" w:rsidRDefault="00A10B25">
            <w:pPr>
              <w:pStyle w:val="TAL"/>
            </w:pPr>
            <w:r>
              <w:t>ulVolVariance</w:t>
            </w:r>
          </w:p>
        </w:tc>
        <w:tc>
          <w:tcPr>
            <w:tcW w:w="1559" w:type="dxa"/>
          </w:tcPr>
          <w:p w14:paraId="531C5223" w14:textId="77777777" w:rsidR="00A10B25" w:rsidRDefault="00A10B25">
            <w:pPr>
              <w:pStyle w:val="TAL"/>
            </w:pPr>
            <w:r>
              <w:t>Float</w:t>
            </w:r>
          </w:p>
        </w:tc>
        <w:tc>
          <w:tcPr>
            <w:tcW w:w="426" w:type="dxa"/>
          </w:tcPr>
          <w:p w14:paraId="0087F8D0" w14:textId="77777777" w:rsidR="00A10B25" w:rsidRDefault="00A10B25">
            <w:pPr>
              <w:pStyle w:val="TAC"/>
            </w:pPr>
            <w:r>
              <w:t>C</w:t>
            </w:r>
          </w:p>
        </w:tc>
        <w:tc>
          <w:tcPr>
            <w:tcW w:w="1134" w:type="dxa"/>
          </w:tcPr>
          <w:p w14:paraId="7B60ECD8" w14:textId="77777777" w:rsidR="00A10B25" w:rsidRDefault="00A10B25">
            <w:pPr>
              <w:pStyle w:val="TAL"/>
              <w:rPr>
                <w:lang w:eastAsia="zh-CN"/>
              </w:rPr>
            </w:pPr>
            <w:r>
              <w:rPr>
                <w:lang w:eastAsia="zh-CN"/>
              </w:rPr>
              <w:t>0..1</w:t>
            </w:r>
          </w:p>
        </w:tc>
        <w:tc>
          <w:tcPr>
            <w:tcW w:w="2835" w:type="dxa"/>
          </w:tcPr>
          <w:p w14:paraId="506B1DE5" w14:textId="77777777" w:rsidR="00A10B25" w:rsidRDefault="00A10B25">
            <w:pPr>
              <w:pStyle w:val="TAL"/>
              <w:rPr>
                <w:rFonts w:cs="Arial"/>
                <w:szCs w:val="18"/>
                <w:lang w:eastAsia="zh-CN"/>
              </w:rPr>
            </w:pPr>
            <w:r>
              <w:rPr>
                <w:rFonts w:cs="Arial"/>
                <w:szCs w:val="18"/>
                <w:lang w:eastAsia="zh-CN"/>
              </w:rPr>
              <w:t>This attribute indicates the variance of the uplink traffic volumes for the subset of UEs indicated by a given ratio in the group. It shall be provided if the analytics result applies for a group of UEs.</w:t>
            </w:r>
          </w:p>
        </w:tc>
        <w:tc>
          <w:tcPr>
            <w:tcW w:w="1824" w:type="dxa"/>
          </w:tcPr>
          <w:p w14:paraId="3866B023" w14:textId="77777777" w:rsidR="00A10B25" w:rsidRDefault="00A10B25">
            <w:pPr>
              <w:pStyle w:val="TAL"/>
              <w:rPr>
                <w:rFonts w:cs="Arial"/>
                <w:szCs w:val="18"/>
              </w:rPr>
            </w:pPr>
          </w:p>
        </w:tc>
      </w:tr>
      <w:tr w:rsidR="00A10B25" w14:paraId="7B741443" w14:textId="77777777">
        <w:trPr>
          <w:jc w:val="center"/>
        </w:trPr>
        <w:tc>
          <w:tcPr>
            <w:tcW w:w="1825" w:type="dxa"/>
          </w:tcPr>
          <w:p w14:paraId="050C4CD8" w14:textId="77777777" w:rsidR="00A10B25" w:rsidRDefault="00A10B25">
            <w:pPr>
              <w:pStyle w:val="TAL"/>
            </w:pPr>
            <w:r>
              <w:t>dlVol</w:t>
            </w:r>
          </w:p>
        </w:tc>
        <w:tc>
          <w:tcPr>
            <w:tcW w:w="1559" w:type="dxa"/>
          </w:tcPr>
          <w:p w14:paraId="43ECB536" w14:textId="77777777" w:rsidR="00A10B25" w:rsidRDefault="00A10B25">
            <w:pPr>
              <w:pStyle w:val="TAL"/>
            </w:pPr>
            <w:r>
              <w:t>Volume</w:t>
            </w:r>
          </w:p>
        </w:tc>
        <w:tc>
          <w:tcPr>
            <w:tcW w:w="426" w:type="dxa"/>
          </w:tcPr>
          <w:p w14:paraId="6AF0C20A" w14:textId="77777777" w:rsidR="00A10B25" w:rsidRDefault="00A10B25">
            <w:pPr>
              <w:pStyle w:val="TAC"/>
            </w:pPr>
            <w:r>
              <w:t>C</w:t>
            </w:r>
          </w:p>
        </w:tc>
        <w:tc>
          <w:tcPr>
            <w:tcW w:w="1134" w:type="dxa"/>
          </w:tcPr>
          <w:p w14:paraId="3150E947" w14:textId="77777777" w:rsidR="00A10B25" w:rsidRDefault="00A10B25">
            <w:pPr>
              <w:pStyle w:val="TAL"/>
            </w:pPr>
            <w:r>
              <w:rPr>
                <w:lang w:eastAsia="zh-CN"/>
              </w:rPr>
              <w:t>0..1</w:t>
            </w:r>
          </w:p>
        </w:tc>
        <w:tc>
          <w:tcPr>
            <w:tcW w:w="2835" w:type="dxa"/>
          </w:tcPr>
          <w:p w14:paraId="08121526" w14:textId="77777777" w:rsidR="00A10B25" w:rsidRDefault="00A10B25">
            <w:pPr>
              <w:pStyle w:val="TAL"/>
              <w:rPr>
                <w:rFonts w:cs="Arial"/>
                <w:szCs w:val="18"/>
                <w:lang w:eastAsia="zh-CN"/>
              </w:rPr>
            </w:pPr>
            <w:r>
              <w:rPr>
                <w:rFonts w:cs="Arial"/>
                <w:szCs w:val="18"/>
                <w:lang w:eastAsia="zh-CN"/>
              </w:rPr>
              <w:t>Identifies the downlink traffic volume. (NOTE)</w:t>
            </w:r>
          </w:p>
          <w:p w14:paraId="38C209CE" w14:textId="77777777" w:rsidR="00A10B25" w:rsidRDefault="00A10B25">
            <w:pPr>
              <w:pStyle w:val="TAL"/>
              <w:rPr>
                <w:rFonts w:cs="Arial"/>
                <w:szCs w:val="18"/>
              </w:rPr>
            </w:pPr>
            <w:r>
              <w:rPr>
                <w:rFonts w:cs="Arial"/>
                <w:szCs w:val="18"/>
              </w:rPr>
              <w:t>If the analytics result applies for a group of UEs, it indicates the average downlink traffic volume for the subset of UEs indicated by a given ratio in the group.</w:t>
            </w:r>
          </w:p>
        </w:tc>
        <w:tc>
          <w:tcPr>
            <w:tcW w:w="1824" w:type="dxa"/>
          </w:tcPr>
          <w:p w14:paraId="06FEE3C1" w14:textId="77777777" w:rsidR="00A10B25" w:rsidRDefault="00A10B25">
            <w:pPr>
              <w:pStyle w:val="TAL"/>
              <w:rPr>
                <w:rFonts w:cs="Arial"/>
                <w:szCs w:val="18"/>
              </w:rPr>
            </w:pPr>
          </w:p>
        </w:tc>
      </w:tr>
      <w:tr w:rsidR="00A10B25" w14:paraId="0007937E" w14:textId="77777777">
        <w:trPr>
          <w:jc w:val="center"/>
        </w:trPr>
        <w:tc>
          <w:tcPr>
            <w:tcW w:w="1825" w:type="dxa"/>
          </w:tcPr>
          <w:p w14:paraId="2F3A548A" w14:textId="77777777" w:rsidR="00A10B25" w:rsidRDefault="00A10B25">
            <w:pPr>
              <w:pStyle w:val="TAL"/>
            </w:pPr>
            <w:r>
              <w:t>dlVolVariance</w:t>
            </w:r>
          </w:p>
        </w:tc>
        <w:tc>
          <w:tcPr>
            <w:tcW w:w="1559" w:type="dxa"/>
          </w:tcPr>
          <w:p w14:paraId="6BC9F1E5" w14:textId="77777777" w:rsidR="00A10B25" w:rsidRDefault="00A10B25">
            <w:pPr>
              <w:pStyle w:val="TAL"/>
            </w:pPr>
            <w:r>
              <w:t>Float</w:t>
            </w:r>
          </w:p>
        </w:tc>
        <w:tc>
          <w:tcPr>
            <w:tcW w:w="426" w:type="dxa"/>
          </w:tcPr>
          <w:p w14:paraId="3D51CE23" w14:textId="77777777" w:rsidR="00A10B25" w:rsidRDefault="00A10B25">
            <w:pPr>
              <w:pStyle w:val="TAC"/>
            </w:pPr>
            <w:r>
              <w:t>C</w:t>
            </w:r>
          </w:p>
        </w:tc>
        <w:tc>
          <w:tcPr>
            <w:tcW w:w="1134" w:type="dxa"/>
          </w:tcPr>
          <w:p w14:paraId="065DD695" w14:textId="77777777" w:rsidR="00A10B25" w:rsidRDefault="00A10B25">
            <w:pPr>
              <w:pStyle w:val="TAL"/>
              <w:rPr>
                <w:lang w:eastAsia="zh-CN"/>
              </w:rPr>
            </w:pPr>
            <w:r>
              <w:rPr>
                <w:lang w:eastAsia="zh-CN"/>
              </w:rPr>
              <w:t>0..1</w:t>
            </w:r>
          </w:p>
        </w:tc>
        <w:tc>
          <w:tcPr>
            <w:tcW w:w="2835" w:type="dxa"/>
          </w:tcPr>
          <w:p w14:paraId="58FDB8A4" w14:textId="77777777" w:rsidR="00A10B25" w:rsidRDefault="00A10B25">
            <w:pPr>
              <w:pStyle w:val="TAL"/>
              <w:rPr>
                <w:rFonts w:cs="Arial"/>
                <w:szCs w:val="18"/>
                <w:lang w:eastAsia="zh-CN"/>
              </w:rPr>
            </w:pPr>
            <w:r>
              <w:rPr>
                <w:rFonts w:cs="Arial"/>
                <w:szCs w:val="18"/>
                <w:lang w:eastAsia="zh-CN"/>
              </w:rPr>
              <w:t>This attribute indicates the variance of the downlink traffic volumes for the subset of UEs indicated by a given ratio in the group. It shall be provided if the analytics result applies for a group of UEs.</w:t>
            </w:r>
          </w:p>
        </w:tc>
        <w:tc>
          <w:tcPr>
            <w:tcW w:w="1824" w:type="dxa"/>
          </w:tcPr>
          <w:p w14:paraId="18A1535B" w14:textId="77777777" w:rsidR="00A10B25" w:rsidRDefault="00A10B25">
            <w:pPr>
              <w:pStyle w:val="TAL"/>
              <w:rPr>
                <w:rFonts w:cs="Arial"/>
                <w:szCs w:val="18"/>
              </w:rPr>
            </w:pPr>
          </w:p>
        </w:tc>
      </w:tr>
      <w:tr w:rsidR="00A10B25" w14:paraId="70327467" w14:textId="77777777">
        <w:trPr>
          <w:jc w:val="center"/>
        </w:trPr>
        <w:tc>
          <w:tcPr>
            <w:tcW w:w="9603" w:type="dxa"/>
            <w:gridSpan w:val="6"/>
            <w:vAlign w:val="center"/>
          </w:tcPr>
          <w:p w14:paraId="3DB1FC8D" w14:textId="77777777" w:rsidR="00A10B25" w:rsidRDefault="00A10B25">
            <w:pPr>
              <w:pStyle w:val="TAN"/>
            </w:pPr>
            <w:r>
              <w:t>NOTE:</w:t>
            </w:r>
            <w:r>
              <w:tab/>
            </w:r>
            <w:r>
              <w:rPr>
                <w:lang w:eastAsia="zh-CN"/>
              </w:rPr>
              <w:t>At least one of "ulVol" or "dlVol" shall be provided.</w:t>
            </w:r>
          </w:p>
        </w:tc>
      </w:tr>
    </w:tbl>
    <w:p w14:paraId="5AA89052" w14:textId="77777777" w:rsidR="00A10B25" w:rsidRDefault="00A10B25"/>
    <w:p w14:paraId="0FB59234" w14:textId="77777777" w:rsidR="00A10B25" w:rsidRDefault="00A10B25">
      <w:pPr>
        <w:pStyle w:val="5"/>
      </w:pPr>
      <w:bookmarkStart w:id="6089" w:name="_Toc113031678"/>
      <w:bookmarkStart w:id="6090" w:name="_Toc56640973"/>
      <w:bookmarkStart w:id="6091" w:name="_Toc88667594"/>
      <w:bookmarkStart w:id="6092" w:name="_Toc28012828"/>
      <w:bookmarkStart w:id="6093" w:name="_Toc51762906"/>
      <w:bookmarkStart w:id="6094" w:name="_Toc59017941"/>
      <w:bookmarkStart w:id="6095" w:name="_Toc34266298"/>
      <w:bookmarkStart w:id="6096" w:name="_Toc45134054"/>
      <w:bookmarkStart w:id="6097" w:name="_Toc90655879"/>
      <w:bookmarkStart w:id="6098" w:name="_Toc98233647"/>
      <w:bookmarkStart w:id="6099" w:name="_Toc36102469"/>
      <w:bookmarkStart w:id="6100" w:name="_Toc68168970"/>
      <w:bookmarkStart w:id="6101" w:name="_Toc50031986"/>
      <w:bookmarkStart w:id="6102" w:name="_Toc83233083"/>
      <w:bookmarkStart w:id="6103" w:name="_Toc138754218"/>
      <w:bookmarkStart w:id="6104" w:name="_Toc94064262"/>
      <w:bookmarkStart w:id="6105" w:name="_Toc145705705"/>
      <w:bookmarkStart w:id="6106" w:name="_Toc114133817"/>
      <w:bookmarkStart w:id="6107" w:name="_Toc43563511"/>
      <w:bookmarkStart w:id="6108" w:name="_Toc104539016"/>
      <w:bookmarkStart w:id="6109" w:name="_Toc85552993"/>
      <w:bookmarkStart w:id="6110" w:name="_Toc85557092"/>
      <w:bookmarkStart w:id="6111" w:name="_Toc148522609"/>
      <w:bookmarkStart w:id="6112" w:name="_Toc70550637"/>
      <w:bookmarkStart w:id="6113" w:name="_Toc136562384"/>
      <w:bookmarkStart w:id="6114" w:name="_Toc101244423"/>
      <w:bookmarkStart w:id="6115" w:name="_Toc112951138"/>
      <w:bookmarkStart w:id="6116" w:name="_Toc66231809"/>
      <w:bookmarkStart w:id="6117" w:name="_Toc120702317"/>
      <w:bookmarkStart w:id="6118" w:name="_Toc164920789"/>
      <w:bookmarkStart w:id="6119" w:name="_Toc170120331"/>
      <w:bookmarkStart w:id="6120" w:name="_Toc175858576"/>
      <w:bookmarkStart w:id="6121" w:name="_Toc175859649"/>
      <w:bookmarkStart w:id="6122" w:name="_Toc180605939"/>
      <w:bookmarkStart w:id="6123" w:name="_Toc185517193"/>
      <w:bookmarkStart w:id="6124" w:name="_Toc191576244"/>
      <w:bookmarkStart w:id="6125" w:name="_Toc191576984"/>
      <w:bookmarkStart w:id="6126" w:name="_Toc192880054"/>
      <w:bookmarkStart w:id="6127" w:name="_Toc195814937"/>
      <w:bookmarkStart w:id="6128" w:name="_Toc199452904"/>
      <w:r>
        <w:lastRenderedPageBreak/>
        <w:t>5.1.6.2.15</w:t>
      </w:r>
      <w:r>
        <w:tab/>
        <w:t>Type AbnormalBehaviour</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43B68465" w14:textId="77777777" w:rsidR="00A10B25" w:rsidRDefault="00A10B25">
      <w:pPr>
        <w:pStyle w:val="TH"/>
      </w:pPr>
      <w:bookmarkStart w:id="6129" w:name="_Toc43563512"/>
      <w:bookmarkStart w:id="6130" w:name="_Toc50031987"/>
      <w:bookmarkStart w:id="6131" w:name="_Toc90655880"/>
      <w:bookmarkStart w:id="6132" w:name="_Toc101244424"/>
      <w:bookmarkStart w:id="6133" w:name="_Toc88667595"/>
      <w:bookmarkStart w:id="6134" w:name="_Toc85552994"/>
      <w:bookmarkStart w:id="6135" w:name="_Toc94064263"/>
      <w:bookmarkStart w:id="6136" w:name="_Toc66231810"/>
      <w:bookmarkStart w:id="6137" w:name="_Toc85557093"/>
      <w:bookmarkStart w:id="6138" w:name="_Toc56640974"/>
      <w:bookmarkStart w:id="6139" w:name="_Toc83233084"/>
      <w:bookmarkStart w:id="6140" w:name="_Toc104539017"/>
      <w:bookmarkStart w:id="6141" w:name="_Toc28012829"/>
      <w:bookmarkStart w:id="6142" w:name="_Toc113031679"/>
      <w:bookmarkStart w:id="6143" w:name="_Toc34266299"/>
      <w:bookmarkStart w:id="6144" w:name="_Toc112951139"/>
      <w:bookmarkStart w:id="6145" w:name="_Toc98233648"/>
      <w:bookmarkStart w:id="6146" w:name="_Toc70550638"/>
      <w:bookmarkStart w:id="6147" w:name="_Toc59017942"/>
      <w:bookmarkStart w:id="6148" w:name="_Toc36102470"/>
      <w:bookmarkStart w:id="6149" w:name="_Toc120702318"/>
      <w:bookmarkStart w:id="6150" w:name="_Toc68168971"/>
      <w:bookmarkStart w:id="6151" w:name="_Toc114133818"/>
      <w:bookmarkStart w:id="6152" w:name="_Toc45134055"/>
      <w:bookmarkStart w:id="6153" w:name="_Toc136562385"/>
      <w:bookmarkStart w:id="6154" w:name="_Toc138754219"/>
      <w:bookmarkStart w:id="6155" w:name="_Toc51762907"/>
      <w:r>
        <w:t>Table 5.1.6.2.15-1: Definition of type AbnormalBehaviour</w:t>
      </w:r>
    </w:p>
    <w:tbl>
      <w:tblPr>
        <w:tblW w:w="960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4"/>
        <w:gridCol w:w="1559"/>
        <w:gridCol w:w="426"/>
        <w:gridCol w:w="1134"/>
        <w:gridCol w:w="2834"/>
        <w:gridCol w:w="1823"/>
      </w:tblGrid>
      <w:tr w:rsidR="00A10B25" w14:paraId="2D308EA1" w14:textId="77777777">
        <w:trPr>
          <w:jc w:val="center"/>
        </w:trPr>
        <w:tc>
          <w:tcPr>
            <w:tcW w:w="1825" w:type="dxa"/>
            <w:tcBorders>
              <w:top w:val="single" w:sz="6" w:space="0" w:color="auto"/>
              <w:left w:val="single" w:sz="6" w:space="0" w:color="auto"/>
              <w:bottom w:val="single" w:sz="6" w:space="0" w:color="auto"/>
              <w:right w:val="single" w:sz="6" w:space="0" w:color="auto"/>
            </w:tcBorders>
            <w:shd w:val="clear" w:color="auto" w:fill="C0C0C0"/>
          </w:tcPr>
          <w:p w14:paraId="4C01F6AD" w14:textId="77777777" w:rsidR="00A10B25" w:rsidRDefault="00A10B25">
            <w:pPr>
              <w:pStyle w:val="TAH"/>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0261187A"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61F4BAB0"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4AADEE4" w14:textId="77777777" w:rsidR="00A10B25" w:rsidRDefault="00A10B25">
            <w:pPr>
              <w:pStyle w:val="TAH"/>
            </w:pPr>
            <w:r>
              <w:t>Cardinality</w:t>
            </w:r>
          </w:p>
        </w:tc>
        <w:tc>
          <w:tcPr>
            <w:tcW w:w="2835" w:type="dxa"/>
            <w:tcBorders>
              <w:top w:val="single" w:sz="6" w:space="0" w:color="auto"/>
              <w:left w:val="single" w:sz="6" w:space="0" w:color="auto"/>
              <w:bottom w:val="single" w:sz="6" w:space="0" w:color="auto"/>
              <w:right w:val="single" w:sz="6" w:space="0" w:color="auto"/>
            </w:tcBorders>
            <w:shd w:val="clear" w:color="auto" w:fill="C0C0C0"/>
          </w:tcPr>
          <w:p w14:paraId="2A3578FE" w14:textId="77777777" w:rsidR="00A10B25" w:rsidRDefault="00A10B25">
            <w:pPr>
              <w:pStyle w:val="TAH"/>
            </w:pPr>
            <w:r>
              <w:t>Description</w:t>
            </w:r>
          </w:p>
        </w:tc>
        <w:tc>
          <w:tcPr>
            <w:tcW w:w="1824" w:type="dxa"/>
            <w:tcBorders>
              <w:top w:val="single" w:sz="6" w:space="0" w:color="auto"/>
              <w:left w:val="single" w:sz="6" w:space="0" w:color="auto"/>
              <w:bottom w:val="single" w:sz="6" w:space="0" w:color="auto"/>
              <w:right w:val="single" w:sz="6" w:space="0" w:color="auto"/>
            </w:tcBorders>
            <w:shd w:val="clear" w:color="auto" w:fill="C0C0C0"/>
          </w:tcPr>
          <w:p w14:paraId="606F6989" w14:textId="77777777" w:rsidR="00A10B25" w:rsidRDefault="00A10B25">
            <w:pPr>
              <w:pStyle w:val="TAH"/>
            </w:pPr>
            <w:r>
              <w:t>Applicability</w:t>
            </w:r>
          </w:p>
        </w:tc>
      </w:tr>
      <w:tr w:rsidR="00A10B25" w14:paraId="2A3318E7"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3ADC7282" w14:textId="77777777" w:rsidR="00A10B25" w:rsidRDefault="00A10B25">
            <w:pPr>
              <w:pStyle w:val="TAL"/>
            </w:pPr>
            <w:r>
              <w:t>supis</w:t>
            </w:r>
          </w:p>
        </w:tc>
        <w:tc>
          <w:tcPr>
            <w:tcW w:w="1559" w:type="dxa"/>
            <w:tcBorders>
              <w:top w:val="single" w:sz="6" w:space="0" w:color="auto"/>
              <w:left w:val="single" w:sz="6" w:space="0" w:color="auto"/>
              <w:bottom w:val="single" w:sz="6" w:space="0" w:color="auto"/>
              <w:right w:val="single" w:sz="6" w:space="0" w:color="auto"/>
            </w:tcBorders>
          </w:tcPr>
          <w:p w14:paraId="3621ABA9" w14:textId="77777777" w:rsidR="00A10B25" w:rsidRDefault="00A10B25">
            <w:pPr>
              <w:pStyle w:val="TAL"/>
            </w:pPr>
            <w:r>
              <w:rPr>
                <w:lang w:eastAsia="zh-CN"/>
              </w:rPr>
              <w:t>array(Supi)</w:t>
            </w:r>
          </w:p>
        </w:tc>
        <w:tc>
          <w:tcPr>
            <w:tcW w:w="426" w:type="dxa"/>
            <w:tcBorders>
              <w:top w:val="single" w:sz="6" w:space="0" w:color="auto"/>
              <w:left w:val="single" w:sz="6" w:space="0" w:color="auto"/>
              <w:bottom w:val="single" w:sz="6" w:space="0" w:color="auto"/>
              <w:right w:val="single" w:sz="6" w:space="0" w:color="auto"/>
            </w:tcBorders>
          </w:tcPr>
          <w:p w14:paraId="44C34258"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11D4FC8B" w14:textId="77777777" w:rsidR="00A10B25" w:rsidRDefault="00A10B25">
            <w:pPr>
              <w:pStyle w:val="TAL"/>
              <w:rPr>
                <w:lang w:eastAsia="zh-CN"/>
              </w:rPr>
            </w:pPr>
            <w:r>
              <w:rPr>
                <w:lang w:eastAsia="zh-CN"/>
              </w:rPr>
              <w:t>1..N</w:t>
            </w:r>
          </w:p>
        </w:tc>
        <w:tc>
          <w:tcPr>
            <w:tcW w:w="2835" w:type="dxa"/>
            <w:tcBorders>
              <w:top w:val="single" w:sz="6" w:space="0" w:color="auto"/>
              <w:left w:val="single" w:sz="6" w:space="0" w:color="auto"/>
              <w:bottom w:val="single" w:sz="6" w:space="0" w:color="auto"/>
              <w:right w:val="single" w:sz="6" w:space="0" w:color="auto"/>
            </w:tcBorders>
          </w:tcPr>
          <w:p w14:paraId="32E91A6B" w14:textId="77777777" w:rsidR="00A10B25" w:rsidRDefault="00A10B25">
            <w:pPr>
              <w:pStyle w:val="TAL"/>
              <w:rPr>
                <w:rFonts w:cs="Arial"/>
                <w:szCs w:val="18"/>
                <w:lang w:eastAsia="zh-CN"/>
              </w:rPr>
            </w:pPr>
            <w:r>
              <w:rPr>
                <w:rFonts w:cs="Arial"/>
                <w:szCs w:val="18"/>
                <w:lang w:eastAsia="zh-CN"/>
              </w:rPr>
              <w:t>Each element identifies a UE</w:t>
            </w:r>
            <w:r>
              <w:t xml:space="preserve"> </w:t>
            </w:r>
            <w:r>
              <w:rPr>
                <w:rFonts w:cs="Arial"/>
                <w:szCs w:val="18"/>
                <w:lang w:eastAsia="zh-CN"/>
              </w:rPr>
              <w:t>which is affected with the Exception.</w:t>
            </w:r>
          </w:p>
          <w:p w14:paraId="33A73E02" w14:textId="77777777" w:rsidR="00A10B25" w:rsidRDefault="00A10B25">
            <w:pPr>
              <w:pStyle w:val="TAL"/>
              <w:rPr>
                <w:rFonts w:cs="Arial"/>
                <w:szCs w:val="18"/>
                <w:lang w:eastAsia="zh-CN"/>
              </w:rPr>
            </w:pPr>
            <w:r>
              <w:rPr>
                <w:rFonts w:cs="Arial"/>
                <w:szCs w:val="18"/>
                <w:lang w:eastAsia="zh-CN"/>
              </w:rPr>
              <w:t>Shall be present if the subscription request applies to more than one UE.</w:t>
            </w:r>
          </w:p>
        </w:tc>
        <w:tc>
          <w:tcPr>
            <w:tcW w:w="1824" w:type="dxa"/>
            <w:tcBorders>
              <w:top w:val="single" w:sz="6" w:space="0" w:color="auto"/>
              <w:left w:val="single" w:sz="6" w:space="0" w:color="auto"/>
              <w:bottom w:val="single" w:sz="6" w:space="0" w:color="auto"/>
              <w:right w:val="single" w:sz="6" w:space="0" w:color="auto"/>
            </w:tcBorders>
          </w:tcPr>
          <w:p w14:paraId="3202A2FA" w14:textId="77777777" w:rsidR="00A10B25" w:rsidRDefault="00A10B25">
            <w:pPr>
              <w:keepNext/>
              <w:keepLines/>
              <w:spacing w:after="0"/>
              <w:rPr>
                <w:rFonts w:ascii="Arial" w:hAnsi="Arial" w:cs="Arial"/>
                <w:sz w:val="18"/>
                <w:szCs w:val="18"/>
              </w:rPr>
            </w:pPr>
          </w:p>
        </w:tc>
      </w:tr>
      <w:tr w:rsidR="00A10B25" w14:paraId="61F7729F"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054F25B8" w14:textId="77777777" w:rsidR="00A10B25" w:rsidRDefault="00A10B25">
            <w:pPr>
              <w:pStyle w:val="TAL"/>
            </w:pPr>
            <w:r>
              <w:t>dnn</w:t>
            </w:r>
          </w:p>
        </w:tc>
        <w:tc>
          <w:tcPr>
            <w:tcW w:w="1559" w:type="dxa"/>
            <w:tcBorders>
              <w:top w:val="single" w:sz="6" w:space="0" w:color="auto"/>
              <w:left w:val="single" w:sz="6" w:space="0" w:color="auto"/>
              <w:bottom w:val="single" w:sz="6" w:space="0" w:color="auto"/>
              <w:right w:val="single" w:sz="6" w:space="0" w:color="auto"/>
            </w:tcBorders>
          </w:tcPr>
          <w:p w14:paraId="4866C87A" w14:textId="77777777" w:rsidR="00A10B25" w:rsidRDefault="00A10B25">
            <w:pPr>
              <w:pStyle w:val="TAL"/>
            </w:pPr>
            <w:r>
              <w:rPr>
                <w:lang w:eastAsia="zh-CN"/>
              </w:rPr>
              <w:t>Dnn</w:t>
            </w:r>
          </w:p>
        </w:tc>
        <w:tc>
          <w:tcPr>
            <w:tcW w:w="426" w:type="dxa"/>
            <w:tcBorders>
              <w:top w:val="single" w:sz="6" w:space="0" w:color="auto"/>
              <w:left w:val="single" w:sz="6" w:space="0" w:color="auto"/>
              <w:bottom w:val="single" w:sz="6" w:space="0" w:color="auto"/>
              <w:right w:val="single" w:sz="6" w:space="0" w:color="auto"/>
            </w:tcBorders>
          </w:tcPr>
          <w:p w14:paraId="2A25D8D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8FCBF39" w14:textId="77777777" w:rsidR="00A10B25" w:rsidRDefault="00A10B25">
            <w:pPr>
              <w:pStyle w:val="TAL"/>
            </w:pPr>
            <w:r>
              <w:rPr>
                <w:lang w:eastAsia="zh-CN"/>
              </w:rPr>
              <w:t>0..1</w:t>
            </w:r>
          </w:p>
        </w:tc>
        <w:tc>
          <w:tcPr>
            <w:tcW w:w="2835" w:type="dxa"/>
            <w:tcBorders>
              <w:top w:val="single" w:sz="6" w:space="0" w:color="auto"/>
              <w:left w:val="single" w:sz="6" w:space="0" w:color="auto"/>
              <w:bottom w:val="single" w:sz="6" w:space="0" w:color="auto"/>
              <w:right w:val="single" w:sz="6" w:space="0" w:color="auto"/>
            </w:tcBorders>
          </w:tcPr>
          <w:p w14:paraId="63409EA2"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41129E25" w14:textId="77777777" w:rsidR="00A10B25" w:rsidRDefault="00A10B25">
            <w:pPr>
              <w:pStyle w:val="TAL"/>
              <w:rPr>
                <w:rFonts w:cs="Arial"/>
                <w:szCs w:val="18"/>
              </w:rPr>
            </w:pPr>
            <w:r>
              <w:rPr>
                <w:lang w:eastAsia="zh-CN"/>
              </w:rPr>
              <w:t xml:space="preserve">Shall be present if the </w:t>
            </w:r>
            <w:r>
              <w:t>"dnns" was provided within EventSubscription during the subscription for event notification procedure.</w:t>
            </w:r>
          </w:p>
        </w:tc>
        <w:tc>
          <w:tcPr>
            <w:tcW w:w="1824" w:type="dxa"/>
            <w:tcBorders>
              <w:top w:val="single" w:sz="6" w:space="0" w:color="auto"/>
              <w:left w:val="single" w:sz="6" w:space="0" w:color="auto"/>
              <w:bottom w:val="single" w:sz="6" w:space="0" w:color="auto"/>
              <w:right w:val="single" w:sz="6" w:space="0" w:color="auto"/>
            </w:tcBorders>
          </w:tcPr>
          <w:p w14:paraId="0249BD7F" w14:textId="77777777" w:rsidR="00A10B25" w:rsidRDefault="00A10B25">
            <w:pPr>
              <w:keepNext/>
              <w:keepLines/>
              <w:spacing w:after="0"/>
              <w:rPr>
                <w:rFonts w:ascii="Arial" w:hAnsi="Arial" w:cs="Arial"/>
                <w:sz w:val="18"/>
                <w:szCs w:val="18"/>
              </w:rPr>
            </w:pPr>
          </w:p>
        </w:tc>
      </w:tr>
      <w:tr w:rsidR="00A10B25" w14:paraId="5C7E458D"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6CF53486" w14:textId="77777777" w:rsidR="00A10B25" w:rsidRDefault="00A10B25">
            <w:pPr>
              <w:pStyle w:val="TAL"/>
            </w:pPr>
            <w:r>
              <w:t>excep</w:t>
            </w:r>
          </w:p>
        </w:tc>
        <w:tc>
          <w:tcPr>
            <w:tcW w:w="1559" w:type="dxa"/>
            <w:tcBorders>
              <w:top w:val="single" w:sz="6" w:space="0" w:color="auto"/>
              <w:left w:val="single" w:sz="6" w:space="0" w:color="auto"/>
              <w:bottom w:val="single" w:sz="6" w:space="0" w:color="auto"/>
              <w:right w:val="single" w:sz="6" w:space="0" w:color="auto"/>
            </w:tcBorders>
          </w:tcPr>
          <w:p w14:paraId="15ECE5B4" w14:textId="77777777" w:rsidR="00A10B25" w:rsidRDefault="00A10B25">
            <w:pPr>
              <w:pStyle w:val="TAL"/>
              <w:rPr>
                <w:lang w:eastAsia="zh-CN"/>
              </w:rPr>
            </w:pPr>
            <w:r>
              <w:t>Exception</w:t>
            </w:r>
          </w:p>
        </w:tc>
        <w:tc>
          <w:tcPr>
            <w:tcW w:w="426" w:type="dxa"/>
            <w:tcBorders>
              <w:top w:val="single" w:sz="6" w:space="0" w:color="auto"/>
              <w:left w:val="single" w:sz="6" w:space="0" w:color="auto"/>
              <w:bottom w:val="single" w:sz="6" w:space="0" w:color="auto"/>
              <w:right w:val="single" w:sz="6" w:space="0" w:color="auto"/>
            </w:tcBorders>
          </w:tcPr>
          <w:p w14:paraId="3C34E8F5"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54D9CC2E" w14:textId="77777777" w:rsidR="00A10B25" w:rsidRDefault="00A10B25">
            <w:pPr>
              <w:pStyle w:val="TAL"/>
            </w:pPr>
            <w:r>
              <w:t>1</w:t>
            </w:r>
          </w:p>
        </w:tc>
        <w:tc>
          <w:tcPr>
            <w:tcW w:w="2835" w:type="dxa"/>
            <w:tcBorders>
              <w:top w:val="single" w:sz="6" w:space="0" w:color="auto"/>
              <w:left w:val="single" w:sz="6" w:space="0" w:color="auto"/>
              <w:bottom w:val="single" w:sz="6" w:space="0" w:color="auto"/>
              <w:right w:val="single" w:sz="6" w:space="0" w:color="auto"/>
            </w:tcBorders>
          </w:tcPr>
          <w:p w14:paraId="427ADDFF" w14:textId="77777777" w:rsidR="00A10B25" w:rsidRDefault="00A10B25">
            <w:pPr>
              <w:pStyle w:val="TAL"/>
            </w:pPr>
            <w:r>
              <w:rPr>
                <w:rFonts w:cs="Arial"/>
                <w:szCs w:val="18"/>
              </w:rPr>
              <w:t>Contains the exception information.</w:t>
            </w:r>
          </w:p>
        </w:tc>
        <w:tc>
          <w:tcPr>
            <w:tcW w:w="1824" w:type="dxa"/>
            <w:tcBorders>
              <w:top w:val="single" w:sz="6" w:space="0" w:color="auto"/>
              <w:left w:val="single" w:sz="6" w:space="0" w:color="auto"/>
              <w:bottom w:val="single" w:sz="6" w:space="0" w:color="auto"/>
              <w:right w:val="single" w:sz="6" w:space="0" w:color="auto"/>
            </w:tcBorders>
          </w:tcPr>
          <w:p w14:paraId="7EA35EF1" w14:textId="77777777" w:rsidR="00A10B25" w:rsidRDefault="00A10B25">
            <w:pPr>
              <w:keepNext/>
              <w:keepLines/>
              <w:spacing w:after="0"/>
              <w:rPr>
                <w:rFonts w:ascii="Arial" w:hAnsi="Arial" w:cs="Arial"/>
                <w:sz w:val="18"/>
                <w:szCs w:val="18"/>
              </w:rPr>
            </w:pPr>
          </w:p>
        </w:tc>
      </w:tr>
      <w:tr w:rsidR="00A10B25" w14:paraId="3AE756D6" w14:textId="77777777">
        <w:trPr>
          <w:jc w:val="center"/>
        </w:trPr>
        <w:tc>
          <w:tcPr>
            <w:tcW w:w="1825" w:type="dxa"/>
            <w:tcBorders>
              <w:top w:val="single" w:sz="6" w:space="0" w:color="auto"/>
              <w:left w:val="single" w:sz="6" w:space="0" w:color="auto"/>
              <w:bottom w:val="single" w:sz="6" w:space="0" w:color="auto"/>
              <w:right w:val="single" w:sz="6" w:space="0" w:color="auto"/>
            </w:tcBorders>
            <w:vAlign w:val="center"/>
          </w:tcPr>
          <w:p w14:paraId="733F11C1" w14:textId="77777777" w:rsidR="00A10B25" w:rsidRDefault="00A10B25">
            <w:pPr>
              <w:pStyle w:val="TAL"/>
            </w:pPr>
            <w:r>
              <w:rPr>
                <w:lang w:eastAsia="zh-CN"/>
              </w:rPr>
              <w:t>snssai</w:t>
            </w:r>
          </w:p>
        </w:tc>
        <w:tc>
          <w:tcPr>
            <w:tcW w:w="1559" w:type="dxa"/>
            <w:tcBorders>
              <w:top w:val="single" w:sz="6" w:space="0" w:color="auto"/>
              <w:left w:val="single" w:sz="6" w:space="0" w:color="auto"/>
              <w:bottom w:val="single" w:sz="6" w:space="0" w:color="auto"/>
              <w:right w:val="single" w:sz="6" w:space="0" w:color="auto"/>
            </w:tcBorders>
          </w:tcPr>
          <w:p w14:paraId="559909A8" w14:textId="77777777" w:rsidR="00A10B25" w:rsidRDefault="00A10B25">
            <w:pPr>
              <w:pStyle w:val="TAL"/>
            </w:pPr>
            <w:r>
              <w:rPr>
                <w:lang w:eastAsia="zh-CN"/>
              </w:rPr>
              <w:t>Snssai</w:t>
            </w:r>
          </w:p>
        </w:tc>
        <w:tc>
          <w:tcPr>
            <w:tcW w:w="426" w:type="dxa"/>
            <w:tcBorders>
              <w:top w:val="single" w:sz="6" w:space="0" w:color="auto"/>
              <w:left w:val="single" w:sz="6" w:space="0" w:color="auto"/>
              <w:bottom w:val="single" w:sz="6" w:space="0" w:color="auto"/>
              <w:right w:val="single" w:sz="6" w:space="0" w:color="auto"/>
            </w:tcBorders>
          </w:tcPr>
          <w:p w14:paraId="6B14454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3B28711" w14:textId="77777777" w:rsidR="00A10B25" w:rsidRDefault="00A10B25">
            <w:pPr>
              <w:pStyle w:val="TAL"/>
            </w:pPr>
            <w:r>
              <w:rPr>
                <w:lang w:eastAsia="zh-CN"/>
              </w:rPr>
              <w:t>0..1</w:t>
            </w:r>
          </w:p>
        </w:tc>
        <w:tc>
          <w:tcPr>
            <w:tcW w:w="2835" w:type="dxa"/>
            <w:tcBorders>
              <w:top w:val="single" w:sz="6" w:space="0" w:color="auto"/>
              <w:left w:val="single" w:sz="6" w:space="0" w:color="auto"/>
              <w:bottom w:val="single" w:sz="6" w:space="0" w:color="auto"/>
              <w:right w:val="single" w:sz="6" w:space="0" w:color="auto"/>
            </w:tcBorders>
          </w:tcPr>
          <w:p w14:paraId="72F45BBB" w14:textId="77777777" w:rsidR="00A10B25" w:rsidRDefault="00A10B25">
            <w:pPr>
              <w:pStyle w:val="TAL"/>
              <w:rPr>
                <w:rFonts w:cs="Arial"/>
                <w:szCs w:val="18"/>
                <w:lang w:eastAsia="zh-CN"/>
              </w:rPr>
            </w:pPr>
            <w:r>
              <w:rPr>
                <w:rFonts w:cs="Arial"/>
                <w:szCs w:val="18"/>
                <w:lang w:eastAsia="zh-CN"/>
              </w:rPr>
              <w:t>Identifies the network slice information.</w:t>
            </w:r>
          </w:p>
          <w:p w14:paraId="23701CDB" w14:textId="77777777" w:rsidR="00A10B25" w:rsidRDefault="00A10B25">
            <w:pPr>
              <w:pStyle w:val="TAL"/>
              <w:rPr>
                <w:rFonts w:cs="Arial"/>
                <w:szCs w:val="18"/>
              </w:rPr>
            </w:pPr>
            <w:r>
              <w:rPr>
                <w:rFonts w:eastAsia="Batang"/>
              </w:rPr>
              <w:t xml:space="preserve">Shall be present if the </w:t>
            </w:r>
            <w:r>
              <w:t>"snssais" was provided within EventSubscription during the subscription for event notification procedure.</w:t>
            </w:r>
          </w:p>
        </w:tc>
        <w:tc>
          <w:tcPr>
            <w:tcW w:w="1824" w:type="dxa"/>
            <w:tcBorders>
              <w:top w:val="single" w:sz="6" w:space="0" w:color="auto"/>
              <w:left w:val="single" w:sz="6" w:space="0" w:color="auto"/>
              <w:bottom w:val="single" w:sz="6" w:space="0" w:color="auto"/>
              <w:right w:val="single" w:sz="6" w:space="0" w:color="auto"/>
            </w:tcBorders>
          </w:tcPr>
          <w:p w14:paraId="1F0FC438" w14:textId="77777777" w:rsidR="00A10B25" w:rsidRDefault="00A10B25">
            <w:pPr>
              <w:keepNext/>
              <w:keepLines/>
              <w:spacing w:after="0"/>
              <w:rPr>
                <w:rFonts w:ascii="Arial" w:hAnsi="Arial" w:cs="Arial"/>
                <w:sz w:val="18"/>
                <w:szCs w:val="18"/>
              </w:rPr>
            </w:pPr>
          </w:p>
        </w:tc>
      </w:tr>
      <w:tr w:rsidR="00A10B25" w14:paraId="6F6D382E"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57FB15F3" w14:textId="77777777" w:rsidR="00A10B25" w:rsidRDefault="00A10B25">
            <w:pPr>
              <w:pStyle w:val="TAL"/>
            </w:pPr>
            <w:r>
              <w:t>ratio</w:t>
            </w:r>
          </w:p>
        </w:tc>
        <w:tc>
          <w:tcPr>
            <w:tcW w:w="1559" w:type="dxa"/>
            <w:tcBorders>
              <w:top w:val="single" w:sz="6" w:space="0" w:color="auto"/>
              <w:left w:val="single" w:sz="6" w:space="0" w:color="auto"/>
              <w:bottom w:val="single" w:sz="6" w:space="0" w:color="auto"/>
              <w:right w:val="single" w:sz="6" w:space="0" w:color="auto"/>
            </w:tcBorders>
          </w:tcPr>
          <w:p w14:paraId="5685ECAF" w14:textId="77777777" w:rsidR="00A10B25" w:rsidRDefault="00A10B25">
            <w:pPr>
              <w:pStyle w:val="TAL"/>
            </w:pPr>
            <w:r>
              <w:t>SamplingRatio</w:t>
            </w:r>
          </w:p>
        </w:tc>
        <w:tc>
          <w:tcPr>
            <w:tcW w:w="426" w:type="dxa"/>
            <w:tcBorders>
              <w:top w:val="single" w:sz="6" w:space="0" w:color="auto"/>
              <w:left w:val="single" w:sz="6" w:space="0" w:color="auto"/>
              <w:bottom w:val="single" w:sz="6" w:space="0" w:color="auto"/>
              <w:right w:val="single" w:sz="6" w:space="0" w:color="auto"/>
            </w:tcBorders>
          </w:tcPr>
          <w:p w14:paraId="6AD5D482"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8465E63" w14:textId="77777777" w:rsidR="00A10B25" w:rsidRDefault="00A10B25">
            <w:pPr>
              <w:pStyle w:val="TAL"/>
            </w:pPr>
            <w:r>
              <w:rPr>
                <w:lang w:eastAsia="zh-CN"/>
              </w:rPr>
              <w:t>0..1</w:t>
            </w:r>
          </w:p>
        </w:tc>
        <w:tc>
          <w:tcPr>
            <w:tcW w:w="2835" w:type="dxa"/>
            <w:tcBorders>
              <w:top w:val="single" w:sz="6" w:space="0" w:color="auto"/>
              <w:left w:val="single" w:sz="6" w:space="0" w:color="auto"/>
              <w:bottom w:val="single" w:sz="6" w:space="0" w:color="auto"/>
              <w:right w:val="single" w:sz="6" w:space="0" w:color="auto"/>
            </w:tcBorders>
          </w:tcPr>
          <w:p w14:paraId="2E9FC9D1" w14:textId="77777777" w:rsidR="00A10B25" w:rsidRDefault="00A10B25">
            <w:pPr>
              <w:pStyle w:val="TAL"/>
              <w:rPr>
                <w:rFonts w:cs="Arial"/>
                <w:szCs w:val="18"/>
                <w:lang w:eastAsia="zh-CN"/>
              </w:rPr>
            </w:pPr>
            <w:r>
              <w:rPr>
                <w:rFonts w:cs="Arial"/>
                <w:szCs w:val="18"/>
                <w:lang w:eastAsia="zh-CN"/>
              </w:rPr>
              <w:t>Contains the percentage of UEs with same analytics result in the group or among all UEs.</w:t>
            </w:r>
          </w:p>
          <w:p w14:paraId="430E2633" w14:textId="77777777" w:rsidR="00A10B25" w:rsidRDefault="00A10B25">
            <w:pPr>
              <w:pStyle w:val="TAL"/>
              <w:rPr>
                <w:rFonts w:cs="Arial"/>
                <w:szCs w:val="18"/>
              </w:rPr>
            </w:pPr>
            <w:r>
              <w:rPr>
                <w:rFonts w:cs="Arial"/>
                <w:szCs w:val="18"/>
                <w:lang w:eastAsia="zh-CN"/>
              </w:rPr>
              <w:t>Shall be present if the analytics result applies for a group of UEs or any UE</w:t>
            </w:r>
            <w:r>
              <w:rPr>
                <w:lang w:eastAsia="zh-CN"/>
              </w:rPr>
              <w:t>.</w:t>
            </w:r>
          </w:p>
        </w:tc>
        <w:tc>
          <w:tcPr>
            <w:tcW w:w="1824" w:type="dxa"/>
            <w:tcBorders>
              <w:top w:val="single" w:sz="6" w:space="0" w:color="auto"/>
              <w:left w:val="single" w:sz="6" w:space="0" w:color="auto"/>
              <w:bottom w:val="single" w:sz="6" w:space="0" w:color="auto"/>
              <w:right w:val="single" w:sz="6" w:space="0" w:color="auto"/>
            </w:tcBorders>
          </w:tcPr>
          <w:p w14:paraId="10DC531D" w14:textId="77777777" w:rsidR="00A10B25" w:rsidRDefault="00A10B25">
            <w:pPr>
              <w:keepNext/>
              <w:keepLines/>
              <w:spacing w:after="0"/>
              <w:rPr>
                <w:rFonts w:ascii="Arial" w:hAnsi="Arial" w:cs="Arial"/>
                <w:sz w:val="18"/>
                <w:szCs w:val="18"/>
              </w:rPr>
            </w:pPr>
          </w:p>
        </w:tc>
      </w:tr>
      <w:tr w:rsidR="00A10B25" w14:paraId="0068CEDF"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4C1122D6" w14:textId="77777777" w:rsidR="00A10B25" w:rsidRDefault="00A10B25">
            <w:pPr>
              <w:pStyle w:val="TAL"/>
            </w:pPr>
            <w:r>
              <w:t>confidence</w:t>
            </w:r>
          </w:p>
        </w:tc>
        <w:tc>
          <w:tcPr>
            <w:tcW w:w="1559" w:type="dxa"/>
            <w:tcBorders>
              <w:top w:val="single" w:sz="6" w:space="0" w:color="auto"/>
              <w:left w:val="single" w:sz="6" w:space="0" w:color="auto"/>
              <w:bottom w:val="single" w:sz="6" w:space="0" w:color="auto"/>
              <w:right w:val="single" w:sz="6" w:space="0" w:color="auto"/>
            </w:tcBorders>
          </w:tcPr>
          <w:p w14:paraId="48725BC3" w14:textId="77777777" w:rsidR="00A10B25" w:rsidRDefault="00A10B25">
            <w:pPr>
              <w:pStyle w:val="TAL"/>
            </w:pPr>
            <w:r>
              <w:rPr>
                <w:lang w:eastAsia="zh-CN"/>
              </w:rPr>
              <w:t>Uinteger</w:t>
            </w:r>
          </w:p>
        </w:tc>
        <w:tc>
          <w:tcPr>
            <w:tcW w:w="426" w:type="dxa"/>
            <w:tcBorders>
              <w:top w:val="single" w:sz="6" w:space="0" w:color="auto"/>
              <w:left w:val="single" w:sz="6" w:space="0" w:color="auto"/>
              <w:bottom w:val="single" w:sz="6" w:space="0" w:color="auto"/>
              <w:right w:val="single" w:sz="6" w:space="0" w:color="auto"/>
            </w:tcBorders>
          </w:tcPr>
          <w:p w14:paraId="6637108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9819F7F" w14:textId="77777777" w:rsidR="00A10B25" w:rsidRDefault="00A10B25">
            <w:pPr>
              <w:pStyle w:val="TAL"/>
            </w:pPr>
            <w:r>
              <w:t>0..1</w:t>
            </w:r>
          </w:p>
        </w:tc>
        <w:tc>
          <w:tcPr>
            <w:tcW w:w="2835" w:type="dxa"/>
            <w:tcBorders>
              <w:top w:val="single" w:sz="6" w:space="0" w:color="auto"/>
              <w:left w:val="single" w:sz="6" w:space="0" w:color="auto"/>
              <w:bottom w:val="single" w:sz="6" w:space="0" w:color="auto"/>
              <w:right w:val="single" w:sz="6" w:space="0" w:color="auto"/>
            </w:tcBorders>
          </w:tcPr>
          <w:p w14:paraId="2CD0BB88" w14:textId="77777777" w:rsidR="00A10B25" w:rsidRDefault="00A10B25">
            <w:pPr>
              <w:pStyle w:val="TAL"/>
            </w:pPr>
            <w:r>
              <w:t>Indicates the confidence of the prediction. (NOTE)</w:t>
            </w:r>
          </w:p>
          <w:p w14:paraId="5EB71590" w14:textId="77777777" w:rsidR="00A10B25" w:rsidRDefault="00A10B25">
            <w:pPr>
              <w:pStyle w:val="TAL"/>
            </w:pPr>
            <w:r>
              <w:t>Shall be present if the analytics result is a prediction.</w:t>
            </w:r>
          </w:p>
          <w:p w14:paraId="30C32841" w14:textId="77777777" w:rsidR="00A10B25" w:rsidRDefault="00A10B25">
            <w:pPr>
              <w:pStyle w:val="TAL"/>
              <w:rPr>
                <w:rFonts w:cs="Arial"/>
                <w:szCs w:val="18"/>
              </w:rPr>
            </w:pPr>
            <w:r>
              <w:rPr>
                <w:rFonts w:cs="Arial"/>
                <w:szCs w:val="18"/>
                <w:lang w:eastAsia="zh-CN"/>
              </w:rPr>
              <w:t>Minimum = 0. Maximum = 100.</w:t>
            </w:r>
          </w:p>
        </w:tc>
        <w:tc>
          <w:tcPr>
            <w:tcW w:w="1824" w:type="dxa"/>
            <w:tcBorders>
              <w:top w:val="single" w:sz="6" w:space="0" w:color="auto"/>
              <w:left w:val="single" w:sz="6" w:space="0" w:color="auto"/>
              <w:bottom w:val="single" w:sz="6" w:space="0" w:color="auto"/>
              <w:right w:val="single" w:sz="6" w:space="0" w:color="auto"/>
            </w:tcBorders>
          </w:tcPr>
          <w:p w14:paraId="49EC1184" w14:textId="77777777" w:rsidR="00A10B25" w:rsidRDefault="00A10B25">
            <w:pPr>
              <w:keepNext/>
              <w:keepLines/>
              <w:spacing w:after="0"/>
              <w:rPr>
                <w:rFonts w:ascii="Arial" w:hAnsi="Arial" w:cs="Arial"/>
                <w:sz w:val="18"/>
                <w:szCs w:val="18"/>
              </w:rPr>
            </w:pPr>
          </w:p>
        </w:tc>
      </w:tr>
      <w:tr w:rsidR="00A10B25" w14:paraId="668DDCB2"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4FD4F34A" w14:textId="77777777" w:rsidR="00A10B25" w:rsidRDefault="00A10B25">
            <w:pPr>
              <w:pStyle w:val="TAL"/>
            </w:pPr>
            <w:r>
              <w:t>addtMeasInfo</w:t>
            </w:r>
          </w:p>
        </w:tc>
        <w:tc>
          <w:tcPr>
            <w:tcW w:w="1559" w:type="dxa"/>
            <w:tcBorders>
              <w:top w:val="single" w:sz="6" w:space="0" w:color="auto"/>
              <w:left w:val="single" w:sz="6" w:space="0" w:color="auto"/>
              <w:bottom w:val="single" w:sz="6" w:space="0" w:color="auto"/>
              <w:right w:val="single" w:sz="6" w:space="0" w:color="auto"/>
            </w:tcBorders>
          </w:tcPr>
          <w:p w14:paraId="37863327" w14:textId="77777777" w:rsidR="00A10B25" w:rsidRDefault="00A10B25">
            <w:pPr>
              <w:pStyle w:val="TAL"/>
            </w:pPr>
            <w:r>
              <w:t>AdditionalMeasurement</w:t>
            </w:r>
          </w:p>
        </w:tc>
        <w:tc>
          <w:tcPr>
            <w:tcW w:w="426" w:type="dxa"/>
            <w:tcBorders>
              <w:top w:val="single" w:sz="6" w:space="0" w:color="auto"/>
              <w:left w:val="single" w:sz="6" w:space="0" w:color="auto"/>
              <w:bottom w:val="single" w:sz="6" w:space="0" w:color="auto"/>
              <w:right w:val="single" w:sz="6" w:space="0" w:color="auto"/>
            </w:tcBorders>
          </w:tcPr>
          <w:p w14:paraId="32653C28"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0C18DF7" w14:textId="77777777" w:rsidR="00A10B25" w:rsidRDefault="00A10B25">
            <w:pPr>
              <w:pStyle w:val="TAL"/>
            </w:pPr>
            <w:r>
              <w:t>0..1</w:t>
            </w:r>
          </w:p>
        </w:tc>
        <w:tc>
          <w:tcPr>
            <w:tcW w:w="2835" w:type="dxa"/>
            <w:tcBorders>
              <w:top w:val="single" w:sz="6" w:space="0" w:color="auto"/>
              <w:left w:val="single" w:sz="6" w:space="0" w:color="auto"/>
              <w:bottom w:val="single" w:sz="6" w:space="0" w:color="auto"/>
              <w:right w:val="single" w:sz="6" w:space="0" w:color="auto"/>
            </w:tcBorders>
          </w:tcPr>
          <w:p w14:paraId="4C7028DA" w14:textId="77777777" w:rsidR="00A10B25" w:rsidRDefault="00A10B25">
            <w:pPr>
              <w:pStyle w:val="TAL"/>
              <w:rPr>
                <w:rFonts w:cs="Arial"/>
                <w:szCs w:val="18"/>
              </w:rPr>
            </w:pPr>
            <w:r>
              <w:t>Additional measurement.</w:t>
            </w:r>
          </w:p>
        </w:tc>
        <w:tc>
          <w:tcPr>
            <w:tcW w:w="1824" w:type="dxa"/>
            <w:tcBorders>
              <w:top w:val="single" w:sz="6" w:space="0" w:color="auto"/>
              <w:left w:val="single" w:sz="6" w:space="0" w:color="auto"/>
              <w:bottom w:val="single" w:sz="6" w:space="0" w:color="auto"/>
              <w:right w:val="single" w:sz="6" w:space="0" w:color="auto"/>
            </w:tcBorders>
          </w:tcPr>
          <w:p w14:paraId="05DC113C" w14:textId="77777777" w:rsidR="00A10B25" w:rsidRDefault="00A10B25">
            <w:pPr>
              <w:keepNext/>
              <w:keepLines/>
              <w:spacing w:after="0"/>
              <w:rPr>
                <w:rFonts w:ascii="Arial" w:hAnsi="Arial" w:cs="Arial"/>
                <w:sz w:val="18"/>
                <w:szCs w:val="18"/>
              </w:rPr>
            </w:pPr>
          </w:p>
        </w:tc>
      </w:tr>
      <w:tr w:rsidR="00A10B25" w14:paraId="40C51022" w14:textId="77777777">
        <w:trPr>
          <w:jc w:val="center"/>
        </w:trPr>
        <w:tc>
          <w:tcPr>
            <w:tcW w:w="9603" w:type="dxa"/>
            <w:gridSpan w:val="6"/>
            <w:tcBorders>
              <w:top w:val="single" w:sz="6" w:space="0" w:color="auto"/>
              <w:left w:val="single" w:sz="6" w:space="0" w:color="auto"/>
              <w:bottom w:val="single" w:sz="6" w:space="0" w:color="auto"/>
              <w:right w:val="single" w:sz="6" w:space="0" w:color="auto"/>
            </w:tcBorders>
          </w:tcPr>
          <w:p w14:paraId="6B5897D1" w14:textId="77777777" w:rsidR="00A10B25" w:rsidRDefault="00A10B25">
            <w:pPr>
              <w:pStyle w:val="TAN"/>
              <w:rPr>
                <w:rFonts w:cs="Arial"/>
                <w:szCs w:val="18"/>
              </w:rPr>
            </w:pPr>
            <w:r>
              <w:t>NOTE:</w:t>
            </w:r>
            <w:r>
              <w:tab/>
              <w:t>If the requested period identified by the "startTs" and "endTs" attributes in the "EventReportingRequirement" type is a future time period, which means the analytics result is a prediction</w:t>
            </w:r>
            <w:r>
              <w:rPr>
                <w:rFonts w:cs="Arial"/>
                <w:szCs w:val="18"/>
              </w:rPr>
              <w:t>. If no sufficient data is collected to provide the confidence of the prediction before the time deadline, the NWDAF shall return a zero confidence.</w:t>
            </w:r>
          </w:p>
        </w:tc>
      </w:tr>
    </w:tbl>
    <w:p w14:paraId="6308AEB5" w14:textId="77777777" w:rsidR="00A10B25" w:rsidRDefault="00A10B25">
      <w:pPr>
        <w:rPr>
          <w:lang w:val="en-US" w:eastAsia="zh-CN"/>
        </w:rPr>
      </w:pPr>
    </w:p>
    <w:p w14:paraId="5F234519" w14:textId="77777777" w:rsidR="00A10B25" w:rsidRDefault="00A10B25">
      <w:pPr>
        <w:pStyle w:val="5"/>
      </w:pPr>
      <w:bookmarkStart w:id="6156" w:name="_Toc148522610"/>
      <w:bookmarkStart w:id="6157" w:name="_Toc145705706"/>
      <w:bookmarkStart w:id="6158" w:name="_Toc164920790"/>
      <w:bookmarkStart w:id="6159" w:name="_Toc170120332"/>
      <w:bookmarkStart w:id="6160" w:name="_Toc175858577"/>
      <w:bookmarkStart w:id="6161" w:name="_Toc175859650"/>
      <w:bookmarkStart w:id="6162" w:name="_Toc180605940"/>
      <w:bookmarkStart w:id="6163" w:name="_Toc185517194"/>
      <w:bookmarkStart w:id="6164" w:name="_Toc191576245"/>
      <w:bookmarkStart w:id="6165" w:name="_Toc191576985"/>
      <w:bookmarkStart w:id="6166" w:name="_Toc192880055"/>
      <w:bookmarkStart w:id="6167" w:name="_Toc195814938"/>
      <w:bookmarkStart w:id="6168" w:name="_Toc199452905"/>
      <w:r>
        <w:t>5.1.6.2.16</w:t>
      </w:r>
      <w:r>
        <w:tab/>
        <w:t>Type Exception</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71EA6C6" w14:textId="77777777" w:rsidR="00A10B25" w:rsidRDefault="00A10B25">
      <w:pPr>
        <w:pStyle w:val="TH"/>
      </w:pPr>
      <w:r>
        <w:t>Table 5.1.6.2.16-1: Definition of type Exception</w:t>
      </w:r>
    </w:p>
    <w:tbl>
      <w:tblPr>
        <w:tblW w:w="960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375192FF" w14:textId="77777777">
        <w:trPr>
          <w:jc w:val="center"/>
        </w:trPr>
        <w:tc>
          <w:tcPr>
            <w:tcW w:w="1825" w:type="dxa"/>
            <w:shd w:val="clear" w:color="auto" w:fill="C0C0C0"/>
          </w:tcPr>
          <w:p w14:paraId="1DF0D9D7" w14:textId="77777777" w:rsidR="00A10B25" w:rsidRDefault="00A10B25">
            <w:pPr>
              <w:pStyle w:val="TAH"/>
            </w:pPr>
            <w:r>
              <w:t>Attribute name</w:t>
            </w:r>
          </w:p>
        </w:tc>
        <w:tc>
          <w:tcPr>
            <w:tcW w:w="1559" w:type="dxa"/>
            <w:shd w:val="clear" w:color="auto" w:fill="C0C0C0"/>
          </w:tcPr>
          <w:p w14:paraId="3BE1D3C3" w14:textId="77777777" w:rsidR="00A10B25" w:rsidRDefault="00A10B25">
            <w:pPr>
              <w:pStyle w:val="TAH"/>
            </w:pPr>
            <w:r>
              <w:t>Data type</w:t>
            </w:r>
          </w:p>
        </w:tc>
        <w:tc>
          <w:tcPr>
            <w:tcW w:w="426" w:type="dxa"/>
            <w:shd w:val="clear" w:color="auto" w:fill="C0C0C0"/>
          </w:tcPr>
          <w:p w14:paraId="6185C4B1" w14:textId="77777777" w:rsidR="00A10B25" w:rsidRDefault="00A10B25">
            <w:pPr>
              <w:pStyle w:val="TAH"/>
            </w:pPr>
            <w:r>
              <w:t>P</w:t>
            </w:r>
          </w:p>
        </w:tc>
        <w:tc>
          <w:tcPr>
            <w:tcW w:w="1134" w:type="dxa"/>
            <w:shd w:val="clear" w:color="auto" w:fill="C0C0C0"/>
          </w:tcPr>
          <w:p w14:paraId="63D7A6DF" w14:textId="77777777" w:rsidR="00A10B25" w:rsidRDefault="00A10B25">
            <w:pPr>
              <w:pStyle w:val="TAH"/>
            </w:pPr>
            <w:r>
              <w:t>Cardinality</w:t>
            </w:r>
          </w:p>
        </w:tc>
        <w:tc>
          <w:tcPr>
            <w:tcW w:w="2835" w:type="dxa"/>
            <w:shd w:val="clear" w:color="auto" w:fill="C0C0C0"/>
          </w:tcPr>
          <w:p w14:paraId="63299A6B" w14:textId="77777777" w:rsidR="00A10B25" w:rsidRDefault="00A10B25">
            <w:pPr>
              <w:pStyle w:val="TAH"/>
            </w:pPr>
            <w:r>
              <w:t>Description</w:t>
            </w:r>
          </w:p>
        </w:tc>
        <w:tc>
          <w:tcPr>
            <w:tcW w:w="1824" w:type="dxa"/>
            <w:shd w:val="clear" w:color="auto" w:fill="C0C0C0"/>
          </w:tcPr>
          <w:p w14:paraId="4E15D9CE" w14:textId="77777777" w:rsidR="00A10B25" w:rsidRDefault="00A10B25">
            <w:pPr>
              <w:pStyle w:val="TAH"/>
            </w:pPr>
            <w:r>
              <w:t>Applicability</w:t>
            </w:r>
          </w:p>
        </w:tc>
      </w:tr>
      <w:tr w:rsidR="00A10B25" w14:paraId="47BEF8EB" w14:textId="77777777">
        <w:trPr>
          <w:jc w:val="center"/>
        </w:trPr>
        <w:tc>
          <w:tcPr>
            <w:tcW w:w="1825" w:type="dxa"/>
            <w:vAlign w:val="center"/>
          </w:tcPr>
          <w:p w14:paraId="4F810E56" w14:textId="77777777" w:rsidR="00A10B25" w:rsidRDefault="00A10B25">
            <w:pPr>
              <w:pStyle w:val="TAL"/>
            </w:pPr>
            <w:r>
              <w:t>excepId</w:t>
            </w:r>
          </w:p>
        </w:tc>
        <w:tc>
          <w:tcPr>
            <w:tcW w:w="1559" w:type="dxa"/>
          </w:tcPr>
          <w:p w14:paraId="250FE0F2" w14:textId="77777777" w:rsidR="00A10B25" w:rsidRDefault="00A10B25">
            <w:pPr>
              <w:pStyle w:val="TAL"/>
            </w:pPr>
            <w:r>
              <w:rPr>
                <w:lang w:eastAsia="zh-CN"/>
              </w:rPr>
              <w:t>ExceptionId</w:t>
            </w:r>
          </w:p>
        </w:tc>
        <w:tc>
          <w:tcPr>
            <w:tcW w:w="426" w:type="dxa"/>
          </w:tcPr>
          <w:p w14:paraId="6D35665F" w14:textId="77777777" w:rsidR="00A10B25" w:rsidRDefault="00A10B25">
            <w:pPr>
              <w:pStyle w:val="TAC"/>
            </w:pPr>
            <w:r>
              <w:t>M</w:t>
            </w:r>
          </w:p>
        </w:tc>
        <w:tc>
          <w:tcPr>
            <w:tcW w:w="1134" w:type="dxa"/>
          </w:tcPr>
          <w:p w14:paraId="34A54F23" w14:textId="77777777" w:rsidR="00A10B25" w:rsidRDefault="00A10B25">
            <w:pPr>
              <w:pStyle w:val="TAL"/>
              <w:rPr>
                <w:lang w:eastAsia="zh-CN"/>
              </w:rPr>
            </w:pPr>
            <w:r>
              <w:rPr>
                <w:lang w:eastAsia="zh-CN"/>
              </w:rPr>
              <w:t>1</w:t>
            </w:r>
          </w:p>
        </w:tc>
        <w:tc>
          <w:tcPr>
            <w:tcW w:w="2835" w:type="dxa"/>
          </w:tcPr>
          <w:p w14:paraId="44D9B8AC" w14:textId="77777777" w:rsidR="00A10B25" w:rsidRDefault="00A10B25">
            <w:pPr>
              <w:pStyle w:val="TAL"/>
            </w:pPr>
            <w:r>
              <w:t>Indicating the Exception ID.</w:t>
            </w:r>
          </w:p>
        </w:tc>
        <w:tc>
          <w:tcPr>
            <w:tcW w:w="1824" w:type="dxa"/>
          </w:tcPr>
          <w:p w14:paraId="6F8E78D8" w14:textId="77777777" w:rsidR="00A10B25" w:rsidRDefault="00A10B25">
            <w:pPr>
              <w:keepNext/>
              <w:keepLines/>
              <w:spacing w:after="0"/>
              <w:rPr>
                <w:rFonts w:ascii="Arial" w:hAnsi="Arial" w:cs="Arial"/>
                <w:sz w:val="18"/>
                <w:szCs w:val="18"/>
              </w:rPr>
            </w:pPr>
          </w:p>
        </w:tc>
      </w:tr>
      <w:tr w:rsidR="00A10B25" w14:paraId="56F0D191" w14:textId="77777777">
        <w:trPr>
          <w:jc w:val="center"/>
        </w:trPr>
        <w:tc>
          <w:tcPr>
            <w:tcW w:w="1825" w:type="dxa"/>
          </w:tcPr>
          <w:p w14:paraId="0460325B" w14:textId="77777777" w:rsidR="00A10B25" w:rsidRDefault="00A10B25">
            <w:pPr>
              <w:pStyle w:val="TAL"/>
            </w:pPr>
            <w:r>
              <w:t>excepLevel</w:t>
            </w:r>
          </w:p>
        </w:tc>
        <w:tc>
          <w:tcPr>
            <w:tcW w:w="1559" w:type="dxa"/>
          </w:tcPr>
          <w:p w14:paraId="79787E82" w14:textId="77777777" w:rsidR="00A10B25" w:rsidRDefault="00A10B25">
            <w:pPr>
              <w:pStyle w:val="TAL"/>
              <w:rPr>
                <w:lang w:eastAsia="zh-CN"/>
              </w:rPr>
            </w:pPr>
            <w:r>
              <w:t>integer</w:t>
            </w:r>
          </w:p>
        </w:tc>
        <w:tc>
          <w:tcPr>
            <w:tcW w:w="426" w:type="dxa"/>
          </w:tcPr>
          <w:p w14:paraId="1E9A3CEF" w14:textId="77777777" w:rsidR="00A10B25" w:rsidRDefault="00A10B25">
            <w:pPr>
              <w:pStyle w:val="TAC"/>
            </w:pPr>
            <w:r>
              <w:t>O</w:t>
            </w:r>
          </w:p>
        </w:tc>
        <w:tc>
          <w:tcPr>
            <w:tcW w:w="1134" w:type="dxa"/>
          </w:tcPr>
          <w:p w14:paraId="1E207278" w14:textId="77777777" w:rsidR="00A10B25" w:rsidRDefault="00A10B25">
            <w:pPr>
              <w:pStyle w:val="TAL"/>
            </w:pPr>
            <w:r>
              <w:t>0..1</w:t>
            </w:r>
          </w:p>
        </w:tc>
        <w:tc>
          <w:tcPr>
            <w:tcW w:w="2835" w:type="dxa"/>
          </w:tcPr>
          <w:p w14:paraId="5DD430AC" w14:textId="77777777" w:rsidR="00A10B25" w:rsidRDefault="00A10B25">
            <w:pPr>
              <w:pStyle w:val="TAL"/>
            </w:pPr>
            <w:r>
              <w:t>Measured level, compared to the threshold</w:t>
            </w:r>
          </w:p>
        </w:tc>
        <w:tc>
          <w:tcPr>
            <w:tcW w:w="1824" w:type="dxa"/>
          </w:tcPr>
          <w:p w14:paraId="305C1079" w14:textId="77777777" w:rsidR="00A10B25" w:rsidRDefault="00A10B25">
            <w:pPr>
              <w:keepNext/>
              <w:keepLines/>
              <w:spacing w:after="0"/>
              <w:rPr>
                <w:rFonts w:ascii="Arial" w:hAnsi="Arial" w:cs="Arial"/>
                <w:sz w:val="18"/>
                <w:szCs w:val="18"/>
              </w:rPr>
            </w:pPr>
          </w:p>
        </w:tc>
      </w:tr>
      <w:tr w:rsidR="00A10B25" w14:paraId="7D906AD3" w14:textId="77777777">
        <w:trPr>
          <w:jc w:val="center"/>
        </w:trPr>
        <w:tc>
          <w:tcPr>
            <w:tcW w:w="1825" w:type="dxa"/>
          </w:tcPr>
          <w:p w14:paraId="6FA478D2" w14:textId="77777777" w:rsidR="00A10B25" w:rsidRDefault="00A10B25">
            <w:pPr>
              <w:pStyle w:val="TAL"/>
            </w:pPr>
            <w:r>
              <w:t>excepTrend</w:t>
            </w:r>
          </w:p>
        </w:tc>
        <w:tc>
          <w:tcPr>
            <w:tcW w:w="1559" w:type="dxa"/>
          </w:tcPr>
          <w:p w14:paraId="13BC05A1" w14:textId="77777777" w:rsidR="00A10B25" w:rsidRDefault="00A10B25">
            <w:pPr>
              <w:pStyle w:val="TAL"/>
              <w:rPr>
                <w:lang w:eastAsia="zh-CN"/>
              </w:rPr>
            </w:pPr>
            <w:r>
              <w:t>ExceptionTrend</w:t>
            </w:r>
          </w:p>
        </w:tc>
        <w:tc>
          <w:tcPr>
            <w:tcW w:w="426" w:type="dxa"/>
          </w:tcPr>
          <w:p w14:paraId="2F30B659" w14:textId="77777777" w:rsidR="00A10B25" w:rsidRDefault="00A10B25">
            <w:pPr>
              <w:pStyle w:val="TAC"/>
            </w:pPr>
            <w:r>
              <w:t>O</w:t>
            </w:r>
          </w:p>
        </w:tc>
        <w:tc>
          <w:tcPr>
            <w:tcW w:w="1134" w:type="dxa"/>
          </w:tcPr>
          <w:p w14:paraId="7AD04B65" w14:textId="77777777" w:rsidR="00A10B25" w:rsidRDefault="00A10B25">
            <w:pPr>
              <w:pStyle w:val="TAL"/>
            </w:pPr>
            <w:r>
              <w:t>0..1</w:t>
            </w:r>
          </w:p>
        </w:tc>
        <w:tc>
          <w:tcPr>
            <w:tcW w:w="2835" w:type="dxa"/>
          </w:tcPr>
          <w:p w14:paraId="23E96471" w14:textId="77777777" w:rsidR="00A10B25" w:rsidRDefault="00A10B25">
            <w:pPr>
              <w:pStyle w:val="TAL"/>
            </w:pPr>
            <w:r>
              <w:t xml:space="preserve">Measured trend </w:t>
            </w:r>
          </w:p>
        </w:tc>
        <w:tc>
          <w:tcPr>
            <w:tcW w:w="1824" w:type="dxa"/>
          </w:tcPr>
          <w:p w14:paraId="4BBF1B8A" w14:textId="77777777" w:rsidR="00A10B25" w:rsidRDefault="00A10B25">
            <w:pPr>
              <w:keepNext/>
              <w:keepLines/>
              <w:spacing w:after="0"/>
              <w:rPr>
                <w:rFonts w:ascii="Arial" w:hAnsi="Arial" w:cs="Arial"/>
                <w:sz w:val="18"/>
                <w:szCs w:val="18"/>
              </w:rPr>
            </w:pPr>
          </w:p>
        </w:tc>
      </w:tr>
    </w:tbl>
    <w:p w14:paraId="285F1DDC" w14:textId="77777777" w:rsidR="00A10B25" w:rsidRDefault="00A10B25">
      <w:pPr>
        <w:rPr>
          <w:lang w:val="en-US" w:eastAsia="zh-CN"/>
        </w:rPr>
      </w:pPr>
    </w:p>
    <w:p w14:paraId="6409487A" w14:textId="77777777" w:rsidR="00A10B25" w:rsidRDefault="00A10B25">
      <w:pPr>
        <w:pStyle w:val="5"/>
      </w:pPr>
      <w:bookmarkStart w:id="6169" w:name="_Toc120702319"/>
      <w:bookmarkStart w:id="6170" w:name="_Toc70550639"/>
      <w:bookmarkStart w:id="6171" w:name="_Toc88667596"/>
      <w:bookmarkStart w:id="6172" w:name="_Toc98233649"/>
      <w:bookmarkStart w:id="6173" w:name="_Toc113031680"/>
      <w:bookmarkStart w:id="6174" w:name="_Toc90655881"/>
      <w:bookmarkStart w:id="6175" w:name="_Toc28012830"/>
      <w:bookmarkStart w:id="6176" w:name="_Toc43563513"/>
      <w:bookmarkStart w:id="6177" w:name="_Toc138754220"/>
      <w:bookmarkStart w:id="6178" w:name="_Toc85557094"/>
      <w:bookmarkStart w:id="6179" w:name="_Toc68168972"/>
      <w:bookmarkStart w:id="6180" w:name="_Toc94064264"/>
      <w:bookmarkStart w:id="6181" w:name="_Toc85552995"/>
      <w:bookmarkStart w:id="6182" w:name="_Toc36102471"/>
      <w:bookmarkStart w:id="6183" w:name="_Toc59017943"/>
      <w:bookmarkStart w:id="6184" w:name="_Toc114133819"/>
      <w:bookmarkStart w:id="6185" w:name="_Toc66231811"/>
      <w:bookmarkStart w:id="6186" w:name="_Toc136562386"/>
      <w:bookmarkStart w:id="6187" w:name="_Toc34266300"/>
      <w:bookmarkStart w:id="6188" w:name="_Toc145705707"/>
      <w:bookmarkStart w:id="6189" w:name="_Toc51762908"/>
      <w:bookmarkStart w:id="6190" w:name="_Toc83233085"/>
      <w:bookmarkStart w:id="6191" w:name="_Toc148522611"/>
      <w:bookmarkStart w:id="6192" w:name="_Toc101244425"/>
      <w:bookmarkStart w:id="6193" w:name="_Toc45134056"/>
      <w:bookmarkStart w:id="6194" w:name="_Toc50031988"/>
      <w:bookmarkStart w:id="6195" w:name="_Toc56640975"/>
      <w:bookmarkStart w:id="6196" w:name="_Toc104539018"/>
      <w:bookmarkStart w:id="6197" w:name="_Toc112951140"/>
      <w:bookmarkStart w:id="6198" w:name="_Toc164920791"/>
      <w:bookmarkStart w:id="6199" w:name="_Toc170120333"/>
      <w:bookmarkStart w:id="6200" w:name="_Toc175858578"/>
      <w:bookmarkStart w:id="6201" w:name="_Toc175859651"/>
      <w:bookmarkStart w:id="6202" w:name="_Toc180605941"/>
      <w:bookmarkStart w:id="6203" w:name="_Toc185517195"/>
      <w:bookmarkStart w:id="6204" w:name="_Toc191576246"/>
      <w:bookmarkStart w:id="6205" w:name="_Toc191576986"/>
      <w:bookmarkStart w:id="6206" w:name="_Toc192880056"/>
      <w:bookmarkStart w:id="6207" w:name="_Toc195814939"/>
      <w:bookmarkStart w:id="6208" w:name="_Toc199452906"/>
      <w:r>
        <w:lastRenderedPageBreak/>
        <w:t>5.1.6.2.17</w:t>
      </w:r>
      <w:r>
        <w:tab/>
        <w:t>Type UserDataCongestionInfo</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532E5C11" w14:textId="77777777" w:rsidR="00A10B25" w:rsidRDefault="00A10B25">
      <w:pPr>
        <w:pStyle w:val="TH"/>
      </w:pPr>
      <w:r>
        <w:t>Table 5.1.6.2.17-1: Definition of type UserDataCongestionInfo</w:t>
      </w:r>
    </w:p>
    <w:tbl>
      <w:tblPr>
        <w:tblW w:w="9566"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49"/>
        <w:gridCol w:w="1559"/>
        <w:gridCol w:w="425"/>
        <w:gridCol w:w="1134"/>
        <w:gridCol w:w="2856"/>
        <w:gridCol w:w="1843"/>
      </w:tblGrid>
      <w:tr w:rsidR="00A10B25" w14:paraId="2EC15A64" w14:textId="77777777">
        <w:trPr>
          <w:jc w:val="center"/>
        </w:trPr>
        <w:tc>
          <w:tcPr>
            <w:tcW w:w="1749" w:type="dxa"/>
            <w:shd w:val="clear" w:color="auto" w:fill="C0C0C0"/>
          </w:tcPr>
          <w:p w14:paraId="348ED9A9" w14:textId="77777777" w:rsidR="00A10B25" w:rsidRDefault="00A10B25">
            <w:pPr>
              <w:pStyle w:val="TAH"/>
            </w:pPr>
            <w:r>
              <w:t>Attribute name</w:t>
            </w:r>
          </w:p>
        </w:tc>
        <w:tc>
          <w:tcPr>
            <w:tcW w:w="1559" w:type="dxa"/>
            <w:shd w:val="clear" w:color="auto" w:fill="C0C0C0"/>
          </w:tcPr>
          <w:p w14:paraId="6740E7EF" w14:textId="77777777" w:rsidR="00A10B25" w:rsidRDefault="00A10B25">
            <w:pPr>
              <w:pStyle w:val="TAH"/>
            </w:pPr>
            <w:r>
              <w:t>Data type</w:t>
            </w:r>
          </w:p>
        </w:tc>
        <w:tc>
          <w:tcPr>
            <w:tcW w:w="425" w:type="dxa"/>
            <w:shd w:val="clear" w:color="auto" w:fill="C0C0C0"/>
          </w:tcPr>
          <w:p w14:paraId="400E96DD" w14:textId="77777777" w:rsidR="00A10B25" w:rsidRDefault="00A10B25">
            <w:pPr>
              <w:pStyle w:val="TAH"/>
            </w:pPr>
            <w:r>
              <w:t>P</w:t>
            </w:r>
          </w:p>
        </w:tc>
        <w:tc>
          <w:tcPr>
            <w:tcW w:w="1134" w:type="dxa"/>
            <w:shd w:val="clear" w:color="auto" w:fill="C0C0C0"/>
          </w:tcPr>
          <w:p w14:paraId="0ABE6A5D" w14:textId="77777777" w:rsidR="00A10B25" w:rsidRDefault="00A10B25">
            <w:pPr>
              <w:pStyle w:val="TAH"/>
            </w:pPr>
            <w:r>
              <w:t>Cardinality</w:t>
            </w:r>
          </w:p>
        </w:tc>
        <w:tc>
          <w:tcPr>
            <w:tcW w:w="2856" w:type="dxa"/>
            <w:shd w:val="clear" w:color="auto" w:fill="C0C0C0"/>
          </w:tcPr>
          <w:p w14:paraId="46032F9A" w14:textId="77777777" w:rsidR="00A10B25" w:rsidRDefault="00A10B25">
            <w:pPr>
              <w:pStyle w:val="TAH"/>
            </w:pPr>
            <w:r>
              <w:t>Description</w:t>
            </w:r>
          </w:p>
        </w:tc>
        <w:tc>
          <w:tcPr>
            <w:tcW w:w="1843" w:type="dxa"/>
            <w:shd w:val="clear" w:color="auto" w:fill="C0C0C0"/>
          </w:tcPr>
          <w:p w14:paraId="0345FB2B" w14:textId="77777777" w:rsidR="00A10B25" w:rsidRDefault="00A10B25">
            <w:pPr>
              <w:pStyle w:val="TAH"/>
            </w:pPr>
            <w:r>
              <w:t>Applicability</w:t>
            </w:r>
          </w:p>
        </w:tc>
      </w:tr>
      <w:tr w:rsidR="00C869EF" w14:paraId="5A06C446" w14:textId="77777777">
        <w:trPr>
          <w:jc w:val="center"/>
        </w:trPr>
        <w:tc>
          <w:tcPr>
            <w:tcW w:w="1749" w:type="dxa"/>
          </w:tcPr>
          <w:p w14:paraId="4AB589E4" w14:textId="77777777" w:rsidR="00C869EF" w:rsidRDefault="00C869EF" w:rsidP="00C869EF">
            <w:pPr>
              <w:pStyle w:val="TAL"/>
              <w:rPr>
                <w:lang w:eastAsia="zh-CN"/>
              </w:rPr>
            </w:pPr>
            <w:r>
              <w:rPr>
                <w:lang w:eastAsia="zh-CN"/>
              </w:rPr>
              <w:t>networkArea</w:t>
            </w:r>
          </w:p>
        </w:tc>
        <w:tc>
          <w:tcPr>
            <w:tcW w:w="1559" w:type="dxa"/>
          </w:tcPr>
          <w:p w14:paraId="3177DF53" w14:textId="77777777" w:rsidR="00C869EF" w:rsidRDefault="00C869EF" w:rsidP="00C869EF">
            <w:pPr>
              <w:pStyle w:val="TAL"/>
              <w:rPr>
                <w:lang w:eastAsia="zh-CN"/>
              </w:rPr>
            </w:pPr>
            <w:r>
              <w:rPr>
                <w:lang w:eastAsia="zh-CN"/>
              </w:rPr>
              <w:t>NetworkAreaInfo</w:t>
            </w:r>
          </w:p>
        </w:tc>
        <w:tc>
          <w:tcPr>
            <w:tcW w:w="425" w:type="dxa"/>
          </w:tcPr>
          <w:p w14:paraId="5EBF316B" w14:textId="77777777" w:rsidR="00C869EF" w:rsidRDefault="00C869EF" w:rsidP="00C869EF">
            <w:pPr>
              <w:pStyle w:val="TAC"/>
            </w:pPr>
            <w:r>
              <w:t>M</w:t>
            </w:r>
          </w:p>
        </w:tc>
        <w:tc>
          <w:tcPr>
            <w:tcW w:w="1134" w:type="dxa"/>
          </w:tcPr>
          <w:p w14:paraId="67D7AD89" w14:textId="77777777" w:rsidR="00C869EF" w:rsidRDefault="00C869EF" w:rsidP="00C869EF">
            <w:pPr>
              <w:pStyle w:val="TAL"/>
            </w:pPr>
            <w:r>
              <w:t>1</w:t>
            </w:r>
          </w:p>
        </w:tc>
        <w:tc>
          <w:tcPr>
            <w:tcW w:w="2856" w:type="dxa"/>
          </w:tcPr>
          <w:p w14:paraId="58294E8A" w14:textId="4AF2E895" w:rsidR="00C869EF" w:rsidRDefault="00C869EF" w:rsidP="00C869EF">
            <w:pPr>
              <w:pStyle w:val="TAL"/>
              <w:rPr>
                <w:rFonts w:cs="Arial"/>
                <w:szCs w:val="18"/>
              </w:rPr>
            </w:pPr>
            <w:r w:rsidRPr="00D21089">
              <w:rPr>
                <w:rFonts w:cs="Arial"/>
                <w:szCs w:val="18"/>
              </w:rPr>
              <w:t xml:space="preserve">Identification of network area to which the </w:t>
            </w:r>
            <w:r>
              <w:rPr>
                <w:rFonts w:cs="Arial"/>
                <w:szCs w:val="18"/>
              </w:rPr>
              <w:t>provided analytics apply</w:t>
            </w:r>
            <w:r w:rsidRPr="00D21089">
              <w:rPr>
                <w:rFonts w:cs="Arial"/>
                <w:szCs w:val="18"/>
              </w:rPr>
              <w:t>.</w:t>
            </w:r>
          </w:p>
        </w:tc>
        <w:tc>
          <w:tcPr>
            <w:tcW w:w="1843" w:type="dxa"/>
          </w:tcPr>
          <w:p w14:paraId="43B6E1F1" w14:textId="77777777" w:rsidR="00C869EF" w:rsidRDefault="00C869EF" w:rsidP="00C869EF">
            <w:pPr>
              <w:pStyle w:val="TAL"/>
              <w:rPr>
                <w:rFonts w:cs="Arial"/>
                <w:szCs w:val="18"/>
              </w:rPr>
            </w:pPr>
          </w:p>
        </w:tc>
      </w:tr>
      <w:tr w:rsidR="00A10B25" w14:paraId="1B6C5312" w14:textId="77777777">
        <w:trPr>
          <w:jc w:val="center"/>
        </w:trPr>
        <w:tc>
          <w:tcPr>
            <w:tcW w:w="1749" w:type="dxa"/>
          </w:tcPr>
          <w:p w14:paraId="50A49695" w14:textId="77777777" w:rsidR="00A10B25" w:rsidRDefault="00A10B25">
            <w:pPr>
              <w:pStyle w:val="TAL"/>
              <w:rPr>
                <w:lang w:eastAsia="zh-CN"/>
              </w:rPr>
            </w:pPr>
            <w:r>
              <w:rPr>
                <w:lang w:eastAsia="zh-CN"/>
              </w:rPr>
              <w:t>congestionInfo</w:t>
            </w:r>
          </w:p>
        </w:tc>
        <w:tc>
          <w:tcPr>
            <w:tcW w:w="1559" w:type="dxa"/>
          </w:tcPr>
          <w:p w14:paraId="5531B436" w14:textId="77777777" w:rsidR="00A10B25" w:rsidRDefault="00A10B25">
            <w:pPr>
              <w:pStyle w:val="TAL"/>
              <w:rPr>
                <w:lang w:eastAsia="zh-CN"/>
              </w:rPr>
            </w:pPr>
            <w:r>
              <w:rPr>
                <w:lang w:eastAsia="zh-CN"/>
              </w:rPr>
              <w:t>CongestionInfo</w:t>
            </w:r>
          </w:p>
        </w:tc>
        <w:tc>
          <w:tcPr>
            <w:tcW w:w="425" w:type="dxa"/>
          </w:tcPr>
          <w:p w14:paraId="6EDB4C8A" w14:textId="77777777" w:rsidR="00A10B25" w:rsidRDefault="00A10B25">
            <w:pPr>
              <w:pStyle w:val="TAC"/>
            </w:pPr>
            <w:r>
              <w:t>M</w:t>
            </w:r>
          </w:p>
        </w:tc>
        <w:tc>
          <w:tcPr>
            <w:tcW w:w="1134" w:type="dxa"/>
          </w:tcPr>
          <w:p w14:paraId="6E142A90" w14:textId="77777777" w:rsidR="00A10B25" w:rsidRDefault="00A10B25">
            <w:pPr>
              <w:pStyle w:val="TAL"/>
            </w:pPr>
            <w:r>
              <w:t>1</w:t>
            </w:r>
          </w:p>
        </w:tc>
        <w:tc>
          <w:tcPr>
            <w:tcW w:w="2856" w:type="dxa"/>
          </w:tcPr>
          <w:p w14:paraId="16B1CDD3" w14:textId="77777777" w:rsidR="00A10B25" w:rsidRDefault="00A10B25">
            <w:pPr>
              <w:pStyle w:val="TAL"/>
              <w:rPr>
                <w:rFonts w:cs="Arial"/>
                <w:szCs w:val="18"/>
              </w:rPr>
            </w:pPr>
            <w:r>
              <w:rPr>
                <w:rFonts w:cs="Arial"/>
                <w:szCs w:val="18"/>
              </w:rPr>
              <w:t>The congestion information of the specific location.</w:t>
            </w:r>
          </w:p>
        </w:tc>
        <w:tc>
          <w:tcPr>
            <w:tcW w:w="1843" w:type="dxa"/>
          </w:tcPr>
          <w:p w14:paraId="3E31E6B4" w14:textId="77777777" w:rsidR="00A10B25" w:rsidRDefault="00A10B25">
            <w:pPr>
              <w:pStyle w:val="TAL"/>
              <w:rPr>
                <w:rFonts w:cs="Arial"/>
                <w:szCs w:val="18"/>
              </w:rPr>
            </w:pPr>
          </w:p>
        </w:tc>
      </w:tr>
      <w:tr w:rsidR="00A10B25" w14:paraId="152B0ABE" w14:textId="77777777">
        <w:trPr>
          <w:jc w:val="center"/>
        </w:trPr>
        <w:tc>
          <w:tcPr>
            <w:tcW w:w="1749" w:type="dxa"/>
          </w:tcPr>
          <w:p w14:paraId="25BB9E8D" w14:textId="77777777" w:rsidR="00A10B25" w:rsidRDefault="00A10B25">
            <w:pPr>
              <w:pStyle w:val="TAL"/>
              <w:rPr>
                <w:lang w:eastAsia="zh-CN"/>
              </w:rPr>
            </w:pPr>
            <w:r>
              <w:t>snssai</w:t>
            </w:r>
          </w:p>
        </w:tc>
        <w:tc>
          <w:tcPr>
            <w:tcW w:w="1559" w:type="dxa"/>
          </w:tcPr>
          <w:p w14:paraId="29BE45DD" w14:textId="77777777" w:rsidR="00A10B25" w:rsidRDefault="00A10B25">
            <w:pPr>
              <w:pStyle w:val="TAL"/>
              <w:rPr>
                <w:lang w:eastAsia="zh-CN"/>
              </w:rPr>
            </w:pPr>
            <w:r>
              <w:t>Snssai</w:t>
            </w:r>
          </w:p>
        </w:tc>
        <w:tc>
          <w:tcPr>
            <w:tcW w:w="425" w:type="dxa"/>
          </w:tcPr>
          <w:p w14:paraId="038B036F" w14:textId="77777777" w:rsidR="00A10B25" w:rsidRDefault="00A10B25">
            <w:pPr>
              <w:pStyle w:val="TAC"/>
            </w:pPr>
            <w:r>
              <w:t>C</w:t>
            </w:r>
          </w:p>
        </w:tc>
        <w:tc>
          <w:tcPr>
            <w:tcW w:w="1134" w:type="dxa"/>
          </w:tcPr>
          <w:p w14:paraId="070F6C21" w14:textId="77777777" w:rsidR="00A10B25" w:rsidRDefault="00A10B25">
            <w:pPr>
              <w:pStyle w:val="TAL"/>
            </w:pPr>
            <w:r>
              <w:t>0..1</w:t>
            </w:r>
          </w:p>
        </w:tc>
        <w:tc>
          <w:tcPr>
            <w:tcW w:w="2856" w:type="dxa"/>
          </w:tcPr>
          <w:p w14:paraId="75B3E74E" w14:textId="77777777" w:rsidR="00A10B25" w:rsidRDefault="00A10B25">
            <w:pPr>
              <w:pStyle w:val="TAL"/>
              <w:rPr>
                <w:rFonts w:eastAsia="Batang"/>
              </w:rPr>
            </w:pPr>
            <w:r>
              <w:rPr>
                <w:rFonts w:eastAsia="Batang"/>
              </w:rPr>
              <w:t>Identifies an S-NSSAI.</w:t>
            </w:r>
          </w:p>
          <w:p w14:paraId="11BD99D1" w14:textId="77777777" w:rsidR="00A10B25" w:rsidRDefault="00A10B25">
            <w:pPr>
              <w:pStyle w:val="TAL"/>
              <w:rPr>
                <w:rFonts w:cs="Arial"/>
                <w:szCs w:val="18"/>
              </w:rPr>
            </w:pPr>
            <w:r>
              <w:rPr>
                <w:rFonts w:eastAsia="Batang"/>
              </w:rPr>
              <w:t xml:space="preserve">Shall be present if the </w:t>
            </w:r>
            <w:r>
              <w:t>"snssais" was provided within EventSubscription during the subscription for event notification procedure.</w:t>
            </w:r>
          </w:p>
        </w:tc>
        <w:tc>
          <w:tcPr>
            <w:tcW w:w="1843" w:type="dxa"/>
          </w:tcPr>
          <w:p w14:paraId="31C2B1C8" w14:textId="77777777" w:rsidR="00A10B25" w:rsidRDefault="00A10B25">
            <w:pPr>
              <w:pStyle w:val="TAL"/>
              <w:rPr>
                <w:rFonts w:cs="Arial"/>
                <w:szCs w:val="18"/>
              </w:rPr>
            </w:pPr>
          </w:p>
        </w:tc>
      </w:tr>
    </w:tbl>
    <w:p w14:paraId="2F47E0A2" w14:textId="77777777" w:rsidR="00A10B25" w:rsidRDefault="00A10B25"/>
    <w:p w14:paraId="738176DF" w14:textId="77777777" w:rsidR="00A10B25" w:rsidRDefault="00A10B25">
      <w:pPr>
        <w:pStyle w:val="5"/>
      </w:pPr>
      <w:bookmarkStart w:id="6209" w:name="_Toc136562387"/>
      <w:bookmarkStart w:id="6210" w:name="_Toc50031989"/>
      <w:bookmarkStart w:id="6211" w:name="_Toc59017944"/>
      <w:bookmarkStart w:id="6212" w:name="_Toc70550640"/>
      <w:bookmarkStart w:id="6213" w:name="_Toc56640976"/>
      <w:bookmarkStart w:id="6214" w:name="_Toc85557095"/>
      <w:bookmarkStart w:id="6215" w:name="_Toc66231812"/>
      <w:bookmarkStart w:id="6216" w:name="_Toc43563514"/>
      <w:bookmarkStart w:id="6217" w:name="_Toc88667597"/>
      <w:bookmarkStart w:id="6218" w:name="_Toc104539019"/>
      <w:bookmarkStart w:id="6219" w:name="_Toc113031681"/>
      <w:bookmarkStart w:id="6220" w:name="_Toc145705708"/>
      <w:bookmarkStart w:id="6221" w:name="_Toc148522612"/>
      <w:bookmarkStart w:id="6222" w:name="_Toc51762909"/>
      <w:bookmarkStart w:id="6223" w:name="_Toc36102472"/>
      <w:bookmarkStart w:id="6224" w:name="_Toc85552996"/>
      <w:bookmarkStart w:id="6225" w:name="_Toc45134057"/>
      <w:bookmarkStart w:id="6226" w:name="_Toc68168973"/>
      <w:bookmarkStart w:id="6227" w:name="_Toc101244426"/>
      <w:bookmarkStart w:id="6228" w:name="_Toc120702320"/>
      <w:bookmarkStart w:id="6229" w:name="_Toc112951141"/>
      <w:bookmarkStart w:id="6230" w:name="_Toc83233086"/>
      <w:bookmarkStart w:id="6231" w:name="_Toc28012831"/>
      <w:bookmarkStart w:id="6232" w:name="_Toc34266301"/>
      <w:bookmarkStart w:id="6233" w:name="_Toc114133820"/>
      <w:bookmarkStart w:id="6234" w:name="_Toc94064265"/>
      <w:bookmarkStart w:id="6235" w:name="_Toc90655882"/>
      <w:bookmarkStart w:id="6236" w:name="_Toc98233650"/>
      <w:bookmarkStart w:id="6237" w:name="_Toc138754221"/>
      <w:bookmarkStart w:id="6238" w:name="_Toc164920792"/>
      <w:bookmarkStart w:id="6239" w:name="_Toc170120334"/>
      <w:bookmarkStart w:id="6240" w:name="_Toc175858579"/>
      <w:bookmarkStart w:id="6241" w:name="_Toc175859652"/>
      <w:bookmarkStart w:id="6242" w:name="_Toc180605942"/>
      <w:bookmarkStart w:id="6243" w:name="_Toc185517196"/>
      <w:bookmarkStart w:id="6244" w:name="_Toc191576247"/>
      <w:bookmarkStart w:id="6245" w:name="_Toc191576987"/>
      <w:bookmarkStart w:id="6246" w:name="_Toc192880057"/>
      <w:bookmarkStart w:id="6247" w:name="_Toc195814940"/>
      <w:bookmarkStart w:id="6248" w:name="_Toc199452907"/>
      <w:r>
        <w:t>5.1.6.2.18</w:t>
      </w:r>
      <w:r>
        <w:tab/>
        <w:t>Type CongestionInfo</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48BA48EA" w14:textId="77777777" w:rsidR="00A10B25" w:rsidRDefault="00A10B25">
      <w:pPr>
        <w:pStyle w:val="TH"/>
      </w:pPr>
      <w:bookmarkStart w:id="6249" w:name="_Toc28012832"/>
      <w:bookmarkStart w:id="6250" w:name="_Toc83233087"/>
      <w:bookmarkStart w:id="6251" w:name="_Toc113031682"/>
      <w:bookmarkStart w:id="6252" w:name="_Toc98233651"/>
      <w:bookmarkStart w:id="6253" w:name="_Toc94064266"/>
      <w:bookmarkStart w:id="6254" w:name="_Toc104539020"/>
      <w:bookmarkStart w:id="6255" w:name="_Toc50031990"/>
      <w:bookmarkStart w:id="6256" w:name="_Toc68168974"/>
      <w:bookmarkStart w:id="6257" w:name="_Toc85552997"/>
      <w:bookmarkStart w:id="6258" w:name="_Toc34266302"/>
      <w:bookmarkStart w:id="6259" w:name="_Toc45134058"/>
      <w:bookmarkStart w:id="6260" w:name="_Toc43563515"/>
      <w:bookmarkStart w:id="6261" w:name="_Toc51762910"/>
      <w:bookmarkStart w:id="6262" w:name="_Toc138754222"/>
      <w:bookmarkStart w:id="6263" w:name="_Toc101244427"/>
      <w:bookmarkStart w:id="6264" w:name="_Toc88667598"/>
      <w:bookmarkStart w:id="6265" w:name="_Toc70550641"/>
      <w:bookmarkStart w:id="6266" w:name="_Toc85557096"/>
      <w:bookmarkStart w:id="6267" w:name="_Toc66231813"/>
      <w:bookmarkStart w:id="6268" w:name="_Toc120702321"/>
      <w:bookmarkStart w:id="6269" w:name="_Toc59017945"/>
      <w:bookmarkStart w:id="6270" w:name="_Toc136562388"/>
      <w:bookmarkStart w:id="6271" w:name="_Toc56640977"/>
      <w:bookmarkStart w:id="6272" w:name="_Toc90655883"/>
      <w:bookmarkStart w:id="6273" w:name="_Toc36102473"/>
      <w:bookmarkStart w:id="6274" w:name="_Toc112951142"/>
      <w:bookmarkStart w:id="6275" w:name="_Toc114133821"/>
      <w:r>
        <w:t>Table 5.1.6.2.18-1: Definition of type CongestionInfo</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0A728496" w14:textId="77777777">
        <w:trPr>
          <w:jc w:val="center"/>
        </w:trPr>
        <w:tc>
          <w:tcPr>
            <w:tcW w:w="1749" w:type="dxa"/>
            <w:tcBorders>
              <w:top w:val="single" w:sz="6" w:space="0" w:color="auto"/>
              <w:left w:val="single" w:sz="6" w:space="0" w:color="auto"/>
              <w:bottom w:val="single" w:sz="6" w:space="0" w:color="auto"/>
              <w:right w:val="single" w:sz="6" w:space="0" w:color="auto"/>
            </w:tcBorders>
            <w:shd w:val="clear" w:color="auto" w:fill="C0C0C0"/>
          </w:tcPr>
          <w:p w14:paraId="2D8C153F" w14:textId="77777777" w:rsidR="00A10B25" w:rsidRDefault="00A10B25">
            <w:pPr>
              <w:pStyle w:val="TAH"/>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7217DC5D"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186DCAC2"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47082867" w14:textId="77777777" w:rsidR="00A10B25" w:rsidRDefault="00A10B25">
            <w:pPr>
              <w:pStyle w:val="TAH"/>
            </w:pPr>
            <w:r>
              <w:t>Cardinality</w:t>
            </w:r>
          </w:p>
        </w:tc>
        <w:tc>
          <w:tcPr>
            <w:tcW w:w="2856" w:type="dxa"/>
            <w:tcBorders>
              <w:top w:val="single" w:sz="6" w:space="0" w:color="auto"/>
              <w:left w:val="single" w:sz="6" w:space="0" w:color="auto"/>
              <w:bottom w:val="single" w:sz="6" w:space="0" w:color="auto"/>
              <w:right w:val="single" w:sz="6" w:space="0" w:color="auto"/>
            </w:tcBorders>
            <w:shd w:val="clear" w:color="auto" w:fill="C0C0C0"/>
          </w:tcPr>
          <w:p w14:paraId="1F02CC8A" w14:textId="77777777" w:rsidR="00A10B25" w:rsidRDefault="00A10B25">
            <w:pPr>
              <w:pStyle w:val="TAH"/>
            </w:pPr>
            <w:r>
              <w:t>Description</w:t>
            </w:r>
          </w:p>
        </w:tc>
        <w:tc>
          <w:tcPr>
            <w:tcW w:w="1843" w:type="dxa"/>
            <w:tcBorders>
              <w:top w:val="single" w:sz="6" w:space="0" w:color="auto"/>
              <w:left w:val="single" w:sz="6" w:space="0" w:color="auto"/>
              <w:bottom w:val="single" w:sz="6" w:space="0" w:color="auto"/>
              <w:right w:val="single" w:sz="6" w:space="0" w:color="auto"/>
            </w:tcBorders>
            <w:shd w:val="clear" w:color="auto" w:fill="C0C0C0"/>
          </w:tcPr>
          <w:p w14:paraId="496D8ACC" w14:textId="77777777" w:rsidR="00A10B25" w:rsidRDefault="00A10B25">
            <w:pPr>
              <w:pStyle w:val="TAH"/>
            </w:pPr>
            <w:r>
              <w:t>Applicability</w:t>
            </w:r>
          </w:p>
        </w:tc>
      </w:tr>
      <w:tr w:rsidR="00A10B25" w14:paraId="5048C728"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6655251D" w14:textId="77777777" w:rsidR="00A10B25" w:rsidRDefault="00A10B25">
            <w:pPr>
              <w:pStyle w:val="TAL"/>
              <w:rPr>
                <w:lang w:eastAsia="zh-CN"/>
              </w:rPr>
            </w:pPr>
            <w:r>
              <w:rPr>
                <w:lang w:eastAsia="zh-CN"/>
              </w:rPr>
              <w:t>congType</w:t>
            </w:r>
          </w:p>
        </w:tc>
        <w:tc>
          <w:tcPr>
            <w:tcW w:w="1559" w:type="dxa"/>
            <w:tcBorders>
              <w:top w:val="single" w:sz="6" w:space="0" w:color="auto"/>
              <w:left w:val="single" w:sz="6" w:space="0" w:color="auto"/>
              <w:bottom w:val="single" w:sz="6" w:space="0" w:color="auto"/>
              <w:right w:val="single" w:sz="6" w:space="0" w:color="auto"/>
            </w:tcBorders>
          </w:tcPr>
          <w:p w14:paraId="6B7DB355" w14:textId="77777777" w:rsidR="00A10B25" w:rsidRDefault="00A10B25">
            <w:pPr>
              <w:pStyle w:val="TAL"/>
              <w:rPr>
                <w:lang w:eastAsia="zh-CN"/>
              </w:rPr>
            </w:pPr>
            <w:r>
              <w:rPr>
                <w:lang w:eastAsia="zh-CN"/>
              </w:rPr>
              <w:t>CongestionType</w:t>
            </w:r>
          </w:p>
        </w:tc>
        <w:tc>
          <w:tcPr>
            <w:tcW w:w="425" w:type="dxa"/>
            <w:tcBorders>
              <w:top w:val="single" w:sz="6" w:space="0" w:color="auto"/>
              <w:left w:val="single" w:sz="6" w:space="0" w:color="auto"/>
              <w:bottom w:val="single" w:sz="6" w:space="0" w:color="auto"/>
              <w:right w:val="single" w:sz="6" w:space="0" w:color="auto"/>
            </w:tcBorders>
          </w:tcPr>
          <w:p w14:paraId="5055B000"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024DCE0A" w14:textId="77777777" w:rsidR="00A10B25" w:rsidRDefault="00A10B25">
            <w:pPr>
              <w:pStyle w:val="TAL"/>
            </w:pPr>
            <w:r>
              <w:t>1</w:t>
            </w:r>
          </w:p>
        </w:tc>
        <w:tc>
          <w:tcPr>
            <w:tcW w:w="2856" w:type="dxa"/>
            <w:tcBorders>
              <w:top w:val="single" w:sz="6" w:space="0" w:color="auto"/>
              <w:left w:val="single" w:sz="6" w:space="0" w:color="auto"/>
              <w:bottom w:val="single" w:sz="6" w:space="0" w:color="auto"/>
              <w:right w:val="single" w:sz="6" w:space="0" w:color="auto"/>
            </w:tcBorders>
          </w:tcPr>
          <w:p w14:paraId="7DE60788" w14:textId="77777777" w:rsidR="00A10B25" w:rsidRDefault="00A10B25">
            <w:pPr>
              <w:pStyle w:val="TAL"/>
              <w:rPr>
                <w:rFonts w:cs="Arial"/>
                <w:szCs w:val="18"/>
              </w:rPr>
            </w:pPr>
            <w:r>
              <w:rPr>
                <w:rFonts w:cs="Arial"/>
                <w:szCs w:val="18"/>
              </w:rPr>
              <w:t>Identification congestion analytics type.</w:t>
            </w:r>
          </w:p>
        </w:tc>
        <w:tc>
          <w:tcPr>
            <w:tcW w:w="1843" w:type="dxa"/>
            <w:tcBorders>
              <w:top w:val="single" w:sz="6" w:space="0" w:color="auto"/>
              <w:left w:val="single" w:sz="6" w:space="0" w:color="auto"/>
              <w:bottom w:val="single" w:sz="6" w:space="0" w:color="auto"/>
              <w:right w:val="single" w:sz="6" w:space="0" w:color="auto"/>
            </w:tcBorders>
          </w:tcPr>
          <w:p w14:paraId="7CBBEB8F" w14:textId="77777777" w:rsidR="00A10B25" w:rsidRDefault="00A10B25">
            <w:pPr>
              <w:pStyle w:val="TAL"/>
              <w:rPr>
                <w:rFonts w:cs="Arial"/>
                <w:szCs w:val="18"/>
              </w:rPr>
            </w:pPr>
          </w:p>
        </w:tc>
      </w:tr>
      <w:tr w:rsidR="00A10B25" w14:paraId="1924666C"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130D2D44" w14:textId="77777777" w:rsidR="00A10B25" w:rsidRDefault="00A10B25">
            <w:pPr>
              <w:pStyle w:val="TAL"/>
              <w:rPr>
                <w:lang w:eastAsia="zh-CN"/>
              </w:rPr>
            </w:pPr>
            <w:r>
              <w:rPr>
                <w:lang w:eastAsia="zh-CN"/>
              </w:rPr>
              <w:t>timeIntev</w:t>
            </w:r>
          </w:p>
        </w:tc>
        <w:tc>
          <w:tcPr>
            <w:tcW w:w="1559" w:type="dxa"/>
            <w:tcBorders>
              <w:top w:val="single" w:sz="6" w:space="0" w:color="auto"/>
              <w:left w:val="single" w:sz="6" w:space="0" w:color="auto"/>
              <w:bottom w:val="single" w:sz="6" w:space="0" w:color="auto"/>
              <w:right w:val="single" w:sz="6" w:space="0" w:color="auto"/>
            </w:tcBorders>
          </w:tcPr>
          <w:p w14:paraId="7B8E341C" w14:textId="77777777" w:rsidR="00A10B25" w:rsidRDefault="00A10B25">
            <w:pPr>
              <w:pStyle w:val="TAL"/>
              <w:rPr>
                <w:lang w:eastAsia="zh-CN"/>
              </w:rPr>
            </w:pPr>
            <w:r>
              <w:rPr>
                <w:rFonts w:eastAsia="等线"/>
                <w:lang w:eastAsia="zh-CN"/>
              </w:rPr>
              <w:t>TimeWindow</w:t>
            </w:r>
          </w:p>
        </w:tc>
        <w:tc>
          <w:tcPr>
            <w:tcW w:w="425" w:type="dxa"/>
            <w:tcBorders>
              <w:top w:val="single" w:sz="6" w:space="0" w:color="auto"/>
              <w:left w:val="single" w:sz="6" w:space="0" w:color="auto"/>
              <w:bottom w:val="single" w:sz="6" w:space="0" w:color="auto"/>
              <w:right w:val="single" w:sz="6" w:space="0" w:color="auto"/>
            </w:tcBorders>
          </w:tcPr>
          <w:p w14:paraId="19720F09" w14:textId="77777777" w:rsidR="00A10B25" w:rsidRDefault="00A10B25">
            <w:pPr>
              <w:pStyle w:val="TAC"/>
              <w:rPr>
                <w:rFonts w:eastAsia="等线"/>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47B77F4C" w14:textId="77777777" w:rsidR="00A10B25" w:rsidRDefault="00A10B25">
            <w:pPr>
              <w:pStyle w:val="TAL"/>
              <w:rPr>
                <w:rFonts w:eastAsia="等线"/>
                <w:lang w:eastAsia="zh-CN"/>
              </w:rPr>
            </w:pPr>
            <w:r>
              <w:rPr>
                <w:lang w:eastAsia="zh-CN"/>
              </w:rPr>
              <w:t>1</w:t>
            </w:r>
          </w:p>
        </w:tc>
        <w:tc>
          <w:tcPr>
            <w:tcW w:w="2856" w:type="dxa"/>
            <w:tcBorders>
              <w:top w:val="single" w:sz="6" w:space="0" w:color="auto"/>
              <w:left w:val="single" w:sz="6" w:space="0" w:color="auto"/>
              <w:bottom w:val="single" w:sz="6" w:space="0" w:color="auto"/>
              <w:right w:val="single" w:sz="6" w:space="0" w:color="auto"/>
            </w:tcBorders>
          </w:tcPr>
          <w:p w14:paraId="659B54D5" w14:textId="77777777" w:rsidR="00A10B25" w:rsidRDefault="00A10B25">
            <w:pPr>
              <w:pStyle w:val="TAL"/>
              <w:rPr>
                <w:lang w:eastAsia="zh-CN"/>
              </w:rPr>
            </w:pPr>
            <w:r>
              <w:rPr>
                <w:lang w:eastAsia="zh-CN"/>
              </w:rPr>
              <w:t>Represents the start time and the stop time to which requested for the congestion information applies.</w:t>
            </w:r>
          </w:p>
          <w:p w14:paraId="1312617F" w14:textId="77777777" w:rsidR="00A10B25" w:rsidRDefault="00A10B25">
            <w:pPr>
              <w:pStyle w:val="TAL"/>
              <w:rPr>
                <w:rFonts w:eastAsia="等线"/>
                <w:lang w:eastAsia="zh-CN"/>
              </w:rPr>
            </w:pPr>
            <w:r>
              <w:t>(NOTE 2)</w:t>
            </w:r>
          </w:p>
        </w:tc>
        <w:tc>
          <w:tcPr>
            <w:tcW w:w="1843" w:type="dxa"/>
            <w:tcBorders>
              <w:top w:val="single" w:sz="6" w:space="0" w:color="auto"/>
              <w:left w:val="single" w:sz="6" w:space="0" w:color="auto"/>
              <w:bottom w:val="single" w:sz="6" w:space="0" w:color="auto"/>
              <w:right w:val="single" w:sz="6" w:space="0" w:color="auto"/>
            </w:tcBorders>
          </w:tcPr>
          <w:p w14:paraId="4333111D" w14:textId="77777777" w:rsidR="00A10B25" w:rsidRDefault="00A10B25">
            <w:pPr>
              <w:pStyle w:val="TAL"/>
              <w:rPr>
                <w:rFonts w:cs="Arial"/>
                <w:szCs w:val="18"/>
              </w:rPr>
            </w:pPr>
          </w:p>
        </w:tc>
      </w:tr>
      <w:tr w:rsidR="00A10B25" w14:paraId="49B4BF75"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2479EB64" w14:textId="77777777" w:rsidR="00A10B25" w:rsidRDefault="00A10B25">
            <w:pPr>
              <w:pStyle w:val="TAL"/>
              <w:rPr>
                <w:lang w:eastAsia="zh-CN"/>
              </w:rPr>
            </w:pPr>
            <w:r>
              <w:rPr>
                <w:lang w:eastAsia="zh-CN"/>
              </w:rPr>
              <w:t>nsi</w:t>
            </w:r>
          </w:p>
        </w:tc>
        <w:tc>
          <w:tcPr>
            <w:tcW w:w="1559" w:type="dxa"/>
            <w:tcBorders>
              <w:top w:val="single" w:sz="6" w:space="0" w:color="auto"/>
              <w:left w:val="single" w:sz="6" w:space="0" w:color="auto"/>
              <w:bottom w:val="single" w:sz="6" w:space="0" w:color="auto"/>
              <w:right w:val="single" w:sz="6" w:space="0" w:color="auto"/>
            </w:tcBorders>
          </w:tcPr>
          <w:p w14:paraId="744830F8" w14:textId="77777777" w:rsidR="00A10B25" w:rsidRDefault="00A10B25">
            <w:pPr>
              <w:pStyle w:val="TAL"/>
              <w:rPr>
                <w:lang w:eastAsia="zh-CN"/>
              </w:rPr>
            </w:pPr>
            <w:r>
              <w:rPr>
                <w:lang w:eastAsia="zh-CN"/>
              </w:rPr>
              <w:t>ThresholdLevel</w:t>
            </w:r>
          </w:p>
        </w:tc>
        <w:tc>
          <w:tcPr>
            <w:tcW w:w="425" w:type="dxa"/>
            <w:tcBorders>
              <w:top w:val="single" w:sz="6" w:space="0" w:color="auto"/>
              <w:left w:val="single" w:sz="6" w:space="0" w:color="auto"/>
              <w:bottom w:val="single" w:sz="6" w:space="0" w:color="auto"/>
              <w:right w:val="single" w:sz="6" w:space="0" w:color="auto"/>
            </w:tcBorders>
          </w:tcPr>
          <w:p w14:paraId="108B8B8A"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5474E0E8" w14:textId="77777777" w:rsidR="00A10B25" w:rsidRDefault="00A10B25">
            <w:pPr>
              <w:pStyle w:val="TAL"/>
            </w:pPr>
            <w:r>
              <w:t>1</w:t>
            </w:r>
          </w:p>
        </w:tc>
        <w:tc>
          <w:tcPr>
            <w:tcW w:w="2856" w:type="dxa"/>
            <w:tcBorders>
              <w:top w:val="single" w:sz="6" w:space="0" w:color="auto"/>
              <w:left w:val="single" w:sz="6" w:space="0" w:color="auto"/>
              <w:bottom w:val="single" w:sz="6" w:space="0" w:color="auto"/>
              <w:right w:val="single" w:sz="6" w:space="0" w:color="auto"/>
            </w:tcBorders>
          </w:tcPr>
          <w:p w14:paraId="22E511D4" w14:textId="77777777" w:rsidR="00A10B25" w:rsidRDefault="00A10B25">
            <w:pPr>
              <w:pStyle w:val="TAL"/>
              <w:rPr>
                <w:rFonts w:cs="Arial"/>
                <w:szCs w:val="18"/>
              </w:rPr>
            </w:pPr>
            <w:r>
              <w:rPr>
                <w:lang w:eastAsia="zh-CN"/>
              </w:rPr>
              <w:t>Network Status Indication</w:t>
            </w:r>
            <w:r>
              <w:rPr>
                <w:rFonts w:eastAsia="等线"/>
                <w:lang w:eastAsia="zh-CN"/>
              </w:rPr>
              <w:t>.</w:t>
            </w:r>
          </w:p>
        </w:tc>
        <w:tc>
          <w:tcPr>
            <w:tcW w:w="1843" w:type="dxa"/>
            <w:tcBorders>
              <w:top w:val="single" w:sz="6" w:space="0" w:color="auto"/>
              <w:left w:val="single" w:sz="6" w:space="0" w:color="auto"/>
              <w:bottom w:val="single" w:sz="6" w:space="0" w:color="auto"/>
              <w:right w:val="single" w:sz="6" w:space="0" w:color="auto"/>
            </w:tcBorders>
          </w:tcPr>
          <w:p w14:paraId="48E9BAEC" w14:textId="77777777" w:rsidR="00A10B25" w:rsidRDefault="00A10B25">
            <w:pPr>
              <w:pStyle w:val="TAL"/>
              <w:rPr>
                <w:rFonts w:cs="Arial"/>
                <w:szCs w:val="18"/>
              </w:rPr>
            </w:pPr>
          </w:p>
        </w:tc>
      </w:tr>
      <w:tr w:rsidR="00A10B25" w14:paraId="2CBC3546"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3621CF89" w14:textId="77777777" w:rsidR="00A10B25" w:rsidRDefault="00A10B25">
            <w:pPr>
              <w:pStyle w:val="TAL"/>
              <w:rPr>
                <w:lang w:eastAsia="zh-CN"/>
              </w:rPr>
            </w:pPr>
            <w:r>
              <w:t>confidence</w:t>
            </w:r>
          </w:p>
        </w:tc>
        <w:tc>
          <w:tcPr>
            <w:tcW w:w="1559" w:type="dxa"/>
            <w:tcBorders>
              <w:top w:val="single" w:sz="6" w:space="0" w:color="auto"/>
              <w:left w:val="single" w:sz="6" w:space="0" w:color="auto"/>
              <w:bottom w:val="single" w:sz="6" w:space="0" w:color="auto"/>
              <w:right w:val="single" w:sz="6" w:space="0" w:color="auto"/>
            </w:tcBorders>
          </w:tcPr>
          <w:p w14:paraId="4A23810D" w14:textId="77777777" w:rsidR="00A10B25" w:rsidRDefault="00A10B25">
            <w:pPr>
              <w:pStyle w:val="TAL"/>
              <w:rPr>
                <w:lang w:eastAsia="zh-CN"/>
              </w:rPr>
            </w:pPr>
            <w:r>
              <w:t>Uinteger</w:t>
            </w:r>
          </w:p>
        </w:tc>
        <w:tc>
          <w:tcPr>
            <w:tcW w:w="425" w:type="dxa"/>
            <w:tcBorders>
              <w:top w:val="single" w:sz="6" w:space="0" w:color="auto"/>
              <w:left w:val="single" w:sz="6" w:space="0" w:color="auto"/>
              <w:bottom w:val="single" w:sz="6" w:space="0" w:color="auto"/>
              <w:right w:val="single" w:sz="6" w:space="0" w:color="auto"/>
            </w:tcBorders>
          </w:tcPr>
          <w:p w14:paraId="4F1AB81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F1571E5" w14:textId="77777777" w:rsidR="00A10B25" w:rsidRDefault="00A10B25">
            <w:pPr>
              <w:pStyle w:val="TAL"/>
            </w:pPr>
            <w:r>
              <w:t>0..1</w:t>
            </w:r>
          </w:p>
        </w:tc>
        <w:tc>
          <w:tcPr>
            <w:tcW w:w="2856" w:type="dxa"/>
            <w:tcBorders>
              <w:top w:val="single" w:sz="6" w:space="0" w:color="auto"/>
              <w:left w:val="single" w:sz="6" w:space="0" w:color="auto"/>
              <w:bottom w:val="single" w:sz="6" w:space="0" w:color="auto"/>
              <w:right w:val="single" w:sz="6" w:space="0" w:color="auto"/>
            </w:tcBorders>
          </w:tcPr>
          <w:p w14:paraId="04BF3DBB" w14:textId="77777777" w:rsidR="00A10B25" w:rsidRDefault="00A10B25">
            <w:pPr>
              <w:pStyle w:val="TAL"/>
            </w:pPr>
            <w:r>
              <w:t>Indicates the confidence of the prediction. (NOTE 1)</w:t>
            </w:r>
          </w:p>
          <w:p w14:paraId="37AFD2C0" w14:textId="77777777" w:rsidR="00A10B25" w:rsidRDefault="00A10B25">
            <w:pPr>
              <w:pStyle w:val="TAL"/>
            </w:pPr>
            <w:r>
              <w:t>Shall be present if the analytics result is a prediction.</w:t>
            </w:r>
          </w:p>
          <w:p w14:paraId="6F34E2D8" w14:textId="77777777" w:rsidR="00A10B25" w:rsidRDefault="00A10B25">
            <w:pPr>
              <w:pStyle w:val="TAL"/>
              <w:rPr>
                <w:lang w:eastAsia="zh-CN"/>
              </w:rPr>
            </w:pPr>
            <w:r>
              <w:rPr>
                <w:rFonts w:cs="Arial"/>
                <w:szCs w:val="18"/>
                <w:lang w:eastAsia="zh-CN"/>
              </w:rPr>
              <w:t>Minimum = 0. Maximum = 100.</w:t>
            </w:r>
          </w:p>
        </w:tc>
        <w:tc>
          <w:tcPr>
            <w:tcW w:w="1843" w:type="dxa"/>
            <w:tcBorders>
              <w:top w:val="single" w:sz="6" w:space="0" w:color="auto"/>
              <w:left w:val="single" w:sz="6" w:space="0" w:color="auto"/>
              <w:bottom w:val="single" w:sz="6" w:space="0" w:color="auto"/>
              <w:right w:val="single" w:sz="6" w:space="0" w:color="auto"/>
            </w:tcBorders>
          </w:tcPr>
          <w:p w14:paraId="5AEF632A" w14:textId="77777777" w:rsidR="00A10B25" w:rsidRDefault="00A10B25">
            <w:pPr>
              <w:pStyle w:val="TAL"/>
              <w:rPr>
                <w:rFonts w:cs="Arial"/>
                <w:szCs w:val="18"/>
              </w:rPr>
            </w:pPr>
          </w:p>
        </w:tc>
      </w:tr>
      <w:tr w:rsidR="00A10B25" w14:paraId="2422E85D"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4B54914D" w14:textId="77777777" w:rsidR="00A10B25" w:rsidRDefault="00A10B25">
            <w:pPr>
              <w:pStyle w:val="TAL"/>
            </w:pPr>
            <w:r>
              <w:t>topAppListUl</w:t>
            </w:r>
          </w:p>
        </w:tc>
        <w:tc>
          <w:tcPr>
            <w:tcW w:w="1559" w:type="dxa"/>
            <w:tcBorders>
              <w:top w:val="single" w:sz="6" w:space="0" w:color="auto"/>
              <w:left w:val="single" w:sz="6" w:space="0" w:color="auto"/>
              <w:bottom w:val="single" w:sz="6" w:space="0" w:color="auto"/>
              <w:right w:val="single" w:sz="6" w:space="0" w:color="auto"/>
            </w:tcBorders>
          </w:tcPr>
          <w:p w14:paraId="06570CC5" w14:textId="77777777" w:rsidR="00A10B25" w:rsidRDefault="00A10B25">
            <w:pPr>
              <w:pStyle w:val="TAL"/>
            </w:pPr>
            <w:r>
              <w:t>array(TopApplication)</w:t>
            </w:r>
          </w:p>
        </w:tc>
        <w:tc>
          <w:tcPr>
            <w:tcW w:w="425" w:type="dxa"/>
            <w:tcBorders>
              <w:top w:val="single" w:sz="6" w:space="0" w:color="auto"/>
              <w:left w:val="single" w:sz="6" w:space="0" w:color="auto"/>
              <w:bottom w:val="single" w:sz="6" w:space="0" w:color="auto"/>
              <w:right w:val="single" w:sz="6" w:space="0" w:color="auto"/>
            </w:tcBorders>
          </w:tcPr>
          <w:p w14:paraId="54919438"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FEFFA17" w14:textId="77777777" w:rsidR="00A10B25" w:rsidRDefault="00A10B25">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645A24B6" w14:textId="77777777" w:rsidR="00A10B25" w:rsidRDefault="00A10B25">
            <w:pPr>
              <w:pStyle w:val="TAL"/>
            </w:pPr>
            <w:r>
              <w:t>List of top applications in Uplink. Shall be present if</w:t>
            </w:r>
            <w:r>
              <w:rPr>
                <w:lang w:eastAsia="zh-CN"/>
              </w:rPr>
              <w:t xml:space="preserve"> one of the elements in the "listOfAnaSubsets" attribute was set to LIST_OF_TOP_APP_UL</w:t>
            </w:r>
            <w:r>
              <w:t>.</w:t>
            </w:r>
          </w:p>
        </w:tc>
        <w:tc>
          <w:tcPr>
            <w:tcW w:w="1843" w:type="dxa"/>
            <w:tcBorders>
              <w:top w:val="single" w:sz="6" w:space="0" w:color="auto"/>
              <w:left w:val="single" w:sz="6" w:space="0" w:color="auto"/>
              <w:bottom w:val="single" w:sz="6" w:space="0" w:color="auto"/>
              <w:right w:val="single" w:sz="6" w:space="0" w:color="auto"/>
            </w:tcBorders>
          </w:tcPr>
          <w:p w14:paraId="713F4ABB" w14:textId="77777777" w:rsidR="00A10B25" w:rsidRDefault="00A10B25">
            <w:pPr>
              <w:pStyle w:val="TAL"/>
              <w:rPr>
                <w:rFonts w:cs="Arial"/>
                <w:szCs w:val="18"/>
              </w:rPr>
            </w:pPr>
            <w:r>
              <w:rPr>
                <w:rFonts w:cs="Arial"/>
                <w:szCs w:val="18"/>
              </w:rPr>
              <w:t>UserDataCongestionExt</w:t>
            </w:r>
          </w:p>
        </w:tc>
      </w:tr>
      <w:tr w:rsidR="00A10B25" w14:paraId="1A488C5C"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6A38F825" w14:textId="77777777" w:rsidR="00A10B25" w:rsidRDefault="00A10B25">
            <w:pPr>
              <w:pStyle w:val="TAL"/>
            </w:pPr>
            <w:r>
              <w:t>topAppListDl</w:t>
            </w:r>
          </w:p>
        </w:tc>
        <w:tc>
          <w:tcPr>
            <w:tcW w:w="1559" w:type="dxa"/>
            <w:tcBorders>
              <w:top w:val="single" w:sz="6" w:space="0" w:color="auto"/>
              <w:left w:val="single" w:sz="6" w:space="0" w:color="auto"/>
              <w:bottom w:val="single" w:sz="6" w:space="0" w:color="auto"/>
              <w:right w:val="single" w:sz="6" w:space="0" w:color="auto"/>
            </w:tcBorders>
          </w:tcPr>
          <w:p w14:paraId="2694A4C5" w14:textId="77777777" w:rsidR="00A10B25" w:rsidRDefault="00A10B25">
            <w:pPr>
              <w:pStyle w:val="TAL"/>
            </w:pPr>
            <w:r>
              <w:t>array(TopApplication)</w:t>
            </w:r>
          </w:p>
        </w:tc>
        <w:tc>
          <w:tcPr>
            <w:tcW w:w="425" w:type="dxa"/>
            <w:tcBorders>
              <w:top w:val="single" w:sz="6" w:space="0" w:color="auto"/>
              <w:left w:val="single" w:sz="6" w:space="0" w:color="auto"/>
              <w:bottom w:val="single" w:sz="6" w:space="0" w:color="auto"/>
              <w:right w:val="single" w:sz="6" w:space="0" w:color="auto"/>
            </w:tcBorders>
          </w:tcPr>
          <w:p w14:paraId="2F81E0A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4950EC9" w14:textId="77777777" w:rsidR="00A10B25" w:rsidRDefault="00A10B25">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056508DE" w14:textId="77777777" w:rsidR="00A10B25" w:rsidRDefault="00A10B25">
            <w:pPr>
              <w:pStyle w:val="TAL"/>
            </w:pPr>
            <w:r>
              <w:t xml:space="preserve">List of top applications in Downlink. Shall be present if </w:t>
            </w:r>
            <w:r>
              <w:rPr>
                <w:lang w:eastAsia="zh-CN"/>
              </w:rPr>
              <w:t>one of the elements in the "listOfAnaSubsets" attribute was set to LIST_OF_TOP_APP_DL</w:t>
            </w:r>
            <w:r>
              <w:t>.</w:t>
            </w:r>
          </w:p>
        </w:tc>
        <w:tc>
          <w:tcPr>
            <w:tcW w:w="1843" w:type="dxa"/>
            <w:tcBorders>
              <w:top w:val="single" w:sz="6" w:space="0" w:color="auto"/>
              <w:left w:val="single" w:sz="6" w:space="0" w:color="auto"/>
              <w:bottom w:val="single" w:sz="6" w:space="0" w:color="auto"/>
              <w:right w:val="single" w:sz="6" w:space="0" w:color="auto"/>
            </w:tcBorders>
          </w:tcPr>
          <w:p w14:paraId="1011E9F1" w14:textId="77777777" w:rsidR="00A10B25" w:rsidRDefault="00A10B25">
            <w:pPr>
              <w:pStyle w:val="TAL"/>
              <w:rPr>
                <w:rFonts w:cs="Arial"/>
                <w:szCs w:val="18"/>
              </w:rPr>
            </w:pPr>
            <w:r>
              <w:rPr>
                <w:rFonts w:cs="Arial"/>
                <w:szCs w:val="18"/>
              </w:rPr>
              <w:t>UserDataCongestionExt</w:t>
            </w:r>
          </w:p>
        </w:tc>
      </w:tr>
      <w:tr w:rsidR="00A10B25" w14:paraId="68675E3C" w14:textId="77777777">
        <w:trPr>
          <w:jc w:val="center"/>
        </w:trPr>
        <w:tc>
          <w:tcPr>
            <w:tcW w:w="9566" w:type="dxa"/>
            <w:gridSpan w:val="6"/>
            <w:tcBorders>
              <w:top w:val="single" w:sz="6" w:space="0" w:color="auto"/>
              <w:left w:val="single" w:sz="6" w:space="0" w:color="auto"/>
              <w:bottom w:val="single" w:sz="6" w:space="0" w:color="auto"/>
              <w:right w:val="single" w:sz="6" w:space="0" w:color="auto"/>
            </w:tcBorders>
          </w:tcPr>
          <w:p w14:paraId="6C3D55AC" w14:textId="77777777" w:rsidR="00A10B25" w:rsidRDefault="00A10B25">
            <w:pPr>
              <w:pStyle w:val="TAN"/>
              <w:rPr>
                <w:rFonts w:cs="Arial"/>
                <w:szCs w:val="18"/>
              </w:rPr>
            </w:pPr>
            <w:r>
              <w:t>NOTE 1:</w:t>
            </w:r>
            <w:r>
              <w:tab/>
              <w:t>If the requested period identified by the "startTs" and "endTs" attributes in the EventReportingRequirement type is a future time period, which means the analytics result is a prediction</w:t>
            </w:r>
            <w:r>
              <w:rPr>
                <w:rFonts w:cs="Arial"/>
                <w:szCs w:val="18"/>
              </w:rPr>
              <w:t>. If no sufficient data is collected to provide the confidence of the prediction before the time deadline, the NWDAF shall return a zero confidence.</w:t>
            </w:r>
          </w:p>
          <w:p w14:paraId="080CA6CB" w14:textId="77777777" w:rsidR="00A10B25" w:rsidRDefault="00A10B25">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w:t>
            </w:r>
            <w:r>
              <w:rPr>
                <w:lang w:eastAsia="zh-CN"/>
              </w:rPr>
              <w:t>timeIntev</w:t>
            </w:r>
            <w:r>
              <w:t xml:space="preserve">" attribute </w:t>
            </w:r>
            <w:r>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60970F3E" w14:textId="77777777" w:rsidR="00A10B25" w:rsidRDefault="00A10B25"/>
    <w:p w14:paraId="1E30A97F" w14:textId="77777777" w:rsidR="00A10B25" w:rsidRDefault="00A10B25">
      <w:pPr>
        <w:pStyle w:val="5"/>
      </w:pPr>
      <w:bookmarkStart w:id="6276" w:name="_Toc148522613"/>
      <w:bookmarkStart w:id="6277" w:name="_Toc145705709"/>
      <w:bookmarkStart w:id="6278" w:name="_Toc164920793"/>
      <w:bookmarkStart w:id="6279" w:name="_Toc170120335"/>
      <w:bookmarkStart w:id="6280" w:name="_Toc175858580"/>
      <w:bookmarkStart w:id="6281" w:name="_Toc175859653"/>
      <w:bookmarkStart w:id="6282" w:name="_Toc180605943"/>
      <w:bookmarkStart w:id="6283" w:name="_Toc185517197"/>
      <w:bookmarkStart w:id="6284" w:name="_Toc191576248"/>
      <w:bookmarkStart w:id="6285" w:name="_Toc191576988"/>
      <w:bookmarkStart w:id="6286" w:name="_Toc192880058"/>
      <w:bookmarkStart w:id="6287" w:name="_Toc195814941"/>
      <w:bookmarkStart w:id="6288" w:name="_Toc199452908"/>
      <w:r>
        <w:lastRenderedPageBreak/>
        <w:t>5.1.6.2.19</w:t>
      </w:r>
      <w:r>
        <w:tab/>
        <w:t>Type QosSustainabilityInfo</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4BE33D29" w14:textId="77777777" w:rsidR="00A10B25" w:rsidRDefault="00A10B25">
      <w:pPr>
        <w:pStyle w:val="TH"/>
      </w:pPr>
      <w:bookmarkStart w:id="6289" w:name="_Toc36102474"/>
      <w:bookmarkStart w:id="6290" w:name="_Toc98233652"/>
      <w:bookmarkStart w:id="6291" w:name="_Toc88667599"/>
      <w:bookmarkStart w:id="6292" w:name="_Toc34266303"/>
      <w:bookmarkStart w:id="6293" w:name="_Toc50031991"/>
      <w:bookmarkStart w:id="6294" w:name="_Toc112951143"/>
      <w:bookmarkStart w:id="6295" w:name="_Toc113031683"/>
      <w:bookmarkStart w:id="6296" w:name="_Toc104539021"/>
      <w:bookmarkStart w:id="6297" w:name="_Toc45134059"/>
      <w:bookmarkStart w:id="6298" w:name="_Toc59017946"/>
      <w:bookmarkStart w:id="6299" w:name="_Toc83233088"/>
      <w:bookmarkStart w:id="6300" w:name="_Toc51762911"/>
      <w:bookmarkStart w:id="6301" w:name="_Toc70550642"/>
      <w:bookmarkStart w:id="6302" w:name="_Toc94064267"/>
      <w:bookmarkStart w:id="6303" w:name="_Toc43563516"/>
      <w:bookmarkStart w:id="6304" w:name="_Toc136562389"/>
      <w:bookmarkStart w:id="6305" w:name="_Toc85552998"/>
      <w:bookmarkStart w:id="6306" w:name="_Toc138754223"/>
      <w:bookmarkStart w:id="6307" w:name="_Toc28012833"/>
      <w:bookmarkStart w:id="6308" w:name="_Toc90655884"/>
      <w:bookmarkStart w:id="6309" w:name="_Toc68168975"/>
      <w:bookmarkStart w:id="6310" w:name="_Toc101244428"/>
      <w:bookmarkStart w:id="6311" w:name="_Toc114133822"/>
      <w:bookmarkStart w:id="6312" w:name="_Toc66231814"/>
      <w:bookmarkStart w:id="6313" w:name="_Toc85557097"/>
      <w:bookmarkStart w:id="6314" w:name="_Toc120702322"/>
      <w:bookmarkStart w:id="6315" w:name="_Toc56640978"/>
      <w:bookmarkStart w:id="6316" w:name="_Hlk34256545"/>
      <w:r>
        <w:t>Table 5.1.6.2.19-1: Definition of type QosSustainabilityInfo</w:t>
      </w:r>
    </w:p>
    <w:tbl>
      <w:tblPr>
        <w:tblW w:w="9381"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495"/>
        <w:gridCol w:w="36"/>
        <w:gridCol w:w="1522"/>
        <w:gridCol w:w="36"/>
        <w:gridCol w:w="389"/>
        <w:gridCol w:w="36"/>
        <w:gridCol w:w="1098"/>
        <w:gridCol w:w="36"/>
        <w:gridCol w:w="2964"/>
        <w:gridCol w:w="36"/>
        <w:gridCol w:w="1661"/>
        <w:gridCol w:w="36"/>
      </w:tblGrid>
      <w:tr w:rsidR="00A10B25" w14:paraId="547988DB"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shd w:val="clear" w:color="auto" w:fill="C0C0C0"/>
          </w:tcPr>
          <w:p w14:paraId="67AE276F" w14:textId="77777777" w:rsidR="00A10B25" w:rsidRDefault="00A10B25">
            <w:pPr>
              <w:pStyle w:val="TAH"/>
            </w:pPr>
            <w:r>
              <w:t>Attribute name</w:t>
            </w:r>
          </w:p>
        </w:tc>
        <w:tc>
          <w:tcPr>
            <w:tcW w:w="1558" w:type="dxa"/>
            <w:gridSpan w:val="2"/>
            <w:tcBorders>
              <w:top w:val="single" w:sz="6" w:space="0" w:color="auto"/>
              <w:left w:val="single" w:sz="6" w:space="0" w:color="auto"/>
              <w:bottom w:val="single" w:sz="6" w:space="0" w:color="auto"/>
              <w:right w:val="single" w:sz="6" w:space="0" w:color="auto"/>
            </w:tcBorders>
            <w:shd w:val="clear" w:color="auto" w:fill="C0C0C0"/>
          </w:tcPr>
          <w:p w14:paraId="1F2BA97D" w14:textId="77777777" w:rsidR="00A10B25" w:rsidRDefault="00A10B25">
            <w:pPr>
              <w:pStyle w:val="TAH"/>
            </w:pPr>
            <w:r>
              <w:t>Data type</w:t>
            </w:r>
          </w:p>
        </w:tc>
        <w:tc>
          <w:tcPr>
            <w:tcW w:w="425" w:type="dxa"/>
            <w:gridSpan w:val="2"/>
            <w:tcBorders>
              <w:top w:val="single" w:sz="6" w:space="0" w:color="auto"/>
              <w:left w:val="single" w:sz="6" w:space="0" w:color="auto"/>
              <w:bottom w:val="single" w:sz="6" w:space="0" w:color="auto"/>
              <w:right w:val="single" w:sz="6" w:space="0" w:color="auto"/>
            </w:tcBorders>
            <w:shd w:val="clear" w:color="auto" w:fill="C0C0C0"/>
          </w:tcPr>
          <w:p w14:paraId="6911E3EB" w14:textId="77777777" w:rsidR="00A10B25" w:rsidRDefault="00A10B25">
            <w:pPr>
              <w:pStyle w:val="TAH"/>
            </w:pPr>
            <w:r>
              <w:t>P</w:t>
            </w:r>
          </w:p>
        </w:tc>
        <w:tc>
          <w:tcPr>
            <w:tcW w:w="1134" w:type="dxa"/>
            <w:gridSpan w:val="2"/>
            <w:tcBorders>
              <w:top w:val="single" w:sz="6" w:space="0" w:color="auto"/>
              <w:left w:val="single" w:sz="6" w:space="0" w:color="auto"/>
              <w:bottom w:val="single" w:sz="6" w:space="0" w:color="auto"/>
              <w:right w:val="single" w:sz="6" w:space="0" w:color="auto"/>
            </w:tcBorders>
            <w:shd w:val="clear" w:color="auto" w:fill="C0C0C0"/>
          </w:tcPr>
          <w:p w14:paraId="6E61A175" w14:textId="77777777" w:rsidR="00A10B25" w:rsidRDefault="00A10B25">
            <w:pPr>
              <w:pStyle w:val="TAH"/>
            </w:pPr>
            <w:r>
              <w:t>Cardinality</w:t>
            </w:r>
          </w:p>
        </w:tc>
        <w:tc>
          <w:tcPr>
            <w:tcW w:w="3000" w:type="dxa"/>
            <w:gridSpan w:val="2"/>
            <w:tcBorders>
              <w:top w:val="single" w:sz="6" w:space="0" w:color="auto"/>
              <w:left w:val="single" w:sz="6" w:space="0" w:color="auto"/>
              <w:bottom w:val="single" w:sz="6" w:space="0" w:color="auto"/>
              <w:right w:val="single" w:sz="6" w:space="0" w:color="auto"/>
            </w:tcBorders>
            <w:shd w:val="clear" w:color="auto" w:fill="C0C0C0"/>
          </w:tcPr>
          <w:p w14:paraId="327C05B5" w14:textId="77777777" w:rsidR="00A10B25" w:rsidRDefault="00A10B25">
            <w:pPr>
              <w:pStyle w:val="TAH"/>
              <w:rPr>
                <w:rFonts w:cs="Arial"/>
                <w:szCs w:val="18"/>
              </w:rPr>
            </w:pPr>
            <w:r>
              <w:rPr>
                <w:rFonts w:cs="Arial"/>
                <w:szCs w:val="18"/>
              </w:rPr>
              <w:t>Description</w:t>
            </w:r>
          </w:p>
        </w:tc>
        <w:tc>
          <w:tcPr>
            <w:tcW w:w="1697" w:type="dxa"/>
            <w:gridSpan w:val="2"/>
            <w:tcBorders>
              <w:top w:val="single" w:sz="6" w:space="0" w:color="auto"/>
              <w:left w:val="single" w:sz="6" w:space="0" w:color="auto"/>
              <w:bottom w:val="single" w:sz="6" w:space="0" w:color="auto"/>
              <w:right w:val="single" w:sz="6" w:space="0" w:color="auto"/>
            </w:tcBorders>
            <w:shd w:val="clear" w:color="auto" w:fill="C0C0C0"/>
          </w:tcPr>
          <w:p w14:paraId="5AF3C280" w14:textId="77777777" w:rsidR="00A10B25" w:rsidRDefault="00A10B25">
            <w:pPr>
              <w:pStyle w:val="TAH"/>
              <w:rPr>
                <w:rFonts w:cs="Arial"/>
                <w:szCs w:val="18"/>
              </w:rPr>
            </w:pPr>
            <w:r>
              <w:rPr>
                <w:rFonts w:cs="Arial"/>
                <w:szCs w:val="18"/>
              </w:rPr>
              <w:t>Applicability</w:t>
            </w:r>
          </w:p>
        </w:tc>
      </w:tr>
      <w:tr w:rsidR="00C869EF" w14:paraId="35403D8D"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55842A06" w14:textId="77777777" w:rsidR="00C869EF" w:rsidRDefault="00C869EF" w:rsidP="00C869EF">
            <w:pPr>
              <w:pStyle w:val="TAL"/>
            </w:pPr>
            <w:r>
              <w:t>areaInfo</w:t>
            </w:r>
          </w:p>
        </w:tc>
        <w:tc>
          <w:tcPr>
            <w:tcW w:w="1558" w:type="dxa"/>
            <w:gridSpan w:val="2"/>
            <w:tcBorders>
              <w:top w:val="single" w:sz="6" w:space="0" w:color="auto"/>
              <w:left w:val="single" w:sz="6" w:space="0" w:color="auto"/>
              <w:bottom w:val="single" w:sz="6" w:space="0" w:color="auto"/>
              <w:right w:val="single" w:sz="6" w:space="0" w:color="auto"/>
            </w:tcBorders>
          </w:tcPr>
          <w:p w14:paraId="4A4D1AAB" w14:textId="77777777" w:rsidR="00C869EF" w:rsidRDefault="00C869EF" w:rsidP="00C869EF">
            <w:pPr>
              <w:pStyle w:val="TAL"/>
            </w:pPr>
            <w:r>
              <w:t>NetworkAreaInfo</w:t>
            </w:r>
          </w:p>
        </w:tc>
        <w:tc>
          <w:tcPr>
            <w:tcW w:w="425" w:type="dxa"/>
            <w:gridSpan w:val="2"/>
            <w:tcBorders>
              <w:top w:val="single" w:sz="6" w:space="0" w:color="auto"/>
              <w:left w:val="single" w:sz="6" w:space="0" w:color="auto"/>
              <w:bottom w:val="single" w:sz="6" w:space="0" w:color="auto"/>
              <w:right w:val="single" w:sz="6" w:space="0" w:color="auto"/>
            </w:tcBorders>
          </w:tcPr>
          <w:p w14:paraId="0B0500F2" w14:textId="77777777" w:rsidR="00C869EF" w:rsidRDefault="00C869EF" w:rsidP="00C869EF">
            <w:pPr>
              <w:pStyle w:val="TAC"/>
            </w:pPr>
            <w:r>
              <w:t>M</w:t>
            </w:r>
          </w:p>
        </w:tc>
        <w:tc>
          <w:tcPr>
            <w:tcW w:w="1134" w:type="dxa"/>
            <w:gridSpan w:val="2"/>
            <w:tcBorders>
              <w:top w:val="single" w:sz="6" w:space="0" w:color="auto"/>
              <w:left w:val="single" w:sz="6" w:space="0" w:color="auto"/>
              <w:bottom w:val="single" w:sz="6" w:space="0" w:color="auto"/>
              <w:right w:val="single" w:sz="6" w:space="0" w:color="auto"/>
            </w:tcBorders>
          </w:tcPr>
          <w:p w14:paraId="5A01E9D4" w14:textId="77777777" w:rsidR="00C869EF" w:rsidRDefault="00C869EF" w:rsidP="00C869EF">
            <w:pPr>
              <w:pStyle w:val="TAL"/>
            </w:pPr>
            <w:r>
              <w:t>1</w:t>
            </w:r>
          </w:p>
        </w:tc>
        <w:tc>
          <w:tcPr>
            <w:tcW w:w="3000" w:type="dxa"/>
            <w:gridSpan w:val="2"/>
            <w:tcBorders>
              <w:top w:val="single" w:sz="6" w:space="0" w:color="auto"/>
              <w:left w:val="single" w:sz="6" w:space="0" w:color="auto"/>
              <w:bottom w:val="single" w:sz="6" w:space="0" w:color="auto"/>
              <w:right w:val="single" w:sz="6" w:space="0" w:color="auto"/>
            </w:tcBorders>
          </w:tcPr>
          <w:p w14:paraId="16744069" w14:textId="63D17046" w:rsidR="00C869EF" w:rsidRPr="00D21089" w:rsidRDefault="00C869EF" w:rsidP="00C869EF">
            <w:pPr>
              <w:keepNext/>
              <w:keepLines/>
              <w:spacing w:after="0"/>
              <w:rPr>
                <w:rFonts w:ascii="Arial" w:hAnsi="Arial"/>
                <w:sz w:val="18"/>
              </w:rPr>
            </w:pPr>
            <w:r w:rsidRPr="00D21089">
              <w:rPr>
                <w:rFonts w:ascii="Arial" w:hAnsi="Arial"/>
                <w:sz w:val="18"/>
              </w:rPr>
              <w:t xml:space="preserve">Identification(s) of applicable location areas to which the </w:t>
            </w:r>
            <w:r>
              <w:rPr>
                <w:rFonts w:ascii="Arial" w:hAnsi="Arial" w:cs="Arial"/>
                <w:sz w:val="18"/>
                <w:szCs w:val="18"/>
              </w:rPr>
              <w:t>provided analytics apply</w:t>
            </w:r>
            <w:r w:rsidRPr="00D21089">
              <w:rPr>
                <w:rFonts w:ascii="Arial" w:hAnsi="Arial"/>
                <w:sz w:val="18"/>
              </w:rPr>
              <w:t>.</w:t>
            </w:r>
          </w:p>
          <w:p w14:paraId="04D7C02F" w14:textId="77777777" w:rsidR="00C869EF" w:rsidRDefault="00C869EF" w:rsidP="00C869EF">
            <w:pPr>
              <w:pStyle w:val="TAL"/>
            </w:pPr>
            <w:r w:rsidRPr="00D21089">
              <w:t>(NOTE 4)</w:t>
            </w:r>
          </w:p>
        </w:tc>
        <w:tc>
          <w:tcPr>
            <w:tcW w:w="1697" w:type="dxa"/>
            <w:gridSpan w:val="2"/>
            <w:tcBorders>
              <w:top w:val="single" w:sz="6" w:space="0" w:color="auto"/>
              <w:left w:val="single" w:sz="6" w:space="0" w:color="auto"/>
              <w:bottom w:val="single" w:sz="6" w:space="0" w:color="auto"/>
              <w:right w:val="single" w:sz="6" w:space="0" w:color="auto"/>
            </w:tcBorders>
          </w:tcPr>
          <w:p w14:paraId="63F47BDA" w14:textId="77777777" w:rsidR="00C869EF" w:rsidRDefault="00C869EF" w:rsidP="00C869EF">
            <w:pPr>
              <w:pStyle w:val="TAL"/>
            </w:pPr>
          </w:p>
        </w:tc>
      </w:tr>
      <w:tr w:rsidR="00C869EF" w14:paraId="6222B6D0" w14:textId="77777777">
        <w:trPr>
          <w:gridBefore w:val="1"/>
          <w:wBefore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C861E83" w14:textId="77777777" w:rsidR="00C869EF" w:rsidRDefault="00C869EF" w:rsidP="00C869EF">
            <w:pPr>
              <w:pStyle w:val="TAL"/>
            </w:pPr>
            <w:r>
              <w:rPr>
                <w:lang w:eastAsia="zh-CN"/>
              </w:rPr>
              <w:t>fineAreaInfos</w:t>
            </w:r>
          </w:p>
        </w:tc>
        <w:tc>
          <w:tcPr>
            <w:tcW w:w="1558" w:type="dxa"/>
            <w:gridSpan w:val="2"/>
            <w:tcBorders>
              <w:top w:val="single" w:sz="6" w:space="0" w:color="auto"/>
              <w:left w:val="single" w:sz="6" w:space="0" w:color="auto"/>
              <w:bottom w:val="single" w:sz="6" w:space="0" w:color="auto"/>
              <w:right w:val="single" w:sz="6" w:space="0" w:color="auto"/>
            </w:tcBorders>
          </w:tcPr>
          <w:p w14:paraId="404D950E" w14:textId="77777777" w:rsidR="00C869EF" w:rsidRDefault="00C869EF" w:rsidP="00C869EF">
            <w:pPr>
              <w:pStyle w:val="TAL"/>
            </w:pPr>
            <w:r>
              <w:rPr>
                <w:lang w:eastAsia="zh-CN"/>
              </w:rPr>
              <w:t>array(</w:t>
            </w:r>
            <w:r>
              <w:t>GeographicalArea</w:t>
            </w:r>
            <w:r>
              <w:rPr>
                <w:lang w:eastAsia="zh-CN"/>
              </w:rPr>
              <w:t>)</w:t>
            </w:r>
          </w:p>
        </w:tc>
        <w:tc>
          <w:tcPr>
            <w:tcW w:w="425" w:type="dxa"/>
            <w:gridSpan w:val="2"/>
            <w:tcBorders>
              <w:top w:val="single" w:sz="6" w:space="0" w:color="auto"/>
              <w:left w:val="single" w:sz="6" w:space="0" w:color="auto"/>
              <w:bottom w:val="single" w:sz="6" w:space="0" w:color="auto"/>
              <w:right w:val="single" w:sz="6" w:space="0" w:color="auto"/>
            </w:tcBorders>
          </w:tcPr>
          <w:p w14:paraId="7B5C1186" w14:textId="77777777" w:rsidR="00C869EF" w:rsidRDefault="00C869EF" w:rsidP="00C869EF">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161940E9" w14:textId="77777777" w:rsidR="00C869EF" w:rsidRDefault="00C869EF" w:rsidP="00C869EF">
            <w:pPr>
              <w:pStyle w:val="TAL"/>
            </w:pPr>
            <w:r>
              <w:rPr>
                <w:lang w:eastAsia="zh-CN"/>
              </w:rPr>
              <w:t>1..N</w:t>
            </w:r>
          </w:p>
        </w:tc>
        <w:tc>
          <w:tcPr>
            <w:tcW w:w="3000" w:type="dxa"/>
            <w:gridSpan w:val="2"/>
            <w:tcBorders>
              <w:top w:val="single" w:sz="6" w:space="0" w:color="auto"/>
              <w:left w:val="single" w:sz="6" w:space="0" w:color="auto"/>
              <w:bottom w:val="single" w:sz="6" w:space="0" w:color="auto"/>
              <w:right w:val="single" w:sz="6" w:space="0" w:color="auto"/>
            </w:tcBorders>
          </w:tcPr>
          <w:p w14:paraId="61DBEE9A" w14:textId="77777777" w:rsidR="00C869EF" w:rsidRDefault="00C869EF" w:rsidP="00C869EF">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4D5D807B" w14:textId="77777777" w:rsidR="00C869EF" w:rsidRDefault="00C869EF" w:rsidP="00C869EF">
            <w:pPr>
              <w:pStyle w:val="TAL"/>
              <w:rPr>
                <w:rFonts w:cs="Arial"/>
                <w:szCs w:val="18"/>
                <w:lang w:eastAsia="zh-CN"/>
              </w:rPr>
            </w:pPr>
            <w:r>
              <w:rPr>
                <w:rFonts w:cs="Arial"/>
                <w:szCs w:val="18"/>
                <w:lang w:eastAsia="zh-CN"/>
              </w:rPr>
              <w:t>May be provided when the "</w:t>
            </w:r>
            <w:r>
              <w:t>fineGranAreas</w:t>
            </w:r>
            <w:r>
              <w:rPr>
                <w:rFonts w:cs="Arial"/>
                <w:szCs w:val="18"/>
                <w:lang w:eastAsia="zh-CN"/>
              </w:rPr>
              <w:t>" attribute is provided in the request.</w:t>
            </w:r>
          </w:p>
        </w:tc>
        <w:tc>
          <w:tcPr>
            <w:tcW w:w="1697" w:type="dxa"/>
            <w:gridSpan w:val="2"/>
            <w:tcBorders>
              <w:top w:val="single" w:sz="6" w:space="0" w:color="auto"/>
              <w:left w:val="single" w:sz="6" w:space="0" w:color="auto"/>
              <w:bottom w:val="single" w:sz="6" w:space="0" w:color="auto"/>
              <w:right w:val="single" w:sz="6" w:space="0" w:color="auto"/>
            </w:tcBorders>
          </w:tcPr>
          <w:p w14:paraId="1716D62A" w14:textId="77777777" w:rsidR="00C869EF" w:rsidRDefault="00C869EF" w:rsidP="00C869EF">
            <w:pPr>
              <w:pStyle w:val="TAL"/>
            </w:pPr>
            <w:r>
              <w:rPr>
                <w:rFonts w:eastAsia="Batang"/>
              </w:rPr>
              <w:t>QoSSustainabilityExt_eNA</w:t>
            </w:r>
          </w:p>
        </w:tc>
      </w:tr>
      <w:tr w:rsidR="00C869EF" w14:paraId="587403FF"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CC342F" w14:textId="77777777" w:rsidR="00C869EF" w:rsidRDefault="00C869EF" w:rsidP="00C869EF">
            <w:pPr>
              <w:pStyle w:val="TAL"/>
            </w:pPr>
            <w:r>
              <w:t>startTs</w:t>
            </w:r>
          </w:p>
        </w:tc>
        <w:tc>
          <w:tcPr>
            <w:tcW w:w="1558" w:type="dxa"/>
            <w:gridSpan w:val="2"/>
            <w:tcBorders>
              <w:top w:val="single" w:sz="6" w:space="0" w:color="auto"/>
              <w:left w:val="single" w:sz="6" w:space="0" w:color="auto"/>
              <w:bottom w:val="single" w:sz="6" w:space="0" w:color="auto"/>
              <w:right w:val="single" w:sz="6" w:space="0" w:color="auto"/>
            </w:tcBorders>
          </w:tcPr>
          <w:p w14:paraId="7CFADB1E" w14:textId="77777777" w:rsidR="00C869EF" w:rsidRDefault="00C869EF" w:rsidP="00C869EF">
            <w:pPr>
              <w:pStyle w:val="TAL"/>
            </w:pPr>
            <w:r>
              <w:t>DateTime</w:t>
            </w:r>
          </w:p>
        </w:tc>
        <w:tc>
          <w:tcPr>
            <w:tcW w:w="425" w:type="dxa"/>
            <w:gridSpan w:val="2"/>
            <w:tcBorders>
              <w:top w:val="single" w:sz="6" w:space="0" w:color="auto"/>
              <w:left w:val="single" w:sz="6" w:space="0" w:color="auto"/>
              <w:bottom w:val="single" w:sz="6" w:space="0" w:color="auto"/>
              <w:right w:val="single" w:sz="6" w:space="0" w:color="auto"/>
            </w:tcBorders>
          </w:tcPr>
          <w:p w14:paraId="3EB50B41" w14:textId="77777777" w:rsidR="00C869EF" w:rsidRDefault="00C869EF" w:rsidP="00C869EF">
            <w:pPr>
              <w:pStyle w:val="TAC"/>
            </w:pPr>
            <w:r>
              <w:t>M</w:t>
            </w:r>
          </w:p>
        </w:tc>
        <w:tc>
          <w:tcPr>
            <w:tcW w:w="1134" w:type="dxa"/>
            <w:gridSpan w:val="2"/>
            <w:tcBorders>
              <w:top w:val="single" w:sz="6" w:space="0" w:color="auto"/>
              <w:left w:val="single" w:sz="6" w:space="0" w:color="auto"/>
              <w:bottom w:val="single" w:sz="6" w:space="0" w:color="auto"/>
              <w:right w:val="single" w:sz="6" w:space="0" w:color="auto"/>
            </w:tcBorders>
          </w:tcPr>
          <w:p w14:paraId="427D921B" w14:textId="77777777" w:rsidR="00C869EF" w:rsidRDefault="00C869EF" w:rsidP="00C869EF">
            <w:pPr>
              <w:pStyle w:val="TAL"/>
            </w:pPr>
            <w:r>
              <w:t>1</w:t>
            </w:r>
          </w:p>
        </w:tc>
        <w:tc>
          <w:tcPr>
            <w:tcW w:w="3000" w:type="dxa"/>
            <w:gridSpan w:val="2"/>
            <w:tcBorders>
              <w:top w:val="single" w:sz="6" w:space="0" w:color="auto"/>
              <w:left w:val="single" w:sz="6" w:space="0" w:color="auto"/>
              <w:bottom w:val="single" w:sz="6" w:space="0" w:color="auto"/>
              <w:right w:val="single" w:sz="6" w:space="0" w:color="auto"/>
            </w:tcBorders>
          </w:tcPr>
          <w:p w14:paraId="665AF950" w14:textId="77777777" w:rsidR="00C869EF" w:rsidRDefault="00C869EF" w:rsidP="00C869EF">
            <w:pPr>
              <w:pStyle w:val="TAL"/>
            </w:pPr>
            <w:r>
              <w:t>Represents the start time of the applicable observing period.</w:t>
            </w:r>
          </w:p>
          <w:p w14:paraId="4B1B544B" w14:textId="77777777" w:rsidR="00C869EF" w:rsidRDefault="00C869EF" w:rsidP="00C869EF">
            <w:pPr>
              <w:pStyle w:val="TAL"/>
            </w:pPr>
            <w:r>
              <w:t>(NOTE 3)</w:t>
            </w:r>
          </w:p>
        </w:tc>
        <w:tc>
          <w:tcPr>
            <w:tcW w:w="1697" w:type="dxa"/>
            <w:gridSpan w:val="2"/>
            <w:tcBorders>
              <w:top w:val="single" w:sz="6" w:space="0" w:color="auto"/>
              <w:left w:val="single" w:sz="6" w:space="0" w:color="auto"/>
              <w:bottom w:val="single" w:sz="6" w:space="0" w:color="auto"/>
              <w:right w:val="single" w:sz="6" w:space="0" w:color="auto"/>
            </w:tcBorders>
          </w:tcPr>
          <w:p w14:paraId="727DA01A" w14:textId="77777777" w:rsidR="00C869EF" w:rsidRDefault="00C869EF" w:rsidP="00C869EF">
            <w:pPr>
              <w:pStyle w:val="TAL"/>
            </w:pPr>
          </w:p>
        </w:tc>
      </w:tr>
      <w:tr w:rsidR="00C869EF" w14:paraId="3E312690"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5CA45E5" w14:textId="77777777" w:rsidR="00C869EF" w:rsidRDefault="00C869EF" w:rsidP="00C869EF">
            <w:pPr>
              <w:pStyle w:val="TAL"/>
            </w:pPr>
            <w:r>
              <w:t>endTs</w:t>
            </w:r>
          </w:p>
        </w:tc>
        <w:tc>
          <w:tcPr>
            <w:tcW w:w="1558" w:type="dxa"/>
            <w:gridSpan w:val="2"/>
            <w:tcBorders>
              <w:top w:val="single" w:sz="6" w:space="0" w:color="auto"/>
              <w:left w:val="single" w:sz="6" w:space="0" w:color="auto"/>
              <w:bottom w:val="single" w:sz="6" w:space="0" w:color="auto"/>
              <w:right w:val="single" w:sz="6" w:space="0" w:color="auto"/>
            </w:tcBorders>
          </w:tcPr>
          <w:p w14:paraId="6BE8507C" w14:textId="77777777" w:rsidR="00C869EF" w:rsidRDefault="00C869EF" w:rsidP="00C869EF">
            <w:pPr>
              <w:pStyle w:val="TAL"/>
            </w:pPr>
            <w:r>
              <w:t>DateTime</w:t>
            </w:r>
          </w:p>
        </w:tc>
        <w:tc>
          <w:tcPr>
            <w:tcW w:w="425" w:type="dxa"/>
            <w:gridSpan w:val="2"/>
            <w:tcBorders>
              <w:top w:val="single" w:sz="6" w:space="0" w:color="auto"/>
              <w:left w:val="single" w:sz="6" w:space="0" w:color="auto"/>
              <w:bottom w:val="single" w:sz="6" w:space="0" w:color="auto"/>
              <w:right w:val="single" w:sz="6" w:space="0" w:color="auto"/>
            </w:tcBorders>
          </w:tcPr>
          <w:p w14:paraId="4A648D46" w14:textId="77777777" w:rsidR="00C869EF" w:rsidRDefault="00C869EF" w:rsidP="00C869EF">
            <w:pPr>
              <w:pStyle w:val="TAC"/>
            </w:pPr>
            <w:r>
              <w:t>M</w:t>
            </w:r>
          </w:p>
        </w:tc>
        <w:tc>
          <w:tcPr>
            <w:tcW w:w="1134" w:type="dxa"/>
            <w:gridSpan w:val="2"/>
            <w:tcBorders>
              <w:top w:val="single" w:sz="6" w:space="0" w:color="auto"/>
              <w:left w:val="single" w:sz="6" w:space="0" w:color="auto"/>
              <w:bottom w:val="single" w:sz="6" w:space="0" w:color="auto"/>
              <w:right w:val="single" w:sz="6" w:space="0" w:color="auto"/>
            </w:tcBorders>
          </w:tcPr>
          <w:p w14:paraId="0E8C8362" w14:textId="77777777" w:rsidR="00C869EF" w:rsidRDefault="00C869EF" w:rsidP="00C869EF">
            <w:pPr>
              <w:pStyle w:val="TAL"/>
            </w:pPr>
            <w:r>
              <w:t>1</w:t>
            </w:r>
          </w:p>
        </w:tc>
        <w:tc>
          <w:tcPr>
            <w:tcW w:w="3000" w:type="dxa"/>
            <w:gridSpan w:val="2"/>
            <w:tcBorders>
              <w:top w:val="single" w:sz="6" w:space="0" w:color="auto"/>
              <w:left w:val="single" w:sz="6" w:space="0" w:color="auto"/>
              <w:bottom w:val="single" w:sz="6" w:space="0" w:color="auto"/>
              <w:right w:val="single" w:sz="6" w:space="0" w:color="auto"/>
            </w:tcBorders>
          </w:tcPr>
          <w:p w14:paraId="3F990EFC" w14:textId="77777777" w:rsidR="00C869EF" w:rsidRDefault="00C869EF" w:rsidP="00C869EF">
            <w:pPr>
              <w:pStyle w:val="TAL"/>
            </w:pPr>
            <w:r>
              <w:t>Represents the end time of the applicable observing period.</w:t>
            </w:r>
          </w:p>
          <w:p w14:paraId="6DE09EDA" w14:textId="77777777" w:rsidR="00C869EF" w:rsidRDefault="00C869EF" w:rsidP="00C869EF">
            <w:pPr>
              <w:pStyle w:val="TAL"/>
            </w:pPr>
            <w:r>
              <w:t>(NOTE 3)</w:t>
            </w:r>
          </w:p>
        </w:tc>
        <w:tc>
          <w:tcPr>
            <w:tcW w:w="1697" w:type="dxa"/>
            <w:gridSpan w:val="2"/>
            <w:tcBorders>
              <w:top w:val="single" w:sz="6" w:space="0" w:color="auto"/>
              <w:left w:val="single" w:sz="6" w:space="0" w:color="auto"/>
              <w:bottom w:val="single" w:sz="6" w:space="0" w:color="auto"/>
              <w:right w:val="single" w:sz="6" w:space="0" w:color="auto"/>
            </w:tcBorders>
          </w:tcPr>
          <w:p w14:paraId="5D3B1212" w14:textId="77777777" w:rsidR="00C869EF" w:rsidRDefault="00C869EF" w:rsidP="00C869EF">
            <w:pPr>
              <w:pStyle w:val="TAL"/>
            </w:pPr>
          </w:p>
        </w:tc>
      </w:tr>
      <w:tr w:rsidR="00C869EF" w14:paraId="534CD6AA"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EA13CF9" w14:textId="77777777" w:rsidR="00C869EF" w:rsidRDefault="00C869EF" w:rsidP="00C869EF">
            <w:pPr>
              <w:pStyle w:val="TAL"/>
            </w:pPr>
            <w:r>
              <w:t>qosFlowRetThd</w:t>
            </w:r>
          </w:p>
        </w:tc>
        <w:tc>
          <w:tcPr>
            <w:tcW w:w="1558" w:type="dxa"/>
            <w:gridSpan w:val="2"/>
            <w:tcBorders>
              <w:top w:val="single" w:sz="6" w:space="0" w:color="auto"/>
              <w:left w:val="single" w:sz="6" w:space="0" w:color="auto"/>
              <w:bottom w:val="single" w:sz="6" w:space="0" w:color="auto"/>
              <w:right w:val="single" w:sz="6" w:space="0" w:color="auto"/>
            </w:tcBorders>
          </w:tcPr>
          <w:p w14:paraId="0AAD146C" w14:textId="77777777" w:rsidR="00C869EF" w:rsidRDefault="00C869EF" w:rsidP="00C869EF">
            <w:pPr>
              <w:pStyle w:val="TAL"/>
              <w:rPr>
                <w:lang w:eastAsia="zh-CN"/>
              </w:rPr>
            </w:pPr>
            <w:r>
              <w:rPr>
                <w:lang w:eastAsia="zh-CN"/>
              </w:rPr>
              <w:t>RetainabilityThreshold</w:t>
            </w:r>
          </w:p>
        </w:tc>
        <w:tc>
          <w:tcPr>
            <w:tcW w:w="425" w:type="dxa"/>
            <w:gridSpan w:val="2"/>
            <w:tcBorders>
              <w:top w:val="single" w:sz="6" w:space="0" w:color="auto"/>
              <w:left w:val="single" w:sz="6" w:space="0" w:color="auto"/>
              <w:bottom w:val="single" w:sz="6" w:space="0" w:color="auto"/>
              <w:right w:val="single" w:sz="6" w:space="0" w:color="auto"/>
            </w:tcBorders>
          </w:tcPr>
          <w:p w14:paraId="2CF51F5E"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52C13276"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58B9C67C" w14:textId="74CD0697" w:rsidR="00C869EF" w:rsidRPr="00531FAC" w:rsidRDefault="00C869EF" w:rsidP="00C869EF">
            <w:pPr>
              <w:keepNext/>
              <w:keepLines/>
              <w:spacing w:after="0"/>
              <w:rPr>
                <w:rFonts w:ascii="Arial" w:hAnsi="Arial"/>
                <w:sz w:val="18"/>
              </w:rPr>
            </w:pPr>
            <w:r w:rsidRPr="00531FAC">
              <w:rPr>
                <w:rFonts w:ascii="Arial" w:hAnsi="Arial"/>
                <w:sz w:val="18"/>
              </w:rPr>
              <w:t xml:space="preserve">The reporting QoS Flow Retainability Threshold that </w:t>
            </w:r>
            <w:r>
              <w:rPr>
                <w:rFonts w:ascii="Arial" w:hAnsi="Arial"/>
                <w:sz w:val="18"/>
              </w:rPr>
              <w:t>is</w:t>
            </w:r>
            <w:r w:rsidRPr="00531FAC">
              <w:rPr>
                <w:rFonts w:ascii="Arial" w:hAnsi="Arial"/>
                <w:sz w:val="18"/>
              </w:rPr>
              <w:t xml:space="preserve"> met or crossed for 5QI of GBR resource type.</w:t>
            </w:r>
          </w:p>
          <w:p w14:paraId="6A007948" w14:textId="77777777" w:rsidR="00C869EF" w:rsidRDefault="00C869EF" w:rsidP="00C869EF">
            <w:pPr>
              <w:pStyle w:val="TAL"/>
            </w:pPr>
            <w:r w:rsidRPr="00531FAC">
              <w:t>(NOTE 1)</w:t>
            </w:r>
          </w:p>
        </w:tc>
        <w:tc>
          <w:tcPr>
            <w:tcW w:w="1697" w:type="dxa"/>
            <w:gridSpan w:val="2"/>
            <w:tcBorders>
              <w:top w:val="single" w:sz="6" w:space="0" w:color="auto"/>
              <w:left w:val="single" w:sz="6" w:space="0" w:color="auto"/>
              <w:bottom w:val="single" w:sz="6" w:space="0" w:color="auto"/>
              <w:right w:val="single" w:sz="6" w:space="0" w:color="auto"/>
            </w:tcBorders>
          </w:tcPr>
          <w:p w14:paraId="2F39B120" w14:textId="77777777" w:rsidR="00C869EF" w:rsidRDefault="00C869EF" w:rsidP="00C869EF">
            <w:pPr>
              <w:pStyle w:val="TAL"/>
            </w:pPr>
          </w:p>
        </w:tc>
      </w:tr>
      <w:tr w:rsidR="00C869EF" w14:paraId="2A6279A4"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45D420E2" w14:textId="77777777" w:rsidR="00C869EF" w:rsidRDefault="00C869EF" w:rsidP="00C869EF">
            <w:pPr>
              <w:pStyle w:val="TAL"/>
            </w:pPr>
            <w:r>
              <w:t>ranUeThrouThd</w:t>
            </w:r>
          </w:p>
        </w:tc>
        <w:tc>
          <w:tcPr>
            <w:tcW w:w="1558" w:type="dxa"/>
            <w:gridSpan w:val="2"/>
            <w:tcBorders>
              <w:top w:val="single" w:sz="6" w:space="0" w:color="auto"/>
              <w:left w:val="single" w:sz="6" w:space="0" w:color="auto"/>
              <w:bottom w:val="single" w:sz="6" w:space="0" w:color="auto"/>
              <w:right w:val="single" w:sz="6" w:space="0" w:color="auto"/>
            </w:tcBorders>
          </w:tcPr>
          <w:p w14:paraId="75FE51DE" w14:textId="77777777" w:rsidR="00C869EF" w:rsidRDefault="00C869EF" w:rsidP="00C869EF">
            <w:pPr>
              <w:pStyle w:val="TAL"/>
              <w:rPr>
                <w:lang w:eastAsia="zh-CN"/>
              </w:rPr>
            </w:pPr>
            <w:r>
              <w:rPr>
                <w:lang w:eastAsia="zh-CN"/>
              </w:rPr>
              <w:t>BitRate</w:t>
            </w:r>
          </w:p>
        </w:tc>
        <w:tc>
          <w:tcPr>
            <w:tcW w:w="425" w:type="dxa"/>
            <w:gridSpan w:val="2"/>
            <w:tcBorders>
              <w:top w:val="single" w:sz="6" w:space="0" w:color="auto"/>
              <w:left w:val="single" w:sz="6" w:space="0" w:color="auto"/>
              <w:bottom w:val="single" w:sz="6" w:space="0" w:color="auto"/>
              <w:right w:val="single" w:sz="6" w:space="0" w:color="auto"/>
            </w:tcBorders>
          </w:tcPr>
          <w:p w14:paraId="3897B4B3"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2EFC0507"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1559BAC2" w14:textId="7882D4E6" w:rsidR="00C869EF" w:rsidRPr="00531FAC" w:rsidRDefault="00C869EF" w:rsidP="00C869EF">
            <w:pPr>
              <w:keepNext/>
              <w:keepLines/>
              <w:spacing w:after="0"/>
              <w:rPr>
                <w:rFonts w:ascii="Arial" w:hAnsi="Arial"/>
                <w:sz w:val="18"/>
              </w:rPr>
            </w:pPr>
            <w:r w:rsidRPr="00531FAC">
              <w:rPr>
                <w:rFonts w:ascii="Arial" w:hAnsi="Arial"/>
                <w:sz w:val="18"/>
              </w:rPr>
              <w:t xml:space="preserve">The reporting RAN UE Throughput Threshold that </w:t>
            </w:r>
            <w:r>
              <w:rPr>
                <w:rFonts w:ascii="Arial" w:hAnsi="Arial"/>
                <w:sz w:val="18"/>
              </w:rPr>
              <w:t>is</w:t>
            </w:r>
            <w:r w:rsidRPr="00531FAC">
              <w:rPr>
                <w:rFonts w:ascii="Arial" w:hAnsi="Arial"/>
                <w:sz w:val="18"/>
              </w:rPr>
              <w:t xml:space="preserve"> met or crossed for 5QI of non-GBR resource type.</w:t>
            </w:r>
          </w:p>
          <w:p w14:paraId="2E5E5675" w14:textId="77777777" w:rsidR="00C869EF" w:rsidRDefault="00C869EF" w:rsidP="00C869EF">
            <w:pPr>
              <w:pStyle w:val="TAL"/>
            </w:pPr>
            <w:r w:rsidRPr="00531FAC">
              <w:t>(NOTE 1)</w:t>
            </w:r>
          </w:p>
        </w:tc>
        <w:tc>
          <w:tcPr>
            <w:tcW w:w="1697" w:type="dxa"/>
            <w:gridSpan w:val="2"/>
            <w:tcBorders>
              <w:top w:val="single" w:sz="6" w:space="0" w:color="auto"/>
              <w:left w:val="single" w:sz="6" w:space="0" w:color="auto"/>
              <w:bottom w:val="single" w:sz="6" w:space="0" w:color="auto"/>
              <w:right w:val="single" w:sz="6" w:space="0" w:color="auto"/>
            </w:tcBorders>
          </w:tcPr>
          <w:p w14:paraId="74277FE5" w14:textId="77777777" w:rsidR="00C869EF" w:rsidRDefault="00C869EF" w:rsidP="00C869EF">
            <w:pPr>
              <w:pStyle w:val="TAL"/>
            </w:pPr>
          </w:p>
        </w:tc>
      </w:tr>
      <w:tr w:rsidR="00C869EF" w14:paraId="4EBEB2B7"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EE14F63" w14:textId="77777777" w:rsidR="00C869EF" w:rsidRDefault="00C869EF" w:rsidP="00C869EF">
            <w:pPr>
              <w:pStyle w:val="TAL"/>
            </w:pPr>
            <w:r>
              <w:t>e2eDelay</w:t>
            </w:r>
            <w:r w:rsidRPr="00531FAC">
              <w:t>Thd</w:t>
            </w:r>
          </w:p>
        </w:tc>
        <w:tc>
          <w:tcPr>
            <w:tcW w:w="1558" w:type="dxa"/>
            <w:gridSpan w:val="2"/>
            <w:tcBorders>
              <w:top w:val="single" w:sz="6" w:space="0" w:color="auto"/>
              <w:left w:val="single" w:sz="6" w:space="0" w:color="auto"/>
              <w:bottom w:val="single" w:sz="6" w:space="0" w:color="auto"/>
              <w:right w:val="single" w:sz="6" w:space="0" w:color="auto"/>
            </w:tcBorders>
          </w:tcPr>
          <w:p w14:paraId="44AF5564" w14:textId="77777777" w:rsidR="00C869EF" w:rsidRDefault="00C869EF" w:rsidP="00C869EF">
            <w:pPr>
              <w:pStyle w:val="TAL"/>
              <w:rPr>
                <w:lang w:eastAsia="zh-CN"/>
              </w:rPr>
            </w:pPr>
            <w:r>
              <w:rPr>
                <w:lang w:eastAsia="zh-CN"/>
              </w:rPr>
              <w:t>PacketDelBudget</w:t>
            </w:r>
          </w:p>
        </w:tc>
        <w:tc>
          <w:tcPr>
            <w:tcW w:w="425" w:type="dxa"/>
            <w:gridSpan w:val="2"/>
            <w:tcBorders>
              <w:top w:val="single" w:sz="6" w:space="0" w:color="auto"/>
              <w:left w:val="single" w:sz="6" w:space="0" w:color="auto"/>
              <w:bottom w:val="single" w:sz="6" w:space="0" w:color="auto"/>
              <w:right w:val="single" w:sz="6" w:space="0" w:color="auto"/>
            </w:tcBorders>
          </w:tcPr>
          <w:p w14:paraId="156BC1A9" w14:textId="77777777" w:rsidR="00C869EF" w:rsidRDefault="00C869EF" w:rsidP="00C869EF">
            <w:pPr>
              <w:pStyle w:val="TAC"/>
            </w:pPr>
            <w:r w:rsidRPr="00531FAC">
              <w:t>C</w:t>
            </w:r>
          </w:p>
        </w:tc>
        <w:tc>
          <w:tcPr>
            <w:tcW w:w="1134" w:type="dxa"/>
            <w:gridSpan w:val="2"/>
            <w:tcBorders>
              <w:top w:val="single" w:sz="6" w:space="0" w:color="auto"/>
              <w:left w:val="single" w:sz="6" w:space="0" w:color="auto"/>
              <w:bottom w:val="single" w:sz="6" w:space="0" w:color="auto"/>
              <w:right w:val="single" w:sz="6" w:space="0" w:color="auto"/>
            </w:tcBorders>
          </w:tcPr>
          <w:p w14:paraId="61F12C30" w14:textId="77777777" w:rsidR="00C869EF" w:rsidRDefault="00C869EF" w:rsidP="00C869EF">
            <w:pPr>
              <w:pStyle w:val="TAL"/>
            </w:pPr>
            <w:r w:rsidRPr="00531FAC">
              <w:t>0..1</w:t>
            </w:r>
          </w:p>
        </w:tc>
        <w:tc>
          <w:tcPr>
            <w:tcW w:w="3000" w:type="dxa"/>
            <w:gridSpan w:val="2"/>
            <w:tcBorders>
              <w:top w:val="single" w:sz="6" w:space="0" w:color="auto"/>
              <w:left w:val="single" w:sz="6" w:space="0" w:color="auto"/>
              <w:bottom w:val="single" w:sz="6" w:space="0" w:color="auto"/>
              <w:right w:val="single" w:sz="6" w:space="0" w:color="auto"/>
            </w:tcBorders>
          </w:tcPr>
          <w:p w14:paraId="7C390553" w14:textId="77777777" w:rsidR="00C869EF" w:rsidRPr="00531FAC" w:rsidRDefault="00C869EF" w:rsidP="00C869EF">
            <w:pPr>
              <w:keepNext/>
              <w:keepLines/>
              <w:spacing w:after="0"/>
              <w:rPr>
                <w:rFonts w:ascii="Arial" w:hAnsi="Arial"/>
                <w:sz w:val="18"/>
              </w:rPr>
            </w:pPr>
            <w:r w:rsidRPr="00531FAC">
              <w:rPr>
                <w:rFonts w:ascii="Arial" w:hAnsi="Arial"/>
                <w:sz w:val="18"/>
              </w:rPr>
              <w:t xml:space="preserve">The reporting </w:t>
            </w:r>
            <w:r>
              <w:rPr>
                <w:rFonts w:ascii="Arial" w:hAnsi="Arial"/>
                <w:sz w:val="18"/>
              </w:rPr>
              <w:t>end-to-end delay</w:t>
            </w:r>
            <w:r w:rsidRPr="00531FAC">
              <w:rPr>
                <w:rFonts w:ascii="Arial" w:hAnsi="Arial"/>
                <w:sz w:val="18"/>
              </w:rPr>
              <w:t xml:space="preserve"> Threshold that </w:t>
            </w:r>
            <w:r>
              <w:rPr>
                <w:rFonts w:ascii="Arial" w:hAnsi="Arial"/>
                <w:sz w:val="18"/>
              </w:rPr>
              <w:t>is</w:t>
            </w:r>
            <w:r w:rsidRPr="00531FAC">
              <w:rPr>
                <w:rFonts w:ascii="Arial" w:hAnsi="Arial"/>
                <w:sz w:val="18"/>
              </w:rPr>
              <w:t xml:space="preserve"> met or crossed for 5QI of non-GBR resource type.</w:t>
            </w:r>
          </w:p>
          <w:p w14:paraId="328E43D4" w14:textId="77777777" w:rsidR="00C869EF" w:rsidRPr="00531FAC" w:rsidRDefault="00C869EF" w:rsidP="00C869EF">
            <w:pPr>
              <w:keepNext/>
              <w:keepLines/>
              <w:spacing w:after="0"/>
              <w:rPr>
                <w:rFonts w:ascii="Arial" w:hAnsi="Arial"/>
                <w:sz w:val="18"/>
              </w:rPr>
            </w:pPr>
            <w:r w:rsidRPr="00531FAC">
              <w:rPr>
                <w:rFonts w:ascii="Arial" w:hAnsi="Arial"/>
                <w:sz w:val="18"/>
              </w:rPr>
              <w:t>(NOTE 1)</w:t>
            </w:r>
          </w:p>
        </w:tc>
        <w:tc>
          <w:tcPr>
            <w:tcW w:w="1697" w:type="dxa"/>
            <w:gridSpan w:val="2"/>
            <w:tcBorders>
              <w:top w:val="single" w:sz="6" w:space="0" w:color="auto"/>
              <w:left w:val="single" w:sz="6" w:space="0" w:color="auto"/>
              <w:bottom w:val="single" w:sz="6" w:space="0" w:color="auto"/>
              <w:right w:val="single" w:sz="6" w:space="0" w:color="auto"/>
            </w:tcBorders>
          </w:tcPr>
          <w:p w14:paraId="16CCED77" w14:textId="77777777" w:rsidR="00C869EF" w:rsidRDefault="00C869EF" w:rsidP="00C869EF">
            <w:pPr>
              <w:pStyle w:val="TAL"/>
            </w:pPr>
            <w:r w:rsidRPr="004337F2">
              <w:t>QoSSustainabilityExt2</w:t>
            </w:r>
          </w:p>
        </w:tc>
      </w:tr>
      <w:tr w:rsidR="00C869EF" w14:paraId="104493C6"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04DAF113" w14:textId="77777777" w:rsidR="00C869EF" w:rsidRDefault="00C869EF" w:rsidP="00C869EF">
            <w:pPr>
              <w:pStyle w:val="TAL"/>
            </w:pPr>
            <w:r>
              <w:t>snssai</w:t>
            </w:r>
          </w:p>
        </w:tc>
        <w:tc>
          <w:tcPr>
            <w:tcW w:w="1558" w:type="dxa"/>
            <w:gridSpan w:val="2"/>
            <w:tcBorders>
              <w:top w:val="single" w:sz="6" w:space="0" w:color="auto"/>
              <w:left w:val="single" w:sz="6" w:space="0" w:color="auto"/>
              <w:bottom w:val="single" w:sz="6" w:space="0" w:color="auto"/>
              <w:right w:val="single" w:sz="6" w:space="0" w:color="auto"/>
            </w:tcBorders>
          </w:tcPr>
          <w:p w14:paraId="5E5F0A2B" w14:textId="77777777" w:rsidR="00C869EF" w:rsidRDefault="00C869EF" w:rsidP="00C869EF">
            <w:pPr>
              <w:pStyle w:val="TAL"/>
              <w:rPr>
                <w:lang w:eastAsia="zh-CN"/>
              </w:rPr>
            </w:pPr>
            <w:r>
              <w:t>Snssai</w:t>
            </w:r>
          </w:p>
        </w:tc>
        <w:tc>
          <w:tcPr>
            <w:tcW w:w="425" w:type="dxa"/>
            <w:gridSpan w:val="2"/>
            <w:tcBorders>
              <w:top w:val="single" w:sz="6" w:space="0" w:color="auto"/>
              <w:left w:val="single" w:sz="6" w:space="0" w:color="auto"/>
              <w:bottom w:val="single" w:sz="6" w:space="0" w:color="auto"/>
              <w:right w:val="single" w:sz="6" w:space="0" w:color="auto"/>
            </w:tcBorders>
          </w:tcPr>
          <w:p w14:paraId="7F15EA29"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06C51F3C"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534BE97B" w14:textId="77777777" w:rsidR="00C869EF" w:rsidRDefault="00C869EF" w:rsidP="00C869EF">
            <w:pPr>
              <w:pStyle w:val="TAL"/>
              <w:rPr>
                <w:rFonts w:eastAsia="Batang"/>
              </w:rPr>
            </w:pPr>
            <w:r>
              <w:rPr>
                <w:rFonts w:eastAsia="Batang"/>
              </w:rPr>
              <w:t>Identifies an S-NSSAI.</w:t>
            </w:r>
          </w:p>
          <w:p w14:paraId="224905BA" w14:textId="77777777" w:rsidR="00C869EF" w:rsidRDefault="00C869EF" w:rsidP="00C869EF">
            <w:pPr>
              <w:pStyle w:val="TAL"/>
            </w:pPr>
            <w:r>
              <w:rPr>
                <w:rFonts w:eastAsia="Batang"/>
              </w:rPr>
              <w:t xml:space="preserve">Shall be present if the </w:t>
            </w:r>
            <w:r>
              <w:t>"snssais" was provided within EventSubscription during the subscription for event notification procedure.</w:t>
            </w:r>
          </w:p>
        </w:tc>
        <w:tc>
          <w:tcPr>
            <w:tcW w:w="1697" w:type="dxa"/>
            <w:gridSpan w:val="2"/>
            <w:tcBorders>
              <w:top w:val="single" w:sz="6" w:space="0" w:color="auto"/>
              <w:left w:val="single" w:sz="6" w:space="0" w:color="auto"/>
              <w:bottom w:val="single" w:sz="6" w:space="0" w:color="auto"/>
              <w:right w:val="single" w:sz="6" w:space="0" w:color="auto"/>
            </w:tcBorders>
          </w:tcPr>
          <w:p w14:paraId="666D7594" w14:textId="77777777" w:rsidR="00C869EF" w:rsidRDefault="00C869EF" w:rsidP="00C869EF">
            <w:pPr>
              <w:pStyle w:val="TAL"/>
            </w:pPr>
          </w:p>
        </w:tc>
      </w:tr>
      <w:tr w:rsidR="00C869EF" w14:paraId="05881333" w14:textId="77777777">
        <w:trPr>
          <w:gridAfter w:val="1"/>
          <w:wAfter w:w="3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31E5C0B6" w14:textId="77777777" w:rsidR="00C869EF" w:rsidRDefault="00C869EF" w:rsidP="00C869EF">
            <w:pPr>
              <w:pStyle w:val="TAL"/>
            </w:pPr>
            <w:r>
              <w:t>confidence</w:t>
            </w:r>
          </w:p>
        </w:tc>
        <w:tc>
          <w:tcPr>
            <w:tcW w:w="1558" w:type="dxa"/>
            <w:gridSpan w:val="2"/>
            <w:tcBorders>
              <w:top w:val="single" w:sz="6" w:space="0" w:color="auto"/>
              <w:left w:val="single" w:sz="6" w:space="0" w:color="auto"/>
              <w:bottom w:val="single" w:sz="6" w:space="0" w:color="auto"/>
              <w:right w:val="single" w:sz="6" w:space="0" w:color="auto"/>
            </w:tcBorders>
          </w:tcPr>
          <w:p w14:paraId="561EDF48" w14:textId="77777777" w:rsidR="00C869EF" w:rsidRDefault="00C869EF" w:rsidP="00C869EF">
            <w:pPr>
              <w:pStyle w:val="TAL"/>
            </w:pPr>
            <w:r>
              <w:t>Uinteger</w:t>
            </w:r>
          </w:p>
        </w:tc>
        <w:tc>
          <w:tcPr>
            <w:tcW w:w="425" w:type="dxa"/>
            <w:gridSpan w:val="2"/>
            <w:tcBorders>
              <w:top w:val="single" w:sz="6" w:space="0" w:color="auto"/>
              <w:left w:val="single" w:sz="6" w:space="0" w:color="auto"/>
              <w:bottom w:val="single" w:sz="6" w:space="0" w:color="auto"/>
              <w:right w:val="single" w:sz="6" w:space="0" w:color="auto"/>
            </w:tcBorders>
          </w:tcPr>
          <w:p w14:paraId="7968ACD6" w14:textId="77777777" w:rsidR="00C869EF" w:rsidRDefault="00C869EF" w:rsidP="00C869EF">
            <w:pPr>
              <w:pStyle w:val="TAC"/>
            </w:pPr>
            <w:r>
              <w:t>C</w:t>
            </w:r>
          </w:p>
        </w:tc>
        <w:tc>
          <w:tcPr>
            <w:tcW w:w="1134" w:type="dxa"/>
            <w:gridSpan w:val="2"/>
            <w:tcBorders>
              <w:top w:val="single" w:sz="6" w:space="0" w:color="auto"/>
              <w:left w:val="single" w:sz="6" w:space="0" w:color="auto"/>
              <w:bottom w:val="single" w:sz="6" w:space="0" w:color="auto"/>
              <w:right w:val="single" w:sz="6" w:space="0" w:color="auto"/>
            </w:tcBorders>
          </w:tcPr>
          <w:p w14:paraId="3FBB8C39" w14:textId="77777777" w:rsidR="00C869EF" w:rsidRDefault="00C869EF" w:rsidP="00C869EF">
            <w:pPr>
              <w:pStyle w:val="TAL"/>
            </w:pPr>
            <w:r>
              <w:t>0..1</w:t>
            </w:r>
          </w:p>
        </w:tc>
        <w:tc>
          <w:tcPr>
            <w:tcW w:w="3000" w:type="dxa"/>
            <w:gridSpan w:val="2"/>
            <w:tcBorders>
              <w:top w:val="single" w:sz="6" w:space="0" w:color="auto"/>
              <w:left w:val="single" w:sz="6" w:space="0" w:color="auto"/>
              <w:bottom w:val="single" w:sz="6" w:space="0" w:color="auto"/>
              <w:right w:val="single" w:sz="6" w:space="0" w:color="auto"/>
            </w:tcBorders>
          </w:tcPr>
          <w:p w14:paraId="18FF3190" w14:textId="77777777" w:rsidR="00C869EF" w:rsidRDefault="00C869EF" w:rsidP="00C869EF">
            <w:pPr>
              <w:pStyle w:val="TAL"/>
            </w:pPr>
            <w:r>
              <w:t>Indicates the confidence of the prediction. (NOTE 2)</w:t>
            </w:r>
          </w:p>
          <w:p w14:paraId="111D2666" w14:textId="77777777" w:rsidR="00C869EF" w:rsidRDefault="00C869EF" w:rsidP="00C869EF">
            <w:pPr>
              <w:pStyle w:val="TAL"/>
            </w:pPr>
            <w:r>
              <w:t>Shall be present if the analytics result is a prediction.</w:t>
            </w:r>
          </w:p>
          <w:p w14:paraId="2656DCAA" w14:textId="77777777" w:rsidR="00C869EF" w:rsidRDefault="00C869EF" w:rsidP="00C869EF">
            <w:pPr>
              <w:pStyle w:val="TAL"/>
            </w:pPr>
            <w:r>
              <w:rPr>
                <w:rFonts w:cs="Arial"/>
                <w:szCs w:val="18"/>
                <w:lang w:eastAsia="zh-CN"/>
              </w:rPr>
              <w:t>Minimum = 0. Maximum = 100.</w:t>
            </w:r>
          </w:p>
        </w:tc>
        <w:tc>
          <w:tcPr>
            <w:tcW w:w="1697" w:type="dxa"/>
            <w:gridSpan w:val="2"/>
            <w:tcBorders>
              <w:top w:val="single" w:sz="6" w:space="0" w:color="auto"/>
              <w:left w:val="single" w:sz="6" w:space="0" w:color="auto"/>
              <w:bottom w:val="single" w:sz="6" w:space="0" w:color="auto"/>
              <w:right w:val="single" w:sz="6" w:space="0" w:color="auto"/>
            </w:tcBorders>
          </w:tcPr>
          <w:p w14:paraId="6D5C35C7" w14:textId="77777777" w:rsidR="00C869EF" w:rsidRDefault="00C869EF" w:rsidP="00C869EF">
            <w:pPr>
              <w:pStyle w:val="TAL"/>
            </w:pPr>
          </w:p>
        </w:tc>
      </w:tr>
      <w:tr w:rsidR="00C869EF" w14:paraId="4F03F131" w14:textId="77777777">
        <w:trPr>
          <w:gridAfter w:val="1"/>
          <w:wAfter w:w="36" w:type="dxa"/>
          <w:jc w:val="center"/>
        </w:trPr>
        <w:tc>
          <w:tcPr>
            <w:tcW w:w="9345" w:type="dxa"/>
            <w:gridSpan w:val="12"/>
            <w:tcBorders>
              <w:top w:val="single" w:sz="6" w:space="0" w:color="auto"/>
              <w:left w:val="single" w:sz="6" w:space="0" w:color="auto"/>
              <w:bottom w:val="single" w:sz="6" w:space="0" w:color="auto"/>
              <w:right w:val="single" w:sz="6" w:space="0" w:color="auto"/>
            </w:tcBorders>
          </w:tcPr>
          <w:p w14:paraId="50554166" w14:textId="77777777" w:rsidR="00C869EF" w:rsidRDefault="00C869EF" w:rsidP="00C869EF">
            <w:pPr>
              <w:pStyle w:val="TAN"/>
              <w:rPr>
                <w:rFonts w:cs="Arial"/>
                <w:szCs w:val="18"/>
              </w:rPr>
            </w:pPr>
            <w:r>
              <w:rPr>
                <w:rFonts w:cs="Arial"/>
                <w:szCs w:val="18"/>
              </w:rPr>
              <w:t>NOTE 1:</w:t>
            </w:r>
            <w:r>
              <w:rPr>
                <w:rFonts w:cs="Arial"/>
                <w:szCs w:val="18"/>
              </w:rPr>
              <w:tab/>
            </w:r>
            <w:r w:rsidRPr="00531FAC">
              <w:rPr>
                <w:rFonts w:cs="Arial"/>
                <w:szCs w:val="18"/>
              </w:rPr>
              <w:t>Either "</w:t>
            </w:r>
            <w:r w:rsidRPr="00531FAC">
              <w:t>qosFlowRetThd"</w:t>
            </w:r>
            <w:r w:rsidRPr="00531FAC">
              <w:rPr>
                <w:rFonts w:cs="Arial"/>
                <w:szCs w:val="18"/>
              </w:rPr>
              <w:t xml:space="preserve"> or "</w:t>
            </w:r>
            <w:r w:rsidRPr="00531FAC">
              <w:t xml:space="preserve">ranUeThrouThd" </w:t>
            </w:r>
            <w:r>
              <w:t xml:space="preserve">or, </w:t>
            </w:r>
            <w:r>
              <w:rPr>
                <w:lang w:eastAsia="zh-CN"/>
              </w:rPr>
              <w:t>if the "</w:t>
            </w:r>
            <w:r w:rsidRPr="006C62CC">
              <w:rPr>
                <w:rFonts w:cs="Arial"/>
                <w:szCs w:val="18"/>
              </w:rPr>
              <w:t>QoSSustainabilityExt2</w:t>
            </w:r>
            <w:r>
              <w:rPr>
                <w:lang w:eastAsia="zh-CN"/>
              </w:rPr>
              <w:t>" feature is supported,</w:t>
            </w:r>
            <w:r>
              <w:t xml:space="preserve"> "e2eDelayThd" </w:t>
            </w:r>
            <w:r w:rsidRPr="00531FAC">
              <w:t>attribute</w:t>
            </w:r>
            <w:r w:rsidRPr="00531FAC">
              <w:rPr>
                <w:rFonts w:cs="Arial"/>
                <w:szCs w:val="18"/>
              </w:rPr>
              <w:t xml:space="preserve"> shall be provided.</w:t>
            </w:r>
          </w:p>
          <w:p w14:paraId="71BAD6E5" w14:textId="77777777" w:rsidR="00C869EF" w:rsidRDefault="00C869EF" w:rsidP="00C869EF">
            <w:pPr>
              <w:pStyle w:val="TAN"/>
              <w:rPr>
                <w:rFonts w:cs="Arial"/>
                <w:szCs w:val="18"/>
              </w:rPr>
            </w:pPr>
            <w:r>
              <w:rPr>
                <w:rFonts w:cs="Arial"/>
                <w:szCs w:val="18"/>
              </w:rPr>
              <w:t>NOTE 2:</w:t>
            </w:r>
            <w:r>
              <w:rPr>
                <w:rFonts w:cs="Arial"/>
                <w:szCs w:val="18"/>
              </w:rP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27D2FE29" w14:textId="77777777" w:rsidR="00C869EF" w:rsidRDefault="00C869EF" w:rsidP="00C869EF">
            <w:pPr>
              <w:pStyle w:val="TAN"/>
            </w:pPr>
            <w:r>
              <w:t>NOTE 3:</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646D452E" w14:textId="77777777" w:rsidR="00C869EF" w:rsidRDefault="00C869EF" w:rsidP="00C869EF">
            <w:pPr>
              <w:pStyle w:val="TAN"/>
              <w:rPr>
                <w:rFonts w:cs="Arial"/>
                <w:szCs w:val="18"/>
              </w:rPr>
            </w:pPr>
            <w:r>
              <w:t>NOTE 4:</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 and/or  "</w:t>
            </w:r>
            <w:r>
              <w:t>spatialGranSizeCell</w:t>
            </w:r>
            <w:r>
              <w:rPr>
                <w:lang w:val="en-US" w:eastAsia="zh-CN"/>
              </w:rPr>
              <w:t>"</w:t>
            </w:r>
            <w:r>
              <w:t xml:space="preserve"> attributes </w:t>
            </w:r>
            <w:r>
              <w:rPr>
                <w:lang w:eastAsia="zh-CN"/>
              </w:rPr>
              <w:t>are</w:t>
            </w:r>
            <w:r>
              <w:t xml:space="preserve"> provided in the request, the number of TAs or cells contained in </w:t>
            </w:r>
            <w:r>
              <w:rPr>
                <w:lang w:val="en-US" w:eastAsia="zh-CN"/>
              </w:rPr>
              <w:t>"</w:t>
            </w:r>
            <w:r>
              <w:t>areaInfo</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 and/or "</w:t>
            </w:r>
            <w:r>
              <w:t>spatialGranSizeCell</w:t>
            </w:r>
            <w:r>
              <w:rPr>
                <w:lang w:val="en-US" w:eastAsia="zh-CN"/>
              </w:rPr>
              <w:t>"</w:t>
            </w:r>
            <w:r>
              <w:t xml:space="preserve"> attributes</w:t>
            </w:r>
            <w:r>
              <w:rPr>
                <w:rFonts w:cs="Arial"/>
                <w:szCs w:val="18"/>
                <w:lang w:eastAsia="zh-CN"/>
              </w:rPr>
              <w:t>.</w:t>
            </w:r>
          </w:p>
        </w:tc>
      </w:tr>
    </w:tbl>
    <w:p w14:paraId="6548CBD3" w14:textId="77777777" w:rsidR="00A10B25" w:rsidRDefault="00A10B25"/>
    <w:p w14:paraId="34C0547D" w14:textId="77777777" w:rsidR="00A10B25" w:rsidRDefault="00A10B25">
      <w:pPr>
        <w:pStyle w:val="5"/>
      </w:pPr>
      <w:bookmarkStart w:id="6317" w:name="_Toc145705710"/>
      <w:bookmarkStart w:id="6318" w:name="_Toc148522614"/>
      <w:bookmarkStart w:id="6319" w:name="_Toc164920794"/>
      <w:bookmarkStart w:id="6320" w:name="_Toc170120336"/>
      <w:bookmarkStart w:id="6321" w:name="_Toc175858581"/>
      <w:bookmarkStart w:id="6322" w:name="_Toc175859654"/>
      <w:bookmarkStart w:id="6323" w:name="_Toc180605944"/>
      <w:bookmarkStart w:id="6324" w:name="_Toc185517198"/>
      <w:bookmarkStart w:id="6325" w:name="_Toc191576249"/>
      <w:bookmarkStart w:id="6326" w:name="_Toc191576989"/>
      <w:bookmarkStart w:id="6327" w:name="_Toc192880059"/>
      <w:bookmarkStart w:id="6328" w:name="_Toc195814942"/>
      <w:bookmarkStart w:id="6329" w:name="_Toc199452909"/>
      <w:r>
        <w:lastRenderedPageBreak/>
        <w:t>5.1.6.2.20</w:t>
      </w:r>
      <w:r>
        <w:tab/>
        <w:t>Type QosRequirement</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7"/>
      <w:bookmarkEnd w:id="6318"/>
      <w:bookmarkEnd w:id="6319"/>
      <w:bookmarkEnd w:id="6320"/>
      <w:bookmarkEnd w:id="6321"/>
      <w:bookmarkEnd w:id="6322"/>
      <w:bookmarkEnd w:id="6323"/>
      <w:bookmarkEnd w:id="6324"/>
      <w:bookmarkEnd w:id="6325"/>
      <w:bookmarkEnd w:id="6326"/>
      <w:bookmarkEnd w:id="6327"/>
      <w:bookmarkEnd w:id="6328"/>
      <w:bookmarkEnd w:id="6329"/>
    </w:p>
    <w:bookmarkEnd w:id="6316"/>
    <w:p w14:paraId="51761C65" w14:textId="77777777" w:rsidR="00A10B25" w:rsidRDefault="00A10B25">
      <w:pPr>
        <w:pStyle w:val="TH"/>
      </w:pPr>
      <w:r>
        <w:t>Table 5.1.6.2.20-1: Definition of type QosRequirement</w:t>
      </w:r>
    </w:p>
    <w:tbl>
      <w:tblPr>
        <w:tblW w:w="500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359"/>
        <w:gridCol w:w="1656"/>
        <w:gridCol w:w="524"/>
        <w:gridCol w:w="1092"/>
        <w:gridCol w:w="2726"/>
        <w:gridCol w:w="2268"/>
      </w:tblGrid>
      <w:tr w:rsidR="00A10B25" w14:paraId="2AFD5E6E" w14:textId="77777777">
        <w:trPr>
          <w:jc w:val="center"/>
        </w:trPr>
        <w:tc>
          <w:tcPr>
            <w:tcW w:w="729" w:type="pct"/>
            <w:shd w:val="clear" w:color="auto" w:fill="C0C0C0"/>
          </w:tcPr>
          <w:p w14:paraId="3B2C387E" w14:textId="77777777" w:rsidR="00A10B25" w:rsidRDefault="00A10B25">
            <w:pPr>
              <w:pStyle w:val="TAH"/>
            </w:pPr>
            <w:r>
              <w:t>Attribute name</w:t>
            </w:r>
          </w:p>
        </w:tc>
        <w:tc>
          <w:tcPr>
            <w:tcW w:w="883" w:type="pct"/>
            <w:shd w:val="clear" w:color="auto" w:fill="C0C0C0"/>
          </w:tcPr>
          <w:p w14:paraId="2A7FFF89" w14:textId="77777777" w:rsidR="00A10B25" w:rsidRDefault="00A10B25">
            <w:pPr>
              <w:pStyle w:val="TAH"/>
            </w:pPr>
            <w:r>
              <w:t>Data type</w:t>
            </w:r>
          </w:p>
        </w:tc>
        <w:tc>
          <w:tcPr>
            <w:tcW w:w="295" w:type="pct"/>
            <w:shd w:val="clear" w:color="auto" w:fill="C0C0C0"/>
          </w:tcPr>
          <w:p w14:paraId="0B7AE25F" w14:textId="77777777" w:rsidR="00A10B25" w:rsidRDefault="00A10B25">
            <w:pPr>
              <w:pStyle w:val="TAH"/>
            </w:pPr>
            <w:r>
              <w:t>P</w:t>
            </w:r>
          </w:p>
        </w:tc>
        <w:tc>
          <w:tcPr>
            <w:tcW w:w="590" w:type="pct"/>
            <w:shd w:val="clear" w:color="auto" w:fill="C0C0C0"/>
          </w:tcPr>
          <w:p w14:paraId="044B0173" w14:textId="77777777" w:rsidR="00A10B25" w:rsidRDefault="00A10B25">
            <w:pPr>
              <w:pStyle w:val="TAH"/>
            </w:pPr>
            <w:r>
              <w:t>Cardinality</w:t>
            </w:r>
          </w:p>
        </w:tc>
        <w:tc>
          <w:tcPr>
            <w:tcW w:w="1439" w:type="pct"/>
            <w:shd w:val="clear" w:color="auto" w:fill="C0C0C0"/>
          </w:tcPr>
          <w:p w14:paraId="4C834F53" w14:textId="77777777" w:rsidR="00A10B25" w:rsidRDefault="00A10B25">
            <w:pPr>
              <w:pStyle w:val="TAH"/>
              <w:rPr>
                <w:rFonts w:cs="Arial"/>
                <w:szCs w:val="18"/>
              </w:rPr>
            </w:pPr>
            <w:r>
              <w:rPr>
                <w:rFonts w:cs="Arial"/>
                <w:szCs w:val="18"/>
              </w:rPr>
              <w:t>Description</w:t>
            </w:r>
          </w:p>
        </w:tc>
        <w:tc>
          <w:tcPr>
            <w:tcW w:w="1063" w:type="pct"/>
            <w:shd w:val="clear" w:color="auto" w:fill="C0C0C0"/>
          </w:tcPr>
          <w:p w14:paraId="648705FB" w14:textId="77777777" w:rsidR="00A10B25" w:rsidRDefault="00A10B25">
            <w:pPr>
              <w:pStyle w:val="TAH"/>
              <w:rPr>
                <w:rFonts w:cs="Arial"/>
                <w:szCs w:val="18"/>
              </w:rPr>
            </w:pPr>
            <w:r>
              <w:rPr>
                <w:rFonts w:cs="Arial"/>
                <w:szCs w:val="18"/>
              </w:rPr>
              <w:t>Applicability</w:t>
            </w:r>
          </w:p>
        </w:tc>
      </w:tr>
      <w:tr w:rsidR="00A10B25" w14:paraId="2E42C7C7" w14:textId="77777777">
        <w:trPr>
          <w:jc w:val="center"/>
        </w:trPr>
        <w:tc>
          <w:tcPr>
            <w:tcW w:w="729" w:type="pct"/>
          </w:tcPr>
          <w:p w14:paraId="551C592F" w14:textId="77777777" w:rsidR="00A10B25" w:rsidRDefault="00A10B25">
            <w:pPr>
              <w:pStyle w:val="TAL"/>
              <w:tabs>
                <w:tab w:val="center" w:pos="1095"/>
              </w:tabs>
            </w:pPr>
            <w:r>
              <w:t>5qi</w:t>
            </w:r>
          </w:p>
        </w:tc>
        <w:tc>
          <w:tcPr>
            <w:tcW w:w="883" w:type="pct"/>
          </w:tcPr>
          <w:p w14:paraId="3B9634E5" w14:textId="77777777" w:rsidR="00A10B25" w:rsidRDefault="00A10B25">
            <w:pPr>
              <w:pStyle w:val="TAL"/>
            </w:pPr>
            <w:r>
              <w:t>5Qi</w:t>
            </w:r>
          </w:p>
        </w:tc>
        <w:tc>
          <w:tcPr>
            <w:tcW w:w="295" w:type="pct"/>
          </w:tcPr>
          <w:p w14:paraId="0C780059" w14:textId="77777777" w:rsidR="00A10B25" w:rsidRDefault="00A10B25">
            <w:pPr>
              <w:pStyle w:val="TAC"/>
            </w:pPr>
            <w:r>
              <w:t>C</w:t>
            </w:r>
          </w:p>
        </w:tc>
        <w:tc>
          <w:tcPr>
            <w:tcW w:w="590" w:type="pct"/>
          </w:tcPr>
          <w:p w14:paraId="72B210EC" w14:textId="77777777" w:rsidR="00A10B25" w:rsidRDefault="00A10B25">
            <w:pPr>
              <w:pStyle w:val="TAL"/>
            </w:pPr>
            <w:r>
              <w:t>0..1</w:t>
            </w:r>
          </w:p>
        </w:tc>
        <w:tc>
          <w:tcPr>
            <w:tcW w:w="1439" w:type="pct"/>
          </w:tcPr>
          <w:p w14:paraId="34402F96" w14:textId="77777777" w:rsidR="00A10B25" w:rsidRDefault="00A10B25">
            <w:pPr>
              <w:pStyle w:val="TAL"/>
            </w:pPr>
            <w:r>
              <w:t>Represents a 5G QoS Identifier. It shall be included for standardized or preconfigured 5QIs. (NOTE)</w:t>
            </w:r>
          </w:p>
        </w:tc>
        <w:tc>
          <w:tcPr>
            <w:tcW w:w="1063" w:type="pct"/>
          </w:tcPr>
          <w:p w14:paraId="1D6E5F17" w14:textId="77777777" w:rsidR="00A10B25" w:rsidRDefault="00A10B25">
            <w:pPr>
              <w:pStyle w:val="TAL"/>
              <w:rPr>
                <w:rFonts w:cs="Arial"/>
                <w:szCs w:val="18"/>
              </w:rPr>
            </w:pPr>
          </w:p>
        </w:tc>
      </w:tr>
      <w:tr w:rsidR="00A10B25" w14:paraId="0F5664E3" w14:textId="77777777">
        <w:trPr>
          <w:jc w:val="center"/>
        </w:trPr>
        <w:tc>
          <w:tcPr>
            <w:tcW w:w="729" w:type="pct"/>
          </w:tcPr>
          <w:p w14:paraId="52F6EFA3" w14:textId="77777777" w:rsidR="00A10B25" w:rsidRDefault="00A10B25">
            <w:pPr>
              <w:pStyle w:val="TAL"/>
              <w:tabs>
                <w:tab w:val="center" w:pos="1095"/>
              </w:tabs>
            </w:pPr>
            <w:r>
              <w:t>gfbr</w:t>
            </w:r>
            <w:r>
              <w:rPr>
                <w:lang w:eastAsia="zh-CN"/>
              </w:rPr>
              <w:t>Ul</w:t>
            </w:r>
          </w:p>
        </w:tc>
        <w:tc>
          <w:tcPr>
            <w:tcW w:w="883" w:type="pct"/>
          </w:tcPr>
          <w:p w14:paraId="665431F4" w14:textId="77777777" w:rsidR="00A10B25" w:rsidRDefault="00A10B25">
            <w:pPr>
              <w:pStyle w:val="TAL"/>
            </w:pPr>
            <w:r>
              <w:t>BitRate</w:t>
            </w:r>
          </w:p>
        </w:tc>
        <w:tc>
          <w:tcPr>
            <w:tcW w:w="295" w:type="pct"/>
          </w:tcPr>
          <w:p w14:paraId="470D5381" w14:textId="77777777" w:rsidR="00A10B25" w:rsidRDefault="00A10B25">
            <w:pPr>
              <w:pStyle w:val="TAC"/>
            </w:pPr>
            <w:r>
              <w:t>C</w:t>
            </w:r>
          </w:p>
        </w:tc>
        <w:tc>
          <w:tcPr>
            <w:tcW w:w="590" w:type="pct"/>
          </w:tcPr>
          <w:p w14:paraId="65494AFC" w14:textId="77777777" w:rsidR="00A10B25" w:rsidRDefault="00A10B25">
            <w:pPr>
              <w:pStyle w:val="TAL"/>
            </w:pPr>
            <w:r>
              <w:rPr>
                <w:lang w:eastAsia="zh-CN"/>
              </w:rPr>
              <w:t>0..1</w:t>
            </w:r>
          </w:p>
        </w:tc>
        <w:tc>
          <w:tcPr>
            <w:tcW w:w="1439" w:type="pct"/>
          </w:tcPr>
          <w:p w14:paraId="47CE9E8E" w14:textId="77777777" w:rsidR="00A10B25" w:rsidRDefault="00A10B25">
            <w:pPr>
              <w:pStyle w:val="TAL"/>
              <w:rPr>
                <w:lang w:eastAsia="zh-CN"/>
              </w:rPr>
            </w:pPr>
            <w:r>
              <w:t>Indicates GFBR</w:t>
            </w:r>
            <w:r>
              <w:rPr>
                <w:lang w:eastAsia="zh-CN"/>
              </w:rPr>
              <w:t xml:space="preserve"> in the uplink.</w:t>
            </w:r>
          </w:p>
          <w:p w14:paraId="5CA594D6" w14:textId="77777777" w:rsidR="00A10B25" w:rsidRDefault="00A10B25">
            <w:pPr>
              <w:pStyle w:val="TAL"/>
            </w:pPr>
            <w:r>
              <w:t>It shall be included for GBR 5QIs.</w:t>
            </w:r>
          </w:p>
        </w:tc>
        <w:tc>
          <w:tcPr>
            <w:tcW w:w="1063" w:type="pct"/>
          </w:tcPr>
          <w:p w14:paraId="574BBB1E" w14:textId="77777777" w:rsidR="00A10B25" w:rsidRDefault="00A10B25">
            <w:pPr>
              <w:pStyle w:val="TAL"/>
              <w:rPr>
                <w:rFonts w:cs="Arial"/>
                <w:szCs w:val="18"/>
              </w:rPr>
            </w:pPr>
          </w:p>
        </w:tc>
      </w:tr>
      <w:tr w:rsidR="00A10B25" w14:paraId="1F9B7A62" w14:textId="77777777">
        <w:trPr>
          <w:jc w:val="center"/>
        </w:trPr>
        <w:tc>
          <w:tcPr>
            <w:tcW w:w="729" w:type="pct"/>
          </w:tcPr>
          <w:p w14:paraId="00691D07" w14:textId="77777777" w:rsidR="00A10B25" w:rsidRDefault="00A10B25">
            <w:pPr>
              <w:pStyle w:val="TAL"/>
              <w:tabs>
                <w:tab w:val="center" w:pos="1095"/>
              </w:tabs>
            </w:pPr>
            <w:r>
              <w:t>gfbr</w:t>
            </w:r>
            <w:r>
              <w:rPr>
                <w:lang w:eastAsia="zh-CN"/>
              </w:rPr>
              <w:t>Dl</w:t>
            </w:r>
          </w:p>
        </w:tc>
        <w:tc>
          <w:tcPr>
            <w:tcW w:w="883" w:type="pct"/>
          </w:tcPr>
          <w:p w14:paraId="5B8B50BC" w14:textId="77777777" w:rsidR="00A10B25" w:rsidRDefault="00A10B25">
            <w:pPr>
              <w:pStyle w:val="TAL"/>
            </w:pPr>
            <w:r>
              <w:t>BitRate</w:t>
            </w:r>
          </w:p>
        </w:tc>
        <w:tc>
          <w:tcPr>
            <w:tcW w:w="295" w:type="pct"/>
          </w:tcPr>
          <w:p w14:paraId="0AA5292C" w14:textId="77777777" w:rsidR="00A10B25" w:rsidRDefault="00A10B25">
            <w:pPr>
              <w:pStyle w:val="TAC"/>
            </w:pPr>
            <w:r>
              <w:t>C</w:t>
            </w:r>
          </w:p>
        </w:tc>
        <w:tc>
          <w:tcPr>
            <w:tcW w:w="590" w:type="pct"/>
          </w:tcPr>
          <w:p w14:paraId="7D293BEC" w14:textId="77777777" w:rsidR="00A10B25" w:rsidRDefault="00A10B25">
            <w:pPr>
              <w:pStyle w:val="TAL"/>
            </w:pPr>
            <w:r>
              <w:rPr>
                <w:lang w:eastAsia="zh-CN"/>
              </w:rPr>
              <w:t>0..1</w:t>
            </w:r>
          </w:p>
        </w:tc>
        <w:tc>
          <w:tcPr>
            <w:tcW w:w="1439" w:type="pct"/>
          </w:tcPr>
          <w:p w14:paraId="31ECBCC1" w14:textId="77777777" w:rsidR="00A10B25" w:rsidRDefault="00A10B25">
            <w:pPr>
              <w:pStyle w:val="TAL"/>
              <w:rPr>
                <w:lang w:eastAsia="zh-CN"/>
              </w:rPr>
            </w:pPr>
            <w:r>
              <w:t>Indicates GFBR</w:t>
            </w:r>
            <w:r>
              <w:rPr>
                <w:lang w:eastAsia="zh-CN"/>
              </w:rPr>
              <w:t xml:space="preserve"> in the downlink.</w:t>
            </w:r>
          </w:p>
          <w:p w14:paraId="621200DE" w14:textId="77777777" w:rsidR="00A10B25" w:rsidRDefault="00A10B25">
            <w:pPr>
              <w:pStyle w:val="TAL"/>
            </w:pPr>
            <w:r>
              <w:t>It shall be included for GBR 5QIs.</w:t>
            </w:r>
          </w:p>
        </w:tc>
        <w:tc>
          <w:tcPr>
            <w:tcW w:w="1063" w:type="pct"/>
          </w:tcPr>
          <w:p w14:paraId="67B82CCC" w14:textId="77777777" w:rsidR="00A10B25" w:rsidRDefault="00A10B25">
            <w:pPr>
              <w:pStyle w:val="TAL"/>
              <w:rPr>
                <w:rFonts w:cs="Arial"/>
                <w:szCs w:val="18"/>
              </w:rPr>
            </w:pPr>
          </w:p>
        </w:tc>
      </w:tr>
      <w:tr w:rsidR="00A10B25" w14:paraId="683BFEA9" w14:textId="77777777">
        <w:trPr>
          <w:jc w:val="center"/>
        </w:trPr>
        <w:tc>
          <w:tcPr>
            <w:tcW w:w="729" w:type="pct"/>
          </w:tcPr>
          <w:p w14:paraId="2AB2C723" w14:textId="77777777" w:rsidR="00A10B25" w:rsidRDefault="00A10B25">
            <w:pPr>
              <w:pStyle w:val="TAL"/>
              <w:tabs>
                <w:tab w:val="center" w:pos="1095"/>
              </w:tabs>
            </w:pPr>
            <w:r>
              <w:t>resType</w:t>
            </w:r>
          </w:p>
        </w:tc>
        <w:tc>
          <w:tcPr>
            <w:tcW w:w="883" w:type="pct"/>
          </w:tcPr>
          <w:p w14:paraId="278E52C6" w14:textId="77777777" w:rsidR="00A10B25" w:rsidRDefault="00A10B25">
            <w:pPr>
              <w:pStyle w:val="TAL"/>
            </w:pPr>
            <w:r>
              <w:t>QosResourceType</w:t>
            </w:r>
          </w:p>
        </w:tc>
        <w:tc>
          <w:tcPr>
            <w:tcW w:w="295" w:type="pct"/>
          </w:tcPr>
          <w:p w14:paraId="1A0A2D3B" w14:textId="77777777" w:rsidR="00A10B25" w:rsidRDefault="00A10B25">
            <w:pPr>
              <w:pStyle w:val="TAC"/>
            </w:pPr>
            <w:r>
              <w:t>C</w:t>
            </w:r>
          </w:p>
        </w:tc>
        <w:tc>
          <w:tcPr>
            <w:tcW w:w="590" w:type="pct"/>
          </w:tcPr>
          <w:p w14:paraId="1375E5DC" w14:textId="77777777" w:rsidR="00A10B25" w:rsidRDefault="00A10B25">
            <w:pPr>
              <w:pStyle w:val="TAL"/>
              <w:rPr>
                <w:lang w:eastAsia="zh-CN"/>
              </w:rPr>
            </w:pPr>
            <w:r>
              <w:rPr>
                <w:lang w:eastAsia="zh-CN"/>
              </w:rPr>
              <w:t>0..1</w:t>
            </w:r>
          </w:p>
        </w:tc>
        <w:tc>
          <w:tcPr>
            <w:tcW w:w="1439" w:type="pct"/>
          </w:tcPr>
          <w:p w14:paraId="2CFFEFF5" w14:textId="77777777" w:rsidR="00A10B25" w:rsidRDefault="00A10B25">
            <w:pPr>
              <w:pStyle w:val="TAL"/>
            </w:pPr>
            <w:r>
              <w:t>Resource type.</w:t>
            </w:r>
          </w:p>
          <w:p w14:paraId="71A544F8" w14:textId="77777777" w:rsidR="00A10B25" w:rsidRDefault="00A10B25">
            <w:pPr>
              <w:pStyle w:val="TAL"/>
            </w:pPr>
            <w:r>
              <w:t>Shall be provided for</w:t>
            </w:r>
            <w:r>
              <w:rPr>
                <w:rFonts w:eastAsia="Batang"/>
              </w:rPr>
              <w:t xml:space="preserve"> the non-standardized and non-preconfigured QoS characteristics. (NOTE)</w:t>
            </w:r>
          </w:p>
        </w:tc>
        <w:tc>
          <w:tcPr>
            <w:tcW w:w="1063" w:type="pct"/>
          </w:tcPr>
          <w:p w14:paraId="6C53DC6C" w14:textId="77777777" w:rsidR="00A10B25" w:rsidRDefault="00A10B25">
            <w:pPr>
              <w:pStyle w:val="TAL"/>
              <w:rPr>
                <w:rFonts w:cs="Arial"/>
                <w:szCs w:val="18"/>
              </w:rPr>
            </w:pPr>
          </w:p>
        </w:tc>
      </w:tr>
      <w:tr w:rsidR="00A10B25" w14:paraId="0CA5806C" w14:textId="77777777">
        <w:trPr>
          <w:jc w:val="center"/>
        </w:trPr>
        <w:tc>
          <w:tcPr>
            <w:tcW w:w="729" w:type="pct"/>
          </w:tcPr>
          <w:p w14:paraId="60A59B18" w14:textId="77777777" w:rsidR="00A10B25" w:rsidRDefault="00A10B25">
            <w:pPr>
              <w:pStyle w:val="TAL"/>
            </w:pPr>
            <w:r>
              <w:t>pdb</w:t>
            </w:r>
          </w:p>
        </w:tc>
        <w:tc>
          <w:tcPr>
            <w:tcW w:w="883" w:type="pct"/>
          </w:tcPr>
          <w:p w14:paraId="4C3BD1AB" w14:textId="77777777" w:rsidR="00A10B25" w:rsidRDefault="00A10B25">
            <w:pPr>
              <w:pStyle w:val="TAL"/>
            </w:pPr>
            <w:r>
              <w:t>PacketDelBudget</w:t>
            </w:r>
          </w:p>
        </w:tc>
        <w:tc>
          <w:tcPr>
            <w:tcW w:w="295" w:type="pct"/>
          </w:tcPr>
          <w:p w14:paraId="2DE760D1" w14:textId="77777777" w:rsidR="00A10B25" w:rsidRDefault="00A10B25">
            <w:pPr>
              <w:pStyle w:val="TAC"/>
            </w:pPr>
            <w:r>
              <w:t>O</w:t>
            </w:r>
          </w:p>
        </w:tc>
        <w:tc>
          <w:tcPr>
            <w:tcW w:w="590" w:type="pct"/>
          </w:tcPr>
          <w:p w14:paraId="207A07A5" w14:textId="77777777" w:rsidR="00A10B25" w:rsidRDefault="00A10B25">
            <w:pPr>
              <w:pStyle w:val="TAL"/>
            </w:pPr>
            <w:r>
              <w:t>0..1</w:t>
            </w:r>
          </w:p>
        </w:tc>
        <w:tc>
          <w:tcPr>
            <w:tcW w:w="1439" w:type="pct"/>
          </w:tcPr>
          <w:p w14:paraId="048416FE" w14:textId="77777777" w:rsidR="00A10B25" w:rsidRDefault="00A10B25">
            <w:pPr>
              <w:pStyle w:val="TAL"/>
              <w:rPr>
                <w:rFonts w:eastAsia="Batang"/>
              </w:rPr>
            </w:pPr>
            <w:r>
              <w:rPr>
                <w:lang w:eastAsia="zh-CN"/>
              </w:rPr>
              <w:t>Packet Delay Budget</w:t>
            </w:r>
            <w:r>
              <w:rPr>
                <w:rFonts w:eastAsia="Batang"/>
              </w:rPr>
              <w:t>.</w:t>
            </w:r>
          </w:p>
          <w:p w14:paraId="5A72BDC7" w14:textId="77777777" w:rsidR="00A10B25" w:rsidRDefault="00A10B25">
            <w:pPr>
              <w:pStyle w:val="TAL"/>
              <w:rPr>
                <w:rFonts w:eastAsia="Batang"/>
              </w:rPr>
            </w:pPr>
            <w:r>
              <w:rPr>
                <w:rFonts w:eastAsia="Batang"/>
              </w:rPr>
              <w:t xml:space="preserve">May be supplied for the non-standardized and non-pre-configured QoS characteristics. </w:t>
            </w:r>
          </w:p>
        </w:tc>
        <w:tc>
          <w:tcPr>
            <w:tcW w:w="1063" w:type="pct"/>
          </w:tcPr>
          <w:p w14:paraId="7EE75B46" w14:textId="77777777" w:rsidR="00A10B25" w:rsidRDefault="00A10B25">
            <w:pPr>
              <w:pStyle w:val="TAL"/>
              <w:rPr>
                <w:rFonts w:cs="Arial"/>
                <w:szCs w:val="18"/>
              </w:rPr>
            </w:pPr>
          </w:p>
        </w:tc>
      </w:tr>
      <w:tr w:rsidR="00A10B25" w14:paraId="7E42FF26" w14:textId="77777777">
        <w:trPr>
          <w:jc w:val="center"/>
        </w:trPr>
        <w:tc>
          <w:tcPr>
            <w:tcW w:w="729" w:type="pct"/>
          </w:tcPr>
          <w:p w14:paraId="443C699B" w14:textId="77777777" w:rsidR="00A10B25" w:rsidRDefault="00A10B25">
            <w:pPr>
              <w:pStyle w:val="TAL"/>
            </w:pPr>
            <w:r>
              <w:t>per</w:t>
            </w:r>
          </w:p>
        </w:tc>
        <w:tc>
          <w:tcPr>
            <w:tcW w:w="883" w:type="pct"/>
          </w:tcPr>
          <w:p w14:paraId="5CAC25E4" w14:textId="77777777" w:rsidR="00A10B25" w:rsidRDefault="00A10B25">
            <w:pPr>
              <w:pStyle w:val="TAL"/>
            </w:pPr>
            <w:r>
              <w:t>PacketErrRate</w:t>
            </w:r>
          </w:p>
        </w:tc>
        <w:tc>
          <w:tcPr>
            <w:tcW w:w="295" w:type="pct"/>
          </w:tcPr>
          <w:p w14:paraId="533679B6" w14:textId="77777777" w:rsidR="00A10B25" w:rsidRDefault="00A10B25">
            <w:pPr>
              <w:pStyle w:val="TAC"/>
            </w:pPr>
            <w:r>
              <w:t>O</w:t>
            </w:r>
          </w:p>
        </w:tc>
        <w:tc>
          <w:tcPr>
            <w:tcW w:w="590" w:type="pct"/>
          </w:tcPr>
          <w:p w14:paraId="6BE82BCF" w14:textId="77777777" w:rsidR="00A10B25" w:rsidRDefault="00A10B25">
            <w:pPr>
              <w:pStyle w:val="TAL"/>
            </w:pPr>
            <w:r>
              <w:t>0..1</w:t>
            </w:r>
          </w:p>
        </w:tc>
        <w:tc>
          <w:tcPr>
            <w:tcW w:w="1439" w:type="pct"/>
          </w:tcPr>
          <w:p w14:paraId="44E5853B" w14:textId="77777777" w:rsidR="00A10B25" w:rsidRDefault="00A10B25">
            <w:pPr>
              <w:pStyle w:val="TAL"/>
              <w:rPr>
                <w:rFonts w:eastAsia="Batang"/>
              </w:rPr>
            </w:pPr>
            <w:r>
              <w:rPr>
                <w:lang w:eastAsia="zh-CN"/>
              </w:rPr>
              <w:t>Packet Error Rate</w:t>
            </w:r>
            <w:r>
              <w:rPr>
                <w:rFonts w:eastAsia="Batang"/>
              </w:rPr>
              <w:t>.</w:t>
            </w:r>
          </w:p>
          <w:p w14:paraId="34350AF7" w14:textId="77777777" w:rsidR="00A10B25" w:rsidRDefault="00A10B25">
            <w:pPr>
              <w:pStyle w:val="TAL"/>
              <w:rPr>
                <w:rFonts w:eastAsia="Batang"/>
              </w:rPr>
            </w:pPr>
            <w:r>
              <w:rPr>
                <w:rFonts w:eastAsia="Batang"/>
              </w:rPr>
              <w:t xml:space="preserve">May be supplied for the non-standardized and non-pre-configured QoS characteristics. </w:t>
            </w:r>
          </w:p>
        </w:tc>
        <w:tc>
          <w:tcPr>
            <w:tcW w:w="1063" w:type="pct"/>
          </w:tcPr>
          <w:p w14:paraId="71F27A19" w14:textId="77777777" w:rsidR="00A10B25" w:rsidRDefault="00A10B25">
            <w:pPr>
              <w:pStyle w:val="TAL"/>
              <w:rPr>
                <w:rFonts w:cs="Arial"/>
                <w:szCs w:val="18"/>
              </w:rPr>
            </w:pPr>
          </w:p>
        </w:tc>
      </w:tr>
      <w:tr w:rsidR="00A10B25" w14:paraId="12908270" w14:textId="77777777">
        <w:trPr>
          <w:jc w:val="center"/>
        </w:trPr>
        <w:tc>
          <w:tcPr>
            <w:tcW w:w="729" w:type="pct"/>
          </w:tcPr>
          <w:p w14:paraId="6B434E90" w14:textId="77777777" w:rsidR="00A10B25" w:rsidRDefault="00A10B25">
            <w:pPr>
              <w:pStyle w:val="TAL"/>
            </w:pPr>
            <w:r>
              <w:rPr>
                <w:lang w:eastAsia="zh-CN"/>
              </w:rPr>
              <w:t>deviceSpeed</w:t>
            </w:r>
          </w:p>
        </w:tc>
        <w:tc>
          <w:tcPr>
            <w:tcW w:w="883" w:type="pct"/>
          </w:tcPr>
          <w:p w14:paraId="1029CA99" w14:textId="77777777" w:rsidR="00A10B25" w:rsidRDefault="00A10B25">
            <w:pPr>
              <w:pStyle w:val="TAL"/>
            </w:pPr>
            <w:r>
              <w:t>VelocityEstimate</w:t>
            </w:r>
          </w:p>
        </w:tc>
        <w:tc>
          <w:tcPr>
            <w:tcW w:w="295" w:type="pct"/>
          </w:tcPr>
          <w:p w14:paraId="2E4E12CB" w14:textId="77777777" w:rsidR="00A10B25" w:rsidRDefault="00A10B25">
            <w:pPr>
              <w:pStyle w:val="TAC"/>
            </w:pPr>
            <w:r>
              <w:t>O</w:t>
            </w:r>
          </w:p>
        </w:tc>
        <w:tc>
          <w:tcPr>
            <w:tcW w:w="590" w:type="pct"/>
          </w:tcPr>
          <w:p w14:paraId="0433CCF7" w14:textId="77777777" w:rsidR="00A10B25" w:rsidRDefault="00A10B25">
            <w:pPr>
              <w:pStyle w:val="TAL"/>
            </w:pPr>
            <w:r>
              <w:t>0..1</w:t>
            </w:r>
          </w:p>
        </w:tc>
        <w:tc>
          <w:tcPr>
            <w:tcW w:w="1439" w:type="pct"/>
          </w:tcPr>
          <w:p w14:paraId="524AE3B1" w14:textId="77777777" w:rsidR="00A10B25" w:rsidRDefault="00A10B25">
            <w:pPr>
              <w:pStyle w:val="TAL"/>
              <w:rPr>
                <w:lang w:eastAsia="zh-CN"/>
              </w:rPr>
            </w:pPr>
            <w:r>
              <w:t>Velocity Estimate.</w:t>
            </w:r>
          </w:p>
        </w:tc>
        <w:tc>
          <w:tcPr>
            <w:tcW w:w="1063" w:type="pct"/>
          </w:tcPr>
          <w:p w14:paraId="1E0DCD7A" w14:textId="77777777" w:rsidR="00A10B25" w:rsidRDefault="00A10B25">
            <w:pPr>
              <w:pStyle w:val="TAL"/>
              <w:rPr>
                <w:rFonts w:cs="Arial"/>
                <w:szCs w:val="18"/>
              </w:rPr>
            </w:pPr>
            <w:r>
              <w:rPr>
                <w:rFonts w:eastAsia="Batang"/>
              </w:rPr>
              <w:t>QoSSustainabilityExt_eNA</w:t>
            </w:r>
          </w:p>
        </w:tc>
      </w:tr>
      <w:tr w:rsidR="00A10B25" w14:paraId="62F9A625" w14:textId="77777777">
        <w:trPr>
          <w:jc w:val="center"/>
        </w:trPr>
        <w:tc>
          <w:tcPr>
            <w:tcW w:w="729" w:type="pct"/>
          </w:tcPr>
          <w:p w14:paraId="4CE8B03E" w14:textId="77777777" w:rsidR="00A10B25" w:rsidRDefault="00A10B25">
            <w:pPr>
              <w:pStyle w:val="TAL"/>
            </w:pPr>
            <w:r>
              <w:rPr>
                <w:rFonts w:hint="eastAsia"/>
                <w:lang w:eastAsia="zh-CN"/>
              </w:rPr>
              <w:t>d</w:t>
            </w:r>
            <w:r>
              <w:rPr>
                <w:lang w:eastAsia="zh-CN"/>
              </w:rPr>
              <w:t>eviceType</w:t>
            </w:r>
          </w:p>
        </w:tc>
        <w:tc>
          <w:tcPr>
            <w:tcW w:w="883" w:type="pct"/>
          </w:tcPr>
          <w:p w14:paraId="15BE2526" w14:textId="77777777" w:rsidR="00A10B25" w:rsidRDefault="00A10B25">
            <w:pPr>
              <w:pStyle w:val="TAL"/>
            </w:pPr>
            <w:r>
              <w:rPr>
                <w:rFonts w:hint="eastAsia"/>
                <w:lang w:eastAsia="zh-CN"/>
              </w:rPr>
              <w:t>D</w:t>
            </w:r>
            <w:r>
              <w:rPr>
                <w:lang w:eastAsia="zh-CN"/>
              </w:rPr>
              <w:t>eviceType</w:t>
            </w:r>
          </w:p>
        </w:tc>
        <w:tc>
          <w:tcPr>
            <w:tcW w:w="295" w:type="pct"/>
          </w:tcPr>
          <w:p w14:paraId="3AA3E87D" w14:textId="77777777" w:rsidR="00A10B25" w:rsidRDefault="00A10B25">
            <w:pPr>
              <w:pStyle w:val="TAC"/>
            </w:pPr>
            <w:r>
              <w:t>O</w:t>
            </w:r>
          </w:p>
        </w:tc>
        <w:tc>
          <w:tcPr>
            <w:tcW w:w="590" w:type="pct"/>
          </w:tcPr>
          <w:p w14:paraId="3D1ADA67" w14:textId="77777777" w:rsidR="00A10B25" w:rsidRDefault="00A10B25">
            <w:pPr>
              <w:pStyle w:val="TAL"/>
            </w:pPr>
            <w:r>
              <w:t>0..1</w:t>
            </w:r>
          </w:p>
        </w:tc>
        <w:tc>
          <w:tcPr>
            <w:tcW w:w="1439" w:type="pct"/>
          </w:tcPr>
          <w:p w14:paraId="4A3976D6" w14:textId="77777777" w:rsidR="00A10B25" w:rsidRDefault="00A10B25">
            <w:pPr>
              <w:pStyle w:val="TAL"/>
              <w:rPr>
                <w:lang w:eastAsia="zh-CN"/>
              </w:rPr>
            </w:pPr>
            <w:r>
              <w:rPr>
                <w:rFonts w:hint="eastAsia"/>
                <w:lang w:eastAsia="zh-CN"/>
              </w:rPr>
              <w:t>T</w:t>
            </w:r>
            <w:r>
              <w:rPr>
                <w:lang w:eastAsia="zh-CN"/>
              </w:rPr>
              <w:t>he device type.</w:t>
            </w:r>
          </w:p>
        </w:tc>
        <w:tc>
          <w:tcPr>
            <w:tcW w:w="1063" w:type="pct"/>
          </w:tcPr>
          <w:p w14:paraId="1990CC48" w14:textId="77777777" w:rsidR="00A10B25" w:rsidRDefault="00A10B25">
            <w:pPr>
              <w:pStyle w:val="TAL"/>
              <w:rPr>
                <w:rFonts w:cs="Arial"/>
                <w:szCs w:val="18"/>
              </w:rPr>
            </w:pPr>
            <w:r>
              <w:rPr>
                <w:rFonts w:eastAsia="Batang"/>
              </w:rPr>
              <w:t>QoSSustainabilityExt_eNA</w:t>
            </w:r>
          </w:p>
        </w:tc>
      </w:tr>
      <w:tr w:rsidR="00A10B25" w14:paraId="0C07DAD0" w14:textId="77777777">
        <w:trPr>
          <w:jc w:val="center"/>
        </w:trPr>
        <w:tc>
          <w:tcPr>
            <w:tcW w:w="5000" w:type="pct"/>
            <w:gridSpan w:val="6"/>
          </w:tcPr>
          <w:p w14:paraId="1E67B7EE" w14:textId="77777777" w:rsidR="00A10B25" w:rsidRDefault="00A10B25">
            <w:pPr>
              <w:pStyle w:val="TAN"/>
              <w:rPr>
                <w:rFonts w:cs="Arial"/>
                <w:szCs w:val="18"/>
              </w:rPr>
            </w:pPr>
            <w:r>
              <w:t>NOTE:</w:t>
            </w:r>
            <w:r>
              <w:tab/>
              <w:t xml:space="preserve">Either 5QI within "5qi" attribute or </w:t>
            </w:r>
            <w:r>
              <w:rPr>
                <w:lang w:val="en-US"/>
              </w:rPr>
              <w:t xml:space="preserve">the resource type within "resType" attribute </w:t>
            </w:r>
            <w:r>
              <w:t>shall be provided.</w:t>
            </w:r>
          </w:p>
        </w:tc>
      </w:tr>
    </w:tbl>
    <w:p w14:paraId="24621DA1" w14:textId="77777777" w:rsidR="00A10B25" w:rsidRDefault="00A10B25"/>
    <w:p w14:paraId="63176893" w14:textId="77777777" w:rsidR="00A10B25" w:rsidRDefault="00A10B25">
      <w:pPr>
        <w:pStyle w:val="5"/>
      </w:pPr>
      <w:bookmarkStart w:id="6330" w:name="_Toc68168976"/>
      <w:bookmarkStart w:id="6331" w:name="_Toc101244429"/>
      <w:bookmarkStart w:id="6332" w:name="_Toc120702323"/>
      <w:bookmarkStart w:id="6333" w:name="_Toc138754224"/>
      <w:bookmarkStart w:id="6334" w:name="_Toc148522615"/>
      <w:bookmarkStart w:id="6335" w:name="_Toc98233653"/>
      <w:bookmarkStart w:id="6336" w:name="_Toc145705711"/>
      <w:bookmarkStart w:id="6337" w:name="_Toc59017947"/>
      <w:bookmarkStart w:id="6338" w:name="_Toc88667600"/>
      <w:bookmarkStart w:id="6339" w:name="_Toc136562390"/>
      <w:bookmarkStart w:id="6340" w:name="_Toc83233089"/>
      <w:bookmarkStart w:id="6341" w:name="_Toc104539022"/>
      <w:bookmarkStart w:id="6342" w:name="_Toc85552999"/>
      <w:bookmarkStart w:id="6343" w:name="_Toc85557098"/>
      <w:bookmarkStart w:id="6344" w:name="_Toc112951144"/>
      <w:bookmarkStart w:id="6345" w:name="_Toc34266304"/>
      <w:bookmarkStart w:id="6346" w:name="_Toc70550643"/>
      <w:bookmarkStart w:id="6347" w:name="_Toc50031992"/>
      <w:bookmarkStart w:id="6348" w:name="_Toc94064268"/>
      <w:bookmarkStart w:id="6349" w:name="_Toc45134060"/>
      <w:bookmarkStart w:id="6350" w:name="_Toc36102475"/>
      <w:bookmarkStart w:id="6351" w:name="_Toc90655885"/>
      <w:bookmarkStart w:id="6352" w:name="_Toc56640979"/>
      <w:bookmarkStart w:id="6353" w:name="_Toc66231815"/>
      <w:bookmarkStart w:id="6354" w:name="_Toc114133823"/>
      <w:bookmarkStart w:id="6355" w:name="_Toc43563517"/>
      <w:bookmarkStart w:id="6356" w:name="_Toc51762912"/>
      <w:bookmarkStart w:id="6357" w:name="_Toc113031684"/>
      <w:bookmarkStart w:id="6358" w:name="_Toc164920795"/>
      <w:bookmarkStart w:id="6359" w:name="_Toc170120337"/>
      <w:bookmarkStart w:id="6360" w:name="_Toc175858582"/>
      <w:bookmarkStart w:id="6361" w:name="_Toc175859655"/>
      <w:bookmarkStart w:id="6362" w:name="_Toc180605945"/>
      <w:bookmarkStart w:id="6363" w:name="_Toc185517199"/>
      <w:bookmarkStart w:id="6364" w:name="_Toc191576250"/>
      <w:bookmarkStart w:id="6365" w:name="_Toc191576990"/>
      <w:bookmarkStart w:id="6366" w:name="_Toc192880060"/>
      <w:bookmarkStart w:id="6367" w:name="_Toc195814943"/>
      <w:bookmarkStart w:id="6368" w:name="_Toc199452910"/>
      <w:r>
        <w:t>5.1.6.2.21</w:t>
      </w:r>
      <w:r>
        <w:tab/>
        <w:t>Type RetainabilityThreshold</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1413CD5C" w14:textId="77777777" w:rsidR="00A10B25" w:rsidRDefault="00A10B25">
      <w:pPr>
        <w:pStyle w:val="TH"/>
      </w:pPr>
      <w:r>
        <w:rPr>
          <w:lang w:val="en-US" w:eastAsia="zh-CN"/>
        </w:rPr>
        <w:t>Table </w:t>
      </w:r>
      <w:r>
        <w:t xml:space="preserve">5.1.6.2.21-1: </w:t>
      </w:r>
      <w:r>
        <w:rPr>
          <w:lang w:val="en-US" w:eastAsia="zh-CN"/>
        </w:rPr>
        <w:t xml:space="preserve">Definition of type </w:t>
      </w:r>
      <w:r>
        <w:t>RetainabilityThreshold</w:t>
      </w:r>
    </w:p>
    <w:tbl>
      <w:tblPr>
        <w:tblW w:w="498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93"/>
        <w:gridCol w:w="1881"/>
        <w:gridCol w:w="279"/>
        <w:gridCol w:w="1067"/>
        <w:gridCol w:w="2290"/>
        <w:gridCol w:w="1686"/>
      </w:tblGrid>
      <w:tr w:rsidR="00A10B25" w14:paraId="714AC680" w14:textId="77777777">
        <w:trPr>
          <w:jc w:val="center"/>
        </w:trPr>
        <w:tc>
          <w:tcPr>
            <w:tcW w:w="1249" w:type="pct"/>
            <w:shd w:val="clear" w:color="auto" w:fill="C0C0C0"/>
          </w:tcPr>
          <w:p w14:paraId="56BA02DC" w14:textId="77777777" w:rsidR="00A10B25" w:rsidRDefault="00A10B25">
            <w:pPr>
              <w:pStyle w:val="TAH"/>
            </w:pPr>
            <w:r>
              <w:t>Attribute name</w:t>
            </w:r>
          </w:p>
        </w:tc>
        <w:tc>
          <w:tcPr>
            <w:tcW w:w="982" w:type="pct"/>
            <w:shd w:val="clear" w:color="auto" w:fill="C0C0C0"/>
          </w:tcPr>
          <w:p w14:paraId="390C93DB" w14:textId="77777777" w:rsidR="00A10B25" w:rsidRDefault="00A10B25">
            <w:pPr>
              <w:pStyle w:val="TAH"/>
            </w:pPr>
            <w:r>
              <w:t>Data type</w:t>
            </w:r>
          </w:p>
        </w:tc>
        <w:tc>
          <w:tcPr>
            <w:tcW w:w="147" w:type="pct"/>
            <w:shd w:val="clear" w:color="auto" w:fill="C0C0C0"/>
          </w:tcPr>
          <w:p w14:paraId="3290FB8C" w14:textId="77777777" w:rsidR="00A10B25" w:rsidRDefault="00A10B25">
            <w:pPr>
              <w:pStyle w:val="TAH"/>
            </w:pPr>
            <w:r>
              <w:t>P</w:t>
            </w:r>
          </w:p>
        </w:tc>
        <w:tc>
          <w:tcPr>
            <w:tcW w:w="547" w:type="pct"/>
            <w:shd w:val="clear" w:color="auto" w:fill="C0C0C0"/>
          </w:tcPr>
          <w:p w14:paraId="7F0EEC2B" w14:textId="77777777" w:rsidR="00A10B25" w:rsidRDefault="00A10B25">
            <w:pPr>
              <w:pStyle w:val="TAH"/>
              <w:jc w:val="left"/>
            </w:pPr>
            <w:r>
              <w:t>Cardinality</w:t>
            </w:r>
          </w:p>
        </w:tc>
        <w:tc>
          <w:tcPr>
            <w:tcW w:w="1195" w:type="pct"/>
            <w:shd w:val="clear" w:color="auto" w:fill="C0C0C0"/>
          </w:tcPr>
          <w:p w14:paraId="7A87244E" w14:textId="77777777" w:rsidR="00A10B25" w:rsidRDefault="00A10B25">
            <w:pPr>
              <w:pStyle w:val="TAH"/>
              <w:rPr>
                <w:rFonts w:cs="Arial"/>
                <w:szCs w:val="18"/>
              </w:rPr>
            </w:pPr>
            <w:r>
              <w:rPr>
                <w:rFonts w:cs="Arial"/>
                <w:szCs w:val="18"/>
              </w:rPr>
              <w:t>Description</w:t>
            </w:r>
          </w:p>
        </w:tc>
        <w:tc>
          <w:tcPr>
            <w:tcW w:w="880" w:type="pct"/>
            <w:shd w:val="clear" w:color="auto" w:fill="C0C0C0"/>
          </w:tcPr>
          <w:p w14:paraId="2D88B9C0" w14:textId="77777777" w:rsidR="00A10B25" w:rsidRDefault="00A10B25">
            <w:pPr>
              <w:pStyle w:val="TAH"/>
              <w:rPr>
                <w:rFonts w:cs="Arial"/>
                <w:szCs w:val="18"/>
              </w:rPr>
            </w:pPr>
            <w:r>
              <w:rPr>
                <w:rFonts w:cs="Arial"/>
                <w:szCs w:val="18"/>
              </w:rPr>
              <w:t>Applicability</w:t>
            </w:r>
          </w:p>
        </w:tc>
      </w:tr>
      <w:tr w:rsidR="00A10B25" w14:paraId="2877BF10" w14:textId="77777777">
        <w:trPr>
          <w:jc w:val="center"/>
        </w:trPr>
        <w:tc>
          <w:tcPr>
            <w:tcW w:w="1249" w:type="pct"/>
          </w:tcPr>
          <w:p w14:paraId="5CAE0ED7" w14:textId="77777777" w:rsidR="00A10B25" w:rsidRDefault="00A10B25">
            <w:pPr>
              <w:pStyle w:val="TAL"/>
              <w:rPr>
                <w:rFonts w:cs="Arial"/>
                <w:szCs w:val="18"/>
                <w:lang w:eastAsia="zh-CN"/>
              </w:rPr>
            </w:pPr>
            <w:r>
              <w:rPr>
                <w:rFonts w:cs="Arial"/>
                <w:szCs w:val="18"/>
                <w:lang w:eastAsia="zh-CN"/>
              </w:rPr>
              <w:t>relFlowNum</w:t>
            </w:r>
          </w:p>
        </w:tc>
        <w:tc>
          <w:tcPr>
            <w:tcW w:w="982" w:type="pct"/>
          </w:tcPr>
          <w:p w14:paraId="1C7C2F24" w14:textId="77777777" w:rsidR="00A10B25" w:rsidRDefault="00A10B25">
            <w:pPr>
              <w:pStyle w:val="TAL"/>
            </w:pPr>
            <w:r>
              <w:t>Uinteger</w:t>
            </w:r>
          </w:p>
        </w:tc>
        <w:tc>
          <w:tcPr>
            <w:tcW w:w="147" w:type="pct"/>
          </w:tcPr>
          <w:p w14:paraId="6329342B" w14:textId="77777777" w:rsidR="00A10B25" w:rsidRDefault="00A10B25">
            <w:pPr>
              <w:pStyle w:val="TAC"/>
            </w:pPr>
            <w:r>
              <w:t>C</w:t>
            </w:r>
          </w:p>
        </w:tc>
        <w:tc>
          <w:tcPr>
            <w:tcW w:w="547" w:type="pct"/>
          </w:tcPr>
          <w:p w14:paraId="3EC34963" w14:textId="77777777" w:rsidR="00A10B25" w:rsidRDefault="00A10B25">
            <w:pPr>
              <w:pStyle w:val="TAL"/>
            </w:pPr>
            <w:r>
              <w:t>0..1</w:t>
            </w:r>
          </w:p>
        </w:tc>
        <w:tc>
          <w:tcPr>
            <w:tcW w:w="1195" w:type="pct"/>
          </w:tcPr>
          <w:p w14:paraId="64E326CA" w14:textId="77777777" w:rsidR="00A10B25" w:rsidRDefault="00A10B25">
            <w:pPr>
              <w:pStyle w:val="TAL"/>
            </w:pPr>
            <w:r>
              <w:t>Represents the n</w:t>
            </w:r>
            <w:r>
              <w:rPr>
                <w:lang w:val="en-US"/>
              </w:rPr>
              <w:t>umber of abnormally released QoS flows. (NOTE)</w:t>
            </w:r>
          </w:p>
        </w:tc>
        <w:tc>
          <w:tcPr>
            <w:tcW w:w="880" w:type="pct"/>
          </w:tcPr>
          <w:p w14:paraId="79540CB0" w14:textId="77777777" w:rsidR="00A10B25" w:rsidRDefault="00A10B25">
            <w:pPr>
              <w:pStyle w:val="TAL"/>
              <w:rPr>
                <w:rFonts w:eastAsia="Batang"/>
              </w:rPr>
            </w:pPr>
          </w:p>
        </w:tc>
      </w:tr>
      <w:tr w:rsidR="00A10B25" w14:paraId="5A5E90AB" w14:textId="77777777">
        <w:trPr>
          <w:jc w:val="center"/>
        </w:trPr>
        <w:tc>
          <w:tcPr>
            <w:tcW w:w="1249" w:type="pct"/>
          </w:tcPr>
          <w:p w14:paraId="14E99DDC" w14:textId="77777777" w:rsidR="00A10B25" w:rsidRDefault="00A10B25">
            <w:pPr>
              <w:pStyle w:val="TAL"/>
              <w:rPr>
                <w:rFonts w:cs="Arial"/>
                <w:szCs w:val="18"/>
                <w:lang w:eastAsia="zh-CN"/>
              </w:rPr>
            </w:pPr>
            <w:r>
              <w:rPr>
                <w:rFonts w:cs="Arial"/>
                <w:szCs w:val="18"/>
                <w:lang w:eastAsia="zh-CN"/>
              </w:rPr>
              <w:t>relTimeUnit</w:t>
            </w:r>
          </w:p>
        </w:tc>
        <w:tc>
          <w:tcPr>
            <w:tcW w:w="982" w:type="pct"/>
          </w:tcPr>
          <w:p w14:paraId="6159BA9D" w14:textId="77777777" w:rsidR="00A10B25" w:rsidRDefault="00A10B25">
            <w:pPr>
              <w:pStyle w:val="TAL"/>
            </w:pPr>
            <w:r>
              <w:t>TimeUnit</w:t>
            </w:r>
          </w:p>
        </w:tc>
        <w:tc>
          <w:tcPr>
            <w:tcW w:w="147" w:type="pct"/>
          </w:tcPr>
          <w:p w14:paraId="4A5913FE" w14:textId="77777777" w:rsidR="00A10B25" w:rsidRDefault="00A10B25">
            <w:pPr>
              <w:pStyle w:val="TAC"/>
            </w:pPr>
            <w:r>
              <w:t>C</w:t>
            </w:r>
          </w:p>
        </w:tc>
        <w:tc>
          <w:tcPr>
            <w:tcW w:w="547" w:type="pct"/>
          </w:tcPr>
          <w:p w14:paraId="5660D3E2" w14:textId="77777777" w:rsidR="00A10B25" w:rsidRDefault="00A10B25">
            <w:pPr>
              <w:pStyle w:val="TAL"/>
            </w:pPr>
            <w:r>
              <w:t>0..1</w:t>
            </w:r>
          </w:p>
        </w:tc>
        <w:tc>
          <w:tcPr>
            <w:tcW w:w="1195" w:type="pct"/>
          </w:tcPr>
          <w:p w14:paraId="5BAD726C" w14:textId="77777777" w:rsidR="00A10B25" w:rsidRDefault="00A10B25">
            <w:pPr>
              <w:pStyle w:val="TAL"/>
            </w:pPr>
            <w:r>
              <w:t>Represents the unit for the session active time, shall be present if relFlowNum is present. (NOTE)</w:t>
            </w:r>
          </w:p>
        </w:tc>
        <w:tc>
          <w:tcPr>
            <w:tcW w:w="880" w:type="pct"/>
          </w:tcPr>
          <w:p w14:paraId="280B739A" w14:textId="77777777" w:rsidR="00A10B25" w:rsidRDefault="00A10B25">
            <w:pPr>
              <w:pStyle w:val="TAL"/>
              <w:rPr>
                <w:rFonts w:cs="Arial"/>
                <w:szCs w:val="18"/>
              </w:rPr>
            </w:pPr>
          </w:p>
        </w:tc>
      </w:tr>
      <w:tr w:rsidR="00A10B25" w14:paraId="461C4B54" w14:textId="77777777">
        <w:trPr>
          <w:jc w:val="center"/>
        </w:trPr>
        <w:tc>
          <w:tcPr>
            <w:tcW w:w="1249" w:type="pct"/>
          </w:tcPr>
          <w:p w14:paraId="78E0D306" w14:textId="77777777" w:rsidR="00A10B25" w:rsidRDefault="00A10B25">
            <w:pPr>
              <w:pStyle w:val="TAL"/>
              <w:rPr>
                <w:rFonts w:cs="Arial"/>
                <w:szCs w:val="18"/>
                <w:lang w:eastAsia="zh-CN"/>
              </w:rPr>
            </w:pPr>
            <w:r>
              <w:rPr>
                <w:rFonts w:cs="Arial"/>
                <w:szCs w:val="18"/>
                <w:lang w:eastAsia="zh-CN"/>
              </w:rPr>
              <w:t>relFlowRatio</w:t>
            </w:r>
          </w:p>
        </w:tc>
        <w:tc>
          <w:tcPr>
            <w:tcW w:w="982" w:type="pct"/>
          </w:tcPr>
          <w:p w14:paraId="640C8464" w14:textId="77777777" w:rsidR="00A10B25" w:rsidRDefault="00A10B25">
            <w:pPr>
              <w:pStyle w:val="TAL"/>
            </w:pPr>
            <w:r>
              <w:t>SamplingRatio</w:t>
            </w:r>
          </w:p>
        </w:tc>
        <w:tc>
          <w:tcPr>
            <w:tcW w:w="147" w:type="pct"/>
          </w:tcPr>
          <w:p w14:paraId="4F3FC9DE" w14:textId="77777777" w:rsidR="00A10B25" w:rsidRDefault="00A10B25">
            <w:pPr>
              <w:pStyle w:val="TAC"/>
            </w:pPr>
            <w:r>
              <w:t>C</w:t>
            </w:r>
          </w:p>
        </w:tc>
        <w:tc>
          <w:tcPr>
            <w:tcW w:w="547" w:type="pct"/>
          </w:tcPr>
          <w:p w14:paraId="5D3025CF" w14:textId="77777777" w:rsidR="00A10B25" w:rsidRDefault="00A10B25">
            <w:pPr>
              <w:pStyle w:val="TAL"/>
            </w:pPr>
            <w:r>
              <w:t>0..1</w:t>
            </w:r>
          </w:p>
        </w:tc>
        <w:tc>
          <w:tcPr>
            <w:tcW w:w="1195" w:type="pct"/>
          </w:tcPr>
          <w:p w14:paraId="1B276013" w14:textId="77777777" w:rsidR="00A10B25" w:rsidRDefault="00A10B25">
            <w:pPr>
              <w:pStyle w:val="TAL"/>
            </w:pPr>
            <w:r>
              <w:t>Represents the ratio</w:t>
            </w:r>
            <w:r>
              <w:rPr>
                <w:lang w:val="en-US"/>
              </w:rPr>
              <w:t xml:space="preserve"> of abnormally released QoS flows to the total released QoS flows,</w:t>
            </w:r>
            <w:r>
              <w:t xml:space="preserve"> expressed in percentage</w:t>
            </w:r>
            <w:r>
              <w:rPr>
                <w:lang w:val="en-US"/>
              </w:rPr>
              <w:t>. (NOTE)</w:t>
            </w:r>
          </w:p>
        </w:tc>
        <w:tc>
          <w:tcPr>
            <w:tcW w:w="880" w:type="pct"/>
          </w:tcPr>
          <w:p w14:paraId="509D85A1" w14:textId="77777777" w:rsidR="00A10B25" w:rsidRDefault="00A10B25">
            <w:pPr>
              <w:pStyle w:val="TAL"/>
              <w:rPr>
                <w:rFonts w:cs="Arial"/>
                <w:szCs w:val="18"/>
              </w:rPr>
            </w:pPr>
          </w:p>
        </w:tc>
      </w:tr>
      <w:tr w:rsidR="00A10B25" w14:paraId="1D54B5D4" w14:textId="77777777">
        <w:trPr>
          <w:jc w:val="center"/>
        </w:trPr>
        <w:tc>
          <w:tcPr>
            <w:tcW w:w="5000" w:type="pct"/>
            <w:gridSpan w:val="6"/>
          </w:tcPr>
          <w:p w14:paraId="4682A730" w14:textId="77777777" w:rsidR="00A10B25" w:rsidRDefault="00A10B25">
            <w:pPr>
              <w:pStyle w:val="TAN"/>
            </w:pPr>
            <w:r>
              <w:t>NOTE:</w:t>
            </w:r>
            <w:r>
              <w:tab/>
              <w:t>Either "relFlowNum" and its associated "relTimeUnit" attributes or "relFlowRatio" attributes shall be provided. The "relFlowNum" and "relTimeUnit" attributes together represents the number of abnormally released QoS flows (i.e. relFlowNum) within the time unit (i.e. relTimeUnit).</w:t>
            </w:r>
          </w:p>
        </w:tc>
      </w:tr>
    </w:tbl>
    <w:p w14:paraId="55D0543D" w14:textId="77777777" w:rsidR="00A10B25" w:rsidRDefault="00A10B25"/>
    <w:p w14:paraId="343C9A47" w14:textId="77777777" w:rsidR="00A10B25" w:rsidRDefault="00A10B25">
      <w:pPr>
        <w:pStyle w:val="5"/>
      </w:pPr>
      <w:bookmarkStart w:id="6369" w:name="_Toc88667601"/>
      <w:bookmarkStart w:id="6370" w:name="_Toc101244430"/>
      <w:bookmarkStart w:id="6371" w:name="_Toc68168977"/>
      <w:bookmarkStart w:id="6372" w:name="_Toc83233090"/>
      <w:bookmarkStart w:id="6373" w:name="_Toc90655886"/>
      <w:bookmarkStart w:id="6374" w:name="_Toc45134061"/>
      <w:bookmarkStart w:id="6375" w:name="_Toc104539023"/>
      <w:bookmarkStart w:id="6376" w:name="_Toc59017948"/>
      <w:bookmarkStart w:id="6377" w:name="_Toc51762913"/>
      <w:bookmarkStart w:id="6378" w:name="_Toc114133824"/>
      <w:bookmarkStart w:id="6379" w:name="_Toc113031685"/>
      <w:bookmarkStart w:id="6380" w:name="_Toc70550644"/>
      <w:bookmarkStart w:id="6381" w:name="_Toc85553000"/>
      <w:bookmarkStart w:id="6382" w:name="_Toc120702324"/>
      <w:bookmarkStart w:id="6383" w:name="_Toc98233654"/>
      <w:bookmarkStart w:id="6384" w:name="_Toc136562391"/>
      <w:bookmarkStart w:id="6385" w:name="_Toc36102476"/>
      <w:bookmarkStart w:id="6386" w:name="_Toc112951145"/>
      <w:bookmarkStart w:id="6387" w:name="_Toc85557099"/>
      <w:bookmarkStart w:id="6388" w:name="_Toc66231816"/>
      <w:bookmarkStart w:id="6389" w:name="_Toc34266305"/>
      <w:bookmarkStart w:id="6390" w:name="_Toc94064269"/>
      <w:bookmarkStart w:id="6391" w:name="_Toc56640980"/>
      <w:bookmarkStart w:id="6392" w:name="_Toc50031993"/>
      <w:bookmarkStart w:id="6393" w:name="_Toc43563518"/>
      <w:bookmarkStart w:id="6394" w:name="_Toc145705712"/>
      <w:bookmarkStart w:id="6395" w:name="_Toc138754225"/>
      <w:bookmarkStart w:id="6396" w:name="_Toc148522616"/>
      <w:bookmarkStart w:id="6397" w:name="_Toc164920796"/>
      <w:bookmarkStart w:id="6398" w:name="_Toc170120338"/>
      <w:bookmarkStart w:id="6399" w:name="_Toc175858583"/>
      <w:bookmarkStart w:id="6400" w:name="_Toc175859656"/>
      <w:bookmarkStart w:id="6401" w:name="_Toc180605946"/>
      <w:bookmarkStart w:id="6402" w:name="_Toc185517200"/>
      <w:bookmarkStart w:id="6403" w:name="_Toc191576251"/>
      <w:bookmarkStart w:id="6404" w:name="_Toc191576991"/>
      <w:bookmarkStart w:id="6405" w:name="_Toc192880061"/>
      <w:bookmarkStart w:id="6406" w:name="_Toc195814944"/>
      <w:bookmarkStart w:id="6407" w:name="_Toc199452911"/>
      <w:r>
        <w:lastRenderedPageBreak/>
        <w:t>5.1.6.2.22</w:t>
      </w:r>
      <w:r>
        <w:tab/>
        <w:t>Type NetworkPerfRequirement</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13F761C6" w14:textId="77777777" w:rsidR="00A10B25" w:rsidRDefault="00A10B25">
      <w:pPr>
        <w:pStyle w:val="TH"/>
      </w:pPr>
      <w:bookmarkStart w:id="6408" w:name="_Toc85553001"/>
      <w:bookmarkStart w:id="6409" w:name="_Toc85557100"/>
      <w:bookmarkStart w:id="6410" w:name="_Toc101244431"/>
      <w:bookmarkStart w:id="6411" w:name="_Toc70550645"/>
      <w:bookmarkStart w:id="6412" w:name="_Toc83233091"/>
      <w:bookmarkStart w:id="6413" w:name="_Toc113031686"/>
      <w:bookmarkStart w:id="6414" w:name="_Toc114133825"/>
      <w:bookmarkStart w:id="6415" w:name="_Toc34266306"/>
      <w:bookmarkStart w:id="6416" w:name="_Toc104539024"/>
      <w:bookmarkStart w:id="6417" w:name="_Toc68168978"/>
      <w:bookmarkStart w:id="6418" w:name="_Toc56640981"/>
      <w:bookmarkStart w:id="6419" w:name="_Toc45134062"/>
      <w:bookmarkStart w:id="6420" w:name="_Toc120702325"/>
      <w:bookmarkStart w:id="6421" w:name="_Toc88667602"/>
      <w:bookmarkStart w:id="6422" w:name="_Toc90655887"/>
      <w:bookmarkStart w:id="6423" w:name="_Toc59017949"/>
      <w:bookmarkStart w:id="6424" w:name="_Toc94064270"/>
      <w:bookmarkStart w:id="6425" w:name="_Toc51762914"/>
      <w:bookmarkStart w:id="6426" w:name="_Toc50031994"/>
      <w:bookmarkStart w:id="6427" w:name="_Toc36102477"/>
      <w:bookmarkStart w:id="6428" w:name="_Toc66231817"/>
      <w:bookmarkStart w:id="6429" w:name="_Toc98233655"/>
      <w:bookmarkStart w:id="6430" w:name="_Toc112951146"/>
      <w:bookmarkStart w:id="6431" w:name="_Toc43563519"/>
      <w:r>
        <w:t>Table 5.1.6.2.22-1: Definition of type NetworkPerfRequirement</w:t>
      </w:r>
    </w:p>
    <w:tbl>
      <w:tblPr>
        <w:tblW w:w="9312"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6"/>
        <w:gridCol w:w="1468"/>
        <w:gridCol w:w="359"/>
        <w:gridCol w:w="1166"/>
        <w:gridCol w:w="3316"/>
        <w:gridCol w:w="1477"/>
      </w:tblGrid>
      <w:tr w:rsidR="00A10B25" w14:paraId="60A7AD1F" w14:textId="77777777">
        <w:trPr>
          <w:jc w:val="center"/>
        </w:trPr>
        <w:tc>
          <w:tcPr>
            <w:tcW w:w="1526" w:type="dxa"/>
            <w:shd w:val="clear" w:color="auto" w:fill="C0C0C0"/>
          </w:tcPr>
          <w:p w14:paraId="146EA374" w14:textId="77777777" w:rsidR="00A10B25" w:rsidRDefault="00A10B25">
            <w:pPr>
              <w:pStyle w:val="TAH"/>
            </w:pPr>
            <w:r>
              <w:t>Attribute name</w:t>
            </w:r>
          </w:p>
        </w:tc>
        <w:tc>
          <w:tcPr>
            <w:tcW w:w="1468" w:type="dxa"/>
            <w:shd w:val="clear" w:color="auto" w:fill="C0C0C0"/>
          </w:tcPr>
          <w:p w14:paraId="7381474B" w14:textId="77777777" w:rsidR="00A10B25" w:rsidRDefault="00A10B25">
            <w:pPr>
              <w:pStyle w:val="TAH"/>
            </w:pPr>
            <w:r>
              <w:t>Data type</w:t>
            </w:r>
          </w:p>
        </w:tc>
        <w:tc>
          <w:tcPr>
            <w:tcW w:w="359" w:type="dxa"/>
            <w:shd w:val="clear" w:color="auto" w:fill="C0C0C0"/>
          </w:tcPr>
          <w:p w14:paraId="41990441" w14:textId="77777777" w:rsidR="00A10B25" w:rsidRDefault="00A10B25">
            <w:pPr>
              <w:pStyle w:val="TAH"/>
            </w:pPr>
            <w:r>
              <w:t>P</w:t>
            </w:r>
          </w:p>
        </w:tc>
        <w:tc>
          <w:tcPr>
            <w:tcW w:w="1166" w:type="dxa"/>
            <w:shd w:val="clear" w:color="auto" w:fill="C0C0C0"/>
          </w:tcPr>
          <w:p w14:paraId="2644FCC5" w14:textId="77777777" w:rsidR="00A10B25" w:rsidRDefault="00A10B25">
            <w:pPr>
              <w:pStyle w:val="TAH"/>
              <w:rPr>
                <w:rFonts w:eastAsia="Batang"/>
              </w:rPr>
            </w:pPr>
            <w:r>
              <w:rPr>
                <w:rFonts w:eastAsia="Batang"/>
              </w:rPr>
              <w:t>Cardinality</w:t>
            </w:r>
          </w:p>
        </w:tc>
        <w:tc>
          <w:tcPr>
            <w:tcW w:w="3316" w:type="dxa"/>
            <w:shd w:val="clear" w:color="auto" w:fill="C0C0C0"/>
          </w:tcPr>
          <w:p w14:paraId="3FA1CC29" w14:textId="77777777" w:rsidR="00A10B25" w:rsidRDefault="00A10B25">
            <w:pPr>
              <w:pStyle w:val="TAH"/>
              <w:rPr>
                <w:rFonts w:cs="Arial"/>
                <w:szCs w:val="18"/>
              </w:rPr>
            </w:pPr>
            <w:r>
              <w:rPr>
                <w:rFonts w:cs="Arial"/>
                <w:szCs w:val="18"/>
              </w:rPr>
              <w:t>Description</w:t>
            </w:r>
          </w:p>
        </w:tc>
        <w:tc>
          <w:tcPr>
            <w:tcW w:w="1477" w:type="dxa"/>
            <w:shd w:val="clear" w:color="auto" w:fill="C0C0C0"/>
          </w:tcPr>
          <w:p w14:paraId="3D221C62" w14:textId="77777777" w:rsidR="00A10B25" w:rsidRDefault="00A10B25">
            <w:pPr>
              <w:pStyle w:val="TAH"/>
              <w:rPr>
                <w:rFonts w:cs="Arial"/>
                <w:szCs w:val="18"/>
              </w:rPr>
            </w:pPr>
            <w:r>
              <w:rPr>
                <w:rFonts w:cs="Arial"/>
                <w:szCs w:val="18"/>
              </w:rPr>
              <w:t>Applicability</w:t>
            </w:r>
          </w:p>
        </w:tc>
      </w:tr>
      <w:tr w:rsidR="00A10B25" w14:paraId="4E63F436" w14:textId="77777777">
        <w:trPr>
          <w:jc w:val="center"/>
        </w:trPr>
        <w:tc>
          <w:tcPr>
            <w:tcW w:w="1526" w:type="dxa"/>
          </w:tcPr>
          <w:p w14:paraId="1BA97015" w14:textId="77777777" w:rsidR="00A10B25" w:rsidRDefault="00A10B25">
            <w:pPr>
              <w:pStyle w:val="TAL"/>
            </w:pPr>
            <w:r>
              <w:t>nwPerfType</w:t>
            </w:r>
          </w:p>
        </w:tc>
        <w:tc>
          <w:tcPr>
            <w:tcW w:w="1468" w:type="dxa"/>
          </w:tcPr>
          <w:p w14:paraId="4E3D85BB" w14:textId="77777777" w:rsidR="00A10B25" w:rsidRDefault="00A10B25">
            <w:pPr>
              <w:pStyle w:val="TAL"/>
            </w:pPr>
            <w:r>
              <w:t>NetworkPerfType</w:t>
            </w:r>
          </w:p>
        </w:tc>
        <w:tc>
          <w:tcPr>
            <w:tcW w:w="359" w:type="dxa"/>
          </w:tcPr>
          <w:p w14:paraId="2940484D" w14:textId="77777777" w:rsidR="00A10B25" w:rsidRDefault="00A10B25">
            <w:pPr>
              <w:pStyle w:val="TAC"/>
            </w:pPr>
            <w:r>
              <w:t>M</w:t>
            </w:r>
          </w:p>
        </w:tc>
        <w:tc>
          <w:tcPr>
            <w:tcW w:w="1166" w:type="dxa"/>
          </w:tcPr>
          <w:p w14:paraId="222284FF" w14:textId="77777777" w:rsidR="00A10B25" w:rsidRDefault="00A10B25">
            <w:pPr>
              <w:pStyle w:val="TAC"/>
            </w:pPr>
            <w:r>
              <w:t>1</w:t>
            </w:r>
          </w:p>
        </w:tc>
        <w:tc>
          <w:tcPr>
            <w:tcW w:w="3316" w:type="dxa"/>
          </w:tcPr>
          <w:p w14:paraId="2154E801" w14:textId="77777777" w:rsidR="00A10B25" w:rsidRDefault="00A10B25">
            <w:pPr>
              <w:pStyle w:val="TAL"/>
            </w:pPr>
            <w:r>
              <w:t>The type of the network performance.</w:t>
            </w:r>
          </w:p>
        </w:tc>
        <w:tc>
          <w:tcPr>
            <w:tcW w:w="1477" w:type="dxa"/>
          </w:tcPr>
          <w:p w14:paraId="51553F23" w14:textId="77777777" w:rsidR="00A10B25" w:rsidRDefault="00A10B25">
            <w:pPr>
              <w:pStyle w:val="TAL"/>
              <w:rPr>
                <w:rFonts w:cs="Arial"/>
                <w:szCs w:val="18"/>
              </w:rPr>
            </w:pPr>
          </w:p>
        </w:tc>
      </w:tr>
      <w:tr w:rsidR="00A10B25" w14:paraId="75B19729" w14:textId="77777777">
        <w:trPr>
          <w:jc w:val="center"/>
        </w:trPr>
        <w:tc>
          <w:tcPr>
            <w:tcW w:w="1526" w:type="dxa"/>
          </w:tcPr>
          <w:p w14:paraId="6B9C94EE" w14:textId="77777777" w:rsidR="00A10B25" w:rsidRDefault="00A10B25">
            <w:pPr>
              <w:pStyle w:val="TAL"/>
            </w:pPr>
            <w:r>
              <w:t>relativeRatio</w:t>
            </w:r>
          </w:p>
        </w:tc>
        <w:tc>
          <w:tcPr>
            <w:tcW w:w="1468" w:type="dxa"/>
          </w:tcPr>
          <w:p w14:paraId="710A5C14" w14:textId="77777777" w:rsidR="00A10B25" w:rsidRDefault="00A10B25">
            <w:pPr>
              <w:pStyle w:val="TAL"/>
            </w:pPr>
            <w:r>
              <w:t>SamplingRatio</w:t>
            </w:r>
          </w:p>
        </w:tc>
        <w:tc>
          <w:tcPr>
            <w:tcW w:w="359" w:type="dxa"/>
          </w:tcPr>
          <w:p w14:paraId="357B6194" w14:textId="77777777" w:rsidR="00A10B25" w:rsidRDefault="00A10B25">
            <w:pPr>
              <w:pStyle w:val="TAC"/>
            </w:pPr>
            <w:r>
              <w:t>C</w:t>
            </w:r>
          </w:p>
        </w:tc>
        <w:tc>
          <w:tcPr>
            <w:tcW w:w="1166" w:type="dxa"/>
          </w:tcPr>
          <w:p w14:paraId="595B3D69" w14:textId="77777777" w:rsidR="00A10B25" w:rsidRDefault="00A10B25">
            <w:pPr>
              <w:pStyle w:val="TAC"/>
            </w:pPr>
            <w:r>
              <w:t>0..1</w:t>
            </w:r>
          </w:p>
        </w:tc>
        <w:tc>
          <w:tcPr>
            <w:tcW w:w="3316" w:type="dxa"/>
          </w:tcPr>
          <w:p w14:paraId="1C4FCC66" w14:textId="77777777" w:rsidR="00A10B25" w:rsidRDefault="00A10B25">
            <w:pPr>
              <w:pStyle w:val="TAL"/>
            </w:pPr>
            <w:r>
              <w:t>The relative ratio expressed in percentage. (NOTE</w:t>
            </w:r>
            <w:r>
              <w:rPr>
                <w:lang w:eastAsia="zh-CN"/>
              </w:rPr>
              <w:t> 1</w:t>
            </w:r>
            <w:r>
              <w:t>)</w:t>
            </w:r>
          </w:p>
        </w:tc>
        <w:tc>
          <w:tcPr>
            <w:tcW w:w="1477" w:type="dxa"/>
          </w:tcPr>
          <w:p w14:paraId="3C612412" w14:textId="77777777" w:rsidR="00A10B25" w:rsidRDefault="00A10B25">
            <w:pPr>
              <w:pStyle w:val="TAL"/>
              <w:rPr>
                <w:rFonts w:cs="Arial"/>
                <w:szCs w:val="18"/>
              </w:rPr>
            </w:pPr>
          </w:p>
        </w:tc>
      </w:tr>
      <w:tr w:rsidR="00A10B25" w14:paraId="49F71222" w14:textId="77777777">
        <w:trPr>
          <w:jc w:val="center"/>
        </w:trPr>
        <w:tc>
          <w:tcPr>
            <w:tcW w:w="1526" w:type="dxa"/>
          </w:tcPr>
          <w:p w14:paraId="3900EAD1" w14:textId="77777777" w:rsidR="00A10B25" w:rsidRDefault="00A10B25">
            <w:pPr>
              <w:pStyle w:val="TAL"/>
            </w:pPr>
            <w:r>
              <w:t>absoluteNum</w:t>
            </w:r>
          </w:p>
        </w:tc>
        <w:tc>
          <w:tcPr>
            <w:tcW w:w="1468" w:type="dxa"/>
          </w:tcPr>
          <w:p w14:paraId="733D358E" w14:textId="77777777" w:rsidR="00A10B25" w:rsidRDefault="00A10B25">
            <w:pPr>
              <w:pStyle w:val="TAL"/>
            </w:pPr>
            <w:r>
              <w:t>Uinteger</w:t>
            </w:r>
          </w:p>
        </w:tc>
        <w:tc>
          <w:tcPr>
            <w:tcW w:w="359" w:type="dxa"/>
          </w:tcPr>
          <w:p w14:paraId="0E3C7C6E" w14:textId="77777777" w:rsidR="00A10B25" w:rsidRDefault="00A10B25">
            <w:pPr>
              <w:pStyle w:val="TAC"/>
            </w:pPr>
            <w:r>
              <w:t>C</w:t>
            </w:r>
          </w:p>
        </w:tc>
        <w:tc>
          <w:tcPr>
            <w:tcW w:w="1166" w:type="dxa"/>
          </w:tcPr>
          <w:p w14:paraId="417E348B" w14:textId="77777777" w:rsidR="00A10B25" w:rsidRDefault="00A10B25">
            <w:pPr>
              <w:pStyle w:val="TAC"/>
            </w:pPr>
            <w:r>
              <w:t>0..1</w:t>
            </w:r>
          </w:p>
        </w:tc>
        <w:tc>
          <w:tcPr>
            <w:tcW w:w="3316" w:type="dxa"/>
          </w:tcPr>
          <w:p w14:paraId="21B29542" w14:textId="77777777" w:rsidR="00A10B25" w:rsidRDefault="00A10B25">
            <w:pPr>
              <w:pStyle w:val="TAL"/>
            </w:pPr>
            <w:r>
              <w:t>The absolute number (NOTE</w:t>
            </w:r>
            <w:r>
              <w:rPr>
                <w:lang w:eastAsia="zh-CN"/>
              </w:rPr>
              <w:t> 1</w:t>
            </w:r>
            <w:r>
              <w:t>)</w:t>
            </w:r>
          </w:p>
        </w:tc>
        <w:tc>
          <w:tcPr>
            <w:tcW w:w="1477" w:type="dxa"/>
          </w:tcPr>
          <w:p w14:paraId="5B14D9DE" w14:textId="77777777" w:rsidR="00A10B25" w:rsidRDefault="00A10B25">
            <w:pPr>
              <w:pStyle w:val="TAL"/>
              <w:rPr>
                <w:rFonts w:cs="Arial"/>
                <w:szCs w:val="18"/>
              </w:rPr>
            </w:pPr>
          </w:p>
        </w:tc>
      </w:tr>
      <w:tr w:rsidR="00A10B25" w14:paraId="4FE0FF35" w14:textId="77777777">
        <w:trPr>
          <w:jc w:val="center"/>
        </w:trPr>
        <w:tc>
          <w:tcPr>
            <w:tcW w:w="1526" w:type="dxa"/>
          </w:tcPr>
          <w:p w14:paraId="267F7F31" w14:textId="77777777" w:rsidR="00A10B25" w:rsidRDefault="00A10B25">
            <w:pPr>
              <w:pStyle w:val="TAL"/>
              <w:rPr>
                <w:lang w:eastAsia="zh-CN"/>
              </w:rPr>
            </w:pPr>
            <w:r>
              <w:rPr>
                <w:rFonts w:hint="eastAsia"/>
                <w:lang w:eastAsia="zh-CN"/>
              </w:rPr>
              <w:t>o</w:t>
            </w:r>
            <w:r>
              <w:rPr>
                <w:lang w:eastAsia="zh-CN"/>
              </w:rPr>
              <w:t>rderCriterion</w:t>
            </w:r>
          </w:p>
        </w:tc>
        <w:tc>
          <w:tcPr>
            <w:tcW w:w="1468" w:type="dxa"/>
          </w:tcPr>
          <w:p w14:paraId="043F304E" w14:textId="77777777" w:rsidR="00A10B25" w:rsidRDefault="00A10B25">
            <w:pPr>
              <w:pStyle w:val="TAL"/>
            </w:pPr>
            <w:r>
              <w:t>NetworkPerfOrderCriterion</w:t>
            </w:r>
          </w:p>
        </w:tc>
        <w:tc>
          <w:tcPr>
            <w:tcW w:w="359" w:type="dxa"/>
          </w:tcPr>
          <w:p w14:paraId="072CC7FA" w14:textId="77777777" w:rsidR="00A10B25" w:rsidRDefault="00A10B25">
            <w:pPr>
              <w:pStyle w:val="TAC"/>
              <w:rPr>
                <w:lang w:eastAsia="zh-CN"/>
              </w:rPr>
            </w:pPr>
            <w:r>
              <w:rPr>
                <w:rFonts w:hint="eastAsia"/>
                <w:lang w:eastAsia="zh-CN"/>
              </w:rPr>
              <w:t>O</w:t>
            </w:r>
          </w:p>
        </w:tc>
        <w:tc>
          <w:tcPr>
            <w:tcW w:w="1166" w:type="dxa"/>
          </w:tcPr>
          <w:p w14:paraId="5C0078AB" w14:textId="77777777" w:rsidR="00A10B25" w:rsidRDefault="00A10B25">
            <w:pPr>
              <w:pStyle w:val="TAC"/>
            </w:pPr>
            <w:r>
              <w:t>0..1</w:t>
            </w:r>
          </w:p>
        </w:tc>
        <w:tc>
          <w:tcPr>
            <w:tcW w:w="3316" w:type="dxa"/>
          </w:tcPr>
          <w:p w14:paraId="19221077" w14:textId="77777777" w:rsidR="00A10B25" w:rsidRDefault="00A10B25">
            <w:pPr>
              <w:pStyle w:val="TAL"/>
            </w:pPr>
            <w:r>
              <w:rPr>
                <w:lang w:eastAsia="ko-KR"/>
              </w:rPr>
              <w:t xml:space="preserve">The ordering criterion for the list of </w:t>
            </w:r>
            <w:r>
              <w:rPr>
                <w:rFonts w:hint="eastAsia"/>
                <w:lang w:eastAsia="zh-CN"/>
              </w:rPr>
              <w:t>network</w:t>
            </w:r>
            <w:r>
              <w:rPr>
                <w:lang w:eastAsia="ko-KR"/>
              </w:rPr>
              <w:t xml:space="preserve"> performance analytics.</w:t>
            </w:r>
            <w:r>
              <w:t xml:space="preserve"> (NOTE</w:t>
            </w:r>
            <w:r>
              <w:rPr>
                <w:lang w:eastAsia="zh-CN"/>
              </w:rPr>
              <w:t> 2</w:t>
            </w:r>
            <w:r>
              <w:t>)</w:t>
            </w:r>
          </w:p>
        </w:tc>
        <w:tc>
          <w:tcPr>
            <w:tcW w:w="1477" w:type="dxa"/>
          </w:tcPr>
          <w:p w14:paraId="4ADE5EA0" w14:textId="77777777" w:rsidR="00A10B25" w:rsidRDefault="00A10B25">
            <w:pPr>
              <w:pStyle w:val="TAL"/>
              <w:rPr>
                <w:rFonts w:cs="Arial"/>
                <w:szCs w:val="18"/>
              </w:rPr>
            </w:pPr>
            <w:r>
              <w:t>NetworkPerformance</w:t>
            </w:r>
            <w:r>
              <w:rPr>
                <w:lang w:eastAsia="zh-CN"/>
              </w:rPr>
              <w:t>Ext_eNA</w:t>
            </w:r>
          </w:p>
        </w:tc>
      </w:tr>
      <w:tr w:rsidR="00A10B25" w14:paraId="6551305C" w14:textId="77777777">
        <w:trPr>
          <w:jc w:val="center"/>
        </w:trPr>
        <w:tc>
          <w:tcPr>
            <w:tcW w:w="1526" w:type="dxa"/>
          </w:tcPr>
          <w:p w14:paraId="05AB815A" w14:textId="77777777" w:rsidR="00A10B25" w:rsidRDefault="00A10B25">
            <w:pPr>
              <w:pStyle w:val="TAL"/>
              <w:rPr>
                <w:rFonts w:hint="eastAsia"/>
                <w:lang w:eastAsia="zh-CN"/>
              </w:rPr>
            </w:pPr>
            <w:r>
              <w:rPr>
                <w:lang w:eastAsia="zh-CN"/>
              </w:rPr>
              <w:t>rscUsgReq</w:t>
            </w:r>
          </w:p>
        </w:tc>
        <w:tc>
          <w:tcPr>
            <w:tcW w:w="1468" w:type="dxa"/>
          </w:tcPr>
          <w:p w14:paraId="1F8E1F28" w14:textId="77777777" w:rsidR="00A10B25" w:rsidRDefault="00A10B25">
            <w:pPr>
              <w:pStyle w:val="TAL"/>
            </w:pPr>
            <w:r>
              <w:rPr>
                <w:lang w:eastAsia="zh-CN"/>
              </w:rPr>
              <w:t>ResourceUsageRequirement</w:t>
            </w:r>
          </w:p>
        </w:tc>
        <w:tc>
          <w:tcPr>
            <w:tcW w:w="359" w:type="dxa"/>
          </w:tcPr>
          <w:p w14:paraId="2A4E039F" w14:textId="77777777" w:rsidR="00A10B25" w:rsidRDefault="00A10B25">
            <w:pPr>
              <w:pStyle w:val="TAC"/>
              <w:rPr>
                <w:rFonts w:hint="eastAsia"/>
                <w:lang w:eastAsia="zh-CN"/>
              </w:rPr>
            </w:pPr>
            <w:r>
              <w:rPr>
                <w:rFonts w:hint="eastAsia"/>
                <w:lang w:eastAsia="zh-CN"/>
              </w:rPr>
              <w:t>O</w:t>
            </w:r>
          </w:p>
        </w:tc>
        <w:tc>
          <w:tcPr>
            <w:tcW w:w="1166" w:type="dxa"/>
          </w:tcPr>
          <w:p w14:paraId="0DEDA62F" w14:textId="77777777" w:rsidR="00A10B25" w:rsidRDefault="00A10B25">
            <w:pPr>
              <w:pStyle w:val="TAC"/>
            </w:pPr>
            <w:r>
              <w:t>0..1</w:t>
            </w:r>
          </w:p>
        </w:tc>
        <w:tc>
          <w:tcPr>
            <w:tcW w:w="3316" w:type="dxa"/>
          </w:tcPr>
          <w:p w14:paraId="710D0E1F" w14:textId="77777777" w:rsidR="00A10B25" w:rsidRDefault="00A10B25">
            <w:pPr>
              <w:pStyle w:val="TAL"/>
              <w:rPr>
                <w:lang w:eastAsia="ko-KR"/>
              </w:rPr>
            </w:pPr>
            <w:r>
              <w:rPr>
                <w:lang w:eastAsia="zh-CN"/>
              </w:rPr>
              <w:t xml:space="preserve">Indicates more requirements when providing resource usage information for the network performance type indicated by the </w:t>
            </w:r>
            <w:r>
              <w:t>"nwPerfType" attribute</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477" w:type="dxa"/>
          </w:tcPr>
          <w:p w14:paraId="1CE3AC2E" w14:textId="77777777" w:rsidR="00A10B25" w:rsidRDefault="00A10B25">
            <w:pPr>
              <w:pStyle w:val="TAL"/>
            </w:pPr>
            <w:r>
              <w:t>NetworkPerformance</w:t>
            </w:r>
            <w:r>
              <w:rPr>
                <w:lang w:eastAsia="zh-CN"/>
              </w:rPr>
              <w:t>Ext_AIML</w:t>
            </w:r>
          </w:p>
        </w:tc>
      </w:tr>
      <w:tr w:rsidR="00A10B25" w14:paraId="50E44C7F" w14:textId="77777777">
        <w:trPr>
          <w:jc w:val="center"/>
        </w:trPr>
        <w:tc>
          <w:tcPr>
            <w:tcW w:w="9312" w:type="dxa"/>
            <w:gridSpan w:val="6"/>
          </w:tcPr>
          <w:p w14:paraId="76B9167B" w14:textId="77777777" w:rsidR="00A10B25" w:rsidRDefault="00A10B25">
            <w:pPr>
              <w:pStyle w:val="TAN"/>
              <w:rPr>
                <w:rFonts w:eastAsia="Batang"/>
              </w:rPr>
            </w:pPr>
            <w:r>
              <w:t>NOTE</w:t>
            </w:r>
            <w:r>
              <w:rPr>
                <w:lang w:eastAsia="zh-CN"/>
              </w:rPr>
              <w:t> 1</w:t>
            </w:r>
            <w:r>
              <w:t>:</w:t>
            </w:r>
            <w:r>
              <w:tab/>
              <w:t xml:space="preserve">Either "relativeRatio" or "absoluteNum" </w:t>
            </w:r>
            <w:r>
              <w:rPr>
                <w:rFonts w:cs="Arial"/>
                <w:szCs w:val="18"/>
              </w:rPr>
              <w:t xml:space="preserve">shall be provided </w:t>
            </w:r>
            <w:r>
              <w:rPr>
                <w:rFonts w:eastAsia="Batang"/>
              </w:rPr>
              <w:t xml:space="preserve">if the </w:t>
            </w:r>
            <w:r>
              <w:t>"notifMethod" in "evtReq" is set to "ON_EVENT_DETECTION" or "notificationMethod" in "eventSubscriptions" is set to "THRESHOLD" or omitted</w:t>
            </w:r>
            <w:r>
              <w:rPr>
                <w:rFonts w:eastAsia="Batang"/>
              </w:rPr>
              <w:t>.</w:t>
            </w:r>
          </w:p>
          <w:p w14:paraId="35A05D74" w14:textId="77777777" w:rsidR="00A10B25" w:rsidRDefault="00A10B25">
            <w:pPr>
              <w:pStyle w:val="TAN"/>
            </w:pPr>
            <w:r>
              <w:t>NOTE</w:t>
            </w:r>
            <w:r>
              <w:rPr>
                <w:lang w:eastAsia="zh-CN"/>
              </w:rPr>
              <w:t> 2</w:t>
            </w:r>
            <w:r>
              <w:t>:</w:t>
            </w:r>
            <w:r>
              <w:tab/>
              <w:t>The "CROSSED" value in "MatchingDirection" date type is not applicable for this attribute.</w:t>
            </w:r>
          </w:p>
          <w:p w14:paraId="642DECDA" w14:textId="77777777" w:rsidR="00A10B25" w:rsidRDefault="00A10B25">
            <w:pPr>
              <w:pStyle w:val="TAN"/>
            </w:pPr>
            <w:r>
              <w:t>NOTE</w:t>
            </w:r>
            <w:r>
              <w:rPr>
                <w:lang w:eastAsia="zh-CN"/>
              </w:rPr>
              <w:t> 3</w:t>
            </w:r>
            <w:r>
              <w:t>:</w:t>
            </w:r>
            <w:r>
              <w:tab/>
              <w:t>The "</w:t>
            </w:r>
            <w:r>
              <w:rPr>
                <w:lang w:eastAsia="zh-CN"/>
              </w:rPr>
              <w:t>rscUsgReq</w:t>
            </w:r>
            <w:r>
              <w:t>" value is only applicable when the "nwPerfType" attribute is set to "GNB_RSC_USAGE_OVERALL_TRAFFIC", "GNB_RSC_USAGE_GBR_TRAFFIC" or "GNB_RSC_USAGE_DELAY_CRIT_GBR_TRAFFIC".</w:t>
            </w:r>
          </w:p>
        </w:tc>
      </w:tr>
    </w:tbl>
    <w:p w14:paraId="61579427" w14:textId="77777777" w:rsidR="00A10B25" w:rsidRDefault="00A10B25"/>
    <w:p w14:paraId="77DB8B35" w14:textId="77777777" w:rsidR="00A10B25" w:rsidRDefault="00A10B25">
      <w:pPr>
        <w:pStyle w:val="5"/>
      </w:pPr>
      <w:bookmarkStart w:id="6432" w:name="_Toc138754226"/>
      <w:bookmarkStart w:id="6433" w:name="_Toc145705713"/>
      <w:bookmarkStart w:id="6434" w:name="_Toc148522617"/>
      <w:bookmarkStart w:id="6435" w:name="_Toc136562392"/>
      <w:bookmarkStart w:id="6436" w:name="_Toc164920797"/>
      <w:bookmarkStart w:id="6437" w:name="_Toc170120339"/>
      <w:bookmarkStart w:id="6438" w:name="_Toc175858584"/>
      <w:bookmarkStart w:id="6439" w:name="_Toc175859657"/>
      <w:bookmarkStart w:id="6440" w:name="_Toc180605947"/>
      <w:bookmarkStart w:id="6441" w:name="_Toc185517201"/>
      <w:bookmarkStart w:id="6442" w:name="_Toc191576252"/>
      <w:bookmarkStart w:id="6443" w:name="_Toc191576992"/>
      <w:bookmarkStart w:id="6444" w:name="_Toc192880062"/>
      <w:bookmarkStart w:id="6445" w:name="_Toc195814945"/>
      <w:bookmarkStart w:id="6446" w:name="_Toc199452912"/>
      <w:r>
        <w:lastRenderedPageBreak/>
        <w:t>5.1.6.2.23</w:t>
      </w:r>
      <w:r>
        <w:tab/>
        <w:t>Type NetworkPerfInfo</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3C7877CD" w14:textId="77777777" w:rsidR="00A10B25" w:rsidRDefault="00A10B25">
      <w:pPr>
        <w:pStyle w:val="TH"/>
      </w:pPr>
      <w:bookmarkStart w:id="6447" w:name="_Toc22151122"/>
      <w:bookmarkStart w:id="6448" w:name="_Toc25176615"/>
      <w:bookmarkStart w:id="6449" w:name="_Toc25185348"/>
      <w:bookmarkStart w:id="6450" w:name="_Toc51762915"/>
      <w:bookmarkStart w:id="6451" w:name="_Toc36102478"/>
      <w:bookmarkStart w:id="6452" w:name="_Toc94064271"/>
      <w:bookmarkStart w:id="6453" w:name="_Toc120702326"/>
      <w:bookmarkStart w:id="6454" w:name="_Toc56640982"/>
      <w:bookmarkStart w:id="6455" w:name="_Toc114133826"/>
      <w:bookmarkStart w:id="6456" w:name="_Toc85553002"/>
      <w:bookmarkStart w:id="6457" w:name="_Toc66231818"/>
      <w:bookmarkStart w:id="6458" w:name="_Toc113031687"/>
      <w:bookmarkStart w:id="6459" w:name="_Toc43563520"/>
      <w:bookmarkStart w:id="6460" w:name="_Toc85557101"/>
      <w:bookmarkStart w:id="6461" w:name="_Toc34266307"/>
      <w:bookmarkStart w:id="6462" w:name="_Toc104539025"/>
      <w:bookmarkStart w:id="6463" w:name="_Toc50031995"/>
      <w:bookmarkStart w:id="6464" w:name="_Toc112951147"/>
      <w:bookmarkStart w:id="6465" w:name="_Toc138754227"/>
      <w:bookmarkStart w:id="6466" w:name="_Toc59017950"/>
      <w:bookmarkStart w:id="6467" w:name="_Toc83233092"/>
      <w:bookmarkStart w:id="6468" w:name="_Toc88667603"/>
      <w:bookmarkStart w:id="6469" w:name="_Toc70550646"/>
      <w:bookmarkStart w:id="6470" w:name="_Toc136562393"/>
      <w:bookmarkStart w:id="6471" w:name="_Toc90655888"/>
      <w:bookmarkStart w:id="6472" w:name="_Toc101244432"/>
      <w:bookmarkStart w:id="6473" w:name="_Toc68168979"/>
      <w:bookmarkStart w:id="6474" w:name="_Toc45134063"/>
      <w:bookmarkStart w:id="6475" w:name="_Toc98233656"/>
      <w:r>
        <w:rPr>
          <w:lang w:val="en-US" w:eastAsia="zh-CN"/>
        </w:rPr>
        <w:t>Table </w:t>
      </w:r>
      <w:r>
        <w:t xml:space="preserve">5.1.6.2.23-1: </w:t>
      </w:r>
      <w:r>
        <w:rPr>
          <w:lang w:val="en-US" w:eastAsia="zh-CN"/>
        </w:rPr>
        <w:t xml:space="preserve">Definition of type </w:t>
      </w:r>
      <w:r>
        <w:t>NetworkPerfInfo</w:t>
      </w:r>
    </w:p>
    <w:tbl>
      <w:tblPr>
        <w:tblW w:w="934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73"/>
        <w:gridCol w:w="360"/>
        <w:gridCol w:w="1170"/>
        <w:gridCol w:w="3329"/>
        <w:gridCol w:w="1483"/>
      </w:tblGrid>
      <w:tr w:rsidR="00A10B25" w14:paraId="05A74868" w14:textId="77777777">
        <w:trPr>
          <w:jc w:val="center"/>
        </w:trPr>
        <w:tc>
          <w:tcPr>
            <w:tcW w:w="1531" w:type="dxa"/>
            <w:tcBorders>
              <w:top w:val="single" w:sz="6" w:space="0" w:color="auto"/>
              <w:left w:val="single" w:sz="6" w:space="0" w:color="auto"/>
              <w:bottom w:val="single" w:sz="6" w:space="0" w:color="auto"/>
              <w:right w:val="single" w:sz="6" w:space="0" w:color="auto"/>
            </w:tcBorders>
            <w:shd w:val="clear" w:color="auto" w:fill="C0C0C0"/>
          </w:tcPr>
          <w:p w14:paraId="7498BD93" w14:textId="77777777" w:rsidR="00A10B25" w:rsidRDefault="00A10B25">
            <w:pPr>
              <w:pStyle w:val="TAH"/>
            </w:pPr>
            <w:r>
              <w:t>Attribute name</w:t>
            </w:r>
          </w:p>
        </w:tc>
        <w:tc>
          <w:tcPr>
            <w:tcW w:w="1474" w:type="dxa"/>
            <w:tcBorders>
              <w:top w:val="single" w:sz="6" w:space="0" w:color="auto"/>
              <w:left w:val="single" w:sz="6" w:space="0" w:color="auto"/>
              <w:bottom w:val="single" w:sz="6" w:space="0" w:color="auto"/>
              <w:right w:val="single" w:sz="6" w:space="0" w:color="auto"/>
            </w:tcBorders>
            <w:shd w:val="clear" w:color="auto" w:fill="C0C0C0"/>
          </w:tcPr>
          <w:p w14:paraId="22ADA2E5" w14:textId="77777777" w:rsidR="00A10B25" w:rsidRDefault="00A10B25">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tcPr>
          <w:p w14:paraId="7A4EF3A5" w14:textId="77777777" w:rsidR="00A10B25" w:rsidRDefault="00A10B25">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tcPr>
          <w:p w14:paraId="41E5F395" w14:textId="77777777" w:rsidR="00A10B25" w:rsidRDefault="00A10B25">
            <w:pPr>
              <w:pStyle w:val="TAH"/>
              <w:rPr>
                <w:rFonts w:eastAsia="Batang"/>
              </w:rPr>
            </w:pPr>
            <w:r>
              <w:rPr>
                <w:rFonts w:eastAsia="Batang"/>
              </w:rPr>
              <w:t>Cardinality</w:t>
            </w:r>
          </w:p>
        </w:tc>
        <w:tc>
          <w:tcPr>
            <w:tcW w:w="3330" w:type="dxa"/>
            <w:tcBorders>
              <w:top w:val="single" w:sz="6" w:space="0" w:color="auto"/>
              <w:left w:val="single" w:sz="6" w:space="0" w:color="auto"/>
              <w:bottom w:val="single" w:sz="6" w:space="0" w:color="auto"/>
              <w:right w:val="single" w:sz="6" w:space="0" w:color="auto"/>
            </w:tcBorders>
            <w:shd w:val="clear" w:color="auto" w:fill="C0C0C0"/>
          </w:tcPr>
          <w:p w14:paraId="2DBE71AC" w14:textId="77777777" w:rsidR="00A10B25" w:rsidRDefault="00A10B25">
            <w:pPr>
              <w:pStyle w:val="TAH"/>
              <w:rPr>
                <w:rFonts w:cs="Arial"/>
                <w:szCs w:val="18"/>
              </w:rPr>
            </w:pPr>
            <w:r>
              <w:rPr>
                <w:rFonts w:cs="Arial"/>
                <w:szCs w:val="18"/>
              </w:rPr>
              <w:t>Description</w:t>
            </w:r>
          </w:p>
        </w:tc>
        <w:tc>
          <w:tcPr>
            <w:tcW w:w="1483" w:type="dxa"/>
            <w:tcBorders>
              <w:top w:val="single" w:sz="6" w:space="0" w:color="auto"/>
              <w:left w:val="single" w:sz="6" w:space="0" w:color="auto"/>
              <w:bottom w:val="single" w:sz="6" w:space="0" w:color="auto"/>
              <w:right w:val="single" w:sz="6" w:space="0" w:color="auto"/>
            </w:tcBorders>
            <w:shd w:val="clear" w:color="auto" w:fill="C0C0C0"/>
          </w:tcPr>
          <w:p w14:paraId="7E1BA574" w14:textId="77777777" w:rsidR="00A10B25" w:rsidRDefault="00A10B25">
            <w:pPr>
              <w:pStyle w:val="TAH"/>
              <w:rPr>
                <w:rFonts w:cs="Arial"/>
                <w:szCs w:val="18"/>
              </w:rPr>
            </w:pPr>
            <w:r>
              <w:rPr>
                <w:rFonts w:cs="Arial"/>
                <w:szCs w:val="18"/>
              </w:rPr>
              <w:t>Applicability</w:t>
            </w:r>
          </w:p>
        </w:tc>
      </w:tr>
      <w:tr w:rsidR="00A10B25" w14:paraId="32450D36"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7D917B98" w14:textId="77777777" w:rsidR="00A10B25" w:rsidRDefault="00A10B25">
            <w:pPr>
              <w:pStyle w:val="TAL"/>
            </w:pPr>
            <w:r>
              <w:rPr>
                <w:lang w:eastAsia="zh-CN"/>
              </w:rPr>
              <w:t>networkArea</w:t>
            </w:r>
          </w:p>
        </w:tc>
        <w:tc>
          <w:tcPr>
            <w:tcW w:w="1474" w:type="dxa"/>
            <w:tcBorders>
              <w:top w:val="single" w:sz="6" w:space="0" w:color="auto"/>
              <w:left w:val="single" w:sz="6" w:space="0" w:color="auto"/>
              <w:bottom w:val="single" w:sz="6" w:space="0" w:color="auto"/>
              <w:right w:val="single" w:sz="6" w:space="0" w:color="auto"/>
            </w:tcBorders>
          </w:tcPr>
          <w:p w14:paraId="513F70CD" w14:textId="77777777" w:rsidR="00A10B25" w:rsidRDefault="00A10B25">
            <w:pPr>
              <w:pStyle w:val="TAL"/>
            </w:pPr>
            <w:r>
              <w:rPr>
                <w:lang w:eastAsia="zh-CN"/>
              </w:rPr>
              <w:t>NetworkAreaInfo</w:t>
            </w:r>
          </w:p>
        </w:tc>
        <w:tc>
          <w:tcPr>
            <w:tcW w:w="360" w:type="dxa"/>
            <w:tcBorders>
              <w:top w:val="single" w:sz="6" w:space="0" w:color="auto"/>
              <w:left w:val="single" w:sz="6" w:space="0" w:color="auto"/>
              <w:bottom w:val="single" w:sz="6" w:space="0" w:color="auto"/>
              <w:right w:val="single" w:sz="6" w:space="0" w:color="auto"/>
            </w:tcBorders>
          </w:tcPr>
          <w:p w14:paraId="09D7489C" w14:textId="77777777" w:rsidR="00A10B25" w:rsidRDefault="00A10B25">
            <w:pPr>
              <w:pStyle w:val="TAC"/>
            </w:pPr>
            <w:r>
              <w:t>M</w:t>
            </w:r>
          </w:p>
        </w:tc>
        <w:tc>
          <w:tcPr>
            <w:tcW w:w="1170" w:type="dxa"/>
            <w:tcBorders>
              <w:top w:val="single" w:sz="6" w:space="0" w:color="auto"/>
              <w:left w:val="single" w:sz="6" w:space="0" w:color="auto"/>
              <w:bottom w:val="single" w:sz="6" w:space="0" w:color="auto"/>
              <w:right w:val="single" w:sz="6" w:space="0" w:color="auto"/>
            </w:tcBorders>
          </w:tcPr>
          <w:p w14:paraId="23093DE0" w14:textId="77777777" w:rsidR="00A10B25" w:rsidRDefault="00A10B25">
            <w:pPr>
              <w:pStyle w:val="TAC"/>
            </w:pPr>
            <w:r>
              <w:t>1</w:t>
            </w:r>
          </w:p>
        </w:tc>
        <w:tc>
          <w:tcPr>
            <w:tcW w:w="3330" w:type="dxa"/>
            <w:tcBorders>
              <w:top w:val="single" w:sz="6" w:space="0" w:color="auto"/>
              <w:left w:val="single" w:sz="6" w:space="0" w:color="auto"/>
              <w:bottom w:val="single" w:sz="6" w:space="0" w:color="auto"/>
              <w:right w:val="single" w:sz="6" w:space="0" w:color="auto"/>
            </w:tcBorders>
          </w:tcPr>
          <w:p w14:paraId="34976C81" w14:textId="680F5611" w:rsidR="00C869EF" w:rsidRPr="00D21089" w:rsidRDefault="00C869EF" w:rsidP="00C869EF">
            <w:pPr>
              <w:keepNext/>
              <w:keepLines/>
              <w:spacing w:after="0"/>
              <w:rPr>
                <w:rFonts w:ascii="Arial" w:hAnsi="Arial" w:cs="Arial"/>
                <w:sz w:val="18"/>
                <w:szCs w:val="18"/>
              </w:rPr>
            </w:pPr>
            <w:r w:rsidRPr="00D21089">
              <w:rPr>
                <w:rFonts w:ascii="Arial" w:hAnsi="Arial" w:cs="Arial"/>
                <w:sz w:val="18"/>
                <w:szCs w:val="18"/>
              </w:rPr>
              <w:t xml:space="preserve">Identification of network area to which the </w:t>
            </w:r>
            <w:r>
              <w:rPr>
                <w:rFonts w:ascii="Arial" w:hAnsi="Arial" w:cs="Arial"/>
                <w:sz w:val="18"/>
                <w:szCs w:val="18"/>
              </w:rPr>
              <w:t>provided analytics apply</w:t>
            </w:r>
            <w:r w:rsidRPr="00D21089">
              <w:rPr>
                <w:rFonts w:ascii="Arial" w:hAnsi="Arial" w:cs="Arial"/>
                <w:sz w:val="18"/>
                <w:szCs w:val="18"/>
              </w:rPr>
              <w:t>.</w:t>
            </w:r>
          </w:p>
          <w:p w14:paraId="302A5832" w14:textId="77777777" w:rsidR="00A10B25" w:rsidRDefault="00C869EF" w:rsidP="00C869EF">
            <w:pPr>
              <w:pStyle w:val="TAL"/>
            </w:pPr>
            <w:r w:rsidRPr="00D21089">
              <w:t>(NOTE 5)</w:t>
            </w:r>
          </w:p>
        </w:tc>
        <w:tc>
          <w:tcPr>
            <w:tcW w:w="1483" w:type="dxa"/>
            <w:tcBorders>
              <w:top w:val="single" w:sz="6" w:space="0" w:color="auto"/>
              <w:left w:val="single" w:sz="6" w:space="0" w:color="auto"/>
              <w:bottom w:val="single" w:sz="6" w:space="0" w:color="auto"/>
              <w:right w:val="single" w:sz="6" w:space="0" w:color="auto"/>
            </w:tcBorders>
          </w:tcPr>
          <w:p w14:paraId="63864D01" w14:textId="77777777" w:rsidR="00A10B25" w:rsidRDefault="00A10B25">
            <w:pPr>
              <w:pStyle w:val="TAL"/>
              <w:rPr>
                <w:rFonts w:cs="Arial"/>
                <w:szCs w:val="18"/>
              </w:rPr>
            </w:pPr>
          </w:p>
        </w:tc>
      </w:tr>
      <w:tr w:rsidR="00A10B25" w14:paraId="5668B8CA"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1E188F09" w14:textId="77777777" w:rsidR="00A10B25" w:rsidRDefault="00A10B25">
            <w:pPr>
              <w:pStyle w:val="TAL"/>
            </w:pPr>
            <w:r>
              <w:t>nwPerfType</w:t>
            </w:r>
          </w:p>
        </w:tc>
        <w:tc>
          <w:tcPr>
            <w:tcW w:w="1474" w:type="dxa"/>
            <w:tcBorders>
              <w:top w:val="single" w:sz="6" w:space="0" w:color="auto"/>
              <w:left w:val="single" w:sz="6" w:space="0" w:color="auto"/>
              <w:bottom w:val="single" w:sz="6" w:space="0" w:color="auto"/>
              <w:right w:val="single" w:sz="6" w:space="0" w:color="auto"/>
            </w:tcBorders>
          </w:tcPr>
          <w:p w14:paraId="2F340B83" w14:textId="77777777" w:rsidR="00A10B25" w:rsidRDefault="00A10B25">
            <w:pPr>
              <w:pStyle w:val="TAL"/>
            </w:pPr>
            <w:r>
              <w:t>NetworkPerfType</w:t>
            </w:r>
          </w:p>
        </w:tc>
        <w:tc>
          <w:tcPr>
            <w:tcW w:w="360" w:type="dxa"/>
            <w:tcBorders>
              <w:top w:val="single" w:sz="6" w:space="0" w:color="auto"/>
              <w:left w:val="single" w:sz="6" w:space="0" w:color="auto"/>
              <w:bottom w:val="single" w:sz="6" w:space="0" w:color="auto"/>
              <w:right w:val="single" w:sz="6" w:space="0" w:color="auto"/>
            </w:tcBorders>
          </w:tcPr>
          <w:p w14:paraId="7AAA5FC0" w14:textId="77777777" w:rsidR="00A10B25" w:rsidRDefault="00A10B25">
            <w:pPr>
              <w:pStyle w:val="TAC"/>
            </w:pPr>
            <w:r>
              <w:t>M</w:t>
            </w:r>
          </w:p>
        </w:tc>
        <w:tc>
          <w:tcPr>
            <w:tcW w:w="1170" w:type="dxa"/>
            <w:tcBorders>
              <w:top w:val="single" w:sz="6" w:space="0" w:color="auto"/>
              <w:left w:val="single" w:sz="6" w:space="0" w:color="auto"/>
              <w:bottom w:val="single" w:sz="6" w:space="0" w:color="auto"/>
              <w:right w:val="single" w:sz="6" w:space="0" w:color="auto"/>
            </w:tcBorders>
          </w:tcPr>
          <w:p w14:paraId="75284DAB" w14:textId="77777777" w:rsidR="00A10B25" w:rsidRDefault="00A10B25">
            <w:pPr>
              <w:pStyle w:val="TAC"/>
            </w:pPr>
            <w:r>
              <w:t>1</w:t>
            </w:r>
          </w:p>
        </w:tc>
        <w:tc>
          <w:tcPr>
            <w:tcW w:w="3330" w:type="dxa"/>
            <w:tcBorders>
              <w:top w:val="single" w:sz="6" w:space="0" w:color="auto"/>
              <w:left w:val="single" w:sz="6" w:space="0" w:color="auto"/>
              <w:bottom w:val="single" w:sz="6" w:space="0" w:color="auto"/>
              <w:right w:val="single" w:sz="6" w:space="0" w:color="auto"/>
            </w:tcBorders>
          </w:tcPr>
          <w:p w14:paraId="2638A251" w14:textId="77777777" w:rsidR="00A10B25" w:rsidRDefault="00A10B25">
            <w:pPr>
              <w:pStyle w:val="TAL"/>
            </w:pPr>
            <w:r>
              <w:t>The type of the network performance</w:t>
            </w:r>
          </w:p>
        </w:tc>
        <w:tc>
          <w:tcPr>
            <w:tcW w:w="1483" w:type="dxa"/>
            <w:tcBorders>
              <w:top w:val="single" w:sz="6" w:space="0" w:color="auto"/>
              <w:left w:val="single" w:sz="6" w:space="0" w:color="auto"/>
              <w:bottom w:val="single" w:sz="6" w:space="0" w:color="auto"/>
              <w:right w:val="single" w:sz="6" w:space="0" w:color="auto"/>
            </w:tcBorders>
          </w:tcPr>
          <w:p w14:paraId="65B7C761" w14:textId="77777777" w:rsidR="00A10B25" w:rsidRDefault="00A10B25">
            <w:pPr>
              <w:pStyle w:val="TAL"/>
              <w:rPr>
                <w:rFonts w:cs="Arial"/>
                <w:szCs w:val="18"/>
              </w:rPr>
            </w:pPr>
          </w:p>
        </w:tc>
      </w:tr>
      <w:tr w:rsidR="00A10B25" w14:paraId="25997C18"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0A861473" w14:textId="77777777" w:rsidR="00A10B25" w:rsidRDefault="00A10B25">
            <w:pPr>
              <w:pStyle w:val="TAL"/>
            </w:pPr>
            <w:r>
              <w:t>anaPeriod</w:t>
            </w:r>
          </w:p>
        </w:tc>
        <w:tc>
          <w:tcPr>
            <w:tcW w:w="1474" w:type="dxa"/>
            <w:tcBorders>
              <w:top w:val="single" w:sz="6" w:space="0" w:color="auto"/>
              <w:left w:val="single" w:sz="6" w:space="0" w:color="auto"/>
              <w:bottom w:val="single" w:sz="6" w:space="0" w:color="auto"/>
              <w:right w:val="single" w:sz="6" w:space="0" w:color="auto"/>
            </w:tcBorders>
          </w:tcPr>
          <w:p w14:paraId="54CB24F1" w14:textId="77777777" w:rsidR="00A10B25" w:rsidRDefault="00A10B25">
            <w:pPr>
              <w:pStyle w:val="TAL"/>
            </w:pPr>
            <w:r>
              <w:t>TimeWindow</w:t>
            </w:r>
          </w:p>
        </w:tc>
        <w:tc>
          <w:tcPr>
            <w:tcW w:w="360" w:type="dxa"/>
            <w:tcBorders>
              <w:top w:val="single" w:sz="6" w:space="0" w:color="auto"/>
              <w:left w:val="single" w:sz="6" w:space="0" w:color="auto"/>
              <w:bottom w:val="single" w:sz="6" w:space="0" w:color="auto"/>
              <w:right w:val="single" w:sz="6" w:space="0" w:color="auto"/>
            </w:tcBorders>
          </w:tcPr>
          <w:p w14:paraId="10550EFD" w14:textId="77777777" w:rsidR="00A10B25" w:rsidRDefault="00A10B25">
            <w:pPr>
              <w:pStyle w:val="TAC"/>
            </w:pPr>
            <w:r>
              <w:t>O</w:t>
            </w:r>
          </w:p>
        </w:tc>
        <w:tc>
          <w:tcPr>
            <w:tcW w:w="1170" w:type="dxa"/>
            <w:tcBorders>
              <w:top w:val="single" w:sz="6" w:space="0" w:color="auto"/>
              <w:left w:val="single" w:sz="6" w:space="0" w:color="auto"/>
              <w:bottom w:val="single" w:sz="6" w:space="0" w:color="auto"/>
              <w:right w:val="single" w:sz="6" w:space="0" w:color="auto"/>
            </w:tcBorders>
          </w:tcPr>
          <w:p w14:paraId="2A2CC6CB"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12D32D25" w14:textId="77777777" w:rsidR="00A10B25" w:rsidRDefault="00A10B25">
            <w:pPr>
              <w:pStyle w:val="TAL"/>
            </w:pPr>
            <w:r>
              <w:t>Indicates the analytics target period subset within the requested analytics target period.</w:t>
            </w:r>
          </w:p>
          <w:p w14:paraId="4A779E49" w14:textId="77777777" w:rsidR="00A10B25" w:rsidRDefault="00A10B25">
            <w:pPr>
              <w:pStyle w:val="TAL"/>
            </w:pPr>
            <w:r>
              <w:t>(NOTE 4)</w:t>
            </w:r>
          </w:p>
        </w:tc>
        <w:tc>
          <w:tcPr>
            <w:tcW w:w="1483" w:type="dxa"/>
            <w:tcBorders>
              <w:top w:val="single" w:sz="6" w:space="0" w:color="auto"/>
              <w:left w:val="single" w:sz="6" w:space="0" w:color="auto"/>
              <w:bottom w:val="single" w:sz="6" w:space="0" w:color="auto"/>
              <w:right w:val="single" w:sz="6" w:space="0" w:color="auto"/>
            </w:tcBorders>
          </w:tcPr>
          <w:p w14:paraId="6A00390C" w14:textId="77777777" w:rsidR="00A10B25" w:rsidRDefault="00A10B25">
            <w:pPr>
              <w:pStyle w:val="TAL"/>
              <w:rPr>
                <w:rFonts w:cs="Arial"/>
                <w:szCs w:val="18"/>
              </w:rPr>
            </w:pPr>
            <w:r>
              <w:rPr>
                <w:rFonts w:cs="Arial"/>
                <w:szCs w:val="18"/>
              </w:rPr>
              <w:t>NetworkPerformanceExt_eNA</w:t>
            </w:r>
          </w:p>
        </w:tc>
      </w:tr>
      <w:tr w:rsidR="00A10B25" w14:paraId="3F0AEED5"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0C3A6C6E" w14:textId="77777777" w:rsidR="00A10B25" w:rsidRDefault="00A10B25">
            <w:pPr>
              <w:pStyle w:val="TAL"/>
            </w:pPr>
            <w:r>
              <w:t>relativeRatio</w:t>
            </w:r>
          </w:p>
        </w:tc>
        <w:tc>
          <w:tcPr>
            <w:tcW w:w="1474" w:type="dxa"/>
            <w:tcBorders>
              <w:top w:val="single" w:sz="6" w:space="0" w:color="auto"/>
              <w:left w:val="single" w:sz="6" w:space="0" w:color="auto"/>
              <w:bottom w:val="single" w:sz="6" w:space="0" w:color="auto"/>
              <w:right w:val="single" w:sz="6" w:space="0" w:color="auto"/>
            </w:tcBorders>
          </w:tcPr>
          <w:p w14:paraId="385E64EB" w14:textId="77777777" w:rsidR="00A10B25" w:rsidRDefault="00A10B25">
            <w:pPr>
              <w:pStyle w:val="TAL"/>
            </w:pPr>
            <w:r>
              <w:t>SamplingRatio</w:t>
            </w:r>
          </w:p>
        </w:tc>
        <w:tc>
          <w:tcPr>
            <w:tcW w:w="360" w:type="dxa"/>
            <w:tcBorders>
              <w:top w:val="single" w:sz="6" w:space="0" w:color="auto"/>
              <w:left w:val="single" w:sz="6" w:space="0" w:color="auto"/>
              <w:bottom w:val="single" w:sz="6" w:space="0" w:color="auto"/>
              <w:right w:val="single" w:sz="6" w:space="0" w:color="auto"/>
            </w:tcBorders>
          </w:tcPr>
          <w:p w14:paraId="1852649D" w14:textId="77777777" w:rsidR="00A10B25" w:rsidRDefault="00A10B25">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2BEA9B53"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62559325" w14:textId="77777777" w:rsidR="00A10B25" w:rsidRDefault="00A10B25">
            <w:pPr>
              <w:pStyle w:val="TAL"/>
            </w:pPr>
            <w:r>
              <w:t>The reported relative ratio expressed in percentage. (NOTE 1)</w:t>
            </w:r>
          </w:p>
        </w:tc>
        <w:tc>
          <w:tcPr>
            <w:tcW w:w="1483" w:type="dxa"/>
            <w:tcBorders>
              <w:top w:val="single" w:sz="6" w:space="0" w:color="auto"/>
              <w:left w:val="single" w:sz="6" w:space="0" w:color="auto"/>
              <w:bottom w:val="single" w:sz="6" w:space="0" w:color="auto"/>
              <w:right w:val="single" w:sz="6" w:space="0" w:color="auto"/>
            </w:tcBorders>
          </w:tcPr>
          <w:p w14:paraId="07FAE409" w14:textId="77777777" w:rsidR="00A10B25" w:rsidRDefault="00A10B25">
            <w:pPr>
              <w:pStyle w:val="TAL"/>
              <w:rPr>
                <w:rFonts w:cs="Arial"/>
                <w:szCs w:val="18"/>
              </w:rPr>
            </w:pPr>
          </w:p>
        </w:tc>
      </w:tr>
      <w:tr w:rsidR="00A10B25" w14:paraId="77328B9D"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217938BF" w14:textId="77777777" w:rsidR="00A10B25" w:rsidRDefault="00A10B25">
            <w:pPr>
              <w:pStyle w:val="TAL"/>
            </w:pPr>
            <w:r>
              <w:t>absoluteNum</w:t>
            </w:r>
          </w:p>
        </w:tc>
        <w:tc>
          <w:tcPr>
            <w:tcW w:w="1474" w:type="dxa"/>
            <w:tcBorders>
              <w:top w:val="single" w:sz="6" w:space="0" w:color="auto"/>
              <w:left w:val="single" w:sz="6" w:space="0" w:color="auto"/>
              <w:bottom w:val="single" w:sz="6" w:space="0" w:color="auto"/>
              <w:right w:val="single" w:sz="6" w:space="0" w:color="auto"/>
            </w:tcBorders>
          </w:tcPr>
          <w:p w14:paraId="4282C949" w14:textId="77777777" w:rsidR="00A10B25" w:rsidRDefault="00A10B25">
            <w:pPr>
              <w:pStyle w:val="TAL"/>
            </w:pPr>
            <w:r>
              <w:t>Uinteger</w:t>
            </w:r>
          </w:p>
        </w:tc>
        <w:tc>
          <w:tcPr>
            <w:tcW w:w="360" w:type="dxa"/>
            <w:tcBorders>
              <w:top w:val="single" w:sz="6" w:space="0" w:color="auto"/>
              <w:left w:val="single" w:sz="6" w:space="0" w:color="auto"/>
              <w:bottom w:val="single" w:sz="6" w:space="0" w:color="auto"/>
              <w:right w:val="single" w:sz="6" w:space="0" w:color="auto"/>
            </w:tcBorders>
          </w:tcPr>
          <w:p w14:paraId="2E70BD74" w14:textId="77777777" w:rsidR="00A10B25" w:rsidRDefault="00A10B25">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3620CD01"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23656C3E" w14:textId="77777777" w:rsidR="00A10B25" w:rsidRDefault="00A10B25">
            <w:pPr>
              <w:pStyle w:val="TAL"/>
            </w:pPr>
            <w:r>
              <w:t>The reported absolute number (NOTE 1)</w:t>
            </w:r>
          </w:p>
        </w:tc>
        <w:tc>
          <w:tcPr>
            <w:tcW w:w="1483" w:type="dxa"/>
            <w:tcBorders>
              <w:top w:val="single" w:sz="6" w:space="0" w:color="auto"/>
              <w:left w:val="single" w:sz="6" w:space="0" w:color="auto"/>
              <w:bottom w:val="single" w:sz="6" w:space="0" w:color="auto"/>
              <w:right w:val="single" w:sz="6" w:space="0" w:color="auto"/>
            </w:tcBorders>
          </w:tcPr>
          <w:p w14:paraId="04F647F1" w14:textId="77777777" w:rsidR="00A10B25" w:rsidRDefault="00A10B25">
            <w:pPr>
              <w:pStyle w:val="TAL"/>
              <w:rPr>
                <w:rFonts w:cs="Arial"/>
                <w:szCs w:val="18"/>
              </w:rPr>
            </w:pPr>
          </w:p>
        </w:tc>
      </w:tr>
      <w:tr w:rsidR="00A10B25" w14:paraId="7A531821"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69230689" w14:textId="77777777" w:rsidR="00A10B25" w:rsidRDefault="00A10B25">
            <w:pPr>
              <w:pStyle w:val="TAL"/>
            </w:pPr>
            <w:r>
              <w:rPr>
                <w:lang w:eastAsia="zh-CN"/>
              </w:rPr>
              <w:t>rscUsgReq</w:t>
            </w:r>
          </w:p>
        </w:tc>
        <w:tc>
          <w:tcPr>
            <w:tcW w:w="1474" w:type="dxa"/>
            <w:tcBorders>
              <w:top w:val="single" w:sz="6" w:space="0" w:color="auto"/>
              <w:left w:val="single" w:sz="6" w:space="0" w:color="auto"/>
              <w:bottom w:val="single" w:sz="6" w:space="0" w:color="auto"/>
              <w:right w:val="single" w:sz="6" w:space="0" w:color="auto"/>
            </w:tcBorders>
          </w:tcPr>
          <w:p w14:paraId="7FBEA363" w14:textId="77777777" w:rsidR="00A10B25" w:rsidRDefault="00A10B25">
            <w:pPr>
              <w:pStyle w:val="TAL"/>
            </w:pPr>
            <w:r>
              <w:rPr>
                <w:lang w:eastAsia="zh-CN"/>
              </w:rPr>
              <w:t>ResourceUsageRequirement</w:t>
            </w:r>
          </w:p>
        </w:tc>
        <w:tc>
          <w:tcPr>
            <w:tcW w:w="360" w:type="dxa"/>
            <w:tcBorders>
              <w:top w:val="single" w:sz="6" w:space="0" w:color="auto"/>
              <w:left w:val="single" w:sz="6" w:space="0" w:color="auto"/>
              <w:bottom w:val="single" w:sz="6" w:space="0" w:color="auto"/>
              <w:right w:val="single" w:sz="6" w:space="0" w:color="auto"/>
            </w:tcBorders>
          </w:tcPr>
          <w:p w14:paraId="4F8F0333" w14:textId="77777777" w:rsidR="00A10B25" w:rsidRDefault="00A10B25">
            <w:pPr>
              <w:pStyle w:val="TAC"/>
            </w:pPr>
            <w:r>
              <w:rPr>
                <w:lang w:eastAsia="zh-CN"/>
              </w:rPr>
              <w:t>O</w:t>
            </w:r>
          </w:p>
        </w:tc>
        <w:tc>
          <w:tcPr>
            <w:tcW w:w="1170" w:type="dxa"/>
            <w:tcBorders>
              <w:top w:val="single" w:sz="6" w:space="0" w:color="auto"/>
              <w:left w:val="single" w:sz="6" w:space="0" w:color="auto"/>
              <w:bottom w:val="single" w:sz="6" w:space="0" w:color="auto"/>
              <w:right w:val="single" w:sz="6" w:space="0" w:color="auto"/>
            </w:tcBorders>
          </w:tcPr>
          <w:p w14:paraId="3C7AADA5"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49645EEB" w14:textId="77777777" w:rsidR="00A10B25" w:rsidRDefault="00A10B25">
            <w:pPr>
              <w:pStyle w:val="TAL"/>
            </w:pPr>
            <w:r>
              <w:rPr>
                <w:lang w:eastAsia="zh-CN"/>
              </w:rPr>
              <w:t xml:space="preserve">Indicates more information when providing resource usage information for the network performance type indicated by the </w:t>
            </w:r>
            <w:r>
              <w:t>"nwPerfType" attribute</w:t>
            </w:r>
            <w:r>
              <w:rPr>
                <w:lang w:eastAsia="zh-CN"/>
              </w:rPr>
              <w:t>. (NOTE</w:t>
            </w:r>
            <w:r>
              <w:rPr>
                <w:lang w:val="en-US" w:eastAsia="zh-CN"/>
              </w:rPr>
              <w:t> 3</w:t>
            </w:r>
            <w:r>
              <w:rPr>
                <w:lang w:eastAsia="zh-CN"/>
              </w:rPr>
              <w:t>)</w:t>
            </w:r>
          </w:p>
        </w:tc>
        <w:tc>
          <w:tcPr>
            <w:tcW w:w="1483" w:type="dxa"/>
            <w:tcBorders>
              <w:top w:val="single" w:sz="6" w:space="0" w:color="auto"/>
              <w:left w:val="single" w:sz="6" w:space="0" w:color="auto"/>
              <w:bottom w:val="single" w:sz="6" w:space="0" w:color="auto"/>
              <w:right w:val="single" w:sz="6" w:space="0" w:color="auto"/>
            </w:tcBorders>
          </w:tcPr>
          <w:p w14:paraId="2A9A3E41" w14:textId="77777777" w:rsidR="00A10B25" w:rsidRDefault="00A10B25">
            <w:pPr>
              <w:pStyle w:val="TAL"/>
              <w:rPr>
                <w:rFonts w:cs="Arial"/>
                <w:szCs w:val="18"/>
              </w:rPr>
            </w:pPr>
            <w:r>
              <w:t>NetworkPerformance</w:t>
            </w:r>
            <w:r>
              <w:rPr>
                <w:lang w:eastAsia="zh-CN"/>
              </w:rPr>
              <w:t>Ext_AIML</w:t>
            </w:r>
          </w:p>
        </w:tc>
      </w:tr>
      <w:tr w:rsidR="00A10B25" w14:paraId="50E764DB" w14:textId="77777777">
        <w:trPr>
          <w:jc w:val="center"/>
        </w:trPr>
        <w:tc>
          <w:tcPr>
            <w:tcW w:w="1531" w:type="dxa"/>
            <w:tcBorders>
              <w:top w:val="single" w:sz="6" w:space="0" w:color="auto"/>
              <w:left w:val="single" w:sz="6" w:space="0" w:color="auto"/>
              <w:bottom w:val="single" w:sz="6" w:space="0" w:color="auto"/>
              <w:right w:val="single" w:sz="6" w:space="0" w:color="auto"/>
            </w:tcBorders>
          </w:tcPr>
          <w:p w14:paraId="60D1A5FE" w14:textId="77777777" w:rsidR="00A10B25" w:rsidRDefault="00A10B25">
            <w:pPr>
              <w:pStyle w:val="TAL"/>
            </w:pPr>
            <w:r>
              <w:t>confidence</w:t>
            </w:r>
          </w:p>
        </w:tc>
        <w:tc>
          <w:tcPr>
            <w:tcW w:w="1474" w:type="dxa"/>
            <w:tcBorders>
              <w:top w:val="single" w:sz="6" w:space="0" w:color="auto"/>
              <w:left w:val="single" w:sz="6" w:space="0" w:color="auto"/>
              <w:bottom w:val="single" w:sz="6" w:space="0" w:color="auto"/>
              <w:right w:val="single" w:sz="6" w:space="0" w:color="auto"/>
            </w:tcBorders>
          </w:tcPr>
          <w:p w14:paraId="65D9F2CA" w14:textId="77777777" w:rsidR="00A10B25" w:rsidRDefault="00A10B25">
            <w:pPr>
              <w:pStyle w:val="TAL"/>
            </w:pPr>
            <w:r>
              <w:t>Uinteger</w:t>
            </w:r>
          </w:p>
        </w:tc>
        <w:tc>
          <w:tcPr>
            <w:tcW w:w="360" w:type="dxa"/>
            <w:tcBorders>
              <w:top w:val="single" w:sz="6" w:space="0" w:color="auto"/>
              <w:left w:val="single" w:sz="6" w:space="0" w:color="auto"/>
              <w:bottom w:val="single" w:sz="6" w:space="0" w:color="auto"/>
              <w:right w:val="single" w:sz="6" w:space="0" w:color="auto"/>
            </w:tcBorders>
          </w:tcPr>
          <w:p w14:paraId="75441056" w14:textId="77777777" w:rsidR="00A10B25" w:rsidRDefault="00A10B25">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4F33B518" w14:textId="77777777" w:rsidR="00A10B25" w:rsidRDefault="00A10B25">
            <w:pPr>
              <w:pStyle w:val="TAC"/>
            </w:pPr>
            <w:r>
              <w:t>0..1</w:t>
            </w:r>
          </w:p>
        </w:tc>
        <w:tc>
          <w:tcPr>
            <w:tcW w:w="3330" w:type="dxa"/>
            <w:tcBorders>
              <w:top w:val="single" w:sz="6" w:space="0" w:color="auto"/>
              <w:left w:val="single" w:sz="6" w:space="0" w:color="auto"/>
              <w:bottom w:val="single" w:sz="6" w:space="0" w:color="auto"/>
              <w:right w:val="single" w:sz="6" w:space="0" w:color="auto"/>
            </w:tcBorders>
          </w:tcPr>
          <w:p w14:paraId="0DB72B52" w14:textId="77777777" w:rsidR="00A10B25" w:rsidRDefault="00A10B25">
            <w:pPr>
              <w:pStyle w:val="TAL"/>
            </w:pPr>
            <w:r>
              <w:t>Indicates the confidence of the prediction. (NOTE 2)</w:t>
            </w:r>
          </w:p>
          <w:p w14:paraId="470594D9" w14:textId="77777777" w:rsidR="00A10B25" w:rsidRDefault="00A10B25">
            <w:pPr>
              <w:pStyle w:val="TAL"/>
            </w:pPr>
            <w:r>
              <w:t>Shall be present if the analytics result is a prediction.</w:t>
            </w:r>
          </w:p>
          <w:p w14:paraId="3C2C1B2E" w14:textId="77777777" w:rsidR="00A10B25" w:rsidRDefault="00A10B25">
            <w:pPr>
              <w:pStyle w:val="TAL"/>
            </w:pPr>
            <w:r>
              <w:rPr>
                <w:rFonts w:cs="Arial"/>
                <w:szCs w:val="18"/>
                <w:lang w:eastAsia="zh-CN"/>
              </w:rPr>
              <w:t>Minimum = 0. Maximum = 100.</w:t>
            </w:r>
          </w:p>
        </w:tc>
        <w:tc>
          <w:tcPr>
            <w:tcW w:w="1483" w:type="dxa"/>
            <w:tcBorders>
              <w:top w:val="single" w:sz="6" w:space="0" w:color="auto"/>
              <w:left w:val="single" w:sz="6" w:space="0" w:color="auto"/>
              <w:bottom w:val="single" w:sz="6" w:space="0" w:color="auto"/>
              <w:right w:val="single" w:sz="6" w:space="0" w:color="auto"/>
            </w:tcBorders>
          </w:tcPr>
          <w:p w14:paraId="031B7F18" w14:textId="77777777" w:rsidR="00A10B25" w:rsidRDefault="00A10B25">
            <w:pPr>
              <w:pStyle w:val="TAL"/>
              <w:rPr>
                <w:rFonts w:cs="Arial"/>
                <w:szCs w:val="18"/>
              </w:rPr>
            </w:pPr>
          </w:p>
        </w:tc>
      </w:tr>
      <w:tr w:rsidR="00A10B25" w14:paraId="53723518" w14:textId="77777777">
        <w:trPr>
          <w:jc w:val="center"/>
        </w:trPr>
        <w:tc>
          <w:tcPr>
            <w:tcW w:w="9348" w:type="dxa"/>
            <w:gridSpan w:val="6"/>
            <w:tcBorders>
              <w:top w:val="single" w:sz="6" w:space="0" w:color="auto"/>
              <w:left w:val="single" w:sz="6" w:space="0" w:color="auto"/>
              <w:bottom w:val="single" w:sz="6" w:space="0" w:color="auto"/>
              <w:right w:val="single" w:sz="6" w:space="0" w:color="auto"/>
            </w:tcBorders>
          </w:tcPr>
          <w:p w14:paraId="5814F4AF" w14:textId="77777777" w:rsidR="00A10B25" w:rsidRDefault="00A10B25">
            <w:pPr>
              <w:pStyle w:val="TAN"/>
              <w:rPr>
                <w:rFonts w:cs="Arial"/>
                <w:szCs w:val="18"/>
              </w:rPr>
            </w:pPr>
            <w:r>
              <w:t>NOTE 1:</w:t>
            </w:r>
            <w:r>
              <w:tab/>
              <w:t xml:space="preserve">Either "relativeRatio" or "absoluteNum" </w:t>
            </w:r>
            <w:r>
              <w:rPr>
                <w:rFonts w:cs="Arial"/>
                <w:szCs w:val="18"/>
              </w:rPr>
              <w:t>shall be provided.</w:t>
            </w:r>
          </w:p>
          <w:p w14:paraId="36FBC739" w14:textId="77777777" w:rsidR="00A10B25" w:rsidRDefault="00A10B25">
            <w:pPr>
              <w:pStyle w:val="TAN"/>
              <w:rPr>
                <w:rFonts w:cs="Arial"/>
                <w:szCs w:val="18"/>
              </w:rPr>
            </w:pPr>
            <w:r>
              <w:rPr>
                <w:rFonts w:cs="Arial"/>
                <w:szCs w:val="18"/>
              </w:rPr>
              <w:t>NOTE 2:</w:t>
            </w:r>
            <w:r>
              <w:rPr>
                <w:rFonts w:cs="Arial"/>
                <w:szCs w:val="18"/>
              </w:rP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7416B3E4" w14:textId="77777777" w:rsidR="00A10B25" w:rsidRDefault="00A10B25">
            <w:pPr>
              <w:pStyle w:val="TAN"/>
            </w:pPr>
            <w:r>
              <w:t>NOTE</w:t>
            </w:r>
            <w:r>
              <w:rPr>
                <w:lang w:eastAsia="zh-CN"/>
              </w:rPr>
              <w:t> 3</w:t>
            </w:r>
            <w:r>
              <w:t>:</w:t>
            </w:r>
            <w:r>
              <w:tab/>
              <w:t>The "</w:t>
            </w:r>
            <w:r>
              <w:rPr>
                <w:lang w:eastAsia="zh-CN"/>
              </w:rPr>
              <w:t>rscUsgReq</w:t>
            </w:r>
            <w:r>
              <w:t>" value is only applicable when the "nwPerfType" attribute is set to "GNB_RSC_USAGE_OVERALL_TRAFFIC", "GNB_RSC_USAGE_GBR_TRAFFIC" or "GNB_RSC_USAGE_DELAY_CRIT_GBR_TRAFFIC".</w:t>
            </w:r>
          </w:p>
          <w:p w14:paraId="26001808" w14:textId="77777777" w:rsidR="00A10B25" w:rsidRDefault="00A10B25">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w:t>
            </w:r>
            <w:r>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6CA6BB74" w14:textId="77777777" w:rsidR="00A10B25" w:rsidRDefault="00A10B25">
            <w:pPr>
              <w:pStyle w:val="TAN"/>
              <w:rPr>
                <w:lang w:eastAsia="zh-CN"/>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 and/or</w:t>
            </w:r>
            <w:r>
              <w:rPr>
                <w:lang w:val="en-US"/>
              </w:rPr>
              <w:t xml:space="preserve"> </w:t>
            </w:r>
            <w:r>
              <w:rPr>
                <w:lang w:val="en-US" w:eastAsia="zh-CN"/>
              </w:rPr>
              <w:t>"</w:t>
            </w:r>
            <w:r>
              <w:t>spatialGranSizeCell</w:t>
            </w:r>
            <w:r>
              <w:rPr>
                <w:lang w:val="en-US" w:eastAsia="zh-CN"/>
              </w:rPr>
              <w:t xml:space="preserve">" </w:t>
            </w:r>
            <w:r>
              <w:t xml:space="preserve">attributes </w:t>
            </w:r>
            <w:r>
              <w:rPr>
                <w:lang w:eastAsia="zh-CN"/>
              </w:rPr>
              <w:t>are</w:t>
            </w:r>
            <w:r>
              <w:t xml:space="preserve"> provided in the request, the number of TAs or cells contained in </w:t>
            </w:r>
            <w:r>
              <w:rPr>
                <w:lang w:val="en-US" w:eastAsia="zh-CN"/>
              </w:rPr>
              <w:t>"</w:t>
            </w:r>
            <w:r>
              <w:rPr>
                <w:lang w:eastAsia="zh-CN"/>
              </w:rPr>
              <w:t>networkArea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 and/or</w:t>
            </w:r>
            <w:r>
              <w:rPr>
                <w:lang w:val="en-US"/>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5F6BBF8B" w14:textId="77777777" w:rsidR="00A10B25" w:rsidRDefault="00A10B25"/>
    <w:p w14:paraId="43A031EE" w14:textId="77777777" w:rsidR="00A10B25" w:rsidRDefault="00A10B25">
      <w:pPr>
        <w:pStyle w:val="5"/>
      </w:pPr>
      <w:bookmarkStart w:id="6476" w:name="_Toc148522618"/>
      <w:bookmarkStart w:id="6477" w:name="_Toc145705714"/>
      <w:bookmarkStart w:id="6478" w:name="_Toc164920798"/>
      <w:bookmarkStart w:id="6479" w:name="_Toc170120340"/>
      <w:bookmarkStart w:id="6480" w:name="_Toc175858585"/>
      <w:bookmarkStart w:id="6481" w:name="_Toc175859658"/>
      <w:bookmarkStart w:id="6482" w:name="_Toc180605948"/>
      <w:bookmarkStart w:id="6483" w:name="_Toc185517202"/>
      <w:bookmarkStart w:id="6484" w:name="_Toc191576253"/>
      <w:bookmarkStart w:id="6485" w:name="_Toc191576993"/>
      <w:bookmarkStart w:id="6486" w:name="_Toc192880063"/>
      <w:bookmarkStart w:id="6487" w:name="_Toc195814946"/>
      <w:bookmarkStart w:id="6488" w:name="_Toc199452913"/>
      <w:r>
        <w:lastRenderedPageBreak/>
        <w:t>5.1.6.2.24</w:t>
      </w:r>
      <w:r>
        <w:tab/>
        <w:t xml:space="preserve">Type </w:t>
      </w:r>
      <w:bookmarkEnd w:id="6447"/>
      <w:bookmarkEnd w:id="6448"/>
      <w:bookmarkEnd w:id="6449"/>
      <w:r>
        <w:t>ServiceExperienceInfo</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73A849A8" w14:textId="77777777" w:rsidR="00A10B25" w:rsidRDefault="00A10B25">
      <w:pPr>
        <w:pStyle w:val="TH"/>
      </w:pPr>
      <w:r>
        <w:t>Table 5.1.6.2.24-1: Definition of type ServiceExperienceInfo</w:t>
      </w:r>
    </w:p>
    <w:tbl>
      <w:tblPr>
        <w:tblW w:w="500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7"/>
        <w:gridCol w:w="2037"/>
        <w:gridCol w:w="286"/>
        <w:gridCol w:w="1067"/>
        <w:gridCol w:w="2210"/>
        <w:gridCol w:w="2448"/>
      </w:tblGrid>
      <w:tr w:rsidR="00A10B25" w14:paraId="5B16B591" w14:textId="77777777">
        <w:trPr>
          <w:jc w:val="center"/>
        </w:trPr>
        <w:tc>
          <w:tcPr>
            <w:tcW w:w="806" w:type="pct"/>
            <w:shd w:val="clear" w:color="auto" w:fill="C0C0C0"/>
          </w:tcPr>
          <w:p w14:paraId="1A1E95D7" w14:textId="77777777" w:rsidR="00A10B25" w:rsidRDefault="00A10B25">
            <w:pPr>
              <w:pStyle w:val="TAH"/>
            </w:pPr>
            <w:r>
              <w:lastRenderedPageBreak/>
              <w:t>Attribute name</w:t>
            </w:r>
          </w:p>
        </w:tc>
        <w:tc>
          <w:tcPr>
            <w:tcW w:w="1132" w:type="pct"/>
            <w:shd w:val="clear" w:color="auto" w:fill="C0C0C0"/>
          </w:tcPr>
          <w:p w14:paraId="22670A7C" w14:textId="77777777" w:rsidR="00A10B25" w:rsidRDefault="00A10B25">
            <w:pPr>
              <w:pStyle w:val="TAH"/>
            </w:pPr>
            <w:r>
              <w:t>Data type</w:t>
            </w:r>
          </w:p>
        </w:tc>
        <w:tc>
          <w:tcPr>
            <w:tcW w:w="188" w:type="pct"/>
            <w:shd w:val="clear" w:color="auto" w:fill="C0C0C0"/>
          </w:tcPr>
          <w:p w14:paraId="660A056B" w14:textId="77777777" w:rsidR="00A10B25" w:rsidRDefault="00A10B25">
            <w:pPr>
              <w:pStyle w:val="TAH"/>
            </w:pPr>
            <w:r>
              <w:t>P</w:t>
            </w:r>
          </w:p>
        </w:tc>
        <w:tc>
          <w:tcPr>
            <w:tcW w:w="546" w:type="pct"/>
            <w:shd w:val="clear" w:color="auto" w:fill="C0C0C0"/>
          </w:tcPr>
          <w:p w14:paraId="297ED9ED" w14:textId="77777777" w:rsidR="00A10B25" w:rsidRDefault="00A10B25">
            <w:pPr>
              <w:pStyle w:val="TAH"/>
            </w:pPr>
            <w:r>
              <w:t>Cardinality</w:t>
            </w:r>
          </w:p>
        </w:tc>
        <w:tc>
          <w:tcPr>
            <w:tcW w:w="1336" w:type="pct"/>
            <w:shd w:val="clear" w:color="auto" w:fill="C0C0C0"/>
          </w:tcPr>
          <w:p w14:paraId="027B1CD6" w14:textId="77777777" w:rsidR="00A10B25" w:rsidRDefault="00A10B25">
            <w:pPr>
              <w:pStyle w:val="TAH"/>
              <w:rPr>
                <w:rFonts w:cs="Arial"/>
                <w:szCs w:val="18"/>
              </w:rPr>
            </w:pPr>
            <w:r>
              <w:rPr>
                <w:rFonts w:cs="Arial"/>
                <w:szCs w:val="18"/>
              </w:rPr>
              <w:t>Description</w:t>
            </w:r>
          </w:p>
        </w:tc>
        <w:tc>
          <w:tcPr>
            <w:tcW w:w="992" w:type="pct"/>
            <w:shd w:val="clear" w:color="auto" w:fill="C0C0C0"/>
          </w:tcPr>
          <w:p w14:paraId="480DF903" w14:textId="77777777" w:rsidR="00A10B25" w:rsidRDefault="00A10B25">
            <w:pPr>
              <w:pStyle w:val="TAH"/>
              <w:rPr>
                <w:rFonts w:cs="Arial"/>
                <w:szCs w:val="18"/>
              </w:rPr>
            </w:pPr>
            <w:r>
              <w:rPr>
                <w:rFonts w:cs="Arial"/>
                <w:szCs w:val="18"/>
              </w:rPr>
              <w:t>Applicability</w:t>
            </w:r>
          </w:p>
        </w:tc>
      </w:tr>
      <w:tr w:rsidR="00A10B25" w14:paraId="30799BBD" w14:textId="77777777">
        <w:trPr>
          <w:jc w:val="center"/>
        </w:trPr>
        <w:tc>
          <w:tcPr>
            <w:tcW w:w="806" w:type="pct"/>
          </w:tcPr>
          <w:p w14:paraId="1140657A" w14:textId="77777777" w:rsidR="00A10B25" w:rsidRDefault="00A10B25">
            <w:pPr>
              <w:pStyle w:val="TAL"/>
              <w:tabs>
                <w:tab w:val="center" w:pos="1095"/>
              </w:tabs>
            </w:pPr>
            <w:r>
              <w:t>svcExprc</w:t>
            </w:r>
          </w:p>
        </w:tc>
        <w:tc>
          <w:tcPr>
            <w:tcW w:w="1132" w:type="pct"/>
          </w:tcPr>
          <w:p w14:paraId="6E81BF13" w14:textId="77777777" w:rsidR="00A10B25" w:rsidRDefault="00A10B25">
            <w:pPr>
              <w:pStyle w:val="TAL"/>
            </w:pPr>
            <w:r>
              <w:t>SvcExperience</w:t>
            </w:r>
          </w:p>
        </w:tc>
        <w:tc>
          <w:tcPr>
            <w:tcW w:w="188" w:type="pct"/>
          </w:tcPr>
          <w:p w14:paraId="028C403B" w14:textId="77777777" w:rsidR="00A10B25" w:rsidRDefault="00A10B25">
            <w:pPr>
              <w:pStyle w:val="TAC"/>
            </w:pPr>
            <w:r>
              <w:t>M</w:t>
            </w:r>
          </w:p>
        </w:tc>
        <w:tc>
          <w:tcPr>
            <w:tcW w:w="546" w:type="pct"/>
          </w:tcPr>
          <w:p w14:paraId="5988C284" w14:textId="77777777" w:rsidR="00A10B25" w:rsidRDefault="00A10B25">
            <w:pPr>
              <w:pStyle w:val="TAL"/>
            </w:pPr>
            <w:r>
              <w:t>1</w:t>
            </w:r>
          </w:p>
        </w:tc>
        <w:tc>
          <w:tcPr>
            <w:tcW w:w="1336" w:type="pct"/>
          </w:tcPr>
          <w:p w14:paraId="6E9B2CCD" w14:textId="77777777" w:rsidR="00A10B25" w:rsidRDefault="00A10B25">
            <w:pPr>
              <w:pStyle w:val="TAL"/>
            </w:pPr>
            <w:r>
              <w:rPr>
                <w:rFonts w:cs="Arial"/>
                <w:szCs w:val="18"/>
              </w:rPr>
              <w:t>Service experience</w:t>
            </w:r>
          </w:p>
        </w:tc>
        <w:tc>
          <w:tcPr>
            <w:tcW w:w="992" w:type="pct"/>
          </w:tcPr>
          <w:p w14:paraId="5212A610" w14:textId="77777777" w:rsidR="00A10B25" w:rsidRDefault="00A10B25">
            <w:pPr>
              <w:pStyle w:val="TAL"/>
              <w:rPr>
                <w:rFonts w:cs="Arial"/>
                <w:szCs w:val="18"/>
              </w:rPr>
            </w:pPr>
          </w:p>
        </w:tc>
      </w:tr>
      <w:tr w:rsidR="00A10B25" w14:paraId="08A252A7" w14:textId="77777777">
        <w:trPr>
          <w:jc w:val="center"/>
        </w:trPr>
        <w:tc>
          <w:tcPr>
            <w:tcW w:w="806" w:type="pct"/>
          </w:tcPr>
          <w:p w14:paraId="44587907" w14:textId="77777777" w:rsidR="00A10B25" w:rsidRDefault="00A10B25">
            <w:pPr>
              <w:pStyle w:val="TAL"/>
              <w:tabs>
                <w:tab w:val="center" w:pos="1095"/>
              </w:tabs>
            </w:pPr>
            <w:r>
              <w:t>svcExprcVariance</w:t>
            </w:r>
          </w:p>
        </w:tc>
        <w:tc>
          <w:tcPr>
            <w:tcW w:w="1132" w:type="pct"/>
          </w:tcPr>
          <w:p w14:paraId="1127D371" w14:textId="77777777" w:rsidR="00A10B25" w:rsidRDefault="00A10B25">
            <w:pPr>
              <w:pStyle w:val="TAL"/>
            </w:pPr>
            <w:r>
              <w:t>Float</w:t>
            </w:r>
          </w:p>
        </w:tc>
        <w:tc>
          <w:tcPr>
            <w:tcW w:w="188" w:type="pct"/>
          </w:tcPr>
          <w:p w14:paraId="3FE75DFB" w14:textId="77777777" w:rsidR="00A10B25" w:rsidRDefault="00A10B25">
            <w:pPr>
              <w:pStyle w:val="TAC"/>
            </w:pPr>
            <w:r>
              <w:t>O</w:t>
            </w:r>
          </w:p>
        </w:tc>
        <w:tc>
          <w:tcPr>
            <w:tcW w:w="546" w:type="pct"/>
          </w:tcPr>
          <w:p w14:paraId="2A0D4E69" w14:textId="77777777" w:rsidR="00A10B25" w:rsidRDefault="00A10B25">
            <w:pPr>
              <w:pStyle w:val="TAL"/>
            </w:pPr>
            <w:r>
              <w:t>0..1</w:t>
            </w:r>
          </w:p>
        </w:tc>
        <w:tc>
          <w:tcPr>
            <w:tcW w:w="1336" w:type="pct"/>
          </w:tcPr>
          <w:p w14:paraId="5B85DF05" w14:textId="77777777" w:rsidR="00A10B25" w:rsidRDefault="00A10B25">
            <w:pPr>
              <w:pStyle w:val="TAL"/>
              <w:rPr>
                <w:rFonts w:cs="Arial"/>
                <w:szCs w:val="18"/>
              </w:rPr>
            </w:pPr>
            <w:r>
              <w:rPr>
                <w:rFonts w:cs="Arial"/>
                <w:szCs w:val="18"/>
              </w:rPr>
              <w:t>This attribute indicates the variance .</w:t>
            </w:r>
          </w:p>
        </w:tc>
        <w:tc>
          <w:tcPr>
            <w:tcW w:w="992" w:type="pct"/>
          </w:tcPr>
          <w:p w14:paraId="39C9AA98" w14:textId="77777777" w:rsidR="00A10B25" w:rsidRDefault="00A10B25">
            <w:pPr>
              <w:pStyle w:val="TAL"/>
              <w:rPr>
                <w:rFonts w:cs="Arial"/>
                <w:szCs w:val="18"/>
              </w:rPr>
            </w:pPr>
          </w:p>
        </w:tc>
      </w:tr>
      <w:tr w:rsidR="00A10B25" w14:paraId="497E2322" w14:textId="77777777">
        <w:trPr>
          <w:jc w:val="center"/>
        </w:trPr>
        <w:tc>
          <w:tcPr>
            <w:tcW w:w="806" w:type="pct"/>
          </w:tcPr>
          <w:p w14:paraId="56498471" w14:textId="77777777" w:rsidR="00A10B25" w:rsidRDefault="00A10B25">
            <w:pPr>
              <w:pStyle w:val="TAL"/>
              <w:tabs>
                <w:tab w:val="center" w:pos="1095"/>
              </w:tabs>
            </w:pPr>
            <w:r>
              <w:t>supis</w:t>
            </w:r>
          </w:p>
        </w:tc>
        <w:tc>
          <w:tcPr>
            <w:tcW w:w="1132" w:type="pct"/>
          </w:tcPr>
          <w:p w14:paraId="5D6AD098" w14:textId="77777777" w:rsidR="00A10B25" w:rsidRDefault="00A10B25">
            <w:pPr>
              <w:pStyle w:val="TAL"/>
            </w:pPr>
            <w:r>
              <w:t>array(Supi)</w:t>
            </w:r>
          </w:p>
        </w:tc>
        <w:tc>
          <w:tcPr>
            <w:tcW w:w="188" w:type="pct"/>
          </w:tcPr>
          <w:p w14:paraId="65D1467C" w14:textId="77777777" w:rsidR="00A10B25" w:rsidRDefault="00A10B25">
            <w:pPr>
              <w:pStyle w:val="TAC"/>
            </w:pPr>
            <w:r>
              <w:t>O</w:t>
            </w:r>
          </w:p>
        </w:tc>
        <w:tc>
          <w:tcPr>
            <w:tcW w:w="546" w:type="pct"/>
          </w:tcPr>
          <w:p w14:paraId="2889F923" w14:textId="77777777" w:rsidR="00A10B25" w:rsidRDefault="00A10B25">
            <w:pPr>
              <w:pStyle w:val="TAL"/>
            </w:pPr>
            <w:r>
              <w:t>1..N</w:t>
            </w:r>
          </w:p>
        </w:tc>
        <w:tc>
          <w:tcPr>
            <w:tcW w:w="1336" w:type="pct"/>
          </w:tcPr>
          <w:p w14:paraId="50277161" w14:textId="77777777" w:rsidR="00A10B25" w:rsidRDefault="00A10B25">
            <w:pPr>
              <w:pStyle w:val="TAL"/>
              <w:rPr>
                <w:rFonts w:cs="Arial"/>
                <w:szCs w:val="18"/>
              </w:rPr>
            </w:pPr>
            <w:r>
              <w:rPr>
                <w:rFonts w:cs="Arial"/>
                <w:szCs w:val="18"/>
              </w:rPr>
              <w:t>Each element identifies a UE.</w:t>
            </w:r>
          </w:p>
          <w:p w14:paraId="143582E3" w14:textId="77777777" w:rsidR="00A10B25" w:rsidRDefault="00A10B25">
            <w:pPr>
              <w:pStyle w:val="TAL"/>
              <w:rPr>
                <w:rFonts w:cs="Arial"/>
                <w:szCs w:val="18"/>
              </w:rPr>
            </w:pPr>
            <w:r>
              <w:rPr>
                <w:rFonts w:cs="Arial"/>
                <w:szCs w:val="18"/>
              </w:rPr>
              <w:t>May only be present if the subscription request applies to more than one UE. (NOTE 3)</w:t>
            </w:r>
          </w:p>
        </w:tc>
        <w:tc>
          <w:tcPr>
            <w:tcW w:w="992" w:type="pct"/>
          </w:tcPr>
          <w:p w14:paraId="63EB007A" w14:textId="77777777" w:rsidR="00A10B25" w:rsidRDefault="00A10B25">
            <w:pPr>
              <w:pStyle w:val="TAL"/>
              <w:rPr>
                <w:rFonts w:cs="Arial"/>
                <w:szCs w:val="18"/>
              </w:rPr>
            </w:pPr>
          </w:p>
        </w:tc>
      </w:tr>
      <w:tr w:rsidR="00A10B25" w14:paraId="27298396" w14:textId="77777777">
        <w:trPr>
          <w:jc w:val="center"/>
        </w:trPr>
        <w:tc>
          <w:tcPr>
            <w:tcW w:w="806" w:type="pct"/>
          </w:tcPr>
          <w:p w14:paraId="0716AEE4" w14:textId="77777777" w:rsidR="00A10B25" w:rsidRDefault="00A10B25">
            <w:pPr>
              <w:pStyle w:val="TAL"/>
            </w:pPr>
            <w:r>
              <w:t>snssai</w:t>
            </w:r>
          </w:p>
        </w:tc>
        <w:tc>
          <w:tcPr>
            <w:tcW w:w="1132" w:type="pct"/>
          </w:tcPr>
          <w:p w14:paraId="0C4004A6" w14:textId="77777777" w:rsidR="00A10B25" w:rsidRDefault="00A10B25">
            <w:pPr>
              <w:pStyle w:val="TAL"/>
            </w:pPr>
            <w:r>
              <w:t>Snssai</w:t>
            </w:r>
          </w:p>
        </w:tc>
        <w:tc>
          <w:tcPr>
            <w:tcW w:w="188" w:type="pct"/>
          </w:tcPr>
          <w:p w14:paraId="0EFF010A" w14:textId="77777777" w:rsidR="00A10B25" w:rsidRDefault="00A10B25">
            <w:pPr>
              <w:pStyle w:val="TAC"/>
            </w:pPr>
            <w:r>
              <w:t>C</w:t>
            </w:r>
          </w:p>
        </w:tc>
        <w:tc>
          <w:tcPr>
            <w:tcW w:w="546" w:type="pct"/>
          </w:tcPr>
          <w:p w14:paraId="67D7A0F7" w14:textId="77777777" w:rsidR="00A10B25" w:rsidRDefault="00A10B25">
            <w:pPr>
              <w:pStyle w:val="TAL"/>
            </w:pPr>
            <w:r>
              <w:t>0..1</w:t>
            </w:r>
          </w:p>
        </w:tc>
        <w:tc>
          <w:tcPr>
            <w:tcW w:w="1336" w:type="pct"/>
          </w:tcPr>
          <w:p w14:paraId="564716BF" w14:textId="77777777" w:rsidR="00A10B25" w:rsidRDefault="00A10B25">
            <w:pPr>
              <w:pStyle w:val="TAL"/>
              <w:rPr>
                <w:rFonts w:eastAsia="Batang"/>
              </w:rPr>
            </w:pPr>
            <w:r>
              <w:rPr>
                <w:rFonts w:eastAsia="Batang"/>
              </w:rPr>
              <w:t>Identifies an S-NSSAI.</w:t>
            </w:r>
          </w:p>
          <w:p w14:paraId="00407043" w14:textId="77777777" w:rsidR="00A10B25" w:rsidRDefault="00A10B25">
            <w:pPr>
              <w:pStyle w:val="TAL"/>
              <w:rPr>
                <w:rFonts w:eastAsia="Batang"/>
              </w:rPr>
            </w:pPr>
            <w:r>
              <w:rPr>
                <w:rFonts w:eastAsia="Batang"/>
              </w:rPr>
              <w:t xml:space="preserve">Shall be presented if the </w:t>
            </w:r>
            <w:r>
              <w:t>"snssais" was provided within EventSubscription during the subscription for event notification procedure.</w:t>
            </w:r>
          </w:p>
        </w:tc>
        <w:tc>
          <w:tcPr>
            <w:tcW w:w="992" w:type="pct"/>
          </w:tcPr>
          <w:p w14:paraId="431F69C5" w14:textId="77777777" w:rsidR="00A10B25" w:rsidRDefault="00A10B25">
            <w:pPr>
              <w:pStyle w:val="TAL"/>
              <w:rPr>
                <w:rFonts w:cs="Arial"/>
                <w:szCs w:val="18"/>
              </w:rPr>
            </w:pPr>
          </w:p>
        </w:tc>
      </w:tr>
      <w:tr w:rsidR="00A10B25" w14:paraId="75DD8AFE" w14:textId="77777777">
        <w:trPr>
          <w:jc w:val="center"/>
        </w:trPr>
        <w:tc>
          <w:tcPr>
            <w:tcW w:w="806" w:type="pct"/>
          </w:tcPr>
          <w:p w14:paraId="7EA9CB42" w14:textId="77777777" w:rsidR="00A10B25" w:rsidRDefault="00A10B25">
            <w:pPr>
              <w:pStyle w:val="TAL"/>
            </w:pPr>
            <w:r>
              <w:t>appId</w:t>
            </w:r>
          </w:p>
        </w:tc>
        <w:tc>
          <w:tcPr>
            <w:tcW w:w="1132" w:type="pct"/>
          </w:tcPr>
          <w:p w14:paraId="52E7A4E7" w14:textId="77777777" w:rsidR="00A10B25" w:rsidRDefault="00A10B25">
            <w:pPr>
              <w:pStyle w:val="TAL"/>
            </w:pPr>
            <w:r>
              <w:t>ApplicationId</w:t>
            </w:r>
          </w:p>
        </w:tc>
        <w:tc>
          <w:tcPr>
            <w:tcW w:w="188" w:type="pct"/>
          </w:tcPr>
          <w:p w14:paraId="1BAE0A90" w14:textId="77777777" w:rsidR="00A10B25" w:rsidRDefault="00A10B25">
            <w:pPr>
              <w:pStyle w:val="TAC"/>
            </w:pPr>
            <w:r>
              <w:t>C</w:t>
            </w:r>
          </w:p>
        </w:tc>
        <w:tc>
          <w:tcPr>
            <w:tcW w:w="546" w:type="pct"/>
          </w:tcPr>
          <w:p w14:paraId="7ED7E537" w14:textId="77777777" w:rsidR="00A10B25" w:rsidRDefault="00A10B25">
            <w:pPr>
              <w:pStyle w:val="TAL"/>
            </w:pPr>
            <w:r>
              <w:t>0..1</w:t>
            </w:r>
          </w:p>
        </w:tc>
        <w:tc>
          <w:tcPr>
            <w:tcW w:w="1336" w:type="pct"/>
          </w:tcPr>
          <w:p w14:paraId="3B8163F2" w14:textId="77777777" w:rsidR="00A10B25" w:rsidRDefault="00A10B25">
            <w:pPr>
              <w:pStyle w:val="TAL"/>
              <w:rPr>
                <w:rFonts w:eastAsia="Batang"/>
              </w:rPr>
            </w:pPr>
            <w:r>
              <w:rPr>
                <w:rFonts w:eastAsia="Batang"/>
              </w:rPr>
              <w:t>Identifies an application.</w:t>
            </w:r>
          </w:p>
          <w:p w14:paraId="6DE40338" w14:textId="77777777" w:rsidR="00A10B25" w:rsidRDefault="00A10B25">
            <w:pPr>
              <w:pStyle w:val="TAL"/>
              <w:rPr>
                <w:rFonts w:eastAsia="Batang"/>
              </w:rPr>
            </w:pPr>
            <w:r>
              <w:rPr>
                <w:rFonts w:eastAsia="Batang"/>
              </w:rPr>
              <w:t>Shall be present if the "appIds" was provided within EventSubscription during the subscription for event notification procedure.</w:t>
            </w:r>
          </w:p>
        </w:tc>
        <w:tc>
          <w:tcPr>
            <w:tcW w:w="992" w:type="pct"/>
          </w:tcPr>
          <w:p w14:paraId="5F5C600C" w14:textId="77777777" w:rsidR="00A10B25" w:rsidRDefault="00A10B25">
            <w:pPr>
              <w:pStyle w:val="TAL"/>
              <w:rPr>
                <w:rFonts w:cs="Arial"/>
                <w:szCs w:val="18"/>
              </w:rPr>
            </w:pPr>
          </w:p>
        </w:tc>
      </w:tr>
      <w:tr w:rsidR="00A10B25" w14:paraId="7ABDAD8D" w14:textId="77777777">
        <w:trPr>
          <w:jc w:val="center"/>
        </w:trPr>
        <w:tc>
          <w:tcPr>
            <w:tcW w:w="806" w:type="pct"/>
          </w:tcPr>
          <w:p w14:paraId="4F2A1BEC" w14:textId="77777777" w:rsidR="00A10B25" w:rsidRDefault="00A10B25">
            <w:pPr>
              <w:pStyle w:val="TAL"/>
            </w:pPr>
            <w:r>
              <w:t>srvExpcType</w:t>
            </w:r>
          </w:p>
        </w:tc>
        <w:tc>
          <w:tcPr>
            <w:tcW w:w="1132" w:type="pct"/>
          </w:tcPr>
          <w:p w14:paraId="1D7E0B12" w14:textId="77777777" w:rsidR="00A10B25" w:rsidRDefault="00A10B25">
            <w:pPr>
              <w:pStyle w:val="TAL"/>
            </w:pPr>
            <w:r>
              <w:rPr>
                <w:lang w:eastAsia="zh-CN"/>
              </w:rPr>
              <w:t>ServiceExperienceType</w:t>
            </w:r>
          </w:p>
        </w:tc>
        <w:tc>
          <w:tcPr>
            <w:tcW w:w="188" w:type="pct"/>
          </w:tcPr>
          <w:p w14:paraId="077B7F52" w14:textId="77777777" w:rsidR="00A10B25" w:rsidRDefault="00A10B25">
            <w:pPr>
              <w:pStyle w:val="TAC"/>
            </w:pPr>
            <w:r>
              <w:rPr>
                <w:rFonts w:hint="eastAsia"/>
                <w:lang w:eastAsia="zh-CN"/>
              </w:rPr>
              <w:t>O</w:t>
            </w:r>
          </w:p>
        </w:tc>
        <w:tc>
          <w:tcPr>
            <w:tcW w:w="546" w:type="pct"/>
          </w:tcPr>
          <w:p w14:paraId="27D00EBC" w14:textId="77777777" w:rsidR="00A10B25" w:rsidRDefault="00A10B25">
            <w:pPr>
              <w:pStyle w:val="TAL"/>
            </w:pPr>
            <w:r>
              <w:t>0..1</w:t>
            </w:r>
          </w:p>
        </w:tc>
        <w:tc>
          <w:tcPr>
            <w:tcW w:w="1336" w:type="pct"/>
          </w:tcPr>
          <w:p w14:paraId="73D200A2" w14:textId="77777777" w:rsidR="00A10B25" w:rsidRDefault="00A10B25">
            <w:pPr>
              <w:pStyle w:val="TAL"/>
              <w:rPr>
                <w:rFonts w:eastAsia="Batang"/>
              </w:rPr>
            </w:pPr>
            <w:r>
              <w:rPr>
                <w:rFonts w:hint="eastAsia"/>
                <w:lang w:eastAsia="zh-CN"/>
              </w:rPr>
              <w:t>I</w:t>
            </w:r>
            <w:r>
              <w:rPr>
                <w:lang w:eastAsia="zh-CN"/>
              </w:rPr>
              <w:t>ndicates the type of Service Experience analytics.</w:t>
            </w:r>
          </w:p>
        </w:tc>
        <w:tc>
          <w:tcPr>
            <w:tcW w:w="992" w:type="pct"/>
          </w:tcPr>
          <w:p w14:paraId="5A6F4BD9" w14:textId="77777777" w:rsidR="00A10B25" w:rsidRDefault="00A10B25">
            <w:pPr>
              <w:pStyle w:val="TAL"/>
              <w:rPr>
                <w:rFonts w:cs="Arial"/>
                <w:szCs w:val="18"/>
              </w:rPr>
            </w:pPr>
            <w:r>
              <w:rPr>
                <w:rFonts w:cs="Arial" w:hint="eastAsia"/>
                <w:szCs w:val="18"/>
                <w:lang w:eastAsia="zh-CN"/>
              </w:rPr>
              <w:t>S</w:t>
            </w:r>
            <w:r>
              <w:rPr>
                <w:rFonts w:cs="Arial"/>
                <w:szCs w:val="18"/>
                <w:lang w:eastAsia="zh-CN"/>
              </w:rPr>
              <w:t>erviceExperienceExt</w:t>
            </w:r>
          </w:p>
        </w:tc>
      </w:tr>
      <w:tr w:rsidR="00A10B25" w14:paraId="4DDB204B" w14:textId="77777777">
        <w:trPr>
          <w:jc w:val="center"/>
        </w:trPr>
        <w:tc>
          <w:tcPr>
            <w:tcW w:w="806" w:type="pct"/>
          </w:tcPr>
          <w:p w14:paraId="59B805BD" w14:textId="77777777" w:rsidR="00A10B25" w:rsidRDefault="00A10B25">
            <w:pPr>
              <w:pStyle w:val="TAL"/>
            </w:pPr>
            <w:r>
              <w:rPr>
                <w:lang w:eastAsia="zh-CN"/>
              </w:rPr>
              <w:t>ueLocs</w:t>
            </w:r>
          </w:p>
        </w:tc>
        <w:tc>
          <w:tcPr>
            <w:tcW w:w="1132" w:type="pct"/>
          </w:tcPr>
          <w:p w14:paraId="03C105E5" w14:textId="77777777" w:rsidR="00A10B25" w:rsidRDefault="00A10B25">
            <w:pPr>
              <w:pStyle w:val="TAL"/>
              <w:rPr>
                <w:lang w:eastAsia="zh-CN"/>
              </w:rPr>
            </w:pPr>
            <w:r>
              <w:t>array(LocationInfo)</w:t>
            </w:r>
          </w:p>
        </w:tc>
        <w:tc>
          <w:tcPr>
            <w:tcW w:w="188" w:type="pct"/>
          </w:tcPr>
          <w:p w14:paraId="1F0BDAB1" w14:textId="77777777" w:rsidR="00A10B25" w:rsidRDefault="00A10B25">
            <w:pPr>
              <w:pStyle w:val="TAC"/>
              <w:rPr>
                <w:rFonts w:hint="eastAsia"/>
                <w:lang w:eastAsia="zh-CN"/>
              </w:rPr>
            </w:pPr>
            <w:r>
              <w:t>C</w:t>
            </w:r>
          </w:p>
        </w:tc>
        <w:tc>
          <w:tcPr>
            <w:tcW w:w="546" w:type="pct"/>
          </w:tcPr>
          <w:p w14:paraId="24D16A21" w14:textId="77777777" w:rsidR="00A10B25" w:rsidRDefault="00A10B25">
            <w:pPr>
              <w:pStyle w:val="TAL"/>
            </w:pPr>
            <w:r>
              <w:rPr>
                <w:lang w:eastAsia="zh-CN"/>
              </w:rPr>
              <w:t>1..N</w:t>
            </w:r>
          </w:p>
        </w:tc>
        <w:tc>
          <w:tcPr>
            <w:tcW w:w="1336" w:type="pct"/>
          </w:tcPr>
          <w:p w14:paraId="10E145D0" w14:textId="77777777" w:rsidR="00A10B25" w:rsidRDefault="00A10B25">
            <w:pPr>
              <w:pStyle w:val="TAL"/>
              <w:rPr>
                <w:rFonts w:cs="Arial"/>
                <w:szCs w:val="18"/>
                <w:lang w:eastAsia="zh-CN"/>
              </w:rPr>
            </w:pPr>
            <w:r>
              <w:rPr>
                <w:rFonts w:cs="Arial"/>
                <w:szCs w:val="18"/>
                <w:lang w:eastAsia="zh-CN"/>
              </w:rPr>
              <w:t>This attribute includes a list of UE location information during the time duration.</w:t>
            </w:r>
          </w:p>
          <w:p w14:paraId="2D3FFD87" w14:textId="77777777" w:rsidR="00A10B25" w:rsidRDefault="00A10B25">
            <w:pPr>
              <w:pStyle w:val="TAL"/>
            </w:pPr>
            <w:r>
              <w:rPr>
                <w:rFonts w:cs="Arial"/>
                <w:szCs w:val="18"/>
              </w:rPr>
              <w:t>Shall be present</w:t>
            </w:r>
            <w:r>
              <w:rPr>
                <w:lang w:eastAsia="zh-CN"/>
              </w:rPr>
              <w:t xml:space="preserve"> if one of the elements in the "listOfAnaSubsets" attribute was set to UE_LOCATION</w:t>
            </w:r>
            <w:r>
              <w:t>.</w:t>
            </w:r>
          </w:p>
          <w:p w14:paraId="0AEDEA08" w14:textId="77777777" w:rsidR="00A10B25" w:rsidRDefault="00A10B25">
            <w:pPr>
              <w:pStyle w:val="TAL"/>
              <w:rPr>
                <w:rFonts w:hint="eastAsia"/>
                <w:lang w:eastAsia="zh-CN"/>
              </w:rPr>
            </w:pPr>
            <w:r>
              <w:rPr>
                <w:rFonts w:cs="Arial"/>
                <w:szCs w:val="18"/>
              </w:rPr>
              <w:t>(NOTE </w:t>
            </w:r>
            <w:r>
              <w:rPr>
                <w:rFonts w:cs="Arial"/>
                <w:szCs w:val="18"/>
                <w:lang w:eastAsia="zh-CN"/>
              </w:rPr>
              <w:t>2</w:t>
            </w:r>
            <w:r>
              <w:rPr>
                <w:rFonts w:cs="Arial"/>
                <w:szCs w:val="18"/>
              </w:rPr>
              <w:t>)</w:t>
            </w:r>
          </w:p>
        </w:tc>
        <w:tc>
          <w:tcPr>
            <w:tcW w:w="992" w:type="pct"/>
          </w:tcPr>
          <w:p w14:paraId="6437DB0B" w14:textId="77777777" w:rsidR="00A10B25" w:rsidRDefault="00A10B25">
            <w:pPr>
              <w:pStyle w:val="TAL"/>
              <w:rPr>
                <w:rFonts w:cs="Arial" w:hint="eastAsia"/>
                <w:szCs w:val="18"/>
                <w:lang w:eastAsia="zh-CN"/>
              </w:rPr>
            </w:pPr>
            <w:r>
              <w:rPr>
                <w:rFonts w:cs="Arial" w:hint="eastAsia"/>
                <w:szCs w:val="18"/>
                <w:lang w:eastAsia="zh-CN"/>
              </w:rPr>
              <w:t>S</w:t>
            </w:r>
            <w:r>
              <w:rPr>
                <w:rFonts w:cs="Arial"/>
                <w:szCs w:val="18"/>
                <w:lang w:eastAsia="zh-CN"/>
              </w:rPr>
              <w:t>erviceExperienceExt</w:t>
            </w:r>
          </w:p>
        </w:tc>
      </w:tr>
      <w:tr w:rsidR="00A10B25" w14:paraId="7846CFE7" w14:textId="77777777">
        <w:trPr>
          <w:jc w:val="center"/>
        </w:trPr>
        <w:tc>
          <w:tcPr>
            <w:tcW w:w="806" w:type="pct"/>
          </w:tcPr>
          <w:p w14:paraId="6A72BB47" w14:textId="77777777" w:rsidR="00A10B25" w:rsidRDefault="00A10B25">
            <w:pPr>
              <w:pStyle w:val="TAL"/>
            </w:pPr>
            <w:r>
              <w:rPr>
                <w:lang w:eastAsia="zh-CN"/>
              </w:rPr>
              <w:t>upfInfo</w:t>
            </w:r>
          </w:p>
        </w:tc>
        <w:tc>
          <w:tcPr>
            <w:tcW w:w="1132" w:type="pct"/>
          </w:tcPr>
          <w:p w14:paraId="4E87916C" w14:textId="77777777" w:rsidR="00A10B25" w:rsidRDefault="00A10B25">
            <w:pPr>
              <w:pStyle w:val="TAL"/>
              <w:rPr>
                <w:lang w:eastAsia="zh-CN"/>
              </w:rPr>
            </w:pPr>
            <w:r>
              <w:rPr>
                <w:lang w:val="en-US" w:eastAsia="zh-CN"/>
              </w:rPr>
              <w:t>UpfInformation</w:t>
            </w:r>
          </w:p>
        </w:tc>
        <w:tc>
          <w:tcPr>
            <w:tcW w:w="188" w:type="pct"/>
          </w:tcPr>
          <w:p w14:paraId="41E2B506" w14:textId="77777777" w:rsidR="00A10B25" w:rsidRDefault="00A10B25">
            <w:pPr>
              <w:pStyle w:val="TAC"/>
              <w:rPr>
                <w:rFonts w:hint="eastAsia"/>
                <w:lang w:eastAsia="zh-CN"/>
              </w:rPr>
            </w:pPr>
            <w:r>
              <w:rPr>
                <w:lang w:eastAsia="zh-CN"/>
              </w:rPr>
              <w:t>C</w:t>
            </w:r>
          </w:p>
        </w:tc>
        <w:tc>
          <w:tcPr>
            <w:tcW w:w="546" w:type="pct"/>
          </w:tcPr>
          <w:p w14:paraId="31478A63" w14:textId="77777777" w:rsidR="00A10B25" w:rsidRDefault="00A10B25">
            <w:pPr>
              <w:pStyle w:val="TAL"/>
            </w:pPr>
            <w:r>
              <w:t>0..1</w:t>
            </w:r>
          </w:p>
        </w:tc>
        <w:tc>
          <w:tcPr>
            <w:tcW w:w="1336" w:type="pct"/>
          </w:tcPr>
          <w:p w14:paraId="2094BE53" w14:textId="77777777" w:rsidR="00A10B25" w:rsidRDefault="00A10B25">
            <w:pPr>
              <w:pStyle w:val="TAL"/>
              <w:rPr>
                <w:rFonts w:cs="Arial"/>
                <w:szCs w:val="18"/>
              </w:rPr>
            </w:pPr>
            <w:r>
              <w:rPr>
                <w:lang w:eastAsia="zh-CN"/>
              </w:rPr>
              <w:t>Represents</w:t>
            </w:r>
            <w:r>
              <w:t xml:space="preserve"> the </w:t>
            </w:r>
            <w:r>
              <w:rPr>
                <w:lang w:eastAsia="zh-CN"/>
              </w:rPr>
              <w:t>information of the UPF serving the UE.</w:t>
            </w:r>
          </w:p>
          <w:p w14:paraId="05563F23" w14:textId="77777777" w:rsidR="00A10B25" w:rsidRDefault="00A10B25">
            <w:pPr>
              <w:pStyle w:val="TAL"/>
              <w:rPr>
                <w:rFonts w:hint="eastAsia"/>
                <w:lang w:eastAsia="zh-CN"/>
              </w:rPr>
            </w:pPr>
            <w:r>
              <w:rPr>
                <w:rFonts w:cs="Arial"/>
                <w:szCs w:val="18"/>
              </w:rPr>
              <w:t>Shall be present only if the "</w:t>
            </w:r>
            <w:r>
              <w:rPr>
                <w:rFonts w:cs="Arial"/>
                <w:szCs w:val="18"/>
                <w:lang w:eastAsia="ja-JP"/>
              </w:rPr>
              <w:t>upfInfo</w:t>
            </w:r>
            <w:r>
              <w:rPr>
                <w:rFonts w:cs="Arial"/>
                <w:szCs w:val="18"/>
              </w:rPr>
              <w:t>" attribute was provided in the request or subscription and the NF service consumer is identified as not an AF or a NEF. (NOTE 4)</w:t>
            </w:r>
          </w:p>
        </w:tc>
        <w:tc>
          <w:tcPr>
            <w:tcW w:w="992" w:type="pct"/>
          </w:tcPr>
          <w:p w14:paraId="58C0D20B" w14:textId="77777777" w:rsidR="00A10B25" w:rsidRDefault="00A10B25">
            <w:pPr>
              <w:pStyle w:val="TAL"/>
              <w:rPr>
                <w:rFonts w:cs="Arial" w:hint="eastAsia"/>
                <w:szCs w:val="18"/>
                <w:lang w:eastAsia="zh-CN"/>
              </w:rPr>
            </w:pPr>
            <w:r>
              <w:rPr>
                <w:rFonts w:cs="Arial"/>
                <w:szCs w:val="18"/>
                <w:lang w:eastAsia="zh-CN"/>
              </w:rPr>
              <w:t>ServiceExperienceExt</w:t>
            </w:r>
          </w:p>
        </w:tc>
      </w:tr>
      <w:tr w:rsidR="00A10B25" w14:paraId="160809FF" w14:textId="77777777">
        <w:trPr>
          <w:jc w:val="center"/>
        </w:trPr>
        <w:tc>
          <w:tcPr>
            <w:tcW w:w="806" w:type="pct"/>
          </w:tcPr>
          <w:p w14:paraId="4FA2BDF0" w14:textId="77777777" w:rsidR="00A10B25" w:rsidRDefault="00A10B25">
            <w:pPr>
              <w:pStyle w:val="TAL"/>
            </w:pPr>
            <w:r>
              <w:rPr>
                <w:lang w:eastAsia="zh-CN"/>
              </w:rPr>
              <w:t>dnai</w:t>
            </w:r>
          </w:p>
        </w:tc>
        <w:tc>
          <w:tcPr>
            <w:tcW w:w="1132" w:type="pct"/>
          </w:tcPr>
          <w:p w14:paraId="315D851E" w14:textId="77777777" w:rsidR="00A10B25" w:rsidRDefault="00A10B25">
            <w:pPr>
              <w:pStyle w:val="TAL"/>
              <w:rPr>
                <w:lang w:eastAsia="zh-CN"/>
              </w:rPr>
            </w:pPr>
            <w:r>
              <w:t>Dnai</w:t>
            </w:r>
          </w:p>
        </w:tc>
        <w:tc>
          <w:tcPr>
            <w:tcW w:w="188" w:type="pct"/>
          </w:tcPr>
          <w:p w14:paraId="6BC89D12" w14:textId="77777777" w:rsidR="00A10B25" w:rsidRDefault="00A10B25">
            <w:pPr>
              <w:pStyle w:val="TAC"/>
              <w:rPr>
                <w:rFonts w:hint="eastAsia"/>
                <w:lang w:eastAsia="zh-CN"/>
              </w:rPr>
            </w:pPr>
            <w:r>
              <w:rPr>
                <w:lang w:eastAsia="zh-CN"/>
              </w:rPr>
              <w:t>C</w:t>
            </w:r>
          </w:p>
        </w:tc>
        <w:tc>
          <w:tcPr>
            <w:tcW w:w="546" w:type="pct"/>
          </w:tcPr>
          <w:p w14:paraId="0A3EBF31" w14:textId="77777777" w:rsidR="00A10B25" w:rsidRDefault="00A10B25">
            <w:pPr>
              <w:pStyle w:val="TAL"/>
            </w:pPr>
            <w:r>
              <w:t>0..1</w:t>
            </w:r>
          </w:p>
        </w:tc>
        <w:tc>
          <w:tcPr>
            <w:tcW w:w="1336" w:type="pct"/>
          </w:tcPr>
          <w:p w14:paraId="243973D3" w14:textId="77777777" w:rsidR="00A10B25" w:rsidRDefault="00A10B25">
            <w:pPr>
              <w:pStyle w:val="TAL"/>
              <w:rPr>
                <w:rFonts w:cs="Arial"/>
                <w:szCs w:val="18"/>
              </w:rPr>
            </w:pPr>
            <w:r>
              <w:rPr>
                <w:lang w:val="en-US" w:eastAsia="zh-CN"/>
              </w:rPr>
              <w:t>Indicates the DN Access Identifier representing location of the service flow.</w:t>
            </w:r>
            <w:r>
              <w:rPr>
                <w:rFonts w:cs="Arial"/>
                <w:szCs w:val="18"/>
              </w:rPr>
              <w:t xml:space="preserve"> Shall be present if the "</w:t>
            </w:r>
            <w:r>
              <w:t>dnais</w:t>
            </w:r>
            <w:r>
              <w:rPr>
                <w:rFonts w:cs="Arial"/>
                <w:szCs w:val="18"/>
              </w:rPr>
              <w:t>" attribute was provided in the request or subscription.</w:t>
            </w:r>
          </w:p>
          <w:p w14:paraId="4B1D21E5" w14:textId="77777777" w:rsidR="00A10B25" w:rsidRDefault="00A10B25">
            <w:pPr>
              <w:pStyle w:val="TAL"/>
              <w:rPr>
                <w:rFonts w:hint="eastAsia"/>
                <w:lang w:eastAsia="zh-CN"/>
              </w:rPr>
            </w:pPr>
          </w:p>
        </w:tc>
        <w:tc>
          <w:tcPr>
            <w:tcW w:w="992" w:type="pct"/>
          </w:tcPr>
          <w:p w14:paraId="37AA2988" w14:textId="77777777" w:rsidR="00A10B25" w:rsidRDefault="00A10B25">
            <w:pPr>
              <w:pStyle w:val="TAL"/>
              <w:rPr>
                <w:rFonts w:cs="Arial" w:hint="eastAsia"/>
                <w:szCs w:val="18"/>
                <w:lang w:eastAsia="zh-CN"/>
              </w:rPr>
            </w:pPr>
            <w:r>
              <w:rPr>
                <w:rFonts w:cs="Arial" w:hint="eastAsia"/>
                <w:szCs w:val="18"/>
                <w:lang w:eastAsia="zh-CN"/>
              </w:rPr>
              <w:t>S</w:t>
            </w:r>
            <w:r>
              <w:rPr>
                <w:rFonts w:cs="Arial"/>
                <w:szCs w:val="18"/>
                <w:lang w:eastAsia="zh-CN"/>
              </w:rPr>
              <w:t>erviceExperienceExt</w:t>
            </w:r>
          </w:p>
        </w:tc>
      </w:tr>
      <w:tr w:rsidR="00A10B25" w14:paraId="3E1D7176" w14:textId="77777777">
        <w:trPr>
          <w:jc w:val="center"/>
        </w:trPr>
        <w:tc>
          <w:tcPr>
            <w:tcW w:w="806" w:type="pct"/>
          </w:tcPr>
          <w:p w14:paraId="4D7428F8" w14:textId="77777777" w:rsidR="00A10B25" w:rsidRDefault="00A10B25">
            <w:pPr>
              <w:pStyle w:val="TAL"/>
            </w:pPr>
            <w:r>
              <w:rPr>
                <w:rFonts w:hint="eastAsia"/>
                <w:lang w:eastAsia="zh-CN"/>
              </w:rPr>
              <w:t>a</w:t>
            </w:r>
            <w:r>
              <w:rPr>
                <w:lang w:eastAsia="zh-CN"/>
              </w:rPr>
              <w:t>ppServerInst</w:t>
            </w:r>
          </w:p>
        </w:tc>
        <w:tc>
          <w:tcPr>
            <w:tcW w:w="1132" w:type="pct"/>
          </w:tcPr>
          <w:p w14:paraId="7C5487CF" w14:textId="77777777" w:rsidR="00A10B25" w:rsidRDefault="00A10B25">
            <w:pPr>
              <w:pStyle w:val="TAL"/>
              <w:rPr>
                <w:lang w:eastAsia="zh-CN"/>
              </w:rPr>
            </w:pPr>
            <w:r>
              <w:rPr>
                <w:rFonts w:hint="eastAsia"/>
                <w:lang w:eastAsia="zh-CN"/>
              </w:rPr>
              <w:t>A</w:t>
            </w:r>
            <w:r>
              <w:rPr>
                <w:lang w:eastAsia="zh-CN"/>
              </w:rPr>
              <w:t>ddrFqdn</w:t>
            </w:r>
          </w:p>
        </w:tc>
        <w:tc>
          <w:tcPr>
            <w:tcW w:w="188" w:type="pct"/>
          </w:tcPr>
          <w:p w14:paraId="51EB089C" w14:textId="77777777" w:rsidR="00A10B25" w:rsidRDefault="00A10B25">
            <w:pPr>
              <w:pStyle w:val="TAC"/>
              <w:rPr>
                <w:rFonts w:hint="eastAsia"/>
                <w:lang w:eastAsia="zh-CN"/>
              </w:rPr>
            </w:pPr>
            <w:r>
              <w:rPr>
                <w:lang w:eastAsia="zh-CN"/>
              </w:rPr>
              <w:t>C</w:t>
            </w:r>
          </w:p>
        </w:tc>
        <w:tc>
          <w:tcPr>
            <w:tcW w:w="546" w:type="pct"/>
          </w:tcPr>
          <w:p w14:paraId="40B61E9D" w14:textId="77777777" w:rsidR="00A10B25" w:rsidRDefault="00A10B25">
            <w:pPr>
              <w:pStyle w:val="TAL"/>
            </w:pPr>
            <w:r>
              <w:t>0..1</w:t>
            </w:r>
          </w:p>
        </w:tc>
        <w:tc>
          <w:tcPr>
            <w:tcW w:w="1336" w:type="pct"/>
          </w:tcPr>
          <w:p w14:paraId="25C153FD" w14:textId="77777777" w:rsidR="00A10B25" w:rsidRDefault="00A10B25">
            <w:pPr>
              <w:pStyle w:val="TAL"/>
            </w:pPr>
            <w:r>
              <w:rPr>
                <w:lang w:eastAsia="zh-CN"/>
              </w:rPr>
              <w:t>R</w:t>
            </w:r>
            <w:r>
              <w:rPr>
                <w:rFonts w:hint="eastAsia"/>
                <w:lang w:eastAsia="zh-CN"/>
              </w:rPr>
              <w:t>epresents</w:t>
            </w:r>
            <w:r>
              <w:t xml:space="preserve"> the Application Server Instance (IP address or FQDN of the Application Server).</w:t>
            </w:r>
          </w:p>
          <w:p w14:paraId="04BFDA6B" w14:textId="77777777" w:rsidR="00A10B25" w:rsidRDefault="00A10B25">
            <w:pPr>
              <w:pStyle w:val="TAL"/>
              <w:rPr>
                <w:rFonts w:hint="eastAsia"/>
                <w:lang w:eastAsia="zh-CN"/>
              </w:rPr>
            </w:pPr>
            <w:r>
              <w:rPr>
                <w:rFonts w:cs="Arial"/>
                <w:szCs w:val="18"/>
              </w:rPr>
              <w:t>Shall be present if the "</w:t>
            </w:r>
            <w:r>
              <w:rPr>
                <w:lang w:eastAsia="zh-CN"/>
              </w:rPr>
              <w:t>appServerAddrs</w:t>
            </w:r>
            <w:r>
              <w:rPr>
                <w:rFonts w:cs="Arial"/>
                <w:szCs w:val="18"/>
              </w:rPr>
              <w:t>" attribute was provided in the request or subscription.</w:t>
            </w:r>
          </w:p>
        </w:tc>
        <w:tc>
          <w:tcPr>
            <w:tcW w:w="992" w:type="pct"/>
          </w:tcPr>
          <w:p w14:paraId="4F2AF59D" w14:textId="77777777" w:rsidR="00A10B25" w:rsidRDefault="00A10B25">
            <w:pPr>
              <w:pStyle w:val="TAL"/>
              <w:rPr>
                <w:rFonts w:cs="Arial" w:hint="eastAsia"/>
                <w:szCs w:val="18"/>
                <w:lang w:eastAsia="zh-CN"/>
              </w:rPr>
            </w:pPr>
            <w:r>
              <w:rPr>
                <w:rFonts w:cs="Arial" w:hint="eastAsia"/>
                <w:szCs w:val="18"/>
                <w:lang w:eastAsia="zh-CN"/>
              </w:rPr>
              <w:t>S</w:t>
            </w:r>
            <w:r>
              <w:rPr>
                <w:rFonts w:cs="Arial"/>
                <w:szCs w:val="18"/>
                <w:lang w:eastAsia="zh-CN"/>
              </w:rPr>
              <w:t>erviceExperienceExt</w:t>
            </w:r>
          </w:p>
        </w:tc>
      </w:tr>
      <w:tr w:rsidR="00A10B25" w14:paraId="13CA41F0" w14:textId="77777777">
        <w:trPr>
          <w:jc w:val="center"/>
        </w:trPr>
        <w:tc>
          <w:tcPr>
            <w:tcW w:w="806" w:type="pct"/>
          </w:tcPr>
          <w:p w14:paraId="0A968527" w14:textId="77777777" w:rsidR="00A10B25" w:rsidRDefault="00A10B25">
            <w:pPr>
              <w:pStyle w:val="TAL"/>
            </w:pPr>
            <w:r>
              <w:lastRenderedPageBreak/>
              <w:t>confidence</w:t>
            </w:r>
          </w:p>
        </w:tc>
        <w:tc>
          <w:tcPr>
            <w:tcW w:w="1132" w:type="pct"/>
          </w:tcPr>
          <w:p w14:paraId="4B7ECF02" w14:textId="77777777" w:rsidR="00A10B25" w:rsidRDefault="00A10B25">
            <w:pPr>
              <w:pStyle w:val="TAL"/>
            </w:pPr>
            <w:r>
              <w:rPr>
                <w:lang w:eastAsia="zh-CN"/>
              </w:rPr>
              <w:t>Uinteger</w:t>
            </w:r>
          </w:p>
        </w:tc>
        <w:tc>
          <w:tcPr>
            <w:tcW w:w="188" w:type="pct"/>
          </w:tcPr>
          <w:p w14:paraId="5AD84F26" w14:textId="77777777" w:rsidR="00A10B25" w:rsidRDefault="00A10B25">
            <w:pPr>
              <w:pStyle w:val="TAC"/>
            </w:pPr>
            <w:r>
              <w:t>C</w:t>
            </w:r>
          </w:p>
        </w:tc>
        <w:tc>
          <w:tcPr>
            <w:tcW w:w="546" w:type="pct"/>
          </w:tcPr>
          <w:p w14:paraId="37615353" w14:textId="77777777" w:rsidR="00A10B25" w:rsidRDefault="00A10B25">
            <w:pPr>
              <w:pStyle w:val="TAL"/>
            </w:pPr>
            <w:r>
              <w:t>0..1</w:t>
            </w:r>
          </w:p>
        </w:tc>
        <w:tc>
          <w:tcPr>
            <w:tcW w:w="1336" w:type="pct"/>
          </w:tcPr>
          <w:p w14:paraId="2BC66DEC" w14:textId="77777777" w:rsidR="00A10B25" w:rsidRDefault="00A10B25">
            <w:pPr>
              <w:pStyle w:val="TAL"/>
            </w:pPr>
            <w:r>
              <w:t>Indicates the confidence of the prediction. (NOTE 1)</w:t>
            </w:r>
          </w:p>
          <w:p w14:paraId="7673B73F" w14:textId="77777777" w:rsidR="00A10B25" w:rsidRDefault="00A10B25">
            <w:pPr>
              <w:pStyle w:val="TAL"/>
            </w:pPr>
            <w:r>
              <w:t>Shall be present if the analytics result is a prediction.</w:t>
            </w:r>
          </w:p>
          <w:p w14:paraId="5049D4C9" w14:textId="77777777" w:rsidR="00A10B25" w:rsidRDefault="00A10B25">
            <w:pPr>
              <w:pStyle w:val="TAL"/>
              <w:rPr>
                <w:rFonts w:eastAsia="Batang"/>
              </w:rPr>
            </w:pPr>
            <w:r>
              <w:rPr>
                <w:rFonts w:cs="Arial"/>
                <w:szCs w:val="18"/>
                <w:lang w:eastAsia="zh-CN"/>
              </w:rPr>
              <w:t>Minimum = 0. Maximum = 100.</w:t>
            </w:r>
          </w:p>
        </w:tc>
        <w:tc>
          <w:tcPr>
            <w:tcW w:w="992" w:type="pct"/>
          </w:tcPr>
          <w:p w14:paraId="3B750840" w14:textId="77777777" w:rsidR="00A10B25" w:rsidRDefault="00A10B25">
            <w:pPr>
              <w:pStyle w:val="TAL"/>
              <w:rPr>
                <w:rFonts w:cs="Arial"/>
                <w:szCs w:val="18"/>
              </w:rPr>
            </w:pPr>
          </w:p>
        </w:tc>
      </w:tr>
      <w:tr w:rsidR="00A10B25" w14:paraId="7555D45B" w14:textId="77777777">
        <w:trPr>
          <w:jc w:val="center"/>
        </w:trPr>
        <w:tc>
          <w:tcPr>
            <w:tcW w:w="806" w:type="pct"/>
          </w:tcPr>
          <w:p w14:paraId="515060FD" w14:textId="77777777" w:rsidR="00A10B25" w:rsidRDefault="00A10B25">
            <w:pPr>
              <w:pStyle w:val="TAL"/>
            </w:pPr>
            <w:r>
              <w:t>dnn</w:t>
            </w:r>
          </w:p>
        </w:tc>
        <w:tc>
          <w:tcPr>
            <w:tcW w:w="1132" w:type="pct"/>
          </w:tcPr>
          <w:p w14:paraId="13A5AAB8" w14:textId="77777777" w:rsidR="00A10B25" w:rsidRDefault="00A10B25">
            <w:pPr>
              <w:pStyle w:val="TAL"/>
            </w:pPr>
            <w:r>
              <w:t>Dnn</w:t>
            </w:r>
          </w:p>
        </w:tc>
        <w:tc>
          <w:tcPr>
            <w:tcW w:w="188" w:type="pct"/>
          </w:tcPr>
          <w:p w14:paraId="55932265" w14:textId="77777777" w:rsidR="00A10B25" w:rsidRDefault="00A10B25">
            <w:pPr>
              <w:pStyle w:val="TAC"/>
            </w:pPr>
            <w:r>
              <w:t>C</w:t>
            </w:r>
          </w:p>
        </w:tc>
        <w:tc>
          <w:tcPr>
            <w:tcW w:w="546" w:type="pct"/>
          </w:tcPr>
          <w:p w14:paraId="089B5676" w14:textId="77777777" w:rsidR="00A10B25" w:rsidRDefault="00A10B25">
            <w:pPr>
              <w:pStyle w:val="TAL"/>
            </w:pPr>
            <w:r>
              <w:rPr>
                <w:lang w:eastAsia="zh-CN"/>
              </w:rPr>
              <w:t>0..1</w:t>
            </w:r>
          </w:p>
        </w:tc>
        <w:tc>
          <w:tcPr>
            <w:tcW w:w="1336" w:type="pct"/>
          </w:tcPr>
          <w:p w14:paraId="4A509135"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0FDF7BC5" w14:textId="77777777" w:rsidR="00A10B25" w:rsidRDefault="00A10B25">
            <w:pPr>
              <w:pStyle w:val="TAL"/>
            </w:pPr>
            <w:r>
              <w:rPr>
                <w:lang w:eastAsia="zh-CN"/>
              </w:rPr>
              <w:t xml:space="preserve">Shall be present if the </w:t>
            </w:r>
            <w:r>
              <w:t>"dnns" was provided within EventSubscription during the subscription for event notification procedure.</w:t>
            </w:r>
          </w:p>
        </w:tc>
        <w:tc>
          <w:tcPr>
            <w:tcW w:w="992" w:type="pct"/>
          </w:tcPr>
          <w:p w14:paraId="0B9BDC0F" w14:textId="77777777" w:rsidR="00A10B25" w:rsidRDefault="00A10B25">
            <w:pPr>
              <w:pStyle w:val="TAL"/>
              <w:rPr>
                <w:rFonts w:cs="Arial"/>
                <w:szCs w:val="18"/>
              </w:rPr>
            </w:pPr>
          </w:p>
        </w:tc>
      </w:tr>
      <w:tr w:rsidR="00A10B25" w14:paraId="5CAB75F7" w14:textId="77777777">
        <w:trPr>
          <w:jc w:val="center"/>
        </w:trPr>
        <w:tc>
          <w:tcPr>
            <w:tcW w:w="806" w:type="pct"/>
          </w:tcPr>
          <w:p w14:paraId="78C0AE00" w14:textId="77777777" w:rsidR="00A10B25" w:rsidRDefault="00A10B25">
            <w:pPr>
              <w:pStyle w:val="TAL"/>
            </w:pPr>
            <w:r>
              <w:t>networkArea</w:t>
            </w:r>
          </w:p>
        </w:tc>
        <w:tc>
          <w:tcPr>
            <w:tcW w:w="1132" w:type="pct"/>
          </w:tcPr>
          <w:p w14:paraId="12E03B73" w14:textId="77777777" w:rsidR="00A10B25" w:rsidRDefault="00A10B25">
            <w:pPr>
              <w:pStyle w:val="TAL"/>
              <w:rPr>
                <w:lang w:eastAsia="zh-CN"/>
              </w:rPr>
            </w:pPr>
            <w:r>
              <w:t>NetworkAreaInfo</w:t>
            </w:r>
          </w:p>
        </w:tc>
        <w:tc>
          <w:tcPr>
            <w:tcW w:w="188" w:type="pct"/>
          </w:tcPr>
          <w:p w14:paraId="3F557196" w14:textId="77777777" w:rsidR="00A10B25" w:rsidRDefault="00A10B25">
            <w:pPr>
              <w:pStyle w:val="TAC"/>
            </w:pPr>
            <w:r>
              <w:t>C</w:t>
            </w:r>
          </w:p>
        </w:tc>
        <w:tc>
          <w:tcPr>
            <w:tcW w:w="546" w:type="pct"/>
          </w:tcPr>
          <w:p w14:paraId="4BF353EB" w14:textId="77777777" w:rsidR="00A10B25" w:rsidRDefault="00A10B25">
            <w:pPr>
              <w:pStyle w:val="TAL"/>
            </w:pPr>
            <w:r>
              <w:t>0..1</w:t>
            </w:r>
          </w:p>
        </w:tc>
        <w:tc>
          <w:tcPr>
            <w:tcW w:w="1336" w:type="pct"/>
          </w:tcPr>
          <w:p w14:paraId="50E742B3" w14:textId="77777777" w:rsidR="00A10B25" w:rsidRDefault="00A10B25">
            <w:pPr>
              <w:pStyle w:val="TAL"/>
            </w:pPr>
            <w:r>
              <w:rPr>
                <w:rFonts w:eastAsia="Batang"/>
              </w:rPr>
              <w:t xml:space="preserve">Identifies the network area where the service experience applies. Shall be presented if the </w:t>
            </w:r>
            <w:r>
              <w:t>"networkArea" was provided within EventSubscription during the subscription for event notification procedure.</w:t>
            </w:r>
          </w:p>
        </w:tc>
        <w:tc>
          <w:tcPr>
            <w:tcW w:w="992" w:type="pct"/>
          </w:tcPr>
          <w:p w14:paraId="52F6AF2F" w14:textId="77777777" w:rsidR="00A10B25" w:rsidRDefault="00A10B25">
            <w:pPr>
              <w:pStyle w:val="TAL"/>
              <w:rPr>
                <w:rFonts w:cs="Arial"/>
                <w:szCs w:val="18"/>
              </w:rPr>
            </w:pPr>
          </w:p>
        </w:tc>
      </w:tr>
      <w:tr w:rsidR="00A10B25" w14:paraId="6FF947D8" w14:textId="77777777">
        <w:trPr>
          <w:jc w:val="center"/>
        </w:trPr>
        <w:tc>
          <w:tcPr>
            <w:tcW w:w="806" w:type="pct"/>
          </w:tcPr>
          <w:p w14:paraId="38D9610B" w14:textId="77777777" w:rsidR="00A10B25" w:rsidRDefault="00A10B25">
            <w:pPr>
              <w:pStyle w:val="TAL"/>
            </w:pPr>
            <w:r>
              <w:t>nsiId</w:t>
            </w:r>
          </w:p>
        </w:tc>
        <w:tc>
          <w:tcPr>
            <w:tcW w:w="1132" w:type="pct"/>
          </w:tcPr>
          <w:p w14:paraId="066CB472" w14:textId="77777777" w:rsidR="00A10B25" w:rsidRDefault="00A10B25">
            <w:pPr>
              <w:pStyle w:val="TAL"/>
              <w:rPr>
                <w:lang w:eastAsia="zh-CN"/>
              </w:rPr>
            </w:pPr>
            <w:r>
              <w:t>NsiId</w:t>
            </w:r>
          </w:p>
        </w:tc>
        <w:tc>
          <w:tcPr>
            <w:tcW w:w="188" w:type="pct"/>
          </w:tcPr>
          <w:p w14:paraId="13533DE7" w14:textId="77777777" w:rsidR="00A10B25" w:rsidRDefault="00A10B25">
            <w:pPr>
              <w:pStyle w:val="TAC"/>
            </w:pPr>
            <w:r>
              <w:t>C</w:t>
            </w:r>
          </w:p>
        </w:tc>
        <w:tc>
          <w:tcPr>
            <w:tcW w:w="546" w:type="pct"/>
          </w:tcPr>
          <w:p w14:paraId="7B7A7B24" w14:textId="77777777" w:rsidR="00A10B25" w:rsidRDefault="00A10B25">
            <w:pPr>
              <w:pStyle w:val="TAL"/>
            </w:pPr>
            <w:r>
              <w:t>0..1</w:t>
            </w:r>
          </w:p>
        </w:tc>
        <w:tc>
          <w:tcPr>
            <w:tcW w:w="1336" w:type="pct"/>
          </w:tcPr>
          <w:p w14:paraId="24D30512" w14:textId="77777777" w:rsidR="00A10B25" w:rsidRDefault="00A10B25">
            <w:pPr>
              <w:pStyle w:val="TAL"/>
              <w:rPr>
                <w:rFonts w:eastAsia="Batang"/>
              </w:rPr>
            </w:pPr>
            <w:r>
              <w:rPr>
                <w:rFonts w:eastAsia="Batang"/>
              </w:rPr>
              <w:t xml:space="preserve">Identifies a network slice instance which is associated with the S-NSSAI identified by the </w:t>
            </w:r>
            <w:r>
              <w:t>"</w:t>
            </w:r>
            <w:r>
              <w:rPr>
                <w:rFonts w:eastAsia="Batang"/>
              </w:rPr>
              <w:t>snssai</w:t>
            </w:r>
            <w:r>
              <w:t>"</w:t>
            </w:r>
            <w:r>
              <w:rPr>
                <w:rFonts w:eastAsia="Batang"/>
              </w:rPr>
              <w:t xml:space="preserve"> attribute. </w:t>
            </w:r>
          </w:p>
          <w:p w14:paraId="4E765A15" w14:textId="77777777" w:rsidR="00A10B25" w:rsidRDefault="00A10B25">
            <w:pPr>
              <w:pStyle w:val="TAL"/>
            </w:pPr>
            <w:r>
              <w:rPr>
                <w:rFonts w:eastAsia="Batang"/>
              </w:rPr>
              <w:t xml:space="preserve">Shall be presented if the "nsiIds" was provided within the </w:t>
            </w:r>
            <w:r>
              <w:t>NsiIdInfo</w:t>
            </w:r>
            <w:r>
              <w:rPr>
                <w:rFonts w:eastAsia="Batang"/>
              </w:rPr>
              <w:t xml:space="preserve"> data in the EventSubscription data during the subscription.</w:t>
            </w:r>
          </w:p>
        </w:tc>
        <w:tc>
          <w:tcPr>
            <w:tcW w:w="992" w:type="pct"/>
          </w:tcPr>
          <w:p w14:paraId="2D6AA99A" w14:textId="77777777" w:rsidR="00A10B25" w:rsidRDefault="00A10B25">
            <w:pPr>
              <w:pStyle w:val="TAL"/>
              <w:rPr>
                <w:rFonts w:cs="Arial"/>
                <w:szCs w:val="18"/>
              </w:rPr>
            </w:pPr>
          </w:p>
        </w:tc>
      </w:tr>
      <w:tr w:rsidR="00A10B25" w14:paraId="71975E59" w14:textId="77777777">
        <w:trPr>
          <w:jc w:val="center"/>
        </w:trPr>
        <w:tc>
          <w:tcPr>
            <w:tcW w:w="806" w:type="pct"/>
          </w:tcPr>
          <w:p w14:paraId="49460D93" w14:textId="77777777" w:rsidR="00A10B25" w:rsidRDefault="00A10B25">
            <w:pPr>
              <w:pStyle w:val="TAL"/>
            </w:pPr>
            <w:r>
              <w:t>ratio</w:t>
            </w:r>
          </w:p>
        </w:tc>
        <w:tc>
          <w:tcPr>
            <w:tcW w:w="1132" w:type="pct"/>
          </w:tcPr>
          <w:p w14:paraId="1F838DA8" w14:textId="77777777" w:rsidR="00A10B25" w:rsidRDefault="00A10B25">
            <w:pPr>
              <w:pStyle w:val="TAL"/>
            </w:pPr>
            <w:r>
              <w:t>SamplingRatio</w:t>
            </w:r>
          </w:p>
        </w:tc>
        <w:tc>
          <w:tcPr>
            <w:tcW w:w="188" w:type="pct"/>
          </w:tcPr>
          <w:p w14:paraId="14DE23ED" w14:textId="77777777" w:rsidR="00A10B25" w:rsidRDefault="00A10B25">
            <w:pPr>
              <w:pStyle w:val="TAC"/>
            </w:pPr>
            <w:r>
              <w:rPr>
                <w:rFonts w:eastAsia="Times New Roman"/>
              </w:rPr>
              <w:t>C</w:t>
            </w:r>
          </w:p>
        </w:tc>
        <w:tc>
          <w:tcPr>
            <w:tcW w:w="546" w:type="pct"/>
          </w:tcPr>
          <w:p w14:paraId="2914EFED" w14:textId="77777777" w:rsidR="00A10B25" w:rsidRDefault="00A10B25">
            <w:pPr>
              <w:pStyle w:val="TAL"/>
            </w:pPr>
            <w:r>
              <w:rPr>
                <w:lang w:eastAsia="zh-CN"/>
              </w:rPr>
              <w:t>0..1</w:t>
            </w:r>
          </w:p>
        </w:tc>
        <w:tc>
          <w:tcPr>
            <w:tcW w:w="1336" w:type="pct"/>
          </w:tcPr>
          <w:p w14:paraId="23450CC0" w14:textId="77777777" w:rsidR="00A10B25" w:rsidRDefault="00A10B25">
            <w:pPr>
              <w:pStyle w:val="TAL"/>
            </w:pPr>
            <w:r>
              <w:rPr>
                <w:rFonts w:cs="Arial"/>
                <w:szCs w:val="18"/>
                <w:lang w:eastAsia="zh-CN"/>
              </w:rPr>
              <w:t xml:space="preserve">Contains the </w:t>
            </w:r>
            <w:r>
              <w:t>percentage of UEs with same analytics result in the group or among all UEs.</w:t>
            </w:r>
          </w:p>
          <w:p w14:paraId="2B06D753" w14:textId="77777777" w:rsidR="00A10B25" w:rsidRDefault="00A10B25">
            <w:pPr>
              <w:pStyle w:val="TAL"/>
              <w:rPr>
                <w:rFonts w:eastAsia="Batang"/>
              </w:rPr>
            </w:pPr>
            <w:r>
              <w:t xml:space="preserve">Shall be present </w:t>
            </w:r>
            <w:r>
              <w:rPr>
                <w:rFonts w:cs="Arial"/>
                <w:szCs w:val="18"/>
                <w:lang w:eastAsia="zh-CN"/>
              </w:rPr>
              <w:t>if the analytics result applies for a group of UEs or any UE</w:t>
            </w:r>
            <w:r>
              <w:rPr>
                <w:lang w:eastAsia="zh-CN"/>
              </w:rPr>
              <w:t xml:space="preserve">. </w:t>
            </w:r>
            <w:r>
              <w:rPr>
                <w:rFonts w:cs="Arial"/>
                <w:szCs w:val="18"/>
              </w:rPr>
              <w:t>(NOTE 3)</w:t>
            </w:r>
          </w:p>
        </w:tc>
        <w:tc>
          <w:tcPr>
            <w:tcW w:w="992" w:type="pct"/>
          </w:tcPr>
          <w:p w14:paraId="407F601F" w14:textId="77777777" w:rsidR="00A10B25" w:rsidRDefault="00A10B25">
            <w:pPr>
              <w:pStyle w:val="TAL"/>
              <w:rPr>
                <w:rFonts w:cs="Arial"/>
                <w:szCs w:val="18"/>
              </w:rPr>
            </w:pPr>
          </w:p>
        </w:tc>
      </w:tr>
      <w:tr w:rsidR="00A10B25" w14:paraId="1E9700C0" w14:textId="77777777">
        <w:trPr>
          <w:jc w:val="center"/>
        </w:trPr>
        <w:tc>
          <w:tcPr>
            <w:tcW w:w="806" w:type="pct"/>
          </w:tcPr>
          <w:p w14:paraId="570B7B69" w14:textId="77777777" w:rsidR="00A10B25" w:rsidRDefault="00A10B25">
            <w:pPr>
              <w:pStyle w:val="TAL"/>
            </w:pPr>
            <w:r>
              <w:lastRenderedPageBreak/>
              <w:t>ratFreq</w:t>
            </w:r>
          </w:p>
        </w:tc>
        <w:tc>
          <w:tcPr>
            <w:tcW w:w="1132" w:type="pct"/>
          </w:tcPr>
          <w:p w14:paraId="6E8A4761" w14:textId="77777777" w:rsidR="00A10B25" w:rsidRDefault="00A10B25">
            <w:pPr>
              <w:pStyle w:val="TAL"/>
            </w:pPr>
            <w:r>
              <w:t>RatFreqInformation</w:t>
            </w:r>
          </w:p>
        </w:tc>
        <w:tc>
          <w:tcPr>
            <w:tcW w:w="188" w:type="pct"/>
          </w:tcPr>
          <w:p w14:paraId="49E14514" w14:textId="77777777" w:rsidR="00A10B25" w:rsidRDefault="00A10B25">
            <w:pPr>
              <w:pStyle w:val="TAC"/>
              <w:rPr>
                <w:rFonts w:eastAsia="Times New Roman"/>
              </w:rPr>
            </w:pPr>
            <w:r>
              <w:rPr>
                <w:rFonts w:eastAsia="Times New Roman"/>
              </w:rPr>
              <w:t>C</w:t>
            </w:r>
          </w:p>
        </w:tc>
        <w:tc>
          <w:tcPr>
            <w:tcW w:w="546" w:type="pct"/>
          </w:tcPr>
          <w:p w14:paraId="6223FF62" w14:textId="77777777" w:rsidR="00A10B25" w:rsidRDefault="00A10B25">
            <w:pPr>
              <w:pStyle w:val="TAL"/>
              <w:rPr>
                <w:lang w:eastAsia="zh-CN"/>
              </w:rPr>
            </w:pPr>
            <w:r>
              <w:rPr>
                <w:lang w:eastAsia="zh-CN"/>
              </w:rPr>
              <w:t>0..1</w:t>
            </w:r>
          </w:p>
        </w:tc>
        <w:tc>
          <w:tcPr>
            <w:tcW w:w="1336" w:type="pct"/>
          </w:tcPr>
          <w:p w14:paraId="1A093AC1" w14:textId="77777777" w:rsidR="00A10B25" w:rsidRDefault="00A10B25">
            <w:pPr>
              <w:pStyle w:val="TAL"/>
              <w:rPr>
                <w:rFonts w:cs="Arial"/>
                <w:szCs w:val="18"/>
                <w:lang w:eastAsia="zh-CN"/>
              </w:rPr>
            </w:pPr>
            <w:r>
              <w:rPr>
                <w:rFonts w:cs="Arial"/>
                <w:szCs w:val="18"/>
                <w:lang w:eastAsia="zh-CN"/>
              </w:rPr>
              <w:t>Identification of the RAT type(s) and/or frequency(ies) of UE's serving cell(s) which the service experience applies.</w:t>
            </w:r>
          </w:p>
          <w:p w14:paraId="6F1FC405" w14:textId="77777777" w:rsidR="00A10B25" w:rsidRDefault="00A10B25">
            <w:pPr>
              <w:pStyle w:val="TAL"/>
              <w:rPr>
                <w:rFonts w:cs="Arial"/>
                <w:szCs w:val="18"/>
                <w:lang w:eastAsia="zh-CN"/>
              </w:rPr>
            </w:pPr>
            <w:r>
              <w:rPr>
                <w:rFonts w:cs="Arial"/>
                <w:szCs w:val="18"/>
                <w:lang w:eastAsia="zh-CN"/>
              </w:rPr>
              <w:t>Shall be present if the "ratFreqs" was provided in the EventSubscription data during the subscription.</w:t>
            </w:r>
          </w:p>
          <w:p w14:paraId="30AFDFB7" w14:textId="77777777" w:rsidR="00A10B25" w:rsidRDefault="00A10B25">
            <w:pPr>
              <w:pStyle w:val="TAL"/>
              <w:rPr>
                <w:rFonts w:cs="Arial"/>
                <w:szCs w:val="18"/>
                <w:lang w:eastAsia="zh-CN"/>
              </w:rPr>
            </w:pPr>
          </w:p>
          <w:p w14:paraId="66263889" w14:textId="77777777" w:rsidR="00A10B25" w:rsidRDefault="00A10B25">
            <w:pPr>
              <w:pStyle w:val="TAL"/>
              <w:rPr>
                <w:rFonts w:cs="Arial"/>
                <w:szCs w:val="18"/>
                <w:lang w:eastAsia="zh-CN"/>
              </w:rPr>
            </w:pPr>
            <w:r>
              <w:rPr>
                <w:rFonts w:cs="Arial"/>
                <w:szCs w:val="18"/>
                <w:lang w:eastAsia="zh-CN"/>
              </w:rPr>
              <w:t>When "allRat" and/or "allFreq" are included in the subscription, the NWDAF provides an instance of the Application service experience per combination of RAT Type(s) and/or Frequency value(s) having the same Service Experience.</w:t>
            </w:r>
          </w:p>
        </w:tc>
        <w:tc>
          <w:tcPr>
            <w:tcW w:w="992" w:type="pct"/>
          </w:tcPr>
          <w:p w14:paraId="6353BD6E" w14:textId="77777777" w:rsidR="00A10B25" w:rsidRDefault="00A10B25">
            <w:pPr>
              <w:pStyle w:val="TAL"/>
              <w:rPr>
                <w:rFonts w:cs="Arial"/>
                <w:szCs w:val="18"/>
              </w:rPr>
            </w:pPr>
            <w:r>
              <w:rPr>
                <w:rFonts w:cs="Arial"/>
                <w:szCs w:val="18"/>
              </w:rPr>
              <w:t>ServiceExperienceExt</w:t>
            </w:r>
          </w:p>
        </w:tc>
      </w:tr>
      <w:tr w:rsidR="00A10B25" w14:paraId="73B25217" w14:textId="77777777">
        <w:trPr>
          <w:jc w:val="center"/>
        </w:trPr>
        <w:tc>
          <w:tcPr>
            <w:tcW w:w="1735" w:type="dxa"/>
          </w:tcPr>
          <w:p w14:paraId="22048CC9" w14:textId="77777777" w:rsidR="00A10B25" w:rsidRDefault="00A10B25">
            <w:pPr>
              <w:pStyle w:val="TAL"/>
            </w:pPr>
            <w:r>
              <w:t>pduSesInfo</w:t>
            </w:r>
          </w:p>
        </w:tc>
        <w:tc>
          <w:tcPr>
            <w:tcW w:w="2247" w:type="dxa"/>
          </w:tcPr>
          <w:p w14:paraId="2399B5FD" w14:textId="77777777" w:rsidR="00A10B25" w:rsidRDefault="00A10B25">
            <w:pPr>
              <w:pStyle w:val="TAL"/>
            </w:pPr>
            <w:r>
              <w:t>PduSessionInfo</w:t>
            </w:r>
          </w:p>
        </w:tc>
        <w:tc>
          <w:tcPr>
            <w:tcW w:w="292" w:type="dxa"/>
          </w:tcPr>
          <w:p w14:paraId="5AE782E0" w14:textId="77777777" w:rsidR="00A10B25" w:rsidRDefault="00A10B25">
            <w:pPr>
              <w:pStyle w:val="TAC"/>
              <w:rPr>
                <w:rFonts w:eastAsia="Times New Roman"/>
              </w:rPr>
            </w:pPr>
            <w:r>
              <w:rPr>
                <w:rFonts w:eastAsia="Times New Roman"/>
              </w:rPr>
              <w:t>C</w:t>
            </w:r>
          </w:p>
        </w:tc>
        <w:tc>
          <w:tcPr>
            <w:tcW w:w="1246" w:type="dxa"/>
          </w:tcPr>
          <w:p w14:paraId="7E94AEA7" w14:textId="77777777" w:rsidR="00A10B25" w:rsidRDefault="00A10B25">
            <w:pPr>
              <w:pStyle w:val="TAL"/>
              <w:rPr>
                <w:lang w:eastAsia="zh-CN"/>
              </w:rPr>
            </w:pPr>
            <w:r>
              <w:rPr>
                <w:lang w:eastAsia="zh-CN"/>
              </w:rPr>
              <w:t>0..1</w:t>
            </w:r>
          </w:p>
        </w:tc>
        <w:tc>
          <w:tcPr>
            <w:tcW w:w="2161" w:type="dxa"/>
          </w:tcPr>
          <w:p w14:paraId="28FD305C" w14:textId="77777777" w:rsidR="00A10B25" w:rsidRDefault="00A10B25">
            <w:pPr>
              <w:pStyle w:val="TAL"/>
              <w:rPr>
                <w:rFonts w:cs="Arial"/>
                <w:szCs w:val="18"/>
                <w:lang w:eastAsia="zh-CN"/>
              </w:rPr>
            </w:pPr>
            <w:r>
              <w:rPr>
                <w:rFonts w:cs="Arial"/>
                <w:szCs w:val="18"/>
                <w:lang w:eastAsia="zh-CN"/>
              </w:rPr>
              <w:t>Represents the PDU Session parameters.</w:t>
            </w:r>
          </w:p>
          <w:p w14:paraId="1434FE49" w14:textId="77777777" w:rsidR="00A10B25" w:rsidRDefault="00A10B25">
            <w:pPr>
              <w:pStyle w:val="TAL"/>
              <w:rPr>
                <w:rFonts w:cs="Arial"/>
                <w:szCs w:val="18"/>
                <w:lang w:eastAsia="zh-CN"/>
              </w:rPr>
            </w:pPr>
            <w:r>
              <w:rPr>
                <w:rFonts w:cs="Arial"/>
                <w:szCs w:val="18"/>
                <w:lang w:eastAsia="zh-CN"/>
              </w:rPr>
              <w:t>Shall be present if the "pduSesInfos" attribute was provided in the EventSubscription data type during the subscription.</w:t>
            </w:r>
          </w:p>
        </w:tc>
        <w:tc>
          <w:tcPr>
            <w:tcW w:w="2096" w:type="dxa"/>
          </w:tcPr>
          <w:p w14:paraId="500BE739" w14:textId="77777777" w:rsidR="00A10B25" w:rsidRDefault="00A10B25">
            <w:pPr>
              <w:pStyle w:val="TAL"/>
              <w:rPr>
                <w:rFonts w:cs="Arial"/>
                <w:szCs w:val="18"/>
              </w:rPr>
            </w:pPr>
            <w:r>
              <w:rPr>
                <w:lang w:eastAsia="zh-CN"/>
              </w:rPr>
              <w:t>ServiceExperienceExt2_eNA</w:t>
            </w:r>
          </w:p>
        </w:tc>
      </w:tr>
      <w:tr w:rsidR="00A10B25" w14:paraId="26974C83" w14:textId="77777777">
        <w:trPr>
          <w:jc w:val="center"/>
        </w:trPr>
        <w:tc>
          <w:tcPr>
            <w:tcW w:w="5000" w:type="pct"/>
            <w:gridSpan w:val="6"/>
          </w:tcPr>
          <w:p w14:paraId="1B043B23" w14:textId="77777777" w:rsidR="00A10B25" w:rsidRDefault="00A10B25">
            <w:pPr>
              <w:pStyle w:val="TAN"/>
              <w:rPr>
                <w:rFonts w:cs="Arial"/>
                <w:szCs w:val="18"/>
              </w:rPr>
            </w:pPr>
            <w:r>
              <w:t>NOTE 1:</w:t>
            </w:r>
            <w:r>
              <w:tab/>
              <w:t>If the requested period identified by the "startTs" and "endTs" attributes in the "EventReportingRequirement" type is a future time period, which means the analytics result is a prediction</w:t>
            </w:r>
            <w:r>
              <w:rPr>
                <w:rFonts w:cs="Arial"/>
                <w:szCs w:val="18"/>
              </w:rPr>
              <w:t>. If no sufficient data is collected to provide the confidence of the prediction before the time deadline, the NWDAF shall return a zero confidence.</w:t>
            </w:r>
          </w:p>
          <w:p w14:paraId="0C5D6E15" w14:textId="77777777" w:rsidR="00A10B25" w:rsidRDefault="00A10B25">
            <w:pPr>
              <w:pStyle w:val="TAN"/>
            </w:pPr>
            <w:r>
              <w:t>NOTE 2:</w:t>
            </w:r>
            <w:r>
              <w:tab/>
              <w:t>The "</w:t>
            </w:r>
            <w:r>
              <w:rPr>
                <w:lang w:eastAsia="zh-CN"/>
              </w:rPr>
              <w:t>ueLocs</w:t>
            </w:r>
            <w:r>
              <w:t>" attribute shall only be included if the consumer analytics request is for a single UE or a list of UEs. Inclusion of such UE location requires user consent during the UE location data collection.</w:t>
            </w:r>
          </w:p>
          <w:p w14:paraId="7754D03A" w14:textId="77777777" w:rsidR="00A10B25" w:rsidRDefault="00A10B25">
            <w:pPr>
              <w:pStyle w:val="TAN"/>
            </w:pPr>
            <w:r>
              <w:t>NOTE 3:</w:t>
            </w:r>
            <w:r>
              <w:tab/>
              <w:t xml:space="preserve">The SUPI list and Ratio in the service experience information for an application may be omitted if the reported service experience information is provided and </w:t>
            </w:r>
            <w:r>
              <w:rPr>
                <w:rFonts w:hint="eastAsia"/>
                <w:lang w:eastAsia="zh-CN"/>
              </w:rPr>
              <w:t>is</w:t>
            </w:r>
            <w:r>
              <w:t xml:space="preserve"> assigned with the same value(s) for the slice instance which the application belongs to. Otherwise, the SUPI list and Ratio shall be provided for an application service experience.</w:t>
            </w:r>
          </w:p>
          <w:p w14:paraId="0BC52E8B" w14:textId="77777777" w:rsidR="00A10B25" w:rsidRDefault="00A10B25">
            <w:pPr>
              <w:pStyle w:val="TAN"/>
              <w:rPr>
                <w:rFonts w:cs="Arial"/>
                <w:szCs w:val="18"/>
              </w:rPr>
            </w:pPr>
            <w:r>
              <w:t>NOTE 4:</w:t>
            </w:r>
            <w:r>
              <w:tab/>
              <w:t>This attribute shall not be provided if the NWDAF does not know the NF service consumer type or if the NWDAF knows that the NF service consumer is an AF or a NEF.</w:t>
            </w:r>
          </w:p>
        </w:tc>
      </w:tr>
    </w:tbl>
    <w:p w14:paraId="155EF20B" w14:textId="77777777" w:rsidR="00A10B25" w:rsidRDefault="00A10B25"/>
    <w:p w14:paraId="7678492A" w14:textId="77777777" w:rsidR="00A10B25" w:rsidRDefault="00A10B25">
      <w:pPr>
        <w:pStyle w:val="5"/>
      </w:pPr>
      <w:bookmarkStart w:id="6489" w:name="_Toc145705715"/>
      <w:bookmarkStart w:id="6490" w:name="_Toc88667604"/>
      <w:bookmarkStart w:id="6491" w:name="_Toc101244433"/>
      <w:bookmarkStart w:id="6492" w:name="_Toc56640983"/>
      <w:bookmarkStart w:id="6493" w:name="_Toc112951148"/>
      <w:bookmarkStart w:id="6494" w:name="_Toc50031996"/>
      <w:bookmarkStart w:id="6495" w:name="_Toc59017951"/>
      <w:bookmarkStart w:id="6496" w:name="_Toc114133827"/>
      <w:bookmarkStart w:id="6497" w:name="_Toc70550647"/>
      <w:bookmarkStart w:id="6498" w:name="_Toc68168980"/>
      <w:bookmarkStart w:id="6499" w:name="_Toc85553003"/>
      <w:bookmarkStart w:id="6500" w:name="_Toc83233093"/>
      <w:bookmarkStart w:id="6501" w:name="_Toc136562394"/>
      <w:bookmarkStart w:id="6502" w:name="_Toc36102479"/>
      <w:bookmarkStart w:id="6503" w:name="_Toc113031688"/>
      <w:bookmarkStart w:id="6504" w:name="_Toc90655889"/>
      <w:bookmarkStart w:id="6505" w:name="_Toc120702327"/>
      <w:bookmarkStart w:id="6506" w:name="_Toc104539026"/>
      <w:bookmarkStart w:id="6507" w:name="_Toc138754228"/>
      <w:bookmarkStart w:id="6508" w:name="_Toc85557102"/>
      <w:bookmarkStart w:id="6509" w:name="_Toc98233657"/>
      <w:bookmarkStart w:id="6510" w:name="_Toc94064272"/>
      <w:bookmarkStart w:id="6511" w:name="_Toc148522619"/>
      <w:bookmarkStart w:id="6512" w:name="_Toc43563521"/>
      <w:bookmarkStart w:id="6513" w:name="_Toc45134064"/>
      <w:bookmarkStart w:id="6514" w:name="_Toc66231819"/>
      <w:bookmarkStart w:id="6515" w:name="_Toc34266308"/>
      <w:bookmarkStart w:id="6516" w:name="_Toc51762916"/>
      <w:bookmarkStart w:id="6517" w:name="_Toc164920799"/>
      <w:bookmarkStart w:id="6518" w:name="_Toc170120341"/>
      <w:bookmarkStart w:id="6519" w:name="_Toc175858586"/>
      <w:bookmarkStart w:id="6520" w:name="_Toc175859659"/>
      <w:bookmarkStart w:id="6521" w:name="_Toc180605949"/>
      <w:bookmarkStart w:id="6522" w:name="_Toc185517203"/>
      <w:bookmarkStart w:id="6523" w:name="_Toc191576254"/>
      <w:bookmarkStart w:id="6524" w:name="_Toc191576994"/>
      <w:bookmarkStart w:id="6525" w:name="_Toc192880064"/>
      <w:bookmarkStart w:id="6526" w:name="_Toc195814947"/>
      <w:bookmarkStart w:id="6527" w:name="_Toc199452914"/>
      <w:r>
        <w:t>5.1.6.2.25</w:t>
      </w:r>
      <w:r>
        <w:tab/>
        <w:t>Type BwRequirement</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7F9BC0CC" w14:textId="77777777" w:rsidR="00A10B25" w:rsidRDefault="00A10B25">
      <w:pPr>
        <w:pStyle w:val="TH"/>
      </w:pPr>
      <w:r>
        <w:t>Table 5.1.6.2.25-1: Definition of type BwRequirement</w:t>
      </w:r>
    </w:p>
    <w:tbl>
      <w:tblPr>
        <w:tblW w:w="500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414"/>
        <w:gridCol w:w="1700"/>
        <w:gridCol w:w="566"/>
        <w:gridCol w:w="1134"/>
        <w:gridCol w:w="2770"/>
        <w:gridCol w:w="2041"/>
      </w:tblGrid>
      <w:tr w:rsidR="00A10B25" w14:paraId="7ED0475E" w14:textId="77777777">
        <w:trPr>
          <w:jc w:val="center"/>
        </w:trPr>
        <w:tc>
          <w:tcPr>
            <w:tcW w:w="735" w:type="pct"/>
            <w:shd w:val="clear" w:color="auto" w:fill="C0C0C0"/>
          </w:tcPr>
          <w:p w14:paraId="15404BB9" w14:textId="77777777" w:rsidR="00A10B25" w:rsidRDefault="00A10B25">
            <w:pPr>
              <w:pStyle w:val="TAH"/>
            </w:pPr>
            <w:r>
              <w:t>Attribute name</w:t>
            </w:r>
          </w:p>
        </w:tc>
        <w:tc>
          <w:tcPr>
            <w:tcW w:w="883" w:type="pct"/>
            <w:shd w:val="clear" w:color="auto" w:fill="C0C0C0"/>
          </w:tcPr>
          <w:p w14:paraId="5EA5A430" w14:textId="77777777" w:rsidR="00A10B25" w:rsidRDefault="00A10B25">
            <w:pPr>
              <w:pStyle w:val="TAH"/>
            </w:pPr>
            <w:r>
              <w:t>Data type</w:t>
            </w:r>
          </w:p>
        </w:tc>
        <w:tc>
          <w:tcPr>
            <w:tcW w:w="294" w:type="pct"/>
            <w:shd w:val="clear" w:color="auto" w:fill="C0C0C0"/>
          </w:tcPr>
          <w:p w14:paraId="1398B72F" w14:textId="77777777" w:rsidR="00A10B25" w:rsidRDefault="00A10B25">
            <w:pPr>
              <w:pStyle w:val="TAH"/>
            </w:pPr>
            <w:r>
              <w:t>P</w:t>
            </w:r>
          </w:p>
        </w:tc>
        <w:tc>
          <w:tcPr>
            <w:tcW w:w="589" w:type="pct"/>
            <w:shd w:val="clear" w:color="auto" w:fill="C0C0C0"/>
          </w:tcPr>
          <w:p w14:paraId="64B82F35" w14:textId="77777777" w:rsidR="00A10B25" w:rsidRDefault="00A10B25">
            <w:pPr>
              <w:pStyle w:val="TAH"/>
            </w:pPr>
            <w:r>
              <w:t>Cardinality</w:t>
            </w:r>
          </w:p>
        </w:tc>
        <w:tc>
          <w:tcPr>
            <w:tcW w:w="1439" w:type="pct"/>
            <w:shd w:val="clear" w:color="auto" w:fill="C0C0C0"/>
          </w:tcPr>
          <w:p w14:paraId="08F7F9BF" w14:textId="77777777" w:rsidR="00A10B25" w:rsidRDefault="00A10B25">
            <w:pPr>
              <w:pStyle w:val="TAH"/>
              <w:rPr>
                <w:rFonts w:cs="Arial"/>
                <w:szCs w:val="18"/>
              </w:rPr>
            </w:pPr>
            <w:r>
              <w:rPr>
                <w:rFonts w:cs="Arial"/>
                <w:szCs w:val="18"/>
              </w:rPr>
              <w:t>Description</w:t>
            </w:r>
          </w:p>
        </w:tc>
        <w:tc>
          <w:tcPr>
            <w:tcW w:w="1060" w:type="pct"/>
            <w:shd w:val="clear" w:color="auto" w:fill="C0C0C0"/>
          </w:tcPr>
          <w:p w14:paraId="2C34C0AC" w14:textId="77777777" w:rsidR="00A10B25" w:rsidRDefault="00A10B25">
            <w:pPr>
              <w:pStyle w:val="TAH"/>
              <w:rPr>
                <w:rFonts w:cs="Arial"/>
                <w:szCs w:val="18"/>
              </w:rPr>
            </w:pPr>
            <w:r>
              <w:rPr>
                <w:rFonts w:cs="Arial"/>
                <w:szCs w:val="18"/>
              </w:rPr>
              <w:t>Applicability</w:t>
            </w:r>
          </w:p>
        </w:tc>
      </w:tr>
      <w:tr w:rsidR="00A10B25" w14:paraId="5476361A" w14:textId="77777777">
        <w:trPr>
          <w:trHeight w:val="70"/>
          <w:jc w:val="center"/>
        </w:trPr>
        <w:tc>
          <w:tcPr>
            <w:tcW w:w="735" w:type="pct"/>
          </w:tcPr>
          <w:p w14:paraId="174EECE4" w14:textId="77777777" w:rsidR="00A10B25" w:rsidRDefault="00A10B25">
            <w:pPr>
              <w:pStyle w:val="TAL"/>
              <w:tabs>
                <w:tab w:val="center" w:pos="1095"/>
              </w:tabs>
            </w:pPr>
            <w:r>
              <w:t>appId</w:t>
            </w:r>
          </w:p>
        </w:tc>
        <w:tc>
          <w:tcPr>
            <w:tcW w:w="883" w:type="pct"/>
          </w:tcPr>
          <w:p w14:paraId="49E2B787" w14:textId="77777777" w:rsidR="00A10B25" w:rsidRDefault="00A10B25">
            <w:pPr>
              <w:pStyle w:val="TAL"/>
              <w:rPr>
                <w:rFonts w:cs="Arial"/>
              </w:rPr>
            </w:pPr>
            <w:r>
              <w:rPr>
                <w:rFonts w:cs="Arial"/>
              </w:rPr>
              <w:t>ApplicationId</w:t>
            </w:r>
          </w:p>
        </w:tc>
        <w:tc>
          <w:tcPr>
            <w:tcW w:w="294" w:type="pct"/>
          </w:tcPr>
          <w:p w14:paraId="19A78193" w14:textId="77777777" w:rsidR="00A10B25" w:rsidRDefault="00A10B25">
            <w:pPr>
              <w:pStyle w:val="TAC"/>
            </w:pPr>
            <w:r>
              <w:t>M</w:t>
            </w:r>
          </w:p>
        </w:tc>
        <w:tc>
          <w:tcPr>
            <w:tcW w:w="589" w:type="pct"/>
          </w:tcPr>
          <w:p w14:paraId="4A229B79" w14:textId="77777777" w:rsidR="00A10B25" w:rsidRDefault="00A10B25">
            <w:pPr>
              <w:pStyle w:val="TAL"/>
            </w:pPr>
            <w:r>
              <w:t>1</w:t>
            </w:r>
          </w:p>
        </w:tc>
        <w:tc>
          <w:tcPr>
            <w:tcW w:w="1439" w:type="pct"/>
          </w:tcPr>
          <w:p w14:paraId="2CB35E34" w14:textId="77777777" w:rsidR="00A10B25" w:rsidRDefault="00A10B25">
            <w:pPr>
              <w:pStyle w:val="TAL"/>
              <w:rPr>
                <w:rFonts w:cs="Arial"/>
                <w:szCs w:val="18"/>
              </w:rPr>
            </w:pPr>
            <w:r>
              <w:rPr>
                <w:rFonts w:cs="Arial"/>
                <w:szCs w:val="18"/>
              </w:rPr>
              <w:t>Represents an application.</w:t>
            </w:r>
          </w:p>
          <w:p w14:paraId="7831C448" w14:textId="77777777" w:rsidR="00A10B25" w:rsidRDefault="00A10B25">
            <w:pPr>
              <w:pStyle w:val="TAL"/>
              <w:rPr>
                <w:rFonts w:cs="Arial"/>
                <w:szCs w:val="18"/>
              </w:rPr>
            </w:pPr>
            <w:r>
              <w:rPr>
                <w:rFonts w:cs="Arial"/>
                <w:szCs w:val="18"/>
              </w:rPr>
              <w:t>(NOTE)</w:t>
            </w:r>
          </w:p>
        </w:tc>
        <w:tc>
          <w:tcPr>
            <w:tcW w:w="1060" w:type="pct"/>
          </w:tcPr>
          <w:p w14:paraId="284404BB" w14:textId="77777777" w:rsidR="00A10B25" w:rsidRDefault="00A10B25">
            <w:pPr>
              <w:pStyle w:val="TAL"/>
              <w:rPr>
                <w:rFonts w:cs="Arial"/>
                <w:szCs w:val="18"/>
              </w:rPr>
            </w:pPr>
          </w:p>
        </w:tc>
      </w:tr>
      <w:tr w:rsidR="00A10B25" w14:paraId="483FA919" w14:textId="77777777">
        <w:trPr>
          <w:jc w:val="center"/>
        </w:trPr>
        <w:tc>
          <w:tcPr>
            <w:tcW w:w="735" w:type="pct"/>
          </w:tcPr>
          <w:p w14:paraId="560657D0" w14:textId="77777777" w:rsidR="00A10B25" w:rsidRDefault="00A10B25">
            <w:pPr>
              <w:pStyle w:val="TAL"/>
              <w:tabs>
                <w:tab w:val="center" w:pos="1095"/>
              </w:tabs>
            </w:pPr>
            <w:r>
              <w:t>marBwUl</w:t>
            </w:r>
          </w:p>
        </w:tc>
        <w:tc>
          <w:tcPr>
            <w:tcW w:w="883" w:type="pct"/>
          </w:tcPr>
          <w:p w14:paraId="4C63B4A2" w14:textId="77777777" w:rsidR="00A10B25" w:rsidRDefault="00A10B25">
            <w:pPr>
              <w:pStyle w:val="TAL"/>
            </w:pPr>
            <w:r>
              <w:rPr>
                <w:rFonts w:cs="Arial"/>
              </w:rPr>
              <w:t>BitRate</w:t>
            </w:r>
          </w:p>
        </w:tc>
        <w:tc>
          <w:tcPr>
            <w:tcW w:w="294" w:type="pct"/>
          </w:tcPr>
          <w:p w14:paraId="28157E2C" w14:textId="77777777" w:rsidR="00A10B25" w:rsidRDefault="00A10B25">
            <w:pPr>
              <w:pStyle w:val="TAC"/>
            </w:pPr>
            <w:r>
              <w:t>O</w:t>
            </w:r>
          </w:p>
        </w:tc>
        <w:tc>
          <w:tcPr>
            <w:tcW w:w="589" w:type="pct"/>
          </w:tcPr>
          <w:p w14:paraId="5B963739" w14:textId="77777777" w:rsidR="00A10B25" w:rsidRDefault="00A10B25">
            <w:pPr>
              <w:pStyle w:val="TAL"/>
            </w:pPr>
            <w:r>
              <w:t>0..1</w:t>
            </w:r>
          </w:p>
        </w:tc>
        <w:tc>
          <w:tcPr>
            <w:tcW w:w="1439" w:type="pct"/>
          </w:tcPr>
          <w:p w14:paraId="2CD16C5C" w14:textId="77777777" w:rsidR="00A10B25" w:rsidRDefault="00A10B25">
            <w:pPr>
              <w:pStyle w:val="TAL"/>
            </w:pPr>
            <w:r>
              <w:rPr>
                <w:rFonts w:cs="Arial"/>
                <w:szCs w:val="18"/>
              </w:rPr>
              <w:t>Maximum requested bandwidth for the Uplink.</w:t>
            </w:r>
          </w:p>
        </w:tc>
        <w:tc>
          <w:tcPr>
            <w:tcW w:w="1060" w:type="pct"/>
          </w:tcPr>
          <w:p w14:paraId="7936D96A" w14:textId="77777777" w:rsidR="00A10B25" w:rsidRDefault="00A10B25">
            <w:pPr>
              <w:pStyle w:val="TAL"/>
              <w:rPr>
                <w:rFonts w:cs="Arial"/>
                <w:szCs w:val="18"/>
              </w:rPr>
            </w:pPr>
          </w:p>
        </w:tc>
      </w:tr>
      <w:tr w:rsidR="00A10B25" w14:paraId="44EAB17B" w14:textId="77777777">
        <w:trPr>
          <w:jc w:val="center"/>
        </w:trPr>
        <w:tc>
          <w:tcPr>
            <w:tcW w:w="735" w:type="pct"/>
          </w:tcPr>
          <w:p w14:paraId="4D470C02" w14:textId="77777777" w:rsidR="00A10B25" w:rsidRDefault="00A10B25">
            <w:pPr>
              <w:pStyle w:val="TAL"/>
            </w:pPr>
            <w:r>
              <w:t>marBwDl</w:t>
            </w:r>
          </w:p>
        </w:tc>
        <w:tc>
          <w:tcPr>
            <w:tcW w:w="883" w:type="pct"/>
          </w:tcPr>
          <w:p w14:paraId="39A48018" w14:textId="77777777" w:rsidR="00A10B25" w:rsidRDefault="00A10B25">
            <w:pPr>
              <w:pStyle w:val="TAL"/>
            </w:pPr>
            <w:r>
              <w:rPr>
                <w:rFonts w:cs="Arial"/>
              </w:rPr>
              <w:t>BitRate</w:t>
            </w:r>
          </w:p>
        </w:tc>
        <w:tc>
          <w:tcPr>
            <w:tcW w:w="294" w:type="pct"/>
          </w:tcPr>
          <w:p w14:paraId="76D2EA9D" w14:textId="77777777" w:rsidR="00A10B25" w:rsidRDefault="00A10B25">
            <w:pPr>
              <w:pStyle w:val="TAC"/>
            </w:pPr>
            <w:r>
              <w:t>O</w:t>
            </w:r>
          </w:p>
        </w:tc>
        <w:tc>
          <w:tcPr>
            <w:tcW w:w="589" w:type="pct"/>
          </w:tcPr>
          <w:p w14:paraId="147F7755" w14:textId="77777777" w:rsidR="00A10B25" w:rsidRDefault="00A10B25">
            <w:pPr>
              <w:pStyle w:val="TAL"/>
            </w:pPr>
            <w:r>
              <w:t>0..1</w:t>
            </w:r>
          </w:p>
        </w:tc>
        <w:tc>
          <w:tcPr>
            <w:tcW w:w="1439" w:type="pct"/>
          </w:tcPr>
          <w:p w14:paraId="7911B9BD" w14:textId="77777777" w:rsidR="00A10B25" w:rsidRDefault="00A10B25">
            <w:pPr>
              <w:pStyle w:val="TAL"/>
              <w:rPr>
                <w:rFonts w:eastAsia="Batang"/>
              </w:rPr>
            </w:pPr>
            <w:r>
              <w:rPr>
                <w:rFonts w:cs="Arial"/>
                <w:szCs w:val="18"/>
              </w:rPr>
              <w:t>Maximum requested bandwidth for the Downlink.</w:t>
            </w:r>
          </w:p>
        </w:tc>
        <w:tc>
          <w:tcPr>
            <w:tcW w:w="1060" w:type="pct"/>
          </w:tcPr>
          <w:p w14:paraId="380F7AE7" w14:textId="77777777" w:rsidR="00A10B25" w:rsidRDefault="00A10B25">
            <w:pPr>
              <w:pStyle w:val="TAL"/>
              <w:rPr>
                <w:rFonts w:cs="Arial"/>
                <w:szCs w:val="18"/>
              </w:rPr>
            </w:pPr>
          </w:p>
        </w:tc>
      </w:tr>
      <w:tr w:rsidR="00A10B25" w14:paraId="6F3F949A" w14:textId="77777777">
        <w:trPr>
          <w:jc w:val="center"/>
        </w:trPr>
        <w:tc>
          <w:tcPr>
            <w:tcW w:w="735" w:type="pct"/>
          </w:tcPr>
          <w:p w14:paraId="7AA7930C" w14:textId="77777777" w:rsidR="00A10B25" w:rsidRDefault="00A10B25">
            <w:pPr>
              <w:pStyle w:val="TAL"/>
            </w:pPr>
            <w:r>
              <w:t>mirBwUl</w:t>
            </w:r>
          </w:p>
        </w:tc>
        <w:tc>
          <w:tcPr>
            <w:tcW w:w="883" w:type="pct"/>
          </w:tcPr>
          <w:p w14:paraId="09C12B9F" w14:textId="77777777" w:rsidR="00A10B25" w:rsidRDefault="00A10B25">
            <w:pPr>
              <w:pStyle w:val="TAL"/>
            </w:pPr>
            <w:r>
              <w:rPr>
                <w:rFonts w:cs="Arial"/>
              </w:rPr>
              <w:t>BitRate</w:t>
            </w:r>
          </w:p>
        </w:tc>
        <w:tc>
          <w:tcPr>
            <w:tcW w:w="294" w:type="pct"/>
          </w:tcPr>
          <w:p w14:paraId="52B33AC4" w14:textId="77777777" w:rsidR="00A10B25" w:rsidRDefault="00A10B25">
            <w:pPr>
              <w:pStyle w:val="TAC"/>
            </w:pPr>
            <w:r>
              <w:t>O</w:t>
            </w:r>
          </w:p>
        </w:tc>
        <w:tc>
          <w:tcPr>
            <w:tcW w:w="589" w:type="pct"/>
          </w:tcPr>
          <w:p w14:paraId="40E26066" w14:textId="77777777" w:rsidR="00A10B25" w:rsidRDefault="00A10B25">
            <w:pPr>
              <w:pStyle w:val="TAL"/>
            </w:pPr>
            <w:r>
              <w:t>0..1</w:t>
            </w:r>
          </w:p>
        </w:tc>
        <w:tc>
          <w:tcPr>
            <w:tcW w:w="1439" w:type="pct"/>
          </w:tcPr>
          <w:p w14:paraId="4798F1CF" w14:textId="77777777" w:rsidR="00A10B25" w:rsidRDefault="00A10B25">
            <w:pPr>
              <w:pStyle w:val="TAL"/>
              <w:rPr>
                <w:rFonts w:eastAsia="Batang"/>
              </w:rPr>
            </w:pPr>
            <w:r>
              <w:rPr>
                <w:rFonts w:cs="Arial"/>
                <w:szCs w:val="18"/>
              </w:rPr>
              <w:t>Minimum requested bandwidth for the Uplink.</w:t>
            </w:r>
          </w:p>
        </w:tc>
        <w:tc>
          <w:tcPr>
            <w:tcW w:w="1060" w:type="pct"/>
          </w:tcPr>
          <w:p w14:paraId="51817A59" w14:textId="77777777" w:rsidR="00A10B25" w:rsidRDefault="00A10B25">
            <w:pPr>
              <w:pStyle w:val="TAL"/>
              <w:rPr>
                <w:rFonts w:cs="Arial"/>
                <w:szCs w:val="18"/>
              </w:rPr>
            </w:pPr>
          </w:p>
        </w:tc>
      </w:tr>
      <w:tr w:rsidR="00A10B25" w14:paraId="5D027177" w14:textId="77777777">
        <w:trPr>
          <w:jc w:val="center"/>
        </w:trPr>
        <w:tc>
          <w:tcPr>
            <w:tcW w:w="735" w:type="pct"/>
          </w:tcPr>
          <w:p w14:paraId="7534C3D7" w14:textId="77777777" w:rsidR="00A10B25" w:rsidRDefault="00A10B25">
            <w:pPr>
              <w:pStyle w:val="TAL"/>
            </w:pPr>
            <w:r>
              <w:t>mirBwDl</w:t>
            </w:r>
          </w:p>
        </w:tc>
        <w:tc>
          <w:tcPr>
            <w:tcW w:w="883" w:type="pct"/>
          </w:tcPr>
          <w:p w14:paraId="0449FE87" w14:textId="77777777" w:rsidR="00A10B25" w:rsidRDefault="00A10B25">
            <w:pPr>
              <w:pStyle w:val="TAL"/>
            </w:pPr>
            <w:r>
              <w:rPr>
                <w:rFonts w:cs="Arial"/>
              </w:rPr>
              <w:t>BitRate</w:t>
            </w:r>
          </w:p>
        </w:tc>
        <w:tc>
          <w:tcPr>
            <w:tcW w:w="294" w:type="pct"/>
          </w:tcPr>
          <w:p w14:paraId="25B6386B" w14:textId="77777777" w:rsidR="00A10B25" w:rsidRDefault="00A10B25">
            <w:pPr>
              <w:pStyle w:val="TAC"/>
            </w:pPr>
            <w:r>
              <w:t>O</w:t>
            </w:r>
          </w:p>
        </w:tc>
        <w:tc>
          <w:tcPr>
            <w:tcW w:w="589" w:type="pct"/>
          </w:tcPr>
          <w:p w14:paraId="5A9F1D43" w14:textId="77777777" w:rsidR="00A10B25" w:rsidRDefault="00A10B25">
            <w:pPr>
              <w:pStyle w:val="TAL"/>
            </w:pPr>
            <w:r>
              <w:t>0..1</w:t>
            </w:r>
          </w:p>
        </w:tc>
        <w:tc>
          <w:tcPr>
            <w:tcW w:w="1439" w:type="pct"/>
          </w:tcPr>
          <w:p w14:paraId="25327C9E" w14:textId="77777777" w:rsidR="00A10B25" w:rsidRDefault="00A10B25">
            <w:pPr>
              <w:pStyle w:val="TAL"/>
              <w:rPr>
                <w:rFonts w:eastAsia="Batang"/>
              </w:rPr>
            </w:pPr>
            <w:r>
              <w:rPr>
                <w:rFonts w:cs="Arial"/>
                <w:szCs w:val="18"/>
              </w:rPr>
              <w:t>Minimum requested bandwidth for the Downlink.</w:t>
            </w:r>
          </w:p>
        </w:tc>
        <w:tc>
          <w:tcPr>
            <w:tcW w:w="1060" w:type="pct"/>
          </w:tcPr>
          <w:p w14:paraId="1CE374BE" w14:textId="77777777" w:rsidR="00A10B25" w:rsidRDefault="00A10B25">
            <w:pPr>
              <w:pStyle w:val="TAL"/>
              <w:rPr>
                <w:rFonts w:cs="Arial"/>
                <w:szCs w:val="18"/>
              </w:rPr>
            </w:pPr>
          </w:p>
        </w:tc>
      </w:tr>
      <w:tr w:rsidR="00A10B25" w14:paraId="2A9A4144" w14:textId="77777777">
        <w:trPr>
          <w:jc w:val="center"/>
        </w:trPr>
        <w:tc>
          <w:tcPr>
            <w:tcW w:w="5000" w:type="pct"/>
            <w:gridSpan w:val="6"/>
          </w:tcPr>
          <w:p w14:paraId="41C7D745" w14:textId="77777777" w:rsidR="00A10B25" w:rsidRDefault="00A10B25">
            <w:pPr>
              <w:pStyle w:val="TAN"/>
              <w:rPr>
                <w:rFonts w:cs="Arial"/>
                <w:szCs w:val="18"/>
              </w:rPr>
            </w:pPr>
            <w:r>
              <w:rPr>
                <w:rFonts w:cs="Arial"/>
                <w:szCs w:val="18"/>
              </w:rPr>
              <w:t>NOTE</w:t>
            </w:r>
            <w:r>
              <w:t>:</w:t>
            </w:r>
            <w:r>
              <w:rPr>
                <w:lang w:eastAsia="zh-CN"/>
              </w:rPr>
              <w:tab/>
            </w:r>
            <w:r>
              <w:rPr>
                <w:lang w:eastAsia="zh-CN"/>
              </w:rPr>
              <w:tab/>
              <w:t>I</w:t>
            </w:r>
            <w:r>
              <w:t>f the "appIds" attribute is provided within EventSubscription data, this attribute shall be indicated by the "appIds" attribute.</w:t>
            </w:r>
          </w:p>
        </w:tc>
      </w:tr>
    </w:tbl>
    <w:p w14:paraId="7AC6A750" w14:textId="77777777" w:rsidR="00A10B25" w:rsidRDefault="00A10B25"/>
    <w:p w14:paraId="320DB18F" w14:textId="77777777" w:rsidR="00A10B25" w:rsidRDefault="00A10B25">
      <w:pPr>
        <w:pStyle w:val="5"/>
      </w:pPr>
      <w:bookmarkStart w:id="6528" w:name="_Toc136562395"/>
      <w:bookmarkStart w:id="6529" w:name="_Toc50031997"/>
      <w:bookmarkStart w:id="6530" w:name="_Toc34266309"/>
      <w:bookmarkStart w:id="6531" w:name="_Toc66231820"/>
      <w:bookmarkStart w:id="6532" w:name="_Toc101244434"/>
      <w:bookmarkStart w:id="6533" w:name="_Toc94064273"/>
      <w:bookmarkStart w:id="6534" w:name="_Toc120702328"/>
      <w:bookmarkStart w:id="6535" w:name="_Toc98233658"/>
      <w:bookmarkStart w:id="6536" w:name="_Toc51762917"/>
      <w:bookmarkStart w:id="6537" w:name="_Toc68168981"/>
      <w:bookmarkStart w:id="6538" w:name="_Toc36102480"/>
      <w:bookmarkStart w:id="6539" w:name="_Toc113031689"/>
      <w:bookmarkStart w:id="6540" w:name="_Toc104539027"/>
      <w:bookmarkStart w:id="6541" w:name="_Toc88667605"/>
      <w:bookmarkStart w:id="6542" w:name="_Toc145705716"/>
      <w:bookmarkStart w:id="6543" w:name="_Toc85557103"/>
      <w:bookmarkStart w:id="6544" w:name="_Toc56640984"/>
      <w:bookmarkStart w:id="6545" w:name="_Toc114133828"/>
      <w:bookmarkStart w:id="6546" w:name="_Toc85553004"/>
      <w:bookmarkStart w:id="6547" w:name="_Toc138754229"/>
      <w:bookmarkStart w:id="6548" w:name="_Toc90655890"/>
      <w:bookmarkStart w:id="6549" w:name="_Toc70550648"/>
      <w:bookmarkStart w:id="6550" w:name="_Toc112951149"/>
      <w:bookmarkStart w:id="6551" w:name="_Toc83233094"/>
      <w:bookmarkStart w:id="6552" w:name="_Toc148522620"/>
      <w:bookmarkStart w:id="6553" w:name="_Toc59017952"/>
      <w:bookmarkStart w:id="6554" w:name="_Toc43563522"/>
      <w:bookmarkStart w:id="6555" w:name="_Toc45134065"/>
      <w:bookmarkStart w:id="6556" w:name="_Toc164920800"/>
      <w:bookmarkStart w:id="6557" w:name="_Toc170120342"/>
      <w:bookmarkStart w:id="6558" w:name="_Toc175858587"/>
      <w:bookmarkStart w:id="6559" w:name="_Toc175859660"/>
      <w:bookmarkStart w:id="6560" w:name="_Toc180605950"/>
      <w:bookmarkStart w:id="6561" w:name="_Toc185517204"/>
      <w:bookmarkStart w:id="6562" w:name="_Toc191576255"/>
      <w:bookmarkStart w:id="6563" w:name="_Toc191576995"/>
      <w:bookmarkStart w:id="6564" w:name="_Toc192880065"/>
      <w:bookmarkStart w:id="6565" w:name="_Toc195814948"/>
      <w:bookmarkStart w:id="6566" w:name="_Toc199452915"/>
      <w:r>
        <w:lastRenderedPageBreak/>
        <w:t>5.1.6.2.26</w:t>
      </w:r>
      <w:r>
        <w:tab/>
        <w:t>Type AdditionalMeasurement</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52617A6A" w14:textId="77777777" w:rsidR="00A10B25" w:rsidRDefault="00A10B25">
      <w:pPr>
        <w:pStyle w:val="TH"/>
      </w:pPr>
      <w:r>
        <w:t>Table 5.1.6.2.26-1: Definition of type AdditionalMeasurement</w:t>
      </w:r>
    </w:p>
    <w:tbl>
      <w:tblPr>
        <w:tblW w:w="960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1688"/>
        <w:gridCol w:w="426"/>
        <w:gridCol w:w="1134"/>
        <w:gridCol w:w="3131"/>
        <w:gridCol w:w="1528"/>
      </w:tblGrid>
      <w:tr w:rsidR="00A10B25" w14:paraId="3AECC1F0" w14:textId="77777777">
        <w:trPr>
          <w:jc w:val="center"/>
        </w:trPr>
        <w:tc>
          <w:tcPr>
            <w:tcW w:w="1696" w:type="dxa"/>
            <w:shd w:val="clear" w:color="auto" w:fill="C0C0C0"/>
          </w:tcPr>
          <w:p w14:paraId="00A20895" w14:textId="77777777" w:rsidR="00A10B25" w:rsidRDefault="00A10B25">
            <w:pPr>
              <w:pStyle w:val="TAH"/>
            </w:pPr>
            <w:r>
              <w:t>Attribute name</w:t>
            </w:r>
          </w:p>
        </w:tc>
        <w:tc>
          <w:tcPr>
            <w:tcW w:w="1688" w:type="dxa"/>
            <w:shd w:val="clear" w:color="auto" w:fill="C0C0C0"/>
          </w:tcPr>
          <w:p w14:paraId="632FE7F6" w14:textId="77777777" w:rsidR="00A10B25" w:rsidRDefault="00A10B25">
            <w:pPr>
              <w:pStyle w:val="TAH"/>
            </w:pPr>
            <w:r>
              <w:t>Data type</w:t>
            </w:r>
          </w:p>
        </w:tc>
        <w:tc>
          <w:tcPr>
            <w:tcW w:w="426" w:type="dxa"/>
            <w:shd w:val="clear" w:color="auto" w:fill="C0C0C0"/>
          </w:tcPr>
          <w:p w14:paraId="3FE2AC2C" w14:textId="77777777" w:rsidR="00A10B25" w:rsidRDefault="00A10B25">
            <w:pPr>
              <w:pStyle w:val="TAH"/>
            </w:pPr>
            <w:r>
              <w:t>P</w:t>
            </w:r>
          </w:p>
        </w:tc>
        <w:tc>
          <w:tcPr>
            <w:tcW w:w="1134" w:type="dxa"/>
            <w:shd w:val="clear" w:color="auto" w:fill="C0C0C0"/>
          </w:tcPr>
          <w:p w14:paraId="75F3F730" w14:textId="77777777" w:rsidR="00A10B25" w:rsidRDefault="00A10B25">
            <w:pPr>
              <w:pStyle w:val="TAH"/>
            </w:pPr>
            <w:r>
              <w:t>Cardinality</w:t>
            </w:r>
          </w:p>
        </w:tc>
        <w:tc>
          <w:tcPr>
            <w:tcW w:w="3131" w:type="dxa"/>
            <w:shd w:val="clear" w:color="auto" w:fill="C0C0C0"/>
          </w:tcPr>
          <w:p w14:paraId="2B5ED929" w14:textId="77777777" w:rsidR="00A10B25" w:rsidRDefault="00A10B25">
            <w:pPr>
              <w:pStyle w:val="TAH"/>
            </w:pPr>
            <w:r>
              <w:t>Description</w:t>
            </w:r>
          </w:p>
        </w:tc>
        <w:tc>
          <w:tcPr>
            <w:tcW w:w="1528" w:type="dxa"/>
            <w:shd w:val="clear" w:color="auto" w:fill="C0C0C0"/>
          </w:tcPr>
          <w:p w14:paraId="70BDC2F2" w14:textId="77777777" w:rsidR="00A10B25" w:rsidRDefault="00A10B25">
            <w:pPr>
              <w:pStyle w:val="TAH"/>
            </w:pPr>
            <w:r>
              <w:t>Applicability</w:t>
            </w:r>
          </w:p>
        </w:tc>
      </w:tr>
      <w:tr w:rsidR="00A10B25" w14:paraId="56AD30B7" w14:textId="77777777">
        <w:trPr>
          <w:jc w:val="center"/>
        </w:trPr>
        <w:tc>
          <w:tcPr>
            <w:tcW w:w="1696" w:type="dxa"/>
            <w:vAlign w:val="center"/>
          </w:tcPr>
          <w:p w14:paraId="27D8F020" w14:textId="77777777" w:rsidR="00A10B25" w:rsidRDefault="00A10B25">
            <w:pPr>
              <w:pStyle w:val="TAL"/>
            </w:pPr>
            <w:r>
              <w:t>unexpLoc</w:t>
            </w:r>
          </w:p>
        </w:tc>
        <w:tc>
          <w:tcPr>
            <w:tcW w:w="1688" w:type="dxa"/>
          </w:tcPr>
          <w:p w14:paraId="4880D098" w14:textId="77777777" w:rsidR="00A10B25" w:rsidRDefault="00A10B25">
            <w:pPr>
              <w:pStyle w:val="TAL"/>
            </w:pPr>
            <w:r>
              <w:t>NetworkAreaInfo</w:t>
            </w:r>
          </w:p>
        </w:tc>
        <w:tc>
          <w:tcPr>
            <w:tcW w:w="426" w:type="dxa"/>
          </w:tcPr>
          <w:p w14:paraId="10CF3050" w14:textId="77777777" w:rsidR="00A10B25" w:rsidRDefault="00A10B25">
            <w:pPr>
              <w:pStyle w:val="TAC"/>
            </w:pPr>
            <w:r>
              <w:t>C</w:t>
            </w:r>
          </w:p>
        </w:tc>
        <w:tc>
          <w:tcPr>
            <w:tcW w:w="1134" w:type="dxa"/>
          </w:tcPr>
          <w:p w14:paraId="777D1F69" w14:textId="77777777" w:rsidR="00A10B25" w:rsidRDefault="00A10B25">
            <w:pPr>
              <w:pStyle w:val="TAL"/>
              <w:rPr>
                <w:lang w:eastAsia="zh-CN"/>
              </w:rPr>
            </w:pPr>
            <w:r>
              <w:rPr>
                <w:lang w:eastAsia="zh-CN"/>
              </w:rPr>
              <w:t>0..1</w:t>
            </w:r>
          </w:p>
        </w:tc>
        <w:tc>
          <w:tcPr>
            <w:tcW w:w="3131" w:type="dxa"/>
          </w:tcPr>
          <w:p w14:paraId="162B01BF" w14:textId="77777777" w:rsidR="00A10B25" w:rsidRDefault="00A10B25">
            <w:pPr>
              <w:pStyle w:val="TAL"/>
            </w:pPr>
            <w:r>
              <w:t>The unexpected locations which the UE stays.</w:t>
            </w:r>
          </w:p>
          <w:p w14:paraId="0AEEC6F2" w14:textId="77777777" w:rsidR="00A10B25" w:rsidRDefault="00A10B25">
            <w:pPr>
              <w:pStyle w:val="TAL"/>
            </w:pPr>
            <w:r>
              <w:t>It may only be present when the "excepId" within the Exception data sets to "UNEXPECTED_UE_LOCATION"</w:t>
            </w:r>
          </w:p>
        </w:tc>
        <w:tc>
          <w:tcPr>
            <w:tcW w:w="1528" w:type="dxa"/>
          </w:tcPr>
          <w:p w14:paraId="0552DB21" w14:textId="77777777" w:rsidR="00A10B25" w:rsidRDefault="00A10B25">
            <w:pPr>
              <w:keepNext/>
              <w:keepLines/>
              <w:spacing w:after="0"/>
              <w:rPr>
                <w:rFonts w:ascii="Arial" w:hAnsi="Arial" w:cs="Arial"/>
                <w:sz w:val="18"/>
                <w:szCs w:val="18"/>
              </w:rPr>
            </w:pPr>
          </w:p>
        </w:tc>
      </w:tr>
      <w:tr w:rsidR="00A10B25" w14:paraId="7977495F" w14:textId="77777777">
        <w:trPr>
          <w:jc w:val="center"/>
        </w:trPr>
        <w:tc>
          <w:tcPr>
            <w:tcW w:w="1696" w:type="dxa"/>
          </w:tcPr>
          <w:p w14:paraId="4D32D15E" w14:textId="77777777" w:rsidR="00A10B25" w:rsidRDefault="00A10B25">
            <w:pPr>
              <w:pStyle w:val="TAL"/>
            </w:pPr>
            <w:r>
              <w:t>unexpFlowTeps</w:t>
            </w:r>
          </w:p>
        </w:tc>
        <w:tc>
          <w:tcPr>
            <w:tcW w:w="1688" w:type="dxa"/>
          </w:tcPr>
          <w:p w14:paraId="3196EAC7" w14:textId="77777777" w:rsidR="00A10B25" w:rsidRDefault="00A10B25">
            <w:pPr>
              <w:pStyle w:val="TAL"/>
              <w:rPr>
                <w:lang w:eastAsia="zh-CN"/>
              </w:rPr>
            </w:pPr>
            <w:r>
              <w:rPr>
                <w:lang w:eastAsia="zh-CN"/>
              </w:rPr>
              <w:t>array(</w:t>
            </w:r>
            <w:r>
              <w:t>IpEth</w:t>
            </w:r>
            <w:r>
              <w:rPr>
                <w:lang w:eastAsia="zh-CN"/>
              </w:rPr>
              <w:t>FlowDescription)</w:t>
            </w:r>
          </w:p>
        </w:tc>
        <w:tc>
          <w:tcPr>
            <w:tcW w:w="426" w:type="dxa"/>
          </w:tcPr>
          <w:p w14:paraId="05B98FCA" w14:textId="77777777" w:rsidR="00A10B25" w:rsidRDefault="00A10B25">
            <w:pPr>
              <w:pStyle w:val="TAC"/>
            </w:pPr>
            <w:r>
              <w:t>C</w:t>
            </w:r>
          </w:p>
        </w:tc>
        <w:tc>
          <w:tcPr>
            <w:tcW w:w="1134" w:type="dxa"/>
          </w:tcPr>
          <w:p w14:paraId="3ACDF467" w14:textId="77777777" w:rsidR="00A10B25" w:rsidRDefault="00A10B25">
            <w:pPr>
              <w:pStyle w:val="TAL"/>
            </w:pPr>
            <w:r>
              <w:t>1..N</w:t>
            </w:r>
          </w:p>
        </w:tc>
        <w:tc>
          <w:tcPr>
            <w:tcW w:w="3131" w:type="dxa"/>
          </w:tcPr>
          <w:p w14:paraId="0A25D9DB" w14:textId="77777777" w:rsidR="00A10B25" w:rsidRDefault="00A10B25">
            <w:pPr>
              <w:pStyle w:val="TAL"/>
              <w:rPr>
                <w:lang w:eastAsia="zh-CN"/>
              </w:rPr>
            </w:pPr>
            <w:r>
              <w:rPr>
                <w:lang w:eastAsia="zh-CN"/>
              </w:rPr>
              <w:t>Unexpected IP or Ethernet flow templates.</w:t>
            </w:r>
          </w:p>
          <w:p w14:paraId="69235024" w14:textId="77777777" w:rsidR="00A10B25" w:rsidRDefault="00A10B25">
            <w:pPr>
              <w:pStyle w:val="TAL"/>
            </w:pPr>
            <w:r>
              <w:t>It may only be present when the "excepId" within the Exception data sets to "</w:t>
            </w:r>
            <w:r>
              <w:rPr>
                <w:rFonts w:hint="eastAsia"/>
              </w:rPr>
              <w:t>UNEXPECTED_LONG_LIVE_FLOW</w:t>
            </w:r>
            <w:r>
              <w:t>" or "UNEXPECTED_LARGE_RATE_FLOW".</w:t>
            </w:r>
          </w:p>
        </w:tc>
        <w:tc>
          <w:tcPr>
            <w:tcW w:w="1528" w:type="dxa"/>
          </w:tcPr>
          <w:p w14:paraId="0AC66E04" w14:textId="77777777" w:rsidR="00A10B25" w:rsidRDefault="00A10B25">
            <w:pPr>
              <w:keepNext/>
              <w:keepLines/>
              <w:spacing w:after="0"/>
              <w:rPr>
                <w:rFonts w:ascii="Arial" w:hAnsi="Arial" w:cs="Arial"/>
                <w:sz w:val="18"/>
                <w:szCs w:val="18"/>
              </w:rPr>
            </w:pPr>
          </w:p>
        </w:tc>
      </w:tr>
      <w:tr w:rsidR="00A10B25" w14:paraId="00DE21A1" w14:textId="77777777">
        <w:trPr>
          <w:jc w:val="center"/>
        </w:trPr>
        <w:tc>
          <w:tcPr>
            <w:tcW w:w="1696" w:type="dxa"/>
          </w:tcPr>
          <w:p w14:paraId="7046AB02" w14:textId="77777777" w:rsidR="00A10B25" w:rsidRDefault="00A10B25">
            <w:pPr>
              <w:pStyle w:val="TAL"/>
            </w:pPr>
            <w:r>
              <w:t>unexpWakes</w:t>
            </w:r>
          </w:p>
        </w:tc>
        <w:tc>
          <w:tcPr>
            <w:tcW w:w="1688" w:type="dxa"/>
          </w:tcPr>
          <w:p w14:paraId="621B6256" w14:textId="77777777" w:rsidR="00A10B25" w:rsidRDefault="00A10B25">
            <w:pPr>
              <w:pStyle w:val="TAL"/>
              <w:rPr>
                <w:lang w:eastAsia="zh-CN"/>
              </w:rPr>
            </w:pPr>
            <w:r>
              <w:rPr>
                <w:lang w:eastAsia="zh-CN"/>
              </w:rPr>
              <w:t>array(DateTime)</w:t>
            </w:r>
          </w:p>
        </w:tc>
        <w:tc>
          <w:tcPr>
            <w:tcW w:w="426" w:type="dxa"/>
          </w:tcPr>
          <w:p w14:paraId="4F986BC3" w14:textId="77777777" w:rsidR="00A10B25" w:rsidRDefault="00A10B25">
            <w:pPr>
              <w:pStyle w:val="TAC"/>
            </w:pPr>
            <w:r>
              <w:t>C</w:t>
            </w:r>
          </w:p>
        </w:tc>
        <w:tc>
          <w:tcPr>
            <w:tcW w:w="1134" w:type="dxa"/>
          </w:tcPr>
          <w:p w14:paraId="256AEE9C" w14:textId="77777777" w:rsidR="00A10B25" w:rsidRDefault="00A10B25">
            <w:pPr>
              <w:pStyle w:val="TAL"/>
            </w:pPr>
            <w:r>
              <w:t>1..N</w:t>
            </w:r>
          </w:p>
        </w:tc>
        <w:tc>
          <w:tcPr>
            <w:tcW w:w="3131" w:type="dxa"/>
          </w:tcPr>
          <w:p w14:paraId="12509730" w14:textId="77777777" w:rsidR="00A10B25" w:rsidRDefault="00A10B25">
            <w:pPr>
              <w:pStyle w:val="TAL"/>
              <w:rPr>
                <w:lang w:eastAsia="zh-CN"/>
              </w:rPr>
            </w:pPr>
            <w:r>
              <w:rPr>
                <w:lang w:eastAsia="zh-CN"/>
              </w:rPr>
              <w:t>Unexpected wake up times.</w:t>
            </w:r>
          </w:p>
          <w:p w14:paraId="38C4CEF9" w14:textId="77777777" w:rsidR="00A10B25" w:rsidRDefault="00A10B25">
            <w:pPr>
              <w:pStyle w:val="TAL"/>
              <w:rPr>
                <w:lang w:eastAsia="zh-CN"/>
              </w:rPr>
            </w:pPr>
            <w:r>
              <w:t>It may only be present when the "excepId" within the Exception data sets to "UNEXPECTED_WAKEUP".</w:t>
            </w:r>
          </w:p>
        </w:tc>
        <w:tc>
          <w:tcPr>
            <w:tcW w:w="1528" w:type="dxa"/>
          </w:tcPr>
          <w:p w14:paraId="71450BAF" w14:textId="77777777" w:rsidR="00A10B25" w:rsidRDefault="00A10B25">
            <w:pPr>
              <w:keepNext/>
              <w:keepLines/>
              <w:spacing w:after="0"/>
              <w:rPr>
                <w:rFonts w:ascii="Arial" w:hAnsi="Arial" w:cs="Arial"/>
                <w:sz w:val="18"/>
                <w:szCs w:val="18"/>
              </w:rPr>
            </w:pPr>
          </w:p>
        </w:tc>
      </w:tr>
      <w:tr w:rsidR="00A10B25" w14:paraId="349212AC" w14:textId="77777777">
        <w:trPr>
          <w:jc w:val="center"/>
        </w:trPr>
        <w:tc>
          <w:tcPr>
            <w:tcW w:w="1696" w:type="dxa"/>
          </w:tcPr>
          <w:p w14:paraId="64BCC413" w14:textId="77777777" w:rsidR="00A10B25" w:rsidRDefault="00A10B25">
            <w:pPr>
              <w:pStyle w:val="TAL"/>
            </w:pPr>
            <w:r>
              <w:t>ddosAttack</w:t>
            </w:r>
          </w:p>
        </w:tc>
        <w:tc>
          <w:tcPr>
            <w:tcW w:w="1688" w:type="dxa"/>
          </w:tcPr>
          <w:p w14:paraId="38BAFBA6" w14:textId="77777777" w:rsidR="00A10B25" w:rsidRDefault="00A10B25">
            <w:pPr>
              <w:pStyle w:val="TAL"/>
              <w:rPr>
                <w:lang w:eastAsia="zh-CN"/>
              </w:rPr>
            </w:pPr>
            <w:r>
              <w:rPr>
                <w:lang w:eastAsia="zh-CN"/>
              </w:rPr>
              <w:t>AddressList</w:t>
            </w:r>
          </w:p>
        </w:tc>
        <w:tc>
          <w:tcPr>
            <w:tcW w:w="426" w:type="dxa"/>
          </w:tcPr>
          <w:p w14:paraId="7854E013" w14:textId="77777777" w:rsidR="00A10B25" w:rsidRDefault="00A10B25">
            <w:pPr>
              <w:pStyle w:val="TAC"/>
            </w:pPr>
            <w:r>
              <w:t>C</w:t>
            </w:r>
          </w:p>
        </w:tc>
        <w:tc>
          <w:tcPr>
            <w:tcW w:w="1134" w:type="dxa"/>
          </w:tcPr>
          <w:p w14:paraId="6B2531C2" w14:textId="77777777" w:rsidR="00A10B25" w:rsidRDefault="00A10B25">
            <w:pPr>
              <w:pStyle w:val="TAL"/>
            </w:pPr>
            <w:r>
              <w:t>0..1</w:t>
            </w:r>
          </w:p>
        </w:tc>
        <w:tc>
          <w:tcPr>
            <w:tcW w:w="3131" w:type="dxa"/>
          </w:tcPr>
          <w:p w14:paraId="0CF2DF3C" w14:textId="77777777" w:rsidR="00A10B25" w:rsidRDefault="00A10B25">
            <w:pPr>
              <w:pStyle w:val="TAL"/>
              <w:rPr>
                <w:lang w:eastAsia="zh-CN"/>
              </w:rPr>
            </w:pPr>
            <w:r>
              <w:rPr>
                <w:lang w:eastAsia="zh-CN"/>
              </w:rPr>
              <w:t>Victim's address list.</w:t>
            </w:r>
          </w:p>
          <w:p w14:paraId="5C6AA8BB" w14:textId="77777777" w:rsidR="00A10B25" w:rsidRDefault="00A10B25">
            <w:pPr>
              <w:pStyle w:val="TAL"/>
              <w:rPr>
                <w:lang w:eastAsia="zh-CN"/>
              </w:rPr>
            </w:pPr>
            <w:r>
              <w:rPr>
                <w:lang w:eastAsia="zh-CN"/>
              </w:rPr>
              <w:t xml:space="preserve">It may only be present when </w:t>
            </w:r>
            <w:r>
              <w:t>the "excepId" within the Exception data sets to "SUSPICION_OF_DDOS_ATTACK".</w:t>
            </w:r>
          </w:p>
        </w:tc>
        <w:tc>
          <w:tcPr>
            <w:tcW w:w="1528" w:type="dxa"/>
          </w:tcPr>
          <w:p w14:paraId="02D80706" w14:textId="77777777" w:rsidR="00A10B25" w:rsidRDefault="00A10B25">
            <w:pPr>
              <w:keepNext/>
              <w:keepLines/>
              <w:spacing w:after="0"/>
              <w:rPr>
                <w:rFonts w:ascii="Arial" w:hAnsi="Arial" w:cs="Arial"/>
                <w:sz w:val="18"/>
                <w:szCs w:val="18"/>
              </w:rPr>
            </w:pPr>
          </w:p>
        </w:tc>
      </w:tr>
      <w:tr w:rsidR="00A10B25" w14:paraId="2614A904" w14:textId="77777777">
        <w:trPr>
          <w:jc w:val="center"/>
        </w:trPr>
        <w:tc>
          <w:tcPr>
            <w:tcW w:w="1696" w:type="dxa"/>
          </w:tcPr>
          <w:p w14:paraId="62E331BE" w14:textId="77777777" w:rsidR="00A10B25" w:rsidRDefault="00A10B25">
            <w:pPr>
              <w:pStyle w:val="TAL"/>
            </w:pPr>
            <w:r>
              <w:t>wrgDest</w:t>
            </w:r>
          </w:p>
        </w:tc>
        <w:tc>
          <w:tcPr>
            <w:tcW w:w="1688" w:type="dxa"/>
          </w:tcPr>
          <w:p w14:paraId="40F82E06" w14:textId="77777777" w:rsidR="00A10B25" w:rsidRDefault="00A10B25">
            <w:pPr>
              <w:pStyle w:val="TAL"/>
              <w:rPr>
                <w:lang w:eastAsia="zh-CN"/>
              </w:rPr>
            </w:pPr>
            <w:r>
              <w:rPr>
                <w:lang w:eastAsia="zh-CN"/>
              </w:rPr>
              <w:t>AddressList</w:t>
            </w:r>
          </w:p>
        </w:tc>
        <w:tc>
          <w:tcPr>
            <w:tcW w:w="426" w:type="dxa"/>
          </w:tcPr>
          <w:p w14:paraId="0C0A7A85" w14:textId="77777777" w:rsidR="00A10B25" w:rsidRDefault="00A10B25">
            <w:pPr>
              <w:pStyle w:val="TAC"/>
            </w:pPr>
            <w:r>
              <w:t>C</w:t>
            </w:r>
          </w:p>
        </w:tc>
        <w:tc>
          <w:tcPr>
            <w:tcW w:w="1134" w:type="dxa"/>
          </w:tcPr>
          <w:p w14:paraId="090AE7BB" w14:textId="77777777" w:rsidR="00A10B25" w:rsidRDefault="00A10B25">
            <w:pPr>
              <w:pStyle w:val="TAL"/>
            </w:pPr>
            <w:r>
              <w:t>0..1</w:t>
            </w:r>
          </w:p>
        </w:tc>
        <w:tc>
          <w:tcPr>
            <w:tcW w:w="3131" w:type="dxa"/>
          </w:tcPr>
          <w:p w14:paraId="0268B93E" w14:textId="77777777" w:rsidR="00A10B25" w:rsidRDefault="00A10B25">
            <w:pPr>
              <w:pStyle w:val="TAL"/>
              <w:rPr>
                <w:lang w:eastAsia="zh-CN"/>
              </w:rPr>
            </w:pPr>
            <w:r>
              <w:rPr>
                <w:lang w:eastAsia="zh-CN"/>
              </w:rPr>
              <w:t>Wrong destination address list.</w:t>
            </w:r>
          </w:p>
          <w:p w14:paraId="06973DDE" w14:textId="77777777" w:rsidR="00A10B25" w:rsidRDefault="00A10B25">
            <w:pPr>
              <w:pStyle w:val="TAL"/>
              <w:rPr>
                <w:lang w:eastAsia="zh-CN"/>
              </w:rPr>
            </w:pPr>
            <w:r>
              <w:rPr>
                <w:lang w:eastAsia="zh-CN"/>
              </w:rPr>
              <w:t xml:space="preserve">It may only be present when </w:t>
            </w:r>
            <w:r>
              <w:t>the "excepId" within the Exception data sets to "WRONG_DESTINATION_ADDRESS".</w:t>
            </w:r>
          </w:p>
        </w:tc>
        <w:tc>
          <w:tcPr>
            <w:tcW w:w="1528" w:type="dxa"/>
          </w:tcPr>
          <w:p w14:paraId="732D25EB" w14:textId="77777777" w:rsidR="00A10B25" w:rsidRDefault="00A10B25">
            <w:pPr>
              <w:keepNext/>
              <w:keepLines/>
              <w:spacing w:after="0"/>
              <w:rPr>
                <w:rFonts w:ascii="Arial" w:hAnsi="Arial" w:cs="Arial"/>
                <w:sz w:val="18"/>
                <w:szCs w:val="18"/>
              </w:rPr>
            </w:pPr>
          </w:p>
        </w:tc>
      </w:tr>
      <w:tr w:rsidR="00A10B25" w14:paraId="7EDC8630" w14:textId="77777777">
        <w:trPr>
          <w:jc w:val="center"/>
        </w:trPr>
        <w:tc>
          <w:tcPr>
            <w:tcW w:w="1696" w:type="dxa"/>
          </w:tcPr>
          <w:p w14:paraId="01A4C45E" w14:textId="77777777" w:rsidR="00A10B25" w:rsidRDefault="00A10B25">
            <w:pPr>
              <w:pStyle w:val="TAL"/>
            </w:pPr>
            <w:r>
              <w:t>c</w:t>
            </w:r>
            <w:r>
              <w:rPr>
                <w:lang w:eastAsia="zh-CN"/>
              </w:rPr>
              <w:t>ircums</w:t>
            </w:r>
          </w:p>
        </w:tc>
        <w:tc>
          <w:tcPr>
            <w:tcW w:w="1688" w:type="dxa"/>
          </w:tcPr>
          <w:p w14:paraId="290DE952" w14:textId="77777777" w:rsidR="00A10B25" w:rsidRDefault="00A10B25">
            <w:pPr>
              <w:pStyle w:val="TAL"/>
              <w:rPr>
                <w:lang w:eastAsia="zh-CN"/>
              </w:rPr>
            </w:pPr>
            <w:r>
              <w:rPr>
                <w:lang w:eastAsia="zh-CN"/>
              </w:rPr>
              <w:t>array(CircumstanceDescription)</w:t>
            </w:r>
          </w:p>
        </w:tc>
        <w:tc>
          <w:tcPr>
            <w:tcW w:w="426" w:type="dxa"/>
          </w:tcPr>
          <w:p w14:paraId="15BCB7D9" w14:textId="77777777" w:rsidR="00A10B25" w:rsidRDefault="00A10B25">
            <w:pPr>
              <w:pStyle w:val="TAC"/>
            </w:pPr>
            <w:r>
              <w:t>C</w:t>
            </w:r>
          </w:p>
        </w:tc>
        <w:tc>
          <w:tcPr>
            <w:tcW w:w="1134" w:type="dxa"/>
          </w:tcPr>
          <w:p w14:paraId="03E5C2A2" w14:textId="77777777" w:rsidR="00A10B25" w:rsidRDefault="00A10B25">
            <w:pPr>
              <w:pStyle w:val="TAL"/>
            </w:pPr>
            <w:r>
              <w:t>1..N</w:t>
            </w:r>
          </w:p>
        </w:tc>
        <w:tc>
          <w:tcPr>
            <w:tcW w:w="3131" w:type="dxa"/>
          </w:tcPr>
          <w:p w14:paraId="206884ED" w14:textId="77777777" w:rsidR="00A10B25" w:rsidRDefault="00A10B25">
            <w:pPr>
              <w:pStyle w:val="TAL"/>
              <w:rPr>
                <w:lang w:eastAsia="zh-CN"/>
              </w:rPr>
            </w:pPr>
            <w:r>
              <w:rPr>
                <w:lang w:eastAsia="zh-CN"/>
              </w:rPr>
              <w:t>The description of circumstances.</w:t>
            </w:r>
          </w:p>
          <w:p w14:paraId="64C03F8A" w14:textId="77777777" w:rsidR="00A10B25" w:rsidRDefault="00A10B25">
            <w:pPr>
              <w:pStyle w:val="TAL"/>
              <w:rPr>
                <w:lang w:eastAsia="zh-CN"/>
              </w:rPr>
            </w:pPr>
            <w:r>
              <w:rPr>
                <w:lang w:eastAsia="zh-CN"/>
              </w:rPr>
              <w:t xml:space="preserve">It may only be present when </w:t>
            </w:r>
            <w:r>
              <w:t>the "excepId" within the Exception data sets to "TOO_FREQUENT_SERVICE_ACCESS", "</w:t>
            </w:r>
            <w:r>
              <w:rPr>
                <w:rFonts w:hint="eastAsia"/>
              </w:rPr>
              <w:t>UNEXPECTED</w:t>
            </w:r>
            <w:r>
              <w:t>_RADIO_LINK_FAILURES" or "PING_PONG_ACROSS_CELLS".</w:t>
            </w:r>
          </w:p>
        </w:tc>
        <w:tc>
          <w:tcPr>
            <w:tcW w:w="1528" w:type="dxa"/>
          </w:tcPr>
          <w:p w14:paraId="3E52859C" w14:textId="77777777" w:rsidR="00A10B25" w:rsidRDefault="00A10B25">
            <w:pPr>
              <w:keepNext/>
              <w:keepLines/>
              <w:spacing w:after="0"/>
              <w:rPr>
                <w:rFonts w:ascii="Arial" w:hAnsi="Arial" w:cs="Arial"/>
                <w:sz w:val="18"/>
                <w:szCs w:val="18"/>
              </w:rPr>
            </w:pPr>
          </w:p>
        </w:tc>
      </w:tr>
    </w:tbl>
    <w:p w14:paraId="6D14DB71" w14:textId="77777777" w:rsidR="00A10B25" w:rsidRDefault="00A10B25">
      <w:pPr>
        <w:rPr>
          <w:lang w:val="en-US" w:eastAsia="zh-CN"/>
        </w:rPr>
      </w:pPr>
    </w:p>
    <w:p w14:paraId="54336F91" w14:textId="77777777" w:rsidR="00A10B25" w:rsidRDefault="00A10B25">
      <w:pPr>
        <w:pStyle w:val="5"/>
      </w:pPr>
      <w:bookmarkStart w:id="6567" w:name="_Toc66231821"/>
      <w:bookmarkStart w:id="6568" w:name="_Toc34266310"/>
      <w:bookmarkStart w:id="6569" w:name="_Toc88667606"/>
      <w:bookmarkStart w:id="6570" w:name="_Toc90655891"/>
      <w:bookmarkStart w:id="6571" w:name="_Toc43563523"/>
      <w:bookmarkStart w:id="6572" w:name="_Toc120702329"/>
      <w:bookmarkStart w:id="6573" w:name="_Toc68168982"/>
      <w:bookmarkStart w:id="6574" w:name="_Toc112951150"/>
      <w:bookmarkStart w:id="6575" w:name="_Toc36102481"/>
      <w:bookmarkStart w:id="6576" w:name="_Toc101244435"/>
      <w:bookmarkStart w:id="6577" w:name="_Toc104539028"/>
      <w:bookmarkStart w:id="6578" w:name="_Toc56640985"/>
      <w:bookmarkStart w:id="6579" w:name="_Toc70550649"/>
      <w:bookmarkStart w:id="6580" w:name="_Toc83233095"/>
      <w:bookmarkStart w:id="6581" w:name="_Toc94064274"/>
      <w:bookmarkStart w:id="6582" w:name="_Toc136562396"/>
      <w:bookmarkStart w:id="6583" w:name="_Toc114133829"/>
      <w:bookmarkStart w:id="6584" w:name="_Toc85557104"/>
      <w:bookmarkStart w:id="6585" w:name="_Toc51762918"/>
      <w:bookmarkStart w:id="6586" w:name="_Toc113031690"/>
      <w:bookmarkStart w:id="6587" w:name="_Toc59017953"/>
      <w:bookmarkStart w:id="6588" w:name="_Toc98233659"/>
      <w:bookmarkStart w:id="6589" w:name="_Toc85553005"/>
      <w:bookmarkStart w:id="6590" w:name="_Toc45134066"/>
      <w:bookmarkStart w:id="6591" w:name="_Toc148522621"/>
      <w:bookmarkStart w:id="6592" w:name="_Toc145705717"/>
      <w:bookmarkStart w:id="6593" w:name="_Toc138754230"/>
      <w:bookmarkStart w:id="6594" w:name="_Toc50031998"/>
      <w:bookmarkStart w:id="6595" w:name="_Toc164920801"/>
      <w:bookmarkStart w:id="6596" w:name="_Toc170120343"/>
      <w:bookmarkStart w:id="6597" w:name="_Toc175858588"/>
      <w:bookmarkStart w:id="6598" w:name="_Toc175859661"/>
      <w:bookmarkStart w:id="6599" w:name="_Toc180605951"/>
      <w:bookmarkStart w:id="6600" w:name="_Toc185517205"/>
      <w:bookmarkStart w:id="6601" w:name="_Toc191576256"/>
      <w:bookmarkStart w:id="6602" w:name="_Toc191576996"/>
      <w:bookmarkStart w:id="6603" w:name="_Toc192880066"/>
      <w:bookmarkStart w:id="6604" w:name="_Toc195814949"/>
      <w:bookmarkStart w:id="6605" w:name="_Toc199452916"/>
      <w:r>
        <w:t>5.1.6.2.27</w:t>
      </w:r>
      <w:r>
        <w:tab/>
        <w:t>Type IpEthFlowDescription</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544BEEB5" w14:textId="77777777" w:rsidR="00A10B25" w:rsidRDefault="00A10B25">
      <w:pPr>
        <w:pStyle w:val="TH"/>
      </w:pPr>
      <w:r>
        <w:t>Table 5.1.6.2.27-1: Definition of type FlowDescription</w:t>
      </w:r>
    </w:p>
    <w:tbl>
      <w:tblPr>
        <w:tblW w:w="960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3131"/>
        <w:gridCol w:w="1528"/>
      </w:tblGrid>
      <w:tr w:rsidR="00A10B25" w14:paraId="14BDC4C2" w14:textId="77777777">
        <w:trPr>
          <w:jc w:val="center"/>
        </w:trPr>
        <w:tc>
          <w:tcPr>
            <w:tcW w:w="1825" w:type="dxa"/>
            <w:shd w:val="clear" w:color="auto" w:fill="C0C0C0"/>
          </w:tcPr>
          <w:p w14:paraId="00117837" w14:textId="77777777" w:rsidR="00A10B25" w:rsidRDefault="00A10B25">
            <w:pPr>
              <w:pStyle w:val="TAH"/>
            </w:pPr>
            <w:r>
              <w:t>Attribute name</w:t>
            </w:r>
          </w:p>
        </w:tc>
        <w:tc>
          <w:tcPr>
            <w:tcW w:w="1559" w:type="dxa"/>
            <w:shd w:val="clear" w:color="auto" w:fill="C0C0C0"/>
          </w:tcPr>
          <w:p w14:paraId="393D7D05" w14:textId="77777777" w:rsidR="00A10B25" w:rsidRDefault="00A10B25">
            <w:pPr>
              <w:pStyle w:val="TAH"/>
            </w:pPr>
            <w:r>
              <w:t>Data type</w:t>
            </w:r>
          </w:p>
        </w:tc>
        <w:tc>
          <w:tcPr>
            <w:tcW w:w="426" w:type="dxa"/>
            <w:shd w:val="clear" w:color="auto" w:fill="C0C0C0"/>
          </w:tcPr>
          <w:p w14:paraId="06F1F4A6" w14:textId="77777777" w:rsidR="00A10B25" w:rsidRDefault="00A10B25">
            <w:pPr>
              <w:pStyle w:val="TAH"/>
            </w:pPr>
            <w:r>
              <w:t>P</w:t>
            </w:r>
          </w:p>
        </w:tc>
        <w:tc>
          <w:tcPr>
            <w:tcW w:w="1134" w:type="dxa"/>
            <w:shd w:val="clear" w:color="auto" w:fill="C0C0C0"/>
          </w:tcPr>
          <w:p w14:paraId="0B433E87" w14:textId="77777777" w:rsidR="00A10B25" w:rsidRDefault="00A10B25">
            <w:pPr>
              <w:pStyle w:val="TAH"/>
            </w:pPr>
            <w:r>
              <w:t>Cardinality</w:t>
            </w:r>
          </w:p>
        </w:tc>
        <w:tc>
          <w:tcPr>
            <w:tcW w:w="3131" w:type="dxa"/>
            <w:shd w:val="clear" w:color="auto" w:fill="C0C0C0"/>
          </w:tcPr>
          <w:p w14:paraId="2DC279B1" w14:textId="77777777" w:rsidR="00A10B25" w:rsidRDefault="00A10B25">
            <w:pPr>
              <w:pStyle w:val="TAH"/>
            </w:pPr>
            <w:r>
              <w:t>Description</w:t>
            </w:r>
          </w:p>
        </w:tc>
        <w:tc>
          <w:tcPr>
            <w:tcW w:w="1528" w:type="dxa"/>
            <w:shd w:val="clear" w:color="auto" w:fill="C0C0C0"/>
          </w:tcPr>
          <w:p w14:paraId="18C33B11" w14:textId="77777777" w:rsidR="00A10B25" w:rsidRDefault="00A10B25">
            <w:pPr>
              <w:pStyle w:val="TAH"/>
            </w:pPr>
            <w:r>
              <w:t>Applicability</w:t>
            </w:r>
          </w:p>
        </w:tc>
      </w:tr>
      <w:tr w:rsidR="00A10B25" w14:paraId="2B67C6B8" w14:textId="77777777">
        <w:trPr>
          <w:jc w:val="center"/>
        </w:trPr>
        <w:tc>
          <w:tcPr>
            <w:tcW w:w="1825" w:type="dxa"/>
          </w:tcPr>
          <w:p w14:paraId="4F320830" w14:textId="77777777" w:rsidR="00A10B25" w:rsidRDefault="00A10B25">
            <w:pPr>
              <w:pStyle w:val="TAL"/>
            </w:pPr>
            <w:r>
              <w:t>ipTrafficFilter</w:t>
            </w:r>
          </w:p>
        </w:tc>
        <w:tc>
          <w:tcPr>
            <w:tcW w:w="1559" w:type="dxa"/>
          </w:tcPr>
          <w:p w14:paraId="4D70FEBD" w14:textId="77777777" w:rsidR="00A10B25" w:rsidRDefault="00A10B25">
            <w:pPr>
              <w:pStyle w:val="TAL"/>
            </w:pPr>
            <w:r>
              <w:rPr>
                <w:lang w:eastAsia="zh-CN"/>
              </w:rPr>
              <w:t>FlowDescription</w:t>
            </w:r>
          </w:p>
        </w:tc>
        <w:tc>
          <w:tcPr>
            <w:tcW w:w="426" w:type="dxa"/>
          </w:tcPr>
          <w:p w14:paraId="02E988AF" w14:textId="77777777" w:rsidR="00A10B25" w:rsidRDefault="00A10B25">
            <w:pPr>
              <w:pStyle w:val="TAC"/>
            </w:pPr>
            <w:r>
              <w:t>C</w:t>
            </w:r>
          </w:p>
        </w:tc>
        <w:tc>
          <w:tcPr>
            <w:tcW w:w="1134" w:type="dxa"/>
          </w:tcPr>
          <w:p w14:paraId="542D43E4" w14:textId="77777777" w:rsidR="00A10B25" w:rsidRDefault="00A10B25">
            <w:pPr>
              <w:pStyle w:val="TAL"/>
              <w:rPr>
                <w:lang w:eastAsia="zh-CN"/>
              </w:rPr>
            </w:pPr>
            <w:r>
              <w:t>0..1</w:t>
            </w:r>
          </w:p>
        </w:tc>
        <w:tc>
          <w:tcPr>
            <w:tcW w:w="3131" w:type="dxa"/>
          </w:tcPr>
          <w:p w14:paraId="67926303" w14:textId="77777777" w:rsidR="00A10B25" w:rsidRDefault="00A10B25">
            <w:pPr>
              <w:pStyle w:val="TAL"/>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(NOTE)</w:t>
            </w:r>
          </w:p>
        </w:tc>
        <w:tc>
          <w:tcPr>
            <w:tcW w:w="1528" w:type="dxa"/>
          </w:tcPr>
          <w:p w14:paraId="75ED4B1E" w14:textId="77777777" w:rsidR="00A10B25" w:rsidRDefault="00A10B25">
            <w:pPr>
              <w:keepNext/>
              <w:keepLines/>
              <w:spacing w:after="0"/>
              <w:rPr>
                <w:rFonts w:ascii="Arial" w:hAnsi="Arial" w:cs="Arial"/>
                <w:sz w:val="18"/>
                <w:szCs w:val="18"/>
              </w:rPr>
            </w:pPr>
          </w:p>
        </w:tc>
      </w:tr>
      <w:tr w:rsidR="00A10B25" w14:paraId="5250FA01" w14:textId="77777777">
        <w:trPr>
          <w:jc w:val="center"/>
        </w:trPr>
        <w:tc>
          <w:tcPr>
            <w:tcW w:w="1825" w:type="dxa"/>
          </w:tcPr>
          <w:p w14:paraId="473F4E65" w14:textId="77777777" w:rsidR="00A10B25" w:rsidRDefault="00A10B25">
            <w:pPr>
              <w:pStyle w:val="TAL"/>
            </w:pPr>
            <w:r>
              <w:rPr>
                <w:lang w:eastAsia="zh-CN"/>
              </w:rPr>
              <w:t>ethTrafficFilter</w:t>
            </w:r>
          </w:p>
        </w:tc>
        <w:tc>
          <w:tcPr>
            <w:tcW w:w="1559" w:type="dxa"/>
          </w:tcPr>
          <w:p w14:paraId="62AF5274" w14:textId="77777777" w:rsidR="00A10B25" w:rsidRDefault="00A10B25">
            <w:pPr>
              <w:pStyle w:val="TAL"/>
            </w:pPr>
            <w:r>
              <w:t>EthFlowDescription</w:t>
            </w:r>
          </w:p>
        </w:tc>
        <w:tc>
          <w:tcPr>
            <w:tcW w:w="426" w:type="dxa"/>
          </w:tcPr>
          <w:p w14:paraId="7AFB1D34" w14:textId="77777777" w:rsidR="00A10B25" w:rsidRDefault="00A10B25">
            <w:pPr>
              <w:pStyle w:val="TAC"/>
            </w:pPr>
            <w:r>
              <w:t>C</w:t>
            </w:r>
          </w:p>
        </w:tc>
        <w:tc>
          <w:tcPr>
            <w:tcW w:w="1134" w:type="dxa"/>
          </w:tcPr>
          <w:p w14:paraId="0E9C57C5" w14:textId="77777777" w:rsidR="00A10B25" w:rsidRDefault="00A10B25">
            <w:pPr>
              <w:pStyle w:val="TAL"/>
              <w:rPr>
                <w:lang w:eastAsia="zh-CN"/>
              </w:rPr>
            </w:pPr>
            <w:r>
              <w:t>0..1</w:t>
            </w:r>
          </w:p>
        </w:tc>
        <w:tc>
          <w:tcPr>
            <w:tcW w:w="3131" w:type="dxa"/>
          </w:tcPr>
          <w:p w14:paraId="1EDFC80E" w14:textId="77777777" w:rsidR="00A10B25" w:rsidRDefault="00A10B25">
            <w:pPr>
              <w:pStyle w:val="TAL"/>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(NOTE)</w:t>
            </w:r>
          </w:p>
        </w:tc>
        <w:tc>
          <w:tcPr>
            <w:tcW w:w="1528" w:type="dxa"/>
          </w:tcPr>
          <w:p w14:paraId="0A0A905D" w14:textId="77777777" w:rsidR="00A10B25" w:rsidRDefault="00A10B25">
            <w:pPr>
              <w:keepNext/>
              <w:keepLines/>
              <w:spacing w:after="0"/>
              <w:rPr>
                <w:rFonts w:ascii="Arial" w:hAnsi="Arial" w:cs="Arial"/>
                <w:sz w:val="18"/>
                <w:szCs w:val="18"/>
              </w:rPr>
            </w:pPr>
          </w:p>
        </w:tc>
      </w:tr>
      <w:tr w:rsidR="00A10B25" w14:paraId="4DBA3DA3" w14:textId="77777777">
        <w:trPr>
          <w:jc w:val="center"/>
        </w:trPr>
        <w:tc>
          <w:tcPr>
            <w:tcW w:w="9603" w:type="dxa"/>
            <w:gridSpan w:val="6"/>
          </w:tcPr>
          <w:p w14:paraId="0793D760" w14:textId="77777777" w:rsidR="00A10B25" w:rsidRDefault="00A10B25">
            <w:pPr>
              <w:pStyle w:val="TAN"/>
              <w:rPr>
                <w:rFonts w:cs="Arial"/>
                <w:szCs w:val="18"/>
              </w:rPr>
            </w:pPr>
            <w:r>
              <w:rPr>
                <w:lang w:eastAsia="zh-CN"/>
              </w:rPr>
              <w:t>NOTE:</w:t>
            </w:r>
            <w:r>
              <w:rPr>
                <w:lang w:eastAsia="zh-CN"/>
              </w:rPr>
              <w:tab/>
              <w:t>Either "ipTrafficFilter" or "ethTrafficFilter" shall be provided.</w:t>
            </w:r>
          </w:p>
        </w:tc>
      </w:tr>
    </w:tbl>
    <w:p w14:paraId="7CDB8628" w14:textId="77777777" w:rsidR="00A10B25" w:rsidRDefault="00A10B25">
      <w:pPr>
        <w:rPr>
          <w:lang w:val="en-US" w:eastAsia="zh-CN"/>
        </w:rPr>
      </w:pPr>
    </w:p>
    <w:p w14:paraId="0CB6949C" w14:textId="77777777" w:rsidR="00A10B25" w:rsidRDefault="00A10B25">
      <w:pPr>
        <w:pStyle w:val="5"/>
      </w:pPr>
      <w:bookmarkStart w:id="6606" w:name="_Toc70550650"/>
      <w:bookmarkStart w:id="6607" w:name="_Toc94064275"/>
      <w:bookmarkStart w:id="6608" w:name="_Toc90655892"/>
      <w:bookmarkStart w:id="6609" w:name="_Toc85557105"/>
      <w:bookmarkStart w:id="6610" w:name="_Toc66231822"/>
      <w:bookmarkStart w:id="6611" w:name="_Toc45134067"/>
      <w:bookmarkStart w:id="6612" w:name="_Toc34266311"/>
      <w:bookmarkStart w:id="6613" w:name="_Toc83233096"/>
      <w:bookmarkStart w:id="6614" w:name="_Toc104539029"/>
      <w:bookmarkStart w:id="6615" w:name="_Toc113031691"/>
      <w:bookmarkStart w:id="6616" w:name="_Toc50031999"/>
      <w:bookmarkStart w:id="6617" w:name="_Toc85553006"/>
      <w:bookmarkStart w:id="6618" w:name="_Toc88667607"/>
      <w:bookmarkStart w:id="6619" w:name="_Toc43563524"/>
      <w:bookmarkStart w:id="6620" w:name="_Toc114133830"/>
      <w:bookmarkStart w:id="6621" w:name="_Toc68168983"/>
      <w:bookmarkStart w:id="6622" w:name="_Toc112951151"/>
      <w:bookmarkStart w:id="6623" w:name="_Toc120702330"/>
      <w:bookmarkStart w:id="6624" w:name="_Toc36102482"/>
      <w:bookmarkStart w:id="6625" w:name="_Toc138754231"/>
      <w:bookmarkStart w:id="6626" w:name="_Toc145705718"/>
      <w:bookmarkStart w:id="6627" w:name="_Toc59017954"/>
      <w:bookmarkStart w:id="6628" w:name="_Toc51762919"/>
      <w:bookmarkStart w:id="6629" w:name="_Toc148522622"/>
      <w:bookmarkStart w:id="6630" w:name="_Toc98233660"/>
      <w:bookmarkStart w:id="6631" w:name="_Toc56640986"/>
      <w:bookmarkStart w:id="6632" w:name="_Toc101244436"/>
      <w:bookmarkStart w:id="6633" w:name="_Toc136562397"/>
      <w:bookmarkStart w:id="6634" w:name="_Toc164920802"/>
      <w:bookmarkStart w:id="6635" w:name="_Toc170120344"/>
      <w:bookmarkStart w:id="6636" w:name="_Toc175858589"/>
      <w:bookmarkStart w:id="6637" w:name="_Toc175859662"/>
      <w:bookmarkStart w:id="6638" w:name="_Toc180605952"/>
      <w:bookmarkStart w:id="6639" w:name="_Toc185517206"/>
      <w:bookmarkStart w:id="6640" w:name="_Toc191576257"/>
      <w:bookmarkStart w:id="6641" w:name="_Toc191576997"/>
      <w:bookmarkStart w:id="6642" w:name="_Toc192880067"/>
      <w:bookmarkStart w:id="6643" w:name="_Toc195814950"/>
      <w:bookmarkStart w:id="6644" w:name="_Toc199452917"/>
      <w:r>
        <w:lastRenderedPageBreak/>
        <w:t>5.1.6.2.28</w:t>
      </w:r>
      <w:r>
        <w:tab/>
        <w:t xml:space="preserve">Type </w:t>
      </w:r>
      <w:r>
        <w:rPr>
          <w:lang w:eastAsia="zh-CN"/>
        </w:rPr>
        <w:t>AddressList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536FE3B0" w14:textId="77777777" w:rsidR="00A10B25" w:rsidRDefault="00A10B25">
      <w:pPr>
        <w:pStyle w:val="TH"/>
      </w:pPr>
      <w:r>
        <w:t xml:space="preserve">Table 5.1.6.2.28-1: Definition of type </w:t>
      </w:r>
      <w:r>
        <w:rPr>
          <w:lang w:eastAsia="zh-CN"/>
        </w:rPr>
        <w:t>AddressList</w:t>
      </w:r>
    </w:p>
    <w:tbl>
      <w:tblPr>
        <w:tblW w:w="960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3131"/>
        <w:gridCol w:w="1528"/>
      </w:tblGrid>
      <w:tr w:rsidR="00A10B25" w14:paraId="063EA8AF" w14:textId="77777777">
        <w:trPr>
          <w:jc w:val="center"/>
        </w:trPr>
        <w:tc>
          <w:tcPr>
            <w:tcW w:w="1825" w:type="dxa"/>
            <w:shd w:val="clear" w:color="auto" w:fill="C0C0C0"/>
          </w:tcPr>
          <w:p w14:paraId="067EA790" w14:textId="77777777" w:rsidR="00A10B25" w:rsidRDefault="00A10B25">
            <w:pPr>
              <w:pStyle w:val="TAH"/>
            </w:pPr>
            <w:r>
              <w:t>Attribute name</w:t>
            </w:r>
          </w:p>
        </w:tc>
        <w:tc>
          <w:tcPr>
            <w:tcW w:w="1559" w:type="dxa"/>
            <w:shd w:val="clear" w:color="auto" w:fill="C0C0C0"/>
          </w:tcPr>
          <w:p w14:paraId="43EF03DF" w14:textId="77777777" w:rsidR="00A10B25" w:rsidRDefault="00A10B25">
            <w:pPr>
              <w:pStyle w:val="TAH"/>
            </w:pPr>
            <w:r>
              <w:t>Data type</w:t>
            </w:r>
          </w:p>
        </w:tc>
        <w:tc>
          <w:tcPr>
            <w:tcW w:w="426" w:type="dxa"/>
            <w:shd w:val="clear" w:color="auto" w:fill="C0C0C0"/>
          </w:tcPr>
          <w:p w14:paraId="43746392" w14:textId="77777777" w:rsidR="00A10B25" w:rsidRDefault="00A10B25">
            <w:pPr>
              <w:pStyle w:val="TAH"/>
            </w:pPr>
            <w:r>
              <w:t>P</w:t>
            </w:r>
          </w:p>
        </w:tc>
        <w:tc>
          <w:tcPr>
            <w:tcW w:w="1134" w:type="dxa"/>
            <w:shd w:val="clear" w:color="auto" w:fill="C0C0C0"/>
          </w:tcPr>
          <w:p w14:paraId="631C9E8B" w14:textId="77777777" w:rsidR="00A10B25" w:rsidRDefault="00A10B25">
            <w:pPr>
              <w:pStyle w:val="TAH"/>
            </w:pPr>
            <w:r>
              <w:t>Cardinality</w:t>
            </w:r>
          </w:p>
        </w:tc>
        <w:tc>
          <w:tcPr>
            <w:tcW w:w="3131" w:type="dxa"/>
            <w:shd w:val="clear" w:color="auto" w:fill="C0C0C0"/>
          </w:tcPr>
          <w:p w14:paraId="5BFB37C6" w14:textId="77777777" w:rsidR="00A10B25" w:rsidRDefault="00A10B25">
            <w:pPr>
              <w:pStyle w:val="TAH"/>
            </w:pPr>
            <w:r>
              <w:t>Description</w:t>
            </w:r>
          </w:p>
        </w:tc>
        <w:tc>
          <w:tcPr>
            <w:tcW w:w="1528" w:type="dxa"/>
            <w:shd w:val="clear" w:color="auto" w:fill="C0C0C0"/>
          </w:tcPr>
          <w:p w14:paraId="4F979BBE" w14:textId="77777777" w:rsidR="00A10B25" w:rsidRDefault="00A10B25">
            <w:pPr>
              <w:pStyle w:val="TAH"/>
            </w:pPr>
            <w:r>
              <w:t>Applicability</w:t>
            </w:r>
          </w:p>
        </w:tc>
      </w:tr>
      <w:tr w:rsidR="00A10B25" w14:paraId="33191F8A" w14:textId="77777777">
        <w:trPr>
          <w:jc w:val="center"/>
        </w:trPr>
        <w:tc>
          <w:tcPr>
            <w:tcW w:w="1825" w:type="dxa"/>
          </w:tcPr>
          <w:p w14:paraId="2CDA0131" w14:textId="77777777" w:rsidR="00A10B25" w:rsidRDefault="00A10B25">
            <w:pPr>
              <w:pStyle w:val="TAL"/>
            </w:pPr>
            <w:r>
              <w:t>ipv4Addrs</w:t>
            </w:r>
          </w:p>
        </w:tc>
        <w:tc>
          <w:tcPr>
            <w:tcW w:w="1559" w:type="dxa"/>
          </w:tcPr>
          <w:p w14:paraId="426C7072" w14:textId="77777777" w:rsidR="00A10B25" w:rsidRDefault="00A10B25">
            <w:pPr>
              <w:pStyle w:val="TAL"/>
            </w:pPr>
            <w:r>
              <w:t>array(Ipv4Addr)</w:t>
            </w:r>
          </w:p>
        </w:tc>
        <w:tc>
          <w:tcPr>
            <w:tcW w:w="426" w:type="dxa"/>
          </w:tcPr>
          <w:p w14:paraId="55228F5E" w14:textId="77777777" w:rsidR="00A10B25" w:rsidRDefault="00A10B25">
            <w:pPr>
              <w:pStyle w:val="TAC"/>
            </w:pPr>
            <w:r>
              <w:t>O</w:t>
            </w:r>
          </w:p>
        </w:tc>
        <w:tc>
          <w:tcPr>
            <w:tcW w:w="1134" w:type="dxa"/>
          </w:tcPr>
          <w:p w14:paraId="29E2EDB4" w14:textId="77777777" w:rsidR="00A10B25" w:rsidRDefault="00A10B25">
            <w:pPr>
              <w:pStyle w:val="TAL"/>
              <w:rPr>
                <w:lang w:eastAsia="zh-CN"/>
              </w:rPr>
            </w:pPr>
            <w:r>
              <w:rPr>
                <w:lang w:eastAsia="zh-CN"/>
              </w:rPr>
              <w:t>1..N</w:t>
            </w:r>
          </w:p>
        </w:tc>
        <w:tc>
          <w:tcPr>
            <w:tcW w:w="3131" w:type="dxa"/>
          </w:tcPr>
          <w:p w14:paraId="01C5E318" w14:textId="77777777" w:rsidR="00A10B25" w:rsidRDefault="00A10B25">
            <w:pPr>
              <w:pStyle w:val="TAL"/>
            </w:pPr>
            <w:r>
              <w:t>Each element identifies an IPv4 address.</w:t>
            </w:r>
          </w:p>
        </w:tc>
        <w:tc>
          <w:tcPr>
            <w:tcW w:w="1528" w:type="dxa"/>
          </w:tcPr>
          <w:p w14:paraId="1FA5B4E3" w14:textId="77777777" w:rsidR="00A10B25" w:rsidRDefault="00A10B25">
            <w:pPr>
              <w:keepNext/>
              <w:keepLines/>
              <w:spacing w:after="0"/>
              <w:rPr>
                <w:rFonts w:ascii="Arial" w:hAnsi="Arial" w:cs="Arial"/>
                <w:sz w:val="18"/>
                <w:szCs w:val="18"/>
              </w:rPr>
            </w:pPr>
          </w:p>
        </w:tc>
      </w:tr>
      <w:tr w:rsidR="00A10B25" w14:paraId="08F1B2E8" w14:textId="77777777">
        <w:trPr>
          <w:jc w:val="center"/>
        </w:trPr>
        <w:tc>
          <w:tcPr>
            <w:tcW w:w="1825" w:type="dxa"/>
          </w:tcPr>
          <w:p w14:paraId="65DBCF04" w14:textId="77777777" w:rsidR="00A10B25" w:rsidRDefault="00A10B25">
            <w:pPr>
              <w:pStyle w:val="TAL"/>
            </w:pPr>
            <w:r>
              <w:t>ipv6Addrs</w:t>
            </w:r>
          </w:p>
        </w:tc>
        <w:tc>
          <w:tcPr>
            <w:tcW w:w="1559" w:type="dxa"/>
          </w:tcPr>
          <w:p w14:paraId="3CA1BD25" w14:textId="77777777" w:rsidR="00A10B25" w:rsidRDefault="00A10B25">
            <w:pPr>
              <w:pStyle w:val="TAL"/>
            </w:pPr>
            <w:r>
              <w:t>array(Ipv6Addr)</w:t>
            </w:r>
          </w:p>
        </w:tc>
        <w:tc>
          <w:tcPr>
            <w:tcW w:w="426" w:type="dxa"/>
          </w:tcPr>
          <w:p w14:paraId="23E2157A" w14:textId="77777777" w:rsidR="00A10B25" w:rsidRDefault="00A10B25">
            <w:pPr>
              <w:pStyle w:val="TAC"/>
            </w:pPr>
            <w:r>
              <w:t>O</w:t>
            </w:r>
          </w:p>
        </w:tc>
        <w:tc>
          <w:tcPr>
            <w:tcW w:w="1134" w:type="dxa"/>
          </w:tcPr>
          <w:p w14:paraId="335EA56A" w14:textId="77777777" w:rsidR="00A10B25" w:rsidRDefault="00A10B25">
            <w:pPr>
              <w:pStyle w:val="TAL"/>
              <w:rPr>
                <w:lang w:eastAsia="zh-CN"/>
              </w:rPr>
            </w:pPr>
            <w:r>
              <w:rPr>
                <w:lang w:eastAsia="zh-CN"/>
              </w:rPr>
              <w:t>1..N</w:t>
            </w:r>
          </w:p>
        </w:tc>
        <w:tc>
          <w:tcPr>
            <w:tcW w:w="3131" w:type="dxa"/>
          </w:tcPr>
          <w:p w14:paraId="50FCA0E8" w14:textId="77777777" w:rsidR="00A10B25" w:rsidRDefault="00A10B25">
            <w:pPr>
              <w:pStyle w:val="TAL"/>
            </w:pPr>
            <w:r>
              <w:t>Each element identifies an IPv6 address.</w:t>
            </w:r>
          </w:p>
        </w:tc>
        <w:tc>
          <w:tcPr>
            <w:tcW w:w="1528" w:type="dxa"/>
          </w:tcPr>
          <w:p w14:paraId="06B5D67A" w14:textId="77777777" w:rsidR="00A10B25" w:rsidRDefault="00A10B25">
            <w:pPr>
              <w:keepNext/>
              <w:keepLines/>
              <w:spacing w:after="0"/>
              <w:rPr>
                <w:rFonts w:ascii="Arial" w:hAnsi="Arial" w:cs="Arial"/>
                <w:sz w:val="18"/>
                <w:szCs w:val="18"/>
              </w:rPr>
            </w:pPr>
          </w:p>
        </w:tc>
      </w:tr>
      <w:tr w:rsidR="00A10B25" w14:paraId="4BB0FC1B" w14:textId="77777777">
        <w:trPr>
          <w:jc w:val="center"/>
        </w:trPr>
        <w:tc>
          <w:tcPr>
            <w:tcW w:w="9603" w:type="dxa"/>
            <w:gridSpan w:val="6"/>
          </w:tcPr>
          <w:p w14:paraId="3B6924AE" w14:textId="77777777" w:rsidR="00A10B25" w:rsidRDefault="00A10B25">
            <w:pPr>
              <w:pStyle w:val="TAN"/>
              <w:rPr>
                <w:rFonts w:cs="Arial"/>
                <w:szCs w:val="18"/>
              </w:rPr>
            </w:pPr>
            <w:r>
              <w:rPr>
                <w:lang w:eastAsia="zh-CN"/>
              </w:rPr>
              <w:t>NOTE:</w:t>
            </w:r>
            <w:r>
              <w:rPr>
                <w:lang w:eastAsia="zh-CN"/>
              </w:rPr>
              <w:tab/>
              <w:t>At least one of "</w:t>
            </w:r>
            <w:r>
              <w:t>ipv4Addrs</w:t>
            </w:r>
            <w:r>
              <w:rPr>
                <w:lang w:eastAsia="zh-CN"/>
              </w:rPr>
              <w:t>" or "</w:t>
            </w:r>
            <w:r>
              <w:t>ipv6Addrs</w:t>
            </w:r>
            <w:r>
              <w:rPr>
                <w:lang w:eastAsia="zh-CN"/>
              </w:rPr>
              <w:t>" shall be provided.</w:t>
            </w:r>
          </w:p>
        </w:tc>
      </w:tr>
    </w:tbl>
    <w:p w14:paraId="5FC469EE" w14:textId="77777777" w:rsidR="00A10B25" w:rsidRDefault="00A10B25">
      <w:pPr>
        <w:rPr>
          <w:lang w:val="en-US" w:eastAsia="zh-CN"/>
        </w:rPr>
      </w:pPr>
    </w:p>
    <w:p w14:paraId="0D20AC4D" w14:textId="77777777" w:rsidR="00A10B25" w:rsidRDefault="00A10B25">
      <w:pPr>
        <w:pStyle w:val="5"/>
      </w:pPr>
      <w:bookmarkStart w:id="6645" w:name="_Toc56640987"/>
      <w:bookmarkStart w:id="6646" w:name="_Toc90655893"/>
      <w:bookmarkStart w:id="6647" w:name="_Toc59017955"/>
      <w:bookmarkStart w:id="6648" w:name="_Toc34266312"/>
      <w:bookmarkStart w:id="6649" w:name="_Toc94064276"/>
      <w:bookmarkStart w:id="6650" w:name="_Toc88667608"/>
      <w:bookmarkStart w:id="6651" w:name="_Toc45134068"/>
      <w:bookmarkStart w:id="6652" w:name="_Toc83233097"/>
      <w:bookmarkStart w:id="6653" w:name="_Toc136562398"/>
      <w:bookmarkStart w:id="6654" w:name="_Toc70550651"/>
      <w:bookmarkStart w:id="6655" w:name="_Toc85557106"/>
      <w:bookmarkStart w:id="6656" w:name="_Toc145705719"/>
      <w:bookmarkStart w:id="6657" w:name="_Toc43563525"/>
      <w:bookmarkStart w:id="6658" w:name="_Toc113031692"/>
      <w:bookmarkStart w:id="6659" w:name="_Toc148522623"/>
      <w:bookmarkStart w:id="6660" w:name="_Toc120702331"/>
      <w:bookmarkStart w:id="6661" w:name="_Toc138754232"/>
      <w:bookmarkStart w:id="6662" w:name="_Toc85553007"/>
      <w:bookmarkStart w:id="6663" w:name="_Toc66231823"/>
      <w:bookmarkStart w:id="6664" w:name="_Toc68168984"/>
      <w:bookmarkStart w:id="6665" w:name="_Toc98233661"/>
      <w:bookmarkStart w:id="6666" w:name="_Toc114133831"/>
      <w:bookmarkStart w:id="6667" w:name="_Toc101244437"/>
      <w:bookmarkStart w:id="6668" w:name="_Toc112951152"/>
      <w:bookmarkStart w:id="6669" w:name="_Toc51762920"/>
      <w:bookmarkStart w:id="6670" w:name="_Toc50032000"/>
      <w:bookmarkStart w:id="6671" w:name="_Toc36102483"/>
      <w:bookmarkStart w:id="6672" w:name="_Toc104539030"/>
      <w:bookmarkStart w:id="6673" w:name="_Toc164920803"/>
      <w:bookmarkStart w:id="6674" w:name="_Toc170120345"/>
      <w:bookmarkStart w:id="6675" w:name="_Toc175858590"/>
      <w:bookmarkStart w:id="6676" w:name="_Toc175859663"/>
      <w:bookmarkStart w:id="6677" w:name="_Toc180605953"/>
      <w:bookmarkStart w:id="6678" w:name="_Toc185517207"/>
      <w:bookmarkStart w:id="6679" w:name="_Toc191576258"/>
      <w:bookmarkStart w:id="6680" w:name="_Toc191576998"/>
      <w:bookmarkStart w:id="6681" w:name="_Toc192880068"/>
      <w:bookmarkStart w:id="6682" w:name="_Toc195814951"/>
      <w:bookmarkStart w:id="6683" w:name="_Toc199452918"/>
      <w:r>
        <w:t>5.1.6.2.29</w:t>
      </w:r>
      <w:r>
        <w:tab/>
        <w:t xml:space="preserve">Type </w:t>
      </w:r>
      <w:r>
        <w:rPr>
          <w:lang w:eastAsia="zh-CN"/>
        </w:rPr>
        <w:t>CircumstanceDescription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397EBB79" w14:textId="77777777" w:rsidR="00A10B25" w:rsidRDefault="00A10B25">
      <w:pPr>
        <w:pStyle w:val="TH"/>
      </w:pPr>
      <w:r>
        <w:t xml:space="preserve">Table 5.1.6.2.29-1: Definition of type </w:t>
      </w:r>
      <w:r>
        <w:rPr>
          <w:lang w:eastAsia="zh-CN"/>
        </w:rPr>
        <w:t>CircumstanceDescription</w:t>
      </w:r>
    </w:p>
    <w:tbl>
      <w:tblPr>
        <w:tblW w:w="960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1688"/>
        <w:gridCol w:w="426"/>
        <w:gridCol w:w="1134"/>
        <w:gridCol w:w="3131"/>
        <w:gridCol w:w="1528"/>
      </w:tblGrid>
      <w:tr w:rsidR="00A10B25" w14:paraId="3BB9FDA2" w14:textId="77777777">
        <w:trPr>
          <w:jc w:val="center"/>
        </w:trPr>
        <w:tc>
          <w:tcPr>
            <w:tcW w:w="1696" w:type="dxa"/>
            <w:shd w:val="clear" w:color="auto" w:fill="C0C0C0"/>
          </w:tcPr>
          <w:p w14:paraId="4DEADEF5" w14:textId="77777777" w:rsidR="00A10B25" w:rsidRDefault="00A10B25">
            <w:pPr>
              <w:pStyle w:val="TAH"/>
            </w:pPr>
            <w:r>
              <w:t>Attribute name</w:t>
            </w:r>
          </w:p>
        </w:tc>
        <w:tc>
          <w:tcPr>
            <w:tcW w:w="1688" w:type="dxa"/>
            <w:shd w:val="clear" w:color="auto" w:fill="C0C0C0"/>
          </w:tcPr>
          <w:p w14:paraId="46783A37" w14:textId="77777777" w:rsidR="00A10B25" w:rsidRDefault="00A10B25">
            <w:pPr>
              <w:pStyle w:val="TAH"/>
            </w:pPr>
            <w:r>
              <w:t>Data type</w:t>
            </w:r>
          </w:p>
        </w:tc>
        <w:tc>
          <w:tcPr>
            <w:tcW w:w="426" w:type="dxa"/>
            <w:shd w:val="clear" w:color="auto" w:fill="C0C0C0"/>
          </w:tcPr>
          <w:p w14:paraId="0D5E2853" w14:textId="77777777" w:rsidR="00A10B25" w:rsidRDefault="00A10B25">
            <w:pPr>
              <w:pStyle w:val="TAH"/>
            </w:pPr>
            <w:r>
              <w:t>P</w:t>
            </w:r>
          </w:p>
        </w:tc>
        <w:tc>
          <w:tcPr>
            <w:tcW w:w="1134" w:type="dxa"/>
            <w:shd w:val="clear" w:color="auto" w:fill="C0C0C0"/>
          </w:tcPr>
          <w:p w14:paraId="703DB18B" w14:textId="77777777" w:rsidR="00A10B25" w:rsidRDefault="00A10B25">
            <w:pPr>
              <w:pStyle w:val="TAH"/>
            </w:pPr>
            <w:r>
              <w:t>Cardinality</w:t>
            </w:r>
          </w:p>
        </w:tc>
        <w:tc>
          <w:tcPr>
            <w:tcW w:w="3131" w:type="dxa"/>
            <w:shd w:val="clear" w:color="auto" w:fill="C0C0C0"/>
          </w:tcPr>
          <w:p w14:paraId="09D126F2" w14:textId="77777777" w:rsidR="00A10B25" w:rsidRDefault="00A10B25">
            <w:pPr>
              <w:pStyle w:val="TAH"/>
            </w:pPr>
            <w:r>
              <w:t>Description</w:t>
            </w:r>
          </w:p>
        </w:tc>
        <w:tc>
          <w:tcPr>
            <w:tcW w:w="1528" w:type="dxa"/>
            <w:shd w:val="clear" w:color="auto" w:fill="C0C0C0"/>
          </w:tcPr>
          <w:p w14:paraId="37CFD8B9" w14:textId="77777777" w:rsidR="00A10B25" w:rsidRDefault="00A10B25">
            <w:pPr>
              <w:pStyle w:val="TAH"/>
            </w:pPr>
            <w:r>
              <w:t>Applicability</w:t>
            </w:r>
          </w:p>
        </w:tc>
      </w:tr>
      <w:tr w:rsidR="00A10B25" w14:paraId="22F2305C" w14:textId="77777777">
        <w:trPr>
          <w:jc w:val="center"/>
        </w:trPr>
        <w:tc>
          <w:tcPr>
            <w:tcW w:w="1696" w:type="dxa"/>
            <w:vAlign w:val="center"/>
          </w:tcPr>
          <w:p w14:paraId="6944142E" w14:textId="77777777" w:rsidR="00A10B25" w:rsidRDefault="00A10B25">
            <w:pPr>
              <w:pStyle w:val="TAL"/>
            </w:pPr>
            <w:r>
              <w:t>freq</w:t>
            </w:r>
          </w:p>
        </w:tc>
        <w:tc>
          <w:tcPr>
            <w:tcW w:w="1688" w:type="dxa"/>
          </w:tcPr>
          <w:p w14:paraId="73C70ADD" w14:textId="77777777" w:rsidR="00A10B25" w:rsidRDefault="00A10B25">
            <w:pPr>
              <w:pStyle w:val="TAL"/>
            </w:pPr>
            <w:r>
              <w:t>Float</w:t>
            </w:r>
          </w:p>
        </w:tc>
        <w:tc>
          <w:tcPr>
            <w:tcW w:w="426" w:type="dxa"/>
          </w:tcPr>
          <w:p w14:paraId="35F8BE8A" w14:textId="77777777" w:rsidR="00A10B25" w:rsidRDefault="00A10B25">
            <w:pPr>
              <w:pStyle w:val="TAC"/>
            </w:pPr>
            <w:r>
              <w:t>O</w:t>
            </w:r>
          </w:p>
        </w:tc>
        <w:tc>
          <w:tcPr>
            <w:tcW w:w="1134" w:type="dxa"/>
          </w:tcPr>
          <w:p w14:paraId="22B29086" w14:textId="77777777" w:rsidR="00A10B25" w:rsidRDefault="00A10B25">
            <w:pPr>
              <w:pStyle w:val="TAL"/>
              <w:rPr>
                <w:lang w:eastAsia="zh-CN"/>
              </w:rPr>
            </w:pPr>
            <w:r>
              <w:rPr>
                <w:lang w:eastAsia="zh-CN"/>
              </w:rPr>
              <w:t>0..1</w:t>
            </w:r>
          </w:p>
        </w:tc>
        <w:tc>
          <w:tcPr>
            <w:tcW w:w="3131" w:type="dxa"/>
          </w:tcPr>
          <w:p w14:paraId="375F16BC" w14:textId="77777777" w:rsidR="00A10B25" w:rsidRDefault="00A10B25">
            <w:pPr>
              <w:pStyle w:val="TAL"/>
            </w:pPr>
            <w:r>
              <w:t>Communication frequency of the UE in units of MHz.</w:t>
            </w:r>
          </w:p>
        </w:tc>
        <w:tc>
          <w:tcPr>
            <w:tcW w:w="1528" w:type="dxa"/>
          </w:tcPr>
          <w:p w14:paraId="55F7EAA9" w14:textId="77777777" w:rsidR="00A10B25" w:rsidRDefault="00A10B25">
            <w:pPr>
              <w:keepNext/>
              <w:keepLines/>
              <w:spacing w:after="0"/>
              <w:rPr>
                <w:rFonts w:ascii="Arial" w:hAnsi="Arial" w:cs="Arial"/>
                <w:sz w:val="18"/>
                <w:szCs w:val="18"/>
              </w:rPr>
            </w:pPr>
          </w:p>
        </w:tc>
      </w:tr>
      <w:tr w:rsidR="00A10B25" w14:paraId="17990361" w14:textId="77777777">
        <w:trPr>
          <w:jc w:val="center"/>
        </w:trPr>
        <w:tc>
          <w:tcPr>
            <w:tcW w:w="1696" w:type="dxa"/>
            <w:vAlign w:val="center"/>
          </w:tcPr>
          <w:p w14:paraId="40360087" w14:textId="77777777" w:rsidR="00A10B25" w:rsidRDefault="00A10B25">
            <w:pPr>
              <w:pStyle w:val="TAL"/>
            </w:pPr>
            <w:r>
              <w:t>tm</w:t>
            </w:r>
          </w:p>
        </w:tc>
        <w:tc>
          <w:tcPr>
            <w:tcW w:w="1688" w:type="dxa"/>
          </w:tcPr>
          <w:p w14:paraId="72BF2357" w14:textId="77777777" w:rsidR="00A10B25" w:rsidRDefault="00A10B25">
            <w:pPr>
              <w:pStyle w:val="TAL"/>
            </w:pPr>
            <w:r>
              <w:t>DateTime</w:t>
            </w:r>
          </w:p>
        </w:tc>
        <w:tc>
          <w:tcPr>
            <w:tcW w:w="426" w:type="dxa"/>
          </w:tcPr>
          <w:p w14:paraId="29BBBAD1" w14:textId="77777777" w:rsidR="00A10B25" w:rsidRDefault="00A10B25">
            <w:pPr>
              <w:pStyle w:val="TAC"/>
            </w:pPr>
            <w:r>
              <w:t>O</w:t>
            </w:r>
          </w:p>
        </w:tc>
        <w:tc>
          <w:tcPr>
            <w:tcW w:w="1134" w:type="dxa"/>
          </w:tcPr>
          <w:p w14:paraId="21FAA14B" w14:textId="77777777" w:rsidR="00A10B25" w:rsidRDefault="00A10B25">
            <w:pPr>
              <w:pStyle w:val="TAL"/>
              <w:rPr>
                <w:lang w:eastAsia="zh-CN"/>
              </w:rPr>
            </w:pPr>
            <w:r>
              <w:rPr>
                <w:lang w:eastAsia="zh-CN"/>
              </w:rPr>
              <w:t>0..1</w:t>
            </w:r>
          </w:p>
        </w:tc>
        <w:tc>
          <w:tcPr>
            <w:tcW w:w="3131" w:type="dxa"/>
          </w:tcPr>
          <w:p w14:paraId="270A8B05" w14:textId="77777777" w:rsidR="00A10B25" w:rsidRDefault="00A10B25">
            <w:pPr>
              <w:pStyle w:val="TAL"/>
            </w:pPr>
            <w:r>
              <w:t>Time when UE enters the location.</w:t>
            </w:r>
          </w:p>
        </w:tc>
        <w:tc>
          <w:tcPr>
            <w:tcW w:w="1528" w:type="dxa"/>
          </w:tcPr>
          <w:p w14:paraId="5A841150" w14:textId="77777777" w:rsidR="00A10B25" w:rsidRDefault="00A10B25">
            <w:pPr>
              <w:keepNext/>
              <w:keepLines/>
              <w:spacing w:after="0"/>
              <w:rPr>
                <w:rFonts w:ascii="Arial" w:hAnsi="Arial" w:cs="Arial"/>
                <w:sz w:val="18"/>
                <w:szCs w:val="18"/>
              </w:rPr>
            </w:pPr>
          </w:p>
        </w:tc>
      </w:tr>
      <w:tr w:rsidR="00A10B25" w14:paraId="0A55D81F" w14:textId="77777777">
        <w:trPr>
          <w:jc w:val="center"/>
        </w:trPr>
        <w:tc>
          <w:tcPr>
            <w:tcW w:w="1696" w:type="dxa"/>
            <w:vAlign w:val="center"/>
          </w:tcPr>
          <w:p w14:paraId="6423677E" w14:textId="77777777" w:rsidR="00A10B25" w:rsidRDefault="00A10B25">
            <w:pPr>
              <w:pStyle w:val="TAL"/>
            </w:pPr>
            <w:r>
              <w:t>locArea</w:t>
            </w:r>
          </w:p>
        </w:tc>
        <w:tc>
          <w:tcPr>
            <w:tcW w:w="1688" w:type="dxa"/>
          </w:tcPr>
          <w:p w14:paraId="3D464303" w14:textId="77777777" w:rsidR="00A10B25" w:rsidRDefault="00A10B25">
            <w:pPr>
              <w:pStyle w:val="TAL"/>
            </w:pPr>
            <w:r>
              <w:t>NetworkAreaInfo</w:t>
            </w:r>
          </w:p>
        </w:tc>
        <w:tc>
          <w:tcPr>
            <w:tcW w:w="426" w:type="dxa"/>
          </w:tcPr>
          <w:p w14:paraId="4B8595B1" w14:textId="77777777" w:rsidR="00A10B25" w:rsidRDefault="00A10B25">
            <w:pPr>
              <w:pStyle w:val="TAC"/>
            </w:pPr>
            <w:r>
              <w:t>C</w:t>
            </w:r>
          </w:p>
        </w:tc>
        <w:tc>
          <w:tcPr>
            <w:tcW w:w="1134" w:type="dxa"/>
          </w:tcPr>
          <w:p w14:paraId="5ECC8BB4" w14:textId="77777777" w:rsidR="00A10B25" w:rsidRDefault="00A10B25">
            <w:pPr>
              <w:pStyle w:val="TAL"/>
              <w:rPr>
                <w:lang w:eastAsia="zh-CN"/>
              </w:rPr>
            </w:pPr>
            <w:r>
              <w:rPr>
                <w:lang w:eastAsia="zh-CN"/>
              </w:rPr>
              <w:t>0..1</w:t>
            </w:r>
          </w:p>
        </w:tc>
        <w:tc>
          <w:tcPr>
            <w:tcW w:w="3131" w:type="dxa"/>
          </w:tcPr>
          <w:p w14:paraId="68186183" w14:textId="77777777" w:rsidR="00A10B25" w:rsidRDefault="00A10B25">
            <w:pPr>
              <w:pStyle w:val="TAL"/>
            </w:pPr>
            <w:r>
              <w:t>The location of the UE.</w:t>
            </w:r>
          </w:p>
          <w:p w14:paraId="0A61D8BA" w14:textId="77777777" w:rsidR="00A10B25" w:rsidRDefault="00A10B25">
            <w:pPr>
              <w:pStyle w:val="TAL"/>
            </w:pPr>
            <w:r>
              <w:t xml:space="preserve">It shall be present </w:t>
            </w:r>
            <w:r>
              <w:rPr>
                <w:lang w:eastAsia="zh-CN"/>
              </w:rPr>
              <w:t xml:space="preserve">when </w:t>
            </w:r>
            <w:r>
              <w:t>the "excepId" within the Exception data sets to "</w:t>
            </w:r>
            <w:r>
              <w:rPr>
                <w:rFonts w:hint="eastAsia"/>
              </w:rPr>
              <w:t>UNEXPECTED</w:t>
            </w:r>
            <w:r>
              <w:t>_RADIO_LINK_FAILURES" or "PING_PONG_ACROSS_CELLS".</w:t>
            </w:r>
          </w:p>
        </w:tc>
        <w:tc>
          <w:tcPr>
            <w:tcW w:w="1528" w:type="dxa"/>
          </w:tcPr>
          <w:p w14:paraId="66C40DE4" w14:textId="77777777" w:rsidR="00A10B25" w:rsidRDefault="00A10B25">
            <w:pPr>
              <w:keepNext/>
              <w:keepLines/>
              <w:spacing w:after="0"/>
              <w:rPr>
                <w:rFonts w:ascii="Arial" w:hAnsi="Arial" w:cs="Arial"/>
                <w:sz w:val="18"/>
                <w:szCs w:val="18"/>
              </w:rPr>
            </w:pPr>
          </w:p>
        </w:tc>
      </w:tr>
      <w:tr w:rsidR="00A10B25" w14:paraId="038B339B" w14:textId="77777777">
        <w:trPr>
          <w:jc w:val="center"/>
        </w:trPr>
        <w:tc>
          <w:tcPr>
            <w:tcW w:w="1696" w:type="dxa"/>
            <w:vAlign w:val="center"/>
          </w:tcPr>
          <w:p w14:paraId="1A50CD25" w14:textId="77777777" w:rsidR="00A10B25" w:rsidRDefault="00A10B25">
            <w:pPr>
              <w:pStyle w:val="TAL"/>
            </w:pPr>
            <w:r>
              <w:t>vol</w:t>
            </w:r>
          </w:p>
        </w:tc>
        <w:tc>
          <w:tcPr>
            <w:tcW w:w="1688" w:type="dxa"/>
          </w:tcPr>
          <w:p w14:paraId="28DABA8B" w14:textId="77777777" w:rsidR="00A10B25" w:rsidRDefault="00A10B25">
            <w:pPr>
              <w:pStyle w:val="TAL"/>
            </w:pPr>
            <w:r>
              <w:t>Volume</w:t>
            </w:r>
          </w:p>
        </w:tc>
        <w:tc>
          <w:tcPr>
            <w:tcW w:w="426" w:type="dxa"/>
          </w:tcPr>
          <w:p w14:paraId="6A331F84" w14:textId="77777777" w:rsidR="00A10B25" w:rsidRDefault="00A10B25">
            <w:pPr>
              <w:pStyle w:val="TAC"/>
            </w:pPr>
            <w:r>
              <w:t>C</w:t>
            </w:r>
          </w:p>
        </w:tc>
        <w:tc>
          <w:tcPr>
            <w:tcW w:w="1134" w:type="dxa"/>
          </w:tcPr>
          <w:p w14:paraId="464CED8F" w14:textId="77777777" w:rsidR="00A10B25" w:rsidRDefault="00A10B25">
            <w:pPr>
              <w:pStyle w:val="TAL"/>
              <w:rPr>
                <w:lang w:eastAsia="zh-CN"/>
              </w:rPr>
            </w:pPr>
            <w:r>
              <w:rPr>
                <w:lang w:eastAsia="zh-CN"/>
              </w:rPr>
              <w:t>0..1</w:t>
            </w:r>
          </w:p>
        </w:tc>
        <w:tc>
          <w:tcPr>
            <w:tcW w:w="3131" w:type="dxa"/>
          </w:tcPr>
          <w:p w14:paraId="1042624A" w14:textId="77777777" w:rsidR="00A10B25" w:rsidRDefault="00A10B25">
            <w:pPr>
              <w:pStyle w:val="TAL"/>
            </w:pPr>
            <w:r>
              <w:t>The traffic volume.</w:t>
            </w:r>
          </w:p>
          <w:p w14:paraId="5DC17477" w14:textId="77777777" w:rsidR="00A10B25" w:rsidRDefault="00A10B25">
            <w:pPr>
              <w:pStyle w:val="TAL"/>
            </w:pPr>
            <w:r>
              <w:t xml:space="preserve">It shall be present </w:t>
            </w:r>
            <w:r>
              <w:rPr>
                <w:lang w:eastAsia="zh-CN"/>
              </w:rPr>
              <w:t xml:space="preserve">when </w:t>
            </w:r>
            <w:r>
              <w:t>the "excepId" within the Exception data sets to "TOO_FREQUENT_SERVICE_ACCESS" or "UNEXPECTED_LARGE_RATE_FLOW ".</w:t>
            </w:r>
          </w:p>
        </w:tc>
        <w:tc>
          <w:tcPr>
            <w:tcW w:w="1528" w:type="dxa"/>
          </w:tcPr>
          <w:p w14:paraId="619DF349" w14:textId="77777777" w:rsidR="00A10B25" w:rsidRDefault="00A10B25">
            <w:pPr>
              <w:keepNext/>
              <w:keepLines/>
              <w:spacing w:after="0"/>
              <w:rPr>
                <w:rFonts w:ascii="Arial" w:hAnsi="Arial" w:cs="Arial"/>
                <w:sz w:val="18"/>
                <w:szCs w:val="18"/>
              </w:rPr>
            </w:pPr>
          </w:p>
        </w:tc>
      </w:tr>
    </w:tbl>
    <w:p w14:paraId="0E476CFF" w14:textId="77777777" w:rsidR="00A10B25" w:rsidRDefault="00A10B25">
      <w:pPr>
        <w:rPr>
          <w:lang w:val="en-US" w:eastAsia="zh-CN"/>
        </w:rPr>
      </w:pPr>
    </w:p>
    <w:p w14:paraId="652D2224" w14:textId="77777777" w:rsidR="0051586F" w:rsidRDefault="0051586F" w:rsidP="0051586F">
      <w:pPr>
        <w:pStyle w:val="EditorsNote"/>
      </w:pPr>
      <w:r>
        <w:t>Editor’s Note :</w:t>
      </w:r>
      <w:r>
        <w:tab/>
        <w:t xml:space="preserve">Whether </w:t>
      </w:r>
      <w:r>
        <w:rPr>
          <w:lang w:eastAsia="zh-CN"/>
        </w:rPr>
        <w:t>model Id</w:t>
      </w:r>
      <w:r>
        <w:rPr>
          <w:rFonts w:cs="Arial"/>
          <w:szCs w:val="18"/>
        </w:rPr>
        <w:t xml:space="preserve"> needs to be defined in </w:t>
      </w:r>
      <w:r>
        <w:rPr>
          <w:lang w:eastAsia="zh-CN"/>
        </w:rPr>
        <w:t xml:space="preserve">MLModelInfo data type to align with the </w:t>
      </w:r>
      <w:r>
        <w:rPr>
          <w:rFonts w:cs="Arial"/>
          <w:szCs w:val="18"/>
        </w:rPr>
        <w:t>"</w:t>
      </w:r>
      <w:r>
        <w:rPr>
          <w:lang w:eastAsia="zh-CN"/>
        </w:rPr>
        <w:t>modelId</w:t>
      </w:r>
      <w:r>
        <w:rPr>
          <w:rFonts w:cs="Arial"/>
          <w:szCs w:val="18"/>
        </w:rPr>
        <w:t>"</w:t>
      </w:r>
      <w:r>
        <w:rPr>
          <w:lang w:eastAsia="zh-CN"/>
        </w:rPr>
        <w:t xml:space="preserve"> attribute in clause 5.4.6.2.3 is FFS</w:t>
      </w:r>
      <w:r>
        <w:t>.</w:t>
      </w:r>
    </w:p>
    <w:p w14:paraId="0F839F11" w14:textId="77777777" w:rsidR="00A10B25" w:rsidRDefault="00A10B25">
      <w:pPr>
        <w:pStyle w:val="5"/>
      </w:pPr>
      <w:bookmarkStart w:id="6684" w:name="_Toc66231824"/>
      <w:bookmarkStart w:id="6685" w:name="_Toc138754233"/>
      <w:bookmarkStart w:id="6686" w:name="_Toc70550652"/>
      <w:bookmarkStart w:id="6687" w:name="_Toc68168985"/>
      <w:bookmarkStart w:id="6688" w:name="_Toc90655894"/>
      <w:bookmarkStart w:id="6689" w:name="_Toc85553008"/>
      <w:bookmarkStart w:id="6690" w:name="_Toc120702332"/>
      <w:bookmarkStart w:id="6691" w:name="_Toc85557107"/>
      <w:bookmarkStart w:id="6692" w:name="_Toc114133832"/>
      <w:bookmarkStart w:id="6693" w:name="_Toc59017956"/>
      <w:bookmarkStart w:id="6694" w:name="_Toc51762921"/>
      <w:bookmarkStart w:id="6695" w:name="_Toc83233098"/>
      <w:bookmarkStart w:id="6696" w:name="_Toc136562399"/>
      <w:bookmarkStart w:id="6697" w:name="_Toc56640988"/>
      <w:bookmarkStart w:id="6698" w:name="_Toc94064277"/>
      <w:bookmarkStart w:id="6699" w:name="_Toc145705720"/>
      <w:bookmarkStart w:id="6700" w:name="_Toc148522624"/>
      <w:bookmarkStart w:id="6701" w:name="_Toc113031693"/>
      <w:bookmarkStart w:id="6702" w:name="_Toc45134069"/>
      <w:bookmarkStart w:id="6703" w:name="_Toc50032001"/>
      <w:bookmarkStart w:id="6704" w:name="_Toc36102484"/>
      <w:bookmarkStart w:id="6705" w:name="_Toc112951153"/>
      <w:bookmarkStart w:id="6706" w:name="_Toc104539031"/>
      <w:bookmarkStart w:id="6707" w:name="_Toc34266313"/>
      <w:bookmarkStart w:id="6708" w:name="_Toc88667609"/>
      <w:bookmarkStart w:id="6709" w:name="_Toc43563526"/>
      <w:bookmarkStart w:id="6710" w:name="_Toc98233662"/>
      <w:bookmarkStart w:id="6711" w:name="_Toc101244438"/>
      <w:bookmarkStart w:id="6712" w:name="_Toc164920804"/>
      <w:bookmarkStart w:id="6713" w:name="_Toc170120346"/>
      <w:bookmarkStart w:id="6714" w:name="_Toc175858591"/>
      <w:bookmarkStart w:id="6715" w:name="_Toc175859664"/>
      <w:bookmarkStart w:id="6716" w:name="_Toc180605954"/>
      <w:bookmarkStart w:id="6717" w:name="_Toc185517208"/>
      <w:bookmarkStart w:id="6718" w:name="_Toc191576259"/>
      <w:bookmarkStart w:id="6719" w:name="_Toc191576999"/>
      <w:bookmarkStart w:id="6720" w:name="_Toc192880069"/>
      <w:bookmarkStart w:id="6721" w:name="_Toc195814952"/>
      <w:bookmarkStart w:id="6722" w:name="_Toc199452919"/>
      <w:r>
        <w:lastRenderedPageBreak/>
        <w:t>5.1.6.2.30</w:t>
      </w:r>
      <w:r>
        <w:tab/>
        <w:t>Type ThresholdLevel</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4779F670" w14:textId="77777777" w:rsidR="00A10B25" w:rsidRDefault="00A10B25">
      <w:pPr>
        <w:pStyle w:val="TH"/>
      </w:pPr>
      <w:bookmarkStart w:id="6723" w:name="_Toc70550653"/>
      <w:bookmarkStart w:id="6724" w:name="_Toc45134070"/>
      <w:bookmarkStart w:id="6725" w:name="_Toc36102485"/>
      <w:bookmarkStart w:id="6726" w:name="_Toc56640989"/>
      <w:bookmarkStart w:id="6727" w:name="_Toc83233099"/>
      <w:bookmarkStart w:id="6728" w:name="_Toc85557108"/>
      <w:bookmarkStart w:id="6729" w:name="_Toc66231825"/>
      <w:bookmarkStart w:id="6730" w:name="_Toc98233663"/>
      <w:bookmarkStart w:id="6731" w:name="_Toc104539032"/>
      <w:bookmarkStart w:id="6732" w:name="_Toc101244439"/>
      <w:bookmarkStart w:id="6733" w:name="_Toc94064278"/>
      <w:bookmarkStart w:id="6734" w:name="_Toc50032002"/>
      <w:bookmarkStart w:id="6735" w:name="_Toc85553009"/>
      <w:bookmarkStart w:id="6736" w:name="_Toc114133833"/>
      <w:bookmarkStart w:id="6737" w:name="_Toc43563527"/>
      <w:bookmarkStart w:id="6738" w:name="_Toc59017957"/>
      <w:bookmarkStart w:id="6739" w:name="_Toc112951154"/>
      <w:bookmarkStart w:id="6740" w:name="_Toc34266314"/>
      <w:bookmarkStart w:id="6741" w:name="_Toc51762922"/>
      <w:bookmarkStart w:id="6742" w:name="_Toc113031694"/>
      <w:bookmarkStart w:id="6743" w:name="_Toc68168986"/>
      <w:bookmarkStart w:id="6744" w:name="_Toc90655895"/>
      <w:bookmarkStart w:id="6745" w:name="_Toc88667610"/>
      <w:bookmarkStart w:id="6746" w:name="_Toc120702333"/>
      <w:r>
        <w:t>Table 5.1.6.2.30 -1: Definition of type ThresholdLevel</w:t>
      </w:r>
    </w:p>
    <w:tbl>
      <w:tblPr>
        <w:tblW w:w="500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787"/>
        <w:gridCol w:w="1560"/>
        <w:gridCol w:w="428"/>
        <w:gridCol w:w="1067"/>
        <w:gridCol w:w="2606"/>
        <w:gridCol w:w="2177"/>
      </w:tblGrid>
      <w:tr w:rsidR="00A10B25" w14:paraId="2548D3A4" w14:textId="77777777">
        <w:trPr>
          <w:jc w:val="center"/>
        </w:trPr>
        <w:tc>
          <w:tcPr>
            <w:tcW w:w="914" w:type="pct"/>
            <w:shd w:val="clear" w:color="auto" w:fill="C0C0C0"/>
          </w:tcPr>
          <w:p w14:paraId="2CF0076C" w14:textId="77777777" w:rsidR="00A10B25" w:rsidRDefault="00A10B25">
            <w:pPr>
              <w:pStyle w:val="TAH"/>
            </w:pPr>
            <w:r>
              <w:lastRenderedPageBreak/>
              <w:t>Attribute name</w:t>
            </w:r>
          </w:p>
        </w:tc>
        <w:tc>
          <w:tcPr>
            <w:tcW w:w="824" w:type="pct"/>
            <w:shd w:val="clear" w:color="auto" w:fill="C0C0C0"/>
          </w:tcPr>
          <w:p w14:paraId="0F5980D2" w14:textId="77777777" w:rsidR="00A10B25" w:rsidRDefault="00A10B25">
            <w:pPr>
              <w:pStyle w:val="TAH"/>
            </w:pPr>
            <w:r>
              <w:t>Data type</w:t>
            </w:r>
          </w:p>
        </w:tc>
        <w:tc>
          <w:tcPr>
            <w:tcW w:w="236" w:type="pct"/>
            <w:shd w:val="clear" w:color="auto" w:fill="C0C0C0"/>
          </w:tcPr>
          <w:p w14:paraId="77AFAFCF" w14:textId="77777777" w:rsidR="00A10B25" w:rsidRDefault="00A10B25">
            <w:pPr>
              <w:pStyle w:val="TAH"/>
            </w:pPr>
            <w:r>
              <w:t>P</w:t>
            </w:r>
          </w:p>
        </w:tc>
        <w:tc>
          <w:tcPr>
            <w:tcW w:w="546" w:type="pct"/>
            <w:shd w:val="clear" w:color="auto" w:fill="C0C0C0"/>
          </w:tcPr>
          <w:p w14:paraId="29F888E5" w14:textId="77777777" w:rsidR="00A10B25" w:rsidRDefault="00A10B25">
            <w:pPr>
              <w:pStyle w:val="TAH"/>
            </w:pPr>
            <w:r>
              <w:t>Cardinality</w:t>
            </w:r>
          </w:p>
        </w:tc>
        <w:tc>
          <w:tcPr>
            <w:tcW w:w="1367" w:type="pct"/>
            <w:shd w:val="clear" w:color="auto" w:fill="C0C0C0"/>
          </w:tcPr>
          <w:p w14:paraId="3EA873DC" w14:textId="77777777" w:rsidR="00A10B25" w:rsidRDefault="00A10B25">
            <w:pPr>
              <w:pStyle w:val="TAH"/>
              <w:rPr>
                <w:rFonts w:cs="Arial"/>
                <w:szCs w:val="18"/>
              </w:rPr>
            </w:pPr>
            <w:r>
              <w:rPr>
                <w:rFonts w:cs="Arial"/>
                <w:szCs w:val="18"/>
              </w:rPr>
              <w:t>Description</w:t>
            </w:r>
          </w:p>
        </w:tc>
        <w:tc>
          <w:tcPr>
            <w:tcW w:w="1113" w:type="pct"/>
            <w:shd w:val="clear" w:color="auto" w:fill="C0C0C0"/>
          </w:tcPr>
          <w:p w14:paraId="5F71A160" w14:textId="77777777" w:rsidR="00A10B25" w:rsidRDefault="00A10B25">
            <w:pPr>
              <w:pStyle w:val="TAH"/>
              <w:rPr>
                <w:rFonts w:cs="Arial"/>
                <w:szCs w:val="18"/>
              </w:rPr>
            </w:pPr>
            <w:r>
              <w:rPr>
                <w:rFonts w:cs="Arial"/>
                <w:szCs w:val="18"/>
              </w:rPr>
              <w:t>Applicability</w:t>
            </w:r>
          </w:p>
        </w:tc>
      </w:tr>
      <w:tr w:rsidR="00A10B25" w14:paraId="701A4246" w14:textId="77777777">
        <w:trPr>
          <w:jc w:val="center"/>
        </w:trPr>
        <w:tc>
          <w:tcPr>
            <w:tcW w:w="914" w:type="pct"/>
          </w:tcPr>
          <w:p w14:paraId="75EC0667" w14:textId="77777777" w:rsidR="00A10B25" w:rsidRDefault="00A10B25">
            <w:pPr>
              <w:pStyle w:val="TAL"/>
              <w:rPr>
                <w:lang w:eastAsia="zh-CN"/>
              </w:rPr>
            </w:pPr>
            <w:r>
              <w:rPr>
                <w:lang w:eastAsia="zh-CN"/>
              </w:rPr>
              <w:t>congLevel</w:t>
            </w:r>
          </w:p>
        </w:tc>
        <w:tc>
          <w:tcPr>
            <w:tcW w:w="824" w:type="pct"/>
          </w:tcPr>
          <w:p w14:paraId="7ABE96B9" w14:textId="77777777" w:rsidR="00A10B25" w:rsidRDefault="00A10B25">
            <w:pPr>
              <w:pStyle w:val="TAL"/>
              <w:rPr>
                <w:lang w:eastAsia="zh-CN"/>
              </w:rPr>
            </w:pPr>
            <w:r>
              <w:rPr>
                <w:lang w:eastAsia="zh-CN"/>
              </w:rPr>
              <w:t>integer</w:t>
            </w:r>
          </w:p>
        </w:tc>
        <w:tc>
          <w:tcPr>
            <w:tcW w:w="236" w:type="pct"/>
          </w:tcPr>
          <w:p w14:paraId="7CA93A67" w14:textId="77777777" w:rsidR="00A10B25" w:rsidRDefault="00A10B25">
            <w:pPr>
              <w:pStyle w:val="TAC"/>
            </w:pPr>
            <w:r>
              <w:t>C</w:t>
            </w:r>
          </w:p>
        </w:tc>
        <w:tc>
          <w:tcPr>
            <w:tcW w:w="546" w:type="pct"/>
          </w:tcPr>
          <w:p w14:paraId="033283B9" w14:textId="77777777" w:rsidR="00A10B25" w:rsidRDefault="00A10B25">
            <w:pPr>
              <w:pStyle w:val="TAL"/>
            </w:pPr>
            <w:r>
              <w:t>0..1</w:t>
            </w:r>
          </w:p>
        </w:tc>
        <w:tc>
          <w:tcPr>
            <w:tcW w:w="1367" w:type="pct"/>
          </w:tcPr>
          <w:p w14:paraId="43F3FEE3" w14:textId="77777777" w:rsidR="00A10B25" w:rsidRDefault="00A10B25">
            <w:pPr>
              <w:pStyle w:val="TAL"/>
            </w:pPr>
            <w:r>
              <w:t>Value of Congestion that triggers notification. (NOTE 1)</w:t>
            </w:r>
          </w:p>
        </w:tc>
        <w:tc>
          <w:tcPr>
            <w:tcW w:w="1113" w:type="pct"/>
          </w:tcPr>
          <w:p w14:paraId="02862A88" w14:textId="77777777" w:rsidR="00A10B25" w:rsidRDefault="00A10B25">
            <w:pPr>
              <w:pStyle w:val="TAL"/>
              <w:rPr>
                <w:rFonts w:cs="Arial"/>
                <w:szCs w:val="18"/>
              </w:rPr>
            </w:pPr>
            <w:r>
              <w:rPr>
                <w:rFonts w:eastAsia="Batang"/>
              </w:rPr>
              <w:t>UserDataCongestion</w:t>
            </w:r>
          </w:p>
        </w:tc>
      </w:tr>
      <w:tr w:rsidR="00A10B25" w14:paraId="2893AD93" w14:textId="77777777">
        <w:trPr>
          <w:jc w:val="center"/>
        </w:trPr>
        <w:tc>
          <w:tcPr>
            <w:tcW w:w="914" w:type="pct"/>
          </w:tcPr>
          <w:p w14:paraId="3A6D7157" w14:textId="77777777" w:rsidR="00A10B25" w:rsidRDefault="00A10B25">
            <w:pPr>
              <w:pStyle w:val="TAL"/>
              <w:rPr>
                <w:lang w:eastAsia="zh-CN"/>
              </w:rPr>
            </w:pPr>
            <w:r>
              <w:rPr>
                <w:lang w:eastAsia="zh-CN"/>
              </w:rPr>
              <w:t>nfLoadLevel</w:t>
            </w:r>
          </w:p>
        </w:tc>
        <w:tc>
          <w:tcPr>
            <w:tcW w:w="824" w:type="pct"/>
          </w:tcPr>
          <w:p w14:paraId="13A1F565" w14:textId="77777777" w:rsidR="00A10B25" w:rsidRDefault="00A10B25">
            <w:pPr>
              <w:pStyle w:val="TAL"/>
              <w:rPr>
                <w:lang w:eastAsia="zh-CN"/>
              </w:rPr>
            </w:pPr>
            <w:r>
              <w:rPr>
                <w:lang w:eastAsia="zh-CN"/>
              </w:rPr>
              <w:t>integer</w:t>
            </w:r>
          </w:p>
        </w:tc>
        <w:tc>
          <w:tcPr>
            <w:tcW w:w="236" w:type="pct"/>
          </w:tcPr>
          <w:p w14:paraId="474FCE8D" w14:textId="77777777" w:rsidR="00A10B25" w:rsidRDefault="00A10B25">
            <w:pPr>
              <w:pStyle w:val="TAC"/>
            </w:pPr>
            <w:r>
              <w:t>C</w:t>
            </w:r>
          </w:p>
        </w:tc>
        <w:tc>
          <w:tcPr>
            <w:tcW w:w="546" w:type="pct"/>
          </w:tcPr>
          <w:p w14:paraId="5BB3CD2A" w14:textId="77777777" w:rsidR="00A10B25" w:rsidRDefault="00A10B25">
            <w:pPr>
              <w:pStyle w:val="TAL"/>
            </w:pPr>
            <w:r>
              <w:t>0..1</w:t>
            </w:r>
          </w:p>
        </w:tc>
        <w:tc>
          <w:tcPr>
            <w:tcW w:w="1367" w:type="pct"/>
          </w:tcPr>
          <w:p w14:paraId="1BD2AB36" w14:textId="77777777" w:rsidR="00A10B25" w:rsidRDefault="00A10B25">
            <w:pPr>
              <w:pStyle w:val="TAL"/>
            </w:pPr>
            <w:r>
              <w:t>Value of NF Load that triggers notification. (NOTE 2)</w:t>
            </w:r>
          </w:p>
          <w:p w14:paraId="7BFF001E" w14:textId="77777777" w:rsidR="00A10B25" w:rsidRDefault="00A10B25">
            <w:pPr>
              <w:pStyle w:val="TAL"/>
            </w:pPr>
            <w:r>
              <w:t>Minimum = 0. Maximum = 100.</w:t>
            </w:r>
          </w:p>
        </w:tc>
        <w:tc>
          <w:tcPr>
            <w:tcW w:w="1113" w:type="pct"/>
          </w:tcPr>
          <w:p w14:paraId="00B4865F" w14:textId="77777777" w:rsidR="00A10B25" w:rsidRDefault="00A10B25">
            <w:pPr>
              <w:pStyle w:val="TAL"/>
              <w:rPr>
                <w:rFonts w:cs="Arial"/>
                <w:szCs w:val="18"/>
              </w:rPr>
            </w:pPr>
            <w:r>
              <w:rPr>
                <w:rFonts w:cs="Arial"/>
                <w:szCs w:val="18"/>
              </w:rPr>
              <w:t>NfLoad</w:t>
            </w:r>
          </w:p>
        </w:tc>
      </w:tr>
      <w:tr w:rsidR="00A10B25" w14:paraId="4CC2A7A6" w14:textId="77777777">
        <w:trPr>
          <w:jc w:val="center"/>
        </w:trPr>
        <w:tc>
          <w:tcPr>
            <w:tcW w:w="914" w:type="pct"/>
          </w:tcPr>
          <w:p w14:paraId="4476A9AF" w14:textId="77777777" w:rsidR="00A10B25" w:rsidRDefault="00A10B25">
            <w:pPr>
              <w:pStyle w:val="TAL"/>
              <w:rPr>
                <w:lang w:eastAsia="zh-CN"/>
              </w:rPr>
            </w:pPr>
            <w:r>
              <w:t>nfCpuUsage</w:t>
            </w:r>
          </w:p>
        </w:tc>
        <w:tc>
          <w:tcPr>
            <w:tcW w:w="824" w:type="pct"/>
          </w:tcPr>
          <w:p w14:paraId="17587648" w14:textId="77777777" w:rsidR="00A10B25" w:rsidRDefault="00A10B25">
            <w:pPr>
              <w:pStyle w:val="TAL"/>
              <w:rPr>
                <w:lang w:eastAsia="zh-CN"/>
              </w:rPr>
            </w:pPr>
            <w:r>
              <w:t>integer</w:t>
            </w:r>
          </w:p>
        </w:tc>
        <w:tc>
          <w:tcPr>
            <w:tcW w:w="236" w:type="pct"/>
          </w:tcPr>
          <w:p w14:paraId="37BE5FE7" w14:textId="77777777" w:rsidR="00A10B25" w:rsidRDefault="00A10B25">
            <w:pPr>
              <w:pStyle w:val="TAC"/>
            </w:pPr>
            <w:r>
              <w:t>C</w:t>
            </w:r>
          </w:p>
        </w:tc>
        <w:tc>
          <w:tcPr>
            <w:tcW w:w="546" w:type="pct"/>
          </w:tcPr>
          <w:p w14:paraId="1D720027" w14:textId="77777777" w:rsidR="00A10B25" w:rsidRDefault="00A10B25">
            <w:pPr>
              <w:pStyle w:val="TAL"/>
            </w:pPr>
            <w:r>
              <w:t>0..1</w:t>
            </w:r>
          </w:p>
        </w:tc>
        <w:tc>
          <w:tcPr>
            <w:tcW w:w="1367" w:type="pct"/>
          </w:tcPr>
          <w:p w14:paraId="397CACD6" w14:textId="77777777" w:rsidR="00A10B25" w:rsidRDefault="00A10B25">
            <w:pPr>
              <w:pStyle w:val="TAL"/>
            </w:pPr>
            <w:r>
              <w:t>Value of NF CPU Usage that triggers notification. (NOTE 2)</w:t>
            </w:r>
          </w:p>
          <w:p w14:paraId="7EFF7152" w14:textId="77777777" w:rsidR="00A10B25" w:rsidRDefault="00A10B25">
            <w:pPr>
              <w:pStyle w:val="TAL"/>
            </w:pPr>
            <w:r>
              <w:t>Minimum = 0. Maximum = 100.</w:t>
            </w:r>
          </w:p>
        </w:tc>
        <w:tc>
          <w:tcPr>
            <w:tcW w:w="1113" w:type="pct"/>
          </w:tcPr>
          <w:p w14:paraId="28AB3FFD" w14:textId="77777777" w:rsidR="00A10B25" w:rsidRDefault="00A10B25">
            <w:pPr>
              <w:pStyle w:val="TAL"/>
              <w:rPr>
                <w:rFonts w:cs="Arial"/>
                <w:szCs w:val="18"/>
              </w:rPr>
            </w:pPr>
            <w:r>
              <w:rPr>
                <w:rFonts w:cs="Arial"/>
                <w:szCs w:val="18"/>
              </w:rPr>
              <w:t>NfLoad</w:t>
            </w:r>
          </w:p>
        </w:tc>
      </w:tr>
      <w:tr w:rsidR="00A10B25" w14:paraId="3451B0DA" w14:textId="77777777">
        <w:trPr>
          <w:jc w:val="center"/>
        </w:trPr>
        <w:tc>
          <w:tcPr>
            <w:tcW w:w="914" w:type="pct"/>
          </w:tcPr>
          <w:p w14:paraId="62A663DE" w14:textId="77777777" w:rsidR="00A10B25" w:rsidRDefault="00A10B25">
            <w:pPr>
              <w:pStyle w:val="TAL"/>
            </w:pPr>
            <w:r>
              <w:t>nfMemoryUsage</w:t>
            </w:r>
          </w:p>
        </w:tc>
        <w:tc>
          <w:tcPr>
            <w:tcW w:w="824" w:type="pct"/>
          </w:tcPr>
          <w:p w14:paraId="24523050" w14:textId="77777777" w:rsidR="00A10B25" w:rsidRDefault="00A10B25">
            <w:pPr>
              <w:pStyle w:val="TAL"/>
            </w:pPr>
            <w:r>
              <w:t>integer</w:t>
            </w:r>
          </w:p>
        </w:tc>
        <w:tc>
          <w:tcPr>
            <w:tcW w:w="236" w:type="pct"/>
          </w:tcPr>
          <w:p w14:paraId="00143FCA" w14:textId="77777777" w:rsidR="00A10B25" w:rsidRDefault="00A10B25">
            <w:pPr>
              <w:pStyle w:val="TAC"/>
            </w:pPr>
            <w:r>
              <w:t>C</w:t>
            </w:r>
          </w:p>
        </w:tc>
        <w:tc>
          <w:tcPr>
            <w:tcW w:w="546" w:type="pct"/>
          </w:tcPr>
          <w:p w14:paraId="23DFC9E1" w14:textId="77777777" w:rsidR="00A10B25" w:rsidRDefault="00A10B25">
            <w:pPr>
              <w:pStyle w:val="TAL"/>
            </w:pPr>
            <w:r>
              <w:t>0..1</w:t>
            </w:r>
          </w:p>
        </w:tc>
        <w:tc>
          <w:tcPr>
            <w:tcW w:w="1367" w:type="pct"/>
          </w:tcPr>
          <w:p w14:paraId="5B5077A2" w14:textId="77777777" w:rsidR="00A10B25" w:rsidRDefault="00A10B25">
            <w:pPr>
              <w:pStyle w:val="TAL"/>
            </w:pPr>
            <w:r>
              <w:rPr>
                <w:rFonts w:cs="Arial"/>
                <w:szCs w:val="18"/>
              </w:rPr>
              <w:t>Average usage of memory</w:t>
            </w:r>
            <w:r>
              <w:t xml:space="preserve"> (NOTE 2)</w:t>
            </w:r>
          </w:p>
          <w:p w14:paraId="390A607D" w14:textId="77777777" w:rsidR="00A10B25" w:rsidRDefault="00A10B25">
            <w:pPr>
              <w:pStyle w:val="TAL"/>
            </w:pPr>
            <w:r>
              <w:t>Minimum = 0. Maximum = 100.</w:t>
            </w:r>
          </w:p>
        </w:tc>
        <w:tc>
          <w:tcPr>
            <w:tcW w:w="1113" w:type="pct"/>
          </w:tcPr>
          <w:p w14:paraId="5E245EB2" w14:textId="77777777" w:rsidR="00A10B25" w:rsidRDefault="00A10B25">
            <w:pPr>
              <w:pStyle w:val="TAL"/>
              <w:rPr>
                <w:rFonts w:cs="Arial"/>
                <w:szCs w:val="18"/>
              </w:rPr>
            </w:pPr>
            <w:r>
              <w:rPr>
                <w:rFonts w:cs="Arial"/>
                <w:szCs w:val="18"/>
              </w:rPr>
              <w:t>NfLoad</w:t>
            </w:r>
          </w:p>
        </w:tc>
      </w:tr>
      <w:tr w:rsidR="00A10B25" w14:paraId="691BD890" w14:textId="77777777">
        <w:trPr>
          <w:jc w:val="center"/>
        </w:trPr>
        <w:tc>
          <w:tcPr>
            <w:tcW w:w="914" w:type="pct"/>
          </w:tcPr>
          <w:p w14:paraId="3CFA5B09" w14:textId="77777777" w:rsidR="00A10B25" w:rsidRDefault="00A10B25">
            <w:pPr>
              <w:pStyle w:val="TAL"/>
            </w:pPr>
            <w:r>
              <w:t>nfStorageUsage</w:t>
            </w:r>
          </w:p>
        </w:tc>
        <w:tc>
          <w:tcPr>
            <w:tcW w:w="824" w:type="pct"/>
          </w:tcPr>
          <w:p w14:paraId="6B8338D1" w14:textId="77777777" w:rsidR="00A10B25" w:rsidRDefault="00A10B25">
            <w:pPr>
              <w:pStyle w:val="TAL"/>
            </w:pPr>
            <w:r>
              <w:t>integer</w:t>
            </w:r>
          </w:p>
        </w:tc>
        <w:tc>
          <w:tcPr>
            <w:tcW w:w="236" w:type="pct"/>
          </w:tcPr>
          <w:p w14:paraId="24278DE2" w14:textId="77777777" w:rsidR="00A10B25" w:rsidRDefault="00A10B25">
            <w:pPr>
              <w:pStyle w:val="TAC"/>
            </w:pPr>
            <w:r>
              <w:t>C</w:t>
            </w:r>
          </w:p>
        </w:tc>
        <w:tc>
          <w:tcPr>
            <w:tcW w:w="546" w:type="pct"/>
          </w:tcPr>
          <w:p w14:paraId="1C7AD691" w14:textId="77777777" w:rsidR="00A10B25" w:rsidRDefault="00A10B25">
            <w:pPr>
              <w:pStyle w:val="TAL"/>
            </w:pPr>
            <w:r>
              <w:t>0..1</w:t>
            </w:r>
          </w:p>
        </w:tc>
        <w:tc>
          <w:tcPr>
            <w:tcW w:w="1367" w:type="pct"/>
          </w:tcPr>
          <w:p w14:paraId="2F864CBF" w14:textId="77777777" w:rsidR="00A10B25" w:rsidRDefault="00A10B25">
            <w:pPr>
              <w:pStyle w:val="TAL"/>
            </w:pPr>
            <w:r>
              <w:rPr>
                <w:rFonts w:cs="Arial"/>
                <w:szCs w:val="18"/>
              </w:rPr>
              <w:t>Average usage of storage.</w:t>
            </w:r>
            <w:r>
              <w:t xml:space="preserve"> (NOTE 2)</w:t>
            </w:r>
          </w:p>
          <w:p w14:paraId="4E3B0D95" w14:textId="77777777" w:rsidR="00A10B25" w:rsidRDefault="00A10B25">
            <w:pPr>
              <w:pStyle w:val="TAL"/>
              <w:rPr>
                <w:rFonts w:cs="Arial"/>
                <w:szCs w:val="18"/>
              </w:rPr>
            </w:pPr>
            <w:r>
              <w:rPr>
                <w:rFonts w:cs="Arial"/>
                <w:szCs w:val="18"/>
              </w:rPr>
              <w:t>Minimum = 0. Maximum = 100.</w:t>
            </w:r>
          </w:p>
        </w:tc>
        <w:tc>
          <w:tcPr>
            <w:tcW w:w="1113" w:type="pct"/>
          </w:tcPr>
          <w:p w14:paraId="4A84F0EF" w14:textId="77777777" w:rsidR="00A10B25" w:rsidRDefault="00A10B25">
            <w:pPr>
              <w:pStyle w:val="TAL"/>
              <w:rPr>
                <w:rFonts w:cs="Arial"/>
                <w:szCs w:val="18"/>
              </w:rPr>
            </w:pPr>
            <w:r>
              <w:rPr>
                <w:rFonts w:cs="Arial"/>
                <w:szCs w:val="18"/>
              </w:rPr>
              <w:t>NfLoad</w:t>
            </w:r>
          </w:p>
        </w:tc>
      </w:tr>
      <w:tr w:rsidR="00A10B25" w14:paraId="34F24075" w14:textId="77777777">
        <w:trPr>
          <w:jc w:val="center"/>
        </w:trPr>
        <w:tc>
          <w:tcPr>
            <w:tcW w:w="914" w:type="pct"/>
          </w:tcPr>
          <w:p w14:paraId="6C50010C" w14:textId="77777777" w:rsidR="00A10B25" w:rsidRDefault="00A10B25">
            <w:pPr>
              <w:pStyle w:val="TAL"/>
            </w:pPr>
            <w:r>
              <w:rPr>
                <w:rFonts w:hint="eastAsia"/>
                <w:lang w:eastAsia="ja-JP"/>
              </w:rPr>
              <w:t>a</w:t>
            </w:r>
            <w:r>
              <w:rPr>
                <w:lang w:eastAsia="ja-JP"/>
              </w:rPr>
              <w:t>v</w:t>
            </w:r>
            <w:r>
              <w:rPr>
                <w:rFonts w:hint="eastAsia"/>
                <w:lang w:eastAsia="zh-CN"/>
              </w:rPr>
              <w:t>g</w:t>
            </w:r>
            <w:r>
              <w:t>TrafficRate</w:t>
            </w:r>
          </w:p>
        </w:tc>
        <w:tc>
          <w:tcPr>
            <w:tcW w:w="824" w:type="pct"/>
          </w:tcPr>
          <w:p w14:paraId="54452969" w14:textId="77777777" w:rsidR="00A10B25" w:rsidRDefault="00A10B25">
            <w:pPr>
              <w:pStyle w:val="TAL"/>
            </w:pPr>
            <w:r>
              <w:rPr>
                <w:lang w:eastAsia="zh-CN"/>
              </w:rPr>
              <w:t>BitRate</w:t>
            </w:r>
          </w:p>
        </w:tc>
        <w:tc>
          <w:tcPr>
            <w:tcW w:w="236" w:type="pct"/>
          </w:tcPr>
          <w:p w14:paraId="7C528B51" w14:textId="77777777" w:rsidR="00A10B25" w:rsidRDefault="00A10B25">
            <w:pPr>
              <w:pStyle w:val="TAC"/>
            </w:pPr>
            <w:r>
              <w:t>C</w:t>
            </w:r>
          </w:p>
        </w:tc>
        <w:tc>
          <w:tcPr>
            <w:tcW w:w="546" w:type="pct"/>
          </w:tcPr>
          <w:p w14:paraId="05B78B08" w14:textId="77777777" w:rsidR="00A10B25" w:rsidRDefault="00A10B25">
            <w:pPr>
              <w:pStyle w:val="TAL"/>
            </w:pPr>
            <w:r>
              <w:t>0..1</w:t>
            </w:r>
          </w:p>
        </w:tc>
        <w:tc>
          <w:tcPr>
            <w:tcW w:w="1367" w:type="pct"/>
          </w:tcPr>
          <w:p w14:paraId="6D5D54E5" w14:textId="77777777" w:rsidR="00A10B25" w:rsidRDefault="00A10B25">
            <w:pPr>
              <w:pStyle w:val="TAL"/>
              <w:rPr>
                <w:rFonts w:cs="Arial"/>
                <w:szCs w:val="18"/>
              </w:rPr>
            </w:pPr>
            <w:r>
              <w:t xml:space="preserve">Threshold level of average </w:t>
            </w:r>
            <w:r>
              <w:rPr>
                <w:lang w:eastAsia="zh-CN"/>
              </w:rPr>
              <w:t>traffic rate.</w:t>
            </w:r>
          </w:p>
          <w:p w14:paraId="308ECEBA"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AVG_TRAFFIC_RATE.</w:t>
            </w:r>
          </w:p>
          <w:p w14:paraId="719D8105" w14:textId="77777777" w:rsidR="00A10B25" w:rsidRDefault="00A10B25">
            <w:pPr>
              <w:pStyle w:val="TAL"/>
              <w:rPr>
                <w:rFonts w:cs="Arial"/>
                <w:szCs w:val="18"/>
              </w:rPr>
            </w:pPr>
            <w:r>
              <w:t>(NOTE 3)</w:t>
            </w:r>
          </w:p>
        </w:tc>
        <w:tc>
          <w:tcPr>
            <w:tcW w:w="1113" w:type="pct"/>
          </w:tcPr>
          <w:p w14:paraId="426B99A6" w14:textId="77777777" w:rsidR="00A10B25" w:rsidRDefault="00A10B25">
            <w:pPr>
              <w:pStyle w:val="TAL"/>
              <w:rPr>
                <w:rFonts w:cs="Arial"/>
                <w:szCs w:val="18"/>
              </w:rPr>
            </w:pPr>
            <w:r>
              <w:rPr>
                <w:rFonts w:hint="eastAsia"/>
                <w:lang w:eastAsia="zh-CN"/>
              </w:rPr>
              <w:t>Dn</w:t>
            </w:r>
            <w:r>
              <w:t>Performance</w:t>
            </w:r>
          </w:p>
        </w:tc>
      </w:tr>
      <w:tr w:rsidR="00A10B25" w14:paraId="727B64A2" w14:textId="77777777">
        <w:trPr>
          <w:jc w:val="center"/>
        </w:trPr>
        <w:tc>
          <w:tcPr>
            <w:tcW w:w="914" w:type="pct"/>
          </w:tcPr>
          <w:p w14:paraId="4C9FA976" w14:textId="77777777" w:rsidR="00A10B25" w:rsidRDefault="00A10B25">
            <w:pPr>
              <w:pStyle w:val="TAL"/>
            </w:pPr>
            <w:r>
              <w:t>maxTrafficRate</w:t>
            </w:r>
          </w:p>
        </w:tc>
        <w:tc>
          <w:tcPr>
            <w:tcW w:w="824" w:type="pct"/>
          </w:tcPr>
          <w:p w14:paraId="2434EF5B" w14:textId="77777777" w:rsidR="00A10B25" w:rsidRDefault="00A10B25">
            <w:pPr>
              <w:pStyle w:val="TAL"/>
            </w:pPr>
            <w:r>
              <w:rPr>
                <w:lang w:eastAsia="zh-CN"/>
              </w:rPr>
              <w:t>BitRate</w:t>
            </w:r>
          </w:p>
        </w:tc>
        <w:tc>
          <w:tcPr>
            <w:tcW w:w="236" w:type="pct"/>
          </w:tcPr>
          <w:p w14:paraId="1DCF4795" w14:textId="77777777" w:rsidR="00A10B25" w:rsidRDefault="00A10B25">
            <w:pPr>
              <w:pStyle w:val="TAC"/>
            </w:pPr>
            <w:r>
              <w:t>C</w:t>
            </w:r>
          </w:p>
        </w:tc>
        <w:tc>
          <w:tcPr>
            <w:tcW w:w="546" w:type="pct"/>
          </w:tcPr>
          <w:p w14:paraId="33F9EA95" w14:textId="77777777" w:rsidR="00A10B25" w:rsidRDefault="00A10B25">
            <w:pPr>
              <w:pStyle w:val="TAL"/>
            </w:pPr>
            <w:r>
              <w:t>0..1</w:t>
            </w:r>
          </w:p>
        </w:tc>
        <w:tc>
          <w:tcPr>
            <w:tcW w:w="1367" w:type="pct"/>
          </w:tcPr>
          <w:p w14:paraId="15A92C99" w14:textId="77777777" w:rsidR="00A10B25" w:rsidRDefault="00A10B25">
            <w:pPr>
              <w:pStyle w:val="TAL"/>
              <w:rPr>
                <w:rFonts w:cs="Arial"/>
                <w:szCs w:val="18"/>
              </w:rPr>
            </w:pPr>
            <w:r>
              <w:t xml:space="preserve">Threshold level of </w:t>
            </w:r>
            <w:r>
              <w:rPr>
                <w:rFonts w:hint="eastAsia"/>
                <w:lang w:eastAsia="zh-CN"/>
              </w:rPr>
              <w:t>maximum</w:t>
            </w:r>
            <w:r>
              <w:rPr>
                <w:lang w:eastAsia="zh-CN"/>
              </w:rPr>
              <w:t xml:space="preserve"> traffic rate.</w:t>
            </w:r>
          </w:p>
          <w:p w14:paraId="1620B497"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MAX_TRAFFIC_RATE.</w:t>
            </w:r>
          </w:p>
          <w:p w14:paraId="7FBCB182" w14:textId="77777777" w:rsidR="00A10B25" w:rsidRDefault="00A10B25">
            <w:pPr>
              <w:pStyle w:val="TAL"/>
              <w:rPr>
                <w:rFonts w:cs="Arial"/>
                <w:szCs w:val="18"/>
              </w:rPr>
            </w:pPr>
            <w:r>
              <w:t>(NOTE 3)</w:t>
            </w:r>
          </w:p>
        </w:tc>
        <w:tc>
          <w:tcPr>
            <w:tcW w:w="1113" w:type="pct"/>
          </w:tcPr>
          <w:p w14:paraId="04F2D253" w14:textId="77777777" w:rsidR="00A10B25" w:rsidRDefault="00A10B25">
            <w:pPr>
              <w:pStyle w:val="TAL"/>
              <w:rPr>
                <w:rFonts w:cs="Arial"/>
                <w:szCs w:val="18"/>
              </w:rPr>
            </w:pPr>
            <w:r>
              <w:rPr>
                <w:rFonts w:hint="eastAsia"/>
                <w:lang w:eastAsia="zh-CN"/>
              </w:rPr>
              <w:t>Dn</w:t>
            </w:r>
            <w:r>
              <w:t>Performance</w:t>
            </w:r>
          </w:p>
        </w:tc>
      </w:tr>
      <w:tr w:rsidR="00A10B25" w14:paraId="1B6EE505" w14:textId="77777777">
        <w:trPr>
          <w:jc w:val="center"/>
        </w:trPr>
        <w:tc>
          <w:tcPr>
            <w:tcW w:w="914" w:type="pct"/>
          </w:tcPr>
          <w:p w14:paraId="02D09AAF" w14:textId="77777777" w:rsidR="00A10B25" w:rsidRDefault="00A10B25">
            <w:pPr>
              <w:pStyle w:val="TAL"/>
            </w:pPr>
            <w:r>
              <w:t>minTrafficRate</w:t>
            </w:r>
          </w:p>
        </w:tc>
        <w:tc>
          <w:tcPr>
            <w:tcW w:w="824" w:type="pct"/>
          </w:tcPr>
          <w:p w14:paraId="17CADA8F" w14:textId="77777777" w:rsidR="00A10B25" w:rsidRDefault="00A10B25">
            <w:pPr>
              <w:pStyle w:val="TAL"/>
              <w:rPr>
                <w:lang w:eastAsia="zh-CN"/>
              </w:rPr>
            </w:pPr>
            <w:r>
              <w:rPr>
                <w:lang w:eastAsia="zh-CN"/>
              </w:rPr>
              <w:t>BitRate</w:t>
            </w:r>
          </w:p>
        </w:tc>
        <w:tc>
          <w:tcPr>
            <w:tcW w:w="236" w:type="pct"/>
          </w:tcPr>
          <w:p w14:paraId="5C2F4F28" w14:textId="77777777" w:rsidR="00A10B25" w:rsidRDefault="00A10B25">
            <w:pPr>
              <w:pStyle w:val="TAC"/>
            </w:pPr>
            <w:r>
              <w:t>C</w:t>
            </w:r>
          </w:p>
        </w:tc>
        <w:tc>
          <w:tcPr>
            <w:tcW w:w="546" w:type="pct"/>
          </w:tcPr>
          <w:p w14:paraId="1DFC8CA5" w14:textId="77777777" w:rsidR="00A10B25" w:rsidRDefault="00A10B25">
            <w:pPr>
              <w:pStyle w:val="TAL"/>
            </w:pPr>
            <w:r>
              <w:t>0..1</w:t>
            </w:r>
          </w:p>
        </w:tc>
        <w:tc>
          <w:tcPr>
            <w:tcW w:w="1367" w:type="pct"/>
          </w:tcPr>
          <w:p w14:paraId="7CAC6AFB" w14:textId="77777777" w:rsidR="00A10B25" w:rsidRDefault="00A10B25">
            <w:pPr>
              <w:pStyle w:val="TAL"/>
              <w:rPr>
                <w:lang w:eastAsia="zh-CN"/>
              </w:rPr>
            </w:pPr>
            <w:r>
              <w:t xml:space="preserve">Threshold level of </w:t>
            </w:r>
            <w:r>
              <w:rPr>
                <w:rFonts w:hint="eastAsia"/>
                <w:lang w:eastAsia="zh-CN"/>
              </w:rPr>
              <w:t>m</w:t>
            </w:r>
            <w:r>
              <w:rPr>
                <w:lang w:eastAsia="zh-CN"/>
              </w:rPr>
              <w:t>in</w:t>
            </w:r>
            <w:r>
              <w:rPr>
                <w:rFonts w:hint="eastAsia"/>
                <w:lang w:eastAsia="zh-CN"/>
              </w:rPr>
              <w:t>imum</w:t>
            </w:r>
            <w:r>
              <w:rPr>
                <w:lang w:eastAsia="zh-CN"/>
              </w:rPr>
              <w:t xml:space="preserve"> traffic rate.</w:t>
            </w:r>
          </w:p>
          <w:p w14:paraId="7D91259A" w14:textId="77777777" w:rsidR="00A10B25" w:rsidRDefault="00A10B25">
            <w:pPr>
              <w:pStyle w:val="TAL"/>
            </w:pPr>
          </w:p>
          <w:p w14:paraId="445C800D" w14:textId="77777777" w:rsidR="00A10B25" w:rsidRDefault="00A10B25">
            <w:pPr>
              <w:pStyle w:val="TAL"/>
            </w:pPr>
            <w:r>
              <w:t>The minimum traffic rate measurements are only derived from active traffic. (NOTE 4)</w:t>
            </w:r>
          </w:p>
        </w:tc>
        <w:tc>
          <w:tcPr>
            <w:tcW w:w="1113" w:type="pct"/>
          </w:tcPr>
          <w:p w14:paraId="2BA95D59" w14:textId="77777777" w:rsidR="00A10B25" w:rsidRDefault="00A10B25">
            <w:pPr>
              <w:pStyle w:val="TAL"/>
              <w:rPr>
                <w:lang w:eastAsia="zh-CN"/>
              </w:rPr>
            </w:pPr>
            <w:r>
              <w:rPr>
                <w:rFonts w:hint="eastAsia"/>
                <w:lang w:eastAsia="zh-CN"/>
              </w:rPr>
              <w:t>Dn</w:t>
            </w:r>
            <w:r>
              <w:t>PerformanceExt_AIML</w:t>
            </w:r>
          </w:p>
        </w:tc>
      </w:tr>
      <w:tr w:rsidR="00A10B25" w14:paraId="2B2E4347" w14:textId="77777777">
        <w:trPr>
          <w:jc w:val="center"/>
        </w:trPr>
        <w:tc>
          <w:tcPr>
            <w:tcW w:w="914" w:type="pct"/>
          </w:tcPr>
          <w:p w14:paraId="0854A173" w14:textId="77777777" w:rsidR="00A10B25" w:rsidRDefault="00A10B25">
            <w:pPr>
              <w:pStyle w:val="TAL"/>
            </w:pPr>
            <w:r>
              <w:t>aggTrafficRate</w:t>
            </w:r>
          </w:p>
        </w:tc>
        <w:tc>
          <w:tcPr>
            <w:tcW w:w="824" w:type="pct"/>
          </w:tcPr>
          <w:p w14:paraId="31C267D5" w14:textId="77777777" w:rsidR="00A10B25" w:rsidRDefault="00A10B25">
            <w:pPr>
              <w:pStyle w:val="TAL"/>
              <w:rPr>
                <w:lang w:eastAsia="zh-CN"/>
              </w:rPr>
            </w:pPr>
            <w:r>
              <w:rPr>
                <w:lang w:eastAsia="zh-CN"/>
              </w:rPr>
              <w:t>BitRate</w:t>
            </w:r>
          </w:p>
        </w:tc>
        <w:tc>
          <w:tcPr>
            <w:tcW w:w="236" w:type="pct"/>
          </w:tcPr>
          <w:p w14:paraId="0A1632EB" w14:textId="77777777" w:rsidR="00A10B25" w:rsidRDefault="00A10B25">
            <w:pPr>
              <w:pStyle w:val="TAC"/>
            </w:pPr>
            <w:r>
              <w:t>C</w:t>
            </w:r>
          </w:p>
        </w:tc>
        <w:tc>
          <w:tcPr>
            <w:tcW w:w="546" w:type="pct"/>
          </w:tcPr>
          <w:p w14:paraId="10AC215D" w14:textId="77777777" w:rsidR="00A10B25" w:rsidRDefault="00A10B25">
            <w:pPr>
              <w:pStyle w:val="TAL"/>
            </w:pPr>
            <w:r>
              <w:t>0..1</w:t>
            </w:r>
          </w:p>
        </w:tc>
        <w:tc>
          <w:tcPr>
            <w:tcW w:w="1367" w:type="pct"/>
          </w:tcPr>
          <w:p w14:paraId="3688A4E8" w14:textId="77777777" w:rsidR="00A10B25" w:rsidRDefault="00A10B25">
            <w:pPr>
              <w:pStyle w:val="TAL"/>
              <w:rPr>
                <w:rFonts w:cs="Arial"/>
                <w:szCs w:val="18"/>
              </w:rPr>
            </w:pPr>
            <w:r>
              <w:t xml:space="preserve">Threshold level of </w:t>
            </w:r>
            <w:r>
              <w:rPr>
                <w:lang w:eastAsia="zh-CN"/>
              </w:rPr>
              <w:t>aggregated traffic rate.</w:t>
            </w:r>
          </w:p>
          <w:p w14:paraId="332B33FF"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AGG_TRAFFIC_RATE.</w:t>
            </w:r>
          </w:p>
          <w:p w14:paraId="1B767DB4" w14:textId="77777777" w:rsidR="00A10B25" w:rsidRDefault="00A10B25">
            <w:pPr>
              <w:pStyle w:val="TAL"/>
            </w:pPr>
            <w:r>
              <w:t>(NOTE 4)</w:t>
            </w:r>
          </w:p>
        </w:tc>
        <w:tc>
          <w:tcPr>
            <w:tcW w:w="1113" w:type="pct"/>
          </w:tcPr>
          <w:p w14:paraId="2BC1217B" w14:textId="77777777" w:rsidR="00A10B25" w:rsidRDefault="00A10B25">
            <w:pPr>
              <w:pStyle w:val="TAL"/>
              <w:rPr>
                <w:lang w:eastAsia="zh-CN"/>
              </w:rPr>
            </w:pPr>
            <w:r>
              <w:rPr>
                <w:rFonts w:hint="eastAsia"/>
                <w:lang w:eastAsia="zh-CN"/>
              </w:rPr>
              <w:t>Dn</w:t>
            </w:r>
            <w:r>
              <w:t>PerformanceExt_AIML</w:t>
            </w:r>
          </w:p>
        </w:tc>
      </w:tr>
      <w:tr w:rsidR="00A10B25" w14:paraId="114A66A9" w14:textId="77777777">
        <w:trPr>
          <w:jc w:val="center"/>
        </w:trPr>
        <w:tc>
          <w:tcPr>
            <w:tcW w:w="914" w:type="pct"/>
          </w:tcPr>
          <w:p w14:paraId="28D7BB3C" w14:textId="77777777" w:rsidR="00A10B25" w:rsidRDefault="00A10B25">
            <w:pPr>
              <w:pStyle w:val="TAL"/>
            </w:pPr>
            <w:r>
              <w:t>varTrafficRate</w:t>
            </w:r>
          </w:p>
        </w:tc>
        <w:tc>
          <w:tcPr>
            <w:tcW w:w="824" w:type="pct"/>
          </w:tcPr>
          <w:p w14:paraId="7736A85D" w14:textId="77777777" w:rsidR="00A10B25" w:rsidRDefault="00A10B25">
            <w:pPr>
              <w:pStyle w:val="TAL"/>
              <w:rPr>
                <w:lang w:eastAsia="zh-CN"/>
              </w:rPr>
            </w:pPr>
            <w:r>
              <w:t>Float</w:t>
            </w:r>
          </w:p>
        </w:tc>
        <w:tc>
          <w:tcPr>
            <w:tcW w:w="236" w:type="pct"/>
          </w:tcPr>
          <w:p w14:paraId="06E5E123" w14:textId="77777777" w:rsidR="00A10B25" w:rsidRDefault="00A10B25">
            <w:pPr>
              <w:pStyle w:val="TAC"/>
            </w:pPr>
            <w:r>
              <w:t>C</w:t>
            </w:r>
          </w:p>
        </w:tc>
        <w:tc>
          <w:tcPr>
            <w:tcW w:w="546" w:type="pct"/>
          </w:tcPr>
          <w:p w14:paraId="3BFABE2D" w14:textId="77777777" w:rsidR="00A10B25" w:rsidRDefault="00A10B25">
            <w:pPr>
              <w:pStyle w:val="TAL"/>
            </w:pPr>
            <w:r>
              <w:t>0..1</w:t>
            </w:r>
          </w:p>
        </w:tc>
        <w:tc>
          <w:tcPr>
            <w:tcW w:w="1367" w:type="pct"/>
          </w:tcPr>
          <w:p w14:paraId="1D5EA29C" w14:textId="77777777" w:rsidR="00A10B25" w:rsidRDefault="00A10B25">
            <w:pPr>
              <w:pStyle w:val="TAL"/>
              <w:rPr>
                <w:rFonts w:cs="Arial"/>
                <w:szCs w:val="18"/>
              </w:rPr>
            </w:pPr>
            <w:r>
              <w:t xml:space="preserve">Threshold level of </w:t>
            </w:r>
            <w:r>
              <w:rPr>
                <w:lang w:eastAsia="zh-CN"/>
              </w:rPr>
              <w:t>variance of traffic rate.</w:t>
            </w:r>
          </w:p>
          <w:p w14:paraId="5291017A" w14:textId="77777777" w:rsidR="00A10B25" w:rsidRDefault="00A10B25">
            <w:pPr>
              <w:pStyle w:val="TAL"/>
              <w:rPr>
                <w:lang w:eastAsia="zh-CN"/>
              </w:rPr>
            </w:pPr>
            <w:r>
              <w:rPr>
                <w:rFonts w:cs="Arial"/>
                <w:szCs w:val="18"/>
              </w:rPr>
              <w:t>Shall be present</w:t>
            </w:r>
            <w:r>
              <w:rPr>
                <w:lang w:eastAsia="zh-CN"/>
              </w:rPr>
              <w:t xml:space="preserve"> if one of the elements in the "listOfAnaSubsets" attribute was set to VAR_TRAFFIC_RATE.</w:t>
            </w:r>
          </w:p>
          <w:p w14:paraId="1FF2981D" w14:textId="77777777" w:rsidR="00A10B25" w:rsidRDefault="00A10B25">
            <w:pPr>
              <w:pStyle w:val="TAL"/>
            </w:pPr>
            <w:r>
              <w:t>(NOTE 4)</w:t>
            </w:r>
          </w:p>
        </w:tc>
        <w:tc>
          <w:tcPr>
            <w:tcW w:w="1113" w:type="pct"/>
          </w:tcPr>
          <w:p w14:paraId="38C24E80" w14:textId="77777777" w:rsidR="00A10B25" w:rsidRDefault="00A10B25">
            <w:pPr>
              <w:pStyle w:val="TAL"/>
              <w:rPr>
                <w:lang w:eastAsia="zh-CN"/>
              </w:rPr>
            </w:pPr>
            <w:r>
              <w:rPr>
                <w:rFonts w:hint="eastAsia"/>
                <w:lang w:eastAsia="zh-CN"/>
              </w:rPr>
              <w:t>Dn</w:t>
            </w:r>
            <w:r>
              <w:t>PerformanceExt_AIML</w:t>
            </w:r>
          </w:p>
        </w:tc>
      </w:tr>
      <w:tr w:rsidR="00A10B25" w14:paraId="01BF95CD" w14:textId="77777777">
        <w:trPr>
          <w:jc w:val="center"/>
        </w:trPr>
        <w:tc>
          <w:tcPr>
            <w:tcW w:w="914" w:type="pct"/>
          </w:tcPr>
          <w:p w14:paraId="6E5112EB" w14:textId="77777777" w:rsidR="00A10B25" w:rsidRDefault="00A10B25">
            <w:pPr>
              <w:pStyle w:val="TAL"/>
            </w:pPr>
            <w:r>
              <w:t>av</w:t>
            </w:r>
            <w:r>
              <w:rPr>
                <w:rFonts w:hint="eastAsia"/>
                <w:lang w:eastAsia="zh-CN"/>
              </w:rPr>
              <w:t>g</w:t>
            </w:r>
            <w:r>
              <w:t>PacketDelay</w:t>
            </w:r>
          </w:p>
        </w:tc>
        <w:tc>
          <w:tcPr>
            <w:tcW w:w="824" w:type="pct"/>
          </w:tcPr>
          <w:p w14:paraId="374FC40C" w14:textId="77777777" w:rsidR="00A10B25" w:rsidRDefault="00A10B25">
            <w:pPr>
              <w:pStyle w:val="TAL"/>
            </w:pPr>
            <w:r>
              <w:t>PacketDelBudget</w:t>
            </w:r>
          </w:p>
        </w:tc>
        <w:tc>
          <w:tcPr>
            <w:tcW w:w="236" w:type="pct"/>
          </w:tcPr>
          <w:p w14:paraId="0A20D1CF" w14:textId="77777777" w:rsidR="00A10B25" w:rsidRDefault="00A10B25">
            <w:pPr>
              <w:pStyle w:val="TAC"/>
            </w:pPr>
            <w:r>
              <w:t>C</w:t>
            </w:r>
          </w:p>
        </w:tc>
        <w:tc>
          <w:tcPr>
            <w:tcW w:w="546" w:type="pct"/>
          </w:tcPr>
          <w:p w14:paraId="281DB6AF" w14:textId="77777777" w:rsidR="00A10B25" w:rsidRDefault="00A10B25">
            <w:pPr>
              <w:pStyle w:val="TAL"/>
            </w:pPr>
            <w:r>
              <w:t>0..1</w:t>
            </w:r>
          </w:p>
        </w:tc>
        <w:tc>
          <w:tcPr>
            <w:tcW w:w="1367" w:type="pct"/>
          </w:tcPr>
          <w:p w14:paraId="16F6322A" w14:textId="77777777" w:rsidR="00A10B25" w:rsidRDefault="00A10B25">
            <w:pPr>
              <w:pStyle w:val="TAL"/>
              <w:rPr>
                <w:rFonts w:cs="Arial"/>
                <w:szCs w:val="18"/>
              </w:rPr>
            </w:pPr>
            <w:r>
              <w:t>Threshold level of average Packet Delay.</w:t>
            </w:r>
          </w:p>
          <w:p w14:paraId="7DEF3FE2" w14:textId="77777777" w:rsidR="00A10B25" w:rsidRDefault="00A10B25">
            <w:pPr>
              <w:pStyle w:val="TAL"/>
            </w:pPr>
            <w:r>
              <w:rPr>
                <w:rFonts w:cs="Arial"/>
                <w:szCs w:val="18"/>
              </w:rPr>
              <w:t>Shall be present</w:t>
            </w:r>
            <w:r>
              <w:rPr>
                <w:lang w:eastAsia="zh-CN"/>
              </w:rPr>
              <w:t xml:space="preserve"> if one of the elements in the "listOfAnaSubsets" attribute was set to AVG_PACKET_DELAY.</w:t>
            </w:r>
          </w:p>
          <w:p w14:paraId="5E72BE01" w14:textId="77777777" w:rsidR="00A10B25" w:rsidRDefault="00A10B25">
            <w:pPr>
              <w:pStyle w:val="TAL"/>
              <w:rPr>
                <w:rFonts w:cs="Arial"/>
                <w:szCs w:val="18"/>
              </w:rPr>
            </w:pPr>
            <w:r>
              <w:t>(NOTE 3)</w:t>
            </w:r>
          </w:p>
        </w:tc>
        <w:tc>
          <w:tcPr>
            <w:tcW w:w="1113" w:type="pct"/>
          </w:tcPr>
          <w:p w14:paraId="72F024C5" w14:textId="77777777" w:rsidR="00A10B25" w:rsidRDefault="00A10B25">
            <w:pPr>
              <w:pStyle w:val="TAL"/>
              <w:rPr>
                <w:rFonts w:cs="Arial"/>
                <w:szCs w:val="18"/>
              </w:rPr>
            </w:pPr>
            <w:r>
              <w:rPr>
                <w:rFonts w:hint="eastAsia"/>
                <w:lang w:eastAsia="zh-CN"/>
              </w:rPr>
              <w:t>Dn</w:t>
            </w:r>
            <w:r>
              <w:t>Performance</w:t>
            </w:r>
          </w:p>
        </w:tc>
      </w:tr>
      <w:tr w:rsidR="00A10B25" w14:paraId="764B47C2" w14:textId="77777777">
        <w:trPr>
          <w:jc w:val="center"/>
        </w:trPr>
        <w:tc>
          <w:tcPr>
            <w:tcW w:w="914" w:type="pct"/>
          </w:tcPr>
          <w:p w14:paraId="2DE2933E" w14:textId="77777777" w:rsidR="00A10B25" w:rsidRDefault="00A10B25">
            <w:pPr>
              <w:pStyle w:val="TAL"/>
            </w:pPr>
            <w:r>
              <w:lastRenderedPageBreak/>
              <w:t>maxPacketDelay</w:t>
            </w:r>
          </w:p>
        </w:tc>
        <w:tc>
          <w:tcPr>
            <w:tcW w:w="824" w:type="pct"/>
          </w:tcPr>
          <w:p w14:paraId="68378D16" w14:textId="77777777" w:rsidR="00A10B25" w:rsidRDefault="00A10B25">
            <w:pPr>
              <w:pStyle w:val="TAL"/>
            </w:pPr>
            <w:r>
              <w:t>PacketDelBudget</w:t>
            </w:r>
          </w:p>
        </w:tc>
        <w:tc>
          <w:tcPr>
            <w:tcW w:w="236" w:type="pct"/>
          </w:tcPr>
          <w:p w14:paraId="362C747D" w14:textId="77777777" w:rsidR="00A10B25" w:rsidRDefault="00A10B25">
            <w:pPr>
              <w:pStyle w:val="TAC"/>
            </w:pPr>
            <w:r>
              <w:t>C</w:t>
            </w:r>
          </w:p>
        </w:tc>
        <w:tc>
          <w:tcPr>
            <w:tcW w:w="546" w:type="pct"/>
          </w:tcPr>
          <w:p w14:paraId="627D9DAC" w14:textId="77777777" w:rsidR="00A10B25" w:rsidRDefault="00A10B25">
            <w:pPr>
              <w:pStyle w:val="TAL"/>
            </w:pPr>
            <w:r>
              <w:t>0..1</w:t>
            </w:r>
          </w:p>
        </w:tc>
        <w:tc>
          <w:tcPr>
            <w:tcW w:w="1367" w:type="pct"/>
          </w:tcPr>
          <w:p w14:paraId="0816CD84" w14:textId="77777777" w:rsidR="00A10B25" w:rsidRDefault="00A10B25">
            <w:pPr>
              <w:pStyle w:val="TAL"/>
            </w:pPr>
            <w:r>
              <w:t>Threshold level of m</w:t>
            </w:r>
            <w:r>
              <w:rPr>
                <w:rFonts w:hint="eastAsia"/>
                <w:lang w:eastAsia="zh-CN"/>
              </w:rPr>
              <w:t>aximum</w:t>
            </w:r>
            <w:r>
              <w:t xml:space="preserve"> Packet Delay.</w:t>
            </w:r>
          </w:p>
          <w:p w14:paraId="6DD7085B" w14:textId="77777777" w:rsidR="00A10B25" w:rsidRDefault="00A10B25">
            <w:pPr>
              <w:pStyle w:val="TAL"/>
            </w:pPr>
            <w:r>
              <w:rPr>
                <w:rFonts w:cs="Arial"/>
                <w:szCs w:val="18"/>
              </w:rPr>
              <w:t>Shall be present</w:t>
            </w:r>
            <w:r>
              <w:rPr>
                <w:lang w:eastAsia="zh-CN"/>
              </w:rPr>
              <w:t xml:space="preserve"> if one of the elements in the "listOfAnaSubsets" attribute was set to MAX_PACKET_DELAY.</w:t>
            </w:r>
          </w:p>
          <w:p w14:paraId="6D688F3B" w14:textId="77777777" w:rsidR="00A10B25" w:rsidRDefault="00A10B25">
            <w:pPr>
              <w:pStyle w:val="TAL"/>
              <w:rPr>
                <w:rFonts w:cs="Arial"/>
                <w:szCs w:val="18"/>
              </w:rPr>
            </w:pPr>
            <w:r>
              <w:t>(NOTE 3)</w:t>
            </w:r>
          </w:p>
        </w:tc>
        <w:tc>
          <w:tcPr>
            <w:tcW w:w="1113" w:type="pct"/>
          </w:tcPr>
          <w:p w14:paraId="5F4BB428" w14:textId="77777777" w:rsidR="00A10B25" w:rsidRDefault="00A10B25">
            <w:pPr>
              <w:pStyle w:val="TAL"/>
              <w:rPr>
                <w:rFonts w:cs="Arial"/>
                <w:szCs w:val="18"/>
              </w:rPr>
            </w:pPr>
            <w:r>
              <w:rPr>
                <w:rFonts w:hint="eastAsia"/>
                <w:lang w:eastAsia="zh-CN"/>
              </w:rPr>
              <w:t>Dn</w:t>
            </w:r>
            <w:r>
              <w:t>Performance</w:t>
            </w:r>
          </w:p>
        </w:tc>
      </w:tr>
      <w:tr w:rsidR="00A10B25" w14:paraId="03A8F92D" w14:textId="77777777">
        <w:trPr>
          <w:jc w:val="center"/>
        </w:trPr>
        <w:tc>
          <w:tcPr>
            <w:tcW w:w="914" w:type="pct"/>
          </w:tcPr>
          <w:p w14:paraId="410CC687" w14:textId="77777777" w:rsidR="00A10B25" w:rsidRDefault="00A10B25">
            <w:pPr>
              <w:pStyle w:val="TAL"/>
            </w:pPr>
            <w:r>
              <w:t>varPacketDelay</w:t>
            </w:r>
          </w:p>
        </w:tc>
        <w:tc>
          <w:tcPr>
            <w:tcW w:w="824" w:type="pct"/>
          </w:tcPr>
          <w:p w14:paraId="2228F5FF" w14:textId="77777777" w:rsidR="00A10B25" w:rsidRDefault="00A10B25">
            <w:pPr>
              <w:pStyle w:val="TAL"/>
            </w:pPr>
            <w:r>
              <w:t>Float</w:t>
            </w:r>
          </w:p>
        </w:tc>
        <w:tc>
          <w:tcPr>
            <w:tcW w:w="236" w:type="pct"/>
          </w:tcPr>
          <w:p w14:paraId="18720005" w14:textId="77777777" w:rsidR="00A10B25" w:rsidRDefault="00A10B25">
            <w:pPr>
              <w:pStyle w:val="TAC"/>
            </w:pPr>
            <w:r>
              <w:t>C</w:t>
            </w:r>
          </w:p>
        </w:tc>
        <w:tc>
          <w:tcPr>
            <w:tcW w:w="546" w:type="pct"/>
          </w:tcPr>
          <w:p w14:paraId="6877851F" w14:textId="77777777" w:rsidR="00A10B25" w:rsidRDefault="00A10B25">
            <w:pPr>
              <w:pStyle w:val="TAL"/>
            </w:pPr>
            <w:r>
              <w:t>0..1</w:t>
            </w:r>
          </w:p>
        </w:tc>
        <w:tc>
          <w:tcPr>
            <w:tcW w:w="1367" w:type="pct"/>
          </w:tcPr>
          <w:p w14:paraId="4C3AF723" w14:textId="77777777" w:rsidR="00A10B25" w:rsidRDefault="00A10B25">
            <w:pPr>
              <w:pStyle w:val="TAL"/>
            </w:pPr>
            <w:r>
              <w:t>Threshold level of variance of Packet Delay.</w:t>
            </w:r>
          </w:p>
          <w:p w14:paraId="0D27E3BE" w14:textId="77777777" w:rsidR="00A10B25" w:rsidRDefault="00A10B25">
            <w:pPr>
              <w:pStyle w:val="TAL"/>
            </w:pPr>
            <w:r>
              <w:rPr>
                <w:rFonts w:cs="Arial"/>
                <w:szCs w:val="18"/>
              </w:rPr>
              <w:t>Shall be present</w:t>
            </w:r>
            <w:r>
              <w:rPr>
                <w:lang w:eastAsia="zh-CN"/>
              </w:rPr>
              <w:t xml:space="preserve"> if one of the elements in the "listOfAnaSubsets" attribute was set to VAR_PACKET_DELAY.</w:t>
            </w:r>
          </w:p>
          <w:p w14:paraId="4E58A453" w14:textId="77777777" w:rsidR="00A10B25" w:rsidRDefault="00A10B25">
            <w:pPr>
              <w:pStyle w:val="TAL"/>
            </w:pPr>
            <w:r>
              <w:t>(NOTE 4)</w:t>
            </w:r>
          </w:p>
        </w:tc>
        <w:tc>
          <w:tcPr>
            <w:tcW w:w="1113" w:type="pct"/>
          </w:tcPr>
          <w:p w14:paraId="39A4D5C0" w14:textId="77777777" w:rsidR="00A10B25" w:rsidRDefault="00A10B25">
            <w:pPr>
              <w:pStyle w:val="TAL"/>
              <w:rPr>
                <w:lang w:eastAsia="zh-CN"/>
              </w:rPr>
            </w:pPr>
            <w:r>
              <w:rPr>
                <w:rFonts w:hint="eastAsia"/>
                <w:lang w:eastAsia="zh-CN"/>
              </w:rPr>
              <w:t>Dn</w:t>
            </w:r>
            <w:r>
              <w:t>PerformanceExt_AIML</w:t>
            </w:r>
          </w:p>
        </w:tc>
      </w:tr>
      <w:tr w:rsidR="00A10B25" w14:paraId="08BA3358" w14:textId="77777777">
        <w:trPr>
          <w:jc w:val="center"/>
        </w:trPr>
        <w:tc>
          <w:tcPr>
            <w:tcW w:w="914" w:type="pct"/>
          </w:tcPr>
          <w:p w14:paraId="046BDF56" w14:textId="77777777" w:rsidR="00A10B25" w:rsidRDefault="00A10B25">
            <w:pPr>
              <w:pStyle w:val="TAL"/>
            </w:pPr>
            <w:r>
              <w:t>av</w:t>
            </w:r>
            <w:r>
              <w:rPr>
                <w:rFonts w:hint="eastAsia"/>
                <w:lang w:eastAsia="zh-CN"/>
              </w:rPr>
              <w:t>g</w:t>
            </w:r>
            <w:r>
              <w:t>PacketLossRate</w:t>
            </w:r>
          </w:p>
        </w:tc>
        <w:tc>
          <w:tcPr>
            <w:tcW w:w="824" w:type="pct"/>
          </w:tcPr>
          <w:p w14:paraId="39638B42" w14:textId="77777777" w:rsidR="00A10B25" w:rsidRDefault="00A10B25">
            <w:pPr>
              <w:pStyle w:val="TAL"/>
            </w:pPr>
            <w:r>
              <w:t>PacketLossRate</w:t>
            </w:r>
          </w:p>
        </w:tc>
        <w:tc>
          <w:tcPr>
            <w:tcW w:w="236" w:type="pct"/>
          </w:tcPr>
          <w:p w14:paraId="3AE2327A" w14:textId="77777777" w:rsidR="00A10B25" w:rsidRDefault="00A10B25">
            <w:pPr>
              <w:pStyle w:val="TAC"/>
            </w:pPr>
            <w:r>
              <w:t>C</w:t>
            </w:r>
          </w:p>
        </w:tc>
        <w:tc>
          <w:tcPr>
            <w:tcW w:w="546" w:type="pct"/>
          </w:tcPr>
          <w:p w14:paraId="12B74173" w14:textId="77777777" w:rsidR="00A10B25" w:rsidRDefault="00A10B25">
            <w:pPr>
              <w:pStyle w:val="TAL"/>
            </w:pPr>
            <w:r>
              <w:t>0..1</w:t>
            </w:r>
          </w:p>
        </w:tc>
        <w:tc>
          <w:tcPr>
            <w:tcW w:w="1367" w:type="pct"/>
          </w:tcPr>
          <w:p w14:paraId="1B568510" w14:textId="77777777" w:rsidR="00A10B25" w:rsidRDefault="00A10B25">
            <w:pPr>
              <w:pStyle w:val="TAL"/>
            </w:pPr>
            <w:r>
              <w:t>Threshold level of average Loss Rate.</w:t>
            </w:r>
          </w:p>
          <w:p w14:paraId="613B77B3" w14:textId="77777777" w:rsidR="00A10B25" w:rsidRDefault="00A10B25">
            <w:pPr>
              <w:pStyle w:val="TAL"/>
            </w:pPr>
            <w:r>
              <w:rPr>
                <w:rFonts w:cs="Arial"/>
                <w:szCs w:val="18"/>
              </w:rPr>
              <w:t>Shall be present</w:t>
            </w:r>
            <w:r>
              <w:rPr>
                <w:lang w:eastAsia="zh-CN"/>
              </w:rPr>
              <w:t xml:space="preserve"> if one of the elements in the "listOfAnaSubsets" attribute was set to AVG_PACKET_LOSS_RATE.</w:t>
            </w:r>
          </w:p>
          <w:p w14:paraId="416BF368" w14:textId="77777777" w:rsidR="00A10B25" w:rsidRDefault="00A10B25">
            <w:pPr>
              <w:pStyle w:val="TAL"/>
              <w:rPr>
                <w:rFonts w:cs="Arial"/>
                <w:szCs w:val="18"/>
              </w:rPr>
            </w:pPr>
            <w:r>
              <w:t>(NOTE 3)</w:t>
            </w:r>
          </w:p>
        </w:tc>
        <w:tc>
          <w:tcPr>
            <w:tcW w:w="1113" w:type="pct"/>
          </w:tcPr>
          <w:p w14:paraId="6565AD67" w14:textId="77777777" w:rsidR="00A10B25" w:rsidRDefault="00A10B25">
            <w:pPr>
              <w:pStyle w:val="TAL"/>
              <w:rPr>
                <w:rFonts w:cs="Arial"/>
                <w:szCs w:val="18"/>
              </w:rPr>
            </w:pPr>
            <w:r>
              <w:rPr>
                <w:rFonts w:hint="eastAsia"/>
                <w:lang w:eastAsia="zh-CN"/>
              </w:rPr>
              <w:t>Dn</w:t>
            </w:r>
            <w:r>
              <w:t>Performance</w:t>
            </w:r>
          </w:p>
        </w:tc>
      </w:tr>
      <w:tr w:rsidR="00A10B25" w14:paraId="41705B4C" w14:textId="77777777">
        <w:trPr>
          <w:jc w:val="center"/>
        </w:trPr>
        <w:tc>
          <w:tcPr>
            <w:tcW w:w="914" w:type="pct"/>
          </w:tcPr>
          <w:p w14:paraId="6A507229" w14:textId="77777777" w:rsidR="00A10B25" w:rsidRDefault="00A10B25">
            <w:pPr>
              <w:pStyle w:val="TAL"/>
            </w:pPr>
            <w:r>
              <w:t>maxPacketLossRate</w:t>
            </w:r>
          </w:p>
        </w:tc>
        <w:tc>
          <w:tcPr>
            <w:tcW w:w="824" w:type="pct"/>
          </w:tcPr>
          <w:p w14:paraId="2B387BC4" w14:textId="77777777" w:rsidR="00A10B25" w:rsidRDefault="00A10B25">
            <w:pPr>
              <w:pStyle w:val="TAL"/>
            </w:pPr>
            <w:r>
              <w:t>PacketLossRate</w:t>
            </w:r>
          </w:p>
        </w:tc>
        <w:tc>
          <w:tcPr>
            <w:tcW w:w="236" w:type="pct"/>
          </w:tcPr>
          <w:p w14:paraId="30F0E51F" w14:textId="77777777" w:rsidR="00A10B25" w:rsidRDefault="00A10B25">
            <w:pPr>
              <w:pStyle w:val="TAC"/>
            </w:pPr>
            <w:r>
              <w:t>C</w:t>
            </w:r>
          </w:p>
        </w:tc>
        <w:tc>
          <w:tcPr>
            <w:tcW w:w="546" w:type="pct"/>
          </w:tcPr>
          <w:p w14:paraId="2492A4B7" w14:textId="77777777" w:rsidR="00A10B25" w:rsidRDefault="00A10B25">
            <w:pPr>
              <w:pStyle w:val="TAL"/>
            </w:pPr>
            <w:r>
              <w:t>0..1</w:t>
            </w:r>
          </w:p>
        </w:tc>
        <w:tc>
          <w:tcPr>
            <w:tcW w:w="1367" w:type="pct"/>
          </w:tcPr>
          <w:p w14:paraId="28C5BAC7" w14:textId="77777777" w:rsidR="00A10B25" w:rsidRDefault="00A10B25">
            <w:pPr>
              <w:pStyle w:val="TAL"/>
            </w:pPr>
            <w:r>
              <w:t>Threshold level of maximum Loss Rate.</w:t>
            </w:r>
          </w:p>
          <w:p w14:paraId="449B23E8" w14:textId="77777777" w:rsidR="00A10B25" w:rsidRDefault="00A10B25">
            <w:pPr>
              <w:pStyle w:val="TAL"/>
            </w:pPr>
            <w:r>
              <w:rPr>
                <w:rFonts w:cs="Arial"/>
                <w:szCs w:val="18"/>
              </w:rPr>
              <w:t>Shall be present</w:t>
            </w:r>
            <w:r>
              <w:rPr>
                <w:lang w:eastAsia="zh-CN"/>
              </w:rPr>
              <w:t xml:space="preserve"> if one of the elements in the "listOfAnaSubsets" attribute was set to MAX_PACKET_LOSS_RATE.</w:t>
            </w:r>
          </w:p>
          <w:p w14:paraId="0EBD5D4A" w14:textId="77777777" w:rsidR="00A10B25" w:rsidRDefault="00A10B25">
            <w:pPr>
              <w:pStyle w:val="TAL"/>
            </w:pPr>
            <w:r>
              <w:t>(NOTE 4)</w:t>
            </w:r>
          </w:p>
        </w:tc>
        <w:tc>
          <w:tcPr>
            <w:tcW w:w="1113" w:type="pct"/>
          </w:tcPr>
          <w:p w14:paraId="11B0A9D7" w14:textId="77777777" w:rsidR="00A10B25" w:rsidRDefault="00A10B25">
            <w:pPr>
              <w:pStyle w:val="TAL"/>
              <w:rPr>
                <w:lang w:eastAsia="zh-CN"/>
              </w:rPr>
            </w:pPr>
            <w:r>
              <w:rPr>
                <w:rFonts w:hint="eastAsia"/>
                <w:lang w:eastAsia="zh-CN"/>
              </w:rPr>
              <w:t>Dn</w:t>
            </w:r>
            <w:r>
              <w:t>PerformanceExt_AIML</w:t>
            </w:r>
          </w:p>
        </w:tc>
      </w:tr>
      <w:tr w:rsidR="00A10B25" w14:paraId="6CBC5D90" w14:textId="77777777">
        <w:trPr>
          <w:jc w:val="center"/>
        </w:trPr>
        <w:tc>
          <w:tcPr>
            <w:tcW w:w="914" w:type="pct"/>
          </w:tcPr>
          <w:p w14:paraId="0E6B434F" w14:textId="77777777" w:rsidR="00A10B25" w:rsidRDefault="00A10B25">
            <w:pPr>
              <w:pStyle w:val="TAL"/>
            </w:pPr>
            <w:r>
              <w:t>varPacketLossRate</w:t>
            </w:r>
          </w:p>
        </w:tc>
        <w:tc>
          <w:tcPr>
            <w:tcW w:w="824" w:type="pct"/>
          </w:tcPr>
          <w:p w14:paraId="4401F93A" w14:textId="77777777" w:rsidR="00A10B25" w:rsidRDefault="00A10B25">
            <w:pPr>
              <w:pStyle w:val="TAL"/>
            </w:pPr>
            <w:r>
              <w:t>Float</w:t>
            </w:r>
          </w:p>
        </w:tc>
        <w:tc>
          <w:tcPr>
            <w:tcW w:w="236" w:type="pct"/>
          </w:tcPr>
          <w:p w14:paraId="1AC30382" w14:textId="77777777" w:rsidR="00A10B25" w:rsidRDefault="00A10B25">
            <w:pPr>
              <w:pStyle w:val="TAC"/>
            </w:pPr>
            <w:r>
              <w:t>C</w:t>
            </w:r>
          </w:p>
        </w:tc>
        <w:tc>
          <w:tcPr>
            <w:tcW w:w="546" w:type="pct"/>
          </w:tcPr>
          <w:p w14:paraId="466A591C" w14:textId="77777777" w:rsidR="00A10B25" w:rsidRDefault="00A10B25">
            <w:pPr>
              <w:pStyle w:val="TAL"/>
            </w:pPr>
            <w:r>
              <w:t>0..1</w:t>
            </w:r>
          </w:p>
        </w:tc>
        <w:tc>
          <w:tcPr>
            <w:tcW w:w="1367" w:type="pct"/>
          </w:tcPr>
          <w:p w14:paraId="78E95A90" w14:textId="77777777" w:rsidR="00A10B25" w:rsidRDefault="00A10B25">
            <w:pPr>
              <w:pStyle w:val="TAL"/>
            </w:pPr>
            <w:r>
              <w:t>Threshold level of variance of Loss Rate.</w:t>
            </w:r>
          </w:p>
          <w:p w14:paraId="2B444CE3" w14:textId="77777777" w:rsidR="00A10B25" w:rsidRDefault="00A10B25">
            <w:pPr>
              <w:pStyle w:val="TAL"/>
            </w:pPr>
            <w:r>
              <w:rPr>
                <w:rFonts w:cs="Arial"/>
                <w:szCs w:val="18"/>
              </w:rPr>
              <w:t>Shall be present</w:t>
            </w:r>
            <w:r>
              <w:rPr>
                <w:lang w:eastAsia="zh-CN"/>
              </w:rPr>
              <w:t xml:space="preserve"> if one of the elements in the "listOfAnaSubsets" attribute was set to VAR_PACKET_LOSS_RATE.</w:t>
            </w:r>
          </w:p>
          <w:p w14:paraId="76465CA1" w14:textId="77777777" w:rsidR="00A10B25" w:rsidRDefault="00A10B25">
            <w:pPr>
              <w:pStyle w:val="TAL"/>
            </w:pPr>
            <w:r>
              <w:t>(NOTE 4)</w:t>
            </w:r>
          </w:p>
        </w:tc>
        <w:tc>
          <w:tcPr>
            <w:tcW w:w="1113" w:type="pct"/>
          </w:tcPr>
          <w:p w14:paraId="045C873A" w14:textId="77777777" w:rsidR="00A10B25" w:rsidRDefault="00A10B25">
            <w:pPr>
              <w:pStyle w:val="TAL"/>
              <w:rPr>
                <w:lang w:eastAsia="zh-CN"/>
              </w:rPr>
            </w:pPr>
            <w:r>
              <w:rPr>
                <w:rFonts w:hint="eastAsia"/>
                <w:lang w:eastAsia="zh-CN"/>
              </w:rPr>
              <w:t>Dn</w:t>
            </w:r>
            <w:r>
              <w:t>PerformanceExt_AIML</w:t>
            </w:r>
          </w:p>
        </w:tc>
      </w:tr>
      <w:tr w:rsidR="00A10B25" w14:paraId="4FEBF03C" w14:textId="77777777">
        <w:trPr>
          <w:jc w:val="center"/>
        </w:trPr>
        <w:tc>
          <w:tcPr>
            <w:tcW w:w="914" w:type="pct"/>
          </w:tcPr>
          <w:p w14:paraId="115E3E93" w14:textId="77777777" w:rsidR="00A10B25" w:rsidRDefault="00A10B25">
            <w:pPr>
              <w:pStyle w:val="TAL"/>
            </w:pPr>
            <w:r>
              <w:t>svcExpLevel</w:t>
            </w:r>
          </w:p>
        </w:tc>
        <w:tc>
          <w:tcPr>
            <w:tcW w:w="824" w:type="pct"/>
          </w:tcPr>
          <w:p w14:paraId="6793382F" w14:textId="77777777" w:rsidR="00A10B25" w:rsidRDefault="00A10B25">
            <w:pPr>
              <w:pStyle w:val="TAL"/>
            </w:pPr>
            <w:r>
              <w:t>Float</w:t>
            </w:r>
          </w:p>
        </w:tc>
        <w:tc>
          <w:tcPr>
            <w:tcW w:w="236" w:type="pct"/>
          </w:tcPr>
          <w:p w14:paraId="15DF586A" w14:textId="77777777" w:rsidR="00A10B25" w:rsidRDefault="00A10B25">
            <w:pPr>
              <w:pStyle w:val="TAC"/>
            </w:pPr>
            <w:r>
              <w:t>C</w:t>
            </w:r>
          </w:p>
        </w:tc>
        <w:tc>
          <w:tcPr>
            <w:tcW w:w="546" w:type="pct"/>
          </w:tcPr>
          <w:p w14:paraId="344F9F38" w14:textId="77777777" w:rsidR="00A10B25" w:rsidRDefault="00A10B25">
            <w:pPr>
              <w:pStyle w:val="TAL"/>
            </w:pPr>
            <w:r>
              <w:t>0..1</w:t>
            </w:r>
          </w:p>
        </w:tc>
        <w:tc>
          <w:tcPr>
            <w:tcW w:w="1367" w:type="pct"/>
          </w:tcPr>
          <w:p w14:paraId="6D9BF079" w14:textId="77777777" w:rsidR="00A10B25" w:rsidRDefault="00A10B25">
            <w:pPr>
              <w:pStyle w:val="TAL"/>
            </w:pPr>
            <w:r>
              <w:t xml:space="preserve">Service Experience MOS value. Shall be present when subscribed event is </w:t>
            </w:r>
            <w:r>
              <w:rPr>
                <w:rFonts w:cs="Arial"/>
                <w:szCs w:val="18"/>
              </w:rPr>
              <w:t>"SERVICE_EXPERIENCE".</w:t>
            </w:r>
          </w:p>
        </w:tc>
        <w:tc>
          <w:tcPr>
            <w:tcW w:w="1113" w:type="pct"/>
          </w:tcPr>
          <w:p w14:paraId="12653697" w14:textId="77777777" w:rsidR="00A10B25" w:rsidRDefault="00A10B25">
            <w:pPr>
              <w:pStyle w:val="TAL"/>
              <w:rPr>
                <w:lang w:eastAsia="zh-CN"/>
              </w:rPr>
            </w:pPr>
            <w:r>
              <w:rPr>
                <w:lang w:eastAsia="zh-CN"/>
              </w:rPr>
              <w:t>ServiceExperienceExt</w:t>
            </w:r>
          </w:p>
        </w:tc>
      </w:tr>
      <w:tr w:rsidR="00A10B25" w14:paraId="29BC0338" w14:textId="77777777">
        <w:trPr>
          <w:jc w:val="center"/>
        </w:trPr>
        <w:tc>
          <w:tcPr>
            <w:tcW w:w="914" w:type="pct"/>
          </w:tcPr>
          <w:p w14:paraId="296BFC2C" w14:textId="77777777" w:rsidR="00A10B25" w:rsidRDefault="00A10B25">
            <w:pPr>
              <w:pStyle w:val="TAL"/>
            </w:pPr>
            <w:r>
              <w:t>speed</w:t>
            </w:r>
          </w:p>
        </w:tc>
        <w:tc>
          <w:tcPr>
            <w:tcW w:w="824" w:type="pct"/>
          </w:tcPr>
          <w:p w14:paraId="2EB5FDAD" w14:textId="77777777" w:rsidR="00A10B25" w:rsidRDefault="00A10B25">
            <w:pPr>
              <w:pStyle w:val="TAL"/>
            </w:pPr>
            <w:r>
              <w:t>Float</w:t>
            </w:r>
          </w:p>
        </w:tc>
        <w:tc>
          <w:tcPr>
            <w:tcW w:w="236" w:type="pct"/>
          </w:tcPr>
          <w:p w14:paraId="16D19996" w14:textId="77777777" w:rsidR="00A10B25" w:rsidRDefault="00A10B25">
            <w:pPr>
              <w:pStyle w:val="TAC"/>
            </w:pPr>
            <w:r>
              <w:t>C</w:t>
            </w:r>
          </w:p>
        </w:tc>
        <w:tc>
          <w:tcPr>
            <w:tcW w:w="546" w:type="pct"/>
          </w:tcPr>
          <w:p w14:paraId="01FDCAC4" w14:textId="77777777" w:rsidR="00A10B25" w:rsidRDefault="00A10B25">
            <w:pPr>
              <w:pStyle w:val="TAL"/>
            </w:pPr>
            <w:r>
              <w:t>0..1</w:t>
            </w:r>
          </w:p>
        </w:tc>
        <w:tc>
          <w:tcPr>
            <w:tcW w:w="1367" w:type="pct"/>
          </w:tcPr>
          <w:p w14:paraId="00586852" w14:textId="77777777" w:rsidR="00A10B25" w:rsidRDefault="00A10B25">
            <w:pPr>
              <w:pStyle w:val="TAL"/>
            </w:pPr>
            <w:r>
              <w:t>Speed threshold utilized to filter the UEs, expressed in kilometres per hour.</w:t>
            </w:r>
          </w:p>
          <w:p w14:paraId="5AA6BE39" w14:textId="77777777" w:rsidR="00A10B25" w:rsidRDefault="00A10B25">
            <w:pPr>
              <w:pStyle w:val="TAL"/>
            </w:pPr>
            <w:r>
              <w:rPr>
                <w:rFonts w:cs="Arial"/>
                <w:szCs w:val="18"/>
              </w:rPr>
              <w:t>Shall be present</w:t>
            </w:r>
            <w:r>
              <w:rPr>
                <w:lang w:eastAsia="zh-CN"/>
              </w:rPr>
              <w:t xml:space="preserve"> if one of the elements in the "listOfAnaSubsets" attribute was set to</w:t>
            </w:r>
            <w:r>
              <w:t xml:space="preserve"> </w:t>
            </w:r>
            <w:r>
              <w:rPr>
                <w:rFonts w:cs="Arial"/>
                <w:szCs w:val="18"/>
              </w:rPr>
              <w:t>"SPEED_THRESHOLD".</w:t>
            </w:r>
          </w:p>
        </w:tc>
        <w:tc>
          <w:tcPr>
            <w:tcW w:w="1113" w:type="pct"/>
          </w:tcPr>
          <w:p w14:paraId="49DC7687" w14:textId="77777777" w:rsidR="00A10B25" w:rsidRDefault="00A10B25">
            <w:pPr>
              <w:pStyle w:val="TAL"/>
              <w:rPr>
                <w:lang w:eastAsia="zh-CN"/>
              </w:rPr>
            </w:pPr>
            <w:r>
              <w:rPr>
                <w:lang w:eastAsia="zh-CN"/>
              </w:rPr>
              <w:t>MovementBehaviour</w:t>
            </w:r>
          </w:p>
        </w:tc>
      </w:tr>
      <w:tr w:rsidR="00A10B25" w14:paraId="256AC1D6" w14:textId="77777777">
        <w:trPr>
          <w:jc w:val="center"/>
        </w:trPr>
        <w:tc>
          <w:tcPr>
            <w:tcW w:w="5000" w:type="pct"/>
            <w:gridSpan w:val="6"/>
          </w:tcPr>
          <w:p w14:paraId="2CD43D95" w14:textId="77777777" w:rsidR="00A10B25" w:rsidRDefault="00A10B25">
            <w:pPr>
              <w:pStyle w:val="TAN"/>
              <w:rPr>
                <w:rFonts w:cs="Arial"/>
                <w:szCs w:val="18"/>
              </w:rPr>
            </w:pPr>
            <w:r>
              <w:t>NOTE 1:</w:t>
            </w:r>
            <w:r>
              <w:tab/>
              <w:t xml:space="preserve">This attribute shall be provided when </w:t>
            </w:r>
            <w:r>
              <w:rPr>
                <w:rFonts w:cs="Arial"/>
                <w:szCs w:val="18"/>
              </w:rPr>
              <w:t>subscribed event is "</w:t>
            </w:r>
            <w:r>
              <w:t>USER_DATA_CONGESTION</w:t>
            </w:r>
            <w:r>
              <w:rPr>
                <w:rFonts w:cs="Arial"/>
                <w:szCs w:val="18"/>
              </w:rPr>
              <w:t>".</w:t>
            </w:r>
          </w:p>
          <w:p w14:paraId="654B467B" w14:textId="77777777" w:rsidR="00A10B25" w:rsidRDefault="00A10B25">
            <w:pPr>
              <w:pStyle w:val="TAN"/>
              <w:rPr>
                <w:rFonts w:cs="Arial"/>
                <w:szCs w:val="18"/>
              </w:rPr>
            </w:pPr>
            <w:r>
              <w:t>NOTE 2:</w:t>
            </w:r>
            <w:r>
              <w:tab/>
              <w:t xml:space="preserve">At least one attribute should be provided when </w:t>
            </w:r>
            <w:r>
              <w:rPr>
                <w:rFonts w:cs="Arial"/>
                <w:szCs w:val="18"/>
              </w:rPr>
              <w:t>subscribed event is "NF_LOAD".</w:t>
            </w:r>
          </w:p>
          <w:p w14:paraId="13DBD638" w14:textId="77777777" w:rsidR="00A10B25" w:rsidRDefault="00A10B25">
            <w:pPr>
              <w:pStyle w:val="TAN"/>
              <w:rPr>
                <w:rFonts w:cs="Arial"/>
                <w:szCs w:val="18"/>
              </w:rPr>
            </w:pPr>
            <w:r>
              <w:t>NOTE 3:</w:t>
            </w:r>
            <w:r>
              <w:tab/>
              <w:t xml:space="preserve">At least one attribute should be provided when </w:t>
            </w:r>
            <w:r>
              <w:rPr>
                <w:rFonts w:cs="Arial"/>
                <w:szCs w:val="18"/>
              </w:rPr>
              <w:t>subscribed event is "DN_PERFORMANCE".</w:t>
            </w:r>
          </w:p>
          <w:p w14:paraId="73B5EDA5" w14:textId="77777777" w:rsidR="00A10B25" w:rsidRDefault="00A10B25">
            <w:pPr>
              <w:pStyle w:val="TAN"/>
              <w:rPr>
                <w:rFonts w:cs="Arial"/>
                <w:szCs w:val="18"/>
              </w:rPr>
            </w:pPr>
            <w:r>
              <w:t>NOTE 4:</w:t>
            </w:r>
            <w:r>
              <w:tab/>
              <w:t>This attribute may only be provided if the</w:t>
            </w:r>
            <w:r>
              <w:rPr>
                <w:lang w:eastAsia="zh-CN"/>
              </w:rPr>
              <w:t xml:space="preserve"> "DnPerformanceExt_AIML" feature is supported</w:t>
            </w:r>
            <w:r>
              <w:t xml:space="preserve"> and the </w:t>
            </w:r>
            <w:r>
              <w:rPr>
                <w:rFonts w:cs="Arial"/>
                <w:szCs w:val="18"/>
              </w:rPr>
              <w:t>subscribed event is "DN_PERFORMANCE".</w:t>
            </w:r>
          </w:p>
        </w:tc>
      </w:tr>
    </w:tbl>
    <w:p w14:paraId="0B9B01FE" w14:textId="77777777" w:rsidR="00A10B25" w:rsidRDefault="00A10B25"/>
    <w:p w14:paraId="54A8192E" w14:textId="77777777" w:rsidR="00A10B25" w:rsidRDefault="00A10B25">
      <w:pPr>
        <w:pStyle w:val="5"/>
      </w:pPr>
      <w:bookmarkStart w:id="6747" w:name="_Toc138754234"/>
      <w:bookmarkStart w:id="6748" w:name="_Toc136562400"/>
      <w:bookmarkStart w:id="6749" w:name="_Toc148522625"/>
      <w:bookmarkStart w:id="6750" w:name="_Toc145705721"/>
      <w:bookmarkStart w:id="6751" w:name="_Toc164920805"/>
      <w:bookmarkStart w:id="6752" w:name="_Toc170120347"/>
      <w:bookmarkStart w:id="6753" w:name="_Toc175858592"/>
      <w:bookmarkStart w:id="6754" w:name="_Toc175859665"/>
      <w:bookmarkStart w:id="6755" w:name="_Toc180605955"/>
      <w:bookmarkStart w:id="6756" w:name="_Toc185517209"/>
      <w:bookmarkStart w:id="6757" w:name="_Toc191576260"/>
      <w:bookmarkStart w:id="6758" w:name="_Toc191577000"/>
      <w:bookmarkStart w:id="6759" w:name="_Toc192880070"/>
      <w:bookmarkStart w:id="6760" w:name="_Toc195814953"/>
      <w:bookmarkStart w:id="6761" w:name="_Toc199452920"/>
      <w:r>
        <w:lastRenderedPageBreak/>
        <w:t>5.1.6.2.31</w:t>
      </w:r>
      <w:r>
        <w:tab/>
        <w:t>Type NfLoadLevelInformation</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4FDAE47C" w14:textId="77777777" w:rsidR="00A10B25" w:rsidRDefault="00A10B25">
      <w:pPr>
        <w:pStyle w:val="TH"/>
      </w:pPr>
      <w:r>
        <w:t>Table 5.1.6.2.31-1: Definition of type NfLoadLevelInformation</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3"/>
        <w:gridCol w:w="1560"/>
        <w:gridCol w:w="283"/>
        <w:gridCol w:w="1134"/>
        <w:gridCol w:w="2977"/>
        <w:gridCol w:w="1271"/>
      </w:tblGrid>
      <w:tr w:rsidR="00A10B25" w14:paraId="0D82B3AC" w14:textId="77777777">
        <w:trPr>
          <w:jc w:val="center"/>
        </w:trPr>
        <w:tc>
          <w:tcPr>
            <w:tcW w:w="2123" w:type="dxa"/>
            <w:shd w:val="clear" w:color="auto" w:fill="C0C0C0"/>
          </w:tcPr>
          <w:p w14:paraId="1B7C3CAB" w14:textId="77777777" w:rsidR="00A10B25" w:rsidRDefault="00A10B25">
            <w:pPr>
              <w:pStyle w:val="TAH"/>
            </w:pPr>
            <w:r>
              <w:t>Attribute name</w:t>
            </w:r>
          </w:p>
        </w:tc>
        <w:tc>
          <w:tcPr>
            <w:tcW w:w="1560" w:type="dxa"/>
            <w:shd w:val="clear" w:color="auto" w:fill="C0C0C0"/>
          </w:tcPr>
          <w:p w14:paraId="08303AE0" w14:textId="77777777" w:rsidR="00A10B25" w:rsidRDefault="00A10B25">
            <w:pPr>
              <w:pStyle w:val="TAH"/>
            </w:pPr>
            <w:r>
              <w:t>Data type</w:t>
            </w:r>
          </w:p>
        </w:tc>
        <w:tc>
          <w:tcPr>
            <w:tcW w:w="283" w:type="dxa"/>
            <w:shd w:val="clear" w:color="auto" w:fill="C0C0C0"/>
          </w:tcPr>
          <w:p w14:paraId="3D4F532E" w14:textId="77777777" w:rsidR="00A10B25" w:rsidRDefault="00A10B25">
            <w:pPr>
              <w:pStyle w:val="TAH"/>
            </w:pPr>
            <w:r>
              <w:t>P</w:t>
            </w:r>
          </w:p>
        </w:tc>
        <w:tc>
          <w:tcPr>
            <w:tcW w:w="1134" w:type="dxa"/>
            <w:shd w:val="clear" w:color="auto" w:fill="C0C0C0"/>
          </w:tcPr>
          <w:p w14:paraId="2736E135" w14:textId="77777777" w:rsidR="00A10B25" w:rsidRDefault="00A10B25">
            <w:pPr>
              <w:pStyle w:val="TAH"/>
            </w:pPr>
            <w:r>
              <w:t>Cardinality</w:t>
            </w:r>
          </w:p>
        </w:tc>
        <w:tc>
          <w:tcPr>
            <w:tcW w:w="2977" w:type="dxa"/>
            <w:shd w:val="clear" w:color="auto" w:fill="C0C0C0"/>
          </w:tcPr>
          <w:p w14:paraId="7F6A6B64" w14:textId="77777777" w:rsidR="00A10B25" w:rsidRDefault="00A10B25">
            <w:pPr>
              <w:pStyle w:val="TAH"/>
              <w:rPr>
                <w:rFonts w:cs="Arial"/>
                <w:szCs w:val="18"/>
              </w:rPr>
            </w:pPr>
            <w:r>
              <w:rPr>
                <w:rFonts w:cs="Arial"/>
                <w:szCs w:val="18"/>
              </w:rPr>
              <w:t>Description</w:t>
            </w:r>
          </w:p>
        </w:tc>
        <w:tc>
          <w:tcPr>
            <w:tcW w:w="1271" w:type="dxa"/>
            <w:shd w:val="clear" w:color="auto" w:fill="C0C0C0"/>
          </w:tcPr>
          <w:p w14:paraId="30A6E3EC" w14:textId="77777777" w:rsidR="00A10B25" w:rsidRDefault="00A10B25">
            <w:pPr>
              <w:pStyle w:val="TAH"/>
              <w:rPr>
                <w:rFonts w:cs="Arial"/>
                <w:szCs w:val="18"/>
              </w:rPr>
            </w:pPr>
            <w:r>
              <w:rPr>
                <w:rFonts w:cs="Arial"/>
                <w:szCs w:val="18"/>
              </w:rPr>
              <w:t>Applicability</w:t>
            </w:r>
          </w:p>
        </w:tc>
      </w:tr>
      <w:tr w:rsidR="00A10B25" w14:paraId="0E31CB3D" w14:textId="77777777">
        <w:trPr>
          <w:jc w:val="center"/>
        </w:trPr>
        <w:tc>
          <w:tcPr>
            <w:tcW w:w="2123" w:type="dxa"/>
          </w:tcPr>
          <w:p w14:paraId="6A338647" w14:textId="77777777" w:rsidR="00A10B25" w:rsidRDefault="00A10B25">
            <w:pPr>
              <w:pStyle w:val="TAL"/>
            </w:pPr>
            <w:r>
              <w:t>nfType</w:t>
            </w:r>
          </w:p>
        </w:tc>
        <w:tc>
          <w:tcPr>
            <w:tcW w:w="1560" w:type="dxa"/>
          </w:tcPr>
          <w:p w14:paraId="55B345DB" w14:textId="77777777" w:rsidR="00A10B25" w:rsidRDefault="00A10B25">
            <w:pPr>
              <w:pStyle w:val="TAL"/>
            </w:pPr>
            <w:r>
              <w:t>NFType</w:t>
            </w:r>
          </w:p>
        </w:tc>
        <w:tc>
          <w:tcPr>
            <w:tcW w:w="283" w:type="dxa"/>
          </w:tcPr>
          <w:p w14:paraId="598BCA42" w14:textId="77777777" w:rsidR="00A10B25" w:rsidRDefault="00A10B25">
            <w:pPr>
              <w:pStyle w:val="TAC"/>
            </w:pPr>
            <w:r>
              <w:t>M</w:t>
            </w:r>
          </w:p>
        </w:tc>
        <w:tc>
          <w:tcPr>
            <w:tcW w:w="1134" w:type="dxa"/>
          </w:tcPr>
          <w:p w14:paraId="62DB2ECD" w14:textId="77777777" w:rsidR="00A10B25" w:rsidRDefault="00A10B25">
            <w:pPr>
              <w:pStyle w:val="TAL"/>
            </w:pPr>
            <w:r>
              <w:rPr>
                <w:rFonts w:hint="eastAsia"/>
              </w:rPr>
              <w:t>1</w:t>
            </w:r>
          </w:p>
        </w:tc>
        <w:tc>
          <w:tcPr>
            <w:tcW w:w="2977" w:type="dxa"/>
          </w:tcPr>
          <w:p w14:paraId="0D9F4CBC" w14:textId="77777777" w:rsidR="00A10B25" w:rsidRDefault="00A10B25">
            <w:pPr>
              <w:pStyle w:val="TAL"/>
              <w:rPr>
                <w:rFonts w:cs="Arial"/>
                <w:szCs w:val="18"/>
              </w:rPr>
            </w:pPr>
            <w:r>
              <w:t>Type of the NF instance</w:t>
            </w:r>
          </w:p>
        </w:tc>
        <w:tc>
          <w:tcPr>
            <w:tcW w:w="1271" w:type="dxa"/>
          </w:tcPr>
          <w:p w14:paraId="334F8F1B" w14:textId="77777777" w:rsidR="00A10B25" w:rsidRDefault="00A10B25">
            <w:pPr>
              <w:pStyle w:val="TAL"/>
              <w:rPr>
                <w:rFonts w:cs="Arial"/>
                <w:szCs w:val="18"/>
              </w:rPr>
            </w:pPr>
          </w:p>
        </w:tc>
      </w:tr>
      <w:tr w:rsidR="00A10B25" w14:paraId="52EC43C9" w14:textId="77777777">
        <w:trPr>
          <w:jc w:val="center"/>
        </w:trPr>
        <w:tc>
          <w:tcPr>
            <w:tcW w:w="2123" w:type="dxa"/>
          </w:tcPr>
          <w:p w14:paraId="274EA121" w14:textId="77777777" w:rsidR="00A10B25" w:rsidRDefault="00A10B25">
            <w:pPr>
              <w:pStyle w:val="TAL"/>
            </w:pPr>
            <w:r>
              <w:t>nfInstanceId</w:t>
            </w:r>
          </w:p>
        </w:tc>
        <w:tc>
          <w:tcPr>
            <w:tcW w:w="1560" w:type="dxa"/>
          </w:tcPr>
          <w:p w14:paraId="0E882AC9" w14:textId="77777777" w:rsidR="00A10B25" w:rsidRDefault="00A10B25">
            <w:pPr>
              <w:pStyle w:val="TAL"/>
            </w:pPr>
            <w:r>
              <w:t>NfInstanceId</w:t>
            </w:r>
          </w:p>
        </w:tc>
        <w:tc>
          <w:tcPr>
            <w:tcW w:w="283" w:type="dxa"/>
          </w:tcPr>
          <w:p w14:paraId="18DE128D" w14:textId="77777777" w:rsidR="00A10B25" w:rsidRDefault="00A10B25">
            <w:pPr>
              <w:pStyle w:val="TAC"/>
            </w:pPr>
            <w:r>
              <w:t>M</w:t>
            </w:r>
          </w:p>
        </w:tc>
        <w:tc>
          <w:tcPr>
            <w:tcW w:w="1134" w:type="dxa"/>
          </w:tcPr>
          <w:p w14:paraId="1A7A612C" w14:textId="77777777" w:rsidR="00A10B25" w:rsidRDefault="00A10B25">
            <w:pPr>
              <w:pStyle w:val="TAL"/>
            </w:pPr>
            <w:r>
              <w:rPr>
                <w:rFonts w:hint="eastAsia"/>
              </w:rPr>
              <w:t>1</w:t>
            </w:r>
          </w:p>
        </w:tc>
        <w:tc>
          <w:tcPr>
            <w:tcW w:w="2977" w:type="dxa"/>
          </w:tcPr>
          <w:p w14:paraId="63EEA66E" w14:textId="77777777" w:rsidR="00A10B25" w:rsidRDefault="00A10B25">
            <w:pPr>
              <w:pStyle w:val="TAL"/>
              <w:rPr>
                <w:rFonts w:cs="Arial"/>
                <w:szCs w:val="18"/>
              </w:rPr>
            </w:pPr>
            <w:r>
              <w:t>Identification of the NF instance</w:t>
            </w:r>
          </w:p>
        </w:tc>
        <w:tc>
          <w:tcPr>
            <w:tcW w:w="1271" w:type="dxa"/>
          </w:tcPr>
          <w:p w14:paraId="5573B4CF" w14:textId="77777777" w:rsidR="00A10B25" w:rsidRDefault="00A10B25">
            <w:pPr>
              <w:pStyle w:val="TAL"/>
              <w:rPr>
                <w:rFonts w:cs="Arial"/>
                <w:szCs w:val="18"/>
              </w:rPr>
            </w:pPr>
          </w:p>
        </w:tc>
      </w:tr>
      <w:tr w:rsidR="00A10B25" w14:paraId="1D9E8476" w14:textId="77777777">
        <w:trPr>
          <w:jc w:val="center"/>
        </w:trPr>
        <w:tc>
          <w:tcPr>
            <w:tcW w:w="2123" w:type="dxa"/>
          </w:tcPr>
          <w:p w14:paraId="4CF16703" w14:textId="77777777" w:rsidR="00A10B25" w:rsidRDefault="00A10B25">
            <w:pPr>
              <w:pStyle w:val="TAL"/>
            </w:pPr>
            <w:r>
              <w:t>nfSetId</w:t>
            </w:r>
          </w:p>
        </w:tc>
        <w:tc>
          <w:tcPr>
            <w:tcW w:w="1560" w:type="dxa"/>
          </w:tcPr>
          <w:p w14:paraId="6409B4A1" w14:textId="77777777" w:rsidR="00A10B25" w:rsidRDefault="00A10B25">
            <w:pPr>
              <w:pStyle w:val="TAL"/>
            </w:pPr>
            <w:r>
              <w:t>NfSetId</w:t>
            </w:r>
          </w:p>
        </w:tc>
        <w:tc>
          <w:tcPr>
            <w:tcW w:w="283" w:type="dxa"/>
          </w:tcPr>
          <w:p w14:paraId="63637CD2" w14:textId="77777777" w:rsidR="00A10B25" w:rsidRDefault="00A10B25">
            <w:pPr>
              <w:pStyle w:val="TAC"/>
            </w:pPr>
            <w:r>
              <w:t>O</w:t>
            </w:r>
          </w:p>
        </w:tc>
        <w:tc>
          <w:tcPr>
            <w:tcW w:w="1134" w:type="dxa"/>
          </w:tcPr>
          <w:p w14:paraId="7AB8798C" w14:textId="77777777" w:rsidR="00A10B25" w:rsidRDefault="00A10B25">
            <w:pPr>
              <w:pStyle w:val="TAL"/>
            </w:pPr>
            <w:r>
              <w:t>0..1</w:t>
            </w:r>
          </w:p>
        </w:tc>
        <w:tc>
          <w:tcPr>
            <w:tcW w:w="2977" w:type="dxa"/>
          </w:tcPr>
          <w:p w14:paraId="121BFA54" w14:textId="77777777" w:rsidR="00A10B25" w:rsidRDefault="00A10B25">
            <w:pPr>
              <w:pStyle w:val="TAL"/>
            </w:pPr>
            <w:r>
              <w:t>Identification of the NF instance set</w:t>
            </w:r>
          </w:p>
        </w:tc>
        <w:tc>
          <w:tcPr>
            <w:tcW w:w="1271" w:type="dxa"/>
          </w:tcPr>
          <w:p w14:paraId="565F35C4" w14:textId="77777777" w:rsidR="00A10B25" w:rsidRDefault="00A10B25">
            <w:pPr>
              <w:pStyle w:val="TAL"/>
              <w:rPr>
                <w:rFonts w:cs="Arial"/>
                <w:szCs w:val="18"/>
              </w:rPr>
            </w:pPr>
          </w:p>
        </w:tc>
      </w:tr>
      <w:tr w:rsidR="00A10B25" w14:paraId="399F597E" w14:textId="77777777">
        <w:trPr>
          <w:jc w:val="center"/>
        </w:trPr>
        <w:tc>
          <w:tcPr>
            <w:tcW w:w="2123" w:type="dxa"/>
          </w:tcPr>
          <w:p w14:paraId="654C57B1" w14:textId="77777777" w:rsidR="00A10B25" w:rsidRDefault="00A10B25">
            <w:pPr>
              <w:pStyle w:val="TAL"/>
            </w:pPr>
            <w:r>
              <w:t>nfStatus</w:t>
            </w:r>
          </w:p>
        </w:tc>
        <w:tc>
          <w:tcPr>
            <w:tcW w:w="1560" w:type="dxa"/>
          </w:tcPr>
          <w:p w14:paraId="3CCCFD50" w14:textId="77777777" w:rsidR="00A10B25" w:rsidRDefault="00A10B25">
            <w:pPr>
              <w:pStyle w:val="TAL"/>
            </w:pPr>
            <w:r>
              <w:t>NfStatus</w:t>
            </w:r>
          </w:p>
        </w:tc>
        <w:tc>
          <w:tcPr>
            <w:tcW w:w="283" w:type="dxa"/>
          </w:tcPr>
          <w:p w14:paraId="1F1EC200" w14:textId="77777777" w:rsidR="00A10B25" w:rsidRDefault="00A10B25">
            <w:pPr>
              <w:pStyle w:val="TAC"/>
            </w:pPr>
            <w:r>
              <w:t>C</w:t>
            </w:r>
          </w:p>
        </w:tc>
        <w:tc>
          <w:tcPr>
            <w:tcW w:w="1134" w:type="dxa"/>
          </w:tcPr>
          <w:p w14:paraId="7A054EF7" w14:textId="77777777" w:rsidR="00A10B25" w:rsidRDefault="00A10B25">
            <w:pPr>
              <w:pStyle w:val="TAL"/>
            </w:pPr>
            <w:r>
              <w:t>0..</w:t>
            </w:r>
            <w:r>
              <w:rPr>
                <w:rFonts w:hint="eastAsia"/>
              </w:rPr>
              <w:t>1</w:t>
            </w:r>
          </w:p>
        </w:tc>
        <w:tc>
          <w:tcPr>
            <w:tcW w:w="2977" w:type="dxa"/>
          </w:tcPr>
          <w:p w14:paraId="38B3592F" w14:textId="77777777" w:rsidR="00A10B25" w:rsidRDefault="00A10B25">
            <w:pPr>
              <w:pStyle w:val="TAL"/>
              <w:rPr>
                <w:rFonts w:cs="Arial"/>
                <w:szCs w:val="18"/>
              </w:rPr>
            </w:pPr>
            <w:r>
              <w:t>Availability status of the NF (NOTE 1)</w:t>
            </w:r>
          </w:p>
        </w:tc>
        <w:tc>
          <w:tcPr>
            <w:tcW w:w="1271" w:type="dxa"/>
          </w:tcPr>
          <w:p w14:paraId="537138DD" w14:textId="77777777" w:rsidR="00A10B25" w:rsidRDefault="00A10B25">
            <w:pPr>
              <w:pStyle w:val="TAL"/>
              <w:rPr>
                <w:rFonts w:cs="Arial"/>
                <w:szCs w:val="18"/>
              </w:rPr>
            </w:pPr>
          </w:p>
        </w:tc>
      </w:tr>
      <w:tr w:rsidR="00A10B25" w14:paraId="3DF434A6" w14:textId="77777777">
        <w:trPr>
          <w:jc w:val="center"/>
        </w:trPr>
        <w:tc>
          <w:tcPr>
            <w:tcW w:w="2123" w:type="dxa"/>
          </w:tcPr>
          <w:p w14:paraId="3138FD22" w14:textId="77777777" w:rsidR="00A10B25" w:rsidRDefault="00A10B25">
            <w:pPr>
              <w:pStyle w:val="TAL"/>
            </w:pPr>
            <w:r>
              <w:t>nfCpuUsage</w:t>
            </w:r>
          </w:p>
        </w:tc>
        <w:tc>
          <w:tcPr>
            <w:tcW w:w="1560" w:type="dxa"/>
          </w:tcPr>
          <w:p w14:paraId="7253CA54" w14:textId="77777777" w:rsidR="00A10B25" w:rsidRDefault="00A10B25">
            <w:pPr>
              <w:pStyle w:val="TAL"/>
            </w:pPr>
            <w:r>
              <w:t>integer</w:t>
            </w:r>
          </w:p>
        </w:tc>
        <w:tc>
          <w:tcPr>
            <w:tcW w:w="283" w:type="dxa"/>
          </w:tcPr>
          <w:p w14:paraId="1385F593" w14:textId="77777777" w:rsidR="00A10B25" w:rsidRDefault="00A10B25">
            <w:pPr>
              <w:pStyle w:val="TAC"/>
            </w:pPr>
            <w:r>
              <w:t>C</w:t>
            </w:r>
          </w:p>
        </w:tc>
        <w:tc>
          <w:tcPr>
            <w:tcW w:w="1134" w:type="dxa"/>
          </w:tcPr>
          <w:p w14:paraId="152AC206" w14:textId="77777777" w:rsidR="00A10B25" w:rsidRDefault="00A10B25">
            <w:pPr>
              <w:pStyle w:val="TAL"/>
            </w:pPr>
            <w:r>
              <w:t>0..1</w:t>
            </w:r>
          </w:p>
        </w:tc>
        <w:tc>
          <w:tcPr>
            <w:tcW w:w="2977" w:type="dxa"/>
          </w:tcPr>
          <w:p w14:paraId="24622DCF" w14:textId="77777777" w:rsidR="00A10B25" w:rsidRDefault="00A10B25">
            <w:pPr>
              <w:pStyle w:val="TAL"/>
              <w:rPr>
                <w:lang w:val="fr-FR"/>
              </w:rPr>
            </w:pPr>
            <w:r>
              <w:rPr>
                <w:lang w:val="fr-FR"/>
              </w:rPr>
              <w:t>Average usage CPU (NOTE 1, NOTE 2)</w:t>
            </w:r>
          </w:p>
          <w:p w14:paraId="65841891" w14:textId="77777777" w:rsidR="00A10B25" w:rsidRDefault="00A10B25">
            <w:pPr>
              <w:pStyle w:val="TAL"/>
              <w:rPr>
                <w:rFonts w:cs="Arial"/>
                <w:szCs w:val="18"/>
                <w:lang w:val="fr-FR"/>
              </w:rPr>
            </w:pPr>
            <w:r>
              <w:rPr>
                <w:rFonts w:cs="Arial"/>
                <w:szCs w:val="18"/>
                <w:lang w:val="fr-FR"/>
              </w:rPr>
              <w:t>Minimum = 0. Maximum = 100.</w:t>
            </w:r>
          </w:p>
        </w:tc>
        <w:tc>
          <w:tcPr>
            <w:tcW w:w="1271" w:type="dxa"/>
          </w:tcPr>
          <w:p w14:paraId="17AF5FA0" w14:textId="77777777" w:rsidR="00A10B25" w:rsidRDefault="00A10B25">
            <w:pPr>
              <w:pStyle w:val="TAL"/>
              <w:rPr>
                <w:rFonts w:cs="Arial"/>
                <w:szCs w:val="18"/>
                <w:lang w:val="fr-FR"/>
              </w:rPr>
            </w:pPr>
          </w:p>
        </w:tc>
      </w:tr>
      <w:tr w:rsidR="00A10B25" w14:paraId="1CC49E3B" w14:textId="77777777">
        <w:trPr>
          <w:jc w:val="center"/>
        </w:trPr>
        <w:tc>
          <w:tcPr>
            <w:tcW w:w="2123" w:type="dxa"/>
          </w:tcPr>
          <w:p w14:paraId="5C948EA2" w14:textId="77777777" w:rsidR="00A10B25" w:rsidRDefault="00A10B25">
            <w:pPr>
              <w:pStyle w:val="TAL"/>
            </w:pPr>
            <w:r>
              <w:t>nfMemoryUsage</w:t>
            </w:r>
          </w:p>
        </w:tc>
        <w:tc>
          <w:tcPr>
            <w:tcW w:w="1560" w:type="dxa"/>
          </w:tcPr>
          <w:p w14:paraId="4A30BDE2" w14:textId="77777777" w:rsidR="00A10B25" w:rsidRDefault="00A10B25">
            <w:pPr>
              <w:pStyle w:val="TAL"/>
            </w:pPr>
            <w:r>
              <w:t>integer</w:t>
            </w:r>
          </w:p>
        </w:tc>
        <w:tc>
          <w:tcPr>
            <w:tcW w:w="283" w:type="dxa"/>
          </w:tcPr>
          <w:p w14:paraId="4AF1698F" w14:textId="77777777" w:rsidR="00A10B25" w:rsidRDefault="00A10B25">
            <w:pPr>
              <w:pStyle w:val="TAC"/>
            </w:pPr>
            <w:r>
              <w:t>C</w:t>
            </w:r>
          </w:p>
        </w:tc>
        <w:tc>
          <w:tcPr>
            <w:tcW w:w="1134" w:type="dxa"/>
          </w:tcPr>
          <w:p w14:paraId="2A6B605A" w14:textId="77777777" w:rsidR="00A10B25" w:rsidRDefault="00A10B25">
            <w:pPr>
              <w:pStyle w:val="TAL"/>
            </w:pPr>
            <w:r>
              <w:t>0..1</w:t>
            </w:r>
          </w:p>
        </w:tc>
        <w:tc>
          <w:tcPr>
            <w:tcW w:w="2977" w:type="dxa"/>
          </w:tcPr>
          <w:p w14:paraId="745C2885" w14:textId="77777777" w:rsidR="00A10B25" w:rsidRDefault="00A10B25">
            <w:pPr>
              <w:pStyle w:val="TAL"/>
            </w:pPr>
            <w:r>
              <w:rPr>
                <w:rFonts w:cs="Arial"/>
                <w:szCs w:val="18"/>
              </w:rPr>
              <w:t>Average usage of memory</w:t>
            </w:r>
            <w:r>
              <w:t xml:space="preserve"> (NOTE 1, NOTE 2)</w:t>
            </w:r>
          </w:p>
          <w:p w14:paraId="0E8B6FA1" w14:textId="77777777" w:rsidR="00A10B25" w:rsidRDefault="00A10B25">
            <w:pPr>
              <w:pStyle w:val="TAL"/>
              <w:rPr>
                <w:rFonts w:cs="Arial"/>
                <w:szCs w:val="18"/>
              </w:rPr>
            </w:pPr>
            <w:r>
              <w:rPr>
                <w:rFonts w:cs="Arial"/>
                <w:szCs w:val="18"/>
              </w:rPr>
              <w:t>Minimum = 0. Maximum = 100.</w:t>
            </w:r>
          </w:p>
        </w:tc>
        <w:tc>
          <w:tcPr>
            <w:tcW w:w="1271" w:type="dxa"/>
          </w:tcPr>
          <w:p w14:paraId="164629F7" w14:textId="77777777" w:rsidR="00A10B25" w:rsidRDefault="00A10B25">
            <w:pPr>
              <w:pStyle w:val="TAL"/>
              <w:rPr>
                <w:rFonts w:cs="Arial"/>
                <w:szCs w:val="18"/>
              </w:rPr>
            </w:pPr>
          </w:p>
        </w:tc>
      </w:tr>
      <w:tr w:rsidR="00A10B25" w14:paraId="34B6F64C" w14:textId="77777777">
        <w:trPr>
          <w:jc w:val="center"/>
        </w:trPr>
        <w:tc>
          <w:tcPr>
            <w:tcW w:w="2123" w:type="dxa"/>
          </w:tcPr>
          <w:p w14:paraId="3DF70B6F" w14:textId="77777777" w:rsidR="00A10B25" w:rsidRDefault="00A10B25">
            <w:pPr>
              <w:pStyle w:val="TAL"/>
            </w:pPr>
            <w:r>
              <w:t>nfStorageUsage</w:t>
            </w:r>
          </w:p>
        </w:tc>
        <w:tc>
          <w:tcPr>
            <w:tcW w:w="1560" w:type="dxa"/>
          </w:tcPr>
          <w:p w14:paraId="497E7E89" w14:textId="77777777" w:rsidR="00A10B25" w:rsidRDefault="00A10B25">
            <w:pPr>
              <w:pStyle w:val="TAL"/>
            </w:pPr>
            <w:r>
              <w:t>integer</w:t>
            </w:r>
          </w:p>
        </w:tc>
        <w:tc>
          <w:tcPr>
            <w:tcW w:w="283" w:type="dxa"/>
          </w:tcPr>
          <w:p w14:paraId="14C9261D" w14:textId="77777777" w:rsidR="00A10B25" w:rsidRDefault="00A10B25">
            <w:pPr>
              <w:pStyle w:val="TAC"/>
            </w:pPr>
            <w:r>
              <w:t>C</w:t>
            </w:r>
          </w:p>
        </w:tc>
        <w:tc>
          <w:tcPr>
            <w:tcW w:w="1134" w:type="dxa"/>
          </w:tcPr>
          <w:p w14:paraId="03C7DFEF" w14:textId="77777777" w:rsidR="00A10B25" w:rsidRDefault="00A10B25">
            <w:pPr>
              <w:pStyle w:val="TAL"/>
            </w:pPr>
            <w:r>
              <w:t>0..1</w:t>
            </w:r>
          </w:p>
        </w:tc>
        <w:tc>
          <w:tcPr>
            <w:tcW w:w="2977" w:type="dxa"/>
          </w:tcPr>
          <w:p w14:paraId="25E68C8C" w14:textId="77777777" w:rsidR="00A10B25" w:rsidRDefault="00A10B25">
            <w:pPr>
              <w:pStyle w:val="TAL"/>
            </w:pPr>
            <w:r>
              <w:rPr>
                <w:rFonts w:cs="Arial"/>
                <w:szCs w:val="18"/>
              </w:rPr>
              <w:t>Average usage of storage</w:t>
            </w:r>
            <w:r>
              <w:t xml:space="preserve"> (NOTE 1, NOTE 2)</w:t>
            </w:r>
          </w:p>
          <w:p w14:paraId="18AA9D98" w14:textId="77777777" w:rsidR="00A10B25" w:rsidRDefault="00A10B25">
            <w:pPr>
              <w:pStyle w:val="TAL"/>
              <w:rPr>
                <w:rFonts w:cs="Arial"/>
                <w:szCs w:val="18"/>
              </w:rPr>
            </w:pPr>
            <w:r>
              <w:rPr>
                <w:rFonts w:cs="Arial"/>
                <w:szCs w:val="18"/>
              </w:rPr>
              <w:t>Minimum = 0. Maximum = 100.</w:t>
            </w:r>
          </w:p>
        </w:tc>
        <w:tc>
          <w:tcPr>
            <w:tcW w:w="1271" w:type="dxa"/>
          </w:tcPr>
          <w:p w14:paraId="646C95AD" w14:textId="77777777" w:rsidR="00A10B25" w:rsidRDefault="00A10B25">
            <w:pPr>
              <w:pStyle w:val="TAL"/>
              <w:rPr>
                <w:rFonts w:cs="Arial"/>
                <w:szCs w:val="18"/>
              </w:rPr>
            </w:pPr>
          </w:p>
        </w:tc>
      </w:tr>
      <w:tr w:rsidR="00A10B25" w14:paraId="5A1AA518" w14:textId="77777777">
        <w:trPr>
          <w:jc w:val="center"/>
        </w:trPr>
        <w:tc>
          <w:tcPr>
            <w:tcW w:w="2123" w:type="dxa"/>
          </w:tcPr>
          <w:p w14:paraId="6A13A363" w14:textId="77777777" w:rsidR="00A10B25" w:rsidRDefault="00A10B25">
            <w:pPr>
              <w:pStyle w:val="TAL"/>
            </w:pPr>
            <w:r>
              <w:t>nfLoadLevelAverage</w:t>
            </w:r>
          </w:p>
        </w:tc>
        <w:tc>
          <w:tcPr>
            <w:tcW w:w="1560" w:type="dxa"/>
          </w:tcPr>
          <w:p w14:paraId="0E700EBE" w14:textId="77777777" w:rsidR="00A10B25" w:rsidRDefault="00A10B25">
            <w:pPr>
              <w:pStyle w:val="TAL"/>
            </w:pPr>
            <w:r>
              <w:t>integer</w:t>
            </w:r>
          </w:p>
        </w:tc>
        <w:tc>
          <w:tcPr>
            <w:tcW w:w="283" w:type="dxa"/>
          </w:tcPr>
          <w:p w14:paraId="7BF25993" w14:textId="77777777" w:rsidR="00A10B25" w:rsidRDefault="00A10B25">
            <w:pPr>
              <w:pStyle w:val="TAC"/>
            </w:pPr>
            <w:r>
              <w:t>C</w:t>
            </w:r>
          </w:p>
        </w:tc>
        <w:tc>
          <w:tcPr>
            <w:tcW w:w="1134" w:type="dxa"/>
          </w:tcPr>
          <w:p w14:paraId="1B635258" w14:textId="77777777" w:rsidR="00A10B25" w:rsidRDefault="00A10B25">
            <w:pPr>
              <w:pStyle w:val="TAL"/>
            </w:pPr>
            <w:r>
              <w:t>0..</w:t>
            </w:r>
            <w:r>
              <w:rPr>
                <w:rFonts w:hint="eastAsia"/>
              </w:rPr>
              <w:t>1</w:t>
            </w:r>
          </w:p>
        </w:tc>
        <w:tc>
          <w:tcPr>
            <w:tcW w:w="2977" w:type="dxa"/>
          </w:tcPr>
          <w:p w14:paraId="4C5AA9D9" w14:textId="77777777" w:rsidR="00A10B25" w:rsidRDefault="00A10B25">
            <w:pPr>
              <w:pStyle w:val="TAL"/>
            </w:pPr>
            <w:r>
              <w:rPr>
                <w:rFonts w:cs="Arial"/>
                <w:szCs w:val="18"/>
              </w:rPr>
              <w:t>Average load information</w:t>
            </w:r>
            <w:r>
              <w:t xml:space="preserve"> (NOTE 1, NOTE 2)</w:t>
            </w:r>
          </w:p>
          <w:p w14:paraId="4D32C64B" w14:textId="77777777" w:rsidR="00A10B25" w:rsidRDefault="00A10B25">
            <w:pPr>
              <w:pStyle w:val="TAL"/>
              <w:rPr>
                <w:rFonts w:cs="Arial"/>
                <w:szCs w:val="18"/>
              </w:rPr>
            </w:pPr>
            <w:r>
              <w:rPr>
                <w:rFonts w:cs="Arial"/>
                <w:szCs w:val="18"/>
              </w:rPr>
              <w:t>Minimum = 0. Maximum = 100.</w:t>
            </w:r>
          </w:p>
        </w:tc>
        <w:tc>
          <w:tcPr>
            <w:tcW w:w="1271" w:type="dxa"/>
          </w:tcPr>
          <w:p w14:paraId="2FEE0AA2" w14:textId="77777777" w:rsidR="00A10B25" w:rsidRDefault="00A10B25">
            <w:pPr>
              <w:pStyle w:val="TAL"/>
              <w:rPr>
                <w:rFonts w:cs="Arial"/>
                <w:szCs w:val="18"/>
              </w:rPr>
            </w:pPr>
          </w:p>
        </w:tc>
      </w:tr>
      <w:tr w:rsidR="00A10B25" w14:paraId="3611A7C2" w14:textId="77777777">
        <w:trPr>
          <w:jc w:val="center"/>
        </w:trPr>
        <w:tc>
          <w:tcPr>
            <w:tcW w:w="2123" w:type="dxa"/>
          </w:tcPr>
          <w:p w14:paraId="4B3C650E" w14:textId="77777777" w:rsidR="00A10B25" w:rsidRDefault="00A10B25">
            <w:pPr>
              <w:pStyle w:val="TAL"/>
            </w:pPr>
            <w:r>
              <w:t>nfLoadLevelPeak</w:t>
            </w:r>
          </w:p>
        </w:tc>
        <w:tc>
          <w:tcPr>
            <w:tcW w:w="1560" w:type="dxa"/>
          </w:tcPr>
          <w:p w14:paraId="66FDB408" w14:textId="77777777" w:rsidR="00A10B25" w:rsidRDefault="00A10B25">
            <w:pPr>
              <w:pStyle w:val="TAL"/>
            </w:pPr>
            <w:r>
              <w:t>integer</w:t>
            </w:r>
          </w:p>
        </w:tc>
        <w:tc>
          <w:tcPr>
            <w:tcW w:w="283" w:type="dxa"/>
          </w:tcPr>
          <w:p w14:paraId="2DF090F7" w14:textId="77777777" w:rsidR="00A10B25" w:rsidRDefault="00A10B25">
            <w:pPr>
              <w:pStyle w:val="TAC"/>
            </w:pPr>
            <w:r>
              <w:t>C</w:t>
            </w:r>
          </w:p>
        </w:tc>
        <w:tc>
          <w:tcPr>
            <w:tcW w:w="1134" w:type="dxa"/>
          </w:tcPr>
          <w:p w14:paraId="00F62974" w14:textId="77777777" w:rsidR="00A10B25" w:rsidRDefault="00A10B25">
            <w:pPr>
              <w:pStyle w:val="TAL"/>
            </w:pPr>
            <w:r>
              <w:t>0..1</w:t>
            </w:r>
          </w:p>
        </w:tc>
        <w:tc>
          <w:tcPr>
            <w:tcW w:w="2977" w:type="dxa"/>
          </w:tcPr>
          <w:p w14:paraId="7EA0F2D2" w14:textId="77777777" w:rsidR="00A10B25" w:rsidRDefault="00A10B25">
            <w:pPr>
              <w:pStyle w:val="TAL"/>
            </w:pPr>
            <w:r>
              <w:rPr>
                <w:rFonts w:cs="Arial"/>
                <w:szCs w:val="18"/>
              </w:rPr>
              <w:t xml:space="preserve">Peak load information </w:t>
            </w:r>
            <w:r>
              <w:t>(NOTE 1, NOTE 2)</w:t>
            </w:r>
          </w:p>
          <w:p w14:paraId="7F905E85" w14:textId="77777777" w:rsidR="00A10B25" w:rsidRDefault="00A10B25">
            <w:pPr>
              <w:pStyle w:val="TAL"/>
              <w:rPr>
                <w:rFonts w:cs="Arial"/>
                <w:szCs w:val="18"/>
              </w:rPr>
            </w:pPr>
            <w:r>
              <w:rPr>
                <w:rFonts w:cs="Arial"/>
                <w:szCs w:val="18"/>
              </w:rPr>
              <w:t>Minimum = 0. Maximum = 100.</w:t>
            </w:r>
          </w:p>
        </w:tc>
        <w:tc>
          <w:tcPr>
            <w:tcW w:w="1271" w:type="dxa"/>
          </w:tcPr>
          <w:p w14:paraId="6086FFD6" w14:textId="77777777" w:rsidR="00A10B25" w:rsidRDefault="00A10B25">
            <w:pPr>
              <w:pStyle w:val="TAL"/>
              <w:rPr>
                <w:rFonts w:cs="Arial"/>
                <w:szCs w:val="18"/>
              </w:rPr>
            </w:pPr>
          </w:p>
        </w:tc>
      </w:tr>
      <w:tr w:rsidR="00A10B25" w14:paraId="596A1467" w14:textId="77777777">
        <w:trPr>
          <w:jc w:val="center"/>
        </w:trPr>
        <w:tc>
          <w:tcPr>
            <w:tcW w:w="2123" w:type="dxa"/>
          </w:tcPr>
          <w:p w14:paraId="5E5D9059" w14:textId="77777777" w:rsidR="00A10B25" w:rsidRDefault="00A10B25">
            <w:pPr>
              <w:pStyle w:val="TAL"/>
            </w:pPr>
            <w:r>
              <w:t>nfLoadAvgInAoi</w:t>
            </w:r>
          </w:p>
        </w:tc>
        <w:tc>
          <w:tcPr>
            <w:tcW w:w="1560" w:type="dxa"/>
          </w:tcPr>
          <w:p w14:paraId="46777C20" w14:textId="77777777" w:rsidR="00A10B25" w:rsidRDefault="00A10B25">
            <w:pPr>
              <w:pStyle w:val="TAL"/>
            </w:pPr>
            <w:r>
              <w:t>integer</w:t>
            </w:r>
          </w:p>
        </w:tc>
        <w:tc>
          <w:tcPr>
            <w:tcW w:w="283" w:type="dxa"/>
          </w:tcPr>
          <w:p w14:paraId="70E1B0A3" w14:textId="77777777" w:rsidR="00A10B25" w:rsidRDefault="00A10B25">
            <w:pPr>
              <w:pStyle w:val="TAC"/>
            </w:pPr>
            <w:r>
              <w:t>C</w:t>
            </w:r>
          </w:p>
        </w:tc>
        <w:tc>
          <w:tcPr>
            <w:tcW w:w="1134" w:type="dxa"/>
          </w:tcPr>
          <w:p w14:paraId="1D425554" w14:textId="77777777" w:rsidR="00A10B25" w:rsidRDefault="00A10B25">
            <w:pPr>
              <w:pStyle w:val="TAL"/>
            </w:pPr>
            <w:r>
              <w:t>0..1</w:t>
            </w:r>
          </w:p>
        </w:tc>
        <w:tc>
          <w:tcPr>
            <w:tcW w:w="2977" w:type="dxa"/>
          </w:tcPr>
          <w:p w14:paraId="14D03197" w14:textId="77777777" w:rsidR="00A10B25" w:rsidRDefault="00A10B25">
            <w:pPr>
              <w:pStyle w:val="TAL"/>
            </w:pPr>
            <w:r>
              <w:rPr>
                <w:rFonts w:cs="Arial"/>
                <w:szCs w:val="18"/>
              </w:rPr>
              <w:t>The average load of the NF instances over the area of interest.</w:t>
            </w:r>
            <w:r>
              <w:t xml:space="preserve"> (NOTE 1, NOTE 2, NOTE 4)</w:t>
            </w:r>
          </w:p>
          <w:p w14:paraId="120B1891" w14:textId="77777777" w:rsidR="00A10B25" w:rsidRDefault="00A10B25">
            <w:pPr>
              <w:pStyle w:val="TAL"/>
              <w:rPr>
                <w:rFonts w:cs="Arial"/>
                <w:szCs w:val="18"/>
              </w:rPr>
            </w:pPr>
            <w:r>
              <w:rPr>
                <w:rFonts w:cs="Arial"/>
                <w:szCs w:val="18"/>
              </w:rPr>
              <w:t>Minimum = 0. Maximum = 100.</w:t>
            </w:r>
          </w:p>
        </w:tc>
        <w:tc>
          <w:tcPr>
            <w:tcW w:w="1271" w:type="dxa"/>
          </w:tcPr>
          <w:p w14:paraId="4EBA3AAE" w14:textId="77777777" w:rsidR="00A10B25" w:rsidRDefault="00A10B25">
            <w:pPr>
              <w:pStyle w:val="TAL"/>
              <w:rPr>
                <w:rFonts w:cs="Arial"/>
                <w:szCs w:val="18"/>
              </w:rPr>
            </w:pPr>
            <w:r>
              <w:rPr>
                <w:rFonts w:cs="Arial"/>
              </w:rPr>
              <w:t>NfLoadExt</w:t>
            </w:r>
          </w:p>
        </w:tc>
      </w:tr>
      <w:tr w:rsidR="00A10B25" w14:paraId="76D7F7FA" w14:textId="77777777">
        <w:trPr>
          <w:jc w:val="center"/>
        </w:trPr>
        <w:tc>
          <w:tcPr>
            <w:tcW w:w="2123" w:type="dxa"/>
          </w:tcPr>
          <w:p w14:paraId="559DA289" w14:textId="77777777" w:rsidR="00A10B25" w:rsidRDefault="00A10B25">
            <w:pPr>
              <w:pStyle w:val="TAL"/>
            </w:pPr>
            <w:r>
              <w:t>snssai</w:t>
            </w:r>
          </w:p>
        </w:tc>
        <w:tc>
          <w:tcPr>
            <w:tcW w:w="1560" w:type="dxa"/>
          </w:tcPr>
          <w:p w14:paraId="1B7149EC" w14:textId="77777777" w:rsidR="00A10B25" w:rsidRDefault="00A10B25">
            <w:pPr>
              <w:pStyle w:val="TAL"/>
            </w:pPr>
            <w:r>
              <w:t>Snssai</w:t>
            </w:r>
          </w:p>
        </w:tc>
        <w:tc>
          <w:tcPr>
            <w:tcW w:w="283" w:type="dxa"/>
          </w:tcPr>
          <w:p w14:paraId="642DA8A4" w14:textId="77777777" w:rsidR="00A10B25" w:rsidRDefault="00A10B25">
            <w:pPr>
              <w:pStyle w:val="TAC"/>
            </w:pPr>
            <w:r>
              <w:t>C</w:t>
            </w:r>
          </w:p>
        </w:tc>
        <w:tc>
          <w:tcPr>
            <w:tcW w:w="1134" w:type="dxa"/>
          </w:tcPr>
          <w:p w14:paraId="46AB877A" w14:textId="77777777" w:rsidR="00A10B25" w:rsidRDefault="00A10B25">
            <w:pPr>
              <w:pStyle w:val="TAL"/>
            </w:pPr>
            <w:r>
              <w:t>0..1</w:t>
            </w:r>
          </w:p>
        </w:tc>
        <w:tc>
          <w:tcPr>
            <w:tcW w:w="2977" w:type="dxa"/>
          </w:tcPr>
          <w:p w14:paraId="3D791C60" w14:textId="77777777" w:rsidR="00A10B25" w:rsidRDefault="00A10B25">
            <w:pPr>
              <w:pStyle w:val="TAL"/>
              <w:rPr>
                <w:rFonts w:eastAsia="Batang"/>
              </w:rPr>
            </w:pPr>
            <w:r>
              <w:rPr>
                <w:rFonts w:eastAsia="Batang"/>
              </w:rPr>
              <w:t>Identifies an S-NSSAI.</w:t>
            </w:r>
          </w:p>
          <w:p w14:paraId="6A426C88" w14:textId="77777777" w:rsidR="00A10B25" w:rsidRDefault="00A10B25">
            <w:pPr>
              <w:pStyle w:val="TAL"/>
              <w:rPr>
                <w:rFonts w:cs="Arial"/>
                <w:szCs w:val="18"/>
              </w:rPr>
            </w:pPr>
            <w:r>
              <w:rPr>
                <w:rFonts w:eastAsia="Batang"/>
              </w:rPr>
              <w:t xml:space="preserve">Shall be present if the </w:t>
            </w:r>
            <w:r>
              <w:t>"snssais" was provided within EventSubscription during the subscription for event notification procedure.</w:t>
            </w:r>
          </w:p>
        </w:tc>
        <w:tc>
          <w:tcPr>
            <w:tcW w:w="1271" w:type="dxa"/>
          </w:tcPr>
          <w:p w14:paraId="114A9F8F" w14:textId="77777777" w:rsidR="00A10B25" w:rsidRDefault="00A10B25">
            <w:pPr>
              <w:pStyle w:val="TAL"/>
              <w:rPr>
                <w:rFonts w:cs="Arial"/>
                <w:szCs w:val="18"/>
              </w:rPr>
            </w:pPr>
          </w:p>
        </w:tc>
      </w:tr>
      <w:tr w:rsidR="00A10B25" w14:paraId="26BFBAE8" w14:textId="77777777">
        <w:trPr>
          <w:jc w:val="center"/>
        </w:trPr>
        <w:tc>
          <w:tcPr>
            <w:tcW w:w="2123" w:type="dxa"/>
          </w:tcPr>
          <w:p w14:paraId="56513984" w14:textId="77777777" w:rsidR="00A10B25" w:rsidRDefault="00A10B25">
            <w:pPr>
              <w:pStyle w:val="TAL"/>
            </w:pPr>
            <w:r>
              <w:t>confidence</w:t>
            </w:r>
          </w:p>
        </w:tc>
        <w:tc>
          <w:tcPr>
            <w:tcW w:w="1560" w:type="dxa"/>
          </w:tcPr>
          <w:p w14:paraId="051854FF" w14:textId="77777777" w:rsidR="00A10B25" w:rsidRDefault="00A10B25">
            <w:pPr>
              <w:pStyle w:val="TAL"/>
            </w:pPr>
            <w:r>
              <w:rPr>
                <w:lang w:eastAsia="zh-CN"/>
              </w:rPr>
              <w:t>Uinteger</w:t>
            </w:r>
          </w:p>
        </w:tc>
        <w:tc>
          <w:tcPr>
            <w:tcW w:w="283" w:type="dxa"/>
          </w:tcPr>
          <w:p w14:paraId="11817E86" w14:textId="77777777" w:rsidR="00A10B25" w:rsidRDefault="00A10B25">
            <w:pPr>
              <w:pStyle w:val="TAC"/>
            </w:pPr>
            <w:r>
              <w:t>C</w:t>
            </w:r>
          </w:p>
        </w:tc>
        <w:tc>
          <w:tcPr>
            <w:tcW w:w="1134" w:type="dxa"/>
          </w:tcPr>
          <w:p w14:paraId="2FDFA3E3" w14:textId="77777777" w:rsidR="00A10B25" w:rsidRDefault="00A10B25">
            <w:pPr>
              <w:pStyle w:val="TAL"/>
            </w:pPr>
            <w:r>
              <w:t>0..1</w:t>
            </w:r>
          </w:p>
        </w:tc>
        <w:tc>
          <w:tcPr>
            <w:tcW w:w="2977" w:type="dxa"/>
          </w:tcPr>
          <w:p w14:paraId="319F00B3" w14:textId="77777777" w:rsidR="00A10B25" w:rsidRDefault="00A10B25">
            <w:pPr>
              <w:pStyle w:val="TAL"/>
            </w:pPr>
            <w:r>
              <w:t>Indicates the confidence of the prediction. (NOTE 3)</w:t>
            </w:r>
          </w:p>
          <w:p w14:paraId="3BEAA693" w14:textId="77777777" w:rsidR="00A10B25" w:rsidRDefault="00A10B25">
            <w:pPr>
              <w:pStyle w:val="TAL"/>
            </w:pPr>
            <w:r>
              <w:t>Shall be present if the analytics result is a prediction.</w:t>
            </w:r>
          </w:p>
          <w:p w14:paraId="34051D2F" w14:textId="77777777" w:rsidR="00A10B25" w:rsidRDefault="00A10B25">
            <w:pPr>
              <w:pStyle w:val="TAL"/>
              <w:rPr>
                <w:rFonts w:eastAsia="Batang"/>
              </w:rPr>
            </w:pPr>
            <w:r>
              <w:rPr>
                <w:rFonts w:cs="Arial"/>
                <w:szCs w:val="18"/>
                <w:lang w:eastAsia="zh-CN"/>
              </w:rPr>
              <w:t>Minimum = 0. Maximum = 100.</w:t>
            </w:r>
          </w:p>
        </w:tc>
        <w:tc>
          <w:tcPr>
            <w:tcW w:w="1271" w:type="dxa"/>
          </w:tcPr>
          <w:p w14:paraId="433D6E5D" w14:textId="77777777" w:rsidR="00A10B25" w:rsidRDefault="00A10B25">
            <w:pPr>
              <w:pStyle w:val="TAL"/>
              <w:rPr>
                <w:rFonts w:cs="Arial"/>
                <w:szCs w:val="18"/>
              </w:rPr>
            </w:pPr>
          </w:p>
        </w:tc>
      </w:tr>
      <w:tr w:rsidR="00A10B25" w14:paraId="1B2F6507" w14:textId="77777777">
        <w:trPr>
          <w:jc w:val="center"/>
        </w:trPr>
        <w:tc>
          <w:tcPr>
            <w:tcW w:w="9348" w:type="dxa"/>
            <w:gridSpan w:val="6"/>
          </w:tcPr>
          <w:p w14:paraId="247216F2" w14:textId="77777777" w:rsidR="00A10B25" w:rsidRDefault="00A10B25">
            <w:pPr>
              <w:pStyle w:val="TAN"/>
            </w:pPr>
            <w:r>
              <w:t>NOTE 1:</w:t>
            </w:r>
            <w:r>
              <w:tab/>
              <w:t xml:space="preserve">At least one value shall be provided. </w:t>
            </w:r>
            <w:r>
              <w:rPr>
                <w:rFonts w:hint="eastAsia"/>
                <w:lang w:eastAsia="zh-CN"/>
              </w:rPr>
              <w:t>If</w:t>
            </w:r>
            <w:r>
              <w:t xml:space="preserve"> the "listofAnaSubsets" attribute with value only applicable to NF_LOAD event is present in the subscription request, then only the corresponding attribute(s) shall be present.</w:t>
            </w:r>
          </w:p>
          <w:p w14:paraId="47E71263" w14:textId="77777777" w:rsidR="00A10B25" w:rsidRDefault="00A10B25">
            <w:pPr>
              <w:pStyle w:val="TAN"/>
            </w:pPr>
            <w:r>
              <w:t>NOTE 2:</w:t>
            </w:r>
            <w:r>
              <w:tab/>
              <w:t>The values are percentages which are provided as estimated over a given period.</w:t>
            </w:r>
          </w:p>
          <w:p w14:paraId="06B93CF4" w14:textId="77777777" w:rsidR="00A10B25" w:rsidRDefault="00A10B25">
            <w:pPr>
              <w:pStyle w:val="TAN"/>
              <w:rPr>
                <w:rFonts w:cs="Arial"/>
              </w:rPr>
            </w:pPr>
            <w:r>
              <w:rPr>
                <w:rFonts w:cs="Arial"/>
              </w:rPr>
              <w:t>NOTE 3:</w:t>
            </w:r>
            <w:r>
              <w:rPr>
                <w:rFonts w:cs="Arial"/>
              </w:rP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0B642014" w14:textId="77777777" w:rsidR="00A10B25" w:rsidRDefault="00A10B25">
            <w:pPr>
              <w:pStyle w:val="TAN"/>
              <w:rPr>
                <w:rFonts w:cs="Arial"/>
              </w:rPr>
            </w:pPr>
            <w:r>
              <w:rPr>
                <w:rFonts w:cs="Arial"/>
              </w:rPr>
              <w:t>NOTE 4:</w:t>
            </w:r>
            <w:r>
              <w:rPr>
                <w:rFonts w:cs="Arial"/>
              </w:rPr>
              <w:tab/>
            </w:r>
            <w:r>
              <w:t xml:space="preserve">Applicable only to AMF load </w:t>
            </w:r>
            <w:r>
              <w:rPr>
                <w:rFonts w:cs="Arial"/>
              </w:rPr>
              <w:t>If the "networkArea" attribute is present in the subscription request.</w:t>
            </w:r>
          </w:p>
        </w:tc>
      </w:tr>
    </w:tbl>
    <w:p w14:paraId="04437525" w14:textId="77777777" w:rsidR="00A10B25" w:rsidRDefault="00A10B25"/>
    <w:p w14:paraId="2AF1B760" w14:textId="77777777" w:rsidR="00A10B25" w:rsidRDefault="00A10B25">
      <w:pPr>
        <w:pStyle w:val="5"/>
      </w:pPr>
      <w:bookmarkStart w:id="6762" w:name="_Toc56640990"/>
      <w:bookmarkStart w:id="6763" w:name="_Toc101244440"/>
      <w:bookmarkStart w:id="6764" w:name="_Toc66231826"/>
      <w:bookmarkStart w:id="6765" w:name="_Toc114133834"/>
      <w:bookmarkStart w:id="6766" w:name="_Toc43563528"/>
      <w:bookmarkStart w:id="6767" w:name="_Toc50032003"/>
      <w:bookmarkStart w:id="6768" w:name="_Toc120702334"/>
      <w:bookmarkStart w:id="6769" w:name="_Toc59017958"/>
      <w:bookmarkStart w:id="6770" w:name="_Toc34266315"/>
      <w:bookmarkStart w:id="6771" w:name="_Toc85557109"/>
      <w:bookmarkStart w:id="6772" w:name="_Toc83233100"/>
      <w:bookmarkStart w:id="6773" w:name="_Toc98233664"/>
      <w:bookmarkStart w:id="6774" w:name="_Toc90655896"/>
      <w:bookmarkStart w:id="6775" w:name="_Toc113031695"/>
      <w:bookmarkStart w:id="6776" w:name="_Toc148522626"/>
      <w:bookmarkStart w:id="6777" w:name="_Toc45134071"/>
      <w:bookmarkStart w:id="6778" w:name="_Toc51762923"/>
      <w:bookmarkStart w:id="6779" w:name="_Toc88667611"/>
      <w:bookmarkStart w:id="6780" w:name="_Toc112951155"/>
      <w:bookmarkStart w:id="6781" w:name="_Toc85553010"/>
      <w:bookmarkStart w:id="6782" w:name="_Toc138754235"/>
      <w:bookmarkStart w:id="6783" w:name="_Toc145705722"/>
      <w:bookmarkStart w:id="6784" w:name="_Toc68168987"/>
      <w:bookmarkStart w:id="6785" w:name="_Toc94064279"/>
      <w:bookmarkStart w:id="6786" w:name="_Toc104539033"/>
      <w:bookmarkStart w:id="6787" w:name="_Toc136562401"/>
      <w:bookmarkStart w:id="6788" w:name="_Toc36102486"/>
      <w:bookmarkStart w:id="6789" w:name="_Toc70550654"/>
      <w:bookmarkStart w:id="6790" w:name="_Toc164920806"/>
      <w:bookmarkStart w:id="6791" w:name="_Toc170120348"/>
      <w:bookmarkStart w:id="6792" w:name="_Toc175858593"/>
      <w:bookmarkStart w:id="6793" w:name="_Toc175859666"/>
      <w:bookmarkStart w:id="6794" w:name="_Toc180605956"/>
      <w:bookmarkStart w:id="6795" w:name="_Toc185517210"/>
      <w:bookmarkStart w:id="6796" w:name="_Toc191576261"/>
      <w:bookmarkStart w:id="6797" w:name="_Toc191577001"/>
      <w:bookmarkStart w:id="6798" w:name="_Toc192880071"/>
      <w:bookmarkStart w:id="6799" w:name="_Toc195814954"/>
      <w:bookmarkStart w:id="6800" w:name="_Toc199452921"/>
      <w:r>
        <w:t>5.1.6.2.32</w:t>
      </w:r>
      <w:r>
        <w:tab/>
        <w:t>Type NfStatus</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1614BACA" w14:textId="77777777" w:rsidR="00A10B25" w:rsidRDefault="00A10B25">
      <w:pPr>
        <w:pStyle w:val="TH"/>
      </w:pPr>
      <w:r>
        <w:t>Table 5.1.6.2.32-1: Definition of type NfStatus</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3"/>
        <w:gridCol w:w="1560"/>
        <w:gridCol w:w="283"/>
        <w:gridCol w:w="1134"/>
        <w:gridCol w:w="2977"/>
        <w:gridCol w:w="1271"/>
      </w:tblGrid>
      <w:tr w:rsidR="00A10B25" w14:paraId="3E576A6A" w14:textId="77777777">
        <w:trPr>
          <w:jc w:val="center"/>
        </w:trPr>
        <w:tc>
          <w:tcPr>
            <w:tcW w:w="2123" w:type="dxa"/>
            <w:shd w:val="clear" w:color="auto" w:fill="C0C0C0"/>
          </w:tcPr>
          <w:p w14:paraId="344E93DA" w14:textId="77777777" w:rsidR="00A10B25" w:rsidRDefault="00A10B25">
            <w:pPr>
              <w:pStyle w:val="TAH"/>
            </w:pPr>
            <w:r>
              <w:t>Attribute name</w:t>
            </w:r>
          </w:p>
        </w:tc>
        <w:tc>
          <w:tcPr>
            <w:tcW w:w="1560" w:type="dxa"/>
            <w:shd w:val="clear" w:color="auto" w:fill="C0C0C0"/>
          </w:tcPr>
          <w:p w14:paraId="458ADC13" w14:textId="77777777" w:rsidR="00A10B25" w:rsidRDefault="00A10B25">
            <w:pPr>
              <w:pStyle w:val="TAH"/>
            </w:pPr>
            <w:r>
              <w:t>Data type</w:t>
            </w:r>
          </w:p>
        </w:tc>
        <w:tc>
          <w:tcPr>
            <w:tcW w:w="283" w:type="dxa"/>
            <w:shd w:val="clear" w:color="auto" w:fill="C0C0C0"/>
          </w:tcPr>
          <w:p w14:paraId="7B29A27C" w14:textId="77777777" w:rsidR="00A10B25" w:rsidRDefault="00A10B25">
            <w:pPr>
              <w:pStyle w:val="TAH"/>
            </w:pPr>
            <w:r>
              <w:t>P</w:t>
            </w:r>
          </w:p>
        </w:tc>
        <w:tc>
          <w:tcPr>
            <w:tcW w:w="1134" w:type="dxa"/>
            <w:shd w:val="clear" w:color="auto" w:fill="C0C0C0"/>
          </w:tcPr>
          <w:p w14:paraId="074B6A3C" w14:textId="77777777" w:rsidR="00A10B25" w:rsidRDefault="00A10B25">
            <w:pPr>
              <w:pStyle w:val="TAH"/>
            </w:pPr>
            <w:r>
              <w:t>Cardinality</w:t>
            </w:r>
          </w:p>
        </w:tc>
        <w:tc>
          <w:tcPr>
            <w:tcW w:w="2977" w:type="dxa"/>
            <w:shd w:val="clear" w:color="auto" w:fill="C0C0C0"/>
          </w:tcPr>
          <w:p w14:paraId="73372495" w14:textId="77777777" w:rsidR="00A10B25" w:rsidRDefault="00A10B25">
            <w:pPr>
              <w:pStyle w:val="TAH"/>
              <w:rPr>
                <w:rFonts w:cs="Arial"/>
                <w:szCs w:val="18"/>
              </w:rPr>
            </w:pPr>
            <w:r>
              <w:rPr>
                <w:rFonts w:cs="Arial"/>
                <w:szCs w:val="18"/>
              </w:rPr>
              <w:t>Description</w:t>
            </w:r>
          </w:p>
        </w:tc>
        <w:tc>
          <w:tcPr>
            <w:tcW w:w="1271" w:type="dxa"/>
            <w:shd w:val="clear" w:color="auto" w:fill="C0C0C0"/>
          </w:tcPr>
          <w:p w14:paraId="25836F74" w14:textId="77777777" w:rsidR="00A10B25" w:rsidRDefault="00A10B25">
            <w:pPr>
              <w:pStyle w:val="TAH"/>
              <w:rPr>
                <w:rFonts w:cs="Arial"/>
                <w:szCs w:val="18"/>
              </w:rPr>
            </w:pPr>
            <w:r>
              <w:rPr>
                <w:rFonts w:cs="Arial"/>
                <w:szCs w:val="18"/>
              </w:rPr>
              <w:t>Applicability</w:t>
            </w:r>
          </w:p>
        </w:tc>
      </w:tr>
      <w:tr w:rsidR="00A10B25" w14:paraId="16DCD187" w14:textId="77777777">
        <w:trPr>
          <w:jc w:val="center"/>
        </w:trPr>
        <w:tc>
          <w:tcPr>
            <w:tcW w:w="2123" w:type="dxa"/>
          </w:tcPr>
          <w:p w14:paraId="3A9A43F8" w14:textId="77777777" w:rsidR="00A10B25" w:rsidRDefault="00A10B25">
            <w:pPr>
              <w:pStyle w:val="TAL"/>
            </w:pPr>
            <w:r>
              <w:t>statusRegistered</w:t>
            </w:r>
          </w:p>
        </w:tc>
        <w:tc>
          <w:tcPr>
            <w:tcW w:w="1560" w:type="dxa"/>
          </w:tcPr>
          <w:p w14:paraId="4B2E444E" w14:textId="77777777" w:rsidR="00A10B25" w:rsidRDefault="00A10B25">
            <w:pPr>
              <w:pStyle w:val="TAL"/>
            </w:pPr>
            <w:r>
              <w:t>SamplingRatio</w:t>
            </w:r>
          </w:p>
        </w:tc>
        <w:tc>
          <w:tcPr>
            <w:tcW w:w="283" w:type="dxa"/>
          </w:tcPr>
          <w:p w14:paraId="48FF3B8D" w14:textId="77777777" w:rsidR="00A10B25" w:rsidRDefault="00A10B25">
            <w:pPr>
              <w:pStyle w:val="TAC"/>
            </w:pPr>
            <w:r>
              <w:t>C</w:t>
            </w:r>
          </w:p>
        </w:tc>
        <w:tc>
          <w:tcPr>
            <w:tcW w:w="1134" w:type="dxa"/>
          </w:tcPr>
          <w:p w14:paraId="029C7A8D" w14:textId="77777777" w:rsidR="00A10B25" w:rsidRDefault="00A10B25">
            <w:pPr>
              <w:pStyle w:val="TAL"/>
            </w:pPr>
            <w:r>
              <w:t>0..1</w:t>
            </w:r>
          </w:p>
        </w:tc>
        <w:tc>
          <w:tcPr>
            <w:tcW w:w="2977" w:type="dxa"/>
          </w:tcPr>
          <w:p w14:paraId="48161D08" w14:textId="77777777" w:rsidR="00A10B25" w:rsidRDefault="00A10B25">
            <w:pPr>
              <w:pStyle w:val="TAL"/>
              <w:rPr>
                <w:rFonts w:cs="Arial"/>
                <w:szCs w:val="18"/>
              </w:rPr>
            </w:pPr>
            <w:r>
              <w:rPr>
                <w:rFonts w:cs="Arial"/>
                <w:szCs w:val="18"/>
              </w:rPr>
              <w:t>Percentage of time with status "registered" (NOTE)</w:t>
            </w:r>
          </w:p>
        </w:tc>
        <w:tc>
          <w:tcPr>
            <w:tcW w:w="1271" w:type="dxa"/>
          </w:tcPr>
          <w:p w14:paraId="1364A363" w14:textId="77777777" w:rsidR="00A10B25" w:rsidRDefault="00A10B25">
            <w:pPr>
              <w:pStyle w:val="TAL"/>
              <w:rPr>
                <w:rFonts w:cs="Arial"/>
                <w:szCs w:val="18"/>
              </w:rPr>
            </w:pPr>
          </w:p>
        </w:tc>
      </w:tr>
      <w:tr w:rsidR="00A10B25" w14:paraId="04E4D826" w14:textId="77777777">
        <w:trPr>
          <w:jc w:val="center"/>
        </w:trPr>
        <w:tc>
          <w:tcPr>
            <w:tcW w:w="2123" w:type="dxa"/>
          </w:tcPr>
          <w:p w14:paraId="305EE33D" w14:textId="77777777" w:rsidR="00A10B25" w:rsidRDefault="00A10B25">
            <w:pPr>
              <w:pStyle w:val="TAL"/>
            </w:pPr>
            <w:r>
              <w:t>statusUnregistered</w:t>
            </w:r>
          </w:p>
        </w:tc>
        <w:tc>
          <w:tcPr>
            <w:tcW w:w="1560" w:type="dxa"/>
          </w:tcPr>
          <w:p w14:paraId="434061AB" w14:textId="77777777" w:rsidR="00A10B25" w:rsidRDefault="00A10B25">
            <w:pPr>
              <w:pStyle w:val="TAL"/>
            </w:pPr>
            <w:r>
              <w:t>SamplingRatio</w:t>
            </w:r>
          </w:p>
        </w:tc>
        <w:tc>
          <w:tcPr>
            <w:tcW w:w="283" w:type="dxa"/>
          </w:tcPr>
          <w:p w14:paraId="17EFB40A" w14:textId="77777777" w:rsidR="00A10B25" w:rsidRDefault="00A10B25">
            <w:pPr>
              <w:pStyle w:val="TAC"/>
            </w:pPr>
            <w:r>
              <w:t>C</w:t>
            </w:r>
          </w:p>
        </w:tc>
        <w:tc>
          <w:tcPr>
            <w:tcW w:w="1134" w:type="dxa"/>
          </w:tcPr>
          <w:p w14:paraId="61DAB215" w14:textId="77777777" w:rsidR="00A10B25" w:rsidRDefault="00A10B25">
            <w:pPr>
              <w:pStyle w:val="TAL"/>
            </w:pPr>
            <w:r>
              <w:t>0..1</w:t>
            </w:r>
          </w:p>
        </w:tc>
        <w:tc>
          <w:tcPr>
            <w:tcW w:w="2977" w:type="dxa"/>
          </w:tcPr>
          <w:p w14:paraId="1DEEB04A" w14:textId="77777777" w:rsidR="00A10B25" w:rsidRDefault="00A10B25">
            <w:pPr>
              <w:pStyle w:val="TAL"/>
              <w:rPr>
                <w:rFonts w:cs="Arial"/>
                <w:szCs w:val="18"/>
              </w:rPr>
            </w:pPr>
            <w:r>
              <w:rPr>
                <w:rFonts w:cs="Arial"/>
                <w:szCs w:val="18"/>
              </w:rPr>
              <w:t>Percentage of time with status "unregistered" (NOTE)</w:t>
            </w:r>
          </w:p>
        </w:tc>
        <w:tc>
          <w:tcPr>
            <w:tcW w:w="1271" w:type="dxa"/>
          </w:tcPr>
          <w:p w14:paraId="68EDC67F" w14:textId="77777777" w:rsidR="00A10B25" w:rsidRDefault="00A10B25">
            <w:pPr>
              <w:pStyle w:val="TAL"/>
              <w:rPr>
                <w:rFonts w:cs="Arial"/>
                <w:szCs w:val="18"/>
              </w:rPr>
            </w:pPr>
          </w:p>
        </w:tc>
      </w:tr>
      <w:tr w:rsidR="00A10B25" w14:paraId="5992E367" w14:textId="77777777">
        <w:trPr>
          <w:jc w:val="center"/>
        </w:trPr>
        <w:tc>
          <w:tcPr>
            <w:tcW w:w="2123" w:type="dxa"/>
          </w:tcPr>
          <w:p w14:paraId="5A44CD65" w14:textId="77777777" w:rsidR="00A10B25" w:rsidRDefault="00A10B25">
            <w:pPr>
              <w:pStyle w:val="TAL"/>
            </w:pPr>
            <w:r>
              <w:t>statusUndiscoverable</w:t>
            </w:r>
          </w:p>
        </w:tc>
        <w:tc>
          <w:tcPr>
            <w:tcW w:w="1560" w:type="dxa"/>
          </w:tcPr>
          <w:p w14:paraId="1C88803F" w14:textId="77777777" w:rsidR="00A10B25" w:rsidRDefault="00A10B25">
            <w:pPr>
              <w:pStyle w:val="TAL"/>
            </w:pPr>
            <w:r>
              <w:t>SamplingRatio</w:t>
            </w:r>
          </w:p>
        </w:tc>
        <w:tc>
          <w:tcPr>
            <w:tcW w:w="283" w:type="dxa"/>
          </w:tcPr>
          <w:p w14:paraId="3BACC196" w14:textId="77777777" w:rsidR="00A10B25" w:rsidRDefault="00A10B25">
            <w:pPr>
              <w:pStyle w:val="TAC"/>
            </w:pPr>
            <w:r>
              <w:t>C</w:t>
            </w:r>
          </w:p>
        </w:tc>
        <w:tc>
          <w:tcPr>
            <w:tcW w:w="1134" w:type="dxa"/>
          </w:tcPr>
          <w:p w14:paraId="6D8B6304" w14:textId="77777777" w:rsidR="00A10B25" w:rsidRDefault="00A10B25">
            <w:pPr>
              <w:pStyle w:val="TAL"/>
            </w:pPr>
            <w:r>
              <w:t>0..1</w:t>
            </w:r>
          </w:p>
        </w:tc>
        <w:tc>
          <w:tcPr>
            <w:tcW w:w="2977" w:type="dxa"/>
          </w:tcPr>
          <w:p w14:paraId="17629441" w14:textId="77777777" w:rsidR="00A10B25" w:rsidRDefault="00A10B25">
            <w:pPr>
              <w:pStyle w:val="TAL"/>
              <w:rPr>
                <w:rFonts w:cs="Arial"/>
                <w:szCs w:val="18"/>
              </w:rPr>
            </w:pPr>
            <w:r>
              <w:rPr>
                <w:rFonts w:cs="Arial"/>
                <w:szCs w:val="18"/>
              </w:rPr>
              <w:t>Percentage of time with status "undiscoverable" (NOTE)</w:t>
            </w:r>
          </w:p>
        </w:tc>
        <w:tc>
          <w:tcPr>
            <w:tcW w:w="1271" w:type="dxa"/>
          </w:tcPr>
          <w:p w14:paraId="3BDE4892" w14:textId="77777777" w:rsidR="00A10B25" w:rsidRDefault="00A10B25">
            <w:pPr>
              <w:pStyle w:val="TAL"/>
              <w:rPr>
                <w:rFonts w:cs="Arial"/>
                <w:szCs w:val="18"/>
              </w:rPr>
            </w:pPr>
          </w:p>
        </w:tc>
      </w:tr>
      <w:tr w:rsidR="00A10B25" w14:paraId="4A74B1C5" w14:textId="77777777">
        <w:trPr>
          <w:jc w:val="center"/>
        </w:trPr>
        <w:tc>
          <w:tcPr>
            <w:tcW w:w="9348" w:type="dxa"/>
            <w:gridSpan w:val="6"/>
          </w:tcPr>
          <w:p w14:paraId="732AC281" w14:textId="77777777" w:rsidR="00A10B25" w:rsidRDefault="00A10B25">
            <w:pPr>
              <w:pStyle w:val="TAN"/>
              <w:rPr>
                <w:rFonts w:cs="Arial"/>
                <w:szCs w:val="18"/>
              </w:rPr>
            </w:pPr>
            <w:r>
              <w:t>NOTE:</w:t>
            </w:r>
            <w:r>
              <w:tab/>
              <w:t>The availability statuses of the NF on the Analytics target period are expressed as a percentage of time. The total of status values should be equal or lower than 100%. At least one value shall be provided.</w:t>
            </w:r>
          </w:p>
        </w:tc>
      </w:tr>
    </w:tbl>
    <w:p w14:paraId="79D4A369" w14:textId="77777777" w:rsidR="00A10B25" w:rsidRDefault="00A10B25"/>
    <w:p w14:paraId="6D8DF2F8" w14:textId="77777777" w:rsidR="00A10B25" w:rsidRDefault="00A10B25">
      <w:pPr>
        <w:pStyle w:val="5"/>
      </w:pPr>
      <w:bookmarkStart w:id="6801" w:name="_Toc45134072"/>
      <w:bookmarkStart w:id="6802" w:name="_Toc104539034"/>
      <w:bookmarkStart w:id="6803" w:name="_Toc148522627"/>
      <w:bookmarkStart w:id="6804" w:name="_Toc120702335"/>
      <w:bookmarkStart w:id="6805" w:name="_Toc50032004"/>
      <w:bookmarkStart w:id="6806" w:name="_Toc66231827"/>
      <w:bookmarkStart w:id="6807" w:name="_Toc83233101"/>
      <w:bookmarkStart w:id="6808" w:name="_Toc112951156"/>
      <w:bookmarkStart w:id="6809" w:name="_Toc68168988"/>
      <w:bookmarkStart w:id="6810" w:name="_Toc59017959"/>
      <w:bookmarkStart w:id="6811" w:name="_Toc90655897"/>
      <w:bookmarkStart w:id="6812" w:name="_Toc56640991"/>
      <w:bookmarkStart w:id="6813" w:name="_Toc101244441"/>
      <w:bookmarkStart w:id="6814" w:name="_Toc70550655"/>
      <w:bookmarkStart w:id="6815" w:name="_Toc85557110"/>
      <w:bookmarkStart w:id="6816" w:name="_Toc114133835"/>
      <w:bookmarkStart w:id="6817" w:name="_Toc136562402"/>
      <w:bookmarkStart w:id="6818" w:name="_Toc94064280"/>
      <w:bookmarkStart w:id="6819" w:name="_Toc113031696"/>
      <w:bookmarkStart w:id="6820" w:name="_Toc88667612"/>
      <w:bookmarkStart w:id="6821" w:name="_Toc43563529"/>
      <w:bookmarkStart w:id="6822" w:name="_Toc138754236"/>
      <w:bookmarkStart w:id="6823" w:name="_Toc51762924"/>
      <w:bookmarkStart w:id="6824" w:name="_Toc85553011"/>
      <w:bookmarkStart w:id="6825" w:name="_Toc145705723"/>
      <w:bookmarkStart w:id="6826" w:name="_Toc98233665"/>
      <w:bookmarkStart w:id="6827" w:name="_Toc164920807"/>
      <w:bookmarkStart w:id="6828" w:name="_Toc170120349"/>
      <w:bookmarkStart w:id="6829" w:name="_Toc175858594"/>
      <w:bookmarkStart w:id="6830" w:name="_Toc175859667"/>
      <w:bookmarkStart w:id="6831" w:name="_Toc180605957"/>
      <w:bookmarkStart w:id="6832" w:name="_Toc185517211"/>
      <w:bookmarkStart w:id="6833" w:name="_Toc191576262"/>
      <w:bookmarkStart w:id="6834" w:name="_Toc191577002"/>
      <w:bookmarkStart w:id="6835" w:name="_Toc192880072"/>
      <w:bookmarkStart w:id="6836" w:name="_Toc195814955"/>
      <w:bookmarkStart w:id="6837" w:name="_Toc199452922"/>
      <w:r>
        <w:lastRenderedPageBreak/>
        <w:t>5.1.6.2.33</w:t>
      </w:r>
      <w:r>
        <w:tab/>
        <w:t>Type NsiIdInfo</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79AF0FCC" w14:textId="77777777" w:rsidR="00A10B25" w:rsidRDefault="00A10B25">
      <w:pPr>
        <w:pStyle w:val="TH"/>
      </w:pPr>
      <w:r>
        <w:t>Table 5.1.6.2.33-1: Definition of type NsiIdInfo</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48A53135" w14:textId="77777777">
        <w:trPr>
          <w:jc w:val="center"/>
        </w:trPr>
        <w:tc>
          <w:tcPr>
            <w:tcW w:w="1628" w:type="dxa"/>
            <w:shd w:val="clear" w:color="auto" w:fill="C0C0C0"/>
          </w:tcPr>
          <w:p w14:paraId="4BFE011E" w14:textId="77777777" w:rsidR="00A10B25" w:rsidRDefault="00A10B25">
            <w:pPr>
              <w:pStyle w:val="TAH"/>
            </w:pPr>
            <w:r>
              <w:t>Attribute name</w:t>
            </w:r>
          </w:p>
        </w:tc>
        <w:tc>
          <w:tcPr>
            <w:tcW w:w="1701" w:type="dxa"/>
            <w:shd w:val="clear" w:color="auto" w:fill="C0C0C0"/>
          </w:tcPr>
          <w:p w14:paraId="6A7DA70D" w14:textId="77777777" w:rsidR="00A10B25" w:rsidRDefault="00A10B25">
            <w:pPr>
              <w:pStyle w:val="TAH"/>
            </w:pPr>
            <w:r>
              <w:t>Data type</w:t>
            </w:r>
          </w:p>
        </w:tc>
        <w:tc>
          <w:tcPr>
            <w:tcW w:w="426" w:type="dxa"/>
            <w:shd w:val="clear" w:color="auto" w:fill="C0C0C0"/>
          </w:tcPr>
          <w:p w14:paraId="717E7EAD" w14:textId="77777777" w:rsidR="00A10B25" w:rsidRDefault="00A10B25">
            <w:pPr>
              <w:pStyle w:val="TAH"/>
            </w:pPr>
            <w:r>
              <w:t>P</w:t>
            </w:r>
          </w:p>
        </w:tc>
        <w:tc>
          <w:tcPr>
            <w:tcW w:w="1134" w:type="dxa"/>
            <w:shd w:val="clear" w:color="auto" w:fill="C0C0C0"/>
          </w:tcPr>
          <w:p w14:paraId="1CCEB4B3" w14:textId="77777777" w:rsidR="00A10B25" w:rsidRDefault="00A10B25">
            <w:pPr>
              <w:pStyle w:val="TAH"/>
            </w:pPr>
            <w:r>
              <w:t>Cardinality</w:t>
            </w:r>
          </w:p>
        </w:tc>
        <w:tc>
          <w:tcPr>
            <w:tcW w:w="2976" w:type="dxa"/>
            <w:shd w:val="clear" w:color="auto" w:fill="C0C0C0"/>
          </w:tcPr>
          <w:p w14:paraId="40F708A0" w14:textId="77777777" w:rsidR="00A10B25" w:rsidRDefault="00A10B25">
            <w:pPr>
              <w:pStyle w:val="TAH"/>
              <w:rPr>
                <w:rFonts w:cs="Arial"/>
                <w:szCs w:val="18"/>
              </w:rPr>
            </w:pPr>
            <w:r>
              <w:rPr>
                <w:rFonts w:cs="Arial"/>
                <w:szCs w:val="18"/>
              </w:rPr>
              <w:t>Description</w:t>
            </w:r>
          </w:p>
        </w:tc>
        <w:tc>
          <w:tcPr>
            <w:tcW w:w="1628" w:type="dxa"/>
            <w:shd w:val="clear" w:color="auto" w:fill="C0C0C0"/>
          </w:tcPr>
          <w:p w14:paraId="6012B48B" w14:textId="77777777" w:rsidR="00A10B25" w:rsidRDefault="00A10B25">
            <w:pPr>
              <w:pStyle w:val="TAH"/>
              <w:rPr>
                <w:rFonts w:cs="Arial"/>
                <w:szCs w:val="18"/>
              </w:rPr>
            </w:pPr>
            <w:r>
              <w:rPr>
                <w:rFonts w:cs="Arial"/>
                <w:szCs w:val="18"/>
              </w:rPr>
              <w:t>Applicability</w:t>
            </w:r>
          </w:p>
        </w:tc>
      </w:tr>
      <w:tr w:rsidR="00A10B25" w14:paraId="7E5D84C7" w14:textId="77777777">
        <w:trPr>
          <w:jc w:val="center"/>
        </w:trPr>
        <w:tc>
          <w:tcPr>
            <w:tcW w:w="1628" w:type="dxa"/>
          </w:tcPr>
          <w:p w14:paraId="045D89A3" w14:textId="77777777" w:rsidR="00A10B25" w:rsidRDefault="00A10B25">
            <w:pPr>
              <w:pStyle w:val="TAL"/>
            </w:pPr>
            <w:r>
              <w:t>snssai</w:t>
            </w:r>
          </w:p>
        </w:tc>
        <w:tc>
          <w:tcPr>
            <w:tcW w:w="1701" w:type="dxa"/>
          </w:tcPr>
          <w:p w14:paraId="1375DB5B" w14:textId="77777777" w:rsidR="00A10B25" w:rsidRDefault="00A10B25">
            <w:pPr>
              <w:pStyle w:val="TAL"/>
            </w:pPr>
            <w:r>
              <w:t>Snssai</w:t>
            </w:r>
          </w:p>
        </w:tc>
        <w:tc>
          <w:tcPr>
            <w:tcW w:w="426" w:type="dxa"/>
          </w:tcPr>
          <w:p w14:paraId="2B6CDAD2" w14:textId="77777777" w:rsidR="00A10B25" w:rsidRDefault="00A10B25">
            <w:pPr>
              <w:pStyle w:val="TAL"/>
            </w:pPr>
            <w:r>
              <w:rPr>
                <w:rFonts w:hint="eastAsia"/>
              </w:rPr>
              <w:t>M</w:t>
            </w:r>
          </w:p>
        </w:tc>
        <w:tc>
          <w:tcPr>
            <w:tcW w:w="1134" w:type="dxa"/>
          </w:tcPr>
          <w:p w14:paraId="0A137CF0" w14:textId="77777777" w:rsidR="00A10B25" w:rsidRDefault="00A10B25">
            <w:pPr>
              <w:pStyle w:val="TAL"/>
            </w:pPr>
            <w:r>
              <w:rPr>
                <w:rFonts w:hint="eastAsia"/>
              </w:rPr>
              <w:t>1</w:t>
            </w:r>
          </w:p>
        </w:tc>
        <w:tc>
          <w:tcPr>
            <w:tcW w:w="2976" w:type="dxa"/>
          </w:tcPr>
          <w:p w14:paraId="28ACC414" w14:textId="77777777" w:rsidR="00A10B25" w:rsidRDefault="00A10B25">
            <w:pPr>
              <w:pStyle w:val="TAL"/>
              <w:rPr>
                <w:rFonts w:cs="Arial"/>
                <w:szCs w:val="18"/>
              </w:rPr>
            </w:pPr>
            <w:r>
              <w:rPr>
                <w:rFonts w:cs="Arial"/>
                <w:szCs w:val="18"/>
              </w:rPr>
              <w:t>Identification of network slice to which the subscription for event notification procedure applies.</w:t>
            </w:r>
          </w:p>
        </w:tc>
        <w:tc>
          <w:tcPr>
            <w:tcW w:w="1628" w:type="dxa"/>
          </w:tcPr>
          <w:p w14:paraId="06EAF249" w14:textId="77777777" w:rsidR="00A10B25" w:rsidRDefault="00A10B25">
            <w:pPr>
              <w:pStyle w:val="TAL"/>
              <w:rPr>
                <w:rFonts w:cs="Arial"/>
                <w:szCs w:val="18"/>
              </w:rPr>
            </w:pPr>
          </w:p>
        </w:tc>
      </w:tr>
      <w:tr w:rsidR="00F525B2" w14:paraId="365F50A9" w14:textId="77777777">
        <w:trPr>
          <w:jc w:val="center"/>
        </w:trPr>
        <w:tc>
          <w:tcPr>
            <w:tcW w:w="1628" w:type="dxa"/>
          </w:tcPr>
          <w:p w14:paraId="64BBB137" w14:textId="77777777" w:rsidR="00F525B2" w:rsidRDefault="00F525B2" w:rsidP="00F525B2">
            <w:pPr>
              <w:pStyle w:val="TAL"/>
            </w:pPr>
            <w:r>
              <w:t>nsiIds</w:t>
            </w:r>
          </w:p>
        </w:tc>
        <w:tc>
          <w:tcPr>
            <w:tcW w:w="1701" w:type="dxa"/>
          </w:tcPr>
          <w:p w14:paraId="0F8A6C9E" w14:textId="77777777" w:rsidR="00F525B2" w:rsidRDefault="00F525B2" w:rsidP="00F525B2">
            <w:pPr>
              <w:pStyle w:val="TAL"/>
            </w:pPr>
            <w:r>
              <w:t>array(NsiId)</w:t>
            </w:r>
          </w:p>
        </w:tc>
        <w:tc>
          <w:tcPr>
            <w:tcW w:w="426" w:type="dxa"/>
          </w:tcPr>
          <w:p w14:paraId="4C759083" w14:textId="77777777" w:rsidR="00F525B2" w:rsidRDefault="00F525B2" w:rsidP="00F525B2">
            <w:pPr>
              <w:pStyle w:val="TAL"/>
            </w:pPr>
            <w:r>
              <w:t>O</w:t>
            </w:r>
          </w:p>
        </w:tc>
        <w:tc>
          <w:tcPr>
            <w:tcW w:w="1134" w:type="dxa"/>
          </w:tcPr>
          <w:p w14:paraId="5535C462" w14:textId="77777777" w:rsidR="00F525B2" w:rsidRDefault="00F525B2" w:rsidP="00F525B2">
            <w:pPr>
              <w:pStyle w:val="TAL"/>
            </w:pPr>
            <w:r>
              <w:t>1..N</w:t>
            </w:r>
          </w:p>
        </w:tc>
        <w:tc>
          <w:tcPr>
            <w:tcW w:w="2976" w:type="dxa"/>
          </w:tcPr>
          <w:p w14:paraId="0ABBD8CB" w14:textId="77777777" w:rsidR="00F525B2" w:rsidRDefault="00F525B2" w:rsidP="00F525B2">
            <w:pPr>
              <w:pStyle w:val="TAL"/>
              <w:rPr>
                <w:rFonts w:cs="Arial"/>
                <w:szCs w:val="18"/>
              </w:rPr>
            </w:pPr>
            <w:r>
              <w:rPr>
                <w:rFonts w:cs="Arial"/>
                <w:szCs w:val="18"/>
              </w:rPr>
              <w:t xml:space="preserve">Identification of network slice instance(s) associated with the subscribed S-NSSAI identified by the </w:t>
            </w:r>
            <w:r>
              <w:rPr>
                <w:rFonts w:eastAsia="Batang"/>
              </w:rPr>
              <w:t>"</w:t>
            </w:r>
            <w:r>
              <w:rPr>
                <w:rFonts w:cs="Arial"/>
                <w:szCs w:val="18"/>
              </w:rPr>
              <w:t>snssai</w:t>
            </w:r>
            <w:r>
              <w:rPr>
                <w:rFonts w:eastAsia="Batang"/>
              </w:rPr>
              <w:t>"</w:t>
            </w:r>
            <w:r>
              <w:rPr>
                <w:rFonts w:cs="Arial"/>
                <w:szCs w:val="18"/>
              </w:rPr>
              <w:t xml:space="preserve"> attribute.</w:t>
            </w:r>
          </w:p>
          <w:p w14:paraId="63789A84" w14:textId="2F65B879" w:rsidR="00F525B2" w:rsidRDefault="00F525B2" w:rsidP="00F525B2">
            <w:pPr>
              <w:pStyle w:val="TAL"/>
              <w:rPr>
                <w:rFonts w:eastAsia="Batang"/>
              </w:rPr>
            </w:pPr>
            <w:r>
              <w:rPr>
                <w:rFonts w:eastAsia="Batang"/>
              </w:rPr>
              <w:t>May be included when subscribed event is "</w:t>
            </w:r>
            <w:r>
              <w:rPr>
                <w:lang w:eastAsia="zh-CN"/>
              </w:rPr>
              <w:t>NSI_LOAD_LEVEL</w:t>
            </w:r>
            <w:r>
              <w:rPr>
                <w:rFonts w:eastAsia="Batang"/>
              </w:rPr>
              <w:t xml:space="preserve">",  </w:t>
            </w:r>
          </w:p>
          <w:p w14:paraId="24CCB1B1" w14:textId="77777777" w:rsidR="00F525B2" w:rsidRDefault="00F525B2" w:rsidP="00F525B2">
            <w:pPr>
              <w:pStyle w:val="TAL"/>
              <w:rPr>
                <w:rFonts w:eastAsia="Batang"/>
              </w:rPr>
            </w:pPr>
            <w:r>
              <w:rPr>
                <w:rFonts w:eastAsia="Batang"/>
              </w:rPr>
              <w:t>"</w:t>
            </w:r>
            <w:r>
              <w:t>SERVICE_EXPERIENCE</w:t>
            </w:r>
            <w:r>
              <w:rPr>
                <w:rFonts w:eastAsia="Batang"/>
              </w:rPr>
              <w:t>" or</w:t>
            </w:r>
          </w:p>
          <w:p w14:paraId="5BC990D1" w14:textId="77777777" w:rsidR="00F525B2" w:rsidRDefault="00F525B2" w:rsidP="00F525B2">
            <w:pPr>
              <w:pStyle w:val="TAL"/>
              <w:rPr>
                <w:rFonts w:eastAsia="Batang"/>
              </w:rPr>
            </w:pPr>
            <w:r>
              <w:t>"</w:t>
            </w:r>
            <w:r>
              <w:rPr>
                <w:rFonts w:eastAsia="Batang"/>
              </w:rPr>
              <w:t>QOS_POLICY_ASSIST</w:t>
            </w:r>
            <w:r>
              <w:t>"</w:t>
            </w:r>
            <w:r>
              <w:rPr>
                <w:rFonts w:eastAsia="Batang"/>
              </w:rPr>
              <w:t>.</w:t>
            </w:r>
          </w:p>
          <w:p w14:paraId="5EC580A2" w14:textId="77777777" w:rsidR="00F525B2" w:rsidRDefault="00F525B2" w:rsidP="00F525B2">
            <w:pPr>
              <w:pStyle w:val="TAL"/>
              <w:rPr>
                <w:rFonts w:eastAsia="Batang"/>
              </w:rPr>
            </w:pPr>
            <w:r>
              <w:rPr>
                <w:rFonts w:eastAsia="Batang" w:hint="eastAsia"/>
              </w:rPr>
              <w:t>(</w:t>
            </w:r>
            <w:r>
              <w:rPr>
                <w:rFonts w:eastAsia="Batang"/>
              </w:rPr>
              <w:t>NOTE)</w:t>
            </w:r>
          </w:p>
        </w:tc>
        <w:tc>
          <w:tcPr>
            <w:tcW w:w="1628" w:type="dxa"/>
          </w:tcPr>
          <w:p w14:paraId="59E4B778" w14:textId="77777777" w:rsidR="00F525B2" w:rsidRDefault="00F525B2" w:rsidP="00F525B2">
            <w:pPr>
              <w:pStyle w:val="TAL"/>
              <w:rPr>
                <w:rFonts w:cs="Arial"/>
                <w:szCs w:val="18"/>
              </w:rPr>
            </w:pPr>
          </w:p>
        </w:tc>
      </w:tr>
      <w:tr w:rsidR="00A10B25" w14:paraId="5DB0E4B2" w14:textId="77777777">
        <w:trPr>
          <w:jc w:val="center"/>
        </w:trPr>
        <w:tc>
          <w:tcPr>
            <w:tcW w:w="9493" w:type="dxa"/>
            <w:gridSpan w:val="6"/>
          </w:tcPr>
          <w:p w14:paraId="01A6239D" w14:textId="77777777" w:rsidR="00A10B25" w:rsidRDefault="00A10B25">
            <w:pPr>
              <w:pStyle w:val="TAN"/>
              <w:rPr>
                <w:rFonts w:cs="Arial"/>
                <w:szCs w:val="18"/>
              </w:rPr>
            </w:pPr>
            <w:r>
              <w:t>NOTE:</w:t>
            </w:r>
            <w:r>
              <w:tab/>
              <w:t>This attribute is not applicable when the NF service consumer is CEF or PCF.</w:t>
            </w:r>
          </w:p>
        </w:tc>
      </w:tr>
    </w:tbl>
    <w:p w14:paraId="66427660" w14:textId="77777777" w:rsidR="00A10B25" w:rsidRDefault="00A10B25">
      <w:pPr>
        <w:rPr>
          <w:lang w:val="en-US" w:eastAsia="zh-CN"/>
        </w:rPr>
      </w:pPr>
    </w:p>
    <w:p w14:paraId="1EC433E4" w14:textId="77777777" w:rsidR="00A10B25" w:rsidRDefault="00A10B25">
      <w:pPr>
        <w:pStyle w:val="5"/>
      </w:pPr>
      <w:bookmarkStart w:id="6838" w:name="_Toc66231828"/>
      <w:bookmarkStart w:id="6839" w:name="_Toc51762925"/>
      <w:bookmarkStart w:id="6840" w:name="_Toc56640992"/>
      <w:bookmarkStart w:id="6841" w:name="_Toc98233666"/>
      <w:bookmarkStart w:id="6842" w:name="_Toc70550656"/>
      <w:bookmarkStart w:id="6843" w:name="_Toc120702336"/>
      <w:bookmarkStart w:id="6844" w:name="_Toc104539035"/>
      <w:bookmarkStart w:id="6845" w:name="_Toc94064281"/>
      <w:bookmarkStart w:id="6846" w:name="_Toc88667613"/>
      <w:bookmarkStart w:id="6847" w:name="_Toc50032005"/>
      <w:bookmarkStart w:id="6848" w:name="_Toc113031697"/>
      <w:bookmarkStart w:id="6849" w:name="_Toc114133836"/>
      <w:bookmarkStart w:id="6850" w:name="_Toc45134073"/>
      <w:bookmarkStart w:id="6851" w:name="_Toc145705724"/>
      <w:bookmarkStart w:id="6852" w:name="_Toc85553012"/>
      <w:bookmarkStart w:id="6853" w:name="_Toc148522628"/>
      <w:bookmarkStart w:id="6854" w:name="_Toc68168989"/>
      <w:bookmarkStart w:id="6855" w:name="_Toc138754237"/>
      <w:bookmarkStart w:id="6856" w:name="_Toc43563530"/>
      <w:bookmarkStart w:id="6857" w:name="_Toc83233102"/>
      <w:bookmarkStart w:id="6858" w:name="_Toc90655898"/>
      <w:bookmarkStart w:id="6859" w:name="_Toc85557111"/>
      <w:bookmarkStart w:id="6860" w:name="_Toc136562403"/>
      <w:bookmarkStart w:id="6861" w:name="_Toc112951157"/>
      <w:bookmarkStart w:id="6862" w:name="_Toc59017960"/>
      <w:bookmarkStart w:id="6863" w:name="_Toc101244442"/>
      <w:bookmarkStart w:id="6864" w:name="_Toc164920808"/>
      <w:bookmarkStart w:id="6865" w:name="_Toc170120350"/>
      <w:bookmarkStart w:id="6866" w:name="_Toc175858595"/>
      <w:bookmarkStart w:id="6867" w:name="_Toc175859668"/>
      <w:bookmarkStart w:id="6868" w:name="_Toc180605958"/>
      <w:bookmarkStart w:id="6869" w:name="_Toc185517212"/>
      <w:bookmarkStart w:id="6870" w:name="_Toc191576263"/>
      <w:bookmarkStart w:id="6871" w:name="_Toc191577003"/>
      <w:bookmarkStart w:id="6872" w:name="_Toc192880073"/>
      <w:bookmarkStart w:id="6873" w:name="_Toc195814956"/>
      <w:bookmarkStart w:id="6874" w:name="_Toc199452923"/>
      <w:r>
        <w:lastRenderedPageBreak/>
        <w:t>5.1.6.2.34</w:t>
      </w:r>
      <w:r>
        <w:tab/>
        <w:t>Type NsiLoadLevelInfo</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680784B2" w14:textId="77777777" w:rsidR="00A10B25" w:rsidRDefault="00A10B25">
      <w:pPr>
        <w:pStyle w:val="TH"/>
      </w:pPr>
      <w:r>
        <w:t>Table 5.1.6.2.34-1: Definition of type NsiLoadLevelInfo</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A76AC97" w14:textId="77777777">
        <w:trPr>
          <w:jc w:val="center"/>
        </w:trPr>
        <w:tc>
          <w:tcPr>
            <w:tcW w:w="1628" w:type="dxa"/>
            <w:shd w:val="clear" w:color="auto" w:fill="C0C0C0"/>
          </w:tcPr>
          <w:p w14:paraId="037A9CD3" w14:textId="77777777" w:rsidR="00A10B25" w:rsidRDefault="00A10B25">
            <w:pPr>
              <w:pStyle w:val="TAH"/>
            </w:pPr>
            <w:r>
              <w:lastRenderedPageBreak/>
              <w:t>Attribute name</w:t>
            </w:r>
          </w:p>
        </w:tc>
        <w:tc>
          <w:tcPr>
            <w:tcW w:w="1701" w:type="dxa"/>
            <w:shd w:val="clear" w:color="auto" w:fill="C0C0C0"/>
          </w:tcPr>
          <w:p w14:paraId="11DEFD4F" w14:textId="77777777" w:rsidR="00A10B25" w:rsidRDefault="00A10B25">
            <w:pPr>
              <w:pStyle w:val="TAH"/>
            </w:pPr>
            <w:r>
              <w:t>Data type</w:t>
            </w:r>
          </w:p>
        </w:tc>
        <w:tc>
          <w:tcPr>
            <w:tcW w:w="426" w:type="dxa"/>
            <w:shd w:val="clear" w:color="auto" w:fill="C0C0C0"/>
          </w:tcPr>
          <w:p w14:paraId="32A86B15" w14:textId="77777777" w:rsidR="00A10B25" w:rsidRDefault="00A10B25">
            <w:pPr>
              <w:pStyle w:val="TAH"/>
            </w:pPr>
            <w:r>
              <w:t>P</w:t>
            </w:r>
          </w:p>
        </w:tc>
        <w:tc>
          <w:tcPr>
            <w:tcW w:w="1134" w:type="dxa"/>
            <w:shd w:val="clear" w:color="auto" w:fill="C0C0C0"/>
          </w:tcPr>
          <w:p w14:paraId="0220E4FE" w14:textId="77777777" w:rsidR="00A10B25" w:rsidRDefault="00A10B25">
            <w:pPr>
              <w:pStyle w:val="TAH"/>
            </w:pPr>
            <w:r>
              <w:t>Cardinality</w:t>
            </w:r>
          </w:p>
        </w:tc>
        <w:tc>
          <w:tcPr>
            <w:tcW w:w="2976" w:type="dxa"/>
            <w:shd w:val="clear" w:color="auto" w:fill="C0C0C0"/>
          </w:tcPr>
          <w:p w14:paraId="42FD8804" w14:textId="77777777" w:rsidR="00A10B25" w:rsidRDefault="00A10B25">
            <w:pPr>
              <w:pStyle w:val="TAH"/>
              <w:rPr>
                <w:rFonts w:cs="Arial"/>
                <w:szCs w:val="18"/>
              </w:rPr>
            </w:pPr>
            <w:r>
              <w:rPr>
                <w:rFonts w:cs="Arial"/>
                <w:szCs w:val="18"/>
              </w:rPr>
              <w:t>Description</w:t>
            </w:r>
          </w:p>
        </w:tc>
        <w:tc>
          <w:tcPr>
            <w:tcW w:w="1628" w:type="dxa"/>
            <w:shd w:val="clear" w:color="auto" w:fill="C0C0C0"/>
          </w:tcPr>
          <w:p w14:paraId="1357CD96" w14:textId="77777777" w:rsidR="00A10B25" w:rsidRDefault="00A10B25">
            <w:pPr>
              <w:pStyle w:val="TAH"/>
              <w:rPr>
                <w:rFonts w:cs="Arial"/>
                <w:szCs w:val="18"/>
              </w:rPr>
            </w:pPr>
            <w:r>
              <w:rPr>
                <w:rFonts w:cs="Arial"/>
                <w:szCs w:val="18"/>
              </w:rPr>
              <w:t>Applicability</w:t>
            </w:r>
          </w:p>
        </w:tc>
      </w:tr>
      <w:tr w:rsidR="00A10B25" w14:paraId="28166143" w14:textId="77777777">
        <w:trPr>
          <w:jc w:val="center"/>
        </w:trPr>
        <w:tc>
          <w:tcPr>
            <w:tcW w:w="1628" w:type="dxa"/>
          </w:tcPr>
          <w:p w14:paraId="25C7E011" w14:textId="77777777" w:rsidR="00A10B25" w:rsidRDefault="00A10B25">
            <w:pPr>
              <w:pStyle w:val="TAL"/>
            </w:pPr>
            <w:r>
              <w:t>loadLevelInformation</w:t>
            </w:r>
          </w:p>
        </w:tc>
        <w:tc>
          <w:tcPr>
            <w:tcW w:w="1701" w:type="dxa"/>
          </w:tcPr>
          <w:p w14:paraId="7FEBC364" w14:textId="77777777" w:rsidR="00A10B25" w:rsidRDefault="00A10B25">
            <w:pPr>
              <w:pStyle w:val="TAL"/>
            </w:pPr>
            <w:r>
              <w:t>LoadLevelInformation</w:t>
            </w:r>
          </w:p>
        </w:tc>
        <w:tc>
          <w:tcPr>
            <w:tcW w:w="426" w:type="dxa"/>
          </w:tcPr>
          <w:p w14:paraId="12B3BDA8" w14:textId="77777777" w:rsidR="00A10B25" w:rsidRDefault="00A10B25">
            <w:pPr>
              <w:pStyle w:val="TAL"/>
            </w:pPr>
            <w:r>
              <w:rPr>
                <w:rFonts w:hint="eastAsia"/>
              </w:rPr>
              <w:t>M</w:t>
            </w:r>
          </w:p>
        </w:tc>
        <w:tc>
          <w:tcPr>
            <w:tcW w:w="1134" w:type="dxa"/>
          </w:tcPr>
          <w:p w14:paraId="147F7FEB" w14:textId="77777777" w:rsidR="00A10B25" w:rsidRDefault="00A10B25">
            <w:pPr>
              <w:pStyle w:val="TAL"/>
            </w:pPr>
            <w:r>
              <w:rPr>
                <w:rFonts w:hint="eastAsia"/>
              </w:rPr>
              <w:t>1</w:t>
            </w:r>
          </w:p>
        </w:tc>
        <w:tc>
          <w:tcPr>
            <w:tcW w:w="2976" w:type="dxa"/>
          </w:tcPr>
          <w:p w14:paraId="7A5B2273" w14:textId="77777777" w:rsidR="00A10B25" w:rsidRDefault="00A10B25">
            <w:pPr>
              <w:pStyle w:val="TAL"/>
              <w:rPr>
                <w:rFonts w:cs="Arial"/>
                <w:szCs w:val="18"/>
              </w:rPr>
            </w:pPr>
            <w:r>
              <w:rPr>
                <w:rFonts w:cs="Arial"/>
                <w:szCs w:val="18"/>
              </w:rPr>
              <w:t xml:space="preserve">Load level information of the network slice identified by the </w:t>
            </w:r>
            <w:r>
              <w:rPr>
                <w:rFonts w:eastAsia="Batang"/>
              </w:rPr>
              <w:t>"</w:t>
            </w:r>
            <w:r>
              <w:rPr>
                <w:rFonts w:cs="Arial"/>
                <w:szCs w:val="18"/>
              </w:rPr>
              <w:t>snssai</w:t>
            </w:r>
            <w:r>
              <w:rPr>
                <w:rFonts w:eastAsia="Batang"/>
              </w:rPr>
              <w:t>" attribute</w:t>
            </w:r>
            <w:r>
              <w:rPr>
                <w:rFonts w:cs="Arial"/>
                <w:szCs w:val="18"/>
              </w:rPr>
              <w:t xml:space="preserve"> and if provided, the associated NSI ID identified by the "nsiId</w:t>
            </w:r>
            <w:r>
              <w:rPr>
                <w:rFonts w:eastAsia="Batang"/>
              </w:rPr>
              <w:t>"</w:t>
            </w:r>
            <w:r>
              <w:rPr>
                <w:rFonts w:cs="Arial"/>
                <w:szCs w:val="18"/>
              </w:rPr>
              <w:t xml:space="preserve"> attribute.</w:t>
            </w:r>
          </w:p>
        </w:tc>
        <w:tc>
          <w:tcPr>
            <w:tcW w:w="1628" w:type="dxa"/>
          </w:tcPr>
          <w:p w14:paraId="15458BF1" w14:textId="77777777" w:rsidR="00A10B25" w:rsidRDefault="00A10B25">
            <w:pPr>
              <w:pStyle w:val="TAL"/>
              <w:rPr>
                <w:rFonts w:cs="Arial"/>
                <w:szCs w:val="18"/>
              </w:rPr>
            </w:pPr>
          </w:p>
        </w:tc>
      </w:tr>
      <w:tr w:rsidR="00A10B25" w14:paraId="1FAFFA8A" w14:textId="77777777">
        <w:trPr>
          <w:jc w:val="center"/>
        </w:trPr>
        <w:tc>
          <w:tcPr>
            <w:tcW w:w="1628" w:type="dxa"/>
          </w:tcPr>
          <w:p w14:paraId="7D9E1077" w14:textId="77777777" w:rsidR="00A10B25" w:rsidRDefault="00A10B25">
            <w:pPr>
              <w:pStyle w:val="TAL"/>
            </w:pPr>
            <w:r>
              <w:t>snssai</w:t>
            </w:r>
          </w:p>
        </w:tc>
        <w:tc>
          <w:tcPr>
            <w:tcW w:w="1701" w:type="dxa"/>
          </w:tcPr>
          <w:p w14:paraId="33EAB039" w14:textId="77777777" w:rsidR="00A10B25" w:rsidRDefault="00A10B25">
            <w:pPr>
              <w:pStyle w:val="TAL"/>
            </w:pPr>
            <w:r>
              <w:t>Snssai</w:t>
            </w:r>
          </w:p>
        </w:tc>
        <w:tc>
          <w:tcPr>
            <w:tcW w:w="426" w:type="dxa"/>
          </w:tcPr>
          <w:p w14:paraId="4D775273" w14:textId="77777777" w:rsidR="00A10B25" w:rsidRDefault="00A10B25">
            <w:pPr>
              <w:pStyle w:val="TAL"/>
            </w:pPr>
            <w:r>
              <w:rPr>
                <w:rFonts w:hint="eastAsia"/>
              </w:rPr>
              <w:t>M</w:t>
            </w:r>
          </w:p>
        </w:tc>
        <w:tc>
          <w:tcPr>
            <w:tcW w:w="1134" w:type="dxa"/>
          </w:tcPr>
          <w:p w14:paraId="75A2D426" w14:textId="77777777" w:rsidR="00A10B25" w:rsidRDefault="00A10B25">
            <w:pPr>
              <w:pStyle w:val="TAL"/>
            </w:pPr>
            <w:r>
              <w:rPr>
                <w:rFonts w:hint="eastAsia"/>
              </w:rPr>
              <w:t>1</w:t>
            </w:r>
          </w:p>
        </w:tc>
        <w:tc>
          <w:tcPr>
            <w:tcW w:w="2976" w:type="dxa"/>
          </w:tcPr>
          <w:p w14:paraId="02B1B5DC" w14:textId="77777777" w:rsidR="00A10B25" w:rsidRDefault="00A10B25">
            <w:pPr>
              <w:pStyle w:val="TAL"/>
              <w:rPr>
                <w:rFonts w:cs="Arial"/>
                <w:szCs w:val="18"/>
              </w:rPr>
            </w:pPr>
            <w:r>
              <w:rPr>
                <w:rFonts w:cs="Arial"/>
                <w:szCs w:val="18"/>
              </w:rPr>
              <w:t>Identification of network slice to which the subscription applies.</w:t>
            </w:r>
          </w:p>
        </w:tc>
        <w:tc>
          <w:tcPr>
            <w:tcW w:w="1628" w:type="dxa"/>
          </w:tcPr>
          <w:p w14:paraId="769A7CBB" w14:textId="77777777" w:rsidR="00A10B25" w:rsidRDefault="00A10B25">
            <w:pPr>
              <w:pStyle w:val="TAL"/>
              <w:rPr>
                <w:rFonts w:cs="Arial"/>
                <w:szCs w:val="18"/>
              </w:rPr>
            </w:pPr>
          </w:p>
        </w:tc>
      </w:tr>
      <w:tr w:rsidR="00A10B25" w14:paraId="4ACBFE6F" w14:textId="77777777">
        <w:trPr>
          <w:jc w:val="center"/>
        </w:trPr>
        <w:tc>
          <w:tcPr>
            <w:tcW w:w="1628" w:type="dxa"/>
          </w:tcPr>
          <w:p w14:paraId="3D2B3A34" w14:textId="77777777" w:rsidR="00A10B25" w:rsidRDefault="00A10B25">
            <w:pPr>
              <w:pStyle w:val="TAL"/>
            </w:pPr>
            <w:r>
              <w:t>nsiId</w:t>
            </w:r>
          </w:p>
        </w:tc>
        <w:tc>
          <w:tcPr>
            <w:tcW w:w="1701" w:type="dxa"/>
          </w:tcPr>
          <w:p w14:paraId="3E64ADF7" w14:textId="77777777" w:rsidR="00A10B25" w:rsidRDefault="00A10B25">
            <w:pPr>
              <w:pStyle w:val="TAL"/>
            </w:pPr>
            <w:r>
              <w:t>NsiId</w:t>
            </w:r>
          </w:p>
        </w:tc>
        <w:tc>
          <w:tcPr>
            <w:tcW w:w="426" w:type="dxa"/>
          </w:tcPr>
          <w:p w14:paraId="3772A4BD" w14:textId="77777777" w:rsidR="00A10B25" w:rsidRDefault="00A10B25">
            <w:pPr>
              <w:pStyle w:val="TAL"/>
            </w:pPr>
            <w:r>
              <w:t>C</w:t>
            </w:r>
          </w:p>
        </w:tc>
        <w:tc>
          <w:tcPr>
            <w:tcW w:w="1134" w:type="dxa"/>
          </w:tcPr>
          <w:p w14:paraId="4426AF7E" w14:textId="77777777" w:rsidR="00A10B25" w:rsidRDefault="00A10B25">
            <w:pPr>
              <w:pStyle w:val="TAL"/>
            </w:pPr>
            <w:r>
              <w:t>0..1</w:t>
            </w:r>
          </w:p>
        </w:tc>
        <w:tc>
          <w:tcPr>
            <w:tcW w:w="2976" w:type="dxa"/>
          </w:tcPr>
          <w:p w14:paraId="1B273D88" w14:textId="77777777" w:rsidR="00A10B25" w:rsidRDefault="00A10B25">
            <w:pPr>
              <w:pStyle w:val="TAL"/>
              <w:rPr>
                <w:rFonts w:cs="Arial"/>
                <w:szCs w:val="18"/>
              </w:rPr>
            </w:pPr>
            <w:r>
              <w:rPr>
                <w:rFonts w:cs="Arial"/>
                <w:szCs w:val="18"/>
              </w:rPr>
              <w:t>Identification of network slice instance associated with the S-NSSAI identified by the "snssai" attribute.</w:t>
            </w:r>
          </w:p>
          <w:p w14:paraId="4B704C31" w14:textId="77777777" w:rsidR="00A10B25" w:rsidRDefault="00A10B25">
            <w:pPr>
              <w:pStyle w:val="TAL"/>
              <w:rPr>
                <w:rFonts w:cs="Arial"/>
                <w:szCs w:val="18"/>
              </w:rPr>
            </w:pPr>
            <w:r>
              <w:rPr>
                <w:rFonts w:eastAsia="Batang"/>
              </w:rPr>
              <w:t xml:space="preserve">Shall be presented if the "nsiIds" attribute was provided within the </w:t>
            </w:r>
            <w:r>
              <w:t>NsiIdInfo</w:t>
            </w:r>
            <w:r>
              <w:rPr>
                <w:rFonts w:eastAsia="Batang"/>
              </w:rPr>
              <w:t xml:space="preserve"> data in the EventSubscription data during the subscription.</w:t>
            </w:r>
          </w:p>
        </w:tc>
        <w:tc>
          <w:tcPr>
            <w:tcW w:w="1628" w:type="dxa"/>
          </w:tcPr>
          <w:p w14:paraId="2E27E013" w14:textId="77777777" w:rsidR="00A10B25" w:rsidRDefault="00A10B25">
            <w:pPr>
              <w:pStyle w:val="TAL"/>
              <w:rPr>
                <w:rFonts w:cs="Arial"/>
                <w:szCs w:val="18"/>
              </w:rPr>
            </w:pPr>
          </w:p>
        </w:tc>
      </w:tr>
      <w:tr w:rsidR="00A10B25" w14:paraId="63E99AB4" w14:textId="77777777">
        <w:trPr>
          <w:jc w:val="center"/>
        </w:trPr>
        <w:tc>
          <w:tcPr>
            <w:tcW w:w="1628" w:type="dxa"/>
          </w:tcPr>
          <w:p w14:paraId="0EECD7BF" w14:textId="77777777" w:rsidR="00A10B25" w:rsidRDefault="00A10B25">
            <w:pPr>
              <w:pStyle w:val="TAL"/>
            </w:pPr>
            <w:r>
              <w:rPr>
                <w:rFonts w:hint="eastAsia"/>
                <w:lang w:eastAsia="zh-CN"/>
              </w:rPr>
              <w:t>re</w:t>
            </w:r>
            <w:r>
              <w:rPr>
                <w:lang w:eastAsia="zh-CN"/>
              </w:rPr>
              <w:t>sUsage</w:t>
            </w:r>
          </w:p>
        </w:tc>
        <w:tc>
          <w:tcPr>
            <w:tcW w:w="1701" w:type="dxa"/>
          </w:tcPr>
          <w:p w14:paraId="2F1D71AF" w14:textId="77777777" w:rsidR="00A10B25" w:rsidRDefault="00A10B25">
            <w:pPr>
              <w:pStyle w:val="TAL"/>
            </w:pPr>
            <w:r>
              <w:t>ResourceUsage</w:t>
            </w:r>
          </w:p>
        </w:tc>
        <w:tc>
          <w:tcPr>
            <w:tcW w:w="426" w:type="dxa"/>
          </w:tcPr>
          <w:p w14:paraId="179F225D" w14:textId="77777777" w:rsidR="00A10B25" w:rsidRDefault="00A10B25">
            <w:pPr>
              <w:pStyle w:val="TAL"/>
            </w:pPr>
            <w:r>
              <w:t>C</w:t>
            </w:r>
          </w:p>
        </w:tc>
        <w:tc>
          <w:tcPr>
            <w:tcW w:w="1134" w:type="dxa"/>
          </w:tcPr>
          <w:p w14:paraId="4EF610D1" w14:textId="77777777" w:rsidR="00A10B25" w:rsidRDefault="00A10B25">
            <w:pPr>
              <w:pStyle w:val="TAL"/>
            </w:pPr>
            <w:r>
              <w:t>0..1</w:t>
            </w:r>
          </w:p>
        </w:tc>
        <w:tc>
          <w:tcPr>
            <w:tcW w:w="2976" w:type="dxa"/>
          </w:tcPr>
          <w:p w14:paraId="50F00342" w14:textId="77777777" w:rsidR="00A10B25" w:rsidRDefault="00A10B25">
            <w:pPr>
              <w:pStyle w:val="TAL"/>
            </w:pPr>
            <w:r>
              <w:t>The current usage of the virtual resources assigned to the NF instances belonging to a particular network slice instance.</w:t>
            </w:r>
          </w:p>
          <w:p w14:paraId="22B9D2F2"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RES_USAGE</w:t>
            </w:r>
            <w:r>
              <w:t>.</w:t>
            </w:r>
          </w:p>
        </w:tc>
        <w:tc>
          <w:tcPr>
            <w:tcW w:w="1628" w:type="dxa"/>
          </w:tcPr>
          <w:p w14:paraId="4DDE4AD5" w14:textId="77777777" w:rsidR="00A10B25" w:rsidRDefault="00A10B25">
            <w:pPr>
              <w:pStyle w:val="TAL"/>
              <w:rPr>
                <w:rFonts w:cs="Arial"/>
                <w:szCs w:val="18"/>
              </w:rPr>
            </w:pPr>
            <w:r>
              <w:rPr>
                <w:rFonts w:cs="Arial"/>
                <w:szCs w:val="18"/>
                <w:lang w:eastAsia="zh-CN"/>
              </w:rPr>
              <w:t>NsiLoad</w:t>
            </w:r>
            <w:r>
              <w:t>Ext</w:t>
            </w:r>
          </w:p>
        </w:tc>
      </w:tr>
      <w:tr w:rsidR="00A10B25" w14:paraId="6EF2467A" w14:textId="77777777">
        <w:trPr>
          <w:jc w:val="center"/>
        </w:trPr>
        <w:tc>
          <w:tcPr>
            <w:tcW w:w="1628" w:type="dxa"/>
          </w:tcPr>
          <w:p w14:paraId="13E0D69E" w14:textId="77777777" w:rsidR="00A10B25" w:rsidRDefault="00A10B25">
            <w:pPr>
              <w:pStyle w:val="TAL"/>
            </w:pPr>
            <w:r>
              <w:rPr>
                <w:lang w:eastAsia="zh-CN"/>
              </w:rPr>
              <w:t>numOfExceedLoadLevelThr</w:t>
            </w:r>
          </w:p>
        </w:tc>
        <w:tc>
          <w:tcPr>
            <w:tcW w:w="1701" w:type="dxa"/>
          </w:tcPr>
          <w:p w14:paraId="33961C1A" w14:textId="77777777" w:rsidR="00A10B25" w:rsidRDefault="00A10B25">
            <w:pPr>
              <w:pStyle w:val="TAL"/>
            </w:pPr>
            <w:r>
              <w:t>integer</w:t>
            </w:r>
          </w:p>
        </w:tc>
        <w:tc>
          <w:tcPr>
            <w:tcW w:w="426" w:type="dxa"/>
          </w:tcPr>
          <w:p w14:paraId="20C0EDD6" w14:textId="77777777" w:rsidR="00A10B25" w:rsidRDefault="00A10B25">
            <w:pPr>
              <w:pStyle w:val="TAL"/>
            </w:pPr>
            <w:r>
              <w:t>C</w:t>
            </w:r>
          </w:p>
        </w:tc>
        <w:tc>
          <w:tcPr>
            <w:tcW w:w="1134" w:type="dxa"/>
          </w:tcPr>
          <w:p w14:paraId="2470DCCC" w14:textId="77777777" w:rsidR="00A10B25" w:rsidRDefault="00A10B25">
            <w:pPr>
              <w:pStyle w:val="TAL"/>
            </w:pPr>
            <w:r>
              <w:t>0..1</w:t>
            </w:r>
          </w:p>
        </w:tc>
        <w:tc>
          <w:tcPr>
            <w:tcW w:w="2976" w:type="dxa"/>
          </w:tcPr>
          <w:p w14:paraId="18D33E7A" w14:textId="77777777" w:rsidR="00A10B25" w:rsidRDefault="00A10B25">
            <w:pPr>
              <w:pStyle w:val="TAL"/>
            </w:pPr>
            <w:r>
              <w:t xml:space="preserve">Indicates the number of times the resource usage threshold of the network slice instance is reached or exceeded if </w:t>
            </w:r>
            <w:r>
              <w:rPr>
                <w:rFonts w:hint="eastAsia"/>
              </w:rPr>
              <w:t>a</w:t>
            </w:r>
            <w:r>
              <w:t xml:space="preserve"> threshold value</w:t>
            </w:r>
            <w:r>
              <w:rPr>
                <w:rFonts w:hint="eastAsia"/>
              </w:rPr>
              <w:t xml:space="preserve"> </w:t>
            </w:r>
            <w:r>
              <w:t>is provided by the consumer.</w:t>
            </w:r>
          </w:p>
          <w:p w14:paraId="7B1082EB"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NUM_OF_EXCEED_RES_USAGE_LOAD_LEVEL_THR</w:t>
            </w:r>
            <w:r>
              <w:t>.</w:t>
            </w:r>
          </w:p>
        </w:tc>
        <w:tc>
          <w:tcPr>
            <w:tcW w:w="1628" w:type="dxa"/>
          </w:tcPr>
          <w:p w14:paraId="437B5ED7" w14:textId="77777777" w:rsidR="00A10B25" w:rsidRDefault="00A10B25">
            <w:pPr>
              <w:pStyle w:val="TAL"/>
              <w:rPr>
                <w:rFonts w:cs="Arial"/>
                <w:szCs w:val="18"/>
              </w:rPr>
            </w:pPr>
            <w:r>
              <w:rPr>
                <w:rFonts w:cs="Arial"/>
                <w:szCs w:val="18"/>
                <w:lang w:eastAsia="zh-CN"/>
              </w:rPr>
              <w:t>NsiLoad</w:t>
            </w:r>
            <w:r>
              <w:t>Ext</w:t>
            </w:r>
          </w:p>
        </w:tc>
      </w:tr>
      <w:tr w:rsidR="00A10B25" w14:paraId="4B1C488C" w14:textId="77777777">
        <w:trPr>
          <w:jc w:val="center"/>
        </w:trPr>
        <w:tc>
          <w:tcPr>
            <w:tcW w:w="1628" w:type="dxa"/>
          </w:tcPr>
          <w:p w14:paraId="5F86B77F" w14:textId="77777777" w:rsidR="00A10B25" w:rsidRDefault="00A10B25">
            <w:pPr>
              <w:pStyle w:val="TAL"/>
            </w:pPr>
            <w:r>
              <w:rPr>
                <w:lang w:eastAsia="zh-CN"/>
              </w:rPr>
              <w:t>exceedLoadLevelThrInd</w:t>
            </w:r>
          </w:p>
        </w:tc>
        <w:tc>
          <w:tcPr>
            <w:tcW w:w="1701" w:type="dxa"/>
          </w:tcPr>
          <w:p w14:paraId="4E3A62AB" w14:textId="77777777" w:rsidR="00A10B25" w:rsidRDefault="00A10B25">
            <w:pPr>
              <w:pStyle w:val="TAL"/>
            </w:pPr>
            <w:r>
              <w:t>boolean</w:t>
            </w:r>
          </w:p>
        </w:tc>
        <w:tc>
          <w:tcPr>
            <w:tcW w:w="426" w:type="dxa"/>
          </w:tcPr>
          <w:p w14:paraId="30E82AAA" w14:textId="77777777" w:rsidR="00A10B25" w:rsidRDefault="00A10B25">
            <w:pPr>
              <w:pStyle w:val="TAL"/>
            </w:pPr>
            <w:r>
              <w:t>C</w:t>
            </w:r>
          </w:p>
        </w:tc>
        <w:tc>
          <w:tcPr>
            <w:tcW w:w="1134" w:type="dxa"/>
          </w:tcPr>
          <w:p w14:paraId="55B98EDA" w14:textId="77777777" w:rsidR="00A10B25" w:rsidRDefault="00A10B25">
            <w:pPr>
              <w:pStyle w:val="TAL"/>
            </w:pPr>
            <w:r>
              <w:t>0..1</w:t>
            </w:r>
          </w:p>
        </w:tc>
        <w:tc>
          <w:tcPr>
            <w:tcW w:w="2976" w:type="dxa"/>
          </w:tcPr>
          <w:p w14:paraId="4AAA2BE5" w14:textId="77777777" w:rsidR="00A10B25" w:rsidRDefault="00A10B25">
            <w:pPr>
              <w:pStyle w:val="TAL"/>
            </w:pPr>
            <w:r>
              <w:t xml:space="preserve">Indicates whether the Load Level Threshold is met or exceeded by the statistics value. Set to "true" if the Load Level Threshold is met or exceeded, set to "false" to indicate the Load Level Threshold is not met by the statistics value. Default value is </w:t>
            </w:r>
            <w:r>
              <w:rPr>
                <w:rFonts w:cs="Arial"/>
                <w:szCs w:val="18"/>
                <w:lang w:eastAsia="zh-CN"/>
              </w:rPr>
              <w:t>"</w:t>
            </w:r>
            <w:r>
              <w:t>false</w:t>
            </w:r>
            <w:r>
              <w:rPr>
                <w:rFonts w:cs="Arial"/>
                <w:szCs w:val="18"/>
                <w:lang w:eastAsia="zh-CN"/>
              </w:rPr>
              <w:t>"</w:t>
            </w:r>
            <w:r>
              <w:t xml:space="preserve"> if omitted.</w:t>
            </w:r>
          </w:p>
          <w:p w14:paraId="7D62BCD7"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EXCEED_LOAD_LEVEL_THR_IND</w:t>
            </w:r>
            <w:r>
              <w:t>.</w:t>
            </w:r>
          </w:p>
        </w:tc>
        <w:tc>
          <w:tcPr>
            <w:tcW w:w="1628" w:type="dxa"/>
          </w:tcPr>
          <w:p w14:paraId="4FF37D57" w14:textId="77777777" w:rsidR="00A10B25" w:rsidRDefault="00A10B25">
            <w:pPr>
              <w:pStyle w:val="TAL"/>
              <w:rPr>
                <w:rFonts w:cs="Arial"/>
                <w:szCs w:val="18"/>
              </w:rPr>
            </w:pPr>
            <w:r>
              <w:rPr>
                <w:rFonts w:cs="Arial"/>
                <w:szCs w:val="18"/>
                <w:lang w:eastAsia="zh-CN"/>
              </w:rPr>
              <w:t>NsiLoad</w:t>
            </w:r>
            <w:r>
              <w:t>Ext</w:t>
            </w:r>
          </w:p>
        </w:tc>
      </w:tr>
      <w:tr w:rsidR="00C869EF" w14:paraId="7AB0407E" w14:textId="77777777">
        <w:trPr>
          <w:jc w:val="center"/>
        </w:trPr>
        <w:tc>
          <w:tcPr>
            <w:tcW w:w="1628" w:type="dxa"/>
          </w:tcPr>
          <w:p w14:paraId="171809D0" w14:textId="77777777" w:rsidR="00C869EF" w:rsidRDefault="00C869EF" w:rsidP="00C869EF">
            <w:pPr>
              <w:pStyle w:val="TAL"/>
            </w:pPr>
            <w:r>
              <w:t>networkArea</w:t>
            </w:r>
          </w:p>
        </w:tc>
        <w:tc>
          <w:tcPr>
            <w:tcW w:w="1701" w:type="dxa"/>
          </w:tcPr>
          <w:p w14:paraId="103D3A12" w14:textId="77777777" w:rsidR="00C869EF" w:rsidRDefault="00C869EF" w:rsidP="00C869EF">
            <w:pPr>
              <w:pStyle w:val="TAL"/>
            </w:pPr>
            <w:r>
              <w:t>NetworkAreaInfo</w:t>
            </w:r>
          </w:p>
        </w:tc>
        <w:tc>
          <w:tcPr>
            <w:tcW w:w="426" w:type="dxa"/>
          </w:tcPr>
          <w:p w14:paraId="17E97F49" w14:textId="77777777" w:rsidR="00C869EF" w:rsidRDefault="00C869EF" w:rsidP="00C869EF">
            <w:pPr>
              <w:pStyle w:val="TAL"/>
            </w:pPr>
            <w:r>
              <w:t>O</w:t>
            </w:r>
          </w:p>
        </w:tc>
        <w:tc>
          <w:tcPr>
            <w:tcW w:w="1134" w:type="dxa"/>
          </w:tcPr>
          <w:p w14:paraId="73C4D694" w14:textId="77777777" w:rsidR="00C869EF" w:rsidRDefault="00C869EF" w:rsidP="00C869EF">
            <w:pPr>
              <w:pStyle w:val="TAL"/>
            </w:pPr>
            <w:r>
              <w:t>0..1</w:t>
            </w:r>
          </w:p>
        </w:tc>
        <w:tc>
          <w:tcPr>
            <w:tcW w:w="2976" w:type="dxa"/>
          </w:tcPr>
          <w:p w14:paraId="6168DB68" w14:textId="22CC342B" w:rsidR="00C869EF" w:rsidRDefault="00C869EF" w:rsidP="00C869EF">
            <w:pPr>
              <w:pStyle w:val="TAL"/>
              <w:rPr>
                <w:rFonts w:cs="Arial"/>
                <w:szCs w:val="18"/>
              </w:rPr>
            </w:pPr>
            <w:r w:rsidRPr="00D21089">
              <w:rPr>
                <w:rFonts w:cs="Arial"/>
                <w:szCs w:val="18"/>
              </w:rPr>
              <w:t xml:space="preserve">Identification of network area to which the </w:t>
            </w:r>
            <w:r>
              <w:rPr>
                <w:rFonts w:cs="Arial"/>
                <w:szCs w:val="18"/>
              </w:rPr>
              <w:t>provided analytics apply</w:t>
            </w:r>
            <w:r w:rsidRPr="00D21089">
              <w:rPr>
                <w:rFonts w:cs="Arial"/>
                <w:szCs w:val="18"/>
              </w:rPr>
              <w:t>.</w:t>
            </w:r>
          </w:p>
        </w:tc>
        <w:tc>
          <w:tcPr>
            <w:tcW w:w="1628" w:type="dxa"/>
          </w:tcPr>
          <w:p w14:paraId="0EB61780" w14:textId="77777777" w:rsidR="00C869EF" w:rsidRDefault="00C869EF" w:rsidP="00C869EF">
            <w:pPr>
              <w:pStyle w:val="TAL"/>
              <w:rPr>
                <w:rFonts w:cs="Arial"/>
                <w:szCs w:val="18"/>
              </w:rPr>
            </w:pPr>
            <w:r>
              <w:rPr>
                <w:rFonts w:cs="Arial"/>
                <w:szCs w:val="18"/>
                <w:lang w:eastAsia="zh-CN"/>
              </w:rPr>
              <w:t>NsiLoad</w:t>
            </w:r>
            <w:r>
              <w:t>Ext</w:t>
            </w:r>
          </w:p>
        </w:tc>
      </w:tr>
      <w:tr w:rsidR="00C869EF" w14:paraId="66A53D60" w14:textId="77777777">
        <w:trPr>
          <w:jc w:val="center"/>
        </w:trPr>
        <w:tc>
          <w:tcPr>
            <w:tcW w:w="1628" w:type="dxa"/>
          </w:tcPr>
          <w:p w14:paraId="56A72E6A" w14:textId="77777777" w:rsidR="00C869EF" w:rsidRDefault="00C869EF" w:rsidP="00C869EF">
            <w:pPr>
              <w:pStyle w:val="TAL"/>
            </w:pPr>
            <w:r>
              <w:t>timePeriod</w:t>
            </w:r>
          </w:p>
        </w:tc>
        <w:tc>
          <w:tcPr>
            <w:tcW w:w="1701" w:type="dxa"/>
          </w:tcPr>
          <w:p w14:paraId="66AC7019" w14:textId="77777777" w:rsidR="00C869EF" w:rsidRDefault="00C869EF" w:rsidP="00C869EF">
            <w:pPr>
              <w:pStyle w:val="TAL"/>
            </w:pPr>
            <w:r>
              <w:rPr>
                <w:rFonts w:eastAsia="等线"/>
                <w:lang w:eastAsia="zh-CN"/>
              </w:rPr>
              <w:t>TimeWindow</w:t>
            </w:r>
          </w:p>
        </w:tc>
        <w:tc>
          <w:tcPr>
            <w:tcW w:w="426" w:type="dxa"/>
          </w:tcPr>
          <w:p w14:paraId="005555E3" w14:textId="77777777" w:rsidR="00C869EF" w:rsidRDefault="00C869EF" w:rsidP="00C869EF">
            <w:pPr>
              <w:pStyle w:val="TAL"/>
            </w:pPr>
            <w:r>
              <w:t>O</w:t>
            </w:r>
          </w:p>
        </w:tc>
        <w:tc>
          <w:tcPr>
            <w:tcW w:w="1134" w:type="dxa"/>
          </w:tcPr>
          <w:p w14:paraId="64CCA108" w14:textId="77777777" w:rsidR="00C869EF" w:rsidRDefault="00C869EF" w:rsidP="00C869EF">
            <w:pPr>
              <w:pStyle w:val="TAL"/>
            </w:pPr>
            <w:r>
              <w:rPr>
                <w:rFonts w:eastAsia="Yu Mincho"/>
                <w:lang w:eastAsia="ja-JP"/>
              </w:rPr>
              <w:t>0..1</w:t>
            </w:r>
          </w:p>
        </w:tc>
        <w:tc>
          <w:tcPr>
            <w:tcW w:w="2976" w:type="dxa"/>
          </w:tcPr>
          <w:p w14:paraId="194A9942" w14:textId="77777777" w:rsidR="00C869EF" w:rsidRDefault="00C869EF" w:rsidP="00C869EF">
            <w:pPr>
              <w:pStyle w:val="TAL"/>
              <w:rPr>
                <w:rFonts w:cs="Arial"/>
                <w:szCs w:val="18"/>
              </w:rPr>
            </w:pPr>
            <w:r>
              <w:rPr>
                <w:rFonts w:cs="Arial"/>
                <w:szCs w:val="18"/>
              </w:rPr>
              <w:t xml:space="preserve">Indicates a start time and a stop time of the load level information identified by the </w:t>
            </w:r>
            <w:r>
              <w:rPr>
                <w:rFonts w:eastAsia="Batang"/>
              </w:rPr>
              <w:t>"</w:t>
            </w:r>
            <w:r>
              <w:t>loadLevelInformation</w:t>
            </w:r>
            <w:r>
              <w:rPr>
                <w:rFonts w:eastAsia="Batang"/>
              </w:rPr>
              <w:t>" attribute</w:t>
            </w:r>
            <w:r>
              <w:rPr>
                <w:rFonts w:cs="Arial"/>
                <w:szCs w:val="18"/>
              </w:rPr>
              <w:t xml:space="preserve">. </w:t>
            </w:r>
          </w:p>
        </w:tc>
        <w:tc>
          <w:tcPr>
            <w:tcW w:w="1628" w:type="dxa"/>
          </w:tcPr>
          <w:p w14:paraId="5DE649AC" w14:textId="77777777" w:rsidR="00C869EF" w:rsidRDefault="00C869EF" w:rsidP="00C869EF">
            <w:pPr>
              <w:pStyle w:val="TAL"/>
              <w:rPr>
                <w:rFonts w:cs="Arial"/>
                <w:szCs w:val="18"/>
              </w:rPr>
            </w:pPr>
            <w:r>
              <w:rPr>
                <w:rFonts w:cs="Arial"/>
                <w:szCs w:val="18"/>
                <w:lang w:eastAsia="zh-CN"/>
              </w:rPr>
              <w:t>NsiLoad</w:t>
            </w:r>
            <w:r>
              <w:t>Ext</w:t>
            </w:r>
          </w:p>
        </w:tc>
      </w:tr>
      <w:tr w:rsidR="00C869EF" w14:paraId="5C6A5D44" w14:textId="77777777">
        <w:trPr>
          <w:jc w:val="center"/>
        </w:trPr>
        <w:tc>
          <w:tcPr>
            <w:tcW w:w="1628" w:type="dxa"/>
          </w:tcPr>
          <w:p w14:paraId="6C30694F" w14:textId="77777777" w:rsidR="00C869EF" w:rsidRDefault="00C869EF" w:rsidP="00C869EF">
            <w:pPr>
              <w:pStyle w:val="TAL"/>
            </w:pPr>
            <w:r>
              <w:t>resUsgThrCrossTimePeriod</w:t>
            </w:r>
          </w:p>
        </w:tc>
        <w:tc>
          <w:tcPr>
            <w:tcW w:w="1701" w:type="dxa"/>
          </w:tcPr>
          <w:p w14:paraId="1844E8F3" w14:textId="77777777" w:rsidR="00C869EF" w:rsidRDefault="00C869EF" w:rsidP="00C869EF">
            <w:pPr>
              <w:pStyle w:val="TAL"/>
              <w:rPr>
                <w:rFonts w:eastAsia="等线"/>
                <w:lang w:eastAsia="zh-CN"/>
              </w:rPr>
            </w:pPr>
            <w:r>
              <w:rPr>
                <w:rFonts w:eastAsia="等线"/>
                <w:lang w:eastAsia="zh-CN"/>
              </w:rPr>
              <w:t>array(TimeWindow)</w:t>
            </w:r>
          </w:p>
        </w:tc>
        <w:tc>
          <w:tcPr>
            <w:tcW w:w="426" w:type="dxa"/>
          </w:tcPr>
          <w:p w14:paraId="26A95F76" w14:textId="77777777" w:rsidR="00C869EF" w:rsidRDefault="00C869EF" w:rsidP="00C869EF">
            <w:pPr>
              <w:pStyle w:val="TAL"/>
            </w:pPr>
            <w:r>
              <w:t>O</w:t>
            </w:r>
          </w:p>
        </w:tc>
        <w:tc>
          <w:tcPr>
            <w:tcW w:w="1134" w:type="dxa"/>
          </w:tcPr>
          <w:p w14:paraId="4ABFF9A6" w14:textId="77777777" w:rsidR="00C869EF" w:rsidRDefault="00C869EF" w:rsidP="00C869EF">
            <w:pPr>
              <w:pStyle w:val="TAL"/>
              <w:rPr>
                <w:rFonts w:eastAsia="Yu Mincho"/>
                <w:lang w:eastAsia="ja-JP"/>
              </w:rPr>
            </w:pPr>
            <w:r>
              <w:t>1..N</w:t>
            </w:r>
          </w:p>
        </w:tc>
        <w:tc>
          <w:tcPr>
            <w:tcW w:w="2976" w:type="dxa"/>
          </w:tcPr>
          <w:p w14:paraId="41D92F98" w14:textId="77777777" w:rsidR="00C869EF" w:rsidRDefault="00C869EF" w:rsidP="00C869EF">
            <w:pPr>
              <w:pStyle w:val="TAL"/>
              <w:rPr>
                <w:rFonts w:cs="Arial"/>
                <w:szCs w:val="18"/>
              </w:rPr>
            </w:pPr>
            <w:r>
              <w:rPr>
                <w:rFonts w:cs="Arial"/>
                <w:szCs w:val="18"/>
              </w:rPr>
              <w:t xml:space="preserve">Each element indicates the </w:t>
            </w:r>
            <w:r>
              <w:t>time elapsed between times each threshold is met or exceeded or crossed</w:t>
            </w:r>
            <w:r>
              <w:rPr>
                <w:rFonts w:cs="Arial"/>
                <w:szCs w:val="18"/>
              </w:rPr>
              <w:t>. T</w:t>
            </w:r>
            <w:r>
              <w:rPr>
                <w:rFonts w:cs="Arial" w:hint="eastAsia"/>
                <w:szCs w:val="18"/>
                <w:lang w:eastAsia="zh-CN"/>
              </w:rPr>
              <w:t>he</w:t>
            </w:r>
            <w:r>
              <w:rPr>
                <w:rFonts w:cs="Arial"/>
                <w:szCs w:val="18"/>
              </w:rPr>
              <w:t xml:space="preserve"> start time and end time are the exact time stamps of the resource usage threshold is reached or exceeded. May be present if the "listOfAnaSubsets" attribute is provided and the maximum number of instances shall not exceed the value provided in the "numOfExceedLoadLevelThr" attribute.</w:t>
            </w:r>
          </w:p>
        </w:tc>
        <w:tc>
          <w:tcPr>
            <w:tcW w:w="1628" w:type="dxa"/>
          </w:tcPr>
          <w:p w14:paraId="4403AF56" w14:textId="77777777" w:rsidR="00C869EF" w:rsidRDefault="00C869EF" w:rsidP="00C869EF">
            <w:pPr>
              <w:pStyle w:val="TAL"/>
              <w:rPr>
                <w:rFonts w:cs="Arial"/>
                <w:szCs w:val="18"/>
                <w:lang w:eastAsia="zh-CN"/>
              </w:rPr>
            </w:pPr>
            <w:r>
              <w:rPr>
                <w:rFonts w:cs="Arial"/>
                <w:szCs w:val="18"/>
                <w:lang w:eastAsia="zh-CN"/>
              </w:rPr>
              <w:t>NsiLoad</w:t>
            </w:r>
            <w:r>
              <w:t>Ext</w:t>
            </w:r>
          </w:p>
        </w:tc>
      </w:tr>
      <w:tr w:rsidR="00C869EF" w14:paraId="195362B8" w14:textId="77777777">
        <w:trPr>
          <w:jc w:val="center"/>
        </w:trPr>
        <w:tc>
          <w:tcPr>
            <w:tcW w:w="1628" w:type="dxa"/>
          </w:tcPr>
          <w:p w14:paraId="7788F089" w14:textId="77777777" w:rsidR="00C869EF" w:rsidRDefault="00C869EF" w:rsidP="00C869EF">
            <w:pPr>
              <w:pStyle w:val="TAL"/>
            </w:pPr>
            <w:r>
              <w:lastRenderedPageBreak/>
              <w:t>numOfUes</w:t>
            </w:r>
          </w:p>
        </w:tc>
        <w:tc>
          <w:tcPr>
            <w:tcW w:w="1701" w:type="dxa"/>
          </w:tcPr>
          <w:p w14:paraId="5B80BB1E" w14:textId="77777777" w:rsidR="00C869EF" w:rsidRDefault="00C869EF" w:rsidP="00C869EF">
            <w:pPr>
              <w:pStyle w:val="TAL"/>
            </w:pPr>
            <w:r>
              <w:t>NumberAverage</w:t>
            </w:r>
          </w:p>
        </w:tc>
        <w:tc>
          <w:tcPr>
            <w:tcW w:w="426" w:type="dxa"/>
          </w:tcPr>
          <w:p w14:paraId="749757C5" w14:textId="77777777" w:rsidR="00C869EF" w:rsidRDefault="00C869EF" w:rsidP="00C869EF">
            <w:pPr>
              <w:pStyle w:val="TAL"/>
            </w:pPr>
            <w:r>
              <w:t>C</w:t>
            </w:r>
          </w:p>
        </w:tc>
        <w:tc>
          <w:tcPr>
            <w:tcW w:w="1134" w:type="dxa"/>
          </w:tcPr>
          <w:p w14:paraId="6D0F13A7" w14:textId="77777777" w:rsidR="00C869EF" w:rsidRDefault="00C869EF" w:rsidP="00C869EF">
            <w:pPr>
              <w:pStyle w:val="TAL"/>
            </w:pPr>
            <w:r>
              <w:t>0..1</w:t>
            </w:r>
          </w:p>
        </w:tc>
        <w:tc>
          <w:tcPr>
            <w:tcW w:w="2976" w:type="dxa"/>
          </w:tcPr>
          <w:p w14:paraId="7671EDDE" w14:textId="77777777" w:rsidR="00C869EF" w:rsidRDefault="00C869EF" w:rsidP="00C869EF">
            <w:pPr>
              <w:pStyle w:val="TAL"/>
              <w:rPr>
                <w:rFonts w:cs="Arial"/>
                <w:szCs w:val="18"/>
              </w:rPr>
            </w:pPr>
            <w:r>
              <w:rPr>
                <w:rFonts w:cs="Arial"/>
                <w:szCs w:val="18"/>
              </w:rPr>
              <w:t xml:space="preserve">Indicates the average and variance number of UE registered at </w:t>
            </w:r>
            <w:r>
              <w:rPr>
                <w:rFonts w:eastAsia="Batang"/>
              </w:rPr>
              <w:t>the S-NSSAI and the optionally associated network slice instance</w:t>
            </w:r>
            <w:r>
              <w:rPr>
                <w:rFonts w:cs="Arial"/>
                <w:szCs w:val="18"/>
              </w:rPr>
              <w:t>.</w:t>
            </w:r>
          </w:p>
          <w:p w14:paraId="0BBF55C3" w14:textId="77777777" w:rsidR="00C869EF" w:rsidRDefault="00C869EF" w:rsidP="00C869EF">
            <w:pPr>
              <w:pStyle w:val="TAL"/>
              <w:rPr>
                <w:rFonts w:cs="Arial"/>
                <w:szCs w:val="18"/>
              </w:rPr>
            </w:pPr>
            <w:r>
              <w:rPr>
                <w:rFonts w:cs="Arial"/>
                <w:szCs w:val="18"/>
              </w:rPr>
              <w:t>Shall be present if one of the element in the "listOfAnaSubsets" attribute was set to NUM_OF_UE_REG.</w:t>
            </w:r>
          </w:p>
        </w:tc>
        <w:tc>
          <w:tcPr>
            <w:tcW w:w="1628" w:type="dxa"/>
          </w:tcPr>
          <w:p w14:paraId="4649D3E9" w14:textId="77777777" w:rsidR="00C869EF" w:rsidRDefault="00C869EF" w:rsidP="00C869EF">
            <w:pPr>
              <w:pStyle w:val="TAL"/>
              <w:rPr>
                <w:rFonts w:cs="Arial"/>
                <w:szCs w:val="18"/>
              </w:rPr>
            </w:pPr>
            <w:r>
              <w:rPr>
                <w:rFonts w:cs="Arial"/>
                <w:szCs w:val="18"/>
                <w:lang w:eastAsia="zh-CN"/>
              </w:rPr>
              <w:t>NsiLoad</w:t>
            </w:r>
            <w:r>
              <w:t>Ext</w:t>
            </w:r>
          </w:p>
        </w:tc>
      </w:tr>
      <w:tr w:rsidR="00C869EF" w14:paraId="7DD8F70F" w14:textId="77777777">
        <w:trPr>
          <w:jc w:val="center"/>
        </w:trPr>
        <w:tc>
          <w:tcPr>
            <w:tcW w:w="1628" w:type="dxa"/>
          </w:tcPr>
          <w:p w14:paraId="2EFEF4DA" w14:textId="77777777" w:rsidR="00C869EF" w:rsidRDefault="00C869EF" w:rsidP="00C869EF">
            <w:pPr>
              <w:pStyle w:val="TAL"/>
            </w:pPr>
            <w:r>
              <w:t>numOfPduSess</w:t>
            </w:r>
          </w:p>
        </w:tc>
        <w:tc>
          <w:tcPr>
            <w:tcW w:w="1701" w:type="dxa"/>
          </w:tcPr>
          <w:p w14:paraId="06041808" w14:textId="77777777" w:rsidR="00C869EF" w:rsidRDefault="00C869EF" w:rsidP="00C869EF">
            <w:pPr>
              <w:pStyle w:val="TAL"/>
            </w:pPr>
            <w:r>
              <w:rPr>
                <w:lang w:eastAsia="zh-CN"/>
              </w:rPr>
              <w:t>NumberAverage</w:t>
            </w:r>
          </w:p>
        </w:tc>
        <w:tc>
          <w:tcPr>
            <w:tcW w:w="426" w:type="dxa"/>
          </w:tcPr>
          <w:p w14:paraId="661A8D4C" w14:textId="77777777" w:rsidR="00C869EF" w:rsidRDefault="00C869EF" w:rsidP="00C869EF">
            <w:pPr>
              <w:pStyle w:val="TAL"/>
            </w:pPr>
            <w:r>
              <w:t>C</w:t>
            </w:r>
          </w:p>
        </w:tc>
        <w:tc>
          <w:tcPr>
            <w:tcW w:w="1134" w:type="dxa"/>
          </w:tcPr>
          <w:p w14:paraId="23AB84C3" w14:textId="77777777" w:rsidR="00C869EF" w:rsidRDefault="00C869EF" w:rsidP="00C869EF">
            <w:pPr>
              <w:pStyle w:val="TAL"/>
            </w:pPr>
            <w:r>
              <w:t>0..1</w:t>
            </w:r>
          </w:p>
        </w:tc>
        <w:tc>
          <w:tcPr>
            <w:tcW w:w="2976" w:type="dxa"/>
          </w:tcPr>
          <w:p w14:paraId="0610F2C0" w14:textId="77777777" w:rsidR="00C869EF" w:rsidRDefault="00C869EF" w:rsidP="00C869EF">
            <w:pPr>
              <w:pStyle w:val="TAL"/>
              <w:rPr>
                <w:rFonts w:cs="Arial"/>
                <w:szCs w:val="18"/>
              </w:rPr>
            </w:pPr>
            <w:r>
              <w:rPr>
                <w:rFonts w:cs="Arial"/>
                <w:szCs w:val="18"/>
              </w:rPr>
              <w:t xml:space="preserve">Indicates the average and variance number of PDU session established at </w:t>
            </w:r>
            <w:r>
              <w:rPr>
                <w:rFonts w:eastAsia="Batang"/>
              </w:rPr>
              <w:t>the S-NSSAI and the optionally associated network slice instance</w:t>
            </w:r>
            <w:r>
              <w:rPr>
                <w:rFonts w:cs="Arial"/>
                <w:szCs w:val="18"/>
              </w:rPr>
              <w:t>.</w:t>
            </w:r>
          </w:p>
          <w:p w14:paraId="533D7548" w14:textId="77777777" w:rsidR="00C869EF" w:rsidRDefault="00C869EF" w:rsidP="00C869EF">
            <w:pPr>
              <w:pStyle w:val="TAL"/>
              <w:rPr>
                <w:rFonts w:cs="Arial"/>
                <w:szCs w:val="18"/>
              </w:rPr>
            </w:pPr>
            <w:r>
              <w:rPr>
                <w:rFonts w:cs="Arial"/>
                <w:szCs w:val="18"/>
              </w:rPr>
              <w:t xml:space="preserve">Shall be present if one of the element in the </w:t>
            </w:r>
            <w:r>
              <w:t>"listOfAnaSubsets"</w:t>
            </w:r>
            <w:r>
              <w:rPr>
                <w:rFonts w:cs="Arial"/>
                <w:szCs w:val="18"/>
              </w:rPr>
              <w:t xml:space="preserve"> attribute was set to </w:t>
            </w:r>
            <w:r>
              <w:rPr>
                <w:lang w:eastAsia="zh-CN"/>
              </w:rPr>
              <w:t>NUM_OF_PDU_SESS_ESTBL</w:t>
            </w:r>
            <w:r>
              <w:rPr>
                <w:rFonts w:cs="Arial"/>
                <w:szCs w:val="18"/>
              </w:rPr>
              <w:t>.</w:t>
            </w:r>
          </w:p>
        </w:tc>
        <w:tc>
          <w:tcPr>
            <w:tcW w:w="1628" w:type="dxa"/>
          </w:tcPr>
          <w:p w14:paraId="77C93A92" w14:textId="77777777" w:rsidR="00C869EF" w:rsidRDefault="00C869EF" w:rsidP="00C869EF">
            <w:pPr>
              <w:pStyle w:val="TAL"/>
              <w:rPr>
                <w:rFonts w:cs="Arial"/>
                <w:szCs w:val="18"/>
              </w:rPr>
            </w:pPr>
            <w:r>
              <w:rPr>
                <w:rFonts w:cs="Arial"/>
                <w:szCs w:val="18"/>
                <w:lang w:eastAsia="zh-CN"/>
              </w:rPr>
              <w:t>NsiLoad</w:t>
            </w:r>
            <w:r>
              <w:t>Ext</w:t>
            </w:r>
          </w:p>
        </w:tc>
      </w:tr>
      <w:tr w:rsidR="00C869EF" w14:paraId="5303A487" w14:textId="77777777">
        <w:trPr>
          <w:jc w:val="center"/>
        </w:trPr>
        <w:tc>
          <w:tcPr>
            <w:tcW w:w="1628" w:type="dxa"/>
          </w:tcPr>
          <w:p w14:paraId="078AFCC1" w14:textId="77777777" w:rsidR="00C869EF" w:rsidRDefault="00C869EF" w:rsidP="00C869EF">
            <w:pPr>
              <w:pStyle w:val="TAL"/>
            </w:pPr>
            <w:r>
              <w:t>confidence</w:t>
            </w:r>
          </w:p>
        </w:tc>
        <w:tc>
          <w:tcPr>
            <w:tcW w:w="1701" w:type="dxa"/>
          </w:tcPr>
          <w:p w14:paraId="7A0F26CA" w14:textId="77777777" w:rsidR="00C869EF" w:rsidRDefault="00C869EF" w:rsidP="00C869EF">
            <w:pPr>
              <w:pStyle w:val="TAL"/>
            </w:pPr>
            <w:r>
              <w:t>Uinteger</w:t>
            </w:r>
          </w:p>
        </w:tc>
        <w:tc>
          <w:tcPr>
            <w:tcW w:w="426" w:type="dxa"/>
          </w:tcPr>
          <w:p w14:paraId="325019CE" w14:textId="77777777" w:rsidR="00C869EF" w:rsidRDefault="00C869EF" w:rsidP="00C869EF">
            <w:pPr>
              <w:pStyle w:val="TAL"/>
            </w:pPr>
            <w:r>
              <w:t>C</w:t>
            </w:r>
          </w:p>
        </w:tc>
        <w:tc>
          <w:tcPr>
            <w:tcW w:w="1134" w:type="dxa"/>
          </w:tcPr>
          <w:p w14:paraId="45FAC894" w14:textId="77777777" w:rsidR="00C869EF" w:rsidRDefault="00C869EF" w:rsidP="00C869EF">
            <w:pPr>
              <w:pStyle w:val="TAL"/>
            </w:pPr>
            <w:r>
              <w:t>0..1</w:t>
            </w:r>
          </w:p>
        </w:tc>
        <w:tc>
          <w:tcPr>
            <w:tcW w:w="2976" w:type="dxa"/>
          </w:tcPr>
          <w:p w14:paraId="40EDC050" w14:textId="77777777" w:rsidR="00C869EF" w:rsidRDefault="00C869EF" w:rsidP="00C869EF">
            <w:pPr>
              <w:pStyle w:val="TAL"/>
              <w:rPr>
                <w:rFonts w:cs="Arial"/>
                <w:szCs w:val="18"/>
              </w:rPr>
            </w:pPr>
            <w:r>
              <w:rPr>
                <w:rFonts w:cs="Arial"/>
                <w:szCs w:val="18"/>
              </w:rPr>
              <w:t>Indicates the confidence of the prediction. (NOTE)</w:t>
            </w:r>
          </w:p>
          <w:p w14:paraId="7BF7A223" w14:textId="77777777" w:rsidR="00C869EF" w:rsidRDefault="00C869EF" w:rsidP="00C869EF">
            <w:pPr>
              <w:pStyle w:val="TAL"/>
              <w:rPr>
                <w:rFonts w:cs="Arial"/>
                <w:szCs w:val="18"/>
              </w:rPr>
            </w:pPr>
            <w:r>
              <w:rPr>
                <w:rFonts w:cs="Arial"/>
                <w:szCs w:val="18"/>
              </w:rPr>
              <w:t>Shall be present if the analytics result is a prediction.</w:t>
            </w:r>
          </w:p>
          <w:p w14:paraId="66141A30" w14:textId="77777777" w:rsidR="00C869EF" w:rsidRDefault="00C869EF" w:rsidP="00C869EF">
            <w:pPr>
              <w:pStyle w:val="TAL"/>
              <w:rPr>
                <w:rFonts w:cs="Arial"/>
                <w:szCs w:val="18"/>
              </w:rPr>
            </w:pPr>
            <w:r>
              <w:rPr>
                <w:rFonts w:cs="Arial"/>
                <w:szCs w:val="18"/>
              </w:rPr>
              <w:t>Minimum = 0. Maximum = 100.</w:t>
            </w:r>
          </w:p>
        </w:tc>
        <w:tc>
          <w:tcPr>
            <w:tcW w:w="1628" w:type="dxa"/>
          </w:tcPr>
          <w:p w14:paraId="2C3D9ED9" w14:textId="77777777" w:rsidR="00C869EF" w:rsidRDefault="00C869EF" w:rsidP="00C869EF">
            <w:pPr>
              <w:pStyle w:val="TAL"/>
              <w:rPr>
                <w:rFonts w:cs="Arial"/>
                <w:szCs w:val="18"/>
              </w:rPr>
            </w:pPr>
            <w:r>
              <w:rPr>
                <w:rFonts w:cs="Arial"/>
                <w:szCs w:val="18"/>
                <w:lang w:eastAsia="zh-CN"/>
              </w:rPr>
              <w:t>NsiLoad</w:t>
            </w:r>
            <w:r>
              <w:t>Ext</w:t>
            </w:r>
          </w:p>
        </w:tc>
      </w:tr>
      <w:tr w:rsidR="00C869EF" w14:paraId="185180D4" w14:textId="77777777">
        <w:trPr>
          <w:jc w:val="center"/>
        </w:trPr>
        <w:tc>
          <w:tcPr>
            <w:tcW w:w="9493" w:type="dxa"/>
            <w:gridSpan w:val="6"/>
          </w:tcPr>
          <w:p w14:paraId="4DCBA3A3" w14:textId="77777777" w:rsidR="00C869EF" w:rsidRDefault="00C869EF" w:rsidP="00C869EF">
            <w:pPr>
              <w:pStyle w:val="TAN"/>
              <w:rPr>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09C80BFA" w14:textId="77777777" w:rsidR="00A10B25" w:rsidRDefault="00A10B25"/>
    <w:p w14:paraId="5A8029D2" w14:textId="77777777" w:rsidR="00A10B25" w:rsidRDefault="00A10B25">
      <w:pPr>
        <w:pStyle w:val="5"/>
      </w:pPr>
      <w:bookmarkStart w:id="6875" w:name="_Toc51763033"/>
      <w:bookmarkStart w:id="6876" w:name="_Toc94064282"/>
      <w:bookmarkStart w:id="6877" w:name="_Toc114133837"/>
      <w:bookmarkStart w:id="6878" w:name="_Toc85557112"/>
      <w:bookmarkStart w:id="6879" w:name="_Toc56640993"/>
      <w:bookmarkStart w:id="6880" w:name="_Toc98233667"/>
      <w:bookmarkStart w:id="6881" w:name="_Toc59017961"/>
      <w:bookmarkStart w:id="6882" w:name="_Toc66231829"/>
      <w:bookmarkStart w:id="6883" w:name="_Toc90655899"/>
      <w:bookmarkStart w:id="6884" w:name="_Toc113031698"/>
      <w:bookmarkStart w:id="6885" w:name="_Toc104539036"/>
      <w:bookmarkStart w:id="6886" w:name="_Toc120702337"/>
      <w:bookmarkStart w:id="6887" w:name="_Toc88667614"/>
      <w:bookmarkStart w:id="6888" w:name="_Toc101244443"/>
      <w:bookmarkStart w:id="6889" w:name="_Toc136562404"/>
      <w:bookmarkStart w:id="6890" w:name="_Toc85553013"/>
      <w:bookmarkStart w:id="6891" w:name="_Toc70550657"/>
      <w:bookmarkStart w:id="6892" w:name="_Toc112951158"/>
      <w:bookmarkStart w:id="6893" w:name="_Toc83233103"/>
      <w:bookmarkStart w:id="6894" w:name="_Toc148522629"/>
      <w:bookmarkStart w:id="6895" w:name="_Toc68168990"/>
      <w:bookmarkStart w:id="6896" w:name="_Toc145705725"/>
      <w:bookmarkStart w:id="6897" w:name="_Toc138754238"/>
      <w:bookmarkStart w:id="6898" w:name="_Toc50032721"/>
      <w:bookmarkStart w:id="6899" w:name="_Toc164920809"/>
      <w:bookmarkStart w:id="6900" w:name="_Toc170120351"/>
      <w:bookmarkStart w:id="6901" w:name="_Toc175858596"/>
      <w:bookmarkStart w:id="6902" w:name="_Toc175859669"/>
      <w:bookmarkStart w:id="6903" w:name="_Toc180605959"/>
      <w:bookmarkStart w:id="6904" w:name="_Toc185517213"/>
      <w:bookmarkStart w:id="6905" w:name="_Toc191576264"/>
      <w:bookmarkStart w:id="6906" w:name="_Toc191577004"/>
      <w:bookmarkStart w:id="6907" w:name="_Toc192880074"/>
      <w:bookmarkStart w:id="6908" w:name="_Toc195814957"/>
      <w:bookmarkStart w:id="6909" w:name="_Toc199452924"/>
      <w:r>
        <w:t>5.1.6.2.35</w:t>
      </w:r>
      <w:r>
        <w:tab/>
        <w:t xml:space="preserve">Type </w:t>
      </w:r>
      <w:bookmarkEnd w:id="6875"/>
      <w:bookmarkEnd w:id="6898"/>
      <w:r>
        <w:rPr>
          <w:lang w:eastAsia="zh-CN"/>
        </w:rPr>
        <w:t>FailureEventInfo</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9"/>
      <w:bookmarkEnd w:id="6900"/>
      <w:bookmarkEnd w:id="6901"/>
      <w:bookmarkEnd w:id="6902"/>
      <w:bookmarkEnd w:id="6903"/>
      <w:bookmarkEnd w:id="6904"/>
      <w:bookmarkEnd w:id="6905"/>
      <w:bookmarkEnd w:id="6906"/>
      <w:bookmarkEnd w:id="6907"/>
      <w:bookmarkEnd w:id="6908"/>
      <w:bookmarkEnd w:id="6909"/>
    </w:p>
    <w:p w14:paraId="01D13961" w14:textId="77777777" w:rsidR="00A10B25" w:rsidRDefault="00A10B25">
      <w:pPr>
        <w:pStyle w:val="TH"/>
      </w:pPr>
      <w:r>
        <w:t xml:space="preserve">Table 5.1.6.2.35-1: Definition of type </w:t>
      </w:r>
      <w:r>
        <w:rPr>
          <w:lang w:eastAsia="zh-CN"/>
        </w:rPr>
        <w:t>FailureEventInfo</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BA1BC4B" w14:textId="77777777">
        <w:trPr>
          <w:jc w:val="center"/>
        </w:trPr>
        <w:tc>
          <w:tcPr>
            <w:tcW w:w="1628" w:type="dxa"/>
            <w:shd w:val="clear" w:color="auto" w:fill="C0C0C0"/>
          </w:tcPr>
          <w:p w14:paraId="5292FAC8" w14:textId="77777777" w:rsidR="00A10B25" w:rsidRDefault="00A10B25">
            <w:pPr>
              <w:pStyle w:val="TAH"/>
            </w:pPr>
            <w:r>
              <w:t>Attribute name</w:t>
            </w:r>
          </w:p>
        </w:tc>
        <w:tc>
          <w:tcPr>
            <w:tcW w:w="1701" w:type="dxa"/>
            <w:shd w:val="clear" w:color="auto" w:fill="C0C0C0"/>
          </w:tcPr>
          <w:p w14:paraId="6BAB9B81" w14:textId="77777777" w:rsidR="00A10B25" w:rsidRDefault="00A10B25">
            <w:pPr>
              <w:pStyle w:val="TAH"/>
            </w:pPr>
            <w:r>
              <w:t>Data type</w:t>
            </w:r>
          </w:p>
        </w:tc>
        <w:tc>
          <w:tcPr>
            <w:tcW w:w="426" w:type="dxa"/>
            <w:shd w:val="clear" w:color="auto" w:fill="C0C0C0"/>
          </w:tcPr>
          <w:p w14:paraId="31799455" w14:textId="77777777" w:rsidR="00A10B25" w:rsidRDefault="00A10B25">
            <w:pPr>
              <w:pStyle w:val="TAH"/>
            </w:pPr>
            <w:r>
              <w:t>P</w:t>
            </w:r>
          </w:p>
        </w:tc>
        <w:tc>
          <w:tcPr>
            <w:tcW w:w="1134" w:type="dxa"/>
            <w:shd w:val="clear" w:color="auto" w:fill="C0C0C0"/>
          </w:tcPr>
          <w:p w14:paraId="203C4D15" w14:textId="77777777" w:rsidR="00A10B25" w:rsidRDefault="00A10B25">
            <w:pPr>
              <w:pStyle w:val="TAH"/>
            </w:pPr>
            <w:r>
              <w:t>Cardinality</w:t>
            </w:r>
          </w:p>
        </w:tc>
        <w:tc>
          <w:tcPr>
            <w:tcW w:w="2976" w:type="dxa"/>
            <w:shd w:val="clear" w:color="auto" w:fill="C0C0C0"/>
          </w:tcPr>
          <w:p w14:paraId="4465EE0E" w14:textId="77777777" w:rsidR="00A10B25" w:rsidRDefault="00A10B25">
            <w:pPr>
              <w:pStyle w:val="TAH"/>
              <w:rPr>
                <w:rFonts w:cs="Arial"/>
                <w:szCs w:val="18"/>
              </w:rPr>
            </w:pPr>
            <w:r>
              <w:rPr>
                <w:rFonts w:cs="Arial"/>
                <w:szCs w:val="18"/>
              </w:rPr>
              <w:t>Description</w:t>
            </w:r>
          </w:p>
        </w:tc>
        <w:tc>
          <w:tcPr>
            <w:tcW w:w="1628" w:type="dxa"/>
            <w:shd w:val="clear" w:color="auto" w:fill="C0C0C0"/>
          </w:tcPr>
          <w:p w14:paraId="156A573F" w14:textId="77777777" w:rsidR="00A10B25" w:rsidRDefault="00A10B25">
            <w:pPr>
              <w:pStyle w:val="TAH"/>
              <w:rPr>
                <w:rFonts w:cs="Arial"/>
                <w:szCs w:val="18"/>
              </w:rPr>
            </w:pPr>
            <w:r>
              <w:rPr>
                <w:rFonts w:cs="Arial"/>
                <w:szCs w:val="18"/>
              </w:rPr>
              <w:t>Applicability</w:t>
            </w:r>
          </w:p>
        </w:tc>
      </w:tr>
      <w:tr w:rsidR="00A10B25" w14:paraId="698C3163" w14:textId="77777777">
        <w:trPr>
          <w:jc w:val="center"/>
        </w:trPr>
        <w:tc>
          <w:tcPr>
            <w:tcW w:w="1628" w:type="dxa"/>
          </w:tcPr>
          <w:p w14:paraId="76C149C2" w14:textId="77777777" w:rsidR="00A10B25" w:rsidRDefault="00A10B25">
            <w:pPr>
              <w:pStyle w:val="TAL"/>
            </w:pPr>
            <w:r>
              <w:t>e</w:t>
            </w:r>
            <w:r>
              <w:rPr>
                <w:rFonts w:hint="eastAsia"/>
              </w:rPr>
              <w:t>vent</w:t>
            </w:r>
          </w:p>
        </w:tc>
        <w:tc>
          <w:tcPr>
            <w:tcW w:w="1701" w:type="dxa"/>
          </w:tcPr>
          <w:p w14:paraId="70378060" w14:textId="77777777" w:rsidR="00A10B25" w:rsidRDefault="00A10B25">
            <w:pPr>
              <w:pStyle w:val="TAL"/>
            </w:pPr>
            <w:r>
              <w:rPr>
                <w:rFonts w:hint="eastAsia"/>
              </w:rPr>
              <w:t>NwdafEvent</w:t>
            </w:r>
          </w:p>
        </w:tc>
        <w:tc>
          <w:tcPr>
            <w:tcW w:w="426" w:type="dxa"/>
          </w:tcPr>
          <w:p w14:paraId="1C44C81B" w14:textId="77777777" w:rsidR="00A10B25" w:rsidRDefault="00A10B25">
            <w:pPr>
              <w:pStyle w:val="TAL"/>
            </w:pPr>
            <w:r>
              <w:rPr>
                <w:rFonts w:hint="eastAsia"/>
              </w:rPr>
              <w:t>M</w:t>
            </w:r>
          </w:p>
        </w:tc>
        <w:tc>
          <w:tcPr>
            <w:tcW w:w="1134" w:type="dxa"/>
          </w:tcPr>
          <w:p w14:paraId="15BD7693" w14:textId="77777777" w:rsidR="00A10B25" w:rsidRDefault="00A10B25">
            <w:pPr>
              <w:pStyle w:val="TAL"/>
            </w:pPr>
            <w:r>
              <w:rPr>
                <w:rFonts w:hint="eastAsia"/>
              </w:rPr>
              <w:t>1</w:t>
            </w:r>
          </w:p>
        </w:tc>
        <w:tc>
          <w:tcPr>
            <w:tcW w:w="2976" w:type="dxa"/>
          </w:tcPr>
          <w:p w14:paraId="207A92D0" w14:textId="77777777" w:rsidR="00A10B25" w:rsidRDefault="00A10B25">
            <w:pPr>
              <w:pStyle w:val="TAL"/>
              <w:rPr>
                <w:rFonts w:cs="Arial"/>
                <w:szCs w:val="18"/>
              </w:rPr>
            </w:pPr>
            <w:r>
              <w:t>Event that is subscribed.</w:t>
            </w:r>
          </w:p>
        </w:tc>
        <w:tc>
          <w:tcPr>
            <w:tcW w:w="1628" w:type="dxa"/>
          </w:tcPr>
          <w:p w14:paraId="195EEBE3" w14:textId="77777777" w:rsidR="00A10B25" w:rsidRDefault="00A10B25">
            <w:pPr>
              <w:pStyle w:val="TAL"/>
              <w:rPr>
                <w:rFonts w:cs="Arial"/>
                <w:szCs w:val="18"/>
              </w:rPr>
            </w:pPr>
          </w:p>
        </w:tc>
      </w:tr>
      <w:tr w:rsidR="00A10B25" w14:paraId="4F9FE008" w14:textId="77777777">
        <w:trPr>
          <w:jc w:val="center"/>
        </w:trPr>
        <w:tc>
          <w:tcPr>
            <w:tcW w:w="1628" w:type="dxa"/>
          </w:tcPr>
          <w:p w14:paraId="424F9F92" w14:textId="77777777" w:rsidR="00A10B25" w:rsidRDefault="00A10B25">
            <w:pPr>
              <w:pStyle w:val="TAL"/>
            </w:pPr>
            <w:r>
              <w:rPr>
                <w:lang w:eastAsia="zh-CN"/>
              </w:rPr>
              <w:t>failureCode</w:t>
            </w:r>
          </w:p>
        </w:tc>
        <w:tc>
          <w:tcPr>
            <w:tcW w:w="1701" w:type="dxa"/>
          </w:tcPr>
          <w:p w14:paraId="03A98081" w14:textId="77777777" w:rsidR="00A10B25" w:rsidRDefault="00A10B25">
            <w:pPr>
              <w:pStyle w:val="TAL"/>
            </w:pPr>
            <w:r>
              <w:rPr>
                <w:lang w:eastAsia="zh-CN"/>
              </w:rPr>
              <w:t>NwdafFailureCode</w:t>
            </w:r>
          </w:p>
        </w:tc>
        <w:tc>
          <w:tcPr>
            <w:tcW w:w="426" w:type="dxa"/>
          </w:tcPr>
          <w:p w14:paraId="18B38DE3" w14:textId="77777777" w:rsidR="00A10B25" w:rsidRDefault="00A10B25">
            <w:pPr>
              <w:pStyle w:val="TAL"/>
              <w:rPr>
                <w:lang w:eastAsia="zh-CN"/>
              </w:rPr>
            </w:pPr>
            <w:r>
              <w:rPr>
                <w:rFonts w:hint="eastAsia"/>
                <w:lang w:eastAsia="zh-CN"/>
              </w:rPr>
              <w:t>M</w:t>
            </w:r>
          </w:p>
        </w:tc>
        <w:tc>
          <w:tcPr>
            <w:tcW w:w="1134" w:type="dxa"/>
          </w:tcPr>
          <w:p w14:paraId="3B56F9B5" w14:textId="77777777" w:rsidR="00A10B25" w:rsidRDefault="00A10B25">
            <w:pPr>
              <w:pStyle w:val="TAL"/>
            </w:pPr>
            <w:r>
              <w:rPr>
                <w:rFonts w:cs="Arial"/>
                <w:szCs w:val="18"/>
                <w:lang w:eastAsia="zh-CN"/>
              </w:rPr>
              <w:t>1</w:t>
            </w:r>
          </w:p>
        </w:tc>
        <w:tc>
          <w:tcPr>
            <w:tcW w:w="2976" w:type="dxa"/>
          </w:tcPr>
          <w:p w14:paraId="12B67018" w14:textId="77777777" w:rsidR="00A10B25" w:rsidRDefault="00A10B25">
            <w:pPr>
              <w:pStyle w:val="TAL"/>
              <w:rPr>
                <w:rFonts w:cs="Arial"/>
                <w:szCs w:val="18"/>
              </w:rPr>
            </w:pPr>
            <w:r>
              <w:rPr>
                <w:rFonts w:eastAsia="Times New Roman" w:cs="Arial"/>
                <w:szCs w:val="18"/>
              </w:rPr>
              <w:t>Identifies the failure reason</w:t>
            </w:r>
          </w:p>
        </w:tc>
        <w:tc>
          <w:tcPr>
            <w:tcW w:w="1628" w:type="dxa"/>
          </w:tcPr>
          <w:p w14:paraId="7BF70C4D" w14:textId="77777777" w:rsidR="00A10B25" w:rsidRDefault="00A10B25">
            <w:pPr>
              <w:pStyle w:val="TAL"/>
              <w:rPr>
                <w:rFonts w:cs="Arial"/>
                <w:szCs w:val="18"/>
              </w:rPr>
            </w:pPr>
          </w:p>
        </w:tc>
      </w:tr>
    </w:tbl>
    <w:p w14:paraId="436268B3" w14:textId="77777777" w:rsidR="00A10B25" w:rsidRDefault="00A10B25"/>
    <w:p w14:paraId="3157740B" w14:textId="77777777" w:rsidR="00A10B25" w:rsidRDefault="00A10B25">
      <w:pPr>
        <w:pStyle w:val="5"/>
      </w:pPr>
      <w:bookmarkStart w:id="6910" w:name="_Toc113031699"/>
      <w:bookmarkStart w:id="6911" w:name="_Toc94064283"/>
      <w:bookmarkStart w:id="6912" w:name="_Toc98233668"/>
      <w:bookmarkStart w:id="6913" w:name="_Toc83233104"/>
      <w:bookmarkStart w:id="6914" w:name="_Toc145705726"/>
      <w:bookmarkStart w:id="6915" w:name="_Toc138754239"/>
      <w:bookmarkStart w:id="6916" w:name="_Toc85557113"/>
      <w:bookmarkStart w:id="6917" w:name="_Toc101244444"/>
      <w:bookmarkStart w:id="6918" w:name="_Toc114133838"/>
      <w:bookmarkStart w:id="6919" w:name="_Toc104539037"/>
      <w:bookmarkStart w:id="6920" w:name="_Toc85553014"/>
      <w:bookmarkStart w:id="6921" w:name="_Toc90655900"/>
      <w:bookmarkStart w:id="6922" w:name="_Toc120702338"/>
      <w:bookmarkStart w:id="6923" w:name="_Toc112951159"/>
      <w:bookmarkStart w:id="6924" w:name="_Toc148522630"/>
      <w:bookmarkStart w:id="6925" w:name="_Toc88667615"/>
      <w:bookmarkStart w:id="6926" w:name="_Toc136562405"/>
      <w:bookmarkStart w:id="6927" w:name="_Toc164920810"/>
      <w:bookmarkStart w:id="6928" w:name="_Toc170120352"/>
      <w:bookmarkStart w:id="6929" w:name="_Toc175858597"/>
      <w:bookmarkStart w:id="6930" w:name="_Toc175859670"/>
      <w:bookmarkStart w:id="6931" w:name="_Toc180605960"/>
      <w:bookmarkStart w:id="6932" w:name="_Toc185517214"/>
      <w:bookmarkStart w:id="6933" w:name="_Toc191576265"/>
      <w:bookmarkStart w:id="6934" w:name="_Toc191577005"/>
      <w:bookmarkStart w:id="6935" w:name="_Toc192880075"/>
      <w:bookmarkStart w:id="6936" w:name="_Toc195814958"/>
      <w:bookmarkStart w:id="6937" w:name="_Toc199452925"/>
      <w:r>
        <w:t>5.1.6.2.36</w:t>
      </w:r>
      <w:r>
        <w:tab/>
        <w:t>Type AnalyticsMetadata</w:t>
      </w:r>
      <w:r>
        <w:rPr>
          <w:lang w:eastAsia="zh-CN"/>
        </w:rPr>
        <w:t>Indication</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030B9BBF" w14:textId="77777777" w:rsidR="00A10B25" w:rsidRDefault="00A10B25">
      <w:pPr>
        <w:pStyle w:val="TH"/>
      </w:pPr>
      <w:r>
        <w:t>Table 5.1.6.2.36-1: Definition of type AnalyticsMetadata</w:t>
      </w:r>
      <w:r>
        <w:rPr>
          <w:lang w:eastAsia="zh-CN"/>
        </w:rPr>
        <w:t>Indication</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ABBDA6B" w14:textId="77777777">
        <w:trPr>
          <w:jc w:val="center"/>
        </w:trPr>
        <w:tc>
          <w:tcPr>
            <w:tcW w:w="1628" w:type="dxa"/>
            <w:shd w:val="clear" w:color="auto" w:fill="C0C0C0"/>
          </w:tcPr>
          <w:p w14:paraId="6F62A861" w14:textId="77777777" w:rsidR="00A10B25" w:rsidRDefault="00A10B25">
            <w:pPr>
              <w:pStyle w:val="TAH"/>
            </w:pPr>
            <w:r>
              <w:t>Attribute name</w:t>
            </w:r>
          </w:p>
        </w:tc>
        <w:tc>
          <w:tcPr>
            <w:tcW w:w="1701" w:type="dxa"/>
            <w:shd w:val="clear" w:color="auto" w:fill="C0C0C0"/>
          </w:tcPr>
          <w:p w14:paraId="36E281B5" w14:textId="77777777" w:rsidR="00A10B25" w:rsidRDefault="00A10B25">
            <w:pPr>
              <w:pStyle w:val="TAH"/>
            </w:pPr>
            <w:r>
              <w:t>Data type</w:t>
            </w:r>
          </w:p>
        </w:tc>
        <w:tc>
          <w:tcPr>
            <w:tcW w:w="426" w:type="dxa"/>
            <w:shd w:val="clear" w:color="auto" w:fill="C0C0C0"/>
          </w:tcPr>
          <w:p w14:paraId="2A96DFE3" w14:textId="77777777" w:rsidR="00A10B25" w:rsidRDefault="00A10B25">
            <w:pPr>
              <w:pStyle w:val="TAH"/>
            </w:pPr>
            <w:r>
              <w:t>P</w:t>
            </w:r>
          </w:p>
        </w:tc>
        <w:tc>
          <w:tcPr>
            <w:tcW w:w="1134" w:type="dxa"/>
            <w:shd w:val="clear" w:color="auto" w:fill="C0C0C0"/>
          </w:tcPr>
          <w:p w14:paraId="7917C6DA" w14:textId="77777777" w:rsidR="00A10B25" w:rsidRDefault="00A10B25">
            <w:pPr>
              <w:pStyle w:val="TAH"/>
            </w:pPr>
            <w:r>
              <w:t>Cardinality</w:t>
            </w:r>
          </w:p>
        </w:tc>
        <w:tc>
          <w:tcPr>
            <w:tcW w:w="2976" w:type="dxa"/>
            <w:shd w:val="clear" w:color="auto" w:fill="C0C0C0"/>
          </w:tcPr>
          <w:p w14:paraId="20348CA9" w14:textId="77777777" w:rsidR="00A10B25" w:rsidRDefault="00A10B25">
            <w:pPr>
              <w:pStyle w:val="TAH"/>
              <w:rPr>
                <w:rFonts w:cs="Arial"/>
                <w:szCs w:val="18"/>
              </w:rPr>
            </w:pPr>
            <w:r>
              <w:rPr>
                <w:rFonts w:cs="Arial"/>
                <w:szCs w:val="18"/>
              </w:rPr>
              <w:t>Description</w:t>
            </w:r>
          </w:p>
        </w:tc>
        <w:tc>
          <w:tcPr>
            <w:tcW w:w="1628" w:type="dxa"/>
            <w:shd w:val="clear" w:color="auto" w:fill="C0C0C0"/>
          </w:tcPr>
          <w:p w14:paraId="1B0505CA" w14:textId="77777777" w:rsidR="00A10B25" w:rsidRDefault="00A10B25">
            <w:pPr>
              <w:pStyle w:val="TAH"/>
              <w:rPr>
                <w:rFonts w:cs="Arial"/>
                <w:szCs w:val="18"/>
              </w:rPr>
            </w:pPr>
            <w:r>
              <w:rPr>
                <w:rFonts w:cs="Arial"/>
                <w:szCs w:val="18"/>
              </w:rPr>
              <w:t>Applicability</w:t>
            </w:r>
          </w:p>
        </w:tc>
      </w:tr>
      <w:tr w:rsidR="00A10B25" w14:paraId="452AE875" w14:textId="77777777">
        <w:trPr>
          <w:jc w:val="center"/>
        </w:trPr>
        <w:tc>
          <w:tcPr>
            <w:tcW w:w="1628" w:type="dxa"/>
          </w:tcPr>
          <w:p w14:paraId="03B71204" w14:textId="77777777" w:rsidR="00A10B25" w:rsidRDefault="00A10B25">
            <w:pPr>
              <w:pStyle w:val="TAL"/>
            </w:pPr>
            <w:r>
              <w:t>dataWindow</w:t>
            </w:r>
          </w:p>
        </w:tc>
        <w:tc>
          <w:tcPr>
            <w:tcW w:w="1701" w:type="dxa"/>
          </w:tcPr>
          <w:p w14:paraId="213AE072" w14:textId="77777777" w:rsidR="00A10B25" w:rsidRDefault="00A10B25">
            <w:pPr>
              <w:pStyle w:val="TAL"/>
            </w:pPr>
            <w:r>
              <w:t>TimeWindow</w:t>
            </w:r>
          </w:p>
        </w:tc>
        <w:tc>
          <w:tcPr>
            <w:tcW w:w="426" w:type="dxa"/>
          </w:tcPr>
          <w:p w14:paraId="6AC149B5" w14:textId="77777777" w:rsidR="00A10B25" w:rsidRDefault="00A10B25">
            <w:pPr>
              <w:pStyle w:val="TAL"/>
              <w:jc w:val="center"/>
              <w:rPr>
                <w:lang w:eastAsia="zh-CN"/>
              </w:rPr>
            </w:pPr>
            <w:r>
              <w:rPr>
                <w:lang w:eastAsia="zh-CN"/>
              </w:rPr>
              <w:t>O</w:t>
            </w:r>
          </w:p>
        </w:tc>
        <w:tc>
          <w:tcPr>
            <w:tcW w:w="1134" w:type="dxa"/>
          </w:tcPr>
          <w:p w14:paraId="14358BDC" w14:textId="77777777" w:rsidR="00A10B25" w:rsidRDefault="00A10B25">
            <w:pPr>
              <w:pStyle w:val="TAL"/>
            </w:pPr>
            <w:r>
              <w:t>0..1</w:t>
            </w:r>
          </w:p>
        </w:tc>
        <w:tc>
          <w:tcPr>
            <w:tcW w:w="2976" w:type="dxa"/>
          </w:tcPr>
          <w:p w14:paraId="654327FF" w14:textId="77777777" w:rsidR="00A10B25" w:rsidRDefault="00A10B25">
            <w:pPr>
              <w:pStyle w:val="TAL"/>
              <w:rPr>
                <w:rFonts w:cs="Arial"/>
                <w:szCs w:val="18"/>
              </w:rPr>
            </w:pPr>
            <w:r>
              <w:rPr>
                <w:lang w:eastAsia="ko-KR"/>
              </w:rPr>
              <w:t>Data time window of the data samples.</w:t>
            </w:r>
          </w:p>
        </w:tc>
        <w:tc>
          <w:tcPr>
            <w:tcW w:w="1628" w:type="dxa"/>
          </w:tcPr>
          <w:p w14:paraId="5C6260DD" w14:textId="77777777" w:rsidR="00A10B25" w:rsidRDefault="00A10B25">
            <w:pPr>
              <w:pStyle w:val="TAL"/>
              <w:rPr>
                <w:rFonts w:cs="Arial"/>
                <w:szCs w:val="18"/>
              </w:rPr>
            </w:pPr>
          </w:p>
        </w:tc>
      </w:tr>
      <w:tr w:rsidR="00A10B25" w14:paraId="5A7F0944" w14:textId="77777777">
        <w:trPr>
          <w:jc w:val="center"/>
        </w:trPr>
        <w:tc>
          <w:tcPr>
            <w:tcW w:w="1628" w:type="dxa"/>
          </w:tcPr>
          <w:p w14:paraId="1A24B91B" w14:textId="77777777" w:rsidR="00A10B25" w:rsidRDefault="00A10B25">
            <w:pPr>
              <w:pStyle w:val="TAL"/>
            </w:pPr>
            <w:r>
              <w:t>dataStatProps</w:t>
            </w:r>
          </w:p>
        </w:tc>
        <w:tc>
          <w:tcPr>
            <w:tcW w:w="1701" w:type="dxa"/>
          </w:tcPr>
          <w:p w14:paraId="0DDE0A2B" w14:textId="77777777" w:rsidR="00A10B25" w:rsidRDefault="00A10B25">
            <w:pPr>
              <w:pStyle w:val="TAL"/>
            </w:pPr>
            <w:r>
              <w:t>array(DatasetStatisticalProperty)</w:t>
            </w:r>
          </w:p>
        </w:tc>
        <w:tc>
          <w:tcPr>
            <w:tcW w:w="426" w:type="dxa"/>
          </w:tcPr>
          <w:p w14:paraId="1A38C06E" w14:textId="77777777" w:rsidR="00A10B25" w:rsidRDefault="00A10B25">
            <w:pPr>
              <w:pStyle w:val="TAL"/>
              <w:jc w:val="center"/>
              <w:rPr>
                <w:lang w:eastAsia="zh-CN"/>
              </w:rPr>
            </w:pPr>
            <w:r>
              <w:rPr>
                <w:lang w:eastAsia="zh-CN"/>
              </w:rPr>
              <w:t>O</w:t>
            </w:r>
          </w:p>
        </w:tc>
        <w:tc>
          <w:tcPr>
            <w:tcW w:w="1134" w:type="dxa"/>
          </w:tcPr>
          <w:p w14:paraId="0E3B0744" w14:textId="77777777" w:rsidR="00A10B25" w:rsidRDefault="00A10B25">
            <w:pPr>
              <w:pStyle w:val="TAL"/>
            </w:pPr>
            <w:r>
              <w:t>1..N</w:t>
            </w:r>
          </w:p>
        </w:tc>
        <w:tc>
          <w:tcPr>
            <w:tcW w:w="2976" w:type="dxa"/>
          </w:tcPr>
          <w:p w14:paraId="0992843D" w14:textId="77777777" w:rsidR="00A10B25" w:rsidRDefault="00A10B25">
            <w:pPr>
              <w:pStyle w:val="TAL"/>
              <w:rPr>
                <w:lang w:eastAsia="ko-KR"/>
              </w:rPr>
            </w:pPr>
            <w:r>
              <w:rPr>
                <w:lang w:eastAsia="ko-KR"/>
              </w:rPr>
              <w:t>List of dataset statistical properties of the data to be used to generate the analytics.</w:t>
            </w:r>
          </w:p>
        </w:tc>
        <w:tc>
          <w:tcPr>
            <w:tcW w:w="1628" w:type="dxa"/>
          </w:tcPr>
          <w:p w14:paraId="54E7C50B" w14:textId="77777777" w:rsidR="00A10B25" w:rsidRDefault="00A10B25">
            <w:pPr>
              <w:pStyle w:val="TAL"/>
              <w:rPr>
                <w:rFonts w:cs="Arial"/>
                <w:szCs w:val="18"/>
              </w:rPr>
            </w:pPr>
          </w:p>
        </w:tc>
      </w:tr>
      <w:tr w:rsidR="00A10B25" w14:paraId="01F219D3" w14:textId="77777777">
        <w:trPr>
          <w:jc w:val="center"/>
        </w:trPr>
        <w:tc>
          <w:tcPr>
            <w:tcW w:w="1628" w:type="dxa"/>
          </w:tcPr>
          <w:p w14:paraId="5693607A" w14:textId="77777777" w:rsidR="00A10B25" w:rsidRDefault="00A10B25">
            <w:pPr>
              <w:pStyle w:val="TAL"/>
            </w:pPr>
            <w:r>
              <w:t>strategy</w:t>
            </w:r>
          </w:p>
        </w:tc>
        <w:tc>
          <w:tcPr>
            <w:tcW w:w="1701" w:type="dxa"/>
          </w:tcPr>
          <w:p w14:paraId="6EE8FBF0" w14:textId="77777777" w:rsidR="00A10B25" w:rsidRDefault="00A10B25">
            <w:pPr>
              <w:pStyle w:val="TAL"/>
            </w:pPr>
            <w:r>
              <w:t>OutputStrategy</w:t>
            </w:r>
          </w:p>
        </w:tc>
        <w:tc>
          <w:tcPr>
            <w:tcW w:w="426" w:type="dxa"/>
          </w:tcPr>
          <w:p w14:paraId="7B161B4C" w14:textId="77777777" w:rsidR="00A10B25" w:rsidRDefault="00A10B25">
            <w:pPr>
              <w:pStyle w:val="TAL"/>
              <w:jc w:val="center"/>
              <w:rPr>
                <w:lang w:eastAsia="zh-CN"/>
              </w:rPr>
            </w:pPr>
            <w:r>
              <w:rPr>
                <w:lang w:eastAsia="zh-CN"/>
              </w:rPr>
              <w:t>O</w:t>
            </w:r>
          </w:p>
        </w:tc>
        <w:tc>
          <w:tcPr>
            <w:tcW w:w="1134" w:type="dxa"/>
          </w:tcPr>
          <w:p w14:paraId="1A222F38" w14:textId="77777777" w:rsidR="00A10B25" w:rsidRDefault="00A10B25">
            <w:pPr>
              <w:pStyle w:val="TAL"/>
            </w:pPr>
            <w:r>
              <w:t>0..1</w:t>
            </w:r>
          </w:p>
        </w:tc>
        <w:tc>
          <w:tcPr>
            <w:tcW w:w="2976" w:type="dxa"/>
          </w:tcPr>
          <w:p w14:paraId="2C7A2D85" w14:textId="77777777" w:rsidR="00A10B25" w:rsidRDefault="00A10B25">
            <w:pPr>
              <w:pStyle w:val="TAL"/>
              <w:rPr>
                <w:lang w:eastAsia="ko-KR"/>
              </w:rPr>
            </w:pPr>
            <w:r>
              <w:rPr>
                <w:lang w:eastAsia="ko-KR"/>
              </w:rPr>
              <w:t>Output strategy to be used for the reporting of the analytics.</w:t>
            </w:r>
          </w:p>
        </w:tc>
        <w:tc>
          <w:tcPr>
            <w:tcW w:w="1628" w:type="dxa"/>
          </w:tcPr>
          <w:p w14:paraId="6631074E" w14:textId="77777777" w:rsidR="00A10B25" w:rsidRDefault="00A10B25">
            <w:pPr>
              <w:pStyle w:val="TAL"/>
              <w:rPr>
                <w:rFonts w:cs="Arial"/>
                <w:szCs w:val="18"/>
              </w:rPr>
            </w:pPr>
          </w:p>
        </w:tc>
      </w:tr>
      <w:tr w:rsidR="00A10B25" w14:paraId="26CF44D1" w14:textId="77777777">
        <w:trPr>
          <w:jc w:val="center"/>
        </w:trPr>
        <w:tc>
          <w:tcPr>
            <w:tcW w:w="1628" w:type="dxa"/>
          </w:tcPr>
          <w:p w14:paraId="3FD56900" w14:textId="77777777" w:rsidR="00A10B25" w:rsidRDefault="00A10B25">
            <w:pPr>
              <w:pStyle w:val="TAL"/>
            </w:pPr>
            <w:r>
              <w:t>aggrNwdafIds</w:t>
            </w:r>
          </w:p>
        </w:tc>
        <w:tc>
          <w:tcPr>
            <w:tcW w:w="1701" w:type="dxa"/>
          </w:tcPr>
          <w:p w14:paraId="792A0B6D" w14:textId="77777777" w:rsidR="00A10B25" w:rsidRDefault="00A10B25">
            <w:pPr>
              <w:pStyle w:val="TAL"/>
            </w:pPr>
            <w:r>
              <w:t>array(NfInstanceId)</w:t>
            </w:r>
          </w:p>
        </w:tc>
        <w:tc>
          <w:tcPr>
            <w:tcW w:w="426" w:type="dxa"/>
          </w:tcPr>
          <w:p w14:paraId="5D05510D" w14:textId="77777777" w:rsidR="00A10B25" w:rsidRDefault="00A10B25">
            <w:pPr>
              <w:pStyle w:val="TAL"/>
              <w:jc w:val="center"/>
            </w:pPr>
            <w:r>
              <w:t>O</w:t>
            </w:r>
          </w:p>
        </w:tc>
        <w:tc>
          <w:tcPr>
            <w:tcW w:w="1134" w:type="dxa"/>
          </w:tcPr>
          <w:p w14:paraId="300354B0" w14:textId="77777777" w:rsidR="00A10B25" w:rsidRDefault="00A10B25">
            <w:pPr>
              <w:pStyle w:val="TAL"/>
            </w:pPr>
            <w:r>
              <w:t>1..N</w:t>
            </w:r>
          </w:p>
        </w:tc>
        <w:tc>
          <w:tcPr>
            <w:tcW w:w="2976" w:type="dxa"/>
          </w:tcPr>
          <w:p w14:paraId="0AD4AC2C" w14:textId="77777777" w:rsidR="00A10B25" w:rsidRDefault="00A10B25">
            <w:pPr>
              <w:pStyle w:val="TAL"/>
              <w:rPr>
                <w:lang w:eastAsia="zh-CN"/>
              </w:rPr>
            </w:pPr>
            <w:r>
              <w:rPr>
                <w:lang w:eastAsia="ko-KR"/>
              </w:rPr>
              <w:t>NWDAF identifiers of NWDAF instances used by the NWDAF service consumer when aggregating multiple analytics subscriptions.</w:t>
            </w:r>
          </w:p>
        </w:tc>
        <w:tc>
          <w:tcPr>
            <w:tcW w:w="1628" w:type="dxa"/>
          </w:tcPr>
          <w:p w14:paraId="1BDDCB5C" w14:textId="77777777" w:rsidR="00A10B25" w:rsidRDefault="00A10B25">
            <w:pPr>
              <w:pStyle w:val="TAL"/>
              <w:rPr>
                <w:rFonts w:cs="Arial"/>
                <w:szCs w:val="18"/>
              </w:rPr>
            </w:pPr>
          </w:p>
        </w:tc>
      </w:tr>
    </w:tbl>
    <w:p w14:paraId="788FC8D5" w14:textId="77777777" w:rsidR="00A10B25" w:rsidRDefault="00A10B25"/>
    <w:p w14:paraId="3F189B73" w14:textId="77777777" w:rsidR="00A10B25" w:rsidRDefault="00A10B25">
      <w:pPr>
        <w:pStyle w:val="5"/>
      </w:pPr>
      <w:bookmarkStart w:id="6938" w:name="_Toc104539038"/>
      <w:bookmarkStart w:id="6939" w:name="_Toc85557114"/>
      <w:bookmarkStart w:id="6940" w:name="_Toc113031700"/>
      <w:bookmarkStart w:id="6941" w:name="_Toc90655901"/>
      <w:bookmarkStart w:id="6942" w:name="_Toc98233669"/>
      <w:bookmarkStart w:id="6943" w:name="_Toc120702339"/>
      <w:bookmarkStart w:id="6944" w:name="_Toc101244445"/>
      <w:bookmarkStart w:id="6945" w:name="_Toc112951160"/>
      <w:bookmarkStart w:id="6946" w:name="_Toc148522631"/>
      <w:bookmarkStart w:id="6947" w:name="_Toc136562406"/>
      <w:bookmarkStart w:id="6948" w:name="_Toc138754240"/>
      <w:bookmarkStart w:id="6949" w:name="_Toc88667616"/>
      <w:bookmarkStart w:id="6950" w:name="_Toc114133839"/>
      <w:bookmarkStart w:id="6951" w:name="_Toc83233105"/>
      <w:bookmarkStart w:id="6952" w:name="_Toc94064284"/>
      <w:bookmarkStart w:id="6953" w:name="_Toc85553015"/>
      <w:bookmarkStart w:id="6954" w:name="_Toc145705727"/>
      <w:bookmarkStart w:id="6955" w:name="_Toc164920811"/>
      <w:bookmarkStart w:id="6956" w:name="_Toc170120353"/>
      <w:bookmarkStart w:id="6957" w:name="_Toc175858598"/>
      <w:bookmarkStart w:id="6958" w:name="_Toc175859671"/>
      <w:bookmarkStart w:id="6959" w:name="_Toc180605961"/>
      <w:bookmarkStart w:id="6960" w:name="_Toc185517215"/>
      <w:bookmarkStart w:id="6961" w:name="_Toc191576266"/>
      <w:bookmarkStart w:id="6962" w:name="_Toc191577006"/>
      <w:bookmarkStart w:id="6963" w:name="_Toc192880076"/>
      <w:bookmarkStart w:id="6964" w:name="_Toc195814959"/>
      <w:bookmarkStart w:id="6965" w:name="_Toc199452926"/>
      <w:r>
        <w:lastRenderedPageBreak/>
        <w:t>5.1.6.2.37</w:t>
      </w:r>
      <w:r>
        <w:tab/>
        <w:t>Type AnalyticsMetadata</w:t>
      </w:r>
      <w:r>
        <w:rPr>
          <w:lang w:eastAsia="zh-CN"/>
        </w:rPr>
        <w:t>Info</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2E105F39" w14:textId="77777777" w:rsidR="00A10B25" w:rsidRDefault="00A10B25">
      <w:pPr>
        <w:pStyle w:val="TH"/>
      </w:pPr>
      <w:r>
        <w:t>Table 5.1.6.2.37-1: Definition of type AnalyticsMetadata</w:t>
      </w:r>
      <w:r>
        <w:rPr>
          <w:lang w:eastAsia="zh-CN"/>
        </w:rPr>
        <w:t>Info</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F32F7CC" w14:textId="77777777">
        <w:trPr>
          <w:jc w:val="center"/>
        </w:trPr>
        <w:tc>
          <w:tcPr>
            <w:tcW w:w="1628" w:type="dxa"/>
            <w:shd w:val="clear" w:color="auto" w:fill="C0C0C0"/>
          </w:tcPr>
          <w:p w14:paraId="4521DC62" w14:textId="77777777" w:rsidR="00A10B25" w:rsidRDefault="00A10B25">
            <w:pPr>
              <w:pStyle w:val="TAH"/>
            </w:pPr>
            <w:r>
              <w:t>Attribute name</w:t>
            </w:r>
          </w:p>
        </w:tc>
        <w:tc>
          <w:tcPr>
            <w:tcW w:w="1701" w:type="dxa"/>
            <w:shd w:val="clear" w:color="auto" w:fill="C0C0C0"/>
          </w:tcPr>
          <w:p w14:paraId="3F106ACD" w14:textId="77777777" w:rsidR="00A10B25" w:rsidRDefault="00A10B25">
            <w:pPr>
              <w:pStyle w:val="TAH"/>
            </w:pPr>
            <w:r>
              <w:t>Data type</w:t>
            </w:r>
          </w:p>
        </w:tc>
        <w:tc>
          <w:tcPr>
            <w:tcW w:w="426" w:type="dxa"/>
            <w:shd w:val="clear" w:color="auto" w:fill="C0C0C0"/>
          </w:tcPr>
          <w:p w14:paraId="73DE1416" w14:textId="77777777" w:rsidR="00A10B25" w:rsidRDefault="00A10B25">
            <w:pPr>
              <w:pStyle w:val="TAH"/>
            </w:pPr>
            <w:r>
              <w:t>P</w:t>
            </w:r>
          </w:p>
        </w:tc>
        <w:tc>
          <w:tcPr>
            <w:tcW w:w="1134" w:type="dxa"/>
            <w:shd w:val="clear" w:color="auto" w:fill="C0C0C0"/>
          </w:tcPr>
          <w:p w14:paraId="29B57320" w14:textId="77777777" w:rsidR="00A10B25" w:rsidRDefault="00A10B25">
            <w:pPr>
              <w:pStyle w:val="TAH"/>
            </w:pPr>
            <w:r>
              <w:t>Cardinality</w:t>
            </w:r>
          </w:p>
        </w:tc>
        <w:tc>
          <w:tcPr>
            <w:tcW w:w="2976" w:type="dxa"/>
            <w:shd w:val="clear" w:color="auto" w:fill="C0C0C0"/>
          </w:tcPr>
          <w:p w14:paraId="310E5217" w14:textId="77777777" w:rsidR="00A10B25" w:rsidRDefault="00A10B25">
            <w:pPr>
              <w:pStyle w:val="TAH"/>
              <w:rPr>
                <w:rFonts w:cs="Arial"/>
                <w:szCs w:val="18"/>
              </w:rPr>
            </w:pPr>
            <w:r>
              <w:rPr>
                <w:rFonts w:cs="Arial"/>
                <w:szCs w:val="18"/>
              </w:rPr>
              <w:t>Description</w:t>
            </w:r>
          </w:p>
        </w:tc>
        <w:tc>
          <w:tcPr>
            <w:tcW w:w="1628" w:type="dxa"/>
            <w:shd w:val="clear" w:color="auto" w:fill="C0C0C0"/>
          </w:tcPr>
          <w:p w14:paraId="0D70106E" w14:textId="77777777" w:rsidR="00A10B25" w:rsidRDefault="00A10B25">
            <w:pPr>
              <w:pStyle w:val="TAH"/>
              <w:rPr>
                <w:rFonts w:cs="Arial"/>
                <w:szCs w:val="18"/>
              </w:rPr>
            </w:pPr>
            <w:r>
              <w:rPr>
                <w:rFonts w:cs="Arial"/>
                <w:szCs w:val="18"/>
              </w:rPr>
              <w:t>Applicability</w:t>
            </w:r>
          </w:p>
        </w:tc>
      </w:tr>
      <w:tr w:rsidR="00A10B25" w14:paraId="5E4FBA75" w14:textId="77777777">
        <w:trPr>
          <w:jc w:val="center"/>
        </w:trPr>
        <w:tc>
          <w:tcPr>
            <w:tcW w:w="1628" w:type="dxa"/>
          </w:tcPr>
          <w:p w14:paraId="01590A8E" w14:textId="77777777" w:rsidR="00A10B25" w:rsidRDefault="00A10B25">
            <w:pPr>
              <w:pStyle w:val="TAL"/>
            </w:pPr>
            <w:r>
              <w:t>numSamples</w:t>
            </w:r>
          </w:p>
        </w:tc>
        <w:tc>
          <w:tcPr>
            <w:tcW w:w="1701" w:type="dxa"/>
          </w:tcPr>
          <w:p w14:paraId="4FF69AF7" w14:textId="77777777" w:rsidR="00A10B25" w:rsidRDefault="00A10B25">
            <w:pPr>
              <w:pStyle w:val="TAL"/>
            </w:pPr>
            <w:r>
              <w:t>Uinteger</w:t>
            </w:r>
          </w:p>
        </w:tc>
        <w:tc>
          <w:tcPr>
            <w:tcW w:w="426" w:type="dxa"/>
          </w:tcPr>
          <w:p w14:paraId="42A3C41B" w14:textId="77777777" w:rsidR="00A10B25" w:rsidRDefault="00A10B25">
            <w:pPr>
              <w:pStyle w:val="TAL"/>
              <w:jc w:val="center"/>
            </w:pPr>
            <w:r>
              <w:t>O</w:t>
            </w:r>
          </w:p>
        </w:tc>
        <w:tc>
          <w:tcPr>
            <w:tcW w:w="1134" w:type="dxa"/>
          </w:tcPr>
          <w:p w14:paraId="1FA724F7" w14:textId="77777777" w:rsidR="00A10B25" w:rsidRDefault="00A10B25">
            <w:pPr>
              <w:pStyle w:val="TAL"/>
            </w:pPr>
            <w:r>
              <w:t>0..1</w:t>
            </w:r>
          </w:p>
        </w:tc>
        <w:tc>
          <w:tcPr>
            <w:tcW w:w="2976" w:type="dxa"/>
          </w:tcPr>
          <w:p w14:paraId="6A41D372" w14:textId="77777777" w:rsidR="00A10B25" w:rsidRDefault="00A10B25">
            <w:pPr>
              <w:pStyle w:val="TAL"/>
              <w:rPr>
                <w:rFonts w:cs="Arial"/>
                <w:szCs w:val="18"/>
              </w:rPr>
            </w:pPr>
            <w:r>
              <w:rPr>
                <w:lang w:eastAsia="ko-KR"/>
              </w:rPr>
              <w:t>Number of data samples used for the generation of the output analytics.</w:t>
            </w:r>
          </w:p>
        </w:tc>
        <w:tc>
          <w:tcPr>
            <w:tcW w:w="1628" w:type="dxa"/>
          </w:tcPr>
          <w:p w14:paraId="7A59B3B2" w14:textId="77777777" w:rsidR="00A10B25" w:rsidRDefault="00A10B25">
            <w:pPr>
              <w:pStyle w:val="TAL"/>
              <w:rPr>
                <w:rFonts w:cs="Arial"/>
                <w:szCs w:val="18"/>
              </w:rPr>
            </w:pPr>
          </w:p>
        </w:tc>
      </w:tr>
      <w:tr w:rsidR="00A10B25" w14:paraId="7473A200" w14:textId="77777777">
        <w:trPr>
          <w:jc w:val="center"/>
        </w:trPr>
        <w:tc>
          <w:tcPr>
            <w:tcW w:w="1628" w:type="dxa"/>
          </w:tcPr>
          <w:p w14:paraId="33B11204" w14:textId="77777777" w:rsidR="00A10B25" w:rsidRDefault="00A10B25">
            <w:pPr>
              <w:pStyle w:val="TAL"/>
            </w:pPr>
            <w:r>
              <w:t>dataWindow</w:t>
            </w:r>
          </w:p>
        </w:tc>
        <w:tc>
          <w:tcPr>
            <w:tcW w:w="1701" w:type="dxa"/>
          </w:tcPr>
          <w:p w14:paraId="2B0CF26E" w14:textId="77777777" w:rsidR="00A10B25" w:rsidRDefault="00A10B25">
            <w:pPr>
              <w:pStyle w:val="TAL"/>
            </w:pPr>
            <w:r>
              <w:t>TimeWindow</w:t>
            </w:r>
          </w:p>
        </w:tc>
        <w:tc>
          <w:tcPr>
            <w:tcW w:w="426" w:type="dxa"/>
          </w:tcPr>
          <w:p w14:paraId="2ABD2AAC" w14:textId="77777777" w:rsidR="00A10B25" w:rsidRDefault="00A10B25">
            <w:pPr>
              <w:pStyle w:val="TAL"/>
              <w:jc w:val="center"/>
              <w:rPr>
                <w:lang w:eastAsia="zh-CN"/>
              </w:rPr>
            </w:pPr>
            <w:r>
              <w:rPr>
                <w:lang w:eastAsia="zh-CN"/>
              </w:rPr>
              <w:t>O</w:t>
            </w:r>
          </w:p>
        </w:tc>
        <w:tc>
          <w:tcPr>
            <w:tcW w:w="1134" w:type="dxa"/>
          </w:tcPr>
          <w:p w14:paraId="361AD19E" w14:textId="77777777" w:rsidR="00A10B25" w:rsidRDefault="00A10B25">
            <w:pPr>
              <w:pStyle w:val="TAL"/>
            </w:pPr>
            <w:r>
              <w:t>0..1</w:t>
            </w:r>
          </w:p>
        </w:tc>
        <w:tc>
          <w:tcPr>
            <w:tcW w:w="2976" w:type="dxa"/>
          </w:tcPr>
          <w:p w14:paraId="3DE858AA" w14:textId="77777777" w:rsidR="00A10B25" w:rsidRDefault="00A10B25">
            <w:pPr>
              <w:pStyle w:val="TAL"/>
              <w:rPr>
                <w:rFonts w:cs="Arial"/>
                <w:szCs w:val="18"/>
              </w:rPr>
            </w:pPr>
            <w:r>
              <w:rPr>
                <w:lang w:eastAsia="ko-KR"/>
              </w:rPr>
              <w:t>Data time window of the data samples.</w:t>
            </w:r>
          </w:p>
        </w:tc>
        <w:tc>
          <w:tcPr>
            <w:tcW w:w="1628" w:type="dxa"/>
          </w:tcPr>
          <w:p w14:paraId="159E496D" w14:textId="77777777" w:rsidR="00A10B25" w:rsidRDefault="00A10B25">
            <w:pPr>
              <w:pStyle w:val="TAL"/>
              <w:rPr>
                <w:rFonts w:cs="Arial"/>
                <w:szCs w:val="18"/>
              </w:rPr>
            </w:pPr>
          </w:p>
        </w:tc>
      </w:tr>
      <w:tr w:rsidR="00A10B25" w14:paraId="230C5F83" w14:textId="77777777">
        <w:trPr>
          <w:jc w:val="center"/>
        </w:trPr>
        <w:tc>
          <w:tcPr>
            <w:tcW w:w="1628" w:type="dxa"/>
          </w:tcPr>
          <w:p w14:paraId="131ADE2D" w14:textId="77777777" w:rsidR="00A10B25" w:rsidRDefault="00A10B25">
            <w:pPr>
              <w:pStyle w:val="TAL"/>
            </w:pPr>
            <w:r>
              <w:t>dataStatProps</w:t>
            </w:r>
          </w:p>
        </w:tc>
        <w:tc>
          <w:tcPr>
            <w:tcW w:w="1701" w:type="dxa"/>
          </w:tcPr>
          <w:p w14:paraId="08CA27B6" w14:textId="77777777" w:rsidR="00A10B25" w:rsidRDefault="00A10B25">
            <w:pPr>
              <w:pStyle w:val="TAL"/>
            </w:pPr>
            <w:r>
              <w:t>array(DatasetStatisticalProperty)</w:t>
            </w:r>
          </w:p>
        </w:tc>
        <w:tc>
          <w:tcPr>
            <w:tcW w:w="426" w:type="dxa"/>
          </w:tcPr>
          <w:p w14:paraId="4E622FE8" w14:textId="77777777" w:rsidR="00A10B25" w:rsidRDefault="00A10B25">
            <w:pPr>
              <w:pStyle w:val="TAL"/>
              <w:jc w:val="center"/>
              <w:rPr>
                <w:lang w:eastAsia="zh-CN"/>
              </w:rPr>
            </w:pPr>
            <w:r>
              <w:rPr>
                <w:lang w:eastAsia="zh-CN"/>
              </w:rPr>
              <w:t>O</w:t>
            </w:r>
          </w:p>
        </w:tc>
        <w:tc>
          <w:tcPr>
            <w:tcW w:w="1134" w:type="dxa"/>
          </w:tcPr>
          <w:p w14:paraId="27D4B95D" w14:textId="77777777" w:rsidR="00A10B25" w:rsidRDefault="00A10B25">
            <w:pPr>
              <w:pStyle w:val="TAL"/>
            </w:pPr>
            <w:r>
              <w:t>1..N</w:t>
            </w:r>
          </w:p>
        </w:tc>
        <w:tc>
          <w:tcPr>
            <w:tcW w:w="2976" w:type="dxa"/>
          </w:tcPr>
          <w:p w14:paraId="26D7F5B6" w14:textId="77777777" w:rsidR="00A10B25" w:rsidRDefault="00A10B25">
            <w:pPr>
              <w:pStyle w:val="TAL"/>
              <w:rPr>
                <w:lang w:eastAsia="ko-KR"/>
              </w:rPr>
            </w:pPr>
            <w:r>
              <w:rPr>
                <w:lang w:eastAsia="ko-KR"/>
              </w:rPr>
              <w:t>List of dataset statistical properties of the data used to generate the analytics.</w:t>
            </w:r>
          </w:p>
        </w:tc>
        <w:tc>
          <w:tcPr>
            <w:tcW w:w="1628" w:type="dxa"/>
          </w:tcPr>
          <w:p w14:paraId="45FA0130" w14:textId="77777777" w:rsidR="00A10B25" w:rsidRDefault="00A10B25">
            <w:pPr>
              <w:pStyle w:val="TAL"/>
              <w:rPr>
                <w:rFonts w:cs="Arial"/>
                <w:szCs w:val="18"/>
              </w:rPr>
            </w:pPr>
          </w:p>
        </w:tc>
      </w:tr>
      <w:tr w:rsidR="00A10B25" w14:paraId="1F057003" w14:textId="77777777">
        <w:trPr>
          <w:jc w:val="center"/>
        </w:trPr>
        <w:tc>
          <w:tcPr>
            <w:tcW w:w="1628" w:type="dxa"/>
          </w:tcPr>
          <w:p w14:paraId="2CB8EC99" w14:textId="77777777" w:rsidR="00A10B25" w:rsidRDefault="00A10B25">
            <w:pPr>
              <w:pStyle w:val="TAL"/>
            </w:pPr>
            <w:r>
              <w:t>strategy</w:t>
            </w:r>
          </w:p>
        </w:tc>
        <w:tc>
          <w:tcPr>
            <w:tcW w:w="1701" w:type="dxa"/>
          </w:tcPr>
          <w:p w14:paraId="4D597269" w14:textId="77777777" w:rsidR="00A10B25" w:rsidRDefault="00A10B25">
            <w:pPr>
              <w:pStyle w:val="TAL"/>
            </w:pPr>
            <w:r>
              <w:t>OutputStrategy</w:t>
            </w:r>
          </w:p>
        </w:tc>
        <w:tc>
          <w:tcPr>
            <w:tcW w:w="426" w:type="dxa"/>
          </w:tcPr>
          <w:p w14:paraId="7B871543" w14:textId="77777777" w:rsidR="00A10B25" w:rsidRDefault="00A10B25">
            <w:pPr>
              <w:pStyle w:val="TAL"/>
              <w:jc w:val="center"/>
              <w:rPr>
                <w:lang w:eastAsia="zh-CN"/>
              </w:rPr>
            </w:pPr>
            <w:r>
              <w:rPr>
                <w:lang w:eastAsia="zh-CN"/>
              </w:rPr>
              <w:t>O</w:t>
            </w:r>
          </w:p>
        </w:tc>
        <w:tc>
          <w:tcPr>
            <w:tcW w:w="1134" w:type="dxa"/>
          </w:tcPr>
          <w:p w14:paraId="0847937E" w14:textId="77777777" w:rsidR="00A10B25" w:rsidRDefault="00A10B25">
            <w:pPr>
              <w:pStyle w:val="TAL"/>
            </w:pPr>
            <w:r>
              <w:t>0..1</w:t>
            </w:r>
          </w:p>
        </w:tc>
        <w:tc>
          <w:tcPr>
            <w:tcW w:w="2976" w:type="dxa"/>
          </w:tcPr>
          <w:p w14:paraId="3CF20ED5" w14:textId="77777777" w:rsidR="00A10B25" w:rsidRDefault="00A10B25">
            <w:pPr>
              <w:pStyle w:val="TAL"/>
              <w:rPr>
                <w:lang w:eastAsia="ko-KR"/>
              </w:rPr>
            </w:pPr>
            <w:r>
              <w:rPr>
                <w:lang w:eastAsia="ko-KR"/>
              </w:rPr>
              <w:t>Output strategy used for the reporting of the analytics.</w:t>
            </w:r>
          </w:p>
        </w:tc>
        <w:tc>
          <w:tcPr>
            <w:tcW w:w="1628" w:type="dxa"/>
          </w:tcPr>
          <w:p w14:paraId="2D2FD4DA" w14:textId="77777777" w:rsidR="00A10B25" w:rsidRDefault="00A10B25">
            <w:pPr>
              <w:pStyle w:val="TAL"/>
              <w:rPr>
                <w:rFonts w:cs="Arial"/>
                <w:szCs w:val="18"/>
              </w:rPr>
            </w:pPr>
          </w:p>
        </w:tc>
      </w:tr>
      <w:tr w:rsidR="00A10B25" w14:paraId="21BA95D4" w14:textId="77777777">
        <w:trPr>
          <w:jc w:val="center"/>
        </w:trPr>
        <w:tc>
          <w:tcPr>
            <w:tcW w:w="1628" w:type="dxa"/>
          </w:tcPr>
          <w:p w14:paraId="2EA6DB23" w14:textId="77777777" w:rsidR="00A10B25" w:rsidRDefault="00A10B25">
            <w:pPr>
              <w:pStyle w:val="TAL"/>
            </w:pPr>
            <w:r>
              <w:t>accuracy</w:t>
            </w:r>
          </w:p>
        </w:tc>
        <w:tc>
          <w:tcPr>
            <w:tcW w:w="1701" w:type="dxa"/>
          </w:tcPr>
          <w:p w14:paraId="5231A275" w14:textId="77777777" w:rsidR="00A10B25" w:rsidRDefault="00A10B25">
            <w:pPr>
              <w:pStyle w:val="TAL"/>
            </w:pPr>
            <w:r>
              <w:t>Accuracy</w:t>
            </w:r>
          </w:p>
        </w:tc>
        <w:tc>
          <w:tcPr>
            <w:tcW w:w="426" w:type="dxa"/>
          </w:tcPr>
          <w:p w14:paraId="55324D0D" w14:textId="77777777" w:rsidR="00A10B25" w:rsidRDefault="00A10B25">
            <w:pPr>
              <w:pStyle w:val="TAL"/>
              <w:jc w:val="center"/>
              <w:rPr>
                <w:lang w:eastAsia="zh-CN"/>
              </w:rPr>
            </w:pPr>
            <w:r>
              <w:t>O</w:t>
            </w:r>
          </w:p>
        </w:tc>
        <w:tc>
          <w:tcPr>
            <w:tcW w:w="1134" w:type="dxa"/>
          </w:tcPr>
          <w:p w14:paraId="05C2D0CE" w14:textId="77777777" w:rsidR="00A10B25" w:rsidRDefault="00A10B25">
            <w:pPr>
              <w:pStyle w:val="TAL"/>
            </w:pPr>
            <w:r>
              <w:t>0..1</w:t>
            </w:r>
          </w:p>
        </w:tc>
        <w:tc>
          <w:tcPr>
            <w:tcW w:w="2976" w:type="dxa"/>
          </w:tcPr>
          <w:p w14:paraId="1DD12396" w14:textId="77777777" w:rsidR="00A10B25" w:rsidRDefault="00A10B25">
            <w:pPr>
              <w:pStyle w:val="TAL"/>
              <w:rPr>
                <w:lang w:eastAsia="ko-KR"/>
              </w:rPr>
            </w:pPr>
            <w:r>
              <w:rPr>
                <w:lang w:eastAsia="zh-CN"/>
              </w:rPr>
              <w:t>Level of accuracy reached for the analytics.</w:t>
            </w:r>
          </w:p>
        </w:tc>
        <w:tc>
          <w:tcPr>
            <w:tcW w:w="1628" w:type="dxa"/>
          </w:tcPr>
          <w:p w14:paraId="7B4F0688" w14:textId="77777777" w:rsidR="00A10B25" w:rsidRDefault="00A10B25">
            <w:pPr>
              <w:pStyle w:val="TAL"/>
              <w:rPr>
                <w:rFonts w:cs="Arial"/>
                <w:szCs w:val="18"/>
              </w:rPr>
            </w:pPr>
          </w:p>
        </w:tc>
      </w:tr>
      <w:tr w:rsidR="00BD381F" w14:paraId="4A19FA55" w14:textId="77777777">
        <w:trPr>
          <w:jc w:val="center"/>
        </w:trPr>
        <w:tc>
          <w:tcPr>
            <w:tcW w:w="1628" w:type="dxa"/>
          </w:tcPr>
          <w:p w14:paraId="0E12BAC3" w14:textId="77777777" w:rsidR="00BD381F" w:rsidRDefault="00BD381F" w:rsidP="00BD381F">
            <w:pPr>
              <w:pStyle w:val="TAL"/>
            </w:pPr>
            <w:r>
              <w:t>nfIds</w:t>
            </w:r>
          </w:p>
        </w:tc>
        <w:tc>
          <w:tcPr>
            <w:tcW w:w="1701" w:type="dxa"/>
          </w:tcPr>
          <w:p w14:paraId="7F938F05" w14:textId="77777777" w:rsidR="00BD381F" w:rsidRDefault="00BD381F" w:rsidP="00BD381F">
            <w:pPr>
              <w:pStyle w:val="TAL"/>
            </w:pPr>
            <w:r>
              <w:t>array(NfInstanceId)</w:t>
            </w:r>
          </w:p>
        </w:tc>
        <w:tc>
          <w:tcPr>
            <w:tcW w:w="426" w:type="dxa"/>
          </w:tcPr>
          <w:p w14:paraId="5AE2BE42" w14:textId="77777777" w:rsidR="00BD381F" w:rsidRDefault="00BD381F" w:rsidP="00BD381F">
            <w:pPr>
              <w:pStyle w:val="TAL"/>
              <w:jc w:val="center"/>
            </w:pPr>
            <w:r>
              <w:rPr>
                <w:lang w:eastAsia="zh-CN"/>
              </w:rPr>
              <w:t>O</w:t>
            </w:r>
          </w:p>
        </w:tc>
        <w:tc>
          <w:tcPr>
            <w:tcW w:w="1134" w:type="dxa"/>
          </w:tcPr>
          <w:p w14:paraId="47A9C52A" w14:textId="77777777" w:rsidR="00BD381F" w:rsidRDefault="00BD381F" w:rsidP="00BD381F">
            <w:pPr>
              <w:pStyle w:val="TAL"/>
            </w:pPr>
            <w:r>
              <w:t>1..N</w:t>
            </w:r>
          </w:p>
        </w:tc>
        <w:tc>
          <w:tcPr>
            <w:tcW w:w="2976" w:type="dxa"/>
          </w:tcPr>
          <w:p w14:paraId="56FDB845" w14:textId="77777777" w:rsidR="00BD381F" w:rsidRDefault="00BD381F" w:rsidP="00BD381F">
            <w:pPr>
              <w:pStyle w:val="TAL"/>
              <w:rPr>
                <w:lang w:eastAsia="zh-CN"/>
              </w:rPr>
            </w:pPr>
            <w:r>
              <w:rPr>
                <w:lang w:eastAsia="ko-KR"/>
              </w:rPr>
              <w:t>NF instance identifiers of the data sources.</w:t>
            </w:r>
          </w:p>
        </w:tc>
        <w:tc>
          <w:tcPr>
            <w:tcW w:w="1628" w:type="dxa"/>
          </w:tcPr>
          <w:p w14:paraId="5E930B00" w14:textId="77777777" w:rsidR="00BD381F" w:rsidRDefault="00BD381F" w:rsidP="00BD381F">
            <w:pPr>
              <w:pStyle w:val="TAL"/>
              <w:rPr>
                <w:rFonts w:cs="Arial"/>
                <w:szCs w:val="18"/>
              </w:rPr>
            </w:pPr>
            <w:r>
              <w:rPr>
                <w:lang w:eastAsia="zh-CN"/>
              </w:rPr>
              <w:t>EnAggregation</w:t>
            </w:r>
          </w:p>
        </w:tc>
      </w:tr>
      <w:tr w:rsidR="00BD381F" w14:paraId="52D840AB" w14:textId="77777777">
        <w:trPr>
          <w:jc w:val="center"/>
        </w:trPr>
        <w:tc>
          <w:tcPr>
            <w:tcW w:w="1628" w:type="dxa"/>
          </w:tcPr>
          <w:p w14:paraId="61A567F8" w14:textId="77777777" w:rsidR="00BD381F" w:rsidRDefault="00BD381F" w:rsidP="00BD381F">
            <w:pPr>
              <w:pStyle w:val="TAL"/>
            </w:pPr>
            <w:r>
              <w:t>nfSetIds</w:t>
            </w:r>
          </w:p>
        </w:tc>
        <w:tc>
          <w:tcPr>
            <w:tcW w:w="1701" w:type="dxa"/>
          </w:tcPr>
          <w:p w14:paraId="21926DD0" w14:textId="77777777" w:rsidR="00BD381F" w:rsidRDefault="00BD381F" w:rsidP="00BD381F">
            <w:pPr>
              <w:pStyle w:val="TAL"/>
            </w:pPr>
            <w:r>
              <w:t>array(NfSetId)</w:t>
            </w:r>
          </w:p>
        </w:tc>
        <w:tc>
          <w:tcPr>
            <w:tcW w:w="426" w:type="dxa"/>
          </w:tcPr>
          <w:p w14:paraId="098B7A71" w14:textId="77777777" w:rsidR="00BD381F" w:rsidRDefault="00BD381F" w:rsidP="00BD381F">
            <w:pPr>
              <w:pStyle w:val="TAL"/>
              <w:jc w:val="center"/>
            </w:pPr>
            <w:r>
              <w:rPr>
                <w:lang w:eastAsia="zh-CN"/>
              </w:rPr>
              <w:t>O</w:t>
            </w:r>
          </w:p>
        </w:tc>
        <w:tc>
          <w:tcPr>
            <w:tcW w:w="1134" w:type="dxa"/>
          </w:tcPr>
          <w:p w14:paraId="46E4E52B" w14:textId="77777777" w:rsidR="00BD381F" w:rsidRDefault="00BD381F" w:rsidP="00BD381F">
            <w:pPr>
              <w:pStyle w:val="TAL"/>
            </w:pPr>
            <w:r>
              <w:t>1..N</w:t>
            </w:r>
          </w:p>
        </w:tc>
        <w:tc>
          <w:tcPr>
            <w:tcW w:w="2976" w:type="dxa"/>
          </w:tcPr>
          <w:p w14:paraId="56386B3A" w14:textId="77777777" w:rsidR="00BD381F" w:rsidRDefault="00BD381F" w:rsidP="00BD381F">
            <w:pPr>
              <w:pStyle w:val="TAL"/>
              <w:rPr>
                <w:lang w:eastAsia="zh-CN"/>
              </w:rPr>
            </w:pPr>
            <w:r>
              <w:rPr>
                <w:lang w:eastAsia="ko-KR"/>
              </w:rPr>
              <w:t>NF set identifiers of the data sources.</w:t>
            </w:r>
          </w:p>
        </w:tc>
        <w:tc>
          <w:tcPr>
            <w:tcW w:w="1628" w:type="dxa"/>
          </w:tcPr>
          <w:p w14:paraId="4D766A49" w14:textId="77777777" w:rsidR="00BD381F" w:rsidRDefault="00BD381F" w:rsidP="00BD381F">
            <w:pPr>
              <w:pStyle w:val="TAL"/>
              <w:rPr>
                <w:rFonts w:cs="Arial"/>
                <w:szCs w:val="18"/>
              </w:rPr>
            </w:pPr>
            <w:r>
              <w:rPr>
                <w:lang w:eastAsia="zh-CN"/>
              </w:rPr>
              <w:t>EnAggregation</w:t>
            </w:r>
          </w:p>
        </w:tc>
      </w:tr>
      <w:tr w:rsidR="004D166F" w14:paraId="11B174F4" w14:textId="77777777">
        <w:trPr>
          <w:jc w:val="center"/>
        </w:trPr>
        <w:tc>
          <w:tcPr>
            <w:tcW w:w="1628" w:type="dxa"/>
          </w:tcPr>
          <w:p w14:paraId="4D35CB45" w14:textId="77777777" w:rsidR="004D166F" w:rsidRDefault="004D166F" w:rsidP="004D166F">
            <w:pPr>
              <w:pStyle w:val="TAL"/>
            </w:pPr>
            <w:r>
              <w:rPr>
                <w:lang w:val="en-US" w:eastAsia="zh-CN"/>
              </w:rPr>
              <w:t>procInstructs</w:t>
            </w:r>
          </w:p>
        </w:tc>
        <w:tc>
          <w:tcPr>
            <w:tcW w:w="1701" w:type="dxa"/>
          </w:tcPr>
          <w:p w14:paraId="23C3E62B" w14:textId="77777777" w:rsidR="004D166F" w:rsidRDefault="004D166F" w:rsidP="004D166F">
            <w:pPr>
              <w:pStyle w:val="TAL"/>
            </w:pPr>
            <w:r>
              <w:rPr>
                <w:lang w:val="en-US" w:eastAsia="zh-CN"/>
              </w:rPr>
              <w:t>array(ProcessingInstruction)</w:t>
            </w:r>
          </w:p>
        </w:tc>
        <w:tc>
          <w:tcPr>
            <w:tcW w:w="426" w:type="dxa"/>
          </w:tcPr>
          <w:p w14:paraId="2D61B9C4" w14:textId="77777777" w:rsidR="004D166F" w:rsidRDefault="004D166F" w:rsidP="004D166F">
            <w:pPr>
              <w:pStyle w:val="TAL"/>
              <w:jc w:val="center"/>
              <w:rPr>
                <w:lang w:eastAsia="zh-CN"/>
              </w:rPr>
            </w:pPr>
            <w:r>
              <w:t>O</w:t>
            </w:r>
          </w:p>
        </w:tc>
        <w:tc>
          <w:tcPr>
            <w:tcW w:w="1134" w:type="dxa"/>
          </w:tcPr>
          <w:p w14:paraId="19206C3F" w14:textId="77777777" w:rsidR="004D166F" w:rsidRDefault="004D166F" w:rsidP="004D166F">
            <w:pPr>
              <w:pStyle w:val="TAL"/>
            </w:pPr>
            <w:r>
              <w:t>1..N</w:t>
            </w:r>
          </w:p>
        </w:tc>
        <w:tc>
          <w:tcPr>
            <w:tcW w:w="2976" w:type="dxa"/>
          </w:tcPr>
          <w:p w14:paraId="0BE570C6" w14:textId="77777777" w:rsidR="004D166F" w:rsidRDefault="004D166F" w:rsidP="004D166F">
            <w:pPr>
              <w:pStyle w:val="TAL"/>
              <w:rPr>
                <w:lang w:eastAsia="ko-KR"/>
              </w:rPr>
            </w:pPr>
            <w:r w:rsidRPr="00401C28">
              <w:rPr>
                <w:lang w:eastAsia="ko-KR"/>
              </w:rPr>
              <w:t>Processing instructions applied on the data collected for the generation of the output analytics.</w:t>
            </w:r>
          </w:p>
        </w:tc>
        <w:tc>
          <w:tcPr>
            <w:tcW w:w="1628" w:type="dxa"/>
          </w:tcPr>
          <w:p w14:paraId="7C242522" w14:textId="77777777" w:rsidR="004D166F" w:rsidRDefault="004D166F" w:rsidP="004D166F">
            <w:pPr>
              <w:pStyle w:val="TAL"/>
              <w:rPr>
                <w:lang w:eastAsia="zh-CN"/>
              </w:rPr>
            </w:pPr>
            <w:r>
              <w:rPr>
                <w:lang w:eastAsia="zh-CN"/>
              </w:rPr>
              <w:t>EnAggregation</w:t>
            </w:r>
          </w:p>
        </w:tc>
      </w:tr>
    </w:tbl>
    <w:p w14:paraId="5FE061D2" w14:textId="77777777" w:rsidR="00A10B25" w:rsidRDefault="00A10B25"/>
    <w:p w14:paraId="3E15A36F" w14:textId="77777777" w:rsidR="00A10B25" w:rsidRDefault="00A10B25">
      <w:pPr>
        <w:pStyle w:val="5"/>
      </w:pPr>
      <w:bookmarkStart w:id="6966" w:name="_Toc138754241"/>
      <w:bookmarkStart w:id="6967" w:name="_Toc114133840"/>
      <w:bookmarkStart w:id="6968" w:name="_Toc94064285"/>
      <w:bookmarkStart w:id="6969" w:name="_Toc85553016"/>
      <w:bookmarkStart w:id="6970" w:name="_Toc90655902"/>
      <w:bookmarkStart w:id="6971" w:name="_Toc98233670"/>
      <w:bookmarkStart w:id="6972" w:name="_Toc136562407"/>
      <w:bookmarkStart w:id="6973" w:name="_Toc101244446"/>
      <w:bookmarkStart w:id="6974" w:name="_Toc113031701"/>
      <w:bookmarkStart w:id="6975" w:name="_Toc120702340"/>
      <w:bookmarkStart w:id="6976" w:name="_Toc83233106"/>
      <w:bookmarkStart w:id="6977" w:name="_Toc112951161"/>
      <w:bookmarkStart w:id="6978" w:name="_Toc88667617"/>
      <w:bookmarkStart w:id="6979" w:name="_Toc85557115"/>
      <w:bookmarkStart w:id="6980" w:name="_Toc145705728"/>
      <w:bookmarkStart w:id="6981" w:name="_Toc148522632"/>
      <w:bookmarkStart w:id="6982" w:name="_Toc104539039"/>
      <w:bookmarkStart w:id="6983" w:name="_Toc164920812"/>
      <w:bookmarkStart w:id="6984" w:name="_Toc170120354"/>
      <w:bookmarkStart w:id="6985" w:name="_Toc175858599"/>
      <w:bookmarkStart w:id="6986" w:name="_Toc175859672"/>
      <w:bookmarkStart w:id="6987" w:name="_Toc180605962"/>
      <w:bookmarkStart w:id="6988" w:name="_Toc185517216"/>
      <w:bookmarkStart w:id="6989" w:name="_Toc191576267"/>
      <w:bookmarkStart w:id="6990" w:name="_Toc191577007"/>
      <w:bookmarkStart w:id="6991" w:name="_Toc192880077"/>
      <w:bookmarkStart w:id="6992" w:name="_Toc195814960"/>
      <w:bookmarkStart w:id="6993" w:name="_Toc199452927"/>
      <w:r>
        <w:t>5.1.6.2.38</w:t>
      </w:r>
      <w:r>
        <w:tab/>
        <w:t xml:space="preserve">Type </w:t>
      </w:r>
      <w:r>
        <w:rPr>
          <w:lang w:eastAsia="zh-CN"/>
        </w:rPr>
        <w:t>NumberAverage</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5F2BB39C" w14:textId="77777777" w:rsidR="00A10B25" w:rsidRDefault="00A10B25">
      <w:pPr>
        <w:pStyle w:val="TH"/>
      </w:pPr>
      <w:r>
        <w:t xml:space="preserve">Table 5.1.6.2.38-1: Definition of type </w:t>
      </w:r>
      <w:r>
        <w:rPr>
          <w:lang w:eastAsia="zh-CN"/>
        </w:rPr>
        <w:t>NumberAverage</w:t>
      </w:r>
    </w:p>
    <w:tbl>
      <w:tblPr>
        <w:tblW w:w="949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A10B25" w14:paraId="362DE364" w14:textId="77777777">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tcPr>
          <w:p w14:paraId="2A966328" w14:textId="77777777" w:rsidR="00A10B25" w:rsidRDefault="00A10B25">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6666B631"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0D686CA4"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7A1C8633" w14:textId="77777777" w:rsidR="00A10B25" w:rsidRDefault="00A10B25">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tcPr>
          <w:p w14:paraId="33553C54" w14:textId="77777777" w:rsidR="00A10B25" w:rsidRDefault="00A10B25">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67F82846" w14:textId="77777777" w:rsidR="00A10B25" w:rsidRDefault="00A10B25">
            <w:pPr>
              <w:pStyle w:val="TAH"/>
              <w:rPr>
                <w:rFonts w:cs="Arial"/>
                <w:szCs w:val="18"/>
              </w:rPr>
            </w:pPr>
            <w:r>
              <w:rPr>
                <w:rFonts w:cs="Arial"/>
                <w:szCs w:val="18"/>
              </w:rPr>
              <w:t>Applicability</w:t>
            </w:r>
          </w:p>
        </w:tc>
      </w:tr>
      <w:tr w:rsidR="00A10B25" w14:paraId="4377EFD6"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197944A1" w14:textId="77777777" w:rsidR="00A10B25" w:rsidRDefault="00A10B25">
            <w:pPr>
              <w:pStyle w:val="TAL"/>
            </w:pPr>
            <w:r>
              <w:t>number</w:t>
            </w:r>
          </w:p>
        </w:tc>
        <w:tc>
          <w:tcPr>
            <w:tcW w:w="1701" w:type="dxa"/>
            <w:tcBorders>
              <w:top w:val="single" w:sz="6" w:space="0" w:color="auto"/>
              <w:left w:val="single" w:sz="6" w:space="0" w:color="auto"/>
              <w:bottom w:val="single" w:sz="6" w:space="0" w:color="auto"/>
              <w:right w:val="single" w:sz="6" w:space="0" w:color="auto"/>
            </w:tcBorders>
          </w:tcPr>
          <w:p w14:paraId="5C4A8B09" w14:textId="77777777" w:rsidR="00A10B25" w:rsidRDefault="00A10B25">
            <w:pPr>
              <w:pStyle w:val="TAL"/>
            </w:pPr>
            <w:r>
              <w:t>Float</w:t>
            </w:r>
          </w:p>
        </w:tc>
        <w:tc>
          <w:tcPr>
            <w:tcW w:w="426" w:type="dxa"/>
            <w:tcBorders>
              <w:top w:val="single" w:sz="6" w:space="0" w:color="auto"/>
              <w:left w:val="single" w:sz="6" w:space="0" w:color="auto"/>
              <w:bottom w:val="single" w:sz="6" w:space="0" w:color="auto"/>
              <w:right w:val="single" w:sz="6" w:space="0" w:color="auto"/>
            </w:tcBorders>
          </w:tcPr>
          <w:p w14:paraId="32C4BB1A" w14:textId="77777777" w:rsidR="00A10B25" w:rsidRDefault="00A10B25">
            <w:pPr>
              <w:pStyle w:val="TAL"/>
            </w:pPr>
            <w:r>
              <w:t>M</w:t>
            </w:r>
          </w:p>
        </w:tc>
        <w:tc>
          <w:tcPr>
            <w:tcW w:w="1134" w:type="dxa"/>
            <w:tcBorders>
              <w:top w:val="single" w:sz="6" w:space="0" w:color="auto"/>
              <w:left w:val="single" w:sz="6" w:space="0" w:color="auto"/>
              <w:bottom w:val="single" w:sz="6" w:space="0" w:color="auto"/>
              <w:right w:val="single" w:sz="6" w:space="0" w:color="auto"/>
            </w:tcBorders>
          </w:tcPr>
          <w:p w14:paraId="404A9E53" w14:textId="77777777" w:rsidR="00A10B25" w:rsidRDefault="00A10B25">
            <w:pPr>
              <w:pStyle w:val="TAL"/>
            </w:pPr>
            <w:r>
              <w:t>1</w:t>
            </w:r>
          </w:p>
        </w:tc>
        <w:tc>
          <w:tcPr>
            <w:tcW w:w="2976" w:type="dxa"/>
            <w:tcBorders>
              <w:top w:val="single" w:sz="6" w:space="0" w:color="auto"/>
              <w:left w:val="single" w:sz="6" w:space="0" w:color="auto"/>
              <w:bottom w:val="single" w:sz="6" w:space="0" w:color="auto"/>
              <w:right w:val="single" w:sz="6" w:space="0" w:color="auto"/>
            </w:tcBorders>
          </w:tcPr>
          <w:p w14:paraId="09A8B3BE" w14:textId="77777777" w:rsidR="00A10B25" w:rsidRDefault="00A10B25">
            <w:pPr>
              <w:pStyle w:val="TAL"/>
              <w:rPr>
                <w:rFonts w:cs="Arial"/>
                <w:szCs w:val="18"/>
              </w:rPr>
            </w:pPr>
            <w:r>
              <w:t>The average number.</w:t>
            </w:r>
          </w:p>
        </w:tc>
        <w:tc>
          <w:tcPr>
            <w:tcW w:w="1628" w:type="dxa"/>
            <w:tcBorders>
              <w:top w:val="single" w:sz="6" w:space="0" w:color="auto"/>
              <w:left w:val="single" w:sz="6" w:space="0" w:color="auto"/>
              <w:bottom w:val="single" w:sz="6" w:space="0" w:color="auto"/>
              <w:right w:val="single" w:sz="6" w:space="0" w:color="auto"/>
            </w:tcBorders>
          </w:tcPr>
          <w:p w14:paraId="28042E7B" w14:textId="77777777" w:rsidR="00A10B25" w:rsidRDefault="00A10B25">
            <w:pPr>
              <w:pStyle w:val="TAL"/>
              <w:rPr>
                <w:rFonts w:cs="Arial"/>
                <w:szCs w:val="18"/>
              </w:rPr>
            </w:pPr>
          </w:p>
        </w:tc>
      </w:tr>
      <w:tr w:rsidR="00A10B25" w14:paraId="238694EF"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6B38C5B2" w14:textId="77777777" w:rsidR="00A10B25" w:rsidRDefault="00A10B25">
            <w:pPr>
              <w:pStyle w:val="TAL"/>
            </w:pPr>
            <w:r>
              <w:t>variance</w:t>
            </w:r>
          </w:p>
        </w:tc>
        <w:tc>
          <w:tcPr>
            <w:tcW w:w="1701" w:type="dxa"/>
            <w:tcBorders>
              <w:top w:val="single" w:sz="6" w:space="0" w:color="auto"/>
              <w:left w:val="single" w:sz="6" w:space="0" w:color="auto"/>
              <w:bottom w:val="single" w:sz="6" w:space="0" w:color="auto"/>
              <w:right w:val="single" w:sz="6" w:space="0" w:color="auto"/>
            </w:tcBorders>
          </w:tcPr>
          <w:p w14:paraId="7C053F83" w14:textId="77777777" w:rsidR="00A10B25" w:rsidRDefault="00A10B25">
            <w:pPr>
              <w:pStyle w:val="TAL"/>
            </w:pPr>
            <w:r>
              <w:rPr>
                <w:lang w:eastAsia="zh-CN"/>
              </w:rPr>
              <w:t>Float</w:t>
            </w:r>
          </w:p>
        </w:tc>
        <w:tc>
          <w:tcPr>
            <w:tcW w:w="426" w:type="dxa"/>
            <w:tcBorders>
              <w:top w:val="single" w:sz="6" w:space="0" w:color="auto"/>
              <w:left w:val="single" w:sz="6" w:space="0" w:color="auto"/>
              <w:bottom w:val="single" w:sz="6" w:space="0" w:color="auto"/>
              <w:right w:val="single" w:sz="6" w:space="0" w:color="auto"/>
            </w:tcBorders>
          </w:tcPr>
          <w:p w14:paraId="70627C8C" w14:textId="77777777" w:rsidR="00A10B25" w:rsidRDefault="00A10B25">
            <w:pPr>
              <w:pStyle w:val="TAL"/>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0D50FFB9" w14:textId="77777777" w:rsidR="00A10B25" w:rsidRDefault="00A10B25">
            <w:pPr>
              <w:pStyle w:val="TAL"/>
            </w:pPr>
            <w:r>
              <w:rPr>
                <w:rFonts w:cs="Arial"/>
                <w:szCs w:val="18"/>
                <w:lang w:eastAsia="zh-CN"/>
              </w:rPr>
              <w:t>1</w:t>
            </w:r>
          </w:p>
        </w:tc>
        <w:tc>
          <w:tcPr>
            <w:tcW w:w="2976" w:type="dxa"/>
            <w:tcBorders>
              <w:top w:val="single" w:sz="6" w:space="0" w:color="auto"/>
              <w:left w:val="single" w:sz="6" w:space="0" w:color="auto"/>
              <w:bottom w:val="single" w:sz="6" w:space="0" w:color="auto"/>
              <w:right w:val="single" w:sz="6" w:space="0" w:color="auto"/>
            </w:tcBorders>
          </w:tcPr>
          <w:p w14:paraId="776F0F3B" w14:textId="77777777" w:rsidR="00A10B25" w:rsidRDefault="00A10B25">
            <w:pPr>
              <w:pStyle w:val="TAL"/>
              <w:rPr>
                <w:rFonts w:cs="Arial"/>
                <w:szCs w:val="18"/>
              </w:rPr>
            </w:pPr>
            <w:r>
              <w:rPr>
                <w:rFonts w:cs="Arial"/>
                <w:szCs w:val="18"/>
              </w:rPr>
              <w:t>Identifies the variance.</w:t>
            </w:r>
          </w:p>
        </w:tc>
        <w:tc>
          <w:tcPr>
            <w:tcW w:w="1628" w:type="dxa"/>
            <w:tcBorders>
              <w:top w:val="single" w:sz="6" w:space="0" w:color="auto"/>
              <w:left w:val="single" w:sz="6" w:space="0" w:color="auto"/>
              <w:bottom w:val="single" w:sz="6" w:space="0" w:color="auto"/>
              <w:right w:val="single" w:sz="6" w:space="0" w:color="auto"/>
            </w:tcBorders>
          </w:tcPr>
          <w:p w14:paraId="7AA83F05" w14:textId="77777777" w:rsidR="00A10B25" w:rsidRDefault="00A10B25">
            <w:pPr>
              <w:pStyle w:val="TAL"/>
              <w:rPr>
                <w:rFonts w:cs="Arial"/>
                <w:szCs w:val="18"/>
              </w:rPr>
            </w:pPr>
          </w:p>
        </w:tc>
      </w:tr>
      <w:tr w:rsidR="00A10B25" w14:paraId="089D892B"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7D0C60DF" w14:textId="77777777" w:rsidR="00A10B25" w:rsidRDefault="00A10B25">
            <w:pPr>
              <w:pStyle w:val="TAL"/>
            </w:pPr>
            <w:r>
              <w:t>skewness</w:t>
            </w:r>
          </w:p>
        </w:tc>
        <w:tc>
          <w:tcPr>
            <w:tcW w:w="1701" w:type="dxa"/>
            <w:tcBorders>
              <w:top w:val="single" w:sz="6" w:space="0" w:color="auto"/>
              <w:left w:val="single" w:sz="6" w:space="0" w:color="auto"/>
              <w:bottom w:val="single" w:sz="6" w:space="0" w:color="auto"/>
              <w:right w:val="single" w:sz="6" w:space="0" w:color="auto"/>
            </w:tcBorders>
          </w:tcPr>
          <w:p w14:paraId="5EED5939" w14:textId="77777777" w:rsidR="00A10B25" w:rsidRDefault="00A10B25">
            <w:pPr>
              <w:pStyle w:val="TAL"/>
              <w:rPr>
                <w:lang w:eastAsia="zh-CN"/>
              </w:rPr>
            </w:pPr>
            <w:r>
              <w:rPr>
                <w:lang w:eastAsia="zh-CN"/>
              </w:rPr>
              <w:t>Float</w:t>
            </w:r>
          </w:p>
        </w:tc>
        <w:tc>
          <w:tcPr>
            <w:tcW w:w="426" w:type="dxa"/>
            <w:tcBorders>
              <w:top w:val="single" w:sz="6" w:space="0" w:color="auto"/>
              <w:left w:val="single" w:sz="6" w:space="0" w:color="auto"/>
              <w:bottom w:val="single" w:sz="6" w:space="0" w:color="auto"/>
              <w:right w:val="single" w:sz="6" w:space="0" w:color="auto"/>
            </w:tcBorders>
          </w:tcPr>
          <w:p w14:paraId="5284D69E" w14:textId="77777777" w:rsidR="00A10B25" w:rsidRDefault="00A10B25">
            <w:pPr>
              <w:pStyle w:val="TAL"/>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D2A4F5A" w14:textId="77777777" w:rsidR="00A10B25" w:rsidRDefault="00A10B25">
            <w:pPr>
              <w:pStyle w:val="TAL"/>
              <w:rPr>
                <w:rFonts w:cs="Arial"/>
                <w:szCs w:val="18"/>
                <w:lang w:eastAsia="zh-CN"/>
              </w:rPr>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6B33155F" w14:textId="77777777" w:rsidR="00A10B25" w:rsidRDefault="00A10B25">
            <w:pPr>
              <w:pStyle w:val="TAL"/>
              <w:rPr>
                <w:rFonts w:cs="Arial"/>
                <w:szCs w:val="18"/>
              </w:rPr>
            </w:pPr>
            <w:r>
              <w:rPr>
                <w:rFonts w:cs="Arial"/>
                <w:szCs w:val="18"/>
              </w:rPr>
              <w:t>Contains the skewness.</w:t>
            </w:r>
          </w:p>
        </w:tc>
        <w:tc>
          <w:tcPr>
            <w:tcW w:w="1628" w:type="dxa"/>
            <w:tcBorders>
              <w:top w:val="single" w:sz="6" w:space="0" w:color="auto"/>
              <w:left w:val="single" w:sz="6" w:space="0" w:color="auto"/>
              <w:bottom w:val="single" w:sz="6" w:space="0" w:color="auto"/>
              <w:right w:val="single" w:sz="6" w:space="0" w:color="auto"/>
            </w:tcBorders>
          </w:tcPr>
          <w:p w14:paraId="21C7CA03" w14:textId="77777777" w:rsidR="00A10B25" w:rsidRDefault="00A10B25">
            <w:pPr>
              <w:pStyle w:val="TAL"/>
              <w:rPr>
                <w:rFonts w:cs="Arial"/>
                <w:szCs w:val="18"/>
              </w:rPr>
            </w:pPr>
          </w:p>
        </w:tc>
      </w:tr>
    </w:tbl>
    <w:p w14:paraId="1EA3F351" w14:textId="77777777" w:rsidR="00A10B25" w:rsidRDefault="00A10B25"/>
    <w:p w14:paraId="12BA22DA" w14:textId="77777777" w:rsidR="00A10B25" w:rsidRDefault="00A10B25">
      <w:pPr>
        <w:pStyle w:val="5"/>
      </w:pPr>
      <w:bookmarkStart w:id="6994" w:name="_Toc83233107"/>
      <w:bookmarkStart w:id="6995" w:name="_Toc88667618"/>
      <w:bookmarkStart w:id="6996" w:name="_Toc98233671"/>
      <w:bookmarkStart w:id="6997" w:name="_Toc112951162"/>
      <w:bookmarkStart w:id="6998" w:name="_Toc138754242"/>
      <w:bookmarkStart w:id="6999" w:name="_Toc148522633"/>
      <w:bookmarkStart w:id="7000" w:name="_Toc85557116"/>
      <w:bookmarkStart w:id="7001" w:name="_Toc104539040"/>
      <w:bookmarkStart w:id="7002" w:name="_Toc101244447"/>
      <w:bookmarkStart w:id="7003" w:name="_Toc85553017"/>
      <w:bookmarkStart w:id="7004" w:name="_Toc145705729"/>
      <w:bookmarkStart w:id="7005" w:name="_Toc113031702"/>
      <w:bookmarkStart w:id="7006" w:name="_Toc120702341"/>
      <w:bookmarkStart w:id="7007" w:name="_Toc90655903"/>
      <w:bookmarkStart w:id="7008" w:name="_Toc114133841"/>
      <w:bookmarkStart w:id="7009" w:name="_Toc136562408"/>
      <w:bookmarkStart w:id="7010" w:name="_Toc94064286"/>
      <w:bookmarkStart w:id="7011" w:name="_Toc164920813"/>
      <w:bookmarkStart w:id="7012" w:name="_Toc170120355"/>
      <w:bookmarkStart w:id="7013" w:name="_Toc175858600"/>
      <w:bookmarkStart w:id="7014" w:name="_Toc175859673"/>
      <w:bookmarkStart w:id="7015" w:name="_Toc180605963"/>
      <w:bookmarkStart w:id="7016" w:name="_Toc185517217"/>
      <w:bookmarkStart w:id="7017" w:name="_Toc191576268"/>
      <w:bookmarkStart w:id="7018" w:name="_Toc191577008"/>
      <w:bookmarkStart w:id="7019" w:name="_Toc192880078"/>
      <w:bookmarkStart w:id="7020" w:name="_Toc195814961"/>
      <w:bookmarkStart w:id="7021" w:name="_Toc199452928"/>
      <w:r>
        <w:t>5.1.6.2.39</w:t>
      </w:r>
      <w:r>
        <w:tab/>
        <w:t>Type TopApplication</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09D7B00F" w14:textId="77777777" w:rsidR="00A10B25" w:rsidRDefault="00A10B25">
      <w:pPr>
        <w:pStyle w:val="TH"/>
      </w:pPr>
      <w:r>
        <w:t>Table 5.1.6.2.39-1: Definition of type TopApplication</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7E1098F" w14:textId="77777777">
        <w:trPr>
          <w:jc w:val="center"/>
        </w:trPr>
        <w:tc>
          <w:tcPr>
            <w:tcW w:w="1750" w:type="dxa"/>
            <w:shd w:val="clear" w:color="auto" w:fill="C0C0C0"/>
          </w:tcPr>
          <w:p w14:paraId="3289DF08" w14:textId="77777777" w:rsidR="00A10B25" w:rsidRDefault="00A10B25">
            <w:pPr>
              <w:pStyle w:val="TAH"/>
            </w:pPr>
            <w:r>
              <w:t>Attribute name</w:t>
            </w:r>
          </w:p>
        </w:tc>
        <w:tc>
          <w:tcPr>
            <w:tcW w:w="1560" w:type="dxa"/>
            <w:shd w:val="clear" w:color="auto" w:fill="C0C0C0"/>
          </w:tcPr>
          <w:p w14:paraId="6E3DF67E" w14:textId="77777777" w:rsidR="00A10B25" w:rsidRDefault="00A10B25">
            <w:pPr>
              <w:pStyle w:val="TAH"/>
            </w:pPr>
            <w:r>
              <w:t>Data type</w:t>
            </w:r>
          </w:p>
        </w:tc>
        <w:tc>
          <w:tcPr>
            <w:tcW w:w="425" w:type="dxa"/>
            <w:shd w:val="clear" w:color="auto" w:fill="C0C0C0"/>
          </w:tcPr>
          <w:p w14:paraId="5A262FA4" w14:textId="77777777" w:rsidR="00A10B25" w:rsidRDefault="00A10B25">
            <w:pPr>
              <w:pStyle w:val="TAH"/>
            </w:pPr>
            <w:r>
              <w:t>P</w:t>
            </w:r>
          </w:p>
        </w:tc>
        <w:tc>
          <w:tcPr>
            <w:tcW w:w="1134" w:type="dxa"/>
            <w:shd w:val="clear" w:color="auto" w:fill="C0C0C0"/>
          </w:tcPr>
          <w:p w14:paraId="05FE87C4" w14:textId="77777777" w:rsidR="00A10B25" w:rsidRDefault="00A10B25">
            <w:pPr>
              <w:pStyle w:val="TAH"/>
            </w:pPr>
            <w:r>
              <w:t>Cardinality</w:t>
            </w:r>
          </w:p>
        </w:tc>
        <w:tc>
          <w:tcPr>
            <w:tcW w:w="2857" w:type="dxa"/>
            <w:shd w:val="clear" w:color="auto" w:fill="C0C0C0"/>
          </w:tcPr>
          <w:p w14:paraId="10AB0DDF" w14:textId="77777777" w:rsidR="00A10B25" w:rsidRDefault="00A10B25">
            <w:pPr>
              <w:pStyle w:val="TAH"/>
            </w:pPr>
            <w:r>
              <w:t>Description</w:t>
            </w:r>
          </w:p>
        </w:tc>
        <w:tc>
          <w:tcPr>
            <w:tcW w:w="1844" w:type="dxa"/>
            <w:shd w:val="clear" w:color="auto" w:fill="C0C0C0"/>
          </w:tcPr>
          <w:p w14:paraId="0D3FE92D" w14:textId="77777777" w:rsidR="00A10B25" w:rsidRDefault="00A10B25">
            <w:pPr>
              <w:pStyle w:val="TAH"/>
            </w:pPr>
            <w:r>
              <w:t>Applicability</w:t>
            </w:r>
          </w:p>
        </w:tc>
      </w:tr>
      <w:tr w:rsidR="00A10B25" w14:paraId="3529F00F" w14:textId="77777777">
        <w:trPr>
          <w:jc w:val="center"/>
        </w:trPr>
        <w:tc>
          <w:tcPr>
            <w:tcW w:w="1750" w:type="dxa"/>
          </w:tcPr>
          <w:p w14:paraId="3F38A537" w14:textId="77777777" w:rsidR="00A10B25" w:rsidRDefault="00A10B25">
            <w:pPr>
              <w:pStyle w:val="TAL"/>
              <w:rPr>
                <w:lang w:eastAsia="zh-CN"/>
              </w:rPr>
            </w:pPr>
            <w:r>
              <w:rPr>
                <w:lang w:eastAsia="zh-CN"/>
              </w:rPr>
              <w:t>appId</w:t>
            </w:r>
          </w:p>
        </w:tc>
        <w:tc>
          <w:tcPr>
            <w:tcW w:w="1560" w:type="dxa"/>
          </w:tcPr>
          <w:p w14:paraId="7B2708E4" w14:textId="77777777" w:rsidR="00A10B25" w:rsidRDefault="00A10B25">
            <w:pPr>
              <w:pStyle w:val="TAL"/>
              <w:rPr>
                <w:lang w:eastAsia="zh-CN"/>
              </w:rPr>
            </w:pPr>
            <w:r>
              <w:rPr>
                <w:lang w:eastAsia="zh-CN"/>
              </w:rPr>
              <w:t>ApplicationId</w:t>
            </w:r>
          </w:p>
        </w:tc>
        <w:tc>
          <w:tcPr>
            <w:tcW w:w="425" w:type="dxa"/>
          </w:tcPr>
          <w:p w14:paraId="238D11D5" w14:textId="77777777" w:rsidR="00A10B25" w:rsidRDefault="00A10B25">
            <w:pPr>
              <w:pStyle w:val="TAC"/>
            </w:pPr>
            <w:r>
              <w:t>C</w:t>
            </w:r>
          </w:p>
        </w:tc>
        <w:tc>
          <w:tcPr>
            <w:tcW w:w="1134" w:type="dxa"/>
          </w:tcPr>
          <w:p w14:paraId="75F1EDB8" w14:textId="77777777" w:rsidR="00A10B25" w:rsidRDefault="00A10B25">
            <w:pPr>
              <w:pStyle w:val="TAL"/>
            </w:pPr>
            <w:r>
              <w:t>0..1</w:t>
            </w:r>
          </w:p>
        </w:tc>
        <w:tc>
          <w:tcPr>
            <w:tcW w:w="2857" w:type="dxa"/>
          </w:tcPr>
          <w:p w14:paraId="5D39A7C6" w14:textId="77777777" w:rsidR="00A10B25" w:rsidRDefault="00A10B25">
            <w:pPr>
              <w:pStyle w:val="TAL"/>
              <w:rPr>
                <w:rFonts w:cs="Arial"/>
                <w:szCs w:val="18"/>
              </w:rPr>
            </w:pPr>
            <w:r>
              <w:rPr>
                <w:rFonts w:cs="Arial"/>
                <w:szCs w:val="18"/>
              </w:rPr>
              <w:t>Indicates an application identifier.</w:t>
            </w:r>
          </w:p>
          <w:p w14:paraId="07E6418E" w14:textId="77777777" w:rsidR="00A10B25" w:rsidRDefault="00A10B25">
            <w:pPr>
              <w:pStyle w:val="TAL"/>
              <w:rPr>
                <w:rFonts w:cs="Arial"/>
                <w:szCs w:val="18"/>
              </w:rPr>
            </w:pPr>
            <w:r>
              <w:rPr>
                <w:rFonts w:cs="Arial"/>
                <w:szCs w:val="18"/>
              </w:rPr>
              <w:t>(NOTE)</w:t>
            </w:r>
          </w:p>
        </w:tc>
        <w:tc>
          <w:tcPr>
            <w:tcW w:w="1844" w:type="dxa"/>
          </w:tcPr>
          <w:p w14:paraId="276DAA45" w14:textId="77777777" w:rsidR="00A10B25" w:rsidRDefault="00A10B25">
            <w:pPr>
              <w:pStyle w:val="TAL"/>
              <w:rPr>
                <w:rFonts w:cs="Arial"/>
                <w:szCs w:val="18"/>
              </w:rPr>
            </w:pPr>
          </w:p>
        </w:tc>
      </w:tr>
      <w:tr w:rsidR="00A10B25" w14:paraId="26A16782" w14:textId="77777777">
        <w:trPr>
          <w:jc w:val="center"/>
        </w:trPr>
        <w:tc>
          <w:tcPr>
            <w:tcW w:w="1750" w:type="dxa"/>
          </w:tcPr>
          <w:p w14:paraId="24EB44DF" w14:textId="77777777" w:rsidR="00A10B25" w:rsidRDefault="00A10B25">
            <w:pPr>
              <w:pStyle w:val="TAL"/>
              <w:rPr>
                <w:lang w:eastAsia="zh-CN"/>
              </w:rPr>
            </w:pPr>
            <w:r>
              <w:rPr>
                <w:lang w:eastAsia="zh-CN"/>
              </w:rPr>
              <w:t>ipTrafficFilter</w:t>
            </w:r>
          </w:p>
        </w:tc>
        <w:tc>
          <w:tcPr>
            <w:tcW w:w="1560" w:type="dxa"/>
          </w:tcPr>
          <w:p w14:paraId="70BDD52F" w14:textId="77777777" w:rsidR="00A10B25" w:rsidRDefault="00A10B25">
            <w:pPr>
              <w:pStyle w:val="TAL"/>
              <w:rPr>
                <w:lang w:eastAsia="zh-CN"/>
              </w:rPr>
            </w:pPr>
            <w:r>
              <w:rPr>
                <w:rFonts w:hint="eastAsia"/>
                <w:lang w:eastAsia="zh-CN"/>
              </w:rPr>
              <w:t>Flow</w:t>
            </w:r>
            <w:r>
              <w:rPr>
                <w:lang w:eastAsia="zh-CN"/>
              </w:rPr>
              <w:t>Info</w:t>
            </w:r>
          </w:p>
        </w:tc>
        <w:tc>
          <w:tcPr>
            <w:tcW w:w="425" w:type="dxa"/>
          </w:tcPr>
          <w:p w14:paraId="3DA8526D" w14:textId="77777777" w:rsidR="00A10B25" w:rsidRDefault="00A10B25">
            <w:pPr>
              <w:pStyle w:val="TAC"/>
            </w:pPr>
            <w:r>
              <w:t>C</w:t>
            </w:r>
          </w:p>
        </w:tc>
        <w:tc>
          <w:tcPr>
            <w:tcW w:w="1134" w:type="dxa"/>
          </w:tcPr>
          <w:p w14:paraId="7D6EFE3B" w14:textId="77777777" w:rsidR="00A10B25" w:rsidRDefault="00A10B25">
            <w:pPr>
              <w:pStyle w:val="TAL"/>
            </w:pPr>
            <w:r>
              <w:t>0..1</w:t>
            </w:r>
          </w:p>
        </w:tc>
        <w:tc>
          <w:tcPr>
            <w:tcW w:w="2857" w:type="dxa"/>
          </w:tcPr>
          <w:p w14:paraId="261C0716" w14:textId="77777777" w:rsidR="00A10B25" w:rsidRDefault="00A10B25">
            <w:pPr>
              <w:pStyle w:val="TAL"/>
              <w:rPr>
                <w:rFonts w:cs="Arial"/>
                <w:szCs w:val="18"/>
              </w:rPr>
            </w:pPr>
            <w:r>
              <w:rPr>
                <w:rFonts w:cs="Arial" w:hint="eastAsia"/>
                <w:szCs w:val="18"/>
              </w:rPr>
              <w:t xml:space="preserve">Identifies </w:t>
            </w:r>
            <w:r>
              <w:rPr>
                <w:rFonts w:cs="Arial"/>
                <w:szCs w:val="18"/>
              </w:rPr>
              <w:t>IP</w:t>
            </w:r>
            <w:r>
              <w:rPr>
                <w:rFonts w:cs="Arial" w:hint="eastAsia"/>
                <w:szCs w:val="18"/>
              </w:rPr>
              <w:t xml:space="preserve"> packet filter.</w:t>
            </w:r>
            <w:r>
              <w:rPr>
                <w:rFonts w:cs="Arial"/>
                <w:szCs w:val="18"/>
              </w:rPr>
              <w:t xml:space="preserve"> (NOTE)</w:t>
            </w:r>
          </w:p>
        </w:tc>
        <w:tc>
          <w:tcPr>
            <w:tcW w:w="1844" w:type="dxa"/>
          </w:tcPr>
          <w:p w14:paraId="1C488EF7" w14:textId="77777777" w:rsidR="00A10B25" w:rsidRDefault="00A10B25">
            <w:pPr>
              <w:pStyle w:val="TAL"/>
              <w:rPr>
                <w:rFonts w:cs="Arial"/>
                <w:szCs w:val="18"/>
              </w:rPr>
            </w:pPr>
          </w:p>
        </w:tc>
      </w:tr>
      <w:tr w:rsidR="00A10B25" w14:paraId="4DFCF5C3" w14:textId="77777777">
        <w:trPr>
          <w:jc w:val="center"/>
        </w:trPr>
        <w:tc>
          <w:tcPr>
            <w:tcW w:w="1750" w:type="dxa"/>
          </w:tcPr>
          <w:p w14:paraId="190CAE89" w14:textId="77777777" w:rsidR="00A10B25" w:rsidRDefault="00A10B25">
            <w:pPr>
              <w:pStyle w:val="TAL"/>
              <w:rPr>
                <w:lang w:eastAsia="zh-CN"/>
              </w:rPr>
            </w:pPr>
            <w:r>
              <w:rPr>
                <w:lang w:eastAsia="zh-CN"/>
              </w:rPr>
              <w:t>ratio</w:t>
            </w:r>
          </w:p>
        </w:tc>
        <w:tc>
          <w:tcPr>
            <w:tcW w:w="1560" w:type="dxa"/>
          </w:tcPr>
          <w:p w14:paraId="16907C1D" w14:textId="77777777" w:rsidR="00A10B25" w:rsidRDefault="00A10B25">
            <w:pPr>
              <w:pStyle w:val="TAL"/>
              <w:rPr>
                <w:lang w:eastAsia="zh-CN"/>
              </w:rPr>
            </w:pPr>
            <w:r>
              <w:rPr>
                <w:lang w:eastAsia="zh-CN"/>
              </w:rPr>
              <w:t>SamplingRatio</w:t>
            </w:r>
          </w:p>
        </w:tc>
        <w:tc>
          <w:tcPr>
            <w:tcW w:w="425" w:type="dxa"/>
          </w:tcPr>
          <w:p w14:paraId="3FF61CCE" w14:textId="77777777" w:rsidR="00A10B25" w:rsidRDefault="00A10B25">
            <w:pPr>
              <w:pStyle w:val="TAC"/>
            </w:pPr>
            <w:r>
              <w:t>O</w:t>
            </w:r>
          </w:p>
        </w:tc>
        <w:tc>
          <w:tcPr>
            <w:tcW w:w="1134" w:type="dxa"/>
          </w:tcPr>
          <w:p w14:paraId="5FBBF47C" w14:textId="77777777" w:rsidR="00A10B25" w:rsidRDefault="00A10B25">
            <w:pPr>
              <w:pStyle w:val="TAL"/>
            </w:pPr>
            <w:r>
              <w:t>0..1</w:t>
            </w:r>
          </w:p>
        </w:tc>
        <w:tc>
          <w:tcPr>
            <w:tcW w:w="2857" w:type="dxa"/>
          </w:tcPr>
          <w:p w14:paraId="489F173B" w14:textId="77777777" w:rsidR="00A10B25" w:rsidRDefault="00A10B25">
            <w:pPr>
              <w:pStyle w:val="TAL"/>
              <w:rPr>
                <w:rFonts w:cs="Arial"/>
                <w:szCs w:val="18"/>
              </w:rPr>
            </w:pPr>
            <w:r>
              <w:rPr>
                <w:rFonts w:cs="Arial"/>
                <w:szCs w:val="18"/>
              </w:rPr>
              <w:t>The application's throughput as a percentage of the total throughput in the Area of Interest.</w:t>
            </w:r>
          </w:p>
        </w:tc>
        <w:tc>
          <w:tcPr>
            <w:tcW w:w="1844" w:type="dxa"/>
          </w:tcPr>
          <w:p w14:paraId="1A4B18A3" w14:textId="77777777" w:rsidR="00A10B25" w:rsidRDefault="00A10B25">
            <w:pPr>
              <w:pStyle w:val="TAL"/>
              <w:rPr>
                <w:rFonts w:cs="Arial"/>
                <w:szCs w:val="18"/>
              </w:rPr>
            </w:pPr>
          </w:p>
        </w:tc>
      </w:tr>
      <w:tr w:rsidR="00A10B25" w14:paraId="011CDA6E" w14:textId="77777777">
        <w:trPr>
          <w:jc w:val="center"/>
        </w:trPr>
        <w:tc>
          <w:tcPr>
            <w:tcW w:w="9570" w:type="dxa"/>
            <w:gridSpan w:val="6"/>
          </w:tcPr>
          <w:p w14:paraId="7C6D1DCA" w14:textId="77777777" w:rsidR="00A10B25" w:rsidRDefault="00A10B25">
            <w:pPr>
              <w:pStyle w:val="TAN"/>
              <w:rPr>
                <w:rFonts w:cs="Arial"/>
                <w:szCs w:val="18"/>
              </w:rPr>
            </w:pPr>
            <w:r>
              <w:t>NOTE:</w:t>
            </w:r>
            <w:r>
              <w:tab/>
              <w:t>Either "appId" or "ipTrafficFilter" shall be provided.</w:t>
            </w:r>
          </w:p>
        </w:tc>
      </w:tr>
    </w:tbl>
    <w:p w14:paraId="4AF44DCE" w14:textId="77777777" w:rsidR="00A10B25" w:rsidRDefault="00A10B25"/>
    <w:p w14:paraId="1959B93F" w14:textId="77777777" w:rsidR="00A10B25" w:rsidRDefault="00A10B25">
      <w:pPr>
        <w:pStyle w:val="5"/>
      </w:pPr>
      <w:bookmarkStart w:id="7022" w:name="_Toc113031703"/>
      <w:bookmarkStart w:id="7023" w:name="_Toc90655904"/>
      <w:bookmarkStart w:id="7024" w:name="_Toc136562409"/>
      <w:bookmarkStart w:id="7025" w:name="_Toc94064287"/>
      <w:bookmarkStart w:id="7026" w:name="_Toc112951163"/>
      <w:bookmarkStart w:id="7027" w:name="_Toc98233672"/>
      <w:bookmarkStart w:id="7028" w:name="_Toc120702342"/>
      <w:bookmarkStart w:id="7029" w:name="_Toc88667619"/>
      <w:bookmarkStart w:id="7030" w:name="_Toc145705730"/>
      <w:bookmarkStart w:id="7031" w:name="_Toc148522634"/>
      <w:bookmarkStart w:id="7032" w:name="_Toc101244448"/>
      <w:bookmarkStart w:id="7033" w:name="_Toc85553018"/>
      <w:bookmarkStart w:id="7034" w:name="_Toc85557117"/>
      <w:bookmarkStart w:id="7035" w:name="_Toc138754243"/>
      <w:bookmarkStart w:id="7036" w:name="_Toc104539041"/>
      <w:bookmarkStart w:id="7037" w:name="_Toc114133842"/>
      <w:bookmarkStart w:id="7038" w:name="_Toc73564471"/>
      <w:bookmarkStart w:id="7039" w:name="_Toc164920814"/>
      <w:bookmarkStart w:id="7040" w:name="_Toc170120356"/>
      <w:bookmarkStart w:id="7041" w:name="_Toc175858601"/>
      <w:bookmarkStart w:id="7042" w:name="_Toc175859674"/>
      <w:bookmarkStart w:id="7043" w:name="_Toc180605964"/>
      <w:bookmarkStart w:id="7044" w:name="_Toc185517218"/>
      <w:bookmarkStart w:id="7045" w:name="_Toc191576269"/>
      <w:bookmarkStart w:id="7046" w:name="_Toc191577009"/>
      <w:bookmarkStart w:id="7047" w:name="_Toc192880079"/>
      <w:bookmarkStart w:id="7048" w:name="_Toc195814962"/>
      <w:bookmarkStart w:id="7049" w:name="_Toc199452929"/>
      <w:r>
        <w:lastRenderedPageBreak/>
        <w:t>5.1.6.2.40</w:t>
      </w:r>
      <w:r>
        <w:tab/>
        <w:t xml:space="preserve">Type </w:t>
      </w:r>
      <w:bookmarkEnd w:id="7038"/>
      <w:r>
        <w:rPr>
          <w:rFonts w:eastAsia="等线"/>
        </w:rPr>
        <w:t>AnalyticsSubscriptionsTransfer</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9"/>
      <w:bookmarkEnd w:id="7040"/>
      <w:bookmarkEnd w:id="7041"/>
      <w:bookmarkEnd w:id="7042"/>
      <w:bookmarkEnd w:id="7043"/>
      <w:bookmarkEnd w:id="7044"/>
      <w:bookmarkEnd w:id="7045"/>
      <w:bookmarkEnd w:id="7046"/>
      <w:bookmarkEnd w:id="7047"/>
      <w:bookmarkEnd w:id="7048"/>
      <w:bookmarkEnd w:id="7049"/>
    </w:p>
    <w:p w14:paraId="222469EC" w14:textId="77777777" w:rsidR="00A10B25" w:rsidRDefault="00A10B25">
      <w:pPr>
        <w:pStyle w:val="TH"/>
      </w:pPr>
      <w:r>
        <w:t xml:space="preserve">Table 5.1.6.2.40-1: Definition of type </w:t>
      </w:r>
      <w:r>
        <w:rPr>
          <w:rFonts w:eastAsia="等线"/>
        </w:rPr>
        <w:t>AnalyticsSubscriptionsTransfer</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3E8A5CE9" w14:textId="77777777">
        <w:trPr>
          <w:jc w:val="center"/>
        </w:trPr>
        <w:tc>
          <w:tcPr>
            <w:tcW w:w="1628" w:type="dxa"/>
            <w:shd w:val="clear" w:color="auto" w:fill="C0C0C0"/>
          </w:tcPr>
          <w:p w14:paraId="6A0059E0" w14:textId="77777777" w:rsidR="00A10B25" w:rsidRDefault="00A10B25">
            <w:pPr>
              <w:pStyle w:val="TAH"/>
            </w:pPr>
            <w:r>
              <w:t>Attribute name</w:t>
            </w:r>
          </w:p>
        </w:tc>
        <w:tc>
          <w:tcPr>
            <w:tcW w:w="1701" w:type="dxa"/>
            <w:shd w:val="clear" w:color="auto" w:fill="C0C0C0"/>
          </w:tcPr>
          <w:p w14:paraId="2A84C9BB" w14:textId="77777777" w:rsidR="00A10B25" w:rsidRDefault="00A10B25">
            <w:pPr>
              <w:pStyle w:val="TAH"/>
            </w:pPr>
            <w:r>
              <w:t>Data type</w:t>
            </w:r>
          </w:p>
        </w:tc>
        <w:tc>
          <w:tcPr>
            <w:tcW w:w="426" w:type="dxa"/>
            <w:shd w:val="clear" w:color="auto" w:fill="C0C0C0"/>
          </w:tcPr>
          <w:p w14:paraId="433BDF3A" w14:textId="77777777" w:rsidR="00A10B25" w:rsidRDefault="00A10B25">
            <w:pPr>
              <w:pStyle w:val="TAH"/>
            </w:pPr>
            <w:r>
              <w:t>P</w:t>
            </w:r>
          </w:p>
        </w:tc>
        <w:tc>
          <w:tcPr>
            <w:tcW w:w="1134" w:type="dxa"/>
            <w:shd w:val="clear" w:color="auto" w:fill="C0C0C0"/>
          </w:tcPr>
          <w:p w14:paraId="6AEF9B2B" w14:textId="77777777" w:rsidR="00A10B25" w:rsidRDefault="00A10B25">
            <w:pPr>
              <w:pStyle w:val="TAH"/>
            </w:pPr>
            <w:r>
              <w:t>Cardinality</w:t>
            </w:r>
          </w:p>
        </w:tc>
        <w:tc>
          <w:tcPr>
            <w:tcW w:w="2976" w:type="dxa"/>
            <w:shd w:val="clear" w:color="auto" w:fill="C0C0C0"/>
          </w:tcPr>
          <w:p w14:paraId="0520BE6E" w14:textId="77777777" w:rsidR="00A10B25" w:rsidRDefault="00A10B25">
            <w:pPr>
              <w:pStyle w:val="TAH"/>
              <w:rPr>
                <w:rFonts w:cs="Arial"/>
                <w:szCs w:val="18"/>
              </w:rPr>
            </w:pPr>
            <w:r>
              <w:rPr>
                <w:rFonts w:cs="Arial"/>
                <w:szCs w:val="18"/>
              </w:rPr>
              <w:t>Description</w:t>
            </w:r>
          </w:p>
        </w:tc>
        <w:tc>
          <w:tcPr>
            <w:tcW w:w="1628" w:type="dxa"/>
            <w:shd w:val="clear" w:color="auto" w:fill="C0C0C0"/>
          </w:tcPr>
          <w:p w14:paraId="54363489" w14:textId="77777777" w:rsidR="00A10B25" w:rsidRDefault="00A10B25">
            <w:pPr>
              <w:pStyle w:val="TAH"/>
              <w:rPr>
                <w:rFonts w:cs="Arial"/>
                <w:szCs w:val="18"/>
              </w:rPr>
            </w:pPr>
            <w:r>
              <w:rPr>
                <w:rFonts w:cs="Arial"/>
                <w:szCs w:val="18"/>
              </w:rPr>
              <w:t>Applicability</w:t>
            </w:r>
          </w:p>
        </w:tc>
      </w:tr>
      <w:tr w:rsidR="00A10B25" w14:paraId="241A78E1" w14:textId="77777777">
        <w:trPr>
          <w:jc w:val="center"/>
        </w:trPr>
        <w:tc>
          <w:tcPr>
            <w:tcW w:w="1628" w:type="dxa"/>
          </w:tcPr>
          <w:p w14:paraId="5D1B3B1F" w14:textId="77777777" w:rsidR="00A10B25" w:rsidRDefault="00A10B25">
            <w:pPr>
              <w:pStyle w:val="TAL"/>
            </w:pPr>
            <w:r>
              <w:t>subsTransInfos</w:t>
            </w:r>
          </w:p>
        </w:tc>
        <w:tc>
          <w:tcPr>
            <w:tcW w:w="1701" w:type="dxa"/>
          </w:tcPr>
          <w:p w14:paraId="78B8045A" w14:textId="77777777" w:rsidR="00A10B25" w:rsidRDefault="00A10B25">
            <w:pPr>
              <w:pStyle w:val="TAL"/>
            </w:pPr>
            <w:r>
              <w:t>array(SubscriptionTransferInfo)</w:t>
            </w:r>
          </w:p>
        </w:tc>
        <w:tc>
          <w:tcPr>
            <w:tcW w:w="426" w:type="dxa"/>
          </w:tcPr>
          <w:p w14:paraId="468BE6B5" w14:textId="77777777" w:rsidR="00A10B25" w:rsidRDefault="00A10B25">
            <w:pPr>
              <w:pStyle w:val="TAL"/>
              <w:jc w:val="center"/>
            </w:pPr>
            <w:r>
              <w:t>M</w:t>
            </w:r>
          </w:p>
        </w:tc>
        <w:tc>
          <w:tcPr>
            <w:tcW w:w="1134" w:type="dxa"/>
          </w:tcPr>
          <w:p w14:paraId="001E8AE5" w14:textId="77777777" w:rsidR="00A10B25" w:rsidRDefault="00A10B25">
            <w:pPr>
              <w:pStyle w:val="TAL"/>
            </w:pPr>
            <w:r>
              <w:t>1..N</w:t>
            </w:r>
          </w:p>
        </w:tc>
        <w:tc>
          <w:tcPr>
            <w:tcW w:w="2976" w:type="dxa"/>
          </w:tcPr>
          <w:p w14:paraId="2EC31E34" w14:textId="77777777" w:rsidR="00A10B25" w:rsidRDefault="00A10B25">
            <w:pPr>
              <w:pStyle w:val="TAL"/>
              <w:rPr>
                <w:rFonts w:cs="Arial"/>
                <w:szCs w:val="18"/>
              </w:rPr>
            </w:pPr>
            <w:r>
              <w:rPr>
                <w:lang w:eastAsia="ko-KR"/>
              </w:rPr>
              <w:t>Contains information about the subscription(s) that are requested to be transferred.</w:t>
            </w:r>
          </w:p>
        </w:tc>
        <w:tc>
          <w:tcPr>
            <w:tcW w:w="1628" w:type="dxa"/>
          </w:tcPr>
          <w:p w14:paraId="0E6A6E69" w14:textId="77777777" w:rsidR="00A10B25" w:rsidRDefault="00A10B25">
            <w:pPr>
              <w:pStyle w:val="TAL"/>
              <w:rPr>
                <w:rFonts w:cs="Arial"/>
                <w:szCs w:val="18"/>
              </w:rPr>
            </w:pPr>
          </w:p>
        </w:tc>
      </w:tr>
      <w:tr w:rsidR="00A10B25" w14:paraId="72EC8776" w14:textId="77777777">
        <w:trPr>
          <w:jc w:val="center"/>
        </w:trPr>
        <w:tc>
          <w:tcPr>
            <w:tcW w:w="1628" w:type="dxa"/>
          </w:tcPr>
          <w:p w14:paraId="269C1533" w14:textId="77777777" w:rsidR="00A10B25" w:rsidRDefault="00A10B25">
            <w:pPr>
              <w:pStyle w:val="TAL"/>
            </w:pPr>
            <w:r>
              <w:t>failTransEventReports</w:t>
            </w:r>
          </w:p>
        </w:tc>
        <w:tc>
          <w:tcPr>
            <w:tcW w:w="1701" w:type="dxa"/>
          </w:tcPr>
          <w:p w14:paraId="4CE6079D" w14:textId="77777777" w:rsidR="00A10B25" w:rsidRDefault="00A10B25">
            <w:pPr>
              <w:pStyle w:val="TAL"/>
            </w:pPr>
            <w:r>
              <w:t>array(NwdafEvent)</w:t>
            </w:r>
          </w:p>
        </w:tc>
        <w:tc>
          <w:tcPr>
            <w:tcW w:w="426" w:type="dxa"/>
          </w:tcPr>
          <w:p w14:paraId="2FBEF3D1" w14:textId="77777777" w:rsidR="00A10B25" w:rsidRDefault="00A10B25">
            <w:pPr>
              <w:pStyle w:val="TAL"/>
              <w:jc w:val="center"/>
            </w:pPr>
            <w:r>
              <w:t>C</w:t>
            </w:r>
          </w:p>
        </w:tc>
        <w:tc>
          <w:tcPr>
            <w:tcW w:w="1134" w:type="dxa"/>
          </w:tcPr>
          <w:p w14:paraId="4B9C7457" w14:textId="77777777" w:rsidR="00A10B25" w:rsidRDefault="00A10B25">
            <w:pPr>
              <w:pStyle w:val="TAL"/>
            </w:pPr>
            <w:r>
              <w:t>1..N</w:t>
            </w:r>
          </w:p>
        </w:tc>
        <w:tc>
          <w:tcPr>
            <w:tcW w:w="2976" w:type="dxa"/>
          </w:tcPr>
          <w:p w14:paraId="4C27F829" w14:textId="77777777" w:rsidR="00A10B25" w:rsidRDefault="00A10B25">
            <w:pPr>
              <w:pStyle w:val="TAL"/>
            </w:pPr>
            <w:r>
              <w:t xml:space="preserve">It contains the event(s) for which the subscription transfer is not successful. </w:t>
            </w:r>
          </w:p>
          <w:p w14:paraId="34680C78" w14:textId="77777777" w:rsidR="00A10B25" w:rsidRDefault="00A10B25">
            <w:pPr>
              <w:pStyle w:val="TAL"/>
              <w:rPr>
                <w:lang w:eastAsia="ko-KR"/>
              </w:rPr>
            </w:pPr>
            <w:r>
              <w:rPr>
                <w:lang w:eastAsia="zh-CN"/>
              </w:rPr>
              <w:t xml:space="preserve">It shall be </w:t>
            </w:r>
            <w:r>
              <w:t>supplied by the Target NWDAF</w:t>
            </w:r>
            <w:r>
              <w:rPr>
                <w:lang w:eastAsia="zh-CN"/>
              </w:rPr>
              <w:t xml:space="preserve"> if not all the analytics events in the subscription transfer are accepted.</w:t>
            </w:r>
          </w:p>
        </w:tc>
        <w:tc>
          <w:tcPr>
            <w:tcW w:w="1628" w:type="dxa"/>
          </w:tcPr>
          <w:p w14:paraId="16B32DB0" w14:textId="77777777" w:rsidR="00A10B25" w:rsidRDefault="00A10B25">
            <w:pPr>
              <w:pStyle w:val="TAL"/>
              <w:rPr>
                <w:rFonts w:cs="Arial"/>
                <w:szCs w:val="18"/>
              </w:rPr>
            </w:pPr>
            <w:r>
              <w:rPr>
                <w:lang w:eastAsia="zh-CN"/>
              </w:rPr>
              <w:t>PartialAnalyticsSubTransfer</w:t>
            </w:r>
          </w:p>
        </w:tc>
      </w:tr>
    </w:tbl>
    <w:p w14:paraId="7715A17D" w14:textId="77777777" w:rsidR="00A10B25" w:rsidRDefault="00A10B25"/>
    <w:p w14:paraId="13E140B5" w14:textId="77777777" w:rsidR="00A10B25" w:rsidRDefault="00A10B25">
      <w:pPr>
        <w:pStyle w:val="5"/>
      </w:pPr>
      <w:bookmarkStart w:id="7050" w:name="_Toc88667620"/>
      <w:bookmarkStart w:id="7051" w:name="_Toc85557118"/>
      <w:bookmarkStart w:id="7052" w:name="_Toc112951164"/>
      <w:bookmarkStart w:id="7053" w:name="_Toc98233673"/>
      <w:bookmarkStart w:id="7054" w:name="_Toc104539042"/>
      <w:bookmarkStart w:id="7055" w:name="_Toc114133843"/>
      <w:bookmarkStart w:id="7056" w:name="_Toc120702343"/>
      <w:bookmarkStart w:id="7057" w:name="_Toc85553019"/>
      <w:bookmarkStart w:id="7058" w:name="_Toc90655905"/>
      <w:bookmarkStart w:id="7059" w:name="_Toc113031704"/>
      <w:bookmarkStart w:id="7060" w:name="_Toc101244449"/>
      <w:bookmarkStart w:id="7061" w:name="_Toc136562410"/>
      <w:bookmarkStart w:id="7062" w:name="_Toc94064288"/>
      <w:bookmarkStart w:id="7063" w:name="_Toc148522635"/>
      <w:bookmarkStart w:id="7064" w:name="_Toc138754244"/>
      <w:bookmarkStart w:id="7065" w:name="_Toc145705731"/>
      <w:bookmarkStart w:id="7066" w:name="_Toc164920815"/>
      <w:bookmarkStart w:id="7067" w:name="_Toc170120357"/>
      <w:bookmarkStart w:id="7068" w:name="_Toc175858602"/>
      <w:bookmarkStart w:id="7069" w:name="_Toc175859675"/>
      <w:bookmarkStart w:id="7070" w:name="_Toc180605965"/>
      <w:bookmarkStart w:id="7071" w:name="_Toc185517219"/>
      <w:bookmarkStart w:id="7072" w:name="_Toc191576270"/>
      <w:bookmarkStart w:id="7073" w:name="_Toc191577010"/>
      <w:bookmarkStart w:id="7074" w:name="_Toc192880080"/>
      <w:bookmarkStart w:id="7075" w:name="_Toc195814963"/>
      <w:bookmarkStart w:id="7076" w:name="_Toc199452930"/>
      <w:r>
        <w:t>5.1.6.2.41</w:t>
      </w:r>
      <w:r>
        <w:tab/>
        <w:t xml:space="preserve">Type </w:t>
      </w:r>
      <w:r>
        <w:rPr>
          <w:rFonts w:eastAsia="等线"/>
        </w:rPr>
        <w:t>SubscriptionTransferInfo</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437C22D1" w14:textId="77777777" w:rsidR="00A10B25" w:rsidRDefault="00A10B25">
      <w:pPr>
        <w:pStyle w:val="TH"/>
      </w:pPr>
      <w:r>
        <w:t xml:space="preserve">Table 5.1.6.2.41-1: Definition of type </w:t>
      </w:r>
      <w:r>
        <w:rPr>
          <w:rFonts w:eastAsia="等线"/>
        </w:rPr>
        <w:t>SubscriptionTransferInfo</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3A497640" w14:textId="77777777">
        <w:trPr>
          <w:jc w:val="center"/>
        </w:trPr>
        <w:tc>
          <w:tcPr>
            <w:tcW w:w="1628" w:type="dxa"/>
            <w:shd w:val="clear" w:color="auto" w:fill="C0C0C0"/>
          </w:tcPr>
          <w:p w14:paraId="0C507536" w14:textId="77777777" w:rsidR="00A10B25" w:rsidRDefault="00A10B25">
            <w:pPr>
              <w:pStyle w:val="TAH"/>
            </w:pPr>
            <w:r>
              <w:t>Attribute name</w:t>
            </w:r>
          </w:p>
        </w:tc>
        <w:tc>
          <w:tcPr>
            <w:tcW w:w="1701" w:type="dxa"/>
            <w:shd w:val="clear" w:color="auto" w:fill="C0C0C0"/>
          </w:tcPr>
          <w:p w14:paraId="05AD3E76" w14:textId="77777777" w:rsidR="00A10B25" w:rsidRDefault="00A10B25">
            <w:pPr>
              <w:pStyle w:val="TAH"/>
            </w:pPr>
            <w:r>
              <w:t>Data type</w:t>
            </w:r>
          </w:p>
        </w:tc>
        <w:tc>
          <w:tcPr>
            <w:tcW w:w="426" w:type="dxa"/>
            <w:shd w:val="clear" w:color="auto" w:fill="C0C0C0"/>
          </w:tcPr>
          <w:p w14:paraId="6241DDED" w14:textId="77777777" w:rsidR="00A10B25" w:rsidRDefault="00A10B25">
            <w:pPr>
              <w:pStyle w:val="TAH"/>
            </w:pPr>
            <w:r>
              <w:t>P</w:t>
            </w:r>
          </w:p>
        </w:tc>
        <w:tc>
          <w:tcPr>
            <w:tcW w:w="1134" w:type="dxa"/>
            <w:shd w:val="clear" w:color="auto" w:fill="C0C0C0"/>
          </w:tcPr>
          <w:p w14:paraId="13EBBB9F" w14:textId="77777777" w:rsidR="00A10B25" w:rsidRDefault="00A10B25">
            <w:pPr>
              <w:pStyle w:val="TAH"/>
            </w:pPr>
            <w:r>
              <w:t>Cardinality</w:t>
            </w:r>
          </w:p>
        </w:tc>
        <w:tc>
          <w:tcPr>
            <w:tcW w:w="2976" w:type="dxa"/>
            <w:shd w:val="clear" w:color="auto" w:fill="C0C0C0"/>
          </w:tcPr>
          <w:p w14:paraId="5589732A" w14:textId="77777777" w:rsidR="00A10B25" w:rsidRDefault="00A10B25">
            <w:pPr>
              <w:pStyle w:val="TAH"/>
              <w:rPr>
                <w:rFonts w:cs="Arial"/>
                <w:szCs w:val="18"/>
              </w:rPr>
            </w:pPr>
            <w:r>
              <w:rPr>
                <w:rFonts w:cs="Arial"/>
                <w:szCs w:val="18"/>
              </w:rPr>
              <w:t>Description</w:t>
            </w:r>
          </w:p>
        </w:tc>
        <w:tc>
          <w:tcPr>
            <w:tcW w:w="1628" w:type="dxa"/>
            <w:shd w:val="clear" w:color="auto" w:fill="C0C0C0"/>
          </w:tcPr>
          <w:p w14:paraId="1513F923" w14:textId="77777777" w:rsidR="00A10B25" w:rsidRDefault="00A10B25">
            <w:pPr>
              <w:pStyle w:val="TAH"/>
              <w:rPr>
                <w:rFonts w:cs="Arial"/>
                <w:szCs w:val="18"/>
              </w:rPr>
            </w:pPr>
            <w:r>
              <w:rPr>
                <w:rFonts w:cs="Arial"/>
                <w:szCs w:val="18"/>
              </w:rPr>
              <w:t>Applicability</w:t>
            </w:r>
          </w:p>
        </w:tc>
      </w:tr>
      <w:tr w:rsidR="00A10B25" w14:paraId="299C88F9" w14:textId="77777777">
        <w:trPr>
          <w:jc w:val="center"/>
        </w:trPr>
        <w:tc>
          <w:tcPr>
            <w:tcW w:w="1628" w:type="dxa"/>
          </w:tcPr>
          <w:p w14:paraId="2F4A5A7B" w14:textId="77777777" w:rsidR="00A10B25" w:rsidRDefault="00A10B25">
            <w:pPr>
              <w:pStyle w:val="TAL"/>
            </w:pPr>
            <w:r>
              <w:t>transReqType</w:t>
            </w:r>
          </w:p>
        </w:tc>
        <w:tc>
          <w:tcPr>
            <w:tcW w:w="1701" w:type="dxa"/>
          </w:tcPr>
          <w:p w14:paraId="527DE35E" w14:textId="77777777" w:rsidR="00A10B25" w:rsidRDefault="00A10B25">
            <w:pPr>
              <w:pStyle w:val="TAL"/>
            </w:pPr>
            <w:r>
              <w:t>TransferRequestType</w:t>
            </w:r>
          </w:p>
        </w:tc>
        <w:tc>
          <w:tcPr>
            <w:tcW w:w="426" w:type="dxa"/>
          </w:tcPr>
          <w:p w14:paraId="42888050" w14:textId="77777777" w:rsidR="00A10B25" w:rsidRDefault="00A10B25">
            <w:pPr>
              <w:pStyle w:val="TAL"/>
              <w:jc w:val="center"/>
            </w:pPr>
            <w:r>
              <w:t>M</w:t>
            </w:r>
          </w:p>
        </w:tc>
        <w:tc>
          <w:tcPr>
            <w:tcW w:w="1134" w:type="dxa"/>
          </w:tcPr>
          <w:p w14:paraId="09AF5DE0" w14:textId="77777777" w:rsidR="00A10B25" w:rsidRDefault="00A10B25">
            <w:pPr>
              <w:pStyle w:val="TAL"/>
            </w:pPr>
            <w:r>
              <w:t>1</w:t>
            </w:r>
          </w:p>
        </w:tc>
        <w:tc>
          <w:tcPr>
            <w:tcW w:w="2976" w:type="dxa"/>
          </w:tcPr>
          <w:p w14:paraId="27B10190" w14:textId="77777777" w:rsidR="00A10B25" w:rsidRDefault="00A10B25">
            <w:pPr>
              <w:pStyle w:val="TAL"/>
              <w:rPr>
                <w:rFonts w:cs="Arial"/>
                <w:szCs w:val="18"/>
              </w:rPr>
            </w:pPr>
            <w:r>
              <w:t>Indicates the type of the transfer request (i.e. if it is a request for transfer preparation or transfer execution)</w:t>
            </w:r>
          </w:p>
        </w:tc>
        <w:tc>
          <w:tcPr>
            <w:tcW w:w="1628" w:type="dxa"/>
          </w:tcPr>
          <w:p w14:paraId="4C95CB13" w14:textId="77777777" w:rsidR="00A10B25" w:rsidRDefault="00A10B25">
            <w:pPr>
              <w:pStyle w:val="TAL"/>
              <w:rPr>
                <w:rFonts w:cs="Arial"/>
                <w:szCs w:val="18"/>
              </w:rPr>
            </w:pPr>
          </w:p>
        </w:tc>
      </w:tr>
      <w:tr w:rsidR="00A10B25" w14:paraId="437E4178" w14:textId="77777777">
        <w:trPr>
          <w:jc w:val="center"/>
        </w:trPr>
        <w:tc>
          <w:tcPr>
            <w:tcW w:w="1628" w:type="dxa"/>
          </w:tcPr>
          <w:p w14:paraId="753F6F9A" w14:textId="77777777" w:rsidR="00A10B25" w:rsidRDefault="00A10B25">
            <w:pPr>
              <w:pStyle w:val="TAL"/>
            </w:pPr>
            <w:r>
              <w:t>nwdafEvSub</w:t>
            </w:r>
          </w:p>
        </w:tc>
        <w:tc>
          <w:tcPr>
            <w:tcW w:w="1701" w:type="dxa"/>
          </w:tcPr>
          <w:p w14:paraId="1DA95B29" w14:textId="77777777" w:rsidR="00A10B25" w:rsidRDefault="00A10B25">
            <w:pPr>
              <w:pStyle w:val="TAL"/>
            </w:pPr>
            <w:r>
              <w:rPr>
                <w:rFonts w:eastAsia="等线"/>
              </w:rPr>
              <w:t>NnwdafEventsSubscription</w:t>
            </w:r>
          </w:p>
        </w:tc>
        <w:tc>
          <w:tcPr>
            <w:tcW w:w="426" w:type="dxa"/>
          </w:tcPr>
          <w:p w14:paraId="051B033F" w14:textId="77777777" w:rsidR="00A10B25" w:rsidRDefault="00A10B25">
            <w:pPr>
              <w:pStyle w:val="TAL"/>
              <w:jc w:val="center"/>
              <w:rPr>
                <w:lang w:eastAsia="zh-CN"/>
              </w:rPr>
            </w:pPr>
            <w:r>
              <w:rPr>
                <w:lang w:eastAsia="zh-CN"/>
              </w:rPr>
              <w:t>M</w:t>
            </w:r>
          </w:p>
        </w:tc>
        <w:tc>
          <w:tcPr>
            <w:tcW w:w="1134" w:type="dxa"/>
          </w:tcPr>
          <w:p w14:paraId="78584912" w14:textId="77777777" w:rsidR="00A10B25" w:rsidRDefault="00A10B25">
            <w:pPr>
              <w:pStyle w:val="TAL"/>
            </w:pPr>
            <w:r>
              <w:t>1</w:t>
            </w:r>
          </w:p>
        </w:tc>
        <w:tc>
          <w:tcPr>
            <w:tcW w:w="2976" w:type="dxa"/>
          </w:tcPr>
          <w:p w14:paraId="6DF838CA" w14:textId="77777777" w:rsidR="00A10B25" w:rsidRDefault="00A10B25">
            <w:pPr>
              <w:pStyle w:val="TAL"/>
              <w:rPr>
                <w:rFonts w:cs="Arial"/>
                <w:szCs w:val="18"/>
              </w:rPr>
            </w:pPr>
            <w:r>
              <w:t>Contains information about the analytics subscription that is to be transferred. (NOTE)</w:t>
            </w:r>
          </w:p>
        </w:tc>
        <w:tc>
          <w:tcPr>
            <w:tcW w:w="1628" w:type="dxa"/>
          </w:tcPr>
          <w:p w14:paraId="66A783F5" w14:textId="77777777" w:rsidR="00A10B25" w:rsidRDefault="00A10B25">
            <w:pPr>
              <w:pStyle w:val="TAL"/>
              <w:rPr>
                <w:rFonts w:cs="Arial"/>
                <w:szCs w:val="18"/>
              </w:rPr>
            </w:pPr>
          </w:p>
        </w:tc>
      </w:tr>
      <w:tr w:rsidR="00A10B25" w14:paraId="1C861DD4" w14:textId="77777777">
        <w:trPr>
          <w:jc w:val="center"/>
        </w:trPr>
        <w:tc>
          <w:tcPr>
            <w:tcW w:w="1628" w:type="dxa"/>
          </w:tcPr>
          <w:p w14:paraId="5DA26EE9" w14:textId="77777777" w:rsidR="00A10B25" w:rsidRDefault="00A10B25">
            <w:pPr>
              <w:pStyle w:val="TAL"/>
            </w:pPr>
            <w:r>
              <w:rPr>
                <w:lang w:val="en-US" w:eastAsia="zh-CN"/>
              </w:rPr>
              <w:t>consumerId</w:t>
            </w:r>
          </w:p>
        </w:tc>
        <w:tc>
          <w:tcPr>
            <w:tcW w:w="1701" w:type="dxa"/>
          </w:tcPr>
          <w:p w14:paraId="3B85C413" w14:textId="77777777" w:rsidR="00A10B25" w:rsidRDefault="00A10B25">
            <w:pPr>
              <w:pStyle w:val="TAL"/>
            </w:pPr>
            <w:r>
              <w:t>NfInstanceId</w:t>
            </w:r>
          </w:p>
        </w:tc>
        <w:tc>
          <w:tcPr>
            <w:tcW w:w="426" w:type="dxa"/>
          </w:tcPr>
          <w:p w14:paraId="15BFE82B" w14:textId="77777777" w:rsidR="00A10B25" w:rsidRDefault="00A10B25">
            <w:pPr>
              <w:pStyle w:val="TAL"/>
              <w:jc w:val="center"/>
              <w:rPr>
                <w:lang w:eastAsia="zh-CN"/>
              </w:rPr>
            </w:pPr>
            <w:r>
              <w:rPr>
                <w:lang w:eastAsia="zh-CN"/>
              </w:rPr>
              <w:t>M</w:t>
            </w:r>
          </w:p>
        </w:tc>
        <w:tc>
          <w:tcPr>
            <w:tcW w:w="1134" w:type="dxa"/>
          </w:tcPr>
          <w:p w14:paraId="7E3A763C" w14:textId="77777777" w:rsidR="00A10B25" w:rsidRDefault="00A10B25">
            <w:pPr>
              <w:pStyle w:val="TAL"/>
            </w:pPr>
            <w:r>
              <w:t>1</w:t>
            </w:r>
          </w:p>
        </w:tc>
        <w:tc>
          <w:tcPr>
            <w:tcW w:w="2976" w:type="dxa"/>
          </w:tcPr>
          <w:p w14:paraId="23D6D9FA" w14:textId="77777777" w:rsidR="00A10B25" w:rsidRDefault="00A10B25">
            <w:pPr>
              <w:pStyle w:val="TAL"/>
              <w:rPr>
                <w:lang w:eastAsia="ko-KR"/>
              </w:rPr>
            </w:pPr>
            <w:r>
              <w:rPr>
                <w:lang w:val="en-US" w:eastAsia="zh-CN"/>
              </w:rPr>
              <w:t>NF instance identifer of the consumer of the analytics subscription that is to be transferred.</w:t>
            </w:r>
          </w:p>
        </w:tc>
        <w:tc>
          <w:tcPr>
            <w:tcW w:w="1628" w:type="dxa"/>
          </w:tcPr>
          <w:p w14:paraId="0475212B" w14:textId="77777777" w:rsidR="00A10B25" w:rsidRDefault="00A10B25">
            <w:pPr>
              <w:pStyle w:val="TAL"/>
              <w:rPr>
                <w:rFonts w:cs="Arial"/>
                <w:szCs w:val="18"/>
              </w:rPr>
            </w:pPr>
          </w:p>
        </w:tc>
      </w:tr>
      <w:tr w:rsidR="00A10B25" w14:paraId="6C792FD6" w14:textId="77777777">
        <w:trPr>
          <w:jc w:val="center"/>
        </w:trPr>
        <w:tc>
          <w:tcPr>
            <w:tcW w:w="1628" w:type="dxa"/>
          </w:tcPr>
          <w:p w14:paraId="60331220" w14:textId="77777777" w:rsidR="00A10B25" w:rsidRDefault="00A10B25">
            <w:pPr>
              <w:pStyle w:val="TAL"/>
            </w:pPr>
            <w:r>
              <w:rPr>
                <w:lang w:val="en-US" w:eastAsia="zh-CN"/>
              </w:rPr>
              <w:t>contextId</w:t>
            </w:r>
          </w:p>
        </w:tc>
        <w:tc>
          <w:tcPr>
            <w:tcW w:w="1701" w:type="dxa"/>
          </w:tcPr>
          <w:p w14:paraId="224B33BD" w14:textId="77777777" w:rsidR="00A10B25" w:rsidRDefault="00A10B25">
            <w:pPr>
              <w:pStyle w:val="TAL"/>
            </w:pPr>
            <w:r>
              <w:t>AnalyticsContextIdentifier</w:t>
            </w:r>
          </w:p>
        </w:tc>
        <w:tc>
          <w:tcPr>
            <w:tcW w:w="426" w:type="dxa"/>
          </w:tcPr>
          <w:p w14:paraId="3A0C9288" w14:textId="77777777" w:rsidR="00A10B25" w:rsidRDefault="00A10B25">
            <w:pPr>
              <w:pStyle w:val="TAL"/>
              <w:jc w:val="center"/>
              <w:rPr>
                <w:lang w:eastAsia="zh-CN"/>
              </w:rPr>
            </w:pPr>
            <w:r>
              <w:rPr>
                <w:lang w:eastAsia="zh-CN"/>
              </w:rPr>
              <w:t>O</w:t>
            </w:r>
          </w:p>
        </w:tc>
        <w:tc>
          <w:tcPr>
            <w:tcW w:w="1134" w:type="dxa"/>
          </w:tcPr>
          <w:p w14:paraId="0F5E4014" w14:textId="77777777" w:rsidR="00A10B25" w:rsidRDefault="00A10B25">
            <w:pPr>
              <w:pStyle w:val="TAL"/>
            </w:pPr>
            <w:r>
              <w:t>0..1</w:t>
            </w:r>
          </w:p>
        </w:tc>
        <w:tc>
          <w:tcPr>
            <w:tcW w:w="2976" w:type="dxa"/>
          </w:tcPr>
          <w:p w14:paraId="2DCCFC7C" w14:textId="77777777" w:rsidR="00A10B25" w:rsidRDefault="00A10B25">
            <w:pPr>
              <w:pStyle w:val="TAL"/>
              <w:rPr>
                <w:lang w:eastAsia="ko-KR"/>
              </w:rPr>
            </w:pPr>
            <w:r>
              <w:t xml:space="preserve">Identifier of </w:t>
            </w:r>
            <w:r>
              <w:rPr>
                <w:lang w:eastAsia="zh-CN"/>
              </w:rPr>
              <w:t>analytics context information available at the NF service consumer.</w:t>
            </w:r>
          </w:p>
        </w:tc>
        <w:tc>
          <w:tcPr>
            <w:tcW w:w="1628" w:type="dxa"/>
          </w:tcPr>
          <w:p w14:paraId="2BFEE3E2" w14:textId="77777777" w:rsidR="00A10B25" w:rsidRDefault="00A10B25">
            <w:pPr>
              <w:pStyle w:val="TAL"/>
              <w:rPr>
                <w:rFonts w:cs="Arial"/>
                <w:szCs w:val="18"/>
              </w:rPr>
            </w:pPr>
          </w:p>
        </w:tc>
      </w:tr>
      <w:tr w:rsidR="00A10B25" w14:paraId="45A22DFF" w14:textId="77777777">
        <w:trPr>
          <w:jc w:val="center"/>
        </w:trPr>
        <w:tc>
          <w:tcPr>
            <w:tcW w:w="1628" w:type="dxa"/>
          </w:tcPr>
          <w:p w14:paraId="002D23AD" w14:textId="77777777" w:rsidR="00A10B25" w:rsidRDefault="00A10B25">
            <w:pPr>
              <w:pStyle w:val="TAL"/>
            </w:pPr>
            <w:r>
              <w:rPr>
                <w:lang w:val="en-US" w:eastAsia="zh-CN"/>
              </w:rPr>
              <w:t>sourceNfIds</w:t>
            </w:r>
          </w:p>
        </w:tc>
        <w:tc>
          <w:tcPr>
            <w:tcW w:w="1701" w:type="dxa"/>
          </w:tcPr>
          <w:p w14:paraId="5EBE4BEF" w14:textId="77777777" w:rsidR="00A10B25" w:rsidRDefault="00A10B25">
            <w:pPr>
              <w:pStyle w:val="TAL"/>
            </w:pPr>
            <w:r>
              <w:t>array(NfInstanceId)</w:t>
            </w:r>
          </w:p>
        </w:tc>
        <w:tc>
          <w:tcPr>
            <w:tcW w:w="426" w:type="dxa"/>
          </w:tcPr>
          <w:p w14:paraId="4573F07C" w14:textId="77777777" w:rsidR="00A10B25" w:rsidRDefault="00A10B25">
            <w:pPr>
              <w:pStyle w:val="TAL"/>
              <w:jc w:val="center"/>
              <w:rPr>
                <w:lang w:eastAsia="zh-CN"/>
              </w:rPr>
            </w:pPr>
            <w:r>
              <w:rPr>
                <w:lang w:eastAsia="zh-CN"/>
              </w:rPr>
              <w:t>O</w:t>
            </w:r>
          </w:p>
        </w:tc>
        <w:tc>
          <w:tcPr>
            <w:tcW w:w="1134" w:type="dxa"/>
          </w:tcPr>
          <w:p w14:paraId="0BDD930D" w14:textId="77777777" w:rsidR="00A10B25" w:rsidRDefault="00A10B25">
            <w:pPr>
              <w:pStyle w:val="TAL"/>
            </w:pPr>
            <w:r>
              <w:t>1..N</w:t>
            </w:r>
          </w:p>
        </w:tc>
        <w:tc>
          <w:tcPr>
            <w:tcW w:w="2976" w:type="dxa"/>
          </w:tcPr>
          <w:p w14:paraId="4E5F1092" w14:textId="77777777" w:rsidR="00A10B25" w:rsidRDefault="00A10B25">
            <w:pPr>
              <w:pStyle w:val="TAL"/>
              <w:rPr>
                <w:lang w:eastAsia="ko-KR"/>
              </w:rPr>
            </w:pPr>
            <w:r>
              <w:rPr>
                <w:lang w:val="en-US" w:eastAsia="zh-CN"/>
              </w:rPr>
              <w:t xml:space="preserve">NF instance identifer(s) of </w:t>
            </w:r>
            <w:r>
              <w:rPr>
                <w:lang w:eastAsia="zh-CN"/>
              </w:rPr>
              <w:t>active data source(s) the NF service consumer is currently using for the analytics of the subscription that is to be transferred.</w:t>
            </w:r>
          </w:p>
        </w:tc>
        <w:tc>
          <w:tcPr>
            <w:tcW w:w="1628" w:type="dxa"/>
          </w:tcPr>
          <w:p w14:paraId="300B8961" w14:textId="77777777" w:rsidR="00A10B25" w:rsidRDefault="00A10B25">
            <w:pPr>
              <w:pStyle w:val="TAL"/>
              <w:rPr>
                <w:rFonts w:cs="Arial"/>
                <w:szCs w:val="18"/>
              </w:rPr>
            </w:pPr>
          </w:p>
        </w:tc>
      </w:tr>
      <w:tr w:rsidR="00A10B25" w14:paraId="0271FFFA" w14:textId="77777777">
        <w:trPr>
          <w:jc w:val="center"/>
        </w:trPr>
        <w:tc>
          <w:tcPr>
            <w:tcW w:w="1628" w:type="dxa"/>
          </w:tcPr>
          <w:p w14:paraId="79CB6EB8" w14:textId="77777777" w:rsidR="00A10B25" w:rsidRDefault="00A10B25">
            <w:pPr>
              <w:pStyle w:val="TAL"/>
            </w:pPr>
            <w:r>
              <w:rPr>
                <w:lang w:val="en-US" w:eastAsia="zh-CN"/>
              </w:rPr>
              <w:t>sourceSetIds</w:t>
            </w:r>
          </w:p>
        </w:tc>
        <w:tc>
          <w:tcPr>
            <w:tcW w:w="1701" w:type="dxa"/>
          </w:tcPr>
          <w:p w14:paraId="0C6375F1" w14:textId="77777777" w:rsidR="00A10B25" w:rsidRDefault="00A10B25">
            <w:pPr>
              <w:pStyle w:val="TAL"/>
            </w:pPr>
            <w:r>
              <w:t>array(NfSetId)</w:t>
            </w:r>
          </w:p>
        </w:tc>
        <w:tc>
          <w:tcPr>
            <w:tcW w:w="426" w:type="dxa"/>
          </w:tcPr>
          <w:p w14:paraId="5EB06402" w14:textId="77777777" w:rsidR="00A10B25" w:rsidRDefault="00A10B25">
            <w:pPr>
              <w:pStyle w:val="TAL"/>
              <w:jc w:val="center"/>
            </w:pPr>
            <w:r>
              <w:t>O</w:t>
            </w:r>
          </w:p>
        </w:tc>
        <w:tc>
          <w:tcPr>
            <w:tcW w:w="1134" w:type="dxa"/>
          </w:tcPr>
          <w:p w14:paraId="2FF9892E" w14:textId="77777777" w:rsidR="00A10B25" w:rsidRDefault="00A10B25">
            <w:pPr>
              <w:pStyle w:val="TAL"/>
            </w:pPr>
            <w:r>
              <w:t>1..N</w:t>
            </w:r>
          </w:p>
        </w:tc>
        <w:tc>
          <w:tcPr>
            <w:tcW w:w="2976" w:type="dxa"/>
          </w:tcPr>
          <w:p w14:paraId="13106522" w14:textId="77777777" w:rsidR="00A10B25" w:rsidRDefault="00A10B25">
            <w:pPr>
              <w:pStyle w:val="TAL"/>
              <w:rPr>
                <w:lang w:eastAsia="zh-CN"/>
              </w:rPr>
            </w:pPr>
            <w:r>
              <w:rPr>
                <w:lang w:val="en-US" w:eastAsia="zh-CN"/>
              </w:rPr>
              <w:t xml:space="preserve">NF set identifer(s) of </w:t>
            </w:r>
            <w:r>
              <w:rPr>
                <w:lang w:eastAsia="zh-CN"/>
              </w:rPr>
              <w:t>active data source(s) the NF service consumer is currently using for the analytics of the subscription that is to be transferred.</w:t>
            </w:r>
          </w:p>
        </w:tc>
        <w:tc>
          <w:tcPr>
            <w:tcW w:w="1628" w:type="dxa"/>
          </w:tcPr>
          <w:p w14:paraId="77047E66" w14:textId="77777777" w:rsidR="00A10B25" w:rsidRDefault="00A10B25">
            <w:pPr>
              <w:pStyle w:val="TAL"/>
              <w:rPr>
                <w:rFonts w:cs="Arial"/>
                <w:szCs w:val="18"/>
              </w:rPr>
            </w:pPr>
          </w:p>
        </w:tc>
      </w:tr>
      <w:tr w:rsidR="00A10B25" w14:paraId="7EC34FB3" w14:textId="77777777">
        <w:trPr>
          <w:jc w:val="center"/>
        </w:trPr>
        <w:tc>
          <w:tcPr>
            <w:tcW w:w="1628" w:type="dxa"/>
          </w:tcPr>
          <w:p w14:paraId="6A75C31B" w14:textId="77777777" w:rsidR="00A10B25" w:rsidRDefault="00AD5F95">
            <w:pPr>
              <w:pStyle w:val="TAL"/>
            </w:pPr>
            <w:r>
              <w:rPr>
                <w:lang w:val="en-US" w:eastAsia="zh-CN"/>
              </w:rPr>
              <w:t>modelInfo</w:t>
            </w:r>
          </w:p>
        </w:tc>
        <w:tc>
          <w:tcPr>
            <w:tcW w:w="1701" w:type="dxa"/>
          </w:tcPr>
          <w:p w14:paraId="42CABFDF" w14:textId="77777777" w:rsidR="00A10B25" w:rsidRDefault="00A10B25">
            <w:pPr>
              <w:pStyle w:val="TAL"/>
            </w:pPr>
            <w:r>
              <w:t>array(ModelInfo)</w:t>
            </w:r>
          </w:p>
        </w:tc>
        <w:tc>
          <w:tcPr>
            <w:tcW w:w="426" w:type="dxa"/>
          </w:tcPr>
          <w:p w14:paraId="772FAF6A" w14:textId="77777777" w:rsidR="00A10B25" w:rsidRDefault="00A10B25">
            <w:pPr>
              <w:pStyle w:val="TAL"/>
              <w:jc w:val="center"/>
            </w:pPr>
            <w:r>
              <w:t>O</w:t>
            </w:r>
          </w:p>
        </w:tc>
        <w:tc>
          <w:tcPr>
            <w:tcW w:w="1134" w:type="dxa"/>
          </w:tcPr>
          <w:p w14:paraId="7B697ACD" w14:textId="77777777" w:rsidR="00A10B25" w:rsidRDefault="00A10B25">
            <w:pPr>
              <w:pStyle w:val="TAL"/>
            </w:pPr>
            <w:r>
              <w:t>1..N</w:t>
            </w:r>
          </w:p>
        </w:tc>
        <w:tc>
          <w:tcPr>
            <w:tcW w:w="2976" w:type="dxa"/>
          </w:tcPr>
          <w:p w14:paraId="18991013" w14:textId="77777777" w:rsidR="00A10B25" w:rsidRDefault="00A10B25">
            <w:pPr>
              <w:pStyle w:val="TAL"/>
              <w:rPr>
                <w:lang w:eastAsia="zh-CN"/>
              </w:rPr>
            </w:pPr>
            <w:r>
              <w:rPr>
                <w:lang w:val="en-US" w:eastAsia="zh-CN"/>
              </w:rPr>
              <w:t>Contains i</w:t>
            </w:r>
            <w:r>
              <w:rPr>
                <w:lang w:eastAsia="zh-CN"/>
              </w:rPr>
              <w:t>nformation identifying the ML model(s) that the NF service consumer is currently using for the analytics.</w:t>
            </w:r>
          </w:p>
        </w:tc>
        <w:tc>
          <w:tcPr>
            <w:tcW w:w="1628" w:type="dxa"/>
          </w:tcPr>
          <w:p w14:paraId="430A5748" w14:textId="77777777" w:rsidR="00A10B25" w:rsidRDefault="00A10B25">
            <w:pPr>
              <w:pStyle w:val="TAL"/>
              <w:rPr>
                <w:rFonts w:cs="Arial"/>
                <w:szCs w:val="18"/>
              </w:rPr>
            </w:pPr>
          </w:p>
        </w:tc>
      </w:tr>
      <w:tr w:rsidR="00A10B25" w14:paraId="0D3A83C9" w14:textId="77777777">
        <w:trPr>
          <w:jc w:val="center"/>
        </w:trPr>
        <w:tc>
          <w:tcPr>
            <w:tcW w:w="9493" w:type="dxa"/>
            <w:gridSpan w:val="6"/>
          </w:tcPr>
          <w:p w14:paraId="25D59179" w14:textId="77777777" w:rsidR="00A10B25" w:rsidRDefault="00A10B25">
            <w:pPr>
              <w:pStyle w:val="TAN"/>
            </w:pPr>
            <w:r>
              <w:t>NOTE:</w:t>
            </w:r>
            <w:r>
              <w:tab/>
              <w:t>The "nwdafEvSub" attribute shall contain the "notificationURI" attribute.</w:t>
            </w:r>
          </w:p>
        </w:tc>
      </w:tr>
    </w:tbl>
    <w:p w14:paraId="18DE6BAC" w14:textId="77777777" w:rsidR="00A10B25" w:rsidRDefault="00A10B25" w:rsidP="0076721C"/>
    <w:p w14:paraId="27D55B0F" w14:textId="77777777" w:rsidR="00A10B25" w:rsidRDefault="00A10B25">
      <w:pPr>
        <w:pStyle w:val="5"/>
      </w:pPr>
      <w:bookmarkStart w:id="7077" w:name="_Toc88667621"/>
      <w:bookmarkStart w:id="7078" w:name="_Toc94064289"/>
      <w:bookmarkStart w:id="7079" w:name="_Toc101244450"/>
      <w:bookmarkStart w:id="7080" w:name="_Toc85557119"/>
      <w:bookmarkStart w:id="7081" w:name="_Toc136562411"/>
      <w:bookmarkStart w:id="7082" w:name="_Toc113031705"/>
      <w:bookmarkStart w:id="7083" w:name="_Toc90655906"/>
      <w:bookmarkStart w:id="7084" w:name="_Toc85553020"/>
      <w:bookmarkStart w:id="7085" w:name="_Toc138754245"/>
      <w:bookmarkStart w:id="7086" w:name="_Toc145705732"/>
      <w:bookmarkStart w:id="7087" w:name="_Toc98233674"/>
      <w:bookmarkStart w:id="7088" w:name="_Toc112951165"/>
      <w:bookmarkStart w:id="7089" w:name="_Toc120702344"/>
      <w:bookmarkStart w:id="7090" w:name="_Toc114133844"/>
      <w:bookmarkStart w:id="7091" w:name="_Toc148522636"/>
      <w:bookmarkStart w:id="7092" w:name="_Toc104539043"/>
      <w:bookmarkStart w:id="7093" w:name="_Toc164920816"/>
      <w:bookmarkStart w:id="7094" w:name="_Toc170120358"/>
      <w:bookmarkStart w:id="7095" w:name="_Toc175858603"/>
      <w:bookmarkStart w:id="7096" w:name="_Toc175859676"/>
      <w:bookmarkStart w:id="7097" w:name="_Toc180605966"/>
      <w:bookmarkStart w:id="7098" w:name="_Toc185517220"/>
      <w:bookmarkStart w:id="7099" w:name="_Toc191576271"/>
      <w:bookmarkStart w:id="7100" w:name="_Toc191577011"/>
      <w:bookmarkStart w:id="7101" w:name="_Toc192880081"/>
      <w:bookmarkStart w:id="7102" w:name="_Toc195814964"/>
      <w:bookmarkStart w:id="7103" w:name="_Toc199452931"/>
      <w:r>
        <w:t>5.1.6.2.42</w:t>
      </w:r>
      <w:r>
        <w:tab/>
        <w:t>Type ModelInfo</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3F13236B" w14:textId="77777777" w:rsidR="00A10B25" w:rsidRDefault="00A10B25">
      <w:pPr>
        <w:pStyle w:val="TH"/>
      </w:pPr>
      <w:r>
        <w:t>Table 5.1.6.2.42-1: Definition of type ModelInfo</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E6765E9" w14:textId="77777777">
        <w:trPr>
          <w:jc w:val="center"/>
        </w:trPr>
        <w:tc>
          <w:tcPr>
            <w:tcW w:w="1628" w:type="dxa"/>
            <w:shd w:val="clear" w:color="auto" w:fill="C0C0C0"/>
          </w:tcPr>
          <w:p w14:paraId="5C4298F6" w14:textId="77777777" w:rsidR="00A10B25" w:rsidRDefault="00A10B25">
            <w:pPr>
              <w:pStyle w:val="TAH"/>
            </w:pPr>
            <w:r>
              <w:t>Attribute name</w:t>
            </w:r>
          </w:p>
        </w:tc>
        <w:tc>
          <w:tcPr>
            <w:tcW w:w="1701" w:type="dxa"/>
            <w:shd w:val="clear" w:color="auto" w:fill="C0C0C0"/>
          </w:tcPr>
          <w:p w14:paraId="01F2EE16" w14:textId="77777777" w:rsidR="00A10B25" w:rsidRDefault="00A10B25">
            <w:pPr>
              <w:pStyle w:val="TAH"/>
            </w:pPr>
            <w:r>
              <w:t>Data type</w:t>
            </w:r>
          </w:p>
        </w:tc>
        <w:tc>
          <w:tcPr>
            <w:tcW w:w="426" w:type="dxa"/>
            <w:shd w:val="clear" w:color="auto" w:fill="C0C0C0"/>
          </w:tcPr>
          <w:p w14:paraId="5FA477DD" w14:textId="77777777" w:rsidR="00A10B25" w:rsidRDefault="00A10B25">
            <w:pPr>
              <w:pStyle w:val="TAH"/>
            </w:pPr>
            <w:r>
              <w:t>P</w:t>
            </w:r>
          </w:p>
        </w:tc>
        <w:tc>
          <w:tcPr>
            <w:tcW w:w="1134" w:type="dxa"/>
            <w:shd w:val="clear" w:color="auto" w:fill="C0C0C0"/>
          </w:tcPr>
          <w:p w14:paraId="43974A21" w14:textId="77777777" w:rsidR="00A10B25" w:rsidRDefault="00A10B25">
            <w:pPr>
              <w:pStyle w:val="TAH"/>
            </w:pPr>
            <w:r>
              <w:t>Cardinality</w:t>
            </w:r>
          </w:p>
        </w:tc>
        <w:tc>
          <w:tcPr>
            <w:tcW w:w="2976" w:type="dxa"/>
            <w:shd w:val="clear" w:color="auto" w:fill="C0C0C0"/>
          </w:tcPr>
          <w:p w14:paraId="1E03B399" w14:textId="77777777" w:rsidR="00A10B25" w:rsidRDefault="00A10B25">
            <w:pPr>
              <w:pStyle w:val="TAH"/>
              <w:rPr>
                <w:rFonts w:cs="Arial"/>
                <w:szCs w:val="18"/>
              </w:rPr>
            </w:pPr>
            <w:r>
              <w:rPr>
                <w:rFonts w:cs="Arial"/>
                <w:szCs w:val="18"/>
              </w:rPr>
              <w:t>Description</w:t>
            </w:r>
          </w:p>
        </w:tc>
        <w:tc>
          <w:tcPr>
            <w:tcW w:w="1628" w:type="dxa"/>
            <w:shd w:val="clear" w:color="auto" w:fill="C0C0C0"/>
          </w:tcPr>
          <w:p w14:paraId="0F0DC5BC" w14:textId="77777777" w:rsidR="00A10B25" w:rsidRDefault="00A10B25">
            <w:pPr>
              <w:pStyle w:val="TAH"/>
              <w:rPr>
                <w:rFonts w:cs="Arial"/>
                <w:szCs w:val="18"/>
              </w:rPr>
            </w:pPr>
            <w:r>
              <w:rPr>
                <w:rFonts w:cs="Arial"/>
                <w:szCs w:val="18"/>
              </w:rPr>
              <w:t>Applicability</w:t>
            </w:r>
          </w:p>
        </w:tc>
      </w:tr>
      <w:tr w:rsidR="00A10B25" w14:paraId="595895CC" w14:textId="77777777">
        <w:trPr>
          <w:jc w:val="center"/>
        </w:trPr>
        <w:tc>
          <w:tcPr>
            <w:tcW w:w="1628" w:type="dxa"/>
          </w:tcPr>
          <w:p w14:paraId="7FBD605A" w14:textId="77777777" w:rsidR="00A10B25" w:rsidRDefault="00A10B25">
            <w:pPr>
              <w:pStyle w:val="TAL"/>
            </w:pPr>
            <w:r>
              <w:t>analyticsId</w:t>
            </w:r>
          </w:p>
        </w:tc>
        <w:tc>
          <w:tcPr>
            <w:tcW w:w="1701" w:type="dxa"/>
          </w:tcPr>
          <w:p w14:paraId="1F264C31" w14:textId="77777777" w:rsidR="00A10B25" w:rsidRDefault="00A10B25">
            <w:pPr>
              <w:pStyle w:val="TAL"/>
            </w:pPr>
            <w:r>
              <w:t>NwdafEvent</w:t>
            </w:r>
          </w:p>
        </w:tc>
        <w:tc>
          <w:tcPr>
            <w:tcW w:w="426" w:type="dxa"/>
          </w:tcPr>
          <w:p w14:paraId="1B45B212" w14:textId="77777777" w:rsidR="00A10B25" w:rsidRDefault="00A10B25">
            <w:pPr>
              <w:pStyle w:val="TAL"/>
              <w:jc w:val="center"/>
            </w:pPr>
            <w:r>
              <w:t>M</w:t>
            </w:r>
          </w:p>
        </w:tc>
        <w:tc>
          <w:tcPr>
            <w:tcW w:w="1134" w:type="dxa"/>
          </w:tcPr>
          <w:p w14:paraId="5BCD0DD7" w14:textId="77777777" w:rsidR="00A10B25" w:rsidRDefault="00A10B25">
            <w:pPr>
              <w:pStyle w:val="TAL"/>
            </w:pPr>
            <w:r>
              <w:t>1</w:t>
            </w:r>
          </w:p>
        </w:tc>
        <w:tc>
          <w:tcPr>
            <w:tcW w:w="2976" w:type="dxa"/>
          </w:tcPr>
          <w:p w14:paraId="6498DEE0" w14:textId="77777777" w:rsidR="00A10B25" w:rsidRDefault="00A10B25">
            <w:pPr>
              <w:pStyle w:val="TAL"/>
              <w:rPr>
                <w:rFonts w:cs="Arial"/>
                <w:szCs w:val="18"/>
              </w:rPr>
            </w:pPr>
            <w:r>
              <w:t>Type of analytics for which this ML model is used.</w:t>
            </w:r>
          </w:p>
        </w:tc>
        <w:tc>
          <w:tcPr>
            <w:tcW w:w="1628" w:type="dxa"/>
          </w:tcPr>
          <w:p w14:paraId="57AB152F" w14:textId="77777777" w:rsidR="00A10B25" w:rsidRDefault="00A10B25">
            <w:pPr>
              <w:pStyle w:val="TAL"/>
              <w:rPr>
                <w:rFonts w:cs="Arial"/>
                <w:szCs w:val="18"/>
              </w:rPr>
            </w:pPr>
          </w:p>
        </w:tc>
      </w:tr>
      <w:tr w:rsidR="00A10B25" w14:paraId="17819360" w14:textId="77777777">
        <w:trPr>
          <w:jc w:val="center"/>
        </w:trPr>
        <w:tc>
          <w:tcPr>
            <w:tcW w:w="1628" w:type="dxa"/>
          </w:tcPr>
          <w:p w14:paraId="36779843" w14:textId="77777777" w:rsidR="00A10B25" w:rsidRDefault="00A10B25">
            <w:pPr>
              <w:pStyle w:val="TAL"/>
            </w:pPr>
            <w:r>
              <w:rPr>
                <w:lang w:eastAsia="zh-CN"/>
              </w:rPr>
              <w:t>mlModelInfos</w:t>
            </w:r>
          </w:p>
        </w:tc>
        <w:tc>
          <w:tcPr>
            <w:tcW w:w="1701" w:type="dxa"/>
          </w:tcPr>
          <w:p w14:paraId="2519246C" w14:textId="77777777" w:rsidR="00A10B25" w:rsidRDefault="00A10B25">
            <w:pPr>
              <w:pStyle w:val="TAL"/>
            </w:pPr>
            <w:r>
              <w:rPr>
                <w:lang w:eastAsia="zh-CN"/>
              </w:rPr>
              <w:t>array(MLModelInfo)</w:t>
            </w:r>
          </w:p>
        </w:tc>
        <w:tc>
          <w:tcPr>
            <w:tcW w:w="426" w:type="dxa"/>
          </w:tcPr>
          <w:p w14:paraId="50971428" w14:textId="77777777" w:rsidR="00A10B25" w:rsidRDefault="00A10B25">
            <w:pPr>
              <w:pStyle w:val="TAL"/>
              <w:jc w:val="center"/>
            </w:pPr>
            <w:r>
              <w:rPr>
                <w:lang w:eastAsia="zh-CN"/>
              </w:rPr>
              <w:t>M</w:t>
            </w:r>
          </w:p>
        </w:tc>
        <w:tc>
          <w:tcPr>
            <w:tcW w:w="1134" w:type="dxa"/>
          </w:tcPr>
          <w:p w14:paraId="4EED22F7" w14:textId="77777777" w:rsidR="00A10B25" w:rsidRDefault="00A10B25">
            <w:pPr>
              <w:pStyle w:val="TAL"/>
            </w:pPr>
            <w:r>
              <w:t>1..N</w:t>
            </w:r>
          </w:p>
        </w:tc>
        <w:tc>
          <w:tcPr>
            <w:tcW w:w="2976" w:type="dxa"/>
          </w:tcPr>
          <w:p w14:paraId="7A632ECD" w14:textId="77777777" w:rsidR="00A10B25" w:rsidRDefault="00A10B25">
            <w:pPr>
              <w:pStyle w:val="TAL"/>
            </w:pPr>
            <w:r>
              <w:rPr>
                <w:lang w:eastAsia="zh-CN"/>
              </w:rPr>
              <w:t>The information of the ML models which are applicable to the event indicated by "analyticsId" attribute.</w:t>
            </w:r>
          </w:p>
        </w:tc>
        <w:tc>
          <w:tcPr>
            <w:tcW w:w="1628" w:type="dxa"/>
          </w:tcPr>
          <w:p w14:paraId="4A075CD7" w14:textId="77777777" w:rsidR="00A10B25" w:rsidRDefault="00A10B25">
            <w:pPr>
              <w:pStyle w:val="TAL"/>
              <w:rPr>
                <w:rFonts w:cs="Arial"/>
                <w:szCs w:val="18"/>
              </w:rPr>
            </w:pPr>
          </w:p>
        </w:tc>
      </w:tr>
    </w:tbl>
    <w:p w14:paraId="60FF9999" w14:textId="77777777" w:rsidR="00A10B25" w:rsidRDefault="00A10B25">
      <w:pPr>
        <w:pStyle w:val="B1"/>
      </w:pPr>
    </w:p>
    <w:p w14:paraId="48B4669C" w14:textId="77777777" w:rsidR="00A10B25" w:rsidRDefault="00A10B25">
      <w:pPr>
        <w:pStyle w:val="5"/>
      </w:pPr>
      <w:bookmarkStart w:id="7104" w:name="_Toc114133845"/>
      <w:bookmarkStart w:id="7105" w:name="_Toc120702345"/>
      <w:bookmarkStart w:id="7106" w:name="_Toc136562412"/>
      <w:bookmarkStart w:id="7107" w:name="_Toc85557120"/>
      <w:bookmarkStart w:id="7108" w:name="_Toc94064290"/>
      <w:bookmarkStart w:id="7109" w:name="_Toc145705733"/>
      <w:bookmarkStart w:id="7110" w:name="_Toc98233675"/>
      <w:bookmarkStart w:id="7111" w:name="_Toc85553021"/>
      <w:bookmarkStart w:id="7112" w:name="_Toc112951166"/>
      <w:bookmarkStart w:id="7113" w:name="_Toc138754246"/>
      <w:bookmarkStart w:id="7114" w:name="_Toc113031706"/>
      <w:bookmarkStart w:id="7115" w:name="_Toc104539044"/>
      <w:bookmarkStart w:id="7116" w:name="_Toc101244451"/>
      <w:bookmarkStart w:id="7117" w:name="_Toc88667622"/>
      <w:bookmarkStart w:id="7118" w:name="_Toc148522637"/>
      <w:bookmarkStart w:id="7119" w:name="_Toc90655907"/>
      <w:bookmarkStart w:id="7120" w:name="_Toc164920817"/>
      <w:bookmarkStart w:id="7121" w:name="_Toc170120359"/>
      <w:bookmarkStart w:id="7122" w:name="_Toc175858604"/>
      <w:bookmarkStart w:id="7123" w:name="_Toc175859677"/>
      <w:bookmarkStart w:id="7124" w:name="_Toc180605967"/>
      <w:bookmarkStart w:id="7125" w:name="_Toc185517221"/>
      <w:bookmarkStart w:id="7126" w:name="_Toc191576272"/>
      <w:bookmarkStart w:id="7127" w:name="_Toc191577012"/>
      <w:bookmarkStart w:id="7128" w:name="_Toc192880082"/>
      <w:bookmarkStart w:id="7129" w:name="_Toc195814965"/>
      <w:bookmarkStart w:id="7130" w:name="_Toc199452932"/>
      <w:r>
        <w:lastRenderedPageBreak/>
        <w:t>5.1.6.2.43</w:t>
      </w:r>
      <w:r>
        <w:tab/>
        <w:t>Type AnalyticsContextIdentifier</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4BD15B51" w14:textId="77777777" w:rsidR="00A10B25" w:rsidRDefault="00A10B25">
      <w:pPr>
        <w:pStyle w:val="TH"/>
      </w:pPr>
      <w:r>
        <w:t>Table 5.1.6.2.43-1: Definition of type AnalyticsContextIdentifier</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58E6ECA2" w14:textId="77777777">
        <w:trPr>
          <w:jc w:val="center"/>
        </w:trPr>
        <w:tc>
          <w:tcPr>
            <w:tcW w:w="1628" w:type="dxa"/>
            <w:shd w:val="clear" w:color="auto" w:fill="C0C0C0"/>
          </w:tcPr>
          <w:p w14:paraId="39A91ACD" w14:textId="77777777" w:rsidR="00A10B25" w:rsidRDefault="00A10B25">
            <w:pPr>
              <w:pStyle w:val="TAH"/>
            </w:pPr>
            <w:r>
              <w:t>Attribute name</w:t>
            </w:r>
          </w:p>
        </w:tc>
        <w:tc>
          <w:tcPr>
            <w:tcW w:w="1701" w:type="dxa"/>
            <w:shd w:val="clear" w:color="auto" w:fill="C0C0C0"/>
          </w:tcPr>
          <w:p w14:paraId="2776054A" w14:textId="77777777" w:rsidR="00A10B25" w:rsidRDefault="00A10B25">
            <w:pPr>
              <w:pStyle w:val="TAH"/>
            </w:pPr>
            <w:r>
              <w:t>Data type</w:t>
            </w:r>
          </w:p>
        </w:tc>
        <w:tc>
          <w:tcPr>
            <w:tcW w:w="426" w:type="dxa"/>
            <w:shd w:val="clear" w:color="auto" w:fill="C0C0C0"/>
          </w:tcPr>
          <w:p w14:paraId="75B5A10D" w14:textId="77777777" w:rsidR="00A10B25" w:rsidRDefault="00A10B25">
            <w:pPr>
              <w:pStyle w:val="TAH"/>
            </w:pPr>
            <w:r>
              <w:t>P</w:t>
            </w:r>
          </w:p>
        </w:tc>
        <w:tc>
          <w:tcPr>
            <w:tcW w:w="1134" w:type="dxa"/>
            <w:shd w:val="clear" w:color="auto" w:fill="C0C0C0"/>
          </w:tcPr>
          <w:p w14:paraId="53F06044" w14:textId="77777777" w:rsidR="00A10B25" w:rsidRDefault="00A10B25">
            <w:pPr>
              <w:pStyle w:val="TAH"/>
            </w:pPr>
            <w:r>
              <w:t>Cardinality</w:t>
            </w:r>
          </w:p>
        </w:tc>
        <w:tc>
          <w:tcPr>
            <w:tcW w:w="2976" w:type="dxa"/>
            <w:shd w:val="clear" w:color="auto" w:fill="C0C0C0"/>
          </w:tcPr>
          <w:p w14:paraId="47A9E3F3" w14:textId="77777777" w:rsidR="00A10B25" w:rsidRDefault="00A10B25">
            <w:pPr>
              <w:pStyle w:val="TAH"/>
              <w:rPr>
                <w:rFonts w:cs="Arial"/>
                <w:szCs w:val="18"/>
              </w:rPr>
            </w:pPr>
            <w:r>
              <w:rPr>
                <w:rFonts w:cs="Arial"/>
                <w:szCs w:val="18"/>
              </w:rPr>
              <w:t>Description</w:t>
            </w:r>
          </w:p>
        </w:tc>
        <w:tc>
          <w:tcPr>
            <w:tcW w:w="1628" w:type="dxa"/>
            <w:shd w:val="clear" w:color="auto" w:fill="C0C0C0"/>
          </w:tcPr>
          <w:p w14:paraId="5B9AB38C" w14:textId="77777777" w:rsidR="00A10B25" w:rsidRDefault="00A10B25">
            <w:pPr>
              <w:pStyle w:val="TAH"/>
              <w:rPr>
                <w:rFonts w:cs="Arial"/>
                <w:szCs w:val="18"/>
              </w:rPr>
            </w:pPr>
            <w:r>
              <w:rPr>
                <w:rFonts w:cs="Arial"/>
                <w:szCs w:val="18"/>
              </w:rPr>
              <w:t>Applicability</w:t>
            </w:r>
          </w:p>
        </w:tc>
      </w:tr>
      <w:tr w:rsidR="00A10B25" w14:paraId="2B0318B6" w14:textId="77777777">
        <w:trPr>
          <w:jc w:val="center"/>
        </w:trPr>
        <w:tc>
          <w:tcPr>
            <w:tcW w:w="1628" w:type="dxa"/>
          </w:tcPr>
          <w:p w14:paraId="2E10D679" w14:textId="77777777" w:rsidR="00A10B25" w:rsidRDefault="00A10B25">
            <w:pPr>
              <w:pStyle w:val="TAL"/>
            </w:pPr>
            <w:r>
              <w:t>subscriptionId</w:t>
            </w:r>
          </w:p>
        </w:tc>
        <w:tc>
          <w:tcPr>
            <w:tcW w:w="1701" w:type="dxa"/>
          </w:tcPr>
          <w:p w14:paraId="5700AEB5" w14:textId="77777777" w:rsidR="00A10B25" w:rsidRDefault="00A10B25">
            <w:pPr>
              <w:pStyle w:val="TAL"/>
            </w:pPr>
            <w:r>
              <w:t>string</w:t>
            </w:r>
          </w:p>
        </w:tc>
        <w:tc>
          <w:tcPr>
            <w:tcW w:w="426" w:type="dxa"/>
          </w:tcPr>
          <w:p w14:paraId="503B2BEC" w14:textId="77777777" w:rsidR="00A10B25" w:rsidRDefault="00A10B25">
            <w:pPr>
              <w:pStyle w:val="TAL"/>
              <w:jc w:val="center"/>
            </w:pPr>
            <w:r>
              <w:t>M</w:t>
            </w:r>
          </w:p>
        </w:tc>
        <w:tc>
          <w:tcPr>
            <w:tcW w:w="1134" w:type="dxa"/>
          </w:tcPr>
          <w:p w14:paraId="0910D23B" w14:textId="77777777" w:rsidR="00A10B25" w:rsidRDefault="00A10B25">
            <w:pPr>
              <w:pStyle w:val="TAL"/>
            </w:pPr>
            <w:r>
              <w:t>1</w:t>
            </w:r>
          </w:p>
        </w:tc>
        <w:tc>
          <w:tcPr>
            <w:tcW w:w="2976" w:type="dxa"/>
          </w:tcPr>
          <w:p w14:paraId="655DDE93" w14:textId="77777777" w:rsidR="00A10B25" w:rsidRDefault="00A10B25">
            <w:pPr>
              <w:pStyle w:val="TAL"/>
              <w:rPr>
                <w:rFonts w:cs="Arial"/>
                <w:szCs w:val="18"/>
              </w:rPr>
            </w:pPr>
            <w:r>
              <w:t>Identifies a subscription to the Nnwdaf_EventsSubscription Service.</w:t>
            </w:r>
          </w:p>
        </w:tc>
        <w:tc>
          <w:tcPr>
            <w:tcW w:w="1628" w:type="dxa"/>
          </w:tcPr>
          <w:p w14:paraId="5D308FA2" w14:textId="77777777" w:rsidR="00A10B25" w:rsidRDefault="00A10B25">
            <w:pPr>
              <w:pStyle w:val="TAL"/>
              <w:rPr>
                <w:rFonts w:cs="Arial"/>
                <w:szCs w:val="18"/>
              </w:rPr>
            </w:pPr>
          </w:p>
        </w:tc>
      </w:tr>
      <w:tr w:rsidR="00542337" w14:paraId="076B7F8F" w14:textId="77777777">
        <w:trPr>
          <w:jc w:val="center"/>
        </w:trPr>
        <w:tc>
          <w:tcPr>
            <w:tcW w:w="1628" w:type="dxa"/>
          </w:tcPr>
          <w:p w14:paraId="30D7D64F" w14:textId="77777777" w:rsidR="00542337" w:rsidRDefault="00542337" w:rsidP="00542337">
            <w:pPr>
              <w:pStyle w:val="TAL"/>
            </w:pPr>
            <w:r>
              <w:t>nfAnaCtxts</w:t>
            </w:r>
          </w:p>
        </w:tc>
        <w:tc>
          <w:tcPr>
            <w:tcW w:w="1701" w:type="dxa"/>
          </w:tcPr>
          <w:p w14:paraId="63456685" w14:textId="77777777" w:rsidR="00542337" w:rsidRDefault="00542337" w:rsidP="00542337">
            <w:pPr>
              <w:pStyle w:val="TAL"/>
            </w:pPr>
            <w:r>
              <w:t>array(NwdafEvent)</w:t>
            </w:r>
          </w:p>
        </w:tc>
        <w:tc>
          <w:tcPr>
            <w:tcW w:w="426" w:type="dxa"/>
          </w:tcPr>
          <w:p w14:paraId="787AE3A4" w14:textId="0EFA1730" w:rsidR="00542337" w:rsidRDefault="00542337" w:rsidP="00542337">
            <w:pPr>
              <w:pStyle w:val="TAL"/>
              <w:jc w:val="center"/>
            </w:pPr>
            <w:r>
              <w:t>C</w:t>
            </w:r>
          </w:p>
        </w:tc>
        <w:tc>
          <w:tcPr>
            <w:tcW w:w="1134" w:type="dxa"/>
          </w:tcPr>
          <w:p w14:paraId="1D7BF6ED" w14:textId="77777777" w:rsidR="00542337" w:rsidRDefault="00542337" w:rsidP="00542337">
            <w:pPr>
              <w:pStyle w:val="TAL"/>
            </w:pPr>
            <w:r>
              <w:t>1..N</w:t>
            </w:r>
          </w:p>
        </w:tc>
        <w:tc>
          <w:tcPr>
            <w:tcW w:w="2976" w:type="dxa"/>
          </w:tcPr>
          <w:p w14:paraId="37BCAEC0" w14:textId="77777777" w:rsidR="00542337" w:rsidRDefault="00542337" w:rsidP="00542337">
            <w:pPr>
              <w:pStyle w:val="TAL"/>
            </w:pPr>
            <w:r>
              <w:rPr>
                <w:lang w:eastAsia="ja-JP"/>
              </w:rPr>
              <w:t>List of analytics types for which NF related analytics contexts can be retrieved. (NOTE)</w:t>
            </w:r>
          </w:p>
        </w:tc>
        <w:tc>
          <w:tcPr>
            <w:tcW w:w="1628" w:type="dxa"/>
          </w:tcPr>
          <w:p w14:paraId="5C88CE9F" w14:textId="77777777" w:rsidR="00542337" w:rsidRDefault="00542337" w:rsidP="00542337">
            <w:pPr>
              <w:pStyle w:val="TAL"/>
              <w:rPr>
                <w:rFonts w:cs="Arial"/>
                <w:szCs w:val="18"/>
              </w:rPr>
            </w:pPr>
          </w:p>
        </w:tc>
      </w:tr>
      <w:tr w:rsidR="00542337" w14:paraId="39EF0FA3" w14:textId="77777777">
        <w:trPr>
          <w:jc w:val="center"/>
        </w:trPr>
        <w:tc>
          <w:tcPr>
            <w:tcW w:w="1628" w:type="dxa"/>
          </w:tcPr>
          <w:p w14:paraId="4209439A" w14:textId="77777777" w:rsidR="00542337" w:rsidRDefault="00542337" w:rsidP="00542337">
            <w:pPr>
              <w:pStyle w:val="TAL"/>
            </w:pPr>
            <w:r>
              <w:t>ueAnaCtxts</w:t>
            </w:r>
          </w:p>
        </w:tc>
        <w:tc>
          <w:tcPr>
            <w:tcW w:w="1701" w:type="dxa"/>
          </w:tcPr>
          <w:p w14:paraId="78733CB0" w14:textId="77777777" w:rsidR="00542337" w:rsidRDefault="00542337" w:rsidP="00542337">
            <w:pPr>
              <w:pStyle w:val="TAL"/>
            </w:pPr>
            <w:r>
              <w:t>array(UeAnalyticsContextDescriptor)</w:t>
            </w:r>
          </w:p>
        </w:tc>
        <w:tc>
          <w:tcPr>
            <w:tcW w:w="426" w:type="dxa"/>
          </w:tcPr>
          <w:p w14:paraId="77EC32A8" w14:textId="2B583D71" w:rsidR="00542337" w:rsidRDefault="00542337" w:rsidP="00542337">
            <w:pPr>
              <w:pStyle w:val="TAL"/>
              <w:jc w:val="center"/>
            </w:pPr>
            <w:r>
              <w:t>C</w:t>
            </w:r>
          </w:p>
        </w:tc>
        <w:tc>
          <w:tcPr>
            <w:tcW w:w="1134" w:type="dxa"/>
          </w:tcPr>
          <w:p w14:paraId="3B6047A6" w14:textId="77777777" w:rsidR="00542337" w:rsidRDefault="00542337" w:rsidP="00542337">
            <w:pPr>
              <w:pStyle w:val="TAL"/>
            </w:pPr>
            <w:r>
              <w:t>1..N</w:t>
            </w:r>
          </w:p>
        </w:tc>
        <w:tc>
          <w:tcPr>
            <w:tcW w:w="2976" w:type="dxa"/>
          </w:tcPr>
          <w:p w14:paraId="77A98571" w14:textId="77777777" w:rsidR="00542337" w:rsidRDefault="00542337" w:rsidP="00542337">
            <w:pPr>
              <w:pStyle w:val="TAL"/>
              <w:rPr>
                <w:lang w:eastAsia="ja-JP"/>
              </w:rPr>
            </w:pPr>
            <w:r>
              <w:rPr>
                <w:lang w:eastAsia="ja-JP"/>
              </w:rPr>
              <w:t>List of objects that indicate for which SUPI and analytics types combinations analytics context can be retrieved. (NOTE)</w:t>
            </w:r>
          </w:p>
        </w:tc>
        <w:tc>
          <w:tcPr>
            <w:tcW w:w="1628" w:type="dxa"/>
          </w:tcPr>
          <w:p w14:paraId="3D712D99" w14:textId="77777777" w:rsidR="00542337" w:rsidRDefault="00542337" w:rsidP="00542337">
            <w:pPr>
              <w:pStyle w:val="TAL"/>
              <w:rPr>
                <w:rFonts w:cs="Arial"/>
                <w:szCs w:val="18"/>
              </w:rPr>
            </w:pPr>
          </w:p>
        </w:tc>
      </w:tr>
      <w:tr w:rsidR="00542337" w14:paraId="2C7C162A" w14:textId="77777777">
        <w:trPr>
          <w:jc w:val="center"/>
        </w:trPr>
        <w:tc>
          <w:tcPr>
            <w:tcW w:w="9493" w:type="dxa"/>
            <w:gridSpan w:val="6"/>
          </w:tcPr>
          <w:p w14:paraId="2337BDE1" w14:textId="77777777" w:rsidR="00542337" w:rsidRDefault="00542337" w:rsidP="00542337">
            <w:pPr>
              <w:pStyle w:val="TAN"/>
              <w:rPr>
                <w:rFonts w:cs="Arial"/>
                <w:szCs w:val="18"/>
              </w:rPr>
            </w:pPr>
            <w:r>
              <w:t>NOTE:</w:t>
            </w:r>
            <w:r>
              <w:tab/>
              <w:t>At least one of the "nfAnaCtxts" and "ueAnaCtxts" attributes shall be provided.</w:t>
            </w:r>
          </w:p>
        </w:tc>
      </w:tr>
    </w:tbl>
    <w:p w14:paraId="2F6B104B" w14:textId="77777777" w:rsidR="00A10B25" w:rsidRDefault="00A10B25"/>
    <w:p w14:paraId="395CC837" w14:textId="77777777" w:rsidR="00A10B25" w:rsidRDefault="00A10B25">
      <w:pPr>
        <w:pStyle w:val="5"/>
      </w:pPr>
      <w:bookmarkStart w:id="7131" w:name="_Toc101244452"/>
      <w:bookmarkStart w:id="7132" w:name="_Toc94064291"/>
      <w:bookmarkStart w:id="7133" w:name="_Toc85553022"/>
      <w:bookmarkStart w:id="7134" w:name="_Toc104539045"/>
      <w:bookmarkStart w:id="7135" w:name="_Toc120702346"/>
      <w:bookmarkStart w:id="7136" w:name="_Toc112951167"/>
      <w:bookmarkStart w:id="7137" w:name="_Toc90655908"/>
      <w:bookmarkStart w:id="7138" w:name="_Toc98233676"/>
      <w:bookmarkStart w:id="7139" w:name="_Toc114133846"/>
      <w:bookmarkStart w:id="7140" w:name="_Toc138754247"/>
      <w:bookmarkStart w:id="7141" w:name="_Toc145705734"/>
      <w:bookmarkStart w:id="7142" w:name="_Toc88667623"/>
      <w:bookmarkStart w:id="7143" w:name="_Toc136562413"/>
      <w:bookmarkStart w:id="7144" w:name="_Toc148522638"/>
      <w:bookmarkStart w:id="7145" w:name="_Toc85557121"/>
      <w:bookmarkStart w:id="7146" w:name="_Toc113031707"/>
      <w:bookmarkStart w:id="7147" w:name="_Toc164920818"/>
      <w:bookmarkStart w:id="7148" w:name="_Toc170120360"/>
      <w:bookmarkStart w:id="7149" w:name="_Toc175858605"/>
      <w:bookmarkStart w:id="7150" w:name="_Toc175859678"/>
      <w:bookmarkStart w:id="7151" w:name="_Toc180605968"/>
      <w:bookmarkStart w:id="7152" w:name="_Toc185517222"/>
      <w:bookmarkStart w:id="7153" w:name="_Toc191576273"/>
      <w:bookmarkStart w:id="7154" w:name="_Toc191577013"/>
      <w:bookmarkStart w:id="7155" w:name="_Toc192880083"/>
      <w:bookmarkStart w:id="7156" w:name="_Toc195814966"/>
      <w:bookmarkStart w:id="7157" w:name="_Toc199452933"/>
      <w:r>
        <w:t>5.1.6.2.44</w:t>
      </w:r>
      <w:r>
        <w:tab/>
        <w:t>Type UeAnalyticsContextDescriptor</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3779BDF2" w14:textId="77777777" w:rsidR="00A10B25" w:rsidRDefault="00A10B25">
      <w:pPr>
        <w:pStyle w:val="TH"/>
      </w:pPr>
      <w:r>
        <w:t>Table 5.1.6.2.44-1: Definition of type UeAnalyticsContextDescriptor</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2F96D48E" w14:textId="77777777">
        <w:trPr>
          <w:jc w:val="center"/>
        </w:trPr>
        <w:tc>
          <w:tcPr>
            <w:tcW w:w="1628" w:type="dxa"/>
            <w:shd w:val="clear" w:color="auto" w:fill="C0C0C0"/>
          </w:tcPr>
          <w:p w14:paraId="5478D031" w14:textId="77777777" w:rsidR="00A10B25" w:rsidRDefault="00A10B25">
            <w:pPr>
              <w:pStyle w:val="TAH"/>
            </w:pPr>
            <w:r>
              <w:t>Attribute name</w:t>
            </w:r>
          </w:p>
        </w:tc>
        <w:tc>
          <w:tcPr>
            <w:tcW w:w="1701" w:type="dxa"/>
            <w:shd w:val="clear" w:color="auto" w:fill="C0C0C0"/>
          </w:tcPr>
          <w:p w14:paraId="39D7DB7E" w14:textId="77777777" w:rsidR="00A10B25" w:rsidRDefault="00A10B25">
            <w:pPr>
              <w:pStyle w:val="TAH"/>
            </w:pPr>
            <w:r>
              <w:t>Data type</w:t>
            </w:r>
          </w:p>
        </w:tc>
        <w:tc>
          <w:tcPr>
            <w:tcW w:w="426" w:type="dxa"/>
            <w:shd w:val="clear" w:color="auto" w:fill="C0C0C0"/>
          </w:tcPr>
          <w:p w14:paraId="290C35A2" w14:textId="77777777" w:rsidR="00A10B25" w:rsidRDefault="00A10B25">
            <w:pPr>
              <w:pStyle w:val="TAH"/>
            </w:pPr>
            <w:r>
              <w:t>P</w:t>
            </w:r>
          </w:p>
        </w:tc>
        <w:tc>
          <w:tcPr>
            <w:tcW w:w="1134" w:type="dxa"/>
            <w:shd w:val="clear" w:color="auto" w:fill="C0C0C0"/>
          </w:tcPr>
          <w:p w14:paraId="54725EEB" w14:textId="77777777" w:rsidR="00A10B25" w:rsidRDefault="00A10B25">
            <w:pPr>
              <w:pStyle w:val="TAH"/>
            </w:pPr>
            <w:r>
              <w:t>Cardinality</w:t>
            </w:r>
          </w:p>
        </w:tc>
        <w:tc>
          <w:tcPr>
            <w:tcW w:w="2976" w:type="dxa"/>
            <w:shd w:val="clear" w:color="auto" w:fill="C0C0C0"/>
          </w:tcPr>
          <w:p w14:paraId="42B039C2" w14:textId="77777777" w:rsidR="00A10B25" w:rsidRDefault="00A10B25">
            <w:pPr>
              <w:pStyle w:val="TAH"/>
              <w:rPr>
                <w:rFonts w:cs="Arial"/>
                <w:szCs w:val="18"/>
              </w:rPr>
            </w:pPr>
            <w:r>
              <w:rPr>
                <w:rFonts w:cs="Arial"/>
                <w:szCs w:val="18"/>
              </w:rPr>
              <w:t>Description</w:t>
            </w:r>
          </w:p>
        </w:tc>
        <w:tc>
          <w:tcPr>
            <w:tcW w:w="1628" w:type="dxa"/>
            <w:shd w:val="clear" w:color="auto" w:fill="C0C0C0"/>
          </w:tcPr>
          <w:p w14:paraId="7DA49FE3" w14:textId="77777777" w:rsidR="00A10B25" w:rsidRDefault="00A10B25">
            <w:pPr>
              <w:pStyle w:val="TAH"/>
              <w:rPr>
                <w:rFonts w:cs="Arial"/>
                <w:szCs w:val="18"/>
              </w:rPr>
            </w:pPr>
            <w:r>
              <w:rPr>
                <w:rFonts w:cs="Arial"/>
                <w:szCs w:val="18"/>
              </w:rPr>
              <w:t>Applicability</w:t>
            </w:r>
          </w:p>
        </w:tc>
      </w:tr>
      <w:tr w:rsidR="00A10B25" w14:paraId="6E5592A3" w14:textId="77777777">
        <w:trPr>
          <w:jc w:val="center"/>
        </w:trPr>
        <w:tc>
          <w:tcPr>
            <w:tcW w:w="1628" w:type="dxa"/>
          </w:tcPr>
          <w:p w14:paraId="486526A0" w14:textId="77777777" w:rsidR="00A10B25" w:rsidRDefault="00A10B25">
            <w:pPr>
              <w:pStyle w:val="TAL"/>
            </w:pPr>
            <w:r>
              <w:t>supi</w:t>
            </w:r>
          </w:p>
        </w:tc>
        <w:tc>
          <w:tcPr>
            <w:tcW w:w="1701" w:type="dxa"/>
          </w:tcPr>
          <w:p w14:paraId="6B879633" w14:textId="77777777" w:rsidR="00A10B25" w:rsidRDefault="00A10B25">
            <w:pPr>
              <w:pStyle w:val="TAL"/>
            </w:pPr>
            <w:r>
              <w:t>Supi</w:t>
            </w:r>
          </w:p>
        </w:tc>
        <w:tc>
          <w:tcPr>
            <w:tcW w:w="426" w:type="dxa"/>
          </w:tcPr>
          <w:p w14:paraId="4B9A06B5" w14:textId="77777777" w:rsidR="00A10B25" w:rsidRDefault="00A10B25">
            <w:pPr>
              <w:pStyle w:val="TAL"/>
              <w:jc w:val="center"/>
            </w:pPr>
            <w:r>
              <w:t>M</w:t>
            </w:r>
          </w:p>
        </w:tc>
        <w:tc>
          <w:tcPr>
            <w:tcW w:w="1134" w:type="dxa"/>
          </w:tcPr>
          <w:p w14:paraId="6F00220C" w14:textId="77777777" w:rsidR="00A10B25" w:rsidRDefault="00A10B25">
            <w:pPr>
              <w:pStyle w:val="TAL"/>
            </w:pPr>
            <w:r>
              <w:t>1</w:t>
            </w:r>
          </w:p>
        </w:tc>
        <w:tc>
          <w:tcPr>
            <w:tcW w:w="2976" w:type="dxa"/>
          </w:tcPr>
          <w:p w14:paraId="73270D75" w14:textId="77777777" w:rsidR="00A10B25" w:rsidRDefault="00A10B25">
            <w:pPr>
              <w:pStyle w:val="TAL"/>
              <w:rPr>
                <w:rFonts w:cs="Arial"/>
                <w:szCs w:val="18"/>
              </w:rPr>
            </w:pPr>
            <w:r>
              <w:t>SUPI of the UE for which analytics context can be retrieved.</w:t>
            </w:r>
          </w:p>
        </w:tc>
        <w:tc>
          <w:tcPr>
            <w:tcW w:w="1628" w:type="dxa"/>
          </w:tcPr>
          <w:p w14:paraId="3C3C3F4F" w14:textId="77777777" w:rsidR="00A10B25" w:rsidRDefault="00A10B25">
            <w:pPr>
              <w:pStyle w:val="TAL"/>
              <w:rPr>
                <w:rFonts w:cs="Arial"/>
                <w:szCs w:val="18"/>
              </w:rPr>
            </w:pPr>
          </w:p>
        </w:tc>
      </w:tr>
      <w:tr w:rsidR="00A10B25" w14:paraId="3A8D4876" w14:textId="77777777">
        <w:trPr>
          <w:jc w:val="center"/>
        </w:trPr>
        <w:tc>
          <w:tcPr>
            <w:tcW w:w="1628" w:type="dxa"/>
          </w:tcPr>
          <w:p w14:paraId="63E7685B" w14:textId="77777777" w:rsidR="00A10B25" w:rsidRDefault="00A10B25">
            <w:pPr>
              <w:pStyle w:val="TAL"/>
            </w:pPr>
            <w:r>
              <w:t>anaTypes</w:t>
            </w:r>
          </w:p>
        </w:tc>
        <w:tc>
          <w:tcPr>
            <w:tcW w:w="1701" w:type="dxa"/>
          </w:tcPr>
          <w:p w14:paraId="3F9B4FB0" w14:textId="77777777" w:rsidR="00A10B25" w:rsidRDefault="00A10B25">
            <w:pPr>
              <w:pStyle w:val="TAL"/>
            </w:pPr>
            <w:r>
              <w:t>array(NwdafEvent)</w:t>
            </w:r>
          </w:p>
        </w:tc>
        <w:tc>
          <w:tcPr>
            <w:tcW w:w="426" w:type="dxa"/>
          </w:tcPr>
          <w:p w14:paraId="444CEA9B" w14:textId="77777777" w:rsidR="00A10B25" w:rsidRDefault="00A10B25">
            <w:pPr>
              <w:pStyle w:val="TAL"/>
              <w:jc w:val="center"/>
            </w:pPr>
            <w:r>
              <w:t>M</w:t>
            </w:r>
          </w:p>
        </w:tc>
        <w:tc>
          <w:tcPr>
            <w:tcW w:w="1134" w:type="dxa"/>
          </w:tcPr>
          <w:p w14:paraId="55D103B7" w14:textId="77777777" w:rsidR="00A10B25" w:rsidRDefault="00A10B25">
            <w:pPr>
              <w:pStyle w:val="TAL"/>
            </w:pPr>
            <w:r>
              <w:t>1..N</w:t>
            </w:r>
          </w:p>
        </w:tc>
        <w:tc>
          <w:tcPr>
            <w:tcW w:w="2976" w:type="dxa"/>
          </w:tcPr>
          <w:p w14:paraId="4E88614A" w14:textId="77777777" w:rsidR="00A10B25" w:rsidRDefault="00A10B25">
            <w:pPr>
              <w:pStyle w:val="TAL"/>
            </w:pPr>
            <w:r>
              <w:rPr>
                <w:lang w:eastAsia="ja-JP"/>
              </w:rPr>
              <w:t>List of analytics types for which UE related analytics contexts can be retrieved.</w:t>
            </w:r>
          </w:p>
        </w:tc>
        <w:tc>
          <w:tcPr>
            <w:tcW w:w="1628" w:type="dxa"/>
          </w:tcPr>
          <w:p w14:paraId="61093D9B" w14:textId="77777777" w:rsidR="00A10B25" w:rsidRDefault="00A10B25">
            <w:pPr>
              <w:pStyle w:val="TAL"/>
              <w:rPr>
                <w:rFonts w:cs="Arial"/>
                <w:szCs w:val="18"/>
              </w:rPr>
            </w:pPr>
          </w:p>
        </w:tc>
      </w:tr>
    </w:tbl>
    <w:p w14:paraId="5921B8F2" w14:textId="77777777" w:rsidR="00A10B25" w:rsidRDefault="00A10B25"/>
    <w:p w14:paraId="7DC11332" w14:textId="77777777" w:rsidR="00A10B25" w:rsidRDefault="00A10B25">
      <w:pPr>
        <w:pStyle w:val="5"/>
      </w:pPr>
      <w:bookmarkStart w:id="7158" w:name="_Toc90655909"/>
      <w:bookmarkStart w:id="7159" w:name="_Toc94064292"/>
      <w:bookmarkStart w:id="7160" w:name="_Toc136562414"/>
      <w:bookmarkStart w:id="7161" w:name="_Toc104539046"/>
      <w:bookmarkStart w:id="7162" w:name="_Toc114133847"/>
      <w:bookmarkStart w:id="7163" w:name="_Toc145705735"/>
      <w:bookmarkStart w:id="7164" w:name="_Toc138754248"/>
      <w:bookmarkStart w:id="7165" w:name="_Toc88667624"/>
      <w:bookmarkStart w:id="7166" w:name="_Toc98233677"/>
      <w:bookmarkStart w:id="7167" w:name="_Toc120702347"/>
      <w:bookmarkStart w:id="7168" w:name="_Toc148522639"/>
      <w:bookmarkStart w:id="7169" w:name="_Toc112951168"/>
      <w:bookmarkStart w:id="7170" w:name="_Toc101244453"/>
      <w:bookmarkStart w:id="7171" w:name="_Toc113031708"/>
      <w:bookmarkStart w:id="7172" w:name="_Toc164920819"/>
      <w:bookmarkStart w:id="7173" w:name="_Toc170120361"/>
      <w:bookmarkStart w:id="7174" w:name="_Toc175858606"/>
      <w:bookmarkStart w:id="7175" w:name="_Toc175859679"/>
      <w:bookmarkStart w:id="7176" w:name="_Toc180605969"/>
      <w:bookmarkStart w:id="7177" w:name="_Toc185517223"/>
      <w:bookmarkStart w:id="7178" w:name="_Toc191576274"/>
      <w:bookmarkStart w:id="7179" w:name="_Toc191577014"/>
      <w:bookmarkStart w:id="7180" w:name="_Toc192880084"/>
      <w:bookmarkStart w:id="7181" w:name="_Toc195814967"/>
      <w:bookmarkStart w:id="7182" w:name="_Toc199452934"/>
      <w:r>
        <w:t>5.1.6.2.45</w:t>
      </w:r>
      <w:r>
        <w:tab/>
        <w:t>Type DnPerfInfo</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730A6BF5" w14:textId="77777777" w:rsidR="00A10B25" w:rsidRDefault="00A10B25">
      <w:pPr>
        <w:pStyle w:val="TH"/>
      </w:pPr>
      <w:r>
        <w:t>Table 5.1.6.2.45-1: Definition of type DnPerfInfo</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391CBC7" w14:textId="77777777">
        <w:trPr>
          <w:jc w:val="center"/>
        </w:trPr>
        <w:tc>
          <w:tcPr>
            <w:tcW w:w="1750" w:type="dxa"/>
            <w:shd w:val="clear" w:color="auto" w:fill="C0C0C0"/>
          </w:tcPr>
          <w:p w14:paraId="71DC8D83" w14:textId="77777777" w:rsidR="00A10B25" w:rsidRDefault="00A10B25">
            <w:pPr>
              <w:pStyle w:val="TAH"/>
            </w:pPr>
            <w:r>
              <w:t>Attribute name</w:t>
            </w:r>
          </w:p>
        </w:tc>
        <w:tc>
          <w:tcPr>
            <w:tcW w:w="1560" w:type="dxa"/>
            <w:shd w:val="clear" w:color="auto" w:fill="C0C0C0"/>
          </w:tcPr>
          <w:p w14:paraId="352DD001" w14:textId="77777777" w:rsidR="00A10B25" w:rsidRDefault="00A10B25">
            <w:pPr>
              <w:pStyle w:val="TAH"/>
            </w:pPr>
            <w:r>
              <w:t>Data type</w:t>
            </w:r>
          </w:p>
        </w:tc>
        <w:tc>
          <w:tcPr>
            <w:tcW w:w="425" w:type="dxa"/>
            <w:shd w:val="clear" w:color="auto" w:fill="C0C0C0"/>
          </w:tcPr>
          <w:p w14:paraId="3991821E" w14:textId="77777777" w:rsidR="00A10B25" w:rsidRDefault="00A10B25">
            <w:pPr>
              <w:pStyle w:val="TAH"/>
            </w:pPr>
            <w:r>
              <w:t>P</w:t>
            </w:r>
          </w:p>
        </w:tc>
        <w:tc>
          <w:tcPr>
            <w:tcW w:w="1134" w:type="dxa"/>
            <w:shd w:val="clear" w:color="auto" w:fill="C0C0C0"/>
          </w:tcPr>
          <w:p w14:paraId="1E3984E1" w14:textId="77777777" w:rsidR="00A10B25" w:rsidRDefault="00A10B25">
            <w:pPr>
              <w:pStyle w:val="TAH"/>
            </w:pPr>
            <w:r>
              <w:t>Cardinality</w:t>
            </w:r>
          </w:p>
        </w:tc>
        <w:tc>
          <w:tcPr>
            <w:tcW w:w="2857" w:type="dxa"/>
            <w:shd w:val="clear" w:color="auto" w:fill="C0C0C0"/>
          </w:tcPr>
          <w:p w14:paraId="1FAB6642" w14:textId="77777777" w:rsidR="00A10B25" w:rsidRDefault="00A10B25">
            <w:pPr>
              <w:pStyle w:val="TAH"/>
            </w:pPr>
            <w:r>
              <w:t>Description</w:t>
            </w:r>
          </w:p>
        </w:tc>
        <w:tc>
          <w:tcPr>
            <w:tcW w:w="1844" w:type="dxa"/>
            <w:shd w:val="clear" w:color="auto" w:fill="C0C0C0"/>
          </w:tcPr>
          <w:p w14:paraId="0D7EC680" w14:textId="77777777" w:rsidR="00A10B25" w:rsidRDefault="00A10B25">
            <w:pPr>
              <w:pStyle w:val="TAH"/>
            </w:pPr>
            <w:r>
              <w:t>Applicability</w:t>
            </w:r>
          </w:p>
        </w:tc>
      </w:tr>
      <w:tr w:rsidR="00A10B25" w14:paraId="4FAC4EF6" w14:textId="77777777">
        <w:trPr>
          <w:jc w:val="center"/>
        </w:trPr>
        <w:tc>
          <w:tcPr>
            <w:tcW w:w="1750" w:type="dxa"/>
          </w:tcPr>
          <w:p w14:paraId="1B4382BD" w14:textId="77777777" w:rsidR="00A10B25" w:rsidRDefault="00A10B25">
            <w:pPr>
              <w:pStyle w:val="TAL"/>
              <w:rPr>
                <w:lang w:eastAsia="zh-CN"/>
              </w:rPr>
            </w:pPr>
            <w:r>
              <w:rPr>
                <w:lang w:eastAsia="zh-CN"/>
              </w:rPr>
              <w:t>appId</w:t>
            </w:r>
          </w:p>
        </w:tc>
        <w:tc>
          <w:tcPr>
            <w:tcW w:w="1560" w:type="dxa"/>
          </w:tcPr>
          <w:p w14:paraId="07FB404A" w14:textId="77777777" w:rsidR="00A10B25" w:rsidRDefault="00A10B25">
            <w:pPr>
              <w:pStyle w:val="TAL"/>
              <w:rPr>
                <w:lang w:eastAsia="zh-CN"/>
              </w:rPr>
            </w:pPr>
            <w:r>
              <w:rPr>
                <w:lang w:eastAsia="zh-CN"/>
              </w:rPr>
              <w:t>ApplicationId</w:t>
            </w:r>
          </w:p>
        </w:tc>
        <w:tc>
          <w:tcPr>
            <w:tcW w:w="425" w:type="dxa"/>
          </w:tcPr>
          <w:p w14:paraId="4CDE1021" w14:textId="77777777" w:rsidR="00A10B25" w:rsidRDefault="00A10B25">
            <w:pPr>
              <w:pStyle w:val="TAC"/>
              <w:rPr>
                <w:lang w:eastAsia="zh-CN"/>
              </w:rPr>
            </w:pPr>
            <w:r>
              <w:rPr>
                <w:lang w:eastAsia="zh-CN"/>
              </w:rPr>
              <w:t>C</w:t>
            </w:r>
          </w:p>
        </w:tc>
        <w:tc>
          <w:tcPr>
            <w:tcW w:w="1134" w:type="dxa"/>
          </w:tcPr>
          <w:p w14:paraId="7E1D9322" w14:textId="77777777" w:rsidR="00A10B25" w:rsidRDefault="00A10B25">
            <w:pPr>
              <w:pStyle w:val="TAL"/>
            </w:pPr>
            <w:r>
              <w:t>0..1</w:t>
            </w:r>
          </w:p>
        </w:tc>
        <w:tc>
          <w:tcPr>
            <w:tcW w:w="2857" w:type="dxa"/>
          </w:tcPr>
          <w:p w14:paraId="4FA274B0" w14:textId="77777777" w:rsidR="00A10B25" w:rsidRDefault="00A10B25">
            <w:pPr>
              <w:pStyle w:val="TAL"/>
              <w:rPr>
                <w:rFonts w:cs="Arial"/>
                <w:szCs w:val="18"/>
              </w:rPr>
            </w:pPr>
            <w:r>
              <w:rPr>
                <w:rFonts w:cs="Arial"/>
                <w:szCs w:val="18"/>
              </w:rPr>
              <w:t>Indicates an application identifier.</w:t>
            </w:r>
            <w:r>
              <w:rPr>
                <w:lang w:eastAsia="zh-CN"/>
              </w:rPr>
              <w:t xml:space="preserve"> Shall be present if the </w:t>
            </w:r>
            <w:r>
              <w:t>"appIds" attribute was provided i</w:t>
            </w:r>
            <w:r>
              <w:rPr>
                <w:rFonts w:cs="Arial"/>
                <w:szCs w:val="18"/>
              </w:rPr>
              <w:t>n the request or subscription.</w:t>
            </w:r>
          </w:p>
        </w:tc>
        <w:tc>
          <w:tcPr>
            <w:tcW w:w="1844" w:type="dxa"/>
          </w:tcPr>
          <w:p w14:paraId="26636F29" w14:textId="77777777" w:rsidR="00A10B25" w:rsidRDefault="00A10B25">
            <w:pPr>
              <w:pStyle w:val="TAL"/>
              <w:rPr>
                <w:rFonts w:cs="Arial"/>
                <w:szCs w:val="18"/>
              </w:rPr>
            </w:pPr>
          </w:p>
        </w:tc>
      </w:tr>
      <w:tr w:rsidR="00A10B25" w14:paraId="174F9537" w14:textId="77777777">
        <w:trPr>
          <w:jc w:val="center"/>
        </w:trPr>
        <w:tc>
          <w:tcPr>
            <w:tcW w:w="1750" w:type="dxa"/>
          </w:tcPr>
          <w:p w14:paraId="205E0FC2" w14:textId="77777777" w:rsidR="00A10B25" w:rsidRDefault="00A10B25">
            <w:pPr>
              <w:pStyle w:val="TAL"/>
              <w:rPr>
                <w:lang w:eastAsia="zh-CN"/>
              </w:rPr>
            </w:pPr>
            <w:r>
              <w:t>dnn</w:t>
            </w:r>
          </w:p>
        </w:tc>
        <w:tc>
          <w:tcPr>
            <w:tcW w:w="1560" w:type="dxa"/>
          </w:tcPr>
          <w:p w14:paraId="538F3787" w14:textId="77777777" w:rsidR="00A10B25" w:rsidRDefault="00A10B25">
            <w:pPr>
              <w:pStyle w:val="TAL"/>
              <w:rPr>
                <w:lang w:eastAsia="zh-CN"/>
              </w:rPr>
            </w:pPr>
            <w:r>
              <w:rPr>
                <w:lang w:eastAsia="zh-CN"/>
              </w:rPr>
              <w:t>Dnn</w:t>
            </w:r>
          </w:p>
        </w:tc>
        <w:tc>
          <w:tcPr>
            <w:tcW w:w="425" w:type="dxa"/>
          </w:tcPr>
          <w:p w14:paraId="38521CC5" w14:textId="77777777" w:rsidR="00A10B25" w:rsidRDefault="00A10B25">
            <w:pPr>
              <w:pStyle w:val="TAC"/>
            </w:pPr>
            <w:r>
              <w:t>C</w:t>
            </w:r>
          </w:p>
        </w:tc>
        <w:tc>
          <w:tcPr>
            <w:tcW w:w="1134" w:type="dxa"/>
          </w:tcPr>
          <w:p w14:paraId="41268C88" w14:textId="77777777" w:rsidR="00A10B25" w:rsidRDefault="00A10B25">
            <w:pPr>
              <w:pStyle w:val="TAL"/>
            </w:pPr>
            <w:r>
              <w:rPr>
                <w:lang w:eastAsia="zh-CN"/>
              </w:rPr>
              <w:t>0..1</w:t>
            </w:r>
          </w:p>
        </w:tc>
        <w:tc>
          <w:tcPr>
            <w:tcW w:w="2857" w:type="dxa"/>
          </w:tcPr>
          <w:p w14:paraId="7EEA0482"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72BBFDE3" w14:textId="77777777" w:rsidR="00A10B25" w:rsidRDefault="00A10B25">
            <w:pPr>
              <w:pStyle w:val="TAL"/>
              <w:rPr>
                <w:rFonts w:cs="Arial"/>
                <w:szCs w:val="18"/>
              </w:rPr>
            </w:pPr>
            <w:r>
              <w:rPr>
                <w:lang w:eastAsia="zh-CN"/>
              </w:rPr>
              <w:t xml:space="preserve">Shall be present if the </w:t>
            </w:r>
            <w:r>
              <w:t xml:space="preserve">"dnns" was provided </w:t>
            </w:r>
            <w:r>
              <w:rPr>
                <w:rFonts w:cs="Arial"/>
                <w:szCs w:val="18"/>
              </w:rPr>
              <w:t>in the request or subscription.</w:t>
            </w:r>
          </w:p>
        </w:tc>
        <w:tc>
          <w:tcPr>
            <w:tcW w:w="1844" w:type="dxa"/>
          </w:tcPr>
          <w:p w14:paraId="3107E7AD" w14:textId="77777777" w:rsidR="00A10B25" w:rsidRDefault="00A10B25">
            <w:pPr>
              <w:pStyle w:val="TAL"/>
              <w:rPr>
                <w:rFonts w:cs="Arial"/>
                <w:szCs w:val="18"/>
              </w:rPr>
            </w:pPr>
          </w:p>
        </w:tc>
      </w:tr>
      <w:tr w:rsidR="00A10B25" w14:paraId="1DF09C97" w14:textId="77777777">
        <w:trPr>
          <w:jc w:val="center"/>
        </w:trPr>
        <w:tc>
          <w:tcPr>
            <w:tcW w:w="1750" w:type="dxa"/>
          </w:tcPr>
          <w:p w14:paraId="631C2FC0" w14:textId="77777777" w:rsidR="00A10B25" w:rsidRDefault="00A10B25">
            <w:pPr>
              <w:pStyle w:val="TAL"/>
              <w:rPr>
                <w:lang w:eastAsia="zh-CN"/>
              </w:rPr>
            </w:pPr>
            <w:r>
              <w:rPr>
                <w:lang w:eastAsia="zh-CN"/>
              </w:rPr>
              <w:t>snssai</w:t>
            </w:r>
          </w:p>
        </w:tc>
        <w:tc>
          <w:tcPr>
            <w:tcW w:w="1560" w:type="dxa"/>
          </w:tcPr>
          <w:p w14:paraId="4B60D19C" w14:textId="77777777" w:rsidR="00A10B25" w:rsidRDefault="00A10B25">
            <w:pPr>
              <w:pStyle w:val="TAL"/>
              <w:rPr>
                <w:lang w:eastAsia="zh-CN"/>
              </w:rPr>
            </w:pPr>
            <w:r>
              <w:rPr>
                <w:lang w:eastAsia="zh-CN"/>
              </w:rPr>
              <w:t>Snssai</w:t>
            </w:r>
          </w:p>
        </w:tc>
        <w:tc>
          <w:tcPr>
            <w:tcW w:w="425" w:type="dxa"/>
          </w:tcPr>
          <w:p w14:paraId="5C5626FC" w14:textId="77777777" w:rsidR="00A10B25" w:rsidRDefault="00A10B25">
            <w:pPr>
              <w:pStyle w:val="TAC"/>
            </w:pPr>
            <w:r>
              <w:t>C</w:t>
            </w:r>
          </w:p>
        </w:tc>
        <w:tc>
          <w:tcPr>
            <w:tcW w:w="1134" w:type="dxa"/>
          </w:tcPr>
          <w:p w14:paraId="70227F2A" w14:textId="77777777" w:rsidR="00A10B25" w:rsidRDefault="00A10B25">
            <w:pPr>
              <w:pStyle w:val="TAL"/>
            </w:pPr>
            <w:r>
              <w:rPr>
                <w:lang w:eastAsia="zh-CN"/>
              </w:rPr>
              <w:t>0..1</w:t>
            </w:r>
          </w:p>
        </w:tc>
        <w:tc>
          <w:tcPr>
            <w:tcW w:w="2857" w:type="dxa"/>
          </w:tcPr>
          <w:p w14:paraId="7675647E" w14:textId="77777777" w:rsidR="00A10B25" w:rsidRDefault="00A10B25">
            <w:pPr>
              <w:pStyle w:val="TAL"/>
              <w:rPr>
                <w:rFonts w:cs="Arial"/>
                <w:szCs w:val="18"/>
                <w:lang w:eastAsia="zh-CN"/>
              </w:rPr>
            </w:pPr>
            <w:r>
              <w:rPr>
                <w:rFonts w:cs="Arial"/>
                <w:szCs w:val="18"/>
                <w:lang w:eastAsia="zh-CN"/>
              </w:rPr>
              <w:t>Identifies the network slice information.</w:t>
            </w:r>
          </w:p>
          <w:p w14:paraId="109D27E4" w14:textId="77777777" w:rsidR="00A10B25" w:rsidRDefault="00A10B25">
            <w:pPr>
              <w:pStyle w:val="TAL"/>
              <w:rPr>
                <w:rFonts w:cs="Arial"/>
                <w:szCs w:val="18"/>
              </w:rPr>
            </w:pPr>
            <w:r>
              <w:rPr>
                <w:rFonts w:eastAsia="Batang"/>
              </w:rPr>
              <w:t xml:space="preserve">Shall be present if the </w:t>
            </w:r>
            <w:r>
              <w:t xml:space="preserve">"snssais" was provided </w:t>
            </w:r>
            <w:r>
              <w:rPr>
                <w:rFonts w:cs="Arial"/>
                <w:szCs w:val="18"/>
              </w:rPr>
              <w:t>in the request or subscription.</w:t>
            </w:r>
          </w:p>
        </w:tc>
        <w:tc>
          <w:tcPr>
            <w:tcW w:w="1844" w:type="dxa"/>
          </w:tcPr>
          <w:p w14:paraId="781021E1" w14:textId="77777777" w:rsidR="00A10B25" w:rsidRDefault="00A10B25">
            <w:pPr>
              <w:pStyle w:val="TAL"/>
              <w:rPr>
                <w:rFonts w:cs="Arial"/>
                <w:szCs w:val="18"/>
              </w:rPr>
            </w:pPr>
          </w:p>
        </w:tc>
      </w:tr>
      <w:tr w:rsidR="00A10B25" w14:paraId="53485C7A" w14:textId="77777777">
        <w:trPr>
          <w:jc w:val="center"/>
        </w:trPr>
        <w:tc>
          <w:tcPr>
            <w:tcW w:w="1750" w:type="dxa"/>
          </w:tcPr>
          <w:p w14:paraId="32B41D68" w14:textId="77777777" w:rsidR="00A10B25" w:rsidRDefault="00A10B25">
            <w:pPr>
              <w:pStyle w:val="TAL"/>
              <w:rPr>
                <w:lang w:eastAsia="zh-CN"/>
              </w:rPr>
            </w:pPr>
            <w:r>
              <w:rPr>
                <w:rFonts w:hint="eastAsia"/>
                <w:lang w:eastAsia="zh-CN"/>
              </w:rPr>
              <w:t>d</w:t>
            </w:r>
            <w:r>
              <w:rPr>
                <w:lang w:eastAsia="zh-CN"/>
              </w:rPr>
              <w:t>nPerf</w:t>
            </w:r>
          </w:p>
        </w:tc>
        <w:tc>
          <w:tcPr>
            <w:tcW w:w="1560" w:type="dxa"/>
          </w:tcPr>
          <w:p w14:paraId="42D8DC5F" w14:textId="77777777" w:rsidR="00A10B25" w:rsidRDefault="00A10B25">
            <w:pPr>
              <w:pStyle w:val="TAL"/>
              <w:rPr>
                <w:lang w:eastAsia="zh-CN"/>
              </w:rPr>
            </w:pPr>
            <w:r>
              <w:t>array(DnPerf)</w:t>
            </w:r>
          </w:p>
        </w:tc>
        <w:tc>
          <w:tcPr>
            <w:tcW w:w="425" w:type="dxa"/>
          </w:tcPr>
          <w:p w14:paraId="148B0E31" w14:textId="77777777" w:rsidR="00A10B25" w:rsidRDefault="00A10B25">
            <w:pPr>
              <w:pStyle w:val="TAC"/>
              <w:rPr>
                <w:lang w:eastAsia="zh-CN"/>
              </w:rPr>
            </w:pPr>
            <w:r>
              <w:rPr>
                <w:rFonts w:hint="eastAsia"/>
                <w:lang w:eastAsia="zh-CN"/>
              </w:rPr>
              <w:t>M</w:t>
            </w:r>
          </w:p>
        </w:tc>
        <w:tc>
          <w:tcPr>
            <w:tcW w:w="1134" w:type="dxa"/>
          </w:tcPr>
          <w:p w14:paraId="35AC33EF" w14:textId="77777777" w:rsidR="00A10B25" w:rsidRDefault="00A10B25">
            <w:pPr>
              <w:pStyle w:val="TAL"/>
            </w:pPr>
            <w:r>
              <w:t>1..N</w:t>
            </w:r>
          </w:p>
        </w:tc>
        <w:tc>
          <w:tcPr>
            <w:tcW w:w="2857" w:type="dxa"/>
          </w:tcPr>
          <w:p w14:paraId="2A513244" w14:textId="77777777" w:rsidR="00A10B25" w:rsidRDefault="00A10B25">
            <w:pPr>
              <w:pStyle w:val="TAL"/>
              <w:rPr>
                <w:rFonts w:cs="Arial"/>
                <w:szCs w:val="18"/>
              </w:rPr>
            </w:pPr>
            <w:r>
              <w:rPr>
                <w:lang w:eastAsia="zh-CN"/>
              </w:rPr>
              <w:t>List of DN performances for the application.</w:t>
            </w:r>
          </w:p>
        </w:tc>
        <w:tc>
          <w:tcPr>
            <w:tcW w:w="1844" w:type="dxa"/>
          </w:tcPr>
          <w:p w14:paraId="08021766" w14:textId="77777777" w:rsidR="00A10B25" w:rsidRDefault="00A10B25">
            <w:pPr>
              <w:pStyle w:val="TAL"/>
              <w:rPr>
                <w:rFonts w:cs="Arial"/>
                <w:szCs w:val="18"/>
              </w:rPr>
            </w:pPr>
          </w:p>
        </w:tc>
      </w:tr>
      <w:tr w:rsidR="00A10B25" w14:paraId="3BEC8976" w14:textId="77777777">
        <w:trPr>
          <w:jc w:val="center"/>
        </w:trPr>
        <w:tc>
          <w:tcPr>
            <w:tcW w:w="1750" w:type="dxa"/>
          </w:tcPr>
          <w:p w14:paraId="1A10858C" w14:textId="77777777" w:rsidR="00A10B25" w:rsidRDefault="00A10B25">
            <w:pPr>
              <w:pStyle w:val="TAL"/>
              <w:rPr>
                <w:lang w:eastAsia="zh-CN"/>
              </w:rPr>
            </w:pPr>
            <w:r>
              <w:t>confidence</w:t>
            </w:r>
          </w:p>
        </w:tc>
        <w:tc>
          <w:tcPr>
            <w:tcW w:w="1560" w:type="dxa"/>
          </w:tcPr>
          <w:p w14:paraId="06DFFB71" w14:textId="77777777" w:rsidR="00A10B25" w:rsidRDefault="00A10B25">
            <w:pPr>
              <w:pStyle w:val="TAL"/>
            </w:pPr>
            <w:r>
              <w:t>Uinteger</w:t>
            </w:r>
          </w:p>
        </w:tc>
        <w:tc>
          <w:tcPr>
            <w:tcW w:w="425" w:type="dxa"/>
          </w:tcPr>
          <w:p w14:paraId="59BDDEA3" w14:textId="77777777" w:rsidR="00A10B25" w:rsidRDefault="00A10B25">
            <w:pPr>
              <w:pStyle w:val="TAC"/>
              <w:rPr>
                <w:lang w:eastAsia="zh-CN"/>
              </w:rPr>
            </w:pPr>
            <w:r>
              <w:t>C</w:t>
            </w:r>
          </w:p>
        </w:tc>
        <w:tc>
          <w:tcPr>
            <w:tcW w:w="1134" w:type="dxa"/>
          </w:tcPr>
          <w:p w14:paraId="64130315" w14:textId="77777777" w:rsidR="00A10B25" w:rsidRDefault="00A10B25">
            <w:pPr>
              <w:pStyle w:val="TAL"/>
            </w:pPr>
            <w:r>
              <w:t>0..1</w:t>
            </w:r>
          </w:p>
        </w:tc>
        <w:tc>
          <w:tcPr>
            <w:tcW w:w="2857" w:type="dxa"/>
          </w:tcPr>
          <w:p w14:paraId="486A1DBC" w14:textId="77777777" w:rsidR="00A10B25" w:rsidRDefault="00A10B25">
            <w:pPr>
              <w:pStyle w:val="TAL"/>
            </w:pPr>
            <w:r>
              <w:t>Indicates the confidence of the prediction. (NOTE 1)</w:t>
            </w:r>
          </w:p>
          <w:p w14:paraId="2A039EB9" w14:textId="77777777" w:rsidR="00A10B25" w:rsidRDefault="00A10B25">
            <w:pPr>
              <w:pStyle w:val="TAL"/>
            </w:pPr>
            <w:r>
              <w:t>Shall be present if the analytics result is a prediction.</w:t>
            </w:r>
          </w:p>
          <w:p w14:paraId="67ECE87C" w14:textId="77777777" w:rsidR="00A10B25" w:rsidRDefault="00A10B25">
            <w:pPr>
              <w:pStyle w:val="TAL"/>
              <w:rPr>
                <w:lang w:eastAsia="zh-CN"/>
              </w:rPr>
            </w:pPr>
            <w:r>
              <w:rPr>
                <w:rFonts w:cs="Arial"/>
                <w:szCs w:val="18"/>
                <w:lang w:eastAsia="zh-CN"/>
              </w:rPr>
              <w:t>Minimum = 0. Maximum = 100.</w:t>
            </w:r>
          </w:p>
        </w:tc>
        <w:tc>
          <w:tcPr>
            <w:tcW w:w="1844" w:type="dxa"/>
          </w:tcPr>
          <w:p w14:paraId="069FCF9E" w14:textId="77777777" w:rsidR="00A10B25" w:rsidRDefault="00A10B25">
            <w:pPr>
              <w:pStyle w:val="TAL"/>
              <w:rPr>
                <w:rFonts w:cs="Arial"/>
                <w:szCs w:val="18"/>
              </w:rPr>
            </w:pPr>
          </w:p>
        </w:tc>
      </w:tr>
      <w:tr w:rsidR="00A10B25" w14:paraId="5FA588F2" w14:textId="77777777">
        <w:trPr>
          <w:jc w:val="center"/>
        </w:trPr>
        <w:tc>
          <w:tcPr>
            <w:tcW w:w="9570" w:type="dxa"/>
            <w:gridSpan w:val="6"/>
          </w:tcPr>
          <w:p w14:paraId="7C623C05" w14:textId="77777777" w:rsidR="00A10B25" w:rsidRDefault="00A10B25">
            <w:pPr>
              <w:pStyle w:val="TAN"/>
            </w:pPr>
            <w:r>
              <w:t>NOTE 1:</w:t>
            </w:r>
            <w:r>
              <w:tab/>
            </w:r>
            <w:r>
              <w:rPr>
                <w:rFonts w:cs="Arial"/>
                <w:szCs w:val="18"/>
              </w:rPr>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6C8392F0" w14:textId="77777777" w:rsidR="00A10B25" w:rsidRDefault="00A10B25"/>
    <w:p w14:paraId="0EA8F807" w14:textId="77777777" w:rsidR="00A10B25" w:rsidRDefault="00A10B25">
      <w:pPr>
        <w:pStyle w:val="5"/>
      </w:pPr>
      <w:bookmarkStart w:id="7183" w:name="_Toc104539047"/>
      <w:bookmarkStart w:id="7184" w:name="_Toc98233678"/>
      <w:bookmarkStart w:id="7185" w:name="_Toc90655910"/>
      <w:bookmarkStart w:id="7186" w:name="_Toc112951169"/>
      <w:bookmarkStart w:id="7187" w:name="_Toc113031709"/>
      <w:bookmarkStart w:id="7188" w:name="_Toc88667625"/>
      <w:bookmarkStart w:id="7189" w:name="_Toc114133848"/>
      <w:bookmarkStart w:id="7190" w:name="_Toc101244454"/>
      <w:bookmarkStart w:id="7191" w:name="_Toc138754249"/>
      <w:bookmarkStart w:id="7192" w:name="_Toc145705736"/>
      <w:bookmarkStart w:id="7193" w:name="_Toc120702348"/>
      <w:bookmarkStart w:id="7194" w:name="_Toc148522640"/>
      <w:bookmarkStart w:id="7195" w:name="_Toc136562415"/>
      <w:bookmarkStart w:id="7196" w:name="_Toc94064293"/>
      <w:bookmarkStart w:id="7197" w:name="_Toc164920820"/>
      <w:bookmarkStart w:id="7198" w:name="_Toc170120362"/>
      <w:bookmarkStart w:id="7199" w:name="_Toc175858607"/>
      <w:bookmarkStart w:id="7200" w:name="_Toc175859680"/>
      <w:bookmarkStart w:id="7201" w:name="_Toc180605970"/>
      <w:bookmarkStart w:id="7202" w:name="_Toc185517224"/>
      <w:bookmarkStart w:id="7203" w:name="_Toc191576275"/>
      <w:bookmarkStart w:id="7204" w:name="_Toc191577015"/>
      <w:bookmarkStart w:id="7205" w:name="_Toc192880085"/>
      <w:bookmarkStart w:id="7206" w:name="_Toc195814968"/>
      <w:bookmarkStart w:id="7207" w:name="_Toc199452935"/>
      <w:r>
        <w:lastRenderedPageBreak/>
        <w:t>5.1.6.2.46</w:t>
      </w:r>
      <w:r>
        <w:tab/>
        <w:t>Type DnPerf</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033FDB52" w14:textId="77777777" w:rsidR="00A10B25" w:rsidRDefault="00A10B25">
      <w:pPr>
        <w:pStyle w:val="TH"/>
      </w:pPr>
      <w:bookmarkStart w:id="7208" w:name="_Toc104539048"/>
      <w:bookmarkStart w:id="7209" w:name="_Toc94064294"/>
      <w:bookmarkStart w:id="7210" w:name="_Toc98233679"/>
      <w:bookmarkStart w:id="7211" w:name="_Toc138754250"/>
      <w:bookmarkStart w:id="7212" w:name="_Toc120702349"/>
      <w:bookmarkStart w:id="7213" w:name="_Toc114133849"/>
      <w:bookmarkStart w:id="7214" w:name="_Toc90655911"/>
      <w:bookmarkStart w:id="7215" w:name="_Toc112951170"/>
      <w:bookmarkStart w:id="7216" w:name="_Toc136562416"/>
      <w:bookmarkStart w:id="7217" w:name="_Toc113031710"/>
      <w:bookmarkStart w:id="7218" w:name="_Toc101244455"/>
      <w:bookmarkStart w:id="7219" w:name="_Toc88667626"/>
      <w:r>
        <w:t>Table 5.1.6.2.46-1: Definition of type DnPerf</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923"/>
        <w:gridCol w:w="1778"/>
      </w:tblGrid>
      <w:tr w:rsidR="00A10B25" w14:paraId="7AEA6FB6"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43CD83CC"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3E460CFE"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206D3BA0"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19952A51" w14:textId="77777777" w:rsidR="00A10B25" w:rsidRDefault="00A10B25">
            <w:pPr>
              <w:pStyle w:val="TAH"/>
            </w:pPr>
            <w:r>
              <w:t>Cardinality</w:t>
            </w:r>
          </w:p>
        </w:tc>
        <w:tc>
          <w:tcPr>
            <w:tcW w:w="2923" w:type="dxa"/>
            <w:tcBorders>
              <w:top w:val="single" w:sz="6" w:space="0" w:color="auto"/>
              <w:left w:val="single" w:sz="6" w:space="0" w:color="auto"/>
              <w:bottom w:val="single" w:sz="6" w:space="0" w:color="auto"/>
              <w:right w:val="single" w:sz="6" w:space="0" w:color="auto"/>
            </w:tcBorders>
            <w:shd w:val="clear" w:color="auto" w:fill="C0C0C0"/>
          </w:tcPr>
          <w:p w14:paraId="0A8519F4" w14:textId="77777777" w:rsidR="00A10B25" w:rsidRDefault="00A10B25">
            <w:pPr>
              <w:pStyle w:val="TAH"/>
            </w:pPr>
            <w:r>
              <w:t>Description</w:t>
            </w:r>
          </w:p>
        </w:tc>
        <w:tc>
          <w:tcPr>
            <w:tcW w:w="1778" w:type="dxa"/>
            <w:tcBorders>
              <w:top w:val="single" w:sz="6" w:space="0" w:color="auto"/>
              <w:left w:val="single" w:sz="6" w:space="0" w:color="auto"/>
              <w:bottom w:val="single" w:sz="6" w:space="0" w:color="auto"/>
              <w:right w:val="single" w:sz="6" w:space="0" w:color="auto"/>
            </w:tcBorders>
            <w:shd w:val="clear" w:color="auto" w:fill="C0C0C0"/>
          </w:tcPr>
          <w:p w14:paraId="2F4165C8" w14:textId="77777777" w:rsidR="00A10B25" w:rsidRDefault="00A10B25">
            <w:pPr>
              <w:pStyle w:val="TAH"/>
            </w:pPr>
            <w:r>
              <w:t>Applicability</w:t>
            </w:r>
          </w:p>
        </w:tc>
      </w:tr>
      <w:tr w:rsidR="00A10B25" w14:paraId="0CE359F1"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ECC92F4" w14:textId="77777777" w:rsidR="00A10B25" w:rsidRDefault="00A10B25">
            <w:pPr>
              <w:pStyle w:val="TAL"/>
              <w:rPr>
                <w:lang w:eastAsia="zh-CN"/>
              </w:rPr>
            </w:pPr>
            <w:r>
              <w:rPr>
                <w:lang w:eastAsia="zh-CN"/>
              </w:rPr>
              <w:t>appServerInsAddr</w:t>
            </w:r>
          </w:p>
        </w:tc>
        <w:tc>
          <w:tcPr>
            <w:tcW w:w="1560" w:type="dxa"/>
            <w:tcBorders>
              <w:top w:val="single" w:sz="6" w:space="0" w:color="auto"/>
              <w:left w:val="single" w:sz="6" w:space="0" w:color="auto"/>
              <w:bottom w:val="single" w:sz="6" w:space="0" w:color="auto"/>
              <w:right w:val="single" w:sz="6" w:space="0" w:color="auto"/>
            </w:tcBorders>
          </w:tcPr>
          <w:p w14:paraId="592E5B9A" w14:textId="77777777" w:rsidR="00A10B25" w:rsidRDefault="00A10B25">
            <w:pPr>
              <w:pStyle w:val="TAL"/>
              <w:rPr>
                <w:lang w:eastAsia="zh-CN"/>
              </w:rPr>
            </w:pPr>
            <w:r>
              <w:rPr>
                <w:lang w:eastAsia="zh-CN"/>
              </w:rPr>
              <w:t>AddrFqdn</w:t>
            </w:r>
          </w:p>
        </w:tc>
        <w:tc>
          <w:tcPr>
            <w:tcW w:w="425" w:type="dxa"/>
            <w:tcBorders>
              <w:top w:val="single" w:sz="6" w:space="0" w:color="auto"/>
              <w:left w:val="single" w:sz="6" w:space="0" w:color="auto"/>
              <w:bottom w:val="single" w:sz="6" w:space="0" w:color="auto"/>
              <w:right w:val="single" w:sz="6" w:space="0" w:color="auto"/>
            </w:tcBorders>
          </w:tcPr>
          <w:p w14:paraId="627D0F4A"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72C07CBF"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5D7E96AF" w14:textId="77777777" w:rsidR="00A10B25" w:rsidRDefault="00A10B25">
            <w:pPr>
              <w:pStyle w:val="TAL"/>
              <w:rPr>
                <w:rFonts w:cs="Arial"/>
                <w:szCs w:val="18"/>
              </w:rPr>
            </w:pPr>
            <w:r>
              <w:rPr>
                <w:lang w:eastAsia="zh-CN"/>
              </w:rPr>
              <w:t>Represents</w:t>
            </w:r>
            <w:r>
              <w:t xml:space="preserve"> the Application Server Instance (IP address/FQDN of the Application Server).</w:t>
            </w:r>
            <w:r>
              <w:rPr>
                <w:rFonts w:cs="Arial"/>
                <w:szCs w:val="18"/>
              </w:rPr>
              <w:t xml:space="preserve"> Shall be present if the "</w:t>
            </w:r>
            <w:r>
              <w:rPr>
                <w:lang w:eastAsia="zh-CN"/>
              </w:rPr>
              <w:t>appServerAddrs</w:t>
            </w:r>
            <w:r>
              <w:rPr>
                <w:rFonts w:cs="Arial"/>
                <w:szCs w:val="18"/>
              </w:rPr>
              <w:t>" attribute was provided in the request or subscription.</w:t>
            </w:r>
          </w:p>
        </w:tc>
        <w:tc>
          <w:tcPr>
            <w:tcW w:w="1778" w:type="dxa"/>
            <w:tcBorders>
              <w:top w:val="single" w:sz="6" w:space="0" w:color="auto"/>
              <w:left w:val="single" w:sz="6" w:space="0" w:color="auto"/>
              <w:bottom w:val="single" w:sz="6" w:space="0" w:color="auto"/>
              <w:right w:val="single" w:sz="6" w:space="0" w:color="auto"/>
            </w:tcBorders>
          </w:tcPr>
          <w:p w14:paraId="5C67959C" w14:textId="77777777" w:rsidR="00A10B25" w:rsidRDefault="00A10B25">
            <w:pPr>
              <w:pStyle w:val="TAL"/>
              <w:rPr>
                <w:rFonts w:cs="Arial"/>
                <w:szCs w:val="18"/>
              </w:rPr>
            </w:pPr>
          </w:p>
        </w:tc>
      </w:tr>
      <w:tr w:rsidR="00A10B25" w14:paraId="297D6511" w14:textId="77777777">
        <w:trPr>
          <w:jc w:val="center"/>
        </w:trPr>
        <w:tc>
          <w:tcPr>
            <w:tcW w:w="1750" w:type="dxa"/>
            <w:tcBorders>
              <w:top w:val="single" w:sz="6" w:space="0" w:color="auto"/>
              <w:left w:val="single" w:sz="6" w:space="0" w:color="auto"/>
              <w:bottom w:val="single" w:sz="6" w:space="0" w:color="auto"/>
              <w:right w:val="single" w:sz="6" w:space="0" w:color="auto"/>
            </w:tcBorders>
            <w:vAlign w:val="center"/>
          </w:tcPr>
          <w:p w14:paraId="08FE24FB" w14:textId="77777777" w:rsidR="00A10B25" w:rsidRDefault="00A10B25">
            <w:pPr>
              <w:pStyle w:val="TAL"/>
              <w:rPr>
                <w:lang w:eastAsia="zh-CN"/>
              </w:rPr>
            </w:pPr>
            <w:r>
              <w:t>upfInfo</w:t>
            </w:r>
          </w:p>
        </w:tc>
        <w:tc>
          <w:tcPr>
            <w:tcW w:w="1560" w:type="dxa"/>
            <w:tcBorders>
              <w:top w:val="single" w:sz="6" w:space="0" w:color="auto"/>
              <w:left w:val="single" w:sz="6" w:space="0" w:color="auto"/>
              <w:bottom w:val="single" w:sz="6" w:space="0" w:color="auto"/>
              <w:right w:val="single" w:sz="6" w:space="0" w:color="auto"/>
            </w:tcBorders>
          </w:tcPr>
          <w:p w14:paraId="18DD6E07" w14:textId="77777777" w:rsidR="00A10B25" w:rsidRDefault="00A10B25">
            <w:pPr>
              <w:pStyle w:val="TAL"/>
              <w:rPr>
                <w:lang w:eastAsia="zh-CN"/>
              </w:rPr>
            </w:pPr>
            <w:r>
              <w:t>UpfInformation</w:t>
            </w:r>
          </w:p>
        </w:tc>
        <w:tc>
          <w:tcPr>
            <w:tcW w:w="425" w:type="dxa"/>
            <w:tcBorders>
              <w:top w:val="single" w:sz="6" w:space="0" w:color="auto"/>
              <w:left w:val="single" w:sz="6" w:space="0" w:color="auto"/>
              <w:bottom w:val="single" w:sz="6" w:space="0" w:color="auto"/>
              <w:right w:val="single" w:sz="6" w:space="0" w:color="auto"/>
            </w:tcBorders>
          </w:tcPr>
          <w:p w14:paraId="01D2C8E8"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E720EE7"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48B26440" w14:textId="77777777" w:rsidR="00A10B25" w:rsidRDefault="00A10B25">
            <w:pPr>
              <w:pStyle w:val="TAL"/>
              <w:rPr>
                <w:rFonts w:cs="Arial"/>
                <w:szCs w:val="18"/>
              </w:rPr>
            </w:pPr>
            <w:r>
              <w:rPr>
                <w:lang w:eastAsia="zh-CN"/>
              </w:rPr>
              <w:t>Identifies the UPF.</w:t>
            </w:r>
            <w:r>
              <w:rPr>
                <w:rFonts w:cs="Arial"/>
                <w:szCs w:val="18"/>
              </w:rPr>
              <w:t xml:space="preserve"> Shall be present only if the "</w:t>
            </w:r>
            <w:r>
              <w:rPr>
                <w:rFonts w:cs="Arial"/>
                <w:szCs w:val="18"/>
                <w:lang w:eastAsia="ja-JP"/>
              </w:rPr>
              <w:t>upfInfo</w:t>
            </w:r>
            <w:r>
              <w:rPr>
                <w:rFonts w:cs="Arial"/>
                <w:szCs w:val="18"/>
              </w:rPr>
              <w:t>" attribute was provided in the request or subscription and the identified NF service consumer is not an AF or a NEF. (NOTE 1)</w:t>
            </w:r>
          </w:p>
        </w:tc>
        <w:tc>
          <w:tcPr>
            <w:tcW w:w="1778" w:type="dxa"/>
            <w:tcBorders>
              <w:top w:val="single" w:sz="6" w:space="0" w:color="auto"/>
              <w:left w:val="single" w:sz="6" w:space="0" w:color="auto"/>
              <w:bottom w:val="single" w:sz="6" w:space="0" w:color="auto"/>
              <w:right w:val="single" w:sz="6" w:space="0" w:color="auto"/>
            </w:tcBorders>
          </w:tcPr>
          <w:p w14:paraId="7EBCBBCB" w14:textId="77777777" w:rsidR="00A10B25" w:rsidRDefault="00A10B25">
            <w:pPr>
              <w:pStyle w:val="TAL"/>
              <w:rPr>
                <w:rFonts w:cs="Arial"/>
                <w:szCs w:val="18"/>
              </w:rPr>
            </w:pPr>
          </w:p>
        </w:tc>
      </w:tr>
      <w:tr w:rsidR="00A10B25" w14:paraId="60375144" w14:textId="77777777">
        <w:trPr>
          <w:jc w:val="center"/>
        </w:trPr>
        <w:tc>
          <w:tcPr>
            <w:tcW w:w="1750" w:type="dxa"/>
            <w:tcBorders>
              <w:top w:val="single" w:sz="6" w:space="0" w:color="auto"/>
              <w:left w:val="single" w:sz="6" w:space="0" w:color="auto"/>
              <w:bottom w:val="single" w:sz="6" w:space="0" w:color="auto"/>
              <w:right w:val="single" w:sz="6" w:space="0" w:color="auto"/>
            </w:tcBorders>
            <w:vAlign w:val="center"/>
          </w:tcPr>
          <w:p w14:paraId="4A9AFCA4" w14:textId="77777777" w:rsidR="00A10B25" w:rsidRDefault="00A10B25">
            <w:pPr>
              <w:pStyle w:val="TAL"/>
              <w:rPr>
                <w:lang w:eastAsia="zh-CN"/>
              </w:rPr>
            </w:pPr>
            <w:r>
              <w:rPr>
                <w:lang w:eastAsia="zh-CN"/>
              </w:rPr>
              <w:t>dnai</w:t>
            </w:r>
          </w:p>
        </w:tc>
        <w:tc>
          <w:tcPr>
            <w:tcW w:w="1560" w:type="dxa"/>
            <w:tcBorders>
              <w:top w:val="single" w:sz="6" w:space="0" w:color="auto"/>
              <w:left w:val="single" w:sz="6" w:space="0" w:color="auto"/>
              <w:bottom w:val="single" w:sz="6" w:space="0" w:color="auto"/>
              <w:right w:val="single" w:sz="6" w:space="0" w:color="auto"/>
            </w:tcBorders>
          </w:tcPr>
          <w:p w14:paraId="36DAF3A6" w14:textId="77777777" w:rsidR="00A10B25" w:rsidRDefault="00A10B25">
            <w:pPr>
              <w:pStyle w:val="TAL"/>
              <w:rPr>
                <w:lang w:eastAsia="zh-CN"/>
              </w:rPr>
            </w:pPr>
            <w:r>
              <w:t>Dnai</w:t>
            </w:r>
          </w:p>
        </w:tc>
        <w:tc>
          <w:tcPr>
            <w:tcW w:w="425" w:type="dxa"/>
            <w:tcBorders>
              <w:top w:val="single" w:sz="6" w:space="0" w:color="auto"/>
              <w:left w:val="single" w:sz="6" w:space="0" w:color="auto"/>
              <w:bottom w:val="single" w:sz="6" w:space="0" w:color="auto"/>
              <w:right w:val="single" w:sz="6" w:space="0" w:color="auto"/>
            </w:tcBorders>
          </w:tcPr>
          <w:p w14:paraId="08C1F981"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148D874F"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148C9314" w14:textId="77777777" w:rsidR="00A10B25" w:rsidRDefault="00A10B25">
            <w:pPr>
              <w:pStyle w:val="TAL"/>
              <w:rPr>
                <w:rFonts w:cs="Arial"/>
                <w:szCs w:val="18"/>
              </w:rPr>
            </w:pPr>
            <w:r>
              <w:rPr>
                <w:lang w:val="en-US" w:eastAsia="zh-CN"/>
              </w:rPr>
              <w:t>Indicates the DN Access Identifier representing location of the service flow.</w:t>
            </w:r>
            <w:r>
              <w:rPr>
                <w:rFonts w:cs="Arial"/>
                <w:szCs w:val="18"/>
              </w:rPr>
              <w:t xml:space="preserve"> Shall be present if the "</w:t>
            </w:r>
            <w:r>
              <w:t>dnais</w:t>
            </w:r>
            <w:r>
              <w:rPr>
                <w:rFonts w:cs="Arial"/>
                <w:szCs w:val="18"/>
              </w:rPr>
              <w:t>" attribute was provided in the request or subscription.</w:t>
            </w:r>
          </w:p>
        </w:tc>
        <w:tc>
          <w:tcPr>
            <w:tcW w:w="1778" w:type="dxa"/>
            <w:tcBorders>
              <w:top w:val="single" w:sz="6" w:space="0" w:color="auto"/>
              <w:left w:val="single" w:sz="6" w:space="0" w:color="auto"/>
              <w:bottom w:val="single" w:sz="6" w:space="0" w:color="auto"/>
              <w:right w:val="single" w:sz="6" w:space="0" w:color="auto"/>
            </w:tcBorders>
          </w:tcPr>
          <w:p w14:paraId="6FF334A3" w14:textId="77777777" w:rsidR="00A10B25" w:rsidRDefault="00A10B25">
            <w:pPr>
              <w:pStyle w:val="TAL"/>
              <w:rPr>
                <w:rFonts w:cs="Arial"/>
                <w:szCs w:val="18"/>
              </w:rPr>
            </w:pPr>
          </w:p>
        </w:tc>
      </w:tr>
      <w:tr w:rsidR="00A10B25" w14:paraId="6A9C1A4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53587E0" w14:textId="77777777" w:rsidR="00A10B25" w:rsidRDefault="00A10B25">
            <w:pPr>
              <w:pStyle w:val="TAL"/>
              <w:rPr>
                <w:lang w:eastAsia="zh-CN"/>
              </w:rPr>
            </w:pPr>
            <w:r>
              <w:rPr>
                <w:lang w:eastAsia="zh-CN"/>
              </w:rPr>
              <w:t>perfData</w:t>
            </w:r>
          </w:p>
        </w:tc>
        <w:tc>
          <w:tcPr>
            <w:tcW w:w="1560" w:type="dxa"/>
            <w:tcBorders>
              <w:top w:val="single" w:sz="6" w:space="0" w:color="auto"/>
              <w:left w:val="single" w:sz="6" w:space="0" w:color="auto"/>
              <w:bottom w:val="single" w:sz="6" w:space="0" w:color="auto"/>
              <w:right w:val="single" w:sz="6" w:space="0" w:color="auto"/>
            </w:tcBorders>
          </w:tcPr>
          <w:p w14:paraId="31AA84FA" w14:textId="77777777" w:rsidR="00A10B25" w:rsidRDefault="00A10B25">
            <w:pPr>
              <w:pStyle w:val="TAL"/>
              <w:rPr>
                <w:lang w:eastAsia="zh-CN"/>
              </w:rPr>
            </w:pPr>
            <w:r>
              <w:t>Perf</w:t>
            </w:r>
            <w:r>
              <w:rPr>
                <w:lang w:eastAsia="zh-CN"/>
              </w:rPr>
              <w:t>Data</w:t>
            </w:r>
          </w:p>
        </w:tc>
        <w:tc>
          <w:tcPr>
            <w:tcW w:w="425" w:type="dxa"/>
            <w:tcBorders>
              <w:top w:val="single" w:sz="6" w:space="0" w:color="auto"/>
              <w:left w:val="single" w:sz="6" w:space="0" w:color="auto"/>
              <w:bottom w:val="single" w:sz="6" w:space="0" w:color="auto"/>
              <w:right w:val="single" w:sz="6" w:space="0" w:color="auto"/>
            </w:tcBorders>
          </w:tcPr>
          <w:p w14:paraId="75BC342C" w14:textId="77777777" w:rsidR="00A10B25" w:rsidRDefault="00A10B25">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502A7584" w14:textId="77777777" w:rsidR="00A10B25" w:rsidRDefault="00A10B25">
            <w:pPr>
              <w:pStyle w:val="TAL"/>
              <w:rPr>
                <w:lang w:eastAsia="zh-CN"/>
              </w:rPr>
            </w:pPr>
            <w:r>
              <w:rPr>
                <w:lang w:eastAsia="zh-CN"/>
              </w:rPr>
              <w:t>1</w:t>
            </w:r>
          </w:p>
        </w:tc>
        <w:tc>
          <w:tcPr>
            <w:tcW w:w="2923" w:type="dxa"/>
            <w:tcBorders>
              <w:top w:val="single" w:sz="6" w:space="0" w:color="auto"/>
              <w:left w:val="single" w:sz="6" w:space="0" w:color="auto"/>
              <w:bottom w:val="single" w:sz="6" w:space="0" w:color="auto"/>
              <w:right w:val="single" w:sz="6" w:space="0" w:color="auto"/>
            </w:tcBorders>
          </w:tcPr>
          <w:p w14:paraId="07EB3AC6" w14:textId="77777777" w:rsidR="00A10B25" w:rsidRDefault="00A10B25">
            <w:pPr>
              <w:pStyle w:val="TAL"/>
              <w:rPr>
                <w:rFonts w:cs="Arial"/>
                <w:szCs w:val="18"/>
              </w:rPr>
            </w:pPr>
            <w:r>
              <w:rPr>
                <w:lang w:eastAsia="zh-CN"/>
              </w:rPr>
              <w:t>Represents</w:t>
            </w:r>
            <w:r>
              <w:t xml:space="preserve"> t</w:t>
            </w:r>
            <w:r>
              <w:rPr>
                <w:lang w:eastAsia="zh-CN"/>
              </w:rPr>
              <w:t>he performance data.</w:t>
            </w:r>
          </w:p>
        </w:tc>
        <w:tc>
          <w:tcPr>
            <w:tcW w:w="1778" w:type="dxa"/>
            <w:tcBorders>
              <w:top w:val="single" w:sz="6" w:space="0" w:color="auto"/>
              <w:left w:val="single" w:sz="6" w:space="0" w:color="auto"/>
              <w:bottom w:val="single" w:sz="6" w:space="0" w:color="auto"/>
              <w:right w:val="single" w:sz="6" w:space="0" w:color="auto"/>
            </w:tcBorders>
          </w:tcPr>
          <w:p w14:paraId="663A6E08" w14:textId="77777777" w:rsidR="00A10B25" w:rsidRDefault="00A10B25">
            <w:pPr>
              <w:pStyle w:val="TAL"/>
              <w:rPr>
                <w:rFonts w:cs="Arial"/>
                <w:szCs w:val="18"/>
              </w:rPr>
            </w:pPr>
          </w:p>
        </w:tc>
      </w:tr>
      <w:tr w:rsidR="00A10B25" w14:paraId="09F33A8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1A8C274" w14:textId="77777777" w:rsidR="00A10B25" w:rsidRDefault="00A10B25">
            <w:pPr>
              <w:pStyle w:val="TAL"/>
              <w:rPr>
                <w:lang w:eastAsia="zh-CN"/>
              </w:rPr>
            </w:pPr>
            <w:r>
              <w:rPr>
                <w:lang w:eastAsia="zh-CN"/>
              </w:rPr>
              <w:t>spatialValidCon</w:t>
            </w:r>
          </w:p>
        </w:tc>
        <w:tc>
          <w:tcPr>
            <w:tcW w:w="1560" w:type="dxa"/>
            <w:tcBorders>
              <w:top w:val="single" w:sz="6" w:space="0" w:color="auto"/>
              <w:left w:val="single" w:sz="6" w:space="0" w:color="auto"/>
              <w:bottom w:val="single" w:sz="6" w:space="0" w:color="auto"/>
              <w:right w:val="single" w:sz="6" w:space="0" w:color="auto"/>
            </w:tcBorders>
          </w:tcPr>
          <w:p w14:paraId="42389982" w14:textId="77777777" w:rsidR="00A10B25" w:rsidRDefault="00A10B25">
            <w:pPr>
              <w:pStyle w:val="TAL"/>
              <w:rPr>
                <w:lang w:eastAsia="zh-CN"/>
              </w:rPr>
            </w:pPr>
            <w:r>
              <w:rPr>
                <w:lang w:eastAsia="zh-CN"/>
              </w:rPr>
              <w:t>NetworkAreaInfo</w:t>
            </w:r>
          </w:p>
        </w:tc>
        <w:tc>
          <w:tcPr>
            <w:tcW w:w="425" w:type="dxa"/>
            <w:tcBorders>
              <w:top w:val="single" w:sz="6" w:space="0" w:color="auto"/>
              <w:left w:val="single" w:sz="6" w:space="0" w:color="auto"/>
              <w:bottom w:val="single" w:sz="6" w:space="0" w:color="auto"/>
              <w:right w:val="single" w:sz="6" w:space="0" w:color="auto"/>
            </w:tcBorders>
          </w:tcPr>
          <w:p w14:paraId="1065E101" w14:textId="77777777" w:rsidR="00A10B25" w:rsidRDefault="00A10B25">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F759AF6"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4DC6A0AA" w14:textId="77777777" w:rsidR="00A10B25" w:rsidRDefault="00A10B25">
            <w:pPr>
              <w:pStyle w:val="TAL"/>
              <w:rPr>
                <w:rFonts w:cs="Arial"/>
                <w:szCs w:val="18"/>
              </w:rPr>
            </w:pPr>
            <w:r>
              <w:rPr>
                <w:lang w:eastAsia="zh-CN"/>
              </w:rPr>
              <w:t>Represents</w:t>
            </w:r>
            <w:r>
              <w:t xml:space="preserve"> the</w:t>
            </w:r>
            <w:r>
              <w:rPr>
                <w:lang w:eastAsia="zh-CN"/>
              </w:rPr>
              <w:t xml:space="preserve"> </w:t>
            </w:r>
            <w:r>
              <w:t>area where the DN performance analytics applies.</w:t>
            </w:r>
            <w:r>
              <w:rPr>
                <w:rFonts w:cs="Arial"/>
                <w:szCs w:val="18"/>
              </w:rPr>
              <w:t xml:space="preserve"> Shall be present if "networkArea" attribute was provided in the request or subscription.</w:t>
            </w:r>
          </w:p>
          <w:p w14:paraId="580E76AB" w14:textId="77777777" w:rsidR="00A10B25" w:rsidRDefault="00A10B25">
            <w:pPr>
              <w:pStyle w:val="TAL"/>
            </w:pPr>
            <w:r>
              <w:rPr>
                <w:rFonts w:cs="Arial"/>
                <w:szCs w:val="18"/>
                <w:lang w:eastAsia="zh-CN"/>
              </w:rPr>
              <w:t>(NOTE</w:t>
            </w:r>
            <w:r>
              <w:rPr>
                <w:rFonts w:cs="Arial"/>
                <w:szCs w:val="18"/>
                <w:lang w:val="en-US" w:eastAsia="zh-CN"/>
              </w:rPr>
              <w:t> 3</w:t>
            </w:r>
            <w:r>
              <w:rPr>
                <w:rFonts w:cs="Arial"/>
                <w:szCs w:val="18"/>
                <w:lang w:eastAsia="zh-CN"/>
              </w:rPr>
              <w:t>)</w:t>
            </w:r>
          </w:p>
        </w:tc>
        <w:tc>
          <w:tcPr>
            <w:tcW w:w="1778" w:type="dxa"/>
            <w:tcBorders>
              <w:top w:val="single" w:sz="6" w:space="0" w:color="auto"/>
              <w:left w:val="single" w:sz="6" w:space="0" w:color="auto"/>
              <w:bottom w:val="single" w:sz="6" w:space="0" w:color="auto"/>
              <w:right w:val="single" w:sz="6" w:space="0" w:color="auto"/>
            </w:tcBorders>
          </w:tcPr>
          <w:p w14:paraId="3DEB60F4" w14:textId="77777777" w:rsidR="00A10B25" w:rsidRDefault="00A10B25">
            <w:pPr>
              <w:pStyle w:val="TAL"/>
              <w:rPr>
                <w:rFonts w:cs="Arial"/>
                <w:szCs w:val="18"/>
              </w:rPr>
            </w:pPr>
          </w:p>
        </w:tc>
      </w:tr>
      <w:tr w:rsidR="00A10B25" w14:paraId="406E04A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5318DDE7" w14:textId="77777777" w:rsidR="00A10B25" w:rsidRDefault="00A10B25">
            <w:pPr>
              <w:pStyle w:val="TAL"/>
              <w:rPr>
                <w:lang w:eastAsia="zh-CN"/>
              </w:rPr>
            </w:pPr>
            <w:r>
              <w:rPr>
                <w:lang w:eastAsia="zh-CN"/>
              </w:rPr>
              <w:t>temporalValidCon</w:t>
            </w:r>
          </w:p>
        </w:tc>
        <w:tc>
          <w:tcPr>
            <w:tcW w:w="1560" w:type="dxa"/>
            <w:tcBorders>
              <w:top w:val="single" w:sz="6" w:space="0" w:color="auto"/>
              <w:left w:val="single" w:sz="6" w:space="0" w:color="auto"/>
              <w:bottom w:val="single" w:sz="6" w:space="0" w:color="auto"/>
              <w:right w:val="single" w:sz="6" w:space="0" w:color="auto"/>
            </w:tcBorders>
          </w:tcPr>
          <w:p w14:paraId="7C05BBBC" w14:textId="77777777" w:rsidR="00A10B25" w:rsidRDefault="00A10B25">
            <w:pPr>
              <w:pStyle w:val="TAL"/>
              <w:rPr>
                <w:lang w:eastAsia="zh-CN"/>
              </w:rPr>
            </w:pPr>
            <w:r>
              <w:rPr>
                <w:rFonts w:eastAsia="等线"/>
                <w:lang w:eastAsia="zh-CN"/>
              </w:rPr>
              <w:t>TimeWindow</w:t>
            </w:r>
          </w:p>
        </w:tc>
        <w:tc>
          <w:tcPr>
            <w:tcW w:w="425" w:type="dxa"/>
            <w:tcBorders>
              <w:top w:val="single" w:sz="6" w:space="0" w:color="auto"/>
              <w:left w:val="single" w:sz="6" w:space="0" w:color="auto"/>
              <w:bottom w:val="single" w:sz="6" w:space="0" w:color="auto"/>
              <w:right w:val="single" w:sz="6" w:space="0" w:color="auto"/>
            </w:tcBorders>
          </w:tcPr>
          <w:p w14:paraId="03000CD1" w14:textId="77777777" w:rsidR="00A10B25" w:rsidRDefault="00A10B25">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33F86898" w14:textId="77777777" w:rsidR="00A10B25" w:rsidRDefault="00A10B25">
            <w:pPr>
              <w:pStyle w:val="TAL"/>
            </w:pPr>
            <w:r>
              <w:t>0..1</w:t>
            </w:r>
          </w:p>
        </w:tc>
        <w:tc>
          <w:tcPr>
            <w:tcW w:w="2923" w:type="dxa"/>
            <w:tcBorders>
              <w:top w:val="single" w:sz="6" w:space="0" w:color="auto"/>
              <w:left w:val="single" w:sz="6" w:space="0" w:color="auto"/>
              <w:bottom w:val="single" w:sz="6" w:space="0" w:color="auto"/>
              <w:right w:val="single" w:sz="6" w:space="0" w:color="auto"/>
            </w:tcBorders>
          </w:tcPr>
          <w:p w14:paraId="5BD171AD" w14:textId="77777777" w:rsidR="00A10B25" w:rsidRDefault="00A10B25">
            <w:pPr>
              <w:pStyle w:val="TAL"/>
              <w:rPr>
                <w:rFonts w:cs="Arial"/>
                <w:szCs w:val="18"/>
              </w:rPr>
            </w:pPr>
            <w:r>
              <w:rPr>
                <w:lang w:eastAsia="zh-CN"/>
              </w:rPr>
              <w:t>Represents</w:t>
            </w:r>
            <w:r>
              <w:t xml:space="preserve"> t</w:t>
            </w:r>
            <w:r>
              <w:rPr>
                <w:rFonts w:cs="Arial"/>
                <w:szCs w:val="18"/>
                <w:lang w:eastAsia="zh-CN"/>
              </w:rPr>
              <w:t>he</w:t>
            </w:r>
            <w:r>
              <w:rPr>
                <w:rFonts w:cs="Arial"/>
                <w:szCs w:val="18"/>
              </w:rPr>
              <w:t xml:space="preserve"> v</w:t>
            </w:r>
            <w:r>
              <w:t xml:space="preserve">alid period for </w:t>
            </w:r>
            <w:r>
              <w:rPr>
                <w:rFonts w:cs="Arial"/>
                <w:szCs w:val="18"/>
              </w:rPr>
              <w:t>the</w:t>
            </w:r>
            <w:r>
              <w:t xml:space="preserve"> DN performance analytics</w:t>
            </w:r>
            <w:r>
              <w:rPr>
                <w:rFonts w:cs="Arial"/>
                <w:szCs w:val="18"/>
              </w:rPr>
              <w:t>.</w:t>
            </w:r>
          </w:p>
          <w:p w14:paraId="0D02DE41" w14:textId="77777777" w:rsidR="00A10B25" w:rsidRDefault="00A10B25">
            <w:pPr>
              <w:pStyle w:val="TAL"/>
              <w:rPr>
                <w:rFonts w:cs="Arial"/>
                <w:szCs w:val="18"/>
              </w:rPr>
            </w:pPr>
            <w:r>
              <w:rPr>
                <w:rFonts w:cs="Arial"/>
                <w:szCs w:val="18"/>
              </w:rPr>
              <w:t>(NOTE2)</w:t>
            </w:r>
          </w:p>
        </w:tc>
        <w:tc>
          <w:tcPr>
            <w:tcW w:w="1778" w:type="dxa"/>
            <w:tcBorders>
              <w:top w:val="single" w:sz="6" w:space="0" w:color="auto"/>
              <w:left w:val="single" w:sz="6" w:space="0" w:color="auto"/>
              <w:bottom w:val="single" w:sz="6" w:space="0" w:color="auto"/>
              <w:right w:val="single" w:sz="6" w:space="0" w:color="auto"/>
            </w:tcBorders>
          </w:tcPr>
          <w:p w14:paraId="42152660" w14:textId="77777777" w:rsidR="00A10B25" w:rsidRDefault="00A10B25">
            <w:pPr>
              <w:pStyle w:val="TAL"/>
              <w:rPr>
                <w:rFonts w:cs="Arial"/>
                <w:szCs w:val="18"/>
              </w:rPr>
            </w:pPr>
          </w:p>
        </w:tc>
      </w:tr>
      <w:tr w:rsidR="00A10B25" w14:paraId="41F68A36"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57B50AA0" w14:textId="77777777" w:rsidR="00A10B25" w:rsidRDefault="00A10B25">
            <w:pPr>
              <w:pStyle w:val="TAN"/>
            </w:pPr>
            <w:r>
              <w:rPr>
                <w:rFonts w:cs="Arial"/>
                <w:szCs w:val="18"/>
              </w:rPr>
              <w:t>NOTE 1:</w:t>
            </w:r>
            <w:r>
              <w:rPr>
                <w:rFonts w:cs="Arial"/>
                <w:szCs w:val="18"/>
              </w:rPr>
              <w:tab/>
            </w:r>
            <w:r>
              <w:t>This attribute shall not be provided if the NWDAF does not know the NF service consumer type or if the NWDAF knows that the NF service consumer is an AF or a NEF.</w:t>
            </w:r>
          </w:p>
          <w:p w14:paraId="5765906A" w14:textId="77777777" w:rsidR="00A10B25" w:rsidRDefault="00A10B25">
            <w:pPr>
              <w:pStyle w:val="TAN"/>
            </w:pPr>
            <w:r>
              <w:rPr>
                <w:rFonts w:cs="Arial"/>
                <w:szCs w:val="18"/>
              </w:rPr>
              <w:t>NOTE 2:</w:t>
            </w:r>
            <w:r>
              <w:rPr>
                <w:rFonts w:cs="Arial"/>
                <w:szCs w:val="18"/>
              </w:rP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w:t>
            </w:r>
            <w:r>
              <w:rPr>
                <w:lang w:eastAsia="zh-CN"/>
              </w:rPr>
              <w:t>temporalValidCon</w:t>
            </w:r>
            <w:r>
              <w:t xml:space="preserve">" attribute </w:t>
            </w:r>
            <w:r>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6E6208BF" w14:textId="77777777" w:rsidR="00A10B25" w:rsidRDefault="00A10B25">
            <w:pPr>
              <w:pStyle w:val="TAN"/>
              <w:rPr>
                <w:rFonts w:cs="Arial"/>
                <w:szCs w:val="18"/>
              </w:rPr>
            </w:pPr>
            <w:r>
              <w:rPr>
                <w:rFonts w:cs="Arial"/>
                <w:szCs w:val="18"/>
              </w:rPr>
              <w:t>NOTE 3:</w:t>
            </w:r>
            <w:r>
              <w:rPr>
                <w:rFonts w:cs="Arial"/>
                <w:szCs w:val="18"/>
              </w:rPr>
              <w:tab/>
              <w:t xml:space="preserve">If the "spatialGranSizeTa" and/or "spatialGranSizeCell" attributes are provided in the request, the number of </w:t>
            </w:r>
            <w:r>
              <w:t>TAs or cells</w:t>
            </w:r>
            <w:r>
              <w:rPr>
                <w:rFonts w:cs="Arial"/>
                <w:szCs w:val="18"/>
              </w:rPr>
              <w:t xml:space="preserve"> contained in "spatialValidCon" attribute </w:t>
            </w:r>
            <w:r>
              <w:rPr>
                <w:rFonts w:cs="Arial"/>
                <w:szCs w:val="18"/>
                <w:lang w:eastAsia="zh-CN"/>
              </w:rPr>
              <w:t>shall be</w:t>
            </w:r>
            <w:r>
              <w:rPr>
                <w:rFonts w:cs="Arial"/>
                <w:szCs w:val="18"/>
              </w:rPr>
              <w:t xml:space="preserve"> smaller than or equal to the values of the "spatialGranSizeTa" and/or "spatialGranSizeCell" attributes.</w:t>
            </w:r>
          </w:p>
        </w:tc>
      </w:tr>
    </w:tbl>
    <w:p w14:paraId="2A211927" w14:textId="77777777" w:rsidR="00A10B25" w:rsidRDefault="00A10B25"/>
    <w:p w14:paraId="52CEB759" w14:textId="77777777" w:rsidR="003E1F9F" w:rsidRDefault="003E1F9F" w:rsidP="003E1F9F">
      <w:pPr>
        <w:pStyle w:val="5"/>
      </w:pPr>
      <w:bookmarkStart w:id="7220" w:name="_Toc104539049"/>
      <w:bookmarkStart w:id="7221" w:name="_Toc120702350"/>
      <w:bookmarkStart w:id="7222" w:name="_Toc94064295"/>
      <w:bookmarkStart w:id="7223" w:name="_Toc113031711"/>
      <w:bookmarkStart w:id="7224" w:name="_Toc98233680"/>
      <w:bookmarkStart w:id="7225" w:name="_Toc101244456"/>
      <w:bookmarkStart w:id="7226" w:name="_Toc112951171"/>
      <w:bookmarkStart w:id="7227" w:name="_Toc114133850"/>
      <w:bookmarkStart w:id="7228" w:name="_Toc90655912"/>
      <w:bookmarkStart w:id="7229" w:name="_Toc88667627"/>
      <w:bookmarkStart w:id="7230" w:name="_Toc145705737"/>
      <w:bookmarkStart w:id="7231" w:name="_Toc148522641"/>
      <w:bookmarkStart w:id="7232" w:name="_Toc164920821"/>
      <w:bookmarkStart w:id="7233" w:name="_Toc170120363"/>
      <w:bookmarkStart w:id="7234" w:name="_Toc175858608"/>
      <w:bookmarkStart w:id="7235" w:name="_Toc175859681"/>
      <w:bookmarkStart w:id="7236" w:name="_Toc180605971"/>
      <w:bookmarkStart w:id="7237" w:name="_Toc185517225"/>
      <w:bookmarkStart w:id="7238" w:name="_Toc191576276"/>
      <w:bookmarkStart w:id="7239" w:name="_Toc191577016"/>
      <w:bookmarkStart w:id="7240" w:name="_Toc192880086"/>
      <w:bookmarkStart w:id="7241" w:name="_Toc195814969"/>
      <w:bookmarkStart w:id="7242" w:name="_Toc199452936"/>
      <w:bookmarkEnd w:id="7208"/>
      <w:bookmarkEnd w:id="7209"/>
      <w:bookmarkEnd w:id="7210"/>
      <w:bookmarkEnd w:id="7211"/>
      <w:bookmarkEnd w:id="7212"/>
      <w:bookmarkEnd w:id="7213"/>
      <w:bookmarkEnd w:id="7214"/>
      <w:bookmarkEnd w:id="7215"/>
      <w:bookmarkEnd w:id="7216"/>
      <w:bookmarkEnd w:id="7217"/>
      <w:bookmarkEnd w:id="7218"/>
      <w:bookmarkEnd w:id="7219"/>
      <w:r>
        <w:lastRenderedPageBreak/>
        <w:t>5.1.6.2.47</w:t>
      </w:r>
      <w:r>
        <w:tab/>
        <w:t>Type Perf</w:t>
      </w:r>
      <w:r>
        <w:rPr>
          <w:rFonts w:hint="eastAsia"/>
          <w:lang w:eastAsia="zh-CN"/>
        </w:rPr>
        <w:t>Data</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5F5CA46D" w14:textId="77777777" w:rsidR="003E1F9F" w:rsidRDefault="003E1F9F" w:rsidP="003E1F9F">
      <w:pPr>
        <w:pStyle w:val="TH"/>
      </w:pPr>
      <w:r>
        <w:t>Table 5.1.6.2.47-1: Definition of type Perf</w:t>
      </w:r>
      <w:r>
        <w:rPr>
          <w:rFonts w:hint="eastAsia"/>
          <w:lang w:eastAsia="zh-CN"/>
        </w:rPr>
        <w:t>Data</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5"/>
        <w:gridCol w:w="1559"/>
        <w:gridCol w:w="426"/>
        <w:gridCol w:w="1134"/>
        <w:gridCol w:w="2976"/>
        <w:gridCol w:w="1640"/>
      </w:tblGrid>
      <w:tr w:rsidR="003E1F9F" w14:paraId="7D1627DD" w14:textId="77777777" w:rsidTr="005A20DD">
        <w:trPr>
          <w:jc w:val="center"/>
        </w:trPr>
        <w:tc>
          <w:tcPr>
            <w:tcW w:w="1835" w:type="dxa"/>
            <w:shd w:val="clear" w:color="auto" w:fill="C0C0C0"/>
          </w:tcPr>
          <w:p w14:paraId="001CD44D" w14:textId="77777777" w:rsidR="003E1F9F" w:rsidRDefault="003E1F9F" w:rsidP="005A20DD">
            <w:pPr>
              <w:pStyle w:val="TAH"/>
              <w:ind w:left="400" w:hanging="400"/>
            </w:pPr>
            <w:r>
              <w:t>Attribute name</w:t>
            </w:r>
          </w:p>
        </w:tc>
        <w:tc>
          <w:tcPr>
            <w:tcW w:w="1559" w:type="dxa"/>
            <w:shd w:val="clear" w:color="auto" w:fill="C0C0C0"/>
          </w:tcPr>
          <w:p w14:paraId="6D093442" w14:textId="77777777" w:rsidR="003E1F9F" w:rsidRDefault="003E1F9F" w:rsidP="005A20DD">
            <w:pPr>
              <w:pStyle w:val="TAH"/>
              <w:ind w:left="400" w:hanging="400"/>
            </w:pPr>
            <w:r>
              <w:t>Data type</w:t>
            </w:r>
          </w:p>
        </w:tc>
        <w:tc>
          <w:tcPr>
            <w:tcW w:w="426" w:type="dxa"/>
            <w:shd w:val="clear" w:color="auto" w:fill="C0C0C0"/>
          </w:tcPr>
          <w:p w14:paraId="1526C137" w14:textId="77777777" w:rsidR="003E1F9F" w:rsidRDefault="003E1F9F" w:rsidP="005A20DD">
            <w:pPr>
              <w:pStyle w:val="TAH"/>
              <w:ind w:left="400" w:hanging="400"/>
            </w:pPr>
            <w:r>
              <w:t>P</w:t>
            </w:r>
          </w:p>
        </w:tc>
        <w:tc>
          <w:tcPr>
            <w:tcW w:w="1134" w:type="dxa"/>
            <w:shd w:val="clear" w:color="auto" w:fill="C0C0C0"/>
          </w:tcPr>
          <w:p w14:paraId="0ACF18CD" w14:textId="77777777" w:rsidR="003E1F9F" w:rsidRDefault="003E1F9F" w:rsidP="005A20DD">
            <w:pPr>
              <w:pStyle w:val="TAH"/>
              <w:ind w:left="400" w:hanging="400"/>
            </w:pPr>
            <w:r>
              <w:t>Cardinality</w:t>
            </w:r>
          </w:p>
        </w:tc>
        <w:tc>
          <w:tcPr>
            <w:tcW w:w="2976" w:type="dxa"/>
            <w:shd w:val="clear" w:color="auto" w:fill="C0C0C0"/>
          </w:tcPr>
          <w:p w14:paraId="45F71E54" w14:textId="77777777" w:rsidR="003E1F9F" w:rsidRDefault="003E1F9F" w:rsidP="005A20DD">
            <w:pPr>
              <w:pStyle w:val="TAH"/>
              <w:ind w:left="400" w:hanging="400"/>
            </w:pPr>
            <w:r>
              <w:t>Description</w:t>
            </w:r>
          </w:p>
        </w:tc>
        <w:tc>
          <w:tcPr>
            <w:tcW w:w="1640" w:type="dxa"/>
            <w:shd w:val="clear" w:color="auto" w:fill="C0C0C0"/>
          </w:tcPr>
          <w:p w14:paraId="34535CA6" w14:textId="77777777" w:rsidR="003E1F9F" w:rsidRDefault="003E1F9F" w:rsidP="005A20DD">
            <w:pPr>
              <w:pStyle w:val="TAH"/>
              <w:ind w:left="400" w:hanging="400"/>
            </w:pPr>
            <w:r>
              <w:t>Applicability</w:t>
            </w:r>
          </w:p>
        </w:tc>
      </w:tr>
      <w:tr w:rsidR="003E1F9F" w14:paraId="78DB4551" w14:textId="77777777" w:rsidTr="005A20DD">
        <w:trPr>
          <w:jc w:val="center"/>
        </w:trPr>
        <w:tc>
          <w:tcPr>
            <w:tcW w:w="1835" w:type="dxa"/>
          </w:tcPr>
          <w:p w14:paraId="56044823" w14:textId="77777777" w:rsidR="003E1F9F" w:rsidRDefault="003E1F9F" w:rsidP="005A20DD">
            <w:pPr>
              <w:pStyle w:val="TAL"/>
              <w:rPr>
                <w:lang w:eastAsia="zh-CN"/>
              </w:rPr>
            </w:pPr>
            <w:r>
              <w:rPr>
                <w:lang w:eastAsia="zh-CN"/>
              </w:rPr>
              <w:t>avgTrafficRate</w:t>
            </w:r>
          </w:p>
        </w:tc>
        <w:tc>
          <w:tcPr>
            <w:tcW w:w="1559" w:type="dxa"/>
          </w:tcPr>
          <w:p w14:paraId="7D50547B" w14:textId="77777777" w:rsidR="003E1F9F" w:rsidRDefault="003E1F9F" w:rsidP="005A20DD">
            <w:pPr>
              <w:pStyle w:val="TAL"/>
              <w:rPr>
                <w:lang w:eastAsia="zh-CN"/>
              </w:rPr>
            </w:pPr>
            <w:r>
              <w:rPr>
                <w:lang w:eastAsia="zh-CN"/>
              </w:rPr>
              <w:t>BitRate</w:t>
            </w:r>
          </w:p>
        </w:tc>
        <w:tc>
          <w:tcPr>
            <w:tcW w:w="426" w:type="dxa"/>
          </w:tcPr>
          <w:p w14:paraId="0DC5F6DC" w14:textId="77777777" w:rsidR="003E1F9F" w:rsidRDefault="003E1F9F" w:rsidP="005A20DD">
            <w:pPr>
              <w:pStyle w:val="TAC"/>
            </w:pPr>
            <w:r>
              <w:rPr>
                <w:rFonts w:hint="eastAsia"/>
                <w:lang w:eastAsia="zh-CN"/>
              </w:rPr>
              <w:t>O</w:t>
            </w:r>
          </w:p>
        </w:tc>
        <w:tc>
          <w:tcPr>
            <w:tcW w:w="1134" w:type="dxa"/>
          </w:tcPr>
          <w:p w14:paraId="7E9C1947" w14:textId="77777777" w:rsidR="003E1F9F" w:rsidRDefault="003E1F9F" w:rsidP="005A20DD">
            <w:pPr>
              <w:pStyle w:val="TAL"/>
            </w:pPr>
            <w:r>
              <w:t>0..1</w:t>
            </w:r>
          </w:p>
        </w:tc>
        <w:tc>
          <w:tcPr>
            <w:tcW w:w="2976" w:type="dxa"/>
          </w:tcPr>
          <w:p w14:paraId="4582C44F" w14:textId="77777777" w:rsidR="003E1F9F" w:rsidRDefault="003E1F9F" w:rsidP="005A20DD">
            <w:pPr>
              <w:pStyle w:val="TAL"/>
              <w:rPr>
                <w:rFonts w:cs="Arial"/>
                <w:szCs w:val="18"/>
              </w:rPr>
            </w:pPr>
            <w:r>
              <w:t xml:space="preserve">Indicates average </w:t>
            </w:r>
            <w:r>
              <w:rPr>
                <w:lang w:eastAsia="zh-CN"/>
              </w:rPr>
              <w:t>traffic rate</w:t>
            </w:r>
            <w:r>
              <w:t xml:space="preserve"> </w:t>
            </w:r>
            <w:r>
              <w:rPr>
                <w:lang w:eastAsia="zh-CN"/>
              </w:rPr>
              <w:t>observed for UEs communicating with the application</w:t>
            </w:r>
            <w:r>
              <w:t>.</w:t>
            </w:r>
          </w:p>
        </w:tc>
        <w:tc>
          <w:tcPr>
            <w:tcW w:w="1640" w:type="dxa"/>
          </w:tcPr>
          <w:p w14:paraId="44B1ECEE" w14:textId="77777777" w:rsidR="003E1F9F" w:rsidRDefault="003E1F9F" w:rsidP="005A20DD">
            <w:pPr>
              <w:pStyle w:val="TAL"/>
              <w:rPr>
                <w:rFonts w:cs="Arial"/>
                <w:szCs w:val="18"/>
              </w:rPr>
            </w:pPr>
          </w:p>
        </w:tc>
      </w:tr>
      <w:tr w:rsidR="003E1F9F" w14:paraId="440B2584" w14:textId="77777777" w:rsidTr="005A20DD">
        <w:trPr>
          <w:jc w:val="center"/>
        </w:trPr>
        <w:tc>
          <w:tcPr>
            <w:tcW w:w="1835" w:type="dxa"/>
          </w:tcPr>
          <w:p w14:paraId="0EFF32FC" w14:textId="77777777" w:rsidR="003E1F9F" w:rsidRDefault="003E1F9F" w:rsidP="005A20DD">
            <w:pPr>
              <w:pStyle w:val="TAL"/>
              <w:rPr>
                <w:lang w:eastAsia="zh-CN"/>
              </w:rPr>
            </w:pPr>
            <w:r>
              <w:rPr>
                <w:lang w:eastAsia="zh-CN"/>
              </w:rPr>
              <w:t>maxTrafficRate</w:t>
            </w:r>
          </w:p>
        </w:tc>
        <w:tc>
          <w:tcPr>
            <w:tcW w:w="1559" w:type="dxa"/>
          </w:tcPr>
          <w:p w14:paraId="6F539914" w14:textId="77777777" w:rsidR="003E1F9F" w:rsidRDefault="003E1F9F" w:rsidP="005A20DD">
            <w:pPr>
              <w:pStyle w:val="TAL"/>
              <w:rPr>
                <w:lang w:eastAsia="zh-CN"/>
              </w:rPr>
            </w:pPr>
            <w:r>
              <w:rPr>
                <w:lang w:eastAsia="zh-CN"/>
              </w:rPr>
              <w:t>BitRate</w:t>
            </w:r>
          </w:p>
        </w:tc>
        <w:tc>
          <w:tcPr>
            <w:tcW w:w="426" w:type="dxa"/>
          </w:tcPr>
          <w:p w14:paraId="7524828F" w14:textId="77777777" w:rsidR="003E1F9F" w:rsidRDefault="003E1F9F" w:rsidP="005A20DD">
            <w:pPr>
              <w:pStyle w:val="TAL"/>
              <w:rPr>
                <w:lang w:eastAsia="zh-CN"/>
              </w:rPr>
            </w:pPr>
            <w:r>
              <w:rPr>
                <w:rFonts w:hint="eastAsia"/>
                <w:lang w:eastAsia="zh-CN"/>
              </w:rPr>
              <w:t>O</w:t>
            </w:r>
          </w:p>
        </w:tc>
        <w:tc>
          <w:tcPr>
            <w:tcW w:w="1134" w:type="dxa"/>
          </w:tcPr>
          <w:p w14:paraId="14B1902D" w14:textId="77777777" w:rsidR="003E1F9F" w:rsidRDefault="003E1F9F" w:rsidP="005A20DD">
            <w:pPr>
              <w:pStyle w:val="TAL"/>
              <w:rPr>
                <w:lang w:eastAsia="zh-CN"/>
              </w:rPr>
            </w:pPr>
            <w:r>
              <w:rPr>
                <w:lang w:eastAsia="zh-CN"/>
              </w:rPr>
              <w:t>0..1</w:t>
            </w:r>
          </w:p>
        </w:tc>
        <w:tc>
          <w:tcPr>
            <w:tcW w:w="2976" w:type="dxa"/>
          </w:tcPr>
          <w:p w14:paraId="7AF4DB4C" w14:textId="77777777" w:rsidR="003E1F9F" w:rsidRPr="00133F32" w:rsidRDefault="003E1F9F" w:rsidP="005A20DD">
            <w:pPr>
              <w:pStyle w:val="TAL"/>
              <w:rPr>
                <w:lang w:eastAsia="zh-CN"/>
              </w:rPr>
            </w:pPr>
            <w:r>
              <w:rPr>
                <w:lang w:eastAsia="zh-CN"/>
              </w:rPr>
              <w:t xml:space="preserve">Indicates </w:t>
            </w:r>
            <w:r>
              <w:rPr>
                <w:rFonts w:hint="eastAsia"/>
                <w:lang w:eastAsia="zh-CN"/>
              </w:rPr>
              <w:t>maximum</w:t>
            </w:r>
            <w:r>
              <w:rPr>
                <w:lang w:eastAsia="zh-CN"/>
              </w:rPr>
              <w:t xml:space="preserve"> traffic rate observed for UEs communicating with the application.</w:t>
            </w:r>
          </w:p>
        </w:tc>
        <w:tc>
          <w:tcPr>
            <w:tcW w:w="1640" w:type="dxa"/>
          </w:tcPr>
          <w:p w14:paraId="1E8DE15B" w14:textId="77777777" w:rsidR="003E1F9F" w:rsidRPr="00133F32" w:rsidRDefault="003E1F9F" w:rsidP="005A20DD">
            <w:pPr>
              <w:pStyle w:val="TAL"/>
              <w:rPr>
                <w:lang w:eastAsia="zh-CN"/>
              </w:rPr>
            </w:pPr>
          </w:p>
        </w:tc>
      </w:tr>
      <w:tr w:rsidR="003E1F9F" w14:paraId="129C57F9" w14:textId="77777777" w:rsidTr="005A20DD">
        <w:trPr>
          <w:jc w:val="center"/>
        </w:trPr>
        <w:tc>
          <w:tcPr>
            <w:tcW w:w="1835" w:type="dxa"/>
          </w:tcPr>
          <w:p w14:paraId="7AAB2166" w14:textId="77777777" w:rsidR="003E1F9F" w:rsidRDefault="003E1F9F" w:rsidP="005A20DD">
            <w:pPr>
              <w:pStyle w:val="TAL"/>
              <w:rPr>
                <w:lang w:eastAsia="zh-CN"/>
              </w:rPr>
            </w:pPr>
            <w:r>
              <w:rPr>
                <w:lang w:eastAsia="zh-CN"/>
              </w:rPr>
              <w:t>minTrafficRate</w:t>
            </w:r>
          </w:p>
        </w:tc>
        <w:tc>
          <w:tcPr>
            <w:tcW w:w="1559" w:type="dxa"/>
          </w:tcPr>
          <w:p w14:paraId="122D4E34" w14:textId="77777777" w:rsidR="003E1F9F" w:rsidRDefault="003E1F9F" w:rsidP="005A20DD">
            <w:pPr>
              <w:pStyle w:val="TAL"/>
              <w:rPr>
                <w:lang w:eastAsia="zh-CN"/>
              </w:rPr>
            </w:pPr>
            <w:r>
              <w:rPr>
                <w:lang w:eastAsia="zh-CN"/>
              </w:rPr>
              <w:t>BitRate</w:t>
            </w:r>
          </w:p>
        </w:tc>
        <w:tc>
          <w:tcPr>
            <w:tcW w:w="426" w:type="dxa"/>
          </w:tcPr>
          <w:p w14:paraId="6F1DD603" w14:textId="77777777" w:rsidR="003E1F9F" w:rsidRDefault="003E1F9F" w:rsidP="005A20DD">
            <w:pPr>
              <w:pStyle w:val="TAL"/>
              <w:rPr>
                <w:lang w:eastAsia="zh-CN"/>
              </w:rPr>
            </w:pPr>
            <w:r>
              <w:rPr>
                <w:rFonts w:hint="eastAsia"/>
                <w:lang w:eastAsia="zh-CN"/>
              </w:rPr>
              <w:t>O</w:t>
            </w:r>
          </w:p>
        </w:tc>
        <w:tc>
          <w:tcPr>
            <w:tcW w:w="1134" w:type="dxa"/>
          </w:tcPr>
          <w:p w14:paraId="66A828F9" w14:textId="77777777" w:rsidR="003E1F9F" w:rsidRDefault="003E1F9F" w:rsidP="005A20DD">
            <w:pPr>
              <w:pStyle w:val="TAL"/>
              <w:rPr>
                <w:lang w:eastAsia="zh-CN"/>
              </w:rPr>
            </w:pPr>
            <w:r>
              <w:rPr>
                <w:lang w:eastAsia="zh-CN"/>
              </w:rPr>
              <w:t>0..1</w:t>
            </w:r>
          </w:p>
        </w:tc>
        <w:tc>
          <w:tcPr>
            <w:tcW w:w="2976" w:type="dxa"/>
          </w:tcPr>
          <w:p w14:paraId="5C38CA46" w14:textId="77777777" w:rsidR="003E1F9F" w:rsidRDefault="003E1F9F" w:rsidP="005A20DD">
            <w:pPr>
              <w:pStyle w:val="TAL"/>
              <w:rPr>
                <w:lang w:eastAsia="zh-CN"/>
              </w:rPr>
            </w:pPr>
            <w:r>
              <w:rPr>
                <w:lang w:eastAsia="zh-CN"/>
              </w:rPr>
              <w:t>Indicates minimum traffic rate observed for UEs communicating with the application.</w:t>
            </w:r>
          </w:p>
          <w:p w14:paraId="09B4B5E7" w14:textId="77777777" w:rsidR="003E1F9F" w:rsidRDefault="003E1F9F" w:rsidP="005A20DD">
            <w:pPr>
              <w:pStyle w:val="TAL"/>
              <w:rPr>
                <w:lang w:eastAsia="zh-CN"/>
              </w:rPr>
            </w:pPr>
            <w:r>
              <w:rPr>
                <w:lang w:eastAsia="zh-CN"/>
              </w:rPr>
              <w:t>The minimum traffic rate measurements are only derived from active traffic.</w:t>
            </w:r>
          </w:p>
        </w:tc>
        <w:tc>
          <w:tcPr>
            <w:tcW w:w="1640" w:type="dxa"/>
          </w:tcPr>
          <w:p w14:paraId="74B3038E" w14:textId="77777777" w:rsidR="003E1F9F" w:rsidRPr="00133F32" w:rsidRDefault="003E1F9F" w:rsidP="005A20DD">
            <w:pPr>
              <w:pStyle w:val="TAL"/>
              <w:rPr>
                <w:lang w:eastAsia="zh-CN"/>
              </w:rPr>
            </w:pPr>
            <w:r w:rsidRPr="00133F32">
              <w:rPr>
                <w:lang w:eastAsia="zh-CN"/>
              </w:rPr>
              <w:t>DnPerformanceExt_AIML</w:t>
            </w:r>
          </w:p>
        </w:tc>
      </w:tr>
      <w:tr w:rsidR="003E1F9F" w14:paraId="3271D1FA" w14:textId="77777777" w:rsidTr="005A20DD">
        <w:trPr>
          <w:jc w:val="center"/>
        </w:trPr>
        <w:tc>
          <w:tcPr>
            <w:tcW w:w="1835" w:type="dxa"/>
            <w:vAlign w:val="center"/>
          </w:tcPr>
          <w:p w14:paraId="12E7A8D4" w14:textId="77777777" w:rsidR="003E1F9F" w:rsidRDefault="003E1F9F" w:rsidP="005A20DD">
            <w:pPr>
              <w:pStyle w:val="TAL"/>
            </w:pPr>
            <w:r>
              <w:t>aggTrafficRate</w:t>
            </w:r>
          </w:p>
        </w:tc>
        <w:tc>
          <w:tcPr>
            <w:tcW w:w="1559" w:type="dxa"/>
          </w:tcPr>
          <w:p w14:paraId="5C44776C" w14:textId="77777777" w:rsidR="003E1F9F" w:rsidRDefault="003E1F9F" w:rsidP="005A20DD">
            <w:pPr>
              <w:pStyle w:val="TAL"/>
              <w:rPr>
                <w:lang w:eastAsia="zh-CN"/>
              </w:rPr>
            </w:pPr>
            <w:r>
              <w:rPr>
                <w:lang w:eastAsia="zh-CN"/>
              </w:rPr>
              <w:t>BitRate</w:t>
            </w:r>
          </w:p>
        </w:tc>
        <w:tc>
          <w:tcPr>
            <w:tcW w:w="426" w:type="dxa"/>
          </w:tcPr>
          <w:p w14:paraId="49A66318" w14:textId="77777777" w:rsidR="003E1F9F" w:rsidRDefault="003E1F9F" w:rsidP="005A20DD">
            <w:pPr>
              <w:pStyle w:val="TAC"/>
              <w:rPr>
                <w:lang w:eastAsia="zh-CN"/>
              </w:rPr>
            </w:pPr>
            <w:r>
              <w:rPr>
                <w:rFonts w:hint="eastAsia"/>
                <w:lang w:eastAsia="zh-CN"/>
              </w:rPr>
              <w:t>O</w:t>
            </w:r>
          </w:p>
        </w:tc>
        <w:tc>
          <w:tcPr>
            <w:tcW w:w="1134" w:type="dxa"/>
          </w:tcPr>
          <w:p w14:paraId="0F346909" w14:textId="77777777" w:rsidR="003E1F9F" w:rsidRDefault="003E1F9F" w:rsidP="005A20DD">
            <w:pPr>
              <w:pStyle w:val="TAL"/>
            </w:pPr>
            <w:r>
              <w:t>0..1</w:t>
            </w:r>
          </w:p>
        </w:tc>
        <w:tc>
          <w:tcPr>
            <w:tcW w:w="2976" w:type="dxa"/>
          </w:tcPr>
          <w:p w14:paraId="68AE4586" w14:textId="77777777" w:rsidR="003E1F9F" w:rsidRDefault="003E1F9F" w:rsidP="005A20DD">
            <w:pPr>
              <w:pStyle w:val="TAL"/>
            </w:pPr>
            <w:r>
              <w:t xml:space="preserve">Indicates </w:t>
            </w:r>
            <w:r>
              <w:rPr>
                <w:lang w:eastAsia="zh-CN"/>
              </w:rPr>
              <w:t>aggregated traffic rate</w:t>
            </w:r>
            <w:r>
              <w:t>.</w:t>
            </w:r>
          </w:p>
        </w:tc>
        <w:tc>
          <w:tcPr>
            <w:tcW w:w="1640" w:type="dxa"/>
          </w:tcPr>
          <w:p w14:paraId="00AE1BEC" w14:textId="77777777" w:rsidR="003E1F9F" w:rsidRDefault="003E1F9F" w:rsidP="005A20DD">
            <w:pPr>
              <w:pStyle w:val="TAL"/>
              <w:rPr>
                <w:rFonts w:cs="Arial"/>
                <w:szCs w:val="18"/>
              </w:rPr>
            </w:pPr>
            <w:r>
              <w:rPr>
                <w:rFonts w:cs="Arial"/>
                <w:szCs w:val="18"/>
              </w:rPr>
              <w:t>DnPerformanceExt_AIML</w:t>
            </w:r>
          </w:p>
        </w:tc>
      </w:tr>
      <w:tr w:rsidR="003E1F9F" w14:paraId="57E86AB4" w14:textId="77777777" w:rsidTr="005A20DD">
        <w:trPr>
          <w:jc w:val="center"/>
        </w:trPr>
        <w:tc>
          <w:tcPr>
            <w:tcW w:w="1835" w:type="dxa"/>
            <w:vAlign w:val="center"/>
          </w:tcPr>
          <w:p w14:paraId="539121DC" w14:textId="77777777" w:rsidR="003E1F9F" w:rsidRDefault="003E1F9F" w:rsidP="005A20DD">
            <w:pPr>
              <w:pStyle w:val="TAL"/>
            </w:pPr>
            <w:r>
              <w:t>varTrafficRate</w:t>
            </w:r>
          </w:p>
        </w:tc>
        <w:tc>
          <w:tcPr>
            <w:tcW w:w="1559" w:type="dxa"/>
          </w:tcPr>
          <w:p w14:paraId="01CCE98D" w14:textId="77777777" w:rsidR="003E1F9F" w:rsidRDefault="003E1F9F" w:rsidP="005A20DD">
            <w:pPr>
              <w:pStyle w:val="TAL"/>
              <w:rPr>
                <w:lang w:eastAsia="zh-CN"/>
              </w:rPr>
            </w:pPr>
            <w:r>
              <w:t>Float</w:t>
            </w:r>
          </w:p>
        </w:tc>
        <w:tc>
          <w:tcPr>
            <w:tcW w:w="426" w:type="dxa"/>
          </w:tcPr>
          <w:p w14:paraId="2D288251" w14:textId="77777777" w:rsidR="003E1F9F" w:rsidRDefault="003E1F9F" w:rsidP="005A20DD">
            <w:pPr>
              <w:pStyle w:val="TAC"/>
              <w:rPr>
                <w:lang w:eastAsia="zh-CN"/>
              </w:rPr>
            </w:pPr>
            <w:r>
              <w:rPr>
                <w:rFonts w:hint="eastAsia"/>
                <w:lang w:eastAsia="zh-CN"/>
              </w:rPr>
              <w:t>O</w:t>
            </w:r>
          </w:p>
        </w:tc>
        <w:tc>
          <w:tcPr>
            <w:tcW w:w="1134" w:type="dxa"/>
          </w:tcPr>
          <w:p w14:paraId="061C2AD5" w14:textId="77777777" w:rsidR="003E1F9F" w:rsidRDefault="003E1F9F" w:rsidP="005A20DD">
            <w:pPr>
              <w:pStyle w:val="TAL"/>
            </w:pPr>
            <w:r>
              <w:t>0..1</w:t>
            </w:r>
          </w:p>
        </w:tc>
        <w:tc>
          <w:tcPr>
            <w:tcW w:w="2976" w:type="dxa"/>
          </w:tcPr>
          <w:p w14:paraId="01A3E9DA" w14:textId="77777777" w:rsidR="003E1F9F" w:rsidRDefault="003E1F9F" w:rsidP="005A20DD">
            <w:pPr>
              <w:pStyle w:val="TAL"/>
            </w:pPr>
            <w:r>
              <w:t xml:space="preserve">Indicates </w:t>
            </w:r>
            <w:r>
              <w:rPr>
                <w:lang w:eastAsia="zh-CN"/>
              </w:rPr>
              <w:t>variance of traffic rate</w:t>
            </w:r>
            <w:r>
              <w:t>.</w:t>
            </w:r>
          </w:p>
        </w:tc>
        <w:tc>
          <w:tcPr>
            <w:tcW w:w="1640" w:type="dxa"/>
          </w:tcPr>
          <w:p w14:paraId="084EF3B7"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51141710" w14:textId="77777777" w:rsidTr="005A20DD">
        <w:trPr>
          <w:jc w:val="center"/>
        </w:trPr>
        <w:tc>
          <w:tcPr>
            <w:tcW w:w="1835" w:type="dxa"/>
            <w:tcBorders>
              <w:top w:val="single" w:sz="6" w:space="0" w:color="auto"/>
              <w:left w:val="single" w:sz="6" w:space="0" w:color="auto"/>
              <w:bottom w:val="single" w:sz="6" w:space="0" w:color="auto"/>
              <w:right w:val="single" w:sz="6" w:space="0" w:color="auto"/>
            </w:tcBorders>
          </w:tcPr>
          <w:p w14:paraId="0A525BB7" w14:textId="77777777" w:rsidR="003E1F9F" w:rsidRDefault="003E1F9F" w:rsidP="005A20DD">
            <w:pPr>
              <w:pStyle w:val="TAL"/>
            </w:pPr>
            <w:r>
              <w:t>trafRateUeIds</w:t>
            </w:r>
          </w:p>
        </w:tc>
        <w:tc>
          <w:tcPr>
            <w:tcW w:w="1559" w:type="dxa"/>
            <w:tcBorders>
              <w:top w:val="single" w:sz="6" w:space="0" w:color="auto"/>
              <w:left w:val="single" w:sz="6" w:space="0" w:color="auto"/>
              <w:bottom w:val="single" w:sz="6" w:space="0" w:color="auto"/>
              <w:right w:val="single" w:sz="6" w:space="0" w:color="auto"/>
            </w:tcBorders>
          </w:tcPr>
          <w:p w14:paraId="14952EE2" w14:textId="77777777" w:rsidR="003E1F9F" w:rsidRDefault="003E1F9F" w:rsidP="005A20DD">
            <w:pPr>
              <w:pStyle w:val="TAL"/>
            </w:pPr>
            <w:r>
              <w:t>array(Supi)</w:t>
            </w:r>
          </w:p>
        </w:tc>
        <w:tc>
          <w:tcPr>
            <w:tcW w:w="426" w:type="dxa"/>
            <w:tcBorders>
              <w:top w:val="single" w:sz="6" w:space="0" w:color="auto"/>
              <w:left w:val="single" w:sz="6" w:space="0" w:color="auto"/>
              <w:bottom w:val="single" w:sz="6" w:space="0" w:color="auto"/>
              <w:right w:val="single" w:sz="6" w:space="0" w:color="auto"/>
            </w:tcBorders>
          </w:tcPr>
          <w:p w14:paraId="3A345ECE" w14:textId="77777777" w:rsidR="003E1F9F" w:rsidRDefault="003E1F9F" w:rsidP="005A20DD">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625E25A" w14:textId="77777777" w:rsidR="003E1F9F" w:rsidRDefault="003E1F9F" w:rsidP="005A20DD">
            <w:pPr>
              <w:pStyle w:val="TAL"/>
            </w:pPr>
            <w:r>
              <w:t>1..N</w:t>
            </w:r>
          </w:p>
        </w:tc>
        <w:tc>
          <w:tcPr>
            <w:tcW w:w="2976" w:type="dxa"/>
            <w:tcBorders>
              <w:top w:val="single" w:sz="6" w:space="0" w:color="auto"/>
              <w:left w:val="single" w:sz="6" w:space="0" w:color="auto"/>
              <w:bottom w:val="single" w:sz="6" w:space="0" w:color="auto"/>
              <w:right w:val="single" w:sz="6" w:space="0" w:color="auto"/>
            </w:tcBorders>
          </w:tcPr>
          <w:p w14:paraId="76693E2E" w14:textId="77777777" w:rsidR="003E1F9F" w:rsidRDefault="003E1F9F" w:rsidP="005A20DD">
            <w:pPr>
              <w:pStyle w:val="TAL"/>
            </w:pPr>
            <w:r>
              <w:t>Identifies a UE or a list of UEs whose traffic rate is higher or lower than the threshold. Each element identifies a SUPI of an UE. The maximum number of SUPI(s) shall not exceed the subscribed "maxSupiNbr" attribute value if provided. (NOTE)</w:t>
            </w:r>
          </w:p>
        </w:tc>
        <w:tc>
          <w:tcPr>
            <w:tcW w:w="1640" w:type="dxa"/>
            <w:tcBorders>
              <w:top w:val="single" w:sz="6" w:space="0" w:color="auto"/>
              <w:left w:val="single" w:sz="6" w:space="0" w:color="auto"/>
              <w:bottom w:val="single" w:sz="6" w:space="0" w:color="auto"/>
              <w:right w:val="single" w:sz="6" w:space="0" w:color="auto"/>
            </w:tcBorders>
          </w:tcPr>
          <w:p w14:paraId="3E836059" w14:textId="77777777" w:rsidR="003E1F9F" w:rsidRDefault="003E1F9F" w:rsidP="005A20DD">
            <w:pPr>
              <w:pStyle w:val="TAL"/>
              <w:rPr>
                <w:rFonts w:cs="Arial"/>
                <w:szCs w:val="18"/>
              </w:rPr>
            </w:pPr>
            <w:r>
              <w:rPr>
                <w:rFonts w:cs="Arial"/>
                <w:szCs w:val="18"/>
              </w:rPr>
              <w:t>DnPerformanceExt_AIML</w:t>
            </w:r>
          </w:p>
        </w:tc>
      </w:tr>
      <w:tr w:rsidR="003E1F9F" w14:paraId="4D354567" w14:textId="77777777" w:rsidTr="005A20DD">
        <w:trPr>
          <w:jc w:val="center"/>
        </w:trPr>
        <w:tc>
          <w:tcPr>
            <w:tcW w:w="1835" w:type="dxa"/>
            <w:vAlign w:val="center"/>
          </w:tcPr>
          <w:p w14:paraId="0AC5ADC3" w14:textId="77777777" w:rsidR="003E1F9F" w:rsidRDefault="003E1F9F" w:rsidP="005A20DD">
            <w:pPr>
              <w:pStyle w:val="TAL"/>
              <w:rPr>
                <w:lang w:eastAsia="zh-CN"/>
              </w:rPr>
            </w:pPr>
            <w:r>
              <w:rPr>
                <w:lang w:eastAsia="zh-CN"/>
              </w:rPr>
              <w:t>avePacketDelay</w:t>
            </w:r>
          </w:p>
        </w:tc>
        <w:tc>
          <w:tcPr>
            <w:tcW w:w="1559" w:type="dxa"/>
          </w:tcPr>
          <w:p w14:paraId="5CA7C95C" w14:textId="77777777" w:rsidR="003E1F9F" w:rsidRDefault="003E1F9F" w:rsidP="005A20DD">
            <w:pPr>
              <w:pStyle w:val="TAL"/>
              <w:rPr>
                <w:lang w:eastAsia="zh-CN"/>
              </w:rPr>
            </w:pPr>
            <w:r>
              <w:t>PacketDelBudget</w:t>
            </w:r>
          </w:p>
        </w:tc>
        <w:tc>
          <w:tcPr>
            <w:tcW w:w="426" w:type="dxa"/>
          </w:tcPr>
          <w:p w14:paraId="2BE4BF1E" w14:textId="77777777" w:rsidR="003E1F9F" w:rsidRDefault="003E1F9F" w:rsidP="005A20DD">
            <w:pPr>
              <w:pStyle w:val="TAC"/>
            </w:pPr>
            <w:r>
              <w:rPr>
                <w:rFonts w:hint="eastAsia"/>
                <w:lang w:eastAsia="zh-CN"/>
              </w:rPr>
              <w:t>O</w:t>
            </w:r>
          </w:p>
        </w:tc>
        <w:tc>
          <w:tcPr>
            <w:tcW w:w="1134" w:type="dxa"/>
          </w:tcPr>
          <w:p w14:paraId="01849C92" w14:textId="77777777" w:rsidR="003E1F9F" w:rsidRDefault="003E1F9F" w:rsidP="005A20DD">
            <w:pPr>
              <w:pStyle w:val="TAL"/>
            </w:pPr>
            <w:r>
              <w:t>0..1</w:t>
            </w:r>
          </w:p>
        </w:tc>
        <w:tc>
          <w:tcPr>
            <w:tcW w:w="2976" w:type="dxa"/>
          </w:tcPr>
          <w:p w14:paraId="57774921" w14:textId="77777777" w:rsidR="003E1F9F" w:rsidRDefault="003E1F9F" w:rsidP="005A20DD">
            <w:pPr>
              <w:pStyle w:val="TAL"/>
              <w:rPr>
                <w:rFonts w:cs="Arial"/>
                <w:szCs w:val="18"/>
              </w:rPr>
            </w:pPr>
            <w:r>
              <w:t>Indicates average Packet Delay.</w:t>
            </w:r>
          </w:p>
        </w:tc>
        <w:tc>
          <w:tcPr>
            <w:tcW w:w="1640" w:type="dxa"/>
          </w:tcPr>
          <w:p w14:paraId="163D6AC2" w14:textId="77777777" w:rsidR="003E1F9F" w:rsidRDefault="003E1F9F" w:rsidP="005A20DD">
            <w:pPr>
              <w:pStyle w:val="TAL"/>
              <w:rPr>
                <w:rFonts w:cs="Arial"/>
                <w:szCs w:val="18"/>
              </w:rPr>
            </w:pPr>
          </w:p>
        </w:tc>
      </w:tr>
      <w:tr w:rsidR="003E1F9F" w14:paraId="366E6909" w14:textId="77777777" w:rsidTr="005A20DD">
        <w:trPr>
          <w:jc w:val="center"/>
        </w:trPr>
        <w:tc>
          <w:tcPr>
            <w:tcW w:w="1835" w:type="dxa"/>
          </w:tcPr>
          <w:p w14:paraId="0FB471B6" w14:textId="77777777" w:rsidR="003E1F9F" w:rsidRDefault="003E1F9F" w:rsidP="005A20DD">
            <w:pPr>
              <w:pStyle w:val="TAL"/>
              <w:rPr>
                <w:lang w:eastAsia="zh-CN"/>
              </w:rPr>
            </w:pPr>
            <w:r>
              <w:rPr>
                <w:lang w:eastAsia="zh-CN"/>
              </w:rPr>
              <w:t>maxPacketDelay</w:t>
            </w:r>
          </w:p>
        </w:tc>
        <w:tc>
          <w:tcPr>
            <w:tcW w:w="1559" w:type="dxa"/>
          </w:tcPr>
          <w:p w14:paraId="187B1F2C" w14:textId="77777777" w:rsidR="003E1F9F" w:rsidRDefault="003E1F9F" w:rsidP="005A20DD">
            <w:pPr>
              <w:pStyle w:val="TAL"/>
              <w:rPr>
                <w:lang w:eastAsia="zh-CN"/>
              </w:rPr>
            </w:pPr>
            <w:r>
              <w:t>PacketDelBudget</w:t>
            </w:r>
          </w:p>
        </w:tc>
        <w:tc>
          <w:tcPr>
            <w:tcW w:w="426" w:type="dxa"/>
          </w:tcPr>
          <w:p w14:paraId="46679C79" w14:textId="77777777" w:rsidR="003E1F9F" w:rsidRDefault="003E1F9F" w:rsidP="005A20DD">
            <w:pPr>
              <w:pStyle w:val="TAC"/>
            </w:pPr>
            <w:r>
              <w:rPr>
                <w:rFonts w:hint="eastAsia"/>
                <w:lang w:eastAsia="zh-CN"/>
              </w:rPr>
              <w:t>O</w:t>
            </w:r>
          </w:p>
        </w:tc>
        <w:tc>
          <w:tcPr>
            <w:tcW w:w="1134" w:type="dxa"/>
          </w:tcPr>
          <w:p w14:paraId="0FEA9E5C" w14:textId="77777777" w:rsidR="003E1F9F" w:rsidRDefault="003E1F9F" w:rsidP="005A20DD">
            <w:pPr>
              <w:pStyle w:val="TAL"/>
            </w:pPr>
            <w:r>
              <w:t>0..1</w:t>
            </w:r>
          </w:p>
        </w:tc>
        <w:tc>
          <w:tcPr>
            <w:tcW w:w="2976" w:type="dxa"/>
          </w:tcPr>
          <w:p w14:paraId="36C9DF14" w14:textId="77777777" w:rsidR="003E1F9F" w:rsidRDefault="003E1F9F" w:rsidP="005A20DD">
            <w:pPr>
              <w:pStyle w:val="TAL"/>
              <w:rPr>
                <w:rFonts w:cs="Arial"/>
                <w:szCs w:val="18"/>
              </w:rPr>
            </w:pPr>
            <w:r>
              <w:t xml:space="preserve">Indicates </w:t>
            </w:r>
            <w:r>
              <w:rPr>
                <w:rFonts w:hint="eastAsia"/>
                <w:lang w:eastAsia="zh-CN"/>
              </w:rPr>
              <w:t>maximum</w:t>
            </w:r>
            <w:r>
              <w:t xml:space="preserve"> Packet Delay.</w:t>
            </w:r>
          </w:p>
        </w:tc>
        <w:tc>
          <w:tcPr>
            <w:tcW w:w="1640" w:type="dxa"/>
          </w:tcPr>
          <w:p w14:paraId="797FC9D2" w14:textId="77777777" w:rsidR="003E1F9F" w:rsidRDefault="003E1F9F" w:rsidP="005A20DD">
            <w:pPr>
              <w:pStyle w:val="TAL"/>
              <w:rPr>
                <w:rFonts w:cs="Arial"/>
                <w:szCs w:val="18"/>
              </w:rPr>
            </w:pPr>
          </w:p>
        </w:tc>
      </w:tr>
      <w:tr w:rsidR="003E1F9F" w14:paraId="412C730B" w14:textId="77777777" w:rsidTr="005A20DD">
        <w:trPr>
          <w:jc w:val="center"/>
        </w:trPr>
        <w:tc>
          <w:tcPr>
            <w:tcW w:w="1835" w:type="dxa"/>
          </w:tcPr>
          <w:p w14:paraId="44C05FE7" w14:textId="77777777" w:rsidR="003E1F9F" w:rsidRDefault="003E1F9F" w:rsidP="005A20DD">
            <w:pPr>
              <w:pStyle w:val="TAL"/>
              <w:rPr>
                <w:lang w:eastAsia="zh-CN"/>
              </w:rPr>
            </w:pPr>
            <w:r>
              <w:rPr>
                <w:lang w:eastAsia="zh-CN"/>
              </w:rPr>
              <w:t>varPacketDelay</w:t>
            </w:r>
          </w:p>
        </w:tc>
        <w:tc>
          <w:tcPr>
            <w:tcW w:w="1559" w:type="dxa"/>
          </w:tcPr>
          <w:p w14:paraId="232BEE65" w14:textId="77777777" w:rsidR="003E1F9F" w:rsidRDefault="003E1F9F" w:rsidP="005A20DD">
            <w:pPr>
              <w:pStyle w:val="TAL"/>
            </w:pPr>
            <w:r>
              <w:t>Float</w:t>
            </w:r>
          </w:p>
        </w:tc>
        <w:tc>
          <w:tcPr>
            <w:tcW w:w="426" w:type="dxa"/>
          </w:tcPr>
          <w:p w14:paraId="67656B7C" w14:textId="77777777" w:rsidR="003E1F9F" w:rsidRDefault="003E1F9F" w:rsidP="005A20DD">
            <w:pPr>
              <w:pStyle w:val="TAC"/>
              <w:rPr>
                <w:lang w:eastAsia="zh-CN"/>
              </w:rPr>
            </w:pPr>
            <w:r>
              <w:rPr>
                <w:rFonts w:hint="eastAsia"/>
                <w:lang w:eastAsia="zh-CN"/>
              </w:rPr>
              <w:t>O</w:t>
            </w:r>
          </w:p>
        </w:tc>
        <w:tc>
          <w:tcPr>
            <w:tcW w:w="1134" w:type="dxa"/>
          </w:tcPr>
          <w:p w14:paraId="38D9693C" w14:textId="77777777" w:rsidR="003E1F9F" w:rsidRDefault="003E1F9F" w:rsidP="005A20DD">
            <w:pPr>
              <w:pStyle w:val="TAL"/>
            </w:pPr>
            <w:r>
              <w:t>0..1</w:t>
            </w:r>
          </w:p>
        </w:tc>
        <w:tc>
          <w:tcPr>
            <w:tcW w:w="2976" w:type="dxa"/>
          </w:tcPr>
          <w:p w14:paraId="07A6FFF0" w14:textId="77777777" w:rsidR="003E1F9F" w:rsidRDefault="003E1F9F" w:rsidP="005A20DD">
            <w:pPr>
              <w:pStyle w:val="TAL"/>
            </w:pPr>
            <w:r>
              <w:t xml:space="preserve">Indicates </w:t>
            </w:r>
            <w:r>
              <w:rPr>
                <w:lang w:eastAsia="zh-CN"/>
              </w:rPr>
              <w:t xml:space="preserve">variance of </w:t>
            </w:r>
            <w:r>
              <w:t>Packet Delay.</w:t>
            </w:r>
          </w:p>
        </w:tc>
        <w:tc>
          <w:tcPr>
            <w:tcW w:w="1640" w:type="dxa"/>
          </w:tcPr>
          <w:p w14:paraId="2CB54533"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5AB09D2F" w14:textId="77777777" w:rsidTr="005A20DD">
        <w:trPr>
          <w:jc w:val="center"/>
        </w:trPr>
        <w:tc>
          <w:tcPr>
            <w:tcW w:w="1835" w:type="dxa"/>
          </w:tcPr>
          <w:p w14:paraId="61464BB4" w14:textId="77777777" w:rsidR="003E1F9F" w:rsidRDefault="003E1F9F" w:rsidP="005A20DD">
            <w:pPr>
              <w:pStyle w:val="TAL"/>
              <w:rPr>
                <w:lang w:eastAsia="zh-CN"/>
              </w:rPr>
            </w:pPr>
            <w:r>
              <w:t>packDelayUeIds</w:t>
            </w:r>
          </w:p>
        </w:tc>
        <w:tc>
          <w:tcPr>
            <w:tcW w:w="1559" w:type="dxa"/>
          </w:tcPr>
          <w:p w14:paraId="60D32902" w14:textId="77777777" w:rsidR="003E1F9F" w:rsidRDefault="003E1F9F" w:rsidP="005A20DD">
            <w:pPr>
              <w:pStyle w:val="TAL"/>
            </w:pPr>
            <w:r>
              <w:rPr>
                <w:lang w:eastAsia="zh-CN"/>
              </w:rPr>
              <w:t>array(Supi)</w:t>
            </w:r>
          </w:p>
        </w:tc>
        <w:tc>
          <w:tcPr>
            <w:tcW w:w="426" w:type="dxa"/>
          </w:tcPr>
          <w:p w14:paraId="1FD90BCB" w14:textId="77777777" w:rsidR="003E1F9F" w:rsidRDefault="003E1F9F" w:rsidP="005A20DD">
            <w:pPr>
              <w:pStyle w:val="TAC"/>
              <w:rPr>
                <w:lang w:eastAsia="zh-CN"/>
              </w:rPr>
            </w:pPr>
            <w:r>
              <w:t>O</w:t>
            </w:r>
          </w:p>
        </w:tc>
        <w:tc>
          <w:tcPr>
            <w:tcW w:w="1134" w:type="dxa"/>
          </w:tcPr>
          <w:p w14:paraId="64A62AF5" w14:textId="77777777" w:rsidR="003E1F9F" w:rsidRDefault="003E1F9F" w:rsidP="005A20DD">
            <w:pPr>
              <w:pStyle w:val="TAL"/>
            </w:pPr>
            <w:r>
              <w:t>1..N</w:t>
            </w:r>
          </w:p>
        </w:tc>
        <w:tc>
          <w:tcPr>
            <w:tcW w:w="2976" w:type="dxa"/>
          </w:tcPr>
          <w:p w14:paraId="55CAEC64" w14:textId="77777777" w:rsidR="003E1F9F" w:rsidRDefault="003E1F9F" w:rsidP="005A20DD">
            <w:pPr>
              <w:pStyle w:val="TAL"/>
            </w:pPr>
            <w:r>
              <w:rPr>
                <w:lang w:eastAsia="zh-CN"/>
              </w:rPr>
              <w:t xml:space="preserve">Identifies a UE or a list of UEs whose packet delay is higher or lower than the threshold. </w:t>
            </w:r>
            <w:r>
              <w:rPr>
                <w:rFonts w:cs="Arial"/>
                <w:szCs w:val="18"/>
              </w:rPr>
              <w:t>Each element identifies a SUPI of an UE.</w:t>
            </w:r>
            <w:r>
              <w:t xml:space="preserve"> </w:t>
            </w:r>
            <w:r>
              <w:rPr>
                <w:rFonts w:cs="Arial"/>
                <w:szCs w:val="18"/>
              </w:rPr>
              <w:t xml:space="preserve">The maximum number of SUPI(s) shall not exceed the subscribed "maxSupiNbr" attribute value if provided. </w:t>
            </w:r>
            <w:r>
              <w:t>(NOTE)</w:t>
            </w:r>
          </w:p>
        </w:tc>
        <w:tc>
          <w:tcPr>
            <w:tcW w:w="1640" w:type="dxa"/>
          </w:tcPr>
          <w:p w14:paraId="64DBAE0A"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0C69C635" w14:textId="77777777" w:rsidTr="005A20DD">
        <w:trPr>
          <w:jc w:val="center"/>
        </w:trPr>
        <w:tc>
          <w:tcPr>
            <w:tcW w:w="1835" w:type="dxa"/>
          </w:tcPr>
          <w:p w14:paraId="448AEEF6" w14:textId="77777777" w:rsidR="003E1F9F" w:rsidRDefault="003E1F9F" w:rsidP="005A20DD">
            <w:pPr>
              <w:pStyle w:val="TAL"/>
              <w:rPr>
                <w:lang w:eastAsia="zh-CN"/>
              </w:rPr>
            </w:pPr>
            <w:r>
              <w:rPr>
                <w:lang w:eastAsia="zh-CN"/>
              </w:rPr>
              <w:t>avgPacketLossRate</w:t>
            </w:r>
          </w:p>
        </w:tc>
        <w:tc>
          <w:tcPr>
            <w:tcW w:w="1559" w:type="dxa"/>
          </w:tcPr>
          <w:p w14:paraId="20FE39DF" w14:textId="77777777" w:rsidR="003E1F9F" w:rsidRDefault="003E1F9F" w:rsidP="005A20DD">
            <w:pPr>
              <w:pStyle w:val="TAL"/>
              <w:rPr>
                <w:lang w:eastAsia="zh-CN"/>
              </w:rPr>
            </w:pPr>
            <w:r>
              <w:t>PacketLossRate</w:t>
            </w:r>
          </w:p>
        </w:tc>
        <w:tc>
          <w:tcPr>
            <w:tcW w:w="426" w:type="dxa"/>
          </w:tcPr>
          <w:p w14:paraId="53FEE612" w14:textId="77777777" w:rsidR="003E1F9F" w:rsidRDefault="003E1F9F" w:rsidP="005A20DD">
            <w:pPr>
              <w:pStyle w:val="TAC"/>
            </w:pPr>
            <w:r>
              <w:rPr>
                <w:rFonts w:hint="eastAsia"/>
                <w:lang w:eastAsia="zh-CN"/>
              </w:rPr>
              <w:t>O</w:t>
            </w:r>
          </w:p>
        </w:tc>
        <w:tc>
          <w:tcPr>
            <w:tcW w:w="1134" w:type="dxa"/>
          </w:tcPr>
          <w:p w14:paraId="74CD1402" w14:textId="77777777" w:rsidR="003E1F9F" w:rsidRDefault="003E1F9F" w:rsidP="005A20DD">
            <w:pPr>
              <w:pStyle w:val="TAL"/>
            </w:pPr>
            <w:r>
              <w:t>0..1</w:t>
            </w:r>
          </w:p>
        </w:tc>
        <w:tc>
          <w:tcPr>
            <w:tcW w:w="2976" w:type="dxa"/>
          </w:tcPr>
          <w:p w14:paraId="7A8577E6" w14:textId="77777777" w:rsidR="003E1F9F" w:rsidRDefault="003E1F9F" w:rsidP="005A20DD">
            <w:pPr>
              <w:pStyle w:val="TAL"/>
              <w:rPr>
                <w:rFonts w:cs="Arial"/>
                <w:szCs w:val="18"/>
              </w:rPr>
            </w:pPr>
            <w:r>
              <w:t>Indicates average Packet Loss Rate.</w:t>
            </w:r>
          </w:p>
        </w:tc>
        <w:tc>
          <w:tcPr>
            <w:tcW w:w="1640" w:type="dxa"/>
          </w:tcPr>
          <w:p w14:paraId="6D55B766" w14:textId="77777777" w:rsidR="003E1F9F" w:rsidRDefault="003E1F9F" w:rsidP="005A20DD">
            <w:pPr>
              <w:pStyle w:val="TAL"/>
              <w:rPr>
                <w:rFonts w:cs="Arial"/>
                <w:szCs w:val="18"/>
              </w:rPr>
            </w:pPr>
          </w:p>
        </w:tc>
      </w:tr>
      <w:tr w:rsidR="003E1F9F" w14:paraId="4FD9F4F9" w14:textId="77777777" w:rsidTr="005A20DD">
        <w:trPr>
          <w:jc w:val="center"/>
        </w:trPr>
        <w:tc>
          <w:tcPr>
            <w:tcW w:w="1835" w:type="dxa"/>
          </w:tcPr>
          <w:p w14:paraId="50E5A65C" w14:textId="77777777" w:rsidR="003E1F9F" w:rsidRDefault="003E1F9F" w:rsidP="005A20DD">
            <w:pPr>
              <w:pStyle w:val="TAL"/>
              <w:rPr>
                <w:lang w:eastAsia="zh-CN"/>
              </w:rPr>
            </w:pPr>
            <w:r>
              <w:rPr>
                <w:lang w:eastAsia="zh-CN"/>
              </w:rPr>
              <w:t>maxPacketLossRate</w:t>
            </w:r>
          </w:p>
        </w:tc>
        <w:tc>
          <w:tcPr>
            <w:tcW w:w="1559" w:type="dxa"/>
          </w:tcPr>
          <w:p w14:paraId="152BFFBA" w14:textId="77777777" w:rsidR="003E1F9F" w:rsidRDefault="003E1F9F" w:rsidP="005A20DD">
            <w:pPr>
              <w:pStyle w:val="TAL"/>
            </w:pPr>
            <w:r>
              <w:t>PacketLossRate</w:t>
            </w:r>
          </w:p>
        </w:tc>
        <w:tc>
          <w:tcPr>
            <w:tcW w:w="426" w:type="dxa"/>
          </w:tcPr>
          <w:p w14:paraId="53FE300D" w14:textId="77777777" w:rsidR="003E1F9F" w:rsidRDefault="003E1F9F" w:rsidP="005A20DD">
            <w:pPr>
              <w:pStyle w:val="TAC"/>
              <w:rPr>
                <w:lang w:eastAsia="zh-CN"/>
              </w:rPr>
            </w:pPr>
            <w:r>
              <w:rPr>
                <w:rFonts w:hint="eastAsia"/>
                <w:lang w:eastAsia="zh-CN"/>
              </w:rPr>
              <w:t>O</w:t>
            </w:r>
          </w:p>
        </w:tc>
        <w:tc>
          <w:tcPr>
            <w:tcW w:w="1134" w:type="dxa"/>
          </w:tcPr>
          <w:p w14:paraId="59864660" w14:textId="77777777" w:rsidR="003E1F9F" w:rsidRDefault="003E1F9F" w:rsidP="005A20DD">
            <w:pPr>
              <w:pStyle w:val="TAL"/>
            </w:pPr>
            <w:r>
              <w:t>0..1</w:t>
            </w:r>
          </w:p>
        </w:tc>
        <w:tc>
          <w:tcPr>
            <w:tcW w:w="2976" w:type="dxa"/>
          </w:tcPr>
          <w:p w14:paraId="0F46C10C" w14:textId="77777777" w:rsidR="003E1F9F" w:rsidRDefault="003E1F9F" w:rsidP="005A20DD">
            <w:pPr>
              <w:pStyle w:val="TAL"/>
            </w:pPr>
            <w:r>
              <w:t>Indicates maximum Packet Loss Rate.</w:t>
            </w:r>
          </w:p>
        </w:tc>
        <w:tc>
          <w:tcPr>
            <w:tcW w:w="1640" w:type="dxa"/>
          </w:tcPr>
          <w:p w14:paraId="2868999D"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7B963512" w14:textId="77777777" w:rsidTr="005A20DD">
        <w:trPr>
          <w:jc w:val="center"/>
        </w:trPr>
        <w:tc>
          <w:tcPr>
            <w:tcW w:w="1835" w:type="dxa"/>
          </w:tcPr>
          <w:p w14:paraId="7797E598" w14:textId="77777777" w:rsidR="003E1F9F" w:rsidRDefault="003E1F9F" w:rsidP="005A20DD">
            <w:pPr>
              <w:pStyle w:val="TAL"/>
              <w:rPr>
                <w:lang w:eastAsia="zh-CN"/>
              </w:rPr>
            </w:pPr>
            <w:r>
              <w:rPr>
                <w:lang w:eastAsia="zh-CN"/>
              </w:rPr>
              <w:t>varPacketLossRate</w:t>
            </w:r>
          </w:p>
        </w:tc>
        <w:tc>
          <w:tcPr>
            <w:tcW w:w="1559" w:type="dxa"/>
          </w:tcPr>
          <w:p w14:paraId="19500310" w14:textId="77777777" w:rsidR="003E1F9F" w:rsidRDefault="003E1F9F" w:rsidP="005A20DD">
            <w:pPr>
              <w:pStyle w:val="TAL"/>
            </w:pPr>
            <w:r>
              <w:t>Float</w:t>
            </w:r>
          </w:p>
        </w:tc>
        <w:tc>
          <w:tcPr>
            <w:tcW w:w="426" w:type="dxa"/>
          </w:tcPr>
          <w:p w14:paraId="2D92469E" w14:textId="77777777" w:rsidR="003E1F9F" w:rsidRDefault="003E1F9F" w:rsidP="005A20DD">
            <w:pPr>
              <w:pStyle w:val="TAC"/>
              <w:rPr>
                <w:lang w:eastAsia="zh-CN"/>
              </w:rPr>
            </w:pPr>
            <w:r>
              <w:rPr>
                <w:rFonts w:hint="eastAsia"/>
                <w:lang w:eastAsia="zh-CN"/>
              </w:rPr>
              <w:t>O</w:t>
            </w:r>
          </w:p>
        </w:tc>
        <w:tc>
          <w:tcPr>
            <w:tcW w:w="1134" w:type="dxa"/>
          </w:tcPr>
          <w:p w14:paraId="5FABF204" w14:textId="77777777" w:rsidR="003E1F9F" w:rsidRDefault="003E1F9F" w:rsidP="005A20DD">
            <w:pPr>
              <w:pStyle w:val="TAL"/>
            </w:pPr>
            <w:r>
              <w:t>0..1</w:t>
            </w:r>
          </w:p>
        </w:tc>
        <w:tc>
          <w:tcPr>
            <w:tcW w:w="2976" w:type="dxa"/>
          </w:tcPr>
          <w:p w14:paraId="62705C64" w14:textId="77777777" w:rsidR="003E1F9F" w:rsidRDefault="003E1F9F" w:rsidP="005A20DD">
            <w:pPr>
              <w:pStyle w:val="TAL"/>
            </w:pPr>
            <w:r>
              <w:t>Indicates variance of Packet Loss Rate.</w:t>
            </w:r>
          </w:p>
        </w:tc>
        <w:tc>
          <w:tcPr>
            <w:tcW w:w="1640" w:type="dxa"/>
          </w:tcPr>
          <w:p w14:paraId="0B955979"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758BD497" w14:textId="77777777" w:rsidTr="005A20DD">
        <w:trPr>
          <w:jc w:val="center"/>
        </w:trPr>
        <w:tc>
          <w:tcPr>
            <w:tcW w:w="1835" w:type="dxa"/>
          </w:tcPr>
          <w:p w14:paraId="4C7EE3A2" w14:textId="77777777" w:rsidR="003E1F9F" w:rsidRDefault="003E1F9F" w:rsidP="005A20DD">
            <w:pPr>
              <w:pStyle w:val="TAL"/>
              <w:rPr>
                <w:lang w:eastAsia="zh-CN"/>
              </w:rPr>
            </w:pPr>
            <w:r>
              <w:rPr>
                <w:lang w:eastAsia="zh-CN"/>
              </w:rPr>
              <w:t>packLossUeIds</w:t>
            </w:r>
          </w:p>
        </w:tc>
        <w:tc>
          <w:tcPr>
            <w:tcW w:w="1559" w:type="dxa"/>
          </w:tcPr>
          <w:p w14:paraId="3AEF8D80" w14:textId="77777777" w:rsidR="003E1F9F" w:rsidRDefault="003E1F9F" w:rsidP="005A20DD">
            <w:pPr>
              <w:pStyle w:val="TAL"/>
            </w:pPr>
            <w:r>
              <w:rPr>
                <w:lang w:eastAsia="zh-CN"/>
              </w:rPr>
              <w:t>array(Supi)</w:t>
            </w:r>
          </w:p>
        </w:tc>
        <w:tc>
          <w:tcPr>
            <w:tcW w:w="426" w:type="dxa"/>
          </w:tcPr>
          <w:p w14:paraId="13144490" w14:textId="77777777" w:rsidR="003E1F9F" w:rsidRDefault="003E1F9F" w:rsidP="005A20DD">
            <w:pPr>
              <w:pStyle w:val="TAC"/>
              <w:rPr>
                <w:lang w:eastAsia="zh-CN"/>
              </w:rPr>
            </w:pPr>
            <w:r>
              <w:t>O</w:t>
            </w:r>
          </w:p>
        </w:tc>
        <w:tc>
          <w:tcPr>
            <w:tcW w:w="1134" w:type="dxa"/>
          </w:tcPr>
          <w:p w14:paraId="0B9712B8" w14:textId="77777777" w:rsidR="003E1F9F" w:rsidRDefault="003E1F9F" w:rsidP="005A20DD">
            <w:pPr>
              <w:pStyle w:val="TAL"/>
            </w:pPr>
            <w:r>
              <w:t>1..N</w:t>
            </w:r>
          </w:p>
        </w:tc>
        <w:tc>
          <w:tcPr>
            <w:tcW w:w="2976" w:type="dxa"/>
          </w:tcPr>
          <w:p w14:paraId="3DB5DE7B" w14:textId="77777777" w:rsidR="003E1F9F" w:rsidRDefault="003E1F9F" w:rsidP="005A20DD">
            <w:pPr>
              <w:pStyle w:val="TAL"/>
            </w:pPr>
            <w:r>
              <w:rPr>
                <w:lang w:eastAsia="zh-CN"/>
              </w:rPr>
              <w:t xml:space="preserve">Identifies a UE or a list of UEs whose packet loss rate is higher than the threshold. </w:t>
            </w:r>
            <w:r>
              <w:rPr>
                <w:rFonts w:cs="Arial"/>
                <w:szCs w:val="18"/>
              </w:rPr>
              <w:t>Each element identifies a SUPI of an UE.</w:t>
            </w:r>
            <w:r>
              <w:t xml:space="preserve"> </w:t>
            </w:r>
            <w:r>
              <w:rPr>
                <w:rFonts w:cs="Arial"/>
                <w:szCs w:val="18"/>
              </w:rPr>
              <w:t xml:space="preserve">The maximum number of SUPI(s) shall not exceed the subscribed "maxSupiNbr" attribute value if provided. </w:t>
            </w:r>
            <w:r>
              <w:t>(NOTE)</w:t>
            </w:r>
          </w:p>
        </w:tc>
        <w:tc>
          <w:tcPr>
            <w:tcW w:w="1640" w:type="dxa"/>
          </w:tcPr>
          <w:p w14:paraId="0524F306" w14:textId="77777777" w:rsidR="003E1F9F" w:rsidRDefault="003E1F9F" w:rsidP="005A20DD">
            <w:pPr>
              <w:pStyle w:val="TAL"/>
              <w:rPr>
                <w:rFonts w:cs="Arial"/>
                <w:szCs w:val="18"/>
              </w:rPr>
            </w:pPr>
            <w:r>
              <w:rPr>
                <w:rFonts w:cs="Arial"/>
                <w:szCs w:val="18"/>
              </w:rPr>
              <w:t>DnPerformanceExt_</w:t>
            </w:r>
            <w:r>
              <w:rPr>
                <w:rFonts w:cs="Arial" w:hint="eastAsia"/>
                <w:szCs w:val="18"/>
                <w:lang w:eastAsia="zh-CN"/>
              </w:rPr>
              <w:t>AIML</w:t>
            </w:r>
          </w:p>
        </w:tc>
      </w:tr>
      <w:tr w:rsidR="003E1F9F" w14:paraId="7847F579" w14:textId="77777777" w:rsidTr="005A20DD">
        <w:trPr>
          <w:jc w:val="center"/>
        </w:trPr>
        <w:tc>
          <w:tcPr>
            <w:tcW w:w="1835" w:type="dxa"/>
          </w:tcPr>
          <w:p w14:paraId="10679387" w14:textId="77777777" w:rsidR="003E1F9F" w:rsidRDefault="003E1F9F" w:rsidP="005A20DD">
            <w:pPr>
              <w:pStyle w:val="TAL"/>
              <w:rPr>
                <w:lang w:eastAsia="zh-CN"/>
              </w:rPr>
            </w:pPr>
            <w:r>
              <w:rPr>
                <w:lang w:eastAsia="zh-CN"/>
              </w:rPr>
              <w:t>numOfUe</w:t>
            </w:r>
          </w:p>
        </w:tc>
        <w:tc>
          <w:tcPr>
            <w:tcW w:w="1559" w:type="dxa"/>
          </w:tcPr>
          <w:p w14:paraId="70936075" w14:textId="77777777" w:rsidR="003E1F9F" w:rsidRDefault="003E1F9F" w:rsidP="005A20DD">
            <w:pPr>
              <w:pStyle w:val="TAL"/>
              <w:rPr>
                <w:lang w:eastAsia="zh-CN"/>
              </w:rPr>
            </w:pPr>
            <w:r>
              <w:t>Uinteger</w:t>
            </w:r>
          </w:p>
        </w:tc>
        <w:tc>
          <w:tcPr>
            <w:tcW w:w="426" w:type="dxa"/>
          </w:tcPr>
          <w:p w14:paraId="60E84E1B" w14:textId="77777777" w:rsidR="003E1F9F" w:rsidRDefault="003E1F9F" w:rsidP="005A20DD">
            <w:pPr>
              <w:pStyle w:val="TAC"/>
            </w:pPr>
            <w:r>
              <w:t>O</w:t>
            </w:r>
          </w:p>
        </w:tc>
        <w:tc>
          <w:tcPr>
            <w:tcW w:w="1134" w:type="dxa"/>
          </w:tcPr>
          <w:p w14:paraId="4B094756" w14:textId="77777777" w:rsidR="003E1F9F" w:rsidRDefault="003E1F9F" w:rsidP="005A20DD">
            <w:pPr>
              <w:pStyle w:val="TAL"/>
            </w:pPr>
            <w:r>
              <w:t>0..1</w:t>
            </w:r>
          </w:p>
        </w:tc>
        <w:tc>
          <w:tcPr>
            <w:tcW w:w="2976" w:type="dxa"/>
          </w:tcPr>
          <w:p w14:paraId="3E028CCD" w14:textId="77777777" w:rsidR="003E1F9F" w:rsidRDefault="003E1F9F" w:rsidP="005A20DD">
            <w:pPr>
              <w:pStyle w:val="TAL"/>
              <w:rPr>
                <w:lang w:eastAsia="zh-CN"/>
              </w:rPr>
            </w:pPr>
            <w:r>
              <w:rPr>
                <w:lang w:eastAsia="zh-CN"/>
              </w:rPr>
              <w:t xml:space="preserve">The number of UEs </w:t>
            </w:r>
            <w:r>
              <w:t xml:space="preserve">for the UE gourp or all UEs </w:t>
            </w:r>
            <w:r>
              <w:rPr>
                <w:lang w:eastAsia="zh-CN"/>
              </w:rPr>
              <w:t xml:space="preserve">(i.e. any UE) </w:t>
            </w:r>
            <w:r>
              <w:t>communicating with the application in the DNAI</w:t>
            </w:r>
            <w:r>
              <w:rPr>
                <w:lang w:eastAsia="zh-CN"/>
              </w:rPr>
              <w:t>.</w:t>
            </w:r>
          </w:p>
        </w:tc>
        <w:tc>
          <w:tcPr>
            <w:tcW w:w="1640" w:type="dxa"/>
          </w:tcPr>
          <w:p w14:paraId="02E07728" w14:textId="77777777" w:rsidR="003E1F9F" w:rsidRDefault="003E1F9F" w:rsidP="005A20DD">
            <w:pPr>
              <w:pStyle w:val="TAL"/>
              <w:rPr>
                <w:rFonts w:cs="Arial"/>
                <w:szCs w:val="18"/>
              </w:rPr>
            </w:pPr>
            <w:r>
              <w:rPr>
                <w:lang w:eastAsia="zh-CN"/>
              </w:rPr>
              <w:t>DnPerformanceExt_eNA</w:t>
            </w:r>
          </w:p>
        </w:tc>
      </w:tr>
      <w:tr w:rsidR="003E1F9F" w14:paraId="6BDAF217" w14:textId="77777777" w:rsidTr="005A20DD">
        <w:trPr>
          <w:jc w:val="center"/>
        </w:trPr>
        <w:tc>
          <w:tcPr>
            <w:tcW w:w="9570" w:type="dxa"/>
            <w:gridSpan w:val="6"/>
          </w:tcPr>
          <w:p w14:paraId="7BA108C9" w14:textId="77777777" w:rsidR="003E1F9F" w:rsidRDefault="003E1F9F" w:rsidP="005A20DD">
            <w:pPr>
              <w:pStyle w:val="TAN"/>
              <w:rPr>
                <w:rFonts w:cs="Arial"/>
                <w:szCs w:val="18"/>
              </w:rPr>
            </w:pPr>
            <w:r>
              <w:t>NOTE:</w:t>
            </w:r>
            <w:r>
              <w:tab/>
              <w:t>If these attribute(s) is provided, the analytics target period shall be a past time period (i.e. only statistics is applicable).</w:t>
            </w:r>
          </w:p>
        </w:tc>
      </w:tr>
    </w:tbl>
    <w:p w14:paraId="49864BEC" w14:textId="77777777" w:rsidR="003E1F9F" w:rsidRDefault="003E1F9F" w:rsidP="003E1F9F"/>
    <w:p w14:paraId="401B8868" w14:textId="77777777" w:rsidR="00A10B25" w:rsidRDefault="00A10B25">
      <w:pPr>
        <w:pStyle w:val="5"/>
      </w:pPr>
      <w:bookmarkStart w:id="7243" w:name="_Toc148522642"/>
      <w:bookmarkStart w:id="7244" w:name="_Toc136562417"/>
      <w:bookmarkStart w:id="7245" w:name="_Toc138754251"/>
      <w:bookmarkStart w:id="7246" w:name="_Toc145705738"/>
      <w:bookmarkStart w:id="7247" w:name="_Toc164920822"/>
      <w:bookmarkStart w:id="7248" w:name="_Toc170120364"/>
      <w:bookmarkStart w:id="7249" w:name="_Toc175858609"/>
      <w:bookmarkStart w:id="7250" w:name="_Toc175859682"/>
      <w:bookmarkStart w:id="7251" w:name="_Toc180605972"/>
      <w:bookmarkStart w:id="7252" w:name="_Toc185517226"/>
      <w:bookmarkStart w:id="7253" w:name="_Toc191576277"/>
      <w:bookmarkStart w:id="7254" w:name="_Toc191577017"/>
      <w:bookmarkStart w:id="7255" w:name="_Toc192880087"/>
      <w:bookmarkStart w:id="7256" w:name="_Toc195814970"/>
      <w:bookmarkStart w:id="7257" w:name="_Toc199452937"/>
      <w:r>
        <w:lastRenderedPageBreak/>
        <w:t>5.1.6.2.48</w:t>
      </w:r>
      <w:r>
        <w:tab/>
        <w:t>Type ResourceUsage</w:t>
      </w:r>
      <w:bookmarkEnd w:id="7220"/>
      <w:bookmarkEnd w:id="7221"/>
      <w:bookmarkEnd w:id="7222"/>
      <w:bookmarkEnd w:id="7223"/>
      <w:bookmarkEnd w:id="7224"/>
      <w:bookmarkEnd w:id="7225"/>
      <w:bookmarkEnd w:id="7226"/>
      <w:bookmarkEnd w:id="7227"/>
      <w:bookmarkEnd w:id="7228"/>
      <w:bookmarkEnd w:id="7229"/>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7B4CD84B" w14:textId="77777777" w:rsidR="00A10B25" w:rsidRDefault="00A10B25">
      <w:pPr>
        <w:pStyle w:val="TH"/>
      </w:pPr>
      <w:r>
        <w:t>Table 5.1.6.2.48-1: Definition of type ResourceUsage</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603B45BD" w14:textId="77777777">
        <w:trPr>
          <w:jc w:val="center"/>
        </w:trPr>
        <w:tc>
          <w:tcPr>
            <w:tcW w:w="1628" w:type="dxa"/>
            <w:shd w:val="clear" w:color="auto" w:fill="C0C0C0"/>
          </w:tcPr>
          <w:p w14:paraId="4E129F45" w14:textId="77777777" w:rsidR="00A10B25" w:rsidRDefault="00A10B25">
            <w:pPr>
              <w:pStyle w:val="TAH"/>
            </w:pPr>
            <w:r>
              <w:t>Attribute name</w:t>
            </w:r>
          </w:p>
        </w:tc>
        <w:tc>
          <w:tcPr>
            <w:tcW w:w="1701" w:type="dxa"/>
            <w:shd w:val="clear" w:color="auto" w:fill="C0C0C0"/>
          </w:tcPr>
          <w:p w14:paraId="3B74F4CE" w14:textId="77777777" w:rsidR="00A10B25" w:rsidRDefault="00A10B25">
            <w:pPr>
              <w:pStyle w:val="TAH"/>
            </w:pPr>
            <w:r>
              <w:t>Data type</w:t>
            </w:r>
          </w:p>
        </w:tc>
        <w:tc>
          <w:tcPr>
            <w:tcW w:w="426" w:type="dxa"/>
            <w:shd w:val="clear" w:color="auto" w:fill="C0C0C0"/>
          </w:tcPr>
          <w:p w14:paraId="10E05B68" w14:textId="77777777" w:rsidR="00A10B25" w:rsidRDefault="00A10B25">
            <w:pPr>
              <w:pStyle w:val="TAH"/>
            </w:pPr>
            <w:r>
              <w:t>P</w:t>
            </w:r>
          </w:p>
        </w:tc>
        <w:tc>
          <w:tcPr>
            <w:tcW w:w="1134" w:type="dxa"/>
            <w:shd w:val="clear" w:color="auto" w:fill="C0C0C0"/>
          </w:tcPr>
          <w:p w14:paraId="0A1F4CB9" w14:textId="77777777" w:rsidR="00A10B25" w:rsidRDefault="00A10B25">
            <w:pPr>
              <w:pStyle w:val="TAH"/>
            </w:pPr>
            <w:r>
              <w:t>Cardinality</w:t>
            </w:r>
          </w:p>
        </w:tc>
        <w:tc>
          <w:tcPr>
            <w:tcW w:w="2976" w:type="dxa"/>
            <w:shd w:val="clear" w:color="auto" w:fill="C0C0C0"/>
          </w:tcPr>
          <w:p w14:paraId="6DCF0190" w14:textId="77777777" w:rsidR="00A10B25" w:rsidRDefault="00A10B25">
            <w:pPr>
              <w:pStyle w:val="TAH"/>
              <w:rPr>
                <w:rFonts w:cs="Arial"/>
                <w:szCs w:val="18"/>
              </w:rPr>
            </w:pPr>
            <w:r>
              <w:rPr>
                <w:rFonts w:cs="Arial"/>
                <w:szCs w:val="18"/>
              </w:rPr>
              <w:t>Description</w:t>
            </w:r>
          </w:p>
        </w:tc>
        <w:tc>
          <w:tcPr>
            <w:tcW w:w="1628" w:type="dxa"/>
            <w:shd w:val="clear" w:color="auto" w:fill="C0C0C0"/>
          </w:tcPr>
          <w:p w14:paraId="397BDF88" w14:textId="77777777" w:rsidR="00A10B25" w:rsidRDefault="00A10B25">
            <w:pPr>
              <w:pStyle w:val="TAH"/>
              <w:rPr>
                <w:rFonts w:cs="Arial"/>
                <w:szCs w:val="18"/>
              </w:rPr>
            </w:pPr>
            <w:r>
              <w:rPr>
                <w:rFonts w:cs="Arial"/>
                <w:szCs w:val="18"/>
              </w:rPr>
              <w:t>Applicability</w:t>
            </w:r>
          </w:p>
        </w:tc>
      </w:tr>
      <w:tr w:rsidR="00A10B25" w14:paraId="436AA162" w14:textId="77777777">
        <w:trPr>
          <w:jc w:val="center"/>
        </w:trPr>
        <w:tc>
          <w:tcPr>
            <w:tcW w:w="1628" w:type="dxa"/>
          </w:tcPr>
          <w:p w14:paraId="5CEF3BA0" w14:textId="77777777" w:rsidR="00A10B25" w:rsidRDefault="00A10B25">
            <w:pPr>
              <w:pStyle w:val="TAL"/>
            </w:pPr>
            <w:r>
              <w:t>cpuUsage</w:t>
            </w:r>
          </w:p>
        </w:tc>
        <w:tc>
          <w:tcPr>
            <w:tcW w:w="1701" w:type="dxa"/>
          </w:tcPr>
          <w:p w14:paraId="60CF4C67" w14:textId="77777777" w:rsidR="00A10B25" w:rsidRDefault="00A10B25">
            <w:pPr>
              <w:pStyle w:val="TAL"/>
            </w:pPr>
            <w:r>
              <w:t>Uinteger</w:t>
            </w:r>
          </w:p>
        </w:tc>
        <w:tc>
          <w:tcPr>
            <w:tcW w:w="426" w:type="dxa"/>
          </w:tcPr>
          <w:p w14:paraId="0BB2FF1C" w14:textId="77777777" w:rsidR="00A10B25" w:rsidRDefault="00A10B25">
            <w:pPr>
              <w:pStyle w:val="TAL"/>
            </w:pPr>
            <w:r>
              <w:t>O</w:t>
            </w:r>
          </w:p>
        </w:tc>
        <w:tc>
          <w:tcPr>
            <w:tcW w:w="1134" w:type="dxa"/>
          </w:tcPr>
          <w:p w14:paraId="6CF19A07" w14:textId="77777777" w:rsidR="00A10B25" w:rsidRDefault="00A10B25">
            <w:pPr>
              <w:pStyle w:val="TAL"/>
            </w:pPr>
            <w:r>
              <w:t>0..1</w:t>
            </w:r>
          </w:p>
        </w:tc>
        <w:tc>
          <w:tcPr>
            <w:tcW w:w="2976" w:type="dxa"/>
          </w:tcPr>
          <w:p w14:paraId="0BAEFBFA" w14:textId="77777777" w:rsidR="00A10B25" w:rsidRDefault="00A10B25">
            <w:pPr>
              <w:pStyle w:val="TAL"/>
              <w:rPr>
                <w:lang w:val="fr-FR"/>
              </w:rPr>
            </w:pPr>
            <w:r>
              <w:rPr>
                <w:lang w:val="fr-FR"/>
              </w:rPr>
              <w:t>Average usage of virtual CPU.</w:t>
            </w:r>
          </w:p>
          <w:p w14:paraId="53055BFE" w14:textId="77777777" w:rsidR="00A10B25" w:rsidRDefault="00A10B25">
            <w:pPr>
              <w:pStyle w:val="TAL"/>
            </w:pPr>
            <w:r>
              <w:t>(NOTE)</w:t>
            </w:r>
          </w:p>
          <w:p w14:paraId="0FA705A1" w14:textId="77777777" w:rsidR="00A10B25" w:rsidRDefault="00A10B25">
            <w:pPr>
              <w:pStyle w:val="TAL"/>
            </w:pPr>
            <w:r>
              <w:t>Minimum=0. Maximum=100.</w:t>
            </w:r>
          </w:p>
        </w:tc>
        <w:tc>
          <w:tcPr>
            <w:tcW w:w="1628" w:type="dxa"/>
          </w:tcPr>
          <w:p w14:paraId="158FA99D" w14:textId="77777777" w:rsidR="00A10B25" w:rsidRDefault="00A10B25">
            <w:pPr>
              <w:pStyle w:val="TAL"/>
              <w:rPr>
                <w:rFonts w:cs="Arial"/>
                <w:szCs w:val="18"/>
              </w:rPr>
            </w:pPr>
          </w:p>
        </w:tc>
      </w:tr>
      <w:tr w:rsidR="00A10B25" w14:paraId="066577D7" w14:textId="77777777">
        <w:trPr>
          <w:jc w:val="center"/>
        </w:trPr>
        <w:tc>
          <w:tcPr>
            <w:tcW w:w="1628" w:type="dxa"/>
          </w:tcPr>
          <w:p w14:paraId="6CBE1307" w14:textId="77777777" w:rsidR="00A10B25" w:rsidRDefault="00A10B25">
            <w:pPr>
              <w:pStyle w:val="TAL"/>
            </w:pPr>
            <w:r>
              <w:t>memoryUsage</w:t>
            </w:r>
          </w:p>
        </w:tc>
        <w:tc>
          <w:tcPr>
            <w:tcW w:w="1701" w:type="dxa"/>
          </w:tcPr>
          <w:p w14:paraId="52ECD8FF" w14:textId="77777777" w:rsidR="00A10B25" w:rsidRDefault="00A10B25">
            <w:pPr>
              <w:pStyle w:val="TAL"/>
            </w:pPr>
            <w:r>
              <w:t>Uinteger</w:t>
            </w:r>
          </w:p>
        </w:tc>
        <w:tc>
          <w:tcPr>
            <w:tcW w:w="426" w:type="dxa"/>
          </w:tcPr>
          <w:p w14:paraId="634D8660" w14:textId="77777777" w:rsidR="00A10B25" w:rsidRDefault="00A10B25">
            <w:pPr>
              <w:pStyle w:val="TAL"/>
            </w:pPr>
            <w:r>
              <w:t>O</w:t>
            </w:r>
          </w:p>
        </w:tc>
        <w:tc>
          <w:tcPr>
            <w:tcW w:w="1134" w:type="dxa"/>
          </w:tcPr>
          <w:p w14:paraId="3029059D" w14:textId="77777777" w:rsidR="00A10B25" w:rsidRDefault="00A10B25">
            <w:pPr>
              <w:pStyle w:val="TAL"/>
            </w:pPr>
            <w:r>
              <w:t>0..1</w:t>
            </w:r>
          </w:p>
        </w:tc>
        <w:tc>
          <w:tcPr>
            <w:tcW w:w="2976" w:type="dxa"/>
          </w:tcPr>
          <w:p w14:paraId="30C931BA" w14:textId="77777777" w:rsidR="00A10B25" w:rsidRDefault="00A10B25">
            <w:pPr>
              <w:pStyle w:val="TAL"/>
            </w:pPr>
            <w:r>
              <w:rPr>
                <w:rFonts w:cs="Arial"/>
                <w:szCs w:val="18"/>
              </w:rPr>
              <w:t>Average usage of memory</w:t>
            </w:r>
            <w:r>
              <w:t>.</w:t>
            </w:r>
          </w:p>
          <w:p w14:paraId="3185704F" w14:textId="77777777" w:rsidR="00A10B25" w:rsidRDefault="00A10B25">
            <w:pPr>
              <w:pStyle w:val="TAL"/>
            </w:pPr>
            <w:r>
              <w:t>(NOTE)</w:t>
            </w:r>
          </w:p>
          <w:p w14:paraId="673241F7" w14:textId="77777777" w:rsidR="00A10B25" w:rsidRDefault="00A10B25">
            <w:pPr>
              <w:pStyle w:val="TAL"/>
              <w:rPr>
                <w:rFonts w:cs="Arial"/>
                <w:szCs w:val="18"/>
              </w:rPr>
            </w:pPr>
            <w:r>
              <w:t>Minimum=0. Maximum=100.</w:t>
            </w:r>
          </w:p>
        </w:tc>
        <w:tc>
          <w:tcPr>
            <w:tcW w:w="1628" w:type="dxa"/>
          </w:tcPr>
          <w:p w14:paraId="0E199493" w14:textId="77777777" w:rsidR="00A10B25" w:rsidRDefault="00A10B25">
            <w:pPr>
              <w:pStyle w:val="TAL"/>
              <w:rPr>
                <w:rFonts w:cs="Arial"/>
                <w:szCs w:val="18"/>
              </w:rPr>
            </w:pPr>
          </w:p>
        </w:tc>
      </w:tr>
      <w:tr w:rsidR="00A10B25" w14:paraId="16CD8C02" w14:textId="77777777">
        <w:trPr>
          <w:jc w:val="center"/>
        </w:trPr>
        <w:tc>
          <w:tcPr>
            <w:tcW w:w="1628" w:type="dxa"/>
          </w:tcPr>
          <w:p w14:paraId="7DB31B90" w14:textId="77777777" w:rsidR="00A10B25" w:rsidRDefault="00A10B25">
            <w:pPr>
              <w:pStyle w:val="TAL"/>
            </w:pPr>
            <w:r>
              <w:t>storageUsage</w:t>
            </w:r>
          </w:p>
        </w:tc>
        <w:tc>
          <w:tcPr>
            <w:tcW w:w="1701" w:type="dxa"/>
          </w:tcPr>
          <w:p w14:paraId="5B3566CF" w14:textId="77777777" w:rsidR="00A10B25" w:rsidRDefault="00A10B25">
            <w:pPr>
              <w:pStyle w:val="TAL"/>
            </w:pPr>
            <w:r>
              <w:t>Uinteger</w:t>
            </w:r>
          </w:p>
        </w:tc>
        <w:tc>
          <w:tcPr>
            <w:tcW w:w="426" w:type="dxa"/>
          </w:tcPr>
          <w:p w14:paraId="2AB60B03" w14:textId="77777777" w:rsidR="00A10B25" w:rsidRDefault="00A10B25">
            <w:pPr>
              <w:pStyle w:val="TAL"/>
            </w:pPr>
            <w:r>
              <w:t>O</w:t>
            </w:r>
          </w:p>
        </w:tc>
        <w:tc>
          <w:tcPr>
            <w:tcW w:w="1134" w:type="dxa"/>
          </w:tcPr>
          <w:p w14:paraId="24D13694" w14:textId="77777777" w:rsidR="00A10B25" w:rsidRDefault="00A10B25">
            <w:pPr>
              <w:pStyle w:val="TAL"/>
            </w:pPr>
            <w:r>
              <w:t>0..1</w:t>
            </w:r>
          </w:p>
        </w:tc>
        <w:tc>
          <w:tcPr>
            <w:tcW w:w="2976" w:type="dxa"/>
          </w:tcPr>
          <w:p w14:paraId="09277FFF" w14:textId="77777777" w:rsidR="00A10B25" w:rsidRDefault="00A10B25">
            <w:pPr>
              <w:pStyle w:val="TAL"/>
            </w:pPr>
            <w:r>
              <w:rPr>
                <w:rFonts w:cs="Arial"/>
                <w:szCs w:val="18"/>
              </w:rPr>
              <w:t>Average usage of storage</w:t>
            </w:r>
            <w:r>
              <w:t>.</w:t>
            </w:r>
          </w:p>
          <w:p w14:paraId="4B65FDE7" w14:textId="77777777" w:rsidR="00A10B25" w:rsidRDefault="00A10B25">
            <w:pPr>
              <w:pStyle w:val="TAL"/>
            </w:pPr>
            <w:r>
              <w:t>(NOTE)</w:t>
            </w:r>
          </w:p>
          <w:p w14:paraId="22CA5D76" w14:textId="77777777" w:rsidR="00A10B25" w:rsidRDefault="00A10B25">
            <w:pPr>
              <w:pStyle w:val="TAL"/>
              <w:rPr>
                <w:rFonts w:cs="Arial"/>
                <w:szCs w:val="18"/>
              </w:rPr>
            </w:pPr>
            <w:r>
              <w:t>Minimum=0. Maximum=100.</w:t>
            </w:r>
          </w:p>
        </w:tc>
        <w:tc>
          <w:tcPr>
            <w:tcW w:w="1628" w:type="dxa"/>
          </w:tcPr>
          <w:p w14:paraId="487049D7" w14:textId="77777777" w:rsidR="00A10B25" w:rsidRDefault="00A10B25">
            <w:pPr>
              <w:pStyle w:val="TAL"/>
              <w:rPr>
                <w:rFonts w:cs="Arial"/>
                <w:szCs w:val="18"/>
              </w:rPr>
            </w:pPr>
          </w:p>
        </w:tc>
      </w:tr>
      <w:tr w:rsidR="00A10B25" w14:paraId="7A1656D7" w14:textId="77777777">
        <w:trPr>
          <w:jc w:val="center"/>
        </w:trPr>
        <w:tc>
          <w:tcPr>
            <w:tcW w:w="9493" w:type="dxa"/>
            <w:gridSpan w:val="6"/>
          </w:tcPr>
          <w:p w14:paraId="6680E677" w14:textId="77777777" w:rsidR="00A10B25" w:rsidRDefault="00A10B25">
            <w:pPr>
              <w:pStyle w:val="TAN"/>
            </w:pPr>
            <w:r>
              <w:t>NOTE:</w:t>
            </w:r>
            <w:r>
              <w:tab/>
              <w:t>The values are percentages which are provided as estimated over a given period.</w:t>
            </w:r>
          </w:p>
        </w:tc>
      </w:tr>
    </w:tbl>
    <w:p w14:paraId="460E80B9" w14:textId="77777777" w:rsidR="00A10B25" w:rsidRDefault="00A10B25"/>
    <w:p w14:paraId="356D148C" w14:textId="77777777" w:rsidR="00A10B25" w:rsidRDefault="00A10B25">
      <w:pPr>
        <w:pStyle w:val="5"/>
      </w:pPr>
      <w:bookmarkStart w:id="7258" w:name="_Toc101244457"/>
      <w:bookmarkStart w:id="7259" w:name="_Toc136562418"/>
      <w:bookmarkStart w:id="7260" w:name="_Toc88667628"/>
      <w:bookmarkStart w:id="7261" w:name="_Toc94064296"/>
      <w:bookmarkStart w:id="7262" w:name="_Toc104539050"/>
      <w:bookmarkStart w:id="7263" w:name="_Toc98233681"/>
      <w:bookmarkStart w:id="7264" w:name="_Toc114133851"/>
      <w:bookmarkStart w:id="7265" w:name="_Toc148522643"/>
      <w:bookmarkStart w:id="7266" w:name="_Toc90655913"/>
      <w:bookmarkStart w:id="7267" w:name="_Toc113031712"/>
      <w:bookmarkStart w:id="7268" w:name="_Toc138754252"/>
      <w:bookmarkStart w:id="7269" w:name="_Toc112951172"/>
      <w:bookmarkStart w:id="7270" w:name="_Toc120702351"/>
      <w:bookmarkStart w:id="7271" w:name="_Toc145705739"/>
      <w:bookmarkStart w:id="7272" w:name="_Toc164920823"/>
      <w:bookmarkStart w:id="7273" w:name="_Toc170120365"/>
      <w:bookmarkStart w:id="7274" w:name="_Toc175858610"/>
      <w:bookmarkStart w:id="7275" w:name="_Toc175859683"/>
      <w:bookmarkStart w:id="7276" w:name="_Toc180605973"/>
      <w:bookmarkStart w:id="7277" w:name="_Toc185517227"/>
      <w:bookmarkStart w:id="7278" w:name="_Toc191576278"/>
      <w:bookmarkStart w:id="7279" w:name="_Toc191577018"/>
      <w:bookmarkStart w:id="7280" w:name="_Toc192880088"/>
      <w:bookmarkStart w:id="7281" w:name="_Toc195814971"/>
      <w:bookmarkStart w:id="7282" w:name="_Toc199452938"/>
      <w:r>
        <w:t>5.1.6.2.49</w:t>
      </w:r>
      <w:r>
        <w:tab/>
        <w:t>Type ConsumerNfInformation</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4BA0272" w14:textId="77777777" w:rsidR="00A10B25" w:rsidRDefault="00A10B25">
      <w:pPr>
        <w:pStyle w:val="TH"/>
      </w:pPr>
      <w:r>
        <w:t>Table 5.1.6.2.49-1: Definition of type ConsumerNfInformation</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0A23D2EE" w14:textId="77777777">
        <w:trPr>
          <w:jc w:val="center"/>
        </w:trPr>
        <w:tc>
          <w:tcPr>
            <w:tcW w:w="1628" w:type="dxa"/>
            <w:shd w:val="clear" w:color="auto" w:fill="C0C0C0"/>
          </w:tcPr>
          <w:p w14:paraId="5EFCA31B" w14:textId="77777777" w:rsidR="00A10B25" w:rsidRDefault="00A10B25">
            <w:pPr>
              <w:pStyle w:val="TAH"/>
            </w:pPr>
            <w:r>
              <w:t>Attribute name</w:t>
            </w:r>
          </w:p>
        </w:tc>
        <w:tc>
          <w:tcPr>
            <w:tcW w:w="1701" w:type="dxa"/>
            <w:shd w:val="clear" w:color="auto" w:fill="C0C0C0"/>
          </w:tcPr>
          <w:p w14:paraId="1D0A3EE4" w14:textId="77777777" w:rsidR="00A10B25" w:rsidRDefault="00A10B25">
            <w:pPr>
              <w:pStyle w:val="TAH"/>
            </w:pPr>
            <w:r>
              <w:t>Data type</w:t>
            </w:r>
          </w:p>
        </w:tc>
        <w:tc>
          <w:tcPr>
            <w:tcW w:w="426" w:type="dxa"/>
            <w:shd w:val="clear" w:color="auto" w:fill="C0C0C0"/>
          </w:tcPr>
          <w:p w14:paraId="2D1B82E0" w14:textId="77777777" w:rsidR="00A10B25" w:rsidRDefault="00A10B25">
            <w:pPr>
              <w:pStyle w:val="TAH"/>
            </w:pPr>
            <w:r>
              <w:t>P</w:t>
            </w:r>
          </w:p>
        </w:tc>
        <w:tc>
          <w:tcPr>
            <w:tcW w:w="1134" w:type="dxa"/>
            <w:shd w:val="clear" w:color="auto" w:fill="C0C0C0"/>
          </w:tcPr>
          <w:p w14:paraId="1378A13F" w14:textId="77777777" w:rsidR="00A10B25" w:rsidRDefault="00A10B25">
            <w:pPr>
              <w:pStyle w:val="TAH"/>
            </w:pPr>
            <w:r>
              <w:t>Cardinality</w:t>
            </w:r>
          </w:p>
        </w:tc>
        <w:tc>
          <w:tcPr>
            <w:tcW w:w="2976" w:type="dxa"/>
            <w:shd w:val="clear" w:color="auto" w:fill="C0C0C0"/>
          </w:tcPr>
          <w:p w14:paraId="15CEA782" w14:textId="77777777" w:rsidR="00A10B25" w:rsidRDefault="00A10B25">
            <w:pPr>
              <w:pStyle w:val="TAH"/>
              <w:rPr>
                <w:rFonts w:cs="Arial"/>
                <w:szCs w:val="18"/>
              </w:rPr>
            </w:pPr>
            <w:r>
              <w:rPr>
                <w:rFonts w:cs="Arial"/>
                <w:szCs w:val="18"/>
              </w:rPr>
              <w:t>Description</w:t>
            </w:r>
          </w:p>
        </w:tc>
        <w:tc>
          <w:tcPr>
            <w:tcW w:w="1628" w:type="dxa"/>
            <w:shd w:val="clear" w:color="auto" w:fill="C0C0C0"/>
          </w:tcPr>
          <w:p w14:paraId="33FCF3DA" w14:textId="77777777" w:rsidR="00A10B25" w:rsidRDefault="00A10B25">
            <w:pPr>
              <w:pStyle w:val="TAH"/>
              <w:rPr>
                <w:rFonts w:cs="Arial"/>
                <w:szCs w:val="18"/>
              </w:rPr>
            </w:pPr>
            <w:r>
              <w:rPr>
                <w:rFonts w:cs="Arial"/>
                <w:szCs w:val="18"/>
              </w:rPr>
              <w:t>Applicability</w:t>
            </w:r>
          </w:p>
        </w:tc>
      </w:tr>
      <w:tr w:rsidR="00A10B25" w14:paraId="29F8D612" w14:textId="77777777">
        <w:trPr>
          <w:jc w:val="center"/>
        </w:trPr>
        <w:tc>
          <w:tcPr>
            <w:tcW w:w="1628" w:type="dxa"/>
          </w:tcPr>
          <w:p w14:paraId="1B5FBB0C" w14:textId="77777777" w:rsidR="00A10B25" w:rsidRDefault="00A10B25">
            <w:pPr>
              <w:pStyle w:val="TAL"/>
            </w:pPr>
            <w:r>
              <w:t>nfId</w:t>
            </w:r>
          </w:p>
        </w:tc>
        <w:tc>
          <w:tcPr>
            <w:tcW w:w="1701" w:type="dxa"/>
          </w:tcPr>
          <w:p w14:paraId="429772E2" w14:textId="77777777" w:rsidR="00A10B25" w:rsidRDefault="00A10B25">
            <w:pPr>
              <w:pStyle w:val="TAL"/>
            </w:pPr>
            <w:r>
              <w:t>NfInstanceId</w:t>
            </w:r>
          </w:p>
        </w:tc>
        <w:tc>
          <w:tcPr>
            <w:tcW w:w="426" w:type="dxa"/>
          </w:tcPr>
          <w:p w14:paraId="471F126E" w14:textId="77777777" w:rsidR="00A10B25" w:rsidRDefault="00A10B25">
            <w:pPr>
              <w:pStyle w:val="TAL"/>
              <w:jc w:val="center"/>
              <w:rPr>
                <w:lang w:eastAsia="zh-CN"/>
              </w:rPr>
            </w:pPr>
            <w:r>
              <w:rPr>
                <w:lang w:eastAsia="zh-CN"/>
              </w:rPr>
              <w:t>C</w:t>
            </w:r>
          </w:p>
        </w:tc>
        <w:tc>
          <w:tcPr>
            <w:tcW w:w="1134" w:type="dxa"/>
          </w:tcPr>
          <w:p w14:paraId="0E12E6FF" w14:textId="77777777" w:rsidR="00A10B25" w:rsidRDefault="00A10B25">
            <w:pPr>
              <w:pStyle w:val="TAL"/>
            </w:pPr>
            <w:r>
              <w:t>0..1</w:t>
            </w:r>
          </w:p>
        </w:tc>
        <w:tc>
          <w:tcPr>
            <w:tcW w:w="2976" w:type="dxa"/>
          </w:tcPr>
          <w:p w14:paraId="063480BC" w14:textId="77777777" w:rsidR="00A10B25" w:rsidRDefault="00A10B25">
            <w:pPr>
              <w:pStyle w:val="TAL"/>
              <w:rPr>
                <w:rFonts w:cs="Arial"/>
                <w:szCs w:val="18"/>
              </w:rPr>
            </w:pPr>
            <w:r>
              <w:rPr>
                <w:lang w:eastAsia="ko-KR"/>
              </w:rPr>
              <w:t>Identifies the analytics consumer NF instance. (NOTE)</w:t>
            </w:r>
          </w:p>
        </w:tc>
        <w:tc>
          <w:tcPr>
            <w:tcW w:w="1628" w:type="dxa"/>
          </w:tcPr>
          <w:p w14:paraId="273B5356" w14:textId="77777777" w:rsidR="00A10B25" w:rsidRDefault="00A10B25">
            <w:pPr>
              <w:pStyle w:val="TAL"/>
              <w:rPr>
                <w:rFonts w:cs="Arial"/>
                <w:szCs w:val="18"/>
              </w:rPr>
            </w:pPr>
          </w:p>
        </w:tc>
      </w:tr>
      <w:tr w:rsidR="00A10B25" w14:paraId="2CCA0DA9" w14:textId="77777777">
        <w:trPr>
          <w:jc w:val="center"/>
        </w:trPr>
        <w:tc>
          <w:tcPr>
            <w:tcW w:w="1628" w:type="dxa"/>
          </w:tcPr>
          <w:p w14:paraId="4A39437C" w14:textId="77777777" w:rsidR="00A10B25" w:rsidRDefault="00A10B25">
            <w:pPr>
              <w:pStyle w:val="TAL"/>
            </w:pPr>
            <w:r>
              <w:t>nfSetId</w:t>
            </w:r>
          </w:p>
        </w:tc>
        <w:tc>
          <w:tcPr>
            <w:tcW w:w="1701" w:type="dxa"/>
          </w:tcPr>
          <w:p w14:paraId="11DEC8D0" w14:textId="77777777" w:rsidR="00A10B25" w:rsidRDefault="00A10B25">
            <w:pPr>
              <w:pStyle w:val="TAL"/>
            </w:pPr>
            <w:r>
              <w:t>NfSetId</w:t>
            </w:r>
          </w:p>
        </w:tc>
        <w:tc>
          <w:tcPr>
            <w:tcW w:w="426" w:type="dxa"/>
          </w:tcPr>
          <w:p w14:paraId="2ACA8218" w14:textId="77777777" w:rsidR="00A10B25" w:rsidRDefault="00A10B25">
            <w:pPr>
              <w:pStyle w:val="TAL"/>
              <w:jc w:val="center"/>
              <w:rPr>
                <w:lang w:eastAsia="zh-CN"/>
              </w:rPr>
            </w:pPr>
            <w:r>
              <w:rPr>
                <w:lang w:eastAsia="zh-CN"/>
              </w:rPr>
              <w:t>C</w:t>
            </w:r>
          </w:p>
        </w:tc>
        <w:tc>
          <w:tcPr>
            <w:tcW w:w="1134" w:type="dxa"/>
          </w:tcPr>
          <w:p w14:paraId="35EDA4D7" w14:textId="77777777" w:rsidR="00A10B25" w:rsidRDefault="00A10B25">
            <w:pPr>
              <w:pStyle w:val="TAL"/>
            </w:pPr>
            <w:r>
              <w:t>0..1</w:t>
            </w:r>
          </w:p>
        </w:tc>
        <w:tc>
          <w:tcPr>
            <w:tcW w:w="2976" w:type="dxa"/>
          </w:tcPr>
          <w:p w14:paraId="78D9A8F0" w14:textId="77777777" w:rsidR="00A10B25" w:rsidRDefault="00A10B25">
            <w:pPr>
              <w:pStyle w:val="TAL"/>
              <w:rPr>
                <w:lang w:eastAsia="ko-KR"/>
              </w:rPr>
            </w:pPr>
            <w:r>
              <w:rPr>
                <w:lang w:eastAsia="ko-KR"/>
              </w:rPr>
              <w:t>Identifies the analytics consumer NF set. (NOTE)</w:t>
            </w:r>
          </w:p>
        </w:tc>
        <w:tc>
          <w:tcPr>
            <w:tcW w:w="1628" w:type="dxa"/>
          </w:tcPr>
          <w:p w14:paraId="5133016A" w14:textId="77777777" w:rsidR="00A10B25" w:rsidRDefault="00A10B25">
            <w:pPr>
              <w:pStyle w:val="TAL"/>
              <w:rPr>
                <w:rFonts w:cs="Arial"/>
                <w:szCs w:val="18"/>
              </w:rPr>
            </w:pPr>
          </w:p>
        </w:tc>
      </w:tr>
      <w:tr w:rsidR="00A10B25" w14:paraId="144958C8" w14:textId="77777777">
        <w:trPr>
          <w:jc w:val="center"/>
        </w:trPr>
        <w:tc>
          <w:tcPr>
            <w:tcW w:w="1628" w:type="dxa"/>
          </w:tcPr>
          <w:p w14:paraId="5E7AD12D" w14:textId="77777777" w:rsidR="00A10B25" w:rsidRDefault="00A10B25">
            <w:pPr>
              <w:pStyle w:val="TAL"/>
            </w:pPr>
            <w:r>
              <w:t>taiList</w:t>
            </w:r>
          </w:p>
        </w:tc>
        <w:tc>
          <w:tcPr>
            <w:tcW w:w="1701" w:type="dxa"/>
          </w:tcPr>
          <w:p w14:paraId="28B7A1D0" w14:textId="77777777" w:rsidR="00A10B25" w:rsidRDefault="00A10B25">
            <w:pPr>
              <w:pStyle w:val="TAL"/>
            </w:pPr>
            <w:r>
              <w:t>array(Tai)</w:t>
            </w:r>
          </w:p>
        </w:tc>
        <w:tc>
          <w:tcPr>
            <w:tcW w:w="426" w:type="dxa"/>
          </w:tcPr>
          <w:p w14:paraId="27C762B5" w14:textId="77777777" w:rsidR="00A10B25" w:rsidRDefault="00A10B25">
            <w:pPr>
              <w:pStyle w:val="TAL"/>
              <w:jc w:val="center"/>
              <w:rPr>
                <w:lang w:eastAsia="zh-CN"/>
              </w:rPr>
            </w:pPr>
            <w:r>
              <w:rPr>
                <w:lang w:eastAsia="zh-CN"/>
              </w:rPr>
              <w:t>C</w:t>
            </w:r>
          </w:p>
        </w:tc>
        <w:tc>
          <w:tcPr>
            <w:tcW w:w="1134" w:type="dxa"/>
          </w:tcPr>
          <w:p w14:paraId="272291CC" w14:textId="77777777" w:rsidR="00A10B25" w:rsidRDefault="00A10B25">
            <w:pPr>
              <w:pStyle w:val="TAL"/>
            </w:pPr>
            <w:r>
              <w:t>1..N</w:t>
            </w:r>
          </w:p>
        </w:tc>
        <w:tc>
          <w:tcPr>
            <w:tcW w:w="2976" w:type="dxa"/>
          </w:tcPr>
          <w:p w14:paraId="744002FE" w14:textId="77777777" w:rsidR="00A10B25" w:rsidRDefault="00A10B25">
            <w:pPr>
              <w:pStyle w:val="TAL"/>
              <w:rPr>
                <w:lang w:eastAsia="ko-KR"/>
              </w:rPr>
            </w:pPr>
            <w:r>
              <w:rPr>
                <w:lang w:eastAsia="ko-KR"/>
              </w:rPr>
              <w:t>The list of TAIs the analytics consumer NF can serve. (NOTE)</w:t>
            </w:r>
          </w:p>
        </w:tc>
        <w:tc>
          <w:tcPr>
            <w:tcW w:w="1628" w:type="dxa"/>
          </w:tcPr>
          <w:p w14:paraId="56BFB9D7" w14:textId="77777777" w:rsidR="00A10B25" w:rsidRDefault="00A10B25">
            <w:pPr>
              <w:pStyle w:val="TAL"/>
              <w:rPr>
                <w:rFonts w:cs="Arial"/>
                <w:szCs w:val="18"/>
              </w:rPr>
            </w:pPr>
          </w:p>
        </w:tc>
      </w:tr>
      <w:tr w:rsidR="00A10B25" w14:paraId="0AC25CDD" w14:textId="77777777">
        <w:trPr>
          <w:jc w:val="center"/>
        </w:trPr>
        <w:tc>
          <w:tcPr>
            <w:tcW w:w="9493" w:type="dxa"/>
            <w:gridSpan w:val="6"/>
          </w:tcPr>
          <w:p w14:paraId="5CDFA4CE" w14:textId="77777777" w:rsidR="00A10B25" w:rsidRDefault="00A10B25">
            <w:pPr>
              <w:pStyle w:val="TAN"/>
            </w:pPr>
            <w:r>
              <w:t>NOTE:</w:t>
            </w:r>
            <w:r>
              <w:tab/>
              <w:t>Either "taiList" or one of "nfId", "nfSetId" shall be provided.</w:t>
            </w:r>
          </w:p>
        </w:tc>
      </w:tr>
    </w:tbl>
    <w:p w14:paraId="5D713E95" w14:textId="77777777" w:rsidR="00A10B25" w:rsidRDefault="00A10B25">
      <w:pPr>
        <w:rPr>
          <w:lang w:val="en-US" w:eastAsia="zh-CN"/>
        </w:rPr>
      </w:pPr>
    </w:p>
    <w:p w14:paraId="5C7AD216" w14:textId="77777777" w:rsidR="00A10B25" w:rsidRDefault="00A10B25">
      <w:pPr>
        <w:pStyle w:val="5"/>
      </w:pPr>
      <w:bookmarkStart w:id="7283" w:name="_Toc81427222"/>
      <w:bookmarkStart w:id="7284" w:name="_Toc136562419"/>
      <w:bookmarkStart w:id="7285" w:name="_Toc113031713"/>
      <w:bookmarkStart w:id="7286" w:name="_Toc120702352"/>
      <w:bookmarkStart w:id="7287" w:name="_Toc104539051"/>
      <w:bookmarkStart w:id="7288" w:name="_Toc138754253"/>
      <w:bookmarkStart w:id="7289" w:name="_Toc98233682"/>
      <w:bookmarkStart w:id="7290" w:name="_Toc101244458"/>
      <w:bookmarkStart w:id="7291" w:name="_Toc148522644"/>
      <w:bookmarkStart w:id="7292" w:name="_Toc112951173"/>
      <w:bookmarkStart w:id="7293" w:name="_Toc94064297"/>
      <w:bookmarkStart w:id="7294" w:name="_Toc114133852"/>
      <w:bookmarkStart w:id="7295" w:name="_Toc145705740"/>
      <w:bookmarkStart w:id="7296" w:name="_Toc164920824"/>
      <w:bookmarkStart w:id="7297" w:name="_Toc170120366"/>
      <w:bookmarkStart w:id="7298" w:name="_Toc175858611"/>
      <w:bookmarkStart w:id="7299" w:name="_Toc175859684"/>
      <w:bookmarkStart w:id="7300" w:name="_Toc180605974"/>
      <w:bookmarkStart w:id="7301" w:name="_Toc185517228"/>
      <w:bookmarkStart w:id="7302" w:name="_Toc191576279"/>
      <w:bookmarkStart w:id="7303" w:name="_Toc191577019"/>
      <w:bookmarkStart w:id="7304" w:name="_Toc192880089"/>
      <w:bookmarkStart w:id="7305" w:name="_Toc195814972"/>
      <w:bookmarkStart w:id="7306" w:name="_Toc199452939"/>
      <w:r>
        <w:t>5.1.6.2.50</w:t>
      </w:r>
      <w:r>
        <w:tab/>
        <w:t xml:space="preserve">Type </w:t>
      </w:r>
      <w:bookmarkEnd w:id="7283"/>
      <w:r>
        <w:t>DispersionRequirement</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6EDA8EC6" w14:textId="77777777" w:rsidR="00A10B25" w:rsidRDefault="00A10B25">
      <w:pPr>
        <w:pStyle w:val="TH"/>
      </w:pPr>
      <w:r>
        <w:t>Table 5.1.6.2.50-1: Definition of type DispersionRequirement</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428E5C7E" w14:textId="77777777">
        <w:trPr>
          <w:jc w:val="center"/>
        </w:trPr>
        <w:tc>
          <w:tcPr>
            <w:tcW w:w="1750" w:type="dxa"/>
            <w:shd w:val="clear" w:color="auto" w:fill="C0C0C0"/>
          </w:tcPr>
          <w:p w14:paraId="51A43AA3" w14:textId="77777777" w:rsidR="00A10B25" w:rsidRDefault="00A10B25">
            <w:pPr>
              <w:pStyle w:val="TAH"/>
            </w:pPr>
            <w:r>
              <w:t>Attribute name</w:t>
            </w:r>
          </w:p>
        </w:tc>
        <w:tc>
          <w:tcPr>
            <w:tcW w:w="1560" w:type="dxa"/>
            <w:shd w:val="clear" w:color="auto" w:fill="C0C0C0"/>
          </w:tcPr>
          <w:p w14:paraId="246A7108" w14:textId="77777777" w:rsidR="00A10B25" w:rsidRDefault="00A10B25">
            <w:pPr>
              <w:pStyle w:val="TAH"/>
            </w:pPr>
            <w:r>
              <w:t>Data type</w:t>
            </w:r>
          </w:p>
        </w:tc>
        <w:tc>
          <w:tcPr>
            <w:tcW w:w="425" w:type="dxa"/>
            <w:shd w:val="clear" w:color="auto" w:fill="C0C0C0"/>
          </w:tcPr>
          <w:p w14:paraId="227F1660" w14:textId="77777777" w:rsidR="00A10B25" w:rsidRDefault="00A10B25">
            <w:pPr>
              <w:pStyle w:val="TAH"/>
            </w:pPr>
            <w:r>
              <w:t>P</w:t>
            </w:r>
          </w:p>
        </w:tc>
        <w:tc>
          <w:tcPr>
            <w:tcW w:w="1134" w:type="dxa"/>
            <w:shd w:val="clear" w:color="auto" w:fill="C0C0C0"/>
          </w:tcPr>
          <w:p w14:paraId="008A2BE2" w14:textId="77777777" w:rsidR="00A10B25" w:rsidRDefault="00A10B25">
            <w:pPr>
              <w:pStyle w:val="TAH"/>
            </w:pPr>
            <w:r>
              <w:t>Cardinality</w:t>
            </w:r>
          </w:p>
        </w:tc>
        <w:tc>
          <w:tcPr>
            <w:tcW w:w="2857" w:type="dxa"/>
            <w:shd w:val="clear" w:color="auto" w:fill="C0C0C0"/>
          </w:tcPr>
          <w:p w14:paraId="4FC229C2" w14:textId="77777777" w:rsidR="00A10B25" w:rsidRDefault="00A10B25">
            <w:pPr>
              <w:pStyle w:val="TAH"/>
            </w:pPr>
            <w:r>
              <w:t>Description</w:t>
            </w:r>
          </w:p>
        </w:tc>
        <w:tc>
          <w:tcPr>
            <w:tcW w:w="1844" w:type="dxa"/>
            <w:shd w:val="clear" w:color="auto" w:fill="C0C0C0"/>
          </w:tcPr>
          <w:p w14:paraId="66C8DB35" w14:textId="77777777" w:rsidR="00A10B25" w:rsidRDefault="00A10B25">
            <w:pPr>
              <w:pStyle w:val="TAH"/>
            </w:pPr>
            <w:r>
              <w:t>Applicability</w:t>
            </w:r>
          </w:p>
        </w:tc>
      </w:tr>
      <w:tr w:rsidR="00A10B25" w14:paraId="036096EB" w14:textId="77777777">
        <w:trPr>
          <w:jc w:val="center"/>
        </w:trPr>
        <w:tc>
          <w:tcPr>
            <w:tcW w:w="1750" w:type="dxa"/>
          </w:tcPr>
          <w:p w14:paraId="6A7F1840" w14:textId="77777777" w:rsidR="00A10B25" w:rsidRDefault="00A10B25">
            <w:pPr>
              <w:pStyle w:val="TAL"/>
              <w:rPr>
                <w:lang w:eastAsia="zh-CN"/>
              </w:rPr>
            </w:pPr>
            <w:r>
              <w:rPr>
                <w:lang w:eastAsia="zh-CN"/>
              </w:rPr>
              <w:t>disperType</w:t>
            </w:r>
          </w:p>
        </w:tc>
        <w:tc>
          <w:tcPr>
            <w:tcW w:w="1560" w:type="dxa"/>
          </w:tcPr>
          <w:p w14:paraId="28D23E38" w14:textId="77777777" w:rsidR="00A10B25" w:rsidRDefault="00A10B25">
            <w:pPr>
              <w:pStyle w:val="TAL"/>
              <w:rPr>
                <w:lang w:eastAsia="zh-CN"/>
              </w:rPr>
            </w:pPr>
            <w:r>
              <w:rPr>
                <w:lang w:eastAsia="zh-CN"/>
              </w:rPr>
              <w:t>DispersionType</w:t>
            </w:r>
          </w:p>
        </w:tc>
        <w:tc>
          <w:tcPr>
            <w:tcW w:w="425" w:type="dxa"/>
          </w:tcPr>
          <w:p w14:paraId="24A9C48F" w14:textId="77777777" w:rsidR="00A10B25" w:rsidRDefault="00A10B25">
            <w:pPr>
              <w:pStyle w:val="TAC"/>
            </w:pPr>
            <w:r>
              <w:t>M</w:t>
            </w:r>
          </w:p>
        </w:tc>
        <w:tc>
          <w:tcPr>
            <w:tcW w:w="1134" w:type="dxa"/>
          </w:tcPr>
          <w:p w14:paraId="1FE6701A" w14:textId="77777777" w:rsidR="00A10B25" w:rsidRDefault="00A10B25">
            <w:pPr>
              <w:pStyle w:val="TAL"/>
            </w:pPr>
            <w:r>
              <w:t>1</w:t>
            </w:r>
          </w:p>
        </w:tc>
        <w:tc>
          <w:tcPr>
            <w:tcW w:w="2857" w:type="dxa"/>
          </w:tcPr>
          <w:p w14:paraId="66675A3A" w14:textId="77777777" w:rsidR="00A10B25" w:rsidRDefault="00A10B25">
            <w:pPr>
              <w:pStyle w:val="TAL"/>
              <w:rPr>
                <w:rFonts w:cs="Arial"/>
                <w:szCs w:val="18"/>
              </w:rPr>
            </w:pPr>
            <w:r>
              <w:rPr>
                <w:rFonts w:cs="Arial"/>
                <w:szCs w:val="18"/>
              </w:rPr>
              <w:t>Indicates the required dispersion analytics type.</w:t>
            </w:r>
          </w:p>
        </w:tc>
        <w:tc>
          <w:tcPr>
            <w:tcW w:w="1844" w:type="dxa"/>
          </w:tcPr>
          <w:p w14:paraId="25FD5989" w14:textId="77777777" w:rsidR="00A10B25" w:rsidRDefault="00A10B25">
            <w:pPr>
              <w:pStyle w:val="TAL"/>
              <w:rPr>
                <w:rFonts w:cs="Arial"/>
                <w:szCs w:val="18"/>
              </w:rPr>
            </w:pPr>
          </w:p>
        </w:tc>
      </w:tr>
      <w:tr w:rsidR="00A10B25" w14:paraId="3F9EE1EF" w14:textId="77777777">
        <w:trPr>
          <w:jc w:val="center"/>
        </w:trPr>
        <w:tc>
          <w:tcPr>
            <w:tcW w:w="1750" w:type="dxa"/>
          </w:tcPr>
          <w:p w14:paraId="2B8A670D" w14:textId="77777777" w:rsidR="00A10B25" w:rsidRDefault="00A10B25">
            <w:pPr>
              <w:pStyle w:val="TAL"/>
              <w:rPr>
                <w:lang w:eastAsia="zh-CN"/>
              </w:rPr>
            </w:pPr>
            <w:r>
              <w:rPr>
                <w:lang w:eastAsia="zh-CN"/>
              </w:rPr>
              <w:t>classCriters</w:t>
            </w:r>
          </w:p>
        </w:tc>
        <w:tc>
          <w:tcPr>
            <w:tcW w:w="1560" w:type="dxa"/>
          </w:tcPr>
          <w:p w14:paraId="77A0219B" w14:textId="77777777" w:rsidR="00A10B25" w:rsidRDefault="00A10B25">
            <w:pPr>
              <w:pStyle w:val="TAL"/>
              <w:rPr>
                <w:lang w:eastAsia="zh-CN"/>
              </w:rPr>
            </w:pPr>
            <w:r>
              <w:rPr>
                <w:lang w:eastAsia="zh-CN"/>
              </w:rPr>
              <w:t>array(ClassCriterion)</w:t>
            </w:r>
          </w:p>
        </w:tc>
        <w:tc>
          <w:tcPr>
            <w:tcW w:w="425" w:type="dxa"/>
          </w:tcPr>
          <w:p w14:paraId="553626E0" w14:textId="77777777" w:rsidR="00A10B25" w:rsidRDefault="00A10B25">
            <w:pPr>
              <w:pStyle w:val="TAC"/>
            </w:pPr>
            <w:r>
              <w:t>O</w:t>
            </w:r>
          </w:p>
        </w:tc>
        <w:tc>
          <w:tcPr>
            <w:tcW w:w="1134" w:type="dxa"/>
          </w:tcPr>
          <w:p w14:paraId="197E4B0D" w14:textId="77777777" w:rsidR="00A10B25" w:rsidRDefault="00A10B25">
            <w:pPr>
              <w:pStyle w:val="TAL"/>
            </w:pPr>
            <w:r>
              <w:t>1..N</w:t>
            </w:r>
          </w:p>
        </w:tc>
        <w:tc>
          <w:tcPr>
            <w:tcW w:w="2857" w:type="dxa"/>
          </w:tcPr>
          <w:p w14:paraId="1D11E5E0" w14:textId="77777777" w:rsidR="00A10B25" w:rsidRDefault="00A10B25">
            <w:pPr>
              <w:pStyle w:val="TAL"/>
              <w:rPr>
                <w:rFonts w:cs="Arial"/>
                <w:szCs w:val="18"/>
              </w:rPr>
            </w:pPr>
            <w:r>
              <w:rPr>
                <w:rFonts w:cs="Arial" w:hint="eastAsia"/>
                <w:szCs w:val="18"/>
              </w:rPr>
              <w:t>I</w:t>
            </w:r>
            <w:r>
              <w:rPr>
                <w:rFonts w:cs="Arial"/>
                <w:szCs w:val="18"/>
              </w:rPr>
              <w:t>ndicates the dispersion mobility class criterion for fixed, camper and/or traveller UE, and/or the top-heavy UE dispersion class criterion.</w:t>
            </w:r>
          </w:p>
        </w:tc>
        <w:tc>
          <w:tcPr>
            <w:tcW w:w="1844" w:type="dxa"/>
          </w:tcPr>
          <w:p w14:paraId="52AC8609" w14:textId="77777777" w:rsidR="00A10B25" w:rsidRDefault="00A10B25">
            <w:pPr>
              <w:pStyle w:val="TAL"/>
              <w:rPr>
                <w:rFonts w:cs="Arial"/>
                <w:szCs w:val="18"/>
              </w:rPr>
            </w:pPr>
          </w:p>
        </w:tc>
      </w:tr>
      <w:tr w:rsidR="00A10B25" w14:paraId="5D1CB6DB" w14:textId="77777777">
        <w:trPr>
          <w:jc w:val="center"/>
        </w:trPr>
        <w:tc>
          <w:tcPr>
            <w:tcW w:w="1750" w:type="dxa"/>
          </w:tcPr>
          <w:p w14:paraId="4D4E5F6C" w14:textId="77777777" w:rsidR="00A10B25" w:rsidRDefault="00A10B25">
            <w:pPr>
              <w:pStyle w:val="TAL"/>
              <w:rPr>
                <w:lang w:eastAsia="zh-CN"/>
              </w:rPr>
            </w:pPr>
            <w:r>
              <w:rPr>
                <w:lang w:eastAsia="zh-CN"/>
              </w:rPr>
              <w:t>rankCriters</w:t>
            </w:r>
          </w:p>
        </w:tc>
        <w:tc>
          <w:tcPr>
            <w:tcW w:w="1560" w:type="dxa"/>
          </w:tcPr>
          <w:p w14:paraId="52AF84A8" w14:textId="77777777" w:rsidR="00A10B25" w:rsidRDefault="00A10B25">
            <w:pPr>
              <w:pStyle w:val="TAL"/>
              <w:rPr>
                <w:lang w:eastAsia="zh-CN"/>
              </w:rPr>
            </w:pPr>
            <w:r>
              <w:rPr>
                <w:lang w:eastAsia="zh-CN"/>
              </w:rPr>
              <w:t>array(RankingCriterion)</w:t>
            </w:r>
          </w:p>
        </w:tc>
        <w:tc>
          <w:tcPr>
            <w:tcW w:w="425" w:type="dxa"/>
          </w:tcPr>
          <w:p w14:paraId="3280F361" w14:textId="77777777" w:rsidR="00A10B25" w:rsidRDefault="00A10B25">
            <w:pPr>
              <w:pStyle w:val="TAC"/>
            </w:pPr>
            <w:r>
              <w:t>O</w:t>
            </w:r>
          </w:p>
        </w:tc>
        <w:tc>
          <w:tcPr>
            <w:tcW w:w="1134" w:type="dxa"/>
          </w:tcPr>
          <w:p w14:paraId="18059B9E" w14:textId="77777777" w:rsidR="00A10B25" w:rsidRDefault="00A10B25">
            <w:pPr>
              <w:pStyle w:val="TAL"/>
            </w:pPr>
            <w:r>
              <w:t>1..N</w:t>
            </w:r>
          </w:p>
        </w:tc>
        <w:tc>
          <w:tcPr>
            <w:tcW w:w="2857" w:type="dxa"/>
          </w:tcPr>
          <w:p w14:paraId="2A2FCBE6" w14:textId="77777777" w:rsidR="00A10B25" w:rsidRDefault="00A10B25">
            <w:pPr>
              <w:pStyle w:val="TAL"/>
              <w:rPr>
                <w:rFonts w:cs="Arial"/>
                <w:szCs w:val="18"/>
              </w:rPr>
            </w:pPr>
            <w:r>
              <w:rPr>
                <w:rFonts w:cs="Arial"/>
                <w:szCs w:val="18"/>
              </w:rPr>
              <w:t>Indicates the usage ranking criterion between the high, medium and low usage UE.</w:t>
            </w:r>
          </w:p>
        </w:tc>
        <w:tc>
          <w:tcPr>
            <w:tcW w:w="1844" w:type="dxa"/>
          </w:tcPr>
          <w:p w14:paraId="06AE05AF" w14:textId="77777777" w:rsidR="00A10B25" w:rsidRDefault="00A10B25">
            <w:pPr>
              <w:pStyle w:val="TAL"/>
              <w:rPr>
                <w:rFonts w:cs="Arial"/>
                <w:szCs w:val="18"/>
              </w:rPr>
            </w:pPr>
          </w:p>
        </w:tc>
      </w:tr>
      <w:tr w:rsidR="00A10B25" w14:paraId="5190EEDB" w14:textId="77777777">
        <w:trPr>
          <w:jc w:val="center"/>
        </w:trPr>
        <w:tc>
          <w:tcPr>
            <w:tcW w:w="1750" w:type="dxa"/>
          </w:tcPr>
          <w:p w14:paraId="319FD6D0" w14:textId="77777777" w:rsidR="00A10B25" w:rsidRDefault="00A10B25">
            <w:pPr>
              <w:pStyle w:val="TAL"/>
              <w:rPr>
                <w:lang w:eastAsia="zh-CN"/>
              </w:rPr>
            </w:pPr>
            <w:r>
              <w:rPr>
                <w:lang w:eastAsia="zh-CN"/>
              </w:rPr>
              <w:t>dispOrderCriter</w:t>
            </w:r>
          </w:p>
        </w:tc>
        <w:tc>
          <w:tcPr>
            <w:tcW w:w="1560" w:type="dxa"/>
          </w:tcPr>
          <w:p w14:paraId="5C00A893" w14:textId="77777777" w:rsidR="00A10B25" w:rsidRDefault="00A10B25">
            <w:pPr>
              <w:pStyle w:val="TAL"/>
              <w:rPr>
                <w:lang w:eastAsia="zh-CN"/>
              </w:rPr>
            </w:pPr>
            <w:r>
              <w:rPr>
                <w:lang w:eastAsia="zh-CN"/>
              </w:rPr>
              <w:t>DispersionOrderingCriterion</w:t>
            </w:r>
          </w:p>
        </w:tc>
        <w:tc>
          <w:tcPr>
            <w:tcW w:w="425" w:type="dxa"/>
          </w:tcPr>
          <w:p w14:paraId="20500664" w14:textId="77777777" w:rsidR="00A10B25" w:rsidRDefault="00A10B25">
            <w:pPr>
              <w:pStyle w:val="TAC"/>
            </w:pPr>
            <w:r>
              <w:t>O</w:t>
            </w:r>
          </w:p>
        </w:tc>
        <w:tc>
          <w:tcPr>
            <w:tcW w:w="1134" w:type="dxa"/>
          </w:tcPr>
          <w:p w14:paraId="3911EEE3" w14:textId="77777777" w:rsidR="00A10B25" w:rsidRDefault="00A10B25">
            <w:pPr>
              <w:pStyle w:val="TAL"/>
            </w:pPr>
            <w:r>
              <w:t>0..1</w:t>
            </w:r>
          </w:p>
        </w:tc>
        <w:tc>
          <w:tcPr>
            <w:tcW w:w="2857" w:type="dxa"/>
          </w:tcPr>
          <w:p w14:paraId="00065C07" w14:textId="77777777" w:rsidR="00A10B25" w:rsidRDefault="00A10B25">
            <w:pPr>
              <w:pStyle w:val="TAL"/>
              <w:rPr>
                <w:rFonts w:cs="Arial"/>
                <w:szCs w:val="18"/>
              </w:rPr>
            </w:pPr>
            <w:r>
              <w:rPr>
                <w:rFonts w:cs="Arial"/>
                <w:szCs w:val="18"/>
              </w:rPr>
              <w:t>Indicates the ordering criterion for the list of UE Dispersion Analytics information.</w:t>
            </w:r>
          </w:p>
        </w:tc>
        <w:tc>
          <w:tcPr>
            <w:tcW w:w="1844" w:type="dxa"/>
          </w:tcPr>
          <w:p w14:paraId="0F0518B1" w14:textId="77777777" w:rsidR="00A10B25" w:rsidRDefault="00A10B25">
            <w:pPr>
              <w:pStyle w:val="TAL"/>
              <w:rPr>
                <w:rFonts w:cs="Arial"/>
                <w:szCs w:val="18"/>
              </w:rPr>
            </w:pPr>
          </w:p>
        </w:tc>
      </w:tr>
      <w:tr w:rsidR="00A10B25" w14:paraId="65F94F3A" w14:textId="77777777">
        <w:trPr>
          <w:jc w:val="center"/>
        </w:trPr>
        <w:tc>
          <w:tcPr>
            <w:tcW w:w="1750" w:type="dxa"/>
          </w:tcPr>
          <w:p w14:paraId="402823AA" w14:textId="77777777" w:rsidR="00A10B25" w:rsidRDefault="00A10B25">
            <w:pPr>
              <w:pStyle w:val="TAL"/>
              <w:rPr>
                <w:lang w:eastAsia="zh-CN"/>
              </w:rPr>
            </w:pPr>
            <w:r>
              <w:rPr>
                <w:lang w:eastAsia="zh-CN"/>
              </w:rPr>
              <w:t>order</w:t>
            </w:r>
          </w:p>
        </w:tc>
        <w:tc>
          <w:tcPr>
            <w:tcW w:w="1560" w:type="dxa"/>
          </w:tcPr>
          <w:p w14:paraId="5EED0BCB" w14:textId="77777777" w:rsidR="00A10B25" w:rsidRDefault="00A10B25">
            <w:pPr>
              <w:pStyle w:val="TAL"/>
              <w:rPr>
                <w:lang w:eastAsia="zh-CN"/>
              </w:rPr>
            </w:pPr>
            <w:r>
              <w:rPr>
                <w:lang w:eastAsia="zh-CN"/>
              </w:rPr>
              <w:t>MatchingDirection</w:t>
            </w:r>
          </w:p>
        </w:tc>
        <w:tc>
          <w:tcPr>
            <w:tcW w:w="425" w:type="dxa"/>
          </w:tcPr>
          <w:p w14:paraId="46EA5F2F" w14:textId="77777777" w:rsidR="00A10B25" w:rsidRDefault="00A10B25">
            <w:pPr>
              <w:pStyle w:val="TAC"/>
            </w:pPr>
            <w:r>
              <w:t>O</w:t>
            </w:r>
          </w:p>
        </w:tc>
        <w:tc>
          <w:tcPr>
            <w:tcW w:w="1134" w:type="dxa"/>
          </w:tcPr>
          <w:p w14:paraId="28527241" w14:textId="77777777" w:rsidR="00A10B25" w:rsidRDefault="00A10B25">
            <w:pPr>
              <w:pStyle w:val="TAL"/>
            </w:pPr>
            <w:r>
              <w:t>0..1</w:t>
            </w:r>
          </w:p>
        </w:tc>
        <w:tc>
          <w:tcPr>
            <w:tcW w:w="2857" w:type="dxa"/>
          </w:tcPr>
          <w:p w14:paraId="7DF5FBD4" w14:textId="77777777" w:rsidR="00A10B25" w:rsidRDefault="00A10B25">
            <w:pPr>
              <w:pStyle w:val="TAL"/>
              <w:rPr>
                <w:rFonts w:cs="Arial"/>
                <w:szCs w:val="18"/>
              </w:rPr>
            </w:pPr>
            <w:r>
              <w:rPr>
                <w:rFonts w:cs="Arial"/>
                <w:szCs w:val="18"/>
              </w:rPr>
              <w:t>Indicate the order: ascending or descending. May be present when the "dispOrderCriter" attribute is included.</w:t>
            </w:r>
            <w:r>
              <w:rPr>
                <w:rFonts w:eastAsia="Times New Roman" w:cs="Arial"/>
                <w:szCs w:val="18"/>
              </w:rPr>
              <w:t xml:space="preserve"> (NOTE)</w:t>
            </w:r>
          </w:p>
        </w:tc>
        <w:tc>
          <w:tcPr>
            <w:tcW w:w="1844" w:type="dxa"/>
          </w:tcPr>
          <w:p w14:paraId="60CAFA83" w14:textId="77777777" w:rsidR="00A10B25" w:rsidRDefault="00A10B25">
            <w:pPr>
              <w:pStyle w:val="TAL"/>
              <w:rPr>
                <w:rFonts w:cs="Arial"/>
                <w:szCs w:val="18"/>
              </w:rPr>
            </w:pPr>
          </w:p>
        </w:tc>
      </w:tr>
      <w:tr w:rsidR="00A10B25" w14:paraId="36687B9E" w14:textId="77777777">
        <w:trPr>
          <w:trHeight w:val="300"/>
          <w:jc w:val="center"/>
        </w:trPr>
        <w:tc>
          <w:tcPr>
            <w:tcW w:w="9570" w:type="dxa"/>
            <w:gridSpan w:val="6"/>
          </w:tcPr>
          <w:p w14:paraId="28614388" w14:textId="77777777" w:rsidR="00A10B25" w:rsidRDefault="00A10B25">
            <w:pPr>
              <w:pStyle w:val="TAN"/>
              <w:ind w:left="400" w:hanging="400"/>
              <w:rPr>
                <w:rFonts w:cs="Arial"/>
                <w:szCs w:val="18"/>
              </w:rPr>
            </w:pPr>
            <w:r>
              <w:t>NOTE:</w:t>
            </w:r>
            <w:r>
              <w:tab/>
              <w:t>"CROSSED" value in data type "MatchingDirection" is not applicable for the "order" attribute.</w:t>
            </w:r>
          </w:p>
        </w:tc>
      </w:tr>
    </w:tbl>
    <w:p w14:paraId="615B339D" w14:textId="77777777" w:rsidR="00A10B25" w:rsidRDefault="00A10B25"/>
    <w:p w14:paraId="02D7F85D" w14:textId="77777777" w:rsidR="00A10B25" w:rsidRDefault="00A10B25">
      <w:pPr>
        <w:pStyle w:val="5"/>
      </w:pPr>
      <w:bookmarkStart w:id="7307" w:name="_Toc104539052"/>
      <w:bookmarkStart w:id="7308" w:name="_Toc101244459"/>
      <w:bookmarkStart w:id="7309" w:name="_Toc136562420"/>
      <w:bookmarkStart w:id="7310" w:name="_Toc112951174"/>
      <w:bookmarkStart w:id="7311" w:name="_Toc113031714"/>
      <w:bookmarkStart w:id="7312" w:name="_Toc120702353"/>
      <w:bookmarkStart w:id="7313" w:name="_Toc145705741"/>
      <w:bookmarkStart w:id="7314" w:name="_Toc94064298"/>
      <w:bookmarkStart w:id="7315" w:name="_Toc98233683"/>
      <w:bookmarkStart w:id="7316" w:name="_Toc138754254"/>
      <w:bookmarkStart w:id="7317" w:name="_Toc148522645"/>
      <w:bookmarkStart w:id="7318" w:name="_Toc114133853"/>
      <w:bookmarkStart w:id="7319" w:name="_Toc164920825"/>
      <w:bookmarkStart w:id="7320" w:name="_Toc170120367"/>
      <w:bookmarkStart w:id="7321" w:name="_Toc175858612"/>
      <w:bookmarkStart w:id="7322" w:name="_Toc175859685"/>
      <w:bookmarkStart w:id="7323" w:name="_Toc180605975"/>
      <w:bookmarkStart w:id="7324" w:name="_Toc185517229"/>
      <w:bookmarkStart w:id="7325" w:name="_Toc191576280"/>
      <w:bookmarkStart w:id="7326" w:name="_Toc191577020"/>
      <w:bookmarkStart w:id="7327" w:name="_Toc192880090"/>
      <w:bookmarkStart w:id="7328" w:name="_Toc195814973"/>
      <w:bookmarkStart w:id="7329" w:name="_Toc199452940"/>
      <w:r>
        <w:lastRenderedPageBreak/>
        <w:t>5.1.6.2.51</w:t>
      </w:r>
      <w:r>
        <w:tab/>
        <w:t>Type ClassCriterion</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325FB199" w14:textId="77777777" w:rsidR="00A10B25" w:rsidRDefault="00A10B25">
      <w:pPr>
        <w:pStyle w:val="TH"/>
      </w:pPr>
      <w:r>
        <w:t>Table 5.1.6.2.51-1: Definition of type ClassCriterion</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11999DC" w14:textId="77777777">
        <w:trPr>
          <w:jc w:val="center"/>
        </w:trPr>
        <w:tc>
          <w:tcPr>
            <w:tcW w:w="1750" w:type="dxa"/>
            <w:shd w:val="clear" w:color="auto" w:fill="C0C0C0"/>
          </w:tcPr>
          <w:p w14:paraId="1C2CFBB3" w14:textId="77777777" w:rsidR="00A10B25" w:rsidRDefault="00A10B25">
            <w:pPr>
              <w:pStyle w:val="TAH"/>
            </w:pPr>
            <w:r>
              <w:t>Attribute name</w:t>
            </w:r>
          </w:p>
        </w:tc>
        <w:tc>
          <w:tcPr>
            <w:tcW w:w="1560" w:type="dxa"/>
            <w:shd w:val="clear" w:color="auto" w:fill="C0C0C0"/>
          </w:tcPr>
          <w:p w14:paraId="04C0C697" w14:textId="77777777" w:rsidR="00A10B25" w:rsidRDefault="00A10B25">
            <w:pPr>
              <w:pStyle w:val="TAH"/>
            </w:pPr>
            <w:r>
              <w:t>Data type</w:t>
            </w:r>
          </w:p>
        </w:tc>
        <w:tc>
          <w:tcPr>
            <w:tcW w:w="425" w:type="dxa"/>
            <w:shd w:val="clear" w:color="auto" w:fill="C0C0C0"/>
          </w:tcPr>
          <w:p w14:paraId="728F4A0C" w14:textId="77777777" w:rsidR="00A10B25" w:rsidRDefault="00A10B25">
            <w:pPr>
              <w:pStyle w:val="TAH"/>
            </w:pPr>
            <w:r>
              <w:t>P</w:t>
            </w:r>
          </w:p>
        </w:tc>
        <w:tc>
          <w:tcPr>
            <w:tcW w:w="1134" w:type="dxa"/>
            <w:shd w:val="clear" w:color="auto" w:fill="C0C0C0"/>
          </w:tcPr>
          <w:p w14:paraId="7E189B3A" w14:textId="77777777" w:rsidR="00A10B25" w:rsidRDefault="00A10B25">
            <w:pPr>
              <w:pStyle w:val="TAH"/>
            </w:pPr>
            <w:r>
              <w:t>Cardinality</w:t>
            </w:r>
          </w:p>
        </w:tc>
        <w:tc>
          <w:tcPr>
            <w:tcW w:w="2857" w:type="dxa"/>
            <w:shd w:val="clear" w:color="auto" w:fill="C0C0C0"/>
          </w:tcPr>
          <w:p w14:paraId="1107FD6E" w14:textId="77777777" w:rsidR="00A10B25" w:rsidRDefault="00A10B25">
            <w:pPr>
              <w:pStyle w:val="TAH"/>
            </w:pPr>
            <w:r>
              <w:t>Description</w:t>
            </w:r>
          </w:p>
        </w:tc>
        <w:tc>
          <w:tcPr>
            <w:tcW w:w="1844" w:type="dxa"/>
            <w:shd w:val="clear" w:color="auto" w:fill="C0C0C0"/>
          </w:tcPr>
          <w:p w14:paraId="7A921416" w14:textId="77777777" w:rsidR="00A10B25" w:rsidRDefault="00A10B25">
            <w:pPr>
              <w:pStyle w:val="TAH"/>
            </w:pPr>
            <w:r>
              <w:t>Applicability</w:t>
            </w:r>
          </w:p>
        </w:tc>
      </w:tr>
      <w:tr w:rsidR="00A10B25" w14:paraId="10DF8F06" w14:textId="77777777">
        <w:trPr>
          <w:jc w:val="center"/>
        </w:trPr>
        <w:tc>
          <w:tcPr>
            <w:tcW w:w="1750" w:type="dxa"/>
          </w:tcPr>
          <w:p w14:paraId="5E306F27" w14:textId="77777777" w:rsidR="00A10B25" w:rsidRDefault="00A10B25">
            <w:pPr>
              <w:pStyle w:val="TAL"/>
              <w:rPr>
                <w:lang w:eastAsia="zh-CN"/>
              </w:rPr>
            </w:pPr>
            <w:r>
              <w:rPr>
                <w:lang w:eastAsia="zh-CN"/>
              </w:rPr>
              <w:t>disperClass</w:t>
            </w:r>
          </w:p>
        </w:tc>
        <w:tc>
          <w:tcPr>
            <w:tcW w:w="1560" w:type="dxa"/>
          </w:tcPr>
          <w:p w14:paraId="03250A08" w14:textId="77777777" w:rsidR="00A10B25" w:rsidRDefault="00A10B25">
            <w:pPr>
              <w:pStyle w:val="TAL"/>
              <w:rPr>
                <w:lang w:eastAsia="zh-CN"/>
              </w:rPr>
            </w:pPr>
            <w:r>
              <w:rPr>
                <w:lang w:eastAsia="zh-CN"/>
              </w:rPr>
              <w:t>DispersionClass</w:t>
            </w:r>
          </w:p>
        </w:tc>
        <w:tc>
          <w:tcPr>
            <w:tcW w:w="425" w:type="dxa"/>
          </w:tcPr>
          <w:p w14:paraId="3EFE86BC" w14:textId="77777777" w:rsidR="00A10B25" w:rsidRDefault="00A10B25">
            <w:pPr>
              <w:pStyle w:val="TAC"/>
            </w:pPr>
            <w:r>
              <w:t>M</w:t>
            </w:r>
          </w:p>
        </w:tc>
        <w:tc>
          <w:tcPr>
            <w:tcW w:w="1134" w:type="dxa"/>
          </w:tcPr>
          <w:p w14:paraId="4583AC1F" w14:textId="77777777" w:rsidR="00A10B25" w:rsidRDefault="00A10B25">
            <w:pPr>
              <w:pStyle w:val="TAL"/>
            </w:pPr>
            <w:r>
              <w:t>1</w:t>
            </w:r>
          </w:p>
        </w:tc>
        <w:tc>
          <w:tcPr>
            <w:tcW w:w="2857" w:type="dxa"/>
          </w:tcPr>
          <w:p w14:paraId="676EF93A" w14:textId="77777777" w:rsidR="00A10B25" w:rsidRDefault="00A10B25">
            <w:pPr>
              <w:pStyle w:val="TAL"/>
            </w:pPr>
            <w:r>
              <w:t>Indicates the dispersion class.</w:t>
            </w:r>
          </w:p>
        </w:tc>
        <w:tc>
          <w:tcPr>
            <w:tcW w:w="1844" w:type="dxa"/>
          </w:tcPr>
          <w:p w14:paraId="275C095A" w14:textId="77777777" w:rsidR="00A10B25" w:rsidRDefault="00A10B25">
            <w:pPr>
              <w:pStyle w:val="TAL"/>
              <w:rPr>
                <w:rFonts w:cs="Arial"/>
                <w:szCs w:val="18"/>
              </w:rPr>
            </w:pPr>
          </w:p>
        </w:tc>
      </w:tr>
      <w:tr w:rsidR="00A10B25" w14:paraId="0C1B676E" w14:textId="77777777">
        <w:trPr>
          <w:jc w:val="center"/>
        </w:trPr>
        <w:tc>
          <w:tcPr>
            <w:tcW w:w="1750" w:type="dxa"/>
          </w:tcPr>
          <w:p w14:paraId="6B7E9E09" w14:textId="77777777" w:rsidR="00A10B25" w:rsidRDefault="00A10B25">
            <w:pPr>
              <w:pStyle w:val="TAL"/>
              <w:rPr>
                <w:lang w:eastAsia="zh-CN"/>
              </w:rPr>
            </w:pPr>
            <w:r>
              <w:rPr>
                <w:lang w:eastAsia="zh-CN"/>
              </w:rPr>
              <w:t>classThreshold</w:t>
            </w:r>
          </w:p>
        </w:tc>
        <w:tc>
          <w:tcPr>
            <w:tcW w:w="1560" w:type="dxa"/>
          </w:tcPr>
          <w:p w14:paraId="7381BCB2" w14:textId="77777777" w:rsidR="00A10B25" w:rsidRDefault="00A10B25">
            <w:pPr>
              <w:pStyle w:val="TAL"/>
              <w:rPr>
                <w:lang w:eastAsia="zh-CN"/>
              </w:rPr>
            </w:pPr>
            <w:r>
              <w:rPr>
                <w:lang w:eastAsia="zh-CN"/>
              </w:rPr>
              <w:t>SamplingRatio</w:t>
            </w:r>
          </w:p>
        </w:tc>
        <w:tc>
          <w:tcPr>
            <w:tcW w:w="425" w:type="dxa"/>
          </w:tcPr>
          <w:p w14:paraId="5330FB90" w14:textId="77777777" w:rsidR="00A10B25" w:rsidRDefault="00A10B25">
            <w:pPr>
              <w:pStyle w:val="TAC"/>
            </w:pPr>
            <w:r>
              <w:t>M</w:t>
            </w:r>
          </w:p>
        </w:tc>
        <w:tc>
          <w:tcPr>
            <w:tcW w:w="1134" w:type="dxa"/>
          </w:tcPr>
          <w:p w14:paraId="192FA9BE" w14:textId="77777777" w:rsidR="00A10B25" w:rsidRDefault="00A10B25">
            <w:pPr>
              <w:pStyle w:val="TAL"/>
            </w:pPr>
            <w:r>
              <w:t>1</w:t>
            </w:r>
          </w:p>
        </w:tc>
        <w:tc>
          <w:tcPr>
            <w:tcW w:w="2857" w:type="dxa"/>
          </w:tcPr>
          <w:p w14:paraId="548F9D1D" w14:textId="77777777" w:rsidR="00A10B25" w:rsidRDefault="00A10B25">
            <w:pPr>
              <w:pStyle w:val="TAL"/>
              <w:rPr>
                <w:rFonts w:cs="Arial"/>
                <w:szCs w:val="18"/>
              </w:rPr>
            </w:pPr>
            <w:r>
              <w:rPr>
                <w:rFonts w:cs="Arial"/>
                <w:szCs w:val="18"/>
              </w:rPr>
              <w:t>Indicates the dispersion class threshold.</w:t>
            </w:r>
          </w:p>
        </w:tc>
        <w:tc>
          <w:tcPr>
            <w:tcW w:w="1844" w:type="dxa"/>
          </w:tcPr>
          <w:p w14:paraId="248B3921" w14:textId="77777777" w:rsidR="00A10B25" w:rsidRDefault="00A10B25">
            <w:pPr>
              <w:pStyle w:val="TAL"/>
              <w:rPr>
                <w:rFonts w:cs="Arial"/>
                <w:szCs w:val="18"/>
              </w:rPr>
            </w:pPr>
          </w:p>
        </w:tc>
      </w:tr>
      <w:tr w:rsidR="00A10B25" w14:paraId="4D312DDD" w14:textId="77777777">
        <w:trPr>
          <w:jc w:val="center"/>
        </w:trPr>
        <w:tc>
          <w:tcPr>
            <w:tcW w:w="1750" w:type="dxa"/>
          </w:tcPr>
          <w:p w14:paraId="125BA288" w14:textId="77777777" w:rsidR="00A10B25" w:rsidRDefault="00A10B25">
            <w:pPr>
              <w:pStyle w:val="TAL"/>
              <w:rPr>
                <w:lang w:eastAsia="zh-CN"/>
              </w:rPr>
            </w:pPr>
            <w:r>
              <w:rPr>
                <w:lang w:eastAsia="zh-CN"/>
              </w:rPr>
              <w:t>thresMatch</w:t>
            </w:r>
          </w:p>
        </w:tc>
        <w:tc>
          <w:tcPr>
            <w:tcW w:w="1560" w:type="dxa"/>
          </w:tcPr>
          <w:p w14:paraId="6076FE64" w14:textId="77777777" w:rsidR="00A10B25" w:rsidRDefault="00A10B25">
            <w:pPr>
              <w:pStyle w:val="TAL"/>
              <w:rPr>
                <w:lang w:eastAsia="zh-CN"/>
              </w:rPr>
            </w:pPr>
            <w:r>
              <w:rPr>
                <w:lang w:eastAsia="zh-CN"/>
              </w:rPr>
              <w:t>MatchingDirection</w:t>
            </w:r>
          </w:p>
        </w:tc>
        <w:tc>
          <w:tcPr>
            <w:tcW w:w="425" w:type="dxa"/>
          </w:tcPr>
          <w:p w14:paraId="500A2B01" w14:textId="77777777" w:rsidR="00A10B25" w:rsidRDefault="00A10B25">
            <w:pPr>
              <w:pStyle w:val="TAC"/>
            </w:pPr>
            <w:r>
              <w:t>M</w:t>
            </w:r>
          </w:p>
        </w:tc>
        <w:tc>
          <w:tcPr>
            <w:tcW w:w="1134" w:type="dxa"/>
          </w:tcPr>
          <w:p w14:paraId="312095B0" w14:textId="77777777" w:rsidR="00A10B25" w:rsidRDefault="00A10B25">
            <w:pPr>
              <w:pStyle w:val="TAL"/>
            </w:pPr>
            <w:r>
              <w:t>1</w:t>
            </w:r>
          </w:p>
        </w:tc>
        <w:tc>
          <w:tcPr>
            <w:tcW w:w="2857" w:type="dxa"/>
          </w:tcPr>
          <w:p w14:paraId="4A1B4FFD" w14:textId="77777777" w:rsidR="00A10B25" w:rsidRDefault="00A10B25">
            <w:pPr>
              <w:pStyle w:val="TAL"/>
              <w:rPr>
                <w:rFonts w:cs="Arial"/>
                <w:szCs w:val="18"/>
              </w:rPr>
            </w:pPr>
            <w:r>
              <w:rPr>
                <w:rFonts w:cs="Arial"/>
                <w:szCs w:val="18"/>
              </w:rPr>
              <w:t>Indicates the dispersion class threshold matching direction.</w:t>
            </w:r>
            <w:r>
              <w:rPr>
                <w:rFonts w:eastAsia="Times New Roman" w:cs="Arial"/>
                <w:szCs w:val="18"/>
              </w:rPr>
              <w:t xml:space="preserve"> (NOTE)</w:t>
            </w:r>
          </w:p>
        </w:tc>
        <w:tc>
          <w:tcPr>
            <w:tcW w:w="1844" w:type="dxa"/>
          </w:tcPr>
          <w:p w14:paraId="14D86897" w14:textId="77777777" w:rsidR="00A10B25" w:rsidRDefault="00A10B25">
            <w:pPr>
              <w:pStyle w:val="TAL"/>
              <w:rPr>
                <w:rFonts w:cs="Arial"/>
                <w:szCs w:val="18"/>
              </w:rPr>
            </w:pPr>
          </w:p>
        </w:tc>
      </w:tr>
      <w:tr w:rsidR="00A10B25" w14:paraId="4C165707" w14:textId="77777777">
        <w:trPr>
          <w:jc w:val="center"/>
        </w:trPr>
        <w:tc>
          <w:tcPr>
            <w:tcW w:w="9570" w:type="dxa"/>
            <w:gridSpan w:val="6"/>
          </w:tcPr>
          <w:p w14:paraId="72B95C49" w14:textId="77777777" w:rsidR="00A10B25" w:rsidRDefault="00A10B25">
            <w:pPr>
              <w:pStyle w:val="TAN"/>
              <w:ind w:left="400" w:hanging="400"/>
              <w:rPr>
                <w:rFonts w:cs="Arial"/>
                <w:szCs w:val="18"/>
              </w:rPr>
            </w:pPr>
            <w:r>
              <w:t>NOTE:</w:t>
            </w:r>
            <w:r>
              <w:tab/>
              <w:t>"CROSSED" value in data type "MatchingDirection" is not applicable for the "thresMatch" attribute.</w:t>
            </w:r>
          </w:p>
        </w:tc>
      </w:tr>
    </w:tbl>
    <w:p w14:paraId="101580C9" w14:textId="77777777" w:rsidR="00A10B25" w:rsidRDefault="00A10B25">
      <w:pPr>
        <w:rPr>
          <w:lang w:val="en-US" w:eastAsia="zh-CN"/>
        </w:rPr>
      </w:pPr>
    </w:p>
    <w:p w14:paraId="23FA5F4F" w14:textId="77777777" w:rsidR="00A10B25" w:rsidRDefault="00A10B25">
      <w:pPr>
        <w:pStyle w:val="5"/>
      </w:pPr>
      <w:bookmarkStart w:id="7330" w:name="_Toc101244460"/>
      <w:bookmarkStart w:id="7331" w:name="_Toc113031715"/>
      <w:bookmarkStart w:id="7332" w:name="_Toc136562421"/>
      <w:bookmarkStart w:id="7333" w:name="_Toc98233684"/>
      <w:bookmarkStart w:id="7334" w:name="_Toc94064299"/>
      <w:bookmarkStart w:id="7335" w:name="_Toc120702354"/>
      <w:bookmarkStart w:id="7336" w:name="_Toc145705742"/>
      <w:bookmarkStart w:id="7337" w:name="_Toc114133854"/>
      <w:bookmarkStart w:id="7338" w:name="_Toc148522646"/>
      <w:bookmarkStart w:id="7339" w:name="_Toc104539053"/>
      <w:bookmarkStart w:id="7340" w:name="_Toc138754255"/>
      <w:bookmarkStart w:id="7341" w:name="_Toc112951175"/>
      <w:bookmarkStart w:id="7342" w:name="_Toc164920826"/>
      <w:bookmarkStart w:id="7343" w:name="_Toc170120368"/>
      <w:bookmarkStart w:id="7344" w:name="_Toc175858613"/>
      <w:bookmarkStart w:id="7345" w:name="_Toc175859686"/>
      <w:bookmarkStart w:id="7346" w:name="_Toc180605976"/>
      <w:bookmarkStart w:id="7347" w:name="_Toc185517230"/>
      <w:bookmarkStart w:id="7348" w:name="_Toc191576281"/>
      <w:bookmarkStart w:id="7349" w:name="_Toc191577021"/>
      <w:bookmarkStart w:id="7350" w:name="_Toc192880091"/>
      <w:bookmarkStart w:id="7351" w:name="_Toc195814974"/>
      <w:bookmarkStart w:id="7352" w:name="_Toc199452941"/>
      <w:r>
        <w:t>5.1.6.2.52</w:t>
      </w:r>
      <w:r>
        <w:tab/>
        <w:t>Type RankingCriterion</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57272DB1" w14:textId="77777777" w:rsidR="00A10B25" w:rsidRDefault="00A10B25">
      <w:pPr>
        <w:pStyle w:val="TH"/>
      </w:pPr>
      <w:r>
        <w:t>Table 5.1.6.2.52-1: Definition of type RankingCriterion</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19484DBA" w14:textId="77777777">
        <w:trPr>
          <w:jc w:val="center"/>
        </w:trPr>
        <w:tc>
          <w:tcPr>
            <w:tcW w:w="1750" w:type="dxa"/>
            <w:shd w:val="clear" w:color="auto" w:fill="C0C0C0"/>
          </w:tcPr>
          <w:p w14:paraId="1510D0E5" w14:textId="77777777" w:rsidR="00A10B25" w:rsidRDefault="00A10B25">
            <w:pPr>
              <w:pStyle w:val="TAH"/>
            </w:pPr>
            <w:r>
              <w:t>Attribute name</w:t>
            </w:r>
          </w:p>
        </w:tc>
        <w:tc>
          <w:tcPr>
            <w:tcW w:w="1560" w:type="dxa"/>
            <w:shd w:val="clear" w:color="auto" w:fill="C0C0C0"/>
          </w:tcPr>
          <w:p w14:paraId="412AA2C1" w14:textId="77777777" w:rsidR="00A10B25" w:rsidRDefault="00A10B25">
            <w:pPr>
              <w:pStyle w:val="TAH"/>
            </w:pPr>
            <w:r>
              <w:t>Data type</w:t>
            </w:r>
          </w:p>
        </w:tc>
        <w:tc>
          <w:tcPr>
            <w:tcW w:w="425" w:type="dxa"/>
            <w:shd w:val="clear" w:color="auto" w:fill="C0C0C0"/>
          </w:tcPr>
          <w:p w14:paraId="1BB29D7B" w14:textId="77777777" w:rsidR="00A10B25" w:rsidRDefault="00A10B25">
            <w:pPr>
              <w:pStyle w:val="TAH"/>
            </w:pPr>
            <w:r>
              <w:t>P</w:t>
            </w:r>
          </w:p>
        </w:tc>
        <w:tc>
          <w:tcPr>
            <w:tcW w:w="1134" w:type="dxa"/>
            <w:shd w:val="clear" w:color="auto" w:fill="C0C0C0"/>
          </w:tcPr>
          <w:p w14:paraId="2E504995" w14:textId="77777777" w:rsidR="00A10B25" w:rsidRDefault="00A10B25">
            <w:pPr>
              <w:pStyle w:val="TAH"/>
            </w:pPr>
            <w:r>
              <w:t>Cardinality</w:t>
            </w:r>
          </w:p>
        </w:tc>
        <w:tc>
          <w:tcPr>
            <w:tcW w:w="2857" w:type="dxa"/>
            <w:shd w:val="clear" w:color="auto" w:fill="C0C0C0"/>
          </w:tcPr>
          <w:p w14:paraId="5923A10F" w14:textId="77777777" w:rsidR="00A10B25" w:rsidRDefault="00A10B25">
            <w:pPr>
              <w:pStyle w:val="TAH"/>
            </w:pPr>
            <w:r>
              <w:t>Description</w:t>
            </w:r>
          </w:p>
        </w:tc>
        <w:tc>
          <w:tcPr>
            <w:tcW w:w="1844" w:type="dxa"/>
            <w:shd w:val="clear" w:color="auto" w:fill="C0C0C0"/>
          </w:tcPr>
          <w:p w14:paraId="46E6A4AD" w14:textId="77777777" w:rsidR="00A10B25" w:rsidRDefault="00A10B25">
            <w:pPr>
              <w:pStyle w:val="TAH"/>
            </w:pPr>
            <w:r>
              <w:t>Applicability</w:t>
            </w:r>
          </w:p>
        </w:tc>
      </w:tr>
      <w:tr w:rsidR="00A10B25" w14:paraId="0F441226" w14:textId="77777777">
        <w:trPr>
          <w:jc w:val="center"/>
        </w:trPr>
        <w:tc>
          <w:tcPr>
            <w:tcW w:w="1750" w:type="dxa"/>
          </w:tcPr>
          <w:p w14:paraId="05DA99FD" w14:textId="77777777" w:rsidR="00A10B25" w:rsidRDefault="00A10B25">
            <w:pPr>
              <w:pStyle w:val="TAL"/>
              <w:rPr>
                <w:lang w:eastAsia="zh-CN"/>
              </w:rPr>
            </w:pPr>
            <w:r>
              <w:rPr>
                <w:lang w:eastAsia="zh-CN"/>
              </w:rPr>
              <w:t>highBase</w:t>
            </w:r>
          </w:p>
        </w:tc>
        <w:tc>
          <w:tcPr>
            <w:tcW w:w="1560" w:type="dxa"/>
          </w:tcPr>
          <w:p w14:paraId="2E5221FA" w14:textId="77777777" w:rsidR="00A10B25" w:rsidRDefault="00A10B25">
            <w:pPr>
              <w:pStyle w:val="TAL"/>
              <w:rPr>
                <w:lang w:eastAsia="zh-CN"/>
              </w:rPr>
            </w:pPr>
            <w:r>
              <w:rPr>
                <w:lang w:eastAsia="zh-CN"/>
              </w:rPr>
              <w:t>SamplingRatio</w:t>
            </w:r>
          </w:p>
        </w:tc>
        <w:tc>
          <w:tcPr>
            <w:tcW w:w="425" w:type="dxa"/>
          </w:tcPr>
          <w:p w14:paraId="1FEE4DF6" w14:textId="77777777" w:rsidR="00A10B25" w:rsidRDefault="00A10B25">
            <w:pPr>
              <w:pStyle w:val="TAC"/>
            </w:pPr>
            <w:r>
              <w:t>M</w:t>
            </w:r>
          </w:p>
        </w:tc>
        <w:tc>
          <w:tcPr>
            <w:tcW w:w="1134" w:type="dxa"/>
          </w:tcPr>
          <w:p w14:paraId="14319D8D" w14:textId="77777777" w:rsidR="00A10B25" w:rsidRDefault="00A10B25">
            <w:pPr>
              <w:pStyle w:val="TAL"/>
            </w:pPr>
            <w:r>
              <w:t>1</w:t>
            </w:r>
          </w:p>
        </w:tc>
        <w:tc>
          <w:tcPr>
            <w:tcW w:w="2857" w:type="dxa"/>
          </w:tcPr>
          <w:p w14:paraId="4E75F321" w14:textId="77777777" w:rsidR="00A10B25" w:rsidRDefault="00A10B25">
            <w:pPr>
              <w:pStyle w:val="TAL"/>
              <w:rPr>
                <w:rFonts w:cs="Arial"/>
                <w:szCs w:val="18"/>
              </w:rPr>
            </w:pPr>
            <w:r>
              <w:rPr>
                <w:rFonts w:cs="Arial"/>
                <w:szCs w:val="18"/>
              </w:rPr>
              <w:t>Indicates the "high" ranking bottom baseline percentage.</w:t>
            </w:r>
          </w:p>
        </w:tc>
        <w:tc>
          <w:tcPr>
            <w:tcW w:w="1844" w:type="dxa"/>
          </w:tcPr>
          <w:p w14:paraId="1DFD08B7" w14:textId="77777777" w:rsidR="00A10B25" w:rsidRDefault="00A10B25">
            <w:pPr>
              <w:pStyle w:val="TAL"/>
              <w:rPr>
                <w:rFonts w:cs="Arial"/>
                <w:szCs w:val="18"/>
              </w:rPr>
            </w:pPr>
          </w:p>
        </w:tc>
      </w:tr>
      <w:tr w:rsidR="00A10B25" w14:paraId="30D30CCA" w14:textId="77777777">
        <w:trPr>
          <w:jc w:val="center"/>
        </w:trPr>
        <w:tc>
          <w:tcPr>
            <w:tcW w:w="1750" w:type="dxa"/>
          </w:tcPr>
          <w:p w14:paraId="41790216" w14:textId="77777777" w:rsidR="00A10B25" w:rsidRDefault="00A10B25">
            <w:pPr>
              <w:pStyle w:val="TAL"/>
              <w:rPr>
                <w:lang w:eastAsia="zh-CN"/>
              </w:rPr>
            </w:pPr>
            <w:r>
              <w:rPr>
                <w:lang w:eastAsia="zh-CN"/>
              </w:rPr>
              <w:t>lowBase</w:t>
            </w:r>
          </w:p>
        </w:tc>
        <w:tc>
          <w:tcPr>
            <w:tcW w:w="1560" w:type="dxa"/>
          </w:tcPr>
          <w:p w14:paraId="5A51EE5E" w14:textId="77777777" w:rsidR="00A10B25" w:rsidRDefault="00A10B25">
            <w:pPr>
              <w:pStyle w:val="TAL"/>
              <w:rPr>
                <w:lang w:eastAsia="zh-CN"/>
              </w:rPr>
            </w:pPr>
            <w:r>
              <w:rPr>
                <w:lang w:eastAsia="zh-CN"/>
              </w:rPr>
              <w:t>SamplingRatio</w:t>
            </w:r>
          </w:p>
        </w:tc>
        <w:tc>
          <w:tcPr>
            <w:tcW w:w="425" w:type="dxa"/>
          </w:tcPr>
          <w:p w14:paraId="143266F7" w14:textId="77777777" w:rsidR="00A10B25" w:rsidRDefault="00A10B25">
            <w:pPr>
              <w:pStyle w:val="TAC"/>
            </w:pPr>
            <w:r>
              <w:t>M</w:t>
            </w:r>
          </w:p>
        </w:tc>
        <w:tc>
          <w:tcPr>
            <w:tcW w:w="1134" w:type="dxa"/>
          </w:tcPr>
          <w:p w14:paraId="6CA4CAE6" w14:textId="77777777" w:rsidR="00A10B25" w:rsidRDefault="00A10B25">
            <w:pPr>
              <w:pStyle w:val="TAL"/>
            </w:pPr>
            <w:r>
              <w:t>1</w:t>
            </w:r>
          </w:p>
        </w:tc>
        <w:tc>
          <w:tcPr>
            <w:tcW w:w="2857" w:type="dxa"/>
          </w:tcPr>
          <w:p w14:paraId="0908CA1A" w14:textId="77777777" w:rsidR="00A10B25" w:rsidRDefault="00A10B25">
            <w:pPr>
              <w:pStyle w:val="TAL"/>
              <w:rPr>
                <w:rFonts w:cs="Arial"/>
                <w:szCs w:val="18"/>
              </w:rPr>
            </w:pPr>
            <w:r>
              <w:rPr>
                <w:rFonts w:cs="Arial"/>
                <w:szCs w:val="18"/>
              </w:rPr>
              <w:t>Indicates the "low" ranking top baseline percentage.</w:t>
            </w:r>
          </w:p>
        </w:tc>
        <w:tc>
          <w:tcPr>
            <w:tcW w:w="1844" w:type="dxa"/>
          </w:tcPr>
          <w:p w14:paraId="313DF454" w14:textId="77777777" w:rsidR="00A10B25" w:rsidRDefault="00A10B25">
            <w:pPr>
              <w:pStyle w:val="TAL"/>
              <w:rPr>
                <w:rFonts w:cs="Arial"/>
                <w:szCs w:val="18"/>
              </w:rPr>
            </w:pPr>
          </w:p>
        </w:tc>
      </w:tr>
      <w:tr w:rsidR="00A10B25" w14:paraId="76B3F05D" w14:textId="77777777">
        <w:trPr>
          <w:jc w:val="center"/>
        </w:trPr>
        <w:tc>
          <w:tcPr>
            <w:tcW w:w="9570" w:type="dxa"/>
            <w:gridSpan w:val="6"/>
          </w:tcPr>
          <w:p w14:paraId="2B9E65CB" w14:textId="77777777" w:rsidR="00A10B25" w:rsidRDefault="00A10B25">
            <w:pPr>
              <w:pStyle w:val="TAN"/>
              <w:ind w:left="400" w:hanging="400"/>
              <w:rPr>
                <w:rFonts w:cs="Arial"/>
                <w:szCs w:val="18"/>
              </w:rPr>
            </w:pPr>
            <w:r>
              <w:t>NOTE:</w:t>
            </w:r>
            <w:r>
              <w:tab/>
              <w:t>UE is ranked high (i.e.value 1), medium (2) or low (3) when its data/transactions dispersed during the period of observation at the location/slice, is higher than "highBase" attribute value, within the range between the "highBase" attribute to "lowBase" attribute value or less than "lowBase" value, respectively.</w:t>
            </w:r>
          </w:p>
        </w:tc>
      </w:tr>
    </w:tbl>
    <w:p w14:paraId="701914E5" w14:textId="77777777" w:rsidR="00A10B25" w:rsidRDefault="00A10B25">
      <w:pPr>
        <w:rPr>
          <w:lang w:val="en-US" w:eastAsia="zh-CN"/>
        </w:rPr>
      </w:pPr>
    </w:p>
    <w:p w14:paraId="0D4391CD" w14:textId="77777777" w:rsidR="00A10B25" w:rsidRDefault="00A10B25">
      <w:pPr>
        <w:pStyle w:val="5"/>
      </w:pPr>
      <w:bookmarkStart w:id="7353" w:name="_Toc136562422"/>
      <w:bookmarkStart w:id="7354" w:name="_Toc113031716"/>
      <w:bookmarkStart w:id="7355" w:name="_Toc114133855"/>
      <w:bookmarkStart w:id="7356" w:name="_Toc104539054"/>
      <w:bookmarkStart w:id="7357" w:name="_Toc101244461"/>
      <w:bookmarkStart w:id="7358" w:name="_Toc148522647"/>
      <w:bookmarkStart w:id="7359" w:name="_Toc98233685"/>
      <w:bookmarkStart w:id="7360" w:name="_Toc120702355"/>
      <w:bookmarkStart w:id="7361" w:name="_Toc138754256"/>
      <w:bookmarkStart w:id="7362" w:name="_Toc112951176"/>
      <w:bookmarkStart w:id="7363" w:name="_Toc94064300"/>
      <w:bookmarkStart w:id="7364" w:name="_Toc145705743"/>
      <w:bookmarkStart w:id="7365" w:name="_Toc164920827"/>
      <w:bookmarkStart w:id="7366" w:name="_Toc170120369"/>
      <w:bookmarkStart w:id="7367" w:name="_Toc175858614"/>
      <w:bookmarkStart w:id="7368" w:name="_Toc175859687"/>
      <w:bookmarkStart w:id="7369" w:name="_Toc180605977"/>
      <w:bookmarkStart w:id="7370" w:name="_Toc185517231"/>
      <w:bookmarkStart w:id="7371" w:name="_Toc191576282"/>
      <w:bookmarkStart w:id="7372" w:name="_Toc191577022"/>
      <w:bookmarkStart w:id="7373" w:name="_Toc192880092"/>
      <w:bookmarkStart w:id="7374" w:name="_Toc195814975"/>
      <w:bookmarkStart w:id="7375" w:name="_Toc199452942"/>
      <w:r>
        <w:t>5.1.6.2.53</w:t>
      </w:r>
      <w:r>
        <w:tab/>
        <w:t>Type DispersionInfo</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743D1BA5" w14:textId="77777777" w:rsidR="00A10B25" w:rsidRDefault="00A10B25">
      <w:pPr>
        <w:pStyle w:val="TH"/>
      </w:pPr>
      <w:bookmarkStart w:id="7376" w:name="_Toc112951177"/>
      <w:bookmarkStart w:id="7377" w:name="_Toc138754257"/>
      <w:bookmarkStart w:id="7378" w:name="_Toc104539055"/>
      <w:bookmarkStart w:id="7379" w:name="_Toc98233686"/>
      <w:bookmarkStart w:id="7380" w:name="_Toc120702356"/>
      <w:bookmarkStart w:id="7381" w:name="_Toc136562423"/>
      <w:bookmarkStart w:id="7382" w:name="_Toc114133856"/>
      <w:bookmarkStart w:id="7383" w:name="_Toc113031717"/>
      <w:bookmarkStart w:id="7384" w:name="_Toc101244462"/>
      <w:bookmarkStart w:id="7385" w:name="_Toc94064301"/>
      <w:r>
        <w:t>Table 5.1.6.2.53-1: Definition of type DispersionInfo</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41270D62"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675A6F4B"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136C6EE2"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1E69763"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464A8F26"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35628B02"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207B9C47" w14:textId="77777777" w:rsidR="00A10B25" w:rsidRDefault="00A10B25">
            <w:pPr>
              <w:pStyle w:val="TAH"/>
            </w:pPr>
            <w:r>
              <w:t>Applicability</w:t>
            </w:r>
          </w:p>
        </w:tc>
      </w:tr>
      <w:tr w:rsidR="00A10B25" w14:paraId="00E9EDB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2394E48" w14:textId="77777777" w:rsidR="00A10B25" w:rsidRDefault="00A10B25">
            <w:pPr>
              <w:pStyle w:val="TAL"/>
              <w:rPr>
                <w:lang w:eastAsia="zh-CN"/>
              </w:rPr>
            </w:pPr>
            <w:r>
              <w:rPr>
                <w:lang w:eastAsia="zh-CN"/>
              </w:rPr>
              <w:t>tsStart</w:t>
            </w:r>
          </w:p>
        </w:tc>
        <w:tc>
          <w:tcPr>
            <w:tcW w:w="1560" w:type="dxa"/>
            <w:tcBorders>
              <w:top w:val="single" w:sz="6" w:space="0" w:color="auto"/>
              <w:left w:val="single" w:sz="6" w:space="0" w:color="auto"/>
              <w:bottom w:val="single" w:sz="6" w:space="0" w:color="auto"/>
              <w:right w:val="single" w:sz="6" w:space="0" w:color="auto"/>
            </w:tcBorders>
          </w:tcPr>
          <w:p w14:paraId="3B7CE64A"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419B7F52"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05704FD9"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40B3F041"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44" w:type="dxa"/>
            <w:tcBorders>
              <w:top w:val="single" w:sz="6" w:space="0" w:color="auto"/>
              <w:left w:val="single" w:sz="6" w:space="0" w:color="auto"/>
              <w:bottom w:val="single" w:sz="6" w:space="0" w:color="auto"/>
              <w:right w:val="single" w:sz="6" w:space="0" w:color="auto"/>
            </w:tcBorders>
          </w:tcPr>
          <w:p w14:paraId="5214BED6" w14:textId="77777777" w:rsidR="00A10B25" w:rsidRDefault="00A10B25">
            <w:pPr>
              <w:pStyle w:val="TAL"/>
              <w:rPr>
                <w:rFonts w:cs="Arial"/>
                <w:szCs w:val="18"/>
              </w:rPr>
            </w:pPr>
          </w:p>
        </w:tc>
      </w:tr>
      <w:tr w:rsidR="00A10B25" w14:paraId="63452B9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9503987" w14:textId="77777777" w:rsidR="00A10B25" w:rsidRDefault="00A10B25">
            <w:pPr>
              <w:pStyle w:val="TAL"/>
              <w:rPr>
                <w:lang w:eastAsia="zh-CN"/>
              </w:rPr>
            </w:pPr>
            <w:r>
              <w:rPr>
                <w:lang w:eastAsia="zh-CN"/>
              </w:rPr>
              <w:t>tsDuration</w:t>
            </w:r>
          </w:p>
        </w:tc>
        <w:tc>
          <w:tcPr>
            <w:tcW w:w="1560" w:type="dxa"/>
            <w:tcBorders>
              <w:top w:val="single" w:sz="6" w:space="0" w:color="auto"/>
              <w:left w:val="single" w:sz="6" w:space="0" w:color="auto"/>
              <w:bottom w:val="single" w:sz="6" w:space="0" w:color="auto"/>
              <w:right w:val="single" w:sz="6" w:space="0" w:color="auto"/>
            </w:tcBorders>
          </w:tcPr>
          <w:p w14:paraId="05BBB98D" w14:textId="77777777" w:rsidR="00A10B25" w:rsidRDefault="00A10B25">
            <w:pPr>
              <w:pStyle w:val="TAL"/>
              <w:rPr>
                <w:lang w:eastAsia="zh-CN"/>
              </w:rPr>
            </w:pPr>
            <w:r>
              <w:rPr>
                <w:lang w:eastAsia="zh-CN"/>
              </w:rPr>
              <w:t>DurationSec</w:t>
            </w:r>
          </w:p>
        </w:tc>
        <w:tc>
          <w:tcPr>
            <w:tcW w:w="425" w:type="dxa"/>
            <w:tcBorders>
              <w:top w:val="single" w:sz="6" w:space="0" w:color="auto"/>
              <w:left w:val="single" w:sz="6" w:space="0" w:color="auto"/>
              <w:bottom w:val="single" w:sz="6" w:space="0" w:color="auto"/>
              <w:right w:val="single" w:sz="6" w:space="0" w:color="auto"/>
            </w:tcBorders>
          </w:tcPr>
          <w:p w14:paraId="0DCA1C79"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DB2F94E"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7612EF06" w14:textId="77777777" w:rsidR="00A10B25" w:rsidRDefault="00A10B25">
            <w:pPr>
              <w:pStyle w:val="TAL"/>
              <w:rPr>
                <w:rFonts w:cs="Arial"/>
                <w:szCs w:val="18"/>
              </w:rPr>
            </w:pPr>
            <w:r>
              <w:rPr>
                <w:rFonts w:cs="Arial"/>
                <w:szCs w:val="18"/>
              </w:rPr>
              <w:t>Indicates the time slot duration.</w:t>
            </w:r>
          </w:p>
          <w:p w14:paraId="4F68BEE3" w14:textId="77777777" w:rsidR="00A10B25" w:rsidRDefault="00A10B25">
            <w:pPr>
              <w:pStyle w:val="TAL"/>
              <w:rPr>
                <w:rFonts w:cs="Arial"/>
                <w:szCs w:val="18"/>
              </w:rPr>
            </w:pPr>
            <w:r>
              <w:rPr>
                <w:rFonts w:cs="Arial"/>
                <w:szCs w:val="18"/>
              </w:rPr>
              <w:t>(</w:t>
            </w:r>
            <w:r>
              <w:t>NOTE</w:t>
            </w:r>
            <w:r>
              <w:rPr>
                <w:rFonts w:cs="Arial"/>
                <w:szCs w:val="18"/>
              </w:rPr>
              <w:t>)</w:t>
            </w:r>
          </w:p>
        </w:tc>
        <w:tc>
          <w:tcPr>
            <w:tcW w:w="1844" w:type="dxa"/>
            <w:tcBorders>
              <w:top w:val="single" w:sz="6" w:space="0" w:color="auto"/>
              <w:left w:val="single" w:sz="6" w:space="0" w:color="auto"/>
              <w:bottom w:val="single" w:sz="6" w:space="0" w:color="auto"/>
              <w:right w:val="single" w:sz="6" w:space="0" w:color="auto"/>
            </w:tcBorders>
          </w:tcPr>
          <w:p w14:paraId="006FFCE2" w14:textId="77777777" w:rsidR="00A10B25" w:rsidRDefault="00A10B25">
            <w:pPr>
              <w:pStyle w:val="TAL"/>
              <w:rPr>
                <w:rFonts w:cs="Arial"/>
                <w:szCs w:val="18"/>
              </w:rPr>
            </w:pPr>
          </w:p>
        </w:tc>
      </w:tr>
      <w:tr w:rsidR="00A10B25" w14:paraId="72A7A768"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6FA61041" w14:textId="77777777" w:rsidR="00A10B25" w:rsidRDefault="00A10B25">
            <w:pPr>
              <w:pStyle w:val="TAL"/>
              <w:rPr>
                <w:lang w:eastAsia="zh-CN"/>
              </w:rPr>
            </w:pPr>
            <w:r>
              <w:rPr>
                <w:lang w:eastAsia="zh-CN"/>
              </w:rPr>
              <w:t>disperCollects</w:t>
            </w:r>
          </w:p>
        </w:tc>
        <w:tc>
          <w:tcPr>
            <w:tcW w:w="1560" w:type="dxa"/>
            <w:tcBorders>
              <w:top w:val="single" w:sz="6" w:space="0" w:color="auto"/>
              <w:left w:val="single" w:sz="6" w:space="0" w:color="auto"/>
              <w:bottom w:val="single" w:sz="6" w:space="0" w:color="auto"/>
              <w:right w:val="single" w:sz="6" w:space="0" w:color="auto"/>
            </w:tcBorders>
          </w:tcPr>
          <w:p w14:paraId="50CA6F18" w14:textId="77777777" w:rsidR="00A10B25" w:rsidRDefault="00A10B25">
            <w:pPr>
              <w:pStyle w:val="TAL"/>
              <w:rPr>
                <w:lang w:eastAsia="zh-CN"/>
              </w:rPr>
            </w:pPr>
            <w:r>
              <w:rPr>
                <w:lang w:eastAsia="zh-CN"/>
              </w:rPr>
              <w:t>array(DispersionCollection)</w:t>
            </w:r>
          </w:p>
        </w:tc>
        <w:tc>
          <w:tcPr>
            <w:tcW w:w="425" w:type="dxa"/>
            <w:tcBorders>
              <w:top w:val="single" w:sz="6" w:space="0" w:color="auto"/>
              <w:left w:val="single" w:sz="6" w:space="0" w:color="auto"/>
              <w:bottom w:val="single" w:sz="6" w:space="0" w:color="auto"/>
              <w:right w:val="single" w:sz="6" w:space="0" w:color="auto"/>
            </w:tcBorders>
          </w:tcPr>
          <w:p w14:paraId="0114D1B3"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6BD7BAC" w14:textId="77777777" w:rsidR="00A10B25" w:rsidRDefault="00A10B25">
            <w:pPr>
              <w:pStyle w:val="TAL"/>
            </w:pPr>
            <w:r>
              <w:t>1..N</w:t>
            </w:r>
          </w:p>
        </w:tc>
        <w:tc>
          <w:tcPr>
            <w:tcW w:w="2857" w:type="dxa"/>
            <w:tcBorders>
              <w:top w:val="single" w:sz="6" w:space="0" w:color="auto"/>
              <w:left w:val="single" w:sz="6" w:space="0" w:color="auto"/>
              <w:bottom w:val="single" w:sz="6" w:space="0" w:color="auto"/>
              <w:right w:val="single" w:sz="6" w:space="0" w:color="auto"/>
            </w:tcBorders>
          </w:tcPr>
          <w:p w14:paraId="7E3E3F70" w14:textId="77777777" w:rsidR="00A10B25" w:rsidRDefault="00A10B25">
            <w:pPr>
              <w:pStyle w:val="TAL"/>
              <w:rPr>
                <w:rFonts w:cs="Arial"/>
                <w:szCs w:val="18"/>
              </w:rPr>
            </w:pPr>
            <w:r>
              <w:rPr>
                <w:rFonts w:cs="Arial"/>
                <w:szCs w:val="18"/>
              </w:rPr>
              <w:t>Dispersion collections on UE location(s) and/or slice(s).</w:t>
            </w:r>
          </w:p>
        </w:tc>
        <w:tc>
          <w:tcPr>
            <w:tcW w:w="1844" w:type="dxa"/>
            <w:tcBorders>
              <w:top w:val="single" w:sz="6" w:space="0" w:color="auto"/>
              <w:left w:val="single" w:sz="6" w:space="0" w:color="auto"/>
              <w:bottom w:val="single" w:sz="6" w:space="0" w:color="auto"/>
              <w:right w:val="single" w:sz="6" w:space="0" w:color="auto"/>
            </w:tcBorders>
          </w:tcPr>
          <w:p w14:paraId="35149BBE" w14:textId="77777777" w:rsidR="00A10B25" w:rsidRDefault="00A10B25">
            <w:pPr>
              <w:pStyle w:val="TAL"/>
              <w:rPr>
                <w:rFonts w:cs="Arial"/>
                <w:szCs w:val="18"/>
              </w:rPr>
            </w:pPr>
          </w:p>
        </w:tc>
      </w:tr>
      <w:tr w:rsidR="00A10B25" w14:paraId="02ABA3D9"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4CE2364" w14:textId="77777777" w:rsidR="00A10B25" w:rsidRDefault="00A10B25">
            <w:pPr>
              <w:pStyle w:val="TAL"/>
              <w:rPr>
                <w:lang w:eastAsia="zh-CN"/>
              </w:rPr>
            </w:pPr>
            <w:r>
              <w:rPr>
                <w:lang w:eastAsia="zh-CN"/>
              </w:rPr>
              <w:t>disperType</w:t>
            </w:r>
          </w:p>
        </w:tc>
        <w:tc>
          <w:tcPr>
            <w:tcW w:w="1560" w:type="dxa"/>
            <w:tcBorders>
              <w:top w:val="single" w:sz="6" w:space="0" w:color="auto"/>
              <w:left w:val="single" w:sz="6" w:space="0" w:color="auto"/>
              <w:bottom w:val="single" w:sz="6" w:space="0" w:color="auto"/>
              <w:right w:val="single" w:sz="6" w:space="0" w:color="auto"/>
            </w:tcBorders>
          </w:tcPr>
          <w:p w14:paraId="1330684E" w14:textId="77777777" w:rsidR="00A10B25" w:rsidRDefault="00A10B25">
            <w:pPr>
              <w:pStyle w:val="TAL"/>
              <w:rPr>
                <w:lang w:eastAsia="zh-CN"/>
              </w:rPr>
            </w:pPr>
            <w:r>
              <w:rPr>
                <w:lang w:eastAsia="zh-CN"/>
              </w:rPr>
              <w:t>DispersionType</w:t>
            </w:r>
          </w:p>
        </w:tc>
        <w:tc>
          <w:tcPr>
            <w:tcW w:w="425" w:type="dxa"/>
            <w:tcBorders>
              <w:top w:val="single" w:sz="6" w:space="0" w:color="auto"/>
              <w:left w:val="single" w:sz="6" w:space="0" w:color="auto"/>
              <w:bottom w:val="single" w:sz="6" w:space="0" w:color="auto"/>
              <w:right w:val="single" w:sz="6" w:space="0" w:color="auto"/>
            </w:tcBorders>
          </w:tcPr>
          <w:p w14:paraId="431E3BEC"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9EDA06D"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2C3071AE" w14:textId="77777777" w:rsidR="00A10B25" w:rsidRDefault="00A10B25">
            <w:pPr>
              <w:pStyle w:val="TAL"/>
              <w:rPr>
                <w:rFonts w:cs="Arial"/>
                <w:szCs w:val="18"/>
              </w:rPr>
            </w:pPr>
            <w:r>
              <w:rPr>
                <w:rFonts w:cs="Arial"/>
                <w:szCs w:val="18"/>
              </w:rPr>
              <w:t>Indicates the dispersion type. Only applicable to DVDA or TDA value.</w:t>
            </w:r>
          </w:p>
        </w:tc>
        <w:tc>
          <w:tcPr>
            <w:tcW w:w="1844" w:type="dxa"/>
            <w:tcBorders>
              <w:top w:val="single" w:sz="6" w:space="0" w:color="auto"/>
              <w:left w:val="single" w:sz="6" w:space="0" w:color="auto"/>
              <w:bottom w:val="single" w:sz="6" w:space="0" w:color="auto"/>
              <w:right w:val="single" w:sz="6" w:space="0" w:color="auto"/>
            </w:tcBorders>
          </w:tcPr>
          <w:p w14:paraId="5985F242" w14:textId="77777777" w:rsidR="00A10B25" w:rsidRDefault="00A10B25">
            <w:pPr>
              <w:pStyle w:val="TAL"/>
              <w:rPr>
                <w:rFonts w:cs="Arial"/>
                <w:szCs w:val="18"/>
              </w:rPr>
            </w:pPr>
          </w:p>
        </w:tc>
      </w:tr>
      <w:tr w:rsidR="00A10B25" w14:paraId="1EDBB0C5"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0DB97575" w14:textId="77777777" w:rsidR="00A10B25" w:rsidRDefault="00A10B25">
            <w:pPr>
              <w:pStyle w:val="TAN"/>
            </w:pPr>
            <w:r>
              <w:t>NOTE:</w:t>
            </w:r>
            <w:r>
              <w:tab/>
              <w:t>If the "temporalGranSize" attribute is provided in the request, the duration indicated by the "</w:t>
            </w:r>
            <w:r>
              <w:rPr>
                <w:lang w:eastAsia="zh-CN"/>
              </w:rPr>
              <w:t>tsDuration</w:t>
            </w:r>
            <w:r>
              <w:t xml:space="preserve">" attribute </w:t>
            </w:r>
            <w:r>
              <w:rPr>
                <w:rFonts w:cs="Arial"/>
                <w:szCs w:val="18"/>
                <w:lang w:eastAsia="zh-CN"/>
              </w:rPr>
              <w:t>shall be</w:t>
            </w:r>
            <w:r>
              <w:t xml:space="preserve"> greater than or equal to the value of the "temporalGranSize" attribute.</w:t>
            </w:r>
          </w:p>
        </w:tc>
      </w:tr>
    </w:tbl>
    <w:p w14:paraId="6D1946F0" w14:textId="77777777" w:rsidR="00A10B25" w:rsidRDefault="00A10B25">
      <w:pPr>
        <w:rPr>
          <w:lang w:val="en-US"/>
        </w:rPr>
      </w:pPr>
    </w:p>
    <w:p w14:paraId="7DC34910" w14:textId="77777777" w:rsidR="00A10B25" w:rsidRDefault="00A10B25">
      <w:pPr>
        <w:pStyle w:val="5"/>
      </w:pPr>
      <w:bookmarkStart w:id="7386" w:name="_Toc148522648"/>
      <w:bookmarkStart w:id="7387" w:name="_Toc145705744"/>
      <w:bookmarkStart w:id="7388" w:name="_Toc164920828"/>
      <w:bookmarkStart w:id="7389" w:name="_Toc170120370"/>
      <w:bookmarkStart w:id="7390" w:name="_Toc175858615"/>
      <w:bookmarkStart w:id="7391" w:name="_Toc175859688"/>
      <w:bookmarkStart w:id="7392" w:name="_Toc180605978"/>
      <w:bookmarkStart w:id="7393" w:name="_Toc185517232"/>
      <w:bookmarkStart w:id="7394" w:name="_Toc191576283"/>
      <w:bookmarkStart w:id="7395" w:name="_Toc191577023"/>
      <w:bookmarkStart w:id="7396" w:name="_Toc192880093"/>
      <w:bookmarkStart w:id="7397" w:name="_Toc195814976"/>
      <w:bookmarkStart w:id="7398" w:name="_Toc199452943"/>
      <w:r>
        <w:lastRenderedPageBreak/>
        <w:t>5.1.6.2.54</w:t>
      </w:r>
      <w:r>
        <w:tab/>
        <w:t>Type DispersionCollection</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47D6EFF6" w14:textId="77777777" w:rsidR="00A10B25" w:rsidRDefault="00A10B25">
      <w:pPr>
        <w:pStyle w:val="TH"/>
      </w:pPr>
      <w:r>
        <w:t>Table 5.1.6.2.54-1: Definition of type DispersionCollection</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0C3705D1" w14:textId="77777777">
        <w:trPr>
          <w:jc w:val="center"/>
        </w:trPr>
        <w:tc>
          <w:tcPr>
            <w:tcW w:w="1750" w:type="dxa"/>
            <w:shd w:val="clear" w:color="auto" w:fill="C0C0C0"/>
          </w:tcPr>
          <w:p w14:paraId="1BC081AB" w14:textId="77777777" w:rsidR="00A10B25" w:rsidRDefault="00A10B25">
            <w:pPr>
              <w:pStyle w:val="TAH"/>
            </w:pPr>
            <w:r>
              <w:lastRenderedPageBreak/>
              <w:t>Attribute name</w:t>
            </w:r>
          </w:p>
        </w:tc>
        <w:tc>
          <w:tcPr>
            <w:tcW w:w="1560" w:type="dxa"/>
            <w:shd w:val="clear" w:color="auto" w:fill="C0C0C0"/>
          </w:tcPr>
          <w:p w14:paraId="433B33AB" w14:textId="77777777" w:rsidR="00A10B25" w:rsidRDefault="00A10B25">
            <w:pPr>
              <w:pStyle w:val="TAH"/>
            </w:pPr>
            <w:r>
              <w:t>Data type</w:t>
            </w:r>
          </w:p>
        </w:tc>
        <w:tc>
          <w:tcPr>
            <w:tcW w:w="425" w:type="dxa"/>
            <w:shd w:val="clear" w:color="auto" w:fill="C0C0C0"/>
          </w:tcPr>
          <w:p w14:paraId="513A09F3" w14:textId="77777777" w:rsidR="00A10B25" w:rsidRDefault="00A10B25">
            <w:pPr>
              <w:pStyle w:val="TAH"/>
            </w:pPr>
            <w:r>
              <w:t>P</w:t>
            </w:r>
          </w:p>
        </w:tc>
        <w:tc>
          <w:tcPr>
            <w:tcW w:w="1134" w:type="dxa"/>
            <w:shd w:val="clear" w:color="auto" w:fill="C0C0C0"/>
          </w:tcPr>
          <w:p w14:paraId="3A9C9F85" w14:textId="77777777" w:rsidR="00A10B25" w:rsidRDefault="00A10B25">
            <w:pPr>
              <w:pStyle w:val="TAH"/>
            </w:pPr>
            <w:r>
              <w:t>Cardinality</w:t>
            </w:r>
          </w:p>
        </w:tc>
        <w:tc>
          <w:tcPr>
            <w:tcW w:w="2857" w:type="dxa"/>
            <w:shd w:val="clear" w:color="auto" w:fill="C0C0C0"/>
          </w:tcPr>
          <w:p w14:paraId="25A08EE7" w14:textId="77777777" w:rsidR="00A10B25" w:rsidRDefault="00A10B25">
            <w:pPr>
              <w:pStyle w:val="TAH"/>
            </w:pPr>
            <w:r>
              <w:t>Description</w:t>
            </w:r>
          </w:p>
        </w:tc>
        <w:tc>
          <w:tcPr>
            <w:tcW w:w="1844" w:type="dxa"/>
            <w:shd w:val="clear" w:color="auto" w:fill="C0C0C0"/>
          </w:tcPr>
          <w:p w14:paraId="1B9708BD" w14:textId="77777777" w:rsidR="00A10B25" w:rsidRDefault="00A10B25">
            <w:pPr>
              <w:pStyle w:val="TAH"/>
            </w:pPr>
            <w:r>
              <w:t>Applicability</w:t>
            </w:r>
          </w:p>
        </w:tc>
      </w:tr>
      <w:tr w:rsidR="00A10B25" w14:paraId="101140BE" w14:textId="77777777">
        <w:trPr>
          <w:jc w:val="center"/>
        </w:trPr>
        <w:tc>
          <w:tcPr>
            <w:tcW w:w="1750" w:type="dxa"/>
          </w:tcPr>
          <w:p w14:paraId="35E6DD85" w14:textId="77777777" w:rsidR="00A10B25" w:rsidRDefault="00A10B25">
            <w:pPr>
              <w:pStyle w:val="TAL"/>
              <w:rPr>
                <w:lang w:eastAsia="zh-CN"/>
              </w:rPr>
            </w:pPr>
            <w:r>
              <w:rPr>
                <w:lang w:eastAsia="zh-CN"/>
              </w:rPr>
              <w:t>ueLoc</w:t>
            </w:r>
          </w:p>
        </w:tc>
        <w:tc>
          <w:tcPr>
            <w:tcW w:w="1560" w:type="dxa"/>
          </w:tcPr>
          <w:p w14:paraId="74CD12CD" w14:textId="77777777" w:rsidR="00A10B25" w:rsidRDefault="00A10B25">
            <w:pPr>
              <w:pStyle w:val="TAL"/>
              <w:rPr>
                <w:lang w:eastAsia="zh-CN"/>
              </w:rPr>
            </w:pPr>
            <w:r>
              <w:rPr>
                <w:lang w:eastAsia="zh-CN"/>
              </w:rPr>
              <w:t>UserLocation</w:t>
            </w:r>
          </w:p>
        </w:tc>
        <w:tc>
          <w:tcPr>
            <w:tcW w:w="425" w:type="dxa"/>
          </w:tcPr>
          <w:p w14:paraId="7A573A5B" w14:textId="77777777" w:rsidR="00A10B25" w:rsidRDefault="00A10B25">
            <w:pPr>
              <w:pStyle w:val="TAC"/>
            </w:pPr>
            <w:r>
              <w:t>C</w:t>
            </w:r>
          </w:p>
        </w:tc>
        <w:tc>
          <w:tcPr>
            <w:tcW w:w="1134" w:type="dxa"/>
          </w:tcPr>
          <w:p w14:paraId="7F66A6DF" w14:textId="77777777" w:rsidR="00A10B25" w:rsidRDefault="00A10B25">
            <w:pPr>
              <w:pStyle w:val="TAL"/>
            </w:pPr>
            <w:r>
              <w:t>0..1</w:t>
            </w:r>
          </w:p>
        </w:tc>
        <w:tc>
          <w:tcPr>
            <w:tcW w:w="2857" w:type="dxa"/>
          </w:tcPr>
          <w:p w14:paraId="201CB5EB" w14:textId="77777777" w:rsidR="00A10B25" w:rsidRDefault="00A10B25">
            <w:pPr>
              <w:pStyle w:val="TAL"/>
              <w:rPr>
                <w:rFonts w:cs="Arial"/>
                <w:szCs w:val="18"/>
              </w:rPr>
            </w:pPr>
            <w:r>
              <w:rPr>
                <w:rFonts w:cs="Arial"/>
                <w:szCs w:val="18"/>
              </w:rPr>
              <w:t xml:space="preserve">TA or cells where the UE or group of UEs dispersed its transactions and/or data. Shall be present if "networkArea" attribute is included in the event subscription </w:t>
            </w:r>
            <w:r>
              <w:t xml:space="preserve">or analytics </w:t>
            </w:r>
            <w:r>
              <w:rPr>
                <w:rFonts w:cs="Arial"/>
                <w:szCs w:val="18"/>
              </w:rPr>
              <w:t>request. (NOTE 1)</w:t>
            </w:r>
          </w:p>
        </w:tc>
        <w:tc>
          <w:tcPr>
            <w:tcW w:w="1844" w:type="dxa"/>
          </w:tcPr>
          <w:p w14:paraId="087BCA6C" w14:textId="77777777" w:rsidR="00A10B25" w:rsidRDefault="00A10B25">
            <w:pPr>
              <w:pStyle w:val="TAL"/>
              <w:rPr>
                <w:rFonts w:cs="Arial"/>
                <w:szCs w:val="18"/>
              </w:rPr>
            </w:pPr>
          </w:p>
        </w:tc>
      </w:tr>
      <w:tr w:rsidR="00A10B25" w14:paraId="3093B479" w14:textId="77777777">
        <w:trPr>
          <w:jc w:val="center"/>
        </w:trPr>
        <w:tc>
          <w:tcPr>
            <w:tcW w:w="1750" w:type="dxa"/>
          </w:tcPr>
          <w:p w14:paraId="00ED72A6" w14:textId="77777777" w:rsidR="00A10B25" w:rsidRDefault="00A10B25">
            <w:pPr>
              <w:pStyle w:val="TAL"/>
              <w:rPr>
                <w:lang w:eastAsia="zh-CN"/>
              </w:rPr>
            </w:pPr>
            <w:r>
              <w:rPr>
                <w:lang w:eastAsia="zh-CN"/>
              </w:rPr>
              <w:t>snssai</w:t>
            </w:r>
          </w:p>
        </w:tc>
        <w:tc>
          <w:tcPr>
            <w:tcW w:w="1560" w:type="dxa"/>
          </w:tcPr>
          <w:p w14:paraId="3053F192" w14:textId="77777777" w:rsidR="00A10B25" w:rsidRDefault="00A10B25">
            <w:pPr>
              <w:pStyle w:val="TAL"/>
              <w:rPr>
                <w:lang w:eastAsia="zh-CN"/>
              </w:rPr>
            </w:pPr>
            <w:r>
              <w:rPr>
                <w:lang w:eastAsia="zh-CN"/>
              </w:rPr>
              <w:t>Snssai</w:t>
            </w:r>
          </w:p>
        </w:tc>
        <w:tc>
          <w:tcPr>
            <w:tcW w:w="425" w:type="dxa"/>
          </w:tcPr>
          <w:p w14:paraId="1F672869" w14:textId="77777777" w:rsidR="00A10B25" w:rsidRDefault="00A10B25">
            <w:pPr>
              <w:pStyle w:val="TAC"/>
            </w:pPr>
            <w:r>
              <w:t>C</w:t>
            </w:r>
          </w:p>
        </w:tc>
        <w:tc>
          <w:tcPr>
            <w:tcW w:w="1134" w:type="dxa"/>
          </w:tcPr>
          <w:p w14:paraId="5386163A" w14:textId="77777777" w:rsidR="00A10B25" w:rsidRDefault="00A10B25">
            <w:pPr>
              <w:pStyle w:val="TAL"/>
            </w:pPr>
            <w:r>
              <w:t>0..1</w:t>
            </w:r>
          </w:p>
        </w:tc>
        <w:tc>
          <w:tcPr>
            <w:tcW w:w="2857" w:type="dxa"/>
          </w:tcPr>
          <w:p w14:paraId="5A0F9B9A" w14:textId="77777777" w:rsidR="00A10B25" w:rsidRDefault="00A10B25">
            <w:pPr>
              <w:pStyle w:val="TAL"/>
              <w:rPr>
                <w:rFonts w:cs="Arial"/>
                <w:szCs w:val="18"/>
              </w:rPr>
            </w:pPr>
            <w:r>
              <w:rPr>
                <w:rFonts w:cs="Arial"/>
                <w:szCs w:val="18"/>
              </w:rPr>
              <w:t xml:space="preserve">Slice where the UE or group of UEs disperse its transactions and/or data. Shall be present if "snssais" attribute is included in the event subscription </w:t>
            </w:r>
            <w:r>
              <w:t>or analytics</w:t>
            </w:r>
            <w:r>
              <w:rPr>
                <w:rFonts w:cs="Arial"/>
                <w:szCs w:val="18"/>
              </w:rPr>
              <w:t xml:space="preserve"> request. (NOTE 1)</w:t>
            </w:r>
          </w:p>
        </w:tc>
        <w:tc>
          <w:tcPr>
            <w:tcW w:w="1844" w:type="dxa"/>
          </w:tcPr>
          <w:p w14:paraId="23D15417" w14:textId="77777777" w:rsidR="00A10B25" w:rsidRDefault="00A10B25">
            <w:pPr>
              <w:pStyle w:val="TAL"/>
              <w:rPr>
                <w:rFonts w:cs="Arial"/>
                <w:szCs w:val="18"/>
              </w:rPr>
            </w:pPr>
          </w:p>
        </w:tc>
      </w:tr>
      <w:tr w:rsidR="00A10B25" w14:paraId="7FF10BCB" w14:textId="77777777">
        <w:trPr>
          <w:jc w:val="center"/>
        </w:trPr>
        <w:tc>
          <w:tcPr>
            <w:tcW w:w="1750" w:type="dxa"/>
          </w:tcPr>
          <w:p w14:paraId="2D7F4FB0" w14:textId="77777777" w:rsidR="00A10B25" w:rsidRDefault="00A10B25">
            <w:pPr>
              <w:pStyle w:val="TAL"/>
              <w:rPr>
                <w:lang w:eastAsia="zh-CN"/>
              </w:rPr>
            </w:pPr>
            <w:r>
              <w:rPr>
                <w:lang w:eastAsia="zh-CN"/>
              </w:rPr>
              <w:t>supis</w:t>
            </w:r>
          </w:p>
        </w:tc>
        <w:tc>
          <w:tcPr>
            <w:tcW w:w="1560" w:type="dxa"/>
          </w:tcPr>
          <w:p w14:paraId="0820E297" w14:textId="77777777" w:rsidR="00A10B25" w:rsidRDefault="00A10B25">
            <w:pPr>
              <w:pStyle w:val="TAL"/>
              <w:rPr>
                <w:lang w:eastAsia="zh-CN"/>
              </w:rPr>
            </w:pPr>
            <w:r>
              <w:rPr>
                <w:lang w:eastAsia="zh-CN"/>
              </w:rPr>
              <w:t>array(Supi)</w:t>
            </w:r>
          </w:p>
        </w:tc>
        <w:tc>
          <w:tcPr>
            <w:tcW w:w="425" w:type="dxa"/>
          </w:tcPr>
          <w:p w14:paraId="70A1718D" w14:textId="77777777" w:rsidR="00A10B25" w:rsidRDefault="00A10B25">
            <w:pPr>
              <w:pStyle w:val="TAC"/>
            </w:pPr>
            <w:r>
              <w:t>C</w:t>
            </w:r>
          </w:p>
        </w:tc>
        <w:tc>
          <w:tcPr>
            <w:tcW w:w="1134" w:type="dxa"/>
          </w:tcPr>
          <w:p w14:paraId="7C8E1EFD" w14:textId="77777777" w:rsidR="00A10B25" w:rsidRDefault="00A10B25">
            <w:pPr>
              <w:pStyle w:val="TAL"/>
            </w:pPr>
            <w:r>
              <w:t>1..N</w:t>
            </w:r>
          </w:p>
        </w:tc>
        <w:tc>
          <w:tcPr>
            <w:tcW w:w="2857" w:type="dxa"/>
          </w:tcPr>
          <w:p w14:paraId="7347B7FC" w14:textId="77777777" w:rsidR="00A10B25" w:rsidRDefault="00A10B25">
            <w:pPr>
              <w:pStyle w:val="TAL"/>
              <w:rPr>
                <w:rFonts w:cs="Arial"/>
                <w:szCs w:val="18"/>
              </w:rPr>
            </w:pPr>
            <w:r>
              <w:rPr>
                <w:rFonts w:cs="Arial"/>
                <w:szCs w:val="18"/>
              </w:rPr>
              <w:t xml:space="preserve">Each element identifies a SUPI of an UE. </w:t>
            </w:r>
            <w:r>
              <w:rPr>
                <w:rFonts w:eastAsia="Times New Roman" w:cs="Arial"/>
                <w:szCs w:val="18"/>
              </w:rPr>
              <w:t xml:space="preserve">May only be present if reporting inside 5GC and the event subscription </w:t>
            </w:r>
            <w:r>
              <w:t xml:space="preserve">or analytics </w:t>
            </w:r>
            <w:r>
              <w:rPr>
                <w:rFonts w:eastAsia="Times New Roman" w:cs="Arial"/>
                <w:szCs w:val="18"/>
              </w:rPr>
              <w:t>request applies to more than one UE. (NOTE 2)</w:t>
            </w:r>
          </w:p>
        </w:tc>
        <w:tc>
          <w:tcPr>
            <w:tcW w:w="1844" w:type="dxa"/>
          </w:tcPr>
          <w:p w14:paraId="216A23ED" w14:textId="77777777" w:rsidR="00A10B25" w:rsidRDefault="00A10B25">
            <w:pPr>
              <w:pStyle w:val="TAL"/>
              <w:rPr>
                <w:rFonts w:cs="Arial"/>
                <w:szCs w:val="18"/>
              </w:rPr>
            </w:pPr>
          </w:p>
        </w:tc>
      </w:tr>
      <w:tr w:rsidR="00A10B25" w14:paraId="0B36FA30" w14:textId="77777777">
        <w:trPr>
          <w:jc w:val="center"/>
        </w:trPr>
        <w:tc>
          <w:tcPr>
            <w:tcW w:w="1750" w:type="dxa"/>
          </w:tcPr>
          <w:p w14:paraId="5D5E5CA3" w14:textId="77777777" w:rsidR="00A10B25" w:rsidRDefault="00A10B25">
            <w:pPr>
              <w:pStyle w:val="TAL"/>
              <w:rPr>
                <w:lang w:eastAsia="zh-CN"/>
              </w:rPr>
            </w:pPr>
            <w:r>
              <w:rPr>
                <w:lang w:eastAsia="zh-CN"/>
              </w:rPr>
              <w:t>gpsis</w:t>
            </w:r>
          </w:p>
        </w:tc>
        <w:tc>
          <w:tcPr>
            <w:tcW w:w="1560" w:type="dxa"/>
          </w:tcPr>
          <w:p w14:paraId="0814B6A7" w14:textId="77777777" w:rsidR="00A10B25" w:rsidRDefault="00A10B25">
            <w:pPr>
              <w:pStyle w:val="TAL"/>
              <w:rPr>
                <w:lang w:eastAsia="zh-CN"/>
              </w:rPr>
            </w:pPr>
            <w:r>
              <w:rPr>
                <w:lang w:eastAsia="zh-CN"/>
              </w:rPr>
              <w:t>array(Gpsi)</w:t>
            </w:r>
          </w:p>
        </w:tc>
        <w:tc>
          <w:tcPr>
            <w:tcW w:w="425" w:type="dxa"/>
          </w:tcPr>
          <w:p w14:paraId="1DAFEB8D" w14:textId="77777777" w:rsidR="00A10B25" w:rsidRDefault="00A10B25">
            <w:pPr>
              <w:pStyle w:val="TAC"/>
            </w:pPr>
            <w:r>
              <w:t>C</w:t>
            </w:r>
          </w:p>
        </w:tc>
        <w:tc>
          <w:tcPr>
            <w:tcW w:w="1134" w:type="dxa"/>
          </w:tcPr>
          <w:p w14:paraId="00EC539F" w14:textId="77777777" w:rsidR="00A10B25" w:rsidRDefault="00A10B25">
            <w:pPr>
              <w:pStyle w:val="TAL"/>
            </w:pPr>
            <w:r>
              <w:t>1..N</w:t>
            </w:r>
          </w:p>
        </w:tc>
        <w:tc>
          <w:tcPr>
            <w:tcW w:w="2857" w:type="dxa"/>
          </w:tcPr>
          <w:p w14:paraId="0550B49C" w14:textId="77777777" w:rsidR="00A10B25" w:rsidRDefault="00A10B25">
            <w:pPr>
              <w:pStyle w:val="TAL"/>
              <w:rPr>
                <w:rFonts w:cs="Arial"/>
                <w:szCs w:val="18"/>
              </w:rPr>
            </w:pPr>
            <w:r>
              <w:rPr>
                <w:rFonts w:cs="Arial"/>
                <w:szCs w:val="18"/>
              </w:rPr>
              <w:t xml:space="preserve">Each element identifies a GPSI of an UE. </w:t>
            </w:r>
          </w:p>
          <w:p w14:paraId="042D80D8" w14:textId="77777777" w:rsidR="00A10B25" w:rsidRDefault="00A10B25">
            <w:pPr>
              <w:pStyle w:val="TAL"/>
              <w:rPr>
                <w:rFonts w:cs="Arial"/>
                <w:szCs w:val="18"/>
              </w:rPr>
            </w:pPr>
            <w:r>
              <w:rPr>
                <w:rFonts w:cs="Arial"/>
                <w:szCs w:val="18"/>
              </w:rPr>
              <w:t xml:space="preserve">May only be present if reused by the Nnef_AnalyticsExposure service reporting to external AF and the event subscription </w:t>
            </w:r>
            <w:r>
              <w:t xml:space="preserve">or analytics </w:t>
            </w:r>
            <w:r>
              <w:rPr>
                <w:rFonts w:cs="Arial"/>
                <w:szCs w:val="18"/>
              </w:rPr>
              <w:t>request applies to more than one UE.</w:t>
            </w:r>
            <w:r>
              <w:rPr>
                <w:rFonts w:eastAsia="Times New Roman" w:cs="Arial"/>
                <w:szCs w:val="18"/>
              </w:rPr>
              <w:t xml:space="preserve"> (NOTE 2)</w:t>
            </w:r>
          </w:p>
        </w:tc>
        <w:tc>
          <w:tcPr>
            <w:tcW w:w="1844" w:type="dxa"/>
          </w:tcPr>
          <w:p w14:paraId="60B497F8" w14:textId="77777777" w:rsidR="00A10B25" w:rsidRDefault="00A10B25">
            <w:pPr>
              <w:pStyle w:val="TAL"/>
              <w:rPr>
                <w:rFonts w:cs="Arial"/>
                <w:szCs w:val="18"/>
              </w:rPr>
            </w:pPr>
          </w:p>
        </w:tc>
      </w:tr>
      <w:tr w:rsidR="00A10B25" w14:paraId="25455DDD" w14:textId="77777777">
        <w:trPr>
          <w:jc w:val="center"/>
        </w:trPr>
        <w:tc>
          <w:tcPr>
            <w:tcW w:w="1750" w:type="dxa"/>
          </w:tcPr>
          <w:p w14:paraId="5728B377" w14:textId="77777777" w:rsidR="00A10B25" w:rsidRDefault="00A10B25">
            <w:pPr>
              <w:pStyle w:val="TAL"/>
              <w:rPr>
                <w:lang w:eastAsia="zh-CN"/>
              </w:rPr>
            </w:pPr>
            <w:bookmarkStart w:id="7399" w:name="_Hlk93496975"/>
            <w:r>
              <w:rPr>
                <w:lang w:eastAsia="zh-CN"/>
              </w:rPr>
              <w:t>appVolumes</w:t>
            </w:r>
          </w:p>
        </w:tc>
        <w:tc>
          <w:tcPr>
            <w:tcW w:w="1560" w:type="dxa"/>
          </w:tcPr>
          <w:p w14:paraId="4F79C6A1" w14:textId="77777777" w:rsidR="00A10B25" w:rsidRDefault="00A10B25">
            <w:pPr>
              <w:pStyle w:val="TAL"/>
              <w:rPr>
                <w:lang w:eastAsia="zh-CN"/>
              </w:rPr>
            </w:pPr>
            <w:r>
              <w:rPr>
                <w:lang w:eastAsia="zh-CN"/>
              </w:rPr>
              <w:t>array(ApplicationVolume)</w:t>
            </w:r>
          </w:p>
        </w:tc>
        <w:tc>
          <w:tcPr>
            <w:tcW w:w="425" w:type="dxa"/>
          </w:tcPr>
          <w:p w14:paraId="0DC5E5A2" w14:textId="77777777" w:rsidR="00A10B25" w:rsidRDefault="00A10B25">
            <w:pPr>
              <w:pStyle w:val="TAC"/>
            </w:pPr>
            <w:r>
              <w:t>O</w:t>
            </w:r>
          </w:p>
        </w:tc>
        <w:tc>
          <w:tcPr>
            <w:tcW w:w="1134" w:type="dxa"/>
          </w:tcPr>
          <w:p w14:paraId="7C0734D7" w14:textId="77777777" w:rsidR="00A10B25" w:rsidRDefault="00A10B25">
            <w:pPr>
              <w:pStyle w:val="TAL"/>
            </w:pPr>
            <w:r>
              <w:t>1..N</w:t>
            </w:r>
          </w:p>
        </w:tc>
        <w:tc>
          <w:tcPr>
            <w:tcW w:w="2857" w:type="dxa"/>
          </w:tcPr>
          <w:p w14:paraId="3B8316C4" w14:textId="77777777" w:rsidR="00A10B25" w:rsidRDefault="00A10B25">
            <w:pPr>
              <w:pStyle w:val="TAL"/>
              <w:rPr>
                <w:rFonts w:cs="Arial"/>
                <w:szCs w:val="18"/>
              </w:rPr>
            </w:pPr>
            <w:r>
              <w:rPr>
                <w:rFonts w:cs="Arial"/>
                <w:szCs w:val="18"/>
              </w:rPr>
              <w:t xml:space="preserve">Application data volumes. May be present if "appIds" attribute is included in the event subscription </w:t>
            </w:r>
            <w:r>
              <w:t xml:space="preserve">or analytics </w:t>
            </w:r>
            <w:r>
              <w:rPr>
                <w:rFonts w:cs="Arial"/>
                <w:szCs w:val="18"/>
              </w:rPr>
              <w:t>request (</w:t>
            </w:r>
            <w:r>
              <w:rPr>
                <w:rFonts w:eastAsia="Times New Roman" w:cs="Arial"/>
                <w:szCs w:val="18"/>
              </w:rPr>
              <w:t>NOTE 6).</w:t>
            </w:r>
          </w:p>
        </w:tc>
        <w:tc>
          <w:tcPr>
            <w:tcW w:w="1844" w:type="dxa"/>
          </w:tcPr>
          <w:p w14:paraId="2F0D1E04" w14:textId="77777777" w:rsidR="00A10B25" w:rsidRDefault="00A10B25">
            <w:pPr>
              <w:pStyle w:val="TAL"/>
              <w:rPr>
                <w:rFonts w:cs="Arial"/>
                <w:szCs w:val="18"/>
              </w:rPr>
            </w:pPr>
          </w:p>
        </w:tc>
      </w:tr>
      <w:bookmarkEnd w:id="7399"/>
      <w:tr w:rsidR="00A10B25" w14:paraId="61017C12" w14:textId="77777777">
        <w:trPr>
          <w:jc w:val="center"/>
        </w:trPr>
        <w:tc>
          <w:tcPr>
            <w:tcW w:w="1750" w:type="dxa"/>
          </w:tcPr>
          <w:p w14:paraId="712EBC07" w14:textId="77777777" w:rsidR="00A10B25" w:rsidRDefault="00A10B25">
            <w:pPr>
              <w:pStyle w:val="TAL"/>
              <w:rPr>
                <w:lang w:eastAsia="zh-CN"/>
              </w:rPr>
            </w:pPr>
            <w:r>
              <w:rPr>
                <w:lang w:eastAsia="zh-CN"/>
              </w:rPr>
              <w:t>disperAmount</w:t>
            </w:r>
          </w:p>
        </w:tc>
        <w:tc>
          <w:tcPr>
            <w:tcW w:w="1560" w:type="dxa"/>
          </w:tcPr>
          <w:p w14:paraId="28F04318" w14:textId="77777777" w:rsidR="00A10B25" w:rsidRDefault="00A10B25">
            <w:pPr>
              <w:pStyle w:val="TAL"/>
              <w:rPr>
                <w:lang w:eastAsia="zh-CN"/>
              </w:rPr>
            </w:pPr>
            <w:r>
              <w:rPr>
                <w:lang w:eastAsia="zh-CN"/>
              </w:rPr>
              <w:t>Uinteger</w:t>
            </w:r>
          </w:p>
        </w:tc>
        <w:tc>
          <w:tcPr>
            <w:tcW w:w="425" w:type="dxa"/>
          </w:tcPr>
          <w:p w14:paraId="244AAE96" w14:textId="77777777" w:rsidR="00A10B25" w:rsidRDefault="00A10B25">
            <w:pPr>
              <w:pStyle w:val="TAC"/>
            </w:pPr>
            <w:r>
              <w:t>C</w:t>
            </w:r>
          </w:p>
        </w:tc>
        <w:tc>
          <w:tcPr>
            <w:tcW w:w="1134" w:type="dxa"/>
          </w:tcPr>
          <w:p w14:paraId="6018732D" w14:textId="77777777" w:rsidR="00A10B25" w:rsidRDefault="00A10B25">
            <w:pPr>
              <w:pStyle w:val="TAL"/>
            </w:pPr>
            <w:r>
              <w:t>0..1</w:t>
            </w:r>
          </w:p>
        </w:tc>
        <w:tc>
          <w:tcPr>
            <w:tcW w:w="2857" w:type="dxa"/>
          </w:tcPr>
          <w:p w14:paraId="25077884" w14:textId="77777777" w:rsidR="00A10B25" w:rsidRDefault="00A10B25">
            <w:pPr>
              <w:pStyle w:val="TAL"/>
              <w:rPr>
                <w:rFonts w:eastAsia="Times New Roman" w:cs="Arial"/>
                <w:szCs w:val="18"/>
              </w:rPr>
            </w:pPr>
            <w:r>
              <w:rPr>
                <w:rFonts w:cs="Arial"/>
                <w:szCs w:val="18"/>
              </w:rPr>
              <w:t>Indicates the dispersion amount of the reported data volume or transaction dispersion type.</w:t>
            </w:r>
            <w:r>
              <w:rPr>
                <w:rFonts w:eastAsia="Times New Roman" w:cs="Arial"/>
                <w:szCs w:val="18"/>
              </w:rPr>
              <w:t xml:space="preserve"> </w:t>
            </w:r>
          </w:p>
          <w:p w14:paraId="2AA71A66"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DISPER_AMOUNT</w:t>
            </w:r>
            <w:r>
              <w:t>.</w:t>
            </w:r>
            <w:r>
              <w:rPr>
                <w:rFonts w:eastAsia="Times New Roman" w:cs="Arial"/>
                <w:szCs w:val="18"/>
              </w:rPr>
              <w:t xml:space="preserve"> (NOTE 3)</w:t>
            </w:r>
          </w:p>
        </w:tc>
        <w:tc>
          <w:tcPr>
            <w:tcW w:w="1844" w:type="dxa"/>
          </w:tcPr>
          <w:p w14:paraId="67AC889A" w14:textId="77777777" w:rsidR="00A10B25" w:rsidRDefault="00A10B25">
            <w:pPr>
              <w:pStyle w:val="TAL"/>
              <w:rPr>
                <w:rFonts w:cs="Arial"/>
                <w:szCs w:val="18"/>
              </w:rPr>
            </w:pPr>
          </w:p>
        </w:tc>
      </w:tr>
      <w:tr w:rsidR="00A10B25" w14:paraId="622BB9EF" w14:textId="77777777">
        <w:trPr>
          <w:jc w:val="center"/>
        </w:trPr>
        <w:tc>
          <w:tcPr>
            <w:tcW w:w="1750" w:type="dxa"/>
          </w:tcPr>
          <w:p w14:paraId="1101AF9C" w14:textId="77777777" w:rsidR="00A10B25" w:rsidRDefault="00A10B25">
            <w:pPr>
              <w:pStyle w:val="TAL"/>
              <w:rPr>
                <w:lang w:eastAsia="zh-CN"/>
              </w:rPr>
            </w:pPr>
            <w:r>
              <w:rPr>
                <w:lang w:eastAsia="zh-CN"/>
              </w:rPr>
              <w:t>disperClass</w:t>
            </w:r>
          </w:p>
        </w:tc>
        <w:tc>
          <w:tcPr>
            <w:tcW w:w="1560" w:type="dxa"/>
          </w:tcPr>
          <w:p w14:paraId="08BAAAD3" w14:textId="77777777" w:rsidR="00A10B25" w:rsidRDefault="00A10B25">
            <w:pPr>
              <w:pStyle w:val="TAL"/>
              <w:rPr>
                <w:lang w:eastAsia="zh-CN"/>
              </w:rPr>
            </w:pPr>
            <w:r>
              <w:rPr>
                <w:lang w:eastAsia="zh-CN"/>
              </w:rPr>
              <w:t>DispersionClass</w:t>
            </w:r>
          </w:p>
        </w:tc>
        <w:tc>
          <w:tcPr>
            <w:tcW w:w="425" w:type="dxa"/>
          </w:tcPr>
          <w:p w14:paraId="7C380823" w14:textId="77777777" w:rsidR="00A10B25" w:rsidRDefault="00A10B25">
            <w:pPr>
              <w:pStyle w:val="TAC"/>
            </w:pPr>
            <w:r>
              <w:t>C</w:t>
            </w:r>
          </w:p>
        </w:tc>
        <w:tc>
          <w:tcPr>
            <w:tcW w:w="1134" w:type="dxa"/>
          </w:tcPr>
          <w:p w14:paraId="0C9D1C5B" w14:textId="77777777" w:rsidR="00A10B25" w:rsidRDefault="00A10B25">
            <w:pPr>
              <w:pStyle w:val="TAL"/>
            </w:pPr>
            <w:r>
              <w:t>0..1</w:t>
            </w:r>
          </w:p>
        </w:tc>
        <w:tc>
          <w:tcPr>
            <w:tcW w:w="2857" w:type="dxa"/>
          </w:tcPr>
          <w:p w14:paraId="0255896F" w14:textId="77777777" w:rsidR="00A10B25" w:rsidRDefault="00A10B25">
            <w:pPr>
              <w:pStyle w:val="TAL"/>
              <w:rPr>
                <w:rFonts w:cs="Arial"/>
                <w:szCs w:val="18"/>
              </w:rPr>
            </w:pPr>
            <w:r>
              <w:rPr>
                <w:rFonts w:cs="Arial"/>
                <w:szCs w:val="18"/>
              </w:rPr>
              <w:t xml:space="preserve">Indicates the UE dispersion mobility class: </w:t>
            </w:r>
            <w:r>
              <w:t>fixed, camper, traveller, and/or the top-heavy dispersion class</w:t>
            </w:r>
            <w:r>
              <w:rPr>
                <w:rFonts w:cs="Arial"/>
                <w:szCs w:val="18"/>
              </w:rPr>
              <w:t xml:space="preserve">. </w:t>
            </w:r>
          </w:p>
          <w:p w14:paraId="2686078C"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DISPER_CLASS</w:t>
            </w:r>
            <w:r>
              <w:t>.</w:t>
            </w:r>
            <w:r>
              <w:rPr>
                <w:rFonts w:cs="Arial"/>
                <w:szCs w:val="18"/>
              </w:rPr>
              <w:t xml:space="preserve"> </w:t>
            </w:r>
            <w:r>
              <w:rPr>
                <w:rFonts w:eastAsia="Times New Roman" w:cs="Arial"/>
                <w:szCs w:val="18"/>
              </w:rPr>
              <w:t>(NOTE 3, NOTE 5).</w:t>
            </w:r>
          </w:p>
        </w:tc>
        <w:tc>
          <w:tcPr>
            <w:tcW w:w="1844" w:type="dxa"/>
          </w:tcPr>
          <w:p w14:paraId="7EDC3D61" w14:textId="77777777" w:rsidR="00A10B25" w:rsidRDefault="00A10B25">
            <w:pPr>
              <w:pStyle w:val="TAL"/>
              <w:rPr>
                <w:rFonts w:cs="Arial"/>
                <w:szCs w:val="18"/>
              </w:rPr>
            </w:pPr>
          </w:p>
        </w:tc>
      </w:tr>
      <w:tr w:rsidR="00A10B25" w14:paraId="11B7C633" w14:textId="77777777">
        <w:trPr>
          <w:jc w:val="center"/>
        </w:trPr>
        <w:tc>
          <w:tcPr>
            <w:tcW w:w="1750" w:type="dxa"/>
          </w:tcPr>
          <w:p w14:paraId="4288DDDD" w14:textId="77777777" w:rsidR="00A10B25" w:rsidRDefault="00A10B25">
            <w:pPr>
              <w:pStyle w:val="TAL"/>
              <w:rPr>
                <w:lang w:eastAsia="zh-CN"/>
              </w:rPr>
            </w:pPr>
            <w:r>
              <w:rPr>
                <w:lang w:eastAsia="zh-CN"/>
              </w:rPr>
              <w:t>usageRank</w:t>
            </w:r>
          </w:p>
        </w:tc>
        <w:tc>
          <w:tcPr>
            <w:tcW w:w="1560" w:type="dxa"/>
          </w:tcPr>
          <w:p w14:paraId="17B45189" w14:textId="77777777" w:rsidR="00A10B25" w:rsidRDefault="00A10B25">
            <w:pPr>
              <w:pStyle w:val="TAL"/>
              <w:rPr>
                <w:lang w:eastAsia="zh-CN"/>
              </w:rPr>
            </w:pPr>
            <w:r>
              <w:rPr>
                <w:lang w:eastAsia="zh-CN"/>
              </w:rPr>
              <w:t>integer</w:t>
            </w:r>
          </w:p>
        </w:tc>
        <w:tc>
          <w:tcPr>
            <w:tcW w:w="425" w:type="dxa"/>
          </w:tcPr>
          <w:p w14:paraId="7BA8BDF9" w14:textId="77777777" w:rsidR="00A10B25" w:rsidRDefault="00A10B25">
            <w:pPr>
              <w:pStyle w:val="TAC"/>
            </w:pPr>
            <w:r>
              <w:t>C</w:t>
            </w:r>
          </w:p>
        </w:tc>
        <w:tc>
          <w:tcPr>
            <w:tcW w:w="1134" w:type="dxa"/>
          </w:tcPr>
          <w:p w14:paraId="138CE50F" w14:textId="77777777" w:rsidR="00A10B25" w:rsidRDefault="00A10B25">
            <w:pPr>
              <w:pStyle w:val="TAL"/>
            </w:pPr>
            <w:r>
              <w:t>0..1</w:t>
            </w:r>
          </w:p>
        </w:tc>
        <w:tc>
          <w:tcPr>
            <w:tcW w:w="2857" w:type="dxa"/>
          </w:tcPr>
          <w:p w14:paraId="1F3C1DA2" w14:textId="77777777" w:rsidR="00A10B25" w:rsidRDefault="00A10B25">
            <w:pPr>
              <w:pStyle w:val="TAL"/>
              <w:rPr>
                <w:rFonts w:eastAsia="Times New Roman" w:cs="Arial"/>
                <w:szCs w:val="18"/>
              </w:rPr>
            </w:pPr>
            <w:r>
              <w:rPr>
                <w:rFonts w:cs="Arial"/>
                <w:szCs w:val="18"/>
              </w:rPr>
              <w:t>Usage ranked high (i.e.value 1), medium (2) or low (3).</w:t>
            </w:r>
            <w:r>
              <w:rPr>
                <w:rFonts w:eastAsia="Times New Roman" w:cs="Arial"/>
                <w:szCs w:val="18"/>
              </w:rPr>
              <w:t xml:space="preserve"> </w:t>
            </w:r>
          </w:p>
          <w:p w14:paraId="604997A2"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RANKING</w:t>
            </w:r>
            <w:r>
              <w:t>.</w:t>
            </w:r>
            <w:r>
              <w:rPr>
                <w:rFonts w:eastAsia="Times New Roman" w:cs="Arial"/>
                <w:szCs w:val="18"/>
              </w:rPr>
              <w:t xml:space="preserve"> (NOTE 3, NOTE 6).</w:t>
            </w:r>
          </w:p>
        </w:tc>
        <w:tc>
          <w:tcPr>
            <w:tcW w:w="1844" w:type="dxa"/>
          </w:tcPr>
          <w:p w14:paraId="024AFC25" w14:textId="77777777" w:rsidR="00A10B25" w:rsidRDefault="00A10B25">
            <w:pPr>
              <w:pStyle w:val="TAL"/>
              <w:rPr>
                <w:rFonts w:cs="Arial"/>
                <w:szCs w:val="18"/>
              </w:rPr>
            </w:pPr>
          </w:p>
        </w:tc>
      </w:tr>
      <w:tr w:rsidR="00A10B25" w14:paraId="450304AB" w14:textId="77777777">
        <w:trPr>
          <w:jc w:val="center"/>
        </w:trPr>
        <w:tc>
          <w:tcPr>
            <w:tcW w:w="1750" w:type="dxa"/>
          </w:tcPr>
          <w:p w14:paraId="523B5331" w14:textId="77777777" w:rsidR="00A10B25" w:rsidRDefault="00A10B25">
            <w:pPr>
              <w:pStyle w:val="TAL"/>
              <w:rPr>
                <w:lang w:eastAsia="zh-CN"/>
              </w:rPr>
            </w:pPr>
            <w:r>
              <w:rPr>
                <w:lang w:eastAsia="zh-CN"/>
              </w:rPr>
              <w:t>percentileRank</w:t>
            </w:r>
          </w:p>
        </w:tc>
        <w:tc>
          <w:tcPr>
            <w:tcW w:w="1560" w:type="dxa"/>
          </w:tcPr>
          <w:p w14:paraId="48F36647" w14:textId="77777777" w:rsidR="00A10B25" w:rsidRDefault="00A10B25">
            <w:pPr>
              <w:pStyle w:val="TAL"/>
              <w:rPr>
                <w:lang w:eastAsia="zh-CN"/>
              </w:rPr>
            </w:pPr>
            <w:r>
              <w:rPr>
                <w:lang w:eastAsia="zh-CN"/>
              </w:rPr>
              <w:t>SamplingRatio</w:t>
            </w:r>
          </w:p>
        </w:tc>
        <w:tc>
          <w:tcPr>
            <w:tcW w:w="425" w:type="dxa"/>
          </w:tcPr>
          <w:p w14:paraId="3CA785B7" w14:textId="77777777" w:rsidR="00A10B25" w:rsidRDefault="00A10B25">
            <w:pPr>
              <w:pStyle w:val="TAC"/>
            </w:pPr>
            <w:r>
              <w:t>C</w:t>
            </w:r>
          </w:p>
        </w:tc>
        <w:tc>
          <w:tcPr>
            <w:tcW w:w="1134" w:type="dxa"/>
          </w:tcPr>
          <w:p w14:paraId="01C181BF" w14:textId="77777777" w:rsidR="00A10B25" w:rsidRDefault="00A10B25">
            <w:pPr>
              <w:pStyle w:val="TAL"/>
            </w:pPr>
            <w:r>
              <w:t>0..1</w:t>
            </w:r>
          </w:p>
        </w:tc>
        <w:tc>
          <w:tcPr>
            <w:tcW w:w="2857" w:type="dxa"/>
          </w:tcPr>
          <w:p w14:paraId="779B1BB4" w14:textId="77777777" w:rsidR="00A10B25" w:rsidRDefault="00A10B25">
            <w:pPr>
              <w:pStyle w:val="TAL"/>
              <w:rPr>
                <w:rFonts w:cs="Arial"/>
                <w:szCs w:val="18"/>
              </w:rPr>
            </w:pPr>
            <w:r>
              <w:rPr>
                <w:rFonts w:cs="Arial"/>
                <w:szCs w:val="18"/>
              </w:rPr>
              <w:t>Percentile ranking of the target UE in the Cumulative Distribution Function of data usage for the population of all UEs.</w:t>
            </w:r>
            <w:r>
              <w:rPr>
                <w:rFonts w:eastAsia="Times New Roman" w:cs="Arial"/>
                <w:szCs w:val="18"/>
              </w:rPr>
              <w:t xml:space="preserve"> </w:t>
            </w:r>
          </w:p>
          <w:p w14:paraId="1482C5C0"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PERCENTILE_RANKING</w:t>
            </w:r>
            <w:r>
              <w:t>.</w:t>
            </w:r>
            <w:r>
              <w:rPr>
                <w:rFonts w:eastAsia="Times New Roman" w:cs="Arial"/>
                <w:szCs w:val="18"/>
              </w:rPr>
              <w:t xml:space="preserve"> (NOTE 3, NOTE 6).</w:t>
            </w:r>
          </w:p>
        </w:tc>
        <w:tc>
          <w:tcPr>
            <w:tcW w:w="1844" w:type="dxa"/>
          </w:tcPr>
          <w:p w14:paraId="77E91CCE" w14:textId="77777777" w:rsidR="00A10B25" w:rsidRDefault="00A10B25">
            <w:pPr>
              <w:pStyle w:val="TAL"/>
              <w:rPr>
                <w:rFonts w:cs="Arial"/>
                <w:szCs w:val="18"/>
              </w:rPr>
            </w:pPr>
          </w:p>
        </w:tc>
      </w:tr>
      <w:tr w:rsidR="00A10B25" w14:paraId="720632BE" w14:textId="77777777">
        <w:trPr>
          <w:jc w:val="center"/>
        </w:trPr>
        <w:tc>
          <w:tcPr>
            <w:tcW w:w="1750" w:type="dxa"/>
          </w:tcPr>
          <w:p w14:paraId="1FD6FB73" w14:textId="77777777" w:rsidR="00A10B25" w:rsidRDefault="00A10B25">
            <w:pPr>
              <w:pStyle w:val="TAL"/>
              <w:rPr>
                <w:lang w:eastAsia="zh-CN"/>
              </w:rPr>
            </w:pPr>
            <w:r>
              <w:rPr>
                <w:lang w:eastAsia="zh-CN"/>
              </w:rPr>
              <w:lastRenderedPageBreak/>
              <w:t>ueRatio</w:t>
            </w:r>
          </w:p>
        </w:tc>
        <w:tc>
          <w:tcPr>
            <w:tcW w:w="1560" w:type="dxa"/>
          </w:tcPr>
          <w:p w14:paraId="157930C3" w14:textId="77777777" w:rsidR="00A10B25" w:rsidRDefault="00A10B25">
            <w:pPr>
              <w:pStyle w:val="TAL"/>
              <w:rPr>
                <w:lang w:eastAsia="zh-CN"/>
              </w:rPr>
            </w:pPr>
            <w:r>
              <w:rPr>
                <w:lang w:eastAsia="zh-CN"/>
              </w:rPr>
              <w:t>SamplingRatio</w:t>
            </w:r>
          </w:p>
        </w:tc>
        <w:tc>
          <w:tcPr>
            <w:tcW w:w="425" w:type="dxa"/>
          </w:tcPr>
          <w:p w14:paraId="65507557" w14:textId="77777777" w:rsidR="00A10B25" w:rsidRDefault="00A10B25">
            <w:pPr>
              <w:pStyle w:val="TAC"/>
            </w:pPr>
            <w:r>
              <w:t>C</w:t>
            </w:r>
          </w:p>
        </w:tc>
        <w:tc>
          <w:tcPr>
            <w:tcW w:w="1134" w:type="dxa"/>
          </w:tcPr>
          <w:p w14:paraId="5AB275E7" w14:textId="77777777" w:rsidR="00A10B25" w:rsidRDefault="00A10B25">
            <w:pPr>
              <w:pStyle w:val="TAL"/>
            </w:pPr>
            <w:r>
              <w:t>0..1</w:t>
            </w:r>
          </w:p>
        </w:tc>
        <w:tc>
          <w:tcPr>
            <w:tcW w:w="2857" w:type="dxa"/>
          </w:tcPr>
          <w:p w14:paraId="0B61FCF5" w14:textId="77777777" w:rsidR="00A10B25" w:rsidRDefault="00A10B25">
            <w:pPr>
              <w:pStyle w:val="TAL"/>
              <w:rPr>
                <w:rFonts w:cs="Arial"/>
                <w:szCs w:val="18"/>
              </w:rPr>
            </w:pPr>
            <w:r>
              <w:rPr>
                <w:rFonts w:cs="Arial"/>
                <w:szCs w:val="18"/>
              </w:rPr>
              <w:t>Contains the percentage of UEs with same analytics result in the group or among all UEs.</w:t>
            </w:r>
          </w:p>
          <w:p w14:paraId="4931F4E8" w14:textId="77777777" w:rsidR="00A10B25" w:rsidRDefault="00A10B25">
            <w:pPr>
              <w:pStyle w:val="TAL"/>
              <w:rPr>
                <w:rFonts w:cs="Arial"/>
                <w:szCs w:val="18"/>
              </w:rPr>
            </w:pPr>
            <w:r>
              <w:rPr>
                <w:rFonts w:cs="Arial"/>
                <w:szCs w:val="18"/>
              </w:rPr>
              <w:t>Shall be present if the analytics result applies for a group of UEs or any UE.</w:t>
            </w:r>
          </w:p>
        </w:tc>
        <w:tc>
          <w:tcPr>
            <w:tcW w:w="1844" w:type="dxa"/>
          </w:tcPr>
          <w:p w14:paraId="1C8D4113" w14:textId="77777777" w:rsidR="00A10B25" w:rsidRDefault="00A10B25">
            <w:pPr>
              <w:pStyle w:val="TAL"/>
              <w:rPr>
                <w:rFonts w:cs="Arial"/>
                <w:szCs w:val="18"/>
              </w:rPr>
            </w:pPr>
          </w:p>
        </w:tc>
      </w:tr>
      <w:tr w:rsidR="00A10B25" w14:paraId="3514658B" w14:textId="77777777">
        <w:trPr>
          <w:jc w:val="center"/>
        </w:trPr>
        <w:tc>
          <w:tcPr>
            <w:tcW w:w="1750" w:type="dxa"/>
          </w:tcPr>
          <w:p w14:paraId="72D58FBE" w14:textId="77777777" w:rsidR="00A10B25" w:rsidRDefault="00A10B25">
            <w:pPr>
              <w:pStyle w:val="TAL"/>
              <w:rPr>
                <w:lang w:eastAsia="zh-CN"/>
              </w:rPr>
            </w:pPr>
            <w:r>
              <w:rPr>
                <w:lang w:eastAsia="zh-CN"/>
              </w:rPr>
              <w:t>confidence</w:t>
            </w:r>
          </w:p>
        </w:tc>
        <w:tc>
          <w:tcPr>
            <w:tcW w:w="1560" w:type="dxa"/>
          </w:tcPr>
          <w:p w14:paraId="05F85B72" w14:textId="77777777" w:rsidR="00A10B25" w:rsidRDefault="00A10B25">
            <w:pPr>
              <w:pStyle w:val="TAL"/>
              <w:rPr>
                <w:lang w:eastAsia="zh-CN"/>
              </w:rPr>
            </w:pPr>
            <w:r>
              <w:rPr>
                <w:lang w:eastAsia="zh-CN"/>
              </w:rPr>
              <w:t>Uinteger</w:t>
            </w:r>
          </w:p>
        </w:tc>
        <w:tc>
          <w:tcPr>
            <w:tcW w:w="425" w:type="dxa"/>
          </w:tcPr>
          <w:p w14:paraId="23D8DBCA" w14:textId="77777777" w:rsidR="00A10B25" w:rsidRDefault="00A10B25">
            <w:pPr>
              <w:pStyle w:val="TAC"/>
            </w:pPr>
            <w:r>
              <w:t>C</w:t>
            </w:r>
          </w:p>
        </w:tc>
        <w:tc>
          <w:tcPr>
            <w:tcW w:w="1134" w:type="dxa"/>
          </w:tcPr>
          <w:p w14:paraId="517490C6" w14:textId="77777777" w:rsidR="00A10B25" w:rsidRDefault="00A10B25">
            <w:pPr>
              <w:pStyle w:val="TAL"/>
            </w:pPr>
            <w:r>
              <w:t>0..1</w:t>
            </w:r>
          </w:p>
        </w:tc>
        <w:tc>
          <w:tcPr>
            <w:tcW w:w="2857" w:type="dxa"/>
          </w:tcPr>
          <w:p w14:paraId="7FE2E533" w14:textId="77777777" w:rsidR="00A10B25" w:rsidRDefault="00A10B25">
            <w:pPr>
              <w:pStyle w:val="TAL"/>
              <w:rPr>
                <w:rFonts w:cs="Arial"/>
                <w:szCs w:val="18"/>
              </w:rPr>
            </w:pPr>
            <w:r>
              <w:rPr>
                <w:rFonts w:cs="Arial"/>
                <w:szCs w:val="18"/>
              </w:rPr>
              <w:t>Indicates the confidence of the prediction. (NOTE 4)</w:t>
            </w:r>
          </w:p>
          <w:p w14:paraId="3E7FDD99" w14:textId="77777777" w:rsidR="00A10B25" w:rsidRDefault="00A10B25">
            <w:pPr>
              <w:pStyle w:val="TAL"/>
              <w:rPr>
                <w:rFonts w:cs="Arial"/>
                <w:szCs w:val="18"/>
              </w:rPr>
            </w:pPr>
            <w:r>
              <w:rPr>
                <w:rFonts w:cs="Arial"/>
                <w:szCs w:val="18"/>
              </w:rPr>
              <w:t>Shall be present if the analytics result is a prediction.</w:t>
            </w:r>
          </w:p>
          <w:p w14:paraId="4A650B07" w14:textId="77777777" w:rsidR="00A10B25" w:rsidRDefault="00A10B25">
            <w:pPr>
              <w:pStyle w:val="TAL"/>
              <w:rPr>
                <w:rFonts w:cs="Arial"/>
                <w:szCs w:val="18"/>
              </w:rPr>
            </w:pPr>
            <w:r>
              <w:rPr>
                <w:rFonts w:cs="Arial"/>
                <w:szCs w:val="18"/>
              </w:rPr>
              <w:t>Minimum = 0. Maximum = 100.</w:t>
            </w:r>
          </w:p>
        </w:tc>
        <w:tc>
          <w:tcPr>
            <w:tcW w:w="1844" w:type="dxa"/>
          </w:tcPr>
          <w:p w14:paraId="2164DA38" w14:textId="77777777" w:rsidR="00A10B25" w:rsidRDefault="00A10B25">
            <w:pPr>
              <w:pStyle w:val="TAL"/>
              <w:rPr>
                <w:rFonts w:cs="Arial"/>
                <w:szCs w:val="18"/>
              </w:rPr>
            </w:pPr>
          </w:p>
        </w:tc>
      </w:tr>
      <w:tr w:rsidR="00A10B25" w14:paraId="3C5C82D7" w14:textId="77777777">
        <w:trPr>
          <w:jc w:val="center"/>
        </w:trPr>
        <w:tc>
          <w:tcPr>
            <w:tcW w:w="9570" w:type="dxa"/>
            <w:gridSpan w:val="6"/>
          </w:tcPr>
          <w:p w14:paraId="6A885F1C" w14:textId="77777777" w:rsidR="00A10B25" w:rsidRDefault="00A10B25">
            <w:pPr>
              <w:pStyle w:val="TAN"/>
              <w:ind w:left="400" w:hanging="400"/>
            </w:pPr>
            <w:r>
              <w:t>NOTE 1:</w:t>
            </w:r>
            <w:r>
              <w:tab/>
              <w:t>One of "ueLoc" attribute or "snssai" attribute shall be provided.</w:t>
            </w:r>
          </w:p>
          <w:p w14:paraId="0CB5984E" w14:textId="77777777" w:rsidR="00A10B25" w:rsidRDefault="00A10B25">
            <w:pPr>
              <w:pStyle w:val="TAN"/>
            </w:pPr>
            <w:r>
              <w:t>NOTE 2:</w:t>
            </w:r>
            <w:r>
              <w:tab/>
              <w:t>When Target of Analytics Reporting is a UE group ID, or "Any UE" and a filter for Top-Heavy UEs, fixed, camper or traveller is included in the subscription, the NWDAF shall include the list of UEs matching the filter. This information element shall not be present when Target of Analytic Reporting is "Any UE" and no filter for Top-Heavy UEs, fixed, camper or traveller is included.</w:t>
            </w:r>
          </w:p>
          <w:p w14:paraId="2DA0A7BA" w14:textId="77777777" w:rsidR="00A10B25" w:rsidRDefault="00A10B25">
            <w:pPr>
              <w:pStyle w:val="TAN"/>
            </w:pPr>
            <w:r>
              <w:t>NOTE 3:</w:t>
            </w:r>
            <w:r>
              <w:tab/>
              <w:t xml:space="preserve">At least one value shall be provided. </w:t>
            </w:r>
            <w:r>
              <w:rPr>
                <w:rFonts w:hint="eastAsia"/>
              </w:rPr>
              <w:t>If</w:t>
            </w:r>
            <w:r>
              <w:t xml:space="preserve"> the "listofAnaSubsets" attribute with value only applicable to "DISPERSION" event is present in the subscription request, then only the corresponding attribute(s) shall be present.</w:t>
            </w:r>
          </w:p>
          <w:p w14:paraId="074F57AD" w14:textId="77777777" w:rsidR="00A10B25" w:rsidRDefault="00A10B25">
            <w:pPr>
              <w:pStyle w:val="TAN"/>
            </w:pPr>
            <w:r>
              <w:t>NOTE 4:</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09E337CE" w14:textId="77777777" w:rsidR="00A10B25" w:rsidRDefault="00A10B25">
            <w:pPr>
              <w:pStyle w:val="TAN"/>
            </w:pPr>
            <w:r>
              <w:t>NOTE 5:</w:t>
            </w:r>
            <w:r>
              <w:tab/>
              <w:t>This parameter may only be provided when the Target of Analytics Reporting contains the "supis" attribute or the "gpsis" attribute in the "tgtUe" attribute.</w:t>
            </w:r>
          </w:p>
          <w:p w14:paraId="6CE096E6" w14:textId="77777777" w:rsidR="00A10B25" w:rsidRDefault="00A10B25">
            <w:pPr>
              <w:pStyle w:val="TAN"/>
            </w:pPr>
            <w:r>
              <w:t>NOTE 6:</w:t>
            </w:r>
            <w:r>
              <w:tab/>
              <w:t>This parameter shall not be provided when the "anyUe" attribute in the "tgtUe" attribute for the Target of Analytics Reporting was set to true.</w:t>
            </w:r>
          </w:p>
          <w:p w14:paraId="7F09F72D" w14:textId="77777777" w:rsidR="00A10B25" w:rsidRDefault="00A10B25">
            <w:pPr>
              <w:pStyle w:val="TAN"/>
              <w:rPr>
                <w:rFonts w:cs="Arial"/>
                <w:szCs w:val="18"/>
              </w:rPr>
            </w:pPr>
            <w:r>
              <w:rPr>
                <w:rFonts w:cs="Arial"/>
                <w:szCs w:val="18"/>
              </w:rPr>
              <w:t>NOTE 7:</w:t>
            </w:r>
            <w:r>
              <w:rPr>
                <w:rFonts w:cs="Arial"/>
                <w:szCs w:val="18"/>
              </w:rPr>
              <w:tab/>
              <w:t xml:space="preserve">If the "spatialGranSizeTa" and/or "spatialGranSizeCell" attributes are provided in the request, the number of </w:t>
            </w:r>
            <w:r>
              <w:t xml:space="preserve">TAs or cells </w:t>
            </w:r>
            <w:r>
              <w:rPr>
                <w:rFonts w:cs="Arial"/>
                <w:szCs w:val="18"/>
              </w:rPr>
              <w:t>contained in "</w:t>
            </w:r>
            <w:r>
              <w:rPr>
                <w:lang w:eastAsia="zh-CN"/>
              </w:rPr>
              <w:t>ueLoc</w:t>
            </w:r>
            <w:r>
              <w:rPr>
                <w:rFonts w:cs="Arial"/>
                <w:szCs w:val="18"/>
              </w:rPr>
              <w:t xml:space="preserve">" attribute </w:t>
            </w:r>
            <w:r>
              <w:rPr>
                <w:rFonts w:cs="Arial"/>
                <w:szCs w:val="18"/>
                <w:lang w:eastAsia="zh-CN"/>
              </w:rPr>
              <w:t>shall be</w:t>
            </w:r>
            <w:r>
              <w:rPr>
                <w:rFonts w:cs="Arial"/>
                <w:szCs w:val="18"/>
              </w:rPr>
              <w:t xml:space="preserve"> smaller than or equal to the values of the "spatialGranSizeTa" and/or "spatialGranSizeCell" attributes.</w:t>
            </w:r>
          </w:p>
        </w:tc>
      </w:tr>
    </w:tbl>
    <w:p w14:paraId="441457EF" w14:textId="77777777" w:rsidR="00A10B25" w:rsidRDefault="00A10B25">
      <w:pPr>
        <w:rPr>
          <w:lang w:val="en-US" w:eastAsia="zh-CN"/>
        </w:rPr>
      </w:pPr>
    </w:p>
    <w:p w14:paraId="5B7E3FE4" w14:textId="77777777" w:rsidR="00A10B25" w:rsidRDefault="00A10B25">
      <w:pPr>
        <w:pStyle w:val="5"/>
      </w:pPr>
      <w:bookmarkStart w:id="7400" w:name="_Toc114133857"/>
      <w:bookmarkStart w:id="7401" w:name="_Toc112951178"/>
      <w:bookmarkStart w:id="7402" w:name="_Toc136562424"/>
      <w:bookmarkStart w:id="7403" w:name="_Toc94064302"/>
      <w:bookmarkStart w:id="7404" w:name="_Toc104539056"/>
      <w:bookmarkStart w:id="7405" w:name="_Toc101244463"/>
      <w:bookmarkStart w:id="7406" w:name="_Toc98233687"/>
      <w:bookmarkStart w:id="7407" w:name="_Toc120702357"/>
      <w:bookmarkStart w:id="7408" w:name="_Toc138754258"/>
      <w:bookmarkStart w:id="7409" w:name="_Toc145705745"/>
      <w:bookmarkStart w:id="7410" w:name="_Toc148522649"/>
      <w:bookmarkStart w:id="7411" w:name="_Toc113031718"/>
      <w:bookmarkStart w:id="7412" w:name="_Toc164920829"/>
      <w:bookmarkStart w:id="7413" w:name="_Toc170120371"/>
      <w:bookmarkStart w:id="7414" w:name="_Toc175858616"/>
      <w:bookmarkStart w:id="7415" w:name="_Toc175859689"/>
      <w:bookmarkStart w:id="7416" w:name="_Toc180605979"/>
      <w:bookmarkStart w:id="7417" w:name="_Toc185517233"/>
      <w:bookmarkStart w:id="7418" w:name="_Toc191576284"/>
      <w:bookmarkStart w:id="7419" w:name="_Toc191577024"/>
      <w:bookmarkStart w:id="7420" w:name="_Toc192880094"/>
      <w:bookmarkStart w:id="7421" w:name="_Toc195814977"/>
      <w:bookmarkStart w:id="7422" w:name="_Toc199452944"/>
      <w:r>
        <w:t>5.1.6.2.55</w:t>
      </w:r>
      <w:r>
        <w:tab/>
      </w:r>
      <w:bookmarkStart w:id="7423" w:name="_Hlk93496919"/>
      <w:r>
        <w:t>Type ApplicationVolume</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15660664" w14:textId="77777777" w:rsidR="00A10B25" w:rsidRDefault="00A10B25">
      <w:pPr>
        <w:pStyle w:val="TH"/>
      </w:pPr>
      <w:r>
        <w:t>Table 5.1.6.2.55-1: Definition of type ApplicationVolume</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7D64E5E7" w14:textId="77777777">
        <w:trPr>
          <w:jc w:val="center"/>
        </w:trPr>
        <w:tc>
          <w:tcPr>
            <w:tcW w:w="1750" w:type="dxa"/>
            <w:shd w:val="clear" w:color="auto" w:fill="C0C0C0"/>
          </w:tcPr>
          <w:p w14:paraId="060FE7C6" w14:textId="77777777" w:rsidR="00A10B25" w:rsidRDefault="00A10B25">
            <w:pPr>
              <w:pStyle w:val="TAH"/>
            </w:pPr>
            <w:r>
              <w:t>Attribute name</w:t>
            </w:r>
          </w:p>
        </w:tc>
        <w:tc>
          <w:tcPr>
            <w:tcW w:w="1560" w:type="dxa"/>
            <w:shd w:val="clear" w:color="auto" w:fill="C0C0C0"/>
          </w:tcPr>
          <w:p w14:paraId="2B3B484F" w14:textId="77777777" w:rsidR="00A10B25" w:rsidRDefault="00A10B25">
            <w:pPr>
              <w:pStyle w:val="TAH"/>
            </w:pPr>
            <w:r>
              <w:t>Data type</w:t>
            </w:r>
          </w:p>
        </w:tc>
        <w:tc>
          <w:tcPr>
            <w:tcW w:w="425" w:type="dxa"/>
            <w:shd w:val="clear" w:color="auto" w:fill="C0C0C0"/>
          </w:tcPr>
          <w:p w14:paraId="1C51CD14" w14:textId="77777777" w:rsidR="00A10B25" w:rsidRDefault="00A10B25">
            <w:pPr>
              <w:pStyle w:val="TAH"/>
            </w:pPr>
            <w:r>
              <w:t>P</w:t>
            </w:r>
          </w:p>
        </w:tc>
        <w:tc>
          <w:tcPr>
            <w:tcW w:w="1134" w:type="dxa"/>
            <w:shd w:val="clear" w:color="auto" w:fill="C0C0C0"/>
          </w:tcPr>
          <w:p w14:paraId="09352B98" w14:textId="77777777" w:rsidR="00A10B25" w:rsidRDefault="00A10B25">
            <w:pPr>
              <w:pStyle w:val="TAH"/>
            </w:pPr>
            <w:r>
              <w:t>Cardinality</w:t>
            </w:r>
          </w:p>
        </w:tc>
        <w:tc>
          <w:tcPr>
            <w:tcW w:w="2857" w:type="dxa"/>
            <w:shd w:val="clear" w:color="auto" w:fill="C0C0C0"/>
          </w:tcPr>
          <w:p w14:paraId="57D629F4" w14:textId="77777777" w:rsidR="00A10B25" w:rsidRDefault="00A10B25">
            <w:pPr>
              <w:pStyle w:val="TAH"/>
            </w:pPr>
            <w:r>
              <w:t>Description</w:t>
            </w:r>
          </w:p>
        </w:tc>
        <w:tc>
          <w:tcPr>
            <w:tcW w:w="1844" w:type="dxa"/>
            <w:shd w:val="clear" w:color="auto" w:fill="C0C0C0"/>
          </w:tcPr>
          <w:p w14:paraId="4E145746" w14:textId="77777777" w:rsidR="00A10B25" w:rsidRDefault="00A10B25">
            <w:pPr>
              <w:pStyle w:val="TAH"/>
            </w:pPr>
            <w:r>
              <w:t>Applicability</w:t>
            </w:r>
          </w:p>
        </w:tc>
      </w:tr>
      <w:tr w:rsidR="00A10B25" w14:paraId="4F0D908D" w14:textId="77777777">
        <w:trPr>
          <w:jc w:val="center"/>
        </w:trPr>
        <w:tc>
          <w:tcPr>
            <w:tcW w:w="1750" w:type="dxa"/>
          </w:tcPr>
          <w:p w14:paraId="22D4C814" w14:textId="77777777" w:rsidR="00A10B25" w:rsidRDefault="00A10B25">
            <w:pPr>
              <w:pStyle w:val="TAL"/>
              <w:rPr>
                <w:lang w:eastAsia="zh-CN"/>
              </w:rPr>
            </w:pPr>
            <w:r>
              <w:rPr>
                <w:lang w:eastAsia="zh-CN"/>
              </w:rPr>
              <w:t>appId</w:t>
            </w:r>
          </w:p>
        </w:tc>
        <w:tc>
          <w:tcPr>
            <w:tcW w:w="1560" w:type="dxa"/>
          </w:tcPr>
          <w:p w14:paraId="580C762A" w14:textId="77777777" w:rsidR="00A10B25" w:rsidRDefault="00A10B25">
            <w:pPr>
              <w:pStyle w:val="TAL"/>
              <w:rPr>
                <w:lang w:eastAsia="zh-CN"/>
              </w:rPr>
            </w:pPr>
            <w:r>
              <w:rPr>
                <w:lang w:eastAsia="zh-CN"/>
              </w:rPr>
              <w:t>ApplicationId</w:t>
            </w:r>
          </w:p>
        </w:tc>
        <w:tc>
          <w:tcPr>
            <w:tcW w:w="425" w:type="dxa"/>
          </w:tcPr>
          <w:p w14:paraId="711E0D5C" w14:textId="77777777" w:rsidR="00A10B25" w:rsidRDefault="00A10B25">
            <w:pPr>
              <w:pStyle w:val="TAC"/>
            </w:pPr>
            <w:r>
              <w:t>M</w:t>
            </w:r>
          </w:p>
        </w:tc>
        <w:tc>
          <w:tcPr>
            <w:tcW w:w="1134" w:type="dxa"/>
          </w:tcPr>
          <w:p w14:paraId="28F3760A" w14:textId="77777777" w:rsidR="00A10B25" w:rsidRDefault="00A10B25">
            <w:pPr>
              <w:pStyle w:val="TAL"/>
            </w:pPr>
            <w:r>
              <w:t>1</w:t>
            </w:r>
          </w:p>
        </w:tc>
        <w:tc>
          <w:tcPr>
            <w:tcW w:w="2857" w:type="dxa"/>
          </w:tcPr>
          <w:p w14:paraId="1F041B9A" w14:textId="77777777" w:rsidR="00A10B25" w:rsidRDefault="00A10B25">
            <w:pPr>
              <w:pStyle w:val="TAL"/>
              <w:rPr>
                <w:rFonts w:cs="Arial"/>
                <w:szCs w:val="18"/>
              </w:rPr>
            </w:pPr>
            <w:r>
              <w:rPr>
                <w:rFonts w:cs="Arial"/>
                <w:szCs w:val="18"/>
              </w:rPr>
              <w:t xml:space="preserve">Application where the UE or group of UEs disperse its transactions and/or data. May be present if "appIds" attribute is included in the event subscription </w:t>
            </w:r>
            <w:r>
              <w:t xml:space="preserve">or analytics </w:t>
            </w:r>
            <w:r>
              <w:rPr>
                <w:rFonts w:cs="Arial"/>
                <w:szCs w:val="18"/>
              </w:rPr>
              <w:t>request.</w:t>
            </w:r>
          </w:p>
        </w:tc>
        <w:tc>
          <w:tcPr>
            <w:tcW w:w="1844" w:type="dxa"/>
          </w:tcPr>
          <w:p w14:paraId="7BA39EBC" w14:textId="77777777" w:rsidR="00A10B25" w:rsidRDefault="00A10B25">
            <w:pPr>
              <w:pStyle w:val="TAL"/>
              <w:rPr>
                <w:rFonts w:cs="Arial"/>
                <w:szCs w:val="18"/>
              </w:rPr>
            </w:pPr>
          </w:p>
        </w:tc>
      </w:tr>
      <w:tr w:rsidR="00A10B25" w14:paraId="21BFE210" w14:textId="77777777">
        <w:trPr>
          <w:jc w:val="center"/>
        </w:trPr>
        <w:tc>
          <w:tcPr>
            <w:tcW w:w="1750" w:type="dxa"/>
          </w:tcPr>
          <w:p w14:paraId="566F4D9C" w14:textId="77777777" w:rsidR="00A10B25" w:rsidRDefault="00A10B25">
            <w:pPr>
              <w:pStyle w:val="TAL"/>
              <w:rPr>
                <w:lang w:eastAsia="zh-CN"/>
              </w:rPr>
            </w:pPr>
            <w:r>
              <w:rPr>
                <w:lang w:eastAsia="zh-CN"/>
              </w:rPr>
              <w:t>appVolume</w:t>
            </w:r>
          </w:p>
        </w:tc>
        <w:tc>
          <w:tcPr>
            <w:tcW w:w="1560" w:type="dxa"/>
          </w:tcPr>
          <w:p w14:paraId="07013217" w14:textId="77777777" w:rsidR="00A10B25" w:rsidRDefault="00A10B25">
            <w:pPr>
              <w:pStyle w:val="TAL"/>
              <w:rPr>
                <w:lang w:eastAsia="zh-CN"/>
              </w:rPr>
            </w:pPr>
            <w:r>
              <w:rPr>
                <w:lang w:eastAsia="zh-CN"/>
              </w:rPr>
              <w:t>Volume</w:t>
            </w:r>
          </w:p>
        </w:tc>
        <w:tc>
          <w:tcPr>
            <w:tcW w:w="425" w:type="dxa"/>
          </w:tcPr>
          <w:p w14:paraId="53EB5CB8" w14:textId="77777777" w:rsidR="00A10B25" w:rsidRDefault="00A10B25">
            <w:pPr>
              <w:pStyle w:val="TAC"/>
            </w:pPr>
            <w:r>
              <w:t>M</w:t>
            </w:r>
          </w:p>
        </w:tc>
        <w:tc>
          <w:tcPr>
            <w:tcW w:w="1134" w:type="dxa"/>
          </w:tcPr>
          <w:p w14:paraId="0750D9CF" w14:textId="77777777" w:rsidR="00A10B25" w:rsidRDefault="00A10B25">
            <w:pPr>
              <w:pStyle w:val="TAL"/>
            </w:pPr>
            <w:r>
              <w:t>1</w:t>
            </w:r>
          </w:p>
        </w:tc>
        <w:tc>
          <w:tcPr>
            <w:tcW w:w="2857" w:type="dxa"/>
          </w:tcPr>
          <w:p w14:paraId="43C0A14E" w14:textId="77777777" w:rsidR="00A10B25" w:rsidRDefault="00A10B25">
            <w:pPr>
              <w:pStyle w:val="TAL"/>
              <w:rPr>
                <w:rFonts w:cs="Arial"/>
                <w:szCs w:val="18"/>
              </w:rPr>
            </w:pPr>
            <w:r>
              <w:rPr>
                <w:rFonts w:cs="Arial"/>
                <w:szCs w:val="18"/>
              </w:rPr>
              <w:t>Indicates the dispersion data volume per application in units of bytes.</w:t>
            </w:r>
          </w:p>
        </w:tc>
        <w:tc>
          <w:tcPr>
            <w:tcW w:w="1844" w:type="dxa"/>
          </w:tcPr>
          <w:p w14:paraId="4FF915A3" w14:textId="77777777" w:rsidR="00A10B25" w:rsidRDefault="00A10B25">
            <w:pPr>
              <w:pStyle w:val="TAL"/>
              <w:rPr>
                <w:rFonts w:cs="Arial"/>
                <w:szCs w:val="18"/>
              </w:rPr>
            </w:pPr>
          </w:p>
        </w:tc>
      </w:tr>
    </w:tbl>
    <w:p w14:paraId="59503D1A" w14:textId="77777777" w:rsidR="00A10B25" w:rsidRDefault="00A10B25"/>
    <w:p w14:paraId="7644FE9C" w14:textId="77777777" w:rsidR="00A10B25" w:rsidRDefault="00A10B25">
      <w:pPr>
        <w:pStyle w:val="5"/>
      </w:pPr>
      <w:bookmarkStart w:id="7424" w:name="_Toc112951179"/>
      <w:bookmarkStart w:id="7425" w:name="_Toc148522650"/>
      <w:bookmarkStart w:id="7426" w:name="_Toc98233688"/>
      <w:bookmarkStart w:id="7427" w:name="_Toc104539057"/>
      <w:bookmarkStart w:id="7428" w:name="_Toc113031719"/>
      <w:bookmarkStart w:id="7429" w:name="_Toc136562425"/>
      <w:bookmarkStart w:id="7430" w:name="_Toc101244464"/>
      <w:bookmarkStart w:id="7431" w:name="_Toc114133858"/>
      <w:bookmarkStart w:id="7432" w:name="_Toc145705746"/>
      <w:bookmarkStart w:id="7433" w:name="_Toc120702358"/>
      <w:bookmarkStart w:id="7434" w:name="_Toc94064303"/>
      <w:bookmarkStart w:id="7435" w:name="_Toc138754259"/>
      <w:bookmarkStart w:id="7436" w:name="_Toc164920830"/>
      <w:bookmarkStart w:id="7437" w:name="_Toc170120372"/>
      <w:bookmarkStart w:id="7438" w:name="_Toc175858617"/>
      <w:bookmarkStart w:id="7439" w:name="_Toc175859690"/>
      <w:bookmarkStart w:id="7440" w:name="_Toc180605980"/>
      <w:bookmarkStart w:id="7441" w:name="_Toc185517234"/>
      <w:bookmarkStart w:id="7442" w:name="_Toc191576285"/>
      <w:bookmarkStart w:id="7443" w:name="_Toc191577025"/>
      <w:bookmarkStart w:id="7444" w:name="_Toc192880095"/>
      <w:bookmarkStart w:id="7445" w:name="_Toc195814978"/>
      <w:bookmarkStart w:id="7446" w:name="_Toc199452945"/>
      <w:r>
        <w:t>5.1.6.2.56</w:t>
      </w:r>
      <w:r>
        <w:tab/>
        <w:t>Type RedundantTransmissionExpReq</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4FE8A3A7" w14:textId="77777777" w:rsidR="00A10B25" w:rsidRDefault="00A10B25">
      <w:pPr>
        <w:pStyle w:val="TH"/>
      </w:pPr>
      <w:r>
        <w:t>Table 5.1.6.2.56-1: Definition of type RedundantTransmissionExpReq</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7E2F216" w14:textId="77777777">
        <w:trPr>
          <w:jc w:val="center"/>
        </w:trPr>
        <w:tc>
          <w:tcPr>
            <w:tcW w:w="1750" w:type="dxa"/>
            <w:shd w:val="clear" w:color="auto" w:fill="C0C0C0"/>
          </w:tcPr>
          <w:p w14:paraId="2ADB169C" w14:textId="77777777" w:rsidR="00A10B25" w:rsidRDefault="00A10B25">
            <w:pPr>
              <w:pStyle w:val="TAH"/>
            </w:pPr>
            <w:r>
              <w:t>Attribute name</w:t>
            </w:r>
          </w:p>
        </w:tc>
        <w:tc>
          <w:tcPr>
            <w:tcW w:w="1560" w:type="dxa"/>
            <w:shd w:val="clear" w:color="auto" w:fill="C0C0C0"/>
          </w:tcPr>
          <w:p w14:paraId="31FF2974" w14:textId="77777777" w:rsidR="00A10B25" w:rsidRDefault="00A10B25">
            <w:pPr>
              <w:pStyle w:val="TAH"/>
            </w:pPr>
            <w:r>
              <w:t>Data type</w:t>
            </w:r>
          </w:p>
        </w:tc>
        <w:tc>
          <w:tcPr>
            <w:tcW w:w="425" w:type="dxa"/>
            <w:shd w:val="clear" w:color="auto" w:fill="C0C0C0"/>
          </w:tcPr>
          <w:p w14:paraId="24E60542" w14:textId="77777777" w:rsidR="00A10B25" w:rsidRDefault="00A10B25">
            <w:pPr>
              <w:pStyle w:val="TAH"/>
            </w:pPr>
            <w:r>
              <w:t>P</w:t>
            </w:r>
          </w:p>
        </w:tc>
        <w:tc>
          <w:tcPr>
            <w:tcW w:w="1134" w:type="dxa"/>
            <w:shd w:val="clear" w:color="auto" w:fill="C0C0C0"/>
          </w:tcPr>
          <w:p w14:paraId="27647EB5" w14:textId="77777777" w:rsidR="00A10B25" w:rsidRDefault="00A10B25">
            <w:pPr>
              <w:pStyle w:val="TAH"/>
            </w:pPr>
            <w:r>
              <w:t>Cardinality</w:t>
            </w:r>
          </w:p>
        </w:tc>
        <w:tc>
          <w:tcPr>
            <w:tcW w:w="2857" w:type="dxa"/>
            <w:shd w:val="clear" w:color="auto" w:fill="C0C0C0"/>
          </w:tcPr>
          <w:p w14:paraId="555DB567" w14:textId="77777777" w:rsidR="00A10B25" w:rsidRDefault="00A10B25">
            <w:pPr>
              <w:pStyle w:val="TAH"/>
            </w:pPr>
            <w:r>
              <w:t>Description</w:t>
            </w:r>
          </w:p>
        </w:tc>
        <w:tc>
          <w:tcPr>
            <w:tcW w:w="1844" w:type="dxa"/>
            <w:shd w:val="clear" w:color="auto" w:fill="C0C0C0"/>
          </w:tcPr>
          <w:p w14:paraId="07050D7C" w14:textId="77777777" w:rsidR="00A10B25" w:rsidRDefault="00A10B25">
            <w:pPr>
              <w:pStyle w:val="TAH"/>
            </w:pPr>
            <w:r>
              <w:t>Applicability</w:t>
            </w:r>
          </w:p>
        </w:tc>
      </w:tr>
      <w:tr w:rsidR="00A10B25" w14:paraId="3F6A813D" w14:textId="77777777">
        <w:trPr>
          <w:jc w:val="center"/>
        </w:trPr>
        <w:tc>
          <w:tcPr>
            <w:tcW w:w="1750" w:type="dxa"/>
          </w:tcPr>
          <w:p w14:paraId="086E1DFF" w14:textId="77777777" w:rsidR="00A10B25" w:rsidRDefault="00A10B25">
            <w:pPr>
              <w:pStyle w:val="TAL"/>
              <w:rPr>
                <w:lang w:eastAsia="zh-CN"/>
              </w:rPr>
            </w:pPr>
            <w:r>
              <w:rPr>
                <w:lang w:eastAsia="zh-CN"/>
              </w:rPr>
              <w:t>redTOrderCriter</w:t>
            </w:r>
          </w:p>
        </w:tc>
        <w:tc>
          <w:tcPr>
            <w:tcW w:w="1560" w:type="dxa"/>
          </w:tcPr>
          <w:p w14:paraId="0381779D" w14:textId="77777777" w:rsidR="00A10B25" w:rsidRDefault="00A10B25">
            <w:pPr>
              <w:pStyle w:val="TAL"/>
              <w:rPr>
                <w:lang w:eastAsia="zh-CN"/>
              </w:rPr>
            </w:pPr>
            <w:r>
              <w:rPr>
                <w:lang w:eastAsia="zh-CN"/>
              </w:rPr>
              <w:t>RedTransExpOrderingCriterion</w:t>
            </w:r>
          </w:p>
        </w:tc>
        <w:tc>
          <w:tcPr>
            <w:tcW w:w="425" w:type="dxa"/>
          </w:tcPr>
          <w:p w14:paraId="18D66973" w14:textId="77777777" w:rsidR="00A10B25" w:rsidRDefault="00A10B25">
            <w:pPr>
              <w:pStyle w:val="TAC"/>
            </w:pPr>
            <w:r>
              <w:t>O</w:t>
            </w:r>
          </w:p>
        </w:tc>
        <w:tc>
          <w:tcPr>
            <w:tcW w:w="1134" w:type="dxa"/>
          </w:tcPr>
          <w:p w14:paraId="74982915" w14:textId="77777777" w:rsidR="00A10B25" w:rsidRDefault="00A10B25">
            <w:pPr>
              <w:pStyle w:val="TAL"/>
            </w:pPr>
            <w:r>
              <w:t>0..1</w:t>
            </w:r>
          </w:p>
        </w:tc>
        <w:tc>
          <w:tcPr>
            <w:tcW w:w="2857" w:type="dxa"/>
          </w:tcPr>
          <w:p w14:paraId="0C6CEF56" w14:textId="77777777" w:rsidR="00A10B25" w:rsidRDefault="00A10B25">
            <w:pPr>
              <w:pStyle w:val="TAL"/>
              <w:rPr>
                <w:rFonts w:cs="Arial"/>
                <w:szCs w:val="18"/>
              </w:rPr>
            </w:pPr>
            <w:r>
              <w:rPr>
                <w:rFonts w:cs="Arial"/>
                <w:szCs w:val="18"/>
              </w:rPr>
              <w:t>Indicates the ordering criterion for the list of UE Redundant Transmission Experience Analytics information.</w:t>
            </w:r>
            <w:r>
              <w:rPr>
                <w:rFonts w:eastAsia="Times New Roman" w:cs="Arial"/>
                <w:szCs w:val="18"/>
              </w:rPr>
              <w:t xml:space="preserve"> (NOTE 1)</w:t>
            </w:r>
          </w:p>
        </w:tc>
        <w:tc>
          <w:tcPr>
            <w:tcW w:w="1844" w:type="dxa"/>
          </w:tcPr>
          <w:p w14:paraId="4A266E83" w14:textId="77777777" w:rsidR="00A10B25" w:rsidRDefault="00A10B25">
            <w:pPr>
              <w:pStyle w:val="TAL"/>
              <w:rPr>
                <w:rFonts w:cs="Arial"/>
                <w:szCs w:val="18"/>
              </w:rPr>
            </w:pPr>
          </w:p>
        </w:tc>
      </w:tr>
      <w:tr w:rsidR="00A10B25" w14:paraId="1997F435" w14:textId="77777777">
        <w:trPr>
          <w:jc w:val="center"/>
        </w:trPr>
        <w:tc>
          <w:tcPr>
            <w:tcW w:w="1750" w:type="dxa"/>
          </w:tcPr>
          <w:p w14:paraId="73ECDF58" w14:textId="77777777" w:rsidR="00A10B25" w:rsidRDefault="00A10B25">
            <w:pPr>
              <w:pStyle w:val="TAL"/>
              <w:rPr>
                <w:lang w:eastAsia="zh-CN"/>
              </w:rPr>
            </w:pPr>
            <w:r>
              <w:rPr>
                <w:lang w:eastAsia="zh-CN"/>
              </w:rPr>
              <w:t>order</w:t>
            </w:r>
          </w:p>
        </w:tc>
        <w:tc>
          <w:tcPr>
            <w:tcW w:w="1560" w:type="dxa"/>
          </w:tcPr>
          <w:p w14:paraId="6141192B" w14:textId="77777777" w:rsidR="00A10B25" w:rsidRDefault="00A10B25">
            <w:pPr>
              <w:pStyle w:val="TAL"/>
              <w:rPr>
                <w:lang w:eastAsia="zh-CN"/>
              </w:rPr>
            </w:pPr>
            <w:r>
              <w:rPr>
                <w:lang w:eastAsia="zh-CN"/>
              </w:rPr>
              <w:t>MatchingDirection</w:t>
            </w:r>
          </w:p>
        </w:tc>
        <w:tc>
          <w:tcPr>
            <w:tcW w:w="425" w:type="dxa"/>
          </w:tcPr>
          <w:p w14:paraId="196F7D89" w14:textId="77777777" w:rsidR="00A10B25" w:rsidRDefault="00A10B25">
            <w:pPr>
              <w:pStyle w:val="TAC"/>
            </w:pPr>
            <w:r>
              <w:t>O</w:t>
            </w:r>
          </w:p>
        </w:tc>
        <w:tc>
          <w:tcPr>
            <w:tcW w:w="1134" w:type="dxa"/>
          </w:tcPr>
          <w:p w14:paraId="652FAE5C" w14:textId="77777777" w:rsidR="00A10B25" w:rsidRDefault="00A10B25">
            <w:pPr>
              <w:pStyle w:val="TAL"/>
            </w:pPr>
            <w:r>
              <w:t>0..1</w:t>
            </w:r>
          </w:p>
        </w:tc>
        <w:tc>
          <w:tcPr>
            <w:tcW w:w="2857" w:type="dxa"/>
          </w:tcPr>
          <w:p w14:paraId="7140E519" w14:textId="77777777" w:rsidR="00A10B25" w:rsidRDefault="00A10B25">
            <w:pPr>
              <w:pStyle w:val="TAL"/>
              <w:rPr>
                <w:rFonts w:cs="Arial"/>
                <w:szCs w:val="18"/>
              </w:rPr>
            </w:pPr>
            <w:r>
              <w:rPr>
                <w:rFonts w:cs="Arial"/>
                <w:szCs w:val="18"/>
              </w:rPr>
              <w:t>Indicate the order: ascending or descending. May be present when the "redTOrderCriter" attribute is included.</w:t>
            </w:r>
            <w:r>
              <w:rPr>
                <w:rFonts w:eastAsia="Times New Roman" w:cs="Arial"/>
                <w:szCs w:val="18"/>
              </w:rPr>
              <w:t xml:space="preserve"> (NOTE 1) (NOTE 2)</w:t>
            </w:r>
          </w:p>
        </w:tc>
        <w:tc>
          <w:tcPr>
            <w:tcW w:w="1844" w:type="dxa"/>
          </w:tcPr>
          <w:p w14:paraId="61A1DC94" w14:textId="77777777" w:rsidR="00A10B25" w:rsidRDefault="00A10B25">
            <w:pPr>
              <w:pStyle w:val="TAL"/>
              <w:rPr>
                <w:rFonts w:cs="Arial"/>
                <w:szCs w:val="18"/>
              </w:rPr>
            </w:pPr>
          </w:p>
        </w:tc>
      </w:tr>
      <w:tr w:rsidR="00A10B25" w14:paraId="33999753" w14:textId="77777777">
        <w:trPr>
          <w:trHeight w:val="300"/>
          <w:jc w:val="center"/>
        </w:trPr>
        <w:tc>
          <w:tcPr>
            <w:tcW w:w="9570" w:type="dxa"/>
            <w:gridSpan w:val="6"/>
          </w:tcPr>
          <w:p w14:paraId="758051F1" w14:textId="77777777" w:rsidR="00A10B25" w:rsidRDefault="00A10B25">
            <w:pPr>
              <w:pStyle w:val="TAN"/>
              <w:ind w:left="400" w:hanging="400"/>
            </w:pPr>
            <w:r>
              <w:t>NOTE 1:</w:t>
            </w:r>
            <w:r>
              <w:tab/>
              <w:t>If no attribute or no value is provided, default ordering may be applied.</w:t>
            </w:r>
          </w:p>
          <w:p w14:paraId="56D48FB3" w14:textId="77777777" w:rsidR="00A10B25" w:rsidRDefault="00A10B25">
            <w:pPr>
              <w:pStyle w:val="TAN"/>
              <w:ind w:left="400" w:hanging="400"/>
              <w:rPr>
                <w:rFonts w:cs="Arial"/>
                <w:szCs w:val="18"/>
              </w:rPr>
            </w:pPr>
            <w:r>
              <w:t>NOTE 2:</w:t>
            </w:r>
            <w:r>
              <w:tab/>
              <w:t>"CROSSED" value in data type "MatchingDirection" is not applicable for the "order" attribute.</w:t>
            </w:r>
          </w:p>
        </w:tc>
      </w:tr>
    </w:tbl>
    <w:p w14:paraId="264F2811" w14:textId="77777777" w:rsidR="00A10B25" w:rsidRDefault="00A10B25">
      <w:pPr>
        <w:rPr>
          <w:lang w:val="en-US" w:eastAsia="zh-CN"/>
        </w:rPr>
      </w:pPr>
    </w:p>
    <w:p w14:paraId="45C0D0A5" w14:textId="77777777" w:rsidR="00A10B25" w:rsidRDefault="00A10B25">
      <w:pPr>
        <w:pStyle w:val="5"/>
      </w:pPr>
      <w:bookmarkStart w:id="7447" w:name="_Toc104539058"/>
      <w:bookmarkStart w:id="7448" w:name="_Toc94064304"/>
      <w:bookmarkStart w:id="7449" w:name="_Toc101244465"/>
      <w:bookmarkStart w:id="7450" w:name="_Toc114133859"/>
      <w:bookmarkStart w:id="7451" w:name="_Toc113031720"/>
      <w:bookmarkStart w:id="7452" w:name="_Toc98233689"/>
      <w:bookmarkStart w:id="7453" w:name="_Toc120702359"/>
      <w:bookmarkStart w:id="7454" w:name="_Toc136562426"/>
      <w:bookmarkStart w:id="7455" w:name="_Toc138754260"/>
      <w:bookmarkStart w:id="7456" w:name="_Toc148522651"/>
      <w:bookmarkStart w:id="7457" w:name="_Toc145705747"/>
      <w:bookmarkStart w:id="7458" w:name="_Toc112951180"/>
      <w:bookmarkStart w:id="7459" w:name="_Toc164920831"/>
      <w:bookmarkStart w:id="7460" w:name="_Toc170120373"/>
      <w:bookmarkStart w:id="7461" w:name="_Toc175858618"/>
      <w:bookmarkStart w:id="7462" w:name="_Toc175859691"/>
      <w:bookmarkStart w:id="7463" w:name="_Toc180605981"/>
      <w:bookmarkStart w:id="7464" w:name="_Toc185517235"/>
      <w:bookmarkStart w:id="7465" w:name="_Toc191576286"/>
      <w:bookmarkStart w:id="7466" w:name="_Toc191577026"/>
      <w:bookmarkStart w:id="7467" w:name="_Toc192880096"/>
      <w:bookmarkStart w:id="7468" w:name="_Toc195814979"/>
      <w:bookmarkStart w:id="7469" w:name="_Toc199452946"/>
      <w:r>
        <w:lastRenderedPageBreak/>
        <w:t>5.1.6.2.57</w:t>
      </w:r>
      <w:r>
        <w:tab/>
        <w:t>Type RedundantTransmissionExpInfo</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111113D3" w14:textId="77777777" w:rsidR="00A10B25" w:rsidRDefault="00A10B25">
      <w:pPr>
        <w:pStyle w:val="TH"/>
      </w:pPr>
      <w:r>
        <w:t>Table 5.1.6.2.57-1: Definition of type RedundantTransmissionInfo</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0257F432" w14:textId="77777777">
        <w:trPr>
          <w:jc w:val="center"/>
        </w:trPr>
        <w:tc>
          <w:tcPr>
            <w:tcW w:w="1750" w:type="dxa"/>
            <w:shd w:val="clear" w:color="auto" w:fill="C0C0C0"/>
          </w:tcPr>
          <w:p w14:paraId="57323CE0" w14:textId="77777777" w:rsidR="00A10B25" w:rsidRDefault="00A10B25">
            <w:pPr>
              <w:pStyle w:val="TAH"/>
            </w:pPr>
            <w:r>
              <w:t>Attribute name</w:t>
            </w:r>
          </w:p>
        </w:tc>
        <w:tc>
          <w:tcPr>
            <w:tcW w:w="1560" w:type="dxa"/>
            <w:shd w:val="clear" w:color="auto" w:fill="C0C0C0"/>
          </w:tcPr>
          <w:p w14:paraId="3D563232" w14:textId="77777777" w:rsidR="00A10B25" w:rsidRDefault="00A10B25">
            <w:pPr>
              <w:pStyle w:val="TAH"/>
            </w:pPr>
            <w:r>
              <w:t>Data type</w:t>
            </w:r>
          </w:p>
        </w:tc>
        <w:tc>
          <w:tcPr>
            <w:tcW w:w="425" w:type="dxa"/>
            <w:shd w:val="clear" w:color="auto" w:fill="C0C0C0"/>
          </w:tcPr>
          <w:p w14:paraId="2ED07352" w14:textId="77777777" w:rsidR="00A10B25" w:rsidRDefault="00A10B25">
            <w:pPr>
              <w:pStyle w:val="TAH"/>
            </w:pPr>
            <w:r>
              <w:t>P</w:t>
            </w:r>
          </w:p>
        </w:tc>
        <w:tc>
          <w:tcPr>
            <w:tcW w:w="1134" w:type="dxa"/>
            <w:shd w:val="clear" w:color="auto" w:fill="C0C0C0"/>
          </w:tcPr>
          <w:p w14:paraId="0DE4CB63" w14:textId="77777777" w:rsidR="00A10B25" w:rsidRDefault="00A10B25">
            <w:pPr>
              <w:pStyle w:val="TAH"/>
            </w:pPr>
            <w:r>
              <w:t>Cardinality</w:t>
            </w:r>
          </w:p>
        </w:tc>
        <w:tc>
          <w:tcPr>
            <w:tcW w:w="2857" w:type="dxa"/>
            <w:shd w:val="clear" w:color="auto" w:fill="C0C0C0"/>
          </w:tcPr>
          <w:p w14:paraId="1D5B4A17" w14:textId="77777777" w:rsidR="00A10B25" w:rsidRDefault="00A10B25">
            <w:pPr>
              <w:pStyle w:val="TAH"/>
            </w:pPr>
            <w:r>
              <w:t>Description</w:t>
            </w:r>
          </w:p>
        </w:tc>
        <w:tc>
          <w:tcPr>
            <w:tcW w:w="1844" w:type="dxa"/>
            <w:shd w:val="clear" w:color="auto" w:fill="C0C0C0"/>
          </w:tcPr>
          <w:p w14:paraId="523625E0" w14:textId="77777777" w:rsidR="00A10B25" w:rsidRDefault="00A10B25">
            <w:pPr>
              <w:pStyle w:val="TAH"/>
            </w:pPr>
            <w:r>
              <w:t>Applicability</w:t>
            </w:r>
          </w:p>
        </w:tc>
      </w:tr>
      <w:tr w:rsidR="00A10B25" w14:paraId="107D03ED" w14:textId="77777777">
        <w:trPr>
          <w:jc w:val="center"/>
        </w:trPr>
        <w:tc>
          <w:tcPr>
            <w:tcW w:w="1750" w:type="dxa"/>
          </w:tcPr>
          <w:p w14:paraId="033FD246" w14:textId="77777777" w:rsidR="00A10B25" w:rsidRDefault="00A10B25">
            <w:pPr>
              <w:pStyle w:val="TAL"/>
              <w:rPr>
                <w:lang w:eastAsia="zh-CN"/>
              </w:rPr>
            </w:pPr>
            <w:r>
              <w:rPr>
                <w:lang w:eastAsia="zh-CN"/>
              </w:rPr>
              <w:t>spatialValidCon</w:t>
            </w:r>
          </w:p>
        </w:tc>
        <w:tc>
          <w:tcPr>
            <w:tcW w:w="1560" w:type="dxa"/>
          </w:tcPr>
          <w:p w14:paraId="42726C12" w14:textId="77777777" w:rsidR="00A10B25" w:rsidRDefault="00A10B25">
            <w:pPr>
              <w:pStyle w:val="TAL"/>
              <w:rPr>
                <w:lang w:eastAsia="zh-CN"/>
              </w:rPr>
            </w:pPr>
            <w:r>
              <w:rPr>
                <w:lang w:eastAsia="zh-CN"/>
              </w:rPr>
              <w:t>NetworkAreaInfo</w:t>
            </w:r>
          </w:p>
        </w:tc>
        <w:tc>
          <w:tcPr>
            <w:tcW w:w="425" w:type="dxa"/>
          </w:tcPr>
          <w:p w14:paraId="3AA8D88F" w14:textId="77777777" w:rsidR="00A10B25" w:rsidRDefault="00A10B25">
            <w:pPr>
              <w:pStyle w:val="TAC"/>
            </w:pPr>
            <w:r>
              <w:t>C</w:t>
            </w:r>
          </w:p>
        </w:tc>
        <w:tc>
          <w:tcPr>
            <w:tcW w:w="1134" w:type="dxa"/>
          </w:tcPr>
          <w:p w14:paraId="7A88B8F7" w14:textId="77777777" w:rsidR="00A10B25" w:rsidRDefault="00A10B25">
            <w:pPr>
              <w:pStyle w:val="TAL"/>
            </w:pPr>
            <w:r>
              <w:t>0..1</w:t>
            </w:r>
          </w:p>
        </w:tc>
        <w:tc>
          <w:tcPr>
            <w:tcW w:w="2857" w:type="dxa"/>
          </w:tcPr>
          <w:p w14:paraId="6A2CE5D2" w14:textId="77777777" w:rsidR="00A10B25" w:rsidRDefault="00A10B25">
            <w:pPr>
              <w:pStyle w:val="TAL"/>
              <w:rPr>
                <w:rFonts w:cs="Arial"/>
                <w:szCs w:val="18"/>
              </w:rPr>
            </w:pPr>
            <w:r>
              <w:rPr>
                <w:rFonts w:cs="Arial"/>
                <w:szCs w:val="18"/>
              </w:rPr>
              <w:t>Area where the Redundant Transmission Experience applies.</w:t>
            </w:r>
          </w:p>
          <w:p w14:paraId="5779A080" w14:textId="77777777" w:rsidR="00A10B25" w:rsidRDefault="00A10B25">
            <w:pPr>
              <w:pStyle w:val="TAL"/>
              <w:rPr>
                <w:rFonts w:cs="Arial"/>
                <w:szCs w:val="18"/>
              </w:rPr>
            </w:pPr>
            <w:r>
              <w:rPr>
                <w:rFonts w:cs="Arial"/>
                <w:szCs w:val="18"/>
              </w:rPr>
              <w:t>If "networkArea" attribute was provided in the request or subscription, shall be the requested network area.</w:t>
            </w:r>
          </w:p>
        </w:tc>
        <w:tc>
          <w:tcPr>
            <w:tcW w:w="1844" w:type="dxa"/>
          </w:tcPr>
          <w:p w14:paraId="700F27F6" w14:textId="77777777" w:rsidR="00A10B25" w:rsidRDefault="00A10B25">
            <w:pPr>
              <w:pStyle w:val="TAL"/>
              <w:rPr>
                <w:rFonts w:cs="Arial"/>
                <w:szCs w:val="18"/>
              </w:rPr>
            </w:pPr>
          </w:p>
        </w:tc>
      </w:tr>
      <w:tr w:rsidR="00A10B25" w14:paraId="421FCE4E" w14:textId="77777777">
        <w:trPr>
          <w:jc w:val="center"/>
        </w:trPr>
        <w:tc>
          <w:tcPr>
            <w:tcW w:w="1750" w:type="dxa"/>
          </w:tcPr>
          <w:p w14:paraId="270C62CE" w14:textId="77777777" w:rsidR="00A10B25" w:rsidRDefault="00A10B25">
            <w:pPr>
              <w:pStyle w:val="TAL"/>
              <w:rPr>
                <w:lang w:eastAsia="zh-CN"/>
              </w:rPr>
            </w:pPr>
            <w:r>
              <w:rPr>
                <w:lang w:eastAsia="zh-CN"/>
              </w:rPr>
              <w:t>dnn</w:t>
            </w:r>
          </w:p>
        </w:tc>
        <w:tc>
          <w:tcPr>
            <w:tcW w:w="1560" w:type="dxa"/>
          </w:tcPr>
          <w:p w14:paraId="21374C29" w14:textId="77777777" w:rsidR="00A10B25" w:rsidRDefault="00A10B25">
            <w:pPr>
              <w:pStyle w:val="TAL"/>
              <w:rPr>
                <w:lang w:eastAsia="zh-CN"/>
              </w:rPr>
            </w:pPr>
            <w:r>
              <w:rPr>
                <w:lang w:eastAsia="zh-CN"/>
              </w:rPr>
              <w:t>Dnn</w:t>
            </w:r>
          </w:p>
        </w:tc>
        <w:tc>
          <w:tcPr>
            <w:tcW w:w="425" w:type="dxa"/>
          </w:tcPr>
          <w:p w14:paraId="617173C5" w14:textId="77777777" w:rsidR="00A10B25" w:rsidRDefault="00A10B25">
            <w:pPr>
              <w:pStyle w:val="TAC"/>
            </w:pPr>
            <w:r>
              <w:t>C</w:t>
            </w:r>
          </w:p>
        </w:tc>
        <w:tc>
          <w:tcPr>
            <w:tcW w:w="1134" w:type="dxa"/>
          </w:tcPr>
          <w:p w14:paraId="58733338" w14:textId="77777777" w:rsidR="00A10B25" w:rsidRDefault="00A10B25">
            <w:pPr>
              <w:pStyle w:val="TAL"/>
            </w:pPr>
            <w:r>
              <w:t>0..1</w:t>
            </w:r>
          </w:p>
        </w:tc>
        <w:tc>
          <w:tcPr>
            <w:tcW w:w="2857" w:type="dxa"/>
          </w:tcPr>
          <w:p w14:paraId="5680BF56" w14:textId="77777777" w:rsidR="00A10B25" w:rsidRDefault="00A10B25">
            <w:pPr>
              <w:pStyle w:val="TAL"/>
              <w:rPr>
                <w:rFonts w:cs="Arial"/>
                <w:szCs w:val="18"/>
              </w:rPr>
            </w:pPr>
            <w:r>
              <w:rPr>
                <w:rFonts w:cs="Arial"/>
                <w:szCs w:val="18"/>
              </w:rPr>
              <w:t>Data Network Name associated for URLLC service. Shall be present if the "dnns" attribute was provided in the request or subscription.</w:t>
            </w:r>
          </w:p>
        </w:tc>
        <w:tc>
          <w:tcPr>
            <w:tcW w:w="1844" w:type="dxa"/>
          </w:tcPr>
          <w:p w14:paraId="243937D6" w14:textId="77777777" w:rsidR="00A10B25" w:rsidRDefault="00A10B25">
            <w:pPr>
              <w:pStyle w:val="TAL"/>
              <w:rPr>
                <w:rFonts w:cs="Arial"/>
                <w:szCs w:val="18"/>
              </w:rPr>
            </w:pPr>
          </w:p>
        </w:tc>
      </w:tr>
      <w:tr w:rsidR="00A10B25" w14:paraId="465F379E" w14:textId="77777777">
        <w:trPr>
          <w:jc w:val="center"/>
        </w:trPr>
        <w:tc>
          <w:tcPr>
            <w:tcW w:w="1750" w:type="dxa"/>
          </w:tcPr>
          <w:p w14:paraId="593A5DB3" w14:textId="77777777" w:rsidR="00A10B25" w:rsidRDefault="00A10B25">
            <w:pPr>
              <w:pStyle w:val="TAL"/>
              <w:rPr>
                <w:lang w:eastAsia="zh-CN"/>
              </w:rPr>
            </w:pPr>
            <w:r>
              <w:rPr>
                <w:lang w:eastAsia="zh-CN"/>
              </w:rPr>
              <w:t>redTransExps</w:t>
            </w:r>
          </w:p>
        </w:tc>
        <w:tc>
          <w:tcPr>
            <w:tcW w:w="1560" w:type="dxa"/>
          </w:tcPr>
          <w:p w14:paraId="2F29944A" w14:textId="77777777" w:rsidR="00A10B25" w:rsidRDefault="00A10B25">
            <w:pPr>
              <w:pStyle w:val="TAL"/>
              <w:rPr>
                <w:lang w:eastAsia="zh-CN"/>
              </w:rPr>
            </w:pPr>
            <w:r>
              <w:rPr>
                <w:lang w:eastAsia="zh-CN"/>
              </w:rPr>
              <w:t>array(RedundantTransmissionExpPerTS)</w:t>
            </w:r>
          </w:p>
        </w:tc>
        <w:tc>
          <w:tcPr>
            <w:tcW w:w="425" w:type="dxa"/>
          </w:tcPr>
          <w:p w14:paraId="692AA2D0" w14:textId="77777777" w:rsidR="00A10B25" w:rsidRDefault="00A10B25">
            <w:pPr>
              <w:pStyle w:val="TAC"/>
            </w:pPr>
            <w:r>
              <w:t>M</w:t>
            </w:r>
          </w:p>
        </w:tc>
        <w:tc>
          <w:tcPr>
            <w:tcW w:w="1134" w:type="dxa"/>
          </w:tcPr>
          <w:p w14:paraId="23B4EDCA" w14:textId="77777777" w:rsidR="00A10B25" w:rsidRDefault="00A10B25">
            <w:pPr>
              <w:pStyle w:val="TAL"/>
            </w:pPr>
            <w:r>
              <w:t>1..N</w:t>
            </w:r>
          </w:p>
        </w:tc>
        <w:tc>
          <w:tcPr>
            <w:tcW w:w="2857" w:type="dxa"/>
          </w:tcPr>
          <w:p w14:paraId="6F132B42" w14:textId="77777777" w:rsidR="00A10B25" w:rsidRDefault="00A10B25">
            <w:pPr>
              <w:pStyle w:val="TAL"/>
              <w:rPr>
                <w:rFonts w:cs="Arial"/>
                <w:szCs w:val="18"/>
              </w:rPr>
            </w:pPr>
            <w:r>
              <w:rPr>
                <w:rFonts w:cs="Arial"/>
                <w:szCs w:val="18"/>
              </w:rPr>
              <w:t>Redundant Transmission Experiences.</w:t>
            </w:r>
          </w:p>
        </w:tc>
        <w:tc>
          <w:tcPr>
            <w:tcW w:w="1844" w:type="dxa"/>
          </w:tcPr>
          <w:p w14:paraId="4D6F6AC0" w14:textId="77777777" w:rsidR="00A10B25" w:rsidRDefault="00A10B25">
            <w:pPr>
              <w:pStyle w:val="TAL"/>
              <w:rPr>
                <w:rFonts w:cs="Arial"/>
                <w:szCs w:val="18"/>
              </w:rPr>
            </w:pPr>
          </w:p>
        </w:tc>
      </w:tr>
    </w:tbl>
    <w:p w14:paraId="4DE58981" w14:textId="77777777" w:rsidR="00A10B25" w:rsidRDefault="00A10B25">
      <w:pPr>
        <w:rPr>
          <w:lang w:val="en-US" w:eastAsia="zh-CN"/>
        </w:rPr>
      </w:pPr>
    </w:p>
    <w:p w14:paraId="79D90349" w14:textId="77777777" w:rsidR="00A10B25" w:rsidRDefault="00A10B25">
      <w:pPr>
        <w:pStyle w:val="5"/>
      </w:pPr>
      <w:bookmarkStart w:id="7470" w:name="_Toc104539059"/>
      <w:bookmarkStart w:id="7471" w:name="_Toc145705748"/>
      <w:bookmarkStart w:id="7472" w:name="_Toc148522652"/>
      <w:bookmarkStart w:id="7473" w:name="_Toc94064305"/>
      <w:bookmarkStart w:id="7474" w:name="_Toc136562427"/>
      <w:bookmarkStart w:id="7475" w:name="_Toc138754261"/>
      <w:bookmarkStart w:id="7476" w:name="_Toc113031721"/>
      <w:bookmarkStart w:id="7477" w:name="_Toc98233690"/>
      <w:bookmarkStart w:id="7478" w:name="_Toc101244466"/>
      <w:bookmarkStart w:id="7479" w:name="_Toc114133860"/>
      <w:bookmarkStart w:id="7480" w:name="_Toc120702360"/>
      <w:bookmarkStart w:id="7481" w:name="_Toc112951181"/>
      <w:bookmarkStart w:id="7482" w:name="_Toc164920832"/>
      <w:bookmarkStart w:id="7483" w:name="_Toc170120374"/>
      <w:bookmarkStart w:id="7484" w:name="_Toc175858619"/>
      <w:bookmarkStart w:id="7485" w:name="_Toc175859692"/>
      <w:bookmarkStart w:id="7486" w:name="_Toc180605982"/>
      <w:bookmarkStart w:id="7487" w:name="_Toc185517236"/>
      <w:bookmarkStart w:id="7488" w:name="_Toc191576287"/>
      <w:bookmarkStart w:id="7489" w:name="_Toc191577027"/>
      <w:bookmarkStart w:id="7490" w:name="_Toc192880097"/>
      <w:bookmarkStart w:id="7491" w:name="_Toc195814980"/>
      <w:bookmarkStart w:id="7492" w:name="_Toc199452947"/>
      <w:r>
        <w:t>5.1.6.2.58</w:t>
      </w:r>
      <w:r>
        <w:tab/>
        <w:t>Type RedundantTransmissionExpPerTS</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155FF72A" w14:textId="77777777" w:rsidR="00A10B25" w:rsidRDefault="00A10B25">
      <w:pPr>
        <w:pStyle w:val="TH"/>
      </w:pPr>
      <w:bookmarkStart w:id="7493" w:name="_Toc101244467"/>
      <w:bookmarkStart w:id="7494" w:name="_Toc138754262"/>
      <w:bookmarkStart w:id="7495" w:name="_Toc104539060"/>
      <w:bookmarkStart w:id="7496" w:name="_Toc112951182"/>
      <w:bookmarkStart w:id="7497" w:name="_Toc113031722"/>
      <w:bookmarkStart w:id="7498" w:name="_Toc114133861"/>
      <w:bookmarkStart w:id="7499" w:name="_Toc94064306"/>
      <w:bookmarkStart w:id="7500" w:name="_Toc120702361"/>
      <w:bookmarkStart w:id="7501" w:name="_Toc136562428"/>
      <w:bookmarkStart w:id="7502" w:name="_Toc98233691"/>
      <w:r>
        <w:t>Table 5.1.6.2.58-1: Definition of type RedundantTransmissionExpPerTS</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4541F08"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1D99D29D"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31318809"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543C812F"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034BF97"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72A6E3B0"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0779BCFE" w14:textId="77777777" w:rsidR="00A10B25" w:rsidRDefault="00A10B25">
            <w:pPr>
              <w:pStyle w:val="TAH"/>
            </w:pPr>
            <w:r>
              <w:t>Applicability</w:t>
            </w:r>
          </w:p>
        </w:tc>
      </w:tr>
      <w:tr w:rsidR="00A10B25" w14:paraId="7635443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A37700B" w14:textId="77777777" w:rsidR="00A10B25" w:rsidRDefault="00A10B25">
            <w:pPr>
              <w:pStyle w:val="TAL"/>
              <w:rPr>
                <w:lang w:eastAsia="zh-CN"/>
              </w:rPr>
            </w:pPr>
            <w:r>
              <w:rPr>
                <w:lang w:eastAsia="zh-CN"/>
              </w:rPr>
              <w:t>tsStart</w:t>
            </w:r>
          </w:p>
        </w:tc>
        <w:tc>
          <w:tcPr>
            <w:tcW w:w="1560" w:type="dxa"/>
            <w:tcBorders>
              <w:top w:val="single" w:sz="6" w:space="0" w:color="auto"/>
              <w:left w:val="single" w:sz="6" w:space="0" w:color="auto"/>
              <w:bottom w:val="single" w:sz="6" w:space="0" w:color="auto"/>
              <w:right w:val="single" w:sz="6" w:space="0" w:color="auto"/>
            </w:tcBorders>
          </w:tcPr>
          <w:p w14:paraId="0BD20C53"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142F73B8"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B7709B8"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20BCDAAC"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44" w:type="dxa"/>
            <w:tcBorders>
              <w:top w:val="single" w:sz="6" w:space="0" w:color="auto"/>
              <w:left w:val="single" w:sz="6" w:space="0" w:color="auto"/>
              <w:bottom w:val="single" w:sz="6" w:space="0" w:color="auto"/>
              <w:right w:val="single" w:sz="6" w:space="0" w:color="auto"/>
            </w:tcBorders>
          </w:tcPr>
          <w:p w14:paraId="081DB1A9" w14:textId="77777777" w:rsidR="00A10B25" w:rsidRDefault="00A10B25">
            <w:pPr>
              <w:pStyle w:val="TAL"/>
              <w:rPr>
                <w:rFonts w:cs="Arial"/>
                <w:szCs w:val="18"/>
              </w:rPr>
            </w:pPr>
          </w:p>
        </w:tc>
      </w:tr>
      <w:tr w:rsidR="00A10B25" w14:paraId="5426CA39"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4869EB6" w14:textId="77777777" w:rsidR="00A10B25" w:rsidRDefault="00A10B25">
            <w:pPr>
              <w:pStyle w:val="TAL"/>
              <w:rPr>
                <w:lang w:eastAsia="zh-CN"/>
              </w:rPr>
            </w:pPr>
            <w:r>
              <w:rPr>
                <w:lang w:eastAsia="zh-CN"/>
              </w:rPr>
              <w:t>tsDuration</w:t>
            </w:r>
          </w:p>
        </w:tc>
        <w:tc>
          <w:tcPr>
            <w:tcW w:w="1560" w:type="dxa"/>
            <w:tcBorders>
              <w:top w:val="single" w:sz="6" w:space="0" w:color="auto"/>
              <w:left w:val="single" w:sz="6" w:space="0" w:color="auto"/>
              <w:bottom w:val="single" w:sz="6" w:space="0" w:color="auto"/>
              <w:right w:val="single" w:sz="6" w:space="0" w:color="auto"/>
            </w:tcBorders>
          </w:tcPr>
          <w:p w14:paraId="6B8396E3" w14:textId="77777777" w:rsidR="00A10B25" w:rsidRDefault="00A10B25">
            <w:pPr>
              <w:pStyle w:val="TAL"/>
              <w:rPr>
                <w:lang w:eastAsia="zh-CN"/>
              </w:rPr>
            </w:pPr>
            <w:r>
              <w:rPr>
                <w:lang w:eastAsia="zh-CN"/>
              </w:rPr>
              <w:t>DurationSec</w:t>
            </w:r>
          </w:p>
        </w:tc>
        <w:tc>
          <w:tcPr>
            <w:tcW w:w="425" w:type="dxa"/>
            <w:tcBorders>
              <w:top w:val="single" w:sz="6" w:space="0" w:color="auto"/>
              <w:left w:val="single" w:sz="6" w:space="0" w:color="auto"/>
              <w:bottom w:val="single" w:sz="6" w:space="0" w:color="auto"/>
              <w:right w:val="single" w:sz="6" w:space="0" w:color="auto"/>
            </w:tcBorders>
          </w:tcPr>
          <w:p w14:paraId="32407C86"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EF5F678"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6CFD58F8" w14:textId="77777777" w:rsidR="00A10B25" w:rsidRDefault="00A10B25">
            <w:pPr>
              <w:pStyle w:val="TAL"/>
              <w:rPr>
                <w:rFonts w:cs="Arial"/>
                <w:szCs w:val="18"/>
              </w:rPr>
            </w:pPr>
            <w:r>
              <w:rPr>
                <w:rFonts w:cs="Arial"/>
                <w:szCs w:val="18"/>
              </w:rPr>
              <w:t>Indicates the time slot duration.</w:t>
            </w:r>
          </w:p>
          <w:p w14:paraId="4E4B1A34" w14:textId="77777777" w:rsidR="00A10B25" w:rsidRDefault="00A10B25">
            <w:pPr>
              <w:pStyle w:val="TAL"/>
              <w:rPr>
                <w:rFonts w:cs="Arial"/>
                <w:szCs w:val="18"/>
              </w:rPr>
            </w:pPr>
            <w:r>
              <w:rPr>
                <w:rFonts w:cs="Arial"/>
                <w:szCs w:val="18"/>
              </w:rPr>
              <w:t>(</w:t>
            </w:r>
            <w:r>
              <w:t>NOTE 2</w:t>
            </w:r>
            <w:r>
              <w:rPr>
                <w:rFonts w:cs="Arial"/>
                <w:szCs w:val="18"/>
              </w:rPr>
              <w:t>)</w:t>
            </w:r>
          </w:p>
        </w:tc>
        <w:tc>
          <w:tcPr>
            <w:tcW w:w="1844" w:type="dxa"/>
            <w:tcBorders>
              <w:top w:val="single" w:sz="6" w:space="0" w:color="auto"/>
              <w:left w:val="single" w:sz="6" w:space="0" w:color="auto"/>
              <w:bottom w:val="single" w:sz="6" w:space="0" w:color="auto"/>
              <w:right w:val="single" w:sz="6" w:space="0" w:color="auto"/>
            </w:tcBorders>
          </w:tcPr>
          <w:p w14:paraId="32391D53" w14:textId="77777777" w:rsidR="00A10B25" w:rsidRDefault="00A10B25">
            <w:pPr>
              <w:pStyle w:val="TAL"/>
              <w:rPr>
                <w:rFonts w:cs="Arial"/>
                <w:szCs w:val="18"/>
              </w:rPr>
            </w:pPr>
          </w:p>
        </w:tc>
      </w:tr>
      <w:tr w:rsidR="00A10B25" w14:paraId="1B11D63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6F28DB13" w14:textId="77777777" w:rsidR="00A10B25" w:rsidRDefault="00A10B25">
            <w:pPr>
              <w:pStyle w:val="TAL"/>
              <w:rPr>
                <w:lang w:eastAsia="zh-CN"/>
              </w:rPr>
            </w:pPr>
            <w:r>
              <w:rPr>
                <w:lang w:eastAsia="zh-CN"/>
              </w:rPr>
              <w:t>obsvRedTransExp</w:t>
            </w:r>
          </w:p>
        </w:tc>
        <w:tc>
          <w:tcPr>
            <w:tcW w:w="1560" w:type="dxa"/>
            <w:tcBorders>
              <w:top w:val="single" w:sz="6" w:space="0" w:color="auto"/>
              <w:left w:val="single" w:sz="6" w:space="0" w:color="auto"/>
              <w:bottom w:val="single" w:sz="6" w:space="0" w:color="auto"/>
              <w:right w:val="single" w:sz="6" w:space="0" w:color="auto"/>
            </w:tcBorders>
          </w:tcPr>
          <w:p w14:paraId="0D695719" w14:textId="77777777" w:rsidR="00A10B25" w:rsidRDefault="00A10B25">
            <w:pPr>
              <w:pStyle w:val="TAL"/>
              <w:rPr>
                <w:lang w:eastAsia="zh-CN"/>
              </w:rPr>
            </w:pPr>
            <w:r>
              <w:t>ObservedRedundantTransExp</w:t>
            </w:r>
          </w:p>
        </w:tc>
        <w:tc>
          <w:tcPr>
            <w:tcW w:w="425" w:type="dxa"/>
            <w:tcBorders>
              <w:top w:val="single" w:sz="6" w:space="0" w:color="auto"/>
              <w:left w:val="single" w:sz="6" w:space="0" w:color="auto"/>
              <w:bottom w:val="single" w:sz="6" w:space="0" w:color="auto"/>
              <w:right w:val="single" w:sz="6" w:space="0" w:color="auto"/>
            </w:tcBorders>
          </w:tcPr>
          <w:p w14:paraId="1D3F22D7"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A2853E5"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18273E1A" w14:textId="77777777" w:rsidR="00A10B25" w:rsidRDefault="00A10B25">
            <w:pPr>
              <w:pStyle w:val="TAL"/>
              <w:rPr>
                <w:rFonts w:cs="Arial"/>
                <w:szCs w:val="18"/>
              </w:rPr>
            </w:pPr>
            <w:r>
              <w:rPr>
                <w:rFonts w:cs="Arial"/>
                <w:szCs w:val="18"/>
              </w:rPr>
              <w:t>Represents the observed Redundant Transmission Experience.</w:t>
            </w:r>
          </w:p>
        </w:tc>
        <w:tc>
          <w:tcPr>
            <w:tcW w:w="1844" w:type="dxa"/>
            <w:tcBorders>
              <w:top w:val="single" w:sz="6" w:space="0" w:color="auto"/>
              <w:left w:val="single" w:sz="6" w:space="0" w:color="auto"/>
              <w:bottom w:val="single" w:sz="6" w:space="0" w:color="auto"/>
              <w:right w:val="single" w:sz="6" w:space="0" w:color="auto"/>
            </w:tcBorders>
          </w:tcPr>
          <w:p w14:paraId="348630FB" w14:textId="77777777" w:rsidR="00A10B25" w:rsidRDefault="00A10B25">
            <w:pPr>
              <w:pStyle w:val="TAL"/>
              <w:rPr>
                <w:rFonts w:cs="Arial"/>
                <w:szCs w:val="18"/>
              </w:rPr>
            </w:pPr>
          </w:p>
        </w:tc>
      </w:tr>
      <w:tr w:rsidR="00A10B25" w14:paraId="63FBAC1F"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654BFD3" w14:textId="77777777" w:rsidR="00A10B25" w:rsidRDefault="00A10B25">
            <w:pPr>
              <w:pStyle w:val="TAL"/>
              <w:rPr>
                <w:lang w:eastAsia="zh-CN"/>
              </w:rPr>
            </w:pPr>
            <w:r>
              <w:rPr>
                <w:lang w:eastAsia="zh-CN"/>
              </w:rPr>
              <w:t>redTransStatus</w:t>
            </w:r>
          </w:p>
        </w:tc>
        <w:tc>
          <w:tcPr>
            <w:tcW w:w="1560" w:type="dxa"/>
            <w:tcBorders>
              <w:top w:val="single" w:sz="6" w:space="0" w:color="auto"/>
              <w:left w:val="single" w:sz="6" w:space="0" w:color="auto"/>
              <w:bottom w:val="single" w:sz="6" w:space="0" w:color="auto"/>
              <w:right w:val="single" w:sz="6" w:space="0" w:color="auto"/>
            </w:tcBorders>
          </w:tcPr>
          <w:p w14:paraId="4C4FB713" w14:textId="77777777" w:rsidR="00A10B25" w:rsidRDefault="00A10B25">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tcPr>
          <w:p w14:paraId="292F414D"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14E8E1F2"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530B284" w14:textId="77777777" w:rsidR="00A10B25" w:rsidRDefault="00A10B25">
            <w:pPr>
              <w:pStyle w:val="TAL"/>
              <w:rPr>
                <w:rFonts w:cs="Arial"/>
                <w:szCs w:val="18"/>
              </w:rPr>
            </w:pPr>
            <w:r>
              <w:t>Redundant Transmission Status</w:t>
            </w:r>
            <w:r>
              <w:rPr>
                <w:lang w:eastAsia="zh-CN"/>
              </w:rPr>
              <w:t xml:space="preserve">. Set to </w:t>
            </w:r>
            <w:r>
              <w:t>"true" if redundant transmission was activated</w:t>
            </w:r>
            <w:r>
              <w:rPr>
                <w:lang w:eastAsia="zh-CN"/>
              </w:rPr>
              <w:t xml:space="preserve">, otherwise set to </w:t>
            </w:r>
            <w:r>
              <w:t>"false". Default value is "false" if omitted.</w:t>
            </w:r>
          </w:p>
        </w:tc>
        <w:tc>
          <w:tcPr>
            <w:tcW w:w="1844" w:type="dxa"/>
            <w:tcBorders>
              <w:top w:val="single" w:sz="6" w:space="0" w:color="auto"/>
              <w:left w:val="single" w:sz="6" w:space="0" w:color="auto"/>
              <w:bottom w:val="single" w:sz="6" w:space="0" w:color="auto"/>
              <w:right w:val="single" w:sz="6" w:space="0" w:color="auto"/>
            </w:tcBorders>
          </w:tcPr>
          <w:p w14:paraId="783D553B" w14:textId="77777777" w:rsidR="00A10B25" w:rsidRDefault="00A10B25">
            <w:pPr>
              <w:pStyle w:val="TAL"/>
              <w:rPr>
                <w:rFonts w:cs="Arial"/>
                <w:szCs w:val="18"/>
              </w:rPr>
            </w:pPr>
          </w:p>
        </w:tc>
      </w:tr>
      <w:tr w:rsidR="00A10B25" w14:paraId="30D6D1C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9070C7C" w14:textId="77777777" w:rsidR="00A10B25" w:rsidRDefault="00A10B25">
            <w:pPr>
              <w:pStyle w:val="TAL"/>
              <w:rPr>
                <w:lang w:eastAsia="zh-CN"/>
              </w:rPr>
            </w:pPr>
            <w:r>
              <w:rPr>
                <w:lang w:eastAsia="zh-CN"/>
              </w:rPr>
              <w:t>ueRatio</w:t>
            </w:r>
          </w:p>
        </w:tc>
        <w:tc>
          <w:tcPr>
            <w:tcW w:w="1560" w:type="dxa"/>
            <w:tcBorders>
              <w:top w:val="single" w:sz="6" w:space="0" w:color="auto"/>
              <w:left w:val="single" w:sz="6" w:space="0" w:color="auto"/>
              <w:bottom w:val="single" w:sz="6" w:space="0" w:color="auto"/>
              <w:right w:val="single" w:sz="6" w:space="0" w:color="auto"/>
            </w:tcBorders>
          </w:tcPr>
          <w:p w14:paraId="2E76C81D" w14:textId="77777777" w:rsidR="00A10B25" w:rsidRDefault="00A10B25">
            <w:pPr>
              <w:pStyle w:val="TAL"/>
              <w:rPr>
                <w:lang w:eastAsia="zh-CN"/>
              </w:rPr>
            </w:pPr>
            <w:r>
              <w:rPr>
                <w:lang w:eastAsia="zh-CN"/>
              </w:rPr>
              <w:t>SamplingRatio</w:t>
            </w:r>
          </w:p>
        </w:tc>
        <w:tc>
          <w:tcPr>
            <w:tcW w:w="425" w:type="dxa"/>
            <w:tcBorders>
              <w:top w:val="single" w:sz="6" w:space="0" w:color="auto"/>
              <w:left w:val="single" w:sz="6" w:space="0" w:color="auto"/>
              <w:bottom w:val="single" w:sz="6" w:space="0" w:color="auto"/>
              <w:right w:val="single" w:sz="6" w:space="0" w:color="auto"/>
            </w:tcBorders>
          </w:tcPr>
          <w:p w14:paraId="1DE7DCED"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313222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7011F287" w14:textId="77777777" w:rsidR="00A10B25" w:rsidRDefault="00A10B25">
            <w:pPr>
              <w:pStyle w:val="TAL"/>
              <w:rPr>
                <w:rFonts w:cs="Arial"/>
                <w:szCs w:val="18"/>
              </w:rPr>
            </w:pPr>
            <w:r>
              <w:rPr>
                <w:rFonts w:cs="Arial"/>
                <w:szCs w:val="18"/>
              </w:rPr>
              <w:t>Percentage on which UE, any UE, or UE group efficiently use the PDU session with redundant transmission.</w:t>
            </w:r>
          </w:p>
        </w:tc>
        <w:tc>
          <w:tcPr>
            <w:tcW w:w="1844" w:type="dxa"/>
            <w:tcBorders>
              <w:top w:val="single" w:sz="6" w:space="0" w:color="auto"/>
              <w:left w:val="single" w:sz="6" w:space="0" w:color="auto"/>
              <w:bottom w:val="single" w:sz="6" w:space="0" w:color="auto"/>
              <w:right w:val="single" w:sz="6" w:space="0" w:color="auto"/>
            </w:tcBorders>
          </w:tcPr>
          <w:p w14:paraId="7B92265E" w14:textId="77777777" w:rsidR="00A10B25" w:rsidRDefault="00A10B25">
            <w:pPr>
              <w:pStyle w:val="TAL"/>
              <w:rPr>
                <w:rFonts w:cs="Arial"/>
                <w:szCs w:val="18"/>
              </w:rPr>
            </w:pPr>
          </w:p>
        </w:tc>
      </w:tr>
      <w:tr w:rsidR="00A10B25" w14:paraId="1770F464"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C3A4284" w14:textId="77777777" w:rsidR="00A10B25" w:rsidRDefault="00A10B25">
            <w:pPr>
              <w:pStyle w:val="TAL"/>
              <w:rPr>
                <w:lang w:eastAsia="zh-CN"/>
              </w:rPr>
            </w:pPr>
            <w:r>
              <w:rPr>
                <w:lang w:eastAsia="zh-CN"/>
              </w:rPr>
              <w:t>confidence</w:t>
            </w:r>
          </w:p>
        </w:tc>
        <w:tc>
          <w:tcPr>
            <w:tcW w:w="1560" w:type="dxa"/>
            <w:tcBorders>
              <w:top w:val="single" w:sz="6" w:space="0" w:color="auto"/>
              <w:left w:val="single" w:sz="6" w:space="0" w:color="auto"/>
              <w:bottom w:val="single" w:sz="6" w:space="0" w:color="auto"/>
              <w:right w:val="single" w:sz="6" w:space="0" w:color="auto"/>
            </w:tcBorders>
          </w:tcPr>
          <w:p w14:paraId="22169487"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574CB8F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35609EDE"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6BB7AE5" w14:textId="77777777" w:rsidR="00A10B25" w:rsidRDefault="00A10B25">
            <w:pPr>
              <w:pStyle w:val="TAL"/>
              <w:rPr>
                <w:rFonts w:cs="Arial"/>
                <w:szCs w:val="18"/>
              </w:rPr>
            </w:pPr>
            <w:r>
              <w:rPr>
                <w:rFonts w:cs="Arial"/>
                <w:szCs w:val="18"/>
              </w:rPr>
              <w:t>Indicates the confidence of the prediction. (NOTE 1)</w:t>
            </w:r>
          </w:p>
          <w:p w14:paraId="716691A2" w14:textId="77777777" w:rsidR="00A10B25" w:rsidRDefault="00A10B25">
            <w:pPr>
              <w:pStyle w:val="TAL"/>
              <w:rPr>
                <w:rFonts w:cs="Arial"/>
                <w:szCs w:val="18"/>
              </w:rPr>
            </w:pPr>
            <w:r>
              <w:rPr>
                <w:rFonts w:cs="Arial"/>
                <w:szCs w:val="18"/>
              </w:rPr>
              <w:t>Shall be present if the analytics result is a prediction.</w:t>
            </w:r>
          </w:p>
          <w:p w14:paraId="06EDEA04" w14:textId="77777777" w:rsidR="00A10B25" w:rsidRDefault="00A10B25">
            <w:pPr>
              <w:pStyle w:val="TAL"/>
              <w:rPr>
                <w:rFonts w:cs="Arial"/>
                <w:szCs w:val="18"/>
              </w:rPr>
            </w:pPr>
            <w:r>
              <w:rPr>
                <w:rFonts w:cs="Arial"/>
                <w:szCs w:val="18"/>
              </w:rPr>
              <w:t>Minimum = 0. Maximum = 100.</w:t>
            </w:r>
          </w:p>
        </w:tc>
        <w:tc>
          <w:tcPr>
            <w:tcW w:w="1844" w:type="dxa"/>
            <w:tcBorders>
              <w:top w:val="single" w:sz="6" w:space="0" w:color="auto"/>
              <w:left w:val="single" w:sz="6" w:space="0" w:color="auto"/>
              <w:bottom w:val="single" w:sz="6" w:space="0" w:color="auto"/>
              <w:right w:val="single" w:sz="6" w:space="0" w:color="auto"/>
            </w:tcBorders>
          </w:tcPr>
          <w:p w14:paraId="70376029" w14:textId="77777777" w:rsidR="00A10B25" w:rsidRDefault="00A10B25">
            <w:pPr>
              <w:pStyle w:val="TAL"/>
              <w:rPr>
                <w:rFonts w:cs="Arial"/>
                <w:szCs w:val="18"/>
              </w:rPr>
            </w:pPr>
          </w:p>
        </w:tc>
      </w:tr>
      <w:tr w:rsidR="00A10B25" w14:paraId="177EFFE0"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635C5E97" w14:textId="77777777" w:rsidR="00A10B25" w:rsidRDefault="00A10B25">
            <w:pPr>
              <w:pStyle w:val="TAN"/>
            </w:pPr>
            <w:r>
              <w:t>NOTE 1:</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69A5C4E2" w14:textId="77777777" w:rsidR="00A10B25" w:rsidRDefault="00A10B25">
            <w:pPr>
              <w:pStyle w:val="TAN"/>
              <w:rPr>
                <w:rFonts w:cs="Arial"/>
                <w:szCs w:val="18"/>
              </w:rPr>
            </w:pPr>
            <w:r>
              <w:t>NOTE 2:</w:t>
            </w:r>
            <w:r>
              <w:tab/>
              <w:t xml:space="preserve">If the "temporalGranSize" attribute is provided in the request, the duration indicated by the "tsDuration" attribute </w:t>
            </w:r>
            <w:r>
              <w:rPr>
                <w:rFonts w:cs="Arial"/>
                <w:szCs w:val="18"/>
                <w:lang w:eastAsia="zh-CN"/>
              </w:rPr>
              <w:t>shall be</w:t>
            </w:r>
            <w:r>
              <w:t xml:space="preserve"> greater than or equal to the value of the "temporalGranSize" attribute.</w:t>
            </w:r>
          </w:p>
        </w:tc>
      </w:tr>
    </w:tbl>
    <w:p w14:paraId="7E2AEBD2" w14:textId="77777777" w:rsidR="00A10B25" w:rsidRDefault="00A10B25"/>
    <w:p w14:paraId="4FA5C103" w14:textId="77777777" w:rsidR="00A10B25" w:rsidRDefault="00A10B25">
      <w:pPr>
        <w:pStyle w:val="5"/>
      </w:pPr>
      <w:bookmarkStart w:id="7503" w:name="_Toc145705749"/>
      <w:bookmarkStart w:id="7504" w:name="_Toc148522653"/>
      <w:bookmarkStart w:id="7505" w:name="_Toc164920833"/>
      <w:bookmarkStart w:id="7506" w:name="_Toc170120375"/>
      <w:bookmarkStart w:id="7507" w:name="_Toc175858620"/>
      <w:bookmarkStart w:id="7508" w:name="_Toc175859693"/>
      <w:bookmarkStart w:id="7509" w:name="_Toc180605983"/>
      <w:bookmarkStart w:id="7510" w:name="_Toc185517237"/>
      <w:bookmarkStart w:id="7511" w:name="_Toc191576288"/>
      <w:bookmarkStart w:id="7512" w:name="_Toc191577028"/>
      <w:bookmarkStart w:id="7513" w:name="_Toc192880098"/>
      <w:bookmarkStart w:id="7514" w:name="_Toc195814981"/>
      <w:bookmarkStart w:id="7515" w:name="_Toc199452948"/>
      <w:r>
        <w:lastRenderedPageBreak/>
        <w:t>5.1.6.2.59</w:t>
      </w:r>
      <w:r>
        <w:tab/>
        <w:t>Type WlanPerformanceReq</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24EA7552" w14:textId="77777777" w:rsidR="00A10B25" w:rsidRDefault="00A10B25">
      <w:pPr>
        <w:pStyle w:val="TH"/>
      </w:pPr>
      <w:r>
        <w:t>Table 5.1.6.2.59-1: Definition of type WlanPerformanceReq</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E29FC3D" w14:textId="77777777">
        <w:trPr>
          <w:jc w:val="center"/>
        </w:trPr>
        <w:tc>
          <w:tcPr>
            <w:tcW w:w="1750" w:type="dxa"/>
            <w:shd w:val="clear" w:color="auto" w:fill="C0C0C0"/>
          </w:tcPr>
          <w:p w14:paraId="51A38D79" w14:textId="77777777" w:rsidR="00A10B25" w:rsidRDefault="00A10B25">
            <w:pPr>
              <w:pStyle w:val="TAH"/>
            </w:pPr>
            <w:r>
              <w:t>Attribute name</w:t>
            </w:r>
          </w:p>
        </w:tc>
        <w:tc>
          <w:tcPr>
            <w:tcW w:w="1560" w:type="dxa"/>
            <w:shd w:val="clear" w:color="auto" w:fill="C0C0C0"/>
          </w:tcPr>
          <w:p w14:paraId="0A774E20" w14:textId="77777777" w:rsidR="00A10B25" w:rsidRDefault="00A10B25">
            <w:pPr>
              <w:pStyle w:val="TAH"/>
            </w:pPr>
            <w:r>
              <w:t>Data type</w:t>
            </w:r>
          </w:p>
        </w:tc>
        <w:tc>
          <w:tcPr>
            <w:tcW w:w="425" w:type="dxa"/>
            <w:shd w:val="clear" w:color="auto" w:fill="C0C0C0"/>
          </w:tcPr>
          <w:p w14:paraId="1DFCDC12" w14:textId="77777777" w:rsidR="00A10B25" w:rsidRDefault="00A10B25">
            <w:pPr>
              <w:pStyle w:val="TAH"/>
            </w:pPr>
            <w:r>
              <w:t>P</w:t>
            </w:r>
          </w:p>
        </w:tc>
        <w:tc>
          <w:tcPr>
            <w:tcW w:w="1134" w:type="dxa"/>
            <w:shd w:val="clear" w:color="auto" w:fill="C0C0C0"/>
          </w:tcPr>
          <w:p w14:paraId="08936C18" w14:textId="77777777" w:rsidR="00A10B25" w:rsidRDefault="00A10B25">
            <w:pPr>
              <w:pStyle w:val="TAH"/>
            </w:pPr>
            <w:r>
              <w:t>Cardinality</w:t>
            </w:r>
          </w:p>
        </w:tc>
        <w:tc>
          <w:tcPr>
            <w:tcW w:w="2857" w:type="dxa"/>
            <w:shd w:val="clear" w:color="auto" w:fill="C0C0C0"/>
          </w:tcPr>
          <w:p w14:paraId="1AA6881F" w14:textId="77777777" w:rsidR="00A10B25" w:rsidRDefault="00A10B25">
            <w:pPr>
              <w:pStyle w:val="TAH"/>
            </w:pPr>
            <w:r>
              <w:t>Description</w:t>
            </w:r>
          </w:p>
        </w:tc>
        <w:tc>
          <w:tcPr>
            <w:tcW w:w="1844" w:type="dxa"/>
            <w:shd w:val="clear" w:color="auto" w:fill="C0C0C0"/>
          </w:tcPr>
          <w:p w14:paraId="01C0D7F8" w14:textId="77777777" w:rsidR="00A10B25" w:rsidRDefault="00A10B25">
            <w:pPr>
              <w:pStyle w:val="TAH"/>
            </w:pPr>
            <w:r>
              <w:t>Applicability</w:t>
            </w:r>
          </w:p>
        </w:tc>
      </w:tr>
      <w:tr w:rsidR="00A10B25" w14:paraId="62BEB4A2" w14:textId="77777777">
        <w:trPr>
          <w:jc w:val="center"/>
        </w:trPr>
        <w:tc>
          <w:tcPr>
            <w:tcW w:w="1750" w:type="dxa"/>
          </w:tcPr>
          <w:p w14:paraId="0BBEA461" w14:textId="77777777" w:rsidR="00A10B25" w:rsidRDefault="00A10B25">
            <w:pPr>
              <w:pStyle w:val="TAL"/>
              <w:rPr>
                <w:lang w:eastAsia="zh-CN"/>
              </w:rPr>
            </w:pPr>
            <w:r>
              <w:rPr>
                <w:lang w:eastAsia="zh-CN"/>
              </w:rPr>
              <w:t>ssIds</w:t>
            </w:r>
          </w:p>
        </w:tc>
        <w:tc>
          <w:tcPr>
            <w:tcW w:w="1560" w:type="dxa"/>
          </w:tcPr>
          <w:p w14:paraId="2BB4DD27" w14:textId="77777777" w:rsidR="00A10B25" w:rsidRDefault="00A10B25">
            <w:pPr>
              <w:pStyle w:val="TAL"/>
              <w:rPr>
                <w:lang w:eastAsia="zh-CN"/>
              </w:rPr>
            </w:pPr>
            <w:r>
              <w:rPr>
                <w:lang w:eastAsia="zh-CN"/>
              </w:rPr>
              <w:t>array(string)</w:t>
            </w:r>
          </w:p>
        </w:tc>
        <w:tc>
          <w:tcPr>
            <w:tcW w:w="425" w:type="dxa"/>
          </w:tcPr>
          <w:p w14:paraId="5494F8AF" w14:textId="77777777" w:rsidR="00A10B25" w:rsidRDefault="00A10B25">
            <w:pPr>
              <w:pStyle w:val="TAC"/>
            </w:pPr>
            <w:r>
              <w:t>O</w:t>
            </w:r>
          </w:p>
        </w:tc>
        <w:tc>
          <w:tcPr>
            <w:tcW w:w="1134" w:type="dxa"/>
          </w:tcPr>
          <w:p w14:paraId="72153168" w14:textId="77777777" w:rsidR="00A10B25" w:rsidRDefault="00A10B25">
            <w:pPr>
              <w:pStyle w:val="TAL"/>
            </w:pPr>
            <w:r>
              <w:t>1..N</w:t>
            </w:r>
          </w:p>
        </w:tc>
        <w:tc>
          <w:tcPr>
            <w:tcW w:w="2857" w:type="dxa"/>
          </w:tcPr>
          <w:p w14:paraId="321548D6" w14:textId="77777777" w:rsidR="00A10B25" w:rsidRDefault="00A10B25">
            <w:pPr>
              <w:pStyle w:val="TAL"/>
              <w:rPr>
                <w:rFonts w:cs="Arial"/>
                <w:szCs w:val="18"/>
              </w:rPr>
            </w:pPr>
            <w:r>
              <w:rPr>
                <w:rFonts w:cs="Arial"/>
                <w:szCs w:val="18"/>
              </w:rPr>
              <w:t>SSIDs of WLAN access points.</w:t>
            </w:r>
          </w:p>
        </w:tc>
        <w:tc>
          <w:tcPr>
            <w:tcW w:w="1844" w:type="dxa"/>
          </w:tcPr>
          <w:p w14:paraId="7597FC80" w14:textId="77777777" w:rsidR="00A10B25" w:rsidRDefault="00A10B25">
            <w:pPr>
              <w:pStyle w:val="TAL"/>
              <w:rPr>
                <w:rFonts w:cs="Arial"/>
                <w:szCs w:val="18"/>
              </w:rPr>
            </w:pPr>
          </w:p>
        </w:tc>
      </w:tr>
      <w:tr w:rsidR="00A10B25" w14:paraId="3369B395" w14:textId="77777777">
        <w:trPr>
          <w:jc w:val="center"/>
        </w:trPr>
        <w:tc>
          <w:tcPr>
            <w:tcW w:w="1750" w:type="dxa"/>
          </w:tcPr>
          <w:p w14:paraId="492487B0" w14:textId="77777777" w:rsidR="00A10B25" w:rsidRDefault="00A10B25">
            <w:pPr>
              <w:pStyle w:val="TAL"/>
              <w:rPr>
                <w:lang w:eastAsia="zh-CN"/>
              </w:rPr>
            </w:pPr>
            <w:r>
              <w:rPr>
                <w:lang w:eastAsia="zh-CN"/>
              </w:rPr>
              <w:t>bssIds</w:t>
            </w:r>
          </w:p>
        </w:tc>
        <w:tc>
          <w:tcPr>
            <w:tcW w:w="1560" w:type="dxa"/>
          </w:tcPr>
          <w:p w14:paraId="197646CD" w14:textId="77777777" w:rsidR="00A10B25" w:rsidRDefault="00A10B25">
            <w:pPr>
              <w:pStyle w:val="TAL"/>
              <w:rPr>
                <w:lang w:eastAsia="zh-CN"/>
              </w:rPr>
            </w:pPr>
            <w:r>
              <w:rPr>
                <w:lang w:eastAsia="zh-CN"/>
              </w:rPr>
              <w:t>array(string)</w:t>
            </w:r>
          </w:p>
        </w:tc>
        <w:tc>
          <w:tcPr>
            <w:tcW w:w="425" w:type="dxa"/>
          </w:tcPr>
          <w:p w14:paraId="6986F479" w14:textId="77777777" w:rsidR="00A10B25" w:rsidRDefault="00A10B25">
            <w:pPr>
              <w:pStyle w:val="TAC"/>
            </w:pPr>
            <w:r>
              <w:t>O</w:t>
            </w:r>
          </w:p>
        </w:tc>
        <w:tc>
          <w:tcPr>
            <w:tcW w:w="1134" w:type="dxa"/>
          </w:tcPr>
          <w:p w14:paraId="795DA32A" w14:textId="77777777" w:rsidR="00A10B25" w:rsidRDefault="00A10B25">
            <w:pPr>
              <w:pStyle w:val="TAL"/>
            </w:pPr>
            <w:r>
              <w:t>1..N</w:t>
            </w:r>
          </w:p>
        </w:tc>
        <w:tc>
          <w:tcPr>
            <w:tcW w:w="2857" w:type="dxa"/>
          </w:tcPr>
          <w:p w14:paraId="184980F7" w14:textId="77777777" w:rsidR="00A10B25" w:rsidRDefault="00A10B25">
            <w:pPr>
              <w:pStyle w:val="TAL"/>
              <w:rPr>
                <w:rFonts w:cs="Arial"/>
                <w:szCs w:val="18"/>
              </w:rPr>
            </w:pPr>
            <w:r>
              <w:rPr>
                <w:rFonts w:cs="Arial"/>
                <w:szCs w:val="18"/>
              </w:rPr>
              <w:t>BSSIDs of WLAN access points.</w:t>
            </w:r>
          </w:p>
        </w:tc>
        <w:tc>
          <w:tcPr>
            <w:tcW w:w="1844" w:type="dxa"/>
          </w:tcPr>
          <w:p w14:paraId="56E53D33" w14:textId="77777777" w:rsidR="00A10B25" w:rsidRDefault="00A10B25">
            <w:pPr>
              <w:pStyle w:val="TAL"/>
              <w:rPr>
                <w:rFonts w:cs="Arial"/>
                <w:szCs w:val="18"/>
              </w:rPr>
            </w:pPr>
          </w:p>
        </w:tc>
      </w:tr>
      <w:tr w:rsidR="00A10B25" w14:paraId="343C0495" w14:textId="77777777">
        <w:trPr>
          <w:jc w:val="center"/>
        </w:trPr>
        <w:tc>
          <w:tcPr>
            <w:tcW w:w="1750" w:type="dxa"/>
          </w:tcPr>
          <w:p w14:paraId="791B1DBD" w14:textId="77777777" w:rsidR="00A10B25" w:rsidRDefault="00A10B25">
            <w:pPr>
              <w:pStyle w:val="TAL"/>
              <w:rPr>
                <w:lang w:eastAsia="zh-CN"/>
              </w:rPr>
            </w:pPr>
            <w:r>
              <w:rPr>
                <w:lang w:eastAsia="zh-CN"/>
              </w:rPr>
              <w:t>wlanOrderCriter</w:t>
            </w:r>
          </w:p>
        </w:tc>
        <w:tc>
          <w:tcPr>
            <w:tcW w:w="1560" w:type="dxa"/>
          </w:tcPr>
          <w:p w14:paraId="2050C7DC" w14:textId="77777777" w:rsidR="00A10B25" w:rsidRDefault="00A10B25">
            <w:pPr>
              <w:pStyle w:val="TAL"/>
              <w:rPr>
                <w:lang w:eastAsia="zh-CN"/>
              </w:rPr>
            </w:pPr>
            <w:r>
              <w:rPr>
                <w:lang w:eastAsia="zh-CN"/>
              </w:rPr>
              <w:t>WlanOrderingCriterion</w:t>
            </w:r>
          </w:p>
        </w:tc>
        <w:tc>
          <w:tcPr>
            <w:tcW w:w="425" w:type="dxa"/>
          </w:tcPr>
          <w:p w14:paraId="5610017C" w14:textId="77777777" w:rsidR="00A10B25" w:rsidRDefault="00A10B25">
            <w:pPr>
              <w:pStyle w:val="TAC"/>
            </w:pPr>
            <w:r>
              <w:t>O</w:t>
            </w:r>
          </w:p>
        </w:tc>
        <w:tc>
          <w:tcPr>
            <w:tcW w:w="1134" w:type="dxa"/>
          </w:tcPr>
          <w:p w14:paraId="3F15E596" w14:textId="77777777" w:rsidR="00A10B25" w:rsidRDefault="00A10B25">
            <w:pPr>
              <w:pStyle w:val="TAL"/>
            </w:pPr>
            <w:r>
              <w:t>0..1</w:t>
            </w:r>
          </w:p>
        </w:tc>
        <w:tc>
          <w:tcPr>
            <w:tcW w:w="2857" w:type="dxa"/>
          </w:tcPr>
          <w:p w14:paraId="461588C7" w14:textId="77777777" w:rsidR="00A10B25" w:rsidRDefault="00A10B25">
            <w:pPr>
              <w:pStyle w:val="TAL"/>
              <w:rPr>
                <w:rFonts w:cs="Arial"/>
                <w:szCs w:val="18"/>
              </w:rPr>
            </w:pPr>
            <w:r>
              <w:rPr>
                <w:rFonts w:cs="Arial"/>
                <w:szCs w:val="18"/>
              </w:rPr>
              <w:t>Indicates the ordering criterion for the list of WLAN performance information.</w:t>
            </w:r>
          </w:p>
        </w:tc>
        <w:tc>
          <w:tcPr>
            <w:tcW w:w="1844" w:type="dxa"/>
          </w:tcPr>
          <w:p w14:paraId="432D199A" w14:textId="77777777" w:rsidR="00A10B25" w:rsidRDefault="00A10B25">
            <w:pPr>
              <w:pStyle w:val="TAL"/>
              <w:rPr>
                <w:rFonts w:cs="Arial"/>
                <w:szCs w:val="18"/>
              </w:rPr>
            </w:pPr>
          </w:p>
        </w:tc>
      </w:tr>
      <w:tr w:rsidR="00A10B25" w14:paraId="509DCCB2" w14:textId="77777777">
        <w:trPr>
          <w:jc w:val="center"/>
        </w:trPr>
        <w:tc>
          <w:tcPr>
            <w:tcW w:w="1750" w:type="dxa"/>
          </w:tcPr>
          <w:p w14:paraId="7D88A796" w14:textId="77777777" w:rsidR="00A10B25" w:rsidRDefault="00A10B25">
            <w:pPr>
              <w:pStyle w:val="TAL"/>
              <w:rPr>
                <w:lang w:eastAsia="zh-CN"/>
              </w:rPr>
            </w:pPr>
            <w:r>
              <w:rPr>
                <w:lang w:eastAsia="zh-CN"/>
              </w:rPr>
              <w:t>order</w:t>
            </w:r>
          </w:p>
        </w:tc>
        <w:tc>
          <w:tcPr>
            <w:tcW w:w="1560" w:type="dxa"/>
          </w:tcPr>
          <w:p w14:paraId="7E920F10" w14:textId="77777777" w:rsidR="00A10B25" w:rsidRDefault="00A10B25">
            <w:pPr>
              <w:pStyle w:val="TAL"/>
              <w:rPr>
                <w:lang w:eastAsia="zh-CN"/>
              </w:rPr>
            </w:pPr>
            <w:r>
              <w:rPr>
                <w:lang w:eastAsia="zh-CN"/>
              </w:rPr>
              <w:t>MatchingDirection</w:t>
            </w:r>
          </w:p>
        </w:tc>
        <w:tc>
          <w:tcPr>
            <w:tcW w:w="425" w:type="dxa"/>
          </w:tcPr>
          <w:p w14:paraId="4458D678" w14:textId="77777777" w:rsidR="00A10B25" w:rsidRDefault="00A10B25">
            <w:pPr>
              <w:pStyle w:val="TAC"/>
            </w:pPr>
            <w:r>
              <w:t>O</w:t>
            </w:r>
          </w:p>
        </w:tc>
        <w:tc>
          <w:tcPr>
            <w:tcW w:w="1134" w:type="dxa"/>
          </w:tcPr>
          <w:p w14:paraId="1F288499" w14:textId="77777777" w:rsidR="00A10B25" w:rsidRDefault="00A10B25">
            <w:pPr>
              <w:pStyle w:val="TAL"/>
            </w:pPr>
            <w:r>
              <w:t>0..1</w:t>
            </w:r>
          </w:p>
        </w:tc>
        <w:tc>
          <w:tcPr>
            <w:tcW w:w="2857" w:type="dxa"/>
          </w:tcPr>
          <w:p w14:paraId="7073B49A" w14:textId="77777777" w:rsidR="00A10B25" w:rsidRDefault="00A10B25">
            <w:pPr>
              <w:pStyle w:val="TAL"/>
              <w:rPr>
                <w:rFonts w:cs="Arial"/>
                <w:szCs w:val="18"/>
              </w:rPr>
            </w:pPr>
            <w:r>
              <w:rPr>
                <w:rFonts w:cs="Arial"/>
                <w:szCs w:val="18"/>
              </w:rPr>
              <w:t>Indicate the order: ascending or descending. May be present when the "wlanOrderCriter" attribute is included.</w:t>
            </w:r>
            <w:r>
              <w:rPr>
                <w:rFonts w:eastAsia="Times New Roman" w:cs="Arial"/>
                <w:szCs w:val="18"/>
              </w:rPr>
              <w:t xml:space="preserve"> (NOTE</w:t>
            </w:r>
            <w:r>
              <w:rPr>
                <w:lang w:eastAsia="zh-CN"/>
              </w:rPr>
              <w:t> 1</w:t>
            </w:r>
            <w:r>
              <w:rPr>
                <w:rFonts w:eastAsia="Times New Roman" w:cs="Arial"/>
                <w:szCs w:val="18"/>
              </w:rPr>
              <w:t>)</w:t>
            </w:r>
          </w:p>
        </w:tc>
        <w:tc>
          <w:tcPr>
            <w:tcW w:w="1844" w:type="dxa"/>
          </w:tcPr>
          <w:p w14:paraId="21E45BAD" w14:textId="77777777" w:rsidR="00A10B25" w:rsidRDefault="00A10B25">
            <w:pPr>
              <w:pStyle w:val="TAL"/>
              <w:rPr>
                <w:rFonts w:cs="Arial"/>
                <w:szCs w:val="18"/>
              </w:rPr>
            </w:pPr>
          </w:p>
        </w:tc>
      </w:tr>
      <w:tr w:rsidR="00A10B25" w14:paraId="55D2A12E" w14:textId="77777777">
        <w:trPr>
          <w:trHeight w:val="300"/>
          <w:jc w:val="center"/>
        </w:trPr>
        <w:tc>
          <w:tcPr>
            <w:tcW w:w="9570" w:type="dxa"/>
            <w:gridSpan w:val="6"/>
          </w:tcPr>
          <w:p w14:paraId="50C2A221" w14:textId="77777777" w:rsidR="00A10B25" w:rsidRDefault="00A10B25">
            <w:pPr>
              <w:pStyle w:val="TAN"/>
              <w:ind w:left="400" w:hanging="400"/>
              <w:rPr>
                <w:rFonts w:cs="Arial"/>
                <w:szCs w:val="18"/>
              </w:rPr>
            </w:pPr>
            <w:r>
              <w:t>NOTE</w:t>
            </w:r>
            <w:r>
              <w:rPr>
                <w:lang w:eastAsia="zh-CN"/>
              </w:rPr>
              <w:t> 1</w:t>
            </w:r>
            <w:r>
              <w:t>:</w:t>
            </w:r>
            <w:r>
              <w:tab/>
              <w:t>"CROSSED" value in data type "MatchingDirection" is not applicable for the "order" attribute.</w:t>
            </w:r>
          </w:p>
        </w:tc>
      </w:tr>
    </w:tbl>
    <w:p w14:paraId="0C7E4FB6" w14:textId="77777777" w:rsidR="00A10B25" w:rsidRDefault="00A10B25">
      <w:pPr>
        <w:rPr>
          <w:lang w:val="en-US" w:eastAsia="zh-CN"/>
        </w:rPr>
      </w:pPr>
    </w:p>
    <w:p w14:paraId="64C49F1B" w14:textId="77777777" w:rsidR="00A10B25" w:rsidRDefault="00A10B25">
      <w:pPr>
        <w:pStyle w:val="5"/>
      </w:pPr>
      <w:bookmarkStart w:id="7516" w:name="_Toc114133862"/>
      <w:bookmarkStart w:id="7517" w:name="_Toc148522654"/>
      <w:bookmarkStart w:id="7518" w:name="_Toc145705750"/>
      <w:bookmarkStart w:id="7519" w:name="_Toc104539061"/>
      <w:bookmarkStart w:id="7520" w:name="_Toc94064307"/>
      <w:bookmarkStart w:id="7521" w:name="_Toc113031723"/>
      <w:bookmarkStart w:id="7522" w:name="_Toc138754263"/>
      <w:bookmarkStart w:id="7523" w:name="_Toc136562429"/>
      <w:bookmarkStart w:id="7524" w:name="_Toc112951183"/>
      <w:bookmarkStart w:id="7525" w:name="_Toc98233692"/>
      <w:bookmarkStart w:id="7526" w:name="_Toc101244468"/>
      <w:bookmarkStart w:id="7527" w:name="_Toc120702362"/>
      <w:bookmarkStart w:id="7528" w:name="_Toc164920834"/>
      <w:bookmarkStart w:id="7529" w:name="_Toc170120376"/>
      <w:bookmarkStart w:id="7530" w:name="_Toc175858621"/>
      <w:bookmarkStart w:id="7531" w:name="_Toc175859694"/>
      <w:bookmarkStart w:id="7532" w:name="_Toc180605984"/>
      <w:bookmarkStart w:id="7533" w:name="_Toc185517238"/>
      <w:bookmarkStart w:id="7534" w:name="_Toc191576289"/>
      <w:bookmarkStart w:id="7535" w:name="_Toc191577029"/>
      <w:bookmarkStart w:id="7536" w:name="_Toc192880099"/>
      <w:bookmarkStart w:id="7537" w:name="_Toc195814982"/>
      <w:bookmarkStart w:id="7538" w:name="_Toc199452949"/>
      <w:r>
        <w:t>5.1.6.2.60</w:t>
      </w:r>
      <w:r>
        <w:tab/>
        <w:t>Type WlanPerformanceInfo</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6618AC2B" w14:textId="77777777" w:rsidR="00A10B25" w:rsidRDefault="00A10B25">
      <w:pPr>
        <w:pStyle w:val="TH"/>
      </w:pPr>
      <w:r>
        <w:t>Table 5.1.6.2.60-1: Definition of type WlanPerformanceInfo</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36ED030" w14:textId="77777777">
        <w:trPr>
          <w:jc w:val="center"/>
        </w:trPr>
        <w:tc>
          <w:tcPr>
            <w:tcW w:w="1750" w:type="dxa"/>
            <w:shd w:val="clear" w:color="auto" w:fill="C0C0C0"/>
          </w:tcPr>
          <w:p w14:paraId="5B91D3E6" w14:textId="77777777" w:rsidR="00A10B25" w:rsidRDefault="00A10B25">
            <w:pPr>
              <w:pStyle w:val="TAH"/>
            </w:pPr>
            <w:r>
              <w:t>Attribute name</w:t>
            </w:r>
          </w:p>
        </w:tc>
        <w:tc>
          <w:tcPr>
            <w:tcW w:w="1560" w:type="dxa"/>
            <w:shd w:val="clear" w:color="auto" w:fill="C0C0C0"/>
          </w:tcPr>
          <w:p w14:paraId="047AF613" w14:textId="77777777" w:rsidR="00A10B25" w:rsidRDefault="00A10B25">
            <w:pPr>
              <w:pStyle w:val="TAH"/>
            </w:pPr>
            <w:r>
              <w:t>Data type</w:t>
            </w:r>
          </w:p>
        </w:tc>
        <w:tc>
          <w:tcPr>
            <w:tcW w:w="425" w:type="dxa"/>
            <w:shd w:val="clear" w:color="auto" w:fill="C0C0C0"/>
          </w:tcPr>
          <w:p w14:paraId="7C3EF05E" w14:textId="77777777" w:rsidR="00A10B25" w:rsidRDefault="00A10B25">
            <w:pPr>
              <w:pStyle w:val="TAH"/>
            </w:pPr>
            <w:r>
              <w:t>P</w:t>
            </w:r>
          </w:p>
        </w:tc>
        <w:tc>
          <w:tcPr>
            <w:tcW w:w="1134" w:type="dxa"/>
            <w:shd w:val="clear" w:color="auto" w:fill="C0C0C0"/>
          </w:tcPr>
          <w:p w14:paraId="15985291" w14:textId="77777777" w:rsidR="00A10B25" w:rsidRDefault="00A10B25">
            <w:pPr>
              <w:pStyle w:val="TAH"/>
            </w:pPr>
            <w:r>
              <w:t>Cardinality</w:t>
            </w:r>
          </w:p>
        </w:tc>
        <w:tc>
          <w:tcPr>
            <w:tcW w:w="2857" w:type="dxa"/>
            <w:shd w:val="clear" w:color="auto" w:fill="C0C0C0"/>
          </w:tcPr>
          <w:p w14:paraId="0FA44771" w14:textId="77777777" w:rsidR="00A10B25" w:rsidRDefault="00A10B25">
            <w:pPr>
              <w:pStyle w:val="TAH"/>
            </w:pPr>
            <w:r>
              <w:t>Description</w:t>
            </w:r>
          </w:p>
        </w:tc>
        <w:tc>
          <w:tcPr>
            <w:tcW w:w="1844" w:type="dxa"/>
            <w:shd w:val="clear" w:color="auto" w:fill="C0C0C0"/>
          </w:tcPr>
          <w:p w14:paraId="2C556775" w14:textId="77777777" w:rsidR="00A10B25" w:rsidRDefault="00A10B25">
            <w:pPr>
              <w:pStyle w:val="TAH"/>
            </w:pPr>
            <w:r>
              <w:t>Applicability</w:t>
            </w:r>
          </w:p>
        </w:tc>
      </w:tr>
      <w:tr w:rsidR="00A10B25" w14:paraId="3AF2C6EE" w14:textId="77777777">
        <w:trPr>
          <w:jc w:val="center"/>
        </w:trPr>
        <w:tc>
          <w:tcPr>
            <w:tcW w:w="1750" w:type="dxa"/>
          </w:tcPr>
          <w:p w14:paraId="2D35B5BA" w14:textId="77777777" w:rsidR="00A10B25" w:rsidRDefault="00A10B25">
            <w:pPr>
              <w:pStyle w:val="TAL"/>
              <w:rPr>
                <w:lang w:eastAsia="zh-CN"/>
              </w:rPr>
            </w:pPr>
            <w:r>
              <w:rPr>
                <w:lang w:eastAsia="zh-CN"/>
              </w:rPr>
              <w:t>networkArea</w:t>
            </w:r>
          </w:p>
        </w:tc>
        <w:tc>
          <w:tcPr>
            <w:tcW w:w="1560" w:type="dxa"/>
          </w:tcPr>
          <w:p w14:paraId="008976D1" w14:textId="77777777" w:rsidR="00A10B25" w:rsidRDefault="00A10B25">
            <w:pPr>
              <w:pStyle w:val="TAL"/>
              <w:rPr>
                <w:lang w:eastAsia="zh-CN"/>
              </w:rPr>
            </w:pPr>
            <w:r>
              <w:rPr>
                <w:lang w:eastAsia="zh-CN"/>
              </w:rPr>
              <w:t>NetworkAreaInfo</w:t>
            </w:r>
          </w:p>
        </w:tc>
        <w:tc>
          <w:tcPr>
            <w:tcW w:w="425" w:type="dxa"/>
          </w:tcPr>
          <w:p w14:paraId="349FE606" w14:textId="77777777" w:rsidR="00A10B25" w:rsidRDefault="00A10B25">
            <w:pPr>
              <w:pStyle w:val="TAC"/>
            </w:pPr>
            <w:r>
              <w:t>C</w:t>
            </w:r>
          </w:p>
        </w:tc>
        <w:tc>
          <w:tcPr>
            <w:tcW w:w="1134" w:type="dxa"/>
          </w:tcPr>
          <w:p w14:paraId="75485390" w14:textId="77777777" w:rsidR="00A10B25" w:rsidRDefault="00A10B25">
            <w:pPr>
              <w:pStyle w:val="TAL"/>
            </w:pPr>
            <w:r>
              <w:t>0..1</w:t>
            </w:r>
          </w:p>
        </w:tc>
        <w:tc>
          <w:tcPr>
            <w:tcW w:w="2857" w:type="dxa"/>
          </w:tcPr>
          <w:p w14:paraId="72BAA96B" w14:textId="77777777" w:rsidR="00A10B25" w:rsidRDefault="00A10B25">
            <w:pPr>
              <w:pStyle w:val="TAL"/>
              <w:rPr>
                <w:rFonts w:cs="Arial"/>
                <w:szCs w:val="18"/>
              </w:rPr>
            </w:pPr>
            <w:r>
              <w:rPr>
                <w:rFonts w:cs="Arial"/>
                <w:szCs w:val="18"/>
              </w:rPr>
              <w:t xml:space="preserve">A list of TAIs or Cell Ids as the Area of Interest where the WLAN performance analytics applies. Shall be present if the </w:t>
            </w:r>
            <w:r>
              <w:t>"networkArea" attribute is included in the event subscription or analytics request.</w:t>
            </w:r>
          </w:p>
        </w:tc>
        <w:tc>
          <w:tcPr>
            <w:tcW w:w="1844" w:type="dxa"/>
          </w:tcPr>
          <w:p w14:paraId="7E0257E4" w14:textId="77777777" w:rsidR="00A10B25" w:rsidRDefault="00A10B25">
            <w:pPr>
              <w:pStyle w:val="TAL"/>
              <w:rPr>
                <w:rFonts w:cs="Arial"/>
                <w:szCs w:val="18"/>
              </w:rPr>
            </w:pPr>
          </w:p>
        </w:tc>
      </w:tr>
      <w:tr w:rsidR="00A10B25" w14:paraId="6A140F7F" w14:textId="77777777">
        <w:trPr>
          <w:jc w:val="center"/>
        </w:trPr>
        <w:tc>
          <w:tcPr>
            <w:tcW w:w="1750" w:type="dxa"/>
          </w:tcPr>
          <w:p w14:paraId="0EC6711B" w14:textId="77777777" w:rsidR="00A10B25" w:rsidRDefault="00A10B25">
            <w:pPr>
              <w:pStyle w:val="TAL"/>
              <w:rPr>
                <w:lang w:eastAsia="zh-CN"/>
              </w:rPr>
            </w:pPr>
            <w:r>
              <w:rPr>
                <w:lang w:eastAsia="zh-CN"/>
              </w:rPr>
              <w:t>wlanPerSsidInfos</w:t>
            </w:r>
          </w:p>
        </w:tc>
        <w:tc>
          <w:tcPr>
            <w:tcW w:w="1560" w:type="dxa"/>
          </w:tcPr>
          <w:p w14:paraId="6DEDC7B6" w14:textId="77777777" w:rsidR="00A10B25" w:rsidRDefault="00A10B25">
            <w:pPr>
              <w:pStyle w:val="TAL"/>
              <w:rPr>
                <w:lang w:eastAsia="zh-CN"/>
              </w:rPr>
            </w:pPr>
            <w:r>
              <w:rPr>
                <w:lang w:eastAsia="zh-CN"/>
              </w:rPr>
              <w:t>array(WlanPerSsIdPerformanceInfo)</w:t>
            </w:r>
          </w:p>
        </w:tc>
        <w:tc>
          <w:tcPr>
            <w:tcW w:w="425" w:type="dxa"/>
          </w:tcPr>
          <w:p w14:paraId="56138614" w14:textId="77777777" w:rsidR="00A10B25" w:rsidRDefault="00A10B25">
            <w:pPr>
              <w:pStyle w:val="TAC"/>
            </w:pPr>
            <w:r>
              <w:t>M</w:t>
            </w:r>
          </w:p>
        </w:tc>
        <w:tc>
          <w:tcPr>
            <w:tcW w:w="1134" w:type="dxa"/>
          </w:tcPr>
          <w:p w14:paraId="460B9BEF" w14:textId="77777777" w:rsidR="00A10B25" w:rsidRDefault="00A10B25">
            <w:pPr>
              <w:pStyle w:val="TAL"/>
            </w:pPr>
            <w:r>
              <w:t>1..N</w:t>
            </w:r>
          </w:p>
        </w:tc>
        <w:tc>
          <w:tcPr>
            <w:tcW w:w="2857" w:type="dxa"/>
          </w:tcPr>
          <w:p w14:paraId="466A0487" w14:textId="77777777" w:rsidR="00A10B25" w:rsidRDefault="00A10B25">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6C3C8DAD" w14:textId="77777777" w:rsidR="00A10B25" w:rsidRDefault="00A10B25">
            <w:pPr>
              <w:pStyle w:val="TAL"/>
              <w:rPr>
                <w:rFonts w:cs="Arial"/>
                <w:szCs w:val="18"/>
              </w:rPr>
            </w:pPr>
          </w:p>
        </w:tc>
      </w:tr>
      <w:tr w:rsidR="00A10B25" w14:paraId="18DCCE35" w14:textId="77777777">
        <w:trPr>
          <w:jc w:val="center"/>
        </w:trPr>
        <w:tc>
          <w:tcPr>
            <w:tcW w:w="1750" w:type="dxa"/>
          </w:tcPr>
          <w:p w14:paraId="1EA35979" w14:textId="77777777" w:rsidR="00A10B25" w:rsidRDefault="00A10B25">
            <w:pPr>
              <w:pStyle w:val="TAL"/>
              <w:rPr>
                <w:lang w:eastAsia="zh-CN"/>
              </w:rPr>
            </w:pPr>
            <w:r>
              <w:rPr>
                <w:lang w:eastAsia="zh-CN"/>
              </w:rPr>
              <w:t>wlanPerUeIdInfos</w:t>
            </w:r>
          </w:p>
        </w:tc>
        <w:tc>
          <w:tcPr>
            <w:tcW w:w="1560" w:type="dxa"/>
          </w:tcPr>
          <w:p w14:paraId="7BAC44BB" w14:textId="77777777" w:rsidR="00A10B25" w:rsidRDefault="00A10B25">
            <w:pPr>
              <w:pStyle w:val="TAL"/>
              <w:rPr>
                <w:lang w:eastAsia="zh-CN"/>
              </w:rPr>
            </w:pPr>
            <w:r>
              <w:rPr>
                <w:lang w:eastAsia="zh-CN"/>
              </w:rPr>
              <w:t>array(WlanPerUeIdPerformanceInfo)</w:t>
            </w:r>
          </w:p>
        </w:tc>
        <w:tc>
          <w:tcPr>
            <w:tcW w:w="425" w:type="dxa"/>
          </w:tcPr>
          <w:p w14:paraId="1AD5A89B" w14:textId="77777777" w:rsidR="00A10B25" w:rsidRDefault="00A10B25">
            <w:pPr>
              <w:pStyle w:val="TAC"/>
            </w:pPr>
            <w:r>
              <w:rPr>
                <w:rFonts w:hint="eastAsia"/>
                <w:lang w:eastAsia="zh-CN"/>
              </w:rPr>
              <w:t>O</w:t>
            </w:r>
          </w:p>
        </w:tc>
        <w:tc>
          <w:tcPr>
            <w:tcW w:w="1134" w:type="dxa"/>
          </w:tcPr>
          <w:p w14:paraId="11B200BA" w14:textId="77777777" w:rsidR="00A10B25" w:rsidRDefault="00A10B25">
            <w:pPr>
              <w:pStyle w:val="TAL"/>
            </w:pPr>
            <w:r>
              <w:t>1..N</w:t>
            </w:r>
          </w:p>
        </w:tc>
        <w:tc>
          <w:tcPr>
            <w:tcW w:w="2857" w:type="dxa"/>
          </w:tcPr>
          <w:p w14:paraId="74D29ECF" w14:textId="77777777" w:rsidR="00A10B25" w:rsidRDefault="00A10B25">
            <w:pPr>
              <w:pStyle w:val="TAL"/>
              <w:rPr>
                <w:rFonts w:cs="Arial"/>
                <w:szCs w:val="18"/>
              </w:rPr>
            </w:pPr>
            <w:r>
              <w:rPr>
                <w:rFonts w:cs="Arial"/>
                <w:szCs w:val="18"/>
              </w:rPr>
              <w:t>WLAN performance information for UE Id(s) of WLAN access points deployed in the Area of Interest</w:t>
            </w:r>
            <w:r>
              <w:rPr>
                <w:rFonts w:cs="Arial" w:hint="eastAsia"/>
                <w:szCs w:val="18"/>
                <w:lang w:eastAsia="zh-CN"/>
              </w:rPr>
              <w:t>.</w:t>
            </w:r>
          </w:p>
        </w:tc>
        <w:tc>
          <w:tcPr>
            <w:tcW w:w="1844" w:type="dxa"/>
          </w:tcPr>
          <w:p w14:paraId="4F2350BA" w14:textId="77777777" w:rsidR="00A10B25" w:rsidRDefault="00A10B25">
            <w:pPr>
              <w:pStyle w:val="TAL"/>
              <w:rPr>
                <w:rFonts w:cs="Arial"/>
                <w:szCs w:val="18"/>
              </w:rPr>
            </w:pPr>
            <w:r>
              <w:t>WlanPerformanceExt_AIML</w:t>
            </w:r>
          </w:p>
        </w:tc>
      </w:tr>
    </w:tbl>
    <w:p w14:paraId="69DF8A8A" w14:textId="77777777" w:rsidR="00A10B25" w:rsidRDefault="00A10B25">
      <w:pPr>
        <w:rPr>
          <w:lang w:val="en-US" w:eastAsia="zh-CN"/>
        </w:rPr>
      </w:pPr>
    </w:p>
    <w:p w14:paraId="3FD2AE51" w14:textId="77777777" w:rsidR="00A10B25" w:rsidRDefault="00A10B25">
      <w:pPr>
        <w:pStyle w:val="5"/>
      </w:pPr>
      <w:bookmarkStart w:id="7539" w:name="_Toc114133863"/>
      <w:bookmarkStart w:id="7540" w:name="_Toc138754264"/>
      <w:bookmarkStart w:id="7541" w:name="_Toc145705751"/>
      <w:bookmarkStart w:id="7542" w:name="_Toc113031724"/>
      <w:bookmarkStart w:id="7543" w:name="_Toc136562430"/>
      <w:bookmarkStart w:id="7544" w:name="_Toc94064308"/>
      <w:bookmarkStart w:id="7545" w:name="_Toc112951184"/>
      <w:bookmarkStart w:id="7546" w:name="_Toc104539062"/>
      <w:bookmarkStart w:id="7547" w:name="_Toc148522655"/>
      <w:bookmarkStart w:id="7548" w:name="_Toc101244469"/>
      <w:bookmarkStart w:id="7549" w:name="_Toc98233693"/>
      <w:bookmarkStart w:id="7550" w:name="_Toc120702363"/>
      <w:bookmarkStart w:id="7551" w:name="_Toc164920835"/>
      <w:bookmarkStart w:id="7552" w:name="_Toc170120377"/>
      <w:bookmarkStart w:id="7553" w:name="_Toc175858622"/>
      <w:bookmarkStart w:id="7554" w:name="_Toc175859695"/>
      <w:bookmarkStart w:id="7555" w:name="_Toc180605985"/>
      <w:bookmarkStart w:id="7556" w:name="_Toc185517239"/>
      <w:bookmarkStart w:id="7557" w:name="_Toc191576290"/>
      <w:bookmarkStart w:id="7558" w:name="_Toc191577030"/>
      <w:bookmarkStart w:id="7559" w:name="_Toc192880100"/>
      <w:bookmarkStart w:id="7560" w:name="_Toc195814983"/>
      <w:bookmarkStart w:id="7561" w:name="_Toc199452950"/>
      <w:r>
        <w:t>5.1.6.2.61</w:t>
      </w:r>
      <w:r>
        <w:tab/>
        <w:t>Type WlanPerSsIdPerformanceInfo</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10763FA2" w14:textId="77777777" w:rsidR="00A10B25" w:rsidRDefault="00A10B25">
      <w:pPr>
        <w:pStyle w:val="TH"/>
      </w:pPr>
      <w:r>
        <w:t>Table 5.1.6.2.61-1: Definition of type WlanPerSsIdPerformanceInfo</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148ED24D" w14:textId="77777777">
        <w:trPr>
          <w:jc w:val="center"/>
        </w:trPr>
        <w:tc>
          <w:tcPr>
            <w:tcW w:w="1750" w:type="dxa"/>
            <w:shd w:val="clear" w:color="auto" w:fill="C0C0C0"/>
          </w:tcPr>
          <w:p w14:paraId="2373D40A" w14:textId="77777777" w:rsidR="00A10B25" w:rsidRDefault="00A10B25">
            <w:pPr>
              <w:pStyle w:val="TAH"/>
            </w:pPr>
            <w:r>
              <w:t>Attribute name</w:t>
            </w:r>
          </w:p>
        </w:tc>
        <w:tc>
          <w:tcPr>
            <w:tcW w:w="1560" w:type="dxa"/>
            <w:shd w:val="clear" w:color="auto" w:fill="C0C0C0"/>
          </w:tcPr>
          <w:p w14:paraId="2D9A413A" w14:textId="77777777" w:rsidR="00A10B25" w:rsidRDefault="00A10B25">
            <w:pPr>
              <w:pStyle w:val="TAH"/>
            </w:pPr>
            <w:r>
              <w:t>Data type</w:t>
            </w:r>
          </w:p>
        </w:tc>
        <w:tc>
          <w:tcPr>
            <w:tcW w:w="425" w:type="dxa"/>
            <w:shd w:val="clear" w:color="auto" w:fill="C0C0C0"/>
          </w:tcPr>
          <w:p w14:paraId="11C50D63" w14:textId="77777777" w:rsidR="00A10B25" w:rsidRDefault="00A10B25">
            <w:pPr>
              <w:pStyle w:val="TAH"/>
            </w:pPr>
            <w:r>
              <w:t>P</w:t>
            </w:r>
          </w:p>
        </w:tc>
        <w:tc>
          <w:tcPr>
            <w:tcW w:w="1134" w:type="dxa"/>
            <w:shd w:val="clear" w:color="auto" w:fill="C0C0C0"/>
          </w:tcPr>
          <w:p w14:paraId="4F9F5519" w14:textId="77777777" w:rsidR="00A10B25" w:rsidRDefault="00A10B25">
            <w:pPr>
              <w:pStyle w:val="TAH"/>
            </w:pPr>
            <w:r>
              <w:t>Cardinality</w:t>
            </w:r>
          </w:p>
        </w:tc>
        <w:tc>
          <w:tcPr>
            <w:tcW w:w="2857" w:type="dxa"/>
            <w:shd w:val="clear" w:color="auto" w:fill="C0C0C0"/>
          </w:tcPr>
          <w:p w14:paraId="2E907A86" w14:textId="77777777" w:rsidR="00A10B25" w:rsidRDefault="00A10B25">
            <w:pPr>
              <w:pStyle w:val="TAH"/>
            </w:pPr>
            <w:r>
              <w:t>Description</w:t>
            </w:r>
          </w:p>
        </w:tc>
        <w:tc>
          <w:tcPr>
            <w:tcW w:w="1844" w:type="dxa"/>
            <w:shd w:val="clear" w:color="auto" w:fill="C0C0C0"/>
          </w:tcPr>
          <w:p w14:paraId="77B9235E" w14:textId="77777777" w:rsidR="00A10B25" w:rsidRDefault="00A10B25">
            <w:pPr>
              <w:pStyle w:val="TAH"/>
            </w:pPr>
            <w:r>
              <w:t>Applicability</w:t>
            </w:r>
          </w:p>
        </w:tc>
      </w:tr>
      <w:tr w:rsidR="00A10B25" w14:paraId="072520DF" w14:textId="77777777">
        <w:trPr>
          <w:jc w:val="center"/>
        </w:trPr>
        <w:tc>
          <w:tcPr>
            <w:tcW w:w="1750" w:type="dxa"/>
          </w:tcPr>
          <w:p w14:paraId="46267EE8" w14:textId="77777777" w:rsidR="00A10B25" w:rsidRDefault="00A10B25">
            <w:pPr>
              <w:pStyle w:val="TAL"/>
              <w:rPr>
                <w:lang w:eastAsia="zh-CN"/>
              </w:rPr>
            </w:pPr>
            <w:r>
              <w:rPr>
                <w:lang w:eastAsia="zh-CN"/>
              </w:rPr>
              <w:t>ssId</w:t>
            </w:r>
          </w:p>
        </w:tc>
        <w:tc>
          <w:tcPr>
            <w:tcW w:w="1560" w:type="dxa"/>
          </w:tcPr>
          <w:p w14:paraId="4DDF6731" w14:textId="77777777" w:rsidR="00A10B25" w:rsidRDefault="00A10B25">
            <w:pPr>
              <w:pStyle w:val="TAL"/>
              <w:rPr>
                <w:lang w:eastAsia="zh-CN"/>
              </w:rPr>
            </w:pPr>
            <w:r>
              <w:rPr>
                <w:lang w:eastAsia="zh-CN"/>
              </w:rPr>
              <w:t>string</w:t>
            </w:r>
          </w:p>
        </w:tc>
        <w:tc>
          <w:tcPr>
            <w:tcW w:w="425" w:type="dxa"/>
          </w:tcPr>
          <w:p w14:paraId="0E86A5A2" w14:textId="77777777" w:rsidR="00A10B25" w:rsidRDefault="00A10B25">
            <w:pPr>
              <w:pStyle w:val="TAC"/>
            </w:pPr>
            <w:r>
              <w:t>M</w:t>
            </w:r>
          </w:p>
        </w:tc>
        <w:tc>
          <w:tcPr>
            <w:tcW w:w="1134" w:type="dxa"/>
          </w:tcPr>
          <w:p w14:paraId="5E8D01BB" w14:textId="77777777" w:rsidR="00A10B25" w:rsidRDefault="00A10B25">
            <w:pPr>
              <w:pStyle w:val="TAL"/>
            </w:pPr>
            <w:r>
              <w:t>1</w:t>
            </w:r>
          </w:p>
        </w:tc>
        <w:tc>
          <w:tcPr>
            <w:tcW w:w="2857" w:type="dxa"/>
          </w:tcPr>
          <w:p w14:paraId="62884084" w14:textId="77777777" w:rsidR="00A10B25" w:rsidRDefault="00A10B25">
            <w:pPr>
              <w:pStyle w:val="TAL"/>
              <w:rPr>
                <w:rFonts w:cs="Arial"/>
                <w:szCs w:val="18"/>
              </w:rPr>
            </w:pPr>
            <w:r>
              <w:rPr>
                <w:rFonts w:cs="Arial"/>
                <w:szCs w:val="18"/>
              </w:rPr>
              <w:t>SSID of WLAN access point.</w:t>
            </w:r>
          </w:p>
        </w:tc>
        <w:tc>
          <w:tcPr>
            <w:tcW w:w="1844" w:type="dxa"/>
          </w:tcPr>
          <w:p w14:paraId="20200323" w14:textId="77777777" w:rsidR="00A10B25" w:rsidRDefault="00A10B25">
            <w:pPr>
              <w:pStyle w:val="TAL"/>
              <w:rPr>
                <w:rFonts w:cs="Arial"/>
                <w:szCs w:val="18"/>
              </w:rPr>
            </w:pPr>
          </w:p>
        </w:tc>
      </w:tr>
      <w:tr w:rsidR="00A10B25" w14:paraId="76A9811F" w14:textId="77777777">
        <w:trPr>
          <w:jc w:val="center"/>
        </w:trPr>
        <w:tc>
          <w:tcPr>
            <w:tcW w:w="1750" w:type="dxa"/>
          </w:tcPr>
          <w:p w14:paraId="366AC59B" w14:textId="77777777" w:rsidR="00A10B25" w:rsidRDefault="00A10B25">
            <w:pPr>
              <w:pStyle w:val="TAL"/>
              <w:rPr>
                <w:lang w:eastAsia="zh-CN"/>
              </w:rPr>
            </w:pPr>
            <w:r>
              <w:rPr>
                <w:lang w:eastAsia="zh-CN"/>
              </w:rPr>
              <w:t>wlanPerTsInfos</w:t>
            </w:r>
          </w:p>
        </w:tc>
        <w:tc>
          <w:tcPr>
            <w:tcW w:w="1560" w:type="dxa"/>
          </w:tcPr>
          <w:p w14:paraId="392BA6CC" w14:textId="77777777" w:rsidR="00A10B25" w:rsidRDefault="00A10B25">
            <w:pPr>
              <w:pStyle w:val="TAL"/>
              <w:rPr>
                <w:lang w:eastAsia="zh-CN"/>
              </w:rPr>
            </w:pPr>
            <w:r>
              <w:rPr>
                <w:lang w:eastAsia="zh-CN"/>
              </w:rPr>
              <w:t>array(WlanPerTsPerformanceInfo)</w:t>
            </w:r>
          </w:p>
        </w:tc>
        <w:tc>
          <w:tcPr>
            <w:tcW w:w="425" w:type="dxa"/>
          </w:tcPr>
          <w:p w14:paraId="5AAAB1A1" w14:textId="77777777" w:rsidR="00A10B25" w:rsidRDefault="00A10B25">
            <w:pPr>
              <w:pStyle w:val="TAC"/>
            </w:pPr>
            <w:r>
              <w:t>M</w:t>
            </w:r>
          </w:p>
        </w:tc>
        <w:tc>
          <w:tcPr>
            <w:tcW w:w="1134" w:type="dxa"/>
          </w:tcPr>
          <w:p w14:paraId="616D5F4D" w14:textId="77777777" w:rsidR="00A10B25" w:rsidRDefault="00A10B25">
            <w:pPr>
              <w:pStyle w:val="TAL"/>
            </w:pPr>
            <w:r>
              <w:t>1..N</w:t>
            </w:r>
          </w:p>
        </w:tc>
        <w:tc>
          <w:tcPr>
            <w:tcW w:w="2857" w:type="dxa"/>
          </w:tcPr>
          <w:p w14:paraId="3BEE09CE" w14:textId="77777777" w:rsidR="00A10B25" w:rsidRDefault="00A10B25">
            <w:pPr>
              <w:pStyle w:val="TAL"/>
              <w:rPr>
                <w:rFonts w:cs="Arial"/>
                <w:szCs w:val="18"/>
              </w:rPr>
            </w:pPr>
            <w:r>
              <w:rPr>
                <w:rFonts w:cs="Arial"/>
                <w:szCs w:val="18"/>
              </w:rPr>
              <w:t>WLAN performance information per Time Slot during the analytics target period.</w:t>
            </w:r>
          </w:p>
        </w:tc>
        <w:tc>
          <w:tcPr>
            <w:tcW w:w="1844" w:type="dxa"/>
          </w:tcPr>
          <w:p w14:paraId="35FAEED7" w14:textId="77777777" w:rsidR="00A10B25" w:rsidRDefault="00A10B25">
            <w:pPr>
              <w:pStyle w:val="TAL"/>
              <w:rPr>
                <w:rFonts w:cs="Arial"/>
                <w:szCs w:val="18"/>
              </w:rPr>
            </w:pPr>
          </w:p>
        </w:tc>
      </w:tr>
    </w:tbl>
    <w:p w14:paraId="5FCB8C5A" w14:textId="77777777" w:rsidR="00A10B25" w:rsidRDefault="00A10B25">
      <w:pPr>
        <w:rPr>
          <w:lang w:val="en-US" w:eastAsia="zh-CN"/>
        </w:rPr>
      </w:pPr>
    </w:p>
    <w:p w14:paraId="1ED44FE9" w14:textId="77777777" w:rsidR="00A10B25" w:rsidRDefault="00A10B25">
      <w:pPr>
        <w:pStyle w:val="5"/>
      </w:pPr>
      <w:bookmarkStart w:id="7562" w:name="_Toc136562431"/>
      <w:bookmarkStart w:id="7563" w:name="_Toc94064309"/>
      <w:bookmarkStart w:id="7564" w:name="_Toc113031725"/>
      <w:bookmarkStart w:id="7565" w:name="_Toc98233694"/>
      <w:bookmarkStart w:id="7566" w:name="_Toc114133864"/>
      <w:bookmarkStart w:id="7567" w:name="_Toc101244470"/>
      <w:bookmarkStart w:id="7568" w:name="_Toc120702364"/>
      <w:bookmarkStart w:id="7569" w:name="_Toc138754265"/>
      <w:bookmarkStart w:id="7570" w:name="_Toc112951185"/>
      <w:bookmarkStart w:id="7571" w:name="_Toc104539063"/>
      <w:bookmarkStart w:id="7572" w:name="_Toc145705752"/>
      <w:bookmarkStart w:id="7573" w:name="_Toc148522656"/>
      <w:bookmarkStart w:id="7574" w:name="_Toc164920836"/>
      <w:bookmarkStart w:id="7575" w:name="_Toc170120378"/>
      <w:bookmarkStart w:id="7576" w:name="_Toc175858623"/>
      <w:bookmarkStart w:id="7577" w:name="_Toc175859696"/>
      <w:bookmarkStart w:id="7578" w:name="_Toc180605986"/>
      <w:bookmarkStart w:id="7579" w:name="_Toc185517240"/>
      <w:bookmarkStart w:id="7580" w:name="_Toc191576291"/>
      <w:bookmarkStart w:id="7581" w:name="_Toc191577031"/>
      <w:bookmarkStart w:id="7582" w:name="_Toc192880101"/>
      <w:bookmarkStart w:id="7583" w:name="_Toc195814984"/>
      <w:bookmarkStart w:id="7584" w:name="_Toc199452951"/>
      <w:r>
        <w:lastRenderedPageBreak/>
        <w:t>5.1.6.2.62</w:t>
      </w:r>
      <w:r>
        <w:tab/>
        <w:t>Type WlanPerTsPerformanceInfo</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520A50BF" w14:textId="77777777" w:rsidR="00A10B25" w:rsidRDefault="00A10B25">
      <w:pPr>
        <w:pStyle w:val="TH"/>
      </w:pPr>
      <w:bookmarkStart w:id="7585" w:name="_Toc136562432"/>
      <w:bookmarkStart w:id="7586" w:name="_Toc112951186"/>
      <w:bookmarkStart w:id="7587" w:name="_Toc138754266"/>
      <w:bookmarkStart w:id="7588" w:name="_Toc114133865"/>
      <w:bookmarkStart w:id="7589" w:name="_Toc94064310"/>
      <w:bookmarkStart w:id="7590" w:name="_Toc101244471"/>
      <w:bookmarkStart w:id="7591" w:name="_Toc113031726"/>
      <w:bookmarkStart w:id="7592" w:name="_Toc98233695"/>
      <w:bookmarkStart w:id="7593" w:name="_Toc104539064"/>
      <w:bookmarkStart w:id="7594" w:name="_Toc120702365"/>
      <w:r>
        <w:t>Table 5.1.6.2.62-1: Definition of type WlanPerTsPerformanceInfo</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53030555"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70C88494" w14:textId="77777777" w:rsidR="00A10B25" w:rsidRDefault="00A10B25">
            <w:pPr>
              <w:pStyle w:val="TAH"/>
            </w:pPr>
            <w:r>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57930FC2"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3FD07831"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B9FCD29"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7C8E842B"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02716381" w14:textId="77777777" w:rsidR="00A10B25" w:rsidRDefault="00A10B25">
            <w:pPr>
              <w:pStyle w:val="TAH"/>
            </w:pPr>
            <w:r>
              <w:t>Applicability</w:t>
            </w:r>
          </w:p>
        </w:tc>
      </w:tr>
      <w:tr w:rsidR="00A10B25" w14:paraId="78033EAA"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5F073EF" w14:textId="77777777" w:rsidR="00A10B25" w:rsidRDefault="00A10B25">
            <w:pPr>
              <w:pStyle w:val="TAL"/>
              <w:rPr>
                <w:lang w:eastAsia="zh-CN"/>
              </w:rPr>
            </w:pPr>
            <w:r>
              <w:rPr>
                <w:lang w:eastAsia="zh-CN"/>
              </w:rPr>
              <w:t>tsStart</w:t>
            </w:r>
          </w:p>
        </w:tc>
        <w:tc>
          <w:tcPr>
            <w:tcW w:w="1560" w:type="dxa"/>
            <w:tcBorders>
              <w:top w:val="single" w:sz="6" w:space="0" w:color="auto"/>
              <w:left w:val="single" w:sz="6" w:space="0" w:color="auto"/>
              <w:bottom w:val="single" w:sz="6" w:space="0" w:color="auto"/>
              <w:right w:val="single" w:sz="6" w:space="0" w:color="auto"/>
            </w:tcBorders>
          </w:tcPr>
          <w:p w14:paraId="649C7170" w14:textId="77777777" w:rsidR="00A10B25" w:rsidRDefault="00A10B25">
            <w:pPr>
              <w:pStyle w:val="TAL"/>
              <w:rPr>
                <w:lang w:eastAsia="zh-CN"/>
              </w:rPr>
            </w:pPr>
            <w:r>
              <w:rPr>
                <w:lang w:eastAsia="zh-CN"/>
              </w:rPr>
              <w:t>DateTime</w:t>
            </w:r>
          </w:p>
        </w:tc>
        <w:tc>
          <w:tcPr>
            <w:tcW w:w="425" w:type="dxa"/>
            <w:tcBorders>
              <w:top w:val="single" w:sz="6" w:space="0" w:color="auto"/>
              <w:left w:val="single" w:sz="6" w:space="0" w:color="auto"/>
              <w:bottom w:val="single" w:sz="6" w:space="0" w:color="auto"/>
              <w:right w:val="single" w:sz="6" w:space="0" w:color="auto"/>
            </w:tcBorders>
          </w:tcPr>
          <w:p w14:paraId="60B8B8D1"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9970FAE"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23415350"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44" w:type="dxa"/>
            <w:tcBorders>
              <w:top w:val="single" w:sz="6" w:space="0" w:color="auto"/>
              <w:left w:val="single" w:sz="6" w:space="0" w:color="auto"/>
              <w:bottom w:val="single" w:sz="6" w:space="0" w:color="auto"/>
              <w:right w:val="single" w:sz="6" w:space="0" w:color="auto"/>
            </w:tcBorders>
          </w:tcPr>
          <w:p w14:paraId="1C25FA62" w14:textId="77777777" w:rsidR="00A10B25" w:rsidRDefault="00A10B25">
            <w:pPr>
              <w:pStyle w:val="TAL"/>
              <w:rPr>
                <w:rFonts w:cs="Arial"/>
                <w:szCs w:val="18"/>
              </w:rPr>
            </w:pPr>
          </w:p>
        </w:tc>
      </w:tr>
      <w:tr w:rsidR="00A10B25" w14:paraId="21686C7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F880163" w14:textId="77777777" w:rsidR="00A10B25" w:rsidRDefault="00A10B25">
            <w:pPr>
              <w:pStyle w:val="TAL"/>
              <w:rPr>
                <w:lang w:eastAsia="zh-CN"/>
              </w:rPr>
            </w:pPr>
            <w:r>
              <w:rPr>
                <w:lang w:eastAsia="zh-CN"/>
              </w:rPr>
              <w:t>tsDuration</w:t>
            </w:r>
          </w:p>
        </w:tc>
        <w:tc>
          <w:tcPr>
            <w:tcW w:w="1560" w:type="dxa"/>
            <w:tcBorders>
              <w:top w:val="single" w:sz="6" w:space="0" w:color="auto"/>
              <w:left w:val="single" w:sz="6" w:space="0" w:color="auto"/>
              <w:bottom w:val="single" w:sz="6" w:space="0" w:color="auto"/>
              <w:right w:val="single" w:sz="6" w:space="0" w:color="auto"/>
            </w:tcBorders>
          </w:tcPr>
          <w:p w14:paraId="0FA9EFBC" w14:textId="77777777" w:rsidR="00A10B25" w:rsidRDefault="00A10B25">
            <w:pPr>
              <w:pStyle w:val="TAL"/>
              <w:rPr>
                <w:lang w:eastAsia="zh-CN"/>
              </w:rPr>
            </w:pPr>
            <w:r>
              <w:rPr>
                <w:lang w:eastAsia="zh-CN"/>
              </w:rPr>
              <w:t>DurationSec</w:t>
            </w:r>
          </w:p>
        </w:tc>
        <w:tc>
          <w:tcPr>
            <w:tcW w:w="425" w:type="dxa"/>
            <w:tcBorders>
              <w:top w:val="single" w:sz="6" w:space="0" w:color="auto"/>
              <w:left w:val="single" w:sz="6" w:space="0" w:color="auto"/>
              <w:bottom w:val="single" w:sz="6" w:space="0" w:color="auto"/>
              <w:right w:val="single" w:sz="6" w:space="0" w:color="auto"/>
            </w:tcBorders>
          </w:tcPr>
          <w:p w14:paraId="055EBEB1" w14:textId="77777777" w:rsidR="00A10B25" w:rsidRDefault="00A10B25">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1EC6330B" w14:textId="77777777" w:rsidR="00A10B25" w:rsidRDefault="00A10B25">
            <w:pPr>
              <w:pStyle w:val="TAL"/>
            </w:pPr>
            <w:r>
              <w:t>1</w:t>
            </w:r>
          </w:p>
        </w:tc>
        <w:tc>
          <w:tcPr>
            <w:tcW w:w="2857" w:type="dxa"/>
            <w:tcBorders>
              <w:top w:val="single" w:sz="6" w:space="0" w:color="auto"/>
              <w:left w:val="single" w:sz="6" w:space="0" w:color="auto"/>
              <w:bottom w:val="single" w:sz="6" w:space="0" w:color="auto"/>
              <w:right w:val="single" w:sz="6" w:space="0" w:color="auto"/>
            </w:tcBorders>
          </w:tcPr>
          <w:p w14:paraId="34A0DCF4" w14:textId="77777777" w:rsidR="00A10B25" w:rsidRDefault="00A10B25">
            <w:pPr>
              <w:pStyle w:val="TAL"/>
              <w:rPr>
                <w:rFonts w:cs="Arial"/>
                <w:szCs w:val="18"/>
              </w:rPr>
            </w:pPr>
            <w:r>
              <w:rPr>
                <w:rFonts w:cs="Arial"/>
                <w:szCs w:val="18"/>
              </w:rPr>
              <w:t>Indicates the time slot duration.</w:t>
            </w:r>
          </w:p>
          <w:p w14:paraId="1A4939B6" w14:textId="77777777" w:rsidR="00A10B25" w:rsidRDefault="00A10B25">
            <w:pPr>
              <w:pStyle w:val="TAL"/>
              <w:rPr>
                <w:rFonts w:cs="Arial"/>
                <w:szCs w:val="18"/>
              </w:rPr>
            </w:pPr>
            <w:r>
              <w:rPr>
                <w:rFonts w:cs="Arial"/>
                <w:szCs w:val="18"/>
              </w:rPr>
              <w:t>(</w:t>
            </w:r>
            <w:r>
              <w:t>NOTE 3</w:t>
            </w:r>
            <w:r>
              <w:rPr>
                <w:rFonts w:cs="Arial"/>
                <w:szCs w:val="18"/>
              </w:rPr>
              <w:t>)</w:t>
            </w:r>
          </w:p>
        </w:tc>
        <w:tc>
          <w:tcPr>
            <w:tcW w:w="1844" w:type="dxa"/>
            <w:tcBorders>
              <w:top w:val="single" w:sz="6" w:space="0" w:color="auto"/>
              <w:left w:val="single" w:sz="6" w:space="0" w:color="auto"/>
              <w:bottom w:val="single" w:sz="6" w:space="0" w:color="auto"/>
              <w:right w:val="single" w:sz="6" w:space="0" w:color="auto"/>
            </w:tcBorders>
          </w:tcPr>
          <w:p w14:paraId="0637B005" w14:textId="77777777" w:rsidR="00A10B25" w:rsidRDefault="00A10B25">
            <w:pPr>
              <w:pStyle w:val="TAL"/>
              <w:rPr>
                <w:rFonts w:cs="Arial"/>
                <w:szCs w:val="18"/>
              </w:rPr>
            </w:pPr>
          </w:p>
        </w:tc>
      </w:tr>
      <w:tr w:rsidR="00A10B25" w14:paraId="3E1D5221"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E14B624" w14:textId="77777777" w:rsidR="00A10B25" w:rsidRDefault="00A10B25">
            <w:pPr>
              <w:pStyle w:val="TAL"/>
              <w:rPr>
                <w:lang w:eastAsia="zh-CN"/>
              </w:rPr>
            </w:pPr>
            <w:r>
              <w:rPr>
                <w:lang w:eastAsia="zh-CN"/>
              </w:rPr>
              <w:t>rssi</w:t>
            </w:r>
          </w:p>
        </w:tc>
        <w:tc>
          <w:tcPr>
            <w:tcW w:w="1560" w:type="dxa"/>
            <w:tcBorders>
              <w:top w:val="single" w:sz="6" w:space="0" w:color="auto"/>
              <w:left w:val="single" w:sz="6" w:space="0" w:color="auto"/>
              <w:bottom w:val="single" w:sz="6" w:space="0" w:color="auto"/>
              <w:right w:val="single" w:sz="6" w:space="0" w:color="auto"/>
            </w:tcBorders>
          </w:tcPr>
          <w:p w14:paraId="3B9C586C" w14:textId="77777777" w:rsidR="00A10B25" w:rsidRDefault="00A10B25">
            <w:pPr>
              <w:pStyle w:val="TAL"/>
              <w:rPr>
                <w:lang w:eastAsia="zh-CN"/>
              </w:rPr>
            </w:pPr>
            <w:r>
              <w:rPr>
                <w:lang w:eastAsia="zh-CN"/>
              </w:rPr>
              <w:t>integer</w:t>
            </w:r>
          </w:p>
        </w:tc>
        <w:tc>
          <w:tcPr>
            <w:tcW w:w="425" w:type="dxa"/>
            <w:tcBorders>
              <w:top w:val="single" w:sz="6" w:space="0" w:color="auto"/>
              <w:left w:val="single" w:sz="6" w:space="0" w:color="auto"/>
              <w:bottom w:val="single" w:sz="6" w:space="0" w:color="auto"/>
              <w:right w:val="single" w:sz="6" w:space="0" w:color="auto"/>
            </w:tcBorders>
          </w:tcPr>
          <w:p w14:paraId="77F8FCC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6072EF3"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7CA0D818" w14:textId="77777777" w:rsidR="00A10B25" w:rsidRDefault="00A10B25">
            <w:pPr>
              <w:pStyle w:val="TAL"/>
              <w:rPr>
                <w:rFonts w:cs="Arial"/>
                <w:szCs w:val="18"/>
              </w:rPr>
            </w:pPr>
            <w:r>
              <w:rPr>
                <w:rFonts w:cs="Arial"/>
                <w:szCs w:val="18"/>
              </w:rPr>
              <w:t>Indicated the RSSI in the unit of dBm.</w:t>
            </w:r>
            <w:r>
              <w:rPr>
                <w:rFonts w:eastAsia="Times New Roman" w:cs="Arial"/>
                <w:szCs w:val="18"/>
              </w:rPr>
              <w:t xml:space="preserve"> </w:t>
            </w:r>
          </w:p>
          <w:p w14:paraId="418F1D49"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 RSSI</w:t>
            </w:r>
            <w:r>
              <w:t>.</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2A634A12" w14:textId="77777777" w:rsidR="00A10B25" w:rsidRDefault="00A10B25">
            <w:pPr>
              <w:pStyle w:val="TAL"/>
              <w:rPr>
                <w:rFonts w:cs="Arial"/>
                <w:szCs w:val="18"/>
              </w:rPr>
            </w:pPr>
          </w:p>
        </w:tc>
      </w:tr>
      <w:tr w:rsidR="00A10B25" w14:paraId="7FE00789"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5E4A1AB" w14:textId="77777777" w:rsidR="00A10B25" w:rsidRDefault="00A10B25">
            <w:pPr>
              <w:pStyle w:val="TAL"/>
              <w:rPr>
                <w:lang w:eastAsia="zh-CN"/>
              </w:rPr>
            </w:pPr>
            <w:r>
              <w:rPr>
                <w:lang w:eastAsia="zh-CN"/>
              </w:rPr>
              <w:t>rtt</w:t>
            </w:r>
          </w:p>
        </w:tc>
        <w:tc>
          <w:tcPr>
            <w:tcW w:w="1560" w:type="dxa"/>
            <w:tcBorders>
              <w:top w:val="single" w:sz="6" w:space="0" w:color="auto"/>
              <w:left w:val="single" w:sz="6" w:space="0" w:color="auto"/>
              <w:bottom w:val="single" w:sz="6" w:space="0" w:color="auto"/>
              <w:right w:val="single" w:sz="6" w:space="0" w:color="auto"/>
            </w:tcBorders>
          </w:tcPr>
          <w:p w14:paraId="2F1AE341"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358D0F0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F8748C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03FFD915" w14:textId="77777777" w:rsidR="00A10B25" w:rsidRDefault="00A10B25">
            <w:pPr>
              <w:pStyle w:val="TAL"/>
              <w:rPr>
                <w:rFonts w:cs="Arial"/>
                <w:szCs w:val="18"/>
              </w:rPr>
            </w:pPr>
            <w:r>
              <w:rPr>
                <w:rFonts w:cs="Arial"/>
                <w:szCs w:val="18"/>
              </w:rPr>
              <w:t>Indicates the RTT in the unit of millisecond.</w:t>
            </w:r>
            <w:r>
              <w:rPr>
                <w:rFonts w:eastAsia="Times New Roman" w:cs="Arial"/>
                <w:szCs w:val="18"/>
              </w:rPr>
              <w:t xml:space="preserve"> </w:t>
            </w:r>
          </w:p>
          <w:p w14:paraId="0937A591"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w:t>
            </w:r>
            <w:r>
              <w:t xml:space="preserve"> </w:t>
            </w:r>
            <w:r>
              <w:rPr>
                <w:lang w:eastAsia="zh-CN"/>
              </w:rPr>
              <w:t>RTT.</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36D76239" w14:textId="77777777" w:rsidR="00A10B25" w:rsidRDefault="00A10B25">
            <w:pPr>
              <w:pStyle w:val="TAL"/>
              <w:rPr>
                <w:rFonts w:cs="Arial"/>
                <w:szCs w:val="18"/>
              </w:rPr>
            </w:pPr>
          </w:p>
        </w:tc>
      </w:tr>
      <w:tr w:rsidR="00A10B25" w14:paraId="3A52E14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508E0303" w14:textId="77777777" w:rsidR="00A10B25" w:rsidRDefault="00A10B25">
            <w:pPr>
              <w:pStyle w:val="TAL"/>
              <w:rPr>
                <w:lang w:eastAsia="zh-CN"/>
              </w:rPr>
            </w:pPr>
            <w:r>
              <w:rPr>
                <w:lang w:eastAsia="zh-CN"/>
              </w:rPr>
              <w:t>trafficInfo</w:t>
            </w:r>
          </w:p>
        </w:tc>
        <w:tc>
          <w:tcPr>
            <w:tcW w:w="1560" w:type="dxa"/>
            <w:tcBorders>
              <w:top w:val="single" w:sz="6" w:space="0" w:color="auto"/>
              <w:left w:val="single" w:sz="6" w:space="0" w:color="auto"/>
              <w:bottom w:val="single" w:sz="6" w:space="0" w:color="auto"/>
              <w:right w:val="single" w:sz="6" w:space="0" w:color="auto"/>
            </w:tcBorders>
          </w:tcPr>
          <w:p w14:paraId="731667D3" w14:textId="77777777" w:rsidR="00A10B25" w:rsidRDefault="00A10B25">
            <w:pPr>
              <w:pStyle w:val="TAL"/>
              <w:rPr>
                <w:lang w:eastAsia="zh-CN"/>
              </w:rPr>
            </w:pPr>
            <w:r>
              <w:rPr>
                <w:lang w:eastAsia="zh-CN"/>
              </w:rPr>
              <w:t>TrafficInformation</w:t>
            </w:r>
          </w:p>
        </w:tc>
        <w:tc>
          <w:tcPr>
            <w:tcW w:w="425" w:type="dxa"/>
            <w:tcBorders>
              <w:top w:val="single" w:sz="6" w:space="0" w:color="auto"/>
              <w:left w:val="single" w:sz="6" w:space="0" w:color="auto"/>
              <w:bottom w:val="single" w:sz="6" w:space="0" w:color="auto"/>
              <w:right w:val="single" w:sz="6" w:space="0" w:color="auto"/>
            </w:tcBorders>
          </w:tcPr>
          <w:p w14:paraId="3D99EC6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50F3B3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45F2989" w14:textId="77777777" w:rsidR="00A10B25" w:rsidRDefault="00A10B25">
            <w:pPr>
              <w:pStyle w:val="TAL"/>
              <w:rPr>
                <w:rFonts w:cs="Arial"/>
                <w:szCs w:val="18"/>
              </w:rPr>
            </w:pPr>
            <w:r>
              <w:rPr>
                <w:rFonts w:cs="Arial"/>
                <w:szCs w:val="18"/>
              </w:rPr>
              <w:t xml:space="preserve">Traffic information including UL/DL data rate and/or Traffic volume. </w:t>
            </w:r>
          </w:p>
          <w:p w14:paraId="11C938FA"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w:t>
            </w:r>
            <w:r>
              <w:t xml:space="preserve"> </w:t>
            </w:r>
            <w:r>
              <w:rPr>
                <w:lang w:eastAsia="zh-CN"/>
              </w:rPr>
              <w:t>TRAFFIC_INFO.</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6F9B77E1" w14:textId="77777777" w:rsidR="00A10B25" w:rsidRDefault="00A10B25">
            <w:pPr>
              <w:pStyle w:val="TAL"/>
              <w:rPr>
                <w:rFonts w:cs="Arial"/>
                <w:szCs w:val="18"/>
              </w:rPr>
            </w:pPr>
          </w:p>
        </w:tc>
      </w:tr>
      <w:tr w:rsidR="00A10B25" w14:paraId="01AC248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89877D2" w14:textId="77777777" w:rsidR="00A10B25" w:rsidRDefault="00A10B25">
            <w:pPr>
              <w:pStyle w:val="TAL"/>
              <w:rPr>
                <w:lang w:eastAsia="zh-CN"/>
              </w:rPr>
            </w:pPr>
            <w:r>
              <w:rPr>
                <w:lang w:eastAsia="zh-CN"/>
              </w:rPr>
              <w:t>numberOfUes</w:t>
            </w:r>
          </w:p>
        </w:tc>
        <w:tc>
          <w:tcPr>
            <w:tcW w:w="1560" w:type="dxa"/>
            <w:tcBorders>
              <w:top w:val="single" w:sz="6" w:space="0" w:color="auto"/>
              <w:left w:val="single" w:sz="6" w:space="0" w:color="auto"/>
              <w:bottom w:val="single" w:sz="6" w:space="0" w:color="auto"/>
              <w:right w:val="single" w:sz="6" w:space="0" w:color="auto"/>
            </w:tcBorders>
          </w:tcPr>
          <w:p w14:paraId="2C397AC6"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3427BC5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3716192"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FB90391" w14:textId="77777777" w:rsidR="00A10B25" w:rsidRDefault="00A10B25">
            <w:pPr>
              <w:pStyle w:val="TAL"/>
              <w:rPr>
                <w:rFonts w:cs="Arial"/>
                <w:szCs w:val="18"/>
              </w:rPr>
            </w:pPr>
            <w:r>
              <w:rPr>
                <w:rFonts w:cs="Arial"/>
                <w:szCs w:val="18"/>
              </w:rPr>
              <w:t>Number of UEs observed for the SSID.</w:t>
            </w:r>
            <w:r>
              <w:rPr>
                <w:rFonts w:eastAsia="Times New Roman" w:cs="Arial"/>
                <w:szCs w:val="18"/>
              </w:rPr>
              <w:t xml:space="preserve"> </w:t>
            </w:r>
          </w:p>
          <w:p w14:paraId="57CAB04F" w14:textId="77777777" w:rsidR="00A10B25" w:rsidRDefault="00A10B25">
            <w:pPr>
              <w:pStyle w:val="TAL"/>
              <w:rPr>
                <w:rFonts w:cs="Arial"/>
                <w:szCs w:val="18"/>
              </w:rPr>
            </w:pPr>
            <w:r>
              <w:rPr>
                <w:rFonts w:cs="Arial"/>
                <w:szCs w:val="18"/>
              </w:rPr>
              <w:t>Shall be present</w:t>
            </w:r>
            <w:r>
              <w:rPr>
                <w:lang w:eastAsia="zh-CN"/>
              </w:rPr>
              <w:t xml:space="preserve"> if one of the elements in the "listOfAnaSubsets" attribute was set to</w:t>
            </w:r>
            <w:r>
              <w:t xml:space="preserve"> </w:t>
            </w:r>
            <w:r>
              <w:rPr>
                <w:lang w:eastAsia="zh-CN"/>
              </w:rPr>
              <w:t>NUMBER_OF_UES.</w:t>
            </w:r>
            <w:r>
              <w:rPr>
                <w:rFonts w:eastAsia="Times New Roman" w:cs="Arial"/>
                <w:szCs w:val="18"/>
              </w:rPr>
              <w:t xml:space="preserve"> (NOTE 1)</w:t>
            </w:r>
          </w:p>
        </w:tc>
        <w:tc>
          <w:tcPr>
            <w:tcW w:w="1844" w:type="dxa"/>
            <w:tcBorders>
              <w:top w:val="single" w:sz="6" w:space="0" w:color="auto"/>
              <w:left w:val="single" w:sz="6" w:space="0" w:color="auto"/>
              <w:bottom w:val="single" w:sz="6" w:space="0" w:color="auto"/>
              <w:right w:val="single" w:sz="6" w:space="0" w:color="auto"/>
            </w:tcBorders>
          </w:tcPr>
          <w:p w14:paraId="15DAB05A" w14:textId="77777777" w:rsidR="00A10B25" w:rsidRDefault="00A10B25">
            <w:pPr>
              <w:pStyle w:val="TAL"/>
              <w:rPr>
                <w:rFonts w:cs="Arial"/>
                <w:szCs w:val="18"/>
              </w:rPr>
            </w:pPr>
          </w:p>
        </w:tc>
      </w:tr>
      <w:tr w:rsidR="00A10B25" w14:paraId="3FDB099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401C228" w14:textId="77777777" w:rsidR="00A10B25" w:rsidRDefault="00A10B25">
            <w:pPr>
              <w:pStyle w:val="TAL"/>
              <w:rPr>
                <w:lang w:eastAsia="zh-CN"/>
              </w:rPr>
            </w:pPr>
            <w:r>
              <w:rPr>
                <w:lang w:eastAsia="zh-CN"/>
              </w:rPr>
              <w:t>confidence</w:t>
            </w:r>
          </w:p>
        </w:tc>
        <w:tc>
          <w:tcPr>
            <w:tcW w:w="1560" w:type="dxa"/>
            <w:tcBorders>
              <w:top w:val="single" w:sz="6" w:space="0" w:color="auto"/>
              <w:left w:val="single" w:sz="6" w:space="0" w:color="auto"/>
              <w:bottom w:val="single" w:sz="6" w:space="0" w:color="auto"/>
              <w:right w:val="single" w:sz="6" w:space="0" w:color="auto"/>
            </w:tcBorders>
          </w:tcPr>
          <w:p w14:paraId="12824916" w14:textId="77777777" w:rsidR="00A10B25" w:rsidRDefault="00A10B2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2B3A7F3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E2F8A51"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00DA32C0" w14:textId="77777777" w:rsidR="00A10B25" w:rsidRDefault="00A10B25">
            <w:pPr>
              <w:pStyle w:val="TAL"/>
              <w:rPr>
                <w:rFonts w:cs="Arial"/>
                <w:szCs w:val="18"/>
              </w:rPr>
            </w:pPr>
            <w:r>
              <w:rPr>
                <w:rFonts w:cs="Arial"/>
                <w:szCs w:val="18"/>
              </w:rPr>
              <w:t>Indicates the confidence of the prediction. (NOTE</w:t>
            </w:r>
            <w:r>
              <w:rPr>
                <w:rFonts w:eastAsia="Times New Roman" w:cs="Arial"/>
                <w:szCs w:val="18"/>
              </w:rPr>
              <w:t> 2</w:t>
            </w:r>
            <w:r>
              <w:rPr>
                <w:rFonts w:cs="Arial"/>
                <w:szCs w:val="18"/>
              </w:rPr>
              <w:t>)</w:t>
            </w:r>
          </w:p>
          <w:p w14:paraId="4DD9A3D3" w14:textId="77777777" w:rsidR="00A10B25" w:rsidRDefault="00A10B25">
            <w:pPr>
              <w:pStyle w:val="TAL"/>
              <w:rPr>
                <w:rFonts w:cs="Arial"/>
                <w:szCs w:val="18"/>
              </w:rPr>
            </w:pPr>
            <w:r>
              <w:rPr>
                <w:rFonts w:cs="Arial"/>
                <w:szCs w:val="18"/>
              </w:rPr>
              <w:t>Shall be present if the analytics result is a prediction.</w:t>
            </w:r>
          </w:p>
          <w:p w14:paraId="316EB8B6" w14:textId="77777777" w:rsidR="00A10B25" w:rsidRDefault="00A10B25">
            <w:pPr>
              <w:pStyle w:val="TAL"/>
              <w:rPr>
                <w:rFonts w:cs="Arial"/>
                <w:szCs w:val="18"/>
              </w:rPr>
            </w:pPr>
            <w:r>
              <w:rPr>
                <w:rFonts w:cs="Arial"/>
                <w:szCs w:val="18"/>
              </w:rPr>
              <w:t>Minimum = 0. Maximum = 100.</w:t>
            </w:r>
          </w:p>
        </w:tc>
        <w:tc>
          <w:tcPr>
            <w:tcW w:w="1844" w:type="dxa"/>
            <w:tcBorders>
              <w:top w:val="single" w:sz="6" w:space="0" w:color="auto"/>
              <w:left w:val="single" w:sz="6" w:space="0" w:color="auto"/>
              <w:bottom w:val="single" w:sz="6" w:space="0" w:color="auto"/>
              <w:right w:val="single" w:sz="6" w:space="0" w:color="auto"/>
            </w:tcBorders>
          </w:tcPr>
          <w:p w14:paraId="7FB0E200" w14:textId="77777777" w:rsidR="00A10B25" w:rsidRDefault="00A10B25">
            <w:pPr>
              <w:pStyle w:val="TAL"/>
              <w:rPr>
                <w:rFonts w:cs="Arial"/>
                <w:szCs w:val="18"/>
              </w:rPr>
            </w:pPr>
          </w:p>
        </w:tc>
      </w:tr>
      <w:tr w:rsidR="00A10B25" w14:paraId="6E112B6F" w14:textId="77777777">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510AEB59" w14:textId="77777777" w:rsidR="00A10B25" w:rsidRDefault="00A10B25">
            <w:pPr>
              <w:pStyle w:val="TAN"/>
            </w:pPr>
            <w:r>
              <w:t>NOTE 1:</w:t>
            </w:r>
            <w:r>
              <w:tab/>
              <w:t>At least one value shall be provided. If the "listOfAnaSubsets" attribute with value only applicable to WLAN event is present in the subscription request, then only the corresponding attribute(s) shall be present.</w:t>
            </w:r>
          </w:p>
          <w:p w14:paraId="2AF38FD9" w14:textId="77777777" w:rsidR="00A10B25" w:rsidRDefault="00A10B2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5CE23B7E" w14:textId="77777777" w:rsidR="00A10B25" w:rsidRDefault="00A10B25">
            <w:pPr>
              <w:pStyle w:val="TAN"/>
              <w:rPr>
                <w:rFonts w:cs="Arial"/>
                <w:szCs w:val="18"/>
              </w:rPr>
            </w:pPr>
            <w:r>
              <w:t>NOTE 3:</w:t>
            </w:r>
            <w:r>
              <w:tab/>
              <w:t xml:space="preserve">If the "temporalGranSize" attribute is provided in the request, the duration indicated by the "tsDuration" attribute </w:t>
            </w:r>
            <w:r>
              <w:rPr>
                <w:rFonts w:cs="Arial"/>
                <w:szCs w:val="18"/>
                <w:lang w:eastAsia="zh-CN"/>
              </w:rPr>
              <w:t>shall be</w:t>
            </w:r>
            <w:r>
              <w:t xml:space="preserve"> greater than or equal to the value of the "temporalGranSize" attribute.</w:t>
            </w:r>
          </w:p>
        </w:tc>
      </w:tr>
    </w:tbl>
    <w:p w14:paraId="23BC3949" w14:textId="77777777" w:rsidR="00A10B25" w:rsidRDefault="00A10B25">
      <w:pPr>
        <w:rPr>
          <w:lang w:val="en-US"/>
        </w:rPr>
      </w:pPr>
    </w:p>
    <w:p w14:paraId="06EE7805" w14:textId="77777777" w:rsidR="00A10B25" w:rsidRDefault="00A10B25">
      <w:pPr>
        <w:pStyle w:val="5"/>
      </w:pPr>
      <w:bookmarkStart w:id="7595" w:name="_Toc145705753"/>
      <w:bookmarkStart w:id="7596" w:name="_Toc148522657"/>
      <w:bookmarkStart w:id="7597" w:name="_Toc164920837"/>
      <w:bookmarkStart w:id="7598" w:name="_Toc170120379"/>
      <w:bookmarkStart w:id="7599" w:name="_Toc175858624"/>
      <w:bookmarkStart w:id="7600" w:name="_Toc175859697"/>
      <w:bookmarkStart w:id="7601" w:name="_Toc180605987"/>
      <w:bookmarkStart w:id="7602" w:name="_Toc185517241"/>
      <w:bookmarkStart w:id="7603" w:name="_Toc191576292"/>
      <w:bookmarkStart w:id="7604" w:name="_Toc191577032"/>
      <w:bookmarkStart w:id="7605" w:name="_Toc192880102"/>
      <w:bookmarkStart w:id="7606" w:name="_Toc195814985"/>
      <w:bookmarkStart w:id="7607" w:name="_Toc199452952"/>
      <w:r>
        <w:t>5.1.6.2.63</w:t>
      </w:r>
      <w:r>
        <w:tab/>
        <w:t>Type TrafficInformation</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057F0AC6" w14:textId="77777777" w:rsidR="00A10B25" w:rsidRDefault="00A10B25">
      <w:pPr>
        <w:pStyle w:val="TH"/>
      </w:pPr>
      <w:r>
        <w:t>Table 5.1.6.2.63-1: Definition of type TrafficInformation</w:t>
      </w:r>
    </w:p>
    <w:tbl>
      <w:tblPr>
        <w:tblW w:w="958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33"/>
        <w:gridCol w:w="1646"/>
        <w:gridCol w:w="448"/>
        <w:gridCol w:w="1197"/>
        <w:gridCol w:w="3015"/>
        <w:gridCol w:w="1946"/>
      </w:tblGrid>
      <w:tr w:rsidR="00A10B25" w14:paraId="06B9079F" w14:textId="77777777" w:rsidTr="0076721C">
        <w:trPr>
          <w:jc w:val="center"/>
        </w:trPr>
        <w:tc>
          <w:tcPr>
            <w:tcW w:w="1333" w:type="dxa"/>
            <w:shd w:val="clear" w:color="auto" w:fill="C0C0C0"/>
          </w:tcPr>
          <w:p w14:paraId="75CCEED2" w14:textId="77777777" w:rsidR="00A10B25" w:rsidRDefault="00A10B25">
            <w:pPr>
              <w:pStyle w:val="TAH"/>
            </w:pPr>
            <w:r>
              <w:t>Attribute name</w:t>
            </w:r>
          </w:p>
        </w:tc>
        <w:tc>
          <w:tcPr>
            <w:tcW w:w="1646" w:type="dxa"/>
            <w:shd w:val="clear" w:color="auto" w:fill="C0C0C0"/>
          </w:tcPr>
          <w:p w14:paraId="51F2E486" w14:textId="77777777" w:rsidR="00A10B25" w:rsidRDefault="00A10B25">
            <w:pPr>
              <w:pStyle w:val="TAH"/>
            </w:pPr>
            <w:r>
              <w:t>Data type</w:t>
            </w:r>
          </w:p>
        </w:tc>
        <w:tc>
          <w:tcPr>
            <w:tcW w:w="448" w:type="dxa"/>
            <w:shd w:val="clear" w:color="auto" w:fill="C0C0C0"/>
          </w:tcPr>
          <w:p w14:paraId="6E35DACB" w14:textId="77777777" w:rsidR="00A10B25" w:rsidRDefault="00A10B25">
            <w:pPr>
              <w:pStyle w:val="TAH"/>
            </w:pPr>
            <w:r>
              <w:t>P</w:t>
            </w:r>
          </w:p>
        </w:tc>
        <w:tc>
          <w:tcPr>
            <w:tcW w:w="1197" w:type="dxa"/>
            <w:shd w:val="clear" w:color="auto" w:fill="C0C0C0"/>
          </w:tcPr>
          <w:p w14:paraId="23179017" w14:textId="77777777" w:rsidR="00A10B25" w:rsidRDefault="00A10B25">
            <w:pPr>
              <w:pStyle w:val="TAH"/>
            </w:pPr>
            <w:r>
              <w:t>Cardinality</w:t>
            </w:r>
          </w:p>
        </w:tc>
        <w:tc>
          <w:tcPr>
            <w:tcW w:w="3015" w:type="dxa"/>
            <w:shd w:val="clear" w:color="auto" w:fill="C0C0C0"/>
          </w:tcPr>
          <w:p w14:paraId="59FF7D06" w14:textId="77777777" w:rsidR="00A10B25" w:rsidRDefault="00A10B25">
            <w:pPr>
              <w:pStyle w:val="TAH"/>
            </w:pPr>
            <w:r>
              <w:t>Description</w:t>
            </w:r>
          </w:p>
        </w:tc>
        <w:tc>
          <w:tcPr>
            <w:tcW w:w="1946" w:type="dxa"/>
            <w:shd w:val="clear" w:color="auto" w:fill="C0C0C0"/>
          </w:tcPr>
          <w:p w14:paraId="396C31A3" w14:textId="77777777" w:rsidR="00A10B25" w:rsidRDefault="00A10B25">
            <w:pPr>
              <w:pStyle w:val="TAH"/>
            </w:pPr>
            <w:r>
              <w:t>Applicability</w:t>
            </w:r>
          </w:p>
        </w:tc>
      </w:tr>
      <w:tr w:rsidR="00A10B25" w14:paraId="23BDA3BA" w14:textId="77777777" w:rsidTr="0076721C">
        <w:trPr>
          <w:jc w:val="center"/>
        </w:trPr>
        <w:tc>
          <w:tcPr>
            <w:tcW w:w="1333" w:type="dxa"/>
          </w:tcPr>
          <w:p w14:paraId="0366043B" w14:textId="77777777" w:rsidR="00A10B25" w:rsidRDefault="00A10B25">
            <w:pPr>
              <w:pStyle w:val="TAL"/>
              <w:rPr>
                <w:lang w:eastAsia="zh-CN"/>
              </w:rPr>
            </w:pPr>
            <w:r>
              <w:rPr>
                <w:lang w:eastAsia="zh-CN"/>
              </w:rPr>
              <w:t>uplinkRate</w:t>
            </w:r>
          </w:p>
        </w:tc>
        <w:tc>
          <w:tcPr>
            <w:tcW w:w="1646" w:type="dxa"/>
          </w:tcPr>
          <w:p w14:paraId="7BBCF803" w14:textId="77777777" w:rsidR="00A10B25" w:rsidRDefault="00A10B25">
            <w:pPr>
              <w:pStyle w:val="TAL"/>
              <w:rPr>
                <w:lang w:eastAsia="zh-CN"/>
              </w:rPr>
            </w:pPr>
            <w:r>
              <w:rPr>
                <w:lang w:eastAsia="zh-CN"/>
              </w:rPr>
              <w:t>BitRate</w:t>
            </w:r>
          </w:p>
        </w:tc>
        <w:tc>
          <w:tcPr>
            <w:tcW w:w="448" w:type="dxa"/>
          </w:tcPr>
          <w:p w14:paraId="1B838E38" w14:textId="77777777" w:rsidR="00A10B25" w:rsidRDefault="00A10B25">
            <w:pPr>
              <w:pStyle w:val="TAC"/>
            </w:pPr>
            <w:r>
              <w:t>C</w:t>
            </w:r>
          </w:p>
        </w:tc>
        <w:tc>
          <w:tcPr>
            <w:tcW w:w="1197" w:type="dxa"/>
          </w:tcPr>
          <w:p w14:paraId="20F3A907" w14:textId="77777777" w:rsidR="00A10B25" w:rsidRDefault="00A10B25">
            <w:pPr>
              <w:pStyle w:val="TAL"/>
            </w:pPr>
            <w:r>
              <w:t>0..1</w:t>
            </w:r>
          </w:p>
        </w:tc>
        <w:tc>
          <w:tcPr>
            <w:tcW w:w="3015" w:type="dxa"/>
          </w:tcPr>
          <w:p w14:paraId="3EA82B3D" w14:textId="77777777" w:rsidR="00A10B25" w:rsidRDefault="00A10B25">
            <w:pPr>
              <w:pStyle w:val="TAL"/>
              <w:rPr>
                <w:rFonts w:cs="Arial"/>
                <w:szCs w:val="18"/>
              </w:rPr>
            </w:pPr>
            <w:r>
              <w:rPr>
                <w:rFonts w:cs="Arial"/>
                <w:szCs w:val="18"/>
              </w:rPr>
              <w:t>Uplink data rate.</w:t>
            </w:r>
          </w:p>
        </w:tc>
        <w:tc>
          <w:tcPr>
            <w:tcW w:w="1946" w:type="dxa"/>
          </w:tcPr>
          <w:p w14:paraId="548F97C1" w14:textId="77777777" w:rsidR="00A10B25" w:rsidRDefault="00A10B25">
            <w:pPr>
              <w:pStyle w:val="TAL"/>
              <w:rPr>
                <w:rFonts w:cs="Arial"/>
                <w:szCs w:val="18"/>
              </w:rPr>
            </w:pPr>
          </w:p>
        </w:tc>
      </w:tr>
      <w:tr w:rsidR="00A10B25" w14:paraId="346DAB94" w14:textId="77777777" w:rsidTr="0076721C">
        <w:trPr>
          <w:jc w:val="center"/>
        </w:trPr>
        <w:tc>
          <w:tcPr>
            <w:tcW w:w="1333" w:type="dxa"/>
          </w:tcPr>
          <w:p w14:paraId="3D3EDD87" w14:textId="77777777" w:rsidR="00A10B25" w:rsidRDefault="00A10B25">
            <w:pPr>
              <w:pStyle w:val="TAL"/>
              <w:rPr>
                <w:lang w:eastAsia="zh-CN"/>
              </w:rPr>
            </w:pPr>
            <w:r>
              <w:rPr>
                <w:lang w:eastAsia="zh-CN"/>
              </w:rPr>
              <w:t>downlinkRate</w:t>
            </w:r>
          </w:p>
        </w:tc>
        <w:tc>
          <w:tcPr>
            <w:tcW w:w="1646" w:type="dxa"/>
          </w:tcPr>
          <w:p w14:paraId="2FC55E68" w14:textId="77777777" w:rsidR="00A10B25" w:rsidRDefault="00A10B25">
            <w:pPr>
              <w:pStyle w:val="TAL"/>
              <w:rPr>
                <w:lang w:eastAsia="zh-CN"/>
              </w:rPr>
            </w:pPr>
            <w:r>
              <w:rPr>
                <w:lang w:eastAsia="zh-CN"/>
              </w:rPr>
              <w:t>BitRate</w:t>
            </w:r>
          </w:p>
        </w:tc>
        <w:tc>
          <w:tcPr>
            <w:tcW w:w="448" w:type="dxa"/>
          </w:tcPr>
          <w:p w14:paraId="41C397DE" w14:textId="77777777" w:rsidR="00A10B25" w:rsidRDefault="00A10B25">
            <w:pPr>
              <w:pStyle w:val="TAC"/>
            </w:pPr>
            <w:r>
              <w:t>C</w:t>
            </w:r>
          </w:p>
        </w:tc>
        <w:tc>
          <w:tcPr>
            <w:tcW w:w="1197" w:type="dxa"/>
          </w:tcPr>
          <w:p w14:paraId="07A6028F" w14:textId="77777777" w:rsidR="00A10B25" w:rsidRDefault="00A10B25">
            <w:pPr>
              <w:pStyle w:val="TAL"/>
            </w:pPr>
            <w:r>
              <w:t>0..1</w:t>
            </w:r>
          </w:p>
        </w:tc>
        <w:tc>
          <w:tcPr>
            <w:tcW w:w="3015" w:type="dxa"/>
          </w:tcPr>
          <w:p w14:paraId="06BCD270" w14:textId="77777777" w:rsidR="00A10B25" w:rsidRDefault="00A10B25">
            <w:pPr>
              <w:pStyle w:val="TAL"/>
              <w:rPr>
                <w:rFonts w:cs="Arial"/>
                <w:szCs w:val="18"/>
              </w:rPr>
            </w:pPr>
            <w:r>
              <w:rPr>
                <w:rFonts w:cs="Arial"/>
                <w:szCs w:val="18"/>
              </w:rPr>
              <w:t>Downlink data rate.</w:t>
            </w:r>
          </w:p>
        </w:tc>
        <w:tc>
          <w:tcPr>
            <w:tcW w:w="1946" w:type="dxa"/>
          </w:tcPr>
          <w:p w14:paraId="14E1C5CB" w14:textId="77777777" w:rsidR="00A10B25" w:rsidRDefault="00A10B25">
            <w:pPr>
              <w:pStyle w:val="TAL"/>
              <w:rPr>
                <w:rFonts w:cs="Arial"/>
                <w:szCs w:val="18"/>
              </w:rPr>
            </w:pPr>
          </w:p>
        </w:tc>
      </w:tr>
      <w:tr w:rsidR="00A10B25" w14:paraId="16A90F17" w14:textId="77777777" w:rsidTr="0076721C">
        <w:trPr>
          <w:jc w:val="center"/>
        </w:trPr>
        <w:tc>
          <w:tcPr>
            <w:tcW w:w="1333" w:type="dxa"/>
          </w:tcPr>
          <w:p w14:paraId="6E5C1465" w14:textId="77777777" w:rsidR="00A10B25" w:rsidRDefault="00A10B25">
            <w:pPr>
              <w:pStyle w:val="TAL"/>
              <w:rPr>
                <w:lang w:eastAsia="zh-CN"/>
              </w:rPr>
            </w:pPr>
            <w:r>
              <w:rPr>
                <w:lang w:eastAsia="zh-CN"/>
              </w:rPr>
              <w:t>uplinkVolume</w:t>
            </w:r>
          </w:p>
        </w:tc>
        <w:tc>
          <w:tcPr>
            <w:tcW w:w="1646" w:type="dxa"/>
          </w:tcPr>
          <w:p w14:paraId="5D875968" w14:textId="77777777" w:rsidR="00A10B25" w:rsidRDefault="00A10B25">
            <w:pPr>
              <w:pStyle w:val="TAL"/>
              <w:rPr>
                <w:lang w:eastAsia="zh-CN"/>
              </w:rPr>
            </w:pPr>
            <w:r>
              <w:rPr>
                <w:lang w:eastAsia="zh-CN"/>
              </w:rPr>
              <w:t>Volume</w:t>
            </w:r>
          </w:p>
        </w:tc>
        <w:tc>
          <w:tcPr>
            <w:tcW w:w="448" w:type="dxa"/>
          </w:tcPr>
          <w:p w14:paraId="2C7DC838" w14:textId="77777777" w:rsidR="00A10B25" w:rsidRDefault="00A10B25">
            <w:pPr>
              <w:pStyle w:val="TAC"/>
            </w:pPr>
            <w:r>
              <w:t>C</w:t>
            </w:r>
          </w:p>
        </w:tc>
        <w:tc>
          <w:tcPr>
            <w:tcW w:w="1197" w:type="dxa"/>
          </w:tcPr>
          <w:p w14:paraId="7076D339" w14:textId="77777777" w:rsidR="00A10B25" w:rsidRDefault="00A10B25">
            <w:pPr>
              <w:pStyle w:val="TAL"/>
            </w:pPr>
            <w:r>
              <w:t>0..1</w:t>
            </w:r>
          </w:p>
        </w:tc>
        <w:tc>
          <w:tcPr>
            <w:tcW w:w="3015" w:type="dxa"/>
          </w:tcPr>
          <w:p w14:paraId="19922B78" w14:textId="77777777" w:rsidR="00A10B25" w:rsidRDefault="00A10B25">
            <w:pPr>
              <w:pStyle w:val="TAL"/>
              <w:rPr>
                <w:rFonts w:cs="Arial"/>
                <w:szCs w:val="18"/>
              </w:rPr>
            </w:pPr>
            <w:r>
              <w:rPr>
                <w:rFonts w:cs="Arial"/>
                <w:szCs w:val="18"/>
              </w:rPr>
              <w:t>Uplink traffic volume in unit of octet.</w:t>
            </w:r>
          </w:p>
        </w:tc>
        <w:tc>
          <w:tcPr>
            <w:tcW w:w="1946" w:type="dxa"/>
          </w:tcPr>
          <w:p w14:paraId="179A5484" w14:textId="77777777" w:rsidR="00A10B25" w:rsidRDefault="00A10B25">
            <w:pPr>
              <w:pStyle w:val="TAL"/>
              <w:rPr>
                <w:rFonts w:cs="Arial"/>
                <w:szCs w:val="18"/>
              </w:rPr>
            </w:pPr>
          </w:p>
        </w:tc>
      </w:tr>
      <w:tr w:rsidR="00A10B25" w14:paraId="06B0CF0C" w14:textId="77777777" w:rsidTr="0076721C">
        <w:trPr>
          <w:jc w:val="center"/>
        </w:trPr>
        <w:tc>
          <w:tcPr>
            <w:tcW w:w="1333" w:type="dxa"/>
          </w:tcPr>
          <w:p w14:paraId="6EB4B59A" w14:textId="77777777" w:rsidR="00A10B25" w:rsidRDefault="00A10B25">
            <w:pPr>
              <w:pStyle w:val="TAL"/>
              <w:rPr>
                <w:lang w:eastAsia="zh-CN"/>
              </w:rPr>
            </w:pPr>
            <w:r>
              <w:rPr>
                <w:lang w:eastAsia="zh-CN"/>
              </w:rPr>
              <w:t>downlinkVolume</w:t>
            </w:r>
          </w:p>
        </w:tc>
        <w:tc>
          <w:tcPr>
            <w:tcW w:w="1646" w:type="dxa"/>
          </w:tcPr>
          <w:p w14:paraId="25A7C364" w14:textId="77777777" w:rsidR="00A10B25" w:rsidRDefault="00A10B25">
            <w:pPr>
              <w:pStyle w:val="TAL"/>
              <w:rPr>
                <w:lang w:eastAsia="zh-CN"/>
              </w:rPr>
            </w:pPr>
            <w:r>
              <w:rPr>
                <w:lang w:eastAsia="zh-CN"/>
              </w:rPr>
              <w:t>Volume</w:t>
            </w:r>
          </w:p>
        </w:tc>
        <w:tc>
          <w:tcPr>
            <w:tcW w:w="448" w:type="dxa"/>
          </w:tcPr>
          <w:p w14:paraId="2FFFA347" w14:textId="77777777" w:rsidR="00A10B25" w:rsidRDefault="00A10B25">
            <w:pPr>
              <w:pStyle w:val="TAC"/>
            </w:pPr>
            <w:r>
              <w:t>C</w:t>
            </w:r>
          </w:p>
        </w:tc>
        <w:tc>
          <w:tcPr>
            <w:tcW w:w="1197" w:type="dxa"/>
          </w:tcPr>
          <w:p w14:paraId="7D27AD5C" w14:textId="77777777" w:rsidR="00A10B25" w:rsidRDefault="00A10B25">
            <w:pPr>
              <w:pStyle w:val="TAL"/>
            </w:pPr>
            <w:r>
              <w:t>0..1</w:t>
            </w:r>
          </w:p>
        </w:tc>
        <w:tc>
          <w:tcPr>
            <w:tcW w:w="3015" w:type="dxa"/>
          </w:tcPr>
          <w:p w14:paraId="7632A911" w14:textId="77777777" w:rsidR="00A10B25" w:rsidRDefault="00A10B25">
            <w:pPr>
              <w:pStyle w:val="TAL"/>
              <w:rPr>
                <w:rFonts w:cs="Arial"/>
                <w:szCs w:val="18"/>
              </w:rPr>
            </w:pPr>
            <w:r>
              <w:rPr>
                <w:rFonts w:cs="Arial"/>
                <w:szCs w:val="18"/>
              </w:rPr>
              <w:t>Downlink traffic volume in unit of octet.</w:t>
            </w:r>
          </w:p>
        </w:tc>
        <w:tc>
          <w:tcPr>
            <w:tcW w:w="1946" w:type="dxa"/>
          </w:tcPr>
          <w:p w14:paraId="108CDAC1" w14:textId="77777777" w:rsidR="00A10B25" w:rsidRDefault="00A10B25">
            <w:pPr>
              <w:pStyle w:val="TAL"/>
              <w:rPr>
                <w:rFonts w:cs="Arial"/>
                <w:szCs w:val="18"/>
              </w:rPr>
            </w:pPr>
          </w:p>
        </w:tc>
      </w:tr>
      <w:tr w:rsidR="00A10B25" w14:paraId="67D077F4" w14:textId="77777777" w:rsidTr="0076721C">
        <w:trPr>
          <w:jc w:val="center"/>
        </w:trPr>
        <w:tc>
          <w:tcPr>
            <w:tcW w:w="1333" w:type="dxa"/>
          </w:tcPr>
          <w:p w14:paraId="4803A3ED" w14:textId="77777777" w:rsidR="00A10B25" w:rsidRDefault="00A10B25">
            <w:pPr>
              <w:pStyle w:val="TAL"/>
              <w:rPr>
                <w:lang w:eastAsia="zh-CN"/>
              </w:rPr>
            </w:pPr>
            <w:r>
              <w:rPr>
                <w:lang w:eastAsia="zh-CN"/>
              </w:rPr>
              <w:t>totalVolume</w:t>
            </w:r>
          </w:p>
        </w:tc>
        <w:tc>
          <w:tcPr>
            <w:tcW w:w="1646" w:type="dxa"/>
          </w:tcPr>
          <w:p w14:paraId="4EB48726" w14:textId="77777777" w:rsidR="00A10B25" w:rsidRDefault="00A10B25">
            <w:pPr>
              <w:pStyle w:val="TAL"/>
              <w:rPr>
                <w:lang w:eastAsia="zh-CN"/>
              </w:rPr>
            </w:pPr>
            <w:r>
              <w:rPr>
                <w:lang w:eastAsia="zh-CN"/>
              </w:rPr>
              <w:t>Volume</w:t>
            </w:r>
          </w:p>
        </w:tc>
        <w:tc>
          <w:tcPr>
            <w:tcW w:w="448" w:type="dxa"/>
          </w:tcPr>
          <w:p w14:paraId="7EB1A4A7" w14:textId="77777777" w:rsidR="00A10B25" w:rsidRDefault="00A10B25">
            <w:pPr>
              <w:pStyle w:val="TAC"/>
            </w:pPr>
            <w:r>
              <w:t>C</w:t>
            </w:r>
          </w:p>
        </w:tc>
        <w:tc>
          <w:tcPr>
            <w:tcW w:w="1197" w:type="dxa"/>
          </w:tcPr>
          <w:p w14:paraId="0006916F" w14:textId="77777777" w:rsidR="00A10B25" w:rsidRDefault="00A10B25">
            <w:pPr>
              <w:pStyle w:val="TAL"/>
            </w:pPr>
            <w:r>
              <w:t>0..1</w:t>
            </w:r>
          </w:p>
        </w:tc>
        <w:tc>
          <w:tcPr>
            <w:tcW w:w="3015" w:type="dxa"/>
          </w:tcPr>
          <w:p w14:paraId="1705FF0E" w14:textId="77777777" w:rsidR="00A10B25" w:rsidRDefault="00A10B25">
            <w:pPr>
              <w:pStyle w:val="TAL"/>
              <w:rPr>
                <w:rFonts w:cs="Arial"/>
                <w:szCs w:val="18"/>
              </w:rPr>
            </w:pPr>
            <w:r>
              <w:rPr>
                <w:rFonts w:cs="Arial"/>
                <w:szCs w:val="18"/>
              </w:rPr>
              <w:t>Total data octets for both uplink and downlink traffic volume.</w:t>
            </w:r>
          </w:p>
        </w:tc>
        <w:tc>
          <w:tcPr>
            <w:tcW w:w="1946" w:type="dxa"/>
          </w:tcPr>
          <w:p w14:paraId="5C168A9C" w14:textId="77777777" w:rsidR="00A10B25" w:rsidRDefault="00A10B25">
            <w:pPr>
              <w:pStyle w:val="TAL"/>
              <w:rPr>
                <w:rFonts w:cs="Arial"/>
                <w:szCs w:val="18"/>
              </w:rPr>
            </w:pPr>
          </w:p>
        </w:tc>
      </w:tr>
      <w:tr w:rsidR="00A10B25" w14:paraId="05B32D39" w14:textId="77777777" w:rsidTr="0076721C">
        <w:trPr>
          <w:jc w:val="center"/>
        </w:trPr>
        <w:tc>
          <w:tcPr>
            <w:tcW w:w="9585" w:type="dxa"/>
            <w:gridSpan w:val="6"/>
          </w:tcPr>
          <w:p w14:paraId="4396A7E1" w14:textId="77777777" w:rsidR="00A10B25" w:rsidRDefault="00A10B25">
            <w:pPr>
              <w:pStyle w:val="TAN"/>
              <w:ind w:left="400" w:hanging="400"/>
              <w:rPr>
                <w:rFonts w:cs="Arial"/>
                <w:szCs w:val="18"/>
              </w:rPr>
            </w:pPr>
            <w:r>
              <w:rPr>
                <w:rFonts w:cs="Arial"/>
              </w:rPr>
              <w:t>NOTE:</w:t>
            </w:r>
            <w:r>
              <w:rPr>
                <w:rFonts w:cs="Arial"/>
              </w:rPr>
              <w:tab/>
              <w:t>At least one of above attributes shall be present.</w:t>
            </w:r>
          </w:p>
        </w:tc>
      </w:tr>
    </w:tbl>
    <w:p w14:paraId="45DA85F3" w14:textId="77777777" w:rsidR="00A10B25" w:rsidRDefault="00A10B25">
      <w:pPr>
        <w:rPr>
          <w:lang w:val="en-US" w:eastAsia="zh-CN"/>
        </w:rPr>
      </w:pPr>
    </w:p>
    <w:p w14:paraId="6B51957D" w14:textId="77777777" w:rsidR="00A10B25" w:rsidRDefault="00A10B25">
      <w:pPr>
        <w:pStyle w:val="5"/>
      </w:pPr>
      <w:bookmarkStart w:id="7608" w:name="_Toc113031727"/>
      <w:bookmarkStart w:id="7609" w:name="_Toc120702366"/>
      <w:bookmarkStart w:id="7610" w:name="_Toc114133866"/>
      <w:bookmarkStart w:id="7611" w:name="_Toc104539065"/>
      <w:bookmarkStart w:id="7612" w:name="_Toc112951187"/>
      <w:bookmarkStart w:id="7613" w:name="_Toc145705754"/>
      <w:bookmarkStart w:id="7614" w:name="_Toc148522658"/>
      <w:bookmarkStart w:id="7615" w:name="_Toc94064311"/>
      <w:bookmarkStart w:id="7616" w:name="_Toc101244472"/>
      <w:bookmarkStart w:id="7617" w:name="_Toc98233696"/>
      <w:bookmarkStart w:id="7618" w:name="_Toc138754267"/>
      <w:bookmarkStart w:id="7619" w:name="_Toc136562433"/>
      <w:bookmarkStart w:id="7620" w:name="_Toc164920838"/>
      <w:bookmarkStart w:id="7621" w:name="_Toc170120380"/>
      <w:bookmarkStart w:id="7622" w:name="_Toc175858625"/>
      <w:bookmarkStart w:id="7623" w:name="_Toc175859698"/>
      <w:bookmarkStart w:id="7624" w:name="_Toc180605988"/>
      <w:bookmarkStart w:id="7625" w:name="_Toc185517242"/>
      <w:bookmarkStart w:id="7626" w:name="_Toc191576293"/>
      <w:bookmarkStart w:id="7627" w:name="_Toc191577033"/>
      <w:bookmarkStart w:id="7628" w:name="_Toc192880103"/>
      <w:bookmarkStart w:id="7629" w:name="_Toc195814986"/>
      <w:bookmarkStart w:id="7630" w:name="_Toc199452953"/>
      <w:r>
        <w:lastRenderedPageBreak/>
        <w:t>5.1.6.2.64</w:t>
      </w:r>
      <w:r>
        <w:tab/>
        <w:t>Type AppListForUeComm</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33E0D0ED" w14:textId="77777777" w:rsidR="00A10B25" w:rsidRDefault="00A10B25">
      <w:pPr>
        <w:pStyle w:val="TH"/>
      </w:pPr>
      <w:bookmarkStart w:id="7631" w:name="_Toc136562434"/>
      <w:bookmarkStart w:id="7632" w:name="_Toc104539066"/>
      <w:bookmarkStart w:id="7633" w:name="_Toc120702367"/>
      <w:bookmarkStart w:id="7634" w:name="_Toc138754268"/>
      <w:bookmarkStart w:id="7635" w:name="_Toc98233697"/>
      <w:bookmarkStart w:id="7636" w:name="_Toc113031728"/>
      <w:bookmarkStart w:id="7637" w:name="_Toc114133867"/>
      <w:bookmarkStart w:id="7638" w:name="_Toc112951188"/>
      <w:bookmarkStart w:id="7639" w:name="_Toc101244473"/>
      <w:bookmarkStart w:id="7640" w:name="_Toc94064312"/>
      <w:r>
        <w:t>Table 5.1.6.2.64-1: Definition of type AppListForUeComm</w:t>
      </w:r>
    </w:p>
    <w:tbl>
      <w:tblPr>
        <w:tblW w:w="960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4"/>
        <w:gridCol w:w="1559"/>
        <w:gridCol w:w="426"/>
        <w:gridCol w:w="1134"/>
        <w:gridCol w:w="2834"/>
        <w:gridCol w:w="1823"/>
      </w:tblGrid>
      <w:tr w:rsidR="00A10B25" w14:paraId="307E1970" w14:textId="77777777">
        <w:trPr>
          <w:jc w:val="center"/>
        </w:trPr>
        <w:tc>
          <w:tcPr>
            <w:tcW w:w="1825" w:type="dxa"/>
            <w:tcBorders>
              <w:top w:val="single" w:sz="6" w:space="0" w:color="auto"/>
              <w:left w:val="single" w:sz="6" w:space="0" w:color="auto"/>
              <w:bottom w:val="single" w:sz="6" w:space="0" w:color="auto"/>
              <w:right w:val="single" w:sz="6" w:space="0" w:color="auto"/>
            </w:tcBorders>
            <w:shd w:val="clear" w:color="auto" w:fill="C0C0C0"/>
          </w:tcPr>
          <w:p w14:paraId="52BBD8F5" w14:textId="77777777" w:rsidR="00A10B25" w:rsidRDefault="00A10B25">
            <w:pPr>
              <w:pStyle w:val="TAH"/>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0B7F0613"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2318BCEE"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714A884" w14:textId="77777777" w:rsidR="00A10B25" w:rsidRDefault="00A10B25">
            <w:pPr>
              <w:pStyle w:val="TAH"/>
            </w:pPr>
            <w:r>
              <w:t>Cardinality</w:t>
            </w:r>
          </w:p>
        </w:tc>
        <w:tc>
          <w:tcPr>
            <w:tcW w:w="2835" w:type="dxa"/>
            <w:tcBorders>
              <w:top w:val="single" w:sz="6" w:space="0" w:color="auto"/>
              <w:left w:val="single" w:sz="6" w:space="0" w:color="auto"/>
              <w:bottom w:val="single" w:sz="6" w:space="0" w:color="auto"/>
              <w:right w:val="single" w:sz="6" w:space="0" w:color="auto"/>
            </w:tcBorders>
            <w:shd w:val="clear" w:color="auto" w:fill="C0C0C0"/>
          </w:tcPr>
          <w:p w14:paraId="3E919051" w14:textId="77777777" w:rsidR="00A10B25" w:rsidRDefault="00A10B25">
            <w:pPr>
              <w:pStyle w:val="TAH"/>
            </w:pPr>
            <w:r>
              <w:t>Description</w:t>
            </w:r>
          </w:p>
        </w:tc>
        <w:tc>
          <w:tcPr>
            <w:tcW w:w="1824" w:type="dxa"/>
            <w:tcBorders>
              <w:top w:val="single" w:sz="6" w:space="0" w:color="auto"/>
              <w:left w:val="single" w:sz="6" w:space="0" w:color="auto"/>
              <w:bottom w:val="single" w:sz="6" w:space="0" w:color="auto"/>
              <w:right w:val="single" w:sz="6" w:space="0" w:color="auto"/>
            </w:tcBorders>
            <w:shd w:val="clear" w:color="auto" w:fill="C0C0C0"/>
          </w:tcPr>
          <w:p w14:paraId="715A4E63" w14:textId="77777777" w:rsidR="00A10B25" w:rsidRDefault="00A10B25">
            <w:pPr>
              <w:pStyle w:val="TAH"/>
            </w:pPr>
            <w:r>
              <w:t>Applicability</w:t>
            </w:r>
          </w:p>
        </w:tc>
      </w:tr>
      <w:tr w:rsidR="00A10B25" w14:paraId="46BDC718"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0A29FB2" w14:textId="77777777" w:rsidR="00A10B25" w:rsidRDefault="00A10B25">
            <w:pPr>
              <w:pStyle w:val="TAL"/>
              <w:rPr>
                <w:lang w:eastAsia="zh-CN"/>
              </w:rPr>
            </w:pPr>
            <w:r>
              <w:rPr>
                <w:lang w:eastAsia="zh-CN"/>
              </w:rPr>
              <w:t>appId</w:t>
            </w:r>
          </w:p>
        </w:tc>
        <w:tc>
          <w:tcPr>
            <w:tcW w:w="1559" w:type="dxa"/>
            <w:tcBorders>
              <w:top w:val="single" w:sz="6" w:space="0" w:color="auto"/>
              <w:left w:val="single" w:sz="6" w:space="0" w:color="auto"/>
              <w:bottom w:val="single" w:sz="6" w:space="0" w:color="auto"/>
              <w:right w:val="single" w:sz="6" w:space="0" w:color="auto"/>
            </w:tcBorders>
          </w:tcPr>
          <w:p w14:paraId="29D570D8" w14:textId="77777777" w:rsidR="00A10B25" w:rsidRDefault="00A10B25">
            <w:pPr>
              <w:pStyle w:val="TAL"/>
              <w:rPr>
                <w:lang w:eastAsia="zh-CN"/>
              </w:rPr>
            </w:pPr>
            <w:r>
              <w:t>ApplicationId</w:t>
            </w:r>
          </w:p>
        </w:tc>
        <w:tc>
          <w:tcPr>
            <w:tcW w:w="426" w:type="dxa"/>
            <w:tcBorders>
              <w:top w:val="single" w:sz="6" w:space="0" w:color="auto"/>
              <w:left w:val="single" w:sz="6" w:space="0" w:color="auto"/>
              <w:bottom w:val="single" w:sz="6" w:space="0" w:color="auto"/>
              <w:right w:val="single" w:sz="6" w:space="0" w:color="auto"/>
            </w:tcBorders>
          </w:tcPr>
          <w:p w14:paraId="7C56C7A3" w14:textId="77777777" w:rsidR="00A10B25" w:rsidRDefault="00A10B25">
            <w:pPr>
              <w:keepNext/>
              <w:keepLines/>
              <w:spacing w:after="0"/>
              <w:jc w:val="center"/>
              <w:rPr>
                <w:rFonts w:ascii="Arial" w:hAnsi="Arial"/>
                <w:sz w:val="18"/>
                <w:lang w:eastAsia="zh-CN"/>
              </w:rPr>
            </w:pPr>
            <w:r>
              <w:rPr>
                <w:rFonts w:ascii="Arial" w:hAnsi="Arial"/>
                <w:sz w:val="18"/>
                <w:lang w:eastAsia="zh-CN"/>
              </w:rPr>
              <w:t>M</w:t>
            </w:r>
          </w:p>
        </w:tc>
        <w:tc>
          <w:tcPr>
            <w:tcW w:w="1134" w:type="dxa"/>
            <w:tcBorders>
              <w:top w:val="single" w:sz="6" w:space="0" w:color="auto"/>
              <w:left w:val="single" w:sz="6" w:space="0" w:color="auto"/>
              <w:bottom w:val="single" w:sz="6" w:space="0" w:color="auto"/>
              <w:right w:val="single" w:sz="6" w:space="0" w:color="auto"/>
            </w:tcBorders>
          </w:tcPr>
          <w:p w14:paraId="2835A8C2" w14:textId="77777777" w:rsidR="00A10B25" w:rsidRDefault="00A10B25">
            <w:pPr>
              <w:pStyle w:val="TAL"/>
              <w:rPr>
                <w:lang w:eastAsia="zh-CN"/>
              </w:rPr>
            </w:pPr>
            <w:r>
              <w:rPr>
                <w:lang w:eastAsia="zh-CN"/>
              </w:rPr>
              <w:t>1</w:t>
            </w:r>
          </w:p>
        </w:tc>
        <w:tc>
          <w:tcPr>
            <w:tcW w:w="2835" w:type="dxa"/>
            <w:tcBorders>
              <w:top w:val="single" w:sz="6" w:space="0" w:color="auto"/>
              <w:left w:val="single" w:sz="6" w:space="0" w:color="auto"/>
              <w:bottom w:val="single" w:sz="6" w:space="0" w:color="auto"/>
              <w:right w:val="single" w:sz="6" w:space="0" w:color="auto"/>
            </w:tcBorders>
          </w:tcPr>
          <w:p w14:paraId="2D97EDB9" w14:textId="77777777" w:rsidR="00A10B25" w:rsidRDefault="00A10B25">
            <w:pPr>
              <w:pStyle w:val="TAL"/>
              <w:rPr>
                <w:rFonts w:cs="Arial"/>
                <w:szCs w:val="18"/>
                <w:lang w:eastAsia="zh-CN"/>
              </w:rPr>
            </w:pPr>
            <w:r>
              <w:rPr>
                <w:lang w:eastAsia="zh-CN"/>
              </w:rPr>
              <w:t>Identification of the application.</w:t>
            </w:r>
          </w:p>
        </w:tc>
        <w:tc>
          <w:tcPr>
            <w:tcW w:w="1824" w:type="dxa"/>
            <w:tcBorders>
              <w:top w:val="single" w:sz="6" w:space="0" w:color="auto"/>
              <w:left w:val="single" w:sz="6" w:space="0" w:color="auto"/>
              <w:bottom w:val="single" w:sz="6" w:space="0" w:color="auto"/>
              <w:right w:val="single" w:sz="6" w:space="0" w:color="auto"/>
            </w:tcBorders>
          </w:tcPr>
          <w:p w14:paraId="3887A47B" w14:textId="77777777" w:rsidR="00A10B25" w:rsidRDefault="00A10B25">
            <w:pPr>
              <w:pStyle w:val="TAL"/>
              <w:rPr>
                <w:rFonts w:cs="Arial"/>
                <w:szCs w:val="18"/>
              </w:rPr>
            </w:pPr>
          </w:p>
        </w:tc>
      </w:tr>
      <w:tr w:rsidR="00A10B25" w14:paraId="5390CB88"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98BB756" w14:textId="77777777" w:rsidR="00A10B25" w:rsidRDefault="00A10B25">
            <w:pPr>
              <w:pStyle w:val="TAL"/>
              <w:rPr>
                <w:lang w:eastAsia="zh-CN"/>
              </w:rPr>
            </w:pPr>
            <w:r>
              <w:rPr>
                <w:lang w:eastAsia="zh-CN"/>
              </w:rPr>
              <w:t>startTime</w:t>
            </w:r>
          </w:p>
        </w:tc>
        <w:tc>
          <w:tcPr>
            <w:tcW w:w="1559" w:type="dxa"/>
            <w:tcBorders>
              <w:top w:val="single" w:sz="6" w:space="0" w:color="auto"/>
              <w:left w:val="single" w:sz="6" w:space="0" w:color="auto"/>
              <w:bottom w:val="single" w:sz="6" w:space="0" w:color="auto"/>
              <w:right w:val="single" w:sz="6" w:space="0" w:color="auto"/>
            </w:tcBorders>
          </w:tcPr>
          <w:p w14:paraId="0005535C" w14:textId="77777777" w:rsidR="00A10B25" w:rsidRDefault="00A10B25">
            <w:pPr>
              <w:pStyle w:val="TAL"/>
              <w:rPr>
                <w:lang w:eastAsia="zh-CN"/>
              </w:rPr>
            </w:pPr>
            <w:r>
              <w:t>DateTime</w:t>
            </w:r>
          </w:p>
        </w:tc>
        <w:tc>
          <w:tcPr>
            <w:tcW w:w="426" w:type="dxa"/>
            <w:tcBorders>
              <w:top w:val="single" w:sz="6" w:space="0" w:color="auto"/>
              <w:left w:val="single" w:sz="6" w:space="0" w:color="auto"/>
              <w:bottom w:val="single" w:sz="6" w:space="0" w:color="auto"/>
              <w:right w:val="single" w:sz="6" w:space="0" w:color="auto"/>
            </w:tcBorders>
          </w:tcPr>
          <w:p w14:paraId="675BA04D"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1218670"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3E2F3D92" w14:textId="77777777" w:rsidR="00A10B25" w:rsidRDefault="00A10B25">
            <w:pPr>
              <w:pStyle w:val="TAL"/>
              <w:rPr>
                <w:rFonts w:cs="Arial"/>
                <w:szCs w:val="18"/>
                <w:lang w:eastAsia="zh-CN"/>
              </w:rPr>
            </w:pPr>
            <w:r>
              <w:rPr>
                <w:rFonts w:cs="Arial"/>
                <w:szCs w:val="18"/>
                <w:lang w:eastAsia="zh-CN"/>
              </w:rPr>
              <w:t>The time when the UE start to use the application.</w:t>
            </w:r>
          </w:p>
        </w:tc>
        <w:tc>
          <w:tcPr>
            <w:tcW w:w="1824" w:type="dxa"/>
            <w:tcBorders>
              <w:top w:val="single" w:sz="6" w:space="0" w:color="auto"/>
              <w:left w:val="single" w:sz="6" w:space="0" w:color="auto"/>
              <w:bottom w:val="single" w:sz="6" w:space="0" w:color="auto"/>
              <w:right w:val="single" w:sz="6" w:space="0" w:color="auto"/>
            </w:tcBorders>
          </w:tcPr>
          <w:p w14:paraId="3559DD6F" w14:textId="77777777" w:rsidR="00A10B25" w:rsidRDefault="00A10B25">
            <w:pPr>
              <w:pStyle w:val="TAL"/>
              <w:rPr>
                <w:rFonts w:cs="Arial"/>
                <w:szCs w:val="18"/>
              </w:rPr>
            </w:pPr>
          </w:p>
        </w:tc>
      </w:tr>
      <w:tr w:rsidR="00A10B25" w14:paraId="2A2148ED"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4DD02EF" w14:textId="77777777" w:rsidR="00A10B25" w:rsidRDefault="00A10B25">
            <w:pPr>
              <w:pStyle w:val="TAL"/>
              <w:rPr>
                <w:lang w:eastAsia="zh-CN"/>
              </w:rPr>
            </w:pPr>
            <w:r>
              <w:rPr>
                <w:lang w:eastAsia="zh-CN"/>
              </w:rPr>
              <w:t>appDur</w:t>
            </w:r>
          </w:p>
        </w:tc>
        <w:tc>
          <w:tcPr>
            <w:tcW w:w="1559" w:type="dxa"/>
            <w:tcBorders>
              <w:top w:val="single" w:sz="6" w:space="0" w:color="auto"/>
              <w:left w:val="single" w:sz="6" w:space="0" w:color="auto"/>
              <w:bottom w:val="single" w:sz="6" w:space="0" w:color="auto"/>
              <w:right w:val="single" w:sz="6" w:space="0" w:color="auto"/>
            </w:tcBorders>
          </w:tcPr>
          <w:p w14:paraId="5DC6858E" w14:textId="77777777" w:rsidR="00A10B25" w:rsidRDefault="00A10B25">
            <w:pPr>
              <w:pStyle w:val="TAL"/>
              <w:rPr>
                <w:lang w:eastAsia="zh-CN"/>
              </w:rPr>
            </w:pPr>
            <w:r>
              <w:rPr>
                <w:lang w:eastAsia="zh-CN"/>
              </w:rPr>
              <w:t>DurationSec</w:t>
            </w:r>
          </w:p>
        </w:tc>
        <w:tc>
          <w:tcPr>
            <w:tcW w:w="426" w:type="dxa"/>
            <w:tcBorders>
              <w:top w:val="single" w:sz="6" w:space="0" w:color="auto"/>
              <w:left w:val="single" w:sz="6" w:space="0" w:color="auto"/>
              <w:bottom w:val="single" w:sz="6" w:space="0" w:color="auto"/>
              <w:right w:val="single" w:sz="6" w:space="0" w:color="auto"/>
            </w:tcBorders>
          </w:tcPr>
          <w:p w14:paraId="23FE86CF"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6866E17"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1E3A5FB8" w14:textId="77777777" w:rsidR="00A10B25" w:rsidRDefault="00A10B25">
            <w:pPr>
              <w:pStyle w:val="TAL"/>
              <w:rPr>
                <w:rFonts w:cs="Arial"/>
                <w:szCs w:val="18"/>
                <w:lang w:eastAsia="zh-CN"/>
              </w:rPr>
            </w:pPr>
            <w:r>
              <w:rPr>
                <w:rFonts w:cs="Arial"/>
                <w:szCs w:val="18"/>
                <w:lang w:eastAsia="zh-CN"/>
              </w:rPr>
              <w:t>The length of time that the UE uses the application.</w:t>
            </w:r>
          </w:p>
        </w:tc>
        <w:tc>
          <w:tcPr>
            <w:tcW w:w="1824" w:type="dxa"/>
            <w:tcBorders>
              <w:top w:val="single" w:sz="6" w:space="0" w:color="auto"/>
              <w:left w:val="single" w:sz="6" w:space="0" w:color="auto"/>
              <w:bottom w:val="single" w:sz="6" w:space="0" w:color="auto"/>
              <w:right w:val="single" w:sz="6" w:space="0" w:color="auto"/>
            </w:tcBorders>
          </w:tcPr>
          <w:p w14:paraId="4076D6F5" w14:textId="77777777" w:rsidR="00A10B25" w:rsidRDefault="00A10B25">
            <w:pPr>
              <w:pStyle w:val="TAL"/>
              <w:rPr>
                <w:rFonts w:cs="Arial"/>
                <w:szCs w:val="18"/>
              </w:rPr>
            </w:pPr>
          </w:p>
        </w:tc>
      </w:tr>
      <w:tr w:rsidR="00A10B25" w14:paraId="13F6700F"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59F7705B" w14:textId="77777777" w:rsidR="00A10B25" w:rsidRDefault="00A10B25">
            <w:pPr>
              <w:pStyle w:val="TAL"/>
              <w:rPr>
                <w:lang w:eastAsia="zh-CN"/>
              </w:rPr>
            </w:pPr>
            <w:r>
              <w:rPr>
                <w:lang w:eastAsia="zh-CN"/>
              </w:rPr>
              <w:t>occurRatio</w:t>
            </w:r>
          </w:p>
        </w:tc>
        <w:tc>
          <w:tcPr>
            <w:tcW w:w="1559" w:type="dxa"/>
            <w:tcBorders>
              <w:top w:val="single" w:sz="6" w:space="0" w:color="auto"/>
              <w:left w:val="single" w:sz="6" w:space="0" w:color="auto"/>
              <w:bottom w:val="single" w:sz="6" w:space="0" w:color="auto"/>
              <w:right w:val="single" w:sz="6" w:space="0" w:color="auto"/>
            </w:tcBorders>
          </w:tcPr>
          <w:p w14:paraId="049E3F1C" w14:textId="77777777" w:rsidR="00A10B25" w:rsidRDefault="00A10B25">
            <w:pPr>
              <w:pStyle w:val="TAL"/>
              <w:rPr>
                <w:lang w:eastAsia="zh-CN"/>
              </w:rPr>
            </w:pPr>
            <w:r>
              <w:t>SamplingRatio</w:t>
            </w:r>
          </w:p>
        </w:tc>
        <w:tc>
          <w:tcPr>
            <w:tcW w:w="426" w:type="dxa"/>
            <w:tcBorders>
              <w:top w:val="single" w:sz="6" w:space="0" w:color="auto"/>
              <w:left w:val="single" w:sz="6" w:space="0" w:color="auto"/>
              <w:bottom w:val="single" w:sz="6" w:space="0" w:color="auto"/>
              <w:right w:val="single" w:sz="6" w:space="0" w:color="auto"/>
            </w:tcBorders>
          </w:tcPr>
          <w:p w14:paraId="45E7C5CD"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79C1EE4"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6B59ED5D" w14:textId="77777777" w:rsidR="00A10B25" w:rsidRDefault="00A10B25">
            <w:pPr>
              <w:pStyle w:val="TAL"/>
              <w:rPr>
                <w:rFonts w:cs="Arial"/>
                <w:szCs w:val="18"/>
                <w:lang w:eastAsia="zh-CN"/>
              </w:rPr>
            </w:pPr>
            <w:r>
              <w:rPr>
                <w:rFonts w:cs="Arial"/>
                <w:szCs w:val="18"/>
                <w:lang w:eastAsia="zh-CN"/>
              </w:rPr>
              <w:t xml:space="preserve">In </w:t>
            </w:r>
            <w:r>
              <w:rPr>
                <w:lang w:eastAsia="zh-CN"/>
              </w:rPr>
              <w:t>UE Communication Statistics</w:t>
            </w:r>
            <w:r>
              <w:rPr>
                <w:rFonts w:cs="Arial"/>
                <w:szCs w:val="18"/>
                <w:lang w:eastAsia="zh-CN"/>
              </w:rPr>
              <w:t>, it represents the proportion of UE using the application in the requested time period.</w:t>
            </w:r>
          </w:p>
          <w:p w14:paraId="73F3EF22" w14:textId="77777777" w:rsidR="00A10B25" w:rsidRDefault="00A10B25">
            <w:pPr>
              <w:pStyle w:val="TAL"/>
              <w:rPr>
                <w:rFonts w:cs="Arial"/>
                <w:szCs w:val="18"/>
                <w:lang w:eastAsia="zh-CN"/>
              </w:rPr>
            </w:pPr>
            <w:r>
              <w:rPr>
                <w:rFonts w:cs="Arial"/>
                <w:szCs w:val="18"/>
                <w:lang w:eastAsia="zh-CN"/>
              </w:rPr>
              <w:t xml:space="preserve">In </w:t>
            </w:r>
            <w:r>
              <w:rPr>
                <w:lang w:eastAsia="zh-CN"/>
              </w:rPr>
              <w:t>UE Communication Predictions</w:t>
            </w:r>
            <w:r>
              <w:rPr>
                <w:rFonts w:cs="Arial"/>
                <w:szCs w:val="18"/>
                <w:lang w:eastAsia="zh-CN"/>
              </w:rPr>
              <w:t>, it represents the probability that the UE uses the application.</w:t>
            </w:r>
          </w:p>
        </w:tc>
        <w:tc>
          <w:tcPr>
            <w:tcW w:w="1824" w:type="dxa"/>
            <w:tcBorders>
              <w:top w:val="single" w:sz="6" w:space="0" w:color="auto"/>
              <w:left w:val="single" w:sz="6" w:space="0" w:color="auto"/>
              <w:bottom w:val="single" w:sz="6" w:space="0" w:color="auto"/>
              <w:right w:val="single" w:sz="6" w:space="0" w:color="auto"/>
            </w:tcBorders>
          </w:tcPr>
          <w:p w14:paraId="7029F059" w14:textId="77777777" w:rsidR="00A10B25" w:rsidRDefault="00A10B25">
            <w:pPr>
              <w:pStyle w:val="TAL"/>
              <w:rPr>
                <w:rFonts w:cs="Arial"/>
                <w:szCs w:val="18"/>
              </w:rPr>
            </w:pPr>
          </w:p>
        </w:tc>
      </w:tr>
      <w:tr w:rsidR="00A10B25" w14:paraId="2938DFF9" w14:textId="77777777">
        <w:trPr>
          <w:jc w:val="center"/>
        </w:trPr>
        <w:tc>
          <w:tcPr>
            <w:tcW w:w="1825" w:type="dxa"/>
            <w:tcBorders>
              <w:top w:val="single" w:sz="6" w:space="0" w:color="auto"/>
              <w:left w:val="single" w:sz="6" w:space="0" w:color="auto"/>
              <w:bottom w:val="single" w:sz="6" w:space="0" w:color="auto"/>
              <w:right w:val="single" w:sz="6" w:space="0" w:color="auto"/>
            </w:tcBorders>
          </w:tcPr>
          <w:p w14:paraId="7035AE50" w14:textId="77777777" w:rsidR="00A10B25" w:rsidRDefault="00A10B25">
            <w:pPr>
              <w:pStyle w:val="TAL"/>
              <w:rPr>
                <w:lang w:eastAsia="zh-CN"/>
              </w:rPr>
            </w:pPr>
            <w:r>
              <w:rPr>
                <w:lang w:eastAsia="zh-CN"/>
              </w:rPr>
              <w:t>spatialValidity</w:t>
            </w:r>
          </w:p>
        </w:tc>
        <w:tc>
          <w:tcPr>
            <w:tcW w:w="1559" w:type="dxa"/>
            <w:tcBorders>
              <w:top w:val="single" w:sz="6" w:space="0" w:color="auto"/>
              <w:left w:val="single" w:sz="6" w:space="0" w:color="auto"/>
              <w:bottom w:val="single" w:sz="6" w:space="0" w:color="auto"/>
              <w:right w:val="single" w:sz="6" w:space="0" w:color="auto"/>
            </w:tcBorders>
          </w:tcPr>
          <w:p w14:paraId="566D1C1C" w14:textId="77777777" w:rsidR="00A10B25" w:rsidRDefault="00A10B25">
            <w:pPr>
              <w:pStyle w:val="TAL"/>
              <w:rPr>
                <w:lang w:eastAsia="zh-CN"/>
              </w:rPr>
            </w:pPr>
            <w:r>
              <w:t>NetworkAreaInfo</w:t>
            </w:r>
          </w:p>
        </w:tc>
        <w:tc>
          <w:tcPr>
            <w:tcW w:w="426" w:type="dxa"/>
            <w:tcBorders>
              <w:top w:val="single" w:sz="6" w:space="0" w:color="auto"/>
              <w:left w:val="single" w:sz="6" w:space="0" w:color="auto"/>
              <w:bottom w:val="single" w:sz="6" w:space="0" w:color="auto"/>
              <w:right w:val="single" w:sz="6" w:space="0" w:color="auto"/>
            </w:tcBorders>
          </w:tcPr>
          <w:p w14:paraId="32DC517D" w14:textId="77777777" w:rsidR="00A10B25" w:rsidRDefault="00A10B25">
            <w:pPr>
              <w:keepNext/>
              <w:keepLines/>
              <w:spacing w:after="0"/>
              <w:jc w:val="center"/>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92EF0CA" w14:textId="77777777" w:rsidR="00A10B25" w:rsidRDefault="00A10B25">
            <w:pPr>
              <w:pStyle w:val="TAL"/>
              <w:rPr>
                <w:lang w:eastAsia="zh-CN"/>
              </w:rPr>
            </w:pPr>
            <w:r>
              <w:t>0..1</w:t>
            </w:r>
          </w:p>
        </w:tc>
        <w:tc>
          <w:tcPr>
            <w:tcW w:w="2835" w:type="dxa"/>
            <w:tcBorders>
              <w:top w:val="single" w:sz="6" w:space="0" w:color="auto"/>
              <w:left w:val="single" w:sz="6" w:space="0" w:color="auto"/>
              <w:bottom w:val="single" w:sz="6" w:space="0" w:color="auto"/>
              <w:right w:val="single" w:sz="6" w:space="0" w:color="auto"/>
            </w:tcBorders>
          </w:tcPr>
          <w:p w14:paraId="28D8610E" w14:textId="77777777" w:rsidR="00A10B25" w:rsidRDefault="00A10B25">
            <w:pPr>
              <w:pStyle w:val="TAL"/>
              <w:rPr>
                <w:rFonts w:cs="Arial"/>
                <w:szCs w:val="18"/>
                <w:lang w:eastAsia="zh-CN"/>
              </w:rPr>
            </w:pPr>
            <w:r>
              <w:rPr>
                <w:rFonts w:cs="Arial"/>
                <w:szCs w:val="18"/>
                <w:lang w:eastAsia="zh-CN"/>
              </w:rPr>
              <w:t>The area where the service behavior applies.</w:t>
            </w:r>
          </w:p>
          <w:p w14:paraId="1010309A" w14:textId="77777777" w:rsidR="00A10B25" w:rsidRDefault="00A10B25">
            <w:pPr>
              <w:pStyle w:val="TAL"/>
              <w:rPr>
                <w:rFonts w:cs="Arial"/>
                <w:szCs w:val="18"/>
                <w:lang w:eastAsia="zh-CN"/>
              </w:rPr>
            </w:pPr>
            <w:r>
              <w:rPr>
                <w:rFonts w:cs="Arial"/>
                <w:szCs w:val="18"/>
                <w:lang w:eastAsia="zh-CN"/>
              </w:rPr>
              <w:t>(NOTE)</w:t>
            </w:r>
          </w:p>
        </w:tc>
        <w:tc>
          <w:tcPr>
            <w:tcW w:w="1824" w:type="dxa"/>
            <w:tcBorders>
              <w:top w:val="single" w:sz="6" w:space="0" w:color="auto"/>
              <w:left w:val="single" w:sz="6" w:space="0" w:color="auto"/>
              <w:bottom w:val="single" w:sz="6" w:space="0" w:color="auto"/>
              <w:right w:val="single" w:sz="6" w:space="0" w:color="auto"/>
            </w:tcBorders>
          </w:tcPr>
          <w:p w14:paraId="5825479B" w14:textId="77777777" w:rsidR="00A10B25" w:rsidRDefault="00A10B25">
            <w:pPr>
              <w:pStyle w:val="TAL"/>
              <w:rPr>
                <w:rFonts w:cs="Arial"/>
                <w:szCs w:val="18"/>
                <w:lang w:eastAsia="zh-CN"/>
              </w:rPr>
            </w:pPr>
          </w:p>
        </w:tc>
      </w:tr>
      <w:tr w:rsidR="00A10B25" w14:paraId="289B5C82" w14:textId="77777777">
        <w:trPr>
          <w:jc w:val="center"/>
        </w:trPr>
        <w:tc>
          <w:tcPr>
            <w:tcW w:w="9603" w:type="dxa"/>
            <w:gridSpan w:val="6"/>
            <w:tcBorders>
              <w:top w:val="single" w:sz="6" w:space="0" w:color="auto"/>
              <w:left w:val="single" w:sz="6" w:space="0" w:color="auto"/>
              <w:bottom w:val="single" w:sz="6" w:space="0" w:color="auto"/>
              <w:right w:val="single" w:sz="6" w:space="0" w:color="auto"/>
            </w:tcBorders>
          </w:tcPr>
          <w:p w14:paraId="05F5250F" w14:textId="77777777" w:rsidR="00A10B25" w:rsidRDefault="00A10B25">
            <w:pPr>
              <w:pStyle w:val="TAN"/>
              <w:rPr>
                <w:rFonts w:cs="Arial"/>
                <w:szCs w:val="18"/>
                <w:lang w:eastAsia="zh-CN"/>
              </w:rPr>
            </w:pPr>
            <w:r>
              <w:t>NOTE:</w:t>
            </w:r>
            <w:r>
              <w:tab/>
              <w:t>If the "spatialGranSizeTa" and/or "spatialGranSizeCell" attributes are provided in the request, the number of TAs or cells contained in "</w:t>
            </w:r>
            <w:r>
              <w:rPr>
                <w:lang w:eastAsia="zh-CN"/>
              </w:rPr>
              <w:t>spatialValidity</w:t>
            </w:r>
            <w:r>
              <w:t xml:space="preserve">" attribute </w:t>
            </w:r>
            <w:r>
              <w:rPr>
                <w:rFonts w:cs="Arial"/>
                <w:szCs w:val="18"/>
                <w:lang w:eastAsia="zh-CN"/>
              </w:rPr>
              <w:t>shall be</w:t>
            </w:r>
            <w:r>
              <w:t xml:space="preserve"> smaller than or equal to the values of the "spatialGranSizeTa" and/or "spatialGranSizeCell" attributes.</w:t>
            </w:r>
          </w:p>
        </w:tc>
      </w:tr>
    </w:tbl>
    <w:p w14:paraId="6B38B992" w14:textId="77777777" w:rsidR="00A10B25" w:rsidRDefault="00A10B25">
      <w:pPr>
        <w:rPr>
          <w:lang w:val="en-US"/>
        </w:rPr>
      </w:pPr>
    </w:p>
    <w:p w14:paraId="7A3407C7" w14:textId="77777777" w:rsidR="00A10B25" w:rsidRDefault="00A10B25">
      <w:pPr>
        <w:pStyle w:val="5"/>
      </w:pPr>
      <w:bookmarkStart w:id="7641" w:name="_Toc145705755"/>
      <w:bookmarkStart w:id="7642" w:name="_Toc148522659"/>
      <w:bookmarkStart w:id="7643" w:name="_Toc164920839"/>
      <w:bookmarkStart w:id="7644" w:name="_Toc170120381"/>
      <w:bookmarkStart w:id="7645" w:name="_Toc175858626"/>
      <w:bookmarkStart w:id="7646" w:name="_Toc175859699"/>
      <w:bookmarkStart w:id="7647" w:name="_Toc180605989"/>
      <w:bookmarkStart w:id="7648" w:name="_Toc185517243"/>
      <w:bookmarkStart w:id="7649" w:name="_Toc191576294"/>
      <w:bookmarkStart w:id="7650" w:name="_Toc191577034"/>
      <w:bookmarkStart w:id="7651" w:name="_Toc192880104"/>
      <w:bookmarkStart w:id="7652" w:name="_Toc195814987"/>
      <w:bookmarkStart w:id="7653" w:name="_Toc199452954"/>
      <w:r>
        <w:t>5.1.6.2.65</w:t>
      </w:r>
      <w:r>
        <w:tab/>
        <w:t xml:space="preserve">Type </w:t>
      </w:r>
      <w:r>
        <w:rPr>
          <w:lang w:val="en-US" w:eastAsia="zh-CN"/>
        </w:rPr>
        <w:t>SessInactTimer</w:t>
      </w:r>
      <w:r>
        <w:t>ForUeComm</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391B534E" w14:textId="77777777" w:rsidR="00A10B25" w:rsidRDefault="00A10B25">
      <w:pPr>
        <w:pStyle w:val="TH"/>
      </w:pPr>
      <w:r>
        <w:t xml:space="preserve">Table 5.1.6.2.65-1: Definition of type </w:t>
      </w:r>
      <w:r>
        <w:rPr>
          <w:lang w:val="en-US" w:eastAsia="zh-CN"/>
        </w:rPr>
        <w:t>SessInactTimer</w:t>
      </w:r>
      <w:r>
        <w:t>ForUeComm</w:t>
      </w:r>
    </w:p>
    <w:tbl>
      <w:tblPr>
        <w:tblW w:w="960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2C49EC70" w14:textId="77777777">
        <w:trPr>
          <w:jc w:val="center"/>
        </w:trPr>
        <w:tc>
          <w:tcPr>
            <w:tcW w:w="1825" w:type="dxa"/>
            <w:shd w:val="clear" w:color="auto" w:fill="C0C0C0"/>
          </w:tcPr>
          <w:p w14:paraId="6857B478" w14:textId="77777777" w:rsidR="00A10B25" w:rsidRDefault="00A10B25">
            <w:pPr>
              <w:pStyle w:val="TAH"/>
            </w:pPr>
            <w:r>
              <w:t>Attribute name</w:t>
            </w:r>
          </w:p>
        </w:tc>
        <w:tc>
          <w:tcPr>
            <w:tcW w:w="1559" w:type="dxa"/>
            <w:shd w:val="clear" w:color="auto" w:fill="C0C0C0"/>
          </w:tcPr>
          <w:p w14:paraId="07B35755" w14:textId="77777777" w:rsidR="00A10B25" w:rsidRDefault="00A10B25">
            <w:pPr>
              <w:pStyle w:val="TAH"/>
            </w:pPr>
            <w:r>
              <w:t>Data type</w:t>
            </w:r>
          </w:p>
        </w:tc>
        <w:tc>
          <w:tcPr>
            <w:tcW w:w="426" w:type="dxa"/>
            <w:shd w:val="clear" w:color="auto" w:fill="C0C0C0"/>
          </w:tcPr>
          <w:p w14:paraId="062A1566" w14:textId="77777777" w:rsidR="00A10B25" w:rsidRDefault="00A10B25">
            <w:pPr>
              <w:pStyle w:val="TAH"/>
            </w:pPr>
            <w:r>
              <w:t>P</w:t>
            </w:r>
          </w:p>
        </w:tc>
        <w:tc>
          <w:tcPr>
            <w:tcW w:w="1134" w:type="dxa"/>
            <w:shd w:val="clear" w:color="auto" w:fill="C0C0C0"/>
          </w:tcPr>
          <w:p w14:paraId="1783A267" w14:textId="77777777" w:rsidR="00A10B25" w:rsidRDefault="00A10B25">
            <w:pPr>
              <w:pStyle w:val="TAH"/>
            </w:pPr>
            <w:r>
              <w:t>Cardinality</w:t>
            </w:r>
          </w:p>
        </w:tc>
        <w:tc>
          <w:tcPr>
            <w:tcW w:w="2835" w:type="dxa"/>
            <w:shd w:val="clear" w:color="auto" w:fill="C0C0C0"/>
          </w:tcPr>
          <w:p w14:paraId="2FFA13AC" w14:textId="77777777" w:rsidR="00A10B25" w:rsidRDefault="00A10B25">
            <w:pPr>
              <w:pStyle w:val="TAH"/>
            </w:pPr>
            <w:r>
              <w:t>Description</w:t>
            </w:r>
          </w:p>
        </w:tc>
        <w:tc>
          <w:tcPr>
            <w:tcW w:w="1824" w:type="dxa"/>
            <w:shd w:val="clear" w:color="auto" w:fill="C0C0C0"/>
          </w:tcPr>
          <w:p w14:paraId="27D1878D" w14:textId="77777777" w:rsidR="00A10B25" w:rsidRDefault="00A10B25">
            <w:pPr>
              <w:pStyle w:val="TAH"/>
            </w:pPr>
            <w:r>
              <w:t>Applicability</w:t>
            </w:r>
          </w:p>
        </w:tc>
      </w:tr>
      <w:tr w:rsidR="00A10B25" w14:paraId="24F0A768" w14:textId="77777777">
        <w:trPr>
          <w:jc w:val="center"/>
        </w:trPr>
        <w:tc>
          <w:tcPr>
            <w:tcW w:w="1825" w:type="dxa"/>
          </w:tcPr>
          <w:p w14:paraId="2B0051B7" w14:textId="77777777" w:rsidR="00A10B25" w:rsidRDefault="00A10B25">
            <w:pPr>
              <w:pStyle w:val="TAL"/>
              <w:rPr>
                <w:lang w:eastAsia="zh-CN"/>
              </w:rPr>
            </w:pPr>
            <w:r>
              <w:rPr>
                <w:lang w:eastAsia="zh-CN"/>
              </w:rPr>
              <w:t>n4SessId</w:t>
            </w:r>
          </w:p>
        </w:tc>
        <w:tc>
          <w:tcPr>
            <w:tcW w:w="1559" w:type="dxa"/>
          </w:tcPr>
          <w:p w14:paraId="464BA8D4" w14:textId="77777777" w:rsidR="00A10B25" w:rsidRDefault="00A10B25">
            <w:pPr>
              <w:pStyle w:val="TAL"/>
              <w:rPr>
                <w:lang w:eastAsia="zh-CN"/>
              </w:rPr>
            </w:pPr>
            <w:r>
              <w:rPr>
                <w:lang w:val="en-US"/>
              </w:rPr>
              <w:t>PduSessionId</w:t>
            </w:r>
          </w:p>
        </w:tc>
        <w:tc>
          <w:tcPr>
            <w:tcW w:w="426" w:type="dxa"/>
          </w:tcPr>
          <w:p w14:paraId="5F98B491" w14:textId="77777777" w:rsidR="00A10B25" w:rsidRDefault="00A10B25">
            <w:pPr>
              <w:keepNext/>
              <w:keepLines/>
              <w:spacing w:after="0"/>
              <w:jc w:val="center"/>
              <w:rPr>
                <w:rFonts w:ascii="Arial" w:hAnsi="Arial"/>
                <w:sz w:val="18"/>
                <w:lang w:eastAsia="zh-CN"/>
              </w:rPr>
            </w:pPr>
            <w:r>
              <w:rPr>
                <w:rFonts w:ascii="Arial" w:hAnsi="Arial" w:hint="eastAsia"/>
                <w:sz w:val="18"/>
                <w:lang w:eastAsia="zh-CN"/>
              </w:rPr>
              <w:t>M</w:t>
            </w:r>
          </w:p>
        </w:tc>
        <w:tc>
          <w:tcPr>
            <w:tcW w:w="1134" w:type="dxa"/>
          </w:tcPr>
          <w:p w14:paraId="0053F991" w14:textId="77777777" w:rsidR="00A10B25" w:rsidRDefault="00A10B25">
            <w:pPr>
              <w:pStyle w:val="TAL"/>
              <w:rPr>
                <w:lang w:eastAsia="zh-CN"/>
              </w:rPr>
            </w:pPr>
            <w:r>
              <w:rPr>
                <w:rFonts w:hint="eastAsia"/>
                <w:lang w:eastAsia="zh-CN"/>
              </w:rPr>
              <w:t>1</w:t>
            </w:r>
          </w:p>
        </w:tc>
        <w:tc>
          <w:tcPr>
            <w:tcW w:w="2835" w:type="dxa"/>
          </w:tcPr>
          <w:p w14:paraId="3099EFD1" w14:textId="77777777" w:rsidR="00A10B25" w:rsidRDefault="00A10B25">
            <w:pPr>
              <w:pStyle w:val="TAL"/>
              <w:rPr>
                <w:rFonts w:cs="Arial"/>
                <w:szCs w:val="18"/>
                <w:lang w:eastAsia="zh-CN"/>
              </w:rPr>
            </w:pPr>
            <w:r>
              <w:rPr>
                <w:lang w:eastAsia="zh-CN"/>
              </w:rPr>
              <w:t xml:space="preserve">The identification of the </w:t>
            </w:r>
            <w:r>
              <w:t>N4 Session</w:t>
            </w:r>
            <w:r>
              <w:rPr>
                <w:lang w:eastAsia="zh-CN"/>
              </w:rPr>
              <w:t>.</w:t>
            </w:r>
          </w:p>
        </w:tc>
        <w:tc>
          <w:tcPr>
            <w:tcW w:w="1824" w:type="dxa"/>
          </w:tcPr>
          <w:p w14:paraId="1C91EAFD" w14:textId="77777777" w:rsidR="00A10B25" w:rsidRDefault="00A10B25">
            <w:pPr>
              <w:pStyle w:val="TAL"/>
              <w:rPr>
                <w:rFonts w:cs="Arial"/>
                <w:szCs w:val="18"/>
              </w:rPr>
            </w:pPr>
          </w:p>
        </w:tc>
      </w:tr>
      <w:tr w:rsidR="00A10B25" w14:paraId="007CCE66" w14:textId="77777777">
        <w:trPr>
          <w:jc w:val="center"/>
        </w:trPr>
        <w:tc>
          <w:tcPr>
            <w:tcW w:w="1825" w:type="dxa"/>
          </w:tcPr>
          <w:p w14:paraId="3F52FCCD" w14:textId="77777777" w:rsidR="00A10B25" w:rsidRDefault="00A10B25">
            <w:pPr>
              <w:pStyle w:val="TAL"/>
              <w:rPr>
                <w:lang w:eastAsia="zh-CN"/>
              </w:rPr>
            </w:pPr>
            <w:r>
              <w:rPr>
                <w:lang w:eastAsia="zh-CN"/>
              </w:rPr>
              <w:t>sessInactiveTimer</w:t>
            </w:r>
          </w:p>
        </w:tc>
        <w:tc>
          <w:tcPr>
            <w:tcW w:w="1559" w:type="dxa"/>
          </w:tcPr>
          <w:p w14:paraId="6DB90AE7" w14:textId="77777777" w:rsidR="00A10B25" w:rsidRDefault="00A10B25">
            <w:pPr>
              <w:pStyle w:val="TAL"/>
              <w:rPr>
                <w:lang w:eastAsia="zh-CN"/>
              </w:rPr>
            </w:pPr>
            <w:r>
              <w:rPr>
                <w:lang w:val="en-US"/>
              </w:rPr>
              <w:t>DurationSec</w:t>
            </w:r>
          </w:p>
        </w:tc>
        <w:tc>
          <w:tcPr>
            <w:tcW w:w="426" w:type="dxa"/>
          </w:tcPr>
          <w:p w14:paraId="6EE4363A" w14:textId="77777777" w:rsidR="00A10B25" w:rsidRDefault="00A10B25">
            <w:pPr>
              <w:keepNext/>
              <w:keepLines/>
              <w:spacing w:after="0"/>
              <w:jc w:val="center"/>
              <w:rPr>
                <w:rFonts w:ascii="Arial" w:hAnsi="Arial"/>
                <w:sz w:val="18"/>
                <w:lang w:eastAsia="zh-CN"/>
              </w:rPr>
            </w:pPr>
            <w:r>
              <w:rPr>
                <w:rFonts w:ascii="Arial" w:hAnsi="Arial"/>
                <w:sz w:val="18"/>
                <w:lang w:eastAsia="zh-CN"/>
              </w:rPr>
              <w:t>M</w:t>
            </w:r>
          </w:p>
        </w:tc>
        <w:tc>
          <w:tcPr>
            <w:tcW w:w="1134" w:type="dxa"/>
          </w:tcPr>
          <w:p w14:paraId="44014814" w14:textId="77777777" w:rsidR="00A10B25" w:rsidRDefault="00A10B25">
            <w:pPr>
              <w:pStyle w:val="TAL"/>
              <w:rPr>
                <w:lang w:eastAsia="zh-CN"/>
              </w:rPr>
            </w:pPr>
            <w:r>
              <w:rPr>
                <w:rFonts w:hint="eastAsia"/>
                <w:lang w:eastAsia="zh-CN"/>
              </w:rPr>
              <w:t>1</w:t>
            </w:r>
          </w:p>
        </w:tc>
        <w:tc>
          <w:tcPr>
            <w:tcW w:w="2835" w:type="dxa"/>
          </w:tcPr>
          <w:p w14:paraId="00370E99" w14:textId="77777777" w:rsidR="00A10B25" w:rsidRDefault="00A10B25">
            <w:pPr>
              <w:pStyle w:val="TAL"/>
              <w:rPr>
                <w:rFonts w:cs="Arial"/>
                <w:szCs w:val="18"/>
                <w:lang w:eastAsia="zh-CN"/>
              </w:rPr>
            </w:pPr>
            <w:r>
              <w:rPr>
                <w:rFonts w:cs="Arial"/>
                <w:szCs w:val="18"/>
                <w:lang w:eastAsia="zh-CN"/>
              </w:rPr>
              <w:t xml:space="preserve">The value of the </w:t>
            </w:r>
            <w:r>
              <w:t>N4 Session</w:t>
            </w:r>
            <w:r>
              <w:rPr>
                <w:rFonts w:cs="Arial"/>
                <w:szCs w:val="18"/>
                <w:lang w:eastAsia="zh-CN"/>
              </w:rPr>
              <w:t xml:space="preserve"> inactivity timer.</w:t>
            </w:r>
          </w:p>
        </w:tc>
        <w:tc>
          <w:tcPr>
            <w:tcW w:w="1824" w:type="dxa"/>
          </w:tcPr>
          <w:p w14:paraId="5B37A333" w14:textId="77777777" w:rsidR="00A10B25" w:rsidRDefault="00A10B25">
            <w:pPr>
              <w:pStyle w:val="TAL"/>
              <w:rPr>
                <w:rFonts w:cs="Arial"/>
                <w:szCs w:val="18"/>
              </w:rPr>
            </w:pPr>
          </w:p>
        </w:tc>
      </w:tr>
    </w:tbl>
    <w:p w14:paraId="4F06CC03" w14:textId="77777777" w:rsidR="00A10B25" w:rsidRDefault="00A10B25">
      <w:pPr>
        <w:rPr>
          <w:lang w:val="en-US" w:eastAsia="zh-CN"/>
        </w:rPr>
      </w:pPr>
    </w:p>
    <w:p w14:paraId="52CD6854" w14:textId="77777777" w:rsidR="00A10B25" w:rsidRDefault="00A10B25">
      <w:pPr>
        <w:pStyle w:val="5"/>
      </w:pPr>
      <w:bookmarkStart w:id="7654" w:name="_Toc114133868"/>
      <w:bookmarkStart w:id="7655" w:name="_Toc113031729"/>
      <w:bookmarkStart w:id="7656" w:name="_Toc98233698"/>
      <w:bookmarkStart w:id="7657" w:name="_Toc138754269"/>
      <w:bookmarkStart w:id="7658" w:name="_Toc104539067"/>
      <w:bookmarkStart w:id="7659" w:name="_Toc112951189"/>
      <w:bookmarkStart w:id="7660" w:name="_Toc145705756"/>
      <w:bookmarkStart w:id="7661" w:name="_Toc101244474"/>
      <w:bookmarkStart w:id="7662" w:name="_Toc120702368"/>
      <w:bookmarkStart w:id="7663" w:name="_Toc148522660"/>
      <w:bookmarkStart w:id="7664" w:name="_Toc136562435"/>
      <w:bookmarkStart w:id="7665" w:name="_Toc164920840"/>
      <w:bookmarkStart w:id="7666" w:name="_Toc170120382"/>
      <w:bookmarkStart w:id="7667" w:name="_Toc175858627"/>
      <w:bookmarkStart w:id="7668" w:name="_Toc175859700"/>
      <w:bookmarkStart w:id="7669" w:name="_Toc180605990"/>
      <w:bookmarkStart w:id="7670" w:name="_Toc185517244"/>
      <w:bookmarkStart w:id="7671" w:name="_Toc191576295"/>
      <w:bookmarkStart w:id="7672" w:name="_Toc191577035"/>
      <w:bookmarkStart w:id="7673" w:name="_Toc192880105"/>
      <w:bookmarkStart w:id="7674" w:name="_Toc195814988"/>
      <w:bookmarkStart w:id="7675" w:name="_Toc199452955"/>
      <w:r>
        <w:t>5.1.6.2.66</w:t>
      </w:r>
      <w:r>
        <w:tab/>
        <w:t xml:space="preserve">Type </w:t>
      </w:r>
      <w:r>
        <w:rPr>
          <w:rFonts w:eastAsia="等线"/>
        </w:rPr>
        <w:t>DnPerformanceReq</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2D2850A2" w14:textId="77777777" w:rsidR="00A10B25" w:rsidRDefault="00A10B25">
      <w:pPr>
        <w:pStyle w:val="TH"/>
      </w:pPr>
      <w:r>
        <w:t xml:space="preserve">Table 5.1.6.2.66-1: Definition of type </w:t>
      </w:r>
      <w:r>
        <w:rPr>
          <w:rFonts w:eastAsia="等线"/>
        </w:rPr>
        <w:t>DnPerformanceReq</w:t>
      </w:r>
    </w:p>
    <w:tbl>
      <w:tblPr>
        <w:tblW w:w="960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3E989453" w14:textId="77777777">
        <w:trPr>
          <w:jc w:val="center"/>
        </w:trPr>
        <w:tc>
          <w:tcPr>
            <w:tcW w:w="1825" w:type="dxa"/>
            <w:shd w:val="clear" w:color="auto" w:fill="C0C0C0"/>
          </w:tcPr>
          <w:p w14:paraId="7EAA22D3" w14:textId="77777777" w:rsidR="00A10B25" w:rsidRDefault="00A10B25">
            <w:pPr>
              <w:pStyle w:val="TAH"/>
            </w:pPr>
            <w:r>
              <w:t>Attribute name</w:t>
            </w:r>
          </w:p>
        </w:tc>
        <w:tc>
          <w:tcPr>
            <w:tcW w:w="1559" w:type="dxa"/>
            <w:shd w:val="clear" w:color="auto" w:fill="C0C0C0"/>
          </w:tcPr>
          <w:p w14:paraId="6006FFE5" w14:textId="77777777" w:rsidR="00A10B25" w:rsidRDefault="00A10B25">
            <w:pPr>
              <w:pStyle w:val="TAH"/>
            </w:pPr>
            <w:r>
              <w:t>Data type</w:t>
            </w:r>
          </w:p>
        </w:tc>
        <w:tc>
          <w:tcPr>
            <w:tcW w:w="426" w:type="dxa"/>
            <w:shd w:val="clear" w:color="auto" w:fill="C0C0C0"/>
          </w:tcPr>
          <w:p w14:paraId="0793EF27" w14:textId="77777777" w:rsidR="00A10B25" w:rsidRDefault="00A10B25">
            <w:pPr>
              <w:pStyle w:val="TAH"/>
            </w:pPr>
            <w:r>
              <w:t>P</w:t>
            </w:r>
          </w:p>
        </w:tc>
        <w:tc>
          <w:tcPr>
            <w:tcW w:w="1134" w:type="dxa"/>
            <w:shd w:val="clear" w:color="auto" w:fill="C0C0C0"/>
          </w:tcPr>
          <w:p w14:paraId="514A616A" w14:textId="77777777" w:rsidR="00A10B25" w:rsidRDefault="00A10B25">
            <w:pPr>
              <w:pStyle w:val="TAH"/>
            </w:pPr>
            <w:r>
              <w:t>Cardinality</w:t>
            </w:r>
          </w:p>
        </w:tc>
        <w:tc>
          <w:tcPr>
            <w:tcW w:w="2835" w:type="dxa"/>
            <w:shd w:val="clear" w:color="auto" w:fill="C0C0C0"/>
          </w:tcPr>
          <w:p w14:paraId="2D880CD4" w14:textId="77777777" w:rsidR="00A10B25" w:rsidRDefault="00A10B25">
            <w:pPr>
              <w:pStyle w:val="TAH"/>
            </w:pPr>
            <w:r>
              <w:t>Description</w:t>
            </w:r>
          </w:p>
        </w:tc>
        <w:tc>
          <w:tcPr>
            <w:tcW w:w="1824" w:type="dxa"/>
            <w:shd w:val="clear" w:color="auto" w:fill="C0C0C0"/>
          </w:tcPr>
          <w:p w14:paraId="5760FB61" w14:textId="77777777" w:rsidR="00A10B25" w:rsidRDefault="00A10B25">
            <w:pPr>
              <w:pStyle w:val="TAH"/>
            </w:pPr>
            <w:r>
              <w:t>Applicability</w:t>
            </w:r>
          </w:p>
        </w:tc>
      </w:tr>
      <w:tr w:rsidR="00A10B25" w14:paraId="13922A34" w14:textId="77777777">
        <w:trPr>
          <w:jc w:val="center"/>
        </w:trPr>
        <w:tc>
          <w:tcPr>
            <w:tcW w:w="1825" w:type="dxa"/>
          </w:tcPr>
          <w:p w14:paraId="7E7F170E" w14:textId="77777777" w:rsidR="00A10B25" w:rsidRDefault="00A10B25">
            <w:pPr>
              <w:pStyle w:val="TAL"/>
            </w:pPr>
            <w:r>
              <w:rPr>
                <w:lang w:eastAsia="zh-CN"/>
              </w:rPr>
              <w:t>dnPerfOrderCriter</w:t>
            </w:r>
          </w:p>
        </w:tc>
        <w:tc>
          <w:tcPr>
            <w:tcW w:w="1559" w:type="dxa"/>
          </w:tcPr>
          <w:p w14:paraId="6CA46B4B" w14:textId="77777777" w:rsidR="00A10B25" w:rsidRDefault="00A10B25">
            <w:pPr>
              <w:pStyle w:val="TAL"/>
            </w:pPr>
            <w:r>
              <w:rPr>
                <w:lang w:eastAsia="zh-CN"/>
              </w:rPr>
              <w:t>DnPerfOrderingCriterion</w:t>
            </w:r>
          </w:p>
        </w:tc>
        <w:tc>
          <w:tcPr>
            <w:tcW w:w="426" w:type="dxa"/>
          </w:tcPr>
          <w:p w14:paraId="7AB51C25" w14:textId="77777777" w:rsidR="00A10B25" w:rsidRDefault="00A10B25">
            <w:pPr>
              <w:pStyle w:val="TAC"/>
            </w:pPr>
            <w:r>
              <w:t>O</w:t>
            </w:r>
          </w:p>
        </w:tc>
        <w:tc>
          <w:tcPr>
            <w:tcW w:w="1134" w:type="dxa"/>
          </w:tcPr>
          <w:p w14:paraId="1105BA0B" w14:textId="77777777" w:rsidR="00A10B25" w:rsidRDefault="00A10B25">
            <w:pPr>
              <w:pStyle w:val="TAL"/>
            </w:pPr>
            <w:r>
              <w:t>0..1</w:t>
            </w:r>
          </w:p>
        </w:tc>
        <w:tc>
          <w:tcPr>
            <w:tcW w:w="2835" w:type="dxa"/>
          </w:tcPr>
          <w:p w14:paraId="23BF028D" w14:textId="77777777" w:rsidR="00A10B25" w:rsidRDefault="00A10B25">
            <w:pPr>
              <w:pStyle w:val="TAL"/>
              <w:rPr>
                <w:rFonts w:cs="Arial"/>
                <w:szCs w:val="18"/>
              </w:rPr>
            </w:pPr>
            <w:r>
              <w:rPr>
                <w:rFonts w:cs="Arial"/>
                <w:szCs w:val="18"/>
              </w:rPr>
              <w:t>Indicates the preferred order criterion of a list of Network Performance analytics results.</w:t>
            </w:r>
          </w:p>
        </w:tc>
        <w:tc>
          <w:tcPr>
            <w:tcW w:w="1824" w:type="dxa"/>
          </w:tcPr>
          <w:p w14:paraId="71D1AACB" w14:textId="77777777" w:rsidR="00A10B25" w:rsidRDefault="00A10B25">
            <w:pPr>
              <w:keepNext/>
              <w:keepLines/>
              <w:spacing w:after="0"/>
              <w:rPr>
                <w:rFonts w:ascii="Arial" w:hAnsi="Arial" w:cs="Arial"/>
                <w:sz w:val="18"/>
                <w:szCs w:val="18"/>
              </w:rPr>
            </w:pPr>
          </w:p>
        </w:tc>
      </w:tr>
      <w:tr w:rsidR="00A10B25" w14:paraId="242DBD1F" w14:textId="77777777">
        <w:trPr>
          <w:jc w:val="center"/>
        </w:trPr>
        <w:tc>
          <w:tcPr>
            <w:tcW w:w="1825" w:type="dxa"/>
          </w:tcPr>
          <w:p w14:paraId="6969DB7D" w14:textId="77777777" w:rsidR="00A10B25" w:rsidRDefault="00A10B25">
            <w:pPr>
              <w:pStyle w:val="TAL"/>
              <w:rPr>
                <w:lang w:eastAsia="zh-CN"/>
              </w:rPr>
            </w:pPr>
            <w:r>
              <w:rPr>
                <w:lang w:eastAsia="zh-CN"/>
              </w:rPr>
              <w:t>order</w:t>
            </w:r>
          </w:p>
        </w:tc>
        <w:tc>
          <w:tcPr>
            <w:tcW w:w="1559" w:type="dxa"/>
          </w:tcPr>
          <w:p w14:paraId="1D163902" w14:textId="77777777" w:rsidR="00A10B25" w:rsidRDefault="00A10B25">
            <w:pPr>
              <w:pStyle w:val="TAL"/>
              <w:rPr>
                <w:lang w:eastAsia="zh-CN"/>
              </w:rPr>
            </w:pPr>
            <w:r>
              <w:rPr>
                <w:lang w:eastAsia="zh-CN"/>
              </w:rPr>
              <w:t>MatchingDirection</w:t>
            </w:r>
          </w:p>
        </w:tc>
        <w:tc>
          <w:tcPr>
            <w:tcW w:w="426" w:type="dxa"/>
          </w:tcPr>
          <w:p w14:paraId="7895B918" w14:textId="77777777" w:rsidR="00A10B25" w:rsidRDefault="00A10B25">
            <w:pPr>
              <w:pStyle w:val="TAC"/>
            </w:pPr>
            <w:r>
              <w:t>O</w:t>
            </w:r>
          </w:p>
        </w:tc>
        <w:tc>
          <w:tcPr>
            <w:tcW w:w="1134" w:type="dxa"/>
          </w:tcPr>
          <w:p w14:paraId="22EAD6D7" w14:textId="77777777" w:rsidR="00A10B25" w:rsidRDefault="00A10B25">
            <w:pPr>
              <w:pStyle w:val="TAL"/>
            </w:pPr>
            <w:r>
              <w:t>0..1</w:t>
            </w:r>
          </w:p>
        </w:tc>
        <w:tc>
          <w:tcPr>
            <w:tcW w:w="2835" w:type="dxa"/>
          </w:tcPr>
          <w:p w14:paraId="2640B92B" w14:textId="77777777" w:rsidR="00A10B25" w:rsidRDefault="00A10B25">
            <w:pPr>
              <w:pStyle w:val="TAL"/>
              <w:rPr>
                <w:rFonts w:cs="Arial"/>
                <w:szCs w:val="18"/>
              </w:rPr>
            </w:pPr>
            <w:r>
              <w:rPr>
                <w:rFonts w:cs="Arial"/>
                <w:szCs w:val="18"/>
              </w:rPr>
              <w:t>Indicate the order: ascending or descending. May be present when the "</w:t>
            </w:r>
            <w:r>
              <w:rPr>
                <w:lang w:eastAsia="zh-CN"/>
              </w:rPr>
              <w:t>dnPerfOrderCriter</w:t>
            </w:r>
            <w:r>
              <w:rPr>
                <w:rFonts w:cs="Arial"/>
                <w:szCs w:val="18"/>
              </w:rPr>
              <w:t>" attribute is included.</w:t>
            </w:r>
            <w:r>
              <w:rPr>
                <w:rFonts w:eastAsia="Times New Roman" w:cs="Arial"/>
                <w:szCs w:val="18"/>
              </w:rPr>
              <w:t xml:space="preserve"> (NOTE</w:t>
            </w:r>
            <w:r>
              <w:t> 1</w:t>
            </w:r>
            <w:r>
              <w:rPr>
                <w:rFonts w:eastAsia="Times New Roman" w:cs="Arial"/>
                <w:szCs w:val="18"/>
              </w:rPr>
              <w:t>)</w:t>
            </w:r>
          </w:p>
        </w:tc>
        <w:tc>
          <w:tcPr>
            <w:tcW w:w="1824" w:type="dxa"/>
          </w:tcPr>
          <w:p w14:paraId="1C0C6FE7" w14:textId="77777777" w:rsidR="00A10B25" w:rsidRDefault="00A10B25">
            <w:pPr>
              <w:keepNext/>
              <w:keepLines/>
              <w:spacing w:after="0"/>
              <w:rPr>
                <w:rFonts w:ascii="Arial" w:hAnsi="Arial" w:cs="Arial"/>
                <w:sz w:val="18"/>
                <w:szCs w:val="18"/>
              </w:rPr>
            </w:pPr>
          </w:p>
        </w:tc>
      </w:tr>
      <w:tr w:rsidR="00A10B25" w14:paraId="091EBD52" w14:textId="77777777">
        <w:trPr>
          <w:jc w:val="center"/>
        </w:trPr>
        <w:tc>
          <w:tcPr>
            <w:tcW w:w="1825" w:type="dxa"/>
          </w:tcPr>
          <w:p w14:paraId="09BD1DB0" w14:textId="77777777" w:rsidR="00A10B25" w:rsidRDefault="00A10B25">
            <w:pPr>
              <w:pStyle w:val="TAL"/>
            </w:pPr>
            <w:r>
              <w:t>reportThresholds</w:t>
            </w:r>
          </w:p>
        </w:tc>
        <w:tc>
          <w:tcPr>
            <w:tcW w:w="1559" w:type="dxa"/>
          </w:tcPr>
          <w:p w14:paraId="3728B118" w14:textId="77777777" w:rsidR="00A10B25" w:rsidRDefault="00A10B25">
            <w:pPr>
              <w:pStyle w:val="TAL"/>
              <w:rPr>
                <w:lang w:eastAsia="zh-CN"/>
              </w:rPr>
            </w:pPr>
            <w:r>
              <w:rPr>
                <w:lang w:eastAsia="zh-CN"/>
              </w:rPr>
              <w:t>array(</w:t>
            </w:r>
            <w:r>
              <w:t>ThresholdLevel</w:t>
            </w:r>
            <w:r>
              <w:rPr>
                <w:lang w:eastAsia="zh-CN"/>
              </w:rPr>
              <w:t>)</w:t>
            </w:r>
          </w:p>
        </w:tc>
        <w:tc>
          <w:tcPr>
            <w:tcW w:w="426" w:type="dxa"/>
          </w:tcPr>
          <w:p w14:paraId="2F1EBC7D" w14:textId="77777777" w:rsidR="00A10B25" w:rsidRDefault="00A10B25">
            <w:pPr>
              <w:pStyle w:val="TAC"/>
            </w:pPr>
            <w:r>
              <w:t>C</w:t>
            </w:r>
          </w:p>
        </w:tc>
        <w:tc>
          <w:tcPr>
            <w:tcW w:w="1134" w:type="dxa"/>
          </w:tcPr>
          <w:p w14:paraId="4931C7EC" w14:textId="77777777" w:rsidR="00A10B25" w:rsidRDefault="00A10B25">
            <w:pPr>
              <w:pStyle w:val="TAL"/>
            </w:pPr>
            <w:r>
              <w:t>1..N</w:t>
            </w:r>
          </w:p>
        </w:tc>
        <w:tc>
          <w:tcPr>
            <w:tcW w:w="2835" w:type="dxa"/>
          </w:tcPr>
          <w:p w14:paraId="15CF91A3" w14:textId="77777777" w:rsidR="00A10B25" w:rsidRDefault="00A10B25">
            <w:pPr>
              <w:pStyle w:val="TAL"/>
              <w:rPr>
                <w:rFonts w:cs="Arial"/>
                <w:szCs w:val="18"/>
                <w:lang w:eastAsia="zh-CN"/>
              </w:rPr>
            </w:pPr>
            <w:r>
              <w:rPr>
                <w:rFonts w:cs="Arial"/>
                <w:szCs w:val="18"/>
                <w:lang w:eastAsia="zh-CN"/>
              </w:rPr>
              <w:t>Each of the element represents the reporting threshold of an analytics subset.</w:t>
            </w:r>
            <w:r>
              <w:rPr>
                <w:rFonts w:eastAsia="Times New Roman" w:cs="Arial"/>
                <w:szCs w:val="18"/>
              </w:rPr>
              <w:t xml:space="preserve"> (NOTE</w:t>
            </w:r>
            <w:r>
              <w:t> 2</w:t>
            </w:r>
            <w:r>
              <w:rPr>
                <w:rFonts w:eastAsia="Times New Roman" w:cs="Arial"/>
                <w:szCs w:val="18"/>
              </w:rPr>
              <w:t>)</w:t>
            </w:r>
          </w:p>
        </w:tc>
        <w:tc>
          <w:tcPr>
            <w:tcW w:w="1824" w:type="dxa"/>
          </w:tcPr>
          <w:p w14:paraId="5712D914" w14:textId="77777777" w:rsidR="00A10B25" w:rsidRDefault="00A10B25">
            <w:pPr>
              <w:keepNext/>
              <w:keepLines/>
              <w:spacing w:after="0"/>
              <w:rPr>
                <w:rFonts w:ascii="Arial" w:hAnsi="Arial" w:cs="Arial"/>
                <w:sz w:val="18"/>
                <w:szCs w:val="18"/>
              </w:rPr>
            </w:pPr>
          </w:p>
        </w:tc>
      </w:tr>
      <w:tr w:rsidR="00A10B25" w14:paraId="5D90534A" w14:textId="77777777">
        <w:trPr>
          <w:jc w:val="center"/>
        </w:trPr>
        <w:tc>
          <w:tcPr>
            <w:tcW w:w="9603" w:type="dxa"/>
            <w:gridSpan w:val="6"/>
          </w:tcPr>
          <w:p w14:paraId="7B519939" w14:textId="77777777" w:rsidR="00A10B25" w:rsidRDefault="00A10B25">
            <w:pPr>
              <w:pStyle w:val="TAN"/>
            </w:pPr>
            <w:r>
              <w:t>NOTE</w:t>
            </w:r>
            <w:r>
              <w:rPr>
                <w:lang w:eastAsia="zh-CN"/>
              </w:rPr>
              <w:t> 1</w:t>
            </w:r>
            <w:r>
              <w:t>:</w:t>
            </w:r>
            <w:r>
              <w:tab/>
              <w:t>"CROSSED" value in data type "MatchingDirection" is not applicable for the "order" attribute.</w:t>
            </w:r>
          </w:p>
          <w:p w14:paraId="047026E2" w14:textId="77777777" w:rsidR="00A10B25" w:rsidRDefault="00A10B25">
            <w:pPr>
              <w:pStyle w:val="TAN"/>
              <w:rPr>
                <w:rFonts w:cs="Arial"/>
                <w:szCs w:val="18"/>
              </w:rPr>
            </w:pPr>
            <w:r>
              <w:t>NOTE</w:t>
            </w:r>
            <w:r>
              <w:rPr>
                <w:lang w:eastAsia="zh-CN"/>
              </w:rPr>
              <w:t> 2</w:t>
            </w:r>
            <w:r>
              <w:t>:</w:t>
            </w:r>
            <w:r>
              <w:tab/>
              <w:t xml:space="preserve">The value of </w:t>
            </w:r>
            <w:r>
              <w:rPr>
                <w:rFonts w:cs="Arial"/>
                <w:szCs w:val="18"/>
              </w:rPr>
              <w:t>"</w:t>
            </w:r>
            <w:r>
              <w:t>reportThresholds</w:t>
            </w:r>
            <w:r>
              <w:rPr>
                <w:rFonts w:cs="Arial"/>
                <w:szCs w:val="18"/>
              </w:rPr>
              <w:t>" attribute</w:t>
            </w:r>
            <w:r>
              <w:t xml:space="preserve"> match in sequence with the properties in the </w:t>
            </w:r>
            <w:r>
              <w:rPr>
                <w:rFonts w:cs="Arial"/>
                <w:szCs w:val="18"/>
              </w:rPr>
              <w:t xml:space="preserve">"listOfAnaSubsets" </w:t>
            </w:r>
            <w:r>
              <w:t>attribute. This property shall only be provided if the "notifMethod" in "evtReq" is set to "ON_EVENT_DETECTION" or "notificationMethod" in "eventSubscriptions" is set to "THRESHOLD" or omitted.</w:t>
            </w:r>
          </w:p>
        </w:tc>
      </w:tr>
    </w:tbl>
    <w:p w14:paraId="04D817A7" w14:textId="77777777" w:rsidR="00A10B25" w:rsidRDefault="00A10B25">
      <w:pPr>
        <w:rPr>
          <w:lang w:val="en-US" w:eastAsia="zh-CN"/>
        </w:rPr>
      </w:pPr>
    </w:p>
    <w:p w14:paraId="71100601" w14:textId="77777777" w:rsidR="00A10B25" w:rsidRDefault="00A10B25">
      <w:pPr>
        <w:pStyle w:val="5"/>
      </w:pPr>
      <w:bookmarkStart w:id="7676" w:name="_Toc114133869"/>
      <w:bookmarkStart w:id="7677" w:name="_Toc113031730"/>
      <w:bookmarkStart w:id="7678" w:name="_Toc112951190"/>
      <w:bookmarkStart w:id="7679" w:name="_Toc138754270"/>
      <w:bookmarkStart w:id="7680" w:name="_Toc136562436"/>
      <w:bookmarkStart w:id="7681" w:name="_Toc148522661"/>
      <w:bookmarkStart w:id="7682" w:name="_Toc104539068"/>
      <w:bookmarkStart w:id="7683" w:name="_Toc101244475"/>
      <w:bookmarkStart w:id="7684" w:name="_Toc145705757"/>
      <w:bookmarkStart w:id="7685" w:name="_Toc120702369"/>
      <w:bookmarkStart w:id="7686" w:name="_Toc97203760"/>
      <w:bookmarkStart w:id="7687" w:name="_Toc164920841"/>
      <w:bookmarkStart w:id="7688" w:name="_Toc170120383"/>
      <w:bookmarkStart w:id="7689" w:name="_Toc175858628"/>
      <w:bookmarkStart w:id="7690" w:name="_Toc175859701"/>
      <w:bookmarkStart w:id="7691" w:name="_Toc180605991"/>
      <w:bookmarkStart w:id="7692" w:name="_Toc185517245"/>
      <w:bookmarkStart w:id="7693" w:name="_Toc191576296"/>
      <w:bookmarkStart w:id="7694" w:name="_Toc191577036"/>
      <w:bookmarkStart w:id="7695" w:name="_Toc192880106"/>
      <w:bookmarkStart w:id="7696" w:name="_Toc195814989"/>
      <w:bookmarkStart w:id="7697" w:name="_Toc199452956"/>
      <w:r>
        <w:lastRenderedPageBreak/>
        <w:t>5.1.6.2.67</w:t>
      </w:r>
      <w:r>
        <w:tab/>
        <w:t xml:space="preserve">Type: </w:t>
      </w:r>
      <w:bookmarkEnd w:id="7686"/>
      <w:r>
        <w:rPr>
          <w:lang w:eastAsia="zh-CN"/>
        </w:rPr>
        <w:t>RatFreqInformation</w:t>
      </w:r>
      <w:bookmarkEnd w:id="7676"/>
      <w:bookmarkEnd w:id="7677"/>
      <w:bookmarkEnd w:id="7678"/>
      <w:bookmarkEnd w:id="7679"/>
      <w:bookmarkEnd w:id="7680"/>
      <w:bookmarkEnd w:id="7681"/>
      <w:bookmarkEnd w:id="7682"/>
      <w:bookmarkEnd w:id="7683"/>
      <w:bookmarkEnd w:id="7684"/>
      <w:bookmarkEnd w:id="7685"/>
      <w:bookmarkEnd w:id="7687"/>
      <w:bookmarkEnd w:id="7688"/>
      <w:bookmarkEnd w:id="7689"/>
      <w:bookmarkEnd w:id="7690"/>
      <w:bookmarkEnd w:id="7691"/>
      <w:bookmarkEnd w:id="7692"/>
      <w:bookmarkEnd w:id="7693"/>
      <w:bookmarkEnd w:id="7694"/>
      <w:bookmarkEnd w:id="7695"/>
      <w:bookmarkEnd w:id="7696"/>
      <w:bookmarkEnd w:id="7697"/>
    </w:p>
    <w:p w14:paraId="0EC3583E" w14:textId="77777777" w:rsidR="00A10B25" w:rsidRDefault="00A10B25">
      <w:pPr>
        <w:pStyle w:val="TH"/>
      </w:pPr>
      <w:r>
        <w:rPr>
          <w:lang w:val="en-US" w:eastAsia="zh-CN"/>
        </w:rPr>
        <w:t>Table </w:t>
      </w:r>
      <w:r>
        <w:t xml:space="preserve">5.1.6.2.67-1: </w:t>
      </w:r>
      <w:r>
        <w:rPr>
          <w:lang w:val="en-US" w:eastAsia="zh-CN"/>
        </w:rPr>
        <w:t>Definition of type RatFreqInformation</w:t>
      </w:r>
    </w:p>
    <w:tbl>
      <w:tblPr>
        <w:tblW w:w="966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1714"/>
        <w:gridCol w:w="1560"/>
        <w:gridCol w:w="567"/>
        <w:gridCol w:w="1121"/>
        <w:gridCol w:w="3240"/>
        <w:gridCol w:w="1463"/>
      </w:tblGrid>
      <w:tr w:rsidR="00A10B25" w14:paraId="43D38437" w14:textId="77777777">
        <w:trPr>
          <w:jc w:val="center"/>
        </w:trPr>
        <w:tc>
          <w:tcPr>
            <w:tcW w:w="1714" w:type="dxa"/>
            <w:shd w:val="clear" w:color="auto" w:fill="C0C0C0"/>
          </w:tcPr>
          <w:p w14:paraId="771CEA02" w14:textId="77777777" w:rsidR="00A10B25" w:rsidRDefault="00A10B25">
            <w:pPr>
              <w:pStyle w:val="TAH"/>
            </w:pPr>
            <w:r>
              <w:t>Attribute name</w:t>
            </w:r>
          </w:p>
        </w:tc>
        <w:tc>
          <w:tcPr>
            <w:tcW w:w="1560" w:type="dxa"/>
            <w:shd w:val="clear" w:color="auto" w:fill="C0C0C0"/>
          </w:tcPr>
          <w:p w14:paraId="2B4A445E" w14:textId="77777777" w:rsidR="00A10B25" w:rsidRDefault="00A10B25">
            <w:pPr>
              <w:pStyle w:val="TAH"/>
            </w:pPr>
            <w:r>
              <w:t>Data type</w:t>
            </w:r>
          </w:p>
        </w:tc>
        <w:tc>
          <w:tcPr>
            <w:tcW w:w="567" w:type="dxa"/>
            <w:shd w:val="clear" w:color="auto" w:fill="C0C0C0"/>
          </w:tcPr>
          <w:p w14:paraId="5B2D8484" w14:textId="77777777" w:rsidR="00A10B25" w:rsidRDefault="00A10B25">
            <w:pPr>
              <w:pStyle w:val="TAH"/>
            </w:pPr>
            <w:r>
              <w:t>P</w:t>
            </w:r>
          </w:p>
        </w:tc>
        <w:tc>
          <w:tcPr>
            <w:tcW w:w="1121" w:type="dxa"/>
            <w:shd w:val="clear" w:color="auto" w:fill="C0C0C0"/>
          </w:tcPr>
          <w:p w14:paraId="7C41A8E5" w14:textId="77777777" w:rsidR="00A10B25" w:rsidRDefault="00A10B25">
            <w:pPr>
              <w:pStyle w:val="TAH"/>
            </w:pPr>
            <w:r>
              <w:t>Cardinality</w:t>
            </w:r>
          </w:p>
        </w:tc>
        <w:tc>
          <w:tcPr>
            <w:tcW w:w="3240" w:type="dxa"/>
            <w:shd w:val="clear" w:color="auto" w:fill="C0C0C0"/>
          </w:tcPr>
          <w:p w14:paraId="7DF95D70" w14:textId="77777777" w:rsidR="00A10B25" w:rsidRDefault="00A10B25">
            <w:pPr>
              <w:pStyle w:val="TAH"/>
            </w:pPr>
            <w:r>
              <w:t>Description</w:t>
            </w:r>
          </w:p>
        </w:tc>
        <w:tc>
          <w:tcPr>
            <w:tcW w:w="1463" w:type="dxa"/>
            <w:shd w:val="clear" w:color="auto" w:fill="C0C0C0"/>
          </w:tcPr>
          <w:p w14:paraId="62828274" w14:textId="77777777" w:rsidR="00A10B25" w:rsidRDefault="00A10B25">
            <w:pPr>
              <w:pStyle w:val="TAH"/>
            </w:pPr>
            <w:r>
              <w:t>Applicability</w:t>
            </w:r>
          </w:p>
        </w:tc>
      </w:tr>
      <w:tr w:rsidR="00A10B25" w14:paraId="186C47CB" w14:textId="77777777">
        <w:trPr>
          <w:jc w:val="center"/>
        </w:trPr>
        <w:tc>
          <w:tcPr>
            <w:tcW w:w="1714" w:type="dxa"/>
          </w:tcPr>
          <w:p w14:paraId="24841749" w14:textId="77777777" w:rsidR="00A10B25" w:rsidRDefault="00A10B25">
            <w:pPr>
              <w:pStyle w:val="TAL"/>
              <w:rPr>
                <w:lang w:eastAsia="zh-CN"/>
              </w:rPr>
            </w:pPr>
            <w:r>
              <w:rPr>
                <w:lang w:eastAsia="zh-CN"/>
              </w:rPr>
              <w:t>allFreq</w:t>
            </w:r>
          </w:p>
        </w:tc>
        <w:tc>
          <w:tcPr>
            <w:tcW w:w="1560" w:type="dxa"/>
          </w:tcPr>
          <w:p w14:paraId="7A7E152C" w14:textId="77777777" w:rsidR="00A10B25" w:rsidRDefault="00A10B25">
            <w:pPr>
              <w:pStyle w:val="TAL"/>
              <w:rPr>
                <w:lang w:eastAsia="zh-CN"/>
              </w:rPr>
            </w:pPr>
            <w:r>
              <w:rPr>
                <w:lang w:eastAsia="zh-CN"/>
              </w:rPr>
              <w:t>boolean</w:t>
            </w:r>
          </w:p>
        </w:tc>
        <w:tc>
          <w:tcPr>
            <w:tcW w:w="567" w:type="dxa"/>
          </w:tcPr>
          <w:p w14:paraId="51FF2807" w14:textId="77777777" w:rsidR="00A10B25" w:rsidRDefault="00A10B25">
            <w:pPr>
              <w:pStyle w:val="TAC"/>
              <w:rPr>
                <w:lang w:eastAsia="zh-CN"/>
              </w:rPr>
            </w:pPr>
            <w:r>
              <w:rPr>
                <w:lang w:eastAsia="zh-CN"/>
              </w:rPr>
              <w:t>C</w:t>
            </w:r>
          </w:p>
        </w:tc>
        <w:tc>
          <w:tcPr>
            <w:tcW w:w="1121" w:type="dxa"/>
          </w:tcPr>
          <w:p w14:paraId="44AF75E0" w14:textId="77777777" w:rsidR="00A10B25" w:rsidRDefault="00A10B25">
            <w:pPr>
              <w:pStyle w:val="TAC"/>
              <w:jc w:val="left"/>
              <w:rPr>
                <w:lang w:eastAsia="zh-CN"/>
              </w:rPr>
            </w:pPr>
            <w:r>
              <w:rPr>
                <w:lang w:eastAsia="zh-CN"/>
              </w:rPr>
              <w:t>0..1</w:t>
            </w:r>
          </w:p>
        </w:tc>
        <w:tc>
          <w:tcPr>
            <w:tcW w:w="3240" w:type="dxa"/>
          </w:tcPr>
          <w:p w14:paraId="1A49EA58" w14:textId="77777777" w:rsidR="00A10B25" w:rsidRDefault="00A10B25">
            <w:pPr>
              <w:pStyle w:val="TAL"/>
            </w:pPr>
            <w:r>
              <w:rPr>
                <w:rFonts w:cs="Arial"/>
                <w:szCs w:val="18"/>
                <w:lang w:eastAsia="zh-CN"/>
              </w:rPr>
              <w:t xml:space="preserve">Set to "true" to indicate to handle all the frequencies the NWDAF received, set to "false" to indicate not to handle all the frequencies the NWDAF received. Default value is "false" if omitted. </w:t>
            </w:r>
            <w:r>
              <w:rPr>
                <w:rFonts w:cs="Arial"/>
                <w:szCs w:val="18"/>
              </w:rPr>
              <w:t>(NOTE 1)</w:t>
            </w:r>
          </w:p>
        </w:tc>
        <w:tc>
          <w:tcPr>
            <w:tcW w:w="1463" w:type="dxa"/>
          </w:tcPr>
          <w:p w14:paraId="20AFEEE3" w14:textId="77777777" w:rsidR="00A10B25" w:rsidRDefault="00A10B25">
            <w:pPr>
              <w:pStyle w:val="TAL"/>
              <w:rPr>
                <w:rFonts w:cs="Arial"/>
                <w:szCs w:val="18"/>
              </w:rPr>
            </w:pPr>
          </w:p>
        </w:tc>
      </w:tr>
      <w:tr w:rsidR="00A10B25" w14:paraId="683015BD" w14:textId="77777777">
        <w:trPr>
          <w:jc w:val="center"/>
        </w:trPr>
        <w:tc>
          <w:tcPr>
            <w:tcW w:w="1714" w:type="dxa"/>
          </w:tcPr>
          <w:p w14:paraId="0D0AFB9C" w14:textId="77777777" w:rsidR="00A10B25" w:rsidRDefault="00A10B25">
            <w:pPr>
              <w:pStyle w:val="TAL"/>
              <w:rPr>
                <w:lang w:eastAsia="zh-CN"/>
              </w:rPr>
            </w:pPr>
            <w:r>
              <w:rPr>
                <w:lang w:eastAsia="zh-CN"/>
              </w:rPr>
              <w:t>allRat</w:t>
            </w:r>
          </w:p>
        </w:tc>
        <w:tc>
          <w:tcPr>
            <w:tcW w:w="1560" w:type="dxa"/>
          </w:tcPr>
          <w:p w14:paraId="7963405F" w14:textId="77777777" w:rsidR="00A10B25" w:rsidRDefault="00A10B25">
            <w:pPr>
              <w:pStyle w:val="TAL"/>
              <w:rPr>
                <w:lang w:eastAsia="zh-CN"/>
              </w:rPr>
            </w:pPr>
            <w:r>
              <w:rPr>
                <w:lang w:eastAsia="zh-CN"/>
              </w:rPr>
              <w:t>boolean</w:t>
            </w:r>
          </w:p>
        </w:tc>
        <w:tc>
          <w:tcPr>
            <w:tcW w:w="567" w:type="dxa"/>
          </w:tcPr>
          <w:p w14:paraId="6FA97F42" w14:textId="77777777" w:rsidR="00A10B25" w:rsidRDefault="00A10B25">
            <w:pPr>
              <w:pStyle w:val="TAC"/>
              <w:rPr>
                <w:lang w:eastAsia="zh-CN"/>
              </w:rPr>
            </w:pPr>
            <w:r>
              <w:rPr>
                <w:lang w:eastAsia="zh-CN"/>
              </w:rPr>
              <w:t>C</w:t>
            </w:r>
          </w:p>
        </w:tc>
        <w:tc>
          <w:tcPr>
            <w:tcW w:w="1121" w:type="dxa"/>
          </w:tcPr>
          <w:p w14:paraId="548405D4" w14:textId="77777777" w:rsidR="00A10B25" w:rsidRDefault="00A10B25">
            <w:pPr>
              <w:pStyle w:val="TAC"/>
              <w:jc w:val="left"/>
              <w:rPr>
                <w:lang w:eastAsia="zh-CN"/>
              </w:rPr>
            </w:pPr>
            <w:r>
              <w:rPr>
                <w:lang w:eastAsia="zh-CN"/>
              </w:rPr>
              <w:t>0..1</w:t>
            </w:r>
          </w:p>
        </w:tc>
        <w:tc>
          <w:tcPr>
            <w:tcW w:w="3240" w:type="dxa"/>
          </w:tcPr>
          <w:p w14:paraId="67E083C9" w14:textId="77777777" w:rsidR="00A10B25" w:rsidRDefault="00A10B25">
            <w:pPr>
              <w:pStyle w:val="TAL"/>
              <w:rPr>
                <w:rFonts w:cs="Arial"/>
                <w:szCs w:val="18"/>
                <w:lang w:eastAsia="zh-CN"/>
              </w:rPr>
            </w:pPr>
            <w:r>
              <w:rPr>
                <w:rFonts w:cs="Arial"/>
                <w:szCs w:val="18"/>
                <w:lang w:eastAsia="zh-CN"/>
              </w:rPr>
              <w:t>Set to "true" to indicate to handle all the RAT types the NWDAF received, set to "false" to indicate not to handle all the RAT types the NWDAF received. Default value is "false" if omitted.</w:t>
            </w:r>
            <w:r>
              <w:rPr>
                <w:rFonts w:cs="Arial"/>
                <w:szCs w:val="18"/>
              </w:rPr>
              <w:t xml:space="preserve"> (NOTE 1)</w:t>
            </w:r>
          </w:p>
        </w:tc>
        <w:tc>
          <w:tcPr>
            <w:tcW w:w="1463" w:type="dxa"/>
          </w:tcPr>
          <w:p w14:paraId="2B2C93D5" w14:textId="77777777" w:rsidR="00A10B25" w:rsidRDefault="00A10B25">
            <w:pPr>
              <w:pStyle w:val="TAL"/>
              <w:rPr>
                <w:rFonts w:cs="Arial"/>
                <w:szCs w:val="18"/>
              </w:rPr>
            </w:pPr>
          </w:p>
        </w:tc>
      </w:tr>
      <w:tr w:rsidR="00A10B25" w14:paraId="612A7111" w14:textId="77777777">
        <w:trPr>
          <w:jc w:val="center"/>
        </w:trPr>
        <w:tc>
          <w:tcPr>
            <w:tcW w:w="1714" w:type="dxa"/>
          </w:tcPr>
          <w:p w14:paraId="17BED8D1" w14:textId="77777777" w:rsidR="00A10B25" w:rsidRDefault="00A10B25">
            <w:pPr>
              <w:pStyle w:val="TAL"/>
              <w:rPr>
                <w:lang w:eastAsia="zh-CN"/>
              </w:rPr>
            </w:pPr>
            <w:r>
              <w:rPr>
                <w:lang w:eastAsia="zh-CN"/>
              </w:rPr>
              <w:t>freq</w:t>
            </w:r>
          </w:p>
        </w:tc>
        <w:tc>
          <w:tcPr>
            <w:tcW w:w="1560" w:type="dxa"/>
          </w:tcPr>
          <w:p w14:paraId="0F9085A6" w14:textId="77777777" w:rsidR="00A10B25" w:rsidRDefault="00A10B25">
            <w:pPr>
              <w:pStyle w:val="TAL"/>
              <w:rPr>
                <w:lang w:eastAsia="zh-CN"/>
              </w:rPr>
            </w:pPr>
            <w:r>
              <w:rPr>
                <w:lang w:eastAsia="zh-CN"/>
              </w:rPr>
              <w:t>ArfcnValueNR</w:t>
            </w:r>
          </w:p>
        </w:tc>
        <w:tc>
          <w:tcPr>
            <w:tcW w:w="567" w:type="dxa"/>
          </w:tcPr>
          <w:p w14:paraId="3663DBDD" w14:textId="77777777" w:rsidR="00A10B25" w:rsidRDefault="00A10B25">
            <w:pPr>
              <w:pStyle w:val="TAC"/>
              <w:rPr>
                <w:lang w:eastAsia="zh-CN"/>
              </w:rPr>
            </w:pPr>
            <w:r>
              <w:rPr>
                <w:lang w:eastAsia="zh-CN"/>
              </w:rPr>
              <w:t>C</w:t>
            </w:r>
          </w:p>
        </w:tc>
        <w:tc>
          <w:tcPr>
            <w:tcW w:w="1121" w:type="dxa"/>
          </w:tcPr>
          <w:p w14:paraId="2FF68DB8" w14:textId="77777777" w:rsidR="00A10B25" w:rsidRDefault="00A10B25">
            <w:pPr>
              <w:pStyle w:val="TAC"/>
              <w:jc w:val="left"/>
              <w:rPr>
                <w:lang w:eastAsia="zh-CN"/>
              </w:rPr>
            </w:pPr>
            <w:r>
              <w:rPr>
                <w:lang w:eastAsia="zh-CN"/>
              </w:rPr>
              <w:t>0..1</w:t>
            </w:r>
          </w:p>
        </w:tc>
        <w:tc>
          <w:tcPr>
            <w:tcW w:w="3240" w:type="dxa"/>
          </w:tcPr>
          <w:p w14:paraId="20A79CEB" w14:textId="77777777" w:rsidR="00A10B25" w:rsidRDefault="00A10B25">
            <w:pPr>
              <w:pStyle w:val="TAL"/>
            </w:pPr>
            <w:bookmarkStart w:id="7698" w:name="_Hlk98169435"/>
            <w:r>
              <w:rPr>
                <w:rFonts w:cs="Arial" w:hint="eastAsia"/>
                <w:szCs w:val="18"/>
                <w:lang w:eastAsia="zh-CN"/>
              </w:rPr>
              <w:t>I</w:t>
            </w:r>
            <w:r>
              <w:rPr>
                <w:rFonts w:cs="Arial"/>
                <w:szCs w:val="18"/>
                <w:lang w:eastAsia="zh-CN"/>
              </w:rPr>
              <w:t>denfication of the frequency of UE's serving cell(s) where the subscription/request applies.</w:t>
            </w:r>
            <w:bookmarkEnd w:id="7698"/>
            <w:r>
              <w:rPr>
                <w:rFonts w:cs="Arial"/>
                <w:szCs w:val="18"/>
              </w:rPr>
              <w:t xml:space="preserve"> (NOTE 1)</w:t>
            </w:r>
          </w:p>
        </w:tc>
        <w:tc>
          <w:tcPr>
            <w:tcW w:w="1463" w:type="dxa"/>
          </w:tcPr>
          <w:p w14:paraId="593BAB60" w14:textId="77777777" w:rsidR="00A10B25" w:rsidRDefault="00A10B25">
            <w:pPr>
              <w:pStyle w:val="TAL"/>
              <w:rPr>
                <w:rFonts w:cs="Arial"/>
                <w:szCs w:val="18"/>
              </w:rPr>
            </w:pPr>
          </w:p>
        </w:tc>
      </w:tr>
      <w:tr w:rsidR="00A10B25" w14:paraId="1FAAAF81" w14:textId="77777777">
        <w:trPr>
          <w:jc w:val="center"/>
        </w:trPr>
        <w:tc>
          <w:tcPr>
            <w:tcW w:w="1714" w:type="dxa"/>
          </w:tcPr>
          <w:p w14:paraId="3440884C" w14:textId="77777777" w:rsidR="00A10B25" w:rsidRDefault="00A10B25">
            <w:pPr>
              <w:pStyle w:val="TAL"/>
              <w:rPr>
                <w:lang w:eastAsia="zh-CN"/>
              </w:rPr>
            </w:pPr>
            <w:r>
              <w:rPr>
                <w:lang w:eastAsia="zh-CN"/>
              </w:rPr>
              <w:t>ratType</w:t>
            </w:r>
          </w:p>
        </w:tc>
        <w:tc>
          <w:tcPr>
            <w:tcW w:w="1560" w:type="dxa"/>
          </w:tcPr>
          <w:p w14:paraId="2AB98D66" w14:textId="77777777" w:rsidR="00A10B25" w:rsidRDefault="00A10B25">
            <w:pPr>
              <w:pStyle w:val="TAL"/>
              <w:rPr>
                <w:lang w:eastAsia="zh-CN"/>
              </w:rPr>
            </w:pPr>
            <w:r>
              <w:rPr>
                <w:lang w:eastAsia="zh-CN"/>
              </w:rPr>
              <w:t>RatType</w:t>
            </w:r>
          </w:p>
        </w:tc>
        <w:tc>
          <w:tcPr>
            <w:tcW w:w="567" w:type="dxa"/>
          </w:tcPr>
          <w:p w14:paraId="2B7247F7" w14:textId="77777777" w:rsidR="00A10B25" w:rsidRDefault="00A10B25">
            <w:pPr>
              <w:pStyle w:val="TAC"/>
              <w:rPr>
                <w:lang w:eastAsia="zh-CN"/>
              </w:rPr>
            </w:pPr>
            <w:r>
              <w:rPr>
                <w:lang w:eastAsia="zh-CN"/>
              </w:rPr>
              <w:t>C</w:t>
            </w:r>
          </w:p>
        </w:tc>
        <w:tc>
          <w:tcPr>
            <w:tcW w:w="1121" w:type="dxa"/>
          </w:tcPr>
          <w:p w14:paraId="5A3F9443" w14:textId="77777777" w:rsidR="00A10B25" w:rsidRDefault="00A10B25">
            <w:pPr>
              <w:pStyle w:val="TAC"/>
              <w:jc w:val="left"/>
              <w:rPr>
                <w:lang w:eastAsia="zh-CN"/>
              </w:rPr>
            </w:pPr>
            <w:r>
              <w:rPr>
                <w:lang w:eastAsia="zh-CN"/>
              </w:rPr>
              <w:t>0..1</w:t>
            </w:r>
          </w:p>
        </w:tc>
        <w:tc>
          <w:tcPr>
            <w:tcW w:w="3240" w:type="dxa"/>
          </w:tcPr>
          <w:p w14:paraId="5427BDC2" w14:textId="77777777" w:rsidR="00A10B25" w:rsidRDefault="00A10B25">
            <w:pPr>
              <w:pStyle w:val="TAL"/>
              <w:rPr>
                <w:rFonts w:cs="Arial"/>
                <w:szCs w:val="18"/>
                <w:lang w:eastAsia="zh-CN"/>
              </w:rPr>
            </w:pPr>
            <w:r>
              <w:rPr>
                <w:rFonts w:cs="Arial" w:hint="eastAsia"/>
                <w:szCs w:val="18"/>
                <w:lang w:eastAsia="zh-CN"/>
              </w:rPr>
              <w:t>I</w:t>
            </w:r>
            <w:r>
              <w:rPr>
                <w:rFonts w:cs="Arial"/>
                <w:szCs w:val="18"/>
                <w:lang w:eastAsia="zh-CN"/>
              </w:rPr>
              <w:t>dentification of the RAT type where the subscription/request applies.</w:t>
            </w:r>
            <w:r>
              <w:rPr>
                <w:rFonts w:cs="Arial"/>
                <w:szCs w:val="18"/>
              </w:rPr>
              <w:t xml:space="preserve"> (NOTE 1)</w:t>
            </w:r>
          </w:p>
        </w:tc>
        <w:tc>
          <w:tcPr>
            <w:tcW w:w="1463" w:type="dxa"/>
          </w:tcPr>
          <w:p w14:paraId="13A79924" w14:textId="77777777" w:rsidR="00A10B25" w:rsidRDefault="00A10B25">
            <w:pPr>
              <w:pStyle w:val="TAL"/>
              <w:rPr>
                <w:rFonts w:cs="Arial"/>
                <w:szCs w:val="18"/>
              </w:rPr>
            </w:pPr>
          </w:p>
        </w:tc>
      </w:tr>
      <w:tr w:rsidR="00A10B25" w14:paraId="49B7A36C" w14:textId="77777777">
        <w:trPr>
          <w:jc w:val="center"/>
        </w:trPr>
        <w:tc>
          <w:tcPr>
            <w:tcW w:w="1714" w:type="dxa"/>
          </w:tcPr>
          <w:p w14:paraId="721BAEE4" w14:textId="77777777" w:rsidR="00A10B25" w:rsidRDefault="00A10B25">
            <w:pPr>
              <w:pStyle w:val="TAL"/>
              <w:rPr>
                <w:lang w:eastAsia="zh-CN"/>
              </w:rPr>
            </w:pPr>
            <w:r>
              <w:rPr>
                <w:lang w:eastAsia="zh-CN"/>
              </w:rPr>
              <w:t>svcExpThreshold</w:t>
            </w:r>
          </w:p>
        </w:tc>
        <w:tc>
          <w:tcPr>
            <w:tcW w:w="1560" w:type="dxa"/>
          </w:tcPr>
          <w:p w14:paraId="2B116886" w14:textId="77777777" w:rsidR="00A10B25" w:rsidRDefault="00A10B25">
            <w:pPr>
              <w:pStyle w:val="TAL"/>
              <w:rPr>
                <w:lang w:eastAsia="zh-CN"/>
              </w:rPr>
            </w:pPr>
            <w:r>
              <w:rPr>
                <w:lang w:eastAsia="zh-CN"/>
              </w:rPr>
              <w:t>ThresholdLevel</w:t>
            </w:r>
          </w:p>
        </w:tc>
        <w:tc>
          <w:tcPr>
            <w:tcW w:w="567" w:type="dxa"/>
          </w:tcPr>
          <w:p w14:paraId="55E3B4B8" w14:textId="77777777" w:rsidR="00A10B25" w:rsidRDefault="00A10B25">
            <w:pPr>
              <w:pStyle w:val="TAC"/>
              <w:rPr>
                <w:lang w:eastAsia="zh-CN"/>
              </w:rPr>
            </w:pPr>
            <w:r>
              <w:rPr>
                <w:lang w:eastAsia="zh-CN"/>
              </w:rPr>
              <w:t>C</w:t>
            </w:r>
          </w:p>
        </w:tc>
        <w:tc>
          <w:tcPr>
            <w:tcW w:w="1121" w:type="dxa"/>
          </w:tcPr>
          <w:p w14:paraId="1B98E118" w14:textId="77777777" w:rsidR="00A10B25" w:rsidRDefault="00A10B25">
            <w:pPr>
              <w:pStyle w:val="TAC"/>
              <w:jc w:val="left"/>
              <w:rPr>
                <w:lang w:eastAsia="zh-CN"/>
              </w:rPr>
            </w:pPr>
            <w:r>
              <w:rPr>
                <w:lang w:eastAsia="zh-CN"/>
              </w:rPr>
              <w:t>0..1</w:t>
            </w:r>
          </w:p>
        </w:tc>
        <w:tc>
          <w:tcPr>
            <w:tcW w:w="3240" w:type="dxa"/>
          </w:tcPr>
          <w:p w14:paraId="53001EEC" w14:textId="77777777" w:rsidR="00A10B25" w:rsidRDefault="00A10B25">
            <w:pPr>
              <w:pStyle w:val="TAL"/>
              <w:rPr>
                <w:rFonts w:cs="Arial"/>
                <w:szCs w:val="18"/>
                <w:lang w:eastAsia="zh-CN"/>
              </w:rPr>
            </w:pPr>
            <w:r>
              <w:rPr>
                <w:rFonts w:cs="Arial"/>
                <w:szCs w:val="18"/>
                <w:lang w:eastAsia="zh-CN"/>
              </w:rPr>
              <w:t xml:space="preserve">Service Experience Threshold value. </w:t>
            </w:r>
            <w:r>
              <w:rPr>
                <w:rFonts w:cs="Arial"/>
                <w:szCs w:val="18"/>
              </w:rPr>
              <w:t>(NOTE 2).</w:t>
            </w:r>
          </w:p>
        </w:tc>
        <w:tc>
          <w:tcPr>
            <w:tcW w:w="1463" w:type="dxa"/>
          </w:tcPr>
          <w:p w14:paraId="46AF2F55" w14:textId="77777777" w:rsidR="00A10B25" w:rsidRDefault="00A10B25">
            <w:pPr>
              <w:pStyle w:val="TAL"/>
              <w:rPr>
                <w:rFonts w:cs="Arial"/>
                <w:szCs w:val="18"/>
              </w:rPr>
            </w:pPr>
          </w:p>
        </w:tc>
      </w:tr>
      <w:tr w:rsidR="00A10B25" w14:paraId="463C23F5" w14:textId="77777777">
        <w:trPr>
          <w:jc w:val="center"/>
        </w:trPr>
        <w:tc>
          <w:tcPr>
            <w:tcW w:w="1714" w:type="dxa"/>
          </w:tcPr>
          <w:p w14:paraId="25055462" w14:textId="77777777" w:rsidR="00A10B25" w:rsidRDefault="00A10B25">
            <w:pPr>
              <w:pStyle w:val="TAL"/>
              <w:rPr>
                <w:lang w:eastAsia="zh-CN"/>
              </w:rPr>
            </w:pPr>
            <w:r>
              <w:rPr>
                <w:lang w:eastAsia="zh-CN"/>
              </w:rPr>
              <w:t>matchingDir</w:t>
            </w:r>
          </w:p>
        </w:tc>
        <w:tc>
          <w:tcPr>
            <w:tcW w:w="1560" w:type="dxa"/>
          </w:tcPr>
          <w:p w14:paraId="5882E787" w14:textId="77777777" w:rsidR="00A10B25" w:rsidRDefault="00A10B25">
            <w:pPr>
              <w:pStyle w:val="TAL"/>
              <w:rPr>
                <w:lang w:eastAsia="zh-CN"/>
              </w:rPr>
            </w:pPr>
            <w:r>
              <w:rPr>
                <w:lang w:eastAsia="zh-CN"/>
              </w:rPr>
              <w:t>MatchingDirection</w:t>
            </w:r>
          </w:p>
        </w:tc>
        <w:tc>
          <w:tcPr>
            <w:tcW w:w="567" w:type="dxa"/>
          </w:tcPr>
          <w:p w14:paraId="30F8FB2A" w14:textId="77777777" w:rsidR="00A10B25" w:rsidRDefault="00A10B25">
            <w:pPr>
              <w:pStyle w:val="TAC"/>
              <w:rPr>
                <w:lang w:eastAsia="zh-CN"/>
              </w:rPr>
            </w:pPr>
            <w:r>
              <w:rPr>
                <w:lang w:eastAsia="zh-CN"/>
              </w:rPr>
              <w:t>O</w:t>
            </w:r>
          </w:p>
        </w:tc>
        <w:tc>
          <w:tcPr>
            <w:tcW w:w="1121" w:type="dxa"/>
          </w:tcPr>
          <w:p w14:paraId="5AC83AEB" w14:textId="77777777" w:rsidR="00A10B25" w:rsidRDefault="00A10B25">
            <w:pPr>
              <w:pStyle w:val="TAC"/>
              <w:jc w:val="left"/>
              <w:rPr>
                <w:lang w:eastAsia="zh-CN"/>
              </w:rPr>
            </w:pPr>
            <w:r>
              <w:rPr>
                <w:lang w:eastAsia="zh-CN"/>
              </w:rPr>
              <w:t>0..1</w:t>
            </w:r>
          </w:p>
        </w:tc>
        <w:tc>
          <w:tcPr>
            <w:tcW w:w="3240" w:type="dxa"/>
          </w:tcPr>
          <w:p w14:paraId="4E894035" w14:textId="77777777" w:rsidR="00A10B25" w:rsidRDefault="00A10B25">
            <w:pPr>
              <w:pStyle w:val="TAL"/>
              <w:rPr>
                <w:rFonts w:cs="Arial"/>
                <w:szCs w:val="18"/>
                <w:lang w:eastAsia="zh-CN"/>
              </w:rPr>
            </w:pPr>
            <w:r>
              <w:rPr>
                <w:rFonts w:cs="Arial"/>
                <w:szCs w:val="18"/>
                <w:lang w:eastAsia="zh-CN"/>
              </w:rPr>
              <w:t>The matching direction may be provided alongside the service experience threshold. If omitted, the default value is CROSSED.</w:t>
            </w:r>
          </w:p>
        </w:tc>
        <w:tc>
          <w:tcPr>
            <w:tcW w:w="1463" w:type="dxa"/>
          </w:tcPr>
          <w:p w14:paraId="02710E3E" w14:textId="77777777" w:rsidR="00A10B25" w:rsidRDefault="00A10B25">
            <w:pPr>
              <w:pStyle w:val="TAL"/>
              <w:rPr>
                <w:rFonts w:cs="Arial"/>
                <w:szCs w:val="18"/>
              </w:rPr>
            </w:pPr>
          </w:p>
        </w:tc>
      </w:tr>
      <w:tr w:rsidR="00A10B25" w14:paraId="62EAD316" w14:textId="77777777">
        <w:trPr>
          <w:jc w:val="center"/>
        </w:trPr>
        <w:tc>
          <w:tcPr>
            <w:tcW w:w="9665" w:type="dxa"/>
            <w:gridSpan w:val="6"/>
          </w:tcPr>
          <w:p w14:paraId="0C3C5A22" w14:textId="77777777" w:rsidR="00A10B25" w:rsidRDefault="00A10B25">
            <w:pPr>
              <w:pStyle w:val="TAN"/>
            </w:pPr>
            <w:r>
              <w:t>NOTE 1:</w:t>
            </w:r>
            <w:r>
              <w:tab/>
              <w:t>The "allFreq" attribute and the "freq" attribute are mutually exclusive. The "allRat" attribute and the "ratType" attribute are mutually exclusive. If both the "allFreq" attribute and the "allRat" attribute are present, then indicate all the RAT type(s) and Frequency(ies) values the NWDAF received.</w:t>
            </w:r>
          </w:p>
          <w:p w14:paraId="025A7298" w14:textId="77777777" w:rsidR="00A10B25" w:rsidRDefault="00A10B25">
            <w:pPr>
              <w:pStyle w:val="TAN"/>
              <w:rPr>
                <w:rFonts w:cs="Arial"/>
                <w:szCs w:val="18"/>
              </w:rPr>
            </w:pPr>
            <w:r>
              <w:t>NOTE 2:</w:t>
            </w:r>
            <w:r>
              <w:tab/>
              <w:t>Shall only be present in the subscription request as the service experience threshold value(s) for the RAT Type(s) and/or Frequency value(s) if the "notifMethod" in "evtReq" is set to "ON_EVENT_DETECTION" or "notificationMethod" in "eventSubscriptions" is set to "THRESHOLD" or omitted.</w:t>
            </w:r>
          </w:p>
        </w:tc>
      </w:tr>
    </w:tbl>
    <w:p w14:paraId="65B0D0BA" w14:textId="77777777" w:rsidR="00A10B25" w:rsidRDefault="00A10B25">
      <w:pPr>
        <w:rPr>
          <w:lang w:val="en-US" w:eastAsia="zh-CN"/>
        </w:rPr>
      </w:pPr>
    </w:p>
    <w:p w14:paraId="4B446954" w14:textId="77777777" w:rsidR="00A10B25" w:rsidRDefault="00A10B25">
      <w:pPr>
        <w:pStyle w:val="5"/>
      </w:pPr>
      <w:bookmarkStart w:id="7699" w:name="_Toc104539069"/>
      <w:bookmarkStart w:id="7700" w:name="_Toc138754271"/>
      <w:bookmarkStart w:id="7701" w:name="_Toc113031731"/>
      <w:bookmarkStart w:id="7702" w:name="_Toc120702370"/>
      <w:bookmarkStart w:id="7703" w:name="_Toc112951191"/>
      <w:bookmarkStart w:id="7704" w:name="_Toc136562437"/>
      <w:bookmarkStart w:id="7705" w:name="_Toc114133870"/>
      <w:bookmarkStart w:id="7706" w:name="_Toc145705758"/>
      <w:bookmarkStart w:id="7707" w:name="_Toc148522662"/>
      <w:bookmarkStart w:id="7708" w:name="_Toc164920842"/>
      <w:bookmarkStart w:id="7709" w:name="_Toc170120384"/>
      <w:bookmarkStart w:id="7710" w:name="_Toc175858629"/>
      <w:bookmarkStart w:id="7711" w:name="_Toc175859702"/>
      <w:bookmarkStart w:id="7712" w:name="_Toc180605992"/>
      <w:bookmarkStart w:id="7713" w:name="_Toc185517246"/>
      <w:bookmarkStart w:id="7714" w:name="_Toc191576297"/>
      <w:bookmarkStart w:id="7715" w:name="_Toc191577037"/>
      <w:bookmarkStart w:id="7716" w:name="_Toc192880107"/>
      <w:bookmarkStart w:id="7717" w:name="_Toc195814990"/>
      <w:bookmarkStart w:id="7718" w:name="_Toc199452957"/>
      <w:r>
        <w:t>5.1.6.2.68</w:t>
      </w:r>
      <w:r>
        <w:tab/>
        <w:t>Type PrevSubInfo</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1A899BBA" w14:textId="77777777" w:rsidR="00A10B25" w:rsidRDefault="00A10B25">
      <w:pPr>
        <w:pStyle w:val="TH"/>
      </w:pPr>
      <w:r>
        <w:t>Table 5.1.6.2.68-1: Definition of type PrevSubInfo</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2494"/>
        <w:gridCol w:w="487"/>
        <w:gridCol w:w="1067"/>
        <w:gridCol w:w="2697"/>
        <w:gridCol w:w="1164"/>
      </w:tblGrid>
      <w:tr w:rsidR="00A10B25" w14:paraId="2904ED56" w14:textId="77777777">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2C27EABD" w14:textId="77777777" w:rsidR="00A10B25" w:rsidRDefault="00A10B25">
            <w:pPr>
              <w:pStyle w:val="TAH"/>
              <w:rPr>
                <w:rFonts w:eastAsia="等线"/>
              </w:rPr>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12652908"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4DE3DF9D"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3A065D5B" w14:textId="77777777" w:rsidR="00A10B25" w:rsidRDefault="00A10B25">
            <w:pPr>
              <w:pStyle w:val="TAH"/>
            </w:pPr>
            <w:r>
              <w:t>Cardinality</w:t>
            </w:r>
          </w:p>
        </w:tc>
        <w:tc>
          <w:tcPr>
            <w:tcW w:w="2697" w:type="dxa"/>
            <w:tcBorders>
              <w:top w:val="single" w:sz="6" w:space="0" w:color="auto"/>
              <w:left w:val="single" w:sz="6" w:space="0" w:color="auto"/>
              <w:bottom w:val="single" w:sz="6" w:space="0" w:color="auto"/>
              <w:right w:val="single" w:sz="6" w:space="0" w:color="auto"/>
            </w:tcBorders>
            <w:shd w:val="clear" w:color="auto" w:fill="C0C0C0"/>
          </w:tcPr>
          <w:p w14:paraId="2138454D" w14:textId="77777777" w:rsidR="00A10B25" w:rsidRDefault="00A10B25">
            <w:pPr>
              <w:pStyle w:val="TAH"/>
              <w:rPr>
                <w:rFonts w:cs="Arial"/>
                <w:szCs w:val="18"/>
              </w:rPr>
            </w:pPr>
            <w:r>
              <w:rPr>
                <w:rFonts w:cs="Arial"/>
                <w:szCs w:val="18"/>
              </w:rPr>
              <w:t>Description</w:t>
            </w:r>
          </w:p>
        </w:tc>
        <w:tc>
          <w:tcPr>
            <w:tcW w:w="1164" w:type="dxa"/>
            <w:tcBorders>
              <w:top w:val="single" w:sz="6" w:space="0" w:color="auto"/>
              <w:left w:val="single" w:sz="6" w:space="0" w:color="auto"/>
              <w:bottom w:val="single" w:sz="6" w:space="0" w:color="auto"/>
              <w:right w:val="single" w:sz="6" w:space="0" w:color="auto"/>
            </w:tcBorders>
            <w:shd w:val="clear" w:color="auto" w:fill="C0C0C0"/>
          </w:tcPr>
          <w:p w14:paraId="06C75B44" w14:textId="77777777" w:rsidR="00A10B25" w:rsidRDefault="00A10B25">
            <w:pPr>
              <w:pStyle w:val="TAH"/>
              <w:rPr>
                <w:rFonts w:cs="Arial"/>
                <w:szCs w:val="18"/>
              </w:rPr>
            </w:pPr>
            <w:r>
              <w:rPr>
                <w:rFonts w:cs="Arial"/>
                <w:szCs w:val="18"/>
              </w:rPr>
              <w:t>Applicability</w:t>
            </w:r>
          </w:p>
        </w:tc>
      </w:tr>
      <w:tr w:rsidR="00A10B25" w14:paraId="25482EDD"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D11C778" w14:textId="77777777" w:rsidR="00A10B25" w:rsidRDefault="00A10B25">
            <w:pPr>
              <w:pStyle w:val="TAL"/>
            </w:pPr>
            <w:r>
              <w:t>producerId</w:t>
            </w:r>
          </w:p>
        </w:tc>
        <w:tc>
          <w:tcPr>
            <w:tcW w:w="2494" w:type="dxa"/>
            <w:tcBorders>
              <w:top w:val="single" w:sz="6" w:space="0" w:color="auto"/>
              <w:left w:val="single" w:sz="6" w:space="0" w:color="auto"/>
              <w:bottom w:val="single" w:sz="6" w:space="0" w:color="auto"/>
              <w:right w:val="single" w:sz="6" w:space="0" w:color="auto"/>
            </w:tcBorders>
          </w:tcPr>
          <w:p w14:paraId="6E1E2E84" w14:textId="77777777" w:rsidR="00A10B25" w:rsidRDefault="00A10B25">
            <w:pPr>
              <w:pStyle w:val="TAL"/>
            </w:pPr>
            <w:r>
              <w:t>NfInstanceId</w:t>
            </w:r>
          </w:p>
        </w:tc>
        <w:tc>
          <w:tcPr>
            <w:tcW w:w="487" w:type="dxa"/>
            <w:tcBorders>
              <w:top w:val="single" w:sz="6" w:space="0" w:color="auto"/>
              <w:left w:val="single" w:sz="6" w:space="0" w:color="auto"/>
              <w:bottom w:val="single" w:sz="6" w:space="0" w:color="auto"/>
              <w:right w:val="single" w:sz="6" w:space="0" w:color="auto"/>
            </w:tcBorders>
          </w:tcPr>
          <w:p w14:paraId="16EB7BB0"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62F4BA9E" w14:textId="77777777" w:rsidR="00A10B25" w:rsidRDefault="00A10B25">
            <w:pPr>
              <w:pStyle w:val="TAL"/>
            </w:pPr>
            <w:r>
              <w:t>0..1</w:t>
            </w:r>
          </w:p>
        </w:tc>
        <w:tc>
          <w:tcPr>
            <w:tcW w:w="2697" w:type="dxa"/>
            <w:tcBorders>
              <w:top w:val="single" w:sz="6" w:space="0" w:color="auto"/>
              <w:left w:val="single" w:sz="6" w:space="0" w:color="auto"/>
              <w:bottom w:val="single" w:sz="6" w:space="0" w:color="auto"/>
              <w:right w:val="single" w:sz="6" w:space="0" w:color="auto"/>
            </w:tcBorders>
          </w:tcPr>
          <w:p w14:paraId="61A83BA1" w14:textId="77777777" w:rsidR="00A10B25" w:rsidRDefault="00A10B25">
            <w:pPr>
              <w:pStyle w:val="TAL"/>
            </w:pPr>
            <w:r>
              <w:t>NWDAF instance identifier to which the NF service consumer has established this subscription.</w:t>
            </w:r>
          </w:p>
          <w:p w14:paraId="0E046F7A" w14:textId="77777777" w:rsidR="00A10B25" w:rsidRDefault="00A10B25">
            <w:pPr>
              <w:pStyle w:val="TAL"/>
            </w:pPr>
            <w:r>
              <w:t>(NOTE)</w:t>
            </w:r>
          </w:p>
        </w:tc>
        <w:tc>
          <w:tcPr>
            <w:tcW w:w="1164" w:type="dxa"/>
            <w:tcBorders>
              <w:top w:val="single" w:sz="6" w:space="0" w:color="auto"/>
              <w:left w:val="single" w:sz="6" w:space="0" w:color="auto"/>
              <w:bottom w:val="single" w:sz="6" w:space="0" w:color="auto"/>
              <w:right w:val="single" w:sz="6" w:space="0" w:color="auto"/>
            </w:tcBorders>
          </w:tcPr>
          <w:p w14:paraId="5B354295" w14:textId="77777777" w:rsidR="00A10B25" w:rsidRDefault="00A10B25">
            <w:pPr>
              <w:pStyle w:val="TAL"/>
              <w:rPr>
                <w:rFonts w:cs="Arial"/>
                <w:szCs w:val="18"/>
              </w:rPr>
            </w:pPr>
          </w:p>
        </w:tc>
      </w:tr>
      <w:tr w:rsidR="00A10B25" w14:paraId="70BFBCCA"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D3A9ADE" w14:textId="77777777" w:rsidR="00A10B25" w:rsidRDefault="00A10B25">
            <w:pPr>
              <w:pStyle w:val="TAL"/>
            </w:pPr>
            <w:r>
              <w:t>producerSetId</w:t>
            </w:r>
          </w:p>
        </w:tc>
        <w:tc>
          <w:tcPr>
            <w:tcW w:w="2494" w:type="dxa"/>
            <w:tcBorders>
              <w:top w:val="single" w:sz="6" w:space="0" w:color="auto"/>
              <w:left w:val="single" w:sz="6" w:space="0" w:color="auto"/>
              <w:bottom w:val="single" w:sz="6" w:space="0" w:color="auto"/>
              <w:right w:val="single" w:sz="6" w:space="0" w:color="auto"/>
            </w:tcBorders>
          </w:tcPr>
          <w:p w14:paraId="2C541489" w14:textId="77777777" w:rsidR="00A10B25" w:rsidRDefault="00A10B25">
            <w:pPr>
              <w:pStyle w:val="TAL"/>
            </w:pPr>
            <w:r>
              <w:t>NfSetId</w:t>
            </w:r>
          </w:p>
        </w:tc>
        <w:tc>
          <w:tcPr>
            <w:tcW w:w="487" w:type="dxa"/>
            <w:tcBorders>
              <w:top w:val="single" w:sz="6" w:space="0" w:color="auto"/>
              <w:left w:val="single" w:sz="6" w:space="0" w:color="auto"/>
              <w:bottom w:val="single" w:sz="6" w:space="0" w:color="auto"/>
              <w:right w:val="single" w:sz="6" w:space="0" w:color="auto"/>
            </w:tcBorders>
          </w:tcPr>
          <w:p w14:paraId="30A4961A"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351F1E1D" w14:textId="77777777" w:rsidR="00A10B25" w:rsidRDefault="00A10B25">
            <w:pPr>
              <w:pStyle w:val="TAL"/>
            </w:pPr>
            <w:r>
              <w:t>0..1</w:t>
            </w:r>
          </w:p>
        </w:tc>
        <w:tc>
          <w:tcPr>
            <w:tcW w:w="2697" w:type="dxa"/>
            <w:tcBorders>
              <w:top w:val="single" w:sz="6" w:space="0" w:color="auto"/>
              <w:left w:val="single" w:sz="6" w:space="0" w:color="auto"/>
              <w:bottom w:val="single" w:sz="6" w:space="0" w:color="auto"/>
              <w:right w:val="single" w:sz="6" w:space="0" w:color="auto"/>
            </w:tcBorders>
          </w:tcPr>
          <w:p w14:paraId="05D320FF" w14:textId="77777777" w:rsidR="00A10B25" w:rsidRDefault="00A10B25">
            <w:pPr>
              <w:pStyle w:val="TAL"/>
            </w:pPr>
            <w:r>
              <w:t>NWDAF set identifier to which the NF service consumer has established this subscription.</w:t>
            </w:r>
          </w:p>
          <w:p w14:paraId="0FA57DAD" w14:textId="77777777" w:rsidR="00A10B25" w:rsidRDefault="00A10B25">
            <w:pPr>
              <w:pStyle w:val="TAL"/>
            </w:pPr>
            <w:r>
              <w:t>(NOTE)</w:t>
            </w:r>
          </w:p>
        </w:tc>
        <w:tc>
          <w:tcPr>
            <w:tcW w:w="1164" w:type="dxa"/>
            <w:tcBorders>
              <w:top w:val="single" w:sz="6" w:space="0" w:color="auto"/>
              <w:left w:val="single" w:sz="6" w:space="0" w:color="auto"/>
              <w:bottom w:val="single" w:sz="6" w:space="0" w:color="auto"/>
              <w:right w:val="single" w:sz="6" w:space="0" w:color="auto"/>
            </w:tcBorders>
          </w:tcPr>
          <w:p w14:paraId="5AD321AC" w14:textId="77777777" w:rsidR="00A10B25" w:rsidRDefault="00A10B25">
            <w:pPr>
              <w:pStyle w:val="TAL"/>
              <w:rPr>
                <w:rFonts w:cs="Arial"/>
                <w:szCs w:val="18"/>
              </w:rPr>
            </w:pPr>
          </w:p>
        </w:tc>
      </w:tr>
      <w:tr w:rsidR="00A10B25" w14:paraId="6638EBBB"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6BA9483" w14:textId="77777777" w:rsidR="00A10B25" w:rsidRDefault="00A10B25">
            <w:pPr>
              <w:pStyle w:val="TAL"/>
            </w:pPr>
            <w:r>
              <w:t>subscriptionId</w:t>
            </w:r>
          </w:p>
        </w:tc>
        <w:tc>
          <w:tcPr>
            <w:tcW w:w="2494" w:type="dxa"/>
            <w:tcBorders>
              <w:top w:val="single" w:sz="6" w:space="0" w:color="auto"/>
              <w:left w:val="single" w:sz="6" w:space="0" w:color="auto"/>
              <w:bottom w:val="single" w:sz="6" w:space="0" w:color="auto"/>
              <w:right w:val="single" w:sz="6" w:space="0" w:color="auto"/>
            </w:tcBorders>
          </w:tcPr>
          <w:p w14:paraId="3EE01445" w14:textId="77777777" w:rsidR="00A10B25" w:rsidRDefault="00A10B25">
            <w:pPr>
              <w:pStyle w:val="TAL"/>
            </w:pPr>
            <w:r>
              <w:t>string</w:t>
            </w:r>
          </w:p>
        </w:tc>
        <w:tc>
          <w:tcPr>
            <w:tcW w:w="487" w:type="dxa"/>
            <w:tcBorders>
              <w:top w:val="single" w:sz="6" w:space="0" w:color="auto"/>
              <w:left w:val="single" w:sz="6" w:space="0" w:color="auto"/>
              <w:bottom w:val="single" w:sz="6" w:space="0" w:color="auto"/>
              <w:right w:val="single" w:sz="6" w:space="0" w:color="auto"/>
            </w:tcBorders>
          </w:tcPr>
          <w:p w14:paraId="35767B20" w14:textId="77777777" w:rsidR="00A10B25" w:rsidRDefault="00A10B25">
            <w:pPr>
              <w:pStyle w:val="TAL"/>
            </w:pPr>
            <w:r>
              <w:t>M</w:t>
            </w:r>
          </w:p>
        </w:tc>
        <w:tc>
          <w:tcPr>
            <w:tcW w:w="1067" w:type="dxa"/>
            <w:tcBorders>
              <w:top w:val="single" w:sz="6" w:space="0" w:color="auto"/>
              <w:left w:val="single" w:sz="6" w:space="0" w:color="auto"/>
              <w:bottom w:val="single" w:sz="6" w:space="0" w:color="auto"/>
              <w:right w:val="single" w:sz="6" w:space="0" w:color="auto"/>
            </w:tcBorders>
          </w:tcPr>
          <w:p w14:paraId="1D5E4F39" w14:textId="77777777" w:rsidR="00A10B25" w:rsidRDefault="00A10B25">
            <w:pPr>
              <w:pStyle w:val="TAL"/>
            </w:pPr>
            <w:r>
              <w:t>1</w:t>
            </w:r>
          </w:p>
        </w:tc>
        <w:tc>
          <w:tcPr>
            <w:tcW w:w="2697" w:type="dxa"/>
            <w:tcBorders>
              <w:top w:val="single" w:sz="6" w:space="0" w:color="auto"/>
              <w:left w:val="single" w:sz="6" w:space="0" w:color="auto"/>
              <w:bottom w:val="single" w:sz="6" w:space="0" w:color="auto"/>
              <w:right w:val="single" w:sz="6" w:space="0" w:color="auto"/>
            </w:tcBorders>
          </w:tcPr>
          <w:p w14:paraId="4611F3F4" w14:textId="77777777" w:rsidR="00A10B25" w:rsidRDefault="00A10B25">
            <w:pPr>
              <w:pStyle w:val="TAL"/>
            </w:pPr>
            <w:r>
              <w:t>The identifier of the specific analytics subscription.</w:t>
            </w:r>
          </w:p>
        </w:tc>
        <w:tc>
          <w:tcPr>
            <w:tcW w:w="1164" w:type="dxa"/>
            <w:tcBorders>
              <w:top w:val="single" w:sz="6" w:space="0" w:color="auto"/>
              <w:left w:val="single" w:sz="6" w:space="0" w:color="auto"/>
              <w:bottom w:val="single" w:sz="6" w:space="0" w:color="auto"/>
              <w:right w:val="single" w:sz="6" w:space="0" w:color="auto"/>
            </w:tcBorders>
          </w:tcPr>
          <w:p w14:paraId="39C8C4F6" w14:textId="77777777" w:rsidR="00A10B25" w:rsidRDefault="00A10B25">
            <w:pPr>
              <w:pStyle w:val="TAL"/>
              <w:rPr>
                <w:rFonts w:cs="Arial"/>
                <w:szCs w:val="18"/>
              </w:rPr>
            </w:pPr>
          </w:p>
        </w:tc>
      </w:tr>
      <w:tr w:rsidR="00A10B25" w14:paraId="721E8E36"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0B84106" w14:textId="77777777" w:rsidR="00A10B25" w:rsidRDefault="00A10B25">
            <w:pPr>
              <w:pStyle w:val="TAL"/>
            </w:pPr>
            <w:r>
              <w:t>nfAnaEvents</w:t>
            </w:r>
          </w:p>
        </w:tc>
        <w:tc>
          <w:tcPr>
            <w:tcW w:w="2494" w:type="dxa"/>
            <w:tcBorders>
              <w:top w:val="single" w:sz="6" w:space="0" w:color="auto"/>
              <w:left w:val="single" w:sz="6" w:space="0" w:color="auto"/>
              <w:bottom w:val="single" w:sz="6" w:space="0" w:color="auto"/>
              <w:right w:val="single" w:sz="6" w:space="0" w:color="auto"/>
            </w:tcBorders>
          </w:tcPr>
          <w:p w14:paraId="27A33FB9" w14:textId="77777777" w:rsidR="00A10B25" w:rsidRDefault="00A10B25">
            <w:pPr>
              <w:pStyle w:val="TAL"/>
            </w:pPr>
            <w:r>
              <w:t>array(NwdafEvent)</w:t>
            </w:r>
          </w:p>
        </w:tc>
        <w:tc>
          <w:tcPr>
            <w:tcW w:w="487" w:type="dxa"/>
            <w:tcBorders>
              <w:top w:val="single" w:sz="6" w:space="0" w:color="auto"/>
              <w:left w:val="single" w:sz="6" w:space="0" w:color="auto"/>
              <w:bottom w:val="single" w:sz="6" w:space="0" w:color="auto"/>
              <w:right w:val="single" w:sz="6" w:space="0" w:color="auto"/>
            </w:tcBorders>
          </w:tcPr>
          <w:p w14:paraId="3CD06D0E"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2F48B8D" w14:textId="77777777" w:rsidR="00A10B25" w:rsidRDefault="00A10B25">
            <w:pPr>
              <w:pStyle w:val="TAL"/>
            </w:pPr>
            <w:r>
              <w:t>1..N</w:t>
            </w:r>
          </w:p>
        </w:tc>
        <w:tc>
          <w:tcPr>
            <w:tcW w:w="2697" w:type="dxa"/>
            <w:tcBorders>
              <w:top w:val="single" w:sz="6" w:space="0" w:color="auto"/>
              <w:left w:val="single" w:sz="6" w:space="0" w:color="auto"/>
              <w:bottom w:val="single" w:sz="6" w:space="0" w:color="auto"/>
              <w:right w:val="single" w:sz="6" w:space="0" w:color="auto"/>
            </w:tcBorders>
          </w:tcPr>
          <w:p w14:paraId="1A9A756B" w14:textId="77777777" w:rsidR="00A10B25" w:rsidRDefault="00A10B25">
            <w:pPr>
              <w:pStyle w:val="TAL"/>
            </w:pPr>
            <w:r>
              <w:rPr>
                <w:lang w:eastAsia="ja-JP"/>
              </w:rPr>
              <w:t>List of analytics types for which NF related analytics contexts can be retrieved.</w:t>
            </w:r>
          </w:p>
        </w:tc>
        <w:tc>
          <w:tcPr>
            <w:tcW w:w="1164" w:type="dxa"/>
            <w:tcBorders>
              <w:top w:val="single" w:sz="6" w:space="0" w:color="auto"/>
              <w:left w:val="single" w:sz="6" w:space="0" w:color="auto"/>
              <w:bottom w:val="single" w:sz="6" w:space="0" w:color="auto"/>
              <w:right w:val="single" w:sz="6" w:space="0" w:color="auto"/>
            </w:tcBorders>
          </w:tcPr>
          <w:p w14:paraId="32975181" w14:textId="77777777" w:rsidR="00A10B25" w:rsidRDefault="00A10B25">
            <w:pPr>
              <w:pStyle w:val="TAL"/>
              <w:rPr>
                <w:rFonts w:cs="Arial"/>
                <w:szCs w:val="18"/>
              </w:rPr>
            </w:pPr>
          </w:p>
        </w:tc>
      </w:tr>
      <w:tr w:rsidR="00A10B25" w14:paraId="0E8FB897"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1942B158" w14:textId="77777777" w:rsidR="00A10B25" w:rsidRDefault="00A10B25">
            <w:pPr>
              <w:pStyle w:val="TAL"/>
            </w:pPr>
            <w:r>
              <w:t>ueAnaEvents</w:t>
            </w:r>
          </w:p>
        </w:tc>
        <w:tc>
          <w:tcPr>
            <w:tcW w:w="2494" w:type="dxa"/>
            <w:tcBorders>
              <w:top w:val="single" w:sz="6" w:space="0" w:color="auto"/>
              <w:left w:val="single" w:sz="6" w:space="0" w:color="auto"/>
              <w:bottom w:val="single" w:sz="6" w:space="0" w:color="auto"/>
              <w:right w:val="single" w:sz="6" w:space="0" w:color="auto"/>
            </w:tcBorders>
          </w:tcPr>
          <w:p w14:paraId="2E9A3D09" w14:textId="77777777" w:rsidR="00A10B25" w:rsidRDefault="00A10B25">
            <w:pPr>
              <w:pStyle w:val="TAL"/>
            </w:pPr>
            <w:r>
              <w:t>array(UeAnalyticsContextDescriptor)</w:t>
            </w:r>
          </w:p>
        </w:tc>
        <w:tc>
          <w:tcPr>
            <w:tcW w:w="487" w:type="dxa"/>
            <w:tcBorders>
              <w:top w:val="single" w:sz="6" w:space="0" w:color="auto"/>
              <w:left w:val="single" w:sz="6" w:space="0" w:color="auto"/>
              <w:bottom w:val="single" w:sz="6" w:space="0" w:color="auto"/>
              <w:right w:val="single" w:sz="6" w:space="0" w:color="auto"/>
            </w:tcBorders>
          </w:tcPr>
          <w:p w14:paraId="6E24415B"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FEC3E02" w14:textId="77777777" w:rsidR="00A10B25" w:rsidRDefault="00A10B25">
            <w:pPr>
              <w:pStyle w:val="TAL"/>
            </w:pPr>
            <w:r>
              <w:t>1..N</w:t>
            </w:r>
          </w:p>
        </w:tc>
        <w:tc>
          <w:tcPr>
            <w:tcW w:w="2697" w:type="dxa"/>
            <w:tcBorders>
              <w:top w:val="single" w:sz="6" w:space="0" w:color="auto"/>
              <w:left w:val="single" w:sz="6" w:space="0" w:color="auto"/>
              <w:bottom w:val="single" w:sz="6" w:space="0" w:color="auto"/>
              <w:right w:val="single" w:sz="6" w:space="0" w:color="auto"/>
            </w:tcBorders>
          </w:tcPr>
          <w:p w14:paraId="2513DFF8" w14:textId="77777777" w:rsidR="00A10B25" w:rsidRDefault="00A10B25">
            <w:pPr>
              <w:pStyle w:val="TAL"/>
              <w:rPr>
                <w:lang w:eastAsia="ja-JP"/>
              </w:rPr>
            </w:pPr>
            <w:r>
              <w:rPr>
                <w:lang w:eastAsia="ja-JP"/>
              </w:rPr>
              <w:t>List of objects that indicate for which SUPI and analytics types combinations analytics context can be retrieved.</w:t>
            </w:r>
          </w:p>
        </w:tc>
        <w:tc>
          <w:tcPr>
            <w:tcW w:w="1164" w:type="dxa"/>
            <w:tcBorders>
              <w:top w:val="single" w:sz="6" w:space="0" w:color="auto"/>
              <w:left w:val="single" w:sz="6" w:space="0" w:color="auto"/>
              <w:bottom w:val="single" w:sz="6" w:space="0" w:color="auto"/>
              <w:right w:val="single" w:sz="6" w:space="0" w:color="auto"/>
            </w:tcBorders>
          </w:tcPr>
          <w:p w14:paraId="0683EFB5" w14:textId="77777777" w:rsidR="00A10B25" w:rsidRDefault="00A10B25">
            <w:pPr>
              <w:pStyle w:val="TAL"/>
              <w:rPr>
                <w:rFonts w:cs="Arial"/>
                <w:szCs w:val="18"/>
              </w:rPr>
            </w:pPr>
          </w:p>
        </w:tc>
      </w:tr>
      <w:tr w:rsidR="00A10B25" w14:paraId="08BFF76A" w14:textId="77777777">
        <w:trPr>
          <w:trHeight w:val="420"/>
          <w:jc w:val="center"/>
        </w:trPr>
        <w:tc>
          <w:tcPr>
            <w:tcW w:w="9566" w:type="dxa"/>
            <w:gridSpan w:val="6"/>
            <w:tcBorders>
              <w:top w:val="single" w:sz="6" w:space="0" w:color="auto"/>
              <w:left w:val="single" w:sz="6" w:space="0" w:color="auto"/>
              <w:bottom w:val="single" w:sz="6" w:space="0" w:color="auto"/>
              <w:right w:val="single" w:sz="6" w:space="0" w:color="auto"/>
            </w:tcBorders>
          </w:tcPr>
          <w:p w14:paraId="3AA9376C" w14:textId="77777777" w:rsidR="00A10B25" w:rsidRDefault="00A10B25">
            <w:pPr>
              <w:pStyle w:val="TAN"/>
            </w:pPr>
            <w:r>
              <w:t>NOTE:</w:t>
            </w:r>
            <w:r>
              <w:tab/>
              <w:t>One of "producerId" or "producerSetId" attributes shall be provided.</w:t>
            </w:r>
          </w:p>
        </w:tc>
      </w:tr>
    </w:tbl>
    <w:p w14:paraId="4783546E" w14:textId="77777777" w:rsidR="00A10B25" w:rsidRDefault="00A10B25">
      <w:pPr>
        <w:rPr>
          <w:rFonts w:eastAsia="Batang"/>
        </w:rPr>
      </w:pPr>
    </w:p>
    <w:p w14:paraId="144ADF46" w14:textId="77777777" w:rsidR="00A10B25" w:rsidRDefault="00A10B25">
      <w:pPr>
        <w:pStyle w:val="5"/>
      </w:pPr>
      <w:bookmarkStart w:id="7719" w:name="_Toc114133871"/>
      <w:bookmarkStart w:id="7720" w:name="_Toc138754272"/>
      <w:bookmarkStart w:id="7721" w:name="_Toc148522663"/>
      <w:bookmarkStart w:id="7722" w:name="_Toc104539070"/>
      <w:bookmarkStart w:id="7723" w:name="_Toc112951192"/>
      <w:bookmarkStart w:id="7724" w:name="_Toc145705759"/>
      <w:bookmarkStart w:id="7725" w:name="_Toc113031732"/>
      <w:bookmarkStart w:id="7726" w:name="_Toc120702371"/>
      <w:bookmarkStart w:id="7727" w:name="_Toc136562438"/>
      <w:bookmarkStart w:id="7728" w:name="_Toc164920843"/>
      <w:bookmarkStart w:id="7729" w:name="_Toc170120385"/>
      <w:bookmarkStart w:id="7730" w:name="_Toc175858630"/>
      <w:bookmarkStart w:id="7731" w:name="_Toc175859703"/>
      <w:bookmarkStart w:id="7732" w:name="_Toc180605993"/>
      <w:bookmarkStart w:id="7733" w:name="_Toc185517247"/>
      <w:bookmarkStart w:id="7734" w:name="_Toc191576298"/>
      <w:bookmarkStart w:id="7735" w:name="_Toc191577038"/>
      <w:bookmarkStart w:id="7736" w:name="_Toc192880108"/>
      <w:bookmarkStart w:id="7737" w:name="_Toc195814991"/>
      <w:bookmarkStart w:id="7738" w:name="_Toc199452958"/>
      <w:r>
        <w:lastRenderedPageBreak/>
        <w:t>5.1.6.2.69</w:t>
      </w:r>
      <w:r>
        <w:tab/>
        <w:t xml:space="preserve">Type </w:t>
      </w:r>
      <w:r>
        <w:rPr>
          <w:lang w:eastAsia="zh-CN"/>
        </w:rPr>
        <w:t>MLModelInfo</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176435B5" w14:textId="77777777" w:rsidR="00A10B25" w:rsidRDefault="00A10B25">
      <w:pPr>
        <w:pStyle w:val="TH"/>
      </w:pPr>
      <w:r>
        <w:t xml:space="preserve">Table 5.1.6.2.69-1: Definition of type </w:t>
      </w:r>
      <w:r>
        <w:rPr>
          <w:lang w:eastAsia="zh-CN"/>
        </w:rPr>
        <w:t>MLModelInfo</w:t>
      </w:r>
    </w:p>
    <w:tbl>
      <w:tblPr>
        <w:tblW w:w="949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A10B25" w14:paraId="5D4614F6" w14:textId="77777777">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tcPr>
          <w:p w14:paraId="7A6D19D9" w14:textId="77777777" w:rsidR="00A10B25" w:rsidRDefault="00A10B25">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46858368"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0B0F0414"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5A1C17D4" w14:textId="77777777" w:rsidR="00A10B25" w:rsidRDefault="00A10B25">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tcPr>
          <w:p w14:paraId="02CB126F" w14:textId="77777777" w:rsidR="00A10B25" w:rsidRDefault="00A10B25">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438EEDD0" w14:textId="77777777" w:rsidR="00A10B25" w:rsidRDefault="00A10B25">
            <w:pPr>
              <w:pStyle w:val="TAH"/>
              <w:rPr>
                <w:rFonts w:cs="Arial"/>
                <w:szCs w:val="18"/>
              </w:rPr>
            </w:pPr>
            <w:r>
              <w:rPr>
                <w:rFonts w:cs="Arial"/>
                <w:szCs w:val="18"/>
              </w:rPr>
              <w:t>Applicability</w:t>
            </w:r>
          </w:p>
        </w:tc>
      </w:tr>
      <w:tr w:rsidR="00A10B25" w14:paraId="7EBDC7F5"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649F0E63" w14:textId="77777777" w:rsidR="00A10B25" w:rsidRDefault="00A10B25">
            <w:pPr>
              <w:pStyle w:val="TAL"/>
            </w:pPr>
            <w:r>
              <w:rPr>
                <w:lang w:val="en-US" w:eastAsia="zh-CN"/>
              </w:rPr>
              <w:t>mlFileAddrs</w:t>
            </w:r>
          </w:p>
        </w:tc>
        <w:tc>
          <w:tcPr>
            <w:tcW w:w="1701" w:type="dxa"/>
            <w:tcBorders>
              <w:top w:val="single" w:sz="6" w:space="0" w:color="auto"/>
              <w:left w:val="single" w:sz="6" w:space="0" w:color="auto"/>
              <w:bottom w:val="single" w:sz="6" w:space="0" w:color="auto"/>
              <w:right w:val="single" w:sz="6" w:space="0" w:color="auto"/>
            </w:tcBorders>
          </w:tcPr>
          <w:p w14:paraId="44F7D0D1" w14:textId="77777777" w:rsidR="00A10B25" w:rsidRDefault="00A10B25">
            <w:pPr>
              <w:pStyle w:val="TAL"/>
            </w:pPr>
            <w:r>
              <w:t>array(MLModelAddr)</w:t>
            </w:r>
          </w:p>
        </w:tc>
        <w:tc>
          <w:tcPr>
            <w:tcW w:w="426" w:type="dxa"/>
            <w:tcBorders>
              <w:top w:val="single" w:sz="6" w:space="0" w:color="auto"/>
              <w:left w:val="single" w:sz="6" w:space="0" w:color="auto"/>
              <w:bottom w:val="single" w:sz="6" w:space="0" w:color="auto"/>
              <w:right w:val="single" w:sz="6" w:space="0" w:color="auto"/>
            </w:tcBorders>
          </w:tcPr>
          <w:p w14:paraId="7212CE7F" w14:textId="77777777" w:rsidR="00A10B25" w:rsidRDefault="00A10B25">
            <w:pPr>
              <w:pStyle w:val="TAL"/>
              <w:jc w:val="center"/>
            </w:pPr>
            <w:r>
              <w:t>O</w:t>
            </w:r>
          </w:p>
        </w:tc>
        <w:tc>
          <w:tcPr>
            <w:tcW w:w="1134" w:type="dxa"/>
            <w:tcBorders>
              <w:top w:val="single" w:sz="6" w:space="0" w:color="auto"/>
              <w:left w:val="single" w:sz="6" w:space="0" w:color="auto"/>
              <w:bottom w:val="single" w:sz="6" w:space="0" w:color="auto"/>
              <w:right w:val="single" w:sz="6" w:space="0" w:color="auto"/>
            </w:tcBorders>
          </w:tcPr>
          <w:p w14:paraId="5688BF8B" w14:textId="77777777" w:rsidR="00A10B25" w:rsidRDefault="00A10B25">
            <w:pPr>
              <w:pStyle w:val="TAL"/>
            </w:pPr>
            <w:r>
              <w:t>1..N</w:t>
            </w:r>
          </w:p>
        </w:tc>
        <w:tc>
          <w:tcPr>
            <w:tcW w:w="2976" w:type="dxa"/>
            <w:tcBorders>
              <w:top w:val="single" w:sz="6" w:space="0" w:color="auto"/>
              <w:left w:val="single" w:sz="6" w:space="0" w:color="auto"/>
              <w:bottom w:val="single" w:sz="6" w:space="0" w:color="auto"/>
              <w:right w:val="single" w:sz="6" w:space="0" w:color="auto"/>
            </w:tcBorders>
          </w:tcPr>
          <w:p w14:paraId="5729166E" w14:textId="77777777" w:rsidR="00A10B25" w:rsidRDefault="00A10B25">
            <w:pPr>
              <w:pStyle w:val="TAL"/>
            </w:pPr>
            <w:r>
              <w:rPr>
                <w:lang w:eastAsia="ja-JP"/>
              </w:rPr>
              <w:t xml:space="preserve">Addresses of ML model files. May be included </w:t>
            </w:r>
            <w:r>
              <w:rPr>
                <w:lang w:eastAsia="zh-CN"/>
              </w:rPr>
              <w:t xml:space="preserve">only when the source NWDAF itself provides the trained ML model(s) for the </w:t>
            </w:r>
            <w:r>
              <w:rPr>
                <w:lang w:eastAsia="ko-KR"/>
              </w:rPr>
              <w:t xml:space="preserve">analytics subscription(s) </w:t>
            </w:r>
            <w:r>
              <w:rPr>
                <w:lang w:eastAsia="zh-CN"/>
              </w:rPr>
              <w:t>being transferred</w:t>
            </w:r>
          </w:p>
        </w:tc>
        <w:tc>
          <w:tcPr>
            <w:tcW w:w="1628" w:type="dxa"/>
            <w:tcBorders>
              <w:top w:val="single" w:sz="6" w:space="0" w:color="auto"/>
              <w:left w:val="single" w:sz="6" w:space="0" w:color="auto"/>
              <w:bottom w:val="single" w:sz="6" w:space="0" w:color="auto"/>
              <w:right w:val="single" w:sz="6" w:space="0" w:color="auto"/>
            </w:tcBorders>
          </w:tcPr>
          <w:p w14:paraId="5E4E591E" w14:textId="77777777" w:rsidR="00A10B25" w:rsidRDefault="00A10B25">
            <w:pPr>
              <w:pStyle w:val="TAL"/>
              <w:rPr>
                <w:rFonts w:cs="Arial"/>
                <w:szCs w:val="18"/>
              </w:rPr>
            </w:pPr>
          </w:p>
        </w:tc>
      </w:tr>
      <w:tr w:rsidR="00A10B25" w14:paraId="53E55C44"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51AD1011" w14:textId="77777777" w:rsidR="00A10B25" w:rsidRDefault="00A10B25">
            <w:pPr>
              <w:pStyle w:val="TAL"/>
              <w:rPr>
                <w:lang w:val="en-US" w:eastAsia="zh-CN"/>
              </w:rPr>
            </w:pPr>
            <w:r>
              <w:rPr>
                <w:lang w:val="en-US" w:eastAsia="zh-CN"/>
              </w:rPr>
              <w:t>modelProvId</w:t>
            </w:r>
          </w:p>
        </w:tc>
        <w:tc>
          <w:tcPr>
            <w:tcW w:w="1701" w:type="dxa"/>
            <w:tcBorders>
              <w:top w:val="single" w:sz="6" w:space="0" w:color="auto"/>
              <w:left w:val="single" w:sz="6" w:space="0" w:color="auto"/>
              <w:bottom w:val="single" w:sz="6" w:space="0" w:color="auto"/>
              <w:right w:val="single" w:sz="6" w:space="0" w:color="auto"/>
            </w:tcBorders>
          </w:tcPr>
          <w:p w14:paraId="774E44FF" w14:textId="77777777" w:rsidR="00A10B25" w:rsidRDefault="00A10B25">
            <w:pPr>
              <w:pStyle w:val="TAL"/>
            </w:pPr>
            <w:r>
              <w:t>NfInstanceId</w:t>
            </w:r>
          </w:p>
        </w:tc>
        <w:tc>
          <w:tcPr>
            <w:tcW w:w="426" w:type="dxa"/>
            <w:tcBorders>
              <w:top w:val="single" w:sz="6" w:space="0" w:color="auto"/>
              <w:left w:val="single" w:sz="6" w:space="0" w:color="auto"/>
              <w:bottom w:val="single" w:sz="6" w:space="0" w:color="auto"/>
              <w:right w:val="single" w:sz="6" w:space="0" w:color="auto"/>
            </w:tcBorders>
          </w:tcPr>
          <w:p w14:paraId="10B9EF43" w14:textId="77777777" w:rsidR="00A10B25" w:rsidRDefault="00A10B25">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481CA44C"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0DD7D1FA" w14:textId="77777777" w:rsidR="00A10B25" w:rsidRDefault="00A10B25">
            <w:pPr>
              <w:pStyle w:val="TAL"/>
              <w:rPr>
                <w:lang w:eastAsia="zh-CN"/>
              </w:rPr>
            </w:pPr>
            <w:r>
              <w:rPr>
                <w:lang w:val="en-US" w:eastAsia="zh-CN"/>
              </w:rPr>
              <w:t>NF instance identif</w:t>
            </w:r>
            <w:r w:rsidR="00F70B3B">
              <w:rPr>
                <w:lang w:eastAsia="zh-CN"/>
              </w:rPr>
              <w:t>i</w:t>
            </w:r>
            <w:r>
              <w:rPr>
                <w:lang w:val="en-US" w:eastAsia="zh-CN"/>
              </w:rPr>
              <w:t xml:space="preserve">er of </w:t>
            </w:r>
            <w:r>
              <w:rPr>
                <w:lang w:eastAsia="zh-CN"/>
              </w:rPr>
              <w:t>the ML model provider NWDAF from which the NF service consumer currently subscribes to the ML model information.</w:t>
            </w:r>
          </w:p>
          <w:p w14:paraId="2B9F198C" w14:textId="77777777" w:rsidR="00A10B25" w:rsidRDefault="00A10B25">
            <w:pPr>
              <w:pStyle w:val="TAL"/>
              <w:rPr>
                <w:lang w:eastAsia="ja-JP"/>
              </w:rPr>
            </w:pPr>
            <w:r>
              <w:t>(NOTE)</w:t>
            </w:r>
          </w:p>
        </w:tc>
        <w:tc>
          <w:tcPr>
            <w:tcW w:w="1628" w:type="dxa"/>
            <w:tcBorders>
              <w:top w:val="single" w:sz="6" w:space="0" w:color="auto"/>
              <w:left w:val="single" w:sz="6" w:space="0" w:color="auto"/>
              <w:bottom w:val="single" w:sz="6" w:space="0" w:color="auto"/>
              <w:right w:val="single" w:sz="6" w:space="0" w:color="auto"/>
            </w:tcBorders>
          </w:tcPr>
          <w:p w14:paraId="11A3CC68" w14:textId="77777777" w:rsidR="00A10B25" w:rsidRDefault="00A10B25">
            <w:pPr>
              <w:pStyle w:val="TAL"/>
              <w:rPr>
                <w:rFonts w:cs="Arial"/>
                <w:szCs w:val="18"/>
              </w:rPr>
            </w:pPr>
          </w:p>
        </w:tc>
      </w:tr>
      <w:tr w:rsidR="00A10B25" w14:paraId="05256B32"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2111762B" w14:textId="77777777" w:rsidR="00A10B25" w:rsidRDefault="00A10B25">
            <w:pPr>
              <w:pStyle w:val="TAL"/>
              <w:rPr>
                <w:lang w:val="en-US" w:eastAsia="zh-CN"/>
              </w:rPr>
            </w:pPr>
            <w:r>
              <w:rPr>
                <w:lang w:eastAsia="zh-CN"/>
              </w:rPr>
              <w:t>modelProvSetId</w:t>
            </w:r>
          </w:p>
        </w:tc>
        <w:tc>
          <w:tcPr>
            <w:tcW w:w="1701" w:type="dxa"/>
            <w:tcBorders>
              <w:top w:val="single" w:sz="6" w:space="0" w:color="auto"/>
              <w:left w:val="single" w:sz="6" w:space="0" w:color="auto"/>
              <w:bottom w:val="single" w:sz="6" w:space="0" w:color="auto"/>
              <w:right w:val="single" w:sz="6" w:space="0" w:color="auto"/>
            </w:tcBorders>
          </w:tcPr>
          <w:p w14:paraId="35EF24D1" w14:textId="77777777" w:rsidR="00A10B25" w:rsidRDefault="00A10B25">
            <w:pPr>
              <w:pStyle w:val="TAL"/>
            </w:pPr>
            <w:r>
              <w:t>NfSetId</w:t>
            </w:r>
          </w:p>
        </w:tc>
        <w:tc>
          <w:tcPr>
            <w:tcW w:w="426" w:type="dxa"/>
            <w:tcBorders>
              <w:top w:val="single" w:sz="6" w:space="0" w:color="auto"/>
              <w:left w:val="single" w:sz="6" w:space="0" w:color="auto"/>
              <w:bottom w:val="single" w:sz="6" w:space="0" w:color="auto"/>
              <w:right w:val="single" w:sz="6" w:space="0" w:color="auto"/>
            </w:tcBorders>
          </w:tcPr>
          <w:p w14:paraId="32642D8F" w14:textId="77777777" w:rsidR="00A10B25" w:rsidRDefault="00A10B25">
            <w:pPr>
              <w:pStyle w:val="TAL"/>
              <w:jc w:val="cente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834934D"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2403CE56" w14:textId="77777777" w:rsidR="00A10B25" w:rsidRDefault="00A10B25">
            <w:pPr>
              <w:pStyle w:val="PL"/>
              <w:rPr>
                <w:rFonts w:ascii="Arial" w:hAnsi="Arial"/>
                <w:sz w:val="18"/>
                <w:lang w:eastAsia="zh-CN"/>
              </w:rPr>
            </w:pPr>
            <w:r>
              <w:rPr>
                <w:rFonts w:ascii="Arial" w:hAnsi="Arial"/>
                <w:sz w:val="18"/>
                <w:lang w:eastAsia="zh-CN"/>
              </w:rPr>
              <w:t>The Set ID of NWDAF(s) to which the current NWDAF subscribe the ML model.</w:t>
            </w:r>
          </w:p>
          <w:p w14:paraId="410F7928" w14:textId="77777777" w:rsidR="00A10B25" w:rsidRDefault="00A10B25">
            <w:pPr>
              <w:pStyle w:val="TAL"/>
              <w:rPr>
                <w:lang w:val="en-US" w:eastAsia="zh-CN"/>
              </w:rPr>
            </w:pPr>
            <w:r>
              <w:t>(NOTE)</w:t>
            </w:r>
          </w:p>
        </w:tc>
        <w:tc>
          <w:tcPr>
            <w:tcW w:w="1628" w:type="dxa"/>
            <w:tcBorders>
              <w:top w:val="single" w:sz="6" w:space="0" w:color="auto"/>
              <w:left w:val="single" w:sz="6" w:space="0" w:color="auto"/>
              <w:bottom w:val="single" w:sz="6" w:space="0" w:color="auto"/>
              <w:right w:val="single" w:sz="6" w:space="0" w:color="auto"/>
            </w:tcBorders>
          </w:tcPr>
          <w:p w14:paraId="09A7CB0D" w14:textId="77777777" w:rsidR="00A10B25" w:rsidRDefault="00A10B25">
            <w:pPr>
              <w:pStyle w:val="TAL"/>
              <w:rPr>
                <w:rFonts w:cs="Arial"/>
                <w:szCs w:val="18"/>
              </w:rPr>
            </w:pPr>
          </w:p>
        </w:tc>
      </w:tr>
      <w:tr w:rsidR="00A10B25" w14:paraId="71F5C02B" w14:textId="77777777">
        <w:trPr>
          <w:jc w:val="center"/>
        </w:trPr>
        <w:tc>
          <w:tcPr>
            <w:tcW w:w="9493" w:type="dxa"/>
            <w:gridSpan w:val="6"/>
            <w:tcBorders>
              <w:top w:val="single" w:sz="6" w:space="0" w:color="auto"/>
              <w:left w:val="single" w:sz="6" w:space="0" w:color="auto"/>
              <w:bottom w:val="single" w:sz="6" w:space="0" w:color="auto"/>
              <w:right w:val="single" w:sz="6" w:space="0" w:color="auto"/>
            </w:tcBorders>
          </w:tcPr>
          <w:p w14:paraId="078E1CDB" w14:textId="77777777" w:rsidR="00A10B25" w:rsidRDefault="00A10B25">
            <w:pPr>
              <w:pStyle w:val="TAN"/>
              <w:rPr>
                <w:rFonts w:cs="Arial"/>
                <w:szCs w:val="18"/>
              </w:rPr>
            </w:pPr>
            <w:r>
              <w:rPr>
                <w:rFonts w:cs="Arial"/>
                <w:szCs w:val="18"/>
              </w:rPr>
              <w:t>NOTE:</w:t>
            </w:r>
            <w:r>
              <w:rPr>
                <w:rFonts w:cs="Arial"/>
                <w:szCs w:val="18"/>
              </w:rPr>
              <w:tab/>
              <w:t>One of the "</w:t>
            </w:r>
            <w:r>
              <w:rPr>
                <w:lang w:val="en-US" w:eastAsia="zh-CN"/>
              </w:rPr>
              <w:t>modelProvId</w:t>
            </w:r>
            <w:r>
              <w:rPr>
                <w:rFonts w:cs="Arial"/>
                <w:szCs w:val="18"/>
              </w:rPr>
              <w:t>" and "</w:t>
            </w:r>
            <w:r>
              <w:rPr>
                <w:lang w:eastAsia="zh-CN"/>
              </w:rPr>
              <w:t>modelProvSetId</w:t>
            </w:r>
            <w:r>
              <w:rPr>
                <w:rFonts w:cs="Arial"/>
                <w:szCs w:val="18"/>
              </w:rPr>
              <w:t>" attributes shall be provided.</w:t>
            </w:r>
          </w:p>
        </w:tc>
      </w:tr>
    </w:tbl>
    <w:p w14:paraId="7BDA1DD0" w14:textId="77777777" w:rsidR="00A10B25" w:rsidRDefault="00A10B25">
      <w:pPr>
        <w:rPr>
          <w:lang w:val="en-US" w:eastAsia="zh-CN"/>
        </w:rPr>
      </w:pPr>
    </w:p>
    <w:p w14:paraId="79B6BFDA" w14:textId="77777777" w:rsidR="00542337" w:rsidRDefault="00542337" w:rsidP="00542337">
      <w:pPr>
        <w:pStyle w:val="EditorsNote"/>
      </w:pPr>
      <w:r>
        <w:t>Editor’s Note :</w:t>
      </w:r>
      <w:r>
        <w:tab/>
        <w:t xml:space="preserve">Whether </w:t>
      </w:r>
      <w:r>
        <w:rPr>
          <w:lang w:eastAsia="zh-CN"/>
        </w:rPr>
        <w:t>model Id</w:t>
      </w:r>
      <w:r>
        <w:rPr>
          <w:rFonts w:cs="Arial"/>
          <w:szCs w:val="18"/>
        </w:rPr>
        <w:t xml:space="preserve"> needs to be defined in </w:t>
      </w:r>
      <w:r>
        <w:rPr>
          <w:lang w:eastAsia="zh-CN"/>
        </w:rPr>
        <w:t xml:space="preserve">MLModelInfo data type to align with the </w:t>
      </w:r>
      <w:r>
        <w:rPr>
          <w:rFonts w:cs="Arial"/>
          <w:szCs w:val="18"/>
        </w:rPr>
        <w:t>"</w:t>
      </w:r>
      <w:r>
        <w:rPr>
          <w:lang w:eastAsia="zh-CN"/>
        </w:rPr>
        <w:t>modelId</w:t>
      </w:r>
      <w:r>
        <w:rPr>
          <w:rFonts w:cs="Arial"/>
          <w:szCs w:val="18"/>
        </w:rPr>
        <w:t>"</w:t>
      </w:r>
      <w:r>
        <w:rPr>
          <w:lang w:eastAsia="zh-CN"/>
        </w:rPr>
        <w:t xml:space="preserve"> attribute in clause 5.4.6.2.3 is FFS</w:t>
      </w:r>
      <w:r>
        <w:t>.</w:t>
      </w:r>
    </w:p>
    <w:p w14:paraId="72EB01CF" w14:textId="77777777" w:rsidR="00542337" w:rsidRDefault="00542337">
      <w:pPr>
        <w:rPr>
          <w:rFonts w:hint="eastAsia"/>
          <w:lang w:val="en-US" w:eastAsia="zh-CN"/>
        </w:rPr>
      </w:pPr>
    </w:p>
    <w:p w14:paraId="3CB14687" w14:textId="77777777" w:rsidR="00A10B25" w:rsidRDefault="00A10B25">
      <w:pPr>
        <w:pStyle w:val="5"/>
      </w:pPr>
      <w:bookmarkStart w:id="7739" w:name="_Toc145705760"/>
      <w:bookmarkStart w:id="7740" w:name="_Toc113031733"/>
      <w:bookmarkStart w:id="7741" w:name="_Toc148522664"/>
      <w:bookmarkStart w:id="7742" w:name="_Toc112951193"/>
      <w:bookmarkStart w:id="7743" w:name="_Toc138754273"/>
      <w:bookmarkStart w:id="7744" w:name="_Toc114133872"/>
      <w:bookmarkStart w:id="7745" w:name="_Toc136562439"/>
      <w:bookmarkStart w:id="7746" w:name="_Toc120702372"/>
      <w:bookmarkStart w:id="7747" w:name="_Toc164920844"/>
      <w:bookmarkStart w:id="7748" w:name="_Toc170120386"/>
      <w:bookmarkStart w:id="7749" w:name="_Toc175858631"/>
      <w:bookmarkStart w:id="7750" w:name="_Toc175859704"/>
      <w:bookmarkStart w:id="7751" w:name="_Toc180605994"/>
      <w:bookmarkStart w:id="7752" w:name="_Toc185517248"/>
      <w:bookmarkStart w:id="7753" w:name="_Toc191576299"/>
      <w:bookmarkStart w:id="7754" w:name="_Toc191577039"/>
      <w:bookmarkStart w:id="7755" w:name="_Toc192880109"/>
      <w:bookmarkStart w:id="7756" w:name="_Toc195814992"/>
      <w:bookmarkStart w:id="7757" w:name="_Toc199452959"/>
      <w:r>
        <w:lastRenderedPageBreak/>
        <w:t>5.1.6.2.70</w:t>
      </w:r>
      <w:r>
        <w:tab/>
        <w:t>Type ObservedRedundantTransExp</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77EB8B45" w14:textId="77777777" w:rsidR="00A10B25" w:rsidRDefault="00A10B25">
      <w:pPr>
        <w:pStyle w:val="TH"/>
      </w:pPr>
      <w:r>
        <w:t>Table 5.1.6.2.70-1: Definition of type ObservedRedundantTransExp</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684DD525" w14:textId="77777777">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224ADB4B" w14:textId="77777777" w:rsidR="00A10B25" w:rsidRDefault="00A10B25">
            <w:pPr>
              <w:pStyle w:val="TAH"/>
            </w:pPr>
            <w:r>
              <w:lastRenderedPageBreak/>
              <w:t>Attribute name</w:t>
            </w:r>
          </w:p>
        </w:tc>
        <w:tc>
          <w:tcPr>
            <w:tcW w:w="1560" w:type="dxa"/>
            <w:tcBorders>
              <w:top w:val="single" w:sz="6" w:space="0" w:color="auto"/>
              <w:left w:val="single" w:sz="6" w:space="0" w:color="auto"/>
              <w:bottom w:val="single" w:sz="6" w:space="0" w:color="auto"/>
              <w:right w:val="single" w:sz="6" w:space="0" w:color="auto"/>
            </w:tcBorders>
            <w:shd w:val="clear" w:color="auto" w:fill="C0C0C0"/>
          </w:tcPr>
          <w:p w14:paraId="2CCB7E3A" w14:textId="77777777" w:rsidR="00A10B25" w:rsidRDefault="00A10B2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15B63078"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96E2451" w14:textId="77777777" w:rsidR="00A10B25" w:rsidRDefault="00A10B25">
            <w:pPr>
              <w:pStyle w:val="TAH"/>
            </w:pPr>
            <w:r>
              <w:t>Cardinality</w:t>
            </w:r>
          </w:p>
        </w:tc>
        <w:tc>
          <w:tcPr>
            <w:tcW w:w="2857" w:type="dxa"/>
            <w:tcBorders>
              <w:top w:val="single" w:sz="6" w:space="0" w:color="auto"/>
              <w:left w:val="single" w:sz="6" w:space="0" w:color="auto"/>
              <w:bottom w:val="single" w:sz="6" w:space="0" w:color="auto"/>
              <w:right w:val="single" w:sz="6" w:space="0" w:color="auto"/>
            </w:tcBorders>
            <w:shd w:val="clear" w:color="auto" w:fill="C0C0C0"/>
          </w:tcPr>
          <w:p w14:paraId="6173FE28" w14:textId="77777777" w:rsidR="00A10B25" w:rsidRDefault="00A10B25">
            <w:pPr>
              <w:pStyle w:val="TAH"/>
            </w:pPr>
            <w:r>
              <w:t>Description</w:t>
            </w:r>
          </w:p>
        </w:tc>
        <w:tc>
          <w:tcPr>
            <w:tcW w:w="1844" w:type="dxa"/>
            <w:tcBorders>
              <w:top w:val="single" w:sz="6" w:space="0" w:color="auto"/>
              <w:left w:val="single" w:sz="6" w:space="0" w:color="auto"/>
              <w:bottom w:val="single" w:sz="6" w:space="0" w:color="auto"/>
              <w:right w:val="single" w:sz="6" w:space="0" w:color="auto"/>
            </w:tcBorders>
            <w:shd w:val="clear" w:color="auto" w:fill="C0C0C0"/>
          </w:tcPr>
          <w:p w14:paraId="39EA305B" w14:textId="77777777" w:rsidR="00A10B25" w:rsidRDefault="00A10B25">
            <w:pPr>
              <w:pStyle w:val="TAH"/>
            </w:pPr>
            <w:r>
              <w:t>Applicability</w:t>
            </w:r>
          </w:p>
        </w:tc>
      </w:tr>
      <w:tr w:rsidR="00A10B25" w14:paraId="587FFA6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CF6CE3A" w14:textId="77777777" w:rsidR="00A10B25" w:rsidRDefault="00A10B25">
            <w:pPr>
              <w:pStyle w:val="TAL"/>
              <w:rPr>
                <w:lang w:eastAsia="zh-CN"/>
              </w:rPr>
            </w:pPr>
            <w:r>
              <w:rPr>
                <w:lang w:eastAsia="zh-CN"/>
              </w:rPr>
              <w:t>avgPktDropRateUl</w:t>
            </w:r>
          </w:p>
        </w:tc>
        <w:tc>
          <w:tcPr>
            <w:tcW w:w="1560" w:type="dxa"/>
            <w:tcBorders>
              <w:top w:val="single" w:sz="6" w:space="0" w:color="auto"/>
              <w:left w:val="single" w:sz="6" w:space="0" w:color="auto"/>
              <w:bottom w:val="single" w:sz="6" w:space="0" w:color="auto"/>
              <w:right w:val="single" w:sz="6" w:space="0" w:color="auto"/>
            </w:tcBorders>
          </w:tcPr>
          <w:p w14:paraId="73523C1E" w14:textId="77777777" w:rsidR="00A10B25" w:rsidRDefault="00A10B25">
            <w:pPr>
              <w:pStyle w:val="TAL"/>
              <w:rPr>
                <w:lang w:eastAsia="zh-CN"/>
              </w:rPr>
            </w:pPr>
            <w:r>
              <w:t>PacketLossRate</w:t>
            </w:r>
          </w:p>
        </w:tc>
        <w:tc>
          <w:tcPr>
            <w:tcW w:w="425" w:type="dxa"/>
            <w:tcBorders>
              <w:top w:val="single" w:sz="6" w:space="0" w:color="auto"/>
              <w:left w:val="single" w:sz="6" w:space="0" w:color="auto"/>
              <w:bottom w:val="single" w:sz="6" w:space="0" w:color="auto"/>
              <w:right w:val="single" w:sz="6" w:space="0" w:color="auto"/>
            </w:tcBorders>
          </w:tcPr>
          <w:p w14:paraId="34D93BD1"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CD8909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6B2F3476" w14:textId="77777777" w:rsidR="00A10B25" w:rsidRDefault="00A10B25">
            <w:pPr>
              <w:pStyle w:val="TAL"/>
            </w:pPr>
            <w:r>
              <w:t>Average uplink packet drop rate on GTP-U path on N3.</w:t>
            </w:r>
          </w:p>
          <w:p w14:paraId="0CFC83A3"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AVG_UL_PKT_DROP_RATE</w:t>
            </w:r>
            <w:r>
              <w:t>.</w:t>
            </w:r>
          </w:p>
        </w:tc>
        <w:tc>
          <w:tcPr>
            <w:tcW w:w="1844" w:type="dxa"/>
            <w:tcBorders>
              <w:top w:val="single" w:sz="6" w:space="0" w:color="auto"/>
              <w:left w:val="single" w:sz="6" w:space="0" w:color="auto"/>
              <w:bottom w:val="single" w:sz="6" w:space="0" w:color="auto"/>
              <w:right w:val="single" w:sz="6" w:space="0" w:color="auto"/>
            </w:tcBorders>
          </w:tcPr>
          <w:p w14:paraId="4E52C5ED" w14:textId="77777777" w:rsidR="00A10B25" w:rsidRDefault="00A10B25">
            <w:pPr>
              <w:pStyle w:val="TAL"/>
              <w:rPr>
                <w:rFonts w:cs="Arial"/>
                <w:szCs w:val="18"/>
              </w:rPr>
            </w:pPr>
          </w:p>
        </w:tc>
      </w:tr>
      <w:tr w:rsidR="00A10B25" w14:paraId="390FE06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0B60B13" w14:textId="77777777" w:rsidR="00A10B25" w:rsidRDefault="00A10B25">
            <w:pPr>
              <w:pStyle w:val="TAL"/>
              <w:rPr>
                <w:lang w:eastAsia="zh-CN"/>
              </w:rPr>
            </w:pPr>
            <w:r>
              <w:rPr>
                <w:lang w:eastAsia="zh-CN"/>
              </w:rPr>
              <w:t>varPktDropRateUl</w:t>
            </w:r>
          </w:p>
        </w:tc>
        <w:tc>
          <w:tcPr>
            <w:tcW w:w="1560" w:type="dxa"/>
            <w:tcBorders>
              <w:top w:val="single" w:sz="6" w:space="0" w:color="auto"/>
              <w:left w:val="single" w:sz="6" w:space="0" w:color="auto"/>
              <w:bottom w:val="single" w:sz="6" w:space="0" w:color="auto"/>
              <w:right w:val="single" w:sz="6" w:space="0" w:color="auto"/>
            </w:tcBorders>
          </w:tcPr>
          <w:p w14:paraId="22D3A096"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2BC45550"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609A818"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B8265E0" w14:textId="77777777" w:rsidR="00A10B25" w:rsidRDefault="00A10B25">
            <w:pPr>
              <w:pStyle w:val="TAL"/>
            </w:pPr>
            <w:r>
              <w:t>Variance of uplink packet drop rate on GTP-U path on N3.</w:t>
            </w:r>
          </w:p>
          <w:p w14:paraId="348B3551"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VAR_UL_PKT_DROP_RATE.</w:t>
            </w:r>
          </w:p>
        </w:tc>
        <w:tc>
          <w:tcPr>
            <w:tcW w:w="1844" w:type="dxa"/>
            <w:tcBorders>
              <w:top w:val="single" w:sz="6" w:space="0" w:color="auto"/>
              <w:left w:val="single" w:sz="6" w:space="0" w:color="auto"/>
              <w:bottom w:val="single" w:sz="6" w:space="0" w:color="auto"/>
              <w:right w:val="single" w:sz="6" w:space="0" w:color="auto"/>
            </w:tcBorders>
          </w:tcPr>
          <w:p w14:paraId="5B893054" w14:textId="77777777" w:rsidR="00A10B25" w:rsidRDefault="00A10B25">
            <w:pPr>
              <w:pStyle w:val="TAL"/>
              <w:rPr>
                <w:rFonts w:cs="Arial"/>
                <w:szCs w:val="18"/>
              </w:rPr>
            </w:pPr>
          </w:p>
        </w:tc>
      </w:tr>
      <w:tr w:rsidR="00A10B25" w14:paraId="59F462D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121B49A" w14:textId="77777777" w:rsidR="00A10B25" w:rsidRDefault="00A10B25">
            <w:pPr>
              <w:pStyle w:val="TAL"/>
              <w:rPr>
                <w:lang w:eastAsia="zh-CN"/>
              </w:rPr>
            </w:pPr>
            <w:r>
              <w:rPr>
                <w:lang w:eastAsia="zh-CN"/>
              </w:rPr>
              <w:t>avgPktDropRateDl</w:t>
            </w:r>
          </w:p>
        </w:tc>
        <w:tc>
          <w:tcPr>
            <w:tcW w:w="1560" w:type="dxa"/>
            <w:tcBorders>
              <w:top w:val="single" w:sz="6" w:space="0" w:color="auto"/>
              <w:left w:val="single" w:sz="6" w:space="0" w:color="auto"/>
              <w:bottom w:val="single" w:sz="6" w:space="0" w:color="auto"/>
              <w:right w:val="single" w:sz="6" w:space="0" w:color="auto"/>
            </w:tcBorders>
          </w:tcPr>
          <w:p w14:paraId="751A4D36" w14:textId="77777777" w:rsidR="00A10B25" w:rsidRDefault="00A10B25">
            <w:pPr>
              <w:pStyle w:val="TAL"/>
              <w:rPr>
                <w:lang w:eastAsia="zh-CN"/>
              </w:rPr>
            </w:pPr>
            <w:r>
              <w:t>PacketLossRate</w:t>
            </w:r>
          </w:p>
        </w:tc>
        <w:tc>
          <w:tcPr>
            <w:tcW w:w="425" w:type="dxa"/>
            <w:tcBorders>
              <w:top w:val="single" w:sz="6" w:space="0" w:color="auto"/>
              <w:left w:val="single" w:sz="6" w:space="0" w:color="auto"/>
              <w:bottom w:val="single" w:sz="6" w:space="0" w:color="auto"/>
              <w:right w:val="single" w:sz="6" w:space="0" w:color="auto"/>
            </w:tcBorders>
          </w:tcPr>
          <w:p w14:paraId="0D11059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10FED6F"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B14A007" w14:textId="77777777" w:rsidR="00A10B25" w:rsidRDefault="00A10B25">
            <w:pPr>
              <w:pStyle w:val="TAL"/>
            </w:pPr>
            <w:r>
              <w:t>Average downlink packet drop rate on GTP-U path on N3.</w:t>
            </w:r>
          </w:p>
          <w:p w14:paraId="214C0B2E"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AVG_DL_PKT_DROP_RATE.</w:t>
            </w:r>
          </w:p>
        </w:tc>
        <w:tc>
          <w:tcPr>
            <w:tcW w:w="1844" w:type="dxa"/>
            <w:tcBorders>
              <w:top w:val="single" w:sz="6" w:space="0" w:color="auto"/>
              <w:left w:val="single" w:sz="6" w:space="0" w:color="auto"/>
              <w:bottom w:val="single" w:sz="6" w:space="0" w:color="auto"/>
              <w:right w:val="single" w:sz="6" w:space="0" w:color="auto"/>
            </w:tcBorders>
          </w:tcPr>
          <w:p w14:paraId="7D55A6FE" w14:textId="77777777" w:rsidR="00A10B25" w:rsidRDefault="00A10B25">
            <w:pPr>
              <w:pStyle w:val="TAL"/>
              <w:rPr>
                <w:rFonts w:cs="Arial"/>
                <w:szCs w:val="18"/>
              </w:rPr>
            </w:pPr>
          </w:p>
        </w:tc>
      </w:tr>
      <w:tr w:rsidR="00A10B25" w14:paraId="1EF6DC6D"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F7FF892" w14:textId="77777777" w:rsidR="00A10B25" w:rsidRDefault="00A10B25">
            <w:pPr>
              <w:pStyle w:val="TAL"/>
              <w:rPr>
                <w:lang w:eastAsia="zh-CN"/>
              </w:rPr>
            </w:pPr>
            <w:r>
              <w:rPr>
                <w:lang w:eastAsia="zh-CN"/>
              </w:rPr>
              <w:t>varPktDropRateDl</w:t>
            </w:r>
          </w:p>
        </w:tc>
        <w:tc>
          <w:tcPr>
            <w:tcW w:w="1560" w:type="dxa"/>
            <w:tcBorders>
              <w:top w:val="single" w:sz="6" w:space="0" w:color="auto"/>
              <w:left w:val="single" w:sz="6" w:space="0" w:color="auto"/>
              <w:bottom w:val="single" w:sz="6" w:space="0" w:color="auto"/>
              <w:right w:val="single" w:sz="6" w:space="0" w:color="auto"/>
            </w:tcBorders>
          </w:tcPr>
          <w:p w14:paraId="3B6FAA31"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45E0F9A2"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2D5A1E7"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8B103E5" w14:textId="77777777" w:rsidR="00A10B25" w:rsidRDefault="00A10B25">
            <w:pPr>
              <w:pStyle w:val="TAL"/>
            </w:pPr>
            <w:r>
              <w:t>Variance of downlink packet drop rate on GTP-U path on N3.</w:t>
            </w:r>
          </w:p>
          <w:p w14:paraId="79EF2E05"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VAR_DL_PKT_DROP_RATE.</w:t>
            </w:r>
          </w:p>
        </w:tc>
        <w:tc>
          <w:tcPr>
            <w:tcW w:w="1844" w:type="dxa"/>
            <w:tcBorders>
              <w:top w:val="single" w:sz="6" w:space="0" w:color="auto"/>
              <w:left w:val="single" w:sz="6" w:space="0" w:color="auto"/>
              <w:bottom w:val="single" w:sz="6" w:space="0" w:color="auto"/>
              <w:right w:val="single" w:sz="6" w:space="0" w:color="auto"/>
            </w:tcBorders>
          </w:tcPr>
          <w:p w14:paraId="67C5811B" w14:textId="77777777" w:rsidR="00A10B25" w:rsidRDefault="00A10B25">
            <w:pPr>
              <w:pStyle w:val="TAL"/>
              <w:rPr>
                <w:rFonts w:cs="Arial"/>
                <w:szCs w:val="18"/>
              </w:rPr>
            </w:pPr>
          </w:p>
        </w:tc>
      </w:tr>
      <w:tr w:rsidR="00A10B25" w14:paraId="6D0923B3"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F72FF7C" w14:textId="77777777" w:rsidR="00A10B25" w:rsidRDefault="00A10B25">
            <w:pPr>
              <w:pStyle w:val="TAL"/>
              <w:rPr>
                <w:lang w:eastAsia="zh-CN"/>
              </w:rPr>
            </w:pPr>
            <w:r>
              <w:rPr>
                <w:lang w:eastAsia="zh-CN"/>
              </w:rPr>
              <w:t>avgPktDelayUl</w:t>
            </w:r>
          </w:p>
        </w:tc>
        <w:tc>
          <w:tcPr>
            <w:tcW w:w="1560" w:type="dxa"/>
            <w:tcBorders>
              <w:top w:val="single" w:sz="6" w:space="0" w:color="auto"/>
              <w:left w:val="single" w:sz="6" w:space="0" w:color="auto"/>
              <w:bottom w:val="single" w:sz="6" w:space="0" w:color="auto"/>
              <w:right w:val="single" w:sz="6" w:space="0" w:color="auto"/>
            </w:tcBorders>
          </w:tcPr>
          <w:p w14:paraId="79C03998" w14:textId="77777777" w:rsidR="00A10B25" w:rsidRDefault="00A10B25">
            <w:pPr>
              <w:pStyle w:val="TAL"/>
              <w:rPr>
                <w:lang w:eastAsia="zh-CN"/>
              </w:rPr>
            </w:pPr>
            <w:r>
              <w:t>PacketDelBudget</w:t>
            </w:r>
          </w:p>
        </w:tc>
        <w:tc>
          <w:tcPr>
            <w:tcW w:w="425" w:type="dxa"/>
            <w:tcBorders>
              <w:top w:val="single" w:sz="6" w:space="0" w:color="auto"/>
              <w:left w:val="single" w:sz="6" w:space="0" w:color="auto"/>
              <w:bottom w:val="single" w:sz="6" w:space="0" w:color="auto"/>
              <w:right w:val="single" w:sz="6" w:space="0" w:color="auto"/>
            </w:tcBorders>
          </w:tcPr>
          <w:p w14:paraId="5E6E7EAB"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FFE491A"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69474242" w14:textId="77777777" w:rsidR="00A10B25" w:rsidRDefault="00A10B25">
            <w:pPr>
              <w:pStyle w:val="TAL"/>
            </w:pPr>
            <w:r>
              <w:t>Average uplink packet delay round trip on GTP-U path on N3.</w:t>
            </w:r>
          </w:p>
          <w:p w14:paraId="6DC5D9AE"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 AVG_UL_PKT_DELAY.</w:t>
            </w:r>
          </w:p>
        </w:tc>
        <w:tc>
          <w:tcPr>
            <w:tcW w:w="1844" w:type="dxa"/>
            <w:tcBorders>
              <w:top w:val="single" w:sz="6" w:space="0" w:color="auto"/>
              <w:left w:val="single" w:sz="6" w:space="0" w:color="auto"/>
              <w:bottom w:val="single" w:sz="6" w:space="0" w:color="auto"/>
              <w:right w:val="single" w:sz="6" w:space="0" w:color="auto"/>
            </w:tcBorders>
          </w:tcPr>
          <w:p w14:paraId="5A3CE424" w14:textId="77777777" w:rsidR="00A10B25" w:rsidRDefault="00A10B25">
            <w:pPr>
              <w:pStyle w:val="TAL"/>
              <w:rPr>
                <w:rFonts w:cs="Arial"/>
                <w:szCs w:val="18"/>
              </w:rPr>
            </w:pPr>
          </w:p>
        </w:tc>
      </w:tr>
      <w:tr w:rsidR="00A10B25" w14:paraId="78DB853D"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2AB7614" w14:textId="77777777" w:rsidR="00A10B25" w:rsidRDefault="00A10B25">
            <w:pPr>
              <w:pStyle w:val="TAL"/>
              <w:rPr>
                <w:lang w:eastAsia="zh-CN"/>
              </w:rPr>
            </w:pPr>
            <w:r>
              <w:rPr>
                <w:lang w:eastAsia="zh-CN"/>
              </w:rPr>
              <w:t>varPktDelayUl</w:t>
            </w:r>
          </w:p>
        </w:tc>
        <w:tc>
          <w:tcPr>
            <w:tcW w:w="1560" w:type="dxa"/>
            <w:tcBorders>
              <w:top w:val="single" w:sz="6" w:space="0" w:color="auto"/>
              <w:left w:val="single" w:sz="6" w:space="0" w:color="auto"/>
              <w:bottom w:val="single" w:sz="6" w:space="0" w:color="auto"/>
              <w:right w:val="single" w:sz="6" w:space="0" w:color="auto"/>
            </w:tcBorders>
          </w:tcPr>
          <w:p w14:paraId="56DD8E0B"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0C9F1F5B"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F8293FD"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F743803" w14:textId="77777777" w:rsidR="00A10B25" w:rsidRDefault="00A10B25">
            <w:pPr>
              <w:pStyle w:val="TAL"/>
            </w:pPr>
            <w:r>
              <w:t>Variance uplink packet delay round trip on GTP-U path on N3.</w:t>
            </w:r>
          </w:p>
          <w:p w14:paraId="0895A289"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VAR_UL_PKT_DELAY.</w:t>
            </w:r>
          </w:p>
        </w:tc>
        <w:tc>
          <w:tcPr>
            <w:tcW w:w="1844" w:type="dxa"/>
            <w:tcBorders>
              <w:top w:val="single" w:sz="6" w:space="0" w:color="auto"/>
              <w:left w:val="single" w:sz="6" w:space="0" w:color="auto"/>
              <w:bottom w:val="single" w:sz="6" w:space="0" w:color="auto"/>
              <w:right w:val="single" w:sz="6" w:space="0" w:color="auto"/>
            </w:tcBorders>
          </w:tcPr>
          <w:p w14:paraId="6F891445" w14:textId="77777777" w:rsidR="00A10B25" w:rsidRDefault="00A10B25">
            <w:pPr>
              <w:pStyle w:val="TAL"/>
              <w:rPr>
                <w:rFonts w:cs="Arial"/>
                <w:szCs w:val="18"/>
              </w:rPr>
            </w:pPr>
          </w:p>
        </w:tc>
      </w:tr>
      <w:tr w:rsidR="00A10B25" w14:paraId="392ADAFD"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8935DD6" w14:textId="77777777" w:rsidR="00A10B25" w:rsidRDefault="00A10B25">
            <w:pPr>
              <w:pStyle w:val="TAL"/>
              <w:rPr>
                <w:lang w:eastAsia="zh-CN"/>
              </w:rPr>
            </w:pPr>
            <w:r>
              <w:rPr>
                <w:lang w:eastAsia="zh-CN"/>
              </w:rPr>
              <w:t>avgPktDelayDl</w:t>
            </w:r>
          </w:p>
        </w:tc>
        <w:tc>
          <w:tcPr>
            <w:tcW w:w="1560" w:type="dxa"/>
            <w:tcBorders>
              <w:top w:val="single" w:sz="6" w:space="0" w:color="auto"/>
              <w:left w:val="single" w:sz="6" w:space="0" w:color="auto"/>
              <w:bottom w:val="single" w:sz="6" w:space="0" w:color="auto"/>
              <w:right w:val="single" w:sz="6" w:space="0" w:color="auto"/>
            </w:tcBorders>
          </w:tcPr>
          <w:p w14:paraId="6883AB23" w14:textId="77777777" w:rsidR="00A10B25" w:rsidRDefault="00A10B25">
            <w:pPr>
              <w:pStyle w:val="TAL"/>
              <w:rPr>
                <w:lang w:eastAsia="zh-CN"/>
              </w:rPr>
            </w:pPr>
            <w:r>
              <w:t>PacketDelBudget</w:t>
            </w:r>
          </w:p>
        </w:tc>
        <w:tc>
          <w:tcPr>
            <w:tcW w:w="425" w:type="dxa"/>
            <w:tcBorders>
              <w:top w:val="single" w:sz="6" w:space="0" w:color="auto"/>
              <w:left w:val="single" w:sz="6" w:space="0" w:color="auto"/>
              <w:bottom w:val="single" w:sz="6" w:space="0" w:color="auto"/>
              <w:right w:val="single" w:sz="6" w:space="0" w:color="auto"/>
            </w:tcBorders>
          </w:tcPr>
          <w:p w14:paraId="1E495A19"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F1238A3"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7913B0F5" w14:textId="77777777" w:rsidR="00A10B25" w:rsidRDefault="00A10B25">
            <w:pPr>
              <w:pStyle w:val="TAL"/>
            </w:pPr>
            <w:r>
              <w:t>Average downlink packet delay round trip on GTP-U path on N3.</w:t>
            </w:r>
          </w:p>
          <w:p w14:paraId="0378AF01"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AVG_DL_PKT_DELAY.</w:t>
            </w:r>
          </w:p>
        </w:tc>
        <w:tc>
          <w:tcPr>
            <w:tcW w:w="1844" w:type="dxa"/>
            <w:tcBorders>
              <w:top w:val="single" w:sz="6" w:space="0" w:color="auto"/>
              <w:left w:val="single" w:sz="6" w:space="0" w:color="auto"/>
              <w:bottom w:val="single" w:sz="6" w:space="0" w:color="auto"/>
              <w:right w:val="single" w:sz="6" w:space="0" w:color="auto"/>
            </w:tcBorders>
          </w:tcPr>
          <w:p w14:paraId="47DE608D" w14:textId="77777777" w:rsidR="00A10B25" w:rsidRDefault="00A10B25">
            <w:pPr>
              <w:pStyle w:val="TAL"/>
              <w:rPr>
                <w:rFonts w:cs="Arial"/>
                <w:szCs w:val="18"/>
              </w:rPr>
            </w:pPr>
          </w:p>
        </w:tc>
      </w:tr>
      <w:tr w:rsidR="00A10B25" w14:paraId="79506D7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C1FE69D" w14:textId="77777777" w:rsidR="00A10B25" w:rsidRDefault="00A10B25">
            <w:pPr>
              <w:pStyle w:val="TAL"/>
              <w:rPr>
                <w:lang w:eastAsia="zh-CN"/>
              </w:rPr>
            </w:pPr>
            <w:r>
              <w:rPr>
                <w:lang w:eastAsia="zh-CN"/>
              </w:rPr>
              <w:t>varPktDelayDl</w:t>
            </w:r>
          </w:p>
        </w:tc>
        <w:tc>
          <w:tcPr>
            <w:tcW w:w="1560" w:type="dxa"/>
            <w:tcBorders>
              <w:top w:val="single" w:sz="6" w:space="0" w:color="auto"/>
              <w:left w:val="single" w:sz="6" w:space="0" w:color="auto"/>
              <w:bottom w:val="single" w:sz="6" w:space="0" w:color="auto"/>
              <w:right w:val="single" w:sz="6" w:space="0" w:color="auto"/>
            </w:tcBorders>
          </w:tcPr>
          <w:p w14:paraId="2EDEF28C"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3A0BB2B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D3BF6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6F623FE8" w14:textId="77777777" w:rsidR="00A10B25" w:rsidRDefault="00A10B25">
            <w:pPr>
              <w:pStyle w:val="TAL"/>
            </w:pPr>
            <w:r>
              <w:t>Variance downlink packet delay round trip on GTP-U path on N3.</w:t>
            </w:r>
          </w:p>
          <w:p w14:paraId="273AACBB" w14:textId="77777777" w:rsidR="00A10B25" w:rsidRDefault="00A10B25">
            <w:pPr>
              <w:pStyle w:val="TAL"/>
              <w:rPr>
                <w:rFonts w:cs="Arial"/>
                <w:szCs w:val="18"/>
              </w:rPr>
            </w:pPr>
            <w:r>
              <w:rPr>
                <w:rFonts w:cs="Arial"/>
                <w:szCs w:val="18"/>
              </w:rPr>
              <w:t>Shall be present</w:t>
            </w:r>
            <w:r>
              <w:rPr>
                <w:lang w:eastAsia="zh-CN"/>
              </w:rPr>
              <w:t xml:space="preserve"> if one of the element in the "listOfAnaSubsets" attribute was set to</w:t>
            </w:r>
            <w:r>
              <w:t xml:space="preserve"> </w:t>
            </w:r>
            <w:r>
              <w:rPr>
                <w:lang w:eastAsia="zh-CN"/>
              </w:rPr>
              <w:t>VAR_DL_PKT_DELAY.</w:t>
            </w:r>
          </w:p>
        </w:tc>
        <w:tc>
          <w:tcPr>
            <w:tcW w:w="1844" w:type="dxa"/>
            <w:tcBorders>
              <w:top w:val="single" w:sz="6" w:space="0" w:color="auto"/>
              <w:left w:val="single" w:sz="6" w:space="0" w:color="auto"/>
              <w:bottom w:val="single" w:sz="6" w:space="0" w:color="auto"/>
              <w:right w:val="single" w:sz="6" w:space="0" w:color="auto"/>
            </w:tcBorders>
          </w:tcPr>
          <w:p w14:paraId="110148BE" w14:textId="77777777" w:rsidR="00A10B25" w:rsidRDefault="00A10B25">
            <w:pPr>
              <w:pStyle w:val="TAL"/>
              <w:rPr>
                <w:rFonts w:cs="Arial"/>
                <w:szCs w:val="18"/>
              </w:rPr>
            </w:pPr>
          </w:p>
        </w:tc>
      </w:tr>
      <w:tr w:rsidR="00A10B25" w14:paraId="4364CE3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1D83B91C" w14:textId="77777777" w:rsidR="00A10B25" w:rsidRDefault="00A10B25">
            <w:pPr>
              <w:pStyle w:val="TAL"/>
              <w:rPr>
                <w:lang w:eastAsia="zh-CN"/>
              </w:rPr>
            </w:pPr>
            <w:r>
              <w:rPr>
                <w:lang w:eastAsia="zh-CN"/>
              </w:rPr>
              <w:t>avgE2ePktDelayUl</w:t>
            </w:r>
          </w:p>
        </w:tc>
        <w:tc>
          <w:tcPr>
            <w:tcW w:w="1560" w:type="dxa"/>
            <w:tcBorders>
              <w:top w:val="single" w:sz="6" w:space="0" w:color="auto"/>
              <w:left w:val="single" w:sz="6" w:space="0" w:color="auto"/>
              <w:bottom w:val="single" w:sz="6" w:space="0" w:color="auto"/>
              <w:right w:val="single" w:sz="6" w:space="0" w:color="auto"/>
            </w:tcBorders>
          </w:tcPr>
          <w:p w14:paraId="6161230A" w14:textId="77777777" w:rsidR="00A10B25" w:rsidRDefault="00A10B25">
            <w:pPr>
              <w:pStyle w:val="TAL"/>
              <w:rPr>
                <w:lang w:eastAsia="zh-CN"/>
              </w:rPr>
            </w:pPr>
            <w:r>
              <w:rPr>
                <w:lang w:eastAsia="zh-CN"/>
              </w:rPr>
              <w:t>PacketDelBudget</w:t>
            </w:r>
          </w:p>
        </w:tc>
        <w:tc>
          <w:tcPr>
            <w:tcW w:w="425" w:type="dxa"/>
            <w:tcBorders>
              <w:top w:val="single" w:sz="6" w:space="0" w:color="auto"/>
              <w:left w:val="single" w:sz="6" w:space="0" w:color="auto"/>
              <w:bottom w:val="single" w:sz="6" w:space="0" w:color="auto"/>
              <w:right w:val="single" w:sz="6" w:space="0" w:color="auto"/>
            </w:tcBorders>
          </w:tcPr>
          <w:p w14:paraId="668A157D"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A675AF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A19878D" w14:textId="77777777" w:rsidR="00A10B25" w:rsidRDefault="00A10B25">
            <w:pPr>
              <w:pStyle w:val="TAL"/>
            </w:pPr>
            <w:r>
              <w:t>Indicates average End-to-End (between UE and UPF) uplink packet delay. Shall be present if one of the element in the "listOfAnaSubsets" attribute was set to AVG_E2E_UL_PKT_DELAY.</w:t>
            </w:r>
          </w:p>
        </w:tc>
        <w:tc>
          <w:tcPr>
            <w:tcW w:w="1844" w:type="dxa"/>
            <w:tcBorders>
              <w:top w:val="single" w:sz="6" w:space="0" w:color="auto"/>
              <w:left w:val="single" w:sz="6" w:space="0" w:color="auto"/>
              <w:bottom w:val="single" w:sz="6" w:space="0" w:color="auto"/>
              <w:right w:val="single" w:sz="6" w:space="0" w:color="auto"/>
            </w:tcBorders>
          </w:tcPr>
          <w:p w14:paraId="5072138C" w14:textId="77777777" w:rsidR="00A10B25" w:rsidRDefault="00A10B25">
            <w:pPr>
              <w:pStyle w:val="TAL"/>
              <w:rPr>
                <w:rFonts w:cs="Arial"/>
                <w:szCs w:val="18"/>
              </w:rPr>
            </w:pPr>
            <w:r>
              <w:rPr>
                <w:rFonts w:cs="Arial"/>
                <w:szCs w:val="18"/>
              </w:rPr>
              <w:t>RedundantTransExpExt_eNA</w:t>
            </w:r>
          </w:p>
        </w:tc>
      </w:tr>
      <w:tr w:rsidR="00A10B25" w14:paraId="67BFA818"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D4793C2" w14:textId="77777777" w:rsidR="00A10B25" w:rsidRDefault="00A10B25">
            <w:pPr>
              <w:pStyle w:val="TAL"/>
              <w:rPr>
                <w:lang w:eastAsia="zh-CN"/>
              </w:rPr>
            </w:pPr>
            <w:r>
              <w:rPr>
                <w:lang w:eastAsia="zh-CN"/>
              </w:rPr>
              <w:t>varE2ePktDelayUl</w:t>
            </w:r>
          </w:p>
        </w:tc>
        <w:tc>
          <w:tcPr>
            <w:tcW w:w="1560" w:type="dxa"/>
            <w:tcBorders>
              <w:top w:val="single" w:sz="6" w:space="0" w:color="auto"/>
              <w:left w:val="single" w:sz="6" w:space="0" w:color="auto"/>
              <w:bottom w:val="single" w:sz="6" w:space="0" w:color="auto"/>
              <w:right w:val="single" w:sz="6" w:space="0" w:color="auto"/>
            </w:tcBorders>
          </w:tcPr>
          <w:p w14:paraId="0DFC3E6A"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20F3202F"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A265CFA"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1CC9BB9D" w14:textId="77777777" w:rsidR="00A10B25" w:rsidRDefault="00A10B25">
            <w:pPr>
              <w:pStyle w:val="TAL"/>
            </w:pPr>
            <w:r>
              <w:t>Indicates the variance of End-to-End (between UE and UPF) uplink packet delay. Shall be present if one of the element in the "listOfAnaSubsets" attribute was set to VAR_E2E_UL_PKT_DELAY.</w:t>
            </w:r>
          </w:p>
        </w:tc>
        <w:tc>
          <w:tcPr>
            <w:tcW w:w="1844" w:type="dxa"/>
            <w:tcBorders>
              <w:top w:val="single" w:sz="6" w:space="0" w:color="auto"/>
              <w:left w:val="single" w:sz="6" w:space="0" w:color="auto"/>
              <w:bottom w:val="single" w:sz="6" w:space="0" w:color="auto"/>
              <w:right w:val="single" w:sz="6" w:space="0" w:color="auto"/>
            </w:tcBorders>
          </w:tcPr>
          <w:p w14:paraId="022F32E2" w14:textId="77777777" w:rsidR="00A10B25" w:rsidRDefault="00A10B25">
            <w:pPr>
              <w:pStyle w:val="TAL"/>
              <w:rPr>
                <w:rFonts w:cs="Arial"/>
                <w:szCs w:val="18"/>
              </w:rPr>
            </w:pPr>
            <w:r>
              <w:rPr>
                <w:rFonts w:cs="Arial"/>
                <w:szCs w:val="18"/>
              </w:rPr>
              <w:t>RedundantTransExpExt_eNA</w:t>
            </w:r>
          </w:p>
        </w:tc>
      </w:tr>
      <w:tr w:rsidR="00A10B25" w14:paraId="1C43D8D2"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EA09011" w14:textId="77777777" w:rsidR="00A10B25" w:rsidRDefault="00A10B25">
            <w:pPr>
              <w:pStyle w:val="TAL"/>
              <w:rPr>
                <w:lang w:eastAsia="zh-CN"/>
              </w:rPr>
            </w:pPr>
            <w:r>
              <w:rPr>
                <w:lang w:eastAsia="zh-CN"/>
              </w:rPr>
              <w:lastRenderedPageBreak/>
              <w:t>avgE2ePktDelayDl</w:t>
            </w:r>
          </w:p>
        </w:tc>
        <w:tc>
          <w:tcPr>
            <w:tcW w:w="1560" w:type="dxa"/>
            <w:tcBorders>
              <w:top w:val="single" w:sz="6" w:space="0" w:color="auto"/>
              <w:left w:val="single" w:sz="6" w:space="0" w:color="auto"/>
              <w:bottom w:val="single" w:sz="6" w:space="0" w:color="auto"/>
              <w:right w:val="single" w:sz="6" w:space="0" w:color="auto"/>
            </w:tcBorders>
          </w:tcPr>
          <w:p w14:paraId="30C3A382" w14:textId="77777777" w:rsidR="00A10B25" w:rsidRDefault="00A10B25">
            <w:pPr>
              <w:pStyle w:val="TAL"/>
              <w:rPr>
                <w:lang w:eastAsia="zh-CN"/>
              </w:rPr>
            </w:pPr>
            <w:r>
              <w:rPr>
                <w:lang w:eastAsia="zh-CN"/>
              </w:rPr>
              <w:t>PacketDelBudget</w:t>
            </w:r>
          </w:p>
        </w:tc>
        <w:tc>
          <w:tcPr>
            <w:tcW w:w="425" w:type="dxa"/>
            <w:tcBorders>
              <w:top w:val="single" w:sz="6" w:space="0" w:color="auto"/>
              <w:left w:val="single" w:sz="6" w:space="0" w:color="auto"/>
              <w:bottom w:val="single" w:sz="6" w:space="0" w:color="auto"/>
              <w:right w:val="single" w:sz="6" w:space="0" w:color="auto"/>
            </w:tcBorders>
          </w:tcPr>
          <w:p w14:paraId="5C648911"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17EB3F06"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6DD8799" w14:textId="77777777" w:rsidR="00A10B25" w:rsidRDefault="00A10B25">
            <w:pPr>
              <w:pStyle w:val="TAL"/>
            </w:pPr>
            <w:r>
              <w:t>Indicates average End-to-End (between UE and UPF) downlink packet delay. Shall be present if one of the element in the "listOfAnaSubsets" attribute was set to AVG_E2E_DL_PKT_DELAY.</w:t>
            </w:r>
          </w:p>
        </w:tc>
        <w:tc>
          <w:tcPr>
            <w:tcW w:w="1844" w:type="dxa"/>
            <w:tcBorders>
              <w:top w:val="single" w:sz="6" w:space="0" w:color="auto"/>
              <w:left w:val="single" w:sz="6" w:space="0" w:color="auto"/>
              <w:bottom w:val="single" w:sz="6" w:space="0" w:color="auto"/>
              <w:right w:val="single" w:sz="6" w:space="0" w:color="auto"/>
            </w:tcBorders>
          </w:tcPr>
          <w:p w14:paraId="6BA7B7D2" w14:textId="77777777" w:rsidR="00A10B25" w:rsidRDefault="00A10B25">
            <w:pPr>
              <w:pStyle w:val="TAL"/>
              <w:rPr>
                <w:rFonts w:cs="Arial"/>
                <w:szCs w:val="18"/>
              </w:rPr>
            </w:pPr>
            <w:r>
              <w:rPr>
                <w:rFonts w:cs="Arial"/>
                <w:szCs w:val="18"/>
              </w:rPr>
              <w:t>RedundantTransExpExt_eNA</w:t>
            </w:r>
          </w:p>
        </w:tc>
      </w:tr>
      <w:tr w:rsidR="00A10B25" w14:paraId="3A7D4F36"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1E1A88F" w14:textId="77777777" w:rsidR="00A10B25" w:rsidRDefault="00A10B25">
            <w:pPr>
              <w:pStyle w:val="TAL"/>
              <w:rPr>
                <w:lang w:eastAsia="zh-CN"/>
              </w:rPr>
            </w:pPr>
            <w:r>
              <w:rPr>
                <w:lang w:eastAsia="zh-CN"/>
              </w:rPr>
              <w:t>varE2ePktDelayDl</w:t>
            </w:r>
          </w:p>
        </w:tc>
        <w:tc>
          <w:tcPr>
            <w:tcW w:w="1560" w:type="dxa"/>
            <w:tcBorders>
              <w:top w:val="single" w:sz="6" w:space="0" w:color="auto"/>
              <w:left w:val="single" w:sz="6" w:space="0" w:color="auto"/>
              <w:bottom w:val="single" w:sz="6" w:space="0" w:color="auto"/>
              <w:right w:val="single" w:sz="6" w:space="0" w:color="auto"/>
            </w:tcBorders>
          </w:tcPr>
          <w:p w14:paraId="790C5F98"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6ABC4EEA"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52C5B38"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21B468FC" w14:textId="77777777" w:rsidR="00A10B25" w:rsidRDefault="00A10B25">
            <w:pPr>
              <w:pStyle w:val="TAL"/>
            </w:pPr>
            <w:r>
              <w:t>Indicates the variance of End-to-End (between UE and UPF) downlink packet delay. Shall be present if one of the element in the "listOfAnaSubsets" attribute was set to VAR_E2E_DL_PKT_DELAY.</w:t>
            </w:r>
          </w:p>
        </w:tc>
        <w:tc>
          <w:tcPr>
            <w:tcW w:w="1844" w:type="dxa"/>
            <w:tcBorders>
              <w:top w:val="single" w:sz="6" w:space="0" w:color="auto"/>
              <w:left w:val="single" w:sz="6" w:space="0" w:color="auto"/>
              <w:bottom w:val="single" w:sz="6" w:space="0" w:color="auto"/>
              <w:right w:val="single" w:sz="6" w:space="0" w:color="auto"/>
            </w:tcBorders>
          </w:tcPr>
          <w:p w14:paraId="212C45C5" w14:textId="77777777" w:rsidR="00A10B25" w:rsidRDefault="00A10B25">
            <w:pPr>
              <w:pStyle w:val="TAL"/>
              <w:rPr>
                <w:rFonts w:cs="Arial"/>
                <w:szCs w:val="18"/>
              </w:rPr>
            </w:pPr>
            <w:r>
              <w:rPr>
                <w:rFonts w:cs="Arial"/>
                <w:szCs w:val="18"/>
              </w:rPr>
              <w:t>RedundantTransExpExt_eNA</w:t>
            </w:r>
          </w:p>
        </w:tc>
      </w:tr>
      <w:tr w:rsidR="00A10B25" w14:paraId="64583FF1"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7454B0BE" w14:textId="77777777" w:rsidR="00A10B25" w:rsidRDefault="00A10B25">
            <w:pPr>
              <w:pStyle w:val="TAL"/>
              <w:rPr>
                <w:lang w:eastAsia="zh-CN"/>
              </w:rPr>
            </w:pPr>
            <w:r>
              <w:rPr>
                <w:lang w:eastAsia="zh-CN"/>
              </w:rPr>
              <w:t>avgE2ePktLossRateUl</w:t>
            </w:r>
          </w:p>
        </w:tc>
        <w:tc>
          <w:tcPr>
            <w:tcW w:w="1560" w:type="dxa"/>
            <w:tcBorders>
              <w:top w:val="single" w:sz="6" w:space="0" w:color="auto"/>
              <w:left w:val="single" w:sz="6" w:space="0" w:color="auto"/>
              <w:bottom w:val="single" w:sz="6" w:space="0" w:color="auto"/>
              <w:right w:val="single" w:sz="6" w:space="0" w:color="auto"/>
            </w:tcBorders>
          </w:tcPr>
          <w:p w14:paraId="700D58F7" w14:textId="77777777" w:rsidR="00A10B25" w:rsidRDefault="00A10B25">
            <w:pPr>
              <w:pStyle w:val="TAL"/>
              <w:rPr>
                <w:lang w:eastAsia="zh-CN"/>
              </w:rPr>
            </w:pPr>
            <w:r>
              <w:rPr>
                <w:lang w:eastAsia="zh-CN"/>
              </w:rPr>
              <w:t>PacketLossRate</w:t>
            </w:r>
          </w:p>
        </w:tc>
        <w:tc>
          <w:tcPr>
            <w:tcW w:w="425" w:type="dxa"/>
            <w:tcBorders>
              <w:top w:val="single" w:sz="6" w:space="0" w:color="auto"/>
              <w:left w:val="single" w:sz="6" w:space="0" w:color="auto"/>
              <w:bottom w:val="single" w:sz="6" w:space="0" w:color="auto"/>
              <w:right w:val="single" w:sz="6" w:space="0" w:color="auto"/>
            </w:tcBorders>
          </w:tcPr>
          <w:p w14:paraId="4B1AE3F5"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1A7FAF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04535163" w14:textId="77777777" w:rsidR="00A10B25" w:rsidRDefault="00A10B25">
            <w:pPr>
              <w:pStyle w:val="TAL"/>
            </w:pPr>
            <w:r>
              <w:t>Indicates average End-to-End (between UE and UPF) uplink packet loss rate. Shall be present if one of the element in the "listOfAnaSubsets" attribute was set to AVG_E2E_UL_PKT_LOSS_RATE.</w:t>
            </w:r>
          </w:p>
        </w:tc>
        <w:tc>
          <w:tcPr>
            <w:tcW w:w="1844" w:type="dxa"/>
            <w:tcBorders>
              <w:top w:val="single" w:sz="6" w:space="0" w:color="auto"/>
              <w:left w:val="single" w:sz="6" w:space="0" w:color="auto"/>
              <w:bottom w:val="single" w:sz="6" w:space="0" w:color="auto"/>
              <w:right w:val="single" w:sz="6" w:space="0" w:color="auto"/>
            </w:tcBorders>
          </w:tcPr>
          <w:p w14:paraId="0B660847" w14:textId="77777777" w:rsidR="00A10B25" w:rsidRDefault="00A10B25">
            <w:pPr>
              <w:pStyle w:val="TAL"/>
              <w:rPr>
                <w:rFonts w:cs="Arial"/>
                <w:szCs w:val="18"/>
              </w:rPr>
            </w:pPr>
            <w:r>
              <w:rPr>
                <w:rFonts w:cs="Arial"/>
                <w:szCs w:val="18"/>
              </w:rPr>
              <w:t>RedundantTransExpExt_eNA</w:t>
            </w:r>
          </w:p>
        </w:tc>
      </w:tr>
      <w:tr w:rsidR="00A10B25" w14:paraId="23C0BD60"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899EA93" w14:textId="77777777" w:rsidR="00A10B25" w:rsidRDefault="00A10B25">
            <w:pPr>
              <w:pStyle w:val="TAL"/>
              <w:rPr>
                <w:lang w:eastAsia="zh-CN"/>
              </w:rPr>
            </w:pPr>
            <w:r>
              <w:rPr>
                <w:lang w:eastAsia="zh-CN"/>
              </w:rPr>
              <w:t>varE2ePktLossRateUl</w:t>
            </w:r>
          </w:p>
        </w:tc>
        <w:tc>
          <w:tcPr>
            <w:tcW w:w="1560" w:type="dxa"/>
            <w:tcBorders>
              <w:top w:val="single" w:sz="6" w:space="0" w:color="auto"/>
              <w:left w:val="single" w:sz="6" w:space="0" w:color="auto"/>
              <w:bottom w:val="single" w:sz="6" w:space="0" w:color="auto"/>
              <w:right w:val="single" w:sz="6" w:space="0" w:color="auto"/>
            </w:tcBorders>
          </w:tcPr>
          <w:p w14:paraId="33C8E411"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3CE231C6"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C9C4B5A"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23038E0B" w14:textId="77777777" w:rsidR="00A10B25" w:rsidRDefault="00A10B25">
            <w:pPr>
              <w:pStyle w:val="TAL"/>
            </w:pPr>
            <w:r>
              <w:t>Indicates the variance of End-to-End (between UE and UPF) uplink packet loss rate. Shall be present if one of the element in the "listOfAnaSubsets" attribute was set to VAR_E2E_UL_PKT_LOSS_RATE.</w:t>
            </w:r>
          </w:p>
        </w:tc>
        <w:tc>
          <w:tcPr>
            <w:tcW w:w="1844" w:type="dxa"/>
            <w:tcBorders>
              <w:top w:val="single" w:sz="6" w:space="0" w:color="auto"/>
              <w:left w:val="single" w:sz="6" w:space="0" w:color="auto"/>
              <w:bottom w:val="single" w:sz="6" w:space="0" w:color="auto"/>
              <w:right w:val="single" w:sz="6" w:space="0" w:color="auto"/>
            </w:tcBorders>
          </w:tcPr>
          <w:p w14:paraId="5A6D075F" w14:textId="77777777" w:rsidR="00A10B25" w:rsidRDefault="00A10B25">
            <w:pPr>
              <w:pStyle w:val="TAL"/>
              <w:rPr>
                <w:rFonts w:cs="Arial"/>
                <w:szCs w:val="18"/>
              </w:rPr>
            </w:pPr>
            <w:r>
              <w:rPr>
                <w:rFonts w:cs="Arial"/>
                <w:szCs w:val="18"/>
              </w:rPr>
              <w:t>RedundantTransExpExt_eNA</w:t>
            </w:r>
          </w:p>
        </w:tc>
      </w:tr>
      <w:tr w:rsidR="00A10B25" w14:paraId="7A6ED107"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342DDB00" w14:textId="77777777" w:rsidR="00A10B25" w:rsidRDefault="00A10B25">
            <w:pPr>
              <w:pStyle w:val="TAL"/>
              <w:rPr>
                <w:lang w:eastAsia="zh-CN"/>
              </w:rPr>
            </w:pPr>
            <w:r>
              <w:rPr>
                <w:lang w:eastAsia="zh-CN"/>
              </w:rPr>
              <w:t>avgE2ePktLossRateDl</w:t>
            </w:r>
          </w:p>
        </w:tc>
        <w:tc>
          <w:tcPr>
            <w:tcW w:w="1560" w:type="dxa"/>
            <w:tcBorders>
              <w:top w:val="single" w:sz="6" w:space="0" w:color="auto"/>
              <w:left w:val="single" w:sz="6" w:space="0" w:color="auto"/>
              <w:bottom w:val="single" w:sz="6" w:space="0" w:color="auto"/>
              <w:right w:val="single" w:sz="6" w:space="0" w:color="auto"/>
            </w:tcBorders>
          </w:tcPr>
          <w:p w14:paraId="5E3761A5" w14:textId="77777777" w:rsidR="00A10B25" w:rsidRDefault="00A10B25">
            <w:pPr>
              <w:pStyle w:val="TAL"/>
              <w:rPr>
                <w:lang w:eastAsia="zh-CN"/>
              </w:rPr>
            </w:pPr>
            <w:r>
              <w:rPr>
                <w:lang w:eastAsia="zh-CN"/>
              </w:rPr>
              <w:t>PacketLossRate</w:t>
            </w:r>
          </w:p>
        </w:tc>
        <w:tc>
          <w:tcPr>
            <w:tcW w:w="425" w:type="dxa"/>
            <w:tcBorders>
              <w:top w:val="single" w:sz="6" w:space="0" w:color="auto"/>
              <w:left w:val="single" w:sz="6" w:space="0" w:color="auto"/>
              <w:bottom w:val="single" w:sz="6" w:space="0" w:color="auto"/>
              <w:right w:val="single" w:sz="6" w:space="0" w:color="auto"/>
            </w:tcBorders>
          </w:tcPr>
          <w:p w14:paraId="0DA9DE32"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8BDE32E"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37C12C56" w14:textId="77777777" w:rsidR="00A10B25" w:rsidRDefault="00A10B25">
            <w:pPr>
              <w:pStyle w:val="TAL"/>
            </w:pPr>
            <w:r>
              <w:t>Indicates average End-to-End (between UE and UPF) downlink packet loss rate. Shall be present if one of the element in the "listOfAnaSubsets" attribute was set to AVG_E2E_DL_PKT_LOSS_RATE.</w:t>
            </w:r>
          </w:p>
        </w:tc>
        <w:tc>
          <w:tcPr>
            <w:tcW w:w="1844" w:type="dxa"/>
            <w:tcBorders>
              <w:top w:val="single" w:sz="6" w:space="0" w:color="auto"/>
              <w:left w:val="single" w:sz="6" w:space="0" w:color="auto"/>
              <w:bottom w:val="single" w:sz="6" w:space="0" w:color="auto"/>
              <w:right w:val="single" w:sz="6" w:space="0" w:color="auto"/>
            </w:tcBorders>
          </w:tcPr>
          <w:p w14:paraId="08CEA3CE" w14:textId="77777777" w:rsidR="00A10B25" w:rsidRDefault="00A10B25">
            <w:pPr>
              <w:pStyle w:val="TAL"/>
              <w:rPr>
                <w:rFonts w:cs="Arial"/>
                <w:szCs w:val="18"/>
              </w:rPr>
            </w:pPr>
            <w:r>
              <w:rPr>
                <w:rFonts w:cs="Arial"/>
                <w:szCs w:val="18"/>
              </w:rPr>
              <w:t>RedundantTransExpExt_eNA</w:t>
            </w:r>
          </w:p>
        </w:tc>
      </w:tr>
      <w:tr w:rsidR="00A10B25" w14:paraId="08DB36F5"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0855E66B" w14:textId="77777777" w:rsidR="00A10B25" w:rsidRDefault="00A10B25">
            <w:pPr>
              <w:pStyle w:val="TAL"/>
              <w:rPr>
                <w:lang w:eastAsia="zh-CN"/>
              </w:rPr>
            </w:pPr>
            <w:r>
              <w:rPr>
                <w:lang w:eastAsia="zh-CN"/>
              </w:rPr>
              <w:t>varE2ePktLossRateDl</w:t>
            </w:r>
          </w:p>
        </w:tc>
        <w:tc>
          <w:tcPr>
            <w:tcW w:w="1560" w:type="dxa"/>
            <w:tcBorders>
              <w:top w:val="single" w:sz="6" w:space="0" w:color="auto"/>
              <w:left w:val="single" w:sz="6" w:space="0" w:color="auto"/>
              <w:bottom w:val="single" w:sz="6" w:space="0" w:color="auto"/>
              <w:right w:val="single" w:sz="6" w:space="0" w:color="auto"/>
            </w:tcBorders>
          </w:tcPr>
          <w:p w14:paraId="6275477F" w14:textId="77777777" w:rsidR="00A10B25" w:rsidRDefault="00A10B25">
            <w:pPr>
              <w:pStyle w:val="TAL"/>
              <w:rPr>
                <w:lang w:eastAsia="zh-CN"/>
              </w:rPr>
            </w:pPr>
            <w:r>
              <w:rPr>
                <w:lang w:eastAsia="zh-CN"/>
              </w:rPr>
              <w:t>Float</w:t>
            </w:r>
          </w:p>
        </w:tc>
        <w:tc>
          <w:tcPr>
            <w:tcW w:w="425" w:type="dxa"/>
            <w:tcBorders>
              <w:top w:val="single" w:sz="6" w:space="0" w:color="auto"/>
              <w:left w:val="single" w:sz="6" w:space="0" w:color="auto"/>
              <w:bottom w:val="single" w:sz="6" w:space="0" w:color="auto"/>
              <w:right w:val="single" w:sz="6" w:space="0" w:color="auto"/>
            </w:tcBorders>
          </w:tcPr>
          <w:p w14:paraId="4844CEEB" w14:textId="77777777" w:rsidR="00A10B25" w:rsidRDefault="00A10B2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12C2E9E9"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5A944FA2" w14:textId="77777777" w:rsidR="00A10B25" w:rsidRDefault="00A10B25">
            <w:pPr>
              <w:pStyle w:val="TAL"/>
            </w:pPr>
            <w:r>
              <w:t>Indicates the variance of End-to-End (between UE and UPF) downlink packet loss rate. Shall be present if one of the element in the "listOfAnaSubsets" attribute was set to VAR_E2E_DL_PKT_LOSS_RATE.</w:t>
            </w:r>
          </w:p>
        </w:tc>
        <w:tc>
          <w:tcPr>
            <w:tcW w:w="1844" w:type="dxa"/>
            <w:tcBorders>
              <w:top w:val="single" w:sz="6" w:space="0" w:color="auto"/>
              <w:left w:val="single" w:sz="6" w:space="0" w:color="auto"/>
              <w:bottom w:val="single" w:sz="6" w:space="0" w:color="auto"/>
              <w:right w:val="single" w:sz="6" w:space="0" w:color="auto"/>
            </w:tcBorders>
          </w:tcPr>
          <w:p w14:paraId="06BFD857" w14:textId="77777777" w:rsidR="00A10B25" w:rsidRDefault="00A10B25">
            <w:pPr>
              <w:pStyle w:val="TAL"/>
              <w:rPr>
                <w:rFonts w:cs="Arial"/>
                <w:szCs w:val="18"/>
              </w:rPr>
            </w:pPr>
            <w:r>
              <w:rPr>
                <w:rFonts w:cs="Arial"/>
                <w:szCs w:val="18"/>
              </w:rPr>
              <w:t>RedundantTransExpExt_eNA</w:t>
            </w:r>
          </w:p>
        </w:tc>
      </w:tr>
    </w:tbl>
    <w:p w14:paraId="5CD81511" w14:textId="77777777" w:rsidR="00A10B25" w:rsidRDefault="00A10B25">
      <w:pPr>
        <w:rPr>
          <w:rFonts w:hint="eastAsia"/>
          <w:lang w:val="en-US" w:eastAsia="zh-CN"/>
        </w:rPr>
      </w:pPr>
    </w:p>
    <w:p w14:paraId="68AD12A0" w14:textId="77777777" w:rsidR="003E1F9F" w:rsidRDefault="003E1F9F" w:rsidP="003E1F9F">
      <w:pPr>
        <w:pStyle w:val="5"/>
      </w:pPr>
      <w:bookmarkStart w:id="7758" w:name="_Toc70550658"/>
      <w:bookmarkStart w:id="7759" w:name="_Toc56640994"/>
      <w:bookmarkStart w:id="7760" w:name="_Toc36102487"/>
      <w:bookmarkStart w:id="7761" w:name="_Toc50032006"/>
      <w:bookmarkStart w:id="7762" w:name="_Toc85557122"/>
      <w:bookmarkStart w:id="7763" w:name="_Toc34266316"/>
      <w:bookmarkStart w:id="7764" w:name="_Toc98233699"/>
      <w:bookmarkStart w:id="7765" w:name="_Toc83233108"/>
      <w:bookmarkStart w:id="7766" w:name="_Toc101244476"/>
      <w:bookmarkStart w:id="7767" w:name="_Toc43563531"/>
      <w:bookmarkStart w:id="7768" w:name="_Toc66231830"/>
      <w:bookmarkStart w:id="7769" w:name="_Toc88667629"/>
      <w:bookmarkStart w:id="7770" w:name="_Toc85553023"/>
      <w:bookmarkStart w:id="7771" w:name="_Toc112951194"/>
      <w:bookmarkStart w:id="7772" w:name="_Toc113031734"/>
      <w:bookmarkStart w:id="7773" w:name="_Toc51762926"/>
      <w:bookmarkStart w:id="7774" w:name="_Toc104539071"/>
      <w:bookmarkStart w:id="7775" w:name="_Toc114133873"/>
      <w:bookmarkStart w:id="7776" w:name="_Toc45134074"/>
      <w:bookmarkStart w:id="7777" w:name="_Toc68168991"/>
      <w:bookmarkStart w:id="7778" w:name="_Toc28012834"/>
      <w:bookmarkStart w:id="7779" w:name="_Toc120702373"/>
      <w:bookmarkStart w:id="7780" w:name="_Toc94064313"/>
      <w:bookmarkStart w:id="7781" w:name="_Toc59017962"/>
      <w:bookmarkStart w:id="7782" w:name="_Toc90655914"/>
      <w:bookmarkStart w:id="7783" w:name="_Toc136562441"/>
      <w:bookmarkStart w:id="7784" w:name="_Toc138754275"/>
      <w:bookmarkStart w:id="7785" w:name="_Toc145705762"/>
      <w:bookmarkStart w:id="7786" w:name="_Toc148522666"/>
      <w:bookmarkStart w:id="7787" w:name="_Toc136562440"/>
      <w:bookmarkStart w:id="7788" w:name="_Toc145705761"/>
      <w:bookmarkStart w:id="7789" w:name="_Toc138754274"/>
      <w:bookmarkStart w:id="7790" w:name="_Toc148522665"/>
      <w:bookmarkStart w:id="7791" w:name="_Toc164920845"/>
      <w:bookmarkStart w:id="7792" w:name="_Toc170120387"/>
      <w:bookmarkStart w:id="7793" w:name="_Toc175858632"/>
      <w:bookmarkStart w:id="7794" w:name="_Toc175859705"/>
      <w:bookmarkStart w:id="7795" w:name="_Toc180605995"/>
      <w:bookmarkStart w:id="7796" w:name="_Toc185517249"/>
      <w:bookmarkStart w:id="7797" w:name="_Toc191576300"/>
      <w:bookmarkStart w:id="7798" w:name="_Toc191577040"/>
      <w:bookmarkStart w:id="7799" w:name="_Toc192880110"/>
      <w:bookmarkStart w:id="7800" w:name="_Toc195814993"/>
      <w:bookmarkStart w:id="7801" w:name="_Toc199452960"/>
      <w:r>
        <w:lastRenderedPageBreak/>
        <w:t>5.1.6.2.71</w:t>
      </w:r>
      <w:r>
        <w:tab/>
        <w:t>Type UeMobilityReq</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52B08214" w14:textId="77777777" w:rsidR="003E1F9F" w:rsidRDefault="003E1F9F" w:rsidP="003E1F9F">
      <w:pPr>
        <w:pStyle w:val="TH"/>
      </w:pPr>
      <w:r>
        <w:t>Table 5.1.6.2.71-1: Definition of type UeMobilityReq</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3E1F9F" w14:paraId="5BB3FA5D" w14:textId="77777777" w:rsidTr="005A20DD">
        <w:trPr>
          <w:jc w:val="center"/>
        </w:trPr>
        <w:tc>
          <w:tcPr>
            <w:tcW w:w="1531" w:type="dxa"/>
            <w:shd w:val="clear" w:color="auto" w:fill="C0C0C0"/>
          </w:tcPr>
          <w:p w14:paraId="587B2011" w14:textId="77777777" w:rsidR="003E1F9F" w:rsidRDefault="003E1F9F" w:rsidP="005A20DD">
            <w:pPr>
              <w:pStyle w:val="TAH"/>
              <w:ind w:left="400" w:hanging="400"/>
            </w:pPr>
            <w:r>
              <w:t>Attribute name</w:t>
            </w:r>
          </w:p>
        </w:tc>
        <w:tc>
          <w:tcPr>
            <w:tcW w:w="1474" w:type="dxa"/>
            <w:shd w:val="clear" w:color="auto" w:fill="C0C0C0"/>
          </w:tcPr>
          <w:p w14:paraId="068A0E1C" w14:textId="77777777" w:rsidR="003E1F9F" w:rsidRDefault="003E1F9F" w:rsidP="005A20DD">
            <w:pPr>
              <w:pStyle w:val="TAH"/>
              <w:ind w:left="400" w:hanging="400"/>
            </w:pPr>
            <w:r>
              <w:t>Data type</w:t>
            </w:r>
          </w:p>
        </w:tc>
        <w:tc>
          <w:tcPr>
            <w:tcW w:w="360" w:type="dxa"/>
            <w:shd w:val="clear" w:color="auto" w:fill="C0C0C0"/>
          </w:tcPr>
          <w:p w14:paraId="794C0B28" w14:textId="77777777" w:rsidR="003E1F9F" w:rsidRDefault="003E1F9F" w:rsidP="005A20DD">
            <w:pPr>
              <w:pStyle w:val="TAH"/>
              <w:ind w:left="400" w:hanging="400"/>
            </w:pPr>
            <w:r>
              <w:t>P</w:t>
            </w:r>
          </w:p>
        </w:tc>
        <w:tc>
          <w:tcPr>
            <w:tcW w:w="1170" w:type="dxa"/>
            <w:shd w:val="clear" w:color="auto" w:fill="C0C0C0"/>
          </w:tcPr>
          <w:p w14:paraId="7554E634" w14:textId="77777777" w:rsidR="003E1F9F" w:rsidRDefault="003E1F9F" w:rsidP="005A20DD">
            <w:pPr>
              <w:pStyle w:val="TAH"/>
              <w:ind w:left="400" w:hanging="400"/>
              <w:rPr>
                <w:rFonts w:eastAsia="Batang"/>
              </w:rPr>
            </w:pPr>
            <w:r>
              <w:rPr>
                <w:rFonts w:eastAsia="Batang"/>
              </w:rPr>
              <w:t>Cardinality</w:t>
            </w:r>
          </w:p>
        </w:tc>
        <w:tc>
          <w:tcPr>
            <w:tcW w:w="3330" w:type="dxa"/>
            <w:shd w:val="clear" w:color="auto" w:fill="C0C0C0"/>
          </w:tcPr>
          <w:p w14:paraId="55104FA7" w14:textId="77777777" w:rsidR="003E1F9F" w:rsidRDefault="003E1F9F" w:rsidP="005A20DD">
            <w:pPr>
              <w:pStyle w:val="TAH"/>
              <w:ind w:left="400" w:hanging="400"/>
              <w:rPr>
                <w:rFonts w:cs="Arial"/>
                <w:szCs w:val="18"/>
              </w:rPr>
            </w:pPr>
            <w:r>
              <w:rPr>
                <w:rFonts w:cs="Arial"/>
                <w:szCs w:val="18"/>
              </w:rPr>
              <w:t>Description</w:t>
            </w:r>
          </w:p>
        </w:tc>
        <w:tc>
          <w:tcPr>
            <w:tcW w:w="1483" w:type="dxa"/>
            <w:shd w:val="clear" w:color="auto" w:fill="C0C0C0"/>
          </w:tcPr>
          <w:p w14:paraId="6DCC8FC2" w14:textId="77777777" w:rsidR="003E1F9F" w:rsidRDefault="003E1F9F" w:rsidP="005A20DD">
            <w:pPr>
              <w:pStyle w:val="TAH"/>
              <w:ind w:left="400" w:hanging="400"/>
              <w:rPr>
                <w:rFonts w:cs="Arial"/>
                <w:szCs w:val="18"/>
              </w:rPr>
            </w:pPr>
            <w:r>
              <w:rPr>
                <w:rFonts w:cs="Arial"/>
                <w:szCs w:val="18"/>
              </w:rPr>
              <w:t>Applicability</w:t>
            </w:r>
          </w:p>
        </w:tc>
      </w:tr>
      <w:tr w:rsidR="003E1F9F" w14:paraId="5C36574A" w14:textId="77777777" w:rsidTr="005A20DD">
        <w:trPr>
          <w:jc w:val="center"/>
        </w:trPr>
        <w:tc>
          <w:tcPr>
            <w:tcW w:w="1531" w:type="dxa"/>
          </w:tcPr>
          <w:p w14:paraId="2298A96A" w14:textId="77777777" w:rsidR="003E1F9F" w:rsidRDefault="003E1F9F" w:rsidP="005A20DD">
            <w:pPr>
              <w:pStyle w:val="TAL"/>
              <w:rPr>
                <w:lang w:eastAsia="zh-CN"/>
              </w:rPr>
            </w:pPr>
            <w:r>
              <w:rPr>
                <w:rFonts w:hint="eastAsia"/>
                <w:lang w:eastAsia="zh-CN"/>
              </w:rPr>
              <w:t>o</w:t>
            </w:r>
            <w:r>
              <w:rPr>
                <w:lang w:eastAsia="zh-CN"/>
              </w:rPr>
              <w:t>rderCriterion</w:t>
            </w:r>
          </w:p>
        </w:tc>
        <w:tc>
          <w:tcPr>
            <w:tcW w:w="1474" w:type="dxa"/>
          </w:tcPr>
          <w:p w14:paraId="55A80300" w14:textId="77777777" w:rsidR="003E1F9F" w:rsidRDefault="003E1F9F" w:rsidP="005A20DD">
            <w:pPr>
              <w:pStyle w:val="TAL"/>
            </w:pPr>
            <w:r>
              <w:t>UeMobilityOrderCriterion</w:t>
            </w:r>
          </w:p>
        </w:tc>
        <w:tc>
          <w:tcPr>
            <w:tcW w:w="360" w:type="dxa"/>
          </w:tcPr>
          <w:p w14:paraId="2987F962" w14:textId="77777777" w:rsidR="003E1F9F" w:rsidRDefault="003E1F9F" w:rsidP="005A20DD">
            <w:pPr>
              <w:pStyle w:val="TAC"/>
              <w:rPr>
                <w:lang w:eastAsia="zh-CN"/>
              </w:rPr>
            </w:pPr>
            <w:r>
              <w:rPr>
                <w:rFonts w:hint="eastAsia"/>
                <w:lang w:eastAsia="zh-CN"/>
              </w:rPr>
              <w:t>O</w:t>
            </w:r>
          </w:p>
        </w:tc>
        <w:tc>
          <w:tcPr>
            <w:tcW w:w="1170" w:type="dxa"/>
          </w:tcPr>
          <w:p w14:paraId="6076EB08" w14:textId="77777777" w:rsidR="003E1F9F" w:rsidRDefault="003E1F9F" w:rsidP="005A20DD">
            <w:pPr>
              <w:pStyle w:val="TAC"/>
            </w:pPr>
            <w:r>
              <w:t>0..1</w:t>
            </w:r>
          </w:p>
        </w:tc>
        <w:tc>
          <w:tcPr>
            <w:tcW w:w="3330" w:type="dxa"/>
          </w:tcPr>
          <w:p w14:paraId="4D238838" w14:textId="77777777" w:rsidR="003E1F9F" w:rsidRDefault="003E1F9F" w:rsidP="005A20DD">
            <w:pPr>
              <w:pStyle w:val="TAL"/>
            </w:pPr>
            <w:r>
              <w:rPr>
                <w:lang w:eastAsia="ko-KR"/>
              </w:rPr>
              <w:t xml:space="preserve">The ordering criterion for the list of </w:t>
            </w:r>
            <w:r>
              <w:rPr>
                <w:lang w:eastAsia="zh-CN"/>
              </w:rPr>
              <w:t>UE mobility</w:t>
            </w:r>
            <w:r>
              <w:rPr>
                <w:lang w:eastAsia="ko-KR"/>
              </w:rPr>
              <w:t xml:space="preserve"> analytics.</w:t>
            </w:r>
          </w:p>
        </w:tc>
        <w:tc>
          <w:tcPr>
            <w:tcW w:w="1483" w:type="dxa"/>
          </w:tcPr>
          <w:p w14:paraId="672D9EEA" w14:textId="77777777" w:rsidR="003E1F9F" w:rsidRDefault="003E1F9F" w:rsidP="005A20DD">
            <w:pPr>
              <w:pStyle w:val="TAL"/>
              <w:rPr>
                <w:rFonts w:cs="Arial"/>
                <w:szCs w:val="18"/>
              </w:rPr>
            </w:pPr>
          </w:p>
        </w:tc>
      </w:tr>
      <w:tr w:rsidR="003E1F9F" w14:paraId="06FAE80B" w14:textId="77777777" w:rsidTr="005A20DD">
        <w:trPr>
          <w:jc w:val="center"/>
        </w:trPr>
        <w:tc>
          <w:tcPr>
            <w:tcW w:w="1531" w:type="dxa"/>
          </w:tcPr>
          <w:p w14:paraId="2BBF9B62" w14:textId="77777777" w:rsidR="003E1F9F" w:rsidRDefault="003E1F9F" w:rsidP="005A20DD">
            <w:pPr>
              <w:pStyle w:val="TAL"/>
              <w:rPr>
                <w:lang w:eastAsia="zh-CN"/>
              </w:rPr>
            </w:pPr>
            <w:r>
              <w:rPr>
                <w:lang w:eastAsia="zh-CN"/>
              </w:rPr>
              <w:t>o</w:t>
            </w:r>
            <w:r>
              <w:rPr>
                <w:rFonts w:hint="eastAsia"/>
                <w:lang w:eastAsia="zh-CN"/>
              </w:rPr>
              <w:t>rder</w:t>
            </w:r>
            <w:r>
              <w:rPr>
                <w:lang w:eastAsia="zh-CN"/>
              </w:rPr>
              <w:t>Direction</w:t>
            </w:r>
          </w:p>
        </w:tc>
        <w:tc>
          <w:tcPr>
            <w:tcW w:w="1474" w:type="dxa"/>
          </w:tcPr>
          <w:p w14:paraId="70B8CED9" w14:textId="77777777" w:rsidR="003E1F9F" w:rsidRDefault="003E1F9F" w:rsidP="005A20DD">
            <w:pPr>
              <w:pStyle w:val="TAL"/>
            </w:pPr>
            <w:r>
              <w:rPr>
                <w:lang w:eastAsia="zh-CN"/>
              </w:rPr>
              <w:t>MatchingDirection</w:t>
            </w:r>
          </w:p>
        </w:tc>
        <w:tc>
          <w:tcPr>
            <w:tcW w:w="360" w:type="dxa"/>
          </w:tcPr>
          <w:p w14:paraId="7CE44946" w14:textId="77777777" w:rsidR="003E1F9F" w:rsidRDefault="003E1F9F" w:rsidP="005A20DD">
            <w:pPr>
              <w:pStyle w:val="TAC"/>
              <w:rPr>
                <w:lang w:eastAsia="zh-CN"/>
              </w:rPr>
            </w:pPr>
            <w:r>
              <w:t>O</w:t>
            </w:r>
          </w:p>
        </w:tc>
        <w:tc>
          <w:tcPr>
            <w:tcW w:w="1170" w:type="dxa"/>
          </w:tcPr>
          <w:p w14:paraId="5CDBF8BD" w14:textId="77777777" w:rsidR="003E1F9F" w:rsidRDefault="003E1F9F" w:rsidP="005A20DD">
            <w:pPr>
              <w:pStyle w:val="TAC"/>
            </w:pPr>
            <w:r>
              <w:t>0..1</w:t>
            </w:r>
          </w:p>
        </w:tc>
        <w:tc>
          <w:tcPr>
            <w:tcW w:w="3330" w:type="dxa"/>
          </w:tcPr>
          <w:p w14:paraId="7DE263AA" w14:textId="77777777" w:rsidR="003E1F9F" w:rsidRDefault="003E1F9F" w:rsidP="005A20DD">
            <w:pPr>
              <w:pStyle w:val="TAL"/>
              <w:rPr>
                <w:lang w:eastAsia="ko-KR"/>
              </w:rPr>
            </w:pPr>
            <w:r>
              <w:rPr>
                <w:rFonts w:cs="Arial"/>
                <w:szCs w:val="18"/>
              </w:rPr>
              <w:t>Indicate the order: ascending or descending</w:t>
            </w:r>
            <w:r>
              <w:t xml:space="preserve"> time slot start</w:t>
            </w:r>
            <w:r>
              <w:rPr>
                <w:rFonts w:cs="Arial"/>
                <w:szCs w:val="18"/>
              </w:rPr>
              <w:t>.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 1)</w:t>
            </w:r>
          </w:p>
        </w:tc>
        <w:tc>
          <w:tcPr>
            <w:tcW w:w="1483" w:type="dxa"/>
          </w:tcPr>
          <w:p w14:paraId="71167E5F" w14:textId="77777777" w:rsidR="003E1F9F" w:rsidRDefault="003E1F9F" w:rsidP="005A20DD">
            <w:pPr>
              <w:pStyle w:val="TAL"/>
              <w:rPr>
                <w:lang w:eastAsia="zh-CN"/>
              </w:rPr>
            </w:pPr>
          </w:p>
        </w:tc>
      </w:tr>
      <w:tr w:rsidR="003E1F9F" w14:paraId="262906D2" w14:textId="77777777" w:rsidTr="005A20DD">
        <w:trPr>
          <w:jc w:val="center"/>
        </w:trPr>
        <w:tc>
          <w:tcPr>
            <w:tcW w:w="1531" w:type="dxa"/>
          </w:tcPr>
          <w:p w14:paraId="62A4A644" w14:textId="77777777" w:rsidR="003E1F9F" w:rsidRDefault="003E1F9F" w:rsidP="005A20DD">
            <w:pPr>
              <w:pStyle w:val="TAL"/>
              <w:rPr>
                <w:lang w:eastAsia="zh-CN"/>
              </w:rPr>
            </w:pPr>
            <w:r>
              <w:rPr>
                <w:rFonts w:hint="eastAsia"/>
                <w:lang w:eastAsia="zh-CN"/>
              </w:rPr>
              <w:t>u</w:t>
            </w:r>
            <w:r>
              <w:rPr>
                <w:lang w:eastAsia="zh-CN"/>
              </w:rPr>
              <w:t>eLocOrderInd</w:t>
            </w:r>
          </w:p>
        </w:tc>
        <w:tc>
          <w:tcPr>
            <w:tcW w:w="1474" w:type="dxa"/>
          </w:tcPr>
          <w:p w14:paraId="618B685A" w14:textId="77777777" w:rsidR="003E1F9F" w:rsidRDefault="003E1F9F" w:rsidP="005A20DD">
            <w:pPr>
              <w:pStyle w:val="TAL"/>
              <w:rPr>
                <w:lang w:eastAsia="zh-CN"/>
              </w:rPr>
            </w:pPr>
            <w:r>
              <w:rPr>
                <w:lang w:eastAsia="zh-CN"/>
              </w:rPr>
              <w:t>boolean</w:t>
            </w:r>
          </w:p>
        </w:tc>
        <w:tc>
          <w:tcPr>
            <w:tcW w:w="360" w:type="dxa"/>
          </w:tcPr>
          <w:p w14:paraId="3C2F22E1" w14:textId="77777777" w:rsidR="003E1F9F" w:rsidRDefault="003E1F9F" w:rsidP="005A20DD">
            <w:pPr>
              <w:pStyle w:val="TAC"/>
            </w:pPr>
            <w:r>
              <w:rPr>
                <w:lang w:eastAsia="zh-CN"/>
              </w:rPr>
              <w:t>O</w:t>
            </w:r>
          </w:p>
        </w:tc>
        <w:tc>
          <w:tcPr>
            <w:tcW w:w="1170" w:type="dxa"/>
          </w:tcPr>
          <w:p w14:paraId="7759F7F0" w14:textId="77777777" w:rsidR="003E1F9F" w:rsidRDefault="003E1F9F" w:rsidP="005A20DD">
            <w:pPr>
              <w:pStyle w:val="TAC"/>
            </w:pPr>
            <w:r>
              <w:rPr>
                <w:lang w:eastAsia="zh-CN"/>
              </w:rPr>
              <w:t>0..1</w:t>
            </w:r>
          </w:p>
        </w:tc>
        <w:tc>
          <w:tcPr>
            <w:tcW w:w="3330" w:type="dxa"/>
          </w:tcPr>
          <w:p w14:paraId="5189A919" w14:textId="77777777" w:rsidR="003E1F9F" w:rsidRDefault="003E1F9F" w:rsidP="005A20DD">
            <w:pPr>
              <w:pStyle w:val="TAL"/>
              <w:rPr>
                <w:rFonts w:cs="Arial"/>
                <w:szCs w:val="18"/>
              </w:rPr>
            </w:pPr>
            <w:r>
              <w:t>UE Location order indication.</w:t>
            </w:r>
            <w:r>
              <w:rPr>
                <w:rFonts w:cs="Arial"/>
                <w:szCs w:val="18"/>
                <w:lang w:eastAsia="zh-CN"/>
              </w:rPr>
              <w:t xml:space="preserve"> Set to "true" to indicate the </w:t>
            </w:r>
            <w:r>
              <w:t>NWDAF to provide</w:t>
            </w:r>
            <w:r>
              <w:rPr>
                <w:rFonts w:cs="Arial"/>
                <w:szCs w:val="18"/>
                <w:lang w:eastAsia="zh-CN"/>
              </w:rPr>
              <w:t xml:space="preserve"> UE locations in</w:t>
            </w:r>
            <w:r>
              <w:t xml:space="preserve"> the UE Mobility analytics in time order</w:t>
            </w:r>
            <w:r>
              <w:rPr>
                <w:rFonts w:cs="Arial"/>
                <w:szCs w:val="18"/>
                <w:lang w:eastAsia="zh-CN"/>
              </w:rPr>
              <w:t xml:space="preserve">, otherwise set to "false" or </w:t>
            </w:r>
            <w:r>
              <w:t>omitted</w:t>
            </w:r>
            <w:r>
              <w:rPr>
                <w:rFonts w:cs="Arial"/>
                <w:szCs w:val="18"/>
                <w:lang w:eastAsia="zh-CN"/>
              </w:rPr>
              <w:t>.</w:t>
            </w:r>
            <w:r>
              <w:rPr>
                <w:rFonts w:eastAsia="Times New Roman" w:cs="Arial"/>
                <w:szCs w:val="18"/>
              </w:rPr>
              <w:t xml:space="preserve"> (NOTE 2)</w:t>
            </w:r>
          </w:p>
        </w:tc>
        <w:tc>
          <w:tcPr>
            <w:tcW w:w="1483" w:type="dxa"/>
          </w:tcPr>
          <w:p w14:paraId="2929081D" w14:textId="77777777" w:rsidR="003E1F9F" w:rsidRDefault="003E1F9F" w:rsidP="005A20DD">
            <w:pPr>
              <w:pStyle w:val="TAL"/>
              <w:rPr>
                <w:lang w:eastAsia="zh-CN"/>
              </w:rPr>
            </w:pPr>
          </w:p>
        </w:tc>
      </w:tr>
      <w:tr w:rsidR="003E1F9F" w14:paraId="3377AA5A" w14:textId="77777777" w:rsidTr="005A20DD">
        <w:trPr>
          <w:jc w:val="center"/>
        </w:trPr>
        <w:tc>
          <w:tcPr>
            <w:tcW w:w="1531" w:type="dxa"/>
          </w:tcPr>
          <w:p w14:paraId="0EF7684E" w14:textId="77777777" w:rsidR="003E1F9F" w:rsidRDefault="003E1F9F" w:rsidP="005A20DD">
            <w:pPr>
              <w:pStyle w:val="TAL"/>
              <w:rPr>
                <w:lang w:eastAsia="zh-CN"/>
              </w:rPr>
            </w:pPr>
            <w:r>
              <w:rPr>
                <w:rFonts w:hint="eastAsia"/>
                <w:lang w:eastAsia="zh-CN"/>
              </w:rPr>
              <w:t>d</w:t>
            </w:r>
            <w:r>
              <w:rPr>
                <w:lang w:eastAsia="zh-CN"/>
              </w:rPr>
              <w:t>istThresholds</w:t>
            </w:r>
          </w:p>
        </w:tc>
        <w:tc>
          <w:tcPr>
            <w:tcW w:w="1474" w:type="dxa"/>
          </w:tcPr>
          <w:p w14:paraId="44692CC9" w14:textId="77777777" w:rsidR="003E1F9F" w:rsidRDefault="003E1F9F" w:rsidP="005A20DD">
            <w:pPr>
              <w:pStyle w:val="TAL"/>
              <w:rPr>
                <w:lang w:eastAsia="zh-CN"/>
              </w:rPr>
            </w:pPr>
            <w:r>
              <w:rPr>
                <w:lang w:eastAsia="zh-CN"/>
              </w:rPr>
              <w:t>array(Uinteger)</w:t>
            </w:r>
          </w:p>
        </w:tc>
        <w:tc>
          <w:tcPr>
            <w:tcW w:w="360" w:type="dxa"/>
          </w:tcPr>
          <w:p w14:paraId="11E7FA8E" w14:textId="77777777" w:rsidR="003E1F9F" w:rsidRDefault="003E1F9F" w:rsidP="005A20DD">
            <w:pPr>
              <w:pStyle w:val="TAC"/>
              <w:rPr>
                <w:lang w:eastAsia="zh-CN"/>
              </w:rPr>
            </w:pPr>
            <w:r>
              <w:t>O</w:t>
            </w:r>
          </w:p>
        </w:tc>
        <w:tc>
          <w:tcPr>
            <w:tcW w:w="1170" w:type="dxa"/>
          </w:tcPr>
          <w:p w14:paraId="0B83E3C5" w14:textId="77777777" w:rsidR="003E1F9F" w:rsidRDefault="003E1F9F" w:rsidP="005A20DD">
            <w:pPr>
              <w:pStyle w:val="TAC"/>
              <w:rPr>
                <w:lang w:eastAsia="zh-CN"/>
              </w:rPr>
            </w:pPr>
            <w:r>
              <w:t>1..N</w:t>
            </w:r>
          </w:p>
        </w:tc>
        <w:tc>
          <w:tcPr>
            <w:tcW w:w="3330" w:type="dxa"/>
          </w:tcPr>
          <w:p w14:paraId="5DC5A94C" w14:textId="77777777" w:rsidR="003E1F9F" w:rsidRDefault="003E1F9F" w:rsidP="005A20DD">
            <w:pPr>
              <w:pStyle w:val="TAL"/>
            </w:pPr>
            <w:r>
              <w:rPr>
                <w:lang w:eastAsia="zh-CN"/>
              </w:rPr>
              <w:t xml:space="preserve">Indicates the </w:t>
            </w:r>
            <w:r>
              <w:t>linear distance threshold</w:t>
            </w:r>
            <w:r>
              <w:rPr>
                <w:lang w:eastAsia="zh-CN"/>
              </w:rPr>
              <w:t>, i.e. if the straight line distance that the UE moves from the previous location to the current location exceeds the threshold, the analytics needs to be reported.</w:t>
            </w:r>
          </w:p>
        </w:tc>
        <w:tc>
          <w:tcPr>
            <w:tcW w:w="1483" w:type="dxa"/>
          </w:tcPr>
          <w:p w14:paraId="02FCB350" w14:textId="77777777" w:rsidR="003E1F9F" w:rsidRDefault="003E1F9F" w:rsidP="005A20DD">
            <w:pPr>
              <w:pStyle w:val="TAL"/>
              <w:rPr>
                <w:lang w:eastAsia="zh-CN"/>
              </w:rPr>
            </w:pPr>
          </w:p>
        </w:tc>
      </w:tr>
      <w:tr w:rsidR="003E1F9F" w14:paraId="5CA0F5E7" w14:textId="77777777" w:rsidTr="005A20DD">
        <w:trPr>
          <w:jc w:val="center"/>
        </w:trPr>
        <w:tc>
          <w:tcPr>
            <w:tcW w:w="9348" w:type="dxa"/>
            <w:gridSpan w:val="6"/>
          </w:tcPr>
          <w:p w14:paraId="10CF1192" w14:textId="77777777" w:rsidR="003E1F9F" w:rsidRDefault="003E1F9F" w:rsidP="005A20DD">
            <w:pPr>
              <w:pStyle w:val="TAN"/>
            </w:pPr>
            <w:r>
              <w:t>NOTE 1:</w:t>
            </w:r>
            <w:r>
              <w:tab/>
              <w:t>The "CROSSED" value in "MatchingDirection" date type is not applicable for this attribute.</w:t>
            </w:r>
          </w:p>
          <w:p w14:paraId="72E1D478" w14:textId="77777777" w:rsidR="003E1F9F" w:rsidRDefault="003E1F9F" w:rsidP="005A20DD">
            <w:pPr>
              <w:pStyle w:val="TAN"/>
              <w:rPr>
                <w:rFonts w:eastAsia="Batang"/>
              </w:rPr>
            </w:pPr>
            <w:r>
              <w:t>NOTE 2:</w:t>
            </w:r>
            <w:r>
              <w:tab/>
              <w:t xml:space="preserve">If </w:t>
            </w:r>
            <w:r>
              <w:rPr>
                <w:lang w:val="en-US" w:eastAsia="zh-CN"/>
              </w:rPr>
              <w:t>th</w:t>
            </w:r>
            <w:r>
              <w:rPr>
                <w:rFonts w:hint="eastAsia"/>
                <w:lang w:val="en-US" w:eastAsia="zh-CN"/>
              </w:rPr>
              <w:t>is</w:t>
            </w:r>
            <w:r>
              <w:rPr>
                <w:lang w:val="en-US" w:eastAsia="zh-CN"/>
              </w:rPr>
              <w:t xml:space="preserve"> attribute was set to "true", the NWDAF does not aggregate the UE locations in a long duration but provides the UE locations one by one in their own time period, i.e. the "</w:t>
            </w:r>
            <w:r>
              <w:rPr>
                <w:lang w:eastAsia="zh-CN"/>
              </w:rPr>
              <w:t>locInfos</w:t>
            </w:r>
            <w:r>
              <w:rPr>
                <w:lang w:val="en-US" w:eastAsia="zh-CN"/>
              </w:rPr>
              <w:t xml:space="preserve">" </w:t>
            </w:r>
            <w:r>
              <w:rPr>
                <w:rFonts w:hint="eastAsia"/>
                <w:lang w:val="en-US" w:eastAsia="zh-CN"/>
              </w:rPr>
              <w:t>c</w:t>
            </w:r>
            <w:r>
              <w:rPr>
                <w:lang w:val="en-US" w:eastAsia="zh-CN"/>
              </w:rPr>
              <w:t xml:space="preserve">ontained in </w:t>
            </w:r>
            <w:r>
              <w:t>UeMobility</w:t>
            </w:r>
            <w:r>
              <w:rPr>
                <w:lang w:val="en-US" w:eastAsia="zh-CN"/>
              </w:rPr>
              <w:t xml:space="preserve"> data type has only one UE location which indicates the UE is located in this location in the duration from the time slot start and the location information in adjacent durations is different from each other.</w:t>
            </w:r>
            <w:r>
              <w:rPr>
                <w:rFonts w:cs="Arial"/>
                <w:szCs w:val="18"/>
                <w:lang w:eastAsia="zh-CN"/>
              </w:rPr>
              <w:t xml:space="preserve"> Otherwise, if </w:t>
            </w:r>
            <w:r>
              <w:rPr>
                <w:lang w:eastAsia="zh-CN"/>
              </w:rPr>
              <w:t>this</w:t>
            </w:r>
            <w:r>
              <w:rPr>
                <w:lang w:val="en-US" w:eastAsia="zh-CN"/>
              </w:rPr>
              <w:t xml:space="preserve"> attribute is included and set to </w:t>
            </w:r>
            <w:r>
              <w:rPr>
                <w:lang w:eastAsia="zh-CN"/>
              </w:rPr>
              <w:t>"false"</w:t>
            </w:r>
            <w:r>
              <w:rPr>
                <w:lang w:val="en-US" w:eastAsia="zh-CN"/>
              </w:rPr>
              <w:t xml:space="preserve"> or </w:t>
            </w:r>
            <w:r>
              <w:t>omitted</w:t>
            </w:r>
            <w:r>
              <w:rPr>
                <w:lang w:val="en-US" w:eastAsia="zh-CN"/>
              </w:rPr>
              <w:t>, the multiple UE locations will be aggregated.</w:t>
            </w:r>
          </w:p>
        </w:tc>
      </w:tr>
    </w:tbl>
    <w:p w14:paraId="260697EE" w14:textId="77777777" w:rsidR="003E1F9F" w:rsidRDefault="003E1F9F" w:rsidP="003E1F9F"/>
    <w:p w14:paraId="65FF4659" w14:textId="77777777" w:rsidR="00A10B25" w:rsidRDefault="00A10B25">
      <w:pPr>
        <w:pStyle w:val="5"/>
      </w:pPr>
      <w:bookmarkStart w:id="7802" w:name="_Toc164920846"/>
      <w:bookmarkStart w:id="7803" w:name="_Toc170120388"/>
      <w:bookmarkStart w:id="7804" w:name="_Toc175858633"/>
      <w:bookmarkStart w:id="7805" w:name="_Toc175859706"/>
      <w:bookmarkStart w:id="7806" w:name="_Toc180605996"/>
      <w:bookmarkStart w:id="7807" w:name="_Toc185517250"/>
      <w:bookmarkStart w:id="7808" w:name="_Toc191576301"/>
      <w:bookmarkStart w:id="7809" w:name="_Toc191577041"/>
      <w:bookmarkStart w:id="7810" w:name="_Toc192880111"/>
      <w:bookmarkStart w:id="7811" w:name="_Toc195814994"/>
      <w:bookmarkStart w:id="7812" w:name="_Toc199452961"/>
      <w:r>
        <w:t>5.1.6.2.72</w:t>
      </w:r>
      <w:r>
        <w:tab/>
        <w:t>Type UeCommReq</w:t>
      </w:r>
      <w:bookmarkEnd w:id="7783"/>
      <w:bookmarkEnd w:id="7784"/>
      <w:bookmarkEnd w:id="7785"/>
      <w:bookmarkEnd w:id="7786"/>
      <w:bookmarkEnd w:id="7802"/>
      <w:bookmarkEnd w:id="7803"/>
      <w:bookmarkEnd w:id="7804"/>
      <w:bookmarkEnd w:id="7805"/>
      <w:bookmarkEnd w:id="7806"/>
      <w:bookmarkEnd w:id="7807"/>
      <w:bookmarkEnd w:id="7808"/>
      <w:bookmarkEnd w:id="7809"/>
      <w:bookmarkEnd w:id="7810"/>
      <w:bookmarkEnd w:id="7811"/>
      <w:bookmarkEnd w:id="7812"/>
    </w:p>
    <w:p w14:paraId="0D3AA9B7" w14:textId="77777777" w:rsidR="00A10B25" w:rsidRDefault="00A10B25">
      <w:pPr>
        <w:pStyle w:val="TH"/>
      </w:pPr>
      <w:r>
        <w:rPr>
          <w:lang w:val="en-US" w:eastAsia="zh-CN"/>
        </w:rPr>
        <w:t>Table </w:t>
      </w:r>
      <w:r>
        <w:t xml:space="preserve">5.1.6.2.72-1: </w:t>
      </w:r>
      <w:r>
        <w:rPr>
          <w:lang w:val="en-US" w:eastAsia="zh-CN"/>
        </w:rPr>
        <w:t xml:space="preserve">Definition of type </w:t>
      </w:r>
      <w:r>
        <w:t>UeCommReq</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4FFCC12C" w14:textId="77777777">
        <w:trPr>
          <w:jc w:val="center"/>
        </w:trPr>
        <w:tc>
          <w:tcPr>
            <w:tcW w:w="1531" w:type="dxa"/>
            <w:shd w:val="clear" w:color="auto" w:fill="C0C0C0"/>
          </w:tcPr>
          <w:p w14:paraId="1E8D7BBE" w14:textId="77777777" w:rsidR="00A10B25" w:rsidRDefault="00A10B25">
            <w:pPr>
              <w:pStyle w:val="TAH"/>
            </w:pPr>
            <w:r>
              <w:t>Attribute name</w:t>
            </w:r>
          </w:p>
        </w:tc>
        <w:tc>
          <w:tcPr>
            <w:tcW w:w="1474" w:type="dxa"/>
            <w:shd w:val="clear" w:color="auto" w:fill="C0C0C0"/>
          </w:tcPr>
          <w:p w14:paraId="34D0EC95" w14:textId="77777777" w:rsidR="00A10B25" w:rsidRDefault="00A10B25">
            <w:pPr>
              <w:pStyle w:val="TAH"/>
            </w:pPr>
            <w:r>
              <w:t>Data type</w:t>
            </w:r>
          </w:p>
        </w:tc>
        <w:tc>
          <w:tcPr>
            <w:tcW w:w="360" w:type="dxa"/>
            <w:shd w:val="clear" w:color="auto" w:fill="C0C0C0"/>
          </w:tcPr>
          <w:p w14:paraId="4E10F1AF" w14:textId="77777777" w:rsidR="00A10B25" w:rsidRDefault="00A10B25">
            <w:pPr>
              <w:pStyle w:val="TAH"/>
            </w:pPr>
            <w:r>
              <w:t>P</w:t>
            </w:r>
          </w:p>
        </w:tc>
        <w:tc>
          <w:tcPr>
            <w:tcW w:w="1170" w:type="dxa"/>
            <w:shd w:val="clear" w:color="auto" w:fill="C0C0C0"/>
          </w:tcPr>
          <w:p w14:paraId="7B14B371" w14:textId="77777777" w:rsidR="00A10B25" w:rsidRDefault="00A10B25">
            <w:pPr>
              <w:pStyle w:val="TAH"/>
              <w:rPr>
                <w:rFonts w:eastAsia="Batang"/>
              </w:rPr>
            </w:pPr>
            <w:r>
              <w:rPr>
                <w:rFonts w:eastAsia="Batang"/>
              </w:rPr>
              <w:t>Cardinality</w:t>
            </w:r>
          </w:p>
        </w:tc>
        <w:tc>
          <w:tcPr>
            <w:tcW w:w="3330" w:type="dxa"/>
            <w:shd w:val="clear" w:color="auto" w:fill="C0C0C0"/>
          </w:tcPr>
          <w:p w14:paraId="6434F354" w14:textId="77777777" w:rsidR="00A10B25" w:rsidRDefault="00A10B25">
            <w:pPr>
              <w:pStyle w:val="TAH"/>
              <w:rPr>
                <w:rFonts w:cs="Arial"/>
                <w:szCs w:val="18"/>
              </w:rPr>
            </w:pPr>
            <w:r>
              <w:rPr>
                <w:rFonts w:cs="Arial"/>
                <w:szCs w:val="18"/>
              </w:rPr>
              <w:t>Description</w:t>
            </w:r>
          </w:p>
        </w:tc>
        <w:tc>
          <w:tcPr>
            <w:tcW w:w="1483" w:type="dxa"/>
            <w:shd w:val="clear" w:color="auto" w:fill="C0C0C0"/>
          </w:tcPr>
          <w:p w14:paraId="5E67D254" w14:textId="77777777" w:rsidR="00A10B25" w:rsidRDefault="00A10B25">
            <w:pPr>
              <w:pStyle w:val="TAH"/>
              <w:rPr>
                <w:rFonts w:cs="Arial"/>
                <w:szCs w:val="18"/>
              </w:rPr>
            </w:pPr>
            <w:r>
              <w:rPr>
                <w:rFonts w:cs="Arial"/>
                <w:szCs w:val="18"/>
              </w:rPr>
              <w:t>Applicability</w:t>
            </w:r>
          </w:p>
        </w:tc>
      </w:tr>
      <w:tr w:rsidR="00A10B25" w14:paraId="5642E3BE" w14:textId="77777777">
        <w:trPr>
          <w:jc w:val="center"/>
        </w:trPr>
        <w:tc>
          <w:tcPr>
            <w:tcW w:w="1531" w:type="dxa"/>
          </w:tcPr>
          <w:p w14:paraId="2E8B9AF7" w14:textId="77777777" w:rsidR="00A10B25" w:rsidRDefault="00A10B25">
            <w:pPr>
              <w:pStyle w:val="TAL"/>
              <w:rPr>
                <w:lang w:eastAsia="zh-CN"/>
              </w:rPr>
            </w:pPr>
            <w:r>
              <w:rPr>
                <w:rFonts w:hint="eastAsia"/>
                <w:lang w:eastAsia="zh-CN"/>
              </w:rPr>
              <w:t>o</w:t>
            </w:r>
            <w:r>
              <w:rPr>
                <w:lang w:eastAsia="zh-CN"/>
              </w:rPr>
              <w:t>rderCriterion</w:t>
            </w:r>
          </w:p>
        </w:tc>
        <w:tc>
          <w:tcPr>
            <w:tcW w:w="1474" w:type="dxa"/>
          </w:tcPr>
          <w:p w14:paraId="3CC4B160" w14:textId="77777777" w:rsidR="00A10B25" w:rsidRDefault="00A10B25">
            <w:pPr>
              <w:pStyle w:val="TAL"/>
            </w:pPr>
            <w:r>
              <w:t>UeCommOrderCriterion</w:t>
            </w:r>
          </w:p>
        </w:tc>
        <w:tc>
          <w:tcPr>
            <w:tcW w:w="360" w:type="dxa"/>
          </w:tcPr>
          <w:p w14:paraId="60D579D4" w14:textId="77777777" w:rsidR="00A10B25" w:rsidRDefault="00A10B25">
            <w:pPr>
              <w:pStyle w:val="TAC"/>
              <w:rPr>
                <w:lang w:eastAsia="zh-CN"/>
              </w:rPr>
            </w:pPr>
            <w:r>
              <w:rPr>
                <w:rFonts w:hint="eastAsia"/>
                <w:lang w:eastAsia="zh-CN"/>
              </w:rPr>
              <w:t>O</w:t>
            </w:r>
          </w:p>
        </w:tc>
        <w:tc>
          <w:tcPr>
            <w:tcW w:w="1170" w:type="dxa"/>
          </w:tcPr>
          <w:p w14:paraId="78AF9E91" w14:textId="77777777" w:rsidR="00A10B25" w:rsidRDefault="00A10B25">
            <w:pPr>
              <w:pStyle w:val="TAC"/>
            </w:pPr>
            <w:r>
              <w:t>0..1</w:t>
            </w:r>
          </w:p>
        </w:tc>
        <w:tc>
          <w:tcPr>
            <w:tcW w:w="3330" w:type="dxa"/>
          </w:tcPr>
          <w:p w14:paraId="046317BE" w14:textId="77777777" w:rsidR="00A10B25" w:rsidRDefault="00A10B25">
            <w:pPr>
              <w:pStyle w:val="TAL"/>
            </w:pPr>
            <w:r>
              <w:rPr>
                <w:lang w:eastAsia="ko-KR"/>
              </w:rPr>
              <w:t xml:space="preserve">The ordering criterion for the list of </w:t>
            </w:r>
            <w:r>
              <w:rPr>
                <w:lang w:eastAsia="zh-CN"/>
              </w:rPr>
              <w:t>UE communication</w:t>
            </w:r>
            <w:r>
              <w:rPr>
                <w:lang w:eastAsia="ko-KR"/>
              </w:rPr>
              <w:t xml:space="preserve"> analytics.</w:t>
            </w:r>
          </w:p>
        </w:tc>
        <w:tc>
          <w:tcPr>
            <w:tcW w:w="1483" w:type="dxa"/>
          </w:tcPr>
          <w:p w14:paraId="68927943" w14:textId="77777777" w:rsidR="00A10B25" w:rsidRDefault="00A10B25">
            <w:pPr>
              <w:pStyle w:val="TAL"/>
              <w:rPr>
                <w:rFonts w:cs="Arial"/>
                <w:szCs w:val="18"/>
              </w:rPr>
            </w:pPr>
          </w:p>
        </w:tc>
      </w:tr>
      <w:tr w:rsidR="00A10B25" w14:paraId="5B136E7C" w14:textId="77777777">
        <w:trPr>
          <w:jc w:val="center"/>
        </w:trPr>
        <w:tc>
          <w:tcPr>
            <w:tcW w:w="1531" w:type="dxa"/>
          </w:tcPr>
          <w:p w14:paraId="5F27D925" w14:textId="77777777" w:rsidR="00A10B25" w:rsidRDefault="00A10B25">
            <w:pPr>
              <w:pStyle w:val="TAL"/>
              <w:rPr>
                <w:lang w:eastAsia="zh-CN"/>
              </w:rPr>
            </w:pPr>
            <w:r>
              <w:rPr>
                <w:lang w:eastAsia="zh-CN"/>
              </w:rPr>
              <w:t>o</w:t>
            </w:r>
            <w:r>
              <w:rPr>
                <w:rFonts w:hint="eastAsia"/>
                <w:lang w:eastAsia="zh-CN"/>
              </w:rPr>
              <w:t>rder</w:t>
            </w:r>
            <w:r>
              <w:rPr>
                <w:lang w:eastAsia="zh-CN"/>
              </w:rPr>
              <w:t>Direction</w:t>
            </w:r>
          </w:p>
        </w:tc>
        <w:tc>
          <w:tcPr>
            <w:tcW w:w="1474" w:type="dxa"/>
          </w:tcPr>
          <w:p w14:paraId="16C25A94" w14:textId="77777777" w:rsidR="00A10B25" w:rsidRDefault="00A10B25">
            <w:pPr>
              <w:pStyle w:val="TAL"/>
            </w:pPr>
            <w:r>
              <w:rPr>
                <w:lang w:eastAsia="zh-CN"/>
              </w:rPr>
              <w:t>MatchingDirection</w:t>
            </w:r>
          </w:p>
        </w:tc>
        <w:tc>
          <w:tcPr>
            <w:tcW w:w="360" w:type="dxa"/>
          </w:tcPr>
          <w:p w14:paraId="39199617" w14:textId="77777777" w:rsidR="00A10B25" w:rsidRDefault="00A10B25">
            <w:pPr>
              <w:pStyle w:val="TAC"/>
              <w:rPr>
                <w:lang w:eastAsia="zh-CN"/>
              </w:rPr>
            </w:pPr>
            <w:r>
              <w:t>O</w:t>
            </w:r>
          </w:p>
        </w:tc>
        <w:tc>
          <w:tcPr>
            <w:tcW w:w="1170" w:type="dxa"/>
          </w:tcPr>
          <w:p w14:paraId="259FBE48" w14:textId="77777777" w:rsidR="00A10B25" w:rsidRDefault="00A10B25">
            <w:pPr>
              <w:pStyle w:val="TAC"/>
            </w:pPr>
            <w:r>
              <w:t>0..1</w:t>
            </w:r>
          </w:p>
        </w:tc>
        <w:tc>
          <w:tcPr>
            <w:tcW w:w="3330" w:type="dxa"/>
          </w:tcPr>
          <w:p w14:paraId="7C53A665" w14:textId="77777777" w:rsidR="00A10B25" w:rsidRDefault="00A10B25">
            <w:pPr>
              <w:pStyle w:val="TAL"/>
              <w:rPr>
                <w:lang w:eastAsia="ko-KR"/>
              </w:rPr>
            </w:pPr>
            <w:r>
              <w:rPr>
                <w:rFonts w:cs="Arial"/>
                <w:szCs w:val="18"/>
              </w:rPr>
              <w:t>Indicate the order: ascending or descending.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w:t>
            </w:r>
          </w:p>
        </w:tc>
        <w:tc>
          <w:tcPr>
            <w:tcW w:w="1483" w:type="dxa"/>
          </w:tcPr>
          <w:p w14:paraId="30237384" w14:textId="77777777" w:rsidR="00A10B25" w:rsidRDefault="00A10B25">
            <w:pPr>
              <w:pStyle w:val="TAL"/>
              <w:rPr>
                <w:lang w:eastAsia="zh-CN"/>
              </w:rPr>
            </w:pPr>
          </w:p>
        </w:tc>
      </w:tr>
      <w:tr w:rsidR="00A10B25" w14:paraId="0FCC22F4" w14:textId="77777777">
        <w:trPr>
          <w:jc w:val="center"/>
        </w:trPr>
        <w:tc>
          <w:tcPr>
            <w:tcW w:w="9348" w:type="dxa"/>
            <w:gridSpan w:val="6"/>
          </w:tcPr>
          <w:p w14:paraId="13827B98" w14:textId="77777777" w:rsidR="00A10B25" w:rsidRDefault="00A10B25">
            <w:pPr>
              <w:pStyle w:val="TAN"/>
              <w:rPr>
                <w:rFonts w:eastAsia="Batang"/>
              </w:rPr>
            </w:pPr>
            <w:r>
              <w:t>NOTE:</w:t>
            </w:r>
            <w:r>
              <w:tab/>
              <w:t xml:space="preserve">The "CROSSED" value in "MatchingDirection" date type is not applicable for </w:t>
            </w:r>
            <w:r>
              <w:rPr>
                <w:lang w:val="en-US" w:eastAsia="zh-CN"/>
              </w:rPr>
              <w:t>this</w:t>
            </w:r>
            <w:r>
              <w:t xml:space="preserve"> attribute.</w:t>
            </w:r>
          </w:p>
        </w:tc>
      </w:tr>
    </w:tbl>
    <w:p w14:paraId="2565AEFA" w14:textId="77777777" w:rsidR="00A10B25" w:rsidRDefault="00A10B25"/>
    <w:p w14:paraId="48F67979" w14:textId="77777777" w:rsidR="003E1F9F" w:rsidRDefault="003E1F9F" w:rsidP="003E1F9F">
      <w:pPr>
        <w:pStyle w:val="5"/>
      </w:pPr>
      <w:bookmarkStart w:id="7813" w:name="_Toc164920847"/>
      <w:bookmarkStart w:id="7814" w:name="_Toc170120389"/>
      <w:bookmarkStart w:id="7815" w:name="_Toc175858634"/>
      <w:bookmarkStart w:id="7816" w:name="_Toc175859707"/>
      <w:bookmarkStart w:id="7817" w:name="_Toc180605997"/>
      <w:bookmarkStart w:id="7818" w:name="_Toc185517251"/>
      <w:bookmarkStart w:id="7819" w:name="_Toc191576302"/>
      <w:bookmarkStart w:id="7820" w:name="_Toc191577042"/>
      <w:bookmarkStart w:id="7821" w:name="_Toc192880112"/>
      <w:bookmarkStart w:id="7822" w:name="_Toc195814995"/>
      <w:bookmarkStart w:id="7823" w:name="_Toc199452962"/>
      <w:r>
        <w:t>5.1.6.2.73</w:t>
      </w:r>
      <w:r>
        <w:tab/>
        <w:t>Type PfdDeterminationInfo</w:t>
      </w:r>
      <w:bookmarkEnd w:id="7813"/>
      <w:bookmarkEnd w:id="7814"/>
      <w:bookmarkEnd w:id="7815"/>
      <w:bookmarkEnd w:id="7816"/>
      <w:bookmarkEnd w:id="7817"/>
      <w:bookmarkEnd w:id="7818"/>
      <w:bookmarkEnd w:id="7819"/>
      <w:bookmarkEnd w:id="7820"/>
      <w:bookmarkEnd w:id="7821"/>
      <w:bookmarkEnd w:id="7822"/>
      <w:bookmarkEnd w:id="7823"/>
    </w:p>
    <w:p w14:paraId="329EE9D4" w14:textId="77777777" w:rsidR="00640768" w:rsidRDefault="00640768" w:rsidP="00640768">
      <w:pPr>
        <w:pStyle w:val="TH"/>
      </w:pPr>
      <w:bookmarkStart w:id="7824" w:name="_Toc136562443"/>
      <w:bookmarkStart w:id="7825" w:name="_Toc138754277"/>
      <w:bookmarkStart w:id="7826" w:name="_Toc145705764"/>
      <w:bookmarkStart w:id="7827" w:name="_Toc148522668"/>
      <w:r>
        <w:t>Table 5.1.6.2.73-1: Definition of type PfdDeterminationInfo</w:t>
      </w:r>
    </w:p>
    <w:tbl>
      <w:tblPr>
        <w:tblW w:w="9606"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7"/>
        <w:gridCol w:w="1566"/>
        <w:gridCol w:w="427"/>
        <w:gridCol w:w="1138"/>
        <w:gridCol w:w="2867"/>
        <w:gridCol w:w="1851"/>
      </w:tblGrid>
      <w:tr w:rsidR="00640768" w14:paraId="42AC5990" w14:textId="77777777" w:rsidTr="002A71FE">
        <w:trPr>
          <w:jc w:val="center"/>
        </w:trPr>
        <w:tc>
          <w:tcPr>
            <w:tcW w:w="1757" w:type="dxa"/>
            <w:tcBorders>
              <w:top w:val="single" w:sz="6" w:space="0" w:color="auto"/>
              <w:left w:val="single" w:sz="6" w:space="0" w:color="auto"/>
              <w:bottom w:val="single" w:sz="6" w:space="0" w:color="auto"/>
              <w:right w:val="single" w:sz="6" w:space="0" w:color="auto"/>
            </w:tcBorders>
            <w:shd w:val="clear" w:color="auto" w:fill="C0C0C0"/>
          </w:tcPr>
          <w:p w14:paraId="157D3FD0" w14:textId="77777777" w:rsidR="00640768" w:rsidRDefault="00640768" w:rsidP="002A71FE">
            <w:pPr>
              <w:pStyle w:val="TAH"/>
              <w:ind w:left="400" w:hanging="400"/>
            </w:pPr>
            <w:r>
              <w:t>Attribute name</w:t>
            </w:r>
          </w:p>
        </w:tc>
        <w:tc>
          <w:tcPr>
            <w:tcW w:w="1566" w:type="dxa"/>
            <w:tcBorders>
              <w:top w:val="single" w:sz="6" w:space="0" w:color="auto"/>
              <w:left w:val="single" w:sz="6" w:space="0" w:color="auto"/>
              <w:bottom w:val="single" w:sz="6" w:space="0" w:color="auto"/>
              <w:right w:val="single" w:sz="6" w:space="0" w:color="auto"/>
            </w:tcBorders>
            <w:shd w:val="clear" w:color="auto" w:fill="C0C0C0"/>
          </w:tcPr>
          <w:p w14:paraId="0105C138" w14:textId="77777777" w:rsidR="00640768" w:rsidRDefault="00640768" w:rsidP="002A71FE">
            <w:pPr>
              <w:pStyle w:val="TAH"/>
              <w:ind w:left="400" w:hanging="400"/>
            </w:pPr>
            <w:r>
              <w:t>Data type</w:t>
            </w:r>
          </w:p>
        </w:tc>
        <w:tc>
          <w:tcPr>
            <w:tcW w:w="427" w:type="dxa"/>
            <w:tcBorders>
              <w:top w:val="single" w:sz="6" w:space="0" w:color="auto"/>
              <w:left w:val="single" w:sz="6" w:space="0" w:color="auto"/>
              <w:bottom w:val="single" w:sz="6" w:space="0" w:color="auto"/>
              <w:right w:val="single" w:sz="6" w:space="0" w:color="auto"/>
            </w:tcBorders>
            <w:shd w:val="clear" w:color="auto" w:fill="C0C0C0"/>
          </w:tcPr>
          <w:p w14:paraId="54D22CBA" w14:textId="77777777" w:rsidR="00640768" w:rsidRDefault="00640768" w:rsidP="002A71FE">
            <w:pPr>
              <w:pStyle w:val="TAH"/>
              <w:ind w:left="400" w:hanging="400"/>
            </w:pPr>
            <w:r>
              <w:t>P</w:t>
            </w:r>
          </w:p>
        </w:tc>
        <w:tc>
          <w:tcPr>
            <w:tcW w:w="1138" w:type="dxa"/>
            <w:tcBorders>
              <w:top w:val="single" w:sz="6" w:space="0" w:color="auto"/>
              <w:left w:val="single" w:sz="6" w:space="0" w:color="auto"/>
              <w:bottom w:val="single" w:sz="6" w:space="0" w:color="auto"/>
              <w:right w:val="single" w:sz="6" w:space="0" w:color="auto"/>
            </w:tcBorders>
            <w:shd w:val="clear" w:color="auto" w:fill="C0C0C0"/>
          </w:tcPr>
          <w:p w14:paraId="1E0ABBEF" w14:textId="77777777" w:rsidR="00640768" w:rsidRDefault="00640768" w:rsidP="002A71FE">
            <w:pPr>
              <w:pStyle w:val="TAH"/>
              <w:ind w:left="400" w:hanging="400"/>
            </w:pPr>
            <w:r>
              <w:t>Cardinality</w:t>
            </w:r>
          </w:p>
        </w:tc>
        <w:tc>
          <w:tcPr>
            <w:tcW w:w="2867" w:type="dxa"/>
            <w:tcBorders>
              <w:top w:val="single" w:sz="6" w:space="0" w:color="auto"/>
              <w:left w:val="single" w:sz="6" w:space="0" w:color="auto"/>
              <w:bottom w:val="single" w:sz="6" w:space="0" w:color="auto"/>
              <w:right w:val="single" w:sz="6" w:space="0" w:color="auto"/>
            </w:tcBorders>
            <w:shd w:val="clear" w:color="auto" w:fill="C0C0C0"/>
          </w:tcPr>
          <w:p w14:paraId="1CD86F08" w14:textId="77777777" w:rsidR="00640768" w:rsidRDefault="00640768" w:rsidP="002A71FE">
            <w:pPr>
              <w:pStyle w:val="TAH"/>
              <w:ind w:left="400" w:hanging="400"/>
            </w:pPr>
            <w:r>
              <w:t>Description</w:t>
            </w:r>
          </w:p>
        </w:tc>
        <w:tc>
          <w:tcPr>
            <w:tcW w:w="1851" w:type="dxa"/>
            <w:tcBorders>
              <w:top w:val="single" w:sz="6" w:space="0" w:color="auto"/>
              <w:left w:val="single" w:sz="6" w:space="0" w:color="auto"/>
              <w:bottom w:val="single" w:sz="6" w:space="0" w:color="auto"/>
              <w:right w:val="single" w:sz="6" w:space="0" w:color="auto"/>
            </w:tcBorders>
            <w:shd w:val="clear" w:color="auto" w:fill="C0C0C0"/>
          </w:tcPr>
          <w:p w14:paraId="36284A04" w14:textId="77777777" w:rsidR="00640768" w:rsidRDefault="00640768" w:rsidP="002A71FE">
            <w:pPr>
              <w:pStyle w:val="TAH"/>
              <w:ind w:left="400" w:hanging="400"/>
            </w:pPr>
            <w:r>
              <w:t>Applicability</w:t>
            </w:r>
          </w:p>
        </w:tc>
      </w:tr>
      <w:tr w:rsidR="00640768" w14:paraId="5F62D22C" w14:textId="77777777" w:rsidTr="002A71FE">
        <w:trPr>
          <w:jc w:val="center"/>
        </w:trPr>
        <w:tc>
          <w:tcPr>
            <w:tcW w:w="1757" w:type="dxa"/>
            <w:tcBorders>
              <w:top w:val="single" w:sz="6" w:space="0" w:color="auto"/>
              <w:left w:val="single" w:sz="6" w:space="0" w:color="auto"/>
              <w:bottom w:val="single" w:sz="6" w:space="0" w:color="auto"/>
              <w:right w:val="single" w:sz="6" w:space="0" w:color="auto"/>
            </w:tcBorders>
          </w:tcPr>
          <w:p w14:paraId="68F4C88B" w14:textId="77777777" w:rsidR="00640768" w:rsidRDefault="00640768" w:rsidP="002A71FE">
            <w:pPr>
              <w:pStyle w:val="TAL"/>
              <w:rPr>
                <w:lang w:eastAsia="zh-CN"/>
              </w:rPr>
            </w:pPr>
            <w:r>
              <w:rPr>
                <w:rFonts w:hint="eastAsia"/>
                <w:lang w:eastAsia="zh-CN"/>
              </w:rPr>
              <w:t>a</w:t>
            </w:r>
            <w:r>
              <w:rPr>
                <w:lang w:eastAsia="zh-CN"/>
              </w:rPr>
              <w:t>ppId</w:t>
            </w:r>
          </w:p>
        </w:tc>
        <w:tc>
          <w:tcPr>
            <w:tcW w:w="1566" w:type="dxa"/>
            <w:tcBorders>
              <w:top w:val="single" w:sz="6" w:space="0" w:color="auto"/>
              <w:left w:val="single" w:sz="6" w:space="0" w:color="auto"/>
              <w:bottom w:val="single" w:sz="6" w:space="0" w:color="auto"/>
              <w:right w:val="single" w:sz="6" w:space="0" w:color="auto"/>
            </w:tcBorders>
          </w:tcPr>
          <w:p w14:paraId="11BE7788" w14:textId="77777777" w:rsidR="00640768" w:rsidRDefault="00640768" w:rsidP="002A71FE">
            <w:pPr>
              <w:pStyle w:val="TAL"/>
            </w:pPr>
            <w:r>
              <w:t>ApplicationId</w:t>
            </w:r>
          </w:p>
        </w:tc>
        <w:tc>
          <w:tcPr>
            <w:tcW w:w="427" w:type="dxa"/>
            <w:tcBorders>
              <w:top w:val="single" w:sz="6" w:space="0" w:color="auto"/>
              <w:left w:val="single" w:sz="6" w:space="0" w:color="auto"/>
              <w:bottom w:val="single" w:sz="6" w:space="0" w:color="auto"/>
              <w:right w:val="single" w:sz="6" w:space="0" w:color="auto"/>
            </w:tcBorders>
          </w:tcPr>
          <w:p w14:paraId="52FC599F" w14:textId="77777777" w:rsidR="00640768" w:rsidRDefault="00640768" w:rsidP="002A71FE">
            <w:pPr>
              <w:pStyle w:val="TAC"/>
            </w:pPr>
            <w:r>
              <w:t>M</w:t>
            </w:r>
          </w:p>
        </w:tc>
        <w:tc>
          <w:tcPr>
            <w:tcW w:w="1138" w:type="dxa"/>
            <w:tcBorders>
              <w:top w:val="single" w:sz="6" w:space="0" w:color="auto"/>
              <w:left w:val="single" w:sz="6" w:space="0" w:color="auto"/>
              <w:bottom w:val="single" w:sz="6" w:space="0" w:color="auto"/>
              <w:right w:val="single" w:sz="6" w:space="0" w:color="auto"/>
            </w:tcBorders>
          </w:tcPr>
          <w:p w14:paraId="360711F6" w14:textId="77777777" w:rsidR="00640768" w:rsidRDefault="00640768" w:rsidP="002A71FE">
            <w:pPr>
              <w:pStyle w:val="TAL"/>
            </w:pPr>
            <w:r>
              <w:t>1</w:t>
            </w:r>
          </w:p>
        </w:tc>
        <w:tc>
          <w:tcPr>
            <w:tcW w:w="2867" w:type="dxa"/>
            <w:tcBorders>
              <w:top w:val="single" w:sz="6" w:space="0" w:color="auto"/>
              <w:left w:val="single" w:sz="6" w:space="0" w:color="auto"/>
              <w:bottom w:val="single" w:sz="6" w:space="0" w:color="auto"/>
              <w:right w:val="single" w:sz="6" w:space="0" w:color="auto"/>
            </w:tcBorders>
          </w:tcPr>
          <w:p w14:paraId="4848E51B" w14:textId="77777777" w:rsidR="00640768" w:rsidRDefault="00640768" w:rsidP="002A71FE">
            <w:pPr>
              <w:pStyle w:val="TAL"/>
            </w:pPr>
            <w:r>
              <w:t>Represents a known application identifier that refers to the application detection filter.</w:t>
            </w:r>
          </w:p>
        </w:tc>
        <w:tc>
          <w:tcPr>
            <w:tcW w:w="1851" w:type="dxa"/>
            <w:tcBorders>
              <w:top w:val="single" w:sz="6" w:space="0" w:color="auto"/>
              <w:left w:val="single" w:sz="6" w:space="0" w:color="auto"/>
              <w:bottom w:val="single" w:sz="6" w:space="0" w:color="auto"/>
              <w:right w:val="single" w:sz="6" w:space="0" w:color="auto"/>
            </w:tcBorders>
          </w:tcPr>
          <w:p w14:paraId="2F8A1560" w14:textId="77777777" w:rsidR="00640768" w:rsidRDefault="00640768" w:rsidP="002A71FE">
            <w:pPr>
              <w:pStyle w:val="TAL"/>
              <w:rPr>
                <w:rFonts w:cs="Arial"/>
                <w:szCs w:val="18"/>
              </w:rPr>
            </w:pPr>
          </w:p>
        </w:tc>
      </w:tr>
      <w:tr w:rsidR="00640768" w14:paraId="392AA7A1" w14:textId="77777777" w:rsidTr="002A71FE">
        <w:trPr>
          <w:jc w:val="center"/>
        </w:trPr>
        <w:tc>
          <w:tcPr>
            <w:tcW w:w="1757" w:type="dxa"/>
            <w:tcBorders>
              <w:top w:val="single" w:sz="6" w:space="0" w:color="auto"/>
              <w:left w:val="single" w:sz="6" w:space="0" w:color="auto"/>
              <w:bottom w:val="single" w:sz="6" w:space="0" w:color="auto"/>
              <w:right w:val="single" w:sz="6" w:space="0" w:color="auto"/>
            </w:tcBorders>
          </w:tcPr>
          <w:p w14:paraId="6D25DB11" w14:textId="77777777" w:rsidR="00640768" w:rsidRDefault="00640768" w:rsidP="002A71FE">
            <w:pPr>
              <w:pStyle w:val="TAL"/>
              <w:rPr>
                <w:lang w:eastAsia="zh-CN"/>
              </w:rPr>
            </w:pPr>
            <w:r>
              <w:rPr>
                <w:lang w:eastAsia="zh-CN"/>
              </w:rPr>
              <w:t>suggPfdInfoList</w:t>
            </w:r>
          </w:p>
        </w:tc>
        <w:tc>
          <w:tcPr>
            <w:tcW w:w="1566" w:type="dxa"/>
            <w:tcBorders>
              <w:top w:val="single" w:sz="6" w:space="0" w:color="auto"/>
              <w:left w:val="single" w:sz="6" w:space="0" w:color="auto"/>
              <w:bottom w:val="single" w:sz="6" w:space="0" w:color="auto"/>
              <w:right w:val="single" w:sz="6" w:space="0" w:color="auto"/>
            </w:tcBorders>
          </w:tcPr>
          <w:p w14:paraId="60520965" w14:textId="77777777" w:rsidR="00640768" w:rsidRDefault="00640768" w:rsidP="002A71FE">
            <w:pPr>
              <w:pStyle w:val="TAL"/>
            </w:pPr>
            <w:r>
              <w:t>array(SuggestedPfdInfo)</w:t>
            </w:r>
          </w:p>
        </w:tc>
        <w:tc>
          <w:tcPr>
            <w:tcW w:w="427" w:type="dxa"/>
            <w:tcBorders>
              <w:top w:val="single" w:sz="6" w:space="0" w:color="auto"/>
              <w:left w:val="single" w:sz="6" w:space="0" w:color="auto"/>
              <w:bottom w:val="single" w:sz="6" w:space="0" w:color="auto"/>
              <w:right w:val="single" w:sz="6" w:space="0" w:color="auto"/>
            </w:tcBorders>
          </w:tcPr>
          <w:p w14:paraId="463F4906" w14:textId="77777777" w:rsidR="00640768" w:rsidRDefault="00640768" w:rsidP="002A71FE">
            <w:pPr>
              <w:pStyle w:val="TAC"/>
            </w:pPr>
            <w:r>
              <w:t>M</w:t>
            </w:r>
          </w:p>
        </w:tc>
        <w:tc>
          <w:tcPr>
            <w:tcW w:w="1138" w:type="dxa"/>
            <w:tcBorders>
              <w:top w:val="single" w:sz="6" w:space="0" w:color="auto"/>
              <w:left w:val="single" w:sz="6" w:space="0" w:color="auto"/>
              <w:bottom w:val="single" w:sz="6" w:space="0" w:color="auto"/>
              <w:right w:val="single" w:sz="6" w:space="0" w:color="auto"/>
            </w:tcBorders>
          </w:tcPr>
          <w:p w14:paraId="04E14326" w14:textId="77777777" w:rsidR="00640768" w:rsidRDefault="00640768" w:rsidP="002A71FE">
            <w:pPr>
              <w:pStyle w:val="TAL"/>
            </w:pPr>
            <w:r>
              <w:t>1..N</w:t>
            </w:r>
          </w:p>
        </w:tc>
        <w:tc>
          <w:tcPr>
            <w:tcW w:w="2867" w:type="dxa"/>
            <w:tcBorders>
              <w:top w:val="single" w:sz="6" w:space="0" w:color="auto"/>
              <w:left w:val="single" w:sz="6" w:space="0" w:color="auto"/>
              <w:bottom w:val="single" w:sz="6" w:space="0" w:color="auto"/>
              <w:right w:val="single" w:sz="6" w:space="0" w:color="auto"/>
            </w:tcBorders>
          </w:tcPr>
          <w:p w14:paraId="50D9C5B8" w14:textId="77777777" w:rsidR="00640768" w:rsidRDefault="00640768" w:rsidP="002A71FE">
            <w:pPr>
              <w:pStyle w:val="TAL"/>
            </w:pPr>
            <w:r>
              <w:t>Represents the s</w:t>
            </w:r>
            <w:r w:rsidRPr="009F6E52">
              <w:t>uggested PFD information for the application</w:t>
            </w:r>
            <w:r>
              <w:t xml:space="preserve"> identifier</w:t>
            </w:r>
            <w:r w:rsidRPr="009F6E52">
              <w:t>.</w:t>
            </w:r>
          </w:p>
        </w:tc>
        <w:tc>
          <w:tcPr>
            <w:tcW w:w="1851" w:type="dxa"/>
            <w:tcBorders>
              <w:top w:val="single" w:sz="6" w:space="0" w:color="auto"/>
              <w:left w:val="single" w:sz="6" w:space="0" w:color="auto"/>
              <w:bottom w:val="single" w:sz="6" w:space="0" w:color="auto"/>
              <w:right w:val="single" w:sz="6" w:space="0" w:color="auto"/>
            </w:tcBorders>
          </w:tcPr>
          <w:p w14:paraId="4D831788" w14:textId="77777777" w:rsidR="00640768" w:rsidRDefault="00640768" w:rsidP="002A71FE">
            <w:pPr>
              <w:pStyle w:val="TAL"/>
              <w:rPr>
                <w:rFonts w:cs="Arial"/>
                <w:szCs w:val="18"/>
              </w:rPr>
            </w:pPr>
          </w:p>
        </w:tc>
      </w:tr>
    </w:tbl>
    <w:p w14:paraId="346DA28E" w14:textId="77777777" w:rsidR="00640768" w:rsidRDefault="00640768" w:rsidP="00640768"/>
    <w:p w14:paraId="6D01FDF8" w14:textId="77777777" w:rsidR="00A10B25" w:rsidRDefault="00A10B25">
      <w:pPr>
        <w:pStyle w:val="5"/>
      </w:pPr>
      <w:bookmarkStart w:id="7828" w:name="_Toc164920848"/>
      <w:bookmarkStart w:id="7829" w:name="_Toc170120390"/>
      <w:bookmarkStart w:id="7830" w:name="_Toc175858635"/>
      <w:bookmarkStart w:id="7831" w:name="_Toc175859708"/>
      <w:bookmarkStart w:id="7832" w:name="_Toc180605998"/>
      <w:bookmarkStart w:id="7833" w:name="_Toc185517252"/>
      <w:bookmarkStart w:id="7834" w:name="_Toc191576303"/>
      <w:bookmarkStart w:id="7835" w:name="_Toc191577043"/>
      <w:bookmarkStart w:id="7836" w:name="_Toc192880113"/>
      <w:bookmarkStart w:id="7837" w:name="_Toc195814996"/>
      <w:bookmarkStart w:id="7838" w:name="_Toc199452963"/>
      <w:r>
        <w:lastRenderedPageBreak/>
        <w:t>5.1.6.2.74</w:t>
      </w:r>
      <w:r>
        <w:tab/>
        <w:t>Type PduSessionInfo</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007911E0" w14:textId="77777777" w:rsidR="00A10B25" w:rsidRDefault="00A10B25">
      <w:pPr>
        <w:pStyle w:val="TH"/>
      </w:pPr>
      <w:r>
        <w:t>Table 5.1.6.2.74-1: Definition of type PduSessionInfo</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A10B25" w14:paraId="76CA188E" w14:textId="77777777">
        <w:trPr>
          <w:jc w:val="center"/>
        </w:trPr>
        <w:tc>
          <w:tcPr>
            <w:tcW w:w="1750" w:type="dxa"/>
            <w:shd w:val="clear" w:color="auto" w:fill="C0C0C0"/>
          </w:tcPr>
          <w:p w14:paraId="3FAF7EBD" w14:textId="77777777" w:rsidR="00A10B25" w:rsidRDefault="00A10B25">
            <w:pPr>
              <w:pStyle w:val="TAH"/>
              <w:ind w:left="400" w:hanging="400"/>
            </w:pPr>
            <w:r>
              <w:t>Attribute name</w:t>
            </w:r>
          </w:p>
        </w:tc>
        <w:tc>
          <w:tcPr>
            <w:tcW w:w="1560" w:type="dxa"/>
            <w:shd w:val="clear" w:color="auto" w:fill="C0C0C0"/>
          </w:tcPr>
          <w:p w14:paraId="4A9DF3A0" w14:textId="77777777" w:rsidR="00A10B25" w:rsidRDefault="00A10B25">
            <w:pPr>
              <w:pStyle w:val="TAH"/>
              <w:ind w:left="400" w:hanging="400"/>
            </w:pPr>
            <w:r>
              <w:t>Data type</w:t>
            </w:r>
          </w:p>
        </w:tc>
        <w:tc>
          <w:tcPr>
            <w:tcW w:w="425" w:type="dxa"/>
            <w:shd w:val="clear" w:color="auto" w:fill="C0C0C0"/>
          </w:tcPr>
          <w:p w14:paraId="289813B3" w14:textId="77777777" w:rsidR="00A10B25" w:rsidRDefault="00A10B25">
            <w:pPr>
              <w:pStyle w:val="TAH"/>
              <w:ind w:left="400" w:hanging="400"/>
            </w:pPr>
            <w:r>
              <w:t>P</w:t>
            </w:r>
          </w:p>
        </w:tc>
        <w:tc>
          <w:tcPr>
            <w:tcW w:w="1134" w:type="dxa"/>
            <w:shd w:val="clear" w:color="auto" w:fill="C0C0C0"/>
          </w:tcPr>
          <w:p w14:paraId="6D3873F2" w14:textId="77777777" w:rsidR="00A10B25" w:rsidRDefault="00A10B25">
            <w:pPr>
              <w:pStyle w:val="TAH"/>
              <w:ind w:left="400" w:hanging="400"/>
            </w:pPr>
            <w:r>
              <w:t>Cardinality</w:t>
            </w:r>
          </w:p>
        </w:tc>
        <w:tc>
          <w:tcPr>
            <w:tcW w:w="2857" w:type="dxa"/>
            <w:shd w:val="clear" w:color="auto" w:fill="C0C0C0"/>
          </w:tcPr>
          <w:p w14:paraId="29C4F46A" w14:textId="77777777" w:rsidR="00A10B25" w:rsidRDefault="00A10B25">
            <w:pPr>
              <w:pStyle w:val="TAH"/>
              <w:ind w:left="400" w:hanging="400"/>
            </w:pPr>
            <w:r>
              <w:t>Description</w:t>
            </w:r>
          </w:p>
        </w:tc>
        <w:tc>
          <w:tcPr>
            <w:tcW w:w="1844" w:type="dxa"/>
            <w:shd w:val="clear" w:color="auto" w:fill="C0C0C0"/>
          </w:tcPr>
          <w:p w14:paraId="03E156C3" w14:textId="77777777" w:rsidR="00A10B25" w:rsidRDefault="00A10B25">
            <w:pPr>
              <w:pStyle w:val="TAH"/>
              <w:ind w:left="400" w:hanging="400"/>
            </w:pPr>
            <w:r>
              <w:t>Applicability</w:t>
            </w:r>
          </w:p>
        </w:tc>
      </w:tr>
      <w:tr w:rsidR="00A10B25" w14:paraId="67F7D12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421CF5C0" w14:textId="77777777" w:rsidR="00A10B25" w:rsidRDefault="00A10B25">
            <w:pPr>
              <w:pStyle w:val="TAL"/>
              <w:rPr>
                <w:lang w:eastAsia="zh-CN"/>
              </w:rPr>
            </w:pPr>
            <w:r>
              <w:rPr>
                <w:lang w:eastAsia="zh-CN"/>
              </w:rPr>
              <w:t>pduSessType</w:t>
            </w:r>
          </w:p>
        </w:tc>
        <w:tc>
          <w:tcPr>
            <w:tcW w:w="1560" w:type="dxa"/>
            <w:tcBorders>
              <w:top w:val="single" w:sz="6" w:space="0" w:color="auto"/>
              <w:left w:val="single" w:sz="6" w:space="0" w:color="auto"/>
              <w:bottom w:val="single" w:sz="6" w:space="0" w:color="auto"/>
              <w:right w:val="single" w:sz="6" w:space="0" w:color="auto"/>
            </w:tcBorders>
          </w:tcPr>
          <w:p w14:paraId="6C0C8B75" w14:textId="77777777" w:rsidR="00A10B25" w:rsidRDefault="00A10B25">
            <w:pPr>
              <w:pStyle w:val="TAL"/>
              <w:rPr>
                <w:lang w:eastAsia="zh-CN"/>
              </w:rPr>
            </w:pPr>
            <w:r>
              <w:rPr>
                <w:lang w:eastAsia="zh-CN"/>
              </w:rPr>
              <w:t>PduSessionType</w:t>
            </w:r>
          </w:p>
        </w:tc>
        <w:tc>
          <w:tcPr>
            <w:tcW w:w="425" w:type="dxa"/>
            <w:tcBorders>
              <w:top w:val="single" w:sz="6" w:space="0" w:color="auto"/>
              <w:left w:val="single" w:sz="6" w:space="0" w:color="auto"/>
              <w:bottom w:val="single" w:sz="6" w:space="0" w:color="auto"/>
              <w:right w:val="single" w:sz="6" w:space="0" w:color="auto"/>
            </w:tcBorders>
          </w:tcPr>
          <w:p w14:paraId="384EF6FF"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48667944"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1E46FD5F" w14:textId="77777777" w:rsidR="00A10B25" w:rsidRDefault="00A10B25">
            <w:pPr>
              <w:pStyle w:val="TAL"/>
              <w:rPr>
                <w:rFonts w:cs="Arial"/>
                <w:szCs w:val="18"/>
              </w:rPr>
            </w:pPr>
            <w:r>
              <w:rPr>
                <w:rFonts w:cs="Arial"/>
                <w:szCs w:val="18"/>
              </w:rPr>
              <w:t xml:space="preserve">Represents the PDU Session Type. </w:t>
            </w:r>
          </w:p>
        </w:tc>
        <w:tc>
          <w:tcPr>
            <w:tcW w:w="1844" w:type="dxa"/>
            <w:tcBorders>
              <w:top w:val="single" w:sz="6" w:space="0" w:color="auto"/>
              <w:left w:val="single" w:sz="6" w:space="0" w:color="auto"/>
              <w:bottom w:val="single" w:sz="6" w:space="0" w:color="auto"/>
              <w:right w:val="single" w:sz="6" w:space="0" w:color="auto"/>
            </w:tcBorders>
          </w:tcPr>
          <w:p w14:paraId="2472ECEC" w14:textId="77777777" w:rsidR="00A10B25" w:rsidRDefault="00A10B25">
            <w:pPr>
              <w:pStyle w:val="TAL"/>
              <w:rPr>
                <w:rFonts w:cs="Arial"/>
                <w:szCs w:val="18"/>
              </w:rPr>
            </w:pPr>
          </w:p>
        </w:tc>
      </w:tr>
      <w:tr w:rsidR="00A10B25" w14:paraId="24D679C3"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2920BB70" w14:textId="77777777" w:rsidR="00A10B25" w:rsidRDefault="00A10B25">
            <w:pPr>
              <w:pStyle w:val="TAL"/>
              <w:rPr>
                <w:lang w:eastAsia="zh-CN"/>
              </w:rPr>
            </w:pPr>
            <w:r>
              <w:rPr>
                <w:lang w:eastAsia="zh-CN"/>
              </w:rPr>
              <w:t>sscMode</w:t>
            </w:r>
          </w:p>
        </w:tc>
        <w:tc>
          <w:tcPr>
            <w:tcW w:w="1560" w:type="dxa"/>
            <w:tcBorders>
              <w:top w:val="single" w:sz="6" w:space="0" w:color="auto"/>
              <w:left w:val="single" w:sz="6" w:space="0" w:color="auto"/>
              <w:bottom w:val="single" w:sz="6" w:space="0" w:color="auto"/>
              <w:right w:val="single" w:sz="6" w:space="0" w:color="auto"/>
            </w:tcBorders>
          </w:tcPr>
          <w:p w14:paraId="67C3767A" w14:textId="77777777" w:rsidR="00A10B25" w:rsidRDefault="00A10B25">
            <w:pPr>
              <w:pStyle w:val="TAL"/>
              <w:rPr>
                <w:lang w:eastAsia="zh-CN"/>
              </w:rPr>
            </w:pPr>
            <w:r>
              <w:rPr>
                <w:lang w:eastAsia="zh-CN"/>
              </w:rPr>
              <w:t>SscMode</w:t>
            </w:r>
          </w:p>
        </w:tc>
        <w:tc>
          <w:tcPr>
            <w:tcW w:w="425" w:type="dxa"/>
            <w:tcBorders>
              <w:top w:val="single" w:sz="6" w:space="0" w:color="auto"/>
              <w:left w:val="single" w:sz="6" w:space="0" w:color="auto"/>
              <w:bottom w:val="single" w:sz="6" w:space="0" w:color="auto"/>
              <w:right w:val="single" w:sz="6" w:space="0" w:color="auto"/>
            </w:tcBorders>
          </w:tcPr>
          <w:p w14:paraId="50A50867" w14:textId="77777777" w:rsidR="00A10B25" w:rsidRDefault="00A10B2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402857" w14:textId="77777777" w:rsidR="00A10B25" w:rsidRDefault="00A10B25">
            <w:pPr>
              <w:pStyle w:val="TAL"/>
            </w:pPr>
            <w:r>
              <w:t>0..1</w:t>
            </w:r>
          </w:p>
        </w:tc>
        <w:tc>
          <w:tcPr>
            <w:tcW w:w="2857" w:type="dxa"/>
            <w:tcBorders>
              <w:top w:val="single" w:sz="6" w:space="0" w:color="auto"/>
              <w:left w:val="single" w:sz="6" w:space="0" w:color="auto"/>
              <w:bottom w:val="single" w:sz="6" w:space="0" w:color="auto"/>
              <w:right w:val="single" w:sz="6" w:space="0" w:color="auto"/>
            </w:tcBorders>
          </w:tcPr>
          <w:p w14:paraId="4658720A" w14:textId="77777777" w:rsidR="00A10B25" w:rsidRDefault="00A10B25">
            <w:pPr>
              <w:pStyle w:val="TAL"/>
              <w:rPr>
                <w:rFonts w:cs="Arial"/>
                <w:szCs w:val="18"/>
              </w:rPr>
            </w:pPr>
            <w:r>
              <w:rPr>
                <w:rFonts w:cs="Arial"/>
                <w:szCs w:val="18"/>
              </w:rPr>
              <w:t>Represents the SSC mode of the PDU Session.</w:t>
            </w:r>
          </w:p>
        </w:tc>
        <w:tc>
          <w:tcPr>
            <w:tcW w:w="1844" w:type="dxa"/>
            <w:tcBorders>
              <w:top w:val="single" w:sz="6" w:space="0" w:color="auto"/>
              <w:left w:val="single" w:sz="6" w:space="0" w:color="auto"/>
              <w:bottom w:val="single" w:sz="6" w:space="0" w:color="auto"/>
              <w:right w:val="single" w:sz="6" w:space="0" w:color="auto"/>
            </w:tcBorders>
          </w:tcPr>
          <w:p w14:paraId="4A1BBAB4" w14:textId="77777777" w:rsidR="00A10B25" w:rsidRDefault="00A10B25">
            <w:pPr>
              <w:pStyle w:val="TAL"/>
              <w:rPr>
                <w:rFonts w:cs="Arial"/>
                <w:szCs w:val="18"/>
              </w:rPr>
            </w:pPr>
          </w:p>
        </w:tc>
      </w:tr>
      <w:tr w:rsidR="00A10B25" w14:paraId="700AC52C" w14:textId="77777777">
        <w:trPr>
          <w:jc w:val="center"/>
        </w:trPr>
        <w:tc>
          <w:tcPr>
            <w:tcW w:w="1750" w:type="dxa"/>
            <w:tcBorders>
              <w:bottom w:val="single" w:sz="4" w:space="0" w:color="auto"/>
            </w:tcBorders>
          </w:tcPr>
          <w:p w14:paraId="5309F6AB" w14:textId="77777777" w:rsidR="00A10B25" w:rsidRDefault="00A10B25">
            <w:pPr>
              <w:pStyle w:val="TAL"/>
              <w:rPr>
                <w:lang w:eastAsia="zh-CN"/>
              </w:rPr>
            </w:pPr>
            <w:r>
              <w:rPr>
                <w:lang w:eastAsia="zh-CN"/>
              </w:rPr>
              <w:t>accessTypes</w:t>
            </w:r>
          </w:p>
        </w:tc>
        <w:tc>
          <w:tcPr>
            <w:tcW w:w="1560" w:type="dxa"/>
            <w:tcBorders>
              <w:bottom w:val="single" w:sz="4" w:space="0" w:color="auto"/>
            </w:tcBorders>
          </w:tcPr>
          <w:p w14:paraId="4048ED3D" w14:textId="77777777" w:rsidR="00A10B25" w:rsidRDefault="00A10B25">
            <w:pPr>
              <w:pStyle w:val="TAL"/>
              <w:rPr>
                <w:lang w:eastAsia="zh-CN"/>
              </w:rPr>
            </w:pPr>
            <w:r>
              <w:rPr>
                <w:lang w:eastAsia="zh-CN"/>
              </w:rPr>
              <w:t>array(AccessType)</w:t>
            </w:r>
          </w:p>
        </w:tc>
        <w:tc>
          <w:tcPr>
            <w:tcW w:w="425" w:type="dxa"/>
            <w:tcBorders>
              <w:bottom w:val="single" w:sz="4" w:space="0" w:color="auto"/>
            </w:tcBorders>
          </w:tcPr>
          <w:p w14:paraId="48C2254F" w14:textId="77777777" w:rsidR="00A10B25" w:rsidRDefault="00A10B25">
            <w:pPr>
              <w:pStyle w:val="TAC"/>
            </w:pPr>
            <w:r>
              <w:t>O</w:t>
            </w:r>
          </w:p>
        </w:tc>
        <w:tc>
          <w:tcPr>
            <w:tcW w:w="1134" w:type="dxa"/>
            <w:tcBorders>
              <w:bottom w:val="single" w:sz="4" w:space="0" w:color="auto"/>
            </w:tcBorders>
          </w:tcPr>
          <w:p w14:paraId="5B1E33F8" w14:textId="77777777" w:rsidR="00A10B25" w:rsidRDefault="00A10B25">
            <w:pPr>
              <w:pStyle w:val="TAL"/>
            </w:pPr>
            <w:r>
              <w:t>1..N</w:t>
            </w:r>
          </w:p>
        </w:tc>
        <w:tc>
          <w:tcPr>
            <w:tcW w:w="2857" w:type="dxa"/>
            <w:tcBorders>
              <w:bottom w:val="single" w:sz="4" w:space="0" w:color="auto"/>
            </w:tcBorders>
          </w:tcPr>
          <w:p w14:paraId="30BC9CFE" w14:textId="77777777" w:rsidR="00A10B25" w:rsidRDefault="00A10B25">
            <w:pPr>
              <w:pStyle w:val="TAL"/>
              <w:rPr>
                <w:rFonts w:cs="Arial"/>
                <w:szCs w:val="18"/>
              </w:rPr>
            </w:pPr>
            <w:r>
              <w:rPr>
                <w:rFonts w:cs="Arial"/>
                <w:szCs w:val="18"/>
              </w:rPr>
              <w:t>Represents the access types.</w:t>
            </w:r>
          </w:p>
        </w:tc>
        <w:tc>
          <w:tcPr>
            <w:tcW w:w="1844" w:type="dxa"/>
            <w:tcBorders>
              <w:bottom w:val="single" w:sz="4" w:space="0" w:color="auto"/>
            </w:tcBorders>
          </w:tcPr>
          <w:p w14:paraId="4EDF8554" w14:textId="77777777" w:rsidR="00A10B25" w:rsidRDefault="00A10B25">
            <w:pPr>
              <w:pStyle w:val="TAL"/>
              <w:rPr>
                <w:rFonts w:cs="Arial"/>
                <w:szCs w:val="18"/>
              </w:rPr>
            </w:pPr>
          </w:p>
        </w:tc>
      </w:tr>
      <w:tr w:rsidR="00A10B25" w14:paraId="40F2A4D2" w14:textId="77777777">
        <w:trPr>
          <w:jc w:val="center"/>
        </w:trPr>
        <w:tc>
          <w:tcPr>
            <w:tcW w:w="9570" w:type="dxa"/>
            <w:gridSpan w:val="6"/>
            <w:tcBorders>
              <w:top w:val="single" w:sz="4" w:space="0" w:color="auto"/>
            </w:tcBorders>
          </w:tcPr>
          <w:p w14:paraId="683B2B22" w14:textId="77777777" w:rsidR="00A10B25" w:rsidRDefault="00A10B25">
            <w:pPr>
              <w:pStyle w:val="TAN"/>
              <w:rPr>
                <w:rFonts w:cs="Arial"/>
                <w:szCs w:val="18"/>
              </w:rPr>
            </w:pPr>
            <w:r>
              <w:t>NOTE:</w:t>
            </w:r>
            <w:r>
              <w:tab/>
              <w:t>The consumer may provide one of "dnns", "snssais" (contained in EventSubscription data type), "pduSessType", "</w:t>
            </w:r>
            <w:r>
              <w:rPr>
                <w:lang w:eastAsia="zh-CN"/>
              </w:rPr>
              <w:t>accessTypes</w:t>
            </w:r>
            <w:r>
              <w:t>" and "sscMode" attributes or provide a combination of these attributes.</w:t>
            </w:r>
          </w:p>
        </w:tc>
      </w:tr>
    </w:tbl>
    <w:p w14:paraId="37A9F497" w14:textId="77777777" w:rsidR="00A10B25" w:rsidRDefault="00A10B25"/>
    <w:p w14:paraId="0E1918B4" w14:textId="77777777" w:rsidR="00A10B25" w:rsidRDefault="00A10B25">
      <w:pPr>
        <w:pStyle w:val="5"/>
      </w:pPr>
      <w:bookmarkStart w:id="7839" w:name="_Toc136562444"/>
      <w:bookmarkStart w:id="7840" w:name="_Toc148522669"/>
      <w:bookmarkStart w:id="7841" w:name="_Toc138754278"/>
      <w:bookmarkStart w:id="7842" w:name="_Toc145705765"/>
      <w:bookmarkStart w:id="7843" w:name="_Toc164920849"/>
      <w:bookmarkStart w:id="7844" w:name="_Toc170120391"/>
      <w:bookmarkStart w:id="7845" w:name="_Toc175858636"/>
      <w:bookmarkStart w:id="7846" w:name="_Toc175859709"/>
      <w:bookmarkStart w:id="7847" w:name="_Toc180605999"/>
      <w:bookmarkStart w:id="7848" w:name="_Toc185517253"/>
      <w:bookmarkStart w:id="7849" w:name="_Toc191576304"/>
      <w:bookmarkStart w:id="7850" w:name="_Toc191577044"/>
      <w:bookmarkStart w:id="7851" w:name="_Toc192880114"/>
      <w:bookmarkStart w:id="7852" w:name="_Toc195814997"/>
      <w:bookmarkStart w:id="7853" w:name="_Toc199452964"/>
      <w:r>
        <w:t>5.1.6.2.75</w:t>
      </w:r>
      <w:r>
        <w:tab/>
        <w:t>Type DirectionInfo</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73D56EAE" w14:textId="77777777" w:rsidR="00A10B25" w:rsidRDefault="00A10B25">
      <w:pPr>
        <w:pStyle w:val="TH"/>
      </w:pPr>
      <w:r>
        <w:t>Table 5.1.6.2.75-1: Definition of type DirectionInfo</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2"/>
        <w:gridCol w:w="1559"/>
        <w:gridCol w:w="425"/>
        <w:gridCol w:w="1134"/>
        <w:gridCol w:w="2857"/>
        <w:gridCol w:w="1843"/>
      </w:tblGrid>
      <w:tr w:rsidR="00A10B25" w14:paraId="62FDB573" w14:textId="77777777">
        <w:trPr>
          <w:jc w:val="center"/>
        </w:trPr>
        <w:tc>
          <w:tcPr>
            <w:tcW w:w="1749" w:type="dxa"/>
            <w:tcBorders>
              <w:top w:val="single" w:sz="6" w:space="0" w:color="auto"/>
              <w:left w:val="single" w:sz="6" w:space="0" w:color="auto"/>
              <w:bottom w:val="single" w:sz="6" w:space="0" w:color="auto"/>
              <w:right w:val="single" w:sz="6" w:space="0" w:color="auto"/>
            </w:tcBorders>
            <w:shd w:val="clear" w:color="auto" w:fill="C0C0C0"/>
          </w:tcPr>
          <w:p w14:paraId="5E03F961" w14:textId="77777777" w:rsidR="00A10B25" w:rsidRDefault="00A10B25">
            <w:pPr>
              <w:pStyle w:val="TAH"/>
              <w:ind w:left="400" w:hanging="400"/>
            </w:pPr>
            <w:r>
              <w:t>Attribute name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5982D4EE" w14:textId="77777777" w:rsidR="00A10B25" w:rsidRDefault="00A10B25">
            <w:pPr>
              <w:pStyle w:val="TAH"/>
              <w:ind w:left="400" w:hanging="400"/>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0B2F8E5F" w14:textId="77777777" w:rsidR="00A10B25" w:rsidRDefault="00A10B25">
            <w:pPr>
              <w:pStyle w:val="TAH"/>
              <w:ind w:left="400" w:hanging="400"/>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A75992B" w14:textId="77777777" w:rsidR="00A10B25" w:rsidRDefault="00A10B25">
            <w:pPr>
              <w:pStyle w:val="TAH"/>
              <w:ind w:left="400" w:hanging="400"/>
            </w:pPr>
            <w:r>
              <w:t>Cardinality</w:t>
            </w:r>
          </w:p>
        </w:tc>
        <w:tc>
          <w:tcPr>
            <w:tcW w:w="2856" w:type="dxa"/>
            <w:tcBorders>
              <w:top w:val="single" w:sz="6" w:space="0" w:color="auto"/>
              <w:left w:val="single" w:sz="6" w:space="0" w:color="auto"/>
              <w:bottom w:val="single" w:sz="6" w:space="0" w:color="auto"/>
              <w:right w:val="single" w:sz="6" w:space="0" w:color="auto"/>
            </w:tcBorders>
            <w:shd w:val="clear" w:color="auto" w:fill="C0C0C0"/>
          </w:tcPr>
          <w:p w14:paraId="4C81EB79" w14:textId="77777777" w:rsidR="00A10B25" w:rsidRDefault="00A10B25">
            <w:pPr>
              <w:pStyle w:val="TAH"/>
              <w:ind w:left="400" w:hanging="400"/>
            </w:pPr>
            <w:r>
              <w:t>Description</w:t>
            </w:r>
          </w:p>
        </w:tc>
        <w:tc>
          <w:tcPr>
            <w:tcW w:w="1843" w:type="dxa"/>
            <w:tcBorders>
              <w:top w:val="single" w:sz="6" w:space="0" w:color="auto"/>
              <w:left w:val="single" w:sz="6" w:space="0" w:color="auto"/>
              <w:bottom w:val="single" w:sz="6" w:space="0" w:color="auto"/>
              <w:right w:val="single" w:sz="6" w:space="0" w:color="auto"/>
            </w:tcBorders>
            <w:shd w:val="clear" w:color="auto" w:fill="C0C0C0"/>
          </w:tcPr>
          <w:p w14:paraId="2F336D88" w14:textId="77777777" w:rsidR="00A10B25" w:rsidRDefault="00A10B25">
            <w:pPr>
              <w:pStyle w:val="TAH"/>
              <w:ind w:left="400" w:hanging="400"/>
            </w:pPr>
            <w:r>
              <w:t>Applicability</w:t>
            </w:r>
          </w:p>
        </w:tc>
      </w:tr>
      <w:tr w:rsidR="00A10B25" w14:paraId="2F283061"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3A26DBB6" w14:textId="77777777" w:rsidR="00A10B25" w:rsidRDefault="00A10B25">
            <w:pPr>
              <w:pStyle w:val="TAL"/>
              <w:rPr>
                <w:lang w:eastAsia="zh-CN"/>
              </w:rPr>
            </w:pPr>
            <w:r>
              <w:rPr>
                <w:lang w:eastAsia="zh-CN"/>
              </w:rPr>
              <w:t>supi</w:t>
            </w:r>
          </w:p>
        </w:tc>
        <w:tc>
          <w:tcPr>
            <w:tcW w:w="1559" w:type="dxa"/>
            <w:tcBorders>
              <w:top w:val="single" w:sz="6" w:space="0" w:color="auto"/>
              <w:left w:val="single" w:sz="6" w:space="0" w:color="auto"/>
              <w:bottom w:val="single" w:sz="6" w:space="0" w:color="auto"/>
              <w:right w:val="single" w:sz="6" w:space="0" w:color="auto"/>
            </w:tcBorders>
          </w:tcPr>
          <w:p w14:paraId="7FC7B446" w14:textId="77777777" w:rsidR="00A10B25" w:rsidRDefault="00A10B25">
            <w:pPr>
              <w:pStyle w:val="TAL"/>
              <w:rPr>
                <w:lang w:eastAsia="zh-CN"/>
              </w:rPr>
            </w:pPr>
            <w:r>
              <w:rPr>
                <w:lang w:eastAsia="zh-CN"/>
              </w:rPr>
              <w:t>Supi</w:t>
            </w:r>
          </w:p>
        </w:tc>
        <w:tc>
          <w:tcPr>
            <w:tcW w:w="425" w:type="dxa"/>
            <w:tcBorders>
              <w:top w:val="single" w:sz="6" w:space="0" w:color="auto"/>
              <w:left w:val="single" w:sz="6" w:space="0" w:color="auto"/>
              <w:bottom w:val="single" w:sz="6" w:space="0" w:color="auto"/>
              <w:right w:val="single" w:sz="6" w:space="0" w:color="auto"/>
            </w:tcBorders>
          </w:tcPr>
          <w:p w14:paraId="2B5BD57F" w14:textId="77777777" w:rsidR="00A10B25" w:rsidRDefault="00A10B25" w:rsidP="0076721C">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7D1A2A8C" w14:textId="77777777" w:rsidR="00A10B25" w:rsidRDefault="00A10B25">
            <w:pPr>
              <w:pStyle w:val="TAL"/>
              <w:rPr>
                <w:rFonts w:eastAsia="Times New Roman"/>
              </w:rPr>
            </w:pPr>
            <w:r>
              <w:rPr>
                <w:lang w:eastAsia="zh-CN"/>
              </w:rPr>
              <w:t>0..1</w:t>
            </w:r>
          </w:p>
        </w:tc>
        <w:tc>
          <w:tcPr>
            <w:tcW w:w="2856" w:type="dxa"/>
            <w:tcBorders>
              <w:top w:val="single" w:sz="6" w:space="0" w:color="auto"/>
              <w:left w:val="single" w:sz="6" w:space="0" w:color="auto"/>
              <w:bottom w:val="single" w:sz="6" w:space="0" w:color="auto"/>
              <w:right w:val="single" w:sz="6" w:space="0" w:color="auto"/>
            </w:tcBorders>
          </w:tcPr>
          <w:p w14:paraId="6FDF2CA6" w14:textId="77777777" w:rsidR="00A10B25" w:rsidRDefault="00A10B25">
            <w:pPr>
              <w:pStyle w:val="TAL"/>
              <w:rPr>
                <w:rFonts w:cs="Arial"/>
                <w:szCs w:val="18"/>
                <w:lang w:eastAsia="zh-CN"/>
              </w:rPr>
            </w:pPr>
            <w:r>
              <w:rPr>
                <w:rFonts w:cs="Arial"/>
                <w:szCs w:val="18"/>
                <w:lang w:eastAsia="zh-CN"/>
              </w:rPr>
              <w:t>Identifies a SUPI of a UE.</w:t>
            </w:r>
          </w:p>
          <w:p w14:paraId="5FC0DCCE" w14:textId="77777777" w:rsidR="00A10B25" w:rsidRDefault="00A10B25">
            <w:pPr>
              <w:pStyle w:val="TAL"/>
              <w:rPr>
                <w:rFonts w:eastAsia="Times New Roman" w:cs="Arial"/>
                <w:szCs w:val="18"/>
              </w:rPr>
            </w:pPr>
            <w:r>
              <w:rPr>
                <w:rFonts w:cs="Arial"/>
                <w:szCs w:val="18"/>
                <w:lang w:eastAsia="zh-CN"/>
              </w:rPr>
              <w:t>(NOTE</w:t>
            </w:r>
            <w:r>
              <w:t> 1</w:t>
            </w:r>
            <w:r>
              <w:rPr>
                <w:rFonts w:cs="Arial"/>
                <w:szCs w:val="18"/>
                <w:lang w:eastAsia="zh-CN"/>
              </w:rPr>
              <w:t>)</w:t>
            </w:r>
          </w:p>
        </w:tc>
        <w:tc>
          <w:tcPr>
            <w:tcW w:w="1843" w:type="dxa"/>
            <w:tcBorders>
              <w:top w:val="single" w:sz="6" w:space="0" w:color="auto"/>
              <w:left w:val="single" w:sz="6" w:space="0" w:color="auto"/>
              <w:bottom w:val="single" w:sz="6" w:space="0" w:color="auto"/>
              <w:right w:val="single" w:sz="6" w:space="0" w:color="auto"/>
            </w:tcBorders>
          </w:tcPr>
          <w:p w14:paraId="04E3B876" w14:textId="77777777" w:rsidR="00A10B25" w:rsidRDefault="00A10B25">
            <w:pPr>
              <w:pStyle w:val="TAL"/>
              <w:rPr>
                <w:rFonts w:cs="Arial"/>
                <w:szCs w:val="18"/>
              </w:rPr>
            </w:pPr>
          </w:p>
        </w:tc>
      </w:tr>
      <w:tr w:rsidR="00A10B25" w14:paraId="4FE652BB"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33D4C4D8" w14:textId="77777777" w:rsidR="00A10B25" w:rsidRDefault="00A10B25">
            <w:pPr>
              <w:pStyle w:val="TAL"/>
              <w:rPr>
                <w:lang w:eastAsia="zh-CN"/>
              </w:rPr>
            </w:pPr>
            <w:r>
              <w:rPr>
                <w:lang w:eastAsia="zh-CN"/>
              </w:rPr>
              <w:t>gpsi</w:t>
            </w:r>
          </w:p>
        </w:tc>
        <w:tc>
          <w:tcPr>
            <w:tcW w:w="1559" w:type="dxa"/>
            <w:tcBorders>
              <w:top w:val="single" w:sz="6" w:space="0" w:color="auto"/>
              <w:left w:val="single" w:sz="6" w:space="0" w:color="auto"/>
              <w:bottom w:val="single" w:sz="6" w:space="0" w:color="auto"/>
              <w:right w:val="single" w:sz="6" w:space="0" w:color="auto"/>
            </w:tcBorders>
          </w:tcPr>
          <w:p w14:paraId="04905083" w14:textId="77777777" w:rsidR="00A10B25" w:rsidRDefault="00A10B25">
            <w:pPr>
              <w:pStyle w:val="TAL"/>
              <w:rPr>
                <w:lang w:eastAsia="zh-CN"/>
              </w:rPr>
            </w:pPr>
            <w:r>
              <w:rPr>
                <w:lang w:eastAsia="zh-CN"/>
              </w:rPr>
              <w:t>Gpsi</w:t>
            </w:r>
          </w:p>
        </w:tc>
        <w:tc>
          <w:tcPr>
            <w:tcW w:w="425" w:type="dxa"/>
            <w:tcBorders>
              <w:top w:val="single" w:sz="6" w:space="0" w:color="auto"/>
              <w:left w:val="single" w:sz="6" w:space="0" w:color="auto"/>
              <w:bottom w:val="single" w:sz="6" w:space="0" w:color="auto"/>
              <w:right w:val="single" w:sz="6" w:space="0" w:color="auto"/>
            </w:tcBorders>
          </w:tcPr>
          <w:p w14:paraId="2F6D745A" w14:textId="77777777" w:rsidR="00A10B25" w:rsidRDefault="00A10B25" w:rsidP="0076721C">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15157478" w14:textId="77777777" w:rsidR="00A10B25" w:rsidRDefault="00A10B25">
            <w:pPr>
              <w:pStyle w:val="TAL"/>
              <w:rPr>
                <w:lang w:eastAsia="zh-CN"/>
              </w:rPr>
            </w:pPr>
            <w:r>
              <w:rPr>
                <w:lang w:eastAsia="zh-CN"/>
              </w:rPr>
              <w:t>0..1</w:t>
            </w:r>
          </w:p>
        </w:tc>
        <w:tc>
          <w:tcPr>
            <w:tcW w:w="2856" w:type="dxa"/>
            <w:tcBorders>
              <w:top w:val="single" w:sz="6" w:space="0" w:color="auto"/>
              <w:left w:val="single" w:sz="6" w:space="0" w:color="auto"/>
              <w:bottom w:val="single" w:sz="6" w:space="0" w:color="auto"/>
              <w:right w:val="single" w:sz="6" w:space="0" w:color="auto"/>
            </w:tcBorders>
          </w:tcPr>
          <w:p w14:paraId="7321D5EA" w14:textId="77777777" w:rsidR="00A10B25" w:rsidRDefault="00A10B25">
            <w:pPr>
              <w:pStyle w:val="TAL"/>
              <w:rPr>
                <w:rFonts w:cs="Arial"/>
                <w:szCs w:val="18"/>
                <w:lang w:eastAsia="zh-CN"/>
              </w:rPr>
            </w:pPr>
            <w:r>
              <w:rPr>
                <w:rFonts w:cs="Arial"/>
                <w:szCs w:val="18"/>
                <w:lang w:eastAsia="zh-CN"/>
              </w:rPr>
              <w:t>Identifies a GPSI of a UE.</w:t>
            </w:r>
          </w:p>
          <w:p w14:paraId="7418664B" w14:textId="77777777" w:rsidR="00A10B25" w:rsidRDefault="00A10B25">
            <w:pPr>
              <w:pStyle w:val="TAL"/>
              <w:rPr>
                <w:rFonts w:cs="Arial"/>
                <w:szCs w:val="18"/>
                <w:lang w:eastAsia="zh-CN"/>
              </w:rPr>
            </w:pPr>
            <w:r>
              <w:rPr>
                <w:rFonts w:cs="Arial"/>
                <w:szCs w:val="18"/>
                <w:lang w:eastAsia="zh-CN"/>
              </w:rPr>
              <w:t>(NOTE</w:t>
            </w:r>
            <w:r>
              <w:t> 1</w:t>
            </w:r>
            <w:r>
              <w:rPr>
                <w:rFonts w:cs="Arial"/>
                <w:szCs w:val="18"/>
                <w:lang w:eastAsia="zh-CN"/>
              </w:rPr>
              <w:t>)</w:t>
            </w:r>
          </w:p>
        </w:tc>
        <w:tc>
          <w:tcPr>
            <w:tcW w:w="1843" w:type="dxa"/>
            <w:tcBorders>
              <w:top w:val="single" w:sz="6" w:space="0" w:color="auto"/>
              <w:left w:val="single" w:sz="6" w:space="0" w:color="auto"/>
              <w:bottom w:val="single" w:sz="6" w:space="0" w:color="auto"/>
              <w:right w:val="single" w:sz="6" w:space="0" w:color="auto"/>
            </w:tcBorders>
          </w:tcPr>
          <w:p w14:paraId="671947DA" w14:textId="77777777" w:rsidR="00A10B25" w:rsidRDefault="00A10B25">
            <w:pPr>
              <w:pStyle w:val="TAL"/>
              <w:rPr>
                <w:rFonts w:cs="Arial"/>
                <w:szCs w:val="18"/>
              </w:rPr>
            </w:pPr>
          </w:p>
        </w:tc>
      </w:tr>
      <w:tr w:rsidR="00A10B25" w14:paraId="330B4162"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5200B649" w14:textId="77777777" w:rsidR="00A10B25" w:rsidRDefault="00A10B25">
            <w:pPr>
              <w:pStyle w:val="TAL"/>
              <w:rPr>
                <w:lang w:eastAsia="zh-CN"/>
              </w:rPr>
            </w:pPr>
            <w:r>
              <w:t>direction</w:t>
            </w:r>
          </w:p>
        </w:tc>
        <w:tc>
          <w:tcPr>
            <w:tcW w:w="1559" w:type="dxa"/>
            <w:tcBorders>
              <w:top w:val="single" w:sz="6" w:space="0" w:color="auto"/>
              <w:left w:val="single" w:sz="6" w:space="0" w:color="auto"/>
              <w:bottom w:val="single" w:sz="6" w:space="0" w:color="auto"/>
              <w:right w:val="single" w:sz="6" w:space="0" w:color="auto"/>
            </w:tcBorders>
          </w:tcPr>
          <w:p w14:paraId="005DED02" w14:textId="77777777" w:rsidR="00A10B25" w:rsidRDefault="00A10B25">
            <w:pPr>
              <w:pStyle w:val="TAL"/>
              <w:rPr>
                <w:lang w:eastAsia="zh-CN"/>
              </w:rPr>
            </w:pPr>
            <w:r>
              <w:rPr>
                <w:lang w:eastAsia="zh-CN"/>
              </w:rPr>
              <w:t>Direction</w:t>
            </w:r>
          </w:p>
        </w:tc>
        <w:tc>
          <w:tcPr>
            <w:tcW w:w="425" w:type="dxa"/>
            <w:tcBorders>
              <w:top w:val="single" w:sz="6" w:space="0" w:color="auto"/>
              <w:left w:val="single" w:sz="6" w:space="0" w:color="auto"/>
              <w:bottom w:val="single" w:sz="6" w:space="0" w:color="auto"/>
              <w:right w:val="single" w:sz="6" w:space="0" w:color="auto"/>
            </w:tcBorders>
          </w:tcPr>
          <w:p w14:paraId="2E5A1B14" w14:textId="77777777" w:rsidR="00A10B25" w:rsidRDefault="00A10B25" w:rsidP="0076721C">
            <w:pPr>
              <w:pStyle w:val="TAL"/>
              <w:jc w:val="center"/>
            </w:pPr>
            <w:r>
              <w:t>M</w:t>
            </w:r>
          </w:p>
        </w:tc>
        <w:tc>
          <w:tcPr>
            <w:tcW w:w="1134" w:type="dxa"/>
            <w:tcBorders>
              <w:top w:val="single" w:sz="6" w:space="0" w:color="auto"/>
              <w:left w:val="single" w:sz="6" w:space="0" w:color="auto"/>
              <w:bottom w:val="single" w:sz="6" w:space="0" w:color="auto"/>
              <w:right w:val="single" w:sz="6" w:space="0" w:color="auto"/>
            </w:tcBorders>
          </w:tcPr>
          <w:p w14:paraId="51CD8E54" w14:textId="77777777" w:rsidR="00A10B25" w:rsidRDefault="00A10B25">
            <w:pPr>
              <w:pStyle w:val="TAL"/>
              <w:rPr>
                <w:rFonts w:eastAsia="Times New Roman"/>
              </w:rPr>
            </w:pPr>
            <w:r>
              <w:rPr>
                <w:lang w:eastAsia="zh-CN"/>
              </w:rPr>
              <w:t>1</w:t>
            </w:r>
          </w:p>
        </w:tc>
        <w:tc>
          <w:tcPr>
            <w:tcW w:w="2856" w:type="dxa"/>
            <w:tcBorders>
              <w:top w:val="single" w:sz="6" w:space="0" w:color="auto"/>
              <w:left w:val="single" w:sz="6" w:space="0" w:color="auto"/>
              <w:bottom w:val="single" w:sz="6" w:space="0" w:color="auto"/>
              <w:right w:val="single" w:sz="6" w:space="0" w:color="auto"/>
            </w:tcBorders>
          </w:tcPr>
          <w:p w14:paraId="55DA205B" w14:textId="77777777" w:rsidR="00A10B25" w:rsidRDefault="00A10B25">
            <w:pPr>
              <w:pStyle w:val="TAL"/>
              <w:rPr>
                <w:rFonts w:eastAsia="Times New Roman" w:cs="Arial"/>
                <w:szCs w:val="18"/>
              </w:rPr>
            </w:pPr>
            <w:r>
              <w:rPr>
                <w:rFonts w:cs="Arial"/>
                <w:szCs w:val="18"/>
                <w:lang w:eastAsia="zh-CN"/>
              </w:rPr>
              <w:t>Indicates the moving direction of the UE</w:t>
            </w:r>
            <w:r>
              <w:t xml:space="preserve"> </w:t>
            </w:r>
            <w:r>
              <w:rPr>
                <w:rFonts w:cs="Arial"/>
                <w:szCs w:val="18"/>
                <w:lang w:eastAsia="zh-CN"/>
              </w:rPr>
              <w:t>in the coverage area.</w:t>
            </w:r>
          </w:p>
        </w:tc>
        <w:tc>
          <w:tcPr>
            <w:tcW w:w="1843" w:type="dxa"/>
            <w:tcBorders>
              <w:top w:val="single" w:sz="6" w:space="0" w:color="auto"/>
              <w:left w:val="single" w:sz="6" w:space="0" w:color="auto"/>
              <w:bottom w:val="single" w:sz="6" w:space="0" w:color="auto"/>
              <w:right w:val="single" w:sz="6" w:space="0" w:color="auto"/>
            </w:tcBorders>
          </w:tcPr>
          <w:p w14:paraId="2C1815DB" w14:textId="77777777" w:rsidR="00A10B25" w:rsidRDefault="00A10B25">
            <w:pPr>
              <w:pStyle w:val="TAL"/>
              <w:rPr>
                <w:rFonts w:cs="Arial"/>
                <w:szCs w:val="18"/>
              </w:rPr>
            </w:pPr>
          </w:p>
        </w:tc>
      </w:tr>
      <w:tr w:rsidR="00A10B25" w14:paraId="78BCF047"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51D829BD"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6CC60908" w14:textId="77777777" w:rsidR="00A10B25" w:rsidRDefault="00A10B25">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4555BCA"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9AF0CCD" w14:textId="77777777" w:rsidR="00A10B25" w:rsidRDefault="00A10B25">
            <w:pPr>
              <w:pStyle w:val="TAL"/>
              <w:rPr>
                <w:lang w:eastAsia="zh-CN"/>
              </w:rPr>
            </w:pPr>
            <w:r>
              <w:t>0..1</w:t>
            </w:r>
          </w:p>
        </w:tc>
        <w:tc>
          <w:tcPr>
            <w:tcW w:w="2846" w:type="dxa"/>
            <w:tcBorders>
              <w:top w:val="single" w:sz="6" w:space="0" w:color="auto"/>
              <w:left w:val="single" w:sz="6" w:space="0" w:color="auto"/>
              <w:bottom w:val="single" w:sz="6" w:space="0" w:color="auto"/>
              <w:right w:val="single" w:sz="6" w:space="0" w:color="auto"/>
            </w:tcBorders>
          </w:tcPr>
          <w:p w14:paraId="2B8B0C0F" w14:textId="77777777" w:rsidR="00A10B25" w:rsidRDefault="00A10B25">
            <w:pPr>
              <w:pStyle w:val="TAL"/>
            </w:pPr>
            <w:r>
              <w:rPr>
                <w:lang w:eastAsia="zh-CN"/>
              </w:rPr>
              <w:t xml:space="preserve">Indicate the total number of UEs in </w:t>
            </w:r>
            <w:r>
              <w:rPr>
                <w:rFonts w:cs="Arial"/>
                <w:szCs w:val="18"/>
              </w:rPr>
              <w:t>the specific direction</w:t>
            </w:r>
            <w:r>
              <w:rPr>
                <w:lang w:eastAsia="zh-CN"/>
              </w:rPr>
              <w:t xml:space="preserve">. </w:t>
            </w:r>
            <w:r>
              <w:rPr>
                <w:rFonts w:cs="Arial"/>
                <w:szCs w:val="18"/>
                <w:lang w:eastAsia="zh-CN"/>
              </w:rPr>
              <w:t>(NOTE</w:t>
            </w:r>
            <w:r>
              <w:t> 2</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105A7165" w14:textId="77777777" w:rsidR="00A10B25" w:rsidRDefault="00A10B25">
            <w:pPr>
              <w:pStyle w:val="TAL"/>
              <w:rPr>
                <w:rFonts w:cs="Arial"/>
                <w:szCs w:val="18"/>
              </w:rPr>
            </w:pPr>
          </w:p>
        </w:tc>
      </w:tr>
      <w:tr w:rsidR="00A10B25" w14:paraId="1C268D63"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035AC3AA" w14:textId="77777777" w:rsidR="00A10B25" w:rsidRDefault="00A10B25">
            <w:pPr>
              <w:pStyle w:val="TAL"/>
              <w:rPr>
                <w:lang w:eastAsia="zh-CN"/>
              </w:rPr>
            </w:pPr>
            <w:r>
              <w:rPr>
                <w:lang w:eastAsia="zh-CN"/>
              </w:rPr>
              <w:t>avrSpeed</w:t>
            </w:r>
          </w:p>
        </w:tc>
        <w:tc>
          <w:tcPr>
            <w:tcW w:w="1554" w:type="dxa"/>
            <w:tcBorders>
              <w:top w:val="single" w:sz="6" w:space="0" w:color="auto"/>
              <w:left w:val="single" w:sz="6" w:space="0" w:color="auto"/>
              <w:bottom w:val="single" w:sz="6" w:space="0" w:color="auto"/>
              <w:right w:val="single" w:sz="6" w:space="0" w:color="auto"/>
            </w:tcBorders>
          </w:tcPr>
          <w:p w14:paraId="4C110B93" w14:textId="77777777" w:rsidR="00A10B25" w:rsidRDefault="00A10B25">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44F5F6CB"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B09B545" w14:textId="77777777" w:rsidR="00A10B25" w:rsidRDefault="00A10B25">
            <w:pPr>
              <w:pStyle w:val="TAL"/>
              <w:rPr>
                <w:lang w:eastAsia="zh-CN"/>
              </w:rPr>
            </w:pPr>
            <w:r>
              <w:t>0..1</w:t>
            </w:r>
          </w:p>
        </w:tc>
        <w:tc>
          <w:tcPr>
            <w:tcW w:w="2846" w:type="dxa"/>
            <w:tcBorders>
              <w:top w:val="single" w:sz="6" w:space="0" w:color="auto"/>
              <w:left w:val="single" w:sz="6" w:space="0" w:color="auto"/>
              <w:bottom w:val="single" w:sz="6" w:space="0" w:color="auto"/>
              <w:right w:val="single" w:sz="6" w:space="0" w:color="auto"/>
            </w:tcBorders>
          </w:tcPr>
          <w:p w14:paraId="2E7BE4A5" w14:textId="77777777" w:rsidR="00A10B25" w:rsidRDefault="00A10B25">
            <w:pPr>
              <w:pStyle w:val="TAL"/>
              <w:rPr>
                <w:rFonts w:eastAsia="等线"/>
                <w:lang w:eastAsia="zh-CN"/>
              </w:rPr>
            </w:pPr>
            <w:r>
              <w:rPr>
                <w:lang w:eastAsia="zh-CN"/>
              </w:rPr>
              <w:t>Indicate the a</w:t>
            </w:r>
            <w:r>
              <w:rPr>
                <w:lang w:eastAsia="ko-KR"/>
              </w:rPr>
              <w:t xml:space="preserve">verage speed of users in the specific direction. </w:t>
            </w:r>
            <w:r>
              <w:rPr>
                <w:rFonts w:cs="Arial"/>
                <w:szCs w:val="18"/>
                <w:lang w:eastAsia="zh-CN"/>
              </w:rPr>
              <w:t>(NOTE</w:t>
            </w:r>
            <w:r>
              <w:t> 2</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61FF59D8" w14:textId="77777777" w:rsidR="00A10B25" w:rsidRDefault="00A10B25">
            <w:pPr>
              <w:pStyle w:val="TAL"/>
              <w:rPr>
                <w:rFonts w:cs="Arial"/>
                <w:szCs w:val="18"/>
              </w:rPr>
            </w:pPr>
          </w:p>
        </w:tc>
      </w:tr>
      <w:tr w:rsidR="00A10B25" w14:paraId="2844D2D0"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0E0AC13F" w14:textId="77777777" w:rsidR="00A10B25" w:rsidRDefault="00A10B25">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4DA43CCB" w14:textId="77777777" w:rsidR="00A10B25" w:rsidRDefault="00A10B25">
            <w:pPr>
              <w:pStyle w:val="TAL"/>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30BD0659"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EA94C90" w14:textId="77777777" w:rsidR="00A10B25" w:rsidRDefault="00A10B25">
            <w:pPr>
              <w:pStyle w:val="TAL"/>
              <w:rPr>
                <w:lang w:eastAsia="zh-CN"/>
              </w:rPr>
            </w:pPr>
            <w:r>
              <w:t>0..1</w:t>
            </w:r>
          </w:p>
        </w:tc>
        <w:tc>
          <w:tcPr>
            <w:tcW w:w="2846" w:type="dxa"/>
            <w:tcBorders>
              <w:top w:val="single" w:sz="6" w:space="0" w:color="auto"/>
              <w:left w:val="single" w:sz="6" w:space="0" w:color="auto"/>
              <w:bottom w:val="single" w:sz="6" w:space="0" w:color="auto"/>
              <w:right w:val="single" w:sz="6" w:space="0" w:color="auto"/>
            </w:tcBorders>
          </w:tcPr>
          <w:p w14:paraId="1FEB0E0D" w14:textId="77777777" w:rsidR="00A10B25" w:rsidRDefault="00A10B25">
            <w:pPr>
              <w:pStyle w:val="TAL"/>
              <w:rPr>
                <w:rFonts w:cs="Arial"/>
                <w:szCs w:val="18"/>
              </w:rPr>
            </w:pPr>
            <w:r>
              <w:rPr>
                <w:rFonts w:cs="Arial"/>
                <w:szCs w:val="18"/>
              </w:rPr>
              <w:t xml:space="preserve">Indicate the ratio of UEs in the specific direction. </w:t>
            </w:r>
            <w:r>
              <w:rPr>
                <w:rFonts w:cs="Arial"/>
                <w:szCs w:val="18"/>
                <w:lang w:eastAsia="zh-CN"/>
              </w:rPr>
              <w:t>(NOTE</w:t>
            </w:r>
            <w:r>
              <w:t> 2</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1786C51E" w14:textId="77777777" w:rsidR="00A10B25" w:rsidRDefault="00A10B25">
            <w:pPr>
              <w:pStyle w:val="TAL"/>
              <w:rPr>
                <w:rFonts w:cs="Arial"/>
                <w:szCs w:val="18"/>
              </w:rPr>
            </w:pPr>
          </w:p>
        </w:tc>
      </w:tr>
      <w:tr w:rsidR="00A10B25" w14:paraId="07B09653" w14:textId="77777777">
        <w:trPr>
          <w:jc w:val="center"/>
        </w:trPr>
        <w:tc>
          <w:tcPr>
            <w:tcW w:w="9566" w:type="dxa"/>
            <w:gridSpan w:val="6"/>
            <w:tcBorders>
              <w:top w:val="single" w:sz="6" w:space="0" w:color="auto"/>
              <w:left w:val="single" w:sz="6" w:space="0" w:color="auto"/>
              <w:bottom w:val="single" w:sz="6" w:space="0" w:color="auto"/>
              <w:right w:val="single" w:sz="6" w:space="0" w:color="auto"/>
            </w:tcBorders>
          </w:tcPr>
          <w:p w14:paraId="735830E7" w14:textId="77777777" w:rsidR="00A10B25" w:rsidRDefault="00A10B25">
            <w:pPr>
              <w:pStyle w:val="TAN"/>
            </w:pPr>
            <w:r>
              <w:t>NOTE 1:</w:t>
            </w:r>
            <w:r>
              <w:tab/>
              <w:t>The "supi" attribute and the "gpsi" attribute are mutually exclusive and one of them shall be provided by the NWDAF in the case of UE Mobility analytics.</w:t>
            </w:r>
          </w:p>
          <w:p w14:paraId="195908BA" w14:textId="77777777" w:rsidR="00A10B25" w:rsidRDefault="00A10B25">
            <w:pPr>
              <w:pStyle w:val="TAN"/>
              <w:rPr>
                <w:rFonts w:cs="Arial"/>
                <w:szCs w:val="18"/>
              </w:rPr>
            </w:pPr>
            <w:r>
              <w:t>NOTE 2:</w:t>
            </w:r>
            <w:r>
              <w:tab/>
              <w:t xml:space="preserve">This attribute may be provided in the case of </w:t>
            </w:r>
            <w:r>
              <w:rPr>
                <w:lang w:eastAsia="zh-CN"/>
              </w:rPr>
              <w:t xml:space="preserve">Movement Behaviour </w:t>
            </w:r>
            <w:r>
              <w:t>analytics.</w:t>
            </w:r>
          </w:p>
        </w:tc>
      </w:tr>
    </w:tbl>
    <w:p w14:paraId="1C839DF6" w14:textId="77777777" w:rsidR="00A10B25" w:rsidRDefault="00A10B25">
      <w:pPr>
        <w:rPr>
          <w:rFonts w:eastAsia="MS Mincho"/>
        </w:rPr>
      </w:pPr>
    </w:p>
    <w:p w14:paraId="004F9580" w14:textId="77777777" w:rsidR="00A10B25" w:rsidRDefault="00A10B25">
      <w:pPr>
        <w:pStyle w:val="5"/>
      </w:pPr>
      <w:bookmarkStart w:id="7854" w:name="_Toc136562445"/>
      <w:bookmarkStart w:id="7855" w:name="_Toc138754279"/>
      <w:bookmarkStart w:id="7856" w:name="_Toc145705766"/>
      <w:bookmarkStart w:id="7857" w:name="_Toc148522670"/>
      <w:bookmarkStart w:id="7858" w:name="_Toc164920850"/>
      <w:bookmarkStart w:id="7859" w:name="_Toc170120392"/>
      <w:bookmarkStart w:id="7860" w:name="_Toc175858637"/>
      <w:bookmarkStart w:id="7861" w:name="_Toc175859710"/>
      <w:bookmarkStart w:id="7862" w:name="_Toc180606000"/>
      <w:bookmarkStart w:id="7863" w:name="_Toc185517254"/>
      <w:bookmarkStart w:id="7864" w:name="_Toc191576305"/>
      <w:bookmarkStart w:id="7865" w:name="_Toc191577045"/>
      <w:bookmarkStart w:id="7866" w:name="_Toc192880115"/>
      <w:bookmarkStart w:id="7867" w:name="_Toc195814998"/>
      <w:bookmarkStart w:id="7868" w:name="_Toc199452965"/>
      <w:r>
        <w:t>5.1.6.2.76</w:t>
      </w:r>
      <w:r>
        <w:tab/>
        <w:t xml:space="preserve">Type </w:t>
      </w:r>
      <w:r>
        <w:rPr>
          <w:lang w:eastAsia="zh-CN"/>
        </w:rPr>
        <w:t>GeoDistributionInfo</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08270CA5" w14:textId="77777777" w:rsidR="00A10B25" w:rsidRDefault="00A10B25">
      <w:pPr>
        <w:pStyle w:val="TH"/>
      </w:pPr>
      <w:r>
        <w:t xml:space="preserve">Table 5.1.6.2.76-1: Definition of type </w:t>
      </w:r>
      <w:r>
        <w:rPr>
          <w:lang w:eastAsia="zh-CN"/>
        </w:rPr>
        <w:t>GeoDistributionInfo</w:t>
      </w:r>
    </w:p>
    <w:tbl>
      <w:tblPr>
        <w:tblW w:w="9566"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49"/>
        <w:gridCol w:w="1559"/>
        <w:gridCol w:w="425"/>
        <w:gridCol w:w="1134"/>
        <w:gridCol w:w="2856"/>
        <w:gridCol w:w="1843"/>
      </w:tblGrid>
      <w:tr w:rsidR="00A10B25" w14:paraId="6A1DC9E7" w14:textId="77777777">
        <w:trPr>
          <w:jc w:val="center"/>
        </w:trPr>
        <w:tc>
          <w:tcPr>
            <w:tcW w:w="1749" w:type="dxa"/>
            <w:shd w:val="clear" w:color="auto" w:fill="C0C0C0"/>
          </w:tcPr>
          <w:p w14:paraId="5D1CD1CF" w14:textId="77777777" w:rsidR="00A10B25" w:rsidRDefault="00A10B25">
            <w:pPr>
              <w:pStyle w:val="TAH"/>
            </w:pPr>
            <w:r>
              <w:t>Attribute name</w:t>
            </w:r>
          </w:p>
        </w:tc>
        <w:tc>
          <w:tcPr>
            <w:tcW w:w="1559" w:type="dxa"/>
            <w:shd w:val="clear" w:color="auto" w:fill="C0C0C0"/>
          </w:tcPr>
          <w:p w14:paraId="35A9DF70" w14:textId="77777777" w:rsidR="00A10B25" w:rsidRDefault="00A10B25">
            <w:pPr>
              <w:pStyle w:val="TAH"/>
            </w:pPr>
            <w:r>
              <w:t>Data type</w:t>
            </w:r>
          </w:p>
        </w:tc>
        <w:tc>
          <w:tcPr>
            <w:tcW w:w="425" w:type="dxa"/>
            <w:shd w:val="clear" w:color="auto" w:fill="C0C0C0"/>
          </w:tcPr>
          <w:p w14:paraId="50ED8FCC" w14:textId="77777777" w:rsidR="00A10B25" w:rsidRDefault="00A10B25">
            <w:pPr>
              <w:pStyle w:val="TAH"/>
            </w:pPr>
            <w:r>
              <w:t>P</w:t>
            </w:r>
          </w:p>
        </w:tc>
        <w:tc>
          <w:tcPr>
            <w:tcW w:w="1134" w:type="dxa"/>
            <w:shd w:val="clear" w:color="auto" w:fill="C0C0C0"/>
          </w:tcPr>
          <w:p w14:paraId="44B26338" w14:textId="77777777" w:rsidR="00A10B25" w:rsidRDefault="00A10B25">
            <w:pPr>
              <w:pStyle w:val="TAH"/>
            </w:pPr>
            <w:r>
              <w:t>Cardinality</w:t>
            </w:r>
          </w:p>
        </w:tc>
        <w:tc>
          <w:tcPr>
            <w:tcW w:w="2856" w:type="dxa"/>
            <w:shd w:val="clear" w:color="auto" w:fill="C0C0C0"/>
          </w:tcPr>
          <w:p w14:paraId="0A953A95" w14:textId="77777777" w:rsidR="00A10B25" w:rsidRDefault="00A10B25">
            <w:pPr>
              <w:pStyle w:val="TAH"/>
            </w:pPr>
            <w:r>
              <w:t>Description</w:t>
            </w:r>
          </w:p>
        </w:tc>
        <w:tc>
          <w:tcPr>
            <w:tcW w:w="1843" w:type="dxa"/>
            <w:shd w:val="clear" w:color="auto" w:fill="C0C0C0"/>
          </w:tcPr>
          <w:p w14:paraId="19F51470" w14:textId="77777777" w:rsidR="00A10B25" w:rsidRDefault="00A10B25">
            <w:pPr>
              <w:pStyle w:val="TAH"/>
            </w:pPr>
            <w:r>
              <w:t>Applicability</w:t>
            </w:r>
          </w:p>
        </w:tc>
      </w:tr>
      <w:tr w:rsidR="00A10B25" w14:paraId="29A3B6EE" w14:textId="77777777">
        <w:trPr>
          <w:jc w:val="center"/>
        </w:trPr>
        <w:tc>
          <w:tcPr>
            <w:tcW w:w="1749" w:type="dxa"/>
          </w:tcPr>
          <w:p w14:paraId="13D78C1F" w14:textId="77777777" w:rsidR="00A10B25" w:rsidRDefault="00A10B25">
            <w:pPr>
              <w:pStyle w:val="TAL"/>
              <w:rPr>
                <w:lang w:eastAsia="zh-CN"/>
              </w:rPr>
            </w:pPr>
            <w:r>
              <w:rPr>
                <w:lang w:eastAsia="zh-CN"/>
              </w:rPr>
              <w:t>loc</w:t>
            </w:r>
          </w:p>
        </w:tc>
        <w:tc>
          <w:tcPr>
            <w:tcW w:w="1559" w:type="dxa"/>
          </w:tcPr>
          <w:p w14:paraId="4F2735A3" w14:textId="77777777" w:rsidR="00A10B25" w:rsidRDefault="00A10B25">
            <w:pPr>
              <w:pStyle w:val="TAL"/>
              <w:rPr>
                <w:lang w:eastAsia="zh-CN"/>
              </w:rPr>
            </w:pPr>
            <w:r>
              <w:rPr>
                <w:lang w:eastAsia="zh-CN"/>
              </w:rPr>
              <w:t>UserLocation</w:t>
            </w:r>
          </w:p>
        </w:tc>
        <w:tc>
          <w:tcPr>
            <w:tcW w:w="425" w:type="dxa"/>
          </w:tcPr>
          <w:p w14:paraId="2E4186C8" w14:textId="77777777" w:rsidR="00A10B25" w:rsidRDefault="00A10B25">
            <w:pPr>
              <w:pStyle w:val="TAL"/>
            </w:pPr>
            <w:r>
              <w:t>M</w:t>
            </w:r>
          </w:p>
        </w:tc>
        <w:tc>
          <w:tcPr>
            <w:tcW w:w="1134" w:type="dxa"/>
          </w:tcPr>
          <w:p w14:paraId="22DC74F5" w14:textId="77777777" w:rsidR="00A10B25" w:rsidRDefault="00A10B25">
            <w:pPr>
              <w:pStyle w:val="TAL"/>
              <w:rPr>
                <w:rFonts w:eastAsia="Times New Roman"/>
              </w:rPr>
            </w:pPr>
            <w:r>
              <w:rPr>
                <w:lang w:eastAsia="zh-CN"/>
              </w:rPr>
              <w:t>1</w:t>
            </w:r>
          </w:p>
        </w:tc>
        <w:tc>
          <w:tcPr>
            <w:tcW w:w="2856" w:type="dxa"/>
          </w:tcPr>
          <w:p w14:paraId="7E7FADB9" w14:textId="77777777" w:rsidR="00A10B25" w:rsidRDefault="00A10B25">
            <w:pPr>
              <w:pStyle w:val="TAL"/>
              <w:rPr>
                <w:rFonts w:eastAsia="Times New Roman" w:cs="Arial"/>
                <w:szCs w:val="18"/>
              </w:rPr>
            </w:pPr>
            <w:r>
              <w:rPr>
                <w:rFonts w:cs="Arial"/>
                <w:szCs w:val="18"/>
                <w:lang w:eastAsia="zh-CN"/>
              </w:rPr>
              <w:t xml:space="preserve">This attribute contains the detailed location, the </w:t>
            </w:r>
            <w:r>
              <w:t>ueLocationTimestamp</w:t>
            </w:r>
            <w:r>
              <w:rPr>
                <w:rFonts w:cs="Arial"/>
                <w:szCs w:val="18"/>
                <w:lang w:eastAsia="zh-CN"/>
              </w:rPr>
              <w:t xml:space="preserve"> attribute in the 3GPP access type of UserLocation data type shall not be provided.</w:t>
            </w:r>
          </w:p>
        </w:tc>
        <w:tc>
          <w:tcPr>
            <w:tcW w:w="1843" w:type="dxa"/>
          </w:tcPr>
          <w:p w14:paraId="0338806E" w14:textId="77777777" w:rsidR="00A10B25" w:rsidRDefault="00A10B25">
            <w:pPr>
              <w:pStyle w:val="TAL"/>
              <w:rPr>
                <w:rFonts w:cs="Arial"/>
                <w:szCs w:val="18"/>
              </w:rPr>
            </w:pPr>
          </w:p>
        </w:tc>
      </w:tr>
      <w:tr w:rsidR="00A10B25" w14:paraId="1445CA0E" w14:textId="77777777">
        <w:trPr>
          <w:jc w:val="center"/>
        </w:trPr>
        <w:tc>
          <w:tcPr>
            <w:tcW w:w="1749" w:type="dxa"/>
          </w:tcPr>
          <w:p w14:paraId="08ADA06F" w14:textId="77777777" w:rsidR="00A10B25" w:rsidRDefault="00A10B25">
            <w:pPr>
              <w:pStyle w:val="TAL"/>
              <w:rPr>
                <w:lang w:eastAsia="zh-CN"/>
              </w:rPr>
            </w:pPr>
            <w:r>
              <w:t>supis</w:t>
            </w:r>
          </w:p>
        </w:tc>
        <w:tc>
          <w:tcPr>
            <w:tcW w:w="1559" w:type="dxa"/>
          </w:tcPr>
          <w:p w14:paraId="07F06FE2" w14:textId="77777777" w:rsidR="00A10B25" w:rsidRDefault="00A10B25">
            <w:pPr>
              <w:pStyle w:val="TAL"/>
              <w:rPr>
                <w:lang w:eastAsia="zh-CN"/>
              </w:rPr>
            </w:pPr>
            <w:r>
              <w:t>array(Supi)</w:t>
            </w:r>
          </w:p>
        </w:tc>
        <w:tc>
          <w:tcPr>
            <w:tcW w:w="425" w:type="dxa"/>
          </w:tcPr>
          <w:p w14:paraId="2E00F55D" w14:textId="77777777" w:rsidR="00A10B25" w:rsidRDefault="00A10B25">
            <w:pPr>
              <w:pStyle w:val="TAL"/>
            </w:pPr>
            <w:r>
              <w:t>C</w:t>
            </w:r>
          </w:p>
        </w:tc>
        <w:tc>
          <w:tcPr>
            <w:tcW w:w="1134" w:type="dxa"/>
          </w:tcPr>
          <w:p w14:paraId="75D1B677" w14:textId="77777777" w:rsidR="00A10B25" w:rsidRDefault="00A10B25">
            <w:pPr>
              <w:pStyle w:val="TAL"/>
              <w:rPr>
                <w:rFonts w:eastAsia="Times New Roman"/>
              </w:rPr>
            </w:pPr>
            <w:r>
              <w:rPr>
                <w:lang w:eastAsia="zh-CN"/>
              </w:rPr>
              <w:t>1..N</w:t>
            </w:r>
          </w:p>
        </w:tc>
        <w:tc>
          <w:tcPr>
            <w:tcW w:w="2856" w:type="dxa"/>
          </w:tcPr>
          <w:p w14:paraId="0951F097" w14:textId="77777777" w:rsidR="00A10B25" w:rsidRDefault="00A10B25">
            <w:pPr>
              <w:pStyle w:val="TAL"/>
              <w:rPr>
                <w:rFonts w:cs="Arial"/>
                <w:szCs w:val="18"/>
                <w:lang w:eastAsia="zh-CN"/>
              </w:rPr>
            </w:pPr>
            <w:r>
              <w:rPr>
                <w:rFonts w:cs="Arial"/>
                <w:szCs w:val="18"/>
                <w:lang w:eastAsia="zh-CN"/>
              </w:rPr>
              <w:t>Indicate SUPIs of a list of UE. Each element identifies a UE</w:t>
            </w:r>
            <w:r>
              <w:t xml:space="preserve"> </w:t>
            </w:r>
            <w:r>
              <w:rPr>
                <w:rFonts w:cs="Arial"/>
                <w:szCs w:val="18"/>
                <w:lang w:eastAsia="zh-CN"/>
              </w:rPr>
              <w:t>which is in the location.</w:t>
            </w:r>
            <w:r>
              <w:t xml:space="preserve"> </w:t>
            </w:r>
            <w:r>
              <w:rPr>
                <w:rFonts w:cs="Arial"/>
                <w:szCs w:val="18"/>
                <w:lang w:eastAsia="zh-CN"/>
              </w:rPr>
              <w:t>Shall only be included when used in the Nnwdaf service. (NOTE)</w:t>
            </w:r>
          </w:p>
        </w:tc>
        <w:tc>
          <w:tcPr>
            <w:tcW w:w="1843" w:type="dxa"/>
          </w:tcPr>
          <w:p w14:paraId="27877FFD" w14:textId="77777777" w:rsidR="00A10B25" w:rsidRDefault="00A10B25">
            <w:pPr>
              <w:pStyle w:val="TAL"/>
              <w:rPr>
                <w:rFonts w:cs="Arial"/>
                <w:szCs w:val="18"/>
              </w:rPr>
            </w:pPr>
          </w:p>
        </w:tc>
      </w:tr>
      <w:tr w:rsidR="00A10B25" w14:paraId="29AB1658" w14:textId="77777777">
        <w:trPr>
          <w:jc w:val="center"/>
        </w:trPr>
        <w:tc>
          <w:tcPr>
            <w:tcW w:w="1749" w:type="dxa"/>
            <w:tcBorders>
              <w:top w:val="single" w:sz="6" w:space="0" w:color="auto"/>
              <w:left w:val="single" w:sz="6" w:space="0" w:color="auto"/>
              <w:bottom w:val="single" w:sz="6" w:space="0" w:color="auto"/>
              <w:right w:val="single" w:sz="6" w:space="0" w:color="auto"/>
            </w:tcBorders>
          </w:tcPr>
          <w:p w14:paraId="546536F4" w14:textId="77777777" w:rsidR="00A10B25" w:rsidRDefault="00A10B25">
            <w:pPr>
              <w:pStyle w:val="TAL"/>
            </w:pPr>
            <w:r>
              <w:t>gpsis</w:t>
            </w:r>
          </w:p>
        </w:tc>
        <w:tc>
          <w:tcPr>
            <w:tcW w:w="1559" w:type="dxa"/>
            <w:tcBorders>
              <w:top w:val="single" w:sz="6" w:space="0" w:color="auto"/>
              <w:left w:val="single" w:sz="6" w:space="0" w:color="auto"/>
              <w:bottom w:val="single" w:sz="6" w:space="0" w:color="auto"/>
              <w:right w:val="single" w:sz="6" w:space="0" w:color="auto"/>
            </w:tcBorders>
          </w:tcPr>
          <w:p w14:paraId="49FA0D80" w14:textId="77777777" w:rsidR="00A10B25" w:rsidRDefault="00A10B25">
            <w:pPr>
              <w:pStyle w:val="TAL"/>
            </w:pPr>
            <w:r>
              <w:t>array(Gpsi)</w:t>
            </w:r>
          </w:p>
        </w:tc>
        <w:tc>
          <w:tcPr>
            <w:tcW w:w="425" w:type="dxa"/>
            <w:tcBorders>
              <w:top w:val="single" w:sz="6" w:space="0" w:color="auto"/>
              <w:left w:val="single" w:sz="6" w:space="0" w:color="auto"/>
              <w:bottom w:val="single" w:sz="6" w:space="0" w:color="auto"/>
              <w:right w:val="single" w:sz="6" w:space="0" w:color="auto"/>
            </w:tcBorders>
          </w:tcPr>
          <w:p w14:paraId="18E4BFB1" w14:textId="77777777" w:rsidR="00A10B25" w:rsidRDefault="00A10B25">
            <w:pPr>
              <w:pStyle w:val="TAL"/>
            </w:pPr>
            <w:r>
              <w:t>C</w:t>
            </w:r>
          </w:p>
        </w:tc>
        <w:tc>
          <w:tcPr>
            <w:tcW w:w="1134" w:type="dxa"/>
            <w:tcBorders>
              <w:top w:val="single" w:sz="6" w:space="0" w:color="auto"/>
              <w:left w:val="single" w:sz="6" w:space="0" w:color="auto"/>
              <w:bottom w:val="single" w:sz="6" w:space="0" w:color="auto"/>
              <w:right w:val="single" w:sz="6" w:space="0" w:color="auto"/>
            </w:tcBorders>
          </w:tcPr>
          <w:p w14:paraId="1A9ABB20" w14:textId="77777777" w:rsidR="00A10B25" w:rsidRDefault="00A10B25">
            <w:pPr>
              <w:pStyle w:val="TAL"/>
              <w:rPr>
                <w:lang w:eastAsia="zh-CN"/>
              </w:rPr>
            </w:pPr>
            <w:r>
              <w:rPr>
                <w:lang w:eastAsia="zh-CN"/>
              </w:rPr>
              <w:t>1..N</w:t>
            </w:r>
          </w:p>
        </w:tc>
        <w:tc>
          <w:tcPr>
            <w:tcW w:w="2856" w:type="dxa"/>
            <w:tcBorders>
              <w:top w:val="single" w:sz="6" w:space="0" w:color="auto"/>
              <w:left w:val="single" w:sz="6" w:space="0" w:color="auto"/>
              <w:bottom w:val="single" w:sz="6" w:space="0" w:color="auto"/>
              <w:right w:val="single" w:sz="6" w:space="0" w:color="auto"/>
            </w:tcBorders>
          </w:tcPr>
          <w:p w14:paraId="3D097B97" w14:textId="77777777" w:rsidR="00A10B25" w:rsidRDefault="00A10B25">
            <w:pPr>
              <w:pStyle w:val="TAL"/>
              <w:rPr>
                <w:rFonts w:cs="Arial"/>
                <w:szCs w:val="18"/>
                <w:lang w:eastAsia="zh-CN"/>
              </w:rPr>
            </w:pPr>
            <w:r>
              <w:rPr>
                <w:rFonts w:cs="Arial"/>
                <w:szCs w:val="18"/>
                <w:lang w:eastAsia="zh-CN"/>
              </w:rPr>
              <w:t>Indicate GPSIs of a list of UE.</w:t>
            </w:r>
          </w:p>
          <w:p w14:paraId="2FD715D7" w14:textId="77777777" w:rsidR="00A10B25" w:rsidRDefault="00A10B25">
            <w:pPr>
              <w:pStyle w:val="TAL"/>
              <w:rPr>
                <w:rFonts w:cs="Arial"/>
                <w:szCs w:val="18"/>
                <w:lang w:eastAsia="zh-CN"/>
              </w:rPr>
            </w:pPr>
            <w:r>
              <w:rPr>
                <w:rFonts w:cs="Arial"/>
                <w:szCs w:val="18"/>
                <w:lang w:eastAsia="zh-CN"/>
              </w:rPr>
              <w:t>Each element identifies a UE which is in the location.</w:t>
            </w:r>
            <w:r>
              <w:t xml:space="preserve"> </w:t>
            </w:r>
            <w:r>
              <w:rPr>
                <w:rFonts w:cs="Arial"/>
                <w:szCs w:val="18"/>
                <w:lang w:eastAsia="zh-CN"/>
              </w:rPr>
              <w:t>Shall only be included when used in the Nnef service.</w:t>
            </w:r>
          </w:p>
          <w:p w14:paraId="696DA59B" w14:textId="77777777" w:rsidR="00A10B25" w:rsidRDefault="00A10B25">
            <w:pPr>
              <w:pStyle w:val="TAL"/>
              <w:rPr>
                <w:rFonts w:cs="Arial"/>
                <w:szCs w:val="18"/>
                <w:lang w:eastAsia="zh-CN"/>
              </w:rPr>
            </w:pPr>
            <w:r>
              <w:rPr>
                <w:rFonts w:cs="Arial"/>
                <w:szCs w:val="18"/>
                <w:lang w:eastAsia="zh-CN"/>
              </w:rPr>
              <w:t xml:space="preserve"> (NOTE)</w:t>
            </w:r>
          </w:p>
        </w:tc>
        <w:tc>
          <w:tcPr>
            <w:tcW w:w="1843" w:type="dxa"/>
            <w:tcBorders>
              <w:top w:val="single" w:sz="6" w:space="0" w:color="auto"/>
              <w:left w:val="single" w:sz="6" w:space="0" w:color="auto"/>
              <w:bottom w:val="single" w:sz="6" w:space="0" w:color="auto"/>
              <w:right w:val="single" w:sz="6" w:space="0" w:color="auto"/>
            </w:tcBorders>
          </w:tcPr>
          <w:p w14:paraId="2E77169B" w14:textId="77777777" w:rsidR="00A10B25" w:rsidRDefault="00A10B25">
            <w:pPr>
              <w:pStyle w:val="TAL"/>
              <w:rPr>
                <w:rFonts w:cs="Arial"/>
                <w:szCs w:val="18"/>
              </w:rPr>
            </w:pPr>
          </w:p>
        </w:tc>
      </w:tr>
      <w:tr w:rsidR="00A10B25" w14:paraId="414D0496" w14:textId="77777777">
        <w:trPr>
          <w:jc w:val="center"/>
        </w:trPr>
        <w:tc>
          <w:tcPr>
            <w:tcW w:w="9566" w:type="dxa"/>
            <w:gridSpan w:val="6"/>
          </w:tcPr>
          <w:p w14:paraId="2385063D" w14:textId="77777777" w:rsidR="00A10B25" w:rsidRDefault="00A10B25">
            <w:pPr>
              <w:pStyle w:val="TAN"/>
              <w:rPr>
                <w:rFonts w:cs="Arial"/>
                <w:szCs w:val="18"/>
              </w:rPr>
            </w:pPr>
            <w:r>
              <w:t>NOTE:</w:t>
            </w:r>
            <w:r>
              <w:tab/>
              <w:t>The "supis" attribute and the "gpsis" attribute are mutually exclusive.</w:t>
            </w:r>
          </w:p>
        </w:tc>
      </w:tr>
    </w:tbl>
    <w:p w14:paraId="42B5D1B3" w14:textId="77777777" w:rsidR="00A10B25" w:rsidRDefault="00A10B25"/>
    <w:p w14:paraId="543A8662" w14:textId="77777777" w:rsidR="00A10B25" w:rsidRDefault="00A10B25">
      <w:pPr>
        <w:pStyle w:val="5"/>
      </w:pPr>
      <w:bookmarkStart w:id="7869" w:name="_Toc136562446"/>
      <w:bookmarkStart w:id="7870" w:name="_Toc138754280"/>
      <w:bookmarkStart w:id="7871" w:name="_Toc145705767"/>
      <w:bookmarkStart w:id="7872" w:name="_Toc148522671"/>
      <w:bookmarkStart w:id="7873" w:name="_Toc164920851"/>
      <w:bookmarkStart w:id="7874" w:name="_Toc170120393"/>
      <w:bookmarkStart w:id="7875" w:name="_Toc175858638"/>
      <w:bookmarkStart w:id="7876" w:name="_Toc175859711"/>
      <w:bookmarkStart w:id="7877" w:name="_Toc180606001"/>
      <w:bookmarkStart w:id="7878" w:name="_Toc185517255"/>
      <w:bookmarkStart w:id="7879" w:name="_Toc191576306"/>
      <w:bookmarkStart w:id="7880" w:name="_Toc191577046"/>
      <w:bookmarkStart w:id="7881" w:name="_Toc192880116"/>
      <w:bookmarkStart w:id="7882" w:name="_Toc195814999"/>
      <w:bookmarkStart w:id="7883" w:name="_Toc199452966"/>
      <w:r>
        <w:lastRenderedPageBreak/>
        <w:t>5.1.6.2.77</w:t>
      </w:r>
      <w:r>
        <w:tab/>
        <w:t>Type PduSesTrafficInfo</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64424CF1" w14:textId="77777777" w:rsidR="00A10B25" w:rsidRDefault="00A10B25">
      <w:pPr>
        <w:pStyle w:val="TH"/>
      </w:pPr>
      <w:bookmarkStart w:id="7884" w:name="_Toc136562447"/>
      <w:bookmarkStart w:id="7885" w:name="_Toc138754281"/>
      <w:r>
        <w:t>Table 5.1.6.2.77-1: Definition of type PduSesTrafficInfo</w:t>
      </w:r>
    </w:p>
    <w:tbl>
      <w:tblPr>
        <w:tblW w:w="958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1614"/>
        <w:gridCol w:w="359"/>
        <w:gridCol w:w="1166"/>
        <w:gridCol w:w="3496"/>
        <w:gridCol w:w="1255"/>
      </w:tblGrid>
      <w:tr w:rsidR="00A10B25" w14:paraId="7A8D759A" w14:textId="77777777">
        <w:trPr>
          <w:jc w:val="center"/>
        </w:trPr>
        <w:tc>
          <w:tcPr>
            <w:tcW w:w="1695" w:type="dxa"/>
            <w:tcBorders>
              <w:top w:val="single" w:sz="6" w:space="0" w:color="auto"/>
              <w:left w:val="single" w:sz="6" w:space="0" w:color="auto"/>
              <w:bottom w:val="single" w:sz="6" w:space="0" w:color="auto"/>
              <w:right w:val="single" w:sz="6" w:space="0" w:color="auto"/>
            </w:tcBorders>
            <w:shd w:val="clear" w:color="auto" w:fill="C0C0C0"/>
          </w:tcPr>
          <w:p w14:paraId="5E8EB69B" w14:textId="77777777" w:rsidR="00A10B25" w:rsidRDefault="00A10B25">
            <w:pPr>
              <w:pStyle w:val="TAH"/>
            </w:pPr>
            <w:r>
              <w:t>Attribute name</w:t>
            </w:r>
          </w:p>
        </w:tc>
        <w:tc>
          <w:tcPr>
            <w:tcW w:w="1614" w:type="dxa"/>
            <w:tcBorders>
              <w:top w:val="single" w:sz="6" w:space="0" w:color="auto"/>
              <w:left w:val="single" w:sz="6" w:space="0" w:color="auto"/>
              <w:bottom w:val="single" w:sz="6" w:space="0" w:color="auto"/>
              <w:right w:val="single" w:sz="6" w:space="0" w:color="auto"/>
            </w:tcBorders>
            <w:shd w:val="clear" w:color="auto" w:fill="C0C0C0"/>
          </w:tcPr>
          <w:p w14:paraId="24003838" w14:textId="77777777" w:rsidR="00A10B25" w:rsidRDefault="00A10B25">
            <w:pPr>
              <w:pStyle w:val="TAH"/>
            </w:pPr>
            <w:r>
              <w:t>Data type</w:t>
            </w:r>
          </w:p>
        </w:tc>
        <w:tc>
          <w:tcPr>
            <w:tcW w:w="359" w:type="dxa"/>
            <w:tcBorders>
              <w:top w:val="single" w:sz="6" w:space="0" w:color="auto"/>
              <w:left w:val="single" w:sz="6" w:space="0" w:color="auto"/>
              <w:bottom w:val="single" w:sz="6" w:space="0" w:color="auto"/>
              <w:right w:val="single" w:sz="6" w:space="0" w:color="auto"/>
            </w:tcBorders>
            <w:shd w:val="clear" w:color="auto" w:fill="C0C0C0"/>
          </w:tcPr>
          <w:p w14:paraId="37798301" w14:textId="77777777" w:rsidR="00A10B25" w:rsidRDefault="00A10B25">
            <w:pPr>
              <w:pStyle w:val="TAH"/>
            </w:pPr>
            <w:r>
              <w:t>P</w:t>
            </w:r>
          </w:p>
        </w:tc>
        <w:tc>
          <w:tcPr>
            <w:tcW w:w="1166" w:type="dxa"/>
            <w:tcBorders>
              <w:top w:val="single" w:sz="6" w:space="0" w:color="auto"/>
              <w:left w:val="single" w:sz="6" w:space="0" w:color="auto"/>
              <w:bottom w:val="single" w:sz="6" w:space="0" w:color="auto"/>
              <w:right w:val="single" w:sz="6" w:space="0" w:color="auto"/>
            </w:tcBorders>
            <w:shd w:val="clear" w:color="auto" w:fill="C0C0C0"/>
          </w:tcPr>
          <w:p w14:paraId="4BA37BDA" w14:textId="77777777" w:rsidR="00A10B25" w:rsidRDefault="00A10B25">
            <w:pPr>
              <w:pStyle w:val="TAH"/>
            </w:pPr>
            <w:r>
              <w:t>Cardinality</w:t>
            </w:r>
          </w:p>
        </w:tc>
        <w:tc>
          <w:tcPr>
            <w:tcW w:w="3496" w:type="dxa"/>
            <w:tcBorders>
              <w:top w:val="single" w:sz="6" w:space="0" w:color="auto"/>
              <w:left w:val="single" w:sz="6" w:space="0" w:color="auto"/>
              <w:bottom w:val="single" w:sz="6" w:space="0" w:color="auto"/>
              <w:right w:val="single" w:sz="6" w:space="0" w:color="auto"/>
            </w:tcBorders>
            <w:shd w:val="clear" w:color="auto" w:fill="C0C0C0"/>
          </w:tcPr>
          <w:p w14:paraId="59D346C4" w14:textId="77777777" w:rsidR="00A10B25" w:rsidRDefault="00A10B25">
            <w:pPr>
              <w:pStyle w:val="TAH"/>
            </w:pPr>
            <w:r>
              <w:t>Description</w:t>
            </w:r>
          </w:p>
        </w:tc>
        <w:tc>
          <w:tcPr>
            <w:tcW w:w="1255" w:type="dxa"/>
            <w:tcBorders>
              <w:top w:val="single" w:sz="6" w:space="0" w:color="auto"/>
              <w:left w:val="single" w:sz="6" w:space="0" w:color="auto"/>
              <w:bottom w:val="single" w:sz="6" w:space="0" w:color="auto"/>
              <w:right w:val="single" w:sz="6" w:space="0" w:color="auto"/>
            </w:tcBorders>
            <w:shd w:val="clear" w:color="auto" w:fill="C0C0C0"/>
          </w:tcPr>
          <w:p w14:paraId="194EAE9D" w14:textId="77777777" w:rsidR="00A10B25" w:rsidRDefault="00A10B25">
            <w:pPr>
              <w:pStyle w:val="TAH"/>
            </w:pPr>
            <w:r>
              <w:t>Applicability</w:t>
            </w:r>
          </w:p>
        </w:tc>
      </w:tr>
      <w:tr w:rsidR="00A10B25" w14:paraId="449AE993"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1FE59A78" w14:textId="77777777" w:rsidR="00A10B25" w:rsidRDefault="00A10B25">
            <w:pPr>
              <w:pStyle w:val="TAL"/>
            </w:pPr>
            <w:bookmarkStart w:id="7886" w:name="_Hlk142567962"/>
            <w:r>
              <w:t>supis</w:t>
            </w:r>
          </w:p>
        </w:tc>
        <w:tc>
          <w:tcPr>
            <w:tcW w:w="1614" w:type="dxa"/>
            <w:tcBorders>
              <w:top w:val="single" w:sz="6" w:space="0" w:color="auto"/>
              <w:left w:val="single" w:sz="6" w:space="0" w:color="auto"/>
              <w:bottom w:val="single" w:sz="6" w:space="0" w:color="auto"/>
              <w:right w:val="single" w:sz="6" w:space="0" w:color="auto"/>
            </w:tcBorders>
          </w:tcPr>
          <w:p w14:paraId="4663BB72" w14:textId="77777777" w:rsidR="00A10B25" w:rsidRDefault="00A10B25">
            <w:pPr>
              <w:pStyle w:val="TAL"/>
              <w:rPr>
                <w:lang w:eastAsia="zh-CN"/>
              </w:rPr>
            </w:pPr>
            <w:r>
              <w:rPr>
                <w:lang w:eastAsia="zh-CN"/>
              </w:rPr>
              <w:t>array(Supi)</w:t>
            </w:r>
          </w:p>
        </w:tc>
        <w:tc>
          <w:tcPr>
            <w:tcW w:w="359" w:type="dxa"/>
            <w:tcBorders>
              <w:top w:val="single" w:sz="6" w:space="0" w:color="auto"/>
              <w:left w:val="single" w:sz="6" w:space="0" w:color="auto"/>
              <w:bottom w:val="single" w:sz="6" w:space="0" w:color="auto"/>
              <w:right w:val="single" w:sz="6" w:space="0" w:color="auto"/>
            </w:tcBorders>
          </w:tcPr>
          <w:p w14:paraId="7B1AD3AF" w14:textId="77777777" w:rsidR="00A10B25" w:rsidRDefault="00A10B25">
            <w:pPr>
              <w:pStyle w:val="TAC"/>
            </w:pPr>
            <w:r>
              <w:t>C</w:t>
            </w:r>
          </w:p>
        </w:tc>
        <w:tc>
          <w:tcPr>
            <w:tcW w:w="1166" w:type="dxa"/>
            <w:tcBorders>
              <w:top w:val="single" w:sz="6" w:space="0" w:color="auto"/>
              <w:left w:val="single" w:sz="6" w:space="0" w:color="auto"/>
              <w:bottom w:val="single" w:sz="6" w:space="0" w:color="auto"/>
              <w:right w:val="single" w:sz="6" w:space="0" w:color="auto"/>
            </w:tcBorders>
          </w:tcPr>
          <w:p w14:paraId="4F37E785" w14:textId="77777777" w:rsidR="00A10B25" w:rsidRDefault="00A10B25">
            <w:pPr>
              <w:pStyle w:val="TAL"/>
            </w:pPr>
            <w:r>
              <w:t>1..N</w:t>
            </w:r>
          </w:p>
        </w:tc>
        <w:tc>
          <w:tcPr>
            <w:tcW w:w="3496" w:type="dxa"/>
            <w:tcBorders>
              <w:top w:val="single" w:sz="6" w:space="0" w:color="auto"/>
              <w:left w:val="single" w:sz="6" w:space="0" w:color="auto"/>
              <w:bottom w:val="single" w:sz="6" w:space="0" w:color="auto"/>
              <w:right w:val="single" w:sz="6" w:space="0" w:color="auto"/>
            </w:tcBorders>
          </w:tcPr>
          <w:p w14:paraId="2EB9B867" w14:textId="77777777" w:rsidR="00A10B25" w:rsidRDefault="00A10B25">
            <w:pPr>
              <w:pStyle w:val="TAL"/>
              <w:rPr>
                <w:rFonts w:cs="Arial"/>
                <w:szCs w:val="18"/>
                <w:lang w:eastAsia="zh-CN"/>
              </w:rPr>
            </w:pPr>
            <w:r>
              <w:rPr>
                <w:rFonts w:cs="Arial"/>
                <w:szCs w:val="18"/>
                <w:lang w:eastAsia="zh-CN"/>
              </w:rPr>
              <w:t>Each element identifies an UE.</w:t>
            </w:r>
          </w:p>
          <w:p w14:paraId="25E40E27" w14:textId="77777777" w:rsidR="00A10B25" w:rsidRDefault="00A10B25">
            <w:pPr>
              <w:pStyle w:val="TAL"/>
              <w:rPr>
                <w:rFonts w:cs="Arial"/>
                <w:szCs w:val="18"/>
                <w:lang w:eastAsia="zh-CN"/>
              </w:rPr>
            </w:pPr>
            <w:r>
              <w:rPr>
                <w:rFonts w:cs="Arial"/>
                <w:szCs w:val="18"/>
                <w:lang w:eastAsia="zh-CN"/>
              </w:rPr>
              <w:t>May only be present if the subscription request applies to one or more UE(s). (NOTE 3)</w:t>
            </w:r>
          </w:p>
        </w:tc>
        <w:tc>
          <w:tcPr>
            <w:tcW w:w="1255" w:type="dxa"/>
            <w:tcBorders>
              <w:top w:val="single" w:sz="6" w:space="0" w:color="auto"/>
              <w:left w:val="single" w:sz="6" w:space="0" w:color="auto"/>
              <w:bottom w:val="single" w:sz="6" w:space="0" w:color="auto"/>
              <w:right w:val="single" w:sz="6" w:space="0" w:color="auto"/>
            </w:tcBorders>
          </w:tcPr>
          <w:p w14:paraId="38FFB3A1" w14:textId="77777777" w:rsidR="00A10B25" w:rsidRDefault="00A10B25">
            <w:pPr>
              <w:pStyle w:val="TAL"/>
              <w:rPr>
                <w:rFonts w:cs="Arial"/>
                <w:szCs w:val="18"/>
              </w:rPr>
            </w:pPr>
          </w:p>
        </w:tc>
      </w:tr>
      <w:tr w:rsidR="00A10B25" w14:paraId="1453F844"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05FF8E30" w14:textId="77777777" w:rsidR="00A10B25" w:rsidRDefault="00A10B25">
            <w:pPr>
              <w:pStyle w:val="TAL"/>
            </w:pPr>
            <w:r>
              <w:t>dnn</w:t>
            </w:r>
          </w:p>
        </w:tc>
        <w:tc>
          <w:tcPr>
            <w:tcW w:w="1614" w:type="dxa"/>
            <w:tcBorders>
              <w:top w:val="single" w:sz="6" w:space="0" w:color="auto"/>
              <w:left w:val="single" w:sz="6" w:space="0" w:color="auto"/>
              <w:bottom w:val="single" w:sz="6" w:space="0" w:color="auto"/>
              <w:right w:val="single" w:sz="6" w:space="0" w:color="auto"/>
            </w:tcBorders>
          </w:tcPr>
          <w:p w14:paraId="37FE7C7D" w14:textId="77777777" w:rsidR="00A10B25" w:rsidRDefault="00A10B25">
            <w:pPr>
              <w:pStyle w:val="TAL"/>
              <w:rPr>
                <w:lang w:eastAsia="zh-CN"/>
              </w:rPr>
            </w:pPr>
            <w:r>
              <w:rPr>
                <w:lang w:eastAsia="zh-CN"/>
              </w:rPr>
              <w:t>Dnn</w:t>
            </w:r>
          </w:p>
        </w:tc>
        <w:tc>
          <w:tcPr>
            <w:tcW w:w="359" w:type="dxa"/>
            <w:tcBorders>
              <w:top w:val="single" w:sz="6" w:space="0" w:color="auto"/>
              <w:left w:val="single" w:sz="6" w:space="0" w:color="auto"/>
              <w:bottom w:val="single" w:sz="6" w:space="0" w:color="auto"/>
              <w:right w:val="single" w:sz="6" w:space="0" w:color="auto"/>
            </w:tcBorders>
          </w:tcPr>
          <w:p w14:paraId="38FA91F7" w14:textId="77777777" w:rsidR="00A10B25" w:rsidRDefault="00A10B25">
            <w:pPr>
              <w:pStyle w:val="TAC"/>
            </w:pPr>
            <w:r>
              <w:t>C</w:t>
            </w:r>
          </w:p>
        </w:tc>
        <w:tc>
          <w:tcPr>
            <w:tcW w:w="1166" w:type="dxa"/>
            <w:tcBorders>
              <w:top w:val="single" w:sz="6" w:space="0" w:color="auto"/>
              <w:left w:val="single" w:sz="6" w:space="0" w:color="auto"/>
              <w:bottom w:val="single" w:sz="6" w:space="0" w:color="auto"/>
              <w:right w:val="single" w:sz="6" w:space="0" w:color="auto"/>
            </w:tcBorders>
          </w:tcPr>
          <w:p w14:paraId="7FBE804D" w14:textId="77777777" w:rsidR="00A10B25" w:rsidRDefault="00A10B25">
            <w:pPr>
              <w:pStyle w:val="TAL"/>
            </w:pPr>
            <w:r>
              <w:t>0..1</w:t>
            </w:r>
          </w:p>
        </w:tc>
        <w:tc>
          <w:tcPr>
            <w:tcW w:w="3496" w:type="dxa"/>
            <w:tcBorders>
              <w:top w:val="single" w:sz="6" w:space="0" w:color="auto"/>
              <w:left w:val="single" w:sz="6" w:space="0" w:color="auto"/>
              <w:bottom w:val="single" w:sz="6" w:space="0" w:color="auto"/>
              <w:right w:val="single" w:sz="6" w:space="0" w:color="auto"/>
            </w:tcBorders>
          </w:tcPr>
          <w:p w14:paraId="4A4D066E"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 for which analytics information is provided.</w:t>
            </w:r>
          </w:p>
          <w:p w14:paraId="07FC7891" w14:textId="77777777" w:rsidR="00A10B25" w:rsidRDefault="00A10B25">
            <w:pPr>
              <w:pStyle w:val="TAL"/>
              <w:rPr>
                <w:rFonts w:cs="Arial"/>
                <w:szCs w:val="18"/>
                <w:lang w:eastAsia="zh-CN"/>
              </w:rPr>
            </w:pPr>
            <w:r>
              <w:rPr>
                <w:rFonts w:cs="Arial"/>
                <w:szCs w:val="18"/>
                <w:lang w:eastAsia="zh-CN"/>
              </w:rPr>
              <w:t>Shall be present if the DNN was provided in the request or subscription.</w:t>
            </w:r>
          </w:p>
          <w:p w14:paraId="7BA9F48A" w14:textId="77777777" w:rsidR="00A10B25" w:rsidRDefault="00A10B25">
            <w:pPr>
              <w:pStyle w:val="TAL"/>
              <w:rPr>
                <w:rFonts w:cs="Arial"/>
                <w:szCs w:val="18"/>
                <w:lang w:eastAsia="zh-CN"/>
              </w:rPr>
            </w:pPr>
            <w:r>
              <w:rPr>
                <w:rFonts w:cs="Arial"/>
                <w:szCs w:val="18"/>
                <w:lang w:eastAsia="zh-CN"/>
              </w:rPr>
              <w:t>(NOTE 1)</w:t>
            </w:r>
          </w:p>
        </w:tc>
        <w:tc>
          <w:tcPr>
            <w:tcW w:w="1255" w:type="dxa"/>
            <w:tcBorders>
              <w:top w:val="single" w:sz="6" w:space="0" w:color="auto"/>
              <w:left w:val="single" w:sz="6" w:space="0" w:color="auto"/>
              <w:bottom w:val="single" w:sz="6" w:space="0" w:color="auto"/>
              <w:right w:val="single" w:sz="6" w:space="0" w:color="auto"/>
            </w:tcBorders>
          </w:tcPr>
          <w:p w14:paraId="4217563B" w14:textId="77777777" w:rsidR="00A10B25" w:rsidRDefault="00A10B25">
            <w:pPr>
              <w:pStyle w:val="TAL"/>
              <w:rPr>
                <w:rFonts w:cs="Arial"/>
                <w:szCs w:val="18"/>
              </w:rPr>
            </w:pPr>
          </w:p>
        </w:tc>
        <w:bookmarkEnd w:id="7886"/>
      </w:tr>
      <w:tr w:rsidR="00A10B25" w14:paraId="0DCA5310"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74681294" w14:textId="77777777" w:rsidR="00A10B25" w:rsidRDefault="00A10B25">
            <w:pPr>
              <w:pStyle w:val="TAL"/>
            </w:pPr>
            <w:r>
              <w:rPr>
                <w:lang w:eastAsia="zh-CN"/>
              </w:rPr>
              <w:t>snssai</w:t>
            </w:r>
          </w:p>
        </w:tc>
        <w:tc>
          <w:tcPr>
            <w:tcW w:w="1614" w:type="dxa"/>
            <w:tcBorders>
              <w:top w:val="single" w:sz="6" w:space="0" w:color="auto"/>
              <w:left w:val="single" w:sz="6" w:space="0" w:color="auto"/>
              <w:bottom w:val="single" w:sz="6" w:space="0" w:color="auto"/>
              <w:right w:val="single" w:sz="6" w:space="0" w:color="auto"/>
            </w:tcBorders>
          </w:tcPr>
          <w:p w14:paraId="579DBBB7" w14:textId="77777777" w:rsidR="00A10B25" w:rsidRDefault="00A10B25">
            <w:pPr>
              <w:pStyle w:val="TAL"/>
              <w:rPr>
                <w:bCs/>
              </w:rPr>
            </w:pPr>
            <w:r>
              <w:rPr>
                <w:lang w:eastAsia="zh-CN"/>
              </w:rPr>
              <w:t>Snssai</w:t>
            </w:r>
          </w:p>
        </w:tc>
        <w:tc>
          <w:tcPr>
            <w:tcW w:w="359" w:type="dxa"/>
            <w:tcBorders>
              <w:top w:val="single" w:sz="6" w:space="0" w:color="auto"/>
              <w:left w:val="single" w:sz="6" w:space="0" w:color="auto"/>
              <w:bottom w:val="single" w:sz="6" w:space="0" w:color="auto"/>
              <w:right w:val="single" w:sz="6" w:space="0" w:color="auto"/>
            </w:tcBorders>
          </w:tcPr>
          <w:p w14:paraId="5937305F" w14:textId="77777777" w:rsidR="00A10B25" w:rsidRDefault="00A10B25">
            <w:pPr>
              <w:pStyle w:val="TAC"/>
            </w:pPr>
            <w:r>
              <w:t>C</w:t>
            </w:r>
          </w:p>
        </w:tc>
        <w:tc>
          <w:tcPr>
            <w:tcW w:w="1166" w:type="dxa"/>
            <w:tcBorders>
              <w:top w:val="single" w:sz="6" w:space="0" w:color="auto"/>
              <w:left w:val="single" w:sz="6" w:space="0" w:color="auto"/>
              <w:bottom w:val="single" w:sz="6" w:space="0" w:color="auto"/>
              <w:right w:val="single" w:sz="6" w:space="0" w:color="auto"/>
            </w:tcBorders>
          </w:tcPr>
          <w:p w14:paraId="3547A4FF" w14:textId="77777777" w:rsidR="00A10B25" w:rsidRDefault="00A10B25">
            <w:pPr>
              <w:pStyle w:val="TAL"/>
            </w:pPr>
            <w:r>
              <w:t>0..1</w:t>
            </w:r>
          </w:p>
        </w:tc>
        <w:tc>
          <w:tcPr>
            <w:tcW w:w="3496" w:type="dxa"/>
            <w:tcBorders>
              <w:top w:val="single" w:sz="6" w:space="0" w:color="auto"/>
              <w:left w:val="single" w:sz="6" w:space="0" w:color="auto"/>
              <w:bottom w:val="single" w:sz="6" w:space="0" w:color="auto"/>
              <w:right w:val="single" w:sz="6" w:space="0" w:color="auto"/>
            </w:tcBorders>
          </w:tcPr>
          <w:p w14:paraId="1891A77A" w14:textId="77777777" w:rsidR="00A10B25" w:rsidRDefault="00A10B25">
            <w:pPr>
              <w:pStyle w:val="TAL"/>
              <w:rPr>
                <w:rFonts w:cs="Arial"/>
                <w:szCs w:val="18"/>
                <w:lang w:eastAsia="zh-CN"/>
              </w:rPr>
            </w:pPr>
            <w:r>
              <w:rPr>
                <w:rFonts w:cs="Arial"/>
                <w:szCs w:val="18"/>
                <w:lang w:eastAsia="zh-CN"/>
              </w:rPr>
              <w:t>Identifies the network slice information</w:t>
            </w:r>
            <w:r>
              <w:t xml:space="preserve"> </w:t>
            </w:r>
            <w:r>
              <w:rPr>
                <w:rFonts w:cs="Arial"/>
                <w:szCs w:val="18"/>
                <w:lang w:eastAsia="zh-CN"/>
              </w:rPr>
              <w:t>for which analytics information is provided.</w:t>
            </w:r>
          </w:p>
          <w:p w14:paraId="26D2A8D2" w14:textId="77777777" w:rsidR="00A10B25" w:rsidRDefault="00A10B25">
            <w:pPr>
              <w:pStyle w:val="TAL"/>
              <w:rPr>
                <w:rFonts w:cs="Arial"/>
                <w:szCs w:val="18"/>
              </w:rPr>
            </w:pPr>
            <w:r>
              <w:rPr>
                <w:rFonts w:eastAsia="Batang"/>
              </w:rPr>
              <w:t xml:space="preserve">Shall be present if the </w:t>
            </w:r>
            <w:r>
              <w:rPr>
                <w:lang w:eastAsia="zh-CN"/>
              </w:rPr>
              <w:t xml:space="preserve">S-NSSAI </w:t>
            </w:r>
            <w:r>
              <w:t xml:space="preserve">was provided </w:t>
            </w:r>
            <w:r>
              <w:rPr>
                <w:rFonts w:cs="Arial"/>
                <w:szCs w:val="18"/>
              </w:rPr>
              <w:t>in the request or subscription.</w:t>
            </w:r>
          </w:p>
          <w:p w14:paraId="7AA34E49" w14:textId="77777777" w:rsidR="00A10B25" w:rsidRDefault="00A10B25">
            <w:pPr>
              <w:pStyle w:val="TAL"/>
            </w:pPr>
            <w:r>
              <w:rPr>
                <w:rFonts w:eastAsia="Times New Roman" w:cs="Arial"/>
                <w:szCs w:val="18"/>
              </w:rPr>
              <w:t>(NOTE 1)</w:t>
            </w:r>
          </w:p>
        </w:tc>
        <w:tc>
          <w:tcPr>
            <w:tcW w:w="1255" w:type="dxa"/>
            <w:tcBorders>
              <w:top w:val="single" w:sz="6" w:space="0" w:color="auto"/>
              <w:left w:val="single" w:sz="6" w:space="0" w:color="auto"/>
              <w:bottom w:val="single" w:sz="6" w:space="0" w:color="auto"/>
              <w:right w:val="single" w:sz="6" w:space="0" w:color="auto"/>
            </w:tcBorders>
          </w:tcPr>
          <w:p w14:paraId="65FF4A17" w14:textId="77777777" w:rsidR="00A10B25" w:rsidRDefault="00A10B25">
            <w:pPr>
              <w:pStyle w:val="TAL"/>
              <w:rPr>
                <w:rFonts w:cs="Arial"/>
                <w:szCs w:val="18"/>
              </w:rPr>
            </w:pPr>
          </w:p>
        </w:tc>
      </w:tr>
      <w:tr w:rsidR="00A10B25" w14:paraId="23578CFE"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25E14636" w14:textId="77777777" w:rsidR="00A10B25" w:rsidRDefault="00A10B25">
            <w:pPr>
              <w:pStyle w:val="TAL"/>
              <w:rPr>
                <w:lang w:eastAsia="zh-CN"/>
              </w:rPr>
            </w:pPr>
            <w:r>
              <w:rPr>
                <w:lang w:eastAsia="zh-CN"/>
              </w:rPr>
              <w:t>tdMatchTrafs</w:t>
            </w:r>
          </w:p>
        </w:tc>
        <w:tc>
          <w:tcPr>
            <w:tcW w:w="1614" w:type="dxa"/>
            <w:tcBorders>
              <w:top w:val="single" w:sz="6" w:space="0" w:color="auto"/>
              <w:left w:val="single" w:sz="6" w:space="0" w:color="auto"/>
              <w:bottom w:val="single" w:sz="6" w:space="0" w:color="auto"/>
              <w:right w:val="single" w:sz="6" w:space="0" w:color="auto"/>
            </w:tcBorders>
          </w:tcPr>
          <w:p w14:paraId="4E4F3E56" w14:textId="77777777" w:rsidR="00A10B25" w:rsidRDefault="00A10B25">
            <w:pPr>
              <w:pStyle w:val="TAL"/>
              <w:rPr>
                <w:lang w:eastAsia="zh-CN"/>
              </w:rPr>
            </w:pPr>
            <w:r>
              <w:rPr>
                <w:lang w:eastAsia="zh-CN"/>
              </w:rPr>
              <w:t>array(TdTraffic)</w:t>
            </w:r>
          </w:p>
        </w:tc>
        <w:tc>
          <w:tcPr>
            <w:tcW w:w="359" w:type="dxa"/>
            <w:tcBorders>
              <w:top w:val="single" w:sz="6" w:space="0" w:color="auto"/>
              <w:left w:val="single" w:sz="6" w:space="0" w:color="auto"/>
              <w:bottom w:val="single" w:sz="6" w:space="0" w:color="auto"/>
              <w:right w:val="single" w:sz="6" w:space="0" w:color="auto"/>
            </w:tcBorders>
          </w:tcPr>
          <w:p w14:paraId="51175656" w14:textId="77777777" w:rsidR="00A10B25" w:rsidRDefault="00A10B25">
            <w:pPr>
              <w:pStyle w:val="TAC"/>
              <w:rPr>
                <w:lang w:eastAsia="ja-JP"/>
              </w:rPr>
            </w:pPr>
            <w:r>
              <w:rPr>
                <w:lang w:eastAsia="ja-JP"/>
              </w:rPr>
              <w:t>C</w:t>
            </w:r>
          </w:p>
        </w:tc>
        <w:tc>
          <w:tcPr>
            <w:tcW w:w="1166" w:type="dxa"/>
            <w:tcBorders>
              <w:top w:val="single" w:sz="6" w:space="0" w:color="auto"/>
              <w:left w:val="single" w:sz="6" w:space="0" w:color="auto"/>
              <w:bottom w:val="single" w:sz="6" w:space="0" w:color="auto"/>
              <w:right w:val="single" w:sz="6" w:space="0" w:color="auto"/>
            </w:tcBorders>
          </w:tcPr>
          <w:p w14:paraId="07580D11" w14:textId="77777777" w:rsidR="00A10B25" w:rsidRDefault="00A10B25">
            <w:pPr>
              <w:pStyle w:val="TAL"/>
              <w:rPr>
                <w:lang w:eastAsia="zh-CN"/>
              </w:rPr>
            </w:pPr>
            <w:r>
              <w:rPr>
                <w:lang w:eastAsia="zh-CN"/>
              </w:rPr>
              <w:t>1..N</w:t>
            </w:r>
          </w:p>
        </w:tc>
        <w:tc>
          <w:tcPr>
            <w:tcW w:w="3496" w:type="dxa"/>
            <w:tcBorders>
              <w:top w:val="single" w:sz="6" w:space="0" w:color="auto"/>
              <w:left w:val="single" w:sz="6" w:space="0" w:color="auto"/>
              <w:bottom w:val="single" w:sz="6" w:space="0" w:color="auto"/>
              <w:right w:val="single" w:sz="6" w:space="0" w:color="auto"/>
            </w:tcBorders>
          </w:tcPr>
          <w:p w14:paraId="57FA0743" w14:textId="77777777" w:rsidR="00A10B25" w:rsidRDefault="00A10B25">
            <w:pPr>
              <w:pStyle w:val="TAL"/>
            </w:pPr>
            <w:r>
              <w:t>Identifies traffic that matches Traffic Descriptor provided by the consumer in those PDU Sessions identified by the S-NSSAI and DNN above and the volume.</w:t>
            </w:r>
          </w:p>
          <w:p w14:paraId="2DF5771F" w14:textId="77777777" w:rsidR="00A10B25" w:rsidRDefault="00A10B25">
            <w:pPr>
              <w:pStyle w:val="TAL"/>
            </w:pPr>
            <w:r>
              <w:rPr>
                <w:rFonts w:cs="Arial"/>
                <w:szCs w:val="18"/>
              </w:rPr>
              <w:t>Shall be present</w:t>
            </w:r>
            <w:r>
              <w:rPr>
                <w:lang w:eastAsia="zh-CN"/>
              </w:rPr>
              <w:t xml:space="preserve"> if one of the elements in the "listOfAnaSubsets" attribute was set to</w:t>
            </w:r>
            <w:r>
              <w:t xml:space="preserve"> </w:t>
            </w:r>
            <w:r>
              <w:rPr>
                <w:lang w:eastAsia="zh-CN"/>
              </w:rPr>
              <w:t>"TRAFFIC_MATCH_TD".</w:t>
            </w:r>
          </w:p>
          <w:p w14:paraId="3CE7BBAD" w14:textId="77777777" w:rsidR="00A10B25" w:rsidRDefault="00A10B25">
            <w:pPr>
              <w:pStyle w:val="TAL"/>
              <w:rPr>
                <w:rFonts w:cs="Arial"/>
                <w:szCs w:val="18"/>
                <w:lang w:eastAsia="zh-CN"/>
              </w:rPr>
            </w:pPr>
            <w:r>
              <w:rPr>
                <w:rFonts w:eastAsia="Times New Roman" w:cs="Arial"/>
                <w:szCs w:val="18"/>
              </w:rPr>
              <w:t>(NOTE 2)</w:t>
            </w:r>
          </w:p>
        </w:tc>
        <w:tc>
          <w:tcPr>
            <w:tcW w:w="1255" w:type="dxa"/>
            <w:tcBorders>
              <w:top w:val="single" w:sz="6" w:space="0" w:color="auto"/>
              <w:left w:val="single" w:sz="6" w:space="0" w:color="auto"/>
              <w:bottom w:val="single" w:sz="6" w:space="0" w:color="auto"/>
              <w:right w:val="single" w:sz="6" w:space="0" w:color="auto"/>
            </w:tcBorders>
          </w:tcPr>
          <w:p w14:paraId="2117A667" w14:textId="77777777" w:rsidR="00A10B25" w:rsidRDefault="00A10B25">
            <w:pPr>
              <w:pStyle w:val="TAL"/>
              <w:rPr>
                <w:rFonts w:cs="Arial"/>
                <w:szCs w:val="18"/>
              </w:rPr>
            </w:pPr>
          </w:p>
        </w:tc>
      </w:tr>
      <w:tr w:rsidR="00A10B25" w14:paraId="71A9A182" w14:textId="77777777">
        <w:trPr>
          <w:jc w:val="center"/>
        </w:trPr>
        <w:tc>
          <w:tcPr>
            <w:tcW w:w="1695" w:type="dxa"/>
            <w:tcBorders>
              <w:top w:val="single" w:sz="6" w:space="0" w:color="auto"/>
              <w:left w:val="single" w:sz="6" w:space="0" w:color="auto"/>
              <w:bottom w:val="single" w:sz="6" w:space="0" w:color="auto"/>
              <w:right w:val="single" w:sz="6" w:space="0" w:color="auto"/>
            </w:tcBorders>
          </w:tcPr>
          <w:p w14:paraId="70C8C25D" w14:textId="77777777" w:rsidR="00A10B25" w:rsidRDefault="00A10B25">
            <w:pPr>
              <w:pStyle w:val="TAL"/>
              <w:rPr>
                <w:lang w:eastAsia="zh-CN"/>
              </w:rPr>
            </w:pPr>
            <w:r>
              <w:rPr>
                <w:lang w:eastAsia="zh-CN"/>
              </w:rPr>
              <w:t>tdUnmatchTrafs</w:t>
            </w:r>
          </w:p>
        </w:tc>
        <w:tc>
          <w:tcPr>
            <w:tcW w:w="1614" w:type="dxa"/>
            <w:tcBorders>
              <w:top w:val="single" w:sz="6" w:space="0" w:color="auto"/>
              <w:left w:val="single" w:sz="6" w:space="0" w:color="auto"/>
              <w:bottom w:val="single" w:sz="6" w:space="0" w:color="auto"/>
              <w:right w:val="single" w:sz="6" w:space="0" w:color="auto"/>
            </w:tcBorders>
          </w:tcPr>
          <w:p w14:paraId="60D55EAC" w14:textId="77777777" w:rsidR="00A10B25" w:rsidRDefault="00A10B25">
            <w:pPr>
              <w:pStyle w:val="TAL"/>
              <w:rPr>
                <w:lang w:eastAsia="zh-CN"/>
              </w:rPr>
            </w:pPr>
            <w:r>
              <w:rPr>
                <w:lang w:eastAsia="zh-CN"/>
              </w:rPr>
              <w:t>array(TdTraffic)</w:t>
            </w:r>
          </w:p>
        </w:tc>
        <w:tc>
          <w:tcPr>
            <w:tcW w:w="359" w:type="dxa"/>
            <w:tcBorders>
              <w:top w:val="single" w:sz="6" w:space="0" w:color="auto"/>
              <w:left w:val="single" w:sz="6" w:space="0" w:color="auto"/>
              <w:bottom w:val="single" w:sz="6" w:space="0" w:color="auto"/>
              <w:right w:val="single" w:sz="6" w:space="0" w:color="auto"/>
            </w:tcBorders>
          </w:tcPr>
          <w:p w14:paraId="749DD41B" w14:textId="77777777" w:rsidR="00A10B25" w:rsidRDefault="00A10B25">
            <w:pPr>
              <w:pStyle w:val="TAC"/>
              <w:rPr>
                <w:lang w:eastAsia="ja-JP"/>
              </w:rPr>
            </w:pPr>
            <w:r>
              <w:rPr>
                <w:lang w:eastAsia="ja-JP"/>
              </w:rPr>
              <w:t>C</w:t>
            </w:r>
          </w:p>
        </w:tc>
        <w:tc>
          <w:tcPr>
            <w:tcW w:w="1166" w:type="dxa"/>
            <w:tcBorders>
              <w:top w:val="single" w:sz="6" w:space="0" w:color="auto"/>
              <w:left w:val="single" w:sz="6" w:space="0" w:color="auto"/>
              <w:bottom w:val="single" w:sz="6" w:space="0" w:color="auto"/>
              <w:right w:val="single" w:sz="6" w:space="0" w:color="auto"/>
            </w:tcBorders>
          </w:tcPr>
          <w:p w14:paraId="65DF1807" w14:textId="77777777" w:rsidR="00A10B25" w:rsidRDefault="00A10B25">
            <w:pPr>
              <w:pStyle w:val="TAL"/>
              <w:rPr>
                <w:lang w:eastAsia="zh-CN"/>
              </w:rPr>
            </w:pPr>
            <w:r>
              <w:rPr>
                <w:lang w:eastAsia="zh-CN"/>
              </w:rPr>
              <w:t>1..N</w:t>
            </w:r>
          </w:p>
        </w:tc>
        <w:tc>
          <w:tcPr>
            <w:tcW w:w="3496" w:type="dxa"/>
            <w:tcBorders>
              <w:top w:val="single" w:sz="6" w:space="0" w:color="auto"/>
              <w:left w:val="single" w:sz="6" w:space="0" w:color="auto"/>
              <w:bottom w:val="single" w:sz="6" w:space="0" w:color="auto"/>
              <w:right w:val="single" w:sz="6" w:space="0" w:color="auto"/>
            </w:tcBorders>
          </w:tcPr>
          <w:p w14:paraId="3AA9A713" w14:textId="77777777" w:rsidR="00A10B25" w:rsidRDefault="00A10B25">
            <w:pPr>
              <w:pStyle w:val="TAL"/>
            </w:pPr>
            <w:r>
              <w:t>Identifies traffic that does not match Traffic Descriptor provided by the consumer in those PDU Sessions identified by the S-NSSAI and DNN above and the volume.</w:t>
            </w:r>
          </w:p>
          <w:p w14:paraId="197B5846" w14:textId="77777777" w:rsidR="00A10B25" w:rsidRDefault="00A10B25">
            <w:pPr>
              <w:pStyle w:val="TAL"/>
            </w:pPr>
            <w:r>
              <w:rPr>
                <w:rFonts w:cs="Arial"/>
                <w:szCs w:val="18"/>
              </w:rPr>
              <w:t>Shall be present</w:t>
            </w:r>
            <w:r>
              <w:rPr>
                <w:lang w:eastAsia="zh-CN"/>
              </w:rPr>
              <w:t xml:space="preserve"> if one of the elements in the "listOfAnaSubsets" attribute was set to</w:t>
            </w:r>
            <w:r>
              <w:t xml:space="preserve"> </w:t>
            </w:r>
            <w:r>
              <w:rPr>
                <w:lang w:eastAsia="zh-CN"/>
              </w:rPr>
              <w:t>"TRAFFIC_UNMATCH_TD".</w:t>
            </w:r>
          </w:p>
          <w:p w14:paraId="2BF63D23" w14:textId="77777777" w:rsidR="00A10B25" w:rsidRDefault="00A10B25">
            <w:pPr>
              <w:pStyle w:val="TAL"/>
              <w:rPr>
                <w:rFonts w:cs="Arial"/>
                <w:szCs w:val="18"/>
                <w:lang w:eastAsia="zh-CN"/>
              </w:rPr>
            </w:pPr>
            <w:r>
              <w:rPr>
                <w:rFonts w:eastAsia="Times New Roman" w:cs="Arial"/>
                <w:szCs w:val="18"/>
              </w:rPr>
              <w:t>(NOTE 2)</w:t>
            </w:r>
          </w:p>
        </w:tc>
        <w:tc>
          <w:tcPr>
            <w:tcW w:w="1255" w:type="dxa"/>
            <w:tcBorders>
              <w:top w:val="single" w:sz="6" w:space="0" w:color="auto"/>
              <w:left w:val="single" w:sz="6" w:space="0" w:color="auto"/>
              <w:bottom w:val="single" w:sz="6" w:space="0" w:color="auto"/>
              <w:right w:val="single" w:sz="6" w:space="0" w:color="auto"/>
            </w:tcBorders>
          </w:tcPr>
          <w:p w14:paraId="20943B0A" w14:textId="77777777" w:rsidR="00A10B25" w:rsidRDefault="00A10B25">
            <w:pPr>
              <w:pStyle w:val="TAL"/>
              <w:rPr>
                <w:rFonts w:cs="Arial"/>
                <w:szCs w:val="18"/>
              </w:rPr>
            </w:pPr>
          </w:p>
        </w:tc>
      </w:tr>
      <w:tr w:rsidR="00A10B25" w14:paraId="45110463" w14:textId="77777777">
        <w:trPr>
          <w:jc w:val="center"/>
        </w:trPr>
        <w:tc>
          <w:tcPr>
            <w:tcW w:w="9585" w:type="dxa"/>
            <w:gridSpan w:val="6"/>
            <w:tcBorders>
              <w:top w:val="single" w:sz="6" w:space="0" w:color="auto"/>
              <w:left w:val="single" w:sz="6" w:space="0" w:color="auto"/>
              <w:bottom w:val="single" w:sz="6" w:space="0" w:color="auto"/>
              <w:right w:val="single" w:sz="6" w:space="0" w:color="auto"/>
            </w:tcBorders>
          </w:tcPr>
          <w:p w14:paraId="13A5DEE2" w14:textId="77777777" w:rsidR="00A10B25" w:rsidRDefault="00A10B25">
            <w:pPr>
              <w:pStyle w:val="TAN"/>
              <w:rPr>
                <w:lang w:eastAsia="ja-JP"/>
              </w:rPr>
            </w:pPr>
            <w:r>
              <w:t>NOTE 1:</w:t>
            </w:r>
            <w:r>
              <w:tab/>
              <w:t>At least one of the "dnn" and "snssai" attributes shall be provided for the PDU Session traffic statistics of the specific DNN and/or S-NSSAI.</w:t>
            </w:r>
          </w:p>
          <w:p w14:paraId="5D6431E2" w14:textId="77777777" w:rsidR="00A10B25" w:rsidRDefault="00A10B25">
            <w:pPr>
              <w:pStyle w:val="TAN"/>
            </w:pPr>
            <w:r>
              <w:t>NOTE 2:</w:t>
            </w:r>
            <w:r>
              <w:tab/>
              <w:t>At least one of the "tdMatchTrafs</w:t>
            </w:r>
            <w:r>
              <w:rPr>
                <w:lang w:eastAsia="en-GB"/>
              </w:rPr>
              <w:t>"</w:t>
            </w:r>
            <w:r>
              <w:t xml:space="preserve"> and "tdUnmatchTrafs" attributes shall be provided.</w:t>
            </w:r>
          </w:p>
          <w:p w14:paraId="67DA8444" w14:textId="77777777" w:rsidR="00A10B25" w:rsidRDefault="00A10B25" w:rsidP="0076721C">
            <w:pPr>
              <w:pStyle w:val="TAN"/>
              <w:rPr>
                <w:rFonts w:cs="Arial"/>
                <w:szCs w:val="18"/>
              </w:rPr>
            </w:pPr>
            <w:r>
              <w:rPr>
                <w:rFonts w:cs="Arial"/>
                <w:szCs w:val="18"/>
                <w:lang w:eastAsia="ja-JP"/>
              </w:rPr>
              <w:t>NOTE</w:t>
            </w:r>
            <w:r>
              <w:t> </w:t>
            </w:r>
            <w:r>
              <w:rPr>
                <w:rFonts w:cs="Arial"/>
                <w:szCs w:val="18"/>
                <w:lang w:eastAsia="ja-JP"/>
              </w:rPr>
              <w:t xml:space="preserve">3: </w:t>
            </w:r>
            <w:r>
              <w:tab/>
              <w:t>When Target of Analytics Reporting is a UE group ID, or "Any UE" in the subscription, the NWDAF shall include the list of UEs matching the filter.</w:t>
            </w:r>
          </w:p>
        </w:tc>
      </w:tr>
    </w:tbl>
    <w:p w14:paraId="38E22215" w14:textId="77777777" w:rsidR="00A10B25" w:rsidRDefault="00A10B25">
      <w:pPr>
        <w:rPr>
          <w:rFonts w:eastAsia="MS Mincho"/>
        </w:rPr>
      </w:pPr>
    </w:p>
    <w:p w14:paraId="56424A7B" w14:textId="77777777" w:rsidR="00A10B25" w:rsidRDefault="00A10B25">
      <w:pPr>
        <w:pStyle w:val="5"/>
      </w:pPr>
      <w:bookmarkStart w:id="7887" w:name="_Toc148522672"/>
      <w:bookmarkStart w:id="7888" w:name="_Toc145705768"/>
      <w:bookmarkStart w:id="7889" w:name="_Toc164920852"/>
      <w:bookmarkStart w:id="7890" w:name="_Toc170120394"/>
      <w:bookmarkStart w:id="7891" w:name="_Toc175858639"/>
      <w:bookmarkStart w:id="7892" w:name="_Toc175859712"/>
      <w:bookmarkStart w:id="7893" w:name="_Toc180606002"/>
      <w:bookmarkStart w:id="7894" w:name="_Toc185517256"/>
      <w:bookmarkStart w:id="7895" w:name="_Toc191576307"/>
      <w:bookmarkStart w:id="7896" w:name="_Toc191577047"/>
      <w:bookmarkStart w:id="7897" w:name="_Toc192880117"/>
      <w:bookmarkStart w:id="7898" w:name="_Toc195815000"/>
      <w:bookmarkStart w:id="7899" w:name="_Toc199452967"/>
      <w:r>
        <w:t>5.1.6.2.78</w:t>
      </w:r>
      <w:r>
        <w:tab/>
        <w:t xml:space="preserve">Type </w:t>
      </w:r>
      <w:r>
        <w:rPr>
          <w:lang w:eastAsia="zh-CN"/>
        </w:rPr>
        <w:t>TdTraffic</w:t>
      </w:r>
      <w:bookmarkEnd w:id="7884"/>
      <w:bookmarkEnd w:id="7885"/>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48303C21" w14:textId="77777777" w:rsidR="00A10B25" w:rsidRDefault="00A10B25">
      <w:pPr>
        <w:pStyle w:val="TH"/>
      </w:pPr>
      <w:r>
        <w:t xml:space="preserve">Table 5.1.6.2.78-1: Definition of type </w:t>
      </w:r>
      <w:r>
        <w:rPr>
          <w:lang w:eastAsia="zh-CN"/>
        </w:rPr>
        <w:t>TdTraffic</w:t>
      </w:r>
    </w:p>
    <w:tbl>
      <w:tblPr>
        <w:tblW w:w="961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0"/>
        <w:gridCol w:w="1619"/>
        <w:gridCol w:w="360"/>
        <w:gridCol w:w="1169"/>
        <w:gridCol w:w="3508"/>
        <w:gridCol w:w="1259"/>
      </w:tblGrid>
      <w:tr w:rsidR="00A10B25" w14:paraId="4366C154" w14:textId="77777777">
        <w:trPr>
          <w:jc w:val="center"/>
        </w:trPr>
        <w:tc>
          <w:tcPr>
            <w:tcW w:w="1700" w:type="dxa"/>
            <w:tcBorders>
              <w:top w:val="single" w:sz="6" w:space="0" w:color="auto"/>
              <w:left w:val="single" w:sz="6" w:space="0" w:color="auto"/>
              <w:bottom w:val="single" w:sz="6" w:space="0" w:color="auto"/>
              <w:right w:val="single" w:sz="6" w:space="0" w:color="auto"/>
            </w:tcBorders>
            <w:shd w:val="clear" w:color="auto" w:fill="C0C0C0"/>
          </w:tcPr>
          <w:p w14:paraId="7D7FA9F5" w14:textId="77777777" w:rsidR="00A10B25" w:rsidRDefault="00A10B25">
            <w:pPr>
              <w:keepNext/>
              <w:keepLines/>
              <w:spacing w:after="0"/>
              <w:jc w:val="center"/>
              <w:rPr>
                <w:rFonts w:ascii="Arial" w:hAnsi="Arial"/>
                <w:b/>
                <w:sz w:val="18"/>
              </w:rPr>
            </w:pPr>
            <w:r>
              <w:rPr>
                <w:rFonts w:ascii="Arial" w:hAnsi="Arial"/>
                <w:b/>
                <w:sz w:val="18"/>
              </w:rPr>
              <w:t>Attribute name</w:t>
            </w:r>
          </w:p>
        </w:tc>
        <w:tc>
          <w:tcPr>
            <w:tcW w:w="1619" w:type="dxa"/>
            <w:tcBorders>
              <w:top w:val="single" w:sz="6" w:space="0" w:color="auto"/>
              <w:left w:val="single" w:sz="6" w:space="0" w:color="auto"/>
              <w:bottom w:val="single" w:sz="6" w:space="0" w:color="auto"/>
              <w:right w:val="single" w:sz="6" w:space="0" w:color="auto"/>
            </w:tcBorders>
            <w:shd w:val="clear" w:color="auto" w:fill="C0C0C0"/>
          </w:tcPr>
          <w:p w14:paraId="25A81264" w14:textId="77777777" w:rsidR="00A10B25" w:rsidRDefault="00A10B25">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tcPr>
          <w:p w14:paraId="3BD65FDE" w14:textId="77777777" w:rsidR="00A10B25" w:rsidRDefault="00A10B25">
            <w:pPr>
              <w:keepNext/>
              <w:keepLines/>
              <w:spacing w:after="0"/>
              <w:jc w:val="center"/>
              <w:rPr>
                <w:rFonts w:ascii="Arial" w:hAnsi="Arial"/>
                <w:b/>
                <w:sz w:val="18"/>
              </w:rPr>
            </w:pPr>
            <w:r>
              <w:rPr>
                <w:rFonts w:ascii="Arial" w:hAnsi="Arial"/>
                <w:b/>
                <w:sz w:val="18"/>
              </w:rPr>
              <w:t>P</w:t>
            </w:r>
          </w:p>
        </w:tc>
        <w:tc>
          <w:tcPr>
            <w:tcW w:w="1169" w:type="dxa"/>
            <w:tcBorders>
              <w:top w:val="single" w:sz="6" w:space="0" w:color="auto"/>
              <w:left w:val="single" w:sz="6" w:space="0" w:color="auto"/>
              <w:bottom w:val="single" w:sz="6" w:space="0" w:color="auto"/>
              <w:right w:val="single" w:sz="6" w:space="0" w:color="auto"/>
            </w:tcBorders>
            <w:shd w:val="clear" w:color="auto" w:fill="C0C0C0"/>
          </w:tcPr>
          <w:p w14:paraId="2A28A3D0" w14:textId="77777777" w:rsidR="00A10B25" w:rsidRDefault="00A10B25">
            <w:pPr>
              <w:keepNext/>
              <w:keepLines/>
              <w:spacing w:after="0"/>
              <w:jc w:val="center"/>
              <w:rPr>
                <w:rFonts w:ascii="Arial" w:hAnsi="Arial"/>
                <w:b/>
                <w:sz w:val="18"/>
              </w:rPr>
            </w:pPr>
            <w:r>
              <w:rPr>
                <w:rFonts w:ascii="Arial" w:hAnsi="Arial"/>
                <w:b/>
                <w:sz w:val="18"/>
              </w:rPr>
              <w:t>Cardinality</w:t>
            </w:r>
          </w:p>
        </w:tc>
        <w:tc>
          <w:tcPr>
            <w:tcW w:w="3508" w:type="dxa"/>
            <w:tcBorders>
              <w:top w:val="single" w:sz="6" w:space="0" w:color="auto"/>
              <w:left w:val="single" w:sz="6" w:space="0" w:color="auto"/>
              <w:bottom w:val="single" w:sz="6" w:space="0" w:color="auto"/>
              <w:right w:val="single" w:sz="6" w:space="0" w:color="auto"/>
            </w:tcBorders>
            <w:shd w:val="clear" w:color="auto" w:fill="C0C0C0"/>
          </w:tcPr>
          <w:p w14:paraId="74212612" w14:textId="77777777" w:rsidR="00A10B25" w:rsidRDefault="00A10B25">
            <w:pPr>
              <w:keepNext/>
              <w:keepLines/>
              <w:spacing w:after="0"/>
              <w:jc w:val="center"/>
              <w:rPr>
                <w:rFonts w:ascii="Arial" w:hAnsi="Arial"/>
                <w:b/>
                <w:sz w:val="18"/>
              </w:rPr>
            </w:pPr>
            <w:r>
              <w:rPr>
                <w:rFonts w:ascii="Arial" w:hAnsi="Arial"/>
                <w:b/>
                <w:sz w:val="18"/>
              </w:rPr>
              <w:t>Description</w:t>
            </w:r>
          </w:p>
        </w:tc>
        <w:tc>
          <w:tcPr>
            <w:tcW w:w="1259" w:type="dxa"/>
            <w:tcBorders>
              <w:top w:val="single" w:sz="6" w:space="0" w:color="auto"/>
              <w:left w:val="single" w:sz="6" w:space="0" w:color="auto"/>
              <w:bottom w:val="single" w:sz="6" w:space="0" w:color="auto"/>
              <w:right w:val="single" w:sz="6" w:space="0" w:color="auto"/>
            </w:tcBorders>
            <w:shd w:val="clear" w:color="auto" w:fill="C0C0C0"/>
          </w:tcPr>
          <w:p w14:paraId="36BE73A1"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3506F55F"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58138530" w14:textId="77777777" w:rsidR="00A10B25" w:rsidRDefault="00A10B25">
            <w:pPr>
              <w:pStyle w:val="TAL"/>
            </w:pPr>
            <w:r>
              <w:t>pduSesTrafReqs</w:t>
            </w:r>
          </w:p>
        </w:tc>
        <w:tc>
          <w:tcPr>
            <w:tcW w:w="1619" w:type="dxa"/>
            <w:tcBorders>
              <w:top w:val="single" w:sz="6" w:space="0" w:color="auto"/>
              <w:left w:val="single" w:sz="6" w:space="0" w:color="auto"/>
              <w:bottom w:val="single" w:sz="6" w:space="0" w:color="auto"/>
              <w:right w:val="single" w:sz="6" w:space="0" w:color="auto"/>
            </w:tcBorders>
          </w:tcPr>
          <w:p w14:paraId="7FE95BD3" w14:textId="77777777" w:rsidR="00A10B25" w:rsidRDefault="00A10B25">
            <w:pPr>
              <w:pStyle w:val="TAL"/>
              <w:rPr>
                <w:bCs/>
              </w:rPr>
            </w:pPr>
            <w:r>
              <w:rPr>
                <w:lang w:eastAsia="zh-CN"/>
              </w:rPr>
              <w:t>array(</w:t>
            </w:r>
            <w:r>
              <w:t>PduSesTrafficReq</w:t>
            </w:r>
            <w:r>
              <w:rPr>
                <w:lang w:eastAsia="zh-CN"/>
              </w:rPr>
              <w:t>)</w:t>
            </w:r>
          </w:p>
        </w:tc>
        <w:tc>
          <w:tcPr>
            <w:tcW w:w="360" w:type="dxa"/>
            <w:tcBorders>
              <w:top w:val="single" w:sz="6" w:space="0" w:color="auto"/>
              <w:left w:val="single" w:sz="6" w:space="0" w:color="auto"/>
              <w:bottom w:val="single" w:sz="6" w:space="0" w:color="auto"/>
              <w:right w:val="single" w:sz="6" w:space="0" w:color="auto"/>
            </w:tcBorders>
          </w:tcPr>
          <w:p w14:paraId="3674A23E" w14:textId="77777777" w:rsidR="00A10B25" w:rsidRDefault="00A10B25">
            <w:pPr>
              <w:pStyle w:val="TAC"/>
            </w:pPr>
            <w:r>
              <w:t>C</w:t>
            </w:r>
          </w:p>
        </w:tc>
        <w:tc>
          <w:tcPr>
            <w:tcW w:w="1169" w:type="dxa"/>
            <w:tcBorders>
              <w:top w:val="single" w:sz="6" w:space="0" w:color="auto"/>
              <w:left w:val="single" w:sz="6" w:space="0" w:color="auto"/>
              <w:bottom w:val="single" w:sz="6" w:space="0" w:color="auto"/>
              <w:right w:val="single" w:sz="6" w:space="0" w:color="auto"/>
            </w:tcBorders>
          </w:tcPr>
          <w:p w14:paraId="3380F047" w14:textId="77777777" w:rsidR="00A10B25" w:rsidRDefault="00A10B25">
            <w:pPr>
              <w:pStyle w:val="TAL"/>
            </w:pPr>
            <w:r>
              <w:t>1..N</w:t>
            </w:r>
          </w:p>
        </w:tc>
        <w:tc>
          <w:tcPr>
            <w:tcW w:w="3508" w:type="dxa"/>
            <w:tcBorders>
              <w:top w:val="single" w:sz="6" w:space="0" w:color="auto"/>
              <w:left w:val="single" w:sz="6" w:space="0" w:color="auto"/>
              <w:bottom w:val="single" w:sz="6" w:space="0" w:color="auto"/>
              <w:right w:val="single" w:sz="6" w:space="0" w:color="auto"/>
            </w:tcBorders>
          </w:tcPr>
          <w:p w14:paraId="748E9FC4" w14:textId="77777777" w:rsidR="00A10B25" w:rsidRDefault="00A10B25">
            <w:pPr>
              <w:pStyle w:val="TAL"/>
            </w:pPr>
            <w:r>
              <w:rPr>
                <w:rFonts w:cs="Arial"/>
                <w:szCs w:val="18"/>
              </w:rPr>
              <w:t>Indicates</w:t>
            </w:r>
            <w:r>
              <w:t xml:space="preserve"> the PDU Session traffic analytics requirements. </w:t>
            </w:r>
            <w:r>
              <w:rPr>
                <w:lang w:eastAsia="zh-CN"/>
              </w:rPr>
              <w:t xml:space="preserve">Shall be present if the </w:t>
            </w:r>
            <w:r>
              <w:t>"pduSesTrafReqs" attribute was provided i</w:t>
            </w:r>
            <w:r>
              <w:rPr>
                <w:rFonts w:cs="Arial"/>
                <w:szCs w:val="18"/>
              </w:rPr>
              <w:t>n the request or subscription.</w:t>
            </w:r>
          </w:p>
        </w:tc>
        <w:tc>
          <w:tcPr>
            <w:tcW w:w="1259" w:type="dxa"/>
            <w:tcBorders>
              <w:top w:val="single" w:sz="6" w:space="0" w:color="auto"/>
              <w:left w:val="single" w:sz="6" w:space="0" w:color="auto"/>
              <w:bottom w:val="single" w:sz="6" w:space="0" w:color="auto"/>
              <w:right w:val="single" w:sz="6" w:space="0" w:color="auto"/>
            </w:tcBorders>
          </w:tcPr>
          <w:p w14:paraId="1E942973" w14:textId="77777777" w:rsidR="00A10B25" w:rsidRDefault="00A10B25">
            <w:pPr>
              <w:pStyle w:val="TAL"/>
              <w:rPr>
                <w:rFonts w:cs="Arial"/>
                <w:szCs w:val="18"/>
              </w:rPr>
            </w:pPr>
          </w:p>
        </w:tc>
      </w:tr>
      <w:tr w:rsidR="00A10B25" w14:paraId="719035BF"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67001A1F" w14:textId="77777777" w:rsidR="00A10B25" w:rsidRDefault="00A10B25">
            <w:pPr>
              <w:pStyle w:val="TAL"/>
            </w:pPr>
            <w:r>
              <w:t>ulVol</w:t>
            </w:r>
          </w:p>
        </w:tc>
        <w:tc>
          <w:tcPr>
            <w:tcW w:w="1619" w:type="dxa"/>
            <w:tcBorders>
              <w:top w:val="single" w:sz="6" w:space="0" w:color="auto"/>
              <w:left w:val="single" w:sz="6" w:space="0" w:color="auto"/>
              <w:bottom w:val="single" w:sz="6" w:space="0" w:color="auto"/>
              <w:right w:val="single" w:sz="6" w:space="0" w:color="auto"/>
            </w:tcBorders>
          </w:tcPr>
          <w:p w14:paraId="09F70496" w14:textId="77777777" w:rsidR="00A10B25" w:rsidRDefault="00A10B25">
            <w:pPr>
              <w:pStyle w:val="TAL"/>
              <w:rPr>
                <w:lang w:eastAsia="zh-CN"/>
              </w:rPr>
            </w:pPr>
            <w:r>
              <w:rPr>
                <w:lang w:eastAsia="zh-CN"/>
              </w:rPr>
              <w:t>Volume</w:t>
            </w:r>
          </w:p>
        </w:tc>
        <w:tc>
          <w:tcPr>
            <w:tcW w:w="360" w:type="dxa"/>
            <w:tcBorders>
              <w:top w:val="single" w:sz="6" w:space="0" w:color="auto"/>
              <w:left w:val="single" w:sz="6" w:space="0" w:color="auto"/>
              <w:bottom w:val="single" w:sz="6" w:space="0" w:color="auto"/>
              <w:right w:val="single" w:sz="6" w:space="0" w:color="auto"/>
            </w:tcBorders>
          </w:tcPr>
          <w:p w14:paraId="6477A27E" w14:textId="77777777" w:rsidR="00A10B25" w:rsidRDefault="00A10B25">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5CA197DC"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3E4BB5D4" w14:textId="77777777" w:rsidR="00A10B25" w:rsidRDefault="00A10B25">
            <w:pPr>
              <w:pStyle w:val="TAL"/>
              <w:rPr>
                <w:rFonts w:cs="Arial"/>
                <w:szCs w:val="18"/>
                <w:lang w:eastAsia="zh-CN"/>
              </w:rPr>
            </w:pPr>
            <w:r>
              <w:rPr>
                <w:rFonts w:cs="Arial"/>
                <w:szCs w:val="18"/>
                <w:lang w:eastAsia="zh-CN"/>
              </w:rPr>
              <w:t>Indicates the UL data volume exchanged.</w:t>
            </w:r>
          </w:p>
        </w:tc>
        <w:tc>
          <w:tcPr>
            <w:tcW w:w="1259" w:type="dxa"/>
            <w:tcBorders>
              <w:top w:val="single" w:sz="6" w:space="0" w:color="auto"/>
              <w:left w:val="single" w:sz="6" w:space="0" w:color="auto"/>
              <w:bottom w:val="single" w:sz="6" w:space="0" w:color="auto"/>
              <w:right w:val="single" w:sz="6" w:space="0" w:color="auto"/>
            </w:tcBorders>
          </w:tcPr>
          <w:p w14:paraId="798B56DC" w14:textId="77777777" w:rsidR="00A10B25" w:rsidRDefault="00A10B25">
            <w:pPr>
              <w:pStyle w:val="TAL"/>
              <w:rPr>
                <w:rFonts w:cs="Arial"/>
                <w:szCs w:val="18"/>
              </w:rPr>
            </w:pPr>
          </w:p>
        </w:tc>
      </w:tr>
      <w:tr w:rsidR="00A10B25" w14:paraId="22B9E0B5"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446ADC18" w14:textId="77777777" w:rsidR="00A10B25" w:rsidRDefault="00A10B25">
            <w:pPr>
              <w:pStyle w:val="TAL"/>
            </w:pPr>
            <w:r>
              <w:t>dlVol</w:t>
            </w:r>
          </w:p>
        </w:tc>
        <w:tc>
          <w:tcPr>
            <w:tcW w:w="1619" w:type="dxa"/>
            <w:tcBorders>
              <w:top w:val="single" w:sz="6" w:space="0" w:color="auto"/>
              <w:left w:val="single" w:sz="6" w:space="0" w:color="auto"/>
              <w:bottom w:val="single" w:sz="6" w:space="0" w:color="auto"/>
              <w:right w:val="single" w:sz="6" w:space="0" w:color="auto"/>
            </w:tcBorders>
          </w:tcPr>
          <w:p w14:paraId="528A5A5C" w14:textId="77777777" w:rsidR="00A10B25" w:rsidRDefault="00A10B25">
            <w:pPr>
              <w:pStyle w:val="TAL"/>
              <w:rPr>
                <w:bCs/>
              </w:rPr>
            </w:pPr>
            <w:r>
              <w:rPr>
                <w:lang w:eastAsia="zh-CN"/>
              </w:rPr>
              <w:t>Volume</w:t>
            </w:r>
          </w:p>
        </w:tc>
        <w:tc>
          <w:tcPr>
            <w:tcW w:w="360" w:type="dxa"/>
            <w:tcBorders>
              <w:top w:val="single" w:sz="6" w:space="0" w:color="auto"/>
              <w:left w:val="single" w:sz="6" w:space="0" w:color="auto"/>
              <w:bottom w:val="single" w:sz="6" w:space="0" w:color="auto"/>
              <w:right w:val="single" w:sz="6" w:space="0" w:color="auto"/>
            </w:tcBorders>
          </w:tcPr>
          <w:p w14:paraId="20B96CDE" w14:textId="77777777" w:rsidR="00A10B25" w:rsidRDefault="00A10B25">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04923447" w14:textId="77777777" w:rsidR="00A10B25" w:rsidRDefault="00A10B25">
            <w:pPr>
              <w:pStyle w:val="TAL"/>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77EC4109" w14:textId="77777777" w:rsidR="00A10B25" w:rsidRDefault="00A10B25">
            <w:pPr>
              <w:pStyle w:val="TAL"/>
            </w:pPr>
            <w:r>
              <w:rPr>
                <w:rFonts w:cs="Arial"/>
                <w:szCs w:val="18"/>
                <w:lang w:eastAsia="zh-CN"/>
              </w:rPr>
              <w:t>Indicates the DL data volume exchanged.</w:t>
            </w:r>
          </w:p>
        </w:tc>
        <w:tc>
          <w:tcPr>
            <w:tcW w:w="1259" w:type="dxa"/>
            <w:tcBorders>
              <w:top w:val="single" w:sz="6" w:space="0" w:color="auto"/>
              <w:left w:val="single" w:sz="6" w:space="0" w:color="auto"/>
              <w:bottom w:val="single" w:sz="6" w:space="0" w:color="auto"/>
              <w:right w:val="single" w:sz="6" w:space="0" w:color="auto"/>
            </w:tcBorders>
          </w:tcPr>
          <w:p w14:paraId="3D87EDC8" w14:textId="77777777" w:rsidR="00A10B25" w:rsidRDefault="00A10B25">
            <w:pPr>
              <w:pStyle w:val="TAL"/>
              <w:rPr>
                <w:rFonts w:cs="Arial"/>
                <w:szCs w:val="18"/>
              </w:rPr>
            </w:pPr>
          </w:p>
        </w:tc>
      </w:tr>
      <w:tr w:rsidR="00A10B25" w14:paraId="5ED1D4C9"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4FEE4B6E" w14:textId="77777777" w:rsidR="00A10B25" w:rsidRDefault="00A10B25">
            <w:pPr>
              <w:pStyle w:val="TAL"/>
            </w:pPr>
            <w:r>
              <w:t>allVol</w:t>
            </w:r>
          </w:p>
        </w:tc>
        <w:tc>
          <w:tcPr>
            <w:tcW w:w="1619" w:type="dxa"/>
            <w:tcBorders>
              <w:top w:val="single" w:sz="6" w:space="0" w:color="auto"/>
              <w:left w:val="single" w:sz="6" w:space="0" w:color="auto"/>
              <w:bottom w:val="single" w:sz="6" w:space="0" w:color="auto"/>
              <w:right w:val="single" w:sz="6" w:space="0" w:color="auto"/>
            </w:tcBorders>
          </w:tcPr>
          <w:p w14:paraId="03D0A656" w14:textId="77777777" w:rsidR="00A10B25" w:rsidRDefault="00A10B25">
            <w:pPr>
              <w:pStyle w:val="TAL"/>
              <w:rPr>
                <w:bCs/>
              </w:rPr>
            </w:pPr>
            <w:r>
              <w:rPr>
                <w:lang w:eastAsia="zh-CN"/>
              </w:rPr>
              <w:t>Volume</w:t>
            </w:r>
          </w:p>
        </w:tc>
        <w:tc>
          <w:tcPr>
            <w:tcW w:w="360" w:type="dxa"/>
            <w:tcBorders>
              <w:top w:val="single" w:sz="6" w:space="0" w:color="auto"/>
              <w:left w:val="single" w:sz="6" w:space="0" w:color="auto"/>
              <w:bottom w:val="single" w:sz="6" w:space="0" w:color="auto"/>
              <w:right w:val="single" w:sz="6" w:space="0" w:color="auto"/>
            </w:tcBorders>
          </w:tcPr>
          <w:p w14:paraId="7689EFE1" w14:textId="77777777" w:rsidR="00A10B25" w:rsidRDefault="00A10B25">
            <w:pPr>
              <w:pStyle w:val="TAC"/>
            </w:pPr>
            <w:r>
              <w:t>O</w:t>
            </w:r>
          </w:p>
        </w:tc>
        <w:tc>
          <w:tcPr>
            <w:tcW w:w="1169" w:type="dxa"/>
            <w:tcBorders>
              <w:top w:val="single" w:sz="6" w:space="0" w:color="auto"/>
              <w:left w:val="single" w:sz="6" w:space="0" w:color="auto"/>
              <w:bottom w:val="single" w:sz="6" w:space="0" w:color="auto"/>
              <w:right w:val="single" w:sz="6" w:space="0" w:color="auto"/>
            </w:tcBorders>
          </w:tcPr>
          <w:p w14:paraId="24C4853F" w14:textId="77777777" w:rsidR="00A10B25" w:rsidRDefault="00A10B25">
            <w:pPr>
              <w:pStyle w:val="TAL"/>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22389B21" w14:textId="77777777" w:rsidR="00A10B25" w:rsidRDefault="00A10B25">
            <w:pPr>
              <w:pStyle w:val="TAL"/>
            </w:pPr>
            <w:r>
              <w:rPr>
                <w:rFonts w:cs="Arial"/>
                <w:szCs w:val="18"/>
                <w:lang w:eastAsia="zh-CN"/>
              </w:rPr>
              <w:t>Indicates the overall data volume exchanged.</w:t>
            </w:r>
          </w:p>
        </w:tc>
        <w:tc>
          <w:tcPr>
            <w:tcW w:w="1259" w:type="dxa"/>
            <w:tcBorders>
              <w:top w:val="single" w:sz="6" w:space="0" w:color="auto"/>
              <w:left w:val="single" w:sz="6" w:space="0" w:color="auto"/>
              <w:bottom w:val="single" w:sz="6" w:space="0" w:color="auto"/>
              <w:right w:val="single" w:sz="6" w:space="0" w:color="auto"/>
            </w:tcBorders>
          </w:tcPr>
          <w:p w14:paraId="70A40146" w14:textId="77777777" w:rsidR="00A10B25" w:rsidRDefault="00A10B25">
            <w:pPr>
              <w:pStyle w:val="TAL"/>
              <w:rPr>
                <w:rFonts w:cs="Arial"/>
                <w:szCs w:val="18"/>
              </w:rPr>
            </w:pPr>
          </w:p>
        </w:tc>
      </w:tr>
      <w:tr w:rsidR="00A10B25" w14:paraId="42ED2AD9"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32DD14B0" w14:textId="77777777" w:rsidR="00A10B25" w:rsidRDefault="00A10B25">
            <w:pPr>
              <w:pStyle w:val="TAL"/>
              <w:rPr>
                <w:lang w:eastAsia="zh-CN"/>
              </w:rPr>
            </w:pPr>
            <w:r>
              <w:rPr>
                <w:lang w:eastAsia="zh-CN"/>
              </w:rPr>
              <w:t>ulNumOfPkt</w:t>
            </w:r>
          </w:p>
        </w:tc>
        <w:tc>
          <w:tcPr>
            <w:tcW w:w="1619" w:type="dxa"/>
            <w:tcBorders>
              <w:top w:val="single" w:sz="6" w:space="0" w:color="auto"/>
              <w:left w:val="single" w:sz="6" w:space="0" w:color="auto"/>
              <w:bottom w:val="single" w:sz="6" w:space="0" w:color="auto"/>
              <w:right w:val="single" w:sz="6" w:space="0" w:color="auto"/>
            </w:tcBorders>
          </w:tcPr>
          <w:p w14:paraId="666F6C77" w14:textId="77777777" w:rsidR="00A10B25" w:rsidRDefault="00A10B25">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5BA10AD6" w14:textId="77777777" w:rsidR="00A10B25" w:rsidRDefault="00A10B25">
            <w:pPr>
              <w:pStyle w:val="TAC"/>
              <w:rPr>
                <w:lang w:eastAsia="ja-JP"/>
              </w:rPr>
            </w:pPr>
            <w:r>
              <w:t>O</w:t>
            </w:r>
          </w:p>
        </w:tc>
        <w:tc>
          <w:tcPr>
            <w:tcW w:w="1169" w:type="dxa"/>
            <w:tcBorders>
              <w:top w:val="single" w:sz="6" w:space="0" w:color="auto"/>
              <w:left w:val="single" w:sz="6" w:space="0" w:color="auto"/>
              <w:bottom w:val="single" w:sz="6" w:space="0" w:color="auto"/>
              <w:right w:val="single" w:sz="6" w:space="0" w:color="auto"/>
            </w:tcBorders>
          </w:tcPr>
          <w:p w14:paraId="4C29AC60"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75C6C9A5" w14:textId="77777777" w:rsidR="00A10B25" w:rsidRDefault="00A10B25">
            <w:pPr>
              <w:pStyle w:val="TAL"/>
              <w:rPr>
                <w:rFonts w:cs="Arial"/>
                <w:szCs w:val="18"/>
                <w:lang w:eastAsia="zh-CN"/>
              </w:rPr>
            </w:pPr>
            <w:r>
              <w:rPr>
                <w:rFonts w:cs="Arial"/>
                <w:szCs w:val="18"/>
                <w:lang w:eastAsia="zh-CN"/>
              </w:rPr>
              <w:t xml:space="preserve">Indicates the </w:t>
            </w:r>
            <w:r>
              <w:t>number of UL packets exchanged.</w:t>
            </w:r>
          </w:p>
        </w:tc>
        <w:tc>
          <w:tcPr>
            <w:tcW w:w="1259" w:type="dxa"/>
            <w:tcBorders>
              <w:top w:val="single" w:sz="6" w:space="0" w:color="auto"/>
              <w:left w:val="single" w:sz="6" w:space="0" w:color="auto"/>
              <w:bottom w:val="single" w:sz="6" w:space="0" w:color="auto"/>
              <w:right w:val="single" w:sz="6" w:space="0" w:color="auto"/>
            </w:tcBorders>
          </w:tcPr>
          <w:p w14:paraId="6632B8EC" w14:textId="77777777" w:rsidR="00A10B25" w:rsidRDefault="00A10B25">
            <w:pPr>
              <w:pStyle w:val="TAL"/>
              <w:rPr>
                <w:rFonts w:cs="Arial"/>
                <w:szCs w:val="18"/>
              </w:rPr>
            </w:pPr>
          </w:p>
        </w:tc>
      </w:tr>
      <w:tr w:rsidR="00A10B25" w14:paraId="0DFAB17A"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1F919D00" w14:textId="77777777" w:rsidR="00A10B25" w:rsidRDefault="00A10B25">
            <w:pPr>
              <w:pStyle w:val="TAL"/>
              <w:rPr>
                <w:lang w:eastAsia="zh-CN"/>
              </w:rPr>
            </w:pPr>
            <w:r>
              <w:rPr>
                <w:lang w:eastAsia="zh-CN"/>
              </w:rPr>
              <w:t>dlNumOfPkt</w:t>
            </w:r>
          </w:p>
        </w:tc>
        <w:tc>
          <w:tcPr>
            <w:tcW w:w="1619" w:type="dxa"/>
            <w:tcBorders>
              <w:top w:val="single" w:sz="6" w:space="0" w:color="auto"/>
              <w:left w:val="single" w:sz="6" w:space="0" w:color="auto"/>
              <w:bottom w:val="single" w:sz="6" w:space="0" w:color="auto"/>
              <w:right w:val="single" w:sz="6" w:space="0" w:color="auto"/>
            </w:tcBorders>
          </w:tcPr>
          <w:p w14:paraId="3040DE7F" w14:textId="77777777" w:rsidR="00A10B25" w:rsidRDefault="00A10B25">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43A46B47" w14:textId="77777777" w:rsidR="00A10B25" w:rsidRDefault="00A10B25">
            <w:pPr>
              <w:pStyle w:val="TAC"/>
              <w:rPr>
                <w:lang w:eastAsia="ja-JP"/>
              </w:rPr>
            </w:pPr>
            <w:r>
              <w:t>O</w:t>
            </w:r>
          </w:p>
        </w:tc>
        <w:tc>
          <w:tcPr>
            <w:tcW w:w="1169" w:type="dxa"/>
            <w:tcBorders>
              <w:top w:val="single" w:sz="6" w:space="0" w:color="auto"/>
              <w:left w:val="single" w:sz="6" w:space="0" w:color="auto"/>
              <w:bottom w:val="single" w:sz="6" w:space="0" w:color="auto"/>
              <w:right w:val="single" w:sz="6" w:space="0" w:color="auto"/>
            </w:tcBorders>
          </w:tcPr>
          <w:p w14:paraId="15B46507"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4494760A" w14:textId="77777777" w:rsidR="00A10B25" w:rsidRDefault="00A10B25">
            <w:pPr>
              <w:pStyle w:val="TAL"/>
              <w:rPr>
                <w:rFonts w:cs="Arial"/>
                <w:szCs w:val="18"/>
                <w:lang w:eastAsia="zh-CN"/>
              </w:rPr>
            </w:pPr>
            <w:r>
              <w:rPr>
                <w:rFonts w:cs="Arial"/>
                <w:szCs w:val="18"/>
                <w:lang w:eastAsia="zh-CN"/>
              </w:rPr>
              <w:t xml:space="preserve">Indicates the </w:t>
            </w:r>
            <w:r>
              <w:t>number of DL packets exchanged.</w:t>
            </w:r>
          </w:p>
        </w:tc>
        <w:tc>
          <w:tcPr>
            <w:tcW w:w="1259" w:type="dxa"/>
            <w:tcBorders>
              <w:top w:val="single" w:sz="6" w:space="0" w:color="auto"/>
              <w:left w:val="single" w:sz="6" w:space="0" w:color="auto"/>
              <w:bottom w:val="single" w:sz="6" w:space="0" w:color="auto"/>
              <w:right w:val="single" w:sz="6" w:space="0" w:color="auto"/>
            </w:tcBorders>
          </w:tcPr>
          <w:p w14:paraId="0E8135D4" w14:textId="77777777" w:rsidR="00A10B25" w:rsidRDefault="00A10B25">
            <w:pPr>
              <w:pStyle w:val="TAL"/>
              <w:rPr>
                <w:rFonts w:cs="Arial"/>
                <w:szCs w:val="18"/>
              </w:rPr>
            </w:pPr>
          </w:p>
        </w:tc>
      </w:tr>
      <w:tr w:rsidR="00A10B25" w14:paraId="6C31FFF8" w14:textId="77777777">
        <w:trPr>
          <w:jc w:val="center"/>
        </w:trPr>
        <w:tc>
          <w:tcPr>
            <w:tcW w:w="1700" w:type="dxa"/>
            <w:tcBorders>
              <w:top w:val="single" w:sz="6" w:space="0" w:color="auto"/>
              <w:left w:val="single" w:sz="6" w:space="0" w:color="auto"/>
              <w:bottom w:val="single" w:sz="6" w:space="0" w:color="auto"/>
              <w:right w:val="single" w:sz="6" w:space="0" w:color="auto"/>
            </w:tcBorders>
          </w:tcPr>
          <w:p w14:paraId="65775648" w14:textId="77777777" w:rsidR="00A10B25" w:rsidRDefault="00A10B25">
            <w:pPr>
              <w:pStyle w:val="TAL"/>
              <w:rPr>
                <w:lang w:eastAsia="zh-CN"/>
              </w:rPr>
            </w:pPr>
            <w:r>
              <w:rPr>
                <w:lang w:eastAsia="zh-CN"/>
              </w:rPr>
              <w:t>allNumOfPkt</w:t>
            </w:r>
          </w:p>
        </w:tc>
        <w:tc>
          <w:tcPr>
            <w:tcW w:w="1619" w:type="dxa"/>
            <w:tcBorders>
              <w:top w:val="single" w:sz="6" w:space="0" w:color="auto"/>
              <w:left w:val="single" w:sz="6" w:space="0" w:color="auto"/>
              <w:bottom w:val="single" w:sz="6" w:space="0" w:color="auto"/>
              <w:right w:val="single" w:sz="6" w:space="0" w:color="auto"/>
            </w:tcBorders>
          </w:tcPr>
          <w:p w14:paraId="2E35F481" w14:textId="77777777" w:rsidR="00A10B25" w:rsidRDefault="00A10B25">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66F1C55D" w14:textId="77777777" w:rsidR="00A10B25" w:rsidRDefault="00A10B25">
            <w:pPr>
              <w:pStyle w:val="TAC"/>
              <w:rPr>
                <w:lang w:eastAsia="ja-JP"/>
              </w:rPr>
            </w:pPr>
            <w:r>
              <w:t>O</w:t>
            </w:r>
          </w:p>
        </w:tc>
        <w:tc>
          <w:tcPr>
            <w:tcW w:w="1169" w:type="dxa"/>
            <w:tcBorders>
              <w:top w:val="single" w:sz="6" w:space="0" w:color="auto"/>
              <w:left w:val="single" w:sz="6" w:space="0" w:color="auto"/>
              <w:bottom w:val="single" w:sz="6" w:space="0" w:color="auto"/>
              <w:right w:val="single" w:sz="6" w:space="0" w:color="auto"/>
            </w:tcBorders>
          </w:tcPr>
          <w:p w14:paraId="642D6C15" w14:textId="77777777" w:rsidR="00A10B25" w:rsidRDefault="00A10B25">
            <w:pPr>
              <w:pStyle w:val="TAL"/>
              <w:rPr>
                <w:lang w:eastAsia="zh-CN"/>
              </w:rPr>
            </w:pPr>
            <w:r>
              <w:rPr>
                <w:lang w:eastAsia="zh-CN"/>
              </w:rPr>
              <w:t>0..1</w:t>
            </w:r>
          </w:p>
        </w:tc>
        <w:tc>
          <w:tcPr>
            <w:tcW w:w="3508" w:type="dxa"/>
            <w:tcBorders>
              <w:top w:val="single" w:sz="6" w:space="0" w:color="auto"/>
              <w:left w:val="single" w:sz="6" w:space="0" w:color="auto"/>
              <w:bottom w:val="single" w:sz="6" w:space="0" w:color="auto"/>
              <w:right w:val="single" w:sz="6" w:space="0" w:color="auto"/>
            </w:tcBorders>
          </w:tcPr>
          <w:p w14:paraId="3D983FAA" w14:textId="77777777" w:rsidR="00A10B25" w:rsidRDefault="00A10B25">
            <w:pPr>
              <w:pStyle w:val="TAL"/>
              <w:rPr>
                <w:rFonts w:cs="Arial"/>
                <w:szCs w:val="18"/>
                <w:lang w:eastAsia="zh-CN"/>
              </w:rPr>
            </w:pPr>
            <w:r>
              <w:rPr>
                <w:rFonts w:cs="Arial"/>
                <w:szCs w:val="18"/>
                <w:lang w:eastAsia="zh-CN"/>
              </w:rPr>
              <w:t xml:space="preserve">Indicates the </w:t>
            </w:r>
            <w:r>
              <w:t xml:space="preserve">number of </w:t>
            </w:r>
            <w:r>
              <w:rPr>
                <w:rFonts w:cs="Arial"/>
                <w:szCs w:val="18"/>
                <w:lang w:eastAsia="zh-CN"/>
              </w:rPr>
              <w:t>overall</w:t>
            </w:r>
            <w:r>
              <w:t xml:space="preserve"> packets exchanged.</w:t>
            </w:r>
          </w:p>
        </w:tc>
        <w:tc>
          <w:tcPr>
            <w:tcW w:w="1259" w:type="dxa"/>
            <w:tcBorders>
              <w:top w:val="single" w:sz="6" w:space="0" w:color="auto"/>
              <w:left w:val="single" w:sz="6" w:space="0" w:color="auto"/>
              <w:bottom w:val="single" w:sz="6" w:space="0" w:color="auto"/>
              <w:right w:val="single" w:sz="6" w:space="0" w:color="auto"/>
            </w:tcBorders>
          </w:tcPr>
          <w:p w14:paraId="14CF3507" w14:textId="77777777" w:rsidR="00A10B25" w:rsidRDefault="00A10B25">
            <w:pPr>
              <w:pStyle w:val="TAL"/>
              <w:rPr>
                <w:rFonts w:cs="Arial"/>
                <w:szCs w:val="18"/>
              </w:rPr>
            </w:pPr>
          </w:p>
        </w:tc>
      </w:tr>
    </w:tbl>
    <w:p w14:paraId="5535B04C" w14:textId="77777777" w:rsidR="00A10B25" w:rsidRDefault="00A10B25"/>
    <w:p w14:paraId="07B94056" w14:textId="77777777" w:rsidR="00A10B25" w:rsidRDefault="00A10B25">
      <w:pPr>
        <w:pStyle w:val="5"/>
      </w:pPr>
      <w:bookmarkStart w:id="7900" w:name="_Toc136562448"/>
      <w:bookmarkStart w:id="7901" w:name="_Toc138754282"/>
      <w:bookmarkStart w:id="7902" w:name="_Toc145705769"/>
      <w:bookmarkStart w:id="7903" w:name="_Toc148522673"/>
      <w:bookmarkStart w:id="7904" w:name="_Toc164920853"/>
      <w:bookmarkStart w:id="7905" w:name="_Toc170120395"/>
      <w:bookmarkStart w:id="7906" w:name="_Toc175858640"/>
      <w:bookmarkStart w:id="7907" w:name="_Toc175859713"/>
      <w:bookmarkStart w:id="7908" w:name="_Toc180606003"/>
      <w:bookmarkStart w:id="7909" w:name="_Toc185517257"/>
      <w:bookmarkStart w:id="7910" w:name="_Toc191576308"/>
      <w:bookmarkStart w:id="7911" w:name="_Toc191577048"/>
      <w:bookmarkStart w:id="7912" w:name="_Toc192880118"/>
      <w:bookmarkStart w:id="7913" w:name="_Toc195815001"/>
      <w:bookmarkStart w:id="7914" w:name="_Toc199452968"/>
      <w:r>
        <w:lastRenderedPageBreak/>
        <w:t>5.1.6.2.79</w:t>
      </w:r>
      <w:r>
        <w:tab/>
        <w:t>Type PduSesTrafficReq</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68E5C5DB" w14:textId="77777777" w:rsidR="00A10B25" w:rsidRDefault="00A10B25">
      <w:pPr>
        <w:pStyle w:val="TH"/>
      </w:pPr>
      <w:r>
        <w:t>Table 5.1.6.2.79-1: Definition of type PduSesTrafficReq</w:t>
      </w:r>
    </w:p>
    <w:tbl>
      <w:tblPr>
        <w:tblW w:w="961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694"/>
        <w:gridCol w:w="1613"/>
        <w:gridCol w:w="359"/>
        <w:gridCol w:w="1165"/>
        <w:gridCol w:w="3494"/>
        <w:gridCol w:w="1254"/>
      </w:tblGrid>
      <w:tr w:rsidR="00A10B25" w14:paraId="3D4696CD" w14:textId="77777777">
        <w:trPr>
          <w:gridBefore w:val="1"/>
          <w:wBefore w:w="36" w:type="dxa"/>
          <w:jc w:val="center"/>
        </w:trPr>
        <w:tc>
          <w:tcPr>
            <w:tcW w:w="1694" w:type="dxa"/>
            <w:tcBorders>
              <w:top w:val="single" w:sz="6" w:space="0" w:color="auto"/>
              <w:left w:val="single" w:sz="6" w:space="0" w:color="auto"/>
              <w:bottom w:val="single" w:sz="6" w:space="0" w:color="auto"/>
              <w:right w:val="single" w:sz="6" w:space="0" w:color="auto"/>
            </w:tcBorders>
            <w:shd w:val="clear" w:color="auto" w:fill="C0C0C0"/>
          </w:tcPr>
          <w:p w14:paraId="51E45F9D" w14:textId="77777777" w:rsidR="00A10B25" w:rsidRDefault="00A10B25">
            <w:pPr>
              <w:keepNext/>
              <w:keepLines/>
              <w:spacing w:after="0"/>
              <w:jc w:val="center"/>
              <w:rPr>
                <w:rFonts w:ascii="Arial" w:hAnsi="Arial"/>
                <w:b/>
                <w:sz w:val="18"/>
              </w:rPr>
            </w:pPr>
          </w:p>
        </w:tc>
        <w:tc>
          <w:tcPr>
            <w:tcW w:w="1613" w:type="dxa"/>
            <w:tcBorders>
              <w:top w:val="single" w:sz="6" w:space="0" w:color="auto"/>
              <w:left w:val="single" w:sz="6" w:space="0" w:color="auto"/>
              <w:bottom w:val="single" w:sz="6" w:space="0" w:color="auto"/>
              <w:right w:val="single" w:sz="6" w:space="0" w:color="auto"/>
            </w:tcBorders>
            <w:shd w:val="clear" w:color="auto" w:fill="C0C0C0"/>
          </w:tcPr>
          <w:p w14:paraId="4134E9F2" w14:textId="77777777" w:rsidR="00A10B25" w:rsidRDefault="00A10B25">
            <w:pPr>
              <w:keepNext/>
              <w:keepLines/>
              <w:spacing w:after="0"/>
              <w:jc w:val="center"/>
              <w:rPr>
                <w:rFonts w:ascii="Arial" w:hAnsi="Arial"/>
                <w:b/>
                <w:sz w:val="18"/>
              </w:rPr>
            </w:pPr>
          </w:p>
        </w:tc>
        <w:tc>
          <w:tcPr>
            <w:tcW w:w="359" w:type="dxa"/>
            <w:tcBorders>
              <w:top w:val="single" w:sz="6" w:space="0" w:color="auto"/>
              <w:left w:val="single" w:sz="6" w:space="0" w:color="auto"/>
              <w:bottom w:val="single" w:sz="6" w:space="0" w:color="auto"/>
              <w:right w:val="single" w:sz="6" w:space="0" w:color="auto"/>
            </w:tcBorders>
            <w:shd w:val="clear" w:color="auto" w:fill="C0C0C0"/>
          </w:tcPr>
          <w:p w14:paraId="25FFAF93" w14:textId="77777777" w:rsidR="00A10B25" w:rsidRDefault="00A10B25">
            <w:pPr>
              <w:keepNext/>
              <w:keepLines/>
              <w:spacing w:after="0"/>
              <w:jc w:val="center"/>
              <w:rPr>
                <w:rFonts w:ascii="Arial" w:hAnsi="Arial"/>
                <w:b/>
                <w:sz w:val="18"/>
              </w:rPr>
            </w:pPr>
          </w:p>
        </w:tc>
        <w:tc>
          <w:tcPr>
            <w:tcW w:w="1165" w:type="dxa"/>
            <w:tcBorders>
              <w:top w:val="single" w:sz="6" w:space="0" w:color="auto"/>
              <w:left w:val="single" w:sz="6" w:space="0" w:color="auto"/>
              <w:bottom w:val="single" w:sz="6" w:space="0" w:color="auto"/>
              <w:right w:val="single" w:sz="6" w:space="0" w:color="auto"/>
            </w:tcBorders>
            <w:shd w:val="clear" w:color="auto" w:fill="C0C0C0"/>
          </w:tcPr>
          <w:p w14:paraId="5CFF58E4" w14:textId="77777777" w:rsidR="00A10B25" w:rsidRDefault="00A10B25">
            <w:pPr>
              <w:keepNext/>
              <w:keepLines/>
              <w:spacing w:after="0"/>
              <w:jc w:val="center"/>
              <w:rPr>
                <w:rFonts w:ascii="Arial" w:hAnsi="Arial"/>
                <w:b/>
                <w:sz w:val="18"/>
              </w:rPr>
            </w:pPr>
          </w:p>
        </w:tc>
        <w:tc>
          <w:tcPr>
            <w:tcW w:w="3494" w:type="dxa"/>
            <w:tcBorders>
              <w:top w:val="single" w:sz="6" w:space="0" w:color="auto"/>
              <w:left w:val="single" w:sz="6" w:space="0" w:color="auto"/>
              <w:bottom w:val="single" w:sz="6" w:space="0" w:color="auto"/>
              <w:right w:val="single" w:sz="6" w:space="0" w:color="auto"/>
            </w:tcBorders>
            <w:shd w:val="clear" w:color="auto" w:fill="C0C0C0"/>
          </w:tcPr>
          <w:p w14:paraId="4B020F66" w14:textId="77777777" w:rsidR="00A10B25" w:rsidRDefault="00A10B25">
            <w:pPr>
              <w:keepNext/>
              <w:keepLines/>
              <w:spacing w:after="0"/>
              <w:jc w:val="center"/>
              <w:rPr>
                <w:rFonts w:ascii="Arial" w:hAnsi="Arial"/>
                <w:b/>
                <w:sz w:val="18"/>
              </w:rPr>
            </w:pPr>
          </w:p>
        </w:tc>
        <w:tc>
          <w:tcPr>
            <w:tcW w:w="1254" w:type="dxa"/>
            <w:tcBorders>
              <w:top w:val="single" w:sz="6" w:space="0" w:color="auto"/>
              <w:left w:val="single" w:sz="6" w:space="0" w:color="auto"/>
              <w:bottom w:val="single" w:sz="6" w:space="0" w:color="auto"/>
              <w:right w:val="single" w:sz="6" w:space="0" w:color="auto"/>
            </w:tcBorders>
            <w:shd w:val="clear" w:color="auto" w:fill="C0C0C0"/>
          </w:tcPr>
          <w:p w14:paraId="29159D77" w14:textId="77777777" w:rsidR="00A10B25" w:rsidRDefault="00A10B25">
            <w:pPr>
              <w:keepNext/>
              <w:keepLines/>
              <w:spacing w:after="0"/>
              <w:jc w:val="center"/>
              <w:rPr>
                <w:rFonts w:ascii="Arial" w:hAnsi="Arial"/>
                <w:b/>
                <w:sz w:val="18"/>
              </w:rPr>
            </w:pPr>
          </w:p>
        </w:tc>
      </w:tr>
      <w:tr w:rsidR="00A10B25" w:rsidRPr="0076721C" w14:paraId="6F5AEB06"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shd w:val="clear" w:color="auto" w:fill="D0CECE"/>
          </w:tcPr>
          <w:p w14:paraId="581415A1" w14:textId="77777777" w:rsidR="00A10B25" w:rsidRPr="0076721C" w:rsidRDefault="00A10B25" w:rsidP="0076721C">
            <w:pPr>
              <w:keepNext/>
              <w:keepLines/>
              <w:spacing w:after="0"/>
              <w:jc w:val="center"/>
              <w:rPr>
                <w:rFonts w:ascii="Arial" w:hAnsi="Arial"/>
                <w:b/>
                <w:sz w:val="18"/>
              </w:rPr>
            </w:pPr>
            <w:r>
              <w:rPr>
                <w:rFonts w:ascii="Arial" w:hAnsi="Arial"/>
                <w:b/>
                <w:sz w:val="18"/>
              </w:rPr>
              <w:t>Attribute name</w:t>
            </w:r>
          </w:p>
        </w:tc>
        <w:tc>
          <w:tcPr>
            <w:tcW w:w="1613" w:type="dxa"/>
            <w:tcBorders>
              <w:top w:val="single" w:sz="6" w:space="0" w:color="auto"/>
              <w:left w:val="single" w:sz="6" w:space="0" w:color="auto"/>
              <w:bottom w:val="single" w:sz="6" w:space="0" w:color="auto"/>
              <w:right w:val="single" w:sz="6" w:space="0" w:color="auto"/>
            </w:tcBorders>
            <w:shd w:val="clear" w:color="auto" w:fill="D0CECE"/>
          </w:tcPr>
          <w:p w14:paraId="158EB58E" w14:textId="77777777" w:rsidR="00A10B25" w:rsidRPr="0076721C" w:rsidRDefault="00A10B25" w:rsidP="0076721C">
            <w:pPr>
              <w:keepNext/>
              <w:keepLines/>
              <w:spacing w:after="0"/>
              <w:jc w:val="center"/>
              <w:rPr>
                <w:rFonts w:ascii="Arial" w:hAnsi="Arial"/>
                <w:b/>
                <w:sz w:val="18"/>
              </w:rPr>
            </w:pPr>
            <w:r>
              <w:rPr>
                <w:rFonts w:ascii="Arial" w:hAnsi="Arial"/>
                <w:b/>
                <w:sz w:val="18"/>
              </w:rPr>
              <w:t>Data type</w:t>
            </w:r>
          </w:p>
        </w:tc>
        <w:tc>
          <w:tcPr>
            <w:tcW w:w="359" w:type="dxa"/>
            <w:tcBorders>
              <w:top w:val="single" w:sz="6" w:space="0" w:color="auto"/>
              <w:left w:val="single" w:sz="6" w:space="0" w:color="auto"/>
              <w:bottom w:val="single" w:sz="6" w:space="0" w:color="auto"/>
              <w:right w:val="single" w:sz="6" w:space="0" w:color="auto"/>
            </w:tcBorders>
            <w:shd w:val="clear" w:color="auto" w:fill="D0CECE"/>
          </w:tcPr>
          <w:p w14:paraId="1ED7C9ED" w14:textId="77777777" w:rsidR="00A10B25" w:rsidRPr="0076721C" w:rsidRDefault="00A10B25" w:rsidP="0076721C">
            <w:pPr>
              <w:keepNext/>
              <w:keepLines/>
              <w:spacing w:after="0"/>
              <w:jc w:val="center"/>
              <w:rPr>
                <w:rFonts w:ascii="Arial" w:hAnsi="Arial"/>
                <w:b/>
                <w:sz w:val="18"/>
              </w:rPr>
            </w:pPr>
            <w:r>
              <w:rPr>
                <w:rFonts w:ascii="Arial" w:hAnsi="Arial"/>
                <w:b/>
                <w:sz w:val="18"/>
              </w:rPr>
              <w:t>P</w:t>
            </w:r>
          </w:p>
        </w:tc>
        <w:tc>
          <w:tcPr>
            <w:tcW w:w="1165" w:type="dxa"/>
            <w:tcBorders>
              <w:top w:val="single" w:sz="6" w:space="0" w:color="auto"/>
              <w:left w:val="single" w:sz="6" w:space="0" w:color="auto"/>
              <w:bottom w:val="single" w:sz="6" w:space="0" w:color="auto"/>
              <w:right w:val="single" w:sz="6" w:space="0" w:color="auto"/>
            </w:tcBorders>
            <w:shd w:val="clear" w:color="auto" w:fill="D0CECE"/>
          </w:tcPr>
          <w:p w14:paraId="576A4B8F" w14:textId="77777777" w:rsidR="00A10B25" w:rsidRPr="0076721C" w:rsidRDefault="00A10B25" w:rsidP="0076721C">
            <w:pPr>
              <w:keepNext/>
              <w:keepLines/>
              <w:spacing w:after="0"/>
              <w:jc w:val="center"/>
              <w:rPr>
                <w:rFonts w:ascii="Arial" w:hAnsi="Arial"/>
                <w:b/>
                <w:sz w:val="18"/>
              </w:rPr>
            </w:pPr>
            <w:r>
              <w:rPr>
                <w:rFonts w:ascii="Arial" w:hAnsi="Arial"/>
                <w:b/>
                <w:sz w:val="18"/>
              </w:rPr>
              <w:t>Cardinality</w:t>
            </w:r>
          </w:p>
        </w:tc>
        <w:tc>
          <w:tcPr>
            <w:tcW w:w="3494" w:type="dxa"/>
            <w:tcBorders>
              <w:top w:val="single" w:sz="6" w:space="0" w:color="auto"/>
              <w:left w:val="single" w:sz="6" w:space="0" w:color="auto"/>
              <w:bottom w:val="single" w:sz="6" w:space="0" w:color="auto"/>
              <w:right w:val="single" w:sz="6" w:space="0" w:color="auto"/>
            </w:tcBorders>
            <w:shd w:val="clear" w:color="auto" w:fill="D0CECE"/>
          </w:tcPr>
          <w:p w14:paraId="23E18B36" w14:textId="77777777" w:rsidR="00A10B25" w:rsidRPr="0076721C" w:rsidRDefault="00A10B25" w:rsidP="0076721C">
            <w:pPr>
              <w:keepNext/>
              <w:keepLines/>
              <w:spacing w:after="0"/>
              <w:jc w:val="center"/>
              <w:rPr>
                <w:rFonts w:ascii="Arial" w:hAnsi="Arial"/>
                <w:b/>
                <w:sz w:val="18"/>
              </w:rPr>
            </w:pPr>
            <w:r>
              <w:rPr>
                <w:rFonts w:ascii="Arial" w:hAnsi="Arial"/>
                <w:b/>
                <w:sz w:val="18"/>
              </w:rPr>
              <w:t>Description</w:t>
            </w:r>
          </w:p>
        </w:tc>
        <w:tc>
          <w:tcPr>
            <w:tcW w:w="1254" w:type="dxa"/>
            <w:tcBorders>
              <w:top w:val="single" w:sz="6" w:space="0" w:color="auto"/>
              <w:left w:val="single" w:sz="6" w:space="0" w:color="auto"/>
              <w:bottom w:val="single" w:sz="6" w:space="0" w:color="auto"/>
              <w:right w:val="single" w:sz="6" w:space="0" w:color="auto"/>
            </w:tcBorders>
            <w:shd w:val="clear" w:color="auto" w:fill="D0CECE"/>
          </w:tcPr>
          <w:p w14:paraId="1EA65D6D" w14:textId="77777777" w:rsidR="00A10B25" w:rsidRPr="0076721C" w:rsidRDefault="00A10B25" w:rsidP="0076721C">
            <w:pPr>
              <w:keepNext/>
              <w:keepLines/>
              <w:spacing w:after="0"/>
              <w:jc w:val="center"/>
              <w:rPr>
                <w:rFonts w:ascii="Arial" w:hAnsi="Arial"/>
                <w:b/>
                <w:sz w:val="18"/>
              </w:rPr>
            </w:pPr>
            <w:r>
              <w:rPr>
                <w:rFonts w:ascii="Arial" w:hAnsi="Arial"/>
                <w:b/>
                <w:sz w:val="18"/>
              </w:rPr>
              <w:t>Applicability</w:t>
            </w:r>
          </w:p>
        </w:tc>
      </w:tr>
      <w:tr w:rsidR="00A10B25" w14:paraId="03817858"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tcPr>
          <w:p w14:paraId="0DF72983" w14:textId="77777777" w:rsidR="00A10B25" w:rsidRDefault="00A10B25">
            <w:pPr>
              <w:pStyle w:val="TAL"/>
              <w:rPr>
                <w:lang w:eastAsia="zh-CN"/>
              </w:rPr>
            </w:pPr>
            <w:r>
              <w:rPr>
                <w:lang w:eastAsia="zh-CN"/>
              </w:rPr>
              <w:t>flowDescs</w:t>
            </w:r>
          </w:p>
        </w:tc>
        <w:tc>
          <w:tcPr>
            <w:tcW w:w="1613" w:type="dxa"/>
            <w:tcBorders>
              <w:top w:val="single" w:sz="6" w:space="0" w:color="auto"/>
              <w:left w:val="single" w:sz="6" w:space="0" w:color="auto"/>
              <w:bottom w:val="single" w:sz="6" w:space="0" w:color="auto"/>
              <w:right w:val="single" w:sz="6" w:space="0" w:color="auto"/>
            </w:tcBorders>
          </w:tcPr>
          <w:p w14:paraId="5E004275" w14:textId="77777777" w:rsidR="00A10B25" w:rsidRDefault="00A10B25">
            <w:pPr>
              <w:pStyle w:val="TAL"/>
              <w:rPr>
                <w:bCs/>
              </w:rPr>
            </w:pPr>
            <w:r>
              <w:rPr>
                <w:bCs/>
              </w:rPr>
              <w:t>array(FlowDescription)</w:t>
            </w:r>
          </w:p>
        </w:tc>
        <w:tc>
          <w:tcPr>
            <w:tcW w:w="359" w:type="dxa"/>
            <w:tcBorders>
              <w:top w:val="single" w:sz="6" w:space="0" w:color="auto"/>
              <w:left w:val="single" w:sz="6" w:space="0" w:color="auto"/>
              <w:bottom w:val="single" w:sz="6" w:space="0" w:color="auto"/>
              <w:right w:val="single" w:sz="6" w:space="0" w:color="auto"/>
            </w:tcBorders>
          </w:tcPr>
          <w:p w14:paraId="4B02615D" w14:textId="77777777" w:rsidR="00A10B25" w:rsidRDefault="00A10B25">
            <w:pPr>
              <w:pStyle w:val="TAC"/>
            </w:pPr>
            <w:r>
              <w:t>C</w:t>
            </w:r>
          </w:p>
        </w:tc>
        <w:tc>
          <w:tcPr>
            <w:tcW w:w="1165" w:type="dxa"/>
            <w:tcBorders>
              <w:top w:val="single" w:sz="6" w:space="0" w:color="auto"/>
              <w:left w:val="single" w:sz="6" w:space="0" w:color="auto"/>
              <w:bottom w:val="single" w:sz="6" w:space="0" w:color="auto"/>
              <w:right w:val="single" w:sz="6" w:space="0" w:color="auto"/>
            </w:tcBorders>
          </w:tcPr>
          <w:p w14:paraId="355E04FA" w14:textId="77777777" w:rsidR="00A10B25" w:rsidRDefault="00A10B25">
            <w:pPr>
              <w:pStyle w:val="TAL"/>
            </w:pPr>
            <w:r>
              <w:t>1..N</w:t>
            </w:r>
          </w:p>
        </w:tc>
        <w:tc>
          <w:tcPr>
            <w:tcW w:w="3494" w:type="dxa"/>
            <w:tcBorders>
              <w:top w:val="single" w:sz="6" w:space="0" w:color="auto"/>
              <w:left w:val="single" w:sz="6" w:space="0" w:color="auto"/>
              <w:bottom w:val="single" w:sz="6" w:space="0" w:color="auto"/>
              <w:right w:val="single" w:sz="6" w:space="0" w:color="auto"/>
            </w:tcBorders>
          </w:tcPr>
          <w:p w14:paraId="72F1BCA4" w14:textId="77777777" w:rsidR="00A10B25" w:rsidRDefault="00A10B25">
            <w:pPr>
              <w:pStyle w:val="TAL"/>
              <w:rPr>
                <w:rFonts w:cs="Arial"/>
                <w:szCs w:val="18"/>
                <w:lang w:eastAsia="zh-CN"/>
              </w:rPr>
            </w:pPr>
            <w:r>
              <w:rPr>
                <w:rFonts w:cs="Arial"/>
                <w:szCs w:val="18"/>
                <w:lang w:eastAsia="zh-CN"/>
              </w:rPr>
              <w:t>Indicates traffic flow filtering description(s) for IP flow(s).</w:t>
            </w:r>
          </w:p>
        </w:tc>
        <w:tc>
          <w:tcPr>
            <w:tcW w:w="1254" w:type="dxa"/>
            <w:tcBorders>
              <w:top w:val="single" w:sz="6" w:space="0" w:color="auto"/>
              <w:left w:val="single" w:sz="6" w:space="0" w:color="auto"/>
              <w:bottom w:val="single" w:sz="6" w:space="0" w:color="auto"/>
              <w:right w:val="single" w:sz="6" w:space="0" w:color="auto"/>
            </w:tcBorders>
          </w:tcPr>
          <w:p w14:paraId="3EDEC6E8" w14:textId="77777777" w:rsidR="00A10B25" w:rsidRDefault="00A10B25">
            <w:pPr>
              <w:pStyle w:val="TAL"/>
              <w:rPr>
                <w:rFonts w:cs="Arial"/>
                <w:szCs w:val="18"/>
              </w:rPr>
            </w:pPr>
          </w:p>
        </w:tc>
      </w:tr>
      <w:tr w:rsidR="00A10B25" w14:paraId="3C23E940"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tcPr>
          <w:p w14:paraId="18F27514" w14:textId="77777777" w:rsidR="00A10B25" w:rsidRDefault="00A10B25">
            <w:pPr>
              <w:pStyle w:val="TAL"/>
              <w:rPr>
                <w:lang w:eastAsia="zh-CN"/>
              </w:rPr>
            </w:pPr>
            <w:r>
              <w:rPr>
                <w:lang w:eastAsia="zh-CN"/>
              </w:rPr>
              <w:t>appId</w:t>
            </w:r>
          </w:p>
        </w:tc>
        <w:tc>
          <w:tcPr>
            <w:tcW w:w="1613" w:type="dxa"/>
            <w:tcBorders>
              <w:top w:val="single" w:sz="6" w:space="0" w:color="auto"/>
              <w:left w:val="single" w:sz="6" w:space="0" w:color="auto"/>
              <w:bottom w:val="single" w:sz="6" w:space="0" w:color="auto"/>
              <w:right w:val="single" w:sz="6" w:space="0" w:color="auto"/>
            </w:tcBorders>
          </w:tcPr>
          <w:p w14:paraId="28824115" w14:textId="77777777" w:rsidR="00A10B25" w:rsidRDefault="00A10B25">
            <w:pPr>
              <w:pStyle w:val="TAL"/>
              <w:rPr>
                <w:bCs/>
              </w:rPr>
            </w:pPr>
            <w:r>
              <w:rPr>
                <w:bCs/>
              </w:rPr>
              <w:t>ApplicationId</w:t>
            </w:r>
          </w:p>
        </w:tc>
        <w:tc>
          <w:tcPr>
            <w:tcW w:w="359" w:type="dxa"/>
            <w:tcBorders>
              <w:top w:val="single" w:sz="6" w:space="0" w:color="auto"/>
              <w:left w:val="single" w:sz="6" w:space="0" w:color="auto"/>
              <w:bottom w:val="single" w:sz="6" w:space="0" w:color="auto"/>
              <w:right w:val="single" w:sz="6" w:space="0" w:color="auto"/>
            </w:tcBorders>
          </w:tcPr>
          <w:p w14:paraId="28077AAD" w14:textId="77777777" w:rsidR="00A10B25" w:rsidRDefault="00A10B25">
            <w:pPr>
              <w:pStyle w:val="TAC"/>
            </w:pPr>
            <w:r>
              <w:t>C</w:t>
            </w:r>
          </w:p>
        </w:tc>
        <w:tc>
          <w:tcPr>
            <w:tcW w:w="1165" w:type="dxa"/>
            <w:tcBorders>
              <w:top w:val="single" w:sz="6" w:space="0" w:color="auto"/>
              <w:left w:val="single" w:sz="6" w:space="0" w:color="auto"/>
              <w:bottom w:val="single" w:sz="6" w:space="0" w:color="auto"/>
              <w:right w:val="single" w:sz="6" w:space="0" w:color="auto"/>
            </w:tcBorders>
          </w:tcPr>
          <w:p w14:paraId="41FA1397" w14:textId="77777777" w:rsidR="00A10B25" w:rsidRDefault="00A10B25">
            <w:pPr>
              <w:pStyle w:val="TAL"/>
            </w:pPr>
            <w:r>
              <w:t>0..1</w:t>
            </w:r>
          </w:p>
        </w:tc>
        <w:tc>
          <w:tcPr>
            <w:tcW w:w="3494" w:type="dxa"/>
            <w:tcBorders>
              <w:top w:val="single" w:sz="6" w:space="0" w:color="auto"/>
              <w:left w:val="single" w:sz="6" w:space="0" w:color="auto"/>
              <w:bottom w:val="single" w:sz="6" w:space="0" w:color="auto"/>
              <w:right w:val="single" w:sz="6" w:space="0" w:color="auto"/>
            </w:tcBorders>
          </w:tcPr>
          <w:p w14:paraId="31CE7268" w14:textId="77777777" w:rsidR="00A10B25" w:rsidRDefault="00A10B25">
            <w:pPr>
              <w:pStyle w:val="TAL"/>
              <w:rPr>
                <w:rFonts w:cs="Arial"/>
                <w:szCs w:val="18"/>
                <w:lang w:eastAsia="zh-CN"/>
              </w:rPr>
            </w:pPr>
            <w:r>
              <w:rPr>
                <w:rFonts w:cs="Arial"/>
                <w:szCs w:val="18"/>
                <w:lang w:eastAsia="zh-CN"/>
              </w:rPr>
              <w:t>Indicates an application identifier.</w:t>
            </w:r>
          </w:p>
        </w:tc>
        <w:tc>
          <w:tcPr>
            <w:tcW w:w="1254" w:type="dxa"/>
            <w:tcBorders>
              <w:top w:val="single" w:sz="6" w:space="0" w:color="auto"/>
              <w:left w:val="single" w:sz="6" w:space="0" w:color="auto"/>
              <w:bottom w:val="single" w:sz="6" w:space="0" w:color="auto"/>
              <w:right w:val="single" w:sz="6" w:space="0" w:color="auto"/>
            </w:tcBorders>
          </w:tcPr>
          <w:p w14:paraId="5807BE7F" w14:textId="77777777" w:rsidR="00A10B25" w:rsidRDefault="00A10B25">
            <w:pPr>
              <w:pStyle w:val="TAL"/>
              <w:rPr>
                <w:rFonts w:cs="Arial"/>
                <w:szCs w:val="18"/>
              </w:rPr>
            </w:pPr>
          </w:p>
        </w:tc>
      </w:tr>
      <w:tr w:rsidR="00A10B25" w14:paraId="6082D69B" w14:textId="77777777">
        <w:trPr>
          <w:jc w:val="center"/>
        </w:trPr>
        <w:tc>
          <w:tcPr>
            <w:tcW w:w="1730" w:type="dxa"/>
            <w:gridSpan w:val="2"/>
            <w:tcBorders>
              <w:top w:val="single" w:sz="6" w:space="0" w:color="auto"/>
              <w:left w:val="single" w:sz="6" w:space="0" w:color="auto"/>
              <w:bottom w:val="single" w:sz="6" w:space="0" w:color="auto"/>
              <w:right w:val="single" w:sz="6" w:space="0" w:color="auto"/>
            </w:tcBorders>
          </w:tcPr>
          <w:p w14:paraId="48B8114B" w14:textId="77777777" w:rsidR="00A10B25" w:rsidRDefault="00A10B25">
            <w:pPr>
              <w:pStyle w:val="TAL"/>
              <w:rPr>
                <w:lang w:eastAsia="zh-CN"/>
              </w:rPr>
            </w:pPr>
            <w:r>
              <w:rPr>
                <w:lang w:eastAsia="zh-CN"/>
              </w:rPr>
              <w:t>domainDescs</w:t>
            </w:r>
          </w:p>
        </w:tc>
        <w:tc>
          <w:tcPr>
            <w:tcW w:w="1613" w:type="dxa"/>
            <w:tcBorders>
              <w:top w:val="single" w:sz="6" w:space="0" w:color="auto"/>
              <w:left w:val="single" w:sz="6" w:space="0" w:color="auto"/>
              <w:bottom w:val="single" w:sz="6" w:space="0" w:color="auto"/>
              <w:right w:val="single" w:sz="6" w:space="0" w:color="auto"/>
            </w:tcBorders>
          </w:tcPr>
          <w:p w14:paraId="587C4A4E" w14:textId="77777777" w:rsidR="00A10B25" w:rsidRDefault="00A10B25">
            <w:pPr>
              <w:pStyle w:val="TAL"/>
              <w:rPr>
                <w:bCs/>
              </w:rPr>
            </w:pPr>
            <w:r>
              <w:rPr>
                <w:bCs/>
              </w:rPr>
              <w:t>array(string)</w:t>
            </w:r>
          </w:p>
        </w:tc>
        <w:tc>
          <w:tcPr>
            <w:tcW w:w="359" w:type="dxa"/>
            <w:tcBorders>
              <w:top w:val="single" w:sz="6" w:space="0" w:color="auto"/>
              <w:left w:val="single" w:sz="6" w:space="0" w:color="auto"/>
              <w:bottom w:val="single" w:sz="6" w:space="0" w:color="auto"/>
              <w:right w:val="single" w:sz="6" w:space="0" w:color="auto"/>
            </w:tcBorders>
          </w:tcPr>
          <w:p w14:paraId="333B66EE" w14:textId="77777777" w:rsidR="00A10B25" w:rsidRDefault="00A10B25">
            <w:pPr>
              <w:pStyle w:val="TAC"/>
            </w:pPr>
            <w:r>
              <w:t>C</w:t>
            </w:r>
          </w:p>
        </w:tc>
        <w:tc>
          <w:tcPr>
            <w:tcW w:w="1165" w:type="dxa"/>
            <w:tcBorders>
              <w:top w:val="single" w:sz="6" w:space="0" w:color="auto"/>
              <w:left w:val="single" w:sz="6" w:space="0" w:color="auto"/>
              <w:bottom w:val="single" w:sz="6" w:space="0" w:color="auto"/>
              <w:right w:val="single" w:sz="6" w:space="0" w:color="auto"/>
            </w:tcBorders>
          </w:tcPr>
          <w:p w14:paraId="08E89513" w14:textId="77777777" w:rsidR="00A10B25" w:rsidRDefault="00A10B25">
            <w:pPr>
              <w:pStyle w:val="TAL"/>
            </w:pPr>
            <w:r>
              <w:t>1..N</w:t>
            </w:r>
          </w:p>
        </w:tc>
        <w:tc>
          <w:tcPr>
            <w:tcW w:w="3494" w:type="dxa"/>
            <w:tcBorders>
              <w:top w:val="single" w:sz="6" w:space="0" w:color="auto"/>
              <w:left w:val="single" w:sz="6" w:space="0" w:color="auto"/>
              <w:bottom w:val="single" w:sz="6" w:space="0" w:color="auto"/>
              <w:right w:val="single" w:sz="6" w:space="0" w:color="auto"/>
            </w:tcBorders>
          </w:tcPr>
          <w:p w14:paraId="5DABC0DC" w14:textId="77777777" w:rsidR="00A10B25" w:rsidRDefault="00A10B25">
            <w:pPr>
              <w:pStyle w:val="TAL"/>
              <w:rPr>
                <w:rFonts w:cs="Arial"/>
                <w:szCs w:val="18"/>
                <w:lang w:eastAsia="zh-CN"/>
              </w:rPr>
            </w:pPr>
            <w:r>
              <w:rPr>
                <w:rFonts w:cs="Arial"/>
                <w:szCs w:val="18"/>
                <w:lang w:eastAsia="zh-CN"/>
              </w:rPr>
              <w:t>FQDN(s) or a regular expression which are used as a domain name matching criteria.</w:t>
            </w:r>
          </w:p>
        </w:tc>
        <w:tc>
          <w:tcPr>
            <w:tcW w:w="1254" w:type="dxa"/>
            <w:tcBorders>
              <w:top w:val="single" w:sz="6" w:space="0" w:color="auto"/>
              <w:left w:val="single" w:sz="6" w:space="0" w:color="auto"/>
              <w:bottom w:val="single" w:sz="6" w:space="0" w:color="auto"/>
              <w:right w:val="single" w:sz="6" w:space="0" w:color="auto"/>
            </w:tcBorders>
          </w:tcPr>
          <w:p w14:paraId="2112924A" w14:textId="77777777" w:rsidR="00A10B25" w:rsidRDefault="00A10B25">
            <w:pPr>
              <w:pStyle w:val="TAL"/>
              <w:rPr>
                <w:rFonts w:cs="Arial"/>
                <w:szCs w:val="18"/>
              </w:rPr>
            </w:pPr>
          </w:p>
        </w:tc>
      </w:tr>
      <w:tr w:rsidR="00A10B25" w14:paraId="5C399DD4" w14:textId="77777777">
        <w:trPr>
          <w:jc w:val="center"/>
        </w:trPr>
        <w:tc>
          <w:tcPr>
            <w:tcW w:w="9615" w:type="dxa"/>
            <w:gridSpan w:val="7"/>
            <w:tcBorders>
              <w:top w:val="single" w:sz="6" w:space="0" w:color="auto"/>
              <w:left w:val="single" w:sz="6" w:space="0" w:color="auto"/>
              <w:bottom w:val="single" w:sz="6" w:space="0" w:color="auto"/>
              <w:right w:val="single" w:sz="6" w:space="0" w:color="auto"/>
            </w:tcBorders>
          </w:tcPr>
          <w:p w14:paraId="166FDB38" w14:textId="77777777" w:rsidR="00A10B25" w:rsidRDefault="00A10B25">
            <w:pPr>
              <w:pStyle w:val="TAN"/>
            </w:pPr>
            <w:r>
              <w:rPr>
                <w:rFonts w:cs="Arial"/>
                <w:szCs w:val="18"/>
                <w:lang w:eastAsia="zh-CN"/>
              </w:rPr>
              <w:t>NOTE</w:t>
            </w:r>
            <w:r>
              <w:t>:</w:t>
            </w:r>
            <w:r>
              <w:tab/>
            </w:r>
            <w:r>
              <w:rPr>
                <w:lang w:eastAsia="zh-CN"/>
              </w:rPr>
              <w:t xml:space="preserve">One of </w:t>
            </w:r>
            <w:r>
              <w:t>"</w:t>
            </w:r>
            <w:r>
              <w:rPr>
                <w:lang w:eastAsia="zh-CN"/>
              </w:rPr>
              <w:t>flowDescs</w:t>
            </w:r>
            <w:r>
              <w:t>"</w:t>
            </w:r>
            <w:r>
              <w:rPr>
                <w:lang w:eastAsia="zh-CN"/>
              </w:rPr>
              <w:t xml:space="preserve"> attribute, </w:t>
            </w:r>
            <w:r>
              <w:t>"appId"</w:t>
            </w:r>
            <w:r>
              <w:rPr>
                <w:lang w:eastAsia="zh-CN"/>
              </w:rPr>
              <w:t xml:space="preserve"> attribute or </w:t>
            </w:r>
            <w:r>
              <w:t>"</w:t>
            </w:r>
            <w:r>
              <w:rPr>
                <w:lang w:eastAsia="zh-CN"/>
              </w:rPr>
              <w:t>domainDescs</w:t>
            </w:r>
            <w:r>
              <w:t>" attribute</w:t>
            </w:r>
            <w:r>
              <w:rPr>
                <w:lang w:eastAsia="zh-CN"/>
              </w:rPr>
              <w:t xml:space="preserve"> shall be provided.</w:t>
            </w:r>
          </w:p>
        </w:tc>
      </w:tr>
    </w:tbl>
    <w:p w14:paraId="2968A77B" w14:textId="77777777" w:rsidR="00A10B25" w:rsidRDefault="00A10B25"/>
    <w:p w14:paraId="2EEDEEE1" w14:textId="77777777" w:rsidR="00D654A6" w:rsidRDefault="00D654A6" w:rsidP="00D654A6">
      <w:pPr>
        <w:pStyle w:val="5"/>
      </w:pPr>
      <w:bookmarkStart w:id="7915" w:name="_Toc138754285"/>
      <w:bookmarkStart w:id="7916" w:name="_Toc148522676"/>
      <w:bookmarkStart w:id="7917" w:name="_Toc145705772"/>
      <w:bookmarkStart w:id="7918" w:name="_Toc136562451"/>
      <w:bookmarkStart w:id="7919" w:name="_Toc148522675"/>
      <w:bookmarkStart w:id="7920" w:name="_Toc138754284"/>
      <w:bookmarkStart w:id="7921" w:name="_Toc136562450"/>
      <w:bookmarkStart w:id="7922" w:name="_Toc145705771"/>
      <w:bookmarkStart w:id="7923" w:name="_Toc145705770"/>
      <w:bookmarkStart w:id="7924" w:name="_Toc138754283"/>
      <w:bookmarkStart w:id="7925" w:name="_Toc136562449"/>
      <w:bookmarkStart w:id="7926" w:name="_Toc148522674"/>
      <w:bookmarkStart w:id="7927" w:name="_Toc164920854"/>
      <w:bookmarkStart w:id="7928" w:name="_Toc170120396"/>
      <w:bookmarkStart w:id="7929" w:name="_Toc175858641"/>
      <w:bookmarkStart w:id="7930" w:name="_Toc175859714"/>
      <w:bookmarkStart w:id="7931" w:name="_Toc180606004"/>
      <w:bookmarkStart w:id="7932" w:name="_Toc185517258"/>
      <w:bookmarkStart w:id="7933" w:name="_Toc191576309"/>
      <w:bookmarkStart w:id="7934" w:name="_Toc191577049"/>
      <w:bookmarkStart w:id="7935" w:name="_Toc192880119"/>
      <w:bookmarkStart w:id="7936" w:name="_Toc195815002"/>
      <w:bookmarkStart w:id="7937" w:name="_Toc199452969"/>
      <w:r>
        <w:t>5.1.6.2.80</w:t>
      </w:r>
      <w:r>
        <w:tab/>
        <w:t>Type WlanPerUeIdPerformanceInfo</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78F1F55E" w14:textId="77777777" w:rsidR="00D654A6" w:rsidRDefault="00D654A6" w:rsidP="00D654A6">
      <w:pPr>
        <w:pStyle w:val="TH"/>
      </w:pPr>
      <w:r>
        <w:t>Table 5.1.6.2.80-1: Definition of type WlanPerUeIdPerformanceInfo</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60"/>
        <w:gridCol w:w="425"/>
        <w:gridCol w:w="1134"/>
        <w:gridCol w:w="2857"/>
        <w:gridCol w:w="1844"/>
      </w:tblGrid>
      <w:tr w:rsidR="00D654A6" w14:paraId="034A4E62" w14:textId="77777777" w:rsidTr="005A20DD">
        <w:trPr>
          <w:jc w:val="center"/>
        </w:trPr>
        <w:tc>
          <w:tcPr>
            <w:tcW w:w="1750" w:type="dxa"/>
            <w:shd w:val="clear" w:color="auto" w:fill="C0C0C0"/>
          </w:tcPr>
          <w:p w14:paraId="755F09DC" w14:textId="77777777" w:rsidR="00D654A6" w:rsidRDefault="00D654A6" w:rsidP="005A20DD">
            <w:pPr>
              <w:pStyle w:val="TAH"/>
              <w:ind w:left="400" w:hanging="400"/>
            </w:pPr>
            <w:r>
              <w:t>Attribute name</w:t>
            </w:r>
          </w:p>
        </w:tc>
        <w:tc>
          <w:tcPr>
            <w:tcW w:w="1560" w:type="dxa"/>
            <w:shd w:val="clear" w:color="auto" w:fill="C0C0C0"/>
          </w:tcPr>
          <w:p w14:paraId="5A0A40B8" w14:textId="77777777" w:rsidR="00D654A6" w:rsidRDefault="00D654A6" w:rsidP="005A20DD">
            <w:pPr>
              <w:pStyle w:val="TAH"/>
              <w:ind w:left="400" w:hanging="400"/>
            </w:pPr>
            <w:r>
              <w:t>Data type</w:t>
            </w:r>
          </w:p>
        </w:tc>
        <w:tc>
          <w:tcPr>
            <w:tcW w:w="425" w:type="dxa"/>
            <w:shd w:val="clear" w:color="auto" w:fill="C0C0C0"/>
          </w:tcPr>
          <w:p w14:paraId="5661C02A" w14:textId="77777777" w:rsidR="00D654A6" w:rsidRDefault="00D654A6" w:rsidP="005A20DD">
            <w:pPr>
              <w:pStyle w:val="TAH"/>
              <w:ind w:left="400" w:hanging="400"/>
            </w:pPr>
            <w:r>
              <w:t>P</w:t>
            </w:r>
          </w:p>
        </w:tc>
        <w:tc>
          <w:tcPr>
            <w:tcW w:w="1134" w:type="dxa"/>
            <w:shd w:val="clear" w:color="auto" w:fill="C0C0C0"/>
          </w:tcPr>
          <w:p w14:paraId="7F15E59E" w14:textId="77777777" w:rsidR="00D654A6" w:rsidRDefault="00D654A6" w:rsidP="005A20DD">
            <w:pPr>
              <w:pStyle w:val="TAH"/>
              <w:ind w:left="400" w:hanging="400"/>
            </w:pPr>
            <w:r>
              <w:t>Cardinality</w:t>
            </w:r>
          </w:p>
        </w:tc>
        <w:tc>
          <w:tcPr>
            <w:tcW w:w="2857" w:type="dxa"/>
            <w:shd w:val="clear" w:color="auto" w:fill="C0C0C0"/>
          </w:tcPr>
          <w:p w14:paraId="0616E0DA" w14:textId="77777777" w:rsidR="00D654A6" w:rsidRDefault="00D654A6" w:rsidP="005A20DD">
            <w:pPr>
              <w:pStyle w:val="TAH"/>
              <w:ind w:left="400" w:hanging="400"/>
            </w:pPr>
            <w:r>
              <w:t>Description</w:t>
            </w:r>
          </w:p>
        </w:tc>
        <w:tc>
          <w:tcPr>
            <w:tcW w:w="1844" w:type="dxa"/>
            <w:shd w:val="clear" w:color="auto" w:fill="C0C0C0"/>
          </w:tcPr>
          <w:p w14:paraId="36BCC7D0" w14:textId="77777777" w:rsidR="00D654A6" w:rsidRDefault="00D654A6" w:rsidP="005A20DD">
            <w:pPr>
              <w:pStyle w:val="TAH"/>
              <w:ind w:left="400" w:hanging="400"/>
            </w:pPr>
            <w:r>
              <w:t>Applicability</w:t>
            </w:r>
          </w:p>
        </w:tc>
      </w:tr>
      <w:tr w:rsidR="00D654A6" w14:paraId="489957F4" w14:textId="77777777" w:rsidTr="005A20DD">
        <w:trPr>
          <w:jc w:val="center"/>
        </w:trPr>
        <w:tc>
          <w:tcPr>
            <w:tcW w:w="1750" w:type="dxa"/>
          </w:tcPr>
          <w:p w14:paraId="54ADB495" w14:textId="77777777" w:rsidR="00D654A6" w:rsidRDefault="00D654A6" w:rsidP="005A20DD">
            <w:pPr>
              <w:pStyle w:val="TAL"/>
              <w:rPr>
                <w:lang w:eastAsia="zh-CN"/>
              </w:rPr>
            </w:pPr>
            <w:r>
              <w:rPr>
                <w:lang w:eastAsia="zh-CN"/>
              </w:rPr>
              <w:t>supi</w:t>
            </w:r>
          </w:p>
        </w:tc>
        <w:tc>
          <w:tcPr>
            <w:tcW w:w="1560" w:type="dxa"/>
          </w:tcPr>
          <w:p w14:paraId="26F58DB4" w14:textId="77777777" w:rsidR="00D654A6" w:rsidRDefault="00D654A6" w:rsidP="005A20DD">
            <w:pPr>
              <w:pStyle w:val="TAL"/>
              <w:rPr>
                <w:lang w:eastAsia="zh-CN"/>
              </w:rPr>
            </w:pPr>
            <w:r>
              <w:rPr>
                <w:lang w:eastAsia="zh-CN"/>
              </w:rPr>
              <w:t>Supi</w:t>
            </w:r>
          </w:p>
        </w:tc>
        <w:tc>
          <w:tcPr>
            <w:tcW w:w="425" w:type="dxa"/>
          </w:tcPr>
          <w:p w14:paraId="3549E724" w14:textId="77777777" w:rsidR="00D654A6" w:rsidRDefault="00D654A6" w:rsidP="005A20DD">
            <w:pPr>
              <w:pStyle w:val="TAC"/>
            </w:pPr>
            <w:r>
              <w:t>C</w:t>
            </w:r>
          </w:p>
        </w:tc>
        <w:tc>
          <w:tcPr>
            <w:tcW w:w="1134" w:type="dxa"/>
          </w:tcPr>
          <w:p w14:paraId="6F35251F" w14:textId="77777777" w:rsidR="00D654A6" w:rsidRDefault="00D654A6" w:rsidP="005A20DD">
            <w:pPr>
              <w:pStyle w:val="TAL"/>
            </w:pPr>
            <w:r>
              <w:rPr>
                <w:rFonts w:hint="eastAsia"/>
                <w:lang w:eastAsia="ja-JP"/>
              </w:rPr>
              <w:t>0</w:t>
            </w:r>
            <w:r>
              <w:t>..1</w:t>
            </w:r>
          </w:p>
        </w:tc>
        <w:tc>
          <w:tcPr>
            <w:tcW w:w="2857" w:type="dxa"/>
          </w:tcPr>
          <w:p w14:paraId="64DDF651" w14:textId="77777777" w:rsidR="00D654A6" w:rsidRDefault="00D654A6" w:rsidP="005A20DD">
            <w:pPr>
              <w:pStyle w:val="TAL"/>
              <w:rPr>
                <w:rFonts w:cs="Arial"/>
                <w:szCs w:val="18"/>
              </w:rPr>
            </w:pPr>
            <w:r>
              <w:rPr>
                <w:rFonts w:cs="Arial"/>
                <w:szCs w:val="18"/>
                <w:lang w:eastAsia="zh-CN"/>
              </w:rPr>
              <w:t xml:space="preserve">Indicates the </w:t>
            </w:r>
            <w:r>
              <w:rPr>
                <w:rFonts w:cs="Arial"/>
                <w:szCs w:val="18"/>
              </w:rPr>
              <w:t>SUPI for a UE.</w:t>
            </w:r>
            <w:r>
              <w:rPr>
                <w:rFonts w:cs="Arial" w:hint="eastAsia"/>
                <w:szCs w:val="18"/>
                <w:lang w:eastAsia="ja-JP"/>
              </w:rPr>
              <w:t xml:space="preserve"> (</w:t>
            </w:r>
            <w:r>
              <w:rPr>
                <w:rFonts w:cs="Arial"/>
                <w:szCs w:val="18"/>
                <w:lang w:eastAsia="ja-JP"/>
              </w:rPr>
              <w:t>NOTE</w:t>
            </w:r>
            <w:r>
              <w:rPr>
                <w:lang w:val="en-US" w:eastAsia="zh-CN"/>
              </w:rPr>
              <w:t> 1</w:t>
            </w:r>
            <w:r>
              <w:rPr>
                <w:rFonts w:cs="Arial"/>
                <w:szCs w:val="18"/>
                <w:lang w:eastAsia="ja-JP"/>
              </w:rPr>
              <w:t>)</w:t>
            </w:r>
          </w:p>
        </w:tc>
        <w:tc>
          <w:tcPr>
            <w:tcW w:w="1844" w:type="dxa"/>
          </w:tcPr>
          <w:p w14:paraId="323F7C89" w14:textId="77777777" w:rsidR="00D654A6" w:rsidRDefault="00D654A6" w:rsidP="005A20DD">
            <w:pPr>
              <w:pStyle w:val="TAL"/>
              <w:rPr>
                <w:rFonts w:cs="Arial"/>
                <w:szCs w:val="18"/>
              </w:rPr>
            </w:pPr>
          </w:p>
        </w:tc>
      </w:tr>
      <w:tr w:rsidR="00D654A6" w14:paraId="1001BF55" w14:textId="77777777" w:rsidTr="005A20DD">
        <w:trPr>
          <w:jc w:val="center"/>
        </w:trPr>
        <w:tc>
          <w:tcPr>
            <w:tcW w:w="1750" w:type="dxa"/>
          </w:tcPr>
          <w:p w14:paraId="3DD010B8" w14:textId="77777777" w:rsidR="00D654A6" w:rsidRDefault="00D654A6" w:rsidP="005A20DD">
            <w:pPr>
              <w:pStyle w:val="TAL"/>
              <w:rPr>
                <w:lang w:eastAsia="ja-JP"/>
              </w:rPr>
            </w:pPr>
            <w:r>
              <w:rPr>
                <w:rFonts w:hint="eastAsia"/>
                <w:lang w:eastAsia="ja-JP"/>
              </w:rPr>
              <w:t>g</w:t>
            </w:r>
            <w:r>
              <w:rPr>
                <w:lang w:eastAsia="ja-JP"/>
              </w:rPr>
              <w:t>psi</w:t>
            </w:r>
          </w:p>
        </w:tc>
        <w:tc>
          <w:tcPr>
            <w:tcW w:w="1560" w:type="dxa"/>
          </w:tcPr>
          <w:p w14:paraId="721E3DF4" w14:textId="77777777" w:rsidR="00D654A6" w:rsidRDefault="00D654A6" w:rsidP="005A20DD">
            <w:pPr>
              <w:pStyle w:val="TAL"/>
              <w:rPr>
                <w:lang w:eastAsia="zh-CN"/>
              </w:rPr>
            </w:pPr>
            <w:r>
              <w:rPr>
                <w:lang w:eastAsia="zh-CN"/>
              </w:rPr>
              <w:t>Gpsi</w:t>
            </w:r>
          </w:p>
        </w:tc>
        <w:tc>
          <w:tcPr>
            <w:tcW w:w="425" w:type="dxa"/>
          </w:tcPr>
          <w:p w14:paraId="0D3BB50D" w14:textId="77777777" w:rsidR="00D654A6" w:rsidRDefault="00D654A6" w:rsidP="005A20DD">
            <w:pPr>
              <w:pStyle w:val="TAC"/>
              <w:rPr>
                <w:lang w:eastAsia="ja-JP"/>
              </w:rPr>
            </w:pPr>
            <w:r>
              <w:rPr>
                <w:rFonts w:hint="eastAsia"/>
                <w:lang w:eastAsia="ja-JP"/>
              </w:rPr>
              <w:t>C</w:t>
            </w:r>
          </w:p>
        </w:tc>
        <w:tc>
          <w:tcPr>
            <w:tcW w:w="1134" w:type="dxa"/>
          </w:tcPr>
          <w:p w14:paraId="469D6D7E" w14:textId="77777777" w:rsidR="00D654A6" w:rsidRDefault="00D654A6" w:rsidP="005A20DD">
            <w:pPr>
              <w:pStyle w:val="TAL"/>
            </w:pPr>
            <w:r>
              <w:rPr>
                <w:rFonts w:hint="eastAsia"/>
                <w:lang w:eastAsia="ja-JP"/>
              </w:rPr>
              <w:t>0</w:t>
            </w:r>
            <w:r>
              <w:t>..1</w:t>
            </w:r>
          </w:p>
        </w:tc>
        <w:tc>
          <w:tcPr>
            <w:tcW w:w="2857" w:type="dxa"/>
          </w:tcPr>
          <w:p w14:paraId="207E5657" w14:textId="77777777" w:rsidR="00D654A6" w:rsidRDefault="00D654A6" w:rsidP="005A20DD">
            <w:pPr>
              <w:pStyle w:val="TAL"/>
              <w:rPr>
                <w:rFonts w:cs="Arial"/>
                <w:szCs w:val="18"/>
              </w:rPr>
            </w:pPr>
            <w:r>
              <w:rPr>
                <w:rFonts w:cs="Arial"/>
                <w:szCs w:val="18"/>
                <w:lang w:eastAsia="zh-CN"/>
              </w:rPr>
              <w:t xml:space="preserve">Indicates the </w:t>
            </w:r>
            <w:r>
              <w:rPr>
                <w:rFonts w:cs="Arial"/>
                <w:szCs w:val="18"/>
              </w:rPr>
              <w:t>GPSI for a UE.</w:t>
            </w:r>
          </w:p>
          <w:p w14:paraId="29C2F9BC" w14:textId="77777777" w:rsidR="00D654A6" w:rsidRDefault="00D654A6" w:rsidP="005A20DD">
            <w:pPr>
              <w:pStyle w:val="TAL"/>
              <w:rPr>
                <w:rFonts w:cs="Arial"/>
                <w:szCs w:val="18"/>
              </w:rPr>
            </w:pPr>
            <w:r>
              <w:rPr>
                <w:rFonts w:cs="Arial" w:hint="eastAsia"/>
                <w:szCs w:val="18"/>
                <w:lang w:eastAsia="ja-JP"/>
              </w:rPr>
              <w:t>(</w:t>
            </w:r>
            <w:r>
              <w:rPr>
                <w:rFonts w:cs="Arial"/>
                <w:szCs w:val="18"/>
                <w:lang w:eastAsia="ja-JP"/>
              </w:rPr>
              <w:t>NOTE</w:t>
            </w:r>
            <w:r>
              <w:rPr>
                <w:lang w:val="en-US" w:eastAsia="zh-CN"/>
              </w:rPr>
              <w:t> 1</w:t>
            </w:r>
            <w:r>
              <w:rPr>
                <w:rFonts w:cs="Arial"/>
                <w:szCs w:val="18"/>
                <w:lang w:eastAsia="ja-JP"/>
              </w:rPr>
              <w:t>)</w:t>
            </w:r>
          </w:p>
        </w:tc>
        <w:tc>
          <w:tcPr>
            <w:tcW w:w="1844" w:type="dxa"/>
          </w:tcPr>
          <w:p w14:paraId="37F368A1" w14:textId="77777777" w:rsidR="00D654A6" w:rsidRDefault="00D654A6" w:rsidP="005A20DD">
            <w:pPr>
              <w:pStyle w:val="TAL"/>
              <w:rPr>
                <w:rFonts w:cs="Arial"/>
                <w:szCs w:val="18"/>
              </w:rPr>
            </w:pPr>
          </w:p>
        </w:tc>
      </w:tr>
      <w:tr w:rsidR="00D654A6" w14:paraId="189A0560" w14:textId="77777777" w:rsidTr="005A20DD">
        <w:trPr>
          <w:jc w:val="center"/>
        </w:trPr>
        <w:tc>
          <w:tcPr>
            <w:tcW w:w="1750" w:type="dxa"/>
          </w:tcPr>
          <w:p w14:paraId="2E15E75D" w14:textId="77777777" w:rsidR="00D654A6" w:rsidRDefault="00D654A6" w:rsidP="005A20DD">
            <w:pPr>
              <w:pStyle w:val="TAL"/>
              <w:rPr>
                <w:lang w:eastAsia="zh-CN"/>
              </w:rPr>
            </w:pPr>
            <w:r>
              <w:rPr>
                <w:lang w:eastAsia="zh-CN"/>
              </w:rPr>
              <w:t>wlanPerTsInfos</w:t>
            </w:r>
          </w:p>
        </w:tc>
        <w:tc>
          <w:tcPr>
            <w:tcW w:w="1560" w:type="dxa"/>
          </w:tcPr>
          <w:p w14:paraId="19599934" w14:textId="77777777" w:rsidR="00D654A6" w:rsidRDefault="00D654A6" w:rsidP="005A20DD">
            <w:pPr>
              <w:pStyle w:val="TAL"/>
              <w:rPr>
                <w:lang w:eastAsia="zh-CN"/>
              </w:rPr>
            </w:pPr>
            <w:r>
              <w:rPr>
                <w:lang w:eastAsia="zh-CN"/>
              </w:rPr>
              <w:t>array(WlanPerTsPerformanceInfo)</w:t>
            </w:r>
          </w:p>
        </w:tc>
        <w:tc>
          <w:tcPr>
            <w:tcW w:w="425" w:type="dxa"/>
          </w:tcPr>
          <w:p w14:paraId="1D571F22" w14:textId="77777777" w:rsidR="00D654A6" w:rsidRDefault="00D654A6" w:rsidP="005A20DD">
            <w:pPr>
              <w:pStyle w:val="TAC"/>
            </w:pPr>
            <w:r>
              <w:t>M</w:t>
            </w:r>
          </w:p>
        </w:tc>
        <w:tc>
          <w:tcPr>
            <w:tcW w:w="1134" w:type="dxa"/>
          </w:tcPr>
          <w:p w14:paraId="32521A84" w14:textId="77777777" w:rsidR="00D654A6" w:rsidRDefault="00D654A6" w:rsidP="005A20DD">
            <w:pPr>
              <w:pStyle w:val="TAL"/>
            </w:pPr>
            <w:r>
              <w:t>1..N</w:t>
            </w:r>
          </w:p>
        </w:tc>
        <w:tc>
          <w:tcPr>
            <w:tcW w:w="2857" w:type="dxa"/>
          </w:tcPr>
          <w:p w14:paraId="12D01884" w14:textId="77777777" w:rsidR="00D654A6" w:rsidRDefault="00D654A6" w:rsidP="005A20DD">
            <w:pPr>
              <w:pStyle w:val="TAL"/>
              <w:rPr>
                <w:rFonts w:cs="Arial"/>
                <w:szCs w:val="18"/>
              </w:rPr>
            </w:pPr>
            <w:r>
              <w:rPr>
                <w:rFonts w:cs="Arial"/>
                <w:szCs w:val="18"/>
              </w:rPr>
              <w:t>WLAN performance information per Time Slot during the analytics target period. (NOTE</w:t>
            </w:r>
            <w:r>
              <w:rPr>
                <w:lang w:val="en-US" w:eastAsia="zh-CN"/>
              </w:rPr>
              <w:t> 2</w:t>
            </w:r>
            <w:r>
              <w:rPr>
                <w:rFonts w:cs="Arial"/>
                <w:szCs w:val="18"/>
              </w:rPr>
              <w:t>)</w:t>
            </w:r>
          </w:p>
        </w:tc>
        <w:tc>
          <w:tcPr>
            <w:tcW w:w="1844" w:type="dxa"/>
          </w:tcPr>
          <w:p w14:paraId="54493C45" w14:textId="77777777" w:rsidR="00D654A6" w:rsidRPr="00F22001" w:rsidRDefault="00D654A6" w:rsidP="005A20DD">
            <w:pPr>
              <w:pStyle w:val="TAL"/>
              <w:rPr>
                <w:rFonts w:cs="Arial"/>
                <w:szCs w:val="18"/>
                <w:lang w:eastAsia="zh-CN"/>
              </w:rPr>
            </w:pPr>
          </w:p>
        </w:tc>
      </w:tr>
      <w:tr w:rsidR="00D654A6" w14:paraId="66ABD30B" w14:textId="77777777" w:rsidTr="005A20DD">
        <w:trPr>
          <w:jc w:val="center"/>
        </w:trPr>
        <w:tc>
          <w:tcPr>
            <w:tcW w:w="9570" w:type="dxa"/>
            <w:gridSpan w:val="6"/>
          </w:tcPr>
          <w:p w14:paraId="67CCF356" w14:textId="77777777" w:rsidR="00D654A6" w:rsidRDefault="00D654A6" w:rsidP="005A20DD">
            <w:pPr>
              <w:pStyle w:val="TAN"/>
              <w:rPr>
                <w:lang w:eastAsia="ko-KR"/>
              </w:rPr>
            </w:pPr>
            <w:r>
              <w:t>NOTE</w:t>
            </w:r>
            <w:r>
              <w:rPr>
                <w:lang w:val="en-US" w:eastAsia="zh-CN"/>
              </w:rPr>
              <w:t> 1</w:t>
            </w:r>
            <w:r>
              <w:t>:</w:t>
            </w:r>
            <w:r>
              <w:tab/>
            </w:r>
            <w:r>
              <w:rPr>
                <w:lang w:val="fr-FR"/>
              </w:rPr>
              <w:t>Exactly one of</w:t>
            </w:r>
            <w:r>
              <w:rPr>
                <w:rFonts w:hint="eastAsia"/>
                <w:lang w:val="fr-FR"/>
              </w:rPr>
              <w:t xml:space="preserve"> </w:t>
            </w:r>
            <w:r>
              <w:rPr>
                <w:lang w:val="fr-FR"/>
              </w:rPr>
              <w:t xml:space="preserve">the </w:t>
            </w:r>
            <w:r>
              <w:t>"</w:t>
            </w:r>
            <w:r>
              <w:rPr>
                <w:rFonts w:hint="eastAsia"/>
                <w:lang w:val="fr-FR"/>
              </w:rPr>
              <w:t>supi</w:t>
            </w:r>
            <w:r>
              <w:t>"</w:t>
            </w:r>
            <w:r>
              <w:rPr>
                <w:rFonts w:hint="eastAsia"/>
                <w:lang w:val="fr-FR"/>
              </w:rPr>
              <w:t xml:space="preserve"> </w:t>
            </w:r>
            <w:r>
              <w:rPr>
                <w:lang w:val="fr-FR"/>
              </w:rPr>
              <w:t>and</w:t>
            </w:r>
            <w:r>
              <w:rPr>
                <w:rFonts w:hint="eastAsia"/>
                <w:lang w:val="fr-FR"/>
              </w:rPr>
              <w:t xml:space="preserve"> </w:t>
            </w:r>
            <w:r>
              <w:t>"</w:t>
            </w:r>
            <w:r>
              <w:rPr>
                <w:rFonts w:hint="eastAsia"/>
                <w:lang w:val="fr-FR"/>
              </w:rPr>
              <w:t>gpsi</w:t>
            </w:r>
            <w:r>
              <w:t>" attributes</w:t>
            </w:r>
            <w:r>
              <w:rPr>
                <w:rFonts w:hint="eastAsia"/>
                <w:lang w:val="fr-FR"/>
              </w:rPr>
              <w:t xml:space="preserve"> shall be provided.</w:t>
            </w:r>
            <w:r>
              <w:rPr>
                <w:lang w:val="fr-FR"/>
              </w:rPr>
              <w:t xml:space="preserve"> The </w:t>
            </w:r>
            <w:r>
              <w:t>"</w:t>
            </w:r>
            <w:r>
              <w:rPr>
                <w:rFonts w:hint="eastAsia"/>
                <w:lang w:val="fr-FR"/>
              </w:rPr>
              <w:t>supi</w:t>
            </w:r>
            <w:r>
              <w:t>"</w:t>
            </w:r>
            <w:r>
              <w:rPr>
                <w:rFonts w:hint="eastAsia"/>
                <w:lang w:val="fr-FR"/>
              </w:rPr>
              <w:t xml:space="preserve"> </w:t>
            </w:r>
            <w:r>
              <w:rPr>
                <w:lang w:val="fr-FR"/>
              </w:rPr>
              <w:t xml:space="preserve">attribute is </w:t>
            </w:r>
            <w:r w:rsidRPr="00AC57FF">
              <w:rPr>
                <w:lang w:val="fr-FR"/>
              </w:rPr>
              <w:t xml:space="preserve">not </w:t>
            </w:r>
            <w:r>
              <w:t xml:space="preserve">applicable </w:t>
            </w:r>
            <w:r w:rsidRPr="00AC57FF">
              <w:rPr>
                <w:lang w:val="fr-FR"/>
              </w:rPr>
              <w:t>to the AnalyticsExposure API,</w:t>
            </w:r>
            <w:r>
              <w:rPr>
                <w:lang w:val="fr-FR"/>
              </w:rPr>
              <w:t xml:space="preserve"> the </w:t>
            </w:r>
            <w:r>
              <w:t>"</w:t>
            </w:r>
            <w:r>
              <w:rPr>
                <w:rFonts w:hint="eastAsia"/>
                <w:lang w:val="fr-FR"/>
              </w:rPr>
              <w:t>gpsi</w:t>
            </w:r>
            <w:r>
              <w:t>" attribute is only applicable to the AnalyticsExposure API and not applic</w:t>
            </w:r>
            <w:r w:rsidRPr="00B61F62">
              <w:rPr>
                <w:lang w:val="fr-FR"/>
              </w:rPr>
              <w:t xml:space="preserve">able </w:t>
            </w:r>
            <w:r w:rsidRPr="00B61F62">
              <w:rPr>
                <w:rFonts w:hint="eastAsia"/>
                <w:lang w:val="fr-FR"/>
              </w:rPr>
              <w:t>in</w:t>
            </w:r>
            <w:r w:rsidRPr="00B61F62">
              <w:rPr>
                <w:lang w:val="fr-FR"/>
              </w:rPr>
              <w:t xml:space="preserve"> the </w:t>
            </w:r>
            <w:r>
              <w:t>curre</w:t>
            </w:r>
            <w:r w:rsidRPr="00F22001">
              <w:rPr>
                <w:lang w:val="fr-FR"/>
              </w:rPr>
              <w:t xml:space="preserve">nt </w:t>
            </w:r>
            <w:r w:rsidRPr="00F22001">
              <w:rPr>
                <w:rFonts w:hint="eastAsia"/>
                <w:lang w:val="fr-FR"/>
              </w:rPr>
              <w:t>specification</w:t>
            </w:r>
            <w:r w:rsidRPr="00F22001">
              <w:rPr>
                <w:lang w:val="fr-FR"/>
              </w:rPr>
              <w:t>.</w:t>
            </w:r>
          </w:p>
          <w:p w14:paraId="3CA024AD" w14:textId="77777777" w:rsidR="00D654A6" w:rsidRPr="00D654A6" w:rsidRDefault="00D654A6" w:rsidP="005A20DD">
            <w:pPr>
              <w:pStyle w:val="TAN"/>
              <w:rPr>
                <w:rFonts w:eastAsia="等线"/>
                <w:lang w:eastAsia="ko-KR"/>
              </w:rPr>
            </w:pPr>
            <w:r>
              <w:rPr>
                <w:lang w:eastAsia="ko-KR"/>
              </w:rPr>
              <w:t>NOTE</w:t>
            </w:r>
            <w:r>
              <w:rPr>
                <w:lang w:val="en-US" w:eastAsia="zh-CN"/>
              </w:rPr>
              <w:t> 2</w:t>
            </w:r>
            <w:r>
              <w:rPr>
                <w:lang w:eastAsia="ko-KR"/>
              </w:rPr>
              <w:t>:</w:t>
            </w:r>
            <w:r>
              <w:rPr>
                <w:lang w:eastAsia="ko-KR"/>
              </w:rPr>
              <w:tab/>
              <w:t>The "</w:t>
            </w:r>
            <w:r>
              <w:rPr>
                <w:lang w:eastAsia="zh-CN"/>
              </w:rPr>
              <w:t>numberOfUes</w:t>
            </w:r>
            <w:r>
              <w:rPr>
                <w:lang w:eastAsia="ko-KR"/>
              </w:rPr>
              <w:t xml:space="preserve">" attribute is not applicable for the </w:t>
            </w:r>
            <w:r>
              <w:t>WlanPerUeIdPerformanceInfo</w:t>
            </w:r>
            <w:r>
              <w:rPr>
                <w:lang w:eastAsia="ko-KR"/>
              </w:rPr>
              <w:t xml:space="preserve"> data type.</w:t>
            </w:r>
          </w:p>
        </w:tc>
      </w:tr>
    </w:tbl>
    <w:p w14:paraId="68CC30CC" w14:textId="77777777" w:rsidR="00D654A6" w:rsidRDefault="00D654A6" w:rsidP="00D654A6"/>
    <w:p w14:paraId="7C790036" w14:textId="77777777" w:rsidR="00D654A6" w:rsidRDefault="00D654A6" w:rsidP="00D654A6">
      <w:pPr>
        <w:pStyle w:val="5"/>
      </w:pPr>
      <w:bookmarkStart w:id="7938" w:name="_Toc164920855"/>
      <w:bookmarkStart w:id="7939" w:name="_Toc170120397"/>
      <w:bookmarkStart w:id="7940" w:name="_Toc175858642"/>
      <w:bookmarkStart w:id="7941" w:name="_Toc175859715"/>
      <w:bookmarkStart w:id="7942" w:name="_Toc180606005"/>
      <w:bookmarkStart w:id="7943" w:name="_Toc185517259"/>
      <w:bookmarkStart w:id="7944" w:name="_Toc191576310"/>
      <w:bookmarkStart w:id="7945" w:name="_Toc191577050"/>
      <w:bookmarkStart w:id="7946" w:name="_Toc192880120"/>
      <w:bookmarkStart w:id="7947" w:name="_Toc195815003"/>
      <w:bookmarkStart w:id="7948" w:name="_Toc199452970"/>
      <w:r>
        <w:t>5.1.6.2.81</w:t>
      </w:r>
      <w:r>
        <w:tab/>
        <w:t xml:space="preserve">Type </w:t>
      </w:r>
      <w:r>
        <w:rPr>
          <w:lang w:eastAsia="zh-CN"/>
        </w:rPr>
        <w:t>ResourceUsageRequirement</w:t>
      </w:r>
      <w:bookmarkEnd w:id="7919"/>
      <w:bookmarkEnd w:id="7920"/>
      <w:bookmarkEnd w:id="7921"/>
      <w:bookmarkEnd w:id="7922"/>
      <w:bookmarkEnd w:id="7938"/>
      <w:bookmarkEnd w:id="7939"/>
      <w:bookmarkEnd w:id="7940"/>
      <w:bookmarkEnd w:id="7941"/>
      <w:bookmarkEnd w:id="7942"/>
      <w:bookmarkEnd w:id="7943"/>
      <w:bookmarkEnd w:id="7944"/>
      <w:bookmarkEnd w:id="7945"/>
      <w:bookmarkEnd w:id="7946"/>
      <w:bookmarkEnd w:id="7947"/>
      <w:bookmarkEnd w:id="7948"/>
    </w:p>
    <w:p w14:paraId="490A0C5B" w14:textId="77777777" w:rsidR="00D654A6" w:rsidRDefault="00D654A6" w:rsidP="00D654A6">
      <w:pPr>
        <w:pStyle w:val="TH"/>
      </w:pPr>
      <w:r>
        <w:t xml:space="preserve">Table 5.1.6.2.81-1: Definition of type </w:t>
      </w:r>
      <w:r>
        <w:rPr>
          <w:lang w:eastAsia="zh-CN"/>
        </w:rPr>
        <w:t>ResourceUsageRequirement</w:t>
      </w:r>
    </w:p>
    <w:tbl>
      <w:tblPr>
        <w:tblW w:w="9667"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802"/>
      </w:tblGrid>
      <w:tr w:rsidR="00D654A6" w14:paraId="19EBF694" w14:textId="77777777" w:rsidTr="005A20DD">
        <w:tc>
          <w:tcPr>
            <w:tcW w:w="1531" w:type="dxa"/>
            <w:shd w:val="clear" w:color="auto" w:fill="C0C0C0"/>
          </w:tcPr>
          <w:p w14:paraId="2188D8E6" w14:textId="77777777" w:rsidR="00D654A6" w:rsidRDefault="00D654A6" w:rsidP="005A20DD">
            <w:pPr>
              <w:pStyle w:val="TAH"/>
              <w:ind w:left="400" w:hanging="400"/>
            </w:pPr>
            <w:r>
              <w:t>Attribute name</w:t>
            </w:r>
          </w:p>
        </w:tc>
        <w:tc>
          <w:tcPr>
            <w:tcW w:w="1474" w:type="dxa"/>
            <w:shd w:val="clear" w:color="auto" w:fill="C0C0C0"/>
          </w:tcPr>
          <w:p w14:paraId="19F5C13B" w14:textId="77777777" w:rsidR="00D654A6" w:rsidRDefault="00D654A6" w:rsidP="005A20DD">
            <w:pPr>
              <w:pStyle w:val="TAH"/>
              <w:ind w:left="400" w:hanging="400"/>
            </w:pPr>
            <w:r>
              <w:t>Data type</w:t>
            </w:r>
          </w:p>
        </w:tc>
        <w:tc>
          <w:tcPr>
            <w:tcW w:w="360" w:type="dxa"/>
            <w:shd w:val="clear" w:color="auto" w:fill="C0C0C0"/>
          </w:tcPr>
          <w:p w14:paraId="0402A777" w14:textId="77777777" w:rsidR="00D654A6" w:rsidRDefault="00D654A6" w:rsidP="005A20DD">
            <w:pPr>
              <w:pStyle w:val="TAH"/>
              <w:ind w:left="400" w:hanging="400"/>
            </w:pPr>
            <w:r>
              <w:t>P</w:t>
            </w:r>
          </w:p>
        </w:tc>
        <w:tc>
          <w:tcPr>
            <w:tcW w:w="1170" w:type="dxa"/>
            <w:shd w:val="clear" w:color="auto" w:fill="C0C0C0"/>
          </w:tcPr>
          <w:p w14:paraId="74DF2817" w14:textId="77777777" w:rsidR="00D654A6" w:rsidRDefault="00D654A6" w:rsidP="005A20DD">
            <w:pPr>
              <w:pStyle w:val="TAH"/>
              <w:ind w:left="400" w:hanging="400"/>
              <w:rPr>
                <w:rFonts w:eastAsia="Batang"/>
              </w:rPr>
            </w:pPr>
            <w:r>
              <w:rPr>
                <w:rFonts w:eastAsia="Batang"/>
              </w:rPr>
              <w:t>Cardinality</w:t>
            </w:r>
          </w:p>
        </w:tc>
        <w:tc>
          <w:tcPr>
            <w:tcW w:w="3330" w:type="dxa"/>
            <w:shd w:val="clear" w:color="auto" w:fill="C0C0C0"/>
          </w:tcPr>
          <w:p w14:paraId="3011EC79" w14:textId="77777777" w:rsidR="00D654A6" w:rsidRDefault="00D654A6" w:rsidP="005A20DD">
            <w:pPr>
              <w:pStyle w:val="TAH"/>
              <w:ind w:left="400" w:hanging="400"/>
              <w:rPr>
                <w:rFonts w:cs="Arial"/>
                <w:szCs w:val="18"/>
              </w:rPr>
            </w:pPr>
            <w:r>
              <w:rPr>
                <w:rFonts w:cs="Arial"/>
                <w:szCs w:val="18"/>
              </w:rPr>
              <w:t>Description</w:t>
            </w:r>
          </w:p>
        </w:tc>
        <w:tc>
          <w:tcPr>
            <w:tcW w:w="1802" w:type="dxa"/>
            <w:shd w:val="clear" w:color="auto" w:fill="C0C0C0"/>
          </w:tcPr>
          <w:p w14:paraId="3AA9AA03" w14:textId="77777777" w:rsidR="00D654A6" w:rsidRDefault="00D654A6" w:rsidP="005A20DD">
            <w:pPr>
              <w:pStyle w:val="TAH"/>
              <w:ind w:left="400" w:hanging="400"/>
              <w:rPr>
                <w:rFonts w:cs="Arial"/>
                <w:szCs w:val="18"/>
              </w:rPr>
            </w:pPr>
            <w:r>
              <w:rPr>
                <w:rFonts w:cs="Arial"/>
                <w:szCs w:val="18"/>
              </w:rPr>
              <w:t>Applicability</w:t>
            </w:r>
          </w:p>
        </w:tc>
      </w:tr>
      <w:tr w:rsidR="00D654A6" w14:paraId="6B2DA5B3" w14:textId="77777777" w:rsidTr="005A20DD">
        <w:tc>
          <w:tcPr>
            <w:tcW w:w="1531" w:type="dxa"/>
          </w:tcPr>
          <w:p w14:paraId="0C5F5C2B" w14:textId="77777777" w:rsidR="00D654A6" w:rsidRDefault="00D654A6" w:rsidP="005A20DD">
            <w:pPr>
              <w:pStyle w:val="TAL"/>
              <w:rPr>
                <w:lang w:eastAsia="zh-CN"/>
              </w:rPr>
            </w:pPr>
            <w:r>
              <w:rPr>
                <w:lang w:eastAsia="zh-CN"/>
              </w:rPr>
              <w:t>tfcDirc</w:t>
            </w:r>
          </w:p>
        </w:tc>
        <w:tc>
          <w:tcPr>
            <w:tcW w:w="1474" w:type="dxa"/>
          </w:tcPr>
          <w:p w14:paraId="415F8D47" w14:textId="77777777" w:rsidR="00D654A6" w:rsidRDefault="00D654A6" w:rsidP="005A20DD">
            <w:pPr>
              <w:pStyle w:val="TAL"/>
            </w:pPr>
            <w:r>
              <w:t>TrafficDirection</w:t>
            </w:r>
          </w:p>
        </w:tc>
        <w:tc>
          <w:tcPr>
            <w:tcW w:w="360" w:type="dxa"/>
          </w:tcPr>
          <w:p w14:paraId="09BBA45A" w14:textId="77777777" w:rsidR="00D654A6" w:rsidRDefault="00D654A6" w:rsidP="005A20DD">
            <w:pPr>
              <w:pStyle w:val="TAC"/>
              <w:rPr>
                <w:lang w:eastAsia="zh-CN"/>
              </w:rPr>
            </w:pPr>
            <w:r>
              <w:rPr>
                <w:lang w:eastAsia="zh-CN"/>
              </w:rPr>
              <w:t>O</w:t>
            </w:r>
          </w:p>
        </w:tc>
        <w:tc>
          <w:tcPr>
            <w:tcW w:w="1170" w:type="dxa"/>
          </w:tcPr>
          <w:p w14:paraId="7E9CD613" w14:textId="77777777" w:rsidR="00D654A6" w:rsidRDefault="00D654A6" w:rsidP="005A20DD">
            <w:pPr>
              <w:pStyle w:val="TAC"/>
            </w:pPr>
            <w:r>
              <w:t>0..1</w:t>
            </w:r>
          </w:p>
        </w:tc>
        <w:tc>
          <w:tcPr>
            <w:tcW w:w="3330" w:type="dxa"/>
          </w:tcPr>
          <w:p w14:paraId="61CD9EBF" w14:textId="77777777" w:rsidR="00D654A6" w:rsidRDefault="00D654A6" w:rsidP="005A20DD">
            <w:pPr>
              <w:pStyle w:val="TAL"/>
              <w:rPr>
                <w:lang w:eastAsia="ko-KR"/>
              </w:rPr>
            </w:pPr>
            <w:r>
              <w:rPr>
                <w:lang w:eastAsia="ko-KR"/>
              </w:rPr>
              <w:t>The traffic direction for the resource usage information.</w:t>
            </w:r>
          </w:p>
          <w:p w14:paraId="284FEB5E" w14:textId="77777777" w:rsidR="00D654A6" w:rsidRDefault="00D654A6" w:rsidP="005A20DD">
            <w:pPr>
              <w:pStyle w:val="TAL"/>
            </w:pPr>
            <w:r>
              <w:t>If omitted, the value "UL_AND_DL" applies.</w:t>
            </w:r>
          </w:p>
        </w:tc>
        <w:tc>
          <w:tcPr>
            <w:tcW w:w="1802" w:type="dxa"/>
          </w:tcPr>
          <w:p w14:paraId="1D0530CB" w14:textId="77777777" w:rsidR="00D654A6" w:rsidRDefault="00D654A6" w:rsidP="005A20DD">
            <w:pPr>
              <w:pStyle w:val="TAL"/>
              <w:rPr>
                <w:rFonts w:cs="Arial"/>
                <w:szCs w:val="18"/>
              </w:rPr>
            </w:pPr>
          </w:p>
        </w:tc>
      </w:tr>
      <w:tr w:rsidR="00D654A6" w14:paraId="7B61BAED" w14:textId="77777777" w:rsidTr="005A20DD">
        <w:tc>
          <w:tcPr>
            <w:tcW w:w="1531" w:type="dxa"/>
          </w:tcPr>
          <w:p w14:paraId="513AA895" w14:textId="77777777" w:rsidR="00D654A6" w:rsidRDefault="00D654A6" w:rsidP="005A20DD">
            <w:pPr>
              <w:pStyle w:val="TAL"/>
              <w:rPr>
                <w:lang w:eastAsia="zh-CN"/>
              </w:rPr>
            </w:pPr>
            <w:r>
              <w:rPr>
                <w:rFonts w:hint="eastAsia"/>
                <w:lang w:eastAsia="zh-CN"/>
              </w:rPr>
              <w:t>v</w:t>
            </w:r>
            <w:r>
              <w:rPr>
                <w:lang w:eastAsia="zh-CN"/>
              </w:rPr>
              <w:t>alExp</w:t>
            </w:r>
          </w:p>
        </w:tc>
        <w:tc>
          <w:tcPr>
            <w:tcW w:w="1474" w:type="dxa"/>
          </w:tcPr>
          <w:p w14:paraId="52622CFA" w14:textId="77777777" w:rsidR="00D654A6" w:rsidRDefault="00D654A6" w:rsidP="005A20DD">
            <w:pPr>
              <w:pStyle w:val="TAL"/>
            </w:pPr>
            <w:r>
              <w:rPr>
                <w:lang w:eastAsia="zh-CN"/>
              </w:rPr>
              <w:t>ValueExpression</w:t>
            </w:r>
          </w:p>
        </w:tc>
        <w:tc>
          <w:tcPr>
            <w:tcW w:w="360" w:type="dxa"/>
          </w:tcPr>
          <w:p w14:paraId="1B644C4A" w14:textId="77777777" w:rsidR="00D654A6" w:rsidRDefault="00D654A6" w:rsidP="005A20DD">
            <w:pPr>
              <w:pStyle w:val="TAC"/>
              <w:rPr>
                <w:lang w:eastAsia="zh-CN"/>
              </w:rPr>
            </w:pPr>
            <w:r>
              <w:t>O</w:t>
            </w:r>
          </w:p>
        </w:tc>
        <w:tc>
          <w:tcPr>
            <w:tcW w:w="1170" w:type="dxa"/>
          </w:tcPr>
          <w:p w14:paraId="71CF61B6" w14:textId="77777777" w:rsidR="00D654A6" w:rsidRDefault="00D654A6" w:rsidP="005A20DD">
            <w:pPr>
              <w:pStyle w:val="TAC"/>
            </w:pPr>
            <w:r>
              <w:t>0..1</w:t>
            </w:r>
          </w:p>
        </w:tc>
        <w:tc>
          <w:tcPr>
            <w:tcW w:w="3330" w:type="dxa"/>
          </w:tcPr>
          <w:p w14:paraId="3BE4711D" w14:textId="77777777" w:rsidR="00D654A6" w:rsidRDefault="00D654A6" w:rsidP="005A20DD">
            <w:pPr>
              <w:pStyle w:val="TAL"/>
              <w:rPr>
                <w:rFonts w:eastAsia="Times New Roman" w:cs="Arial"/>
                <w:szCs w:val="18"/>
              </w:rPr>
            </w:pPr>
            <w:r>
              <w:rPr>
                <w:lang w:eastAsia="zh-CN"/>
              </w:rPr>
              <w:t>Indicates average or peak value of the resource usage for the network performance type</w:t>
            </w:r>
            <w:r>
              <w:rPr>
                <w:rFonts w:eastAsia="Times New Roman" w:cs="Arial"/>
                <w:szCs w:val="18"/>
              </w:rPr>
              <w:t>.</w:t>
            </w:r>
          </w:p>
          <w:p w14:paraId="45D431E3" w14:textId="77777777" w:rsidR="00D654A6" w:rsidRDefault="00D654A6" w:rsidP="005A20DD">
            <w:pPr>
              <w:pStyle w:val="TAL"/>
              <w:rPr>
                <w:lang w:eastAsia="zh-CN"/>
              </w:rPr>
            </w:pPr>
            <w:r>
              <w:rPr>
                <w:rFonts w:hint="eastAsia"/>
                <w:lang w:eastAsia="zh-CN"/>
              </w:rPr>
              <w:t>I</w:t>
            </w:r>
            <w:r>
              <w:rPr>
                <w:lang w:eastAsia="zh-CN"/>
              </w:rPr>
              <w:t xml:space="preserve">f omitted, the value </w:t>
            </w:r>
            <w:r>
              <w:t>"AVERAGE"</w:t>
            </w:r>
            <w:r>
              <w:rPr>
                <w:lang w:eastAsia="zh-CN"/>
              </w:rPr>
              <w:t xml:space="preserve"> applies.</w:t>
            </w:r>
          </w:p>
        </w:tc>
        <w:tc>
          <w:tcPr>
            <w:tcW w:w="1802" w:type="dxa"/>
          </w:tcPr>
          <w:p w14:paraId="788AAED3" w14:textId="77777777" w:rsidR="00D654A6" w:rsidRDefault="00D654A6" w:rsidP="005A20DD">
            <w:pPr>
              <w:pStyle w:val="TAL"/>
              <w:rPr>
                <w:lang w:eastAsia="zh-CN"/>
              </w:rPr>
            </w:pPr>
          </w:p>
        </w:tc>
      </w:tr>
    </w:tbl>
    <w:p w14:paraId="6F4D140D" w14:textId="77777777" w:rsidR="00D654A6" w:rsidRDefault="00D654A6" w:rsidP="00D654A6"/>
    <w:p w14:paraId="7B071D99" w14:textId="77777777" w:rsidR="00A10B25" w:rsidRDefault="00A10B25">
      <w:pPr>
        <w:pStyle w:val="5"/>
      </w:pPr>
      <w:bookmarkStart w:id="7949" w:name="_Toc164920856"/>
      <w:bookmarkStart w:id="7950" w:name="_Toc170120398"/>
      <w:bookmarkStart w:id="7951" w:name="_Toc175858643"/>
      <w:bookmarkStart w:id="7952" w:name="_Toc175859716"/>
      <w:bookmarkStart w:id="7953" w:name="_Toc180606006"/>
      <w:bookmarkStart w:id="7954" w:name="_Toc185517260"/>
      <w:bookmarkStart w:id="7955" w:name="_Toc191576311"/>
      <w:bookmarkStart w:id="7956" w:name="_Toc191577051"/>
      <w:bookmarkStart w:id="7957" w:name="_Toc192880121"/>
      <w:bookmarkStart w:id="7958" w:name="_Toc195815004"/>
      <w:bookmarkStart w:id="7959" w:name="_Toc199452971"/>
      <w:r>
        <w:lastRenderedPageBreak/>
        <w:t>5.1.6.2.82</w:t>
      </w:r>
      <w:r>
        <w:tab/>
        <w:t xml:space="preserve">Type </w:t>
      </w:r>
      <w:r>
        <w:rPr>
          <w:bCs/>
          <w:lang w:eastAsia="zh-CN"/>
        </w:rPr>
        <w:t>E2eDataVolTransTime</w:t>
      </w:r>
      <w:r>
        <w:rPr>
          <w:rFonts w:eastAsia="等线"/>
        </w:rPr>
        <w:t>Req</w:t>
      </w:r>
      <w:bookmarkEnd w:id="7915"/>
      <w:bookmarkEnd w:id="7916"/>
      <w:bookmarkEnd w:id="7917"/>
      <w:bookmarkEnd w:id="7918"/>
      <w:bookmarkEnd w:id="7949"/>
      <w:bookmarkEnd w:id="7950"/>
      <w:bookmarkEnd w:id="7951"/>
      <w:bookmarkEnd w:id="7952"/>
      <w:bookmarkEnd w:id="7953"/>
      <w:bookmarkEnd w:id="7954"/>
      <w:bookmarkEnd w:id="7955"/>
      <w:bookmarkEnd w:id="7956"/>
      <w:bookmarkEnd w:id="7957"/>
      <w:bookmarkEnd w:id="7958"/>
      <w:bookmarkEnd w:id="7959"/>
    </w:p>
    <w:p w14:paraId="5B075F8E" w14:textId="77777777" w:rsidR="00A10B25" w:rsidRDefault="00A10B25">
      <w:pPr>
        <w:pStyle w:val="TH"/>
      </w:pPr>
      <w:bookmarkStart w:id="7960" w:name="_Hlk135843134"/>
      <w:r>
        <w:t xml:space="preserve">Table 5.1.6.2.82-1: Definition of type </w:t>
      </w:r>
      <w:r>
        <w:rPr>
          <w:bCs/>
          <w:lang w:eastAsia="zh-CN"/>
        </w:rPr>
        <w:t>E2eDataVolTransTime</w:t>
      </w:r>
      <w:r>
        <w:rPr>
          <w:rFonts w:eastAsia="等线"/>
        </w:rPr>
        <w:t>Req</w:t>
      </w:r>
    </w:p>
    <w:tbl>
      <w:tblPr>
        <w:tblW w:w="960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52"/>
        <w:gridCol w:w="1553"/>
        <w:gridCol w:w="425"/>
        <w:gridCol w:w="1130"/>
        <w:gridCol w:w="2823"/>
        <w:gridCol w:w="1817"/>
      </w:tblGrid>
      <w:tr w:rsidR="00A10B25" w14:paraId="4ACE4CE3" w14:textId="77777777" w:rsidTr="0076721C">
        <w:trPr>
          <w:jc w:val="center"/>
        </w:trPr>
        <w:tc>
          <w:tcPr>
            <w:tcW w:w="1852" w:type="dxa"/>
            <w:tcBorders>
              <w:top w:val="single" w:sz="6" w:space="0" w:color="auto"/>
              <w:left w:val="single" w:sz="6" w:space="0" w:color="auto"/>
              <w:bottom w:val="single" w:sz="6" w:space="0" w:color="auto"/>
              <w:right w:val="single" w:sz="6" w:space="0" w:color="auto"/>
            </w:tcBorders>
            <w:shd w:val="clear" w:color="auto" w:fill="D0CECE"/>
          </w:tcPr>
          <w:p w14:paraId="44E9B6DB" w14:textId="77777777" w:rsidR="00A10B25" w:rsidRDefault="00A10B25" w:rsidP="0076721C">
            <w:pPr>
              <w:pStyle w:val="TAH"/>
              <w:ind w:left="400" w:hanging="400"/>
            </w:pPr>
            <w:r>
              <w:t>Attribute name</w:t>
            </w:r>
          </w:p>
        </w:tc>
        <w:tc>
          <w:tcPr>
            <w:tcW w:w="1553" w:type="dxa"/>
            <w:tcBorders>
              <w:top w:val="single" w:sz="6" w:space="0" w:color="auto"/>
              <w:left w:val="single" w:sz="6" w:space="0" w:color="auto"/>
              <w:bottom w:val="single" w:sz="6" w:space="0" w:color="auto"/>
              <w:right w:val="single" w:sz="6" w:space="0" w:color="auto"/>
            </w:tcBorders>
            <w:shd w:val="clear" w:color="auto" w:fill="D0CECE"/>
          </w:tcPr>
          <w:p w14:paraId="5518DB74" w14:textId="77777777" w:rsidR="00A10B25" w:rsidRDefault="00A10B25" w:rsidP="0076721C">
            <w:pPr>
              <w:pStyle w:val="TAH"/>
              <w:ind w:left="400" w:hanging="400"/>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D0CECE"/>
          </w:tcPr>
          <w:p w14:paraId="35A7E08F" w14:textId="77777777" w:rsidR="00A10B25" w:rsidRDefault="00A10B25" w:rsidP="0076721C">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D0CECE"/>
          </w:tcPr>
          <w:p w14:paraId="045EAB9D" w14:textId="77777777" w:rsidR="00A10B25" w:rsidRDefault="00A10B25" w:rsidP="0076721C">
            <w:pPr>
              <w:pStyle w:val="TAH"/>
              <w:ind w:left="400" w:hanging="400"/>
            </w:pPr>
            <w:r>
              <w:t>Cardinality</w:t>
            </w:r>
          </w:p>
        </w:tc>
        <w:tc>
          <w:tcPr>
            <w:tcW w:w="2823" w:type="dxa"/>
            <w:tcBorders>
              <w:top w:val="single" w:sz="6" w:space="0" w:color="auto"/>
              <w:left w:val="single" w:sz="6" w:space="0" w:color="auto"/>
              <w:bottom w:val="single" w:sz="6" w:space="0" w:color="auto"/>
              <w:right w:val="single" w:sz="6" w:space="0" w:color="auto"/>
            </w:tcBorders>
            <w:shd w:val="clear" w:color="auto" w:fill="D0CECE"/>
          </w:tcPr>
          <w:p w14:paraId="3EEA5B76" w14:textId="77777777" w:rsidR="00A10B25" w:rsidRDefault="00A10B25" w:rsidP="0076721C">
            <w:pPr>
              <w:pStyle w:val="TAH"/>
              <w:ind w:left="400" w:hanging="400"/>
            </w:pPr>
            <w:r>
              <w:t>Description</w:t>
            </w:r>
          </w:p>
        </w:tc>
        <w:tc>
          <w:tcPr>
            <w:tcW w:w="1817" w:type="dxa"/>
            <w:tcBorders>
              <w:top w:val="single" w:sz="6" w:space="0" w:color="auto"/>
              <w:left w:val="single" w:sz="6" w:space="0" w:color="auto"/>
              <w:bottom w:val="single" w:sz="6" w:space="0" w:color="auto"/>
              <w:right w:val="single" w:sz="6" w:space="0" w:color="auto"/>
            </w:tcBorders>
            <w:shd w:val="clear" w:color="auto" w:fill="D0CECE"/>
          </w:tcPr>
          <w:p w14:paraId="3FC384E6" w14:textId="77777777" w:rsidR="00A10B25" w:rsidRDefault="00A10B25" w:rsidP="0076721C">
            <w:pPr>
              <w:pStyle w:val="TAH"/>
              <w:ind w:left="400" w:hanging="400"/>
            </w:pPr>
            <w:r>
              <w:t>Applicability</w:t>
            </w:r>
          </w:p>
        </w:tc>
      </w:tr>
      <w:tr w:rsidR="00A10B25" w14:paraId="55E59600"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6768786E" w14:textId="77777777" w:rsidR="00A10B25" w:rsidRDefault="00A10B25">
            <w:pPr>
              <w:pStyle w:val="TAL"/>
            </w:pPr>
            <w:r>
              <w:rPr>
                <w:lang w:eastAsia="zh-CN"/>
              </w:rPr>
              <w:t>criterion</w:t>
            </w:r>
          </w:p>
        </w:tc>
        <w:tc>
          <w:tcPr>
            <w:tcW w:w="1553" w:type="dxa"/>
            <w:tcBorders>
              <w:top w:val="single" w:sz="6" w:space="0" w:color="auto"/>
              <w:left w:val="single" w:sz="6" w:space="0" w:color="auto"/>
              <w:bottom w:val="single" w:sz="6" w:space="0" w:color="auto"/>
              <w:right w:val="single" w:sz="6" w:space="0" w:color="auto"/>
            </w:tcBorders>
          </w:tcPr>
          <w:p w14:paraId="2DE0F73E" w14:textId="77777777" w:rsidR="00A10B25" w:rsidRDefault="00A10B25">
            <w:pPr>
              <w:pStyle w:val="TAL"/>
            </w:pPr>
            <w:r>
              <w:rPr>
                <w:lang w:eastAsia="zh-CN"/>
              </w:rPr>
              <w:t>E2eDataVolTransTimeCriterion</w:t>
            </w:r>
          </w:p>
        </w:tc>
        <w:tc>
          <w:tcPr>
            <w:tcW w:w="425" w:type="dxa"/>
            <w:tcBorders>
              <w:top w:val="single" w:sz="6" w:space="0" w:color="auto"/>
              <w:left w:val="single" w:sz="6" w:space="0" w:color="auto"/>
              <w:bottom w:val="single" w:sz="6" w:space="0" w:color="auto"/>
              <w:right w:val="single" w:sz="6" w:space="0" w:color="auto"/>
            </w:tcBorders>
          </w:tcPr>
          <w:p w14:paraId="2A79D2DA" w14:textId="77777777" w:rsidR="00A10B25" w:rsidRDefault="00A10B25">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1E9ABA0F" w14:textId="77777777" w:rsidR="00A10B25" w:rsidRDefault="00A10B2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30E08227" w14:textId="77777777" w:rsidR="00A10B25" w:rsidRDefault="00A10B25">
            <w:pPr>
              <w:pStyle w:val="TAL"/>
              <w:rPr>
                <w:rFonts w:cs="Arial"/>
                <w:szCs w:val="18"/>
              </w:rPr>
            </w:pPr>
            <w:r>
              <w:rPr>
                <w:rFonts w:cs="Arial"/>
                <w:szCs w:val="18"/>
              </w:rPr>
              <w:t xml:space="preserve">Indicates the ordering criterion for the list of </w:t>
            </w:r>
            <w:r>
              <w:t>E2E data volume transfer time</w:t>
            </w:r>
            <w:r>
              <w:rPr>
                <w:rFonts w:cs="Arial"/>
                <w:szCs w:val="18"/>
              </w:rPr>
              <w:t>.</w:t>
            </w:r>
          </w:p>
        </w:tc>
        <w:tc>
          <w:tcPr>
            <w:tcW w:w="1817" w:type="dxa"/>
            <w:tcBorders>
              <w:top w:val="single" w:sz="6" w:space="0" w:color="auto"/>
              <w:left w:val="single" w:sz="6" w:space="0" w:color="auto"/>
              <w:bottom w:val="single" w:sz="6" w:space="0" w:color="auto"/>
              <w:right w:val="single" w:sz="6" w:space="0" w:color="auto"/>
            </w:tcBorders>
          </w:tcPr>
          <w:p w14:paraId="2FEDEE8E" w14:textId="77777777" w:rsidR="00A10B25" w:rsidRDefault="00A10B25">
            <w:pPr>
              <w:keepNext/>
              <w:keepLines/>
              <w:spacing w:after="0"/>
              <w:rPr>
                <w:rFonts w:ascii="Arial" w:hAnsi="Arial" w:cs="Arial"/>
                <w:sz w:val="18"/>
                <w:szCs w:val="18"/>
              </w:rPr>
            </w:pPr>
          </w:p>
        </w:tc>
      </w:tr>
      <w:tr w:rsidR="00A10B25" w14:paraId="227953DC"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63B864BA" w14:textId="77777777" w:rsidR="00A10B25" w:rsidRDefault="00A10B25">
            <w:pPr>
              <w:pStyle w:val="TAL"/>
              <w:rPr>
                <w:lang w:eastAsia="zh-CN"/>
              </w:rPr>
            </w:pPr>
            <w:r>
              <w:rPr>
                <w:lang w:eastAsia="zh-CN"/>
              </w:rPr>
              <w:t>order</w:t>
            </w:r>
          </w:p>
        </w:tc>
        <w:tc>
          <w:tcPr>
            <w:tcW w:w="1553" w:type="dxa"/>
            <w:tcBorders>
              <w:top w:val="single" w:sz="6" w:space="0" w:color="auto"/>
              <w:left w:val="single" w:sz="6" w:space="0" w:color="auto"/>
              <w:bottom w:val="single" w:sz="6" w:space="0" w:color="auto"/>
              <w:right w:val="single" w:sz="6" w:space="0" w:color="auto"/>
            </w:tcBorders>
          </w:tcPr>
          <w:p w14:paraId="33FD0E89" w14:textId="77777777" w:rsidR="00A10B25" w:rsidRDefault="00A10B25">
            <w:pPr>
              <w:pStyle w:val="TAL"/>
              <w:rPr>
                <w:lang w:eastAsia="zh-CN"/>
              </w:rPr>
            </w:pPr>
            <w:r>
              <w:rPr>
                <w:lang w:eastAsia="zh-CN"/>
              </w:rPr>
              <w:t>MatchingDirection</w:t>
            </w:r>
          </w:p>
        </w:tc>
        <w:tc>
          <w:tcPr>
            <w:tcW w:w="425" w:type="dxa"/>
            <w:tcBorders>
              <w:top w:val="single" w:sz="6" w:space="0" w:color="auto"/>
              <w:left w:val="single" w:sz="6" w:space="0" w:color="auto"/>
              <w:bottom w:val="single" w:sz="6" w:space="0" w:color="auto"/>
              <w:right w:val="single" w:sz="6" w:space="0" w:color="auto"/>
            </w:tcBorders>
          </w:tcPr>
          <w:p w14:paraId="0E2364E1" w14:textId="77777777" w:rsidR="00A10B25" w:rsidRDefault="00A10B25">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EE1CDAC" w14:textId="77777777" w:rsidR="00A10B25" w:rsidRDefault="00A10B2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379C39B1" w14:textId="77777777" w:rsidR="00A10B25" w:rsidRDefault="00A10B25">
            <w:pPr>
              <w:pStyle w:val="TAL"/>
              <w:rPr>
                <w:rFonts w:cs="Arial"/>
                <w:szCs w:val="18"/>
              </w:rPr>
            </w:pPr>
            <w:r>
              <w:rPr>
                <w:rFonts w:cs="Arial"/>
                <w:szCs w:val="18"/>
              </w:rPr>
              <w:t>Indicate the order: ascending or descending. May be present when the "</w:t>
            </w:r>
            <w:r>
              <w:rPr>
                <w:lang w:eastAsia="zh-CN"/>
              </w:rPr>
              <w:t>criterion</w:t>
            </w:r>
            <w:r>
              <w:rPr>
                <w:rFonts w:cs="Arial"/>
                <w:szCs w:val="18"/>
              </w:rPr>
              <w:t>" attribute is included.</w:t>
            </w:r>
          </w:p>
          <w:p w14:paraId="7F5E1F07" w14:textId="77777777" w:rsidR="00A10B25" w:rsidRDefault="00A10B25">
            <w:pPr>
              <w:pStyle w:val="TAL"/>
              <w:rPr>
                <w:rFonts w:cs="Arial"/>
                <w:szCs w:val="18"/>
              </w:rPr>
            </w:pPr>
            <w:r>
              <w:rPr>
                <w:rFonts w:cs="Arial"/>
                <w:szCs w:val="18"/>
              </w:rPr>
              <w:t>(NOTE 1)</w:t>
            </w:r>
          </w:p>
        </w:tc>
        <w:tc>
          <w:tcPr>
            <w:tcW w:w="1817" w:type="dxa"/>
            <w:tcBorders>
              <w:top w:val="single" w:sz="6" w:space="0" w:color="auto"/>
              <w:left w:val="single" w:sz="6" w:space="0" w:color="auto"/>
              <w:bottom w:val="single" w:sz="6" w:space="0" w:color="auto"/>
              <w:right w:val="single" w:sz="6" w:space="0" w:color="auto"/>
            </w:tcBorders>
          </w:tcPr>
          <w:p w14:paraId="58D946AE" w14:textId="77777777" w:rsidR="00A10B25" w:rsidRDefault="00A10B25">
            <w:pPr>
              <w:keepNext/>
              <w:keepLines/>
              <w:spacing w:after="0"/>
              <w:rPr>
                <w:rFonts w:ascii="Arial" w:hAnsi="Arial" w:cs="Arial"/>
                <w:sz w:val="18"/>
                <w:szCs w:val="18"/>
              </w:rPr>
            </w:pPr>
          </w:p>
        </w:tc>
      </w:tr>
      <w:tr w:rsidR="00EF7075" w14:paraId="18E1B2E2"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2392DFD0" w14:textId="77777777" w:rsidR="00EF7075" w:rsidRDefault="00EF7075" w:rsidP="00EF7075">
            <w:pPr>
              <w:pStyle w:val="TAL"/>
              <w:rPr>
                <w:lang w:eastAsia="zh-CN"/>
              </w:rPr>
            </w:pPr>
            <w:r>
              <w:rPr>
                <w:lang w:eastAsia="zh-CN"/>
              </w:rPr>
              <w:t>highTransTmThr</w:t>
            </w:r>
          </w:p>
        </w:tc>
        <w:tc>
          <w:tcPr>
            <w:tcW w:w="1553" w:type="dxa"/>
            <w:tcBorders>
              <w:top w:val="single" w:sz="6" w:space="0" w:color="auto"/>
              <w:left w:val="single" w:sz="6" w:space="0" w:color="auto"/>
              <w:bottom w:val="single" w:sz="6" w:space="0" w:color="auto"/>
              <w:right w:val="single" w:sz="6" w:space="0" w:color="auto"/>
            </w:tcBorders>
          </w:tcPr>
          <w:p w14:paraId="54A0ED94" w14:textId="77777777" w:rsidR="00EF7075" w:rsidRDefault="00EF7075" w:rsidP="00EF707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3CC71764" w14:textId="77777777" w:rsidR="00EF7075" w:rsidRDefault="00EF7075" w:rsidP="00EF7075">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CD91BE3"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700FB505" w14:textId="77777777" w:rsidR="00EF7075" w:rsidRDefault="00EF7075" w:rsidP="00EF7075">
            <w:pPr>
              <w:pStyle w:val="TAL"/>
              <w:rPr>
                <w:rFonts w:cs="Arial"/>
                <w:szCs w:val="18"/>
              </w:rPr>
            </w:pPr>
            <w:r>
              <w:rPr>
                <w:rFonts w:cs="Arial"/>
                <w:szCs w:val="18"/>
              </w:rPr>
              <w:t xml:space="preserve">Indicates the </w:t>
            </w:r>
            <w:r>
              <w:rPr>
                <w:rFonts w:hint="eastAsia"/>
                <w:lang w:eastAsia="zh-CN"/>
              </w:rPr>
              <w:t>thr</w:t>
            </w:r>
            <w:r>
              <w:rPr>
                <w:lang w:eastAsia="zh-CN"/>
              </w:rPr>
              <w:t xml:space="preserve">eshold of high-transfer time </w:t>
            </w:r>
            <w:r>
              <w:rPr>
                <w:rFonts w:cs="Arial"/>
                <w:szCs w:val="18"/>
              </w:rPr>
              <w:t xml:space="preserve">in unit of millisecond. If the </w:t>
            </w:r>
            <w:r>
              <w:t xml:space="preserve">transfer time is </w:t>
            </w:r>
            <w:r>
              <w:rPr>
                <w:rFonts w:cs="Arial"/>
                <w:szCs w:val="18"/>
              </w:rPr>
              <w:t xml:space="preserve">equal to or greater than this threshold, the </w:t>
            </w:r>
            <w:r>
              <w:t>UEs are classified as</w:t>
            </w:r>
            <w:r>
              <w:rPr>
                <w:rFonts w:cs="Arial"/>
                <w:szCs w:val="18"/>
              </w:rPr>
              <w:t xml:space="preserve"> high-transfer time.</w:t>
            </w:r>
          </w:p>
          <w:p w14:paraId="25A06DB0" w14:textId="77777777" w:rsidR="00EF7075" w:rsidRDefault="00EF7075" w:rsidP="00EF7075">
            <w:pPr>
              <w:pStyle w:val="TAL"/>
              <w:rPr>
                <w:rFonts w:cs="Arial"/>
                <w:szCs w:val="18"/>
              </w:rPr>
            </w:pPr>
            <w:r>
              <w:t>(</w:t>
            </w:r>
            <w:r>
              <w:rPr>
                <w:rFonts w:cs="Arial"/>
              </w:rPr>
              <w:t>NOTE</w:t>
            </w:r>
            <w:r>
              <w:rPr>
                <w:rFonts w:cs="Arial"/>
                <w:szCs w:val="18"/>
              </w:rPr>
              <w:t> 2)</w:t>
            </w:r>
          </w:p>
        </w:tc>
        <w:tc>
          <w:tcPr>
            <w:tcW w:w="1817" w:type="dxa"/>
            <w:tcBorders>
              <w:top w:val="single" w:sz="6" w:space="0" w:color="auto"/>
              <w:left w:val="single" w:sz="6" w:space="0" w:color="auto"/>
              <w:bottom w:val="single" w:sz="6" w:space="0" w:color="auto"/>
              <w:right w:val="single" w:sz="6" w:space="0" w:color="auto"/>
            </w:tcBorders>
          </w:tcPr>
          <w:p w14:paraId="169CCFEF" w14:textId="77777777" w:rsidR="00EF7075" w:rsidRDefault="00EF7075" w:rsidP="00EF7075">
            <w:pPr>
              <w:keepNext/>
              <w:keepLines/>
              <w:spacing w:after="0"/>
              <w:rPr>
                <w:rFonts w:ascii="Arial" w:hAnsi="Arial" w:cs="Arial"/>
                <w:sz w:val="18"/>
                <w:szCs w:val="18"/>
              </w:rPr>
            </w:pPr>
          </w:p>
        </w:tc>
      </w:tr>
      <w:tr w:rsidR="00EF7075" w14:paraId="79768612"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25983E47" w14:textId="77777777" w:rsidR="00EF7075" w:rsidRDefault="00EF7075" w:rsidP="00EF7075">
            <w:pPr>
              <w:pStyle w:val="TAL"/>
              <w:rPr>
                <w:lang w:eastAsia="zh-CN"/>
              </w:rPr>
            </w:pPr>
            <w:r>
              <w:t>lowTransTmThr</w:t>
            </w:r>
          </w:p>
        </w:tc>
        <w:tc>
          <w:tcPr>
            <w:tcW w:w="1553" w:type="dxa"/>
            <w:tcBorders>
              <w:top w:val="single" w:sz="6" w:space="0" w:color="auto"/>
              <w:left w:val="single" w:sz="6" w:space="0" w:color="auto"/>
              <w:bottom w:val="single" w:sz="6" w:space="0" w:color="auto"/>
              <w:right w:val="single" w:sz="6" w:space="0" w:color="auto"/>
            </w:tcBorders>
          </w:tcPr>
          <w:p w14:paraId="5C99E9C8" w14:textId="77777777" w:rsidR="00EF7075" w:rsidRDefault="00EF7075" w:rsidP="00EF7075">
            <w:pPr>
              <w:pStyle w:val="TAL"/>
              <w:rPr>
                <w:lang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17AA7C25" w14:textId="77777777" w:rsidR="00EF7075" w:rsidRDefault="00EF7075" w:rsidP="00EF7075">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2694CCB"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1CB3C7D0" w14:textId="77777777" w:rsidR="00EF7075" w:rsidRDefault="00EF7075" w:rsidP="00EF7075">
            <w:pPr>
              <w:pStyle w:val="TAL"/>
              <w:rPr>
                <w:rFonts w:cs="Arial"/>
                <w:szCs w:val="18"/>
              </w:rPr>
            </w:pPr>
            <w:r>
              <w:rPr>
                <w:rFonts w:cs="Arial"/>
                <w:szCs w:val="18"/>
              </w:rPr>
              <w:t xml:space="preserve">Indicates the </w:t>
            </w:r>
            <w:r>
              <w:rPr>
                <w:rFonts w:hint="eastAsia"/>
                <w:lang w:eastAsia="zh-CN"/>
              </w:rPr>
              <w:t>thr</w:t>
            </w:r>
            <w:r>
              <w:rPr>
                <w:lang w:eastAsia="zh-CN"/>
              </w:rPr>
              <w:t xml:space="preserve">eshold of low-transfer time </w:t>
            </w:r>
            <w:r>
              <w:rPr>
                <w:rFonts w:cs="Arial"/>
                <w:szCs w:val="18"/>
              </w:rPr>
              <w:t xml:space="preserve">in unit of millisecond. If the </w:t>
            </w:r>
            <w:r>
              <w:t xml:space="preserve">transfer time is </w:t>
            </w:r>
            <w:r>
              <w:rPr>
                <w:rFonts w:cs="Arial"/>
                <w:szCs w:val="18"/>
              </w:rPr>
              <w:t xml:space="preserve">equal to or lower than this threshold, the </w:t>
            </w:r>
            <w:r>
              <w:t>UEs are classified as</w:t>
            </w:r>
            <w:r>
              <w:rPr>
                <w:rFonts w:cs="Arial"/>
                <w:szCs w:val="18"/>
              </w:rPr>
              <w:t xml:space="preserve"> low-transfer time.</w:t>
            </w:r>
          </w:p>
          <w:p w14:paraId="380535A8" w14:textId="77777777" w:rsidR="00EF7075" w:rsidRDefault="00EF7075" w:rsidP="00EF7075">
            <w:pPr>
              <w:pStyle w:val="TAL"/>
              <w:rPr>
                <w:rFonts w:cs="Arial"/>
                <w:szCs w:val="18"/>
              </w:rPr>
            </w:pPr>
            <w:r>
              <w:t>(</w:t>
            </w:r>
            <w:r>
              <w:rPr>
                <w:rFonts w:cs="Arial"/>
              </w:rPr>
              <w:t>NOTE</w:t>
            </w:r>
            <w:r>
              <w:rPr>
                <w:rFonts w:cs="Arial"/>
                <w:szCs w:val="18"/>
              </w:rPr>
              <w:t> 2)</w:t>
            </w:r>
          </w:p>
        </w:tc>
        <w:tc>
          <w:tcPr>
            <w:tcW w:w="1817" w:type="dxa"/>
            <w:tcBorders>
              <w:top w:val="single" w:sz="6" w:space="0" w:color="auto"/>
              <w:left w:val="single" w:sz="6" w:space="0" w:color="auto"/>
              <w:bottom w:val="single" w:sz="6" w:space="0" w:color="auto"/>
              <w:right w:val="single" w:sz="6" w:space="0" w:color="auto"/>
            </w:tcBorders>
          </w:tcPr>
          <w:p w14:paraId="3AE83643" w14:textId="77777777" w:rsidR="00EF7075" w:rsidRDefault="00EF7075" w:rsidP="00EF7075">
            <w:pPr>
              <w:keepNext/>
              <w:keepLines/>
              <w:spacing w:after="0"/>
              <w:rPr>
                <w:rFonts w:ascii="Arial" w:hAnsi="Arial" w:cs="Arial"/>
                <w:sz w:val="18"/>
                <w:szCs w:val="18"/>
              </w:rPr>
            </w:pPr>
          </w:p>
        </w:tc>
      </w:tr>
      <w:tr w:rsidR="005E22F6" w14:paraId="0C6FA127"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530269A8" w14:textId="77777777" w:rsidR="005E22F6" w:rsidRDefault="005E22F6" w:rsidP="005E22F6">
            <w:pPr>
              <w:pStyle w:val="TAL"/>
            </w:pPr>
            <w:r>
              <w:rPr>
                <w:lang w:eastAsia="zh-CN"/>
              </w:rPr>
              <w:t>repeatDataTrans</w:t>
            </w:r>
          </w:p>
        </w:tc>
        <w:tc>
          <w:tcPr>
            <w:tcW w:w="1553" w:type="dxa"/>
            <w:tcBorders>
              <w:top w:val="single" w:sz="6" w:space="0" w:color="auto"/>
              <w:left w:val="single" w:sz="6" w:space="0" w:color="auto"/>
              <w:bottom w:val="single" w:sz="6" w:space="0" w:color="auto"/>
              <w:right w:val="single" w:sz="6" w:space="0" w:color="auto"/>
            </w:tcBorders>
          </w:tcPr>
          <w:p w14:paraId="1E9C3B75" w14:textId="77777777" w:rsidR="005E22F6" w:rsidRDefault="005E22F6" w:rsidP="005E22F6">
            <w:pPr>
              <w:pStyle w:val="TAL"/>
              <w:rPr>
                <w:lang w:val="en-US" w:eastAsia="zh-CN"/>
              </w:rPr>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6AA1C0C8" w14:textId="77777777" w:rsidR="005E22F6" w:rsidRDefault="005E22F6" w:rsidP="005E22F6">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5A6DAB38" w14:textId="77777777" w:rsidR="005E22F6" w:rsidRDefault="005E22F6" w:rsidP="005E22F6">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3C4E7922" w14:textId="77777777" w:rsidR="005E22F6" w:rsidRDefault="005E22F6" w:rsidP="005E22F6">
            <w:pPr>
              <w:pStyle w:val="TAL"/>
            </w:pPr>
            <w:r>
              <w:t xml:space="preserve">Target </w:t>
            </w:r>
            <w:r w:rsidRPr="00BF0F43">
              <w:t xml:space="preserve">repetition </w:t>
            </w:r>
            <w:r>
              <w:t>number of data transmissions within the Analytics target period.</w:t>
            </w:r>
          </w:p>
          <w:p w14:paraId="2989D582" w14:textId="77777777" w:rsidR="005E22F6" w:rsidRDefault="005E22F6" w:rsidP="005E22F6">
            <w:pPr>
              <w:pStyle w:val="TAL"/>
              <w:rPr>
                <w:rFonts w:cs="Arial"/>
                <w:szCs w:val="18"/>
                <w:lang w:eastAsia="zh-CN"/>
              </w:rPr>
            </w:pPr>
            <w:r>
              <w:t>(</w:t>
            </w:r>
            <w:r>
              <w:rPr>
                <w:rFonts w:cs="Arial"/>
              </w:rPr>
              <w:t>NOTE</w:t>
            </w:r>
            <w:r>
              <w:rPr>
                <w:rFonts w:cs="Arial"/>
                <w:szCs w:val="18"/>
              </w:rPr>
              <w:t> 3)</w:t>
            </w:r>
          </w:p>
        </w:tc>
        <w:tc>
          <w:tcPr>
            <w:tcW w:w="1817" w:type="dxa"/>
            <w:tcBorders>
              <w:top w:val="single" w:sz="6" w:space="0" w:color="auto"/>
              <w:left w:val="single" w:sz="6" w:space="0" w:color="auto"/>
              <w:bottom w:val="single" w:sz="6" w:space="0" w:color="auto"/>
              <w:right w:val="single" w:sz="6" w:space="0" w:color="auto"/>
            </w:tcBorders>
          </w:tcPr>
          <w:p w14:paraId="27D0B2FF" w14:textId="77777777" w:rsidR="005E22F6" w:rsidRDefault="005E22F6" w:rsidP="005E22F6">
            <w:pPr>
              <w:keepNext/>
              <w:keepLines/>
              <w:spacing w:after="0"/>
              <w:rPr>
                <w:rFonts w:ascii="Arial" w:hAnsi="Arial" w:cs="Arial"/>
                <w:sz w:val="18"/>
                <w:szCs w:val="18"/>
              </w:rPr>
            </w:pPr>
          </w:p>
        </w:tc>
      </w:tr>
      <w:tr w:rsidR="00EF7075" w14:paraId="60377482"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318617B5" w14:textId="77777777" w:rsidR="00EF7075" w:rsidRDefault="00EF7075" w:rsidP="00EF7075">
            <w:pPr>
              <w:pStyle w:val="TAL"/>
            </w:pPr>
            <w:r>
              <w:rPr>
                <w:lang w:eastAsia="zh-CN"/>
              </w:rPr>
              <w:t>tsIntervalDataTrans</w:t>
            </w:r>
          </w:p>
        </w:tc>
        <w:tc>
          <w:tcPr>
            <w:tcW w:w="1553" w:type="dxa"/>
            <w:tcBorders>
              <w:top w:val="single" w:sz="6" w:space="0" w:color="auto"/>
              <w:left w:val="single" w:sz="6" w:space="0" w:color="auto"/>
              <w:bottom w:val="single" w:sz="6" w:space="0" w:color="auto"/>
              <w:right w:val="single" w:sz="6" w:space="0" w:color="auto"/>
            </w:tcBorders>
          </w:tcPr>
          <w:p w14:paraId="0048399F" w14:textId="77777777" w:rsidR="00EF7075" w:rsidRDefault="00EF7075" w:rsidP="00EF7075">
            <w:pPr>
              <w:pStyle w:val="TAL"/>
              <w:rPr>
                <w:lang w:eastAsia="zh-CN"/>
              </w:rPr>
            </w:pPr>
            <w:r>
              <w:t>DurationSec</w:t>
            </w:r>
          </w:p>
        </w:tc>
        <w:tc>
          <w:tcPr>
            <w:tcW w:w="425" w:type="dxa"/>
            <w:tcBorders>
              <w:top w:val="single" w:sz="6" w:space="0" w:color="auto"/>
              <w:left w:val="single" w:sz="6" w:space="0" w:color="auto"/>
              <w:bottom w:val="single" w:sz="6" w:space="0" w:color="auto"/>
              <w:right w:val="single" w:sz="6" w:space="0" w:color="auto"/>
            </w:tcBorders>
          </w:tcPr>
          <w:p w14:paraId="6DD74B72" w14:textId="77777777" w:rsidR="00EF7075" w:rsidRDefault="00EF7075" w:rsidP="00EF707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7764794"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0FA4E80A" w14:textId="77777777" w:rsidR="00EF7075" w:rsidRDefault="00EF7075" w:rsidP="00EF7075">
            <w:pPr>
              <w:pStyle w:val="TAL"/>
            </w:pPr>
            <w:r>
              <w:t>Target time interval between data transmissions within the Analytics target period.</w:t>
            </w:r>
          </w:p>
          <w:p w14:paraId="44667111" w14:textId="77777777" w:rsidR="00EF7075" w:rsidRDefault="00EF7075" w:rsidP="00EF7075">
            <w:pPr>
              <w:pStyle w:val="TAL"/>
              <w:rPr>
                <w:rFonts w:cs="Arial"/>
                <w:szCs w:val="18"/>
                <w:lang w:eastAsia="zh-CN"/>
              </w:rPr>
            </w:pPr>
            <w:r>
              <w:t>(</w:t>
            </w:r>
            <w:r>
              <w:rPr>
                <w:rFonts w:cs="Arial"/>
              </w:rPr>
              <w:t>NOTE</w:t>
            </w:r>
            <w:r>
              <w:rPr>
                <w:rFonts w:cs="Arial"/>
                <w:szCs w:val="18"/>
              </w:rPr>
              <w:t> 3)</w:t>
            </w:r>
          </w:p>
        </w:tc>
        <w:tc>
          <w:tcPr>
            <w:tcW w:w="1817" w:type="dxa"/>
            <w:tcBorders>
              <w:top w:val="single" w:sz="6" w:space="0" w:color="auto"/>
              <w:left w:val="single" w:sz="6" w:space="0" w:color="auto"/>
              <w:bottom w:val="single" w:sz="6" w:space="0" w:color="auto"/>
              <w:right w:val="single" w:sz="6" w:space="0" w:color="auto"/>
            </w:tcBorders>
          </w:tcPr>
          <w:p w14:paraId="290C842D" w14:textId="77777777" w:rsidR="00EF7075" w:rsidRDefault="00EF7075" w:rsidP="00EF7075">
            <w:pPr>
              <w:keepNext/>
              <w:keepLines/>
              <w:spacing w:after="0"/>
              <w:rPr>
                <w:rFonts w:ascii="Arial" w:hAnsi="Arial" w:cs="Arial"/>
                <w:sz w:val="18"/>
                <w:szCs w:val="18"/>
              </w:rPr>
            </w:pPr>
          </w:p>
        </w:tc>
      </w:tr>
      <w:tr w:rsidR="00EF7075" w14:paraId="036DC963"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4A7D87FA" w14:textId="77777777" w:rsidR="00EF7075" w:rsidRDefault="00EF7075" w:rsidP="00EF7075">
            <w:pPr>
              <w:pStyle w:val="TAL"/>
            </w:pPr>
            <w:r>
              <w:rPr>
                <w:lang w:eastAsia="zh-CN"/>
              </w:rPr>
              <w:t>dataVolume</w:t>
            </w:r>
          </w:p>
        </w:tc>
        <w:tc>
          <w:tcPr>
            <w:tcW w:w="1553" w:type="dxa"/>
            <w:tcBorders>
              <w:top w:val="single" w:sz="6" w:space="0" w:color="auto"/>
              <w:left w:val="single" w:sz="6" w:space="0" w:color="auto"/>
              <w:bottom w:val="single" w:sz="6" w:space="0" w:color="auto"/>
              <w:right w:val="single" w:sz="6" w:space="0" w:color="auto"/>
            </w:tcBorders>
          </w:tcPr>
          <w:p w14:paraId="4CD6591C" w14:textId="77777777" w:rsidR="00EF7075" w:rsidRDefault="00EF7075" w:rsidP="00EF7075">
            <w:pPr>
              <w:pStyle w:val="TAL"/>
              <w:rPr>
                <w:rFonts w:hint="eastAsia"/>
                <w:lang w:eastAsia="zh-CN"/>
              </w:rPr>
            </w:pPr>
            <w:r>
              <w:rPr>
                <w:lang w:eastAsia="zh-CN"/>
              </w:rPr>
              <w:t>DataVolume</w:t>
            </w:r>
          </w:p>
        </w:tc>
        <w:tc>
          <w:tcPr>
            <w:tcW w:w="425" w:type="dxa"/>
            <w:tcBorders>
              <w:top w:val="single" w:sz="6" w:space="0" w:color="auto"/>
              <w:left w:val="single" w:sz="6" w:space="0" w:color="auto"/>
              <w:bottom w:val="single" w:sz="6" w:space="0" w:color="auto"/>
              <w:right w:val="single" w:sz="6" w:space="0" w:color="auto"/>
            </w:tcBorders>
          </w:tcPr>
          <w:p w14:paraId="56257876" w14:textId="77777777" w:rsidR="00EF7075" w:rsidRDefault="00EF7075" w:rsidP="00EF7075">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768B3948" w14:textId="77777777" w:rsidR="00EF7075" w:rsidRDefault="00EF7075" w:rsidP="00EF707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56216701" w14:textId="77777777" w:rsidR="00EF7075" w:rsidRDefault="00EF7075" w:rsidP="00EF7075">
            <w:pPr>
              <w:pStyle w:val="TAL"/>
              <w:rPr>
                <w:rFonts w:cs="Arial"/>
                <w:szCs w:val="18"/>
                <w:lang w:eastAsia="zh-CN"/>
              </w:rPr>
            </w:pPr>
            <w:r>
              <w:rPr>
                <w:lang w:eastAsia="zh-CN"/>
              </w:rPr>
              <w:t xml:space="preserve">Data Volume UL/DL: indicates a specific data volume per transmission either uplink from UE to AF or downlink from AF to UE </w:t>
            </w:r>
            <w:r>
              <w:rPr>
                <w:rFonts w:eastAsia="Batang"/>
              </w:rPr>
              <w:t xml:space="preserve">when subscribed event is </w:t>
            </w:r>
            <w:r>
              <w:t>"</w:t>
            </w:r>
            <w:r>
              <w:rPr>
                <w:lang w:eastAsia="zh-CN"/>
              </w:rPr>
              <w:t>E2E_DATA_VOL_TRANS_TIME</w:t>
            </w:r>
            <w:r>
              <w:t>".</w:t>
            </w:r>
          </w:p>
        </w:tc>
        <w:tc>
          <w:tcPr>
            <w:tcW w:w="1817" w:type="dxa"/>
            <w:tcBorders>
              <w:top w:val="single" w:sz="6" w:space="0" w:color="auto"/>
              <w:left w:val="single" w:sz="6" w:space="0" w:color="auto"/>
              <w:bottom w:val="single" w:sz="6" w:space="0" w:color="auto"/>
              <w:right w:val="single" w:sz="6" w:space="0" w:color="auto"/>
            </w:tcBorders>
          </w:tcPr>
          <w:p w14:paraId="5A798846" w14:textId="77777777" w:rsidR="00EF7075" w:rsidRDefault="00EF7075" w:rsidP="00EF7075">
            <w:pPr>
              <w:keepNext/>
              <w:keepLines/>
              <w:spacing w:after="0"/>
              <w:rPr>
                <w:rFonts w:ascii="Arial" w:hAnsi="Arial" w:cs="Arial"/>
                <w:sz w:val="18"/>
                <w:szCs w:val="18"/>
              </w:rPr>
            </w:pPr>
          </w:p>
        </w:tc>
      </w:tr>
      <w:tr w:rsidR="00A10B25" w14:paraId="44BB59AF" w14:textId="77777777">
        <w:trPr>
          <w:jc w:val="center"/>
        </w:trPr>
        <w:tc>
          <w:tcPr>
            <w:tcW w:w="1852" w:type="dxa"/>
            <w:tcBorders>
              <w:top w:val="single" w:sz="6" w:space="0" w:color="auto"/>
              <w:left w:val="single" w:sz="6" w:space="0" w:color="auto"/>
              <w:bottom w:val="single" w:sz="6" w:space="0" w:color="auto"/>
              <w:right w:val="single" w:sz="6" w:space="0" w:color="auto"/>
            </w:tcBorders>
          </w:tcPr>
          <w:p w14:paraId="25D39A48" w14:textId="77777777" w:rsidR="00A10B25" w:rsidRDefault="00A10B25">
            <w:pPr>
              <w:pStyle w:val="TAL"/>
              <w:rPr>
                <w:lang w:eastAsia="zh-CN"/>
              </w:rPr>
            </w:pPr>
            <w:r>
              <w:rPr>
                <w:lang w:eastAsia="zh-CN"/>
              </w:rPr>
              <w:t>maxNumberUes</w:t>
            </w:r>
          </w:p>
        </w:tc>
        <w:tc>
          <w:tcPr>
            <w:tcW w:w="1553" w:type="dxa"/>
            <w:tcBorders>
              <w:top w:val="single" w:sz="6" w:space="0" w:color="auto"/>
              <w:left w:val="single" w:sz="6" w:space="0" w:color="auto"/>
              <w:bottom w:val="single" w:sz="6" w:space="0" w:color="auto"/>
              <w:right w:val="single" w:sz="6" w:space="0" w:color="auto"/>
            </w:tcBorders>
          </w:tcPr>
          <w:p w14:paraId="41D2824A" w14:textId="77777777" w:rsidR="00A10B25" w:rsidRDefault="00A10B25">
            <w:pPr>
              <w:pStyle w:val="TAL"/>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43DD2B52"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16D3CBD9" w14:textId="77777777" w:rsidR="00A10B25" w:rsidRDefault="00A10B25">
            <w:pPr>
              <w:pStyle w:val="TAL"/>
            </w:pPr>
            <w:r>
              <w:t>0..1</w:t>
            </w:r>
          </w:p>
        </w:tc>
        <w:tc>
          <w:tcPr>
            <w:tcW w:w="2823" w:type="dxa"/>
            <w:tcBorders>
              <w:top w:val="single" w:sz="6" w:space="0" w:color="auto"/>
              <w:left w:val="single" w:sz="6" w:space="0" w:color="auto"/>
              <w:bottom w:val="single" w:sz="6" w:space="0" w:color="auto"/>
              <w:right w:val="single" w:sz="6" w:space="0" w:color="auto"/>
            </w:tcBorders>
          </w:tcPr>
          <w:p w14:paraId="563FFC41" w14:textId="77777777" w:rsidR="00A10B25" w:rsidRDefault="00A10B25">
            <w:pPr>
              <w:pStyle w:val="TAL"/>
              <w:rPr>
                <w:lang w:eastAsia="zh-CN"/>
              </w:rPr>
            </w:pPr>
            <w:r>
              <w:t>The maximum number of UEs.</w:t>
            </w:r>
          </w:p>
        </w:tc>
        <w:tc>
          <w:tcPr>
            <w:tcW w:w="1817" w:type="dxa"/>
            <w:tcBorders>
              <w:top w:val="single" w:sz="6" w:space="0" w:color="auto"/>
              <w:left w:val="single" w:sz="6" w:space="0" w:color="auto"/>
              <w:bottom w:val="single" w:sz="6" w:space="0" w:color="auto"/>
              <w:right w:val="single" w:sz="6" w:space="0" w:color="auto"/>
            </w:tcBorders>
          </w:tcPr>
          <w:p w14:paraId="6FBD1AD5" w14:textId="77777777" w:rsidR="00A10B25" w:rsidRDefault="00A10B25">
            <w:pPr>
              <w:keepNext/>
              <w:keepLines/>
              <w:spacing w:after="0"/>
              <w:rPr>
                <w:rFonts w:ascii="Arial" w:hAnsi="Arial" w:cs="Arial"/>
                <w:sz w:val="18"/>
                <w:szCs w:val="18"/>
              </w:rPr>
            </w:pPr>
          </w:p>
        </w:tc>
      </w:tr>
      <w:tr w:rsidR="00A10B25" w14:paraId="3FB3396F" w14:textId="77777777">
        <w:trPr>
          <w:jc w:val="center"/>
        </w:trPr>
        <w:tc>
          <w:tcPr>
            <w:tcW w:w="9600" w:type="dxa"/>
            <w:gridSpan w:val="6"/>
            <w:tcBorders>
              <w:top w:val="single" w:sz="6" w:space="0" w:color="auto"/>
              <w:left w:val="single" w:sz="6" w:space="0" w:color="auto"/>
              <w:bottom w:val="single" w:sz="6" w:space="0" w:color="auto"/>
              <w:right w:val="single" w:sz="6" w:space="0" w:color="auto"/>
            </w:tcBorders>
          </w:tcPr>
          <w:p w14:paraId="626C7599" w14:textId="77777777" w:rsidR="00A10B25" w:rsidRDefault="00A10B25">
            <w:pPr>
              <w:pStyle w:val="TAN"/>
            </w:pPr>
            <w:r>
              <w:t>NOTE</w:t>
            </w:r>
            <w:r>
              <w:rPr>
                <w:lang w:eastAsia="zh-CN"/>
              </w:rPr>
              <w:t> 1</w:t>
            </w:r>
            <w:r>
              <w:t>:</w:t>
            </w:r>
            <w:r>
              <w:tab/>
              <w:t>"CROSSED" value in data type "MatchingDirection" is not applicable for the "order" attribute.</w:t>
            </w:r>
          </w:p>
          <w:p w14:paraId="75E8656A" w14:textId="77777777" w:rsidR="00A10B25" w:rsidRDefault="00A10B25">
            <w:pPr>
              <w:pStyle w:val="TAN"/>
            </w:pPr>
            <w:r>
              <w:t>NOTE</w:t>
            </w:r>
            <w:r>
              <w:rPr>
                <w:lang w:eastAsia="zh-CN"/>
              </w:rPr>
              <w:t> 2</w:t>
            </w:r>
            <w:r>
              <w:t>:</w:t>
            </w:r>
            <w:r>
              <w:tab/>
              <w:t>The value of "highTransTmThr" shall not be less than the value of "lowTransTmThr". If the value of "highTransTmThr" is greater than the value of "lowTransTmThr", then the UEs between "highTransTmThr" and "lowTransTmThr" are ranking as medium-transfer time. If the value of "highTransTmThr" is equal to the value of "lowTransTmThr", then no medium-transfer time class. This property shall only be provided if the "notifMethod" in "evtReq" is set to "ON_EVENT_DETECTION" or "notificationMethod" in "eventSubscriptions" is set to "THRESHOLD" or omitted.</w:t>
            </w:r>
          </w:p>
          <w:p w14:paraId="6F8796DB" w14:textId="77777777" w:rsidR="00A10B25" w:rsidRDefault="00A10B25">
            <w:pPr>
              <w:pStyle w:val="TAN"/>
              <w:ind w:left="400" w:hanging="400"/>
              <w:rPr>
                <w:rFonts w:cs="Arial"/>
              </w:rPr>
            </w:pPr>
            <w:r>
              <w:rPr>
                <w:rFonts w:cs="Arial"/>
              </w:rPr>
              <w:t>NOTE</w:t>
            </w:r>
            <w:r>
              <w:rPr>
                <w:rFonts w:cs="Arial"/>
                <w:szCs w:val="18"/>
              </w:rPr>
              <w:t> 3</w:t>
            </w:r>
            <w:r>
              <w:rPr>
                <w:rFonts w:cs="Arial"/>
              </w:rPr>
              <w:t>:</w:t>
            </w:r>
            <w:r>
              <w:rPr>
                <w:rFonts w:cs="Arial"/>
              </w:rPr>
              <w:tab/>
              <w:t>Only one of "</w:t>
            </w:r>
            <w:r>
              <w:rPr>
                <w:lang w:eastAsia="zh-CN"/>
              </w:rPr>
              <w:t>repeatDataTrans</w:t>
            </w:r>
            <w:r>
              <w:rPr>
                <w:rFonts w:cs="Arial"/>
              </w:rPr>
              <w:t>" or "</w:t>
            </w:r>
            <w:r>
              <w:rPr>
                <w:lang w:eastAsia="zh-CN"/>
              </w:rPr>
              <w:t>tsIntervalDataTrans</w:t>
            </w:r>
            <w:r>
              <w:rPr>
                <w:rFonts w:cs="Arial"/>
              </w:rPr>
              <w:t>" attribute may be present.</w:t>
            </w:r>
          </w:p>
        </w:tc>
      </w:tr>
    </w:tbl>
    <w:p w14:paraId="59AF2420" w14:textId="77777777" w:rsidR="00A10B25" w:rsidRDefault="00A10B25">
      <w:pPr>
        <w:rPr>
          <w:lang w:eastAsia="zh-CN"/>
        </w:rPr>
      </w:pPr>
      <w:bookmarkStart w:id="7961" w:name="_Toc136562452"/>
      <w:bookmarkStart w:id="7962" w:name="_Toc145705773"/>
      <w:bookmarkStart w:id="7963" w:name="_Toc138754286"/>
      <w:bookmarkEnd w:id="7960"/>
    </w:p>
    <w:p w14:paraId="2F09C06F" w14:textId="77777777" w:rsidR="00A10B25" w:rsidRDefault="00A10B25">
      <w:pPr>
        <w:pStyle w:val="5"/>
      </w:pPr>
      <w:bookmarkStart w:id="7964" w:name="_Toc148522677"/>
      <w:bookmarkStart w:id="7965" w:name="_Toc164920857"/>
      <w:bookmarkStart w:id="7966" w:name="_Toc170120399"/>
      <w:bookmarkStart w:id="7967" w:name="_Toc175858644"/>
      <w:bookmarkStart w:id="7968" w:name="_Toc175859717"/>
      <w:bookmarkStart w:id="7969" w:name="_Toc180606007"/>
      <w:bookmarkStart w:id="7970" w:name="_Toc185517261"/>
      <w:bookmarkStart w:id="7971" w:name="_Toc191576312"/>
      <w:bookmarkStart w:id="7972" w:name="_Toc191577052"/>
      <w:bookmarkStart w:id="7973" w:name="_Toc192880122"/>
      <w:bookmarkStart w:id="7974" w:name="_Toc195815005"/>
      <w:bookmarkStart w:id="7975" w:name="_Toc199452972"/>
      <w:r>
        <w:lastRenderedPageBreak/>
        <w:t>5.1.6.2.83</w:t>
      </w:r>
      <w:r>
        <w:tab/>
        <w:t xml:space="preserve">Type </w:t>
      </w:r>
      <w:r>
        <w:rPr>
          <w:lang w:eastAsia="zh-CN"/>
        </w:rPr>
        <w:t>E2eDataVolTransTimeInfo</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24282FE1" w14:textId="77777777" w:rsidR="00A10B25" w:rsidRDefault="00A10B25">
      <w:pPr>
        <w:pStyle w:val="TH"/>
      </w:pPr>
      <w:bookmarkStart w:id="7976" w:name="_Toc136562453"/>
      <w:bookmarkStart w:id="7977" w:name="_Toc138754287"/>
      <w:r>
        <w:t xml:space="preserve">Table 5.1.6.2.83-1: Definition of type </w:t>
      </w:r>
      <w:r>
        <w:rPr>
          <w:bCs/>
          <w:lang w:eastAsia="zh-CN"/>
        </w:rPr>
        <w:t>E2eDataVolTransTimeInfo</w:t>
      </w:r>
    </w:p>
    <w:tbl>
      <w:tblPr>
        <w:tblW w:w="9606"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9"/>
        <w:gridCol w:w="1554"/>
        <w:gridCol w:w="424"/>
        <w:gridCol w:w="1130"/>
        <w:gridCol w:w="2846"/>
        <w:gridCol w:w="1873"/>
      </w:tblGrid>
      <w:tr w:rsidR="00A10B25" w14:paraId="6309B55A" w14:textId="77777777">
        <w:trPr>
          <w:jc w:val="center"/>
        </w:trPr>
        <w:tc>
          <w:tcPr>
            <w:tcW w:w="1779" w:type="dxa"/>
            <w:tcBorders>
              <w:top w:val="single" w:sz="6" w:space="0" w:color="auto"/>
              <w:left w:val="single" w:sz="6" w:space="0" w:color="auto"/>
              <w:bottom w:val="single" w:sz="6" w:space="0" w:color="auto"/>
              <w:right w:val="single" w:sz="6" w:space="0" w:color="auto"/>
            </w:tcBorders>
            <w:shd w:val="clear" w:color="auto" w:fill="C0C0C0"/>
          </w:tcPr>
          <w:p w14:paraId="34C17E24"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7E10F5C7"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BB1D72A"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0985A79" w14:textId="77777777" w:rsidR="00A10B25" w:rsidRDefault="00A10B25">
            <w:pPr>
              <w:pStyle w:val="TAH"/>
              <w:ind w:left="400" w:hanging="400"/>
            </w:pPr>
            <w:r>
              <w:t>Cardinality</w:t>
            </w:r>
          </w:p>
        </w:tc>
        <w:tc>
          <w:tcPr>
            <w:tcW w:w="2846" w:type="dxa"/>
            <w:tcBorders>
              <w:top w:val="single" w:sz="6" w:space="0" w:color="auto"/>
              <w:left w:val="single" w:sz="6" w:space="0" w:color="auto"/>
              <w:bottom w:val="single" w:sz="6" w:space="0" w:color="auto"/>
              <w:right w:val="single" w:sz="6" w:space="0" w:color="auto"/>
            </w:tcBorders>
            <w:shd w:val="clear" w:color="auto" w:fill="C0C0C0"/>
          </w:tcPr>
          <w:p w14:paraId="0FD3A34F" w14:textId="77777777" w:rsidR="00A10B25" w:rsidRDefault="00A10B25">
            <w:pPr>
              <w:pStyle w:val="TAH"/>
              <w:ind w:left="400" w:hanging="400"/>
            </w:pPr>
            <w:r>
              <w:t>Description</w:t>
            </w:r>
          </w:p>
        </w:tc>
        <w:tc>
          <w:tcPr>
            <w:tcW w:w="1873" w:type="dxa"/>
            <w:tcBorders>
              <w:top w:val="single" w:sz="6" w:space="0" w:color="auto"/>
              <w:left w:val="single" w:sz="6" w:space="0" w:color="auto"/>
              <w:bottom w:val="single" w:sz="6" w:space="0" w:color="auto"/>
              <w:right w:val="single" w:sz="6" w:space="0" w:color="auto"/>
            </w:tcBorders>
            <w:shd w:val="clear" w:color="auto" w:fill="C0C0C0"/>
          </w:tcPr>
          <w:p w14:paraId="452CCEE3" w14:textId="77777777" w:rsidR="00A10B25" w:rsidRDefault="00A10B25">
            <w:pPr>
              <w:pStyle w:val="TAH"/>
              <w:ind w:left="400" w:hanging="400"/>
            </w:pPr>
            <w:r>
              <w:t>Applicability</w:t>
            </w:r>
          </w:p>
        </w:tc>
      </w:tr>
      <w:tr w:rsidR="00A10B25" w14:paraId="383B7ECE"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067F2433" w14:textId="77777777" w:rsidR="00A10B25" w:rsidRDefault="00A10B25">
            <w:pPr>
              <w:pStyle w:val="TAL"/>
              <w:rPr>
                <w:lang w:eastAsia="zh-CN"/>
              </w:rPr>
            </w:pPr>
            <w:r>
              <w:rPr>
                <w:lang w:eastAsia="zh-CN"/>
              </w:rPr>
              <w:t>e2eDataVolTransTimes</w:t>
            </w:r>
          </w:p>
        </w:tc>
        <w:tc>
          <w:tcPr>
            <w:tcW w:w="1554" w:type="dxa"/>
            <w:tcBorders>
              <w:top w:val="single" w:sz="6" w:space="0" w:color="auto"/>
              <w:left w:val="single" w:sz="6" w:space="0" w:color="auto"/>
              <w:bottom w:val="single" w:sz="6" w:space="0" w:color="auto"/>
              <w:right w:val="single" w:sz="6" w:space="0" w:color="auto"/>
            </w:tcBorders>
          </w:tcPr>
          <w:p w14:paraId="569C7E96" w14:textId="77777777" w:rsidR="00A10B25" w:rsidRDefault="00A10B25">
            <w:pPr>
              <w:pStyle w:val="TAL"/>
              <w:rPr>
                <w:lang w:eastAsia="zh-CN"/>
              </w:rPr>
            </w:pPr>
            <w:r>
              <w:t>array(</w:t>
            </w:r>
            <w:r>
              <w:rPr>
                <w:lang w:eastAsia="zh-CN"/>
              </w:rPr>
              <w:t>E2eDataVolTransTimePerTS</w:t>
            </w:r>
            <w:r>
              <w:t>)</w:t>
            </w:r>
          </w:p>
        </w:tc>
        <w:tc>
          <w:tcPr>
            <w:tcW w:w="424" w:type="dxa"/>
            <w:tcBorders>
              <w:top w:val="single" w:sz="6" w:space="0" w:color="auto"/>
              <w:left w:val="single" w:sz="6" w:space="0" w:color="auto"/>
              <w:bottom w:val="single" w:sz="6" w:space="0" w:color="auto"/>
              <w:right w:val="single" w:sz="6" w:space="0" w:color="auto"/>
            </w:tcBorders>
          </w:tcPr>
          <w:p w14:paraId="4CB113F6" w14:textId="77777777" w:rsidR="00A10B25" w:rsidRDefault="00A10B25">
            <w:pPr>
              <w:pStyle w:val="TAC"/>
            </w:pPr>
            <w:r>
              <w:rPr>
                <w:lang w:eastAsia="zh-CN"/>
              </w:rPr>
              <w:t>M</w:t>
            </w:r>
          </w:p>
        </w:tc>
        <w:tc>
          <w:tcPr>
            <w:tcW w:w="1130" w:type="dxa"/>
            <w:tcBorders>
              <w:top w:val="single" w:sz="6" w:space="0" w:color="auto"/>
              <w:left w:val="single" w:sz="6" w:space="0" w:color="auto"/>
              <w:bottom w:val="single" w:sz="6" w:space="0" w:color="auto"/>
              <w:right w:val="single" w:sz="6" w:space="0" w:color="auto"/>
            </w:tcBorders>
          </w:tcPr>
          <w:p w14:paraId="4057AB8B" w14:textId="77777777" w:rsidR="00A10B25" w:rsidRDefault="00A10B25">
            <w:pPr>
              <w:pStyle w:val="TAL"/>
            </w:pPr>
            <w:r>
              <w:t>1..N</w:t>
            </w:r>
          </w:p>
        </w:tc>
        <w:tc>
          <w:tcPr>
            <w:tcW w:w="2846" w:type="dxa"/>
            <w:tcBorders>
              <w:top w:val="single" w:sz="6" w:space="0" w:color="auto"/>
              <w:left w:val="single" w:sz="6" w:space="0" w:color="auto"/>
              <w:bottom w:val="single" w:sz="6" w:space="0" w:color="auto"/>
              <w:right w:val="single" w:sz="6" w:space="0" w:color="auto"/>
            </w:tcBorders>
          </w:tcPr>
          <w:p w14:paraId="7E5CD1E7" w14:textId="77777777" w:rsidR="00A10B25" w:rsidRDefault="00A10B25">
            <w:pPr>
              <w:pStyle w:val="TAL"/>
            </w:pPr>
            <w:r>
              <w:rPr>
                <w:lang w:eastAsia="zh-CN"/>
              </w:rPr>
              <w:t>List of E2E Data Volume Trans Time for the application per time slot.</w:t>
            </w:r>
          </w:p>
        </w:tc>
        <w:tc>
          <w:tcPr>
            <w:tcW w:w="1873" w:type="dxa"/>
            <w:tcBorders>
              <w:top w:val="single" w:sz="6" w:space="0" w:color="auto"/>
              <w:left w:val="single" w:sz="6" w:space="0" w:color="auto"/>
              <w:bottom w:val="single" w:sz="6" w:space="0" w:color="auto"/>
              <w:right w:val="single" w:sz="6" w:space="0" w:color="auto"/>
            </w:tcBorders>
          </w:tcPr>
          <w:p w14:paraId="49ED8606" w14:textId="77777777" w:rsidR="00A10B25" w:rsidRDefault="00A10B25">
            <w:pPr>
              <w:pStyle w:val="TAL"/>
              <w:rPr>
                <w:rFonts w:cs="Arial"/>
                <w:szCs w:val="18"/>
              </w:rPr>
            </w:pPr>
          </w:p>
        </w:tc>
      </w:tr>
      <w:tr w:rsidR="00A10B25" w14:paraId="78D4F3EE"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5D7C6A85" w14:textId="77777777" w:rsidR="00A10B25" w:rsidRDefault="00A10B25">
            <w:pPr>
              <w:pStyle w:val="TAL"/>
              <w:rPr>
                <w:lang w:eastAsia="zh-CN"/>
              </w:rPr>
            </w:pPr>
            <w:r>
              <w:rPr>
                <w:lang w:eastAsia="zh-CN"/>
              </w:rPr>
              <w:t>e2eDataVolTransTime</w:t>
            </w:r>
            <w:r>
              <w:t>UeLists</w:t>
            </w:r>
          </w:p>
        </w:tc>
        <w:tc>
          <w:tcPr>
            <w:tcW w:w="1554" w:type="dxa"/>
            <w:tcBorders>
              <w:top w:val="single" w:sz="6" w:space="0" w:color="auto"/>
              <w:left w:val="single" w:sz="6" w:space="0" w:color="auto"/>
              <w:bottom w:val="single" w:sz="6" w:space="0" w:color="auto"/>
              <w:right w:val="single" w:sz="6" w:space="0" w:color="auto"/>
            </w:tcBorders>
          </w:tcPr>
          <w:p w14:paraId="090F4750" w14:textId="77777777" w:rsidR="00A10B25" w:rsidRDefault="00A10B25">
            <w:pPr>
              <w:pStyle w:val="TAL"/>
              <w:rPr>
                <w:lang w:eastAsia="zh-CN"/>
              </w:rPr>
            </w:pPr>
            <w:r>
              <w:rPr>
                <w:lang w:eastAsia="zh-CN"/>
              </w:rPr>
              <w:t>array(E2eDataVolTransTime</w:t>
            </w:r>
            <w:r>
              <w:t>UeList)</w:t>
            </w:r>
          </w:p>
        </w:tc>
        <w:tc>
          <w:tcPr>
            <w:tcW w:w="424" w:type="dxa"/>
            <w:tcBorders>
              <w:top w:val="single" w:sz="6" w:space="0" w:color="auto"/>
              <w:left w:val="single" w:sz="6" w:space="0" w:color="auto"/>
              <w:bottom w:val="single" w:sz="6" w:space="0" w:color="auto"/>
              <w:right w:val="single" w:sz="6" w:space="0" w:color="auto"/>
            </w:tcBorders>
          </w:tcPr>
          <w:p w14:paraId="2A2F771E"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9F9966F" w14:textId="77777777" w:rsidR="00A10B25" w:rsidRDefault="00A10B25">
            <w:pPr>
              <w:pStyle w:val="TAL"/>
            </w:pPr>
            <w:r>
              <w:t>1..N</w:t>
            </w:r>
          </w:p>
        </w:tc>
        <w:tc>
          <w:tcPr>
            <w:tcW w:w="2846" w:type="dxa"/>
            <w:tcBorders>
              <w:top w:val="single" w:sz="6" w:space="0" w:color="auto"/>
              <w:left w:val="single" w:sz="6" w:space="0" w:color="auto"/>
              <w:bottom w:val="single" w:sz="6" w:space="0" w:color="auto"/>
              <w:right w:val="single" w:sz="6" w:space="0" w:color="auto"/>
            </w:tcBorders>
          </w:tcPr>
          <w:p w14:paraId="770D06AC" w14:textId="77777777" w:rsidR="00A10B25" w:rsidRDefault="00A10B25">
            <w:pPr>
              <w:pStyle w:val="TAL"/>
              <w:rPr>
                <w:rFonts w:cs="Arial"/>
                <w:szCs w:val="18"/>
              </w:rPr>
            </w:pPr>
            <w:r>
              <w:rPr>
                <w:rFonts w:cs="Arial"/>
                <w:szCs w:val="18"/>
              </w:rPr>
              <w:t>Contains the l</w:t>
            </w:r>
            <w:r>
              <w:rPr>
                <w:lang w:eastAsia="ko-KR"/>
              </w:rPr>
              <w:t xml:space="preserve">ist of UEs classified based on </w:t>
            </w:r>
            <w:r>
              <w:t xml:space="preserve">experience level of </w:t>
            </w:r>
            <w:r>
              <w:rPr>
                <w:lang w:eastAsia="zh-CN"/>
              </w:rPr>
              <w:t>E2E Data Volume Transfer Time</w:t>
            </w:r>
            <w:r>
              <w:rPr>
                <w:rFonts w:cs="Arial"/>
                <w:szCs w:val="18"/>
              </w:rPr>
              <w:t>.</w:t>
            </w:r>
          </w:p>
          <w:p w14:paraId="49C5F97B" w14:textId="77777777" w:rsidR="00A10B25" w:rsidRDefault="00A10B25">
            <w:pPr>
              <w:pStyle w:val="TAL"/>
            </w:pPr>
            <w:r>
              <w:rPr>
                <w:rFonts w:cs="Arial"/>
                <w:szCs w:val="18"/>
              </w:rPr>
              <w:t>Shall be present</w:t>
            </w:r>
            <w:r>
              <w:rPr>
                <w:lang w:eastAsia="zh-CN"/>
              </w:rPr>
              <w:t xml:space="preserve"> if one of the elements in the "listOfAnaSubsets" attribute was set to </w:t>
            </w:r>
            <w:r>
              <w:t>"</w:t>
            </w:r>
            <w:r>
              <w:rPr>
                <w:lang w:val="en-US" w:eastAsia="zh-CN"/>
              </w:rPr>
              <w:t>E2E_DATA_VOL_TRANS_TIME_FOR_UE_LIST</w:t>
            </w:r>
            <w:r>
              <w:t>".</w:t>
            </w:r>
          </w:p>
        </w:tc>
        <w:tc>
          <w:tcPr>
            <w:tcW w:w="1873" w:type="dxa"/>
            <w:tcBorders>
              <w:top w:val="single" w:sz="6" w:space="0" w:color="auto"/>
              <w:left w:val="single" w:sz="6" w:space="0" w:color="auto"/>
              <w:bottom w:val="single" w:sz="6" w:space="0" w:color="auto"/>
              <w:right w:val="single" w:sz="6" w:space="0" w:color="auto"/>
            </w:tcBorders>
          </w:tcPr>
          <w:p w14:paraId="4B00CD68" w14:textId="77777777" w:rsidR="00A10B25" w:rsidRDefault="00A10B25">
            <w:pPr>
              <w:pStyle w:val="TAL"/>
              <w:rPr>
                <w:rFonts w:cs="Arial"/>
                <w:szCs w:val="18"/>
              </w:rPr>
            </w:pPr>
          </w:p>
        </w:tc>
      </w:tr>
      <w:tr w:rsidR="00640768" w14:paraId="0A5E840D"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1C9EF9E8" w14:textId="77777777" w:rsidR="00640768" w:rsidRDefault="00640768" w:rsidP="00640768">
            <w:pPr>
              <w:pStyle w:val="TAL"/>
              <w:rPr>
                <w:lang w:eastAsia="zh-CN"/>
              </w:rPr>
            </w:pPr>
            <w:r>
              <w:t>geoDistrInfos</w:t>
            </w:r>
          </w:p>
        </w:tc>
        <w:tc>
          <w:tcPr>
            <w:tcW w:w="1554" w:type="dxa"/>
            <w:tcBorders>
              <w:top w:val="single" w:sz="6" w:space="0" w:color="auto"/>
              <w:left w:val="single" w:sz="6" w:space="0" w:color="auto"/>
              <w:bottom w:val="single" w:sz="6" w:space="0" w:color="auto"/>
              <w:right w:val="single" w:sz="6" w:space="0" w:color="auto"/>
            </w:tcBorders>
          </w:tcPr>
          <w:p w14:paraId="19E60A48" w14:textId="77777777" w:rsidR="00640768" w:rsidRDefault="00640768" w:rsidP="00640768">
            <w:pPr>
              <w:pStyle w:val="TAL"/>
              <w:rPr>
                <w:lang w:eastAsia="zh-CN"/>
              </w:rPr>
            </w:pPr>
            <w:r>
              <w:rPr>
                <w:lang w:eastAsia="zh-CN"/>
              </w:rPr>
              <w:t>array(GeoDistributionInfo)</w:t>
            </w:r>
          </w:p>
        </w:tc>
        <w:tc>
          <w:tcPr>
            <w:tcW w:w="424" w:type="dxa"/>
            <w:tcBorders>
              <w:top w:val="single" w:sz="6" w:space="0" w:color="auto"/>
              <w:left w:val="single" w:sz="6" w:space="0" w:color="auto"/>
              <w:bottom w:val="single" w:sz="6" w:space="0" w:color="auto"/>
              <w:right w:val="single" w:sz="6" w:space="0" w:color="auto"/>
            </w:tcBorders>
          </w:tcPr>
          <w:p w14:paraId="29252D32" w14:textId="77777777" w:rsidR="00640768" w:rsidRDefault="00640768" w:rsidP="00640768">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243A41E" w14:textId="77777777" w:rsidR="00640768" w:rsidRDefault="00640768" w:rsidP="00640768">
            <w:pPr>
              <w:pStyle w:val="TAL"/>
            </w:pPr>
            <w:r>
              <w:t>1..N</w:t>
            </w:r>
          </w:p>
        </w:tc>
        <w:tc>
          <w:tcPr>
            <w:tcW w:w="2846" w:type="dxa"/>
            <w:tcBorders>
              <w:top w:val="single" w:sz="6" w:space="0" w:color="auto"/>
              <w:left w:val="single" w:sz="6" w:space="0" w:color="auto"/>
              <w:bottom w:val="single" w:sz="6" w:space="0" w:color="auto"/>
              <w:right w:val="single" w:sz="6" w:space="0" w:color="auto"/>
            </w:tcBorders>
          </w:tcPr>
          <w:p w14:paraId="47FBDB47" w14:textId="77777777" w:rsidR="00640768" w:rsidRDefault="00640768" w:rsidP="00640768">
            <w:pPr>
              <w:pStyle w:val="TAL"/>
            </w:pPr>
            <w:r>
              <w:t>Indicates the geographical distribution of the UEs per location information.</w:t>
            </w:r>
          </w:p>
          <w:p w14:paraId="24181E78" w14:textId="77777777" w:rsidR="00640768" w:rsidRDefault="00640768" w:rsidP="00640768">
            <w:pPr>
              <w:pStyle w:val="TAL"/>
              <w:rPr>
                <w:rFonts w:cs="Arial"/>
                <w:szCs w:val="18"/>
              </w:rPr>
            </w:pPr>
            <w:r>
              <w:rPr>
                <w:rFonts w:cs="Arial"/>
                <w:szCs w:val="18"/>
              </w:rPr>
              <w:t>Shall be present</w:t>
            </w:r>
            <w:r>
              <w:rPr>
                <w:lang w:eastAsia="zh-CN"/>
              </w:rPr>
              <w:t xml:space="preserve"> if one of the elements in the "listOfAnaSubsets" attribute was set to </w:t>
            </w:r>
            <w:r>
              <w:t>"</w:t>
            </w:r>
            <w:r>
              <w:rPr>
                <w:rFonts w:hint="eastAsia"/>
                <w:lang w:eastAsia="zh-CN"/>
              </w:rPr>
              <w:t>U</w:t>
            </w:r>
            <w:r>
              <w:rPr>
                <w:lang w:eastAsia="zh-CN"/>
              </w:rPr>
              <w:t>E_GEOG_DIST</w:t>
            </w:r>
            <w:r>
              <w:t>".</w:t>
            </w:r>
          </w:p>
        </w:tc>
        <w:tc>
          <w:tcPr>
            <w:tcW w:w="1873" w:type="dxa"/>
            <w:tcBorders>
              <w:top w:val="single" w:sz="6" w:space="0" w:color="auto"/>
              <w:left w:val="single" w:sz="6" w:space="0" w:color="auto"/>
              <w:bottom w:val="single" w:sz="6" w:space="0" w:color="auto"/>
              <w:right w:val="single" w:sz="6" w:space="0" w:color="auto"/>
            </w:tcBorders>
          </w:tcPr>
          <w:p w14:paraId="4C5595BE" w14:textId="77777777" w:rsidR="00640768" w:rsidRDefault="00640768" w:rsidP="00640768">
            <w:pPr>
              <w:pStyle w:val="TAL"/>
              <w:rPr>
                <w:rFonts w:cs="Arial"/>
                <w:szCs w:val="18"/>
              </w:rPr>
            </w:pPr>
          </w:p>
        </w:tc>
      </w:tr>
      <w:tr w:rsidR="00A10B25" w14:paraId="305C7DA5" w14:textId="77777777">
        <w:trPr>
          <w:jc w:val="center"/>
        </w:trPr>
        <w:tc>
          <w:tcPr>
            <w:tcW w:w="1779" w:type="dxa"/>
            <w:tcBorders>
              <w:top w:val="single" w:sz="6" w:space="0" w:color="auto"/>
              <w:left w:val="single" w:sz="6" w:space="0" w:color="auto"/>
              <w:bottom w:val="single" w:sz="6" w:space="0" w:color="auto"/>
              <w:right w:val="single" w:sz="6" w:space="0" w:color="auto"/>
            </w:tcBorders>
          </w:tcPr>
          <w:p w14:paraId="66FC9B05" w14:textId="77777777" w:rsidR="00A10B25" w:rsidRDefault="00A10B25">
            <w:pPr>
              <w:pStyle w:val="TAL"/>
            </w:pPr>
            <w:r>
              <w:t>confidence</w:t>
            </w:r>
          </w:p>
        </w:tc>
        <w:tc>
          <w:tcPr>
            <w:tcW w:w="1554" w:type="dxa"/>
            <w:tcBorders>
              <w:top w:val="single" w:sz="6" w:space="0" w:color="auto"/>
              <w:left w:val="single" w:sz="6" w:space="0" w:color="auto"/>
              <w:bottom w:val="single" w:sz="6" w:space="0" w:color="auto"/>
              <w:right w:val="single" w:sz="6" w:space="0" w:color="auto"/>
            </w:tcBorders>
          </w:tcPr>
          <w:p w14:paraId="03D406C8" w14:textId="77777777" w:rsidR="00A10B25" w:rsidRDefault="00A10B25">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7814D2B6"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51E488D3" w14:textId="77777777" w:rsidR="00A10B25" w:rsidRDefault="00A10B25">
            <w:pPr>
              <w:pStyle w:val="TAL"/>
            </w:pPr>
            <w:r>
              <w:t>0..1</w:t>
            </w:r>
          </w:p>
        </w:tc>
        <w:tc>
          <w:tcPr>
            <w:tcW w:w="2846" w:type="dxa"/>
            <w:tcBorders>
              <w:top w:val="single" w:sz="6" w:space="0" w:color="auto"/>
              <w:left w:val="single" w:sz="6" w:space="0" w:color="auto"/>
              <w:bottom w:val="single" w:sz="6" w:space="0" w:color="auto"/>
              <w:right w:val="single" w:sz="6" w:space="0" w:color="auto"/>
            </w:tcBorders>
          </w:tcPr>
          <w:p w14:paraId="4761F878" w14:textId="77777777" w:rsidR="00A10B25" w:rsidRDefault="00A10B25">
            <w:pPr>
              <w:pStyle w:val="TAL"/>
            </w:pPr>
            <w:r>
              <w:t>Indicates the confidence of the prediction. (NOTE)</w:t>
            </w:r>
          </w:p>
          <w:p w14:paraId="1485EA10" w14:textId="77777777" w:rsidR="00A10B25" w:rsidRDefault="00A10B25">
            <w:pPr>
              <w:pStyle w:val="TAL"/>
            </w:pPr>
            <w:r>
              <w:t>Shall be present if the analytics result is a prediction.</w:t>
            </w:r>
          </w:p>
          <w:p w14:paraId="707132D0" w14:textId="77777777" w:rsidR="00A10B25" w:rsidRDefault="00A10B25">
            <w:pPr>
              <w:pStyle w:val="TAL"/>
            </w:pPr>
            <w:r>
              <w:t>Minimum = 0. Maximum = 100.</w:t>
            </w:r>
          </w:p>
        </w:tc>
        <w:tc>
          <w:tcPr>
            <w:tcW w:w="1873" w:type="dxa"/>
            <w:tcBorders>
              <w:top w:val="single" w:sz="6" w:space="0" w:color="auto"/>
              <w:left w:val="single" w:sz="6" w:space="0" w:color="auto"/>
              <w:bottom w:val="single" w:sz="6" w:space="0" w:color="auto"/>
              <w:right w:val="single" w:sz="6" w:space="0" w:color="auto"/>
            </w:tcBorders>
          </w:tcPr>
          <w:p w14:paraId="41B74EF2" w14:textId="77777777" w:rsidR="00A10B25" w:rsidRDefault="00A10B25">
            <w:pPr>
              <w:pStyle w:val="TAL"/>
              <w:rPr>
                <w:rFonts w:cs="Arial"/>
                <w:szCs w:val="18"/>
              </w:rPr>
            </w:pPr>
          </w:p>
        </w:tc>
      </w:tr>
      <w:tr w:rsidR="00A10B25" w14:paraId="0E2E85FB" w14:textId="77777777">
        <w:trPr>
          <w:jc w:val="center"/>
        </w:trPr>
        <w:tc>
          <w:tcPr>
            <w:tcW w:w="9606" w:type="dxa"/>
            <w:gridSpan w:val="6"/>
            <w:tcBorders>
              <w:top w:val="single" w:sz="6" w:space="0" w:color="auto"/>
              <w:left w:val="single" w:sz="6" w:space="0" w:color="auto"/>
              <w:bottom w:val="single" w:sz="6" w:space="0" w:color="auto"/>
              <w:right w:val="single" w:sz="6" w:space="0" w:color="auto"/>
            </w:tcBorders>
          </w:tcPr>
          <w:p w14:paraId="674CF3B6" w14:textId="77777777" w:rsidR="00A10B25" w:rsidRDefault="00A10B25">
            <w:pPr>
              <w:pStyle w:val="TAN"/>
              <w:rPr>
                <w:rFonts w:cs="Arial"/>
                <w:szCs w:val="18"/>
              </w:rPr>
            </w:pPr>
            <w:r>
              <w:t>NOTE</w:t>
            </w:r>
            <w:r>
              <w:rPr>
                <w:rFonts w:cs="Arial"/>
              </w:rPr>
              <w:t>:</w:t>
            </w:r>
            <w:r>
              <w:rPr>
                <w:rFonts w:cs="Arial"/>
              </w:rPr>
              <w:tab/>
              <w:t>If the requested period identified by the "</w:t>
            </w:r>
            <w:r>
              <w:rPr>
                <w:lang w:eastAsia="zh-CN"/>
              </w:rPr>
              <w:t>tsStart</w:t>
            </w:r>
            <w:r>
              <w:rPr>
                <w:rFonts w:cs="Arial"/>
              </w:rPr>
              <w:t>" and "</w:t>
            </w:r>
            <w:r>
              <w:rPr>
                <w:lang w:eastAsia="zh-CN"/>
              </w:rPr>
              <w:t>tsDuration</w:t>
            </w:r>
            <w:r>
              <w:rPr>
                <w:rFonts w:cs="Arial"/>
              </w:rPr>
              <w:t>" attributes in the "</w:t>
            </w:r>
            <w:r>
              <w:rPr>
                <w:lang w:eastAsia="zh-CN"/>
              </w:rPr>
              <w:t>e2eDataVolTransTimes</w:t>
            </w:r>
            <w:r>
              <w:rPr>
                <w:lang w:eastAsia="en-GB"/>
              </w:rPr>
              <w:t>"</w:t>
            </w:r>
            <w:r>
              <w:rPr>
                <w:lang w:eastAsia="zh-CN"/>
              </w:rPr>
              <w:t xml:space="preserve"> </w:t>
            </w:r>
            <w:r>
              <w:rPr>
                <w:rFonts w:cs="Arial"/>
              </w:rPr>
              <w:t>type leads to future time period, then the analytics result is a prediction. If no sufficient data is collected to provide the confidence of the prediction before the time deadline, the NWDAF shall return a zero confidence.</w:t>
            </w:r>
          </w:p>
        </w:tc>
      </w:tr>
    </w:tbl>
    <w:p w14:paraId="29D6A123" w14:textId="77777777" w:rsidR="00A10B25" w:rsidRDefault="00A10B25">
      <w:pPr>
        <w:rPr>
          <w:rFonts w:eastAsia="等线"/>
          <w:lang w:eastAsia="zh-CN"/>
        </w:rPr>
      </w:pPr>
    </w:p>
    <w:p w14:paraId="29F082F9" w14:textId="77777777" w:rsidR="00A10B25" w:rsidRDefault="00A10B25">
      <w:pPr>
        <w:pStyle w:val="5"/>
      </w:pPr>
      <w:bookmarkStart w:id="7978" w:name="_Toc148522678"/>
      <w:bookmarkStart w:id="7979" w:name="_Toc145705774"/>
      <w:bookmarkStart w:id="7980" w:name="_Toc164920858"/>
      <w:bookmarkStart w:id="7981" w:name="_Toc170120400"/>
      <w:bookmarkStart w:id="7982" w:name="_Toc175858645"/>
      <w:bookmarkStart w:id="7983" w:name="_Toc175859718"/>
      <w:bookmarkStart w:id="7984" w:name="_Toc180606008"/>
      <w:bookmarkStart w:id="7985" w:name="_Toc185517262"/>
      <w:bookmarkStart w:id="7986" w:name="_Toc191576313"/>
      <w:bookmarkStart w:id="7987" w:name="_Toc191577053"/>
      <w:bookmarkStart w:id="7988" w:name="_Toc192880123"/>
      <w:bookmarkStart w:id="7989" w:name="_Toc195815006"/>
      <w:bookmarkStart w:id="7990" w:name="_Toc199452973"/>
      <w:r>
        <w:t>5.1.6.2.84</w:t>
      </w:r>
      <w:r>
        <w:tab/>
        <w:t xml:space="preserve">Type </w:t>
      </w:r>
      <w:r>
        <w:rPr>
          <w:lang w:eastAsia="zh-CN"/>
        </w:rPr>
        <w:t>E2eDataVolTransTimePerTS</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0ADD5A56" w14:textId="77777777" w:rsidR="00A10B25" w:rsidRDefault="00A10B25">
      <w:pPr>
        <w:pStyle w:val="TH"/>
      </w:pPr>
      <w:bookmarkStart w:id="7991" w:name="_Toc136562454"/>
      <w:bookmarkStart w:id="7992" w:name="_Toc138754288"/>
      <w:r>
        <w:t xml:space="preserve">Table 5.1.6.2.84-1: Definition of type </w:t>
      </w:r>
      <w:r>
        <w:rPr>
          <w:bCs/>
          <w:lang w:eastAsia="zh-CN"/>
        </w:rPr>
        <w:t>E2eDataVolTransTimePerTS</w:t>
      </w:r>
    </w:p>
    <w:tbl>
      <w:tblPr>
        <w:tblW w:w="958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89"/>
        <w:gridCol w:w="1555"/>
        <w:gridCol w:w="424"/>
        <w:gridCol w:w="1131"/>
        <w:gridCol w:w="2848"/>
        <w:gridCol w:w="1838"/>
      </w:tblGrid>
      <w:tr w:rsidR="00A10B25" w14:paraId="62EAE4BD"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shd w:val="clear" w:color="auto" w:fill="C0C0C0"/>
          </w:tcPr>
          <w:p w14:paraId="68DF3A7B" w14:textId="77777777" w:rsidR="00A10B25" w:rsidRDefault="00A10B25">
            <w:pPr>
              <w:pStyle w:val="TAH"/>
              <w:ind w:left="400" w:hanging="400"/>
            </w:pPr>
            <w:r>
              <w:t>Attribute name</w:t>
            </w:r>
          </w:p>
        </w:tc>
        <w:tc>
          <w:tcPr>
            <w:tcW w:w="1555" w:type="dxa"/>
            <w:tcBorders>
              <w:top w:val="single" w:sz="6" w:space="0" w:color="auto"/>
              <w:left w:val="single" w:sz="6" w:space="0" w:color="auto"/>
              <w:bottom w:val="single" w:sz="6" w:space="0" w:color="auto"/>
              <w:right w:val="single" w:sz="6" w:space="0" w:color="auto"/>
            </w:tcBorders>
            <w:shd w:val="clear" w:color="auto" w:fill="C0C0C0"/>
          </w:tcPr>
          <w:p w14:paraId="56D36516"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6D9E61F" w14:textId="77777777" w:rsidR="00A10B25" w:rsidRDefault="00A10B25">
            <w:pPr>
              <w:pStyle w:val="TAH"/>
              <w:ind w:left="400" w:hanging="400"/>
            </w:pPr>
            <w:r>
              <w:t>P</w:t>
            </w:r>
          </w:p>
        </w:tc>
        <w:tc>
          <w:tcPr>
            <w:tcW w:w="1131" w:type="dxa"/>
            <w:tcBorders>
              <w:top w:val="single" w:sz="6" w:space="0" w:color="auto"/>
              <w:left w:val="single" w:sz="6" w:space="0" w:color="auto"/>
              <w:bottom w:val="single" w:sz="6" w:space="0" w:color="auto"/>
              <w:right w:val="single" w:sz="6" w:space="0" w:color="auto"/>
            </w:tcBorders>
            <w:shd w:val="clear" w:color="auto" w:fill="C0C0C0"/>
          </w:tcPr>
          <w:p w14:paraId="705DE0AA" w14:textId="77777777" w:rsidR="00A10B25" w:rsidRDefault="00A10B25">
            <w:pPr>
              <w:pStyle w:val="TAH"/>
              <w:ind w:left="400" w:hanging="400"/>
            </w:pPr>
            <w:r>
              <w:t>Cardinality</w:t>
            </w:r>
          </w:p>
        </w:tc>
        <w:tc>
          <w:tcPr>
            <w:tcW w:w="2848" w:type="dxa"/>
            <w:tcBorders>
              <w:top w:val="single" w:sz="6" w:space="0" w:color="auto"/>
              <w:left w:val="single" w:sz="6" w:space="0" w:color="auto"/>
              <w:bottom w:val="single" w:sz="6" w:space="0" w:color="auto"/>
              <w:right w:val="single" w:sz="6" w:space="0" w:color="auto"/>
            </w:tcBorders>
            <w:shd w:val="clear" w:color="auto" w:fill="C0C0C0"/>
          </w:tcPr>
          <w:p w14:paraId="5C80DCCE" w14:textId="77777777" w:rsidR="00A10B25" w:rsidRDefault="00A10B25">
            <w:pPr>
              <w:pStyle w:val="TAH"/>
              <w:ind w:left="400" w:hanging="400"/>
            </w:pPr>
            <w:r>
              <w:t>Description</w:t>
            </w:r>
          </w:p>
        </w:tc>
        <w:tc>
          <w:tcPr>
            <w:tcW w:w="1838" w:type="dxa"/>
            <w:tcBorders>
              <w:top w:val="single" w:sz="6" w:space="0" w:color="auto"/>
              <w:left w:val="single" w:sz="6" w:space="0" w:color="auto"/>
              <w:bottom w:val="single" w:sz="6" w:space="0" w:color="auto"/>
              <w:right w:val="single" w:sz="6" w:space="0" w:color="auto"/>
            </w:tcBorders>
            <w:shd w:val="clear" w:color="auto" w:fill="C0C0C0"/>
          </w:tcPr>
          <w:p w14:paraId="56A3BF33" w14:textId="77777777" w:rsidR="00A10B25" w:rsidRDefault="00A10B25">
            <w:pPr>
              <w:pStyle w:val="TAH"/>
              <w:ind w:left="400" w:hanging="400"/>
            </w:pPr>
            <w:r>
              <w:t>Applicability</w:t>
            </w:r>
          </w:p>
        </w:tc>
      </w:tr>
      <w:tr w:rsidR="00A10B25" w14:paraId="64F489F4"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tcPr>
          <w:p w14:paraId="6855FF00" w14:textId="77777777" w:rsidR="00A10B25" w:rsidRDefault="00A10B25">
            <w:pPr>
              <w:pStyle w:val="TAL"/>
              <w:rPr>
                <w:bCs/>
                <w:lang w:eastAsia="zh-CN"/>
              </w:rPr>
            </w:pPr>
            <w:r>
              <w:rPr>
                <w:lang w:eastAsia="zh-CN"/>
              </w:rPr>
              <w:t>tsStart</w:t>
            </w:r>
          </w:p>
        </w:tc>
        <w:tc>
          <w:tcPr>
            <w:tcW w:w="1555" w:type="dxa"/>
            <w:tcBorders>
              <w:top w:val="single" w:sz="6" w:space="0" w:color="auto"/>
              <w:left w:val="single" w:sz="6" w:space="0" w:color="auto"/>
              <w:bottom w:val="single" w:sz="6" w:space="0" w:color="auto"/>
              <w:right w:val="single" w:sz="6" w:space="0" w:color="auto"/>
            </w:tcBorders>
          </w:tcPr>
          <w:p w14:paraId="462482C2" w14:textId="77777777" w:rsidR="00A10B25" w:rsidRDefault="00A10B25">
            <w:pPr>
              <w:pStyle w:val="TAL"/>
              <w:rPr>
                <w:bCs/>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01B92B91" w14:textId="77777777" w:rsidR="00A10B25" w:rsidRDefault="00A10B25">
            <w:pPr>
              <w:pStyle w:val="TAC"/>
            </w:pPr>
            <w:r>
              <w:t>M</w:t>
            </w:r>
          </w:p>
        </w:tc>
        <w:tc>
          <w:tcPr>
            <w:tcW w:w="1131" w:type="dxa"/>
            <w:tcBorders>
              <w:top w:val="single" w:sz="6" w:space="0" w:color="auto"/>
              <w:left w:val="single" w:sz="6" w:space="0" w:color="auto"/>
              <w:bottom w:val="single" w:sz="6" w:space="0" w:color="auto"/>
              <w:right w:val="single" w:sz="6" w:space="0" w:color="auto"/>
            </w:tcBorders>
          </w:tcPr>
          <w:p w14:paraId="37C8FA0C" w14:textId="77777777" w:rsidR="00A10B25" w:rsidRDefault="00A10B25">
            <w:pPr>
              <w:pStyle w:val="TAL"/>
            </w:pPr>
            <w:r>
              <w:t>1</w:t>
            </w:r>
          </w:p>
        </w:tc>
        <w:tc>
          <w:tcPr>
            <w:tcW w:w="2848" w:type="dxa"/>
            <w:tcBorders>
              <w:top w:val="single" w:sz="6" w:space="0" w:color="auto"/>
              <w:left w:val="single" w:sz="6" w:space="0" w:color="auto"/>
              <w:bottom w:val="single" w:sz="6" w:space="0" w:color="auto"/>
              <w:right w:val="single" w:sz="6" w:space="0" w:color="auto"/>
            </w:tcBorders>
          </w:tcPr>
          <w:p w14:paraId="342D63D2" w14:textId="77777777" w:rsidR="00A10B25" w:rsidRDefault="00A10B25">
            <w:pPr>
              <w:pStyle w:val="TAL"/>
              <w:rPr>
                <w:rFonts w:cs="Arial"/>
                <w:szCs w:val="18"/>
              </w:rPr>
            </w:pPr>
            <w:r>
              <w:rPr>
                <w:rFonts w:cs="Arial"/>
                <w:szCs w:val="18"/>
              </w:rPr>
              <w:t>Indicates the timestamp when the time slot starts during the Analytics target period.</w:t>
            </w:r>
          </w:p>
        </w:tc>
        <w:tc>
          <w:tcPr>
            <w:tcW w:w="1838" w:type="dxa"/>
            <w:tcBorders>
              <w:top w:val="single" w:sz="6" w:space="0" w:color="auto"/>
              <w:left w:val="single" w:sz="6" w:space="0" w:color="auto"/>
              <w:bottom w:val="single" w:sz="6" w:space="0" w:color="auto"/>
              <w:right w:val="single" w:sz="6" w:space="0" w:color="auto"/>
            </w:tcBorders>
          </w:tcPr>
          <w:p w14:paraId="4C5B4861" w14:textId="77777777" w:rsidR="00A10B25" w:rsidRDefault="00A10B25">
            <w:pPr>
              <w:pStyle w:val="TAL"/>
              <w:rPr>
                <w:rFonts w:cs="Arial"/>
                <w:szCs w:val="18"/>
              </w:rPr>
            </w:pPr>
          </w:p>
        </w:tc>
      </w:tr>
      <w:tr w:rsidR="00A10B25" w14:paraId="70FFA032"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tcPr>
          <w:p w14:paraId="145D31E1" w14:textId="77777777" w:rsidR="00A10B25" w:rsidRDefault="00A10B25">
            <w:pPr>
              <w:pStyle w:val="TAL"/>
              <w:rPr>
                <w:bCs/>
                <w:lang w:eastAsia="zh-CN"/>
              </w:rPr>
            </w:pPr>
            <w:r>
              <w:rPr>
                <w:lang w:eastAsia="zh-CN"/>
              </w:rPr>
              <w:t>tsDuration</w:t>
            </w:r>
          </w:p>
        </w:tc>
        <w:tc>
          <w:tcPr>
            <w:tcW w:w="1555" w:type="dxa"/>
            <w:tcBorders>
              <w:top w:val="single" w:sz="6" w:space="0" w:color="auto"/>
              <w:left w:val="single" w:sz="6" w:space="0" w:color="auto"/>
              <w:bottom w:val="single" w:sz="6" w:space="0" w:color="auto"/>
              <w:right w:val="single" w:sz="6" w:space="0" w:color="auto"/>
            </w:tcBorders>
          </w:tcPr>
          <w:p w14:paraId="564F4F37" w14:textId="77777777" w:rsidR="00A10B25" w:rsidRDefault="00A10B25">
            <w:pPr>
              <w:pStyle w:val="TAL"/>
              <w:rPr>
                <w:bCs/>
                <w:lang w:eastAsia="zh-CN"/>
              </w:rPr>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3B9EDFF3" w14:textId="77777777" w:rsidR="00A10B25" w:rsidRDefault="00A10B25">
            <w:pPr>
              <w:pStyle w:val="TAC"/>
            </w:pPr>
            <w:r>
              <w:t>M</w:t>
            </w:r>
          </w:p>
        </w:tc>
        <w:tc>
          <w:tcPr>
            <w:tcW w:w="1131" w:type="dxa"/>
            <w:tcBorders>
              <w:top w:val="single" w:sz="6" w:space="0" w:color="auto"/>
              <w:left w:val="single" w:sz="6" w:space="0" w:color="auto"/>
              <w:bottom w:val="single" w:sz="6" w:space="0" w:color="auto"/>
              <w:right w:val="single" w:sz="6" w:space="0" w:color="auto"/>
            </w:tcBorders>
          </w:tcPr>
          <w:p w14:paraId="5902477D" w14:textId="77777777" w:rsidR="00A10B25" w:rsidRDefault="00A10B25">
            <w:pPr>
              <w:pStyle w:val="TAL"/>
            </w:pPr>
            <w:r>
              <w:t>1</w:t>
            </w:r>
          </w:p>
        </w:tc>
        <w:tc>
          <w:tcPr>
            <w:tcW w:w="2848" w:type="dxa"/>
            <w:tcBorders>
              <w:top w:val="single" w:sz="6" w:space="0" w:color="auto"/>
              <w:left w:val="single" w:sz="6" w:space="0" w:color="auto"/>
              <w:bottom w:val="single" w:sz="6" w:space="0" w:color="auto"/>
              <w:right w:val="single" w:sz="6" w:space="0" w:color="auto"/>
            </w:tcBorders>
          </w:tcPr>
          <w:p w14:paraId="477D7AEC" w14:textId="77777777" w:rsidR="00A10B25" w:rsidRDefault="00A10B25">
            <w:pPr>
              <w:pStyle w:val="TAL"/>
              <w:rPr>
                <w:rFonts w:cs="Arial"/>
                <w:szCs w:val="18"/>
              </w:rPr>
            </w:pPr>
            <w:r>
              <w:rPr>
                <w:rFonts w:cs="Arial"/>
                <w:szCs w:val="18"/>
              </w:rPr>
              <w:t xml:space="preserve">Indicates the time slot duration of </w:t>
            </w:r>
            <w:r>
              <w:t>Analytics target period</w:t>
            </w:r>
            <w:r>
              <w:rPr>
                <w:rFonts w:cs="Arial"/>
                <w:szCs w:val="18"/>
              </w:rPr>
              <w:t>.</w:t>
            </w:r>
          </w:p>
        </w:tc>
        <w:tc>
          <w:tcPr>
            <w:tcW w:w="1838" w:type="dxa"/>
            <w:tcBorders>
              <w:top w:val="single" w:sz="6" w:space="0" w:color="auto"/>
              <w:left w:val="single" w:sz="6" w:space="0" w:color="auto"/>
              <w:bottom w:val="single" w:sz="6" w:space="0" w:color="auto"/>
              <w:right w:val="single" w:sz="6" w:space="0" w:color="auto"/>
            </w:tcBorders>
          </w:tcPr>
          <w:p w14:paraId="33E19AE2" w14:textId="77777777" w:rsidR="00A10B25" w:rsidRDefault="00A10B25">
            <w:pPr>
              <w:pStyle w:val="TAL"/>
              <w:rPr>
                <w:rFonts w:cs="Arial"/>
                <w:szCs w:val="18"/>
              </w:rPr>
            </w:pPr>
          </w:p>
        </w:tc>
      </w:tr>
      <w:tr w:rsidR="00A10B25" w14:paraId="662B1710" w14:textId="77777777" w:rsidTr="0076721C">
        <w:trPr>
          <w:jc w:val="center"/>
        </w:trPr>
        <w:tc>
          <w:tcPr>
            <w:tcW w:w="1789" w:type="dxa"/>
            <w:tcBorders>
              <w:top w:val="single" w:sz="6" w:space="0" w:color="auto"/>
              <w:left w:val="single" w:sz="6" w:space="0" w:color="auto"/>
              <w:bottom w:val="single" w:sz="6" w:space="0" w:color="auto"/>
              <w:right w:val="single" w:sz="6" w:space="0" w:color="auto"/>
            </w:tcBorders>
          </w:tcPr>
          <w:p w14:paraId="19B1A50A" w14:textId="77777777" w:rsidR="00A10B25" w:rsidRDefault="00A10B25">
            <w:pPr>
              <w:pStyle w:val="TAL"/>
              <w:rPr>
                <w:lang w:eastAsia="zh-CN"/>
              </w:rPr>
            </w:pPr>
            <w:r>
              <w:rPr>
                <w:bCs/>
                <w:lang w:eastAsia="zh-CN"/>
              </w:rPr>
              <w:t>e2eDataVolTransTimePerUe</w:t>
            </w:r>
          </w:p>
        </w:tc>
        <w:tc>
          <w:tcPr>
            <w:tcW w:w="1555" w:type="dxa"/>
            <w:tcBorders>
              <w:top w:val="single" w:sz="6" w:space="0" w:color="auto"/>
              <w:left w:val="single" w:sz="6" w:space="0" w:color="auto"/>
              <w:bottom w:val="single" w:sz="6" w:space="0" w:color="auto"/>
              <w:right w:val="single" w:sz="6" w:space="0" w:color="auto"/>
            </w:tcBorders>
          </w:tcPr>
          <w:p w14:paraId="4F15224F" w14:textId="77777777" w:rsidR="00A10B25" w:rsidRDefault="00A10B25">
            <w:pPr>
              <w:pStyle w:val="TAL"/>
              <w:rPr>
                <w:lang w:eastAsia="zh-CN"/>
              </w:rPr>
            </w:pPr>
            <w:r>
              <w:rPr>
                <w:bCs/>
                <w:lang w:eastAsia="zh-CN"/>
              </w:rPr>
              <w:t>array (E2eDataVolTransTimePerUe)</w:t>
            </w:r>
          </w:p>
        </w:tc>
        <w:tc>
          <w:tcPr>
            <w:tcW w:w="424" w:type="dxa"/>
            <w:tcBorders>
              <w:top w:val="single" w:sz="6" w:space="0" w:color="auto"/>
              <w:left w:val="single" w:sz="6" w:space="0" w:color="auto"/>
              <w:bottom w:val="single" w:sz="6" w:space="0" w:color="auto"/>
              <w:right w:val="single" w:sz="6" w:space="0" w:color="auto"/>
            </w:tcBorders>
          </w:tcPr>
          <w:p w14:paraId="78D21AF2" w14:textId="77777777" w:rsidR="00A10B25" w:rsidRDefault="00A10B25">
            <w:pPr>
              <w:pStyle w:val="TAC"/>
              <w:rPr>
                <w:b/>
                <w:bCs/>
              </w:rPr>
            </w:pPr>
            <w:r>
              <w:t>M</w:t>
            </w:r>
          </w:p>
        </w:tc>
        <w:tc>
          <w:tcPr>
            <w:tcW w:w="1131" w:type="dxa"/>
            <w:tcBorders>
              <w:top w:val="single" w:sz="6" w:space="0" w:color="auto"/>
              <w:left w:val="single" w:sz="6" w:space="0" w:color="auto"/>
              <w:bottom w:val="single" w:sz="6" w:space="0" w:color="auto"/>
              <w:right w:val="single" w:sz="6" w:space="0" w:color="auto"/>
            </w:tcBorders>
          </w:tcPr>
          <w:p w14:paraId="2F60A57C" w14:textId="77777777" w:rsidR="00A10B25" w:rsidRDefault="00A10B25">
            <w:pPr>
              <w:pStyle w:val="TAL"/>
            </w:pPr>
            <w:r>
              <w:t>1..N</w:t>
            </w:r>
          </w:p>
        </w:tc>
        <w:tc>
          <w:tcPr>
            <w:tcW w:w="2848" w:type="dxa"/>
            <w:tcBorders>
              <w:top w:val="single" w:sz="6" w:space="0" w:color="auto"/>
              <w:left w:val="single" w:sz="6" w:space="0" w:color="auto"/>
              <w:bottom w:val="single" w:sz="6" w:space="0" w:color="auto"/>
              <w:right w:val="single" w:sz="6" w:space="0" w:color="auto"/>
            </w:tcBorders>
          </w:tcPr>
          <w:p w14:paraId="29B94B5B" w14:textId="77777777" w:rsidR="00A10B25" w:rsidRDefault="00A10B25">
            <w:pPr>
              <w:pStyle w:val="TAL"/>
              <w:rPr>
                <w:rFonts w:cs="Arial"/>
                <w:szCs w:val="18"/>
              </w:rPr>
            </w:pPr>
            <w:r>
              <w:rPr>
                <w:rFonts w:cs="Arial"/>
                <w:szCs w:val="18"/>
              </w:rPr>
              <w:t xml:space="preserve">Represents the </w:t>
            </w:r>
            <w:r>
              <w:t>E2E data volume transfer time</w:t>
            </w:r>
            <w:r>
              <w:rPr>
                <w:rFonts w:cs="Arial"/>
              </w:rPr>
              <w:t xml:space="preserve"> per UE</w:t>
            </w:r>
            <w:r>
              <w:rPr>
                <w:rFonts w:cs="Arial"/>
                <w:szCs w:val="18"/>
              </w:rPr>
              <w:t>.</w:t>
            </w:r>
          </w:p>
        </w:tc>
        <w:tc>
          <w:tcPr>
            <w:tcW w:w="1838" w:type="dxa"/>
            <w:tcBorders>
              <w:top w:val="single" w:sz="6" w:space="0" w:color="auto"/>
              <w:left w:val="single" w:sz="6" w:space="0" w:color="auto"/>
              <w:bottom w:val="single" w:sz="6" w:space="0" w:color="auto"/>
              <w:right w:val="single" w:sz="6" w:space="0" w:color="auto"/>
            </w:tcBorders>
          </w:tcPr>
          <w:p w14:paraId="448CBC92" w14:textId="77777777" w:rsidR="00A10B25" w:rsidRDefault="00A10B25">
            <w:pPr>
              <w:pStyle w:val="TAL"/>
              <w:rPr>
                <w:rFonts w:cs="Arial"/>
                <w:szCs w:val="18"/>
              </w:rPr>
            </w:pPr>
          </w:p>
        </w:tc>
      </w:tr>
    </w:tbl>
    <w:p w14:paraId="1E209B7A" w14:textId="77777777" w:rsidR="00A10B25" w:rsidRDefault="00A10B25"/>
    <w:p w14:paraId="63F968EA" w14:textId="77777777" w:rsidR="00A10B25" w:rsidRDefault="00A10B25">
      <w:pPr>
        <w:pStyle w:val="5"/>
      </w:pPr>
      <w:bookmarkStart w:id="7993" w:name="_Toc145705775"/>
      <w:bookmarkStart w:id="7994" w:name="_Toc148522679"/>
      <w:bookmarkStart w:id="7995" w:name="_Toc164920859"/>
      <w:bookmarkStart w:id="7996" w:name="_Toc170120401"/>
      <w:bookmarkStart w:id="7997" w:name="_Toc175858646"/>
      <w:bookmarkStart w:id="7998" w:name="_Toc175859719"/>
      <w:bookmarkStart w:id="7999" w:name="_Toc180606009"/>
      <w:bookmarkStart w:id="8000" w:name="_Toc185517263"/>
      <w:bookmarkStart w:id="8001" w:name="_Toc191576314"/>
      <w:bookmarkStart w:id="8002" w:name="_Toc191577054"/>
      <w:bookmarkStart w:id="8003" w:name="_Toc192880124"/>
      <w:bookmarkStart w:id="8004" w:name="_Toc195815007"/>
      <w:bookmarkStart w:id="8005" w:name="_Toc199452974"/>
      <w:r>
        <w:t>5.1.6.2.85</w:t>
      </w:r>
      <w:r>
        <w:tab/>
        <w:t>Type DataVolume</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723AD1CA" w14:textId="77777777" w:rsidR="00A10B25" w:rsidRDefault="00A10B25">
      <w:pPr>
        <w:pStyle w:val="TH"/>
      </w:pPr>
      <w:r>
        <w:t>Table 5.1.6.2.85-1: Definition of type DataVolume</w:t>
      </w:r>
    </w:p>
    <w:tbl>
      <w:tblPr>
        <w:tblW w:w="9727"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640"/>
        <w:gridCol w:w="447"/>
        <w:gridCol w:w="1193"/>
        <w:gridCol w:w="3004"/>
        <w:gridCol w:w="1939"/>
      </w:tblGrid>
      <w:tr w:rsidR="00A10B25" w14:paraId="6ABAACC2" w14:textId="77777777" w:rsidTr="0076721C">
        <w:trPr>
          <w:jc w:val="center"/>
        </w:trPr>
        <w:tc>
          <w:tcPr>
            <w:tcW w:w="1504" w:type="dxa"/>
            <w:shd w:val="clear" w:color="auto" w:fill="D0CECE"/>
          </w:tcPr>
          <w:p w14:paraId="558F2B17" w14:textId="77777777" w:rsidR="00A10B25" w:rsidRDefault="00A10B25">
            <w:pPr>
              <w:pStyle w:val="TAH"/>
              <w:ind w:left="400" w:hanging="400"/>
            </w:pPr>
            <w:r>
              <w:t>Attribute name</w:t>
            </w:r>
          </w:p>
        </w:tc>
        <w:tc>
          <w:tcPr>
            <w:tcW w:w="1640" w:type="dxa"/>
            <w:shd w:val="clear" w:color="auto" w:fill="D0CECE"/>
          </w:tcPr>
          <w:p w14:paraId="7075032B" w14:textId="77777777" w:rsidR="00A10B25" w:rsidRDefault="00A10B25">
            <w:pPr>
              <w:pStyle w:val="TAH"/>
              <w:ind w:left="400" w:hanging="400"/>
            </w:pPr>
            <w:r>
              <w:t>Data type</w:t>
            </w:r>
          </w:p>
        </w:tc>
        <w:tc>
          <w:tcPr>
            <w:tcW w:w="447" w:type="dxa"/>
            <w:shd w:val="clear" w:color="auto" w:fill="D0CECE"/>
          </w:tcPr>
          <w:p w14:paraId="54078573" w14:textId="77777777" w:rsidR="00A10B25" w:rsidRDefault="00A10B25">
            <w:pPr>
              <w:pStyle w:val="TAH"/>
              <w:ind w:left="400" w:hanging="400"/>
            </w:pPr>
            <w:r>
              <w:t>P</w:t>
            </w:r>
          </w:p>
        </w:tc>
        <w:tc>
          <w:tcPr>
            <w:tcW w:w="1193" w:type="dxa"/>
            <w:shd w:val="clear" w:color="auto" w:fill="D0CECE"/>
          </w:tcPr>
          <w:p w14:paraId="3F977E4B" w14:textId="77777777" w:rsidR="00A10B25" w:rsidRDefault="00A10B25">
            <w:pPr>
              <w:pStyle w:val="TAH"/>
              <w:ind w:left="400" w:hanging="400"/>
            </w:pPr>
            <w:r>
              <w:t>Cardinality</w:t>
            </w:r>
          </w:p>
        </w:tc>
        <w:tc>
          <w:tcPr>
            <w:tcW w:w="3004" w:type="dxa"/>
            <w:shd w:val="clear" w:color="auto" w:fill="D0CECE"/>
          </w:tcPr>
          <w:p w14:paraId="31D4E434" w14:textId="77777777" w:rsidR="00A10B25" w:rsidRDefault="00A10B25">
            <w:pPr>
              <w:pStyle w:val="TAH"/>
              <w:ind w:left="400" w:hanging="400"/>
            </w:pPr>
            <w:r>
              <w:t>Description</w:t>
            </w:r>
          </w:p>
        </w:tc>
        <w:tc>
          <w:tcPr>
            <w:tcW w:w="1939" w:type="dxa"/>
            <w:shd w:val="clear" w:color="auto" w:fill="D0CECE"/>
          </w:tcPr>
          <w:p w14:paraId="4F437A61" w14:textId="77777777" w:rsidR="00A10B25" w:rsidRDefault="00A10B25">
            <w:pPr>
              <w:pStyle w:val="TAH"/>
              <w:ind w:left="400" w:hanging="400"/>
            </w:pPr>
            <w:r>
              <w:t>Applicability</w:t>
            </w:r>
          </w:p>
        </w:tc>
      </w:tr>
      <w:tr w:rsidR="00A10B25" w14:paraId="6B563994" w14:textId="77777777" w:rsidTr="0076721C">
        <w:trPr>
          <w:jc w:val="center"/>
        </w:trPr>
        <w:tc>
          <w:tcPr>
            <w:tcW w:w="1504" w:type="dxa"/>
          </w:tcPr>
          <w:p w14:paraId="1682804C" w14:textId="77777777" w:rsidR="00A10B25" w:rsidRDefault="00A10B25">
            <w:pPr>
              <w:pStyle w:val="TAL"/>
              <w:rPr>
                <w:lang w:eastAsia="zh-CN"/>
              </w:rPr>
            </w:pPr>
            <w:r>
              <w:rPr>
                <w:lang w:eastAsia="zh-CN"/>
              </w:rPr>
              <w:t>uplinkVolume</w:t>
            </w:r>
          </w:p>
        </w:tc>
        <w:tc>
          <w:tcPr>
            <w:tcW w:w="1640" w:type="dxa"/>
          </w:tcPr>
          <w:p w14:paraId="278093B7" w14:textId="77777777" w:rsidR="00A10B25" w:rsidRDefault="00A10B25">
            <w:pPr>
              <w:pStyle w:val="TAL"/>
              <w:rPr>
                <w:lang w:eastAsia="zh-CN"/>
              </w:rPr>
            </w:pPr>
            <w:r>
              <w:rPr>
                <w:lang w:eastAsia="zh-CN"/>
              </w:rPr>
              <w:t>Volume</w:t>
            </w:r>
          </w:p>
        </w:tc>
        <w:tc>
          <w:tcPr>
            <w:tcW w:w="447" w:type="dxa"/>
          </w:tcPr>
          <w:p w14:paraId="0AAF9E7D" w14:textId="77777777" w:rsidR="00A10B25" w:rsidRDefault="00A10B25">
            <w:pPr>
              <w:pStyle w:val="TAC"/>
            </w:pPr>
            <w:r>
              <w:t>C</w:t>
            </w:r>
          </w:p>
        </w:tc>
        <w:tc>
          <w:tcPr>
            <w:tcW w:w="1193" w:type="dxa"/>
          </w:tcPr>
          <w:p w14:paraId="0E5FCE12" w14:textId="77777777" w:rsidR="00A10B25" w:rsidRDefault="00A10B25">
            <w:pPr>
              <w:pStyle w:val="TAL"/>
            </w:pPr>
            <w:r>
              <w:t>0..1</w:t>
            </w:r>
          </w:p>
        </w:tc>
        <w:tc>
          <w:tcPr>
            <w:tcW w:w="3004" w:type="dxa"/>
          </w:tcPr>
          <w:p w14:paraId="0C7145E9" w14:textId="77777777" w:rsidR="00A10B25" w:rsidRDefault="00A10B25">
            <w:pPr>
              <w:pStyle w:val="TAL"/>
              <w:rPr>
                <w:rFonts w:cs="Arial"/>
                <w:szCs w:val="18"/>
              </w:rPr>
            </w:pPr>
            <w:r>
              <w:rPr>
                <w:rFonts w:cs="Arial"/>
                <w:szCs w:val="18"/>
              </w:rPr>
              <w:t>Uplink traffic volume in unit of octet.</w:t>
            </w:r>
          </w:p>
        </w:tc>
        <w:tc>
          <w:tcPr>
            <w:tcW w:w="1939" w:type="dxa"/>
          </w:tcPr>
          <w:p w14:paraId="7093A60D" w14:textId="77777777" w:rsidR="00A10B25" w:rsidRDefault="00A10B25">
            <w:pPr>
              <w:pStyle w:val="TAL"/>
              <w:rPr>
                <w:rFonts w:cs="Arial"/>
                <w:szCs w:val="18"/>
              </w:rPr>
            </w:pPr>
          </w:p>
        </w:tc>
      </w:tr>
      <w:tr w:rsidR="00A10B25" w14:paraId="39077472" w14:textId="77777777" w:rsidTr="0076721C">
        <w:trPr>
          <w:jc w:val="center"/>
        </w:trPr>
        <w:tc>
          <w:tcPr>
            <w:tcW w:w="1504" w:type="dxa"/>
          </w:tcPr>
          <w:p w14:paraId="65EBE284" w14:textId="77777777" w:rsidR="00A10B25" w:rsidRDefault="00A10B25">
            <w:pPr>
              <w:pStyle w:val="TAL"/>
              <w:rPr>
                <w:lang w:eastAsia="zh-CN"/>
              </w:rPr>
            </w:pPr>
            <w:r>
              <w:rPr>
                <w:lang w:eastAsia="zh-CN"/>
              </w:rPr>
              <w:t>downlinkVolume</w:t>
            </w:r>
          </w:p>
        </w:tc>
        <w:tc>
          <w:tcPr>
            <w:tcW w:w="1640" w:type="dxa"/>
          </w:tcPr>
          <w:p w14:paraId="255DD69E" w14:textId="77777777" w:rsidR="00A10B25" w:rsidRDefault="00A10B25">
            <w:pPr>
              <w:pStyle w:val="TAL"/>
              <w:rPr>
                <w:lang w:eastAsia="zh-CN"/>
              </w:rPr>
            </w:pPr>
            <w:r>
              <w:rPr>
                <w:lang w:eastAsia="zh-CN"/>
              </w:rPr>
              <w:t>Volume</w:t>
            </w:r>
          </w:p>
        </w:tc>
        <w:tc>
          <w:tcPr>
            <w:tcW w:w="447" w:type="dxa"/>
          </w:tcPr>
          <w:p w14:paraId="1BFF3E1F" w14:textId="77777777" w:rsidR="00A10B25" w:rsidRDefault="00A10B25">
            <w:pPr>
              <w:pStyle w:val="TAC"/>
            </w:pPr>
            <w:r>
              <w:t>C</w:t>
            </w:r>
          </w:p>
        </w:tc>
        <w:tc>
          <w:tcPr>
            <w:tcW w:w="1193" w:type="dxa"/>
          </w:tcPr>
          <w:p w14:paraId="29FEF31F" w14:textId="77777777" w:rsidR="00A10B25" w:rsidRDefault="00A10B25">
            <w:pPr>
              <w:pStyle w:val="TAL"/>
            </w:pPr>
            <w:r>
              <w:t>0..1</w:t>
            </w:r>
          </w:p>
        </w:tc>
        <w:tc>
          <w:tcPr>
            <w:tcW w:w="3004" w:type="dxa"/>
          </w:tcPr>
          <w:p w14:paraId="34C1A728" w14:textId="77777777" w:rsidR="00A10B25" w:rsidRDefault="00A10B25">
            <w:pPr>
              <w:pStyle w:val="TAL"/>
              <w:rPr>
                <w:rFonts w:cs="Arial"/>
                <w:szCs w:val="18"/>
              </w:rPr>
            </w:pPr>
            <w:r>
              <w:rPr>
                <w:rFonts w:cs="Arial"/>
                <w:szCs w:val="18"/>
              </w:rPr>
              <w:t>Downlink traffic volume in unit of octet.</w:t>
            </w:r>
          </w:p>
        </w:tc>
        <w:tc>
          <w:tcPr>
            <w:tcW w:w="1939" w:type="dxa"/>
          </w:tcPr>
          <w:p w14:paraId="04367A88" w14:textId="77777777" w:rsidR="00A10B25" w:rsidRDefault="00A10B25">
            <w:pPr>
              <w:pStyle w:val="TAL"/>
              <w:rPr>
                <w:rFonts w:cs="Arial"/>
                <w:szCs w:val="18"/>
              </w:rPr>
            </w:pPr>
          </w:p>
        </w:tc>
      </w:tr>
      <w:tr w:rsidR="00A10B25" w14:paraId="38000C88" w14:textId="77777777" w:rsidTr="0076721C">
        <w:trPr>
          <w:jc w:val="center"/>
        </w:trPr>
        <w:tc>
          <w:tcPr>
            <w:tcW w:w="9727" w:type="dxa"/>
            <w:gridSpan w:val="6"/>
          </w:tcPr>
          <w:p w14:paraId="6E0B065D" w14:textId="77777777" w:rsidR="00A10B25" w:rsidRDefault="00A10B25">
            <w:pPr>
              <w:pStyle w:val="TAN"/>
              <w:ind w:left="400" w:hanging="400"/>
              <w:rPr>
                <w:rFonts w:cs="Arial"/>
                <w:szCs w:val="18"/>
              </w:rPr>
            </w:pPr>
            <w:r>
              <w:rPr>
                <w:rFonts w:cs="Arial"/>
              </w:rPr>
              <w:t>NOTE:</w:t>
            </w:r>
            <w:r>
              <w:rPr>
                <w:rFonts w:cs="Arial"/>
              </w:rPr>
              <w:tab/>
              <w:t>At least one of above attributes shall be present.</w:t>
            </w:r>
          </w:p>
        </w:tc>
      </w:tr>
    </w:tbl>
    <w:p w14:paraId="74ED82DD" w14:textId="77777777" w:rsidR="00A10B25" w:rsidRDefault="00A10B25">
      <w:pPr>
        <w:rPr>
          <w:lang w:eastAsia="zh-CN"/>
        </w:rPr>
      </w:pPr>
    </w:p>
    <w:p w14:paraId="56C240BC" w14:textId="77777777" w:rsidR="005E22F6" w:rsidRDefault="005E22F6" w:rsidP="005E22F6">
      <w:pPr>
        <w:pStyle w:val="5"/>
      </w:pPr>
      <w:bookmarkStart w:id="8006" w:name="_Toc138754290"/>
      <w:bookmarkStart w:id="8007" w:name="_Toc145705777"/>
      <w:bookmarkStart w:id="8008" w:name="_Toc136562456"/>
      <w:bookmarkStart w:id="8009" w:name="_Toc148522681"/>
      <w:bookmarkStart w:id="8010" w:name="_Toc145705776"/>
      <w:bookmarkStart w:id="8011" w:name="_Toc138754289"/>
      <w:bookmarkStart w:id="8012" w:name="_Toc136562455"/>
      <w:bookmarkStart w:id="8013" w:name="_Toc148522680"/>
      <w:bookmarkStart w:id="8014" w:name="_Toc164920860"/>
      <w:bookmarkStart w:id="8015" w:name="_Toc170120402"/>
      <w:bookmarkStart w:id="8016" w:name="_Toc175858647"/>
      <w:bookmarkStart w:id="8017" w:name="_Toc175859720"/>
      <w:bookmarkStart w:id="8018" w:name="_Toc180606010"/>
      <w:bookmarkStart w:id="8019" w:name="_Toc185517264"/>
      <w:bookmarkStart w:id="8020" w:name="_Toc191576315"/>
      <w:bookmarkStart w:id="8021" w:name="_Toc191577055"/>
      <w:bookmarkStart w:id="8022" w:name="_Toc192880125"/>
      <w:bookmarkStart w:id="8023" w:name="_Toc195815008"/>
      <w:bookmarkStart w:id="8024" w:name="_Toc199452975"/>
      <w:r>
        <w:lastRenderedPageBreak/>
        <w:t>5.1.6.2.86</w:t>
      </w:r>
      <w:r>
        <w:tab/>
        <w:t xml:space="preserve">Type </w:t>
      </w:r>
      <w:r>
        <w:rPr>
          <w:lang w:eastAsia="zh-CN"/>
        </w:rPr>
        <w:t>E2eDataVolTransTimePerUe</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753A4E3A" w14:textId="77777777" w:rsidR="005E22F6" w:rsidRDefault="005E22F6" w:rsidP="005E22F6">
      <w:pPr>
        <w:pStyle w:val="TH"/>
      </w:pPr>
      <w:r>
        <w:t xml:space="preserve">Table 5.1.6.2.86-1: Definition of type </w:t>
      </w:r>
      <w:r>
        <w:rPr>
          <w:bCs/>
          <w:lang w:eastAsia="zh-CN"/>
        </w:rPr>
        <w:t>E2eDataVolTransTimePerUe</w:t>
      </w:r>
    </w:p>
    <w:tbl>
      <w:tblPr>
        <w:tblW w:w="937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7"/>
        <w:gridCol w:w="1259"/>
        <w:gridCol w:w="567"/>
        <w:gridCol w:w="1417"/>
        <w:gridCol w:w="3672"/>
        <w:gridCol w:w="1033"/>
      </w:tblGrid>
      <w:tr w:rsidR="005E22F6" w14:paraId="50253F15"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shd w:val="clear" w:color="auto" w:fill="C0C0C0"/>
          </w:tcPr>
          <w:p w14:paraId="58D7F06B" w14:textId="77777777" w:rsidR="005E22F6" w:rsidRDefault="005E22F6" w:rsidP="005A20DD">
            <w:pPr>
              <w:pStyle w:val="TAH"/>
              <w:ind w:left="400" w:hanging="400"/>
            </w:pPr>
            <w:r>
              <w:t>Attribute name</w:t>
            </w:r>
          </w:p>
        </w:tc>
        <w:tc>
          <w:tcPr>
            <w:tcW w:w="1259" w:type="dxa"/>
            <w:tcBorders>
              <w:top w:val="single" w:sz="6" w:space="0" w:color="auto"/>
              <w:left w:val="single" w:sz="6" w:space="0" w:color="auto"/>
              <w:bottom w:val="single" w:sz="6" w:space="0" w:color="auto"/>
              <w:right w:val="single" w:sz="6" w:space="0" w:color="auto"/>
            </w:tcBorders>
            <w:shd w:val="clear" w:color="auto" w:fill="C0C0C0"/>
          </w:tcPr>
          <w:p w14:paraId="6F2F21B1" w14:textId="77777777" w:rsidR="005E22F6" w:rsidRDefault="005E22F6" w:rsidP="005A20DD">
            <w:pPr>
              <w:pStyle w:val="TAH"/>
              <w:ind w:left="400" w:hanging="400"/>
            </w:pPr>
            <w:r>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tcPr>
          <w:p w14:paraId="7E2C87EC" w14:textId="77777777" w:rsidR="005E22F6" w:rsidRDefault="005E22F6" w:rsidP="005A20DD">
            <w:pPr>
              <w:pStyle w:val="TAH"/>
              <w:ind w:left="400" w:hanging="400"/>
            </w:pPr>
            <w:r>
              <w:t>P</w:t>
            </w:r>
          </w:p>
        </w:tc>
        <w:tc>
          <w:tcPr>
            <w:tcW w:w="1417" w:type="dxa"/>
            <w:tcBorders>
              <w:top w:val="single" w:sz="6" w:space="0" w:color="auto"/>
              <w:left w:val="single" w:sz="6" w:space="0" w:color="auto"/>
              <w:bottom w:val="single" w:sz="6" w:space="0" w:color="auto"/>
              <w:right w:val="single" w:sz="6" w:space="0" w:color="auto"/>
            </w:tcBorders>
            <w:shd w:val="clear" w:color="auto" w:fill="C0C0C0"/>
          </w:tcPr>
          <w:p w14:paraId="0D67560F" w14:textId="77777777" w:rsidR="005E22F6" w:rsidRDefault="005E22F6" w:rsidP="005A20DD">
            <w:pPr>
              <w:pStyle w:val="TAH"/>
              <w:ind w:left="400" w:hanging="400"/>
            </w:pPr>
            <w:r>
              <w:t>Cardinality</w:t>
            </w:r>
          </w:p>
        </w:tc>
        <w:tc>
          <w:tcPr>
            <w:tcW w:w="3672" w:type="dxa"/>
            <w:tcBorders>
              <w:top w:val="single" w:sz="6" w:space="0" w:color="auto"/>
              <w:left w:val="single" w:sz="6" w:space="0" w:color="auto"/>
              <w:bottom w:val="single" w:sz="6" w:space="0" w:color="auto"/>
              <w:right w:val="single" w:sz="6" w:space="0" w:color="auto"/>
            </w:tcBorders>
            <w:shd w:val="clear" w:color="auto" w:fill="C0C0C0"/>
          </w:tcPr>
          <w:p w14:paraId="505D3186" w14:textId="77777777" w:rsidR="005E22F6" w:rsidRDefault="005E22F6" w:rsidP="005A20DD">
            <w:pPr>
              <w:pStyle w:val="TAH"/>
              <w:ind w:left="400" w:hanging="400"/>
            </w:pPr>
            <w:r>
              <w:t>Description</w:t>
            </w:r>
          </w:p>
        </w:tc>
        <w:tc>
          <w:tcPr>
            <w:tcW w:w="1033" w:type="dxa"/>
            <w:tcBorders>
              <w:top w:val="single" w:sz="6" w:space="0" w:color="auto"/>
              <w:left w:val="single" w:sz="6" w:space="0" w:color="auto"/>
              <w:bottom w:val="single" w:sz="6" w:space="0" w:color="auto"/>
              <w:right w:val="single" w:sz="6" w:space="0" w:color="auto"/>
            </w:tcBorders>
            <w:shd w:val="clear" w:color="auto" w:fill="C0C0C0"/>
          </w:tcPr>
          <w:p w14:paraId="2241C4BD" w14:textId="77777777" w:rsidR="005E22F6" w:rsidRDefault="005E22F6" w:rsidP="005A20DD">
            <w:pPr>
              <w:pStyle w:val="TAH"/>
              <w:ind w:left="400" w:hanging="400"/>
            </w:pPr>
            <w:r>
              <w:t>Applicability</w:t>
            </w:r>
          </w:p>
        </w:tc>
      </w:tr>
      <w:tr w:rsidR="005E22F6" w14:paraId="70795446"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3FF1D9DA" w14:textId="77777777" w:rsidR="005E22F6" w:rsidRDefault="005E22F6" w:rsidP="005A20DD">
            <w:pPr>
              <w:pStyle w:val="TAL"/>
              <w:rPr>
                <w:lang w:eastAsia="zh-CN"/>
              </w:rPr>
            </w:pPr>
            <w:r>
              <w:rPr>
                <w:lang w:eastAsia="zh-CN"/>
              </w:rPr>
              <w:t>appId</w:t>
            </w:r>
          </w:p>
        </w:tc>
        <w:tc>
          <w:tcPr>
            <w:tcW w:w="1259" w:type="dxa"/>
            <w:tcBorders>
              <w:top w:val="single" w:sz="6" w:space="0" w:color="auto"/>
              <w:left w:val="single" w:sz="6" w:space="0" w:color="auto"/>
              <w:bottom w:val="single" w:sz="6" w:space="0" w:color="auto"/>
              <w:right w:val="single" w:sz="6" w:space="0" w:color="auto"/>
            </w:tcBorders>
          </w:tcPr>
          <w:p w14:paraId="3C3F5623" w14:textId="77777777" w:rsidR="005E22F6" w:rsidRDefault="005E22F6" w:rsidP="005A20DD">
            <w:pPr>
              <w:pStyle w:val="TAL"/>
              <w:rPr>
                <w:lang w:eastAsia="zh-CN"/>
              </w:rPr>
            </w:pPr>
            <w:r>
              <w:rPr>
                <w:lang w:eastAsia="zh-CN"/>
              </w:rPr>
              <w:t>ApplicationId</w:t>
            </w:r>
          </w:p>
        </w:tc>
        <w:tc>
          <w:tcPr>
            <w:tcW w:w="567" w:type="dxa"/>
            <w:tcBorders>
              <w:top w:val="single" w:sz="6" w:space="0" w:color="auto"/>
              <w:left w:val="single" w:sz="6" w:space="0" w:color="auto"/>
              <w:bottom w:val="single" w:sz="6" w:space="0" w:color="auto"/>
              <w:right w:val="single" w:sz="6" w:space="0" w:color="auto"/>
            </w:tcBorders>
          </w:tcPr>
          <w:p w14:paraId="64D863AA" w14:textId="77777777" w:rsidR="005E22F6" w:rsidRDefault="005E22F6" w:rsidP="005A20DD">
            <w:pPr>
              <w:pStyle w:val="TAC"/>
            </w:pPr>
            <w:r>
              <w:rPr>
                <w:lang w:eastAsia="zh-CN"/>
              </w:rPr>
              <w:t>C</w:t>
            </w:r>
          </w:p>
        </w:tc>
        <w:tc>
          <w:tcPr>
            <w:tcW w:w="1417" w:type="dxa"/>
            <w:tcBorders>
              <w:top w:val="single" w:sz="6" w:space="0" w:color="auto"/>
              <w:left w:val="single" w:sz="6" w:space="0" w:color="auto"/>
              <w:bottom w:val="single" w:sz="6" w:space="0" w:color="auto"/>
              <w:right w:val="single" w:sz="6" w:space="0" w:color="auto"/>
            </w:tcBorders>
          </w:tcPr>
          <w:p w14:paraId="5C7460A0"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77ABBB3B" w14:textId="77777777" w:rsidR="005E22F6" w:rsidRDefault="005E22F6" w:rsidP="005A20DD">
            <w:pPr>
              <w:pStyle w:val="TAL"/>
              <w:rPr>
                <w:rFonts w:cs="Arial"/>
                <w:szCs w:val="18"/>
              </w:rPr>
            </w:pPr>
            <w:r>
              <w:rPr>
                <w:rFonts w:cs="Arial"/>
                <w:szCs w:val="18"/>
              </w:rPr>
              <w:t>Indicates an application identifier.</w:t>
            </w:r>
            <w:r>
              <w:rPr>
                <w:lang w:eastAsia="zh-CN"/>
              </w:rPr>
              <w:t xml:space="preserve"> Shall be present if the </w:t>
            </w:r>
            <w:r>
              <w:t>"appIds" attribute was provided i</w:t>
            </w:r>
            <w:r>
              <w:rPr>
                <w:rFonts w:cs="Arial"/>
                <w:szCs w:val="18"/>
              </w:rPr>
              <w:t>n the request or subscription.</w:t>
            </w:r>
          </w:p>
        </w:tc>
        <w:tc>
          <w:tcPr>
            <w:tcW w:w="1033" w:type="dxa"/>
            <w:tcBorders>
              <w:top w:val="single" w:sz="6" w:space="0" w:color="auto"/>
              <w:left w:val="single" w:sz="6" w:space="0" w:color="auto"/>
              <w:bottom w:val="single" w:sz="6" w:space="0" w:color="auto"/>
              <w:right w:val="single" w:sz="6" w:space="0" w:color="auto"/>
            </w:tcBorders>
          </w:tcPr>
          <w:p w14:paraId="123AAFDC" w14:textId="77777777" w:rsidR="005E22F6" w:rsidRDefault="005E22F6" w:rsidP="005A20DD">
            <w:pPr>
              <w:pStyle w:val="TAL"/>
              <w:rPr>
                <w:rFonts w:cs="Arial"/>
                <w:szCs w:val="18"/>
              </w:rPr>
            </w:pPr>
          </w:p>
        </w:tc>
      </w:tr>
      <w:tr w:rsidR="005E22F6" w14:paraId="3FBEB0B4"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79A2FAF6" w14:textId="77777777" w:rsidR="005E22F6" w:rsidRDefault="005E22F6" w:rsidP="005A20DD">
            <w:pPr>
              <w:pStyle w:val="TAL"/>
              <w:rPr>
                <w:lang w:eastAsia="zh-CN"/>
              </w:rPr>
            </w:pPr>
            <w:r>
              <w:rPr>
                <w:lang w:eastAsia="zh-CN"/>
              </w:rPr>
              <w:t>ueLoc</w:t>
            </w:r>
          </w:p>
        </w:tc>
        <w:tc>
          <w:tcPr>
            <w:tcW w:w="1259" w:type="dxa"/>
            <w:tcBorders>
              <w:top w:val="single" w:sz="6" w:space="0" w:color="auto"/>
              <w:left w:val="single" w:sz="6" w:space="0" w:color="auto"/>
              <w:bottom w:val="single" w:sz="6" w:space="0" w:color="auto"/>
              <w:right w:val="single" w:sz="6" w:space="0" w:color="auto"/>
            </w:tcBorders>
          </w:tcPr>
          <w:p w14:paraId="7C82A12E" w14:textId="77777777" w:rsidR="005E22F6" w:rsidRDefault="005E22F6" w:rsidP="005A20DD">
            <w:pPr>
              <w:pStyle w:val="TAL"/>
              <w:rPr>
                <w:lang w:eastAsia="zh-CN"/>
              </w:rPr>
            </w:pPr>
            <w:r>
              <w:rPr>
                <w:lang w:eastAsia="zh-CN"/>
              </w:rPr>
              <w:t>UserLocation</w:t>
            </w:r>
          </w:p>
        </w:tc>
        <w:tc>
          <w:tcPr>
            <w:tcW w:w="567" w:type="dxa"/>
            <w:tcBorders>
              <w:top w:val="single" w:sz="6" w:space="0" w:color="auto"/>
              <w:left w:val="single" w:sz="6" w:space="0" w:color="auto"/>
              <w:bottom w:val="single" w:sz="6" w:space="0" w:color="auto"/>
              <w:right w:val="single" w:sz="6" w:space="0" w:color="auto"/>
            </w:tcBorders>
          </w:tcPr>
          <w:p w14:paraId="3A6E5E9E"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3730A572"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6047DC48" w14:textId="77777777" w:rsidR="005E22F6" w:rsidRDefault="005E22F6" w:rsidP="005A20DD">
            <w:pPr>
              <w:pStyle w:val="TAL"/>
              <w:rPr>
                <w:rFonts w:cs="Arial"/>
                <w:szCs w:val="18"/>
              </w:rPr>
            </w:pPr>
            <w:r>
              <w:rPr>
                <w:rFonts w:cs="Arial"/>
                <w:szCs w:val="18"/>
              </w:rPr>
              <w:t xml:space="preserve">TA or cells where the UE dispersed its transactions and/or data. Shall be present if "networkArea" attribute is included in the event subscription </w:t>
            </w:r>
            <w:r>
              <w:t xml:space="preserve">or analytics </w:t>
            </w:r>
            <w:r>
              <w:rPr>
                <w:rFonts w:cs="Arial"/>
                <w:szCs w:val="18"/>
              </w:rPr>
              <w:t>request.</w:t>
            </w:r>
          </w:p>
        </w:tc>
        <w:tc>
          <w:tcPr>
            <w:tcW w:w="1033" w:type="dxa"/>
            <w:tcBorders>
              <w:top w:val="single" w:sz="6" w:space="0" w:color="auto"/>
              <w:left w:val="single" w:sz="6" w:space="0" w:color="auto"/>
              <w:bottom w:val="single" w:sz="6" w:space="0" w:color="auto"/>
              <w:right w:val="single" w:sz="6" w:space="0" w:color="auto"/>
            </w:tcBorders>
          </w:tcPr>
          <w:p w14:paraId="3FDA9624" w14:textId="77777777" w:rsidR="005E22F6" w:rsidRDefault="005E22F6" w:rsidP="005A20DD">
            <w:pPr>
              <w:pStyle w:val="TAL"/>
              <w:rPr>
                <w:rFonts w:cs="Arial"/>
                <w:szCs w:val="18"/>
              </w:rPr>
            </w:pPr>
          </w:p>
        </w:tc>
      </w:tr>
      <w:tr w:rsidR="005E22F6" w14:paraId="3E67175E"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18DCA20" w14:textId="77777777" w:rsidR="005E22F6" w:rsidRDefault="005E22F6" w:rsidP="005A20DD">
            <w:pPr>
              <w:pStyle w:val="TAL"/>
              <w:rPr>
                <w:lang w:eastAsia="zh-CN"/>
              </w:rPr>
            </w:pPr>
            <w:r>
              <w:rPr>
                <w:lang w:eastAsia="zh-CN"/>
              </w:rPr>
              <w:t>snssai</w:t>
            </w:r>
          </w:p>
        </w:tc>
        <w:tc>
          <w:tcPr>
            <w:tcW w:w="1259" w:type="dxa"/>
            <w:tcBorders>
              <w:top w:val="single" w:sz="6" w:space="0" w:color="auto"/>
              <w:left w:val="single" w:sz="6" w:space="0" w:color="auto"/>
              <w:bottom w:val="single" w:sz="6" w:space="0" w:color="auto"/>
              <w:right w:val="single" w:sz="6" w:space="0" w:color="auto"/>
            </w:tcBorders>
          </w:tcPr>
          <w:p w14:paraId="078FF436" w14:textId="77777777" w:rsidR="005E22F6" w:rsidRDefault="005E22F6" w:rsidP="005A20DD">
            <w:pPr>
              <w:pStyle w:val="TAL"/>
              <w:rPr>
                <w:lang w:eastAsia="zh-CN"/>
              </w:rPr>
            </w:pPr>
            <w:r>
              <w:rPr>
                <w:lang w:eastAsia="zh-CN"/>
              </w:rPr>
              <w:t>Snssai</w:t>
            </w:r>
          </w:p>
        </w:tc>
        <w:tc>
          <w:tcPr>
            <w:tcW w:w="567" w:type="dxa"/>
            <w:tcBorders>
              <w:top w:val="single" w:sz="6" w:space="0" w:color="auto"/>
              <w:left w:val="single" w:sz="6" w:space="0" w:color="auto"/>
              <w:bottom w:val="single" w:sz="6" w:space="0" w:color="auto"/>
              <w:right w:val="single" w:sz="6" w:space="0" w:color="auto"/>
            </w:tcBorders>
          </w:tcPr>
          <w:p w14:paraId="38987324"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4B85F668"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6D4AD4D0" w14:textId="77777777" w:rsidR="005E22F6" w:rsidRDefault="005E22F6" w:rsidP="005A20DD">
            <w:pPr>
              <w:pStyle w:val="TAL"/>
              <w:rPr>
                <w:rFonts w:cs="Arial"/>
                <w:szCs w:val="18"/>
              </w:rPr>
            </w:pPr>
            <w:r>
              <w:rPr>
                <w:rFonts w:cs="Arial"/>
                <w:szCs w:val="18"/>
              </w:rPr>
              <w:t xml:space="preserve">Slice where the UE disperse its transactions and/or data. Shall be present if "snssais" attribute is included in the event subscription </w:t>
            </w:r>
            <w:r>
              <w:t>or analytics</w:t>
            </w:r>
            <w:r>
              <w:rPr>
                <w:rFonts w:cs="Arial"/>
                <w:szCs w:val="18"/>
              </w:rPr>
              <w:t xml:space="preserve"> request.</w:t>
            </w:r>
          </w:p>
        </w:tc>
        <w:tc>
          <w:tcPr>
            <w:tcW w:w="1033" w:type="dxa"/>
            <w:tcBorders>
              <w:top w:val="single" w:sz="6" w:space="0" w:color="auto"/>
              <w:left w:val="single" w:sz="6" w:space="0" w:color="auto"/>
              <w:bottom w:val="single" w:sz="6" w:space="0" w:color="auto"/>
              <w:right w:val="single" w:sz="6" w:space="0" w:color="auto"/>
            </w:tcBorders>
          </w:tcPr>
          <w:p w14:paraId="6AD31204" w14:textId="77777777" w:rsidR="005E22F6" w:rsidRDefault="005E22F6" w:rsidP="005A20DD">
            <w:pPr>
              <w:pStyle w:val="TAL"/>
              <w:rPr>
                <w:rFonts w:cs="Arial"/>
                <w:szCs w:val="18"/>
              </w:rPr>
            </w:pPr>
          </w:p>
        </w:tc>
      </w:tr>
      <w:tr w:rsidR="00EF7075" w14:paraId="6D70EAF3"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3F84AFE" w14:textId="77777777" w:rsidR="00EF7075" w:rsidRDefault="00EF7075" w:rsidP="00EF7075">
            <w:pPr>
              <w:pStyle w:val="TAL"/>
              <w:rPr>
                <w:lang w:eastAsia="zh-CN"/>
              </w:rPr>
            </w:pPr>
            <w:r>
              <w:rPr>
                <w:rFonts w:hint="eastAsia"/>
                <w:lang w:eastAsia="zh-CN"/>
              </w:rPr>
              <w:t>a</w:t>
            </w:r>
            <w:r>
              <w:rPr>
                <w:lang w:eastAsia="zh-CN"/>
              </w:rPr>
              <w:t>ccessType</w:t>
            </w:r>
          </w:p>
        </w:tc>
        <w:tc>
          <w:tcPr>
            <w:tcW w:w="1259" w:type="dxa"/>
            <w:tcBorders>
              <w:top w:val="single" w:sz="6" w:space="0" w:color="auto"/>
              <w:left w:val="single" w:sz="6" w:space="0" w:color="auto"/>
              <w:bottom w:val="single" w:sz="6" w:space="0" w:color="auto"/>
              <w:right w:val="single" w:sz="6" w:space="0" w:color="auto"/>
            </w:tcBorders>
          </w:tcPr>
          <w:p w14:paraId="37619D95" w14:textId="77777777" w:rsidR="00EF7075" w:rsidRDefault="00EF7075" w:rsidP="00EF7075">
            <w:pPr>
              <w:pStyle w:val="TAL"/>
              <w:rPr>
                <w:lang w:eastAsia="zh-CN"/>
              </w:rPr>
            </w:pPr>
            <w:r>
              <w:t>AccessType</w:t>
            </w:r>
          </w:p>
        </w:tc>
        <w:tc>
          <w:tcPr>
            <w:tcW w:w="567" w:type="dxa"/>
            <w:tcBorders>
              <w:top w:val="single" w:sz="6" w:space="0" w:color="auto"/>
              <w:left w:val="single" w:sz="6" w:space="0" w:color="auto"/>
              <w:bottom w:val="single" w:sz="6" w:space="0" w:color="auto"/>
              <w:right w:val="single" w:sz="6" w:space="0" w:color="auto"/>
            </w:tcBorders>
          </w:tcPr>
          <w:p w14:paraId="36E73685" w14:textId="77777777" w:rsidR="00EF7075" w:rsidRDefault="00EF7075" w:rsidP="00EF7075">
            <w:pPr>
              <w:pStyle w:val="TAC"/>
            </w:pPr>
            <w:r>
              <w:rPr>
                <w:noProof/>
              </w:rPr>
              <w:t>O</w:t>
            </w:r>
          </w:p>
        </w:tc>
        <w:tc>
          <w:tcPr>
            <w:tcW w:w="1417" w:type="dxa"/>
            <w:tcBorders>
              <w:top w:val="single" w:sz="6" w:space="0" w:color="auto"/>
              <w:left w:val="single" w:sz="6" w:space="0" w:color="auto"/>
              <w:bottom w:val="single" w:sz="6" w:space="0" w:color="auto"/>
              <w:right w:val="single" w:sz="6" w:space="0" w:color="auto"/>
            </w:tcBorders>
          </w:tcPr>
          <w:p w14:paraId="5F235A8A" w14:textId="77777777" w:rsidR="00EF7075" w:rsidRDefault="00EF7075" w:rsidP="00EF7075">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6A55523F" w14:textId="77777777" w:rsidR="00EF7075" w:rsidRDefault="00EF7075" w:rsidP="00EF7075">
            <w:pPr>
              <w:pStyle w:val="TAL"/>
              <w:rPr>
                <w:rFonts w:cs="Arial"/>
                <w:szCs w:val="18"/>
              </w:rPr>
            </w:pPr>
            <w:r>
              <w:rPr>
                <w:noProof/>
              </w:rPr>
              <w:t>The Access Type.</w:t>
            </w:r>
          </w:p>
        </w:tc>
        <w:tc>
          <w:tcPr>
            <w:tcW w:w="1033" w:type="dxa"/>
            <w:tcBorders>
              <w:top w:val="single" w:sz="6" w:space="0" w:color="auto"/>
              <w:left w:val="single" w:sz="6" w:space="0" w:color="auto"/>
              <w:bottom w:val="single" w:sz="6" w:space="0" w:color="auto"/>
              <w:right w:val="single" w:sz="6" w:space="0" w:color="auto"/>
            </w:tcBorders>
          </w:tcPr>
          <w:p w14:paraId="66412D3A" w14:textId="77777777" w:rsidR="00EF7075" w:rsidRDefault="00EF7075" w:rsidP="00EF7075">
            <w:pPr>
              <w:pStyle w:val="TAL"/>
              <w:rPr>
                <w:rFonts w:cs="Arial"/>
                <w:szCs w:val="18"/>
              </w:rPr>
            </w:pPr>
          </w:p>
        </w:tc>
      </w:tr>
      <w:tr w:rsidR="00EF7075" w14:paraId="7FC9454A"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FF26729" w14:textId="77777777" w:rsidR="00EF7075" w:rsidRDefault="00EF7075" w:rsidP="00EF7075">
            <w:pPr>
              <w:pStyle w:val="TAL"/>
              <w:rPr>
                <w:lang w:eastAsia="zh-CN"/>
              </w:rPr>
            </w:pPr>
            <w:r>
              <w:rPr>
                <w:rFonts w:hint="eastAsia"/>
                <w:lang w:eastAsia="zh-CN"/>
              </w:rPr>
              <w:t>r</w:t>
            </w:r>
            <w:r>
              <w:rPr>
                <w:lang w:eastAsia="zh-CN"/>
              </w:rPr>
              <w:t>atTypes</w:t>
            </w:r>
          </w:p>
        </w:tc>
        <w:tc>
          <w:tcPr>
            <w:tcW w:w="1259" w:type="dxa"/>
            <w:tcBorders>
              <w:top w:val="single" w:sz="6" w:space="0" w:color="auto"/>
              <w:left w:val="single" w:sz="6" w:space="0" w:color="auto"/>
              <w:bottom w:val="single" w:sz="6" w:space="0" w:color="auto"/>
              <w:right w:val="single" w:sz="6" w:space="0" w:color="auto"/>
            </w:tcBorders>
          </w:tcPr>
          <w:p w14:paraId="316C658A" w14:textId="77777777" w:rsidR="00EF7075" w:rsidRDefault="00EF7075" w:rsidP="00EF7075">
            <w:pPr>
              <w:pStyle w:val="TAL"/>
              <w:rPr>
                <w:lang w:eastAsia="zh-CN"/>
              </w:rPr>
            </w:pPr>
            <w:r>
              <w:rPr>
                <w:noProof/>
                <w:lang w:eastAsia="zh-CN"/>
              </w:rPr>
              <w:t>array(</w:t>
            </w:r>
            <w:r>
              <w:rPr>
                <w:rFonts w:hint="eastAsia"/>
                <w:noProof/>
                <w:lang w:eastAsia="zh-CN"/>
              </w:rPr>
              <w:t>R</w:t>
            </w:r>
            <w:r>
              <w:rPr>
                <w:noProof/>
                <w:lang w:eastAsia="zh-CN"/>
              </w:rPr>
              <w:t>atType)</w:t>
            </w:r>
          </w:p>
        </w:tc>
        <w:tc>
          <w:tcPr>
            <w:tcW w:w="567" w:type="dxa"/>
            <w:tcBorders>
              <w:top w:val="single" w:sz="6" w:space="0" w:color="auto"/>
              <w:left w:val="single" w:sz="6" w:space="0" w:color="auto"/>
              <w:bottom w:val="single" w:sz="6" w:space="0" w:color="auto"/>
              <w:right w:val="single" w:sz="6" w:space="0" w:color="auto"/>
            </w:tcBorders>
          </w:tcPr>
          <w:p w14:paraId="26802A36" w14:textId="77777777" w:rsidR="00EF7075" w:rsidRDefault="00EF7075" w:rsidP="00EF7075">
            <w:pPr>
              <w:pStyle w:val="TAC"/>
            </w:pPr>
            <w:r>
              <w:rPr>
                <w:noProof/>
              </w:rPr>
              <w:t>O</w:t>
            </w:r>
          </w:p>
        </w:tc>
        <w:tc>
          <w:tcPr>
            <w:tcW w:w="1417" w:type="dxa"/>
            <w:tcBorders>
              <w:top w:val="single" w:sz="6" w:space="0" w:color="auto"/>
              <w:left w:val="single" w:sz="6" w:space="0" w:color="auto"/>
              <w:bottom w:val="single" w:sz="6" w:space="0" w:color="auto"/>
              <w:right w:val="single" w:sz="6" w:space="0" w:color="auto"/>
            </w:tcBorders>
          </w:tcPr>
          <w:p w14:paraId="1DE0339C" w14:textId="77777777" w:rsidR="00EF7075" w:rsidRDefault="00EF7075" w:rsidP="00EF7075">
            <w:pPr>
              <w:pStyle w:val="TAL"/>
            </w:pPr>
            <w:r>
              <w:rPr>
                <w:noProof/>
                <w:lang w:eastAsia="zh-CN"/>
              </w:rPr>
              <w:t>1..N</w:t>
            </w:r>
          </w:p>
        </w:tc>
        <w:tc>
          <w:tcPr>
            <w:tcW w:w="3672" w:type="dxa"/>
            <w:tcBorders>
              <w:top w:val="single" w:sz="6" w:space="0" w:color="auto"/>
              <w:left w:val="single" w:sz="6" w:space="0" w:color="auto"/>
              <w:bottom w:val="single" w:sz="6" w:space="0" w:color="auto"/>
              <w:right w:val="single" w:sz="6" w:space="0" w:color="auto"/>
            </w:tcBorders>
          </w:tcPr>
          <w:p w14:paraId="3D28A0EB" w14:textId="77777777" w:rsidR="00EF7075" w:rsidRDefault="00EF7075" w:rsidP="00EF7075">
            <w:pPr>
              <w:pStyle w:val="TAL"/>
              <w:rPr>
                <w:rFonts w:cs="Arial"/>
                <w:szCs w:val="18"/>
              </w:rPr>
            </w:pPr>
            <w:r>
              <w:rPr>
                <w:noProof/>
              </w:rPr>
              <w:t xml:space="preserve">The </w:t>
            </w:r>
            <w:r>
              <w:rPr>
                <w:noProof/>
                <w:lang w:eastAsia="zh-CN"/>
              </w:rPr>
              <w:t>RAT Types.</w:t>
            </w:r>
          </w:p>
        </w:tc>
        <w:tc>
          <w:tcPr>
            <w:tcW w:w="1033" w:type="dxa"/>
            <w:tcBorders>
              <w:top w:val="single" w:sz="6" w:space="0" w:color="auto"/>
              <w:left w:val="single" w:sz="6" w:space="0" w:color="auto"/>
              <w:bottom w:val="single" w:sz="6" w:space="0" w:color="auto"/>
              <w:right w:val="single" w:sz="6" w:space="0" w:color="auto"/>
            </w:tcBorders>
          </w:tcPr>
          <w:p w14:paraId="5AB22884" w14:textId="77777777" w:rsidR="00EF7075" w:rsidRDefault="00EF7075" w:rsidP="00EF7075">
            <w:pPr>
              <w:pStyle w:val="TAL"/>
              <w:rPr>
                <w:rFonts w:cs="Arial"/>
                <w:szCs w:val="18"/>
              </w:rPr>
            </w:pPr>
          </w:p>
        </w:tc>
      </w:tr>
      <w:tr w:rsidR="005E22F6" w14:paraId="35BB297C"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677412F4" w14:textId="77777777" w:rsidR="005E22F6" w:rsidRDefault="005E22F6" w:rsidP="005A20DD">
            <w:pPr>
              <w:pStyle w:val="TAL"/>
              <w:rPr>
                <w:lang w:eastAsia="zh-CN"/>
              </w:rPr>
            </w:pPr>
            <w:r>
              <w:rPr>
                <w:lang w:eastAsia="zh-CN"/>
              </w:rPr>
              <w:t>supi</w:t>
            </w:r>
          </w:p>
        </w:tc>
        <w:tc>
          <w:tcPr>
            <w:tcW w:w="1259" w:type="dxa"/>
            <w:tcBorders>
              <w:top w:val="single" w:sz="6" w:space="0" w:color="auto"/>
              <w:left w:val="single" w:sz="6" w:space="0" w:color="auto"/>
              <w:bottom w:val="single" w:sz="6" w:space="0" w:color="auto"/>
              <w:right w:val="single" w:sz="6" w:space="0" w:color="auto"/>
            </w:tcBorders>
          </w:tcPr>
          <w:p w14:paraId="6B080A35" w14:textId="77777777" w:rsidR="005E22F6" w:rsidRDefault="005E22F6" w:rsidP="005A20DD">
            <w:pPr>
              <w:pStyle w:val="TAL"/>
              <w:rPr>
                <w:lang w:eastAsia="zh-CN"/>
              </w:rPr>
            </w:pPr>
            <w:r>
              <w:rPr>
                <w:lang w:eastAsia="zh-CN"/>
              </w:rPr>
              <w:t>Supi</w:t>
            </w:r>
          </w:p>
        </w:tc>
        <w:tc>
          <w:tcPr>
            <w:tcW w:w="567" w:type="dxa"/>
            <w:tcBorders>
              <w:top w:val="single" w:sz="6" w:space="0" w:color="auto"/>
              <w:left w:val="single" w:sz="6" w:space="0" w:color="auto"/>
              <w:bottom w:val="single" w:sz="6" w:space="0" w:color="auto"/>
              <w:right w:val="single" w:sz="6" w:space="0" w:color="auto"/>
            </w:tcBorders>
          </w:tcPr>
          <w:p w14:paraId="2E7C7EDA" w14:textId="77777777" w:rsidR="005E22F6" w:rsidRDefault="005E22F6" w:rsidP="005A20DD">
            <w:pPr>
              <w:pStyle w:val="TAC"/>
              <w:rPr>
                <w:b/>
                <w:bCs/>
              </w:rPr>
            </w:pPr>
            <w:r>
              <w:t>C</w:t>
            </w:r>
          </w:p>
        </w:tc>
        <w:tc>
          <w:tcPr>
            <w:tcW w:w="1417" w:type="dxa"/>
            <w:tcBorders>
              <w:top w:val="single" w:sz="6" w:space="0" w:color="auto"/>
              <w:left w:val="single" w:sz="6" w:space="0" w:color="auto"/>
              <w:bottom w:val="single" w:sz="6" w:space="0" w:color="auto"/>
              <w:right w:val="single" w:sz="6" w:space="0" w:color="auto"/>
            </w:tcBorders>
          </w:tcPr>
          <w:p w14:paraId="791B44BD"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2628F4CF" w14:textId="77777777" w:rsidR="005E22F6" w:rsidRDefault="005E22F6" w:rsidP="005A20DD">
            <w:pPr>
              <w:pStyle w:val="TAL"/>
              <w:rPr>
                <w:rFonts w:cs="Arial"/>
                <w:szCs w:val="18"/>
              </w:rPr>
            </w:pPr>
            <w:r>
              <w:rPr>
                <w:rFonts w:cs="Arial"/>
                <w:szCs w:val="18"/>
              </w:rPr>
              <w:t>Identifies the SUPI of an UE. May only be present if reporting inside 5GC.</w:t>
            </w:r>
          </w:p>
        </w:tc>
        <w:tc>
          <w:tcPr>
            <w:tcW w:w="1033" w:type="dxa"/>
            <w:tcBorders>
              <w:top w:val="single" w:sz="6" w:space="0" w:color="auto"/>
              <w:left w:val="single" w:sz="6" w:space="0" w:color="auto"/>
              <w:bottom w:val="single" w:sz="6" w:space="0" w:color="auto"/>
              <w:right w:val="single" w:sz="6" w:space="0" w:color="auto"/>
            </w:tcBorders>
          </w:tcPr>
          <w:p w14:paraId="0C445D47" w14:textId="77777777" w:rsidR="005E22F6" w:rsidRDefault="005E22F6" w:rsidP="005A20DD">
            <w:pPr>
              <w:pStyle w:val="TAL"/>
              <w:rPr>
                <w:rFonts w:cs="Arial"/>
                <w:szCs w:val="18"/>
              </w:rPr>
            </w:pPr>
          </w:p>
        </w:tc>
      </w:tr>
      <w:tr w:rsidR="005E22F6" w14:paraId="6A2C515B"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683358D4" w14:textId="77777777" w:rsidR="005E22F6" w:rsidRDefault="005E22F6" w:rsidP="005A20DD">
            <w:pPr>
              <w:pStyle w:val="TAL"/>
              <w:rPr>
                <w:lang w:eastAsia="zh-CN"/>
              </w:rPr>
            </w:pPr>
            <w:r>
              <w:rPr>
                <w:lang w:eastAsia="zh-CN"/>
              </w:rPr>
              <w:t>gpsi</w:t>
            </w:r>
          </w:p>
        </w:tc>
        <w:tc>
          <w:tcPr>
            <w:tcW w:w="1259" w:type="dxa"/>
            <w:tcBorders>
              <w:top w:val="single" w:sz="6" w:space="0" w:color="auto"/>
              <w:left w:val="single" w:sz="6" w:space="0" w:color="auto"/>
              <w:bottom w:val="single" w:sz="6" w:space="0" w:color="auto"/>
              <w:right w:val="single" w:sz="6" w:space="0" w:color="auto"/>
            </w:tcBorders>
          </w:tcPr>
          <w:p w14:paraId="14E3B49B" w14:textId="77777777" w:rsidR="005E22F6" w:rsidRDefault="005E22F6" w:rsidP="005A20DD">
            <w:pPr>
              <w:pStyle w:val="TAL"/>
              <w:rPr>
                <w:lang w:eastAsia="zh-CN"/>
              </w:rPr>
            </w:pPr>
            <w:r>
              <w:rPr>
                <w:lang w:eastAsia="zh-CN"/>
              </w:rPr>
              <w:t>Gpsi</w:t>
            </w:r>
          </w:p>
        </w:tc>
        <w:tc>
          <w:tcPr>
            <w:tcW w:w="567" w:type="dxa"/>
            <w:tcBorders>
              <w:top w:val="single" w:sz="6" w:space="0" w:color="auto"/>
              <w:left w:val="single" w:sz="6" w:space="0" w:color="auto"/>
              <w:bottom w:val="single" w:sz="6" w:space="0" w:color="auto"/>
              <w:right w:val="single" w:sz="6" w:space="0" w:color="auto"/>
            </w:tcBorders>
          </w:tcPr>
          <w:p w14:paraId="7E944DE2"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1A7CE46B"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4453A687" w14:textId="77777777" w:rsidR="005E22F6" w:rsidRDefault="005E22F6" w:rsidP="005A20DD">
            <w:pPr>
              <w:pStyle w:val="TAL"/>
              <w:rPr>
                <w:rFonts w:cs="Arial"/>
                <w:szCs w:val="18"/>
              </w:rPr>
            </w:pPr>
            <w:r>
              <w:rPr>
                <w:rFonts w:cs="Arial"/>
                <w:szCs w:val="18"/>
              </w:rPr>
              <w:t xml:space="preserve">Identifies the GPSI of an UE. </w:t>
            </w:r>
          </w:p>
          <w:p w14:paraId="582851B9" w14:textId="77777777" w:rsidR="005E22F6" w:rsidRDefault="005E22F6" w:rsidP="005A20DD">
            <w:pPr>
              <w:pStyle w:val="TAL"/>
              <w:rPr>
                <w:rFonts w:cs="Arial"/>
                <w:szCs w:val="18"/>
              </w:rPr>
            </w:pPr>
            <w:r>
              <w:rPr>
                <w:rFonts w:cs="Arial"/>
                <w:szCs w:val="18"/>
              </w:rPr>
              <w:t>May only be present if reused by the Nnef_AnalyticsExposure service reporting to external AF.</w:t>
            </w:r>
          </w:p>
        </w:tc>
        <w:tc>
          <w:tcPr>
            <w:tcW w:w="1033" w:type="dxa"/>
            <w:tcBorders>
              <w:top w:val="single" w:sz="6" w:space="0" w:color="auto"/>
              <w:left w:val="single" w:sz="6" w:space="0" w:color="auto"/>
              <w:bottom w:val="single" w:sz="6" w:space="0" w:color="auto"/>
              <w:right w:val="single" w:sz="6" w:space="0" w:color="auto"/>
            </w:tcBorders>
          </w:tcPr>
          <w:p w14:paraId="1DD40764" w14:textId="77777777" w:rsidR="005E22F6" w:rsidRDefault="005E22F6" w:rsidP="005A20DD">
            <w:pPr>
              <w:pStyle w:val="TAL"/>
              <w:rPr>
                <w:rFonts w:cs="Arial"/>
                <w:szCs w:val="18"/>
              </w:rPr>
            </w:pPr>
          </w:p>
        </w:tc>
      </w:tr>
      <w:tr w:rsidR="005E22F6" w14:paraId="7C982B03"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4139FB95" w14:textId="77777777" w:rsidR="005E22F6" w:rsidRDefault="005E22F6" w:rsidP="005A20DD">
            <w:pPr>
              <w:pStyle w:val="TAL"/>
              <w:rPr>
                <w:lang w:eastAsia="zh-CN"/>
              </w:rPr>
            </w:pPr>
            <w:r>
              <w:t>dnn</w:t>
            </w:r>
          </w:p>
        </w:tc>
        <w:tc>
          <w:tcPr>
            <w:tcW w:w="1259" w:type="dxa"/>
            <w:tcBorders>
              <w:top w:val="single" w:sz="6" w:space="0" w:color="auto"/>
              <w:left w:val="single" w:sz="6" w:space="0" w:color="auto"/>
              <w:bottom w:val="single" w:sz="6" w:space="0" w:color="auto"/>
              <w:right w:val="single" w:sz="6" w:space="0" w:color="auto"/>
            </w:tcBorders>
          </w:tcPr>
          <w:p w14:paraId="68754FB4" w14:textId="77777777" w:rsidR="005E22F6" w:rsidRDefault="005E22F6" w:rsidP="005A20DD">
            <w:pPr>
              <w:pStyle w:val="TAL"/>
              <w:rPr>
                <w:lang w:eastAsia="zh-CN"/>
              </w:rPr>
            </w:pPr>
            <w:r>
              <w:rPr>
                <w:lang w:eastAsia="zh-CN"/>
              </w:rPr>
              <w:t>Dnn</w:t>
            </w:r>
          </w:p>
        </w:tc>
        <w:tc>
          <w:tcPr>
            <w:tcW w:w="567" w:type="dxa"/>
            <w:tcBorders>
              <w:top w:val="single" w:sz="6" w:space="0" w:color="auto"/>
              <w:left w:val="single" w:sz="6" w:space="0" w:color="auto"/>
              <w:bottom w:val="single" w:sz="6" w:space="0" w:color="auto"/>
              <w:right w:val="single" w:sz="6" w:space="0" w:color="auto"/>
            </w:tcBorders>
          </w:tcPr>
          <w:p w14:paraId="777F9EA7" w14:textId="77777777" w:rsidR="005E22F6" w:rsidRDefault="005E22F6" w:rsidP="005A20DD">
            <w:pPr>
              <w:pStyle w:val="TAC"/>
            </w:pPr>
            <w:r>
              <w:t>C</w:t>
            </w:r>
          </w:p>
        </w:tc>
        <w:tc>
          <w:tcPr>
            <w:tcW w:w="1417" w:type="dxa"/>
            <w:tcBorders>
              <w:top w:val="single" w:sz="6" w:space="0" w:color="auto"/>
              <w:left w:val="single" w:sz="6" w:space="0" w:color="auto"/>
              <w:bottom w:val="single" w:sz="6" w:space="0" w:color="auto"/>
              <w:right w:val="single" w:sz="6" w:space="0" w:color="auto"/>
            </w:tcBorders>
          </w:tcPr>
          <w:p w14:paraId="75F66CF1" w14:textId="77777777" w:rsidR="005E22F6" w:rsidRDefault="005E22F6" w:rsidP="005A20DD">
            <w:pPr>
              <w:pStyle w:val="TAL"/>
            </w:pPr>
            <w:r>
              <w:rPr>
                <w:lang w:eastAsia="zh-CN"/>
              </w:rPr>
              <w:t>0..1</w:t>
            </w:r>
          </w:p>
        </w:tc>
        <w:tc>
          <w:tcPr>
            <w:tcW w:w="3672" w:type="dxa"/>
            <w:tcBorders>
              <w:top w:val="single" w:sz="6" w:space="0" w:color="auto"/>
              <w:left w:val="single" w:sz="6" w:space="0" w:color="auto"/>
              <w:bottom w:val="single" w:sz="6" w:space="0" w:color="auto"/>
              <w:right w:val="single" w:sz="6" w:space="0" w:color="auto"/>
            </w:tcBorders>
          </w:tcPr>
          <w:p w14:paraId="09BE588F" w14:textId="77777777" w:rsidR="005E22F6" w:rsidRDefault="005E22F6" w:rsidP="005A20DD">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665814ED" w14:textId="77777777" w:rsidR="005E22F6" w:rsidRDefault="005E22F6" w:rsidP="005A20DD">
            <w:pPr>
              <w:pStyle w:val="TAL"/>
              <w:rPr>
                <w:rFonts w:cs="Arial"/>
                <w:szCs w:val="18"/>
              </w:rPr>
            </w:pPr>
            <w:r>
              <w:rPr>
                <w:lang w:eastAsia="zh-CN"/>
              </w:rPr>
              <w:t xml:space="preserve">Shall be present if the </w:t>
            </w:r>
            <w:r>
              <w:t xml:space="preserve">"dnns" was provided </w:t>
            </w:r>
            <w:r>
              <w:rPr>
                <w:rFonts w:cs="Arial"/>
                <w:szCs w:val="18"/>
              </w:rPr>
              <w:t>in the request or subscription.</w:t>
            </w:r>
          </w:p>
        </w:tc>
        <w:tc>
          <w:tcPr>
            <w:tcW w:w="1033" w:type="dxa"/>
            <w:tcBorders>
              <w:top w:val="single" w:sz="6" w:space="0" w:color="auto"/>
              <w:left w:val="single" w:sz="6" w:space="0" w:color="auto"/>
              <w:bottom w:val="single" w:sz="6" w:space="0" w:color="auto"/>
              <w:right w:val="single" w:sz="6" w:space="0" w:color="auto"/>
            </w:tcBorders>
          </w:tcPr>
          <w:p w14:paraId="5C27C407" w14:textId="77777777" w:rsidR="005E22F6" w:rsidRDefault="005E22F6" w:rsidP="005A20DD">
            <w:pPr>
              <w:pStyle w:val="TAL"/>
              <w:rPr>
                <w:rFonts w:cs="Arial"/>
                <w:szCs w:val="18"/>
              </w:rPr>
            </w:pPr>
          </w:p>
        </w:tc>
      </w:tr>
      <w:tr w:rsidR="00AD5F95" w14:paraId="03CA41B1"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74B7168F" w14:textId="77777777" w:rsidR="00AD5F95" w:rsidRDefault="00AD5F95" w:rsidP="00AD5F95">
            <w:pPr>
              <w:pStyle w:val="TAL"/>
              <w:rPr>
                <w:lang w:eastAsia="zh-CN"/>
              </w:rPr>
            </w:pPr>
            <w:bookmarkStart w:id="8025" w:name="_Hlk131967144"/>
            <w:r>
              <w:rPr>
                <w:lang w:eastAsia="zh-CN"/>
              </w:rPr>
              <w:t>spatialValid</w:t>
            </w:r>
            <w:bookmarkEnd w:id="8025"/>
            <w:r>
              <w:rPr>
                <w:lang w:eastAsia="zh-CN"/>
              </w:rPr>
              <w:t>ity</w:t>
            </w:r>
          </w:p>
        </w:tc>
        <w:tc>
          <w:tcPr>
            <w:tcW w:w="1259" w:type="dxa"/>
            <w:tcBorders>
              <w:top w:val="single" w:sz="6" w:space="0" w:color="auto"/>
              <w:left w:val="single" w:sz="6" w:space="0" w:color="auto"/>
              <w:bottom w:val="single" w:sz="6" w:space="0" w:color="auto"/>
              <w:right w:val="single" w:sz="6" w:space="0" w:color="auto"/>
            </w:tcBorders>
          </w:tcPr>
          <w:p w14:paraId="2EE9718C" w14:textId="77777777" w:rsidR="00AD5F95" w:rsidRDefault="00AD5F95" w:rsidP="00AD5F95">
            <w:pPr>
              <w:pStyle w:val="TAL"/>
            </w:pPr>
            <w:r>
              <w:rPr>
                <w:lang w:eastAsia="zh-CN"/>
              </w:rPr>
              <w:t>NetworkAreaInfo</w:t>
            </w:r>
          </w:p>
        </w:tc>
        <w:tc>
          <w:tcPr>
            <w:tcW w:w="567" w:type="dxa"/>
            <w:tcBorders>
              <w:top w:val="single" w:sz="6" w:space="0" w:color="auto"/>
              <w:left w:val="single" w:sz="6" w:space="0" w:color="auto"/>
              <w:bottom w:val="single" w:sz="6" w:space="0" w:color="auto"/>
              <w:right w:val="single" w:sz="6" w:space="0" w:color="auto"/>
            </w:tcBorders>
          </w:tcPr>
          <w:p w14:paraId="4CB5DC9A" w14:textId="77777777" w:rsidR="00AD5F95" w:rsidRDefault="00AD5F95" w:rsidP="00AD5F95">
            <w:pPr>
              <w:pStyle w:val="TAC"/>
              <w:rPr>
                <w:lang w:eastAsia="zh-CN"/>
              </w:rPr>
            </w:pPr>
            <w:r>
              <w:rPr>
                <w:lang w:eastAsia="zh-CN"/>
              </w:rPr>
              <w:t>C</w:t>
            </w:r>
          </w:p>
        </w:tc>
        <w:tc>
          <w:tcPr>
            <w:tcW w:w="1417" w:type="dxa"/>
            <w:tcBorders>
              <w:top w:val="single" w:sz="6" w:space="0" w:color="auto"/>
              <w:left w:val="single" w:sz="6" w:space="0" w:color="auto"/>
              <w:bottom w:val="single" w:sz="6" w:space="0" w:color="auto"/>
              <w:right w:val="single" w:sz="6" w:space="0" w:color="auto"/>
            </w:tcBorders>
          </w:tcPr>
          <w:p w14:paraId="77DCEA7E" w14:textId="77777777" w:rsidR="00AD5F95" w:rsidRDefault="00AD5F95" w:rsidP="00AD5F95">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711CC8D9" w14:textId="77777777" w:rsidR="00AD5F95" w:rsidRDefault="00AD5F95" w:rsidP="00AD5F95">
            <w:pPr>
              <w:pStyle w:val="TAL"/>
              <w:rPr>
                <w:lang w:val="en-US" w:eastAsia="zh-CN"/>
              </w:rPr>
            </w:pPr>
            <w:r>
              <w:rPr>
                <w:lang w:eastAsia="zh-CN"/>
              </w:rPr>
              <w:t>Represents</w:t>
            </w:r>
            <w:r>
              <w:t xml:space="preserve"> the</w:t>
            </w:r>
            <w:r>
              <w:rPr>
                <w:lang w:eastAsia="zh-CN"/>
              </w:rPr>
              <w:t xml:space="preserve"> </w:t>
            </w:r>
            <w:r>
              <w:t>area where the End to End data transfer volume transfer time analytics applies.</w:t>
            </w:r>
            <w:r>
              <w:rPr>
                <w:rFonts w:cs="Arial"/>
                <w:szCs w:val="18"/>
              </w:rPr>
              <w:t xml:space="preserve"> Shall be present if "networkArea" attribute was provided in the request or subscription.</w:t>
            </w:r>
          </w:p>
        </w:tc>
        <w:tc>
          <w:tcPr>
            <w:tcW w:w="1033" w:type="dxa"/>
            <w:tcBorders>
              <w:top w:val="single" w:sz="6" w:space="0" w:color="auto"/>
              <w:left w:val="single" w:sz="6" w:space="0" w:color="auto"/>
              <w:bottom w:val="single" w:sz="6" w:space="0" w:color="auto"/>
              <w:right w:val="single" w:sz="6" w:space="0" w:color="auto"/>
            </w:tcBorders>
          </w:tcPr>
          <w:p w14:paraId="78522E61" w14:textId="77777777" w:rsidR="00AD5F95" w:rsidRDefault="00AD5F95" w:rsidP="00AD5F95">
            <w:pPr>
              <w:pStyle w:val="TAL"/>
              <w:rPr>
                <w:rFonts w:cs="Arial"/>
                <w:szCs w:val="18"/>
              </w:rPr>
            </w:pPr>
          </w:p>
        </w:tc>
      </w:tr>
      <w:tr w:rsidR="00AD5F95" w14:paraId="2EA526B4"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0146DFEC" w14:textId="77777777" w:rsidR="00AD5F95" w:rsidRDefault="00AD5F95" w:rsidP="00AD5F95">
            <w:pPr>
              <w:pStyle w:val="TAL"/>
              <w:rPr>
                <w:lang w:eastAsia="zh-CN"/>
              </w:rPr>
            </w:pPr>
            <w:r>
              <w:rPr>
                <w:lang w:eastAsia="zh-CN"/>
              </w:rPr>
              <w:t>validityPeriod</w:t>
            </w:r>
          </w:p>
        </w:tc>
        <w:tc>
          <w:tcPr>
            <w:tcW w:w="1259" w:type="dxa"/>
            <w:tcBorders>
              <w:top w:val="single" w:sz="6" w:space="0" w:color="auto"/>
              <w:left w:val="single" w:sz="6" w:space="0" w:color="auto"/>
              <w:bottom w:val="single" w:sz="6" w:space="0" w:color="auto"/>
              <w:right w:val="single" w:sz="6" w:space="0" w:color="auto"/>
            </w:tcBorders>
          </w:tcPr>
          <w:p w14:paraId="17091231" w14:textId="77777777" w:rsidR="00AD5F95" w:rsidRDefault="00AD5F95" w:rsidP="00AD5F95">
            <w:pPr>
              <w:pStyle w:val="TAL"/>
            </w:pPr>
            <w:r>
              <w:rPr>
                <w:rFonts w:eastAsia="等线"/>
                <w:lang w:eastAsia="zh-CN"/>
              </w:rPr>
              <w:t>TimeWindow</w:t>
            </w:r>
          </w:p>
        </w:tc>
        <w:tc>
          <w:tcPr>
            <w:tcW w:w="567" w:type="dxa"/>
            <w:tcBorders>
              <w:top w:val="single" w:sz="6" w:space="0" w:color="auto"/>
              <w:left w:val="single" w:sz="6" w:space="0" w:color="auto"/>
              <w:bottom w:val="single" w:sz="6" w:space="0" w:color="auto"/>
              <w:right w:val="single" w:sz="6" w:space="0" w:color="auto"/>
            </w:tcBorders>
          </w:tcPr>
          <w:p w14:paraId="520B90C8" w14:textId="77777777" w:rsidR="00AD5F95" w:rsidRDefault="00AD5F95" w:rsidP="00AD5F95">
            <w:pPr>
              <w:pStyle w:val="TAC"/>
              <w:rPr>
                <w:lang w:eastAsia="zh-CN"/>
              </w:rPr>
            </w:pPr>
            <w:r>
              <w:rPr>
                <w:lang w:eastAsia="zh-CN"/>
              </w:rPr>
              <w:t>O</w:t>
            </w:r>
          </w:p>
        </w:tc>
        <w:tc>
          <w:tcPr>
            <w:tcW w:w="1417" w:type="dxa"/>
            <w:tcBorders>
              <w:top w:val="single" w:sz="6" w:space="0" w:color="auto"/>
              <w:left w:val="single" w:sz="6" w:space="0" w:color="auto"/>
              <w:bottom w:val="single" w:sz="6" w:space="0" w:color="auto"/>
              <w:right w:val="single" w:sz="6" w:space="0" w:color="auto"/>
            </w:tcBorders>
          </w:tcPr>
          <w:p w14:paraId="20BE29BA" w14:textId="77777777" w:rsidR="00AD5F95" w:rsidRDefault="00AD5F95" w:rsidP="00AD5F95">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3A53974B" w14:textId="77777777" w:rsidR="00AD5F95" w:rsidRDefault="00AD5F95" w:rsidP="00AD5F95">
            <w:pPr>
              <w:pStyle w:val="TAL"/>
              <w:rPr>
                <w:lang w:val="en-US" w:eastAsia="zh-CN"/>
              </w:rPr>
            </w:pPr>
            <w:r>
              <w:rPr>
                <w:lang w:eastAsia="zh-CN"/>
              </w:rPr>
              <w:t>Represents</w:t>
            </w:r>
            <w:r>
              <w:t xml:space="preserve"> t</w:t>
            </w:r>
            <w:r>
              <w:rPr>
                <w:rFonts w:cs="Arial"/>
                <w:szCs w:val="18"/>
                <w:lang w:eastAsia="zh-CN"/>
              </w:rPr>
              <w:t>he</w:t>
            </w:r>
            <w:r>
              <w:rPr>
                <w:rFonts w:cs="Arial"/>
                <w:szCs w:val="18"/>
              </w:rPr>
              <w:t xml:space="preserve"> v</w:t>
            </w:r>
            <w:r>
              <w:t xml:space="preserve">alid period for </w:t>
            </w:r>
            <w:r>
              <w:rPr>
                <w:rFonts w:cs="Arial"/>
                <w:szCs w:val="18"/>
              </w:rPr>
              <w:t>the</w:t>
            </w:r>
            <w:r>
              <w:t xml:space="preserve"> End to End data transfer volume transfer time analytics</w:t>
            </w:r>
            <w:r>
              <w:rPr>
                <w:rFonts w:cs="Arial"/>
                <w:szCs w:val="18"/>
              </w:rPr>
              <w:t>.</w:t>
            </w:r>
          </w:p>
        </w:tc>
        <w:tc>
          <w:tcPr>
            <w:tcW w:w="1033" w:type="dxa"/>
            <w:tcBorders>
              <w:top w:val="single" w:sz="6" w:space="0" w:color="auto"/>
              <w:left w:val="single" w:sz="6" w:space="0" w:color="auto"/>
              <w:bottom w:val="single" w:sz="6" w:space="0" w:color="auto"/>
              <w:right w:val="single" w:sz="6" w:space="0" w:color="auto"/>
            </w:tcBorders>
          </w:tcPr>
          <w:p w14:paraId="33DFE01A" w14:textId="77777777" w:rsidR="00AD5F95" w:rsidRDefault="00AD5F95" w:rsidP="00AD5F95">
            <w:pPr>
              <w:pStyle w:val="TAL"/>
              <w:rPr>
                <w:rFonts w:cs="Arial"/>
                <w:szCs w:val="18"/>
              </w:rPr>
            </w:pPr>
          </w:p>
        </w:tc>
      </w:tr>
      <w:tr w:rsidR="005E22F6" w14:paraId="7EB324C7" w14:textId="77777777" w:rsidTr="005A20DD">
        <w:trPr>
          <w:jc w:val="center"/>
        </w:trPr>
        <w:tc>
          <w:tcPr>
            <w:tcW w:w="1427" w:type="dxa"/>
            <w:tcBorders>
              <w:top w:val="single" w:sz="6" w:space="0" w:color="auto"/>
              <w:left w:val="single" w:sz="6" w:space="0" w:color="auto"/>
              <w:bottom w:val="single" w:sz="6" w:space="0" w:color="auto"/>
              <w:right w:val="single" w:sz="6" w:space="0" w:color="auto"/>
            </w:tcBorders>
          </w:tcPr>
          <w:p w14:paraId="10CA9864" w14:textId="77777777" w:rsidR="005E22F6" w:rsidRDefault="005E22F6" w:rsidP="005A20DD">
            <w:pPr>
              <w:pStyle w:val="TAL"/>
              <w:rPr>
                <w:lang w:eastAsia="zh-CN"/>
              </w:rPr>
            </w:pPr>
            <w:r>
              <w:rPr>
                <w:lang w:eastAsia="zh-CN"/>
              </w:rPr>
              <w:t>dataVolTransTime</w:t>
            </w:r>
          </w:p>
        </w:tc>
        <w:tc>
          <w:tcPr>
            <w:tcW w:w="1259" w:type="dxa"/>
            <w:tcBorders>
              <w:top w:val="single" w:sz="6" w:space="0" w:color="auto"/>
              <w:left w:val="single" w:sz="6" w:space="0" w:color="auto"/>
              <w:bottom w:val="single" w:sz="6" w:space="0" w:color="auto"/>
              <w:right w:val="single" w:sz="6" w:space="0" w:color="auto"/>
            </w:tcBorders>
          </w:tcPr>
          <w:p w14:paraId="4744F55E" w14:textId="77777777" w:rsidR="005E22F6" w:rsidRDefault="005E22F6" w:rsidP="005A20DD">
            <w:pPr>
              <w:pStyle w:val="TAL"/>
              <w:rPr>
                <w:lang w:eastAsia="zh-CN"/>
              </w:rPr>
            </w:pPr>
            <w:r>
              <w:rPr>
                <w:lang w:eastAsia="zh-CN"/>
              </w:rPr>
              <w:t>DataVolume</w:t>
            </w:r>
            <w:r>
              <w:t>TransferTime</w:t>
            </w:r>
          </w:p>
        </w:tc>
        <w:tc>
          <w:tcPr>
            <w:tcW w:w="567" w:type="dxa"/>
            <w:tcBorders>
              <w:top w:val="single" w:sz="6" w:space="0" w:color="auto"/>
              <w:left w:val="single" w:sz="6" w:space="0" w:color="auto"/>
              <w:bottom w:val="single" w:sz="6" w:space="0" w:color="auto"/>
              <w:right w:val="single" w:sz="6" w:space="0" w:color="auto"/>
            </w:tcBorders>
          </w:tcPr>
          <w:p w14:paraId="3B85E41A" w14:textId="77777777" w:rsidR="005E22F6" w:rsidRDefault="005E22F6" w:rsidP="005A20DD">
            <w:pPr>
              <w:pStyle w:val="TAC"/>
            </w:pPr>
            <w:r>
              <w:t>O</w:t>
            </w:r>
          </w:p>
        </w:tc>
        <w:tc>
          <w:tcPr>
            <w:tcW w:w="1417" w:type="dxa"/>
            <w:tcBorders>
              <w:top w:val="single" w:sz="6" w:space="0" w:color="auto"/>
              <w:left w:val="single" w:sz="6" w:space="0" w:color="auto"/>
              <w:bottom w:val="single" w:sz="6" w:space="0" w:color="auto"/>
              <w:right w:val="single" w:sz="6" w:space="0" w:color="auto"/>
            </w:tcBorders>
          </w:tcPr>
          <w:p w14:paraId="1A8C81D4" w14:textId="77777777" w:rsidR="005E22F6" w:rsidRDefault="005E22F6" w:rsidP="005A20DD">
            <w:pPr>
              <w:pStyle w:val="TAL"/>
            </w:pPr>
            <w:r>
              <w:t>0..1</w:t>
            </w:r>
          </w:p>
        </w:tc>
        <w:tc>
          <w:tcPr>
            <w:tcW w:w="3672" w:type="dxa"/>
            <w:tcBorders>
              <w:top w:val="single" w:sz="6" w:space="0" w:color="auto"/>
              <w:left w:val="single" w:sz="6" w:space="0" w:color="auto"/>
              <w:bottom w:val="single" w:sz="6" w:space="0" w:color="auto"/>
              <w:right w:val="single" w:sz="6" w:space="0" w:color="auto"/>
            </w:tcBorders>
          </w:tcPr>
          <w:p w14:paraId="1B5D6754" w14:textId="77777777" w:rsidR="005E22F6" w:rsidRDefault="005E22F6" w:rsidP="005A20DD">
            <w:pPr>
              <w:pStyle w:val="TAL"/>
            </w:pPr>
            <w:r>
              <w:rPr>
                <w:lang w:eastAsia="zh-CN"/>
              </w:rPr>
              <w:t xml:space="preserve">Indicates the </w:t>
            </w:r>
            <w:r>
              <w:t>E2E data volume transfer time</w:t>
            </w:r>
            <w:r>
              <w:rPr>
                <w:lang w:eastAsia="zh-CN"/>
              </w:rPr>
              <w:t xml:space="preserve"> and the </w:t>
            </w:r>
            <w:r>
              <w:t>data volume used to derive the transfer time.</w:t>
            </w:r>
          </w:p>
        </w:tc>
        <w:tc>
          <w:tcPr>
            <w:tcW w:w="1033" w:type="dxa"/>
            <w:tcBorders>
              <w:top w:val="single" w:sz="6" w:space="0" w:color="auto"/>
              <w:left w:val="single" w:sz="6" w:space="0" w:color="auto"/>
              <w:bottom w:val="single" w:sz="6" w:space="0" w:color="auto"/>
              <w:right w:val="single" w:sz="6" w:space="0" w:color="auto"/>
            </w:tcBorders>
          </w:tcPr>
          <w:p w14:paraId="6951B5AA" w14:textId="77777777" w:rsidR="005E22F6" w:rsidRDefault="005E22F6" w:rsidP="005A20DD">
            <w:pPr>
              <w:pStyle w:val="TAL"/>
              <w:rPr>
                <w:rFonts w:cs="Arial"/>
                <w:szCs w:val="18"/>
              </w:rPr>
            </w:pPr>
          </w:p>
        </w:tc>
      </w:tr>
    </w:tbl>
    <w:p w14:paraId="3996E752" w14:textId="77777777" w:rsidR="005E22F6" w:rsidRDefault="005E22F6" w:rsidP="005E22F6"/>
    <w:p w14:paraId="6D350689" w14:textId="77777777" w:rsidR="00A10B25" w:rsidRDefault="00A10B25">
      <w:pPr>
        <w:pStyle w:val="5"/>
      </w:pPr>
      <w:bookmarkStart w:id="8026" w:name="_Toc164920861"/>
      <w:bookmarkStart w:id="8027" w:name="_Toc170120403"/>
      <w:bookmarkStart w:id="8028" w:name="_Toc175858648"/>
      <w:bookmarkStart w:id="8029" w:name="_Toc175859721"/>
      <w:bookmarkStart w:id="8030" w:name="_Toc180606011"/>
      <w:bookmarkStart w:id="8031" w:name="_Toc185517265"/>
      <w:bookmarkStart w:id="8032" w:name="_Toc191576316"/>
      <w:bookmarkStart w:id="8033" w:name="_Toc191577056"/>
      <w:bookmarkStart w:id="8034" w:name="_Toc192880126"/>
      <w:bookmarkStart w:id="8035" w:name="_Toc195815009"/>
      <w:bookmarkStart w:id="8036" w:name="_Toc199452976"/>
      <w:r>
        <w:lastRenderedPageBreak/>
        <w:t>5.1.6.2.87</w:t>
      </w:r>
      <w:r>
        <w:tab/>
        <w:t xml:space="preserve">Type </w:t>
      </w:r>
      <w:r>
        <w:rPr>
          <w:lang w:eastAsia="zh-CN"/>
        </w:rPr>
        <w:t>E2eDataVolTransTime</w:t>
      </w:r>
      <w:r>
        <w:t>UeList</w:t>
      </w:r>
      <w:bookmarkEnd w:id="8006"/>
      <w:bookmarkEnd w:id="8007"/>
      <w:bookmarkEnd w:id="8008"/>
      <w:bookmarkEnd w:id="8009"/>
      <w:bookmarkEnd w:id="8026"/>
      <w:bookmarkEnd w:id="8027"/>
      <w:bookmarkEnd w:id="8028"/>
      <w:bookmarkEnd w:id="8029"/>
      <w:bookmarkEnd w:id="8030"/>
      <w:bookmarkEnd w:id="8031"/>
      <w:bookmarkEnd w:id="8032"/>
      <w:bookmarkEnd w:id="8033"/>
      <w:bookmarkEnd w:id="8034"/>
      <w:bookmarkEnd w:id="8035"/>
      <w:bookmarkEnd w:id="8036"/>
    </w:p>
    <w:p w14:paraId="26489621" w14:textId="77777777" w:rsidR="00A10B25" w:rsidRDefault="00A10B25">
      <w:pPr>
        <w:pStyle w:val="TH"/>
      </w:pPr>
      <w:r>
        <w:t xml:space="preserve">Table 5.2.6.2.87-1: Definition of type </w:t>
      </w:r>
      <w:r>
        <w:rPr>
          <w:lang w:eastAsia="zh-CN"/>
        </w:rPr>
        <w:t>E2eDataVolTransTime</w:t>
      </w:r>
      <w:r>
        <w:t>UeList</w:t>
      </w:r>
    </w:p>
    <w:tbl>
      <w:tblPr>
        <w:tblW w:w="9611"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2"/>
        <w:gridCol w:w="1553"/>
        <w:gridCol w:w="425"/>
        <w:gridCol w:w="1130"/>
        <w:gridCol w:w="2824"/>
        <w:gridCol w:w="1817"/>
      </w:tblGrid>
      <w:tr w:rsidR="00A10B25" w14:paraId="24B25DF9" w14:textId="77777777" w:rsidTr="0076721C">
        <w:trPr>
          <w:jc w:val="center"/>
        </w:trPr>
        <w:tc>
          <w:tcPr>
            <w:tcW w:w="1862" w:type="dxa"/>
            <w:shd w:val="clear" w:color="auto" w:fill="C0C0C0"/>
          </w:tcPr>
          <w:p w14:paraId="49B43A3E" w14:textId="77777777" w:rsidR="00A10B25" w:rsidRDefault="00A10B25">
            <w:pPr>
              <w:pStyle w:val="TAH"/>
              <w:ind w:left="400" w:hanging="400"/>
            </w:pPr>
            <w:r>
              <w:t>Attribute name</w:t>
            </w:r>
          </w:p>
        </w:tc>
        <w:tc>
          <w:tcPr>
            <w:tcW w:w="1553" w:type="dxa"/>
            <w:shd w:val="clear" w:color="auto" w:fill="C0C0C0"/>
          </w:tcPr>
          <w:p w14:paraId="222B3697" w14:textId="77777777" w:rsidR="00A10B25" w:rsidRDefault="00A10B25">
            <w:pPr>
              <w:pStyle w:val="TAH"/>
              <w:ind w:left="400" w:hanging="400"/>
            </w:pPr>
            <w:r>
              <w:t>Data type</w:t>
            </w:r>
          </w:p>
        </w:tc>
        <w:tc>
          <w:tcPr>
            <w:tcW w:w="425" w:type="dxa"/>
            <w:shd w:val="clear" w:color="auto" w:fill="C0C0C0"/>
          </w:tcPr>
          <w:p w14:paraId="6ED9FF11" w14:textId="77777777" w:rsidR="00A10B25" w:rsidRDefault="00A10B25">
            <w:pPr>
              <w:pStyle w:val="TAH"/>
              <w:ind w:left="400" w:hanging="400"/>
            </w:pPr>
            <w:r>
              <w:t>P</w:t>
            </w:r>
          </w:p>
        </w:tc>
        <w:tc>
          <w:tcPr>
            <w:tcW w:w="1130" w:type="dxa"/>
            <w:shd w:val="clear" w:color="auto" w:fill="C0C0C0"/>
          </w:tcPr>
          <w:p w14:paraId="3C1B2291" w14:textId="77777777" w:rsidR="00A10B25" w:rsidRDefault="00A10B25">
            <w:pPr>
              <w:pStyle w:val="TAH"/>
              <w:ind w:left="400" w:hanging="400"/>
            </w:pPr>
            <w:r>
              <w:t>Cardinality</w:t>
            </w:r>
          </w:p>
        </w:tc>
        <w:tc>
          <w:tcPr>
            <w:tcW w:w="2824" w:type="dxa"/>
            <w:shd w:val="clear" w:color="auto" w:fill="C0C0C0"/>
          </w:tcPr>
          <w:p w14:paraId="7809E406" w14:textId="77777777" w:rsidR="00A10B25" w:rsidRDefault="00A10B25">
            <w:pPr>
              <w:pStyle w:val="TAH"/>
              <w:ind w:left="400" w:hanging="400"/>
            </w:pPr>
            <w:r>
              <w:t>Description</w:t>
            </w:r>
          </w:p>
        </w:tc>
        <w:tc>
          <w:tcPr>
            <w:tcW w:w="1817" w:type="dxa"/>
            <w:shd w:val="clear" w:color="auto" w:fill="C0C0C0"/>
          </w:tcPr>
          <w:p w14:paraId="2E7DA1BB" w14:textId="77777777" w:rsidR="00A10B25" w:rsidRDefault="00A10B25">
            <w:pPr>
              <w:pStyle w:val="TAH"/>
              <w:ind w:left="400" w:hanging="400"/>
            </w:pPr>
            <w:r>
              <w:t>Applicability</w:t>
            </w:r>
          </w:p>
        </w:tc>
      </w:tr>
      <w:tr w:rsidR="00A10B25" w14:paraId="412289B7" w14:textId="77777777" w:rsidTr="0076721C">
        <w:trPr>
          <w:jc w:val="center"/>
        </w:trPr>
        <w:tc>
          <w:tcPr>
            <w:tcW w:w="1862" w:type="dxa"/>
          </w:tcPr>
          <w:p w14:paraId="69CBE788" w14:textId="77777777" w:rsidR="00A10B25" w:rsidRDefault="00A10B25">
            <w:pPr>
              <w:pStyle w:val="TAL"/>
            </w:pPr>
            <w:r>
              <w:t>highLevel</w:t>
            </w:r>
          </w:p>
        </w:tc>
        <w:tc>
          <w:tcPr>
            <w:tcW w:w="1553" w:type="dxa"/>
          </w:tcPr>
          <w:p w14:paraId="4E7E3096" w14:textId="77777777" w:rsidR="00A10B25" w:rsidRDefault="00A10B25">
            <w:pPr>
              <w:pStyle w:val="TAL"/>
            </w:pPr>
            <w:r>
              <w:rPr>
                <w:lang w:eastAsia="zh-CN"/>
              </w:rPr>
              <w:t>array(Supi)</w:t>
            </w:r>
          </w:p>
        </w:tc>
        <w:tc>
          <w:tcPr>
            <w:tcW w:w="425" w:type="dxa"/>
          </w:tcPr>
          <w:p w14:paraId="5A1ABEB6" w14:textId="77777777" w:rsidR="00A10B25" w:rsidRDefault="00A10B25">
            <w:pPr>
              <w:pStyle w:val="TAC"/>
            </w:pPr>
            <w:r>
              <w:t>C</w:t>
            </w:r>
          </w:p>
        </w:tc>
        <w:tc>
          <w:tcPr>
            <w:tcW w:w="1130" w:type="dxa"/>
          </w:tcPr>
          <w:p w14:paraId="4F132C40" w14:textId="77777777" w:rsidR="00A10B25" w:rsidRDefault="00A10B25">
            <w:pPr>
              <w:pStyle w:val="TAL"/>
              <w:rPr>
                <w:lang w:eastAsia="zh-CN"/>
              </w:rPr>
            </w:pPr>
            <w:r>
              <w:rPr>
                <w:lang w:eastAsia="zh-CN"/>
              </w:rPr>
              <w:t>1..N</w:t>
            </w:r>
          </w:p>
        </w:tc>
        <w:tc>
          <w:tcPr>
            <w:tcW w:w="2824" w:type="dxa"/>
          </w:tcPr>
          <w:p w14:paraId="2D956ED0" w14:textId="77777777" w:rsidR="00A10B25" w:rsidRDefault="00A10B25">
            <w:pPr>
              <w:pStyle w:val="TAL"/>
              <w:rPr>
                <w:rFonts w:ascii="Times New Roman" w:hAnsi="Times New Roman"/>
                <w:sz w:val="20"/>
              </w:rPr>
            </w:pPr>
            <w:r>
              <w:t>A list of UEs whose transfer time has reached or greater than the threshold of high level. This attribute may be present if the event subscription includes threshold for high level.</w:t>
            </w:r>
          </w:p>
          <w:p w14:paraId="58C8FA0D" w14:textId="77777777" w:rsidR="00A10B25" w:rsidRDefault="00A10B25">
            <w:pPr>
              <w:pStyle w:val="TAL"/>
            </w:pPr>
            <w:r>
              <w:rPr>
                <w:rFonts w:cs="Arial"/>
                <w:szCs w:val="18"/>
              </w:rPr>
              <w:t>(NOTE)</w:t>
            </w:r>
          </w:p>
        </w:tc>
        <w:tc>
          <w:tcPr>
            <w:tcW w:w="1817" w:type="dxa"/>
          </w:tcPr>
          <w:p w14:paraId="312DB26B" w14:textId="77777777" w:rsidR="00A10B25" w:rsidRDefault="00A10B25">
            <w:pPr>
              <w:keepNext/>
              <w:keepLines/>
              <w:spacing w:after="0"/>
              <w:rPr>
                <w:rFonts w:ascii="Arial" w:hAnsi="Arial" w:cs="Arial"/>
                <w:sz w:val="18"/>
                <w:szCs w:val="18"/>
              </w:rPr>
            </w:pPr>
          </w:p>
        </w:tc>
      </w:tr>
      <w:tr w:rsidR="00A10B25" w14:paraId="3240EAFA" w14:textId="77777777" w:rsidTr="0076721C">
        <w:trPr>
          <w:jc w:val="center"/>
        </w:trPr>
        <w:tc>
          <w:tcPr>
            <w:tcW w:w="1862" w:type="dxa"/>
          </w:tcPr>
          <w:p w14:paraId="6509F8F6" w14:textId="77777777" w:rsidR="00A10B25" w:rsidRDefault="00A10B25">
            <w:pPr>
              <w:pStyle w:val="TAL"/>
            </w:pPr>
            <w:r>
              <w:t>mediumLevel</w:t>
            </w:r>
          </w:p>
        </w:tc>
        <w:tc>
          <w:tcPr>
            <w:tcW w:w="1553" w:type="dxa"/>
          </w:tcPr>
          <w:p w14:paraId="4AA0DA25" w14:textId="77777777" w:rsidR="00A10B25" w:rsidRDefault="00A10B25">
            <w:pPr>
              <w:pStyle w:val="TAL"/>
              <w:rPr>
                <w:lang w:eastAsia="zh-CN"/>
              </w:rPr>
            </w:pPr>
            <w:r>
              <w:rPr>
                <w:lang w:eastAsia="zh-CN"/>
              </w:rPr>
              <w:t>array(Supi)</w:t>
            </w:r>
          </w:p>
        </w:tc>
        <w:tc>
          <w:tcPr>
            <w:tcW w:w="425" w:type="dxa"/>
          </w:tcPr>
          <w:p w14:paraId="17DDA30C" w14:textId="77777777" w:rsidR="00A10B25" w:rsidRDefault="00A10B25">
            <w:pPr>
              <w:pStyle w:val="TAC"/>
            </w:pPr>
            <w:r>
              <w:t>C</w:t>
            </w:r>
          </w:p>
        </w:tc>
        <w:tc>
          <w:tcPr>
            <w:tcW w:w="1130" w:type="dxa"/>
          </w:tcPr>
          <w:p w14:paraId="2CC4C287" w14:textId="77777777" w:rsidR="00A10B25" w:rsidRDefault="00A10B25">
            <w:pPr>
              <w:pStyle w:val="TAL"/>
            </w:pPr>
            <w:r>
              <w:rPr>
                <w:lang w:eastAsia="zh-CN"/>
              </w:rPr>
              <w:t>1..N</w:t>
            </w:r>
          </w:p>
        </w:tc>
        <w:tc>
          <w:tcPr>
            <w:tcW w:w="2824" w:type="dxa"/>
          </w:tcPr>
          <w:p w14:paraId="13676D3E" w14:textId="77777777" w:rsidR="00A10B25" w:rsidRDefault="00A10B25">
            <w:pPr>
              <w:pStyle w:val="TAL"/>
              <w:rPr>
                <w:rFonts w:cs="Arial"/>
                <w:szCs w:val="18"/>
              </w:rPr>
            </w:pPr>
            <w:r>
              <w:t>A list of UEs whose transfer time is within the threshold range of medium level. This attribute may be present if the value of "highTransTmThr" is greater than the value of "lowTransTmThr".</w:t>
            </w:r>
          </w:p>
          <w:p w14:paraId="01D69FD8" w14:textId="77777777" w:rsidR="00A10B25" w:rsidRDefault="00A10B25">
            <w:pPr>
              <w:pStyle w:val="TAL"/>
            </w:pPr>
            <w:r>
              <w:rPr>
                <w:rFonts w:cs="Arial"/>
                <w:szCs w:val="18"/>
              </w:rPr>
              <w:t>(NOTE)</w:t>
            </w:r>
          </w:p>
        </w:tc>
        <w:tc>
          <w:tcPr>
            <w:tcW w:w="1817" w:type="dxa"/>
          </w:tcPr>
          <w:p w14:paraId="21BEDD6A" w14:textId="77777777" w:rsidR="00A10B25" w:rsidRDefault="00A10B25">
            <w:pPr>
              <w:keepNext/>
              <w:keepLines/>
              <w:spacing w:after="0"/>
              <w:rPr>
                <w:rFonts w:ascii="Arial" w:hAnsi="Arial" w:cs="Arial"/>
                <w:sz w:val="18"/>
                <w:szCs w:val="18"/>
              </w:rPr>
            </w:pPr>
          </w:p>
        </w:tc>
      </w:tr>
      <w:tr w:rsidR="00A10B25" w14:paraId="0C739FF5" w14:textId="77777777" w:rsidTr="0076721C">
        <w:trPr>
          <w:jc w:val="center"/>
        </w:trPr>
        <w:tc>
          <w:tcPr>
            <w:tcW w:w="1862" w:type="dxa"/>
          </w:tcPr>
          <w:p w14:paraId="7F833D87" w14:textId="77777777" w:rsidR="00A10B25" w:rsidRDefault="00A10B25">
            <w:pPr>
              <w:pStyle w:val="TAL"/>
            </w:pPr>
            <w:r>
              <w:t>lowLevel</w:t>
            </w:r>
          </w:p>
        </w:tc>
        <w:tc>
          <w:tcPr>
            <w:tcW w:w="1553" w:type="dxa"/>
          </w:tcPr>
          <w:p w14:paraId="68DC5389" w14:textId="77777777" w:rsidR="00A10B25" w:rsidRDefault="00A10B25">
            <w:pPr>
              <w:pStyle w:val="TAL"/>
              <w:rPr>
                <w:lang w:eastAsia="zh-CN"/>
              </w:rPr>
            </w:pPr>
            <w:r>
              <w:rPr>
                <w:lang w:eastAsia="zh-CN"/>
              </w:rPr>
              <w:t>array(Supi)</w:t>
            </w:r>
          </w:p>
        </w:tc>
        <w:tc>
          <w:tcPr>
            <w:tcW w:w="425" w:type="dxa"/>
          </w:tcPr>
          <w:p w14:paraId="677D9365" w14:textId="77777777" w:rsidR="00A10B25" w:rsidRDefault="00A10B25">
            <w:pPr>
              <w:pStyle w:val="TAC"/>
            </w:pPr>
            <w:r>
              <w:t>C</w:t>
            </w:r>
          </w:p>
        </w:tc>
        <w:tc>
          <w:tcPr>
            <w:tcW w:w="1130" w:type="dxa"/>
          </w:tcPr>
          <w:p w14:paraId="578C87B8" w14:textId="77777777" w:rsidR="00A10B25" w:rsidRDefault="00A10B25">
            <w:pPr>
              <w:pStyle w:val="TAL"/>
            </w:pPr>
            <w:r>
              <w:rPr>
                <w:lang w:eastAsia="zh-CN"/>
              </w:rPr>
              <w:t>1..N</w:t>
            </w:r>
          </w:p>
        </w:tc>
        <w:tc>
          <w:tcPr>
            <w:tcW w:w="2824" w:type="dxa"/>
          </w:tcPr>
          <w:p w14:paraId="453F8B9D" w14:textId="77777777" w:rsidR="00A10B25" w:rsidRDefault="00A10B25">
            <w:pPr>
              <w:pStyle w:val="TAL"/>
              <w:rPr>
                <w:rFonts w:cs="Arial"/>
                <w:szCs w:val="18"/>
              </w:rPr>
            </w:pPr>
            <w:r>
              <w:t>A list of UEs whose transfer time has reached or lower than the threshold of low level. This attribute may be present if the event subscription includes threshold for low level.</w:t>
            </w:r>
          </w:p>
          <w:p w14:paraId="31DBE3D9" w14:textId="77777777" w:rsidR="00A10B25" w:rsidRDefault="00A10B25">
            <w:pPr>
              <w:pStyle w:val="TAL"/>
            </w:pPr>
            <w:r>
              <w:rPr>
                <w:rFonts w:cs="Arial"/>
                <w:szCs w:val="18"/>
              </w:rPr>
              <w:t>(NOTE)</w:t>
            </w:r>
          </w:p>
        </w:tc>
        <w:tc>
          <w:tcPr>
            <w:tcW w:w="1817" w:type="dxa"/>
          </w:tcPr>
          <w:p w14:paraId="5BC0BF31" w14:textId="77777777" w:rsidR="00A10B25" w:rsidRDefault="00A10B25">
            <w:pPr>
              <w:keepNext/>
              <w:keepLines/>
              <w:spacing w:after="0"/>
              <w:rPr>
                <w:rFonts w:ascii="Arial" w:hAnsi="Arial" w:cs="Arial"/>
                <w:sz w:val="18"/>
                <w:szCs w:val="18"/>
              </w:rPr>
            </w:pPr>
          </w:p>
        </w:tc>
      </w:tr>
      <w:tr w:rsidR="00A10B25" w14:paraId="1E3B94EE" w14:textId="77777777" w:rsidTr="0076721C">
        <w:trPr>
          <w:jc w:val="center"/>
        </w:trPr>
        <w:tc>
          <w:tcPr>
            <w:tcW w:w="1862" w:type="dxa"/>
          </w:tcPr>
          <w:p w14:paraId="4ACC35B9" w14:textId="77777777" w:rsidR="00A10B25" w:rsidRDefault="00A10B25">
            <w:pPr>
              <w:pStyle w:val="TAL"/>
            </w:pPr>
            <w:r>
              <w:t>highRatio</w:t>
            </w:r>
          </w:p>
        </w:tc>
        <w:tc>
          <w:tcPr>
            <w:tcW w:w="1553" w:type="dxa"/>
          </w:tcPr>
          <w:p w14:paraId="1735CB22" w14:textId="77777777" w:rsidR="00A10B25" w:rsidRDefault="00A10B25">
            <w:pPr>
              <w:pStyle w:val="TAL"/>
              <w:rPr>
                <w:lang w:eastAsia="zh-CN"/>
              </w:rPr>
            </w:pPr>
            <w:r>
              <w:t>SamplingRatio</w:t>
            </w:r>
          </w:p>
        </w:tc>
        <w:tc>
          <w:tcPr>
            <w:tcW w:w="425" w:type="dxa"/>
          </w:tcPr>
          <w:p w14:paraId="05BE916D" w14:textId="77777777" w:rsidR="00A10B25" w:rsidRDefault="00A10B25">
            <w:pPr>
              <w:pStyle w:val="TAC"/>
            </w:pPr>
            <w:r>
              <w:t>C</w:t>
            </w:r>
          </w:p>
        </w:tc>
        <w:tc>
          <w:tcPr>
            <w:tcW w:w="1130" w:type="dxa"/>
          </w:tcPr>
          <w:p w14:paraId="7ADDAD4E" w14:textId="77777777" w:rsidR="00A10B25" w:rsidRDefault="00A10B25">
            <w:pPr>
              <w:pStyle w:val="TAL"/>
              <w:rPr>
                <w:lang w:eastAsia="zh-CN"/>
              </w:rPr>
            </w:pPr>
            <w:r>
              <w:rPr>
                <w:lang w:eastAsia="zh-CN"/>
              </w:rPr>
              <w:t>0..1</w:t>
            </w:r>
          </w:p>
        </w:tc>
        <w:tc>
          <w:tcPr>
            <w:tcW w:w="2824" w:type="dxa"/>
          </w:tcPr>
          <w:p w14:paraId="254E77B5" w14:textId="77777777" w:rsidR="00A10B25" w:rsidRDefault="00A10B25">
            <w:pPr>
              <w:pStyle w:val="TAL"/>
              <w:rPr>
                <w:rFonts w:cs="Arial"/>
                <w:szCs w:val="18"/>
                <w:lang w:eastAsia="zh-CN"/>
              </w:rPr>
            </w:pPr>
            <w:r>
              <w:rPr>
                <w:rFonts w:cs="Arial"/>
                <w:szCs w:val="18"/>
                <w:lang w:eastAsia="zh-CN"/>
              </w:rPr>
              <w:t>This attribute contains r</w:t>
            </w:r>
            <w:r>
              <w:t>atio of UEs per E2E data volume transfer time for high level class</w:t>
            </w:r>
            <w:r>
              <w:rPr>
                <w:rFonts w:cs="Arial"/>
                <w:szCs w:val="18"/>
                <w:lang w:eastAsia="zh-CN"/>
              </w:rPr>
              <w:t>.</w:t>
            </w:r>
          </w:p>
          <w:p w14:paraId="4E5323A9" w14:textId="77777777" w:rsidR="00A10B25" w:rsidRDefault="00A10B25">
            <w:pPr>
              <w:pStyle w:val="TAL"/>
            </w:pPr>
            <w:r>
              <w:rPr>
                <w:rFonts w:cs="Arial"/>
                <w:szCs w:val="18"/>
                <w:lang w:eastAsia="zh-CN"/>
              </w:rPr>
              <w:t>Shall be present if the analytics result applies for a group of UEs</w:t>
            </w:r>
            <w:r>
              <w:rPr>
                <w:lang w:eastAsia="zh-CN"/>
              </w:rPr>
              <w:t>.</w:t>
            </w:r>
          </w:p>
        </w:tc>
        <w:tc>
          <w:tcPr>
            <w:tcW w:w="1817" w:type="dxa"/>
          </w:tcPr>
          <w:p w14:paraId="668BDA1E" w14:textId="77777777" w:rsidR="00A10B25" w:rsidRDefault="00A10B25">
            <w:pPr>
              <w:keepNext/>
              <w:keepLines/>
              <w:spacing w:after="0"/>
              <w:rPr>
                <w:rFonts w:ascii="Arial" w:hAnsi="Arial" w:cs="Arial"/>
                <w:sz w:val="18"/>
                <w:szCs w:val="18"/>
              </w:rPr>
            </w:pPr>
          </w:p>
        </w:tc>
      </w:tr>
      <w:tr w:rsidR="00A10B25" w14:paraId="0701D4B4" w14:textId="77777777" w:rsidTr="0076721C">
        <w:trPr>
          <w:jc w:val="center"/>
        </w:trPr>
        <w:tc>
          <w:tcPr>
            <w:tcW w:w="1862" w:type="dxa"/>
          </w:tcPr>
          <w:p w14:paraId="6ECD34BE" w14:textId="77777777" w:rsidR="00A10B25" w:rsidRDefault="00A10B25">
            <w:pPr>
              <w:pStyle w:val="TAL"/>
            </w:pPr>
            <w:r>
              <w:t>mediumRatio</w:t>
            </w:r>
          </w:p>
        </w:tc>
        <w:tc>
          <w:tcPr>
            <w:tcW w:w="1553" w:type="dxa"/>
          </w:tcPr>
          <w:p w14:paraId="516D4566" w14:textId="77777777" w:rsidR="00A10B25" w:rsidRDefault="00A10B25">
            <w:pPr>
              <w:pStyle w:val="TAL"/>
            </w:pPr>
            <w:r>
              <w:t>SamplingRatio</w:t>
            </w:r>
          </w:p>
        </w:tc>
        <w:tc>
          <w:tcPr>
            <w:tcW w:w="425" w:type="dxa"/>
          </w:tcPr>
          <w:p w14:paraId="680C34F1" w14:textId="77777777" w:rsidR="00A10B25" w:rsidRDefault="00A10B25">
            <w:pPr>
              <w:pStyle w:val="TAC"/>
            </w:pPr>
            <w:r>
              <w:t>C</w:t>
            </w:r>
          </w:p>
        </w:tc>
        <w:tc>
          <w:tcPr>
            <w:tcW w:w="1130" w:type="dxa"/>
          </w:tcPr>
          <w:p w14:paraId="3757E80E" w14:textId="77777777" w:rsidR="00A10B25" w:rsidRDefault="00A10B25">
            <w:pPr>
              <w:pStyle w:val="TAL"/>
              <w:rPr>
                <w:lang w:eastAsia="zh-CN"/>
              </w:rPr>
            </w:pPr>
            <w:r>
              <w:rPr>
                <w:lang w:eastAsia="zh-CN"/>
              </w:rPr>
              <w:t>0..1</w:t>
            </w:r>
          </w:p>
        </w:tc>
        <w:tc>
          <w:tcPr>
            <w:tcW w:w="2824" w:type="dxa"/>
          </w:tcPr>
          <w:p w14:paraId="426E2725" w14:textId="77777777" w:rsidR="00A10B25" w:rsidRDefault="00A10B25">
            <w:pPr>
              <w:pStyle w:val="TAL"/>
              <w:rPr>
                <w:rFonts w:cs="Arial"/>
                <w:szCs w:val="18"/>
                <w:lang w:eastAsia="zh-CN"/>
              </w:rPr>
            </w:pPr>
            <w:r>
              <w:rPr>
                <w:rFonts w:cs="Arial"/>
                <w:szCs w:val="18"/>
                <w:lang w:eastAsia="zh-CN"/>
              </w:rPr>
              <w:t>This attribute contains r</w:t>
            </w:r>
            <w:r>
              <w:t>atio of UEs per E2E data volume transfer time for medium level class</w:t>
            </w:r>
            <w:r>
              <w:rPr>
                <w:rFonts w:cs="Arial"/>
                <w:szCs w:val="18"/>
                <w:lang w:eastAsia="zh-CN"/>
              </w:rPr>
              <w:t>.</w:t>
            </w:r>
          </w:p>
          <w:p w14:paraId="16E089EA" w14:textId="77777777" w:rsidR="00A10B25" w:rsidRDefault="00A10B25">
            <w:pPr>
              <w:pStyle w:val="TAL"/>
              <w:rPr>
                <w:rFonts w:cs="Arial"/>
                <w:szCs w:val="18"/>
                <w:lang w:eastAsia="zh-CN"/>
              </w:rPr>
            </w:pPr>
            <w:r>
              <w:rPr>
                <w:rFonts w:cs="Arial"/>
                <w:szCs w:val="18"/>
                <w:lang w:eastAsia="zh-CN"/>
              </w:rPr>
              <w:t>Shall be present if the analytics result applies for a group of UEs</w:t>
            </w:r>
            <w:r>
              <w:rPr>
                <w:lang w:eastAsia="zh-CN"/>
              </w:rPr>
              <w:t>.</w:t>
            </w:r>
          </w:p>
        </w:tc>
        <w:tc>
          <w:tcPr>
            <w:tcW w:w="1817" w:type="dxa"/>
          </w:tcPr>
          <w:p w14:paraId="3F1796D2" w14:textId="77777777" w:rsidR="00A10B25" w:rsidRDefault="00A10B25">
            <w:pPr>
              <w:keepNext/>
              <w:keepLines/>
              <w:spacing w:after="0"/>
              <w:rPr>
                <w:rFonts w:ascii="Arial" w:hAnsi="Arial" w:cs="Arial"/>
                <w:sz w:val="18"/>
                <w:szCs w:val="18"/>
              </w:rPr>
            </w:pPr>
          </w:p>
        </w:tc>
      </w:tr>
      <w:tr w:rsidR="00A10B25" w14:paraId="1732C8A9" w14:textId="77777777" w:rsidTr="0076721C">
        <w:trPr>
          <w:jc w:val="center"/>
        </w:trPr>
        <w:tc>
          <w:tcPr>
            <w:tcW w:w="1862" w:type="dxa"/>
          </w:tcPr>
          <w:p w14:paraId="6C49ABC5" w14:textId="77777777" w:rsidR="00A10B25" w:rsidRDefault="00A10B25">
            <w:pPr>
              <w:pStyle w:val="TAL"/>
            </w:pPr>
            <w:r>
              <w:t>lowRatio</w:t>
            </w:r>
          </w:p>
        </w:tc>
        <w:tc>
          <w:tcPr>
            <w:tcW w:w="1553" w:type="dxa"/>
          </w:tcPr>
          <w:p w14:paraId="614F8F1D" w14:textId="77777777" w:rsidR="00A10B25" w:rsidRDefault="00A10B25">
            <w:pPr>
              <w:pStyle w:val="TAL"/>
            </w:pPr>
            <w:r>
              <w:t>SamplingRatio</w:t>
            </w:r>
          </w:p>
        </w:tc>
        <w:tc>
          <w:tcPr>
            <w:tcW w:w="425" w:type="dxa"/>
          </w:tcPr>
          <w:p w14:paraId="443230C3" w14:textId="77777777" w:rsidR="00A10B25" w:rsidRDefault="00A10B25">
            <w:pPr>
              <w:pStyle w:val="TAC"/>
            </w:pPr>
            <w:r>
              <w:t>C</w:t>
            </w:r>
          </w:p>
        </w:tc>
        <w:tc>
          <w:tcPr>
            <w:tcW w:w="1130" w:type="dxa"/>
          </w:tcPr>
          <w:p w14:paraId="548591E3" w14:textId="77777777" w:rsidR="00A10B25" w:rsidRDefault="00A10B25">
            <w:pPr>
              <w:pStyle w:val="TAL"/>
              <w:rPr>
                <w:lang w:eastAsia="zh-CN"/>
              </w:rPr>
            </w:pPr>
            <w:r>
              <w:rPr>
                <w:lang w:eastAsia="zh-CN"/>
              </w:rPr>
              <w:t>0..1</w:t>
            </w:r>
          </w:p>
        </w:tc>
        <w:tc>
          <w:tcPr>
            <w:tcW w:w="2824" w:type="dxa"/>
          </w:tcPr>
          <w:p w14:paraId="233AA4A2" w14:textId="77777777" w:rsidR="00A10B25" w:rsidRDefault="00A10B25">
            <w:pPr>
              <w:pStyle w:val="TAL"/>
              <w:rPr>
                <w:rFonts w:cs="Arial"/>
                <w:szCs w:val="18"/>
                <w:lang w:eastAsia="zh-CN"/>
              </w:rPr>
            </w:pPr>
            <w:r>
              <w:rPr>
                <w:rFonts w:cs="Arial"/>
                <w:szCs w:val="18"/>
                <w:lang w:eastAsia="zh-CN"/>
              </w:rPr>
              <w:t>This attribute contains r</w:t>
            </w:r>
            <w:r>
              <w:t>atio of UEs per E2E data volume transfer for low level time class</w:t>
            </w:r>
            <w:r>
              <w:rPr>
                <w:rFonts w:cs="Arial"/>
                <w:szCs w:val="18"/>
                <w:lang w:eastAsia="zh-CN"/>
              </w:rPr>
              <w:t>.</w:t>
            </w:r>
          </w:p>
          <w:p w14:paraId="1BCA954C" w14:textId="77777777" w:rsidR="00A10B25" w:rsidRDefault="00A10B25">
            <w:pPr>
              <w:pStyle w:val="TAL"/>
              <w:rPr>
                <w:rFonts w:cs="Arial"/>
                <w:szCs w:val="18"/>
                <w:lang w:eastAsia="zh-CN"/>
              </w:rPr>
            </w:pPr>
            <w:r>
              <w:rPr>
                <w:rFonts w:cs="Arial"/>
                <w:szCs w:val="18"/>
                <w:lang w:eastAsia="zh-CN"/>
              </w:rPr>
              <w:t>Shall be present if the analytics result applies for a group of UEs</w:t>
            </w:r>
            <w:r>
              <w:rPr>
                <w:lang w:eastAsia="zh-CN"/>
              </w:rPr>
              <w:t>.</w:t>
            </w:r>
          </w:p>
        </w:tc>
        <w:tc>
          <w:tcPr>
            <w:tcW w:w="1817" w:type="dxa"/>
          </w:tcPr>
          <w:p w14:paraId="45CE5229" w14:textId="77777777" w:rsidR="00A10B25" w:rsidRDefault="00A10B25">
            <w:pPr>
              <w:keepNext/>
              <w:keepLines/>
              <w:spacing w:after="0"/>
              <w:rPr>
                <w:rFonts w:ascii="Arial" w:hAnsi="Arial" w:cs="Arial"/>
                <w:sz w:val="18"/>
                <w:szCs w:val="18"/>
              </w:rPr>
            </w:pPr>
          </w:p>
        </w:tc>
      </w:tr>
      <w:tr w:rsidR="00A10B25" w14:paraId="1BFCFBE8" w14:textId="77777777" w:rsidTr="0076721C">
        <w:trPr>
          <w:jc w:val="center"/>
        </w:trPr>
        <w:tc>
          <w:tcPr>
            <w:tcW w:w="1862" w:type="dxa"/>
          </w:tcPr>
          <w:p w14:paraId="1248C61A" w14:textId="77777777" w:rsidR="00A10B25" w:rsidRDefault="00A10B25">
            <w:pPr>
              <w:pStyle w:val="TAL"/>
            </w:pPr>
            <w:r>
              <w:rPr>
                <w:rFonts w:hint="eastAsia"/>
                <w:lang w:eastAsia="zh-CN"/>
              </w:rPr>
              <w:t>s</w:t>
            </w:r>
            <w:r>
              <w:rPr>
                <w:lang w:eastAsia="zh-CN"/>
              </w:rPr>
              <w:t>patialVal</w:t>
            </w:r>
            <w:r>
              <w:rPr>
                <w:rFonts w:hint="eastAsia"/>
                <w:lang w:eastAsia="zh-CN"/>
              </w:rPr>
              <w:t>i</w:t>
            </w:r>
            <w:r>
              <w:rPr>
                <w:lang w:eastAsia="zh-CN"/>
              </w:rPr>
              <w:t>dity</w:t>
            </w:r>
          </w:p>
        </w:tc>
        <w:tc>
          <w:tcPr>
            <w:tcW w:w="1553" w:type="dxa"/>
          </w:tcPr>
          <w:p w14:paraId="0CE48A99" w14:textId="77777777" w:rsidR="00A10B25" w:rsidRDefault="00A10B25">
            <w:pPr>
              <w:pStyle w:val="TAL"/>
            </w:pPr>
            <w:r>
              <w:rPr>
                <w:lang w:eastAsia="zh-CN"/>
              </w:rPr>
              <w:t>NetworkAreaInfo</w:t>
            </w:r>
          </w:p>
        </w:tc>
        <w:tc>
          <w:tcPr>
            <w:tcW w:w="425" w:type="dxa"/>
          </w:tcPr>
          <w:p w14:paraId="36A5B712" w14:textId="77777777" w:rsidR="00A10B25" w:rsidRDefault="00A10B25">
            <w:pPr>
              <w:pStyle w:val="TAC"/>
            </w:pPr>
            <w:r>
              <w:rPr>
                <w:lang w:eastAsia="zh-CN"/>
              </w:rPr>
              <w:t>C</w:t>
            </w:r>
          </w:p>
        </w:tc>
        <w:tc>
          <w:tcPr>
            <w:tcW w:w="1130" w:type="dxa"/>
          </w:tcPr>
          <w:p w14:paraId="0E6CFCD1" w14:textId="77777777" w:rsidR="00A10B25" w:rsidRDefault="00A10B25">
            <w:pPr>
              <w:pStyle w:val="TAL"/>
              <w:rPr>
                <w:lang w:eastAsia="zh-CN"/>
              </w:rPr>
            </w:pPr>
            <w:r>
              <w:t>0..1</w:t>
            </w:r>
          </w:p>
        </w:tc>
        <w:tc>
          <w:tcPr>
            <w:tcW w:w="2824" w:type="dxa"/>
          </w:tcPr>
          <w:p w14:paraId="062B9826" w14:textId="77777777" w:rsidR="00A10B25" w:rsidRDefault="00A10B25">
            <w:pPr>
              <w:pStyle w:val="TAL"/>
              <w:rPr>
                <w:rFonts w:cs="Arial"/>
                <w:szCs w:val="18"/>
                <w:lang w:eastAsia="zh-CN"/>
              </w:rPr>
            </w:pPr>
            <w:r>
              <w:rPr>
                <w:rFonts w:hint="eastAsia"/>
                <w:lang w:eastAsia="zh-CN"/>
              </w:rPr>
              <w:t>Represents</w:t>
            </w:r>
            <w:r>
              <w:t xml:space="preserve"> the</w:t>
            </w:r>
            <w:r>
              <w:rPr>
                <w:rFonts w:hint="eastAsia"/>
                <w:lang w:eastAsia="zh-CN"/>
              </w:rPr>
              <w:t xml:space="preserve"> </w:t>
            </w:r>
            <w:r>
              <w:t>area where the Classified E2E data volume transfer times for a list of UEs analytics applies.</w:t>
            </w:r>
            <w:r>
              <w:rPr>
                <w:rFonts w:cs="Arial"/>
                <w:szCs w:val="18"/>
              </w:rPr>
              <w:t xml:space="preserve"> Shall be present if "networkArea" attribute was provided in the request or subscription.</w:t>
            </w:r>
          </w:p>
        </w:tc>
        <w:tc>
          <w:tcPr>
            <w:tcW w:w="1817" w:type="dxa"/>
          </w:tcPr>
          <w:p w14:paraId="5178A273" w14:textId="77777777" w:rsidR="00A10B25" w:rsidRDefault="00A10B25">
            <w:pPr>
              <w:keepNext/>
              <w:keepLines/>
              <w:spacing w:after="0"/>
              <w:rPr>
                <w:rFonts w:ascii="Arial" w:hAnsi="Arial" w:cs="Arial"/>
                <w:sz w:val="18"/>
                <w:szCs w:val="18"/>
              </w:rPr>
            </w:pPr>
          </w:p>
        </w:tc>
      </w:tr>
      <w:tr w:rsidR="00A10B25" w14:paraId="68659AF1" w14:textId="77777777" w:rsidTr="0076721C">
        <w:trPr>
          <w:jc w:val="center"/>
        </w:trPr>
        <w:tc>
          <w:tcPr>
            <w:tcW w:w="1862" w:type="dxa"/>
          </w:tcPr>
          <w:p w14:paraId="5358BCDC" w14:textId="77777777" w:rsidR="00A10B25" w:rsidRDefault="00A10B25">
            <w:pPr>
              <w:pStyle w:val="TAL"/>
            </w:pPr>
            <w:r>
              <w:rPr>
                <w:lang w:eastAsia="zh-CN"/>
              </w:rPr>
              <w:t>validityPeriod</w:t>
            </w:r>
          </w:p>
        </w:tc>
        <w:tc>
          <w:tcPr>
            <w:tcW w:w="1553" w:type="dxa"/>
          </w:tcPr>
          <w:p w14:paraId="0E522C00" w14:textId="77777777" w:rsidR="00A10B25" w:rsidRDefault="00A10B25">
            <w:pPr>
              <w:pStyle w:val="TAL"/>
            </w:pPr>
            <w:r>
              <w:rPr>
                <w:rFonts w:eastAsia="等线"/>
                <w:lang w:eastAsia="zh-CN"/>
              </w:rPr>
              <w:t>TimeWindow</w:t>
            </w:r>
          </w:p>
        </w:tc>
        <w:tc>
          <w:tcPr>
            <w:tcW w:w="425" w:type="dxa"/>
          </w:tcPr>
          <w:p w14:paraId="016EBAF2" w14:textId="77777777" w:rsidR="00A10B25" w:rsidRDefault="00A10B25">
            <w:pPr>
              <w:pStyle w:val="TAC"/>
            </w:pPr>
            <w:r>
              <w:rPr>
                <w:rFonts w:hint="eastAsia"/>
                <w:lang w:eastAsia="zh-CN"/>
              </w:rPr>
              <w:t>O</w:t>
            </w:r>
          </w:p>
        </w:tc>
        <w:tc>
          <w:tcPr>
            <w:tcW w:w="1130" w:type="dxa"/>
          </w:tcPr>
          <w:p w14:paraId="10067935" w14:textId="77777777" w:rsidR="00A10B25" w:rsidRDefault="00A10B25">
            <w:pPr>
              <w:pStyle w:val="TAL"/>
              <w:rPr>
                <w:lang w:eastAsia="zh-CN"/>
              </w:rPr>
            </w:pPr>
            <w:r>
              <w:t>0..1</w:t>
            </w:r>
          </w:p>
        </w:tc>
        <w:tc>
          <w:tcPr>
            <w:tcW w:w="2824" w:type="dxa"/>
          </w:tcPr>
          <w:p w14:paraId="6364AEEF" w14:textId="77777777" w:rsidR="00A10B25" w:rsidRDefault="00A10B25">
            <w:pPr>
              <w:pStyle w:val="TAL"/>
              <w:rPr>
                <w:rFonts w:cs="Arial"/>
                <w:szCs w:val="18"/>
                <w:lang w:eastAsia="zh-CN"/>
              </w:rPr>
            </w:pPr>
            <w:r>
              <w:rPr>
                <w:rFonts w:hint="eastAsia"/>
                <w:lang w:eastAsia="zh-CN"/>
              </w:rPr>
              <w:t>Represents</w:t>
            </w:r>
            <w:r>
              <w:t xml:space="preserve"> the validity period for the Classified E2E data volume transfer times for a list of UEs statistics</w:t>
            </w:r>
            <w:r>
              <w:rPr>
                <w:rFonts w:cs="Arial"/>
                <w:szCs w:val="18"/>
              </w:rPr>
              <w:t>.</w:t>
            </w:r>
          </w:p>
        </w:tc>
        <w:tc>
          <w:tcPr>
            <w:tcW w:w="1817" w:type="dxa"/>
          </w:tcPr>
          <w:p w14:paraId="2897F382" w14:textId="77777777" w:rsidR="00A10B25" w:rsidRDefault="00A10B25">
            <w:pPr>
              <w:keepNext/>
              <w:keepLines/>
              <w:spacing w:after="0"/>
              <w:rPr>
                <w:rFonts w:ascii="Arial" w:hAnsi="Arial" w:cs="Arial"/>
                <w:sz w:val="18"/>
                <w:szCs w:val="18"/>
              </w:rPr>
            </w:pPr>
          </w:p>
        </w:tc>
      </w:tr>
      <w:tr w:rsidR="00A10B25" w14:paraId="21636EDD" w14:textId="77777777" w:rsidTr="0076721C">
        <w:trPr>
          <w:jc w:val="center"/>
        </w:trPr>
        <w:tc>
          <w:tcPr>
            <w:tcW w:w="9611" w:type="dxa"/>
            <w:gridSpan w:val="6"/>
          </w:tcPr>
          <w:p w14:paraId="1CF5EBCA" w14:textId="77777777" w:rsidR="00A10B25" w:rsidRDefault="00A10B25">
            <w:pPr>
              <w:pStyle w:val="TAN"/>
              <w:rPr>
                <w:rFonts w:cs="Arial"/>
                <w:szCs w:val="18"/>
              </w:rPr>
            </w:pPr>
            <w:r>
              <w:rPr>
                <w:lang w:eastAsia="zh-CN"/>
              </w:rPr>
              <w:t>NOTE:</w:t>
            </w:r>
            <w:r>
              <w:rPr>
                <w:lang w:eastAsia="zh-CN"/>
              </w:rPr>
              <w:tab/>
              <w:t>At least one of "</w:t>
            </w:r>
            <w:r>
              <w:t>highLevel</w:t>
            </w:r>
            <w:r>
              <w:rPr>
                <w:lang w:eastAsia="zh-CN"/>
              </w:rPr>
              <w:t>", "</w:t>
            </w:r>
            <w:r>
              <w:t>mediumLevel</w:t>
            </w:r>
            <w:r>
              <w:rPr>
                <w:lang w:eastAsia="zh-CN"/>
              </w:rPr>
              <w:t>" or "</w:t>
            </w:r>
            <w:r>
              <w:t>lowLevel</w:t>
            </w:r>
            <w:r>
              <w:rPr>
                <w:lang w:eastAsia="zh-CN"/>
              </w:rPr>
              <w:t>" shall be provided.</w:t>
            </w:r>
          </w:p>
        </w:tc>
      </w:tr>
    </w:tbl>
    <w:p w14:paraId="7EA0DCE3" w14:textId="77777777" w:rsidR="00A10B25" w:rsidRDefault="00A10B25">
      <w:pPr>
        <w:rPr>
          <w:lang w:val="en-US" w:eastAsia="zh-CN"/>
        </w:rPr>
      </w:pPr>
    </w:p>
    <w:p w14:paraId="7C46F10A" w14:textId="77777777" w:rsidR="00A10B25" w:rsidRDefault="00A10B25">
      <w:pPr>
        <w:pStyle w:val="5"/>
      </w:pPr>
      <w:bookmarkStart w:id="8037" w:name="_Hlk134867791"/>
      <w:bookmarkStart w:id="8038" w:name="_Toc148522682"/>
      <w:bookmarkStart w:id="8039" w:name="_Toc138754291"/>
      <w:bookmarkStart w:id="8040" w:name="_Toc136562457"/>
      <w:bookmarkStart w:id="8041" w:name="_Toc145705778"/>
      <w:bookmarkStart w:id="8042" w:name="_Toc164920862"/>
      <w:bookmarkStart w:id="8043" w:name="_Toc170120404"/>
      <w:bookmarkStart w:id="8044" w:name="_Toc175858649"/>
      <w:bookmarkStart w:id="8045" w:name="_Toc175859722"/>
      <w:bookmarkStart w:id="8046" w:name="_Toc180606012"/>
      <w:bookmarkStart w:id="8047" w:name="_Toc185517266"/>
      <w:bookmarkStart w:id="8048" w:name="_Toc191576317"/>
      <w:bookmarkStart w:id="8049" w:name="_Toc191577057"/>
      <w:bookmarkStart w:id="8050" w:name="_Toc192880127"/>
      <w:bookmarkStart w:id="8051" w:name="_Toc195815010"/>
      <w:bookmarkStart w:id="8052" w:name="_Toc199452977"/>
      <w:r>
        <w:lastRenderedPageBreak/>
        <w:t>5.1.6.2.88</w:t>
      </w:r>
      <w:r>
        <w:tab/>
        <w:t>Type AccuracyReq</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489A0125" w14:textId="77777777" w:rsidR="00A10B25" w:rsidRDefault="00A10B25">
      <w:pPr>
        <w:pStyle w:val="TH"/>
      </w:pPr>
      <w:r>
        <w:t>Table 5.1.6.2.88-1: Definition of type AccuracyReq</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9"/>
        <w:gridCol w:w="1554"/>
        <w:gridCol w:w="424"/>
        <w:gridCol w:w="1130"/>
        <w:gridCol w:w="2846"/>
        <w:gridCol w:w="1837"/>
      </w:tblGrid>
      <w:tr w:rsidR="00A10B25" w14:paraId="471384FB" w14:textId="77777777" w:rsidTr="0076721C">
        <w:trPr>
          <w:jc w:val="center"/>
        </w:trPr>
        <w:tc>
          <w:tcPr>
            <w:tcW w:w="1779" w:type="dxa"/>
            <w:shd w:val="clear" w:color="auto" w:fill="D0CECE"/>
          </w:tcPr>
          <w:p w14:paraId="572AD3AA" w14:textId="77777777" w:rsidR="00A10B25" w:rsidRDefault="00A10B25" w:rsidP="0076721C">
            <w:pPr>
              <w:pStyle w:val="TAH"/>
              <w:ind w:left="400" w:hanging="400"/>
            </w:pPr>
            <w:r>
              <w:t>Attribute name</w:t>
            </w:r>
          </w:p>
        </w:tc>
        <w:tc>
          <w:tcPr>
            <w:tcW w:w="1554" w:type="dxa"/>
            <w:shd w:val="clear" w:color="auto" w:fill="D0CECE"/>
          </w:tcPr>
          <w:p w14:paraId="2106F7D4" w14:textId="77777777" w:rsidR="00A10B25" w:rsidRDefault="00A10B25" w:rsidP="0076721C">
            <w:pPr>
              <w:pStyle w:val="TAH"/>
              <w:ind w:left="400" w:hanging="400"/>
              <w:rPr>
                <w:rFonts w:hint="eastAsia"/>
              </w:rPr>
            </w:pPr>
            <w:r>
              <w:t>Data type</w:t>
            </w:r>
          </w:p>
        </w:tc>
        <w:tc>
          <w:tcPr>
            <w:tcW w:w="424" w:type="dxa"/>
            <w:shd w:val="clear" w:color="auto" w:fill="D0CECE"/>
          </w:tcPr>
          <w:p w14:paraId="235E360A" w14:textId="77777777" w:rsidR="00A10B25" w:rsidRDefault="00A10B25" w:rsidP="0076721C">
            <w:pPr>
              <w:pStyle w:val="TAH"/>
              <w:ind w:left="400" w:hanging="400"/>
              <w:rPr>
                <w:rFonts w:hint="eastAsia"/>
              </w:rPr>
            </w:pPr>
            <w:r>
              <w:t>P</w:t>
            </w:r>
          </w:p>
        </w:tc>
        <w:tc>
          <w:tcPr>
            <w:tcW w:w="1130" w:type="dxa"/>
            <w:shd w:val="clear" w:color="auto" w:fill="D0CECE"/>
          </w:tcPr>
          <w:p w14:paraId="704BF60C" w14:textId="77777777" w:rsidR="00A10B25" w:rsidRPr="0076721C" w:rsidRDefault="00A10B25" w:rsidP="0076721C">
            <w:pPr>
              <w:pStyle w:val="TAH"/>
              <w:ind w:left="400" w:hanging="400"/>
              <w:rPr>
                <w:rFonts w:hint="eastAsia"/>
              </w:rPr>
            </w:pPr>
            <w:r>
              <w:t>Cardinality</w:t>
            </w:r>
          </w:p>
        </w:tc>
        <w:tc>
          <w:tcPr>
            <w:tcW w:w="2846" w:type="dxa"/>
            <w:shd w:val="clear" w:color="auto" w:fill="D0CECE"/>
          </w:tcPr>
          <w:p w14:paraId="2D2B1116" w14:textId="77777777" w:rsidR="00A10B25" w:rsidRDefault="00A10B25" w:rsidP="0076721C">
            <w:pPr>
              <w:pStyle w:val="TAH"/>
              <w:ind w:left="400" w:hanging="400"/>
            </w:pPr>
            <w:r>
              <w:t>Description</w:t>
            </w:r>
          </w:p>
        </w:tc>
        <w:tc>
          <w:tcPr>
            <w:tcW w:w="1837" w:type="dxa"/>
            <w:shd w:val="clear" w:color="auto" w:fill="D0CECE"/>
          </w:tcPr>
          <w:p w14:paraId="683B5407" w14:textId="77777777" w:rsidR="00A10B25" w:rsidRDefault="00A10B25" w:rsidP="0076721C">
            <w:pPr>
              <w:pStyle w:val="TAH"/>
              <w:ind w:left="400" w:hanging="400"/>
            </w:pPr>
            <w:r>
              <w:t>Applicability</w:t>
            </w:r>
          </w:p>
        </w:tc>
      </w:tr>
      <w:tr w:rsidR="00A10B25" w14:paraId="2618F127" w14:textId="77777777">
        <w:trPr>
          <w:jc w:val="center"/>
        </w:trPr>
        <w:tc>
          <w:tcPr>
            <w:tcW w:w="1779" w:type="dxa"/>
          </w:tcPr>
          <w:p w14:paraId="52E1755D" w14:textId="77777777" w:rsidR="00A10B25" w:rsidRDefault="00A10B25">
            <w:pPr>
              <w:pStyle w:val="TAL"/>
              <w:rPr>
                <w:lang w:eastAsia="zh-CN"/>
              </w:rPr>
            </w:pPr>
            <w:r>
              <w:rPr>
                <w:lang w:eastAsia="zh-CN"/>
              </w:rPr>
              <w:t>accuTimeWin</w:t>
            </w:r>
          </w:p>
        </w:tc>
        <w:tc>
          <w:tcPr>
            <w:tcW w:w="1554" w:type="dxa"/>
          </w:tcPr>
          <w:p w14:paraId="2E604502" w14:textId="77777777" w:rsidR="00A10B25" w:rsidRDefault="00A10B25">
            <w:pPr>
              <w:pStyle w:val="TAL"/>
              <w:rPr>
                <w:lang w:eastAsia="zh-CN"/>
              </w:rPr>
            </w:pPr>
            <w:r>
              <w:rPr>
                <w:rFonts w:hint="eastAsia"/>
                <w:lang w:eastAsia="zh-CN"/>
              </w:rPr>
              <w:t>T</w:t>
            </w:r>
            <w:r>
              <w:rPr>
                <w:lang w:eastAsia="zh-CN"/>
              </w:rPr>
              <w:t>imeWindow</w:t>
            </w:r>
          </w:p>
        </w:tc>
        <w:tc>
          <w:tcPr>
            <w:tcW w:w="424" w:type="dxa"/>
          </w:tcPr>
          <w:p w14:paraId="3E44177F" w14:textId="77777777" w:rsidR="00A10B25" w:rsidRDefault="00A10B25">
            <w:pPr>
              <w:pStyle w:val="TAC"/>
            </w:pPr>
            <w:r>
              <w:rPr>
                <w:rFonts w:hint="eastAsia"/>
                <w:lang w:eastAsia="zh-CN"/>
              </w:rPr>
              <w:t>O</w:t>
            </w:r>
          </w:p>
        </w:tc>
        <w:tc>
          <w:tcPr>
            <w:tcW w:w="1130" w:type="dxa"/>
          </w:tcPr>
          <w:p w14:paraId="55463EB3" w14:textId="77777777" w:rsidR="00A10B25" w:rsidRDefault="00A10B25">
            <w:pPr>
              <w:pStyle w:val="TAL"/>
            </w:pPr>
            <w:r>
              <w:rPr>
                <w:rFonts w:hint="eastAsia"/>
                <w:lang w:val="el-GR" w:eastAsia="zh-CN"/>
              </w:rPr>
              <w:t>0</w:t>
            </w:r>
            <w:r>
              <w:rPr>
                <w:lang w:val="el-GR" w:eastAsia="zh-CN"/>
              </w:rPr>
              <w:t>..1</w:t>
            </w:r>
          </w:p>
        </w:tc>
        <w:tc>
          <w:tcPr>
            <w:tcW w:w="2846" w:type="dxa"/>
          </w:tcPr>
          <w:p w14:paraId="02E03186" w14:textId="77777777" w:rsidR="00A10B25" w:rsidRDefault="00A10B25">
            <w:pPr>
              <w:pStyle w:val="TAL"/>
              <w:rPr>
                <w:rFonts w:cs="Arial"/>
                <w:szCs w:val="18"/>
                <w:lang w:eastAsia="zh-CN"/>
              </w:rPr>
            </w:pPr>
            <w:r>
              <w:t>Indicates the time interval. Only the accuracy information which is generated within this time interval will be considered by the consumer.</w:t>
            </w:r>
          </w:p>
        </w:tc>
        <w:tc>
          <w:tcPr>
            <w:tcW w:w="1837" w:type="dxa"/>
          </w:tcPr>
          <w:p w14:paraId="6DD882A5" w14:textId="77777777" w:rsidR="00A10B25" w:rsidRDefault="00A10B25">
            <w:pPr>
              <w:pStyle w:val="TAL"/>
              <w:rPr>
                <w:rFonts w:cs="Arial"/>
                <w:szCs w:val="18"/>
              </w:rPr>
            </w:pPr>
          </w:p>
        </w:tc>
      </w:tr>
      <w:tr w:rsidR="00A10B25" w14:paraId="0C4309F0" w14:textId="77777777">
        <w:trPr>
          <w:jc w:val="center"/>
        </w:trPr>
        <w:tc>
          <w:tcPr>
            <w:tcW w:w="1779" w:type="dxa"/>
          </w:tcPr>
          <w:p w14:paraId="25E81D4B" w14:textId="77777777" w:rsidR="00A10B25" w:rsidRDefault="00A10B25">
            <w:pPr>
              <w:pStyle w:val="TAL"/>
              <w:rPr>
                <w:lang w:eastAsia="zh-CN"/>
              </w:rPr>
            </w:pPr>
            <w:r>
              <w:rPr>
                <w:lang w:eastAsia="zh-CN"/>
              </w:rPr>
              <w:t>accuPeriod</w:t>
            </w:r>
          </w:p>
        </w:tc>
        <w:tc>
          <w:tcPr>
            <w:tcW w:w="1554" w:type="dxa"/>
          </w:tcPr>
          <w:p w14:paraId="54B87B98" w14:textId="77777777" w:rsidR="00A10B25" w:rsidRDefault="00A10B25">
            <w:pPr>
              <w:pStyle w:val="TAL"/>
              <w:rPr>
                <w:lang w:eastAsia="zh-CN"/>
              </w:rPr>
            </w:pPr>
            <w:r>
              <w:t>DurationSec</w:t>
            </w:r>
          </w:p>
        </w:tc>
        <w:tc>
          <w:tcPr>
            <w:tcW w:w="424" w:type="dxa"/>
          </w:tcPr>
          <w:p w14:paraId="446A5CA5" w14:textId="77777777" w:rsidR="00A10B25" w:rsidRDefault="00A10B25">
            <w:pPr>
              <w:pStyle w:val="TAC"/>
            </w:pPr>
            <w:r>
              <w:rPr>
                <w:rFonts w:hint="eastAsia"/>
                <w:lang w:eastAsia="zh-CN"/>
              </w:rPr>
              <w:t>O</w:t>
            </w:r>
          </w:p>
        </w:tc>
        <w:tc>
          <w:tcPr>
            <w:tcW w:w="1130" w:type="dxa"/>
          </w:tcPr>
          <w:p w14:paraId="3F710B65" w14:textId="77777777" w:rsidR="00A10B25" w:rsidRDefault="00A10B25">
            <w:pPr>
              <w:pStyle w:val="TAL"/>
            </w:pPr>
            <w:r>
              <w:rPr>
                <w:rFonts w:hint="eastAsia"/>
                <w:lang w:val="el-GR" w:eastAsia="zh-CN"/>
              </w:rPr>
              <w:t>0</w:t>
            </w:r>
            <w:r>
              <w:rPr>
                <w:lang w:val="el-GR" w:eastAsia="zh-CN"/>
              </w:rPr>
              <w:t>..1</w:t>
            </w:r>
          </w:p>
        </w:tc>
        <w:tc>
          <w:tcPr>
            <w:tcW w:w="2846" w:type="dxa"/>
          </w:tcPr>
          <w:p w14:paraId="6ECEF948" w14:textId="77777777" w:rsidR="00A10B25" w:rsidRDefault="00A10B25">
            <w:pPr>
              <w:pStyle w:val="TAL"/>
              <w:rPr>
                <w:rFonts w:cs="Arial"/>
                <w:szCs w:val="18"/>
                <w:lang w:eastAsia="zh-CN"/>
              </w:rPr>
            </w:pPr>
            <w:r>
              <w:rPr>
                <w:rFonts w:cs="Arial" w:hint="eastAsia"/>
                <w:szCs w:val="18"/>
                <w:lang w:eastAsia="zh-CN"/>
              </w:rPr>
              <w:t>T</w:t>
            </w:r>
            <w:r>
              <w:rPr>
                <w:rFonts w:cs="Arial"/>
                <w:szCs w:val="18"/>
                <w:lang w:eastAsia="zh-CN"/>
              </w:rPr>
              <w:t xml:space="preserve">he time period for reporting the </w:t>
            </w:r>
            <w:r>
              <w:t>accuracy information.</w:t>
            </w:r>
          </w:p>
        </w:tc>
        <w:tc>
          <w:tcPr>
            <w:tcW w:w="1837" w:type="dxa"/>
          </w:tcPr>
          <w:p w14:paraId="153E25F6" w14:textId="77777777" w:rsidR="00A10B25" w:rsidRDefault="00A10B25">
            <w:pPr>
              <w:pStyle w:val="TAL"/>
              <w:rPr>
                <w:rFonts w:cs="Arial"/>
                <w:szCs w:val="18"/>
              </w:rPr>
            </w:pPr>
          </w:p>
        </w:tc>
      </w:tr>
      <w:tr w:rsidR="00956830" w14:paraId="68704D20" w14:textId="77777777">
        <w:trPr>
          <w:jc w:val="center"/>
        </w:trPr>
        <w:tc>
          <w:tcPr>
            <w:tcW w:w="1779" w:type="dxa"/>
          </w:tcPr>
          <w:p w14:paraId="02E0FF2D" w14:textId="77777777" w:rsidR="00956830" w:rsidRDefault="00956830" w:rsidP="00956830">
            <w:pPr>
              <w:pStyle w:val="TAL"/>
              <w:rPr>
                <w:lang w:eastAsia="zh-CN"/>
              </w:rPr>
            </w:pPr>
            <w:r>
              <w:rPr>
                <w:lang w:eastAsia="zh-CN"/>
              </w:rPr>
              <w:t>accuDevThr</w:t>
            </w:r>
          </w:p>
        </w:tc>
        <w:tc>
          <w:tcPr>
            <w:tcW w:w="1554" w:type="dxa"/>
          </w:tcPr>
          <w:p w14:paraId="0CAA23AA" w14:textId="77777777" w:rsidR="00956830" w:rsidRDefault="00956830" w:rsidP="00956830">
            <w:pPr>
              <w:pStyle w:val="TAL"/>
              <w:rPr>
                <w:lang w:eastAsia="zh-CN"/>
              </w:rPr>
            </w:pPr>
            <w:r>
              <w:t>Uinteger</w:t>
            </w:r>
          </w:p>
        </w:tc>
        <w:tc>
          <w:tcPr>
            <w:tcW w:w="424" w:type="dxa"/>
          </w:tcPr>
          <w:p w14:paraId="7626DAB8" w14:textId="77777777" w:rsidR="00956830" w:rsidRDefault="00956830" w:rsidP="00956830">
            <w:pPr>
              <w:pStyle w:val="TAC"/>
            </w:pPr>
            <w:r>
              <w:rPr>
                <w:lang w:eastAsia="zh-CN"/>
              </w:rPr>
              <w:t>O</w:t>
            </w:r>
          </w:p>
        </w:tc>
        <w:tc>
          <w:tcPr>
            <w:tcW w:w="1130" w:type="dxa"/>
          </w:tcPr>
          <w:p w14:paraId="4BA1AAE3" w14:textId="77777777" w:rsidR="00956830" w:rsidRDefault="00956830" w:rsidP="00956830">
            <w:pPr>
              <w:pStyle w:val="TAL"/>
            </w:pPr>
            <w:r>
              <w:rPr>
                <w:lang w:val="el-GR" w:eastAsia="zh-CN"/>
              </w:rPr>
              <w:t>0..1</w:t>
            </w:r>
          </w:p>
        </w:tc>
        <w:tc>
          <w:tcPr>
            <w:tcW w:w="2846" w:type="dxa"/>
          </w:tcPr>
          <w:p w14:paraId="1425A04F" w14:textId="77777777" w:rsidR="00956830" w:rsidRDefault="00956830" w:rsidP="00956830">
            <w:pPr>
              <w:keepNext/>
              <w:keepLines/>
              <w:spacing w:after="0"/>
              <w:rPr>
                <w:rFonts w:ascii="Arial" w:hAnsi="Arial"/>
                <w:sz w:val="18"/>
              </w:rPr>
            </w:pPr>
            <w:r>
              <w:rPr>
                <w:rFonts w:ascii="Arial" w:hAnsi="Arial" w:cs="Arial"/>
                <w:sz w:val="18"/>
                <w:szCs w:val="18"/>
                <w:lang w:eastAsia="zh-CN"/>
              </w:rPr>
              <w:t xml:space="preserve">The </w:t>
            </w:r>
            <w:r>
              <w:rPr>
                <w:rFonts w:ascii="Arial" w:hAnsi="Arial"/>
                <w:sz w:val="18"/>
              </w:rPr>
              <w:t>reporting threshold for the accuracy value. It indicates to the NWDAF to notify about the analytics output and optionally analytics accuracy value only when the accuracy value is above this threshold.</w:t>
            </w:r>
          </w:p>
          <w:p w14:paraId="0283A203" w14:textId="77777777" w:rsidR="00956830" w:rsidRDefault="00956830" w:rsidP="00956830">
            <w:pPr>
              <w:pStyle w:val="TAL"/>
              <w:rPr>
                <w:rFonts w:cs="Arial"/>
                <w:szCs w:val="18"/>
                <w:lang w:eastAsia="zh-CN"/>
              </w:rPr>
            </w:pPr>
            <w:r>
              <w:rPr>
                <w:rFonts w:cs="Arial"/>
                <w:szCs w:val="18"/>
                <w:lang w:eastAsia="zh-CN"/>
              </w:rPr>
              <w:t>Minimum = 0. Maximum = 100.</w:t>
            </w:r>
          </w:p>
        </w:tc>
        <w:tc>
          <w:tcPr>
            <w:tcW w:w="1837" w:type="dxa"/>
          </w:tcPr>
          <w:p w14:paraId="0EEB001F" w14:textId="77777777" w:rsidR="00956830" w:rsidRDefault="00956830" w:rsidP="00956830">
            <w:pPr>
              <w:pStyle w:val="TAL"/>
              <w:rPr>
                <w:rFonts w:cs="Arial"/>
                <w:szCs w:val="18"/>
              </w:rPr>
            </w:pPr>
          </w:p>
        </w:tc>
      </w:tr>
      <w:tr w:rsidR="00A10B25" w14:paraId="616E8452" w14:textId="77777777">
        <w:trPr>
          <w:jc w:val="center"/>
        </w:trPr>
        <w:tc>
          <w:tcPr>
            <w:tcW w:w="1779" w:type="dxa"/>
          </w:tcPr>
          <w:p w14:paraId="374BA762" w14:textId="77777777" w:rsidR="00A10B25" w:rsidRDefault="00A10B25">
            <w:pPr>
              <w:pStyle w:val="TAL"/>
              <w:rPr>
                <w:lang w:eastAsia="zh-CN"/>
              </w:rPr>
            </w:pPr>
            <w:r>
              <w:rPr>
                <w:rFonts w:hint="eastAsia"/>
                <w:lang w:eastAsia="zh-CN"/>
              </w:rPr>
              <w:t>m</w:t>
            </w:r>
            <w:r>
              <w:rPr>
                <w:lang w:eastAsia="zh-CN"/>
              </w:rPr>
              <w:t>inNum</w:t>
            </w:r>
          </w:p>
        </w:tc>
        <w:tc>
          <w:tcPr>
            <w:tcW w:w="1554" w:type="dxa"/>
          </w:tcPr>
          <w:p w14:paraId="6C611D83" w14:textId="77777777" w:rsidR="00A10B25" w:rsidRDefault="00A10B25">
            <w:pPr>
              <w:pStyle w:val="TAL"/>
              <w:rPr>
                <w:lang w:eastAsia="zh-CN"/>
              </w:rPr>
            </w:pPr>
            <w:r>
              <w:t>Uinteger</w:t>
            </w:r>
          </w:p>
        </w:tc>
        <w:tc>
          <w:tcPr>
            <w:tcW w:w="424" w:type="dxa"/>
          </w:tcPr>
          <w:p w14:paraId="64B60C4B" w14:textId="77777777" w:rsidR="00A10B25" w:rsidRDefault="00A10B25">
            <w:pPr>
              <w:pStyle w:val="TAC"/>
            </w:pPr>
            <w:r>
              <w:rPr>
                <w:rFonts w:hint="eastAsia"/>
                <w:lang w:eastAsia="zh-CN"/>
              </w:rPr>
              <w:t>O</w:t>
            </w:r>
          </w:p>
        </w:tc>
        <w:tc>
          <w:tcPr>
            <w:tcW w:w="1130" w:type="dxa"/>
          </w:tcPr>
          <w:p w14:paraId="3702940E" w14:textId="77777777" w:rsidR="00A10B25" w:rsidRDefault="00A10B25">
            <w:pPr>
              <w:pStyle w:val="TAL"/>
            </w:pPr>
            <w:r>
              <w:rPr>
                <w:rFonts w:hint="eastAsia"/>
                <w:lang w:val="el-GR" w:eastAsia="zh-CN"/>
              </w:rPr>
              <w:t>0</w:t>
            </w:r>
            <w:r>
              <w:rPr>
                <w:lang w:val="el-GR" w:eastAsia="zh-CN"/>
              </w:rPr>
              <w:t>..1</w:t>
            </w:r>
          </w:p>
        </w:tc>
        <w:tc>
          <w:tcPr>
            <w:tcW w:w="2846" w:type="dxa"/>
          </w:tcPr>
          <w:p w14:paraId="78F6ABC2" w14:textId="77777777" w:rsidR="00A10B25" w:rsidRDefault="00A10B25">
            <w:pPr>
              <w:pStyle w:val="TAL"/>
              <w:rPr>
                <w:rFonts w:cs="Arial"/>
                <w:szCs w:val="18"/>
              </w:rPr>
            </w:pPr>
            <w:r>
              <w:t>The minimal number of analytics output provided by NWDAF that have to be considered in the determination of the accuracy information.</w:t>
            </w:r>
          </w:p>
        </w:tc>
        <w:tc>
          <w:tcPr>
            <w:tcW w:w="1837" w:type="dxa"/>
          </w:tcPr>
          <w:p w14:paraId="2A28270A" w14:textId="77777777" w:rsidR="00A10B25" w:rsidRDefault="00A10B25">
            <w:pPr>
              <w:pStyle w:val="TAL"/>
              <w:rPr>
                <w:rFonts w:cs="Arial"/>
                <w:szCs w:val="18"/>
              </w:rPr>
            </w:pPr>
          </w:p>
        </w:tc>
      </w:tr>
      <w:tr w:rsidR="00A10B25" w14:paraId="033EACDA" w14:textId="77777777">
        <w:trPr>
          <w:jc w:val="center"/>
        </w:trPr>
        <w:tc>
          <w:tcPr>
            <w:tcW w:w="1779" w:type="dxa"/>
          </w:tcPr>
          <w:p w14:paraId="67D727E3" w14:textId="77777777" w:rsidR="00A10B25" w:rsidRDefault="00A10B25">
            <w:pPr>
              <w:pStyle w:val="TAL"/>
              <w:rPr>
                <w:lang w:eastAsia="zh-CN"/>
              </w:rPr>
            </w:pPr>
            <w:r>
              <w:rPr>
                <w:rFonts w:hint="eastAsia"/>
                <w:lang w:eastAsia="zh-CN"/>
              </w:rPr>
              <w:t>u</w:t>
            </w:r>
            <w:r>
              <w:rPr>
                <w:lang w:eastAsia="zh-CN"/>
              </w:rPr>
              <w:t>pdatedAnaFlg</w:t>
            </w:r>
          </w:p>
        </w:tc>
        <w:tc>
          <w:tcPr>
            <w:tcW w:w="1554" w:type="dxa"/>
          </w:tcPr>
          <w:p w14:paraId="44221119" w14:textId="77777777" w:rsidR="00A10B25" w:rsidRDefault="00A10B25">
            <w:pPr>
              <w:pStyle w:val="TAL"/>
              <w:rPr>
                <w:lang w:eastAsia="zh-CN"/>
              </w:rPr>
            </w:pPr>
            <w:r>
              <w:rPr>
                <w:rFonts w:hint="eastAsia"/>
                <w:lang w:eastAsia="zh-CN"/>
              </w:rPr>
              <w:t>b</w:t>
            </w:r>
            <w:r>
              <w:rPr>
                <w:lang w:eastAsia="zh-CN"/>
              </w:rPr>
              <w:t>oolean</w:t>
            </w:r>
          </w:p>
        </w:tc>
        <w:tc>
          <w:tcPr>
            <w:tcW w:w="424" w:type="dxa"/>
          </w:tcPr>
          <w:p w14:paraId="69F6B98E" w14:textId="77777777" w:rsidR="00A10B25" w:rsidRDefault="00A10B25">
            <w:pPr>
              <w:pStyle w:val="TAC"/>
              <w:rPr>
                <w:lang w:eastAsia="zh-CN"/>
              </w:rPr>
            </w:pPr>
            <w:r>
              <w:rPr>
                <w:rFonts w:hint="eastAsia"/>
                <w:lang w:eastAsia="zh-CN"/>
              </w:rPr>
              <w:t>O</w:t>
            </w:r>
          </w:p>
        </w:tc>
        <w:tc>
          <w:tcPr>
            <w:tcW w:w="1130" w:type="dxa"/>
          </w:tcPr>
          <w:p w14:paraId="393975BF" w14:textId="77777777" w:rsidR="00A10B25" w:rsidRDefault="00A10B25">
            <w:pPr>
              <w:pStyle w:val="TAL"/>
              <w:rPr>
                <w:lang w:val="el-GR" w:eastAsia="zh-CN"/>
              </w:rPr>
            </w:pPr>
            <w:r>
              <w:rPr>
                <w:rFonts w:hint="eastAsia"/>
                <w:lang w:val="el-GR" w:eastAsia="zh-CN"/>
              </w:rPr>
              <w:t>0</w:t>
            </w:r>
            <w:r>
              <w:rPr>
                <w:lang w:val="el-GR" w:eastAsia="zh-CN"/>
              </w:rPr>
              <w:t>..1</w:t>
            </w:r>
          </w:p>
        </w:tc>
        <w:tc>
          <w:tcPr>
            <w:tcW w:w="2846" w:type="dxa"/>
          </w:tcPr>
          <w:p w14:paraId="6C66EF35" w14:textId="77777777" w:rsidR="00A10B25" w:rsidRDefault="00A10B25">
            <w:pPr>
              <w:pStyle w:val="TAL"/>
            </w:pPr>
            <w:r>
              <w:t xml:space="preserve">Indicates the updated Analytics flag. </w:t>
            </w:r>
          </w:p>
          <w:p w14:paraId="43F3C7C1" w14:textId="77777777" w:rsidR="00A10B25" w:rsidRDefault="00A10B25">
            <w:pPr>
              <w:pStyle w:val="TAL"/>
              <w:rPr>
                <w:lang w:eastAsia="zh-CN"/>
              </w:rPr>
            </w:pPr>
            <w:r>
              <w:t>Set to "true" indicates that the NWDAF can provide the updated analytics if the analytics can be generated within the analytics accuracy information time window, which is specified by "</w:t>
            </w:r>
            <w:r>
              <w:rPr>
                <w:lang w:eastAsia="zh-CN"/>
              </w:rPr>
              <w:t>accuTimeWin</w:t>
            </w:r>
            <w:r>
              <w:t>"</w:t>
            </w:r>
            <w:r>
              <w:rPr>
                <w:lang w:eastAsia="zh-CN"/>
              </w:rPr>
              <w:t xml:space="preserve"> attribute.</w:t>
            </w:r>
          </w:p>
          <w:p w14:paraId="7A43088F" w14:textId="77777777" w:rsidR="00A10B25" w:rsidRDefault="00A10B25">
            <w:pPr>
              <w:pStyle w:val="TAL"/>
              <w:rPr>
                <w:rFonts w:cs="Arial"/>
                <w:szCs w:val="18"/>
              </w:rPr>
            </w:pPr>
            <w:r>
              <w:rPr>
                <w:rFonts w:cs="Arial"/>
                <w:szCs w:val="18"/>
              </w:rPr>
              <w:t>Otherwise set to "false". Default value is "false" if omitted.</w:t>
            </w:r>
          </w:p>
        </w:tc>
        <w:tc>
          <w:tcPr>
            <w:tcW w:w="1837" w:type="dxa"/>
          </w:tcPr>
          <w:p w14:paraId="78AC40CB" w14:textId="77777777" w:rsidR="00A10B25" w:rsidRDefault="00A10B25">
            <w:pPr>
              <w:pStyle w:val="TAL"/>
              <w:rPr>
                <w:rFonts w:cs="Arial"/>
                <w:szCs w:val="18"/>
              </w:rPr>
            </w:pPr>
          </w:p>
        </w:tc>
      </w:tr>
      <w:tr w:rsidR="00A10B25" w14:paraId="4C5766DA" w14:textId="77777777">
        <w:trPr>
          <w:jc w:val="center"/>
        </w:trPr>
        <w:tc>
          <w:tcPr>
            <w:tcW w:w="1779" w:type="dxa"/>
          </w:tcPr>
          <w:p w14:paraId="1679D97A" w14:textId="77777777" w:rsidR="00A10B25" w:rsidRDefault="00A10B25">
            <w:pPr>
              <w:pStyle w:val="TAL"/>
              <w:rPr>
                <w:lang w:eastAsia="zh-CN"/>
              </w:rPr>
            </w:pPr>
            <w:r>
              <w:rPr>
                <w:rFonts w:hint="eastAsia"/>
                <w:lang w:eastAsia="zh-CN"/>
              </w:rPr>
              <w:t>c</w:t>
            </w:r>
            <w:r>
              <w:rPr>
                <w:lang w:eastAsia="zh-CN"/>
              </w:rPr>
              <w:t>orrectionInterval</w:t>
            </w:r>
          </w:p>
        </w:tc>
        <w:tc>
          <w:tcPr>
            <w:tcW w:w="1554" w:type="dxa"/>
          </w:tcPr>
          <w:p w14:paraId="5B98CC3A" w14:textId="77777777" w:rsidR="00A10B25" w:rsidRDefault="00A10B25">
            <w:pPr>
              <w:pStyle w:val="TAL"/>
              <w:rPr>
                <w:lang w:eastAsia="zh-CN"/>
              </w:rPr>
            </w:pPr>
            <w:r>
              <w:t>DurationSec</w:t>
            </w:r>
          </w:p>
        </w:tc>
        <w:tc>
          <w:tcPr>
            <w:tcW w:w="424" w:type="dxa"/>
          </w:tcPr>
          <w:p w14:paraId="0FDFB2AD" w14:textId="77777777" w:rsidR="00A10B25" w:rsidRDefault="00A10B25">
            <w:pPr>
              <w:pStyle w:val="TAC"/>
              <w:rPr>
                <w:lang w:eastAsia="zh-CN"/>
              </w:rPr>
            </w:pPr>
            <w:r>
              <w:rPr>
                <w:rFonts w:hint="eastAsia"/>
                <w:lang w:eastAsia="zh-CN"/>
              </w:rPr>
              <w:t>O</w:t>
            </w:r>
          </w:p>
        </w:tc>
        <w:tc>
          <w:tcPr>
            <w:tcW w:w="1130" w:type="dxa"/>
          </w:tcPr>
          <w:p w14:paraId="13D65604" w14:textId="77777777" w:rsidR="00A10B25" w:rsidRDefault="00A10B25">
            <w:pPr>
              <w:pStyle w:val="TAL"/>
              <w:rPr>
                <w:lang w:val="el-GR" w:eastAsia="zh-CN"/>
              </w:rPr>
            </w:pPr>
            <w:r>
              <w:rPr>
                <w:rFonts w:hint="eastAsia"/>
                <w:lang w:val="el-GR" w:eastAsia="zh-CN"/>
              </w:rPr>
              <w:t>0</w:t>
            </w:r>
            <w:r>
              <w:rPr>
                <w:lang w:val="el-GR" w:eastAsia="zh-CN"/>
              </w:rPr>
              <w:t>..1</w:t>
            </w:r>
          </w:p>
        </w:tc>
        <w:tc>
          <w:tcPr>
            <w:tcW w:w="2846" w:type="dxa"/>
          </w:tcPr>
          <w:p w14:paraId="20AE8FA7" w14:textId="77777777" w:rsidR="00A10B25" w:rsidRDefault="00A10B25">
            <w:pPr>
              <w:pStyle w:val="TAL"/>
              <w:rPr>
                <w:rFonts w:cs="Arial"/>
                <w:szCs w:val="18"/>
              </w:rPr>
            </w:pPr>
            <w:r>
              <w:rPr>
                <w:lang w:eastAsia="zh-CN"/>
              </w:rPr>
              <w:t>The</w:t>
            </w:r>
            <w:r>
              <w:t xml:space="preserve"> relative time interval with respect to the time when the analytics is provided</w:t>
            </w:r>
            <w:r>
              <w:rPr>
                <w:lang w:eastAsia="zh-CN"/>
              </w:rPr>
              <w:t>.</w:t>
            </w:r>
            <w:r>
              <w:t xml:space="preserve"> It indicates the time interval during which the updated analytics can be accepted by the analytics consumer.</w:t>
            </w:r>
          </w:p>
        </w:tc>
        <w:tc>
          <w:tcPr>
            <w:tcW w:w="1837" w:type="dxa"/>
          </w:tcPr>
          <w:p w14:paraId="63C9B5FC" w14:textId="77777777" w:rsidR="00A10B25" w:rsidRDefault="00A10B25">
            <w:pPr>
              <w:pStyle w:val="TAL"/>
              <w:rPr>
                <w:rFonts w:cs="Arial"/>
                <w:szCs w:val="18"/>
              </w:rPr>
            </w:pPr>
          </w:p>
        </w:tc>
      </w:tr>
      <w:bookmarkEnd w:id="8037"/>
    </w:tbl>
    <w:p w14:paraId="50119F06" w14:textId="77777777" w:rsidR="00A10B25" w:rsidRDefault="00A10B25">
      <w:pPr>
        <w:rPr>
          <w:u w:val="single"/>
        </w:rPr>
      </w:pPr>
    </w:p>
    <w:p w14:paraId="4F0E7D40" w14:textId="77777777" w:rsidR="00EF7075" w:rsidRDefault="00EF7075" w:rsidP="00EF7075">
      <w:pPr>
        <w:pStyle w:val="5"/>
      </w:pPr>
      <w:bookmarkStart w:id="8053" w:name="_Toc145705780"/>
      <w:bookmarkStart w:id="8054" w:name="_Toc148522684"/>
      <w:bookmarkStart w:id="8055" w:name="_Toc164920864"/>
      <w:bookmarkStart w:id="8056" w:name="_Toc148522683"/>
      <w:bookmarkStart w:id="8057" w:name="_Toc145705779"/>
      <w:bookmarkStart w:id="8058" w:name="_Toc138754292"/>
      <w:bookmarkStart w:id="8059" w:name="_Toc136562458"/>
      <w:bookmarkStart w:id="8060" w:name="_Hlk134868300"/>
      <w:bookmarkStart w:id="8061" w:name="_Toc170120405"/>
      <w:bookmarkStart w:id="8062" w:name="_Toc175858650"/>
      <w:bookmarkStart w:id="8063" w:name="_Toc175859723"/>
      <w:bookmarkStart w:id="8064" w:name="_Toc180606013"/>
      <w:bookmarkStart w:id="8065" w:name="_Toc185517267"/>
      <w:bookmarkStart w:id="8066" w:name="_Toc191576318"/>
      <w:bookmarkStart w:id="8067" w:name="_Toc191577058"/>
      <w:bookmarkStart w:id="8068" w:name="_Toc192880128"/>
      <w:bookmarkStart w:id="8069" w:name="_Toc195815011"/>
      <w:bookmarkStart w:id="8070" w:name="_Toc199452978"/>
      <w:r>
        <w:t>5.1.6.2.89</w:t>
      </w:r>
      <w:r>
        <w:tab/>
        <w:t>Type AccuracyInfo</w:t>
      </w:r>
      <w:bookmarkEnd w:id="8056"/>
      <w:bookmarkEnd w:id="8057"/>
      <w:bookmarkEnd w:id="8058"/>
      <w:bookmarkEnd w:id="8059"/>
      <w:bookmarkEnd w:id="8061"/>
      <w:bookmarkEnd w:id="8062"/>
      <w:bookmarkEnd w:id="8063"/>
      <w:bookmarkEnd w:id="8064"/>
      <w:bookmarkEnd w:id="8065"/>
      <w:bookmarkEnd w:id="8066"/>
      <w:bookmarkEnd w:id="8067"/>
      <w:bookmarkEnd w:id="8068"/>
      <w:bookmarkEnd w:id="8069"/>
      <w:bookmarkEnd w:id="8070"/>
    </w:p>
    <w:bookmarkEnd w:id="8060"/>
    <w:p w14:paraId="79E7D271" w14:textId="77777777" w:rsidR="00EF7075" w:rsidRDefault="00EF7075" w:rsidP="00EF7075">
      <w:pPr>
        <w:pStyle w:val="TH"/>
      </w:pPr>
      <w:r>
        <w:t>Table 5.1.6.2.89-1: Definition of type AccuracyInfo</w:t>
      </w:r>
    </w:p>
    <w:tbl>
      <w:tblPr>
        <w:tblW w:w="957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9"/>
        <w:gridCol w:w="1554"/>
        <w:gridCol w:w="424"/>
        <w:gridCol w:w="1130"/>
        <w:gridCol w:w="2846"/>
        <w:gridCol w:w="1837"/>
      </w:tblGrid>
      <w:tr w:rsidR="00EF7075" w14:paraId="3F1BE48B"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shd w:val="clear" w:color="auto" w:fill="D0CECE"/>
          </w:tcPr>
          <w:p w14:paraId="4D814338" w14:textId="77777777" w:rsidR="00EF7075" w:rsidRDefault="00EF7075" w:rsidP="009E0BD0">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D0CECE"/>
          </w:tcPr>
          <w:p w14:paraId="72FC9315" w14:textId="77777777" w:rsidR="00EF7075" w:rsidRDefault="00EF7075" w:rsidP="009E0BD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D0CECE"/>
          </w:tcPr>
          <w:p w14:paraId="5EA3815E" w14:textId="77777777" w:rsidR="00EF7075" w:rsidRDefault="00EF7075" w:rsidP="009E0BD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D0CECE"/>
          </w:tcPr>
          <w:p w14:paraId="41A6CCFD" w14:textId="77777777" w:rsidR="00EF7075" w:rsidRDefault="00EF7075" w:rsidP="009E0BD0">
            <w:pPr>
              <w:pStyle w:val="TAH"/>
              <w:ind w:left="400" w:hanging="400"/>
            </w:pPr>
            <w:r>
              <w:t>Cardinality</w:t>
            </w:r>
          </w:p>
        </w:tc>
        <w:tc>
          <w:tcPr>
            <w:tcW w:w="2846" w:type="dxa"/>
            <w:tcBorders>
              <w:top w:val="single" w:sz="6" w:space="0" w:color="auto"/>
              <w:left w:val="single" w:sz="6" w:space="0" w:color="auto"/>
              <w:bottom w:val="single" w:sz="6" w:space="0" w:color="auto"/>
              <w:right w:val="single" w:sz="6" w:space="0" w:color="auto"/>
            </w:tcBorders>
            <w:shd w:val="clear" w:color="auto" w:fill="D0CECE"/>
          </w:tcPr>
          <w:p w14:paraId="3712D795" w14:textId="77777777" w:rsidR="00EF7075" w:rsidRDefault="00EF7075" w:rsidP="009E0BD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D0CECE"/>
          </w:tcPr>
          <w:p w14:paraId="68E54884" w14:textId="77777777" w:rsidR="00EF7075" w:rsidRDefault="00EF7075" w:rsidP="009E0BD0">
            <w:pPr>
              <w:pStyle w:val="TAH"/>
              <w:ind w:left="400" w:hanging="400"/>
            </w:pPr>
            <w:r>
              <w:t>Applicability</w:t>
            </w:r>
          </w:p>
        </w:tc>
      </w:tr>
      <w:tr w:rsidR="007862A2" w14:paraId="36FD8A85"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tcPr>
          <w:p w14:paraId="2C1B7440" w14:textId="77777777" w:rsidR="007862A2" w:rsidRDefault="007862A2" w:rsidP="007862A2">
            <w:pPr>
              <w:pStyle w:val="TAL"/>
              <w:rPr>
                <w:lang w:eastAsia="zh-CN"/>
              </w:rPr>
            </w:pPr>
            <w:r>
              <w:rPr>
                <w:lang w:eastAsia="zh-CN"/>
              </w:rPr>
              <w:t>accuracyVal</w:t>
            </w:r>
          </w:p>
        </w:tc>
        <w:tc>
          <w:tcPr>
            <w:tcW w:w="1554" w:type="dxa"/>
            <w:tcBorders>
              <w:top w:val="single" w:sz="6" w:space="0" w:color="auto"/>
              <w:left w:val="single" w:sz="6" w:space="0" w:color="auto"/>
              <w:bottom w:val="single" w:sz="6" w:space="0" w:color="auto"/>
              <w:right w:val="single" w:sz="6" w:space="0" w:color="auto"/>
            </w:tcBorders>
          </w:tcPr>
          <w:p w14:paraId="3447873A" w14:textId="77777777" w:rsidR="007862A2" w:rsidRDefault="007862A2" w:rsidP="007862A2">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371B9CF4" w14:textId="77777777" w:rsidR="007862A2" w:rsidRDefault="007862A2" w:rsidP="007862A2">
            <w:pPr>
              <w:pStyle w:val="TAC"/>
              <w:rPr>
                <w:lang w:eastAsia="zh-CN"/>
              </w:rPr>
            </w:pPr>
            <w:r>
              <w:rPr>
                <w:lang w:eastAsia="zh-CN"/>
              </w:rPr>
              <w:t>M</w:t>
            </w:r>
          </w:p>
        </w:tc>
        <w:tc>
          <w:tcPr>
            <w:tcW w:w="1130" w:type="dxa"/>
            <w:tcBorders>
              <w:top w:val="single" w:sz="6" w:space="0" w:color="auto"/>
              <w:left w:val="single" w:sz="6" w:space="0" w:color="auto"/>
              <w:bottom w:val="single" w:sz="6" w:space="0" w:color="auto"/>
              <w:right w:val="single" w:sz="6" w:space="0" w:color="auto"/>
            </w:tcBorders>
          </w:tcPr>
          <w:p w14:paraId="39611129" w14:textId="77777777" w:rsidR="007862A2" w:rsidRDefault="007862A2" w:rsidP="007862A2">
            <w:pPr>
              <w:pStyle w:val="TAL"/>
              <w:rPr>
                <w:lang w:eastAsia="zh-CN"/>
              </w:rPr>
            </w:pPr>
            <w:r>
              <w:rPr>
                <w:lang w:eastAsia="zh-CN"/>
              </w:rPr>
              <w:t>1</w:t>
            </w:r>
          </w:p>
        </w:tc>
        <w:tc>
          <w:tcPr>
            <w:tcW w:w="2846" w:type="dxa"/>
            <w:tcBorders>
              <w:top w:val="single" w:sz="6" w:space="0" w:color="auto"/>
              <w:left w:val="single" w:sz="6" w:space="0" w:color="auto"/>
              <w:bottom w:val="single" w:sz="6" w:space="0" w:color="auto"/>
              <w:right w:val="single" w:sz="6" w:space="0" w:color="auto"/>
            </w:tcBorders>
          </w:tcPr>
          <w:p w14:paraId="5BDC2789" w14:textId="77777777" w:rsidR="007862A2" w:rsidRDefault="007862A2" w:rsidP="007862A2">
            <w:pPr>
              <w:pStyle w:val="TAL"/>
            </w:pPr>
            <w:r>
              <w:t>The accuracy value.</w:t>
            </w:r>
          </w:p>
          <w:p w14:paraId="27E5A436" w14:textId="77777777" w:rsidR="007862A2" w:rsidRDefault="007862A2" w:rsidP="007862A2">
            <w:pPr>
              <w:pStyle w:val="TAL"/>
            </w:pPr>
            <w:r>
              <w:t>Indicates percentage number of correct predictions out of all predictions. Minimum = 0. Maximum = 100.</w:t>
            </w:r>
          </w:p>
          <w:p w14:paraId="2FD9859B" w14:textId="77777777" w:rsidR="007862A2" w:rsidRDefault="007862A2" w:rsidP="007862A2">
            <w:pPr>
              <w:pStyle w:val="TAL"/>
            </w:pPr>
            <w:r w:rsidDel="00965335">
              <w:t xml:space="preserve"> </w:t>
            </w:r>
            <w:r>
              <w:t>(NOTE)</w:t>
            </w:r>
          </w:p>
        </w:tc>
        <w:tc>
          <w:tcPr>
            <w:tcW w:w="1837" w:type="dxa"/>
            <w:tcBorders>
              <w:top w:val="single" w:sz="6" w:space="0" w:color="auto"/>
              <w:left w:val="single" w:sz="6" w:space="0" w:color="auto"/>
              <w:bottom w:val="single" w:sz="6" w:space="0" w:color="auto"/>
              <w:right w:val="single" w:sz="6" w:space="0" w:color="auto"/>
            </w:tcBorders>
          </w:tcPr>
          <w:p w14:paraId="46E76AEB" w14:textId="77777777" w:rsidR="007862A2" w:rsidRDefault="007862A2" w:rsidP="007862A2">
            <w:pPr>
              <w:pStyle w:val="TAL"/>
              <w:rPr>
                <w:rFonts w:cs="Arial"/>
                <w:szCs w:val="18"/>
              </w:rPr>
            </w:pPr>
          </w:p>
        </w:tc>
      </w:tr>
      <w:tr w:rsidR="00EF7075" w14:paraId="5B108FD4"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tcPr>
          <w:p w14:paraId="37B7DF4B" w14:textId="77777777" w:rsidR="00EF7075" w:rsidRDefault="00EF7075" w:rsidP="009E0BD0">
            <w:pPr>
              <w:pStyle w:val="TAL"/>
              <w:rPr>
                <w:lang w:eastAsia="zh-CN"/>
              </w:rPr>
            </w:pPr>
            <w:r>
              <w:rPr>
                <w:lang w:eastAsia="zh-CN"/>
              </w:rPr>
              <w:t>accuSampleNbr</w:t>
            </w:r>
          </w:p>
        </w:tc>
        <w:tc>
          <w:tcPr>
            <w:tcW w:w="1554" w:type="dxa"/>
            <w:tcBorders>
              <w:top w:val="single" w:sz="6" w:space="0" w:color="auto"/>
              <w:left w:val="single" w:sz="6" w:space="0" w:color="auto"/>
              <w:bottom w:val="single" w:sz="6" w:space="0" w:color="auto"/>
              <w:right w:val="single" w:sz="6" w:space="0" w:color="auto"/>
            </w:tcBorders>
          </w:tcPr>
          <w:p w14:paraId="23FE04F5" w14:textId="77777777" w:rsidR="00EF7075" w:rsidRDefault="00EF7075" w:rsidP="009E0BD0">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6310F422" w14:textId="77777777" w:rsidR="00EF7075" w:rsidRDefault="00EF7075" w:rsidP="009E0BD0">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C72A0FC" w14:textId="77777777" w:rsidR="00EF7075" w:rsidRDefault="00EF7075" w:rsidP="009E0BD0">
            <w:pPr>
              <w:pStyle w:val="TAL"/>
              <w:rPr>
                <w:lang w:eastAsia="zh-CN"/>
              </w:rPr>
            </w:pPr>
            <w:r>
              <w:rPr>
                <w:lang w:eastAsia="zh-CN"/>
              </w:rPr>
              <w:t>0..1</w:t>
            </w:r>
          </w:p>
        </w:tc>
        <w:tc>
          <w:tcPr>
            <w:tcW w:w="2846" w:type="dxa"/>
            <w:tcBorders>
              <w:top w:val="single" w:sz="6" w:space="0" w:color="auto"/>
              <w:left w:val="single" w:sz="6" w:space="0" w:color="auto"/>
              <w:bottom w:val="single" w:sz="6" w:space="0" w:color="auto"/>
              <w:right w:val="single" w:sz="6" w:space="0" w:color="auto"/>
            </w:tcBorders>
          </w:tcPr>
          <w:p w14:paraId="749694D9" w14:textId="77777777" w:rsidR="00EF7075" w:rsidRDefault="00EF7075" w:rsidP="009E0BD0">
            <w:pPr>
              <w:pStyle w:val="TAL"/>
            </w:pPr>
            <w:r>
              <w:t>Indicates the analytics accuracy checking sampling number.</w:t>
            </w:r>
          </w:p>
        </w:tc>
        <w:tc>
          <w:tcPr>
            <w:tcW w:w="1837" w:type="dxa"/>
            <w:tcBorders>
              <w:top w:val="single" w:sz="6" w:space="0" w:color="auto"/>
              <w:left w:val="single" w:sz="6" w:space="0" w:color="auto"/>
              <w:bottom w:val="single" w:sz="6" w:space="0" w:color="auto"/>
              <w:right w:val="single" w:sz="6" w:space="0" w:color="auto"/>
            </w:tcBorders>
          </w:tcPr>
          <w:p w14:paraId="4FD9369A" w14:textId="77777777" w:rsidR="00EF7075" w:rsidRDefault="00EF7075" w:rsidP="009E0BD0">
            <w:pPr>
              <w:pStyle w:val="TAL"/>
              <w:rPr>
                <w:rFonts w:cs="Arial"/>
                <w:szCs w:val="18"/>
              </w:rPr>
            </w:pPr>
          </w:p>
        </w:tc>
      </w:tr>
      <w:tr w:rsidR="00EF7075" w14:paraId="583D25BE" w14:textId="77777777" w:rsidTr="009E0BD0">
        <w:trPr>
          <w:jc w:val="center"/>
        </w:trPr>
        <w:tc>
          <w:tcPr>
            <w:tcW w:w="1779" w:type="dxa"/>
            <w:tcBorders>
              <w:top w:val="single" w:sz="6" w:space="0" w:color="auto"/>
              <w:left w:val="single" w:sz="6" w:space="0" w:color="auto"/>
              <w:bottom w:val="single" w:sz="6" w:space="0" w:color="auto"/>
              <w:right w:val="single" w:sz="6" w:space="0" w:color="auto"/>
            </w:tcBorders>
          </w:tcPr>
          <w:p w14:paraId="256AA8B6" w14:textId="77777777" w:rsidR="00EF7075" w:rsidRDefault="00EF7075" w:rsidP="009E0BD0">
            <w:pPr>
              <w:pStyle w:val="TAL"/>
              <w:rPr>
                <w:lang w:eastAsia="zh-CN"/>
              </w:rPr>
            </w:pPr>
            <w:r>
              <w:rPr>
                <w:lang w:eastAsia="zh-CN"/>
              </w:rPr>
              <w:t>anaAccuInd</w:t>
            </w:r>
          </w:p>
        </w:tc>
        <w:tc>
          <w:tcPr>
            <w:tcW w:w="1554" w:type="dxa"/>
            <w:tcBorders>
              <w:top w:val="single" w:sz="6" w:space="0" w:color="auto"/>
              <w:left w:val="single" w:sz="6" w:space="0" w:color="auto"/>
              <w:bottom w:val="single" w:sz="6" w:space="0" w:color="auto"/>
              <w:right w:val="single" w:sz="6" w:space="0" w:color="auto"/>
            </w:tcBorders>
          </w:tcPr>
          <w:p w14:paraId="07D708CA" w14:textId="77777777" w:rsidR="00EF7075" w:rsidRDefault="00EF7075" w:rsidP="009E0BD0">
            <w:pPr>
              <w:pStyle w:val="TAL"/>
            </w:pPr>
            <w:r>
              <w:t>AnalyticsAccuracyIndication</w:t>
            </w:r>
          </w:p>
        </w:tc>
        <w:tc>
          <w:tcPr>
            <w:tcW w:w="424" w:type="dxa"/>
            <w:tcBorders>
              <w:top w:val="single" w:sz="6" w:space="0" w:color="auto"/>
              <w:left w:val="single" w:sz="6" w:space="0" w:color="auto"/>
              <w:bottom w:val="single" w:sz="6" w:space="0" w:color="auto"/>
              <w:right w:val="single" w:sz="6" w:space="0" w:color="auto"/>
            </w:tcBorders>
          </w:tcPr>
          <w:p w14:paraId="5F78E979" w14:textId="77777777" w:rsidR="00EF7075" w:rsidRDefault="00EF7075" w:rsidP="009E0BD0">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CA1BAB9" w14:textId="77777777" w:rsidR="00EF7075" w:rsidRDefault="00EF7075" w:rsidP="009E0BD0">
            <w:pPr>
              <w:pStyle w:val="TAL"/>
              <w:rPr>
                <w:lang w:eastAsia="zh-CN"/>
              </w:rPr>
            </w:pPr>
            <w:r>
              <w:rPr>
                <w:lang w:eastAsia="zh-CN"/>
              </w:rPr>
              <w:t>0..1</w:t>
            </w:r>
          </w:p>
        </w:tc>
        <w:tc>
          <w:tcPr>
            <w:tcW w:w="2846" w:type="dxa"/>
            <w:tcBorders>
              <w:top w:val="single" w:sz="6" w:space="0" w:color="auto"/>
              <w:left w:val="single" w:sz="6" w:space="0" w:color="auto"/>
              <w:bottom w:val="single" w:sz="6" w:space="0" w:color="auto"/>
              <w:right w:val="single" w:sz="6" w:space="0" w:color="auto"/>
            </w:tcBorders>
          </w:tcPr>
          <w:p w14:paraId="23851709" w14:textId="77777777" w:rsidR="00EF7075" w:rsidRDefault="00EF7075" w:rsidP="009E0BD0">
            <w:pPr>
              <w:pStyle w:val="TAL"/>
            </w:pPr>
            <w:r>
              <w:t>Indicates whether the accuracy value meet the analytics accuracy requirement or not.</w:t>
            </w:r>
          </w:p>
        </w:tc>
        <w:tc>
          <w:tcPr>
            <w:tcW w:w="1837" w:type="dxa"/>
            <w:tcBorders>
              <w:top w:val="single" w:sz="6" w:space="0" w:color="auto"/>
              <w:left w:val="single" w:sz="6" w:space="0" w:color="auto"/>
              <w:bottom w:val="single" w:sz="6" w:space="0" w:color="auto"/>
              <w:right w:val="single" w:sz="6" w:space="0" w:color="auto"/>
            </w:tcBorders>
          </w:tcPr>
          <w:p w14:paraId="43D18737" w14:textId="77777777" w:rsidR="00EF7075" w:rsidRDefault="00EF7075" w:rsidP="009E0BD0">
            <w:pPr>
              <w:pStyle w:val="TAL"/>
              <w:rPr>
                <w:rFonts w:cs="Arial"/>
                <w:szCs w:val="18"/>
              </w:rPr>
            </w:pPr>
          </w:p>
        </w:tc>
      </w:tr>
      <w:tr w:rsidR="00EF7075" w14:paraId="21F20F7F" w14:textId="77777777" w:rsidTr="009E0BD0">
        <w:trPr>
          <w:jc w:val="center"/>
        </w:trPr>
        <w:tc>
          <w:tcPr>
            <w:tcW w:w="9570" w:type="dxa"/>
            <w:gridSpan w:val="6"/>
            <w:tcBorders>
              <w:top w:val="single" w:sz="6" w:space="0" w:color="auto"/>
              <w:left w:val="single" w:sz="6" w:space="0" w:color="auto"/>
              <w:bottom w:val="single" w:sz="6" w:space="0" w:color="auto"/>
              <w:right w:val="single" w:sz="6" w:space="0" w:color="auto"/>
            </w:tcBorders>
          </w:tcPr>
          <w:p w14:paraId="3CDDBEEB" w14:textId="77777777" w:rsidR="00EF7075" w:rsidRDefault="00EF7075" w:rsidP="009E0BD0">
            <w:pPr>
              <w:pStyle w:val="TAL"/>
              <w:rPr>
                <w:rFonts w:cs="Arial"/>
                <w:szCs w:val="18"/>
              </w:rPr>
            </w:pPr>
            <w:r>
              <w:t>NOTE</w:t>
            </w:r>
            <w:r>
              <w:rPr>
                <w:rFonts w:cs="Arial"/>
                <w:szCs w:val="18"/>
              </w:rPr>
              <w:t>:</w:t>
            </w:r>
            <w:r>
              <w:rPr>
                <w:rFonts w:cs="Arial"/>
                <w:szCs w:val="18"/>
              </w:rPr>
              <w:tab/>
              <w:t>The NWDAF containing AnLF determines whether the prediction is correct one is up to implementation.</w:t>
            </w:r>
          </w:p>
        </w:tc>
      </w:tr>
    </w:tbl>
    <w:p w14:paraId="5E49319C" w14:textId="77777777" w:rsidR="00EF7075" w:rsidRDefault="00EF7075" w:rsidP="00EF7075"/>
    <w:p w14:paraId="39010989" w14:textId="77777777" w:rsidR="00A10B25" w:rsidRDefault="00A10B25">
      <w:pPr>
        <w:pStyle w:val="5"/>
      </w:pPr>
      <w:bookmarkStart w:id="8071" w:name="_Toc170120406"/>
      <w:bookmarkStart w:id="8072" w:name="_Toc175858651"/>
      <w:bookmarkStart w:id="8073" w:name="_Toc175859724"/>
      <w:bookmarkStart w:id="8074" w:name="_Toc180606014"/>
      <w:bookmarkStart w:id="8075" w:name="_Toc185517268"/>
      <w:bookmarkStart w:id="8076" w:name="_Toc191576319"/>
      <w:bookmarkStart w:id="8077" w:name="_Toc191577059"/>
      <w:bookmarkStart w:id="8078" w:name="_Toc192880129"/>
      <w:bookmarkStart w:id="8079" w:name="_Toc195815012"/>
      <w:bookmarkStart w:id="8080" w:name="_Toc199452979"/>
      <w:r>
        <w:lastRenderedPageBreak/>
        <w:t>5.1.6.2.90</w:t>
      </w:r>
      <w:r>
        <w:tab/>
        <w:t>Type DataVolumeTransferTime</w:t>
      </w:r>
      <w:bookmarkEnd w:id="8053"/>
      <w:bookmarkEnd w:id="8054"/>
      <w:bookmarkEnd w:id="8055"/>
      <w:bookmarkEnd w:id="8071"/>
      <w:bookmarkEnd w:id="8072"/>
      <w:bookmarkEnd w:id="8073"/>
      <w:bookmarkEnd w:id="8074"/>
      <w:bookmarkEnd w:id="8075"/>
      <w:bookmarkEnd w:id="8076"/>
      <w:bookmarkEnd w:id="8077"/>
      <w:bookmarkEnd w:id="8078"/>
      <w:bookmarkEnd w:id="8079"/>
      <w:bookmarkEnd w:id="8080"/>
    </w:p>
    <w:p w14:paraId="77D79AC4" w14:textId="77777777" w:rsidR="00A10B25" w:rsidRDefault="00A10B25">
      <w:pPr>
        <w:pStyle w:val="TH"/>
      </w:pPr>
      <w:r>
        <w:t>Table 5.1.6.2.90-1: Definition of type DataVolumeTransferTime</w:t>
      </w:r>
    </w:p>
    <w:tbl>
      <w:tblPr>
        <w:tblW w:w="954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7"/>
        <w:gridCol w:w="1549"/>
        <w:gridCol w:w="429"/>
        <w:gridCol w:w="1129"/>
        <w:gridCol w:w="2829"/>
        <w:gridCol w:w="1830"/>
      </w:tblGrid>
      <w:tr w:rsidR="00A10B25" w14:paraId="37F6E2C2"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tcPr>
          <w:p w14:paraId="255954C7" w14:textId="77777777" w:rsidR="00A10B25" w:rsidRDefault="00A10B25">
            <w:pPr>
              <w:pStyle w:val="TAH"/>
              <w:ind w:left="400" w:hanging="400"/>
            </w:pPr>
            <w:r>
              <w:t>Attribute name</w:t>
            </w:r>
          </w:p>
        </w:tc>
        <w:tc>
          <w:tcPr>
            <w:tcW w:w="1640" w:type="dxa"/>
            <w:tcBorders>
              <w:top w:val="single" w:sz="6" w:space="0" w:color="auto"/>
              <w:left w:val="single" w:sz="6" w:space="0" w:color="auto"/>
              <w:bottom w:val="single" w:sz="6" w:space="0" w:color="auto"/>
              <w:right w:val="single" w:sz="6" w:space="0" w:color="auto"/>
            </w:tcBorders>
            <w:shd w:val="clear" w:color="auto" w:fill="C0C0C0"/>
          </w:tcPr>
          <w:p w14:paraId="6F162EA2" w14:textId="77777777" w:rsidR="00A10B25" w:rsidRDefault="00A10B25">
            <w:pPr>
              <w:pStyle w:val="TAH"/>
              <w:ind w:left="400" w:hanging="400"/>
            </w:pPr>
            <w:r>
              <w:t>Data type</w:t>
            </w:r>
          </w:p>
        </w:tc>
        <w:tc>
          <w:tcPr>
            <w:tcW w:w="447" w:type="dxa"/>
            <w:tcBorders>
              <w:top w:val="single" w:sz="6" w:space="0" w:color="auto"/>
              <w:left w:val="single" w:sz="6" w:space="0" w:color="auto"/>
              <w:bottom w:val="single" w:sz="6" w:space="0" w:color="auto"/>
              <w:right w:val="single" w:sz="6" w:space="0" w:color="auto"/>
            </w:tcBorders>
            <w:shd w:val="clear" w:color="auto" w:fill="C0C0C0"/>
          </w:tcPr>
          <w:p w14:paraId="4107DC9C" w14:textId="77777777" w:rsidR="00A10B25" w:rsidRDefault="00A10B25">
            <w:pPr>
              <w:pStyle w:val="TAH"/>
              <w:ind w:left="400" w:hanging="400"/>
            </w:pPr>
            <w:r>
              <w:t>P</w:t>
            </w:r>
          </w:p>
        </w:tc>
        <w:tc>
          <w:tcPr>
            <w:tcW w:w="1193" w:type="dxa"/>
            <w:tcBorders>
              <w:top w:val="single" w:sz="6" w:space="0" w:color="auto"/>
              <w:left w:val="single" w:sz="6" w:space="0" w:color="auto"/>
              <w:bottom w:val="single" w:sz="6" w:space="0" w:color="auto"/>
              <w:right w:val="single" w:sz="6" w:space="0" w:color="auto"/>
            </w:tcBorders>
            <w:shd w:val="clear" w:color="auto" w:fill="C0C0C0"/>
          </w:tcPr>
          <w:p w14:paraId="65A72BE7" w14:textId="77777777" w:rsidR="00A10B25" w:rsidRDefault="00A10B25">
            <w:pPr>
              <w:pStyle w:val="TAH"/>
              <w:ind w:left="400" w:hanging="400"/>
            </w:pPr>
            <w:r>
              <w:t>Cardinality</w:t>
            </w:r>
          </w:p>
        </w:tc>
        <w:tc>
          <w:tcPr>
            <w:tcW w:w="3004" w:type="dxa"/>
            <w:tcBorders>
              <w:top w:val="single" w:sz="6" w:space="0" w:color="auto"/>
              <w:left w:val="single" w:sz="6" w:space="0" w:color="auto"/>
              <w:bottom w:val="single" w:sz="6" w:space="0" w:color="auto"/>
              <w:right w:val="single" w:sz="6" w:space="0" w:color="auto"/>
            </w:tcBorders>
            <w:shd w:val="clear" w:color="auto" w:fill="C0C0C0"/>
          </w:tcPr>
          <w:p w14:paraId="594C37F3" w14:textId="77777777" w:rsidR="00A10B25" w:rsidRDefault="00A10B25">
            <w:pPr>
              <w:pStyle w:val="TAH"/>
              <w:ind w:left="400" w:hanging="400"/>
            </w:pPr>
            <w:r>
              <w:t>Description</w:t>
            </w:r>
          </w:p>
        </w:tc>
        <w:tc>
          <w:tcPr>
            <w:tcW w:w="1939" w:type="dxa"/>
            <w:tcBorders>
              <w:top w:val="single" w:sz="6" w:space="0" w:color="auto"/>
              <w:left w:val="single" w:sz="6" w:space="0" w:color="auto"/>
              <w:bottom w:val="single" w:sz="6" w:space="0" w:color="auto"/>
              <w:right w:val="single" w:sz="6" w:space="0" w:color="auto"/>
            </w:tcBorders>
            <w:shd w:val="clear" w:color="auto" w:fill="C0C0C0"/>
          </w:tcPr>
          <w:p w14:paraId="5C0B48DB" w14:textId="77777777" w:rsidR="00A10B25" w:rsidRDefault="00A10B25">
            <w:pPr>
              <w:pStyle w:val="TAH"/>
              <w:ind w:left="400" w:hanging="400"/>
            </w:pPr>
            <w:r>
              <w:t>Applicability</w:t>
            </w:r>
          </w:p>
        </w:tc>
      </w:tr>
      <w:tr w:rsidR="00A10B25" w14:paraId="40F97829"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15660738" w14:textId="77777777" w:rsidR="00A10B25" w:rsidRDefault="00A10B25">
            <w:pPr>
              <w:pStyle w:val="TAL"/>
              <w:rPr>
                <w:lang w:eastAsia="zh-CN"/>
              </w:rPr>
            </w:pPr>
            <w:r>
              <w:rPr>
                <w:lang w:eastAsia="zh-CN"/>
              </w:rPr>
              <w:t>uplinkVolume</w:t>
            </w:r>
          </w:p>
        </w:tc>
        <w:tc>
          <w:tcPr>
            <w:tcW w:w="1640" w:type="dxa"/>
            <w:tcBorders>
              <w:top w:val="single" w:sz="6" w:space="0" w:color="auto"/>
              <w:left w:val="single" w:sz="6" w:space="0" w:color="auto"/>
              <w:bottom w:val="single" w:sz="6" w:space="0" w:color="auto"/>
              <w:right w:val="single" w:sz="6" w:space="0" w:color="auto"/>
            </w:tcBorders>
          </w:tcPr>
          <w:p w14:paraId="062FA18D" w14:textId="77777777" w:rsidR="00A10B25" w:rsidRDefault="00A10B25">
            <w:pPr>
              <w:pStyle w:val="TAL"/>
              <w:rPr>
                <w:lang w:eastAsia="zh-CN"/>
              </w:rPr>
            </w:pPr>
            <w:r>
              <w:rPr>
                <w:lang w:eastAsia="zh-CN"/>
              </w:rPr>
              <w:t>Volume</w:t>
            </w:r>
          </w:p>
        </w:tc>
        <w:tc>
          <w:tcPr>
            <w:tcW w:w="447" w:type="dxa"/>
            <w:tcBorders>
              <w:top w:val="single" w:sz="6" w:space="0" w:color="auto"/>
              <w:left w:val="single" w:sz="6" w:space="0" w:color="auto"/>
              <w:bottom w:val="single" w:sz="6" w:space="0" w:color="auto"/>
              <w:right w:val="single" w:sz="6" w:space="0" w:color="auto"/>
            </w:tcBorders>
          </w:tcPr>
          <w:p w14:paraId="6C554628"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1E71659E"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7F542640" w14:textId="77777777" w:rsidR="00A10B25" w:rsidRDefault="00A10B25">
            <w:pPr>
              <w:pStyle w:val="TAL"/>
              <w:rPr>
                <w:rFonts w:cs="Arial"/>
                <w:szCs w:val="18"/>
              </w:rPr>
            </w:pPr>
            <w:r>
              <w:rPr>
                <w:rFonts w:cs="Arial"/>
                <w:szCs w:val="18"/>
              </w:rPr>
              <w:t>Uplink traffic volume in unit of octet.</w:t>
            </w:r>
          </w:p>
        </w:tc>
        <w:tc>
          <w:tcPr>
            <w:tcW w:w="1939" w:type="dxa"/>
            <w:tcBorders>
              <w:top w:val="single" w:sz="6" w:space="0" w:color="auto"/>
              <w:left w:val="single" w:sz="6" w:space="0" w:color="auto"/>
              <w:bottom w:val="single" w:sz="6" w:space="0" w:color="auto"/>
              <w:right w:val="single" w:sz="6" w:space="0" w:color="auto"/>
            </w:tcBorders>
          </w:tcPr>
          <w:p w14:paraId="5A4C6CDE" w14:textId="77777777" w:rsidR="00A10B25" w:rsidRDefault="00A10B25">
            <w:pPr>
              <w:pStyle w:val="TAL"/>
              <w:rPr>
                <w:rFonts w:cs="Arial"/>
                <w:szCs w:val="18"/>
              </w:rPr>
            </w:pPr>
          </w:p>
        </w:tc>
      </w:tr>
      <w:tr w:rsidR="00A10B25" w14:paraId="6F571419"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3D838BDF" w14:textId="77777777" w:rsidR="00A10B25" w:rsidRDefault="00A10B25">
            <w:pPr>
              <w:pStyle w:val="TAL"/>
              <w:rPr>
                <w:lang w:eastAsia="zh-CN"/>
              </w:rPr>
            </w:pPr>
            <w:r>
              <w:rPr>
                <w:lang w:eastAsia="zh-CN"/>
              </w:rPr>
              <w:t>avgTransTimeUl</w:t>
            </w:r>
          </w:p>
        </w:tc>
        <w:tc>
          <w:tcPr>
            <w:tcW w:w="1640" w:type="dxa"/>
            <w:tcBorders>
              <w:top w:val="single" w:sz="6" w:space="0" w:color="auto"/>
              <w:left w:val="single" w:sz="6" w:space="0" w:color="auto"/>
              <w:bottom w:val="single" w:sz="6" w:space="0" w:color="auto"/>
              <w:right w:val="single" w:sz="6" w:space="0" w:color="auto"/>
            </w:tcBorders>
          </w:tcPr>
          <w:p w14:paraId="7A99AEB8" w14:textId="77777777" w:rsidR="00A10B25" w:rsidRDefault="00A10B25">
            <w:pPr>
              <w:pStyle w:val="TAL"/>
              <w:rPr>
                <w:lang w:eastAsia="zh-CN"/>
              </w:rPr>
            </w:pPr>
            <w:r>
              <w:rPr>
                <w:lang w:eastAsia="zh-CN"/>
              </w:rPr>
              <w:t>Uinteger</w:t>
            </w:r>
          </w:p>
        </w:tc>
        <w:tc>
          <w:tcPr>
            <w:tcW w:w="447" w:type="dxa"/>
            <w:tcBorders>
              <w:top w:val="single" w:sz="6" w:space="0" w:color="auto"/>
              <w:left w:val="single" w:sz="6" w:space="0" w:color="auto"/>
              <w:bottom w:val="single" w:sz="6" w:space="0" w:color="auto"/>
              <w:right w:val="single" w:sz="6" w:space="0" w:color="auto"/>
            </w:tcBorders>
          </w:tcPr>
          <w:p w14:paraId="74D0B856"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063C9FE0"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5ECE05C0" w14:textId="77777777" w:rsidR="00A10B25" w:rsidRDefault="00A10B25">
            <w:pPr>
              <w:pStyle w:val="TAL"/>
              <w:rPr>
                <w:rFonts w:cs="Arial"/>
                <w:szCs w:val="18"/>
              </w:rPr>
            </w:pPr>
            <w:r>
              <w:rPr>
                <w:rFonts w:cs="Arial"/>
                <w:szCs w:val="18"/>
              </w:rPr>
              <w:t xml:space="preserve">The average time of </w:t>
            </w:r>
            <w:r>
              <w:t>E2E uplink data volume transfer</w:t>
            </w:r>
            <w:r>
              <w:rPr>
                <w:lang w:eastAsia="zh-CN"/>
              </w:rPr>
              <w:t xml:space="preserve"> </w:t>
            </w:r>
            <w:r>
              <w:rPr>
                <w:rFonts w:cs="Arial"/>
                <w:szCs w:val="18"/>
              </w:rPr>
              <w:t>in unit of millisecond.</w:t>
            </w:r>
          </w:p>
        </w:tc>
        <w:tc>
          <w:tcPr>
            <w:tcW w:w="1939" w:type="dxa"/>
            <w:tcBorders>
              <w:top w:val="single" w:sz="6" w:space="0" w:color="auto"/>
              <w:left w:val="single" w:sz="6" w:space="0" w:color="auto"/>
              <w:bottom w:val="single" w:sz="6" w:space="0" w:color="auto"/>
              <w:right w:val="single" w:sz="6" w:space="0" w:color="auto"/>
            </w:tcBorders>
          </w:tcPr>
          <w:p w14:paraId="20BF8B7E" w14:textId="77777777" w:rsidR="00A10B25" w:rsidRDefault="00A10B25">
            <w:pPr>
              <w:pStyle w:val="TAL"/>
              <w:rPr>
                <w:rFonts w:cs="Arial"/>
                <w:szCs w:val="18"/>
              </w:rPr>
            </w:pPr>
          </w:p>
        </w:tc>
      </w:tr>
      <w:tr w:rsidR="00A10B25" w14:paraId="2BD6142E"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7AAAED2D" w14:textId="77777777" w:rsidR="00A10B25" w:rsidRDefault="00A10B25">
            <w:pPr>
              <w:pStyle w:val="TAL"/>
              <w:rPr>
                <w:lang w:eastAsia="zh-CN"/>
              </w:rPr>
            </w:pPr>
            <w:r>
              <w:rPr>
                <w:lang w:eastAsia="zh-CN"/>
              </w:rPr>
              <w:t>varTransTimeUl</w:t>
            </w:r>
          </w:p>
        </w:tc>
        <w:tc>
          <w:tcPr>
            <w:tcW w:w="1640" w:type="dxa"/>
            <w:tcBorders>
              <w:top w:val="single" w:sz="6" w:space="0" w:color="auto"/>
              <w:left w:val="single" w:sz="6" w:space="0" w:color="auto"/>
              <w:bottom w:val="single" w:sz="6" w:space="0" w:color="auto"/>
              <w:right w:val="single" w:sz="6" w:space="0" w:color="auto"/>
            </w:tcBorders>
          </w:tcPr>
          <w:p w14:paraId="0A59DF59" w14:textId="77777777" w:rsidR="00A10B25" w:rsidRDefault="00A10B25">
            <w:pPr>
              <w:pStyle w:val="TAL"/>
              <w:rPr>
                <w:lang w:eastAsia="zh-CN"/>
              </w:rPr>
            </w:pPr>
            <w:r>
              <w:rPr>
                <w:lang w:eastAsia="zh-CN"/>
              </w:rPr>
              <w:t>Float</w:t>
            </w:r>
          </w:p>
        </w:tc>
        <w:tc>
          <w:tcPr>
            <w:tcW w:w="447" w:type="dxa"/>
            <w:tcBorders>
              <w:top w:val="single" w:sz="6" w:space="0" w:color="auto"/>
              <w:left w:val="single" w:sz="6" w:space="0" w:color="auto"/>
              <w:bottom w:val="single" w:sz="6" w:space="0" w:color="auto"/>
              <w:right w:val="single" w:sz="6" w:space="0" w:color="auto"/>
            </w:tcBorders>
          </w:tcPr>
          <w:p w14:paraId="34DA0085"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2A52C815"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44D29855" w14:textId="77777777" w:rsidR="00A10B25" w:rsidRDefault="00A10B25">
            <w:pPr>
              <w:pStyle w:val="TAL"/>
              <w:rPr>
                <w:rFonts w:cs="Arial"/>
                <w:szCs w:val="18"/>
              </w:rPr>
            </w:pPr>
            <w:r>
              <w:t>The E2E uplink data volume transfer</w:t>
            </w:r>
            <w:r>
              <w:rPr>
                <w:rFonts w:cs="Arial"/>
                <w:szCs w:val="18"/>
              </w:rPr>
              <w:t xml:space="preserve"> time</w:t>
            </w:r>
            <w:r>
              <w:t xml:space="preserve"> variance</w:t>
            </w:r>
            <w:r>
              <w:rPr>
                <w:rFonts w:cs="Arial"/>
                <w:szCs w:val="18"/>
              </w:rPr>
              <w:t>.</w:t>
            </w:r>
          </w:p>
        </w:tc>
        <w:tc>
          <w:tcPr>
            <w:tcW w:w="1939" w:type="dxa"/>
            <w:tcBorders>
              <w:top w:val="single" w:sz="6" w:space="0" w:color="auto"/>
              <w:left w:val="single" w:sz="6" w:space="0" w:color="auto"/>
              <w:bottom w:val="single" w:sz="6" w:space="0" w:color="auto"/>
              <w:right w:val="single" w:sz="6" w:space="0" w:color="auto"/>
            </w:tcBorders>
          </w:tcPr>
          <w:p w14:paraId="5E2AD263" w14:textId="77777777" w:rsidR="00A10B25" w:rsidRDefault="00A10B25">
            <w:pPr>
              <w:pStyle w:val="TAL"/>
              <w:rPr>
                <w:rFonts w:cs="Arial"/>
                <w:szCs w:val="18"/>
              </w:rPr>
            </w:pPr>
          </w:p>
        </w:tc>
      </w:tr>
      <w:tr w:rsidR="00A10B25" w14:paraId="03686C22"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4ED0F7FC" w14:textId="77777777" w:rsidR="00A10B25" w:rsidRDefault="00A10B25">
            <w:pPr>
              <w:pStyle w:val="TAL"/>
              <w:rPr>
                <w:lang w:eastAsia="zh-CN"/>
              </w:rPr>
            </w:pPr>
            <w:r>
              <w:rPr>
                <w:lang w:eastAsia="zh-CN"/>
              </w:rPr>
              <w:t>downlinkVolume</w:t>
            </w:r>
          </w:p>
        </w:tc>
        <w:tc>
          <w:tcPr>
            <w:tcW w:w="1640" w:type="dxa"/>
            <w:tcBorders>
              <w:top w:val="single" w:sz="6" w:space="0" w:color="auto"/>
              <w:left w:val="single" w:sz="6" w:space="0" w:color="auto"/>
              <w:bottom w:val="single" w:sz="6" w:space="0" w:color="auto"/>
              <w:right w:val="single" w:sz="6" w:space="0" w:color="auto"/>
            </w:tcBorders>
          </w:tcPr>
          <w:p w14:paraId="41C65F21" w14:textId="77777777" w:rsidR="00A10B25" w:rsidRDefault="00A10B25">
            <w:pPr>
              <w:pStyle w:val="TAL"/>
              <w:rPr>
                <w:lang w:eastAsia="zh-CN"/>
              </w:rPr>
            </w:pPr>
            <w:r>
              <w:rPr>
                <w:lang w:eastAsia="zh-CN"/>
              </w:rPr>
              <w:t>Volume</w:t>
            </w:r>
          </w:p>
        </w:tc>
        <w:tc>
          <w:tcPr>
            <w:tcW w:w="447" w:type="dxa"/>
            <w:tcBorders>
              <w:top w:val="single" w:sz="6" w:space="0" w:color="auto"/>
              <w:left w:val="single" w:sz="6" w:space="0" w:color="auto"/>
              <w:bottom w:val="single" w:sz="6" w:space="0" w:color="auto"/>
              <w:right w:val="single" w:sz="6" w:space="0" w:color="auto"/>
            </w:tcBorders>
          </w:tcPr>
          <w:p w14:paraId="723C53FF"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0F6F43C4"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3A877FDC" w14:textId="77777777" w:rsidR="00A10B25" w:rsidRDefault="00A10B25">
            <w:pPr>
              <w:pStyle w:val="TAL"/>
              <w:rPr>
                <w:rFonts w:cs="Arial"/>
                <w:szCs w:val="18"/>
              </w:rPr>
            </w:pPr>
            <w:r>
              <w:rPr>
                <w:rFonts w:cs="Arial"/>
                <w:szCs w:val="18"/>
              </w:rPr>
              <w:t>Downlink traffic volume in unit of octet.</w:t>
            </w:r>
          </w:p>
        </w:tc>
        <w:tc>
          <w:tcPr>
            <w:tcW w:w="1939" w:type="dxa"/>
            <w:tcBorders>
              <w:top w:val="single" w:sz="6" w:space="0" w:color="auto"/>
              <w:left w:val="single" w:sz="6" w:space="0" w:color="auto"/>
              <w:bottom w:val="single" w:sz="6" w:space="0" w:color="auto"/>
              <w:right w:val="single" w:sz="6" w:space="0" w:color="auto"/>
            </w:tcBorders>
          </w:tcPr>
          <w:p w14:paraId="7B40E399" w14:textId="77777777" w:rsidR="00A10B25" w:rsidRDefault="00A10B25">
            <w:pPr>
              <w:pStyle w:val="TAL"/>
              <w:rPr>
                <w:rFonts w:cs="Arial"/>
                <w:szCs w:val="18"/>
              </w:rPr>
            </w:pPr>
          </w:p>
        </w:tc>
      </w:tr>
      <w:tr w:rsidR="00A10B25" w14:paraId="287BBBCB"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5808F817" w14:textId="77777777" w:rsidR="00A10B25" w:rsidRDefault="00A10B25">
            <w:pPr>
              <w:pStyle w:val="TAL"/>
              <w:rPr>
                <w:lang w:eastAsia="zh-CN"/>
              </w:rPr>
            </w:pPr>
            <w:r>
              <w:rPr>
                <w:lang w:eastAsia="zh-CN"/>
              </w:rPr>
              <w:t>avgTransTimeDl</w:t>
            </w:r>
          </w:p>
        </w:tc>
        <w:tc>
          <w:tcPr>
            <w:tcW w:w="1640" w:type="dxa"/>
            <w:tcBorders>
              <w:top w:val="single" w:sz="6" w:space="0" w:color="auto"/>
              <w:left w:val="single" w:sz="6" w:space="0" w:color="auto"/>
              <w:bottom w:val="single" w:sz="6" w:space="0" w:color="auto"/>
              <w:right w:val="single" w:sz="6" w:space="0" w:color="auto"/>
            </w:tcBorders>
          </w:tcPr>
          <w:p w14:paraId="6B227CD8" w14:textId="77777777" w:rsidR="00A10B25" w:rsidRDefault="00A10B25">
            <w:pPr>
              <w:pStyle w:val="TAL"/>
              <w:rPr>
                <w:lang w:eastAsia="zh-CN"/>
              </w:rPr>
            </w:pPr>
            <w:r>
              <w:rPr>
                <w:lang w:eastAsia="zh-CN"/>
              </w:rPr>
              <w:t>Uinteger</w:t>
            </w:r>
          </w:p>
        </w:tc>
        <w:tc>
          <w:tcPr>
            <w:tcW w:w="447" w:type="dxa"/>
            <w:tcBorders>
              <w:top w:val="single" w:sz="6" w:space="0" w:color="auto"/>
              <w:left w:val="single" w:sz="6" w:space="0" w:color="auto"/>
              <w:bottom w:val="single" w:sz="6" w:space="0" w:color="auto"/>
              <w:right w:val="single" w:sz="6" w:space="0" w:color="auto"/>
            </w:tcBorders>
          </w:tcPr>
          <w:p w14:paraId="251C594A"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4B9A383C"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766C3328" w14:textId="77777777" w:rsidR="00A10B25" w:rsidRDefault="00A10B25">
            <w:pPr>
              <w:pStyle w:val="TAL"/>
              <w:rPr>
                <w:rFonts w:cs="Arial"/>
                <w:szCs w:val="18"/>
              </w:rPr>
            </w:pPr>
            <w:r>
              <w:rPr>
                <w:rFonts w:cs="Arial"/>
                <w:szCs w:val="18"/>
              </w:rPr>
              <w:t xml:space="preserve">The average time of </w:t>
            </w:r>
            <w:r>
              <w:t>E2E downlink data volume transfer</w:t>
            </w:r>
            <w:r>
              <w:rPr>
                <w:lang w:eastAsia="zh-CN"/>
              </w:rPr>
              <w:t xml:space="preserve"> </w:t>
            </w:r>
            <w:r>
              <w:rPr>
                <w:rFonts w:cs="Arial"/>
                <w:szCs w:val="18"/>
              </w:rPr>
              <w:t>in unit of millisecond.</w:t>
            </w:r>
          </w:p>
        </w:tc>
        <w:tc>
          <w:tcPr>
            <w:tcW w:w="1939" w:type="dxa"/>
            <w:tcBorders>
              <w:top w:val="single" w:sz="6" w:space="0" w:color="auto"/>
              <w:left w:val="single" w:sz="6" w:space="0" w:color="auto"/>
              <w:bottom w:val="single" w:sz="6" w:space="0" w:color="auto"/>
              <w:right w:val="single" w:sz="6" w:space="0" w:color="auto"/>
            </w:tcBorders>
          </w:tcPr>
          <w:p w14:paraId="2FF36BCF" w14:textId="77777777" w:rsidR="00A10B25" w:rsidRDefault="00A10B25">
            <w:pPr>
              <w:pStyle w:val="TAL"/>
              <w:rPr>
                <w:rFonts w:cs="Arial"/>
                <w:szCs w:val="18"/>
              </w:rPr>
            </w:pPr>
          </w:p>
        </w:tc>
      </w:tr>
      <w:tr w:rsidR="00A10B25" w14:paraId="2EE5969C" w14:textId="77777777" w:rsidTr="0076721C">
        <w:trPr>
          <w:jc w:val="center"/>
        </w:trPr>
        <w:tc>
          <w:tcPr>
            <w:tcW w:w="1883" w:type="dxa"/>
            <w:tcBorders>
              <w:top w:val="single" w:sz="6" w:space="0" w:color="auto"/>
              <w:left w:val="single" w:sz="6" w:space="0" w:color="auto"/>
              <w:bottom w:val="single" w:sz="6" w:space="0" w:color="auto"/>
              <w:right w:val="single" w:sz="6" w:space="0" w:color="auto"/>
            </w:tcBorders>
          </w:tcPr>
          <w:p w14:paraId="2DE01B30" w14:textId="77777777" w:rsidR="00A10B25" w:rsidRDefault="00A10B25">
            <w:pPr>
              <w:pStyle w:val="TAL"/>
              <w:rPr>
                <w:lang w:eastAsia="zh-CN"/>
              </w:rPr>
            </w:pPr>
            <w:r>
              <w:rPr>
                <w:lang w:eastAsia="zh-CN"/>
              </w:rPr>
              <w:t>varTransTimeDl</w:t>
            </w:r>
          </w:p>
        </w:tc>
        <w:tc>
          <w:tcPr>
            <w:tcW w:w="1640" w:type="dxa"/>
            <w:tcBorders>
              <w:top w:val="single" w:sz="6" w:space="0" w:color="auto"/>
              <w:left w:val="single" w:sz="6" w:space="0" w:color="auto"/>
              <w:bottom w:val="single" w:sz="6" w:space="0" w:color="auto"/>
              <w:right w:val="single" w:sz="6" w:space="0" w:color="auto"/>
            </w:tcBorders>
          </w:tcPr>
          <w:p w14:paraId="097FBC02" w14:textId="77777777" w:rsidR="00A10B25" w:rsidRDefault="00A10B25">
            <w:pPr>
              <w:pStyle w:val="TAL"/>
              <w:rPr>
                <w:lang w:eastAsia="zh-CN"/>
              </w:rPr>
            </w:pPr>
            <w:r>
              <w:rPr>
                <w:lang w:eastAsia="zh-CN"/>
              </w:rPr>
              <w:t>Float</w:t>
            </w:r>
          </w:p>
        </w:tc>
        <w:tc>
          <w:tcPr>
            <w:tcW w:w="447" w:type="dxa"/>
            <w:tcBorders>
              <w:top w:val="single" w:sz="6" w:space="0" w:color="auto"/>
              <w:left w:val="single" w:sz="6" w:space="0" w:color="auto"/>
              <w:bottom w:val="single" w:sz="6" w:space="0" w:color="auto"/>
              <w:right w:val="single" w:sz="6" w:space="0" w:color="auto"/>
            </w:tcBorders>
          </w:tcPr>
          <w:p w14:paraId="045C5BB7" w14:textId="77777777" w:rsidR="00A10B25" w:rsidRDefault="00A10B25">
            <w:pPr>
              <w:pStyle w:val="TAC"/>
            </w:pPr>
            <w:r>
              <w:t>O</w:t>
            </w:r>
          </w:p>
        </w:tc>
        <w:tc>
          <w:tcPr>
            <w:tcW w:w="1193" w:type="dxa"/>
            <w:tcBorders>
              <w:top w:val="single" w:sz="6" w:space="0" w:color="auto"/>
              <w:left w:val="single" w:sz="6" w:space="0" w:color="auto"/>
              <w:bottom w:val="single" w:sz="6" w:space="0" w:color="auto"/>
              <w:right w:val="single" w:sz="6" w:space="0" w:color="auto"/>
            </w:tcBorders>
          </w:tcPr>
          <w:p w14:paraId="66373DCA" w14:textId="77777777" w:rsidR="00A10B25" w:rsidRDefault="00A10B25">
            <w:pPr>
              <w:pStyle w:val="TAL"/>
            </w:pPr>
            <w:r>
              <w:t>0..1</w:t>
            </w:r>
          </w:p>
        </w:tc>
        <w:tc>
          <w:tcPr>
            <w:tcW w:w="3004" w:type="dxa"/>
            <w:tcBorders>
              <w:top w:val="single" w:sz="6" w:space="0" w:color="auto"/>
              <w:left w:val="single" w:sz="6" w:space="0" w:color="auto"/>
              <w:bottom w:val="single" w:sz="6" w:space="0" w:color="auto"/>
              <w:right w:val="single" w:sz="6" w:space="0" w:color="auto"/>
            </w:tcBorders>
          </w:tcPr>
          <w:p w14:paraId="704A6511" w14:textId="77777777" w:rsidR="00A10B25" w:rsidRDefault="00A10B25">
            <w:pPr>
              <w:pStyle w:val="TAL"/>
              <w:rPr>
                <w:rFonts w:cs="Arial"/>
                <w:szCs w:val="18"/>
              </w:rPr>
            </w:pPr>
            <w:r>
              <w:t>The E2E downlink data volume transfer</w:t>
            </w:r>
            <w:r>
              <w:rPr>
                <w:rFonts w:cs="Arial"/>
                <w:szCs w:val="18"/>
              </w:rPr>
              <w:t xml:space="preserve"> time</w:t>
            </w:r>
            <w:r>
              <w:t xml:space="preserve"> variance</w:t>
            </w:r>
            <w:r>
              <w:rPr>
                <w:rFonts w:cs="Arial"/>
                <w:szCs w:val="18"/>
              </w:rPr>
              <w:t>.</w:t>
            </w:r>
          </w:p>
        </w:tc>
        <w:tc>
          <w:tcPr>
            <w:tcW w:w="1939" w:type="dxa"/>
            <w:tcBorders>
              <w:top w:val="single" w:sz="6" w:space="0" w:color="auto"/>
              <w:left w:val="single" w:sz="6" w:space="0" w:color="auto"/>
              <w:bottom w:val="single" w:sz="6" w:space="0" w:color="auto"/>
              <w:right w:val="single" w:sz="6" w:space="0" w:color="auto"/>
            </w:tcBorders>
          </w:tcPr>
          <w:p w14:paraId="71143296" w14:textId="77777777" w:rsidR="00A10B25" w:rsidRDefault="00A10B25">
            <w:pPr>
              <w:pStyle w:val="TAL"/>
              <w:rPr>
                <w:rFonts w:cs="Arial"/>
                <w:szCs w:val="18"/>
              </w:rPr>
            </w:pPr>
          </w:p>
        </w:tc>
      </w:tr>
    </w:tbl>
    <w:p w14:paraId="38CFAABA" w14:textId="77777777" w:rsidR="00A10B25" w:rsidRDefault="00A10B25"/>
    <w:p w14:paraId="11D56310" w14:textId="77777777" w:rsidR="00A10B25" w:rsidRDefault="00A10B25">
      <w:pPr>
        <w:pStyle w:val="5"/>
      </w:pPr>
      <w:bookmarkStart w:id="8081" w:name="_Toc148522685"/>
      <w:bookmarkStart w:id="8082" w:name="_Toc145705781"/>
      <w:bookmarkStart w:id="8083" w:name="_Toc136687173"/>
      <w:bookmarkStart w:id="8084" w:name="_Toc164920865"/>
      <w:bookmarkStart w:id="8085" w:name="_Toc170120407"/>
      <w:bookmarkStart w:id="8086" w:name="_Toc175858652"/>
      <w:bookmarkStart w:id="8087" w:name="_Toc175859725"/>
      <w:bookmarkStart w:id="8088" w:name="_Toc180606015"/>
      <w:bookmarkStart w:id="8089" w:name="_Toc185517269"/>
      <w:bookmarkStart w:id="8090" w:name="_Toc191576320"/>
      <w:bookmarkStart w:id="8091" w:name="_Toc191577060"/>
      <w:bookmarkStart w:id="8092" w:name="_Toc192880130"/>
      <w:bookmarkStart w:id="8093" w:name="_Toc195815013"/>
      <w:bookmarkStart w:id="8094" w:name="_Toc199452980"/>
      <w:r>
        <w:t>5.1.6.2.91</w:t>
      </w:r>
      <w:r>
        <w:tab/>
        <w:t xml:space="preserve">Type </w:t>
      </w:r>
      <w:bookmarkEnd w:id="8083"/>
      <w:r>
        <w:t>MovBehavReq</w:t>
      </w:r>
      <w:bookmarkEnd w:id="8081"/>
      <w:bookmarkEnd w:id="8082"/>
      <w:bookmarkEnd w:id="8084"/>
      <w:bookmarkEnd w:id="8085"/>
      <w:bookmarkEnd w:id="8086"/>
      <w:bookmarkEnd w:id="8087"/>
      <w:bookmarkEnd w:id="8088"/>
      <w:bookmarkEnd w:id="8089"/>
      <w:bookmarkEnd w:id="8090"/>
      <w:bookmarkEnd w:id="8091"/>
      <w:bookmarkEnd w:id="8092"/>
      <w:bookmarkEnd w:id="8093"/>
      <w:bookmarkEnd w:id="8094"/>
    </w:p>
    <w:p w14:paraId="424606D9" w14:textId="77777777" w:rsidR="00A10B25" w:rsidRDefault="00A10B25">
      <w:pPr>
        <w:pStyle w:val="TH"/>
      </w:pPr>
      <w:r>
        <w:t>Table 5.1.6.2.91-1: Definition of type MovBehavReq</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7C97DD91" w14:textId="77777777">
        <w:trPr>
          <w:jc w:val="center"/>
        </w:trPr>
        <w:tc>
          <w:tcPr>
            <w:tcW w:w="1751" w:type="dxa"/>
            <w:tcBorders>
              <w:top w:val="single" w:sz="6" w:space="0" w:color="auto"/>
              <w:left w:val="single" w:sz="6" w:space="0" w:color="auto"/>
              <w:bottom w:val="single" w:sz="6" w:space="0" w:color="auto"/>
              <w:right w:val="single" w:sz="6" w:space="0" w:color="auto"/>
            </w:tcBorders>
            <w:shd w:val="clear" w:color="auto" w:fill="C0C0C0"/>
          </w:tcPr>
          <w:p w14:paraId="138188DA"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6B6BDAC0"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23B3E380"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472B60C5" w14:textId="77777777" w:rsidR="00A10B25" w:rsidRDefault="00A10B25">
            <w:pPr>
              <w:pStyle w:val="TAH"/>
              <w:ind w:left="400" w:hanging="400"/>
            </w:pPr>
            <w:r>
              <w:t>Cardinality</w:t>
            </w:r>
          </w:p>
        </w:tc>
        <w:tc>
          <w:tcPr>
            <w:tcW w:w="2846" w:type="dxa"/>
            <w:tcBorders>
              <w:top w:val="single" w:sz="6" w:space="0" w:color="auto"/>
              <w:left w:val="single" w:sz="6" w:space="0" w:color="auto"/>
              <w:bottom w:val="single" w:sz="6" w:space="0" w:color="auto"/>
              <w:right w:val="single" w:sz="6" w:space="0" w:color="auto"/>
            </w:tcBorders>
            <w:shd w:val="clear" w:color="auto" w:fill="C0C0C0"/>
          </w:tcPr>
          <w:p w14:paraId="662C330A"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48AEFFCB" w14:textId="77777777" w:rsidR="00A10B25" w:rsidRDefault="00A10B25">
            <w:pPr>
              <w:pStyle w:val="TAH"/>
              <w:ind w:left="400" w:hanging="400"/>
            </w:pPr>
            <w:r>
              <w:t>Applicability</w:t>
            </w:r>
          </w:p>
        </w:tc>
      </w:tr>
      <w:tr w:rsidR="00A10B25" w14:paraId="06F71560"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691C072C" w14:textId="77777777" w:rsidR="00A10B25" w:rsidRDefault="00A10B25">
            <w:pPr>
              <w:pStyle w:val="TAL"/>
              <w:rPr>
                <w:lang w:eastAsia="zh-CN"/>
              </w:rPr>
            </w:pPr>
            <w:bookmarkStart w:id="8095" w:name="_Hlk143694879"/>
            <w:r>
              <w:rPr>
                <w:lang w:eastAsia="zh-CN"/>
              </w:rPr>
              <w:t>locationGranReq</w:t>
            </w:r>
            <w:bookmarkEnd w:id="8095"/>
          </w:p>
        </w:tc>
        <w:tc>
          <w:tcPr>
            <w:tcW w:w="1554" w:type="dxa"/>
            <w:tcBorders>
              <w:top w:val="single" w:sz="6" w:space="0" w:color="auto"/>
              <w:left w:val="single" w:sz="6" w:space="0" w:color="auto"/>
              <w:bottom w:val="single" w:sz="6" w:space="0" w:color="auto"/>
              <w:right w:val="single" w:sz="6" w:space="0" w:color="auto"/>
            </w:tcBorders>
          </w:tcPr>
          <w:p w14:paraId="734C1ACB" w14:textId="77777777" w:rsidR="00A10B25" w:rsidRDefault="00A10B25">
            <w:pPr>
              <w:pStyle w:val="TAL"/>
              <w:rPr>
                <w:lang w:eastAsia="zh-CN"/>
              </w:rPr>
            </w:pPr>
            <w:r>
              <w:rPr>
                <w:lang w:eastAsia="zh-CN"/>
              </w:rPr>
              <w:t>LocInfoGranularity</w:t>
            </w:r>
          </w:p>
        </w:tc>
        <w:tc>
          <w:tcPr>
            <w:tcW w:w="424" w:type="dxa"/>
            <w:tcBorders>
              <w:top w:val="single" w:sz="6" w:space="0" w:color="auto"/>
              <w:left w:val="single" w:sz="6" w:space="0" w:color="auto"/>
              <w:bottom w:val="single" w:sz="6" w:space="0" w:color="auto"/>
              <w:right w:val="single" w:sz="6" w:space="0" w:color="auto"/>
            </w:tcBorders>
          </w:tcPr>
          <w:p w14:paraId="49ACC898" w14:textId="77777777" w:rsidR="00A10B25" w:rsidRDefault="00A10B25">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49849F6" w14:textId="77777777" w:rsidR="00A10B25" w:rsidRDefault="00A10B25">
            <w:pPr>
              <w:pStyle w:val="TAL"/>
              <w:rPr>
                <w:lang w:eastAsia="zh-CN"/>
              </w:rPr>
            </w:pPr>
            <w:r>
              <w:rPr>
                <w:lang w:eastAsia="zh-CN"/>
              </w:rPr>
              <w:t>0..1</w:t>
            </w:r>
          </w:p>
        </w:tc>
        <w:tc>
          <w:tcPr>
            <w:tcW w:w="2846" w:type="dxa"/>
            <w:tcBorders>
              <w:top w:val="single" w:sz="6" w:space="0" w:color="auto"/>
              <w:left w:val="single" w:sz="6" w:space="0" w:color="auto"/>
              <w:bottom w:val="single" w:sz="6" w:space="0" w:color="auto"/>
              <w:right w:val="single" w:sz="6" w:space="0" w:color="auto"/>
            </w:tcBorders>
          </w:tcPr>
          <w:p w14:paraId="615A1491" w14:textId="77777777" w:rsidR="00A10B25" w:rsidRDefault="00A10B25">
            <w:pPr>
              <w:pStyle w:val="TAL"/>
              <w:rPr>
                <w:rFonts w:cs="Arial"/>
                <w:szCs w:val="18"/>
              </w:rPr>
            </w:pPr>
            <w:r>
              <w:rPr>
                <w:rFonts w:cs="Arial"/>
                <w:szCs w:val="18"/>
              </w:rPr>
              <w:t>Indicates the preferred granularity of location information requirement.</w:t>
            </w:r>
          </w:p>
          <w:p w14:paraId="57D3F357" w14:textId="77777777" w:rsidR="00A10B25" w:rsidRDefault="00A10B25">
            <w:pPr>
              <w:pStyle w:val="TAL"/>
              <w:rPr>
                <w:rFonts w:eastAsia="等线" w:cs="Arial"/>
                <w:szCs w:val="18"/>
                <w:lang w:eastAsia="zh-CN"/>
              </w:rPr>
            </w:pPr>
            <w:r>
              <w:t>(NOTE)</w:t>
            </w:r>
          </w:p>
        </w:tc>
        <w:tc>
          <w:tcPr>
            <w:tcW w:w="1837" w:type="dxa"/>
            <w:tcBorders>
              <w:top w:val="single" w:sz="6" w:space="0" w:color="auto"/>
              <w:left w:val="single" w:sz="6" w:space="0" w:color="auto"/>
              <w:bottom w:val="single" w:sz="6" w:space="0" w:color="auto"/>
              <w:right w:val="single" w:sz="6" w:space="0" w:color="auto"/>
            </w:tcBorders>
          </w:tcPr>
          <w:p w14:paraId="792B2353" w14:textId="77777777" w:rsidR="00A10B25" w:rsidRDefault="00A10B25">
            <w:pPr>
              <w:pStyle w:val="TAL"/>
              <w:rPr>
                <w:rFonts w:eastAsia="MS Mincho" w:cs="Arial"/>
                <w:szCs w:val="18"/>
              </w:rPr>
            </w:pPr>
          </w:p>
        </w:tc>
      </w:tr>
      <w:tr w:rsidR="00A10B25" w14:paraId="0E3E1F7C" w14:textId="77777777">
        <w:trPr>
          <w:jc w:val="center"/>
        </w:trPr>
        <w:tc>
          <w:tcPr>
            <w:tcW w:w="1751" w:type="dxa"/>
            <w:tcBorders>
              <w:top w:val="single" w:sz="6" w:space="0" w:color="auto"/>
              <w:left w:val="single" w:sz="6" w:space="0" w:color="auto"/>
              <w:bottom w:val="single" w:sz="6" w:space="0" w:color="auto"/>
              <w:right w:val="single" w:sz="6" w:space="0" w:color="auto"/>
            </w:tcBorders>
          </w:tcPr>
          <w:p w14:paraId="4FFBBED8" w14:textId="77777777" w:rsidR="00A10B25" w:rsidRDefault="00A10B25">
            <w:pPr>
              <w:pStyle w:val="TAL"/>
              <w:rPr>
                <w:lang w:eastAsia="zh-CN"/>
              </w:rPr>
            </w:pPr>
            <w:bookmarkStart w:id="8096" w:name="_Hlk143694908"/>
            <w:r>
              <w:rPr>
                <w:lang w:eastAsia="zh-CN"/>
              </w:rPr>
              <w:t>reportThresholds</w:t>
            </w:r>
            <w:bookmarkEnd w:id="8096"/>
          </w:p>
        </w:tc>
        <w:tc>
          <w:tcPr>
            <w:tcW w:w="1554" w:type="dxa"/>
            <w:tcBorders>
              <w:top w:val="single" w:sz="6" w:space="0" w:color="auto"/>
              <w:left w:val="single" w:sz="6" w:space="0" w:color="auto"/>
              <w:bottom w:val="single" w:sz="6" w:space="0" w:color="auto"/>
              <w:right w:val="single" w:sz="6" w:space="0" w:color="auto"/>
            </w:tcBorders>
          </w:tcPr>
          <w:p w14:paraId="07D53C70" w14:textId="77777777" w:rsidR="00A10B25" w:rsidRDefault="00A10B25">
            <w:pPr>
              <w:pStyle w:val="TAL"/>
              <w:rPr>
                <w:lang w:eastAsia="zh-CN"/>
              </w:rPr>
            </w:pPr>
            <w:r>
              <w:rPr>
                <w:lang w:eastAsia="zh-CN"/>
              </w:rPr>
              <w:t>ThresholdLevel</w:t>
            </w:r>
          </w:p>
        </w:tc>
        <w:tc>
          <w:tcPr>
            <w:tcW w:w="424" w:type="dxa"/>
            <w:tcBorders>
              <w:top w:val="single" w:sz="6" w:space="0" w:color="auto"/>
              <w:left w:val="single" w:sz="6" w:space="0" w:color="auto"/>
              <w:bottom w:val="single" w:sz="6" w:space="0" w:color="auto"/>
              <w:right w:val="single" w:sz="6" w:space="0" w:color="auto"/>
            </w:tcBorders>
          </w:tcPr>
          <w:p w14:paraId="1A7C519B" w14:textId="77777777" w:rsidR="00A10B25" w:rsidRDefault="00A10B25">
            <w:pPr>
              <w:pStyle w:val="TAC"/>
              <w:rPr>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E5374A3" w14:textId="77777777" w:rsidR="00A10B25" w:rsidRDefault="00A10B25">
            <w:pPr>
              <w:pStyle w:val="TAL"/>
              <w:rPr>
                <w:lang w:val="el-GR" w:eastAsia="zh-CN"/>
              </w:rPr>
            </w:pPr>
            <w:r>
              <w:rPr>
                <w:lang w:val="el-GR" w:eastAsia="zh-CN"/>
              </w:rPr>
              <w:t>0..1</w:t>
            </w:r>
          </w:p>
        </w:tc>
        <w:tc>
          <w:tcPr>
            <w:tcW w:w="2846" w:type="dxa"/>
            <w:tcBorders>
              <w:top w:val="single" w:sz="6" w:space="0" w:color="auto"/>
              <w:left w:val="single" w:sz="6" w:space="0" w:color="auto"/>
              <w:bottom w:val="single" w:sz="6" w:space="0" w:color="auto"/>
              <w:right w:val="single" w:sz="6" w:space="0" w:color="auto"/>
            </w:tcBorders>
          </w:tcPr>
          <w:p w14:paraId="52AE5613" w14:textId="77777777" w:rsidR="00A10B25" w:rsidRDefault="00A10B25">
            <w:pPr>
              <w:pStyle w:val="TAL"/>
            </w:pPr>
            <w:r>
              <w:t>Threshold level of speed.</w:t>
            </w:r>
          </w:p>
        </w:tc>
        <w:tc>
          <w:tcPr>
            <w:tcW w:w="1837" w:type="dxa"/>
            <w:tcBorders>
              <w:top w:val="single" w:sz="6" w:space="0" w:color="auto"/>
              <w:left w:val="single" w:sz="6" w:space="0" w:color="auto"/>
              <w:bottom w:val="single" w:sz="6" w:space="0" w:color="auto"/>
              <w:right w:val="single" w:sz="6" w:space="0" w:color="auto"/>
            </w:tcBorders>
          </w:tcPr>
          <w:p w14:paraId="0528EDF9" w14:textId="77777777" w:rsidR="00A10B25" w:rsidRDefault="00A10B25">
            <w:pPr>
              <w:pStyle w:val="TAL"/>
              <w:rPr>
                <w:rFonts w:cs="Arial"/>
                <w:szCs w:val="18"/>
              </w:rPr>
            </w:pPr>
          </w:p>
        </w:tc>
      </w:tr>
      <w:tr w:rsidR="00A10B25" w14:paraId="46A0C7CF" w14:textId="77777777">
        <w:trPr>
          <w:jc w:val="center"/>
        </w:trPr>
        <w:tc>
          <w:tcPr>
            <w:tcW w:w="9542" w:type="dxa"/>
            <w:gridSpan w:val="6"/>
            <w:tcBorders>
              <w:top w:val="single" w:sz="6" w:space="0" w:color="auto"/>
              <w:left w:val="single" w:sz="6" w:space="0" w:color="auto"/>
              <w:bottom w:val="single" w:sz="6" w:space="0" w:color="auto"/>
              <w:right w:val="single" w:sz="6" w:space="0" w:color="auto"/>
            </w:tcBorders>
          </w:tcPr>
          <w:p w14:paraId="004A8A1A" w14:textId="77777777" w:rsidR="00A10B25" w:rsidRDefault="00A10B25">
            <w:pPr>
              <w:pStyle w:val="TAN"/>
              <w:rPr>
                <w:rFonts w:cs="Arial"/>
                <w:szCs w:val="18"/>
              </w:rPr>
            </w:pPr>
            <w:r>
              <w:t>NOTE:</w:t>
            </w:r>
            <w:r>
              <w:tab/>
              <w:t xml:space="preserve">Only applicable to the </w:t>
            </w:r>
            <w:r>
              <w:rPr>
                <w:rFonts w:cs="Arial"/>
                <w:szCs w:val="18"/>
              </w:rPr>
              <w:t>"</w:t>
            </w:r>
            <w:r>
              <w:t>LON_AND_LAT_LEVEL</w:t>
            </w:r>
            <w:r>
              <w:rPr>
                <w:rFonts w:cs="Arial"/>
                <w:szCs w:val="18"/>
              </w:rPr>
              <w:t>"</w:t>
            </w:r>
            <w:r>
              <w:t xml:space="preserve"> value within the </w:t>
            </w:r>
            <w:r>
              <w:rPr>
                <w:rFonts w:cs="Arial"/>
                <w:szCs w:val="18"/>
              </w:rPr>
              <w:t>"</w:t>
            </w:r>
            <w:r>
              <w:rPr>
                <w:lang w:eastAsia="zh-CN"/>
              </w:rPr>
              <w:t>locationGranReq</w:t>
            </w:r>
            <w:r>
              <w:rPr>
                <w:rFonts w:cs="Arial"/>
                <w:szCs w:val="18"/>
              </w:rPr>
              <w:t>"</w:t>
            </w:r>
            <w:r>
              <w:t xml:space="preserve"> attribute. </w:t>
            </w:r>
          </w:p>
        </w:tc>
      </w:tr>
    </w:tbl>
    <w:p w14:paraId="211E2B2A" w14:textId="77777777" w:rsidR="00A10B25" w:rsidRDefault="00A10B25">
      <w:pPr>
        <w:rPr>
          <w:rFonts w:eastAsia="MS Mincho"/>
          <w:u w:val="single"/>
        </w:rPr>
      </w:pPr>
    </w:p>
    <w:p w14:paraId="1D6ABFC1" w14:textId="77777777" w:rsidR="00A10B25" w:rsidRDefault="00A10B25">
      <w:pPr>
        <w:pStyle w:val="5"/>
      </w:pPr>
      <w:bookmarkStart w:id="8097" w:name="_Hlk143695096"/>
      <w:bookmarkStart w:id="8098" w:name="_Toc148522686"/>
      <w:bookmarkStart w:id="8099" w:name="_Toc145705782"/>
      <w:bookmarkStart w:id="8100" w:name="_Toc164920866"/>
      <w:bookmarkStart w:id="8101" w:name="_Toc170120408"/>
      <w:bookmarkStart w:id="8102" w:name="_Toc175858653"/>
      <w:bookmarkStart w:id="8103" w:name="_Toc175859726"/>
      <w:bookmarkStart w:id="8104" w:name="_Toc180606016"/>
      <w:bookmarkStart w:id="8105" w:name="_Toc185517270"/>
      <w:bookmarkStart w:id="8106" w:name="_Toc191576321"/>
      <w:bookmarkStart w:id="8107" w:name="_Toc191577061"/>
      <w:bookmarkStart w:id="8108" w:name="_Toc192880131"/>
      <w:bookmarkStart w:id="8109" w:name="_Toc195815014"/>
      <w:bookmarkStart w:id="8110" w:name="_Toc199452981"/>
      <w:r>
        <w:lastRenderedPageBreak/>
        <w:t>5.1.6.2.9</w:t>
      </w:r>
      <w:bookmarkEnd w:id="8097"/>
      <w:r>
        <w:t>2</w:t>
      </w:r>
      <w:r>
        <w:tab/>
        <w:t xml:space="preserve">Type </w:t>
      </w:r>
      <w:r>
        <w:rPr>
          <w:lang w:eastAsia="zh-CN"/>
        </w:rPr>
        <w:t>MovBehav</w:t>
      </w:r>
      <w:r>
        <w:t>Info</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234B0C42" w14:textId="77777777" w:rsidR="004D166F" w:rsidRDefault="004D166F" w:rsidP="004D166F">
      <w:pPr>
        <w:pStyle w:val="TH"/>
      </w:pPr>
      <w:r>
        <w:t xml:space="preserve">Table 5.1.6.2.92-1: Definition of type </w:t>
      </w:r>
      <w:r>
        <w:rPr>
          <w:lang w:eastAsia="zh-CN"/>
        </w:rPr>
        <w:t>MovBehavInfo</w:t>
      </w:r>
    </w:p>
    <w:tbl>
      <w:tblPr>
        <w:tblW w:w="955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
        <w:gridCol w:w="1752"/>
        <w:gridCol w:w="1555"/>
        <w:gridCol w:w="424"/>
        <w:gridCol w:w="1131"/>
        <w:gridCol w:w="2847"/>
        <w:gridCol w:w="1830"/>
        <w:gridCol w:w="8"/>
      </w:tblGrid>
      <w:tr w:rsidR="004D166F" w14:paraId="3401EC16"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shd w:val="clear" w:color="auto" w:fill="C0C0C0"/>
          </w:tcPr>
          <w:p w14:paraId="1121FBD9" w14:textId="77777777" w:rsidR="004D166F" w:rsidRDefault="004D166F" w:rsidP="009E7F73">
            <w:pPr>
              <w:pStyle w:val="TAH"/>
              <w:ind w:left="400" w:hanging="400"/>
            </w:pPr>
            <w:r>
              <w:t>Attribute name</w:t>
            </w:r>
          </w:p>
        </w:tc>
        <w:tc>
          <w:tcPr>
            <w:tcW w:w="1555" w:type="dxa"/>
            <w:tcBorders>
              <w:top w:val="single" w:sz="6" w:space="0" w:color="auto"/>
              <w:left w:val="single" w:sz="6" w:space="0" w:color="auto"/>
              <w:bottom w:val="single" w:sz="6" w:space="0" w:color="auto"/>
              <w:right w:val="single" w:sz="6" w:space="0" w:color="auto"/>
            </w:tcBorders>
            <w:shd w:val="clear" w:color="auto" w:fill="C0C0C0"/>
          </w:tcPr>
          <w:p w14:paraId="5FC76C54" w14:textId="77777777" w:rsidR="004D166F" w:rsidRDefault="004D166F"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093AAB6" w14:textId="77777777" w:rsidR="004D166F" w:rsidRDefault="004D166F" w:rsidP="009E7F73">
            <w:pPr>
              <w:pStyle w:val="TAH"/>
              <w:ind w:left="400" w:hanging="400"/>
            </w:pPr>
            <w:r>
              <w:t>P</w:t>
            </w:r>
          </w:p>
        </w:tc>
        <w:tc>
          <w:tcPr>
            <w:tcW w:w="1131" w:type="dxa"/>
            <w:tcBorders>
              <w:top w:val="single" w:sz="6" w:space="0" w:color="auto"/>
              <w:left w:val="single" w:sz="6" w:space="0" w:color="auto"/>
              <w:bottom w:val="single" w:sz="6" w:space="0" w:color="auto"/>
              <w:right w:val="single" w:sz="6" w:space="0" w:color="auto"/>
            </w:tcBorders>
            <w:shd w:val="clear" w:color="auto" w:fill="C0C0C0"/>
          </w:tcPr>
          <w:p w14:paraId="3C08B393" w14:textId="77777777" w:rsidR="004D166F" w:rsidRDefault="004D166F" w:rsidP="009E7F73">
            <w:pPr>
              <w:pStyle w:val="TAH"/>
              <w:ind w:left="400" w:hanging="400"/>
            </w:pPr>
            <w:r>
              <w:t>Cardinality</w:t>
            </w:r>
          </w:p>
        </w:tc>
        <w:tc>
          <w:tcPr>
            <w:tcW w:w="2847" w:type="dxa"/>
            <w:tcBorders>
              <w:top w:val="single" w:sz="6" w:space="0" w:color="auto"/>
              <w:left w:val="single" w:sz="6" w:space="0" w:color="auto"/>
              <w:bottom w:val="single" w:sz="6" w:space="0" w:color="auto"/>
              <w:right w:val="single" w:sz="6" w:space="0" w:color="auto"/>
            </w:tcBorders>
            <w:shd w:val="clear" w:color="auto" w:fill="C0C0C0"/>
          </w:tcPr>
          <w:p w14:paraId="34DDF5BB" w14:textId="77777777" w:rsidR="004D166F" w:rsidRDefault="004D166F" w:rsidP="009E7F73">
            <w:pPr>
              <w:pStyle w:val="TAH"/>
              <w:ind w:left="400" w:hanging="400"/>
            </w:pPr>
            <w:r>
              <w:t>Description</w:t>
            </w:r>
          </w:p>
        </w:tc>
        <w:tc>
          <w:tcPr>
            <w:tcW w:w="1838" w:type="dxa"/>
            <w:gridSpan w:val="2"/>
            <w:tcBorders>
              <w:top w:val="single" w:sz="6" w:space="0" w:color="auto"/>
              <w:left w:val="single" w:sz="6" w:space="0" w:color="auto"/>
              <w:bottom w:val="single" w:sz="6" w:space="0" w:color="auto"/>
              <w:right w:val="single" w:sz="6" w:space="0" w:color="auto"/>
            </w:tcBorders>
            <w:shd w:val="clear" w:color="auto" w:fill="C0C0C0"/>
          </w:tcPr>
          <w:p w14:paraId="4228D861" w14:textId="77777777" w:rsidR="004D166F" w:rsidRDefault="004D166F" w:rsidP="009E7F73">
            <w:pPr>
              <w:pStyle w:val="TAH"/>
              <w:ind w:left="400" w:hanging="400"/>
            </w:pPr>
            <w:r>
              <w:t>Applicability</w:t>
            </w:r>
          </w:p>
        </w:tc>
      </w:tr>
      <w:tr w:rsidR="004D166F" w14:paraId="67D4A868"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48CAE295" w14:textId="77777777" w:rsidR="004D166F" w:rsidRDefault="004D166F" w:rsidP="009E7F73">
            <w:pPr>
              <w:pStyle w:val="TAL"/>
              <w:rPr>
                <w:lang w:eastAsia="zh-CN"/>
              </w:rPr>
            </w:pPr>
            <w:r>
              <w:rPr>
                <w:lang w:eastAsia="zh-CN"/>
              </w:rPr>
              <w:t>geoLoc</w:t>
            </w:r>
          </w:p>
        </w:tc>
        <w:tc>
          <w:tcPr>
            <w:tcW w:w="1555" w:type="dxa"/>
            <w:tcBorders>
              <w:top w:val="single" w:sz="6" w:space="0" w:color="auto"/>
              <w:left w:val="single" w:sz="6" w:space="0" w:color="auto"/>
              <w:bottom w:val="single" w:sz="6" w:space="0" w:color="auto"/>
              <w:right w:val="single" w:sz="6" w:space="0" w:color="auto"/>
            </w:tcBorders>
          </w:tcPr>
          <w:p w14:paraId="2A6338C2" w14:textId="77777777" w:rsidR="004D166F" w:rsidRDefault="004D166F" w:rsidP="009E7F73">
            <w:pPr>
              <w:pStyle w:val="TAL"/>
              <w:rPr>
                <w:lang w:eastAsia="zh-CN"/>
              </w:rPr>
            </w:pPr>
            <w:r>
              <w:rPr>
                <w:lang w:eastAsia="zh-CN"/>
              </w:rPr>
              <w:t>GeographicalCoordinates</w:t>
            </w:r>
          </w:p>
        </w:tc>
        <w:tc>
          <w:tcPr>
            <w:tcW w:w="424" w:type="dxa"/>
            <w:tcBorders>
              <w:top w:val="single" w:sz="6" w:space="0" w:color="auto"/>
              <w:left w:val="single" w:sz="6" w:space="0" w:color="auto"/>
              <w:bottom w:val="single" w:sz="6" w:space="0" w:color="auto"/>
              <w:right w:val="single" w:sz="6" w:space="0" w:color="auto"/>
            </w:tcBorders>
          </w:tcPr>
          <w:p w14:paraId="3B854105" w14:textId="77777777" w:rsidR="004D166F" w:rsidRDefault="004D166F" w:rsidP="009E7F73">
            <w:pPr>
              <w:pStyle w:val="TAC"/>
              <w:rPr>
                <w:lang w:eastAsia="zh-CN"/>
              </w:rPr>
            </w:pPr>
            <w:r>
              <w:rPr>
                <w:lang w:eastAsia="zh-CN"/>
              </w:rPr>
              <w:t>C</w:t>
            </w:r>
          </w:p>
        </w:tc>
        <w:tc>
          <w:tcPr>
            <w:tcW w:w="1131" w:type="dxa"/>
            <w:tcBorders>
              <w:top w:val="single" w:sz="6" w:space="0" w:color="auto"/>
              <w:left w:val="single" w:sz="6" w:space="0" w:color="auto"/>
              <w:bottom w:val="single" w:sz="6" w:space="0" w:color="auto"/>
              <w:right w:val="single" w:sz="6" w:space="0" w:color="auto"/>
            </w:tcBorders>
          </w:tcPr>
          <w:p w14:paraId="021C2ECB" w14:textId="77777777" w:rsidR="004D166F" w:rsidRDefault="004D166F" w:rsidP="009E7F73">
            <w:pPr>
              <w:pStyle w:val="TAL"/>
              <w:rPr>
                <w:lang w:eastAsia="zh-CN"/>
              </w:rPr>
            </w:pPr>
            <w:r>
              <w:rPr>
                <w:lang w:eastAsia="zh-CN"/>
              </w:rPr>
              <w:t>0..1</w:t>
            </w:r>
          </w:p>
        </w:tc>
        <w:tc>
          <w:tcPr>
            <w:tcW w:w="2847" w:type="dxa"/>
            <w:tcBorders>
              <w:top w:val="single" w:sz="6" w:space="0" w:color="auto"/>
              <w:left w:val="single" w:sz="6" w:space="0" w:color="auto"/>
              <w:bottom w:val="single" w:sz="6" w:space="0" w:color="auto"/>
              <w:right w:val="single" w:sz="6" w:space="0" w:color="auto"/>
            </w:tcBorders>
          </w:tcPr>
          <w:p w14:paraId="0E3BCA49" w14:textId="77777777" w:rsidR="004D166F" w:rsidRDefault="004D166F" w:rsidP="009E7F73">
            <w:pPr>
              <w:pStyle w:val="TAL"/>
            </w:pPr>
            <w:r>
              <w:t>This attribute contains the geographical location.</w:t>
            </w:r>
          </w:p>
          <w:p w14:paraId="26CC1044" w14:textId="77777777" w:rsidR="004D166F" w:rsidRDefault="004D166F" w:rsidP="009E7F73">
            <w:pPr>
              <w:pStyle w:val="TAL"/>
              <w:rPr>
                <w:rFonts w:cs="Arial"/>
                <w:szCs w:val="18"/>
                <w:lang w:eastAsia="zh-CN"/>
              </w:rPr>
            </w:pPr>
            <w:r>
              <w:t>Shall be provided when the "locationGranReq" attribute value "LON_AND_LAT_LEVEL" is subscribed or requested.</w:t>
            </w:r>
          </w:p>
        </w:tc>
        <w:tc>
          <w:tcPr>
            <w:tcW w:w="1838" w:type="dxa"/>
            <w:gridSpan w:val="2"/>
            <w:tcBorders>
              <w:top w:val="single" w:sz="6" w:space="0" w:color="auto"/>
              <w:left w:val="single" w:sz="6" w:space="0" w:color="auto"/>
              <w:bottom w:val="single" w:sz="6" w:space="0" w:color="auto"/>
              <w:right w:val="single" w:sz="6" w:space="0" w:color="auto"/>
            </w:tcBorders>
          </w:tcPr>
          <w:p w14:paraId="7D98BE97" w14:textId="77777777" w:rsidR="004D166F" w:rsidRDefault="004D166F" w:rsidP="009E7F73">
            <w:pPr>
              <w:pStyle w:val="TAL"/>
              <w:rPr>
                <w:rFonts w:cs="Arial"/>
                <w:szCs w:val="18"/>
              </w:rPr>
            </w:pPr>
          </w:p>
        </w:tc>
      </w:tr>
      <w:tr w:rsidR="004D166F" w14:paraId="0E8B5225"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644D79DE" w14:textId="77777777" w:rsidR="004D166F" w:rsidRDefault="004D166F" w:rsidP="009E7F73">
            <w:pPr>
              <w:pStyle w:val="TAL"/>
              <w:rPr>
                <w:lang w:eastAsia="zh-CN"/>
              </w:rPr>
            </w:pPr>
            <w:r>
              <w:rPr>
                <w:lang w:eastAsia="zh-CN"/>
              </w:rPr>
              <w:t>supis</w:t>
            </w:r>
          </w:p>
        </w:tc>
        <w:tc>
          <w:tcPr>
            <w:tcW w:w="1555" w:type="dxa"/>
            <w:tcBorders>
              <w:top w:val="single" w:sz="6" w:space="0" w:color="auto"/>
              <w:left w:val="single" w:sz="6" w:space="0" w:color="auto"/>
              <w:bottom w:val="single" w:sz="6" w:space="0" w:color="auto"/>
              <w:right w:val="single" w:sz="6" w:space="0" w:color="auto"/>
            </w:tcBorders>
          </w:tcPr>
          <w:p w14:paraId="0B491C8F" w14:textId="77777777" w:rsidR="004D166F" w:rsidRDefault="004D166F" w:rsidP="009E7F73">
            <w:pPr>
              <w:pStyle w:val="TAL"/>
              <w:rPr>
                <w:lang w:eastAsia="zh-CN"/>
              </w:rPr>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0ED94470" w14:textId="77777777" w:rsidR="004D166F" w:rsidRDefault="004D166F" w:rsidP="009E7F73">
            <w:pPr>
              <w:pStyle w:val="TAC"/>
              <w:rPr>
                <w:lang w:eastAsia="zh-CN"/>
              </w:rPr>
            </w:pPr>
            <w:r>
              <w:t>O</w:t>
            </w:r>
          </w:p>
        </w:tc>
        <w:tc>
          <w:tcPr>
            <w:tcW w:w="1131" w:type="dxa"/>
            <w:tcBorders>
              <w:top w:val="single" w:sz="6" w:space="0" w:color="auto"/>
              <w:left w:val="single" w:sz="6" w:space="0" w:color="auto"/>
              <w:bottom w:val="single" w:sz="6" w:space="0" w:color="auto"/>
              <w:right w:val="single" w:sz="6" w:space="0" w:color="auto"/>
            </w:tcBorders>
          </w:tcPr>
          <w:p w14:paraId="40232FCA" w14:textId="77777777" w:rsidR="004D166F" w:rsidRDefault="004D166F" w:rsidP="009E7F73">
            <w:pPr>
              <w:pStyle w:val="TAL"/>
              <w:rPr>
                <w:lang w:eastAsia="zh-CN"/>
              </w:rPr>
            </w:pPr>
            <w:r>
              <w:t>1..N</w:t>
            </w:r>
          </w:p>
        </w:tc>
        <w:tc>
          <w:tcPr>
            <w:tcW w:w="2847" w:type="dxa"/>
            <w:tcBorders>
              <w:top w:val="single" w:sz="6" w:space="0" w:color="auto"/>
              <w:left w:val="single" w:sz="6" w:space="0" w:color="auto"/>
              <w:bottom w:val="single" w:sz="6" w:space="0" w:color="auto"/>
              <w:right w:val="single" w:sz="6" w:space="0" w:color="auto"/>
            </w:tcBorders>
          </w:tcPr>
          <w:p w14:paraId="20ED2D94" w14:textId="77777777" w:rsidR="004D166F" w:rsidRDefault="004D166F" w:rsidP="009E7F73">
            <w:pPr>
              <w:pStyle w:val="TAL"/>
            </w:pPr>
            <w:r>
              <w:rPr>
                <w:rFonts w:cs="Arial"/>
                <w:szCs w:val="18"/>
              </w:rPr>
              <w:t>Each element</w:t>
            </w:r>
            <w:r>
              <w:t xml:space="preserve"> represents a SUPI for a UE.</w:t>
            </w:r>
          </w:p>
          <w:p w14:paraId="45FA4E66" w14:textId="77777777" w:rsidR="004D166F" w:rsidRDefault="004D166F" w:rsidP="009E7F73">
            <w:pPr>
              <w:pStyle w:val="TAL"/>
              <w:rPr>
                <w:lang w:eastAsia="zh-CN"/>
              </w:rPr>
            </w:pPr>
            <w:r>
              <w:rPr>
                <w:rFonts w:hint="eastAsia"/>
                <w:lang w:eastAsia="zh-CN"/>
              </w:rPr>
              <w:t>(</w:t>
            </w:r>
            <w:r>
              <w:rPr>
                <w:lang w:eastAsia="zh-CN"/>
              </w:rPr>
              <w:t>NOTE</w:t>
            </w:r>
            <w:r>
              <w:t> 3</w:t>
            </w:r>
            <w:r>
              <w:rPr>
                <w:lang w:eastAsia="zh-CN"/>
              </w:rPr>
              <w:t>)</w:t>
            </w:r>
          </w:p>
        </w:tc>
        <w:tc>
          <w:tcPr>
            <w:tcW w:w="1838" w:type="dxa"/>
            <w:gridSpan w:val="2"/>
            <w:tcBorders>
              <w:top w:val="single" w:sz="6" w:space="0" w:color="auto"/>
              <w:left w:val="single" w:sz="6" w:space="0" w:color="auto"/>
              <w:bottom w:val="single" w:sz="6" w:space="0" w:color="auto"/>
              <w:right w:val="single" w:sz="6" w:space="0" w:color="auto"/>
            </w:tcBorders>
          </w:tcPr>
          <w:p w14:paraId="2E9E6B68" w14:textId="77777777" w:rsidR="004D166F" w:rsidRDefault="004D166F" w:rsidP="009E7F73">
            <w:pPr>
              <w:pStyle w:val="TAL"/>
              <w:rPr>
                <w:rFonts w:cs="Arial"/>
                <w:szCs w:val="18"/>
                <w:lang w:eastAsia="zh-CN"/>
              </w:rPr>
            </w:pPr>
            <w:r>
              <w:rPr>
                <w:lang w:eastAsia="zh-CN"/>
              </w:rPr>
              <w:t>EnMovementBehaviour</w:t>
            </w:r>
          </w:p>
        </w:tc>
      </w:tr>
      <w:tr w:rsidR="004D166F" w14:paraId="2D528EFF"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11DB155C" w14:textId="77777777" w:rsidR="004D166F" w:rsidRDefault="004D166F" w:rsidP="009E7F73">
            <w:pPr>
              <w:pStyle w:val="TAL"/>
              <w:rPr>
                <w:lang w:eastAsia="zh-CN"/>
              </w:rPr>
            </w:pPr>
            <w:r>
              <w:rPr>
                <w:rFonts w:hint="eastAsia"/>
                <w:lang w:eastAsia="zh-CN"/>
              </w:rPr>
              <w:t>gpsis</w:t>
            </w:r>
          </w:p>
        </w:tc>
        <w:tc>
          <w:tcPr>
            <w:tcW w:w="1555" w:type="dxa"/>
            <w:tcBorders>
              <w:top w:val="single" w:sz="6" w:space="0" w:color="auto"/>
              <w:left w:val="single" w:sz="6" w:space="0" w:color="auto"/>
              <w:bottom w:val="single" w:sz="6" w:space="0" w:color="auto"/>
              <w:right w:val="single" w:sz="6" w:space="0" w:color="auto"/>
            </w:tcBorders>
          </w:tcPr>
          <w:p w14:paraId="1CCF1B94" w14:textId="77777777" w:rsidR="004D166F" w:rsidRDefault="004D166F" w:rsidP="009E7F73">
            <w:pPr>
              <w:pStyle w:val="TAL"/>
            </w:pPr>
            <w:r>
              <w:rPr>
                <w:rFonts w:hint="eastAsia"/>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5061B63C" w14:textId="77777777" w:rsidR="004D166F" w:rsidRDefault="004D166F" w:rsidP="009E7F73">
            <w:pPr>
              <w:pStyle w:val="TAC"/>
              <w:rPr>
                <w:lang w:eastAsia="zh-CN"/>
              </w:rPr>
            </w:pPr>
            <w:r>
              <w:rPr>
                <w:rFonts w:hint="eastAsia"/>
                <w:lang w:eastAsia="zh-CN"/>
              </w:rPr>
              <w:t>O</w:t>
            </w:r>
          </w:p>
        </w:tc>
        <w:tc>
          <w:tcPr>
            <w:tcW w:w="1131" w:type="dxa"/>
            <w:tcBorders>
              <w:top w:val="single" w:sz="6" w:space="0" w:color="auto"/>
              <w:left w:val="single" w:sz="6" w:space="0" w:color="auto"/>
              <w:bottom w:val="single" w:sz="6" w:space="0" w:color="auto"/>
              <w:right w:val="single" w:sz="6" w:space="0" w:color="auto"/>
            </w:tcBorders>
          </w:tcPr>
          <w:p w14:paraId="4F9901D9" w14:textId="77777777" w:rsidR="004D166F" w:rsidRDefault="004D166F" w:rsidP="009E7F73">
            <w:pPr>
              <w:pStyle w:val="TAL"/>
              <w:rPr>
                <w:lang w:eastAsia="zh-CN"/>
              </w:rPr>
            </w:pPr>
            <w:r>
              <w:rPr>
                <w:rFonts w:hint="eastAsia"/>
                <w:lang w:eastAsia="zh-CN"/>
              </w:rPr>
              <w:t>1..N</w:t>
            </w:r>
          </w:p>
        </w:tc>
        <w:tc>
          <w:tcPr>
            <w:tcW w:w="2847" w:type="dxa"/>
            <w:tcBorders>
              <w:top w:val="single" w:sz="6" w:space="0" w:color="auto"/>
              <w:left w:val="single" w:sz="6" w:space="0" w:color="auto"/>
              <w:bottom w:val="single" w:sz="6" w:space="0" w:color="auto"/>
              <w:right w:val="single" w:sz="6" w:space="0" w:color="auto"/>
            </w:tcBorders>
          </w:tcPr>
          <w:p w14:paraId="3BE8CACF" w14:textId="77777777" w:rsidR="004D166F" w:rsidRDefault="004D166F" w:rsidP="009E7F73">
            <w:pPr>
              <w:pStyle w:val="TAL"/>
              <w:rPr>
                <w:lang w:eastAsia="zh-CN"/>
              </w:rPr>
            </w:pPr>
            <w:r>
              <w:rPr>
                <w:rFonts w:hint="eastAsia"/>
                <w:lang w:eastAsia="zh-CN"/>
              </w:rPr>
              <w:t>Each element represents a GPSI for</w:t>
            </w:r>
            <w:r w:rsidRPr="00014706">
              <w:rPr>
                <w:rFonts w:hint="eastAsia"/>
                <w:sz w:val="20"/>
                <w:lang w:eastAsia="zh-CN"/>
              </w:rPr>
              <w:t xml:space="preserve"> </w:t>
            </w:r>
            <w:r>
              <w:rPr>
                <w:rFonts w:hint="eastAsia"/>
                <w:lang w:eastAsia="zh-CN"/>
              </w:rPr>
              <w:t>a UE.</w:t>
            </w:r>
          </w:p>
          <w:p w14:paraId="6CB92D08" w14:textId="77777777" w:rsidR="004D166F" w:rsidRDefault="004D166F" w:rsidP="009E7F73">
            <w:pPr>
              <w:pStyle w:val="TAL"/>
            </w:pPr>
            <w:r>
              <w:rPr>
                <w:rFonts w:hint="eastAsia"/>
                <w:lang w:eastAsia="zh-CN"/>
              </w:rPr>
              <w:t>(</w:t>
            </w:r>
            <w:r>
              <w:rPr>
                <w:lang w:eastAsia="zh-CN"/>
              </w:rPr>
              <w:t>NOTE</w:t>
            </w:r>
            <w:r>
              <w:t> </w:t>
            </w:r>
            <w:r>
              <w:rPr>
                <w:rFonts w:hint="eastAsia"/>
                <w:lang w:eastAsia="zh-CN"/>
              </w:rPr>
              <w:t>2</w:t>
            </w:r>
            <w:r>
              <w:rPr>
                <w:lang w:eastAsia="zh-CN"/>
              </w:rPr>
              <w:t>)</w:t>
            </w:r>
          </w:p>
        </w:tc>
        <w:tc>
          <w:tcPr>
            <w:tcW w:w="1838" w:type="dxa"/>
            <w:gridSpan w:val="2"/>
            <w:tcBorders>
              <w:top w:val="single" w:sz="6" w:space="0" w:color="auto"/>
              <w:left w:val="single" w:sz="6" w:space="0" w:color="auto"/>
              <w:bottom w:val="single" w:sz="6" w:space="0" w:color="auto"/>
              <w:right w:val="single" w:sz="6" w:space="0" w:color="auto"/>
            </w:tcBorders>
          </w:tcPr>
          <w:p w14:paraId="170170D6" w14:textId="77777777" w:rsidR="004D166F" w:rsidRDefault="004D166F" w:rsidP="009E7F73">
            <w:pPr>
              <w:pStyle w:val="TAL"/>
              <w:rPr>
                <w:rFonts w:cs="Arial"/>
                <w:szCs w:val="18"/>
              </w:rPr>
            </w:pPr>
            <w:r>
              <w:rPr>
                <w:rFonts w:cs="Arial" w:hint="eastAsia"/>
                <w:szCs w:val="18"/>
                <w:lang w:eastAsia="zh-CN"/>
              </w:rPr>
              <w:t>EnMovementBehaviour</w:t>
            </w:r>
          </w:p>
        </w:tc>
      </w:tr>
      <w:tr w:rsidR="004D166F" w14:paraId="74F0708B"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53448A87" w14:textId="77777777" w:rsidR="004D166F" w:rsidRDefault="004D166F" w:rsidP="009E7F73">
            <w:pPr>
              <w:pStyle w:val="TAL"/>
              <w:rPr>
                <w:lang w:eastAsia="zh-CN"/>
              </w:rPr>
            </w:pPr>
            <w:bookmarkStart w:id="8111" w:name="_Hlk143694694"/>
            <w:r>
              <w:rPr>
                <w:lang w:eastAsia="zh-CN"/>
              </w:rPr>
              <w:t>movBehavs</w:t>
            </w:r>
            <w:bookmarkEnd w:id="8111"/>
          </w:p>
        </w:tc>
        <w:tc>
          <w:tcPr>
            <w:tcW w:w="1555" w:type="dxa"/>
            <w:tcBorders>
              <w:top w:val="single" w:sz="6" w:space="0" w:color="auto"/>
              <w:left w:val="single" w:sz="6" w:space="0" w:color="auto"/>
              <w:bottom w:val="single" w:sz="6" w:space="0" w:color="auto"/>
              <w:right w:val="single" w:sz="6" w:space="0" w:color="auto"/>
            </w:tcBorders>
          </w:tcPr>
          <w:p w14:paraId="0783383C" w14:textId="77777777" w:rsidR="004D166F" w:rsidRDefault="004D166F" w:rsidP="009E7F73">
            <w:pPr>
              <w:pStyle w:val="TAL"/>
              <w:rPr>
                <w:lang w:eastAsia="zh-CN"/>
              </w:rPr>
            </w:pPr>
            <w:r>
              <w:rPr>
                <w:lang w:eastAsia="zh-CN"/>
              </w:rPr>
              <w:t>array(MovBehav</w:t>
            </w:r>
            <w:r>
              <w:t>)</w:t>
            </w:r>
          </w:p>
        </w:tc>
        <w:tc>
          <w:tcPr>
            <w:tcW w:w="424" w:type="dxa"/>
            <w:tcBorders>
              <w:top w:val="single" w:sz="6" w:space="0" w:color="auto"/>
              <w:left w:val="single" w:sz="6" w:space="0" w:color="auto"/>
              <w:bottom w:val="single" w:sz="6" w:space="0" w:color="auto"/>
              <w:right w:val="single" w:sz="6" w:space="0" w:color="auto"/>
            </w:tcBorders>
          </w:tcPr>
          <w:p w14:paraId="50110B72" w14:textId="77777777" w:rsidR="004D166F" w:rsidRDefault="004D166F" w:rsidP="009E7F73">
            <w:pPr>
              <w:pStyle w:val="TAC"/>
              <w:rPr>
                <w:lang w:eastAsia="zh-CN"/>
              </w:rPr>
            </w:pPr>
            <w:r>
              <w:rPr>
                <w:lang w:eastAsia="zh-CN"/>
              </w:rPr>
              <w:t>O</w:t>
            </w:r>
          </w:p>
        </w:tc>
        <w:tc>
          <w:tcPr>
            <w:tcW w:w="1131" w:type="dxa"/>
            <w:tcBorders>
              <w:top w:val="single" w:sz="6" w:space="0" w:color="auto"/>
              <w:left w:val="single" w:sz="6" w:space="0" w:color="auto"/>
              <w:bottom w:val="single" w:sz="6" w:space="0" w:color="auto"/>
              <w:right w:val="single" w:sz="6" w:space="0" w:color="auto"/>
            </w:tcBorders>
          </w:tcPr>
          <w:p w14:paraId="38F0F05A" w14:textId="77777777" w:rsidR="004D166F" w:rsidRDefault="004D166F" w:rsidP="009E7F73">
            <w:pPr>
              <w:pStyle w:val="TAL"/>
              <w:rPr>
                <w:rFonts w:cs="Arial"/>
                <w:szCs w:val="18"/>
              </w:rPr>
            </w:pPr>
            <w:r>
              <w:rPr>
                <w:rFonts w:cs="Arial"/>
                <w:szCs w:val="18"/>
              </w:rPr>
              <w:t>1..N</w:t>
            </w:r>
          </w:p>
        </w:tc>
        <w:tc>
          <w:tcPr>
            <w:tcW w:w="2847" w:type="dxa"/>
            <w:tcBorders>
              <w:top w:val="single" w:sz="6" w:space="0" w:color="auto"/>
              <w:left w:val="single" w:sz="6" w:space="0" w:color="auto"/>
              <w:bottom w:val="single" w:sz="6" w:space="0" w:color="auto"/>
              <w:right w:val="single" w:sz="6" w:space="0" w:color="auto"/>
            </w:tcBorders>
          </w:tcPr>
          <w:p w14:paraId="0E4181AB" w14:textId="77777777" w:rsidR="004D166F" w:rsidRDefault="004D166F" w:rsidP="009E7F73">
            <w:pPr>
              <w:pStyle w:val="TAL"/>
              <w:rPr>
                <w:lang w:eastAsia="zh-CN"/>
              </w:rPr>
            </w:pPr>
            <w:r>
              <w:rPr>
                <w:lang w:eastAsia="zh-CN"/>
              </w:rPr>
              <w:t xml:space="preserve">The </w:t>
            </w:r>
            <w:r>
              <w:t>Movement Behaviour information per time slot.</w:t>
            </w:r>
          </w:p>
        </w:tc>
        <w:tc>
          <w:tcPr>
            <w:tcW w:w="1838" w:type="dxa"/>
            <w:gridSpan w:val="2"/>
            <w:tcBorders>
              <w:top w:val="single" w:sz="6" w:space="0" w:color="auto"/>
              <w:left w:val="single" w:sz="6" w:space="0" w:color="auto"/>
              <w:bottom w:val="single" w:sz="6" w:space="0" w:color="auto"/>
              <w:right w:val="single" w:sz="6" w:space="0" w:color="auto"/>
            </w:tcBorders>
          </w:tcPr>
          <w:p w14:paraId="02182FDA" w14:textId="77777777" w:rsidR="004D166F" w:rsidRDefault="004D166F" w:rsidP="009E7F73">
            <w:pPr>
              <w:pStyle w:val="TAL"/>
              <w:rPr>
                <w:rFonts w:cs="Arial"/>
                <w:szCs w:val="18"/>
              </w:rPr>
            </w:pPr>
          </w:p>
        </w:tc>
      </w:tr>
      <w:tr w:rsidR="004D166F" w14:paraId="645359FF" w14:textId="77777777" w:rsidTr="009E7F73">
        <w:trPr>
          <w:gridBefore w:val="1"/>
          <w:wBefore w:w="8" w:type="dxa"/>
          <w:jc w:val="center"/>
        </w:trPr>
        <w:tc>
          <w:tcPr>
            <w:tcW w:w="1752" w:type="dxa"/>
            <w:tcBorders>
              <w:top w:val="single" w:sz="6" w:space="0" w:color="auto"/>
              <w:left w:val="single" w:sz="6" w:space="0" w:color="auto"/>
              <w:bottom w:val="single" w:sz="6" w:space="0" w:color="auto"/>
              <w:right w:val="single" w:sz="6" w:space="0" w:color="auto"/>
            </w:tcBorders>
          </w:tcPr>
          <w:p w14:paraId="471A8719" w14:textId="77777777" w:rsidR="004D166F" w:rsidRDefault="004D166F" w:rsidP="009E7F73">
            <w:pPr>
              <w:pStyle w:val="TAL"/>
              <w:rPr>
                <w:lang w:eastAsia="zh-CN"/>
              </w:rPr>
            </w:pPr>
            <w:r>
              <w:rPr>
                <w:lang w:eastAsia="zh-CN"/>
              </w:rPr>
              <w:t>confidence</w:t>
            </w:r>
          </w:p>
        </w:tc>
        <w:tc>
          <w:tcPr>
            <w:tcW w:w="1555" w:type="dxa"/>
            <w:tcBorders>
              <w:top w:val="single" w:sz="6" w:space="0" w:color="auto"/>
              <w:left w:val="single" w:sz="6" w:space="0" w:color="auto"/>
              <w:bottom w:val="single" w:sz="6" w:space="0" w:color="auto"/>
              <w:right w:val="single" w:sz="6" w:space="0" w:color="auto"/>
            </w:tcBorders>
          </w:tcPr>
          <w:p w14:paraId="5FBDAB90" w14:textId="77777777" w:rsidR="004D166F" w:rsidRDefault="004D166F" w:rsidP="009E7F73">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A6B9938" w14:textId="77777777" w:rsidR="004D166F" w:rsidRDefault="004D166F" w:rsidP="009E7F73">
            <w:pPr>
              <w:pStyle w:val="TAC"/>
              <w:rPr>
                <w:lang w:eastAsia="zh-CN"/>
              </w:rPr>
            </w:pPr>
            <w:r>
              <w:rPr>
                <w:lang w:eastAsia="zh-CN"/>
              </w:rPr>
              <w:t>C</w:t>
            </w:r>
          </w:p>
        </w:tc>
        <w:tc>
          <w:tcPr>
            <w:tcW w:w="1131" w:type="dxa"/>
            <w:tcBorders>
              <w:top w:val="single" w:sz="6" w:space="0" w:color="auto"/>
              <w:left w:val="single" w:sz="6" w:space="0" w:color="auto"/>
              <w:bottom w:val="single" w:sz="6" w:space="0" w:color="auto"/>
              <w:right w:val="single" w:sz="6" w:space="0" w:color="auto"/>
            </w:tcBorders>
          </w:tcPr>
          <w:p w14:paraId="5CE1AE04" w14:textId="77777777" w:rsidR="004D166F" w:rsidRDefault="004D166F" w:rsidP="009E7F73">
            <w:pPr>
              <w:pStyle w:val="TAL"/>
              <w:rPr>
                <w:rFonts w:cs="Arial"/>
                <w:szCs w:val="18"/>
              </w:rPr>
            </w:pPr>
            <w:r>
              <w:rPr>
                <w:rFonts w:cs="Arial"/>
                <w:szCs w:val="18"/>
              </w:rPr>
              <w:t>0..1</w:t>
            </w:r>
          </w:p>
        </w:tc>
        <w:tc>
          <w:tcPr>
            <w:tcW w:w="2847" w:type="dxa"/>
            <w:tcBorders>
              <w:top w:val="single" w:sz="6" w:space="0" w:color="auto"/>
              <w:left w:val="single" w:sz="6" w:space="0" w:color="auto"/>
              <w:bottom w:val="single" w:sz="6" w:space="0" w:color="auto"/>
              <w:right w:val="single" w:sz="6" w:space="0" w:color="auto"/>
            </w:tcBorders>
          </w:tcPr>
          <w:p w14:paraId="58DDC3E4" w14:textId="77777777" w:rsidR="004D166F" w:rsidRDefault="004D166F" w:rsidP="009E7F73">
            <w:pPr>
              <w:pStyle w:val="TAL"/>
              <w:rPr>
                <w:lang w:eastAsia="zh-CN"/>
              </w:rPr>
            </w:pPr>
            <w:r>
              <w:rPr>
                <w:lang w:eastAsia="zh-CN"/>
              </w:rPr>
              <w:t>Indicates the confidence of the prediction. (NOTE</w:t>
            </w:r>
            <w:r>
              <w:t> 1</w:t>
            </w:r>
            <w:r>
              <w:rPr>
                <w:lang w:eastAsia="zh-CN"/>
              </w:rPr>
              <w:t>)</w:t>
            </w:r>
          </w:p>
          <w:p w14:paraId="4EB0E602" w14:textId="77777777" w:rsidR="004D166F" w:rsidRDefault="004D166F" w:rsidP="009E7F73">
            <w:pPr>
              <w:pStyle w:val="TAL"/>
              <w:rPr>
                <w:lang w:eastAsia="zh-CN"/>
              </w:rPr>
            </w:pPr>
            <w:r>
              <w:rPr>
                <w:lang w:eastAsia="zh-CN"/>
              </w:rPr>
              <w:t>Shall be present if the analytics result is a prediction.</w:t>
            </w:r>
          </w:p>
          <w:p w14:paraId="7374AEF1" w14:textId="77777777" w:rsidR="004D166F" w:rsidRDefault="004D166F" w:rsidP="009E7F73">
            <w:pPr>
              <w:pStyle w:val="TAL"/>
              <w:rPr>
                <w:lang w:eastAsia="zh-CN"/>
              </w:rPr>
            </w:pPr>
            <w:r>
              <w:rPr>
                <w:lang w:eastAsia="zh-CN"/>
              </w:rPr>
              <w:t>Minimum = 0. Maximum = 100.</w:t>
            </w:r>
          </w:p>
        </w:tc>
        <w:tc>
          <w:tcPr>
            <w:tcW w:w="1838" w:type="dxa"/>
            <w:gridSpan w:val="2"/>
            <w:tcBorders>
              <w:top w:val="single" w:sz="6" w:space="0" w:color="auto"/>
              <w:left w:val="single" w:sz="6" w:space="0" w:color="auto"/>
              <w:bottom w:val="single" w:sz="6" w:space="0" w:color="auto"/>
              <w:right w:val="single" w:sz="6" w:space="0" w:color="auto"/>
            </w:tcBorders>
          </w:tcPr>
          <w:p w14:paraId="5E685A0C" w14:textId="77777777" w:rsidR="004D166F" w:rsidRDefault="004D166F" w:rsidP="009E7F73">
            <w:pPr>
              <w:pStyle w:val="TAL"/>
              <w:rPr>
                <w:rFonts w:cs="Arial"/>
                <w:szCs w:val="18"/>
              </w:rPr>
            </w:pPr>
          </w:p>
        </w:tc>
      </w:tr>
      <w:tr w:rsidR="004D166F" w14:paraId="17D2E610" w14:textId="77777777" w:rsidTr="009E7F73">
        <w:trPr>
          <w:gridAfter w:val="1"/>
          <w:wAfter w:w="8" w:type="dxa"/>
          <w:jc w:val="center"/>
        </w:trPr>
        <w:tc>
          <w:tcPr>
            <w:tcW w:w="9547" w:type="dxa"/>
            <w:gridSpan w:val="7"/>
            <w:tcBorders>
              <w:top w:val="single" w:sz="6" w:space="0" w:color="auto"/>
              <w:left w:val="single" w:sz="6" w:space="0" w:color="auto"/>
              <w:bottom w:val="single" w:sz="6" w:space="0" w:color="auto"/>
              <w:right w:val="single" w:sz="6" w:space="0" w:color="auto"/>
            </w:tcBorders>
          </w:tcPr>
          <w:p w14:paraId="6CB06B18" w14:textId="77777777" w:rsidR="004D166F" w:rsidRDefault="004D166F" w:rsidP="009E7F73">
            <w:pPr>
              <w:pStyle w:val="TAN"/>
              <w:rPr>
                <w:rFonts w:cs="Arial"/>
              </w:rPr>
            </w:pPr>
            <w:r>
              <w:t>NOTE 1</w:t>
            </w:r>
            <w:r>
              <w:rPr>
                <w:rFonts w:cs="Arial"/>
              </w:rPr>
              <w:t>:</w:t>
            </w:r>
            <w:r>
              <w:rPr>
                <w:rFonts w:cs="Arial"/>
              </w:rPr>
              <w:tab/>
              <w:t>If the requested period identified by the "startTs" and "endTs" attributes in the "EventReportingRequirement" type is a future time period, then the analytics result is a prediction. If no sufficient data is collected to provide the confidence of the prediction before the time deadline, the NWDAF shall return a zero confidence.</w:t>
            </w:r>
          </w:p>
          <w:p w14:paraId="4709614B" w14:textId="77777777" w:rsidR="004D166F" w:rsidRDefault="004D166F" w:rsidP="009E7F73">
            <w:pPr>
              <w:pStyle w:val="TAN"/>
              <w:rPr>
                <w:lang w:eastAsia="zh-CN"/>
              </w:rPr>
            </w:pPr>
            <w:r>
              <w:t>NOTE </w:t>
            </w:r>
            <w:r>
              <w:rPr>
                <w:rFonts w:hint="eastAsia"/>
                <w:lang w:eastAsia="zh-CN"/>
              </w:rPr>
              <w:t>2</w:t>
            </w:r>
            <w:r>
              <w:rPr>
                <w:rFonts w:cs="Arial"/>
              </w:rPr>
              <w:t>:</w:t>
            </w:r>
            <w:r>
              <w:rPr>
                <w:rFonts w:cs="Arial"/>
              </w:rPr>
              <w:tab/>
            </w:r>
            <w:r>
              <w:rPr>
                <w:rFonts w:cs="Arial" w:hint="eastAsia"/>
                <w:lang w:eastAsia="zh-CN"/>
              </w:rPr>
              <w:t>T</w:t>
            </w:r>
            <w:r w:rsidRPr="0061436E">
              <w:t>he "gpsi</w:t>
            </w:r>
            <w:r>
              <w:t>s</w:t>
            </w:r>
            <w:r w:rsidRPr="0061436E">
              <w:t xml:space="preserve">" attribute is only applicable </w:t>
            </w:r>
            <w:r>
              <w:rPr>
                <w:rFonts w:hint="eastAsia"/>
                <w:lang w:eastAsia="zh-CN"/>
              </w:rPr>
              <w:t xml:space="preserve">when reused in </w:t>
            </w:r>
            <w:r w:rsidRPr="0061436E">
              <w:t>the AnalyticsExposure API</w:t>
            </w:r>
            <w:r>
              <w:t xml:space="preserve"> and not applic</w:t>
            </w:r>
            <w:r w:rsidRPr="00B61F62">
              <w:rPr>
                <w:lang w:val="fr-FR"/>
              </w:rPr>
              <w:t xml:space="preserve">able </w:t>
            </w:r>
            <w:r w:rsidRPr="00B61F62">
              <w:rPr>
                <w:rFonts w:hint="eastAsia"/>
                <w:lang w:val="fr-FR"/>
              </w:rPr>
              <w:t>in</w:t>
            </w:r>
            <w:r w:rsidRPr="00B61F62">
              <w:rPr>
                <w:lang w:val="fr-FR"/>
              </w:rPr>
              <w:t xml:space="preserve"> the </w:t>
            </w:r>
            <w:r>
              <w:t>curre</w:t>
            </w:r>
            <w:r w:rsidRPr="00F22001">
              <w:rPr>
                <w:lang w:val="fr-FR"/>
              </w:rPr>
              <w:t xml:space="preserve">nt </w:t>
            </w:r>
            <w:r w:rsidRPr="00F22001">
              <w:rPr>
                <w:rFonts w:hint="eastAsia"/>
                <w:lang w:val="fr-FR"/>
              </w:rPr>
              <w:t>specification</w:t>
            </w:r>
            <w:r>
              <w:rPr>
                <w:rFonts w:hint="eastAsia"/>
                <w:lang w:eastAsia="zh-CN"/>
              </w:rPr>
              <w:t>.</w:t>
            </w:r>
          </w:p>
          <w:p w14:paraId="4DE65189" w14:textId="77777777" w:rsidR="004D166F" w:rsidRPr="00C21647" w:rsidRDefault="004D166F" w:rsidP="009E7F73">
            <w:pPr>
              <w:pStyle w:val="TAN"/>
              <w:rPr>
                <w:lang w:eastAsia="zh-CN"/>
              </w:rPr>
            </w:pPr>
            <w:r>
              <w:t>NOTE </w:t>
            </w:r>
            <w:r>
              <w:rPr>
                <w:lang w:eastAsia="zh-CN"/>
              </w:rPr>
              <w:t>3</w:t>
            </w:r>
            <w:r>
              <w:rPr>
                <w:rFonts w:cs="Arial"/>
              </w:rPr>
              <w:t>:</w:t>
            </w:r>
            <w:r>
              <w:rPr>
                <w:rFonts w:cs="Arial"/>
              </w:rPr>
              <w:tab/>
              <w:t>T</w:t>
            </w:r>
            <w:r>
              <w:t>he "</w:t>
            </w:r>
            <w:r>
              <w:rPr>
                <w:lang w:eastAsia="zh-CN"/>
              </w:rPr>
              <w:t>supis</w:t>
            </w:r>
            <w:r>
              <w:t xml:space="preserve">" attribute is the subset of </w:t>
            </w:r>
            <w:r>
              <w:rPr>
                <w:rFonts w:hint="eastAsia"/>
                <w:lang w:eastAsia="zh-CN"/>
              </w:rPr>
              <w:t>the</w:t>
            </w:r>
            <w:r w:rsidRPr="008A711E">
              <w:t xml:space="preserve"> </w:t>
            </w:r>
            <w:r w:rsidRPr="00DD14F6">
              <w:rPr>
                <w:lang w:eastAsia="zh-CN"/>
              </w:rPr>
              <w:t>"</w:t>
            </w:r>
            <w:r>
              <w:rPr>
                <w:lang w:eastAsia="zh-CN"/>
              </w:rPr>
              <w:t>supis</w:t>
            </w:r>
            <w:r w:rsidRPr="00DD14F6">
              <w:rPr>
                <w:lang w:eastAsia="zh-CN"/>
              </w:rPr>
              <w:t>"</w:t>
            </w:r>
            <w:r>
              <w:rPr>
                <w:rFonts w:hint="eastAsia"/>
                <w:lang w:eastAsia="zh-CN"/>
              </w:rPr>
              <w:t xml:space="preserve"> attribute </w:t>
            </w:r>
            <w:r>
              <w:rPr>
                <w:lang w:eastAsia="zh-CN"/>
              </w:rPr>
              <w:t xml:space="preserve">which is </w:t>
            </w:r>
            <w:r>
              <w:rPr>
                <w:rFonts w:hint="eastAsia"/>
                <w:lang w:eastAsia="zh-CN"/>
              </w:rPr>
              <w:t xml:space="preserve">provided </w:t>
            </w:r>
            <w:r>
              <w:rPr>
                <w:lang w:eastAsia="zh-CN"/>
              </w:rPr>
              <w:t xml:space="preserve">within the </w:t>
            </w:r>
            <w:r>
              <w:t>TargetUeInformation data type</w:t>
            </w:r>
            <w:r w:rsidRPr="00CA75E7">
              <w:rPr>
                <w:lang w:eastAsia="zh-CN"/>
              </w:rPr>
              <w:t xml:space="preserve"> </w:t>
            </w:r>
            <w:r>
              <w:rPr>
                <w:rFonts w:hint="eastAsia"/>
                <w:lang w:eastAsia="zh-CN"/>
              </w:rPr>
              <w:t>in the request.</w:t>
            </w:r>
          </w:p>
        </w:tc>
      </w:tr>
    </w:tbl>
    <w:p w14:paraId="10D0BFDE" w14:textId="77777777" w:rsidR="00A10B25" w:rsidRDefault="00A10B25">
      <w:pPr>
        <w:rPr>
          <w:rFonts w:eastAsia="MS Mincho"/>
          <w:u w:val="single"/>
        </w:rPr>
      </w:pPr>
    </w:p>
    <w:p w14:paraId="335D6923" w14:textId="77777777" w:rsidR="00A10B25" w:rsidRDefault="00A10B25">
      <w:pPr>
        <w:pStyle w:val="5"/>
      </w:pPr>
      <w:bookmarkStart w:id="8112" w:name="_Toc148522687"/>
      <w:bookmarkStart w:id="8113" w:name="_Toc145705783"/>
      <w:bookmarkStart w:id="8114" w:name="_Toc164920867"/>
      <w:bookmarkStart w:id="8115" w:name="_Toc170120409"/>
      <w:bookmarkStart w:id="8116" w:name="_Toc175858654"/>
      <w:bookmarkStart w:id="8117" w:name="_Toc175859727"/>
      <w:bookmarkStart w:id="8118" w:name="_Toc180606017"/>
      <w:bookmarkStart w:id="8119" w:name="_Toc185517271"/>
      <w:bookmarkStart w:id="8120" w:name="_Toc191576322"/>
      <w:bookmarkStart w:id="8121" w:name="_Toc191577062"/>
      <w:bookmarkStart w:id="8122" w:name="_Toc192880132"/>
      <w:bookmarkStart w:id="8123" w:name="_Toc195815015"/>
      <w:bookmarkStart w:id="8124" w:name="_Toc199452982"/>
      <w:r>
        <w:lastRenderedPageBreak/>
        <w:t>5.1.6.2.93</w:t>
      </w:r>
      <w:r>
        <w:tab/>
        <w:t>Type MovBehav</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2197341D" w14:textId="77777777" w:rsidR="00A10B25" w:rsidRDefault="00A10B25">
      <w:pPr>
        <w:pStyle w:val="TH"/>
      </w:pPr>
      <w:r>
        <w:t>Table 5.1.6.2.93-1: Definition of type MovBehav</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5A9FEFBE"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40B7128E"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4A4F9924"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AB2E5D3"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6C27B122"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49C34B41"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642AD7A6" w14:textId="77777777" w:rsidR="00A10B25" w:rsidRDefault="00A10B25">
            <w:pPr>
              <w:pStyle w:val="TAH"/>
              <w:ind w:left="400" w:hanging="400"/>
            </w:pPr>
            <w:r>
              <w:t>Applicability</w:t>
            </w:r>
          </w:p>
        </w:tc>
      </w:tr>
      <w:tr w:rsidR="00A10B25" w14:paraId="0E9CB3ED"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44BD3034" w14:textId="77777777" w:rsidR="00A10B25" w:rsidRDefault="00A10B25">
            <w:pPr>
              <w:pStyle w:val="TAL"/>
              <w:rPr>
                <w:lang w:eastAsia="zh-CN"/>
              </w:rPr>
            </w:pPr>
            <w:r>
              <w:rPr>
                <w:lang w:eastAsia="zh-CN"/>
              </w:rPr>
              <w:t>tsStart</w:t>
            </w:r>
          </w:p>
        </w:tc>
        <w:tc>
          <w:tcPr>
            <w:tcW w:w="1554" w:type="dxa"/>
            <w:tcBorders>
              <w:top w:val="single" w:sz="6" w:space="0" w:color="auto"/>
              <w:left w:val="single" w:sz="6" w:space="0" w:color="auto"/>
              <w:bottom w:val="single" w:sz="6" w:space="0" w:color="auto"/>
              <w:right w:val="single" w:sz="6" w:space="0" w:color="auto"/>
            </w:tcBorders>
          </w:tcPr>
          <w:p w14:paraId="28EF0F1D" w14:textId="77777777" w:rsidR="00A10B25" w:rsidRDefault="00A10B25">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7623854D" w14:textId="77777777" w:rsidR="00A10B25" w:rsidRDefault="00A10B25">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4BBDDCE6" w14:textId="77777777" w:rsidR="00A10B25" w:rsidRDefault="00A10B25">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4DD03C32" w14:textId="77777777" w:rsidR="00A10B25" w:rsidRDefault="00A10B25">
            <w:pPr>
              <w:pStyle w:val="TAL"/>
              <w:rPr>
                <w:rFonts w:cs="Arial"/>
                <w:szCs w:val="18"/>
                <w:lang w:eastAsia="zh-CN"/>
              </w:rPr>
            </w:pPr>
            <w:r>
              <w:rPr>
                <w:rFonts w:cs="Arial"/>
                <w:szCs w:val="18"/>
              </w:rPr>
              <w:t>Indicates the timestamp when the time slot starts during the Analytics target period.</w:t>
            </w:r>
          </w:p>
        </w:tc>
        <w:tc>
          <w:tcPr>
            <w:tcW w:w="1837" w:type="dxa"/>
            <w:tcBorders>
              <w:top w:val="single" w:sz="6" w:space="0" w:color="auto"/>
              <w:left w:val="single" w:sz="6" w:space="0" w:color="auto"/>
              <w:bottom w:val="single" w:sz="6" w:space="0" w:color="auto"/>
              <w:right w:val="single" w:sz="6" w:space="0" w:color="auto"/>
            </w:tcBorders>
          </w:tcPr>
          <w:p w14:paraId="48A21F6F" w14:textId="77777777" w:rsidR="00A10B25" w:rsidRDefault="00A10B25">
            <w:pPr>
              <w:pStyle w:val="TAL"/>
              <w:rPr>
                <w:rFonts w:cs="Arial"/>
                <w:szCs w:val="18"/>
              </w:rPr>
            </w:pPr>
          </w:p>
        </w:tc>
      </w:tr>
      <w:tr w:rsidR="00A10B25" w14:paraId="3F9A7F63"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2CAF5354" w14:textId="77777777" w:rsidR="00A10B25" w:rsidRDefault="00A10B25">
            <w:pPr>
              <w:pStyle w:val="TAL"/>
              <w:rPr>
                <w:lang w:eastAsia="zh-CN"/>
              </w:rPr>
            </w:pPr>
            <w:r>
              <w:rPr>
                <w:lang w:eastAsia="zh-CN"/>
              </w:rPr>
              <w:t>tsDuration</w:t>
            </w:r>
          </w:p>
        </w:tc>
        <w:tc>
          <w:tcPr>
            <w:tcW w:w="1554" w:type="dxa"/>
            <w:tcBorders>
              <w:top w:val="single" w:sz="6" w:space="0" w:color="auto"/>
              <w:left w:val="single" w:sz="6" w:space="0" w:color="auto"/>
              <w:bottom w:val="single" w:sz="6" w:space="0" w:color="auto"/>
              <w:right w:val="single" w:sz="6" w:space="0" w:color="auto"/>
            </w:tcBorders>
          </w:tcPr>
          <w:p w14:paraId="5D1C9B40" w14:textId="77777777" w:rsidR="00A10B25" w:rsidRDefault="00A10B25">
            <w:pPr>
              <w:pStyle w:val="TAL"/>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2D7CC902" w14:textId="77777777" w:rsidR="00A10B25" w:rsidRDefault="00A10B25">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273814A4" w14:textId="77777777" w:rsidR="00A10B25" w:rsidRDefault="00A10B25">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2D7C92EC" w14:textId="77777777" w:rsidR="00A10B25" w:rsidRDefault="00A10B25">
            <w:pPr>
              <w:pStyle w:val="TAL"/>
            </w:pPr>
            <w:r>
              <w:rPr>
                <w:rFonts w:cs="Arial"/>
                <w:szCs w:val="18"/>
              </w:rPr>
              <w:t>Indicates the time slot duration.</w:t>
            </w:r>
          </w:p>
        </w:tc>
        <w:tc>
          <w:tcPr>
            <w:tcW w:w="1837" w:type="dxa"/>
            <w:tcBorders>
              <w:top w:val="single" w:sz="6" w:space="0" w:color="auto"/>
              <w:left w:val="single" w:sz="6" w:space="0" w:color="auto"/>
              <w:bottom w:val="single" w:sz="6" w:space="0" w:color="auto"/>
              <w:right w:val="single" w:sz="6" w:space="0" w:color="auto"/>
            </w:tcBorders>
          </w:tcPr>
          <w:p w14:paraId="1F1D3C2E" w14:textId="77777777" w:rsidR="00A10B25" w:rsidRDefault="00A10B25">
            <w:pPr>
              <w:pStyle w:val="TAL"/>
              <w:rPr>
                <w:rFonts w:cs="Arial"/>
                <w:szCs w:val="18"/>
              </w:rPr>
            </w:pPr>
          </w:p>
        </w:tc>
      </w:tr>
      <w:tr w:rsidR="00A10B25" w14:paraId="63161F39"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2515C82B"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4FACCCDF" w14:textId="77777777" w:rsidR="00A10B25" w:rsidRDefault="00A10B25">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333C6A25" w14:textId="77777777" w:rsidR="00A10B25" w:rsidRDefault="00A10B2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2FC0CCD5"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127ED47C" w14:textId="77777777" w:rsidR="00A10B25" w:rsidRDefault="00A10B25">
            <w:pPr>
              <w:pStyle w:val="TAL"/>
              <w:rPr>
                <w:lang w:eastAsia="zh-CN"/>
              </w:rPr>
            </w:pPr>
            <w:r>
              <w:rPr>
                <w:lang w:eastAsia="zh-CN"/>
              </w:rPr>
              <w:t>Indicate the total number of users in the area of interest.</w:t>
            </w:r>
          </w:p>
          <w:p w14:paraId="26AA4901" w14:textId="77777777" w:rsidR="00A10B25" w:rsidRDefault="00A10B25">
            <w:pPr>
              <w:pStyle w:val="TAL"/>
            </w:pPr>
            <w:r>
              <w:rPr>
                <w:rFonts w:cs="Arial"/>
                <w:szCs w:val="18"/>
              </w:rPr>
              <w:t>Shall be present if one of the elements in the "listOfAnaSubsets" attribute was set with value as "NUM_OF_UE".</w:t>
            </w:r>
          </w:p>
        </w:tc>
        <w:tc>
          <w:tcPr>
            <w:tcW w:w="1837" w:type="dxa"/>
            <w:tcBorders>
              <w:top w:val="single" w:sz="6" w:space="0" w:color="auto"/>
              <w:left w:val="single" w:sz="6" w:space="0" w:color="auto"/>
              <w:bottom w:val="single" w:sz="6" w:space="0" w:color="auto"/>
              <w:right w:val="single" w:sz="6" w:space="0" w:color="auto"/>
            </w:tcBorders>
          </w:tcPr>
          <w:p w14:paraId="6DBF686D" w14:textId="77777777" w:rsidR="00A10B25" w:rsidRDefault="00A10B25">
            <w:pPr>
              <w:pStyle w:val="TAL"/>
              <w:rPr>
                <w:rFonts w:cs="Arial"/>
                <w:szCs w:val="18"/>
              </w:rPr>
            </w:pPr>
          </w:p>
        </w:tc>
      </w:tr>
      <w:tr w:rsidR="00A10B25" w14:paraId="7C61E25A"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62B8B0D6" w14:textId="77777777" w:rsidR="00A10B25" w:rsidRDefault="00A10B25">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6264E77E" w14:textId="77777777" w:rsidR="00A10B25" w:rsidRDefault="00A10B25">
            <w:pPr>
              <w:pStyle w:val="TAL"/>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5411C03D" w14:textId="77777777" w:rsidR="00A10B25" w:rsidRDefault="00A10B2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4808BA7A"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11E6BDC1" w14:textId="77777777" w:rsidR="00A10B25" w:rsidRDefault="00A10B25">
            <w:pPr>
              <w:pStyle w:val="TAL"/>
              <w:rPr>
                <w:rFonts w:cs="Arial"/>
                <w:szCs w:val="18"/>
              </w:rPr>
            </w:pPr>
            <w:r>
              <w:rPr>
                <w:rFonts w:cs="Arial"/>
                <w:szCs w:val="18"/>
              </w:rPr>
              <w:t>Ratio of moving users in the area of interest.</w:t>
            </w:r>
          </w:p>
          <w:p w14:paraId="5C0A4A03" w14:textId="77777777" w:rsidR="00A10B25" w:rsidRDefault="00A10B25">
            <w:pPr>
              <w:pStyle w:val="TAL"/>
            </w:pPr>
            <w:r>
              <w:rPr>
                <w:rFonts w:cs="Arial"/>
                <w:szCs w:val="18"/>
              </w:rPr>
              <w:t>Shall be present if one of the elements in the "listOfAnaSubsets" attribute was set with value as "MOV_UE_RATIO".</w:t>
            </w:r>
          </w:p>
        </w:tc>
        <w:tc>
          <w:tcPr>
            <w:tcW w:w="1837" w:type="dxa"/>
            <w:tcBorders>
              <w:top w:val="single" w:sz="6" w:space="0" w:color="auto"/>
              <w:left w:val="single" w:sz="6" w:space="0" w:color="auto"/>
              <w:bottom w:val="single" w:sz="6" w:space="0" w:color="auto"/>
              <w:right w:val="single" w:sz="6" w:space="0" w:color="auto"/>
            </w:tcBorders>
          </w:tcPr>
          <w:p w14:paraId="11C63813" w14:textId="77777777" w:rsidR="00A10B25" w:rsidRDefault="00A10B25">
            <w:pPr>
              <w:pStyle w:val="TAL"/>
              <w:rPr>
                <w:rFonts w:cs="Arial"/>
                <w:szCs w:val="18"/>
              </w:rPr>
            </w:pPr>
          </w:p>
        </w:tc>
      </w:tr>
      <w:tr w:rsidR="00A10B25" w14:paraId="5B906FC7"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52359267" w14:textId="77777777" w:rsidR="00A10B25" w:rsidRDefault="00A10B25">
            <w:pPr>
              <w:pStyle w:val="TAL"/>
              <w:rPr>
                <w:lang w:eastAsia="zh-CN"/>
              </w:rPr>
            </w:pPr>
            <w:r>
              <w:rPr>
                <w:lang w:eastAsia="zh-CN"/>
              </w:rPr>
              <w:t>avrSpeed</w:t>
            </w:r>
          </w:p>
        </w:tc>
        <w:tc>
          <w:tcPr>
            <w:tcW w:w="1554" w:type="dxa"/>
            <w:tcBorders>
              <w:top w:val="single" w:sz="6" w:space="0" w:color="auto"/>
              <w:left w:val="single" w:sz="6" w:space="0" w:color="auto"/>
              <w:bottom w:val="single" w:sz="6" w:space="0" w:color="auto"/>
              <w:right w:val="single" w:sz="6" w:space="0" w:color="auto"/>
            </w:tcBorders>
          </w:tcPr>
          <w:p w14:paraId="6C3E4F0F" w14:textId="77777777" w:rsidR="00A10B25" w:rsidRDefault="00A10B25">
            <w:pPr>
              <w:pStyle w:val="TAL"/>
            </w:pPr>
            <w:r>
              <w:rPr>
                <w:lang w:eastAsia="zh-CN"/>
              </w:rPr>
              <w:t>Float</w:t>
            </w:r>
          </w:p>
        </w:tc>
        <w:tc>
          <w:tcPr>
            <w:tcW w:w="424" w:type="dxa"/>
            <w:tcBorders>
              <w:top w:val="single" w:sz="6" w:space="0" w:color="auto"/>
              <w:left w:val="single" w:sz="6" w:space="0" w:color="auto"/>
              <w:bottom w:val="single" w:sz="6" w:space="0" w:color="auto"/>
              <w:right w:val="single" w:sz="6" w:space="0" w:color="auto"/>
            </w:tcBorders>
          </w:tcPr>
          <w:p w14:paraId="2D6BE3E4" w14:textId="77777777" w:rsidR="00A10B25" w:rsidRDefault="00A10B2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1F127BF8"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232AA047" w14:textId="77777777" w:rsidR="00A10B25" w:rsidRDefault="00A10B25">
            <w:pPr>
              <w:pStyle w:val="TAL"/>
              <w:rPr>
                <w:rFonts w:cs="Arial"/>
                <w:szCs w:val="18"/>
              </w:rPr>
            </w:pPr>
            <w:r>
              <w:rPr>
                <w:rFonts w:cs="Arial"/>
                <w:szCs w:val="18"/>
              </w:rPr>
              <w:t>Average speed of all users in the area of interest, expressed in kilometres per hour.</w:t>
            </w:r>
          </w:p>
          <w:p w14:paraId="35538CB3" w14:textId="77777777" w:rsidR="00A10B25" w:rsidRDefault="00A10B25">
            <w:pPr>
              <w:pStyle w:val="TAL"/>
              <w:rPr>
                <w:rFonts w:cs="Arial"/>
                <w:szCs w:val="18"/>
              </w:rPr>
            </w:pPr>
            <w:r>
              <w:rPr>
                <w:rFonts w:cs="Arial"/>
                <w:szCs w:val="18"/>
              </w:rPr>
              <w:t>Shall be present if one of the elements in the "listOfAnaSubsets" attribute was set with value as "AVR_SPEED".</w:t>
            </w:r>
          </w:p>
        </w:tc>
        <w:tc>
          <w:tcPr>
            <w:tcW w:w="1837" w:type="dxa"/>
            <w:tcBorders>
              <w:top w:val="single" w:sz="6" w:space="0" w:color="auto"/>
              <w:left w:val="single" w:sz="6" w:space="0" w:color="auto"/>
              <w:bottom w:val="single" w:sz="6" w:space="0" w:color="auto"/>
              <w:right w:val="single" w:sz="6" w:space="0" w:color="auto"/>
            </w:tcBorders>
          </w:tcPr>
          <w:p w14:paraId="61497EC0" w14:textId="77777777" w:rsidR="00A10B25" w:rsidRDefault="00A10B25">
            <w:pPr>
              <w:pStyle w:val="TAL"/>
              <w:rPr>
                <w:rFonts w:cs="Arial"/>
                <w:szCs w:val="18"/>
              </w:rPr>
            </w:pPr>
          </w:p>
        </w:tc>
      </w:tr>
      <w:tr w:rsidR="00EF7075" w14:paraId="68B7752B"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4F1D11F0" w14:textId="77777777" w:rsidR="00EF7075" w:rsidRDefault="00EF7075" w:rsidP="00EF7075">
            <w:pPr>
              <w:pStyle w:val="TAL"/>
              <w:rPr>
                <w:lang w:eastAsia="zh-CN"/>
              </w:rPr>
            </w:pPr>
            <w:r>
              <w:rPr>
                <w:lang w:eastAsia="zh-CN"/>
              </w:rPr>
              <w:t>s</w:t>
            </w:r>
            <w:bookmarkStart w:id="8125" w:name="_Hlk142898839"/>
            <w:r>
              <w:rPr>
                <w:lang w:eastAsia="zh-CN"/>
              </w:rPr>
              <w:t>peedThresInfos</w:t>
            </w:r>
            <w:bookmarkEnd w:id="8125"/>
          </w:p>
        </w:tc>
        <w:tc>
          <w:tcPr>
            <w:tcW w:w="1554" w:type="dxa"/>
            <w:tcBorders>
              <w:top w:val="single" w:sz="6" w:space="0" w:color="auto"/>
              <w:left w:val="single" w:sz="6" w:space="0" w:color="auto"/>
              <w:bottom w:val="single" w:sz="6" w:space="0" w:color="auto"/>
              <w:right w:val="single" w:sz="6" w:space="0" w:color="auto"/>
            </w:tcBorders>
          </w:tcPr>
          <w:p w14:paraId="29460C90" w14:textId="77777777" w:rsidR="00EF7075" w:rsidRDefault="00EF7075" w:rsidP="00EF7075">
            <w:pPr>
              <w:pStyle w:val="TAL"/>
            </w:pPr>
            <w:r>
              <w:rPr>
                <w:lang w:eastAsia="zh-CN"/>
              </w:rPr>
              <w:t>array(SpeedThresholdInfo)</w:t>
            </w:r>
          </w:p>
        </w:tc>
        <w:tc>
          <w:tcPr>
            <w:tcW w:w="424" w:type="dxa"/>
            <w:tcBorders>
              <w:top w:val="single" w:sz="6" w:space="0" w:color="auto"/>
              <w:left w:val="single" w:sz="6" w:space="0" w:color="auto"/>
              <w:bottom w:val="single" w:sz="6" w:space="0" w:color="auto"/>
              <w:right w:val="single" w:sz="6" w:space="0" w:color="auto"/>
            </w:tcBorders>
          </w:tcPr>
          <w:p w14:paraId="7F5CCB1F" w14:textId="77777777" w:rsidR="00EF7075" w:rsidRDefault="00EF7075" w:rsidP="00EF707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25E96A29" w14:textId="77777777" w:rsidR="00EF7075" w:rsidRDefault="00EF7075" w:rsidP="00EF7075">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069A7127" w14:textId="77777777" w:rsidR="00EF7075" w:rsidRDefault="00EF7075" w:rsidP="00EF7075">
            <w:pPr>
              <w:pStyle w:val="TAL"/>
              <w:rPr>
                <w:rFonts w:cs="Arial"/>
                <w:szCs w:val="18"/>
              </w:rPr>
            </w:pPr>
            <w:r>
              <w:rPr>
                <w:rFonts w:cs="Arial"/>
                <w:szCs w:val="18"/>
              </w:rPr>
              <w:t>UEs information in the area of interest whose speed is faster than the speed threshold.</w:t>
            </w:r>
          </w:p>
          <w:p w14:paraId="6DF398DE" w14:textId="77777777" w:rsidR="00EF7075" w:rsidRDefault="00EF7075" w:rsidP="00EF7075">
            <w:pPr>
              <w:pStyle w:val="TAL"/>
            </w:pPr>
            <w:r>
              <w:rPr>
                <w:rFonts w:cs="Arial"/>
                <w:szCs w:val="18"/>
              </w:rPr>
              <w:t>Shall be present if one of the elements in the "listOfAnaSubsets" attribute was set with value as "SPEED_THRESHOLD".</w:t>
            </w:r>
          </w:p>
        </w:tc>
        <w:tc>
          <w:tcPr>
            <w:tcW w:w="1837" w:type="dxa"/>
            <w:tcBorders>
              <w:top w:val="single" w:sz="6" w:space="0" w:color="auto"/>
              <w:left w:val="single" w:sz="6" w:space="0" w:color="auto"/>
              <w:bottom w:val="single" w:sz="6" w:space="0" w:color="auto"/>
              <w:right w:val="single" w:sz="6" w:space="0" w:color="auto"/>
            </w:tcBorders>
          </w:tcPr>
          <w:p w14:paraId="353C633A" w14:textId="77777777" w:rsidR="00EF7075" w:rsidRDefault="00EF7075" w:rsidP="00EF7075">
            <w:pPr>
              <w:pStyle w:val="TAL"/>
              <w:rPr>
                <w:rFonts w:cs="Arial"/>
                <w:szCs w:val="18"/>
              </w:rPr>
            </w:pPr>
          </w:p>
        </w:tc>
      </w:tr>
      <w:tr w:rsidR="00EF7075" w14:paraId="52635646"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6116EF4D" w14:textId="77777777" w:rsidR="00EF7075" w:rsidRDefault="00EF7075" w:rsidP="00EF7075">
            <w:pPr>
              <w:pStyle w:val="TAL"/>
              <w:rPr>
                <w:lang w:eastAsia="zh-CN"/>
              </w:rPr>
            </w:pPr>
            <w:r>
              <w:rPr>
                <w:lang w:eastAsia="zh-CN"/>
              </w:rPr>
              <w:t>directionUeInfos</w:t>
            </w:r>
          </w:p>
        </w:tc>
        <w:tc>
          <w:tcPr>
            <w:tcW w:w="1554" w:type="dxa"/>
            <w:tcBorders>
              <w:top w:val="single" w:sz="6" w:space="0" w:color="auto"/>
              <w:left w:val="single" w:sz="6" w:space="0" w:color="auto"/>
              <w:bottom w:val="single" w:sz="6" w:space="0" w:color="auto"/>
              <w:right w:val="single" w:sz="6" w:space="0" w:color="auto"/>
            </w:tcBorders>
          </w:tcPr>
          <w:p w14:paraId="47E74067" w14:textId="77777777" w:rsidR="00EF7075" w:rsidRDefault="00EF7075" w:rsidP="00EF7075">
            <w:pPr>
              <w:pStyle w:val="TAL"/>
            </w:pPr>
            <w:r>
              <w:rPr>
                <w:lang w:eastAsia="zh-CN"/>
              </w:rPr>
              <w:t>array(DirectionInfo)</w:t>
            </w:r>
          </w:p>
        </w:tc>
        <w:tc>
          <w:tcPr>
            <w:tcW w:w="424" w:type="dxa"/>
            <w:tcBorders>
              <w:top w:val="single" w:sz="6" w:space="0" w:color="auto"/>
              <w:left w:val="single" w:sz="6" w:space="0" w:color="auto"/>
              <w:bottom w:val="single" w:sz="6" w:space="0" w:color="auto"/>
              <w:right w:val="single" w:sz="6" w:space="0" w:color="auto"/>
            </w:tcBorders>
          </w:tcPr>
          <w:p w14:paraId="0D9E8AAF" w14:textId="77777777" w:rsidR="00EF7075" w:rsidRDefault="00EF7075" w:rsidP="00EF7075">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163B1832" w14:textId="77777777" w:rsidR="00EF7075" w:rsidRDefault="00EF7075" w:rsidP="00EF7075">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741BE79D" w14:textId="77777777" w:rsidR="00EF7075" w:rsidRDefault="00EF7075" w:rsidP="00EF7075">
            <w:pPr>
              <w:pStyle w:val="TAL"/>
              <w:rPr>
                <w:lang w:eastAsia="ko-KR"/>
              </w:rPr>
            </w:pPr>
            <w:r>
              <w:rPr>
                <w:lang w:eastAsia="ko-KR"/>
              </w:rPr>
              <w:t>Heading directions information of the UE in the</w:t>
            </w:r>
            <w:r>
              <w:rPr>
                <w:rFonts w:cs="Arial"/>
                <w:szCs w:val="18"/>
              </w:rPr>
              <w:t xml:space="preserve"> area of interest</w:t>
            </w:r>
            <w:r>
              <w:rPr>
                <w:lang w:eastAsia="ko-KR"/>
              </w:rPr>
              <w:t>.</w:t>
            </w:r>
          </w:p>
          <w:p w14:paraId="6D916DBD" w14:textId="77777777" w:rsidR="00EF7075" w:rsidRDefault="00EF7075" w:rsidP="00EF7075">
            <w:pPr>
              <w:pStyle w:val="TAL"/>
            </w:pPr>
            <w:r>
              <w:rPr>
                <w:rFonts w:cs="Arial"/>
                <w:szCs w:val="18"/>
              </w:rPr>
              <w:t>Shall be present if one of the elements in the "listOfAnaSubsets" attribute was set with value as "MOV_UE_DIRECTION".</w:t>
            </w:r>
          </w:p>
        </w:tc>
        <w:tc>
          <w:tcPr>
            <w:tcW w:w="1837" w:type="dxa"/>
            <w:tcBorders>
              <w:top w:val="single" w:sz="6" w:space="0" w:color="auto"/>
              <w:left w:val="single" w:sz="6" w:space="0" w:color="auto"/>
              <w:bottom w:val="single" w:sz="6" w:space="0" w:color="auto"/>
              <w:right w:val="single" w:sz="6" w:space="0" w:color="auto"/>
            </w:tcBorders>
          </w:tcPr>
          <w:p w14:paraId="7F2BE7AA" w14:textId="77777777" w:rsidR="00EF7075" w:rsidRDefault="00EF7075" w:rsidP="00EF7075">
            <w:pPr>
              <w:pStyle w:val="TAL"/>
              <w:rPr>
                <w:rFonts w:cs="Arial"/>
                <w:szCs w:val="18"/>
              </w:rPr>
            </w:pPr>
          </w:p>
        </w:tc>
      </w:tr>
    </w:tbl>
    <w:p w14:paraId="47F19C76" w14:textId="77777777" w:rsidR="00A10B25" w:rsidRDefault="00A10B25">
      <w:pPr>
        <w:rPr>
          <w:rFonts w:eastAsia="MS Mincho"/>
          <w:u w:val="single"/>
        </w:rPr>
      </w:pPr>
    </w:p>
    <w:p w14:paraId="1B0C3D53" w14:textId="77777777" w:rsidR="00A10B25" w:rsidRDefault="00A10B25">
      <w:pPr>
        <w:pStyle w:val="5"/>
      </w:pPr>
      <w:bookmarkStart w:id="8126" w:name="_Toc148522688"/>
      <w:bookmarkStart w:id="8127" w:name="_Toc145705784"/>
      <w:bookmarkStart w:id="8128" w:name="_Toc164920868"/>
      <w:bookmarkStart w:id="8129" w:name="_Toc170120410"/>
      <w:bookmarkStart w:id="8130" w:name="_Toc175858655"/>
      <w:bookmarkStart w:id="8131" w:name="_Toc175859728"/>
      <w:bookmarkStart w:id="8132" w:name="_Toc180606018"/>
      <w:bookmarkStart w:id="8133" w:name="_Toc185517272"/>
      <w:bookmarkStart w:id="8134" w:name="_Toc191576323"/>
      <w:bookmarkStart w:id="8135" w:name="_Toc191577063"/>
      <w:bookmarkStart w:id="8136" w:name="_Toc192880133"/>
      <w:bookmarkStart w:id="8137" w:name="_Toc195815016"/>
      <w:bookmarkStart w:id="8138" w:name="_Toc199452983"/>
      <w:r>
        <w:t>5.1.6.2.94</w:t>
      </w:r>
      <w:r>
        <w:tab/>
        <w:t xml:space="preserve">Type </w:t>
      </w:r>
      <w:bookmarkStart w:id="8139" w:name="_Hlk138678107"/>
      <w:r>
        <w:rPr>
          <w:lang w:eastAsia="zh-CN"/>
        </w:rPr>
        <w:t>SpeedThresholdInfo</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3F99668E" w14:textId="77777777" w:rsidR="00A10B25" w:rsidRDefault="00A10B25">
      <w:pPr>
        <w:pStyle w:val="TH"/>
      </w:pPr>
      <w:r>
        <w:t xml:space="preserve">Table 5.1.6.2.94-1: Definition of type </w:t>
      </w:r>
      <w:r>
        <w:rPr>
          <w:lang w:eastAsia="zh-CN"/>
        </w:rPr>
        <w:t>SpeedThresholdInfo</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76EC2CAB"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7B002169"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4F0EB274"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1E0E8FB"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C569AAF"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178F995"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690B709D" w14:textId="77777777" w:rsidR="00A10B25" w:rsidRDefault="00A10B25">
            <w:pPr>
              <w:pStyle w:val="TAH"/>
              <w:ind w:left="400" w:hanging="400"/>
            </w:pPr>
            <w:r>
              <w:t>Applicability</w:t>
            </w:r>
          </w:p>
        </w:tc>
      </w:tr>
      <w:tr w:rsidR="00EF7075" w14:paraId="54A08D28"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5D7AA311" w14:textId="77777777" w:rsidR="00EF7075" w:rsidRDefault="00EF7075" w:rsidP="00EF7075">
            <w:pPr>
              <w:pStyle w:val="TAL"/>
              <w:rPr>
                <w:lang w:eastAsia="zh-CN"/>
              </w:rPr>
            </w:pPr>
            <w:r>
              <w:t>speedThr</w:t>
            </w:r>
          </w:p>
        </w:tc>
        <w:tc>
          <w:tcPr>
            <w:tcW w:w="1554" w:type="dxa"/>
            <w:tcBorders>
              <w:top w:val="single" w:sz="6" w:space="0" w:color="auto"/>
              <w:left w:val="single" w:sz="6" w:space="0" w:color="auto"/>
              <w:bottom w:val="single" w:sz="6" w:space="0" w:color="auto"/>
              <w:right w:val="single" w:sz="6" w:space="0" w:color="auto"/>
            </w:tcBorders>
          </w:tcPr>
          <w:p w14:paraId="44CEA243" w14:textId="77777777" w:rsidR="00EF7075" w:rsidRDefault="00EF7075" w:rsidP="00EF7075">
            <w:pPr>
              <w:pStyle w:val="TAL"/>
              <w:rPr>
                <w:lang w:eastAsia="zh-CN"/>
              </w:rPr>
            </w:pPr>
            <w:r>
              <w:t>Float</w:t>
            </w:r>
          </w:p>
        </w:tc>
        <w:tc>
          <w:tcPr>
            <w:tcW w:w="424" w:type="dxa"/>
            <w:tcBorders>
              <w:top w:val="single" w:sz="6" w:space="0" w:color="auto"/>
              <w:left w:val="single" w:sz="6" w:space="0" w:color="auto"/>
              <w:bottom w:val="single" w:sz="6" w:space="0" w:color="auto"/>
              <w:right w:val="single" w:sz="6" w:space="0" w:color="auto"/>
            </w:tcBorders>
          </w:tcPr>
          <w:p w14:paraId="4633AB12" w14:textId="77777777" w:rsidR="00EF7075" w:rsidRDefault="00EF7075" w:rsidP="00EF7075">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4736BD5C" w14:textId="77777777" w:rsidR="00EF7075" w:rsidRDefault="00EF7075" w:rsidP="00EF7075">
            <w:pPr>
              <w:pStyle w:val="TAL"/>
            </w:pPr>
            <w:r>
              <w:t>1</w:t>
            </w:r>
          </w:p>
        </w:tc>
        <w:tc>
          <w:tcPr>
            <w:tcW w:w="2845" w:type="dxa"/>
            <w:tcBorders>
              <w:top w:val="single" w:sz="6" w:space="0" w:color="auto"/>
              <w:left w:val="single" w:sz="6" w:space="0" w:color="auto"/>
              <w:bottom w:val="single" w:sz="6" w:space="0" w:color="auto"/>
              <w:right w:val="single" w:sz="6" w:space="0" w:color="auto"/>
            </w:tcBorders>
          </w:tcPr>
          <w:p w14:paraId="1A0B5AE0" w14:textId="77777777" w:rsidR="00EF7075" w:rsidRDefault="00EF7075" w:rsidP="00EF7075">
            <w:pPr>
              <w:pStyle w:val="TAL"/>
              <w:rPr>
                <w:lang w:eastAsia="zh-CN"/>
              </w:rPr>
            </w:pPr>
            <w:r>
              <w:t>Speed threshold utilized to filter the UEs, expressed in kilometres per hour.</w:t>
            </w:r>
          </w:p>
        </w:tc>
        <w:tc>
          <w:tcPr>
            <w:tcW w:w="1837" w:type="dxa"/>
            <w:tcBorders>
              <w:top w:val="single" w:sz="6" w:space="0" w:color="auto"/>
              <w:left w:val="single" w:sz="6" w:space="0" w:color="auto"/>
              <w:bottom w:val="single" w:sz="6" w:space="0" w:color="auto"/>
              <w:right w:val="single" w:sz="6" w:space="0" w:color="auto"/>
            </w:tcBorders>
          </w:tcPr>
          <w:p w14:paraId="40A9FECB" w14:textId="77777777" w:rsidR="00EF7075" w:rsidRDefault="00EF7075" w:rsidP="00EF7075">
            <w:pPr>
              <w:pStyle w:val="TAL"/>
              <w:rPr>
                <w:rFonts w:cs="Arial"/>
                <w:szCs w:val="18"/>
              </w:rPr>
            </w:pPr>
          </w:p>
        </w:tc>
      </w:tr>
      <w:tr w:rsidR="00A10B25" w14:paraId="52C46A4D"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2E542873"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6DA09359" w14:textId="77777777" w:rsidR="00A10B25" w:rsidRDefault="00A10B25">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4441B9CA"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88148FC"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2D9B3C8" w14:textId="77777777" w:rsidR="00A10B25" w:rsidRDefault="00A10B25">
            <w:pPr>
              <w:pStyle w:val="TAL"/>
            </w:pPr>
            <w:r>
              <w:rPr>
                <w:lang w:eastAsia="zh-CN"/>
              </w:rPr>
              <w:t xml:space="preserve">Indicate </w:t>
            </w:r>
            <w:r>
              <w:rPr>
                <w:lang w:eastAsia="ko-KR"/>
              </w:rPr>
              <w:t>the number of UEs whose speed is faster than the speed threshold.</w:t>
            </w:r>
          </w:p>
        </w:tc>
        <w:tc>
          <w:tcPr>
            <w:tcW w:w="1837" w:type="dxa"/>
            <w:tcBorders>
              <w:top w:val="single" w:sz="6" w:space="0" w:color="auto"/>
              <w:left w:val="single" w:sz="6" w:space="0" w:color="auto"/>
              <w:bottom w:val="single" w:sz="6" w:space="0" w:color="auto"/>
              <w:right w:val="single" w:sz="6" w:space="0" w:color="auto"/>
            </w:tcBorders>
          </w:tcPr>
          <w:p w14:paraId="74D2B706" w14:textId="77777777" w:rsidR="00A10B25" w:rsidRDefault="00A10B25">
            <w:pPr>
              <w:pStyle w:val="TAL"/>
              <w:rPr>
                <w:rFonts w:cs="Arial"/>
                <w:szCs w:val="18"/>
              </w:rPr>
            </w:pPr>
          </w:p>
        </w:tc>
      </w:tr>
      <w:tr w:rsidR="00A10B25" w14:paraId="76E6CDA5" w14:textId="77777777" w:rsidTr="00EF7075">
        <w:trPr>
          <w:jc w:val="center"/>
        </w:trPr>
        <w:tc>
          <w:tcPr>
            <w:tcW w:w="1750" w:type="dxa"/>
            <w:tcBorders>
              <w:top w:val="single" w:sz="6" w:space="0" w:color="auto"/>
              <w:left w:val="single" w:sz="6" w:space="0" w:color="auto"/>
              <w:bottom w:val="single" w:sz="6" w:space="0" w:color="auto"/>
              <w:right w:val="single" w:sz="6" w:space="0" w:color="auto"/>
            </w:tcBorders>
          </w:tcPr>
          <w:p w14:paraId="542EE5F6" w14:textId="77777777" w:rsidR="00A10B25" w:rsidRDefault="00A10B25">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2638EDFA" w14:textId="77777777" w:rsidR="00A10B25" w:rsidRDefault="00A10B25">
            <w:pPr>
              <w:pStyle w:val="TAL"/>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710E60F7"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FAAD911"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8564C65" w14:textId="77777777" w:rsidR="00A10B25" w:rsidRDefault="00A10B25">
            <w:pPr>
              <w:pStyle w:val="TAL"/>
              <w:rPr>
                <w:rFonts w:cs="Arial"/>
                <w:szCs w:val="18"/>
              </w:rPr>
            </w:pPr>
            <w:r>
              <w:rPr>
                <w:lang w:eastAsia="zh-CN"/>
              </w:rPr>
              <w:t xml:space="preserve">Indicate the </w:t>
            </w:r>
            <w:r>
              <w:t>percentage of UEs whose speed is faster than the speed threshold.</w:t>
            </w:r>
          </w:p>
        </w:tc>
        <w:tc>
          <w:tcPr>
            <w:tcW w:w="1837" w:type="dxa"/>
            <w:tcBorders>
              <w:top w:val="single" w:sz="6" w:space="0" w:color="auto"/>
              <w:left w:val="single" w:sz="6" w:space="0" w:color="auto"/>
              <w:bottom w:val="single" w:sz="6" w:space="0" w:color="auto"/>
              <w:right w:val="single" w:sz="6" w:space="0" w:color="auto"/>
            </w:tcBorders>
          </w:tcPr>
          <w:p w14:paraId="51BDBC1F" w14:textId="77777777" w:rsidR="00A10B25" w:rsidRDefault="00A10B25">
            <w:pPr>
              <w:pStyle w:val="TAL"/>
              <w:rPr>
                <w:rFonts w:cs="Arial"/>
                <w:szCs w:val="18"/>
              </w:rPr>
            </w:pPr>
          </w:p>
        </w:tc>
      </w:tr>
    </w:tbl>
    <w:p w14:paraId="0F6C31B9" w14:textId="77777777" w:rsidR="00A10B25" w:rsidRDefault="00A10B25">
      <w:pPr>
        <w:rPr>
          <w:rFonts w:eastAsia="MS Mincho"/>
          <w:u w:val="single"/>
        </w:rPr>
      </w:pPr>
    </w:p>
    <w:p w14:paraId="44BC4692" w14:textId="77777777" w:rsidR="00A10B25" w:rsidRDefault="00A10B25" w:rsidP="0076721C">
      <w:pPr>
        <w:pStyle w:val="5"/>
      </w:pPr>
      <w:bookmarkStart w:id="8140" w:name="_Toc164920869"/>
      <w:bookmarkStart w:id="8141" w:name="_Toc170120411"/>
      <w:bookmarkStart w:id="8142" w:name="_Toc175858656"/>
      <w:bookmarkStart w:id="8143" w:name="_Toc175859729"/>
      <w:bookmarkStart w:id="8144" w:name="_Toc180606019"/>
      <w:bookmarkStart w:id="8145" w:name="_Toc185517273"/>
      <w:bookmarkStart w:id="8146" w:name="_Toc191576324"/>
      <w:bookmarkStart w:id="8147" w:name="_Toc191577064"/>
      <w:bookmarkStart w:id="8148" w:name="_Toc192880134"/>
      <w:bookmarkStart w:id="8149" w:name="_Toc195815017"/>
      <w:bookmarkStart w:id="8150" w:name="_Toc199452984"/>
      <w:r>
        <w:lastRenderedPageBreak/>
        <w:t>5.1.6.2.95</w:t>
      </w:r>
      <w:r>
        <w:tab/>
        <w:t>Type GeoLocation</w:t>
      </w:r>
      <w:bookmarkEnd w:id="8140"/>
      <w:bookmarkEnd w:id="8141"/>
      <w:bookmarkEnd w:id="8142"/>
      <w:bookmarkEnd w:id="8143"/>
      <w:bookmarkEnd w:id="8144"/>
      <w:bookmarkEnd w:id="8145"/>
      <w:bookmarkEnd w:id="8146"/>
      <w:bookmarkEnd w:id="8147"/>
      <w:bookmarkEnd w:id="8148"/>
      <w:bookmarkEnd w:id="8149"/>
      <w:bookmarkEnd w:id="8150"/>
    </w:p>
    <w:p w14:paraId="05EC2A02" w14:textId="77777777" w:rsidR="00A10B25" w:rsidRDefault="00A10B25" w:rsidP="0076721C">
      <w:pPr>
        <w:pStyle w:val="TH"/>
      </w:pPr>
      <w:r>
        <w:t>Table 5.1.6.2.95-1: Definition of type GeoLocation</w:t>
      </w:r>
    </w:p>
    <w:tbl>
      <w:tblPr>
        <w:tblW w:w="0" w:type="auto"/>
        <w:jc w:val="center"/>
        <w:tblInd w:w="0" w:type="dxa"/>
        <w:tblLayout w:type="fixed"/>
        <w:tblCellMar>
          <w:left w:w="0" w:type="dxa"/>
          <w:right w:w="0" w:type="dxa"/>
        </w:tblCellMar>
        <w:tblLook w:val="0000" w:firstRow="0" w:lastRow="0" w:firstColumn="0" w:lastColumn="0" w:noHBand="0" w:noVBand="0"/>
      </w:tblPr>
      <w:tblGrid>
        <w:gridCol w:w="1725"/>
        <w:gridCol w:w="2592"/>
        <w:gridCol w:w="345"/>
        <w:gridCol w:w="1081"/>
        <w:gridCol w:w="2183"/>
        <w:gridCol w:w="1562"/>
      </w:tblGrid>
      <w:tr w:rsidR="00A10B25" w14:paraId="16582FCA"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50142F78" w14:textId="77777777" w:rsidR="00A10B25" w:rsidRDefault="00A10B25">
            <w:pPr>
              <w:pStyle w:val="TAH"/>
              <w:rPr>
                <w:lang w:val="en-US" w:eastAsia="zh-CN"/>
              </w:rPr>
            </w:pPr>
            <w:r>
              <w:rPr>
                <w:color w:val="000000"/>
                <w:lang w:val="en-US" w:eastAsia="zh-CN"/>
              </w:rPr>
              <w:t>Attribute name</w:t>
            </w:r>
          </w:p>
        </w:tc>
        <w:tc>
          <w:tcPr>
            <w:tcW w:w="2592"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316DF6E5" w14:textId="77777777" w:rsidR="00A10B25" w:rsidRDefault="00A10B25">
            <w:pPr>
              <w:pStyle w:val="TAH"/>
              <w:rPr>
                <w:lang w:val="en-US" w:eastAsia="zh-CN"/>
              </w:rPr>
            </w:pPr>
            <w:r>
              <w:rPr>
                <w:color w:val="000000"/>
                <w:lang w:val="en-US" w:eastAsia="zh-CN"/>
              </w:rPr>
              <w:t>Data type</w:t>
            </w:r>
          </w:p>
        </w:tc>
        <w:tc>
          <w:tcPr>
            <w:tcW w:w="345"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62A58309" w14:textId="77777777" w:rsidR="00A10B25" w:rsidRDefault="00A10B25">
            <w:pPr>
              <w:pStyle w:val="TAH"/>
              <w:rPr>
                <w:lang w:val="en-US" w:eastAsia="zh-CN"/>
              </w:rPr>
            </w:pPr>
            <w:r>
              <w:rPr>
                <w:color w:val="000000"/>
                <w:lang w:val="en-US" w:eastAsia="zh-CN"/>
              </w:rPr>
              <w:t>P</w:t>
            </w:r>
          </w:p>
        </w:tc>
        <w:tc>
          <w:tcPr>
            <w:tcW w:w="1081"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02A0D3EE" w14:textId="77777777" w:rsidR="00A10B25" w:rsidRDefault="00A10B25">
            <w:pPr>
              <w:pStyle w:val="TAH"/>
              <w:rPr>
                <w:lang w:val="en-US" w:eastAsia="zh-CN"/>
              </w:rPr>
            </w:pPr>
            <w:r>
              <w:rPr>
                <w:color w:val="000000"/>
                <w:lang w:val="en-US" w:eastAsia="zh-CN"/>
              </w:rPr>
              <w:t>Cardinality</w:t>
            </w:r>
          </w:p>
        </w:tc>
        <w:tc>
          <w:tcPr>
            <w:tcW w:w="2183"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6EEEF4E6" w14:textId="77777777" w:rsidR="00A10B25" w:rsidRDefault="00A10B25">
            <w:pPr>
              <w:pStyle w:val="TAH"/>
              <w:rPr>
                <w:lang w:val="en-US" w:eastAsia="zh-CN"/>
              </w:rPr>
            </w:pPr>
            <w:r>
              <w:rPr>
                <w:color w:val="000000"/>
                <w:lang w:val="en-US" w:eastAsia="zh-CN"/>
              </w:rP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tcPr>
          <w:p w14:paraId="60361889" w14:textId="77777777" w:rsidR="00A10B25" w:rsidRDefault="00A10B25">
            <w:pPr>
              <w:pStyle w:val="TAH"/>
              <w:rPr>
                <w:color w:val="000000"/>
                <w:lang w:val="en-US" w:eastAsia="zh-CN"/>
              </w:rPr>
            </w:pPr>
            <w:r>
              <w:rPr>
                <w:color w:val="000000"/>
                <w:lang w:val="en-US" w:eastAsia="zh-CN"/>
              </w:rPr>
              <w:t>Applicability</w:t>
            </w:r>
          </w:p>
        </w:tc>
      </w:tr>
      <w:tr w:rsidR="00A10B25" w14:paraId="73315C83"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02E2110" w14:textId="77777777" w:rsidR="00A10B25" w:rsidRDefault="00A10B25">
            <w:pPr>
              <w:pStyle w:val="TAL"/>
              <w:rPr>
                <w:lang w:val="en-US" w:eastAsia="zh-CN"/>
              </w:rPr>
            </w:pPr>
            <w:r>
              <w:rPr>
                <w:lang w:val="en-US" w:eastAsia="zh-CN"/>
              </w:rPr>
              <w:t>point</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4B743FF" w14:textId="77777777" w:rsidR="00A10B25" w:rsidRDefault="00A10B25">
            <w:pPr>
              <w:pStyle w:val="TAL"/>
              <w:rPr>
                <w:lang w:val="en-US" w:eastAsia="zh-CN"/>
              </w:rPr>
            </w:pPr>
            <w:r>
              <w:rPr>
                <w:lang w:val="en-US" w:eastAsia="zh-CN"/>
              </w:rPr>
              <w:t>Point</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5B857AA"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C080048"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9FF96BB" w14:textId="77777777" w:rsidR="00A10B25" w:rsidRDefault="00A10B25">
            <w:pPr>
              <w:pStyle w:val="TAL"/>
              <w:rPr>
                <w:lang w:val="en-US" w:eastAsia="zh-CN"/>
              </w:rPr>
            </w:pPr>
            <w:r>
              <w:rPr>
                <w:lang w:val="en-US" w:eastAsia="zh-CN"/>
              </w:rPr>
              <w:t>Horizontal location using geographical coordinates. (NOTE)</w:t>
            </w:r>
          </w:p>
        </w:tc>
        <w:tc>
          <w:tcPr>
            <w:tcW w:w="1562" w:type="dxa"/>
            <w:tcBorders>
              <w:top w:val="single" w:sz="6" w:space="0" w:color="auto"/>
              <w:left w:val="single" w:sz="6" w:space="0" w:color="auto"/>
              <w:bottom w:val="single" w:sz="6" w:space="0" w:color="auto"/>
              <w:right w:val="single" w:sz="6" w:space="0" w:color="auto"/>
            </w:tcBorders>
          </w:tcPr>
          <w:p w14:paraId="5D467633" w14:textId="77777777" w:rsidR="00A10B25" w:rsidRDefault="00A10B25">
            <w:pPr>
              <w:pStyle w:val="TAL"/>
              <w:rPr>
                <w:lang w:val="en-US" w:eastAsia="zh-CN"/>
              </w:rPr>
            </w:pPr>
          </w:p>
        </w:tc>
      </w:tr>
      <w:tr w:rsidR="00A10B25" w14:paraId="5B9D1D09"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7B71390" w14:textId="77777777" w:rsidR="00A10B25" w:rsidRDefault="00A10B25">
            <w:pPr>
              <w:pStyle w:val="TAL"/>
              <w:rPr>
                <w:lang w:val="en-US" w:eastAsia="zh-CN"/>
              </w:rPr>
            </w:pPr>
            <w:r>
              <w:rPr>
                <w:lang w:val="en-US" w:eastAsia="zh-CN"/>
              </w:rPr>
              <w:t>pointAlt</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5764C75" w14:textId="77777777" w:rsidR="00A10B25" w:rsidRDefault="00A10B25">
            <w:pPr>
              <w:pStyle w:val="TAL"/>
              <w:rPr>
                <w:lang w:val="en-US" w:eastAsia="zh-CN"/>
              </w:rPr>
            </w:pPr>
            <w:r>
              <w:rPr>
                <w:lang w:val="en-US" w:eastAsia="zh-CN"/>
              </w:rPr>
              <w:t>PointAltitude</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66019D8"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FCC382E"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89405D6" w14:textId="77777777" w:rsidR="00A10B25" w:rsidRDefault="00A10B25">
            <w:pPr>
              <w:pStyle w:val="TAL"/>
              <w:rPr>
                <w:lang w:val="en-US" w:eastAsia="zh-CN"/>
              </w:rPr>
            </w:pPr>
            <w:r>
              <w:rPr>
                <w:lang w:val="en-US" w:eastAsia="zh-CN"/>
              </w:rPr>
              <w:t>Horizontal and vertical location using geographical coordinates. (NOTE)</w:t>
            </w:r>
          </w:p>
        </w:tc>
        <w:tc>
          <w:tcPr>
            <w:tcW w:w="1562" w:type="dxa"/>
            <w:tcBorders>
              <w:top w:val="single" w:sz="6" w:space="0" w:color="auto"/>
              <w:left w:val="single" w:sz="6" w:space="0" w:color="auto"/>
              <w:bottom w:val="single" w:sz="6" w:space="0" w:color="auto"/>
              <w:right w:val="single" w:sz="6" w:space="0" w:color="auto"/>
            </w:tcBorders>
          </w:tcPr>
          <w:p w14:paraId="61B0EDBC" w14:textId="77777777" w:rsidR="00A10B25" w:rsidRDefault="00A10B25">
            <w:pPr>
              <w:pStyle w:val="TAL"/>
              <w:rPr>
                <w:lang w:val="en-US" w:eastAsia="zh-CN"/>
              </w:rPr>
            </w:pPr>
          </w:p>
        </w:tc>
      </w:tr>
      <w:tr w:rsidR="00A10B25" w14:paraId="51389E6E"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56FD702" w14:textId="77777777" w:rsidR="00A10B25" w:rsidRDefault="00A10B25">
            <w:pPr>
              <w:pStyle w:val="TAL"/>
              <w:rPr>
                <w:lang w:val="en-US" w:eastAsia="zh-CN"/>
              </w:rPr>
            </w:pPr>
            <w:r>
              <w:rPr>
                <w:lang w:val="en-US" w:eastAsia="zh-CN"/>
              </w:rPr>
              <w:t>refPoint</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E98416B" w14:textId="77777777" w:rsidR="00A10B25" w:rsidRDefault="00A10B25">
            <w:pPr>
              <w:pStyle w:val="TAL"/>
              <w:rPr>
                <w:lang w:val="en-US" w:eastAsia="zh-CN"/>
              </w:rPr>
            </w:pPr>
            <w:r>
              <w:rPr>
                <w:lang w:val="en-US" w:eastAsia="zh-CN"/>
              </w:rPr>
              <w:t>LocalOrigin</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212699B"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276A40F1"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24A2B07" w14:textId="77777777" w:rsidR="00A10B25" w:rsidRDefault="00A10B25">
            <w:pPr>
              <w:pStyle w:val="TAL"/>
              <w:rPr>
                <w:lang w:val="en-US" w:eastAsia="zh-CN"/>
              </w:rPr>
            </w:pPr>
            <w:r>
              <w:rPr>
                <w:lang w:val="en-US" w:eastAsia="zh-CN"/>
              </w:rPr>
              <w:t>Reference point for the case of local co-ordinates. (NOTE)</w:t>
            </w:r>
          </w:p>
        </w:tc>
        <w:tc>
          <w:tcPr>
            <w:tcW w:w="1562" w:type="dxa"/>
            <w:tcBorders>
              <w:top w:val="single" w:sz="6" w:space="0" w:color="auto"/>
              <w:left w:val="single" w:sz="6" w:space="0" w:color="auto"/>
              <w:bottom w:val="single" w:sz="6" w:space="0" w:color="auto"/>
              <w:right w:val="single" w:sz="6" w:space="0" w:color="auto"/>
            </w:tcBorders>
          </w:tcPr>
          <w:p w14:paraId="62617E56" w14:textId="77777777" w:rsidR="00A10B25" w:rsidRDefault="00A10B25">
            <w:pPr>
              <w:pStyle w:val="TAL"/>
              <w:rPr>
                <w:lang w:val="en-US" w:eastAsia="zh-CN"/>
              </w:rPr>
            </w:pPr>
          </w:p>
        </w:tc>
      </w:tr>
      <w:tr w:rsidR="00A10B25" w14:paraId="60DFF60F" w14:textId="77777777" w:rsidTr="0076721C">
        <w:trPr>
          <w:jc w:val="center"/>
        </w:trPr>
        <w:tc>
          <w:tcPr>
            <w:tcW w:w="172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422BF1A" w14:textId="77777777" w:rsidR="00A10B25" w:rsidRDefault="00A10B25">
            <w:pPr>
              <w:pStyle w:val="TAL"/>
              <w:rPr>
                <w:lang w:val="en-US" w:eastAsia="zh-CN"/>
              </w:rPr>
            </w:pPr>
            <w:r>
              <w:rPr>
                <w:lang w:val="en-US" w:eastAsia="zh-CN"/>
              </w:rPr>
              <w:t>localCoords</w:t>
            </w:r>
          </w:p>
        </w:tc>
        <w:tc>
          <w:tcPr>
            <w:tcW w:w="2592"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409F374" w14:textId="77777777" w:rsidR="00A10B25" w:rsidRDefault="00A10B25">
            <w:pPr>
              <w:pStyle w:val="TAL"/>
              <w:rPr>
                <w:lang w:val="en-US" w:eastAsia="zh-CN"/>
              </w:rPr>
            </w:pPr>
            <w:r>
              <w:rPr>
                <w:lang w:val="en-US" w:eastAsia="zh-CN"/>
              </w:rPr>
              <w:t>RelativeCartesianLocation</w:t>
            </w:r>
          </w:p>
        </w:tc>
        <w:tc>
          <w:tcPr>
            <w:tcW w:w="345"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CCD8D05" w14:textId="77777777" w:rsidR="00A10B25" w:rsidRDefault="00A10B25">
            <w:pPr>
              <w:pStyle w:val="TAC"/>
              <w:rPr>
                <w:lang w:val="en-US" w:eastAsia="zh-CN"/>
              </w:rPr>
            </w:pPr>
            <w:r>
              <w:rPr>
                <w:lang w:val="en-US" w:eastAsia="zh-CN"/>
              </w:rPr>
              <w:t>C</w:t>
            </w:r>
          </w:p>
        </w:tc>
        <w:tc>
          <w:tcPr>
            <w:tcW w:w="1081"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4A7D788" w14:textId="77777777" w:rsidR="00A10B25" w:rsidRDefault="00A10B25">
            <w:pPr>
              <w:pStyle w:val="TAL"/>
              <w:rPr>
                <w:lang w:val="en-US" w:eastAsia="zh-CN"/>
              </w:rPr>
            </w:pPr>
            <w:r>
              <w:rPr>
                <w:lang w:val="en-US" w:eastAsia="zh-CN"/>
              </w:rPr>
              <w:t>0..1</w:t>
            </w:r>
          </w:p>
        </w:tc>
        <w:tc>
          <w:tcPr>
            <w:tcW w:w="218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604204C" w14:textId="77777777" w:rsidR="00A10B25" w:rsidRDefault="00A10B25">
            <w:pPr>
              <w:pStyle w:val="TAL"/>
              <w:rPr>
                <w:lang w:val="en-US" w:eastAsia="zh-CN"/>
              </w:rPr>
            </w:pPr>
            <w:r>
              <w:rPr>
                <w:lang w:val="en-US" w:eastAsia="zh-CN"/>
              </w:rPr>
              <w:t>Local co-ordinates representing horizontal and optionally also vertical distances from a reference point. (NOTE)</w:t>
            </w:r>
          </w:p>
        </w:tc>
        <w:tc>
          <w:tcPr>
            <w:tcW w:w="1562" w:type="dxa"/>
            <w:tcBorders>
              <w:top w:val="single" w:sz="6" w:space="0" w:color="auto"/>
              <w:left w:val="single" w:sz="6" w:space="0" w:color="auto"/>
              <w:bottom w:val="single" w:sz="6" w:space="0" w:color="auto"/>
              <w:right w:val="single" w:sz="6" w:space="0" w:color="auto"/>
            </w:tcBorders>
          </w:tcPr>
          <w:p w14:paraId="5757DDAC" w14:textId="77777777" w:rsidR="00A10B25" w:rsidRDefault="00A10B25">
            <w:pPr>
              <w:pStyle w:val="TAL"/>
              <w:rPr>
                <w:lang w:val="en-US" w:eastAsia="zh-CN"/>
              </w:rPr>
            </w:pPr>
          </w:p>
        </w:tc>
      </w:tr>
      <w:tr w:rsidR="00A10B25" w14:paraId="23945775" w14:textId="77777777" w:rsidTr="0076721C">
        <w:trPr>
          <w:jc w:val="center"/>
        </w:trPr>
        <w:tc>
          <w:tcPr>
            <w:tcW w:w="9488" w:type="dxa"/>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AEF90D8" w14:textId="77777777" w:rsidR="00A10B25" w:rsidRDefault="00A10B25">
            <w:pPr>
              <w:pStyle w:val="TAN"/>
              <w:rPr>
                <w:lang w:val="en-US" w:eastAsia="zh-CN"/>
              </w:rPr>
            </w:pPr>
            <w:r>
              <w:rPr>
                <w:lang w:val="en-US" w:eastAsia="zh-CN"/>
              </w:rPr>
              <w:t>NOTE:</w:t>
            </w:r>
            <w:r>
              <w:rPr>
                <w:lang w:val="en-US" w:eastAsia="zh-CN"/>
              </w:rPr>
              <w:tab/>
              <w:t>One of "point", "pointAlt" attribute, or the combination of "refPoint" and "localCoords" attributes shall be provided.</w:t>
            </w:r>
          </w:p>
        </w:tc>
      </w:tr>
    </w:tbl>
    <w:p w14:paraId="0CEBE4B2" w14:textId="77777777" w:rsidR="00A10B25" w:rsidRDefault="00A10B25">
      <w:pPr>
        <w:rPr>
          <w:rFonts w:eastAsia="等线"/>
        </w:rPr>
      </w:pPr>
    </w:p>
    <w:p w14:paraId="50B13530" w14:textId="77777777" w:rsidR="00A10B25" w:rsidRDefault="00A10B25" w:rsidP="0076721C">
      <w:pPr>
        <w:pStyle w:val="5"/>
      </w:pPr>
      <w:bookmarkStart w:id="8151" w:name="_Toc164920870"/>
      <w:bookmarkStart w:id="8152" w:name="_Toc170120412"/>
      <w:bookmarkStart w:id="8153" w:name="_Toc175858657"/>
      <w:bookmarkStart w:id="8154" w:name="_Toc175859730"/>
      <w:bookmarkStart w:id="8155" w:name="_Toc180606020"/>
      <w:bookmarkStart w:id="8156" w:name="_Toc185517274"/>
      <w:bookmarkStart w:id="8157" w:name="_Toc191576325"/>
      <w:bookmarkStart w:id="8158" w:name="_Toc191577065"/>
      <w:bookmarkStart w:id="8159" w:name="_Toc192880135"/>
      <w:bookmarkStart w:id="8160" w:name="_Toc195815018"/>
      <w:bookmarkStart w:id="8161" w:name="_Toc199452985"/>
      <w:r>
        <w:lastRenderedPageBreak/>
        <w:t>5.1.6.2.96</w:t>
      </w:r>
      <w:r>
        <w:tab/>
        <w:t>Type LocAccuracyReq</w:t>
      </w:r>
      <w:bookmarkEnd w:id="8151"/>
      <w:bookmarkEnd w:id="8152"/>
      <w:bookmarkEnd w:id="8153"/>
      <w:bookmarkEnd w:id="8154"/>
      <w:bookmarkEnd w:id="8155"/>
      <w:bookmarkEnd w:id="8156"/>
      <w:bookmarkEnd w:id="8157"/>
      <w:bookmarkEnd w:id="8158"/>
      <w:bookmarkEnd w:id="8159"/>
      <w:bookmarkEnd w:id="8160"/>
      <w:bookmarkEnd w:id="8161"/>
    </w:p>
    <w:p w14:paraId="395258F1" w14:textId="77777777" w:rsidR="00A10B25" w:rsidRDefault="00A10B25" w:rsidP="0076721C">
      <w:pPr>
        <w:pStyle w:val="TH"/>
      </w:pPr>
      <w:r>
        <w:t>Table 5.1.6.2.96-1: Definition of type LocAccuracyReq</w:t>
      </w:r>
    </w:p>
    <w:tbl>
      <w:tblPr>
        <w:tblW w:w="0" w:type="auto"/>
        <w:jc w:val="center"/>
        <w:tblInd w:w="0" w:type="dxa"/>
        <w:tblCellMar>
          <w:left w:w="0" w:type="dxa"/>
          <w:right w:w="0" w:type="dxa"/>
        </w:tblCellMar>
        <w:tblLook w:val="0000" w:firstRow="0" w:lastRow="0" w:firstColumn="0" w:lastColumn="0" w:noHBand="0" w:noVBand="0"/>
      </w:tblPr>
      <w:tblGrid>
        <w:gridCol w:w="1993"/>
        <w:gridCol w:w="2469"/>
        <w:gridCol w:w="334"/>
        <w:gridCol w:w="1078"/>
        <w:gridCol w:w="2398"/>
        <w:gridCol w:w="1347"/>
      </w:tblGrid>
      <w:tr w:rsidR="00A10B25" w14:paraId="0313803D"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272ADB9C" w14:textId="77777777" w:rsidR="00A10B25" w:rsidRDefault="00A10B25">
            <w:pPr>
              <w:pStyle w:val="TAH"/>
              <w:rPr>
                <w:lang w:val="en-US" w:eastAsia="zh-CN"/>
              </w:rPr>
            </w:pPr>
            <w:r>
              <w:rPr>
                <w:color w:val="000000"/>
                <w:lang w:val="en-US" w:eastAsia="zh-CN"/>
              </w:rPr>
              <w:t>Attribute name</w:t>
            </w:r>
          </w:p>
        </w:tc>
        <w:tc>
          <w:tcPr>
            <w:tcW w:w="2469"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3237C325" w14:textId="77777777" w:rsidR="00A10B25" w:rsidRDefault="00A10B25">
            <w:pPr>
              <w:pStyle w:val="TAH"/>
              <w:rPr>
                <w:lang w:val="en-US" w:eastAsia="zh-CN"/>
              </w:rPr>
            </w:pPr>
            <w:r>
              <w:rPr>
                <w:color w:val="000000"/>
                <w:lang w:val="en-US" w:eastAsia="zh-CN"/>
              </w:rPr>
              <w:t>Data type</w:t>
            </w:r>
          </w:p>
        </w:tc>
        <w:tc>
          <w:tcPr>
            <w:tcW w:w="334"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20462342" w14:textId="77777777" w:rsidR="00A10B25" w:rsidRDefault="00A10B25">
            <w:pPr>
              <w:pStyle w:val="TAH"/>
              <w:rPr>
                <w:lang w:val="en-US" w:eastAsia="zh-CN"/>
              </w:rPr>
            </w:pPr>
            <w:r>
              <w:rPr>
                <w:color w:val="000000"/>
                <w:lang w:val="en-US" w:eastAsia="zh-CN"/>
              </w:rPr>
              <w:t>P</w:t>
            </w:r>
          </w:p>
        </w:tc>
        <w:tc>
          <w:tcPr>
            <w:tcW w:w="1078"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3DC35306" w14:textId="77777777" w:rsidR="00A10B25" w:rsidRDefault="00A10B25">
            <w:pPr>
              <w:pStyle w:val="TAH"/>
              <w:rPr>
                <w:lang w:val="en-US" w:eastAsia="zh-CN"/>
              </w:rPr>
            </w:pPr>
            <w:r>
              <w:rPr>
                <w:color w:val="000000"/>
                <w:lang w:val="en-US" w:eastAsia="zh-CN"/>
              </w:rPr>
              <w:t>Cardinality</w:t>
            </w:r>
          </w:p>
        </w:tc>
        <w:tc>
          <w:tcPr>
            <w:tcW w:w="2398" w:type="dxa"/>
            <w:tcBorders>
              <w:top w:val="single" w:sz="6" w:space="0" w:color="auto"/>
              <w:left w:val="single" w:sz="6" w:space="0" w:color="auto"/>
              <w:bottom w:val="single" w:sz="6" w:space="0" w:color="auto"/>
              <w:right w:val="single" w:sz="6" w:space="0" w:color="auto"/>
            </w:tcBorders>
            <w:shd w:val="clear" w:color="auto" w:fill="C0C0C0"/>
            <w:tcMar>
              <w:top w:w="0" w:type="dxa"/>
              <w:left w:w="28" w:type="dxa"/>
              <w:bottom w:w="0" w:type="dxa"/>
              <w:right w:w="108" w:type="dxa"/>
            </w:tcMar>
          </w:tcPr>
          <w:p w14:paraId="0954E1ED" w14:textId="77777777" w:rsidR="00A10B25" w:rsidRDefault="00A10B25">
            <w:pPr>
              <w:pStyle w:val="TAH"/>
              <w:rPr>
                <w:lang w:val="en-US" w:eastAsia="zh-CN"/>
              </w:rPr>
            </w:pPr>
            <w:r>
              <w:rPr>
                <w:color w:val="000000"/>
                <w:lang w:val="en-US" w:eastAsia="zh-CN"/>
              </w:rPr>
              <w:t>Description</w:t>
            </w:r>
          </w:p>
        </w:tc>
        <w:tc>
          <w:tcPr>
            <w:tcW w:w="1347" w:type="dxa"/>
            <w:tcBorders>
              <w:top w:val="single" w:sz="6" w:space="0" w:color="auto"/>
              <w:left w:val="single" w:sz="6" w:space="0" w:color="auto"/>
              <w:bottom w:val="single" w:sz="6" w:space="0" w:color="auto"/>
              <w:right w:val="single" w:sz="6" w:space="0" w:color="auto"/>
            </w:tcBorders>
            <w:shd w:val="clear" w:color="auto" w:fill="C0C0C0"/>
          </w:tcPr>
          <w:p w14:paraId="186C0549" w14:textId="77777777" w:rsidR="00A10B25" w:rsidRDefault="00A10B25">
            <w:pPr>
              <w:pStyle w:val="TAH"/>
              <w:rPr>
                <w:color w:val="000000"/>
                <w:lang w:val="en-US" w:eastAsia="zh-CN"/>
              </w:rPr>
            </w:pPr>
            <w:r>
              <w:rPr>
                <w:color w:val="000000"/>
                <w:lang w:val="en-US" w:eastAsia="zh-CN"/>
              </w:rPr>
              <w:t>Applicability</w:t>
            </w:r>
          </w:p>
        </w:tc>
      </w:tr>
      <w:tr w:rsidR="00A10B25" w14:paraId="1CA3C8B8"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E2B58E9" w14:textId="77777777" w:rsidR="00A10B25" w:rsidRDefault="00A10B25">
            <w:pPr>
              <w:pStyle w:val="TAL"/>
              <w:rPr>
                <w:lang w:val="en-US" w:eastAsia="zh-CN"/>
              </w:rPr>
            </w:pPr>
            <w:r>
              <w:rPr>
                <w:lang w:val="en-US" w:eastAsia="zh-CN"/>
              </w:rPr>
              <w:t>accThres</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FFEB7B0" w14:textId="77777777" w:rsidR="00A10B25" w:rsidRDefault="00A10B25">
            <w:pPr>
              <w:pStyle w:val="TAL"/>
              <w:rPr>
                <w:lang w:val="en-US" w:eastAsia="zh-CN"/>
              </w:rPr>
            </w:pPr>
            <w:r>
              <w:rPr>
                <w:lang w:val="en-US" w:eastAsia="zh-CN"/>
              </w:rPr>
              <w:t>Uinteger</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9D9D1FF"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45A159A"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EFB9959" w14:textId="77777777" w:rsidR="00A10B25" w:rsidRDefault="00A10B25">
            <w:pPr>
              <w:pStyle w:val="TAL"/>
              <w:rPr>
                <w:lang w:val="en-US" w:eastAsia="zh-CN"/>
              </w:rPr>
            </w:pPr>
            <w:r>
              <w:rPr>
                <w:lang w:val="en-US" w:eastAsia="zh-CN"/>
              </w:rPr>
              <w:t>The accuracy (precentage) threshold. The NWDAF is requested to report the location accuracy analytics when this threshold is crossed in the direction(s) indicated by the "accThresMatchDir" attribute.</w:t>
            </w:r>
          </w:p>
          <w:p w14:paraId="4536D475" w14:textId="77777777" w:rsidR="00A10B25" w:rsidRDefault="00A10B25">
            <w:pPr>
              <w:pStyle w:val="TAL"/>
              <w:rPr>
                <w:lang w:val="en-US" w:eastAsia="zh-CN"/>
              </w:rPr>
            </w:pPr>
            <w:r>
              <w:rPr>
                <w:lang w:val="en-US" w:eastAsia="zh-CN"/>
              </w:rPr>
              <w:t>Minimum = 1</w:t>
            </w:r>
          </w:p>
          <w:p w14:paraId="63816059" w14:textId="77777777" w:rsidR="00A10B25" w:rsidRDefault="00A10B25">
            <w:pPr>
              <w:pStyle w:val="TAL"/>
              <w:rPr>
                <w:lang w:val="en-US" w:eastAsia="zh-CN"/>
              </w:rPr>
            </w:pPr>
            <w:r>
              <w:rPr>
                <w:lang w:val="en-US" w:eastAsia="zh-CN"/>
              </w:rPr>
              <w:t>Maximum = 100</w:t>
            </w:r>
          </w:p>
        </w:tc>
        <w:tc>
          <w:tcPr>
            <w:tcW w:w="1347" w:type="dxa"/>
            <w:tcBorders>
              <w:top w:val="single" w:sz="6" w:space="0" w:color="auto"/>
              <w:left w:val="single" w:sz="6" w:space="0" w:color="auto"/>
              <w:bottom w:val="single" w:sz="6" w:space="0" w:color="auto"/>
              <w:right w:val="single" w:sz="6" w:space="0" w:color="auto"/>
            </w:tcBorders>
          </w:tcPr>
          <w:p w14:paraId="755A19FC" w14:textId="77777777" w:rsidR="00A10B25" w:rsidRDefault="00A10B25">
            <w:pPr>
              <w:pStyle w:val="TAL"/>
              <w:rPr>
                <w:lang w:val="en-US" w:eastAsia="zh-CN"/>
              </w:rPr>
            </w:pPr>
          </w:p>
        </w:tc>
      </w:tr>
      <w:tr w:rsidR="00A10B25" w14:paraId="1F3E67C5"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257EB2C" w14:textId="77777777" w:rsidR="00A10B25" w:rsidRDefault="00A10B25">
            <w:pPr>
              <w:pStyle w:val="TAL"/>
              <w:rPr>
                <w:lang w:val="en-US" w:eastAsia="zh-CN"/>
              </w:rPr>
            </w:pPr>
            <w:r>
              <w:rPr>
                <w:lang w:val="en-US" w:eastAsia="zh-CN"/>
              </w:rPr>
              <w:t>accThresMatchDir</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1E5D6E5" w14:textId="77777777" w:rsidR="00A10B25" w:rsidRDefault="00A10B25">
            <w:pPr>
              <w:pStyle w:val="TAL"/>
              <w:rPr>
                <w:lang w:val="en-US" w:eastAsia="zh-CN"/>
              </w:rPr>
            </w:pPr>
            <w:r>
              <w:rPr>
                <w:lang w:val="en-US" w:eastAsia="zh-CN"/>
              </w:rPr>
              <w:t>MatchingDirection</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971D5D9"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F25CAAF"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7DD8825" w14:textId="77777777" w:rsidR="00A10B25" w:rsidRDefault="00A10B25">
            <w:pPr>
              <w:pStyle w:val="TAL"/>
              <w:rPr>
                <w:lang w:val="en-US" w:eastAsia="zh-CN"/>
              </w:rPr>
            </w:pPr>
            <w:r>
              <w:rPr>
                <w:lang w:val="en-US" w:eastAsia="zh-CN"/>
              </w:rPr>
              <w:t>Matching direction for the accuracy threshold. It may only be provided if the "accThres" attribute is provided.</w:t>
            </w:r>
          </w:p>
        </w:tc>
        <w:tc>
          <w:tcPr>
            <w:tcW w:w="1347" w:type="dxa"/>
            <w:tcBorders>
              <w:top w:val="single" w:sz="6" w:space="0" w:color="auto"/>
              <w:left w:val="single" w:sz="6" w:space="0" w:color="auto"/>
              <w:bottom w:val="single" w:sz="6" w:space="0" w:color="auto"/>
              <w:right w:val="single" w:sz="6" w:space="0" w:color="auto"/>
            </w:tcBorders>
          </w:tcPr>
          <w:p w14:paraId="18BCD4DA" w14:textId="77777777" w:rsidR="00A10B25" w:rsidRDefault="00A10B25">
            <w:pPr>
              <w:pStyle w:val="TAL"/>
              <w:rPr>
                <w:lang w:val="en-US" w:eastAsia="zh-CN"/>
              </w:rPr>
            </w:pPr>
          </w:p>
        </w:tc>
      </w:tr>
      <w:tr w:rsidR="00A10B25" w14:paraId="0F563879"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81FA95D" w14:textId="77777777" w:rsidR="00A10B25" w:rsidRDefault="00A10B25">
            <w:pPr>
              <w:pStyle w:val="TAL"/>
              <w:rPr>
                <w:lang w:val="en-US" w:eastAsia="zh-CN"/>
              </w:rPr>
            </w:pPr>
            <w:r>
              <w:rPr>
                <w:lang w:val="en-US" w:eastAsia="zh-CN"/>
              </w:rPr>
              <w:t>inOutThres</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31B1227D" w14:textId="77777777" w:rsidR="00A10B25" w:rsidRDefault="00A10B25">
            <w:pPr>
              <w:pStyle w:val="TAL"/>
              <w:rPr>
                <w:lang w:val="en-US" w:eastAsia="zh-CN"/>
              </w:rPr>
            </w:pPr>
            <w:r>
              <w:rPr>
                <w:lang w:val="en-US" w:eastAsia="zh-CN"/>
              </w:rPr>
              <w:t>Uinteger</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384D6BF"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A2F4636"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2A563F4" w14:textId="77777777" w:rsidR="00A10B25" w:rsidRDefault="00A10B25">
            <w:pPr>
              <w:pStyle w:val="TAL"/>
              <w:rPr>
                <w:lang w:val="en-US" w:eastAsia="zh-CN"/>
              </w:rPr>
            </w:pPr>
            <w:r>
              <w:rPr>
                <w:lang w:val="en-US" w:eastAsia="zh-CN"/>
              </w:rPr>
              <w:t>Contains the threshold for the percentage of UEs that are indoors. It may only be provided in the subscription for a network area. The NWDAF is requested to report the location accuracy analytics when this threshold is crossed in the direction(s) indicated by the "inOutThresMatchDir" attribute.</w:t>
            </w:r>
          </w:p>
          <w:p w14:paraId="6DF8556A" w14:textId="77777777" w:rsidR="00A10B25" w:rsidRDefault="00A10B25">
            <w:pPr>
              <w:pStyle w:val="TAL"/>
              <w:rPr>
                <w:lang w:val="en-US" w:eastAsia="zh-CN"/>
              </w:rPr>
            </w:pPr>
            <w:r>
              <w:rPr>
                <w:lang w:val="en-US" w:eastAsia="zh-CN"/>
              </w:rPr>
              <w:t>Minimum = 1</w:t>
            </w:r>
          </w:p>
          <w:p w14:paraId="6AF1B22D" w14:textId="77777777" w:rsidR="00A10B25" w:rsidRDefault="00A10B25">
            <w:pPr>
              <w:pStyle w:val="TAL"/>
              <w:rPr>
                <w:lang w:val="en-US" w:eastAsia="zh-CN"/>
              </w:rPr>
            </w:pPr>
            <w:r>
              <w:rPr>
                <w:lang w:val="en-US" w:eastAsia="zh-CN"/>
              </w:rPr>
              <w:t>Maximum = 100</w:t>
            </w:r>
          </w:p>
          <w:p w14:paraId="554D4D20" w14:textId="77777777" w:rsidR="00A10B25" w:rsidRDefault="00A10B25">
            <w:pPr>
              <w:pStyle w:val="TAL"/>
              <w:rPr>
                <w:lang w:val="en-US" w:eastAsia="zh-CN"/>
              </w:rPr>
            </w:pPr>
            <w:r>
              <w:rPr>
                <w:lang w:val="en-US" w:eastAsia="zh-CN"/>
              </w:rPr>
              <w:t>(NOTE)</w:t>
            </w:r>
          </w:p>
        </w:tc>
        <w:tc>
          <w:tcPr>
            <w:tcW w:w="1347" w:type="dxa"/>
            <w:tcBorders>
              <w:top w:val="single" w:sz="6" w:space="0" w:color="auto"/>
              <w:left w:val="single" w:sz="6" w:space="0" w:color="auto"/>
              <w:bottom w:val="single" w:sz="6" w:space="0" w:color="auto"/>
              <w:right w:val="single" w:sz="6" w:space="0" w:color="auto"/>
            </w:tcBorders>
          </w:tcPr>
          <w:p w14:paraId="1194AA4E" w14:textId="77777777" w:rsidR="00A10B25" w:rsidRDefault="00A10B25">
            <w:pPr>
              <w:pStyle w:val="TAL"/>
              <w:rPr>
                <w:lang w:val="en-US" w:eastAsia="zh-CN"/>
              </w:rPr>
            </w:pPr>
          </w:p>
        </w:tc>
      </w:tr>
      <w:tr w:rsidR="00A10B25" w14:paraId="501C43F5"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79C12E07" w14:textId="77777777" w:rsidR="00A10B25" w:rsidRDefault="00A10B25">
            <w:pPr>
              <w:pStyle w:val="TAL"/>
              <w:rPr>
                <w:lang w:val="en-US" w:eastAsia="zh-CN"/>
              </w:rPr>
            </w:pPr>
            <w:r>
              <w:rPr>
                <w:lang w:val="en-US" w:eastAsia="zh-CN"/>
              </w:rPr>
              <w:t>inOutThresMatchDir</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30FCBF7" w14:textId="77777777" w:rsidR="00A10B25" w:rsidRDefault="00A10B25">
            <w:pPr>
              <w:pStyle w:val="TAL"/>
              <w:rPr>
                <w:lang w:val="en-US" w:eastAsia="zh-CN"/>
              </w:rPr>
            </w:pPr>
            <w:r>
              <w:rPr>
                <w:lang w:val="en-US" w:eastAsia="zh-CN"/>
              </w:rPr>
              <w:t>MatchingDirection</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0107B4E"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3571822" w14:textId="77777777" w:rsidR="00A10B25" w:rsidRDefault="00A10B25">
            <w:pPr>
              <w:pStyle w:val="TAL"/>
              <w:rPr>
                <w:lang w:val="en-US" w:eastAsia="zh-CN"/>
              </w:rPr>
            </w:pPr>
            <w:r>
              <w:rPr>
                <w:lang w:val="en-US" w:eastAsia="zh-CN"/>
              </w:rPr>
              <w:t>0..1</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F45B50F" w14:textId="77777777" w:rsidR="00A10B25" w:rsidRDefault="00A10B25">
            <w:pPr>
              <w:pStyle w:val="TAL"/>
              <w:rPr>
                <w:lang w:val="en-US" w:eastAsia="zh-CN"/>
              </w:rPr>
            </w:pPr>
            <w:r>
              <w:rPr>
                <w:lang w:val="en-US" w:eastAsia="zh-CN"/>
              </w:rPr>
              <w:t>Matching direction for the indoor/outdoor UEs percentage threshold. It may only be provided if the "inOutThres" attribute is provided.</w:t>
            </w:r>
          </w:p>
          <w:p w14:paraId="503FB8B8" w14:textId="77777777" w:rsidR="00A10B25" w:rsidRDefault="00A10B25">
            <w:pPr>
              <w:pStyle w:val="TAL"/>
              <w:rPr>
                <w:lang w:val="en-US" w:eastAsia="zh-CN"/>
              </w:rPr>
            </w:pPr>
            <w:r>
              <w:rPr>
                <w:lang w:val="en-US" w:eastAsia="zh-CN"/>
              </w:rPr>
              <w:t>(NOTE)</w:t>
            </w:r>
          </w:p>
        </w:tc>
        <w:tc>
          <w:tcPr>
            <w:tcW w:w="1347" w:type="dxa"/>
            <w:tcBorders>
              <w:top w:val="single" w:sz="6" w:space="0" w:color="auto"/>
              <w:left w:val="single" w:sz="6" w:space="0" w:color="auto"/>
              <w:bottom w:val="single" w:sz="6" w:space="0" w:color="auto"/>
              <w:right w:val="single" w:sz="6" w:space="0" w:color="auto"/>
            </w:tcBorders>
          </w:tcPr>
          <w:p w14:paraId="379E547E" w14:textId="77777777" w:rsidR="00A10B25" w:rsidRDefault="00A10B25">
            <w:pPr>
              <w:pStyle w:val="TAL"/>
              <w:rPr>
                <w:lang w:val="en-US" w:eastAsia="zh-CN"/>
              </w:rPr>
            </w:pPr>
          </w:p>
        </w:tc>
      </w:tr>
      <w:tr w:rsidR="00A10B25" w14:paraId="1C627E20" w14:textId="77777777" w:rsidTr="0076721C">
        <w:trPr>
          <w:jc w:val="center"/>
        </w:trPr>
        <w:tc>
          <w:tcPr>
            <w:tcW w:w="1993"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6767F434" w14:textId="77777777" w:rsidR="00A10B25" w:rsidRDefault="00A10B25">
            <w:pPr>
              <w:pStyle w:val="TAL"/>
              <w:rPr>
                <w:lang w:val="en-US" w:eastAsia="zh-CN"/>
              </w:rPr>
            </w:pPr>
            <w:r>
              <w:rPr>
                <w:lang w:val="en-US" w:eastAsia="zh-CN"/>
              </w:rPr>
              <w:t>posMethod</w:t>
            </w:r>
          </w:p>
        </w:tc>
        <w:tc>
          <w:tcPr>
            <w:tcW w:w="2469"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1A1065CE" w14:textId="77777777" w:rsidR="00A10B25" w:rsidRDefault="00A10B25">
            <w:pPr>
              <w:pStyle w:val="TAL"/>
              <w:rPr>
                <w:lang w:val="en-US" w:eastAsia="zh-CN"/>
              </w:rPr>
            </w:pPr>
            <w:r>
              <w:rPr>
                <w:lang w:val="en-US" w:eastAsia="zh-CN"/>
              </w:rPr>
              <w:t>PositioningMethod</w:t>
            </w:r>
          </w:p>
        </w:tc>
        <w:tc>
          <w:tcPr>
            <w:tcW w:w="334"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21E4D6E" w14:textId="77777777" w:rsidR="00A10B25" w:rsidRDefault="00A10B25">
            <w:pPr>
              <w:pStyle w:val="TAC"/>
              <w:rPr>
                <w:lang w:val="en-US" w:eastAsia="zh-CN"/>
              </w:rPr>
            </w:pPr>
            <w:r>
              <w:rPr>
                <w:lang w:val="en-US" w:eastAsia="zh-CN"/>
              </w:rPr>
              <w:t>O</w:t>
            </w:r>
          </w:p>
        </w:tc>
        <w:tc>
          <w:tcPr>
            <w:tcW w:w="107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5F8D3446" w14:textId="77777777" w:rsidR="00A10B25" w:rsidRDefault="00A10B25">
            <w:pPr>
              <w:pStyle w:val="TAL"/>
              <w:rPr>
                <w:lang w:val="en-US" w:eastAsia="zh-CN"/>
              </w:rPr>
            </w:pPr>
            <w:r>
              <w:rPr>
                <w:lang w:val="en-US" w:eastAsia="zh-CN"/>
              </w:rPr>
              <w:t>1..N</w:t>
            </w:r>
          </w:p>
        </w:tc>
        <w:tc>
          <w:tcPr>
            <w:tcW w:w="2398" w:type="dxa"/>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471B4DEE" w14:textId="77777777" w:rsidR="00A10B25" w:rsidRDefault="00A10B25">
            <w:pPr>
              <w:pStyle w:val="TAL"/>
              <w:rPr>
                <w:lang w:val="en-US" w:eastAsia="zh-CN"/>
              </w:rPr>
            </w:pPr>
            <w:r>
              <w:rPr>
                <w:lang w:val="en-US" w:eastAsia="zh-CN"/>
              </w:rPr>
              <w:t>List of used positioning methods for which the NF service consumer wants to receive analytics.</w:t>
            </w:r>
          </w:p>
        </w:tc>
        <w:tc>
          <w:tcPr>
            <w:tcW w:w="1347" w:type="dxa"/>
            <w:tcBorders>
              <w:top w:val="single" w:sz="6" w:space="0" w:color="auto"/>
              <w:left w:val="single" w:sz="6" w:space="0" w:color="auto"/>
              <w:bottom w:val="single" w:sz="6" w:space="0" w:color="auto"/>
              <w:right w:val="single" w:sz="6" w:space="0" w:color="auto"/>
            </w:tcBorders>
          </w:tcPr>
          <w:p w14:paraId="7D896E89" w14:textId="77777777" w:rsidR="00A10B25" w:rsidRDefault="00A10B25">
            <w:pPr>
              <w:pStyle w:val="TAL"/>
              <w:rPr>
                <w:lang w:val="en-US" w:eastAsia="zh-CN"/>
              </w:rPr>
            </w:pPr>
          </w:p>
        </w:tc>
      </w:tr>
      <w:tr w:rsidR="00A10B25" w14:paraId="0C80FE08" w14:textId="77777777" w:rsidTr="0076721C">
        <w:trPr>
          <w:jc w:val="center"/>
        </w:trPr>
        <w:tc>
          <w:tcPr>
            <w:tcW w:w="9619" w:type="dxa"/>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08" w:type="dxa"/>
            </w:tcMar>
          </w:tcPr>
          <w:p w14:paraId="098D4AF3" w14:textId="77777777" w:rsidR="00A10B25" w:rsidRDefault="00A10B25">
            <w:pPr>
              <w:pStyle w:val="TAN"/>
              <w:rPr>
                <w:lang w:val="en-US" w:eastAsia="zh-CN"/>
              </w:rPr>
            </w:pPr>
            <w:r>
              <w:rPr>
                <w:lang w:val="en-US" w:eastAsia="zh-CN"/>
              </w:rPr>
              <w:t>NOTE:</w:t>
            </w:r>
            <w:r>
              <w:rPr>
                <w:lang w:val="en-US" w:eastAsia="zh-CN"/>
              </w:rPr>
              <w:tab/>
              <w:t>The attributes "inOutThres" and "inOutThresMatchDir" can be used to express the threshold and matching direction for the percentage of UEs that are outdoors since the percentage of outdoor UEs is equal to 100 minus the percentage of indoor UEs.</w:t>
            </w:r>
          </w:p>
        </w:tc>
      </w:tr>
    </w:tbl>
    <w:p w14:paraId="4B9E43C2" w14:textId="77777777" w:rsidR="00A10B25" w:rsidRDefault="00A10B25">
      <w:pPr>
        <w:rPr>
          <w:rFonts w:eastAsia="等线"/>
        </w:rPr>
      </w:pPr>
    </w:p>
    <w:p w14:paraId="119A54ED" w14:textId="77777777" w:rsidR="00D654A6" w:rsidRDefault="00D654A6" w:rsidP="00D654A6">
      <w:pPr>
        <w:pStyle w:val="5"/>
      </w:pPr>
      <w:bookmarkStart w:id="8162" w:name="_Toc164920871"/>
      <w:bookmarkStart w:id="8163" w:name="_Toc170120413"/>
      <w:bookmarkStart w:id="8164" w:name="_Toc175858658"/>
      <w:bookmarkStart w:id="8165" w:name="_Toc175859731"/>
      <w:bookmarkStart w:id="8166" w:name="_Toc180606021"/>
      <w:bookmarkStart w:id="8167" w:name="_Toc185517275"/>
      <w:bookmarkStart w:id="8168" w:name="_Toc191576326"/>
      <w:bookmarkStart w:id="8169" w:name="_Toc191577066"/>
      <w:bookmarkStart w:id="8170" w:name="_Toc192880136"/>
      <w:bookmarkStart w:id="8171" w:name="_Toc195815019"/>
      <w:bookmarkStart w:id="8172" w:name="_Toc199452986"/>
      <w:r>
        <w:lastRenderedPageBreak/>
        <w:t>5.1.6.2.97</w:t>
      </w:r>
      <w:r>
        <w:tab/>
        <w:t>Type LocAccuracyInfo</w:t>
      </w:r>
      <w:bookmarkEnd w:id="8162"/>
      <w:bookmarkEnd w:id="8163"/>
      <w:bookmarkEnd w:id="8164"/>
      <w:bookmarkEnd w:id="8165"/>
      <w:bookmarkEnd w:id="8166"/>
      <w:bookmarkEnd w:id="8167"/>
      <w:bookmarkEnd w:id="8168"/>
      <w:bookmarkEnd w:id="8169"/>
      <w:bookmarkEnd w:id="8170"/>
      <w:bookmarkEnd w:id="8171"/>
      <w:bookmarkEnd w:id="8172"/>
    </w:p>
    <w:p w14:paraId="68B8CDB4" w14:textId="77777777" w:rsidR="00D654A6" w:rsidRDefault="00D654A6" w:rsidP="00D654A6">
      <w:pPr>
        <w:pStyle w:val="TH"/>
      </w:pPr>
      <w:r>
        <w:t>Table 5.1.6.2.97-1: Definition of type LocAccuracyInfo</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29"/>
        <w:gridCol w:w="2694"/>
        <w:gridCol w:w="335"/>
        <w:gridCol w:w="1078"/>
        <w:gridCol w:w="2288"/>
        <w:gridCol w:w="1265"/>
      </w:tblGrid>
      <w:tr w:rsidR="00D654A6" w14:paraId="2460AE21" w14:textId="77777777" w:rsidTr="005A20DD">
        <w:trPr>
          <w:jc w:val="center"/>
        </w:trPr>
        <w:tc>
          <w:tcPr>
            <w:tcW w:w="1929" w:type="dxa"/>
            <w:shd w:val="clear" w:color="auto" w:fill="C0C0C0"/>
            <w:tcMar>
              <w:top w:w="0" w:type="dxa"/>
              <w:left w:w="28" w:type="dxa"/>
              <w:bottom w:w="0" w:type="dxa"/>
              <w:right w:w="108" w:type="dxa"/>
            </w:tcMar>
          </w:tcPr>
          <w:p w14:paraId="14B868C8" w14:textId="77777777" w:rsidR="00D654A6" w:rsidRDefault="00D654A6" w:rsidP="005A20DD">
            <w:pPr>
              <w:pStyle w:val="TAH"/>
              <w:ind w:left="400" w:hanging="400"/>
              <w:rPr>
                <w:lang w:val="en-US" w:eastAsia="zh-CN"/>
              </w:rPr>
            </w:pPr>
            <w:r>
              <w:rPr>
                <w:color w:val="000000"/>
                <w:lang w:val="en-US" w:eastAsia="zh-CN"/>
              </w:rPr>
              <w:t>Attribute name</w:t>
            </w:r>
          </w:p>
        </w:tc>
        <w:tc>
          <w:tcPr>
            <w:tcW w:w="2694" w:type="dxa"/>
            <w:shd w:val="clear" w:color="auto" w:fill="C0C0C0"/>
            <w:tcMar>
              <w:top w:w="0" w:type="dxa"/>
              <w:left w:w="28" w:type="dxa"/>
              <w:bottom w:w="0" w:type="dxa"/>
              <w:right w:w="108" w:type="dxa"/>
            </w:tcMar>
          </w:tcPr>
          <w:p w14:paraId="019873D6" w14:textId="77777777" w:rsidR="00D654A6" w:rsidRDefault="00D654A6" w:rsidP="005A20DD">
            <w:pPr>
              <w:pStyle w:val="TAH"/>
              <w:ind w:left="400" w:hanging="400"/>
              <w:rPr>
                <w:lang w:val="en-US" w:eastAsia="zh-CN"/>
              </w:rPr>
            </w:pPr>
            <w:r>
              <w:rPr>
                <w:color w:val="000000"/>
                <w:lang w:val="en-US" w:eastAsia="zh-CN"/>
              </w:rPr>
              <w:t>Data type</w:t>
            </w:r>
          </w:p>
        </w:tc>
        <w:tc>
          <w:tcPr>
            <w:tcW w:w="335" w:type="dxa"/>
            <w:shd w:val="clear" w:color="auto" w:fill="C0C0C0"/>
            <w:tcMar>
              <w:top w:w="0" w:type="dxa"/>
              <w:left w:w="28" w:type="dxa"/>
              <w:bottom w:w="0" w:type="dxa"/>
              <w:right w:w="108" w:type="dxa"/>
            </w:tcMar>
          </w:tcPr>
          <w:p w14:paraId="50A08E8A" w14:textId="77777777" w:rsidR="00D654A6" w:rsidRDefault="00D654A6" w:rsidP="005A20DD">
            <w:pPr>
              <w:pStyle w:val="TAH"/>
              <w:ind w:left="400" w:hanging="400"/>
              <w:rPr>
                <w:lang w:val="en-US" w:eastAsia="zh-CN"/>
              </w:rPr>
            </w:pPr>
            <w:r>
              <w:rPr>
                <w:color w:val="000000"/>
                <w:lang w:val="en-US" w:eastAsia="zh-CN"/>
              </w:rPr>
              <w:t>P</w:t>
            </w:r>
          </w:p>
        </w:tc>
        <w:tc>
          <w:tcPr>
            <w:tcW w:w="1078" w:type="dxa"/>
            <w:shd w:val="clear" w:color="auto" w:fill="C0C0C0"/>
            <w:tcMar>
              <w:top w:w="0" w:type="dxa"/>
              <w:left w:w="28" w:type="dxa"/>
              <w:bottom w:w="0" w:type="dxa"/>
              <w:right w:w="108" w:type="dxa"/>
            </w:tcMar>
          </w:tcPr>
          <w:p w14:paraId="3A892E02" w14:textId="77777777" w:rsidR="00D654A6" w:rsidRDefault="00D654A6" w:rsidP="005A20DD">
            <w:pPr>
              <w:pStyle w:val="TAH"/>
              <w:ind w:left="400" w:hanging="400"/>
              <w:rPr>
                <w:lang w:val="en-US" w:eastAsia="zh-CN"/>
              </w:rPr>
            </w:pPr>
            <w:r>
              <w:rPr>
                <w:color w:val="000000"/>
                <w:lang w:val="en-US" w:eastAsia="zh-CN"/>
              </w:rPr>
              <w:t>Cardinality</w:t>
            </w:r>
          </w:p>
        </w:tc>
        <w:tc>
          <w:tcPr>
            <w:tcW w:w="2288" w:type="dxa"/>
            <w:shd w:val="clear" w:color="auto" w:fill="C0C0C0"/>
            <w:tcMar>
              <w:top w:w="0" w:type="dxa"/>
              <w:left w:w="28" w:type="dxa"/>
              <w:bottom w:w="0" w:type="dxa"/>
              <w:right w:w="108" w:type="dxa"/>
            </w:tcMar>
          </w:tcPr>
          <w:p w14:paraId="3BB6DAEB" w14:textId="77777777" w:rsidR="00D654A6" w:rsidRDefault="00D654A6" w:rsidP="005A20DD">
            <w:pPr>
              <w:pStyle w:val="TAH"/>
              <w:ind w:left="400" w:hanging="400"/>
              <w:rPr>
                <w:lang w:val="en-US" w:eastAsia="zh-CN"/>
              </w:rPr>
            </w:pPr>
            <w:r>
              <w:rPr>
                <w:color w:val="000000"/>
                <w:lang w:val="en-US" w:eastAsia="zh-CN"/>
              </w:rPr>
              <w:t>Description</w:t>
            </w:r>
          </w:p>
        </w:tc>
        <w:tc>
          <w:tcPr>
            <w:tcW w:w="1265" w:type="dxa"/>
            <w:shd w:val="clear" w:color="auto" w:fill="C0C0C0"/>
          </w:tcPr>
          <w:p w14:paraId="70F93B31" w14:textId="77777777" w:rsidR="00D654A6" w:rsidRDefault="00D654A6" w:rsidP="005A20DD">
            <w:pPr>
              <w:pStyle w:val="TAH"/>
              <w:ind w:left="400" w:hanging="400"/>
              <w:rPr>
                <w:color w:val="000000"/>
                <w:lang w:val="en-US" w:eastAsia="zh-CN"/>
              </w:rPr>
            </w:pPr>
            <w:r>
              <w:rPr>
                <w:color w:val="000000"/>
                <w:lang w:val="en-US" w:eastAsia="zh-CN"/>
              </w:rPr>
              <w:t>Applicability</w:t>
            </w:r>
          </w:p>
        </w:tc>
      </w:tr>
      <w:tr w:rsidR="00D654A6" w14:paraId="7F8A4D2B" w14:textId="77777777" w:rsidTr="005A20DD">
        <w:trPr>
          <w:jc w:val="center"/>
        </w:trPr>
        <w:tc>
          <w:tcPr>
            <w:tcW w:w="1929" w:type="dxa"/>
            <w:tcMar>
              <w:top w:w="0" w:type="dxa"/>
              <w:left w:w="28" w:type="dxa"/>
              <w:bottom w:w="0" w:type="dxa"/>
              <w:right w:w="108" w:type="dxa"/>
            </w:tcMar>
          </w:tcPr>
          <w:p w14:paraId="2C04EE0C" w14:textId="77777777" w:rsidR="00D654A6" w:rsidRDefault="00D654A6" w:rsidP="005A20DD">
            <w:pPr>
              <w:pStyle w:val="TAL"/>
              <w:rPr>
                <w:lang w:val="en-US" w:eastAsia="zh-CN"/>
              </w:rPr>
            </w:pPr>
            <w:r>
              <w:rPr>
                <w:lang w:val="en-US" w:eastAsia="zh-CN"/>
              </w:rPr>
              <w:t>locAccPerMeths</w:t>
            </w:r>
          </w:p>
        </w:tc>
        <w:tc>
          <w:tcPr>
            <w:tcW w:w="2694" w:type="dxa"/>
            <w:tcMar>
              <w:top w:w="0" w:type="dxa"/>
              <w:left w:w="28" w:type="dxa"/>
              <w:bottom w:w="0" w:type="dxa"/>
              <w:right w:w="108" w:type="dxa"/>
            </w:tcMar>
          </w:tcPr>
          <w:p w14:paraId="542D15D4" w14:textId="77777777" w:rsidR="00D654A6" w:rsidRDefault="00D654A6" w:rsidP="005A20DD">
            <w:pPr>
              <w:pStyle w:val="TAL"/>
              <w:rPr>
                <w:lang w:val="en-US" w:eastAsia="zh-CN"/>
              </w:rPr>
            </w:pPr>
            <w:r>
              <w:rPr>
                <w:lang w:val="en-US" w:eastAsia="zh-CN"/>
              </w:rPr>
              <w:t>array(LocAccuracyPerMethod)</w:t>
            </w:r>
          </w:p>
        </w:tc>
        <w:tc>
          <w:tcPr>
            <w:tcW w:w="335" w:type="dxa"/>
            <w:tcMar>
              <w:top w:w="0" w:type="dxa"/>
              <w:left w:w="28" w:type="dxa"/>
              <w:bottom w:w="0" w:type="dxa"/>
              <w:right w:w="108" w:type="dxa"/>
            </w:tcMar>
          </w:tcPr>
          <w:p w14:paraId="60AB4D31" w14:textId="77777777" w:rsidR="00D654A6" w:rsidRDefault="00D654A6" w:rsidP="005A20DD">
            <w:pPr>
              <w:pStyle w:val="TAC"/>
              <w:rPr>
                <w:lang w:val="en-US" w:eastAsia="zh-CN"/>
              </w:rPr>
            </w:pPr>
            <w:r>
              <w:rPr>
                <w:lang w:val="en-US" w:eastAsia="zh-CN"/>
              </w:rPr>
              <w:t>M</w:t>
            </w:r>
          </w:p>
        </w:tc>
        <w:tc>
          <w:tcPr>
            <w:tcW w:w="1078" w:type="dxa"/>
            <w:tcMar>
              <w:top w:w="0" w:type="dxa"/>
              <w:left w:w="28" w:type="dxa"/>
              <w:bottom w:w="0" w:type="dxa"/>
              <w:right w:w="108" w:type="dxa"/>
            </w:tcMar>
          </w:tcPr>
          <w:p w14:paraId="26BD2F36" w14:textId="77777777" w:rsidR="00D654A6" w:rsidRDefault="00D654A6" w:rsidP="005A20DD">
            <w:pPr>
              <w:pStyle w:val="TAL"/>
              <w:rPr>
                <w:lang w:val="en-US" w:eastAsia="zh-CN"/>
              </w:rPr>
            </w:pPr>
            <w:r>
              <w:rPr>
                <w:lang w:val="en-US" w:eastAsia="zh-CN"/>
              </w:rPr>
              <w:t>1..N</w:t>
            </w:r>
          </w:p>
        </w:tc>
        <w:tc>
          <w:tcPr>
            <w:tcW w:w="2288" w:type="dxa"/>
            <w:tcMar>
              <w:top w:w="0" w:type="dxa"/>
              <w:left w:w="28" w:type="dxa"/>
              <w:bottom w:w="0" w:type="dxa"/>
              <w:right w:w="108" w:type="dxa"/>
            </w:tcMar>
          </w:tcPr>
          <w:p w14:paraId="42C8FF5C" w14:textId="77777777" w:rsidR="00D654A6" w:rsidRDefault="00D654A6" w:rsidP="005A20DD">
            <w:pPr>
              <w:pStyle w:val="TAL"/>
              <w:rPr>
                <w:lang w:val="en-US" w:eastAsia="zh-CN"/>
              </w:rPr>
            </w:pPr>
            <w:r>
              <w:rPr>
                <w:lang w:val="en-US" w:eastAsia="zh-CN"/>
              </w:rPr>
              <w:t>Location accuracy information per positioning method.</w:t>
            </w:r>
          </w:p>
        </w:tc>
        <w:tc>
          <w:tcPr>
            <w:tcW w:w="1265" w:type="dxa"/>
          </w:tcPr>
          <w:p w14:paraId="33F956F9" w14:textId="77777777" w:rsidR="00D654A6" w:rsidRDefault="00D654A6" w:rsidP="005A20DD">
            <w:pPr>
              <w:pStyle w:val="TAL"/>
              <w:rPr>
                <w:lang w:val="en-US" w:eastAsia="zh-CN"/>
              </w:rPr>
            </w:pPr>
          </w:p>
        </w:tc>
      </w:tr>
      <w:tr w:rsidR="00D654A6" w14:paraId="219A3349" w14:textId="77777777" w:rsidTr="005A20DD">
        <w:trPr>
          <w:jc w:val="center"/>
        </w:trPr>
        <w:tc>
          <w:tcPr>
            <w:tcW w:w="1929" w:type="dxa"/>
            <w:tcMar>
              <w:top w:w="0" w:type="dxa"/>
              <w:left w:w="28" w:type="dxa"/>
              <w:bottom w:w="0" w:type="dxa"/>
              <w:right w:w="108" w:type="dxa"/>
            </w:tcMar>
          </w:tcPr>
          <w:p w14:paraId="77BF6C18" w14:textId="77777777" w:rsidR="00D654A6" w:rsidRDefault="00D654A6" w:rsidP="005A20DD">
            <w:pPr>
              <w:pStyle w:val="TAL"/>
              <w:rPr>
                <w:lang w:val="en-US" w:eastAsia="zh-CN"/>
              </w:rPr>
            </w:pPr>
            <w:r>
              <w:rPr>
                <w:lang w:val="en-US" w:eastAsia="zh-CN"/>
              </w:rPr>
              <w:t>inOutUePct</w:t>
            </w:r>
          </w:p>
        </w:tc>
        <w:tc>
          <w:tcPr>
            <w:tcW w:w="2694" w:type="dxa"/>
            <w:tcMar>
              <w:top w:w="0" w:type="dxa"/>
              <w:left w:w="28" w:type="dxa"/>
              <w:bottom w:w="0" w:type="dxa"/>
              <w:right w:w="108" w:type="dxa"/>
            </w:tcMar>
          </w:tcPr>
          <w:p w14:paraId="05A2D021" w14:textId="77777777" w:rsidR="00D654A6" w:rsidRDefault="00D654A6" w:rsidP="005A20DD">
            <w:pPr>
              <w:pStyle w:val="TAL"/>
              <w:rPr>
                <w:lang w:val="en-US" w:eastAsia="zh-CN"/>
              </w:rPr>
            </w:pPr>
            <w:r>
              <w:rPr>
                <w:lang w:val="en-US" w:eastAsia="zh-CN"/>
              </w:rPr>
              <w:t>Uinteger</w:t>
            </w:r>
          </w:p>
        </w:tc>
        <w:tc>
          <w:tcPr>
            <w:tcW w:w="335" w:type="dxa"/>
            <w:tcMar>
              <w:top w:w="0" w:type="dxa"/>
              <w:left w:w="28" w:type="dxa"/>
              <w:bottom w:w="0" w:type="dxa"/>
              <w:right w:w="108" w:type="dxa"/>
            </w:tcMar>
          </w:tcPr>
          <w:p w14:paraId="52173BC2" w14:textId="77777777" w:rsidR="00D654A6" w:rsidRDefault="00D654A6" w:rsidP="005A20DD">
            <w:pPr>
              <w:pStyle w:val="TAC"/>
              <w:rPr>
                <w:lang w:val="en-US" w:eastAsia="zh-CN"/>
              </w:rPr>
            </w:pPr>
            <w:r>
              <w:rPr>
                <w:lang w:val="en-US" w:eastAsia="zh-CN"/>
              </w:rPr>
              <w:t>C</w:t>
            </w:r>
          </w:p>
        </w:tc>
        <w:tc>
          <w:tcPr>
            <w:tcW w:w="1078" w:type="dxa"/>
            <w:tcMar>
              <w:top w:w="0" w:type="dxa"/>
              <w:left w:w="28" w:type="dxa"/>
              <w:bottom w:w="0" w:type="dxa"/>
              <w:right w:w="108" w:type="dxa"/>
            </w:tcMar>
          </w:tcPr>
          <w:p w14:paraId="605C5D0A" w14:textId="77777777" w:rsidR="00D654A6" w:rsidRDefault="00D654A6" w:rsidP="005A20DD">
            <w:pPr>
              <w:pStyle w:val="TAL"/>
              <w:rPr>
                <w:lang w:val="en-US" w:eastAsia="zh-CN"/>
              </w:rPr>
            </w:pPr>
            <w:r>
              <w:rPr>
                <w:lang w:val="en-US" w:eastAsia="zh-CN"/>
              </w:rPr>
              <w:t>0..1</w:t>
            </w:r>
          </w:p>
        </w:tc>
        <w:tc>
          <w:tcPr>
            <w:tcW w:w="2288" w:type="dxa"/>
            <w:tcMar>
              <w:top w:w="0" w:type="dxa"/>
              <w:left w:w="28" w:type="dxa"/>
              <w:bottom w:w="0" w:type="dxa"/>
              <w:right w:w="108" w:type="dxa"/>
            </w:tcMar>
          </w:tcPr>
          <w:p w14:paraId="526A211F" w14:textId="77777777" w:rsidR="00D654A6" w:rsidRDefault="00D654A6" w:rsidP="005A20DD">
            <w:pPr>
              <w:pStyle w:val="TAL"/>
            </w:pPr>
            <w:r>
              <w:t>Contains the percentage of UEs that are indoors in the applicable area.</w:t>
            </w:r>
          </w:p>
          <w:p w14:paraId="4C858FF5" w14:textId="77777777" w:rsidR="00D654A6" w:rsidRDefault="00D654A6" w:rsidP="005A20DD">
            <w:pPr>
              <w:pStyle w:val="TAL"/>
              <w:rPr>
                <w:lang w:val="en-US"/>
              </w:rPr>
            </w:pPr>
            <w:r>
              <w:t>It shall be provided if the subscription was targeting a network area and the "</w:t>
            </w:r>
            <w:r>
              <w:rPr>
                <w:lang w:val="en-US"/>
              </w:rPr>
              <w:t>IN_OUT_PERCENT" analytics subset was requested.</w:t>
            </w:r>
          </w:p>
          <w:p w14:paraId="3AF080D9" w14:textId="77777777" w:rsidR="00D654A6" w:rsidRDefault="00D654A6" w:rsidP="005A20DD">
            <w:pPr>
              <w:pStyle w:val="TAL"/>
              <w:rPr>
                <w:lang w:val="en-US"/>
              </w:rPr>
            </w:pPr>
            <w:r>
              <w:rPr>
                <w:lang w:val="en-US"/>
              </w:rPr>
              <w:t>Minimum value = 0</w:t>
            </w:r>
          </w:p>
          <w:p w14:paraId="378BCC51" w14:textId="77777777" w:rsidR="00D654A6" w:rsidRDefault="00D654A6" w:rsidP="005A20DD">
            <w:pPr>
              <w:pStyle w:val="TAL"/>
              <w:rPr>
                <w:lang w:val="en-US"/>
              </w:rPr>
            </w:pPr>
            <w:r>
              <w:rPr>
                <w:lang w:val="en-US"/>
              </w:rPr>
              <w:t>Maximum value = 100</w:t>
            </w:r>
          </w:p>
          <w:p w14:paraId="0929FDD8" w14:textId="77777777" w:rsidR="00D654A6" w:rsidRDefault="00D654A6" w:rsidP="005A20DD">
            <w:pPr>
              <w:pStyle w:val="TAL"/>
              <w:rPr>
                <w:lang w:val="en-US" w:eastAsia="zh-CN"/>
              </w:rPr>
            </w:pPr>
            <w:r>
              <w:rPr>
                <w:lang w:val="en-US"/>
              </w:rPr>
              <w:t>(NOTE 1)(NOTE 2)</w:t>
            </w:r>
          </w:p>
        </w:tc>
        <w:tc>
          <w:tcPr>
            <w:tcW w:w="1265" w:type="dxa"/>
          </w:tcPr>
          <w:p w14:paraId="2AFC06B6" w14:textId="77777777" w:rsidR="00D654A6" w:rsidRDefault="00D654A6" w:rsidP="005A20DD">
            <w:pPr>
              <w:pStyle w:val="TAL"/>
            </w:pPr>
          </w:p>
        </w:tc>
      </w:tr>
      <w:tr w:rsidR="00D654A6" w14:paraId="355E840F" w14:textId="77777777" w:rsidTr="005A20DD">
        <w:trPr>
          <w:jc w:val="center"/>
        </w:trPr>
        <w:tc>
          <w:tcPr>
            <w:tcW w:w="1929" w:type="dxa"/>
            <w:tcMar>
              <w:top w:w="0" w:type="dxa"/>
              <w:left w:w="28" w:type="dxa"/>
              <w:bottom w:w="0" w:type="dxa"/>
              <w:right w:w="108" w:type="dxa"/>
            </w:tcMar>
          </w:tcPr>
          <w:p w14:paraId="33AE2FB8" w14:textId="77777777" w:rsidR="00D654A6" w:rsidRDefault="00D654A6" w:rsidP="005A20DD">
            <w:pPr>
              <w:pStyle w:val="TAL"/>
              <w:rPr>
                <w:lang w:val="en-US" w:eastAsia="zh-CN"/>
              </w:rPr>
            </w:pPr>
            <w:r>
              <w:rPr>
                <w:lang w:val="en-US" w:eastAsia="zh-CN"/>
              </w:rPr>
              <w:t>inOutInd</w:t>
            </w:r>
          </w:p>
        </w:tc>
        <w:tc>
          <w:tcPr>
            <w:tcW w:w="2694" w:type="dxa"/>
            <w:tcMar>
              <w:top w:w="0" w:type="dxa"/>
              <w:left w:w="28" w:type="dxa"/>
              <w:bottom w:w="0" w:type="dxa"/>
              <w:right w:w="108" w:type="dxa"/>
            </w:tcMar>
          </w:tcPr>
          <w:p w14:paraId="3C696229" w14:textId="77777777" w:rsidR="00D654A6" w:rsidRDefault="00D654A6" w:rsidP="005A20DD">
            <w:pPr>
              <w:pStyle w:val="TAL"/>
              <w:rPr>
                <w:lang w:val="en-US" w:eastAsia="zh-CN"/>
              </w:rPr>
            </w:pPr>
            <w:r>
              <w:rPr>
                <w:lang w:val="en-US" w:eastAsia="zh-CN"/>
              </w:rPr>
              <w:t>boolean</w:t>
            </w:r>
          </w:p>
        </w:tc>
        <w:tc>
          <w:tcPr>
            <w:tcW w:w="335" w:type="dxa"/>
            <w:tcMar>
              <w:top w:w="0" w:type="dxa"/>
              <w:left w:w="28" w:type="dxa"/>
              <w:bottom w:w="0" w:type="dxa"/>
              <w:right w:w="108" w:type="dxa"/>
            </w:tcMar>
          </w:tcPr>
          <w:p w14:paraId="31E7A134" w14:textId="77777777" w:rsidR="00D654A6" w:rsidRDefault="00D654A6" w:rsidP="005A20DD">
            <w:pPr>
              <w:pStyle w:val="TAC"/>
              <w:rPr>
                <w:lang w:val="en-US" w:eastAsia="zh-CN"/>
              </w:rPr>
            </w:pPr>
            <w:r>
              <w:rPr>
                <w:lang w:val="en-US" w:eastAsia="zh-CN"/>
              </w:rPr>
              <w:t>C</w:t>
            </w:r>
          </w:p>
        </w:tc>
        <w:tc>
          <w:tcPr>
            <w:tcW w:w="1078" w:type="dxa"/>
            <w:tcMar>
              <w:top w:w="0" w:type="dxa"/>
              <w:left w:w="28" w:type="dxa"/>
              <w:bottom w:w="0" w:type="dxa"/>
              <w:right w:w="108" w:type="dxa"/>
            </w:tcMar>
          </w:tcPr>
          <w:p w14:paraId="1E20075B" w14:textId="77777777" w:rsidR="00D654A6" w:rsidRDefault="00D654A6" w:rsidP="005A20DD">
            <w:pPr>
              <w:pStyle w:val="TAL"/>
              <w:rPr>
                <w:lang w:val="en-US" w:eastAsia="zh-CN"/>
              </w:rPr>
            </w:pPr>
            <w:r>
              <w:rPr>
                <w:lang w:val="en-US" w:eastAsia="zh-CN"/>
              </w:rPr>
              <w:t>0..1</w:t>
            </w:r>
          </w:p>
        </w:tc>
        <w:tc>
          <w:tcPr>
            <w:tcW w:w="2288" w:type="dxa"/>
            <w:tcMar>
              <w:top w:w="0" w:type="dxa"/>
              <w:left w:w="28" w:type="dxa"/>
              <w:bottom w:w="0" w:type="dxa"/>
              <w:right w:w="108" w:type="dxa"/>
            </w:tcMar>
          </w:tcPr>
          <w:p w14:paraId="4DC70221" w14:textId="77777777" w:rsidR="00D654A6" w:rsidRDefault="00D654A6" w:rsidP="005A20DD">
            <w:pPr>
              <w:pStyle w:val="TAL"/>
            </w:pPr>
            <w:r>
              <w:t>Indicates if the target location is indoors or outdoors. "true" means that the target location is indoors, while "false" means that the target location is outdoors. The default value is "false".</w:t>
            </w:r>
          </w:p>
          <w:p w14:paraId="66A97E2F" w14:textId="77777777" w:rsidR="00D654A6" w:rsidRDefault="00D654A6" w:rsidP="005A20DD">
            <w:pPr>
              <w:pStyle w:val="TAL"/>
              <w:rPr>
                <w:lang w:val="en-US"/>
              </w:rPr>
            </w:pPr>
            <w:r>
              <w:t>It shall be provided if the subscription was targeting a specific location and the "</w:t>
            </w:r>
            <w:r>
              <w:rPr>
                <w:lang w:val="en-US"/>
              </w:rPr>
              <w:t>IN_OUT_PERCENT" analytics subset was requested.</w:t>
            </w:r>
          </w:p>
          <w:p w14:paraId="0F5AB4E2" w14:textId="77777777" w:rsidR="00D654A6" w:rsidRDefault="00D654A6" w:rsidP="005A20DD">
            <w:pPr>
              <w:pStyle w:val="TAL"/>
              <w:rPr>
                <w:lang w:val="en-US" w:eastAsia="zh-CN"/>
              </w:rPr>
            </w:pPr>
            <w:r>
              <w:rPr>
                <w:lang w:val="en-US"/>
              </w:rPr>
              <w:t>(NOTE 1)</w:t>
            </w:r>
          </w:p>
        </w:tc>
        <w:tc>
          <w:tcPr>
            <w:tcW w:w="1265" w:type="dxa"/>
          </w:tcPr>
          <w:p w14:paraId="25D9F37B" w14:textId="77777777" w:rsidR="00D654A6" w:rsidRDefault="00D654A6" w:rsidP="005A20DD">
            <w:pPr>
              <w:pStyle w:val="TAL"/>
            </w:pPr>
          </w:p>
        </w:tc>
      </w:tr>
      <w:tr w:rsidR="00D654A6" w14:paraId="1969A43E" w14:textId="77777777" w:rsidTr="005A20DD">
        <w:trPr>
          <w:jc w:val="center"/>
        </w:trPr>
        <w:tc>
          <w:tcPr>
            <w:tcW w:w="1929" w:type="dxa"/>
            <w:tcMar>
              <w:top w:w="0" w:type="dxa"/>
              <w:left w:w="28" w:type="dxa"/>
              <w:bottom w:w="0" w:type="dxa"/>
              <w:right w:w="108" w:type="dxa"/>
            </w:tcMar>
          </w:tcPr>
          <w:p w14:paraId="05FD0D24" w14:textId="77777777" w:rsidR="00D654A6" w:rsidRDefault="00D654A6" w:rsidP="005A20DD">
            <w:pPr>
              <w:pStyle w:val="TAL"/>
              <w:rPr>
                <w:lang w:val="en-US" w:eastAsia="zh-CN"/>
              </w:rPr>
            </w:pPr>
            <w:r>
              <w:rPr>
                <w:lang w:eastAsia="zh-CN"/>
              </w:rPr>
              <w:t>confidence</w:t>
            </w:r>
          </w:p>
        </w:tc>
        <w:tc>
          <w:tcPr>
            <w:tcW w:w="2694" w:type="dxa"/>
            <w:tcMar>
              <w:top w:w="0" w:type="dxa"/>
              <w:left w:w="28" w:type="dxa"/>
              <w:bottom w:w="0" w:type="dxa"/>
              <w:right w:w="108" w:type="dxa"/>
            </w:tcMar>
          </w:tcPr>
          <w:p w14:paraId="57EDE1D0" w14:textId="77777777" w:rsidR="00D654A6" w:rsidRDefault="00D654A6" w:rsidP="005A20DD">
            <w:pPr>
              <w:pStyle w:val="TAL"/>
              <w:rPr>
                <w:lang w:val="en-US" w:eastAsia="zh-CN"/>
              </w:rPr>
            </w:pPr>
            <w:r>
              <w:rPr>
                <w:lang w:eastAsia="zh-CN"/>
              </w:rPr>
              <w:t>Uinteger</w:t>
            </w:r>
          </w:p>
        </w:tc>
        <w:tc>
          <w:tcPr>
            <w:tcW w:w="335" w:type="dxa"/>
            <w:tcMar>
              <w:top w:w="0" w:type="dxa"/>
              <w:left w:w="28" w:type="dxa"/>
              <w:bottom w:w="0" w:type="dxa"/>
              <w:right w:w="108" w:type="dxa"/>
            </w:tcMar>
          </w:tcPr>
          <w:p w14:paraId="5BFCCA31" w14:textId="77777777" w:rsidR="00D654A6" w:rsidRDefault="00D654A6" w:rsidP="005A20DD">
            <w:pPr>
              <w:pStyle w:val="TAC"/>
              <w:rPr>
                <w:lang w:val="en-US" w:eastAsia="zh-CN"/>
              </w:rPr>
            </w:pPr>
            <w:r>
              <w:t>C</w:t>
            </w:r>
          </w:p>
        </w:tc>
        <w:tc>
          <w:tcPr>
            <w:tcW w:w="1078" w:type="dxa"/>
            <w:tcMar>
              <w:top w:w="0" w:type="dxa"/>
              <w:left w:w="28" w:type="dxa"/>
              <w:bottom w:w="0" w:type="dxa"/>
              <w:right w:w="108" w:type="dxa"/>
            </w:tcMar>
          </w:tcPr>
          <w:p w14:paraId="0BE5ADA5" w14:textId="77777777" w:rsidR="00D654A6" w:rsidRDefault="00D654A6" w:rsidP="005A20DD">
            <w:pPr>
              <w:pStyle w:val="TAL"/>
              <w:rPr>
                <w:lang w:val="en-US" w:eastAsia="zh-CN"/>
              </w:rPr>
            </w:pPr>
            <w:r>
              <w:t>0..1</w:t>
            </w:r>
          </w:p>
        </w:tc>
        <w:tc>
          <w:tcPr>
            <w:tcW w:w="2288" w:type="dxa"/>
            <w:tcMar>
              <w:top w:w="0" w:type="dxa"/>
              <w:left w:w="28" w:type="dxa"/>
              <w:bottom w:w="0" w:type="dxa"/>
              <w:right w:w="108" w:type="dxa"/>
            </w:tcMar>
          </w:tcPr>
          <w:p w14:paraId="05433F61" w14:textId="77777777" w:rsidR="00D654A6" w:rsidRDefault="00D654A6" w:rsidP="005A20DD">
            <w:pPr>
              <w:pStyle w:val="TAL"/>
              <w:rPr>
                <w:rFonts w:cs="Arial"/>
                <w:szCs w:val="18"/>
              </w:rPr>
            </w:pPr>
            <w:r>
              <w:rPr>
                <w:rFonts w:cs="Arial"/>
                <w:szCs w:val="18"/>
              </w:rPr>
              <w:t>Indicates the confidence of the prediction.(NOTE</w:t>
            </w:r>
            <w:r>
              <w:rPr>
                <w:rFonts w:eastAsia="Times New Roman" w:cs="Arial"/>
                <w:szCs w:val="18"/>
              </w:rPr>
              <w:t> 3</w:t>
            </w:r>
            <w:r>
              <w:rPr>
                <w:rFonts w:cs="Arial"/>
                <w:szCs w:val="18"/>
              </w:rPr>
              <w:t>)</w:t>
            </w:r>
          </w:p>
          <w:p w14:paraId="7FE314B2" w14:textId="77777777" w:rsidR="00D654A6" w:rsidRDefault="00D654A6" w:rsidP="005A20DD">
            <w:pPr>
              <w:pStyle w:val="TAL"/>
              <w:rPr>
                <w:rFonts w:cs="Arial"/>
                <w:szCs w:val="18"/>
              </w:rPr>
            </w:pPr>
            <w:r>
              <w:rPr>
                <w:rFonts w:cs="Arial"/>
                <w:szCs w:val="18"/>
              </w:rPr>
              <w:t>Shall be present if the analytics result is a prediction.</w:t>
            </w:r>
          </w:p>
          <w:p w14:paraId="459DF42A" w14:textId="77777777" w:rsidR="00D654A6" w:rsidRDefault="00D654A6" w:rsidP="005A20DD">
            <w:pPr>
              <w:pStyle w:val="TAL"/>
            </w:pPr>
            <w:r>
              <w:rPr>
                <w:rFonts w:cs="Arial"/>
                <w:szCs w:val="18"/>
              </w:rPr>
              <w:t>Minimum = 0. Maximum = 100.</w:t>
            </w:r>
          </w:p>
        </w:tc>
        <w:tc>
          <w:tcPr>
            <w:tcW w:w="1265" w:type="dxa"/>
          </w:tcPr>
          <w:p w14:paraId="57ACC0B4" w14:textId="77777777" w:rsidR="00D654A6" w:rsidRDefault="00D654A6" w:rsidP="005A20DD">
            <w:pPr>
              <w:pStyle w:val="TAL"/>
            </w:pPr>
          </w:p>
        </w:tc>
      </w:tr>
      <w:tr w:rsidR="00D654A6" w14:paraId="474137A1" w14:textId="77777777" w:rsidTr="005A20DD">
        <w:trPr>
          <w:jc w:val="center"/>
        </w:trPr>
        <w:tc>
          <w:tcPr>
            <w:tcW w:w="9589" w:type="dxa"/>
            <w:gridSpan w:val="6"/>
            <w:tcMar>
              <w:top w:w="0" w:type="dxa"/>
              <w:left w:w="28" w:type="dxa"/>
              <w:bottom w:w="0" w:type="dxa"/>
              <w:right w:w="108" w:type="dxa"/>
            </w:tcMar>
          </w:tcPr>
          <w:p w14:paraId="04CE92C1" w14:textId="77777777" w:rsidR="00D654A6" w:rsidRDefault="00D654A6" w:rsidP="005A20DD">
            <w:pPr>
              <w:pStyle w:val="TAN"/>
              <w:rPr>
                <w:lang w:val="en-US" w:eastAsia="zh-CN"/>
              </w:rPr>
            </w:pPr>
            <w:r>
              <w:rPr>
                <w:lang w:val="en-US" w:eastAsia="zh-CN"/>
              </w:rPr>
              <w:t>NOTE: 1</w:t>
            </w:r>
            <w:r>
              <w:rPr>
                <w:lang w:val="en-US" w:eastAsia="zh-CN"/>
              </w:rPr>
              <w:tab/>
              <w:t>The attributes "inOutUePct" and "inOutInd" are mutually exclusive.</w:t>
            </w:r>
          </w:p>
          <w:p w14:paraId="03E09A62" w14:textId="77777777" w:rsidR="00D654A6" w:rsidRDefault="00D654A6" w:rsidP="005A20DD">
            <w:pPr>
              <w:pStyle w:val="TAN"/>
              <w:rPr>
                <w:lang w:val="en-US" w:eastAsia="zh-CN"/>
              </w:rPr>
            </w:pPr>
            <w:r>
              <w:rPr>
                <w:lang w:val="en-US" w:eastAsia="zh-CN"/>
              </w:rPr>
              <w:t>NOTE: 2</w:t>
            </w:r>
            <w:r>
              <w:rPr>
                <w:lang w:val="en-US" w:eastAsia="zh-CN"/>
              </w:rPr>
              <w:tab/>
              <w:t xml:space="preserve">The </w:t>
            </w:r>
            <w:r>
              <w:t>percentage of UEs that are outoors in the applicable area is equal to 100 minus the value of the "inOutUePct" attribute</w:t>
            </w:r>
            <w:r>
              <w:rPr>
                <w:lang w:val="en-US" w:eastAsia="zh-CN"/>
              </w:rPr>
              <w:t>.</w:t>
            </w:r>
          </w:p>
          <w:p w14:paraId="5A8F51C7" w14:textId="77777777" w:rsidR="00D654A6" w:rsidRPr="009270E8" w:rsidRDefault="00D654A6" w:rsidP="005A20DD">
            <w:pPr>
              <w:pStyle w:val="TAN"/>
            </w:pPr>
            <w:r>
              <w:t>NOTE 3:</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2BFFEA64" w14:textId="77777777" w:rsidR="00D654A6" w:rsidRDefault="00D654A6" w:rsidP="00D654A6">
      <w:pPr>
        <w:rPr>
          <w:rFonts w:eastAsia="等线"/>
        </w:rPr>
      </w:pPr>
    </w:p>
    <w:p w14:paraId="13CFBC12" w14:textId="77777777" w:rsidR="00D654A6" w:rsidRDefault="00D654A6" w:rsidP="00D654A6">
      <w:pPr>
        <w:pStyle w:val="5"/>
      </w:pPr>
      <w:bookmarkStart w:id="8173" w:name="_Toc144490143"/>
      <w:bookmarkStart w:id="8174" w:name="_Toc148522689"/>
      <w:bookmarkStart w:id="8175" w:name="_Toc164920872"/>
      <w:bookmarkStart w:id="8176" w:name="_Toc170120414"/>
      <w:bookmarkStart w:id="8177" w:name="_Toc175858659"/>
      <w:bookmarkStart w:id="8178" w:name="_Toc175859732"/>
      <w:bookmarkStart w:id="8179" w:name="_Toc180606022"/>
      <w:bookmarkStart w:id="8180" w:name="_Toc185517276"/>
      <w:bookmarkStart w:id="8181" w:name="_Toc191576327"/>
      <w:bookmarkStart w:id="8182" w:name="_Toc191577067"/>
      <w:bookmarkStart w:id="8183" w:name="_Toc192880137"/>
      <w:bookmarkStart w:id="8184" w:name="_Toc195815020"/>
      <w:bookmarkStart w:id="8185" w:name="_Toc199452987"/>
      <w:r>
        <w:lastRenderedPageBreak/>
        <w:t>5.1.6.2.98</w:t>
      </w:r>
      <w:r>
        <w:tab/>
        <w:t>Type LocAccuracyPerMethod</w:t>
      </w:r>
      <w:bookmarkEnd w:id="8175"/>
      <w:bookmarkEnd w:id="8176"/>
      <w:bookmarkEnd w:id="8177"/>
      <w:bookmarkEnd w:id="8178"/>
      <w:bookmarkEnd w:id="8179"/>
      <w:bookmarkEnd w:id="8180"/>
      <w:bookmarkEnd w:id="8181"/>
      <w:bookmarkEnd w:id="8182"/>
      <w:bookmarkEnd w:id="8183"/>
      <w:bookmarkEnd w:id="8184"/>
      <w:bookmarkEnd w:id="8185"/>
    </w:p>
    <w:p w14:paraId="236ECBCB" w14:textId="77777777" w:rsidR="00D654A6" w:rsidRDefault="00D654A6" w:rsidP="00D654A6">
      <w:pPr>
        <w:pStyle w:val="TH"/>
      </w:pPr>
      <w:r>
        <w:t>Table 5.1.6.2.98-1: Definition of type LocAccuracyPerMethod</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754"/>
        <w:gridCol w:w="2359"/>
        <w:gridCol w:w="357"/>
        <w:gridCol w:w="1082"/>
        <w:gridCol w:w="2295"/>
        <w:gridCol w:w="1772"/>
      </w:tblGrid>
      <w:tr w:rsidR="00D654A6" w14:paraId="77F188DA" w14:textId="77777777" w:rsidTr="005A20DD">
        <w:trPr>
          <w:jc w:val="center"/>
        </w:trPr>
        <w:tc>
          <w:tcPr>
            <w:tcW w:w="1754" w:type="dxa"/>
            <w:shd w:val="clear" w:color="auto" w:fill="C0C0C0"/>
            <w:tcMar>
              <w:top w:w="0" w:type="dxa"/>
              <w:left w:w="28" w:type="dxa"/>
              <w:bottom w:w="0" w:type="dxa"/>
              <w:right w:w="108" w:type="dxa"/>
            </w:tcMar>
          </w:tcPr>
          <w:p w14:paraId="6C8CE8A2" w14:textId="77777777" w:rsidR="00D654A6" w:rsidRDefault="00D654A6" w:rsidP="005A20DD">
            <w:pPr>
              <w:pStyle w:val="TAH"/>
              <w:rPr>
                <w:lang w:val="en-US" w:eastAsia="zh-CN"/>
              </w:rPr>
            </w:pPr>
            <w:r>
              <w:rPr>
                <w:color w:val="000000"/>
                <w:lang w:val="en-US" w:eastAsia="zh-CN"/>
              </w:rPr>
              <w:t>Attribute name</w:t>
            </w:r>
          </w:p>
        </w:tc>
        <w:tc>
          <w:tcPr>
            <w:tcW w:w="2359" w:type="dxa"/>
            <w:shd w:val="clear" w:color="auto" w:fill="C0C0C0"/>
            <w:tcMar>
              <w:top w:w="0" w:type="dxa"/>
              <w:left w:w="28" w:type="dxa"/>
              <w:bottom w:w="0" w:type="dxa"/>
              <w:right w:w="108" w:type="dxa"/>
            </w:tcMar>
          </w:tcPr>
          <w:p w14:paraId="74C59066" w14:textId="77777777" w:rsidR="00D654A6" w:rsidRDefault="00D654A6" w:rsidP="005A20DD">
            <w:pPr>
              <w:pStyle w:val="TAH"/>
              <w:rPr>
                <w:lang w:val="en-US" w:eastAsia="zh-CN"/>
              </w:rPr>
            </w:pPr>
            <w:r>
              <w:rPr>
                <w:color w:val="000000"/>
                <w:lang w:val="en-US" w:eastAsia="zh-CN"/>
              </w:rPr>
              <w:t>Data type</w:t>
            </w:r>
          </w:p>
        </w:tc>
        <w:tc>
          <w:tcPr>
            <w:tcW w:w="357" w:type="dxa"/>
            <w:shd w:val="clear" w:color="auto" w:fill="C0C0C0"/>
            <w:tcMar>
              <w:top w:w="0" w:type="dxa"/>
              <w:left w:w="28" w:type="dxa"/>
              <w:bottom w:w="0" w:type="dxa"/>
              <w:right w:w="108" w:type="dxa"/>
            </w:tcMar>
          </w:tcPr>
          <w:p w14:paraId="5A419B81" w14:textId="77777777" w:rsidR="00D654A6" w:rsidRDefault="00D654A6" w:rsidP="005A20DD">
            <w:pPr>
              <w:pStyle w:val="TAH"/>
              <w:rPr>
                <w:lang w:val="en-US" w:eastAsia="zh-CN"/>
              </w:rPr>
            </w:pPr>
            <w:r>
              <w:rPr>
                <w:color w:val="000000"/>
                <w:lang w:val="en-US" w:eastAsia="zh-CN"/>
              </w:rPr>
              <w:t>P</w:t>
            </w:r>
          </w:p>
        </w:tc>
        <w:tc>
          <w:tcPr>
            <w:tcW w:w="1082" w:type="dxa"/>
            <w:shd w:val="clear" w:color="auto" w:fill="C0C0C0"/>
            <w:tcMar>
              <w:top w:w="0" w:type="dxa"/>
              <w:left w:w="28" w:type="dxa"/>
              <w:bottom w:w="0" w:type="dxa"/>
              <w:right w:w="108" w:type="dxa"/>
            </w:tcMar>
          </w:tcPr>
          <w:p w14:paraId="21F786D9" w14:textId="77777777" w:rsidR="00D654A6" w:rsidRDefault="00D654A6" w:rsidP="005A20DD">
            <w:pPr>
              <w:pStyle w:val="TAH"/>
              <w:rPr>
                <w:lang w:val="en-US" w:eastAsia="zh-CN"/>
              </w:rPr>
            </w:pPr>
            <w:r>
              <w:rPr>
                <w:color w:val="000000"/>
                <w:lang w:val="en-US" w:eastAsia="zh-CN"/>
              </w:rPr>
              <w:t>Cardinality</w:t>
            </w:r>
          </w:p>
        </w:tc>
        <w:tc>
          <w:tcPr>
            <w:tcW w:w="2295" w:type="dxa"/>
            <w:shd w:val="clear" w:color="auto" w:fill="C0C0C0"/>
            <w:tcMar>
              <w:top w:w="0" w:type="dxa"/>
              <w:left w:w="28" w:type="dxa"/>
              <w:bottom w:w="0" w:type="dxa"/>
              <w:right w:w="108" w:type="dxa"/>
            </w:tcMar>
          </w:tcPr>
          <w:p w14:paraId="2FFCE449" w14:textId="77777777" w:rsidR="00D654A6" w:rsidRDefault="00D654A6" w:rsidP="005A20DD">
            <w:pPr>
              <w:pStyle w:val="TAH"/>
              <w:rPr>
                <w:lang w:val="en-US" w:eastAsia="zh-CN"/>
              </w:rPr>
            </w:pPr>
            <w:r>
              <w:rPr>
                <w:color w:val="000000"/>
                <w:lang w:val="en-US" w:eastAsia="zh-CN"/>
              </w:rPr>
              <w:t>Description</w:t>
            </w:r>
          </w:p>
        </w:tc>
        <w:tc>
          <w:tcPr>
            <w:tcW w:w="1772" w:type="dxa"/>
            <w:shd w:val="clear" w:color="auto" w:fill="C0C0C0"/>
          </w:tcPr>
          <w:p w14:paraId="13CE99DE" w14:textId="77777777" w:rsidR="00D654A6" w:rsidRDefault="00D654A6" w:rsidP="005A20DD">
            <w:pPr>
              <w:pStyle w:val="TAH"/>
              <w:rPr>
                <w:color w:val="000000"/>
                <w:lang w:val="en-US" w:eastAsia="zh-CN"/>
              </w:rPr>
            </w:pPr>
            <w:r>
              <w:rPr>
                <w:color w:val="000000"/>
                <w:lang w:val="en-US" w:eastAsia="zh-CN"/>
              </w:rPr>
              <w:t>Applicability</w:t>
            </w:r>
          </w:p>
        </w:tc>
      </w:tr>
      <w:tr w:rsidR="00D654A6" w14:paraId="6B7CCD35" w14:textId="77777777" w:rsidTr="005A20DD">
        <w:trPr>
          <w:jc w:val="center"/>
        </w:trPr>
        <w:tc>
          <w:tcPr>
            <w:tcW w:w="1754" w:type="dxa"/>
            <w:tcMar>
              <w:top w:w="0" w:type="dxa"/>
              <w:left w:w="28" w:type="dxa"/>
              <w:bottom w:w="0" w:type="dxa"/>
              <w:right w:w="108" w:type="dxa"/>
            </w:tcMar>
          </w:tcPr>
          <w:p w14:paraId="081BFDAC" w14:textId="77777777" w:rsidR="00D654A6" w:rsidRDefault="00D654A6" w:rsidP="005A20DD">
            <w:pPr>
              <w:pStyle w:val="TAL"/>
              <w:rPr>
                <w:lang w:val="en-US" w:eastAsia="zh-CN"/>
              </w:rPr>
            </w:pPr>
            <w:r>
              <w:rPr>
                <w:lang w:val="en-US" w:eastAsia="zh-CN"/>
              </w:rPr>
              <w:t>posMethod</w:t>
            </w:r>
          </w:p>
        </w:tc>
        <w:tc>
          <w:tcPr>
            <w:tcW w:w="2359" w:type="dxa"/>
            <w:tcMar>
              <w:top w:w="0" w:type="dxa"/>
              <w:left w:w="28" w:type="dxa"/>
              <w:bottom w:w="0" w:type="dxa"/>
              <w:right w:w="108" w:type="dxa"/>
            </w:tcMar>
          </w:tcPr>
          <w:p w14:paraId="34DF674F" w14:textId="77777777" w:rsidR="00D654A6" w:rsidRDefault="00D654A6" w:rsidP="005A20DD">
            <w:pPr>
              <w:pStyle w:val="TAL"/>
              <w:rPr>
                <w:lang w:val="en-US" w:eastAsia="zh-CN"/>
              </w:rPr>
            </w:pPr>
            <w:r>
              <w:rPr>
                <w:lang w:val="en-US" w:eastAsia="zh-CN"/>
              </w:rPr>
              <w:t>PositioningMethod</w:t>
            </w:r>
          </w:p>
        </w:tc>
        <w:tc>
          <w:tcPr>
            <w:tcW w:w="357" w:type="dxa"/>
            <w:tcMar>
              <w:top w:w="0" w:type="dxa"/>
              <w:left w:w="28" w:type="dxa"/>
              <w:bottom w:w="0" w:type="dxa"/>
              <w:right w:w="108" w:type="dxa"/>
            </w:tcMar>
          </w:tcPr>
          <w:p w14:paraId="798B0189" w14:textId="77777777" w:rsidR="00D654A6" w:rsidRDefault="00D654A6" w:rsidP="005A20DD">
            <w:pPr>
              <w:pStyle w:val="TAC"/>
              <w:rPr>
                <w:lang w:val="en-US" w:eastAsia="zh-CN"/>
              </w:rPr>
            </w:pPr>
            <w:r>
              <w:rPr>
                <w:lang w:val="en-US" w:eastAsia="zh-CN"/>
              </w:rPr>
              <w:t>M</w:t>
            </w:r>
          </w:p>
        </w:tc>
        <w:tc>
          <w:tcPr>
            <w:tcW w:w="1082" w:type="dxa"/>
            <w:tcMar>
              <w:top w:w="0" w:type="dxa"/>
              <w:left w:w="28" w:type="dxa"/>
              <w:bottom w:w="0" w:type="dxa"/>
              <w:right w:w="108" w:type="dxa"/>
            </w:tcMar>
          </w:tcPr>
          <w:p w14:paraId="64C6DBAE" w14:textId="77777777" w:rsidR="00D654A6" w:rsidRDefault="00D654A6" w:rsidP="005A20DD">
            <w:pPr>
              <w:pStyle w:val="TAL"/>
              <w:rPr>
                <w:lang w:val="en-US" w:eastAsia="zh-CN"/>
              </w:rPr>
            </w:pPr>
            <w:r>
              <w:rPr>
                <w:lang w:val="en-US" w:eastAsia="zh-CN"/>
              </w:rPr>
              <w:t>1</w:t>
            </w:r>
          </w:p>
        </w:tc>
        <w:tc>
          <w:tcPr>
            <w:tcW w:w="2295" w:type="dxa"/>
            <w:tcMar>
              <w:top w:w="0" w:type="dxa"/>
              <w:left w:w="28" w:type="dxa"/>
              <w:bottom w:w="0" w:type="dxa"/>
              <w:right w:w="108" w:type="dxa"/>
            </w:tcMar>
          </w:tcPr>
          <w:p w14:paraId="3BE6863E" w14:textId="77777777" w:rsidR="00D654A6" w:rsidRDefault="00D654A6" w:rsidP="005A20DD">
            <w:pPr>
              <w:pStyle w:val="TAL"/>
              <w:rPr>
                <w:lang w:val="en-US" w:eastAsia="zh-CN"/>
              </w:rPr>
            </w:pPr>
            <w:r>
              <w:rPr>
                <w:lang w:val="en-US" w:eastAsia="zh-CN"/>
              </w:rPr>
              <w:t>The used positioning method.</w:t>
            </w:r>
          </w:p>
        </w:tc>
        <w:tc>
          <w:tcPr>
            <w:tcW w:w="1772" w:type="dxa"/>
          </w:tcPr>
          <w:p w14:paraId="15B8BECF" w14:textId="77777777" w:rsidR="00D654A6" w:rsidRDefault="00D654A6" w:rsidP="005A20DD">
            <w:pPr>
              <w:pStyle w:val="TAL"/>
              <w:rPr>
                <w:lang w:val="en-US" w:eastAsia="zh-CN"/>
              </w:rPr>
            </w:pPr>
          </w:p>
        </w:tc>
      </w:tr>
      <w:tr w:rsidR="00D654A6" w14:paraId="1FFE1B61" w14:textId="77777777" w:rsidTr="005A20DD">
        <w:trPr>
          <w:jc w:val="center"/>
        </w:trPr>
        <w:tc>
          <w:tcPr>
            <w:tcW w:w="1754" w:type="dxa"/>
            <w:tcMar>
              <w:top w:w="0" w:type="dxa"/>
              <w:left w:w="28" w:type="dxa"/>
              <w:bottom w:w="0" w:type="dxa"/>
              <w:right w:w="108" w:type="dxa"/>
            </w:tcMar>
          </w:tcPr>
          <w:p w14:paraId="2DD96B6F" w14:textId="77777777" w:rsidR="00D654A6" w:rsidRDefault="00D654A6" w:rsidP="005A20DD">
            <w:pPr>
              <w:pStyle w:val="TAL"/>
              <w:rPr>
                <w:lang w:val="en-US" w:eastAsia="zh-CN"/>
              </w:rPr>
            </w:pPr>
            <w:r>
              <w:rPr>
                <w:lang w:val="en-US" w:eastAsia="zh-CN"/>
              </w:rPr>
              <w:t>locAcc</w:t>
            </w:r>
          </w:p>
        </w:tc>
        <w:tc>
          <w:tcPr>
            <w:tcW w:w="2359" w:type="dxa"/>
            <w:tcMar>
              <w:top w:w="0" w:type="dxa"/>
              <w:left w:w="28" w:type="dxa"/>
              <w:bottom w:w="0" w:type="dxa"/>
              <w:right w:w="108" w:type="dxa"/>
            </w:tcMar>
          </w:tcPr>
          <w:p w14:paraId="08FB3A80" w14:textId="77777777" w:rsidR="00D654A6" w:rsidRDefault="00D654A6" w:rsidP="005A20DD">
            <w:pPr>
              <w:pStyle w:val="TAL"/>
              <w:rPr>
                <w:lang w:val="en-US" w:eastAsia="zh-CN"/>
              </w:rPr>
            </w:pPr>
            <w:r>
              <w:rPr>
                <w:lang w:val="en-US" w:eastAsia="zh-CN"/>
              </w:rPr>
              <w:t>Uinteger</w:t>
            </w:r>
          </w:p>
        </w:tc>
        <w:tc>
          <w:tcPr>
            <w:tcW w:w="357" w:type="dxa"/>
            <w:tcMar>
              <w:top w:w="0" w:type="dxa"/>
              <w:left w:w="28" w:type="dxa"/>
              <w:bottom w:w="0" w:type="dxa"/>
              <w:right w:w="108" w:type="dxa"/>
            </w:tcMar>
          </w:tcPr>
          <w:p w14:paraId="28FFE451" w14:textId="77777777" w:rsidR="00D654A6" w:rsidRDefault="00D654A6" w:rsidP="005A20DD">
            <w:pPr>
              <w:pStyle w:val="TAC"/>
              <w:rPr>
                <w:lang w:val="en-US" w:eastAsia="zh-CN"/>
              </w:rPr>
            </w:pPr>
            <w:r>
              <w:rPr>
                <w:lang w:val="en-US" w:eastAsia="zh-CN"/>
              </w:rPr>
              <w:t>M</w:t>
            </w:r>
          </w:p>
        </w:tc>
        <w:tc>
          <w:tcPr>
            <w:tcW w:w="1082" w:type="dxa"/>
            <w:tcMar>
              <w:top w:w="0" w:type="dxa"/>
              <w:left w:w="28" w:type="dxa"/>
              <w:bottom w:w="0" w:type="dxa"/>
              <w:right w:w="108" w:type="dxa"/>
            </w:tcMar>
          </w:tcPr>
          <w:p w14:paraId="7BE6CA85" w14:textId="77777777" w:rsidR="00D654A6" w:rsidRDefault="00D654A6" w:rsidP="005A20DD">
            <w:pPr>
              <w:pStyle w:val="TAL"/>
              <w:rPr>
                <w:lang w:val="en-US" w:eastAsia="zh-CN"/>
              </w:rPr>
            </w:pPr>
            <w:r>
              <w:rPr>
                <w:lang w:val="en-US" w:eastAsia="zh-CN"/>
              </w:rPr>
              <w:t>1</w:t>
            </w:r>
          </w:p>
        </w:tc>
        <w:tc>
          <w:tcPr>
            <w:tcW w:w="2295" w:type="dxa"/>
            <w:tcMar>
              <w:top w:w="0" w:type="dxa"/>
              <w:left w:w="28" w:type="dxa"/>
              <w:bottom w:w="0" w:type="dxa"/>
              <w:right w:w="108" w:type="dxa"/>
            </w:tcMar>
          </w:tcPr>
          <w:p w14:paraId="5FF43B03" w14:textId="77777777" w:rsidR="00D654A6" w:rsidRDefault="00D654A6" w:rsidP="005A20DD">
            <w:pPr>
              <w:pStyle w:val="TAL"/>
              <w:rPr>
                <w:lang w:val="en-US"/>
              </w:rPr>
            </w:pPr>
            <w:r>
              <w:t>Location accuracy (percentage) for the given positioning method in the applicable area or location</w:t>
            </w:r>
            <w:r>
              <w:rPr>
                <w:lang w:val="en-US"/>
              </w:rPr>
              <w:t>.</w:t>
            </w:r>
          </w:p>
          <w:p w14:paraId="3788D51B" w14:textId="77777777" w:rsidR="00D654A6" w:rsidRDefault="00D654A6" w:rsidP="005A20DD">
            <w:pPr>
              <w:pStyle w:val="TAL"/>
              <w:rPr>
                <w:lang w:val="en-US"/>
              </w:rPr>
            </w:pPr>
            <w:r>
              <w:rPr>
                <w:lang w:val="en-US"/>
              </w:rPr>
              <w:t>Minimum value = 0</w:t>
            </w:r>
          </w:p>
          <w:p w14:paraId="17643FAF" w14:textId="77777777" w:rsidR="00D654A6" w:rsidRDefault="00D654A6" w:rsidP="005A20DD">
            <w:pPr>
              <w:pStyle w:val="TAL"/>
              <w:rPr>
                <w:lang w:val="en-US"/>
              </w:rPr>
            </w:pPr>
            <w:r>
              <w:rPr>
                <w:lang w:val="en-US"/>
              </w:rPr>
              <w:t>Maximum value = 100</w:t>
            </w:r>
          </w:p>
        </w:tc>
        <w:tc>
          <w:tcPr>
            <w:tcW w:w="1772" w:type="dxa"/>
          </w:tcPr>
          <w:p w14:paraId="7BEBCC00" w14:textId="77777777" w:rsidR="00D654A6" w:rsidRDefault="00D654A6" w:rsidP="005A20DD">
            <w:pPr>
              <w:pStyle w:val="TAL"/>
            </w:pPr>
          </w:p>
        </w:tc>
      </w:tr>
      <w:tr w:rsidR="00D654A6" w14:paraId="026CBEF3" w14:textId="77777777" w:rsidTr="005A20DD">
        <w:trPr>
          <w:jc w:val="center"/>
        </w:trPr>
        <w:tc>
          <w:tcPr>
            <w:tcW w:w="1754" w:type="dxa"/>
            <w:tcMar>
              <w:top w:w="0" w:type="dxa"/>
              <w:left w:w="28" w:type="dxa"/>
              <w:bottom w:w="0" w:type="dxa"/>
              <w:right w:w="108" w:type="dxa"/>
            </w:tcMar>
          </w:tcPr>
          <w:p w14:paraId="726D29FB" w14:textId="77777777" w:rsidR="00D654A6" w:rsidRDefault="00D654A6" w:rsidP="005A20DD">
            <w:pPr>
              <w:pStyle w:val="TAL"/>
              <w:rPr>
                <w:lang w:val="en-US" w:eastAsia="zh-CN"/>
              </w:rPr>
            </w:pPr>
            <w:r>
              <w:rPr>
                <w:lang w:val="en-US" w:eastAsia="zh-CN"/>
              </w:rPr>
              <w:t>losNlosPct</w:t>
            </w:r>
          </w:p>
        </w:tc>
        <w:tc>
          <w:tcPr>
            <w:tcW w:w="2359" w:type="dxa"/>
            <w:tcMar>
              <w:top w:w="0" w:type="dxa"/>
              <w:left w:w="28" w:type="dxa"/>
              <w:bottom w:w="0" w:type="dxa"/>
              <w:right w:w="108" w:type="dxa"/>
            </w:tcMar>
          </w:tcPr>
          <w:p w14:paraId="60F088E7" w14:textId="77777777" w:rsidR="00D654A6" w:rsidRDefault="00D654A6" w:rsidP="005A20DD">
            <w:pPr>
              <w:pStyle w:val="TAL"/>
              <w:rPr>
                <w:lang w:val="en-US" w:eastAsia="zh-CN"/>
              </w:rPr>
            </w:pPr>
            <w:r>
              <w:rPr>
                <w:lang w:val="en-US" w:eastAsia="zh-CN"/>
              </w:rPr>
              <w:t>Uinteger</w:t>
            </w:r>
          </w:p>
        </w:tc>
        <w:tc>
          <w:tcPr>
            <w:tcW w:w="357" w:type="dxa"/>
            <w:tcMar>
              <w:top w:w="0" w:type="dxa"/>
              <w:left w:w="28" w:type="dxa"/>
              <w:bottom w:w="0" w:type="dxa"/>
              <w:right w:w="108" w:type="dxa"/>
            </w:tcMar>
          </w:tcPr>
          <w:p w14:paraId="06C0F68A" w14:textId="77777777" w:rsidR="00D654A6" w:rsidRDefault="00D654A6" w:rsidP="005A20DD">
            <w:pPr>
              <w:pStyle w:val="TAC"/>
              <w:rPr>
                <w:lang w:val="en-US" w:eastAsia="zh-CN"/>
              </w:rPr>
            </w:pPr>
            <w:r>
              <w:rPr>
                <w:lang w:val="en-US" w:eastAsia="zh-CN"/>
              </w:rPr>
              <w:t>O</w:t>
            </w:r>
          </w:p>
        </w:tc>
        <w:tc>
          <w:tcPr>
            <w:tcW w:w="1082" w:type="dxa"/>
            <w:tcMar>
              <w:top w:w="0" w:type="dxa"/>
              <w:left w:w="28" w:type="dxa"/>
              <w:bottom w:w="0" w:type="dxa"/>
              <w:right w:w="108" w:type="dxa"/>
            </w:tcMar>
          </w:tcPr>
          <w:p w14:paraId="33BEBFD6" w14:textId="77777777" w:rsidR="00D654A6" w:rsidRDefault="00D654A6" w:rsidP="005A20DD">
            <w:pPr>
              <w:pStyle w:val="TAL"/>
              <w:rPr>
                <w:lang w:val="en-US" w:eastAsia="zh-CN"/>
              </w:rPr>
            </w:pPr>
            <w:r>
              <w:rPr>
                <w:lang w:val="en-US" w:eastAsia="zh-CN"/>
              </w:rPr>
              <w:t>0..1</w:t>
            </w:r>
          </w:p>
        </w:tc>
        <w:tc>
          <w:tcPr>
            <w:tcW w:w="2295" w:type="dxa"/>
            <w:tcMar>
              <w:top w:w="0" w:type="dxa"/>
              <w:left w:w="28" w:type="dxa"/>
              <w:bottom w:w="0" w:type="dxa"/>
              <w:right w:w="108" w:type="dxa"/>
            </w:tcMar>
          </w:tcPr>
          <w:p w14:paraId="37D234F5" w14:textId="77777777" w:rsidR="00D654A6" w:rsidRDefault="00D654A6" w:rsidP="005A20DD">
            <w:pPr>
              <w:pStyle w:val="TAL"/>
              <w:rPr>
                <w:lang w:val="en-US"/>
              </w:rPr>
            </w:pPr>
            <w:r>
              <w:t>Percentage of the LOS measurements among the measurements performed using this positioning method</w:t>
            </w:r>
            <w:r>
              <w:rPr>
                <w:lang w:val="en-US"/>
              </w:rPr>
              <w:t>.</w:t>
            </w:r>
            <w:r>
              <w:t xml:space="preserve"> It may be provided if the subscription was targeting a network area.</w:t>
            </w:r>
          </w:p>
          <w:p w14:paraId="16466808" w14:textId="77777777" w:rsidR="00D654A6" w:rsidRDefault="00D654A6" w:rsidP="005A20DD">
            <w:pPr>
              <w:pStyle w:val="TAL"/>
              <w:rPr>
                <w:lang w:val="en-US"/>
              </w:rPr>
            </w:pPr>
            <w:r>
              <w:rPr>
                <w:lang w:val="en-US"/>
              </w:rPr>
              <w:t>Minimum value = 0</w:t>
            </w:r>
          </w:p>
          <w:p w14:paraId="2611CA42" w14:textId="77777777" w:rsidR="00D654A6" w:rsidRDefault="00D654A6" w:rsidP="005A20DD">
            <w:pPr>
              <w:pStyle w:val="TAL"/>
              <w:rPr>
                <w:lang w:val="en-US"/>
              </w:rPr>
            </w:pPr>
            <w:r>
              <w:rPr>
                <w:lang w:val="en-US"/>
              </w:rPr>
              <w:t>Maximum value = 100</w:t>
            </w:r>
          </w:p>
          <w:p w14:paraId="1389072B" w14:textId="77777777" w:rsidR="00D654A6" w:rsidRDefault="00D654A6" w:rsidP="005A20DD">
            <w:pPr>
              <w:pStyle w:val="TAL"/>
            </w:pPr>
            <w:r>
              <w:rPr>
                <w:lang w:val="en-US"/>
              </w:rPr>
              <w:t>(NOTE 1)</w:t>
            </w:r>
          </w:p>
        </w:tc>
        <w:tc>
          <w:tcPr>
            <w:tcW w:w="1772" w:type="dxa"/>
          </w:tcPr>
          <w:p w14:paraId="0AE4B126" w14:textId="77777777" w:rsidR="00D654A6" w:rsidRDefault="00D654A6" w:rsidP="005A20DD">
            <w:pPr>
              <w:pStyle w:val="TAL"/>
            </w:pPr>
          </w:p>
        </w:tc>
      </w:tr>
      <w:tr w:rsidR="00D654A6" w14:paraId="54F119E2" w14:textId="77777777" w:rsidTr="005A20DD">
        <w:trPr>
          <w:jc w:val="center"/>
        </w:trPr>
        <w:tc>
          <w:tcPr>
            <w:tcW w:w="1754" w:type="dxa"/>
            <w:tcMar>
              <w:top w:w="0" w:type="dxa"/>
              <w:left w:w="28" w:type="dxa"/>
              <w:bottom w:w="0" w:type="dxa"/>
              <w:right w:w="108" w:type="dxa"/>
            </w:tcMar>
          </w:tcPr>
          <w:p w14:paraId="20E60FF9" w14:textId="77777777" w:rsidR="00D654A6" w:rsidRDefault="00D654A6" w:rsidP="005A20DD">
            <w:pPr>
              <w:pStyle w:val="TAL"/>
              <w:rPr>
                <w:lang w:val="en-US" w:eastAsia="zh-CN"/>
              </w:rPr>
            </w:pPr>
            <w:r>
              <w:rPr>
                <w:lang w:val="en-US" w:eastAsia="zh-CN"/>
              </w:rPr>
              <w:t>losNlosInd</w:t>
            </w:r>
          </w:p>
        </w:tc>
        <w:tc>
          <w:tcPr>
            <w:tcW w:w="2359" w:type="dxa"/>
            <w:tcMar>
              <w:top w:w="0" w:type="dxa"/>
              <w:left w:w="28" w:type="dxa"/>
              <w:bottom w:w="0" w:type="dxa"/>
              <w:right w:w="108" w:type="dxa"/>
            </w:tcMar>
          </w:tcPr>
          <w:p w14:paraId="34FF96EE" w14:textId="77777777" w:rsidR="00D654A6" w:rsidRDefault="00D654A6" w:rsidP="005A20DD">
            <w:pPr>
              <w:pStyle w:val="TAL"/>
              <w:rPr>
                <w:lang w:val="en-US" w:eastAsia="zh-CN"/>
              </w:rPr>
            </w:pPr>
            <w:r>
              <w:rPr>
                <w:lang w:val="en-US" w:eastAsia="zh-CN"/>
              </w:rPr>
              <w:t>boolean</w:t>
            </w:r>
          </w:p>
        </w:tc>
        <w:tc>
          <w:tcPr>
            <w:tcW w:w="357" w:type="dxa"/>
            <w:tcMar>
              <w:top w:w="0" w:type="dxa"/>
              <w:left w:w="28" w:type="dxa"/>
              <w:bottom w:w="0" w:type="dxa"/>
              <w:right w:w="108" w:type="dxa"/>
            </w:tcMar>
          </w:tcPr>
          <w:p w14:paraId="4C4E0047" w14:textId="77777777" w:rsidR="00D654A6" w:rsidRDefault="00D654A6" w:rsidP="005A20DD">
            <w:pPr>
              <w:pStyle w:val="TAC"/>
              <w:rPr>
                <w:lang w:val="en-US" w:eastAsia="zh-CN"/>
              </w:rPr>
            </w:pPr>
            <w:r>
              <w:rPr>
                <w:lang w:val="en-US" w:eastAsia="zh-CN"/>
              </w:rPr>
              <w:t>O</w:t>
            </w:r>
          </w:p>
        </w:tc>
        <w:tc>
          <w:tcPr>
            <w:tcW w:w="1082" w:type="dxa"/>
            <w:tcMar>
              <w:top w:w="0" w:type="dxa"/>
              <w:left w:w="28" w:type="dxa"/>
              <w:bottom w:w="0" w:type="dxa"/>
              <w:right w:w="108" w:type="dxa"/>
            </w:tcMar>
          </w:tcPr>
          <w:p w14:paraId="676D7922" w14:textId="77777777" w:rsidR="00D654A6" w:rsidRDefault="00D654A6" w:rsidP="005A20DD">
            <w:pPr>
              <w:pStyle w:val="TAL"/>
              <w:rPr>
                <w:lang w:val="en-US" w:eastAsia="zh-CN"/>
              </w:rPr>
            </w:pPr>
            <w:r>
              <w:rPr>
                <w:lang w:val="en-US" w:eastAsia="zh-CN"/>
              </w:rPr>
              <w:t>0..1</w:t>
            </w:r>
          </w:p>
        </w:tc>
        <w:tc>
          <w:tcPr>
            <w:tcW w:w="2295" w:type="dxa"/>
            <w:tcMar>
              <w:top w:w="0" w:type="dxa"/>
              <w:left w:w="28" w:type="dxa"/>
              <w:bottom w:w="0" w:type="dxa"/>
              <w:right w:w="108" w:type="dxa"/>
            </w:tcMar>
          </w:tcPr>
          <w:p w14:paraId="6DCD0948" w14:textId="77777777" w:rsidR="00D654A6" w:rsidRDefault="00D654A6" w:rsidP="005A20DD">
            <w:pPr>
              <w:pStyle w:val="TAL"/>
            </w:pPr>
            <w:r w:rsidRPr="00361E91">
              <w:t>Indication whether th</w:t>
            </w:r>
            <w:r>
              <w:t>e</w:t>
            </w:r>
            <w:r w:rsidRPr="00361E91">
              <w:t xml:space="preserve"> location is measured with LOS or </w:t>
            </w:r>
            <w:r>
              <w:t>N</w:t>
            </w:r>
            <w:r w:rsidRPr="00361E91">
              <w:t xml:space="preserve">LOS </w:t>
            </w:r>
            <w:r>
              <w:t>using</w:t>
            </w:r>
            <w:r w:rsidRPr="00361E91">
              <w:t xml:space="preserve"> t</w:t>
            </w:r>
            <w:r>
              <w:t>his</w:t>
            </w:r>
            <w:r w:rsidRPr="00361E91">
              <w:t xml:space="preserve"> positioning method</w:t>
            </w:r>
            <w:r>
              <w:t>:</w:t>
            </w:r>
          </w:p>
          <w:p w14:paraId="6DE9F9A0" w14:textId="77777777" w:rsidR="00D654A6" w:rsidRDefault="00D654A6" w:rsidP="005A20DD">
            <w:pPr>
              <w:pStyle w:val="TAL"/>
            </w:pPr>
            <w:r>
              <w:t xml:space="preserve">- "true": the location is </w:t>
            </w:r>
            <w:r w:rsidRPr="00361E91">
              <w:t>measured with</w:t>
            </w:r>
            <w:r>
              <w:t xml:space="preserve"> LOS;</w:t>
            </w:r>
          </w:p>
          <w:p w14:paraId="441A73AC" w14:textId="77777777" w:rsidR="00D654A6" w:rsidRDefault="00D654A6" w:rsidP="005A20DD">
            <w:pPr>
              <w:pStyle w:val="TAL"/>
            </w:pPr>
            <w:r>
              <w:t xml:space="preserve">- "false"(default): the location is </w:t>
            </w:r>
            <w:r w:rsidRPr="00361E91">
              <w:t>measured with</w:t>
            </w:r>
            <w:r>
              <w:t xml:space="preserve"> NLOS.</w:t>
            </w:r>
          </w:p>
          <w:p w14:paraId="45D473C3" w14:textId="77777777" w:rsidR="00D654A6" w:rsidRDefault="00D654A6" w:rsidP="005A20DD">
            <w:pPr>
              <w:pStyle w:val="TAL"/>
              <w:rPr>
                <w:lang w:val="en-US"/>
              </w:rPr>
            </w:pPr>
            <w:r>
              <w:t>It may be provided if the subscription was targeting a specific location</w:t>
            </w:r>
            <w:r>
              <w:rPr>
                <w:lang w:val="en-US"/>
              </w:rPr>
              <w:t>.</w:t>
            </w:r>
          </w:p>
          <w:p w14:paraId="0269D75C" w14:textId="77777777" w:rsidR="00D654A6" w:rsidRDefault="00D654A6" w:rsidP="005A20DD">
            <w:pPr>
              <w:pStyle w:val="TAL"/>
            </w:pPr>
            <w:r>
              <w:rPr>
                <w:lang w:val="en-US"/>
              </w:rPr>
              <w:t>(NOTE 2)</w:t>
            </w:r>
          </w:p>
        </w:tc>
        <w:tc>
          <w:tcPr>
            <w:tcW w:w="1772" w:type="dxa"/>
          </w:tcPr>
          <w:p w14:paraId="31779DE5" w14:textId="77777777" w:rsidR="00D654A6" w:rsidRDefault="00D654A6" w:rsidP="005A20DD">
            <w:pPr>
              <w:pStyle w:val="TAL"/>
            </w:pPr>
          </w:p>
        </w:tc>
      </w:tr>
      <w:tr w:rsidR="00D654A6" w14:paraId="7189256C" w14:textId="77777777" w:rsidTr="005A20DD">
        <w:trPr>
          <w:jc w:val="center"/>
        </w:trPr>
        <w:tc>
          <w:tcPr>
            <w:tcW w:w="9619" w:type="dxa"/>
            <w:gridSpan w:val="6"/>
            <w:tcMar>
              <w:top w:w="0" w:type="dxa"/>
              <w:left w:w="28" w:type="dxa"/>
              <w:bottom w:w="0" w:type="dxa"/>
              <w:right w:w="108" w:type="dxa"/>
            </w:tcMar>
          </w:tcPr>
          <w:p w14:paraId="407ACCB7" w14:textId="77777777" w:rsidR="00D654A6" w:rsidRDefault="00D654A6" w:rsidP="005A20DD">
            <w:pPr>
              <w:pStyle w:val="TAN"/>
              <w:rPr>
                <w:lang w:val="en-US" w:eastAsia="zh-CN"/>
              </w:rPr>
            </w:pPr>
            <w:r>
              <w:rPr>
                <w:lang w:val="en-US" w:eastAsia="zh-CN"/>
              </w:rPr>
              <w:t>NOTE 1:</w:t>
            </w:r>
            <w:r>
              <w:rPr>
                <w:lang w:val="en-US" w:eastAsia="zh-CN"/>
              </w:rPr>
              <w:tab/>
              <w:t xml:space="preserve">The </w:t>
            </w:r>
            <w:r>
              <w:t>percentage of the NLOS measurements is equal to 100 minus the value of the "losNlosPct" attribute</w:t>
            </w:r>
            <w:r>
              <w:rPr>
                <w:lang w:val="en-US" w:eastAsia="zh-CN"/>
              </w:rPr>
              <w:t>.</w:t>
            </w:r>
          </w:p>
          <w:p w14:paraId="420C6B9C" w14:textId="77777777" w:rsidR="00D654A6" w:rsidRDefault="00D654A6" w:rsidP="005A20DD">
            <w:pPr>
              <w:pStyle w:val="TAN"/>
            </w:pPr>
            <w:r>
              <w:rPr>
                <w:lang w:val="en-US" w:eastAsia="zh-CN"/>
              </w:rPr>
              <w:t>NOTE 2:</w:t>
            </w:r>
            <w:r>
              <w:rPr>
                <w:lang w:val="en-US" w:eastAsia="zh-CN"/>
              </w:rPr>
              <w:tab/>
              <w:t>The attributes "losNlosPct" and "losNlosInd" are mutually exclusive.</w:t>
            </w:r>
          </w:p>
        </w:tc>
      </w:tr>
    </w:tbl>
    <w:p w14:paraId="356D93B3" w14:textId="77777777" w:rsidR="00D654A6" w:rsidRDefault="00D654A6" w:rsidP="00D654A6">
      <w:pPr>
        <w:rPr>
          <w:rFonts w:eastAsia="等线"/>
        </w:rPr>
      </w:pPr>
    </w:p>
    <w:p w14:paraId="47C8106B" w14:textId="77777777" w:rsidR="00A10B25" w:rsidRDefault="00A10B25">
      <w:pPr>
        <w:pStyle w:val="5"/>
      </w:pPr>
      <w:bookmarkStart w:id="8186" w:name="_Toc164920873"/>
      <w:bookmarkStart w:id="8187" w:name="_Toc170120415"/>
      <w:bookmarkStart w:id="8188" w:name="_Toc175858660"/>
      <w:bookmarkStart w:id="8189" w:name="_Toc175859733"/>
      <w:bookmarkStart w:id="8190" w:name="_Toc180606023"/>
      <w:bookmarkStart w:id="8191" w:name="_Toc185517277"/>
      <w:bookmarkStart w:id="8192" w:name="_Toc191576328"/>
      <w:bookmarkStart w:id="8193" w:name="_Toc191577068"/>
      <w:bookmarkStart w:id="8194" w:name="_Toc192880138"/>
      <w:bookmarkStart w:id="8195" w:name="_Toc195815021"/>
      <w:bookmarkStart w:id="8196" w:name="_Toc199452988"/>
      <w:r>
        <w:t>5.1.6.2.99</w:t>
      </w:r>
      <w:r>
        <w:tab/>
        <w:t xml:space="preserve">Type </w:t>
      </w:r>
      <w:bookmarkEnd w:id="8173"/>
      <w:r>
        <w:t>RelProxReq</w:t>
      </w:r>
      <w:bookmarkEnd w:id="8174"/>
      <w:bookmarkEnd w:id="8186"/>
      <w:bookmarkEnd w:id="8187"/>
      <w:bookmarkEnd w:id="8188"/>
      <w:bookmarkEnd w:id="8189"/>
      <w:bookmarkEnd w:id="8190"/>
      <w:bookmarkEnd w:id="8191"/>
      <w:bookmarkEnd w:id="8192"/>
      <w:bookmarkEnd w:id="8193"/>
      <w:bookmarkEnd w:id="8194"/>
      <w:bookmarkEnd w:id="8195"/>
      <w:bookmarkEnd w:id="8196"/>
    </w:p>
    <w:p w14:paraId="612AC344" w14:textId="77777777" w:rsidR="00A10B25" w:rsidRDefault="00A10B25">
      <w:pPr>
        <w:pStyle w:val="TH"/>
      </w:pPr>
      <w:r>
        <w:t>Table 5.1.6.2.99-1: Definition of type RelProxReq</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10B25" w14:paraId="4D1F4857" w14:textId="77777777" w:rsidTr="0076721C">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40920535"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3CDEA59C"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448425F7"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CB15BD6"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5B1CD1D2" w14:textId="77777777" w:rsidR="00A10B25" w:rsidRDefault="00A10B25">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7BAA3E27" w14:textId="77777777" w:rsidR="00A10B25" w:rsidRDefault="00A10B25">
            <w:pPr>
              <w:pStyle w:val="TAH"/>
              <w:ind w:left="400" w:hanging="400"/>
            </w:pPr>
            <w:r>
              <w:t>Applicability</w:t>
            </w:r>
          </w:p>
        </w:tc>
      </w:tr>
      <w:tr w:rsidR="00A10B25" w14:paraId="093944E9" w14:textId="77777777" w:rsidTr="0076721C">
        <w:trPr>
          <w:jc w:val="center"/>
        </w:trPr>
        <w:tc>
          <w:tcPr>
            <w:tcW w:w="1750" w:type="dxa"/>
            <w:tcBorders>
              <w:top w:val="single" w:sz="6" w:space="0" w:color="auto"/>
              <w:left w:val="single" w:sz="6" w:space="0" w:color="auto"/>
              <w:bottom w:val="single" w:sz="6" w:space="0" w:color="auto"/>
              <w:right w:val="single" w:sz="6" w:space="0" w:color="auto"/>
            </w:tcBorders>
          </w:tcPr>
          <w:p w14:paraId="44271A48" w14:textId="77777777" w:rsidR="00A10B25" w:rsidRDefault="00A10B25">
            <w:pPr>
              <w:pStyle w:val="TAL"/>
              <w:rPr>
                <w:lang w:eastAsia="zh-CN"/>
              </w:rPr>
            </w:pPr>
            <w:r>
              <w:rPr>
                <w:lang w:eastAsia="zh-CN"/>
              </w:rPr>
              <w:t>direction</w:t>
            </w:r>
          </w:p>
        </w:tc>
        <w:tc>
          <w:tcPr>
            <w:tcW w:w="1554" w:type="dxa"/>
            <w:tcBorders>
              <w:top w:val="single" w:sz="6" w:space="0" w:color="auto"/>
              <w:left w:val="single" w:sz="6" w:space="0" w:color="auto"/>
              <w:bottom w:val="single" w:sz="6" w:space="0" w:color="auto"/>
              <w:right w:val="single" w:sz="6" w:space="0" w:color="auto"/>
            </w:tcBorders>
          </w:tcPr>
          <w:p w14:paraId="2B280C7B" w14:textId="77777777" w:rsidR="00A10B25" w:rsidRDefault="00A10B25">
            <w:pPr>
              <w:pStyle w:val="TAL"/>
              <w:rPr>
                <w:lang w:eastAsia="zh-CN"/>
              </w:rPr>
            </w:pPr>
            <w:r>
              <w:rPr>
                <w:lang w:eastAsia="zh-CN"/>
              </w:rPr>
              <w:t>array(Direction)</w:t>
            </w:r>
          </w:p>
        </w:tc>
        <w:tc>
          <w:tcPr>
            <w:tcW w:w="424" w:type="dxa"/>
            <w:tcBorders>
              <w:top w:val="single" w:sz="6" w:space="0" w:color="auto"/>
              <w:left w:val="single" w:sz="6" w:space="0" w:color="auto"/>
              <w:bottom w:val="single" w:sz="6" w:space="0" w:color="auto"/>
              <w:right w:val="single" w:sz="6" w:space="0" w:color="auto"/>
            </w:tcBorders>
          </w:tcPr>
          <w:p w14:paraId="3A7399BC"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FDD8CF9" w14:textId="77777777" w:rsidR="00A10B25" w:rsidRDefault="00A10B25">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717617D4" w14:textId="77777777" w:rsidR="00A10B25" w:rsidRDefault="00A10B25">
            <w:pPr>
              <w:pStyle w:val="TAL"/>
              <w:rPr>
                <w:rFonts w:cs="Arial"/>
                <w:szCs w:val="18"/>
                <w:lang w:eastAsia="zh-CN"/>
              </w:rPr>
            </w:pPr>
            <w:r>
              <w:rPr>
                <w:rFonts w:cs="Arial"/>
                <w:szCs w:val="18"/>
              </w:rPr>
              <w:t>Indicates individual or set of direction(s) of interest.</w:t>
            </w:r>
          </w:p>
        </w:tc>
        <w:tc>
          <w:tcPr>
            <w:tcW w:w="1837" w:type="dxa"/>
            <w:tcBorders>
              <w:top w:val="single" w:sz="6" w:space="0" w:color="auto"/>
              <w:left w:val="single" w:sz="6" w:space="0" w:color="auto"/>
              <w:bottom w:val="single" w:sz="6" w:space="0" w:color="auto"/>
              <w:right w:val="single" w:sz="6" w:space="0" w:color="auto"/>
            </w:tcBorders>
          </w:tcPr>
          <w:p w14:paraId="5A7D0518" w14:textId="77777777" w:rsidR="00A10B25" w:rsidRDefault="00A10B25">
            <w:pPr>
              <w:pStyle w:val="TAL"/>
              <w:rPr>
                <w:rFonts w:cs="Arial"/>
                <w:szCs w:val="18"/>
              </w:rPr>
            </w:pPr>
          </w:p>
        </w:tc>
      </w:tr>
      <w:tr w:rsidR="00A10B25" w14:paraId="43B6D91F" w14:textId="77777777" w:rsidTr="0076721C">
        <w:trPr>
          <w:jc w:val="center"/>
        </w:trPr>
        <w:tc>
          <w:tcPr>
            <w:tcW w:w="1750" w:type="dxa"/>
            <w:tcBorders>
              <w:top w:val="single" w:sz="6" w:space="0" w:color="auto"/>
              <w:left w:val="single" w:sz="6" w:space="0" w:color="auto"/>
              <w:bottom w:val="single" w:sz="6" w:space="0" w:color="auto"/>
              <w:right w:val="single" w:sz="6" w:space="0" w:color="auto"/>
            </w:tcBorders>
          </w:tcPr>
          <w:p w14:paraId="7515544A" w14:textId="77777777" w:rsidR="00A10B25" w:rsidRDefault="00A10B25">
            <w:pPr>
              <w:pStyle w:val="TAL"/>
              <w:rPr>
                <w:lang w:eastAsia="zh-CN"/>
              </w:rPr>
            </w:pPr>
            <w:r>
              <w:rPr>
                <w:lang w:eastAsia="zh-CN"/>
              </w:rPr>
              <w:t>numOfUe</w:t>
            </w:r>
          </w:p>
        </w:tc>
        <w:tc>
          <w:tcPr>
            <w:tcW w:w="1554" w:type="dxa"/>
            <w:tcBorders>
              <w:top w:val="single" w:sz="6" w:space="0" w:color="auto"/>
              <w:left w:val="single" w:sz="6" w:space="0" w:color="auto"/>
              <w:bottom w:val="single" w:sz="6" w:space="0" w:color="auto"/>
              <w:right w:val="single" w:sz="6" w:space="0" w:color="auto"/>
            </w:tcBorders>
          </w:tcPr>
          <w:p w14:paraId="4E4F9D2F" w14:textId="77777777" w:rsidR="00A10B25" w:rsidRDefault="00A10B25">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5F4DE91E" w14:textId="77777777" w:rsidR="00A10B25" w:rsidRDefault="00A10B25">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AF503F5"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34A5A299" w14:textId="77777777" w:rsidR="00A10B25" w:rsidRPr="0076721C" w:rsidRDefault="00A10B25">
            <w:pPr>
              <w:pStyle w:val="TAL"/>
              <w:rPr>
                <w:rFonts w:eastAsia="等线"/>
                <w:lang w:eastAsia="zh-CN"/>
              </w:rPr>
            </w:pPr>
            <w:r>
              <w:rPr>
                <w:lang w:eastAsia="zh-CN"/>
              </w:rPr>
              <w:t xml:space="preserve">Indicates </w:t>
            </w:r>
            <w:r>
              <w:t>the number of UEs for which one UE may report proximity information</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515BA431" w14:textId="77777777" w:rsidR="00A10B25" w:rsidRDefault="00A10B25">
            <w:pPr>
              <w:pStyle w:val="TAL"/>
              <w:rPr>
                <w:rFonts w:cs="Arial"/>
                <w:szCs w:val="18"/>
              </w:rPr>
            </w:pPr>
          </w:p>
        </w:tc>
      </w:tr>
      <w:tr w:rsidR="00A10B25" w14:paraId="20D79FDE" w14:textId="77777777">
        <w:trPr>
          <w:jc w:val="center"/>
        </w:trPr>
        <w:tc>
          <w:tcPr>
            <w:tcW w:w="1750" w:type="dxa"/>
            <w:tcBorders>
              <w:top w:val="single" w:sz="6" w:space="0" w:color="auto"/>
              <w:left w:val="single" w:sz="6" w:space="0" w:color="auto"/>
              <w:bottom w:val="single" w:sz="6" w:space="0" w:color="auto"/>
              <w:right w:val="single" w:sz="6" w:space="0" w:color="auto"/>
            </w:tcBorders>
          </w:tcPr>
          <w:p w14:paraId="58B454A0" w14:textId="77777777" w:rsidR="00A10B25" w:rsidRDefault="00A10B25">
            <w:pPr>
              <w:pStyle w:val="TAL"/>
              <w:rPr>
                <w:lang w:eastAsia="zh-CN"/>
              </w:rPr>
            </w:pPr>
            <w:r>
              <w:rPr>
                <w:lang w:eastAsia="zh-CN"/>
              </w:rPr>
              <w:t>proximityCrits</w:t>
            </w:r>
          </w:p>
        </w:tc>
        <w:tc>
          <w:tcPr>
            <w:tcW w:w="1554" w:type="dxa"/>
            <w:tcBorders>
              <w:top w:val="single" w:sz="6" w:space="0" w:color="auto"/>
              <w:left w:val="single" w:sz="6" w:space="0" w:color="auto"/>
              <w:bottom w:val="single" w:sz="6" w:space="0" w:color="auto"/>
              <w:right w:val="single" w:sz="6" w:space="0" w:color="auto"/>
            </w:tcBorders>
          </w:tcPr>
          <w:p w14:paraId="191F5A37" w14:textId="77777777" w:rsidR="00A10B25" w:rsidRDefault="00A10B25">
            <w:pPr>
              <w:pStyle w:val="TAL"/>
            </w:pPr>
            <w:r>
              <w:t>array(ProximityCriterion)</w:t>
            </w:r>
          </w:p>
        </w:tc>
        <w:tc>
          <w:tcPr>
            <w:tcW w:w="424" w:type="dxa"/>
            <w:tcBorders>
              <w:top w:val="single" w:sz="6" w:space="0" w:color="auto"/>
              <w:left w:val="single" w:sz="6" w:space="0" w:color="auto"/>
              <w:bottom w:val="single" w:sz="6" w:space="0" w:color="auto"/>
              <w:right w:val="single" w:sz="6" w:space="0" w:color="auto"/>
            </w:tcBorders>
          </w:tcPr>
          <w:p w14:paraId="62D4AC85" w14:textId="77777777" w:rsidR="00A10B25" w:rsidRDefault="00A10B25">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13EB6188" w14:textId="77777777" w:rsidR="00A10B25" w:rsidRDefault="00A10B25">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48095182" w14:textId="77777777" w:rsidR="00A10B25" w:rsidRDefault="00A10B25">
            <w:pPr>
              <w:pStyle w:val="TAL"/>
              <w:rPr>
                <w:lang w:eastAsia="zh-CN"/>
              </w:rPr>
            </w:pPr>
            <w:r>
              <w:t>One or several criteria to be considered when computing the relative proximity.</w:t>
            </w:r>
          </w:p>
        </w:tc>
        <w:tc>
          <w:tcPr>
            <w:tcW w:w="1837" w:type="dxa"/>
            <w:tcBorders>
              <w:top w:val="single" w:sz="6" w:space="0" w:color="auto"/>
              <w:left w:val="single" w:sz="6" w:space="0" w:color="auto"/>
              <w:bottom w:val="single" w:sz="6" w:space="0" w:color="auto"/>
              <w:right w:val="single" w:sz="6" w:space="0" w:color="auto"/>
            </w:tcBorders>
          </w:tcPr>
          <w:p w14:paraId="2888BD6C" w14:textId="77777777" w:rsidR="00A10B25" w:rsidRDefault="00A10B25">
            <w:pPr>
              <w:pStyle w:val="TAL"/>
              <w:rPr>
                <w:rFonts w:cs="Arial"/>
                <w:szCs w:val="18"/>
              </w:rPr>
            </w:pPr>
          </w:p>
        </w:tc>
      </w:tr>
    </w:tbl>
    <w:p w14:paraId="0B1CD401" w14:textId="77777777" w:rsidR="00A10B25" w:rsidRDefault="00A10B25">
      <w:pPr>
        <w:rPr>
          <w:u w:val="single"/>
        </w:rPr>
      </w:pPr>
    </w:p>
    <w:p w14:paraId="6BFDE15C" w14:textId="77777777" w:rsidR="00A10B25" w:rsidRDefault="00A10B25">
      <w:pPr>
        <w:pStyle w:val="5"/>
      </w:pPr>
      <w:bookmarkStart w:id="8197" w:name="_Toc148522690"/>
      <w:bookmarkStart w:id="8198" w:name="_Toc164920874"/>
      <w:bookmarkStart w:id="8199" w:name="_Toc170120416"/>
      <w:bookmarkStart w:id="8200" w:name="_Toc175858661"/>
      <w:bookmarkStart w:id="8201" w:name="_Toc175859734"/>
      <w:bookmarkStart w:id="8202" w:name="_Toc180606024"/>
      <w:bookmarkStart w:id="8203" w:name="_Toc185517278"/>
      <w:bookmarkStart w:id="8204" w:name="_Toc191576329"/>
      <w:bookmarkStart w:id="8205" w:name="_Toc191577069"/>
      <w:bookmarkStart w:id="8206" w:name="_Toc192880139"/>
      <w:bookmarkStart w:id="8207" w:name="_Toc195815022"/>
      <w:bookmarkStart w:id="8208" w:name="_Toc199452989"/>
      <w:r>
        <w:lastRenderedPageBreak/>
        <w:t>5.1.6.2.100</w:t>
      </w:r>
      <w:r>
        <w:tab/>
        <w:t>Type RelProxInfo</w:t>
      </w:r>
      <w:bookmarkEnd w:id="8197"/>
      <w:bookmarkEnd w:id="8198"/>
      <w:bookmarkEnd w:id="8199"/>
      <w:bookmarkEnd w:id="8200"/>
      <w:bookmarkEnd w:id="8201"/>
      <w:bookmarkEnd w:id="8202"/>
      <w:bookmarkEnd w:id="8203"/>
      <w:bookmarkEnd w:id="8204"/>
      <w:bookmarkEnd w:id="8205"/>
      <w:bookmarkEnd w:id="8206"/>
      <w:bookmarkEnd w:id="8207"/>
      <w:bookmarkEnd w:id="8208"/>
    </w:p>
    <w:p w14:paraId="43C26913" w14:textId="77777777" w:rsidR="00183EFC" w:rsidRDefault="00183EFC" w:rsidP="00183EFC">
      <w:pPr>
        <w:pStyle w:val="TH"/>
      </w:pPr>
      <w:bookmarkStart w:id="8209" w:name="_Toc148522691"/>
      <w:bookmarkStart w:id="8210" w:name="_Toc164920875"/>
      <w:bookmarkStart w:id="8211" w:name="_Toc170120417"/>
      <w:bookmarkStart w:id="8212" w:name="_Toc175858662"/>
      <w:bookmarkStart w:id="8213" w:name="_Toc175859735"/>
      <w:bookmarkStart w:id="8214" w:name="_Toc180606025"/>
      <w:bookmarkStart w:id="8215" w:name="_Toc185517279"/>
      <w:bookmarkStart w:id="8216" w:name="_Toc191576330"/>
      <w:bookmarkStart w:id="8217" w:name="_Toc191577070"/>
      <w:bookmarkStart w:id="8218" w:name="_Toc192880140"/>
      <w:bookmarkStart w:id="8219" w:name="_Toc195815023"/>
      <w:r>
        <w:t>Table 5.1.6.2.100-1: Definition of type RelProxInfo</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183EFC" w14:paraId="23CEBFE7"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1445DAAB" w14:textId="77777777" w:rsidR="00183EFC" w:rsidRDefault="00183EFC" w:rsidP="00902260">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56E280A7" w14:textId="77777777" w:rsidR="00183EFC" w:rsidRDefault="00183EFC" w:rsidP="0090226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4A6E58CA" w14:textId="77777777" w:rsidR="00183EFC" w:rsidRDefault="00183EFC" w:rsidP="0090226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06511A39" w14:textId="77777777" w:rsidR="00183EFC" w:rsidRDefault="00183EFC" w:rsidP="0090226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7067B234" w14:textId="77777777" w:rsidR="00183EFC" w:rsidRDefault="00183EFC" w:rsidP="0090226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552C6941" w14:textId="77777777" w:rsidR="00183EFC" w:rsidRDefault="00183EFC" w:rsidP="00902260">
            <w:pPr>
              <w:pStyle w:val="TAH"/>
              <w:ind w:left="400" w:hanging="400"/>
            </w:pPr>
            <w:r>
              <w:t>Applicability</w:t>
            </w:r>
          </w:p>
        </w:tc>
      </w:tr>
      <w:tr w:rsidR="00183EFC" w14:paraId="60DE8162"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4DA4B9DD" w14:textId="77777777" w:rsidR="00183EFC" w:rsidRDefault="00183EFC" w:rsidP="00902260">
            <w:pPr>
              <w:pStyle w:val="TAL"/>
              <w:rPr>
                <w:lang w:eastAsia="zh-CN"/>
              </w:rPr>
            </w:pPr>
            <w:r>
              <w:rPr>
                <w:lang w:eastAsia="zh-CN"/>
              </w:rPr>
              <w:t>tsStart</w:t>
            </w:r>
          </w:p>
        </w:tc>
        <w:tc>
          <w:tcPr>
            <w:tcW w:w="1554" w:type="dxa"/>
            <w:tcBorders>
              <w:top w:val="single" w:sz="6" w:space="0" w:color="auto"/>
              <w:left w:val="single" w:sz="6" w:space="0" w:color="auto"/>
              <w:bottom w:val="single" w:sz="6" w:space="0" w:color="auto"/>
              <w:right w:val="single" w:sz="6" w:space="0" w:color="auto"/>
            </w:tcBorders>
          </w:tcPr>
          <w:p w14:paraId="437B2EEC" w14:textId="77777777" w:rsidR="00183EFC" w:rsidRDefault="00183EFC" w:rsidP="00902260">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67C3F331" w14:textId="77777777" w:rsidR="00183EFC" w:rsidRDefault="00183EFC" w:rsidP="00902260">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6355885F" w14:textId="77777777" w:rsidR="00183EFC" w:rsidRDefault="00183EFC" w:rsidP="00902260">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635DA217" w14:textId="77777777" w:rsidR="00183EFC" w:rsidRDefault="00183EFC" w:rsidP="00902260">
            <w:pPr>
              <w:pStyle w:val="TAL"/>
              <w:rPr>
                <w:rFonts w:cs="Arial"/>
                <w:szCs w:val="18"/>
                <w:lang w:eastAsia="zh-CN"/>
              </w:rPr>
            </w:pPr>
            <w:r>
              <w:rPr>
                <w:rFonts w:cs="Arial"/>
                <w:szCs w:val="18"/>
              </w:rPr>
              <w:t>Indicates the timestamp when the time slot starts during the Analytics target period.</w:t>
            </w:r>
          </w:p>
        </w:tc>
        <w:tc>
          <w:tcPr>
            <w:tcW w:w="1837" w:type="dxa"/>
            <w:tcBorders>
              <w:top w:val="single" w:sz="6" w:space="0" w:color="auto"/>
              <w:left w:val="single" w:sz="6" w:space="0" w:color="auto"/>
              <w:bottom w:val="single" w:sz="6" w:space="0" w:color="auto"/>
              <w:right w:val="single" w:sz="6" w:space="0" w:color="auto"/>
            </w:tcBorders>
          </w:tcPr>
          <w:p w14:paraId="1A2036AE" w14:textId="77777777" w:rsidR="00183EFC" w:rsidRDefault="00183EFC" w:rsidP="00902260">
            <w:pPr>
              <w:pStyle w:val="TAL"/>
              <w:rPr>
                <w:rFonts w:cs="Arial"/>
                <w:szCs w:val="18"/>
              </w:rPr>
            </w:pPr>
          </w:p>
        </w:tc>
      </w:tr>
      <w:tr w:rsidR="00183EFC" w14:paraId="41B47564"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53167414" w14:textId="77777777" w:rsidR="00183EFC" w:rsidRDefault="00183EFC" w:rsidP="00902260">
            <w:pPr>
              <w:pStyle w:val="TAL"/>
              <w:rPr>
                <w:lang w:eastAsia="zh-CN"/>
              </w:rPr>
            </w:pPr>
            <w:r>
              <w:rPr>
                <w:lang w:eastAsia="zh-CN"/>
              </w:rPr>
              <w:t>tsDuration</w:t>
            </w:r>
          </w:p>
        </w:tc>
        <w:tc>
          <w:tcPr>
            <w:tcW w:w="1554" w:type="dxa"/>
            <w:tcBorders>
              <w:top w:val="single" w:sz="6" w:space="0" w:color="auto"/>
              <w:left w:val="single" w:sz="6" w:space="0" w:color="auto"/>
              <w:bottom w:val="single" w:sz="6" w:space="0" w:color="auto"/>
              <w:right w:val="single" w:sz="6" w:space="0" w:color="auto"/>
            </w:tcBorders>
          </w:tcPr>
          <w:p w14:paraId="1F6FF730" w14:textId="77777777" w:rsidR="00183EFC" w:rsidRDefault="00183EFC" w:rsidP="00902260">
            <w:pPr>
              <w:pStyle w:val="TAL"/>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256AB0B3" w14:textId="77777777" w:rsidR="00183EFC" w:rsidRDefault="00183EFC" w:rsidP="00902260">
            <w:pPr>
              <w:pStyle w:val="TAC"/>
              <w:rPr>
                <w:lang w:eastAsia="zh-CN"/>
              </w:rPr>
            </w:pPr>
            <w:r>
              <w:t>M</w:t>
            </w:r>
          </w:p>
        </w:tc>
        <w:tc>
          <w:tcPr>
            <w:tcW w:w="1130" w:type="dxa"/>
            <w:tcBorders>
              <w:top w:val="single" w:sz="6" w:space="0" w:color="auto"/>
              <w:left w:val="single" w:sz="6" w:space="0" w:color="auto"/>
              <w:bottom w:val="single" w:sz="6" w:space="0" w:color="auto"/>
              <w:right w:val="single" w:sz="6" w:space="0" w:color="auto"/>
            </w:tcBorders>
          </w:tcPr>
          <w:p w14:paraId="090988B7" w14:textId="77777777" w:rsidR="00183EFC" w:rsidRDefault="00183EFC" w:rsidP="00902260">
            <w:pPr>
              <w:pStyle w:val="TAL"/>
              <w:rPr>
                <w:lang w:eastAsia="zh-CN"/>
              </w:rPr>
            </w:pPr>
            <w:r>
              <w:t>1</w:t>
            </w:r>
          </w:p>
        </w:tc>
        <w:tc>
          <w:tcPr>
            <w:tcW w:w="2845" w:type="dxa"/>
            <w:tcBorders>
              <w:top w:val="single" w:sz="6" w:space="0" w:color="auto"/>
              <w:left w:val="single" w:sz="6" w:space="0" w:color="auto"/>
              <w:bottom w:val="single" w:sz="6" w:space="0" w:color="auto"/>
              <w:right w:val="single" w:sz="6" w:space="0" w:color="auto"/>
            </w:tcBorders>
          </w:tcPr>
          <w:p w14:paraId="4DCE851C" w14:textId="77777777" w:rsidR="00183EFC" w:rsidRDefault="00183EFC" w:rsidP="00902260">
            <w:pPr>
              <w:pStyle w:val="TAL"/>
              <w:rPr>
                <w:rFonts w:eastAsia="等线"/>
                <w:lang w:eastAsia="zh-CN"/>
              </w:rPr>
            </w:pPr>
            <w:r>
              <w:rPr>
                <w:rFonts w:cs="Arial"/>
                <w:szCs w:val="18"/>
              </w:rPr>
              <w:t>Indicates the time slot duration.</w:t>
            </w:r>
          </w:p>
        </w:tc>
        <w:tc>
          <w:tcPr>
            <w:tcW w:w="1837" w:type="dxa"/>
            <w:tcBorders>
              <w:top w:val="single" w:sz="6" w:space="0" w:color="auto"/>
              <w:left w:val="single" w:sz="6" w:space="0" w:color="auto"/>
              <w:bottom w:val="single" w:sz="6" w:space="0" w:color="auto"/>
              <w:right w:val="single" w:sz="6" w:space="0" w:color="auto"/>
            </w:tcBorders>
          </w:tcPr>
          <w:p w14:paraId="06D55898" w14:textId="77777777" w:rsidR="00183EFC" w:rsidRDefault="00183EFC" w:rsidP="00902260">
            <w:pPr>
              <w:pStyle w:val="TAL"/>
              <w:rPr>
                <w:rFonts w:cs="Arial"/>
                <w:szCs w:val="18"/>
              </w:rPr>
            </w:pPr>
          </w:p>
        </w:tc>
      </w:tr>
      <w:tr w:rsidR="00183EFC" w14:paraId="5F8BB75E"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430863AE" w14:textId="77777777" w:rsidR="00183EFC" w:rsidRDefault="00183EFC" w:rsidP="00902260">
            <w:pPr>
              <w:pStyle w:val="TAL"/>
              <w:rPr>
                <w:lang w:eastAsia="zh-CN"/>
              </w:rPr>
            </w:pPr>
            <w:r>
              <w:rPr>
                <w:lang w:eastAsia="zh-CN"/>
              </w:rPr>
              <w:t>supis</w:t>
            </w:r>
          </w:p>
        </w:tc>
        <w:tc>
          <w:tcPr>
            <w:tcW w:w="1554" w:type="dxa"/>
            <w:tcBorders>
              <w:top w:val="single" w:sz="6" w:space="0" w:color="auto"/>
              <w:left w:val="single" w:sz="6" w:space="0" w:color="auto"/>
              <w:bottom w:val="single" w:sz="6" w:space="0" w:color="auto"/>
              <w:right w:val="single" w:sz="6" w:space="0" w:color="auto"/>
            </w:tcBorders>
          </w:tcPr>
          <w:p w14:paraId="33E4E8B2" w14:textId="77777777" w:rsidR="00183EFC" w:rsidRDefault="00183EFC" w:rsidP="00902260">
            <w:pPr>
              <w:pStyle w:val="TAL"/>
              <w:rPr>
                <w:lang w:eastAsia="zh-CN"/>
              </w:rPr>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6FBFD060" w14:textId="77777777" w:rsidR="00183EFC" w:rsidRDefault="00183EFC" w:rsidP="00902260">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CA9D94E"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0B024481" w14:textId="0FD0D736" w:rsidR="00183EFC" w:rsidRDefault="00183EFC" w:rsidP="00902260">
            <w:pPr>
              <w:pStyle w:val="TAL"/>
              <w:rPr>
                <w:rFonts w:cs="Arial"/>
                <w:szCs w:val="18"/>
              </w:rPr>
            </w:pPr>
            <w:r>
              <w:rPr>
                <w:rFonts w:cs="Arial"/>
                <w:szCs w:val="18"/>
              </w:rPr>
              <w:t xml:space="preserve">Identifies the UE(s) to which the proximity information applies. </w:t>
            </w:r>
          </w:p>
          <w:p w14:paraId="710AC10F" w14:textId="77777777" w:rsidR="00183EFC" w:rsidRDefault="00183EFC" w:rsidP="00902260">
            <w:pPr>
              <w:pStyle w:val="TAL"/>
              <w:rPr>
                <w:rFonts w:cs="Arial"/>
                <w:szCs w:val="18"/>
              </w:rPr>
            </w:pPr>
            <w:r>
              <w:rPr>
                <w:rFonts w:cs="Arial"/>
                <w:szCs w:val="18"/>
              </w:rPr>
              <w:t>(NOTE)</w:t>
            </w:r>
          </w:p>
        </w:tc>
        <w:tc>
          <w:tcPr>
            <w:tcW w:w="1837" w:type="dxa"/>
            <w:tcBorders>
              <w:top w:val="single" w:sz="6" w:space="0" w:color="auto"/>
              <w:left w:val="single" w:sz="6" w:space="0" w:color="auto"/>
              <w:bottom w:val="single" w:sz="6" w:space="0" w:color="auto"/>
              <w:right w:val="single" w:sz="6" w:space="0" w:color="auto"/>
            </w:tcBorders>
          </w:tcPr>
          <w:p w14:paraId="449D3F21" w14:textId="77777777" w:rsidR="00183EFC" w:rsidRDefault="00183EFC" w:rsidP="00902260">
            <w:pPr>
              <w:pStyle w:val="TAL"/>
              <w:rPr>
                <w:rFonts w:cs="Arial"/>
                <w:szCs w:val="18"/>
              </w:rPr>
            </w:pPr>
          </w:p>
        </w:tc>
      </w:tr>
      <w:tr w:rsidR="00183EFC" w14:paraId="131DA064"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0E067DF3" w14:textId="77777777" w:rsidR="00183EFC" w:rsidRDefault="00183EFC" w:rsidP="00902260">
            <w:pPr>
              <w:pStyle w:val="TAL"/>
              <w:rPr>
                <w:lang w:eastAsia="zh-CN"/>
              </w:rPr>
            </w:pPr>
            <w:r>
              <w:rPr>
                <w:lang w:eastAsia="zh-CN"/>
              </w:rPr>
              <w:t>gpsis</w:t>
            </w:r>
          </w:p>
        </w:tc>
        <w:tc>
          <w:tcPr>
            <w:tcW w:w="1554" w:type="dxa"/>
            <w:tcBorders>
              <w:top w:val="single" w:sz="6" w:space="0" w:color="auto"/>
              <w:left w:val="single" w:sz="6" w:space="0" w:color="auto"/>
              <w:bottom w:val="single" w:sz="6" w:space="0" w:color="auto"/>
              <w:right w:val="single" w:sz="6" w:space="0" w:color="auto"/>
            </w:tcBorders>
          </w:tcPr>
          <w:p w14:paraId="2A1A7CDD" w14:textId="77777777" w:rsidR="00183EFC" w:rsidRDefault="00183EFC" w:rsidP="00902260">
            <w:pPr>
              <w:pStyle w:val="TAL"/>
              <w:rPr>
                <w:lang w:eastAsia="zh-CN"/>
              </w:rPr>
            </w:pPr>
            <w:r>
              <w:rPr>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5534FCDB" w14:textId="77777777"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6CD53DD7"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4BB24A9B" w14:textId="0C9BDF90" w:rsidR="00183EFC" w:rsidRDefault="00183EFC" w:rsidP="00902260">
            <w:pPr>
              <w:pStyle w:val="TAL"/>
              <w:rPr>
                <w:rFonts w:cs="Arial"/>
                <w:szCs w:val="18"/>
              </w:rPr>
            </w:pPr>
            <w:r>
              <w:rPr>
                <w:rFonts w:cs="Arial"/>
                <w:szCs w:val="18"/>
              </w:rPr>
              <w:t>Identifies the UE(s) to which the proximity information applies.</w:t>
            </w:r>
          </w:p>
          <w:p w14:paraId="11E4EC8F" w14:textId="77777777" w:rsidR="00183EFC" w:rsidRDefault="00183EFC" w:rsidP="00902260">
            <w:pPr>
              <w:pStyle w:val="TAL"/>
              <w:rPr>
                <w:rFonts w:cs="Arial"/>
                <w:szCs w:val="18"/>
              </w:rPr>
            </w:pPr>
            <w:r>
              <w:rPr>
                <w:rFonts w:cs="Arial"/>
                <w:szCs w:val="18"/>
              </w:rPr>
              <w:t>(NOTE)</w:t>
            </w:r>
          </w:p>
          <w:p w14:paraId="1653F208" w14:textId="65E15723" w:rsidR="00183EFC" w:rsidRDefault="00183EFC" w:rsidP="00902260">
            <w:pPr>
              <w:pStyle w:val="TAL"/>
              <w:rPr>
                <w:rFonts w:cs="Arial"/>
                <w:szCs w:val="18"/>
              </w:rPr>
            </w:pPr>
            <w:r>
              <w:rPr>
                <w:rFonts w:cs="Arial"/>
                <w:szCs w:val="18"/>
              </w:rPr>
              <w:t>This is attribute is not applicable in this API.</w:t>
            </w:r>
          </w:p>
        </w:tc>
        <w:tc>
          <w:tcPr>
            <w:tcW w:w="1837" w:type="dxa"/>
            <w:tcBorders>
              <w:top w:val="single" w:sz="6" w:space="0" w:color="auto"/>
              <w:left w:val="single" w:sz="6" w:space="0" w:color="auto"/>
              <w:bottom w:val="single" w:sz="6" w:space="0" w:color="auto"/>
              <w:right w:val="single" w:sz="6" w:space="0" w:color="auto"/>
            </w:tcBorders>
          </w:tcPr>
          <w:p w14:paraId="2D78ECB5" w14:textId="77777777" w:rsidR="00183EFC" w:rsidRDefault="00183EFC" w:rsidP="00902260">
            <w:pPr>
              <w:pStyle w:val="TAL"/>
              <w:rPr>
                <w:rFonts w:cs="Arial"/>
                <w:szCs w:val="18"/>
              </w:rPr>
            </w:pPr>
          </w:p>
        </w:tc>
      </w:tr>
      <w:tr w:rsidR="00183EFC" w14:paraId="30E4B60C"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729EDE7D" w14:textId="77777777" w:rsidR="00183EFC" w:rsidRDefault="00183EFC" w:rsidP="00902260">
            <w:pPr>
              <w:pStyle w:val="TAL"/>
              <w:rPr>
                <w:lang w:eastAsia="zh-CN"/>
              </w:rPr>
            </w:pPr>
            <w:r>
              <w:t>intGroupIds</w:t>
            </w:r>
          </w:p>
        </w:tc>
        <w:tc>
          <w:tcPr>
            <w:tcW w:w="1554" w:type="dxa"/>
            <w:tcBorders>
              <w:top w:val="single" w:sz="6" w:space="0" w:color="auto"/>
              <w:left w:val="single" w:sz="6" w:space="0" w:color="auto"/>
              <w:bottom w:val="single" w:sz="6" w:space="0" w:color="auto"/>
              <w:right w:val="single" w:sz="6" w:space="0" w:color="auto"/>
            </w:tcBorders>
          </w:tcPr>
          <w:p w14:paraId="53CA4A29" w14:textId="77777777" w:rsidR="00183EFC" w:rsidRDefault="00183EFC" w:rsidP="00902260">
            <w:pPr>
              <w:pStyle w:val="TAL"/>
              <w:rPr>
                <w:lang w:eastAsia="zh-CN"/>
              </w:rPr>
            </w:pPr>
            <w:r>
              <w:t>array(GroupId)</w:t>
            </w:r>
          </w:p>
        </w:tc>
        <w:tc>
          <w:tcPr>
            <w:tcW w:w="424" w:type="dxa"/>
            <w:tcBorders>
              <w:top w:val="single" w:sz="6" w:space="0" w:color="auto"/>
              <w:left w:val="single" w:sz="6" w:space="0" w:color="auto"/>
              <w:bottom w:val="single" w:sz="6" w:space="0" w:color="auto"/>
              <w:right w:val="single" w:sz="6" w:space="0" w:color="auto"/>
            </w:tcBorders>
          </w:tcPr>
          <w:p w14:paraId="128BDE57" w14:textId="77777777" w:rsidR="00183EFC" w:rsidRDefault="00183EFC" w:rsidP="009022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ADD621C" w14:textId="77777777" w:rsidR="00183EFC" w:rsidRDefault="00183EFC" w:rsidP="00902260">
            <w:pPr>
              <w:pStyle w:val="TAL"/>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3A098FFC" w14:textId="77777777" w:rsidR="00183EFC" w:rsidRDefault="00183EFC" w:rsidP="00902260">
            <w:pPr>
              <w:pStyle w:val="TAL"/>
              <w:rPr>
                <w:rFonts w:cs="Arial"/>
                <w:szCs w:val="18"/>
              </w:rPr>
            </w:pPr>
            <w:r>
              <w:rPr>
                <w:rFonts w:cs="Arial"/>
                <w:szCs w:val="18"/>
              </w:rPr>
              <w:t>Identifies the gourp of UE(s) to which the proximity information applies.</w:t>
            </w:r>
          </w:p>
          <w:p w14:paraId="1BE578C9" w14:textId="77777777" w:rsidR="00183EFC" w:rsidRDefault="00183EFC" w:rsidP="00902260">
            <w:pPr>
              <w:pStyle w:val="TAL"/>
              <w:rPr>
                <w:rFonts w:cs="Arial"/>
                <w:szCs w:val="18"/>
              </w:rPr>
            </w:pPr>
            <w:r>
              <w:rPr>
                <w:rFonts w:cs="Arial"/>
                <w:szCs w:val="18"/>
              </w:rPr>
              <w:t>(NOTE)</w:t>
            </w:r>
          </w:p>
        </w:tc>
        <w:tc>
          <w:tcPr>
            <w:tcW w:w="1837" w:type="dxa"/>
            <w:tcBorders>
              <w:top w:val="single" w:sz="6" w:space="0" w:color="auto"/>
              <w:left w:val="single" w:sz="6" w:space="0" w:color="auto"/>
              <w:bottom w:val="single" w:sz="6" w:space="0" w:color="auto"/>
              <w:right w:val="single" w:sz="6" w:space="0" w:color="auto"/>
            </w:tcBorders>
          </w:tcPr>
          <w:p w14:paraId="4D578060" w14:textId="77777777" w:rsidR="00183EFC" w:rsidRDefault="00183EFC" w:rsidP="00902260">
            <w:pPr>
              <w:pStyle w:val="TAL"/>
              <w:rPr>
                <w:rFonts w:cs="Arial"/>
                <w:szCs w:val="18"/>
              </w:rPr>
            </w:pPr>
            <w:r>
              <w:rPr>
                <w:lang w:eastAsia="zh-CN"/>
              </w:rPr>
              <w:t>EnRelativeProximity</w:t>
            </w:r>
          </w:p>
        </w:tc>
      </w:tr>
      <w:tr w:rsidR="00183EFC" w14:paraId="57CFBA75"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5128B5A9" w14:textId="77777777" w:rsidR="00183EFC" w:rsidRDefault="00183EFC" w:rsidP="00902260">
            <w:pPr>
              <w:pStyle w:val="TAL"/>
              <w:rPr>
                <w:lang w:eastAsia="zh-CN"/>
              </w:rPr>
            </w:pPr>
            <w:r>
              <w:rPr>
                <w:noProof/>
              </w:rPr>
              <w:t>exterGroupIds</w:t>
            </w:r>
          </w:p>
        </w:tc>
        <w:tc>
          <w:tcPr>
            <w:tcW w:w="1554" w:type="dxa"/>
            <w:tcBorders>
              <w:top w:val="single" w:sz="6" w:space="0" w:color="auto"/>
              <w:left w:val="single" w:sz="6" w:space="0" w:color="auto"/>
              <w:bottom w:val="single" w:sz="6" w:space="0" w:color="auto"/>
              <w:right w:val="single" w:sz="6" w:space="0" w:color="auto"/>
            </w:tcBorders>
          </w:tcPr>
          <w:p w14:paraId="21CE034A" w14:textId="77777777" w:rsidR="00183EFC" w:rsidRDefault="00183EFC" w:rsidP="00902260">
            <w:pPr>
              <w:pStyle w:val="TAL"/>
              <w:rPr>
                <w:lang w:eastAsia="zh-CN"/>
              </w:rPr>
            </w:pPr>
            <w:r>
              <w:t>array(</w:t>
            </w:r>
            <w:r>
              <w:rPr>
                <w:lang w:eastAsia="zh-CN"/>
              </w:rPr>
              <w:t>E</w:t>
            </w:r>
            <w:r>
              <w:rPr>
                <w:rFonts w:hint="eastAsia"/>
                <w:lang w:eastAsia="zh-CN"/>
              </w:rPr>
              <w:t>xternal</w:t>
            </w:r>
            <w:r>
              <w:rPr>
                <w:lang w:eastAsia="zh-CN"/>
              </w:rPr>
              <w:t>GroupId</w:t>
            </w:r>
            <w:r>
              <w:t>)</w:t>
            </w:r>
          </w:p>
        </w:tc>
        <w:tc>
          <w:tcPr>
            <w:tcW w:w="424" w:type="dxa"/>
            <w:tcBorders>
              <w:top w:val="single" w:sz="6" w:space="0" w:color="auto"/>
              <w:left w:val="single" w:sz="6" w:space="0" w:color="auto"/>
              <w:bottom w:val="single" w:sz="6" w:space="0" w:color="auto"/>
              <w:right w:val="single" w:sz="6" w:space="0" w:color="auto"/>
            </w:tcBorders>
          </w:tcPr>
          <w:p w14:paraId="77610120" w14:textId="77777777" w:rsidR="00183EFC" w:rsidRDefault="00183EFC" w:rsidP="009022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5F752142" w14:textId="77777777" w:rsidR="00183EFC" w:rsidRDefault="00183EFC" w:rsidP="00902260">
            <w:pPr>
              <w:pStyle w:val="TAL"/>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2B89CBE7" w14:textId="77777777" w:rsidR="00183EFC" w:rsidRDefault="00183EFC" w:rsidP="00902260">
            <w:pPr>
              <w:pStyle w:val="TAL"/>
              <w:rPr>
                <w:rFonts w:cs="Arial"/>
                <w:szCs w:val="18"/>
              </w:rPr>
            </w:pPr>
            <w:r>
              <w:rPr>
                <w:rFonts w:cs="Arial"/>
                <w:szCs w:val="18"/>
              </w:rPr>
              <w:t>Identifies the gourp of UE(s) to which the proximity information applies.</w:t>
            </w:r>
          </w:p>
          <w:p w14:paraId="6060181C" w14:textId="77777777" w:rsidR="00183EFC" w:rsidRDefault="00183EFC" w:rsidP="00902260">
            <w:pPr>
              <w:pStyle w:val="TAL"/>
              <w:rPr>
                <w:rFonts w:cs="Arial"/>
                <w:szCs w:val="18"/>
              </w:rPr>
            </w:pPr>
            <w:r>
              <w:rPr>
                <w:rFonts w:cs="Arial"/>
                <w:szCs w:val="18"/>
              </w:rPr>
              <w:t>(NOTE)</w:t>
            </w:r>
          </w:p>
          <w:p w14:paraId="6189D70A" w14:textId="77777777" w:rsidR="00183EFC" w:rsidRDefault="00183EFC" w:rsidP="00902260">
            <w:pPr>
              <w:pStyle w:val="TAL"/>
              <w:rPr>
                <w:rFonts w:cs="Arial"/>
                <w:szCs w:val="18"/>
              </w:rPr>
            </w:pPr>
            <w:r>
              <w:rPr>
                <w:rFonts w:cs="Arial"/>
                <w:szCs w:val="18"/>
              </w:rPr>
              <w:t>This is attribute is not applicable in this API.</w:t>
            </w:r>
          </w:p>
        </w:tc>
        <w:tc>
          <w:tcPr>
            <w:tcW w:w="1837" w:type="dxa"/>
            <w:tcBorders>
              <w:top w:val="single" w:sz="6" w:space="0" w:color="auto"/>
              <w:left w:val="single" w:sz="6" w:space="0" w:color="auto"/>
              <w:bottom w:val="single" w:sz="6" w:space="0" w:color="auto"/>
              <w:right w:val="single" w:sz="6" w:space="0" w:color="auto"/>
            </w:tcBorders>
          </w:tcPr>
          <w:p w14:paraId="000B97EB" w14:textId="77777777" w:rsidR="00183EFC" w:rsidRDefault="00183EFC" w:rsidP="00902260">
            <w:pPr>
              <w:pStyle w:val="TAL"/>
              <w:rPr>
                <w:rFonts w:cs="Arial"/>
                <w:szCs w:val="18"/>
              </w:rPr>
            </w:pPr>
            <w:r>
              <w:rPr>
                <w:lang w:eastAsia="zh-CN"/>
              </w:rPr>
              <w:t>EnRelativeProximity</w:t>
            </w:r>
          </w:p>
        </w:tc>
      </w:tr>
      <w:tr w:rsidR="00183EFC" w14:paraId="40EE43DE"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5730FB29" w14:textId="77777777" w:rsidR="00183EFC" w:rsidRDefault="00183EFC" w:rsidP="00902260">
            <w:pPr>
              <w:pStyle w:val="TAL"/>
              <w:rPr>
                <w:lang w:eastAsia="zh-CN"/>
              </w:rPr>
            </w:pPr>
            <w:r>
              <w:rPr>
                <w:lang w:eastAsia="zh-CN"/>
              </w:rPr>
              <w:t>ueProximities</w:t>
            </w:r>
          </w:p>
        </w:tc>
        <w:tc>
          <w:tcPr>
            <w:tcW w:w="1554" w:type="dxa"/>
            <w:tcBorders>
              <w:top w:val="single" w:sz="6" w:space="0" w:color="auto"/>
              <w:left w:val="single" w:sz="6" w:space="0" w:color="auto"/>
              <w:bottom w:val="single" w:sz="6" w:space="0" w:color="auto"/>
              <w:right w:val="single" w:sz="6" w:space="0" w:color="auto"/>
            </w:tcBorders>
          </w:tcPr>
          <w:p w14:paraId="0D204783" w14:textId="77777777" w:rsidR="00183EFC" w:rsidRDefault="00183EFC" w:rsidP="00902260">
            <w:pPr>
              <w:pStyle w:val="TAL"/>
              <w:rPr>
                <w:lang w:eastAsia="ja-JP"/>
              </w:rPr>
            </w:pPr>
            <w:r>
              <w:rPr>
                <w:lang w:eastAsia="zh-CN"/>
              </w:rPr>
              <w:t>array(UeProximity)</w:t>
            </w:r>
          </w:p>
        </w:tc>
        <w:tc>
          <w:tcPr>
            <w:tcW w:w="424" w:type="dxa"/>
            <w:tcBorders>
              <w:top w:val="single" w:sz="6" w:space="0" w:color="auto"/>
              <w:left w:val="single" w:sz="6" w:space="0" w:color="auto"/>
              <w:bottom w:val="single" w:sz="6" w:space="0" w:color="auto"/>
              <w:right w:val="single" w:sz="6" w:space="0" w:color="auto"/>
            </w:tcBorders>
          </w:tcPr>
          <w:p w14:paraId="2A642A7B" w14:textId="77777777" w:rsidR="00183EFC" w:rsidRDefault="00183EFC" w:rsidP="00902260">
            <w:pPr>
              <w:pStyle w:val="TAC"/>
              <w:rPr>
                <w:lang w:eastAsia="ja-JP"/>
              </w:rPr>
            </w:pPr>
            <w:r>
              <w:rPr>
                <w:lang w:eastAsia="ja-JP"/>
              </w:rPr>
              <w:t>M</w:t>
            </w:r>
          </w:p>
        </w:tc>
        <w:tc>
          <w:tcPr>
            <w:tcW w:w="1130" w:type="dxa"/>
            <w:tcBorders>
              <w:top w:val="single" w:sz="6" w:space="0" w:color="auto"/>
              <w:left w:val="single" w:sz="6" w:space="0" w:color="auto"/>
              <w:bottom w:val="single" w:sz="6" w:space="0" w:color="auto"/>
              <w:right w:val="single" w:sz="6" w:space="0" w:color="auto"/>
            </w:tcBorders>
          </w:tcPr>
          <w:p w14:paraId="5FBE8BDF" w14:textId="77777777" w:rsidR="00183EFC" w:rsidRDefault="00183EFC" w:rsidP="00902260">
            <w:pPr>
              <w:pStyle w:val="TAL"/>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2C08C606" w14:textId="77777777" w:rsidR="00183EFC" w:rsidRDefault="00183EFC" w:rsidP="00902260">
            <w:pPr>
              <w:pStyle w:val="TAL"/>
              <w:rPr>
                <w:rFonts w:cs="Arial"/>
                <w:szCs w:val="18"/>
              </w:rPr>
            </w:pPr>
            <w:r>
              <w:rPr>
                <w:rFonts w:cs="Arial"/>
                <w:szCs w:val="18"/>
              </w:rPr>
              <w:t>Observed or Predicted proximity information.</w:t>
            </w:r>
          </w:p>
        </w:tc>
        <w:tc>
          <w:tcPr>
            <w:tcW w:w="1837" w:type="dxa"/>
            <w:tcBorders>
              <w:top w:val="single" w:sz="6" w:space="0" w:color="auto"/>
              <w:left w:val="single" w:sz="6" w:space="0" w:color="auto"/>
              <w:bottom w:val="single" w:sz="6" w:space="0" w:color="auto"/>
              <w:right w:val="single" w:sz="6" w:space="0" w:color="auto"/>
            </w:tcBorders>
          </w:tcPr>
          <w:p w14:paraId="67A1B01D" w14:textId="77777777" w:rsidR="00183EFC" w:rsidRDefault="00183EFC" w:rsidP="00902260">
            <w:pPr>
              <w:pStyle w:val="TAL"/>
              <w:rPr>
                <w:rFonts w:cs="Arial"/>
                <w:szCs w:val="18"/>
              </w:rPr>
            </w:pPr>
          </w:p>
        </w:tc>
      </w:tr>
      <w:tr w:rsidR="00183EFC" w14:paraId="501DC79C" w14:textId="77777777" w:rsidTr="00902260">
        <w:trPr>
          <w:jc w:val="center"/>
        </w:trPr>
        <w:tc>
          <w:tcPr>
            <w:tcW w:w="1750" w:type="dxa"/>
            <w:tcBorders>
              <w:top w:val="single" w:sz="6" w:space="0" w:color="auto"/>
              <w:left w:val="single" w:sz="6" w:space="0" w:color="auto"/>
              <w:bottom w:val="single" w:sz="6" w:space="0" w:color="auto"/>
              <w:right w:val="single" w:sz="6" w:space="0" w:color="auto"/>
            </w:tcBorders>
          </w:tcPr>
          <w:p w14:paraId="0FAE74BE" w14:textId="77777777" w:rsidR="00183EFC" w:rsidRDefault="00183EFC" w:rsidP="00902260">
            <w:pPr>
              <w:pStyle w:val="TAL"/>
              <w:rPr>
                <w:lang w:eastAsia="zh-CN"/>
              </w:rPr>
            </w:pPr>
            <w:r>
              <w:rPr>
                <w:lang w:eastAsia="zh-CN"/>
              </w:rPr>
              <w:t>ttcInfo</w:t>
            </w:r>
          </w:p>
        </w:tc>
        <w:tc>
          <w:tcPr>
            <w:tcW w:w="1554" w:type="dxa"/>
            <w:tcBorders>
              <w:top w:val="single" w:sz="6" w:space="0" w:color="auto"/>
              <w:left w:val="single" w:sz="6" w:space="0" w:color="auto"/>
              <w:bottom w:val="single" w:sz="6" w:space="0" w:color="auto"/>
              <w:right w:val="single" w:sz="6" w:space="0" w:color="auto"/>
            </w:tcBorders>
          </w:tcPr>
          <w:p w14:paraId="32C14F60" w14:textId="77777777" w:rsidR="00183EFC" w:rsidRDefault="00183EFC" w:rsidP="00902260">
            <w:pPr>
              <w:pStyle w:val="TAL"/>
              <w:rPr>
                <w:lang w:eastAsia="zh-CN"/>
              </w:rPr>
            </w:pPr>
            <w:r>
              <w:rPr>
                <w:lang w:eastAsia="zh-CN"/>
              </w:rPr>
              <w:t>TimeToCollisionInfo</w:t>
            </w:r>
          </w:p>
        </w:tc>
        <w:tc>
          <w:tcPr>
            <w:tcW w:w="424" w:type="dxa"/>
            <w:tcBorders>
              <w:top w:val="single" w:sz="6" w:space="0" w:color="auto"/>
              <w:left w:val="single" w:sz="6" w:space="0" w:color="auto"/>
              <w:bottom w:val="single" w:sz="6" w:space="0" w:color="auto"/>
              <w:right w:val="single" w:sz="6" w:space="0" w:color="auto"/>
            </w:tcBorders>
          </w:tcPr>
          <w:p w14:paraId="3D0EF21D" w14:textId="77777777" w:rsidR="00183EFC" w:rsidRDefault="00183EFC" w:rsidP="00902260">
            <w:pPr>
              <w:pStyle w:val="TAC"/>
              <w:rPr>
                <w:lang w:eastAsia="ja-JP"/>
              </w:rPr>
            </w:pPr>
            <w:r>
              <w:rPr>
                <w:lang w:eastAsia="ja-JP"/>
              </w:rPr>
              <w:t>C</w:t>
            </w:r>
          </w:p>
        </w:tc>
        <w:tc>
          <w:tcPr>
            <w:tcW w:w="1130" w:type="dxa"/>
            <w:tcBorders>
              <w:top w:val="single" w:sz="6" w:space="0" w:color="auto"/>
              <w:left w:val="single" w:sz="6" w:space="0" w:color="auto"/>
              <w:bottom w:val="single" w:sz="6" w:space="0" w:color="auto"/>
              <w:right w:val="single" w:sz="6" w:space="0" w:color="auto"/>
            </w:tcBorders>
          </w:tcPr>
          <w:p w14:paraId="016B0D05" w14:textId="77777777" w:rsidR="00183EFC" w:rsidRDefault="00183EFC" w:rsidP="00902260">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02DF1B10" w14:textId="77777777" w:rsidR="00183EFC" w:rsidRDefault="00183EFC" w:rsidP="00902260">
            <w:pPr>
              <w:pStyle w:val="TAL"/>
            </w:pPr>
            <w:r>
              <w:t>Time To Collision (TTC) information.</w:t>
            </w:r>
          </w:p>
          <w:p w14:paraId="441DE8AA" w14:textId="77777777" w:rsidR="00183EFC" w:rsidRDefault="00183EFC" w:rsidP="00902260">
            <w:pPr>
              <w:pStyle w:val="TAL"/>
              <w:rPr>
                <w:rFonts w:cs="Arial"/>
                <w:szCs w:val="18"/>
              </w:rPr>
            </w:pPr>
            <w:r>
              <w:rPr>
                <w:rFonts w:cs="Arial"/>
                <w:szCs w:val="18"/>
              </w:rPr>
              <w:t>Shall be present if one of the elements in the "listOfAnaSubsets" attribute was set with value as "</w:t>
            </w:r>
            <w:r>
              <w:rPr>
                <w:lang w:val="en-US" w:eastAsia="zh-CN"/>
              </w:rPr>
              <w:t>TIME_TO_COLLISION</w:t>
            </w:r>
            <w:r>
              <w:rPr>
                <w:rFonts w:cs="Arial"/>
                <w:szCs w:val="18"/>
              </w:rPr>
              <w:t>"</w:t>
            </w:r>
            <w:r>
              <w:rPr>
                <w:rFonts w:cs="Arial"/>
                <w:szCs w:val="18"/>
                <w:lang w:eastAsia="ja-JP"/>
              </w:rPr>
              <w:t xml:space="preserve"> and the analytics result is a prediction</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4A739B68" w14:textId="77777777" w:rsidR="00183EFC" w:rsidRDefault="00183EFC" w:rsidP="00902260">
            <w:pPr>
              <w:pStyle w:val="TAL"/>
              <w:rPr>
                <w:rFonts w:cs="Arial"/>
                <w:szCs w:val="18"/>
              </w:rPr>
            </w:pPr>
          </w:p>
        </w:tc>
      </w:tr>
      <w:tr w:rsidR="00183EFC" w14:paraId="378D3D98" w14:textId="77777777" w:rsidTr="00902260">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217F9BEB" w14:textId="77777777" w:rsidR="00183EFC" w:rsidRDefault="00183EFC" w:rsidP="00902260">
            <w:pPr>
              <w:pStyle w:val="TAN"/>
              <w:rPr>
                <w:rFonts w:cs="Arial"/>
                <w:szCs w:val="18"/>
              </w:rPr>
            </w:pPr>
            <w:r>
              <w:rPr>
                <w:lang w:eastAsia="zh-CN"/>
              </w:rPr>
              <w:t>NOTE:</w:t>
            </w:r>
            <w:r>
              <w:rPr>
                <w:lang w:eastAsia="zh-CN"/>
              </w:rPr>
              <w:tab/>
            </w:r>
            <w:r>
              <w:rPr>
                <w:rFonts w:cs="Arial"/>
                <w:szCs w:val="18"/>
              </w:rPr>
              <w:t>If the attribute is not present, the information applies to all the target UE(s) or UE groups that were indicated in the subscription/request. Otherwise, it shall be a subset of the target UE(s) or UE groups that were indicated in the subscription/request.</w:t>
            </w:r>
          </w:p>
        </w:tc>
      </w:tr>
    </w:tbl>
    <w:p w14:paraId="4080C50A" w14:textId="77777777" w:rsidR="00183EFC" w:rsidRDefault="00183EFC" w:rsidP="00183EFC"/>
    <w:p w14:paraId="7F8BBA2E" w14:textId="77777777" w:rsidR="00A10B25" w:rsidRDefault="00A10B25">
      <w:pPr>
        <w:pStyle w:val="5"/>
      </w:pPr>
      <w:bookmarkStart w:id="8220" w:name="_Toc199452990"/>
      <w:r>
        <w:lastRenderedPageBreak/>
        <w:t>5.1.6.2.101</w:t>
      </w:r>
      <w:r>
        <w:tab/>
        <w:t xml:space="preserve">Type </w:t>
      </w:r>
      <w:bookmarkStart w:id="8221" w:name="_Hlk146048946"/>
      <w:r>
        <w:rPr>
          <w:lang w:eastAsia="zh-CN"/>
        </w:rPr>
        <w:t>UeProximity</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2E726D19" w14:textId="77777777" w:rsidR="00AD5F95" w:rsidRDefault="00AD5F95" w:rsidP="00AD5F95">
      <w:pPr>
        <w:pStyle w:val="TH"/>
      </w:pPr>
      <w:bookmarkStart w:id="8222" w:name="_Toc148522692"/>
      <w:bookmarkStart w:id="8223" w:name="_Toc164920876"/>
      <w:bookmarkStart w:id="8224" w:name="_Toc170120418"/>
      <w:bookmarkStart w:id="8225" w:name="_Toc175858663"/>
      <w:bookmarkStart w:id="8226" w:name="_Toc175859736"/>
      <w:bookmarkStart w:id="8227" w:name="_Toc180606026"/>
      <w:bookmarkStart w:id="8228" w:name="_Toc185517280"/>
      <w:r>
        <w:t xml:space="preserve">Table 5.1.6.2.101-1: Definition of type </w:t>
      </w:r>
      <w:r>
        <w:rPr>
          <w:lang w:eastAsia="zh-CN"/>
        </w:rPr>
        <w:t>UeProximity</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0"/>
        <w:gridCol w:w="1554"/>
        <w:gridCol w:w="424"/>
        <w:gridCol w:w="1130"/>
        <w:gridCol w:w="2845"/>
        <w:gridCol w:w="1837"/>
      </w:tblGrid>
      <w:tr w:rsidR="00AD5F95" w14:paraId="6BD20A23"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shd w:val="clear" w:color="auto" w:fill="C0C0C0"/>
          </w:tcPr>
          <w:p w14:paraId="76D0319E" w14:textId="77777777" w:rsidR="00AD5F95" w:rsidRDefault="00AD5F95" w:rsidP="009E7F73">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2C0C7CED" w14:textId="77777777" w:rsidR="00AD5F95" w:rsidRDefault="00AD5F95"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762153C1" w14:textId="77777777" w:rsidR="00AD5F95" w:rsidRDefault="00AD5F95" w:rsidP="009E7F73">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7971423" w14:textId="77777777" w:rsidR="00AD5F95" w:rsidRDefault="00AD5F95" w:rsidP="009E7F73">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79EC7AD2" w14:textId="77777777" w:rsidR="00AD5F95" w:rsidRDefault="00AD5F95" w:rsidP="009E7F73">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0030D117" w14:textId="77777777" w:rsidR="00AD5F95" w:rsidRDefault="00AD5F95" w:rsidP="009E7F73">
            <w:pPr>
              <w:pStyle w:val="TAH"/>
              <w:ind w:left="400" w:hanging="400"/>
            </w:pPr>
            <w:r>
              <w:t>Applicability</w:t>
            </w:r>
          </w:p>
        </w:tc>
      </w:tr>
      <w:tr w:rsidR="00AD5F95" w14:paraId="5DB41E5A"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73DBD60D" w14:textId="77777777" w:rsidR="00AD5F95" w:rsidRDefault="00AD5F95" w:rsidP="009E7F73">
            <w:pPr>
              <w:pStyle w:val="TAL"/>
              <w:rPr>
                <w:lang w:eastAsia="zh-CN"/>
              </w:rPr>
            </w:pPr>
            <w:r>
              <w:rPr>
                <w:lang w:eastAsia="zh-CN"/>
              </w:rPr>
              <w:t>ueDistance</w:t>
            </w:r>
          </w:p>
        </w:tc>
        <w:tc>
          <w:tcPr>
            <w:tcW w:w="1554" w:type="dxa"/>
            <w:tcBorders>
              <w:top w:val="single" w:sz="6" w:space="0" w:color="auto"/>
              <w:left w:val="single" w:sz="6" w:space="0" w:color="auto"/>
              <w:bottom w:val="single" w:sz="6" w:space="0" w:color="auto"/>
              <w:right w:val="single" w:sz="6" w:space="0" w:color="auto"/>
            </w:tcBorders>
          </w:tcPr>
          <w:p w14:paraId="53AFAA2E" w14:textId="77777777" w:rsidR="00AD5F95" w:rsidRDefault="00AD5F95" w:rsidP="009E7F73">
            <w:pPr>
              <w:pStyle w:val="TAL"/>
              <w:rPr>
                <w:lang w:eastAsia="zh-CN"/>
              </w:rPr>
            </w:pPr>
            <w:r>
              <w:rPr>
                <w:lang w:eastAsia="zh-CN"/>
              </w:rPr>
              <w:t>integer</w:t>
            </w:r>
          </w:p>
        </w:tc>
        <w:tc>
          <w:tcPr>
            <w:tcW w:w="424" w:type="dxa"/>
            <w:tcBorders>
              <w:top w:val="single" w:sz="6" w:space="0" w:color="auto"/>
              <w:left w:val="single" w:sz="6" w:space="0" w:color="auto"/>
              <w:bottom w:val="single" w:sz="6" w:space="0" w:color="auto"/>
              <w:right w:val="single" w:sz="6" w:space="0" w:color="auto"/>
            </w:tcBorders>
          </w:tcPr>
          <w:p w14:paraId="1520917D"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1D7A15AB"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F9E0FDE" w14:textId="77777777" w:rsidR="00AD5F95" w:rsidRPr="0076721C" w:rsidRDefault="00AD5F95" w:rsidP="009E7F73">
            <w:pPr>
              <w:pStyle w:val="TAL"/>
              <w:rPr>
                <w:rFonts w:eastAsia="等线" w:cs="Arial"/>
                <w:szCs w:val="18"/>
                <w:lang w:eastAsia="zh-CN"/>
              </w:rPr>
            </w:pPr>
            <w:r>
              <w:rPr>
                <w:rFonts w:cs="Arial"/>
                <w:szCs w:val="18"/>
                <w:lang w:eastAsia="zh-CN"/>
              </w:rPr>
              <w:t>Distance between two UEs, in centimeters.</w:t>
            </w:r>
          </w:p>
        </w:tc>
        <w:tc>
          <w:tcPr>
            <w:tcW w:w="1837" w:type="dxa"/>
            <w:tcBorders>
              <w:top w:val="single" w:sz="6" w:space="0" w:color="auto"/>
              <w:left w:val="single" w:sz="6" w:space="0" w:color="auto"/>
              <w:bottom w:val="single" w:sz="6" w:space="0" w:color="auto"/>
              <w:right w:val="single" w:sz="6" w:space="0" w:color="auto"/>
            </w:tcBorders>
          </w:tcPr>
          <w:p w14:paraId="1DD3B42F" w14:textId="77777777" w:rsidR="00AD5F95" w:rsidRDefault="00AD5F95" w:rsidP="009E7F73">
            <w:pPr>
              <w:pStyle w:val="TAL"/>
              <w:rPr>
                <w:rFonts w:cs="Arial"/>
                <w:szCs w:val="18"/>
              </w:rPr>
            </w:pPr>
          </w:p>
        </w:tc>
      </w:tr>
      <w:tr w:rsidR="00AD5F95" w14:paraId="77BB0633"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61FD5423" w14:textId="77777777" w:rsidR="00AD5F95" w:rsidRDefault="00AD5F95" w:rsidP="009E7F73">
            <w:pPr>
              <w:pStyle w:val="TAL"/>
              <w:rPr>
                <w:lang w:eastAsia="ja-JP"/>
              </w:rPr>
            </w:pPr>
            <w:r>
              <w:rPr>
                <w:lang w:eastAsia="ja-JP"/>
              </w:rPr>
              <w:t>ueVelocity</w:t>
            </w:r>
          </w:p>
        </w:tc>
        <w:tc>
          <w:tcPr>
            <w:tcW w:w="1554" w:type="dxa"/>
            <w:tcBorders>
              <w:top w:val="single" w:sz="6" w:space="0" w:color="auto"/>
              <w:left w:val="single" w:sz="6" w:space="0" w:color="auto"/>
              <w:bottom w:val="single" w:sz="6" w:space="0" w:color="auto"/>
              <w:right w:val="single" w:sz="6" w:space="0" w:color="auto"/>
            </w:tcBorders>
          </w:tcPr>
          <w:p w14:paraId="4E919CB4" w14:textId="77777777" w:rsidR="00AD5F95" w:rsidRDefault="00AD5F95" w:rsidP="009E7F73">
            <w:pPr>
              <w:pStyle w:val="TAL"/>
              <w:rPr>
                <w:lang w:eastAsia="zh-CN"/>
              </w:rPr>
            </w:pPr>
            <w:r>
              <w:t>VelocityEstimate</w:t>
            </w:r>
          </w:p>
        </w:tc>
        <w:tc>
          <w:tcPr>
            <w:tcW w:w="424" w:type="dxa"/>
            <w:tcBorders>
              <w:top w:val="single" w:sz="6" w:space="0" w:color="auto"/>
              <w:left w:val="single" w:sz="6" w:space="0" w:color="auto"/>
              <w:bottom w:val="single" w:sz="6" w:space="0" w:color="auto"/>
              <w:right w:val="single" w:sz="6" w:space="0" w:color="auto"/>
            </w:tcBorders>
          </w:tcPr>
          <w:p w14:paraId="43358500" w14:textId="77777777" w:rsidR="00AD5F95" w:rsidRDefault="00AD5F95" w:rsidP="009E7F73">
            <w:pPr>
              <w:pStyle w:val="TAC"/>
              <w:rPr>
                <w:lang w:eastAsia="ja-JP"/>
              </w:rPr>
            </w:pPr>
            <w:r>
              <w:rPr>
                <w:lang w:eastAsia="ja-JP"/>
              </w:rPr>
              <w:t>O</w:t>
            </w:r>
          </w:p>
        </w:tc>
        <w:tc>
          <w:tcPr>
            <w:tcW w:w="1130" w:type="dxa"/>
            <w:tcBorders>
              <w:top w:val="single" w:sz="6" w:space="0" w:color="auto"/>
              <w:left w:val="single" w:sz="6" w:space="0" w:color="auto"/>
              <w:bottom w:val="single" w:sz="6" w:space="0" w:color="auto"/>
              <w:right w:val="single" w:sz="6" w:space="0" w:color="auto"/>
            </w:tcBorders>
          </w:tcPr>
          <w:p w14:paraId="773C2225" w14:textId="77777777" w:rsidR="00AD5F95" w:rsidRDefault="00AD5F95" w:rsidP="009E7F73">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58F6DAC7" w14:textId="77777777" w:rsidR="00AD5F95" w:rsidRDefault="00AD5F95" w:rsidP="009E7F73">
            <w:pPr>
              <w:pStyle w:val="TAL"/>
            </w:pPr>
            <w:r>
              <w:rPr>
                <w:rFonts w:cs="Arial" w:hint="eastAsia"/>
                <w:szCs w:val="18"/>
                <w:lang w:eastAsia="ja-JP"/>
              </w:rPr>
              <w:t xml:space="preserve">UE </w:t>
            </w:r>
            <w:r>
              <w:t>velocit</w:t>
            </w:r>
            <w:r>
              <w:rPr>
                <w:lang w:eastAsia="ja-JP"/>
              </w:rPr>
              <w:t>y</w:t>
            </w:r>
            <w:r>
              <w:t>.</w:t>
            </w:r>
          </w:p>
          <w:p w14:paraId="1133EF85" w14:textId="77777777" w:rsidR="00AD5F95" w:rsidRPr="0076721C" w:rsidRDefault="00AD5F95" w:rsidP="009E7F73">
            <w:pPr>
              <w:pStyle w:val="TAL"/>
              <w:rPr>
                <w:rFonts w:eastAsia="等线"/>
                <w:lang w:eastAsia="zh-CN"/>
              </w:rPr>
            </w:pPr>
            <w:bookmarkStart w:id="8229" w:name="_Hlk146049088"/>
            <w:r>
              <w:rPr>
                <w:rFonts w:cs="Arial"/>
                <w:szCs w:val="18"/>
              </w:rPr>
              <w:t>May be present</w:t>
            </w:r>
            <w:r>
              <w:rPr>
                <w:lang w:eastAsia="zh-CN"/>
              </w:rPr>
              <w:t xml:space="preserve"> if one of the elements in the "proximityCrits" attribute was set to VELOCITY.</w:t>
            </w:r>
            <w:bookmarkEnd w:id="8229"/>
          </w:p>
        </w:tc>
        <w:tc>
          <w:tcPr>
            <w:tcW w:w="1837" w:type="dxa"/>
            <w:tcBorders>
              <w:top w:val="single" w:sz="6" w:space="0" w:color="auto"/>
              <w:left w:val="single" w:sz="6" w:space="0" w:color="auto"/>
              <w:bottom w:val="single" w:sz="6" w:space="0" w:color="auto"/>
              <w:right w:val="single" w:sz="6" w:space="0" w:color="auto"/>
            </w:tcBorders>
          </w:tcPr>
          <w:p w14:paraId="10787206" w14:textId="77777777" w:rsidR="00AD5F95" w:rsidRDefault="00AD5F95" w:rsidP="009E7F73">
            <w:pPr>
              <w:pStyle w:val="TAL"/>
              <w:rPr>
                <w:rFonts w:cs="Arial"/>
                <w:szCs w:val="18"/>
              </w:rPr>
            </w:pPr>
          </w:p>
        </w:tc>
      </w:tr>
      <w:tr w:rsidR="00AD5F95" w14:paraId="5F7C565B"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5CE9D14E" w14:textId="77777777" w:rsidR="00AD5F95" w:rsidRDefault="00AD5F95" w:rsidP="009E7F73">
            <w:pPr>
              <w:pStyle w:val="TAL"/>
              <w:rPr>
                <w:lang w:eastAsia="zh-CN"/>
              </w:rPr>
            </w:pPr>
            <w:r>
              <w:rPr>
                <w:lang w:eastAsia="zh-CN"/>
              </w:rPr>
              <w:t>avrSpeed</w:t>
            </w:r>
          </w:p>
        </w:tc>
        <w:tc>
          <w:tcPr>
            <w:tcW w:w="1554" w:type="dxa"/>
            <w:tcBorders>
              <w:top w:val="single" w:sz="6" w:space="0" w:color="auto"/>
              <w:left w:val="single" w:sz="6" w:space="0" w:color="auto"/>
              <w:bottom w:val="single" w:sz="6" w:space="0" w:color="auto"/>
              <w:right w:val="single" w:sz="6" w:space="0" w:color="auto"/>
            </w:tcBorders>
          </w:tcPr>
          <w:p w14:paraId="110F8411" w14:textId="77777777" w:rsidR="00AD5F95" w:rsidRDefault="00AD5F95" w:rsidP="009E7F73">
            <w:pPr>
              <w:pStyle w:val="TAL"/>
            </w:pPr>
            <w:r>
              <w:rPr>
                <w:lang w:eastAsia="zh-CN"/>
              </w:rPr>
              <w:t>Float</w:t>
            </w:r>
          </w:p>
        </w:tc>
        <w:tc>
          <w:tcPr>
            <w:tcW w:w="424" w:type="dxa"/>
            <w:tcBorders>
              <w:top w:val="single" w:sz="6" w:space="0" w:color="auto"/>
              <w:left w:val="single" w:sz="6" w:space="0" w:color="auto"/>
              <w:bottom w:val="single" w:sz="6" w:space="0" w:color="auto"/>
              <w:right w:val="single" w:sz="6" w:space="0" w:color="auto"/>
            </w:tcBorders>
          </w:tcPr>
          <w:p w14:paraId="1B4A34C7"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8D77D67"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4DF29A5B" w14:textId="77777777" w:rsidR="00AD5F95" w:rsidRDefault="00AD5F95" w:rsidP="009E7F73">
            <w:pPr>
              <w:pStyle w:val="TAL"/>
              <w:rPr>
                <w:rFonts w:cs="Arial"/>
                <w:szCs w:val="18"/>
              </w:rPr>
            </w:pPr>
            <w:r>
              <w:rPr>
                <w:rFonts w:cs="Arial"/>
                <w:szCs w:val="18"/>
              </w:rPr>
              <w:t>Average speed of the users which this proximity information applies to, expressed in kilometres per hour.</w:t>
            </w:r>
          </w:p>
          <w:p w14:paraId="6F1868E7" w14:textId="77777777" w:rsidR="00AD5F95" w:rsidRPr="0076721C" w:rsidRDefault="00AD5F95" w:rsidP="009E7F73">
            <w:pPr>
              <w:pStyle w:val="TAL"/>
              <w:rPr>
                <w:rFonts w:eastAsia="MS Mincho" w:cs="Arial"/>
                <w:szCs w:val="18"/>
              </w:rPr>
            </w:pPr>
            <w:r>
              <w:rPr>
                <w:rFonts w:cs="Arial"/>
                <w:szCs w:val="18"/>
              </w:rPr>
              <w:t>May be present</w:t>
            </w:r>
            <w:r>
              <w:rPr>
                <w:lang w:eastAsia="zh-CN"/>
              </w:rPr>
              <w:t xml:space="preserve"> if one of the elements in the "proximityCrits" attribute was set to AVG_SPD.</w:t>
            </w:r>
          </w:p>
        </w:tc>
        <w:tc>
          <w:tcPr>
            <w:tcW w:w="1837" w:type="dxa"/>
            <w:tcBorders>
              <w:top w:val="single" w:sz="6" w:space="0" w:color="auto"/>
              <w:left w:val="single" w:sz="6" w:space="0" w:color="auto"/>
              <w:bottom w:val="single" w:sz="6" w:space="0" w:color="auto"/>
              <w:right w:val="single" w:sz="6" w:space="0" w:color="auto"/>
            </w:tcBorders>
          </w:tcPr>
          <w:p w14:paraId="167D4993" w14:textId="77777777" w:rsidR="00AD5F95" w:rsidRDefault="00AD5F95" w:rsidP="009E7F73">
            <w:pPr>
              <w:pStyle w:val="TAL"/>
              <w:rPr>
                <w:rFonts w:cs="Arial"/>
                <w:szCs w:val="18"/>
              </w:rPr>
            </w:pPr>
          </w:p>
        </w:tc>
      </w:tr>
      <w:tr w:rsidR="00AD5F95" w14:paraId="522B1447"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4009C59D" w14:textId="77777777" w:rsidR="00AD5F95" w:rsidRDefault="00AD5F95" w:rsidP="009E7F73">
            <w:pPr>
              <w:pStyle w:val="TAL"/>
              <w:rPr>
                <w:lang w:eastAsia="zh-CN"/>
              </w:rPr>
            </w:pPr>
            <w:r>
              <w:rPr>
                <w:lang w:eastAsia="zh-CN"/>
              </w:rPr>
              <w:t>locOrientation</w:t>
            </w:r>
          </w:p>
        </w:tc>
        <w:tc>
          <w:tcPr>
            <w:tcW w:w="1554" w:type="dxa"/>
            <w:tcBorders>
              <w:top w:val="single" w:sz="6" w:space="0" w:color="auto"/>
              <w:left w:val="single" w:sz="6" w:space="0" w:color="auto"/>
              <w:bottom w:val="single" w:sz="6" w:space="0" w:color="auto"/>
              <w:right w:val="single" w:sz="6" w:space="0" w:color="auto"/>
            </w:tcBorders>
          </w:tcPr>
          <w:p w14:paraId="51EEE8BB" w14:textId="77777777" w:rsidR="00AD5F95" w:rsidRDefault="00AD5F95" w:rsidP="009E7F73">
            <w:pPr>
              <w:pStyle w:val="TAL"/>
              <w:rPr>
                <w:lang w:eastAsia="ja-JP"/>
              </w:rPr>
            </w:pPr>
            <w:r>
              <w:rPr>
                <w:lang w:eastAsia="zh-CN"/>
              </w:rPr>
              <w:t>LocationOrientation</w:t>
            </w:r>
          </w:p>
        </w:tc>
        <w:tc>
          <w:tcPr>
            <w:tcW w:w="424" w:type="dxa"/>
            <w:tcBorders>
              <w:top w:val="single" w:sz="6" w:space="0" w:color="auto"/>
              <w:left w:val="single" w:sz="6" w:space="0" w:color="auto"/>
              <w:bottom w:val="single" w:sz="6" w:space="0" w:color="auto"/>
              <w:right w:val="single" w:sz="6" w:space="0" w:color="auto"/>
            </w:tcBorders>
          </w:tcPr>
          <w:p w14:paraId="55633FD3" w14:textId="77777777" w:rsidR="00AD5F95" w:rsidRDefault="00AD5F95" w:rsidP="009E7F73">
            <w:pPr>
              <w:pStyle w:val="TAC"/>
              <w:rPr>
                <w:lang w:eastAsia="ja-JP"/>
              </w:rPr>
            </w:pPr>
            <w:r>
              <w:rPr>
                <w:lang w:eastAsia="ja-JP"/>
              </w:rPr>
              <w:t>O</w:t>
            </w:r>
          </w:p>
        </w:tc>
        <w:tc>
          <w:tcPr>
            <w:tcW w:w="1130" w:type="dxa"/>
            <w:tcBorders>
              <w:top w:val="single" w:sz="6" w:space="0" w:color="auto"/>
              <w:left w:val="single" w:sz="6" w:space="0" w:color="auto"/>
              <w:bottom w:val="single" w:sz="6" w:space="0" w:color="auto"/>
              <w:right w:val="single" w:sz="6" w:space="0" w:color="auto"/>
            </w:tcBorders>
          </w:tcPr>
          <w:p w14:paraId="5B945F16" w14:textId="77777777" w:rsidR="00AD5F95" w:rsidRDefault="00AD5F95" w:rsidP="009E7F73">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6610BC3C" w14:textId="77777777" w:rsidR="00AD5F95" w:rsidRDefault="00AD5F95" w:rsidP="009E7F73">
            <w:pPr>
              <w:pStyle w:val="TAL"/>
              <w:rPr>
                <w:lang w:eastAsia="zh-CN"/>
              </w:rPr>
            </w:pPr>
            <w:r>
              <w:rPr>
                <w:lang w:eastAsia="zh-CN"/>
              </w:rPr>
              <w:t>Indicates the preferred orientation of location information.</w:t>
            </w:r>
          </w:p>
          <w:p w14:paraId="2B12438F" w14:textId="77777777" w:rsidR="00AD5F95" w:rsidRPr="0076721C" w:rsidRDefault="00AD5F95" w:rsidP="009E7F73">
            <w:pPr>
              <w:pStyle w:val="TAL"/>
              <w:rPr>
                <w:rFonts w:eastAsia="等线"/>
                <w:lang w:eastAsia="zh-CN"/>
              </w:rPr>
            </w:pPr>
            <w:r>
              <w:rPr>
                <w:rFonts w:cs="Arial"/>
                <w:szCs w:val="18"/>
              </w:rPr>
              <w:t>May be present</w:t>
            </w:r>
            <w:r>
              <w:rPr>
                <w:lang w:eastAsia="zh-CN"/>
              </w:rPr>
              <w:t xml:space="preserve"> if one of the elements in the "proximityCrits" attribute was set to ORIENTATION.</w:t>
            </w:r>
          </w:p>
        </w:tc>
        <w:tc>
          <w:tcPr>
            <w:tcW w:w="1837" w:type="dxa"/>
            <w:tcBorders>
              <w:top w:val="single" w:sz="6" w:space="0" w:color="auto"/>
              <w:left w:val="single" w:sz="6" w:space="0" w:color="auto"/>
              <w:bottom w:val="single" w:sz="6" w:space="0" w:color="auto"/>
              <w:right w:val="single" w:sz="6" w:space="0" w:color="auto"/>
            </w:tcBorders>
          </w:tcPr>
          <w:p w14:paraId="76B67ECA" w14:textId="77777777" w:rsidR="00AD5F95" w:rsidRDefault="00AD5F95" w:rsidP="009E7F73">
            <w:pPr>
              <w:pStyle w:val="TAL"/>
              <w:rPr>
                <w:rFonts w:cs="Arial"/>
                <w:szCs w:val="18"/>
              </w:rPr>
            </w:pPr>
          </w:p>
        </w:tc>
      </w:tr>
      <w:tr w:rsidR="00AD5F95" w14:paraId="73316B3B"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59B5BC3C" w14:textId="77777777" w:rsidR="00AD5F95" w:rsidRDefault="00AD5F95" w:rsidP="009E7F73">
            <w:pPr>
              <w:pStyle w:val="TAL"/>
              <w:rPr>
                <w:lang w:eastAsia="zh-CN"/>
              </w:rPr>
            </w:pPr>
            <w:r>
              <w:rPr>
                <w:lang w:eastAsia="zh-CN"/>
              </w:rPr>
              <w:t>ueTrajectories</w:t>
            </w:r>
          </w:p>
        </w:tc>
        <w:tc>
          <w:tcPr>
            <w:tcW w:w="1554" w:type="dxa"/>
            <w:tcBorders>
              <w:top w:val="single" w:sz="6" w:space="0" w:color="auto"/>
              <w:left w:val="single" w:sz="6" w:space="0" w:color="auto"/>
              <w:bottom w:val="single" w:sz="6" w:space="0" w:color="auto"/>
              <w:right w:val="single" w:sz="6" w:space="0" w:color="auto"/>
            </w:tcBorders>
          </w:tcPr>
          <w:p w14:paraId="2C033ED6" w14:textId="77777777" w:rsidR="00AD5F95" w:rsidRDefault="00AD5F95" w:rsidP="009E7F73">
            <w:pPr>
              <w:pStyle w:val="TAL"/>
              <w:rPr>
                <w:lang w:eastAsia="zh-CN"/>
              </w:rPr>
            </w:pPr>
            <w:r>
              <w:rPr>
                <w:lang w:eastAsia="zh-CN"/>
              </w:rPr>
              <w:t>array(UeTrajectory)</w:t>
            </w:r>
          </w:p>
        </w:tc>
        <w:tc>
          <w:tcPr>
            <w:tcW w:w="424" w:type="dxa"/>
            <w:tcBorders>
              <w:top w:val="single" w:sz="6" w:space="0" w:color="auto"/>
              <w:left w:val="single" w:sz="6" w:space="0" w:color="auto"/>
              <w:bottom w:val="single" w:sz="6" w:space="0" w:color="auto"/>
              <w:right w:val="single" w:sz="6" w:space="0" w:color="auto"/>
            </w:tcBorders>
          </w:tcPr>
          <w:p w14:paraId="138E66F2" w14:textId="77777777" w:rsidR="00AD5F95" w:rsidRDefault="00AD5F95" w:rsidP="009E7F73">
            <w:pPr>
              <w:pStyle w:val="TAC"/>
              <w:rPr>
                <w:lang w:eastAsia="ja-JP"/>
              </w:rPr>
            </w:pPr>
            <w:r>
              <w:rPr>
                <w:lang w:eastAsia="ja-JP"/>
              </w:rPr>
              <w:t>O</w:t>
            </w:r>
          </w:p>
        </w:tc>
        <w:tc>
          <w:tcPr>
            <w:tcW w:w="1130" w:type="dxa"/>
            <w:tcBorders>
              <w:top w:val="single" w:sz="6" w:space="0" w:color="auto"/>
              <w:left w:val="single" w:sz="6" w:space="0" w:color="auto"/>
              <w:bottom w:val="single" w:sz="6" w:space="0" w:color="auto"/>
              <w:right w:val="single" w:sz="6" w:space="0" w:color="auto"/>
            </w:tcBorders>
          </w:tcPr>
          <w:p w14:paraId="5910052A" w14:textId="77777777" w:rsidR="00AD5F95" w:rsidRDefault="00AD5F95" w:rsidP="009E7F73">
            <w:pPr>
              <w:pStyle w:val="TAL"/>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56A2FF63" w14:textId="77777777" w:rsidR="00AD5F95" w:rsidRDefault="00AD5F95" w:rsidP="009E7F73">
            <w:pPr>
              <w:pStyle w:val="TAL"/>
              <w:rPr>
                <w:rFonts w:cs="Arial"/>
                <w:szCs w:val="18"/>
              </w:rPr>
            </w:pPr>
            <w:r>
              <w:rPr>
                <w:lang w:eastAsia="zh-CN"/>
              </w:rPr>
              <w:t xml:space="preserve">Indicates </w:t>
            </w:r>
            <w:r>
              <w:rPr>
                <w:rFonts w:cs="Arial"/>
                <w:szCs w:val="18"/>
              </w:rPr>
              <w:t>timestamped UE positions.</w:t>
            </w:r>
          </w:p>
          <w:p w14:paraId="462C5EB8" w14:textId="77777777" w:rsidR="00AD5F95" w:rsidRDefault="00AD5F95" w:rsidP="009E7F73">
            <w:pPr>
              <w:pStyle w:val="TAL"/>
              <w:rPr>
                <w:rFonts w:cs="Arial"/>
                <w:szCs w:val="18"/>
              </w:rPr>
            </w:pPr>
            <w:r>
              <w:rPr>
                <w:rFonts w:cs="Arial"/>
                <w:szCs w:val="18"/>
              </w:rPr>
              <w:t>May be present</w:t>
            </w:r>
            <w:r>
              <w:rPr>
                <w:lang w:eastAsia="zh-CN"/>
              </w:rPr>
              <w:t xml:space="preserve"> if one of the elements in the "proximityCrits" attribute was set to TRAJECTORY.</w:t>
            </w:r>
          </w:p>
        </w:tc>
        <w:tc>
          <w:tcPr>
            <w:tcW w:w="1837" w:type="dxa"/>
            <w:tcBorders>
              <w:top w:val="single" w:sz="6" w:space="0" w:color="auto"/>
              <w:left w:val="single" w:sz="6" w:space="0" w:color="auto"/>
              <w:bottom w:val="single" w:sz="6" w:space="0" w:color="auto"/>
              <w:right w:val="single" w:sz="6" w:space="0" w:color="auto"/>
            </w:tcBorders>
          </w:tcPr>
          <w:p w14:paraId="2F3A85F2" w14:textId="77777777" w:rsidR="00AD5F95" w:rsidRDefault="00AD5F95" w:rsidP="009E7F73">
            <w:pPr>
              <w:pStyle w:val="TAL"/>
              <w:rPr>
                <w:rFonts w:cs="Arial"/>
                <w:szCs w:val="18"/>
              </w:rPr>
            </w:pPr>
          </w:p>
        </w:tc>
      </w:tr>
      <w:tr w:rsidR="00AD5F95" w14:paraId="0841D267"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49EB99DD" w14:textId="77777777" w:rsidR="00AD5F95" w:rsidRDefault="00AD5F95" w:rsidP="009E7F73">
            <w:pPr>
              <w:pStyle w:val="TAL"/>
              <w:rPr>
                <w:lang w:eastAsia="zh-CN"/>
              </w:rPr>
            </w:pPr>
            <w:r>
              <w:rPr>
                <w:lang w:eastAsia="zh-CN"/>
              </w:rPr>
              <w:t>confidence</w:t>
            </w:r>
          </w:p>
        </w:tc>
        <w:tc>
          <w:tcPr>
            <w:tcW w:w="1554" w:type="dxa"/>
            <w:tcBorders>
              <w:top w:val="single" w:sz="6" w:space="0" w:color="auto"/>
              <w:left w:val="single" w:sz="6" w:space="0" w:color="auto"/>
              <w:bottom w:val="single" w:sz="6" w:space="0" w:color="auto"/>
              <w:right w:val="single" w:sz="6" w:space="0" w:color="auto"/>
            </w:tcBorders>
          </w:tcPr>
          <w:p w14:paraId="6E7A8E9F" w14:textId="77777777" w:rsidR="00AD5F95" w:rsidRDefault="00AD5F95" w:rsidP="009E7F73">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6EBE53B5" w14:textId="77777777" w:rsidR="00AD5F95" w:rsidRDefault="00AD5F95" w:rsidP="009E7F73">
            <w:pPr>
              <w:pStyle w:val="TAC"/>
              <w:rPr>
                <w:lang w:eastAsia="ja-JP"/>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69E40F7" w14:textId="77777777" w:rsidR="00AD5F95" w:rsidRDefault="00AD5F95" w:rsidP="009E7F73">
            <w:pPr>
              <w:pStyle w:val="TAL"/>
              <w:rPr>
                <w:rFonts w:cs="Arial"/>
                <w:szCs w:val="18"/>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502F0119" w14:textId="77777777" w:rsidR="00AD5F95" w:rsidRDefault="00AD5F95" w:rsidP="009E7F73">
            <w:pPr>
              <w:pStyle w:val="TAL"/>
              <w:rPr>
                <w:lang w:eastAsia="zh-CN"/>
              </w:rPr>
            </w:pPr>
            <w:r>
              <w:rPr>
                <w:lang w:eastAsia="zh-CN"/>
              </w:rPr>
              <w:t>Indicates the confidence of the prediction. (NOTE)</w:t>
            </w:r>
          </w:p>
          <w:p w14:paraId="3649ECDB" w14:textId="77777777" w:rsidR="00AD5F95" w:rsidRDefault="00AD5F95" w:rsidP="009E7F73">
            <w:pPr>
              <w:pStyle w:val="TAL"/>
              <w:rPr>
                <w:lang w:eastAsia="zh-CN"/>
              </w:rPr>
            </w:pPr>
            <w:r>
              <w:rPr>
                <w:lang w:eastAsia="zh-CN"/>
              </w:rPr>
              <w:t>Minimum = 0. Maximum = 100.</w:t>
            </w:r>
          </w:p>
        </w:tc>
        <w:tc>
          <w:tcPr>
            <w:tcW w:w="1837" w:type="dxa"/>
            <w:tcBorders>
              <w:top w:val="single" w:sz="6" w:space="0" w:color="auto"/>
              <w:left w:val="single" w:sz="6" w:space="0" w:color="auto"/>
              <w:bottom w:val="single" w:sz="6" w:space="0" w:color="auto"/>
              <w:right w:val="single" w:sz="6" w:space="0" w:color="auto"/>
            </w:tcBorders>
          </w:tcPr>
          <w:p w14:paraId="4D10600E" w14:textId="77777777" w:rsidR="00AD5F95" w:rsidRDefault="00AD5F95" w:rsidP="009E7F73">
            <w:pPr>
              <w:pStyle w:val="TAL"/>
              <w:rPr>
                <w:rFonts w:cs="Arial"/>
                <w:szCs w:val="18"/>
              </w:rPr>
            </w:pPr>
            <w:r>
              <w:rPr>
                <w:rFonts w:cs="Arial"/>
                <w:szCs w:val="18"/>
              </w:rPr>
              <w:t>EnRelativeProximity</w:t>
            </w:r>
          </w:p>
        </w:tc>
      </w:tr>
      <w:tr w:rsidR="00AD5F95" w14:paraId="357FE363" w14:textId="77777777" w:rsidTr="009E7F73">
        <w:trPr>
          <w:jc w:val="center"/>
        </w:trPr>
        <w:tc>
          <w:tcPr>
            <w:tcW w:w="1750" w:type="dxa"/>
            <w:tcBorders>
              <w:top w:val="single" w:sz="6" w:space="0" w:color="auto"/>
              <w:left w:val="single" w:sz="6" w:space="0" w:color="auto"/>
              <w:bottom w:val="single" w:sz="6" w:space="0" w:color="auto"/>
              <w:right w:val="single" w:sz="6" w:space="0" w:color="auto"/>
            </w:tcBorders>
          </w:tcPr>
          <w:p w14:paraId="603180AC" w14:textId="77777777" w:rsidR="00AD5F95" w:rsidRDefault="00AD5F95" w:rsidP="009E7F73">
            <w:pPr>
              <w:pStyle w:val="TAL"/>
              <w:rPr>
                <w:lang w:eastAsia="zh-CN"/>
              </w:rPr>
            </w:pPr>
            <w:r>
              <w:rPr>
                <w:lang w:eastAsia="zh-CN"/>
              </w:rPr>
              <w:t>ratio</w:t>
            </w:r>
          </w:p>
        </w:tc>
        <w:tc>
          <w:tcPr>
            <w:tcW w:w="1554" w:type="dxa"/>
            <w:tcBorders>
              <w:top w:val="single" w:sz="6" w:space="0" w:color="auto"/>
              <w:left w:val="single" w:sz="6" w:space="0" w:color="auto"/>
              <w:bottom w:val="single" w:sz="6" w:space="0" w:color="auto"/>
              <w:right w:val="single" w:sz="6" w:space="0" w:color="auto"/>
            </w:tcBorders>
          </w:tcPr>
          <w:p w14:paraId="66223CB8" w14:textId="77777777" w:rsidR="00AD5F95" w:rsidRDefault="00AD5F95" w:rsidP="009E7F73">
            <w:pPr>
              <w:pStyle w:val="TAL"/>
              <w:rPr>
                <w:lang w:eastAsia="zh-CN"/>
              </w:rPr>
            </w:pPr>
            <w:r>
              <w:rPr>
                <w:lang w:eastAsia="zh-CN"/>
              </w:rPr>
              <w:t>SamplingRatio</w:t>
            </w:r>
          </w:p>
        </w:tc>
        <w:tc>
          <w:tcPr>
            <w:tcW w:w="424" w:type="dxa"/>
            <w:tcBorders>
              <w:top w:val="single" w:sz="6" w:space="0" w:color="auto"/>
              <w:left w:val="single" w:sz="6" w:space="0" w:color="auto"/>
              <w:bottom w:val="single" w:sz="6" w:space="0" w:color="auto"/>
              <w:right w:val="single" w:sz="6" w:space="0" w:color="auto"/>
            </w:tcBorders>
          </w:tcPr>
          <w:p w14:paraId="4A8050CF" w14:textId="77777777" w:rsidR="00AD5F95" w:rsidRDefault="00AD5F95" w:rsidP="009E7F73">
            <w:pPr>
              <w:pStyle w:val="TAC"/>
              <w:rPr>
                <w:lang w:eastAsia="ja-JP"/>
              </w:rPr>
            </w:pPr>
            <w:r>
              <w:t>O</w:t>
            </w:r>
          </w:p>
        </w:tc>
        <w:tc>
          <w:tcPr>
            <w:tcW w:w="1130" w:type="dxa"/>
            <w:tcBorders>
              <w:top w:val="single" w:sz="6" w:space="0" w:color="auto"/>
              <w:left w:val="single" w:sz="6" w:space="0" w:color="auto"/>
              <w:bottom w:val="single" w:sz="6" w:space="0" w:color="auto"/>
              <w:right w:val="single" w:sz="6" w:space="0" w:color="auto"/>
            </w:tcBorders>
          </w:tcPr>
          <w:p w14:paraId="37A8F99B" w14:textId="77777777" w:rsidR="00AD5F95" w:rsidRDefault="00AD5F95" w:rsidP="009E7F73">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687C7211" w14:textId="77777777" w:rsidR="00AD5F95" w:rsidRDefault="00AD5F95" w:rsidP="009E7F73">
            <w:pPr>
              <w:pStyle w:val="TAL"/>
              <w:rPr>
                <w:lang w:eastAsia="zh-CN"/>
              </w:rPr>
            </w:pPr>
            <w:r>
              <w:rPr>
                <w:rFonts w:cs="Arial"/>
                <w:szCs w:val="18"/>
              </w:rPr>
              <w:t xml:space="preserve">Indicate </w:t>
            </w:r>
            <w:r>
              <w:t>ratio of UEs accounted based on proximity criteria.</w:t>
            </w:r>
          </w:p>
        </w:tc>
        <w:tc>
          <w:tcPr>
            <w:tcW w:w="1837" w:type="dxa"/>
            <w:tcBorders>
              <w:top w:val="single" w:sz="6" w:space="0" w:color="auto"/>
              <w:left w:val="single" w:sz="6" w:space="0" w:color="auto"/>
              <w:bottom w:val="single" w:sz="6" w:space="0" w:color="auto"/>
              <w:right w:val="single" w:sz="6" w:space="0" w:color="auto"/>
            </w:tcBorders>
          </w:tcPr>
          <w:p w14:paraId="0930F050" w14:textId="77777777" w:rsidR="00AD5F95" w:rsidRDefault="00AD5F95" w:rsidP="009E7F73">
            <w:pPr>
              <w:pStyle w:val="TAL"/>
              <w:rPr>
                <w:rFonts w:cs="Arial"/>
                <w:szCs w:val="18"/>
              </w:rPr>
            </w:pPr>
          </w:p>
        </w:tc>
      </w:tr>
      <w:tr w:rsidR="00AD5F95" w14:paraId="576B7312" w14:textId="77777777" w:rsidTr="009E7F73">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06431AE5" w14:textId="77777777" w:rsidR="00AD5F95" w:rsidRDefault="00AD5F95" w:rsidP="009E7F73">
            <w:pPr>
              <w:pStyle w:val="TAN"/>
              <w:rPr>
                <w:szCs w:val="18"/>
              </w:rPr>
            </w:pPr>
            <w:r>
              <w:t>NOTE:</w:t>
            </w:r>
            <w:r>
              <w:tab/>
              <w:t>If the requested period identified by the "startTs" and "endTs" attributes in the "EventReportingRequirement" type is a future time period, then the analytics result is a prediction. If no sufficient data is collected to provide the confidence of the prediction before the time deadline, the NWDAF shall return a zero confidence.</w:t>
            </w:r>
          </w:p>
        </w:tc>
      </w:tr>
    </w:tbl>
    <w:p w14:paraId="502A5600" w14:textId="77777777" w:rsidR="00AD5F95" w:rsidRPr="0076721C" w:rsidRDefault="00AD5F95" w:rsidP="00AD5F95"/>
    <w:p w14:paraId="03321D63" w14:textId="77777777" w:rsidR="00A10B25" w:rsidRDefault="00A10B25">
      <w:pPr>
        <w:pStyle w:val="5"/>
      </w:pPr>
      <w:bookmarkStart w:id="8230" w:name="_Toc191576331"/>
      <w:bookmarkStart w:id="8231" w:name="_Toc191577071"/>
      <w:bookmarkStart w:id="8232" w:name="_Toc192880141"/>
      <w:bookmarkStart w:id="8233" w:name="_Toc195815024"/>
      <w:bookmarkStart w:id="8234" w:name="_Toc199452991"/>
      <w:r>
        <w:t>5.1.6.2.102</w:t>
      </w:r>
      <w:r>
        <w:tab/>
        <w:t xml:space="preserve">Type </w:t>
      </w:r>
      <w:r>
        <w:rPr>
          <w:lang w:eastAsia="zh-CN"/>
        </w:rPr>
        <w:t>UeTrajectory</w:t>
      </w:r>
      <w:bookmarkEnd w:id="8222"/>
      <w:bookmarkEnd w:id="8223"/>
      <w:bookmarkEnd w:id="8224"/>
      <w:bookmarkEnd w:id="8225"/>
      <w:bookmarkEnd w:id="8226"/>
      <w:bookmarkEnd w:id="8227"/>
      <w:bookmarkEnd w:id="8228"/>
      <w:bookmarkEnd w:id="8230"/>
      <w:bookmarkEnd w:id="8231"/>
      <w:bookmarkEnd w:id="8232"/>
      <w:bookmarkEnd w:id="8233"/>
      <w:bookmarkEnd w:id="8234"/>
    </w:p>
    <w:p w14:paraId="349E1B35" w14:textId="77777777" w:rsidR="00A10B25" w:rsidRDefault="00A10B25">
      <w:pPr>
        <w:pStyle w:val="TH"/>
      </w:pPr>
      <w:r>
        <w:t xml:space="preserve">Table 5.1.6.2.102-1: Definition of type </w:t>
      </w:r>
      <w:r>
        <w:rPr>
          <w:lang w:eastAsia="zh-CN"/>
        </w:rPr>
        <w:t>UeTrajectory</w:t>
      </w:r>
    </w:p>
    <w:tbl>
      <w:tblPr>
        <w:tblW w:w="953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24"/>
        <w:gridCol w:w="1554"/>
        <w:gridCol w:w="424"/>
        <w:gridCol w:w="1130"/>
        <w:gridCol w:w="2845"/>
        <w:gridCol w:w="1856"/>
      </w:tblGrid>
      <w:tr w:rsidR="00A10B25" w14:paraId="64E4D407"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shd w:val="clear" w:color="auto" w:fill="C0C0C0"/>
          </w:tcPr>
          <w:p w14:paraId="30869B98" w14:textId="77777777" w:rsidR="00A10B25" w:rsidRDefault="00A10B25">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370BF0CF" w14:textId="77777777" w:rsidR="00A10B25" w:rsidRDefault="00A10B25">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021FFD3"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3603E90" w14:textId="77777777" w:rsidR="00A10B25" w:rsidRDefault="00A10B25">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6E4CC5EB" w14:textId="77777777" w:rsidR="00A10B25" w:rsidRDefault="00A10B25">
            <w:pPr>
              <w:pStyle w:val="TAH"/>
              <w:ind w:left="400" w:hanging="400"/>
            </w:pPr>
            <w:r>
              <w:t>Description</w:t>
            </w:r>
          </w:p>
        </w:tc>
        <w:tc>
          <w:tcPr>
            <w:tcW w:w="1856" w:type="dxa"/>
            <w:tcBorders>
              <w:top w:val="single" w:sz="6" w:space="0" w:color="auto"/>
              <w:left w:val="single" w:sz="6" w:space="0" w:color="auto"/>
              <w:bottom w:val="single" w:sz="6" w:space="0" w:color="auto"/>
              <w:right w:val="single" w:sz="6" w:space="0" w:color="auto"/>
            </w:tcBorders>
            <w:shd w:val="clear" w:color="auto" w:fill="C0C0C0"/>
          </w:tcPr>
          <w:p w14:paraId="1251BDA3" w14:textId="77777777" w:rsidR="00A10B25" w:rsidRDefault="00A10B25">
            <w:pPr>
              <w:pStyle w:val="TAH"/>
              <w:ind w:left="400" w:hanging="400"/>
            </w:pPr>
            <w:r>
              <w:t>Applicability</w:t>
            </w:r>
          </w:p>
        </w:tc>
      </w:tr>
      <w:tr w:rsidR="00A10B25" w14:paraId="62E58F50"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tcPr>
          <w:p w14:paraId="39A70B20" w14:textId="77777777" w:rsidR="00A10B25" w:rsidRDefault="00A10B25">
            <w:pPr>
              <w:pStyle w:val="TAL"/>
              <w:rPr>
                <w:lang w:eastAsia="zh-CN"/>
              </w:rPr>
            </w:pPr>
            <w:r>
              <w:rPr>
                <w:lang w:eastAsia="zh-CN"/>
              </w:rPr>
              <w:t>supi</w:t>
            </w:r>
          </w:p>
        </w:tc>
        <w:tc>
          <w:tcPr>
            <w:tcW w:w="1554" w:type="dxa"/>
            <w:tcBorders>
              <w:top w:val="single" w:sz="6" w:space="0" w:color="auto"/>
              <w:left w:val="single" w:sz="6" w:space="0" w:color="auto"/>
              <w:bottom w:val="single" w:sz="6" w:space="0" w:color="auto"/>
              <w:right w:val="single" w:sz="6" w:space="0" w:color="auto"/>
            </w:tcBorders>
          </w:tcPr>
          <w:p w14:paraId="5862AAC2" w14:textId="77777777" w:rsidR="00A10B25" w:rsidRDefault="00A10B25">
            <w:pPr>
              <w:pStyle w:val="TAL"/>
            </w:pPr>
            <w:r>
              <w:rPr>
                <w:lang w:eastAsia="zh-CN"/>
              </w:rPr>
              <w:t>Supi</w:t>
            </w:r>
          </w:p>
        </w:tc>
        <w:tc>
          <w:tcPr>
            <w:tcW w:w="424" w:type="dxa"/>
            <w:tcBorders>
              <w:top w:val="single" w:sz="6" w:space="0" w:color="auto"/>
              <w:left w:val="single" w:sz="6" w:space="0" w:color="auto"/>
              <w:bottom w:val="single" w:sz="6" w:space="0" w:color="auto"/>
              <w:right w:val="single" w:sz="6" w:space="0" w:color="auto"/>
            </w:tcBorders>
          </w:tcPr>
          <w:p w14:paraId="5C3DB00A"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45974820"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7B6BAF5" w14:textId="77777777" w:rsidR="00A10B25" w:rsidRDefault="00A10B25">
            <w:pPr>
              <w:pStyle w:val="TAL"/>
              <w:rPr>
                <w:rFonts w:cs="Arial"/>
                <w:szCs w:val="18"/>
                <w:lang w:eastAsia="zh-CN"/>
              </w:rPr>
            </w:pPr>
            <w:r>
              <w:rPr>
                <w:rFonts w:cs="Arial"/>
                <w:szCs w:val="18"/>
              </w:rPr>
              <w:t>Identifies a SUPI of a UE for which this trajectory applies.</w:t>
            </w:r>
            <w:r>
              <w:rPr>
                <w:rFonts w:eastAsia="Times New Roman" w:cs="Arial"/>
                <w:szCs w:val="18"/>
              </w:rPr>
              <w:t xml:space="preserve"> </w:t>
            </w:r>
            <w:r>
              <w:rPr>
                <w:rFonts w:cs="Arial" w:hint="eastAsia"/>
                <w:szCs w:val="18"/>
                <w:lang w:eastAsia="ja-JP"/>
              </w:rPr>
              <w:t>(</w:t>
            </w:r>
            <w:r>
              <w:rPr>
                <w:rFonts w:cs="Arial"/>
                <w:szCs w:val="18"/>
                <w:lang w:eastAsia="ja-JP"/>
              </w:rPr>
              <w:t>NOTE)</w:t>
            </w:r>
          </w:p>
        </w:tc>
        <w:tc>
          <w:tcPr>
            <w:tcW w:w="1856" w:type="dxa"/>
            <w:tcBorders>
              <w:top w:val="single" w:sz="6" w:space="0" w:color="auto"/>
              <w:left w:val="single" w:sz="6" w:space="0" w:color="auto"/>
              <w:bottom w:val="single" w:sz="6" w:space="0" w:color="auto"/>
              <w:right w:val="single" w:sz="6" w:space="0" w:color="auto"/>
            </w:tcBorders>
          </w:tcPr>
          <w:p w14:paraId="182F1FD9" w14:textId="77777777" w:rsidR="00A10B25" w:rsidRDefault="00A10B25">
            <w:pPr>
              <w:pStyle w:val="TAL"/>
              <w:rPr>
                <w:rFonts w:cs="Arial"/>
                <w:szCs w:val="18"/>
              </w:rPr>
            </w:pPr>
          </w:p>
        </w:tc>
      </w:tr>
      <w:tr w:rsidR="00A10B25" w14:paraId="46ABF817"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tcPr>
          <w:p w14:paraId="1BB7D4D8" w14:textId="77777777" w:rsidR="00A10B25" w:rsidRDefault="00A10B25">
            <w:pPr>
              <w:pStyle w:val="TAL"/>
              <w:rPr>
                <w:lang w:eastAsia="zh-CN"/>
              </w:rPr>
            </w:pPr>
            <w:r>
              <w:rPr>
                <w:lang w:eastAsia="zh-CN"/>
              </w:rPr>
              <w:t>gpsi</w:t>
            </w:r>
          </w:p>
        </w:tc>
        <w:tc>
          <w:tcPr>
            <w:tcW w:w="1554" w:type="dxa"/>
            <w:tcBorders>
              <w:top w:val="single" w:sz="6" w:space="0" w:color="auto"/>
              <w:left w:val="single" w:sz="6" w:space="0" w:color="auto"/>
              <w:bottom w:val="single" w:sz="6" w:space="0" w:color="auto"/>
              <w:right w:val="single" w:sz="6" w:space="0" w:color="auto"/>
            </w:tcBorders>
          </w:tcPr>
          <w:p w14:paraId="766D21B5" w14:textId="77777777" w:rsidR="00A10B25" w:rsidRDefault="00A10B25">
            <w:pPr>
              <w:pStyle w:val="TAL"/>
            </w:pPr>
            <w:r>
              <w:rPr>
                <w:lang w:eastAsia="zh-CN"/>
              </w:rPr>
              <w:t>Gpsi</w:t>
            </w:r>
          </w:p>
        </w:tc>
        <w:tc>
          <w:tcPr>
            <w:tcW w:w="424" w:type="dxa"/>
            <w:tcBorders>
              <w:top w:val="single" w:sz="6" w:space="0" w:color="auto"/>
              <w:left w:val="single" w:sz="6" w:space="0" w:color="auto"/>
              <w:bottom w:val="single" w:sz="6" w:space="0" w:color="auto"/>
              <w:right w:val="single" w:sz="6" w:space="0" w:color="auto"/>
            </w:tcBorders>
          </w:tcPr>
          <w:p w14:paraId="53B30248" w14:textId="77777777" w:rsidR="00A10B25" w:rsidRDefault="00A10B25">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56B62CB" w14:textId="77777777" w:rsidR="00A10B25" w:rsidRDefault="00A10B25">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3B9C908" w14:textId="77777777" w:rsidR="00A10B25" w:rsidRDefault="00A10B25">
            <w:pPr>
              <w:pStyle w:val="TAL"/>
              <w:rPr>
                <w:rFonts w:cs="Arial"/>
                <w:szCs w:val="18"/>
              </w:rPr>
            </w:pPr>
            <w:r>
              <w:rPr>
                <w:rFonts w:cs="Arial"/>
                <w:szCs w:val="18"/>
              </w:rPr>
              <w:t xml:space="preserve">Identifies a GPSI of a UE for which this trajectory applies. </w:t>
            </w:r>
          </w:p>
          <w:p w14:paraId="19621618" w14:textId="77777777" w:rsidR="00A10B25" w:rsidRDefault="00A10B25">
            <w:pPr>
              <w:pStyle w:val="TAL"/>
              <w:rPr>
                <w:rFonts w:cs="Arial"/>
                <w:szCs w:val="18"/>
              </w:rPr>
            </w:pPr>
            <w:r>
              <w:rPr>
                <w:rFonts w:cs="Arial"/>
                <w:szCs w:val="18"/>
              </w:rPr>
              <w:t>Not applicable for this API.</w:t>
            </w:r>
          </w:p>
          <w:p w14:paraId="62F6568E" w14:textId="77777777" w:rsidR="00A10B25" w:rsidRDefault="00A10B25">
            <w:pPr>
              <w:pStyle w:val="TAL"/>
              <w:rPr>
                <w:rFonts w:cs="Arial"/>
                <w:szCs w:val="18"/>
                <w:lang w:eastAsia="ja-JP"/>
              </w:rPr>
            </w:pPr>
            <w:r>
              <w:rPr>
                <w:rFonts w:cs="Arial" w:hint="eastAsia"/>
                <w:szCs w:val="18"/>
                <w:lang w:eastAsia="ja-JP"/>
              </w:rPr>
              <w:t>(</w:t>
            </w:r>
            <w:r>
              <w:rPr>
                <w:rFonts w:cs="Arial"/>
                <w:szCs w:val="18"/>
                <w:lang w:eastAsia="ja-JP"/>
              </w:rPr>
              <w:t>NOTE)</w:t>
            </w:r>
          </w:p>
        </w:tc>
        <w:tc>
          <w:tcPr>
            <w:tcW w:w="1856" w:type="dxa"/>
            <w:tcBorders>
              <w:top w:val="single" w:sz="6" w:space="0" w:color="auto"/>
              <w:left w:val="single" w:sz="6" w:space="0" w:color="auto"/>
              <w:bottom w:val="single" w:sz="6" w:space="0" w:color="auto"/>
              <w:right w:val="single" w:sz="6" w:space="0" w:color="auto"/>
            </w:tcBorders>
          </w:tcPr>
          <w:p w14:paraId="1F637C80" w14:textId="77777777" w:rsidR="00A10B25" w:rsidRDefault="00A10B25">
            <w:pPr>
              <w:pStyle w:val="TAL"/>
              <w:rPr>
                <w:rFonts w:cs="Arial"/>
                <w:szCs w:val="18"/>
              </w:rPr>
            </w:pPr>
          </w:p>
        </w:tc>
      </w:tr>
      <w:tr w:rsidR="00143F25" w14:paraId="50BF0988" w14:textId="77777777" w:rsidTr="0076721C">
        <w:trPr>
          <w:jc w:val="center"/>
        </w:trPr>
        <w:tc>
          <w:tcPr>
            <w:tcW w:w="1724" w:type="dxa"/>
            <w:tcBorders>
              <w:top w:val="single" w:sz="6" w:space="0" w:color="auto"/>
              <w:left w:val="single" w:sz="6" w:space="0" w:color="auto"/>
              <w:bottom w:val="single" w:sz="6" w:space="0" w:color="auto"/>
              <w:right w:val="single" w:sz="6" w:space="0" w:color="auto"/>
            </w:tcBorders>
          </w:tcPr>
          <w:p w14:paraId="4E597008" w14:textId="77777777" w:rsidR="00143F25" w:rsidRDefault="00143F25" w:rsidP="00143F25">
            <w:pPr>
              <w:pStyle w:val="TAL"/>
              <w:rPr>
                <w:lang w:eastAsia="zh-CN"/>
              </w:rPr>
            </w:pPr>
            <w:r>
              <w:rPr>
                <w:lang w:val="fr-FR" w:eastAsia="zh-CN"/>
              </w:rPr>
              <w:t>timestampedLocs</w:t>
            </w:r>
          </w:p>
        </w:tc>
        <w:tc>
          <w:tcPr>
            <w:tcW w:w="1554" w:type="dxa"/>
            <w:tcBorders>
              <w:top w:val="single" w:sz="6" w:space="0" w:color="auto"/>
              <w:left w:val="single" w:sz="6" w:space="0" w:color="auto"/>
              <w:bottom w:val="single" w:sz="6" w:space="0" w:color="auto"/>
              <w:right w:val="single" w:sz="6" w:space="0" w:color="auto"/>
            </w:tcBorders>
          </w:tcPr>
          <w:p w14:paraId="582BCF67" w14:textId="77777777" w:rsidR="00143F25" w:rsidRDefault="00143F25" w:rsidP="00143F25">
            <w:pPr>
              <w:pStyle w:val="TAL"/>
              <w:rPr>
                <w:lang w:eastAsia="zh-CN"/>
              </w:rPr>
            </w:pPr>
            <w:r>
              <w:rPr>
                <w:lang w:val="fr-FR" w:eastAsia="zh-CN"/>
              </w:rPr>
              <w:t>array(TimestampedLoc</w:t>
            </w:r>
            <w:r>
              <w:rPr>
                <w:rFonts w:eastAsia="Times New Roman"/>
                <w:lang w:eastAsia="zh-CN"/>
              </w:rPr>
              <w:t>ation</w:t>
            </w:r>
            <w:r>
              <w:rPr>
                <w:lang w:val="fr-FR" w:eastAsia="zh-CN"/>
              </w:rPr>
              <w:t>)</w:t>
            </w:r>
          </w:p>
        </w:tc>
        <w:tc>
          <w:tcPr>
            <w:tcW w:w="424" w:type="dxa"/>
            <w:tcBorders>
              <w:top w:val="single" w:sz="6" w:space="0" w:color="auto"/>
              <w:left w:val="single" w:sz="6" w:space="0" w:color="auto"/>
              <w:bottom w:val="single" w:sz="6" w:space="0" w:color="auto"/>
              <w:right w:val="single" w:sz="6" w:space="0" w:color="auto"/>
            </w:tcBorders>
          </w:tcPr>
          <w:p w14:paraId="23C07CDC" w14:textId="77777777" w:rsidR="00143F25" w:rsidRDefault="00143F25" w:rsidP="00143F25">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2A82C09E" w14:textId="77777777" w:rsidR="00143F25" w:rsidRDefault="00143F25" w:rsidP="00143F25">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752425D1" w14:textId="77777777" w:rsidR="00143F25" w:rsidRDefault="00143F25" w:rsidP="00143F25">
            <w:pPr>
              <w:pStyle w:val="TAL"/>
              <w:rPr>
                <w:rFonts w:cs="Arial"/>
                <w:szCs w:val="18"/>
              </w:rPr>
            </w:pPr>
            <w:r>
              <w:rPr>
                <w:lang w:val="fr-FR"/>
              </w:rPr>
              <w:t xml:space="preserve">The timestamped locations of the </w:t>
            </w:r>
            <w:bookmarkStart w:id="8235" w:name="_Hlk146655579"/>
            <w:r>
              <w:rPr>
                <w:lang w:val="fr-FR"/>
              </w:rPr>
              <w:t>trajectory</w:t>
            </w:r>
            <w:bookmarkEnd w:id="8235"/>
            <w:r>
              <w:rPr>
                <w:lang w:val="fr-FR"/>
              </w:rPr>
              <w:t xml:space="preserve"> of the UE.</w:t>
            </w:r>
          </w:p>
        </w:tc>
        <w:tc>
          <w:tcPr>
            <w:tcW w:w="1856" w:type="dxa"/>
            <w:tcBorders>
              <w:top w:val="single" w:sz="6" w:space="0" w:color="auto"/>
              <w:left w:val="single" w:sz="6" w:space="0" w:color="auto"/>
              <w:bottom w:val="single" w:sz="6" w:space="0" w:color="auto"/>
              <w:right w:val="single" w:sz="6" w:space="0" w:color="auto"/>
            </w:tcBorders>
          </w:tcPr>
          <w:p w14:paraId="06CBBA84" w14:textId="77777777" w:rsidR="00143F25" w:rsidRDefault="00143F25" w:rsidP="00143F25">
            <w:pPr>
              <w:pStyle w:val="TAL"/>
              <w:rPr>
                <w:rFonts w:cs="Arial"/>
                <w:szCs w:val="18"/>
              </w:rPr>
            </w:pPr>
          </w:p>
        </w:tc>
      </w:tr>
      <w:tr w:rsidR="00A10B25" w14:paraId="0D84CBEE" w14:textId="77777777" w:rsidTr="0076721C">
        <w:trPr>
          <w:jc w:val="center"/>
        </w:trPr>
        <w:tc>
          <w:tcPr>
            <w:tcW w:w="9533" w:type="dxa"/>
            <w:gridSpan w:val="6"/>
            <w:tcBorders>
              <w:top w:val="single" w:sz="6" w:space="0" w:color="auto"/>
              <w:left w:val="single" w:sz="6" w:space="0" w:color="auto"/>
              <w:bottom w:val="single" w:sz="6" w:space="0" w:color="auto"/>
              <w:right w:val="single" w:sz="6" w:space="0" w:color="auto"/>
            </w:tcBorders>
          </w:tcPr>
          <w:p w14:paraId="4BDD8D5B" w14:textId="77777777" w:rsidR="00A10B25" w:rsidRDefault="00A10B25">
            <w:pPr>
              <w:pStyle w:val="TAN"/>
            </w:pPr>
            <w:r>
              <w:t>NOTE:</w:t>
            </w:r>
            <w:r>
              <w:tab/>
            </w:r>
            <w:r>
              <w:rPr>
                <w:rFonts w:hint="eastAsia"/>
                <w:lang w:val="fr-FR"/>
              </w:rPr>
              <w:t xml:space="preserve">One of </w:t>
            </w:r>
            <w:r>
              <w:t>"</w:t>
            </w:r>
            <w:r>
              <w:rPr>
                <w:rFonts w:hint="eastAsia"/>
                <w:lang w:val="fr-FR"/>
              </w:rPr>
              <w:t>supi</w:t>
            </w:r>
            <w:r>
              <w:t>"</w:t>
            </w:r>
            <w:r>
              <w:rPr>
                <w:rFonts w:hint="eastAsia"/>
                <w:lang w:val="fr-FR"/>
              </w:rPr>
              <w:t xml:space="preserve"> </w:t>
            </w:r>
            <w:r>
              <w:rPr>
                <w:lang w:val="fr-FR"/>
              </w:rPr>
              <w:t>or</w:t>
            </w:r>
            <w:r>
              <w:rPr>
                <w:rFonts w:hint="eastAsia"/>
                <w:lang w:val="fr-FR"/>
              </w:rPr>
              <w:t xml:space="preserve"> </w:t>
            </w:r>
            <w:r>
              <w:t>"</w:t>
            </w:r>
            <w:r>
              <w:rPr>
                <w:rFonts w:hint="eastAsia"/>
                <w:lang w:val="fr-FR"/>
              </w:rPr>
              <w:t>gpsi</w:t>
            </w:r>
            <w:r>
              <w:t>" attributes</w:t>
            </w:r>
            <w:r>
              <w:rPr>
                <w:rFonts w:hint="eastAsia"/>
                <w:lang w:val="fr-FR"/>
              </w:rPr>
              <w:t xml:space="preserve"> shall be provided.</w:t>
            </w:r>
          </w:p>
        </w:tc>
      </w:tr>
    </w:tbl>
    <w:p w14:paraId="3A902435" w14:textId="77777777" w:rsidR="00A10B25" w:rsidRDefault="00A10B25">
      <w:pPr>
        <w:rPr>
          <w:u w:val="single"/>
        </w:rPr>
      </w:pPr>
    </w:p>
    <w:p w14:paraId="46C9C851" w14:textId="77777777" w:rsidR="00A10B25" w:rsidRDefault="00A10B25">
      <w:pPr>
        <w:pStyle w:val="5"/>
        <w:ind w:left="1600"/>
        <w:rPr>
          <w:rFonts w:eastAsia="Times New Roman"/>
        </w:rPr>
      </w:pPr>
      <w:bookmarkStart w:id="8236" w:name="_Toc148522693"/>
      <w:bookmarkStart w:id="8237" w:name="_Toc164920877"/>
      <w:bookmarkStart w:id="8238" w:name="_Toc170120419"/>
      <w:bookmarkStart w:id="8239" w:name="_Toc175858664"/>
      <w:bookmarkStart w:id="8240" w:name="_Toc175859737"/>
      <w:bookmarkStart w:id="8241" w:name="_Toc180606027"/>
      <w:bookmarkStart w:id="8242" w:name="_Toc185517281"/>
      <w:bookmarkStart w:id="8243" w:name="_Toc191576332"/>
      <w:bookmarkStart w:id="8244" w:name="_Toc191577072"/>
      <w:bookmarkStart w:id="8245" w:name="_Toc192880142"/>
      <w:bookmarkStart w:id="8246" w:name="_Toc195815025"/>
      <w:bookmarkStart w:id="8247" w:name="_Toc199452992"/>
      <w:r>
        <w:rPr>
          <w:rFonts w:eastAsia="Times New Roman"/>
        </w:rPr>
        <w:lastRenderedPageBreak/>
        <w:t>5.1.6.2.103</w:t>
      </w:r>
      <w:r>
        <w:rPr>
          <w:rFonts w:eastAsia="Times New Roman"/>
        </w:rPr>
        <w:tab/>
        <w:t xml:space="preserve">Type </w:t>
      </w:r>
      <w:r>
        <w:rPr>
          <w:rFonts w:eastAsia="Times New Roman"/>
          <w:lang w:eastAsia="zh-CN"/>
        </w:rPr>
        <w:t>TimestampedLocation</w:t>
      </w:r>
      <w:bookmarkEnd w:id="8236"/>
      <w:bookmarkEnd w:id="8237"/>
      <w:bookmarkEnd w:id="8238"/>
      <w:bookmarkEnd w:id="8239"/>
      <w:bookmarkEnd w:id="8240"/>
      <w:bookmarkEnd w:id="8241"/>
      <w:bookmarkEnd w:id="8242"/>
      <w:bookmarkEnd w:id="8243"/>
      <w:bookmarkEnd w:id="8244"/>
      <w:bookmarkEnd w:id="8245"/>
      <w:bookmarkEnd w:id="8246"/>
      <w:bookmarkEnd w:id="8247"/>
    </w:p>
    <w:p w14:paraId="461694B5" w14:textId="77777777" w:rsidR="00A10B25" w:rsidRDefault="00A10B25">
      <w:pPr>
        <w:pStyle w:val="TH"/>
        <w:rPr>
          <w:rFonts w:eastAsia="等线"/>
        </w:rPr>
      </w:pPr>
      <w:r>
        <w:t xml:space="preserve">Table 5.1.6.2.103-1: Definition of type </w:t>
      </w:r>
      <w:r>
        <w:rPr>
          <w:lang w:eastAsia="zh-CN"/>
        </w:rPr>
        <w:t>TimestampedLocation</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726"/>
        <w:gridCol w:w="1555"/>
        <w:gridCol w:w="424"/>
        <w:gridCol w:w="1131"/>
        <w:gridCol w:w="2847"/>
        <w:gridCol w:w="1857"/>
      </w:tblGrid>
      <w:tr w:rsidR="00A10B25" w14:paraId="2CD043E9" w14:textId="77777777" w:rsidTr="0076721C">
        <w:trPr>
          <w:jc w:val="center"/>
        </w:trPr>
        <w:tc>
          <w:tcPr>
            <w:tcW w:w="1726" w:type="dxa"/>
            <w:shd w:val="clear" w:color="auto" w:fill="C0C0C0"/>
            <w:tcMar>
              <w:top w:w="0" w:type="dxa"/>
              <w:left w:w="28" w:type="dxa"/>
              <w:bottom w:w="0" w:type="dxa"/>
              <w:right w:w="108" w:type="dxa"/>
            </w:tcMar>
          </w:tcPr>
          <w:p w14:paraId="6B53AFF4" w14:textId="77777777" w:rsidR="00A10B25" w:rsidRDefault="00A10B25">
            <w:pPr>
              <w:pStyle w:val="TAH"/>
              <w:ind w:left="400" w:hanging="400"/>
              <w:rPr>
                <w:rFonts w:eastAsia="Times New Roman"/>
                <w:lang w:val="fr-FR"/>
              </w:rPr>
            </w:pPr>
            <w:r>
              <w:t>Attribute name</w:t>
            </w:r>
          </w:p>
        </w:tc>
        <w:tc>
          <w:tcPr>
            <w:tcW w:w="1555" w:type="dxa"/>
            <w:shd w:val="clear" w:color="auto" w:fill="C0C0C0"/>
            <w:tcMar>
              <w:top w:w="0" w:type="dxa"/>
              <w:left w:w="28" w:type="dxa"/>
              <w:bottom w:w="0" w:type="dxa"/>
              <w:right w:w="108" w:type="dxa"/>
            </w:tcMar>
          </w:tcPr>
          <w:p w14:paraId="0492196F" w14:textId="77777777" w:rsidR="00A10B25" w:rsidRDefault="00A10B25">
            <w:pPr>
              <w:pStyle w:val="TAH"/>
              <w:ind w:left="400" w:hanging="400"/>
              <w:rPr>
                <w:lang w:val="fr-FR"/>
              </w:rPr>
            </w:pPr>
            <w:r>
              <w:t>Data type</w:t>
            </w:r>
          </w:p>
        </w:tc>
        <w:tc>
          <w:tcPr>
            <w:tcW w:w="424" w:type="dxa"/>
            <w:shd w:val="clear" w:color="auto" w:fill="C0C0C0"/>
            <w:tcMar>
              <w:top w:w="0" w:type="dxa"/>
              <w:left w:w="28" w:type="dxa"/>
              <w:bottom w:w="0" w:type="dxa"/>
              <w:right w:w="108" w:type="dxa"/>
            </w:tcMar>
          </w:tcPr>
          <w:p w14:paraId="73E6591D" w14:textId="77777777" w:rsidR="00A10B25" w:rsidRDefault="00A10B25">
            <w:pPr>
              <w:pStyle w:val="TAH"/>
              <w:ind w:left="400" w:hanging="400"/>
              <w:rPr>
                <w:lang w:val="fr-FR"/>
              </w:rPr>
            </w:pPr>
            <w:r>
              <w:t>P</w:t>
            </w:r>
          </w:p>
        </w:tc>
        <w:tc>
          <w:tcPr>
            <w:tcW w:w="1131" w:type="dxa"/>
            <w:shd w:val="clear" w:color="auto" w:fill="C0C0C0"/>
            <w:tcMar>
              <w:top w:w="0" w:type="dxa"/>
              <w:left w:w="28" w:type="dxa"/>
              <w:bottom w:w="0" w:type="dxa"/>
              <w:right w:w="108" w:type="dxa"/>
            </w:tcMar>
          </w:tcPr>
          <w:p w14:paraId="66F5AAAA" w14:textId="77777777" w:rsidR="00A10B25" w:rsidRDefault="00A10B25">
            <w:pPr>
              <w:pStyle w:val="TAH"/>
              <w:ind w:left="400" w:hanging="400"/>
              <w:rPr>
                <w:lang w:val="fr-FR"/>
              </w:rPr>
            </w:pPr>
            <w:r>
              <w:t>Cardinality</w:t>
            </w:r>
          </w:p>
        </w:tc>
        <w:tc>
          <w:tcPr>
            <w:tcW w:w="2847" w:type="dxa"/>
            <w:shd w:val="clear" w:color="auto" w:fill="C0C0C0"/>
            <w:tcMar>
              <w:top w:w="0" w:type="dxa"/>
              <w:left w:w="28" w:type="dxa"/>
              <w:bottom w:w="0" w:type="dxa"/>
              <w:right w:w="108" w:type="dxa"/>
            </w:tcMar>
          </w:tcPr>
          <w:p w14:paraId="79A122C8" w14:textId="77777777" w:rsidR="00A10B25" w:rsidRDefault="00A10B25">
            <w:pPr>
              <w:pStyle w:val="TAH"/>
              <w:ind w:left="400" w:hanging="400"/>
              <w:rPr>
                <w:lang w:val="fr-FR"/>
              </w:rPr>
            </w:pPr>
            <w:r>
              <w:t>Description</w:t>
            </w:r>
          </w:p>
        </w:tc>
        <w:tc>
          <w:tcPr>
            <w:tcW w:w="1857" w:type="dxa"/>
            <w:shd w:val="clear" w:color="auto" w:fill="C0C0C0"/>
            <w:tcMar>
              <w:top w:w="0" w:type="dxa"/>
              <w:left w:w="28" w:type="dxa"/>
              <w:bottom w:w="0" w:type="dxa"/>
              <w:right w:w="108" w:type="dxa"/>
            </w:tcMar>
          </w:tcPr>
          <w:p w14:paraId="35C0497E" w14:textId="77777777" w:rsidR="00A10B25" w:rsidRDefault="00A10B25">
            <w:pPr>
              <w:pStyle w:val="TAH"/>
              <w:ind w:left="400" w:hanging="400"/>
              <w:rPr>
                <w:lang w:val="fr-FR"/>
              </w:rPr>
            </w:pPr>
            <w:r>
              <w:t>Applicability</w:t>
            </w:r>
          </w:p>
        </w:tc>
      </w:tr>
      <w:tr w:rsidR="00A10B25" w14:paraId="2527A5E8" w14:textId="77777777" w:rsidTr="0076721C">
        <w:trPr>
          <w:jc w:val="center"/>
        </w:trPr>
        <w:tc>
          <w:tcPr>
            <w:tcW w:w="1726" w:type="dxa"/>
            <w:tcMar>
              <w:top w:w="0" w:type="dxa"/>
              <w:left w:w="28" w:type="dxa"/>
              <w:bottom w:w="0" w:type="dxa"/>
              <w:right w:w="108" w:type="dxa"/>
            </w:tcMar>
          </w:tcPr>
          <w:p w14:paraId="4CCA1304" w14:textId="77777777" w:rsidR="00A10B25" w:rsidRDefault="00A10B25">
            <w:pPr>
              <w:pStyle w:val="TAL"/>
              <w:rPr>
                <w:lang w:val="fr-FR" w:eastAsia="zh-CN"/>
              </w:rPr>
            </w:pPr>
            <w:r>
              <w:rPr>
                <w:lang w:val="fr-FR" w:eastAsia="zh-CN"/>
              </w:rPr>
              <w:t>ts</w:t>
            </w:r>
          </w:p>
        </w:tc>
        <w:tc>
          <w:tcPr>
            <w:tcW w:w="1555" w:type="dxa"/>
            <w:tcMar>
              <w:top w:w="0" w:type="dxa"/>
              <w:left w:w="28" w:type="dxa"/>
              <w:bottom w:w="0" w:type="dxa"/>
              <w:right w:w="108" w:type="dxa"/>
            </w:tcMar>
          </w:tcPr>
          <w:p w14:paraId="7F486454" w14:textId="77777777" w:rsidR="00A10B25" w:rsidRDefault="00A10B25">
            <w:pPr>
              <w:pStyle w:val="TAL"/>
              <w:rPr>
                <w:lang w:val="fr-FR" w:eastAsia="zh-CN"/>
              </w:rPr>
            </w:pPr>
            <w:r>
              <w:rPr>
                <w:lang w:val="fr-FR" w:eastAsia="zh-CN"/>
              </w:rPr>
              <w:t>DateTime</w:t>
            </w:r>
          </w:p>
        </w:tc>
        <w:tc>
          <w:tcPr>
            <w:tcW w:w="424" w:type="dxa"/>
            <w:tcMar>
              <w:top w:w="0" w:type="dxa"/>
              <w:left w:w="28" w:type="dxa"/>
              <w:bottom w:w="0" w:type="dxa"/>
              <w:right w:w="108" w:type="dxa"/>
            </w:tcMar>
          </w:tcPr>
          <w:p w14:paraId="173DEF97" w14:textId="77777777" w:rsidR="00A10B25" w:rsidRDefault="00A10B25">
            <w:pPr>
              <w:pStyle w:val="TAC"/>
              <w:rPr>
                <w:lang w:val="fr-FR" w:eastAsia="zh-CN"/>
              </w:rPr>
            </w:pPr>
            <w:r>
              <w:rPr>
                <w:lang w:val="fr-FR"/>
              </w:rPr>
              <w:t>M</w:t>
            </w:r>
          </w:p>
        </w:tc>
        <w:tc>
          <w:tcPr>
            <w:tcW w:w="1131" w:type="dxa"/>
            <w:tcMar>
              <w:top w:w="0" w:type="dxa"/>
              <w:left w:w="28" w:type="dxa"/>
              <w:bottom w:w="0" w:type="dxa"/>
              <w:right w:w="108" w:type="dxa"/>
            </w:tcMar>
          </w:tcPr>
          <w:p w14:paraId="3E1D3E1C" w14:textId="77777777" w:rsidR="00A10B25" w:rsidRDefault="00A10B25">
            <w:pPr>
              <w:pStyle w:val="TAL"/>
              <w:rPr>
                <w:lang w:val="fr-FR" w:eastAsia="zh-CN"/>
              </w:rPr>
            </w:pPr>
            <w:r>
              <w:rPr>
                <w:lang w:val="fr-FR"/>
              </w:rPr>
              <w:t>1</w:t>
            </w:r>
          </w:p>
        </w:tc>
        <w:tc>
          <w:tcPr>
            <w:tcW w:w="2847" w:type="dxa"/>
            <w:tcMar>
              <w:top w:w="0" w:type="dxa"/>
              <w:left w:w="28" w:type="dxa"/>
              <w:bottom w:w="0" w:type="dxa"/>
              <w:right w:w="108" w:type="dxa"/>
            </w:tcMar>
          </w:tcPr>
          <w:p w14:paraId="02E4923D" w14:textId="77777777" w:rsidR="00A10B25" w:rsidRDefault="00A10B25">
            <w:pPr>
              <w:pStyle w:val="TAL"/>
              <w:rPr>
                <w:lang w:val="fr-FR" w:eastAsia="zh-CN"/>
              </w:rPr>
            </w:pPr>
            <w:r>
              <w:rPr>
                <w:lang w:val="fr-FR" w:eastAsia="zh-CN"/>
              </w:rPr>
              <w:t>Time stamp for the UE location.</w:t>
            </w:r>
          </w:p>
        </w:tc>
        <w:tc>
          <w:tcPr>
            <w:tcW w:w="1857" w:type="dxa"/>
            <w:tcMar>
              <w:top w:w="0" w:type="dxa"/>
              <w:left w:w="28" w:type="dxa"/>
              <w:bottom w:w="0" w:type="dxa"/>
              <w:right w:w="108" w:type="dxa"/>
            </w:tcMar>
          </w:tcPr>
          <w:p w14:paraId="15CAEE60" w14:textId="77777777" w:rsidR="00A10B25" w:rsidRDefault="00A10B25">
            <w:pPr>
              <w:pStyle w:val="TAL"/>
              <w:rPr>
                <w:lang w:val="fr-FR"/>
              </w:rPr>
            </w:pPr>
          </w:p>
        </w:tc>
      </w:tr>
      <w:tr w:rsidR="00A10B25" w14:paraId="4DE3145B" w14:textId="77777777" w:rsidTr="0076721C">
        <w:trPr>
          <w:jc w:val="center"/>
        </w:trPr>
        <w:tc>
          <w:tcPr>
            <w:tcW w:w="1726" w:type="dxa"/>
            <w:tcMar>
              <w:top w:w="0" w:type="dxa"/>
              <w:left w:w="28" w:type="dxa"/>
              <w:bottom w:w="0" w:type="dxa"/>
              <w:right w:w="108" w:type="dxa"/>
            </w:tcMar>
          </w:tcPr>
          <w:p w14:paraId="7D147544" w14:textId="77777777" w:rsidR="00A10B25" w:rsidRDefault="00A10B25">
            <w:pPr>
              <w:pStyle w:val="TAL"/>
              <w:rPr>
                <w:lang w:val="fr-FR" w:eastAsia="zh-CN"/>
              </w:rPr>
            </w:pPr>
            <w:r>
              <w:rPr>
                <w:lang w:val="fr-FR" w:eastAsia="zh-CN"/>
              </w:rPr>
              <w:t>locInfo</w:t>
            </w:r>
          </w:p>
        </w:tc>
        <w:tc>
          <w:tcPr>
            <w:tcW w:w="1555" w:type="dxa"/>
            <w:tcMar>
              <w:top w:w="0" w:type="dxa"/>
              <w:left w:w="28" w:type="dxa"/>
              <w:bottom w:w="0" w:type="dxa"/>
              <w:right w:w="108" w:type="dxa"/>
            </w:tcMar>
          </w:tcPr>
          <w:p w14:paraId="14E3B68E" w14:textId="77777777" w:rsidR="00A10B25" w:rsidRDefault="00A10B25">
            <w:pPr>
              <w:pStyle w:val="TAL"/>
              <w:rPr>
                <w:lang w:val="fr-FR"/>
              </w:rPr>
            </w:pPr>
            <w:r>
              <w:rPr>
                <w:lang w:val="fr-FR"/>
              </w:rPr>
              <w:t>LocationInfo</w:t>
            </w:r>
          </w:p>
        </w:tc>
        <w:tc>
          <w:tcPr>
            <w:tcW w:w="424" w:type="dxa"/>
            <w:tcMar>
              <w:top w:w="0" w:type="dxa"/>
              <w:left w:w="28" w:type="dxa"/>
              <w:bottom w:w="0" w:type="dxa"/>
              <w:right w:w="108" w:type="dxa"/>
            </w:tcMar>
          </w:tcPr>
          <w:p w14:paraId="7EDF1B02" w14:textId="77777777" w:rsidR="00A10B25" w:rsidRDefault="00A10B25">
            <w:pPr>
              <w:pStyle w:val="TAC"/>
              <w:rPr>
                <w:lang w:val="fr-FR" w:eastAsia="zh-CN"/>
              </w:rPr>
            </w:pPr>
            <w:r>
              <w:rPr>
                <w:lang w:val="fr-FR"/>
              </w:rPr>
              <w:t>M</w:t>
            </w:r>
          </w:p>
        </w:tc>
        <w:tc>
          <w:tcPr>
            <w:tcW w:w="1131" w:type="dxa"/>
            <w:tcMar>
              <w:top w:w="0" w:type="dxa"/>
              <w:left w:w="28" w:type="dxa"/>
              <w:bottom w:w="0" w:type="dxa"/>
              <w:right w:w="108" w:type="dxa"/>
            </w:tcMar>
          </w:tcPr>
          <w:p w14:paraId="501C091F" w14:textId="77777777" w:rsidR="00A10B25" w:rsidRDefault="00A10B25">
            <w:pPr>
              <w:pStyle w:val="TAL"/>
              <w:rPr>
                <w:lang w:val="fr-FR" w:eastAsia="zh-CN"/>
              </w:rPr>
            </w:pPr>
            <w:r>
              <w:rPr>
                <w:lang w:val="fr-FR"/>
              </w:rPr>
              <w:t>1</w:t>
            </w:r>
          </w:p>
        </w:tc>
        <w:tc>
          <w:tcPr>
            <w:tcW w:w="2847" w:type="dxa"/>
            <w:tcMar>
              <w:top w:w="0" w:type="dxa"/>
              <w:left w:w="28" w:type="dxa"/>
              <w:bottom w:w="0" w:type="dxa"/>
              <w:right w:w="108" w:type="dxa"/>
            </w:tcMar>
          </w:tcPr>
          <w:p w14:paraId="5E96CB98" w14:textId="77777777" w:rsidR="00A10B25" w:rsidRDefault="00A10B25">
            <w:pPr>
              <w:pStyle w:val="TAL"/>
              <w:rPr>
                <w:lang w:val="fr-FR" w:eastAsia="zh-CN"/>
              </w:rPr>
            </w:pPr>
            <w:r>
              <w:rPr>
                <w:lang w:val="fr-FR" w:eastAsia="zh-CN"/>
              </w:rPr>
              <w:t xml:space="preserve">This attribute includes the UE location information at the time indicated by </w:t>
            </w:r>
            <w:r>
              <w:rPr>
                <w:lang w:val="fr-FR"/>
              </w:rPr>
              <w:t>"ts" attribute</w:t>
            </w:r>
            <w:r>
              <w:rPr>
                <w:lang w:val="fr-FR" w:eastAsia="zh-CN"/>
              </w:rPr>
              <w:t>.</w:t>
            </w:r>
          </w:p>
        </w:tc>
        <w:tc>
          <w:tcPr>
            <w:tcW w:w="1857" w:type="dxa"/>
            <w:tcMar>
              <w:top w:w="0" w:type="dxa"/>
              <w:left w:w="28" w:type="dxa"/>
              <w:bottom w:w="0" w:type="dxa"/>
              <w:right w:w="108" w:type="dxa"/>
            </w:tcMar>
          </w:tcPr>
          <w:p w14:paraId="5A0D5E2F" w14:textId="77777777" w:rsidR="00A10B25" w:rsidRDefault="00A10B25">
            <w:pPr>
              <w:pStyle w:val="TAL"/>
              <w:rPr>
                <w:lang w:val="fr-FR"/>
              </w:rPr>
            </w:pPr>
          </w:p>
        </w:tc>
      </w:tr>
    </w:tbl>
    <w:p w14:paraId="1B90B463" w14:textId="77777777" w:rsidR="00A10B25" w:rsidRDefault="00A10B25">
      <w:pPr>
        <w:rPr>
          <w:rFonts w:eastAsia="Yu Gothic"/>
          <w:u w:val="single"/>
        </w:rPr>
      </w:pPr>
    </w:p>
    <w:p w14:paraId="1964FED4" w14:textId="77777777" w:rsidR="00A10B25" w:rsidRDefault="00A10B25">
      <w:pPr>
        <w:pStyle w:val="5"/>
      </w:pPr>
      <w:bookmarkStart w:id="8248" w:name="_Toc148522694"/>
      <w:bookmarkStart w:id="8249" w:name="_Toc164920878"/>
      <w:bookmarkStart w:id="8250" w:name="_Toc170120420"/>
      <w:bookmarkStart w:id="8251" w:name="_Toc175858665"/>
      <w:bookmarkStart w:id="8252" w:name="_Toc175859738"/>
      <w:bookmarkStart w:id="8253" w:name="_Toc180606028"/>
      <w:bookmarkStart w:id="8254" w:name="_Toc185517282"/>
      <w:bookmarkStart w:id="8255" w:name="_Toc191576333"/>
      <w:bookmarkStart w:id="8256" w:name="_Toc191577073"/>
      <w:bookmarkStart w:id="8257" w:name="_Toc192880143"/>
      <w:bookmarkStart w:id="8258" w:name="_Toc195815026"/>
      <w:bookmarkStart w:id="8259" w:name="_Toc199452993"/>
      <w:r>
        <w:lastRenderedPageBreak/>
        <w:t>5.1.6.2.104</w:t>
      </w:r>
      <w:r>
        <w:tab/>
        <w:t xml:space="preserve">Type </w:t>
      </w:r>
      <w:r>
        <w:rPr>
          <w:lang w:eastAsia="zh-CN"/>
        </w:rPr>
        <w:t>TimeToCollisionInfo</w:t>
      </w:r>
      <w:bookmarkEnd w:id="8248"/>
      <w:bookmarkEnd w:id="8249"/>
      <w:bookmarkEnd w:id="8250"/>
      <w:bookmarkEnd w:id="8251"/>
      <w:bookmarkEnd w:id="8252"/>
      <w:bookmarkEnd w:id="8253"/>
      <w:bookmarkEnd w:id="8254"/>
      <w:bookmarkEnd w:id="8255"/>
      <w:bookmarkEnd w:id="8256"/>
      <w:bookmarkEnd w:id="8257"/>
      <w:bookmarkEnd w:id="8258"/>
      <w:bookmarkEnd w:id="8259"/>
    </w:p>
    <w:p w14:paraId="5290BBB8" w14:textId="77777777" w:rsidR="00AD5F95" w:rsidRDefault="00AD5F95" w:rsidP="00AD5F95">
      <w:pPr>
        <w:pStyle w:val="TH"/>
      </w:pPr>
      <w:bookmarkStart w:id="8260" w:name="_Toc164920879"/>
      <w:bookmarkStart w:id="8261" w:name="_Toc170120421"/>
      <w:bookmarkStart w:id="8262" w:name="_Toc175858666"/>
      <w:bookmarkStart w:id="8263" w:name="_Toc175859739"/>
      <w:bookmarkStart w:id="8264" w:name="_Toc180606029"/>
      <w:bookmarkStart w:id="8265" w:name="_Toc185517283"/>
      <w:r>
        <w:t xml:space="preserve">Table 5.1.6.2.104-1: Definition of type </w:t>
      </w:r>
      <w:r>
        <w:rPr>
          <w:lang w:eastAsia="zh-CN"/>
        </w:rPr>
        <w:t>TimeToCollisionInfo</w:t>
      </w:r>
    </w:p>
    <w:tbl>
      <w:tblPr>
        <w:tblW w:w="953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24"/>
        <w:gridCol w:w="1554"/>
        <w:gridCol w:w="424"/>
        <w:gridCol w:w="1130"/>
        <w:gridCol w:w="2845"/>
        <w:gridCol w:w="1856"/>
      </w:tblGrid>
      <w:tr w:rsidR="00AD5F95" w14:paraId="3AE1855E"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shd w:val="clear" w:color="auto" w:fill="C0C0C0"/>
          </w:tcPr>
          <w:p w14:paraId="157E5E3C" w14:textId="77777777" w:rsidR="00AD5F95" w:rsidRDefault="00AD5F95" w:rsidP="009E7F73">
            <w:pPr>
              <w:pStyle w:val="TAH"/>
              <w:ind w:left="400" w:hanging="400"/>
            </w:pPr>
            <w:r>
              <w:t>Attribute name</w:t>
            </w:r>
          </w:p>
        </w:tc>
        <w:tc>
          <w:tcPr>
            <w:tcW w:w="1554" w:type="dxa"/>
            <w:tcBorders>
              <w:top w:val="single" w:sz="6" w:space="0" w:color="auto"/>
              <w:left w:val="single" w:sz="6" w:space="0" w:color="auto"/>
              <w:bottom w:val="single" w:sz="6" w:space="0" w:color="auto"/>
              <w:right w:val="single" w:sz="6" w:space="0" w:color="auto"/>
            </w:tcBorders>
            <w:shd w:val="clear" w:color="auto" w:fill="C0C0C0"/>
          </w:tcPr>
          <w:p w14:paraId="2BF1D5DA" w14:textId="77777777" w:rsidR="00AD5F95" w:rsidRDefault="00AD5F95"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77A5CC8E" w14:textId="77777777" w:rsidR="00AD5F95" w:rsidRDefault="00AD5F95" w:rsidP="009E7F73">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EA564EA" w14:textId="77777777" w:rsidR="00AD5F95" w:rsidRDefault="00AD5F95" w:rsidP="009E7F73">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A1D2C44" w14:textId="77777777" w:rsidR="00AD5F95" w:rsidRDefault="00AD5F95" w:rsidP="009E7F73">
            <w:pPr>
              <w:pStyle w:val="TAH"/>
              <w:ind w:left="400" w:hanging="400"/>
            </w:pPr>
            <w:r>
              <w:t>Description</w:t>
            </w:r>
          </w:p>
        </w:tc>
        <w:tc>
          <w:tcPr>
            <w:tcW w:w="1856" w:type="dxa"/>
            <w:tcBorders>
              <w:top w:val="single" w:sz="6" w:space="0" w:color="auto"/>
              <w:left w:val="single" w:sz="6" w:space="0" w:color="auto"/>
              <w:bottom w:val="single" w:sz="6" w:space="0" w:color="auto"/>
              <w:right w:val="single" w:sz="6" w:space="0" w:color="auto"/>
            </w:tcBorders>
            <w:shd w:val="clear" w:color="auto" w:fill="C0C0C0"/>
          </w:tcPr>
          <w:p w14:paraId="6C37FC93" w14:textId="77777777" w:rsidR="00AD5F95" w:rsidRDefault="00AD5F95" w:rsidP="009E7F73">
            <w:pPr>
              <w:pStyle w:val="TAH"/>
              <w:ind w:left="400" w:hanging="400"/>
            </w:pPr>
            <w:r>
              <w:t>Applicability</w:t>
            </w:r>
          </w:p>
        </w:tc>
      </w:tr>
      <w:tr w:rsidR="00AD5F95" w14:paraId="30F086E4"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78C64BA0" w14:textId="77777777" w:rsidR="00AD5F95" w:rsidRDefault="00AD5F95" w:rsidP="009E7F73">
            <w:pPr>
              <w:pStyle w:val="TAL"/>
              <w:rPr>
                <w:lang w:eastAsia="zh-CN"/>
              </w:rPr>
            </w:pPr>
            <w:r>
              <w:rPr>
                <w:lang w:eastAsia="zh-CN"/>
              </w:rPr>
              <w:t>ttc</w:t>
            </w:r>
          </w:p>
        </w:tc>
        <w:tc>
          <w:tcPr>
            <w:tcW w:w="1554" w:type="dxa"/>
            <w:tcBorders>
              <w:top w:val="single" w:sz="6" w:space="0" w:color="auto"/>
              <w:left w:val="single" w:sz="6" w:space="0" w:color="auto"/>
              <w:bottom w:val="single" w:sz="6" w:space="0" w:color="auto"/>
              <w:right w:val="single" w:sz="6" w:space="0" w:color="auto"/>
            </w:tcBorders>
          </w:tcPr>
          <w:p w14:paraId="6A502937" w14:textId="77777777" w:rsidR="00AD5F95" w:rsidRDefault="00AD5F95" w:rsidP="009E7F73">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204A18FF"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5ADA555"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1AC9EA6" w14:textId="77777777" w:rsidR="00AD5F95" w:rsidRDefault="00AD5F95" w:rsidP="009E7F73">
            <w:pPr>
              <w:pStyle w:val="TAL"/>
              <w:rPr>
                <w:rFonts w:cs="Arial"/>
                <w:szCs w:val="18"/>
                <w:lang w:eastAsia="zh-CN"/>
              </w:rPr>
            </w:pPr>
            <w:r>
              <w:rPr>
                <w:rFonts w:cs="Arial"/>
                <w:szCs w:val="18"/>
                <w:lang w:eastAsia="zh-CN"/>
              </w:rPr>
              <w:t>Time until the predicted collision between UEs to which the proximity information applies.</w:t>
            </w:r>
          </w:p>
        </w:tc>
        <w:tc>
          <w:tcPr>
            <w:tcW w:w="1856" w:type="dxa"/>
            <w:tcBorders>
              <w:top w:val="single" w:sz="6" w:space="0" w:color="auto"/>
              <w:left w:val="single" w:sz="6" w:space="0" w:color="auto"/>
              <w:bottom w:val="single" w:sz="6" w:space="0" w:color="auto"/>
              <w:right w:val="single" w:sz="6" w:space="0" w:color="auto"/>
            </w:tcBorders>
          </w:tcPr>
          <w:p w14:paraId="564F07F1" w14:textId="77777777" w:rsidR="00AD5F95" w:rsidRDefault="00AD5F95" w:rsidP="009E7F73">
            <w:pPr>
              <w:pStyle w:val="TAL"/>
              <w:rPr>
                <w:rFonts w:cs="Arial"/>
                <w:szCs w:val="18"/>
              </w:rPr>
            </w:pPr>
          </w:p>
        </w:tc>
      </w:tr>
      <w:tr w:rsidR="00AD5F95" w14:paraId="4E218FCA"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1673973F" w14:textId="77777777" w:rsidR="00AD5F95" w:rsidRDefault="00AD5F95" w:rsidP="009E7F73">
            <w:pPr>
              <w:pStyle w:val="TAL"/>
              <w:rPr>
                <w:lang w:eastAsia="zh-CN"/>
              </w:rPr>
            </w:pPr>
            <w:r>
              <w:t>accuracy</w:t>
            </w:r>
          </w:p>
        </w:tc>
        <w:tc>
          <w:tcPr>
            <w:tcW w:w="1554" w:type="dxa"/>
            <w:tcBorders>
              <w:top w:val="single" w:sz="6" w:space="0" w:color="auto"/>
              <w:left w:val="single" w:sz="6" w:space="0" w:color="auto"/>
              <w:bottom w:val="single" w:sz="6" w:space="0" w:color="auto"/>
              <w:right w:val="single" w:sz="6" w:space="0" w:color="auto"/>
            </w:tcBorders>
          </w:tcPr>
          <w:p w14:paraId="6B7E0B20" w14:textId="77777777" w:rsidR="00AD5F95" w:rsidRDefault="00AD5F95" w:rsidP="009E7F73">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5D7DB027" w14:textId="77777777" w:rsidR="00AD5F95" w:rsidRDefault="00AD5F95"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9DBA6CE" w14:textId="77777777" w:rsidR="00AD5F95" w:rsidRDefault="00AD5F95" w:rsidP="009E7F73">
            <w:pPr>
              <w:pStyle w:val="TAL"/>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3A9AF01F" w14:textId="77777777" w:rsidR="00AD5F95" w:rsidRDefault="00AD5F95" w:rsidP="009E7F73">
            <w:pPr>
              <w:pStyle w:val="TAL"/>
              <w:rPr>
                <w:rFonts w:cs="Arial"/>
                <w:szCs w:val="18"/>
              </w:rPr>
            </w:pPr>
            <w:r>
              <w:rPr>
                <w:rFonts w:cs="Arial" w:hint="eastAsia"/>
                <w:szCs w:val="18"/>
                <w:lang w:eastAsia="zh-CN"/>
              </w:rPr>
              <w:t>Indicates the a</w:t>
            </w:r>
            <w:r>
              <w:rPr>
                <w:rFonts w:cs="Arial"/>
                <w:szCs w:val="18"/>
              </w:rPr>
              <w:t>ccuracy of TTC (dependent on both the UE location accuracy and confidence of the prediction).</w:t>
            </w:r>
          </w:p>
          <w:p w14:paraId="64FAB372" w14:textId="77777777" w:rsidR="00AD5F95" w:rsidRDefault="00AD5F95" w:rsidP="009E7F73">
            <w:pPr>
              <w:pStyle w:val="TAL"/>
              <w:rPr>
                <w:lang w:eastAsia="zh-CN"/>
              </w:rPr>
            </w:pPr>
            <w:r>
              <w:rPr>
                <w:lang w:eastAsia="zh-CN"/>
              </w:rPr>
              <w:t>Minimum = 0. Maximum = 100.</w:t>
            </w:r>
          </w:p>
          <w:p w14:paraId="00C3029F" w14:textId="77777777" w:rsidR="00AD5F95" w:rsidRDefault="00AD5F95" w:rsidP="009E7F73">
            <w:pPr>
              <w:pStyle w:val="TAL"/>
              <w:rPr>
                <w:lang w:eastAsia="zh-CN"/>
              </w:rPr>
            </w:pPr>
          </w:p>
          <w:p w14:paraId="544837F2" w14:textId="77777777" w:rsidR="00AD5F95" w:rsidRDefault="00AD5F95" w:rsidP="009E7F73">
            <w:pPr>
              <w:pStyle w:val="TAL"/>
              <w:rPr>
                <w:rFonts w:eastAsia="等线"/>
                <w:lang w:eastAsia="zh-CN"/>
              </w:rPr>
            </w:pPr>
            <w:r w:rsidRPr="00740204">
              <w:rPr>
                <w:rFonts w:eastAsia="等线"/>
                <w:lang w:eastAsia="zh-CN"/>
              </w:rPr>
              <w:t>May be provided when the "</w:t>
            </w:r>
            <w:r>
              <w:rPr>
                <w:rFonts w:eastAsia="等线"/>
                <w:lang w:eastAsia="zh-CN"/>
              </w:rPr>
              <w:t>ttc</w:t>
            </w:r>
            <w:r w:rsidRPr="00740204">
              <w:rPr>
                <w:rFonts w:eastAsia="等线"/>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719722DE" w14:textId="77777777" w:rsidR="00AD5F95" w:rsidRDefault="00AD5F95" w:rsidP="009E7F73">
            <w:pPr>
              <w:pStyle w:val="TAL"/>
              <w:rPr>
                <w:rFonts w:cs="Arial"/>
                <w:szCs w:val="18"/>
              </w:rPr>
            </w:pPr>
          </w:p>
        </w:tc>
      </w:tr>
      <w:tr w:rsidR="00AD5F95" w14:paraId="16CD4830"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78961D02" w14:textId="77777777" w:rsidR="00AD5F95" w:rsidRDefault="00AD5F95" w:rsidP="009E7F73">
            <w:pPr>
              <w:pStyle w:val="TAL"/>
              <w:rPr>
                <w:lang w:eastAsia="zh-CN"/>
              </w:rPr>
            </w:pPr>
            <w:r>
              <w:rPr>
                <w:lang w:eastAsia="zh-CN"/>
              </w:rPr>
              <w:t>confidence</w:t>
            </w:r>
          </w:p>
        </w:tc>
        <w:tc>
          <w:tcPr>
            <w:tcW w:w="1554" w:type="dxa"/>
            <w:tcBorders>
              <w:top w:val="single" w:sz="6" w:space="0" w:color="auto"/>
              <w:left w:val="single" w:sz="6" w:space="0" w:color="auto"/>
              <w:bottom w:val="single" w:sz="6" w:space="0" w:color="auto"/>
              <w:right w:val="single" w:sz="6" w:space="0" w:color="auto"/>
            </w:tcBorders>
          </w:tcPr>
          <w:p w14:paraId="31E3D3C2" w14:textId="77777777" w:rsidR="00AD5F95" w:rsidRDefault="00AD5F95" w:rsidP="009E7F73">
            <w:pPr>
              <w:pStyle w:val="TAL"/>
              <w:rPr>
                <w:lang w:eastAsia="zh-CN"/>
              </w:rPr>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C3F8109" w14:textId="77777777" w:rsidR="00AD5F95" w:rsidRDefault="00AD5F95" w:rsidP="009E7F73">
            <w:pPr>
              <w:pStyle w:val="TAC"/>
              <w:rPr>
                <w:lang w:eastAsia="ja-JP"/>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7B45FBA6" w14:textId="77777777" w:rsidR="00AD5F95" w:rsidRDefault="00AD5F95" w:rsidP="009E7F73">
            <w:pPr>
              <w:pStyle w:val="TAL"/>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46D41726" w14:textId="77777777" w:rsidR="00AD5F95" w:rsidRDefault="00AD5F95" w:rsidP="009E7F73">
            <w:pPr>
              <w:pStyle w:val="TAL"/>
              <w:rPr>
                <w:lang w:eastAsia="zh-CN"/>
              </w:rPr>
            </w:pPr>
            <w:r>
              <w:rPr>
                <w:lang w:eastAsia="zh-CN"/>
              </w:rPr>
              <w:t>Indicates the confidence of the prediction</w:t>
            </w:r>
            <w:r>
              <w:rPr>
                <w:rFonts w:hint="eastAsia"/>
                <w:lang w:eastAsia="zh-CN"/>
              </w:rPr>
              <w:t xml:space="preserve"> for TTC</w:t>
            </w:r>
            <w:r>
              <w:rPr>
                <w:lang w:eastAsia="zh-CN"/>
              </w:rPr>
              <w:t>. (NOTE)</w:t>
            </w:r>
          </w:p>
          <w:p w14:paraId="5188F2C8" w14:textId="77777777" w:rsidR="00AD5F95" w:rsidRDefault="00AD5F95" w:rsidP="009E7F73">
            <w:pPr>
              <w:pStyle w:val="TAL"/>
              <w:rPr>
                <w:lang w:eastAsia="zh-CN"/>
              </w:rPr>
            </w:pPr>
            <w:r>
              <w:rPr>
                <w:lang w:eastAsia="zh-CN"/>
              </w:rPr>
              <w:t>Minimum = 0. Maximum = 100.</w:t>
            </w:r>
          </w:p>
          <w:p w14:paraId="0DD6C4AA" w14:textId="77777777" w:rsidR="00AD5F95" w:rsidRDefault="00AD5F95" w:rsidP="009E7F73">
            <w:pPr>
              <w:pStyle w:val="TAL"/>
              <w:rPr>
                <w:lang w:eastAsia="zh-CN"/>
              </w:rPr>
            </w:pPr>
          </w:p>
          <w:p w14:paraId="034377B7" w14:textId="77777777" w:rsidR="00AD5F95" w:rsidRDefault="00AD5F95" w:rsidP="009E7F73">
            <w:pPr>
              <w:pStyle w:val="TAL"/>
              <w:rPr>
                <w:lang w:eastAsia="zh-CN"/>
              </w:rPr>
            </w:pPr>
            <w:r w:rsidRPr="00740204">
              <w:rPr>
                <w:rFonts w:eastAsia="等线"/>
                <w:lang w:eastAsia="zh-CN"/>
              </w:rPr>
              <w:t>May be provided when the "</w:t>
            </w:r>
            <w:r>
              <w:rPr>
                <w:rFonts w:eastAsia="等线"/>
                <w:lang w:eastAsia="zh-CN"/>
              </w:rPr>
              <w:t>ttc</w:t>
            </w:r>
            <w:r w:rsidRPr="00740204">
              <w:rPr>
                <w:rFonts w:eastAsia="等线"/>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4E5465AC" w14:textId="77777777" w:rsidR="00AD5F95" w:rsidRDefault="00AD5F95" w:rsidP="009E7F73">
            <w:pPr>
              <w:pStyle w:val="TAL"/>
              <w:rPr>
                <w:rFonts w:cs="Arial"/>
                <w:szCs w:val="18"/>
              </w:rPr>
            </w:pPr>
          </w:p>
        </w:tc>
      </w:tr>
      <w:tr w:rsidR="00AD5F95" w14:paraId="5DCA7D03"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5C57159B" w14:textId="77777777" w:rsidR="00AD5F95" w:rsidRDefault="00AD5F95" w:rsidP="009E7F73">
            <w:pPr>
              <w:pStyle w:val="TAL"/>
              <w:rPr>
                <w:lang w:eastAsia="zh-CN"/>
              </w:rPr>
            </w:pPr>
            <w:r>
              <w:rPr>
                <w:rFonts w:hint="eastAsia"/>
                <w:lang w:eastAsia="zh-CN"/>
              </w:rPr>
              <w:t>c</w:t>
            </w:r>
            <w:r w:rsidRPr="004C31A1">
              <w:t>ollision</w:t>
            </w:r>
            <w:r>
              <w:rPr>
                <w:rFonts w:hint="eastAsia"/>
                <w:lang w:eastAsia="zh-CN"/>
              </w:rPr>
              <w:t>S</w:t>
            </w:r>
            <w:r>
              <w:t>pace</w:t>
            </w:r>
          </w:p>
        </w:tc>
        <w:tc>
          <w:tcPr>
            <w:tcW w:w="1554" w:type="dxa"/>
            <w:tcBorders>
              <w:top w:val="single" w:sz="6" w:space="0" w:color="auto"/>
              <w:left w:val="single" w:sz="6" w:space="0" w:color="auto"/>
              <w:bottom w:val="single" w:sz="6" w:space="0" w:color="auto"/>
              <w:right w:val="single" w:sz="6" w:space="0" w:color="auto"/>
            </w:tcBorders>
          </w:tcPr>
          <w:p w14:paraId="13E4AFAE" w14:textId="77777777" w:rsidR="00AD5F95" w:rsidRDefault="00AD5F95" w:rsidP="009E7F73">
            <w:pPr>
              <w:pStyle w:val="TAL"/>
              <w:rPr>
                <w:lang w:eastAsia="zh-CN"/>
              </w:rPr>
            </w:pPr>
            <w:r w:rsidRPr="000E754F">
              <w:rPr>
                <w:lang w:eastAsia="zh-CN"/>
              </w:rPr>
              <w:t>PointAltitudeUncertainty</w:t>
            </w:r>
          </w:p>
        </w:tc>
        <w:tc>
          <w:tcPr>
            <w:tcW w:w="424" w:type="dxa"/>
            <w:tcBorders>
              <w:top w:val="single" w:sz="6" w:space="0" w:color="auto"/>
              <w:left w:val="single" w:sz="6" w:space="0" w:color="auto"/>
              <w:bottom w:val="single" w:sz="6" w:space="0" w:color="auto"/>
              <w:right w:val="single" w:sz="6" w:space="0" w:color="auto"/>
            </w:tcBorders>
          </w:tcPr>
          <w:p w14:paraId="47346DEB"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4169A3B1"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0CB9968B" w14:textId="77777777" w:rsidR="00AD5F95" w:rsidRDefault="00AD5F95" w:rsidP="009E7F73">
            <w:pPr>
              <w:pStyle w:val="TAL"/>
              <w:rPr>
                <w:lang w:eastAsia="zh-CN"/>
              </w:rPr>
            </w:pPr>
            <w:r>
              <w:rPr>
                <w:rFonts w:hint="eastAsia"/>
                <w:lang w:eastAsia="zh-CN"/>
              </w:rPr>
              <w:t>Indicates the p</w:t>
            </w:r>
            <w:r w:rsidRPr="009538E4">
              <w:t xml:space="preserve">redicted </w:t>
            </w:r>
            <w:r>
              <w:t>space of the collision</w:t>
            </w:r>
            <w:r w:rsidRPr="009538E4">
              <w:t xml:space="preserve"> at the collision time</w:t>
            </w:r>
            <w:r>
              <w:rPr>
                <w:rFonts w:hint="eastAsia"/>
                <w:lang w:eastAsia="zh-CN"/>
              </w:rPr>
              <w:t>.</w:t>
            </w:r>
          </w:p>
        </w:tc>
        <w:tc>
          <w:tcPr>
            <w:tcW w:w="1856" w:type="dxa"/>
            <w:tcBorders>
              <w:top w:val="single" w:sz="6" w:space="0" w:color="auto"/>
              <w:left w:val="single" w:sz="6" w:space="0" w:color="auto"/>
              <w:bottom w:val="single" w:sz="6" w:space="0" w:color="auto"/>
              <w:right w:val="single" w:sz="6" w:space="0" w:color="auto"/>
            </w:tcBorders>
          </w:tcPr>
          <w:p w14:paraId="46D112C9"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13E4AC98"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3C2ACDAF" w14:textId="77777777" w:rsidR="00AD5F95" w:rsidRDefault="00AD5F95" w:rsidP="009E7F73">
            <w:pPr>
              <w:pStyle w:val="TAL"/>
              <w:rPr>
                <w:lang w:eastAsia="zh-CN"/>
              </w:rPr>
            </w:pPr>
            <w:r>
              <w:rPr>
                <w:rFonts w:hint="eastAsia"/>
                <w:lang w:eastAsia="zh-CN"/>
              </w:rPr>
              <w:t>col</w:t>
            </w:r>
            <w:r>
              <w:rPr>
                <w:lang w:eastAsia="zh-CN"/>
              </w:rPr>
              <w:t>SpcConfidence</w:t>
            </w:r>
          </w:p>
        </w:tc>
        <w:tc>
          <w:tcPr>
            <w:tcW w:w="1554" w:type="dxa"/>
            <w:tcBorders>
              <w:top w:val="single" w:sz="6" w:space="0" w:color="auto"/>
              <w:left w:val="single" w:sz="6" w:space="0" w:color="auto"/>
              <w:bottom w:val="single" w:sz="6" w:space="0" w:color="auto"/>
              <w:right w:val="single" w:sz="6" w:space="0" w:color="auto"/>
            </w:tcBorders>
          </w:tcPr>
          <w:p w14:paraId="51217423" w14:textId="77777777" w:rsidR="00AD5F95" w:rsidRDefault="00AD5F95" w:rsidP="009E7F73">
            <w:pPr>
              <w:pStyle w:val="TAL"/>
              <w:rPr>
                <w:lang w:eastAsia="zh-CN"/>
              </w:rPr>
            </w:pPr>
            <w:r>
              <w:rPr>
                <w:rFonts w:hint="eastAsia"/>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B713A16"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11CE0987"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285047FA" w14:textId="77777777" w:rsidR="00AD5F95" w:rsidRDefault="00AD5F95" w:rsidP="009E7F73">
            <w:pPr>
              <w:pStyle w:val="TAL"/>
              <w:rPr>
                <w:lang w:eastAsia="zh-CN"/>
              </w:rPr>
            </w:pPr>
            <w:r>
              <w:rPr>
                <w:lang w:eastAsia="zh-CN"/>
              </w:rPr>
              <w:t>Indicates the confidence of the prediction for collision space. (NOTE)</w:t>
            </w:r>
          </w:p>
          <w:p w14:paraId="2AE603AF" w14:textId="77777777" w:rsidR="00AD5F95" w:rsidRDefault="00AD5F95" w:rsidP="009E7F73">
            <w:pPr>
              <w:pStyle w:val="TAL"/>
              <w:rPr>
                <w:lang w:eastAsia="zh-CN"/>
              </w:rPr>
            </w:pPr>
            <w:r>
              <w:rPr>
                <w:lang w:eastAsia="zh-CN"/>
              </w:rPr>
              <w:t>Minimum = 0. Maximum = 100.</w:t>
            </w:r>
          </w:p>
          <w:p w14:paraId="55281D73" w14:textId="77777777" w:rsidR="00AD5F95" w:rsidRDefault="00AD5F95" w:rsidP="009E7F73">
            <w:pPr>
              <w:pStyle w:val="TAL"/>
              <w:rPr>
                <w:lang w:eastAsia="zh-CN"/>
              </w:rPr>
            </w:pPr>
          </w:p>
          <w:p w14:paraId="7EFEAC8D" w14:textId="77777777" w:rsidR="00AD5F95" w:rsidRPr="00116738" w:rsidRDefault="00AD5F95" w:rsidP="009E7F73">
            <w:pPr>
              <w:pStyle w:val="TAL"/>
              <w:rPr>
                <w:lang w:eastAsia="zh-CN"/>
              </w:rPr>
            </w:pPr>
            <w:r w:rsidRPr="00116738">
              <w:rPr>
                <w:lang w:eastAsia="zh-CN"/>
              </w:rPr>
              <w:t>May be provided when the "colliDirection" attribute is included.</w:t>
            </w:r>
          </w:p>
        </w:tc>
        <w:tc>
          <w:tcPr>
            <w:tcW w:w="1856" w:type="dxa"/>
            <w:tcBorders>
              <w:top w:val="single" w:sz="6" w:space="0" w:color="auto"/>
              <w:left w:val="single" w:sz="6" w:space="0" w:color="auto"/>
              <w:bottom w:val="single" w:sz="6" w:space="0" w:color="auto"/>
              <w:right w:val="single" w:sz="6" w:space="0" w:color="auto"/>
            </w:tcBorders>
          </w:tcPr>
          <w:p w14:paraId="0B2E8D05" w14:textId="77777777" w:rsidR="00AD5F95" w:rsidRPr="00116738" w:rsidRDefault="00AD5F95" w:rsidP="009E7F73">
            <w:pPr>
              <w:pStyle w:val="TAL"/>
              <w:rPr>
                <w:lang w:eastAsia="zh-CN"/>
              </w:rPr>
            </w:pPr>
            <w:r>
              <w:rPr>
                <w:lang w:eastAsia="zh-CN"/>
              </w:rPr>
              <w:t>RelativeProximity</w:t>
            </w:r>
            <w:r w:rsidRPr="007043D9">
              <w:rPr>
                <w:lang w:eastAsia="zh-CN"/>
              </w:rPr>
              <w:t>Ext</w:t>
            </w:r>
          </w:p>
        </w:tc>
      </w:tr>
      <w:tr w:rsidR="00AD5F95" w14:paraId="42130EBA"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46BE0A67" w14:textId="77777777" w:rsidR="00AD5F95" w:rsidRDefault="00AD5F95" w:rsidP="009E7F73">
            <w:pPr>
              <w:pStyle w:val="TAL"/>
              <w:rPr>
                <w:lang w:eastAsia="zh-CN"/>
              </w:rPr>
            </w:pPr>
            <w:r>
              <w:rPr>
                <w:rFonts w:hint="eastAsia"/>
                <w:lang w:eastAsia="zh-CN"/>
              </w:rPr>
              <w:t>c</w:t>
            </w:r>
            <w:r w:rsidRPr="004C31A1">
              <w:t>olli</w:t>
            </w:r>
            <w:r>
              <w:rPr>
                <w:rFonts w:hint="eastAsia"/>
                <w:lang w:eastAsia="zh-CN"/>
              </w:rPr>
              <w:t>D</w:t>
            </w:r>
            <w:r>
              <w:t>irection</w:t>
            </w:r>
          </w:p>
        </w:tc>
        <w:tc>
          <w:tcPr>
            <w:tcW w:w="1554" w:type="dxa"/>
            <w:tcBorders>
              <w:top w:val="single" w:sz="6" w:space="0" w:color="auto"/>
              <w:left w:val="single" w:sz="6" w:space="0" w:color="auto"/>
              <w:bottom w:val="single" w:sz="6" w:space="0" w:color="auto"/>
              <w:right w:val="single" w:sz="6" w:space="0" w:color="auto"/>
            </w:tcBorders>
          </w:tcPr>
          <w:p w14:paraId="03A1DA54" w14:textId="77777777" w:rsidR="00AD5F95" w:rsidRDefault="00AD5F95" w:rsidP="009E7F73">
            <w:pPr>
              <w:pStyle w:val="TAL"/>
              <w:rPr>
                <w:lang w:eastAsia="zh-CN"/>
              </w:rPr>
            </w:pPr>
            <w:r>
              <w:rPr>
                <w:lang w:eastAsia="zh-CN"/>
              </w:rPr>
              <w:t>RangeDirection</w:t>
            </w:r>
          </w:p>
        </w:tc>
        <w:tc>
          <w:tcPr>
            <w:tcW w:w="424" w:type="dxa"/>
            <w:tcBorders>
              <w:top w:val="single" w:sz="6" w:space="0" w:color="auto"/>
              <w:left w:val="single" w:sz="6" w:space="0" w:color="auto"/>
              <w:bottom w:val="single" w:sz="6" w:space="0" w:color="auto"/>
              <w:right w:val="single" w:sz="6" w:space="0" w:color="auto"/>
            </w:tcBorders>
          </w:tcPr>
          <w:p w14:paraId="734171E0"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0BA8268"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7E299623" w14:textId="77777777" w:rsidR="00AD5F95" w:rsidRDefault="00AD5F95" w:rsidP="009E7F73">
            <w:pPr>
              <w:pStyle w:val="TAL"/>
              <w:rPr>
                <w:lang w:eastAsia="zh-CN"/>
              </w:rPr>
            </w:pPr>
            <w:r>
              <w:rPr>
                <w:rFonts w:hint="eastAsia"/>
                <w:lang w:eastAsia="zh-CN"/>
              </w:rPr>
              <w:t>Indicates the p</w:t>
            </w:r>
            <w:r w:rsidRPr="00124DC2">
              <w:rPr>
                <w:lang w:eastAsia="zh-CN"/>
              </w:rPr>
              <w:t>redicted collision direction of the target UE at the collision time</w:t>
            </w:r>
            <w:r>
              <w:rPr>
                <w:rFonts w:hint="eastAsia"/>
                <w:lang w:eastAsia="zh-CN"/>
              </w:rPr>
              <w:t>.</w:t>
            </w:r>
          </w:p>
          <w:p w14:paraId="1C71AC10" w14:textId="77777777" w:rsidR="00AD5F95" w:rsidRDefault="00AD5F95" w:rsidP="009E7F73">
            <w:pPr>
              <w:pStyle w:val="TAL"/>
              <w:rPr>
                <w:lang w:eastAsia="zh-CN"/>
              </w:rPr>
            </w:pPr>
            <w:r>
              <w:rPr>
                <w:lang w:eastAsia="zh-CN"/>
              </w:rPr>
              <w:t>O</w:t>
            </w:r>
            <w:r w:rsidRPr="00D01C46">
              <w:rPr>
                <w:lang w:eastAsia="zh-CN"/>
              </w:rPr>
              <w:t>nly the "azimuthDirection" and/or "elevationDirection" attributes within the RangeDirection data type is applicable</w:t>
            </w:r>
            <w:r>
              <w:rPr>
                <w:lang w:eastAsia="zh-CN"/>
              </w:rPr>
              <w:t xml:space="preserve"> to the </w:t>
            </w:r>
            <w:r w:rsidRPr="00D01C46">
              <w:rPr>
                <w:lang w:eastAsia="zh-CN"/>
              </w:rPr>
              <w:t>"</w:t>
            </w:r>
            <w:r>
              <w:rPr>
                <w:lang w:eastAsia="zh-CN"/>
              </w:rPr>
              <w:t>colliDirection</w:t>
            </w:r>
            <w:r w:rsidRPr="00D01C46">
              <w:rPr>
                <w:lang w:eastAsia="zh-CN"/>
              </w:rPr>
              <w:t>"</w:t>
            </w:r>
            <w:r>
              <w:rPr>
                <w:lang w:eastAsia="zh-CN"/>
              </w:rPr>
              <w:t xml:space="preserve"> attribute.</w:t>
            </w:r>
          </w:p>
        </w:tc>
        <w:tc>
          <w:tcPr>
            <w:tcW w:w="1856" w:type="dxa"/>
            <w:tcBorders>
              <w:top w:val="single" w:sz="6" w:space="0" w:color="auto"/>
              <w:left w:val="single" w:sz="6" w:space="0" w:color="auto"/>
              <w:bottom w:val="single" w:sz="6" w:space="0" w:color="auto"/>
              <w:right w:val="single" w:sz="6" w:space="0" w:color="auto"/>
            </w:tcBorders>
          </w:tcPr>
          <w:p w14:paraId="4FE2924A"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79CF906D"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7028DA59" w14:textId="77777777" w:rsidR="00AD5F95" w:rsidRDefault="00AD5F95" w:rsidP="009E7F73">
            <w:pPr>
              <w:pStyle w:val="TAL"/>
              <w:rPr>
                <w:lang w:eastAsia="zh-CN"/>
              </w:rPr>
            </w:pPr>
            <w:r>
              <w:rPr>
                <w:rFonts w:hint="eastAsia"/>
                <w:lang w:eastAsia="zh-CN"/>
              </w:rPr>
              <w:t>colDir</w:t>
            </w:r>
            <w:r>
              <w:t>Confidence</w:t>
            </w:r>
          </w:p>
        </w:tc>
        <w:tc>
          <w:tcPr>
            <w:tcW w:w="1554" w:type="dxa"/>
            <w:tcBorders>
              <w:top w:val="single" w:sz="6" w:space="0" w:color="auto"/>
              <w:left w:val="single" w:sz="6" w:space="0" w:color="auto"/>
              <w:bottom w:val="single" w:sz="6" w:space="0" w:color="auto"/>
              <w:right w:val="single" w:sz="6" w:space="0" w:color="auto"/>
            </w:tcBorders>
          </w:tcPr>
          <w:p w14:paraId="6A4D6DEF" w14:textId="77777777" w:rsidR="00AD5F95" w:rsidRDefault="00AD5F95" w:rsidP="009E7F73">
            <w:pPr>
              <w:pStyle w:val="TAL"/>
              <w:rPr>
                <w:lang w:eastAsia="zh-CN"/>
              </w:rPr>
            </w:pPr>
            <w:r>
              <w:rPr>
                <w:rFonts w:hint="eastAsia"/>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377F4F5A"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A140E42"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5E73B64B" w14:textId="77777777" w:rsidR="00AD5F95" w:rsidRDefault="00AD5F95" w:rsidP="009E7F73">
            <w:pPr>
              <w:pStyle w:val="TAL"/>
              <w:rPr>
                <w:lang w:eastAsia="zh-CN"/>
              </w:rPr>
            </w:pPr>
            <w:r>
              <w:rPr>
                <w:lang w:eastAsia="zh-CN"/>
              </w:rPr>
              <w:t>Indicates the confidence of the prediction for collision direction. (NOTE)</w:t>
            </w:r>
          </w:p>
          <w:p w14:paraId="18253D8E" w14:textId="77777777" w:rsidR="00AD5F95" w:rsidRDefault="00AD5F95" w:rsidP="009E7F73">
            <w:pPr>
              <w:pStyle w:val="TAL"/>
              <w:rPr>
                <w:lang w:eastAsia="zh-CN"/>
              </w:rPr>
            </w:pPr>
            <w:r>
              <w:rPr>
                <w:lang w:eastAsia="zh-CN"/>
              </w:rPr>
              <w:t>Minimum = 0. Maximum = 100.</w:t>
            </w:r>
          </w:p>
          <w:p w14:paraId="67B7300C" w14:textId="77777777" w:rsidR="00AD5F95" w:rsidRDefault="00AD5F95" w:rsidP="009E7F73">
            <w:pPr>
              <w:pStyle w:val="TAL"/>
              <w:rPr>
                <w:lang w:eastAsia="zh-CN"/>
              </w:rPr>
            </w:pPr>
          </w:p>
          <w:p w14:paraId="79BB36CA" w14:textId="77777777" w:rsidR="00AD5F95" w:rsidRPr="0017502B" w:rsidRDefault="00AD5F95" w:rsidP="009E7F73">
            <w:pPr>
              <w:pStyle w:val="TAL"/>
              <w:rPr>
                <w:lang w:eastAsia="zh-CN"/>
              </w:rPr>
            </w:pPr>
            <w:r w:rsidRPr="00740204">
              <w:rPr>
                <w:rFonts w:eastAsia="等线"/>
                <w:lang w:eastAsia="zh-CN"/>
              </w:rPr>
              <w:t>May be provided when the "</w:t>
            </w:r>
            <w:r>
              <w:rPr>
                <w:rFonts w:eastAsia="等线"/>
                <w:lang w:eastAsia="zh-CN"/>
              </w:rPr>
              <w:t>colliDirection</w:t>
            </w:r>
            <w:r w:rsidRPr="00740204">
              <w:rPr>
                <w:rFonts w:eastAsia="等线"/>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1E31DBF2"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1B92ECAD" w14:textId="77777777" w:rsidTr="009E7F73">
        <w:trPr>
          <w:jc w:val="center"/>
        </w:trPr>
        <w:tc>
          <w:tcPr>
            <w:tcW w:w="1724" w:type="dxa"/>
            <w:tcBorders>
              <w:top w:val="single" w:sz="6" w:space="0" w:color="auto"/>
              <w:left w:val="single" w:sz="6" w:space="0" w:color="auto"/>
              <w:bottom w:val="single" w:sz="6" w:space="0" w:color="auto"/>
              <w:right w:val="single" w:sz="6" w:space="0" w:color="auto"/>
            </w:tcBorders>
          </w:tcPr>
          <w:p w14:paraId="2AE4AAAC" w14:textId="77777777" w:rsidR="00AD5F95" w:rsidRDefault="00AD5F95" w:rsidP="009E7F73">
            <w:pPr>
              <w:pStyle w:val="TAL"/>
              <w:rPr>
                <w:lang w:eastAsia="zh-CN"/>
              </w:rPr>
            </w:pPr>
            <w:r>
              <w:rPr>
                <w:rFonts w:hint="eastAsia"/>
                <w:lang w:eastAsia="zh-CN"/>
              </w:rPr>
              <w:t>colDir</w:t>
            </w:r>
            <w:r w:rsidRPr="004C31A1">
              <w:t>Accuracy</w:t>
            </w:r>
          </w:p>
        </w:tc>
        <w:tc>
          <w:tcPr>
            <w:tcW w:w="1554" w:type="dxa"/>
            <w:tcBorders>
              <w:top w:val="single" w:sz="6" w:space="0" w:color="auto"/>
              <w:left w:val="single" w:sz="6" w:space="0" w:color="auto"/>
              <w:bottom w:val="single" w:sz="6" w:space="0" w:color="auto"/>
              <w:right w:val="single" w:sz="6" w:space="0" w:color="auto"/>
            </w:tcBorders>
          </w:tcPr>
          <w:p w14:paraId="217452BE" w14:textId="77777777" w:rsidR="00AD5F95" w:rsidRDefault="00AD5F95" w:rsidP="009E7F73">
            <w:pPr>
              <w:pStyle w:val="TAL"/>
              <w:rPr>
                <w:lang w:eastAsia="zh-CN"/>
              </w:rPr>
            </w:pPr>
            <w:r>
              <w:rPr>
                <w:rFonts w:hint="eastAsia"/>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696F6BA" w14:textId="77777777" w:rsidR="00AD5F95" w:rsidRDefault="00AD5F95"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6883FDC8" w14:textId="77777777" w:rsidR="00AD5F95" w:rsidRDefault="00AD5F95" w:rsidP="009E7F73">
            <w:pPr>
              <w:pStyle w:val="TAL"/>
              <w:rPr>
                <w:rFonts w:cs="Arial"/>
                <w:szCs w:val="18"/>
                <w:lang w:eastAsia="zh-CN"/>
              </w:rPr>
            </w:pPr>
            <w:r>
              <w:rPr>
                <w:rFonts w:cs="Arial" w:hint="eastAsia"/>
                <w:szCs w:val="18"/>
                <w:lang w:eastAsia="zh-CN"/>
              </w:rPr>
              <w:t>0..1</w:t>
            </w:r>
          </w:p>
        </w:tc>
        <w:tc>
          <w:tcPr>
            <w:tcW w:w="2845" w:type="dxa"/>
            <w:tcBorders>
              <w:top w:val="single" w:sz="6" w:space="0" w:color="auto"/>
              <w:left w:val="single" w:sz="6" w:space="0" w:color="auto"/>
              <w:bottom w:val="single" w:sz="6" w:space="0" w:color="auto"/>
              <w:right w:val="single" w:sz="6" w:space="0" w:color="auto"/>
            </w:tcBorders>
          </w:tcPr>
          <w:p w14:paraId="2AABD50C" w14:textId="77777777" w:rsidR="00AD5F95" w:rsidRDefault="00AD5F95" w:rsidP="009E7F73">
            <w:pPr>
              <w:pStyle w:val="TAL"/>
              <w:rPr>
                <w:lang w:eastAsia="zh-CN"/>
              </w:rPr>
            </w:pPr>
            <w:r>
              <w:rPr>
                <w:rFonts w:hint="eastAsia"/>
                <w:lang w:eastAsia="zh-CN"/>
              </w:rPr>
              <w:t xml:space="preserve">Indicates the </w:t>
            </w:r>
            <w:r>
              <w:rPr>
                <w:lang w:eastAsia="zh-CN"/>
              </w:rPr>
              <w:t>accur</w:t>
            </w:r>
            <w:r>
              <w:rPr>
                <w:rFonts w:hint="eastAsia"/>
                <w:lang w:eastAsia="zh-CN"/>
              </w:rPr>
              <w:t xml:space="preserve">acy of </w:t>
            </w:r>
            <w:r w:rsidRPr="00124DC2">
              <w:rPr>
                <w:lang w:eastAsia="zh-CN"/>
              </w:rPr>
              <w:t xml:space="preserve">collision direction </w:t>
            </w:r>
            <w:r>
              <w:rPr>
                <w:lang w:eastAsia="zh-CN"/>
              </w:rPr>
              <w:t>(dependent on both the UE location accuracy and confidence of the prediction).</w:t>
            </w:r>
          </w:p>
          <w:p w14:paraId="1D18FCB6" w14:textId="77777777" w:rsidR="00AD5F95" w:rsidRDefault="00AD5F95" w:rsidP="009E7F73">
            <w:pPr>
              <w:pStyle w:val="TAL"/>
              <w:rPr>
                <w:lang w:eastAsia="zh-CN"/>
              </w:rPr>
            </w:pPr>
            <w:r>
              <w:rPr>
                <w:lang w:eastAsia="zh-CN"/>
              </w:rPr>
              <w:t>Minimum = 0. Maximum = 100.</w:t>
            </w:r>
          </w:p>
          <w:p w14:paraId="62A3934E" w14:textId="77777777" w:rsidR="00AD5F95" w:rsidRDefault="00AD5F95" w:rsidP="009E7F73">
            <w:pPr>
              <w:pStyle w:val="TAL"/>
              <w:rPr>
                <w:lang w:eastAsia="zh-CN"/>
              </w:rPr>
            </w:pPr>
          </w:p>
          <w:p w14:paraId="3856F23A" w14:textId="77777777" w:rsidR="00AD5F95" w:rsidRDefault="00AD5F95" w:rsidP="009E7F73">
            <w:pPr>
              <w:pStyle w:val="TAL"/>
              <w:rPr>
                <w:lang w:eastAsia="zh-CN"/>
              </w:rPr>
            </w:pPr>
            <w:r w:rsidRPr="00740204">
              <w:rPr>
                <w:rFonts w:eastAsia="等线"/>
                <w:lang w:eastAsia="zh-CN"/>
              </w:rPr>
              <w:t>May be provided when the "</w:t>
            </w:r>
            <w:r>
              <w:rPr>
                <w:rFonts w:eastAsia="等线"/>
                <w:lang w:eastAsia="zh-CN"/>
              </w:rPr>
              <w:t>colliDirection</w:t>
            </w:r>
            <w:r w:rsidRPr="00740204">
              <w:rPr>
                <w:rFonts w:eastAsia="等线"/>
                <w:lang w:eastAsia="zh-CN"/>
              </w:rPr>
              <w:t>" attribute is included.</w:t>
            </w:r>
          </w:p>
        </w:tc>
        <w:tc>
          <w:tcPr>
            <w:tcW w:w="1856" w:type="dxa"/>
            <w:tcBorders>
              <w:top w:val="single" w:sz="6" w:space="0" w:color="auto"/>
              <w:left w:val="single" w:sz="6" w:space="0" w:color="auto"/>
              <w:bottom w:val="single" w:sz="6" w:space="0" w:color="auto"/>
              <w:right w:val="single" w:sz="6" w:space="0" w:color="auto"/>
            </w:tcBorders>
          </w:tcPr>
          <w:p w14:paraId="7A975B35" w14:textId="77777777" w:rsidR="00AD5F95" w:rsidRDefault="00AD5F95" w:rsidP="009E7F73">
            <w:pPr>
              <w:pStyle w:val="TAL"/>
              <w:rPr>
                <w:rFonts w:cs="Arial"/>
                <w:szCs w:val="18"/>
              </w:rPr>
            </w:pPr>
            <w:r>
              <w:rPr>
                <w:lang w:eastAsia="zh-CN"/>
              </w:rPr>
              <w:t>RelativeProximity</w:t>
            </w:r>
            <w:r w:rsidRPr="007043D9">
              <w:rPr>
                <w:lang w:eastAsia="zh-CN"/>
              </w:rPr>
              <w:t>Ext</w:t>
            </w:r>
          </w:p>
        </w:tc>
      </w:tr>
      <w:tr w:rsidR="00AD5F95" w14:paraId="6B46F678" w14:textId="77777777" w:rsidTr="009E7F73">
        <w:trPr>
          <w:jc w:val="center"/>
        </w:trPr>
        <w:tc>
          <w:tcPr>
            <w:tcW w:w="9533" w:type="dxa"/>
            <w:gridSpan w:val="6"/>
            <w:tcBorders>
              <w:top w:val="single" w:sz="6" w:space="0" w:color="auto"/>
              <w:left w:val="single" w:sz="6" w:space="0" w:color="auto"/>
              <w:bottom w:val="single" w:sz="6" w:space="0" w:color="auto"/>
              <w:right w:val="single" w:sz="6" w:space="0" w:color="auto"/>
            </w:tcBorders>
          </w:tcPr>
          <w:p w14:paraId="6E8E7C64" w14:textId="77777777" w:rsidR="00AD5F95" w:rsidRDefault="00AD5F95" w:rsidP="009E7F73">
            <w:pPr>
              <w:pStyle w:val="TAN"/>
            </w:pPr>
            <w:r>
              <w:t>NOTE</w:t>
            </w:r>
            <w:r>
              <w:rPr>
                <w:rFonts w:cs="Arial"/>
              </w:rPr>
              <w:t>:</w:t>
            </w:r>
            <w:r>
              <w:rPr>
                <w:rFonts w:cs="Arial"/>
              </w:rPr>
              <w:tab/>
              <w:t>If the requested period identified by the "startTs" and "endTs" attributes in the "EventReportingRequirement" type is a future time period, then the analytics result is a prediction. If no sufficient data is collected to provide the confidence of the prediction before the time deadline, the NWDAF shall return a zero confidence.</w:t>
            </w:r>
          </w:p>
        </w:tc>
      </w:tr>
    </w:tbl>
    <w:p w14:paraId="1C6A5A66" w14:textId="77777777" w:rsidR="00AD5F95" w:rsidRDefault="00AD5F95" w:rsidP="00AD5F95">
      <w:pPr>
        <w:rPr>
          <w:rFonts w:eastAsia="MS Mincho"/>
          <w:u w:val="single"/>
        </w:rPr>
      </w:pPr>
    </w:p>
    <w:p w14:paraId="371AB7D3" w14:textId="77777777" w:rsidR="00F525B2" w:rsidRPr="00253BF3" w:rsidRDefault="00AD5F95" w:rsidP="00253BF3">
      <w:pPr>
        <w:pStyle w:val="EditorsNote"/>
        <w:rPr>
          <w:rStyle w:val="EditorsNoteCharChar"/>
        </w:rPr>
      </w:pPr>
      <w:bookmarkStart w:id="8266" w:name="_Toc192880144"/>
      <w:r w:rsidRPr="00253BF3">
        <w:rPr>
          <w:rStyle w:val="EditorsNoteCharChar"/>
        </w:rPr>
        <w:t>Editor's note:</w:t>
      </w:r>
      <w:r w:rsidRPr="00253BF3">
        <w:rPr>
          <w:rStyle w:val="EditorsNoteCharChar"/>
        </w:rPr>
        <w:tab/>
        <w:t>The contents of the TimeToCollisionInfo data type and the data type accuracy and colDirAccuracy attributes is FFS.</w:t>
      </w:r>
      <w:bookmarkStart w:id="8267" w:name="_Toc191576334"/>
      <w:bookmarkStart w:id="8268" w:name="_Toc191577074"/>
    </w:p>
    <w:p w14:paraId="170AD90B" w14:textId="77777777" w:rsidR="00A10B25" w:rsidRDefault="00A10B25" w:rsidP="0076721C">
      <w:pPr>
        <w:pStyle w:val="5"/>
      </w:pPr>
      <w:bookmarkStart w:id="8269" w:name="_Toc195815027"/>
      <w:bookmarkStart w:id="8270" w:name="_Toc199452994"/>
      <w:r>
        <w:lastRenderedPageBreak/>
        <w:t>5.1.6.2.105</w:t>
      </w:r>
      <w:r>
        <w:tab/>
        <w:t>Type AnalyticsFeedbackInfo</w:t>
      </w:r>
      <w:bookmarkEnd w:id="8260"/>
      <w:bookmarkEnd w:id="8261"/>
      <w:bookmarkEnd w:id="8262"/>
      <w:bookmarkEnd w:id="8263"/>
      <w:bookmarkEnd w:id="8264"/>
      <w:bookmarkEnd w:id="8265"/>
      <w:bookmarkEnd w:id="8266"/>
      <w:bookmarkEnd w:id="8267"/>
      <w:bookmarkEnd w:id="8268"/>
      <w:bookmarkEnd w:id="8269"/>
      <w:bookmarkEnd w:id="8270"/>
    </w:p>
    <w:p w14:paraId="1635481A" w14:textId="77777777" w:rsidR="00A10B25" w:rsidRDefault="00A10B25" w:rsidP="0076721C">
      <w:pPr>
        <w:pStyle w:val="TH"/>
      </w:pPr>
      <w:r>
        <w:t>Table 5.1.6.2.105-1: Definition of type AnalyticsFeedbackInfo</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754"/>
        <w:gridCol w:w="2359"/>
        <w:gridCol w:w="357"/>
        <w:gridCol w:w="1082"/>
        <w:gridCol w:w="2295"/>
        <w:gridCol w:w="1772"/>
      </w:tblGrid>
      <w:tr w:rsidR="00A10B25" w14:paraId="7A155808" w14:textId="77777777" w:rsidTr="0076721C">
        <w:trPr>
          <w:jc w:val="center"/>
        </w:trPr>
        <w:tc>
          <w:tcPr>
            <w:tcW w:w="1754" w:type="dxa"/>
            <w:shd w:val="clear" w:color="auto" w:fill="C0C0C0"/>
            <w:tcMar>
              <w:top w:w="0" w:type="dxa"/>
              <w:left w:w="28" w:type="dxa"/>
              <w:bottom w:w="0" w:type="dxa"/>
              <w:right w:w="108" w:type="dxa"/>
            </w:tcMar>
          </w:tcPr>
          <w:p w14:paraId="151BBD67"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Attribute name</w:t>
            </w:r>
          </w:p>
        </w:tc>
        <w:tc>
          <w:tcPr>
            <w:tcW w:w="2359" w:type="dxa"/>
            <w:shd w:val="clear" w:color="auto" w:fill="C0C0C0"/>
            <w:tcMar>
              <w:top w:w="0" w:type="dxa"/>
              <w:left w:w="28" w:type="dxa"/>
              <w:bottom w:w="0" w:type="dxa"/>
              <w:right w:w="108" w:type="dxa"/>
            </w:tcMar>
          </w:tcPr>
          <w:p w14:paraId="643DD57C"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Data type</w:t>
            </w:r>
          </w:p>
        </w:tc>
        <w:tc>
          <w:tcPr>
            <w:tcW w:w="357" w:type="dxa"/>
            <w:shd w:val="clear" w:color="auto" w:fill="C0C0C0"/>
            <w:tcMar>
              <w:top w:w="0" w:type="dxa"/>
              <w:left w:w="28" w:type="dxa"/>
              <w:bottom w:w="0" w:type="dxa"/>
              <w:right w:w="108" w:type="dxa"/>
            </w:tcMar>
          </w:tcPr>
          <w:p w14:paraId="3333D150"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P</w:t>
            </w:r>
          </w:p>
        </w:tc>
        <w:tc>
          <w:tcPr>
            <w:tcW w:w="1082" w:type="dxa"/>
            <w:shd w:val="clear" w:color="auto" w:fill="C0C0C0"/>
            <w:tcMar>
              <w:top w:w="0" w:type="dxa"/>
              <w:left w:w="28" w:type="dxa"/>
              <w:bottom w:w="0" w:type="dxa"/>
              <w:right w:w="108" w:type="dxa"/>
            </w:tcMar>
          </w:tcPr>
          <w:p w14:paraId="65F1A6AD"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Cardinality</w:t>
            </w:r>
          </w:p>
        </w:tc>
        <w:tc>
          <w:tcPr>
            <w:tcW w:w="2295" w:type="dxa"/>
            <w:shd w:val="clear" w:color="auto" w:fill="C0C0C0"/>
            <w:tcMar>
              <w:top w:w="0" w:type="dxa"/>
              <w:left w:w="28" w:type="dxa"/>
              <w:bottom w:w="0" w:type="dxa"/>
              <w:right w:w="108" w:type="dxa"/>
            </w:tcMar>
          </w:tcPr>
          <w:p w14:paraId="02943908"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Description</w:t>
            </w:r>
          </w:p>
        </w:tc>
        <w:tc>
          <w:tcPr>
            <w:tcW w:w="1772" w:type="dxa"/>
            <w:shd w:val="clear" w:color="auto" w:fill="C0C0C0"/>
          </w:tcPr>
          <w:p w14:paraId="0B5C96E4" w14:textId="77777777" w:rsidR="00A10B25" w:rsidRDefault="00A10B25">
            <w:pPr>
              <w:keepNext/>
              <w:keepLines/>
              <w:spacing w:after="0"/>
              <w:jc w:val="center"/>
              <w:rPr>
                <w:rFonts w:ascii="Arial" w:hAnsi="Arial"/>
                <w:b/>
                <w:color w:val="000000"/>
                <w:sz w:val="18"/>
                <w:lang w:val="en-US" w:eastAsia="zh-CN"/>
              </w:rPr>
            </w:pPr>
            <w:r>
              <w:rPr>
                <w:rFonts w:ascii="Arial" w:hAnsi="Arial"/>
                <w:b/>
                <w:color w:val="000000"/>
                <w:sz w:val="18"/>
                <w:lang w:val="en-US" w:eastAsia="zh-CN"/>
              </w:rPr>
              <w:t>Applicability</w:t>
            </w:r>
          </w:p>
        </w:tc>
      </w:tr>
      <w:tr w:rsidR="00A10B25" w14:paraId="43D5554F" w14:textId="77777777" w:rsidTr="0076721C">
        <w:trPr>
          <w:jc w:val="center"/>
        </w:trPr>
        <w:tc>
          <w:tcPr>
            <w:tcW w:w="1754" w:type="dxa"/>
            <w:tcMar>
              <w:top w:w="0" w:type="dxa"/>
              <w:left w:w="28" w:type="dxa"/>
              <w:bottom w:w="0" w:type="dxa"/>
              <w:right w:w="108" w:type="dxa"/>
            </w:tcMar>
          </w:tcPr>
          <w:p w14:paraId="1FDF2C60" w14:textId="77777777" w:rsidR="00A10B25" w:rsidRDefault="00A10B25">
            <w:pPr>
              <w:keepNext/>
              <w:keepLines/>
              <w:spacing w:after="0"/>
              <w:rPr>
                <w:rFonts w:ascii="Arial" w:hAnsi="Arial"/>
                <w:sz w:val="18"/>
                <w:lang w:val="en-US" w:eastAsia="zh-CN"/>
              </w:rPr>
            </w:pPr>
            <w:r>
              <w:rPr>
                <w:rFonts w:ascii="Arial" w:hAnsi="Arial"/>
                <w:sz w:val="18"/>
                <w:lang w:val="en-US" w:eastAsia="zh-CN"/>
              </w:rPr>
              <w:t>actionTimes</w:t>
            </w:r>
          </w:p>
        </w:tc>
        <w:tc>
          <w:tcPr>
            <w:tcW w:w="2359" w:type="dxa"/>
            <w:tcMar>
              <w:top w:w="0" w:type="dxa"/>
              <w:left w:w="28" w:type="dxa"/>
              <w:bottom w:w="0" w:type="dxa"/>
              <w:right w:w="108" w:type="dxa"/>
            </w:tcMar>
          </w:tcPr>
          <w:p w14:paraId="4FB624C8" w14:textId="77777777" w:rsidR="00A10B25" w:rsidRDefault="00A10B25">
            <w:pPr>
              <w:keepNext/>
              <w:keepLines/>
              <w:spacing w:after="0"/>
              <w:rPr>
                <w:rFonts w:ascii="Arial" w:hAnsi="Arial"/>
                <w:sz w:val="18"/>
                <w:lang w:val="en-US" w:eastAsia="zh-CN"/>
              </w:rPr>
            </w:pPr>
            <w:r>
              <w:rPr>
                <w:rFonts w:ascii="Arial" w:hAnsi="Arial"/>
                <w:sz w:val="18"/>
                <w:lang w:val="en-US" w:eastAsia="zh-CN"/>
              </w:rPr>
              <w:t>array(DateTime)</w:t>
            </w:r>
          </w:p>
        </w:tc>
        <w:tc>
          <w:tcPr>
            <w:tcW w:w="357" w:type="dxa"/>
            <w:tcMar>
              <w:top w:w="0" w:type="dxa"/>
              <w:left w:w="28" w:type="dxa"/>
              <w:bottom w:w="0" w:type="dxa"/>
              <w:right w:w="108" w:type="dxa"/>
            </w:tcMar>
          </w:tcPr>
          <w:p w14:paraId="19ADF88E"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M</w:t>
            </w:r>
          </w:p>
        </w:tc>
        <w:tc>
          <w:tcPr>
            <w:tcW w:w="1082" w:type="dxa"/>
            <w:tcMar>
              <w:top w:w="0" w:type="dxa"/>
              <w:left w:w="28" w:type="dxa"/>
              <w:bottom w:w="0" w:type="dxa"/>
              <w:right w:w="108" w:type="dxa"/>
            </w:tcMar>
          </w:tcPr>
          <w:p w14:paraId="422528A4"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Mar>
              <w:top w:w="0" w:type="dxa"/>
              <w:left w:w="28" w:type="dxa"/>
              <w:bottom w:w="0" w:type="dxa"/>
              <w:right w:w="108" w:type="dxa"/>
            </w:tcMar>
          </w:tcPr>
          <w:p w14:paraId="2694F93E" w14:textId="77777777" w:rsidR="00A10B25" w:rsidRDefault="00A10B25">
            <w:pPr>
              <w:keepNext/>
              <w:keepLines/>
              <w:spacing w:after="0"/>
              <w:rPr>
                <w:rFonts w:ascii="Arial" w:hAnsi="Arial"/>
                <w:sz w:val="18"/>
                <w:lang w:val="en-US" w:eastAsia="zh-CN"/>
              </w:rPr>
            </w:pPr>
            <w:r>
              <w:rPr>
                <w:rFonts w:ascii="Arial" w:hAnsi="Arial"/>
                <w:sz w:val="18"/>
                <w:lang w:val="en-US" w:eastAsia="zh-CN"/>
              </w:rPr>
              <w:t>The time(s) at which the NF service consumer took an action(s) influenced by the previously provided analytics, which may or may not affect the ground truth data corresponding to the subscribed analytics event at the time which the prediction refers to, and consequently affect the ML Model accuracy monitoring.</w:t>
            </w:r>
          </w:p>
        </w:tc>
        <w:tc>
          <w:tcPr>
            <w:tcW w:w="1772" w:type="dxa"/>
          </w:tcPr>
          <w:p w14:paraId="3C2A74F3" w14:textId="77777777" w:rsidR="00A10B25" w:rsidRDefault="00A10B25">
            <w:pPr>
              <w:keepNext/>
              <w:keepLines/>
              <w:spacing w:after="0"/>
              <w:rPr>
                <w:rFonts w:ascii="Arial" w:hAnsi="Arial"/>
                <w:sz w:val="18"/>
                <w:lang w:val="en-US" w:eastAsia="zh-CN"/>
              </w:rPr>
            </w:pPr>
          </w:p>
        </w:tc>
      </w:tr>
      <w:tr w:rsidR="00A10B25" w14:paraId="0A346E2C" w14:textId="77777777" w:rsidTr="0076721C">
        <w:trPr>
          <w:jc w:val="center"/>
        </w:trPr>
        <w:tc>
          <w:tcPr>
            <w:tcW w:w="1754" w:type="dxa"/>
            <w:tcMar>
              <w:top w:w="0" w:type="dxa"/>
              <w:left w:w="28" w:type="dxa"/>
              <w:bottom w:w="0" w:type="dxa"/>
              <w:right w:w="108" w:type="dxa"/>
            </w:tcMar>
          </w:tcPr>
          <w:p w14:paraId="6A369907" w14:textId="77777777" w:rsidR="00A10B25" w:rsidRDefault="00A10B25">
            <w:pPr>
              <w:keepNext/>
              <w:keepLines/>
              <w:spacing w:after="0"/>
              <w:rPr>
                <w:rFonts w:ascii="Arial" w:hAnsi="Arial"/>
                <w:sz w:val="18"/>
                <w:lang w:val="en-US" w:eastAsia="zh-CN"/>
              </w:rPr>
            </w:pPr>
            <w:r>
              <w:rPr>
                <w:rFonts w:ascii="Arial" w:hAnsi="Arial"/>
                <w:sz w:val="18"/>
                <w:lang w:val="en-US" w:eastAsia="zh-CN"/>
              </w:rPr>
              <w:t>usedAnaTypes</w:t>
            </w:r>
          </w:p>
        </w:tc>
        <w:tc>
          <w:tcPr>
            <w:tcW w:w="2359" w:type="dxa"/>
            <w:tcMar>
              <w:top w:w="0" w:type="dxa"/>
              <w:left w:w="28" w:type="dxa"/>
              <w:bottom w:w="0" w:type="dxa"/>
              <w:right w:w="108" w:type="dxa"/>
            </w:tcMar>
          </w:tcPr>
          <w:p w14:paraId="4B999FDF" w14:textId="77777777" w:rsidR="00A10B25" w:rsidRDefault="00A10B25">
            <w:pPr>
              <w:keepNext/>
              <w:keepLines/>
              <w:spacing w:after="0"/>
              <w:rPr>
                <w:rFonts w:ascii="Arial" w:hAnsi="Arial"/>
                <w:sz w:val="18"/>
                <w:lang w:val="en-US" w:eastAsia="zh-CN"/>
              </w:rPr>
            </w:pPr>
            <w:r>
              <w:rPr>
                <w:rFonts w:ascii="Arial" w:hAnsi="Arial"/>
                <w:sz w:val="18"/>
                <w:lang w:val="en-US" w:eastAsia="zh-CN"/>
              </w:rPr>
              <w:t>array(NwdafEvent)</w:t>
            </w:r>
          </w:p>
        </w:tc>
        <w:tc>
          <w:tcPr>
            <w:tcW w:w="357" w:type="dxa"/>
            <w:tcMar>
              <w:top w:w="0" w:type="dxa"/>
              <w:left w:w="28" w:type="dxa"/>
              <w:bottom w:w="0" w:type="dxa"/>
              <w:right w:w="108" w:type="dxa"/>
            </w:tcMar>
          </w:tcPr>
          <w:p w14:paraId="5F97114A"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Mar>
              <w:top w:w="0" w:type="dxa"/>
              <w:left w:w="28" w:type="dxa"/>
              <w:bottom w:w="0" w:type="dxa"/>
              <w:right w:w="108" w:type="dxa"/>
            </w:tcMar>
          </w:tcPr>
          <w:p w14:paraId="417F3793"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Mar>
              <w:top w:w="0" w:type="dxa"/>
              <w:left w:w="28" w:type="dxa"/>
              <w:bottom w:w="0" w:type="dxa"/>
              <w:right w:w="108" w:type="dxa"/>
            </w:tcMar>
          </w:tcPr>
          <w:p w14:paraId="4883C743" w14:textId="77777777" w:rsidR="00A10B25" w:rsidRDefault="00A10B25">
            <w:pPr>
              <w:keepNext/>
              <w:keepLines/>
              <w:spacing w:after="0"/>
              <w:rPr>
                <w:rFonts w:ascii="Arial" w:hAnsi="Arial"/>
                <w:sz w:val="18"/>
                <w:lang w:val="en-US" w:eastAsia="zh-CN"/>
              </w:rPr>
            </w:pPr>
            <w:r>
              <w:rPr>
                <w:rFonts w:ascii="Arial" w:hAnsi="Arial"/>
                <w:sz w:val="18"/>
                <w:lang w:val="en-US" w:eastAsia="zh-CN"/>
              </w:rPr>
              <w:t>List of analytics types that were used for taking the action(s).</w:t>
            </w:r>
          </w:p>
        </w:tc>
        <w:tc>
          <w:tcPr>
            <w:tcW w:w="1772" w:type="dxa"/>
          </w:tcPr>
          <w:p w14:paraId="02802C69" w14:textId="77777777" w:rsidR="00A10B25" w:rsidRDefault="00A10B25">
            <w:pPr>
              <w:keepNext/>
              <w:keepLines/>
              <w:spacing w:after="0"/>
              <w:rPr>
                <w:rFonts w:ascii="Arial" w:hAnsi="Arial"/>
                <w:sz w:val="18"/>
                <w:lang w:val="en-US" w:eastAsia="zh-CN"/>
              </w:rPr>
            </w:pPr>
          </w:p>
        </w:tc>
      </w:tr>
      <w:tr w:rsidR="00A10B25" w14:paraId="630A4B2C" w14:textId="77777777" w:rsidTr="0076721C">
        <w:trPr>
          <w:jc w:val="center"/>
        </w:trPr>
        <w:tc>
          <w:tcPr>
            <w:tcW w:w="1754" w:type="dxa"/>
            <w:tcMar>
              <w:top w:w="0" w:type="dxa"/>
              <w:left w:w="28" w:type="dxa"/>
              <w:bottom w:w="0" w:type="dxa"/>
              <w:right w:w="108" w:type="dxa"/>
            </w:tcMar>
          </w:tcPr>
          <w:p w14:paraId="1873400B" w14:textId="77777777" w:rsidR="00A10B25" w:rsidRDefault="00A10B25">
            <w:pPr>
              <w:keepNext/>
              <w:keepLines/>
              <w:spacing w:after="0"/>
              <w:rPr>
                <w:rFonts w:ascii="Arial" w:hAnsi="Arial"/>
                <w:sz w:val="18"/>
                <w:lang w:val="en-US" w:eastAsia="zh-CN"/>
              </w:rPr>
            </w:pPr>
            <w:r>
              <w:rPr>
                <w:rFonts w:ascii="Arial" w:hAnsi="Arial"/>
                <w:sz w:val="18"/>
                <w:lang w:val="en-US" w:eastAsia="zh-CN"/>
              </w:rPr>
              <w:t>impactInd</w:t>
            </w:r>
          </w:p>
        </w:tc>
        <w:tc>
          <w:tcPr>
            <w:tcW w:w="2359" w:type="dxa"/>
            <w:tcMar>
              <w:top w:w="0" w:type="dxa"/>
              <w:left w:w="28" w:type="dxa"/>
              <w:bottom w:w="0" w:type="dxa"/>
              <w:right w:w="108" w:type="dxa"/>
            </w:tcMar>
          </w:tcPr>
          <w:p w14:paraId="186C96FE" w14:textId="77777777" w:rsidR="00A10B25" w:rsidRDefault="00A10B25">
            <w:pPr>
              <w:keepNext/>
              <w:keepLines/>
              <w:spacing w:after="0"/>
              <w:rPr>
                <w:rFonts w:ascii="Arial" w:hAnsi="Arial"/>
                <w:sz w:val="18"/>
                <w:lang w:val="en-US" w:eastAsia="zh-CN"/>
              </w:rPr>
            </w:pPr>
            <w:r>
              <w:rPr>
                <w:rFonts w:ascii="Arial" w:hAnsi="Arial"/>
                <w:sz w:val="18"/>
                <w:lang w:val="en-US" w:eastAsia="zh-CN"/>
              </w:rPr>
              <w:t>boolean</w:t>
            </w:r>
          </w:p>
        </w:tc>
        <w:tc>
          <w:tcPr>
            <w:tcW w:w="357" w:type="dxa"/>
            <w:tcMar>
              <w:top w:w="0" w:type="dxa"/>
              <w:left w:w="28" w:type="dxa"/>
              <w:bottom w:w="0" w:type="dxa"/>
              <w:right w:w="108" w:type="dxa"/>
            </w:tcMar>
          </w:tcPr>
          <w:p w14:paraId="18E950ED"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Mar>
              <w:top w:w="0" w:type="dxa"/>
              <w:left w:w="28" w:type="dxa"/>
              <w:bottom w:w="0" w:type="dxa"/>
              <w:right w:w="108" w:type="dxa"/>
            </w:tcMar>
          </w:tcPr>
          <w:p w14:paraId="49D24A3C" w14:textId="77777777" w:rsidR="00A10B25" w:rsidRDefault="00A10B25">
            <w:pPr>
              <w:keepNext/>
              <w:keepLines/>
              <w:spacing w:after="0"/>
              <w:rPr>
                <w:rFonts w:ascii="Arial" w:hAnsi="Arial"/>
                <w:sz w:val="18"/>
                <w:lang w:val="en-US" w:eastAsia="zh-CN"/>
              </w:rPr>
            </w:pPr>
            <w:r>
              <w:rPr>
                <w:rFonts w:ascii="Arial" w:hAnsi="Arial"/>
                <w:sz w:val="18"/>
                <w:lang w:val="en-US" w:eastAsia="zh-CN"/>
              </w:rPr>
              <w:t>0..1</w:t>
            </w:r>
          </w:p>
        </w:tc>
        <w:tc>
          <w:tcPr>
            <w:tcW w:w="2295" w:type="dxa"/>
            <w:tcMar>
              <w:top w:w="0" w:type="dxa"/>
              <w:left w:w="28" w:type="dxa"/>
              <w:bottom w:w="0" w:type="dxa"/>
              <w:right w:w="108" w:type="dxa"/>
            </w:tcMar>
          </w:tcPr>
          <w:p w14:paraId="2376AF7C" w14:textId="77777777" w:rsidR="00A10B25" w:rsidRDefault="00A10B25">
            <w:pPr>
              <w:keepNext/>
              <w:keepLines/>
              <w:spacing w:after="0"/>
              <w:rPr>
                <w:rFonts w:ascii="Arial" w:hAnsi="Arial"/>
                <w:sz w:val="18"/>
              </w:rPr>
            </w:pPr>
            <w:r>
              <w:rPr>
                <w:rFonts w:ascii="Arial" w:hAnsi="Arial"/>
                <w:sz w:val="18"/>
              </w:rPr>
              <w:t>If provided and set to "true", it indicates that the action taken by the NF service consumer impacts the ground truth data.</w:t>
            </w:r>
          </w:p>
          <w:p w14:paraId="1B36F560" w14:textId="77777777" w:rsidR="00A10B25" w:rsidRDefault="00A10B25">
            <w:pPr>
              <w:keepNext/>
              <w:keepLines/>
              <w:spacing w:after="0"/>
              <w:rPr>
                <w:rFonts w:ascii="Arial" w:hAnsi="Arial"/>
                <w:sz w:val="18"/>
              </w:rPr>
            </w:pPr>
            <w:r>
              <w:rPr>
                <w:rFonts w:ascii="Arial" w:hAnsi="Arial"/>
                <w:sz w:val="18"/>
              </w:rPr>
              <w:t>If provided and set to "false", it indicates that the action taken by the NF service consumer does not impact the ground truth data.</w:t>
            </w:r>
          </w:p>
          <w:p w14:paraId="267028BC" w14:textId="77777777" w:rsidR="00A10B25" w:rsidRDefault="00A10B25">
            <w:pPr>
              <w:keepNext/>
              <w:keepLines/>
              <w:spacing w:after="0"/>
              <w:rPr>
                <w:rFonts w:ascii="Arial" w:hAnsi="Arial"/>
                <w:sz w:val="18"/>
                <w:lang w:val="en-US"/>
              </w:rPr>
            </w:pPr>
            <w:r>
              <w:rPr>
                <w:rFonts w:ascii="Arial" w:hAnsi="Arial"/>
                <w:sz w:val="18"/>
              </w:rPr>
              <w:t>If omitted, there is no information about the action having an impact on the ground truth data or not.</w:t>
            </w:r>
          </w:p>
        </w:tc>
        <w:tc>
          <w:tcPr>
            <w:tcW w:w="1772" w:type="dxa"/>
          </w:tcPr>
          <w:p w14:paraId="37D78B5D" w14:textId="77777777" w:rsidR="00A10B25" w:rsidRDefault="00A10B25">
            <w:pPr>
              <w:keepNext/>
              <w:keepLines/>
              <w:spacing w:after="0"/>
              <w:rPr>
                <w:rFonts w:ascii="Arial" w:hAnsi="Arial"/>
                <w:sz w:val="18"/>
              </w:rPr>
            </w:pPr>
          </w:p>
        </w:tc>
      </w:tr>
    </w:tbl>
    <w:p w14:paraId="1CF2AF67" w14:textId="77777777" w:rsidR="00A10B25" w:rsidRDefault="00A10B25">
      <w:pPr>
        <w:rPr>
          <w:rFonts w:eastAsia="MS Mincho"/>
          <w:u w:val="single"/>
        </w:rPr>
      </w:pPr>
    </w:p>
    <w:p w14:paraId="253FC2C9" w14:textId="77777777" w:rsidR="00A10B25" w:rsidRDefault="00A10B25" w:rsidP="0076721C">
      <w:pPr>
        <w:pStyle w:val="5"/>
      </w:pPr>
      <w:bookmarkStart w:id="8271" w:name="_Toc164920880"/>
      <w:bookmarkStart w:id="8272" w:name="_Toc170120422"/>
      <w:bookmarkStart w:id="8273" w:name="_Toc175858667"/>
      <w:bookmarkStart w:id="8274" w:name="_Toc175859740"/>
      <w:bookmarkStart w:id="8275" w:name="_Toc180606030"/>
      <w:bookmarkStart w:id="8276" w:name="_Toc185517284"/>
      <w:bookmarkStart w:id="8277" w:name="_Toc191576335"/>
      <w:bookmarkStart w:id="8278" w:name="_Toc191577075"/>
      <w:bookmarkStart w:id="8279" w:name="_Toc192880145"/>
      <w:bookmarkStart w:id="8280" w:name="_Toc195815028"/>
      <w:bookmarkStart w:id="8281" w:name="_Toc199452995"/>
      <w:r>
        <w:lastRenderedPageBreak/>
        <w:t>5.1.6.2.106</w:t>
      </w:r>
      <w:r>
        <w:tab/>
        <w:t>Type RoamingInfo</w:t>
      </w:r>
      <w:bookmarkEnd w:id="8271"/>
      <w:bookmarkEnd w:id="8272"/>
      <w:bookmarkEnd w:id="8273"/>
      <w:bookmarkEnd w:id="8274"/>
      <w:bookmarkEnd w:id="8275"/>
      <w:bookmarkEnd w:id="8276"/>
      <w:bookmarkEnd w:id="8277"/>
      <w:bookmarkEnd w:id="8278"/>
      <w:bookmarkEnd w:id="8279"/>
      <w:bookmarkEnd w:id="8280"/>
      <w:bookmarkEnd w:id="8281"/>
    </w:p>
    <w:p w14:paraId="1A204D9F" w14:textId="77777777" w:rsidR="00A10B25" w:rsidRDefault="00A10B25" w:rsidP="0076721C">
      <w:pPr>
        <w:pStyle w:val="TH"/>
      </w:pPr>
      <w:r>
        <w:t>Table 5.1.6.2.106-1: Definition of type RoamingInfo</w:t>
      </w:r>
    </w:p>
    <w:tbl>
      <w:tblPr>
        <w:tblW w:w="0" w:type="auto"/>
        <w:jc w:val="center"/>
        <w:tblInd w:w="0" w:type="dxa"/>
        <w:tblCellMar>
          <w:left w:w="0" w:type="dxa"/>
          <w:right w:w="0" w:type="dxa"/>
        </w:tblCellMar>
        <w:tblLook w:val="0000" w:firstRow="0" w:lastRow="0" w:firstColumn="0" w:lastColumn="0" w:noHBand="0" w:noVBand="0"/>
      </w:tblPr>
      <w:tblGrid>
        <w:gridCol w:w="1754"/>
        <w:gridCol w:w="2359"/>
        <w:gridCol w:w="357"/>
        <w:gridCol w:w="1082"/>
        <w:gridCol w:w="2295"/>
        <w:gridCol w:w="1772"/>
      </w:tblGrid>
      <w:tr w:rsidR="00A10B25" w14:paraId="729CC6AB" w14:textId="77777777">
        <w:trPr>
          <w:jc w:val="center"/>
        </w:trPr>
        <w:tc>
          <w:tcPr>
            <w:tcW w:w="1754"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644E93DE"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Attribute name</w:t>
            </w:r>
          </w:p>
        </w:tc>
        <w:tc>
          <w:tcPr>
            <w:tcW w:w="2359"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358B93F3"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46B7A51F"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P</w:t>
            </w:r>
          </w:p>
        </w:tc>
        <w:tc>
          <w:tcPr>
            <w:tcW w:w="1082"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0E4679EB"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Cardinality</w:t>
            </w:r>
          </w:p>
        </w:tc>
        <w:tc>
          <w:tcPr>
            <w:tcW w:w="2295" w:type="dxa"/>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108" w:type="dxa"/>
            </w:tcMar>
          </w:tcPr>
          <w:p w14:paraId="40BFF62D" w14:textId="77777777" w:rsidR="00A10B25" w:rsidRDefault="00A10B25">
            <w:pPr>
              <w:keepNext/>
              <w:keepLines/>
              <w:spacing w:after="0"/>
              <w:jc w:val="center"/>
              <w:rPr>
                <w:rFonts w:ascii="Arial" w:hAnsi="Arial"/>
                <w:b/>
                <w:sz w:val="18"/>
                <w:lang w:val="en-US" w:eastAsia="zh-CN"/>
              </w:rPr>
            </w:pPr>
            <w:r>
              <w:rPr>
                <w:rFonts w:ascii="Arial" w:hAnsi="Arial"/>
                <w:b/>
                <w:color w:val="000000"/>
                <w:sz w:val="18"/>
                <w:lang w:val="en-US" w:eastAsia="zh-CN"/>
              </w:rPr>
              <w:t>Description</w:t>
            </w:r>
          </w:p>
        </w:tc>
        <w:tc>
          <w:tcPr>
            <w:tcW w:w="1772" w:type="dxa"/>
            <w:tcBorders>
              <w:top w:val="single" w:sz="4" w:space="0" w:color="auto"/>
              <w:left w:val="single" w:sz="4" w:space="0" w:color="auto"/>
              <w:bottom w:val="single" w:sz="4" w:space="0" w:color="auto"/>
              <w:right w:val="single" w:sz="4" w:space="0" w:color="auto"/>
            </w:tcBorders>
            <w:shd w:val="clear" w:color="auto" w:fill="C0C0C0"/>
          </w:tcPr>
          <w:p w14:paraId="1F53F2F8" w14:textId="77777777" w:rsidR="00A10B25" w:rsidRDefault="00A10B25">
            <w:pPr>
              <w:keepNext/>
              <w:keepLines/>
              <w:spacing w:after="0"/>
              <w:jc w:val="center"/>
              <w:rPr>
                <w:rFonts w:ascii="Arial" w:hAnsi="Arial"/>
                <w:b/>
                <w:color w:val="000000"/>
                <w:sz w:val="18"/>
                <w:lang w:val="en-US" w:eastAsia="zh-CN"/>
              </w:rPr>
            </w:pPr>
            <w:r>
              <w:rPr>
                <w:rFonts w:ascii="Arial" w:hAnsi="Arial"/>
                <w:b/>
                <w:color w:val="000000"/>
                <w:sz w:val="18"/>
                <w:lang w:val="en-US" w:eastAsia="zh-CN"/>
              </w:rPr>
              <w:t>Applicability</w:t>
            </w:r>
          </w:p>
        </w:tc>
      </w:tr>
      <w:tr w:rsidR="00A10B25" w14:paraId="59730531"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7E7F44" w14:textId="77777777" w:rsidR="00A10B25" w:rsidRDefault="00A10B25">
            <w:pPr>
              <w:keepNext/>
              <w:keepLines/>
              <w:spacing w:after="0"/>
              <w:rPr>
                <w:rFonts w:ascii="Arial" w:hAnsi="Arial"/>
                <w:sz w:val="18"/>
                <w:lang w:val="en-US" w:eastAsia="zh-CN"/>
              </w:rPr>
            </w:pPr>
            <w:r>
              <w:rPr>
                <w:rFonts w:ascii="Arial" w:hAnsi="Arial"/>
                <w:sz w:val="18"/>
                <w:lang w:val="en-US" w:eastAsia="zh-CN"/>
              </w:rPr>
              <w:t>plmnId</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E511F8" w14:textId="77777777" w:rsidR="00A10B25" w:rsidRDefault="00A10B25">
            <w:pPr>
              <w:keepNext/>
              <w:keepLines/>
              <w:spacing w:after="0"/>
              <w:rPr>
                <w:rFonts w:ascii="Arial" w:hAnsi="Arial"/>
                <w:sz w:val="18"/>
                <w:lang w:val="en-US" w:eastAsia="zh-CN"/>
              </w:rPr>
            </w:pPr>
            <w:r>
              <w:rPr>
                <w:rFonts w:ascii="Arial" w:hAnsi="Arial"/>
                <w:sz w:val="18"/>
                <w:lang w:val="en-US" w:eastAsia="zh-CN"/>
              </w:rPr>
              <w:t>PlmnIdNid</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EF2EC3"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E1B63F" w14:textId="77777777" w:rsidR="00A10B25" w:rsidRDefault="00A10B25">
            <w:pPr>
              <w:keepNext/>
              <w:keepLines/>
              <w:spacing w:after="0"/>
              <w:rPr>
                <w:rFonts w:ascii="Arial" w:hAnsi="Arial"/>
                <w:sz w:val="18"/>
                <w:lang w:val="en-US" w:eastAsia="zh-CN"/>
              </w:rPr>
            </w:pPr>
            <w:r>
              <w:rPr>
                <w:rFonts w:ascii="Arial" w:hAnsi="Arial"/>
                <w:sz w:val="18"/>
                <w:lang w:val="en-US" w:eastAsia="zh-CN"/>
              </w:rPr>
              <w:t>0..1</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196CB2" w14:textId="77777777" w:rsidR="00A10B25" w:rsidRDefault="00A10B25">
            <w:pPr>
              <w:keepNext/>
              <w:keepLines/>
              <w:spacing w:after="0"/>
              <w:rPr>
                <w:rFonts w:ascii="Arial" w:hAnsi="Arial"/>
                <w:sz w:val="18"/>
                <w:lang w:val="en-US" w:eastAsia="zh-CN"/>
              </w:rPr>
            </w:pPr>
            <w:r>
              <w:rPr>
                <w:rFonts w:ascii="Arial" w:hAnsi="Arial"/>
                <w:sz w:val="18"/>
                <w:lang w:val="en-US" w:eastAsia="zh-CN"/>
              </w:rPr>
              <w:t>Identifier of the HPLMN (if the analytics are requested by an NF service consumer in the VPLMN) or the VPLMN (if the analytics are requested by an NF service consumer in the HPLMN).</w:t>
            </w:r>
          </w:p>
        </w:tc>
        <w:tc>
          <w:tcPr>
            <w:tcW w:w="1772" w:type="dxa"/>
            <w:tcBorders>
              <w:top w:val="single" w:sz="4" w:space="0" w:color="auto"/>
              <w:left w:val="single" w:sz="4" w:space="0" w:color="auto"/>
              <w:bottom w:val="single" w:sz="4" w:space="0" w:color="auto"/>
              <w:right w:val="single" w:sz="4" w:space="0" w:color="auto"/>
            </w:tcBorders>
          </w:tcPr>
          <w:p w14:paraId="0E6BD264" w14:textId="77777777" w:rsidR="00A10B25" w:rsidRDefault="00A10B25">
            <w:pPr>
              <w:keepNext/>
              <w:keepLines/>
              <w:spacing w:after="0"/>
              <w:rPr>
                <w:rFonts w:ascii="Arial" w:hAnsi="Arial"/>
                <w:sz w:val="18"/>
                <w:lang w:val="en-US" w:eastAsia="zh-CN"/>
              </w:rPr>
            </w:pPr>
          </w:p>
        </w:tc>
      </w:tr>
      <w:tr w:rsidR="00A10B25" w14:paraId="21C3E99E"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B11DA" w14:textId="77777777" w:rsidR="00A10B25" w:rsidRDefault="00A10B25">
            <w:pPr>
              <w:keepNext/>
              <w:keepLines/>
              <w:spacing w:after="0"/>
              <w:rPr>
                <w:rFonts w:ascii="Arial" w:hAnsi="Arial"/>
                <w:sz w:val="18"/>
                <w:lang w:val="en-US" w:eastAsia="zh-CN"/>
              </w:rPr>
            </w:pPr>
            <w:r>
              <w:rPr>
                <w:rFonts w:ascii="Arial" w:hAnsi="Arial"/>
                <w:sz w:val="18"/>
                <w:lang w:val="en-US" w:eastAsia="zh-CN"/>
              </w:rPr>
              <w:t>aois</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8A4FF" w14:textId="77777777" w:rsidR="00A10B25" w:rsidRDefault="00A10B25">
            <w:pPr>
              <w:keepNext/>
              <w:keepLines/>
              <w:spacing w:after="0"/>
              <w:rPr>
                <w:rFonts w:ascii="Arial" w:hAnsi="Arial"/>
                <w:sz w:val="18"/>
                <w:lang w:val="en-US" w:eastAsia="zh-CN"/>
              </w:rPr>
            </w:pPr>
            <w:r>
              <w:rPr>
                <w:rFonts w:ascii="Arial" w:hAnsi="Arial"/>
                <w:sz w:val="18"/>
                <w:lang w:val="en-US" w:eastAsia="zh-CN"/>
              </w:rPr>
              <w:t>array(GeographicalArea)</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AEAB71"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F401F7"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FC3A7F" w14:textId="77777777" w:rsidR="00A10B25" w:rsidRDefault="00A10B25">
            <w:pPr>
              <w:keepNext/>
              <w:keepLines/>
              <w:spacing w:after="0"/>
              <w:rPr>
                <w:rFonts w:ascii="Arial" w:hAnsi="Arial"/>
                <w:sz w:val="18"/>
                <w:lang w:val="en-US"/>
              </w:rPr>
            </w:pPr>
            <w:r>
              <w:rPr>
                <w:rFonts w:ascii="Arial" w:hAnsi="Arial"/>
                <w:sz w:val="18"/>
                <w:lang w:val="en-US"/>
              </w:rPr>
              <w:t xml:space="preserve">Area of Interest for the analytics in the </w:t>
            </w:r>
            <w:r>
              <w:rPr>
                <w:rFonts w:ascii="Arial" w:hAnsi="Arial"/>
                <w:sz w:val="18"/>
                <w:lang w:val="en-US" w:eastAsia="zh-CN"/>
              </w:rPr>
              <w:t>HPLMN (if the analytics are requested by an NF service consumer in the VPLMN) or the VPLMN (if the analytics are requested by an NF service consumer in the HPLMN).</w:t>
            </w:r>
          </w:p>
        </w:tc>
        <w:tc>
          <w:tcPr>
            <w:tcW w:w="1772" w:type="dxa"/>
            <w:tcBorders>
              <w:top w:val="single" w:sz="4" w:space="0" w:color="auto"/>
              <w:left w:val="single" w:sz="4" w:space="0" w:color="auto"/>
              <w:bottom w:val="single" w:sz="4" w:space="0" w:color="auto"/>
              <w:right w:val="single" w:sz="4" w:space="0" w:color="auto"/>
            </w:tcBorders>
          </w:tcPr>
          <w:p w14:paraId="575CE4D7" w14:textId="77777777" w:rsidR="00A10B25" w:rsidRDefault="00A10B25">
            <w:pPr>
              <w:keepNext/>
              <w:keepLines/>
              <w:spacing w:after="0"/>
              <w:rPr>
                <w:rFonts w:ascii="Arial" w:hAnsi="Arial"/>
                <w:sz w:val="18"/>
              </w:rPr>
            </w:pPr>
          </w:p>
        </w:tc>
      </w:tr>
      <w:tr w:rsidR="00A10B25" w14:paraId="3939803A"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E6203F" w14:textId="77777777" w:rsidR="00A10B25" w:rsidRDefault="00A10B25">
            <w:pPr>
              <w:keepNext/>
              <w:keepLines/>
              <w:spacing w:after="0"/>
              <w:rPr>
                <w:rFonts w:ascii="Arial" w:hAnsi="Arial"/>
                <w:sz w:val="18"/>
                <w:lang w:val="en-US" w:eastAsia="zh-CN"/>
              </w:rPr>
            </w:pPr>
            <w:r>
              <w:rPr>
                <w:rFonts w:ascii="Arial" w:hAnsi="Arial"/>
                <w:sz w:val="18"/>
                <w:lang w:val="en-US" w:eastAsia="zh-CN"/>
              </w:rPr>
              <w:t>servingNfIds</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700686" w14:textId="77777777" w:rsidR="00A10B25" w:rsidRDefault="00A10B25">
            <w:pPr>
              <w:keepNext/>
              <w:keepLines/>
              <w:spacing w:after="0"/>
              <w:rPr>
                <w:rFonts w:ascii="Arial" w:hAnsi="Arial"/>
                <w:sz w:val="18"/>
                <w:lang w:val="en-US" w:eastAsia="zh-CN"/>
              </w:rPr>
            </w:pPr>
            <w:r>
              <w:rPr>
                <w:rFonts w:ascii="Arial" w:hAnsi="Arial"/>
                <w:sz w:val="18"/>
                <w:lang w:val="en-US" w:eastAsia="zh-CN"/>
              </w:rPr>
              <w:t>array(NfInstanceId)</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B7236A"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66017"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31303D" w14:textId="77777777" w:rsidR="00A10B25" w:rsidRDefault="00A10B25">
            <w:pPr>
              <w:keepNext/>
              <w:keepLines/>
              <w:spacing w:after="0"/>
              <w:rPr>
                <w:rFonts w:ascii="Arial" w:hAnsi="Arial"/>
                <w:sz w:val="18"/>
                <w:lang w:val="en-US"/>
              </w:rPr>
            </w:pPr>
            <w:r>
              <w:rPr>
                <w:rFonts w:ascii="Arial" w:hAnsi="Arial"/>
                <w:sz w:val="18"/>
                <w:lang w:val="en-US"/>
              </w:rPr>
              <w:t>NF ID(s) of the NF(s) serving the roaming UE(s) in the VPLMN.</w:t>
            </w:r>
          </w:p>
        </w:tc>
        <w:tc>
          <w:tcPr>
            <w:tcW w:w="1772" w:type="dxa"/>
            <w:tcBorders>
              <w:top w:val="single" w:sz="4" w:space="0" w:color="auto"/>
              <w:left w:val="single" w:sz="4" w:space="0" w:color="auto"/>
              <w:bottom w:val="single" w:sz="4" w:space="0" w:color="auto"/>
              <w:right w:val="single" w:sz="4" w:space="0" w:color="auto"/>
            </w:tcBorders>
          </w:tcPr>
          <w:p w14:paraId="071484DB" w14:textId="77777777" w:rsidR="00A10B25" w:rsidRDefault="00A10B25">
            <w:pPr>
              <w:keepNext/>
              <w:keepLines/>
              <w:spacing w:after="0"/>
              <w:rPr>
                <w:rFonts w:ascii="Arial" w:hAnsi="Arial"/>
                <w:sz w:val="18"/>
              </w:rPr>
            </w:pPr>
          </w:p>
        </w:tc>
      </w:tr>
      <w:tr w:rsidR="00A10B25" w14:paraId="6A057200" w14:textId="77777777">
        <w:trPr>
          <w:jc w:val="center"/>
        </w:trPr>
        <w:tc>
          <w:tcPr>
            <w:tcW w:w="175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91386" w14:textId="77777777" w:rsidR="00A10B25" w:rsidRDefault="00A10B25">
            <w:pPr>
              <w:keepNext/>
              <w:keepLines/>
              <w:spacing w:after="0"/>
              <w:rPr>
                <w:rFonts w:ascii="Arial" w:hAnsi="Arial"/>
                <w:sz w:val="18"/>
                <w:lang w:val="en-US" w:eastAsia="zh-CN"/>
              </w:rPr>
            </w:pPr>
            <w:r>
              <w:rPr>
                <w:rFonts w:ascii="Arial" w:hAnsi="Arial"/>
                <w:sz w:val="18"/>
                <w:lang w:val="en-US" w:eastAsia="zh-CN"/>
              </w:rPr>
              <w:t>servingNfSetIds</w:t>
            </w:r>
          </w:p>
        </w:tc>
        <w:tc>
          <w:tcPr>
            <w:tcW w:w="23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6EEF73" w14:textId="77777777" w:rsidR="00A10B25" w:rsidRDefault="00A10B25">
            <w:pPr>
              <w:keepNext/>
              <w:keepLines/>
              <w:spacing w:after="0"/>
              <w:rPr>
                <w:rFonts w:ascii="Arial" w:hAnsi="Arial"/>
                <w:sz w:val="18"/>
                <w:lang w:val="en-US" w:eastAsia="zh-CN"/>
              </w:rPr>
            </w:pPr>
            <w:r>
              <w:rPr>
                <w:rFonts w:ascii="Arial" w:hAnsi="Arial"/>
                <w:sz w:val="18"/>
                <w:lang w:val="en-US" w:eastAsia="zh-CN"/>
              </w:rPr>
              <w:t>array(NfSetId)</w:t>
            </w:r>
          </w:p>
        </w:tc>
        <w:tc>
          <w:tcPr>
            <w:tcW w:w="35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E4B451" w14:textId="77777777" w:rsidR="00A10B25" w:rsidRDefault="00A10B25">
            <w:pPr>
              <w:keepNext/>
              <w:keepLines/>
              <w:spacing w:after="0"/>
              <w:jc w:val="center"/>
              <w:rPr>
                <w:rFonts w:ascii="Arial" w:hAnsi="Arial"/>
                <w:sz w:val="18"/>
                <w:lang w:val="en-US" w:eastAsia="zh-CN"/>
              </w:rPr>
            </w:pPr>
            <w:r>
              <w:rPr>
                <w:rFonts w:ascii="Arial" w:hAnsi="Arial"/>
                <w:sz w:val="18"/>
                <w:lang w:val="en-US" w:eastAsia="zh-CN"/>
              </w:rPr>
              <w:t>O</w:t>
            </w:r>
          </w:p>
        </w:tc>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E66156" w14:textId="77777777" w:rsidR="00A10B25" w:rsidRDefault="00A10B25">
            <w:pPr>
              <w:keepNext/>
              <w:keepLines/>
              <w:spacing w:after="0"/>
              <w:rPr>
                <w:rFonts w:ascii="Arial" w:hAnsi="Arial"/>
                <w:sz w:val="18"/>
                <w:lang w:val="en-US" w:eastAsia="zh-CN"/>
              </w:rPr>
            </w:pPr>
            <w:r>
              <w:rPr>
                <w:rFonts w:ascii="Arial" w:hAnsi="Arial"/>
                <w:sz w:val="18"/>
                <w:lang w:val="en-US" w:eastAsia="zh-CN"/>
              </w:rPr>
              <w:t>1..N</w:t>
            </w:r>
          </w:p>
        </w:tc>
        <w:tc>
          <w:tcPr>
            <w:tcW w:w="22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311F3F" w14:textId="77777777" w:rsidR="00A10B25" w:rsidRDefault="00A10B25">
            <w:pPr>
              <w:keepNext/>
              <w:keepLines/>
              <w:spacing w:after="0"/>
              <w:rPr>
                <w:rFonts w:ascii="Arial" w:hAnsi="Arial"/>
                <w:sz w:val="18"/>
                <w:lang w:val="en-US"/>
              </w:rPr>
            </w:pPr>
            <w:r>
              <w:rPr>
                <w:rFonts w:ascii="Arial" w:hAnsi="Arial"/>
                <w:sz w:val="18"/>
                <w:lang w:val="en-US"/>
              </w:rPr>
              <w:t>NF Set ID(s) of the NF Set(s) serving the roaming UE(s) in the VPLMN.</w:t>
            </w:r>
          </w:p>
        </w:tc>
        <w:tc>
          <w:tcPr>
            <w:tcW w:w="1772" w:type="dxa"/>
            <w:tcBorders>
              <w:top w:val="single" w:sz="4" w:space="0" w:color="auto"/>
              <w:left w:val="single" w:sz="4" w:space="0" w:color="auto"/>
              <w:bottom w:val="single" w:sz="4" w:space="0" w:color="auto"/>
              <w:right w:val="single" w:sz="4" w:space="0" w:color="auto"/>
            </w:tcBorders>
          </w:tcPr>
          <w:p w14:paraId="2D88893B" w14:textId="77777777" w:rsidR="00A10B25" w:rsidRDefault="00A10B25">
            <w:pPr>
              <w:keepNext/>
              <w:keepLines/>
              <w:spacing w:after="0"/>
              <w:rPr>
                <w:rFonts w:ascii="Arial" w:hAnsi="Arial"/>
                <w:sz w:val="18"/>
              </w:rPr>
            </w:pPr>
          </w:p>
        </w:tc>
      </w:tr>
    </w:tbl>
    <w:p w14:paraId="6DF35478" w14:textId="77777777" w:rsidR="00A10B25" w:rsidRDefault="00A10B25">
      <w:pPr>
        <w:rPr>
          <w:rFonts w:eastAsia="MS Mincho"/>
          <w:u w:val="single"/>
        </w:rPr>
      </w:pPr>
    </w:p>
    <w:p w14:paraId="2AFC8412" w14:textId="77777777" w:rsidR="00DB4BFB" w:rsidRDefault="00DB4BFB" w:rsidP="00DB4BFB">
      <w:pPr>
        <w:pStyle w:val="5"/>
      </w:pPr>
      <w:bookmarkStart w:id="8282" w:name="_Toc138754293"/>
      <w:bookmarkStart w:id="8283" w:name="_Toc145705785"/>
      <w:bookmarkStart w:id="8284" w:name="_Toc148522695"/>
      <w:bookmarkStart w:id="8285" w:name="_Toc136562459"/>
      <w:bookmarkStart w:id="8286" w:name="_Toc164920881"/>
      <w:bookmarkStart w:id="8287" w:name="_Toc170120423"/>
      <w:bookmarkStart w:id="8288" w:name="_Toc175858668"/>
      <w:bookmarkStart w:id="8289" w:name="_Toc175859741"/>
      <w:bookmarkStart w:id="8290" w:name="_Toc180606031"/>
      <w:bookmarkStart w:id="8291" w:name="_Toc185517285"/>
      <w:bookmarkStart w:id="8292" w:name="_Toc191576336"/>
      <w:bookmarkStart w:id="8293" w:name="_Toc191577076"/>
      <w:bookmarkStart w:id="8294" w:name="_Toc192880146"/>
      <w:bookmarkStart w:id="8295" w:name="_Toc195815029"/>
      <w:bookmarkStart w:id="8296" w:name="_Toc199452996"/>
      <w:r>
        <w:lastRenderedPageBreak/>
        <w:t>5.1.6.2.107</w:t>
      </w:r>
      <w:r>
        <w:tab/>
        <w:t>Type SuggestedPfdInfo</w:t>
      </w:r>
      <w:bookmarkEnd w:id="8286"/>
      <w:bookmarkEnd w:id="8287"/>
      <w:bookmarkEnd w:id="8288"/>
      <w:bookmarkEnd w:id="8289"/>
      <w:bookmarkEnd w:id="8290"/>
      <w:bookmarkEnd w:id="8291"/>
      <w:bookmarkEnd w:id="8292"/>
      <w:bookmarkEnd w:id="8293"/>
      <w:bookmarkEnd w:id="8294"/>
      <w:bookmarkEnd w:id="8295"/>
      <w:bookmarkEnd w:id="8296"/>
    </w:p>
    <w:p w14:paraId="34635F69" w14:textId="77777777" w:rsidR="00DB4BFB" w:rsidRDefault="00DB4BFB" w:rsidP="00DB4BFB">
      <w:pPr>
        <w:pStyle w:val="TH"/>
      </w:pPr>
      <w:r>
        <w:t>Table 5.1.6.2.107-1: Definition of type SuggestedPfdInfo</w:t>
      </w:r>
    </w:p>
    <w:tbl>
      <w:tblPr>
        <w:tblW w:w="9606"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57"/>
        <w:gridCol w:w="1566"/>
        <w:gridCol w:w="427"/>
        <w:gridCol w:w="1138"/>
        <w:gridCol w:w="2867"/>
        <w:gridCol w:w="1851"/>
      </w:tblGrid>
      <w:tr w:rsidR="00DB4BFB" w14:paraId="11466E33" w14:textId="77777777">
        <w:trPr>
          <w:jc w:val="center"/>
        </w:trPr>
        <w:tc>
          <w:tcPr>
            <w:tcW w:w="1757" w:type="dxa"/>
            <w:tcBorders>
              <w:top w:val="single" w:sz="6" w:space="0" w:color="auto"/>
              <w:left w:val="single" w:sz="6" w:space="0" w:color="auto"/>
              <w:bottom w:val="single" w:sz="6" w:space="0" w:color="auto"/>
              <w:right w:val="single" w:sz="6" w:space="0" w:color="auto"/>
            </w:tcBorders>
            <w:shd w:val="clear" w:color="auto" w:fill="C0C0C0"/>
          </w:tcPr>
          <w:p w14:paraId="635013D0" w14:textId="77777777" w:rsidR="00DB4BFB" w:rsidRDefault="00DB4BFB">
            <w:pPr>
              <w:pStyle w:val="TAH"/>
              <w:ind w:left="400" w:hanging="400"/>
            </w:pPr>
            <w:r>
              <w:t>Attribute name</w:t>
            </w:r>
          </w:p>
        </w:tc>
        <w:tc>
          <w:tcPr>
            <w:tcW w:w="1566" w:type="dxa"/>
            <w:tcBorders>
              <w:top w:val="single" w:sz="6" w:space="0" w:color="auto"/>
              <w:left w:val="single" w:sz="6" w:space="0" w:color="auto"/>
              <w:bottom w:val="single" w:sz="6" w:space="0" w:color="auto"/>
              <w:right w:val="single" w:sz="6" w:space="0" w:color="auto"/>
            </w:tcBorders>
            <w:shd w:val="clear" w:color="auto" w:fill="C0C0C0"/>
          </w:tcPr>
          <w:p w14:paraId="1214F625" w14:textId="77777777" w:rsidR="00DB4BFB" w:rsidRDefault="00DB4BFB">
            <w:pPr>
              <w:pStyle w:val="TAH"/>
              <w:ind w:left="400" w:hanging="400"/>
            </w:pPr>
            <w:r>
              <w:t>Data type</w:t>
            </w:r>
          </w:p>
        </w:tc>
        <w:tc>
          <w:tcPr>
            <w:tcW w:w="427" w:type="dxa"/>
            <w:tcBorders>
              <w:top w:val="single" w:sz="6" w:space="0" w:color="auto"/>
              <w:left w:val="single" w:sz="6" w:space="0" w:color="auto"/>
              <w:bottom w:val="single" w:sz="6" w:space="0" w:color="auto"/>
              <w:right w:val="single" w:sz="6" w:space="0" w:color="auto"/>
            </w:tcBorders>
            <w:shd w:val="clear" w:color="auto" w:fill="C0C0C0"/>
          </w:tcPr>
          <w:p w14:paraId="4933AC47" w14:textId="77777777" w:rsidR="00DB4BFB" w:rsidRDefault="00DB4BFB">
            <w:pPr>
              <w:pStyle w:val="TAH"/>
              <w:ind w:left="400" w:hanging="400"/>
            </w:pPr>
            <w:r>
              <w:t>P</w:t>
            </w:r>
          </w:p>
        </w:tc>
        <w:tc>
          <w:tcPr>
            <w:tcW w:w="1138" w:type="dxa"/>
            <w:tcBorders>
              <w:top w:val="single" w:sz="6" w:space="0" w:color="auto"/>
              <w:left w:val="single" w:sz="6" w:space="0" w:color="auto"/>
              <w:bottom w:val="single" w:sz="6" w:space="0" w:color="auto"/>
              <w:right w:val="single" w:sz="6" w:space="0" w:color="auto"/>
            </w:tcBorders>
            <w:shd w:val="clear" w:color="auto" w:fill="C0C0C0"/>
          </w:tcPr>
          <w:p w14:paraId="5E64FA88" w14:textId="77777777" w:rsidR="00DB4BFB" w:rsidRDefault="00DB4BFB">
            <w:pPr>
              <w:pStyle w:val="TAH"/>
              <w:ind w:left="400" w:hanging="400"/>
            </w:pPr>
            <w:r>
              <w:t>Cardinality</w:t>
            </w:r>
          </w:p>
        </w:tc>
        <w:tc>
          <w:tcPr>
            <w:tcW w:w="2867" w:type="dxa"/>
            <w:tcBorders>
              <w:top w:val="single" w:sz="6" w:space="0" w:color="auto"/>
              <w:left w:val="single" w:sz="6" w:space="0" w:color="auto"/>
              <w:bottom w:val="single" w:sz="6" w:space="0" w:color="auto"/>
              <w:right w:val="single" w:sz="6" w:space="0" w:color="auto"/>
            </w:tcBorders>
            <w:shd w:val="clear" w:color="auto" w:fill="C0C0C0"/>
          </w:tcPr>
          <w:p w14:paraId="62EC0BF8" w14:textId="77777777" w:rsidR="00DB4BFB" w:rsidRDefault="00DB4BFB">
            <w:pPr>
              <w:pStyle w:val="TAH"/>
              <w:ind w:left="400" w:hanging="400"/>
            </w:pPr>
            <w:r>
              <w:t>Description</w:t>
            </w:r>
          </w:p>
        </w:tc>
        <w:tc>
          <w:tcPr>
            <w:tcW w:w="1851" w:type="dxa"/>
            <w:tcBorders>
              <w:top w:val="single" w:sz="6" w:space="0" w:color="auto"/>
              <w:left w:val="single" w:sz="6" w:space="0" w:color="auto"/>
              <w:bottom w:val="single" w:sz="6" w:space="0" w:color="auto"/>
              <w:right w:val="single" w:sz="6" w:space="0" w:color="auto"/>
            </w:tcBorders>
            <w:shd w:val="clear" w:color="auto" w:fill="C0C0C0"/>
          </w:tcPr>
          <w:p w14:paraId="14941DC3" w14:textId="77777777" w:rsidR="00DB4BFB" w:rsidRDefault="00DB4BFB">
            <w:pPr>
              <w:pStyle w:val="TAH"/>
              <w:ind w:left="400" w:hanging="400"/>
            </w:pPr>
            <w:r>
              <w:t>Applicability</w:t>
            </w:r>
          </w:p>
        </w:tc>
      </w:tr>
      <w:tr w:rsidR="00DB4BFB" w14:paraId="4C069DA6"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55FE6262" w14:textId="77777777" w:rsidR="00DB4BFB" w:rsidRDefault="00DB4BFB">
            <w:pPr>
              <w:pStyle w:val="TAL"/>
              <w:rPr>
                <w:lang w:eastAsia="zh-CN"/>
              </w:rPr>
            </w:pPr>
            <w:r>
              <w:rPr>
                <w:lang w:eastAsia="zh-CN"/>
              </w:rPr>
              <w:t>pfdId</w:t>
            </w:r>
          </w:p>
        </w:tc>
        <w:tc>
          <w:tcPr>
            <w:tcW w:w="1566" w:type="dxa"/>
            <w:tcBorders>
              <w:top w:val="single" w:sz="6" w:space="0" w:color="auto"/>
              <w:left w:val="single" w:sz="6" w:space="0" w:color="auto"/>
              <w:bottom w:val="single" w:sz="6" w:space="0" w:color="auto"/>
              <w:right w:val="single" w:sz="6" w:space="0" w:color="auto"/>
            </w:tcBorders>
          </w:tcPr>
          <w:p w14:paraId="1B112ADC" w14:textId="77777777" w:rsidR="00DB4BFB" w:rsidRDefault="00DB4BFB">
            <w:pPr>
              <w:pStyle w:val="TAL"/>
            </w:pPr>
            <w:r>
              <w:t>string</w:t>
            </w:r>
          </w:p>
        </w:tc>
        <w:tc>
          <w:tcPr>
            <w:tcW w:w="427" w:type="dxa"/>
            <w:tcBorders>
              <w:top w:val="single" w:sz="6" w:space="0" w:color="auto"/>
              <w:left w:val="single" w:sz="6" w:space="0" w:color="auto"/>
              <w:bottom w:val="single" w:sz="6" w:space="0" w:color="auto"/>
              <w:right w:val="single" w:sz="6" w:space="0" w:color="auto"/>
            </w:tcBorders>
          </w:tcPr>
          <w:p w14:paraId="7CA60AEA" w14:textId="77777777" w:rsidR="00DB4BFB" w:rsidRDefault="00DB4BFB">
            <w:pPr>
              <w:pStyle w:val="TAC"/>
            </w:pPr>
            <w:r>
              <w:t>M</w:t>
            </w:r>
          </w:p>
        </w:tc>
        <w:tc>
          <w:tcPr>
            <w:tcW w:w="1138" w:type="dxa"/>
            <w:tcBorders>
              <w:top w:val="single" w:sz="6" w:space="0" w:color="auto"/>
              <w:left w:val="single" w:sz="6" w:space="0" w:color="auto"/>
              <w:bottom w:val="single" w:sz="6" w:space="0" w:color="auto"/>
              <w:right w:val="single" w:sz="6" w:space="0" w:color="auto"/>
            </w:tcBorders>
          </w:tcPr>
          <w:p w14:paraId="08FDC0C7" w14:textId="77777777" w:rsidR="00DB4BFB" w:rsidRPr="00B36B7D" w:rsidRDefault="00DB4BFB">
            <w:pPr>
              <w:pStyle w:val="TAL"/>
            </w:pPr>
            <w:r w:rsidRPr="00B36B7D">
              <w:t>1</w:t>
            </w:r>
          </w:p>
        </w:tc>
        <w:tc>
          <w:tcPr>
            <w:tcW w:w="2867" w:type="dxa"/>
            <w:tcBorders>
              <w:top w:val="single" w:sz="6" w:space="0" w:color="auto"/>
              <w:left w:val="single" w:sz="6" w:space="0" w:color="auto"/>
              <w:bottom w:val="single" w:sz="6" w:space="0" w:color="auto"/>
              <w:right w:val="single" w:sz="6" w:space="0" w:color="auto"/>
            </w:tcBorders>
          </w:tcPr>
          <w:p w14:paraId="09D938E2" w14:textId="77777777" w:rsidR="00DB4BFB" w:rsidRDefault="00DB4BFB">
            <w:pPr>
              <w:pStyle w:val="TAL"/>
            </w:pPr>
            <w:r w:rsidRPr="00B36B7D">
              <w:t>Identifier of the PFD (i.e.</w:t>
            </w:r>
            <w:r>
              <w:t>,</w:t>
            </w:r>
            <w:r w:rsidRPr="00B36B7D">
              <w:t xml:space="preserve"> new PFD ID assigned by </w:t>
            </w:r>
            <w:r>
              <w:t xml:space="preserve">the </w:t>
            </w:r>
            <w:r w:rsidRPr="00B36B7D">
              <w:t xml:space="preserve">NWDAF or </w:t>
            </w:r>
            <w:r>
              <w:t xml:space="preserve">the </w:t>
            </w:r>
            <w:r w:rsidRPr="00B36B7D">
              <w:t xml:space="preserve">existing PFD ID retrieved from </w:t>
            </w:r>
            <w:r>
              <w:t>the NEF(PFDF) which was generated by NWDAF</w:t>
            </w:r>
            <w:r w:rsidRPr="00B36B7D">
              <w:t>).</w:t>
            </w:r>
          </w:p>
          <w:p w14:paraId="6D67FE7B" w14:textId="77777777" w:rsidR="00DB4BFB" w:rsidRDefault="00DB4BFB">
            <w:pPr>
              <w:pStyle w:val="TAL"/>
              <w:rPr>
                <w:lang w:eastAsia="zh-CN"/>
              </w:rPr>
            </w:pPr>
            <w:r>
              <w:t>(NOTE 2)</w:t>
            </w:r>
          </w:p>
        </w:tc>
        <w:tc>
          <w:tcPr>
            <w:tcW w:w="1851" w:type="dxa"/>
            <w:tcBorders>
              <w:top w:val="single" w:sz="6" w:space="0" w:color="auto"/>
              <w:left w:val="single" w:sz="6" w:space="0" w:color="auto"/>
              <w:bottom w:val="single" w:sz="6" w:space="0" w:color="auto"/>
              <w:right w:val="single" w:sz="6" w:space="0" w:color="auto"/>
            </w:tcBorders>
          </w:tcPr>
          <w:p w14:paraId="499AA05B" w14:textId="77777777" w:rsidR="00DB4BFB" w:rsidRDefault="00DB4BFB">
            <w:pPr>
              <w:pStyle w:val="TAL"/>
              <w:rPr>
                <w:rFonts w:cs="Arial"/>
                <w:szCs w:val="18"/>
              </w:rPr>
            </w:pPr>
          </w:p>
        </w:tc>
      </w:tr>
      <w:tr w:rsidR="00DB4BFB" w14:paraId="2C2F5AEC"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34DAB3EF" w14:textId="77777777" w:rsidR="00DB4BFB" w:rsidRDefault="00DB4BFB">
            <w:pPr>
              <w:pStyle w:val="TAL"/>
              <w:rPr>
                <w:lang w:eastAsia="zh-CN"/>
              </w:rPr>
            </w:pPr>
            <w:r>
              <w:rPr>
                <w:lang w:eastAsia="zh-CN"/>
              </w:rPr>
              <w:t>ip3TupleList</w:t>
            </w:r>
          </w:p>
        </w:tc>
        <w:tc>
          <w:tcPr>
            <w:tcW w:w="1566" w:type="dxa"/>
            <w:tcBorders>
              <w:top w:val="single" w:sz="6" w:space="0" w:color="auto"/>
              <w:left w:val="single" w:sz="6" w:space="0" w:color="auto"/>
              <w:bottom w:val="single" w:sz="6" w:space="0" w:color="auto"/>
              <w:right w:val="single" w:sz="6" w:space="0" w:color="auto"/>
            </w:tcBorders>
          </w:tcPr>
          <w:p w14:paraId="4535AE5E" w14:textId="77777777" w:rsidR="00DB4BFB" w:rsidRDefault="00DB4BFB">
            <w:pPr>
              <w:pStyle w:val="TAL"/>
            </w:pPr>
            <w:r>
              <w:t>array(s</w:t>
            </w:r>
            <w:r>
              <w:rPr>
                <w:rFonts w:hint="eastAsia"/>
              </w:rPr>
              <w:t>tring</w:t>
            </w:r>
            <w:r>
              <w:t>)</w:t>
            </w:r>
          </w:p>
        </w:tc>
        <w:tc>
          <w:tcPr>
            <w:tcW w:w="427" w:type="dxa"/>
            <w:tcBorders>
              <w:top w:val="single" w:sz="6" w:space="0" w:color="auto"/>
              <w:left w:val="single" w:sz="6" w:space="0" w:color="auto"/>
              <w:bottom w:val="single" w:sz="6" w:space="0" w:color="auto"/>
              <w:right w:val="single" w:sz="6" w:space="0" w:color="auto"/>
            </w:tcBorders>
          </w:tcPr>
          <w:p w14:paraId="376F1E1F" w14:textId="77777777" w:rsidR="00DB4BFB" w:rsidRDefault="00DB4BFB">
            <w:pPr>
              <w:pStyle w:val="TAC"/>
            </w:pPr>
            <w:r>
              <w:t>O</w:t>
            </w:r>
          </w:p>
        </w:tc>
        <w:tc>
          <w:tcPr>
            <w:tcW w:w="1138" w:type="dxa"/>
            <w:tcBorders>
              <w:top w:val="single" w:sz="6" w:space="0" w:color="auto"/>
              <w:left w:val="single" w:sz="6" w:space="0" w:color="auto"/>
              <w:bottom w:val="single" w:sz="6" w:space="0" w:color="auto"/>
              <w:right w:val="single" w:sz="6" w:space="0" w:color="auto"/>
            </w:tcBorders>
          </w:tcPr>
          <w:p w14:paraId="3CE35A29" w14:textId="77777777" w:rsidR="00DB4BFB" w:rsidRDefault="00DB4BFB">
            <w:pPr>
              <w:pStyle w:val="TAL"/>
            </w:pPr>
            <w:r>
              <w:t>1</w:t>
            </w:r>
            <w:r>
              <w:rPr>
                <w:rFonts w:hint="eastAsia"/>
              </w:rPr>
              <w:t>..N</w:t>
            </w:r>
          </w:p>
        </w:tc>
        <w:tc>
          <w:tcPr>
            <w:tcW w:w="2867" w:type="dxa"/>
            <w:tcBorders>
              <w:top w:val="single" w:sz="6" w:space="0" w:color="auto"/>
              <w:left w:val="single" w:sz="6" w:space="0" w:color="auto"/>
              <w:bottom w:val="single" w:sz="6" w:space="0" w:color="auto"/>
              <w:right w:val="single" w:sz="6" w:space="0" w:color="auto"/>
            </w:tcBorders>
          </w:tcPr>
          <w:p w14:paraId="7906BAFF" w14:textId="77777777" w:rsidR="00DB4BFB" w:rsidRDefault="00DB4BFB">
            <w:pPr>
              <w:pStyle w:val="TAL"/>
            </w:pPr>
            <w:r>
              <w:t>R</w:t>
            </w:r>
            <w:r>
              <w:rPr>
                <w:rFonts w:hint="eastAsia"/>
              </w:rPr>
              <w:t xml:space="preserve">epresents </w:t>
            </w:r>
            <w:r>
              <w:t>IP</w:t>
            </w:r>
            <w:r>
              <w:rPr>
                <w:rFonts w:hint="eastAsia"/>
              </w:rPr>
              <w:t xml:space="preserve"> </w:t>
            </w:r>
            <w:r>
              <w:t xml:space="preserve">3-tuple list with protocol, </w:t>
            </w:r>
            <w:r w:rsidRPr="00B36B7D">
              <w:t xml:space="preserve">IP address and port number </w:t>
            </w:r>
            <w:r>
              <w:t>of the application server side. The content of the string has the same encoding as the IPFilterRule AVP value as defined in IETF RFC 6733 [33].</w:t>
            </w:r>
          </w:p>
          <w:p w14:paraId="1240BC41" w14:textId="77777777" w:rsidR="00DB4BFB" w:rsidRDefault="00DB4BFB">
            <w:pPr>
              <w:pStyle w:val="TAL"/>
            </w:pPr>
            <w:r>
              <w:t>(NOTE 2)</w:t>
            </w:r>
          </w:p>
        </w:tc>
        <w:tc>
          <w:tcPr>
            <w:tcW w:w="1851" w:type="dxa"/>
            <w:tcBorders>
              <w:top w:val="single" w:sz="6" w:space="0" w:color="auto"/>
              <w:left w:val="single" w:sz="6" w:space="0" w:color="auto"/>
              <w:bottom w:val="single" w:sz="6" w:space="0" w:color="auto"/>
              <w:right w:val="single" w:sz="6" w:space="0" w:color="auto"/>
            </w:tcBorders>
          </w:tcPr>
          <w:p w14:paraId="5882C794" w14:textId="77777777" w:rsidR="00DB4BFB" w:rsidRDefault="00DB4BFB">
            <w:pPr>
              <w:pStyle w:val="TAL"/>
              <w:rPr>
                <w:rFonts w:cs="Arial"/>
                <w:szCs w:val="18"/>
              </w:rPr>
            </w:pPr>
          </w:p>
        </w:tc>
      </w:tr>
      <w:tr w:rsidR="00DB4BFB" w14:paraId="3C984B09"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2FBFE7A0" w14:textId="77777777" w:rsidR="00DB4BFB" w:rsidRDefault="00DB4BFB">
            <w:pPr>
              <w:pStyle w:val="TAL"/>
              <w:rPr>
                <w:lang w:eastAsia="zh-CN"/>
              </w:rPr>
            </w:pPr>
            <w:r>
              <w:rPr>
                <w:lang w:eastAsia="zh-CN"/>
              </w:rPr>
              <w:t>urls</w:t>
            </w:r>
          </w:p>
        </w:tc>
        <w:tc>
          <w:tcPr>
            <w:tcW w:w="1566" w:type="dxa"/>
            <w:tcBorders>
              <w:top w:val="single" w:sz="6" w:space="0" w:color="auto"/>
              <w:left w:val="single" w:sz="6" w:space="0" w:color="auto"/>
              <w:bottom w:val="single" w:sz="6" w:space="0" w:color="auto"/>
              <w:right w:val="single" w:sz="6" w:space="0" w:color="auto"/>
            </w:tcBorders>
          </w:tcPr>
          <w:p w14:paraId="7025C16F" w14:textId="77777777" w:rsidR="00DB4BFB" w:rsidRDefault="00DB4BFB">
            <w:pPr>
              <w:pStyle w:val="TAL"/>
            </w:pPr>
            <w:r>
              <w:t>array(s</w:t>
            </w:r>
            <w:r>
              <w:rPr>
                <w:rFonts w:hint="eastAsia"/>
              </w:rPr>
              <w:t>tring</w:t>
            </w:r>
            <w:r>
              <w:t>)</w:t>
            </w:r>
          </w:p>
        </w:tc>
        <w:tc>
          <w:tcPr>
            <w:tcW w:w="427" w:type="dxa"/>
            <w:tcBorders>
              <w:top w:val="single" w:sz="6" w:space="0" w:color="auto"/>
              <w:left w:val="single" w:sz="6" w:space="0" w:color="auto"/>
              <w:bottom w:val="single" w:sz="6" w:space="0" w:color="auto"/>
              <w:right w:val="single" w:sz="6" w:space="0" w:color="auto"/>
            </w:tcBorders>
          </w:tcPr>
          <w:p w14:paraId="737AB722" w14:textId="77777777" w:rsidR="00DB4BFB" w:rsidRDefault="00DB4BFB">
            <w:pPr>
              <w:pStyle w:val="TAC"/>
            </w:pPr>
            <w:r>
              <w:t>O</w:t>
            </w:r>
          </w:p>
        </w:tc>
        <w:tc>
          <w:tcPr>
            <w:tcW w:w="1138" w:type="dxa"/>
            <w:tcBorders>
              <w:top w:val="single" w:sz="6" w:space="0" w:color="auto"/>
              <w:left w:val="single" w:sz="6" w:space="0" w:color="auto"/>
              <w:bottom w:val="single" w:sz="6" w:space="0" w:color="auto"/>
              <w:right w:val="single" w:sz="6" w:space="0" w:color="auto"/>
            </w:tcBorders>
          </w:tcPr>
          <w:p w14:paraId="45D07E46" w14:textId="77777777" w:rsidR="00DB4BFB" w:rsidRDefault="00DB4BFB">
            <w:pPr>
              <w:pStyle w:val="TAL"/>
            </w:pPr>
            <w:r>
              <w:t>1</w:t>
            </w:r>
            <w:r>
              <w:rPr>
                <w:rFonts w:hint="eastAsia"/>
              </w:rPr>
              <w:t>..N</w:t>
            </w:r>
          </w:p>
        </w:tc>
        <w:tc>
          <w:tcPr>
            <w:tcW w:w="2867" w:type="dxa"/>
            <w:tcBorders>
              <w:top w:val="single" w:sz="6" w:space="0" w:color="auto"/>
              <w:left w:val="single" w:sz="6" w:space="0" w:color="auto"/>
              <w:bottom w:val="single" w:sz="6" w:space="0" w:color="auto"/>
              <w:right w:val="single" w:sz="6" w:space="0" w:color="auto"/>
            </w:tcBorders>
          </w:tcPr>
          <w:p w14:paraId="6A89250F" w14:textId="77777777" w:rsidR="00DB4BFB" w:rsidRDefault="00DB4BFB">
            <w:pPr>
              <w:pStyle w:val="TAL"/>
            </w:pPr>
            <w:r>
              <w:t>Represents</w:t>
            </w:r>
            <w:r>
              <w:rPr>
                <w:rFonts w:hint="eastAsia"/>
              </w:rPr>
              <w:t xml:space="preserve"> </w:t>
            </w:r>
            <w:r>
              <w:t>a URL or a regular expression which is used to match the significant parts of the URL.</w:t>
            </w:r>
          </w:p>
          <w:p w14:paraId="2A5FA44A" w14:textId="77777777" w:rsidR="00DB4BFB" w:rsidRDefault="00DB4BFB">
            <w:pPr>
              <w:pStyle w:val="TAL"/>
            </w:pPr>
            <w:r>
              <w:t>(NOTE 2)</w:t>
            </w:r>
          </w:p>
        </w:tc>
        <w:tc>
          <w:tcPr>
            <w:tcW w:w="1851" w:type="dxa"/>
            <w:tcBorders>
              <w:top w:val="single" w:sz="6" w:space="0" w:color="auto"/>
              <w:left w:val="single" w:sz="6" w:space="0" w:color="auto"/>
              <w:bottom w:val="single" w:sz="6" w:space="0" w:color="auto"/>
              <w:right w:val="single" w:sz="6" w:space="0" w:color="auto"/>
            </w:tcBorders>
          </w:tcPr>
          <w:p w14:paraId="322E7DAE" w14:textId="77777777" w:rsidR="00DB4BFB" w:rsidRDefault="00DB4BFB">
            <w:pPr>
              <w:pStyle w:val="TAL"/>
              <w:rPr>
                <w:rFonts w:cs="Arial"/>
                <w:szCs w:val="18"/>
              </w:rPr>
            </w:pPr>
          </w:p>
        </w:tc>
      </w:tr>
      <w:tr w:rsidR="00DB4BFB" w14:paraId="07251493"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39837568" w14:textId="77777777" w:rsidR="00DB4BFB" w:rsidRDefault="00DB4BFB">
            <w:pPr>
              <w:pStyle w:val="TAL"/>
              <w:rPr>
                <w:lang w:eastAsia="zh-CN"/>
              </w:rPr>
            </w:pPr>
            <w:r>
              <w:rPr>
                <w:lang w:eastAsia="zh-CN"/>
              </w:rPr>
              <w:t>domainNames</w:t>
            </w:r>
          </w:p>
        </w:tc>
        <w:tc>
          <w:tcPr>
            <w:tcW w:w="1566" w:type="dxa"/>
            <w:tcBorders>
              <w:top w:val="single" w:sz="6" w:space="0" w:color="auto"/>
              <w:left w:val="single" w:sz="6" w:space="0" w:color="auto"/>
              <w:bottom w:val="single" w:sz="6" w:space="0" w:color="auto"/>
              <w:right w:val="single" w:sz="6" w:space="0" w:color="auto"/>
            </w:tcBorders>
          </w:tcPr>
          <w:p w14:paraId="033BE828" w14:textId="77777777" w:rsidR="00DB4BFB" w:rsidRDefault="00DB4BFB">
            <w:pPr>
              <w:pStyle w:val="TAL"/>
            </w:pPr>
            <w:r>
              <w:t>array(s</w:t>
            </w:r>
            <w:r>
              <w:rPr>
                <w:rFonts w:hint="eastAsia"/>
              </w:rPr>
              <w:t>tring</w:t>
            </w:r>
            <w:r>
              <w:t>)</w:t>
            </w:r>
          </w:p>
        </w:tc>
        <w:tc>
          <w:tcPr>
            <w:tcW w:w="427" w:type="dxa"/>
            <w:tcBorders>
              <w:top w:val="single" w:sz="6" w:space="0" w:color="auto"/>
              <w:left w:val="single" w:sz="6" w:space="0" w:color="auto"/>
              <w:bottom w:val="single" w:sz="6" w:space="0" w:color="auto"/>
              <w:right w:val="single" w:sz="6" w:space="0" w:color="auto"/>
            </w:tcBorders>
          </w:tcPr>
          <w:p w14:paraId="2C46040D" w14:textId="77777777" w:rsidR="00DB4BFB" w:rsidRDefault="00DB4BFB">
            <w:pPr>
              <w:pStyle w:val="TAC"/>
            </w:pPr>
            <w:r>
              <w:t>O</w:t>
            </w:r>
          </w:p>
        </w:tc>
        <w:tc>
          <w:tcPr>
            <w:tcW w:w="1138" w:type="dxa"/>
            <w:tcBorders>
              <w:top w:val="single" w:sz="6" w:space="0" w:color="auto"/>
              <w:left w:val="single" w:sz="6" w:space="0" w:color="auto"/>
              <w:bottom w:val="single" w:sz="6" w:space="0" w:color="auto"/>
              <w:right w:val="single" w:sz="6" w:space="0" w:color="auto"/>
            </w:tcBorders>
          </w:tcPr>
          <w:p w14:paraId="15161F13" w14:textId="77777777" w:rsidR="00DB4BFB" w:rsidRDefault="00DB4BFB">
            <w:pPr>
              <w:pStyle w:val="TAL"/>
            </w:pPr>
            <w:r>
              <w:t>1</w:t>
            </w:r>
            <w:r>
              <w:rPr>
                <w:rFonts w:hint="eastAsia"/>
              </w:rPr>
              <w:t>..N</w:t>
            </w:r>
          </w:p>
        </w:tc>
        <w:tc>
          <w:tcPr>
            <w:tcW w:w="2867" w:type="dxa"/>
            <w:tcBorders>
              <w:top w:val="single" w:sz="6" w:space="0" w:color="auto"/>
              <w:left w:val="single" w:sz="6" w:space="0" w:color="auto"/>
              <w:bottom w:val="single" w:sz="6" w:space="0" w:color="auto"/>
              <w:right w:val="single" w:sz="6" w:space="0" w:color="auto"/>
            </w:tcBorders>
          </w:tcPr>
          <w:p w14:paraId="0CB2D6CD" w14:textId="77777777" w:rsidR="00DB4BFB" w:rsidRDefault="00DB4BFB">
            <w:pPr>
              <w:pStyle w:val="TAL"/>
            </w:pPr>
            <w:r>
              <w:t>Representes</w:t>
            </w:r>
            <w:r>
              <w:rPr>
                <w:rFonts w:hint="eastAsia"/>
              </w:rPr>
              <w:t xml:space="preserve"> </w:t>
            </w:r>
            <w:r>
              <w:t>an FQDN or a regular expression as a domain name matching criteria</w:t>
            </w:r>
            <w:r>
              <w:rPr>
                <w:rFonts w:hint="eastAsia"/>
              </w:rPr>
              <w:t>.</w:t>
            </w:r>
          </w:p>
          <w:p w14:paraId="43E7211B" w14:textId="77777777" w:rsidR="00DB4BFB" w:rsidRDefault="00DB4BFB">
            <w:pPr>
              <w:pStyle w:val="TAL"/>
            </w:pPr>
            <w:r>
              <w:t>(NOTE 2)</w:t>
            </w:r>
          </w:p>
        </w:tc>
        <w:tc>
          <w:tcPr>
            <w:tcW w:w="1851" w:type="dxa"/>
            <w:tcBorders>
              <w:top w:val="single" w:sz="6" w:space="0" w:color="auto"/>
              <w:left w:val="single" w:sz="6" w:space="0" w:color="auto"/>
              <w:bottom w:val="single" w:sz="6" w:space="0" w:color="auto"/>
              <w:right w:val="single" w:sz="6" w:space="0" w:color="auto"/>
            </w:tcBorders>
          </w:tcPr>
          <w:p w14:paraId="14EDF036" w14:textId="77777777" w:rsidR="00DB4BFB" w:rsidRDefault="00DB4BFB">
            <w:pPr>
              <w:pStyle w:val="TAL"/>
              <w:rPr>
                <w:rFonts w:cs="Arial"/>
                <w:szCs w:val="18"/>
              </w:rPr>
            </w:pPr>
          </w:p>
        </w:tc>
      </w:tr>
      <w:tr w:rsidR="00DB4BFB" w14:paraId="6E46D83A"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3492ED6C" w14:textId="77777777" w:rsidR="00DB4BFB" w:rsidRDefault="00DB4BFB">
            <w:pPr>
              <w:pStyle w:val="TAL"/>
              <w:rPr>
                <w:lang w:eastAsia="zh-CN"/>
              </w:rPr>
            </w:pPr>
            <w:r>
              <w:rPr>
                <w:lang w:eastAsia="zh-CN"/>
              </w:rPr>
              <w:t>dnProtocol</w:t>
            </w:r>
          </w:p>
        </w:tc>
        <w:tc>
          <w:tcPr>
            <w:tcW w:w="1566" w:type="dxa"/>
            <w:tcBorders>
              <w:top w:val="single" w:sz="6" w:space="0" w:color="auto"/>
              <w:left w:val="single" w:sz="6" w:space="0" w:color="auto"/>
              <w:bottom w:val="single" w:sz="6" w:space="0" w:color="auto"/>
              <w:right w:val="single" w:sz="6" w:space="0" w:color="auto"/>
            </w:tcBorders>
          </w:tcPr>
          <w:p w14:paraId="03AB0D8C" w14:textId="77777777" w:rsidR="00DB4BFB" w:rsidRDefault="00DB4BFB">
            <w:pPr>
              <w:pStyle w:val="TAL"/>
            </w:pPr>
            <w:r>
              <w:t>DomainNameProtocol</w:t>
            </w:r>
          </w:p>
        </w:tc>
        <w:tc>
          <w:tcPr>
            <w:tcW w:w="427" w:type="dxa"/>
            <w:tcBorders>
              <w:top w:val="single" w:sz="6" w:space="0" w:color="auto"/>
              <w:left w:val="single" w:sz="6" w:space="0" w:color="auto"/>
              <w:bottom w:val="single" w:sz="6" w:space="0" w:color="auto"/>
              <w:right w:val="single" w:sz="6" w:space="0" w:color="auto"/>
            </w:tcBorders>
          </w:tcPr>
          <w:p w14:paraId="54336802" w14:textId="77777777" w:rsidR="00DB4BFB" w:rsidRDefault="00DB4BFB">
            <w:pPr>
              <w:pStyle w:val="TAC"/>
            </w:pPr>
            <w:r>
              <w:t>C</w:t>
            </w:r>
          </w:p>
        </w:tc>
        <w:tc>
          <w:tcPr>
            <w:tcW w:w="1138" w:type="dxa"/>
            <w:tcBorders>
              <w:top w:val="single" w:sz="6" w:space="0" w:color="auto"/>
              <w:left w:val="single" w:sz="6" w:space="0" w:color="auto"/>
              <w:bottom w:val="single" w:sz="6" w:space="0" w:color="auto"/>
              <w:right w:val="single" w:sz="6" w:space="0" w:color="auto"/>
            </w:tcBorders>
          </w:tcPr>
          <w:p w14:paraId="5329FEC0" w14:textId="77777777" w:rsidR="00DB4BFB" w:rsidRDefault="00DB4BFB">
            <w:pPr>
              <w:pStyle w:val="TAL"/>
            </w:pPr>
            <w:r>
              <w:t>0..1</w:t>
            </w:r>
          </w:p>
        </w:tc>
        <w:tc>
          <w:tcPr>
            <w:tcW w:w="2867" w:type="dxa"/>
            <w:tcBorders>
              <w:top w:val="single" w:sz="6" w:space="0" w:color="auto"/>
              <w:left w:val="single" w:sz="6" w:space="0" w:color="auto"/>
              <w:bottom w:val="single" w:sz="6" w:space="0" w:color="auto"/>
              <w:right w:val="single" w:sz="6" w:space="0" w:color="auto"/>
            </w:tcBorders>
          </w:tcPr>
          <w:p w14:paraId="0D1EE66B" w14:textId="77777777" w:rsidR="00DB4BFB" w:rsidRDefault="00DB4BFB">
            <w:pPr>
              <w:pStyle w:val="TAL"/>
            </w:pPr>
            <w:r>
              <w:t xml:space="preserve">Represents the additional protocol and protocol field for domain names to be matched, it may only be provided when domainNames attribute is present. </w:t>
            </w:r>
          </w:p>
        </w:tc>
        <w:tc>
          <w:tcPr>
            <w:tcW w:w="1851" w:type="dxa"/>
            <w:tcBorders>
              <w:top w:val="single" w:sz="6" w:space="0" w:color="auto"/>
              <w:left w:val="single" w:sz="6" w:space="0" w:color="auto"/>
              <w:bottom w:val="single" w:sz="6" w:space="0" w:color="auto"/>
              <w:right w:val="single" w:sz="6" w:space="0" w:color="auto"/>
            </w:tcBorders>
          </w:tcPr>
          <w:p w14:paraId="757A421A" w14:textId="77777777" w:rsidR="00DB4BFB" w:rsidRDefault="00DB4BFB">
            <w:pPr>
              <w:pStyle w:val="TAL"/>
              <w:rPr>
                <w:rFonts w:cs="Arial"/>
                <w:szCs w:val="18"/>
              </w:rPr>
            </w:pPr>
          </w:p>
        </w:tc>
      </w:tr>
      <w:tr w:rsidR="00DB4BFB" w14:paraId="7F2F5E23" w14:textId="77777777">
        <w:trPr>
          <w:jc w:val="center"/>
        </w:trPr>
        <w:tc>
          <w:tcPr>
            <w:tcW w:w="1757" w:type="dxa"/>
            <w:tcBorders>
              <w:top w:val="single" w:sz="6" w:space="0" w:color="auto"/>
              <w:left w:val="single" w:sz="6" w:space="0" w:color="auto"/>
              <w:bottom w:val="single" w:sz="6" w:space="0" w:color="auto"/>
              <w:right w:val="single" w:sz="6" w:space="0" w:color="auto"/>
            </w:tcBorders>
          </w:tcPr>
          <w:p w14:paraId="2EE221C8" w14:textId="77777777" w:rsidR="00DB4BFB" w:rsidRDefault="00DB4BFB">
            <w:pPr>
              <w:pStyle w:val="TAL"/>
              <w:rPr>
                <w:lang w:eastAsia="zh-CN"/>
              </w:rPr>
            </w:pPr>
            <w:r>
              <w:rPr>
                <w:lang w:eastAsia="zh-CN"/>
              </w:rPr>
              <w:t>pfdConfidence</w:t>
            </w:r>
          </w:p>
        </w:tc>
        <w:tc>
          <w:tcPr>
            <w:tcW w:w="1566" w:type="dxa"/>
            <w:tcBorders>
              <w:top w:val="single" w:sz="6" w:space="0" w:color="auto"/>
              <w:left w:val="single" w:sz="6" w:space="0" w:color="auto"/>
              <w:bottom w:val="single" w:sz="6" w:space="0" w:color="auto"/>
              <w:right w:val="single" w:sz="6" w:space="0" w:color="auto"/>
            </w:tcBorders>
          </w:tcPr>
          <w:p w14:paraId="3436C11C" w14:textId="77777777" w:rsidR="00DB4BFB" w:rsidRDefault="00DB4BFB">
            <w:pPr>
              <w:pStyle w:val="TAL"/>
              <w:rPr>
                <w:lang w:eastAsia="zh-CN"/>
              </w:rPr>
            </w:pPr>
            <w:r>
              <w:rPr>
                <w:lang w:eastAsia="zh-CN"/>
              </w:rPr>
              <w:t>Uinteger</w:t>
            </w:r>
          </w:p>
        </w:tc>
        <w:tc>
          <w:tcPr>
            <w:tcW w:w="427" w:type="dxa"/>
            <w:tcBorders>
              <w:top w:val="single" w:sz="6" w:space="0" w:color="auto"/>
              <w:left w:val="single" w:sz="6" w:space="0" w:color="auto"/>
              <w:bottom w:val="single" w:sz="6" w:space="0" w:color="auto"/>
              <w:right w:val="single" w:sz="6" w:space="0" w:color="auto"/>
            </w:tcBorders>
          </w:tcPr>
          <w:p w14:paraId="339B25A4" w14:textId="77777777" w:rsidR="00DB4BFB" w:rsidRDefault="00DB4BFB">
            <w:pPr>
              <w:pStyle w:val="TAC"/>
              <w:rPr>
                <w:lang w:eastAsia="zh-CN"/>
              </w:rPr>
            </w:pPr>
            <w:r>
              <w:rPr>
                <w:lang w:eastAsia="zh-CN"/>
              </w:rPr>
              <w:t>O</w:t>
            </w:r>
          </w:p>
        </w:tc>
        <w:tc>
          <w:tcPr>
            <w:tcW w:w="1138" w:type="dxa"/>
            <w:tcBorders>
              <w:top w:val="single" w:sz="6" w:space="0" w:color="auto"/>
              <w:left w:val="single" w:sz="6" w:space="0" w:color="auto"/>
              <w:bottom w:val="single" w:sz="6" w:space="0" w:color="auto"/>
              <w:right w:val="single" w:sz="6" w:space="0" w:color="auto"/>
            </w:tcBorders>
          </w:tcPr>
          <w:p w14:paraId="61FFCF94" w14:textId="77777777" w:rsidR="00DB4BFB" w:rsidRDefault="00DB4BFB">
            <w:pPr>
              <w:pStyle w:val="TAL"/>
              <w:rPr>
                <w:rFonts w:cs="Arial"/>
                <w:szCs w:val="18"/>
              </w:rPr>
            </w:pPr>
            <w:r>
              <w:rPr>
                <w:rFonts w:cs="Arial"/>
                <w:szCs w:val="18"/>
              </w:rPr>
              <w:t>0..1</w:t>
            </w:r>
          </w:p>
        </w:tc>
        <w:tc>
          <w:tcPr>
            <w:tcW w:w="2867" w:type="dxa"/>
            <w:tcBorders>
              <w:top w:val="single" w:sz="6" w:space="0" w:color="auto"/>
              <w:left w:val="single" w:sz="6" w:space="0" w:color="auto"/>
              <w:bottom w:val="single" w:sz="6" w:space="0" w:color="auto"/>
              <w:right w:val="single" w:sz="6" w:space="0" w:color="auto"/>
            </w:tcBorders>
          </w:tcPr>
          <w:p w14:paraId="2DCB5A27" w14:textId="77777777" w:rsidR="00DB4BFB" w:rsidRDefault="00DB4BFB">
            <w:pPr>
              <w:pStyle w:val="TAL"/>
            </w:pPr>
            <w:r>
              <w:t>Indicates the confidence on the provided PFD Determination analytics for the known Application identified by the included "appId" attribute.</w:t>
            </w:r>
          </w:p>
          <w:p w14:paraId="6D4E4788" w14:textId="77777777" w:rsidR="00DB4BFB" w:rsidRPr="0076721C" w:rsidRDefault="00DB4BFB">
            <w:pPr>
              <w:pStyle w:val="TAL"/>
            </w:pPr>
            <w:r>
              <w:t>Minimum = 0. Maximum = 100.</w:t>
            </w:r>
          </w:p>
        </w:tc>
        <w:tc>
          <w:tcPr>
            <w:tcW w:w="1851" w:type="dxa"/>
            <w:tcBorders>
              <w:top w:val="single" w:sz="6" w:space="0" w:color="auto"/>
              <w:left w:val="single" w:sz="6" w:space="0" w:color="auto"/>
              <w:bottom w:val="single" w:sz="6" w:space="0" w:color="auto"/>
              <w:right w:val="single" w:sz="6" w:space="0" w:color="auto"/>
            </w:tcBorders>
          </w:tcPr>
          <w:p w14:paraId="6F1B238A" w14:textId="77777777" w:rsidR="00DB4BFB" w:rsidRDefault="00DB4BFB">
            <w:pPr>
              <w:pStyle w:val="TAL"/>
              <w:rPr>
                <w:rFonts w:cs="Arial"/>
                <w:szCs w:val="18"/>
              </w:rPr>
            </w:pPr>
          </w:p>
        </w:tc>
      </w:tr>
      <w:tr w:rsidR="00DB4BFB" w14:paraId="18D29C94" w14:textId="77777777">
        <w:trPr>
          <w:jc w:val="center"/>
        </w:trPr>
        <w:tc>
          <w:tcPr>
            <w:tcW w:w="9606" w:type="dxa"/>
            <w:gridSpan w:val="6"/>
            <w:tcBorders>
              <w:top w:val="single" w:sz="6" w:space="0" w:color="auto"/>
              <w:left w:val="single" w:sz="6" w:space="0" w:color="auto"/>
              <w:bottom w:val="single" w:sz="6" w:space="0" w:color="auto"/>
              <w:right w:val="single" w:sz="6" w:space="0" w:color="auto"/>
            </w:tcBorders>
          </w:tcPr>
          <w:p w14:paraId="573B7267" w14:textId="77777777" w:rsidR="00DB4BFB" w:rsidRDefault="00DB4BFB">
            <w:pPr>
              <w:pStyle w:val="TAN"/>
            </w:pPr>
            <w:r>
              <w:t>NOTE 1:</w:t>
            </w:r>
            <w:r>
              <w:tab/>
            </w:r>
            <w:r w:rsidRPr="00BD21BF">
              <w:t>For providing new suggested PFD information, the NWDAF shall assign a new "</w:t>
            </w:r>
            <w:r>
              <w:t>pfdId</w:t>
            </w:r>
            <w:r w:rsidRPr="00BD21BF">
              <w:t xml:space="preserve">" </w:t>
            </w:r>
            <w:r>
              <w:t xml:space="preserve">value </w:t>
            </w:r>
            <w:r w:rsidRPr="00BD21BF">
              <w:t>that is not yet used for this Application ID.</w:t>
            </w:r>
          </w:p>
          <w:p w14:paraId="1EA0C5D7" w14:textId="77777777" w:rsidR="00DB4BFB" w:rsidRDefault="00DB4BFB">
            <w:pPr>
              <w:pStyle w:val="TAN"/>
            </w:pPr>
            <w:r>
              <w:t>NOTE 2:</w:t>
            </w:r>
            <w:r>
              <w:tab/>
              <w:t>At least one of the "ip3TupleList", "urls", and "domainNames" attributes shall be included. If multiple attributes are included, the PFD is only matched when every attribute contained in the PFD has a matching value.</w:t>
            </w:r>
          </w:p>
        </w:tc>
      </w:tr>
    </w:tbl>
    <w:p w14:paraId="62CD9A94" w14:textId="77777777" w:rsidR="00DB4BFB" w:rsidRDefault="00DB4BFB" w:rsidP="00DB4BFB"/>
    <w:p w14:paraId="04AFFE2E" w14:textId="77777777" w:rsidR="00143F25" w:rsidRDefault="00143F25" w:rsidP="00143F25">
      <w:pPr>
        <w:pStyle w:val="5"/>
      </w:pPr>
      <w:bookmarkStart w:id="8297" w:name="_Toc164920882"/>
      <w:bookmarkStart w:id="8298" w:name="_Toc170120424"/>
      <w:bookmarkStart w:id="8299" w:name="_Toc175858669"/>
      <w:bookmarkStart w:id="8300" w:name="_Toc175859742"/>
      <w:bookmarkStart w:id="8301" w:name="_Toc180606032"/>
      <w:bookmarkStart w:id="8302" w:name="_Toc185517286"/>
      <w:bookmarkStart w:id="8303" w:name="_Toc191576337"/>
      <w:bookmarkStart w:id="8304" w:name="_Toc191577077"/>
      <w:bookmarkStart w:id="8305" w:name="_Toc192880147"/>
      <w:bookmarkStart w:id="8306" w:name="_Toc195815030"/>
      <w:bookmarkStart w:id="8307" w:name="_Toc199452997"/>
      <w:r>
        <w:lastRenderedPageBreak/>
        <w:t>5.1.6.2.108</w:t>
      </w:r>
      <w:r>
        <w:tab/>
        <w:t>Type SignalStormReq</w:t>
      </w:r>
      <w:bookmarkEnd w:id="8302"/>
      <w:bookmarkEnd w:id="8303"/>
      <w:bookmarkEnd w:id="8304"/>
      <w:bookmarkEnd w:id="8305"/>
      <w:bookmarkEnd w:id="8306"/>
      <w:bookmarkEnd w:id="8307"/>
    </w:p>
    <w:p w14:paraId="6EB6D917" w14:textId="77777777" w:rsidR="00143F25" w:rsidRDefault="00143F25" w:rsidP="00143F25">
      <w:pPr>
        <w:pStyle w:val="TH"/>
      </w:pPr>
      <w:r>
        <w:t>Table 5.1.6.2.108-1: Definition of type SignalStormReq</w:t>
      </w:r>
    </w:p>
    <w:tbl>
      <w:tblPr>
        <w:tblW w:w="9576"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516"/>
        <w:gridCol w:w="1752"/>
        <w:gridCol w:w="424"/>
        <w:gridCol w:w="1130"/>
        <w:gridCol w:w="2845"/>
        <w:gridCol w:w="1837"/>
        <w:gridCol w:w="36"/>
      </w:tblGrid>
      <w:tr w:rsidR="00143F25" w14:paraId="4CC4A5C1"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shd w:val="clear" w:color="auto" w:fill="C0C0C0"/>
          </w:tcPr>
          <w:p w14:paraId="77B331E7" w14:textId="77777777" w:rsidR="00143F25" w:rsidRDefault="00143F25" w:rsidP="007D0950">
            <w:pPr>
              <w:pStyle w:val="TAH"/>
              <w:ind w:left="400" w:hanging="400"/>
            </w:pPr>
            <w:r>
              <w:lastRenderedPageBreak/>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308E5026" w14:textId="77777777" w:rsidR="00143F25" w:rsidRDefault="00143F25" w:rsidP="007D095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EA58490" w14:textId="77777777" w:rsidR="00143F25" w:rsidRDefault="00143F25" w:rsidP="007D095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0EDB8273" w14:textId="77777777" w:rsidR="00143F25" w:rsidRDefault="00143F25" w:rsidP="007D095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6282C1A" w14:textId="77777777" w:rsidR="00143F25" w:rsidRDefault="00143F25" w:rsidP="007D095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1E30AF60" w14:textId="77777777" w:rsidR="00143F25" w:rsidRDefault="00143F25" w:rsidP="007D0950">
            <w:pPr>
              <w:pStyle w:val="TAH"/>
              <w:ind w:left="400" w:hanging="400"/>
            </w:pPr>
            <w:r>
              <w:t>Applicability</w:t>
            </w:r>
          </w:p>
        </w:tc>
      </w:tr>
      <w:tr w:rsidR="00183EFC" w14:paraId="3608F383"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17B993" w14:textId="10D8C743" w:rsidR="00183EFC" w:rsidRDefault="00183EFC" w:rsidP="00183EFC">
            <w:pPr>
              <w:pStyle w:val="TAL"/>
              <w:rPr>
                <w:lang w:eastAsia="zh-CN"/>
              </w:rPr>
            </w:pPr>
            <w:r>
              <w:t>tgtNfSetIds</w:t>
            </w:r>
          </w:p>
        </w:tc>
        <w:tc>
          <w:tcPr>
            <w:tcW w:w="1752" w:type="dxa"/>
            <w:tcBorders>
              <w:top w:val="single" w:sz="6" w:space="0" w:color="auto"/>
              <w:left w:val="single" w:sz="6" w:space="0" w:color="auto"/>
              <w:bottom w:val="single" w:sz="6" w:space="0" w:color="auto"/>
              <w:right w:val="single" w:sz="6" w:space="0" w:color="auto"/>
            </w:tcBorders>
          </w:tcPr>
          <w:p w14:paraId="3C371BC9" w14:textId="4BB0B807" w:rsidR="00183EFC" w:rsidRDefault="00183EFC" w:rsidP="00183EFC">
            <w:pPr>
              <w:pStyle w:val="TAL"/>
              <w:rPr>
                <w:lang w:eastAsia="zh-CN"/>
              </w:rPr>
            </w:pPr>
            <w:r>
              <w:t>array(NfSetId)</w:t>
            </w:r>
          </w:p>
        </w:tc>
        <w:tc>
          <w:tcPr>
            <w:tcW w:w="424" w:type="dxa"/>
            <w:tcBorders>
              <w:top w:val="single" w:sz="6" w:space="0" w:color="auto"/>
              <w:left w:val="single" w:sz="6" w:space="0" w:color="auto"/>
              <w:bottom w:val="single" w:sz="6" w:space="0" w:color="auto"/>
              <w:right w:val="single" w:sz="6" w:space="0" w:color="auto"/>
            </w:tcBorders>
          </w:tcPr>
          <w:p w14:paraId="2931D0A0" w14:textId="2CEA4704" w:rsidR="00183EFC" w:rsidRDefault="00183EFC" w:rsidP="00183EFC">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71D6576" w14:textId="201C23EC" w:rsidR="00183EFC" w:rsidRDefault="00183EFC" w:rsidP="00183EFC">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3994B38B" w14:textId="77777777" w:rsidR="00183EFC" w:rsidRDefault="00183EFC" w:rsidP="00183EFC">
            <w:pPr>
              <w:pStyle w:val="TAL"/>
              <w:rPr>
                <w:rFonts w:eastAsia="Malgun Gothic"/>
                <w:lang w:eastAsia="ko-KR"/>
              </w:rPr>
            </w:pPr>
            <w:r>
              <w:t>A</w:t>
            </w:r>
            <w:r w:rsidRPr="009B4D31">
              <w:t xml:space="preserve"> list of </w:t>
            </w:r>
            <w:r>
              <w:t xml:space="preserve">target </w:t>
            </w:r>
            <w:r w:rsidRPr="009B4D31">
              <w:t>NF</w:t>
            </w:r>
            <w:r w:rsidRPr="009B4D31">
              <w:rPr>
                <w:rFonts w:eastAsia="Malgun Gothic"/>
                <w:lang w:eastAsia="ko-KR"/>
              </w:rPr>
              <w:t xml:space="preserve"> </w:t>
            </w:r>
            <w:r>
              <w:rPr>
                <w:rFonts w:eastAsia="Malgun Gothic"/>
                <w:lang w:eastAsia="ko-KR"/>
              </w:rPr>
              <w:t>set</w:t>
            </w:r>
            <w:r w:rsidRPr="009B4D31">
              <w:rPr>
                <w:rFonts w:eastAsia="Malgun Gothic"/>
                <w:lang w:eastAsia="ko-KR"/>
              </w:rPr>
              <w:t xml:space="preserve"> ID(s) which may suffer signalling storm</w:t>
            </w:r>
            <w:r>
              <w:rPr>
                <w:rFonts w:eastAsia="Malgun Gothic"/>
                <w:lang w:eastAsia="ko-KR"/>
              </w:rPr>
              <w:t>.</w:t>
            </w:r>
          </w:p>
          <w:p w14:paraId="147EAAC6" w14:textId="18B8C021" w:rsidR="00183EFC" w:rsidRDefault="00183EFC" w:rsidP="00183EFC">
            <w:pPr>
              <w:pStyle w:val="TAL"/>
              <w:rPr>
                <w:rFonts w:cs="Arial"/>
                <w:szCs w:val="18"/>
                <w:lang w:eastAsia="zh-CN"/>
              </w:rPr>
            </w:pPr>
            <w:r>
              <w:rPr>
                <w:rFonts w:cs="Arial" w:hint="eastAsia"/>
                <w:szCs w:val="18"/>
                <w:lang w:eastAsia="zh-CN"/>
              </w:rPr>
              <w:t>(</w:t>
            </w:r>
            <w:r>
              <w:rPr>
                <w:rFonts w:cs="Arial"/>
                <w:szCs w:val="18"/>
                <w:lang w:eastAsia="zh-CN"/>
              </w:rPr>
              <w:t>NOTE</w:t>
            </w:r>
            <w:r>
              <w:rPr>
                <w:rFonts w:cs="Arial"/>
                <w:szCs w:val="18"/>
                <w:lang w:val="en-US" w:eastAsia="zh-CN"/>
              </w:rPr>
              <w:t> 1</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5A6A2B38" w14:textId="77777777" w:rsidR="00183EFC" w:rsidRDefault="00183EFC" w:rsidP="00183EFC">
            <w:pPr>
              <w:pStyle w:val="TAL"/>
              <w:rPr>
                <w:rFonts w:cs="Arial"/>
                <w:szCs w:val="18"/>
              </w:rPr>
            </w:pPr>
          </w:p>
        </w:tc>
      </w:tr>
      <w:tr w:rsidR="00183EFC" w14:paraId="56BAE69B"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072BF36" w14:textId="67611E3E" w:rsidR="00183EFC" w:rsidRDefault="00183EFC" w:rsidP="00183EFC">
            <w:pPr>
              <w:pStyle w:val="TAL"/>
              <w:rPr>
                <w:lang w:eastAsia="zh-CN"/>
              </w:rPr>
            </w:pPr>
            <w:r>
              <w:t>tgtNfInstanceIds</w:t>
            </w:r>
          </w:p>
        </w:tc>
        <w:tc>
          <w:tcPr>
            <w:tcW w:w="1752" w:type="dxa"/>
            <w:tcBorders>
              <w:top w:val="single" w:sz="6" w:space="0" w:color="auto"/>
              <w:left w:val="single" w:sz="6" w:space="0" w:color="auto"/>
              <w:bottom w:val="single" w:sz="6" w:space="0" w:color="auto"/>
              <w:right w:val="single" w:sz="6" w:space="0" w:color="auto"/>
            </w:tcBorders>
          </w:tcPr>
          <w:p w14:paraId="1D1E2D32" w14:textId="404F300C" w:rsidR="00183EFC" w:rsidRDefault="00183EFC" w:rsidP="00183EFC">
            <w:pPr>
              <w:pStyle w:val="TAL"/>
              <w:rPr>
                <w:lang w:eastAsia="zh-CN"/>
              </w:rPr>
            </w:pPr>
            <w:r>
              <w:t>array(NfInstanceId)</w:t>
            </w:r>
          </w:p>
        </w:tc>
        <w:tc>
          <w:tcPr>
            <w:tcW w:w="424" w:type="dxa"/>
            <w:tcBorders>
              <w:top w:val="single" w:sz="6" w:space="0" w:color="auto"/>
              <w:left w:val="single" w:sz="6" w:space="0" w:color="auto"/>
              <w:bottom w:val="single" w:sz="6" w:space="0" w:color="auto"/>
              <w:right w:val="single" w:sz="6" w:space="0" w:color="auto"/>
            </w:tcBorders>
          </w:tcPr>
          <w:p w14:paraId="29B8A1F2" w14:textId="6103700F" w:rsidR="00183EFC" w:rsidRDefault="00183EFC" w:rsidP="00183EFC">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B297F08" w14:textId="75D78915" w:rsidR="00183EFC" w:rsidRDefault="00183EFC" w:rsidP="00183EFC">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3127534D" w14:textId="77777777" w:rsidR="00183EFC" w:rsidRDefault="00183EFC" w:rsidP="00183EFC">
            <w:pPr>
              <w:pStyle w:val="TAL"/>
              <w:rPr>
                <w:rFonts w:eastAsia="Malgun Gothic"/>
                <w:lang w:eastAsia="ko-KR"/>
              </w:rPr>
            </w:pPr>
            <w:r>
              <w:t>A</w:t>
            </w:r>
            <w:r w:rsidRPr="009B4D31">
              <w:t xml:space="preserve"> list of </w:t>
            </w:r>
            <w:r>
              <w:t xml:space="preserve">target </w:t>
            </w:r>
            <w:r w:rsidRPr="009B4D31">
              <w:t>NF</w:t>
            </w:r>
            <w:r w:rsidRPr="009B4D31">
              <w:rPr>
                <w:rFonts w:eastAsia="Malgun Gothic"/>
                <w:lang w:eastAsia="ko-KR"/>
              </w:rPr>
              <w:t xml:space="preserve"> instance ID(s) which may suffer signalling storm</w:t>
            </w:r>
            <w:r>
              <w:rPr>
                <w:rFonts w:eastAsia="Malgun Gothic"/>
                <w:lang w:eastAsia="ko-KR"/>
              </w:rPr>
              <w:t>.</w:t>
            </w:r>
          </w:p>
          <w:p w14:paraId="49F97FDD" w14:textId="4CB3880A" w:rsidR="00183EFC" w:rsidRDefault="00183EFC" w:rsidP="00183EFC">
            <w:pPr>
              <w:pStyle w:val="TAL"/>
              <w:rPr>
                <w:rFonts w:cs="Arial"/>
                <w:szCs w:val="18"/>
                <w:lang w:eastAsia="zh-CN"/>
              </w:rPr>
            </w:pPr>
            <w:r>
              <w:rPr>
                <w:rFonts w:cs="Arial" w:hint="eastAsia"/>
                <w:szCs w:val="18"/>
                <w:lang w:eastAsia="zh-CN"/>
              </w:rPr>
              <w:t>(</w:t>
            </w:r>
            <w:r>
              <w:rPr>
                <w:rFonts w:cs="Arial"/>
                <w:szCs w:val="18"/>
                <w:lang w:eastAsia="zh-CN"/>
              </w:rPr>
              <w:t>NOTE</w:t>
            </w:r>
            <w:r>
              <w:rPr>
                <w:rFonts w:cs="Arial"/>
                <w:szCs w:val="18"/>
                <w:lang w:val="en-US" w:eastAsia="zh-CN"/>
              </w:rPr>
              <w:t> 1</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03AB1E6D" w14:textId="77777777" w:rsidR="00183EFC" w:rsidRDefault="00183EFC" w:rsidP="00183EFC">
            <w:pPr>
              <w:pStyle w:val="TAL"/>
              <w:rPr>
                <w:rFonts w:cs="Arial"/>
                <w:szCs w:val="18"/>
              </w:rPr>
            </w:pPr>
          </w:p>
        </w:tc>
      </w:tr>
      <w:tr w:rsidR="00A42460" w14:paraId="58124F16"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2DAC30" w14:textId="77777777" w:rsidR="00A42460" w:rsidRDefault="00A42460" w:rsidP="00A42460">
            <w:pPr>
              <w:pStyle w:val="TAL"/>
              <w:rPr>
                <w:lang w:eastAsia="zh-CN"/>
              </w:rPr>
            </w:pPr>
            <w:r>
              <w:t>intGroupIds</w:t>
            </w:r>
          </w:p>
        </w:tc>
        <w:tc>
          <w:tcPr>
            <w:tcW w:w="1752" w:type="dxa"/>
            <w:tcBorders>
              <w:top w:val="single" w:sz="6" w:space="0" w:color="auto"/>
              <w:left w:val="single" w:sz="6" w:space="0" w:color="auto"/>
              <w:bottom w:val="single" w:sz="6" w:space="0" w:color="auto"/>
              <w:right w:val="single" w:sz="6" w:space="0" w:color="auto"/>
            </w:tcBorders>
          </w:tcPr>
          <w:p w14:paraId="02338C27" w14:textId="77777777" w:rsidR="00A42460" w:rsidRDefault="00A42460" w:rsidP="00A42460">
            <w:pPr>
              <w:pStyle w:val="TAL"/>
              <w:rPr>
                <w:lang w:eastAsia="zh-CN"/>
              </w:rPr>
            </w:pPr>
            <w:r>
              <w:t>array(GroupId)</w:t>
            </w:r>
          </w:p>
        </w:tc>
        <w:tc>
          <w:tcPr>
            <w:tcW w:w="424" w:type="dxa"/>
            <w:tcBorders>
              <w:top w:val="single" w:sz="6" w:space="0" w:color="auto"/>
              <w:left w:val="single" w:sz="6" w:space="0" w:color="auto"/>
              <w:bottom w:val="single" w:sz="6" w:space="0" w:color="auto"/>
              <w:right w:val="single" w:sz="6" w:space="0" w:color="auto"/>
            </w:tcBorders>
          </w:tcPr>
          <w:p w14:paraId="0E945810" w14:textId="77777777" w:rsidR="00A42460" w:rsidRDefault="00A42460" w:rsidP="00A424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6C031183" w14:textId="77777777" w:rsidR="00A42460" w:rsidRDefault="00A42460" w:rsidP="00A42460">
            <w:pPr>
              <w:pStyle w:val="TAL"/>
              <w:rPr>
                <w:rFonts w:cs="Arial"/>
                <w:szCs w:val="18"/>
              </w:rPr>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4CC3CC2B" w14:textId="77777777" w:rsidR="00A42460" w:rsidRDefault="00A42460" w:rsidP="00A42460">
            <w:pPr>
              <w:pStyle w:val="TAL"/>
              <w:rPr>
                <w:rFonts w:cs="Arial"/>
                <w:szCs w:val="18"/>
                <w:lang w:eastAsia="zh-CN"/>
              </w:rPr>
            </w:pPr>
            <w:r>
              <w:rPr>
                <w:rFonts w:cs="Arial"/>
                <w:szCs w:val="18"/>
              </w:rPr>
              <w:t>Each element</w:t>
            </w:r>
            <w:r>
              <w:t xml:space="preserve"> represents an internal group identifier of the UEs </w:t>
            </w:r>
            <w:r w:rsidRPr="001B2ACF">
              <w:t xml:space="preserve">which </w:t>
            </w:r>
            <w:r>
              <w:t xml:space="preserve">may </w:t>
            </w:r>
            <w:r w:rsidRPr="001B2ACF">
              <w:t>cause the signalling storm</w:t>
            </w:r>
            <w:r>
              <w:t>.</w:t>
            </w:r>
          </w:p>
        </w:tc>
        <w:tc>
          <w:tcPr>
            <w:tcW w:w="1837" w:type="dxa"/>
            <w:tcBorders>
              <w:top w:val="single" w:sz="6" w:space="0" w:color="auto"/>
              <w:left w:val="single" w:sz="6" w:space="0" w:color="auto"/>
              <w:bottom w:val="single" w:sz="6" w:space="0" w:color="auto"/>
              <w:right w:val="single" w:sz="6" w:space="0" w:color="auto"/>
            </w:tcBorders>
          </w:tcPr>
          <w:p w14:paraId="0E7C77F3" w14:textId="77777777" w:rsidR="00A42460" w:rsidRDefault="00A42460" w:rsidP="00A42460">
            <w:pPr>
              <w:pStyle w:val="TAL"/>
              <w:rPr>
                <w:rFonts w:cs="Arial"/>
                <w:szCs w:val="18"/>
              </w:rPr>
            </w:pPr>
          </w:p>
        </w:tc>
      </w:tr>
      <w:tr w:rsidR="00A42460" w14:paraId="49ADC988"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170E678" w14:textId="77777777" w:rsidR="00A42460" w:rsidRDefault="00A42460" w:rsidP="00A42460">
            <w:pPr>
              <w:pStyle w:val="TAL"/>
              <w:rPr>
                <w:lang w:eastAsia="zh-CN"/>
              </w:rPr>
            </w:pPr>
            <w:r>
              <w:rPr>
                <w:noProof/>
              </w:rPr>
              <w:t>exterGroupIds</w:t>
            </w:r>
          </w:p>
        </w:tc>
        <w:tc>
          <w:tcPr>
            <w:tcW w:w="1752" w:type="dxa"/>
            <w:tcBorders>
              <w:top w:val="single" w:sz="6" w:space="0" w:color="auto"/>
              <w:left w:val="single" w:sz="6" w:space="0" w:color="auto"/>
              <w:bottom w:val="single" w:sz="6" w:space="0" w:color="auto"/>
              <w:right w:val="single" w:sz="6" w:space="0" w:color="auto"/>
            </w:tcBorders>
          </w:tcPr>
          <w:p w14:paraId="73465D83" w14:textId="77777777" w:rsidR="00A42460" w:rsidRDefault="00A42460" w:rsidP="00A42460">
            <w:pPr>
              <w:pStyle w:val="TAL"/>
              <w:rPr>
                <w:lang w:eastAsia="zh-CN"/>
              </w:rPr>
            </w:pPr>
            <w:r>
              <w:t>array(</w:t>
            </w:r>
            <w:r>
              <w:rPr>
                <w:lang w:eastAsia="zh-CN"/>
              </w:rPr>
              <w:t>E</w:t>
            </w:r>
            <w:r>
              <w:rPr>
                <w:rFonts w:hint="eastAsia"/>
                <w:lang w:eastAsia="zh-CN"/>
              </w:rPr>
              <w:t>xternal</w:t>
            </w:r>
            <w:r>
              <w:rPr>
                <w:lang w:eastAsia="zh-CN"/>
              </w:rPr>
              <w:t>GroupId</w:t>
            </w:r>
            <w:r>
              <w:t>)</w:t>
            </w:r>
          </w:p>
        </w:tc>
        <w:tc>
          <w:tcPr>
            <w:tcW w:w="424" w:type="dxa"/>
            <w:tcBorders>
              <w:top w:val="single" w:sz="6" w:space="0" w:color="auto"/>
              <w:left w:val="single" w:sz="6" w:space="0" w:color="auto"/>
              <w:bottom w:val="single" w:sz="6" w:space="0" w:color="auto"/>
              <w:right w:val="single" w:sz="6" w:space="0" w:color="auto"/>
            </w:tcBorders>
          </w:tcPr>
          <w:p w14:paraId="6D7E5536" w14:textId="77777777" w:rsidR="00A42460" w:rsidRDefault="00A42460" w:rsidP="00A424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297E4BE" w14:textId="77777777" w:rsidR="00A42460" w:rsidRDefault="00A42460" w:rsidP="00A42460">
            <w:pPr>
              <w:pStyle w:val="TAL"/>
              <w:rPr>
                <w:rFonts w:cs="Arial"/>
                <w:szCs w:val="18"/>
              </w:rPr>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382F04B2" w14:textId="77777777" w:rsidR="00A42460" w:rsidRDefault="00A42460" w:rsidP="00A42460">
            <w:pPr>
              <w:pStyle w:val="TAL"/>
            </w:pPr>
            <w:r>
              <w:rPr>
                <w:rFonts w:cs="Arial"/>
                <w:szCs w:val="18"/>
              </w:rPr>
              <w:t>Each element</w:t>
            </w:r>
            <w:r>
              <w:t xml:space="preserve"> represents an external group identifier of the UEs </w:t>
            </w:r>
            <w:r w:rsidRPr="001B2ACF">
              <w:t xml:space="preserve">which </w:t>
            </w:r>
            <w:r>
              <w:t xml:space="preserve">may </w:t>
            </w:r>
            <w:r w:rsidRPr="001B2ACF">
              <w:t>cause the signalling storm</w:t>
            </w:r>
            <w:r>
              <w:t>.</w:t>
            </w:r>
          </w:p>
          <w:p w14:paraId="7ED3F8ED" w14:textId="77777777" w:rsidR="00A42460" w:rsidRDefault="00A42460" w:rsidP="00A42460">
            <w:pPr>
              <w:pStyle w:val="TAL"/>
              <w:rPr>
                <w:rFonts w:cs="Arial"/>
                <w:szCs w:val="18"/>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25019B41" w14:textId="77777777" w:rsidR="00A42460" w:rsidRDefault="00A42460" w:rsidP="00A42460">
            <w:pPr>
              <w:pStyle w:val="TAL"/>
              <w:rPr>
                <w:rFonts w:cs="Arial"/>
                <w:szCs w:val="18"/>
              </w:rPr>
            </w:pPr>
          </w:p>
        </w:tc>
      </w:tr>
      <w:tr w:rsidR="00A42460" w14:paraId="4EE7A2D2"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B1933BC" w14:textId="77777777" w:rsidR="00A42460" w:rsidRDefault="00A42460" w:rsidP="00A42460">
            <w:pPr>
              <w:pStyle w:val="TAL"/>
              <w:rPr>
                <w:lang w:eastAsia="zh-CN"/>
              </w:rPr>
            </w:pPr>
            <w:r>
              <w:rPr>
                <w:lang w:eastAsia="zh-CN"/>
              </w:rPr>
              <w:t>supis</w:t>
            </w:r>
          </w:p>
        </w:tc>
        <w:tc>
          <w:tcPr>
            <w:tcW w:w="1752" w:type="dxa"/>
            <w:tcBorders>
              <w:top w:val="single" w:sz="6" w:space="0" w:color="auto"/>
              <w:left w:val="single" w:sz="6" w:space="0" w:color="auto"/>
              <w:bottom w:val="single" w:sz="6" w:space="0" w:color="auto"/>
              <w:right w:val="single" w:sz="6" w:space="0" w:color="auto"/>
            </w:tcBorders>
          </w:tcPr>
          <w:p w14:paraId="00E27829" w14:textId="77777777" w:rsidR="00A42460" w:rsidRDefault="00A42460" w:rsidP="00A42460">
            <w:pPr>
              <w:pStyle w:val="TAL"/>
              <w:rPr>
                <w:lang w:eastAsia="zh-CN"/>
              </w:rPr>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0B286D9A" w14:textId="77777777" w:rsidR="00A42460" w:rsidRDefault="00A42460" w:rsidP="00A42460">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290162F9" w14:textId="77777777" w:rsidR="00A42460" w:rsidRDefault="00A42460" w:rsidP="00A42460">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353EA803" w14:textId="77777777" w:rsidR="00A42460" w:rsidRDefault="00A42460" w:rsidP="00A42460">
            <w:pPr>
              <w:pStyle w:val="TAL"/>
              <w:rPr>
                <w:rFonts w:cs="Arial"/>
                <w:szCs w:val="18"/>
                <w:lang w:eastAsia="zh-CN"/>
              </w:rPr>
            </w:pPr>
            <w:r>
              <w:rPr>
                <w:rFonts w:cs="Arial"/>
                <w:szCs w:val="18"/>
              </w:rPr>
              <w:t>Each element</w:t>
            </w:r>
            <w:r>
              <w:t xml:space="preserve"> </w:t>
            </w:r>
            <w:r>
              <w:rPr>
                <w:rFonts w:cs="Arial"/>
                <w:szCs w:val="18"/>
              </w:rPr>
              <w:t>identifies the UE</w:t>
            </w:r>
            <w:r>
              <w:t xml:space="preserve"> </w:t>
            </w:r>
            <w:r w:rsidRPr="001B2ACF">
              <w:t xml:space="preserve">which </w:t>
            </w:r>
            <w:r>
              <w:t xml:space="preserve">may </w:t>
            </w:r>
            <w:r w:rsidRPr="001B2ACF">
              <w:t>cause the signalling storm</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3FC04A1A" w14:textId="77777777" w:rsidR="00A42460" w:rsidRDefault="00A42460" w:rsidP="00A42460">
            <w:pPr>
              <w:pStyle w:val="TAL"/>
              <w:rPr>
                <w:rFonts w:cs="Arial"/>
                <w:szCs w:val="18"/>
              </w:rPr>
            </w:pPr>
          </w:p>
        </w:tc>
      </w:tr>
      <w:tr w:rsidR="00A42460" w14:paraId="7862ABEE"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75E2C81" w14:textId="77777777" w:rsidR="00A42460" w:rsidRDefault="00A42460" w:rsidP="00A42460">
            <w:pPr>
              <w:pStyle w:val="TAL"/>
              <w:rPr>
                <w:lang w:eastAsia="zh-CN"/>
              </w:rPr>
            </w:pPr>
            <w:r>
              <w:rPr>
                <w:lang w:eastAsia="zh-CN"/>
              </w:rPr>
              <w:t>gpsis</w:t>
            </w:r>
          </w:p>
        </w:tc>
        <w:tc>
          <w:tcPr>
            <w:tcW w:w="1752" w:type="dxa"/>
            <w:tcBorders>
              <w:top w:val="single" w:sz="6" w:space="0" w:color="auto"/>
              <w:left w:val="single" w:sz="6" w:space="0" w:color="auto"/>
              <w:bottom w:val="single" w:sz="6" w:space="0" w:color="auto"/>
              <w:right w:val="single" w:sz="6" w:space="0" w:color="auto"/>
            </w:tcBorders>
          </w:tcPr>
          <w:p w14:paraId="62DE1F03" w14:textId="77777777" w:rsidR="00A42460" w:rsidRDefault="00A42460" w:rsidP="00A42460">
            <w:pPr>
              <w:pStyle w:val="TAL"/>
              <w:rPr>
                <w:lang w:eastAsia="zh-CN"/>
              </w:rPr>
            </w:pPr>
            <w:r>
              <w:rPr>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7E58A13C" w14:textId="77777777" w:rsidR="00A42460" w:rsidRDefault="00A42460" w:rsidP="00A424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92E7143" w14:textId="77777777" w:rsidR="00A42460" w:rsidRDefault="00A42460" w:rsidP="00A42460">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75BBD18E" w14:textId="77777777" w:rsidR="00A42460" w:rsidRDefault="00A42460" w:rsidP="00A42460">
            <w:pPr>
              <w:pStyle w:val="TAL"/>
              <w:rPr>
                <w:rFonts w:cs="Arial"/>
                <w:szCs w:val="18"/>
              </w:rPr>
            </w:pPr>
            <w:r>
              <w:rPr>
                <w:rFonts w:cs="Arial"/>
                <w:szCs w:val="18"/>
              </w:rPr>
              <w:t>Each element</w:t>
            </w:r>
            <w:r>
              <w:t xml:space="preserve"> </w:t>
            </w:r>
            <w:r>
              <w:rPr>
                <w:rFonts w:cs="Arial"/>
                <w:szCs w:val="18"/>
              </w:rPr>
              <w:t>identifies the UE</w:t>
            </w:r>
            <w:r>
              <w:t xml:space="preserve"> </w:t>
            </w:r>
            <w:r w:rsidRPr="001B2ACF">
              <w:t xml:space="preserve">which </w:t>
            </w:r>
            <w:r>
              <w:t xml:space="preserve">may </w:t>
            </w:r>
            <w:r w:rsidRPr="001B2ACF">
              <w:t>cause the signalling storm</w:t>
            </w:r>
            <w:r>
              <w:rPr>
                <w:rFonts w:cs="Arial"/>
                <w:szCs w:val="18"/>
              </w:rPr>
              <w:t>.</w:t>
            </w:r>
          </w:p>
          <w:p w14:paraId="416339F5" w14:textId="77777777" w:rsidR="00A42460" w:rsidRDefault="00A42460" w:rsidP="00A42460">
            <w:pPr>
              <w:pStyle w:val="TAL"/>
              <w:rPr>
                <w:rFonts w:cs="Arial"/>
                <w:szCs w:val="18"/>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16B35222" w14:textId="77777777" w:rsidR="00A42460" w:rsidRDefault="00A42460" w:rsidP="00A42460">
            <w:pPr>
              <w:pStyle w:val="TAL"/>
              <w:rPr>
                <w:rFonts w:cs="Arial"/>
                <w:szCs w:val="18"/>
              </w:rPr>
            </w:pPr>
          </w:p>
        </w:tc>
      </w:tr>
      <w:tr w:rsidR="00991119" w14:paraId="525A4263"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6AB188" w14:textId="77777777" w:rsidR="00991119" w:rsidRDefault="00991119" w:rsidP="00991119">
            <w:pPr>
              <w:pStyle w:val="TAL"/>
              <w:rPr>
                <w:lang w:eastAsia="zh-CN"/>
              </w:rPr>
            </w:pPr>
            <w:r>
              <w:rPr>
                <w:lang w:eastAsia="zh-CN"/>
              </w:rPr>
              <w:t>tgt</w:t>
            </w:r>
            <w:r>
              <w:rPr>
                <w:rFonts w:hint="eastAsia"/>
                <w:lang w:eastAsia="zh-CN"/>
              </w:rPr>
              <w:t>Cause</w:t>
            </w:r>
            <w:r>
              <w:rPr>
                <w:lang w:eastAsia="zh-CN"/>
              </w:rPr>
              <w:t>Ids</w:t>
            </w:r>
          </w:p>
        </w:tc>
        <w:tc>
          <w:tcPr>
            <w:tcW w:w="1752" w:type="dxa"/>
            <w:tcBorders>
              <w:top w:val="single" w:sz="6" w:space="0" w:color="auto"/>
              <w:left w:val="single" w:sz="6" w:space="0" w:color="auto"/>
              <w:bottom w:val="single" w:sz="6" w:space="0" w:color="auto"/>
              <w:right w:val="single" w:sz="6" w:space="0" w:color="auto"/>
            </w:tcBorders>
          </w:tcPr>
          <w:p w14:paraId="2429BA26" w14:textId="77777777" w:rsidR="00991119" w:rsidRDefault="00991119" w:rsidP="00991119">
            <w:pPr>
              <w:pStyle w:val="TAL"/>
              <w:rPr>
                <w:lang w:eastAsia="zh-CN"/>
              </w:rPr>
            </w:pPr>
            <w:r>
              <w:rPr>
                <w:lang w:eastAsia="zh-CN"/>
              </w:rPr>
              <w:t>array(Target</w:t>
            </w:r>
            <w:r>
              <w:rPr>
                <w:rFonts w:hint="eastAsia"/>
                <w:lang w:eastAsia="zh-CN"/>
              </w:rPr>
              <w:t>Cause</w:t>
            </w:r>
            <w:r>
              <w:t>Id</w:t>
            </w:r>
            <w:r>
              <w:rPr>
                <w:lang w:eastAsia="zh-CN"/>
              </w:rPr>
              <w:t>)</w:t>
            </w:r>
          </w:p>
        </w:tc>
        <w:tc>
          <w:tcPr>
            <w:tcW w:w="424" w:type="dxa"/>
            <w:tcBorders>
              <w:top w:val="single" w:sz="6" w:space="0" w:color="auto"/>
              <w:left w:val="single" w:sz="6" w:space="0" w:color="auto"/>
              <w:bottom w:val="single" w:sz="6" w:space="0" w:color="auto"/>
              <w:right w:val="single" w:sz="6" w:space="0" w:color="auto"/>
            </w:tcBorders>
          </w:tcPr>
          <w:p w14:paraId="6FD71480" w14:textId="77777777" w:rsidR="00991119" w:rsidRDefault="00991119" w:rsidP="00991119">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93A6465" w14:textId="77777777" w:rsidR="00991119" w:rsidRDefault="00991119" w:rsidP="00991119">
            <w:pPr>
              <w:pStyle w:val="TAL"/>
              <w:rPr>
                <w:lang w:eastAsia="zh-CN"/>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402A2DC4" w14:textId="77777777" w:rsidR="00991119" w:rsidRDefault="00991119" w:rsidP="00991119">
            <w:pPr>
              <w:pStyle w:val="TAL"/>
              <w:rPr>
                <w:rFonts w:cs="Arial"/>
                <w:szCs w:val="18"/>
                <w:lang w:eastAsia="zh-CN"/>
              </w:rPr>
            </w:pPr>
            <w:r>
              <w:rPr>
                <w:rFonts w:cs="Arial"/>
                <w:szCs w:val="18"/>
                <w:lang w:eastAsia="zh-CN"/>
              </w:rPr>
              <w:t>Indicates the</w:t>
            </w:r>
            <w:r>
              <w:t xml:space="preserve"> </w:t>
            </w:r>
            <w:r>
              <w:rPr>
                <w:rFonts w:cs="Arial"/>
                <w:szCs w:val="18"/>
                <w:lang w:eastAsia="zh-CN"/>
              </w:rPr>
              <w:t xml:space="preserve">target </w:t>
            </w:r>
            <w:r>
              <w:rPr>
                <w:rFonts w:hint="eastAsia"/>
                <w:lang w:eastAsia="zh-CN"/>
              </w:rPr>
              <w:t>cause</w:t>
            </w:r>
            <w:r>
              <w:rPr>
                <w:rFonts w:hint="eastAsia"/>
                <w:lang w:eastAsia="ko-KR"/>
              </w:rPr>
              <w:t xml:space="preserve"> ID(s)</w:t>
            </w:r>
            <w:r>
              <w:rPr>
                <w:lang w:eastAsia="ko-KR"/>
              </w:rPr>
              <w:t>.</w:t>
            </w:r>
          </w:p>
        </w:tc>
        <w:tc>
          <w:tcPr>
            <w:tcW w:w="1837" w:type="dxa"/>
            <w:tcBorders>
              <w:top w:val="single" w:sz="6" w:space="0" w:color="auto"/>
              <w:left w:val="single" w:sz="6" w:space="0" w:color="auto"/>
              <w:bottom w:val="single" w:sz="6" w:space="0" w:color="auto"/>
              <w:right w:val="single" w:sz="6" w:space="0" w:color="auto"/>
            </w:tcBorders>
          </w:tcPr>
          <w:p w14:paraId="2D2A7F16" w14:textId="77777777" w:rsidR="00991119" w:rsidRDefault="00991119" w:rsidP="00991119">
            <w:pPr>
              <w:pStyle w:val="TAL"/>
              <w:rPr>
                <w:rFonts w:cs="Arial"/>
                <w:szCs w:val="18"/>
              </w:rPr>
            </w:pPr>
          </w:p>
        </w:tc>
      </w:tr>
      <w:tr w:rsidR="00143F25" w14:paraId="0ACAC492"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B1B02C" w14:textId="77777777" w:rsidR="00143F25" w:rsidRDefault="00143F25" w:rsidP="007D0950">
            <w:pPr>
              <w:pStyle w:val="TAL"/>
              <w:rPr>
                <w:lang w:eastAsia="zh-CN"/>
              </w:rPr>
            </w:pPr>
            <w:r>
              <w:rPr>
                <w:lang w:eastAsia="zh-CN"/>
              </w:rPr>
              <w:t>thrPeriod</w:t>
            </w:r>
          </w:p>
        </w:tc>
        <w:tc>
          <w:tcPr>
            <w:tcW w:w="1752" w:type="dxa"/>
            <w:tcBorders>
              <w:top w:val="single" w:sz="6" w:space="0" w:color="auto"/>
              <w:left w:val="single" w:sz="6" w:space="0" w:color="auto"/>
              <w:bottom w:val="single" w:sz="6" w:space="0" w:color="auto"/>
              <w:right w:val="single" w:sz="6" w:space="0" w:color="auto"/>
            </w:tcBorders>
          </w:tcPr>
          <w:p w14:paraId="1AC06A85" w14:textId="77777777" w:rsidR="00143F25" w:rsidRDefault="00143F25" w:rsidP="007D0950">
            <w:pPr>
              <w:pStyle w:val="TAL"/>
              <w:rPr>
                <w:lang w:eastAsia="zh-CN"/>
              </w:rPr>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62C31E65" w14:textId="77777777" w:rsidR="00143F25" w:rsidRDefault="00143F25" w:rsidP="007D095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271FDBA" w14:textId="77777777" w:rsidR="00143F25" w:rsidRDefault="00143F25" w:rsidP="007D0950">
            <w:pPr>
              <w:pStyle w:val="TAL"/>
              <w:rPr>
                <w:rFonts w:cs="Arial"/>
                <w:szCs w:val="18"/>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1A1FBE23" w14:textId="77777777" w:rsidR="00143F25" w:rsidRDefault="00143F25" w:rsidP="007D0950">
            <w:pPr>
              <w:pStyle w:val="TAL"/>
              <w:rPr>
                <w:rFonts w:cs="Arial"/>
                <w:szCs w:val="18"/>
                <w:lang w:eastAsia="zh-CN"/>
              </w:rPr>
            </w:pPr>
            <w:r>
              <w:rPr>
                <w:rFonts w:cs="Arial"/>
                <w:szCs w:val="18"/>
                <w:lang w:eastAsia="zh-CN"/>
              </w:rPr>
              <w:t xml:space="preserve">Indicates the time period for the frequency threshold(s) to be counted within the time period scope. </w:t>
            </w:r>
          </w:p>
          <w:p w14:paraId="4ECDF80A" w14:textId="77777777" w:rsidR="00143F25" w:rsidRDefault="00143F25" w:rsidP="007D0950">
            <w:pPr>
              <w:pStyle w:val="TAL"/>
              <w:rPr>
                <w:rFonts w:cs="Arial"/>
                <w:szCs w:val="18"/>
                <w:lang w:eastAsia="zh-CN"/>
              </w:rPr>
            </w:pPr>
            <w:r>
              <w:rPr>
                <w:rFonts w:cs="Arial"/>
                <w:szCs w:val="18"/>
                <w:lang w:eastAsia="zh-CN"/>
              </w:rPr>
              <w:t>Default value is per second if this attribute is not provided.</w:t>
            </w:r>
          </w:p>
        </w:tc>
        <w:tc>
          <w:tcPr>
            <w:tcW w:w="1837" w:type="dxa"/>
            <w:tcBorders>
              <w:top w:val="single" w:sz="6" w:space="0" w:color="auto"/>
              <w:left w:val="single" w:sz="6" w:space="0" w:color="auto"/>
              <w:bottom w:val="single" w:sz="6" w:space="0" w:color="auto"/>
              <w:right w:val="single" w:sz="6" w:space="0" w:color="auto"/>
            </w:tcBorders>
          </w:tcPr>
          <w:p w14:paraId="4EB181BB" w14:textId="77777777" w:rsidR="00143F25" w:rsidRDefault="00143F25" w:rsidP="007D0950">
            <w:pPr>
              <w:pStyle w:val="TAL"/>
              <w:rPr>
                <w:rFonts w:cs="Arial"/>
                <w:szCs w:val="18"/>
              </w:rPr>
            </w:pPr>
          </w:p>
        </w:tc>
      </w:tr>
      <w:tr w:rsidR="00143F25" w14:paraId="2B7F22CD"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FE3BC27" w14:textId="77777777" w:rsidR="00143F25" w:rsidRDefault="00143F25" w:rsidP="007D0950">
            <w:pPr>
              <w:pStyle w:val="TAL"/>
              <w:rPr>
                <w:lang w:eastAsia="zh-CN"/>
              </w:rPr>
            </w:pPr>
            <w:r>
              <w:rPr>
                <w:lang w:eastAsia="zh-CN"/>
              </w:rPr>
              <w:t>sigFreqThr</w:t>
            </w:r>
          </w:p>
        </w:tc>
        <w:tc>
          <w:tcPr>
            <w:tcW w:w="1752" w:type="dxa"/>
            <w:tcBorders>
              <w:top w:val="single" w:sz="6" w:space="0" w:color="auto"/>
              <w:left w:val="single" w:sz="6" w:space="0" w:color="auto"/>
              <w:bottom w:val="single" w:sz="6" w:space="0" w:color="auto"/>
              <w:right w:val="single" w:sz="6" w:space="0" w:color="auto"/>
            </w:tcBorders>
          </w:tcPr>
          <w:p w14:paraId="7EB5F6F6"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25D0308F"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EE394B9" w14:textId="77777777" w:rsidR="00143F25" w:rsidRDefault="00143F25" w:rsidP="007D0950">
            <w:pPr>
              <w:pStyle w:val="TAL"/>
              <w:rPr>
                <w:lang w:eastAsia="zh-CN"/>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3BCD4E94" w14:textId="77777777" w:rsidR="00143F25" w:rsidRDefault="00143F25" w:rsidP="007D0950">
            <w:pPr>
              <w:pStyle w:val="TAL"/>
            </w:pPr>
            <w:r>
              <w:rPr>
                <w:rFonts w:eastAsia="等线" w:hint="eastAsia"/>
                <w:lang w:eastAsia="zh-CN"/>
              </w:rPr>
              <w:t>I</w:t>
            </w:r>
            <w:r>
              <w:rPr>
                <w:rFonts w:eastAsia="等线"/>
                <w:lang w:eastAsia="zh-CN"/>
              </w:rPr>
              <w:t xml:space="preserve">ndicates the </w:t>
            </w:r>
            <w:r>
              <w:t>s</w:t>
            </w:r>
            <w:r w:rsidRPr="001B2ACF">
              <w:t>ignalling frequency threshold</w:t>
            </w:r>
            <w:r>
              <w:t>, i.e., the</w:t>
            </w:r>
            <w:r>
              <w:rPr>
                <w:rFonts w:cs="Arial"/>
                <w:szCs w:val="18"/>
                <w:lang w:eastAsia="zh-CN"/>
              </w:rPr>
              <w:t xml:space="preserve"> </w:t>
            </w:r>
            <w:r>
              <w:rPr>
                <w:rFonts w:eastAsia="等线"/>
                <w:lang w:eastAsia="zh-CN"/>
              </w:rPr>
              <w:t xml:space="preserve">number of </w:t>
            </w:r>
            <w:r w:rsidRPr="001B2ACF">
              <w:t>received</w:t>
            </w:r>
            <w:r>
              <w:t xml:space="preserve"> </w:t>
            </w:r>
            <w:r w:rsidRPr="001B2ACF">
              <w:t xml:space="preserve">signalling </w:t>
            </w:r>
            <w:r>
              <w:t xml:space="preserve">within the time period provided in the </w:t>
            </w:r>
            <w:r w:rsidRPr="00C900BE">
              <w:t>"</w:t>
            </w:r>
            <w:r>
              <w:t>thrPeriod</w:t>
            </w:r>
            <w:r w:rsidRPr="00C900BE">
              <w:t>"</w:t>
            </w:r>
            <w:r>
              <w:t xml:space="preserve"> attribute.</w:t>
            </w:r>
          </w:p>
          <w:p w14:paraId="4E4C67A5" w14:textId="77777777" w:rsidR="00143F25" w:rsidRDefault="00143F25" w:rsidP="007D0950">
            <w:pPr>
              <w:pStyle w:val="TAL"/>
            </w:pPr>
          </w:p>
          <w:p w14:paraId="643103A6" w14:textId="77777777" w:rsidR="00143F25" w:rsidRPr="0076721C" w:rsidRDefault="00143F25" w:rsidP="007D0950">
            <w:pPr>
              <w:pStyle w:val="TAL"/>
              <w:rPr>
                <w:rFonts w:eastAsia="等线"/>
                <w:lang w:eastAsia="zh-CN"/>
              </w:rPr>
            </w:pPr>
            <w:r w:rsidRPr="00224688">
              <w:rPr>
                <w:rFonts w:eastAsia="等线"/>
                <w:lang w:eastAsia="zh-CN"/>
              </w:rPr>
              <w:t xml:space="preserve">If the number of </w:t>
            </w:r>
            <w:r>
              <w:t>s</w:t>
            </w:r>
            <w:r w:rsidRPr="001B2ACF">
              <w:t xml:space="preserve">ignalling </w:t>
            </w:r>
            <w:r w:rsidRPr="00224688">
              <w:rPr>
                <w:rFonts w:eastAsia="等线"/>
                <w:lang w:eastAsia="zh-CN"/>
              </w:rPr>
              <w:t>is higher than the value of this attribute</w:t>
            </w:r>
            <w:r>
              <w:rPr>
                <w:rFonts w:eastAsia="等线" w:hint="eastAsia"/>
                <w:lang w:eastAsia="zh-CN"/>
              </w:rPr>
              <w:t>,</w:t>
            </w:r>
            <w:r w:rsidRPr="00224688">
              <w:rPr>
                <w:rFonts w:eastAsia="等线"/>
                <w:lang w:eastAsia="zh-CN"/>
              </w:rPr>
              <w:t xml:space="preserve"> then the NWDAF </w:t>
            </w:r>
            <w:r>
              <w:rPr>
                <w:rFonts w:eastAsia="等线"/>
                <w:lang w:eastAsia="zh-CN"/>
              </w:rPr>
              <w:t xml:space="preserve">will provide the </w:t>
            </w:r>
            <w:r>
              <w:t>signalling storm analytics</w:t>
            </w:r>
            <w:r>
              <w:rPr>
                <w:rFonts w:eastAsia="等线"/>
                <w:lang w:eastAsia="zh-CN"/>
              </w:rPr>
              <w:t>.</w:t>
            </w:r>
          </w:p>
        </w:tc>
        <w:tc>
          <w:tcPr>
            <w:tcW w:w="1837" w:type="dxa"/>
            <w:tcBorders>
              <w:top w:val="single" w:sz="6" w:space="0" w:color="auto"/>
              <w:left w:val="single" w:sz="6" w:space="0" w:color="auto"/>
              <w:bottom w:val="single" w:sz="6" w:space="0" w:color="auto"/>
              <w:right w:val="single" w:sz="6" w:space="0" w:color="auto"/>
            </w:tcBorders>
          </w:tcPr>
          <w:p w14:paraId="4765E7EC" w14:textId="77777777" w:rsidR="00143F25" w:rsidRDefault="00143F25" w:rsidP="007D0950">
            <w:pPr>
              <w:pStyle w:val="TAL"/>
              <w:rPr>
                <w:rFonts w:cs="Arial"/>
                <w:szCs w:val="18"/>
              </w:rPr>
            </w:pPr>
          </w:p>
        </w:tc>
      </w:tr>
      <w:tr w:rsidR="00143F25" w14:paraId="061F929F"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766D2B0" w14:textId="77777777" w:rsidR="00143F25" w:rsidRDefault="00143F25" w:rsidP="007D0950">
            <w:pPr>
              <w:pStyle w:val="TAL"/>
              <w:rPr>
                <w:lang w:eastAsia="zh-CN"/>
              </w:rPr>
            </w:pPr>
            <w:r>
              <w:rPr>
                <w:rFonts w:hint="eastAsia"/>
                <w:lang w:eastAsia="zh-CN"/>
              </w:rPr>
              <w:t>u</w:t>
            </w:r>
            <w:r>
              <w:rPr>
                <w:lang w:eastAsia="zh-CN"/>
              </w:rPr>
              <w:t>eReqThr</w:t>
            </w:r>
          </w:p>
        </w:tc>
        <w:tc>
          <w:tcPr>
            <w:tcW w:w="1752" w:type="dxa"/>
            <w:tcBorders>
              <w:top w:val="single" w:sz="6" w:space="0" w:color="auto"/>
              <w:left w:val="single" w:sz="6" w:space="0" w:color="auto"/>
              <w:bottom w:val="single" w:sz="6" w:space="0" w:color="auto"/>
              <w:right w:val="single" w:sz="6" w:space="0" w:color="auto"/>
            </w:tcBorders>
          </w:tcPr>
          <w:p w14:paraId="4EAD76F7" w14:textId="77777777" w:rsidR="00143F25" w:rsidRDefault="00143F25" w:rsidP="007D0950">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6FB9B114" w14:textId="77777777" w:rsidR="00143F25" w:rsidRDefault="00143F25" w:rsidP="007D095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41CB33D1" w14:textId="77777777" w:rsidR="00143F25" w:rsidRDefault="00143F25" w:rsidP="007D0950">
            <w:pPr>
              <w:pStyle w:val="TAL"/>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2B8FB3F7" w14:textId="77777777" w:rsidR="00143F25" w:rsidRDefault="00143F25" w:rsidP="007D0950">
            <w:pPr>
              <w:pStyle w:val="TAL"/>
              <w:rPr>
                <w:lang w:eastAsia="zh-CN"/>
              </w:rPr>
            </w:pPr>
            <w:r>
              <w:rPr>
                <w:rFonts w:eastAsia="等线" w:hint="eastAsia"/>
                <w:lang w:eastAsia="zh-CN"/>
              </w:rPr>
              <w:t>I</w:t>
            </w:r>
            <w:r>
              <w:rPr>
                <w:rFonts w:eastAsia="等线"/>
                <w:lang w:eastAsia="zh-CN"/>
              </w:rPr>
              <w:t>ndicates the</w:t>
            </w:r>
            <w:r w:rsidRPr="001B2ACF">
              <w:t xml:space="preserve"> </w:t>
            </w:r>
            <w:r>
              <w:t>f</w:t>
            </w:r>
            <w:r w:rsidRPr="001B2ACF">
              <w:t>requency threshold</w:t>
            </w:r>
            <w:r>
              <w:t xml:space="preserve"> of</w:t>
            </w:r>
            <w:r w:rsidRPr="001B2ACF">
              <w:t xml:space="preserve"> UE requests</w:t>
            </w:r>
            <w:r>
              <w:t>, i.e. the</w:t>
            </w:r>
            <w:r>
              <w:rPr>
                <w:rFonts w:eastAsia="等线"/>
                <w:lang w:eastAsia="zh-CN"/>
              </w:rPr>
              <w:t xml:space="preserve"> number of </w:t>
            </w:r>
            <w:r w:rsidRPr="001B2ACF">
              <w:t xml:space="preserve">request messages </w:t>
            </w:r>
            <w:r>
              <w:t xml:space="preserve">received from the UE </w:t>
            </w:r>
            <w:r w:rsidRPr="00C900BE">
              <w:t>within the time period provided in the "thrPeriod" attribute</w:t>
            </w:r>
            <w:r>
              <w:rPr>
                <w:rFonts w:hint="eastAsia"/>
                <w:lang w:eastAsia="zh-CN"/>
              </w:rPr>
              <w:t>.</w:t>
            </w:r>
          </w:p>
          <w:p w14:paraId="42F7D8CE" w14:textId="77777777" w:rsidR="00143F25" w:rsidRDefault="00143F25" w:rsidP="007D0950">
            <w:pPr>
              <w:pStyle w:val="TAL"/>
              <w:rPr>
                <w:lang w:eastAsia="zh-CN"/>
              </w:rPr>
            </w:pPr>
          </w:p>
          <w:p w14:paraId="39453B04" w14:textId="77777777" w:rsidR="00143F25" w:rsidRDefault="00143F25" w:rsidP="007D0950">
            <w:pPr>
              <w:pStyle w:val="TAL"/>
              <w:rPr>
                <w:lang w:eastAsia="zh-CN"/>
              </w:rPr>
            </w:pPr>
            <w:r w:rsidRPr="00224688">
              <w:rPr>
                <w:rFonts w:eastAsia="等线"/>
                <w:lang w:eastAsia="zh-CN"/>
              </w:rPr>
              <w:t xml:space="preserve">If the number of </w:t>
            </w:r>
            <w:r w:rsidRPr="001B2ACF">
              <w:t>UE requests</w:t>
            </w:r>
            <w:r w:rsidRPr="00224688">
              <w:rPr>
                <w:rFonts w:eastAsia="等线"/>
                <w:lang w:eastAsia="zh-CN"/>
              </w:rPr>
              <w:t xml:space="preserve"> is higher than the value of this attribute</w:t>
            </w:r>
            <w:r>
              <w:rPr>
                <w:rFonts w:eastAsia="等线" w:hint="eastAsia"/>
                <w:lang w:eastAsia="zh-CN"/>
              </w:rPr>
              <w:t>,</w:t>
            </w:r>
            <w:r w:rsidRPr="00224688">
              <w:rPr>
                <w:rFonts w:eastAsia="等线"/>
                <w:lang w:eastAsia="zh-CN"/>
              </w:rPr>
              <w:t xml:space="preserve"> then the NWDAF </w:t>
            </w:r>
            <w:r>
              <w:rPr>
                <w:rFonts w:eastAsia="等线"/>
                <w:lang w:eastAsia="zh-CN"/>
              </w:rPr>
              <w:t xml:space="preserve">will provide the </w:t>
            </w:r>
            <w:r>
              <w:t>signalling storm analytics</w:t>
            </w:r>
            <w:r>
              <w:rPr>
                <w:rFonts w:eastAsia="等线"/>
                <w:lang w:eastAsia="zh-CN"/>
              </w:rPr>
              <w:t>.</w:t>
            </w:r>
          </w:p>
        </w:tc>
        <w:tc>
          <w:tcPr>
            <w:tcW w:w="1837" w:type="dxa"/>
            <w:tcBorders>
              <w:top w:val="single" w:sz="6" w:space="0" w:color="auto"/>
              <w:left w:val="single" w:sz="6" w:space="0" w:color="auto"/>
              <w:bottom w:val="single" w:sz="6" w:space="0" w:color="auto"/>
              <w:right w:val="single" w:sz="6" w:space="0" w:color="auto"/>
            </w:tcBorders>
          </w:tcPr>
          <w:p w14:paraId="2FF5DCAD" w14:textId="77777777" w:rsidR="00143F25" w:rsidRDefault="00143F25" w:rsidP="007D0950">
            <w:pPr>
              <w:pStyle w:val="TAL"/>
              <w:rPr>
                <w:rFonts w:cs="Arial"/>
                <w:szCs w:val="18"/>
              </w:rPr>
            </w:pPr>
          </w:p>
        </w:tc>
      </w:tr>
      <w:tr w:rsidR="00143F25" w14:paraId="725FD98A" w14:textId="77777777" w:rsidTr="00183EFC">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44892F7" w14:textId="77777777" w:rsidR="00143F25" w:rsidRDefault="00143F25" w:rsidP="007D0950">
            <w:pPr>
              <w:pStyle w:val="TAL"/>
              <w:rPr>
                <w:lang w:eastAsia="zh-CN"/>
              </w:rPr>
            </w:pPr>
            <w:r>
              <w:rPr>
                <w:rFonts w:hint="eastAsia"/>
                <w:lang w:eastAsia="zh-CN"/>
              </w:rPr>
              <w:t>u</w:t>
            </w:r>
            <w:r>
              <w:rPr>
                <w:lang w:eastAsia="zh-CN"/>
              </w:rPr>
              <w:t>eNumThr</w:t>
            </w:r>
          </w:p>
        </w:tc>
        <w:tc>
          <w:tcPr>
            <w:tcW w:w="1752" w:type="dxa"/>
            <w:tcBorders>
              <w:top w:val="single" w:sz="6" w:space="0" w:color="auto"/>
              <w:left w:val="single" w:sz="6" w:space="0" w:color="auto"/>
              <w:bottom w:val="single" w:sz="6" w:space="0" w:color="auto"/>
              <w:right w:val="single" w:sz="6" w:space="0" w:color="auto"/>
            </w:tcBorders>
          </w:tcPr>
          <w:p w14:paraId="6F3ABFDB" w14:textId="77777777" w:rsidR="00143F25" w:rsidRDefault="00143F25" w:rsidP="007D0950">
            <w:pPr>
              <w:pStyle w:val="TAL"/>
            </w:pPr>
            <w:r>
              <w:t>Uinteger</w:t>
            </w:r>
          </w:p>
        </w:tc>
        <w:tc>
          <w:tcPr>
            <w:tcW w:w="424" w:type="dxa"/>
            <w:tcBorders>
              <w:top w:val="single" w:sz="6" w:space="0" w:color="auto"/>
              <w:left w:val="single" w:sz="6" w:space="0" w:color="auto"/>
              <w:bottom w:val="single" w:sz="6" w:space="0" w:color="auto"/>
              <w:right w:val="single" w:sz="6" w:space="0" w:color="auto"/>
            </w:tcBorders>
          </w:tcPr>
          <w:p w14:paraId="3BDF2241" w14:textId="77777777" w:rsidR="00143F25" w:rsidRDefault="00143F25" w:rsidP="007D095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7A31EE74" w14:textId="77777777" w:rsidR="00143F25" w:rsidRDefault="00143F25" w:rsidP="007D0950">
            <w:pPr>
              <w:pStyle w:val="TAL"/>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6895C5FC" w14:textId="77777777" w:rsidR="00143F25" w:rsidRDefault="00143F25" w:rsidP="007D0950">
            <w:pPr>
              <w:pStyle w:val="TAL"/>
              <w:rPr>
                <w:lang w:eastAsia="zh-CN"/>
              </w:rPr>
            </w:pPr>
            <w:r>
              <w:rPr>
                <w:rFonts w:eastAsia="等线" w:hint="eastAsia"/>
                <w:lang w:eastAsia="zh-CN"/>
              </w:rPr>
              <w:t>I</w:t>
            </w:r>
            <w:r>
              <w:rPr>
                <w:rFonts w:eastAsia="等线"/>
                <w:lang w:eastAsia="zh-CN"/>
              </w:rPr>
              <w:t xml:space="preserve">ndicates the number of UEs that exceeds the </w:t>
            </w:r>
            <w:r>
              <w:t>f</w:t>
            </w:r>
            <w:r w:rsidRPr="001B2ACF">
              <w:t>requency threshold</w:t>
            </w:r>
            <w:r>
              <w:t xml:space="preserve"> of</w:t>
            </w:r>
            <w:r w:rsidRPr="001B2ACF">
              <w:t xml:space="preserve"> UE requests</w:t>
            </w:r>
            <w:r>
              <w:rPr>
                <w:rFonts w:eastAsia="等线"/>
                <w:lang w:eastAsia="zh-CN"/>
              </w:rPr>
              <w:t xml:space="preserve"> indicated by the </w:t>
            </w:r>
            <w:r w:rsidRPr="008558A9">
              <w:t>"</w:t>
            </w:r>
            <w:r>
              <w:rPr>
                <w:rFonts w:hint="eastAsia"/>
                <w:lang w:eastAsia="zh-CN"/>
              </w:rPr>
              <w:t>u</w:t>
            </w:r>
            <w:r>
              <w:rPr>
                <w:lang w:eastAsia="zh-CN"/>
              </w:rPr>
              <w:t>eReqThr</w:t>
            </w:r>
            <w:r w:rsidRPr="008558A9">
              <w:t>"</w:t>
            </w:r>
            <w:r>
              <w:rPr>
                <w:lang w:eastAsia="zh-CN"/>
              </w:rPr>
              <w:t xml:space="preserve"> attribute</w:t>
            </w:r>
            <w:r>
              <w:t xml:space="preserve"> </w:t>
            </w:r>
            <w:r w:rsidRPr="00C900BE">
              <w:rPr>
                <w:lang w:eastAsia="zh-CN"/>
              </w:rPr>
              <w:t>within the time period provided in the "thrPeriod" attribute</w:t>
            </w:r>
            <w:r>
              <w:rPr>
                <w:lang w:eastAsia="zh-CN"/>
              </w:rPr>
              <w:t>.</w:t>
            </w:r>
          </w:p>
          <w:p w14:paraId="54D93979" w14:textId="77777777" w:rsidR="00143F25" w:rsidRDefault="00143F25" w:rsidP="007D0950">
            <w:pPr>
              <w:pStyle w:val="TAL"/>
              <w:rPr>
                <w:lang w:eastAsia="zh-CN"/>
              </w:rPr>
            </w:pPr>
          </w:p>
          <w:p w14:paraId="2C7ECA7F" w14:textId="77777777" w:rsidR="00143F25" w:rsidRDefault="00143F25" w:rsidP="007D0950">
            <w:pPr>
              <w:pStyle w:val="TAL"/>
              <w:rPr>
                <w:lang w:eastAsia="zh-CN"/>
              </w:rPr>
            </w:pPr>
            <w:r w:rsidRPr="00224688">
              <w:rPr>
                <w:rFonts w:eastAsia="等线"/>
                <w:lang w:eastAsia="zh-CN"/>
              </w:rPr>
              <w:t xml:space="preserve">If the number of </w:t>
            </w:r>
            <w:r w:rsidRPr="001B2ACF">
              <w:t xml:space="preserve">UE </w:t>
            </w:r>
            <w:r>
              <w:rPr>
                <w:rFonts w:eastAsia="等线"/>
                <w:lang w:eastAsia="zh-CN"/>
              </w:rPr>
              <w:t xml:space="preserve">that exceeds the </w:t>
            </w:r>
            <w:r>
              <w:t>f</w:t>
            </w:r>
            <w:r w:rsidRPr="001B2ACF">
              <w:t>requency threshold</w:t>
            </w:r>
            <w:r>
              <w:t xml:space="preserve"> of</w:t>
            </w:r>
            <w:r w:rsidRPr="001B2ACF">
              <w:t xml:space="preserve"> UE requests</w:t>
            </w:r>
            <w:r w:rsidRPr="00224688">
              <w:rPr>
                <w:rFonts w:eastAsia="等线"/>
                <w:lang w:eastAsia="zh-CN"/>
              </w:rPr>
              <w:t xml:space="preserve"> is higher than the value of this attribute</w:t>
            </w:r>
            <w:r>
              <w:rPr>
                <w:rFonts w:eastAsia="等线" w:hint="eastAsia"/>
                <w:lang w:eastAsia="zh-CN"/>
              </w:rPr>
              <w:t>,</w:t>
            </w:r>
            <w:r w:rsidRPr="00224688">
              <w:rPr>
                <w:rFonts w:eastAsia="等线"/>
                <w:lang w:eastAsia="zh-CN"/>
              </w:rPr>
              <w:t xml:space="preserve"> then the NWDAF </w:t>
            </w:r>
            <w:r>
              <w:rPr>
                <w:rFonts w:eastAsia="等线"/>
                <w:lang w:eastAsia="zh-CN"/>
              </w:rPr>
              <w:t xml:space="preserve">will provide the </w:t>
            </w:r>
            <w:r>
              <w:t>signalling storm analytics</w:t>
            </w:r>
            <w:r>
              <w:rPr>
                <w:rFonts w:eastAsia="等线"/>
                <w:lang w:eastAsia="zh-CN"/>
              </w:rPr>
              <w:t>.</w:t>
            </w:r>
          </w:p>
        </w:tc>
        <w:tc>
          <w:tcPr>
            <w:tcW w:w="1837" w:type="dxa"/>
            <w:tcBorders>
              <w:top w:val="single" w:sz="6" w:space="0" w:color="auto"/>
              <w:left w:val="single" w:sz="6" w:space="0" w:color="auto"/>
              <w:bottom w:val="single" w:sz="6" w:space="0" w:color="auto"/>
              <w:right w:val="single" w:sz="6" w:space="0" w:color="auto"/>
            </w:tcBorders>
          </w:tcPr>
          <w:p w14:paraId="172B476D" w14:textId="77777777" w:rsidR="00143F25" w:rsidRDefault="00143F25" w:rsidP="007D0950">
            <w:pPr>
              <w:pStyle w:val="TAL"/>
              <w:rPr>
                <w:rFonts w:cs="Arial"/>
                <w:szCs w:val="18"/>
              </w:rPr>
            </w:pPr>
          </w:p>
        </w:tc>
      </w:tr>
      <w:tr w:rsidR="00A42460" w14:paraId="1029F6A6" w14:textId="77777777" w:rsidTr="00183EFC">
        <w:trPr>
          <w:gridBefore w:val="1"/>
          <w:wBefore w:w="36" w:type="dxa"/>
          <w:jc w:val="center"/>
        </w:trPr>
        <w:tc>
          <w:tcPr>
            <w:tcW w:w="9540" w:type="dxa"/>
            <w:gridSpan w:val="7"/>
            <w:tcBorders>
              <w:top w:val="single" w:sz="6" w:space="0" w:color="auto"/>
              <w:left w:val="single" w:sz="6" w:space="0" w:color="auto"/>
              <w:bottom w:val="single" w:sz="6" w:space="0" w:color="auto"/>
              <w:right w:val="single" w:sz="6" w:space="0" w:color="auto"/>
            </w:tcBorders>
          </w:tcPr>
          <w:p w14:paraId="2209ACBE" w14:textId="002012B5" w:rsidR="00183EFC" w:rsidRDefault="00183EFC" w:rsidP="00183EFC">
            <w:pPr>
              <w:pStyle w:val="TAN"/>
            </w:pPr>
            <w:r>
              <w:lastRenderedPageBreak/>
              <w:t>NOTE 1:</w:t>
            </w:r>
            <w:r>
              <w:tab/>
              <w:t xml:space="preserve">The </w:t>
            </w:r>
            <w:r>
              <w:rPr>
                <w:rFonts w:hint="eastAsia"/>
              </w:rPr>
              <w:t>absence</w:t>
            </w:r>
            <w:r>
              <w:t xml:space="preserve"> </w:t>
            </w:r>
            <w:r>
              <w:rPr>
                <w:rFonts w:hint="eastAsia"/>
              </w:rPr>
              <w:t>of</w:t>
            </w:r>
            <w:r>
              <w:t xml:space="preserve"> </w:t>
            </w:r>
            <w:r>
              <w:rPr>
                <w:rFonts w:hint="eastAsia"/>
              </w:rPr>
              <w:t>both</w:t>
            </w:r>
            <w:r>
              <w:t xml:space="preserve"> "tgtNfSetIds" </w:t>
            </w:r>
            <w:r>
              <w:rPr>
                <w:rFonts w:hint="eastAsia"/>
              </w:rPr>
              <w:t>and</w:t>
            </w:r>
            <w:r w:rsidRPr="00AE662C">
              <w:t xml:space="preserve"> </w:t>
            </w:r>
            <w:r>
              <w:t>"tgtNfInstanceIds"</w:t>
            </w:r>
            <w:r w:rsidRPr="00AE662C">
              <w:t xml:space="preserve"> </w:t>
            </w:r>
            <w:r w:rsidRPr="00AE662C">
              <w:rPr>
                <w:rFonts w:hint="eastAsia"/>
              </w:rPr>
              <w:t>attributes</w:t>
            </w:r>
            <w:r w:rsidRPr="00AE662C">
              <w:t xml:space="preserve"> </w:t>
            </w:r>
            <w:r w:rsidRPr="00AE662C">
              <w:rPr>
                <w:rFonts w:hint="eastAsia"/>
              </w:rPr>
              <w:t>indicates</w:t>
            </w:r>
            <w:r w:rsidRPr="00AE662C">
              <w:t xml:space="preserve"> </w:t>
            </w:r>
            <w:r>
              <w:t xml:space="preserve">the </w:t>
            </w:r>
            <w:r w:rsidRPr="00AE662C">
              <w:rPr>
                <w:rFonts w:hint="eastAsia"/>
              </w:rPr>
              <w:t>target</w:t>
            </w:r>
            <w:r w:rsidRPr="009B4D31">
              <w:t xml:space="preserve"> of </w:t>
            </w:r>
            <w:r>
              <w:t>the Signalling Storm a</w:t>
            </w:r>
            <w:r w:rsidRPr="009B4D31">
              <w:t xml:space="preserve">nalytics </w:t>
            </w:r>
            <w:r>
              <w:t>r</w:t>
            </w:r>
            <w:r w:rsidRPr="009B4D31">
              <w:t>eporting</w:t>
            </w:r>
            <w:r w:rsidRPr="00AE662C">
              <w:t xml:space="preserve"> </w:t>
            </w:r>
            <w:r>
              <w:t xml:space="preserve">is </w:t>
            </w:r>
            <w:r w:rsidRPr="00AE662C">
              <w:rPr>
                <w:rFonts w:hint="eastAsia"/>
              </w:rPr>
              <w:t>a</w:t>
            </w:r>
            <w:r w:rsidRPr="00AE662C">
              <w:t>ny NF</w:t>
            </w:r>
            <w:r>
              <w:t xml:space="preserve">, i.e. </w:t>
            </w:r>
            <w:r w:rsidRPr="00342ACC">
              <w:t>the whole network</w:t>
            </w:r>
            <w:r>
              <w:t>.</w:t>
            </w:r>
          </w:p>
          <w:p w14:paraId="6DE548E2" w14:textId="77777777" w:rsidR="00A42460" w:rsidRDefault="00A42460" w:rsidP="009E7F73">
            <w:pPr>
              <w:pStyle w:val="TAN"/>
              <w:rPr>
                <w:rFonts w:cs="Arial"/>
                <w:szCs w:val="18"/>
              </w:rPr>
            </w:pPr>
            <w:r>
              <w:t>NOTE 2:</w:t>
            </w:r>
            <w:r>
              <w:tab/>
              <w:t xml:space="preserve">The "exterGroupIds" and "gpsis" attributes are not </w:t>
            </w:r>
            <w:r w:rsidRPr="008C466F">
              <w:t>applicable in this specification</w:t>
            </w:r>
            <w:r>
              <w:t>.</w:t>
            </w:r>
          </w:p>
        </w:tc>
      </w:tr>
    </w:tbl>
    <w:p w14:paraId="34E7EB30" w14:textId="77777777" w:rsidR="00143F25" w:rsidRDefault="00143F25" w:rsidP="00143F25">
      <w:pPr>
        <w:rPr>
          <w:lang w:eastAsia="zh-CN"/>
        </w:rPr>
      </w:pPr>
    </w:p>
    <w:p w14:paraId="403662B6" w14:textId="77777777" w:rsidR="00143F25" w:rsidRDefault="00143F25" w:rsidP="00143F25">
      <w:pPr>
        <w:pStyle w:val="5"/>
      </w:pPr>
      <w:bookmarkStart w:id="8308" w:name="_Toc185517287"/>
      <w:bookmarkStart w:id="8309" w:name="_Toc191576338"/>
      <w:bookmarkStart w:id="8310" w:name="_Toc191577078"/>
      <w:bookmarkStart w:id="8311" w:name="_Toc192880148"/>
      <w:bookmarkStart w:id="8312" w:name="_Toc195815031"/>
      <w:bookmarkStart w:id="8313" w:name="_Toc199452998"/>
      <w:r>
        <w:lastRenderedPageBreak/>
        <w:t>5.1.6.2.109</w:t>
      </w:r>
      <w:r>
        <w:tab/>
        <w:t>Type SignalStormInfo</w:t>
      </w:r>
      <w:bookmarkEnd w:id="8308"/>
      <w:bookmarkEnd w:id="8309"/>
      <w:bookmarkEnd w:id="8310"/>
      <w:bookmarkEnd w:id="8311"/>
      <w:bookmarkEnd w:id="8312"/>
      <w:bookmarkEnd w:id="8313"/>
    </w:p>
    <w:p w14:paraId="404DD1E1" w14:textId="77777777" w:rsidR="00183EFC" w:rsidRDefault="00183EFC" w:rsidP="00183EFC">
      <w:pPr>
        <w:pStyle w:val="TH"/>
      </w:pPr>
      <w:bookmarkStart w:id="8314" w:name="_Toc185517288"/>
      <w:bookmarkStart w:id="8315" w:name="_Toc191576339"/>
      <w:bookmarkStart w:id="8316" w:name="_Toc191577079"/>
      <w:bookmarkStart w:id="8317" w:name="_Toc192880149"/>
      <w:bookmarkStart w:id="8318" w:name="_Toc195815032"/>
      <w:r>
        <w:t>Table 5.1.6.2.109-1: Definition of type SignalStormInfo</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183EFC" w14:paraId="6BAB7909"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04796987" w14:textId="77777777" w:rsidR="00183EFC" w:rsidRDefault="00183EFC" w:rsidP="00902260">
            <w:pPr>
              <w:pStyle w:val="TAH"/>
              <w:ind w:left="400" w:hanging="400"/>
            </w:pPr>
            <w:r>
              <w:lastRenderedPageBreak/>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40D209C7" w14:textId="77777777" w:rsidR="00183EFC" w:rsidRDefault="00183EFC" w:rsidP="0090226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4CDF7CD" w14:textId="77777777" w:rsidR="00183EFC" w:rsidRDefault="00183EFC" w:rsidP="0090226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CA84B83" w14:textId="77777777" w:rsidR="00183EFC" w:rsidRDefault="00183EFC" w:rsidP="0090226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5F65CAD6" w14:textId="77777777" w:rsidR="00183EFC" w:rsidRDefault="00183EFC" w:rsidP="0090226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5F236375" w14:textId="77777777" w:rsidR="00183EFC" w:rsidRDefault="00183EFC" w:rsidP="00902260">
            <w:pPr>
              <w:pStyle w:val="TAH"/>
              <w:ind w:left="400" w:hanging="400"/>
            </w:pPr>
            <w:r>
              <w:t>Applicability</w:t>
            </w:r>
          </w:p>
        </w:tc>
      </w:tr>
      <w:tr w:rsidR="00183EFC" w14:paraId="00745F13"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C4F3FF0" w14:textId="697A49AC" w:rsidR="00183EFC" w:rsidRDefault="00183EFC" w:rsidP="00902260">
            <w:pPr>
              <w:pStyle w:val="TAL"/>
              <w:rPr>
                <w:lang w:eastAsia="zh-CN"/>
              </w:rPr>
            </w:pPr>
            <w:r>
              <w:t>tgtNfInstanceIds</w:t>
            </w:r>
          </w:p>
        </w:tc>
        <w:tc>
          <w:tcPr>
            <w:tcW w:w="1752" w:type="dxa"/>
            <w:tcBorders>
              <w:top w:val="single" w:sz="6" w:space="0" w:color="auto"/>
              <w:left w:val="single" w:sz="6" w:space="0" w:color="auto"/>
              <w:bottom w:val="single" w:sz="6" w:space="0" w:color="auto"/>
              <w:right w:val="single" w:sz="6" w:space="0" w:color="auto"/>
            </w:tcBorders>
          </w:tcPr>
          <w:p w14:paraId="7754A2CA" w14:textId="77777777" w:rsidR="00183EFC" w:rsidRDefault="00183EFC" w:rsidP="00902260">
            <w:pPr>
              <w:pStyle w:val="TAL"/>
              <w:rPr>
                <w:lang w:eastAsia="zh-CN"/>
              </w:rPr>
            </w:pPr>
            <w:r>
              <w:t>array(NfInstanceId)</w:t>
            </w:r>
          </w:p>
        </w:tc>
        <w:tc>
          <w:tcPr>
            <w:tcW w:w="424" w:type="dxa"/>
            <w:tcBorders>
              <w:top w:val="single" w:sz="6" w:space="0" w:color="auto"/>
              <w:left w:val="single" w:sz="6" w:space="0" w:color="auto"/>
              <w:bottom w:val="single" w:sz="6" w:space="0" w:color="auto"/>
              <w:right w:val="single" w:sz="6" w:space="0" w:color="auto"/>
            </w:tcBorders>
          </w:tcPr>
          <w:p w14:paraId="04F61FF7" w14:textId="77777777" w:rsidR="00183EFC" w:rsidRDefault="00183EFC" w:rsidP="00902260">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7134EE84" w14:textId="77777777" w:rsidR="00183EFC" w:rsidRDefault="00183EFC" w:rsidP="00902260">
            <w:pPr>
              <w:pStyle w:val="TAL"/>
              <w:rPr>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16AF291A" w14:textId="77777777" w:rsidR="00183EFC" w:rsidRDefault="00183EFC" w:rsidP="00902260">
            <w:pPr>
              <w:pStyle w:val="TAL"/>
            </w:pPr>
            <w:r>
              <w:t>The NF instance ID</w:t>
            </w:r>
            <w:r w:rsidRPr="00053327">
              <w:t xml:space="preserve">(s) of the </w:t>
            </w:r>
            <w:r>
              <w:t xml:space="preserve">target </w:t>
            </w:r>
            <w:r w:rsidRPr="00053327">
              <w:t>NF</w:t>
            </w:r>
            <w:r>
              <w:t>s</w:t>
            </w:r>
            <w:r w:rsidRPr="00053327">
              <w:t xml:space="preserve"> </w:t>
            </w:r>
            <w:r>
              <w:t>impacted</w:t>
            </w:r>
            <w:r w:rsidRPr="00053327">
              <w:t xml:space="preserve"> by the signaling storm.</w:t>
            </w:r>
          </w:p>
          <w:p w14:paraId="58C89AB1" w14:textId="77777777" w:rsidR="00183EFC" w:rsidRDefault="00183EFC" w:rsidP="00902260">
            <w:pPr>
              <w:pStyle w:val="TAL"/>
            </w:pPr>
          </w:p>
          <w:p w14:paraId="22E366BF" w14:textId="77777777" w:rsidR="00183EFC" w:rsidRDefault="00183EFC" w:rsidP="00902260">
            <w:pPr>
              <w:pStyle w:val="TAL"/>
              <w:rPr>
                <w:rFonts w:cs="Arial"/>
                <w:szCs w:val="18"/>
                <w:lang w:eastAsia="zh-CN"/>
              </w:rPr>
            </w:pPr>
            <w:r>
              <w:rPr>
                <w:lang w:eastAsia="zh-CN"/>
              </w:rPr>
              <w:t>(NOTE</w:t>
            </w:r>
            <w:r>
              <w:rPr>
                <w:lang w:val="en-US" w:eastAsia="zh-CN"/>
              </w:rPr>
              <w:t> 1</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08E97D30" w14:textId="77777777" w:rsidR="00183EFC" w:rsidRDefault="00183EFC" w:rsidP="00902260">
            <w:pPr>
              <w:pStyle w:val="TAL"/>
              <w:rPr>
                <w:rFonts w:cs="Arial"/>
                <w:szCs w:val="18"/>
              </w:rPr>
            </w:pPr>
          </w:p>
        </w:tc>
      </w:tr>
      <w:tr w:rsidR="00183EFC" w14:paraId="390865BF"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0B701E11" w14:textId="136933DD" w:rsidR="00183EFC" w:rsidRDefault="00183EFC" w:rsidP="00902260">
            <w:pPr>
              <w:pStyle w:val="TAL"/>
              <w:rPr>
                <w:lang w:eastAsia="zh-CN"/>
              </w:rPr>
            </w:pPr>
            <w:r>
              <w:t>tgtNfSetIds</w:t>
            </w:r>
          </w:p>
        </w:tc>
        <w:tc>
          <w:tcPr>
            <w:tcW w:w="1752" w:type="dxa"/>
            <w:tcBorders>
              <w:top w:val="single" w:sz="6" w:space="0" w:color="auto"/>
              <w:left w:val="single" w:sz="6" w:space="0" w:color="auto"/>
              <w:bottom w:val="single" w:sz="6" w:space="0" w:color="auto"/>
              <w:right w:val="single" w:sz="6" w:space="0" w:color="auto"/>
            </w:tcBorders>
          </w:tcPr>
          <w:p w14:paraId="673E3490" w14:textId="77777777" w:rsidR="00183EFC" w:rsidRDefault="00183EFC" w:rsidP="00902260">
            <w:pPr>
              <w:pStyle w:val="TAL"/>
              <w:rPr>
                <w:lang w:eastAsia="zh-CN"/>
              </w:rPr>
            </w:pPr>
            <w:r>
              <w:t>array(NfSetId)</w:t>
            </w:r>
          </w:p>
        </w:tc>
        <w:tc>
          <w:tcPr>
            <w:tcW w:w="424" w:type="dxa"/>
            <w:tcBorders>
              <w:top w:val="single" w:sz="6" w:space="0" w:color="auto"/>
              <w:left w:val="single" w:sz="6" w:space="0" w:color="auto"/>
              <w:bottom w:val="single" w:sz="6" w:space="0" w:color="auto"/>
              <w:right w:val="single" w:sz="6" w:space="0" w:color="auto"/>
            </w:tcBorders>
          </w:tcPr>
          <w:p w14:paraId="58735B1B" w14:textId="77777777" w:rsidR="00183EFC" w:rsidRDefault="00183EFC" w:rsidP="00902260">
            <w:pPr>
              <w:pStyle w:val="TAC"/>
              <w:rPr>
                <w:lang w:eastAsia="zh-CN"/>
              </w:rPr>
            </w:pPr>
            <w:r>
              <w:t>C</w:t>
            </w:r>
          </w:p>
        </w:tc>
        <w:tc>
          <w:tcPr>
            <w:tcW w:w="1130" w:type="dxa"/>
            <w:tcBorders>
              <w:top w:val="single" w:sz="6" w:space="0" w:color="auto"/>
              <w:left w:val="single" w:sz="6" w:space="0" w:color="auto"/>
              <w:bottom w:val="single" w:sz="6" w:space="0" w:color="auto"/>
              <w:right w:val="single" w:sz="6" w:space="0" w:color="auto"/>
            </w:tcBorders>
          </w:tcPr>
          <w:p w14:paraId="5C7AF46C" w14:textId="77777777" w:rsidR="00183EFC" w:rsidRDefault="00183EFC" w:rsidP="00902260">
            <w:pPr>
              <w:pStyle w:val="TAL"/>
              <w:rPr>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73FFB65D" w14:textId="77777777" w:rsidR="00183EFC" w:rsidRDefault="00183EFC" w:rsidP="00902260">
            <w:pPr>
              <w:pStyle w:val="TAL"/>
            </w:pPr>
            <w:r>
              <w:t>The NF set ID</w:t>
            </w:r>
            <w:r w:rsidRPr="00053327">
              <w:t xml:space="preserve">(s) of the </w:t>
            </w:r>
            <w:r>
              <w:t xml:space="preserve">target </w:t>
            </w:r>
            <w:r w:rsidRPr="00053327">
              <w:t>NF</w:t>
            </w:r>
            <w:r>
              <w:t>s</w:t>
            </w:r>
            <w:r w:rsidRPr="00053327">
              <w:t xml:space="preserve"> </w:t>
            </w:r>
            <w:r>
              <w:t>impacted</w:t>
            </w:r>
            <w:r w:rsidRPr="00053327">
              <w:t xml:space="preserve"> by the signa</w:t>
            </w:r>
            <w:r>
              <w:t>l</w:t>
            </w:r>
            <w:r w:rsidRPr="00053327">
              <w:t>ling storm.</w:t>
            </w:r>
          </w:p>
          <w:p w14:paraId="3403F38A" w14:textId="77777777" w:rsidR="00183EFC" w:rsidRDefault="00183EFC" w:rsidP="00902260">
            <w:pPr>
              <w:pStyle w:val="TAL"/>
            </w:pPr>
          </w:p>
          <w:p w14:paraId="16A2C263" w14:textId="77777777" w:rsidR="00183EFC" w:rsidRPr="0076721C" w:rsidRDefault="00183EFC" w:rsidP="00902260">
            <w:pPr>
              <w:pStyle w:val="TAL"/>
              <w:rPr>
                <w:rFonts w:eastAsia="等线"/>
                <w:lang w:eastAsia="zh-CN"/>
              </w:rPr>
            </w:pPr>
            <w:r>
              <w:rPr>
                <w:lang w:eastAsia="zh-CN"/>
              </w:rPr>
              <w:t>(NOTE</w:t>
            </w:r>
            <w:r>
              <w:rPr>
                <w:lang w:val="en-US" w:eastAsia="zh-CN"/>
              </w:rPr>
              <w:t> 1</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7D080DDA" w14:textId="77777777" w:rsidR="00183EFC" w:rsidRDefault="00183EFC" w:rsidP="00902260">
            <w:pPr>
              <w:pStyle w:val="TAL"/>
              <w:rPr>
                <w:rFonts w:cs="Arial"/>
                <w:szCs w:val="18"/>
              </w:rPr>
            </w:pPr>
          </w:p>
        </w:tc>
      </w:tr>
      <w:tr w:rsidR="00183EFC" w14:paraId="6D171CBE"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12342C7A" w14:textId="77777777" w:rsidR="00183EFC" w:rsidRDefault="00183EFC" w:rsidP="00902260">
            <w:pPr>
              <w:pStyle w:val="TAL"/>
              <w:rPr>
                <w:lang w:eastAsia="zh-CN"/>
              </w:rPr>
            </w:pPr>
            <w:r>
              <w:rPr>
                <w:lang w:eastAsia="zh-CN"/>
              </w:rPr>
              <w:t>sigStormCauses</w:t>
            </w:r>
          </w:p>
        </w:tc>
        <w:tc>
          <w:tcPr>
            <w:tcW w:w="1752" w:type="dxa"/>
            <w:tcBorders>
              <w:top w:val="single" w:sz="6" w:space="0" w:color="auto"/>
              <w:left w:val="single" w:sz="6" w:space="0" w:color="auto"/>
              <w:bottom w:val="single" w:sz="6" w:space="0" w:color="auto"/>
              <w:right w:val="single" w:sz="6" w:space="0" w:color="auto"/>
            </w:tcBorders>
          </w:tcPr>
          <w:p w14:paraId="769B00DC" w14:textId="77777777" w:rsidR="00183EFC" w:rsidRDefault="00183EFC" w:rsidP="00902260">
            <w:pPr>
              <w:pStyle w:val="TAL"/>
            </w:pPr>
            <w:r>
              <w:rPr>
                <w:lang w:eastAsia="zh-CN"/>
              </w:rPr>
              <w:t>array(Target</w:t>
            </w:r>
            <w:r>
              <w:rPr>
                <w:rFonts w:hint="eastAsia"/>
                <w:lang w:eastAsia="zh-CN"/>
              </w:rPr>
              <w:t>Cause</w:t>
            </w:r>
            <w:r>
              <w:t>Id</w:t>
            </w:r>
            <w:r>
              <w:rPr>
                <w:lang w:eastAsia="zh-CN"/>
              </w:rPr>
              <w:t>)</w:t>
            </w:r>
          </w:p>
        </w:tc>
        <w:tc>
          <w:tcPr>
            <w:tcW w:w="424" w:type="dxa"/>
            <w:tcBorders>
              <w:top w:val="single" w:sz="6" w:space="0" w:color="auto"/>
              <w:left w:val="single" w:sz="6" w:space="0" w:color="auto"/>
              <w:bottom w:val="single" w:sz="6" w:space="0" w:color="auto"/>
              <w:right w:val="single" w:sz="6" w:space="0" w:color="auto"/>
            </w:tcBorders>
          </w:tcPr>
          <w:p w14:paraId="337CEF22" w14:textId="77777777" w:rsidR="00183EFC" w:rsidRDefault="00183EFC" w:rsidP="00902260">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5AEEC4E4"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15043AFE" w14:textId="45F7681F" w:rsidR="00183EFC" w:rsidRDefault="00183EFC" w:rsidP="00902260">
            <w:pPr>
              <w:pStyle w:val="TAL"/>
              <w:rPr>
                <w:lang w:eastAsia="zh-CN"/>
              </w:rPr>
            </w:pPr>
            <w:r>
              <w:t xml:space="preserve">Represents the potential cause(s) of the </w:t>
            </w:r>
            <w:r w:rsidRPr="003C445E">
              <w:t xml:space="preserve">abnormal level of </w:t>
            </w:r>
            <w:r w:rsidRPr="00053327">
              <w:t>signa</w:t>
            </w:r>
            <w:r>
              <w:t>l</w:t>
            </w:r>
            <w:r w:rsidRPr="00053327">
              <w:t>ling</w:t>
            </w:r>
            <w:r>
              <w:t>.</w:t>
            </w:r>
          </w:p>
        </w:tc>
        <w:tc>
          <w:tcPr>
            <w:tcW w:w="1837" w:type="dxa"/>
            <w:tcBorders>
              <w:top w:val="single" w:sz="6" w:space="0" w:color="auto"/>
              <w:left w:val="single" w:sz="6" w:space="0" w:color="auto"/>
              <w:bottom w:val="single" w:sz="6" w:space="0" w:color="auto"/>
              <w:right w:val="single" w:sz="6" w:space="0" w:color="auto"/>
            </w:tcBorders>
          </w:tcPr>
          <w:p w14:paraId="5E57E5C8" w14:textId="77777777" w:rsidR="00183EFC" w:rsidRDefault="00183EFC" w:rsidP="00902260">
            <w:pPr>
              <w:pStyle w:val="TAL"/>
              <w:rPr>
                <w:rFonts w:cs="Arial"/>
                <w:szCs w:val="18"/>
              </w:rPr>
            </w:pPr>
          </w:p>
        </w:tc>
      </w:tr>
      <w:tr w:rsidR="00183EFC" w14:paraId="288B4AD3"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AB6A53A" w14:textId="77777777" w:rsidR="00183EFC" w:rsidRDefault="00183EFC" w:rsidP="00902260">
            <w:pPr>
              <w:pStyle w:val="TAL"/>
              <w:rPr>
                <w:lang w:eastAsia="zh-CN"/>
              </w:rPr>
            </w:pPr>
            <w:r>
              <w:rPr>
                <w:lang w:eastAsia="zh-CN"/>
              </w:rPr>
              <w:t>srcNfInstanceIds</w:t>
            </w:r>
          </w:p>
        </w:tc>
        <w:tc>
          <w:tcPr>
            <w:tcW w:w="1752" w:type="dxa"/>
            <w:tcBorders>
              <w:top w:val="single" w:sz="6" w:space="0" w:color="auto"/>
              <w:left w:val="single" w:sz="6" w:space="0" w:color="auto"/>
              <w:bottom w:val="single" w:sz="6" w:space="0" w:color="auto"/>
              <w:right w:val="single" w:sz="6" w:space="0" w:color="auto"/>
            </w:tcBorders>
          </w:tcPr>
          <w:p w14:paraId="3BED73D1" w14:textId="77777777" w:rsidR="00183EFC" w:rsidRDefault="00183EFC" w:rsidP="00902260">
            <w:pPr>
              <w:pStyle w:val="TAL"/>
            </w:pPr>
            <w:r>
              <w:t>array(NfInstanceId)</w:t>
            </w:r>
          </w:p>
        </w:tc>
        <w:tc>
          <w:tcPr>
            <w:tcW w:w="424" w:type="dxa"/>
            <w:tcBorders>
              <w:top w:val="single" w:sz="6" w:space="0" w:color="auto"/>
              <w:left w:val="single" w:sz="6" w:space="0" w:color="auto"/>
              <w:bottom w:val="single" w:sz="6" w:space="0" w:color="auto"/>
              <w:right w:val="single" w:sz="6" w:space="0" w:color="auto"/>
            </w:tcBorders>
          </w:tcPr>
          <w:p w14:paraId="1F80F949" w14:textId="3F624800"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31E82FA0"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3377D941" w14:textId="77777777" w:rsidR="00183EFC" w:rsidRDefault="00183EFC" w:rsidP="00902260">
            <w:pPr>
              <w:pStyle w:val="TAL"/>
            </w:pPr>
            <w:r>
              <w:t>The NF instance ID</w:t>
            </w:r>
            <w:r w:rsidRPr="00053327">
              <w:t xml:space="preserve">(s) of the </w:t>
            </w:r>
            <w:r>
              <w:t xml:space="preserve">source </w:t>
            </w:r>
            <w:r w:rsidRPr="00053327">
              <w:t>NF</w:t>
            </w:r>
            <w:r>
              <w:t>s</w:t>
            </w:r>
            <w:r w:rsidRPr="001B2ACF">
              <w:t xml:space="preserve"> which cause the signalling storm</w:t>
            </w:r>
            <w:r w:rsidRPr="00053327">
              <w:t>.</w:t>
            </w:r>
          </w:p>
          <w:p w14:paraId="17D65B12" w14:textId="77777777" w:rsidR="00183EFC" w:rsidRDefault="00183EFC" w:rsidP="00902260">
            <w:pPr>
              <w:pStyle w:val="TAL"/>
            </w:pPr>
          </w:p>
          <w:p w14:paraId="15708DD2" w14:textId="77777777" w:rsidR="00183EFC" w:rsidRDefault="00183EFC" w:rsidP="00902260">
            <w:pPr>
              <w:pStyle w:val="TAL"/>
              <w:rPr>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19FD6152" w14:textId="77777777" w:rsidR="00183EFC" w:rsidRDefault="00183EFC" w:rsidP="00902260">
            <w:pPr>
              <w:pStyle w:val="TAL"/>
              <w:rPr>
                <w:rFonts w:cs="Arial"/>
                <w:szCs w:val="18"/>
              </w:rPr>
            </w:pPr>
          </w:p>
        </w:tc>
      </w:tr>
      <w:tr w:rsidR="00183EFC" w14:paraId="4AA0C097"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02C257CC" w14:textId="77777777" w:rsidR="00183EFC" w:rsidRDefault="00183EFC" w:rsidP="00902260">
            <w:pPr>
              <w:pStyle w:val="TAL"/>
              <w:rPr>
                <w:lang w:eastAsia="zh-CN"/>
              </w:rPr>
            </w:pPr>
            <w:r>
              <w:rPr>
                <w:lang w:eastAsia="zh-CN"/>
              </w:rPr>
              <w:t>srcNfSetIds</w:t>
            </w:r>
          </w:p>
        </w:tc>
        <w:tc>
          <w:tcPr>
            <w:tcW w:w="1752" w:type="dxa"/>
            <w:tcBorders>
              <w:top w:val="single" w:sz="6" w:space="0" w:color="auto"/>
              <w:left w:val="single" w:sz="6" w:space="0" w:color="auto"/>
              <w:bottom w:val="single" w:sz="6" w:space="0" w:color="auto"/>
              <w:right w:val="single" w:sz="6" w:space="0" w:color="auto"/>
            </w:tcBorders>
          </w:tcPr>
          <w:p w14:paraId="74AEEA19" w14:textId="77777777" w:rsidR="00183EFC" w:rsidRDefault="00183EFC" w:rsidP="00902260">
            <w:pPr>
              <w:pStyle w:val="TAL"/>
            </w:pPr>
            <w:r>
              <w:t>array(NfSetId)</w:t>
            </w:r>
          </w:p>
        </w:tc>
        <w:tc>
          <w:tcPr>
            <w:tcW w:w="424" w:type="dxa"/>
            <w:tcBorders>
              <w:top w:val="single" w:sz="6" w:space="0" w:color="auto"/>
              <w:left w:val="single" w:sz="6" w:space="0" w:color="auto"/>
              <w:bottom w:val="single" w:sz="6" w:space="0" w:color="auto"/>
              <w:right w:val="single" w:sz="6" w:space="0" w:color="auto"/>
            </w:tcBorders>
          </w:tcPr>
          <w:p w14:paraId="7557BBBD" w14:textId="38710091"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41CA3FC4"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06FD10A8" w14:textId="77777777" w:rsidR="00183EFC" w:rsidRDefault="00183EFC" w:rsidP="00902260">
            <w:pPr>
              <w:pStyle w:val="TAL"/>
            </w:pPr>
            <w:r>
              <w:t>The NF set ID</w:t>
            </w:r>
            <w:r w:rsidRPr="00053327">
              <w:t xml:space="preserve">(s) of the </w:t>
            </w:r>
            <w:r>
              <w:t xml:space="preserve">source </w:t>
            </w:r>
            <w:r w:rsidRPr="00053327">
              <w:t>NF</w:t>
            </w:r>
            <w:r>
              <w:t>s</w:t>
            </w:r>
            <w:r w:rsidRPr="001B2ACF">
              <w:t xml:space="preserve"> which cause the signalling storm</w:t>
            </w:r>
            <w:r w:rsidRPr="00053327">
              <w:t>.</w:t>
            </w:r>
          </w:p>
          <w:p w14:paraId="3574B754" w14:textId="77777777" w:rsidR="00183EFC" w:rsidRDefault="00183EFC" w:rsidP="00902260">
            <w:pPr>
              <w:pStyle w:val="TAL"/>
            </w:pPr>
          </w:p>
          <w:p w14:paraId="59A9D121" w14:textId="77777777" w:rsidR="00183EFC" w:rsidRDefault="00183EFC" w:rsidP="00902260">
            <w:pPr>
              <w:pStyle w:val="TAL"/>
              <w:rPr>
                <w:lang w:eastAsia="zh-CN"/>
              </w:rPr>
            </w:pPr>
            <w:r>
              <w:rPr>
                <w:lang w:eastAsia="zh-CN"/>
              </w:rPr>
              <w:t>(NOTE</w:t>
            </w:r>
            <w:r>
              <w:rPr>
                <w:lang w:val="en-US" w:eastAsia="zh-CN"/>
              </w:rPr>
              <w:t> 2</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62C8C0FE" w14:textId="77777777" w:rsidR="00183EFC" w:rsidRDefault="00183EFC" w:rsidP="00902260">
            <w:pPr>
              <w:pStyle w:val="TAL"/>
              <w:rPr>
                <w:rFonts w:cs="Arial"/>
                <w:szCs w:val="18"/>
              </w:rPr>
            </w:pPr>
          </w:p>
        </w:tc>
      </w:tr>
      <w:tr w:rsidR="00183EFC" w14:paraId="2248503A"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1409456A" w14:textId="622F88F9" w:rsidR="00183EFC" w:rsidRDefault="00183EFC" w:rsidP="00902260">
            <w:pPr>
              <w:pStyle w:val="TAL"/>
              <w:rPr>
                <w:lang w:eastAsia="zh-CN"/>
              </w:rPr>
            </w:pPr>
            <w:r>
              <w:t>srcIntGroupIds</w:t>
            </w:r>
          </w:p>
        </w:tc>
        <w:tc>
          <w:tcPr>
            <w:tcW w:w="1752" w:type="dxa"/>
            <w:tcBorders>
              <w:top w:val="single" w:sz="6" w:space="0" w:color="auto"/>
              <w:left w:val="single" w:sz="6" w:space="0" w:color="auto"/>
              <w:bottom w:val="single" w:sz="6" w:space="0" w:color="auto"/>
              <w:right w:val="single" w:sz="6" w:space="0" w:color="auto"/>
            </w:tcBorders>
          </w:tcPr>
          <w:p w14:paraId="42B89DD8" w14:textId="77777777" w:rsidR="00183EFC" w:rsidRDefault="00183EFC" w:rsidP="00902260">
            <w:pPr>
              <w:pStyle w:val="TAL"/>
            </w:pPr>
            <w:r>
              <w:t>array(GroupId)</w:t>
            </w:r>
          </w:p>
        </w:tc>
        <w:tc>
          <w:tcPr>
            <w:tcW w:w="424" w:type="dxa"/>
            <w:tcBorders>
              <w:top w:val="single" w:sz="6" w:space="0" w:color="auto"/>
              <w:left w:val="single" w:sz="6" w:space="0" w:color="auto"/>
              <w:bottom w:val="single" w:sz="6" w:space="0" w:color="auto"/>
              <w:right w:val="single" w:sz="6" w:space="0" w:color="auto"/>
            </w:tcBorders>
          </w:tcPr>
          <w:p w14:paraId="3F8C32FF" w14:textId="77777777" w:rsidR="00183EFC" w:rsidRDefault="00183EFC" w:rsidP="00902260">
            <w:pPr>
              <w:pStyle w:val="TAC"/>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08D3E14" w14:textId="77777777" w:rsidR="00183EFC" w:rsidRDefault="00183EFC" w:rsidP="00902260">
            <w:pPr>
              <w:pStyle w:val="TAL"/>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391D636B" w14:textId="19F5E95B" w:rsidR="00183EFC" w:rsidRDefault="00183EFC" w:rsidP="00902260">
            <w:pPr>
              <w:pStyle w:val="TAL"/>
            </w:pPr>
            <w:r>
              <w:rPr>
                <w:rFonts w:cs="Arial"/>
                <w:szCs w:val="18"/>
              </w:rPr>
              <w:t>Each element</w:t>
            </w:r>
            <w:r>
              <w:t xml:space="preserve"> represents an internal group identifier of the source UEs </w:t>
            </w:r>
            <w:r w:rsidRPr="001B2ACF">
              <w:t>which cause the signalling storm</w:t>
            </w:r>
            <w:r>
              <w:t>.</w:t>
            </w:r>
          </w:p>
        </w:tc>
        <w:tc>
          <w:tcPr>
            <w:tcW w:w="1837" w:type="dxa"/>
            <w:tcBorders>
              <w:top w:val="single" w:sz="6" w:space="0" w:color="auto"/>
              <w:left w:val="single" w:sz="6" w:space="0" w:color="auto"/>
              <w:bottom w:val="single" w:sz="6" w:space="0" w:color="auto"/>
              <w:right w:val="single" w:sz="6" w:space="0" w:color="auto"/>
            </w:tcBorders>
          </w:tcPr>
          <w:p w14:paraId="377BC52E" w14:textId="77777777" w:rsidR="00183EFC" w:rsidRDefault="00183EFC" w:rsidP="00902260">
            <w:pPr>
              <w:pStyle w:val="TAL"/>
              <w:rPr>
                <w:rFonts w:cs="Arial"/>
                <w:szCs w:val="18"/>
              </w:rPr>
            </w:pPr>
          </w:p>
        </w:tc>
      </w:tr>
      <w:tr w:rsidR="00183EFC" w14:paraId="16ECD849"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4B3A84BB" w14:textId="0A0602F5" w:rsidR="00183EFC" w:rsidRDefault="00183EFC" w:rsidP="00902260">
            <w:pPr>
              <w:pStyle w:val="TAL"/>
            </w:pPr>
            <w:r>
              <w:rPr>
                <w:noProof/>
              </w:rPr>
              <w:t>srcExterGroupIds</w:t>
            </w:r>
          </w:p>
        </w:tc>
        <w:tc>
          <w:tcPr>
            <w:tcW w:w="1752" w:type="dxa"/>
            <w:tcBorders>
              <w:top w:val="single" w:sz="6" w:space="0" w:color="auto"/>
              <w:left w:val="single" w:sz="6" w:space="0" w:color="auto"/>
              <w:bottom w:val="single" w:sz="6" w:space="0" w:color="auto"/>
              <w:right w:val="single" w:sz="6" w:space="0" w:color="auto"/>
            </w:tcBorders>
          </w:tcPr>
          <w:p w14:paraId="1F02D499" w14:textId="77777777" w:rsidR="00183EFC" w:rsidRDefault="00183EFC" w:rsidP="00902260">
            <w:pPr>
              <w:pStyle w:val="TAL"/>
            </w:pPr>
            <w:r>
              <w:t>array(</w:t>
            </w:r>
            <w:r>
              <w:rPr>
                <w:lang w:eastAsia="zh-CN"/>
              </w:rPr>
              <w:t>E</w:t>
            </w:r>
            <w:r>
              <w:rPr>
                <w:rFonts w:hint="eastAsia"/>
                <w:lang w:eastAsia="zh-CN"/>
              </w:rPr>
              <w:t>xternal</w:t>
            </w:r>
            <w:r>
              <w:rPr>
                <w:lang w:eastAsia="zh-CN"/>
              </w:rPr>
              <w:t>GroupId</w:t>
            </w:r>
            <w:r>
              <w:t>)</w:t>
            </w:r>
          </w:p>
        </w:tc>
        <w:tc>
          <w:tcPr>
            <w:tcW w:w="424" w:type="dxa"/>
            <w:tcBorders>
              <w:top w:val="single" w:sz="6" w:space="0" w:color="auto"/>
              <w:left w:val="single" w:sz="6" w:space="0" w:color="auto"/>
              <w:bottom w:val="single" w:sz="6" w:space="0" w:color="auto"/>
              <w:right w:val="single" w:sz="6" w:space="0" w:color="auto"/>
            </w:tcBorders>
          </w:tcPr>
          <w:p w14:paraId="4AA2C32E" w14:textId="77777777" w:rsidR="00183EFC" w:rsidRDefault="00183EFC" w:rsidP="00902260">
            <w:pPr>
              <w:pStyle w:val="TAC"/>
              <w:rPr>
                <w:rFonts w:cs="Arial"/>
                <w:szCs w:val="18"/>
                <w:lang w:eastAsia="zh-CN"/>
              </w:rPr>
            </w:pPr>
            <w:r>
              <w:rPr>
                <w:rFonts w:cs="Arial"/>
                <w:szCs w:val="18"/>
                <w:lang w:eastAsia="zh-CN"/>
              </w:rPr>
              <w:t>O</w:t>
            </w:r>
          </w:p>
        </w:tc>
        <w:tc>
          <w:tcPr>
            <w:tcW w:w="1130" w:type="dxa"/>
            <w:tcBorders>
              <w:top w:val="single" w:sz="6" w:space="0" w:color="auto"/>
              <w:left w:val="single" w:sz="6" w:space="0" w:color="auto"/>
              <w:bottom w:val="single" w:sz="6" w:space="0" w:color="auto"/>
              <w:right w:val="single" w:sz="6" w:space="0" w:color="auto"/>
            </w:tcBorders>
          </w:tcPr>
          <w:p w14:paraId="61268E21" w14:textId="77777777" w:rsidR="00183EFC" w:rsidRDefault="00183EFC" w:rsidP="00902260">
            <w:pPr>
              <w:pStyle w:val="TAL"/>
              <w:rPr>
                <w:rFonts w:cs="Arial"/>
                <w:szCs w:val="18"/>
                <w:lang w:eastAsia="zh-CN"/>
              </w:rPr>
            </w:pPr>
            <w:r>
              <w:rPr>
                <w:rFonts w:cs="Arial"/>
                <w:szCs w:val="18"/>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1F2780B3" w14:textId="77777777" w:rsidR="00183EFC" w:rsidRDefault="00183EFC" w:rsidP="00902260">
            <w:pPr>
              <w:pStyle w:val="TAL"/>
            </w:pPr>
            <w:r>
              <w:rPr>
                <w:rFonts w:cs="Arial"/>
                <w:szCs w:val="18"/>
              </w:rPr>
              <w:t>Each element</w:t>
            </w:r>
            <w:r>
              <w:t xml:space="preserve"> represents an external group identifier of the source UEs </w:t>
            </w:r>
            <w:r w:rsidRPr="001B2ACF">
              <w:t>which cause the signalling storm</w:t>
            </w:r>
            <w:r>
              <w:t>.</w:t>
            </w:r>
          </w:p>
          <w:p w14:paraId="49811E68" w14:textId="77777777" w:rsidR="00183EFC" w:rsidRDefault="00183EFC" w:rsidP="00902260">
            <w:pPr>
              <w:pStyle w:val="TAL"/>
              <w:rPr>
                <w:rFonts w:cs="Arial"/>
                <w:szCs w:val="18"/>
              </w:rPr>
            </w:pPr>
            <w:r>
              <w:t>(N</w:t>
            </w:r>
            <w:r>
              <w:rPr>
                <w:lang w:eastAsia="zh-CN"/>
              </w:rPr>
              <w:t>OTE</w:t>
            </w:r>
            <w:r w:rsidRPr="00C40562">
              <w:rPr>
                <w:lang w:eastAsia="zh-CN"/>
              </w:rPr>
              <w:t> </w:t>
            </w:r>
            <w:r>
              <w:rPr>
                <w:lang w:eastAsia="zh-CN"/>
              </w:rPr>
              <w:t>4</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79784B47" w14:textId="77777777" w:rsidR="00183EFC" w:rsidRDefault="00183EFC" w:rsidP="00902260">
            <w:pPr>
              <w:pStyle w:val="TAL"/>
              <w:rPr>
                <w:rFonts w:cs="Arial"/>
                <w:szCs w:val="18"/>
              </w:rPr>
            </w:pPr>
          </w:p>
        </w:tc>
      </w:tr>
      <w:tr w:rsidR="00183EFC" w14:paraId="41763586"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173214CE" w14:textId="23AC1BA4" w:rsidR="00183EFC" w:rsidRDefault="00183EFC" w:rsidP="00902260">
            <w:pPr>
              <w:pStyle w:val="TAL"/>
            </w:pPr>
            <w:r>
              <w:rPr>
                <w:lang w:eastAsia="zh-CN"/>
              </w:rPr>
              <w:t>srcSupis</w:t>
            </w:r>
          </w:p>
        </w:tc>
        <w:tc>
          <w:tcPr>
            <w:tcW w:w="1752" w:type="dxa"/>
            <w:tcBorders>
              <w:top w:val="single" w:sz="6" w:space="0" w:color="auto"/>
              <w:left w:val="single" w:sz="6" w:space="0" w:color="auto"/>
              <w:bottom w:val="single" w:sz="6" w:space="0" w:color="auto"/>
              <w:right w:val="single" w:sz="6" w:space="0" w:color="auto"/>
            </w:tcBorders>
          </w:tcPr>
          <w:p w14:paraId="7754E3B9" w14:textId="77777777" w:rsidR="00183EFC" w:rsidRDefault="00183EFC" w:rsidP="00902260">
            <w:pPr>
              <w:pStyle w:val="TAL"/>
            </w:pPr>
            <w:r>
              <w:rPr>
                <w:lang w:eastAsia="zh-CN"/>
              </w:rPr>
              <w:t>array(Supi)</w:t>
            </w:r>
          </w:p>
        </w:tc>
        <w:tc>
          <w:tcPr>
            <w:tcW w:w="424" w:type="dxa"/>
            <w:tcBorders>
              <w:top w:val="single" w:sz="6" w:space="0" w:color="auto"/>
              <w:left w:val="single" w:sz="6" w:space="0" w:color="auto"/>
              <w:bottom w:val="single" w:sz="6" w:space="0" w:color="auto"/>
              <w:right w:val="single" w:sz="6" w:space="0" w:color="auto"/>
            </w:tcBorders>
          </w:tcPr>
          <w:p w14:paraId="0EB11597" w14:textId="77777777" w:rsidR="00183EFC" w:rsidRDefault="00183EFC" w:rsidP="00902260">
            <w:pPr>
              <w:pStyle w:val="TAC"/>
              <w:rPr>
                <w:rFonts w:cs="Arial"/>
                <w:szCs w:val="18"/>
                <w:lang w:eastAsia="zh-CN"/>
              </w:rPr>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3A95EC31" w14:textId="77777777" w:rsidR="00183EFC" w:rsidRDefault="00183EFC" w:rsidP="00902260">
            <w:pPr>
              <w:pStyle w:val="TAL"/>
              <w:rPr>
                <w:rFonts w:cs="Arial"/>
                <w:szCs w:val="18"/>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2492DF55" w14:textId="77777777" w:rsidR="00183EFC" w:rsidRDefault="00183EFC" w:rsidP="00902260">
            <w:pPr>
              <w:pStyle w:val="TAL"/>
              <w:rPr>
                <w:rFonts w:cs="Arial"/>
                <w:szCs w:val="18"/>
              </w:rPr>
            </w:pPr>
            <w:r>
              <w:rPr>
                <w:rFonts w:cs="Arial"/>
                <w:szCs w:val="18"/>
              </w:rPr>
              <w:t>Each element</w:t>
            </w:r>
            <w:r>
              <w:t xml:space="preserve"> </w:t>
            </w:r>
            <w:r>
              <w:rPr>
                <w:rFonts w:cs="Arial"/>
                <w:szCs w:val="18"/>
              </w:rPr>
              <w:t>identifies the source UE</w:t>
            </w:r>
            <w:r>
              <w:t xml:space="preserve"> </w:t>
            </w:r>
            <w:r w:rsidRPr="001B2ACF">
              <w:t>which cause</w:t>
            </w:r>
            <w:r>
              <w:t>s</w:t>
            </w:r>
            <w:r w:rsidRPr="001B2ACF">
              <w:t xml:space="preserve"> the signalling storm</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318E76F4" w14:textId="77777777" w:rsidR="00183EFC" w:rsidRDefault="00183EFC" w:rsidP="00902260">
            <w:pPr>
              <w:pStyle w:val="TAL"/>
              <w:rPr>
                <w:rFonts w:cs="Arial"/>
                <w:szCs w:val="18"/>
              </w:rPr>
            </w:pPr>
          </w:p>
        </w:tc>
      </w:tr>
      <w:tr w:rsidR="00183EFC" w14:paraId="58D070D2"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6EF02913" w14:textId="1CAD239E" w:rsidR="00183EFC" w:rsidRDefault="00183EFC" w:rsidP="00902260">
            <w:pPr>
              <w:pStyle w:val="TAL"/>
            </w:pPr>
            <w:r>
              <w:rPr>
                <w:lang w:eastAsia="zh-CN"/>
              </w:rPr>
              <w:t>srcGpsis</w:t>
            </w:r>
          </w:p>
        </w:tc>
        <w:tc>
          <w:tcPr>
            <w:tcW w:w="1752" w:type="dxa"/>
            <w:tcBorders>
              <w:top w:val="single" w:sz="6" w:space="0" w:color="auto"/>
              <w:left w:val="single" w:sz="6" w:space="0" w:color="auto"/>
              <w:bottom w:val="single" w:sz="6" w:space="0" w:color="auto"/>
              <w:right w:val="single" w:sz="6" w:space="0" w:color="auto"/>
            </w:tcBorders>
          </w:tcPr>
          <w:p w14:paraId="0E649E1D" w14:textId="77777777" w:rsidR="00183EFC" w:rsidRDefault="00183EFC" w:rsidP="00902260">
            <w:pPr>
              <w:pStyle w:val="TAL"/>
            </w:pPr>
            <w:r>
              <w:rPr>
                <w:lang w:eastAsia="zh-CN"/>
              </w:rPr>
              <w:t>array(Gpsi)</w:t>
            </w:r>
          </w:p>
        </w:tc>
        <w:tc>
          <w:tcPr>
            <w:tcW w:w="424" w:type="dxa"/>
            <w:tcBorders>
              <w:top w:val="single" w:sz="6" w:space="0" w:color="auto"/>
              <w:left w:val="single" w:sz="6" w:space="0" w:color="auto"/>
              <w:bottom w:val="single" w:sz="6" w:space="0" w:color="auto"/>
              <w:right w:val="single" w:sz="6" w:space="0" w:color="auto"/>
            </w:tcBorders>
          </w:tcPr>
          <w:p w14:paraId="45127AB4" w14:textId="77777777" w:rsidR="00183EFC" w:rsidRDefault="00183EFC" w:rsidP="00902260">
            <w:pPr>
              <w:pStyle w:val="TAC"/>
              <w:rPr>
                <w:rFonts w:cs="Arial"/>
                <w:szCs w:val="18"/>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0FA1FC2" w14:textId="77777777" w:rsidR="00183EFC" w:rsidRDefault="00183EFC" w:rsidP="00902260">
            <w:pPr>
              <w:pStyle w:val="TAL"/>
              <w:rPr>
                <w:rFonts w:cs="Arial"/>
                <w:szCs w:val="18"/>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46A1438C" w14:textId="77777777" w:rsidR="00183EFC" w:rsidRDefault="00183EFC" w:rsidP="00902260">
            <w:pPr>
              <w:pStyle w:val="TAL"/>
              <w:rPr>
                <w:rFonts w:cs="Arial"/>
                <w:szCs w:val="18"/>
              </w:rPr>
            </w:pPr>
            <w:r>
              <w:rPr>
                <w:rFonts w:cs="Arial"/>
                <w:szCs w:val="18"/>
              </w:rPr>
              <w:t>Each element</w:t>
            </w:r>
            <w:r>
              <w:t xml:space="preserve"> </w:t>
            </w:r>
            <w:r>
              <w:rPr>
                <w:rFonts w:cs="Arial"/>
                <w:szCs w:val="18"/>
              </w:rPr>
              <w:t>identifies the source UE</w:t>
            </w:r>
            <w:r>
              <w:t xml:space="preserve"> </w:t>
            </w:r>
            <w:r w:rsidRPr="001B2ACF">
              <w:t>which cause</w:t>
            </w:r>
            <w:r>
              <w:t>s</w:t>
            </w:r>
            <w:r w:rsidRPr="001B2ACF">
              <w:t xml:space="preserve"> the signalling storm</w:t>
            </w:r>
            <w:r>
              <w:rPr>
                <w:rFonts w:cs="Arial"/>
                <w:szCs w:val="18"/>
              </w:rPr>
              <w:t>.</w:t>
            </w:r>
          </w:p>
          <w:p w14:paraId="33A92541" w14:textId="77777777" w:rsidR="00183EFC" w:rsidRDefault="00183EFC" w:rsidP="00902260">
            <w:pPr>
              <w:pStyle w:val="TAL"/>
              <w:rPr>
                <w:rFonts w:cs="Arial"/>
                <w:szCs w:val="18"/>
              </w:rPr>
            </w:pPr>
            <w:r>
              <w:t>(N</w:t>
            </w:r>
            <w:r>
              <w:rPr>
                <w:lang w:eastAsia="zh-CN"/>
              </w:rPr>
              <w:t>OTE</w:t>
            </w:r>
            <w:r w:rsidRPr="00C40562">
              <w:rPr>
                <w:lang w:eastAsia="zh-CN"/>
              </w:rPr>
              <w:t> </w:t>
            </w:r>
            <w:r>
              <w:rPr>
                <w:lang w:eastAsia="zh-CN"/>
              </w:rPr>
              <w:t>4</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7B070ED1" w14:textId="77777777" w:rsidR="00183EFC" w:rsidRDefault="00183EFC" w:rsidP="00902260">
            <w:pPr>
              <w:pStyle w:val="TAL"/>
              <w:rPr>
                <w:rFonts w:cs="Arial"/>
                <w:szCs w:val="18"/>
              </w:rPr>
            </w:pPr>
          </w:p>
        </w:tc>
      </w:tr>
      <w:tr w:rsidR="00183EFC" w14:paraId="4ADA0259"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4F84FCBC" w14:textId="77777777" w:rsidR="00183EFC" w:rsidRDefault="00183EFC" w:rsidP="00902260">
            <w:pPr>
              <w:pStyle w:val="TAL"/>
              <w:rPr>
                <w:lang w:eastAsia="zh-CN"/>
              </w:rPr>
            </w:pPr>
            <w:r>
              <w:rPr>
                <w:rFonts w:hint="eastAsia"/>
                <w:lang w:eastAsia="zh-CN"/>
              </w:rPr>
              <w:t>s</w:t>
            </w:r>
            <w:r>
              <w:rPr>
                <w:lang w:eastAsia="zh-CN"/>
              </w:rPr>
              <w:t>igInfo</w:t>
            </w:r>
          </w:p>
        </w:tc>
        <w:tc>
          <w:tcPr>
            <w:tcW w:w="1752" w:type="dxa"/>
            <w:tcBorders>
              <w:top w:val="single" w:sz="6" w:space="0" w:color="auto"/>
              <w:left w:val="single" w:sz="6" w:space="0" w:color="auto"/>
              <w:bottom w:val="single" w:sz="6" w:space="0" w:color="auto"/>
              <w:right w:val="single" w:sz="6" w:space="0" w:color="auto"/>
            </w:tcBorders>
          </w:tcPr>
          <w:p w14:paraId="3BE086F9" w14:textId="77777777" w:rsidR="00183EFC" w:rsidRDefault="00183EFC" w:rsidP="00902260">
            <w:pPr>
              <w:pStyle w:val="TAL"/>
            </w:pPr>
            <w:r>
              <w:t>array(SignalInfo)</w:t>
            </w:r>
          </w:p>
        </w:tc>
        <w:tc>
          <w:tcPr>
            <w:tcW w:w="424" w:type="dxa"/>
            <w:tcBorders>
              <w:top w:val="single" w:sz="6" w:space="0" w:color="auto"/>
              <w:left w:val="single" w:sz="6" w:space="0" w:color="auto"/>
              <w:bottom w:val="single" w:sz="6" w:space="0" w:color="auto"/>
              <w:right w:val="single" w:sz="6" w:space="0" w:color="auto"/>
            </w:tcBorders>
          </w:tcPr>
          <w:p w14:paraId="2FA6CDA8" w14:textId="77777777"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D2C7FA6"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1F29C013" w14:textId="77777777" w:rsidR="00183EFC" w:rsidRDefault="00183EFC" w:rsidP="00902260">
            <w:pPr>
              <w:pStyle w:val="TAL"/>
              <w:rPr>
                <w:lang w:eastAsia="zh-CN"/>
              </w:rPr>
            </w:pPr>
            <w:r>
              <w:t xml:space="preserve">Represents the </w:t>
            </w:r>
            <w:r>
              <w:rPr>
                <w:lang w:eastAsia="ko-KR"/>
              </w:rPr>
              <w:t>s</w:t>
            </w:r>
            <w:r>
              <w:rPr>
                <w:rFonts w:hint="eastAsia"/>
                <w:lang w:eastAsia="ko-KR"/>
              </w:rPr>
              <w:t>ignalling information</w:t>
            </w:r>
            <w:r>
              <w:rPr>
                <w:lang w:eastAsia="ko-KR"/>
              </w:rPr>
              <w:t>.</w:t>
            </w:r>
          </w:p>
        </w:tc>
        <w:tc>
          <w:tcPr>
            <w:tcW w:w="1837" w:type="dxa"/>
            <w:tcBorders>
              <w:top w:val="single" w:sz="6" w:space="0" w:color="auto"/>
              <w:left w:val="single" w:sz="6" w:space="0" w:color="auto"/>
              <w:bottom w:val="single" w:sz="6" w:space="0" w:color="auto"/>
              <w:right w:val="single" w:sz="6" w:space="0" w:color="auto"/>
            </w:tcBorders>
          </w:tcPr>
          <w:p w14:paraId="1FBA584B" w14:textId="77777777" w:rsidR="00183EFC" w:rsidRDefault="00183EFC" w:rsidP="00902260">
            <w:pPr>
              <w:pStyle w:val="TAL"/>
              <w:rPr>
                <w:rFonts w:cs="Arial"/>
                <w:szCs w:val="18"/>
              </w:rPr>
            </w:pPr>
          </w:p>
        </w:tc>
      </w:tr>
      <w:tr w:rsidR="00183EFC" w14:paraId="6F58C92C"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898E6A7" w14:textId="77777777" w:rsidR="00183EFC" w:rsidRDefault="00183EFC" w:rsidP="00902260">
            <w:pPr>
              <w:pStyle w:val="TAL"/>
              <w:rPr>
                <w:lang w:eastAsia="zh-CN"/>
              </w:rPr>
            </w:pPr>
            <w:r>
              <w:rPr>
                <w:rFonts w:hint="eastAsia"/>
                <w:lang w:eastAsia="zh-CN"/>
              </w:rPr>
              <w:t>t</w:t>
            </w:r>
            <w:r>
              <w:rPr>
                <w:lang w:eastAsia="zh-CN"/>
              </w:rPr>
              <w:t>imerInfo</w:t>
            </w:r>
          </w:p>
        </w:tc>
        <w:tc>
          <w:tcPr>
            <w:tcW w:w="1752" w:type="dxa"/>
            <w:tcBorders>
              <w:top w:val="single" w:sz="6" w:space="0" w:color="auto"/>
              <w:left w:val="single" w:sz="6" w:space="0" w:color="auto"/>
              <w:bottom w:val="single" w:sz="6" w:space="0" w:color="auto"/>
              <w:right w:val="single" w:sz="6" w:space="0" w:color="auto"/>
            </w:tcBorders>
          </w:tcPr>
          <w:p w14:paraId="0CD551BD" w14:textId="77777777" w:rsidR="00183EFC" w:rsidRDefault="00183EFC" w:rsidP="00902260">
            <w:pPr>
              <w:pStyle w:val="TAL"/>
            </w:pPr>
            <w:r>
              <w:t>array(</w:t>
            </w:r>
            <w:r>
              <w:rPr>
                <w:rFonts w:hint="eastAsia"/>
                <w:lang w:eastAsia="zh-CN"/>
              </w:rPr>
              <w:t>Timer</w:t>
            </w:r>
            <w:r>
              <w:t>Info)</w:t>
            </w:r>
          </w:p>
        </w:tc>
        <w:tc>
          <w:tcPr>
            <w:tcW w:w="424" w:type="dxa"/>
            <w:tcBorders>
              <w:top w:val="single" w:sz="6" w:space="0" w:color="auto"/>
              <w:left w:val="single" w:sz="6" w:space="0" w:color="auto"/>
              <w:bottom w:val="single" w:sz="6" w:space="0" w:color="auto"/>
              <w:right w:val="single" w:sz="6" w:space="0" w:color="auto"/>
            </w:tcBorders>
          </w:tcPr>
          <w:p w14:paraId="6EAD748F" w14:textId="77777777" w:rsidR="00183EFC" w:rsidRDefault="00183EFC" w:rsidP="00902260">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0F5D74EF" w14:textId="77777777" w:rsidR="00183EFC" w:rsidRDefault="00183EFC" w:rsidP="00902260">
            <w:pPr>
              <w:pStyle w:val="TAL"/>
            </w:pPr>
            <w:r>
              <w:t>1..N</w:t>
            </w:r>
          </w:p>
        </w:tc>
        <w:tc>
          <w:tcPr>
            <w:tcW w:w="2845" w:type="dxa"/>
            <w:tcBorders>
              <w:top w:val="single" w:sz="6" w:space="0" w:color="auto"/>
              <w:left w:val="single" w:sz="6" w:space="0" w:color="auto"/>
              <w:bottom w:val="single" w:sz="6" w:space="0" w:color="auto"/>
              <w:right w:val="single" w:sz="6" w:space="0" w:color="auto"/>
            </w:tcBorders>
          </w:tcPr>
          <w:p w14:paraId="0F5BA65B" w14:textId="77777777" w:rsidR="00183EFC" w:rsidRPr="00143F25" w:rsidRDefault="00183EFC" w:rsidP="00902260">
            <w:pPr>
              <w:pStyle w:val="TAL"/>
              <w:rPr>
                <w:rFonts w:eastAsia="等线"/>
                <w:lang w:eastAsia="ko-KR"/>
              </w:rPr>
            </w:pPr>
            <w:r>
              <w:t xml:space="preserve">Represents the </w:t>
            </w:r>
            <w:r>
              <w:rPr>
                <w:lang w:eastAsia="ko-KR"/>
              </w:rPr>
              <w:t>timer</w:t>
            </w:r>
            <w:r>
              <w:rPr>
                <w:rFonts w:hint="eastAsia"/>
                <w:lang w:eastAsia="ko-KR"/>
              </w:rPr>
              <w:t xml:space="preserve"> information</w:t>
            </w:r>
            <w:r>
              <w:rPr>
                <w:lang w:eastAsia="ko-KR"/>
              </w:rPr>
              <w:t>.</w:t>
            </w:r>
            <w:r>
              <w:t xml:space="preserve"> This attribute may be present only if the "</w:t>
            </w:r>
            <w:r>
              <w:rPr>
                <w:lang w:eastAsia="zh-CN"/>
              </w:rPr>
              <w:t>sigStormCauses</w:t>
            </w:r>
            <w:r>
              <w:t>"</w:t>
            </w:r>
            <w:r>
              <w:rPr>
                <w:lang w:eastAsia="zh-CN"/>
              </w:rPr>
              <w:t xml:space="preserve"> attribute</w:t>
            </w:r>
            <w:r>
              <w:t xml:space="preserve"> includes "SIGNALLING_STORM_CAUSED_BY_UE".</w:t>
            </w:r>
          </w:p>
        </w:tc>
        <w:tc>
          <w:tcPr>
            <w:tcW w:w="1837" w:type="dxa"/>
            <w:tcBorders>
              <w:top w:val="single" w:sz="6" w:space="0" w:color="auto"/>
              <w:left w:val="single" w:sz="6" w:space="0" w:color="auto"/>
              <w:bottom w:val="single" w:sz="6" w:space="0" w:color="auto"/>
              <w:right w:val="single" w:sz="6" w:space="0" w:color="auto"/>
            </w:tcBorders>
          </w:tcPr>
          <w:p w14:paraId="4A09A702" w14:textId="77777777" w:rsidR="00183EFC" w:rsidRDefault="00183EFC" w:rsidP="00902260">
            <w:pPr>
              <w:pStyle w:val="TAL"/>
              <w:rPr>
                <w:rFonts w:cs="Arial"/>
                <w:szCs w:val="18"/>
              </w:rPr>
            </w:pPr>
          </w:p>
        </w:tc>
      </w:tr>
      <w:tr w:rsidR="00183EFC" w14:paraId="0E9C659F"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3C2A87D5" w14:textId="77777777" w:rsidR="00183EFC" w:rsidRDefault="00183EFC" w:rsidP="00902260">
            <w:pPr>
              <w:pStyle w:val="TAL"/>
              <w:rPr>
                <w:lang w:eastAsia="zh-CN"/>
              </w:rPr>
            </w:pPr>
            <w:r w:rsidRPr="00690A26">
              <w:t>priority</w:t>
            </w:r>
          </w:p>
        </w:tc>
        <w:tc>
          <w:tcPr>
            <w:tcW w:w="1752" w:type="dxa"/>
            <w:tcBorders>
              <w:top w:val="single" w:sz="6" w:space="0" w:color="auto"/>
              <w:left w:val="single" w:sz="6" w:space="0" w:color="auto"/>
              <w:bottom w:val="single" w:sz="6" w:space="0" w:color="auto"/>
              <w:right w:val="single" w:sz="6" w:space="0" w:color="auto"/>
            </w:tcBorders>
          </w:tcPr>
          <w:p w14:paraId="46A9D11E" w14:textId="77777777" w:rsidR="00183EFC" w:rsidRDefault="00183EFC" w:rsidP="00902260">
            <w:pPr>
              <w:pStyle w:val="TAL"/>
            </w:pPr>
            <w:r w:rsidRPr="00690A26">
              <w:t>integer</w:t>
            </w:r>
          </w:p>
        </w:tc>
        <w:tc>
          <w:tcPr>
            <w:tcW w:w="424" w:type="dxa"/>
            <w:tcBorders>
              <w:top w:val="single" w:sz="6" w:space="0" w:color="auto"/>
              <w:left w:val="single" w:sz="6" w:space="0" w:color="auto"/>
              <w:bottom w:val="single" w:sz="6" w:space="0" w:color="auto"/>
              <w:right w:val="single" w:sz="6" w:space="0" w:color="auto"/>
            </w:tcBorders>
          </w:tcPr>
          <w:p w14:paraId="7BC84476" w14:textId="77777777" w:rsidR="00183EFC" w:rsidRDefault="00183EFC" w:rsidP="00902260">
            <w:pPr>
              <w:pStyle w:val="TAC"/>
            </w:pPr>
            <w:r w:rsidRPr="00690A26">
              <w:t>O</w:t>
            </w:r>
          </w:p>
        </w:tc>
        <w:tc>
          <w:tcPr>
            <w:tcW w:w="1130" w:type="dxa"/>
            <w:tcBorders>
              <w:top w:val="single" w:sz="6" w:space="0" w:color="auto"/>
              <w:left w:val="single" w:sz="6" w:space="0" w:color="auto"/>
              <w:bottom w:val="single" w:sz="6" w:space="0" w:color="auto"/>
              <w:right w:val="single" w:sz="6" w:space="0" w:color="auto"/>
            </w:tcBorders>
          </w:tcPr>
          <w:p w14:paraId="4CF75788" w14:textId="77777777" w:rsidR="00183EFC" w:rsidRDefault="00183EFC" w:rsidP="00902260">
            <w:pPr>
              <w:pStyle w:val="TAL"/>
            </w:pPr>
            <w:r w:rsidRPr="00690A26">
              <w:t>0..1</w:t>
            </w:r>
          </w:p>
        </w:tc>
        <w:tc>
          <w:tcPr>
            <w:tcW w:w="2845" w:type="dxa"/>
            <w:tcBorders>
              <w:top w:val="single" w:sz="6" w:space="0" w:color="auto"/>
              <w:left w:val="single" w:sz="6" w:space="0" w:color="auto"/>
              <w:bottom w:val="single" w:sz="6" w:space="0" w:color="auto"/>
              <w:right w:val="single" w:sz="6" w:space="0" w:color="auto"/>
            </w:tcBorders>
          </w:tcPr>
          <w:p w14:paraId="47E5CF34" w14:textId="77777777" w:rsidR="00183EFC" w:rsidRDefault="00183EFC" w:rsidP="00902260">
            <w:pPr>
              <w:pStyle w:val="TAL"/>
              <w:rPr>
                <w:lang w:eastAsia="zh-CN"/>
              </w:rPr>
            </w:pPr>
            <w:r>
              <w:t>Represents the p</w:t>
            </w:r>
            <w:r>
              <w:rPr>
                <w:rFonts w:cs="Arial"/>
                <w:szCs w:val="18"/>
              </w:rPr>
              <w:t xml:space="preserve">riority </w:t>
            </w:r>
            <w:r w:rsidRPr="00690A26">
              <w:rPr>
                <w:rFonts w:cs="Arial"/>
                <w:szCs w:val="18"/>
              </w:rPr>
              <w:t>relativ</w:t>
            </w:r>
            <w:r>
              <w:rPr>
                <w:rFonts w:cs="Arial"/>
                <w:szCs w:val="18"/>
              </w:rPr>
              <w:t>e to other NFs of the same type</w:t>
            </w:r>
            <w:r w:rsidRPr="00690A26">
              <w:rPr>
                <w:rFonts w:cs="Arial"/>
                <w:szCs w:val="18"/>
              </w:rPr>
              <w:t xml:space="preserv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564ACCB7" w14:textId="77777777" w:rsidR="00183EFC" w:rsidRDefault="00183EFC" w:rsidP="00902260">
            <w:pPr>
              <w:pStyle w:val="TAL"/>
              <w:rPr>
                <w:rFonts w:cs="Arial"/>
                <w:szCs w:val="18"/>
              </w:rPr>
            </w:pPr>
          </w:p>
        </w:tc>
      </w:tr>
      <w:tr w:rsidR="00183EFC" w14:paraId="00CD44C1"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20F32FC6" w14:textId="77777777" w:rsidR="00183EFC" w:rsidRDefault="00183EFC" w:rsidP="00902260">
            <w:pPr>
              <w:pStyle w:val="TAL"/>
              <w:rPr>
                <w:lang w:eastAsia="zh-CN"/>
              </w:rPr>
            </w:pPr>
            <w:r w:rsidRPr="00690A26">
              <w:t>capacity</w:t>
            </w:r>
          </w:p>
        </w:tc>
        <w:tc>
          <w:tcPr>
            <w:tcW w:w="1752" w:type="dxa"/>
            <w:tcBorders>
              <w:top w:val="single" w:sz="6" w:space="0" w:color="auto"/>
              <w:left w:val="single" w:sz="6" w:space="0" w:color="auto"/>
              <w:bottom w:val="single" w:sz="6" w:space="0" w:color="auto"/>
              <w:right w:val="single" w:sz="6" w:space="0" w:color="auto"/>
            </w:tcBorders>
          </w:tcPr>
          <w:p w14:paraId="2C7C7C73" w14:textId="77777777" w:rsidR="00183EFC" w:rsidRDefault="00183EFC" w:rsidP="00902260">
            <w:pPr>
              <w:pStyle w:val="TAL"/>
            </w:pPr>
            <w:r w:rsidRPr="00690A26">
              <w:t>integer</w:t>
            </w:r>
          </w:p>
        </w:tc>
        <w:tc>
          <w:tcPr>
            <w:tcW w:w="424" w:type="dxa"/>
            <w:tcBorders>
              <w:top w:val="single" w:sz="6" w:space="0" w:color="auto"/>
              <w:left w:val="single" w:sz="6" w:space="0" w:color="auto"/>
              <w:bottom w:val="single" w:sz="6" w:space="0" w:color="auto"/>
              <w:right w:val="single" w:sz="6" w:space="0" w:color="auto"/>
            </w:tcBorders>
          </w:tcPr>
          <w:p w14:paraId="3EBF0020" w14:textId="77777777" w:rsidR="00183EFC" w:rsidRDefault="00183EFC" w:rsidP="00902260">
            <w:pPr>
              <w:pStyle w:val="TAC"/>
            </w:pPr>
            <w:r w:rsidRPr="00690A26">
              <w:t>O</w:t>
            </w:r>
          </w:p>
        </w:tc>
        <w:tc>
          <w:tcPr>
            <w:tcW w:w="1130" w:type="dxa"/>
            <w:tcBorders>
              <w:top w:val="single" w:sz="6" w:space="0" w:color="auto"/>
              <w:left w:val="single" w:sz="6" w:space="0" w:color="auto"/>
              <w:bottom w:val="single" w:sz="6" w:space="0" w:color="auto"/>
              <w:right w:val="single" w:sz="6" w:space="0" w:color="auto"/>
            </w:tcBorders>
          </w:tcPr>
          <w:p w14:paraId="407495E1" w14:textId="77777777" w:rsidR="00183EFC" w:rsidRDefault="00183EFC" w:rsidP="00902260">
            <w:pPr>
              <w:pStyle w:val="TAL"/>
            </w:pPr>
            <w:r w:rsidRPr="00690A26">
              <w:t>0..1</w:t>
            </w:r>
          </w:p>
        </w:tc>
        <w:tc>
          <w:tcPr>
            <w:tcW w:w="2845" w:type="dxa"/>
            <w:tcBorders>
              <w:top w:val="single" w:sz="6" w:space="0" w:color="auto"/>
              <w:left w:val="single" w:sz="6" w:space="0" w:color="auto"/>
              <w:bottom w:val="single" w:sz="6" w:space="0" w:color="auto"/>
              <w:right w:val="single" w:sz="6" w:space="0" w:color="auto"/>
            </w:tcBorders>
          </w:tcPr>
          <w:p w14:paraId="53A6B2CD" w14:textId="77777777" w:rsidR="00183EFC" w:rsidRDefault="00183EFC" w:rsidP="00902260">
            <w:pPr>
              <w:pStyle w:val="TAL"/>
              <w:rPr>
                <w:lang w:eastAsia="zh-CN"/>
              </w:rPr>
            </w:pPr>
            <w:r>
              <w:t>Represents the s</w:t>
            </w:r>
            <w:r w:rsidRPr="00690A26">
              <w:rPr>
                <w:rFonts w:cs="Arial"/>
                <w:szCs w:val="18"/>
              </w:rPr>
              <w:t xml:space="preserve">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3D26490D" w14:textId="77777777" w:rsidR="00183EFC" w:rsidRDefault="00183EFC" w:rsidP="00902260">
            <w:pPr>
              <w:pStyle w:val="TAL"/>
              <w:rPr>
                <w:rFonts w:cs="Arial"/>
                <w:szCs w:val="18"/>
              </w:rPr>
            </w:pPr>
          </w:p>
        </w:tc>
      </w:tr>
      <w:tr w:rsidR="00183EFC" w14:paraId="116CEE20" w14:textId="77777777" w:rsidTr="00902260">
        <w:trPr>
          <w:jc w:val="center"/>
        </w:trPr>
        <w:tc>
          <w:tcPr>
            <w:tcW w:w="1552" w:type="dxa"/>
            <w:tcBorders>
              <w:top w:val="single" w:sz="6" w:space="0" w:color="auto"/>
              <w:left w:val="single" w:sz="6" w:space="0" w:color="auto"/>
              <w:bottom w:val="single" w:sz="6" w:space="0" w:color="auto"/>
              <w:right w:val="single" w:sz="6" w:space="0" w:color="auto"/>
            </w:tcBorders>
          </w:tcPr>
          <w:p w14:paraId="5DD34919" w14:textId="77777777" w:rsidR="00183EFC" w:rsidRPr="00690A26" w:rsidRDefault="00183EFC" w:rsidP="00902260">
            <w:pPr>
              <w:pStyle w:val="TAL"/>
            </w:pPr>
            <w:r>
              <w:rPr>
                <w:lang w:eastAsia="zh-CN"/>
              </w:rPr>
              <w:t>confidence</w:t>
            </w:r>
          </w:p>
        </w:tc>
        <w:tc>
          <w:tcPr>
            <w:tcW w:w="1752" w:type="dxa"/>
            <w:tcBorders>
              <w:top w:val="single" w:sz="6" w:space="0" w:color="auto"/>
              <w:left w:val="single" w:sz="6" w:space="0" w:color="auto"/>
              <w:bottom w:val="single" w:sz="6" w:space="0" w:color="auto"/>
              <w:right w:val="single" w:sz="6" w:space="0" w:color="auto"/>
            </w:tcBorders>
          </w:tcPr>
          <w:p w14:paraId="0DA82BA3" w14:textId="77777777" w:rsidR="00183EFC" w:rsidRPr="00690A26" w:rsidRDefault="00183EFC" w:rsidP="00902260">
            <w:pPr>
              <w:pStyle w:val="TAL"/>
            </w:pPr>
            <w:r>
              <w:rPr>
                <w:lang w:eastAsia="zh-CN"/>
              </w:rPr>
              <w:t>Uinteger</w:t>
            </w:r>
          </w:p>
        </w:tc>
        <w:tc>
          <w:tcPr>
            <w:tcW w:w="424" w:type="dxa"/>
            <w:tcBorders>
              <w:top w:val="single" w:sz="6" w:space="0" w:color="auto"/>
              <w:left w:val="single" w:sz="6" w:space="0" w:color="auto"/>
              <w:bottom w:val="single" w:sz="6" w:space="0" w:color="auto"/>
              <w:right w:val="single" w:sz="6" w:space="0" w:color="auto"/>
            </w:tcBorders>
          </w:tcPr>
          <w:p w14:paraId="079ECC35" w14:textId="77777777" w:rsidR="00183EFC" w:rsidRPr="00690A26" w:rsidRDefault="00183EFC" w:rsidP="00902260">
            <w:pPr>
              <w:pStyle w:val="TAC"/>
            </w:pPr>
            <w:r>
              <w:rPr>
                <w:lang w:eastAsia="zh-CN"/>
              </w:rPr>
              <w:t>O</w:t>
            </w:r>
          </w:p>
        </w:tc>
        <w:tc>
          <w:tcPr>
            <w:tcW w:w="1130" w:type="dxa"/>
            <w:tcBorders>
              <w:top w:val="single" w:sz="6" w:space="0" w:color="auto"/>
              <w:left w:val="single" w:sz="6" w:space="0" w:color="auto"/>
              <w:bottom w:val="single" w:sz="6" w:space="0" w:color="auto"/>
              <w:right w:val="single" w:sz="6" w:space="0" w:color="auto"/>
            </w:tcBorders>
          </w:tcPr>
          <w:p w14:paraId="720CC55F" w14:textId="77777777" w:rsidR="00183EFC" w:rsidRPr="00690A26" w:rsidRDefault="00183EFC" w:rsidP="00902260">
            <w:pPr>
              <w:pStyle w:val="TAL"/>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6EFCCF96" w14:textId="77777777" w:rsidR="00183EFC" w:rsidRDefault="00183EFC" w:rsidP="00902260">
            <w:pPr>
              <w:pStyle w:val="TAL"/>
              <w:rPr>
                <w:lang w:eastAsia="zh-CN"/>
              </w:rPr>
            </w:pPr>
            <w:r>
              <w:rPr>
                <w:lang w:eastAsia="zh-CN"/>
              </w:rPr>
              <w:t>Indicates the confidence of the prediction.</w:t>
            </w:r>
          </w:p>
          <w:p w14:paraId="73B493EB" w14:textId="77777777" w:rsidR="00183EFC" w:rsidRDefault="00183EFC" w:rsidP="00902260">
            <w:pPr>
              <w:pStyle w:val="TAL"/>
              <w:rPr>
                <w:lang w:eastAsia="zh-CN"/>
              </w:rPr>
            </w:pPr>
            <w:r>
              <w:rPr>
                <w:lang w:eastAsia="zh-CN"/>
              </w:rPr>
              <w:t>Minimum = 0. Maximum = 100.</w:t>
            </w:r>
          </w:p>
          <w:p w14:paraId="719B83E5" w14:textId="77777777" w:rsidR="00183EFC" w:rsidRDefault="00183EFC" w:rsidP="00902260">
            <w:pPr>
              <w:pStyle w:val="TAL"/>
              <w:rPr>
                <w:lang w:eastAsia="zh-CN"/>
              </w:rPr>
            </w:pPr>
          </w:p>
          <w:p w14:paraId="761FED30" w14:textId="77777777" w:rsidR="00183EFC" w:rsidRDefault="00183EFC" w:rsidP="00902260">
            <w:pPr>
              <w:pStyle w:val="TAL"/>
              <w:rPr>
                <w:lang w:eastAsia="zh-CN"/>
              </w:rPr>
            </w:pPr>
            <w:r>
              <w:rPr>
                <w:lang w:eastAsia="zh-CN"/>
              </w:rPr>
              <w:t>(NOTE</w:t>
            </w:r>
            <w:r>
              <w:rPr>
                <w:lang w:val="en-US" w:eastAsia="zh-CN"/>
              </w:rPr>
              <w:t> 3</w:t>
            </w:r>
            <w:r>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41DB3429" w14:textId="77777777" w:rsidR="00183EFC" w:rsidRDefault="00183EFC" w:rsidP="00902260">
            <w:pPr>
              <w:pStyle w:val="TAL"/>
              <w:rPr>
                <w:rFonts w:cs="Arial"/>
                <w:szCs w:val="18"/>
              </w:rPr>
            </w:pPr>
          </w:p>
        </w:tc>
      </w:tr>
      <w:tr w:rsidR="00183EFC" w14:paraId="4A2BA6D5" w14:textId="77777777" w:rsidTr="00902260">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1AF80450" w14:textId="553E1213" w:rsidR="00183EFC" w:rsidRDefault="00183EFC" w:rsidP="00902260">
            <w:pPr>
              <w:pStyle w:val="TAN"/>
              <w:rPr>
                <w:lang w:eastAsia="zh-CN"/>
              </w:rPr>
            </w:pPr>
            <w:r>
              <w:lastRenderedPageBreak/>
              <w:t>N</w:t>
            </w:r>
            <w:r>
              <w:rPr>
                <w:lang w:eastAsia="zh-CN"/>
              </w:rPr>
              <w:t>OTE</w:t>
            </w:r>
            <w:r w:rsidRPr="00C40562">
              <w:rPr>
                <w:lang w:eastAsia="zh-CN"/>
              </w:rPr>
              <w:t> 1</w:t>
            </w:r>
            <w:r>
              <w:rPr>
                <w:lang w:eastAsia="zh-CN"/>
              </w:rPr>
              <w:t>:</w:t>
            </w:r>
            <w:r>
              <w:rPr>
                <w:lang w:eastAsia="zh-CN"/>
              </w:rPr>
              <w:tab/>
            </w:r>
            <w:r>
              <w:rPr>
                <w:rFonts w:hint="eastAsia"/>
                <w:lang w:eastAsia="zh-CN"/>
              </w:rPr>
              <w:t>Either</w:t>
            </w:r>
            <w:r>
              <w:rPr>
                <w:lang w:eastAsia="zh-CN"/>
              </w:rPr>
              <w:t xml:space="preserve"> the "tgtNfInstanceIds" or "tgtNfSetIds" shall be provided.</w:t>
            </w:r>
          </w:p>
          <w:p w14:paraId="37CA3DDD" w14:textId="419CF608" w:rsidR="00183EFC" w:rsidRPr="00C40562" w:rsidRDefault="00183EFC" w:rsidP="00902260">
            <w:pPr>
              <w:pStyle w:val="TAN"/>
            </w:pPr>
            <w:r>
              <w:rPr>
                <w:lang w:eastAsia="zh-CN"/>
              </w:rPr>
              <w:t>NOTE</w:t>
            </w:r>
            <w:r w:rsidRPr="00C40562">
              <w:rPr>
                <w:lang w:eastAsia="zh-CN"/>
              </w:rPr>
              <w:t> </w:t>
            </w:r>
            <w:r>
              <w:rPr>
                <w:lang w:eastAsia="zh-CN"/>
              </w:rPr>
              <w:t>2:</w:t>
            </w:r>
            <w:r>
              <w:rPr>
                <w:lang w:eastAsia="zh-CN"/>
              </w:rPr>
              <w:tab/>
            </w:r>
            <w:r>
              <w:rPr>
                <w:rFonts w:hint="eastAsia"/>
                <w:lang w:eastAsia="zh-CN"/>
              </w:rPr>
              <w:t>Either</w:t>
            </w:r>
            <w:r>
              <w:t xml:space="preserve"> the "</w:t>
            </w:r>
            <w:r>
              <w:rPr>
                <w:lang w:eastAsia="zh-CN"/>
              </w:rPr>
              <w:t>srcNfInstanceIds</w:t>
            </w:r>
            <w:r>
              <w:t>" or "</w:t>
            </w:r>
            <w:r>
              <w:rPr>
                <w:lang w:eastAsia="zh-CN"/>
              </w:rPr>
              <w:t>srcNfSetIds</w:t>
            </w:r>
            <w:r>
              <w:t>" attribute may be provided.</w:t>
            </w:r>
          </w:p>
          <w:p w14:paraId="64B42817" w14:textId="77777777" w:rsidR="00183EFC" w:rsidRDefault="00183EFC" w:rsidP="00902260">
            <w:pPr>
              <w:pStyle w:val="TAN"/>
            </w:pPr>
            <w:r>
              <w:t>NOTE 3:</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p w14:paraId="6E72EE44" w14:textId="75097181" w:rsidR="00183EFC" w:rsidRPr="000459A5" w:rsidRDefault="00183EFC" w:rsidP="00902260">
            <w:pPr>
              <w:pStyle w:val="TAN"/>
            </w:pPr>
            <w:r>
              <w:t>N</w:t>
            </w:r>
            <w:r>
              <w:rPr>
                <w:lang w:eastAsia="zh-CN"/>
              </w:rPr>
              <w:t>OTE</w:t>
            </w:r>
            <w:r w:rsidRPr="00C40562">
              <w:rPr>
                <w:lang w:eastAsia="zh-CN"/>
              </w:rPr>
              <w:t> </w:t>
            </w:r>
            <w:r>
              <w:rPr>
                <w:lang w:eastAsia="zh-CN"/>
              </w:rPr>
              <w:t>4:</w:t>
            </w:r>
            <w:r>
              <w:rPr>
                <w:lang w:eastAsia="zh-CN"/>
              </w:rPr>
              <w:tab/>
              <w:t>The "srcE</w:t>
            </w:r>
            <w:r>
              <w:rPr>
                <w:noProof/>
              </w:rPr>
              <w:t>xterGroupIds</w:t>
            </w:r>
            <w:r>
              <w:rPr>
                <w:lang w:eastAsia="zh-CN"/>
              </w:rPr>
              <w:t xml:space="preserve">" and "srcGpsis" attributes are not </w:t>
            </w:r>
            <w:r>
              <w:rPr>
                <w:rFonts w:cs="Arial"/>
                <w:szCs w:val="18"/>
              </w:rPr>
              <w:t>applicable in this specification</w:t>
            </w:r>
            <w:r>
              <w:rPr>
                <w:lang w:eastAsia="zh-CN"/>
              </w:rPr>
              <w:t>.</w:t>
            </w:r>
          </w:p>
        </w:tc>
      </w:tr>
    </w:tbl>
    <w:p w14:paraId="07AC043C" w14:textId="77777777" w:rsidR="00183EFC" w:rsidRDefault="00183EFC" w:rsidP="00183EFC">
      <w:pPr>
        <w:rPr>
          <w:lang w:eastAsia="zh-CN"/>
        </w:rPr>
      </w:pPr>
    </w:p>
    <w:p w14:paraId="6A9AB37F" w14:textId="77777777" w:rsidR="00143F25" w:rsidRDefault="00143F25" w:rsidP="00143F25">
      <w:pPr>
        <w:pStyle w:val="5"/>
      </w:pPr>
      <w:bookmarkStart w:id="8319" w:name="_Toc199452999"/>
      <w:r>
        <w:t>5.1.6.2.110</w:t>
      </w:r>
      <w:r>
        <w:tab/>
        <w:t>Type SignalInfo</w:t>
      </w:r>
      <w:bookmarkEnd w:id="8314"/>
      <w:bookmarkEnd w:id="8315"/>
      <w:bookmarkEnd w:id="8316"/>
      <w:bookmarkEnd w:id="8317"/>
      <w:bookmarkEnd w:id="8318"/>
      <w:bookmarkEnd w:id="8319"/>
    </w:p>
    <w:p w14:paraId="4BE4F377" w14:textId="77777777" w:rsidR="00991119" w:rsidRDefault="00991119" w:rsidP="00991119">
      <w:pPr>
        <w:pStyle w:val="TH"/>
      </w:pPr>
      <w:r>
        <w:t>Table 5.1.6.2.110-1: Definition of type SignalInfo</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991119" w14:paraId="4B2F0126"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295CFE63" w14:textId="77777777" w:rsidR="00991119" w:rsidRDefault="00991119" w:rsidP="009E7F73">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6F97F3DA" w14:textId="77777777" w:rsidR="00991119" w:rsidRDefault="00991119" w:rsidP="009E7F73">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3372F4DF" w14:textId="77777777" w:rsidR="00991119" w:rsidRDefault="00991119" w:rsidP="009E7F73">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5C28E075" w14:textId="77777777" w:rsidR="00991119" w:rsidRDefault="00991119" w:rsidP="009E7F73">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2737D35A" w14:textId="77777777" w:rsidR="00991119" w:rsidRDefault="00991119" w:rsidP="009E7F73">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23B3FE49" w14:textId="77777777" w:rsidR="00991119" w:rsidRDefault="00991119" w:rsidP="009E7F73">
            <w:pPr>
              <w:pStyle w:val="TAH"/>
              <w:ind w:left="400" w:hanging="400"/>
            </w:pPr>
            <w:r>
              <w:t>Applicability</w:t>
            </w:r>
          </w:p>
        </w:tc>
      </w:tr>
      <w:tr w:rsidR="00991119" w14:paraId="6EC37566"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tcPr>
          <w:p w14:paraId="654BE558" w14:textId="77777777" w:rsidR="00991119" w:rsidRDefault="00991119" w:rsidP="009E7F73">
            <w:pPr>
              <w:pStyle w:val="TAL"/>
              <w:rPr>
                <w:lang w:eastAsia="zh-CN"/>
              </w:rPr>
            </w:pPr>
            <w:r>
              <w:rPr>
                <w:lang w:eastAsia="zh-CN"/>
              </w:rPr>
              <w:t>impactRefPoints</w:t>
            </w:r>
          </w:p>
        </w:tc>
        <w:tc>
          <w:tcPr>
            <w:tcW w:w="1752" w:type="dxa"/>
            <w:tcBorders>
              <w:top w:val="single" w:sz="6" w:space="0" w:color="auto"/>
              <w:left w:val="single" w:sz="6" w:space="0" w:color="auto"/>
              <w:bottom w:val="single" w:sz="6" w:space="0" w:color="auto"/>
              <w:right w:val="single" w:sz="6" w:space="0" w:color="auto"/>
            </w:tcBorders>
          </w:tcPr>
          <w:p w14:paraId="2BAA594E" w14:textId="77777777" w:rsidR="00991119" w:rsidRDefault="00991119" w:rsidP="009E7F73">
            <w:pPr>
              <w:pStyle w:val="TAL"/>
              <w:rPr>
                <w:lang w:eastAsia="zh-CN"/>
              </w:rPr>
            </w:pPr>
            <w:r>
              <w:rPr>
                <w:lang w:eastAsia="zh-CN"/>
              </w:rPr>
              <w:t>array(string)</w:t>
            </w:r>
          </w:p>
        </w:tc>
        <w:tc>
          <w:tcPr>
            <w:tcW w:w="424" w:type="dxa"/>
            <w:tcBorders>
              <w:top w:val="single" w:sz="6" w:space="0" w:color="auto"/>
              <w:left w:val="single" w:sz="6" w:space="0" w:color="auto"/>
              <w:bottom w:val="single" w:sz="6" w:space="0" w:color="auto"/>
              <w:right w:val="single" w:sz="6" w:space="0" w:color="auto"/>
            </w:tcBorders>
          </w:tcPr>
          <w:p w14:paraId="4130D43C" w14:textId="77777777" w:rsidR="00991119" w:rsidRDefault="00991119"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94AE5E8" w14:textId="77777777" w:rsidR="00991119" w:rsidRPr="00C72842" w:rsidRDefault="00991119" w:rsidP="009E7F73">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19629C2C" w14:textId="77777777" w:rsidR="00991119" w:rsidRDefault="00991119" w:rsidP="009E7F73">
            <w:pPr>
              <w:pStyle w:val="TAL"/>
              <w:rPr>
                <w:lang w:eastAsia="ko-KR"/>
              </w:rPr>
            </w:pPr>
            <w:r>
              <w:rPr>
                <w:lang w:eastAsia="ko-KR"/>
              </w:rPr>
              <w:t xml:space="preserve">The </w:t>
            </w:r>
            <w:r w:rsidRPr="001B2ACF">
              <w:rPr>
                <w:rFonts w:hint="eastAsia"/>
                <w:lang w:eastAsia="ko-KR"/>
              </w:rPr>
              <w:t>impacted reference point</w:t>
            </w:r>
            <w:r>
              <w:rPr>
                <w:lang w:eastAsia="ko-KR"/>
              </w:rPr>
              <w:t>(s).</w:t>
            </w:r>
          </w:p>
          <w:p w14:paraId="770E01DF" w14:textId="77777777" w:rsidR="00991119" w:rsidRDefault="00991119" w:rsidP="009E7F73">
            <w:pPr>
              <w:pStyle w:val="TAL"/>
              <w:rPr>
                <w:lang w:eastAsia="zh-CN"/>
              </w:rPr>
            </w:pPr>
            <w:r>
              <w:rPr>
                <w:rFonts w:hint="eastAsia"/>
                <w:lang w:eastAsia="zh-CN"/>
              </w:rPr>
              <w:t>(NOTE)</w:t>
            </w:r>
          </w:p>
        </w:tc>
        <w:tc>
          <w:tcPr>
            <w:tcW w:w="1837" w:type="dxa"/>
            <w:tcBorders>
              <w:top w:val="single" w:sz="6" w:space="0" w:color="auto"/>
              <w:left w:val="single" w:sz="6" w:space="0" w:color="auto"/>
              <w:bottom w:val="single" w:sz="6" w:space="0" w:color="auto"/>
              <w:right w:val="single" w:sz="6" w:space="0" w:color="auto"/>
            </w:tcBorders>
          </w:tcPr>
          <w:p w14:paraId="6F6AC98F" w14:textId="77777777" w:rsidR="00991119" w:rsidRDefault="00991119" w:rsidP="009E7F73">
            <w:pPr>
              <w:pStyle w:val="TAL"/>
              <w:rPr>
                <w:rFonts w:cs="Arial"/>
                <w:szCs w:val="18"/>
              </w:rPr>
            </w:pPr>
          </w:p>
        </w:tc>
      </w:tr>
      <w:tr w:rsidR="00991119" w14:paraId="62B572F6"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tcPr>
          <w:p w14:paraId="5B7BAD09" w14:textId="77777777" w:rsidR="00991119" w:rsidRDefault="00991119" w:rsidP="009E7F73">
            <w:pPr>
              <w:pStyle w:val="TAL"/>
              <w:rPr>
                <w:lang w:eastAsia="zh-CN"/>
              </w:rPr>
            </w:pPr>
            <w:r>
              <w:rPr>
                <w:lang w:eastAsia="zh-CN"/>
              </w:rPr>
              <w:t>impactSrvOps</w:t>
            </w:r>
          </w:p>
        </w:tc>
        <w:tc>
          <w:tcPr>
            <w:tcW w:w="1752" w:type="dxa"/>
            <w:tcBorders>
              <w:top w:val="single" w:sz="6" w:space="0" w:color="auto"/>
              <w:left w:val="single" w:sz="6" w:space="0" w:color="auto"/>
              <w:bottom w:val="single" w:sz="6" w:space="0" w:color="auto"/>
              <w:right w:val="single" w:sz="6" w:space="0" w:color="auto"/>
            </w:tcBorders>
          </w:tcPr>
          <w:p w14:paraId="32AA0A29" w14:textId="77777777" w:rsidR="00991119" w:rsidRDefault="00991119" w:rsidP="009E7F73">
            <w:pPr>
              <w:pStyle w:val="TAL"/>
            </w:pPr>
            <w:r>
              <w:rPr>
                <w:lang w:eastAsia="zh-CN"/>
              </w:rPr>
              <w:t>array(string)</w:t>
            </w:r>
          </w:p>
        </w:tc>
        <w:tc>
          <w:tcPr>
            <w:tcW w:w="424" w:type="dxa"/>
            <w:tcBorders>
              <w:top w:val="single" w:sz="6" w:space="0" w:color="auto"/>
              <w:left w:val="single" w:sz="6" w:space="0" w:color="auto"/>
              <w:bottom w:val="single" w:sz="6" w:space="0" w:color="auto"/>
              <w:right w:val="single" w:sz="6" w:space="0" w:color="auto"/>
            </w:tcBorders>
          </w:tcPr>
          <w:p w14:paraId="4054A335" w14:textId="77777777" w:rsidR="00991119" w:rsidRDefault="00991119" w:rsidP="009E7F73">
            <w:pPr>
              <w:pStyle w:val="TAC"/>
              <w:rPr>
                <w:lang w:eastAsia="zh-CN"/>
              </w:rPr>
            </w:pPr>
            <w:r>
              <w:rPr>
                <w:rFonts w:hint="eastAsia"/>
                <w:lang w:eastAsia="zh-CN"/>
              </w:rPr>
              <w:t>O</w:t>
            </w:r>
          </w:p>
        </w:tc>
        <w:tc>
          <w:tcPr>
            <w:tcW w:w="1130" w:type="dxa"/>
            <w:tcBorders>
              <w:top w:val="single" w:sz="6" w:space="0" w:color="auto"/>
              <w:left w:val="single" w:sz="6" w:space="0" w:color="auto"/>
              <w:bottom w:val="single" w:sz="6" w:space="0" w:color="auto"/>
              <w:right w:val="single" w:sz="6" w:space="0" w:color="auto"/>
            </w:tcBorders>
          </w:tcPr>
          <w:p w14:paraId="0A05F9B4" w14:textId="77777777" w:rsidR="00991119" w:rsidRPr="00C72842" w:rsidRDefault="00991119" w:rsidP="009E7F73">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224932E1" w14:textId="77777777" w:rsidR="00991119" w:rsidRDefault="00991119" w:rsidP="009E7F73">
            <w:pPr>
              <w:pStyle w:val="TAL"/>
              <w:rPr>
                <w:lang w:eastAsia="ko-KR"/>
              </w:rPr>
            </w:pPr>
            <w:r>
              <w:rPr>
                <w:lang w:eastAsia="ko-KR"/>
              </w:rPr>
              <w:t xml:space="preserve">The </w:t>
            </w:r>
            <w:r w:rsidRPr="001B2ACF">
              <w:rPr>
                <w:rFonts w:hint="eastAsia"/>
                <w:lang w:eastAsia="ko-KR"/>
              </w:rPr>
              <w:t xml:space="preserve">impacted </w:t>
            </w:r>
            <w:r w:rsidRPr="003214F6">
              <w:rPr>
                <w:lang w:eastAsia="ko-KR"/>
              </w:rPr>
              <w:t>s</w:t>
            </w:r>
            <w:r w:rsidRPr="003214F6">
              <w:rPr>
                <w:rFonts w:hint="eastAsia"/>
                <w:lang w:eastAsia="ko-KR"/>
              </w:rPr>
              <w:t xml:space="preserve">ervice </w:t>
            </w:r>
            <w:r w:rsidRPr="003214F6">
              <w:rPr>
                <w:lang w:eastAsia="ko-KR"/>
              </w:rPr>
              <w:t>o</w:t>
            </w:r>
            <w:r w:rsidRPr="003214F6">
              <w:rPr>
                <w:rFonts w:hint="eastAsia"/>
                <w:lang w:eastAsia="ko-KR"/>
              </w:rPr>
              <w:t>peration(s)</w:t>
            </w:r>
            <w:r>
              <w:rPr>
                <w:lang w:eastAsia="ko-KR"/>
              </w:rPr>
              <w:t>.</w:t>
            </w:r>
          </w:p>
          <w:p w14:paraId="6D3195F6" w14:textId="77777777" w:rsidR="00991119" w:rsidRDefault="00991119" w:rsidP="009E7F73">
            <w:pPr>
              <w:pStyle w:val="TAL"/>
              <w:rPr>
                <w:lang w:eastAsia="zh-CN"/>
              </w:rPr>
            </w:pPr>
            <w:r>
              <w:rPr>
                <w:rFonts w:hint="eastAsia"/>
                <w:lang w:eastAsia="zh-CN"/>
              </w:rPr>
              <w:t>(NOTE)</w:t>
            </w:r>
          </w:p>
        </w:tc>
        <w:tc>
          <w:tcPr>
            <w:tcW w:w="1837" w:type="dxa"/>
            <w:tcBorders>
              <w:top w:val="single" w:sz="6" w:space="0" w:color="auto"/>
              <w:left w:val="single" w:sz="6" w:space="0" w:color="auto"/>
              <w:bottom w:val="single" w:sz="6" w:space="0" w:color="auto"/>
              <w:right w:val="single" w:sz="6" w:space="0" w:color="auto"/>
            </w:tcBorders>
          </w:tcPr>
          <w:p w14:paraId="2252EF5C" w14:textId="77777777" w:rsidR="00991119" w:rsidRDefault="00991119" w:rsidP="009E7F73">
            <w:pPr>
              <w:pStyle w:val="TAL"/>
              <w:rPr>
                <w:rFonts w:cs="Arial"/>
                <w:szCs w:val="18"/>
              </w:rPr>
            </w:pPr>
          </w:p>
        </w:tc>
      </w:tr>
      <w:tr w:rsidR="00991119" w14:paraId="681FD55C" w14:textId="77777777" w:rsidTr="009E7F73">
        <w:trPr>
          <w:jc w:val="center"/>
        </w:trPr>
        <w:tc>
          <w:tcPr>
            <w:tcW w:w="1552" w:type="dxa"/>
            <w:tcBorders>
              <w:top w:val="single" w:sz="6" w:space="0" w:color="auto"/>
              <w:left w:val="single" w:sz="6" w:space="0" w:color="auto"/>
              <w:bottom w:val="single" w:sz="6" w:space="0" w:color="auto"/>
              <w:right w:val="single" w:sz="6" w:space="0" w:color="auto"/>
            </w:tcBorders>
          </w:tcPr>
          <w:p w14:paraId="66083FB3" w14:textId="77777777" w:rsidR="00991119" w:rsidRDefault="00991119" w:rsidP="009E7F73">
            <w:pPr>
              <w:pStyle w:val="TAL"/>
              <w:rPr>
                <w:lang w:eastAsia="zh-CN"/>
              </w:rPr>
            </w:pPr>
            <w:r>
              <w:rPr>
                <w:lang w:eastAsia="zh-CN"/>
              </w:rPr>
              <w:t>sigAnalytics</w:t>
            </w:r>
          </w:p>
        </w:tc>
        <w:tc>
          <w:tcPr>
            <w:tcW w:w="1752" w:type="dxa"/>
            <w:tcBorders>
              <w:top w:val="single" w:sz="6" w:space="0" w:color="auto"/>
              <w:left w:val="single" w:sz="6" w:space="0" w:color="auto"/>
              <w:bottom w:val="single" w:sz="6" w:space="0" w:color="auto"/>
              <w:right w:val="single" w:sz="6" w:space="0" w:color="auto"/>
            </w:tcBorders>
          </w:tcPr>
          <w:p w14:paraId="6580AB4A" w14:textId="77777777" w:rsidR="00991119" w:rsidRDefault="00991119" w:rsidP="009E7F73">
            <w:pPr>
              <w:pStyle w:val="TAL"/>
              <w:rPr>
                <w:lang w:eastAsia="zh-CN"/>
              </w:rPr>
            </w:pPr>
            <w:r>
              <w:rPr>
                <w:lang w:eastAsia="zh-CN"/>
              </w:rPr>
              <w:t>array(</w:t>
            </w:r>
            <w:r>
              <w:t>SignalAnalytics)</w:t>
            </w:r>
          </w:p>
        </w:tc>
        <w:tc>
          <w:tcPr>
            <w:tcW w:w="424" w:type="dxa"/>
            <w:tcBorders>
              <w:top w:val="single" w:sz="6" w:space="0" w:color="auto"/>
              <w:left w:val="single" w:sz="6" w:space="0" w:color="auto"/>
              <w:bottom w:val="single" w:sz="6" w:space="0" w:color="auto"/>
              <w:right w:val="single" w:sz="6" w:space="0" w:color="auto"/>
            </w:tcBorders>
          </w:tcPr>
          <w:p w14:paraId="143819FD" w14:textId="77777777" w:rsidR="00991119" w:rsidRDefault="00991119" w:rsidP="009E7F73">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749CC29" w14:textId="77777777" w:rsidR="00991119" w:rsidRDefault="00991119" w:rsidP="009E7F73">
            <w:pPr>
              <w:pStyle w:val="TAL"/>
              <w:rPr>
                <w:lang w:eastAsia="zh-CN"/>
              </w:rPr>
            </w:pPr>
            <w:r>
              <w:t>1..N</w:t>
            </w:r>
          </w:p>
        </w:tc>
        <w:tc>
          <w:tcPr>
            <w:tcW w:w="2845" w:type="dxa"/>
            <w:tcBorders>
              <w:top w:val="single" w:sz="6" w:space="0" w:color="auto"/>
              <w:left w:val="single" w:sz="6" w:space="0" w:color="auto"/>
              <w:bottom w:val="single" w:sz="6" w:space="0" w:color="auto"/>
              <w:right w:val="single" w:sz="6" w:space="0" w:color="auto"/>
            </w:tcBorders>
          </w:tcPr>
          <w:p w14:paraId="752A2525" w14:textId="77777777" w:rsidR="00991119" w:rsidRDefault="00991119" w:rsidP="009E7F73">
            <w:pPr>
              <w:pStyle w:val="TAL"/>
              <w:rPr>
                <w:rFonts w:cs="Arial"/>
                <w:szCs w:val="18"/>
                <w:lang w:eastAsia="zh-CN"/>
              </w:rPr>
            </w:pPr>
            <w:r>
              <w:rPr>
                <w:lang w:eastAsia="ko-KR"/>
              </w:rPr>
              <w:t>Indicates the r</w:t>
            </w:r>
            <w:r w:rsidRPr="001B2ACF">
              <w:rPr>
                <w:lang w:eastAsia="ko-KR"/>
              </w:rPr>
              <w:t xml:space="preserve">eceived </w:t>
            </w:r>
            <w:r>
              <w:rPr>
                <w:lang w:eastAsia="ko-KR"/>
              </w:rPr>
              <w:t>s</w:t>
            </w:r>
            <w:r w:rsidRPr="001B2ACF">
              <w:rPr>
                <w:lang w:eastAsia="ko-KR"/>
              </w:rPr>
              <w:t xml:space="preserve">ignalling </w:t>
            </w:r>
            <w:r>
              <w:rPr>
                <w:lang w:eastAsia="ko-KR"/>
              </w:rPr>
              <w:t>a</w:t>
            </w:r>
            <w:r w:rsidRPr="001B2ACF">
              <w:rPr>
                <w:lang w:eastAsia="ko-KR"/>
              </w:rPr>
              <w:t>nalytics.</w:t>
            </w:r>
          </w:p>
        </w:tc>
        <w:tc>
          <w:tcPr>
            <w:tcW w:w="1837" w:type="dxa"/>
            <w:tcBorders>
              <w:top w:val="single" w:sz="6" w:space="0" w:color="auto"/>
              <w:left w:val="single" w:sz="6" w:space="0" w:color="auto"/>
              <w:bottom w:val="single" w:sz="6" w:space="0" w:color="auto"/>
              <w:right w:val="single" w:sz="6" w:space="0" w:color="auto"/>
            </w:tcBorders>
          </w:tcPr>
          <w:p w14:paraId="6CDFFDFD" w14:textId="77777777" w:rsidR="00991119" w:rsidRDefault="00991119" w:rsidP="009E7F73">
            <w:pPr>
              <w:pStyle w:val="TAL"/>
              <w:rPr>
                <w:rFonts w:cs="Arial"/>
                <w:szCs w:val="18"/>
              </w:rPr>
            </w:pPr>
          </w:p>
        </w:tc>
      </w:tr>
      <w:tr w:rsidR="00991119" w14:paraId="1594003D" w14:textId="77777777" w:rsidTr="009E7F73">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28490D67" w14:textId="77777777" w:rsidR="00991119" w:rsidRDefault="00991119" w:rsidP="009E7F73">
            <w:pPr>
              <w:pStyle w:val="TAN"/>
              <w:rPr>
                <w:rFonts w:cs="Arial"/>
                <w:szCs w:val="18"/>
              </w:rPr>
            </w:pPr>
            <w:r>
              <w:t>N</w:t>
            </w:r>
            <w:r>
              <w:rPr>
                <w:lang w:eastAsia="zh-CN"/>
              </w:rPr>
              <w:t>OTE:</w:t>
            </w:r>
            <w:r>
              <w:rPr>
                <w:lang w:eastAsia="zh-CN"/>
              </w:rPr>
              <w:tab/>
            </w:r>
            <w:r>
              <w:rPr>
                <w:rFonts w:hint="eastAsia"/>
                <w:lang w:eastAsia="zh-CN"/>
              </w:rPr>
              <w:t>T</w:t>
            </w:r>
            <w:r>
              <w:rPr>
                <w:lang w:eastAsia="zh-CN"/>
              </w:rPr>
              <w:t>he "</w:t>
            </w:r>
            <w:r>
              <w:rPr>
                <w:rFonts w:hint="eastAsia"/>
                <w:lang w:eastAsia="zh-CN"/>
              </w:rPr>
              <w:t>impactRefPoint</w:t>
            </w:r>
            <w:r>
              <w:rPr>
                <w:lang w:eastAsia="zh-CN"/>
              </w:rPr>
              <w:t xml:space="preserve">s" </w:t>
            </w:r>
            <w:r>
              <w:rPr>
                <w:rFonts w:hint="eastAsia"/>
                <w:lang w:eastAsia="zh-CN"/>
              </w:rPr>
              <w:t>and/</w:t>
            </w:r>
            <w:r>
              <w:rPr>
                <w:lang w:eastAsia="zh-CN"/>
              </w:rPr>
              <w:t>or "</w:t>
            </w:r>
            <w:r>
              <w:rPr>
                <w:rFonts w:hint="eastAsia"/>
                <w:lang w:eastAsia="zh-CN"/>
              </w:rPr>
              <w:t>impactSrvOp</w:t>
            </w:r>
            <w:r>
              <w:rPr>
                <w:lang w:eastAsia="zh-CN"/>
              </w:rPr>
              <w:t xml:space="preserve">s" </w:t>
            </w:r>
            <w:r>
              <w:rPr>
                <w:rFonts w:hint="eastAsia"/>
                <w:lang w:eastAsia="zh-CN"/>
              </w:rPr>
              <w:t>may only be included in analytics predictions</w:t>
            </w:r>
            <w:r>
              <w:rPr>
                <w:lang w:eastAsia="zh-CN"/>
              </w:rPr>
              <w:t>.</w:t>
            </w:r>
          </w:p>
        </w:tc>
      </w:tr>
    </w:tbl>
    <w:p w14:paraId="69D9D323" w14:textId="77777777" w:rsidR="00991119" w:rsidRPr="005F19CA" w:rsidRDefault="00991119" w:rsidP="00991119">
      <w:pPr>
        <w:rPr>
          <w:lang w:eastAsia="zh-CN"/>
        </w:rPr>
      </w:pPr>
    </w:p>
    <w:p w14:paraId="6485E1A5" w14:textId="77777777" w:rsidR="00143F25" w:rsidRDefault="00143F25" w:rsidP="00143F25">
      <w:pPr>
        <w:pStyle w:val="5"/>
      </w:pPr>
      <w:bookmarkStart w:id="8320" w:name="_Toc185517289"/>
      <w:bookmarkStart w:id="8321" w:name="_Toc191576340"/>
      <w:bookmarkStart w:id="8322" w:name="_Toc191577080"/>
      <w:bookmarkStart w:id="8323" w:name="_Toc192880150"/>
      <w:bookmarkStart w:id="8324" w:name="_Toc195815033"/>
      <w:bookmarkStart w:id="8325" w:name="_Toc199453000"/>
      <w:r>
        <w:t>5.1.6.2.111</w:t>
      </w:r>
      <w:r>
        <w:tab/>
        <w:t>Type SignalAnalytics</w:t>
      </w:r>
      <w:bookmarkEnd w:id="8320"/>
      <w:bookmarkEnd w:id="8321"/>
      <w:bookmarkEnd w:id="8322"/>
      <w:bookmarkEnd w:id="8323"/>
      <w:bookmarkEnd w:id="8324"/>
      <w:bookmarkEnd w:id="8325"/>
    </w:p>
    <w:p w14:paraId="7F2E6169" w14:textId="77777777" w:rsidR="00143F25" w:rsidRDefault="00143F25" w:rsidP="00143F25">
      <w:pPr>
        <w:pStyle w:val="TH"/>
      </w:pPr>
      <w:r>
        <w:t>Table 5.1.6.2.111-1: Definition of type SignalAnalytics</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143F25" w14:paraId="17427ABE"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315BFD9E" w14:textId="77777777" w:rsidR="00143F25" w:rsidRDefault="00143F25" w:rsidP="007D0950">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311D75A2" w14:textId="77777777" w:rsidR="00143F25" w:rsidRDefault="00143F25" w:rsidP="007D095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2369C85" w14:textId="77777777" w:rsidR="00143F25" w:rsidRDefault="00143F25" w:rsidP="007D095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41F7DE6" w14:textId="77777777" w:rsidR="00143F25" w:rsidRDefault="00143F25" w:rsidP="007D095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72DA365" w14:textId="77777777" w:rsidR="00143F25" w:rsidRDefault="00143F25" w:rsidP="007D095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4CE20E11" w14:textId="77777777" w:rsidR="00143F25" w:rsidRDefault="00143F25" w:rsidP="007D0950">
            <w:pPr>
              <w:pStyle w:val="TAH"/>
              <w:ind w:left="400" w:hanging="400"/>
            </w:pPr>
            <w:r>
              <w:t>Applicability</w:t>
            </w:r>
          </w:p>
        </w:tc>
      </w:tr>
      <w:tr w:rsidR="00143F25" w14:paraId="73EB6A3E"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6C6B9952" w14:textId="77777777" w:rsidR="00143F25" w:rsidRDefault="00143F25" w:rsidP="007D0950">
            <w:pPr>
              <w:pStyle w:val="TAL"/>
              <w:rPr>
                <w:lang w:eastAsia="zh-CN"/>
              </w:rPr>
            </w:pPr>
            <w:r>
              <w:rPr>
                <w:lang w:eastAsia="zh-CN"/>
              </w:rPr>
              <w:t>recvSigNum</w:t>
            </w:r>
          </w:p>
        </w:tc>
        <w:tc>
          <w:tcPr>
            <w:tcW w:w="1752" w:type="dxa"/>
            <w:tcBorders>
              <w:top w:val="single" w:sz="6" w:space="0" w:color="auto"/>
              <w:left w:val="single" w:sz="6" w:space="0" w:color="auto"/>
              <w:bottom w:val="single" w:sz="6" w:space="0" w:color="auto"/>
              <w:right w:val="single" w:sz="6" w:space="0" w:color="auto"/>
            </w:tcBorders>
          </w:tcPr>
          <w:p w14:paraId="76E5D7DF"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6A97743B"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F52DCC4"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38EC232B" w14:textId="77777777" w:rsidR="00143F25" w:rsidRDefault="00143F25" w:rsidP="007D0950">
            <w:pPr>
              <w:pStyle w:val="TAL"/>
              <w:rPr>
                <w:rFonts w:cs="Arial"/>
                <w:szCs w:val="18"/>
                <w:lang w:eastAsia="zh-CN"/>
              </w:rPr>
            </w:pPr>
            <w:r>
              <w:t xml:space="preserve">Represents </w:t>
            </w:r>
            <w:r>
              <w:rPr>
                <w:lang w:eastAsia="ko-KR"/>
              </w:rPr>
              <w:t>the r</w:t>
            </w:r>
            <w:r w:rsidRPr="001B2ACF">
              <w:rPr>
                <w:lang w:eastAsia="ko-KR"/>
              </w:rPr>
              <w:t>eceived number of signalling.</w:t>
            </w:r>
          </w:p>
        </w:tc>
        <w:tc>
          <w:tcPr>
            <w:tcW w:w="1837" w:type="dxa"/>
            <w:tcBorders>
              <w:top w:val="single" w:sz="6" w:space="0" w:color="auto"/>
              <w:left w:val="single" w:sz="6" w:space="0" w:color="auto"/>
              <w:bottom w:val="single" w:sz="6" w:space="0" w:color="auto"/>
              <w:right w:val="single" w:sz="6" w:space="0" w:color="auto"/>
            </w:tcBorders>
          </w:tcPr>
          <w:p w14:paraId="560E0BE6" w14:textId="77777777" w:rsidR="00143F25" w:rsidRDefault="00143F25" w:rsidP="007D0950">
            <w:pPr>
              <w:pStyle w:val="TAL"/>
              <w:rPr>
                <w:rFonts w:cs="Arial"/>
                <w:szCs w:val="18"/>
              </w:rPr>
            </w:pPr>
          </w:p>
        </w:tc>
      </w:tr>
      <w:tr w:rsidR="00143F25" w14:paraId="4A133E11"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2957B7BF" w14:textId="77777777" w:rsidR="00143F25" w:rsidRDefault="00143F25" w:rsidP="007D0950">
            <w:pPr>
              <w:pStyle w:val="TAL"/>
              <w:rPr>
                <w:lang w:eastAsia="zh-CN"/>
              </w:rPr>
            </w:pPr>
            <w:r>
              <w:rPr>
                <w:rFonts w:hint="eastAsia"/>
                <w:lang w:eastAsia="zh-CN"/>
              </w:rPr>
              <w:t>s</w:t>
            </w:r>
            <w:r>
              <w:rPr>
                <w:lang w:eastAsia="zh-CN"/>
              </w:rPr>
              <w:t>igGrowthRate</w:t>
            </w:r>
          </w:p>
        </w:tc>
        <w:tc>
          <w:tcPr>
            <w:tcW w:w="1752" w:type="dxa"/>
            <w:tcBorders>
              <w:top w:val="single" w:sz="6" w:space="0" w:color="auto"/>
              <w:left w:val="single" w:sz="6" w:space="0" w:color="auto"/>
              <w:bottom w:val="single" w:sz="6" w:space="0" w:color="auto"/>
              <w:right w:val="single" w:sz="6" w:space="0" w:color="auto"/>
            </w:tcBorders>
          </w:tcPr>
          <w:p w14:paraId="2530F188"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61AEAB65"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4F23C5A"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5C02096F" w14:textId="77777777" w:rsidR="00143F25" w:rsidRPr="0076721C" w:rsidRDefault="00143F25" w:rsidP="007D0950">
            <w:pPr>
              <w:pStyle w:val="TAL"/>
              <w:rPr>
                <w:rFonts w:eastAsia="等线"/>
                <w:lang w:eastAsia="zh-CN"/>
              </w:rPr>
            </w:pPr>
            <w:r>
              <w:t xml:space="preserve">Represents </w:t>
            </w:r>
            <w:r>
              <w:rPr>
                <w:lang w:eastAsia="ko-KR"/>
              </w:rPr>
              <w:t>the growth rate</w:t>
            </w:r>
            <w:r w:rsidRPr="001B2ACF">
              <w:rPr>
                <w:lang w:eastAsia="ko-KR"/>
              </w:rPr>
              <w:t xml:space="preserve"> of </w:t>
            </w:r>
            <w:r>
              <w:rPr>
                <w:lang w:eastAsia="ko-KR"/>
              </w:rPr>
              <w:t>the r</w:t>
            </w:r>
            <w:r w:rsidRPr="001B2ACF">
              <w:rPr>
                <w:lang w:eastAsia="ko-KR"/>
              </w:rPr>
              <w:t>eceived signalling.</w:t>
            </w:r>
          </w:p>
        </w:tc>
        <w:tc>
          <w:tcPr>
            <w:tcW w:w="1837" w:type="dxa"/>
            <w:tcBorders>
              <w:top w:val="single" w:sz="6" w:space="0" w:color="auto"/>
              <w:left w:val="single" w:sz="6" w:space="0" w:color="auto"/>
              <w:bottom w:val="single" w:sz="6" w:space="0" w:color="auto"/>
              <w:right w:val="single" w:sz="6" w:space="0" w:color="auto"/>
            </w:tcBorders>
          </w:tcPr>
          <w:p w14:paraId="5530BEC4" w14:textId="77777777" w:rsidR="00143F25" w:rsidRDefault="00143F25" w:rsidP="007D0950">
            <w:pPr>
              <w:pStyle w:val="TAL"/>
              <w:rPr>
                <w:rFonts w:cs="Arial"/>
                <w:szCs w:val="18"/>
              </w:rPr>
            </w:pPr>
          </w:p>
        </w:tc>
      </w:tr>
      <w:tr w:rsidR="00143F25" w14:paraId="56AFD62D"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5F40FC59" w14:textId="77777777" w:rsidR="00143F25" w:rsidRDefault="00143F25" w:rsidP="007D0950">
            <w:pPr>
              <w:pStyle w:val="TAL"/>
              <w:rPr>
                <w:lang w:eastAsia="zh-CN"/>
              </w:rPr>
            </w:pPr>
            <w:r>
              <w:rPr>
                <w:lang w:eastAsia="zh-CN"/>
              </w:rPr>
              <w:t>recvSigNumFromUe</w:t>
            </w:r>
          </w:p>
        </w:tc>
        <w:tc>
          <w:tcPr>
            <w:tcW w:w="1752" w:type="dxa"/>
            <w:tcBorders>
              <w:top w:val="single" w:sz="6" w:space="0" w:color="auto"/>
              <w:left w:val="single" w:sz="6" w:space="0" w:color="auto"/>
              <w:bottom w:val="single" w:sz="6" w:space="0" w:color="auto"/>
              <w:right w:val="single" w:sz="6" w:space="0" w:color="auto"/>
            </w:tcBorders>
          </w:tcPr>
          <w:p w14:paraId="5B1DCAEE" w14:textId="77777777" w:rsidR="00143F25" w:rsidRDefault="00143F25" w:rsidP="007D0950">
            <w:pPr>
              <w:pStyle w:val="TAL"/>
              <w:rPr>
                <w:lang w:eastAsia="zh-CN"/>
              </w:rPr>
            </w:pPr>
            <w:r>
              <w:t>Uinteger</w:t>
            </w:r>
          </w:p>
        </w:tc>
        <w:tc>
          <w:tcPr>
            <w:tcW w:w="424" w:type="dxa"/>
            <w:tcBorders>
              <w:top w:val="single" w:sz="6" w:space="0" w:color="auto"/>
              <w:left w:val="single" w:sz="6" w:space="0" w:color="auto"/>
              <w:bottom w:val="single" w:sz="6" w:space="0" w:color="auto"/>
              <w:right w:val="single" w:sz="6" w:space="0" w:color="auto"/>
            </w:tcBorders>
          </w:tcPr>
          <w:p w14:paraId="20FEFC2E"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11D43E1"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0AC20068" w14:textId="77777777" w:rsidR="00143F25" w:rsidRPr="0076721C" w:rsidRDefault="00143F25" w:rsidP="007D0950">
            <w:pPr>
              <w:pStyle w:val="TAL"/>
              <w:rPr>
                <w:rFonts w:eastAsia="等线"/>
                <w:lang w:eastAsia="zh-CN"/>
              </w:rPr>
            </w:pPr>
            <w:r>
              <w:t xml:space="preserve">Represents </w:t>
            </w:r>
            <w:r>
              <w:rPr>
                <w:lang w:eastAsia="ko-KR"/>
              </w:rPr>
              <w:t xml:space="preserve">the </w:t>
            </w:r>
            <w:r w:rsidRPr="001B2ACF">
              <w:rPr>
                <w:lang w:eastAsia="ko-KR"/>
              </w:rPr>
              <w:t>number of signalling</w:t>
            </w:r>
            <w:r>
              <w:rPr>
                <w:lang w:eastAsia="ko-KR"/>
              </w:rPr>
              <w:t xml:space="preserve"> r</w:t>
            </w:r>
            <w:r w:rsidRPr="001B2ACF">
              <w:rPr>
                <w:lang w:eastAsia="ko-KR"/>
              </w:rPr>
              <w:t>eceived</w:t>
            </w:r>
            <w:r>
              <w:rPr>
                <w:lang w:eastAsia="ko-KR"/>
              </w:rPr>
              <w:t xml:space="preserve"> from UEs</w:t>
            </w:r>
            <w:r w:rsidRPr="001B2ACF">
              <w:rPr>
                <w:lang w:eastAsia="ko-KR"/>
              </w:rPr>
              <w:t>.</w:t>
            </w:r>
            <w:r>
              <w:t xml:space="preserve"> This attribute may be present only if the "</w:t>
            </w:r>
            <w:r>
              <w:rPr>
                <w:lang w:eastAsia="zh-CN"/>
              </w:rPr>
              <w:t>sigStormCauses</w:t>
            </w:r>
            <w:r>
              <w:t>"</w:t>
            </w:r>
            <w:r>
              <w:rPr>
                <w:lang w:eastAsia="zh-CN"/>
              </w:rPr>
              <w:t xml:space="preserve"> attribute</w:t>
            </w:r>
            <w:r>
              <w:t xml:space="preserve"> contained in SignalStormInfo data type includes "SIGNALLING_STORM_CAUSED_BY_UE".</w:t>
            </w:r>
          </w:p>
        </w:tc>
        <w:tc>
          <w:tcPr>
            <w:tcW w:w="1837" w:type="dxa"/>
            <w:tcBorders>
              <w:top w:val="single" w:sz="6" w:space="0" w:color="auto"/>
              <w:left w:val="single" w:sz="6" w:space="0" w:color="auto"/>
              <w:bottom w:val="single" w:sz="6" w:space="0" w:color="auto"/>
              <w:right w:val="single" w:sz="6" w:space="0" w:color="auto"/>
            </w:tcBorders>
          </w:tcPr>
          <w:p w14:paraId="4F965E63" w14:textId="77777777" w:rsidR="00143F25" w:rsidRDefault="00143F25" w:rsidP="007D0950">
            <w:pPr>
              <w:pStyle w:val="TAL"/>
              <w:rPr>
                <w:rFonts w:cs="Arial"/>
                <w:szCs w:val="18"/>
              </w:rPr>
            </w:pPr>
          </w:p>
        </w:tc>
      </w:tr>
    </w:tbl>
    <w:p w14:paraId="32B870DD" w14:textId="77777777" w:rsidR="00143F25" w:rsidRPr="005F19CA" w:rsidRDefault="00143F25" w:rsidP="00143F25">
      <w:pPr>
        <w:rPr>
          <w:lang w:eastAsia="zh-CN"/>
        </w:rPr>
      </w:pPr>
    </w:p>
    <w:p w14:paraId="68CE9311" w14:textId="77777777" w:rsidR="00143F25" w:rsidRDefault="00143F25" w:rsidP="00143F25">
      <w:pPr>
        <w:pStyle w:val="5"/>
      </w:pPr>
      <w:bookmarkStart w:id="8326" w:name="_Toc185517290"/>
      <w:bookmarkStart w:id="8327" w:name="_Toc191576341"/>
      <w:bookmarkStart w:id="8328" w:name="_Toc191577081"/>
      <w:bookmarkStart w:id="8329" w:name="_Toc192880151"/>
      <w:bookmarkStart w:id="8330" w:name="_Toc195815034"/>
      <w:bookmarkStart w:id="8331" w:name="_Toc199453001"/>
      <w:r>
        <w:t>5.1.6.2.112</w:t>
      </w:r>
      <w:r>
        <w:tab/>
        <w:t xml:space="preserve">Type </w:t>
      </w:r>
      <w:r>
        <w:rPr>
          <w:rFonts w:hint="eastAsia"/>
          <w:lang w:eastAsia="zh-CN"/>
        </w:rPr>
        <w:t>Timer</w:t>
      </w:r>
      <w:r>
        <w:t>Info</w:t>
      </w:r>
      <w:bookmarkEnd w:id="8326"/>
      <w:bookmarkEnd w:id="8327"/>
      <w:bookmarkEnd w:id="8328"/>
      <w:bookmarkEnd w:id="8329"/>
      <w:bookmarkEnd w:id="8330"/>
      <w:bookmarkEnd w:id="8331"/>
    </w:p>
    <w:p w14:paraId="57ECE9A3" w14:textId="77777777" w:rsidR="00143F25" w:rsidRDefault="00143F25" w:rsidP="00143F25">
      <w:pPr>
        <w:pStyle w:val="TH"/>
      </w:pPr>
      <w:r>
        <w:t xml:space="preserve">Table 5.1.6.2.112-1: Definition of type </w:t>
      </w:r>
      <w:r>
        <w:rPr>
          <w:rFonts w:hint="eastAsia"/>
          <w:lang w:eastAsia="zh-CN"/>
        </w:rPr>
        <w:t>Timer</w:t>
      </w:r>
      <w:r>
        <w:t>Info</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143F25" w14:paraId="4B05435C"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36CBF2B9" w14:textId="77777777" w:rsidR="00143F25" w:rsidRDefault="00143F25" w:rsidP="007D0950">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492B7B3F" w14:textId="77777777" w:rsidR="00143F25" w:rsidRDefault="00143F25" w:rsidP="007D095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24240A23" w14:textId="77777777" w:rsidR="00143F25" w:rsidRDefault="00143F25" w:rsidP="007D0950">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15A5A9EC" w14:textId="77777777" w:rsidR="00143F25" w:rsidRDefault="00143F25" w:rsidP="007D0950">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0F7487F9" w14:textId="77777777" w:rsidR="00143F25" w:rsidRDefault="00143F25" w:rsidP="007D0950">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049108A5" w14:textId="77777777" w:rsidR="00143F25" w:rsidRDefault="00143F25" w:rsidP="007D0950">
            <w:pPr>
              <w:pStyle w:val="TAH"/>
              <w:ind w:left="400" w:hanging="400"/>
            </w:pPr>
            <w:r>
              <w:t>Applicability</w:t>
            </w:r>
          </w:p>
        </w:tc>
      </w:tr>
      <w:tr w:rsidR="00143F25" w14:paraId="557A69B7"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23F5FAB6" w14:textId="77777777" w:rsidR="00143F25" w:rsidRDefault="00143F25" w:rsidP="007D0950">
            <w:pPr>
              <w:pStyle w:val="TAL"/>
              <w:rPr>
                <w:lang w:eastAsia="zh-CN"/>
              </w:rPr>
            </w:pPr>
            <w:r>
              <w:rPr>
                <w:rFonts w:hint="eastAsia"/>
                <w:lang w:eastAsia="zh-CN"/>
              </w:rPr>
              <w:t>t</w:t>
            </w:r>
            <w:r>
              <w:t>imerType</w:t>
            </w:r>
          </w:p>
        </w:tc>
        <w:tc>
          <w:tcPr>
            <w:tcW w:w="1752" w:type="dxa"/>
            <w:tcBorders>
              <w:top w:val="single" w:sz="6" w:space="0" w:color="auto"/>
              <w:left w:val="single" w:sz="6" w:space="0" w:color="auto"/>
              <w:bottom w:val="single" w:sz="6" w:space="0" w:color="auto"/>
              <w:right w:val="single" w:sz="6" w:space="0" w:color="auto"/>
            </w:tcBorders>
          </w:tcPr>
          <w:p w14:paraId="2E9FED3D" w14:textId="77777777" w:rsidR="00143F25" w:rsidRDefault="00143F25" w:rsidP="007D0950">
            <w:pPr>
              <w:pStyle w:val="TAL"/>
              <w:rPr>
                <w:lang w:eastAsia="zh-CN"/>
              </w:rPr>
            </w:pPr>
            <w:r>
              <w:t>TimerType</w:t>
            </w:r>
          </w:p>
        </w:tc>
        <w:tc>
          <w:tcPr>
            <w:tcW w:w="424" w:type="dxa"/>
            <w:tcBorders>
              <w:top w:val="single" w:sz="6" w:space="0" w:color="auto"/>
              <w:left w:val="single" w:sz="6" w:space="0" w:color="auto"/>
              <w:bottom w:val="single" w:sz="6" w:space="0" w:color="auto"/>
              <w:right w:val="single" w:sz="6" w:space="0" w:color="auto"/>
            </w:tcBorders>
          </w:tcPr>
          <w:p w14:paraId="485CFDD3"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2825820"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4D7BA09C" w14:textId="77777777" w:rsidR="00143F25" w:rsidRDefault="00143F25" w:rsidP="007D0950">
            <w:pPr>
              <w:pStyle w:val="TAL"/>
              <w:rPr>
                <w:rFonts w:cs="Arial"/>
                <w:szCs w:val="18"/>
                <w:lang w:eastAsia="zh-CN"/>
              </w:rPr>
            </w:pPr>
            <w:r>
              <w:t>Represents t</w:t>
            </w:r>
            <w:r w:rsidRPr="005F72A7">
              <w:t>he type of timer</w:t>
            </w:r>
            <w:r>
              <w:rPr>
                <w:rFonts w:hint="eastAsia"/>
                <w:lang w:eastAsia="ko-KR"/>
              </w:rPr>
              <w:t>.</w:t>
            </w:r>
          </w:p>
        </w:tc>
        <w:tc>
          <w:tcPr>
            <w:tcW w:w="1837" w:type="dxa"/>
            <w:tcBorders>
              <w:top w:val="single" w:sz="6" w:space="0" w:color="auto"/>
              <w:left w:val="single" w:sz="6" w:space="0" w:color="auto"/>
              <w:bottom w:val="single" w:sz="6" w:space="0" w:color="auto"/>
              <w:right w:val="single" w:sz="6" w:space="0" w:color="auto"/>
            </w:tcBorders>
          </w:tcPr>
          <w:p w14:paraId="1ACD6A79" w14:textId="77777777" w:rsidR="00143F25" w:rsidRDefault="00143F25" w:rsidP="007D0950">
            <w:pPr>
              <w:pStyle w:val="TAL"/>
              <w:rPr>
                <w:rFonts w:cs="Arial"/>
                <w:szCs w:val="18"/>
              </w:rPr>
            </w:pPr>
          </w:p>
        </w:tc>
      </w:tr>
      <w:tr w:rsidR="00143F25" w14:paraId="15ABE12E" w14:textId="77777777" w:rsidTr="007D0950">
        <w:trPr>
          <w:jc w:val="center"/>
        </w:trPr>
        <w:tc>
          <w:tcPr>
            <w:tcW w:w="1552" w:type="dxa"/>
            <w:tcBorders>
              <w:top w:val="single" w:sz="6" w:space="0" w:color="auto"/>
              <w:left w:val="single" w:sz="6" w:space="0" w:color="auto"/>
              <w:bottom w:val="single" w:sz="6" w:space="0" w:color="auto"/>
              <w:right w:val="single" w:sz="6" w:space="0" w:color="auto"/>
            </w:tcBorders>
          </w:tcPr>
          <w:p w14:paraId="54366F71" w14:textId="77777777" w:rsidR="00143F25" w:rsidRDefault="00143F25" w:rsidP="007D0950">
            <w:pPr>
              <w:pStyle w:val="TAL"/>
              <w:rPr>
                <w:lang w:eastAsia="zh-CN"/>
              </w:rPr>
            </w:pPr>
            <w:r>
              <w:t>timerDur</w:t>
            </w:r>
          </w:p>
        </w:tc>
        <w:tc>
          <w:tcPr>
            <w:tcW w:w="1752" w:type="dxa"/>
            <w:tcBorders>
              <w:top w:val="single" w:sz="6" w:space="0" w:color="auto"/>
              <w:left w:val="single" w:sz="6" w:space="0" w:color="auto"/>
              <w:bottom w:val="single" w:sz="6" w:space="0" w:color="auto"/>
              <w:right w:val="single" w:sz="6" w:space="0" w:color="auto"/>
            </w:tcBorders>
          </w:tcPr>
          <w:p w14:paraId="475E1359" w14:textId="77777777" w:rsidR="00143F25" w:rsidRDefault="00143F25" w:rsidP="007D0950">
            <w:pPr>
              <w:pStyle w:val="TAL"/>
              <w:rPr>
                <w:lang w:eastAsia="zh-CN"/>
              </w:rPr>
            </w:pPr>
            <w:r>
              <w:t>DurationSec</w:t>
            </w:r>
          </w:p>
        </w:tc>
        <w:tc>
          <w:tcPr>
            <w:tcW w:w="424" w:type="dxa"/>
            <w:tcBorders>
              <w:top w:val="single" w:sz="6" w:space="0" w:color="auto"/>
              <w:left w:val="single" w:sz="6" w:space="0" w:color="auto"/>
              <w:bottom w:val="single" w:sz="6" w:space="0" w:color="auto"/>
              <w:right w:val="single" w:sz="6" w:space="0" w:color="auto"/>
            </w:tcBorders>
          </w:tcPr>
          <w:p w14:paraId="7F191A3D" w14:textId="77777777" w:rsidR="00143F25" w:rsidRDefault="00143F25" w:rsidP="007D0950">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1109F5C" w14:textId="77777777" w:rsidR="00143F25" w:rsidRDefault="00143F25" w:rsidP="007D0950">
            <w:pPr>
              <w:pStyle w:val="TAL"/>
              <w:rPr>
                <w:lang w:eastAsia="zh-CN"/>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75BE3003" w14:textId="77777777" w:rsidR="00143F25" w:rsidRPr="0076721C" w:rsidRDefault="00143F25" w:rsidP="007D0950">
            <w:pPr>
              <w:pStyle w:val="TAL"/>
              <w:rPr>
                <w:rFonts w:eastAsia="等线"/>
                <w:lang w:eastAsia="zh-CN"/>
              </w:rPr>
            </w:pPr>
            <w:r>
              <w:t>Represents the duration of the timer.</w:t>
            </w:r>
          </w:p>
        </w:tc>
        <w:tc>
          <w:tcPr>
            <w:tcW w:w="1837" w:type="dxa"/>
            <w:tcBorders>
              <w:top w:val="single" w:sz="6" w:space="0" w:color="auto"/>
              <w:left w:val="single" w:sz="6" w:space="0" w:color="auto"/>
              <w:bottom w:val="single" w:sz="6" w:space="0" w:color="auto"/>
              <w:right w:val="single" w:sz="6" w:space="0" w:color="auto"/>
            </w:tcBorders>
          </w:tcPr>
          <w:p w14:paraId="1C44C7A6" w14:textId="77777777" w:rsidR="00143F25" w:rsidRDefault="00143F25" w:rsidP="007D0950">
            <w:pPr>
              <w:pStyle w:val="TAL"/>
              <w:rPr>
                <w:rFonts w:cs="Arial"/>
                <w:szCs w:val="18"/>
              </w:rPr>
            </w:pPr>
          </w:p>
        </w:tc>
      </w:tr>
    </w:tbl>
    <w:p w14:paraId="7DEA6C30" w14:textId="77777777" w:rsidR="00143F25" w:rsidRPr="005F19CA" w:rsidRDefault="00143F25" w:rsidP="00143F25">
      <w:pPr>
        <w:rPr>
          <w:lang w:eastAsia="zh-CN"/>
        </w:rPr>
      </w:pPr>
    </w:p>
    <w:p w14:paraId="25455C69" w14:textId="77777777" w:rsidR="00F525B2" w:rsidRDefault="00F525B2" w:rsidP="00F525B2">
      <w:pPr>
        <w:pStyle w:val="5"/>
      </w:pPr>
      <w:bookmarkStart w:id="8332" w:name="_Toc185517291"/>
      <w:bookmarkStart w:id="8333" w:name="_Toc191576342"/>
      <w:bookmarkStart w:id="8334" w:name="_Toc191577082"/>
      <w:bookmarkStart w:id="8335" w:name="_Toc192880152"/>
      <w:bookmarkStart w:id="8336" w:name="_Toc195815035"/>
      <w:bookmarkStart w:id="8337" w:name="_Toc199453002"/>
      <w:r>
        <w:lastRenderedPageBreak/>
        <w:t>5.1.6.2.113</w:t>
      </w:r>
      <w:r>
        <w:tab/>
        <w:t>Type QosPolicyAssistReq</w:t>
      </w:r>
      <w:bookmarkEnd w:id="8336"/>
      <w:bookmarkEnd w:id="8337"/>
    </w:p>
    <w:p w14:paraId="70F6DC11" w14:textId="77777777" w:rsidR="00F525B2" w:rsidRDefault="00F525B2" w:rsidP="00F525B2">
      <w:pPr>
        <w:pStyle w:val="TH"/>
      </w:pPr>
      <w:r>
        <w:t>Table 5.1.6.2.113-1: Definition of type QosPolicyAssistReq</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431D99C0"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496573A8"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5412DB0F"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726A9EEB"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F5FA0B8"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2A59CB8"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767A0BA4" w14:textId="77777777" w:rsidR="00F525B2" w:rsidRDefault="00F525B2" w:rsidP="009B329F">
            <w:pPr>
              <w:pStyle w:val="TAH"/>
              <w:ind w:left="400" w:hanging="400"/>
            </w:pPr>
            <w:r>
              <w:t>Applicability</w:t>
            </w:r>
          </w:p>
        </w:tc>
      </w:tr>
      <w:tr w:rsidR="00F525B2" w14:paraId="2C5AC1AA" w14:textId="77777777" w:rsidTr="009B329F">
        <w:trPr>
          <w:trHeight w:val="564"/>
          <w:jc w:val="center"/>
        </w:trPr>
        <w:tc>
          <w:tcPr>
            <w:tcW w:w="1552" w:type="dxa"/>
            <w:tcBorders>
              <w:top w:val="single" w:sz="6" w:space="0" w:color="auto"/>
              <w:left w:val="single" w:sz="6" w:space="0" w:color="auto"/>
              <w:right w:val="single" w:sz="6" w:space="0" w:color="auto"/>
            </w:tcBorders>
          </w:tcPr>
          <w:p w14:paraId="61A0284D" w14:textId="77777777" w:rsidR="00F525B2" w:rsidRDefault="00F525B2" w:rsidP="009B329F">
            <w:pPr>
              <w:pStyle w:val="TAL"/>
              <w:rPr>
                <w:lang w:eastAsia="zh-CN"/>
              </w:rPr>
            </w:pPr>
            <w:r>
              <w:rPr>
                <w:lang w:eastAsia="zh-CN"/>
              </w:rPr>
              <w:t>orderCriterion</w:t>
            </w:r>
          </w:p>
        </w:tc>
        <w:tc>
          <w:tcPr>
            <w:tcW w:w="1752" w:type="dxa"/>
            <w:tcBorders>
              <w:top w:val="single" w:sz="6" w:space="0" w:color="auto"/>
              <w:left w:val="single" w:sz="6" w:space="0" w:color="auto"/>
              <w:right w:val="single" w:sz="6" w:space="0" w:color="auto"/>
            </w:tcBorders>
          </w:tcPr>
          <w:p w14:paraId="5836EBBC" w14:textId="77777777" w:rsidR="00F525B2" w:rsidRDefault="00F525B2" w:rsidP="009B329F">
            <w:pPr>
              <w:pStyle w:val="TAL"/>
              <w:rPr>
                <w:lang w:eastAsia="zh-CN"/>
              </w:rPr>
            </w:pPr>
            <w:r>
              <w:t>QosPolOrderCriterion</w:t>
            </w:r>
          </w:p>
        </w:tc>
        <w:tc>
          <w:tcPr>
            <w:tcW w:w="424" w:type="dxa"/>
            <w:tcBorders>
              <w:top w:val="single" w:sz="6" w:space="0" w:color="auto"/>
              <w:left w:val="single" w:sz="6" w:space="0" w:color="auto"/>
              <w:right w:val="single" w:sz="6" w:space="0" w:color="auto"/>
            </w:tcBorders>
          </w:tcPr>
          <w:p w14:paraId="4DFE7C5D" w14:textId="77777777" w:rsidR="00F525B2" w:rsidRDefault="00F525B2" w:rsidP="009B329F">
            <w:pPr>
              <w:pStyle w:val="TAC"/>
              <w:rPr>
                <w:lang w:eastAsia="zh-CN"/>
              </w:rPr>
            </w:pPr>
            <w:r>
              <w:t>O</w:t>
            </w:r>
          </w:p>
        </w:tc>
        <w:tc>
          <w:tcPr>
            <w:tcW w:w="1130" w:type="dxa"/>
            <w:tcBorders>
              <w:top w:val="single" w:sz="6" w:space="0" w:color="auto"/>
              <w:left w:val="single" w:sz="6" w:space="0" w:color="auto"/>
              <w:right w:val="single" w:sz="6" w:space="0" w:color="auto"/>
            </w:tcBorders>
          </w:tcPr>
          <w:p w14:paraId="36F5D94C" w14:textId="77777777" w:rsidR="00F525B2" w:rsidRDefault="00F525B2" w:rsidP="009B329F">
            <w:pPr>
              <w:pStyle w:val="TAL"/>
              <w:rPr>
                <w:lang w:eastAsia="zh-CN"/>
              </w:rPr>
            </w:pPr>
            <w:r>
              <w:rPr>
                <w:rFonts w:cs="Arial"/>
                <w:szCs w:val="18"/>
              </w:rPr>
              <w:t>0..1</w:t>
            </w:r>
          </w:p>
        </w:tc>
        <w:tc>
          <w:tcPr>
            <w:tcW w:w="2845" w:type="dxa"/>
            <w:tcBorders>
              <w:top w:val="single" w:sz="6" w:space="0" w:color="auto"/>
              <w:left w:val="single" w:sz="6" w:space="0" w:color="auto"/>
              <w:right w:val="single" w:sz="6" w:space="0" w:color="auto"/>
            </w:tcBorders>
          </w:tcPr>
          <w:p w14:paraId="109E0677" w14:textId="77777777" w:rsidR="00F525B2" w:rsidRDefault="00F525B2" w:rsidP="009B329F">
            <w:pPr>
              <w:pStyle w:val="TAL"/>
              <w:rPr>
                <w:rFonts w:cs="Arial"/>
                <w:szCs w:val="18"/>
                <w:lang w:eastAsia="zh-CN"/>
              </w:rPr>
            </w:pPr>
            <w:r>
              <w:rPr>
                <w:lang w:eastAsia="ko-KR"/>
              </w:rPr>
              <w:t xml:space="preserve">The ordering criterion for the list of </w:t>
            </w:r>
            <w:r>
              <w:rPr>
                <w:lang w:eastAsia="zh-CN"/>
              </w:rPr>
              <w:t>QoS and Policy Assistance</w:t>
            </w:r>
            <w:r>
              <w:rPr>
                <w:lang w:eastAsia="ko-KR"/>
              </w:rPr>
              <w:t xml:space="preserve"> analytics.</w:t>
            </w:r>
          </w:p>
        </w:tc>
        <w:tc>
          <w:tcPr>
            <w:tcW w:w="1837" w:type="dxa"/>
            <w:tcBorders>
              <w:top w:val="single" w:sz="6" w:space="0" w:color="auto"/>
              <w:left w:val="single" w:sz="6" w:space="0" w:color="auto"/>
              <w:right w:val="single" w:sz="6" w:space="0" w:color="auto"/>
            </w:tcBorders>
          </w:tcPr>
          <w:p w14:paraId="196AAC25" w14:textId="77777777" w:rsidR="00F525B2" w:rsidRDefault="00F525B2" w:rsidP="009B329F">
            <w:pPr>
              <w:pStyle w:val="TAL"/>
              <w:rPr>
                <w:rFonts w:cs="Arial"/>
                <w:szCs w:val="18"/>
              </w:rPr>
            </w:pPr>
          </w:p>
        </w:tc>
      </w:tr>
      <w:tr w:rsidR="00F525B2" w14:paraId="7FAB732A"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0C44F68" w14:textId="77777777" w:rsidR="00F525B2" w:rsidRDefault="00F525B2" w:rsidP="009B329F">
            <w:pPr>
              <w:pStyle w:val="TAL"/>
              <w:rPr>
                <w:lang w:eastAsia="zh-CN"/>
              </w:rPr>
            </w:pPr>
            <w:r>
              <w:rPr>
                <w:lang w:eastAsia="zh-CN"/>
              </w:rPr>
              <w:t>orderDirection</w:t>
            </w:r>
          </w:p>
        </w:tc>
        <w:tc>
          <w:tcPr>
            <w:tcW w:w="1752" w:type="dxa"/>
            <w:tcBorders>
              <w:top w:val="single" w:sz="6" w:space="0" w:color="auto"/>
              <w:left w:val="single" w:sz="6" w:space="0" w:color="auto"/>
              <w:bottom w:val="single" w:sz="6" w:space="0" w:color="auto"/>
              <w:right w:val="single" w:sz="6" w:space="0" w:color="auto"/>
            </w:tcBorders>
          </w:tcPr>
          <w:p w14:paraId="7627088B" w14:textId="77777777" w:rsidR="00F525B2" w:rsidRDefault="00F525B2" w:rsidP="009B329F">
            <w:pPr>
              <w:pStyle w:val="TAL"/>
            </w:pPr>
            <w:r>
              <w:t>MatchingDirection</w:t>
            </w:r>
          </w:p>
        </w:tc>
        <w:tc>
          <w:tcPr>
            <w:tcW w:w="424" w:type="dxa"/>
            <w:tcBorders>
              <w:top w:val="single" w:sz="6" w:space="0" w:color="auto"/>
              <w:left w:val="single" w:sz="6" w:space="0" w:color="auto"/>
              <w:bottom w:val="single" w:sz="6" w:space="0" w:color="auto"/>
              <w:right w:val="single" w:sz="6" w:space="0" w:color="auto"/>
            </w:tcBorders>
          </w:tcPr>
          <w:p w14:paraId="527FAC70" w14:textId="77777777" w:rsidR="00F525B2" w:rsidRDefault="00F525B2" w:rsidP="009B329F">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07072CEB" w14:textId="77777777" w:rsidR="00F525B2" w:rsidRPr="00C72842" w:rsidRDefault="00F525B2" w:rsidP="009B329F">
            <w:pPr>
              <w:pStyle w:val="TAL"/>
              <w:rPr>
                <w:rFonts w:cs="Arial"/>
                <w:szCs w:val="18"/>
              </w:rPr>
            </w:pPr>
            <w:r w:rsidRPr="00C72842">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3952D9E3" w14:textId="77777777" w:rsidR="00F525B2" w:rsidRDefault="00F525B2" w:rsidP="009B329F">
            <w:pPr>
              <w:pStyle w:val="TAL"/>
              <w:rPr>
                <w:rFonts w:cs="Arial"/>
                <w:szCs w:val="18"/>
              </w:rPr>
            </w:pPr>
            <w:r>
              <w:rPr>
                <w:rFonts w:cs="Arial"/>
                <w:szCs w:val="18"/>
              </w:rPr>
              <w:t>Indicates the order: ascending or descending. May be present when the "</w:t>
            </w:r>
            <w:r>
              <w:rPr>
                <w:lang w:eastAsia="zh-CN"/>
              </w:rPr>
              <w:t>orderCriterion</w:t>
            </w:r>
            <w:r>
              <w:rPr>
                <w:rFonts w:cs="Arial"/>
                <w:szCs w:val="18"/>
              </w:rPr>
              <w:t>" attribute is included.</w:t>
            </w:r>
            <w:r>
              <w:rPr>
                <w:rFonts w:eastAsia="Times New Roman" w:cs="Arial"/>
                <w:szCs w:val="18"/>
              </w:rPr>
              <w:t xml:space="preserve"> (NOTE)</w:t>
            </w:r>
          </w:p>
        </w:tc>
        <w:tc>
          <w:tcPr>
            <w:tcW w:w="1837" w:type="dxa"/>
            <w:tcBorders>
              <w:top w:val="single" w:sz="6" w:space="0" w:color="auto"/>
              <w:left w:val="single" w:sz="6" w:space="0" w:color="auto"/>
              <w:bottom w:val="single" w:sz="6" w:space="0" w:color="auto"/>
              <w:right w:val="single" w:sz="6" w:space="0" w:color="auto"/>
            </w:tcBorders>
          </w:tcPr>
          <w:p w14:paraId="3A7D9AE1" w14:textId="77777777" w:rsidR="00F525B2" w:rsidRDefault="00F525B2" w:rsidP="009B329F">
            <w:pPr>
              <w:pStyle w:val="TAL"/>
              <w:rPr>
                <w:rFonts w:cs="Arial"/>
                <w:szCs w:val="18"/>
              </w:rPr>
            </w:pPr>
          </w:p>
        </w:tc>
      </w:tr>
      <w:tr w:rsidR="00F525B2" w14:paraId="5A8720D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F6E12C2" w14:textId="77777777" w:rsidR="00F525B2" w:rsidRDefault="00F525B2" w:rsidP="009B329F">
            <w:pPr>
              <w:pStyle w:val="TAL"/>
              <w:rPr>
                <w:lang w:eastAsia="zh-CN"/>
              </w:rPr>
            </w:pPr>
            <w:r>
              <w:rPr>
                <w:rFonts w:hint="eastAsia"/>
                <w:lang w:eastAsia="zh-CN"/>
              </w:rPr>
              <w:t>r</w:t>
            </w:r>
            <w:r>
              <w:rPr>
                <w:lang w:eastAsia="zh-CN"/>
              </w:rPr>
              <w:t>atTypes</w:t>
            </w:r>
          </w:p>
        </w:tc>
        <w:tc>
          <w:tcPr>
            <w:tcW w:w="1752" w:type="dxa"/>
            <w:tcBorders>
              <w:top w:val="single" w:sz="6" w:space="0" w:color="auto"/>
              <w:left w:val="single" w:sz="6" w:space="0" w:color="auto"/>
              <w:bottom w:val="single" w:sz="6" w:space="0" w:color="auto"/>
              <w:right w:val="single" w:sz="6" w:space="0" w:color="auto"/>
            </w:tcBorders>
          </w:tcPr>
          <w:p w14:paraId="6CD28A18" w14:textId="77777777" w:rsidR="00F525B2" w:rsidRDefault="00F525B2" w:rsidP="009B329F">
            <w:pPr>
              <w:pStyle w:val="TAL"/>
            </w:pPr>
            <w:r>
              <w:t>array(RatType)</w:t>
            </w:r>
          </w:p>
        </w:tc>
        <w:tc>
          <w:tcPr>
            <w:tcW w:w="424" w:type="dxa"/>
            <w:tcBorders>
              <w:top w:val="single" w:sz="6" w:space="0" w:color="auto"/>
              <w:left w:val="single" w:sz="6" w:space="0" w:color="auto"/>
              <w:bottom w:val="single" w:sz="6" w:space="0" w:color="auto"/>
              <w:right w:val="single" w:sz="6" w:space="0" w:color="auto"/>
            </w:tcBorders>
          </w:tcPr>
          <w:p w14:paraId="6408B107" w14:textId="77777777" w:rsidR="00F525B2" w:rsidRDefault="00F525B2" w:rsidP="009B329F">
            <w:pPr>
              <w:pStyle w:val="TAC"/>
            </w:pPr>
            <w:r w:rsidRPr="00114929">
              <w:rPr>
                <w:rFonts w:hint="eastAsia"/>
              </w:rPr>
              <w:t>O</w:t>
            </w:r>
          </w:p>
        </w:tc>
        <w:tc>
          <w:tcPr>
            <w:tcW w:w="1130" w:type="dxa"/>
            <w:tcBorders>
              <w:top w:val="single" w:sz="6" w:space="0" w:color="auto"/>
              <w:left w:val="single" w:sz="6" w:space="0" w:color="auto"/>
              <w:bottom w:val="single" w:sz="6" w:space="0" w:color="auto"/>
              <w:right w:val="single" w:sz="6" w:space="0" w:color="auto"/>
            </w:tcBorders>
          </w:tcPr>
          <w:p w14:paraId="3C7C528D" w14:textId="77777777" w:rsidR="00F525B2" w:rsidRPr="005D29D0" w:rsidRDefault="00F525B2" w:rsidP="009B329F">
            <w:pPr>
              <w:pStyle w:val="TAL"/>
              <w:rPr>
                <w:rFonts w:cs="Arial"/>
                <w:szCs w:val="18"/>
              </w:rPr>
            </w:pPr>
            <w:r w:rsidRPr="005D29D0">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0877D27A" w14:textId="77777777" w:rsidR="00F525B2" w:rsidRDefault="00F525B2" w:rsidP="009B329F">
            <w:pPr>
              <w:pStyle w:val="TAL"/>
              <w:rPr>
                <w:rFonts w:cs="Arial"/>
                <w:szCs w:val="18"/>
              </w:rPr>
            </w:pPr>
            <w:r w:rsidRPr="005D29D0">
              <w:rPr>
                <w:rFonts w:cs="Arial"/>
                <w:szCs w:val="18"/>
              </w:rPr>
              <w:t>Indicates the list of RAT type(s) for which the QoS and Policy Assistance information is requested.</w:t>
            </w:r>
          </w:p>
        </w:tc>
        <w:tc>
          <w:tcPr>
            <w:tcW w:w="1837" w:type="dxa"/>
            <w:tcBorders>
              <w:top w:val="single" w:sz="6" w:space="0" w:color="auto"/>
              <w:left w:val="single" w:sz="6" w:space="0" w:color="auto"/>
              <w:bottom w:val="single" w:sz="6" w:space="0" w:color="auto"/>
              <w:right w:val="single" w:sz="6" w:space="0" w:color="auto"/>
            </w:tcBorders>
          </w:tcPr>
          <w:p w14:paraId="77D25155" w14:textId="77777777" w:rsidR="00F525B2" w:rsidRDefault="00F525B2" w:rsidP="009B329F">
            <w:pPr>
              <w:pStyle w:val="TAL"/>
              <w:rPr>
                <w:rFonts w:cs="Arial"/>
                <w:szCs w:val="18"/>
              </w:rPr>
            </w:pPr>
          </w:p>
        </w:tc>
      </w:tr>
      <w:tr w:rsidR="00F525B2" w14:paraId="53FB121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D04A936" w14:textId="77777777" w:rsidR="00F525B2" w:rsidRDefault="00F525B2" w:rsidP="009B329F">
            <w:pPr>
              <w:pStyle w:val="TAL"/>
              <w:rPr>
                <w:lang w:eastAsia="zh-CN"/>
              </w:rPr>
            </w:pPr>
            <w:r>
              <w:rPr>
                <w:lang w:eastAsia="zh-CN"/>
              </w:rPr>
              <w:t>freqs</w:t>
            </w:r>
          </w:p>
        </w:tc>
        <w:tc>
          <w:tcPr>
            <w:tcW w:w="1752" w:type="dxa"/>
            <w:tcBorders>
              <w:top w:val="single" w:sz="6" w:space="0" w:color="auto"/>
              <w:left w:val="single" w:sz="6" w:space="0" w:color="auto"/>
              <w:bottom w:val="single" w:sz="6" w:space="0" w:color="auto"/>
              <w:right w:val="single" w:sz="6" w:space="0" w:color="auto"/>
            </w:tcBorders>
          </w:tcPr>
          <w:p w14:paraId="06DC37D0" w14:textId="77777777" w:rsidR="00F525B2" w:rsidRDefault="00F525B2" w:rsidP="009B329F">
            <w:pPr>
              <w:pStyle w:val="TAL"/>
            </w:pPr>
            <w:r>
              <w:t>array(ArfcnValueNR)</w:t>
            </w:r>
          </w:p>
        </w:tc>
        <w:tc>
          <w:tcPr>
            <w:tcW w:w="424" w:type="dxa"/>
            <w:tcBorders>
              <w:top w:val="single" w:sz="6" w:space="0" w:color="auto"/>
              <w:left w:val="single" w:sz="6" w:space="0" w:color="auto"/>
              <w:bottom w:val="single" w:sz="6" w:space="0" w:color="auto"/>
              <w:right w:val="single" w:sz="6" w:space="0" w:color="auto"/>
            </w:tcBorders>
          </w:tcPr>
          <w:p w14:paraId="4955ED12" w14:textId="77777777" w:rsidR="00F525B2" w:rsidRDefault="00F525B2" w:rsidP="009B329F">
            <w:pPr>
              <w:pStyle w:val="TAC"/>
            </w:pPr>
            <w:r w:rsidRPr="00114929">
              <w:rPr>
                <w:rFonts w:hint="eastAsia"/>
              </w:rPr>
              <w:t>O</w:t>
            </w:r>
          </w:p>
        </w:tc>
        <w:tc>
          <w:tcPr>
            <w:tcW w:w="1130" w:type="dxa"/>
            <w:tcBorders>
              <w:top w:val="single" w:sz="6" w:space="0" w:color="auto"/>
              <w:left w:val="single" w:sz="6" w:space="0" w:color="auto"/>
              <w:bottom w:val="single" w:sz="6" w:space="0" w:color="auto"/>
              <w:right w:val="single" w:sz="6" w:space="0" w:color="auto"/>
            </w:tcBorders>
          </w:tcPr>
          <w:p w14:paraId="0074A276" w14:textId="77777777" w:rsidR="00F525B2" w:rsidRPr="005D29D0" w:rsidRDefault="00F525B2" w:rsidP="009B329F">
            <w:pPr>
              <w:pStyle w:val="TAL"/>
              <w:rPr>
                <w:rFonts w:cs="Arial"/>
                <w:szCs w:val="18"/>
              </w:rPr>
            </w:pPr>
            <w:r w:rsidRPr="005D29D0">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158930F5" w14:textId="77777777" w:rsidR="00F525B2" w:rsidRDefault="00F525B2" w:rsidP="009B329F">
            <w:pPr>
              <w:pStyle w:val="TAL"/>
              <w:rPr>
                <w:rFonts w:cs="Arial"/>
                <w:szCs w:val="18"/>
              </w:rPr>
            </w:pPr>
            <w:r w:rsidRPr="005D29D0">
              <w:rPr>
                <w:rFonts w:cs="Arial"/>
                <w:szCs w:val="18"/>
              </w:rPr>
              <w:t>Indicates the list of carrier frequency value(s) for which the QoS and Policy Assistance information is requested.</w:t>
            </w:r>
          </w:p>
        </w:tc>
        <w:tc>
          <w:tcPr>
            <w:tcW w:w="1837" w:type="dxa"/>
            <w:tcBorders>
              <w:top w:val="single" w:sz="6" w:space="0" w:color="auto"/>
              <w:left w:val="single" w:sz="6" w:space="0" w:color="auto"/>
              <w:bottom w:val="single" w:sz="6" w:space="0" w:color="auto"/>
              <w:right w:val="single" w:sz="6" w:space="0" w:color="auto"/>
            </w:tcBorders>
          </w:tcPr>
          <w:p w14:paraId="4B27E14D" w14:textId="77777777" w:rsidR="00F525B2" w:rsidRDefault="00F525B2" w:rsidP="009B329F">
            <w:pPr>
              <w:pStyle w:val="TAL"/>
              <w:rPr>
                <w:rFonts w:cs="Arial"/>
                <w:szCs w:val="18"/>
              </w:rPr>
            </w:pPr>
          </w:p>
        </w:tc>
      </w:tr>
      <w:tr w:rsidR="00F525B2" w14:paraId="54AC3328" w14:textId="77777777" w:rsidTr="009B329F">
        <w:trPr>
          <w:trHeight w:val="828"/>
          <w:jc w:val="center"/>
        </w:trPr>
        <w:tc>
          <w:tcPr>
            <w:tcW w:w="1552" w:type="dxa"/>
            <w:tcBorders>
              <w:top w:val="single" w:sz="6" w:space="0" w:color="auto"/>
              <w:left w:val="single" w:sz="6" w:space="0" w:color="auto"/>
              <w:right w:val="single" w:sz="6" w:space="0" w:color="auto"/>
            </w:tcBorders>
          </w:tcPr>
          <w:p w14:paraId="61F1C6AF" w14:textId="77777777" w:rsidR="00F525B2" w:rsidRDefault="00F525B2" w:rsidP="009B329F">
            <w:pPr>
              <w:pStyle w:val="TAL"/>
              <w:rPr>
                <w:lang w:eastAsia="zh-CN"/>
              </w:rPr>
            </w:pPr>
            <w:r>
              <w:rPr>
                <w:lang w:eastAsia="zh-CN"/>
              </w:rPr>
              <w:t>qosParamSets</w:t>
            </w:r>
          </w:p>
        </w:tc>
        <w:tc>
          <w:tcPr>
            <w:tcW w:w="1752" w:type="dxa"/>
            <w:tcBorders>
              <w:top w:val="single" w:sz="6" w:space="0" w:color="auto"/>
              <w:left w:val="single" w:sz="6" w:space="0" w:color="auto"/>
              <w:right w:val="single" w:sz="6" w:space="0" w:color="auto"/>
            </w:tcBorders>
          </w:tcPr>
          <w:p w14:paraId="1360089C" w14:textId="77777777" w:rsidR="00F525B2" w:rsidRDefault="00F525B2" w:rsidP="009B329F">
            <w:pPr>
              <w:pStyle w:val="TAL"/>
              <w:rPr>
                <w:lang w:eastAsia="zh-CN"/>
              </w:rPr>
            </w:pPr>
            <w:r>
              <w:rPr>
                <w:lang w:eastAsia="zh-CN"/>
              </w:rPr>
              <w:t>array(QosPara)</w:t>
            </w:r>
          </w:p>
        </w:tc>
        <w:tc>
          <w:tcPr>
            <w:tcW w:w="424" w:type="dxa"/>
            <w:tcBorders>
              <w:top w:val="single" w:sz="6" w:space="0" w:color="auto"/>
              <w:left w:val="single" w:sz="6" w:space="0" w:color="auto"/>
              <w:right w:val="single" w:sz="6" w:space="0" w:color="auto"/>
            </w:tcBorders>
          </w:tcPr>
          <w:p w14:paraId="663704C3" w14:textId="77777777" w:rsidR="00F525B2" w:rsidRDefault="00F525B2" w:rsidP="009B329F">
            <w:pPr>
              <w:pStyle w:val="TAC"/>
            </w:pPr>
            <w:r>
              <w:t>M</w:t>
            </w:r>
          </w:p>
        </w:tc>
        <w:tc>
          <w:tcPr>
            <w:tcW w:w="1130" w:type="dxa"/>
            <w:tcBorders>
              <w:top w:val="single" w:sz="6" w:space="0" w:color="auto"/>
              <w:left w:val="single" w:sz="6" w:space="0" w:color="auto"/>
              <w:right w:val="single" w:sz="6" w:space="0" w:color="auto"/>
            </w:tcBorders>
          </w:tcPr>
          <w:p w14:paraId="67BEA09A" w14:textId="77777777" w:rsidR="00F525B2" w:rsidRDefault="00F525B2" w:rsidP="009B329F">
            <w:pPr>
              <w:pStyle w:val="TAL"/>
              <w:rPr>
                <w:rFonts w:cs="Arial"/>
                <w:szCs w:val="18"/>
              </w:rPr>
            </w:pPr>
            <w:r>
              <w:rPr>
                <w:rFonts w:cs="Arial"/>
                <w:szCs w:val="18"/>
              </w:rPr>
              <w:t>1..N</w:t>
            </w:r>
          </w:p>
        </w:tc>
        <w:tc>
          <w:tcPr>
            <w:tcW w:w="2845" w:type="dxa"/>
            <w:tcBorders>
              <w:top w:val="single" w:sz="6" w:space="0" w:color="auto"/>
              <w:left w:val="single" w:sz="6" w:space="0" w:color="auto"/>
              <w:right w:val="single" w:sz="6" w:space="0" w:color="auto"/>
            </w:tcBorders>
          </w:tcPr>
          <w:p w14:paraId="17242624" w14:textId="77777777" w:rsidR="00F525B2" w:rsidRDefault="00F525B2" w:rsidP="009B329F">
            <w:pPr>
              <w:pStyle w:val="TAL"/>
              <w:rPr>
                <w:lang w:eastAsia="zh-CN"/>
              </w:rPr>
            </w:pPr>
            <w:r>
              <w:rPr>
                <w:lang w:eastAsia="zh-CN"/>
              </w:rPr>
              <w:t>Candidate QoS Parameter Sets for which a QoE prediction is requested.</w:t>
            </w:r>
          </w:p>
        </w:tc>
        <w:tc>
          <w:tcPr>
            <w:tcW w:w="1837" w:type="dxa"/>
            <w:tcBorders>
              <w:top w:val="single" w:sz="6" w:space="0" w:color="auto"/>
              <w:left w:val="single" w:sz="6" w:space="0" w:color="auto"/>
              <w:right w:val="single" w:sz="6" w:space="0" w:color="auto"/>
            </w:tcBorders>
          </w:tcPr>
          <w:p w14:paraId="60D7DFA9" w14:textId="77777777" w:rsidR="00F525B2" w:rsidRDefault="00F525B2" w:rsidP="009B329F">
            <w:pPr>
              <w:pStyle w:val="TAL"/>
              <w:rPr>
                <w:rFonts w:cs="Arial"/>
                <w:szCs w:val="18"/>
              </w:rPr>
            </w:pPr>
          </w:p>
        </w:tc>
      </w:tr>
      <w:tr w:rsidR="00F525B2" w14:paraId="1855FE55"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D335A6C" w14:textId="77777777" w:rsidR="00F525B2" w:rsidRDefault="00F525B2" w:rsidP="009B329F">
            <w:pPr>
              <w:pStyle w:val="TAL"/>
              <w:rPr>
                <w:lang w:eastAsia="zh-CN"/>
              </w:rPr>
            </w:pPr>
            <w:r>
              <w:rPr>
                <w:lang w:eastAsia="zh-CN"/>
              </w:rPr>
              <w:t>requestedQoe</w:t>
            </w:r>
          </w:p>
        </w:tc>
        <w:tc>
          <w:tcPr>
            <w:tcW w:w="1752" w:type="dxa"/>
            <w:tcBorders>
              <w:top w:val="single" w:sz="6" w:space="0" w:color="auto"/>
              <w:left w:val="single" w:sz="6" w:space="0" w:color="auto"/>
              <w:bottom w:val="single" w:sz="6" w:space="0" w:color="auto"/>
              <w:right w:val="single" w:sz="6" w:space="0" w:color="auto"/>
            </w:tcBorders>
          </w:tcPr>
          <w:p w14:paraId="6620D9B8"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154D44AF" w14:textId="77777777" w:rsidR="00F525B2" w:rsidRDefault="00F525B2" w:rsidP="009B329F">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5050A313" w14:textId="77777777" w:rsidR="00F525B2" w:rsidRPr="00C72842" w:rsidRDefault="00F525B2" w:rsidP="009B329F">
            <w:pPr>
              <w:pStyle w:val="TAL"/>
              <w:rPr>
                <w:rFonts w:cs="Arial"/>
                <w:szCs w:val="18"/>
              </w:rPr>
            </w:pPr>
            <w:r>
              <w:rPr>
                <w:rFonts w:cs="Arial"/>
                <w:szCs w:val="18"/>
              </w:rPr>
              <w:t>0..1</w:t>
            </w:r>
          </w:p>
        </w:tc>
        <w:tc>
          <w:tcPr>
            <w:tcW w:w="2845" w:type="dxa"/>
            <w:tcBorders>
              <w:top w:val="single" w:sz="6" w:space="0" w:color="auto"/>
              <w:left w:val="single" w:sz="6" w:space="0" w:color="auto"/>
              <w:bottom w:val="single" w:sz="6" w:space="0" w:color="auto"/>
              <w:right w:val="single" w:sz="6" w:space="0" w:color="auto"/>
            </w:tcBorders>
          </w:tcPr>
          <w:p w14:paraId="408CDDE7" w14:textId="77777777" w:rsidR="00F525B2" w:rsidRDefault="00F525B2" w:rsidP="009B329F">
            <w:pPr>
              <w:pStyle w:val="TAL"/>
              <w:rPr>
                <w:lang w:eastAsia="zh-CN"/>
              </w:rPr>
            </w:pPr>
            <w:r>
              <w:rPr>
                <w:lang w:eastAsia="zh-CN"/>
              </w:rPr>
              <w:t>Indicates the requested QoE MOS value.</w:t>
            </w:r>
          </w:p>
        </w:tc>
        <w:tc>
          <w:tcPr>
            <w:tcW w:w="1837" w:type="dxa"/>
            <w:tcBorders>
              <w:top w:val="single" w:sz="6" w:space="0" w:color="auto"/>
              <w:left w:val="single" w:sz="6" w:space="0" w:color="auto"/>
              <w:bottom w:val="single" w:sz="6" w:space="0" w:color="auto"/>
              <w:right w:val="single" w:sz="6" w:space="0" w:color="auto"/>
            </w:tcBorders>
          </w:tcPr>
          <w:p w14:paraId="7729C420" w14:textId="77777777" w:rsidR="00F525B2" w:rsidRDefault="00F525B2" w:rsidP="009B329F">
            <w:pPr>
              <w:pStyle w:val="TAL"/>
              <w:rPr>
                <w:rFonts w:cs="Arial"/>
                <w:szCs w:val="18"/>
              </w:rPr>
            </w:pPr>
          </w:p>
        </w:tc>
      </w:tr>
      <w:tr w:rsidR="00F525B2" w14:paraId="54E88862" w14:textId="77777777" w:rsidTr="009B329F">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360ABC5A" w14:textId="77777777" w:rsidR="00F525B2" w:rsidRPr="008B5D2B" w:rsidRDefault="00F525B2" w:rsidP="009B329F">
            <w:pPr>
              <w:pStyle w:val="TAN"/>
            </w:pPr>
            <w:r>
              <w:t>NOTE: The "CROSSED" value in "MatchingDirection" date type is not applicable for this attribute.</w:t>
            </w:r>
          </w:p>
        </w:tc>
      </w:tr>
    </w:tbl>
    <w:p w14:paraId="77C50093" w14:textId="77777777" w:rsidR="00F525B2" w:rsidRDefault="00F525B2" w:rsidP="00F525B2">
      <w:pPr>
        <w:rPr>
          <w:lang w:eastAsia="zh-CN"/>
        </w:rPr>
      </w:pPr>
    </w:p>
    <w:p w14:paraId="5BB3F399" w14:textId="77777777" w:rsidR="00F525B2" w:rsidRPr="00800566" w:rsidRDefault="00F525B2" w:rsidP="00F525B2">
      <w:pPr>
        <w:pStyle w:val="EditorsNote"/>
      </w:pPr>
      <w:r>
        <w:t>Editor's note:</w:t>
      </w:r>
      <w:r>
        <w:tab/>
        <w:t xml:space="preserve"> whether </w:t>
      </w:r>
      <w:r>
        <w:rPr>
          <w:lang w:eastAsia="zh-CN"/>
        </w:rPr>
        <w:t>requestedQoe</w:t>
      </w:r>
      <w:r>
        <w:t xml:space="preserve"> attribute is QoE threshold or a new attribute for QoE threshold is FFS.</w:t>
      </w:r>
    </w:p>
    <w:p w14:paraId="21951983" w14:textId="77777777" w:rsidR="00F525B2" w:rsidRPr="00F13207" w:rsidRDefault="00F525B2" w:rsidP="00F525B2">
      <w:pPr>
        <w:rPr>
          <w:lang w:eastAsia="zh-CN"/>
        </w:rPr>
      </w:pPr>
    </w:p>
    <w:p w14:paraId="700083C3" w14:textId="77777777" w:rsidR="00F525B2" w:rsidRDefault="00F525B2" w:rsidP="00F525B2">
      <w:pPr>
        <w:pStyle w:val="5"/>
      </w:pPr>
      <w:bookmarkStart w:id="8338" w:name="_Toc195815036"/>
      <w:bookmarkStart w:id="8339" w:name="_Toc199453003"/>
      <w:r>
        <w:t>5.1.6.2.114</w:t>
      </w:r>
      <w:r>
        <w:tab/>
        <w:t>Type QosPolicyAssistInfo</w:t>
      </w:r>
      <w:bookmarkEnd w:id="8338"/>
      <w:bookmarkEnd w:id="8339"/>
    </w:p>
    <w:p w14:paraId="5ECBD37D" w14:textId="77777777" w:rsidR="00F525B2" w:rsidRDefault="00F525B2" w:rsidP="00F525B2">
      <w:pPr>
        <w:pStyle w:val="TH"/>
      </w:pPr>
      <w:r>
        <w:t>Table 5.1.6.2.114-1: Definition of type QosPolicyAssistInfo</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37D43005"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4C7D41CB"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7C51EB59"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6DBEB708"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488097EE"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08516034"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34E45D18" w14:textId="77777777" w:rsidR="00F525B2" w:rsidRDefault="00F525B2" w:rsidP="009B329F">
            <w:pPr>
              <w:pStyle w:val="TAH"/>
              <w:ind w:left="400" w:hanging="400"/>
            </w:pPr>
            <w:r>
              <w:t>Applicability</w:t>
            </w:r>
          </w:p>
        </w:tc>
      </w:tr>
      <w:tr w:rsidR="00F525B2" w14:paraId="73CC2AFA" w14:textId="77777777" w:rsidTr="009B329F">
        <w:trPr>
          <w:trHeight w:val="281"/>
          <w:jc w:val="center"/>
        </w:trPr>
        <w:tc>
          <w:tcPr>
            <w:tcW w:w="1552" w:type="dxa"/>
            <w:tcBorders>
              <w:top w:val="single" w:sz="6" w:space="0" w:color="auto"/>
              <w:left w:val="single" w:sz="6" w:space="0" w:color="auto"/>
              <w:bottom w:val="single" w:sz="6" w:space="0" w:color="auto"/>
              <w:right w:val="single" w:sz="6" w:space="0" w:color="auto"/>
            </w:tcBorders>
          </w:tcPr>
          <w:p w14:paraId="62430289" w14:textId="77777777" w:rsidR="00F525B2" w:rsidRDefault="00F525B2" w:rsidP="009B329F">
            <w:pPr>
              <w:pStyle w:val="TAL"/>
            </w:pPr>
            <w:r>
              <w:t>qosPolAssistInfo</w:t>
            </w:r>
          </w:p>
        </w:tc>
        <w:tc>
          <w:tcPr>
            <w:tcW w:w="1752" w:type="dxa"/>
            <w:tcBorders>
              <w:top w:val="single" w:sz="6" w:space="0" w:color="auto"/>
              <w:left w:val="single" w:sz="6" w:space="0" w:color="auto"/>
              <w:bottom w:val="single" w:sz="6" w:space="0" w:color="auto"/>
              <w:right w:val="single" w:sz="6" w:space="0" w:color="auto"/>
            </w:tcBorders>
          </w:tcPr>
          <w:p w14:paraId="3FC52FFD" w14:textId="77777777" w:rsidR="00F525B2" w:rsidRDefault="00F525B2" w:rsidP="009B329F">
            <w:pPr>
              <w:pStyle w:val="TAL"/>
            </w:pPr>
            <w:r>
              <w:t>array(QosPolicyAssist</w:t>
            </w:r>
            <w:r>
              <w:rPr>
                <w:rFonts w:hint="eastAsia"/>
                <w:lang w:eastAsia="zh-CN"/>
              </w:rPr>
              <w:t>SetsPerTS</w:t>
            </w:r>
            <w:r>
              <w:t>)</w:t>
            </w:r>
          </w:p>
        </w:tc>
        <w:tc>
          <w:tcPr>
            <w:tcW w:w="424" w:type="dxa"/>
            <w:tcBorders>
              <w:top w:val="single" w:sz="6" w:space="0" w:color="auto"/>
              <w:left w:val="single" w:sz="6" w:space="0" w:color="auto"/>
              <w:bottom w:val="single" w:sz="6" w:space="0" w:color="auto"/>
              <w:right w:val="single" w:sz="6" w:space="0" w:color="auto"/>
            </w:tcBorders>
          </w:tcPr>
          <w:p w14:paraId="0ACEDE2C" w14:textId="77777777" w:rsidR="00F525B2" w:rsidRDefault="00F525B2" w:rsidP="009B329F">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3D2DE89E" w14:textId="77777777" w:rsidR="00F525B2" w:rsidRPr="003A7A7E" w:rsidRDefault="00F525B2" w:rsidP="009B329F">
            <w:pPr>
              <w:pStyle w:val="TAL"/>
              <w:rPr>
                <w:lang w:eastAsia="zh-CN"/>
              </w:rPr>
            </w:pPr>
            <w:r w:rsidRPr="003A7A7E">
              <w:rPr>
                <w:lang w:eastAsia="zh-CN"/>
              </w:rPr>
              <w:t>1..N</w:t>
            </w:r>
          </w:p>
        </w:tc>
        <w:tc>
          <w:tcPr>
            <w:tcW w:w="2845" w:type="dxa"/>
            <w:tcBorders>
              <w:top w:val="single" w:sz="6" w:space="0" w:color="auto"/>
              <w:left w:val="single" w:sz="6" w:space="0" w:color="auto"/>
              <w:bottom w:val="single" w:sz="6" w:space="0" w:color="auto"/>
              <w:right w:val="single" w:sz="6" w:space="0" w:color="auto"/>
            </w:tcBorders>
          </w:tcPr>
          <w:p w14:paraId="2541DCCD" w14:textId="77777777" w:rsidR="00F525B2" w:rsidRPr="009769B5" w:rsidRDefault="00F525B2" w:rsidP="009B329F">
            <w:pPr>
              <w:pStyle w:val="TAL"/>
              <w:rPr>
                <w:rFonts w:cs="Arial"/>
                <w:szCs w:val="18"/>
                <w:lang w:eastAsia="zh-CN"/>
              </w:rPr>
            </w:pPr>
            <w:r w:rsidRPr="009769B5">
              <w:rPr>
                <w:rFonts w:cs="Arial"/>
                <w:szCs w:val="18"/>
                <w:lang w:eastAsia="zh-CN"/>
              </w:rPr>
              <w:t>List of QoS and Policy Assistance information</w:t>
            </w:r>
            <w:r>
              <w:rPr>
                <w:rFonts w:cs="Arial"/>
                <w:szCs w:val="18"/>
                <w:lang w:eastAsia="zh-CN"/>
              </w:rPr>
              <w:t xml:space="preserve"> </w:t>
            </w:r>
            <w:r>
              <w:rPr>
                <w:rFonts w:cs="Arial" w:hint="eastAsia"/>
                <w:szCs w:val="18"/>
                <w:lang w:eastAsia="zh-CN"/>
              </w:rPr>
              <w:t xml:space="preserve">for the target UE </w:t>
            </w:r>
            <w:r>
              <w:rPr>
                <w:rFonts w:cs="Arial"/>
                <w:szCs w:val="18"/>
                <w:lang w:eastAsia="zh-CN"/>
              </w:rPr>
              <w:t xml:space="preserve">containing the </w:t>
            </w:r>
            <w:r w:rsidRPr="009769B5">
              <w:rPr>
                <w:rFonts w:cs="Arial"/>
                <w:szCs w:val="18"/>
                <w:lang w:eastAsia="zh-CN"/>
              </w:rPr>
              <w:t>candidate QoS parameter set(s)</w:t>
            </w:r>
            <w:r>
              <w:rPr>
                <w:rFonts w:cs="Arial"/>
                <w:szCs w:val="18"/>
                <w:lang w:eastAsia="zh-CN"/>
              </w:rPr>
              <w:t>.</w:t>
            </w:r>
          </w:p>
        </w:tc>
        <w:tc>
          <w:tcPr>
            <w:tcW w:w="1837" w:type="dxa"/>
            <w:tcBorders>
              <w:top w:val="single" w:sz="6" w:space="0" w:color="auto"/>
              <w:left w:val="single" w:sz="6" w:space="0" w:color="auto"/>
              <w:bottom w:val="single" w:sz="6" w:space="0" w:color="auto"/>
              <w:right w:val="single" w:sz="6" w:space="0" w:color="auto"/>
            </w:tcBorders>
          </w:tcPr>
          <w:p w14:paraId="6AC0716C" w14:textId="77777777" w:rsidR="00F525B2" w:rsidRDefault="00F525B2" w:rsidP="009B329F">
            <w:pPr>
              <w:pStyle w:val="TAL"/>
              <w:rPr>
                <w:rFonts w:cs="Arial"/>
                <w:szCs w:val="18"/>
              </w:rPr>
            </w:pPr>
          </w:p>
        </w:tc>
      </w:tr>
    </w:tbl>
    <w:p w14:paraId="7A99A47D" w14:textId="77777777" w:rsidR="00F525B2" w:rsidRDefault="00F525B2" w:rsidP="00F525B2"/>
    <w:p w14:paraId="7348505C" w14:textId="77777777" w:rsidR="00F525B2" w:rsidRPr="00800566" w:rsidRDefault="00F525B2" w:rsidP="00F525B2">
      <w:pPr>
        <w:pStyle w:val="EditorsNote"/>
      </w:pPr>
      <w:r>
        <w:t>Editor's note:</w:t>
      </w:r>
      <w:r>
        <w:tab/>
        <w:t>whether the UE IDs need to be included is FFS.</w:t>
      </w:r>
    </w:p>
    <w:p w14:paraId="383FCA7D" w14:textId="77777777" w:rsidR="00F525B2" w:rsidRPr="00DD12CB" w:rsidRDefault="00F525B2" w:rsidP="00F525B2"/>
    <w:p w14:paraId="0247FB00" w14:textId="77777777" w:rsidR="00F525B2" w:rsidRDefault="00F525B2" w:rsidP="00F525B2">
      <w:pPr>
        <w:pStyle w:val="5"/>
        <w:rPr>
          <w:lang w:eastAsia="zh-CN"/>
        </w:rPr>
      </w:pPr>
      <w:bookmarkStart w:id="8340" w:name="_Toc195815037"/>
      <w:bookmarkStart w:id="8341" w:name="_Toc199453004"/>
      <w:r>
        <w:lastRenderedPageBreak/>
        <w:t>5.1.6.2.11</w:t>
      </w:r>
      <w:r>
        <w:rPr>
          <w:rFonts w:hint="eastAsia"/>
          <w:lang w:eastAsia="zh-CN"/>
        </w:rPr>
        <w:t>5</w:t>
      </w:r>
      <w:r>
        <w:tab/>
        <w:t>Type QosPolicyAssist</w:t>
      </w:r>
      <w:r>
        <w:rPr>
          <w:rFonts w:hint="eastAsia"/>
          <w:lang w:eastAsia="zh-CN"/>
        </w:rPr>
        <w:t>Set</w:t>
      </w:r>
      <w:bookmarkEnd w:id="8340"/>
      <w:bookmarkEnd w:id="8341"/>
    </w:p>
    <w:p w14:paraId="1E74DD75" w14:textId="77777777" w:rsidR="00F525B2" w:rsidRDefault="00F525B2" w:rsidP="00F525B2">
      <w:pPr>
        <w:pStyle w:val="TH"/>
        <w:rPr>
          <w:lang w:eastAsia="zh-CN"/>
        </w:rPr>
      </w:pPr>
      <w:r>
        <w:t>Table 5.1.6.2.11</w:t>
      </w:r>
      <w:r>
        <w:rPr>
          <w:rFonts w:hint="eastAsia"/>
          <w:lang w:eastAsia="zh-CN"/>
        </w:rPr>
        <w:t>5</w:t>
      </w:r>
      <w:r>
        <w:t>-1: Definition of type QosPolicyAssist</w:t>
      </w:r>
      <w:r>
        <w:rPr>
          <w:rFonts w:hint="eastAsia"/>
          <w:lang w:eastAsia="zh-CN"/>
        </w:rPr>
        <w:t>Set</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5FF261D7"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04609CAA" w14:textId="77777777" w:rsidR="00F525B2" w:rsidRDefault="00F525B2" w:rsidP="009B329F">
            <w:pPr>
              <w:pStyle w:val="TAH"/>
              <w:ind w:left="400" w:hanging="400"/>
            </w:pPr>
            <w:r>
              <w:lastRenderedPageBreak/>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0966D0FF"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486C72B2"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0378E904"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508FE378"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3B164218" w14:textId="77777777" w:rsidR="00F525B2" w:rsidRDefault="00F525B2" w:rsidP="009B329F">
            <w:pPr>
              <w:pStyle w:val="TAH"/>
              <w:ind w:left="400" w:hanging="400"/>
            </w:pPr>
            <w:r>
              <w:t>Applicability</w:t>
            </w:r>
          </w:p>
        </w:tc>
      </w:tr>
      <w:tr w:rsidR="00F525B2" w14:paraId="32E020A7" w14:textId="77777777" w:rsidTr="009B329F">
        <w:trPr>
          <w:trHeight w:val="281"/>
          <w:jc w:val="center"/>
        </w:trPr>
        <w:tc>
          <w:tcPr>
            <w:tcW w:w="1552" w:type="dxa"/>
            <w:tcBorders>
              <w:top w:val="single" w:sz="6" w:space="0" w:color="auto"/>
              <w:left w:val="single" w:sz="6" w:space="0" w:color="auto"/>
              <w:right w:val="single" w:sz="6" w:space="0" w:color="auto"/>
            </w:tcBorders>
          </w:tcPr>
          <w:p w14:paraId="70A06E1D" w14:textId="77777777" w:rsidR="00F525B2" w:rsidRDefault="00F525B2" w:rsidP="009B329F">
            <w:pPr>
              <w:pStyle w:val="TAL"/>
              <w:rPr>
                <w:lang w:eastAsia="zh-CN"/>
              </w:rPr>
            </w:pPr>
            <w:r>
              <w:rPr>
                <w:lang w:eastAsia="zh-CN"/>
              </w:rPr>
              <w:t>qosParamSet</w:t>
            </w:r>
          </w:p>
        </w:tc>
        <w:tc>
          <w:tcPr>
            <w:tcW w:w="1752" w:type="dxa"/>
            <w:tcBorders>
              <w:top w:val="single" w:sz="6" w:space="0" w:color="auto"/>
              <w:left w:val="single" w:sz="6" w:space="0" w:color="auto"/>
              <w:right w:val="single" w:sz="6" w:space="0" w:color="auto"/>
            </w:tcBorders>
          </w:tcPr>
          <w:p w14:paraId="55AD35C9" w14:textId="77777777" w:rsidR="00F525B2" w:rsidRDefault="00F525B2" w:rsidP="009B329F">
            <w:pPr>
              <w:pStyle w:val="TAL"/>
              <w:rPr>
                <w:lang w:eastAsia="zh-CN"/>
              </w:rPr>
            </w:pPr>
            <w:r>
              <w:rPr>
                <w:lang w:eastAsia="zh-CN"/>
              </w:rPr>
              <w:t>QosPara</w:t>
            </w:r>
          </w:p>
        </w:tc>
        <w:tc>
          <w:tcPr>
            <w:tcW w:w="424" w:type="dxa"/>
            <w:tcBorders>
              <w:top w:val="single" w:sz="6" w:space="0" w:color="auto"/>
              <w:left w:val="single" w:sz="6" w:space="0" w:color="auto"/>
              <w:right w:val="single" w:sz="6" w:space="0" w:color="auto"/>
            </w:tcBorders>
          </w:tcPr>
          <w:p w14:paraId="70F5458B" w14:textId="77777777" w:rsidR="00F525B2" w:rsidRDefault="00F525B2" w:rsidP="009B329F">
            <w:pPr>
              <w:pStyle w:val="TAC"/>
              <w:rPr>
                <w:lang w:eastAsia="zh-CN"/>
              </w:rPr>
            </w:pPr>
            <w:r>
              <w:rPr>
                <w:lang w:eastAsia="zh-CN"/>
              </w:rPr>
              <w:t>O</w:t>
            </w:r>
          </w:p>
        </w:tc>
        <w:tc>
          <w:tcPr>
            <w:tcW w:w="1130" w:type="dxa"/>
            <w:tcBorders>
              <w:top w:val="single" w:sz="6" w:space="0" w:color="auto"/>
              <w:left w:val="single" w:sz="6" w:space="0" w:color="auto"/>
              <w:right w:val="single" w:sz="6" w:space="0" w:color="auto"/>
            </w:tcBorders>
          </w:tcPr>
          <w:p w14:paraId="0C79EA6C" w14:textId="77777777" w:rsidR="00F525B2" w:rsidRDefault="00F525B2" w:rsidP="009B329F">
            <w:pPr>
              <w:pStyle w:val="TAL"/>
              <w:rPr>
                <w:lang w:eastAsia="zh-CN"/>
              </w:rPr>
            </w:pPr>
            <w:r>
              <w:rPr>
                <w:lang w:eastAsia="zh-CN"/>
              </w:rPr>
              <w:t>0..1</w:t>
            </w:r>
          </w:p>
        </w:tc>
        <w:tc>
          <w:tcPr>
            <w:tcW w:w="2845" w:type="dxa"/>
            <w:tcBorders>
              <w:top w:val="single" w:sz="6" w:space="0" w:color="auto"/>
              <w:left w:val="single" w:sz="6" w:space="0" w:color="auto"/>
              <w:right w:val="single" w:sz="6" w:space="0" w:color="auto"/>
            </w:tcBorders>
          </w:tcPr>
          <w:p w14:paraId="3C22EDB4" w14:textId="77777777" w:rsidR="00F525B2" w:rsidRDefault="00F525B2" w:rsidP="009B329F">
            <w:pPr>
              <w:pStyle w:val="TAL"/>
              <w:rPr>
                <w:rFonts w:cs="Arial"/>
                <w:szCs w:val="18"/>
                <w:lang w:eastAsia="zh-CN"/>
              </w:rPr>
            </w:pPr>
            <w:r>
              <w:t xml:space="preserve">Identifies the </w:t>
            </w:r>
            <w:r w:rsidRPr="002C3E8D">
              <w:t xml:space="preserve">QoS parameter </w:t>
            </w:r>
            <w:r>
              <w:t>S</w:t>
            </w:r>
            <w:r w:rsidRPr="002C3E8D">
              <w:t>et</w:t>
            </w:r>
            <w:r>
              <w:t xml:space="preserve"> information.</w:t>
            </w:r>
          </w:p>
        </w:tc>
        <w:tc>
          <w:tcPr>
            <w:tcW w:w="1837" w:type="dxa"/>
            <w:tcBorders>
              <w:top w:val="single" w:sz="6" w:space="0" w:color="auto"/>
              <w:left w:val="single" w:sz="6" w:space="0" w:color="auto"/>
              <w:right w:val="single" w:sz="6" w:space="0" w:color="auto"/>
            </w:tcBorders>
          </w:tcPr>
          <w:p w14:paraId="2305DC46" w14:textId="77777777" w:rsidR="00F525B2" w:rsidRDefault="00F525B2" w:rsidP="009B329F">
            <w:pPr>
              <w:pStyle w:val="TAL"/>
              <w:rPr>
                <w:rFonts w:cs="Arial"/>
                <w:szCs w:val="18"/>
              </w:rPr>
            </w:pPr>
          </w:p>
        </w:tc>
      </w:tr>
      <w:tr w:rsidR="00F525B2" w14:paraId="6C2D9438" w14:textId="77777777" w:rsidTr="009B329F">
        <w:trPr>
          <w:trHeight w:val="281"/>
          <w:jc w:val="center"/>
        </w:trPr>
        <w:tc>
          <w:tcPr>
            <w:tcW w:w="1552" w:type="dxa"/>
            <w:tcBorders>
              <w:top w:val="single" w:sz="6" w:space="0" w:color="auto"/>
              <w:left w:val="single" w:sz="6" w:space="0" w:color="auto"/>
              <w:right w:val="single" w:sz="6" w:space="0" w:color="auto"/>
            </w:tcBorders>
          </w:tcPr>
          <w:p w14:paraId="5B517B7C" w14:textId="77777777" w:rsidR="00F525B2" w:rsidRDefault="00F525B2" w:rsidP="009B329F">
            <w:pPr>
              <w:pStyle w:val="TAL"/>
              <w:rPr>
                <w:lang w:eastAsia="zh-CN"/>
              </w:rPr>
            </w:pPr>
            <w:r>
              <w:t>dnn</w:t>
            </w:r>
          </w:p>
        </w:tc>
        <w:tc>
          <w:tcPr>
            <w:tcW w:w="1752" w:type="dxa"/>
            <w:tcBorders>
              <w:top w:val="single" w:sz="6" w:space="0" w:color="auto"/>
              <w:left w:val="single" w:sz="6" w:space="0" w:color="auto"/>
              <w:right w:val="single" w:sz="6" w:space="0" w:color="auto"/>
            </w:tcBorders>
          </w:tcPr>
          <w:p w14:paraId="5FFB3590" w14:textId="77777777" w:rsidR="00F525B2" w:rsidRDefault="00F525B2" w:rsidP="009B329F">
            <w:pPr>
              <w:pStyle w:val="TAL"/>
              <w:rPr>
                <w:lang w:eastAsia="zh-CN"/>
              </w:rPr>
            </w:pPr>
            <w:r>
              <w:t>Dnn</w:t>
            </w:r>
          </w:p>
        </w:tc>
        <w:tc>
          <w:tcPr>
            <w:tcW w:w="424" w:type="dxa"/>
            <w:tcBorders>
              <w:top w:val="single" w:sz="6" w:space="0" w:color="auto"/>
              <w:left w:val="single" w:sz="6" w:space="0" w:color="auto"/>
              <w:right w:val="single" w:sz="6" w:space="0" w:color="auto"/>
            </w:tcBorders>
          </w:tcPr>
          <w:p w14:paraId="4342B645" w14:textId="77777777" w:rsidR="00F525B2" w:rsidRDefault="00F525B2" w:rsidP="009B329F">
            <w:pPr>
              <w:pStyle w:val="TAC"/>
              <w:rPr>
                <w:lang w:eastAsia="zh-CN"/>
              </w:rPr>
            </w:pPr>
            <w:r>
              <w:t>C</w:t>
            </w:r>
          </w:p>
        </w:tc>
        <w:tc>
          <w:tcPr>
            <w:tcW w:w="1130" w:type="dxa"/>
            <w:tcBorders>
              <w:top w:val="single" w:sz="6" w:space="0" w:color="auto"/>
              <w:left w:val="single" w:sz="6" w:space="0" w:color="auto"/>
              <w:right w:val="single" w:sz="6" w:space="0" w:color="auto"/>
            </w:tcBorders>
          </w:tcPr>
          <w:p w14:paraId="7157508D" w14:textId="77777777" w:rsidR="00F525B2" w:rsidRDefault="00F525B2" w:rsidP="009B329F">
            <w:pPr>
              <w:pStyle w:val="TAL"/>
              <w:rPr>
                <w:lang w:eastAsia="zh-CN"/>
              </w:rPr>
            </w:pPr>
            <w:r>
              <w:rPr>
                <w:lang w:eastAsia="zh-CN"/>
              </w:rPr>
              <w:t>0..1</w:t>
            </w:r>
          </w:p>
        </w:tc>
        <w:tc>
          <w:tcPr>
            <w:tcW w:w="2845" w:type="dxa"/>
            <w:tcBorders>
              <w:top w:val="single" w:sz="6" w:space="0" w:color="auto"/>
              <w:left w:val="single" w:sz="6" w:space="0" w:color="auto"/>
              <w:right w:val="single" w:sz="6" w:space="0" w:color="auto"/>
            </w:tcBorders>
          </w:tcPr>
          <w:p w14:paraId="3DBA291C" w14:textId="77777777" w:rsidR="00F525B2" w:rsidRDefault="00F525B2" w:rsidP="009B329F">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29C7E2A0" w14:textId="77777777" w:rsidR="00F525B2" w:rsidRPr="002C3E8D" w:rsidRDefault="00F525B2" w:rsidP="009B329F">
            <w:pPr>
              <w:pStyle w:val="TAL"/>
            </w:pPr>
            <w:r>
              <w:rPr>
                <w:rFonts w:cs="Arial"/>
                <w:szCs w:val="18"/>
                <w:lang w:eastAsia="zh-CN"/>
              </w:rPr>
              <w:t>Shall be present if the "dnns" was provided within EventSubscription during the subscription for event notification procedure.</w:t>
            </w:r>
          </w:p>
        </w:tc>
        <w:tc>
          <w:tcPr>
            <w:tcW w:w="1837" w:type="dxa"/>
            <w:tcBorders>
              <w:top w:val="single" w:sz="6" w:space="0" w:color="auto"/>
              <w:left w:val="single" w:sz="6" w:space="0" w:color="auto"/>
              <w:right w:val="single" w:sz="6" w:space="0" w:color="auto"/>
            </w:tcBorders>
          </w:tcPr>
          <w:p w14:paraId="744DEA97" w14:textId="77777777" w:rsidR="00F525B2" w:rsidRDefault="00F525B2" w:rsidP="009B329F">
            <w:pPr>
              <w:pStyle w:val="TAL"/>
              <w:rPr>
                <w:rFonts w:cs="Arial"/>
                <w:szCs w:val="18"/>
              </w:rPr>
            </w:pPr>
          </w:p>
        </w:tc>
      </w:tr>
      <w:tr w:rsidR="00F525B2" w14:paraId="72E132A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2B9C21CE" w14:textId="77777777" w:rsidR="00F525B2" w:rsidRDefault="00F525B2" w:rsidP="009B329F">
            <w:pPr>
              <w:pStyle w:val="TAL"/>
              <w:rPr>
                <w:lang w:eastAsia="zh-CN"/>
              </w:rPr>
            </w:pPr>
            <w:r>
              <w:t>appId</w:t>
            </w:r>
          </w:p>
        </w:tc>
        <w:tc>
          <w:tcPr>
            <w:tcW w:w="1752" w:type="dxa"/>
            <w:tcBorders>
              <w:top w:val="single" w:sz="6" w:space="0" w:color="auto"/>
              <w:left w:val="single" w:sz="6" w:space="0" w:color="auto"/>
              <w:bottom w:val="single" w:sz="6" w:space="0" w:color="auto"/>
              <w:right w:val="single" w:sz="6" w:space="0" w:color="auto"/>
            </w:tcBorders>
          </w:tcPr>
          <w:p w14:paraId="1FC9A03F" w14:textId="77777777" w:rsidR="00F525B2" w:rsidRDefault="00F525B2" w:rsidP="009B329F">
            <w:pPr>
              <w:pStyle w:val="TAL"/>
            </w:pPr>
            <w:r>
              <w:t>ApplicationId</w:t>
            </w:r>
          </w:p>
        </w:tc>
        <w:tc>
          <w:tcPr>
            <w:tcW w:w="424" w:type="dxa"/>
            <w:tcBorders>
              <w:top w:val="single" w:sz="6" w:space="0" w:color="auto"/>
              <w:left w:val="single" w:sz="6" w:space="0" w:color="auto"/>
              <w:bottom w:val="single" w:sz="6" w:space="0" w:color="auto"/>
              <w:right w:val="single" w:sz="6" w:space="0" w:color="auto"/>
            </w:tcBorders>
          </w:tcPr>
          <w:p w14:paraId="15156482"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0BD9DF9" w14:textId="77777777" w:rsidR="00F525B2" w:rsidRPr="00C72842" w:rsidRDefault="00F525B2" w:rsidP="009B329F">
            <w:pPr>
              <w:pStyle w:val="TAL"/>
              <w:rPr>
                <w:rFonts w:cs="Arial"/>
                <w:szCs w:val="18"/>
              </w:rPr>
            </w:pPr>
            <w:r>
              <w:t>0..1</w:t>
            </w:r>
          </w:p>
        </w:tc>
        <w:tc>
          <w:tcPr>
            <w:tcW w:w="2845" w:type="dxa"/>
            <w:tcBorders>
              <w:top w:val="single" w:sz="6" w:space="0" w:color="auto"/>
              <w:left w:val="single" w:sz="6" w:space="0" w:color="auto"/>
              <w:bottom w:val="single" w:sz="6" w:space="0" w:color="auto"/>
              <w:right w:val="single" w:sz="6" w:space="0" w:color="auto"/>
            </w:tcBorders>
          </w:tcPr>
          <w:p w14:paraId="356255FD" w14:textId="77777777" w:rsidR="00F525B2" w:rsidRDefault="00F525B2" w:rsidP="009B329F">
            <w:pPr>
              <w:pStyle w:val="TAL"/>
              <w:rPr>
                <w:rFonts w:cs="Arial"/>
                <w:szCs w:val="18"/>
              </w:rPr>
            </w:pPr>
            <w:r>
              <w:t>Contains the application identifier. (NOTE 1)</w:t>
            </w:r>
          </w:p>
        </w:tc>
        <w:tc>
          <w:tcPr>
            <w:tcW w:w="1837" w:type="dxa"/>
            <w:tcBorders>
              <w:top w:val="single" w:sz="6" w:space="0" w:color="auto"/>
              <w:left w:val="single" w:sz="6" w:space="0" w:color="auto"/>
              <w:bottom w:val="single" w:sz="6" w:space="0" w:color="auto"/>
              <w:right w:val="single" w:sz="6" w:space="0" w:color="auto"/>
            </w:tcBorders>
          </w:tcPr>
          <w:p w14:paraId="1889A08E" w14:textId="77777777" w:rsidR="00F525B2" w:rsidRDefault="00F525B2" w:rsidP="009B329F">
            <w:pPr>
              <w:pStyle w:val="TAL"/>
              <w:rPr>
                <w:rFonts w:cs="Arial"/>
                <w:szCs w:val="18"/>
              </w:rPr>
            </w:pPr>
          </w:p>
        </w:tc>
      </w:tr>
      <w:tr w:rsidR="00F525B2" w14:paraId="46F29FB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44617DBF" w14:textId="77777777" w:rsidR="00F525B2" w:rsidRDefault="00F525B2" w:rsidP="009B329F">
            <w:pPr>
              <w:pStyle w:val="TAL"/>
              <w:rPr>
                <w:lang w:eastAsia="zh-CN"/>
              </w:rPr>
            </w:pPr>
            <w:r>
              <w:t>fDescs</w:t>
            </w:r>
          </w:p>
        </w:tc>
        <w:tc>
          <w:tcPr>
            <w:tcW w:w="1752" w:type="dxa"/>
            <w:tcBorders>
              <w:top w:val="single" w:sz="6" w:space="0" w:color="auto"/>
              <w:left w:val="single" w:sz="6" w:space="0" w:color="auto"/>
              <w:bottom w:val="single" w:sz="6" w:space="0" w:color="auto"/>
              <w:right w:val="single" w:sz="6" w:space="0" w:color="auto"/>
            </w:tcBorders>
          </w:tcPr>
          <w:p w14:paraId="6B21E811" w14:textId="77777777" w:rsidR="00F525B2" w:rsidRDefault="00F525B2" w:rsidP="009B329F">
            <w:pPr>
              <w:pStyle w:val="TAL"/>
            </w:pPr>
            <w:r>
              <w:t>array(IpEthFlowDescription)</w:t>
            </w:r>
          </w:p>
        </w:tc>
        <w:tc>
          <w:tcPr>
            <w:tcW w:w="424" w:type="dxa"/>
            <w:tcBorders>
              <w:top w:val="single" w:sz="6" w:space="0" w:color="auto"/>
              <w:left w:val="single" w:sz="6" w:space="0" w:color="auto"/>
              <w:bottom w:val="single" w:sz="6" w:space="0" w:color="auto"/>
              <w:right w:val="single" w:sz="6" w:space="0" w:color="auto"/>
            </w:tcBorders>
          </w:tcPr>
          <w:p w14:paraId="0ED0D2A8"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C2E41E2" w14:textId="77777777" w:rsidR="00F525B2" w:rsidRPr="00C72842" w:rsidRDefault="00F525B2" w:rsidP="009B329F">
            <w:pPr>
              <w:pStyle w:val="TAL"/>
              <w:rPr>
                <w:rFonts w:cs="Arial"/>
                <w:szCs w:val="18"/>
              </w:rPr>
            </w:pPr>
            <w:r>
              <w:t>1..N</w:t>
            </w:r>
          </w:p>
        </w:tc>
        <w:tc>
          <w:tcPr>
            <w:tcW w:w="2845" w:type="dxa"/>
            <w:tcBorders>
              <w:top w:val="single" w:sz="6" w:space="0" w:color="auto"/>
              <w:left w:val="single" w:sz="6" w:space="0" w:color="auto"/>
              <w:bottom w:val="single" w:sz="6" w:space="0" w:color="auto"/>
              <w:right w:val="single" w:sz="6" w:space="0" w:color="auto"/>
            </w:tcBorders>
          </w:tcPr>
          <w:p w14:paraId="15A2668D" w14:textId="77777777" w:rsidR="00F525B2" w:rsidRDefault="00F525B2" w:rsidP="009B329F">
            <w:pPr>
              <w:pStyle w:val="TAL"/>
              <w:rPr>
                <w:rFonts w:cs="Arial"/>
                <w:szCs w:val="18"/>
              </w:rPr>
            </w:pPr>
            <w:r>
              <w:rPr>
                <w:rFonts w:cs="Arial"/>
                <w:szCs w:val="18"/>
              </w:rPr>
              <w:t>Contains the flow description for IP and/or Ethernet flows of the application.</w:t>
            </w:r>
          </w:p>
          <w:p w14:paraId="1244F4FC" w14:textId="77777777" w:rsidR="00F525B2" w:rsidRDefault="00F525B2" w:rsidP="009B329F">
            <w:pPr>
              <w:pStyle w:val="TAL"/>
              <w:rPr>
                <w:rFonts w:cs="Arial"/>
                <w:szCs w:val="18"/>
              </w:rPr>
            </w:pPr>
            <w:r>
              <w:rPr>
                <w:rFonts w:cs="Arial"/>
                <w:szCs w:val="18"/>
              </w:rPr>
              <w:t>(NOTE</w:t>
            </w:r>
            <w:r>
              <w:t> </w:t>
            </w:r>
            <w:r>
              <w:rPr>
                <w:rFonts w:cs="Arial"/>
                <w:szCs w:val="18"/>
              </w:rPr>
              <w:t>1)</w:t>
            </w:r>
          </w:p>
        </w:tc>
        <w:tc>
          <w:tcPr>
            <w:tcW w:w="1837" w:type="dxa"/>
            <w:tcBorders>
              <w:top w:val="single" w:sz="6" w:space="0" w:color="auto"/>
              <w:left w:val="single" w:sz="6" w:space="0" w:color="auto"/>
              <w:bottom w:val="single" w:sz="6" w:space="0" w:color="auto"/>
              <w:right w:val="single" w:sz="6" w:space="0" w:color="auto"/>
            </w:tcBorders>
          </w:tcPr>
          <w:p w14:paraId="7A771F24" w14:textId="77777777" w:rsidR="00F525B2" w:rsidRDefault="00F525B2" w:rsidP="009B329F">
            <w:pPr>
              <w:pStyle w:val="TAL"/>
              <w:rPr>
                <w:rFonts w:cs="Arial"/>
                <w:szCs w:val="18"/>
              </w:rPr>
            </w:pPr>
          </w:p>
        </w:tc>
      </w:tr>
      <w:tr w:rsidR="00BD7657" w14:paraId="47DFF23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4E6F2A5" w14:textId="77777777" w:rsidR="00BD7657" w:rsidRDefault="00BD7657" w:rsidP="00BD7657">
            <w:pPr>
              <w:pStyle w:val="TAL"/>
            </w:pPr>
            <w:r>
              <w:t>appDuration</w:t>
            </w:r>
          </w:p>
        </w:tc>
        <w:tc>
          <w:tcPr>
            <w:tcW w:w="1752" w:type="dxa"/>
            <w:tcBorders>
              <w:top w:val="single" w:sz="6" w:space="0" w:color="auto"/>
              <w:left w:val="single" w:sz="6" w:space="0" w:color="auto"/>
              <w:bottom w:val="single" w:sz="6" w:space="0" w:color="auto"/>
              <w:right w:val="single" w:sz="6" w:space="0" w:color="auto"/>
            </w:tcBorders>
          </w:tcPr>
          <w:p w14:paraId="0AF78DBE" w14:textId="77777777" w:rsidR="00BD7657" w:rsidRDefault="00BD7657" w:rsidP="00BD7657">
            <w:pPr>
              <w:pStyle w:val="TAL"/>
            </w:pPr>
            <w:r>
              <w:t>DurationSec</w:t>
            </w:r>
          </w:p>
        </w:tc>
        <w:tc>
          <w:tcPr>
            <w:tcW w:w="424" w:type="dxa"/>
            <w:tcBorders>
              <w:top w:val="single" w:sz="6" w:space="0" w:color="auto"/>
              <w:left w:val="single" w:sz="6" w:space="0" w:color="auto"/>
              <w:bottom w:val="single" w:sz="6" w:space="0" w:color="auto"/>
              <w:right w:val="single" w:sz="6" w:space="0" w:color="auto"/>
            </w:tcBorders>
          </w:tcPr>
          <w:p w14:paraId="560577C8" w14:textId="77777777" w:rsidR="00BD7657" w:rsidRDefault="00BD7657" w:rsidP="00BD7657">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2AD1119E" w14:textId="77777777" w:rsidR="00BD7657" w:rsidRDefault="00BD7657" w:rsidP="00BD7657">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319DABB2" w14:textId="77777777" w:rsidR="00BD7657" w:rsidRDefault="00BD7657" w:rsidP="00BD7657">
            <w:pPr>
              <w:pStyle w:val="TAL"/>
              <w:rPr>
                <w:rFonts w:cs="Arial"/>
                <w:szCs w:val="18"/>
              </w:rPr>
            </w:pPr>
            <w:r>
              <w:rPr>
                <w:rFonts w:cs="Arial"/>
                <w:szCs w:val="18"/>
              </w:rPr>
              <w:t>Indicates the duration for the corresponding application.</w:t>
            </w:r>
          </w:p>
        </w:tc>
        <w:tc>
          <w:tcPr>
            <w:tcW w:w="1837" w:type="dxa"/>
            <w:tcBorders>
              <w:top w:val="single" w:sz="6" w:space="0" w:color="auto"/>
              <w:left w:val="single" w:sz="6" w:space="0" w:color="auto"/>
              <w:bottom w:val="single" w:sz="6" w:space="0" w:color="auto"/>
              <w:right w:val="single" w:sz="6" w:space="0" w:color="auto"/>
            </w:tcBorders>
          </w:tcPr>
          <w:p w14:paraId="08D0A894" w14:textId="77777777" w:rsidR="00BD7657" w:rsidRDefault="00BD7657" w:rsidP="00BD7657">
            <w:pPr>
              <w:pStyle w:val="TAL"/>
              <w:rPr>
                <w:rFonts w:cs="Arial"/>
                <w:szCs w:val="18"/>
              </w:rPr>
            </w:pPr>
          </w:p>
        </w:tc>
      </w:tr>
      <w:tr w:rsidR="00F525B2" w14:paraId="3369C3F8"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55CB1AC" w14:textId="77777777" w:rsidR="00F525B2" w:rsidRDefault="00F525B2" w:rsidP="009B329F">
            <w:pPr>
              <w:pStyle w:val="TAL"/>
            </w:pPr>
            <w:r>
              <w:t>predictedAvgQoe</w:t>
            </w:r>
          </w:p>
        </w:tc>
        <w:tc>
          <w:tcPr>
            <w:tcW w:w="1752" w:type="dxa"/>
            <w:tcBorders>
              <w:top w:val="single" w:sz="6" w:space="0" w:color="auto"/>
              <w:left w:val="single" w:sz="6" w:space="0" w:color="auto"/>
              <w:bottom w:val="single" w:sz="6" w:space="0" w:color="auto"/>
              <w:right w:val="single" w:sz="6" w:space="0" w:color="auto"/>
            </w:tcBorders>
          </w:tcPr>
          <w:p w14:paraId="00191770"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5DA4D237"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7218078" w14:textId="77777777" w:rsidR="00F525B2" w:rsidRDefault="00F525B2" w:rsidP="009B329F">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7B4A3FB3" w14:textId="77777777" w:rsidR="00F525B2" w:rsidRDefault="00F525B2" w:rsidP="009B329F">
            <w:pPr>
              <w:pStyle w:val="TAL"/>
              <w:rPr>
                <w:rFonts w:cs="Arial"/>
                <w:szCs w:val="18"/>
              </w:rPr>
            </w:pPr>
            <w:r>
              <w:rPr>
                <w:rFonts w:cs="Arial"/>
                <w:szCs w:val="18"/>
              </w:rPr>
              <w:t>Indicates t</w:t>
            </w:r>
            <w:r w:rsidRPr="00303A0F">
              <w:rPr>
                <w:rFonts w:cs="Arial"/>
                <w:szCs w:val="18"/>
              </w:rPr>
              <w:t xml:space="preserve">he </w:t>
            </w:r>
            <w:r>
              <w:rPr>
                <w:rFonts w:cs="Arial"/>
                <w:szCs w:val="18"/>
              </w:rPr>
              <w:t xml:space="preserve">MOS value of </w:t>
            </w:r>
            <w:r w:rsidRPr="00303A0F">
              <w:rPr>
                <w:rFonts w:cs="Arial"/>
                <w:szCs w:val="18"/>
              </w:rPr>
              <w:t xml:space="preserve">predicted average QoE </w:t>
            </w:r>
            <w:r>
              <w:rPr>
                <w:rFonts w:cs="Arial"/>
                <w:szCs w:val="18"/>
              </w:rPr>
              <w:t xml:space="preserve">for </w:t>
            </w:r>
            <w:r w:rsidRPr="00303A0F">
              <w:rPr>
                <w:rFonts w:cs="Arial"/>
                <w:szCs w:val="18"/>
              </w:rPr>
              <w:t xml:space="preserve">the application when the </w:t>
            </w:r>
            <w:r>
              <w:rPr>
                <w:rFonts w:cs="Arial"/>
                <w:szCs w:val="18"/>
              </w:rPr>
              <w:t xml:space="preserve">corresponding </w:t>
            </w:r>
            <w:r w:rsidRPr="00303A0F">
              <w:rPr>
                <w:rFonts w:cs="Arial"/>
                <w:szCs w:val="18"/>
              </w:rPr>
              <w:t>QoS parameter set is applied.</w:t>
            </w:r>
          </w:p>
          <w:p w14:paraId="6A7ABA80" w14:textId="77777777" w:rsidR="00F525B2" w:rsidRDefault="00F525B2" w:rsidP="009B329F">
            <w:pPr>
              <w:pStyle w:val="TAL"/>
              <w:rPr>
                <w:rFonts w:cs="Arial"/>
                <w:szCs w:val="18"/>
              </w:rPr>
            </w:pPr>
            <w:r>
              <w:rPr>
                <w:rFonts w:cs="Arial"/>
                <w:szCs w:val="18"/>
              </w:rPr>
              <w:t>(NOTE</w:t>
            </w:r>
            <w:r>
              <w:t> </w:t>
            </w:r>
            <w:r>
              <w:rPr>
                <w:rFonts w:cs="Arial"/>
                <w:szCs w:val="18"/>
              </w:rPr>
              <w:t>2)</w:t>
            </w:r>
            <w:r>
              <w:t xml:space="preserve"> (NOTE 3)</w:t>
            </w:r>
          </w:p>
        </w:tc>
        <w:tc>
          <w:tcPr>
            <w:tcW w:w="1837" w:type="dxa"/>
            <w:tcBorders>
              <w:top w:val="single" w:sz="6" w:space="0" w:color="auto"/>
              <w:left w:val="single" w:sz="6" w:space="0" w:color="auto"/>
              <w:bottom w:val="single" w:sz="6" w:space="0" w:color="auto"/>
              <w:right w:val="single" w:sz="6" w:space="0" w:color="auto"/>
            </w:tcBorders>
          </w:tcPr>
          <w:p w14:paraId="01519FBD" w14:textId="77777777" w:rsidR="00F525B2" w:rsidRDefault="00F525B2" w:rsidP="009B329F">
            <w:pPr>
              <w:pStyle w:val="TAL"/>
              <w:rPr>
                <w:rFonts w:cs="Arial"/>
                <w:szCs w:val="18"/>
              </w:rPr>
            </w:pPr>
          </w:p>
        </w:tc>
      </w:tr>
      <w:tr w:rsidR="00F525B2" w14:paraId="7DD39E6F"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B8FBE4F" w14:textId="77777777" w:rsidR="00F525B2" w:rsidRDefault="00F525B2" w:rsidP="009B329F">
            <w:pPr>
              <w:pStyle w:val="TAL"/>
            </w:pPr>
            <w:r>
              <w:t>predictedMaxQoe</w:t>
            </w:r>
          </w:p>
        </w:tc>
        <w:tc>
          <w:tcPr>
            <w:tcW w:w="1752" w:type="dxa"/>
            <w:tcBorders>
              <w:top w:val="single" w:sz="6" w:space="0" w:color="auto"/>
              <w:left w:val="single" w:sz="6" w:space="0" w:color="auto"/>
              <w:bottom w:val="single" w:sz="6" w:space="0" w:color="auto"/>
              <w:right w:val="single" w:sz="6" w:space="0" w:color="auto"/>
            </w:tcBorders>
          </w:tcPr>
          <w:p w14:paraId="5484D166"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06621F7C"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7D5E7AF6" w14:textId="77777777" w:rsidR="00F525B2" w:rsidRDefault="00F525B2" w:rsidP="009B329F">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2CA021EF" w14:textId="77777777" w:rsidR="00F525B2" w:rsidRDefault="00F525B2" w:rsidP="009B329F">
            <w:pPr>
              <w:pStyle w:val="TAL"/>
              <w:rPr>
                <w:rFonts w:cs="Arial"/>
                <w:szCs w:val="18"/>
              </w:rPr>
            </w:pPr>
            <w:r>
              <w:rPr>
                <w:rFonts w:cs="Arial"/>
                <w:szCs w:val="18"/>
              </w:rPr>
              <w:t>Indicates t</w:t>
            </w:r>
            <w:r w:rsidRPr="00303A0F">
              <w:rPr>
                <w:rFonts w:cs="Arial"/>
                <w:szCs w:val="18"/>
              </w:rPr>
              <w:t xml:space="preserve">he </w:t>
            </w:r>
            <w:r>
              <w:rPr>
                <w:rFonts w:cs="Arial"/>
                <w:szCs w:val="18"/>
              </w:rPr>
              <w:t xml:space="preserve">MOS value of </w:t>
            </w:r>
            <w:r w:rsidRPr="00303A0F">
              <w:rPr>
                <w:rFonts w:cs="Arial"/>
                <w:szCs w:val="18"/>
              </w:rPr>
              <w:t xml:space="preserve">predicted </w:t>
            </w:r>
            <w:r>
              <w:rPr>
                <w:rFonts w:cs="Arial"/>
                <w:szCs w:val="18"/>
              </w:rPr>
              <w:t>maximum</w:t>
            </w:r>
            <w:r w:rsidRPr="00303A0F">
              <w:rPr>
                <w:rFonts w:cs="Arial"/>
                <w:szCs w:val="18"/>
              </w:rPr>
              <w:t xml:space="preserve"> QoE </w:t>
            </w:r>
            <w:r>
              <w:rPr>
                <w:rFonts w:cs="Arial"/>
                <w:szCs w:val="18"/>
              </w:rPr>
              <w:t xml:space="preserve">for </w:t>
            </w:r>
            <w:r w:rsidRPr="00303A0F">
              <w:rPr>
                <w:rFonts w:cs="Arial"/>
                <w:szCs w:val="18"/>
              </w:rPr>
              <w:t xml:space="preserve">the application when the </w:t>
            </w:r>
            <w:r>
              <w:rPr>
                <w:rFonts w:cs="Arial"/>
                <w:szCs w:val="18"/>
              </w:rPr>
              <w:t xml:space="preserve">corresponding </w:t>
            </w:r>
            <w:r w:rsidRPr="00303A0F">
              <w:rPr>
                <w:rFonts w:cs="Arial"/>
                <w:szCs w:val="18"/>
              </w:rPr>
              <w:t>QoS parameter set is applied.</w:t>
            </w:r>
          </w:p>
          <w:p w14:paraId="16429D53" w14:textId="77777777" w:rsidR="00F525B2" w:rsidRPr="00303A0F" w:rsidRDefault="00F525B2" w:rsidP="009B329F">
            <w:pPr>
              <w:pStyle w:val="TAL"/>
              <w:rPr>
                <w:rFonts w:cs="Arial"/>
                <w:szCs w:val="18"/>
              </w:rPr>
            </w:pPr>
            <w:r>
              <w:rPr>
                <w:rFonts w:cs="Arial"/>
                <w:szCs w:val="18"/>
              </w:rPr>
              <w:t>(NOTE</w:t>
            </w:r>
            <w:r>
              <w:t> </w:t>
            </w:r>
            <w:r>
              <w:rPr>
                <w:rFonts w:cs="Arial"/>
                <w:szCs w:val="18"/>
              </w:rPr>
              <w:t>2)</w:t>
            </w:r>
          </w:p>
        </w:tc>
        <w:tc>
          <w:tcPr>
            <w:tcW w:w="1837" w:type="dxa"/>
            <w:tcBorders>
              <w:top w:val="single" w:sz="6" w:space="0" w:color="auto"/>
              <w:left w:val="single" w:sz="6" w:space="0" w:color="auto"/>
              <w:bottom w:val="single" w:sz="6" w:space="0" w:color="auto"/>
              <w:right w:val="single" w:sz="6" w:space="0" w:color="auto"/>
            </w:tcBorders>
          </w:tcPr>
          <w:p w14:paraId="149A4848" w14:textId="77777777" w:rsidR="00F525B2" w:rsidRDefault="00F525B2" w:rsidP="009B329F">
            <w:pPr>
              <w:pStyle w:val="TAL"/>
              <w:rPr>
                <w:rFonts w:cs="Arial"/>
                <w:szCs w:val="18"/>
              </w:rPr>
            </w:pPr>
          </w:p>
        </w:tc>
      </w:tr>
      <w:tr w:rsidR="00F525B2" w14:paraId="2A8BF32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A7215F0" w14:textId="77777777" w:rsidR="00F525B2" w:rsidRDefault="00F525B2" w:rsidP="009B329F">
            <w:pPr>
              <w:pStyle w:val="TAL"/>
            </w:pPr>
            <w:r>
              <w:t>predictedMinQoe</w:t>
            </w:r>
          </w:p>
        </w:tc>
        <w:tc>
          <w:tcPr>
            <w:tcW w:w="1752" w:type="dxa"/>
            <w:tcBorders>
              <w:top w:val="single" w:sz="6" w:space="0" w:color="auto"/>
              <w:left w:val="single" w:sz="6" w:space="0" w:color="auto"/>
              <w:bottom w:val="single" w:sz="6" w:space="0" w:color="auto"/>
              <w:right w:val="single" w:sz="6" w:space="0" w:color="auto"/>
            </w:tcBorders>
          </w:tcPr>
          <w:p w14:paraId="45C07DB7" w14:textId="77777777" w:rsidR="00F525B2" w:rsidRDefault="00F525B2" w:rsidP="009B329F">
            <w:pPr>
              <w:pStyle w:val="TAL"/>
            </w:pPr>
            <w:r>
              <w:t>Float</w:t>
            </w:r>
          </w:p>
        </w:tc>
        <w:tc>
          <w:tcPr>
            <w:tcW w:w="424" w:type="dxa"/>
            <w:tcBorders>
              <w:top w:val="single" w:sz="6" w:space="0" w:color="auto"/>
              <w:left w:val="single" w:sz="6" w:space="0" w:color="auto"/>
              <w:bottom w:val="single" w:sz="6" w:space="0" w:color="auto"/>
              <w:right w:val="single" w:sz="6" w:space="0" w:color="auto"/>
            </w:tcBorders>
          </w:tcPr>
          <w:p w14:paraId="04A3B40B" w14:textId="77777777" w:rsidR="00F525B2" w:rsidRDefault="00F525B2" w:rsidP="009B329F">
            <w:pPr>
              <w:pStyle w:val="TAC"/>
            </w:pPr>
            <w:r>
              <w:t>C</w:t>
            </w:r>
          </w:p>
        </w:tc>
        <w:tc>
          <w:tcPr>
            <w:tcW w:w="1130" w:type="dxa"/>
            <w:tcBorders>
              <w:top w:val="single" w:sz="6" w:space="0" w:color="auto"/>
              <w:left w:val="single" w:sz="6" w:space="0" w:color="auto"/>
              <w:bottom w:val="single" w:sz="6" w:space="0" w:color="auto"/>
              <w:right w:val="single" w:sz="6" w:space="0" w:color="auto"/>
            </w:tcBorders>
          </w:tcPr>
          <w:p w14:paraId="173EC651" w14:textId="77777777" w:rsidR="00F525B2" w:rsidRDefault="00F525B2" w:rsidP="009B329F">
            <w:pPr>
              <w:pStyle w:val="TAL"/>
            </w:pPr>
            <w:r>
              <w:t>0..1</w:t>
            </w:r>
          </w:p>
        </w:tc>
        <w:tc>
          <w:tcPr>
            <w:tcW w:w="2845" w:type="dxa"/>
            <w:tcBorders>
              <w:top w:val="single" w:sz="6" w:space="0" w:color="auto"/>
              <w:left w:val="single" w:sz="6" w:space="0" w:color="auto"/>
              <w:bottom w:val="single" w:sz="6" w:space="0" w:color="auto"/>
              <w:right w:val="single" w:sz="6" w:space="0" w:color="auto"/>
            </w:tcBorders>
          </w:tcPr>
          <w:p w14:paraId="5E4ACD5E" w14:textId="77777777" w:rsidR="00F525B2" w:rsidRDefault="00F525B2" w:rsidP="009B329F">
            <w:pPr>
              <w:pStyle w:val="TAL"/>
              <w:rPr>
                <w:rFonts w:cs="Arial"/>
                <w:szCs w:val="18"/>
              </w:rPr>
            </w:pPr>
            <w:r>
              <w:rPr>
                <w:rFonts w:cs="Arial"/>
                <w:szCs w:val="18"/>
              </w:rPr>
              <w:t>Indicates t</w:t>
            </w:r>
            <w:r w:rsidRPr="00303A0F">
              <w:rPr>
                <w:rFonts w:cs="Arial"/>
                <w:szCs w:val="18"/>
              </w:rPr>
              <w:t xml:space="preserve">he </w:t>
            </w:r>
            <w:r>
              <w:rPr>
                <w:rFonts w:cs="Arial"/>
                <w:szCs w:val="18"/>
              </w:rPr>
              <w:t xml:space="preserve">MOS value of </w:t>
            </w:r>
            <w:r w:rsidRPr="00303A0F">
              <w:rPr>
                <w:rFonts w:cs="Arial"/>
                <w:szCs w:val="18"/>
              </w:rPr>
              <w:t xml:space="preserve">predicted </w:t>
            </w:r>
            <w:r>
              <w:rPr>
                <w:rFonts w:cs="Arial"/>
                <w:szCs w:val="18"/>
              </w:rPr>
              <w:t>minimum</w:t>
            </w:r>
            <w:r w:rsidRPr="00303A0F">
              <w:rPr>
                <w:rFonts w:cs="Arial"/>
                <w:szCs w:val="18"/>
              </w:rPr>
              <w:t xml:space="preserve"> QoE </w:t>
            </w:r>
            <w:r>
              <w:rPr>
                <w:rFonts w:cs="Arial"/>
                <w:szCs w:val="18"/>
              </w:rPr>
              <w:t xml:space="preserve">for </w:t>
            </w:r>
            <w:r w:rsidRPr="00303A0F">
              <w:rPr>
                <w:rFonts w:cs="Arial"/>
                <w:szCs w:val="18"/>
              </w:rPr>
              <w:t xml:space="preserve">the application when the </w:t>
            </w:r>
            <w:r>
              <w:rPr>
                <w:rFonts w:cs="Arial"/>
                <w:szCs w:val="18"/>
              </w:rPr>
              <w:t xml:space="preserve">corresponding </w:t>
            </w:r>
            <w:r w:rsidRPr="00303A0F">
              <w:rPr>
                <w:rFonts w:cs="Arial"/>
                <w:szCs w:val="18"/>
              </w:rPr>
              <w:t>QoS parameter set is applied.</w:t>
            </w:r>
          </w:p>
          <w:p w14:paraId="76B574F9" w14:textId="77777777" w:rsidR="00F525B2" w:rsidRPr="00303A0F" w:rsidRDefault="00F525B2" w:rsidP="009B329F">
            <w:pPr>
              <w:pStyle w:val="TAL"/>
              <w:rPr>
                <w:rFonts w:cs="Arial"/>
                <w:szCs w:val="18"/>
              </w:rPr>
            </w:pPr>
            <w:r>
              <w:rPr>
                <w:rFonts w:cs="Arial"/>
                <w:szCs w:val="18"/>
              </w:rPr>
              <w:t>(NOTE</w:t>
            </w:r>
            <w:r>
              <w:t> </w:t>
            </w:r>
            <w:r>
              <w:rPr>
                <w:rFonts w:cs="Arial"/>
                <w:szCs w:val="18"/>
              </w:rPr>
              <w:t>2)</w:t>
            </w:r>
          </w:p>
        </w:tc>
        <w:tc>
          <w:tcPr>
            <w:tcW w:w="1837" w:type="dxa"/>
            <w:tcBorders>
              <w:top w:val="single" w:sz="6" w:space="0" w:color="auto"/>
              <w:left w:val="single" w:sz="6" w:space="0" w:color="auto"/>
              <w:bottom w:val="single" w:sz="6" w:space="0" w:color="auto"/>
              <w:right w:val="single" w:sz="6" w:space="0" w:color="auto"/>
            </w:tcBorders>
          </w:tcPr>
          <w:p w14:paraId="2A556EE4" w14:textId="77777777" w:rsidR="00F525B2" w:rsidRDefault="00F525B2" w:rsidP="009B329F">
            <w:pPr>
              <w:pStyle w:val="TAL"/>
              <w:rPr>
                <w:rFonts w:cs="Arial"/>
                <w:szCs w:val="18"/>
              </w:rPr>
            </w:pPr>
          </w:p>
        </w:tc>
      </w:tr>
      <w:tr w:rsidR="00F525B2" w14:paraId="21BCEE30" w14:textId="77777777" w:rsidTr="009B329F">
        <w:trPr>
          <w:trHeight w:val="276"/>
          <w:jc w:val="center"/>
        </w:trPr>
        <w:tc>
          <w:tcPr>
            <w:tcW w:w="1552" w:type="dxa"/>
            <w:tcBorders>
              <w:top w:val="single" w:sz="6" w:space="0" w:color="auto"/>
              <w:left w:val="single" w:sz="6" w:space="0" w:color="auto"/>
              <w:right w:val="single" w:sz="6" w:space="0" w:color="auto"/>
            </w:tcBorders>
          </w:tcPr>
          <w:p w14:paraId="55FCD0B9" w14:textId="77777777" w:rsidR="00F525B2" w:rsidRDefault="00F525B2" w:rsidP="009B329F">
            <w:pPr>
              <w:pStyle w:val="TAL"/>
            </w:pPr>
            <w:r>
              <w:rPr>
                <w:lang w:eastAsia="zh-CN"/>
              </w:rPr>
              <w:t>predQoeVariance</w:t>
            </w:r>
          </w:p>
        </w:tc>
        <w:tc>
          <w:tcPr>
            <w:tcW w:w="1752" w:type="dxa"/>
            <w:tcBorders>
              <w:top w:val="single" w:sz="6" w:space="0" w:color="auto"/>
              <w:left w:val="single" w:sz="6" w:space="0" w:color="auto"/>
              <w:right w:val="single" w:sz="6" w:space="0" w:color="auto"/>
            </w:tcBorders>
          </w:tcPr>
          <w:p w14:paraId="5EE03F11" w14:textId="77777777" w:rsidR="00F525B2" w:rsidRDefault="00F525B2" w:rsidP="009B329F">
            <w:pPr>
              <w:pStyle w:val="TAL"/>
            </w:pPr>
            <w:r>
              <w:rPr>
                <w:lang w:eastAsia="zh-CN"/>
              </w:rPr>
              <w:t>Float</w:t>
            </w:r>
          </w:p>
        </w:tc>
        <w:tc>
          <w:tcPr>
            <w:tcW w:w="424" w:type="dxa"/>
            <w:tcBorders>
              <w:top w:val="single" w:sz="6" w:space="0" w:color="auto"/>
              <w:left w:val="single" w:sz="6" w:space="0" w:color="auto"/>
              <w:right w:val="single" w:sz="6" w:space="0" w:color="auto"/>
            </w:tcBorders>
          </w:tcPr>
          <w:p w14:paraId="5BE064A9" w14:textId="77777777" w:rsidR="00F525B2" w:rsidRDefault="00F525B2" w:rsidP="009B329F">
            <w:pPr>
              <w:pStyle w:val="TAC"/>
            </w:pPr>
            <w:r>
              <w:t>C</w:t>
            </w:r>
          </w:p>
        </w:tc>
        <w:tc>
          <w:tcPr>
            <w:tcW w:w="1130" w:type="dxa"/>
            <w:tcBorders>
              <w:top w:val="single" w:sz="6" w:space="0" w:color="auto"/>
              <w:left w:val="single" w:sz="6" w:space="0" w:color="auto"/>
              <w:right w:val="single" w:sz="6" w:space="0" w:color="auto"/>
            </w:tcBorders>
          </w:tcPr>
          <w:p w14:paraId="4A82A067" w14:textId="77777777" w:rsidR="00F525B2" w:rsidRDefault="00F525B2" w:rsidP="009B329F">
            <w:pPr>
              <w:pStyle w:val="TAL"/>
            </w:pPr>
            <w:r>
              <w:rPr>
                <w:rFonts w:cs="Arial"/>
                <w:szCs w:val="18"/>
              </w:rPr>
              <w:t>0..1</w:t>
            </w:r>
          </w:p>
        </w:tc>
        <w:tc>
          <w:tcPr>
            <w:tcW w:w="2845" w:type="dxa"/>
            <w:tcBorders>
              <w:top w:val="single" w:sz="6" w:space="0" w:color="auto"/>
              <w:left w:val="single" w:sz="6" w:space="0" w:color="auto"/>
              <w:right w:val="single" w:sz="6" w:space="0" w:color="auto"/>
            </w:tcBorders>
          </w:tcPr>
          <w:p w14:paraId="105076AC" w14:textId="77777777" w:rsidR="00F525B2" w:rsidRDefault="00F525B2" w:rsidP="009B329F">
            <w:pPr>
              <w:pStyle w:val="TAL"/>
              <w:rPr>
                <w:rFonts w:cs="Arial"/>
                <w:szCs w:val="18"/>
              </w:rPr>
            </w:pPr>
            <w:r>
              <w:rPr>
                <w:lang w:eastAsia="zh-CN"/>
              </w:rPr>
              <w:t>Indicates the MOS value of the predicated QoE variance.</w:t>
            </w:r>
          </w:p>
          <w:p w14:paraId="79E5637F" w14:textId="77777777" w:rsidR="00F525B2" w:rsidRDefault="00F525B2" w:rsidP="009B329F">
            <w:pPr>
              <w:pStyle w:val="TAL"/>
              <w:rPr>
                <w:rFonts w:cs="Arial"/>
                <w:szCs w:val="18"/>
              </w:rPr>
            </w:pPr>
            <w:r>
              <w:rPr>
                <w:rFonts w:cs="Arial"/>
                <w:szCs w:val="18"/>
              </w:rPr>
              <w:t>(NOTE</w:t>
            </w:r>
            <w:r>
              <w:t> </w:t>
            </w:r>
            <w:r>
              <w:rPr>
                <w:rFonts w:cs="Arial"/>
                <w:szCs w:val="18"/>
              </w:rPr>
              <w:t>2)</w:t>
            </w:r>
          </w:p>
        </w:tc>
        <w:tc>
          <w:tcPr>
            <w:tcW w:w="1837" w:type="dxa"/>
            <w:tcBorders>
              <w:top w:val="single" w:sz="6" w:space="0" w:color="auto"/>
              <w:left w:val="single" w:sz="6" w:space="0" w:color="auto"/>
              <w:right w:val="single" w:sz="6" w:space="0" w:color="auto"/>
            </w:tcBorders>
          </w:tcPr>
          <w:p w14:paraId="7026F61F" w14:textId="77777777" w:rsidR="00F525B2" w:rsidRDefault="00F525B2" w:rsidP="009B329F">
            <w:pPr>
              <w:pStyle w:val="TAL"/>
              <w:rPr>
                <w:rFonts w:cs="Arial"/>
                <w:szCs w:val="18"/>
              </w:rPr>
            </w:pPr>
          </w:p>
        </w:tc>
      </w:tr>
      <w:tr w:rsidR="00BD7657" w14:paraId="7600695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80A62B4" w14:textId="77777777" w:rsidR="00BD7657" w:rsidRDefault="00BD7657" w:rsidP="00BD7657">
            <w:pPr>
              <w:pStyle w:val="TAL"/>
              <w:rPr>
                <w:lang w:eastAsia="zh-CN"/>
              </w:rPr>
            </w:pPr>
            <w:r>
              <w:rPr>
                <w:color w:val="000000"/>
                <w:kern w:val="24"/>
              </w:rPr>
              <w:t>qosPolTimeWin</w:t>
            </w:r>
          </w:p>
        </w:tc>
        <w:tc>
          <w:tcPr>
            <w:tcW w:w="1752" w:type="dxa"/>
            <w:tcBorders>
              <w:top w:val="single" w:sz="6" w:space="0" w:color="auto"/>
              <w:left w:val="single" w:sz="6" w:space="0" w:color="auto"/>
              <w:bottom w:val="single" w:sz="6" w:space="0" w:color="auto"/>
              <w:right w:val="single" w:sz="6" w:space="0" w:color="auto"/>
            </w:tcBorders>
          </w:tcPr>
          <w:p w14:paraId="7179873A" w14:textId="77777777" w:rsidR="00BD7657" w:rsidRDefault="00BD7657" w:rsidP="00BD7657">
            <w:pPr>
              <w:pStyle w:val="TAL"/>
            </w:pPr>
            <w:r w:rsidRPr="00330A28">
              <w:rPr>
                <w:color w:val="000000"/>
                <w:kern w:val="24"/>
              </w:rPr>
              <w:t>TimeWindow</w:t>
            </w:r>
          </w:p>
        </w:tc>
        <w:tc>
          <w:tcPr>
            <w:tcW w:w="424" w:type="dxa"/>
            <w:tcBorders>
              <w:top w:val="single" w:sz="6" w:space="0" w:color="auto"/>
              <w:left w:val="single" w:sz="6" w:space="0" w:color="auto"/>
              <w:bottom w:val="single" w:sz="6" w:space="0" w:color="auto"/>
              <w:right w:val="single" w:sz="6" w:space="0" w:color="auto"/>
            </w:tcBorders>
          </w:tcPr>
          <w:p w14:paraId="5E45B53A" w14:textId="77777777" w:rsidR="00BD7657" w:rsidRDefault="00BD7657" w:rsidP="00BD7657">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33466756" w14:textId="77777777" w:rsidR="00BD7657" w:rsidRPr="00C72842" w:rsidRDefault="00BD7657" w:rsidP="00BD7657">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2EF70BFC" w14:textId="77777777" w:rsidR="00BD7657" w:rsidRDefault="00BD7657" w:rsidP="00BD7657">
            <w:pPr>
              <w:pStyle w:val="TAL"/>
              <w:rPr>
                <w:lang w:eastAsia="zh-CN"/>
              </w:rPr>
            </w:pPr>
            <w:r>
              <w:rPr>
                <w:lang w:eastAsia="zh-CN"/>
              </w:rPr>
              <w:t>Indicates t</w:t>
            </w:r>
            <w:r>
              <w:t>he applicable time window of the QoS and Policy Assistance information.</w:t>
            </w:r>
          </w:p>
        </w:tc>
        <w:tc>
          <w:tcPr>
            <w:tcW w:w="1837" w:type="dxa"/>
            <w:tcBorders>
              <w:top w:val="single" w:sz="6" w:space="0" w:color="auto"/>
              <w:left w:val="single" w:sz="6" w:space="0" w:color="auto"/>
              <w:bottom w:val="single" w:sz="6" w:space="0" w:color="auto"/>
              <w:right w:val="single" w:sz="6" w:space="0" w:color="auto"/>
            </w:tcBorders>
          </w:tcPr>
          <w:p w14:paraId="56938FCC" w14:textId="77777777" w:rsidR="00BD7657" w:rsidRDefault="00BD7657" w:rsidP="00BD7657">
            <w:pPr>
              <w:pStyle w:val="TAL"/>
              <w:rPr>
                <w:rFonts w:cs="Arial"/>
                <w:szCs w:val="18"/>
              </w:rPr>
            </w:pPr>
          </w:p>
        </w:tc>
      </w:tr>
      <w:tr w:rsidR="00F525B2" w14:paraId="13AE1BA3"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8D6EFFA" w14:textId="77777777" w:rsidR="00F525B2" w:rsidRPr="005D29D0" w:rsidRDefault="00F525B2" w:rsidP="009B329F">
            <w:pPr>
              <w:pStyle w:val="TAL"/>
              <w:rPr>
                <w:color w:val="000000"/>
                <w:kern w:val="24"/>
              </w:rPr>
            </w:pPr>
            <w:r w:rsidRPr="005D29D0">
              <w:rPr>
                <w:rFonts w:hint="eastAsia"/>
                <w:color w:val="000000"/>
                <w:kern w:val="24"/>
              </w:rPr>
              <w:t>r</w:t>
            </w:r>
            <w:r w:rsidRPr="005D29D0">
              <w:rPr>
                <w:color w:val="000000"/>
                <w:kern w:val="24"/>
              </w:rPr>
              <w:t>atTypes</w:t>
            </w:r>
          </w:p>
        </w:tc>
        <w:tc>
          <w:tcPr>
            <w:tcW w:w="1752" w:type="dxa"/>
            <w:tcBorders>
              <w:top w:val="single" w:sz="6" w:space="0" w:color="auto"/>
              <w:left w:val="single" w:sz="6" w:space="0" w:color="auto"/>
              <w:bottom w:val="single" w:sz="6" w:space="0" w:color="auto"/>
              <w:right w:val="single" w:sz="6" w:space="0" w:color="auto"/>
            </w:tcBorders>
          </w:tcPr>
          <w:p w14:paraId="38C0FF8B" w14:textId="77777777" w:rsidR="00F525B2" w:rsidRPr="005D29D0" w:rsidRDefault="00F525B2" w:rsidP="009B329F">
            <w:pPr>
              <w:pStyle w:val="TAL"/>
              <w:rPr>
                <w:color w:val="000000"/>
                <w:kern w:val="24"/>
              </w:rPr>
            </w:pPr>
            <w:r w:rsidRPr="005D29D0">
              <w:rPr>
                <w:color w:val="000000"/>
                <w:kern w:val="24"/>
              </w:rPr>
              <w:t>array(RatType)</w:t>
            </w:r>
          </w:p>
        </w:tc>
        <w:tc>
          <w:tcPr>
            <w:tcW w:w="424" w:type="dxa"/>
            <w:tcBorders>
              <w:top w:val="single" w:sz="6" w:space="0" w:color="auto"/>
              <w:left w:val="single" w:sz="6" w:space="0" w:color="auto"/>
              <w:bottom w:val="single" w:sz="6" w:space="0" w:color="auto"/>
              <w:right w:val="single" w:sz="6" w:space="0" w:color="auto"/>
            </w:tcBorders>
          </w:tcPr>
          <w:p w14:paraId="5F185A66" w14:textId="77777777" w:rsidR="00F525B2" w:rsidRPr="005D29D0" w:rsidRDefault="00F525B2" w:rsidP="009B329F">
            <w:pPr>
              <w:pStyle w:val="TAC"/>
              <w:rPr>
                <w:color w:val="000000"/>
                <w:kern w:val="24"/>
              </w:rPr>
            </w:pPr>
            <w:r w:rsidRPr="005D29D0">
              <w:rPr>
                <w:rFonts w:hint="eastAsia"/>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4450F244" w14:textId="77777777" w:rsidR="00F525B2" w:rsidRPr="005D29D0" w:rsidRDefault="00F525B2" w:rsidP="009B329F">
            <w:pPr>
              <w:pStyle w:val="TAL"/>
              <w:rPr>
                <w:color w:val="000000"/>
                <w:kern w:val="24"/>
              </w:rPr>
            </w:pPr>
            <w:r w:rsidRPr="005D29D0">
              <w:rPr>
                <w:color w:val="000000"/>
                <w:kern w:val="24"/>
              </w:rPr>
              <w:t>1..N</w:t>
            </w:r>
          </w:p>
        </w:tc>
        <w:tc>
          <w:tcPr>
            <w:tcW w:w="2845" w:type="dxa"/>
            <w:tcBorders>
              <w:top w:val="single" w:sz="6" w:space="0" w:color="auto"/>
              <w:left w:val="single" w:sz="6" w:space="0" w:color="auto"/>
              <w:bottom w:val="single" w:sz="6" w:space="0" w:color="auto"/>
              <w:right w:val="single" w:sz="6" w:space="0" w:color="auto"/>
            </w:tcBorders>
          </w:tcPr>
          <w:p w14:paraId="706AF42A" w14:textId="77777777" w:rsidR="00F525B2" w:rsidRPr="005D29D0" w:rsidRDefault="00F525B2" w:rsidP="009B329F">
            <w:pPr>
              <w:pStyle w:val="TAL"/>
              <w:rPr>
                <w:lang w:eastAsia="zh-CN"/>
              </w:rPr>
            </w:pPr>
            <w:r w:rsidRPr="005D29D0">
              <w:rPr>
                <w:lang w:eastAsia="zh-CN"/>
              </w:rPr>
              <w:t xml:space="preserve">Indicates the list of RAT type(s) for which the QoS and Policy Assistance information is </w:t>
            </w:r>
            <w:r>
              <w:rPr>
                <w:lang w:eastAsia="zh-CN"/>
              </w:rPr>
              <w:t>applied</w:t>
            </w:r>
            <w:r w:rsidRPr="005D29D0">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5225EAD0" w14:textId="77777777" w:rsidR="00F525B2" w:rsidRDefault="00F525B2" w:rsidP="009B329F">
            <w:pPr>
              <w:pStyle w:val="TAL"/>
              <w:rPr>
                <w:rFonts w:cs="Arial"/>
                <w:szCs w:val="18"/>
              </w:rPr>
            </w:pPr>
          </w:p>
        </w:tc>
      </w:tr>
      <w:tr w:rsidR="00F525B2" w14:paraId="0887F32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1966E92D" w14:textId="77777777" w:rsidR="00F525B2" w:rsidRPr="005D29D0" w:rsidRDefault="00F525B2" w:rsidP="009B329F">
            <w:pPr>
              <w:pStyle w:val="TAL"/>
              <w:rPr>
                <w:color w:val="000000"/>
                <w:kern w:val="24"/>
              </w:rPr>
            </w:pPr>
            <w:r w:rsidRPr="005D29D0">
              <w:rPr>
                <w:color w:val="000000"/>
                <w:kern w:val="24"/>
              </w:rPr>
              <w:t>freq</w:t>
            </w:r>
            <w:r>
              <w:rPr>
                <w:color w:val="000000"/>
                <w:kern w:val="24"/>
              </w:rPr>
              <w:t>s</w:t>
            </w:r>
          </w:p>
        </w:tc>
        <w:tc>
          <w:tcPr>
            <w:tcW w:w="1752" w:type="dxa"/>
            <w:tcBorders>
              <w:top w:val="single" w:sz="6" w:space="0" w:color="auto"/>
              <w:left w:val="single" w:sz="6" w:space="0" w:color="auto"/>
              <w:bottom w:val="single" w:sz="6" w:space="0" w:color="auto"/>
              <w:right w:val="single" w:sz="6" w:space="0" w:color="auto"/>
            </w:tcBorders>
          </w:tcPr>
          <w:p w14:paraId="1C0C163A" w14:textId="77777777" w:rsidR="00F525B2" w:rsidRPr="005D29D0" w:rsidRDefault="00F525B2" w:rsidP="009B329F">
            <w:pPr>
              <w:pStyle w:val="TAL"/>
              <w:rPr>
                <w:color w:val="000000"/>
                <w:kern w:val="24"/>
              </w:rPr>
            </w:pPr>
            <w:r w:rsidRPr="005D29D0">
              <w:rPr>
                <w:color w:val="000000"/>
                <w:kern w:val="24"/>
              </w:rPr>
              <w:t>array(ArfcnValueNR)</w:t>
            </w:r>
          </w:p>
        </w:tc>
        <w:tc>
          <w:tcPr>
            <w:tcW w:w="424" w:type="dxa"/>
            <w:tcBorders>
              <w:top w:val="single" w:sz="6" w:space="0" w:color="auto"/>
              <w:left w:val="single" w:sz="6" w:space="0" w:color="auto"/>
              <w:bottom w:val="single" w:sz="6" w:space="0" w:color="auto"/>
              <w:right w:val="single" w:sz="6" w:space="0" w:color="auto"/>
            </w:tcBorders>
          </w:tcPr>
          <w:p w14:paraId="16BD6F5D" w14:textId="77777777" w:rsidR="00F525B2" w:rsidRPr="005D29D0" w:rsidRDefault="00F525B2" w:rsidP="009B329F">
            <w:pPr>
              <w:pStyle w:val="TAC"/>
              <w:rPr>
                <w:color w:val="000000"/>
                <w:kern w:val="24"/>
              </w:rPr>
            </w:pPr>
            <w:r w:rsidRPr="005D29D0">
              <w:rPr>
                <w:rFonts w:hint="eastAsia"/>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7C65F06A" w14:textId="77777777" w:rsidR="00F525B2" w:rsidRPr="005D29D0" w:rsidRDefault="00F525B2" w:rsidP="009B329F">
            <w:pPr>
              <w:pStyle w:val="TAL"/>
              <w:rPr>
                <w:color w:val="000000"/>
                <w:kern w:val="24"/>
              </w:rPr>
            </w:pPr>
            <w:r w:rsidRPr="005D29D0">
              <w:rPr>
                <w:color w:val="000000"/>
                <w:kern w:val="24"/>
              </w:rPr>
              <w:t>1..N</w:t>
            </w:r>
          </w:p>
        </w:tc>
        <w:tc>
          <w:tcPr>
            <w:tcW w:w="2845" w:type="dxa"/>
            <w:tcBorders>
              <w:top w:val="single" w:sz="6" w:space="0" w:color="auto"/>
              <w:left w:val="single" w:sz="6" w:space="0" w:color="auto"/>
              <w:bottom w:val="single" w:sz="6" w:space="0" w:color="auto"/>
              <w:right w:val="single" w:sz="6" w:space="0" w:color="auto"/>
            </w:tcBorders>
          </w:tcPr>
          <w:p w14:paraId="6DC50419" w14:textId="77777777" w:rsidR="00F525B2" w:rsidRPr="005D29D0" w:rsidRDefault="00F525B2" w:rsidP="009B329F">
            <w:pPr>
              <w:pStyle w:val="TAL"/>
              <w:rPr>
                <w:lang w:eastAsia="zh-CN"/>
              </w:rPr>
            </w:pPr>
            <w:r w:rsidRPr="005D29D0">
              <w:rPr>
                <w:lang w:eastAsia="zh-CN"/>
              </w:rPr>
              <w:t xml:space="preserve">Indicates the list of carrier frequency value(s) for which the QoS and Policy Assistance information is </w:t>
            </w:r>
            <w:r>
              <w:rPr>
                <w:lang w:eastAsia="zh-CN"/>
              </w:rPr>
              <w:t>applied</w:t>
            </w:r>
            <w:r w:rsidRPr="005D29D0">
              <w:rPr>
                <w:lang w:eastAsia="zh-CN"/>
              </w:rPr>
              <w:t>.</w:t>
            </w:r>
          </w:p>
        </w:tc>
        <w:tc>
          <w:tcPr>
            <w:tcW w:w="1837" w:type="dxa"/>
            <w:tcBorders>
              <w:top w:val="single" w:sz="6" w:space="0" w:color="auto"/>
              <w:left w:val="single" w:sz="6" w:space="0" w:color="auto"/>
              <w:bottom w:val="single" w:sz="6" w:space="0" w:color="auto"/>
              <w:right w:val="single" w:sz="6" w:space="0" w:color="auto"/>
            </w:tcBorders>
          </w:tcPr>
          <w:p w14:paraId="3A3B1B02" w14:textId="77777777" w:rsidR="00F525B2" w:rsidRDefault="00F525B2" w:rsidP="009B329F">
            <w:pPr>
              <w:pStyle w:val="TAL"/>
              <w:rPr>
                <w:rFonts w:cs="Arial"/>
                <w:szCs w:val="18"/>
              </w:rPr>
            </w:pPr>
          </w:p>
        </w:tc>
      </w:tr>
      <w:tr w:rsidR="00F525B2" w14:paraId="2322AFF3"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288917C" w14:textId="77777777" w:rsidR="00F525B2" w:rsidRDefault="00F525B2" w:rsidP="009B329F">
            <w:pPr>
              <w:pStyle w:val="TAL"/>
              <w:rPr>
                <w:lang w:eastAsia="zh-CN"/>
              </w:rPr>
            </w:pPr>
            <w:r w:rsidRPr="00330A28">
              <w:rPr>
                <w:color w:val="000000"/>
                <w:kern w:val="24"/>
              </w:rPr>
              <w:t>validityPeriod</w:t>
            </w:r>
          </w:p>
        </w:tc>
        <w:tc>
          <w:tcPr>
            <w:tcW w:w="1752" w:type="dxa"/>
            <w:tcBorders>
              <w:top w:val="single" w:sz="6" w:space="0" w:color="auto"/>
              <w:left w:val="single" w:sz="6" w:space="0" w:color="auto"/>
              <w:bottom w:val="single" w:sz="6" w:space="0" w:color="auto"/>
              <w:right w:val="single" w:sz="6" w:space="0" w:color="auto"/>
            </w:tcBorders>
          </w:tcPr>
          <w:p w14:paraId="2C422C39" w14:textId="77777777" w:rsidR="00F525B2" w:rsidRDefault="00F525B2" w:rsidP="009B329F">
            <w:pPr>
              <w:pStyle w:val="TAL"/>
            </w:pPr>
            <w:r w:rsidRPr="00330A28">
              <w:rPr>
                <w:color w:val="000000"/>
                <w:kern w:val="24"/>
              </w:rPr>
              <w:t>TimeWindow</w:t>
            </w:r>
          </w:p>
        </w:tc>
        <w:tc>
          <w:tcPr>
            <w:tcW w:w="424" w:type="dxa"/>
            <w:tcBorders>
              <w:top w:val="single" w:sz="6" w:space="0" w:color="auto"/>
              <w:left w:val="single" w:sz="6" w:space="0" w:color="auto"/>
              <w:bottom w:val="single" w:sz="6" w:space="0" w:color="auto"/>
              <w:right w:val="single" w:sz="6" w:space="0" w:color="auto"/>
            </w:tcBorders>
          </w:tcPr>
          <w:p w14:paraId="01A748F3"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09A63546"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48566B3D" w14:textId="77777777" w:rsidR="00F525B2" w:rsidRDefault="00F525B2" w:rsidP="009B329F">
            <w:pPr>
              <w:pStyle w:val="TAL"/>
              <w:rPr>
                <w:lang w:eastAsia="zh-CN"/>
              </w:rPr>
            </w:pPr>
            <w:r w:rsidRPr="002C3E8D">
              <w:t>The validity period within the time slot for the QoS and Policy Assistance information analytics</w:t>
            </w:r>
            <w:r>
              <w:t>.</w:t>
            </w:r>
          </w:p>
        </w:tc>
        <w:tc>
          <w:tcPr>
            <w:tcW w:w="1837" w:type="dxa"/>
            <w:tcBorders>
              <w:top w:val="single" w:sz="6" w:space="0" w:color="auto"/>
              <w:left w:val="single" w:sz="6" w:space="0" w:color="auto"/>
              <w:bottom w:val="single" w:sz="6" w:space="0" w:color="auto"/>
              <w:right w:val="single" w:sz="6" w:space="0" w:color="auto"/>
            </w:tcBorders>
          </w:tcPr>
          <w:p w14:paraId="365CD9F7" w14:textId="77777777" w:rsidR="00F525B2" w:rsidRDefault="00F525B2" w:rsidP="009B329F">
            <w:pPr>
              <w:pStyle w:val="TAL"/>
              <w:rPr>
                <w:rFonts w:cs="Arial"/>
                <w:szCs w:val="18"/>
              </w:rPr>
            </w:pPr>
          </w:p>
        </w:tc>
      </w:tr>
      <w:tr w:rsidR="00F525B2" w14:paraId="58BF3D3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4C4C13E" w14:textId="77777777" w:rsidR="00F525B2" w:rsidRDefault="00F525B2" w:rsidP="009B329F">
            <w:pPr>
              <w:pStyle w:val="TAL"/>
              <w:rPr>
                <w:lang w:eastAsia="zh-CN"/>
              </w:rPr>
            </w:pPr>
            <w:r w:rsidRPr="00330A28">
              <w:rPr>
                <w:color w:val="000000"/>
                <w:kern w:val="24"/>
              </w:rPr>
              <w:t>spatialValidity</w:t>
            </w:r>
          </w:p>
        </w:tc>
        <w:tc>
          <w:tcPr>
            <w:tcW w:w="1752" w:type="dxa"/>
            <w:tcBorders>
              <w:top w:val="single" w:sz="6" w:space="0" w:color="auto"/>
              <w:left w:val="single" w:sz="6" w:space="0" w:color="auto"/>
              <w:bottom w:val="single" w:sz="6" w:space="0" w:color="auto"/>
              <w:right w:val="single" w:sz="6" w:space="0" w:color="auto"/>
            </w:tcBorders>
          </w:tcPr>
          <w:p w14:paraId="0B361156" w14:textId="77777777" w:rsidR="00F525B2" w:rsidRDefault="00F525B2" w:rsidP="009B329F">
            <w:pPr>
              <w:pStyle w:val="TAL"/>
            </w:pPr>
            <w:r w:rsidRPr="00330A28">
              <w:rPr>
                <w:color w:val="000000"/>
                <w:kern w:val="24"/>
              </w:rPr>
              <w:t>NetworkAreaInfo</w:t>
            </w:r>
          </w:p>
        </w:tc>
        <w:tc>
          <w:tcPr>
            <w:tcW w:w="424" w:type="dxa"/>
            <w:tcBorders>
              <w:top w:val="single" w:sz="6" w:space="0" w:color="auto"/>
              <w:left w:val="single" w:sz="6" w:space="0" w:color="auto"/>
              <w:bottom w:val="single" w:sz="6" w:space="0" w:color="auto"/>
              <w:right w:val="single" w:sz="6" w:space="0" w:color="auto"/>
            </w:tcBorders>
          </w:tcPr>
          <w:p w14:paraId="3443D15B"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28C363FB"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6ADF5871" w14:textId="77777777" w:rsidR="00F525B2" w:rsidRDefault="00F525B2" w:rsidP="009B329F">
            <w:pPr>
              <w:pStyle w:val="TAL"/>
              <w:rPr>
                <w:lang w:eastAsia="zh-CN"/>
              </w:rPr>
            </w:pPr>
            <w:r w:rsidRPr="00330A28">
              <w:rPr>
                <w:color w:val="000000"/>
                <w:kern w:val="24"/>
              </w:rPr>
              <w:t>The area where the service behavior applies.</w:t>
            </w:r>
          </w:p>
        </w:tc>
        <w:tc>
          <w:tcPr>
            <w:tcW w:w="1837" w:type="dxa"/>
            <w:tcBorders>
              <w:top w:val="single" w:sz="6" w:space="0" w:color="auto"/>
              <w:left w:val="single" w:sz="6" w:space="0" w:color="auto"/>
              <w:bottom w:val="single" w:sz="6" w:space="0" w:color="auto"/>
              <w:right w:val="single" w:sz="6" w:space="0" w:color="auto"/>
            </w:tcBorders>
          </w:tcPr>
          <w:p w14:paraId="1550D31A" w14:textId="77777777" w:rsidR="00F525B2" w:rsidRDefault="00F525B2" w:rsidP="009B329F">
            <w:pPr>
              <w:pStyle w:val="TAL"/>
              <w:rPr>
                <w:rFonts w:cs="Arial"/>
                <w:szCs w:val="18"/>
              </w:rPr>
            </w:pPr>
          </w:p>
        </w:tc>
      </w:tr>
      <w:tr w:rsidR="00F525B2" w14:paraId="423B37C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B9C9710" w14:textId="77777777" w:rsidR="00F525B2" w:rsidRDefault="00F525B2" w:rsidP="009B329F">
            <w:pPr>
              <w:pStyle w:val="TAL"/>
              <w:rPr>
                <w:lang w:eastAsia="zh-CN"/>
              </w:rPr>
            </w:pPr>
            <w:r w:rsidRPr="00330A28">
              <w:rPr>
                <w:color w:val="000000"/>
                <w:kern w:val="24"/>
              </w:rPr>
              <w:t>maxQoSFlowUsgDur</w:t>
            </w:r>
          </w:p>
        </w:tc>
        <w:tc>
          <w:tcPr>
            <w:tcW w:w="1752" w:type="dxa"/>
            <w:tcBorders>
              <w:top w:val="single" w:sz="6" w:space="0" w:color="auto"/>
              <w:left w:val="single" w:sz="6" w:space="0" w:color="auto"/>
              <w:bottom w:val="single" w:sz="6" w:space="0" w:color="auto"/>
              <w:right w:val="single" w:sz="6" w:space="0" w:color="auto"/>
            </w:tcBorders>
          </w:tcPr>
          <w:p w14:paraId="015C151C" w14:textId="77777777" w:rsidR="00F525B2" w:rsidRDefault="00F525B2" w:rsidP="009B329F">
            <w:pPr>
              <w:pStyle w:val="TAL"/>
            </w:pPr>
            <w:r w:rsidRPr="00330A28">
              <w:rPr>
                <w:color w:val="7030A0"/>
                <w:kern w:val="24"/>
              </w:rPr>
              <w:t>DurationSec</w:t>
            </w:r>
          </w:p>
        </w:tc>
        <w:tc>
          <w:tcPr>
            <w:tcW w:w="424" w:type="dxa"/>
            <w:tcBorders>
              <w:top w:val="single" w:sz="6" w:space="0" w:color="auto"/>
              <w:left w:val="single" w:sz="6" w:space="0" w:color="auto"/>
              <w:bottom w:val="single" w:sz="6" w:space="0" w:color="auto"/>
              <w:right w:val="single" w:sz="6" w:space="0" w:color="auto"/>
            </w:tcBorders>
          </w:tcPr>
          <w:p w14:paraId="44A293E9"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2C112917"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29621553" w14:textId="77777777" w:rsidR="00F525B2" w:rsidRDefault="00F525B2" w:rsidP="009B329F">
            <w:pPr>
              <w:pStyle w:val="TAL"/>
              <w:rPr>
                <w:lang w:eastAsia="zh-CN"/>
              </w:rPr>
            </w:pPr>
            <w:r>
              <w:t>Indicates the maximum usage duration of the QoS Flows associated to QoS parameter set.</w:t>
            </w:r>
          </w:p>
        </w:tc>
        <w:tc>
          <w:tcPr>
            <w:tcW w:w="1837" w:type="dxa"/>
            <w:tcBorders>
              <w:top w:val="single" w:sz="6" w:space="0" w:color="auto"/>
              <w:left w:val="single" w:sz="6" w:space="0" w:color="auto"/>
              <w:bottom w:val="single" w:sz="6" w:space="0" w:color="auto"/>
              <w:right w:val="single" w:sz="6" w:space="0" w:color="auto"/>
            </w:tcBorders>
          </w:tcPr>
          <w:p w14:paraId="32D8CCF2" w14:textId="77777777" w:rsidR="00F525B2" w:rsidRDefault="00F525B2" w:rsidP="009B329F">
            <w:pPr>
              <w:pStyle w:val="TAL"/>
              <w:rPr>
                <w:rFonts w:cs="Arial"/>
                <w:szCs w:val="18"/>
              </w:rPr>
            </w:pPr>
          </w:p>
        </w:tc>
      </w:tr>
      <w:tr w:rsidR="00F525B2" w14:paraId="4027C09C"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4D8B625" w14:textId="77777777" w:rsidR="00F525B2" w:rsidRPr="00330A28" w:rsidRDefault="00F525B2" w:rsidP="009B329F">
            <w:pPr>
              <w:pStyle w:val="TAL"/>
              <w:rPr>
                <w:color w:val="000000"/>
                <w:kern w:val="24"/>
              </w:rPr>
            </w:pPr>
            <w:r w:rsidRPr="00330A28">
              <w:rPr>
                <w:color w:val="000000"/>
                <w:kern w:val="24"/>
              </w:rPr>
              <w:t>minQoSFlowUsgDur</w:t>
            </w:r>
          </w:p>
        </w:tc>
        <w:tc>
          <w:tcPr>
            <w:tcW w:w="1752" w:type="dxa"/>
            <w:tcBorders>
              <w:top w:val="single" w:sz="6" w:space="0" w:color="auto"/>
              <w:left w:val="single" w:sz="6" w:space="0" w:color="auto"/>
              <w:bottom w:val="single" w:sz="6" w:space="0" w:color="auto"/>
              <w:right w:val="single" w:sz="6" w:space="0" w:color="auto"/>
            </w:tcBorders>
          </w:tcPr>
          <w:p w14:paraId="38D0A141" w14:textId="77777777" w:rsidR="00F525B2" w:rsidRPr="00330A28" w:rsidRDefault="00F525B2" w:rsidP="009B329F">
            <w:pPr>
              <w:pStyle w:val="TAL"/>
              <w:rPr>
                <w:color w:val="7030A0"/>
                <w:kern w:val="24"/>
              </w:rPr>
            </w:pPr>
            <w:r w:rsidRPr="00330A28">
              <w:rPr>
                <w:color w:val="7030A0"/>
                <w:kern w:val="24"/>
              </w:rPr>
              <w:t>DurationSec</w:t>
            </w:r>
          </w:p>
        </w:tc>
        <w:tc>
          <w:tcPr>
            <w:tcW w:w="424" w:type="dxa"/>
            <w:tcBorders>
              <w:top w:val="single" w:sz="6" w:space="0" w:color="auto"/>
              <w:left w:val="single" w:sz="6" w:space="0" w:color="auto"/>
              <w:bottom w:val="single" w:sz="6" w:space="0" w:color="auto"/>
              <w:right w:val="single" w:sz="6" w:space="0" w:color="auto"/>
            </w:tcBorders>
          </w:tcPr>
          <w:p w14:paraId="36C6FF2C" w14:textId="77777777" w:rsidR="00F525B2" w:rsidRPr="00330A28" w:rsidRDefault="00F525B2" w:rsidP="009B329F">
            <w:pPr>
              <w:pStyle w:val="TAC"/>
              <w:rPr>
                <w:color w:val="000000"/>
                <w:kern w:val="24"/>
              </w:rPr>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0B381C8B" w14:textId="77777777" w:rsidR="00F525B2" w:rsidRPr="00330A28" w:rsidRDefault="00F525B2" w:rsidP="009B329F">
            <w:pPr>
              <w:pStyle w:val="TAL"/>
              <w:rPr>
                <w:color w:val="000000"/>
                <w:kern w:val="24"/>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02ABC702" w14:textId="77777777" w:rsidR="00F525B2" w:rsidRDefault="00F525B2" w:rsidP="009B329F">
            <w:pPr>
              <w:pStyle w:val="TAL"/>
            </w:pPr>
            <w:r>
              <w:t>Indicates the minimum usage duration of the QoS Flows associated to QoS parameter set.</w:t>
            </w:r>
          </w:p>
        </w:tc>
        <w:tc>
          <w:tcPr>
            <w:tcW w:w="1837" w:type="dxa"/>
            <w:tcBorders>
              <w:top w:val="single" w:sz="6" w:space="0" w:color="auto"/>
              <w:left w:val="single" w:sz="6" w:space="0" w:color="auto"/>
              <w:bottom w:val="single" w:sz="6" w:space="0" w:color="auto"/>
              <w:right w:val="single" w:sz="6" w:space="0" w:color="auto"/>
            </w:tcBorders>
          </w:tcPr>
          <w:p w14:paraId="12FE4848" w14:textId="77777777" w:rsidR="00F525B2" w:rsidRDefault="00F525B2" w:rsidP="009B329F">
            <w:pPr>
              <w:pStyle w:val="TAL"/>
              <w:rPr>
                <w:rFonts w:cs="Arial"/>
                <w:szCs w:val="18"/>
              </w:rPr>
            </w:pPr>
          </w:p>
        </w:tc>
      </w:tr>
      <w:tr w:rsidR="00F525B2" w14:paraId="443E3D4D"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014F1F8" w14:textId="77777777" w:rsidR="00F525B2" w:rsidRPr="00330A28" w:rsidRDefault="00F525B2" w:rsidP="009B329F">
            <w:pPr>
              <w:pStyle w:val="TAL"/>
              <w:rPr>
                <w:color w:val="000000"/>
                <w:kern w:val="24"/>
              </w:rPr>
            </w:pPr>
            <w:r w:rsidRPr="00330A28">
              <w:rPr>
                <w:color w:val="000000"/>
                <w:kern w:val="24"/>
              </w:rPr>
              <w:t>avgQoSFlowUsgDur</w:t>
            </w:r>
          </w:p>
        </w:tc>
        <w:tc>
          <w:tcPr>
            <w:tcW w:w="1752" w:type="dxa"/>
            <w:tcBorders>
              <w:top w:val="single" w:sz="6" w:space="0" w:color="auto"/>
              <w:left w:val="single" w:sz="6" w:space="0" w:color="auto"/>
              <w:bottom w:val="single" w:sz="6" w:space="0" w:color="auto"/>
              <w:right w:val="single" w:sz="6" w:space="0" w:color="auto"/>
            </w:tcBorders>
          </w:tcPr>
          <w:p w14:paraId="4E939401" w14:textId="77777777" w:rsidR="00F525B2" w:rsidRPr="00330A28" w:rsidRDefault="00F525B2" w:rsidP="009B329F">
            <w:pPr>
              <w:pStyle w:val="TAL"/>
              <w:rPr>
                <w:color w:val="7030A0"/>
                <w:kern w:val="24"/>
              </w:rPr>
            </w:pPr>
            <w:r w:rsidRPr="00330A28">
              <w:rPr>
                <w:color w:val="7030A0"/>
                <w:kern w:val="24"/>
              </w:rPr>
              <w:t>DurationSec</w:t>
            </w:r>
          </w:p>
        </w:tc>
        <w:tc>
          <w:tcPr>
            <w:tcW w:w="424" w:type="dxa"/>
            <w:tcBorders>
              <w:top w:val="single" w:sz="6" w:space="0" w:color="auto"/>
              <w:left w:val="single" w:sz="6" w:space="0" w:color="auto"/>
              <w:bottom w:val="single" w:sz="6" w:space="0" w:color="auto"/>
              <w:right w:val="single" w:sz="6" w:space="0" w:color="auto"/>
            </w:tcBorders>
          </w:tcPr>
          <w:p w14:paraId="0EA1CD32" w14:textId="77777777" w:rsidR="00F525B2" w:rsidRPr="00330A28" w:rsidRDefault="00F525B2" w:rsidP="009B329F">
            <w:pPr>
              <w:pStyle w:val="TAC"/>
              <w:rPr>
                <w:color w:val="000000"/>
                <w:kern w:val="24"/>
              </w:rPr>
            </w:pPr>
            <w:r w:rsidRPr="00330A28">
              <w:rPr>
                <w:color w:val="000000"/>
                <w:kern w:val="24"/>
              </w:rPr>
              <w:t>O</w:t>
            </w:r>
          </w:p>
        </w:tc>
        <w:tc>
          <w:tcPr>
            <w:tcW w:w="1130" w:type="dxa"/>
            <w:tcBorders>
              <w:top w:val="single" w:sz="6" w:space="0" w:color="auto"/>
              <w:left w:val="single" w:sz="6" w:space="0" w:color="auto"/>
              <w:bottom w:val="single" w:sz="6" w:space="0" w:color="auto"/>
              <w:right w:val="single" w:sz="6" w:space="0" w:color="auto"/>
            </w:tcBorders>
          </w:tcPr>
          <w:p w14:paraId="7049C10A" w14:textId="77777777" w:rsidR="00F525B2" w:rsidRPr="00330A28" w:rsidRDefault="00F525B2" w:rsidP="009B329F">
            <w:pPr>
              <w:pStyle w:val="TAL"/>
              <w:rPr>
                <w:color w:val="000000"/>
                <w:kern w:val="24"/>
              </w:rPr>
            </w:pPr>
            <w:r w:rsidRPr="00330A28">
              <w:rPr>
                <w:color w:val="000000"/>
                <w:kern w:val="24"/>
              </w:rPr>
              <w:t>0..1</w:t>
            </w:r>
          </w:p>
        </w:tc>
        <w:tc>
          <w:tcPr>
            <w:tcW w:w="2845" w:type="dxa"/>
            <w:tcBorders>
              <w:top w:val="single" w:sz="6" w:space="0" w:color="auto"/>
              <w:left w:val="single" w:sz="6" w:space="0" w:color="auto"/>
              <w:bottom w:val="single" w:sz="6" w:space="0" w:color="auto"/>
              <w:right w:val="single" w:sz="6" w:space="0" w:color="auto"/>
            </w:tcBorders>
          </w:tcPr>
          <w:p w14:paraId="587FA095" w14:textId="77777777" w:rsidR="00F525B2" w:rsidRDefault="00F525B2" w:rsidP="009B329F">
            <w:pPr>
              <w:pStyle w:val="TAL"/>
            </w:pPr>
            <w:r>
              <w:t>Indicates the average usage duration of the QoS Flows associated to QoS parameter set.</w:t>
            </w:r>
          </w:p>
        </w:tc>
        <w:tc>
          <w:tcPr>
            <w:tcW w:w="1837" w:type="dxa"/>
            <w:tcBorders>
              <w:top w:val="single" w:sz="6" w:space="0" w:color="auto"/>
              <w:left w:val="single" w:sz="6" w:space="0" w:color="auto"/>
              <w:bottom w:val="single" w:sz="6" w:space="0" w:color="auto"/>
              <w:right w:val="single" w:sz="6" w:space="0" w:color="auto"/>
            </w:tcBorders>
          </w:tcPr>
          <w:p w14:paraId="33404906" w14:textId="77777777" w:rsidR="00F525B2" w:rsidRDefault="00F525B2" w:rsidP="009B329F">
            <w:pPr>
              <w:pStyle w:val="TAL"/>
              <w:rPr>
                <w:rFonts w:cs="Arial"/>
                <w:szCs w:val="18"/>
              </w:rPr>
            </w:pPr>
          </w:p>
        </w:tc>
      </w:tr>
      <w:tr w:rsidR="00F525B2" w14:paraId="4689CEBC" w14:textId="77777777" w:rsidTr="009B329F">
        <w:trPr>
          <w:trHeight w:val="828"/>
          <w:jc w:val="center"/>
        </w:trPr>
        <w:tc>
          <w:tcPr>
            <w:tcW w:w="1552" w:type="dxa"/>
            <w:tcBorders>
              <w:top w:val="single" w:sz="6" w:space="0" w:color="auto"/>
              <w:left w:val="single" w:sz="6" w:space="0" w:color="auto"/>
              <w:right w:val="single" w:sz="6" w:space="0" w:color="auto"/>
            </w:tcBorders>
          </w:tcPr>
          <w:p w14:paraId="22C28FD0" w14:textId="77777777" w:rsidR="00F525B2" w:rsidRDefault="00F525B2" w:rsidP="009B329F">
            <w:pPr>
              <w:pStyle w:val="TAL"/>
              <w:rPr>
                <w:lang w:eastAsia="zh-CN"/>
              </w:rPr>
            </w:pPr>
            <w:r w:rsidRPr="00330A28">
              <w:rPr>
                <w:color w:val="000000"/>
                <w:kern w:val="24"/>
              </w:rPr>
              <w:lastRenderedPageBreak/>
              <w:t>qosFlowUsgNumber</w:t>
            </w:r>
          </w:p>
        </w:tc>
        <w:tc>
          <w:tcPr>
            <w:tcW w:w="1752" w:type="dxa"/>
            <w:tcBorders>
              <w:top w:val="single" w:sz="6" w:space="0" w:color="auto"/>
              <w:left w:val="single" w:sz="6" w:space="0" w:color="auto"/>
              <w:right w:val="single" w:sz="6" w:space="0" w:color="auto"/>
            </w:tcBorders>
          </w:tcPr>
          <w:p w14:paraId="1D13D410" w14:textId="77777777" w:rsidR="00F525B2" w:rsidRDefault="00F525B2" w:rsidP="009B329F">
            <w:pPr>
              <w:pStyle w:val="TAL"/>
            </w:pPr>
            <w:r w:rsidRPr="00330A28">
              <w:rPr>
                <w:color w:val="000000"/>
                <w:kern w:val="24"/>
              </w:rPr>
              <w:t>Uinteger</w:t>
            </w:r>
          </w:p>
        </w:tc>
        <w:tc>
          <w:tcPr>
            <w:tcW w:w="424" w:type="dxa"/>
            <w:tcBorders>
              <w:top w:val="single" w:sz="6" w:space="0" w:color="auto"/>
              <w:left w:val="single" w:sz="6" w:space="0" w:color="auto"/>
              <w:right w:val="single" w:sz="6" w:space="0" w:color="auto"/>
            </w:tcBorders>
          </w:tcPr>
          <w:p w14:paraId="1CBB37D1" w14:textId="77777777" w:rsidR="00F525B2" w:rsidRDefault="00F525B2" w:rsidP="009B329F">
            <w:pPr>
              <w:pStyle w:val="TAC"/>
            </w:pPr>
            <w:r w:rsidRPr="00330A28">
              <w:rPr>
                <w:color w:val="000000"/>
                <w:kern w:val="24"/>
              </w:rPr>
              <w:t>O</w:t>
            </w:r>
          </w:p>
        </w:tc>
        <w:tc>
          <w:tcPr>
            <w:tcW w:w="1130" w:type="dxa"/>
            <w:tcBorders>
              <w:top w:val="single" w:sz="6" w:space="0" w:color="auto"/>
              <w:left w:val="single" w:sz="6" w:space="0" w:color="auto"/>
              <w:right w:val="single" w:sz="6" w:space="0" w:color="auto"/>
            </w:tcBorders>
          </w:tcPr>
          <w:p w14:paraId="555903C6" w14:textId="77777777" w:rsidR="00F525B2" w:rsidRPr="00C72842" w:rsidRDefault="00F525B2" w:rsidP="009B329F">
            <w:pPr>
              <w:pStyle w:val="TAL"/>
              <w:rPr>
                <w:rFonts w:cs="Arial"/>
                <w:szCs w:val="18"/>
              </w:rPr>
            </w:pPr>
            <w:r w:rsidRPr="00330A28">
              <w:rPr>
                <w:color w:val="000000"/>
                <w:kern w:val="24"/>
              </w:rPr>
              <w:t>0..1</w:t>
            </w:r>
          </w:p>
        </w:tc>
        <w:tc>
          <w:tcPr>
            <w:tcW w:w="2845" w:type="dxa"/>
            <w:tcBorders>
              <w:top w:val="single" w:sz="6" w:space="0" w:color="auto"/>
              <w:left w:val="single" w:sz="6" w:space="0" w:color="auto"/>
              <w:right w:val="single" w:sz="6" w:space="0" w:color="auto"/>
            </w:tcBorders>
          </w:tcPr>
          <w:p w14:paraId="52F29B45" w14:textId="77777777" w:rsidR="00F525B2" w:rsidRDefault="00F525B2" w:rsidP="009B329F">
            <w:pPr>
              <w:pStyle w:val="TAL"/>
              <w:rPr>
                <w:lang w:eastAsia="zh-CN"/>
              </w:rPr>
            </w:pPr>
            <w:r>
              <w:t>Indicates the number of times to be used for the QoS Flows associated to QoS parameter set.</w:t>
            </w:r>
          </w:p>
        </w:tc>
        <w:tc>
          <w:tcPr>
            <w:tcW w:w="1837" w:type="dxa"/>
            <w:tcBorders>
              <w:top w:val="single" w:sz="6" w:space="0" w:color="auto"/>
              <w:left w:val="single" w:sz="6" w:space="0" w:color="auto"/>
              <w:right w:val="single" w:sz="6" w:space="0" w:color="auto"/>
            </w:tcBorders>
          </w:tcPr>
          <w:p w14:paraId="403B85D3" w14:textId="77777777" w:rsidR="00F525B2" w:rsidRDefault="00F525B2" w:rsidP="009B329F">
            <w:pPr>
              <w:pStyle w:val="TAL"/>
              <w:rPr>
                <w:rFonts w:cs="Arial"/>
                <w:szCs w:val="18"/>
              </w:rPr>
            </w:pPr>
          </w:p>
        </w:tc>
      </w:tr>
      <w:tr w:rsidR="00F525B2" w14:paraId="359E6465" w14:textId="77777777" w:rsidTr="009B329F">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2FCCEF65" w14:textId="77777777" w:rsidR="00F525B2" w:rsidRDefault="00F525B2" w:rsidP="009B329F">
            <w:pPr>
              <w:pStyle w:val="TAN"/>
              <w:rPr>
                <w:lang w:eastAsia="zh-CN"/>
              </w:rPr>
            </w:pPr>
            <w:r>
              <w:t>NOTE 1:</w:t>
            </w:r>
            <w:r w:rsidRPr="00244428">
              <w:rPr>
                <w:rFonts w:ascii="Times New Roman" w:hAnsi="Times New Roman"/>
                <w:sz w:val="20"/>
              </w:rPr>
              <w:tab/>
            </w:r>
            <w:r>
              <w:rPr>
                <w:lang w:eastAsia="zh-CN"/>
              </w:rPr>
              <w:t xml:space="preserve">One of the </w:t>
            </w:r>
            <w:r>
              <w:t>"</w:t>
            </w:r>
            <w:r>
              <w:rPr>
                <w:lang w:eastAsia="zh-CN"/>
              </w:rPr>
              <w:t>fDescs</w:t>
            </w:r>
            <w:r>
              <w:t>"</w:t>
            </w:r>
            <w:r>
              <w:rPr>
                <w:lang w:eastAsia="zh-CN"/>
              </w:rPr>
              <w:t xml:space="preserve"> attribute or </w:t>
            </w:r>
            <w:r>
              <w:t>"appId"</w:t>
            </w:r>
            <w:r>
              <w:rPr>
                <w:lang w:eastAsia="zh-CN"/>
              </w:rPr>
              <w:t xml:space="preserve"> attribute shall be provided.</w:t>
            </w:r>
          </w:p>
          <w:p w14:paraId="6408BB26" w14:textId="77777777" w:rsidR="00F525B2" w:rsidRDefault="00F525B2" w:rsidP="009B329F">
            <w:pPr>
              <w:pStyle w:val="TAN"/>
              <w:rPr>
                <w:lang w:eastAsia="zh-CN"/>
              </w:rPr>
            </w:pPr>
            <w:r>
              <w:t>NOTE 2:</w:t>
            </w:r>
            <w:r w:rsidRPr="00244428">
              <w:rPr>
                <w:rFonts w:ascii="Times New Roman" w:hAnsi="Times New Roman"/>
                <w:sz w:val="20"/>
              </w:rPr>
              <w:tab/>
            </w:r>
            <w:r>
              <w:rPr>
                <w:lang w:eastAsia="zh-CN"/>
              </w:rPr>
              <w:t>At least o</w:t>
            </w:r>
            <w:r w:rsidRPr="006158CD">
              <w:rPr>
                <w:lang w:eastAsia="zh-CN"/>
              </w:rPr>
              <w:t>ne of "</w:t>
            </w:r>
            <w:r w:rsidRPr="00D815D6">
              <w:rPr>
                <w:lang w:eastAsia="zh-CN"/>
              </w:rPr>
              <w:t>predictedAvgQoe</w:t>
            </w:r>
            <w:r w:rsidRPr="006158CD">
              <w:rPr>
                <w:lang w:eastAsia="zh-CN"/>
              </w:rPr>
              <w:t>", "</w:t>
            </w:r>
            <w:r w:rsidRPr="00D815D6">
              <w:rPr>
                <w:lang w:eastAsia="zh-CN"/>
              </w:rPr>
              <w:t>predictedMaxQoe</w:t>
            </w:r>
            <w:r w:rsidRPr="006158CD">
              <w:rPr>
                <w:lang w:eastAsia="zh-CN"/>
              </w:rPr>
              <w:t>"</w:t>
            </w:r>
            <w:r>
              <w:rPr>
                <w:lang w:eastAsia="zh-CN"/>
              </w:rPr>
              <w:t xml:space="preserve">, </w:t>
            </w:r>
            <w:r w:rsidRPr="006158CD">
              <w:rPr>
                <w:lang w:eastAsia="zh-CN"/>
              </w:rPr>
              <w:t>"</w:t>
            </w:r>
            <w:r w:rsidRPr="00D815D6">
              <w:rPr>
                <w:lang w:eastAsia="zh-CN"/>
              </w:rPr>
              <w:t>predictedM</w:t>
            </w:r>
            <w:r>
              <w:rPr>
                <w:lang w:eastAsia="zh-CN"/>
              </w:rPr>
              <w:t>in</w:t>
            </w:r>
            <w:r w:rsidRPr="00D815D6">
              <w:rPr>
                <w:lang w:eastAsia="zh-CN"/>
              </w:rPr>
              <w:t>Qoe</w:t>
            </w:r>
            <w:r w:rsidRPr="006158CD">
              <w:rPr>
                <w:lang w:eastAsia="zh-CN"/>
              </w:rPr>
              <w:t>"</w:t>
            </w:r>
            <w:r>
              <w:rPr>
                <w:lang w:eastAsia="zh-CN"/>
              </w:rPr>
              <w:t xml:space="preserve"> and/or </w:t>
            </w:r>
            <w:r w:rsidRPr="005151E9">
              <w:rPr>
                <w:lang w:eastAsia="zh-CN"/>
              </w:rPr>
              <w:t>"predQoe</w:t>
            </w:r>
            <w:r>
              <w:rPr>
                <w:lang w:eastAsia="zh-CN"/>
              </w:rPr>
              <w:t>Variance</w:t>
            </w:r>
            <w:r w:rsidRPr="005151E9">
              <w:rPr>
                <w:lang w:eastAsia="zh-CN"/>
              </w:rPr>
              <w:t>"</w:t>
            </w:r>
            <w:r w:rsidRPr="006158CD">
              <w:rPr>
                <w:lang w:eastAsia="zh-CN"/>
              </w:rPr>
              <w:t xml:space="preserve"> attributes </w:t>
            </w:r>
            <w:r>
              <w:rPr>
                <w:lang w:eastAsia="zh-CN"/>
              </w:rPr>
              <w:t xml:space="preserve">within the </w:t>
            </w:r>
            <w:r w:rsidRPr="006158CD">
              <w:rPr>
                <w:lang w:eastAsia="zh-CN"/>
              </w:rPr>
              <w:t>"qosParamSet"</w:t>
            </w:r>
            <w:r>
              <w:rPr>
                <w:lang w:eastAsia="zh-CN"/>
              </w:rPr>
              <w:t xml:space="preserve"> attribute </w:t>
            </w:r>
            <w:r w:rsidRPr="006158CD">
              <w:rPr>
                <w:lang w:eastAsia="zh-CN"/>
              </w:rPr>
              <w:t>shall be present</w:t>
            </w:r>
            <w:r>
              <w:rPr>
                <w:lang w:eastAsia="zh-CN"/>
              </w:rPr>
              <w:t>.</w:t>
            </w:r>
          </w:p>
          <w:p w14:paraId="3E008941" w14:textId="77777777" w:rsidR="00F525B2" w:rsidRPr="008B5D2B" w:rsidRDefault="00F525B2" w:rsidP="009B329F">
            <w:pPr>
              <w:pStyle w:val="TAN"/>
              <w:rPr>
                <w:lang w:eastAsia="zh-CN"/>
              </w:rPr>
            </w:pPr>
            <w:r>
              <w:t>NOTE 3:</w:t>
            </w:r>
            <w:r w:rsidRPr="00244428">
              <w:rPr>
                <w:rFonts w:ascii="Times New Roman" w:hAnsi="Times New Roman"/>
                <w:sz w:val="20"/>
              </w:rPr>
              <w:tab/>
            </w:r>
            <w:r>
              <w:t>If the "</w:t>
            </w:r>
            <w:r>
              <w:rPr>
                <w:lang w:eastAsia="zh-CN"/>
              </w:rPr>
              <w:t>orderCriterion</w:t>
            </w:r>
            <w:r>
              <w:t>"</w:t>
            </w:r>
            <w:r>
              <w:rPr>
                <w:lang w:eastAsia="zh-CN"/>
              </w:rPr>
              <w:t xml:space="preserve"> attribute was provided in the request and the value was set to </w:t>
            </w:r>
            <w:r>
              <w:t>"USAGE_DURATION"</w:t>
            </w:r>
            <w:r>
              <w:rPr>
                <w:lang w:eastAsia="zh-CN"/>
              </w:rPr>
              <w:t xml:space="preserve">, the analytics results will be provided according to the value of the </w:t>
            </w:r>
            <w:r>
              <w:t>"</w:t>
            </w:r>
            <w:r>
              <w:rPr>
                <w:lang w:eastAsia="zh-CN"/>
              </w:rPr>
              <w:t>avgUsageDur</w:t>
            </w:r>
            <w:r>
              <w:t>"</w:t>
            </w:r>
            <w:r>
              <w:rPr>
                <w:lang w:eastAsia="zh-CN"/>
              </w:rPr>
              <w:t xml:space="preserve"> attribute</w:t>
            </w:r>
            <w:r>
              <w:t>.</w:t>
            </w:r>
          </w:p>
        </w:tc>
      </w:tr>
    </w:tbl>
    <w:p w14:paraId="187E521B" w14:textId="77777777" w:rsidR="00F525B2" w:rsidRDefault="00F525B2" w:rsidP="00F525B2">
      <w:pPr>
        <w:rPr>
          <w:lang w:eastAsia="zh-CN"/>
        </w:rPr>
      </w:pPr>
    </w:p>
    <w:p w14:paraId="4120A05D" w14:textId="77777777" w:rsidR="00F525B2" w:rsidRPr="004528FC" w:rsidRDefault="00F525B2" w:rsidP="00F525B2">
      <w:pPr>
        <w:pStyle w:val="EditorsNote"/>
      </w:pPr>
      <w:r w:rsidRPr="004528FC">
        <w:rPr>
          <w:rFonts w:hint="eastAsia"/>
        </w:rPr>
        <w:t>Editor</w:t>
      </w:r>
      <w:r w:rsidRPr="004528FC">
        <w:t>’</w:t>
      </w:r>
      <w:r w:rsidRPr="004528FC">
        <w:rPr>
          <w:rFonts w:hint="eastAsia"/>
        </w:rPr>
        <w:t>s Note :</w:t>
      </w:r>
      <w:r w:rsidRPr="004528FC">
        <w:tab/>
      </w:r>
      <w:r>
        <w:t xml:space="preserve">Whether the </w:t>
      </w:r>
      <w:r w:rsidRPr="0082730A">
        <w:t>variance</w:t>
      </w:r>
      <w:r>
        <w:t xml:space="preserve"> of the QoE is needed is FFS</w:t>
      </w:r>
      <w:r w:rsidRPr="004528FC">
        <w:rPr>
          <w:rFonts w:hint="eastAsia"/>
        </w:rPr>
        <w:t>.</w:t>
      </w:r>
    </w:p>
    <w:p w14:paraId="1BB4DF5D" w14:textId="77777777" w:rsidR="00F525B2" w:rsidRPr="001C362F" w:rsidRDefault="00F525B2" w:rsidP="00F525B2">
      <w:pPr>
        <w:rPr>
          <w:lang w:eastAsia="zh-CN"/>
        </w:rPr>
      </w:pPr>
    </w:p>
    <w:p w14:paraId="04E9A285" w14:textId="77777777" w:rsidR="00F525B2" w:rsidRDefault="00F525B2" w:rsidP="00F525B2">
      <w:pPr>
        <w:pStyle w:val="5"/>
      </w:pPr>
      <w:bookmarkStart w:id="8342" w:name="_Toc195815038"/>
      <w:bookmarkStart w:id="8343" w:name="_Toc199453005"/>
      <w:r>
        <w:t>5.1.6.2.11</w:t>
      </w:r>
      <w:r>
        <w:rPr>
          <w:rFonts w:hint="eastAsia"/>
          <w:lang w:eastAsia="zh-CN"/>
        </w:rPr>
        <w:t>6</w:t>
      </w:r>
      <w:r>
        <w:tab/>
        <w:t>Type QosPolicyAssist</w:t>
      </w:r>
      <w:r>
        <w:rPr>
          <w:rFonts w:hint="eastAsia"/>
          <w:lang w:eastAsia="zh-CN"/>
        </w:rPr>
        <w:t>Sets</w:t>
      </w:r>
      <w:r>
        <w:t>PerTS</w:t>
      </w:r>
      <w:bookmarkEnd w:id="8342"/>
      <w:bookmarkEnd w:id="8343"/>
    </w:p>
    <w:p w14:paraId="120C707B" w14:textId="77777777" w:rsidR="00F525B2" w:rsidRDefault="00F525B2" w:rsidP="00F525B2">
      <w:pPr>
        <w:pStyle w:val="TH"/>
      </w:pPr>
      <w:r>
        <w:t>Table 5.1.6.2.11</w:t>
      </w:r>
      <w:r>
        <w:rPr>
          <w:rFonts w:hint="eastAsia"/>
          <w:lang w:eastAsia="zh-CN"/>
        </w:rPr>
        <w:t>6</w:t>
      </w:r>
      <w:r>
        <w:t>-1: Definition of type QosPolicyAssist</w:t>
      </w:r>
      <w:r>
        <w:rPr>
          <w:rFonts w:hint="eastAsia"/>
          <w:lang w:eastAsia="zh-CN"/>
        </w:rPr>
        <w:t>Sets</w:t>
      </w:r>
      <w:r>
        <w:t>PerTS</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4567044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0243DFF3"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00F328C6"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B6FEFF4"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60551AB5"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3BEE6BE0"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44AD3F6D" w14:textId="77777777" w:rsidR="00F525B2" w:rsidRDefault="00F525B2" w:rsidP="009B329F">
            <w:pPr>
              <w:pStyle w:val="TAH"/>
              <w:ind w:left="400" w:hanging="400"/>
            </w:pPr>
            <w:r>
              <w:t>Applicability</w:t>
            </w:r>
          </w:p>
        </w:tc>
      </w:tr>
      <w:tr w:rsidR="00F525B2" w14:paraId="1ACEE655" w14:textId="77777777" w:rsidTr="009B329F">
        <w:trPr>
          <w:trHeight w:val="706"/>
          <w:jc w:val="center"/>
        </w:trPr>
        <w:tc>
          <w:tcPr>
            <w:tcW w:w="1552" w:type="dxa"/>
            <w:tcBorders>
              <w:top w:val="single" w:sz="6" w:space="0" w:color="auto"/>
              <w:left w:val="single" w:sz="6" w:space="0" w:color="auto"/>
              <w:right w:val="single" w:sz="6" w:space="0" w:color="auto"/>
            </w:tcBorders>
          </w:tcPr>
          <w:p w14:paraId="1C1BDCCE" w14:textId="77777777" w:rsidR="00F525B2" w:rsidRDefault="00F525B2" w:rsidP="009B329F">
            <w:pPr>
              <w:pStyle w:val="TAL"/>
              <w:rPr>
                <w:lang w:eastAsia="zh-CN"/>
              </w:rPr>
            </w:pPr>
            <w:r>
              <w:rPr>
                <w:lang w:eastAsia="zh-CN"/>
              </w:rPr>
              <w:t>tsStart</w:t>
            </w:r>
          </w:p>
        </w:tc>
        <w:tc>
          <w:tcPr>
            <w:tcW w:w="1752" w:type="dxa"/>
            <w:tcBorders>
              <w:top w:val="single" w:sz="6" w:space="0" w:color="auto"/>
              <w:left w:val="single" w:sz="6" w:space="0" w:color="auto"/>
              <w:right w:val="single" w:sz="6" w:space="0" w:color="auto"/>
            </w:tcBorders>
          </w:tcPr>
          <w:p w14:paraId="73F28979" w14:textId="77777777" w:rsidR="00F525B2" w:rsidRDefault="00F525B2" w:rsidP="009B329F">
            <w:pPr>
              <w:pStyle w:val="TAL"/>
              <w:rPr>
                <w:lang w:eastAsia="zh-CN"/>
              </w:rPr>
            </w:pPr>
            <w:r>
              <w:rPr>
                <w:lang w:eastAsia="zh-CN"/>
              </w:rPr>
              <w:t>DateTime</w:t>
            </w:r>
          </w:p>
        </w:tc>
        <w:tc>
          <w:tcPr>
            <w:tcW w:w="424" w:type="dxa"/>
            <w:tcBorders>
              <w:top w:val="single" w:sz="6" w:space="0" w:color="auto"/>
              <w:left w:val="single" w:sz="6" w:space="0" w:color="auto"/>
              <w:right w:val="single" w:sz="6" w:space="0" w:color="auto"/>
            </w:tcBorders>
          </w:tcPr>
          <w:p w14:paraId="3A90E177" w14:textId="77777777" w:rsidR="00F525B2" w:rsidRDefault="00F525B2" w:rsidP="009B329F">
            <w:pPr>
              <w:pStyle w:val="TAC"/>
              <w:rPr>
                <w:lang w:eastAsia="zh-CN"/>
              </w:rPr>
            </w:pPr>
            <w:r>
              <w:rPr>
                <w:lang w:eastAsia="zh-CN"/>
              </w:rPr>
              <w:t>M</w:t>
            </w:r>
          </w:p>
        </w:tc>
        <w:tc>
          <w:tcPr>
            <w:tcW w:w="1130" w:type="dxa"/>
            <w:tcBorders>
              <w:top w:val="single" w:sz="6" w:space="0" w:color="auto"/>
              <w:left w:val="single" w:sz="6" w:space="0" w:color="auto"/>
              <w:right w:val="single" w:sz="6" w:space="0" w:color="auto"/>
            </w:tcBorders>
          </w:tcPr>
          <w:p w14:paraId="63266B78" w14:textId="77777777" w:rsidR="00F525B2" w:rsidRDefault="00F525B2" w:rsidP="009B329F">
            <w:pPr>
              <w:pStyle w:val="TAL"/>
              <w:rPr>
                <w:lang w:eastAsia="zh-CN"/>
              </w:rPr>
            </w:pPr>
            <w:r>
              <w:rPr>
                <w:lang w:eastAsia="zh-CN"/>
              </w:rPr>
              <w:t>1</w:t>
            </w:r>
          </w:p>
        </w:tc>
        <w:tc>
          <w:tcPr>
            <w:tcW w:w="2845" w:type="dxa"/>
            <w:tcBorders>
              <w:top w:val="single" w:sz="6" w:space="0" w:color="auto"/>
              <w:left w:val="single" w:sz="6" w:space="0" w:color="auto"/>
              <w:right w:val="single" w:sz="6" w:space="0" w:color="auto"/>
            </w:tcBorders>
          </w:tcPr>
          <w:p w14:paraId="53F5C13F" w14:textId="77777777" w:rsidR="00F525B2" w:rsidRDefault="00F525B2" w:rsidP="009B329F">
            <w:pPr>
              <w:pStyle w:val="TAL"/>
              <w:rPr>
                <w:rFonts w:cs="Arial"/>
                <w:szCs w:val="18"/>
                <w:lang w:eastAsia="zh-CN"/>
              </w:rPr>
            </w:pPr>
            <w:r>
              <w:rPr>
                <w:rFonts w:cs="Arial"/>
                <w:szCs w:val="18"/>
              </w:rPr>
              <w:t>Indicates the timestamp when the time slot starts during the Analytics target period.</w:t>
            </w:r>
          </w:p>
        </w:tc>
        <w:tc>
          <w:tcPr>
            <w:tcW w:w="1837" w:type="dxa"/>
            <w:tcBorders>
              <w:top w:val="single" w:sz="6" w:space="0" w:color="auto"/>
              <w:left w:val="single" w:sz="6" w:space="0" w:color="auto"/>
              <w:right w:val="single" w:sz="6" w:space="0" w:color="auto"/>
            </w:tcBorders>
          </w:tcPr>
          <w:p w14:paraId="160361E2" w14:textId="77777777" w:rsidR="00F525B2" w:rsidRDefault="00F525B2" w:rsidP="009B329F">
            <w:pPr>
              <w:pStyle w:val="TAL"/>
              <w:rPr>
                <w:rFonts w:cs="Arial"/>
                <w:szCs w:val="18"/>
              </w:rPr>
            </w:pPr>
          </w:p>
        </w:tc>
      </w:tr>
      <w:tr w:rsidR="00F525B2" w14:paraId="30E41D7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E670C72" w14:textId="77777777" w:rsidR="00F525B2" w:rsidRDefault="00F525B2" w:rsidP="009B329F">
            <w:pPr>
              <w:pStyle w:val="TAL"/>
              <w:rPr>
                <w:lang w:eastAsia="zh-CN"/>
              </w:rPr>
            </w:pPr>
            <w:r>
              <w:rPr>
                <w:lang w:eastAsia="zh-CN"/>
              </w:rPr>
              <w:t>tsDuration</w:t>
            </w:r>
          </w:p>
        </w:tc>
        <w:tc>
          <w:tcPr>
            <w:tcW w:w="1752" w:type="dxa"/>
            <w:tcBorders>
              <w:top w:val="single" w:sz="6" w:space="0" w:color="auto"/>
              <w:left w:val="single" w:sz="6" w:space="0" w:color="auto"/>
              <w:bottom w:val="single" w:sz="6" w:space="0" w:color="auto"/>
              <w:right w:val="single" w:sz="6" w:space="0" w:color="auto"/>
            </w:tcBorders>
          </w:tcPr>
          <w:p w14:paraId="2255226B" w14:textId="77777777" w:rsidR="00F525B2" w:rsidRDefault="00F525B2" w:rsidP="009B329F">
            <w:pPr>
              <w:pStyle w:val="TAL"/>
              <w:rPr>
                <w:lang w:eastAsia="zh-CN"/>
              </w:rPr>
            </w:pPr>
            <w:r>
              <w:rPr>
                <w:lang w:eastAsia="zh-CN"/>
              </w:rPr>
              <w:t>DurationSec</w:t>
            </w:r>
          </w:p>
        </w:tc>
        <w:tc>
          <w:tcPr>
            <w:tcW w:w="424" w:type="dxa"/>
            <w:tcBorders>
              <w:top w:val="single" w:sz="6" w:space="0" w:color="auto"/>
              <w:left w:val="single" w:sz="6" w:space="0" w:color="auto"/>
              <w:bottom w:val="single" w:sz="6" w:space="0" w:color="auto"/>
              <w:right w:val="single" w:sz="6" w:space="0" w:color="auto"/>
            </w:tcBorders>
          </w:tcPr>
          <w:p w14:paraId="371634C5" w14:textId="77777777" w:rsidR="00F525B2" w:rsidRDefault="00F525B2" w:rsidP="009B329F">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69F3317F" w14:textId="77777777" w:rsidR="00F525B2" w:rsidRDefault="00F525B2" w:rsidP="009B329F">
            <w:pPr>
              <w:pStyle w:val="TAL"/>
              <w:rPr>
                <w:rFonts w:cs="Arial"/>
                <w:szCs w:val="18"/>
              </w:rPr>
            </w:pPr>
            <w:r>
              <w:rPr>
                <w:rFonts w:cs="Arial"/>
                <w:szCs w:val="18"/>
              </w:rPr>
              <w:t>1</w:t>
            </w:r>
          </w:p>
        </w:tc>
        <w:tc>
          <w:tcPr>
            <w:tcW w:w="2845" w:type="dxa"/>
            <w:tcBorders>
              <w:top w:val="single" w:sz="6" w:space="0" w:color="auto"/>
              <w:left w:val="single" w:sz="6" w:space="0" w:color="auto"/>
              <w:bottom w:val="single" w:sz="6" w:space="0" w:color="auto"/>
              <w:right w:val="single" w:sz="6" w:space="0" w:color="auto"/>
            </w:tcBorders>
          </w:tcPr>
          <w:p w14:paraId="31BEBD5D" w14:textId="77777777" w:rsidR="00F525B2" w:rsidRDefault="00F525B2" w:rsidP="009B329F">
            <w:pPr>
              <w:pStyle w:val="TAL"/>
              <w:rPr>
                <w:rFonts w:cs="Arial"/>
                <w:szCs w:val="18"/>
              </w:rPr>
            </w:pPr>
            <w:r>
              <w:rPr>
                <w:rFonts w:cs="Arial"/>
                <w:szCs w:val="18"/>
              </w:rPr>
              <w:t>Indicates the time slot duration.</w:t>
            </w:r>
          </w:p>
          <w:p w14:paraId="7D7365A8" w14:textId="77777777" w:rsidR="00F525B2" w:rsidRDefault="00F525B2" w:rsidP="009B329F">
            <w:pPr>
              <w:pStyle w:val="TAL"/>
              <w:rPr>
                <w:lang w:eastAsia="zh-CN"/>
              </w:rPr>
            </w:pPr>
            <w:r>
              <w:rPr>
                <w:rFonts w:cs="Arial"/>
                <w:szCs w:val="18"/>
              </w:rPr>
              <w:t>(</w:t>
            </w:r>
            <w:r>
              <w:t>NOTE 1</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4F0FEC2B" w14:textId="77777777" w:rsidR="00F525B2" w:rsidRDefault="00F525B2" w:rsidP="009B329F">
            <w:pPr>
              <w:pStyle w:val="TAL"/>
              <w:rPr>
                <w:rFonts w:cs="Arial"/>
                <w:szCs w:val="18"/>
              </w:rPr>
            </w:pPr>
          </w:p>
        </w:tc>
      </w:tr>
      <w:tr w:rsidR="00F525B2" w14:paraId="0FF2CB7B"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3A4C2585" w14:textId="77777777" w:rsidR="00F525B2" w:rsidRDefault="00F525B2" w:rsidP="009B329F">
            <w:pPr>
              <w:pStyle w:val="TAL"/>
              <w:rPr>
                <w:lang w:eastAsia="zh-CN"/>
              </w:rPr>
            </w:pPr>
            <w:r>
              <w:rPr>
                <w:lang w:eastAsia="zh-CN"/>
              </w:rPr>
              <w:t>qosPolAssist</w:t>
            </w:r>
            <w:r>
              <w:rPr>
                <w:rFonts w:hint="eastAsia"/>
                <w:lang w:eastAsia="zh-CN"/>
              </w:rPr>
              <w:t>Sets</w:t>
            </w:r>
          </w:p>
        </w:tc>
        <w:tc>
          <w:tcPr>
            <w:tcW w:w="1752" w:type="dxa"/>
            <w:tcBorders>
              <w:top w:val="single" w:sz="6" w:space="0" w:color="auto"/>
              <w:left w:val="single" w:sz="6" w:space="0" w:color="auto"/>
              <w:bottom w:val="single" w:sz="6" w:space="0" w:color="auto"/>
              <w:right w:val="single" w:sz="6" w:space="0" w:color="auto"/>
            </w:tcBorders>
          </w:tcPr>
          <w:p w14:paraId="16482261" w14:textId="77777777" w:rsidR="00F525B2" w:rsidRDefault="00F525B2" w:rsidP="009B329F">
            <w:pPr>
              <w:pStyle w:val="TAL"/>
            </w:pPr>
            <w:r>
              <w:t>array(QosPolicyAssist</w:t>
            </w:r>
            <w:r>
              <w:rPr>
                <w:rFonts w:hint="eastAsia"/>
                <w:lang w:eastAsia="zh-CN"/>
              </w:rPr>
              <w:t>Set</w:t>
            </w:r>
            <w:r>
              <w:t>)</w:t>
            </w:r>
          </w:p>
        </w:tc>
        <w:tc>
          <w:tcPr>
            <w:tcW w:w="424" w:type="dxa"/>
            <w:tcBorders>
              <w:top w:val="single" w:sz="6" w:space="0" w:color="auto"/>
              <w:left w:val="single" w:sz="6" w:space="0" w:color="auto"/>
              <w:bottom w:val="single" w:sz="6" w:space="0" w:color="auto"/>
              <w:right w:val="single" w:sz="6" w:space="0" w:color="auto"/>
            </w:tcBorders>
          </w:tcPr>
          <w:p w14:paraId="685BAC84" w14:textId="77777777" w:rsidR="00F525B2" w:rsidRDefault="00F525B2" w:rsidP="009B329F">
            <w:pPr>
              <w:pStyle w:val="TAC"/>
            </w:pPr>
            <w:r>
              <w:t>M</w:t>
            </w:r>
          </w:p>
        </w:tc>
        <w:tc>
          <w:tcPr>
            <w:tcW w:w="1130" w:type="dxa"/>
            <w:tcBorders>
              <w:top w:val="single" w:sz="6" w:space="0" w:color="auto"/>
              <w:left w:val="single" w:sz="6" w:space="0" w:color="auto"/>
              <w:bottom w:val="single" w:sz="6" w:space="0" w:color="auto"/>
              <w:right w:val="single" w:sz="6" w:space="0" w:color="auto"/>
            </w:tcBorders>
          </w:tcPr>
          <w:p w14:paraId="1FF63685" w14:textId="77777777" w:rsidR="00F525B2" w:rsidRPr="00C72842" w:rsidRDefault="00F525B2" w:rsidP="009B329F">
            <w:pPr>
              <w:pStyle w:val="TAL"/>
              <w:rPr>
                <w:rFonts w:cs="Arial"/>
                <w:szCs w:val="18"/>
              </w:rPr>
            </w:pPr>
            <w:r>
              <w:rPr>
                <w:rFonts w:cs="Arial"/>
                <w:szCs w:val="18"/>
              </w:rPr>
              <w:t>1..N</w:t>
            </w:r>
          </w:p>
        </w:tc>
        <w:tc>
          <w:tcPr>
            <w:tcW w:w="2845" w:type="dxa"/>
            <w:tcBorders>
              <w:top w:val="single" w:sz="6" w:space="0" w:color="auto"/>
              <w:left w:val="single" w:sz="6" w:space="0" w:color="auto"/>
              <w:bottom w:val="single" w:sz="6" w:space="0" w:color="auto"/>
              <w:right w:val="single" w:sz="6" w:space="0" w:color="auto"/>
            </w:tcBorders>
          </w:tcPr>
          <w:p w14:paraId="43965BBE" w14:textId="77777777" w:rsidR="00F525B2" w:rsidRPr="009769B5" w:rsidRDefault="00F525B2" w:rsidP="009B329F">
            <w:pPr>
              <w:pStyle w:val="TAL"/>
              <w:rPr>
                <w:rFonts w:cs="Arial"/>
                <w:szCs w:val="18"/>
              </w:rPr>
            </w:pPr>
            <w:r w:rsidRPr="009769B5">
              <w:rPr>
                <w:rFonts w:cs="Arial"/>
                <w:szCs w:val="18"/>
              </w:rPr>
              <w:t>List of QoS and Policy Assistance information</w:t>
            </w:r>
            <w:r>
              <w:rPr>
                <w:rFonts w:cs="Arial"/>
                <w:szCs w:val="18"/>
              </w:rPr>
              <w:t xml:space="preserve"> containing the </w:t>
            </w:r>
            <w:r w:rsidRPr="009769B5">
              <w:rPr>
                <w:rFonts w:cs="Arial"/>
                <w:szCs w:val="18"/>
              </w:rPr>
              <w:t>candidate QoS parameter set(s)</w:t>
            </w:r>
            <w:r>
              <w:rPr>
                <w:rFonts w:cs="Arial"/>
                <w:szCs w:val="18"/>
              </w:rPr>
              <w:t>.</w:t>
            </w:r>
          </w:p>
        </w:tc>
        <w:tc>
          <w:tcPr>
            <w:tcW w:w="1837" w:type="dxa"/>
            <w:tcBorders>
              <w:top w:val="single" w:sz="6" w:space="0" w:color="auto"/>
              <w:left w:val="single" w:sz="6" w:space="0" w:color="auto"/>
              <w:bottom w:val="single" w:sz="6" w:space="0" w:color="auto"/>
              <w:right w:val="single" w:sz="6" w:space="0" w:color="auto"/>
            </w:tcBorders>
          </w:tcPr>
          <w:p w14:paraId="7A4A502D" w14:textId="77777777" w:rsidR="00F525B2" w:rsidRDefault="00F525B2" w:rsidP="009B329F">
            <w:pPr>
              <w:pStyle w:val="TAL"/>
              <w:rPr>
                <w:rFonts w:cs="Arial"/>
                <w:szCs w:val="18"/>
              </w:rPr>
            </w:pPr>
          </w:p>
        </w:tc>
      </w:tr>
      <w:tr w:rsidR="00F525B2" w14:paraId="7615B50C" w14:textId="77777777" w:rsidTr="009B329F">
        <w:trPr>
          <w:trHeight w:val="666"/>
          <w:jc w:val="center"/>
        </w:trPr>
        <w:tc>
          <w:tcPr>
            <w:tcW w:w="1552" w:type="dxa"/>
            <w:tcBorders>
              <w:top w:val="single" w:sz="6" w:space="0" w:color="auto"/>
              <w:left w:val="single" w:sz="6" w:space="0" w:color="auto"/>
              <w:right w:val="single" w:sz="6" w:space="0" w:color="auto"/>
            </w:tcBorders>
          </w:tcPr>
          <w:p w14:paraId="7074EE58" w14:textId="77777777" w:rsidR="00F525B2" w:rsidRDefault="00F525B2" w:rsidP="009B329F">
            <w:pPr>
              <w:pStyle w:val="TAL"/>
              <w:rPr>
                <w:lang w:eastAsia="zh-CN"/>
              </w:rPr>
            </w:pPr>
            <w:r>
              <w:rPr>
                <w:lang w:eastAsia="zh-CN"/>
              </w:rPr>
              <w:t>confidence</w:t>
            </w:r>
          </w:p>
        </w:tc>
        <w:tc>
          <w:tcPr>
            <w:tcW w:w="1752" w:type="dxa"/>
            <w:tcBorders>
              <w:top w:val="single" w:sz="6" w:space="0" w:color="auto"/>
              <w:left w:val="single" w:sz="6" w:space="0" w:color="auto"/>
              <w:right w:val="single" w:sz="6" w:space="0" w:color="auto"/>
            </w:tcBorders>
          </w:tcPr>
          <w:p w14:paraId="50E89CCE" w14:textId="77777777" w:rsidR="00F525B2" w:rsidRDefault="00F525B2" w:rsidP="009B329F">
            <w:pPr>
              <w:pStyle w:val="TAL"/>
            </w:pPr>
            <w:r>
              <w:t>Uinteger</w:t>
            </w:r>
          </w:p>
        </w:tc>
        <w:tc>
          <w:tcPr>
            <w:tcW w:w="424" w:type="dxa"/>
            <w:tcBorders>
              <w:top w:val="single" w:sz="6" w:space="0" w:color="auto"/>
              <w:left w:val="single" w:sz="6" w:space="0" w:color="auto"/>
              <w:right w:val="single" w:sz="6" w:space="0" w:color="auto"/>
            </w:tcBorders>
          </w:tcPr>
          <w:p w14:paraId="06D467FA" w14:textId="77777777" w:rsidR="00F525B2" w:rsidRDefault="00F525B2" w:rsidP="009B329F">
            <w:pPr>
              <w:pStyle w:val="TAC"/>
            </w:pPr>
            <w:r>
              <w:t>O</w:t>
            </w:r>
          </w:p>
        </w:tc>
        <w:tc>
          <w:tcPr>
            <w:tcW w:w="1130" w:type="dxa"/>
            <w:tcBorders>
              <w:top w:val="single" w:sz="6" w:space="0" w:color="auto"/>
              <w:left w:val="single" w:sz="6" w:space="0" w:color="auto"/>
              <w:right w:val="single" w:sz="6" w:space="0" w:color="auto"/>
            </w:tcBorders>
          </w:tcPr>
          <w:p w14:paraId="1DA58CD5" w14:textId="77777777" w:rsidR="00F525B2" w:rsidRPr="00C72842" w:rsidRDefault="00F525B2" w:rsidP="009B329F">
            <w:pPr>
              <w:pStyle w:val="TAL"/>
              <w:rPr>
                <w:rFonts w:cs="Arial"/>
                <w:szCs w:val="18"/>
              </w:rPr>
            </w:pPr>
            <w:r>
              <w:rPr>
                <w:rFonts w:cs="Arial"/>
                <w:szCs w:val="18"/>
              </w:rPr>
              <w:t>0..1</w:t>
            </w:r>
          </w:p>
        </w:tc>
        <w:tc>
          <w:tcPr>
            <w:tcW w:w="2845" w:type="dxa"/>
            <w:tcBorders>
              <w:top w:val="single" w:sz="6" w:space="0" w:color="auto"/>
              <w:left w:val="single" w:sz="6" w:space="0" w:color="auto"/>
              <w:right w:val="single" w:sz="6" w:space="0" w:color="auto"/>
            </w:tcBorders>
          </w:tcPr>
          <w:p w14:paraId="731884E4" w14:textId="77777777" w:rsidR="00F525B2" w:rsidRDefault="00F525B2" w:rsidP="009B329F">
            <w:pPr>
              <w:pStyle w:val="TAL"/>
              <w:rPr>
                <w:rFonts w:cs="Arial"/>
                <w:szCs w:val="18"/>
              </w:rPr>
            </w:pPr>
            <w:r>
              <w:rPr>
                <w:rFonts w:cs="Arial"/>
                <w:szCs w:val="18"/>
              </w:rPr>
              <w:t>Indicates the confidence of the prediction. (NOTE 2)</w:t>
            </w:r>
          </w:p>
          <w:p w14:paraId="0EAF23E7" w14:textId="77777777" w:rsidR="00F525B2" w:rsidRDefault="00F525B2" w:rsidP="009B329F">
            <w:pPr>
              <w:pStyle w:val="TAL"/>
              <w:rPr>
                <w:rFonts w:cs="Arial"/>
                <w:szCs w:val="18"/>
              </w:rPr>
            </w:pPr>
            <w:r>
              <w:rPr>
                <w:rFonts w:cs="Arial"/>
                <w:szCs w:val="18"/>
              </w:rPr>
              <w:t>Minimum = 0. Maximum = 100.</w:t>
            </w:r>
          </w:p>
        </w:tc>
        <w:tc>
          <w:tcPr>
            <w:tcW w:w="1837" w:type="dxa"/>
            <w:tcBorders>
              <w:top w:val="single" w:sz="6" w:space="0" w:color="auto"/>
              <w:left w:val="single" w:sz="6" w:space="0" w:color="auto"/>
              <w:right w:val="single" w:sz="6" w:space="0" w:color="auto"/>
            </w:tcBorders>
          </w:tcPr>
          <w:p w14:paraId="70011F2B" w14:textId="77777777" w:rsidR="00F525B2" w:rsidRDefault="00F525B2" w:rsidP="009B329F">
            <w:pPr>
              <w:pStyle w:val="TAL"/>
              <w:rPr>
                <w:rFonts w:cs="Arial"/>
                <w:szCs w:val="18"/>
              </w:rPr>
            </w:pPr>
          </w:p>
        </w:tc>
      </w:tr>
      <w:tr w:rsidR="00F525B2" w14:paraId="6E3C3FFB" w14:textId="77777777" w:rsidTr="009B329F">
        <w:trPr>
          <w:jc w:val="center"/>
        </w:trPr>
        <w:tc>
          <w:tcPr>
            <w:tcW w:w="9540" w:type="dxa"/>
            <w:gridSpan w:val="6"/>
            <w:tcBorders>
              <w:top w:val="single" w:sz="6" w:space="0" w:color="auto"/>
              <w:left w:val="single" w:sz="6" w:space="0" w:color="auto"/>
              <w:bottom w:val="single" w:sz="6" w:space="0" w:color="auto"/>
              <w:right w:val="single" w:sz="6" w:space="0" w:color="auto"/>
            </w:tcBorders>
          </w:tcPr>
          <w:p w14:paraId="39CF7416" w14:textId="77777777" w:rsidR="00F525B2" w:rsidRDefault="00F525B2" w:rsidP="009B329F">
            <w:pPr>
              <w:pStyle w:val="TAN"/>
            </w:pPr>
            <w:r>
              <w:t>NOTE 1:</w:t>
            </w:r>
            <w:r>
              <w:tab/>
              <w:t>If the "temporalGranSize" attribute is provided in the request, the duration indicated by the "</w:t>
            </w:r>
            <w:r>
              <w:rPr>
                <w:lang w:eastAsia="zh-CN"/>
              </w:rPr>
              <w:t>tsDuration</w:t>
            </w:r>
            <w:r>
              <w:t xml:space="preserve">" attribute </w:t>
            </w:r>
            <w:r>
              <w:rPr>
                <w:rFonts w:cs="Arial"/>
                <w:szCs w:val="18"/>
                <w:lang w:eastAsia="zh-CN"/>
              </w:rPr>
              <w:t>shall be</w:t>
            </w:r>
            <w:r>
              <w:t xml:space="preserve"> greater than or equal to the value of the "temporalGranSize" attribute.</w:t>
            </w:r>
          </w:p>
          <w:p w14:paraId="66A54B07" w14:textId="77777777" w:rsidR="00F525B2" w:rsidRPr="008B5D2B" w:rsidRDefault="00F525B2" w:rsidP="009B329F">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the NWDAF shall return a zero confidence.</w:t>
            </w:r>
          </w:p>
        </w:tc>
      </w:tr>
    </w:tbl>
    <w:p w14:paraId="186F645E" w14:textId="77777777" w:rsidR="00F525B2" w:rsidRDefault="00F525B2" w:rsidP="00F525B2">
      <w:pPr>
        <w:rPr>
          <w:lang w:eastAsia="zh-CN"/>
        </w:rPr>
      </w:pPr>
    </w:p>
    <w:p w14:paraId="046A1815" w14:textId="77777777" w:rsidR="00F525B2" w:rsidRDefault="00F525B2" w:rsidP="00F525B2">
      <w:pPr>
        <w:pStyle w:val="5"/>
      </w:pPr>
      <w:bookmarkStart w:id="8344" w:name="_Toc195815039"/>
      <w:bookmarkStart w:id="8345" w:name="_Toc199453006"/>
      <w:r>
        <w:lastRenderedPageBreak/>
        <w:t>5.1.6.2.117</w:t>
      </w:r>
      <w:r>
        <w:tab/>
        <w:t>Type QosPara</w:t>
      </w:r>
      <w:bookmarkEnd w:id="8344"/>
      <w:bookmarkEnd w:id="8345"/>
    </w:p>
    <w:p w14:paraId="752A9E5D" w14:textId="77777777" w:rsidR="00F525B2" w:rsidRDefault="00F525B2" w:rsidP="00F525B2">
      <w:pPr>
        <w:pStyle w:val="TH"/>
      </w:pPr>
      <w:r>
        <w:t>Table 5.1.6.2.117-1: Definition of type QosPara</w:t>
      </w:r>
    </w:p>
    <w:tbl>
      <w:tblPr>
        <w:tblW w:w="954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752"/>
        <w:gridCol w:w="424"/>
        <w:gridCol w:w="1130"/>
        <w:gridCol w:w="2845"/>
        <w:gridCol w:w="1837"/>
      </w:tblGrid>
      <w:tr w:rsidR="00F525B2" w14:paraId="2E93134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tcPr>
          <w:p w14:paraId="7F0A5396" w14:textId="77777777" w:rsidR="00F525B2" w:rsidRDefault="00F525B2" w:rsidP="009B329F">
            <w:pPr>
              <w:pStyle w:val="TAH"/>
              <w:ind w:left="400" w:hanging="400"/>
            </w:pPr>
            <w:r>
              <w:t>Attribute name</w:t>
            </w:r>
          </w:p>
        </w:tc>
        <w:tc>
          <w:tcPr>
            <w:tcW w:w="1752" w:type="dxa"/>
            <w:tcBorders>
              <w:top w:val="single" w:sz="6" w:space="0" w:color="auto"/>
              <w:left w:val="single" w:sz="6" w:space="0" w:color="auto"/>
              <w:bottom w:val="single" w:sz="6" w:space="0" w:color="auto"/>
              <w:right w:val="single" w:sz="6" w:space="0" w:color="auto"/>
            </w:tcBorders>
            <w:shd w:val="clear" w:color="auto" w:fill="C0C0C0"/>
          </w:tcPr>
          <w:p w14:paraId="4A35A0CC" w14:textId="77777777" w:rsidR="00F525B2" w:rsidRDefault="00F525B2" w:rsidP="009B329F">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06667CF7" w14:textId="77777777" w:rsidR="00F525B2" w:rsidRDefault="00F525B2" w:rsidP="009B329F">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24D4D4D1" w14:textId="77777777" w:rsidR="00F525B2" w:rsidRDefault="00F525B2" w:rsidP="009B329F">
            <w:pPr>
              <w:pStyle w:val="TAH"/>
              <w:ind w:left="400" w:hanging="400"/>
            </w:pPr>
            <w:r>
              <w:t>Cardinality</w:t>
            </w:r>
          </w:p>
        </w:tc>
        <w:tc>
          <w:tcPr>
            <w:tcW w:w="2845" w:type="dxa"/>
            <w:tcBorders>
              <w:top w:val="single" w:sz="6" w:space="0" w:color="auto"/>
              <w:left w:val="single" w:sz="6" w:space="0" w:color="auto"/>
              <w:bottom w:val="single" w:sz="6" w:space="0" w:color="auto"/>
              <w:right w:val="single" w:sz="6" w:space="0" w:color="auto"/>
            </w:tcBorders>
            <w:shd w:val="clear" w:color="auto" w:fill="C0C0C0"/>
          </w:tcPr>
          <w:p w14:paraId="13F51B8A" w14:textId="77777777" w:rsidR="00F525B2" w:rsidRDefault="00F525B2" w:rsidP="009B329F">
            <w:pPr>
              <w:pStyle w:val="TAH"/>
              <w:ind w:left="400" w:hanging="400"/>
            </w:pPr>
            <w:r>
              <w:t>Description</w:t>
            </w:r>
          </w:p>
        </w:tc>
        <w:tc>
          <w:tcPr>
            <w:tcW w:w="1837" w:type="dxa"/>
            <w:tcBorders>
              <w:top w:val="single" w:sz="6" w:space="0" w:color="auto"/>
              <w:left w:val="single" w:sz="6" w:space="0" w:color="auto"/>
              <w:bottom w:val="single" w:sz="6" w:space="0" w:color="auto"/>
              <w:right w:val="single" w:sz="6" w:space="0" w:color="auto"/>
            </w:tcBorders>
            <w:shd w:val="clear" w:color="auto" w:fill="C0C0C0"/>
          </w:tcPr>
          <w:p w14:paraId="3D2E26CB" w14:textId="77777777" w:rsidR="00F525B2" w:rsidRDefault="00F525B2" w:rsidP="009B329F">
            <w:pPr>
              <w:pStyle w:val="TAH"/>
              <w:ind w:left="400" w:hanging="400"/>
            </w:pPr>
            <w:r>
              <w:t>Applicability</w:t>
            </w:r>
          </w:p>
        </w:tc>
      </w:tr>
      <w:tr w:rsidR="00F525B2" w14:paraId="1E12CE85"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B57B3AE" w14:textId="77777777" w:rsidR="00F525B2" w:rsidRDefault="00F525B2" w:rsidP="009B329F">
            <w:pPr>
              <w:pStyle w:val="TAL"/>
              <w:rPr>
                <w:lang w:eastAsia="zh-CN"/>
              </w:rPr>
            </w:pPr>
            <w:r>
              <w:rPr>
                <w:rFonts w:hint="eastAsia"/>
                <w:lang w:eastAsia="zh-CN"/>
              </w:rPr>
              <w:t>q</w:t>
            </w:r>
            <w:r>
              <w:rPr>
                <w:lang w:eastAsia="zh-CN"/>
              </w:rPr>
              <w:t>osParamSetId</w:t>
            </w:r>
          </w:p>
        </w:tc>
        <w:tc>
          <w:tcPr>
            <w:tcW w:w="1752" w:type="dxa"/>
            <w:tcBorders>
              <w:top w:val="single" w:sz="6" w:space="0" w:color="auto"/>
              <w:left w:val="single" w:sz="6" w:space="0" w:color="auto"/>
              <w:bottom w:val="single" w:sz="6" w:space="0" w:color="auto"/>
              <w:right w:val="single" w:sz="6" w:space="0" w:color="auto"/>
            </w:tcBorders>
          </w:tcPr>
          <w:p w14:paraId="4E950416" w14:textId="77777777" w:rsidR="00F525B2" w:rsidRDefault="00F525B2" w:rsidP="009B329F">
            <w:pPr>
              <w:pStyle w:val="TAL"/>
              <w:rPr>
                <w:lang w:eastAsia="zh-CN"/>
              </w:rPr>
            </w:pPr>
            <w:r>
              <w:rPr>
                <w:rFonts w:hint="eastAsia"/>
                <w:lang w:eastAsia="zh-CN"/>
              </w:rPr>
              <w:t>s</w:t>
            </w:r>
            <w:r>
              <w:rPr>
                <w:lang w:eastAsia="zh-CN"/>
              </w:rPr>
              <w:t>tring</w:t>
            </w:r>
          </w:p>
        </w:tc>
        <w:tc>
          <w:tcPr>
            <w:tcW w:w="424" w:type="dxa"/>
            <w:tcBorders>
              <w:top w:val="single" w:sz="6" w:space="0" w:color="auto"/>
              <w:left w:val="single" w:sz="6" w:space="0" w:color="auto"/>
              <w:bottom w:val="single" w:sz="6" w:space="0" w:color="auto"/>
              <w:right w:val="single" w:sz="6" w:space="0" w:color="auto"/>
            </w:tcBorders>
          </w:tcPr>
          <w:p w14:paraId="45CA8CB8" w14:textId="77777777" w:rsidR="00F525B2" w:rsidRDefault="00F525B2" w:rsidP="009B329F">
            <w:pPr>
              <w:pStyle w:val="TAC"/>
              <w:rPr>
                <w:lang w:eastAsia="zh-CN"/>
              </w:rPr>
            </w:pPr>
            <w:r>
              <w:rPr>
                <w:lang w:eastAsia="zh-CN"/>
              </w:rPr>
              <w:t>C</w:t>
            </w:r>
          </w:p>
        </w:tc>
        <w:tc>
          <w:tcPr>
            <w:tcW w:w="1130" w:type="dxa"/>
            <w:tcBorders>
              <w:top w:val="single" w:sz="6" w:space="0" w:color="auto"/>
              <w:left w:val="single" w:sz="6" w:space="0" w:color="auto"/>
              <w:bottom w:val="single" w:sz="6" w:space="0" w:color="auto"/>
              <w:right w:val="single" w:sz="6" w:space="0" w:color="auto"/>
            </w:tcBorders>
          </w:tcPr>
          <w:p w14:paraId="068548B0"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4242333F" w14:textId="77777777" w:rsidR="00F525B2" w:rsidRDefault="00F525B2" w:rsidP="009B329F">
            <w:pPr>
              <w:pStyle w:val="TAL"/>
            </w:pPr>
            <w:r w:rsidRPr="002C3E8D">
              <w:t>QoS parameter set</w:t>
            </w:r>
            <w:r>
              <w:t xml:space="preserve"> identifier which can be used to identify a set of QoS parameters.</w:t>
            </w:r>
          </w:p>
          <w:p w14:paraId="00B4D148" w14:textId="77777777" w:rsidR="00F525B2" w:rsidRDefault="00F525B2" w:rsidP="009B329F">
            <w:pPr>
              <w:pStyle w:val="TAL"/>
            </w:pPr>
          </w:p>
          <w:p w14:paraId="33CD5F05" w14:textId="77777777" w:rsidR="00F525B2" w:rsidRPr="00C03F7D" w:rsidRDefault="00F525B2" w:rsidP="009B329F">
            <w:pPr>
              <w:pStyle w:val="TAL"/>
            </w:pPr>
            <w:r>
              <w:rPr>
                <w:rFonts w:cs="Arial"/>
                <w:szCs w:val="18"/>
                <w:lang w:eastAsia="zh-CN"/>
              </w:rPr>
              <w:t>Shall be provided in the report when the “qosParamSetId” attribute is included in the request message.</w:t>
            </w:r>
          </w:p>
        </w:tc>
        <w:tc>
          <w:tcPr>
            <w:tcW w:w="1837" w:type="dxa"/>
            <w:tcBorders>
              <w:top w:val="single" w:sz="6" w:space="0" w:color="auto"/>
              <w:left w:val="single" w:sz="6" w:space="0" w:color="auto"/>
              <w:bottom w:val="single" w:sz="6" w:space="0" w:color="auto"/>
              <w:right w:val="single" w:sz="6" w:space="0" w:color="auto"/>
            </w:tcBorders>
          </w:tcPr>
          <w:p w14:paraId="68C30E91" w14:textId="77777777" w:rsidR="00F525B2" w:rsidRDefault="00F525B2" w:rsidP="009B329F">
            <w:pPr>
              <w:pStyle w:val="TAL"/>
              <w:rPr>
                <w:rFonts w:cs="Arial"/>
                <w:szCs w:val="18"/>
              </w:rPr>
            </w:pPr>
          </w:p>
        </w:tc>
      </w:tr>
      <w:tr w:rsidR="00F525B2" w14:paraId="24E50B2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2898D72" w14:textId="77777777" w:rsidR="00F525B2" w:rsidRDefault="00F525B2" w:rsidP="009B329F">
            <w:pPr>
              <w:pStyle w:val="TAL"/>
              <w:rPr>
                <w:lang w:eastAsia="zh-CN"/>
              </w:rPr>
            </w:pPr>
            <w:r>
              <w:rPr>
                <w:rFonts w:hint="eastAsia"/>
                <w:lang w:eastAsia="zh-CN"/>
              </w:rPr>
              <w:t>5</w:t>
            </w:r>
            <w:r>
              <w:rPr>
                <w:lang w:eastAsia="zh-CN"/>
              </w:rPr>
              <w:t>qi</w:t>
            </w:r>
          </w:p>
        </w:tc>
        <w:tc>
          <w:tcPr>
            <w:tcW w:w="1752" w:type="dxa"/>
            <w:tcBorders>
              <w:top w:val="single" w:sz="6" w:space="0" w:color="auto"/>
              <w:left w:val="single" w:sz="6" w:space="0" w:color="auto"/>
              <w:bottom w:val="single" w:sz="6" w:space="0" w:color="auto"/>
              <w:right w:val="single" w:sz="6" w:space="0" w:color="auto"/>
            </w:tcBorders>
          </w:tcPr>
          <w:p w14:paraId="0204330C" w14:textId="77777777" w:rsidR="00F525B2" w:rsidRDefault="00F525B2" w:rsidP="009B329F">
            <w:pPr>
              <w:pStyle w:val="TAL"/>
              <w:rPr>
                <w:lang w:eastAsia="zh-CN"/>
              </w:rPr>
            </w:pPr>
            <w:r>
              <w:t>5Qi</w:t>
            </w:r>
          </w:p>
        </w:tc>
        <w:tc>
          <w:tcPr>
            <w:tcW w:w="424" w:type="dxa"/>
            <w:tcBorders>
              <w:top w:val="single" w:sz="6" w:space="0" w:color="auto"/>
              <w:left w:val="single" w:sz="6" w:space="0" w:color="auto"/>
              <w:bottom w:val="single" w:sz="6" w:space="0" w:color="auto"/>
              <w:right w:val="single" w:sz="6" w:space="0" w:color="auto"/>
            </w:tcBorders>
          </w:tcPr>
          <w:p w14:paraId="762704A9"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1EAB52B"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34350112" w14:textId="77777777" w:rsidR="00F525B2" w:rsidRDefault="00F525B2" w:rsidP="009B329F">
            <w:pPr>
              <w:pStyle w:val="TAL"/>
            </w:pPr>
            <w:r>
              <w:t>The</w:t>
            </w:r>
            <w:r w:rsidRPr="003059F4">
              <w:t xml:space="preserve"> 5G QoS Identifier.</w:t>
            </w:r>
          </w:p>
          <w:p w14:paraId="7076F032" w14:textId="77777777" w:rsidR="00F525B2" w:rsidRDefault="00F525B2" w:rsidP="009B329F">
            <w:pPr>
              <w:pStyle w:val="TAL"/>
              <w:rPr>
                <w:rFonts w:cs="Arial"/>
                <w:szCs w:val="18"/>
                <w:lang w:eastAsia="zh-CN"/>
              </w:rPr>
            </w:pPr>
            <w:r>
              <w:t>(NOTE</w:t>
            </w:r>
            <w:r w:rsidRPr="003B6502">
              <w:t> 1</w:t>
            </w:r>
            <w:r>
              <w:t>)</w:t>
            </w:r>
          </w:p>
        </w:tc>
        <w:tc>
          <w:tcPr>
            <w:tcW w:w="1837" w:type="dxa"/>
            <w:tcBorders>
              <w:top w:val="single" w:sz="6" w:space="0" w:color="auto"/>
              <w:left w:val="single" w:sz="6" w:space="0" w:color="auto"/>
              <w:bottom w:val="single" w:sz="6" w:space="0" w:color="auto"/>
              <w:right w:val="single" w:sz="6" w:space="0" w:color="auto"/>
            </w:tcBorders>
          </w:tcPr>
          <w:p w14:paraId="1DE99425" w14:textId="77777777" w:rsidR="00F525B2" w:rsidRDefault="00F525B2" w:rsidP="009B329F">
            <w:pPr>
              <w:pStyle w:val="TAL"/>
              <w:rPr>
                <w:rFonts w:cs="Arial"/>
                <w:szCs w:val="18"/>
              </w:rPr>
            </w:pPr>
          </w:p>
        </w:tc>
      </w:tr>
      <w:tr w:rsidR="00F525B2" w14:paraId="609C79E3"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1E9F4D2" w14:textId="77777777" w:rsidR="00F525B2" w:rsidRDefault="00F525B2" w:rsidP="009B329F">
            <w:pPr>
              <w:pStyle w:val="TAL"/>
              <w:rPr>
                <w:lang w:eastAsia="zh-CN"/>
              </w:rPr>
            </w:pPr>
            <w:r>
              <w:rPr>
                <w:lang w:eastAsia="zh-CN"/>
              </w:rPr>
              <w:t>priorityLvl</w:t>
            </w:r>
          </w:p>
        </w:tc>
        <w:tc>
          <w:tcPr>
            <w:tcW w:w="1752" w:type="dxa"/>
            <w:tcBorders>
              <w:top w:val="single" w:sz="6" w:space="0" w:color="auto"/>
              <w:left w:val="single" w:sz="6" w:space="0" w:color="auto"/>
              <w:bottom w:val="single" w:sz="6" w:space="0" w:color="auto"/>
              <w:right w:val="single" w:sz="6" w:space="0" w:color="auto"/>
            </w:tcBorders>
          </w:tcPr>
          <w:p w14:paraId="0761D65D" w14:textId="77777777" w:rsidR="00F525B2" w:rsidRDefault="00F525B2" w:rsidP="009B329F">
            <w:pPr>
              <w:pStyle w:val="TAL"/>
              <w:rPr>
                <w:lang w:eastAsia="zh-CN"/>
              </w:rPr>
            </w:pPr>
            <w:r w:rsidRPr="00F11966">
              <w:t>5QiPriorityLevel</w:t>
            </w:r>
          </w:p>
        </w:tc>
        <w:tc>
          <w:tcPr>
            <w:tcW w:w="424" w:type="dxa"/>
            <w:tcBorders>
              <w:top w:val="single" w:sz="6" w:space="0" w:color="auto"/>
              <w:left w:val="single" w:sz="6" w:space="0" w:color="auto"/>
              <w:bottom w:val="single" w:sz="6" w:space="0" w:color="auto"/>
              <w:right w:val="single" w:sz="6" w:space="0" w:color="auto"/>
            </w:tcBorders>
          </w:tcPr>
          <w:p w14:paraId="4F69587F"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1774DF24"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79A1188E" w14:textId="77777777" w:rsidR="00F525B2" w:rsidRPr="0076721C" w:rsidRDefault="00F525B2" w:rsidP="009B329F">
            <w:pPr>
              <w:pStyle w:val="TAL"/>
              <w:rPr>
                <w:rFonts w:eastAsia="等线"/>
                <w:lang w:eastAsia="zh-CN"/>
              </w:rPr>
            </w:pPr>
            <w:r>
              <w:t>The</w:t>
            </w:r>
            <w:r w:rsidRPr="003059F4">
              <w:t xml:space="preserve"> 5QI Priority Level.</w:t>
            </w:r>
          </w:p>
        </w:tc>
        <w:tc>
          <w:tcPr>
            <w:tcW w:w="1837" w:type="dxa"/>
            <w:tcBorders>
              <w:top w:val="single" w:sz="6" w:space="0" w:color="auto"/>
              <w:left w:val="single" w:sz="6" w:space="0" w:color="auto"/>
              <w:bottom w:val="single" w:sz="6" w:space="0" w:color="auto"/>
              <w:right w:val="single" w:sz="6" w:space="0" w:color="auto"/>
            </w:tcBorders>
          </w:tcPr>
          <w:p w14:paraId="3437ED6F" w14:textId="77777777" w:rsidR="00F525B2" w:rsidRDefault="00F525B2" w:rsidP="009B329F">
            <w:pPr>
              <w:pStyle w:val="TAL"/>
              <w:rPr>
                <w:rFonts w:cs="Arial"/>
                <w:szCs w:val="18"/>
              </w:rPr>
            </w:pPr>
          </w:p>
        </w:tc>
      </w:tr>
      <w:tr w:rsidR="00F525B2" w14:paraId="3427573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DFCED00" w14:textId="77777777" w:rsidR="00F525B2" w:rsidRDefault="00F525B2" w:rsidP="009B329F">
            <w:pPr>
              <w:pStyle w:val="TAL"/>
              <w:rPr>
                <w:lang w:eastAsia="zh-CN"/>
              </w:rPr>
            </w:pPr>
            <w:r>
              <w:rPr>
                <w:rFonts w:hint="eastAsia"/>
                <w:lang w:eastAsia="zh-CN"/>
              </w:rPr>
              <w:t>r</w:t>
            </w:r>
            <w:r>
              <w:rPr>
                <w:lang w:eastAsia="zh-CN"/>
              </w:rPr>
              <w:t>scType</w:t>
            </w:r>
          </w:p>
        </w:tc>
        <w:tc>
          <w:tcPr>
            <w:tcW w:w="1752" w:type="dxa"/>
            <w:tcBorders>
              <w:top w:val="single" w:sz="6" w:space="0" w:color="auto"/>
              <w:left w:val="single" w:sz="6" w:space="0" w:color="auto"/>
              <w:bottom w:val="single" w:sz="6" w:space="0" w:color="auto"/>
              <w:right w:val="single" w:sz="6" w:space="0" w:color="auto"/>
            </w:tcBorders>
          </w:tcPr>
          <w:p w14:paraId="1B1D1CA7" w14:textId="77777777" w:rsidR="00F525B2" w:rsidRDefault="00F525B2" w:rsidP="009B329F">
            <w:pPr>
              <w:pStyle w:val="TAL"/>
              <w:rPr>
                <w:lang w:eastAsia="zh-CN"/>
              </w:rPr>
            </w:pPr>
            <w:r w:rsidRPr="00F11966">
              <w:t>QosResourceType</w:t>
            </w:r>
          </w:p>
        </w:tc>
        <w:tc>
          <w:tcPr>
            <w:tcW w:w="424" w:type="dxa"/>
            <w:tcBorders>
              <w:top w:val="single" w:sz="6" w:space="0" w:color="auto"/>
              <w:left w:val="single" w:sz="6" w:space="0" w:color="auto"/>
              <w:bottom w:val="single" w:sz="6" w:space="0" w:color="auto"/>
              <w:right w:val="single" w:sz="6" w:space="0" w:color="auto"/>
            </w:tcBorders>
          </w:tcPr>
          <w:p w14:paraId="46E0EBB0"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DBEA18B"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5482CD5" w14:textId="77777777" w:rsidR="00F525B2" w:rsidRDefault="00F525B2" w:rsidP="009B329F">
            <w:pPr>
              <w:pStyle w:val="TAL"/>
              <w:rPr>
                <w:rFonts w:cs="Arial"/>
                <w:szCs w:val="18"/>
              </w:rPr>
            </w:pPr>
            <w:r>
              <w:rPr>
                <w:noProof/>
                <w:szCs w:val="18"/>
              </w:rPr>
              <w:t>T</w:t>
            </w:r>
            <w:r w:rsidRPr="00F11966">
              <w:rPr>
                <w:noProof/>
                <w:szCs w:val="18"/>
              </w:rPr>
              <w:t>he 5QI resource type.</w:t>
            </w:r>
          </w:p>
        </w:tc>
        <w:tc>
          <w:tcPr>
            <w:tcW w:w="1837" w:type="dxa"/>
            <w:tcBorders>
              <w:top w:val="single" w:sz="6" w:space="0" w:color="auto"/>
              <w:left w:val="single" w:sz="6" w:space="0" w:color="auto"/>
              <w:bottom w:val="single" w:sz="6" w:space="0" w:color="auto"/>
              <w:right w:val="single" w:sz="6" w:space="0" w:color="auto"/>
            </w:tcBorders>
          </w:tcPr>
          <w:p w14:paraId="4CECD154" w14:textId="77777777" w:rsidR="00F525B2" w:rsidRDefault="00F525B2" w:rsidP="009B329F">
            <w:pPr>
              <w:pStyle w:val="TAL"/>
              <w:rPr>
                <w:rFonts w:cs="Arial"/>
                <w:szCs w:val="18"/>
              </w:rPr>
            </w:pPr>
          </w:p>
        </w:tc>
      </w:tr>
      <w:tr w:rsidR="00F525B2" w14:paraId="030D27A9"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4498855" w14:textId="77777777" w:rsidR="00F525B2" w:rsidRDefault="00F525B2" w:rsidP="009B329F">
            <w:pPr>
              <w:pStyle w:val="TAL"/>
              <w:rPr>
                <w:lang w:eastAsia="zh-CN"/>
              </w:rPr>
            </w:pPr>
            <w:r>
              <w:rPr>
                <w:rFonts w:hint="eastAsia"/>
                <w:lang w:eastAsia="zh-CN"/>
              </w:rPr>
              <w:t>p</w:t>
            </w:r>
            <w:r>
              <w:rPr>
                <w:lang w:eastAsia="zh-CN"/>
              </w:rPr>
              <w:t>db</w:t>
            </w:r>
          </w:p>
        </w:tc>
        <w:tc>
          <w:tcPr>
            <w:tcW w:w="1752" w:type="dxa"/>
            <w:tcBorders>
              <w:top w:val="single" w:sz="6" w:space="0" w:color="auto"/>
              <w:left w:val="single" w:sz="6" w:space="0" w:color="auto"/>
              <w:bottom w:val="single" w:sz="6" w:space="0" w:color="auto"/>
              <w:right w:val="single" w:sz="6" w:space="0" w:color="auto"/>
            </w:tcBorders>
          </w:tcPr>
          <w:p w14:paraId="74001D49" w14:textId="77777777" w:rsidR="00F525B2" w:rsidRDefault="00F525B2" w:rsidP="009B329F">
            <w:pPr>
              <w:pStyle w:val="TAL"/>
              <w:rPr>
                <w:lang w:eastAsia="zh-CN"/>
              </w:rPr>
            </w:pPr>
            <w:r w:rsidRPr="00F9618C">
              <w:rPr>
                <w:lang w:eastAsia="zh-CN"/>
              </w:rPr>
              <w:t>PacketDelBudget</w:t>
            </w:r>
          </w:p>
        </w:tc>
        <w:tc>
          <w:tcPr>
            <w:tcW w:w="424" w:type="dxa"/>
            <w:tcBorders>
              <w:top w:val="single" w:sz="6" w:space="0" w:color="auto"/>
              <w:left w:val="single" w:sz="6" w:space="0" w:color="auto"/>
              <w:bottom w:val="single" w:sz="6" w:space="0" w:color="auto"/>
              <w:right w:val="single" w:sz="6" w:space="0" w:color="auto"/>
            </w:tcBorders>
          </w:tcPr>
          <w:p w14:paraId="437075C0"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4C6226E2"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C7A87A9" w14:textId="77777777" w:rsidR="00F525B2" w:rsidRDefault="00F525B2" w:rsidP="009B329F">
            <w:pPr>
              <w:pStyle w:val="TAL"/>
              <w:rPr>
                <w:rFonts w:cs="Arial"/>
                <w:szCs w:val="18"/>
              </w:rPr>
            </w:pPr>
            <w:r>
              <w:rPr>
                <w:noProof/>
                <w:szCs w:val="18"/>
              </w:rPr>
              <w:t>T</w:t>
            </w:r>
            <w:r w:rsidRPr="00F11966">
              <w:rPr>
                <w:noProof/>
                <w:szCs w:val="18"/>
              </w:rPr>
              <w:t>he packet delay budget.</w:t>
            </w:r>
          </w:p>
        </w:tc>
        <w:tc>
          <w:tcPr>
            <w:tcW w:w="1837" w:type="dxa"/>
            <w:tcBorders>
              <w:top w:val="single" w:sz="6" w:space="0" w:color="auto"/>
              <w:left w:val="single" w:sz="6" w:space="0" w:color="auto"/>
              <w:bottom w:val="single" w:sz="6" w:space="0" w:color="auto"/>
              <w:right w:val="single" w:sz="6" w:space="0" w:color="auto"/>
            </w:tcBorders>
          </w:tcPr>
          <w:p w14:paraId="33B35D40" w14:textId="77777777" w:rsidR="00F525B2" w:rsidRDefault="00F525B2" w:rsidP="009B329F">
            <w:pPr>
              <w:pStyle w:val="TAL"/>
              <w:rPr>
                <w:rFonts w:cs="Arial"/>
                <w:szCs w:val="18"/>
              </w:rPr>
            </w:pPr>
          </w:p>
        </w:tc>
      </w:tr>
      <w:tr w:rsidR="00F525B2" w14:paraId="3B45257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2AB735D8" w14:textId="77777777" w:rsidR="00F525B2" w:rsidRDefault="00F525B2" w:rsidP="009B329F">
            <w:pPr>
              <w:pStyle w:val="TAL"/>
              <w:rPr>
                <w:lang w:eastAsia="zh-CN"/>
              </w:rPr>
            </w:pPr>
            <w:r>
              <w:rPr>
                <w:rFonts w:hint="eastAsia"/>
                <w:lang w:eastAsia="zh-CN"/>
              </w:rPr>
              <w:t>p</w:t>
            </w:r>
            <w:r>
              <w:rPr>
                <w:lang w:eastAsia="zh-CN"/>
              </w:rPr>
              <w:t>er</w:t>
            </w:r>
          </w:p>
        </w:tc>
        <w:tc>
          <w:tcPr>
            <w:tcW w:w="1752" w:type="dxa"/>
            <w:tcBorders>
              <w:top w:val="single" w:sz="6" w:space="0" w:color="auto"/>
              <w:left w:val="single" w:sz="6" w:space="0" w:color="auto"/>
              <w:bottom w:val="single" w:sz="6" w:space="0" w:color="auto"/>
              <w:right w:val="single" w:sz="6" w:space="0" w:color="auto"/>
            </w:tcBorders>
          </w:tcPr>
          <w:p w14:paraId="519962D5" w14:textId="77777777" w:rsidR="00F525B2" w:rsidRDefault="00F525B2" w:rsidP="009B329F">
            <w:pPr>
              <w:pStyle w:val="TAL"/>
              <w:rPr>
                <w:lang w:eastAsia="zh-CN"/>
              </w:rPr>
            </w:pPr>
            <w:r w:rsidRPr="00F9618C">
              <w:t>PacketErrRate</w:t>
            </w:r>
          </w:p>
        </w:tc>
        <w:tc>
          <w:tcPr>
            <w:tcW w:w="424" w:type="dxa"/>
            <w:tcBorders>
              <w:top w:val="single" w:sz="6" w:space="0" w:color="auto"/>
              <w:left w:val="single" w:sz="6" w:space="0" w:color="auto"/>
              <w:bottom w:val="single" w:sz="6" w:space="0" w:color="auto"/>
              <w:right w:val="single" w:sz="6" w:space="0" w:color="auto"/>
            </w:tcBorders>
          </w:tcPr>
          <w:p w14:paraId="04715B2D"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BC38001"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61251BF" w14:textId="77777777" w:rsidR="00F525B2" w:rsidRDefault="00F525B2" w:rsidP="009B329F">
            <w:pPr>
              <w:pStyle w:val="TAL"/>
              <w:rPr>
                <w:rFonts w:cs="Arial"/>
                <w:szCs w:val="18"/>
              </w:rPr>
            </w:pPr>
            <w:r>
              <w:rPr>
                <w:noProof/>
                <w:szCs w:val="18"/>
              </w:rPr>
              <w:t>T</w:t>
            </w:r>
            <w:r w:rsidRPr="00F11966">
              <w:rPr>
                <w:noProof/>
                <w:szCs w:val="18"/>
              </w:rPr>
              <w:t>he packet error rate</w:t>
            </w:r>
            <w:r>
              <w:rPr>
                <w:noProof/>
                <w:szCs w:val="18"/>
              </w:rPr>
              <w:t>.</w:t>
            </w:r>
          </w:p>
        </w:tc>
        <w:tc>
          <w:tcPr>
            <w:tcW w:w="1837" w:type="dxa"/>
            <w:tcBorders>
              <w:top w:val="single" w:sz="6" w:space="0" w:color="auto"/>
              <w:left w:val="single" w:sz="6" w:space="0" w:color="auto"/>
              <w:bottom w:val="single" w:sz="6" w:space="0" w:color="auto"/>
              <w:right w:val="single" w:sz="6" w:space="0" w:color="auto"/>
            </w:tcBorders>
          </w:tcPr>
          <w:p w14:paraId="67D6ECBE" w14:textId="77777777" w:rsidR="00F525B2" w:rsidRDefault="00F525B2" w:rsidP="009B329F">
            <w:pPr>
              <w:pStyle w:val="TAL"/>
              <w:rPr>
                <w:rFonts w:cs="Arial"/>
                <w:szCs w:val="18"/>
              </w:rPr>
            </w:pPr>
          </w:p>
        </w:tc>
      </w:tr>
      <w:tr w:rsidR="00F525B2" w14:paraId="27BBFC90"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66BC1EE6" w14:textId="77777777" w:rsidR="00F525B2" w:rsidRDefault="00F525B2" w:rsidP="009B329F">
            <w:pPr>
              <w:pStyle w:val="TAL"/>
              <w:rPr>
                <w:lang w:eastAsia="zh-CN"/>
              </w:rPr>
            </w:pPr>
            <w:r>
              <w:rPr>
                <w:lang w:eastAsia="zh-CN"/>
              </w:rPr>
              <w:t>gbrUl</w:t>
            </w:r>
          </w:p>
        </w:tc>
        <w:tc>
          <w:tcPr>
            <w:tcW w:w="1752" w:type="dxa"/>
            <w:tcBorders>
              <w:top w:val="single" w:sz="6" w:space="0" w:color="auto"/>
              <w:left w:val="single" w:sz="6" w:space="0" w:color="auto"/>
              <w:bottom w:val="single" w:sz="6" w:space="0" w:color="auto"/>
              <w:right w:val="single" w:sz="6" w:space="0" w:color="auto"/>
            </w:tcBorders>
          </w:tcPr>
          <w:p w14:paraId="59FA4C5F"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7250CB26"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208E6D90"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130DF16D" w14:textId="77777777" w:rsidR="00F525B2" w:rsidRDefault="00F525B2" w:rsidP="009B329F">
            <w:pPr>
              <w:pStyle w:val="TAL"/>
            </w:pPr>
            <w:r>
              <w:t>The Guaranteed Bit Rate for UL.</w:t>
            </w:r>
          </w:p>
          <w:p w14:paraId="18F39A59"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54750134" w14:textId="77777777" w:rsidR="00F525B2" w:rsidRDefault="00F525B2" w:rsidP="009B329F">
            <w:pPr>
              <w:pStyle w:val="TAL"/>
              <w:rPr>
                <w:rFonts w:cs="Arial"/>
                <w:szCs w:val="18"/>
              </w:rPr>
            </w:pPr>
          </w:p>
        </w:tc>
      </w:tr>
      <w:tr w:rsidR="00F525B2" w14:paraId="3AB6B2FB"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71D4DD87" w14:textId="77777777" w:rsidR="00F525B2" w:rsidRDefault="00F525B2" w:rsidP="009B329F">
            <w:pPr>
              <w:pStyle w:val="TAL"/>
              <w:rPr>
                <w:lang w:eastAsia="zh-CN"/>
              </w:rPr>
            </w:pPr>
            <w:r>
              <w:rPr>
                <w:lang w:eastAsia="zh-CN"/>
              </w:rPr>
              <w:t>gbrDl</w:t>
            </w:r>
          </w:p>
        </w:tc>
        <w:tc>
          <w:tcPr>
            <w:tcW w:w="1752" w:type="dxa"/>
            <w:tcBorders>
              <w:top w:val="single" w:sz="6" w:space="0" w:color="auto"/>
              <w:left w:val="single" w:sz="6" w:space="0" w:color="auto"/>
              <w:bottom w:val="single" w:sz="6" w:space="0" w:color="auto"/>
              <w:right w:val="single" w:sz="6" w:space="0" w:color="auto"/>
            </w:tcBorders>
          </w:tcPr>
          <w:p w14:paraId="0E436D3F"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4BC2BE43"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909E8E9"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5C38DA94" w14:textId="77777777" w:rsidR="00F525B2" w:rsidRDefault="00F525B2" w:rsidP="009B329F">
            <w:pPr>
              <w:pStyle w:val="TAL"/>
            </w:pPr>
            <w:r>
              <w:t>The Guaranteed Bit Rate for DL.</w:t>
            </w:r>
          </w:p>
          <w:p w14:paraId="0C2658DA"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362B6B0D" w14:textId="77777777" w:rsidR="00F525B2" w:rsidRDefault="00F525B2" w:rsidP="009B329F">
            <w:pPr>
              <w:pStyle w:val="TAL"/>
              <w:rPr>
                <w:rFonts w:cs="Arial"/>
                <w:szCs w:val="18"/>
              </w:rPr>
            </w:pPr>
          </w:p>
        </w:tc>
      </w:tr>
      <w:tr w:rsidR="00F525B2" w14:paraId="7CAB07F8"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DFD182F" w14:textId="77777777" w:rsidR="00F525B2" w:rsidRDefault="00F525B2" w:rsidP="009B329F">
            <w:pPr>
              <w:pStyle w:val="TAL"/>
              <w:rPr>
                <w:lang w:eastAsia="zh-CN"/>
              </w:rPr>
            </w:pPr>
            <w:r>
              <w:rPr>
                <w:lang w:eastAsia="zh-CN"/>
              </w:rPr>
              <w:t>mbrUl</w:t>
            </w:r>
          </w:p>
        </w:tc>
        <w:tc>
          <w:tcPr>
            <w:tcW w:w="1752" w:type="dxa"/>
            <w:tcBorders>
              <w:top w:val="single" w:sz="6" w:space="0" w:color="auto"/>
              <w:left w:val="single" w:sz="6" w:space="0" w:color="auto"/>
              <w:bottom w:val="single" w:sz="6" w:space="0" w:color="auto"/>
              <w:right w:val="single" w:sz="6" w:space="0" w:color="auto"/>
            </w:tcBorders>
          </w:tcPr>
          <w:p w14:paraId="4195841D"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1FFA197D"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58B098CA"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9E2690F" w14:textId="77777777" w:rsidR="00F525B2" w:rsidRDefault="00F525B2" w:rsidP="009B329F">
            <w:pPr>
              <w:pStyle w:val="TAL"/>
            </w:pPr>
            <w:r>
              <w:t>The Maximum Bit Rate for UL.</w:t>
            </w:r>
          </w:p>
          <w:p w14:paraId="4DE51899"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68ED8F9A" w14:textId="77777777" w:rsidR="00F525B2" w:rsidRDefault="00F525B2" w:rsidP="009B329F">
            <w:pPr>
              <w:pStyle w:val="TAL"/>
              <w:rPr>
                <w:rFonts w:cs="Arial"/>
                <w:szCs w:val="18"/>
              </w:rPr>
            </w:pPr>
          </w:p>
        </w:tc>
      </w:tr>
      <w:tr w:rsidR="00F525B2" w14:paraId="1D77DE0A"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485DAD0E" w14:textId="77777777" w:rsidR="00F525B2" w:rsidRDefault="00F525B2" w:rsidP="009B329F">
            <w:pPr>
              <w:pStyle w:val="TAL"/>
              <w:rPr>
                <w:lang w:eastAsia="zh-CN"/>
              </w:rPr>
            </w:pPr>
            <w:r>
              <w:rPr>
                <w:lang w:eastAsia="zh-CN"/>
              </w:rPr>
              <w:t>mbrDl</w:t>
            </w:r>
          </w:p>
        </w:tc>
        <w:tc>
          <w:tcPr>
            <w:tcW w:w="1752" w:type="dxa"/>
            <w:tcBorders>
              <w:top w:val="single" w:sz="6" w:space="0" w:color="auto"/>
              <w:left w:val="single" w:sz="6" w:space="0" w:color="auto"/>
              <w:bottom w:val="single" w:sz="6" w:space="0" w:color="auto"/>
              <w:right w:val="single" w:sz="6" w:space="0" w:color="auto"/>
            </w:tcBorders>
          </w:tcPr>
          <w:p w14:paraId="4CC4C495" w14:textId="77777777" w:rsidR="00F525B2" w:rsidRDefault="00F525B2" w:rsidP="009B329F">
            <w:pPr>
              <w:pStyle w:val="TAL"/>
              <w:rPr>
                <w:lang w:eastAsia="zh-CN"/>
              </w:rPr>
            </w:pPr>
            <w:r w:rsidRPr="00AB313D">
              <w:t>BitRate</w:t>
            </w:r>
          </w:p>
        </w:tc>
        <w:tc>
          <w:tcPr>
            <w:tcW w:w="424" w:type="dxa"/>
            <w:tcBorders>
              <w:top w:val="single" w:sz="6" w:space="0" w:color="auto"/>
              <w:left w:val="single" w:sz="6" w:space="0" w:color="auto"/>
              <w:bottom w:val="single" w:sz="6" w:space="0" w:color="auto"/>
              <w:right w:val="single" w:sz="6" w:space="0" w:color="auto"/>
            </w:tcBorders>
          </w:tcPr>
          <w:p w14:paraId="33B66172"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6C519AB"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0276AB5D" w14:textId="77777777" w:rsidR="00F525B2" w:rsidRDefault="00F525B2" w:rsidP="009B329F">
            <w:pPr>
              <w:pStyle w:val="TAL"/>
            </w:pPr>
            <w:r>
              <w:t>The Maximum Bit Rate for DL.</w:t>
            </w:r>
          </w:p>
          <w:p w14:paraId="1D98B42D" w14:textId="77777777" w:rsidR="00F525B2" w:rsidRDefault="00F525B2" w:rsidP="009B329F">
            <w:pPr>
              <w:pStyle w:val="TAL"/>
              <w:rPr>
                <w:rFonts w:cs="Arial"/>
                <w:szCs w:val="18"/>
              </w:rPr>
            </w:pPr>
            <w:r>
              <w:t>(NOTE 2)</w:t>
            </w:r>
          </w:p>
        </w:tc>
        <w:tc>
          <w:tcPr>
            <w:tcW w:w="1837" w:type="dxa"/>
            <w:tcBorders>
              <w:top w:val="single" w:sz="6" w:space="0" w:color="auto"/>
              <w:left w:val="single" w:sz="6" w:space="0" w:color="auto"/>
              <w:bottom w:val="single" w:sz="6" w:space="0" w:color="auto"/>
              <w:right w:val="single" w:sz="6" w:space="0" w:color="auto"/>
            </w:tcBorders>
          </w:tcPr>
          <w:p w14:paraId="0644EE55" w14:textId="77777777" w:rsidR="00F525B2" w:rsidRDefault="00F525B2" w:rsidP="009B329F">
            <w:pPr>
              <w:pStyle w:val="TAL"/>
              <w:rPr>
                <w:rFonts w:cs="Arial"/>
                <w:szCs w:val="18"/>
              </w:rPr>
            </w:pPr>
          </w:p>
        </w:tc>
      </w:tr>
      <w:tr w:rsidR="00F525B2" w14:paraId="79902D8E"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1A8DF117" w14:textId="77777777" w:rsidR="00F525B2" w:rsidRDefault="00F525B2" w:rsidP="009B329F">
            <w:pPr>
              <w:pStyle w:val="TAL"/>
              <w:rPr>
                <w:lang w:eastAsia="zh-CN"/>
              </w:rPr>
            </w:pPr>
            <w:r>
              <w:rPr>
                <w:lang w:eastAsia="zh-CN"/>
              </w:rPr>
              <w:t>maxPlrUl</w:t>
            </w:r>
          </w:p>
        </w:tc>
        <w:tc>
          <w:tcPr>
            <w:tcW w:w="1752" w:type="dxa"/>
            <w:tcBorders>
              <w:top w:val="single" w:sz="6" w:space="0" w:color="auto"/>
              <w:left w:val="single" w:sz="6" w:space="0" w:color="auto"/>
              <w:bottom w:val="single" w:sz="6" w:space="0" w:color="auto"/>
              <w:right w:val="single" w:sz="6" w:space="0" w:color="auto"/>
            </w:tcBorders>
          </w:tcPr>
          <w:p w14:paraId="5266AF75" w14:textId="77777777" w:rsidR="00F525B2" w:rsidRDefault="00F525B2" w:rsidP="009B329F">
            <w:pPr>
              <w:pStyle w:val="TAL"/>
              <w:rPr>
                <w:lang w:eastAsia="zh-CN"/>
              </w:rPr>
            </w:pPr>
            <w:r w:rsidRPr="00F11966">
              <w:t>PacketLossRate</w:t>
            </w:r>
          </w:p>
        </w:tc>
        <w:tc>
          <w:tcPr>
            <w:tcW w:w="424" w:type="dxa"/>
            <w:tcBorders>
              <w:top w:val="single" w:sz="6" w:space="0" w:color="auto"/>
              <w:left w:val="single" w:sz="6" w:space="0" w:color="auto"/>
              <w:bottom w:val="single" w:sz="6" w:space="0" w:color="auto"/>
              <w:right w:val="single" w:sz="6" w:space="0" w:color="auto"/>
            </w:tcBorders>
          </w:tcPr>
          <w:p w14:paraId="48660CDF"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0E089A09"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7B0A08A2" w14:textId="77777777" w:rsidR="00F525B2" w:rsidRDefault="00F525B2" w:rsidP="009B329F">
            <w:pPr>
              <w:pStyle w:val="TAL"/>
              <w:rPr>
                <w:rFonts w:cs="Arial"/>
                <w:szCs w:val="18"/>
                <w:lang w:eastAsia="zh-CN"/>
              </w:rPr>
            </w:pPr>
            <w:r>
              <w:rPr>
                <w:rFonts w:cs="Arial"/>
                <w:szCs w:val="18"/>
                <w:lang w:eastAsia="zh-CN"/>
              </w:rPr>
              <w:t xml:space="preserve">The </w:t>
            </w:r>
            <w:r>
              <w:t>Maximum Packet Loss Rate for UL.</w:t>
            </w:r>
          </w:p>
        </w:tc>
        <w:tc>
          <w:tcPr>
            <w:tcW w:w="1837" w:type="dxa"/>
            <w:tcBorders>
              <w:top w:val="single" w:sz="6" w:space="0" w:color="auto"/>
              <w:left w:val="single" w:sz="6" w:space="0" w:color="auto"/>
              <w:bottom w:val="single" w:sz="6" w:space="0" w:color="auto"/>
              <w:right w:val="single" w:sz="6" w:space="0" w:color="auto"/>
            </w:tcBorders>
          </w:tcPr>
          <w:p w14:paraId="4AFA25FD" w14:textId="77777777" w:rsidR="00F525B2" w:rsidRDefault="00F525B2" w:rsidP="009B329F">
            <w:pPr>
              <w:pStyle w:val="TAL"/>
              <w:rPr>
                <w:rFonts w:cs="Arial"/>
                <w:szCs w:val="18"/>
              </w:rPr>
            </w:pPr>
          </w:p>
        </w:tc>
      </w:tr>
      <w:tr w:rsidR="00F525B2" w14:paraId="64900EC1"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2B3087D7" w14:textId="77777777" w:rsidR="00F525B2" w:rsidRDefault="00F525B2" w:rsidP="009B329F">
            <w:pPr>
              <w:pStyle w:val="TAL"/>
              <w:rPr>
                <w:lang w:eastAsia="zh-CN"/>
              </w:rPr>
            </w:pPr>
            <w:r>
              <w:rPr>
                <w:lang w:eastAsia="zh-CN"/>
              </w:rPr>
              <w:t>maxPlrDl</w:t>
            </w:r>
          </w:p>
        </w:tc>
        <w:tc>
          <w:tcPr>
            <w:tcW w:w="1752" w:type="dxa"/>
            <w:tcBorders>
              <w:top w:val="single" w:sz="6" w:space="0" w:color="auto"/>
              <w:left w:val="single" w:sz="6" w:space="0" w:color="auto"/>
              <w:bottom w:val="single" w:sz="6" w:space="0" w:color="auto"/>
              <w:right w:val="single" w:sz="6" w:space="0" w:color="auto"/>
            </w:tcBorders>
          </w:tcPr>
          <w:p w14:paraId="7FD80244" w14:textId="77777777" w:rsidR="00F525B2" w:rsidRPr="00F11966" w:rsidRDefault="00F525B2" w:rsidP="009B329F">
            <w:pPr>
              <w:pStyle w:val="TAL"/>
            </w:pPr>
            <w:r w:rsidRPr="00F11966">
              <w:t>PacketLossRate</w:t>
            </w:r>
          </w:p>
        </w:tc>
        <w:tc>
          <w:tcPr>
            <w:tcW w:w="424" w:type="dxa"/>
            <w:tcBorders>
              <w:top w:val="single" w:sz="6" w:space="0" w:color="auto"/>
              <w:left w:val="single" w:sz="6" w:space="0" w:color="auto"/>
              <w:bottom w:val="single" w:sz="6" w:space="0" w:color="auto"/>
              <w:right w:val="single" w:sz="6" w:space="0" w:color="auto"/>
            </w:tcBorders>
          </w:tcPr>
          <w:p w14:paraId="1CDBEFA1" w14:textId="77777777" w:rsidR="00F525B2" w:rsidRDefault="00F525B2" w:rsidP="009B329F">
            <w:pPr>
              <w:pStyle w:val="TAC"/>
            </w:pPr>
            <w:r>
              <w:t>O</w:t>
            </w:r>
          </w:p>
        </w:tc>
        <w:tc>
          <w:tcPr>
            <w:tcW w:w="1130" w:type="dxa"/>
            <w:tcBorders>
              <w:top w:val="single" w:sz="6" w:space="0" w:color="auto"/>
              <w:left w:val="single" w:sz="6" w:space="0" w:color="auto"/>
              <w:bottom w:val="single" w:sz="6" w:space="0" w:color="auto"/>
              <w:right w:val="single" w:sz="6" w:space="0" w:color="auto"/>
            </w:tcBorders>
          </w:tcPr>
          <w:p w14:paraId="3C84AFF5" w14:textId="77777777" w:rsidR="00F525B2" w:rsidRDefault="00F525B2" w:rsidP="009B329F">
            <w:pPr>
              <w:pStyle w:val="TAL"/>
              <w:jc w:val="center"/>
            </w:pPr>
            <w:r>
              <w:t>0..1</w:t>
            </w:r>
          </w:p>
        </w:tc>
        <w:tc>
          <w:tcPr>
            <w:tcW w:w="2845" w:type="dxa"/>
            <w:tcBorders>
              <w:top w:val="single" w:sz="6" w:space="0" w:color="auto"/>
              <w:left w:val="single" w:sz="6" w:space="0" w:color="auto"/>
              <w:bottom w:val="single" w:sz="6" w:space="0" w:color="auto"/>
              <w:right w:val="single" w:sz="6" w:space="0" w:color="auto"/>
            </w:tcBorders>
          </w:tcPr>
          <w:p w14:paraId="495F13E2" w14:textId="77777777" w:rsidR="00F525B2" w:rsidRDefault="00F525B2" w:rsidP="009B329F">
            <w:pPr>
              <w:pStyle w:val="TAL"/>
              <w:rPr>
                <w:rFonts w:cs="Arial"/>
                <w:szCs w:val="18"/>
                <w:lang w:eastAsia="zh-CN"/>
              </w:rPr>
            </w:pPr>
            <w:r>
              <w:rPr>
                <w:rFonts w:cs="Arial"/>
                <w:szCs w:val="18"/>
                <w:lang w:eastAsia="zh-CN"/>
              </w:rPr>
              <w:t xml:space="preserve">The </w:t>
            </w:r>
            <w:r>
              <w:t>Maximum Packet Loss Rate for DL.</w:t>
            </w:r>
          </w:p>
        </w:tc>
        <w:tc>
          <w:tcPr>
            <w:tcW w:w="1837" w:type="dxa"/>
            <w:tcBorders>
              <w:top w:val="single" w:sz="6" w:space="0" w:color="auto"/>
              <w:left w:val="single" w:sz="6" w:space="0" w:color="auto"/>
              <w:bottom w:val="single" w:sz="6" w:space="0" w:color="auto"/>
              <w:right w:val="single" w:sz="6" w:space="0" w:color="auto"/>
            </w:tcBorders>
          </w:tcPr>
          <w:p w14:paraId="5F8AA2AF" w14:textId="77777777" w:rsidR="00F525B2" w:rsidRDefault="00F525B2" w:rsidP="009B329F">
            <w:pPr>
              <w:pStyle w:val="TAL"/>
              <w:rPr>
                <w:rFonts w:cs="Arial"/>
                <w:szCs w:val="18"/>
              </w:rPr>
            </w:pPr>
          </w:p>
        </w:tc>
      </w:tr>
      <w:tr w:rsidR="00F525B2" w14:paraId="308E4416"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0592F3A2" w14:textId="77777777" w:rsidR="00F525B2" w:rsidRDefault="00F525B2" w:rsidP="009B329F">
            <w:pPr>
              <w:pStyle w:val="TAL"/>
              <w:rPr>
                <w:lang w:eastAsia="zh-CN"/>
              </w:rPr>
            </w:pPr>
            <w:r>
              <w:rPr>
                <w:rFonts w:hint="eastAsia"/>
                <w:lang w:eastAsia="zh-CN"/>
              </w:rPr>
              <w:t>a</w:t>
            </w:r>
            <w:r>
              <w:rPr>
                <w:lang w:eastAsia="zh-CN"/>
              </w:rPr>
              <w:t>vgWin</w:t>
            </w:r>
          </w:p>
        </w:tc>
        <w:tc>
          <w:tcPr>
            <w:tcW w:w="1752" w:type="dxa"/>
            <w:tcBorders>
              <w:top w:val="single" w:sz="6" w:space="0" w:color="auto"/>
              <w:left w:val="single" w:sz="6" w:space="0" w:color="auto"/>
              <w:bottom w:val="single" w:sz="6" w:space="0" w:color="auto"/>
              <w:right w:val="single" w:sz="6" w:space="0" w:color="auto"/>
            </w:tcBorders>
          </w:tcPr>
          <w:p w14:paraId="71994871" w14:textId="77777777" w:rsidR="00F525B2" w:rsidRDefault="00F525B2" w:rsidP="009B329F">
            <w:pPr>
              <w:pStyle w:val="TAL"/>
              <w:rPr>
                <w:lang w:eastAsia="zh-CN"/>
              </w:rPr>
            </w:pPr>
            <w:r w:rsidRPr="00F11966">
              <w:t>AverWindow</w:t>
            </w:r>
          </w:p>
        </w:tc>
        <w:tc>
          <w:tcPr>
            <w:tcW w:w="424" w:type="dxa"/>
            <w:tcBorders>
              <w:top w:val="single" w:sz="6" w:space="0" w:color="auto"/>
              <w:left w:val="single" w:sz="6" w:space="0" w:color="auto"/>
              <w:bottom w:val="single" w:sz="6" w:space="0" w:color="auto"/>
              <w:right w:val="single" w:sz="6" w:space="0" w:color="auto"/>
            </w:tcBorders>
          </w:tcPr>
          <w:p w14:paraId="207D18E7"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7A312783"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4AC5C560" w14:textId="77777777" w:rsidR="00F525B2" w:rsidRDefault="00F525B2" w:rsidP="009B329F">
            <w:pPr>
              <w:pStyle w:val="TAL"/>
              <w:rPr>
                <w:rFonts w:cs="Arial"/>
                <w:szCs w:val="18"/>
              </w:rPr>
            </w:pPr>
            <w:r>
              <w:rPr>
                <w:rFonts w:cs="Arial"/>
                <w:szCs w:val="18"/>
                <w:lang w:eastAsia="zh-CN"/>
              </w:rPr>
              <w:t xml:space="preserve">The </w:t>
            </w:r>
            <w:r w:rsidRPr="00F11966">
              <w:rPr>
                <w:noProof/>
                <w:szCs w:val="18"/>
              </w:rPr>
              <w:t>averaging window</w:t>
            </w:r>
            <w:r>
              <w:rPr>
                <w:noProof/>
                <w:szCs w:val="18"/>
              </w:rPr>
              <w:t>.</w:t>
            </w:r>
          </w:p>
        </w:tc>
        <w:tc>
          <w:tcPr>
            <w:tcW w:w="1837" w:type="dxa"/>
            <w:tcBorders>
              <w:top w:val="single" w:sz="6" w:space="0" w:color="auto"/>
              <w:left w:val="single" w:sz="6" w:space="0" w:color="auto"/>
              <w:bottom w:val="single" w:sz="6" w:space="0" w:color="auto"/>
              <w:right w:val="single" w:sz="6" w:space="0" w:color="auto"/>
            </w:tcBorders>
          </w:tcPr>
          <w:p w14:paraId="2031C639" w14:textId="77777777" w:rsidR="00F525B2" w:rsidRDefault="00F525B2" w:rsidP="009B329F">
            <w:pPr>
              <w:pStyle w:val="TAL"/>
              <w:rPr>
                <w:rFonts w:cs="Arial"/>
                <w:szCs w:val="18"/>
              </w:rPr>
            </w:pPr>
          </w:p>
        </w:tc>
      </w:tr>
      <w:tr w:rsidR="00F525B2" w14:paraId="5C44C8BB" w14:textId="77777777" w:rsidTr="009B329F">
        <w:trPr>
          <w:jc w:val="center"/>
        </w:trPr>
        <w:tc>
          <w:tcPr>
            <w:tcW w:w="1552" w:type="dxa"/>
            <w:tcBorders>
              <w:top w:val="single" w:sz="6" w:space="0" w:color="auto"/>
              <w:left w:val="single" w:sz="6" w:space="0" w:color="auto"/>
              <w:bottom w:val="single" w:sz="6" w:space="0" w:color="auto"/>
              <w:right w:val="single" w:sz="6" w:space="0" w:color="auto"/>
            </w:tcBorders>
          </w:tcPr>
          <w:p w14:paraId="5CD6CF7D" w14:textId="77777777" w:rsidR="00F525B2" w:rsidRDefault="00F525B2" w:rsidP="009B329F">
            <w:pPr>
              <w:pStyle w:val="TAL"/>
              <w:rPr>
                <w:lang w:eastAsia="zh-CN"/>
              </w:rPr>
            </w:pPr>
            <w:r>
              <w:rPr>
                <w:rFonts w:hint="eastAsia"/>
                <w:lang w:eastAsia="zh-CN"/>
              </w:rPr>
              <w:t>m</w:t>
            </w:r>
            <w:r>
              <w:rPr>
                <w:lang w:eastAsia="zh-CN"/>
              </w:rPr>
              <w:t>axDataBurstVol</w:t>
            </w:r>
          </w:p>
        </w:tc>
        <w:tc>
          <w:tcPr>
            <w:tcW w:w="1752" w:type="dxa"/>
            <w:tcBorders>
              <w:top w:val="single" w:sz="6" w:space="0" w:color="auto"/>
              <w:left w:val="single" w:sz="6" w:space="0" w:color="auto"/>
              <w:bottom w:val="single" w:sz="6" w:space="0" w:color="auto"/>
              <w:right w:val="single" w:sz="6" w:space="0" w:color="auto"/>
            </w:tcBorders>
          </w:tcPr>
          <w:p w14:paraId="37E2E3E6" w14:textId="77777777" w:rsidR="00F525B2" w:rsidRDefault="00F525B2" w:rsidP="009B329F">
            <w:pPr>
              <w:pStyle w:val="TAL"/>
              <w:rPr>
                <w:lang w:eastAsia="zh-CN"/>
              </w:rPr>
            </w:pPr>
            <w:r w:rsidRPr="00F11966">
              <w:t>MaxDataBurstVol</w:t>
            </w:r>
          </w:p>
        </w:tc>
        <w:tc>
          <w:tcPr>
            <w:tcW w:w="424" w:type="dxa"/>
            <w:tcBorders>
              <w:top w:val="single" w:sz="6" w:space="0" w:color="auto"/>
              <w:left w:val="single" w:sz="6" w:space="0" w:color="auto"/>
              <w:bottom w:val="single" w:sz="6" w:space="0" w:color="auto"/>
              <w:right w:val="single" w:sz="6" w:space="0" w:color="auto"/>
            </w:tcBorders>
          </w:tcPr>
          <w:p w14:paraId="164DC134" w14:textId="77777777" w:rsidR="00F525B2" w:rsidRDefault="00F525B2" w:rsidP="009B329F">
            <w:pPr>
              <w:pStyle w:val="TAC"/>
              <w:rPr>
                <w:lang w:eastAsia="zh-CN"/>
              </w:rPr>
            </w:pPr>
            <w:r>
              <w:t>O</w:t>
            </w:r>
          </w:p>
        </w:tc>
        <w:tc>
          <w:tcPr>
            <w:tcW w:w="1130" w:type="dxa"/>
            <w:tcBorders>
              <w:top w:val="single" w:sz="6" w:space="0" w:color="auto"/>
              <w:left w:val="single" w:sz="6" w:space="0" w:color="auto"/>
              <w:bottom w:val="single" w:sz="6" w:space="0" w:color="auto"/>
              <w:right w:val="single" w:sz="6" w:space="0" w:color="auto"/>
            </w:tcBorders>
          </w:tcPr>
          <w:p w14:paraId="3FF9A8C7" w14:textId="77777777" w:rsidR="00F525B2" w:rsidRDefault="00F525B2" w:rsidP="009B329F">
            <w:pPr>
              <w:pStyle w:val="TAL"/>
              <w:jc w:val="center"/>
              <w:rPr>
                <w:lang w:eastAsia="zh-CN"/>
              </w:rPr>
            </w:pPr>
            <w:r>
              <w:t>0..1</w:t>
            </w:r>
          </w:p>
        </w:tc>
        <w:tc>
          <w:tcPr>
            <w:tcW w:w="2845" w:type="dxa"/>
            <w:tcBorders>
              <w:top w:val="single" w:sz="6" w:space="0" w:color="auto"/>
              <w:left w:val="single" w:sz="6" w:space="0" w:color="auto"/>
              <w:bottom w:val="single" w:sz="6" w:space="0" w:color="auto"/>
              <w:right w:val="single" w:sz="6" w:space="0" w:color="auto"/>
            </w:tcBorders>
          </w:tcPr>
          <w:p w14:paraId="67CCBFAB" w14:textId="77777777" w:rsidR="00F525B2" w:rsidRDefault="00F525B2" w:rsidP="009B329F">
            <w:pPr>
              <w:pStyle w:val="TAL"/>
              <w:rPr>
                <w:rFonts w:cs="Arial"/>
                <w:szCs w:val="18"/>
              </w:rPr>
            </w:pPr>
            <w:r>
              <w:rPr>
                <w:rFonts w:cs="Arial"/>
                <w:szCs w:val="18"/>
                <w:lang w:eastAsia="zh-CN"/>
              </w:rPr>
              <w:t xml:space="preserve">The </w:t>
            </w:r>
            <w:r w:rsidRPr="00F11966">
              <w:rPr>
                <w:noProof/>
                <w:szCs w:val="18"/>
              </w:rPr>
              <w:t>maximum data burst volume</w:t>
            </w:r>
            <w:r>
              <w:rPr>
                <w:noProof/>
                <w:szCs w:val="18"/>
              </w:rPr>
              <w:t>.</w:t>
            </w:r>
          </w:p>
        </w:tc>
        <w:tc>
          <w:tcPr>
            <w:tcW w:w="1837" w:type="dxa"/>
            <w:tcBorders>
              <w:top w:val="single" w:sz="6" w:space="0" w:color="auto"/>
              <w:left w:val="single" w:sz="6" w:space="0" w:color="auto"/>
              <w:bottom w:val="single" w:sz="6" w:space="0" w:color="auto"/>
              <w:right w:val="single" w:sz="6" w:space="0" w:color="auto"/>
            </w:tcBorders>
          </w:tcPr>
          <w:p w14:paraId="34E1FA1C" w14:textId="77777777" w:rsidR="00F525B2" w:rsidRDefault="00F525B2" w:rsidP="009B329F">
            <w:pPr>
              <w:pStyle w:val="TAL"/>
              <w:rPr>
                <w:rFonts w:cs="Arial"/>
                <w:szCs w:val="18"/>
              </w:rPr>
            </w:pPr>
          </w:p>
        </w:tc>
      </w:tr>
      <w:tr w:rsidR="00F525B2" w14:paraId="68C7F012" w14:textId="77777777" w:rsidTr="009B329F">
        <w:trPr>
          <w:trHeight w:val="230"/>
          <w:jc w:val="center"/>
        </w:trPr>
        <w:tc>
          <w:tcPr>
            <w:tcW w:w="9540" w:type="dxa"/>
            <w:gridSpan w:val="6"/>
            <w:tcBorders>
              <w:top w:val="single" w:sz="6" w:space="0" w:color="auto"/>
              <w:left w:val="single" w:sz="6" w:space="0" w:color="auto"/>
              <w:bottom w:val="single" w:sz="6" w:space="0" w:color="auto"/>
              <w:right w:val="single" w:sz="6" w:space="0" w:color="auto"/>
            </w:tcBorders>
          </w:tcPr>
          <w:p w14:paraId="55D58F7D" w14:textId="77777777" w:rsidR="00F525B2" w:rsidRDefault="00F525B2" w:rsidP="009B329F">
            <w:pPr>
              <w:pStyle w:val="TAN"/>
            </w:pPr>
            <w:r>
              <w:t>NOTE 1:</w:t>
            </w:r>
            <w:r>
              <w:tab/>
              <w:t>The "</w:t>
            </w:r>
            <w:r>
              <w:rPr>
                <w:rFonts w:hint="eastAsia"/>
                <w:lang w:eastAsia="zh-CN"/>
              </w:rPr>
              <w:t>5</w:t>
            </w:r>
            <w:r>
              <w:rPr>
                <w:lang w:eastAsia="zh-CN"/>
              </w:rPr>
              <w:t>qi</w:t>
            </w:r>
            <w:r>
              <w:t>"</w:t>
            </w:r>
            <w:r>
              <w:rPr>
                <w:lang w:eastAsia="zh-CN"/>
              </w:rPr>
              <w:t xml:space="preserve"> attribute may be present for </w:t>
            </w:r>
            <w:r>
              <w:t>standardized or pre-configured</w:t>
            </w:r>
            <w:r w:rsidRPr="0019272F">
              <w:t xml:space="preserve"> QoS parameters and QoS </w:t>
            </w:r>
            <w:r>
              <w:t>c</w:t>
            </w:r>
            <w:r w:rsidRPr="0019272F">
              <w:t>haracteristics</w:t>
            </w:r>
            <w:r>
              <w:t>.</w:t>
            </w:r>
          </w:p>
          <w:p w14:paraId="7CEE9B47" w14:textId="77777777" w:rsidR="00F525B2" w:rsidRPr="00F855CB" w:rsidRDefault="00F525B2" w:rsidP="009B329F">
            <w:pPr>
              <w:pStyle w:val="TAN"/>
            </w:pPr>
            <w:r>
              <w:t>NOTE 2:</w:t>
            </w:r>
            <w:r>
              <w:tab/>
              <w:t xml:space="preserve">These </w:t>
            </w:r>
            <w:r>
              <w:rPr>
                <w:lang w:eastAsia="zh-CN"/>
              </w:rPr>
              <w:t xml:space="preserve">attributes may be present for a </w:t>
            </w:r>
            <w:r w:rsidRPr="0019272F">
              <w:t>GBR</w:t>
            </w:r>
            <w:r>
              <w:t xml:space="preserve"> resource type.</w:t>
            </w:r>
          </w:p>
        </w:tc>
      </w:tr>
    </w:tbl>
    <w:p w14:paraId="5951D75A" w14:textId="77777777" w:rsidR="00F525B2" w:rsidRDefault="00F525B2" w:rsidP="00F525B2">
      <w:pPr>
        <w:rPr>
          <w:lang w:eastAsia="zh-CN"/>
        </w:rPr>
      </w:pPr>
    </w:p>
    <w:p w14:paraId="33BF785B" w14:textId="77777777" w:rsidR="00F525B2" w:rsidRPr="00800566" w:rsidRDefault="00F525B2" w:rsidP="00F525B2">
      <w:pPr>
        <w:pStyle w:val="EditorsNote"/>
      </w:pPr>
      <w:r>
        <w:t>Editor's note:</w:t>
      </w:r>
      <w:r>
        <w:tab/>
        <w:t xml:space="preserve">FFS on the contents of the </w:t>
      </w:r>
      <w:r w:rsidRPr="0087325B">
        <w:t xml:space="preserve">QosPara </w:t>
      </w:r>
      <w:r>
        <w:t>data type.</w:t>
      </w:r>
    </w:p>
    <w:p w14:paraId="5378FAAC" w14:textId="77777777" w:rsidR="00A10B25" w:rsidRDefault="00A10B25">
      <w:pPr>
        <w:pStyle w:val="4"/>
        <w:rPr>
          <w:lang w:val="en-US"/>
        </w:rPr>
      </w:pPr>
      <w:bookmarkStart w:id="8346" w:name="_Toc195815040"/>
      <w:bookmarkStart w:id="8347" w:name="_Toc199453007"/>
      <w:r>
        <w:t>5.1.6.3</w:t>
      </w:r>
      <w:r>
        <w:tab/>
        <w:t>Simple data types and enumerations</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8282"/>
      <w:bookmarkEnd w:id="8283"/>
      <w:bookmarkEnd w:id="8284"/>
      <w:bookmarkEnd w:id="8285"/>
      <w:bookmarkEnd w:id="8297"/>
      <w:bookmarkEnd w:id="8298"/>
      <w:bookmarkEnd w:id="8299"/>
      <w:bookmarkEnd w:id="8300"/>
      <w:bookmarkEnd w:id="8301"/>
      <w:bookmarkEnd w:id="8332"/>
      <w:bookmarkEnd w:id="8333"/>
      <w:bookmarkEnd w:id="8334"/>
      <w:bookmarkEnd w:id="8335"/>
      <w:bookmarkEnd w:id="8346"/>
      <w:bookmarkEnd w:id="8347"/>
    </w:p>
    <w:p w14:paraId="63357A7D" w14:textId="77777777" w:rsidR="00A10B25" w:rsidRDefault="00A10B25">
      <w:pPr>
        <w:pStyle w:val="5"/>
      </w:pPr>
      <w:bookmarkStart w:id="8348" w:name="_Toc66231831"/>
      <w:bookmarkStart w:id="8349" w:name="_Toc36102488"/>
      <w:bookmarkStart w:id="8350" w:name="_Toc85557123"/>
      <w:bookmarkStart w:id="8351" w:name="_Toc28012835"/>
      <w:bookmarkStart w:id="8352" w:name="_Toc83233109"/>
      <w:bookmarkStart w:id="8353" w:name="_Toc120702374"/>
      <w:bookmarkStart w:id="8354" w:name="_Toc34266317"/>
      <w:bookmarkStart w:id="8355" w:name="_Toc104539072"/>
      <w:bookmarkStart w:id="8356" w:name="_Toc43563532"/>
      <w:bookmarkStart w:id="8357" w:name="_Toc85553024"/>
      <w:bookmarkStart w:id="8358" w:name="_Toc45134075"/>
      <w:bookmarkStart w:id="8359" w:name="_Toc56640995"/>
      <w:bookmarkStart w:id="8360" w:name="_Toc50032007"/>
      <w:bookmarkStart w:id="8361" w:name="_Toc51762927"/>
      <w:bookmarkStart w:id="8362" w:name="_Toc90655915"/>
      <w:bookmarkStart w:id="8363" w:name="_Toc94064314"/>
      <w:bookmarkStart w:id="8364" w:name="_Toc112951195"/>
      <w:bookmarkStart w:id="8365" w:name="_Toc101244477"/>
      <w:bookmarkStart w:id="8366" w:name="_Toc138754294"/>
      <w:bookmarkStart w:id="8367" w:name="_Toc70550659"/>
      <w:bookmarkStart w:id="8368" w:name="_Toc68168992"/>
      <w:bookmarkStart w:id="8369" w:name="_Toc136562460"/>
      <w:bookmarkStart w:id="8370" w:name="_Toc88667630"/>
      <w:bookmarkStart w:id="8371" w:name="_Toc59017963"/>
      <w:bookmarkStart w:id="8372" w:name="_Toc98233700"/>
      <w:bookmarkStart w:id="8373" w:name="_Toc114133874"/>
      <w:bookmarkStart w:id="8374" w:name="_Toc148522696"/>
      <w:bookmarkStart w:id="8375" w:name="_Toc145705786"/>
      <w:bookmarkStart w:id="8376" w:name="_Toc113031735"/>
      <w:bookmarkStart w:id="8377" w:name="_Toc164920883"/>
      <w:bookmarkStart w:id="8378" w:name="_Toc170120425"/>
      <w:bookmarkStart w:id="8379" w:name="_Toc175858670"/>
      <w:bookmarkStart w:id="8380" w:name="_Toc175859743"/>
      <w:bookmarkStart w:id="8381" w:name="_Toc180606033"/>
      <w:bookmarkStart w:id="8382" w:name="_Toc185517292"/>
      <w:bookmarkStart w:id="8383" w:name="_Toc191576343"/>
      <w:bookmarkStart w:id="8384" w:name="_Toc191577083"/>
      <w:bookmarkStart w:id="8385" w:name="_Toc192880153"/>
      <w:bookmarkStart w:id="8386" w:name="_Toc195815041"/>
      <w:bookmarkStart w:id="8387" w:name="_Toc199453008"/>
      <w:r>
        <w:t>5.1.6.3.1</w:t>
      </w:r>
      <w:r>
        <w:tab/>
        <w:t>Introduction</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15A8FDBB" w14:textId="77777777" w:rsidR="00A10B25" w:rsidRDefault="00A10B25">
      <w:r>
        <w:t>This clause defines simple data types and enumerations that can be referenced from data structures defined in the previous clauses.</w:t>
      </w:r>
    </w:p>
    <w:p w14:paraId="0F1AAD21" w14:textId="77777777" w:rsidR="00A10B25" w:rsidRDefault="00A10B25">
      <w:pPr>
        <w:pStyle w:val="5"/>
      </w:pPr>
      <w:bookmarkStart w:id="8388" w:name="_Toc85553025"/>
      <w:bookmarkStart w:id="8389" w:name="_Toc85557124"/>
      <w:bookmarkStart w:id="8390" w:name="_Toc112951196"/>
      <w:bookmarkStart w:id="8391" w:name="_Toc136562461"/>
      <w:bookmarkStart w:id="8392" w:name="_Toc70550660"/>
      <w:bookmarkStart w:id="8393" w:name="_Toc145705787"/>
      <w:bookmarkStart w:id="8394" w:name="_Toc120702375"/>
      <w:bookmarkStart w:id="8395" w:name="_Toc98233701"/>
      <w:bookmarkStart w:id="8396" w:name="_Toc68168993"/>
      <w:bookmarkStart w:id="8397" w:name="_Toc148522697"/>
      <w:bookmarkStart w:id="8398" w:name="_Toc83233110"/>
      <w:bookmarkStart w:id="8399" w:name="_Toc36102489"/>
      <w:bookmarkStart w:id="8400" w:name="_Toc101244478"/>
      <w:bookmarkStart w:id="8401" w:name="_Toc66231832"/>
      <w:bookmarkStart w:id="8402" w:name="_Toc51762928"/>
      <w:bookmarkStart w:id="8403" w:name="_Toc113031736"/>
      <w:bookmarkStart w:id="8404" w:name="_Toc50032008"/>
      <w:bookmarkStart w:id="8405" w:name="_Toc90655916"/>
      <w:bookmarkStart w:id="8406" w:name="_Toc45134076"/>
      <w:bookmarkStart w:id="8407" w:name="_Toc88667631"/>
      <w:bookmarkStart w:id="8408" w:name="_Toc114133875"/>
      <w:bookmarkStart w:id="8409" w:name="_Toc28012836"/>
      <w:bookmarkStart w:id="8410" w:name="_Toc56640996"/>
      <w:bookmarkStart w:id="8411" w:name="_Toc43563533"/>
      <w:bookmarkStart w:id="8412" w:name="_Toc138754295"/>
      <w:bookmarkStart w:id="8413" w:name="_Toc59017964"/>
      <w:bookmarkStart w:id="8414" w:name="_Toc34266318"/>
      <w:bookmarkStart w:id="8415" w:name="_Toc94064315"/>
      <w:bookmarkStart w:id="8416" w:name="_Toc104539073"/>
      <w:bookmarkStart w:id="8417" w:name="_Toc164920884"/>
      <w:bookmarkStart w:id="8418" w:name="_Toc170120426"/>
      <w:bookmarkStart w:id="8419" w:name="_Toc175858671"/>
      <w:bookmarkStart w:id="8420" w:name="_Toc175859744"/>
      <w:bookmarkStart w:id="8421" w:name="_Toc180606034"/>
      <w:bookmarkStart w:id="8422" w:name="_Toc185517293"/>
      <w:bookmarkStart w:id="8423" w:name="_Toc191576344"/>
      <w:bookmarkStart w:id="8424" w:name="_Toc191577084"/>
      <w:bookmarkStart w:id="8425" w:name="_Toc192880154"/>
      <w:bookmarkStart w:id="8426" w:name="_Toc195815042"/>
      <w:bookmarkStart w:id="8427" w:name="_Toc199453009"/>
      <w:r>
        <w:t>5.1.6.3.2</w:t>
      </w:r>
      <w:r>
        <w:tab/>
        <w:t>Simple data types</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0D707554" w14:textId="77777777" w:rsidR="00A10B25" w:rsidRDefault="00A10B25">
      <w:r>
        <w:t>The simple data types defined in table 5.1.6.3.2-1 shall be supported.</w:t>
      </w:r>
    </w:p>
    <w:p w14:paraId="2E51BCAE"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5.1.6.3.2-1: Simple data types</w:t>
      </w:r>
    </w:p>
    <w:tbl>
      <w:tblPr>
        <w:tblW w:w="48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A10B25" w14:paraId="427F7F06" w14:textId="77777777">
        <w:trPr>
          <w:jc w:val="center"/>
        </w:trPr>
        <w:tc>
          <w:tcPr>
            <w:tcW w:w="1185" w:type="pct"/>
            <w:shd w:val="clear" w:color="000000" w:fill="C0C0C0"/>
            <w:tcMar>
              <w:top w:w="0" w:type="dxa"/>
              <w:left w:w="108" w:type="dxa"/>
              <w:bottom w:w="0" w:type="dxa"/>
              <w:right w:w="108" w:type="dxa"/>
            </w:tcMar>
          </w:tcPr>
          <w:p w14:paraId="10C03CA6" w14:textId="77777777" w:rsidR="00A10B25" w:rsidRDefault="00A10B25">
            <w:pPr>
              <w:pStyle w:val="TAH"/>
            </w:pPr>
            <w:r>
              <w:t>Type Name</w:t>
            </w:r>
          </w:p>
        </w:tc>
        <w:tc>
          <w:tcPr>
            <w:tcW w:w="1232" w:type="pct"/>
            <w:shd w:val="clear" w:color="000000" w:fill="C0C0C0"/>
            <w:tcMar>
              <w:top w:w="0" w:type="dxa"/>
              <w:left w:w="108" w:type="dxa"/>
              <w:bottom w:w="0" w:type="dxa"/>
              <w:right w:w="108" w:type="dxa"/>
            </w:tcMar>
          </w:tcPr>
          <w:p w14:paraId="39E37330" w14:textId="77777777" w:rsidR="00A10B25" w:rsidRDefault="00A10B25">
            <w:pPr>
              <w:pStyle w:val="TAH"/>
            </w:pPr>
            <w:r>
              <w:t>Type Definition</w:t>
            </w:r>
          </w:p>
        </w:tc>
        <w:tc>
          <w:tcPr>
            <w:tcW w:w="1872" w:type="pct"/>
            <w:shd w:val="clear" w:color="000000" w:fill="C0C0C0"/>
          </w:tcPr>
          <w:p w14:paraId="65C6CBD5" w14:textId="77777777" w:rsidR="00A10B25" w:rsidRDefault="00A10B25">
            <w:pPr>
              <w:pStyle w:val="TAH"/>
            </w:pPr>
            <w:r>
              <w:t>Description</w:t>
            </w:r>
          </w:p>
        </w:tc>
        <w:tc>
          <w:tcPr>
            <w:tcW w:w="711" w:type="pct"/>
            <w:shd w:val="clear" w:color="000000" w:fill="C0C0C0"/>
          </w:tcPr>
          <w:p w14:paraId="16868A97" w14:textId="77777777" w:rsidR="00A10B25" w:rsidRDefault="00A10B25">
            <w:pPr>
              <w:pStyle w:val="TAH"/>
            </w:pPr>
            <w:r>
              <w:t>Applicability</w:t>
            </w:r>
          </w:p>
        </w:tc>
      </w:tr>
      <w:tr w:rsidR="00A10B25" w14:paraId="35FAB877" w14:textId="77777777">
        <w:trPr>
          <w:jc w:val="center"/>
        </w:trPr>
        <w:tc>
          <w:tcPr>
            <w:tcW w:w="1185" w:type="pct"/>
            <w:tcMar>
              <w:top w:w="0" w:type="dxa"/>
              <w:left w:w="108" w:type="dxa"/>
              <w:bottom w:w="0" w:type="dxa"/>
              <w:right w:w="108" w:type="dxa"/>
            </w:tcMar>
          </w:tcPr>
          <w:p w14:paraId="3038DD8D" w14:textId="77777777" w:rsidR="00A10B25" w:rsidRDefault="00A10B25">
            <w:pPr>
              <w:pStyle w:val="TAL"/>
            </w:pPr>
            <w:r>
              <w:t>AnySlice</w:t>
            </w:r>
          </w:p>
        </w:tc>
        <w:tc>
          <w:tcPr>
            <w:tcW w:w="1232" w:type="pct"/>
            <w:tcMar>
              <w:top w:w="0" w:type="dxa"/>
              <w:left w:w="108" w:type="dxa"/>
              <w:bottom w:w="0" w:type="dxa"/>
              <w:right w:w="108" w:type="dxa"/>
            </w:tcMar>
          </w:tcPr>
          <w:p w14:paraId="109831EF" w14:textId="77777777" w:rsidR="00A10B25" w:rsidRDefault="00A10B25">
            <w:pPr>
              <w:pStyle w:val="TAL"/>
            </w:pPr>
            <w:r>
              <w:t>boolean</w:t>
            </w:r>
          </w:p>
        </w:tc>
        <w:tc>
          <w:tcPr>
            <w:tcW w:w="1872" w:type="pct"/>
          </w:tcPr>
          <w:p w14:paraId="39C04AC8" w14:textId="77777777" w:rsidR="00A10B25" w:rsidRDefault="00A10B25">
            <w:pPr>
              <w:pStyle w:val="TAL"/>
            </w:pPr>
            <w:r>
              <w:rPr>
                <w:rFonts w:hint="eastAsia"/>
              </w:rPr>
              <w:t>"</w:t>
            </w:r>
            <w:r>
              <w:t>false" represents not applicable for all slices.</w:t>
            </w:r>
          </w:p>
          <w:p w14:paraId="2101B3E6" w14:textId="77777777" w:rsidR="00A10B25" w:rsidRDefault="00A10B25">
            <w:pPr>
              <w:pStyle w:val="TAL"/>
            </w:pPr>
            <w:r>
              <w:t>"true" represents applicable for all slices.</w:t>
            </w:r>
          </w:p>
        </w:tc>
        <w:tc>
          <w:tcPr>
            <w:tcW w:w="711" w:type="pct"/>
          </w:tcPr>
          <w:p w14:paraId="595F3ED8" w14:textId="77777777" w:rsidR="00A10B25" w:rsidRDefault="00A10B25">
            <w:pPr>
              <w:pStyle w:val="TAL"/>
            </w:pPr>
          </w:p>
        </w:tc>
      </w:tr>
      <w:tr w:rsidR="00A10B25" w14:paraId="01F4921F" w14:textId="77777777">
        <w:trPr>
          <w:jc w:val="center"/>
        </w:trPr>
        <w:tc>
          <w:tcPr>
            <w:tcW w:w="1185" w:type="pct"/>
            <w:tcMar>
              <w:top w:w="0" w:type="dxa"/>
              <w:left w:w="108" w:type="dxa"/>
              <w:bottom w:w="0" w:type="dxa"/>
              <w:right w:w="108" w:type="dxa"/>
            </w:tcMar>
          </w:tcPr>
          <w:p w14:paraId="6E837875" w14:textId="77777777" w:rsidR="00A10B25" w:rsidRDefault="00A10B25">
            <w:pPr>
              <w:pStyle w:val="TAL"/>
            </w:pPr>
            <w:r>
              <w:t>LoadLevelInformation</w:t>
            </w:r>
          </w:p>
        </w:tc>
        <w:tc>
          <w:tcPr>
            <w:tcW w:w="1232" w:type="pct"/>
            <w:tcMar>
              <w:top w:w="0" w:type="dxa"/>
              <w:left w:w="108" w:type="dxa"/>
              <w:bottom w:w="0" w:type="dxa"/>
              <w:right w:w="108" w:type="dxa"/>
            </w:tcMar>
          </w:tcPr>
          <w:p w14:paraId="44B1086E" w14:textId="77777777" w:rsidR="00A10B25" w:rsidRDefault="00A10B25">
            <w:pPr>
              <w:pStyle w:val="TAL"/>
            </w:pPr>
            <w:r>
              <w:t>integer</w:t>
            </w:r>
          </w:p>
        </w:tc>
        <w:tc>
          <w:tcPr>
            <w:tcW w:w="1872" w:type="pct"/>
          </w:tcPr>
          <w:p w14:paraId="569D3B67" w14:textId="77777777" w:rsidR="00A10B25" w:rsidRDefault="00A10B25">
            <w:pPr>
              <w:pStyle w:val="TAL"/>
            </w:pPr>
            <w:r>
              <w:t>Load level information of the network slice and the optionally associated network slice instance.</w:t>
            </w:r>
          </w:p>
          <w:p w14:paraId="68FCB748" w14:textId="77777777" w:rsidR="00A10B25" w:rsidRDefault="00A10B25">
            <w:pPr>
              <w:pStyle w:val="TAL"/>
            </w:pPr>
            <w:r>
              <w:t>Minimum = 0. Maximum = 100.</w:t>
            </w:r>
          </w:p>
        </w:tc>
        <w:tc>
          <w:tcPr>
            <w:tcW w:w="711" w:type="pct"/>
          </w:tcPr>
          <w:p w14:paraId="42102F54" w14:textId="77777777" w:rsidR="00A10B25" w:rsidRDefault="00A10B25">
            <w:pPr>
              <w:pStyle w:val="TAL"/>
            </w:pPr>
          </w:p>
        </w:tc>
      </w:tr>
    </w:tbl>
    <w:p w14:paraId="1E965241" w14:textId="77777777" w:rsidR="00A10B25" w:rsidRDefault="00A10B25"/>
    <w:p w14:paraId="07DE5ACA" w14:textId="77777777" w:rsidR="00A10B25" w:rsidRDefault="00A10B25">
      <w:pPr>
        <w:pStyle w:val="5"/>
      </w:pPr>
      <w:bookmarkStart w:id="8428" w:name="_Toc90655917"/>
      <w:bookmarkStart w:id="8429" w:name="_Toc83233111"/>
      <w:bookmarkStart w:id="8430" w:name="_Toc101244479"/>
      <w:bookmarkStart w:id="8431" w:name="_Toc85553026"/>
      <w:bookmarkStart w:id="8432" w:name="_Toc138754296"/>
      <w:bookmarkStart w:id="8433" w:name="_Toc145705788"/>
      <w:bookmarkStart w:id="8434" w:name="_Toc148522698"/>
      <w:bookmarkStart w:id="8435" w:name="_Toc56640997"/>
      <w:bookmarkStart w:id="8436" w:name="_Toc88667632"/>
      <w:bookmarkStart w:id="8437" w:name="_Toc34266319"/>
      <w:bookmarkStart w:id="8438" w:name="_Toc50032009"/>
      <w:bookmarkStart w:id="8439" w:name="_Toc28012837"/>
      <w:bookmarkStart w:id="8440" w:name="_Toc70550661"/>
      <w:bookmarkStart w:id="8441" w:name="_Toc51762929"/>
      <w:bookmarkStart w:id="8442" w:name="_Toc36102490"/>
      <w:bookmarkStart w:id="8443" w:name="_Toc66231833"/>
      <w:bookmarkStart w:id="8444" w:name="_Toc85557125"/>
      <w:bookmarkStart w:id="8445" w:name="_Toc113031737"/>
      <w:bookmarkStart w:id="8446" w:name="_Toc98233702"/>
      <w:bookmarkStart w:id="8447" w:name="_Toc94064316"/>
      <w:bookmarkStart w:id="8448" w:name="_Toc45134077"/>
      <w:bookmarkStart w:id="8449" w:name="_Toc120702376"/>
      <w:bookmarkStart w:id="8450" w:name="_Toc136562462"/>
      <w:bookmarkStart w:id="8451" w:name="_Toc104539074"/>
      <w:bookmarkStart w:id="8452" w:name="_Toc68168994"/>
      <w:bookmarkStart w:id="8453" w:name="_Toc112951197"/>
      <w:bookmarkStart w:id="8454" w:name="_Toc43563534"/>
      <w:bookmarkStart w:id="8455" w:name="_Toc114133876"/>
      <w:bookmarkStart w:id="8456" w:name="_Toc59017965"/>
      <w:bookmarkStart w:id="8457" w:name="_Toc164920885"/>
      <w:bookmarkStart w:id="8458" w:name="_Toc170120427"/>
      <w:bookmarkStart w:id="8459" w:name="_Toc175858672"/>
      <w:bookmarkStart w:id="8460" w:name="_Toc175859745"/>
      <w:bookmarkStart w:id="8461" w:name="_Toc180606035"/>
      <w:bookmarkStart w:id="8462" w:name="_Toc185517294"/>
      <w:bookmarkStart w:id="8463" w:name="_Toc191576345"/>
      <w:bookmarkStart w:id="8464" w:name="_Toc191577085"/>
      <w:bookmarkStart w:id="8465" w:name="_Toc192880155"/>
      <w:bookmarkStart w:id="8466" w:name="_Toc195815043"/>
      <w:bookmarkStart w:id="8467" w:name="_Toc199453010"/>
      <w:r>
        <w:lastRenderedPageBreak/>
        <w:t>5.1.6.3.3</w:t>
      </w:r>
      <w:r>
        <w:tab/>
        <w:t>Enumeration: NotificationMethod</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784DB353" w14:textId="77777777" w:rsidR="00A10B25" w:rsidRDefault="00A10B25">
      <w:pPr>
        <w:pStyle w:val="TH"/>
        <w:overflowPunct w:val="0"/>
        <w:autoSpaceDE w:val="0"/>
        <w:autoSpaceDN w:val="0"/>
        <w:adjustRightInd w:val="0"/>
        <w:textAlignment w:val="baseline"/>
        <w:rPr>
          <w:rFonts w:eastAsia="MS Mincho"/>
        </w:rPr>
      </w:pPr>
      <w:r>
        <w:rPr>
          <w:rFonts w:eastAsia="MS Mincho"/>
        </w:rPr>
        <w:t>Table 5.1.6.3.3-1: Enumeration NotificationMethod</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5C40CAE5" w14:textId="77777777">
        <w:tc>
          <w:tcPr>
            <w:tcW w:w="1919" w:type="pct"/>
            <w:shd w:val="clear" w:color="auto" w:fill="C0C0C0"/>
            <w:tcMar>
              <w:top w:w="0" w:type="dxa"/>
              <w:left w:w="108" w:type="dxa"/>
              <w:bottom w:w="0" w:type="dxa"/>
              <w:right w:w="108" w:type="dxa"/>
            </w:tcMar>
          </w:tcPr>
          <w:p w14:paraId="57E55CFB"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152CDD55" w14:textId="77777777" w:rsidR="00A10B25" w:rsidRDefault="00A10B25">
            <w:pPr>
              <w:pStyle w:val="TAH"/>
            </w:pPr>
            <w:r>
              <w:t>Description</w:t>
            </w:r>
          </w:p>
        </w:tc>
        <w:tc>
          <w:tcPr>
            <w:tcW w:w="889" w:type="pct"/>
            <w:shd w:val="clear" w:color="auto" w:fill="C0C0C0"/>
          </w:tcPr>
          <w:p w14:paraId="7533B8AD" w14:textId="77777777" w:rsidR="00A10B25" w:rsidRDefault="00A10B25">
            <w:pPr>
              <w:pStyle w:val="TAH"/>
            </w:pPr>
            <w:r>
              <w:t>Applicability</w:t>
            </w:r>
          </w:p>
        </w:tc>
      </w:tr>
      <w:tr w:rsidR="00A10B25" w14:paraId="68EB585E" w14:textId="77777777">
        <w:tc>
          <w:tcPr>
            <w:tcW w:w="1919" w:type="pct"/>
            <w:tcMar>
              <w:top w:w="0" w:type="dxa"/>
              <w:left w:w="108" w:type="dxa"/>
              <w:bottom w:w="0" w:type="dxa"/>
              <w:right w:w="108" w:type="dxa"/>
            </w:tcMar>
          </w:tcPr>
          <w:p w14:paraId="3CB48B62" w14:textId="77777777" w:rsidR="00A10B25" w:rsidRDefault="00A10B25">
            <w:pPr>
              <w:pStyle w:val="TAL"/>
            </w:pPr>
            <w:r>
              <w:t>PERIODIC</w:t>
            </w:r>
          </w:p>
        </w:tc>
        <w:tc>
          <w:tcPr>
            <w:tcW w:w="2192" w:type="pct"/>
            <w:tcMar>
              <w:top w:w="0" w:type="dxa"/>
              <w:left w:w="108" w:type="dxa"/>
              <w:bottom w:w="0" w:type="dxa"/>
              <w:right w:w="108" w:type="dxa"/>
            </w:tcMar>
          </w:tcPr>
          <w:p w14:paraId="7554006C" w14:textId="77777777" w:rsidR="00A10B25" w:rsidRDefault="00A10B25">
            <w:pPr>
              <w:pStyle w:val="TAL"/>
            </w:pPr>
            <w:r>
              <w:rPr>
                <w:lang w:eastAsia="zh-CN"/>
              </w:rPr>
              <w:t>T</w:t>
            </w:r>
            <w:r>
              <w:rPr>
                <w:rFonts w:hint="eastAsia"/>
                <w:lang w:eastAsia="zh-CN"/>
              </w:rPr>
              <w:t xml:space="preserve">he </w:t>
            </w:r>
            <w:r>
              <w:rPr>
                <w:lang w:eastAsia="zh-CN"/>
              </w:rPr>
              <w:t>subscription of NWDAF Event is peridodicly. The periodic of the notification is identified by repetitionPeriod defined in clause 5.1.6.2.3.</w:t>
            </w:r>
          </w:p>
        </w:tc>
        <w:tc>
          <w:tcPr>
            <w:tcW w:w="889" w:type="pct"/>
          </w:tcPr>
          <w:p w14:paraId="32A11690" w14:textId="77777777" w:rsidR="00A10B25" w:rsidRDefault="00A10B25">
            <w:pPr>
              <w:pStyle w:val="TAL"/>
            </w:pPr>
          </w:p>
        </w:tc>
      </w:tr>
      <w:tr w:rsidR="00A10B25" w14:paraId="6B8D321F" w14:textId="77777777">
        <w:tc>
          <w:tcPr>
            <w:tcW w:w="1919" w:type="pct"/>
            <w:tcMar>
              <w:top w:w="0" w:type="dxa"/>
              <w:left w:w="108" w:type="dxa"/>
              <w:bottom w:w="0" w:type="dxa"/>
              <w:right w:w="108" w:type="dxa"/>
            </w:tcMar>
          </w:tcPr>
          <w:p w14:paraId="27AA07FC" w14:textId="77777777" w:rsidR="00A10B25" w:rsidRDefault="00A10B25">
            <w:pPr>
              <w:pStyle w:val="TAL"/>
            </w:pPr>
            <w:r>
              <w:t>THRESHOLD</w:t>
            </w:r>
          </w:p>
        </w:tc>
        <w:tc>
          <w:tcPr>
            <w:tcW w:w="2192" w:type="pct"/>
            <w:tcMar>
              <w:top w:w="0" w:type="dxa"/>
              <w:left w:w="108" w:type="dxa"/>
              <w:bottom w:w="0" w:type="dxa"/>
              <w:right w:w="108" w:type="dxa"/>
            </w:tcMar>
          </w:tcPr>
          <w:p w14:paraId="41010F5C" w14:textId="77777777" w:rsidR="00A10B25" w:rsidRDefault="00A10B25">
            <w:pPr>
              <w:pStyle w:val="TAL"/>
              <w:rPr>
                <w:lang w:eastAsia="zh-CN"/>
              </w:rPr>
            </w:pPr>
            <w:r>
              <w:rPr>
                <w:lang w:eastAsia="zh-CN"/>
              </w:rPr>
              <w:t xml:space="preserve">The subscription of NWDAF Event is upon threshold exceeded. </w:t>
            </w:r>
          </w:p>
        </w:tc>
        <w:tc>
          <w:tcPr>
            <w:tcW w:w="889" w:type="pct"/>
          </w:tcPr>
          <w:p w14:paraId="60B71AD4" w14:textId="77777777" w:rsidR="00A10B25" w:rsidRDefault="00A10B25">
            <w:pPr>
              <w:pStyle w:val="TAL"/>
            </w:pPr>
          </w:p>
        </w:tc>
      </w:tr>
    </w:tbl>
    <w:p w14:paraId="22C8B9D0" w14:textId="77777777" w:rsidR="00A10B25" w:rsidRDefault="00A10B25">
      <w:pPr>
        <w:rPr>
          <w:lang w:val="en-US"/>
        </w:rPr>
      </w:pPr>
    </w:p>
    <w:p w14:paraId="098D1F6E" w14:textId="77777777" w:rsidR="00A10B25" w:rsidRDefault="00A10B25">
      <w:pPr>
        <w:pStyle w:val="5"/>
      </w:pPr>
      <w:bookmarkStart w:id="8468" w:name="_Toc120702377"/>
      <w:bookmarkStart w:id="8469" w:name="_Toc51762930"/>
      <w:bookmarkStart w:id="8470" w:name="_Toc66231834"/>
      <w:bookmarkStart w:id="8471" w:name="_Toc98233703"/>
      <w:bookmarkStart w:id="8472" w:name="_Toc70550662"/>
      <w:bookmarkStart w:id="8473" w:name="_Toc83233112"/>
      <w:bookmarkStart w:id="8474" w:name="_Toc85553027"/>
      <w:bookmarkStart w:id="8475" w:name="_Toc36102491"/>
      <w:bookmarkStart w:id="8476" w:name="_Toc136562463"/>
      <w:bookmarkStart w:id="8477" w:name="_Toc85557126"/>
      <w:bookmarkStart w:id="8478" w:name="_Toc28012838"/>
      <w:bookmarkStart w:id="8479" w:name="_Toc43563535"/>
      <w:bookmarkStart w:id="8480" w:name="_Toc112951198"/>
      <w:bookmarkStart w:id="8481" w:name="_Toc56640998"/>
      <w:bookmarkStart w:id="8482" w:name="_Toc68168995"/>
      <w:bookmarkStart w:id="8483" w:name="_Toc45134078"/>
      <w:bookmarkStart w:id="8484" w:name="_Toc101244480"/>
      <w:bookmarkStart w:id="8485" w:name="_Toc138754297"/>
      <w:bookmarkStart w:id="8486" w:name="_Toc34266320"/>
      <w:bookmarkStart w:id="8487" w:name="_Toc104539075"/>
      <w:bookmarkStart w:id="8488" w:name="_Toc90655918"/>
      <w:bookmarkStart w:id="8489" w:name="_Toc50032010"/>
      <w:bookmarkStart w:id="8490" w:name="_Toc59017966"/>
      <w:bookmarkStart w:id="8491" w:name="_Toc88667633"/>
      <w:bookmarkStart w:id="8492" w:name="_Toc114133877"/>
      <w:bookmarkStart w:id="8493" w:name="_Toc113031738"/>
      <w:bookmarkStart w:id="8494" w:name="_Toc145705789"/>
      <w:bookmarkStart w:id="8495" w:name="_Toc148522699"/>
      <w:bookmarkStart w:id="8496" w:name="_Toc94064317"/>
      <w:bookmarkStart w:id="8497" w:name="_Toc164920886"/>
      <w:bookmarkStart w:id="8498" w:name="_Toc170120428"/>
      <w:bookmarkStart w:id="8499" w:name="_Toc175858673"/>
      <w:bookmarkStart w:id="8500" w:name="_Toc175859746"/>
      <w:bookmarkStart w:id="8501" w:name="_Toc180606036"/>
      <w:bookmarkStart w:id="8502" w:name="_Toc185517295"/>
      <w:bookmarkStart w:id="8503" w:name="_Toc191576346"/>
      <w:bookmarkStart w:id="8504" w:name="_Toc191577086"/>
      <w:bookmarkStart w:id="8505" w:name="_Toc192880156"/>
      <w:bookmarkStart w:id="8506" w:name="_Toc195815044"/>
      <w:bookmarkStart w:id="8507" w:name="_Toc199453011"/>
      <w:r>
        <w:lastRenderedPageBreak/>
        <w:t>5.1.6.3.4</w:t>
      </w:r>
      <w:r>
        <w:tab/>
        <w:t>Enumeration: NwdafEvent</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05FB81A7" w14:textId="77777777" w:rsidR="00A10B25" w:rsidRDefault="00A10B25">
      <w:pPr>
        <w:pStyle w:val="TH"/>
      </w:pPr>
      <w:r>
        <w:t>Table 5.1.6.3.4-1: Enumeration NwdafEvent</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891"/>
        <w:gridCol w:w="3354"/>
        <w:gridCol w:w="2277"/>
      </w:tblGrid>
      <w:tr w:rsidR="00A10B25" w14:paraId="7532940A" w14:textId="77777777">
        <w:tc>
          <w:tcPr>
            <w:tcW w:w="1696" w:type="pct"/>
            <w:shd w:val="clear" w:color="auto" w:fill="C0C0C0"/>
            <w:tcMar>
              <w:top w:w="0" w:type="dxa"/>
              <w:left w:w="108" w:type="dxa"/>
              <w:bottom w:w="0" w:type="dxa"/>
              <w:right w:w="108" w:type="dxa"/>
            </w:tcMar>
          </w:tcPr>
          <w:p w14:paraId="1CA98A1C" w14:textId="77777777" w:rsidR="00A10B25" w:rsidRDefault="00A10B25">
            <w:pPr>
              <w:pStyle w:val="TAH"/>
              <w:ind w:left="400" w:hanging="400"/>
            </w:pPr>
            <w:r>
              <w:t>Enumeration value</w:t>
            </w:r>
          </w:p>
        </w:tc>
        <w:tc>
          <w:tcPr>
            <w:tcW w:w="1968" w:type="pct"/>
            <w:shd w:val="clear" w:color="auto" w:fill="C0C0C0"/>
            <w:tcMar>
              <w:top w:w="0" w:type="dxa"/>
              <w:left w:w="108" w:type="dxa"/>
              <w:bottom w:w="0" w:type="dxa"/>
              <w:right w:w="108" w:type="dxa"/>
            </w:tcMar>
          </w:tcPr>
          <w:p w14:paraId="2F240E9E" w14:textId="77777777" w:rsidR="00A10B25" w:rsidRDefault="00A10B25">
            <w:pPr>
              <w:pStyle w:val="TAH"/>
              <w:ind w:left="400" w:hanging="400"/>
            </w:pPr>
            <w:r>
              <w:t>Description</w:t>
            </w:r>
          </w:p>
        </w:tc>
        <w:tc>
          <w:tcPr>
            <w:tcW w:w="1336" w:type="pct"/>
            <w:shd w:val="clear" w:color="auto" w:fill="C0C0C0"/>
          </w:tcPr>
          <w:p w14:paraId="155190F4" w14:textId="77777777" w:rsidR="00A10B25" w:rsidRDefault="00A10B25">
            <w:pPr>
              <w:pStyle w:val="TAH"/>
              <w:ind w:left="400" w:hanging="400"/>
            </w:pPr>
            <w:r>
              <w:t>Applicability</w:t>
            </w:r>
          </w:p>
        </w:tc>
      </w:tr>
      <w:tr w:rsidR="00A10B25" w14:paraId="729CDFB5" w14:textId="77777777">
        <w:tc>
          <w:tcPr>
            <w:tcW w:w="1696" w:type="pct"/>
            <w:tcMar>
              <w:top w:w="0" w:type="dxa"/>
              <w:left w:w="108" w:type="dxa"/>
              <w:bottom w:w="0" w:type="dxa"/>
              <w:right w:w="108" w:type="dxa"/>
            </w:tcMar>
          </w:tcPr>
          <w:p w14:paraId="306634B3" w14:textId="77777777" w:rsidR="00A10B25" w:rsidRDefault="00A10B25">
            <w:pPr>
              <w:pStyle w:val="TAL"/>
            </w:pPr>
            <w:r>
              <w:t>NF_LOAD</w:t>
            </w:r>
          </w:p>
        </w:tc>
        <w:tc>
          <w:tcPr>
            <w:tcW w:w="1968" w:type="pct"/>
            <w:tcMar>
              <w:top w:w="0" w:type="dxa"/>
              <w:left w:w="108" w:type="dxa"/>
              <w:bottom w:w="0" w:type="dxa"/>
              <w:right w:w="108" w:type="dxa"/>
            </w:tcMar>
          </w:tcPr>
          <w:p w14:paraId="5C00949D" w14:textId="77777777" w:rsidR="00A10B25" w:rsidRDefault="00A10B25">
            <w:pPr>
              <w:pStyle w:val="TAL"/>
              <w:rPr>
                <w:lang w:eastAsia="zh-CN"/>
              </w:rPr>
            </w:pPr>
            <w:r>
              <w:t>Indicates that the event subscribed is NF Load.</w:t>
            </w:r>
          </w:p>
        </w:tc>
        <w:tc>
          <w:tcPr>
            <w:tcW w:w="1336" w:type="pct"/>
          </w:tcPr>
          <w:p w14:paraId="1D521FDB" w14:textId="77777777" w:rsidR="00A10B25" w:rsidRDefault="00A10B25">
            <w:pPr>
              <w:pStyle w:val="TAL"/>
              <w:rPr>
                <w:rFonts w:eastAsia="Batang"/>
              </w:rPr>
            </w:pPr>
            <w:r>
              <w:t>NfLoad</w:t>
            </w:r>
          </w:p>
        </w:tc>
      </w:tr>
      <w:tr w:rsidR="00A10B25" w14:paraId="2F85E96E" w14:textId="77777777">
        <w:tc>
          <w:tcPr>
            <w:tcW w:w="1696" w:type="pct"/>
            <w:tcMar>
              <w:top w:w="0" w:type="dxa"/>
              <w:left w:w="108" w:type="dxa"/>
              <w:bottom w:w="0" w:type="dxa"/>
              <w:right w:w="108" w:type="dxa"/>
            </w:tcMar>
          </w:tcPr>
          <w:p w14:paraId="073F2A14" w14:textId="77777777" w:rsidR="00A10B25" w:rsidRDefault="00A10B25">
            <w:pPr>
              <w:pStyle w:val="TAL"/>
            </w:pPr>
            <w:r>
              <w:t>QOS_SUSTAINABILITY</w:t>
            </w:r>
          </w:p>
        </w:tc>
        <w:tc>
          <w:tcPr>
            <w:tcW w:w="1968" w:type="pct"/>
            <w:tcMar>
              <w:top w:w="0" w:type="dxa"/>
              <w:left w:w="108" w:type="dxa"/>
              <w:bottom w:w="0" w:type="dxa"/>
              <w:right w:w="108" w:type="dxa"/>
            </w:tcMar>
          </w:tcPr>
          <w:p w14:paraId="1D3DF68B" w14:textId="77777777" w:rsidR="00A10B25" w:rsidRDefault="00A10B25">
            <w:pPr>
              <w:pStyle w:val="TAL"/>
              <w:rPr>
                <w:lang w:eastAsia="zh-CN"/>
              </w:rPr>
            </w:pPr>
            <w:r>
              <w:rPr>
                <w:lang w:eastAsia="zh-CN"/>
              </w:rPr>
              <w:t>Indicates that the event subscribed is QoS sustainability.</w:t>
            </w:r>
          </w:p>
        </w:tc>
        <w:tc>
          <w:tcPr>
            <w:tcW w:w="1336" w:type="pct"/>
          </w:tcPr>
          <w:p w14:paraId="6D27EB97" w14:textId="77777777" w:rsidR="00A10B25" w:rsidRDefault="00A10B25">
            <w:pPr>
              <w:pStyle w:val="TAL"/>
            </w:pPr>
            <w:r>
              <w:rPr>
                <w:rFonts w:eastAsia="Batang"/>
              </w:rPr>
              <w:t>QoSSustainability</w:t>
            </w:r>
          </w:p>
        </w:tc>
      </w:tr>
      <w:tr w:rsidR="00A10B25" w14:paraId="79AEA2B5" w14:textId="77777777">
        <w:tc>
          <w:tcPr>
            <w:tcW w:w="1696" w:type="pct"/>
            <w:tcMar>
              <w:top w:w="0" w:type="dxa"/>
              <w:left w:w="108" w:type="dxa"/>
              <w:bottom w:w="0" w:type="dxa"/>
              <w:right w:w="108" w:type="dxa"/>
            </w:tcMar>
          </w:tcPr>
          <w:p w14:paraId="3F58F841" w14:textId="77777777" w:rsidR="00A10B25" w:rsidRDefault="00A10B25">
            <w:pPr>
              <w:pStyle w:val="TAL"/>
            </w:pPr>
            <w:r>
              <w:t>SLICE_LOAD_LEVEL</w:t>
            </w:r>
          </w:p>
        </w:tc>
        <w:tc>
          <w:tcPr>
            <w:tcW w:w="1968" w:type="pct"/>
            <w:tcMar>
              <w:top w:w="0" w:type="dxa"/>
              <w:left w:w="108" w:type="dxa"/>
              <w:bottom w:w="0" w:type="dxa"/>
              <w:right w:w="108" w:type="dxa"/>
            </w:tcMar>
          </w:tcPr>
          <w:p w14:paraId="5338A08A" w14:textId="77777777" w:rsidR="00A10B25" w:rsidRDefault="00A10B25">
            <w:pPr>
              <w:pStyle w:val="TAL"/>
              <w:rPr>
                <w:lang w:eastAsia="zh-CN"/>
              </w:rPr>
            </w:pPr>
            <w:r>
              <w:rPr>
                <w:lang w:eastAsia="zh-CN"/>
              </w:rPr>
              <w:t xml:space="preserve">Indicates that the event subscribed is load level information of Network Slice </w:t>
            </w:r>
          </w:p>
        </w:tc>
        <w:tc>
          <w:tcPr>
            <w:tcW w:w="1336" w:type="pct"/>
          </w:tcPr>
          <w:p w14:paraId="3E73C08C" w14:textId="77777777" w:rsidR="00A10B25" w:rsidRDefault="00A10B25">
            <w:pPr>
              <w:pStyle w:val="TAL"/>
            </w:pPr>
          </w:p>
        </w:tc>
      </w:tr>
      <w:tr w:rsidR="00A10B25" w14:paraId="335375BA" w14:textId="77777777">
        <w:tc>
          <w:tcPr>
            <w:tcW w:w="1696" w:type="pct"/>
            <w:tcMar>
              <w:top w:w="0" w:type="dxa"/>
              <w:left w:w="108" w:type="dxa"/>
              <w:bottom w:w="0" w:type="dxa"/>
              <w:right w:w="108" w:type="dxa"/>
            </w:tcMar>
          </w:tcPr>
          <w:p w14:paraId="3BA4F084" w14:textId="77777777" w:rsidR="00A10B25" w:rsidRDefault="00A10B25">
            <w:pPr>
              <w:pStyle w:val="TAL"/>
            </w:pPr>
            <w:r>
              <w:rPr>
                <w:rFonts w:hint="eastAsia"/>
              </w:rPr>
              <w:t>S</w:t>
            </w:r>
            <w:r>
              <w:t>ERVICE_EXPERIENCE</w:t>
            </w:r>
          </w:p>
        </w:tc>
        <w:tc>
          <w:tcPr>
            <w:tcW w:w="1968" w:type="pct"/>
            <w:tcMar>
              <w:top w:w="0" w:type="dxa"/>
              <w:left w:w="108" w:type="dxa"/>
              <w:bottom w:w="0" w:type="dxa"/>
              <w:right w:w="108" w:type="dxa"/>
            </w:tcMar>
          </w:tcPr>
          <w:p w14:paraId="41ABCE0C" w14:textId="77777777" w:rsidR="00A10B25" w:rsidRDefault="00A10B25">
            <w:pPr>
              <w:pStyle w:val="TAL"/>
              <w:rPr>
                <w:lang w:eastAsia="zh-CN"/>
              </w:rPr>
            </w:pPr>
            <w:r>
              <w:rPr>
                <w:rFonts w:hint="eastAsia"/>
                <w:lang w:eastAsia="zh-CN"/>
              </w:rPr>
              <w:t>I</w:t>
            </w:r>
            <w:r>
              <w:rPr>
                <w:lang w:eastAsia="zh-CN"/>
              </w:rPr>
              <w:t>ndicates that the event subscribed is service experience.</w:t>
            </w:r>
          </w:p>
        </w:tc>
        <w:tc>
          <w:tcPr>
            <w:tcW w:w="1336" w:type="pct"/>
          </w:tcPr>
          <w:p w14:paraId="770C70E2" w14:textId="77777777" w:rsidR="00A10B25" w:rsidRDefault="00A10B25">
            <w:pPr>
              <w:pStyle w:val="TAL"/>
            </w:pPr>
            <w:r>
              <w:rPr>
                <w:rFonts w:eastAsia="Batang"/>
              </w:rPr>
              <w:t>ServiceExperience</w:t>
            </w:r>
          </w:p>
        </w:tc>
      </w:tr>
      <w:tr w:rsidR="00A10B25" w14:paraId="6BC53D8C" w14:textId="77777777">
        <w:tc>
          <w:tcPr>
            <w:tcW w:w="1696" w:type="pct"/>
            <w:tcMar>
              <w:top w:w="0" w:type="dxa"/>
              <w:left w:w="108" w:type="dxa"/>
              <w:bottom w:w="0" w:type="dxa"/>
              <w:right w:w="108" w:type="dxa"/>
            </w:tcMar>
          </w:tcPr>
          <w:p w14:paraId="23D84281" w14:textId="77777777" w:rsidR="00A10B25" w:rsidRDefault="00A10B25">
            <w:pPr>
              <w:pStyle w:val="TAL"/>
            </w:pPr>
            <w:r>
              <w:t>UE_MOBILITY</w:t>
            </w:r>
          </w:p>
        </w:tc>
        <w:tc>
          <w:tcPr>
            <w:tcW w:w="1968" w:type="pct"/>
            <w:tcMar>
              <w:top w:w="0" w:type="dxa"/>
              <w:left w:w="108" w:type="dxa"/>
              <w:bottom w:w="0" w:type="dxa"/>
              <w:right w:w="108" w:type="dxa"/>
            </w:tcMar>
          </w:tcPr>
          <w:p w14:paraId="3A7C11DA" w14:textId="77777777" w:rsidR="00A10B25" w:rsidRDefault="00A10B25">
            <w:pPr>
              <w:pStyle w:val="TAL"/>
              <w:rPr>
                <w:lang w:eastAsia="zh-CN"/>
              </w:rPr>
            </w:pPr>
            <w:r>
              <w:rPr>
                <w:lang w:eastAsia="zh-CN"/>
              </w:rPr>
              <w:t>Indicates that the event subscribed is UE mobility information.</w:t>
            </w:r>
          </w:p>
        </w:tc>
        <w:tc>
          <w:tcPr>
            <w:tcW w:w="1336" w:type="pct"/>
          </w:tcPr>
          <w:p w14:paraId="44C59A82" w14:textId="77777777" w:rsidR="00A10B25" w:rsidRDefault="00A10B25">
            <w:pPr>
              <w:pStyle w:val="TAL"/>
              <w:rPr>
                <w:rFonts w:eastAsia="Batang"/>
              </w:rPr>
            </w:pPr>
            <w:r>
              <w:t>UeMobility</w:t>
            </w:r>
          </w:p>
        </w:tc>
      </w:tr>
      <w:tr w:rsidR="00A10B25" w14:paraId="2316BC9B" w14:textId="77777777">
        <w:tc>
          <w:tcPr>
            <w:tcW w:w="1696" w:type="pct"/>
            <w:tcMar>
              <w:top w:w="0" w:type="dxa"/>
              <w:left w:w="108" w:type="dxa"/>
              <w:bottom w:w="0" w:type="dxa"/>
              <w:right w:w="108" w:type="dxa"/>
            </w:tcMar>
          </w:tcPr>
          <w:p w14:paraId="08D71947" w14:textId="77777777" w:rsidR="00A10B25" w:rsidRDefault="00AD5F95">
            <w:pPr>
              <w:pStyle w:val="TAL"/>
            </w:pPr>
            <w:r>
              <w:t>UE_COMMUNICATION</w:t>
            </w:r>
          </w:p>
        </w:tc>
        <w:tc>
          <w:tcPr>
            <w:tcW w:w="1968" w:type="pct"/>
            <w:tcMar>
              <w:top w:w="0" w:type="dxa"/>
              <w:left w:w="108" w:type="dxa"/>
              <w:bottom w:w="0" w:type="dxa"/>
              <w:right w:w="108" w:type="dxa"/>
            </w:tcMar>
          </w:tcPr>
          <w:p w14:paraId="3EF15E2F" w14:textId="77777777" w:rsidR="00A10B25" w:rsidRDefault="00A10B25">
            <w:pPr>
              <w:pStyle w:val="TAL"/>
              <w:rPr>
                <w:lang w:eastAsia="zh-CN"/>
              </w:rPr>
            </w:pPr>
            <w:r>
              <w:rPr>
                <w:lang w:eastAsia="zh-CN"/>
              </w:rPr>
              <w:t>Indicates that the event subscribed is UE communication information.</w:t>
            </w:r>
          </w:p>
        </w:tc>
        <w:tc>
          <w:tcPr>
            <w:tcW w:w="1336" w:type="pct"/>
          </w:tcPr>
          <w:p w14:paraId="4CB6FD0D" w14:textId="77777777" w:rsidR="00A10B25" w:rsidRDefault="00A10B25">
            <w:pPr>
              <w:pStyle w:val="TAL"/>
              <w:rPr>
                <w:rFonts w:eastAsia="Batang"/>
              </w:rPr>
            </w:pPr>
            <w:r>
              <w:t>UeCommunication</w:t>
            </w:r>
          </w:p>
        </w:tc>
      </w:tr>
      <w:tr w:rsidR="00A10B25" w14:paraId="51FA8E18" w14:textId="77777777">
        <w:tc>
          <w:tcPr>
            <w:tcW w:w="1696" w:type="pct"/>
            <w:tcMar>
              <w:top w:w="0" w:type="dxa"/>
              <w:left w:w="108" w:type="dxa"/>
              <w:bottom w:w="0" w:type="dxa"/>
              <w:right w:w="108" w:type="dxa"/>
            </w:tcMar>
          </w:tcPr>
          <w:p w14:paraId="3A4E5AD4" w14:textId="77777777" w:rsidR="00A10B25" w:rsidRDefault="00A10B25">
            <w:pPr>
              <w:pStyle w:val="TAL"/>
            </w:pPr>
            <w:r>
              <w:t>ABNORMAL_BEHAVIOUR</w:t>
            </w:r>
          </w:p>
        </w:tc>
        <w:tc>
          <w:tcPr>
            <w:tcW w:w="1968" w:type="pct"/>
            <w:tcMar>
              <w:top w:w="0" w:type="dxa"/>
              <w:left w:w="108" w:type="dxa"/>
              <w:bottom w:w="0" w:type="dxa"/>
              <w:right w:w="108" w:type="dxa"/>
            </w:tcMar>
          </w:tcPr>
          <w:p w14:paraId="6AFF4CA8" w14:textId="77777777" w:rsidR="00A10B25" w:rsidRDefault="00A10B25">
            <w:pPr>
              <w:pStyle w:val="TAL"/>
              <w:rPr>
                <w:lang w:eastAsia="zh-CN"/>
              </w:rPr>
            </w:pPr>
            <w:r>
              <w:rPr>
                <w:lang w:eastAsia="zh-CN"/>
              </w:rPr>
              <w:t>Indicates that the event subscribed is abnormal behaviour information.</w:t>
            </w:r>
          </w:p>
        </w:tc>
        <w:tc>
          <w:tcPr>
            <w:tcW w:w="1336" w:type="pct"/>
          </w:tcPr>
          <w:p w14:paraId="5F2CBA79" w14:textId="77777777" w:rsidR="00A10B25" w:rsidRDefault="00A10B25">
            <w:pPr>
              <w:pStyle w:val="TAL"/>
            </w:pPr>
            <w:r>
              <w:t>AbnormalBehaviour</w:t>
            </w:r>
          </w:p>
        </w:tc>
      </w:tr>
      <w:tr w:rsidR="00A10B25" w14:paraId="36F283B9" w14:textId="77777777">
        <w:tc>
          <w:tcPr>
            <w:tcW w:w="1696" w:type="pct"/>
            <w:tcMar>
              <w:top w:w="0" w:type="dxa"/>
              <w:left w:w="108" w:type="dxa"/>
              <w:bottom w:w="0" w:type="dxa"/>
              <w:right w:w="108" w:type="dxa"/>
            </w:tcMar>
          </w:tcPr>
          <w:p w14:paraId="142A1C44" w14:textId="77777777" w:rsidR="00A10B25" w:rsidRDefault="00A10B25">
            <w:pPr>
              <w:pStyle w:val="TAL"/>
            </w:pPr>
            <w:r>
              <w:t>USER_DATA_CONGESTION</w:t>
            </w:r>
          </w:p>
        </w:tc>
        <w:tc>
          <w:tcPr>
            <w:tcW w:w="1968" w:type="pct"/>
            <w:tcMar>
              <w:top w:w="0" w:type="dxa"/>
              <w:left w:w="108" w:type="dxa"/>
              <w:bottom w:w="0" w:type="dxa"/>
              <w:right w:w="108" w:type="dxa"/>
            </w:tcMar>
          </w:tcPr>
          <w:p w14:paraId="2E8B259C" w14:textId="77777777" w:rsidR="00A10B25" w:rsidRDefault="00A10B25">
            <w:pPr>
              <w:pStyle w:val="TAL"/>
              <w:rPr>
                <w:lang w:eastAsia="zh-CN"/>
              </w:rPr>
            </w:pPr>
            <w:r>
              <w:t>Indicates that the event subscribed is user data congestion information</w:t>
            </w:r>
          </w:p>
        </w:tc>
        <w:tc>
          <w:tcPr>
            <w:tcW w:w="1336" w:type="pct"/>
          </w:tcPr>
          <w:p w14:paraId="2B2EA166" w14:textId="77777777" w:rsidR="00A10B25" w:rsidRDefault="00A10B25">
            <w:pPr>
              <w:pStyle w:val="TAL"/>
            </w:pPr>
            <w:r>
              <w:t>UserDataCongestion</w:t>
            </w:r>
          </w:p>
        </w:tc>
      </w:tr>
      <w:tr w:rsidR="00A10B25" w14:paraId="45A1A8EA" w14:textId="77777777">
        <w:tc>
          <w:tcPr>
            <w:tcW w:w="1696" w:type="pct"/>
            <w:tcMar>
              <w:top w:w="0" w:type="dxa"/>
              <w:left w:w="108" w:type="dxa"/>
              <w:bottom w:w="0" w:type="dxa"/>
              <w:right w:w="108" w:type="dxa"/>
            </w:tcMar>
          </w:tcPr>
          <w:p w14:paraId="10B4167E" w14:textId="77777777" w:rsidR="00A10B25" w:rsidRDefault="00A10B25">
            <w:pPr>
              <w:pStyle w:val="TAL"/>
            </w:pPr>
            <w:r>
              <w:t>NETWORK_PERFORMANCE</w:t>
            </w:r>
          </w:p>
        </w:tc>
        <w:tc>
          <w:tcPr>
            <w:tcW w:w="1968" w:type="pct"/>
            <w:tcMar>
              <w:top w:w="0" w:type="dxa"/>
              <w:left w:w="108" w:type="dxa"/>
              <w:bottom w:w="0" w:type="dxa"/>
              <w:right w:w="108" w:type="dxa"/>
            </w:tcMar>
          </w:tcPr>
          <w:p w14:paraId="67CFA1C8" w14:textId="77777777" w:rsidR="00A10B25" w:rsidRDefault="00A10B25">
            <w:pPr>
              <w:pStyle w:val="TAL"/>
            </w:pPr>
            <w:r>
              <w:t>Indicates that the event subscribed is network performance information</w:t>
            </w:r>
          </w:p>
        </w:tc>
        <w:tc>
          <w:tcPr>
            <w:tcW w:w="1336" w:type="pct"/>
          </w:tcPr>
          <w:p w14:paraId="237E76D6" w14:textId="77777777" w:rsidR="00A10B25" w:rsidRDefault="00A10B25">
            <w:pPr>
              <w:pStyle w:val="TAL"/>
            </w:pPr>
            <w:r>
              <w:t>NetworkPerformance</w:t>
            </w:r>
          </w:p>
        </w:tc>
      </w:tr>
      <w:tr w:rsidR="00A10B25" w14:paraId="3CB60776" w14:textId="77777777">
        <w:tc>
          <w:tcPr>
            <w:tcW w:w="1696" w:type="pct"/>
            <w:tcMar>
              <w:top w:w="0" w:type="dxa"/>
              <w:left w:w="108" w:type="dxa"/>
              <w:bottom w:w="0" w:type="dxa"/>
              <w:right w:w="108" w:type="dxa"/>
            </w:tcMar>
          </w:tcPr>
          <w:p w14:paraId="65D9E32F" w14:textId="77777777" w:rsidR="00A10B25" w:rsidRDefault="00A10B25">
            <w:pPr>
              <w:pStyle w:val="TAL"/>
            </w:pPr>
            <w:r>
              <w:rPr>
                <w:lang w:eastAsia="zh-CN"/>
              </w:rPr>
              <w:t>NSI_LOAD_LEVEL</w:t>
            </w:r>
          </w:p>
        </w:tc>
        <w:tc>
          <w:tcPr>
            <w:tcW w:w="1968" w:type="pct"/>
            <w:tcMar>
              <w:top w:w="0" w:type="dxa"/>
              <w:left w:w="108" w:type="dxa"/>
              <w:bottom w:w="0" w:type="dxa"/>
              <w:right w:w="108" w:type="dxa"/>
            </w:tcMar>
          </w:tcPr>
          <w:p w14:paraId="72ED7B88" w14:textId="77777777" w:rsidR="00A10B25" w:rsidRDefault="00A10B25">
            <w:pPr>
              <w:pStyle w:val="TAL"/>
            </w:pPr>
            <w:r>
              <w:rPr>
                <w:lang w:eastAsia="zh-CN"/>
              </w:rPr>
              <w:t xml:space="preserve">Indicates that the event subscribed is load level information of Network Slice </w:t>
            </w:r>
            <w:r>
              <w:t xml:space="preserve">and the optionally associated Network Slice </w:t>
            </w:r>
            <w:r>
              <w:rPr>
                <w:lang w:eastAsia="zh-CN"/>
              </w:rPr>
              <w:t>Instance</w:t>
            </w:r>
          </w:p>
        </w:tc>
        <w:tc>
          <w:tcPr>
            <w:tcW w:w="1336" w:type="pct"/>
          </w:tcPr>
          <w:p w14:paraId="1BA8FB1B" w14:textId="77777777" w:rsidR="00A10B25" w:rsidRDefault="00A10B25">
            <w:pPr>
              <w:pStyle w:val="TAL"/>
            </w:pPr>
            <w:r>
              <w:rPr>
                <w:lang w:eastAsia="zh-CN"/>
              </w:rPr>
              <w:t>NsiLoad</w:t>
            </w:r>
          </w:p>
        </w:tc>
      </w:tr>
      <w:tr w:rsidR="00A10B25" w14:paraId="5C75E347" w14:textId="77777777">
        <w:tc>
          <w:tcPr>
            <w:tcW w:w="1696" w:type="pct"/>
            <w:tcMar>
              <w:top w:w="0" w:type="dxa"/>
              <w:left w:w="108" w:type="dxa"/>
              <w:bottom w:w="0" w:type="dxa"/>
              <w:right w:w="108" w:type="dxa"/>
            </w:tcMar>
          </w:tcPr>
          <w:p w14:paraId="2E490CBD" w14:textId="77777777" w:rsidR="00A10B25" w:rsidRDefault="00A10B25">
            <w:pPr>
              <w:pStyle w:val="TAL"/>
              <w:rPr>
                <w:lang w:eastAsia="zh-CN"/>
              </w:rPr>
            </w:pPr>
            <w:r>
              <w:rPr>
                <w:lang w:eastAsia="zh-CN"/>
              </w:rPr>
              <w:t>DISPERSION</w:t>
            </w:r>
          </w:p>
        </w:tc>
        <w:tc>
          <w:tcPr>
            <w:tcW w:w="1968" w:type="pct"/>
            <w:tcMar>
              <w:top w:w="0" w:type="dxa"/>
              <w:left w:w="108" w:type="dxa"/>
              <w:bottom w:w="0" w:type="dxa"/>
              <w:right w:w="108" w:type="dxa"/>
            </w:tcMar>
          </w:tcPr>
          <w:p w14:paraId="437A8474" w14:textId="77777777" w:rsidR="00A10B25" w:rsidRDefault="00A10B25">
            <w:pPr>
              <w:pStyle w:val="TAL"/>
              <w:rPr>
                <w:lang w:eastAsia="zh-CN"/>
              </w:rPr>
            </w:pPr>
            <w:r>
              <w:rPr>
                <w:lang w:eastAsia="zh-CN"/>
              </w:rPr>
              <w:t>Indicates that the event subscribed is dispersion information.</w:t>
            </w:r>
          </w:p>
        </w:tc>
        <w:tc>
          <w:tcPr>
            <w:tcW w:w="1336" w:type="pct"/>
          </w:tcPr>
          <w:p w14:paraId="4E382F28" w14:textId="77777777" w:rsidR="00A10B25" w:rsidRDefault="00A10B25">
            <w:pPr>
              <w:pStyle w:val="TAL"/>
              <w:rPr>
                <w:lang w:eastAsia="zh-CN"/>
              </w:rPr>
            </w:pPr>
            <w:r>
              <w:rPr>
                <w:lang w:eastAsia="zh-CN"/>
              </w:rPr>
              <w:t>Dispersion</w:t>
            </w:r>
          </w:p>
        </w:tc>
      </w:tr>
      <w:tr w:rsidR="00A10B25" w14:paraId="45D1D468" w14:textId="77777777">
        <w:tc>
          <w:tcPr>
            <w:tcW w:w="1696" w:type="pct"/>
            <w:tcMar>
              <w:top w:w="0" w:type="dxa"/>
              <w:left w:w="108" w:type="dxa"/>
              <w:bottom w:w="0" w:type="dxa"/>
              <w:right w:w="108" w:type="dxa"/>
            </w:tcMar>
          </w:tcPr>
          <w:p w14:paraId="319CFB27" w14:textId="77777777" w:rsidR="00A10B25" w:rsidRDefault="00A10B25">
            <w:pPr>
              <w:pStyle w:val="TAL"/>
              <w:rPr>
                <w:lang w:eastAsia="zh-CN"/>
              </w:rPr>
            </w:pPr>
            <w:r>
              <w:rPr>
                <w:lang w:eastAsia="zh-CN"/>
              </w:rPr>
              <w:t>RED_TRANS_EXP</w:t>
            </w:r>
          </w:p>
        </w:tc>
        <w:tc>
          <w:tcPr>
            <w:tcW w:w="1968" w:type="pct"/>
            <w:tcMar>
              <w:top w:w="0" w:type="dxa"/>
              <w:left w:w="108" w:type="dxa"/>
              <w:bottom w:w="0" w:type="dxa"/>
              <w:right w:w="108" w:type="dxa"/>
            </w:tcMar>
          </w:tcPr>
          <w:p w14:paraId="6E5BD145" w14:textId="77777777" w:rsidR="00A10B25" w:rsidRDefault="00A10B25">
            <w:pPr>
              <w:pStyle w:val="TAL"/>
              <w:rPr>
                <w:lang w:eastAsia="zh-CN"/>
              </w:rPr>
            </w:pPr>
            <w:r>
              <w:rPr>
                <w:lang w:eastAsia="zh-CN"/>
              </w:rPr>
              <w:t>Indicates that the event subscribed is redundant transmission experience.</w:t>
            </w:r>
          </w:p>
        </w:tc>
        <w:tc>
          <w:tcPr>
            <w:tcW w:w="1336" w:type="pct"/>
          </w:tcPr>
          <w:p w14:paraId="5378368E" w14:textId="77777777" w:rsidR="00A10B25" w:rsidRDefault="00A10B25">
            <w:pPr>
              <w:pStyle w:val="TAL"/>
              <w:rPr>
                <w:lang w:eastAsia="zh-CN"/>
              </w:rPr>
            </w:pPr>
            <w:r>
              <w:rPr>
                <w:lang w:eastAsia="zh-CN"/>
              </w:rPr>
              <w:t>RedundantTransmissionExp</w:t>
            </w:r>
          </w:p>
        </w:tc>
      </w:tr>
      <w:tr w:rsidR="00A10B25" w14:paraId="20A20102" w14:textId="77777777">
        <w:tc>
          <w:tcPr>
            <w:tcW w:w="1696" w:type="pct"/>
            <w:tcMar>
              <w:top w:w="0" w:type="dxa"/>
              <w:left w:w="108" w:type="dxa"/>
              <w:bottom w:w="0" w:type="dxa"/>
              <w:right w:w="108" w:type="dxa"/>
            </w:tcMar>
          </w:tcPr>
          <w:p w14:paraId="1DCE6610" w14:textId="77777777" w:rsidR="00A10B25" w:rsidRDefault="00A10B25">
            <w:pPr>
              <w:pStyle w:val="TAL"/>
              <w:rPr>
                <w:lang w:eastAsia="zh-CN"/>
              </w:rPr>
            </w:pPr>
            <w:r>
              <w:rPr>
                <w:lang w:eastAsia="zh-CN"/>
              </w:rPr>
              <w:t>WLAN_PERFORMANCE</w:t>
            </w:r>
          </w:p>
        </w:tc>
        <w:tc>
          <w:tcPr>
            <w:tcW w:w="1968" w:type="pct"/>
            <w:tcMar>
              <w:top w:w="0" w:type="dxa"/>
              <w:left w:w="108" w:type="dxa"/>
              <w:bottom w:w="0" w:type="dxa"/>
              <w:right w:w="108" w:type="dxa"/>
            </w:tcMar>
          </w:tcPr>
          <w:p w14:paraId="122E23D8" w14:textId="77777777" w:rsidR="00A10B25" w:rsidRDefault="00A10B25">
            <w:pPr>
              <w:pStyle w:val="TAL"/>
              <w:rPr>
                <w:lang w:eastAsia="zh-CN"/>
              </w:rPr>
            </w:pPr>
            <w:r>
              <w:rPr>
                <w:lang w:eastAsia="zh-CN"/>
              </w:rPr>
              <w:t>Indicates that the event subscribed is WLAN performance.</w:t>
            </w:r>
          </w:p>
        </w:tc>
        <w:tc>
          <w:tcPr>
            <w:tcW w:w="1336" w:type="pct"/>
          </w:tcPr>
          <w:p w14:paraId="0F21D982" w14:textId="77777777" w:rsidR="00A10B25" w:rsidRDefault="00A10B25">
            <w:pPr>
              <w:pStyle w:val="TAL"/>
              <w:rPr>
                <w:lang w:eastAsia="zh-CN"/>
              </w:rPr>
            </w:pPr>
            <w:r>
              <w:rPr>
                <w:lang w:eastAsia="zh-CN"/>
              </w:rPr>
              <w:t>WlanPerformance</w:t>
            </w:r>
          </w:p>
        </w:tc>
      </w:tr>
      <w:tr w:rsidR="00A10B25" w14:paraId="35F88E5F" w14:textId="77777777">
        <w:tc>
          <w:tcPr>
            <w:tcW w:w="1696" w:type="pct"/>
            <w:tcMar>
              <w:top w:w="0" w:type="dxa"/>
              <w:left w:w="108" w:type="dxa"/>
              <w:bottom w:w="0" w:type="dxa"/>
              <w:right w:w="108" w:type="dxa"/>
            </w:tcMar>
          </w:tcPr>
          <w:p w14:paraId="020D66B9" w14:textId="77777777" w:rsidR="00A10B25" w:rsidRDefault="00A10B25">
            <w:pPr>
              <w:pStyle w:val="TAL"/>
              <w:rPr>
                <w:lang w:eastAsia="zh-CN"/>
              </w:rPr>
            </w:pPr>
            <w:r>
              <w:rPr>
                <w:rFonts w:hint="eastAsia"/>
                <w:lang w:eastAsia="zh-CN"/>
              </w:rPr>
              <w:t>D</w:t>
            </w:r>
            <w:r>
              <w:rPr>
                <w:lang w:eastAsia="zh-CN"/>
              </w:rPr>
              <w:t>N_PERFORMANCE</w:t>
            </w:r>
          </w:p>
        </w:tc>
        <w:tc>
          <w:tcPr>
            <w:tcW w:w="1968" w:type="pct"/>
            <w:tcMar>
              <w:top w:w="0" w:type="dxa"/>
              <w:left w:w="108" w:type="dxa"/>
              <w:bottom w:w="0" w:type="dxa"/>
              <w:right w:w="108" w:type="dxa"/>
            </w:tcMar>
          </w:tcPr>
          <w:p w14:paraId="572A7523" w14:textId="77777777" w:rsidR="00A10B25" w:rsidRDefault="00A10B25">
            <w:pPr>
              <w:pStyle w:val="TAL"/>
              <w:rPr>
                <w:lang w:eastAsia="zh-CN"/>
              </w:rPr>
            </w:pPr>
            <w:r>
              <w:rPr>
                <w:lang w:eastAsia="zh-CN"/>
              </w:rPr>
              <w:t>Indicates that the event subscribed is DN performance information.</w:t>
            </w:r>
          </w:p>
        </w:tc>
        <w:tc>
          <w:tcPr>
            <w:tcW w:w="1336" w:type="pct"/>
          </w:tcPr>
          <w:p w14:paraId="12DCA6D2" w14:textId="77777777" w:rsidR="00A10B25" w:rsidRDefault="00A10B25">
            <w:pPr>
              <w:pStyle w:val="TAL"/>
              <w:rPr>
                <w:lang w:eastAsia="zh-CN"/>
              </w:rPr>
            </w:pPr>
            <w:r>
              <w:rPr>
                <w:rFonts w:hint="eastAsia"/>
                <w:lang w:eastAsia="zh-CN"/>
              </w:rPr>
              <w:t>Dn</w:t>
            </w:r>
            <w:r>
              <w:rPr>
                <w:lang w:eastAsia="zh-CN"/>
              </w:rPr>
              <w:t>Performance</w:t>
            </w:r>
          </w:p>
        </w:tc>
      </w:tr>
      <w:tr w:rsidR="00A10B25" w14:paraId="4274EE30" w14:textId="77777777">
        <w:tc>
          <w:tcPr>
            <w:tcW w:w="1696" w:type="pct"/>
            <w:tcMar>
              <w:top w:w="0" w:type="dxa"/>
              <w:left w:w="108" w:type="dxa"/>
              <w:bottom w:w="0" w:type="dxa"/>
              <w:right w:w="108" w:type="dxa"/>
            </w:tcMar>
          </w:tcPr>
          <w:p w14:paraId="1B7AA250" w14:textId="77777777" w:rsidR="00A10B25" w:rsidRDefault="00A10B25">
            <w:pPr>
              <w:pStyle w:val="TAL"/>
              <w:rPr>
                <w:lang w:eastAsia="zh-CN"/>
              </w:rPr>
            </w:pPr>
            <w:r>
              <w:rPr>
                <w:lang w:eastAsia="zh-CN"/>
              </w:rPr>
              <w:t>E2E_DATA_VOL_TRANS_TIME</w:t>
            </w:r>
          </w:p>
        </w:tc>
        <w:tc>
          <w:tcPr>
            <w:tcW w:w="1968" w:type="pct"/>
            <w:tcMar>
              <w:top w:w="0" w:type="dxa"/>
              <w:left w:w="108" w:type="dxa"/>
              <w:bottom w:w="0" w:type="dxa"/>
              <w:right w:w="108" w:type="dxa"/>
            </w:tcMar>
          </w:tcPr>
          <w:p w14:paraId="4AB19BB2" w14:textId="77777777" w:rsidR="00A10B25" w:rsidRDefault="00A10B25">
            <w:pPr>
              <w:pStyle w:val="TAL"/>
              <w:rPr>
                <w:lang w:eastAsia="zh-CN"/>
              </w:rPr>
            </w:pPr>
            <w:r>
              <w:rPr>
                <w:lang w:val="en-US"/>
              </w:rPr>
              <w:t xml:space="preserve">Indicates </w:t>
            </w:r>
            <w:r>
              <w:rPr>
                <w:lang w:eastAsia="zh-CN"/>
              </w:rPr>
              <w:t xml:space="preserve">that the event subscribed is </w:t>
            </w:r>
            <w:r>
              <w:rPr>
                <w:lang w:eastAsia="ko-KR"/>
              </w:rPr>
              <w:t>E2E data volume transfer time</w:t>
            </w:r>
          </w:p>
        </w:tc>
        <w:tc>
          <w:tcPr>
            <w:tcW w:w="1336" w:type="pct"/>
          </w:tcPr>
          <w:p w14:paraId="1AAEE431" w14:textId="77777777" w:rsidR="00A10B25" w:rsidRDefault="00A10B25">
            <w:pPr>
              <w:pStyle w:val="TAL"/>
              <w:rPr>
                <w:lang w:eastAsia="zh-CN"/>
              </w:rPr>
            </w:pPr>
            <w:r>
              <w:rPr>
                <w:lang w:eastAsia="zh-CN"/>
              </w:rPr>
              <w:t>E2eDataVolTransTime</w:t>
            </w:r>
          </w:p>
        </w:tc>
      </w:tr>
      <w:tr w:rsidR="00A10B25" w14:paraId="42FB932B" w14:textId="77777777">
        <w:tc>
          <w:tcPr>
            <w:tcW w:w="1696" w:type="pct"/>
            <w:tcMar>
              <w:top w:w="0" w:type="dxa"/>
              <w:left w:w="108" w:type="dxa"/>
              <w:bottom w:w="0" w:type="dxa"/>
              <w:right w:w="108" w:type="dxa"/>
            </w:tcMar>
          </w:tcPr>
          <w:p w14:paraId="1AE27EBB" w14:textId="77777777" w:rsidR="00A10B25" w:rsidRDefault="00A10B25">
            <w:pPr>
              <w:pStyle w:val="TAL"/>
              <w:rPr>
                <w:lang w:eastAsia="zh-CN"/>
              </w:rPr>
            </w:pPr>
            <w:r>
              <w:rPr>
                <w:rFonts w:hint="eastAsia"/>
                <w:lang w:eastAsia="zh-CN"/>
              </w:rPr>
              <w:t>S</w:t>
            </w:r>
            <w:r>
              <w:rPr>
                <w:lang w:eastAsia="zh-CN"/>
              </w:rPr>
              <w:t>M_</w:t>
            </w:r>
            <w:r>
              <w:t>CONGESTION</w:t>
            </w:r>
          </w:p>
        </w:tc>
        <w:tc>
          <w:tcPr>
            <w:tcW w:w="1968" w:type="pct"/>
            <w:tcMar>
              <w:top w:w="0" w:type="dxa"/>
              <w:left w:w="108" w:type="dxa"/>
              <w:bottom w:w="0" w:type="dxa"/>
              <w:right w:w="108" w:type="dxa"/>
            </w:tcMar>
          </w:tcPr>
          <w:p w14:paraId="7E2496DC" w14:textId="77777777" w:rsidR="00A10B25" w:rsidRDefault="00A10B25">
            <w:pPr>
              <w:pStyle w:val="TAL"/>
              <w:rPr>
                <w:lang w:eastAsia="zh-CN"/>
              </w:rPr>
            </w:pPr>
            <w:r>
              <w:rPr>
                <w:lang w:val="en-US"/>
              </w:rPr>
              <w:t xml:space="preserve">Indicates that the event subscribed is the Session Management Congestion Control Experience information </w:t>
            </w:r>
            <w:r>
              <w:t>for specific DNN and/or S-NSSAI.</w:t>
            </w:r>
          </w:p>
        </w:tc>
        <w:tc>
          <w:tcPr>
            <w:tcW w:w="1336" w:type="pct"/>
          </w:tcPr>
          <w:p w14:paraId="5CBC6856" w14:textId="77777777" w:rsidR="00A10B25" w:rsidRDefault="00A10B25">
            <w:pPr>
              <w:pStyle w:val="TAL"/>
              <w:rPr>
                <w:lang w:eastAsia="zh-CN"/>
              </w:rPr>
            </w:pPr>
            <w:r>
              <w:rPr>
                <w:rFonts w:hint="eastAsia"/>
                <w:lang w:eastAsia="zh-CN"/>
              </w:rPr>
              <w:t>S</w:t>
            </w:r>
            <w:r>
              <w:rPr>
                <w:lang w:eastAsia="zh-CN"/>
              </w:rPr>
              <w:t>MCCE</w:t>
            </w:r>
          </w:p>
        </w:tc>
      </w:tr>
      <w:tr w:rsidR="00A10B25" w14:paraId="05759138" w14:textId="77777777">
        <w:tc>
          <w:tcPr>
            <w:tcW w:w="1696" w:type="pct"/>
            <w:tcMar>
              <w:top w:w="0" w:type="dxa"/>
              <w:left w:w="108" w:type="dxa"/>
              <w:bottom w:w="0" w:type="dxa"/>
              <w:right w:w="108" w:type="dxa"/>
            </w:tcMar>
          </w:tcPr>
          <w:p w14:paraId="4849AFFD" w14:textId="77777777" w:rsidR="00A10B25" w:rsidRDefault="00A10B25">
            <w:pPr>
              <w:pStyle w:val="TAL"/>
              <w:rPr>
                <w:lang w:eastAsia="zh-CN"/>
              </w:rPr>
            </w:pPr>
            <w:r>
              <w:rPr>
                <w:lang w:eastAsia="zh-CN"/>
              </w:rPr>
              <w:t>PFD_DETERMINATION</w:t>
            </w:r>
          </w:p>
        </w:tc>
        <w:tc>
          <w:tcPr>
            <w:tcW w:w="1968" w:type="pct"/>
            <w:tcMar>
              <w:top w:w="0" w:type="dxa"/>
              <w:left w:w="108" w:type="dxa"/>
              <w:bottom w:w="0" w:type="dxa"/>
              <w:right w:w="108" w:type="dxa"/>
            </w:tcMar>
          </w:tcPr>
          <w:p w14:paraId="4DF14ECE" w14:textId="77777777" w:rsidR="00A10B25" w:rsidRDefault="00A10B25">
            <w:pPr>
              <w:pStyle w:val="TAL"/>
              <w:rPr>
                <w:lang w:val="en-US"/>
              </w:rPr>
            </w:pPr>
            <w:r>
              <w:rPr>
                <w:lang w:val="en-US"/>
              </w:rPr>
              <w:t>Indicates that the event subscribed is the PFD Determination information for known application identifier(s).</w:t>
            </w:r>
          </w:p>
        </w:tc>
        <w:tc>
          <w:tcPr>
            <w:tcW w:w="1336" w:type="pct"/>
          </w:tcPr>
          <w:p w14:paraId="3D692322" w14:textId="77777777" w:rsidR="00A10B25" w:rsidRDefault="00A10B25">
            <w:pPr>
              <w:pStyle w:val="TAL"/>
              <w:rPr>
                <w:lang w:eastAsia="zh-CN"/>
              </w:rPr>
            </w:pPr>
            <w:r>
              <w:rPr>
                <w:lang w:eastAsia="zh-CN"/>
              </w:rPr>
              <w:t>PfdDetermination</w:t>
            </w:r>
          </w:p>
        </w:tc>
      </w:tr>
      <w:tr w:rsidR="00A10B25" w14:paraId="7A08F09F" w14:textId="77777777">
        <w:tc>
          <w:tcPr>
            <w:tcW w:w="1696" w:type="pct"/>
            <w:tcMar>
              <w:top w:w="0" w:type="dxa"/>
              <w:left w:w="108" w:type="dxa"/>
              <w:bottom w:w="0" w:type="dxa"/>
              <w:right w:w="108" w:type="dxa"/>
            </w:tcMar>
          </w:tcPr>
          <w:p w14:paraId="0A50B7DC" w14:textId="77777777" w:rsidR="00A10B25" w:rsidRDefault="00A10B25">
            <w:pPr>
              <w:pStyle w:val="TAL"/>
              <w:rPr>
                <w:lang w:eastAsia="zh-CN"/>
              </w:rPr>
            </w:pPr>
            <w:r>
              <w:rPr>
                <w:rFonts w:hint="eastAsia"/>
                <w:lang w:eastAsia="ja-JP"/>
              </w:rPr>
              <w:t>P</w:t>
            </w:r>
            <w:r>
              <w:rPr>
                <w:lang w:eastAsia="ja-JP"/>
              </w:rPr>
              <w:t>DU_SESSION_TRAFFIC</w:t>
            </w:r>
          </w:p>
        </w:tc>
        <w:tc>
          <w:tcPr>
            <w:tcW w:w="1968" w:type="pct"/>
            <w:tcMar>
              <w:top w:w="0" w:type="dxa"/>
              <w:left w:w="108" w:type="dxa"/>
              <w:bottom w:w="0" w:type="dxa"/>
              <w:right w:w="108" w:type="dxa"/>
            </w:tcMar>
          </w:tcPr>
          <w:p w14:paraId="55AA3455" w14:textId="77777777" w:rsidR="00A10B25" w:rsidRDefault="00A10B25">
            <w:pPr>
              <w:pStyle w:val="TAL"/>
              <w:rPr>
                <w:lang w:val="en-US"/>
              </w:rPr>
            </w:pPr>
            <w:r>
              <w:rPr>
                <w:lang w:val="en-US"/>
              </w:rPr>
              <w:t xml:space="preserve">Indicates </w:t>
            </w:r>
            <w:r>
              <w:rPr>
                <w:lang w:eastAsia="zh-CN"/>
              </w:rPr>
              <w:t>that the event subscribed is</w:t>
            </w:r>
            <w:r>
              <w:rPr>
                <w:lang w:val="en-US"/>
              </w:rPr>
              <w:t xml:space="preserve"> the PDU Session traffic information.</w:t>
            </w:r>
          </w:p>
        </w:tc>
        <w:tc>
          <w:tcPr>
            <w:tcW w:w="1336" w:type="pct"/>
          </w:tcPr>
          <w:p w14:paraId="7DA690AB" w14:textId="77777777" w:rsidR="00A10B25" w:rsidRDefault="00A10B25">
            <w:pPr>
              <w:pStyle w:val="TAL"/>
              <w:rPr>
                <w:lang w:eastAsia="zh-CN"/>
              </w:rPr>
            </w:pPr>
            <w:r>
              <w:rPr>
                <w:lang w:eastAsia="zh-CN"/>
              </w:rPr>
              <w:t>PduSesTraffic</w:t>
            </w:r>
          </w:p>
        </w:tc>
      </w:tr>
      <w:tr w:rsidR="00A10B25" w14:paraId="6247FF07"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03F162" w14:textId="77777777" w:rsidR="00A10B25" w:rsidRDefault="00A10B25">
            <w:pPr>
              <w:pStyle w:val="TAL"/>
              <w:rPr>
                <w:lang w:eastAsia="ja-JP"/>
              </w:rPr>
            </w:pPr>
            <w:r>
              <w:rPr>
                <w:lang w:eastAsia="ja-JP"/>
              </w:rPr>
              <w:t>MOVEMENT_BEHAVIOUR</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500C8C" w14:textId="77777777" w:rsidR="00A10B25" w:rsidRDefault="00A10B25">
            <w:pPr>
              <w:pStyle w:val="TAL"/>
              <w:rPr>
                <w:lang w:val="en-US"/>
              </w:rPr>
            </w:pPr>
            <w:r>
              <w:rPr>
                <w:lang w:val="en-US"/>
              </w:rPr>
              <w:t>Indicates that the event subscribed is the Movement Behaviour information.</w:t>
            </w:r>
          </w:p>
        </w:tc>
        <w:tc>
          <w:tcPr>
            <w:tcW w:w="1336" w:type="pct"/>
            <w:tcBorders>
              <w:top w:val="single" w:sz="6" w:space="0" w:color="auto"/>
              <w:left w:val="single" w:sz="6" w:space="0" w:color="auto"/>
              <w:bottom w:val="single" w:sz="6" w:space="0" w:color="auto"/>
              <w:right w:val="single" w:sz="6" w:space="0" w:color="auto"/>
            </w:tcBorders>
          </w:tcPr>
          <w:p w14:paraId="27FE4FCC" w14:textId="77777777" w:rsidR="00A10B25" w:rsidRDefault="00A10B25">
            <w:pPr>
              <w:pStyle w:val="TAL"/>
              <w:rPr>
                <w:lang w:eastAsia="zh-CN"/>
              </w:rPr>
            </w:pPr>
            <w:r>
              <w:rPr>
                <w:lang w:eastAsia="zh-CN"/>
              </w:rPr>
              <w:t>MovementBehaviour</w:t>
            </w:r>
          </w:p>
        </w:tc>
      </w:tr>
      <w:tr w:rsidR="00A10B25" w14:paraId="79E5D4C3"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0F990A" w14:textId="77777777" w:rsidR="00A10B25" w:rsidRDefault="00A10B25">
            <w:pPr>
              <w:pStyle w:val="TAL"/>
              <w:rPr>
                <w:lang w:eastAsia="ja-JP"/>
              </w:rPr>
            </w:pPr>
            <w:r>
              <w:rPr>
                <w:lang w:eastAsia="ja-JP"/>
              </w:rPr>
              <w:t>LOC_ACCURACY</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6F0B3F" w14:textId="77777777" w:rsidR="00A10B25" w:rsidRDefault="00A10B25">
            <w:pPr>
              <w:pStyle w:val="TAL"/>
              <w:rPr>
                <w:lang w:val="en-US"/>
              </w:rPr>
            </w:pPr>
            <w:r>
              <w:rPr>
                <w:lang w:val="en-US"/>
              </w:rPr>
              <w:t>Indicates that the event subscribed is the Location Accuracy information.</w:t>
            </w:r>
          </w:p>
        </w:tc>
        <w:tc>
          <w:tcPr>
            <w:tcW w:w="1336" w:type="pct"/>
            <w:tcBorders>
              <w:top w:val="single" w:sz="6" w:space="0" w:color="auto"/>
              <w:left w:val="single" w:sz="6" w:space="0" w:color="auto"/>
              <w:bottom w:val="single" w:sz="6" w:space="0" w:color="auto"/>
              <w:right w:val="single" w:sz="6" w:space="0" w:color="auto"/>
            </w:tcBorders>
          </w:tcPr>
          <w:p w14:paraId="030F380C" w14:textId="77777777" w:rsidR="00A10B25" w:rsidRDefault="00A10B25">
            <w:pPr>
              <w:pStyle w:val="TAL"/>
              <w:rPr>
                <w:lang w:eastAsia="zh-CN"/>
              </w:rPr>
            </w:pPr>
            <w:r>
              <w:rPr>
                <w:lang w:eastAsia="zh-CN"/>
              </w:rPr>
              <w:t>LocAccuracy</w:t>
            </w:r>
          </w:p>
        </w:tc>
      </w:tr>
      <w:tr w:rsidR="00A10B25" w14:paraId="433F282D"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2023B9" w14:textId="77777777" w:rsidR="00A10B25" w:rsidRDefault="00A10B25">
            <w:pPr>
              <w:pStyle w:val="TAL"/>
              <w:rPr>
                <w:lang w:eastAsia="ja-JP"/>
              </w:rPr>
            </w:pPr>
            <w:r>
              <w:rPr>
                <w:lang w:eastAsia="ja-JP"/>
              </w:rPr>
              <w:t>RELATIVE_PROXIMITY</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072362" w14:textId="77777777" w:rsidR="00A10B25" w:rsidRDefault="00A10B25">
            <w:pPr>
              <w:pStyle w:val="TAL"/>
              <w:rPr>
                <w:lang w:val="en-US"/>
              </w:rPr>
            </w:pPr>
            <w:r>
              <w:rPr>
                <w:lang w:val="en-US"/>
              </w:rPr>
              <w:t>Indicates that the event subscribed is the Relative Proximity information.</w:t>
            </w:r>
          </w:p>
        </w:tc>
        <w:tc>
          <w:tcPr>
            <w:tcW w:w="1336" w:type="pct"/>
            <w:tcBorders>
              <w:top w:val="single" w:sz="6" w:space="0" w:color="auto"/>
              <w:left w:val="single" w:sz="6" w:space="0" w:color="auto"/>
              <w:bottom w:val="single" w:sz="6" w:space="0" w:color="auto"/>
              <w:right w:val="single" w:sz="6" w:space="0" w:color="auto"/>
            </w:tcBorders>
          </w:tcPr>
          <w:p w14:paraId="31E542C4" w14:textId="77777777" w:rsidR="00A10B25" w:rsidRDefault="00A10B25">
            <w:pPr>
              <w:pStyle w:val="TAL"/>
              <w:rPr>
                <w:lang w:eastAsia="zh-CN"/>
              </w:rPr>
            </w:pPr>
            <w:r>
              <w:rPr>
                <w:lang w:eastAsia="zh-CN"/>
              </w:rPr>
              <w:t>RelativeProximity</w:t>
            </w:r>
          </w:p>
        </w:tc>
      </w:tr>
      <w:tr w:rsidR="00143F25" w14:paraId="223C6B2D"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F5316B" w14:textId="77777777" w:rsidR="00143F25" w:rsidRDefault="00143F25" w:rsidP="00143F25">
            <w:pPr>
              <w:pStyle w:val="TAL"/>
              <w:rPr>
                <w:lang w:eastAsia="ja-JP"/>
              </w:rPr>
            </w:pPr>
            <w:r>
              <w:t>SIGNALLING_STORM</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75C55E" w14:textId="77777777" w:rsidR="00143F25" w:rsidRDefault="00143F25" w:rsidP="00143F25">
            <w:pPr>
              <w:pStyle w:val="TAL"/>
              <w:rPr>
                <w:lang w:val="en-US"/>
              </w:rPr>
            </w:pPr>
            <w:r>
              <w:rPr>
                <w:lang w:val="en-US"/>
              </w:rPr>
              <w:t xml:space="preserve">Indicates that the event subscribed is the </w:t>
            </w:r>
            <w:r>
              <w:t>S</w:t>
            </w:r>
            <w:r w:rsidRPr="001C406B">
              <w:t>ignalling</w:t>
            </w:r>
            <w:r>
              <w:t xml:space="preserve"> S</w:t>
            </w:r>
            <w:r w:rsidRPr="001C406B">
              <w:t>torm</w:t>
            </w:r>
            <w:r>
              <w:rPr>
                <w:lang w:val="en-US"/>
              </w:rPr>
              <w:t xml:space="preserve"> information.</w:t>
            </w:r>
          </w:p>
        </w:tc>
        <w:tc>
          <w:tcPr>
            <w:tcW w:w="1336" w:type="pct"/>
            <w:tcBorders>
              <w:top w:val="single" w:sz="6" w:space="0" w:color="auto"/>
              <w:left w:val="single" w:sz="6" w:space="0" w:color="auto"/>
              <w:bottom w:val="single" w:sz="6" w:space="0" w:color="auto"/>
              <w:right w:val="single" w:sz="6" w:space="0" w:color="auto"/>
            </w:tcBorders>
          </w:tcPr>
          <w:p w14:paraId="3E21656A" w14:textId="77777777" w:rsidR="00143F25" w:rsidRDefault="00143F25" w:rsidP="00143F25">
            <w:pPr>
              <w:pStyle w:val="TAL"/>
              <w:rPr>
                <w:lang w:eastAsia="zh-CN"/>
              </w:rPr>
            </w:pPr>
            <w:r>
              <w:t>S</w:t>
            </w:r>
            <w:r w:rsidRPr="001C406B">
              <w:t>ignalling</w:t>
            </w:r>
            <w:r>
              <w:t>S</w:t>
            </w:r>
            <w:r w:rsidRPr="001C406B">
              <w:t>torm</w:t>
            </w:r>
          </w:p>
        </w:tc>
      </w:tr>
      <w:tr w:rsidR="00F525B2" w14:paraId="531014A9" w14:textId="77777777">
        <w:tc>
          <w:tcPr>
            <w:tcW w:w="16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2E864C2" w14:textId="77777777" w:rsidR="00F525B2" w:rsidRDefault="00F525B2" w:rsidP="00F525B2">
            <w:pPr>
              <w:pStyle w:val="TAL"/>
            </w:pPr>
            <w:r>
              <w:t>QOS_POLICY_ASSIST</w:t>
            </w:r>
          </w:p>
        </w:tc>
        <w:tc>
          <w:tcPr>
            <w:tcW w:w="19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6E1DED" w14:textId="77777777" w:rsidR="00F525B2" w:rsidRDefault="00F525B2" w:rsidP="00F525B2">
            <w:pPr>
              <w:pStyle w:val="TAL"/>
              <w:rPr>
                <w:lang w:val="en-US"/>
              </w:rPr>
            </w:pPr>
            <w:r>
              <w:rPr>
                <w:lang w:val="en-US"/>
              </w:rPr>
              <w:t>Indicates that the event subscribed is the QoS and Policy Assistance information.</w:t>
            </w:r>
          </w:p>
        </w:tc>
        <w:tc>
          <w:tcPr>
            <w:tcW w:w="1336" w:type="pct"/>
            <w:tcBorders>
              <w:top w:val="single" w:sz="6" w:space="0" w:color="auto"/>
              <w:left w:val="single" w:sz="6" w:space="0" w:color="auto"/>
              <w:bottom w:val="single" w:sz="6" w:space="0" w:color="auto"/>
              <w:right w:val="single" w:sz="6" w:space="0" w:color="auto"/>
            </w:tcBorders>
          </w:tcPr>
          <w:p w14:paraId="237ED076" w14:textId="77777777" w:rsidR="00F525B2" w:rsidRDefault="00F525B2" w:rsidP="00F525B2">
            <w:pPr>
              <w:pStyle w:val="TAL"/>
            </w:pPr>
            <w:r>
              <w:t>QoSPolicyAssist</w:t>
            </w:r>
          </w:p>
        </w:tc>
      </w:tr>
    </w:tbl>
    <w:p w14:paraId="2AF57069" w14:textId="77777777" w:rsidR="00A10B25" w:rsidRDefault="00A10B25"/>
    <w:p w14:paraId="24E63DE5" w14:textId="77777777" w:rsidR="00A10B25" w:rsidRDefault="00A10B25">
      <w:pPr>
        <w:pStyle w:val="5"/>
      </w:pPr>
      <w:bookmarkStart w:id="8508" w:name="_Toc113031739"/>
      <w:bookmarkStart w:id="8509" w:name="_Toc104539076"/>
      <w:bookmarkStart w:id="8510" w:name="_Toc28012839"/>
      <w:bookmarkStart w:id="8511" w:name="_Toc43563536"/>
      <w:bookmarkStart w:id="8512" w:name="_Toc112951199"/>
      <w:bookmarkStart w:id="8513" w:name="_Toc50032011"/>
      <w:bookmarkStart w:id="8514" w:name="_Toc94064318"/>
      <w:bookmarkStart w:id="8515" w:name="_Toc83233113"/>
      <w:bookmarkStart w:id="8516" w:name="_Toc45134079"/>
      <w:bookmarkStart w:id="8517" w:name="_Toc90655919"/>
      <w:bookmarkStart w:id="8518" w:name="_Toc85557127"/>
      <w:bookmarkStart w:id="8519" w:name="_Toc120702378"/>
      <w:bookmarkStart w:id="8520" w:name="_Toc98233704"/>
      <w:bookmarkStart w:id="8521" w:name="_Toc68168996"/>
      <w:bookmarkStart w:id="8522" w:name="_Toc51762931"/>
      <w:bookmarkStart w:id="8523" w:name="_Toc34266321"/>
      <w:bookmarkStart w:id="8524" w:name="_Toc85553028"/>
      <w:bookmarkStart w:id="8525" w:name="_Toc136562464"/>
      <w:bookmarkStart w:id="8526" w:name="_Toc70550663"/>
      <w:bookmarkStart w:id="8527" w:name="_Toc36102492"/>
      <w:bookmarkStart w:id="8528" w:name="_Toc59017967"/>
      <w:bookmarkStart w:id="8529" w:name="_Toc138754298"/>
      <w:bookmarkStart w:id="8530" w:name="_Toc148522700"/>
      <w:bookmarkStart w:id="8531" w:name="_Toc101244481"/>
      <w:bookmarkStart w:id="8532" w:name="_Toc145705790"/>
      <w:bookmarkStart w:id="8533" w:name="_Toc66231835"/>
      <w:bookmarkStart w:id="8534" w:name="_Toc114133878"/>
      <w:bookmarkStart w:id="8535" w:name="_Toc88667634"/>
      <w:bookmarkStart w:id="8536" w:name="_Toc56640999"/>
      <w:bookmarkStart w:id="8537" w:name="_Toc164920887"/>
      <w:bookmarkStart w:id="8538" w:name="_Toc170120429"/>
      <w:bookmarkStart w:id="8539" w:name="_Toc175858674"/>
      <w:bookmarkStart w:id="8540" w:name="_Toc175859747"/>
      <w:bookmarkStart w:id="8541" w:name="_Toc180606037"/>
      <w:bookmarkStart w:id="8542" w:name="_Toc185517296"/>
      <w:bookmarkStart w:id="8543" w:name="_Toc191576347"/>
      <w:bookmarkStart w:id="8544" w:name="_Toc191577087"/>
      <w:bookmarkStart w:id="8545" w:name="_Toc192880157"/>
      <w:bookmarkStart w:id="8546" w:name="_Toc195815045"/>
      <w:bookmarkStart w:id="8547" w:name="_Toc199453012"/>
      <w:r>
        <w:lastRenderedPageBreak/>
        <w:t>5.1.6.3.5</w:t>
      </w:r>
      <w:r>
        <w:tab/>
        <w:t>Enumeration: Accuracy</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2FE13430" w14:textId="77777777" w:rsidR="00A10B25" w:rsidRDefault="00A10B25">
      <w:pPr>
        <w:pStyle w:val="TH"/>
      </w:pPr>
      <w:bookmarkStart w:id="8548" w:name="_Toc98233705"/>
      <w:bookmarkStart w:id="8549" w:name="_Toc101244482"/>
      <w:bookmarkStart w:id="8550" w:name="_Toc66231836"/>
      <w:bookmarkStart w:id="8551" w:name="_Toc56641000"/>
      <w:bookmarkStart w:id="8552" w:name="_Toc113031740"/>
      <w:bookmarkStart w:id="8553" w:name="_Toc83233114"/>
      <w:bookmarkStart w:id="8554" w:name="_Toc94064319"/>
      <w:bookmarkStart w:id="8555" w:name="_Toc70550664"/>
      <w:bookmarkStart w:id="8556" w:name="_Toc88667635"/>
      <w:bookmarkStart w:id="8557" w:name="_Toc68168997"/>
      <w:bookmarkStart w:id="8558" w:name="_Toc45134080"/>
      <w:bookmarkStart w:id="8559" w:name="_Toc50032012"/>
      <w:bookmarkStart w:id="8560" w:name="_Toc51762932"/>
      <w:bookmarkStart w:id="8561" w:name="_Toc104539077"/>
      <w:bookmarkStart w:id="8562" w:name="_Toc85557128"/>
      <w:bookmarkStart w:id="8563" w:name="_Toc114133879"/>
      <w:bookmarkStart w:id="8564" w:name="_Toc90655920"/>
      <w:bookmarkStart w:id="8565" w:name="_Toc59017968"/>
      <w:bookmarkStart w:id="8566" w:name="_Toc112951200"/>
      <w:bookmarkStart w:id="8567" w:name="_Toc43563537"/>
      <w:bookmarkStart w:id="8568" w:name="_Toc36102493"/>
      <w:bookmarkStart w:id="8569" w:name="_Toc28012840"/>
      <w:bookmarkStart w:id="8570" w:name="_Toc85553029"/>
      <w:bookmarkStart w:id="8571" w:name="_Toc120702379"/>
      <w:bookmarkStart w:id="8572" w:name="_Toc34266322"/>
      <w:r>
        <w:t>Table 5.1.6.3.5-1: Enumeration Accuracy</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4"/>
        <w:gridCol w:w="3814"/>
        <w:gridCol w:w="2236"/>
      </w:tblGrid>
      <w:tr w:rsidR="00A10B25" w14:paraId="24139568" w14:textId="77777777">
        <w:trPr>
          <w:jc w:val="center"/>
        </w:trPr>
        <w:tc>
          <w:tcPr>
            <w:tcW w:w="3244" w:type="dxa"/>
            <w:shd w:val="clear" w:color="auto" w:fill="C0C0C0"/>
            <w:tcMar>
              <w:top w:w="0" w:type="dxa"/>
              <w:left w:w="108" w:type="dxa"/>
              <w:bottom w:w="0" w:type="dxa"/>
              <w:right w:w="108" w:type="dxa"/>
            </w:tcMar>
          </w:tcPr>
          <w:p w14:paraId="6D9BDF8A"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3814" w:type="dxa"/>
            <w:shd w:val="clear" w:color="auto" w:fill="C0C0C0"/>
            <w:tcMar>
              <w:top w:w="0" w:type="dxa"/>
              <w:left w:w="108" w:type="dxa"/>
              <w:bottom w:w="0" w:type="dxa"/>
              <w:right w:w="108" w:type="dxa"/>
            </w:tcMar>
          </w:tcPr>
          <w:p w14:paraId="0FDBA3A0" w14:textId="77777777" w:rsidR="00A10B25" w:rsidRDefault="00A10B25">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7820F994"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6CCE7DC8" w14:textId="77777777">
        <w:trPr>
          <w:jc w:val="center"/>
        </w:trPr>
        <w:tc>
          <w:tcPr>
            <w:tcW w:w="3244" w:type="dxa"/>
            <w:tcMar>
              <w:top w:w="0" w:type="dxa"/>
              <w:left w:w="108" w:type="dxa"/>
              <w:bottom w:w="0" w:type="dxa"/>
              <w:right w:w="108" w:type="dxa"/>
            </w:tcMar>
          </w:tcPr>
          <w:p w14:paraId="1E578D53" w14:textId="77777777" w:rsidR="00A10B25" w:rsidRDefault="00A10B25">
            <w:pPr>
              <w:keepNext/>
              <w:keepLines/>
              <w:spacing w:after="0"/>
              <w:rPr>
                <w:rFonts w:ascii="Arial" w:hAnsi="Arial"/>
                <w:sz w:val="18"/>
              </w:rPr>
            </w:pPr>
            <w:r>
              <w:rPr>
                <w:rFonts w:ascii="Arial" w:hAnsi="Arial"/>
                <w:sz w:val="18"/>
              </w:rPr>
              <w:t>LOW</w:t>
            </w:r>
          </w:p>
        </w:tc>
        <w:tc>
          <w:tcPr>
            <w:tcW w:w="3814" w:type="dxa"/>
            <w:tcMar>
              <w:top w:w="0" w:type="dxa"/>
              <w:left w:w="108" w:type="dxa"/>
              <w:bottom w:w="0" w:type="dxa"/>
              <w:right w:w="108" w:type="dxa"/>
            </w:tcMar>
          </w:tcPr>
          <w:p w14:paraId="1FD57B20" w14:textId="77777777" w:rsidR="00A10B25" w:rsidRDefault="00A10B25">
            <w:pPr>
              <w:keepNext/>
              <w:keepLines/>
              <w:spacing w:after="0"/>
              <w:rPr>
                <w:rFonts w:ascii="Arial" w:hAnsi="Arial"/>
                <w:sz w:val="18"/>
                <w:lang w:eastAsia="zh-CN"/>
              </w:rPr>
            </w:pPr>
            <w:r>
              <w:rPr>
                <w:rFonts w:ascii="Arial" w:hAnsi="Arial"/>
                <w:sz w:val="18"/>
                <w:lang w:eastAsia="zh-CN"/>
              </w:rPr>
              <w:t>Low accuracy.</w:t>
            </w:r>
          </w:p>
        </w:tc>
        <w:tc>
          <w:tcPr>
            <w:tcW w:w="2236" w:type="dxa"/>
          </w:tcPr>
          <w:p w14:paraId="5BE14986" w14:textId="77777777" w:rsidR="00A10B25" w:rsidRDefault="00A10B25">
            <w:pPr>
              <w:keepNext/>
              <w:keepLines/>
              <w:spacing w:after="0"/>
              <w:rPr>
                <w:rFonts w:ascii="Arial" w:hAnsi="Arial"/>
                <w:sz w:val="18"/>
                <w:lang w:eastAsia="zh-CN"/>
              </w:rPr>
            </w:pPr>
          </w:p>
        </w:tc>
      </w:tr>
      <w:tr w:rsidR="00A10B25" w14:paraId="2AD4CCE0" w14:textId="77777777">
        <w:trPr>
          <w:jc w:val="center"/>
        </w:trPr>
        <w:tc>
          <w:tcPr>
            <w:tcW w:w="3244" w:type="dxa"/>
            <w:tcMar>
              <w:top w:w="0" w:type="dxa"/>
              <w:left w:w="108" w:type="dxa"/>
              <w:bottom w:w="0" w:type="dxa"/>
              <w:right w:w="108" w:type="dxa"/>
            </w:tcMar>
          </w:tcPr>
          <w:p w14:paraId="48BC5545" w14:textId="77777777" w:rsidR="00A10B25" w:rsidRDefault="00A10B25">
            <w:pPr>
              <w:keepNext/>
              <w:keepLines/>
              <w:spacing w:after="0"/>
              <w:rPr>
                <w:rFonts w:ascii="Arial" w:hAnsi="Arial"/>
                <w:sz w:val="18"/>
                <w:lang w:eastAsia="zh-CN"/>
              </w:rPr>
            </w:pPr>
            <w:r>
              <w:rPr>
                <w:rFonts w:ascii="Arial" w:hAnsi="Arial" w:hint="eastAsia"/>
                <w:sz w:val="18"/>
                <w:lang w:eastAsia="zh-CN"/>
              </w:rPr>
              <w:t>M</w:t>
            </w:r>
            <w:r>
              <w:rPr>
                <w:rFonts w:ascii="Arial" w:hAnsi="Arial"/>
                <w:sz w:val="18"/>
                <w:lang w:eastAsia="zh-CN"/>
              </w:rPr>
              <w:t>EDIUM</w:t>
            </w:r>
          </w:p>
        </w:tc>
        <w:tc>
          <w:tcPr>
            <w:tcW w:w="3814" w:type="dxa"/>
            <w:tcMar>
              <w:top w:w="0" w:type="dxa"/>
              <w:left w:w="108" w:type="dxa"/>
              <w:bottom w:w="0" w:type="dxa"/>
              <w:right w:w="108" w:type="dxa"/>
            </w:tcMar>
          </w:tcPr>
          <w:p w14:paraId="7C201C64" w14:textId="77777777" w:rsidR="00A10B25" w:rsidRDefault="00A10B25">
            <w:pPr>
              <w:keepNext/>
              <w:keepLines/>
              <w:spacing w:after="0"/>
              <w:rPr>
                <w:rFonts w:ascii="Arial" w:hAnsi="Arial"/>
                <w:sz w:val="18"/>
                <w:lang w:eastAsia="zh-CN"/>
              </w:rPr>
            </w:pPr>
            <w:r>
              <w:rPr>
                <w:rFonts w:ascii="Arial" w:hAnsi="Arial"/>
                <w:sz w:val="18"/>
                <w:lang w:eastAsia="zh-CN"/>
              </w:rPr>
              <w:t>Medium accuracy.</w:t>
            </w:r>
          </w:p>
        </w:tc>
        <w:tc>
          <w:tcPr>
            <w:tcW w:w="2236" w:type="dxa"/>
          </w:tcPr>
          <w:p w14:paraId="76EE30D8" w14:textId="77777777" w:rsidR="00A10B25" w:rsidRDefault="00A10B25">
            <w:pPr>
              <w:keepNext/>
              <w:keepLines/>
              <w:spacing w:after="0"/>
              <w:rPr>
                <w:rFonts w:ascii="Arial" w:hAnsi="Arial"/>
                <w:sz w:val="18"/>
                <w:lang w:eastAsia="zh-CN"/>
              </w:rPr>
            </w:pPr>
            <w:r>
              <w:rPr>
                <w:rFonts w:ascii="Arial" w:hAnsi="Arial"/>
                <w:sz w:val="18"/>
                <w:lang w:eastAsia="zh-CN"/>
              </w:rPr>
              <w:t>ENAExt</w:t>
            </w:r>
          </w:p>
        </w:tc>
      </w:tr>
      <w:tr w:rsidR="00A10B25" w14:paraId="66F05C77" w14:textId="77777777">
        <w:trPr>
          <w:jc w:val="center"/>
        </w:trPr>
        <w:tc>
          <w:tcPr>
            <w:tcW w:w="3244" w:type="dxa"/>
            <w:tcMar>
              <w:top w:w="0" w:type="dxa"/>
              <w:left w:w="108" w:type="dxa"/>
              <w:bottom w:w="0" w:type="dxa"/>
              <w:right w:w="108" w:type="dxa"/>
            </w:tcMar>
          </w:tcPr>
          <w:p w14:paraId="40C47156" w14:textId="77777777" w:rsidR="00A10B25" w:rsidRDefault="00A10B25">
            <w:pPr>
              <w:keepNext/>
              <w:keepLines/>
              <w:spacing w:after="0"/>
              <w:rPr>
                <w:rFonts w:ascii="Arial" w:hAnsi="Arial"/>
                <w:sz w:val="18"/>
              </w:rPr>
            </w:pPr>
            <w:r>
              <w:rPr>
                <w:rFonts w:ascii="Arial" w:hAnsi="Arial"/>
                <w:sz w:val="18"/>
              </w:rPr>
              <w:t>HIGH</w:t>
            </w:r>
          </w:p>
        </w:tc>
        <w:tc>
          <w:tcPr>
            <w:tcW w:w="3814" w:type="dxa"/>
            <w:tcMar>
              <w:top w:w="0" w:type="dxa"/>
              <w:left w:w="108" w:type="dxa"/>
              <w:bottom w:w="0" w:type="dxa"/>
              <w:right w:w="108" w:type="dxa"/>
            </w:tcMar>
          </w:tcPr>
          <w:p w14:paraId="4B3CC06A" w14:textId="77777777" w:rsidR="00A10B25" w:rsidRDefault="00A10B25">
            <w:pPr>
              <w:keepNext/>
              <w:keepLines/>
              <w:spacing w:after="0"/>
              <w:rPr>
                <w:rFonts w:ascii="Arial" w:hAnsi="Arial"/>
                <w:sz w:val="18"/>
                <w:lang w:eastAsia="zh-CN"/>
              </w:rPr>
            </w:pPr>
            <w:r>
              <w:rPr>
                <w:rFonts w:ascii="Arial" w:hAnsi="Arial"/>
                <w:sz w:val="18"/>
                <w:lang w:eastAsia="zh-CN"/>
              </w:rPr>
              <w:t>High accuracy.</w:t>
            </w:r>
          </w:p>
        </w:tc>
        <w:tc>
          <w:tcPr>
            <w:tcW w:w="2236" w:type="dxa"/>
          </w:tcPr>
          <w:p w14:paraId="74AE89FB" w14:textId="77777777" w:rsidR="00A10B25" w:rsidRDefault="00A10B25">
            <w:pPr>
              <w:keepNext/>
              <w:keepLines/>
              <w:spacing w:after="0"/>
              <w:rPr>
                <w:rFonts w:ascii="Arial" w:hAnsi="Arial"/>
                <w:sz w:val="18"/>
                <w:lang w:eastAsia="zh-CN"/>
              </w:rPr>
            </w:pPr>
          </w:p>
        </w:tc>
      </w:tr>
      <w:tr w:rsidR="00A10B25" w14:paraId="1C680073" w14:textId="77777777">
        <w:trPr>
          <w:jc w:val="center"/>
        </w:trPr>
        <w:tc>
          <w:tcPr>
            <w:tcW w:w="3244" w:type="dxa"/>
            <w:tcMar>
              <w:top w:w="0" w:type="dxa"/>
              <w:left w:w="108" w:type="dxa"/>
              <w:bottom w:w="0" w:type="dxa"/>
              <w:right w:w="108" w:type="dxa"/>
            </w:tcMar>
          </w:tcPr>
          <w:p w14:paraId="2E182BDB" w14:textId="77777777" w:rsidR="00A10B25" w:rsidRDefault="00A10B25">
            <w:pPr>
              <w:keepNext/>
              <w:keepLines/>
              <w:spacing w:after="0"/>
              <w:rPr>
                <w:rFonts w:ascii="Arial" w:hAnsi="Arial"/>
                <w:sz w:val="18"/>
                <w:lang w:eastAsia="zh-CN"/>
              </w:rPr>
            </w:pPr>
            <w:r>
              <w:rPr>
                <w:rFonts w:ascii="Arial" w:hAnsi="Arial"/>
                <w:sz w:val="18"/>
                <w:lang w:eastAsia="zh-CN"/>
              </w:rPr>
              <w:t>HIGHEST</w:t>
            </w:r>
          </w:p>
        </w:tc>
        <w:tc>
          <w:tcPr>
            <w:tcW w:w="3814" w:type="dxa"/>
            <w:tcMar>
              <w:top w:w="0" w:type="dxa"/>
              <w:left w:w="108" w:type="dxa"/>
              <w:bottom w:w="0" w:type="dxa"/>
              <w:right w:w="108" w:type="dxa"/>
            </w:tcMar>
          </w:tcPr>
          <w:p w14:paraId="7057363D" w14:textId="77777777" w:rsidR="00A10B25" w:rsidRDefault="00A10B25">
            <w:pPr>
              <w:keepNext/>
              <w:keepLines/>
              <w:spacing w:after="0"/>
              <w:rPr>
                <w:rFonts w:ascii="Arial" w:hAnsi="Arial"/>
                <w:sz w:val="18"/>
                <w:lang w:eastAsia="zh-CN"/>
              </w:rPr>
            </w:pPr>
            <w:r>
              <w:rPr>
                <w:rFonts w:ascii="Arial" w:hAnsi="Arial"/>
                <w:sz w:val="18"/>
                <w:lang w:eastAsia="zh-CN"/>
              </w:rPr>
              <w:t>Highest accuracy.</w:t>
            </w:r>
          </w:p>
        </w:tc>
        <w:tc>
          <w:tcPr>
            <w:tcW w:w="2236" w:type="dxa"/>
          </w:tcPr>
          <w:p w14:paraId="5CC8BF84" w14:textId="77777777" w:rsidR="00A10B25" w:rsidRDefault="00A10B25">
            <w:pPr>
              <w:keepNext/>
              <w:keepLines/>
              <w:spacing w:after="0"/>
              <w:rPr>
                <w:rFonts w:ascii="Arial" w:hAnsi="Arial"/>
                <w:sz w:val="18"/>
                <w:lang w:eastAsia="zh-CN"/>
              </w:rPr>
            </w:pPr>
            <w:r>
              <w:rPr>
                <w:rFonts w:ascii="Arial" w:hAnsi="Arial"/>
                <w:sz w:val="18"/>
                <w:lang w:eastAsia="zh-CN"/>
              </w:rPr>
              <w:t>ENAExt</w:t>
            </w:r>
          </w:p>
        </w:tc>
      </w:tr>
    </w:tbl>
    <w:p w14:paraId="5CE5F8EB" w14:textId="77777777" w:rsidR="00A10B25" w:rsidRDefault="00A10B25"/>
    <w:p w14:paraId="7D8B3199" w14:textId="77777777" w:rsidR="00A10B25" w:rsidRDefault="00A10B25">
      <w:pPr>
        <w:pStyle w:val="5"/>
      </w:pPr>
      <w:bookmarkStart w:id="8573" w:name="_Toc148522701"/>
      <w:bookmarkStart w:id="8574" w:name="_Toc145705791"/>
      <w:bookmarkStart w:id="8575" w:name="_Toc136562465"/>
      <w:bookmarkStart w:id="8576" w:name="_Toc138754299"/>
      <w:bookmarkStart w:id="8577" w:name="_Toc164920888"/>
      <w:bookmarkStart w:id="8578" w:name="_Toc170120430"/>
      <w:bookmarkStart w:id="8579" w:name="_Toc175858675"/>
      <w:bookmarkStart w:id="8580" w:name="_Toc175859748"/>
      <w:bookmarkStart w:id="8581" w:name="_Toc180606038"/>
      <w:bookmarkStart w:id="8582" w:name="_Toc185517297"/>
      <w:bookmarkStart w:id="8583" w:name="_Toc191576348"/>
      <w:bookmarkStart w:id="8584" w:name="_Toc191577088"/>
      <w:bookmarkStart w:id="8585" w:name="_Toc192880158"/>
      <w:bookmarkStart w:id="8586" w:name="_Toc195815046"/>
      <w:bookmarkStart w:id="8587" w:name="_Toc199453013"/>
      <w:r>
        <w:t>5.1.6.3.6</w:t>
      </w:r>
      <w:r>
        <w:tab/>
        <w:t>Enumeration: ExceptionId</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5FFABFCE" w14:textId="77777777" w:rsidR="00A10B25" w:rsidRDefault="00A10B25">
      <w:pPr>
        <w:keepNext/>
        <w:keepLines/>
        <w:spacing w:before="60"/>
        <w:jc w:val="center"/>
        <w:rPr>
          <w:rFonts w:ascii="Arial" w:hAnsi="Arial"/>
          <w:b/>
        </w:rPr>
      </w:pPr>
      <w:r>
        <w:rPr>
          <w:rFonts w:ascii="Arial" w:hAnsi="Arial"/>
          <w:b/>
        </w:rPr>
        <w:t>Table 5.1.6.3.6-1: Enumeration ExceptionId</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797"/>
        <w:gridCol w:w="3261"/>
        <w:gridCol w:w="2236"/>
      </w:tblGrid>
      <w:tr w:rsidR="00A10B25" w14:paraId="357EAA00" w14:textId="77777777">
        <w:trPr>
          <w:jc w:val="center"/>
        </w:trPr>
        <w:tc>
          <w:tcPr>
            <w:tcW w:w="3797" w:type="dxa"/>
            <w:shd w:val="clear" w:color="auto" w:fill="C0C0C0"/>
            <w:tcMar>
              <w:top w:w="0" w:type="dxa"/>
              <w:left w:w="108" w:type="dxa"/>
              <w:bottom w:w="0" w:type="dxa"/>
              <w:right w:w="108" w:type="dxa"/>
            </w:tcMar>
          </w:tcPr>
          <w:p w14:paraId="319D1A2D"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3261" w:type="dxa"/>
            <w:shd w:val="clear" w:color="auto" w:fill="C0C0C0"/>
            <w:tcMar>
              <w:top w:w="0" w:type="dxa"/>
              <w:left w:w="108" w:type="dxa"/>
              <w:bottom w:w="0" w:type="dxa"/>
              <w:right w:w="108" w:type="dxa"/>
            </w:tcMar>
          </w:tcPr>
          <w:p w14:paraId="7302101A" w14:textId="77777777" w:rsidR="00A10B25" w:rsidRDefault="00A10B25">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3130BAE5"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1C452A82" w14:textId="77777777">
        <w:trPr>
          <w:jc w:val="center"/>
        </w:trPr>
        <w:tc>
          <w:tcPr>
            <w:tcW w:w="3797" w:type="dxa"/>
            <w:tcMar>
              <w:top w:w="0" w:type="dxa"/>
              <w:left w:w="108" w:type="dxa"/>
              <w:bottom w:w="0" w:type="dxa"/>
              <w:right w:w="108" w:type="dxa"/>
            </w:tcMar>
          </w:tcPr>
          <w:p w14:paraId="574C8E6D" w14:textId="77777777" w:rsidR="00A10B25" w:rsidRDefault="00A10B25">
            <w:pPr>
              <w:keepNext/>
              <w:keepLines/>
              <w:spacing w:after="0"/>
              <w:rPr>
                <w:rFonts w:ascii="Arial" w:hAnsi="Arial"/>
                <w:sz w:val="18"/>
              </w:rPr>
            </w:pPr>
            <w:r>
              <w:rPr>
                <w:rFonts w:ascii="Arial" w:hAnsi="Arial"/>
                <w:sz w:val="18"/>
              </w:rPr>
              <w:t>UNEXPECTED_UE_LOCATION</w:t>
            </w:r>
          </w:p>
        </w:tc>
        <w:tc>
          <w:tcPr>
            <w:tcW w:w="3261" w:type="dxa"/>
            <w:tcMar>
              <w:top w:w="0" w:type="dxa"/>
              <w:left w:w="108" w:type="dxa"/>
              <w:bottom w:w="0" w:type="dxa"/>
              <w:right w:w="108" w:type="dxa"/>
            </w:tcMar>
          </w:tcPr>
          <w:p w14:paraId="2F00CFEE" w14:textId="77777777" w:rsidR="00A10B25" w:rsidRDefault="00A10B25">
            <w:pPr>
              <w:keepNext/>
              <w:keepLines/>
              <w:spacing w:after="0"/>
              <w:rPr>
                <w:rFonts w:ascii="Arial" w:hAnsi="Arial"/>
                <w:sz w:val="18"/>
              </w:rPr>
            </w:pPr>
            <w:r>
              <w:rPr>
                <w:rFonts w:ascii="Arial" w:hAnsi="Arial" w:hint="eastAsia"/>
                <w:sz w:val="18"/>
              </w:rPr>
              <w:t>Unexpected UE location</w:t>
            </w:r>
          </w:p>
        </w:tc>
        <w:tc>
          <w:tcPr>
            <w:tcW w:w="2236" w:type="dxa"/>
          </w:tcPr>
          <w:p w14:paraId="4D359941" w14:textId="77777777" w:rsidR="00A10B25" w:rsidRDefault="00A10B25">
            <w:pPr>
              <w:keepNext/>
              <w:keepLines/>
              <w:spacing w:after="0"/>
              <w:rPr>
                <w:rFonts w:ascii="Arial" w:hAnsi="Arial"/>
                <w:sz w:val="18"/>
              </w:rPr>
            </w:pPr>
          </w:p>
        </w:tc>
      </w:tr>
      <w:tr w:rsidR="00A10B25" w14:paraId="05DA65D0" w14:textId="77777777">
        <w:trPr>
          <w:jc w:val="center"/>
        </w:trPr>
        <w:tc>
          <w:tcPr>
            <w:tcW w:w="3797" w:type="dxa"/>
            <w:tcMar>
              <w:top w:w="0" w:type="dxa"/>
              <w:left w:w="108" w:type="dxa"/>
              <w:bottom w:w="0" w:type="dxa"/>
              <w:right w:w="108" w:type="dxa"/>
            </w:tcMar>
          </w:tcPr>
          <w:p w14:paraId="247C732D" w14:textId="77777777" w:rsidR="00A10B25" w:rsidRDefault="00A10B25">
            <w:pPr>
              <w:keepNext/>
              <w:keepLines/>
              <w:spacing w:after="0"/>
              <w:rPr>
                <w:rFonts w:ascii="Arial" w:hAnsi="Arial"/>
                <w:sz w:val="18"/>
              </w:rPr>
            </w:pPr>
            <w:r>
              <w:rPr>
                <w:rFonts w:ascii="Arial" w:hAnsi="Arial" w:hint="eastAsia"/>
                <w:sz w:val="18"/>
              </w:rPr>
              <w:t>UNEXPECTED_LONG_LIVE_FLOW</w:t>
            </w:r>
          </w:p>
        </w:tc>
        <w:tc>
          <w:tcPr>
            <w:tcW w:w="3261" w:type="dxa"/>
            <w:tcMar>
              <w:top w:w="0" w:type="dxa"/>
              <w:left w:w="108" w:type="dxa"/>
              <w:bottom w:w="0" w:type="dxa"/>
              <w:right w:w="108" w:type="dxa"/>
            </w:tcMar>
          </w:tcPr>
          <w:p w14:paraId="555B56CB" w14:textId="77777777" w:rsidR="00A10B25" w:rsidRDefault="00A10B25">
            <w:pPr>
              <w:keepNext/>
              <w:keepLines/>
              <w:spacing w:after="0"/>
              <w:rPr>
                <w:rFonts w:ascii="Arial" w:hAnsi="Arial"/>
                <w:sz w:val="18"/>
              </w:rPr>
            </w:pPr>
            <w:r>
              <w:rPr>
                <w:rFonts w:ascii="Arial" w:hAnsi="Arial" w:hint="eastAsia"/>
                <w:sz w:val="18"/>
              </w:rPr>
              <w:t>Unexpected long-live rate</w:t>
            </w:r>
            <w:r>
              <w:rPr>
                <w:rFonts w:ascii="Arial" w:hAnsi="Arial"/>
                <w:sz w:val="18"/>
              </w:rPr>
              <w:t xml:space="preserve"> </w:t>
            </w:r>
            <w:r>
              <w:rPr>
                <w:rFonts w:ascii="Arial" w:hAnsi="Arial" w:hint="eastAsia"/>
                <w:sz w:val="18"/>
              </w:rPr>
              <w:t>f</w:t>
            </w:r>
            <w:r>
              <w:rPr>
                <w:rFonts w:ascii="Arial" w:hAnsi="Arial"/>
                <w:sz w:val="18"/>
              </w:rPr>
              <w:t>low</w:t>
            </w:r>
            <w:r>
              <w:rPr>
                <w:rFonts w:ascii="Arial" w:hAnsi="Arial" w:hint="eastAsia"/>
                <w:sz w:val="18"/>
              </w:rPr>
              <w:t>s</w:t>
            </w:r>
          </w:p>
        </w:tc>
        <w:tc>
          <w:tcPr>
            <w:tcW w:w="2236" w:type="dxa"/>
          </w:tcPr>
          <w:p w14:paraId="2C1D9498" w14:textId="77777777" w:rsidR="00A10B25" w:rsidRDefault="00A10B25">
            <w:pPr>
              <w:keepNext/>
              <w:keepLines/>
              <w:spacing w:after="0"/>
              <w:rPr>
                <w:rFonts w:ascii="Arial" w:eastAsia="Batang" w:hAnsi="Arial"/>
                <w:sz w:val="18"/>
              </w:rPr>
            </w:pPr>
          </w:p>
        </w:tc>
      </w:tr>
      <w:tr w:rsidR="00A10B25" w14:paraId="19F242A3" w14:textId="77777777">
        <w:trPr>
          <w:jc w:val="center"/>
        </w:trPr>
        <w:tc>
          <w:tcPr>
            <w:tcW w:w="3797" w:type="dxa"/>
            <w:tcMar>
              <w:top w:w="0" w:type="dxa"/>
              <w:left w:w="108" w:type="dxa"/>
              <w:bottom w:w="0" w:type="dxa"/>
              <w:right w:w="108" w:type="dxa"/>
            </w:tcMar>
          </w:tcPr>
          <w:p w14:paraId="268080D4" w14:textId="77777777" w:rsidR="00A10B25" w:rsidRDefault="00A10B25">
            <w:pPr>
              <w:keepNext/>
              <w:keepLines/>
              <w:spacing w:after="0"/>
              <w:rPr>
                <w:rFonts w:ascii="Arial" w:hAnsi="Arial" w:hint="eastAsia"/>
                <w:sz w:val="18"/>
              </w:rPr>
            </w:pPr>
            <w:r>
              <w:rPr>
                <w:rFonts w:ascii="Arial" w:hAnsi="Arial"/>
                <w:sz w:val="18"/>
              </w:rPr>
              <w:t>UNEXPECTED_LARGE_RATE_FLOW</w:t>
            </w:r>
          </w:p>
        </w:tc>
        <w:tc>
          <w:tcPr>
            <w:tcW w:w="3261" w:type="dxa"/>
            <w:tcMar>
              <w:top w:w="0" w:type="dxa"/>
              <w:left w:w="108" w:type="dxa"/>
              <w:bottom w:w="0" w:type="dxa"/>
              <w:right w:w="108" w:type="dxa"/>
            </w:tcMar>
          </w:tcPr>
          <w:p w14:paraId="2ADB1B8F" w14:textId="77777777" w:rsidR="00A10B25" w:rsidRDefault="00A10B25">
            <w:pPr>
              <w:keepNext/>
              <w:keepLines/>
              <w:spacing w:after="0"/>
              <w:rPr>
                <w:rFonts w:ascii="Arial" w:hAnsi="Arial" w:hint="eastAsia"/>
                <w:sz w:val="18"/>
              </w:rPr>
            </w:pPr>
            <w:r>
              <w:rPr>
                <w:rFonts w:ascii="Arial" w:hAnsi="Arial" w:hint="eastAsia"/>
                <w:sz w:val="18"/>
              </w:rPr>
              <w:t>Unexpected large rate</w:t>
            </w:r>
            <w:r>
              <w:rPr>
                <w:rFonts w:ascii="Arial" w:hAnsi="Arial"/>
                <w:sz w:val="18"/>
              </w:rPr>
              <w:t xml:space="preserve"> </w:t>
            </w:r>
            <w:r>
              <w:rPr>
                <w:rFonts w:ascii="Arial" w:hAnsi="Arial" w:hint="eastAsia"/>
                <w:sz w:val="18"/>
              </w:rPr>
              <w:t>f</w:t>
            </w:r>
            <w:r>
              <w:rPr>
                <w:rFonts w:ascii="Arial" w:hAnsi="Arial"/>
                <w:sz w:val="18"/>
              </w:rPr>
              <w:t>low</w:t>
            </w:r>
            <w:r>
              <w:rPr>
                <w:rFonts w:ascii="Arial" w:hAnsi="Arial" w:hint="eastAsia"/>
                <w:sz w:val="18"/>
              </w:rPr>
              <w:t>s</w:t>
            </w:r>
          </w:p>
        </w:tc>
        <w:tc>
          <w:tcPr>
            <w:tcW w:w="2236" w:type="dxa"/>
          </w:tcPr>
          <w:p w14:paraId="32BD0EEC" w14:textId="77777777" w:rsidR="00A10B25" w:rsidRDefault="00A10B25">
            <w:pPr>
              <w:keepNext/>
              <w:keepLines/>
              <w:spacing w:after="0"/>
              <w:rPr>
                <w:rFonts w:ascii="Arial" w:eastAsia="Batang" w:hAnsi="Arial"/>
                <w:sz w:val="18"/>
              </w:rPr>
            </w:pPr>
          </w:p>
        </w:tc>
      </w:tr>
      <w:tr w:rsidR="00A10B25" w14:paraId="4883D4C8" w14:textId="77777777">
        <w:trPr>
          <w:jc w:val="center"/>
        </w:trPr>
        <w:tc>
          <w:tcPr>
            <w:tcW w:w="3797" w:type="dxa"/>
            <w:tcMar>
              <w:top w:w="0" w:type="dxa"/>
              <w:left w:w="108" w:type="dxa"/>
              <w:bottom w:w="0" w:type="dxa"/>
              <w:right w:w="108" w:type="dxa"/>
            </w:tcMar>
          </w:tcPr>
          <w:p w14:paraId="7DF324F4" w14:textId="77777777" w:rsidR="00A10B25" w:rsidRDefault="00A10B25">
            <w:pPr>
              <w:keepNext/>
              <w:keepLines/>
              <w:spacing w:after="0"/>
              <w:rPr>
                <w:rFonts w:ascii="Arial" w:hAnsi="Arial"/>
                <w:sz w:val="18"/>
              </w:rPr>
            </w:pPr>
            <w:r>
              <w:rPr>
                <w:rFonts w:ascii="Arial" w:hAnsi="Arial"/>
                <w:sz w:val="18"/>
              </w:rPr>
              <w:t>UNEXPECTED_WAKEUP</w:t>
            </w:r>
          </w:p>
        </w:tc>
        <w:tc>
          <w:tcPr>
            <w:tcW w:w="3261" w:type="dxa"/>
            <w:tcMar>
              <w:top w:w="0" w:type="dxa"/>
              <w:left w:w="108" w:type="dxa"/>
              <w:bottom w:w="0" w:type="dxa"/>
              <w:right w:w="108" w:type="dxa"/>
            </w:tcMar>
          </w:tcPr>
          <w:p w14:paraId="73DD9841" w14:textId="77777777" w:rsidR="00A10B25" w:rsidRDefault="00A10B25">
            <w:pPr>
              <w:keepNext/>
              <w:keepLines/>
              <w:spacing w:after="0"/>
              <w:rPr>
                <w:rFonts w:ascii="Arial" w:hAnsi="Arial"/>
                <w:sz w:val="18"/>
              </w:rPr>
            </w:pPr>
            <w:r>
              <w:rPr>
                <w:rFonts w:ascii="Arial" w:hAnsi="Arial" w:hint="eastAsia"/>
                <w:sz w:val="18"/>
              </w:rPr>
              <w:t>Unexpected wakeup</w:t>
            </w:r>
          </w:p>
        </w:tc>
        <w:tc>
          <w:tcPr>
            <w:tcW w:w="2236" w:type="dxa"/>
          </w:tcPr>
          <w:p w14:paraId="1726D9F2" w14:textId="77777777" w:rsidR="00A10B25" w:rsidRDefault="00A10B25">
            <w:pPr>
              <w:keepNext/>
              <w:keepLines/>
              <w:spacing w:after="0"/>
              <w:rPr>
                <w:rFonts w:ascii="Arial" w:eastAsia="Batang" w:hAnsi="Arial"/>
                <w:sz w:val="18"/>
              </w:rPr>
            </w:pPr>
          </w:p>
        </w:tc>
      </w:tr>
      <w:tr w:rsidR="00A10B25" w14:paraId="6008A1AA" w14:textId="77777777">
        <w:trPr>
          <w:jc w:val="center"/>
        </w:trPr>
        <w:tc>
          <w:tcPr>
            <w:tcW w:w="3797" w:type="dxa"/>
            <w:tcMar>
              <w:top w:w="0" w:type="dxa"/>
              <w:left w:w="108" w:type="dxa"/>
              <w:bottom w:w="0" w:type="dxa"/>
              <w:right w:w="108" w:type="dxa"/>
            </w:tcMar>
          </w:tcPr>
          <w:p w14:paraId="0486DB85" w14:textId="77777777" w:rsidR="00A10B25" w:rsidRDefault="00A10B25">
            <w:pPr>
              <w:keepNext/>
              <w:keepLines/>
              <w:spacing w:after="0"/>
              <w:rPr>
                <w:rFonts w:ascii="Arial" w:hAnsi="Arial"/>
                <w:sz w:val="18"/>
              </w:rPr>
            </w:pPr>
            <w:r>
              <w:rPr>
                <w:rFonts w:ascii="Arial" w:hAnsi="Arial"/>
                <w:sz w:val="18"/>
              </w:rPr>
              <w:t>SUSPICION_OF_DDOS_ATTACK</w:t>
            </w:r>
          </w:p>
        </w:tc>
        <w:tc>
          <w:tcPr>
            <w:tcW w:w="3261" w:type="dxa"/>
            <w:tcMar>
              <w:top w:w="0" w:type="dxa"/>
              <w:left w:w="108" w:type="dxa"/>
              <w:bottom w:w="0" w:type="dxa"/>
              <w:right w:w="108" w:type="dxa"/>
            </w:tcMar>
          </w:tcPr>
          <w:p w14:paraId="44A02F25" w14:textId="77777777" w:rsidR="00A10B25" w:rsidRDefault="00A10B25">
            <w:pPr>
              <w:keepNext/>
              <w:keepLines/>
              <w:spacing w:after="0"/>
              <w:rPr>
                <w:rFonts w:ascii="Arial" w:hAnsi="Arial"/>
                <w:sz w:val="18"/>
              </w:rPr>
            </w:pPr>
            <w:r>
              <w:rPr>
                <w:rFonts w:ascii="Arial" w:hAnsi="Arial"/>
                <w:sz w:val="18"/>
              </w:rPr>
              <w:t>Suspicion</w:t>
            </w:r>
            <w:r>
              <w:rPr>
                <w:rFonts w:ascii="Arial" w:hAnsi="Arial" w:hint="eastAsia"/>
                <w:sz w:val="18"/>
              </w:rPr>
              <w:t xml:space="preserve"> of DDoS attack</w:t>
            </w:r>
          </w:p>
        </w:tc>
        <w:tc>
          <w:tcPr>
            <w:tcW w:w="2236" w:type="dxa"/>
          </w:tcPr>
          <w:p w14:paraId="503D7043" w14:textId="77777777" w:rsidR="00A10B25" w:rsidRDefault="00A10B25">
            <w:pPr>
              <w:keepNext/>
              <w:keepLines/>
              <w:spacing w:after="0"/>
              <w:rPr>
                <w:rFonts w:ascii="Arial" w:eastAsia="Batang" w:hAnsi="Arial"/>
                <w:sz w:val="18"/>
              </w:rPr>
            </w:pPr>
          </w:p>
        </w:tc>
      </w:tr>
      <w:tr w:rsidR="00A10B25" w14:paraId="10CB38AD" w14:textId="77777777">
        <w:trPr>
          <w:jc w:val="center"/>
        </w:trPr>
        <w:tc>
          <w:tcPr>
            <w:tcW w:w="3797" w:type="dxa"/>
            <w:tcMar>
              <w:top w:w="0" w:type="dxa"/>
              <w:left w:w="108" w:type="dxa"/>
              <w:bottom w:w="0" w:type="dxa"/>
              <w:right w:w="108" w:type="dxa"/>
            </w:tcMar>
          </w:tcPr>
          <w:p w14:paraId="462EE31B" w14:textId="77777777" w:rsidR="00A10B25" w:rsidRDefault="00A10B25">
            <w:pPr>
              <w:keepNext/>
              <w:keepLines/>
              <w:spacing w:after="0"/>
              <w:rPr>
                <w:rFonts w:ascii="Arial" w:hAnsi="Arial"/>
                <w:sz w:val="18"/>
              </w:rPr>
            </w:pPr>
            <w:r>
              <w:rPr>
                <w:rFonts w:ascii="Arial" w:hAnsi="Arial"/>
                <w:sz w:val="18"/>
              </w:rPr>
              <w:t>WRONG_DESTINATION_ADDRESS</w:t>
            </w:r>
          </w:p>
        </w:tc>
        <w:tc>
          <w:tcPr>
            <w:tcW w:w="3261" w:type="dxa"/>
            <w:tcMar>
              <w:top w:w="0" w:type="dxa"/>
              <w:left w:w="108" w:type="dxa"/>
              <w:bottom w:w="0" w:type="dxa"/>
              <w:right w:w="108" w:type="dxa"/>
            </w:tcMar>
          </w:tcPr>
          <w:p w14:paraId="0FCB4F50" w14:textId="77777777" w:rsidR="00A10B25" w:rsidRDefault="00A10B25">
            <w:pPr>
              <w:keepNext/>
              <w:keepLines/>
              <w:spacing w:after="0"/>
              <w:rPr>
                <w:rFonts w:ascii="Arial" w:hAnsi="Arial"/>
                <w:sz w:val="18"/>
              </w:rPr>
            </w:pPr>
            <w:r>
              <w:rPr>
                <w:rFonts w:ascii="Arial" w:hAnsi="Arial" w:hint="eastAsia"/>
                <w:sz w:val="18"/>
              </w:rPr>
              <w:t>Wrong destination address</w:t>
            </w:r>
          </w:p>
        </w:tc>
        <w:tc>
          <w:tcPr>
            <w:tcW w:w="2236" w:type="dxa"/>
          </w:tcPr>
          <w:p w14:paraId="05AE7500" w14:textId="77777777" w:rsidR="00A10B25" w:rsidRDefault="00A10B25">
            <w:pPr>
              <w:keepNext/>
              <w:keepLines/>
              <w:spacing w:after="0"/>
              <w:rPr>
                <w:rFonts w:ascii="Arial" w:eastAsia="Batang" w:hAnsi="Arial"/>
                <w:sz w:val="18"/>
              </w:rPr>
            </w:pPr>
          </w:p>
        </w:tc>
      </w:tr>
      <w:tr w:rsidR="00A10B25" w14:paraId="47C658F7" w14:textId="77777777">
        <w:trPr>
          <w:trHeight w:val="46"/>
          <w:jc w:val="center"/>
        </w:trPr>
        <w:tc>
          <w:tcPr>
            <w:tcW w:w="3797" w:type="dxa"/>
            <w:tcMar>
              <w:top w:w="0" w:type="dxa"/>
              <w:left w:w="108" w:type="dxa"/>
              <w:bottom w:w="0" w:type="dxa"/>
              <w:right w:w="108" w:type="dxa"/>
            </w:tcMar>
          </w:tcPr>
          <w:p w14:paraId="5F49F6C0" w14:textId="77777777" w:rsidR="00A10B25" w:rsidRDefault="00A10B25">
            <w:pPr>
              <w:keepNext/>
              <w:keepLines/>
              <w:spacing w:after="0"/>
              <w:rPr>
                <w:rFonts w:ascii="Arial" w:hAnsi="Arial"/>
                <w:sz w:val="18"/>
              </w:rPr>
            </w:pPr>
            <w:r>
              <w:rPr>
                <w:rFonts w:ascii="Arial" w:hAnsi="Arial"/>
                <w:sz w:val="18"/>
              </w:rPr>
              <w:t>TOO_FREQUENT_SERVICE_ACCESS</w:t>
            </w:r>
          </w:p>
        </w:tc>
        <w:tc>
          <w:tcPr>
            <w:tcW w:w="3261" w:type="dxa"/>
            <w:tcMar>
              <w:top w:w="0" w:type="dxa"/>
              <w:left w:w="108" w:type="dxa"/>
              <w:bottom w:w="0" w:type="dxa"/>
              <w:right w:w="108" w:type="dxa"/>
            </w:tcMar>
          </w:tcPr>
          <w:p w14:paraId="338BFC8B" w14:textId="77777777" w:rsidR="00A10B25" w:rsidRDefault="00A10B25">
            <w:pPr>
              <w:keepNext/>
              <w:keepLines/>
              <w:spacing w:after="0"/>
              <w:rPr>
                <w:rFonts w:ascii="Arial" w:hAnsi="Arial"/>
                <w:sz w:val="18"/>
              </w:rPr>
            </w:pPr>
            <w:r>
              <w:rPr>
                <w:rFonts w:ascii="Arial" w:hAnsi="Arial"/>
                <w:sz w:val="18"/>
              </w:rPr>
              <w:t>Too frequent Service Access</w:t>
            </w:r>
          </w:p>
        </w:tc>
        <w:tc>
          <w:tcPr>
            <w:tcW w:w="2236" w:type="dxa"/>
          </w:tcPr>
          <w:p w14:paraId="1C641D57" w14:textId="77777777" w:rsidR="00A10B25" w:rsidRDefault="00A10B25">
            <w:pPr>
              <w:keepNext/>
              <w:keepLines/>
              <w:spacing w:after="0"/>
              <w:rPr>
                <w:rFonts w:ascii="Arial" w:eastAsia="Batang" w:hAnsi="Arial"/>
                <w:sz w:val="18"/>
              </w:rPr>
            </w:pPr>
          </w:p>
        </w:tc>
      </w:tr>
      <w:tr w:rsidR="00A10B25" w14:paraId="4AD9F9D4" w14:textId="77777777">
        <w:trPr>
          <w:jc w:val="center"/>
        </w:trPr>
        <w:tc>
          <w:tcPr>
            <w:tcW w:w="3797" w:type="dxa"/>
            <w:tcMar>
              <w:top w:w="0" w:type="dxa"/>
              <w:left w:w="108" w:type="dxa"/>
              <w:bottom w:w="0" w:type="dxa"/>
              <w:right w:w="108" w:type="dxa"/>
            </w:tcMar>
          </w:tcPr>
          <w:p w14:paraId="1F4FC4B7" w14:textId="77777777" w:rsidR="00A10B25" w:rsidRDefault="00A10B25">
            <w:pPr>
              <w:pStyle w:val="TAL"/>
            </w:pPr>
            <w:r>
              <w:rPr>
                <w:rFonts w:hint="eastAsia"/>
              </w:rPr>
              <w:t>UNEXPECTED</w:t>
            </w:r>
            <w:r>
              <w:t>_RADIO_LINK_FAILURES</w:t>
            </w:r>
          </w:p>
        </w:tc>
        <w:tc>
          <w:tcPr>
            <w:tcW w:w="3261" w:type="dxa"/>
            <w:tcMar>
              <w:top w:w="0" w:type="dxa"/>
              <w:left w:w="108" w:type="dxa"/>
              <w:bottom w:w="0" w:type="dxa"/>
              <w:right w:w="108" w:type="dxa"/>
            </w:tcMar>
          </w:tcPr>
          <w:p w14:paraId="523A50CF" w14:textId="77777777" w:rsidR="00A10B25" w:rsidRDefault="00A10B25">
            <w:pPr>
              <w:pStyle w:val="TAL"/>
            </w:pPr>
            <w:r>
              <w:t>Unexpected radio link failures</w:t>
            </w:r>
          </w:p>
        </w:tc>
        <w:tc>
          <w:tcPr>
            <w:tcW w:w="2236" w:type="dxa"/>
          </w:tcPr>
          <w:p w14:paraId="223AF51C" w14:textId="77777777" w:rsidR="00A10B25" w:rsidRDefault="00A10B25">
            <w:pPr>
              <w:keepNext/>
              <w:keepLines/>
              <w:spacing w:after="0"/>
              <w:rPr>
                <w:rFonts w:ascii="Arial" w:eastAsia="Batang" w:hAnsi="Arial"/>
                <w:sz w:val="18"/>
              </w:rPr>
            </w:pPr>
          </w:p>
        </w:tc>
      </w:tr>
      <w:tr w:rsidR="00A10B25" w14:paraId="409DC4AF" w14:textId="77777777">
        <w:trPr>
          <w:jc w:val="center"/>
        </w:trPr>
        <w:tc>
          <w:tcPr>
            <w:tcW w:w="3797" w:type="dxa"/>
            <w:tcMar>
              <w:top w:w="0" w:type="dxa"/>
              <w:left w:w="108" w:type="dxa"/>
              <w:bottom w:w="0" w:type="dxa"/>
              <w:right w:w="108" w:type="dxa"/>
            </w:tcMar>
          </w:tcPr>
          <w:p w14:paraId="27521EDF" w14:textId="77777777" w:rsidR="00A10B25" w:rsidRDefault="00A10B25">
            <w:pPr>
              <w:pStyle w:val="TAL"/>
            </w:pPr>
            <w:r>
              <w:t>PING_PONG_ACROSS_CELLS</w:t>
            </w:r>
          </w:p>
        </w:tc>
        <w:tc>
          <w:tcPr>
            <w:tcW w:w="3261" w:type="dxa"/>
            <w:tcMar>
              <w:top w:w="0" w:type="dxa"/>
              <w:left w:w="108" w:type="dxa"/>
              <w:bottom w:w="0" w:type="dxa"/>
              <w:right w:w="108" w:type="dxa"/>
            </w:tcMar>
          </w:tcPr>
          <w:p w14:paraId="14771739" w14:textId="77777777" w:rsidR="00A10B25" w:rsidRDefault="00A10B25">
            <w:pPr>
              <w:pStyle w:val="TAL"/>
            </w:pPr>
            <w:r>
              <w:t>Ping-ponging across neighbouring cells</w:t>
            </w:r>
          </w:p>
        </w:tc>
        <w:tc>
          <w:tcPr>
            <w:tcW w:w="2236" w:type="dxa"/>
          </w:tcPr>
          <w:p w14:paraId="37C2A0C0" w14:textId="77777777" w:rsidR="00A10B25" w:rsidRDefault="00A10B25">
            <w:pPr>
              <w:keepNext/>
              <w:keepLines/>
              <w:spacing w:after="0"/>
              <w:rPr>
                <w:rFonts w:ascii="Arial" w:eastAsia="Batang" w:hAnsi="Arial"/>
                <w:sz w:val="18"/>
              </w:rPr>
            </w:pPr>
          </w:p>
        </w:tc>
      </w:tr>
    </w:tbl>
    <w:p w14:paraId="7F8F4CBB" w14:textId="77777777" w:rsidR="00A10B25" w:rsidRDefault="00A10B25">
      <w:pPr>
        <w:rPr>
          <w:lang w:val="en-US" w:eastAsia="zh-CN"/>
        </w:rPr>
      </w:pPr>
    </w:p>
    <w:p w14:paraId="377F9600" w14:textId="77777777" w:rsidR="00A10B25" w:rsidRDefault="00A10B25">
      <w:pPr>
        <w:pStyle w:val="5"/>
      </w:pPr>
      <w:bookmarkStart w:id="8588" w:name="_Toc43563538"/>
      <w:bookmarkStart w:id="8589" w:name="_Toc59017969"/>
      <w:bookmarkStart w:id="8590" w:name="_Toc36102494"/>
      <w:bookmarkStart w:id="8591" w:name="_Toc136562466"/>
      <w:bookmarkStart w:id="8592" w:name="_Toc70550665"/>
      <w:bookmarkStart w:id="8593" w:name="_Toc51762933"/>
      <w:bookmarkStart w:id="8594" w:name="_Toc120702380"/>
      <w:bookmarkStart w:id="8595" w:name="_Toc85553030"/>
      <w:bookmarkStart w:id="8596" w:name="_Toc34266323"/>
      <w:bookmarkStart w:id="8597" w:name="_Toc90655921"/>
      <w:bookmarkStart w:id="8598" w:name="_Toc98233706"/>
      <w:bookmarkStart w:id="8599" w:name="_Toc113031741"/>
      <w:bookmarkStart w:id="8600" w:name="_Toc88667636"/>
      <w:bookmarkStart w:id="8601" w:name="_Toc114133880"/>
      <w:bookmarkStart w:id="8602" w:name="_Toc85557129"/>
      <w:bookmarkStart w:id="8603" w:name="_Toc68168998"/>
      <w:bookmarkStart w:id="8604" w:name="_Toc83233115"/>
      <w:bookmarkStart w:id="8605" w:name="_Toc94064320"/>
      <w:bookmarkStart w:id="8606" w:name="_Toc104539078"/>
      <w:bookmarkStart w:id="8607" w:name="_Toc56641001"/>
      <w:bookmarkStart w:id="8608" w:name="_Toc50032013"/>
      <w:bookmarkStart w:id="8609" w:name="_Toc145705792"/>
      <w:bookmarkStart w:id="8610" w:name="_Toc101244483"/>
      <w:bookmarkStart w:id="8611" w:name="_Toc28012841"/>
      <w:bookmarkStart w:id="8612" w:name="_Toc138754300"/>
      <w:bookmarkStart w:id="8613" w:name="_Toc45134081"/>
      <w:bookmarkStart w:id="8614" w:name="_Toc66231837"/>
      <w:bookmarkStart w:id="8615" w:name="_Toc148522702"/>
      <w:bookmarkStart w:id="8616" w:name="_Toc112951201"/>
      <w:bookmarkStart w:id="8617" w:name="_Toc164920889"/>
      <w:bookmarkStart w:id="8618" w:name="_Toc170120431"/>
      <w:bookmarkStart w:id="8619" w:name="_Toc175858676"/>
      <w:bookmarkStart w:id="8620" w:name="_Toc175859749"/>
      <w:bookmarkStart w:id="8621" w:name="_Toc180606039"/>
      <w:bookmarkStart w:id="8622" w:name="_Toc185517298"/>
      <w:bookmarkStart w:id="8623" w:name="_Toc191576349"/>
      <w:bookmarkStart w:id="8624" w:name="_Toc191577089"/>
      <w:bookmarkStart w:id="8625" w:name="_Toc192880159"/>
      <w:bookmarkStart w:id="8626" w:name="_Toc195815047"/>
      <w:bookmarkStart w:id="8627" w:name="_Toc199453014"/>
      <w:r>
        <w:t>5.1.6.3.7</w:t>
      </w:r>
      <w:r>
        <w:tab/>
        <w:t>Enumeration: ExceptionTrend</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34AA3F6A" w14:textId="77777777" w:rsidR="00A10B25" w:rsidRDefault="00A10B25">
      <w:pPr>
        <w:keepNext/>
        <w:keepLines/>
        <w:spacing w:before="60"/>
        <w:jc w:val="center"/>
        <w:rPr>
          <w:rFonts w:ascii="Arial" w:hAnsi="Arial"/>
          <w:b/>
        </w:rPr>
      </w:pPr>
      <w:r>
        <w:rPr>
          <w:rFonts w:ascii="Arial" w:hAnsi="Arial"/>
          <w:b/>
        </w:rPr>
        <w:t>Table 5.1.6.3.7-1: Enumeration ExceptionTrend</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4"/>
        <w:gridCol w:w="3814"/>
        <w:gridCol w:w="2236"/>
      </w:tblGrid>
      <w:tr w:rsidR="00A10B25" w14:paraId="464B5AEF" w14:textId="77777777">
        <w:trPr>
          <w:jc w:val="center"/>
        </w:trPr>
        <w:tc>
          <w:tcPr>
            <w:tcW w:w="3244" w:type="dxa"/>
            <w:shd w:val="clear" w:color="auto" w:fill="C0C0C0"/>
            <w:tcMar>
              <w:top w:w="0" w:type="dxa"/>
              <w:left w:w="108" w:type="dxa"/>
              <w:bottom w:w="0" w:type="dxa"/>
              <w:right w:w="108" w:type="dxa"/>
            </w:tcMar>
          </w:tcPr>
          <w:p w14:paraId="024F8EF1"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3814" w:type="dxa"/>
            <w:shd w:val="clear" w:color="auto" w:fill="C0C0C0"/>
            <w:tcMar>
              <w:top w:w="0" w:type="dxa"/>
              <w:left w:w="108" w:type="dxa"/>
              <w:bottom w:w="0" w:type="dxa"/>
              <w:right w:w="108" w:type="dxa"/>
            </w:tcMar>
          </w:tcPr>
          <w:p w14:paraId="412B6754" w14:textId="77777777" w:rsidR="00A10B25" w:rsidRDefault="00A10B25">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3927C8B3"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469E0ED4" w14:textId="77777777">
        <w:trPr>
          <w:trHeight w:val="46"/>
          <w:jc w:val="center"/>
        </w:trPr>
        <w:tc>
          <w:tcPr>
            <w:tcW w:w="3244" w:type="dxa"/>
            <w:tcMar>
              <w:top w:w="0" w:type="dxa"/>
              <w:left w:w="108" w:type="dxa"/>
              <w:bottom w:w="0" w:type="dxa"/>
              <w:right w:w="108" w:type="dxa"/>
            </w:tcMar>
          </w:tcPr>
          <w:p w14:paraId="53EC6FD8" w14:textId="77777777" w:rsidR="00A10B25" w:rsidRDefault="00A10B25">
            <w:pPr>
              <w:keepNext/>
              <w:keepLines/>
              <w:spacing w:after="0"/>
              <w:rPr>
                <w:rFonts w:ascii="Arial" w:hAnsi="Arial"/>
                <w:sz w:val="18"/>
              </w:rPr>
            </w:pPr>
            <w:r>
              <w:rPr>
                <w:rFonts w:ascii="Arial" w:hAnsi="Arial"/>
                <w:sz w:val="18"/>
              </w:rPr>
              <w:t>UP</w:t>
            </w:r>
          </w:p>
        </w:tc>
        <w:tc>
          <w:tcPr>
            <w:tcW w:w="3814" w:type="dxa"/>
            <w:tcMar>
              <w:top w:w="0" w:type="dxa"/>
              <w:left w:w="108" w:type="dxa"/>
              <w:bottom w:w="0" w:type="dxa"/>
              <w:right w:w="108" w:type="dxa"/>
            </w:tcMar>
          </w:tcPr>
          <w:p w14:paraId="308B9653" w14:textId="77777777" w:rsidR="00A10B25" w:rsidRDefault="00A10B25">
            <w:pPr>
              <w:keepNext/>
              <w:keepLines/>
              <w:spacing w:after="0"/>
              <w:rPr>
                <w:rFonts w:ascii="Arial" w:hAnsi="Arial"/>
                <w:sz w:val="18"/>
                <w:lang w:eastAsia="zh-CN"/>
              </w:rPr>
            </w:pPr>
            <w:r>
              <w:rPr>
                <w:rFonts w:ascii="Arial" w:hAnsi="Arial"/>
                <w:sz w:val="18"/>
                <w:lang w:eastAsia="zh-CN"/>
              </w:rPr>
              <w:t>Up trend of the exception level.</w:t>
            </w:r>
          </w:p>
        </w:tc>
        <w:tc>
          <w:tcPr>
            <w:tcW w:w="2236" w:type="dxa"/>
          </w:tcPr>
          <w:p w14:paraId="7612B45B" w14:textId="77777777" w:rsidR="00A10B25" w:rsidRDefault="00A10B25">
            <w:pPr>
              <w:keepNext/>
              <w:keepLines/>
              <w:spacing w:after="0"/>
              <w:rPr>
                <w:rFonts w:ascii="Arial" w:hAnsi="Arial"/>
                <w:sz w:val="18"/>
              </w:rPr>
            </w:pPr>
          </w:p>
        </w:tc>
      </w:tr>
      <w:tr w:rsidR="00A10B25" w14:paraId="4B9929AA" w14:textId="77777777">
        <w:trPr>
          <w:jc w:val="center"/>
        </w:trPr>
        <w:tc>
          <w:tcPr>
            <w:tcW w:w="3244" w:type="dxa"/>
            <w:tcMar>
              <w:top w:w="0" w:type="dxa"/>
              <w:left w:w="108" w:type="dxa"/>
              <w:bottom w:w="0" w:type="dxa"/>
              <w:right w:w="108" w:type="dxa"/>
            </w:tcMar>
          </w:tcPr>
          <w:p w14:paraId="38ABB9F3" w14:textId="77777777" w:rsidR="00A10B25" w:rsidRDefault="00A10B25">
            <w:pPr>
              <w:keepNext/>
              <w:keepLines/>
              <w:spacing w:after="0"/>
              <w:rPr>
                <w:rFonts w:ascii="Arial" w:hAnsi="Arial"/>
                <w:sz w:val="18"/>
              </w:rPr>
            </w:pPr>
            <w:r>
              <w:rPr>
                <w:rFonts w:ascii="Arial" w:hAnsi="Arial"/>
                <w:sz w:val="18"/>
              </w:rPr>
              <w:t>DOWN</w:t>
            </w:r>
          </w:p>
        </w:tc>
        <w:tc>
          <w:tcPr>
            <w:tcW w:w="3814" w:type="dxa"/>
            <w:tcMar>
              <w:top w:w="0" w:type="dxa"/>
              <w:left w:w="108" w:type="dxa"/>
              <w:bottom w:w="0" w:type="dxa"/>
              <w:right w:w="108" w:type="dxa"/>
            </w:tcMar>
          </w:tcPr>
          <w:p w14:paraId="2F097E70" w14:textId="77777777" w:rsidR="00A10B25" w:rsidRDefault="00A10B25">
            <w:pPr>
              <w:keepNext/>
              <w:keepLines/>
              <w:spacing w:after="0"/>
              <w:rPr>
                <w:rFonts w:ascii="Arial" w:hAnsi="Arial"/>
                <w:sz w:val="18"/>
                <w:lang w:eastAsia="zh-CN"/>
              </w:rPr>
            </w:pPr>
            <w:r>
              <w:rPr>
                <w:rFonts w:ascii="Arial" w:hAnsi="Arial"/>
                <w:sz w:val="18"/>
                <w:lang w:eastAsia="zh-CN"/>
              </w:rPr>
              <w:t>Down trend of the exception level.</w:t>
            </w:r>
          </w:p>
        </w:tc>
        <w:tc>
          <w:tcPr>
            <w:tcW w:w="2236" w:type="dxa"/>
          </w:tcPr>
          <w:p w14:paraId="1A445C64" w14:textId="77777777" w:rsidR="00A10B25" w:rsidRDefault="00A10B25">
            <w:pPr>
              <w:keepNext/>
              <w:keepLines/>
              <w:spacing w:after="0"/>
              <w:rPr>
                <w:rFonts w:ascii="Arial" w:eastAsia="Batang" w:hAnsi="Arial"/>
                <w:sz w:val="18"/>
              </w:rPr>
            </w:pPr>
          </w:p>
        </w:tc>
      </w:tr>
      <w:tr w:rsidR="00A10B25" w14:paraId="6D7F8724" w14:textId="77777777">
        <w:trPr>
          <w:jc w:val="center"/>
        </w:trPr>
        <w:tc>
          <w:tcPr>
            <w:tcW w:w="3244" w:type="dxa"/>
            <w:tcMar>
              <w:top w:w="0" w:type="dxa"/>
              <w:left w:w="108" w:type="dxa"/>
              <w:bottom w:w="0" w:type="dxa"/>
              <w:right w:w="108" w:type="dxa"/>
            </w:tcMar>
          </w:tcPr>
          <w:p w14:paraId="4DE04795" w14:textId="77777777" w:rsidR="00A10B25" w:rsidRDefault="00A10B25">
            <w:pPr>
              <w:keepNext/>
              <w:keepLines/>
              <w:spacing w:after="0"/>
              <w:rPr>
                <w:rFonts w:ascii="Arial" w:hAnsi="Arial"/>
                <w:sz w:val="18"/>
              </w:rPr>
            </w:pPr>
            <w:r>
              <w:rPr>
                <w:rFonts w:ascii="Arial" w:hAnsi="Arial"/>
                <w:sz w:val="18"/>
              </w:rPr>
              <w:t>UNKNOWN</w:t>
            </w:r>
          </w:p>
        </w:tc>
        <w:tc>
          <w:tcPr>
            <w:tcW w:w="3814" w:type="dxa"/>
            <w:tcMar>
              <w:top w:w="0" w:type="dxa"/>
              <w:left w:w="108" w:type="dxa"/>
              <w:bottom w:w="0" w:type="dxa"/>
              <w:right w:w="108" w:type="dxa"/>
            </w:tcMar>
          </w:tcPr>
          <w:p w14:paraId="3026FD64" w14:textId="77777777" w:rsidR="00A10B25" w:rsidRDefault="00A10B25">
            <w:pPr>
              <w:keepNext/>
              <w:keepLines/>
              <w:spacing w:after="0"/>
              <w:rPr>
                <w:rFonts w:ascii="Arial" w:hAnsi="Arial"/>
                <w:sz w:val="18"/>
                <w:lang w:eastAsia="zh-CN"/>
              </w:rPr>
            </w:pPr>
            <w:r>
              <w:rPr>
                <w:rFonts w:ascii="Arial" w:hAnsi="Arial"/>
                <w:sz w:val="18"/>
                <w:lang w:eastAsia="zh-CN"/>
              </w:rPr>
              <w:t>Unknown trend of the exception level.</w:t>
            </w:r>
          </w:p>
        </w:tc>
        <w:tc>
          <w:tcPr>
            <w:tcW w:w="2236" w:type="dxa"/>
          </w:tcPr>
          <w:p w14:paraId="62D3AC22" w14:textId="77777777" w:rsidR="00A10B25" w:rsidRDefault="00A10B25">
            <w:pPr>
              <w:keepNext/>
              <w:keepLines/>
              <w:spacing w:after="0"/>
              <w:rPr>
                <w:rFonts w:ascii="Arial" w:eastAsia="Batang" w:hAnsi="Arial"/>
                <w:sz w:val="18"/>
              </w:rPr>
            </w:pPr>
          </w:p>
        </w:tc>
      </w:tr>
      <w:tr w:rsidR="00A10B25" w14:paraId="4ED18B78" w14:textId="77777777">
        <w:trPr>
          <w:jc w:val="center"/>
        </w:trPr>
        <w:tc>
          <w:tcPr>
            <w:tcW w:w="3244" w:type="dxa"/>
            <w:tcMar>
              <w:top w:w="0" w:type="dxa"/>
              <w:left w:w="108" w:type="dxa"/>
              <w:bottom w:w="0" w:type="dxa"/>
              <w:right w:w="108" w:type="dxa"/>
            </w:tcMar>
          </w:tcPr>
          <w:p w14:paraId="50705468" w14:textId="77777777" w:rsidR="00A10B25" w:rsidRDefault="00A10B25">
            <w:pPr>
              <w:keepNext/>
              <w:keepLines/>
              <w:spacing w:after="0"/>
              <w:rPr>
                <w:rFonts w:ascii="Arial" w:hAnsi="Arial"/>
                <w:sz w:val="18"/>
              </w:rPr>
            </w:pPr>
            <w:r>
              <w:rPr>
                <w:rFonts w:ascii="Arial" w:hAnsi="Arial"/>
                <w:sz w:val="18"/>
              </w:rPr>
              <w:t>STABLE</w:t>
            </w:r>
          </w:p>
        </w:tc>
        <w:tc>
          <w:tcPr>
            <w:tcW w:w="3814" w:type="dxa"/>
            <w:tcMar>
              <w:top w:w="0" w:type="dxa"/>
              <w:left w:w="108" w:type="dxa"/>
              <w:bottom w:w="0" w:type="dxa"/>
              <w:right w:w="108" w:type="dxa"/>
            </w:tcMar>
          </w:tcPr>
          <w:p w14:paraId="0062FC04" w14:textId="77777777" w:rsidR="00A10B25" w:rsidRDefault="00A10B25">
            <w:pPr>
              <w:keepNext/>
              <w:keepLines/>
              <w:spacing w:after="0"/>
              <w:rPr>
                <w:rFonts w:ascii="Arial" w:hAnsi="Arial"/>
                <w:sz w:val="18"/>
                <w:lang w:eastAsia="zh-CN"/>
              </w:rPr>
            </w:pPr>
            <w:r>
              <w:rPr>
                <w:rFonts w:ascii="Arial" w:hAnsi="Arial"/>
                <w:sz w:val="18"/>
                <w:lang w:eastAsia="zh-CN"/>
              </w:rPr>
              <w:t>Stable trend of the exception level.</w:t>
            </w:r>
          </w:p>
        </w:tc>
        <w:tc>
          <w:tcPr>
            <w:tcW w:w="2236" w:type="dxa"/>
          </w:tcPr>
          <w:p w14:paraId="706ADDF2" w14:textId="77777777" w:rsidR="00A10B25" w:rsidRDefault="00A10B25">
            <w:pPr>
              <w:keepNext/>
              <w:keepLines/>
              <w:spacing w:after="0"/>
              <w:rPr>
                <w:rFonts w:ascii="Arial" w:eastAsia="Batang" w:hAnsi="Arial"/>
                <w:sz w:val="18"/>
              </w:rPr>
            </w:pPr>
          </w:p>
        </w:tc>
      </w:tr>
    </w:tbl>
    <w:p w14:paraId="57E05AE0" w14:textId="77777777" w:rsidR="00A10B25" w:rsidRDefault="00A10B25">
      <w:pPr>
        <w:rPr>
          <w:lang w:val="en-US" w:eastAsia="zh-CN"/>
        </w:rPr>
      </w:pPr>
    </w:p>
    <w:p w14:paraId="550B2CE0" w14:textId="77777777" w:rsidR="00A10B25" w:rsidRDefault="00A10B25">
      <w:pPr>
        <w:pStyle w:val="5"/>
      </w:pPr>
      <w:bookmarkStart w:id="8628" w:name="_Toc94064321"/>
      <w:bookmarkStart w:id="8629" w:name="_Toc104539079"/>
      <w:bookmarkStart w:id="8630" w:name="_Toc28012842"/>
      <w:bookmarkStart w:id="8631" w:name="_Toc36102495"/>
      <w:bookmarkStart w:id="8632" w:name="_Toc50032014"/>
      <w:bookmarkStart w:id="8633" w:name="_Toc136562467"/>
      <w:bookmarkStart w:id="8634" w:name="_Toc66231838"/>
      <w:bookmarkStart w:id="8635" w:name="_Toc114133881"/>
      <w:bookmarkStart w:id="8636" w:name="_Toc43563539"/>
      <w:bookmarkStart w:id="8637" w:name="_Toc101244484"/>
      <w:bookmarkStart w:id="8638" w:name="_Toc59017970"/>
      <w:bookmarkStart w:id="8639" w:name="_Toc45134082"/>
      <w:bookmarkStart w:id="8640" w:name="_Toc85557130"/>
      <w:bookmarkStart w:id="8641" w:name="_Toc112951202"/>
      <w:bookmarkStart w:id="8642" w:name="_Toc98233707"/>
      <w:bookmarkStart w:id="8643" w:name="_Toc90655922"/>
      <w:bookmarkStart w:id="8644" w:name="_Toc85553031"/>
      <w:bookmarkStart w:id="8645" w:name="_Toc68168999"/>
      <w:bookmarkStart w:id="8646" w:name="_Toc51762934"/>
      <w:bookmarkStart w:id="8647" w:name="_Toc56641002"/>
      <w:bookmarkStart w:id="8648" w:name="_Toc113031742"/>
      <w:bookmarkStart w:id="8649" w:name="_Toc148522703"/>
      <w:bookmarkStart w:id="8650" w:name="_Toc70550666"/>
      <w:bookmarkStart w:id="8651" w:name="_Toc88667637"/>
      <w:bookmarkStart w:id="8652" w:name="_Toc34266324"/>
      <w:bookmarkStart w:id="8653" w:name="_Toc120702381"/>
      <w:bookmarkStart w:id="8654" w:name="_Toc138754301"/>
      <w:bookmarkStart w:id="8655" w:name="_Toc145705793"/>
      <w:bookmarkStart w:id="8656" w:name="_Toc83233116"/>
      <w:bookmarkStart w:id="8657" w:name="_Toc164920890"/>
      <w:bookmarkStart w:id="8658" w:name="_Toc170120432"/>
      <w:bookmarkStart w:id="8659" w:name="_Toc175858677"/>
      <w:bookmarkStart w:id="8660" w:name="_Toc175859750"/>
      <w:bookmarkStart w:id="8661" w:name="_Toc180606040"/>
      <w:bookmarkStart w:id="8662" w:name="_Toc185517299"/>
      <w:bookmarkStart w:id="8663" w:name="_Toc191576350"/>
      <w:bookmarkStart w:id="8664" w:name="_Toc191577090"/>
      <w:bookmarkStart w:id="8665" w:name="_Toc192880160"/>
      <w:bookmarkStart w:id="8666" w:name="_Toc195815048"/>
      <w:bookmarkStart w:id="8667" w:name="_Toc199453015"/>
      <w:r>
        <w:t>5.1.6.3.8</w:t>
      </w:r>
      <w:r>
        <w:tab/>
        <w:t>Enumeration: CongestionType</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28C55DA0" w14:textId="77777777" w:rsidR="00A10B25" w:rsidRDefault="00A10B25">
      <w:pPr>
        <w:pStyle w:val="TH"/>
        <w:overflowPunct w:val="0"/>
        <w:autoSpaceDE w:val="0"/>
        <w:autoSpaceDN w:val="0"/>
        <w:adjustRightInd w:val="0"/>
        <w:textAlignment w:val="baseline"/>
        <w:rPr>
          <w:rFonts w:eastAsia="MS Mincho"/>
        </w:rPr>
      </w:pPr>
      <w:r>
        <w:rPr>
          <w:rFonts w:eastAsia="MS Mincho"/>
        </w:rPr>
        <w:t>Table 5.1.6.3.8-1: Enumeration CongestionType</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2FF9045F" w14:textId="77777777">
        <w:tc>
          <w:tcPr>
            <w:tcW w:w="1769" w:type="pct"/>
            <w:shd w:val="clear" w:color="auto" w:fill="C0C0C0"/>
            <w:tcMar>
              <w:top w:w="0" w:type="dxa"/>
              <w:left w:w="108" w:type="dxa"/>
              <w:bottom w:w="0" w:type="dxa"/>
              <w:right w:w="108" w:type="dxa"/>
            </w:tcMar>
          </w:tcPr>
          <w:p w14:paraId="36A58B35"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07DA400E" w14:textId="77777777" w:rsidR="00A10B25" w:rsidRDefault="00A10B25">
            <w:pPr>
              <w:pStyle w:val="TAH"/>
            </w:pPr>
            <w:r>
              <w:t>Description</w:t>
            </w:r>
          </w:p>
        </w:tc>
        <w:tc>
          <w:tcPr>
            <w:tcW w:w="832" w:type="pct"/>
            <w:shd w:val="clear" w:color="auto" w:fill="C0C0C0"/>
          </w:tcPr>
          <w:p w14:paraId="5AD81DB8" w14:textId="77777777" w:rsidR="00A10B25" w:rsidRDefault="00A10B25">
            <w:pPr>
              <w:pStyle w:val="TAH"/>
            </w:pPr>
            <w:r>
              <w:t>Applicability</w:t>
            </w:r>
          </w:p>
        </w:tc>
      </w:tr>
      <w:tr w:rsidR="00A10B25" w14:paraId="7DF60FD6" w14:textId="77777777">
        <w:tc>
          <w:tcPr>
            <w:tcW w:w="1769" w:type="pct"/>
            <w:tcMar>
              <w:top w:w="0" w:type="dxa"/>
              <w:left w:w="108" w:type="dxa"/>
              <w:bottom w:w="0" w:type="dxa"/>
              <w:right w:w="108" w:type="dxa"/>
            </w:tcMar>
          </w:tcPr>
          <w:p w14:paraId="7F2972E5" w14:textId="77777777" w:rsidR="00A10B25" w:rsidRDefault="00A10B25">
            <w:pPr>
              <w:pStyle w:val="TAL"/>
            </w:pPr>
            <w:r>
              <w:t>USER_PLANE</w:t>
            </w:r>
          </w:p>
        </w:tc>
        <w:tc>
          <w:tcPr>
            <w:tcW w:w="2399" w:type="pct"/>
            <w:tcMar>
              <w:top w:w="0" w:type="dxa"/>
              <w:left w:w="108" w:type="dxa"/>
              <w:bottom w:w="0" w:type="dxa"/>
              <w:right w:w="108" w:type="dxa"/>
            </w:tcMar>
          </w:tcPr>
          <w:p w14:paraId="7429B8D8" w14:textId="77777777" w:rsidR="00A10B25" w:rsidRDefault="00A10B25">
            <w:pPr>
              <w:pStyle w:val="TAL"/>
            </w:pPr>
            <w:r>
              <w:rPr>
                <w:lang w:eastAsia="zh-CN"/>
              </w:rPr>
              <w:t xml:space="preserve">The congestion analytics type is User Plane. </w:t>
            </w:r>
          </w:p>
        </w:tc>
        <w:tc>
          <w:tcPr>
            <w:tcW w:w="832" w:type="pct"/>
          </w:tcPr>
          <w:p w14:paraId="7FA527D5" w14:textId="77777777" w:rsidR="00A10B25" w:rsidRDefault="00A10B25">
            <w:pPr>
              <w:pStyle w:val="TAL"/>
            </w:pPr>
          </w:p>
        </w:tc>
      </w:tr>
      <w:tr w:rsidR="00A10B25" w14:paraId="2B79B43A" w14:textId="77777777">
        <w:tc>
          <w:tcPr>
            <w:tcW w:w="1769" w:type="pct"/>
            <w:tcMar>
              <w:top w:w="0" w:type="dxa"/>
              <w:left w:w="108" w:type="dxa"/>
              <w:bottom w:w="0" w:type="dxa"/>
              <w:right w:w="108" w:type="dxa"/>
            </w:tcMar>
          </w:tcPr>
          <w:p w14:paraId="63CA6F83" w14:textId="77777777" w:rsidR="00A10B25" w:rsidRDefault="00A10B25">
            <w:pPr>
              <w:pStyle w:val="TAL"/>
            </w:pPr>
            <w:r>
              <w:t>CONTROL_PLANE</w:t>
            </w:r>
          </w:p>
        </w:tc>
        <w:tc>
          <w:tcPr>
            <w:tcW w:w="2399" w:type="pct"/>
            <w:tcMar>
              <w:top w:w="0" w:type="dxa"/>
              <w:left w:w="108" w:type="dxa"/>
              <w:bottom w:w="0" w:type="dxa"/>
              <w:right w:w="108" w:type="dxa"/>
            </w:tcMar>
          </w:tcPr>
          <w:p w14:paraId="6824EEA5" w14:textId="77777777" w:rsidR="00A10B25" w:rsidRDefault="00A10B25">
            <w:pPr>
              <w:pStyle w:val="TAL"/>
              <w:rPr>
                <w:lang w:eastAsia="zh-CN"/>
              </w:rPr>
            </w:pPr>
            <w:r>
              <w:rPr>
                <w:lang w:eastAsia="zh-CN"/>
              </w:rPr>
              <w:t xml:space="preserve">The congestion analytics type is Control Plane. </w:t>
            </w:r>
          </w:p>
        </w:tc>
        <w:tc>
          <w:tcPr>
            <w:tcW w:w="832" w:type="pct"/>
          </w:tcPr>
          <w:p w14:paraId="6BE42C05" w14:textId="77777777" w:rsidR="00A10B25" w:rsidRDefault="00A10B25">
            <w:pPr>
              <w:pStyle w:val="TAL"/>
            </w:pPr>
          </w:p>
        </w:tc>
      </w:tr>
      <w:tr w:rsidR="00A10B25" w14:paraId="6677636C" w14:textId="77777777">
        <w:tc>
          <w:tcPr>
            <w:tcW w:w="1769" w:type="pct"/>
            <w:tcMar>
              <w:top w:w="0" w:type="dxa"/>
              <w:left w:w="108" w:type="dxa"/>
              <w:bottom w:w="0" w:type="dxa"/>
              <w:right w:w="108" w:type="dxa"/>
            </w:tcMar>
          </w:tcPr>
          <w:p w14:paraId="7703EB03" w14:textId="77777777" w:rsidR="00A10B25" w:rsidRDefault="00A10B25">
            <w:pPr>
              <w:pStyle w:val="TAL"/>
            </w:pPr>
            <w:r>
              <w:t>USER_AND</w:t>
            </w:r>
            <w:r>
              <w:rPr>
                <w:rFonts w:hint="eastAsia"/>
                <w:lang w:eastAsia="zh-CN"/>
              </w:rPr>
              <w:t>_</w:t>
            </w:r>
            <w:r>
              <w:t>CONTROL_PLANE</w:t>
            </w:r>
          </w:p>
        </w:tc>
        <w:tc>
          <w:tcPr>
            <w:tcW w:w="2399" w:type="pct"/>
            <w:tcMar>
              <w:top w:w="0" w:type="dxa"/>
              <w:left w:w="108" w:type="dxa"/>
              <w:bottom w:w="0" w:type="dxa"/>
              <w:right w:w="108" w:type="dxa"/>
            </w:tcMar>
          </w:tcPr>
          <w:p w14:paraId="6C5BB90A" w14:textId="77777777" w:rsidR="00A10B25" w:rsidRDefault="00A10B25">
            <w:pPr>
              <w:pStyle w:val="TAL"/>
              <w:rPr>
                <w:lang w:eastAsia="zh-CN"/>
              </w:rPr>
            </w:pPr>
            <w:r>
              <w:rPr>
                <w:lang w:eastAsia="zh-CN"/>
              </w:rPr>
              <w:t>The congestion analytics type is User Plane and Control Plane.</w:t>
            </w:r>
          </w:p>
        </w:tc>
        <w:tc>
          <w:tcPr>
            <w:tcW w:w="832" w:type="pct"/>
          </w:tcPr>
          <w:p w14:paraId="15D6A4A7" w14:textId="77777777" w:rsidR="00A10B25" w:rsidRDefault="00A10B25">
            <w:pPr>
              <w:pStyle w:val="TAL"/>
            </w:pPr>
          </w:p>
        </w:tc>
      </w:tr>
    </w:tbl>
    <w:p w14:paraId="0D2E0E63" w14:textId="77777777" w:rsidR="00A10B25" w:rsidRDefault="00A10B25"/>
    <w:p w14:paraId="3AEAB1E0" w14:textId="77777777" w:rsidR="00A10B25" w:rsidRDefault="00A10B25">
      <w:pPr>
        <w:pStyle w:val="5"/>
        <w:spacing w:before="240" w:after="240"/>
      </w:pPr>
      <w:bookmarkStart w:id="8668" w:name="_Toc98233708"/>
      <w:bookmarkStart w:id="8669" w:name="_Toc56641003"/>
      <w:bookmarkStart w:id="8670" w:name="_Toc85557131"/>
      <w:bookmarkStart w:id="8671" w:name="_Toc113031743"/>
      <w:bookmarkStart w:id="8672" w:name="_Toc36102496"/>
      <w:bookmarkStart w:id="8673" w:name="_Toc45134083"/>
      <w:bookmarkStart w:id="8674" w:name="_Toc68169000"/>
      <w:bookmarkStart w:id="8675" w:name="_Toc66231839"/>
      <w:bookmarkStart w:id="8676" w:name="_Toc104539080"/>
      <w:bookmarkStart w:id="8677" w:name="_Toc34266325"/>
      <w:bookmarkStart w:id="8678" w:name="_Toc50032015"/>
      <w:bookmarkStart w:id="8679" w:name="_Toc83233117"/>
      <w:bookmarkStart w:id="8680" w:name="_Toc85553032"/>
      <w:bookmarkStart w:id="8681" w:name="_Toc94064322"/>
      <w:bookmarkStart w:id="8682" w:name="_Toc43563540"/>
      <w:bookmarkStart w:id="8683" w:name="_Toc88667638"/>
      <w:bookmarkStart w:id="8684" w:name="_Toc51762935"/>
      <w:bookmarkStart w:id="8685" w:name="_Toc148522704"/>
      <w:bookmarkStart w:id="8686" w:name="_Toc138754302"/>
      <w:bookmarkStart w:id="8687" w:name="_Toc90655923"/>
      <w:bookmarkStart w:id="8688" w:name="_Toc112951203"/>
      <w:bookmarkStart w:id="8689" w:name="_Toc136562468"/>
      <w:bookmarkStart w:id="8690" w:name="_Toc70550667"/>
      <w:bookmarkStart w:id="8691" w:name="_Toc145705794"/>
      <w:bookmarkStart w:id="8692" w:name="_Toc114133882"/>
      <w:bookmarkStart w:id="8693" w:name="_Toc59017971"/>
      <w:bookmarkStart w:id="8694" w:name="_Toc101244485"/>
      <w:bookmarkStart w:id="8695" w:name="_Toc120702382"/>
      <w:bookmarkStart w:id="8696" w:name="_Toc164920891"/>
      <w:bookmarkStart w:id="8697" w:name="_Toc170120433"/>
      <w:bookmarkStart w:id="8698" w:name="_Toc175858678"/>
      <w:bookmarkStart w:id="8699" w:name="_Toc175859751"/>
      <w:bookmarkStart w:id="8700" w:name="_Toc180606041"/>
      <w:bookmarkStart w:id="8701" w:name="_Toc185517300"/>
      <w:bookmarkStart w:id="8702" w:name="_Toc191576351"/>
      <w:bookmarkStart w:id="8703" w:name="_Toc191577091"/>
      <w:bookmarkStart w:id="8704" w:name="_Toc192880161"/>
      <w:bookmarkStart w:id="8705" w:name="_Toc195815049"/>
      <w:bookmarkStart w:id="8706" w:name="_Toc199453016"/>
      <w:r>
        <w:t>5.1.6.3.9</w:t>
      </w:r>
      <w:r>
        <w:tab/>
        <w:t>Enumeration: TimeUnit</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58B6A3E8" w14:textId="77777777" w:rsidR="00A10B25" w:rsidRDefault="00A10B25">
      <w:pPr>
        <w:pStyle w:val="TH"/>
      </w:pPr>
      <w:r>
        <w:t>Table 5.1.6.3.9-1: Enumeration TimeUnit</w:t>
      </w:r>
    </w:p>
    <w:tbl>
      <w:tblPr>
        <w:tblW w:w="974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99"/>
        <w:gridCol w:w="6801"/>
        <w:gridCol w:w="1647"/>
      </w:tblGrid>
      <w:tr w:rsidR="00A10B25" w14:paraId="57C09758" w14:textId="77777777">
        <w:tc>
          <w:tcPr>
            <w:tcW w:w="666" w:type="pct"/>
            <w:shd w:val="clear" w:color="auto" w:fill="C0C0C0"/>
            <w:tcMar>
              <w:top w:w="0" w:type="dxa"/>
              <w:left w:w="108" w:type="dxa"/>
              <w:bottom w:w="0" w:type="dxa"/>
              <w:right w:w="108" w:type="dxa"/>
            </w:tcMar>
          </w:tcPr>
          <w:p w14:paraId="71BAEAB2" w14:textId="77777777" w:rsidR="00A10B25" w:rsidRDefault="00A10B25">
            <w:pPr>
              <w:pStyle w:val="TAH"/>
            </w:pPr>
            <w:r>
              <w:t>Enumeration value</w:t>
            </w:r>
          </w:p>
        </w:tc>
        <w:tc>
          <w:tcPr>
            <w:tcW w:w="3489" w:type="pct"/>
            <w:shd w:val="clear" w:color="auto" w:fill="C0C0C0"/>
            <w:tcMar>
              <w:top w:w="0" w:type="dxa"/>
              <w:left w:w="108" w:type="dxa"/>
              <w:bottom w:w="0" w:type="dxa"/>
              <w:right w:w="108" w:type="dxa"/>
            </w:tcMar>
          </w:tcPr>
          <w:p w14:paraId="2ACAB2B0" w14:textId="77777777" w:rsidR="00A10B25" w:rsidRDefault="00A10B25">
            <w:pPr>
              <w:pStyle w:val="TAH"/>
            </w:pPr>
            <w:r>
              <w:t>Description</w:t>
            </w:r>
          </w:p>
        </w:tc>
        <w:tc>
          <w:tcPr>
            <w:tcW w:w="845" w:type="pct"/>
            <w:shd w:val="clear" w:color="auto" w:fill="C0C0C0"/>
          </w:tcPr>
          <w:p w14:paraId="3D35E5E0" w14:textId="77777777" w:rsidR="00A10B25" w:rsidRDefault="00A10B25">
            <w:pPr>
              <w:pStyle w:val="TAH"/>
            </w:pPr>
            <w:r>
              <w:t>Applicability</w:t>
            </w:r>
          </w:p>
        </w:tc>
      </w:tr>
      <w:tr w:rsidR="00A10B25" w14:paraId="5EF7499D" w14:textId="77777777">
        <w:tc>
          <w:tcPr>
            <w:tcW w:w="666" w:type="pct"/>
            <w:tcMar>
              <w:top w:w="0" w:type="dxa"/>
              <w:left w:w="108" w:type="dxa"/>
              <w:bottom w:w="0" w:type="dxa"/>
              <w:right w:w="108" w:type="dxa"/>
            </w:tcMar>
          </w:tcPr>
          <w:p w14:paraId="127AE410" w14:textId="77777777" w:rsidR="00A10B25" w:rsidRDefault="00A10B25">
            <w:pPr>
              <w:pStyle w:val="TAL"/>
            </w:pPr>
            <w:r>
              <w:rPr>
                <w:lang w:eastAsia="zh-CN"/>
              </w:rPr>
              <w:t>MINUTE</w:t>
            </w:r>
          </w:p>
        </w:tc>
        <w:tc>
          <w:tcPr>
            <w:tcW w:w="3489" w:type="pct"/>
            <w:tcMar>
              <w:top w:w="0" w:type="dxa"/>
              <w:left w:w="108" w:type="dxa"/>
              <w:bottom w:w="0" w:type="dxa"/>
              <w:right w:w="108" w:type="dxa"/>
            </w:tcMar>
          </w:tcPr>
          <w:p w14:paraId="0F8BEC2B" w14:textId="77777777" w:rsidR="00A10B25" w:rsidRDefault="00A10B25">
            <w:pPr>
              <w:pStyle w:val="TAL"/>
            </w:pPr>
            <w:r>
              <w:rPr>
                <w:lang w:eastAsia="zh-CN"/>
              </w:rPr>
              <w:t>Time unit is per minute.</w:t>
            </w:r>
          </w:p>
        </w:tc>
        <w:tc>
          <w:tcPr>
            <w:tcW w:w="845" w:type="pct"/>
          </w:tcPr>
          <w:p w14:paraId="05EFE380" w14:textId="77777777" w:rsidR="00A10B25" w:rsidRDefault="00A10B25">
            <w:pPr>
              <w:pStyle w:val="TAL"/>
              <w:rPr>
                <w:rFonts w:hint="eastAsia"/>
                <w:lang w:eastAsia="zh-CN"/>
              </w:rPr>
            </w:pPr>
          </w:p>
        </w:tc>
      </w:tr>
      <w:tr w:rsidR="00A10B25" w14:paraId="6A84123A" w14:textId="77777777">
        <w:tc>
          <w:tcPr>
            <w:tcW w:w="666" w:type="pct"/>
            <w:tcMar>
              <w:top w:w="0" w:type="dxa"/>
              <w:left w:w="108" w:type="dxa"/>
              <w:bottom w:w="0" w:type="dxa"/>
              <w:right w:w="108" w:type="dxa"/>
            </w:tcMar>
          </w:tcPr>
          <w:p w14:paraId="4FCFFB01" w14:textId="77777777" w:rsidR="00A10B25" w:rsidRDefault="00A10B25">
            <w:pPr>
              <w:pStyle w:val="TAL"/>
              <w:rPr>
                <w:lang w:eastAsia="zh-CN"/>
              </w:rPr>
            </w:pPr>
            <w:r>
              <w:rPr>
                <w:lang w:eastAsia="zh-CN"/>
              </w:rPr>
              <w:t>HOUR</w:t>
            </w:r>
          </w:p>
        </w:tc>
        <w:tc>
          <w:tcPr>
            <w:tcW w:w="3489" w:type="pct"/>
            <w:tcMar>
              <w:top w:w="0" w:type="dxa"/>
              <w:left w:w="108" w:type="dxa"/>
              <w:bottom w:w="0" w:type="dxa"/>
              <w:right w:w="108" w:type="dxa"/>
            </w:tcMar>
          </w:tcPr>
          <w:p w14:paraId="78DD2F93" w14:textId="77777777" w:rsidR="00A10B25" w:rsidRDefault="00A10B25">
            <w:pPr>
              <w:pStyle w:val="TAL"/>
              <w:rPr>
                <w:rFonts w:hint="eastAsia"/>
                <w:lang w:eastAsia="zh-CN"/>
              </w:rPr>
            </w:pPr>
            <w:r>
              <w:rPr>
                <w:lang w:eastAsia="zh-CN"/>
              </w:rPr>
              <w:t>Time unit is per hour.</w:t>
            </w:r>
          </w:p>
        </w:tc>
        <w:tc>
          <w:tcPr>
            <w:tcW w:w="845" w:type="pct"/>
          </w:tcPr>
          <w:p w14:paraId="58770EEA" w14:textId="77777777" w:rsidR="00A10B25" w:rsidRDefault="00A10B25">
            <w:pPr>
              <w:pStyle w:val="TAL"/>
              <w:rPr>
                <w:rFonts w:hint="eastAsia"/>
                <w:lang w:eastAsia="zh-CN"/>
              </w:rPr>
            </w:pPr>
          </w:p>
        </w:tc>
      </w:tr>
      <w:tr w:rsidR="00A10B25" w14:paraId="13D37C78" w14:textId="77777777">
        <w:tc>
          <w:tcPr>
            <w:tcW w:w="666" w:type="pct"/>
            <w:tcMar>
              <w:top w:w="0" w:type="dxa"/>
              <w:left w:w="108" w:type="dxa"/>
              <w:bottom w:w="0" w:type="dxa"/>
              <w:right w:w="108" w:type="dxa"/>
            </w:tcMar>
          </w:tcPr>
          <w:p w14:paraId="67BC3880" w14:textId="77777777" w:rsidR="00A10B25" w:rsidRDefault="00A10B25">
            <w:pPr>
              <w:pStyle w:val="TAL"/>
              <w:rPr>
                <w:lang w:eastAsia="zh-CN"/>
              </w:rPr>
            </w:pPr>
            <w:r>
              <w:rPr>
                <w:lang w:eastAsia="zh-CN"/>
              </w:rPr>
              <w:t>DAY</w:t>
            </w:r>
          </w:p>
        </w:tc>
        <w:tc>
          <w:tcPr>
            <w:tcW w:w="3489" w:type="pct"/>
            <w:tcMar>
              <w:top w:w="0" w:type="dxa"/>
              <w:left w:w="108" w:type="dxa"/>
              <w:bottom w:w="0" w:type="dxa"/>
              <w:right w:w="108" w:type="dxa"/>
            </w:tcMar>
          </w:tcPr>
          <w:p w14:paraId="3AD062E3" w14:textId="77777777" w:rsidR="00A10B25" w:rsidRDefault="00A10B25">
            <w:pPr>
              <w:pStyle w:val="TAL"/>
              <w:rPr>
                <w:rFonts w:hint="eastAsia"/>
                <w:lang w:eastAsia="zh-CN"/>
              </w:rPr>
            </w:pPr>
            <w:r>
              <w:rPr>
                <w:lang w:eastAsia="zh-CN"/>
              </w:rPr>
              <w:t>Time unit is per day.</w:t>
            </w:r>
          </w:p>
        </w:tc>
        <w:tc>
          <w:tcPr>
            <w:tcW w:w="845" w:type="pct"/>
          </w:tcPr>
          <w:p w14:paraId="676E76E1" w14:textId="77777777" w:rsidR="00A10B25" w:rsidRDefault="00A10B25">
            <w:pPr>
              <w:pStyle w:val="TAL"/>
              <w:rPr>
                <w:rFonts w:hint="eastAsia"/>
                <w:lang w:eastAsia="zh-CN"/>
              </w:rPr>
            </w:pPr>
          </w:p>
        </w:tc>
      </w:tr>
    </w:tbl>
    <w:p w14:paraId="335ABC32" w14:textId="77777777" w:rsidR="00A10B25" w:rsidRDefault="00A10B25"/>
    <w:p w14:paraId="3AF29146" w14:textId="77777777" w:rsidR="00A10B25" w:rsidRDefault="00A10B25">
      <w:pPr>
        <w:pStyle w:val="5"/>
      </w:pPr>
      <w:bookmarkStart w:id="8707" w:name="_Toc112951204"/>
      <w:bookmarkStart w:id="8708" w:name="_Toc66231840"/>
      <w:bookmarkStart w:id="8709" w:name="_Toc68169001"/>
      <w:bookmarkStart w:id="8710" w:name="_Toc83233118"/>
      <w:bookmarkStart w:id="8711" w:name="_Toc43563541"/>
      <w:bookmarkStart w:id="8712" w:name="_Toc94064323"/>
      <w:bookmarkStart w:id="8713" w:name="_Toc98233709"/>
      <w:bookmarkStart w:id="8714" w:name="_Toc85553033"/>
      <w:bookmarkStart w:id="8715" w:name="_Toc104539081"/>
      <w:bookmarkStart w:id="8716" w:name="_Toc136562469"/>
      <w:bookmarkStart w:id="8717" w:name="_Toc45134084"/>
      <w:bookmarkStart w:id="8718" w:name="_Toc50032016"/>
      <w:bookmarkStart w:id="8719" w:name="_Toc113031744"/>
      <w:bookmarkStart w:id="8720" w:name="_Toc88667639"/>
      <w:bookmarkStart w:id="8721" w:name="_Toc145705795"/>
      <w:bookmarkStart w:id="8722" w:name="_Toc59017972"/>
      <w:bookmarkStart w:id="8723" w:name="_Toc85557132"/>
      <w:bookmarkStart w:id="8724" w:name="_Toc34266326"/>
      <w:bookmarkStart w:id="8725" w:name="_Toc148522705"/>
      <w:bookmarkStart w:id="8726" w:name="_Toc36102497"/>
      <w:bookmarkStart w:id="8727" w:name="_Toc138754303"/>
      <w:bookmarkStart w:id="8728" w:name="_Toc120702383"/>
      <w:bookmarkStart w:id="8729" w:name="_Toc56641004"/>
      <w:bookmarkStart w:id="8730" w:name="_Toc51762936"/>
      <w:bookmarkStart w:id="8731" w:name="_Toc90655924"/>
      <w:bookmarkStart w:id="8732" w:name="_Toc70550668"/>
      <w:bookmarkStart w:id="8733" w:name="_Toc114133883"/>
      <w:bookmarkStart w:id="8734" w:name="_Toc101244486"/>
      <w:bookmarkStart w:id="8735" w:name="_Toc164920892"/>
      <w:bookmarkStart w:id="8736" w:name="_Toc170120434"/>
      <w:bookmarkStart w:id="8737" w:name="_Toc175858679"/>
      <w:bookmarkStart w:id="8738" w:name="_Toc175859752"/>
      <w:bookmarkStart w:id="8739" w:name="_Toc180606042"/>
      <w:bookmarkStart w:id="8740" w:name="_Toc185517301"/>
      <w:bookmarkStart w:id="8741" w:name="_Toc191576352"/>
      <w:bookmarkStart w:id="8742" w:name="_Toc191577092"/>
      <w:bookmarkStart w:id="8743" w:name="_Toc192880162"/>
      <w:bookmarkStart w:id="8744" w:name="_Toc195815050"/>
      <w:bookmarkStart w:id="8745" w:name="_Toc199453017"/>
      <w:r>
        <w:lastRenderedPageBreak/>
        <w:t>5.1.6.3.10</w:t>
      </w:r>
      <w:r>
        <w:tab/>
        <w:t>Enumeration: NetworkPerfType</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p>
    <w:p w14:paraId="06BBEC5F" w14:textId="77777777" w:rsidR="00A10B25" w:rsidRDefault="00A10B25">
      <w:pPr>
        <w:pStyle w:val="TH"/>
      </w:pPr>
      <w:r>
        <w:t>Table 5.1.6.3.10-1: Enumeration NetworkPerfType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17"/>
        <w:gridCol w:w="2618"/>
        <w:gridCol w:w="2487"/>
      </w:tblGrid>
      <w:tr w:rsidR="00A10B25" w14:paraId="2644EF10" w14:textId="77777777">
        <w:tc>
          <w:tcPr>
            <w:tcW w:w="2005" w:type="pct"/>
            <w:shd w:val="clear" w:color="auto" w:fill="C0C0C0"/>
            <w:tcMar>
              <w:top w:w="0" w:type="dxa"/>
              <w:left w:w="108" w:type="dxa"/>
              <w:bottom w:w="0" w:type="dxa"/>
              <w:right w:w="108" w:type="dxa"/>
            </w:tcMar>
          </w:tcPr>
          <w:p w14:paraId="7267A5FE" w14:textId="77777777" w:rsidR="00A10B25" w:rsidRDefault="00A10B25">
            <w:pPr>
              <w:pStyle w:val="TAH"/>
            </w:pPr>
            <w:r>
              <w:t>Enumeration value</w:t>
            </w:r>
          </w:p>
        </w:tc>
        <w:tc>
          <w:tcPr>
            <w:tcW w:w="1536" w:type="pct"/>
            <w:shd w:val="clear" w:color="auto" w:fill="C0C0C0"/>
            <w:tcMar>
              <w:top w:w="0" w:type="dxa"/>
              <w:left w:w="108" w:type="dxa"/>
              <w:bottom w:w="0" w:type="dxa"/>
              <w:right w:w="108" w:type="dxa"/>
            </w:tcMar>
          </w:tcPr>
          <w:p w14:paraId="0D57E4EE" w14:textId="77777777" w:rsidR="00A10B25" w:rsidRDefault="00A10B25">
            <w:pPr>
              <w:pStyle w:val="TAH"/>
            </w:pPr>
            <w:r>
              <w:t>Description</w:t>
            </w:r>
          </w:p>
        </w:tc>
        <w:tc>
          <w:tcPr>
            <w:tcW w:w="1459" w:type="pct"/>
            <w:shd w:val="clear" w:color="auto" w:fill="C0C0C0"/>
          </w:tcPr>
          <w:p w14:paraId="7FF64869" w14:textId="77777777" w:rsidR="00A10B25" w:rsidRDefault="00A10B25">
            <w:pPr>
              <w:pStyle w:val="TAH"/>
            </w:pPr>
            <w:r>
              <w:t>Applicability</w:t>
            </w:r>
          </w:p>
        </w:tc>
      </w:tr>
      <w:tr w:rsidR="00A10B25" w14:paraId="6083789A" w14:textId="77777777">
        <w:tc>
          <w:tcPr>
            <w:tcW w:w="2005" w:type="pct"/>
            <w:tcMar>
              <w:top w:w="0" w:type="dxa"/>
              <w:left w:w="108" w:type="dxa"/>
              <w:bottom w:w="0" w:type="dxa"/>
              <w:right w:w="108" w:type="dxa"/>
            </w:tcMar>
          </w:tcPr>
          <w:p w14:paraId="3D9409A9" w14:textId="77777777" w:rsidR="00A10B25" w:rsidRDefault="00A10B25">
            <w:pPr>
              <w:pStyle w:val="TAL"/>
            </w:pPr>
            <w:r>
              <w:t>GNB_ACTIVE_RATIO</w:t>
            </w:r>
          </w:p>
        </w:tc>
        <w:tc>
          <w:tcPr>
            <w:tcW w:w="1536" w:type="pct"/>
            <w:tcMar>
              <w:top w:w="0" w:type="dxa"/>
              <w:left w:w="108" w:type="dxa"/>
              <w:bottom w:w="0" w:type="dxa"/>
              <w:right w:w="108" w:type="dxa"/>
            </w:tcMar>
          </w:tcPr>
          <w:p w14:paraId="734371DB" w14:textId="77777777" w:rsidR="00A10B25" w:rsidRDefault="00A10B25">
            <w:pPr>
              <w:pStyle w:val="TAL"/>
              <w:rPr>
                <w:lang w:eastAsia="zh-CN"/>
              </w:rPr>
            </w:pPr>
            <w:r>
              <w:t>Indicates the ratio of gNB active (i.e. up and running) number to the total number of gNB.</w:t>
            </w:r>
          </w:p>
        </w:tc>
        <w:tc>
          <w:tcPr>
            <w:tcW w:w="1459" w:type="pct"/>
          </w:tcPr>
          <w:p w14:paraId="7D73DA1D" w14:textId="77777777" w:rsidR="00A10B25" w:rsidRDefault="00A10B25">
            <w:pPr>
              <w:pStyle w:val="TAL"/>
              <w:rPr>
                <w:rFonts w:eastAsia="Batang"/>
              </w:rPr>
            </w:pPr>
          </w:p>
        </w:tc>
      </w:tr>
      <w:tr w:rsidR="00A10B25" w14:paraId="05EB56E9" w14:textId="77777777">
        <w:tc>
          <w:tcPr>
            <w:tcW w:w="2005" w:type="pct"/>
            <w:tcMar>
              <w:top w:w="0" w:type="dxa"/>
              <w:left w:w="108" w:type="dxa"/>
              <w:bottom w:w="0" w:type="dxa"/>
              <w:right w:w="108" w:type="dxa"/>
            </w:tcMar>
          </w:tcPr>
          <w:p w14:paraId="2EB6A5B5" w14:textId="77777777" w:rsidR="00A10B25" w:rsidRDefault="00A10B25">
            <w:pPr>
              <w:pStyle w:val="TAL"/>
            </w:pPr>
            <w:r>
              <w:t>GNB_COMPUTING_USAGE</w:t>
            </w:r>
          </w:p>
        </w:tc>
        <w:tc>
          <w:tcPr>
            <w:tcW w:w="1536" w:type="pct"/>
            <w:tcMar>
              <w:top w:w="0" w:type="dxa"/>
              <w:left w:w="108" w:type="dxa"/>
              <w:bottom w:w="0" w:type="dxa"/>
              <w:right w:w="108" w:type="dxa"/>
            </w:tcMar>
          </w:tcPr>
          <w:p w14:paraId="2FFFCA9A" w14:textId="77777777" w:rsidR="00A10B25" w:rsidRDefault="00A10B25">
            <w:pPr>
              <w:pStyle w:val="TAL"/>
              <w:rPr>
                <w:lang w:eastAsia="zh-CN"/>
              </w:rPr>
            </w:pPr>
            <w:r>
              <w:t>Indicates gNodeB computing resource usage.</w:t>
            </w:r>
          </w:p>
        </w:tc>
        <w:tc>
          <w:tcPr>
            <w:tcW w:w="1459" w:type="pct"/>
          </w:tcPr>
          <w:p w14:paraId="030C321E" w14:textId="77777777" w:rsidR="00A10B25" w:rsidRDefault="00A10B25">
            <w:pPr>
              <w:pStyle w:val="TAL"/>
            </w:pPr>
          </w:p>
        </w:tc>
      </w:tr>
      <w:tr w:rsidR="00A10B25" w14:paraId="30707A52" w14:textId="77777777">
        <w:tc>
          <w:tcPr>
            <w:tcW w:w="2005" w:type="pct"/>
            <w:tcMar>
              <w:top w:w="0" w:type="dxa"/>
              <w:left w:w="108" w:type="dxa"/>
              <w:bottom w:w="0" w:type="dxa"/>
              <w:right w:w="108" w:type="dxa"/>
            </w:tcMar>
          </w:tcPr>
          <w:p w14:paraId="3071C9FE" w14:textId="77777777" w:rsidR="00A10B25" w:rsidRDefault="00A10B25">
            <w:pPr>
              <w:pStyle w:val="TAL"/>
            </w:pPr>
            <w:r>
              <w:t>GNB_MEMORY_USAGE</w:t>
            </w:r>
          </w:p>
        </w:tc>
        <w:tc>
          <w:tcPr>
            <w:tcW w:w="1536" w:type="pct"/>
            <w:tcMar>
              <w:top w:w="0" w:type="dxa"/>
              <w:left w:w="108" w:type="dxa"/>
              <w:bottom w:w="0" w:type="dxa"/>
              <w:right w:w="108" w:type="dxa"/>
            </w:tcMar>
          </w:tcPr>
          <w:p w14:paraId="185ED93A" w14:textId="77777777" w:rsidR="00A10B25" w:rsidRDefault="00A10B25">
            <w:pPr>
              <w:pStyle w:val="TAL"/>
              <w:rPr>
                <w:lang w:eastAsia="zh-CN"/>
              </w:rPr>
            </w:pPr>
            <w:r>
              <w:t>Indicates gNodeB memory usage.</w:t>
            </w:r>
          </w:p>
        </w:tc>
        <w:tc>
          <w:tcPr>
            <w:tcW w:w="1459" w:type="pct"/>
          </w:tcPr>
          <w:p w14:paraId="09C04700" w14:textId="77777777" w:rsidR="00A10B25" w:rsidRDefault="00A10B25">
            <w:pPr>
              <w:pStyle w:val="TAL"/>
            </w:pPr>
          </w:p>
        </w:tc>
      </w:tr>
      <w:tr w:rsidR="00A10B25" w14:paraId="7B6E8562" w14:textId="77777777">
        <w:tc>
          <w:tcPr>
            <w:tcW w:w="2005" w:type="pct"/>
            <w:tcMar>
              <w:top w:w="0" w:type="dxa"/>
              <w:left w:w="108" w:type="dxa"/>
              <w:bottom w:w="0" w:type="dxa"/>
              <w:right w:w="108" w:type="dxa"/>
            </w:tcMar>
          </w:tcPr>
          <w:p w14:paraId="6611572B" w14:textId="77777777" w:rsidR="00A10B25" w:rsidRDefault="00A10B25">
            <w:pPr>
              <w:pStyle w:val="TAL"/>
            </w:pPr>
            <w:r>
              <w:t>GNB_DISK_USAGE</w:t>
            </w:r>
          </w:p>
        </w:tc>
        <w:tc>
          <w:tcPr>
            <w:tcW w:w="1536" w:type="pct"/>
            <w:tcMar>
              <w:top w:w="0" w:type="dxa"/>
              <w:left w:w="108" w:type="dxa"/>
              <w:bottom w:w="0" w:type="dxa"/>
              <w:right w:w="108" w:type="dxa"/>
            </w:tcMar>
          </w:tcPr>
          <w:p w14:paraId="4249F7BB" w14:textId="77777777" w:rsidR="00A10B25" w:rsidRDefault="00A10B25">
            <w:pPr>
              <w:pStyle w:val="TAL"/>
              <w:rPr>
                <w:lang w:eastAsia="zh-CN"/>
              </w:rPr>
            </w:pPr>
            <w:r>
              <w:t>Indicates gNodeB disk usage.</w:t>
            </w:r>
          </w:p>
        </w:tc>
        <w:tc>
          <w:tcPr>
            <w:tcW w:w="1459" w:type="pct"/>
          </w:tcPr>
          <w:p w14:paraId="2AB1A0B2" w14:textId="77777777" w:rsidR="00A10B25" w:rsidRDefault="00A10B25">
            <w:pPr>
              <w:pStyle w:val="TAL"/>
            </w:pPr>
          </w:p>
        </w:tc>
      </w:tr>
      <w:tr w:rsidR="00A10B25" w14:paraId="21944BEC" w14:textId="77777777">
        <w:tc>
          <w:tcPr>
            <w:tcW w:w="2005" w:type="pct"/>
            <w:tcMar>
              <w:top w:w="0" w:type="dxa"/>
              <w:left w:w="108" w:type="dxa"/>
              <w:bottom w:w="0" w:type="dxa"/>
              <w:right w:w="108" w:type="dxa"/>
            </w:tcMar>
          </w:tcPr>
          <w:p w14:paraId="59FFEDB2" w14:textId="77777777" w:rsidR="00A10B25" w:rsidRDefault="00A10B25">
            <w:pPr>
              <w:pStyle w:val="TAL"/>
            </w:pPr>
            <w:r>
              <w:t>GNB_RSC_USAGE_OVERALL_TRAFFIC</w:t>
            </w:r>
          </w:p>
        </w:tc>
        <w:tc>
          <w:tcPr>
            <w:tcW w:w="1536" w:type="pct"/>
            <w:tcMar>
              <w:top w:w="0" w:type="dxa"/>
              <w:left w:w="108" w:type="dxa"/>
              <w:bottom w:w="0" w:type="dxa"/>
              <w:right w:w="108" w:type="dxa"/>
            </w:tcMar>
          </w:tcPr>
          <w:p w14:paraId="4A4EB17C" w14:textId="77777777" w:rsidR="00A10B25" w:rsidRDefault="00A10B25">
            <w:pPr>
              <w:pStyle w:val="TAL"/>
            </w:pPr>
            <w:r>
              <w:t>The gNB resource usage.</w:t>
            </w:r>
          </w:p>
        </w:tc>
        <w:tc>
          <w:tcPr>
            <w:tcW w:w="1459" w:type="pct"/>
          </w:tcPr>
          <w:p w14:paraId="47FBCA7F" w14:textId="77777777" w:rsidR="00A10B25" w:rsidRDefault="00A10B25">
            <w:pPr>
              <w:pStyle w:val="TAL"/>
            </w:pPr>
            <w:r>
              <w:t>NetworkPerformance</w:t>
            </w:r>
            <w:r>
              <w:rPr>
                <w:lang w:eastAsia="zh-CN"/>
              </w:rPr>
              <w:t>Ext_AIML</w:t>
            </w:r>
          </w:p>
        </w:tc>
      </w:tr>
      <w:tr w:rsidR="00A10B25" w14:paraId="5C929110" w14:textId="77777777">
        <w:tc>
          <w:tcPr>
            <w:tcW w:w="2005" w:type="pct"/>
            <w:tcMar>
              <w:top w:w="0" w:type="dxa"/>
              <w:left w:w="108" w:type="dxa"/>
              <w:bottom w:w="0" w:type="dxa"/>
              <w:right w:w="108" w:type="dxa"/>
            </w:tcMar>
          </w:tcPr>
          <w:p w14:paraId="513151C8" w14:textId="77777777" w:rsidR="00A10B25" w:rsidRDefault="00A10B25">
            <w:pPr>
              <w:pStyle w:val="TAL"/>
            </w:pPr>
            <w:r>
              <w:t>GNB_RSC_USAGE_GBR_TRAFFIC</w:t>
            </w:r>
          </w:p>
        </w:tc>
        <w:tc>
          <w:tcPr>
            <w:tcW w:w="1536" w:type="pct"/>
            <w:tcMar>
              <w:top w:w="0" w:type="dxa"/>
              <w:left w:w="108" w:type="dxa"/>
              <w:bottom w:w="0" w:type="dxa"/>
              <w:right w:w="108" w:type="dxa"/>
            </w:tcMar>
          </w:tcPr>
          <w:p w14:paraId="6C1B5692" w14:textId="77777777" w:rsidR="00A10B25" w:rsidRDefault="00A10B25">
            <w:pPr>
              <w:pStyle w:val="TAL"/>
            </w:pPr>
            <w:r>
              <w:t>The gNB resource usage for GBR traffic.</w:t>
            </w:r>
          </w:p>
        </w:tc>
        <w:tc>
          <w:tcPr>
            <w:tcW w:w="1459" w:type="pct"/>
          </w:tcPr>
          <w:p w14:paraId="6FD514F9" w14:textId="77777777" w:rsidR="00A10B25" w:rsidRDefault="00A10B25">
            <w:pPr>
              <w:pStyle w:val="TAL"/>
            </w:pPr>
            <w:r>
              <w:t>NetworkPerformance</w:t>
            </w:r>
            <w:r>
              <w:rPr>
                <w:lang w:eastAsia="zh-CN"/>
              </w:rPr>
              <w:t>Ext_AIML</w:t>
            </w:r>
          </w:p>
        </w:tc>
      </w:tr>
      <w:tr w:rsidR="00A10B25" w14:paraId="349959E7" w14:textId="77777777">
        <w:tc>
          <w:tcPr>
            <w:tcW w:w="2005" w:type="pct"/>
            <w:tcMar>
              <w:top w:w="0" w:type="dxa"/>
              <w:left w:w="108" w:type="dxa"/>
              <w:bottom w:w="0" w:type="dxa"/>
              <w:right w:w="108" w:type="dxa"/>
            </w:tcMar>
          </w:tcPr>
          <w:p w14:paraId="7DD3EF58" w14:textId="77777777" w:rsidR="00A10B25" w:rsidRDefault="00A10B25">
            <w:pPr>
              <w:pStyle w:val="TAL"/>
            </w:pPr>
            <w:r>
              <w:t>GNB_RSC_USAGE_DELAY_CRIT_GBR_TRAFFIC</w:t>
            </w:r>
          </w:p>
        </w:tc>
        <w:tc>
          <w:tcPr>
            <w:tcW w:w="1536" w:type="pct"/>
            <w:tcMar>
              <w:top w:w="0" w:type="dxa"/>
              <w:left w:w="108" w:type="dxa"/>
              <w:bottom w:w="0" w:type="dxa"/>
              <w:right w:w="108" w:type="dxa"/>
            </w:tcMar>
          </w:tcPr>
          <w:p w14:paraId="46920FAF" w14:textId="77777777" w:rsidR="00A10B25" w:rsidRDefault="00A10B25">
            <w:pPr>
              <w:pStyle w:val="TAL"/>
            </w:pPr>
            <w:r>
              <w:t>The gNB resource usage for Delay-critical GBR traffic.</w:t>
            </w:r>
          </w:p>
        </w:tc>
        <w:tc>
          <w:tcPr>
            <w:tcW w:w="1459" w:type="pct"/>
          </w:tcPr>
          <w:p w14:paraId="6C708B35" w14:textId="77777777" w:rsidR="00A10B25" w:rsidRDefault="00A10B25">
            <w:pPr>
              <w:pStyle w:val="TAL"/>
            </w:pPr>
            <w:r>
              <w:t>NetworkPerformance</w:t>
            </w:r>
            <w:r>
              <w:rPr>
                <w:lang w:eastAsia="zh-CN"/>
              </w:rPr>
              <w:t>Ext_AIML</w:t>
            </w:r>
          </w:p>
        </w:tc>
      </w:tr>
      <w:tr w:rsidR="00A10B25" w14:paraId="4A79575F" w14:textId="77777777">
        <w:tc>
          <w:tcPr>
            <w:tcW w:w="2005" w:type="pct"/>
            <w:tcMar>
              <w:top w:w="0" w:type="dxa"/>
              <w:left w:w="108" w:type="dxa"/>
              <w:bottom w:w="0" w:type="dxa"/>
              <w:right w:w="108" w:type="dxa"/>
            </w:tcMar>
          </w:tcPr>
          <w:p w14:paraId="7A1AD140" w14:textId="77777777" w:rsidR="00A10B25" w:rsidRDefault="00A10B25">
            <w:pPr>
              <w:pStyle w:val="TAL"/>
            </w:pPr>
            <w:r>
              <w:t>NUM_OF_UE</w:t>
            </w:r>
          </w:p>
        </w:tc>
        <w:tc>
          <w:tcPr>
            <w:tcW w:w="1536" w:type="pct"/>
            <w:tcMar>
              <w:top w:w="0" w:type="dxa"/>
              <w:left w:w="108" w:type="dxa"/>
              <w:bottom w:w="0" w:type="dxa"/>
              <w:right w:w="108" w:type="dxa"/>
            </w:tcMar>
          </w:tcPr>
          <w:p w14:paraId="71DA7863" w14:textId="77777777" w:rsidR="00A10B25" w:rsidRDefault="00A10B25">
            <w:pPr>
              <w:pStyle w:val="TAL"/>
              <w:rPr>
                <w:lang w:eastAsia="zh-CN"/>
              </w:rPr>
            </w:pPr>
            <w:r>
              <w:t>Indicates number of UEs.</w:t>
            </w:r>
          </w:p>
        </w:tc>
        <w:tc>
          <w:tcPr>
            <w:tcW w:w="1459" w:type="pct"/>
          </w:tcPr>
          <w:p w14:paraId="65495CC8" w14:textId="77777777" w:rsidR="00A10B25" w:rsidRDefault="00A10B25">
            <w:pPr>
              <w:pStyle w:val="TAL"/>
              <w:rPr>
                <w:rFonts w:eastAsia="Batang"/>
              </w:rPr>
            </w:pPr>
          </w:p>
        </w:tc>
      </w:tr>
      <w:tr w:rsidR="00A10B25" w14:paraId="456CBBE3" w14:textId="77777777">
        <w:tc>
          <w:tcPr>
            <w:tcW w:w="2005" w:type="pct"/>
            <w:tcMar>
              <w:top w:w="0" w:type="dxa"/>
              <w:left w:w="108" w:type="dxa"/>
              <w:bottom w:w="0" w:type="dxa"/>
              <w:right w:w="108" w:type="dxa"/>
            </w:tcMar>
          </w:tcPr>
          <w:p w14:paraId="2C19B4E0" w14:textId="77777777" w:rsidR="00A10B25" w:rsidRDefault="00A10B25">
            <w:pPr>
              <w:pStyle w:val="TAL"/>
            </w:pPr>
            <w:r>
              <w:t>SESS_SUCC_RATIO</w:t>
            </w:r>
          </w:p>
        </w:tc>
        <w:tc>
          <w:tcPr>
            <w:tcW w:w="1536" w:type="pct"/>
            <w:tcMar>
              <w:top w:w="0" w:type="dxa"/>
              <w:left w:w="108" w:type="dxa"/>
              <w:bottom w:w="0" w:type="dxa"/>
              <w:right w:w="108" w:type="dxa"/>
            </w:tcMar>
          </w:tcPr>
          <w:p w14:paraId="713CB549" w14:textId="77777777" w:rsidR="00A10B25" w:rsidRDefault="00A10B25">
            <w:pPr>
              <w:pStyle w:val="TAL"/>
              <w:rPr>
                <w:lang w:eastAsia="zh-CN"/>
              </w:rPr>
            </w:pPr>
            <w:r>
              <w:t>Indicates ratio of successful setup of PDU sessions to total PDU session setup attempts.</w:t>
            </w:r>
          </w:p>
        </w:tc>
        <w:tc>
          <w:tcPr>
            <w:tcW w:w="1459" w:type="pct"/>
          </w:tcPr>
          <w:p w14:paraId="4103AF66" w14:textId="77777777" w:rsidR="00A10B25" w:rsidRDefault="00A10B25">
            <w:pPr>
              <w:pStyle w:val="TAL"/>
              <w:rPr>
                <w:rFonts w:eastAsia="Batang"/>
              </w:rPr>
            </w:pPr>
          </w:p>
        </w:tc>
      </w:tr>
      <w:tr w:rsidR="00A10B25" w14:paraId="44AA1F0C" w14:textId="77777777">
        <w:tc>
          <w:tcPr>
            <w:tcW w:w="2005" w:type="pct"/>
            <w:tcMar>
              <w:top w:w="0" w:type="dxa"/>
              <w:left w:w="108" w:type="dxa"/>
              <w:bottom w:w="0" w:type="dxa"/>
              <w:right w:w="108" w:type="dxa"/>
            </w:tcMar>
          </w:tcPr>
          <w:p w14:paraId="7770D984" w14:textId="77777777" w:rsidR="00A10B25" w:rsidRDefault="00A10B25">
            <w:pPr>
              <w:pStyle w:val="TAL"/>
            </w:pPr>
            <w:r>
              <w:t>HO_SUCC_RATIO</w:t>
            </w:r>
          </w:p>
        </w:tc>
        <w:tc>
          <w:tcPr>
            <w:tcW w:w="1536" w:type="pct"/>
            <w:tcMar>
              <w:top w:w="0" w:type="dxa"/>
              <w:left w:w="108" w:type="dxa"/>
              <w:bottom w:w="0" w:type="dxa"/>
              <w:right w:w="108" w:type="dxa"/>
            </w:tcMar>
          </w:tcPr>
          <w:p w14:paraId="3F5585EE" w14:textId="77777777" w:rsidR="00A10B25" w:rsidRDefault="00A10B25">
            <w:pPr>
              <w:pStyle w:val="TAL"/>
              <w:rPr>
                <w:lang w:eastAsia="zh-CN"/>
              </w:rPr>
            </w:pPr>
            <w:r>
              <w:t>Indicates Ratio of successful handovers to the total handover attempts.</w:t>
            </w:r>
          </w:p>
        </w:tc>
        <w:tc>
          <w:tcPr>
            <w:tcW w:w="1459" w:type="pct"/>
          </w:tcPr>
          <w:p w14:paraId="4EFFC15E" w14:textId="77777777" w:rsidR="00A10B25" w:rsidRDefault="00A10B25">
            <w:pPr>
              <w:pStyle w:val="TAL"/>
            </w:pPr>
          </w:p>
        </w:tc>
      </w:tr>
    </w:tbl>
    <w:p w14:paraId="4D75D86A" w14:textId="77777777" w:rsidR="00A10B25" w:rsidRDefault="00A10B25"/>
    <w:p w14:paraId="3CFC382B" w14:textId="77777777" w:rsidR="00A10B25" w:rsidRDefault="00A10B25">
      <w:pPr>
        <w:pStyle w:val="5"/>
      </w:pPr>
      <w:bookmarkStart w:id="8746" w:name="_Toc90655925"/>
      <w:bookmarkStart w:id="8747" w:name="_Toc94064324"/>
      <w:bookmarkStart w:id="8748" w:name="_Toc36102498"/>
      <w:bookmarkStart w:id="8749" w:name="_Toc66231841"/>
      <w:bookmarkStart w:id="8750" w:name="_Toc68169002"/>
      <w:bookmarkStart w:id="8751" w:name="_Toc51762937"/>
      <w:bookmarkStart w:id="8752" w:name="_Toc43563542"/>
      <w:bookmarkStart w:id="8753" w:name="_Toc50032017"/>
      <w:bookmarkStart w:id="8754" w:name="_Toc101244487"/>
      <w:bookmarkStart w:id="8755" w:name="_Toc112951205"/>
      <w:bookmarkStart w:id="8756" w:name="_Toc114133884"/>
      <w:bookmarkStart w:id="8757" w:name="_Toc98233710"/>
      <w:bookmarkStart w:id="8758" w:name="_Toc56641005"/>
      <w:bookmarkStart w:id="8759" w:name="_Toc59017973"/>
      <w:bookmarkStart w:id="8760" w:name="_Toc88667640"/>
      <w:bookmarkStart w:id="8761" w:name="_Toc83233119"/>
      <w:bookmarkStart w:id="8762" w:name="_Toc104539082"/>
      <w:bookmarkStart w:id="8763" w:name="_Toc85553034"/>
      <w:bookmarkStart w:id="8764" w:name="_Toc70550669"/>
      <w:bookmarkStart w:id="8765" w:name="_Toc34266327"/>
      <w:bookmarkStart w:id="8766" w:name="_Toc148522706"/>
      <w:bookmarkStart w:id="8767" w:name="_Toc136562470"/>
      <w:bookmarkStart w:id="8768" w:name="_Toc120702384"/>
      <w:bookmarkStart w:id="8769" w:name="_Toc85557133"/>
      <w:bookmarkStart w:id="8770" w:name="_Toc138754304"/>
      <w:bookmarkStart w:id="8771" w:name="_Toc113031745"/>
      <w:bookmarkStart w:id="8772" w:name="_Toc145705796"/>
      <w:bookmarkStart w:id="8773" w:name="_Toc45134085"/>
      <w:bookmarkStart w:id="8774" w:name="_Toc164920893"/>
      <w:bookmarkStart w:id="8775" w:name="_Toc170120435"/>
      <w:bookmarkStart w:id="8776" w:name="_Toc175858680"/>
      <w:bookmarkStart w:id="8777" w:name="_Toc175859753"/>
      <w:bookmarkStart w:id="8778" w:name="_Toc180606043"/>
      <w:bookmarkStart w:id="8779" w:name="_Toc185517302"/>
      <w:bookmarkStart w:id="8780" w:name="_Toc191576353"/>
      <w:bookmarkStart w:id="8781" w:name="_Toc191577093"/>
      <w:bookmarkStart w:id="8782" w:name="_Toc192880163"/>
      <w:bookmarkStart w:id="8783" w:name="_Toc195815051"/>
      <w:bookmarkStart w:id="8784" w:name="_Toc199453018"/>
      <w:r>
        <w:t>5.1.6.3.11</w:t>
      </w:r>
      <w:r>
        <w:tab/>
        <w:t>Enumeration: ExpectedAnalyticsType</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3303A569"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5.1.6.3.11-1: Enumeration </w:t>
      </w:r>
      <w:r>
        <w:t>ExpectedAnalyticsType</w:t>
      </w:r>
    </w:p>
    <w:tbl>
      <w:tblPr>
        <w:tblW w:w="4858"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477"/>
        <w:gridCol w:w="4362"/>
        <w:gridCol w:w="1513"/>
      </w:tblGrid>
      <w:tr w:rsidR="00A10B25" w14:paraId="23271BA1" w14:textId="77777777">
        <w:tc>
          <w:tcPr>
            <w:tcW w:w="1859" w:type="pct"/>
            <w:shd w:val="clear" w:color="auto" w:fill="C0C0C0"/>
            <w:tcMar>
              <w:top w:w="0" w:type="dxa"/>
              <w:left w:w="108" w:type="dxa"/>
              <w:bottom w:w="0" w:type="dxa"/>
              <w:right w:w="108" w:type="dxa"/>
            </w:tcMar>
          </w:tcPr>
          <w:p w14:paraId="2DED742E" w14:textId="77777777" w:rsidR="00A10B25" w:rsidRDefault="00A10B25">
            <w:pPr>
              <w:pStyle w:val="TAH"/>
            </w:pPr>
            <w:r>
              <w:t>Enumeration value</w:t>
            </w:r>
          </w:p>
        </w:tc>
        <w:tc>
          <w:tcPr>
            <w:tcW w:w="2332" w:type="pct"/>
            <w:shd w:val="clear" w:color="auto" w:fill="C0C0C0"/>
            <w:tcMar>
              <w:top w:w="0" w:type="dxa"/>
              <w:left w:w="108" w:type="dxa"/>
              <w:bottom w:w="0" w:type="dxa"/>
              <w:right w:w="108" w:type="dxa"/>
            </w:tcMar>
          </w:tcPr>
          <w:p w14:paraId="098EC3AF" w14:textId="77777777" w:rsidR="00A10B25" w:rsidRDefault="00A10B25">
            <w:pPr>
              <w:pStyle w:val="TAH"/>
            </w:pPr>
            <w:r>
              <w:t>Description</w:t>
            </w:r>
          </w:p>
        </w:tc>
        <w:tc>
          <w:tcPr>
            <w:tcW w:w="809" w:type="pct"/>
            <w:shd w:val="clear" w:color="auto" w:fill="C0C0C0"/>
          </w:tcPr>
          <w:p w14:paraId="44F5C22D" w14:textId="77777777" w:rsidR="00A10B25" w:rsidRDefault="00A10B25">
            <w:pPr>
              <w:pStyle w:val="TAH"/>
            </w:pPr>
            <w:r>
              <w:t>Applicability</w:t>
            </w:r>
          </w:p>
        </w:tc>
      </w:tr>
      <w:tr w:rsidR="00A10B25" w14:paraId="2CB57861" w14:textId="77777777">
        <w:tc>
          <w:tcPr>
            <w:tcW w:w="1859" w:type="pct"/>
            <w:tcMar>
              <w:top w:w="0" w:type="dxa"/>
              <w:left w:w="108" w:type="dxa"/>
              <w:bottom w:w="0" w:type="dxa"/>
              <w:right w:w="108" w:type="dxa"/>
            </w:tcMar>
          </w:tcPr>
          <w:p w14:paraId="2E5BBCD1" w14:textId="77777777" w:rsidR="00A10B25" w:rsidRDefault="00A10B25">
            <w:pPr>
              <w:pStyle w:val="TAL"/>
            </w:pPr>
            <w:r>
              <w:t>MOBILITY</w:t>
            </w:r>
          </w:p>
        </w:tc>
        <w:tc>
          <w:tcPr>
            <w:tcW w:w="2332" w:type="pct"/>
            <w:tcMar>
              <w:top w:w="0" w:type="dxa"/>
              <w:left w:w="108" w:type="dxa"/>
              <w:bottom w:w="0" w:type="dxa"/>
              <w:right w:w="108" w:type="dxa"/>
            </w:tcMar>
          </w:tcPr>
          <w:p w14:paraId="106762CA" w14:textId="77777777" w:rsidR="00A10B25" w:rsidRDefault="00A10B25">
            <w:pPr>
              <w:pStyle w:val="TAL"/>
            </w:pPr>
            <w:r>
              <w:t>Mobility related abnormal behaviour analytics is expected by the consumer</w:t>
            </w:r>
          </w:p>
        </w:tc>
        <w:tc>
          <w:tcPr>
            <w:tcW w:w="809" w:type="pct"/>
          </w:tcPr>
          <w:p w14:paraId="69459016" w14:textId="77777777" w:rsidR="00A10B25" w:rsidRDefault="00A10B25">
            <w:pPr>
              <w:pStyle w:val="TAL"/>
            </w:pPr>
          </w:p>
        </w:tc>
      </w:tr>
      <w:tr w:rsidR="00A10B25" w14:paraId="215ECF24" w14:textId="77777777">
        <w:tc>
          <w:tcPr>
            <w:tcW w:w="1859" w:type="pct"/>
            <w:tcMar>
              <w:top w:w="0" w:type="dxa"/>
              <w:left w:w="108" w:type="dxa"/>
              <w:bottom w:w="0" w:type="dxa"/>
              <w:right w:w="108" w:type="dxa"/>
            </w:tcMar>
          </w:tcPr>
          <w:p w14:paraId="48D7F9A7" w14:textId="77777777" w:rsidR="00A10B25" w:rsidRDefault="00A10B25">
            <w:pPr>
              <w:pStyle w:val="TAL"/>
            </w:pPr>
            <w:r>
              <w:t>COMMUN</w:t>
            </w:r>
          </w:p>
        </w:tc>
        <w:tc>
          <w:tcPr>
            <w:tcW w:w="2332" w:type="pct"/>
            <w:tcMar>
              <w:top w:w="0" w:type="dxa"/>
              <w:left w:w="108" w:type="dxa"/>
              <w:bottom w:w="0" w:type="dxa"/>
              <w:right w:w="108" w:type="dxa"/>
            </w:tcMar>
          </w:tcPr>
          <w:p w14:paraId="20916266" w14:textId="77777777" w:rsidR="00A10B25" w:rsidRDefault="00A10B25">
            <w:pPr>
              <w:pStyle w:val="TAL"/>
              <w:rPr>
                <w:lang w:eastAsia="zh-CN"/>
              </w:rPr>
            </w:pPr>
            <w:r>
              <w:t>Communication related abnormal behaviour analytics is expected by the consumer</w:t>
            </w:r>
          </w:p>
        </w:tc>
        <w:tc>
          <w:tcPr>
            <w:tcW w:w="809" w:type="pct"/>
          </w:tcPr>
          <w:p w14:paraId="047897A9" w14:textId="77777777" w:rsidR="00A10B25" w:rsidRDefault="00A10B25">
            <w:pPr>
              <w:pStyle w:val="TAL"/>
            </w:pPr>
          </w:p>
        </w:tc>
      </w:tr>
      <w:tr w:rsidR="00A10B25" w14:paraId="25F91C82" w14:textId="77777777">
        <w:tc>
          <w:tcPr>
            <w:tcW w:w="1859" w:type="pct"/>
            <w:tcMar>
              <w:top w:w="0" w:type="dxa"/>
              <w:left w:w="108" w:type="dxa"/>
              <w:bottom w:w="0" w:type="dxa"/>
              <w:right w:w="108" w:type="dxa"/>
            </w:tcMar>
          </w:tcPr>
          <w:p w14:paraId="4D3D5A04" w14:textId="77777777" w:rsidR="00A10B25" w:rsidRDefault="00A10B25">
            <w:pPr>
              <w:pStyle w:val="TAL"/>
            </w:pPr>
            <w:r>
              <w:t>MOBILITY_AND_COMMUN</w:t>
            </w:r>
          </w:p>
        </w:tc>
        <w:tc>
          <w:tcPr>
            <w:tcW w:w="2332" w:type="pct"/>
            <w:tcMar>
              <w:top w:w="0" w:type="dxa"/>
              <w:left w:w="108" w:type="dxa"/>
              <w:bottom w:w="0" w:type="dxa"/>
              <w:right w:w="108" w:type="dxa"/>
            </w:tcMar>
          </w:tcPr>
          <w:p w14:paraId="45B31F4C" w14:textId="77777777" w:rsidR="00A10B25" w:rsidRDefault="00A10B25">
            <w:pPr>
              <w:pStyle w:val="TAL"/>
              <w:rPr>
                <w:lang w:eastAsia="zh-CN"/>
              </w:rPr>
            </w:pPr>
            <w:r>
              <w:t>Both mobility and communication related abnormal behaviour analytics is expected by the consumer</w:t>
            </w:r>
          </w:p>
        </w:tc>
        <w:tc>
          <w:tcPr>
            <w:tcW w:w="809" w:type="pct"/>
          </w:tcPr>
          <w:p w14:paraId="03C48A45" w14:textId="77777777" w:rsidR="00A10B25" w:rsidRDefault="00A10B25">
            <w:pPr>
              <w:pStyle w:val="TAL"/>
            </w:pPr>
          </w:p>
        </w:tc>
      </w:tr>
    </w:tbl>
    <w:p w14:paraId="60C77DD8" w14:textId="77777777" w:rsidR="00A10B25" w:rsidRDefault="00A10B25"/>
    <w:p w14:paraId="6033A068" w14:textId="77777777" w:rsidR="00A10B25" w:rsidRDefault="00A10B25">
      <w:pPr>
        <w:pStyle w:val="5"/>
        <w:spacing w:before="240" w:after="240"/>
        <w:rPr>
          <w:rFonts w:eastAsia="等线"/>
        </w:rPr>
      </w:pPr>
      <w:bookmarkStart w:id="8785" w:name="_Toc94064325"/>
      <w:bookmarkStart w:id="8786" w:name="_Toc59017974"/>
      <w:bookmarkStart w:id="8787" w:name="_Toc45134086"/>
      <w:bookmarkStart w:id="8788" w:name="_Toc66231842"/>
      <w:bookmarkStart w:id="8789" w:name="_Toc56641006"/>
      <w:bookmarkStart w:id="8790" w:name="_Toc70550670"/>
      <w:bookmarkStart w:id="8791" w:name="_Toc112951206"/>
      <w:bookmarkStart w:id="8792" w:name="_Toc114133885"/>
      <w:bookmarkStart w:id="8793" w:name="_Toc36102499"/>
      <w:bookmarkStart w:id="8794" w:name="_Toc85557134"/>
      <w:bookmarkStart w:id="8795" w:name="_Toc98233711"/>
      <w:bookmarkStart w:id="8796" w:name="_Toc68169003"/>
      <w:bookmarkStart w:id="8797" w:name="_Toc50032018"/>
      <w:bookmarkStart w:id="8798" w:name="_Toc90655926"/>
      <w:bookmarkStart w:id="8799" w:name="_Toc83233120"/>
      <w:bookmarkStart w:id="8800" w:name="_Toc136562471"/>
      <w:bookmarkStart w:id="8801" w:name="_Toc85553035"/>
      <w:bookmarkStart w:id="8802" w:name="_Toc113031746"/>
      <w:bookmarkStart w:id="8803" w:name="_Toc145705797"/>
      <w:bookmarkStart w:id="8804" w:name="_Toc88667641"/>
      <w:bookmarkStart w:id="8805" w:name="_Toc101244488"/>
      <w:bookmarkStart w:id="8806" w:name="_Toc138754305"/>
      <w:bookmarkStart w:id="8807" w:name="_Toc51762938"/>
      <w:bookmarkStart w:id="8808" w:name="_Toc34266328"/>
      <w:bookmarkStart w:id="8809" w:name="_Toc148522707"/>
      <w:bookmarkStart w:id="8810" w:name="_Toc43563543"/>
      <w:bookmarkStart w:id="8811" w:name="_Toc120702385"/>
      <w:bookmarkStart w:id="8812" w:name="_Toc104539083"/>
      <w:bookmarkStart w:id="8813" w:name="_Toc164920894"/>
      <w:bookmarkStart w:id="8814" w:name="_Toc170120436"/>
      <w:bookmarkStart w:id="8815" w:name="_Toc175858681"/>
      <w:bookmarkStart w:id="8816" w:name="_Toc175859754"/>
      <w:bookmarkStart w:id="8817" w:name="_Toc180606044"/>
      <w:bookmarkStart w:id="8818" w:name="_Toc185517303"/>
      <w:bookmarkStart w:id="8819" w:name="_Toc191576354"/>
      <w:bookmarkStart w:id="8820" w:name="_Toc191577094"/>
      <w:bookmarkStart w:id="8821" w:name="_Toc192880164"/>
      <w:bookmarkStart w:id="8822" w:name="_Toc195815052"/>
      <w:bookmarkStart w:id="8823" w:name="_Toc199453019"/>
      <w:r>
        <w:rPr>
          <w:rFonts w:eastAsia="等线"/>
        </w:rPr>
        <w:t>5.1.6.3.12</w:t>
      </w:r>
      <w:r>
        <w:rPr>
          <w:rFonts w:eastAsia="等线"/>
        </w:rPr>
        <w:tab/>
        <w:t xml:space="preserve">Enumeration: </w:t>
      </w:r>
      <w:r>
        <w:rPr>
          <w:lang w:eastAsia="zh-CN"/>
        </w:rPr>
        <w:t>MatchingDirection</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379DA6EC" w14:textId="77777777" w:rsidR="00A10B25" w:rsidRDefault="00A10B25">
      <w:pPr>
        <w:pStyle w:val="TH"/>
        <w:rPr>
          <w:rFonts w:eastAsia="等线"/>
        </w:rPr>
      </w:pPr>
      <w:r>
        <w:t>Table 5.1.6.3.12-1: Enumeration MatchingDirection</w:t>
      </w:r>
    </w:p>
    <w:tbl>
      <w:tblPr>
        <w:tblW w:w="97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2"/>
        <w:gridCol w:w="6260"/>
        <w:gridCol w:w="1648"/>
      </w:tblGrid>
      <w:tr w:rsidR="00A10B25" w14:paraId="25852C44" w14:textId="77777777">
        <w:tc>
          <w:tcPr>
            <w:tcW w:w="945" w:type="pct"/>
            <w:shd w:val="clear" w:color="auto" w:fill="C0C0C0"/>
            <w:tcMar>
              <w:top w:w="0" w:type="dxa"/>
              <w:left w:w="108" w:type="dxa"/>
              <w:bottom w:w="0" w:type="dxa"/>
              <w:right w:w="108" w:type="dxa"/>
            </w:tcMar>
          </w:tcPr>
          <w:p w14:paraId="36199037" w14:textId="77777777" w:rsidR="00A10B25" w:rsidRDefault="00A10B25">
            <w:pPr>
              <w:pStyle w:val="TAH"/>
            </w:pPr>
            <w:r>
              <w:t>Enumeration value</w:t>
            </w:r>
          </w:p>
        </w:tc>
        <w:tc>
          <w:tcPr>
            <w:tcW w:w="3210" w:type="pct"/>
            <w:shd w:val="clear" w:color="auto" w:fill="C0C0C0"/>
            <w:tcMar>
              <w:top w:w="0" w:type="dxa"/>
              <w:left w:w="108" w:type="dxa"/>
              <w:bottom w:w="0" w:type="dxa"/>
              <w:right w:w="108" w:type="dxa"/>
            </w:tcMar>
          </w:tcPr>
          <w:p w14:paraId="0DBE57B7" w14:textId="77777777" w:rsidR="00A10B25" w:rsidRDefault="00A10B25">
            <w:pPr>
              <w:pStyle w:val="TAH"/>
            </w:pPr>
            <w:r>
              <w:t>Description</w:t>
            </w:r>
          </w:p>
        </w:tc>
        <w:tc>
          <w:tcPr>
            <w:tcW w:w="845" w:type="pct"/>
            <w:shd w:val="clear" w:color="auto" w:fill="C0C0C0"/>
          </w:tcPr>
          <w:p w14:paraId="5A37B0C4" w14:textId="77777777" w:rsidR="00A10B25" w:rsidRDefault="00A10B25">
            <w:pPr>
              <w:pStyle w:val="TAH"/>
            </w:pPr>
            <w:r>
              <w:t>Applicability</w:t>
            </w:r>
          </w:p>
        </w:tc>
      </w:tr>
      <w:tr w:rsidR="00A10B25" w14:paraId="21727629" w14:textId="77777777">
        <w:tc>
          <w:tcPr>
            <w:tcW w:w="945" w:type="pct"/>
            <w:tcMar>
              <w:top w:w="0" w:type="dxa"/>
              <w:left w:w="108" w:type="dxa"/>
              <w:bottom w:w="0" w:type="dxa"/>
              <w:right w:w="108" w:type="dxa"/>
            </w:tcMar>
          </w:tcPr>
          <w:p w14:paraId="00FFF71C" w14:textId="77777777" w:rsidR="00A10B25" w:rsidRDefault="00A10B25">
            <w:pPr>
              <w:pStyle w:val="TAL"/>
            </w:pPr>
            <w:r>
              <w:rPr>
                <w:lang w:eastAsia="zh-CN"/>
              </w:rPr>
              <w:t>ASCENDING</w:t>
            </w:r>
          </w:p>
        </w:tc>
        <w:tc>
          <w:tcPr>
            <w:tcW w:w="3210" w:type="pct"/>
            <w:tcMar>
              <w:top w:w="0" w:type="dxa"/>
              <w:left w:w="108" w:type="dxa"/>
              <w:bottom w:w="0" w:type="dxa"/>
              <w:right w:w="108" w:type="dxa"/>
            </w:tcMar>
          </w:tcPr>
          <w:p w14:paraId="76B7AECE" w14:textId="77777777" w:rsidR="00A10B25" w:rsidRDefault="00A10B25">
            <w:pPr>
              <w:pStyle w:val="TAL"/>
            </w:pPr>
            <w:r>
              <w:rPr>
                <w:lang w:eastAsia="zh-CN"/>
              </w:rPr>
              <w:t>Threshold is crossed in ascending direction.</w:t>
            </w:r>
          </w:p>
        </w:tc>
        <w:tc>
          <w:tcPr>
            <w:tcW w:w="845" w:type="pct"/>
          </w:tcPr>
          <w:p w14:paraId="7FBA1988" w14:textId="77777777" w:rsidR="00A10B25" w:rsidRDefault="00A10B25">
            <w:pPr>
              <w:pStyle w:val="TAL"/>
              <w:rPr>
                <w:lang w:eastAsia="zh-CN"/>
              </w:rPr>
            </w:pPr>
          </w:p>
        </w:tc>
      </w:tr>
      <w:tr w:rsidR="00A10B25" w14:paraId="19872C0C" w14:textId="77777777">
        <w:tc>
          <w:tcPr>
            <w:tcW w:w="945" w:type="pct"/>
            <w:tcMar>
              <w:top w:w="0" w:type="dxa"/>
              <w:left w:w="108" w:type="dxa"/>
              <w:bottom w:w="0" w:type="dxa"/>
              <w:right w:w="108" w:type="dxa"/>
            </w:tcMar>
          </w:tcPr>
          <w:p w14:paraId="3F2BD132" w14:textId="77777777" w:rsidR="00A10B25" w:rsidRDefault="00A10B25">
            <w:pPr>
              <w:pStyle w:val="TAL"/>
              <w:rPr>
                <w:lang w:eastAsia="zh-CN"/>
              </w:rPr>
            </w:pPr>
            <w:r>
              <w:rPr>
                <w:lang w:eastAsia="zh-CN"/>
              </w:rPr>
              <w:t>DESCENDING</w:t>
            </w:r>
          </w:p>
        </w:tc>
        <w:tc>
          <w:tcPr>
            <w:tcW w:w="3210" w:type="pct"/>
            <w:tcMar>
              <w:top w:w="0" w:type="dxa"/>
              <w:left w:w="108" w:type="dxa"/>
              <w:bottom w:w="0" w:type="dxa"/>
              <w:right w:w="108" w:type="dxa"/>
            </w:tcMar>
          </w:tcPr>
          <w:p w14:paraId="0F053DE3" w14:textId="77777777" w:rsidR="00A10B25" w:rsidRDefault="00A10B25">
            <w:pPr>
              <w:pStyle w:val="TAL"/>
              <w:rPr>
                <w:lang w:eastAsia="zh-CN"/>
              </w:rPr>
            </w:pPr>
            <w:r>
              <w:rPr>
                <w:lang w:eastAsia="zh-CN"/>
              </w:rPr>
              <w:t>Threshold is crossed in descending direction.</w:t>
            </w:r>
          </w:p>
        </w:tc>
        <w:tc>
          <w:tcPr>
            <w:tcW w:w="845" w:type="pct"/>
          </w:tcPr>
          <w:p w14:paraId="5723F552" w14:textId="77777777" w:rsidR="00A10B25" w:rsidRDefault="00A10B25">
            <w:pPr>
              <w:pStyle w:val="TAL"/>
              <w:rPr>
                <w:lang w:eastAsia="zh-CN"/>
              </w:rPr>
            </w:pPr>
          </w:p>
        </w:tc>
      </w:tr>
      <w:tr w:rsidR="00A10B25" w14:paraId="643946AB" w14:textId="77777777">
        <w:tc>
          <w:tcPr>
            <w:tcW w:w="945" w:type="pct"/>
            <w:tcMar>
              <w:top w:w="0" w:type="dxa"/>
              <w:left w:w="108" w:type="dxa"/>
              <w:bottom w:w="0" w:type="dxa"/>
              <w:right w:w="108" w:type="dxa"/>
            </w:tcMar>
          </w:tcPr>
          <w:p w14:paraId="71B1995B" w14:textId="77777777" w:rsidR="00A10B25" w:rsidRDefault="00A10B25">
            <w:pPr>
              <w:pStyle w:val="TAL"/>
              <w:rPr>
                <w:lang w:eastAsia="zh-CN"/>
              </w:rPr>
            </w:pPr>
            <w:r>
              <w:rPr>
                <w:lang w:eastAsia="zh-CN"/>
              </w:rPr>
              <w:t>CROSSED</w:t>
            </w:r>
          </w:p>
        </w:tc>
        <w:tc>
          <w:tcPr>
            <w:tcW w:w="3210" w:type="pct"/>
            <w:tcMar>
              <w:top w:w="0" w:type="dxa"/>
              <w:left w:w="108" w:type="dxa"/>
              <w:bottom w:w="0" w:type="dxa"/>
              <w:right w:w="108" w:type="dxa"/>
            </w:tcMar>
          </w:tcPr>
          <w:p w14:paraId="45551F76" w14:textId="77777777" w:rsidR="00A10B25" w:rsidRDefault="00A10B25">
            <w:pPr>
              <w:pStyle w:val="TAL"/>
              <w:rPr>
                <w:lang w:eastAsia="zh-CN"/>
              </w:rPr>
            </w:pPr>
            <w:r>
              <w:rPr>
                <w:lang w:eastAsia="zh-CN"/>
              </w:rPr>
              <w:t>Threshold is crossed either in ascending or descending direction.</w:t>
            </w:r>
          </w:p>
        </w:tc>
        <w:tc>
          <w:tcPr>
            <w:tcW w:w="845" w:type="pct"/>
          </w:tcPr>
          <w:p w14:paraId="6DA4BED1" w14:textId="77777777" w:rsidR="00A10B25" w:rsidRDefault="00A10B25">
            <w:pPr>
              <w:pStyle w:val="TAL"/>
              <w:rPr>
                <w:lang w:eastAsia="zh-CN"/>
              </w:rPr>
            </w:pPr>
          </w:p>
        </w:tc>
      </w:tr>
    </w:tbl>
    <w:p w14:paraId="0458F9F2" w14:textId="77777777" w:rsidR="00A10B25" w:rsidRDefault="00A10B25"/>
    <w:p w14:paraId="64797B00" w14:textId="77777777" w:rsidR="00D654A6" w:rsidRPr="00822010" w:rsidRDefault="00D654A6" w:rsidP="00D654A6">
      <w:pPr>
        <w:keepNext/>
        <w:keepLines/>
        <w:spacing w:before="240" w:after="240"/>
        <w:ind w:left="1701" w:hanging="1701"/>
        <w:outlineLvl w:val="4"/>
        <w:rPr>
          <w:rFonts w:ascii="Arial" w:eastAsia="等线" w:hAnsi="Arial"/>
          <w:sz w:val="22"/>
        </w:rPr>
      </w:pPr>
      <w:bookmarkStart w:id="8824" w:name="_Toc94064327"/>
      <w:bookmarkStart w:id="8825" w:name="_Toc98233713"/>
      <w:bookmarkStart w:id="8826" w:name="_Toc112951208"/>
      <w:bookmarkStart w:id="8827" w:name="_Toc90655928"/>
      <w:bookmarkStart w:id="8828" w:name="_Toc114133887"/>
      <w:bookmarkStart w:id="8829" w:name="_Toc85557136"/>
      <w:bookmarkStart w:id="8830" w:name="_Toc120702387"/>
      <w:bookmarkStart w:id="8831" w:name="_Toc88667643"/>
      <w:bookmarkStart w:id="8832" w:name="_Toc136562473"/>
      <w:bookmarkStart w:id="8833" w:name="_Toc113031748"/>
      <w:bookmarkStart w:id="8834" w:name="_Toc85553037"/>
      <w:bookmarkStart w:id="8835" w:name="_Toc83233122"/>
      <w:bookmarkStart w:id="8836" w:name="_Toc145705799"/>
      <w:bookmarkStart w:id="8837" w:name="_Toc148522709"/>
      <w:bookmarkStart w:id="8838" w:name="_Toc138754307"/>
      <w:bookmarkStart w:id="8839" w:name="_Toc101244490"/>
      <w:bookmarkStart w:id="8840" w:name="_Toc104539085"/>
      <w:bookmarkStart w:id="8841" w:name="_Toc51763046"/>
      <w:bookmarkStart w:id="8842" w:name="_Toc50032734"/>
      <w:bookmarkStart w:id="8843" w:name="_Toc88667642"/>
      <w:bookmarkStart w:id="8844" w:name="_Toc113031747"/>
      <w:bookmarkStart w:id="8845" w:name="_Toc56641007"/>
      <w:bookmarkStart w:id="8846" w:name="_Toc94064326"/>
      <w:bookmarkStart w:id="8847" w:name="_Toc98233712"/>
      <w:bookmarkStart w:id="8848" w:name="_Toc101244489"/>
      <w:bookmarkStart w:id="8849" w:name="_Toc120702386"/>
      <w:bookmarkStart w:id="8850" w:name="_Toc112951207"/>
      <w:bookmarkStart w:id="8851" w:name="_Toc83233121"/>
      <w:bookmarkStart w:id="8852" w:name="_Toc136562472"/>
      <w:bookmarkStart w:id="8853" w:name="_Toc114133886"/>
      <w:bookmarkStart w:id="8854" w:name="_Toc66231843"/>
      <w:bookmarkStart w:id="8855" w:name="_Toc85557135"/>
      <w:bookmarkStart w:id="8856" w:name="_Toc85553036"/>
      <w:bookmarkStart w:id="8857" w:name="_Toc68169004"/>
      <w:bookmarkStart w:id="8858" w:name="_Toc148522708"/>
      <w:bookmarkStart w:id="8859" w:name="_Toc145705798"/>
      <w:bookmarkStart w:id="8860" w:name="_Toc104539084"/>
      <w:bookmarkStart w:id="8861" w:name="_Toc70550671"/>
      <w:bookmarkStart w:id="8862" w:name="_Toc138754306"/>
      <w:bookmarkStart w:id="8863" w:name="_Toc90655927"/>
      <w:bookmarkStart w:id="8864" w:name="_Toc59017975"/>
      <w:r w:rsidRPr="00822010">
        <w:rPr>
          <w:rFonts w:ascii="Arial" w:eastAsia="等线" w:hAnsi="Arial"/>
          <w:sz w:val="22"/>
        </w:rPr>
        <w:lastRenderedPageBreak/>
        <w:t>5.1.6.3.13</w:t>
      </w:r>
      <w:r w:rsidRPr="00822010">
        <w:rPr>
          <w:rFonts w:ascii="Arial" w:eastAsia="等线" w:hAnsi="Arial"/>
          <w:sz w:val="22"/>
        </w:rPr>
        <w:tab/>
        <w:t xml:space="preserve">Enumeration: </w:t>
      </w:r>
      <w:bookmarkEnd w:id="8841"/>
      <w:bookmarkEnd w:id="8842"/>
      <w:r w:rsidRPr="00822010">
        <w:rPr>
          <w:rFonts w:ascii="Arial" w:hAnsi="Arial"/>
          <w:sz w:val="22"/>
          <w:lang w:eastAsia="zh-CN"/>
        </w:rPr>
        <w:t>NwdafFailureCode</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237090C9" w14:textId="77777777" w:rsidR="00D654A6" w:rsidRPr="00822010" w:rsidRDefault="00D654A6" w:rsidP="00D654A6">
      <w:pPr>
        <w:keepNext/>
        <w:keepLines/>
        <w:spacing w:before="60"/>
        <w:jc w:val="center"/>
        <w:rPr>
          <w:rFonts w:ascii="Arial" w:eastAsia="等线" w:hAnsi="Arial"/>
          <w:b/>
        </w:rPr>
      </w:pPr>
      <w:r w:rsidRPr="00822010">
        <w:rPr>
          <w:rFonts w:ascii="Arial" w:hAnsi="Arial"/>
          <w:b/>
        </w:rPr>
        <w:t xml:space="preserve">Table 5.1.6.3.13-1: Enumeration </w:t>
      </w:r>
      <w:r w:rsidRPr="00822010">
        <w:rPr>
          <w:rFonts w:ascii="Arial" w:hAnsi="Arial"/>
          <w:b/>
          <w:lang w:eastAsia="zh-CN"/>
        </w:rPr>
        <w:t>NwdafFailureCode</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D654A6" w:rsidRPr="00822010" w14:paraId="433BB457" w14:textId="77777777" w:rsidTr="005A20DD">
        <w:tc>
          <w:tcPr>
            <w:tcW w:w="1178" w:type="pct"/>
            <w:shd w:val="clear" w:color="auto" w:fill="C0C0C0"/>
            <w:tcMar>
              <w:top w:w="0" w:type="dxa"/>
              <w:left w:w="108" w:type="dxa"/>
              <w:bottom w:w="0" w:type="dxa"/>
              <w:right w:w="108" w:type="dxa"/>
            </w:tcMar>
          </w:tcPr>
          <w:p w14:paraId="306F2412" w14:textId="77777777" w:rsidR="00D654A6" w:rsidRPr="00822010" w:rsidRDefault="00D654A6" w:rsidP="005A20DD">
            <w:pPr>
              <w:keepNext/>
              <w:keepLines/>
              <w:spacing w:after="0"/>
              <w:jc w:val="center"/>
              <w:rPr>
                <w:rFonts w:ascii="Arial" w:hAnsi="Arial"/>
                <w:b/>
                <w:sz w:val="18"/>
              </w:rPr>
            </w:pPr>
            <w:r w:rsidRPr="00822010">
              <w:rPr>
                <w:rFonts w:ascii="Arial" w:hAnsi="Arial"/>
                <w:b/>
                <w:sz w:val="18"/>
              </w:rPr>
              <w:t>Enumeration value</w:t>
            </w:r>
          </w:p>
        </w:tc>
        <w:tc>
          <w:tcPr>
            <w:tcW w:w="3086" w:type="pct"/>
            <w:shd w:val="clear" w:color="auto" w:fill="C0C0C0"/>
            <w:tcMar>
              <w:top w:w="0" w:type="dxa"/>
              <w:left w:w="108" w:type="dxa"/>
              <w:bottom w:w="0" w:type="dxa"/>
              <w:right w:w="108" w:type="dxa"/>
            </w:tcMar>
          </w:tcPr>
          <w:p w14:paraId="32C79118" w14:textId="77777777" w:rsidR="00D654A6" w:rsidRPr="00822010" w:rsidRDefault="00D654A6" w:rsidP="005A20DD">
            <w:pPr>
              <w:keepNext/>
              <w:keepLines/>
              <w:spacing w:after="0"/>
              <w:jc w:val="center"/>
              <w:rPr>
                <w:rFonts w:ascii="Arial" w:hAnsi="Arial"/>
                <w:b/>
                <w:sz w:val="18"/>
              </w:rPr>
            </w:pPr>
            <w:r w:rsidRPr="00822010">
              <w:rPr>
                <w:rFonts w:ascii="Arial" w:hAnsi="Arial"/>
                <w:b/>
                <w:sz w:val="18"/>
              </w:rPr>
              <w:t>Description</w:t>
            </w:r>
          </w:p>
        </w:tc>
        <w:tc>
          <w:tcPr>
            <w:tcW w:w="736" w:type="pct"/>
            <w:shd w:val="clear" w:color="auto" w:fill="C0C0C0"/>
          </w:tcPr>
          <w:p w14:paraId="2D16154B" w14:textId="77777777" w:rsidR="00D654A6" w:rsidRPr="00822010" w:rsidRDefault="00D654A6" w:rsidP="005A20DD">
            <w:pPr>
              <w:keepNext/>
              <w:keepLines/>
              <w:spacing w:after="0"/>
              <w:jc w:val="center"/>
              <w:rPr>
                <w:rFonts w:ascii="Arial" w:hAnsi="Arial"/>
                <w:b/>
                <w:sz w:val="18"/>
              </w:rPr>
            </w:pPr>
            <w:r w:rsidRPr="00822010">
              <w:rPr>
                <w:rFonts w:ascii="Arial" w:hAnsi="Arial"/>
                <w:b/>
                <w:sz w:val="18"/>
              </w:rPr>
              <w:t>Applicability</w:t>
            </w:r>
          </w:p>
        </w:tc>
      </w:tr>
      <w:tr w:rsidR="00D654A6" w:rsidRPr="00822010" w14:paraId="5D7C625B" w14:textId="77777777" w:rsidTr="005A20DD">
        <w:tc>
          <w:tcPr>
            <w:tcW w:w="1178" w:type="pct"/>
            <w:tcMar>
              <w:top w:w="0" w:type="dxa"/>
              <w:left w:w="108" w:type="dxa"/>
              <w:bottom w:w="0" w:type="dxa"/>
              <w:right w:w="108" w:type="dxa"/>
            </w:tcMar>
          </w:tcPr>
          <w:p w14:paraId="64823C21" w14:textId="77777777" w:rsidR="00D654A6" w:rsidRPr="00822010" w:rsidRDefault="00D654A6" w:rsidP="005A20DD">
            <w:pPr>
              <w:keepNext/>
              <w:keepLines/>
              <w:spacing w:after="0"/>
              <w:rPr>
                <w:rFonts w:ascii="Arial" w:hAnsi="Arial"/>
                <w:sz w:val="18"/>
              </w:rPr>
            </w:pPr>
            <w:r w:rsidRPr="00822010">
              <w:rPr>
                <w:rFonts w:ascii="Arial" w:hAnsi="Arial"/>
                <w:sz w:val="18"/>
                <w:lang w:eastAsia="zh-CN"/>
              </w:rPr>
              <w:t>UNAVAILABLE_DATA</w:t>
            </w:r>
          </w:p>
        </w:tc>
        <w:tc>
          <w:tcPr>
            <w:tcW w:w="3086" w:type="pct"/>
            <w:tcMar>
              <w:top w:w="0" w:type="dxa"/>
              <w:left w:w="108" w:type="dxa"/>
              <w:bottom w:w="0" w:type="dxa"/>
              <w:right w:w="108" w:type="dxa"/>
            </w:tcMar>
          </w:tcPr>
          <w:p w14:paraId="7349A59C" w14:textId="77777777" w:rsidR="00D654A6" w:rsidRPr="00822010" w:rsidRDefault="00D654A6" w:rsidP="005A20DD">
            <w:pPr>
              <w:keepNext/>
              <w:keepLines/>
              <w:spacing w:after="0"/>
              <w:rPr>
                <w:rFonts w:ascii="Arial" w:hAnsi="Arial"/>
                <w:sz w:val="18"/>
              </w:rPr>
            </w:pPr>
            <w:r w:rsidRPr="00822010">
              <w:rPr>
                <w:rFonts w:ascii="Arial" w:hAnsi="Arial" w:hint="eastAsia"/>
                <w:sz w:val="18"/>
                <w:lang w:eastAsia="zh-CN"/>
              </w:rPr>
              <w:t>I</w:t>
            </w:r>
            <w:r w:rsidRPr="00822010">
              <w:rPr>
                <w:rFonts w:ascii="Arial" w:hAnsi="Arial"/>
                <w:sz w:val="18"/>
                <w:lang w:eastAsia="zh-CN"/>
              </w:rPr>
              <w:t>ndicates the requested statistics information for the event is rejected since necessary data to perform the service is unavailable.</w:t>
            </w:r>
          </w:p>
        </w:tc>
        <w:tc>
          <w:tcPr>
            <w:tcW w:w="736" w:type="pct"/>
          </w:tcPr>
          <w:p w14:paraId="6B6359E4" w14:textId="77777777" w:rsidR="00D654A6" w:rsidRPr="00822010" w:rsidRDefault="00D654A6" w:rsidP="005A20DD">
            <w:pPr>
              <w:keepNext/>
              <w:keepLines/>
              <w:spacing w:after="0"/>
              <w:rPr>
                <w:rFonts w:ascii="Arial" w:hAnsi="Arial"/>
                <w:sz w:val="18"/>
                <w:lang w:eastAsia="zh-CN"/>
              </w:rPr>
            </w:pPr>
          </w:p>
        </w:tc>
      </w:tr>
      <w:tr w:rsidR="00D654A6" w:rsidRPr="00822010" w14:paraId="11FB3750" w14:textId="77777777" w:rsidTr="005A20DD">
        <w:tc>
          <w:tcPr>
            <w:tcW w:w="1178" w:type="pct"/>
            <w:tcMar>
              <w:top w:w="0" w:type="dxa"/>
              <w:left w:w="108" w:type="dxa"/>
              <w:bottom w:w="0" w:type="dxa"/>
              <w:right w:w="108" w:type="dxa"/>
            </w:tcMar>
          </w:tcPr>
          <w:p w14:paraId="07D637DF" w14:textId="77777777" w:rsidR="00D654A6" w:rsidRPr="00822010" w:rsidRDefault="00D654A6" w:rsidP="005A20DD">
            <w:pPr>
              <w:keepNext/>
              <w:keepLines/>
              <w:spacing w:after="0"/>
              <w:rPr>
                <w:rFonts w:ascii="Arial" w:hAnsi="Arial"/>
                <w:sz w:val="18"/>
                <w:lang w:val="en-US" w:eastAsia="zh-CN"/>
              </w:rPr>
            </w:pPr>
            <w:r w:rsidRPr="00822010">
              <w:rPr>
                <w:rFonts w:ascii="Arial" w:hAnsi="Arial"/>
                <w:sz w:val="18"/>
              </w:rPr>
              <w:t>BOTH_STAT_PRED_NOT_ALLOWED</w:t>
            </w:r>
          </w:p>
        </w:tc>
        <w:tc>
          <w:tcPr>
            <w:tcW w:w="3086" w:type="pct"/>
            <w:tcMar>
              <w:top w:w="0" w:type="dxa"/>
              <w:left w:w="108" w:type="dxa"/>
              <w:bottom w:w="0" w:type="dxa"/>
              <w:right w:w="108" w:type="dxa"/>
            </w:tcMar>
          </w:tcPr>
          <w:p w14:paraId="402A0E53" w14:textId="77777777" w:rsidR="00D654A6" w:rsidRPr="00822010" w:rsidRDefault="00D654A6" w:rsidP="005A20DD">
            <w:pPr>
              <w:keepNext/>
              <w:keepLines/>
              <w:spacing w:after="0"/>
              <w:rPr>
                <w:rFonts w:ascii="Arial" w:hAnsi="Arial"/>
                <w:sz w:val="18"/>
                <w:lang w:eastAsia="zh-CN"/>
              </w:rPr>
            </w:pPr>
            <w:r w:rsidRPr="00822010">
              <w:rPr>
                <w:rFonts w:ascii="Arial" w:hAnsi="Arial" w:hint="eastAsia"/>
                <w:sz w:val="18"/>
                <w:lang w:eastAsia="zh-CN"/>
              </w:rPr>
              <w:t>I</w:t>
            </w:r>
            <w:r w:rsidRPr="00822010">
              <w:rPr>
                <w:rFonts w:ascii="Arial" w:hAnsi="Arial"/>
                <w:sz w:val="18"/>
                <w:lang w:eastAsia="zh-CN"/>
              </w:rPr>
              <w:t xml:space="preserve">ndicates the requested analysis information for the event is rejected since </w:t>
            </w:r>
            <w:r w:rsidRPr="00822010">
              <w:rPr>
                <w:rFonts w:ascii="Arial" w:hAnsi="Arial"/>
                <w:sz w:val="18"/>
              </w:rPr>
              <w:t>the start time is in the past and the end time is in the future, which means the NF service consumer requested both statistics and prediction for the analytics.</w:t>
            </w:r>
          </w:p>
        </w:tc>
        <w:tc>
          <w:tcPr>
            <w:tcW w:w="736" w:type="pct"/>
          </w:tcPr>
          <w:p w14:paraId="2874555A" w14:textId="77777777" w:rsidR="00D654A6" w:rsidRPr="00822010" w:rsidRDefault="00D654A6" w:rsidP="005A20DD">
            <w:pPr>
              <w:keepNext/>
              <w:keepLines/>
              <w:spacing w:after="0"/>
              <w:rPr>
                <w:rFonts w:ascii="Arial" w:hAnsi="Arial"/>
                <w:sz w:val="18"/>
                <w:lang w:eastAsia="zh-CN"/>
              </w:rPr>
            </w:pPr>
          </w:p>
        </w:tc>
      </w:tr>
      <w:tr w:rsidR="00D654A6" w:rsidRPr="00822010" w14:paraId="5B87FE2E" w14:textId="77777777" w:rsidTr="005A20DD">
        <w:tc>
          <w:tcPr>
            <w:tcW w:w="1178" w:type="pct"/>
            <w:tcMar>
              <w:top w:w="0" w:type="dxa"/>
              <w:left w:w="108" w:type="dxa"/>
              <w:bottom w:w="0" w:type="dxa"/>
              <w:right w:w="108" w:type="dxa"/>
            </w:tcMar>
          </w:tcPr>
          <w:p w14:paraId="6D85B4D4" w14:textId="77777777" w:rsidR="00D654A6" w:rsidRPr="00822010" w:rsidRDefault="00D654A6" w:rsidP="005A20DD">
            <w:pPr>
              <w:keepNext/>
              <w:keepLines/>
              <w:spacing w:after="0"/>
              <w:rPr>
                <w:rFonts w:ascii="Arial" w:hAnsi="Arial"/>
                <w:sz w:val="18"/>
              </w:rPr>
            </w:pPr>
            <w:r w:rsidRPr="00822010">
              <w:rPr>
                <w:rFonts w:ascii="Arial" w:hAnsi="Arial"/>
                <w:sz w:val="18"/>
              </w:rPr>
              <w:t>PREDICTION_NOT_ALLOWED</w:t>
            </w:r>
          </w:p>
        </w:tc>
        <w:tc>
          <w:tcPr>
            <w:tcW w:w="3086" w:type="pct"/>
            <w:tcMar>
              <w:top w:w="0" w:type="dxa"/>
              <w:left w:w="108" w:type="dxa"/>
              <w:bottom w:w="0" w:type="dxa"/>
              <w:right w:w="108" w:type="dxa"/>
            </w:tcMar>
          </w:tcPr>
          <w:p w14:paraId="3D770EC5" w14:textId="77777777" w:rsidR="00D654A6" w:rsidRPr="00822010" w:rsidRDefault="00D654A6" w:rsidP="005A20DD">
            <w:pPr>
              <w:keepNext/>
              <w:keepLines/>
              <w:spacing w:after="0"/>
              <w:rPr>
                <w:rFonts w:ascii="Arial" w:hAnsi="Arial"/>
                <w:sz w:val="18"/>
                <w:lang w:eastAsia="zh-CN"/>
              </w:rPr>
            </w:pPr>
            <w:r w:rsidRPr="00822010">
              <w:rPr>
                <w:rFonts w:ascii="Arial" w:hAnsi="Arial"/>
                <w:sz w:val="18"/>
                <w:lang w:eastAsia="zh-CN"/>
              </w:rPr>
              <w:t>Indicates that the request for the prediction of the analytics event is not allowed.</w:t>
            </w:r>
          </w:p>
        </w:tc>
        <w:tc>
          <w:tcPr>
            <w:tcW w:w="736" w:type="pct"/>
          </w:tcPr>
          <w:p w14:paraId="1B7E68D2" w14:textId="77777777" w:rsidR="00D654A6" w:rsidRPr="00822010" w:rsidRDefault="00D654A6" w:rsidP="005A20DD">
            <w:pPr>
              <w:keepNext/>
              <w:keepLines/>
              <w:spacing w:after="0"/>
              <w:rPr>
                <w:rFonts w:ascii="Arial" w:hAnsi="Arial"/>
                <w:sz w:val="18"/>
                <w:lang w:eastAsia="zh-CN"/>
              </w:rPr>
            </w:pPr>
            <w:r w:rsidRPr="00822010">
              <w:rPr>
                <w:rFonts w:ascii="Arial" w:hAnsi="Arial"/>
                <w:sz w:val="18"/>
                <w:lang w:eastAsia="zh-CN"/>
              </w:rPr>
              <w:t>PredictionError</w:t>
            </w:r>
          </w:p>
        </w:tc>
      </w:tr>
      <w:tr w:rsidR="00D654A6" w:rsidRPr="00822010" w14:paraId="613B1E01" w14:textId="77777777" w:rsidTr="005A20DD">
        <w:tc>
          <w:tcPr>
            <w:tcW w:w="1178" w:type="pct"/>
            <w:tcMar>
              <w:top w:w="0" w:type="dxa"/>
              <w:left w:w="108" w:type="dxa"/>
              <w:bottom w:w="0" w:type="dxa"/>
              <w:right w:w="108" w:type="dxa"/>
            </w:tcMar>
          </w:tcPr>
          <w:p w14:paraId="0B2F05E7" w14:textId="77777777" w:rsidR="00D654A6" w:rsidRPr="00822010" w:rsidRDefault="00D654A6" w:rsidP="005A20DD">
            <w:pPr>
              <w:keepNext/>
              <w:keepLines/>
              <w:spacing w:after="0"/>
              <w:rPr>
                <w:rFonts w:ascii="Arial" w:hAnsi="Arial"/>
                <w:sz w:val="18"/>
                <w:lang w:eastAsia="zh-CN"/>
              </w:rPr>
            </w:pPr>
            <w:r w:rsidRPr="00822010">
              <w:rPr>
                <w:rFonts w:ascii="Arial" w:hAnsi="Arial"/>
                <w:sz w:val="18"/>
              </w:rPr>
              <w:t>UNSATISFIED_REQUESTED_ANALYTICS_TIME</w:t>
            </w:r>
          </w:p>
        </w:tc>
        <w:tc>
          <w:tcPr>
            <w:tcW w:w="3086" w:type="pct"/>
            <w:tcMar>
              <w:top w:w="0" w:type="dxa"/>
              <w:left w:w="108" w:type="dxa"/>
              <w:bottom w:w="0" w:type="dxa"/>
              <w:right w:w="108" w:type="dxa"/>
            </w:tcMar>
          </w:tcPr>
          <w:p w14:paraId="26022492" w14:textId="77777777" w:rsidR="00D654A6" w:rsidRPr="00822010" w:rsidRDefault="00D654A6" w:rsidP="005A20DD">
            <w:pPr>
              <w:keepNext/>
              <w:keepLines/>
              <w:spacing w:after="0"/>
              <w:rPr>
                <w:rFonts w:ascii="Arial" w:hAnsi="Arial"/>
                <w:sz w:val="18"/>
                <w:lang w:eastAsia="zh-CN"/>
              </w:rPr>
            </w:pPr>
            <w:r w:rsidRPr="00822010">
              <w:rPr>
                <w:rFonts w:ascii="Arial" w:hAnsi="Arial"/>
                <w:sz w:val="18"/>
              </w:rPr>
              <w:t>Indicates that the requested event is rejected since the analytics information is not ready when the time indicated by the "timeAnaNeeded" attribute (as provided during the creation or modification of subscription) is reached.</w:t>
            </w:r>
          </w:p>
        </w:tc>
        <w:tc>
          <w:tcPr>
            <w:tcW w:w="736" w:type="pct"/>
          </w:tcPr>
          <w:p w14:paraId="3B41AA9D" w14:textId="77777777" w:rsidR="00D654A6" w:rsidRPr="00822010" w:rsidRDefault="00D654A6" w:rsidP="005A20DD">
            <w:pPr>
              <w:keepNext/>
              <w:keepLines/>
              <w:spacing w:after="0"/>
              <w:rPr>
                <w:rFonts w:ascii="Arial" w:hAnsi="Arial"/>
                <w:sz w:val="18"/>
                <w:lang w:eastAsia="zh-CN"/>
              </w:rPr>
            </w:pPr>
            <w:r w:rsidRPr="00822010">
              <w:rPr>
                <w:rFonts w:ascii="Arial" w:hAnsi="Arial"/>
                <w:sz w:val="18"/>
                <w:lang w:eastAsia="zh-CN"/>
              </w:rPr>
              <w:t>EneNA</w:t>
            </w:r>
          </w:p>
        </w:tc>
      </w:tr>
      <w:tr w:rsidR="00D654A6" w:rsidRPr="00822010" w14:paraId="69CD3896" w14:textId="77777777" w:rsidTr="005A20DD">
        <w:tc>
          <w:tcPr>
            <w:tcW w:w="1178" w:type="pct"/>
            <w:tcMar>
              <w:top w:w="0" w:type="dxa"/>
              <w:left w:w="108" w:type="dxa"/>
              <w:bottom w:w="0" w:type="dxa"/>
              <w:right w:w="108" w:type="dxa"/>
            </w:tcMar>
          </w:tcPr>
          <w:p w14:paraId="33FAE574" w14:textId="77777777" w:rsidR="00D654A6" w:rsidRPr="00822010" w:rsidRDefault="00D654A6" w:rsidP="005A20DD">
            <w:pPr>
              <w:keepNext/>
              <w:keepLines/>
              <w:spacing w:after="0"/>
              <w:rPr>
                <w:rFonts w:ascii="Arial" w:hAnsi="Arial"/>
                <w:sz w:val="18"/>
              </w:rPr>
            </w:pPr>
            <w:r>
              <w:rPr>
                <w:rFonts w:ascii="Arial" w:hAnsi="Arial"/>
                <w:sz w:val="18"/>
              </w:rPr>
              <w:t>NO_ROAMING_SUPPORT</w:t>
            </w:r>
          </w:p>
        </w:tc>
        <w:tc>
          <w:tcPr>
            <w:tcW w:w="3086" w:type="pct"/>
            <w:tcMar>
              <w:top w:w="0" w:type="dxa"/>
              <w:left w:w="108" w:type="dxa"/>
              <w:bottom w:w="0" w:type="dxa"/>
              <w:right w:w="108" w:type="dxa"/>
            </w:tcMar>
          </w:tcPr>
          <w:p w14:paraId="3B416BDB" w14:textId="77777777" w:rsidR="00D654A6" w:rsidRPr="00822010" w:rsidRDefault="00D654A6" w:rsidP="005A20DD">
            <w:pPr>
              <w:keepNext/>
              <w:keepLines/>
              <w:spacing w:after="0"/>
              <w:rPr>
                <w:rFonts w:ascii="Arial" w:hAnsi="Arial"/>
                <w:sz w:val="18"/>
              </w:rPr>
            </w:pPr>
            <w:r w:rsidRPr="00A801F9">
              <w:rPr>
                <w:rFonts w:ascii="Arial" w:hAnsi="Arial"/>
                <w:sz w:val="18"/>
              </w:rPr>
              <w:t xml:space="preserve">Indicates that the request shall be rejected because </w:t>
            </w:r>
            <w:r>
              <w:rPr>
                <w:rFonts w:ascii="Arial" w:hAnsi="Arial"/>
                <w:sz w:val="18"/>
              </w:rPr>
              <w:t>roaming analytics or data are required and the NWDAF neither supports roaming exchange capabilitiy nor can it forward the request to another NWDAF</w:t>
            </w:r>
            <w:r w:rsidRPr="00A801F9">
              <w:rPr>
                <w:rFonts w:ascii="Arial" w:hAnsi="Arial"/>
                <w:sz w:val="18"/>
              </w:rPr>
              <w:t>.</w:t>
            </w:r>
          </w:p>
        </w:tc>
        <w:tc>
          <w:tcPr>
            <w:tcW w:w="736" w:type="pct"/>
          </w:tcPr>
          <w:p w14:paraId="57D38CCB" w14:textId="77777777" w:rsidR="00D654A6" w:rsidRPr="00822010" w:rsidRDefault="00D654A6" w:rsidP="005A20DD">
            <w:pPr>
              <w:keepNext/>
              <w:keepLines/>
              <w:spacing w:after="0"/>
              <w:rPr>
                <w:rFonts w:ascii="Arial" w:hAnsi="Arial"/>
                <w:sz w:val="18"/>
                <w:lang w:eastAsia="zh-CN"/>
              </w:rPr>
            </w:pPr>
            <w:r>
              <w:rPr>
                <w:rFonts w:ascii="Arial" w:hAnsi="Arial"/>
                <w:sz w:val="18"/>
              </w:rPr>
              <w:t>RoamingAnalytics</w:t>
            </w:r>
          </w:p>
        </w:tc>
      </w:tr>
      <w:tr w:rsidR="00D654A6" w:rsidRPr="00822010" w14:paraId="09F265F2" w14:textId="77777777" w:rsidTr="005A20DD">
        <w:tc>
          <w:tcPr>
            <w:tcW w:w="1178" w:type="pct"/>
            <w:tcMar>
              <w:top w:w="0" w:type="dxa"/>
              <w:left w:w="108" w:type="dxa"/>
              <w:bottom w:w="0" w:type="dxa"/>
              <w:right w:w="108" w:type="dxa"/>
            </w:tcMar>
          </w:tcPr>
          <w:p w14:paraId="0100C177" w14:textId="77777777" w:rsidR="00D654A6" w:rsidRPr="00822010" w:rsidRDefault="00D654A6" w:rsidP="005A20DD">
            <w:pPr>
              <w:keepNext/>
              <w:keepLines/>
              <w:spacing w:after="0"/>
              <w:rPr>
                <w:rFonts w:ascii="Arial" w:hAnsi="Arial"/>
                <w:sz w:val="18"/>
                <w:lang w:eastAsia="zh-CN"/>
              </w:rPr>
            </w:pPr>
            <w:r w:rsidRPr="00822010">
              <w:rPr>
                <w:rFonts w:ascii="Arial" w:hAnsi="Arial" w:hint="eastAsia"/>
                <w:sz w:val="18"/>
                <w:lang w:eastAsia="zh-CN"/>
              </w:rPr>
              <w:t>O</w:t>
            </w:r>
            <w:r w:rsidRPr="00822010">
              <w:rPr>
                <w:rFonts w:ascii="Arial" w:hAnsi="Arial"/>
                <w:sz w:val="18"/>
                <w:lang w:eastAsia="zh-CN"/>
              </w:rPr>
              <w:t>THER</w:t>
            </w:r>
          </w:p>
        </w:tc>
        <w:tc>
          <w:tcPr>
            <w:tcW w:w="3086" w:type="pct"/>
            <w:tcMar>
              <w:top w:w="0" w:type="dxa"/>
              <w:left w:w="108" w:type="dxa"/>
              <w:bottom w:w="0" w:type="dxa"/>
              <w:right w:w="108" w:type="dxa"/>
            </w:tcMar>
          </w:tcPr>
          <w:p w14:paraId="150AA615" w14:textId="77777777" w:rsidR="00D654A6" w:rsidRPr="00822010" w:rsidRDefault="00D654A6" w:rsidP="005A20DD">
            <w:pPr>
              <w:keepNext/>
              <w:keepLines/>
              <w:spacing w:after="0"/>
              <w:rPr>
                <w:rFonts w:ascii="Arial" w:hAnsi="Arial"/>
                <w:sz w:val="18"/>
                <w:lang w:eastAsia="zh-CN"/>
              </w:rPr>
            </w:pPr>
            <w:r w:rsidRPr="00822010">
              <w:rPr>
                <w:rFonts w:ascii="Arial" w:hAnsi="Arial" w:hint="eastAsia"/>
                <w:sz w:val="18"/>
                <w:lang w:eastAsia="zh-CN"/>
              </w:rPr>
              <w:t>I</w:t>
            </w:r>
            <w:r w:rsidRPr="00822010">
              <w:rPr>
                <w:rFonts w:ascii="Arial" w:hAnsi="Arial"/>
                <w:sz w:val="18"/>
                <w:lang w:eastAsia="zh-CN"/>
              </w:rPr>
              <w:t>ndicates the requested analysis information for the event is rejected due to other reasons.</w:t>
            </w:r>
          </w:p>
        </w:tc>
        <w:tc>
          <w:tcPr>
            <w:tcW w:w="736" w:type="pct"/>
          </w:tcPr>
          <w:p w14:paraId="549241C8" w14:textId="77777777" w:rsidR="00D654A6" w:rsidRPr="00822010" w:rsidRDefault="00D654A6" w:rsidP="005A20DD">
            <w:pPr>
              <w:keepNext/>
              <w:keepLines/>
              <w:spacing w:after="0"/>
              <w:rPr>
                <w:rFonts w:ascii="Arial" w:hAnsi="Arial"/>
                <w:sz w:val="18"/>
                <w:lang w:eastAsia="zh-CN"/>
              </w:rPr>
            </w:pPr>
          </w:p>
        </w:tc>
      </w:tr>
    </w:tbl>
    <w:p w14:paraId="333DAD43" w14:textId="77777777" w:rsidR="00D654A6" w:rsidRDefault="00D654A6" w:rsidP="00D654A6"/>
    <w:p w14:paraId="602CAD98" w14:textId="77777777" w:rsidR="00A10B25" w:rsidRDefault="00A10B25">
      <w:pPr>
        <w:pStyle w:val="5"/>
        <w:spacing w:before="240" w:after="240"/>
        <w:rPr>
          <w:rFonts w:eastAsia="等线"/>
        </w:rPr>
      </w:pPr>
      <w:bookmarkStart w:id="8865" w:name="_Toc164920895"/>
      <w:bookmarkStart w:id="8866" w:name="_Toc170120437"/>
      <w:bookmarkStart w:id="8867" w:name="_Toc175858682"/>
      <w:bookmarkStart w:id="8868" w:name="_Toc175859755"/>
      <w:bookmarkStart w:id="8869" w:name="_Toc180606045"/>
      <w:bookmarkStart w:id="8870" w:name="_Toc185517304"/>
      <w:bookmarkStart w:id="8871" w:name="_Toc191576355"/>
      <w:bookmarkStart w:id="8872" w:name="_Toc191577095"/>
      <w:bookmarkStart w:id="8873" w:name="_Toc192880165"/>
      <w:bookmarkStart w:id="8874" w:name="_Toc195815053"/>
      <w:bookmarkStart w:id="8875" w:name="_Toc199453020"/>
      <w:r>
        <w:rPr>
          <w:rFonts w:eastAsia="等线"/>
        </w:rPr>
        <w:t>5.1.6.3.14</w:t>
      </w:r>
      <w:r>
        <w:rPr>
          <w:rFonts w:eastAsia="等线"/>
        </w:rPr>
        <w:tab/>
        <w:t xml:space="preserve">Enumeration: </w:t>
      </w:r>
      <w:r>
        <w:rPr>
          <w:lang w:eastAsia="zh-CN"/>
        </w:rPr>
        <w:t>AnalyticsMetadata</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65"/>
      <w:bookmarkEnd w:id="8866"/>
      <w:bookmarkEnd w:id="8867"/>
      <w:bookmarkEnd w:id="8868"/>
      <w:bookmarkEnd w:id="8869"/>
      <w:bookmarkEnd w:id="8870"/>
      <w:bookmarkEnd w:id="8871"/>
      <w:bookmarkEnd w:id="8872"/>
      <w:bookmarkEnd w:id="8873"/>
      <w:bookmarkEnd w:id="8874"/>
      <w:bookmarkEnd w:id="8875"/>
    </w:p>
    <w:p w14:paraId="2D0C7A49" w14:textId="77777777" w:rsidR="00A42460" w:rsidRDefault="00A42460" w:rsidP="00A42460">
      <w:pPr>
        <w:pStyle w:val="TH"/>
        <w:rPr>
          <w:rFonts w:eastAsia="等线"/>
        </w:rPr>
      </w:pPr>
      <w:bookmarkStart w:id="8876" w:name="_Toc94064328"/>
      <w:bookmarkStart w:id="8877" w:name="_Toc83233123"/>
      <w:bookmarkStart w:id="8878" w:name="_Toc113031749"/>
      <w:bookmarkStart w:id="8879" w:name="_Toc85557137"/>
      <w:bookmarkStart w:id="8880" w:name="_Toc120702388"/>
      <w:bookmarkStart w:id="8881" w:name="_Toc136562474"/>
      <w:bookmarkStart w:id="8882" w:name="_Toc112951209"/>
      <w:bookmarkStart w:id="8883" w:name="_Toc101244491"/>
      <w:bookmarkStart w:id="8884" w:name="_Toc138754308"/>
      <w:bookmarkStart w:id="8885" w:name="_Toc88667644"/>
      <w:bookmarkStart w:id="8886" w:name="_Toc148522710"/>
      <w:bookmarkStart w:id="8887" w:name="_Toc85553038"/>
      <w:bookmarkStart w:id="8888" w:name="_Toc114133888"/>
      <w:bookmarkStart w:id="8889" w:name="_Toc90655929"/>
      <w:bookmarkStart w:id="8890" w:name="_Toc98233714"/>
      <w:bookmarkStart w:id="8891" w:name="_Toc104539086"/>
      <w:bookmarkStart w:id="8892" w:name="_Toc145705800"/>
      <w:bookmarkStart w:id="8893" w:name="_Toc164920896"/>
      <w:bookmarkStart w:id="8894" w:name="_Toc170120438"/>
      <w:bookmarkStart w:id="8895" w:name="_Toc175858683"/>
      <w:bookmarkStart w:id="8896" w:name="_Toc175859756"/>
      <w:bookmarkStart w:id="8897" w:name="_Toc180606046"/>
      <w:bookmarkStart w:id="8898" w:name="_Toc185517305"/>
      <w:r>
        <w:t xml:space="preserve">Table 5.1.6.3.14-1: Enumeration </w:t>
      </w:r>
      <w:r>
        <w:rPr>
          <w:lang w:eastAsia="zh-CN"/>
        </w:rPr>
        <w:t>AnalyticsMetadata</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42460" w14:paraId="31E2840D" w14:textId="77777777" w:rsidTr="009E7F73">
        <w:tc>
          <w:tcPr>
            <w:tcW w:w="1178" w:type="pct"/>
            <w:shd w:val="clear" w:color="auto" w:fill="C0C0C0"/>
            <w:tcMar>
              <w:top w:w="0" w:type="dxa"/>
              <w:left w:w="108" w:type="dxa"/>
              <w:bottom w:w="0" w:type="dxa"/>
              <w:right w:w="108" w:type="dxa"/>
            </w:tcMar>
          </w:tcPr>
          <w:p w14:paraId="52BC02BB" w14:textId="77777777" w:rsidR="00A42460" w:rsidRDefault="00A42460" w:rsidP="009E7F73">
            <w:pPr>
              <w:pStyle w:val="TAH"/>
              <w:ind w:left="400" w:hanging="400"/>
            </w:pPr>
            <w:r>
              <w:t>Enumeration value</w:t>
            </w:r>
          </w:p>
        </w:tc>
        <w:tc>
          <w:tcPr>
            <w:tcW w:w="3086" w:type="pct"/>
            <w:shd w:val="clear" w:color="auto" w:fill="C0C0C0"/>
            <w:tcMar>
              <w:top w:w="0" w:type="dxa"/>
              <w:left w:w="108" w:type="dxa"/>
              <w:bottom w:w="0" w:type="dxa"/>
              <w:right w:w="108" w:type="dxa"/>
            </w:tcMar>
          </w:tcPr>
          <w:p w14:paraId="11C1B354" w14:textId="77777777" w:rsidR="00A42460" w:rsidRDefault="00A42460" w:rsidP="009E7F73">
            <w:pPr>
              <w:pStyle w:val="TAH"/>
              <w:ind w:left="400" w:hanging="400"/>
            </w:pPr>
            <w:r>
              <w:t>Description</w:t>
            </w:r>
          </w:p>
        </w:tc>
        <w:tc>
          <w:tcPr>
            <w:tcW w:w="736" w:type="pct"/>
            <w:shd w:val="clear" w:color="auto" w:fill="C0C0C0"/>
          </w:tcPr>
          <w:p w14:paraId="4F094680" w14:textId="77777777" w:rsidR="00A42460" w:rsidRDefault="00A42460" w:rsidP="009E7F73">
            <w:pPr>
              <w:pStyle w:val="TAH"/>
              <w:ind w:left="400" w:hanging="400"/>
            </w:pPr>
            <w:r>
              <w:t>Applicability</w:t>
            </w:r>
          </w:p>
        </w:tc>
      </w:tr>
      <w:tr w:rsidR="00A42460" w14:paraId="532DE140" w14:textId="77777777" w:rsidTr="009E7F73">
        <w:tc>
          <w:tcPr>
            <w:tcW w:w="1178" w:type="pct"/>
            <w:tcMar>
              <w:top w:w="0" w:type="dxa"/>
              <w:left w:w="108" w:type="dxa"/>
              <w:bottom w:w="0" w:type="dxa"/>
              <w:right w:w="108" w:type="dxa"/>
            </w:tcMar>
          </w:tcPr>
          <w:p w14:paraId="59F0C19C" w14:textId="77777777" w:rsidR="00A42460" w:rsidRDefault="00A42460" w:rsidP="009E7F73">
            <w:pPr>
              <w:pStyle w:val="TAL"/>
            </w:pPr>
            <w:r>
              <w:t>NUM_OF_SAMPLES</w:t>
            </w:r>
          </w:p>
        </w:tc>
        <w:tc>
          <w:tcPr>
            <w:tcW w:w="3086" w:type="pct"/>
            <w:tcMar>
              <w:top w:w="0" w:type="dxa"/>
              <w:left w:w="108" w:type="dxa"/>
              <w:bottom w:w="0" w:type="dxa"/>
              <w:right w:w="108" w:type="dxa"/>
            </w:tcMar>
          </w:tcPr>
          <w:p w14:paraId="0440642E" w14:textId="77777777" w:rsidR="00A42460" w:rsidRDefault="00A42460" w:rsidP="009E7F73">
            <w:pPr>
              <w:pStyle w:val="TAL"/>
            </w:pPr>
            <w:r>
              <w:rPr>
                <w:lang w:eastAsia="ko-KR"/>
              </w:rPr>
              <w:t>Number of data samples used for the generation of the output analytics.</w:t>
            </w:r>
          </w:p>
        </w:tc>
        <w:tc>
          <w:tcPr>
            <w:tcW w:w="736" w:type="pct"/>
          </w:tcPr>
          <w:p w14:paraId="354FD868" w14:textId="77777777" w:rsidR="00A42460" w:rsidRDefault="00A42460" w:rsidP="009E7F73">
            <w:pPr>
              <w:pStyle w:val="TAL"/>
              <w:rPr>
                <w:lang w:eastAsia="zh-CN"/>
              </w:rPr>
            </w:pPr>
          </w:p>
        </w:tc>
      </w:tr>
      <w:tr w:rsidR="00A42460" w14:paraId="78F7DE23" w14:textId="77777777" w:rsidTr="009E7F73">
        <w:tc>
          <w:tcPr>
            <w:tcW w:w="1178" w:type="pct"/>
            <w:tcMar>
              <w:top w:w="0" w:type="dxa"/>
              <w:left w:w="108" w:type="dxa"/>
              <w:bottom w:w="0" w:type="dxa"/>
              <w:right w:w="108" w:type="dxa"/>
            </w:tcMar>
          </w:tcPr>
          <w:p w14:paraId="22273B6E" w14:textId="77777777" w:rsidR="00A42460" w:rsidRDefault="00A42460" w:rsidP="009E7F73">
            <w:pPr>
              <w:pStyle w:val="TAL"/>
              <w:rPr>
                <w:lang w:eastAsia="zh-CN"/>
              </w:rPr>
            </w:pPr>
            <w:r>
              <w:t>DATA_WINDOW</w:t>
            </w:r>
          </w:p>
        </w:tc>
        <w:tc>
          <w:tcPr>
            <w:tcW w:w="3086" w:type="pct"/>
            <w:tcMar>
              <w:top w:w="0" w:type="dxa"/>
              <w:left w:w="108" w:type="dxa"/>
              <w:bottom w:w="0" w:type="dxa"/>
              <w:right w:w="108" w:type="dxa"/>
            </w:tcMar>
          </w:tcPr>
          <w:p w14:paraId="561FA302" w14:textId="77777777" w:rsidR="00A42460" w:rsidRDefault="00A42460" w:rsidP="009E7F73">
            <w:pPr>
              <w:pStyle w:val="TAL"/>
              <w:rPr>
                <w:lang w:eastAsia="zh-CN"/>
              </w:rPr>
            </w:pPr>
            <w:r>
              <w:rPr>
                <w:lang w:eastAsia="ko-KR"/>
              </w:rPr>
              <w:t>Data time window of the data samples.</w:t>
            </w:r>
          </w:p>
        </w:tc>
        <w:tc>
          <w:tcPr>
            <w:tcW w:w="736" w:type="pct"/>
          </w:tcPr>
          <w:p w14:paraId="16BD5879" w14:textId="77777777" w:rsidR="00A42460" w:rsidRDefault="00A42460" w:rsidP="009E7F73">
            <w:pPr>
              <w:pStyle w:val="TAL"/>
              <w:rPr>
                <w:lang w:eastAsia="zh-CN"/>
              </w:rPr>
            </w:pPr>
          </w:p>
        </w:tc>
      </w:tr>
      <w:tr w:rsidR="00A42460" w14:paraId="180CB480" w14:textId="77777777" w:rsidTr="009E7F73">
        <w:tc>
          <w:tcPr>
            <w:tcW w:w="1178" w:type="pct"/>
            <w:tcMar>
              <w:top w:w="0" w:type="dxa"/>
              <w:left w:w="108" w:type="dxa"/>
              <w:bottom w:w="0" w:type="dxa"/>
              <w:right w:w="108" w:type="dxa"/>
            </w:tcMar>
          </w:tcPr>
          <w:p w14:paraId="5811F028" w14:textId="77777777" w:rsidR="00A42460" w:rsidRDefault="00A42460" w:rsidP="009E7F73">
            <w:pPr>
              <w:pStyle w:val="TAL"/>
              <w:rPr>
                <w:lang w:eastAsia="zh-CN"/>
              </w:rPr>
            </w:pPr>
            <w:r>
              <w:t>DATA_STAT_PROPS</w:t>
            </w:r>
          </w:p>
        </w:tc>
        <w:tc>
          <w:tcPr>
            <w:tcW w:w="3086" w:type="pct"/>
            <w:tcMar>
              <w:top w:w="0" w:type="dxa"/>
              <w:left w:w="108" w:type="dxa"/>
              <w:bottom w:w="0" w:type="dxa"/>
              <w:right w:w="108" w:type="dxa"/>
            </w:tcMar>
          </w:tcPr>
          <w:p w14:paraId="433709B8" w14:textId="77777777" w:rsidR="00A42460" w:rsidRDefault="00A42460" w:rsidP="009E7F73">
            <w:pPr>
              <w:pStyle w:val="TAL"/>
              <w:rPr>
                <w:lang w:eastAsia="zh-CN"/>
              </w:rPr>
            </w:pPr>
            <w:r>
              <w:rPr>
                <w:lang w:eastAsia="ko-KR"/>
              </w:rPr>
              <w:t>Dataset statistical properties of the data used to generate the analytics.</w:t>
            </w:r>
          </w:p>
        </w:tc>
        <w:tc>
          <w:tcPr>
            <w:tcW w:w="736" w:type="pct"/>
          </w:tcPr>
          <w:p w14:paraId="317CB3DB" w14:textId="77777777" w:rsidR="00A42460" w:rsidRDefault="00A42460" w:rsidP="009E7F73">
            <w:pPr>
              <w:pStyle w:val="TAL"/>
              <w:rPr>
                <w:lang w:eastAsia="zh-CN"/>
              </w:rPr>
            </w:pPr>
          </w:p>
        </w:tc>
      </w:tr>
      <w:tr w:rsidR="00A42460" w14:paraId="27D08C4E" w14:textId="77777777" w:rsidTr="009E7F73">
        <w:tc>
          <w:tcPr>
            <w:tcW w:w="1178" w:type="pct"/>
            <w:tcMar>
              <w:top w:w="0" w:type="dxa"/>
              <w:left w:w="108" w:type="dxa"/>
              <w:bottom w:w="0" w:type="dxa"/>
              <w:right w:w="108" w:type="dxa"/>
            </w:tcMar>
          </w:tcPr>
          <w:p w14:paraId="3A75411B" w14:textId="77777777" w:rsidR="00A42460" w:rsidRDefault="00A42460" w:rsidP="009E7F73">
            <w:pPr>
              <w:pStyle w:val="TAL"/>
              <w:rPr>
                <w:lang w:eastAsia="zh-CN"/>
              </w:rPr>
            </w:pPr>
            <w:r>
              <w:t>STRATEGY</w:t>
            </w:r>
          </w:p>
        </w:tc>
        <w:tc>
          <w:tcPr>
            <w:tcW w:w="3086" w:type="pct"/>
            <w:tcMar>
              <w:top w:w="0" w:type="dxa"/>
              <w:left w:w="108" w:type="dxa"/>
              <w:bottom w:w="0" w:type="dxa"/>
              <w:right w:w="108" w:type="dxa"/>
            </w:tcMar>
          </w:tcPr>
          <w:p w14:paraId="3F4F81E6" w14:textId="77777777" w:rsidR="00A42460" w:rsidRDefault="00A42460" w:rsidP="009E7F73">
            <w:pPr>
              <w:pStyle w:val="TAL"/>
              <w:rPr>
                <w:lang w:eastAsia="zh-CN"/>
              </w:rPr>
            </w:pPr>
            <w:r>
              <w:rPr>
                <w:lang w:eastAsia="ko-KR"/>
              </w:rPr>
              <w:t>Output strategy used for the reporting of the analytics.</w:t>
            </w:r>
          </w:p>
        </w:tc>
        <w:tc>
          <w:tcPr>
            <w:tcW w:w="736" w:type="pct"/>
          </w:tcPr>
          <w:p w14:paraId="68372D45" w14:textId="77777777" w:rsidR="00A42460" w:rsidRDefault="00A42460" w:rsidP="009E7F73">
            <w:pPr>
              <w:pStyle w:val="TAL"/>
              <w:rPr>
                <w:lang w:eastAsia="zh-CN"/>
              </w:rPr>
            </w:pPr>
          </w:p>
        </w:tc>
      </w:tr>
      <w:tr w:rsidR="00A42460" w14:paraId="4E2C28E9" w14:textId="77777777" w:rsidTr="009E7F73">
        <w:tc>
          <w:tcPr>
            <w:tcW w:w="1178" w:type="pct"/>
            <w:tcMar>
              <w:top w:w="0" w:type="dxa"/>
              <w:left w:w="108" w:type="dxa"/>
              <w:bottom w:w="0" w:type="dxa"/>
              <w:right w:w="108" w:type="dxa"/>
            </w:tcMar>
          </w:tcPr>
          <w:p w14:paraId="06A356D2" w14:textId="77777777" w:rsidR="00A42460" w:rsidRDefault="00A42460" w:rsidP="009E7F73">
            <w:pPr>
              <w:pStyle w:val="TAL"/>
              <w:rPr>
                <w:lang w:eastAsia="zh-CN"/>
              </w:rPr>
            </w:pPr>
            <w:r>
              <w:t>ACCURACY</w:t>
            </w:r>
          </w:p>
        </w:tc>
        <w:tc>
          <w:tcPr>
            <w:tcW w:w="3086" w:type="pct"/>
            <w:tcMar>
              <w:top w:w="0" w:type="dxa"/>
              <w:left w:w="108" w:type="dxa"/>
              <w:bottom w:w="0" w:type="dxa"/>
              <w:right w:w="108" w:type="dxa"/>
            </w:tcMar>
          </w:tcPr>
          <w:p w14:paraId="43465888" w14:textId="77777777" w:rsidR="00A42460" w:rsidRDefault="00A42460" w:rsidP="009E7F73">
            <w:pPr>
              <w:pStyle w:val="TAL"/>
              <w:rPr>
                <w:lang w:eastAsia="zh-CN"/>
              </w:rPr>
            </w:pPr>
            <w:r>
              <w:rPr>
                <w:lang w:eastAsia="zh-CN"/>
              </w:rPr>
              <w:t>Level of accuracy reached for the analytics.</w:t>
            </w:r>
          </w:p>
        </w:tc>
        <w:tc>
          <w:tcPr>
            <w:tcW w:w="736" w:type="pct"/>
          </w:tcPr>
          <w:p w14:paraId="7CBF339E" w14:textId="77777777" w:rsidR="00A42460" w:rsidRDefault="00A42460" w:rsidP="009E7F73">
            <w:pPr>
              <w:pStyle w:val="TAL"/>
              <w:rPr>
                <w:lang w:eastAsia="zh-CN"/>
              </w:rPr>
            </w:pPr>
          </w:p>
        </w:tc>
      </w:tr>
      <w:tr w:rsidR="00A42460" w14:paraId="051E4911" w14:textId="77777777" w:rsidTr="009E7F73">
        <w:tc>
          <w:tcPr>
            <w:tcW w:w="1178" w:type="pct"/>
            <w:tcMar>
              <w:top w:w="0" w:type="dxa"/>
              <w:left w:w="108" w:type="dxa"/>
              <w:bottom w:w="0" w:type="dxa"/>
              <w:right w:w="108" w:type="dxa"/>
            </w:tcMar>
          </w:tcPr>
          <w:p w14:paraId="0F2A5DDF" w14:textId="77777777" w:rsidR="00A42460" w:rsidRDefault="00A42460" w:rsidP="009E7F73">
            <w:pPr>
              <w:pStyle w:val="TAL"/>
            </w:pPr>
            <w:r>
              <w:t>DATA_SOURCES</w:t>
            </w:r>
          </w:p>
        </w:tc>
        <w:tc>
          <w:tcPr>
            <w:tcW w:w="3086" w:type="pct"/>
            <w:tcMar>
              <w:top w:w="0" w:type="dxa"/>
              <w:left w:w="108" w:type="dxa"/>
              <w:bottom w:w="0" w:type="dxa"/>
              <w:right w:w="108" w:type="dxa"/>
            </w:tcMar>
          </w:tcPr>
          <w:p w14:paraId="675FE4B7" w14:textId="77777777" w:rsidR="00A42460" w:rsidRDefault="00A42460" w:rsidP="009E7F73">
            <w:pPr>
              <w:pStyle w:val="TAL"/>
              <w:rPr>
                <w:lang w:eastAsia="zh-CN"/>
              </w:rPr>
            </w:pPr>
            <w:r>
              <w:rPr>
                <w:lang w:eastAsia="ko-KR"/>
              </w:rPr>
              <w:t>Data sources of the data used for the generation of the output analytics</w:t>
            </w:r>
            <w:r>
              <w:t>.</w:t>
            </w:r>
          </w:p>
        </w:tc>
        <w:tc>
          <w:tcPr>
            <w:tcW w:w="736" w:type="pct"/>
          </w:tcPr>
          <w:p w14:paraId="64D61CDD" w14:textId="77777777" w:rsidR="00A42460" w:rsidRDefault="00A42460" w:rsidP="009E7F73">
            <w:pPr>
              <w:pStyle w:val="TAL"/>
              <w:rPr>
                <w:lang w:eastAsia="zh-CN"/>
              </w:rPr>
            </w:pPr>
            <w:r>
              <w:rPr>
                <w:lang w:eastAsia="zh-CN"/>
              </w:rPr>
              <w:t>EnAggregation</w:t>
            </w:r>
          </w:p>
        </w:tc>
      </w:tr>
      <w:tr w:rsidR="004D166F" w14:paraId="463D2D7B" w14:textId="77777777" w:rsidTr="009E7F73">
        <w:tc>
          <w:tcPr>
            <w:tcW w:w="1178" w:type="pct"/>
            <w:tcMar>
              <w:top w:w="0" w:type="dxa"/>
              <w:left w:w="108" w:type="dxa"/>
              <w:bottom w:w="0" w:type="dxa"/>
              <w:right w:w="108" w:type="dxa"/>
            </w:tcMar>
          </w:tcPr>
          <w:p w14:paraId="75E5D189" w14:textId="77777777" w:rsidR="004D166F" w:rsidRDefault="004D166F" w:rsidP="004D166F">
            <w:pPr>
              <w:pStyle w:val="TAL"/>
            </w:pPr>
            <w:r>
              <w:t>USED_PROC_INSTRUCT</w:t>
            </w:r>
          </w:p>
        </w:tc>
        <w:tc>
          <w:tcPr>
            <w:tcW w:w="3086" w:type="pct"/>
            <w:tcMar>
              <w:top w:w="0" w:type="dxa"/>
              <w:left w:w="108" w:type="dxa"/>
              <w:bottom w:w="0" w:type="dxa"/>
              <w:right w:w="108" w:type="dxa"/>
            </w:tcMar>
          </w:tcPr>
          <w:p w14:paraId="0CA47619" w14:textId="77777777" w:rsidR="004D166F" w:rsidRDefault="004D166F" w:rsidP="004D166F">
            <w:pPr>
              <w:pStyle w:val="TAL"/>
              <w:rPr>
                <w:lang w:eastAsia="ko-KR"/>
              </w:rPr>
            </w:pPr>
            <w:r>
              <w:rPr>
                <w:lang w:eastAsia="zh-CN"/>
              </w:rPr>
              <w:t xml:space="preserve">Processing instructions used when collecting data for the </w:t>
            </w:r>
            <w:r w:rsidRPr="00892EBC">
              <w:rPr>
                <w:lang w:eastAsia="ko-KR"/>
              </w:rPr>
              <w:t>generation of the output analytics</w:t>
            </w:r>
            <w:r>
              <w:rPr>
                <w:lang w:eastAsia="ko-KR"/>
              </w:rPr>
              <w:t>.</w:t>
            </w:r>
          </w:p>
        </w:tc>
        <w:tc>
          <w:tcPr>
            <w:tcW w:w="736" w:type="pct"/>
          </w:tcPr>
          <w:p w14:paraId="1C536457" w14:textId="77777777" w:rsidR="004D166F" w:rsidRDefault="004D166F" w:rsidP="004D166F">
            <w:pPr>
              <w:pStyle w:val="TAL"/>
              <w:rPr>
                <w:lang w:eastAsia="zh-CN"/>
              </w:rPr>
            </w:pPr>
            <w:r>
              <w:rPr>
                <w:lang w:eastAsia="zh-CN"/>
              </w:rPr>
              <w:t>EnAggregation</w:t>
            </w:r>
          </w:p>
        </w:tc>
      </w:tr>
    </w:tbl>
    <w:p w14:paraId="3406934A" w14:textId="77777777" w:rsidR="00A42460" w:rsidRPr="00FE0C8C"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IN"/>
        </w:rPr>
      </w:pPr>
    </w:p>
    <w:p w14:paraId="7B4D3BEC" w14:textId="77777777" w:rsidR="00A10B25" w:rsidRDefault="00A10B25">
      <w:pPr>
        <w:pStyle w:val="5"/>
        <w:spacing w:before="240" w:after="240"/>
        <w:rPr>
          <w:rFonts w:eastAsia="等线"/>
        </w:rPr>
      </w:pPr>
      <w:bookmarkStart w:id="8899" w:name="_Toc191576356"/>
      <w:bookmarkStart w:id="8900" w:name="_Toc191577096"/>
      <w:bookmarkStart w:id="8901" w:name="_Toc192880166"/>
      <w:bookmarkStart w:id="8902" w:name="_Toc195815054"/>
      <w:bookmarkStart w:id="8903" w:name="_Toc199453021"/>
      <w:r>
        <w:rPr>
          <w:rFonts w:eastAsia="等线"/>
        </w:rPr>
        <w:t>5.1.6.3.15</w:t>
      </w:r>
      <w:r>
        <w:rPr>
          <w:rFonts w:eastAsia="等线"/>
        </w:rPr>
        <w:tab/>
        <w:t xml:space="preserve">Enumeration: </w:t>
      </w:r>
      <w:r>
        <w:rPr>
          <w:lang w:eastAsia="zh-CN"/>
        </w:rPr>
        <w:t>DatasetStatisticalProperty</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5D00B5DB" w14:textId="77777777" w:rsidR="00A10B25" w:rsidRDefault="00A10B25">
      <w:pPr>
        <w:pStyle w:val="TH"/>
        <w:rPr>
          <w:rFonts w:eastAsia="等线"/>
        </w:rPr>
      </w:pPr>
      <w:r>
        <w:t xml:space="preserve">Table 5.1.6.3.15-1: Enumeration </w:t>
      </w:r>
      <w:r>
        <w:rPr>
          <w:lang w:eastAsia="zh-CN"/>
        </w:rPr>
        <w:t>DatasetStatisticalProperty</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003F20EF" w14:textId="77777777">
        <w:tc>
          <w:tcPr>
            <w:tcW w:w="1178" w:type="pct"/>
            <w:shd w:val="clear" w:color="auto" w:fill="C0C0C0"/>
            <w:tcMar>
              <w:top w:w="0" w:type="dxa"/>
              <w:left w:w="108" w:type="dxa"/>
              <w:bottom w:w="0" w:type="dxa"/>
              <w:right w:w="108" w:type="dxa"/>
            </w:tcMar>
          </w:tcPr>
          <w:p w14:paraId="7F4D8CC3"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5D1E1EDB" w14:textId="77777777" w:rsidR="00A10B25" w:rsidRDefault="00A10B25">
            <w:pPr>
              <w:pStyle w:val="TAH"/>
            </w:pPr>
            <w:r>
              <w:t>Description</w:t>
            </w:r>
          </w:p>
        </w:tc>
        <w:tc>
          <w:tcPr>
            <w:tcW w:w="736" w:type="pct"/>
            <w:shd w:val="clear" w:color="auto" w:fill="C0C0C0"/>
          </w:tcPr>
          <w:p w14:paraId="6792A7E0" w14:textId="77777777" w:rsidR="00A10B25" w:rsidRDefault="00A10B25">
            <w:pPr>
              <w:pStyle w:val="TAH"/>
            </w:pPr>
            <w:r>
              <w:t>Applicability</w:t>
            </w:r>
          </w:p>
        </w:tc>
      </w:tr>
      <w:tr w:rsidR="00A10B25" w14:paraId="76250F96" w14:textId="77777777">
        <w:tc>
          <w:tcPr>
            <w:tcW w:w="1178" w:type="pct"/>
            <w:tcMar>
              <w:top w:w="0" w:type="dxa"/>
              <w:left w:w="108" w:type="dxa"/>
              <w:bottom w:w="0" w:type="dxa"/>
              <w:right w:w="108" w:type="dxa"/>
            </w:tcMar>
          </w:tcPr>
          <w:p w14:paraId="10DF1B29" w14:textId="77777777" w:rsidR="00A10B25" w:rsidRDefault="00A10B25">
            <w:pPr>
              <w:pStyle w:val="TAL"/>
            </w:pPr>
            <w:r>
              <w:t>UNIFORM_DIST_DATA</w:t>
            </w:r>
          </w:p>
        </w:tc>
        <w:tc>
          <w:tcPr>
            <w:tcW w:w="3086" w:type="pct"/>
            <w:tcMar>
              <w:top w:w="0" w:type="dxa"/>
              <w:left w:w="108" w:type="dxa"/>
              <w:bottom w:w="0" w:type="dxa"/>
              <w:right w:w="108" w:type="dxa"/>
            </w:tcMar>
          </w:tcPr>
          <w:p w14:paraId="5A21BF6C" w14:textId="77777777" w:rsidR="00A10B25" w:rsidRDefault="00A10B25">
            <w:pPr>
              <w:pStyle w:val="TAL"/>
            </w:pPr>
            <w:r>
              <w:t>Indicates the use of data samples that are uniformly distributed according to the different aspects of the requested analytics.</w:t>
            </w:r>
          </w:p>
        </w:tc>
        <w:tc>
          <w:tcPr>
            <w:tcW w:w="736" w:type="pct"/>
          </w:tcPr>
          <w:p w14:paraId="5BB97E09" w14:textId="77777777" w:rsidR="00A10B25" w:rsidRDefault="00A10B25">
            <w:pPr>
              <w:pStyle w:val="TAL"/>
              <w:rPr>
                <w:lang w:eastAsia="zh-CN"/>
              </w:rPr>
            </w:pPr>
          </w:p>
        </w:tc>
      </w:tr>
      <w:tr w:rsidR="00A10B25" w14:paraId="67472909" w14:textId="77777777">
        <w:tc>
          <w:tcPr>
            <w:tcW w:w="1178" w:type="pct"/>
            <w:tcMar>
              <w:top w:w="0" w:type="dxa"/>
              <w:left w:w="108" w:type="dxa"/>
              <w:bottom w:w="0" w:type="dxa"/>
              <w:right w:w="108" w:type="dxa"/>
            </w:tcMar>
          </w:tcPr>
          <w:p w14:paraId="06D3D20D" w14:textId="77777777" w:rsidR="00A10B25" w:rsidRDefault="00A10B25">
            <w:pPr>
              <w:pStyle w:val="TAL"/>
              <w:rPr>
                <w:lang w:eastAsia="zh-CN"/>
              </w:rPr>
            </w:pPr>
            <w:r>
              <w:rPr>
                <w:lang w:eastAsia="zh-CN"/>
              </w:rPr>
              <w:t>NO_OUTLIERS</w:t>
            </w:r>
          </w:p>
        </w:tc>
        <w:tc>
          <w:tcPr>
            <w:tcW w:w="3086" w:type="pct"/>
            <w:tcMar>
              <w:top w:w="0" w:type="dxa"/>
              <w:left w:w="108" w:type="dxa"/>
              <w:bottom w:w="0" w:type="dxa"/>
              <w:right w:w="108" w:type="dxa"/>
            </w:tcMar>
          </w:tcPr>
          <w:p w14:paraId="072DE736" w14:textId="77777777" w:rsidR="00A10B25" w:rsidRDefault="00A10B25">
            <w:pPr>
              <w:pStyle w:val="TAL"/>
              <w:rPr>
                <w:lang w:eastAsia="zh-CN"/>
              </w:rPr>
            </w:pPr>
            <w:r>
              <w:rPr>
                <w:lang w:eastAsia="zh-CN"/>
              </w:rPr>
              <w:t xml:space="preserve">Indicates that </w:t>
            </w:r>
            <w:r>
              <w:t>the data samples shall disregard data samples that are at the extreme boundaries of the value range.</w:t>
            </w:r>
          </w:p>
        </w:tc>
        <w:tc>
          <w:tcPr>
            <w:tcW w:w="736" w:type="pct"/>
          </w:tcPr>
          <w:p w14:paraId="070BB5B9" w14:textId="77777777" w:rsidR="00A10B25" w:rsidRDefault="00A10B25">
            <w:pPr>
              <w:pStyle w:val="TAL"/>
              <w:rPr>
                <w:lang w:eastAsia="zh-CN"/>
              </w:rPr>
            </w:pPr>
          </w:p>
        </w:tc>
      </w:tr>
    </w:tbl>
    <w:p w14:paraId="2FFE2C44" w14:textId="77777777" w:rsidR="00A10B25" w:rsidRDefault="00A10B25"/>
    <w:p w14:paraId="44F4F90E" w14:textId="77777777" w:rsidR="00A10B25" w:rsidRDefault="00A10B25">
      <w:pPr>
        <w:pStyle w:val="5"/>
        <w:spacing w:before="240" w:after="240"/>
        <w:rPr>
          <w:rFonts w:eastAsia="等线"/>
        </w:rPr>
      </w:pPr>
      <w:bookmarkStart w:id="8904" w:name="_Toc138754309"/>
      <w:bookmarkStart w:id="8905" w:name="_Toc88667645"/>
      <w:bookmarkStart w:id="8906" w:name="_Toc94064329"/>
      <w:bookmarkStart w:id="8907" w:name="_Toc104539087"/>
      <w:bookmarkStart w:id="8908" w:name="_Toc113031750"/>
      <w:bookmarkStart w:id="8909" w:name="_Toc101244492"/>
      <w:bookmarkStart w:id="8910" w:name="_Toc83233124"/>
      <w:bookmarkStart w:id="8911" w:name="_Toc85553039"/>
      <w:bookmarkStart w:id="8912" w:name="_Toc90655930"/>
      <w:bookmarkStart w:id="8913" w:name="_Toc136562475"/>
      <w:bookmarkStart w:id="8914" w:name="_Toc114133889"/>
      <w:bookmarkStart w:id="8915" w:name="_Toc112951210"/>
      <w:bookmarkStart w:id="8916" w:name="_Toc148522711"/>
      <w:bookmarkStart w:id="8917" w:name="_Toc85557138"/>
      <w:bookmarkStart w:id="8918" w:name="_Toc120702389"/>
      <w:bookmarkStart w:id="8919" w:name="_Toc145705801"/>
      <w:bookmarkStart w:id="8920" w:name="_Toc98233715"/>
      <w:bookmarkStart w:id="8921" w:name="_Toc164920897"/>
      <w:bookmarkStart w:id="8922" w:name="_Toc170120439"/>
      <w:bookmarkStart w:id="8923" w:name="_Toc175858684"/>
      <w:bookmarkStart w:id="8924" w:name="_Toc175859757"/>
      <w:bookmarkStart w:id="8925" w:name="_Toc180606047"/>
      <w:bookmarkStart w:id="8926" w:name="_Toc185517306"/>
      <w:bookmarkStart w:id="8927" w:name="_Toc191576357"/>
      <w:bookmarkStart w:id="8928" w:name="_Toc191577097"/>
      <w:bookmarkStart w:id="8929" w:name="_Toc192880167"/>
      <w:bookmarkStart w:id="8930" w:name="_Toc195815055"/>
      <w:bookmarkStart w:id="8931" w:name="_Toc199453022"/>
      <w:r>
        <w:rPr>
          <w:rFonts w:eastAsia="等线"/>
        </w:rPr>
        <w:lastRenderedPageBreak/>
        <w:t>5.1.6.3.16</w:t>
      </w:r>
      <w:r>
        <w:rPr>
          <w:rFonts w:eastAsia="等线"/>
        </w:rPr>
        <w:tab/>
        <w:t xml:space="preserve">Enumeration: </w:t>
      </w:r>
      <w:r>
        <w:rPr>
          <w:lang w:eastAsia="zh-CN"/>
        </w:rPr>
        <w:t>OutputStrategy</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05036B73" w14:textId="77777777" w:rsidR="00A10B25" w:rsidRDefault="00A10B25">
      <w:pPr>
        <w:pStyle w:val="TH"/>
        <w:rPr>
          <w:rFonts w:eastAsia="等线"/>
        </w:rPr>
      </w:pPr>
      <w:r>
        <w:t xml:space="preserve">Table 5.1.6.3.16-1: Enumeration </w:t>
      </w:r>
      <w:r>
        <w:rPr>
          <w:lang w:eastAsia="zh-CN"/>
        </w:rPr>
        <w:t>OutputStrategy</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7A940C87" w14:textId="77777777">
        <w:tc>
          <w:tcPr>
            <w:tcW w:w="1178" w:type="pct"/>
            <w:shd w:val="clear" w:color="auto" w:fill="C0C0C0"/>
            <w:tcMar>
              <w:top w:w="0" w:type="dxa"/>
              <w:left w:w="108" w:type="dxa"/>
              <w:bottom w:w="0" w:type="dxa"/>
              <w:right w:w="108" w:type="dxa"/>
            </w:tcMar>
          </w:tcPr>
          <w:p w14:paraId="6F3DDAB0"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32FB8FD1" w14:textId="77777777" w:rsidR="00A10B25" w:rsidRDefault="00A10B25">
            <w:pPr>
              <w:pStyle w:val="TAH"/>
            </w:pPr>
            <w:r>
              <w:t>Description</w:t>
            </w:r>
          </w:p>
        </w:tc>
        <w:tc>
          <w:tcPr>
            <w:tcW w:w="736" w:type="pct"/>
            <w:shd w:val="clear" w:color="auto" w:fill="C0C0C0"/>
          </w:tcPr>
          <w:p w14:paraId="77C924C2" w14:textId="77777777" w:rsidR="00A10B25" w:rsidRDefault="00A10B25">
            <w:pPr>
              <w:pStyle w:val="TAH"/>
            </w:pPr>
            <w:r>
              <w:t>Applicability</w:t>
            </w:r>
          </w:p>
        </w:tc>
      </w:tr>
      <w:tr w:rsidR="00A10B25" w14:paraId="37315345" w14:textId="77777777">
        <w:tc>
          <w:tcPr>
            <w:tcW w:w="1178" w:type="pct"/>
            <w:tcMar>
              <w:top w:w="0" w:type="dxa"/>
              <w:left w:w="108" w:type="dxa"/>
              <w:bottom w:w="0" w:type="dxa"/>
              <w:right w:w="108" w:type="dxa"/>
            </w:tcMar>
          </w:tcPr>
          <w:p w14:paraId="1CB1802B" w14:textId="77777777" w:rsidR="00A10B25" w:rsidRDefault="00A10B25">
            <w:pPr>
              <w:pStyle w:val="TAL"/>
            </w:pPr>
            <w:r>
              <w:t>BINARY</w:t>
            </w:r>
          </w:p>
        </w:tc>
        <w:tc>
          <w:tcPr>
            <w:tcW w:w="3086" w:type="pct"/>
            <w:tcMar>
              <w:top w:w="0" w:type="dxa"/>
              <w:left w:w="108" w:type="dxa"/>
              <w:bottom w:w="0" w:type="dxa"/>
              <w:right w:w="108" w:type="dxa"/>
            </w:tcMar>
          </w:tcPr>
          <w:p w14:paraId="608EC577" w14:textId="77777777" w:rsidR="00A10B25" w:rsidRDefault="00A10B25">
            <w:pPr>
              <w:pStyle w:val="TAL"/>
            </w:pPr>
            <w:r>
              <w:t>Indicates that the analytics shall only be reported when the requested level of accuracy is reached within a cycle of periodic notification as defined in the analytics reporting information (i.e. in the ReportingInformation data type or the EventSubscription data type).</w:t>
            </w:r>
          </w:p>
        </w:tc>
        <w:tc>
          <w:tcPr>
            <w:tcW w:w="736" w:type="pct"/>
          </w:tcPr>
          <w:p w14:paraId="603A49E2" w14:textId="77777777" w:rsidR="00A10B25" w:rsidRDefault="00A10B25">
            <w:pPr>
              <w:pStyle w:val="TAL"/>
              <w:rPr>
                <w:lang w:eastAsia="zh-CN"/>
              </w:rPr>
            </w:pPr>
          </w:p>
        </w:tc>
      </w:tr>
      <w:tr w:rsidR="00A10B25" w14:paraId="64E99A48" w14:textId="77777777">
        <w:tc>
          <w:tcPr>
            <w:tcW w:w="1178" w:type="pct"/>
            <w:tcMar>
              <w:top w:w="0" w:type="dxa"/>
              <w:left w:w="108" w:type="dxa"/>
              <w:bottom w:w="0" w:type="dxa"/>
              <w:right w:w="108" w:type="dxa"/>
            </w:tcMar>
          </w:tcPr>
          <w:p w14:paraId="7A5454AE" w14:textId="77777777" w:rsidR="00A10B25" w:rsidRDefault="00A10B25">
            <w:pPr>
              <w:pStyle w:val="TAL"/>
              <w:rPr>
                <w:lang w:eastAsia="zh-CN"/>
              </w:rPr>
            </w:pPr>
            <w:r>
              <w:rPr>
                <w:lang w:eastAsia="zh-CN"/>
              </w:rPr>
              <w:t>GRADIENT</w:t>
            </w:r>
          </w:p>
        </w:tc>
        <w:tc>
          <w:tcPr>
            <w:tcW w:w="3086" w:type="pct"/>
            <w:tcMar>
              <w:top w:w="0" w:type="dxa"/>
              <w:left w:w="108" w:type="dxa"/>
              <w:bottom w:w="0" w:type="dxa"/>
              <w:right w:w="108" w:type="dxa"/>
            </w:tcMar>
          </w:tcPr>
          <w:p w14:paraId="10419684" w14:textId="77777777" w:rsidR="00A10B25" w:rsidRDefault="00A10B25">
            <w:pPr>
              <w:pStyle w:val="TAL"/>
              <w:rPr>
                <w:lang w:eastAsia="zh-CN"/>
              </w:rPr>
            </w:pPr>
            <w:r>
              <w:t>Indicates that the analytics shall be reported according with the periodicity defined in the analytics reporting information (i.e. in the ReportingInformation data type or the EventSubscription data type) irrespective of whether the requested level of accuracy has been reached or not.</w:t>
            </w:r>
          </w:p>
        </w:tc>
        <w:tc>
          <w:tcPr>
            <w:tcW w:w="736" w:type="pct"/>
          </w:tcPr>
          <w:p w14:paraId="3F3810CF" w14:textId="77777777" w:rsidR="00A10B25" w:rsidRDefault="00A10B25">
            <w:pPr>
              <w:pStyle w:val="TAL"/>
              <w:rPr>
                <w:lang w:eastAsia="zh-CN"/>
              </w:rPr>
            </w:pPr>
          </w:p>
        </w:tc>
      </w:tr>
    </w:tbl>
    <w:p w14:paraId="70D0A820" w14:textId="77777777" w:rsidR="00A10B25" w:rsidRDefault="00A10B25"/>
    <w:p w14:paraId="0FCECA04" w14:textId="77777777" w:rsidR="00A10B25" w:rsidRDefault="00A10B25">
      <w:pPr>
        <w:pStyle w:val="5"/>
        <w:spacing w:before="240" w:after="240"/>
        <w:rPr>
          <w:rFonts w:eastAsia="等线"/>
        </w:rPr>
      </w:pPr>
      <w:bookmarkStart w:id="8932" w:name="_Toc88667646"/>
      <w:bookmarkStart w:id="8933" w:name="_Toc98233716"/>
      <w:bookmarkStart w:id="8934" w:name="_Toc90655931"/>
      <w:bookmarkStart w:id="8935" w:name="_Toc85553040"/>
      <w:bookmarkStart w:id="8936" w:name="_Toc113031751"/>
      <w:bookmarkStart w:id="8937" w:name="_Toc136562476"/>
      <w:bookmarkStart w:id="8938" w:name="_Toc101244493"/>
      <w:bookmarkStart w:id="8939" w:name="_Toc85557139"/>
      <w:bookmarkStart w:id="8940" w:name="_Toc104539088"/>
      <w:bookmarkStart w:id="8941" w:name="_Toc120702390"/>
      <w:bookmarkStart w:id="8942" w:name="_Toc145705802"/>
      <w:bookmarkStart w:id="8943" w:name="_Toc112951211"/>
      <w:bookmarkStart w:id="8944" w:name="_Toc138754310"/>
      <w:bookmarkStart w:id="8945" w:name="_Toc148522712"/>
      <w:bookmarkStart w:id="8946" w:name="_Toc94064330"/>
      <w:bookmarkStart w:id="8947" w:name="_Toc114133890"/>
      <w:bookmarkStart w:id="8948" w:name="_Toc164920898"/>
      <w:bookmarkStart w:id="8949" w:name="_Toc170120440"/>
      <w:bookmarkStart w:id="8950" w:name="_Toc175858685"/>
      <w:bookmarkStart w:id="8951" w:name="_Toc175859758"/>
      <w:bookmarkStart w:id="8952" w:name="_Toc180606048"/>
      <w:bookmarkStart w:id="8953" w:name="_Toc185517307"/>
      <w:bookmarkStart w:id="8954" w:name="_Toc191576358"/>
      <w:bookmarkStart w:id="8955" w:name="_Toc191577098"/>
      <w:bookmarkStart w:id="8956" w:name="_Toc192880168"/>
      <w:bookmarkStart w:id="8957" w:name="_Toc195815056"/>
      <w:bookmarkStart w:id="8958" w:name="_Toc199453023"/>
      <w:r>
        <w:rPr>
          <w:rFonts w:eastAsia="等线"/>
        </w:rPr>
        <w:t>5.1.6.3.17</w:t>
      </w:r>
      <w:bookmarkStart w:id="8959" w:name="_Toc73564485"/>
      <w:r>
        <w:rPr>
          <w:rFonts w:eastAsia="等线"/>
        </w:rPr>
        <w:tab/>
        <w:t xml:space="preserve">Enumeration: </w:t>
      </w:r>
      <w:bookmarkEnd w:id="8959"/>
      <w:r>
        <w:rPr>
          <w:lang w:eastAsia="zh-CN"/>
        </w:rPr>
        <w:t>TransferRequestType</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0B28AEA2" w14:textId="77777777" w:rsidR="00A10B25" w:rsidRDefault="00A10B25">
      <w:pPr>
        <w:pStyle w:val="TH"/>
        <w:rPr>
          <w:rFonts w:eastAsia="等线"/>
        </w:rPr>
      </w:pPr>
      <w:r>
        <w:t xml:space="preserve">Table 5.1.6.3.17-1: Enumeration </w:t>
      </w:r>
      <w:r>
        <w:rPr>
          <w:lang w:eastAsia="zh-CN"/>
        </w:rPr>
        <w:t>TransferRequestType</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25298387" w14:textId="77777777">
        <w:tc>
          <w:tcPr>
            <w:tcW w:w="1178" w:type="pct"/>
            <w:shd w:val="clear" w:color="auto" w:fill="C0C0C0"/>
            <w:tcMar>
              <w:top w:w="0" w:type="dxa"/>
              <w:left w:w="108" w:type="dxa"/>
              <w:bottom w:w="0" w:type="dxa"/>
              <w:right w:w="108" w:type="dxa"/>
            </w:tcMar>
          </w:tcPr>
          <w:p w14:paraId="32C032A7"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1263F42E" w14:textId="77777777" w:rsidR="00A10B25" w:rsidRDefault="00A10B25">
            <w:pPr>
              <w:pStyle w:val="TAH"/>
            </w:pPr>
            <w:r>
              <w:t>Description</w:t>
            </w:r>
          </w:p>
        </w:tc>
        <w:tc>
          <w:tcPr>
            <w:tcW w:w="736" w:type="pct"/>
            <w:shd w:val="clear" w:color="auto" w:fill="C0C0C0"/>
          </w:tcPr>
          <w:p w14:paraId="1F9B5571" w14:textId="77777777" w:rsidR="00A10B25" w:rsidRDefault="00A10B25">
            <w:pPr>
              <w:pStyle w:val="TAH"/>
            </w:pPr>
            <w:r>
              <w:t>Applicability</w:t>
            </w:r>
          </w:p>
        </w:tc>
      </w:tr>
      <w:tr w:rsidR="00A10B25" w14:paraId="078400EB" w14:textId="77777777">
        <w:tc>
          <w:tcPr>
            <w:tcW w:w="1178" w:type="pct"/>
            <w:tcMar>
              <w:top w:w="0" w:type="dxa"/>
              <w:left w:w="108" w:type="dxa"/>
              <w:bottom w:w="0" w:type="dxa"/>
              <w:right w:w="108" w:type="dxa"/>
            </w:tcMar>
          </w:tcPr>
          <w:p w14:paraId="44A7A3B7" w14:textId="77777777" w:rsidR="00A10B25" w:rsidRDefault="00A10B25">
            <w:pPr>
              <w:pStyle w:val="TAL"/>
            </w:pPr>
            <w:r>
              <w:t>PREPARE</w:t>
            </w:r>
          </w:p>
        </w:tc>
        <w:tc>
          <w:tcPr>
            <w:tcW w:w="3086" w:type="pct"/>
            <w:tcMar>
              <w:top w:w="0" w:type="dxa"/>
              <w:left w:w="108" w:type="dxa"/>
              <w:bottom w:w="0" w:type="dxa"/>
              <w:right w:w="108" w:type="dxa"/>
            </w:tcMar>
          </w:tcPr>
          <w:p w14:paraId="6E407CDE" w14:textId="77777777" w:rsidR="00A10B25" w:rsidRDefault="00A10B25">
            <w:pPr>
              <w:pStyle w:val="TAL"/>
            </w:pPr>
            <w:r>
              <w:t xml:space="preserve">Indicates that the request is for </w:t>
            </w:r>
            <w:r>
              <w:rPr>
                <w:lang w:eastAsia="zh-CN"/>
              </w:rPr>
              <w:t>analytics subscription transfer preparation</w:t>
            </w:r>
            <w:r>
              <w:t>.</w:t>
            </w:r>
          </w:p>
        </w:tc>
        <w:tc>
          <w:tcPr>
            <w:tcW w:w="736" w:type="pct"/>
          </w:tcPr>
          <w:p w14:paraId="3B03453D" w14:textId="77777777" w:rsidR="00A10B25" w:rsidRDefault="00A10B25">
            <w:pPr>
              <w:pStyle w:val="TAL"/>
              <w:rPr>
                <w:lang w:eastAsia="zh-CN"/>
              </w:rPr>
            </w:pPr>
          </w:p>
        </w:tc>
      </w:tr>
      <w:tr w:rsidR="00A10B25" w14:paraId="67124445" w14:textId="77777777">
        <w:tc>
          <w:tcPr>
            <w:tcW w:w="1178" w:type="pct"/>
            <w:tcMar>
              <w:top w:w="0" w:type="dxa"/>
              <w:left w:w="108" w:type="dxa"/>
              <w:bottom w:w="0" w:type="dxa"/>
              <w:right w:w="108" w:type="dxa"/>
            </w:tcMar>
          </w:tcPr>
          <w:p w14:paraId="6E23DCFC" w14:textId="77777777" w:rsidR="00A10B25" w:rsidRDefault="00A10B25">
            <w:pPr>
              <w:pStyle w:val="TAL"/>
              <w:rPr>
                <w:lang w:eastAsia="zh-CN"/>
              </w:rPr>
            </w:pPr>
            <w:r>
              <w:rPr>
                <w:lang w:eastAsia="zh-CN"/>
              </w:rPr>
              <w:t>TRANSFER</w:t>
            </w:r>
          </w:p>
        </w:tc>
        <w:tc>
          <w:tcPr>
            <w:tcW w:w="3086" w:type="pct"/>
            <w:tcMar>
              <w:top w:w="0" w:type="dxa"/>
              <w:left w:w="108" w:type="dxa"/>
              <w:bottom w:w="0" w:type="dxa"/>
              <w:right w:w="108" w:type="dxa"/>
            </w:tcMar>
          </w:tcPr>
          <w:p w14:paraId="70E1906D" w14:textId="77777777" w:rsidR="00A10B25" w:rsidRDefault="00A10B25">
            <w:pPr>
              <w:pStyle w:val="TAL"/>
              <w:rPr>
                <w:lang w:eastAsia="zh-CN"/>
              </w:rPr>
            </w:pPr>
            <w:r>
              <w:t xml:space="preserve">Indicates that the request is for </w:t>
            </w:r>
            <w:r>
              <w:rPr>
                <w:lang w:eastAsia="zh-CN"/>
              </w:rPr>
              <w:t>analytics subscription transfer execution</w:t>
            </w:r>
            <w:r>
              <w:t>.</w:t>
            </w:r>
          </w:p>
        </w:tc>
        <w:tc>
          <w:tcPr>
            <w:tcW w:w="736" w:type="pct"/>
          </w:tcPr>
          <w:p w14:paraId="186EA08F" w14:textId="77777777" w:rsidR="00A10B25" w:rsidRDefault="00A10B25">
            <w:pPr>
              <w:pStyle w:val="TAL"/>
              <w:rPr>
                <w:lang w:eastAsia="zh-CN"/>
              </w:rPr>
            </w:pPr>
          </w:p>
        </w:tc>
      </w:tr>
    </w:tbl>
    <w:p w14:paraId="42D1FF5B" w14:textId="77777777" w:rsidR="00A10B25" w:rsidRDefault="00A10B25">
      <w:pPr>
        <w:pStyle w:val="B1"/>
      </w:pPr>
    </w:p>
    <w:p w14:paraId="0D3E1C4E" w14:textId="77777777" w:rsidR="00A10B25" w:rsidRDefault="00A10B25">
      <w:pPr>
        <w:pStyle w:val="5"/>
        <w:spacing w:before="240" w:after="240"/>
        <w:rPr>
          <w:rFonts w:eastAsia="等线"/>
        </w:rPr>
      </w:pPr>
      <w:bookmarkStart w:id="8960" w:name="_Toc112951212"/>
      <w:bookmarkStart w:id="8961" w:name="_Toc88667647"/>
      <w:bookmarkStart w:id="8962" w:name="_Toc114133891"/>
      <w:bookmarkStart w:id="8963" w:name="_Toc120702391"/>
      <w:bookmarkStart w:id="8964" w:name="_Toc138754311"/>
      <w:bookmarkStart w:id="8965" w:name="_Toc90655932"/>
      <w:bookmarkStart w:id="8966" w:name="_Toc145705803"/>
      <w:bookmarkStart w:id="8967" w:name="_Toc94064331"/>
      <w:bookmarkStart w:id="8968" w:name="_Toc98233717"/>
      <w:bookmarkStart w:id="8969" w:name="_Toc104539089"/>
      <w:bookmarkStart w:id="8970" w:name="_Toc148522713"/>
      <w:bookmarkStart w:id="8971" w:name="_Toc101244494"/>
      <w:bookmarkStart w:id="8972" w:name="_Toc136562477"/>
      <w:bookmarkStart w:id="8973" w:name="_Toc113031752"/>
      <w:bookmarkStart w:id="8974" w:name="_Toc164920899"/>
      <w:bookmarkStart w:id="8975" w:name="_Toc170120441"/>
      <w:bookmarkStart w:id="8976" w:name="_Toc175858686"/>
      <w:bookmarkStart w:id="8977" w:name="_Toc175859759"/>
      <w:bookmarkStart w:id="8978" w:name="_Toc180606049"/>
      <w:bookmarkStart w:id="8979" w:name="_Toc185517308"/>
      <w:bookmarkStart w:id="8980" w:name="_Toc191576359"/>
      <w:bookmarkStart w:id="8981" w:name="_Toc191577099"/>
      <w:bookmarkStart w:id="8982" w:name="_Toc192880169"/>
      <w:bookmarkStart w:id="8983" w:name="_Toc195815057"/>
      <w:bookmarkStart w:id="8984" w:name="_Toc199453024"/>
      <w:r>
        <w:rPr>
          <w:rFonts w:eastAsia="等线"/>
        </w:rPr>
        <w:lastRenderedPageBreak/>
        <w:t>5.1.6.3.18</w:t>
      </w:r>
      <w:r>
        <w:rPr>
          <w:rFonts w:eastAsia="等线"/>
        </w:rPr>
        <w:tab/>
        <w:t xml:space="preserve">Enumeration: </w:t>
      </w:r>
      <w:r>
        <w:rPr>
          <w:lang w:eastAsia="zh-CN"/>
        </w:rPr>
        <w:t>AnalyticsSubset</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22D09270" w14:textId="77777777" w:rsidR="00A10B25" w:rsidRDefault="00A10B25">
      <w:pPr>
        <w:pStyle w:val="TH"/>
        <w:rPr>
          <w:rFonts w:eastAsia="等线"/>
        </w:rPr>
      </w:pPr>
      <w:bookmarkStart w:id="8985" w:name="_Toc114133892"/>
      <w:bookmarkStart w:id="8986" w:name="_Toc120702392"/>
      <w:bookmarkStart w:id="8987" w:name="_Toc112951213"/>
      <w:bookmarkStart w:id="8988" w:name="_Toc101244495"/>
      <w:bookmarkStart w:id="8989" w:name="_Toc113031753"/>
      <w:bookmarkStart w:id="8990" w:name="_Toc98233718"/>
      <w:bookmarkStart w:id="8991" w:name="_Toc104539090"/>
      <w:bookmarkStart w:id="8992" w:name="_Toc94064332"/>
      <w:r>
        <w:t xml:space="preserve">Table 5.1.6.3.18-1: </w:t>
      </w:r>
      <w:r>
        <w:rPr>
          <w:lang w:eastAsia="zh-CN"/>
        </w:rPr>
        <w:t>AnalyticsSubset</w:t>
      </w:r>
    </w:p>
    <w:tbl>
      <w:tblPr>
        <w:tblW w:w="9645"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38"/>
        <w:gridCol w:w="5532"/>
        <w:gridCol w:w="1275"/>
      </w:tblGrid>
      <w:tr w:rsidR="00A10B25" w14:paraId="4073D96D" w14:textId="77777777">
        <w:tc>
          <w:tcPr>
            <w:tcW w:w="1471" w:type="pct"/>
            <w:shd w:val="clear" w:color="auto" w:fill="C0C0C0"/>
            <w:tcMar>
              <w:top w:w="0" w:type="dxa"/>
              <w:left w:w="108" w:type="dxa"/>
              <w:bottom w:w="0" w:type="dxa"/>
              <w:right w:w="108" w:type="dxa"/>
            </w:tcMar>
          </w:tcPr>
          <w:p w14:paraId="368E8BB5" w14:textId="77777777" w:rsidR="00A10B25" w:rsidRDefault="00A10B25">
            <w:pPr>
              <w:pStyle w:val="TAH"/>
              <w:ind w:left="400" w:hanging="400"/>
              <w:rPr>
                <w:rFonts w:eastAsia="等线"/>
              </w:rPr>
            </w:pPr>
            <w:bookmarkStart w:id="8993" w:name="_Toc145705804"/>
            <w:bookmarkStart w:id="8994" w:name="_Toc138754312"/>
            <w:bookmarkStart w:id="8995" w:name="_Toc136562478"/>
            <w:r>
              <w:lastRenderedPageBreak/>
              <w:t>Enumeration value</w:t>
            </w:r>
          </w:p>
        </w:tc>
        <w:tc>
          <w:tcPr>
            <w:tcW w:w="2868" w:type="pct"/>
            <w:shd w:val="clear" w:color="auto" w:fill="C0C0C0"/>
            <w:tcMar>
              <w:top w:w="0" w:type="dxa"/>
              <w:left w:w="108" w:type="dxa"/>
              <w:bottom w:w="0" w:type="dxa"/>
              <w:right w:w="108" w:type="dxa"/>
            </w:tcMar>
          </w:tcPr>
          <w:p w14:paraId="1592815D" w14:textId="77777777" w:rsidR="00A10B25" w:rsidRDefault="00A10B25">
            <w:pPr>
              <w:pStyle w:val="TAH"/>
              <w:ind w:left="400" w:hanging="400"/>
            </w:pPr>
            <w:r>
              <w:t>Description</w:t>
            </w:r>
          </w:p>
        </w:tc>
        <w:tc>
          <w:tcPr>
            <w:tcW w:w="661" w:type="pct"/>
            <w:shd w:val="clear" w:color="auto" w:fill="C0C0C0"/>
          </w:tcPr>
          <w:p w14:paraId="307981C3" w14:textId="77777777" w:rsidR="00A10B25" w:rsidRDefault="00A10B25">
            <w:pPr>
              <w:pStyle w:val="TAH"/>
              <w:ind w:left="400" w:hanging="400"/>
            </w:pPr>
            <w:r>
              <w:t>Applicability</w:t>
            </w:r>
          </w:p>
        </w:tc>
      </w:tr>
      <w:tr w:rsidR="00A10B25" w14:paraId="50902129" w14:textId="77777777">
        <w:tc>
          <w:tcPr>
            <w:tcW w:w="1471" w:type="pct"/>
            <w:tcMar>
              <w:top w:w="0" w:type="dxa"/>
              <w:left w:w="108" w:type="dxa"/>
              <w:bottom w:w="0" w:type="dxa"/>
              <w:right w:w="108" w:type="dxa"/>
            </w:tcMar>
          </w:tcPr>
          <w:p w14:paraId="3768FE4B" w14:textId="77777777" w:rsidR="00A10B25" w:rsidRDefault="00A10B25">
            <w:pPr>
              <w:pStyle w:val="TAL"/>
            </w:pPr>
            <w:r>
              <w:t>NUM_OF_UE_REG</w:t>
            </w:r>
          </w:p>
        </w:tc>
        <w:tc>
          <w:tcPr>
            <w:tcW w:w="2868" w:type="pct"/>
            <w:tcMar>
              <w:top w:w="0" w:type="dxa"/>
              <w:left w:w="108" w:type="dxa"/>
              <w:bottom w:w="0" w:type="dxa"/>
              <w:right w:w="108" w:type="dxa"/>
            </w:tcMar>
          </w:tcPr>
          <w:p w14:paraId="51F058F7" w14:textId="77777777" w:rsidR="00A10B25" w:rsidRDefault="00A10B25">
            <w:pPr>
              <w:pStyle w:val="TAL"/>
            </w:pPr>
            <w:r>
              <w:t>The n</w:t>
            </w:r>
            <w:r>
              <w:rPr>
                <w:lang w:eastAsia="zh-CN"/>
              </w:rPr>
              <w:t>umber of UE registered</w:t>
            </w:r>
            <w:r>
              <w:t>.</w:t>
            </w:r>
            <w:r>
              <w:rPr>
                <w:lang w:eastAsia="zh-CN"/>
              </w:rPr>
              <w:t xml:space="preserve"> This value is only applicable to NSI_LOAD_LEVEL event.</w:t>
            </w:r>
          </w:p>
        </w:tc>
        <w:tc>
          <w:tcPr>
            <w:tcW w:w="661" w:type="pct"/>
          </w:tcPr>
          <w:p w14:paraId="0C91CDC8" w14:textId="77777777" w:rsidR="00A10B25" w:rsidRDefault="00A10B25">
            <w:pPr>
              <w:pStyle w:val="TAL"/>
              <w:rPr>
                <w:lang w:eastAsia="zh-CN"/>
              </w:rPr>
            </w:pPr>
          </w:p>
        </w:tc>
      </w:tr>
      <w:tr w:rsidR="00A10B25" w14:paraId="6AE6B6E6" w14:textId="77777777">
        <w:tc>
          <w:tcPr>
            <w:tcW w:w="1471" w:type="pct"/>
            <w:tcMar>
              <w:top w:w="0" w:type="dxa"/>
              <w:left w:w="108" w:type="dxa"/>
              <w:bottom w:w="0" w:type="dxa"/>
              <w:right w:w="108" w:type="dxa"/>
            </w:tcMar>
          </w:tcPr>
          <w:p w14:paraId="445501E1" w14:textId="77777777" w:rsidR="00A10B25" w:rsidRDefault="00A10B25">
            <w:pPr>
              <w:pStyle w:val="TAL"/>
              <w:rPr>
                <w:lang w:eastAsia="zh-CN"/>
              </w:rPr>
            </w:pPr>
            <w:r>
              <w:rPr>
                <w:lang w:eastAsia="zh-CN"/>
              </w:rPr>
              <w:t>NUM_OF_PDU_SESS_ESTBL</w:t>
            </w:r>
          </w:p>
        </w:tc>
        <w:tc>
          <w:tcPr>
            <w:tcW w:w="2868" w:type="pct"/>
            <w:tcMar>
              <w:top w:w="0" w:type="dxa"/>
              <w:left w:w="108" w:type="dxa"/>
              <w:bottom w:w="0" w:type="dxa"/>
              <w:right w:w="108" w:type="dxa"/>
            </w:tcMar>
          </w:tcPr>
          <w:p w14:paraId="0C35E25E" w14:textId="77777777" w:rsidR="00A10B25" w:rsidRDefault="00A10B25">
            <w:pPr>
              <w:pStyle w:val="TAL"/>
              <w:rPr>
                <w:lang w:eastAsia="zh-CN"/>
              </w:rPr>
            </w:pPr>
            <w:r>
              <w:t>The n</w:t>
            </w:r>
            <w:r>
              <w:rPr>
                <w:lang w:eastAsia="zh-CN"/>
              </w:rPr>
              <w:t>umber of PDU sessions established</w:t>
            </w:r>
            <w:r>
              <w:t>.</w:t>
            </w:r>
            <w:r>
              <w:rPr>
                <w:lang w:eastAsia="zh-CN"/>
              </w:rPr>
              <w:t xml:space="preserve"> This value is only applicable to NSI_LOAD_LEVEL event.</w:t>
            </w:r>
          </w:p>
        </w:tc>
        <w:tc>
          <w:tcPr>
            <w:tcW w:w="661" w:type="pct"/>
          </w:tcPr>
          <w:p w14:paraId="0A39EA85" w14:textId="77777777" w:rsidR="00A10B25" w:rsidRDefault="00A10B25">
            <w:pPr>
              <w:pStyle w:val="TAL"/>
              <w:rPr>
                <w:lang w:eastAsia="zh-CN"/>
              </w:rPr>
            </w:pPr>
          </w:p>
        </w:tc>
      </w:tr>
      <w:tr w:rsidR="00A10B25" w14:paraId="21E3A56A" w14:textId="77777777">
        <w:tc>
          <w:tcPr>
            <w:tcW w:w="1471" w:type="pct"/>
            <w:tcMar>
              <w:top w:w="0" w:type="dxa"/>
              <w:left w:w="108" w:type="dxa"/>
              <w:bottom w:w="0" w:type="dxa"/>
              <w:right w:w="108" w:type="dxa"/>
            </w:tcMar>
          </w:tcPr>
          <w:p w14:paraId="30037371" w14:textId="77777777" w:rsidR="00A10B25" w:rsidRDefault="00A10B25">
            <w:pPr>
              <w:pStyle w:val="TAL"/>
              <w:rPr>
                <w:lang w:eastAsia="zh-CN"/>
              </w:rPr>
            </w:pPr>
            <w:r>
              <w:rPr>
                <w:lang w:eastAsia="zh-CN"/>
              </w:rPr>
              <w:t>RES_USAGE</w:t>
            </w:r>
          </w:p>
        </w:tc>
        <w:tc>
          <w:tcPr>
            <w:tcW w:w="2868" w:type="pct"/>
            <w:tcMar>
              <w:top w:w="0" w:type="dxa"/>
              <w:left w:w="108" w:type="dxa"/>
              <w:bottom w:w="0" w:type="dxa"/>
              <w:right w:w="108" w:type="dxa"/>
            </w:tcMar>
          </w:tcPr>
          <w:p w14:paraId="0F708075" w14:textId="77777777" w:rsidR="00A10B25" w:rsidRDefault="00A10B25">
            <w:pPr>
              <w:pStyle w:val="TAL"/>
            </w:pPr>
            <w:r>
              <w:t>The current usage of the virtual resources assigned to the NF instances belonging to a particular network slice instance.</w:t>
            </w:r>
            <w:r>
              <w:rPr>
                <w:lang w:eastAsia="zh-CN"/>
              </w:rPr>
              <w:t xml:space="preserve"> This value is only applicable to NSI_LOAD_LEVEL event.</w:t>
            </w:r>
          </w:p>
        </w:tc>
        <w:tc>
          <w:tcPr>
            <w:tcW w:w="661" w:type="pct"/>
          </w:tcPr>
          <w:p w14:paraId="69FCCA24" w14:textId="77777777" w:rsidR="00A10B25" w:rsidRDefault="00A10B25">
            <w:pPr>
              <w:pStyle w:val="TAL"/>
              <w:rPr>
                <w:lang w:eastAsia="zh-CN"/>
              </w:rPr>
            </w:pPr>
          </w:p>
        </w:tc>
      </w:tr>
      <w:tr w:rsidR="00A10B25" w14:paraId="097BB5B2" w14:textId="77777777">
        <w:tc>
          <w:tcPr>
            <w:tcW w:w="1471" w:type="pct"/>
            <w:tcMar>
              <w:top w:w="0" w:type="dxa"/>
              <w:left w:w="108" w:type="dxa"/>
              <w:bottom w:w="0" w:type="dxa"/>
              <w:right w:w="108" w:type="dxa"/>
            </w:tcMar>
          </w:tcPr>
          <w:p w14:paraId="354DA149" w14:textId="77777777" w:rsidR="00A10B25" w:rsidRDefault="00A10B25">
            <w:pPr>
              <w:pStyle w:val="TAL"/>
              <w:rPr>
                <w:lang w:eastAsia="zh-CN"/>
              </w:rPr>
            </w:pPr>
            <w:r>
              <w:rPr>
                <w:lang w:eastAsia="zh-CN"/>
              </w:rPr>
              <w:t>NUM_OF_EXCEED_RES_USAGE_LOAD_LEVEL_THR</w:t>
            </w:r>
          </w:p>
        </w:tc>
        <w:tc>
          <w:tcPr>
            <w:tcW w:w="2868" w:type="pct"/>
            <w:tcMar>
              <w:top w:w="0" w:type="dxa"/>
              <w:left w:w="108" w:type="dxa"/>
              <w:bottom w:w="0" w:type="dxa"/>
              <w:right w:w="108" w:type="dxa"/>
            </w:tcMar>
          </w:tcPr>
          <w:p w14:paraId="7E3135D2" w14:textId="77777777" w:rsidR="00A10B25" w:rsidRDefault="00A10B25">
            <w:pPr>
              <w:pStyle w:val="TAL"/>
            </w:pPr>
            <w:r>
              <w:t>The number of times the resource usage threshold of the network slice instance is reached or exceeded if a threshold value is provided by the consumer.</w:t>
            </w:r>
            <w:r>
              <w:rPr>
                <w:lang w:eastAsia="zh-CN"/>
              </w:rPr>
              <w:t xml:space="preserve"> This value is only applicable to NSI_LOAD_LEVEL event.</w:t>
            </w:r>
          </w:p>
        </w:tc>
        <w:tc>
          <w:tcPr>
            <w:tcW w:w="661" w:type="pct"/>
          </w:tcPr>
          <w:p w14:paraId="40EAC45B" w14:textId="77777777" w:rsidR="00A10B25" w:rsidRDefault="00A10B25">
            <w:pPr>
              <w:pStyle w:val="TAL"/>
              <w:rPr>
                <w:lang w:eastAsia="zh-CN"/>
              </w:rPr>
            </w:pPr>
          </w:p>
        </w:tc>
      </w:tr>
      <w:tr w:rsidR="00A10B25" w14:paraId="6A721C16" w14:textId="77777777">
        <w:tc>
          <w:tcPr>
            <w:tcW w:w="1471" w:type="pct"/>
            <w:tcMar>
              <w:top w:w="0" w:type="dxa"/>
              <w:left w:w="108" w:type="dxa"/>
              <w:bottom w:w="0" w:type="dxa"/>
              <w:right w:w="108" w:type="dxa"/>
            </w:tcMar>
          </w:tcPr>
          <w:p w14:paraId="69F630F3" w14:textId="77777777" w:rsidR="00A10B25" w:rsidRDefault="00A10B25">
            <w:pPr>
              <w:pStyle w:val="TAL"/>
              <w:rPr>
                <w:lang w:eastAsia="zh-CN"/>
              </w:rPr>
            </w:pPr>
            <w:r>
              <w:rPr>
                <w:lang w:eastAsia="zh-CN"/>
              </w:rPr>
              <w:t>PERIOD_OF_EXCEED_RES_USAGE_LOAD_LEVEL_THR</w:t>
            </w:r>
          </w:p>
        </w:tc>
        <w:tc>
          <w:tcPr>
            <w:tcW w:w="2868" w:type="pct"/>
            <w:tcMar>
              <w:top w:w="0" w:type="dxa"/>
              <w:left w:w="108" w:type="dxa"/>
              <w:bottom w:w="0" w:type="dxa"/>
              <w:right w:w="108" w:type="dxa"/>
            </w:tcMar>
          </w:tcPr>
          <w:p w14:paraId="24C0B877" w14:textId="77777777" w:rsidR="00A10B25" w:rsidRDefault="00A10B25">
            <w:pPr>
              <w:pStyle w:val="TAL"/>
            </w:pPr>
            <w:r>
              <w:t>T</w:t>
            </w:r>
            <w:r>
              <w:rPr>
                <w:rFonts w:cs="Arial"/>
                <w:szCs w:val="18"/>
                <w:lang w:eastAsia="zh-CN"/>
              </w:rPr>
              <w:t>he</w:t>
            </w:r>
            <w:r>
              <w:rPr>
                <w:rFonts w:cs="Arial"/>
                <w:szCs w:val="18"/>
              </w:rPr>
              <w:t xml:space="preserve"> time interval between each time the threshold being met or exceeded on the network slice (instance).</w:t>
            </w:r>
            <w:r>
              <w:rPr>
                <w:lang w:eastAsia="zh-CN"/>
              </w:rPr>
              <w:t xml:space="preserve"> This value is only applicable to NSI_LOAD_LEVEL event.</w:t>
            </w:r>
          </w:p>
        </w:tc>
        <w:tc>
          <w:tcPr>
            <w:tcW w:w="661" w:type="pct"/>
          </w:tcPr>
          <w:p w14:paraId="10716D13" w14:textId="77777777" w:rsidR="00A10B25" w:rsidRDefault="00A10B25">
            <w:pPr>
              <w:pStyle w:val="TAL"/>
              <w:rPr>
                <w:lang w:eastAsia="zh-CN"/>
              </w:rPr>
            </w:pPr>
          </w:p>
        </w:tc>
      </w:tr>
      <w:tr w:rsidR="00A10B25" w14:paraId="33468823" w14:textId="77777777">
        <w:tc>
          <w:tcPr>
            <w:tcW w:w="1471" w:type="pct"/>
            <w:tcMar>
              <w:top w:w="0" w:type="dxa"/>
              <w:left w:w="108" w:type="dxa"/>
              <w:bottom w:w="0" w:type="dxa"/>
              <w:right w:w="108" w:type="dxa"/>
            </w:tcMar>
          </w:tcPr>
          <w:p w14:paraId="36AC5BF3" w14:textId="77777777" w:rsidR="00A10B25" w:rsidRDefault="00A10B25">
            <w:pPr>
              <w:pStyle w:val="TAL"/>
              <w:rPr>
                <w:lang w:eastAsia="zh-CN"/>
              </w:rPr>
            </w:pPr>
            <w:r>
              <w:rPr>
                <w:lang w:eastAsia="zh-CN"/>
              </w:rPr>
              <w:t>EXCEED_LOAD_LEVEL_THR_IND</w:t>
            </w:r>
          </w:p>
        </w:tc>
        <w:tc>
          <w:tcPr>
            <w:tcW w:w="2868" w:type="pct"/>
            <w:tcMar>
              <w:top w:w="0" w:type="dxa"/>
              <w:left w:w="108" w:type="dxa"/>
              <w:bottom w:w="0" w:type="dxa"/>
              <w:right w:w="108" w:type="dxa"/>
            </w:tcMar>
          </w:tcPr>
          <w:p w14:paraId="0D503898" w14:textId="77777777" w:rsidR="00A10B25" w:rsidRDefault="00A10B25">
            <w:pPr>
              <w:pStyle w:val="TAL"/>
            </w:pPr>
            <w:r>
              <w:t>Whether the Load Level Threshold is met or exceeded by the statistics value.</w:t>
            </w:r>
            <w:r>
              <w:rPr>
                <w:lang w:eastAsia="zh-CN"/>
              </w:rPr>
              <w:t xml:space="preserve"> This value is only applicable to NSI_LOAD_LEVEL event.</w:t>
            </w:r>
          </w:p>
        </w:tc>
        <w:tc>
          <w:tcPr>
            <w:tcW w:w="661" w:type="pct"/>
          </w:tcPr>
          <w:p w14:paraId="5997E55A" w14:textId="77777777" w:rsidR="00A10B25" w:rsidRDefault="00A10B25">
            <w:pPr>
              <w:pStyle w:val="TAL"/>
              <w:rPr>
                <w:lang w:eastAsia="zh-CN"/>
              </w:rPr>
            </w:pPr>
          </w:p>
        </w:tc>
      </w:tr>
      <w:tr w:rsidR="00A10B25" w14:paraId="2017CF80" w14:textId="77777777">
        <w:tc>
          <w:tcPr>
            <w:tcW w:w="1471" w:type="pct"/>
            <w:tcMar>
              <w:top w:w="0" w:type="dxa"/>
              <w:left w:w="108" w:type="dxa"/>
              <w:bottom w:w="0" w:type="dxa"/>
              <w:right w:w="108" w:type="dxa"/>
            </w:tcMar>
          </w:tcPr>
          <w:p w14:paraId="33E16368" w14:textId="77777777" w:rsidR="00A10B25" w:rsidRDefault="00A10B25">
            <w:pPr>
              <w:pStyle w:val="TAL"/>
              <w:rPr>
                <w:lang w:eastAsia="zh-CN"/>
              </w:rPr>
            </w:pPr>
            <w:r>
              <w:rPr>
                <w:lang w:eastAsia="zh-CN"/>
              </w:rPr>
              <w:t>LIST_OF_TOP_APP_UL</w:t>
            </w:r>
          </w:p>
        </w:tc>
        <w:tc>
          <w:tcPr>
            <w:tcW w:w="2868" w:type="pct"/>
            <w:tcMar>
              <w:top w:w="0" w:type="dxa"/>
              <w:left w:w="108" w:type="dxa"/>
              <w:bottom w:w="0" w:type="dxa"/>
              <w:right w:w="108" w:type="dxa"/>
            </w:tcMar>
          </w:tcPr>
          <w:p w14:paraId="68AF6B90" w14:textId="77777777" w:rsidR="00A10B25" w:rsidRDefault="00A10B25">
            <w:pPr>
              <w:pStyle w:val="TAL"/>
            </w:pPr>
            <w:r>
              <w:t>The list of applications that contribute the most to the traffic in the UL direction.</w:t>
            </w:r>
            <w:r>
              <w:rPr>
                <w:lang w:eastAsia="zh-CN"/>
              </w:rPr>
              <w:t xml:space="preserve"> This value is only applicable to </w:t>
            </w:r>
            <w:r>
              <w:t>USER_DATA_CONGESTION event</w:t>
            </w:r>
            <w:r>
              <w:rPr>
                <w:lang w:eastAsia="zh-CN"/>
              </w:rPr>
              <w:t>.</w:t>
            </w:r>
          </w:p>
        </w:tc>
        <w:tc>
          <w:tcPr>
            <w:tcW w:w="661" w:type="pct"/>
          </w:tcPr>
          <w:p w14:paraId="2CBE6AE6" w14:textId="77777777" w:rsidR="00A10B25" w:rsidRDefault="00A10B25">
            <w:pPr>
              <w:pStyle w:val="TAL"/>
              <w:rPr>
                <w:lang w:eastAsia="zh-CN"/>
              </w:rPr>
            </w:pPr>
          </w:p>
        </w:tc>
      </w:tr>
      <w:tr w:rsidR="00A10B25" w14:paraId="2849C7F8" w14:textId="77777777">
        <w:tc>
          <w:tcPr>
            <w:tcW w:w="1471" w:type="pct"/>
            <w:tcMar>
              <w:top w:w="0" w:type="dxa"/>
              <w:left w:w="108" w:type="dxa"/>
              <w:bottom w:w="0" w:type="dxa"/>
              <w:right w:w="108" w:type="dxa"/>
            </w:tcMar>
          </w:tcPr>
          <w:p w14:paraId="4C802216" w14:textId="77777777" w:rsidR="00A10B25" w:rsidRDefault="00A10B25">
            <w:pPr>
              <w:pStyle w:val="TAL"/>
              <w:rPr>
                <w:lang w:eastAsia="zh-CN"/>
              </w:rPr>
            </w:pPr>
            <w:r>
              <w:rPr>
                <w:lang w:eastAsia="zh-CN"/>
              </w:rPr>
              <w:t>LIST_OF_TOP_APP_DL</w:t>
            </w:r>
          </w:p>
        </w:tc>
        <w:tc>
          <w:tcPr>
            <w:tcW w:w="2868" w:type="pct"/>
            <w:tcMar>
              <w:top w:w="0" w:type="dxa"/>
              <w:left w:w="108" w:type="dxa"/>
              <w:bottom w:w="0" w:type="dxa"/>
              <w:right w:w="108" w:type="dxa"/>
            </w:tcMar>
          </w:tcPr>
          <w:p w14:paraId="6AA895DC" w14:textId="77777777" w:rsidR="00A10B25" w:rsidRDefault="00A10B25">
            <w:pPr>
              <w:pStyle w:val="TAL"/>
            </w:pPr>
            <w:r>
              <w:t>The list of applications that contribute the most to the traffic in the DL direction.</w:t>
            </w:r>
            <w:r>
              <w:rPr>
                <w:lang w:eastAsia="zh-CN"/>
              </w:rPr>
              <w:t xml:space="preserve"> This value is only applicable to </w:t>
            </w:r>
            <w:r>
              <w:t>USER_DATA_CONGESTION event</w:t>
            </w:r>
            <w:r>
              <w:rPr>
                <w:lang w:eastAsia="zh-CN"/>
              </w:rPr>
              <w:t>.</w:t>
            </w:r>
          </w:p>
        </w:tc>
        <w:tc>
          <w:tcPr>
            <w:tcW w:w="661" w:type="pct"/>
          </w:tcPr>
          <w:p w14:paraId="6089FA07" w14:textId="77777777" w:rsidR="00A10B25" w:rsidRDefault="00A10B25">
            <w:pPr>
              <w:pStyle w:val="TAL"/>
              <w:rPr>
                <w:lang w:eastAsia="zh-CN"/>
              </w:rPr>
            </w:pPr>
          </w:p>
        </w:tc>
      </w:tr>
      <w:tr w:rsidR="00A10B25" w14:paraId="7DA24174" w14:textId="77777777">
        <w:tc>
          <w:tcPr>
            <w:tcW w:w="1471" w:type="pct"/>
            <w:tcMar>
              <w:top w:w="0" w:type="dxa"/>
              <w:left w:w="108" w:type="dxa"/>
              <w:bottom w:w="0" w:type="dxa"/>
              <w:right w:w="108" w:type="dxa"/>
            </w:tcMar>
          </w:tcPr>
          <w:p w14:paraId="31893E60" w14:textId="77777777" w:rsidR="00A10B25" w:rsidRDefault="00A10B25">
            <w:pPr>
              <w:pStyle w:val="TAL"/>
              <w:rPr>
                <w:lang w:eastAsia="zh-CN"/>
              </w:rPr>
            </w:pPr>
            <w:r>
              <w:rPr>
                <w:lang w:eastAsia="zh-CN"/>
              </w:rPr>
              <w:t>NF_STATUS</w:t>
            </w:r>
          </w:p>
        </w:tc>
        <w:tc>
          <w:tcPr>
            <w:tcW w:w="2868" w:type="pct"/>
            <w:tcMar>
              <w:top w:w="0" w:type="dxa"/>
              <w:left w:w="108" w:type="dxa"/>
              <w:bottom w:w="0" w:type="dxa"/>
              <w:right w:w="108" w:type="dxa"/>
            </w:tcMar>
          </w:tcPr>
          <w:p w14:paraId="792AB513" w14:textId="77777777" w:rsidR="00A10B25" w:rsidRDefault="00A10B25">
            <w:pPr>
              <w:pStyle w:val="TAL"/>
            </w:pPr>
            <w:r>
              <w:t>The availability status of the NF on the Analytics target period, expressed as a percentage of time per status value (registered, suspended, undiscoverable). This value is only applicable to NF_LOAD event.</w:t>
            </w:r>
          </w:p>
        </w:tc>
        <w:tc>
          <w:tcPr>
            <w:tcW w:w="661" w:type="pct"/>
          </w:tcPr>
          <w:p w14:paraId="76718FB0" w14:textId="77777777" w:rsidR="00A10B25" w:rsidRDefault="00A10B25">
            <w:pPr>
              <w:pStyle w:val="TAL"/>
              <w:rPr>
                <w:lang w:eastAsia="zh-CN"/>
              </w:rPr>
            </w:pPr>
          </w:p>
        </w:tc>
      </w:tr>
      <w:tr w:rsidR="00A10B25" w14:paraId="2D19DA1A" w14:textId="77777777">
        <w:tc>
          <w:tcPr>
            <w:tcW w:w="1471" w:type="pct"/>
            <w:tcMar>
              <w:top w:w="0" w:type="dxa"/>
              <w:left w:w="108" w:type="dxa"/>
              <w:bottom w:w="0" w:type="dxa"/>
              <w:right w:w="108" w:type="dxa"/>
            </w:tcMar>
          </w:tcPr>
          <w:p w14:paraId="54B5FC58" w14:textId="77777777" w:rsidR="00A10B25" w:rsidRDefault="00A10B25">
            <w:pPr>
              <w:pStyle w:val="TAL"/>
              <w:rPr>
                <w:lang w:eastAsia="zh-CN"/>
              </w:rPr>
            </w:pPr>
            <w:r>
              <w:rPr>
                <w:lang w:eastAsia="zh-CN"/>
              </w:rPr>
              <w:t>NF_RESOURCE_USAGE</w:t>
            </w:r>
          </w:p>
        </w:tc>
        <w:tc>
          <w:tcPr>
            <w:tcW w:w="2868" w:type="pct"/>
            <w:tcMar>
              <w:top w:w="0" w:type="dxa"/>
              <w:left w:w="108" w:type="dxa"/>
              <w:bottom w:w="0" w:type="dxa"/>
              <w:right w:w="108" w:type="dxa"/>
            </w:tcMar>
          </w:tcPr>
          <w:p w14:paraId="649EA9E3" w14:textId="77777777" w:rsidR="00A10B25" w:rsidRDefault="00A10B25">
            <w:pPr>
              <w:pStyle w:val="TAL"/>
            </w:pPr>
            <w:r>
              <w:t>The average usage of assigned resources (CPU, memory, storage). This value is only applicable to NF_LOAD event.</w:t>
            </w:r>
          </w:p>
        </w:tc>
        <w:tc>
          <w:tcPr>
            <w:tcW w:w="661" w:type="pct"/>
          </w:tcPr>
          <w:p w14:paraId="35E85536" w14:textId="77777777" w:rsidR="00A10B25" w:rsidRDefault="00A10B25">
            <w:pPr>
              <w:pStyle w:val="TAL"/>
              <w:rPr>
                <w:lang w:eastAsia="zh-CN"/>
              </w:rPr>
            </w:pPr>
          </w:p>
        </w:tc>
      </w:tr>
      <w:tr w:rsidR="00A10B25" w14:paraId="7B4C02DA" w14:textId="77777777">
        <w:tc>
          <w:tcPr>
            <w:tcW w:w="1471" w:type="pct"/>
            <w:tcMar>
              <w:top w:w="0" w:type="dxa"/>
              <w:left w:w="108" w:type="dxa"/>
              <w:bottom w:w="0" w:type="dxa"/>
              <w:right w:w="108" w:type="dxa"/>
            </w:tcMar>
          </w:tcPr>
          <w:p w14:paraId="53D0D6FC" w14:textId="77777777" w:rsidR="00A10B25" w:rsidRDefault="00A10B25">
            <w:pPr>
              <w:pStyle w:val="TAL"/>
              <w:rPr>
                <w:lang w:eastAsia="zh-CN"/>
              </w:rPr>
            </w:pPr>
            <w:r>
              <w:rPr>
                <w:lang w:eastAsia="zh-CN"/>
              </w:rPr>
              <w:t>NF_LOAD</w:t>
            </w:r>
          </w:p>
        </w:tc>
        <w:tc>
          <w:tcPr>
            <w:tcW w:w="2868" w:type="pct"/>
            <w:tcMar>
              <w:top w:w="0" w:type="dxa"/>
              <w:left w:w="108" w:type="dxa"/>
              <w:bottom w:w="0" w:type="dxa"/>
              <w:right w:w="108" w:type="dxa"/>
            </w:tcMar>
          </w:tcPr>
          <w:p w14:paraId="0DD45C97" w14:textId="77777777" w:rsidR="00A10B25" w:rsidRDefault="00A10B25">
            <w:pPr>
              <w:pStyle w:val="TAL"/>
            </w:pPr>
            <w:r>
              <w:t>The average load of the NF instance over the Analytics target period. This value is only applicable to NF_LOAD event.</w:t>
            </w:r>
          </w:p>
        </w:tc>
        <w:tc>
          <w:tcPr>
            <w:tcW w:w="661" w:type="pct"/>
          </w:tcPr>
          <w:p w14:paraId="26F0B492" w14:textId="77777777" w:rsidR="00A10B25" w:rsidRDefault="00A10B25">
            <w:pPr>
              <w:pStyle w:val="TAL"/>
              <w:rPr>
                <w:lang w:eastAsia="zh-CN"/>
              </w:rPr>
            </w:pPr>
          </w:p>
        </w:tc>
      </w:tr>
      <w:tr w:rsidR="00A10B25" w14:paraId="1F8B6763" w14:textId="77777777">
        <w:tc>
          <w:tcPr>
            <w:tcW w:w="1471" w:type="pct"/>
            <w:tcMar>
              <w:top w:w="0" w:type="dxa"/>
              <w:left w:w="108" w:type="dxa"/>
              <w:bottom w:w="0" w:type="dxa"/>
              <w:right w:w="108" w:type="dxa"/>
            </w:tcMar>
          </w:tcPr>
          <w:p w14:paraId="2E165FC8" w14:textId="77777777" w:rsidR="00A10B25" w:rsidRDefault="00A10B25">
            <w:pPr>
              <w:pStyle w:val="TAL"/>
              <w:rPr>
                <w:lang w:eastAsia="zh-CN"/>
              </w:rPr>
            </w:pPr>
            <w:r>
              <w:rPr>
                <w:lang w:eastAsia="zh-CN"/>
              </w:rPr>
              <w:t>NF_PEAK_LOAD</w:t>
            </w:r>
          </w:p>
        </w:tc>
        <w:tc>
          <w:tcPr>
            <w:tcW w:w="2868" w:type="pct"/>
            <w:tcMar>
              <w:top w:w="0" w:type="dxa"/>
              <w:left w:w="108" w:type="dxa"/>
              <w:bottom w:w="0" w:type="dxa"/>
              <w:right w:w="108" w:type="dxa"/>
            </w:tcMar>
          </w:tcPr>
          <w:p w14:paraId="2B65356D" w14:textId="77777777" w:rsidR="00A10B25" w:rsidRDefault="00A10B25">
            <w:pPr>
              <w:pStyle w:val="TAL"/>
            </w:pPr>
            <w:r>
              <w:t>The maximum load of the NF instance over the Analytics target period. This value is only applicable to NF_LOAD event.</w:t>
            </w:r>
          </w:p>
        </w:tc>
        <w:tc>
          <w:tcPr>
            <w:tcW w:w="661" w:type="pct"/>
          </w:tcPr>
          <w:p w14:paraId="64BF7228" w14:textId="77777777" w:rsidR="00A10B25" w:rsidRDefault="00A10B25">
            <w:pPr>
              <w:pStyle w:val="TAL"/>
              <w:rPr>
                <w:lang w:eastAsia="zh-CN"/>
              </w:rPr>
            </w:pPr>
          </w:p>
        </w:tc>
      </w:tr>
      <w:tr w:rsidR="00A10B25" w14:paraId="16794F8B" w14:textId="77777777">
        <w:tc>
          <w:tcPr>
            <w:tcW w:w="1471" w:type="pct"/>
            <w:tcMar>
              <w:top w:w="0" w:type="dxa"/>
              <w:left w:w="108" w:type="dxa"/>
              <w:bottom w:w="0" w:type="dxa"/>
              <w:right w:w="108" w:type="dxa"/>
            </w:tcMar>
          </w:tcPr>
          <w:p w14:paraId="420A084C" w14:textId="77777777" w:rsidR="00A10B25" w:rsidRDefault="00A10B25">
            <w:pPr>
              <w:pStyle w:val="TAL"/>
              <w:rPr>
                <w:lang w:eastAsia="zh-CN"/>
              </w:rPr>
            </w:pPr>
            <w:r>
              <w:rPr>
                <w:lang w:eastAsia="zh-CN"/>
              </w:rPr>
              <w:t>NF_</w:t>
            </w:r>
            <w:r>
              <w:rPr>
                <w:lang w:eastAsia="ja-JP"/>
              </w:rPr>
              <w:t>LOAD_AVG_IN_AOI</w:t>
            </w:r>
          </w:p>
        </w:tc>
        <w:tc>
          <w:tcPr>
            <w:tcW w:w="2868" w:type="pct"/>
            <w:tcMar>
              <w:top w:w="0" w:type="dxa"/>
              <w:left w:w="108" w:type="dxa"/>
              <w:bottom w:w="0" w:type="dxa"/>
              <w:right w:w="108" w:type="dxa"/>
            </w:tcMar>
          </w:tcPr>
          <w:p w14:paraId="15ED2274" w14:textId="77777777" w:rsidR="00A10B25" w:rsidRDefault="00A10B25">
            <w:pPr>
              <w:pStyle w:val="TAL"/>
            </w:pPr>
            <w:r>
              <w:t>The average load of the NF instances over the area of interest. This value is only applicable to NF_LOAD event.</w:t>
            </w:r>
          </w:p>
        </w:tc>
        <w:tc>
          <w:tcPr>
            <w:tcW w:w="661" w:type="pct"/>
          </w:tcPr>
          <w:p w14:paraId="454F839F" w14:textId="77777777" w:rsidR="00A10B25" w:rsidRDefault="00A10B25">
            <w:pPr>
              <w:pStyle w:val="TAL"/>
              <w:rPr>
                <w:lang w:eastAsia="zh-CN"/>
              </w:rPr>
            </w:pPr>
          </w:p>
        </w:tc>
      </w:tr>
      <w:tr w:rsidR="00A10B25" w14:paraId="5BEA1A4C" w14:textId="77777777">
        <w:tc>
          <w:tcPr>
            <w:tcW w:w="1471" w:type="pct"/>
            <w:tcMar>
              <w:top w:w="0" w:type="dxa"/>
              <w:left w:w="108" w:type="dxa"/>
              <w:bottom w:w="0" w:type="dxa"/>
              <w:right w:w="108" w:type="dxa"/>
            </w:tcMar>
          </w:tcPr>
          <w:p w14:paraId="46ED46BC" w14:textId="77777777" w:rsidR="00A10B25" w:rsidRDefault="00A10B25">
            <w:pPr>
              <w:pStyle w:val="TAL"/>
              <w:rPr>
                <w:lang w:eastAsia="zh-CN"/>
              </w:rPr>
            </w:pPr>
            <w:r>
              <w:rPr>
                <w:lang w:eastAsia="zh-CN"/>
              </w:rPr>
              <w:t>DISPER_AMOUNT</w:t>
            </w:r>
          </w:p>
        </w:tc>
        <w:tc>
          <w:tcPr>
            <w:tcW w:w="2868" w:type="pct"/>
            <w:tcMar>
              <w:top w:w="0" w:type="dxa"/>
              <w:left w:w="108" w:type="dxa"/>
              <w:bottom w:w="0" w:type="dxa"/>
              <w:right w:w="108" w:type="dxa"/>
            </w:tcMar>
          </w:tcPr>
          <w:p w14:paraId="17BF7FD4" w14:textId="77777777" w:rsidR="00A10B25" w:rsidRDefault="00A10B25">
            <w:pPr>
              <w:pStyle w:val="TAL"/>
            </w:pPr>
            <w:r>
              <w:t>Indicates the dispersion amount of the reported data volume or transaction dispersion type. This value is only applicable to DISPERSION event.</w:t>
            </w:r>
          </w:p>
        </w:tc>
        <w:tc>
          <w:tcPr>
            <w:tcW w:w="661" w:type="pct"/>
          </w:tcPr>
          <w:p w14:paraId="2897A037" w14:textId="77777777" w:rsidR="00A10B25" w:rsidRDefault="00A10B25">
            <w:pPr>
              <w:pStyle w:val="TAL"/>
              <w:rPr>
                <w:lang w:eastAsia="zh-CN"/>
              </w:rPr>
            </w:pPr>
          </w:p>
        </w:tc>
      </w:tr>
      <w:tr w:rsidR="00A10B25" w14:paraId="46B5E7E9" w14:textId="77777777">
        <w:tc>
          <w:tcPr>
            <w:tcW w:w="1471" w:type="pct"/>
            <w:tcMar>
              <w:top w:w="0" w:type="dxa"/>
              <w:left w:w="108" w:type="dxa"/>
              <w:bottom w:w="0" w:type="dxa"/>
              <w:right w:w="108" w:type="dxa"/>
            </w:tcMar>
          </w:tcPr>
          <w:p w14:paraId="3EFFB7EA" w14:textId="77777777" w:rsidR="00A10B25" w:rsidRDefault="00A10B25">
            <w:pPr>
              <w:pStyle w:val="TAL"/>
              <w:rPr>
                <w:lang w:eastAsia="zh-CN"/>
              </w:rPr>
            </w:pPr>
            <w:r>
              <w:rPr>
                <w:lang w:eastAsia="zh-CN"/>
              </w:rPr>
              <w:t>DISPER_CLASS</w:t>
            </w:r>
          </w:p>
        </w:tc>
        <w:tc>
          <w:tcPr>
            <w:tcW w:w="2868" w:type="pct"/>
            <w:tcMar>
              <w:top w:w="0" w:type="dxa"/>
              <w:left w:w="108" w:type="dxa"/>
              <w:bottom w:w="0" w:type="dxa"/>
              <w:right w:w="108" w:type="dxa"/>
            </w:tcMar>
          </w:tcPr>
          <w:p w14:paraId="733F71D5" w14:textId="77777777" w:rsidR="00A10B25" w:rsidRDefault="00A10B25">
            <w:pPr>
              <w:pStyle w:val="TAL"/>
            </w:pPr>
            <w:r>
              <w:t>Indicates the dispersion mobility class (fixed, camper or traveller) upon set its usage threshold, and/or the top-heavy class upon set its percentile rating threshold. This value is only applicable to DISPERSION event.</w:t>
            </w:r>
          </w:p>
        </w:tc>
        <w:tc>
          <w:tcPr>
            <w:tcW w:w="661" w:type="pct"/>
          </w:tcPr>
          <w:p w14:paraId="63FEF2CF" w14:textId="77777777" w:rsidR="00A10B25" w:rsidRDefault="00A10B25">
            <w:pPr>
              <w:pStyle w:val="TAL"/>
              <w:rPr>
                <w:lang w:eastAsia="zh-CN"/>
              </w:rPr>
            </w:pPr>
          </w:p>
        </w:tc>
      </w:tr>
      <w:tr w:rsidR="00A10B25" w14:paraId="3FBB11E3" w14:textId="77777777">
        <w:tc>
          <w:tcPr>
            <w:tcW w:w="1471" w:type="pct"/>
            <w:tcMar>
              <w:top w:w="0" w:type="dxa"/>
              <w:left w:w="108" w:type="dxa"/>
              <w:bottom w:w="0" w:type="dxa"/>
              <w:right w:w="108" w:type="dxa"/>
            </w:tcMar>
          </w:tcPr>
          <w:p w14:paraId="4B8EA106" w14:textId="77777777" w:rsidR="00A10B25" w:rsidRDefault="00A10B25">
            <w:pPr>
              <w:pStyle w:val="TAL"/>
              <w:rPr>
                <w:lang w:eastAsia="zh-CN"/>
              </w:rPr>
            </w:pPr>
            <w:r>
              <w:rPr>
                <w:lang w:eastAsia="zh-CN"/>
              </w:rPr>
              <w:t>RANKING</w:t>
            </w:r>
          </w:p>
        </w:tc>
        <w:tc>
          <w:tcPr>
            <w:tcW w:w="2868" w:type="pct"/>
            <w:tcMar>
              <w:top w:w="0" w:type="dxa"/>
              <w:left w:w="108" w:type="dxa"/>
              <w:bottom w:w="0" w:type="dxa"/>
              <w:right w:w="108" w:type="dxa"/>
            </w:tcMar>
          </w:tcPr>
          <w:p w14:paraId="39C432AE" w14:textId="77777777" w:rsidR="00A10B25" w:rsidRDefault="00A10B25">
            <w:pPr>
              <w:pStyle w:val="TAL"/>
            </w:pPr>
            <w:r>
              <w:t>Data/transaction usage ranked high (i.e.value 1), medium (2) or low (3). This value is only applicable to DISPERSION event.</w:t>
            </w:r>
          </w:p>
        </w:tc>
        <w:tc>
          <w:tcPr>
            <w:tcW w:w="661" w:type="pct"/>
          </w:tcPr>
          <w:p w14:paraId="36D90C56" w14:textId="77777777" w:rsidR="00A10B25" w:rsidRDefault="00A10B25">
            <w:pPr>
              <w:pStyle w:val="TAL"/>
              <w:rPr>
                <w:lang w:eastAsia="zh-CN"/>
              </w:rPr>
            </w:pPr>
          </w:p>
        </w:tc>
      </w:tr>
      <w:tr w:rsidR="00A10B25" w14:paraId="17FA786C" w14:textId="77777777">
        <w:tc>
          <w:tcPr>
            <w:tcW w:w="1471" w:type="pct"/>
            <w:tcMar>
              <w:top w:w="0" w:type="dxa"/>
              <w:left w:w="108" w:type="dxa"/>
              <w:bottom w:w="0" w:type="dxa"/>
              <w:right w:w="108" w:type="dxa"/>
            </w:tcMar>
          </w:tcPr>
          <w:p w14:paraId="06AA18B8" w14:textId="77777777" w:rsidR="00A10B25" w:rsidRDefault="00A10B25">
            <w:pPr>
              <w:pStyle w:val="TAL"/>
              <w:rPr>
                <w:lang w:eastAsia="zh-CN"/>
              </w:rPr>
            </w:pPr>
            <w:r>
              <w:rPr>
                <w:lang w:eastAsia="zh-CN"/>
              </w:rPr>
              <w:t>PERCENTILE_RANKING</w:t>
            </w:r>
          </w:p>
        </w:tc>
        <w:tc>
          <w:tcPr>
            <w:tcW w:w="2868" w:type="pct"/>
            <w:tcMar>
              <w:top w:w="0" w:type="dxa"/>
              <w:left w:w="108" w:type="dxa"/>
              <w:bottom w:w="0" w:type="dxa"/>
              <w:right w:w="108" w:type="dxa"/>
            </w:tcMar>
          </w:tcPr>
          <w:p w14:paraId="468309DC" w14:textId="77777777" w:rsidR="00A10B25" w:rsidRDefault="00A10B25">
            <w:pPr>
              <w:pStyle w:val="TAL"/>
            </w:pPr>
            <w:r>
              <w:t>Percentile ranking of the target UE in the Cumulative Distribution Function of data usage for the population of all UEs. This value is only applicable to DISPERSION event.</w:t>
            </w:r>
          </w:p>
        </w:tc>
        <w:tc>
          <w:tcPr>
            <w:tcW w:w="661" w:type="pct"/>
          </w:tcPr>
          <w:p w14:paraId="2C1E0D8C" w14:textId="77777777" w:rsidR="00A10B25" w:rsidRDefault="00A10B25">
            <w:pPr>
              <w:pStyle w:val="TAL"/>
              <w:rPr>
                <w:lang w:eastAsia="zh-CN"/>
              </w:rPr>
            </w:pPr>
          </w:p>
        </w:tc>
      </w:tr>
      <w:tr w:rsidR="00A10B25" w14:paraId="0058F5EA" w14:textId="77777777">
        <w:tc>
          <w:tcPr>
            <w:tcW w:w="1471" w:type="pct"/>
            <w:tcMar>
              <w:top w:w="0" w:type="dxa"/>
              <w:left w:w="108" w:type="dxa"/>
              <w:bottom w:w="0" w:type="dxa"/>
              <w:right w:w="108" w:type="dxa"/>
            </w:tcMar>
          </w:tcPr>
          <w:p w14:paraId="7EEA826D" w14:textId="77777777" w:rsidR="00A10B25" w:rsidRDefault="00A10B25">
            <w:pPr>
              <w:pStyle w:val="TAL"/>
              <w:rPr>
                <w:lang w:eastAsia="zh-CN"/>
              </w:rPr>
            </w:pPr>
            <w:r>
              <w:rPr>
                <w:lang w:eastAsia="zh-CN"/>
              </w:rPr>
              <w:t>RSSI</w:t>
            </w:r>
          </w:p>
        </w:tc>
        <w:tc>
          <w:tcPr>
            <w:tcW w:w="2868" w:type="pct"/>
            <w:tcMar>
              <w:top w:w="0" w:type="dxa"/>
              <w:left w:w="108" w:type="dxa"/>
              <w:bottom w:w="0" w:type="dxa"/>
              <w:right w:w="108" w:type="dxa"/>
            </w:tcMar>
          </w:tcPr>
          <w:p w14:paraId="059A7C79" w14:textId="77777777" w:rsidR="00A10B25" w:rsidRDefault="00A10B25">
            <w:pPr>
              <w:pStyle w:val="TAL"/>
            </w:pPr>
            <w:r>
              <w:rPr>
                <w:rFonts w:cs="Arial"/>
                <w:szCs w:val="18"/>
              </w:rPr>
              <w:t>Indicated the RSSI in the unit of dBm.</w:t>
            </w:r>
            <w:r>
              <w:rPr>
                <w:rFonts w:eastAsia="Times New Roman" w:cs="Arial"/>
                <w:szCs w:val="18"/>
              </w:rPr>
              <w:t xml:space="preserve"> This value is only applicable to WLAN_PERFORMANCE event.</w:t>
            </w:r>
          </w:p>
        </w:tc>
        <w:tc>
          <w:tcPr>
            <w:tcW w:w="661" w:type="pct"/>
          </w:tcPr>
          <w:p w14:paraId="12A5DE97" w14:textId="77777777" w:rsidR="00A10B25" w:rsidRDefault="00A10B25">
            <w:pPr>
              <w:pStyle w:val="TAL"/>
              <w:rPr>
                <w:lang w:eastAsia="zh-CN"/>
              </w:rPr>
            </w:pPr>
          </w:p>
        </w:tc>
      </w:tr>
      <w:tr w:rsidR="00A10B25" w14:paraId="1DE7257E" w14:textId="77777777">
        <w:tc>
          <w:tcPr>
            <w:tcW w:w="1471" w:type="pct"/>
            <w:tcMar>
              <w:top w:w="0" w:type="dxa"/>
              <w:left w:w="108" w:type="dxa"/>
              <w:bottom w:w="0" w:type="dxa"/>
              <w:right w:w="108" w:type="dxa"/>
            </w:tcMar>
          </w:tcPr>
          <w:p w14:paraId="6FDEC82E" w14:textId="77777777" w:rsidR="00A10B25" w:rsidRDefault="00A10B25">
            <w:pPr>
              <w:pStyle w:val="TAL"/>
              <w:rPr>
                <w:lang w:eastAsia="zh-CN"/>
              </w:rPr>
            </w:pPr>
            <w:r>
              <w:rPr>
                <w:lang w:eastAsia="zh-CN"/>
              </w:rPr>
              <w:t>RTT</w:t>
            </w:r>
          </w:p>
        </w:tc>
        <w:tc>
          <w:tcPr>
            <w:tcW w:w="2868" w:type="pct"/>
            <w:tcMar>
              <w:top w:w="0" w:type="dxa"/>
              <w:left w:w="108" w:type="dxa"/>
              <w:bottom w:w="0" w:type="dxa"/>
              <w:right w:w="108" w:type="dxa"/>
            </w:tcMar>
          </w:tcPr>
          <w:p w14:paraId="50B27310" w14:textId="77777777" w:rsidR="00A10B25" w:rsidRDefault="00A10B25">
            <w:pPr>
              <w:pStyle w:val="TAL"/>
            </w:pPr>
            <w:r>
              <w:rPr>
                <w:rFonts w:cs="Arial"/>
                <w:szCs w:val="18"/>
              </w:rPr>
              <w:t>Indicates the RTT in the unit of millisecond.</w:t>
            </w:r>
            <w:r>
              <w:rPr>
                <w:rFonts w:eastAsia="Times New Roman" w:cs="Arial"/>
                <w:szCs w:val="18"/>
              </w:rPr>
              <w:t xml:space="preserve"> This value is only applicable to WLAN_PERFORMANCE event.</w:t>
            </w:r>
          </w:p>
        </w:tc>
        <w:tc>
          <w:tcPr>
            <w:tcW w:w="661" w:type="pct"/>
          </w:tcPr>
          <w:p w14:paraId="68F519AE" w14:textId="77777777" w:rsidR="00A10B25" w:rsidRDefault="00A10B25">
            <w:pPr>
              <w:pStyle w:val="TAL"/>
              <w:rPr>
                <w:lang w:eastAsia="zh-CN"/>
              </w:rPr>
            </w:pPr>
          </w:p>
        </w:tc>
      </w:tr>
      <w:tr w:rsidR="00A10B25" w14:paraId="3B0E23D9" w14:textId="77777777">
        <w:tc>
          <w:tcPr>
            <w:tcW w:w="1471" w:type="pct"/>
            <w:tcMar>
              <w:top w:w="0" w:type="dxa"/>
              <w:left w:w="108" w:type="dxa"/>
              <w:bottom w:w="0" w:type="dxa"/>
              <w:right w:w="108" w:type="dxa"/>
            </w:tcMar>
          </w:tcPr>
          <w:p w14:paraId="47962139" w14:textId="77777777" w:rsidR="00A10B25" w:rsidRDefault="00A10B25">
            <w:pPr>
              <w:pStyle w:val="TAL"/>
              <w:rPr>
                <w:lang w:eastAsia="zh-CN"/>
              </w:rPr>
            </w:pPr>
            <w:r>
              <w:rPr>
                <w:lang w:eastAsia="zh-CN"/>
              </w:rPr>
              <w:t>TRAFFIC_INFO</w:t>
            </w:r>
          </w:p>
        </w:tc>
        <w:tc>
          <w:tcPr>
            <w:tcW w:w="2868" w:type="pct"/>
            <w:tcMar>
              <w:top w:w="0" w:type="dxa"/>
              <w:left w:w="108" w:type="dxa"/>
              <w:bottom w:w="0" w:type="dxa"/>
              <w:right w:w="108" w:type="dxa"/>
            </w:tcMar>
          </w:tcPr>
          <w:p w14:paraId="6585685D" w14:textId="77777777" w:rsidR="00A10B25" w:rsidRDefault="00A10B25">
            <w:pPr>
              <w:pStyle w:val="TAL"/>
            </w:pPr>
            <w:r>
              <w:rPr>
                <w:rFonts w:cs="Arial"/>
                <w:szCs w:val="18"/>
              </w:rPr>
              <w:t xml:space="preserve">Traffic information including UL/DL data rate and/or Traffic volume. </w:t>
            </w:r>
            <w:r>
              <w:rPr>
                <w:rFonts w:eastAsia="Times New Roman" w:cs="Arial"/>
                <w:szCs w:val="18"/>
              </w:rPr>
              <w:t>This value is only applicable to WLAN_PERFORMANCE event.</w:t>
            </w:r>
          </w:p>
        </w:tc>
        <w:tc>
          <w:tcPr>
            <w:tcW w:w="661" w:type="pct"/>
          </w:tcPr>
          <w:p w14:paraId="4A019DC3" w14:textId="77777777" w:rsidR="00A10B25" w:rsidRDefault="00A10B25">
            <w:pPr>
              <w:pStyle w:val="TAL"/>
              <w:rPr>
                <w:lang w:eastAsia="zh-CN"/>
              </w:rPr>
            </w:pPr>
          </w:p>
        </w:tc>
      </w:tr>
      <w:tr w:rsidR="00A10B25" w14:paraId="73379CF8" w14:textId="77777777">
        <w:tc>
          <w:tcPr>
            <w:tcW w:w="1471" w:type="pct"/>
            <w:tcMar>
              <w:top w:w="0" w:type="dxa"/>
              <w:left w:w="108" w:type="dxa"/>
              <w:bottom w:w="0" w:type="dxa"/>
              <w:right w:w="108" w:type="dxa"/>
            </w:tcMar>
          </w:tcPr>
          <w:p w14:paraId="288205CA" w14:textId="77777777" w:rsidR="00A10B25" w:rsidRDefault="00A10B25">
            <w:pPr>
              <w:pStyle w:val="TAL"/>
              <w:rPr>
                <w:lang w:eastAsia="zh-CN"/>
              </w:rPr>
            </w:pPr>
            <w:r>
              <w:rPr>
                <w:lang w:eastAsia="zh-CN"/>
              </w:rPr>
              <w:t>NUMBER_OF_UES</w:t>
            </w:r>
          </w:p>
        </w:tc>
        <w:tc>
          <w:tcPr>
            <w:tcW w:w="2868" w:type="pct"/>
            <w:tcMar>
              <w:top w:w="0" w:type="dxa"/>
              <w:left w:w="108" w:type="dxa"/>
              <w:bottom w:w="0" w:type="dxa"/>
              <w:right w:w="108" w:type="dxa"/>
            </w:tcMar>
          </w:tcPr>
          <w:p w14:paraId="1F24D493" w14:textId="77777777" w:rsidR="00A10B25" w:rsidRDefault="00A10B25">
            <w:pPr>
              <w:pStyle w:val="TAL"/>
            </w:pPr>
            <w:r>
              <w:rPr>
                <w:rFonts w:cs="Arial"/>
                <w:szCs w:val="18"/>
              </w:rPr>
              <w:t>Number of UEs observed for the SSID.</w:t>
            </w:r>
            <w:r>
              <w:rPr>
                <w:rFonts w:eastAsia="Times New Roman" w:cs="Arial"/>
                <w:szCs w:val="18"/>
              </w:rPr>
              <w:t xml:space="preserve"> </w:t>
            </w:r>
            <w:r>
              <w:t>This value is only applicable to WLAN_PERFORMANCE event.</w:t>
            </w:r>
          </w:p>
        </w:tc>
        <w:tc>
          <w:tcPr>
            <w:tcW w:w="661" w:type="pct"/>
          </w:tcPr>
          <w:p w14:paraId="62FBDC19" w14:textId="77777777" w:rsidR="00A10B25" w:rsidRDefault="00A10B25">
            <w:pPr>
              <w:pStyle w:val="TAL"/>
              <w:rPr>
                <w:lang w:eastAsia="zh-CN"/>
              </w:rPr>
            </w:pPr>
          </w:p>
        </w:tc>
      </w:tr>
      <w:tr w:rsidR="00A10B25" w14:paraId="78973EB4" w14:textId="77777777">
        <w:tc>
          <w:tcPr>
            <w:tcW w:w="1471" w:type="pct"/>
            <w:tcMar>
              <w:top w:w="0" w:type="dxa"/>
              <w:left w:w="108" w:type="dxa"/>
              <w:bottom w:w="0" w:type="dxa"/>
              <w:right w:w="108" w:type="dxa"/>
            </w:tcMar>
          </w:tcPr>
          <w:p w14:paraId="378DD9E5" w14:textId="77777777" w:rsidR="00A10B25" w:rsidRDefault="00A10B25">
            <w:pPr>
              <w:pStyle w:val="TAL"/>
              <w:rPr>
                <w:lang w:eastAsia="zh-CN"/>
              </w:rPr>
            </w:pPr>
            <w:r>
              <w:rPr>
                <w:lang w:eastAsia="zh-CN"/>
              </w:rPr>
              <w:t>APP_LIST_FOR_UE_COMM</w:t>
            </w:r>
          </w:p>
        </w:tc>
        <w:tc>
          <w:tcPr>
            <w:tcW w:w="2868" w:type="pct"/>
            <w:tcMar>
              <w:top w:w="0" w:type="dxa"/>
              <w:left w:w="108" w:type="dxa"/>
              <w:bottom w:w="0" w:type="dxa"/>
              <w:right w:w="108" w:type="dxa"/>
            </w:tcMar>
          </w:tcPr>
          <w:p w14:paraId="57ECED26" w14:textId="77777777" w:rsidR="00A10B25" w:rsidRDefault="00A10B25">
            <w:pPr>
              <w:pStyle w:val="TAL"/>
              <w:rPr>
                <w:rFonts w:cs="Arial"/>
                <w:szCs w:val="18"/>
              </w:rPr>
            </w:pPr>
            <w:r>
              <w:rPr>
                <w:lang w:eastAsia="zh-CN"/>
              </w:rPr>
              <w:t xml:space="preserve">The analytics of the application list used by UE. This value is only applicable to </w:t>
            </w:r>
            <w:r w:rsidR="00AD5F95">
              <w:t>UE_COMMUNICATION</w:t>
            </w:r>
            <w:r>
              <w:t xml:space="preserve"> event</w:t>
            </w:r>
            <w:r>
              <w:rPr>
                <w:lang w:eastAsia="zh-CN"/>
              </w:rPr>
              <w:t>.</w:t>
            </w:r>
          </w:p>
        </w:tc>
        <w:tc>
          <w:tcPr>
            <w:tcW w:w="661" w:type="pct"/>
          </w:tcPr>
          <w:p w14:paraId="3752A52B" w14:textId="77777777" w:rsidR="00A10B25" w:rsidRDefault="00A10B25">
            <w:pPr>
              <w:pStyle w:val="TAL"/>
              <w:rPr>
                <w:lang w:eastAsia="zh-CN"/>
              </w:rPr>
            </w:pPr>
          </w:p>
        </w:tc>
      </w:tr>
      <w:tr w:rsidR="00A10B25" w14:paraId="0DB9621C" w14:textId="77777777">
        <w:tc>
          <w:tcPr>
            <w:tcW w:w="1471" w:type="pct"/>
            <w:tcMar>
              <w:top w:w="0" w:type="dxa"/>
              <w:left w:w="108" w:type="dxa"/>
              <w:bottom w:w="0" w:type="dxa"/>
              <w:right w:w="108" w:type="dxa"/>
            </w:tcMar>
          </w:tcPr>
          <w:p w14:paraId="5D4D88A8" w14:textId="77777777" w:rsidR="00A10B25" w:rsidRDefault="00A10B25">
            <w:pPr>
              <w:pStyle w:val="TAL"/>
              <w:rPr>
                <w:lang w:eastAsia="zh-CN"/>
              </w:rPr>
            </w:pPr>
            <w:r>
              <w:rPr>
                <w:lang w:eastAsia="zh-CN"/>
              </w:rPr>
              <w:t>N4_SESS_INACT_TIMER_FOR_UE_COMM</w:t>
            </w:r>
          </w:p>
        </w:tc>
        <w:tc>
          <w:tcPr>
            <w:tcW w:w="2868" w:type="pct"/>
            <w:tcMar>
              <w:top w:w="0" w:type="dxa"/>
              <w:left w:w="108" w:type="dxa"/>
              <w:bottom w:w="0" w:type="dxa"/>
              <w:right w:w="108" w:type="dxa"/>
            </w:tcMar>
          </w:tcPr>
          <w:p w14:paraId="02808C3F" w14:textId="77777777" w:rsidR="00A10B25" w:rsidRDefault="00A10B25">
            <w:pPr>
              <w:pStyle w:val="TAL"/>
              <w:rPr>
                <w:lang w:eastAsia="zh-CN"/>
              </w:rPr>
            </w:pPr>
            <w:r>
              <w:rPr>
                <w:lang w:eastAsia="zh-CN"/>
              </w:rPr>
              <w:t xml:space="preserve">The N4 Session inactivity timer. This value is only applicable to </w:t>
            </w:r>
            <w:r w:rsidR="00AD5F95">
              <w:t>UE_COMMUNICATION</w:t>
            </w:r>
            <w:r>
              <w:t xml:space="preserve"> event</w:t>
            </w:r>
            <w:r>
              <w:rPr>
                <w:lang w:eastAsia="zh-CN"/>
              </w:rPr>
              <w:t>.</w:t>
            </w:r>
          </w:p>
        </w:tc>
        <w:tc>
          <w:tcPr>
            <w:tcW w:w="661" w:type="pct"/>
          </w:tcPr>
          <w:p w14:paraId="1890FFFE" w14:textId="77777777" w:rsidR="00A10B25" w:rsidRDefault="00A10B25">
            <w:pPr>
              <w:pStyle w:val="TAL"/>
              <w:rPr>
                <w:lang w:eastAsia="zh-CN"/>
              </w:rPr>
            </w:pPr>
          </w:p>
        </w:tc>
      </w:tr>
      <w:tr w:rsidR="00A10B25" w14:paraId="7E9876D1" w14:textId="77777777">
        <w:tc>
          <w:tcPr>
            <w:tcW w:w="1471" w:type="pct"/>
            <w:tcMar>
              <w:top w:w="0" w:type="dxa"/>
              <w:left w:w="108" w:type="dxa"/>
              <w:bottom w:w="0" w:type="dxa"/>
              <w:right w:w="108" w:type="dxa"/>
            </w:tcMar>
          </w:tcPr>
          <w:p w14:paraId="1BF58472" w14:textId="77777777" w:rsidR="00A10B25" w:rsidRDefault="00A10B25">
            <w:pPr>
              <w:pStyle w:val="TAL"/>
              <w:rPr>
                <w:lang w:eastAsia="zh-CN"/>
              </w:rPr>
            </w:pPr>
            <w:r>
              <w:rPr>
                <w:lang w:eastAsia="zh-CN"/>
              </w:rPr>
              <w:t>AVG_TRAFFIC_RATE</w:t>
            </w:r>
          </w:p>
        </w:tc>
        <w:tc>
          <w:tcPr>
            <w:tcW w:w="2868" w:type="pct"/>
            <w:tcMar>
              <w:top w:w="0" w:type="dxa"/>
              <w:left w:w="108" w:type="dxa"/>
              <w:bottom w:w="0" w:type="dxa"/>
              <w:right w:w="108" w:type="dxa"/>
            </w:tcMar>
          </w:tcPr>
          <w:p w14:paraId="34E6CCB3" w14:textId="77777777" w:rsidR="00A10B25" w:rsidRDefault="00A10B25">
            <w:pPr>
              <w:pStyle w:val="TAL"/>
              <w:rPr>
                <w:lang w:eastAsia="zh-CN"/>
              </w:rPr>
            </w:pPr>
            <w:r>
              <w:t>Indicates average traffic rate. This value is only applicable to DN_PERFORMANCE event.</w:t>
            </w:r>
          </w:p>
        </w:tc>
        <w:tc>
          <w:tcPr>
            <w:tcW w:w="661" w:type="pct"/>
          </w:tcPr>
          <w:p w14:paraId="1547CD37" w14:textId="77777777" w:rsidR="00A10B25" w:rsidRDefault="00A10B25">
            <w:pPr>
              <w:pStyle w:val="TAL"/>
              <w:rPr>
                <w:lang w:eastAsia="zh-CN"/>
              </w:rPr>
            </w:pPr>
          </w:p>
        </w:tc>
      </w:tr>
      <w:tr w:rsidR="00A10B25" w14:paraId="02A984FF" w14:textId="77777777">
        <w:tc>
          <w:tcPr>
            <w:tcW w:w="1471" w:type="pct"/>
            <w:tcMar>
              <w:top w:w="0" w:type="dxa"/>
              <w:left w:w="108" w:type="dxa"/>
              <w:bottom w:w="0" w:type="dxa"/>
              <w:right w:w="108" w:type="dxa"/>
            </w:tcMar>
          </w:tcPr>
          <w:p w14:paraId="3A1326D6" w14:textId="77777777" w:rsidR="00A10B25" w:rsidRDefault="00A10B25">
            <w:pPr>
              <w:pStyle w:val="TAL"/>
              <w:rPr>
                <w:lang w:eastAsia="zh-CN"/>
              </w:rPr>
            </w:pPr>
            <w:r>
              <w:rPr>
                <w:lang w:eastAsia="zh-CN"/>
              </w:rPr>
              <w:t>MAX_TRAFFIC_RATE</w:t>
            </w:r>
          </w:p>
        </w:tc>
        <w:tc>
          <w:tcPr>
            <w:tcW w:w="2868" w:type="pct"/>
            <w:tcMar>
              <w:top w:w="0" w:type="dxa"/>
              <w:left w:w="108" w:type="dxa"/>
              <w:bottom w:w="0" w:type="dxa"/>
              <w:right w:w="108" w:type="dxa"/>
            </w:tcMar>
          </w:tcPr>
          <w:p w14:paraId="0BC5C3C6" w14:textId="77777777" w:rsidR="00A10B25" w:rsidRDefault="00A10B25">
            <w:pPr>
              <w:pStyle w:val="TAL"/>
              <w:rPr>
                <w:lang w:eastAsia="zh-CN"/>
              </w:rPr>
            </w:pPr>
            <w:r>
              <w:t>Indicates maximum traffic rate. This value is only applicable to DN_PERFORMANCE event.</w:t>
            </w:r>
          </w:p>
        </w:tc>
        <w:tc>
          <w:tcPr>
            <w:tcW w:w="661" w:type="pct"/>
          </w:tcPr>
          <w:p w14:paraId="3CF44937" w14:textId="77777777" w:rsidR="00A10B25" w:rsidRDefault="00A10B25">
            <w:pPr>
              <w:pStyle w:val="TAL"/>
              <w:rPr>
                <w:lang w:eastAsia="zh-CN"/>
              </w:rPr>
            </w:pPr>
          </w:p>
        </w:tc>
      </w:tr>
      <w:tr w:rsidR="00A10B25" w14:paraId="05CCC51A" w14:textId="77777777">
        <w:tc>
          <w:tcPr>
            <w:tcW w:w="1471" w:type="pct"/>
            <w:tcMar>
              <w:top w:w="0" w:type="dxa"/>
              <w:left w:w="108" w:type="dxa"/>
              <w:bottom w:w="0" w:type="dxa"/>
              <w:right w:w="108" w:type="dxa"/>
            </w:tcMar>
          </w:tcPr>
          <w:p w14:paraId="3C5FDF16" w14:textId="77777777" w:rsidR="00A10B25" w:rsidRDefault="00A10B25">
            <w:pPr>
              <w:pStyle w:val="TAL"/>
              <w:rPr>
                <w:lang w:eastAsia="zh-CN"/>
              </w:rPr>
            </w:pPr>
            <w:r>
              <w:rPr>
                <w:lang w:eastAsia="zh-CN"/>
              </w:rPr>
              <w:t>AGG_TRAFFIC_RATE</w:t>
            </w:r>
          </w:p>
        </w:tc>
        <w:tc>
          <w:tcPr>
            <w:tcW w:w="2868" w:type="pct"/>
            <w:tcMar>
              <w:top w:w="0" w:type="dxa"/>
              <w:left w:w="108" w:type="dxa"/>
              <w:bottom w:w="0" w:type="dxa"/>
              <w:right w:w="108" w:type="dxa"/>
            </w:tcMar>
          </w:tcPr>
          <w:p w14:paraId="44FE2E87" w14:textId="77777777" w:rsidR="00A10B25" w:rsidRDefault="00A10B25">
            <w:pPr>
              <w:pStyle w:val="TAL"/>
            </w:pPr>
            <w:r>
              <w:t>Indicates aggregated traffic rate. This value is only applicable to DN_PERFORMANCE event.</w:t>
            </w:r>
          </w:p>
        </w:tc>
        <w:tc>
          <w:tcPr>
            <w:tcW w:w="661" w:type="pct"/>
          </w:tcPr>
          <w:p w14:paraId="664BD239" w14:textId="77777777" w:rsidR="00A10B25" w:rsidRDefault="00A10B25">
            <w:pPr>
              <w:pStyle w:val="TAL"/>
              <w:rPr>
                <w:lang w:eastAsia="zh-CN"/>
              </w:rPr>
            </w:pPr>
            <w:r>
              <w:rPr>
                <w:lang w:eastAsia="zh-CN"/>
              </w:rPr>
              <w:t>DnPerformanceExt_</w:t>
            </w:r>
            <w:r>
              <w:rPr>
                <w:rFonts w:hint="eastAsia"/>
                <w:lang w:eastAsia="zh-CN"/>
              </w:rPr>
              <w:t>AIML</w:t>
            </w:r>
          </w:p>
        </w:tc>
      </w:tr>
      <w:tr w:rsidR="00A10B25" w14:paraId="39465D10" w14:textId="77777777">
        <w:tc>
          <w:tcPr>
            <w:tcW w:w="1471" w:type="pct"/>
            <w:tcMar>
              <w:top w:w="0" w:type="dxa"/>
              <w:left w:w="108" w:type="dxa"/>
              <w:bottom w:w="0" w:type="dxa"/>
              <w:right w:w="108" w:type="dxa"/>
            </w:tcMar>
          </w:tcPr>
          <w:p w14:paraId="1BB23B9B" w14:textId="77777777" w:rsidR="00A10B25" w:rsidRDefault="00A10B25">
            <w:pPr>
              <w:pStyle w:val="TAL"/>
              <w:rPr>
                <w:lang w:eastAsia="zh-CN"/>
              </w:rPr>
            </w:pPr>
            <w:r>
              <w:rPr>
                <w:lang w:eastAsia="zh-CN"/>
              </w:rPr>
              <w:lastRenderedPageBreak/>
              <w:t>VAR_TRAFFIC_RATE</w:t>
            </w:r>
          </w:p>
        </w:tc>
        <w:tc>
          <w:tcPr>
            <w:tcW w:w="2868" w:type="pct"/>
            <w:tcMar>
              <w:top w:w="0" w:type="dxa"/>
              <w:left w:w="108" w:type="dxa"/>
              <w:bottom w:w="0" w:type="dxa"/>
              <w:right w:w="108" w:type="dxa"/>
            </w:tcMar>
          </w:tcPr>
          <w:p w14:paraId="1FA575E3" w14:textId="77777777" w:rsidR="00A10B25" w:rsidRDefault="00A10B25">
            <w:pPr>
              <w:pStyle w:val="TAL"/>
            </w:pPr>
            <w:r>
              <w:t>Indicates variance of traffic rate. This value is only applicable to DN_PERFORMANCE event.</w:t>
            </w:r>
          </w:p>
        </w:tc>
        <w:tc>
          <w:tcPr>
            <w:tcW w:w="661" w:type="pct"/>
          </w:tcPr>
          <w:p w14:paraId="29A8515E" w14:textId="77777777" w:rsidR="00A10B25" w:rsidRDefault="00A10B25">
            <w:pPr>
              <w:pStyle w:val="TAL"/>
              <w:rPr>
                <w:lang w:eastAsia="zh-CN"/>
              </w:rPr>
            </w:pPr>
            <w:r>
              <w:rPr>
                <w:lang w:eastAsia="zh-CN"/>
              </w:rPr>
              <w:t>DnPerformanceExt_</w:t>
            </w:r>
            <w:r>
              <w:rPr>
                <w:rFonts w:hint="eastAsia"/>
                <w:lang w:eastAsia="zh-CN"/>
              </w:rPr>
              <w:t>AIML</w:t>
            </w:r>
          </w:p>
        </w:tc>
      </w:tr>
      <w:tr w:rsidR="00A10B25" w14:paraId="0EF0DB9F" w14:textId="77777777">
        <w:tc>
          <w:tcPr>
            <w:tcW w:w="1471" w:type="pct"/>
            <w:tcMar>
              <w:top w:w="0" w:type="dxa"/>
              <w:left w:w="108" w:type="dxa"/>
              <w:bottom w:w="0" w:type="dxa"/>
              <w:right w:w="108" w:type="dxa"/>
            </w:tcMar>
          </w:tcPr>
          <w:p w14:paraId="5B6D0774" w14:textId="77777777" w:rsidR="00A10B25" w:rsidRDefault="00A10B25">
            <w:pPr>
              <w:pStyle w:val="TAL"/>
              <w:rPr>
                <w:lang w:eastAsia="zh-CN"/>
              </w:rPr>
            </w:pPr>
            <w:r>
              <w:rPr>
                <w:lang w:eastAsia="zh-CN"/>
              </w:rPr>
              <w:t>AVG_PACKET_DELAY</w:t>
            </w:r>
          </w:p>
        </w:tc>
        <w:tc>
          <w:tcPr>
            <w:tcW w:w="2868" w:type="pct"/>
            <w:tcMar>
              <w:top w:w="0" w:type="dxa"/>
              <w:left w:w="108" w:type="dxa"/>
              <w:bottom w:w="0" w:type="dxa"/>
              <w:right w:w="108" w:type="dxa"/>
            </w:tcMar>
          </w:tcPr>
          <w:p w14:paraId="00C3C26A" w14:textId="77777777" w:rsidR="00A10B25" w:rsidRDefault="00A10B25">
            <w:pPr>
              <w:pStyle w:val="TAL"/>
              <w:rPr>
                <w:lang w:eastAsia="zh-CN"/>
              </w:rPr>
            </w:pPr>
            <w:r>
              <w:t>Indicates average Packet Delay. This value is only applicable to DN_PERFORMANCE event.</w:t>
            </w:r>
          </w:p>
        </w:tc>
        <w:tc>
          <w:tcPr>
            <w:tcW w:w="661" w:type="pct"/>
          </w:tcPr>
          <w:p w14:paraId="710604BE" w14:textId="77777777" w:rsidR="00A10B25" w:rsidRDefault="00A10B25">
            <w:pPr>
              <w:pStyle w:val="TAL"/>
              <w:rPr>
                <w:lang w:eastAsia="zh-CN"/>
              </w:rPr>
            </w:pPr>
          </w:p>
        </w:tc>
      </w:tr>
      <w:tr w:rsidR="00A10B25" w14:paraId="5CFADC8F" w14:textId="77777777">
        <w:tc>
          <w:tcPr>
            <w:tcW w:w="1471" w:type="pct"/>
            <w:tcMar>
              <w:top w:w="0" w:type="dxa"/>
              <w:left w:w="108" w:type="dxa"/>
              <w:bottom w:w="0" w:type="dxa"/>
              <w:right w:w="108" w:type="dxa"/>
            </w:tcMar>
          </w:tcPr>
          <w:p w14:paraId="492625AC" w14:textId="77777777" w:rsidR="00A10B25" w:rsidRDefault="00A10B25">
            <w:pPr>
              <w:pStyle w:val="TAL"/>
              <w:rPr>
                <w:lang w:eastAsia="zh-CN"/>
              </w:rPr>
            </w:pPr>
            <w:r>
              <w:rPr>
                <w:lang w:eastAsia="zh-CN"/>
              </w:rPr>
              <w:t>MAX_PACKET_DELAY</w:t>
            </w:r>
          </w:p>
        </w:tc>
        <w:tc>
          <w:tcPr>
            <w:tcW w:w="2868" w:type="pct"/>
            <w:tcMar>
              <w:top w:w="0" w:type="dxa"/>
              <w:left w:w="108" w:type="dxa"/>
              <w:bottom w:w="0" w:type="dxa"/>
              <w:right w:w="108" w:type="dxa"/>
            </w:tcMar>
          </w:tcPr>
          <w:p w14:paraId="57801931" w14:textId="77777777" w:rsidR="00A10B25" w:rsidRDefault="00A10B25">
            <w:pPr>
              <w:pStyle w:val="TAL"/>
              <w:rPr>
                <w:lang w:eastAsia="zh-CN"/>
              </w:rPr>
            </w:pPr>
            <w:r>
              <w:t>Indicates maximum Packet Delay. This value is only applicable to DN_PERFORMANCE event.</w:t>
            </w:r>
          </w:p>
        </w:tc>
        <w:tc>
          <w:tcPr>
            <w:tcW w:w="661" w:type="pct"/>
          </w:tcPr>
          <w:p w14:paraId="6853413E" w14:textId="77777777" w:rsidR="00A10B25" w:rsidRDefault="00A10B25">
            <w:pPr>
              <w:pStyle w:val="TAL"/>
              <w:rPr>
                <w:lang w:eastAsia="zh-CN"/>
              </w:rPr>
            </w:pPr>
          </w:p>
        </w:tc>
      </w:tr>
      <w:tr w:rsidR="00A10B25" w14:paraId="6509F991" w14:textId="77777777">
        <w:tc>
          <w:tcPr>
            <w:tcW w:w="1471" w:type="pct"/>
            <w:tcMar>
              <w:top w:w="0" w:type="dxa"/>
              <w:left w:w="108" w:type="dxa"/>
              <w:bottom w:w="0" w:type="dxa"/>
              <w:right w:w="108" w:type="dxa"/>
            </w:tcMar>
          </w:tcPr>
          <w:p w14:paraId="1EEC4F84" w14:textId="77777777" w:rsidR="00A10B25" w:rsidRDefault="00A10B25">
            <w:pPr>
              <w:pStyle w:val="TAL"/>
              <w:rPr>
                <w:lang w:eastAsia="zh-CN"/>
              </w:rPr>
            </w:pPr>
            <w:r>
              <w:rPr>
                <w:lang w:eastAsia="zh-CN"/>
              </w:rPr>
              <w:t>VAR_PACKET_DELAY</w:t>
            </w:r>
          </w:p>
        </w:tc>
        <w:tc>
          <w:tcPr>
            <w:tcW w:w="2868" w:type="pct"/>
            <w:tcMar>
              <w:top w:w="0" w:type="dxa"/>
              <w:left w:w="108" w:type="dxa"/>
              <w:bottom w:w="0" w:type="dxa"/>
              <w:right w:w="108" w:type="dxa"/>
            </w:tcMar>
          </w:tcPr>
          <w:p w14:paraId="6AB32E34" w14:textId="77777777" w:rsidR="00A10B25" w:rsidRDefault="00A10B25">
            <w:pPr>
              <w:pStyle w:val="TAL"/>
            </w:pPr>
            <w:r>
              <w:t>Indicates variance of Packet Delay. This value is only applicable to DN_PERFORMANCE event.</w:t>
            </w:r>
          </w:p>
        </w:tc>
        <w:tc>
          <w:tcPr>
            <w:tcW w:w="661" w:type="pct"/>
          </w:tcPr>
          <w:p w14:paraId="77006405" w14:textId="77777777" w:rsidR="00A10B25" w:rsidRDefault="00A10B25">
            <w:pPr>
              <w:pStyle w:val="TAL"/>
              <w:rPr>
                <w:lang w:eastAsia="zh-CN"/>
              </w:rPr>
            </w:pPr>
            <w:r>
              <w:rPr>
                <w:lang w:eastAsia="zh-CN"/>
              </w:rPr>
              <w:t>DnPerformanceExt_</w:t>
            </w:r>
            <w:r>
              <w:rPr>
                <w:rFonts w:hint="eastAsia"/>
                <w:lang w:eastAsia="zh-CN"/>
              </w:rPr>
              <w:t>AIML</w:t>
            </w:r>
          </w:p>
        </w:tc>
      </w:tr>
      <w:tr w:rsidR="00A10B25" w14:paraId="098C50EF" w14:textId="77777777">
        <w:tc>
          <w:tcPr>
            <w:tcW w:w="1471" w:type="pct"/>
            <w:tcMar>
              <w:top w:w="0" w:type="dxa"/>
              <w:left w:w="108" w:type="dxa"/>
              <w:bottom w:w="0" w:type="dxa"/>
              <w:right w:w="108" w:type="dxa"/>
            </w:tcMar>
          </w:tcPr>
          <w:p w14:paraId="4AB8234A" w14:textId="77777777" w:rsidR="00A10B25" w:rsidRDefault="00A10B25">
            <w:pPr>
              <w:pStyle w:val="TAL"/>
              <w:rPr>
                <w:lang w:eastAsia="zh-CN"/>
              </w:rPr>
            </w:pPr>
            <w:r>
              <w:rPr>
                <w:lang w:eastAsia="zh-CN"/>
              </w:rPr>
              <w:t>AVG_PACKET_LOSS_RATE</w:t>
            </w:r>
          </w:p>
        </w:tc>
        <w:tc>
          <w:tcPr>
            <w:tcW w:w="2868" w:type="pct"/>
            <w:tcMar>
              <w:top w:w="0" w:type="dxa"/>
              <w:left w:w="108" w:type="dxa"/>
              <w:bottom w:w="0" w:type="dxa"/>
              <w:right w:w="108" w:type="dxa"/>
            </w:tcMar>
          </w:tcPr>
          <w:p w14:paraId="152EB224" w14:textId="77777777" w:rsidR="00A10B25" w:rsidRDefault="00A10B25">
            <w:pPr>
              <w:pStyle w:val="TAL"/>
              <w:rPr>
                <w:lang w:eastAsia="zh-CN"/>
              </w:rPr>
            </w:pPr>
            <w:r>
              <w:t>Indicates average Packet Loss Rate. This value is only applicable to DN_PERFORMANCE event.</w:t>
            </w:r>
          </w:p>
        </w:tc>
        <w:tc>
          <w:tcPr>
            <w:tcW w:w="661" w:type="pct"/>
          </w:tcPr>
          <w:p w14:paraId="3B74C3E7" w14:textId="77777777" w:rsidR="00A10B25" w:rsidRDefault="00A10B25">
            <w:pPr>
              <w:pStyle w:val="TAL"/>
              <w:rPr>
                <w:lang w:eastAsia="zh-CN"/>
              </w:rPr>
            </w:pPr>
          </w:p>
        </w:tc>
      </w:tr>
      <w:tr w:rsidR="00A10B25" w14:paraId="09090EDC" w14:textId="77777777">
        <w:tc>
          <w:tcPr>
            <w:tcW w:w="1471" w:type="pct"/>
            <w:tcMar>
              <w:top w:w="0" w:type="dxa"/>
              <w:left w:w="108" w:type="dxa"/>
              <w:bottom w:w="0" w:type="dxa"/>
              <w:right w:w="108" w:type="dxa"/>
            </w:tcMar>
          </w:tcPr>
          <w:p w14:paraId="67099665" w14:textId="77777777" w:rsidR="00A10B25" w:rsidRDefault="00A10B25">
            <w:pPr>
              <w:pStyle w:val="TAL"/>
              <w:rPr>
                <w:lang w:eastAsia="zh-CN"/>
              </w:rPr>
            </w:pPr>
            <w:r>
              <w:rPr>
                <w:lang w:eastAsia="zh-CN"/>
              </w:rPr>
              <w:t>MAX_PACKET_LOSS_RATE</w:t>
            </w:r>
          </w:p>
        </w:tc>
        <w:tc>
          <w:tcPr>
            <w:tcW w:w="2868" w:type="pct"/>
            <w:tcMar>
              <w:top w:w="0" w:type="dxa"/>
              <w:left w:w="108" w:type="dxa"/>
              <w:bottom w:w="0" w:type="dxa"/>
              <w:right w:w="108" w:type="dxa"/>
            </w:tcMar>
          </w:tcPr>
          <w:p w14:paraId="75DB9C05" w14:textId="77777777" w:rsidR="00A10B25" w:rsidRDefault="00A10B25">
            <w:pPr>
              <w:pStyle w:val="TAL"/>
            </w:pPr>
            <w:r>
              <w:t>Indicates maximum Packet Loss Rate. This value is only applicable to DN_PERFORMANCE event.</w:t>
            </w:r>
          </w:p>
        </w:tc>
        <w:tc>
          <w:tcPr>
            <w:tcW w:w="661" w:type="pct"/>
          </w:tcPr>
          <w:p w14:paraId="04FD6B46" w14:textId="77777777" w:rsidR="00A10B25" w:rsidRDefault="00A10B25">
            <w:pPr>
              <w:pStyle w:val="TAL"/>
              <w:rPr>
                <w:lang w:eastAsia="zh-CN"/>
              </w:rPr>
            </w:pPr>
            <w:r>
              <w:rPr>
                <w:lang w:eastAsia="zh-CN"/>
              </w:rPr>
              <w:t>DnPerformanceExt_</w:t>
            </w:r>
            <w:r>
              <w:rPr>
                <w:rFonts w:hint="eastAsia"/>
                <w:lang w:eastAsia="zh-CN"/>
              </w:rPr>
              <w:t>AIML</w:t>
            </w:r>
          </w:p>
        </w:tc>
      </w:tr>
      <w:tr w:rsidR="00A10B25" w14:paraId="7A54DC16" w14:textId="77777777">
        <w:tc>
          <w:tcPr>
            <w:tcW w:w="1471" w:type="pct"/>
            <w:tcMar>
              <w:top w:w="0" w:type="dxa"/>
              <w:left w:w="108" w:type="dxa"/>
              <w:bottom w:w="0" w:type="dxa"/>
              <w:right w:w="108" w:type="dxa"/>
            </w:tcMar>
          </w:tcPr>
          <w:p w14:paraId="3B8BCAC4" w14:textId="77777777" w:rsidR="00A10B25" w:rsidRDefault="00A10B25">
            <w:pPr>
              <w:pStyle w:val="TAL"/>
              <w:rPr>
                <w:lang w:eastAsia="zh-CN"/>
              </w:rPr>
            </w:pPr>
            <w:r>
              <w:rPr>
                <w:lang w:eastAsia="zh-CN"/>
              </w:rPr>
              <w:t>VAR_PACKET_LOSS_RATE</w:t>
            </w:r>
          </w:p>
        </w:tc>
        <w:tc>
          <w:tcPr>
            <w:tcW w:w="2868" w:type="pct"/>
            <w:tcMar>
              <w:top w:w="0" w:type="dxa"/>
              <w:left w:w="108" w:type="dxa"/>
              <w:bottom w:w="0" w:type="dxa"/>
              <w:right w:w="108" w:type="dxa"/>
            </w:tcMar>
          </w:tcPr>
          <w:p w14:paraId="7CEE878F" w14:textId="77777777" w:rsidR="00A10B25" w:rsidRDefault="00A10B25">
            <w:pPr>
              <w:pStyle w:val="TAL"/>
            </w:pPr>
            <w:r>
              <w:t>Indicates variance of Packet Loss Rate. This value is only applicable to DN_PERFORMANCE event.</w:t>
            </w:r>
          </w:p>
        </w:tc>
        <w:tc>
          <w:tcPr>
            <w:tcW w:w="661" w:type="pct"/>
          </w:tcPr>
          <w:p w14:paraId="65D3684A" w14:textId="77777777" w:rsidR="00A10B25" w:rsidRDefault="00A10B25">
            <w:pPr>
              <w:pStyle w:val="TAL"/>
              <w:rPr>
                <w:lang w:eastAsia="zh-CN"/>
              </w:rPr>
            </w:pPr>
            <w:r>
              <w:rPr>
                <w:lang w:eastAsia="zh-CN"/>
              </w:rPr>
              <w:t>DnPerformanceExt_</w:t>
            </w:r>
            <w:r>
              <w:rPr>
                <w:rFonts w:hint="eastAsia"/>
                <w:lang w:eastAsia="zh-CN"/>
              </w:rPr>
              <w:t>AIML</w:t>
            </w:r>
          </w:p>
        </w:tc>
      </w:tr>
      <w:tr w:rsidR="00A10B25" w14:paraId="768B76AD" w14:textId="77777777">
        <w:tc>
          <w:tcPr>
            <w:tcW w:w="1471" w:type="pct"/>
            <w:tcMar>
              <w:top w:w="0" w:type="dxa"/>
              <w:left w:w="108" w:type="dxa"/>
              <w:bottom w:w="0" w:type="dxa"/>
              <w:right w:w="108" w:type="dxa"/>
            </w:tcMar>
          </w:tcPr>
          <w:p w14:paraId="248C25D7" w14:textId="77777777" w:rsidR="00A10B25" w:rsidRDefault="00A10B25">
            <w:pPr>
              <w:pStyle w:val="TAL"/>
              <w:rPr>
                <w:lang w:eastAsia="zh-CN"/>
              </w:rPr>
            </w:pPr>
            <w:r>
              <w:rPr>
                <w:lang w:eastAsia="zh-CN"/>
              </w:rPr>
              <w:t>UE_LOCATION</w:t>
            </w:r>
          </w:p>
        </w:tc>
        <w:tc>
          <w:tcPr>
            <w:tcW w:w="2868" w:type="pct"/>
            <w:tcMar>
              <w:top w:w="0" w:type="dxa"/>
              <w:left w:w="108" w:type="dxa"/>
              <w:bottom w:w="0" w:type="dxa"/>
              <w:right w:w="108" w:type="dxa"/>
            </w:tcMar>
          </w:tcPr>
          <w:p w14:paraId="2F9467AC" w14:textId="77777777" w:rsidR="00A10B25" w:rsidRDefault="00A10B25">
            <w:pPr>
              <w:pStyle w:val="TAL"/>
            </w:pPr>
            <w:r>
              <w:t xml:space="preserve">Indicates UE location information. This value is only applicable to </w:t>
            </w:r>
            <w:r>
              <w:rPr>
                <w:rFonts w:hint="eastAsia"/>
              </w:rPr>
              <w:t>S</w:t>
            </w:r>
            <w:r>
              <w:t>ERVICE_EXPERIENCE event.</w:t>
            </w:r>
          </w:p>
        </w:tc>
        <w:tc>
          <w:tcPr>
            <w:tcW w:w="661" w:type="pct"/>
          </w:tcPr>
          <w:p w14:paraId="6B59FEA8" w14:textId="77777777" w:rsidR="00A10B25" w:rsidRDefault="00A10B25">
            <w:pPr>
              <w:pStyle w:val="TAL"/>
              <w:rPr>
                <w:lang w:eastAsia="zh-CN"/>
              </w:rPr>
            </w:pPr>
          </w:p>
        </w:tc>
      </w:tr>
      <w:tr w:rsidR="00A10B25" w14:paraId="4B83F3C0" w14:textId="77777777">
        <w:tc>
          <w:tcPr>
            <w:tcW w:w="1471" w:type="pct"/>
            <w:tcMar>
              <w:top w:w="0" w:type="dxa"/>
              <w:left w:w="108" w:type="dxa"/>
              <w:bottom w:w="0" w:type="dxa"/>
              <w:right w:w="108" w:type="dxa"/>
            </w:tcMar>
          </w:tcPr>
          <w:p w14:paraId="5F54D098" w14:textId="77777777" w:rsidR="00A10B25" w:rsidRDefault="00A10B25">
            <w:pPr>
              <w:pStyle w:val="TAL"/>
              <w:rPr>
                <w:lang w:eastAsia="zh-CN"/>
              </w:rPr>
            </w:pPr>
            <w:bookmarkStart w:id="8996" w:name="_Hlk99410261"/>
            <w:r>
              <w:rPr>
                <w:lang w:eastAsia="zh-CN"/>
              </w:rPr>
              <w:t>LIST_OF_HIGH_EXP_UE</w:t>
            </w:r>
            <w:bookmarkEnd w:id="8996"/>
          </w:p>
        </w:tc>
        <w:tc>
          <w:tcPr>
            <w:tcW w:w="2868" w:type="pct"/>
            <w:tcMar>
              <w:top w:w="0" w:type="dxa"/>
              <w:left w:w="108" w:type="dxa"/>
              <w:bottom w:w="0" w:type="dxa"/>
              <w:right w:w="108" w:type="dxa"/>
            </w:tcMar>
          </w:tcPr>
          <w:p w14:paraId="53D339E6" w14:textId="77777777" w:rsidR="00A10B25" w:rsidRDefault="00A10B25">
            <w:pPr>
              <w:pStyle w:val="TAL"/>
            </w:pPr>
            <w:r>
              <w:t xml:space="preserve">Indicates list of high experienced </w:t>
            </w:r>
            <w:r>
              <w:rPr>
                <w:lang w:eastAsia="zh-CN"/>
              </w:rPr>
              <w:t>UE. This value is only applicable to SM_CONGESTION event.</w:t>
            </w:r>
          </w:p>
        </w:tc>
        <w:tc>
          <w:tcPr>
            <w:tcW w:w="661" w:type="pct"/>
          </w:tcPr>
          <w:p w14:paraId="69610EDC" w14:textId="77777777" w:rsidR="00A10B25" w:rsidRDefault="00A10B25">
            <w:pPr>
              <w:pStyle w:val="TAL"/>
              <w:rPr>
                <w:lang w:eastAsia="zh-CN"/>
              </w:rPr>
            </w:pPr>
          </w:p>
        </w:tc>
      </w:tr>
      <w:tr w:rsidR="00A10B25" w14:paraId="1FAA94F0" w14:textId="77777777">
        <w:tc>
          <w:tcPr>
            <w:tcW w:w="1471" w:type="pct"/>
            <w:tcMar>
              <w:top w:w="0" w:type="dxa"/>
              <w:left w:w="108" w:type="dxa"/>
              <w:bottom w:w="0" w:type="dxa"/>
              <w:right w:w="108" w:type="dxa"/>
            </w:tcMar>
          </w:tcPr>
          <w:p w14:paraId="202AE0D2" w14:textId="77777777" w:rsidR="00A10B25" w:rsidRDefault="00A10B25">
            <w:pPr>
              <w:pStyle w:val="TAL"/>
              <w:rPr>
                <w:lang w:eastAsia="zh-CN"/>
              </w:rPr>
            </w:pPr>
            <w:r>
              <w:rPr>
                <w:lang w:eastAsia="zh-CN"/>
              </w:rPr>
              <w:t>LIST_OF_MEDIUM_EXP_UE</w:t>
            </w:r>
          </w:p>
        </w:tc>
        <w:tc>
          <w:tcPr>
            <w:tcW w:w="2868" w:type="pct"/>
            <w:tcMar>
              <w:top w:w="0" w:type="dxa"/>
              <w:left w:w="108" w:type="dxa"/>
              <w:bottom w:w="0" w:type="dxa"/>
              <w:right w:w="108" w:type="dxa"/>
            </w:tcMar>
          </w:tcPr>
          <w:p w14:paraId="27FFAA7D" w14:textId="77777777" w:rsidR="00A10B25" w:rsidRDefault="00A10B25">
            <w:pPr>
              <w:pStyle w:val="TAL"/>
            </w:pPr>
            <w:r>
              <w:t>Indicates list of medium experienced UE. This value is only applicable to SM_CONGESTION event.</w:t>
            </w:r>
          </w:p>
        </w:tc>
        <w:tc>
          <w:tcPr>
            <w:tcW w:w="661" w:type="pct"/>
          </w:tcPr>
          <w:p w14:paraId="163C3ADB" w14:textId="77777777" w:rsidR="00A10B25" w:rsidRDefault="00A10B25">
            <w:pPr>
              <w:pStyle w:val="TAL"/>
              <w:rPr>
                <w:lang w:eastAsia="zh-CN"/>
              </w:rPr>
            </w:pPr>
          </w:p>
        </w:tc>
      </w:tr>
      <w:tr w:rsidR="00A10B25" w14:paraId="21698DA9" w14:textId="77777777">
        <w:tc>
          <w:tcPr>
            <w:tcW w:w="1471" w:type="pct"/>
            <w:tcMar>
              <w:top w:w="0" w:type="dxa"/>
              <w:left w:w="108" w:type="dxa"/>
              <w:bottom w:w="0" w:type="dxa"/>
              <w:right w:w="108" w:type="dxa"/>
            </w:tcMar>
          </w:tcPr>
          <w:p w14:paraId="6E20898F" w14:textId="77777777" w:rsidR="00A10B25" w:rsidRDefault="00A10B25">
            <w:pPr>
              <w:pStyle w:val="TAL"/>
              <w:rPr>
                <w:lang w:eastAsia="zh-CN"/>
              </w:rPr>
            </w:pPr>
            <w:r>
              <w:rPr>
                <w:lang w:eastAsia="zh-CN"/>
              </w:rPr>
              <w:t>LIST_OF_LOW_EXP_UE</w:t>
            </w:r>
          </w:p>
        </w:tc>
        <w:tc>
          <w:tcPr>
            <w:tcW w:w="2868" w:type="pct"/>
            <w:tcMar>
              <w:top w:w="0" w:type="dxa"/>
              <w:left w:w="108" w:type="dxa"/>
              <w:bottom w:w="0" w:type="dxa"/>
              <w:right w:w="108" w:type="dxa"/>
            </w:tcMar>
          </w:tcPr>
          <w:p w14:paraId="714A3300" w14:textId="77777777" w:rsidR="00A10B25" w:rsidRDefault="00A10B25">
            <w:pPr>
              <w:pStyle w:val="TAL"/>
            </w:pPr>
            <w:r>
              <w:t>Indicates list of low experienced UE. This value is only applicable to SM_CONGESTION event.</w:t>
            </w:r>
          </w:p>
        </w:tc>
        <w:tc>
          <w:tcPr>
            <w:tcW w:w="661" w:type="pct"/>
          </w:tcPr>
          <w:p w14:paraId="4693712C" w14:textId="77777777" w:rsidR="00A10B25" w:rsidRDefault="00A10B25">
            <w:pPr>
              <w:pStyle w:val="TAL"/>
              <w:rPr>
                <w:lang w:eastAsia="zh-CN"/>
              </w:rPr>
            </w:pPr>
          </w:p>
        </w:tc>
      </w:tr>
      <w:tr w:rsidR="00A10B25" w14:paraId="05C2512D" w14:textId="77777777">
        <w:tc>
          <w:tcPr>
            <w:tcW w:w="1471" w:type="pct"/>
            <w:tcMar>
              <w:top w:w="0" w:type="dxa"/>
              <w:left w:w="108" w:type="dxa"/>
              <w:bottom w:w="0" w:type="dxa"/>
              <w:right w:w="108" w:type="dxa"/>
            </w:tcMar>
          </w:tcPr>
          <w:p w14:paraId="696C5CB7" w14:textId="77777777" w:rsidR="00A10B25" w:rsidRDefault="00A10B25">
            <w:pPr>
              <w:pStyle w:val="TAL"/>
              <w:rPr>
                <w:lang w:eastAsia="zh-CN"/>
              </w:rPr>
            </w:pPr>
            <w:r>
              <w:t>AVG_UL_PKT_DROP_RATE</w:t>
            </w:r>
          </w:p>
        </w:tc>
        <w:tc>
          <w:tcPr>
            <w:tcW w:w="2868" w:type="pct"/>
            <w:tcMar>
              <w:top w:w="0" w:type="dxa"/>
              <w:left w:w="108" w:type="dxa"/>
              <w:bottom w:w="0" w:type="dxa"/>
              <w:right w:w="108" w:type="dxa"/>
            </w:tcMar>
          </w:tcPr>
          <w:p w14:paraId="7D2DCDE4" w14:textId="77777777" w:rsidR="00A10B25" w:rsidRDefault="00A10B25">
            <w:pPr>
              <w:pStyle w:val="TAL"/>
            </w:pPr>
            <w:r>
              <w:t>Indicates average uplink packet drop rate on GTP-U path on N3. This value is only applicable to RED_TRANS_EXP event.</w:t>
            </w:r>
          </w:p>
        </w:tc>
        <w:tc>
          <w:tcPr>
            <w:tcW w:w="661" w:type="pct"/>
          </w:tcPr>
          <w:p w14:paraId="614095DE" w14:textId="77777777" w:rsidR="00A10B25" w:rsidRDefault="00A10B25">
            <w:pPr>
              <w:pStyle w:val="TAL"/>
              <w:rPr>
                <w:lang w:eastAsia="zh-CN"/>
              </w:rPr>
            </w:pPr>
          </w:p>
        </w:tc>
      </w:tr>
      <w:tr w:rsidR="00A10B25" w14:paraId="7DDBF9D4" w14:textId="77777777">
        <w:tc>
          <w:tcPr>
            <w:tcW w:w="1471" w:type="pct"/>
            <w:tcMar>
              <w:top w:w="0" w:type="dxa"/>
              <w:left w:w="108" w:type="dxa"/>
              <w:bottom w:w="0" w:type="dxa"/>
              <w:right w:w="108" w:type="dxa"/>
            </w:tcMar>
          </w:tcPr>
          <w:p w14:paraId="0AB0D191" w14:textId="77777777" w:rsidR="00A10B25" w:rsidRDefault="00A10B25">
            <w:pPr>
              <w:pStyle w:val="TAL"/>
              <w:rPr>
                <w:lang w:eastAsia="zh-CN"/>
              </w:rPr>
            </w:pPr>
            <w:r>
              <w:t>VAR_UL_PKT_DROP_RATE</w:t>
            </w:r>
          </w:p>
        </w:tc>
        <w:tc>
          <w:tcPr>
            <w:tcW w:w="2868" w:type="pct"/>
            <w:tcMar>
              <w:top w:w="0" w:type="dxa"/>
              <w:left w:w="108" w:type="dxa"/>
              <w:bottom w:w="0" w:type="dxa"/>
              <w:right w:w="108" w:type="dxa"/>
            </w:tcMar>
          </w:tcPr>
          <w:p w14:paraId="3C644D37" w14:textId="77777777" w:rsidR="00A10B25" w:rsidRDefault="00A10B25">
            <w:pPr>
              <w:pStyle w:val="TAL"/>
            </w:pPr>
            <w:r>
              <w:t>Indicates variance of uplink packet drop rate on GTP-U path on N3. This value is only applicable to RED_TRANS_EXP event.</w:t>
            </w:r>
          </w:p>
        </w:tc>
        <w:tc>
          <w:tcPr>
            <w:tcW w:w="661" w:type="pct"/>
          </w:tcPr>
          <w:p w14:paraId="6EF310E4" w14:textId="77777777" w:rsidR="00A10B25" w:rsidRDefault="00A10B25">
            <w:pPr>
              <w:pStyle w:val="TAL"/>
              <w:rPr>
                <w:lang w:eastAsia="zh-CN"/>
              </w:rPr>
            </w:pPr>
          </w:p>
        </w:tc>
      </w:tr>
      <w:tr w:rsidR="00A10B25" w14:paraId="0F749C4B" w14:textId="77777777">
        <w:tc>
          <w:tcPr>
            <w:tcW w:w="1471" w:type="pct"/>
            <w:tcMar>
              <w:top w:w="0" w:type="dxa"/>
              <w:left w:w="108" w:type="dxa"/>
              <w:bottom w:w="0" w:type="dxa"/>
              <w:right w:w="108" w:type="dxa"/>
            </w:tcMar>
          </w:tcPr>
          <w:p w14:paraId="7B0C35B8" w14:textId="77777777" w:rsidR="00A10B25" w:rsidRDefault="00A10B25">
            <w:pPr>
              <w:pStyle w:val="TAL"/>
              <w:rPr>
                <w:lang w:eastAsia="zh-CN"/>
              </w:rPr>
            </w:pPr>
            <w:r>
              <w:t>AVG_DL_PKT_DROP_RATE</w:t>
            </w:r>
          </w:p>
        </w:tc>
        <w:tc>
          <w:tcPr>
            <w:tcW w:w="2868" w:type="pct"/>
            <w:tcMar>
              <w:top w:w="0" w:type="dxa"/>
              <w:left w:w="108" w:type="dxa"/>
              <w:bottom w:w="0" w:type="dxa"/>
              <w:right w:w="108" w:type="dxa"/>
            </w:tcMar>
          </w:tcPr>
          <w:p w14:paraId="1E75CFDA" w14:textId="77777777" w:rsidR="00A10B25" w:rsidRDefault="00A10B25">
            <w:pPr>
              <w:pStyle w:val="TAL"/>
            </w:pPr>
            <w:r>
              <w:t>Indicates average downlink packet drop rate on GTP-U path on N3. This value is only applicable to RED_TRANS_EXP event.</w:t>
            </w:r>
          </w:p>
        </w:tc>
        <w:tc>
          <w:tcPr>
            <w:tcW w:w="661" w:type="pct"/>
          </w:tcPr>
          <w:p w14:paraId="28B3A95A" w14:textId="77777777" w:rsidR="00A10B25" w:rsidRDefault="00A10B25">
            <w:pPr>
              <w:pStyle w:val="TAL"/>
              <w:rPr>
                <w:lang w:eastAsia="zh-CN"/>
              </w:rPr>
            </w:pPr>
          </w:p>
        </w:tc>
      </w:tr>
      <w:tr w:rsidR="00A10B25" w14:paraId="77B6B7AC" w14:textId="77777777">
        <w:tc>
          <w:tcPr>
            <w:tcW w:w="1471" w:type="pct"/>
            <w:tcMar>
              <w:top w:w="0" w:type="dxa"/>
              <w:left w:w="108" w:type="dxa"/>
              <w:bottom w:w="0" w:type="dxa"/>
              <w:right w:w="108" w:type="dxa"/>
            </w:tcMar>
          </w:tcPr>
          <w:p w14:paraId="079C9E60" w14:textId="77777777" w:rsidR="00A10B25" w:rsidRDefault="00A10B25">
            <w:pPr>
              <w:pStyle w:val="TAL"/>
              <w:rPr>
                <w:lang w:eastAsia="zh-CN"/>
              </w:rPr>
            </w:pPr>
            <w:r>
              <w:t>VAR_DL_PKT_DROP_RATE</w:t>
            </w:r>
          </w:p>
        </w:tc>
        <w:tc>
          <w:tcPr>
            <w:tcW w:w="2868" w:type="pct"/>
            <w:tcMar>
              <w:top w:w="0" w:type="dxa"/>
              <w:left w:w="108" w:type="dxa"/>
              <w:bottom w:w="0" w:type="dxa"/>
              <w:right w:w="108" w:type="dxa"/>
            </w:tcMar>
          </w:tcPr>
          <w:p w14:paraId="1E747409" w14:textId="77777777" w:rsidR="00A10B25" w:rsidRDefault="00A10B25">
            <w:pPr>
              <w:pStyle w:val="TAL"/>
            </w:pPr>
            <w:r>
              <w:t>Indicates variance of downlink packet drop rate on GTP-U path on N3. This value is only applicable to RED_TRANS_EXP event.</w:t>
            </w:r>
          </w:p>
        </w:tc>
        <w:tc>
          <w:tcPr>
            <w:tcW w:w="661" w:type="pct"/>
          </w:tcPr>
          <w:p w14:paraId="749448B8" w14:textId="77777777" w:rsidR="00A10B25" w:rsidRDefault="00A10B25">
            <w:pPr>
              <w:pStyle w:val="TAL"/>
              <w:rPr>
                <w:lang w:eastAsia="zh-CN"/>
              </w:rPr>
            </w:pPr>
          </w:p>
        </w:tc>
      </w:tr>
      <w:tr w:rsidR="00AD5F95" w14:paraId="33DE0630" w14:textId="77777777">
        <w:tc>
          <w:tcPr>
            <w:tcW w:w="1471" w:type="pct"/>
            <w:tcMar>
              <w:top w:w="0" w:type="dxa"/>
              <w:left w:w="108" w:type="dxa"/>
              <w:bottom w:w="0" w:type="dxa"/>
              <w:right w:w="108" w:type="dxa"/>
            </w:tcMar>
          </w:tcPr>
          <w:p w14:paraId="37B13300" w14:textId="77777777" w:rsidR="00AD5F95" w:rsidRDefault="00AD5F95" w:rsidP="00AD5F95">
            <w:pPr>
              <w:pStyle w:val="TAL"/>
            </w:pPr>
            <w:r>
              <w:t>AVG_UL_PKT_DELAY</w:t>
            </w:r>
          </w:p>
        </w:tc>
        <w:tc>
          <w:tcPr>
            <w:tcW w:w="2868" w:type="pct"/>
            <w:tcMar>
              <w:top w:w="0" w:type="dxa"/>
              <w:left w:w="108" w:type="dxa"/>
              <w:bottom w:w="0" w:type="dxa"/>
              <w:right w:w="108" w:type="dxa"/>
            </w:tcMar>
          </w:tcPr>
          <w:p w14:paraId="23FE6809" w14:textId="77777777" w:rsidR="00AD5F95" w:rsidRDefault="00AD5F95" w:rsidP="00AD5F95">
            <w:pPr>
              <w:pStyle w:val="TAL"/>
            </w:pPr>
            <w:r>
              <w:t>Indicates average uplink packet delay round trip on GTP-U path on N3. This value is only applicable to RED_TRANS_EXP event.</w:t>
            </w:r>
          </w:p>
        </w:tc>
        <w:tc>
          <w:tcPr>
            <w:tcW w:w="661" w:type="pct"/>
          </w:tcPr>
          <w:p w14:paraId="71E9DD5C" w14:textId="77777777" w:rsidR="00AD5F95" w:rsidRDefault="00AD5F95" w:rsidP="00AD5F95">
            <w:pPr>
              <w:pStyle w:val="TAL"/>
              <w:rPr>
                <w:lang w:eastAsia="zh-CN"/>
              </w:rPr>
            </w:pPr>
          </w:p>
        </w:tc>
      </w:tr>
      <w:tr w:rsidR="00AD5F95" w14:paraId="2D208C46" w14:textId="77777777">
        <w:tc>
          <w:tcPr>
            <w:tcW w:w="1471" w:type="pct"/>
            <w:tcMar>
              <w:top w:w="0" w:type="dxa"/>
              <w:left w:w="108" w:type="dxa"/>
              <w:bottom w:w="0" w:type="dxa"/>
              <w:right w:w="108" w:type="dxa"/>
            </w:tcMar>
          </w:tcPr>
          <w:p w14:paraId="67A02B56" w14:textId="77777777" w:rsidR="00AD5F95" w:rsidRDefault="00AD5F95" w:rsidP="00AD5F95">
            <w:pPr>
              <w:pStyle w:val="TAL"/>
            </w:pPr>
            <w:r>
              <w:t>VAR_UL_PKT_DELAY</w:t>
            </w:r>
          </w:p>
        </w:tc>
        <w:tc>
          <w:tcPr>
            <w:tcW w:w="2868" w:type="pct"/>
            <w:tcMar>
              <w:top w:w="0" w:type="dxa"/>
              <w:left w:w="108" w:type="dxa"/>
              <w:bottom w:w="0" w:type="dxa"/>
              <w:right w:w="108" w:type="dxa"/>
            </w:tcMar>
          </w:tcPr>
          <w:p w14:paraId="06AB8286" w14:textId="77777777" w:rsidR="00AD5F95" w:rsidRDefault="00AD5F95" w:rsidP="00AD5F95">
            <w:pPr>
              <w:pStyle w:val="TAL"/>
            </w:pPr>
            <w:r>
              <w:t>Indicates variance uplink packet delay round trip on GTP-U path on N3. This value is only applicable to RED_TRANS_EXP event.</w:t>
            </w:r>
          </w:p>
        </w:tc>
        <w:tc>
          <w:tcPr>
            <w:tcW w:w="661" w:type="pct"/>
          </w:tcPr>
          <w:p w14:paraId="7CBB00F4" w14:textId="77777777" w:rsidR="00AD5F95" w:rsidRDefault="00AD5F95" w:rsidP="00AD5F95">
            <w:pPr>
              <w:pStyle w:val="TAL"/>
              <w:rPr>
                <w:lang w:eastAsia="zh-CN"/>
              </w:rPr>
            </w:pPr>
          </w:p>
        </w:tc>
      </w:tr>
      <w:tr w:rsidR="00AD5F95" w14:paraId="4B76C5F0" w14:textId="77777777">
        <w:tc>
          <w:tcPr>
            <w:tcW w:w="1471" w:type="pct"/>
            <w:tcMar>
              <w:top w:w="0" w:type="dxa"/>
              <w:left w:w="108" w:type="dxa"/>
              <w:bottom w:w="0" w:type="dxa"/>
              <w:right w:w="108" w:type="dxa"/>
            </w:tcMar>
          </w:tcPr>
          <w:p w14:paraId="54B2282E" w14:textId="77777777" w:rsidR="00AD5F95" w:rsidRDefault="00AD5F95" w:rsidP="00AD5F95">
            <w:pPr>
              <w:pStyle w:val="TAL"/>
            </w:pPr>
            <w:r>
              <w:t>AVG_DL_PKT_DELAY</w:t>
            </w:r>
          </w:p>
        </w:tc>
        <w:tc>
          <w:tcPr>
            <w:tcW w:w="2868" w:type="pct"/>
            <w:tcMar>
              <w:top w:w="0" w:type="dxa"/>
              <w:left w:w="108" w:type="dxa"/>
              <w:bottom w:w="0" w:type="dxa"/>
              <w:right w:w="108" w:type="dxa"/>
            </w:tcMar>
          </w:tcPr>
          <w:p w14:paraId="51BC42E1" w14:textId="77777777" w:rsidR="00AD5F95" w:rsidRDefault="00AD5F95" w:rsidP="00AD5F95">
            <w:pPr>
              <w:pStyle w:val="TAL"/>
            </w:pPr>
            <w:r>
              <w:t>Indicates average downlink packet delay round trip on GTP-U path on N3. This value is only applicable to RED_TRANS_EXP event.</w:t>
            </w:r>
          </w:p>
        </w:tc>
        <w:tc>
          <w:tcPr>
            <w:tcW w:w="661" w:type="pct"/>
          </w:tcPr>
          <w:p w14:paraId="3E5E873B" w14:textId="77777777" w:rsidR="00AD5F95" w:rsidRDefault="00AD5F95" w:rsidP="00AD5F95">
            <w:pPr>
              <w:pStyle w:val="TAL"/>
              <w:rPr>
                <w:lang w:eastAsia="zh-CN"/>
              </w:rPr>
            </w:pPr>
          </w:p>
        </w:tc>
      </w:tr>
      <w:tr w:rsidR="00AD5F95" w14:paraId="14D0B473" w14:textId="77777777">
        <w:tc>
          <w:tcPr>
            <w:tcW w:w="1471" w:type="pct"/>
            <w:tcMar>
              <w:top w:w="0" w:type="dxa"/>
              <w:left w:w="108" w:type="dxa"/>
              <w:bottom w:w="0" w:type="dxa"/>
              <w:right w:w="108" w:type="dxa"/>
            </w:tcMar>
          </w:tcPr>
          <w:p w14:paraId="26946A6C" w14:textId="77777777" w:rsidR="00AD5F95" w:rsidRDefault="00AD5F95" w:rsidP="00AD5F95">
            <w:pPr>
              <w:pStyle w:val="TAL"/>
            </w:pPr>
            <w:r>
              <w:t>VAR_DL_PKT_DELAY</w:t>
            </w:r>
          </w:p>
        </w:tc>
        <w:tc>
          <w:tcPr>
            <w:tcW w:w="2868" w:type="pct"/>
            <w:tcMar>
              <w:top w:w="0" w:type="dxa"/>
              <w:left w:w="108" w:type="dxa"/>
              <w:bottom w:w="0" w:type="dxa"/>
              <w:right w:w="108" w:type="dxa"/>
            </w:tcMar>
          </w:tcPr>
          <w:p w14:paraId="26C369BB" w14:textId="77777777" w:rsidR="00AD5F95" w:rsidRDefault="00AD5F95" w:rsidP="00AD5F95">
            <w:pPr>
              <w:pStyle w:val="TAL"/>
            </w:pPr>
            <w:r>
              <w:t>Indicates variance downlink packet delay round trip on GTP-U path on N3. This value is only applicable to RED_TRANS_EXP event.</w:t>
            </w:r>
          </w:p>
        </w:tc>
        <w:tc>
          <w:tcPr>
            <w:tcW w:w="661" w:type="pct"/>
          </w:tcPr>
          <w:p w14:paraId="31BC0320" w14:textId="77777777" w:rsidR="00AD5F95" w:rsidRDefault="00AD5F95" w:rsidP="00AD5F95">
            <w:pPr>
              <w:pStyle w:val="TAL"/>
              <w:rPr>
                <w:lang w:eastAsia="zh-CN"/>
              </w:rPr>
            </w:pPr>
          </w:p>
        </w:tc>
      </w:tr>
      <w:tr w:rsidR="00A10B25" w14:paraId="47B8085E" w14:textId="77777777">
        <w:tc>
          <w:tcPr>
            <w:tcW w:w="1471" w:type="pct"/>
            <w:tcMar>
              <w:top w:w="0" w:type="dxa"/>
              <w:left w:w="108" w:type="dxa"/>
              <w:bottom w:w="0" w:type="dxa"/>
              <w:right w:w="108" w:type="dxa"/>
            </w:tcMar>
          </w:tcPr>
          <w:p w14:paraId="25A760BE" w14:textId="77777777" w:rsidR="00A10B25" w:rsidRDefault="00A10B25">
            <w:pPr>
              <w:pStyle w:val="TAL"/>
            </w:pPr>
            <w:r>
              <w:rPr>
                <w:lang w:eastAsia="zh-CN"/>
              </w:rPr>
              <w:t>TRAFFIC_MATCH_TD</w:t>
            </w:r>
          </w:p>
        </w:tc>
        <w:tc>
          <w:tcPr>
            <w:tcW w:w="2868" w:type="pct"/>
            <w:tcMar>
              <w:top w:w="0" w:type="dxa"/>
              <w:left w:w="108" w:type="dxa"/>
              <w:bottom w:w="0" w:type="dxa"/>
              <w:right w:w="108" w:type="dxa"/>
            </w:tcMar>
          </w:tcPr>
          <w:p w14:paraId="21371F02" w14:textId="77777777" w:rsidR="00A10B25" w:rsidRDefault="00A10B25">
            <w:pPr>
              <w:pStyle w:val="TAL"/>
            </w:pPr>
            <w:r>
              <w:t>Identifies traffic that matches Traffic Descriptor provided by the consumer. This value is only applicable to PDU_SESSION_TRAFFIC event.</w:t>
            </w:r>
          </w:p>
        </w:tc>
        <w:tc>
          <w:tcPr>
            <w:tcW w:w="661" w:type="pct"/>
          </w:tcPr>
          <w:p w14:paraId="5AAD5C3A" w14:textId="77777777" w:rsidR="00A10B25" w:rsidRDefault="00A10B25">
            <w:pPr>
              <w:pStyle w:val="TAL"/>
              <w:rPr>
                <w:lang w:eastAsia="zh-CN"/>
              </w:rPr>
            </w:pPr>
            <w:r>
              <w:rPr>
                <w:lang w:eastAsia="zh-CN"/>
              </w:rPr>
              <w:t>PduSesTraffic</w:t>
            </w:r>
          </w:p>
        </w:tc>
      </w:tr>
      <w:tr w:rsidR="00A10B25" w14:paraId="63E666A3" w14:textId="77777777">
        <w:tc>
          <w:tcPr>
            <w:tcW w:w="1471" w:type="pct"/>
            <w:tcMar>
              <w:top w:w="0" w:type="dxa"/>
              <w:left w:w="108" w:type="dxa"/>
              <w:bottom w:w="0" w:type="dxa"/>
              <w:right w:w="108" w:type="dxa"/>
            </w:tcMar>
          </w:tcPr>
          <w:p w14:paraId="7A25DC2E" w14:textId="77777777" w:rsidR="00A10B25" w:rsidRDefault="00A10B25">
            <w:pPr>
              <w:pStyle w:val="TAL"/>
              <w:rPr>
                <w:lang w:eastAsia="zh-CN"/>
              </w:rPr>
            </w:pPr>
            <w:r>
              <w:rPr>
                <w:lang w:eastAsia="zh-CN"/>
              </w:rPr>
              <w:t>TRAFFIC_UNMATCH_TD</w:t>
            </w:r>
          </w:p>
        </w:tc>
        <w:tc>
          <w:tcPr>
            <w:tcW w:w="2868" w:type="pct"/>
            <w:tcMar>
              <w:top w:w="0" w:type="dxa"/>
              <w:left w:w="108" w:type="dxa"/>
              <w:bottom w:w="0" w:type="dxa"/>
              <w:right w:w="108" w:type="dxa"/>
            </w:tcMar>
          </w:tcPr>
          <w:p w14:paraId="197CCF58" w14:textId="77777777" w:rsidR="00A10B25" w:rsidRDefault="00A10B25">
            <w:pPr>
              <w:pStyle w:val="TAL"/>
            </w:pPr>
            <w:r>
              <w:t>Identifies traffic that does not match Traffic Descriptor provided by the consumer. This value is only applicable to PDU_SESSION_TRAFFIC event.</w:t>
            </w:r>
          </w:p>
        </w:tc>
        <w:tc>
          <w:tcPr>
            <w:tcW w:w="661" w:type="pct"/>
          </w:tcPr>
          <w:p w14:paraId="642B158B" w14:textId="77777777" w:rsidR="00A10B25" w:rsidRDefault="00A10B25">
            <w:pPr>
              <w:pStyle w:val="TAL"/>
              <w:rPr>
                <w:lang w:eastAsia="zh-CN"/>
              </w:rPr>
            </w:pPr>
            <w:r>
              <w:rPr>
                <w:lang w:eastAsia="zh-CN"/>
              </w:rPr>
              <w:t>PduSesTraffic</w:t>
            </w:r>
          </w:p>
        </w:tc>
      </w:tr>
      <w:tr w:rsidR="00A10B25" w14:paraId="0C6C51AB" w14:textId="77777777">
        <w:tc>
          <w:tcPr>
            <w:tcW w:w="1471" w:type="pct"/>
            <w:tcMar>
              <w:top w:w="0" w:type="dxa"/>
              <w:left w:w="108" w:type="dxa"/>
              <w:bottom w:w="0" w:type="dxa"/>
              <w:right w:w="108" w:type="dxa"/>
            </w:tcMar>
          </w:tcPr>
          <w:p w14:paraId="18FC5FB2" w14:textId="77777777" w:rsidR="00A10B25" w:rsidRDefault="00A10B25">
            <w:pPr>
              <w:pStyle w:val="TAL"/>
            </w:pPr>
            <w:r>
              <w:rPr>
                <w:lang w:eastAsia="zh-CN"/>
              </w:rPr>
              <w:t>NUMBER_OF_</w:t>
            </w:r>
            <w:r>
              <w:rPr>
                <w:rFonts w:hint="eastAsia"/>
                <w:lang w:eastAsia="zh-CN"/>
              </w:rPr>
              <w:t>U</w:t>
            </w:r>
            <w:r>
              <w:rPr>
                <w:lang w:eastAsia="zh-CN"/>
              </w:rPr>
              <w:t>E</w:t>
            </w:r>
          </w:p>
        </w:tc>
        <w:tc>
          <w:tcPr>
            <w:tcW w:w="2868" w:type="pct"/>
            <w:tcMar>
              <w:top w:w="0" w:type="dxa"/>
              <w:left w:w="108" w:type="dxa"/>
              <w:bottom w:w="0" w:type="dxa"/>
              <w:right w:w="108" w:type="dxa"/>
            </w:tcMar>
          </w:tcPr>
          <w:p w14:paraId="24EFF965" w14:textId="77777777" w:rsidR="00A10B25" w:rsidRDefault="00A10B25">
            <w:pPr>
              <w:pStyle w:val="TAL"/>
            </w:pPr>
            <w:r>
              <w:t xml:space="preserve">Indicates the </w:t>
            </w:r>
            <w:r>
              <w:rPr>
                <w:lang w:eastAsia="zh-CN"/>
              </w:rPr>
              <w:t>number of UEs</w:t>
            </w:r>
            <w:r>
              <w:t>. This value is only applicable to DN_PERFORMANCE event.</w:t>
            </w:r>
          </w:p>
        </w:tc>
        <w:tc>
          <w:tcPr>
            <w:tcW w:w="661" w:type="pct"/>
          </w:tcPr>
          <w:p w14:paraId="253F6758" w14:textId="77777777" w:rsidR="00A10B25" w:rsidRDefault="00A10B25">
            <w:pPr>
              <w:pStyle w:val="TAL"/>
              <w:rPr>
                <w:lang w:eastAsia="zh-CN"/>
              </w:rPr>
            </w:pPr>
            <w:r>
              <w:rPr>
                <w:lang w:eastAsia="zh-CN"/>
              </w:rPr>
              <w:t>DnPerformanceExt_eNA</w:t>
            </w:r>
          </w:p>
        </w:tc>
      </w:tr>
      <w:tr w:rsidR="00640768" w14:paraId="53E58985" w14:textId="77777777">
        <w:tc>
          <w:tcPr>
            <w:tcW w:w="1471" w:type="pct"/>
            <w:tcMar>
              <w:top w:w="0" w:type="dxa"/>
              <w:left w:w="108" w:type="dxa"/>
              <w:bottom w:w="0" w:type="dxa"/>
              <w:right w:w="108" w:type="dxa"/>
            </w:tcMar>
          </w:tcPr>
          <w:p w14:paraId="3285D787" w14:textId="77777777" w:rsidR="00640768" w:rsidRDefault="00640768" w:rsidP="00640768">
            <w:pPr>
              <w:pStyle w:val="TAL"/>
              <w:rPr>
                <w:lang w:eastAsia="zh-CN"/>
              </w:rPr>
            </w:pPr>
            <w:r>
              <w:rPr>
                <w:rFonts w:hint="eastAsia"/>
                <w:lang w:eastAsia="zh-CN"/>
              </w:rPr>
              <w:t>U</w:t>
            </w:r>
            <w:r>
              <w:rPr>
                <w:lang w:eastAsia="zh-CN"/>
              </w:rPr>
              <w:t>E_GEOG_DIST</w:t>
            </w:r>
          </w:p>
        </w:tc>
        <w:tc>
          <w:tcPr>
            <w:tcW w:w="2868" w:type="pct"/>
            <w:tcMar>
              <w:top w:w="0" w:type="dxa"/>
              <w:left w:w="108" w:type="dxa"/>
              <w:bottom w:w="0" w:type="dxa"/>
              <w:right w:w="108" w:type="dxa"/>
            </w:tcMar>
          </w:tcPr>
          <w:p w14:paraId="53AA17AE" w14:textId="77777777" w:rsidR="00640768" w:rsidRDefault="00640768" w:rsidP="00640768">
            <w:pPr>
              <w:pStyle w:val="TAL"/>
            </w:pPr>
            <w:r>
              <w:t xml:space="preserve">Indicates the geographical distribution of the UEs that can be selected by the AF for application service. This value is only applicable to UE_MOBILITY and </w:t>
            </w:r>
            <w:r>
              <w:rPr>
                <w:lang w:eastAsia="zh-CN"/>
              </w:rPr>
              <w:t>E2E_DATA_VOL_TRANS_TIME</w:t>
            </w:r>
            <w:r>
              <w:t xml:space="preserve"> events.</w:t>
            </w:r>
          </w:p>
        </w:tc>
        <w:tc>
          <w:tcPr>
            <w:tcW w:w="661" w:type="pct"/>
          </w:tcPr>
          <w:p w14:paraId="3F5B4C8C" w14:textId="77777777" w:rsidR="00640768" w:rsidRDefault="00640768" w:rsidP="00640768">
            <w:pPr>
              <w:pStyle w:val="TAL"/>
              <w:rPr>
                <w:lang w:eastAsia="zh-CN"/>
              </w:rPr>
            </w:pPr>
            <w:r>
              <w:t>UeMobility</w:t>
            </w:r>
            <w:r>
              <w:rPr>
                <w:lang w:eastAsia="zh-CN"/>
              </w:rPr>
              <w:t>Ext2_eNA</w:t>
            </w:r>
          </w:p>
          <w:p w14:paraId="2C9464A3" w14:textId="77777777" w:rsidR="00640768" w:rsidRDefault="00640768" w:rsidP="00640768">
            <w:pPr>
              <w:pStyle w:val="TAL"/>
              <w:rPr>
                <w:lang w:eastAsia="zh-CN"/>
              </w:rPr>
            </w:pPr>
            <w:r>
              <w:rPr>
                <w:lang w:eastAsia="zh-CN"/>
              </w:rPr>
              <w:t>E2eDataVolTransTime</w:t>
            </w:r>
          </w:p>
        </w:tc>
      </w:tr>
      <w:tr w:rsidR="00A10B25" w14:paraId="29E5AAC9" w14:textId="77777777">
        <w:tc>
          <w:tcPr>
            <w:tcW w:w="1471" w:type="pct"/>
            <w:tcMar>
              <w:top w:w="0" w:type="dxa"/>
              <w:left w:w="108" w:type="dxa"/>
              <w:bottom w:w="0" w:type="dxa"/>
              <w:right w:w="108" w:type="dxa"/>
            </w:tcMar>
          </w:tcPr>
          <w:p w14:paraId="27D99806" w14:textId="77777777" w:rsidR="00A10B25" w:rsidRDefault="00A10B25">
            <w:pPr>
              <w:pStyle w:val="TAL"/>
              <w:rPr>
                <w:lang w:eastAsia="zh-CN"/>
              </w:rPr>
            </w:pPr>
            <w:r>
              <w:rPr>
                <w:lang w:val="en-US"/>
              </w:rPr>
              <w:t>UE_DIRECTION</w:t>
            </w:r>
          </w:p>
        </w:tc>
        <w:tc>
          <w:tcPr>
            <w:tcW w:w="2868" w:type="pct"/>
            <w:tcMar>
              <w:top w:w="0" w:type="dxa"/>
              <w:left w:w="108" w:type="dxa"/>
              <w:bottom w:w="0" w:type="dxa"/>
              <w:right w:w="108" w:type="dxa"/>
            </w:tcMar>
          </w:tcPr>
          <w:p w14:paraId="61A9D673" w14:textId="77777777" w:rsidR="00A10B25" w:rsidRDefault="00A10B25">
            <w:pPr>
              <w:pStyle w:val="TAL"/>
            </w:pPr>
            <w:r>
              <w:t>Indicates the direction of the UEs. This value is only applicable to UE_MOBILITY event.</w:t>
            </w:r>
          </w:p>
        </w:tc>
        <w:tc>
          <w:tcPr>
            <w:tcW w:w="661" w:type="pct"/>
          </w:tcPr>
          <w:p w14:paraId="4B94E36D" w14:textId="77777777" w:rsidR="00A10B25" w:rsidRDefault="00A10B25">
            <w:pPr>
              <w:pStyle w:val="TAL"/>
              <w:rPr>
                <w:lang w:eastAsia="zh-CN"/>
              </w:rPr>
            </w:pPr>
            <w:r>
              <w:t>UeMobility</w:t>
            </w:r>
            <w:r>
              <w:rPr>
                <w:lang w:eastAsia="zh-CN"/>
              </w:rPr>
              <w:t>Ext2_eNA</w:t>
            </w:r>
          </w:p>
        </w:tc>
      </w:tr>
      <w:tr w:rsidR="00A10B25" w14:paraId="413BEB68"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D5A0DB" w14:textId="77777777" w:rsidR="00A10B25" w:rsidRPr="0076721C" w:rsidRDefault="00A10B25">
            <w:pPr>
              <w:pStyle w:val="TAL"/>
              <w:rPr>
                <w:lang w:val="de-DE"/>
              </w:rPr>
            </w:pPr>
            <w:r w:rsidRPr="0076721C">
              <w:rPr>
                <w:lang w:val="de-DE"/>
              </w:rPr>
              <w:t>AVG_E2E_UL_PKT_DELAY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88E879" w14:textId="77777777" w:rsidR="00A10B25" w:rsidRDefault="00A10B25">
            <w:pPr>
              <w:pStyle w:val="TAL"/>
            </w:pPr>
            <w:r>
              <w:t>Indicates average End-to-End (between UE and UPF) uplink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3F4B27A0" w14:textId="77777777" w:rsidR="00A10B25" w:rsidRDefault="00A10B25">
            <w:pPr>
              <w:pStyle w:val="TAL"/>
            </w:pPr>
            <w:r>
              <w:t>RedundantTransExpExt_eNA</w:t>
            </w:r>
          </w:p>
        </w:tc>
      </w:tr>
      <w:tr w:rsidR="00A10B25" w14:paraId="4649441E"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C2DD28" w14:textId="77777777" w:rsidR="00A10B25" w:rsidRPr="0076721C" w:rsidRDefault="00A10B25">
            <w:pPr>
              <w:pStyle w:val="TAL"/>
              <w:rPr>
                <w:lang w:val="de-DE"/>
              </w:rPr>
            </w:pPr>
            <w:r w:rsidRPr="0076721C">
              <w:rPr>
                <w:lang w:val="de-DE"/>
              </w:rPr>
              <w:t>VAR_E2E_UL_PKT_DELAY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AB2257" w14:textId="77777777" w:rsidR="00A10B25" w:rsidRDefault="00A10B25">
            <w:pPr>
              <w:pStyle w:val="TAL"/>
            </w:pPr>
            <w:r>
              <w:t>Indicates the variance of End-to-End (between UE and UPF) uplink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58516980" w14:textId="77777777" w:rsidR="00A10B25" w:rsidRDefault="00A10B25">
            <w:pPr>
              <w:pStyle w:val="TAL"/>
            </w:pPr>
            <w:r>
              <w:t>RedundantTransExpExt_eNA</w:t>
            </w:r>
          </w:p>
        </w:tc>
      </w:tr>
      <w:tr w:rsidR="00A10B25" w14:paraId="50B013E6"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C70CF7" w14:textId="77777777" w:rsidR="00A10B25" w:rsidRPr="0076721C" w:rsidRDefault="00A10B25">
            <w:pPr>
              <w:pStyle w:val="TAL"/>
              <w:rPr>
                <w:lang w:val="de-DE"/>
              </w:rPr>
            </w:pPr>
            <w:r w:rsidRPr="0076721C">
              <w:rPr>
                <w:lang w:val="de-DE"/>
              </w:rPr>
              <w:t>AVG_E2E_DL_PKT_DELAY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491FF3" w14:textId="77777777" w:rsidR="00A10B25" w:rsidRDefault="00A10B25">
            <w:pPr>
              <w:pStyle w:val="TAL"/>
            </w:pPr>
            <w:r>
              <w:t>Indicates average End-to-End (between UE and UPF) downlink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3E5B53F1" w14:textId="77777777" w:rsidR="00A10B25" w:rsidRDefault="00A10B25">
            <w:pPr>
              <w:pStyle w:val="TAL"/>
            </w:pPr>
            <w:r>
              <w:t>RedundantTransExpExt_eNA</w:t>
            </w:r>
          </w:p>
        </w:tc>
      </w:tr>
      <w:tr w:rsidR="00A10B25" w14:paraId="1AE192AF"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DF8461C" w14:textId="77777777" w:rsidR="00A10B25" w:rsidRPr="0076721C" w:rsidRDefault="00A10B25">
            <w:pPr>
              <w:pStyle w:val="TAL"/>
              <w:rPr>
                <w:lang w:val="de-DE"/>
              </w:rPr>
            </w:pPr>
            <w:r w:rsidRPr="0076721C">
              <w:rPr>
                <w:lang w:val="de-DE"/>
              </w:rPr>
              <w:t>VAR_E2E_DL_PKT_DELAY</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A654B3" w14:textId="77777777" w:rsidR="00A10B25" w:rsidRDefault="00A10B25">
            <w:pPr>
              <w:pStyle w:val="TAL"/>
            </w:pPr>
            <w:r>
              <w:t>Indicates the variance of End-to-End (between UE and UPF) downlink packet delay.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700C172A" w14:textId="77777777" w:rsidR="00A10B25" w:rsidRDefault="00A10B25">
            <w:pPr>
              <w:pStyle w:val="TAL"/>
            </w:pPr>
            <w:r>
              <w:t>RedundantTransExpExt_eNA</w:t>
            </w:r>
          </w:p>
        </w:tc>
      </w:tr>
      <w:tr w:rsidR="00A10B25" w14:paraId="23B4E5D3"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C4F0C1" w14:textId="77777777" w:rsidR="00A10B25" w:rsidRDefault="00A10B25">
            <w:pPr>
              <w:pStyle w:val="TAL"/>
              <w:rPr>
                <w:lang w:val="en-US"/>
              </w:rPr>
            </w:pPr>
            <w:r>
              <w:rPr>
                <w:lang w:val="en-US"/>
              </w:rPr>
              <w:lastRenderedPageBreak/>
              <w:t>AVG_E2E_UL_PKT_LOSS_RATE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550A42" w14:textId="77777777" w:rsidR="00A10B25" w:rsidRDefault="00A10B25">
            <w:pPr>
              <w:pStyle w:val="TAL"/>
            </w:pPr>
            <w:r>
              <w:t>Indicates average End-to-End (between UE and UPF) uplink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69776043" w14:textId="77777777" w:rsidR="00A10B25" w:rsidRDefault="00A10B25">
            <w:pPr>
              <w:pStyle w:val="TAL"/>
            </w:pPr>
            <w:r>
              <w:t>RedundantTransExpExt_eNA</w:t>
            </w:r>
          </w:p>
        </w:tc>
      </w:tr>
      <w:tr w:rsidR="00A10B25" w14:paraId="0EB676AD"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E19050" w14:textId="77777777" w:rsidR="00A10B25" w:rsidRDefault="00A10B25">
            <w:pPr>
              <w:pStyle w:val="TAL"/>
              <w:rPr>
                <w:lang w:val="en-US"/>
              </w:rPr>
            </w:pPr>
            <w:r>
              <w:rPr>
                <w:lang w:val="en-US"/>
              </w:rPr>
              <w:t>VAR_E2E_UL_PKT_LOSS_RATE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6A43E7" w14:textId="77777777" w:rsidR="00A10B25" w:rsidRDefault="00A10B25">
            <w:pPr>
              <w:pStyle w:val="TAL"/>
            </w:pPr>
            <w:r>
              <w:t>Indicates the variance of End-to-End (between UE and UPF) uplink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64BBABB0" w14:textId="77777777" w:rsidR="00A10B25" w:rsidRDefault="00A10B25">
            <w:pPr>
              <w:pStyle w:val="TAL"/>
            </w:pPr>
            <w:r>
              <w:t>RedundantTransExpExt_eNA</w:t>
            </w:r>
          </w:p>
        </w:tc>
      </w:tr>
      <w:tr w:rsidR="00A10B25" w14:paraId="7296756A"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F393D5" w14:textId="77777777" w:rsidR="00A10B25" w:rsidRDefault="00A10B25">
            <w:pPr>
              <w:pStyle w:val="TAL"/>
              <w:rPr>
                <w:lang w:val="en-US"/>
              </w:rPr>
            </w:pPr>
            <w:r>
              <w:rPr>
                <w:lang w:val="en-US"/>
              </w:rPr>
              <w:t>AVG_E2E_DL_PKT_LOSS_RATE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7B02B6" w14:textId="77777777" w:rsidR="00A10B25" w:rsidRDefault="00A10B25">
            <w:pPr>
              <w:pStyle w:val="TAL"/>
            </w:pPr>
            <w:r>
              <w:t>Indicates average End-to-End (between UE and UPF) downlink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2123B9AA" w14:textId="77777777" w:rsidR="00A10B25" w:rsidRDefault="00A10B25">
            <w:pPr>
              <w:pStyle w:val="TAL"/>
            </w:pPr>
            <w:r>
              <w:t>RedundantTransExpExt_eNA</w:t>
            </w:r>
          </w:p>
        </w:tc>
      </w:tr>
      <w:tr w:rsidR="00A10B25" w14:paraId="3184D7ED"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23485D" w14:textId="77777777" w:rsidR="00A10B25" w:rsidRDefault="00A10B25">
            <w:pPr>
              <w:pStyle w:val="TAL"/>
              <w:rPr>
                <w:lang w:val="en-US"/>
              </w:rPr>
            </w:pPr>
            <w:r>
              <w:rPr>
                <w:lang w:val="en-US"/>
              </w:rPr>
              <w:t>VAR_E2E_DL_PKT_LOSS_RATE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9BDE25" w14:textId="77777777" w:rsidR="00A10B25" w:rsidRDefault="00A10B25">
            <w:pPr>
              <w:pStyle w:val="TAL"/>
            </w:pPr>
            <w:r>
              <w:t>Indicates the variance of End-to-End (between UE and UPF) downlink packet loss rate. This value is only applicable to RED_TRANS_EXP event.</w:t>
            </w:r>
          </w:p>
        </w:tc>
        <w:tc>
          <w:tcPr>
            <w:tcW w:w="661" w:type="pct"/>
            <w:tcBorders>
              <w:top w:val="single" w:sz="6" w:space="0" w:color="auto"/>
              <w:left w:val="single" w:sz="6" w:space="0" w:color="auto"/>
              <w:bottom w:val="single" w:sz="6" w:space="0" w:color="auto"/>
              <w:right w:val="single" w:sz="6" w:space="0" w:color="auto"/>
            </w:tcBorders>
          </w:tcPr>
          <w:p w14:paraId="23A5FA6C" w14:textId="77777777" w:rsidR="00A10B25" w:rsidRDefault="00A10B25">
            <w:pPr>
              <w:pStyle w:val="TAL"/>
            </w:pPr>
            <w:r>
              <w:t>RedundantTransExpExt_eNA</w:t>
            </w:r>
          </w:p>
        </w:tc>
      </w:tr>
      <w:tr w:rsidR="00A10B25" w14:paraId="1F6C78B7"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5C7F01" w14:textId="77777777" w:rsidR="00A10B25" w:rsidRDefault="00A10B25">
            <w:pPr>
              <w:pStyle w:val="TAL"/>
              <w:rPr>
                <w:lang w:val="en-US"/>
              </w:rPr>
            </w:pPr>
            <w:r>
              <w:rPr>
                <w:lang w:val="en-US" w:eastAsia="zh-CN"/>
              </w:rPr>
              <w:t>E2E_DATA_VOL_TRANS_TIME_FOR_UE_LIST</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7813663" w14:textId="77777777" w:rsidR="00A10B25" w:rsidRDefault="00A10B25">
            <w:pPr>
              <w:pStyle w:val="TAL"/>
            </w:pPr>
            <w:r>
              <w:t>Indicates the classified E2E data volume transfer time statistics or predictions for multiple UEs with respect to one or more reporting thresholds.</w:t>
            </w:r>
          </w:p>
        </w:tc>
        <w:tc>
          <w:tcPr>
            <w:tcW w:w="661" w:type="pct"/>
            <w:tcBorders>
              <w:top w:val="single" w:sz="6" w:space="0" w:color="auto"/>
              <w:left w:val="single" w:sz="6" w:space="0" w:color="auto"/>
              <w:bottom w:val="single" w:sz="6" w:space="0" w:color="auto"/>
              <w:right w:val="single" w:sz="6" w:space="0" w:color="auto"/>
            </w:tcBorders>
          </w:tcPr>
          <w:p w14:paraId="03103276" w14:textId="77777777" w:rsidR="00A10B25" w:rsidRDefault="00A10B25">
            <w:pPr>
              <w:pStyle w:val="TAL"/>
            </w:pPr>
            <w:r>
              <w:rPr>
                <w:lang w:eastAsia="zh-CN"/>
              </w:rPr>
              <w:t>E2eDataVolTransTime</w:t>
            </w:r>
          </w:p>
        </w:tc>
      </w:tr>
      <w:tr w:rsidR="00A10B25" w14:paraId="613EDC4C"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5FBF87" w14:textId="77777777" w:rsidR="00A10B25" w:rsidRDefault="00A10B25">
            <w:pPr>
              <w:pStyle w:val="TAL"/>
              <w:rPr>
                <w:lang w:val="en-US" w:eastAsia="zh-CN"/>
              </w:rPr>
            </w:pPr>
            <w:r>
              <w:rPr>
                <w:lang w:val="en-US" w:eastAsia="zh-CN"/>
              </w:rPr>
              <w:t>NUM_OF_UE</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436D9E" w14:textId="77777777" w:rsidR="00A10B25" w:rsidRDefault="00A10B25">
            <w:pPr>
              <w:pStyle w:val="TAL"/>
            </w:pPr>
            <w:r>
              <w:t>Indicates the total number of UEs in the area of interest.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30D11C7E" w14:textId="77777777" w:rsidR="00A10B25" w:rsidRDefault="00A10B25">
            <w:pPr>
              <w:pStyle w:val="TAL"/>
              <w:rPr>
                <w:lang w:eastAsia="zh-CN"/>
              </w:rPr>
            </w:pPr>
            <w:r>
              <w:rPr>
                <w:lang w:eastAsia="zh-CN"/>
              </w:rPr>
              <w:t>MovementBehaviour</w:t>
            </w:r>
          </w:p>
        </w:tc>
      </w:tr>
      <w:tr w:rsidR="00A10B25" w14:paraId="6520883A"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396373C" w14:textId="77777777" w:rsidR="00A10B25" w:rsidRDefault="00A10B25">
            <w:pPr>
              <w:pStyle w:val="TAL"/>
              <w:rPr>
                <w:lang w:val="en-US" w:eastAsia="zh-CN"/>
              </w:rPr>
            </w:pPr>
            <w:r>
              <w:rPr>
                <w:lang w:val="en-US" w:eastAsia="zh-CN"/>
              </w:rPr>
              <w:t>MOV_UE_RATIO</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4D1DAA6" w14:textId="77777777" w:rsidR="00A10B25" w:rsidRDefault="00A10B25">
            <w:pPr>
              <w:pStyle w:val="TAL"/>
            </w:pPr>
            <w:r>
              <w:t>Indicates the Ratio of moving UEs in the area of interest.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31BE1B0D" w14:textId="77777777" w:rsidR="00A10B25" w:rsidRDefault="00A10B25">
            <w:pPr>
              <w:pStyle w:val="TAL"/>
              <w:rPr>
                <w:lang w:eastAsia="zh-CN"/>
              </w:rPr>
            </w:pPr>
            <w:r>
              <w:rPr>
                <w:lang w:eastAsia="zh-CN"/>
              </w:rPr>
              <w:t>MovementBehaviour</w:t>
            </w:r>
          </w:p>
        </w:tc>
      </w:tr>
      <w:tr w:rsidR="00A10B25" w14:paraId="5A71320F"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17165A" w14:textId="77777777" w:rsidR="00A10B25" w:rsidRDefault="00A10B25">
            <w:pPr>
              <w:pStyle w:val="TAL"/>
              <w:rPr>
                <w:lang w:val="en-US" w:eastAsia="zh-CN"/>
              </w:rPr>
            </w:pPr>
            <w:r>
              <w:rPr>
                <w:lang w:val="en-US" w:eastAsia="zh-CN"/>
              </w:rPr>
              <w:t>AVR_SPEED</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C14926" w14:textId="77777777" w:rsidR="00A10B25" w:rsidRDefault="00A10B25">
            <w:pPr>
              <w:pStyle w:val="TAL"/>
            </w:pPr>
            <w:r>
              <w:t>Indicates the average speed of all UEs in the area of interest.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6E1FF119" w14:textId="77777777" w:rsidR="00A10B25" w:rsidRDefault="00A10B25">
            <w:pPr>
              <w:pStyle w:val="TAL"/>
              <w:rPr>
                <w:lang w:eastAsia="zh-CN"/>
              </w:rPr>
            </w:pPr>
            <w:r>
              <w:rPr>
                <w:lang w:eastAsia="zh-CN"/>
              </w:rPr>
              <w:t>MovementBehaviour</w:t>
            </w:r>
          </w:p>
        </w:tc>
      </w:tr>
      <w:tr w:rsidR="00A10B25" w14:paraId="058AD25B"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39A4B88" w14:textId="77777777" w:rsidR="00A10B25" w:rsidRDefault="00A10B25">
            <w:pPr>
              <w:pStyle w:val="TAL"/>
              <w:rPr>
                <w:lang w:val="en-US" w:eastAsia="zh-CN"/>
              </w:rPr>
            </w:pPr>
            <w:r>
              <w:rPr>
                <w:lang w:val="en-US" w:eastAsia="zh-CN"/>
              </w:rPr>
              <w:t>SPEED_THRESHOLD</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507155" w14:textId="77777777" w:rsidR="00A10B25" w:rsidRDefault="00A10B25">
            <w:pPr>
              <w:pStyle w:val="TAL"/>
            </w:pPr>
            <w:r>
              <w:t>Indicates the information on UEs in the area of interest whose speed is faster than the speed threshold.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561883F3" w14:textId="77777777" w:rsidR="00A10B25" w:rsidRDefault="00A10B25">
            <w:pPr>
              <w:pStyle w:val="TAL"/>
              <w:rPr>
                <w:lang w:eastAsia="zh-CN"/>
              </w:rPr>
            </w:pPr>
            <w:r>
              <w:rPr>
                <w:lang w:eastAsia="zh-CN"/>
              </w:rPr>
              <w:t>MovementBehaviour</w:t>
            </w:r>
          </w:p>
        </w:tc>
      </w:tr>
      <w:tr w:rsidR="00A10B25" w14:paraId="4017D605"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B48EB4" w14:textId="77777777" w:rsidR="00A10B25" w:rsidRDefault="00A10B25">
            <w:pPr>
              <w:pStyle w:val="TAL"/>
              <w:rPr>
                <w:lang w:val="en-US" w:eastAsia="zh-CN"/>
              </w:rPr>
            </w:pPr>
            <w:r>
              <w:rPr>
                <w:lang w:val="en-US" w:eastAsia="zh-CN"/>
              </w:rPr>
              <w:t>MOV_UE_DIRECTION</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ED35838" w14:textId="77777777" w:rsidR="00A10B25" w:rsidRDefault="00A10B25">
            <w:pPr>
              <w:pStyle w:val="TAL"/>
            </w:pPr>
            <w:r>
              <w:t>Indicates the heading directions of the UE flow in the target area. This value is only applicable to MOVEMENT_BEHAVIOUR event.</w:t>
            </w:r>
          </w:p>
        </w:tc>
        <w:tc>
          <w:tcPr>
            <w:tcW w:w="661" w:type="pct"/>
            <w:tcBorders>
              <w:top w:val="single" w:sz="6" w:space="0" w:color="auto"/>
              <w:left w:val="single" w:sz="6" w:space="0" w:color="auto"/>
              <w:bottom w:val="single" w:sz="6" w:space="0" w:color="auto"/>
              <w:right w:val="single" w:sz="6" w:space="0" w:color="auto"/>
            </w:tcBorders>
          </w:tcPr>
          <w:p w14:paraId="6CEC4B76" w14:textId="77777777" w:rsidR="00A10B25" w:rsidRDefault="00A10B25">
            <w:pPr>
              <w:pStyle w:val="TAL"/>
              <w:rPr>
                <w:lang w:eastAsia="zh-CN"/>
              </w:rPr>
            </w:pPr>
            <w:r>
              <w:rPr>
                <w:lang w:eastAsia="zh-CN"/>
              </w:rPr>
              <w:t>MovementBehaviour</w:t>
            </w:r>
          </w:p>
        </w:tc>
      </w:tr>
      <w:tr w:rsidR="00A10B25" w14:paraId="46D73C18"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7A43DF" w14:textId="77777777" w:rsidR="00A10B25" w:rsidRDefault="00A10B25">
            <w:pPr>
              <w:pStyle w:val="TAL"/>
              <w:rPr>
                <w:lang w:val="en-US" w:eastAsia="zh-CN"/>
              </w:rPr>
            </w:pPr>
            <w:r>
              <w:rPr>
                <w:lang w:val="en-US" w:eastAsia="zh-CN"/>
              </w:rPr>
              <w:t>IN_OUT_PERCENT</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8ABBD9" w14:textId="77777777" w:rsidR="00A10B25" w:rsidRDefault="00A10B25">
            <w:pPr>
              <w:pStyle w:val="TAL"/>
            </w:pPr>
            <w:r>
              <w:t>Indicates the percentage of UEs that are indoors/outdoors. This value is only applicable to LOC_ACCURACY event.</w:t>
            </w:r>
          </w:p>
        </w:tc>
        <w:tc>
          <w:tcPr>
            <w:tcW w:w="661" w:type="pct"/>
            <w:tcBorders>
              <w:top w:val="single" w:sz="6" w:space="0" w:color="auto"/>
              <w:left w:val="single" w:sz="6" w:space="0" w:color="auto"/>
              <w:bottom w:val="single" w:sz="6" w:space="0" w:color="auto"/>
              <w:right w:val="single" w:sz="6" w:space="0" w:color="auto"/>
            </w:tcBorders>
          </w:tcPr>
          <w:p w14:paraId="135534CC" w14:textId="77777777" w:rsidR="00A10B25" w:rsidRDefault="00A10B25">
            <w:pPr>
              <w:pStyle w:val="TAL"/>
              <w:rPr>
                <w:lang w:eastAsia="zh-CN"/>
              </w:rPr>
            </w:pPr>
            <w:r>
              <w:rPr>
                <w:lang w:eastAsia="zh-CN"/>
              </w:rPr>
              <w:t>LocAccuracy</w:t>
            </w:r>
          </w:p>
        </w:tc>
      </w:tr>
      <w:tr w:rsidR="00A10B25" w14:paraId="7AA8684C" w14:textId="77777777">
        <w:tc>
          <w:tcPr>
            <w:tcW w:w="147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293138" w14:textId="77777777" w:rsidR="00A10B25" w:rsidRDefault="00A10B25">
            <w:pPr>
              <w:pStyle w:val="TAL"/>
              <w:rPr>
                <w:lang w:val="en-US" w:eastAsia="zh-CN"/>
              </w:rPr>
            </w:pPr>
            <w:r>
              <w:rPr>
                <w:lang w:val="en-US" w:eastAsia="zh-CN"/>
              </w:rPr>
              <w:t>TIME_TO_COLLISION</w:t>
            </w:r>
          </w:p>
        </w:tc>
        <w:tc>
          <w:tcPr>
            <w:tcW w:w="286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521CA5" w14:textId="77777777" w:rsidR="00A10B25" w:rsidRDefault="00A10B25">
            <w:pPr>
              <w:pStyle w:val="TAL"/>
            </w:pPr>
            <w:r>
              <w:t>Indicates the time until for a collision with another UE happens. This value is only applicable to RELATIVE_PROXIMITY event prediction.</w:t>
            </w:r>
          </w:p>
        </w:tc>
        <w:tc>
          <w:tcPr>
            <w:tcW w:w="661" w:type="pct"/>
            <w:tcBorders>
              <w:top w:val="single" w:sz="6" w:space="0" w:color="auto"/>
              <w:left w:val="single" w:sz="6" w:space="0" w:color="auto"/>
              <w:bottom w:val="single" w:sz="6" w:space="0" w:color="auto"/>
              <w:right w:val="single" w:sz="6" w:space="0" w:color="auto"/>
            </w:tcBorders>
          </w:tcPr>
          <w:p w14:paraId="4E219D9D" w14:textId="77777777" w:rsidR="00A10B25" w:rsidRDefault="00A10B25">
            <w:pPr>
              <w:pStyle w:val="TAL"/>
              <w:rPr>
                <w:lang w:eastAsia="zh-CN"/>
              </w:rPr>
            </w:pPr>
            <w:r>
              <w:rPr>
                <w:lang w:eastAsia="zh-CN"/>
              </w:rPr>
              <w:t>RelativeProximity</w:t>
            </w:r>
          </w:p>
        </w:tc>
      </w:tr>
    </w:tbl>
    <w:p w14:paraId="29B62AC4" w14:textId="77777777" w:rsidR="00A10B25" w:rsidRDefault="00A10B25">
      <w:pPr>
        <w:rPr>
          <w:lang w:eastAsia="zh-CN"/>
        </w:rPr>
      </w:pPr>
    </w:p>
    <w:p w14:paraId="4C935E1F" w14:textId="77777777" w:rsidR="00A10B25" w:rsidRDefault="00A10B25">
      <w:pPr>
        <w:pStyle w:val="5"/>
      </w:pPr>
      <w:bookmarkStart w:id="8997" w:name="_Toc148522714"/>
      <w:bookmarkStart w:id="8998" w:name="_Toc164920900"/>
      <w:bookmarkStart w:id="8999" w:name="_Toc170120442"/>
      <w:bookmarkStart w:id="9000" w:name="_Toc175858687"/>
      <w:bookmarkStart w:id="9001" w:name="_Toc175859760"/>
      <w:bookmarkStart w:id="9002" w:name="_Toc180606050"/>
      <w:bookmarkStart w:id="9003" w:name="_Toc185517309"/>
      <w:bookmarkStart w:id="9004" w:name="_Toc191576360"/>
      <w:bookmarkStart w:id="9005" w:name="_Toc191577100"/>
      <w:bookmarkStart w:id="9006" w:name="_Toc192880170"/>
      <w:bookmarkStart w:id="9007" w:name="_Toc195815058"/>
      <w:bookmarkStart w:id="9008" w:name="_Toc199453025"/>
      <w:r>
        <w:t>5.1.6.3.19</w:t>
      </w:r>
      <w:r>
        <w:tab/>
        <w:t>Enumeration: DispersionType</w:t>
      </w:r>
      <w:bookmarkEnd w:id="8985"/>
      <w:bookmarkEnd w:id="8986"/>
      <w:bookmarkEnd w:id="8987"/>
      <w:bookmarkEnd w:id="8988"/>
      <w:bookmarkEnd w:id="8989"/>
      <w:bookmarkEnd w:id="8990"/>
      <w:bookmarkEnd w:id="8991"/>
      <w:bookmarkEnd w:id="8992"/>
      <w:bookmarkEnd w:id="8993"/>
      <w:bookmarkEnd w:id="8994"/>
      <w:bookmarkEnd w:id="8995"/>
      <w:bookmarkEnd w:id="8997"/>
      <w:bookmarkEnd w:id="8998"/>
      <w:bookmarkEnd w:id="8999"/>
      <w:bookmarkEnd w:id="9000"/>
      <w:bookmarkEnd w:id="9001"/>
      <w:bookmarkEnd w:id="9002"/>
      <w:bookmarkEnd w:id="9003"/>
      <w:bookmarkEnd w:id="9004"/>
      <w:bookmarkEnd w:id="9005"/>
      <w:bookmarkEnd w:id="9006"/>
      <w:bookmarkEnd w:id="9007"/>
      <w:bookmarkEnd w:id="9008"/>
    </w:p>
    <w:p w14:paraId="4C8E9896" w14:textId="77777777" w:rsidR="00A10B25" w:rsidRDefault="00A10B25">
      <w:pPr>
        <w:pStyle w:val="TH"/>
        <w:overflowPunct w:val="0"/>
        <w:autoSpaceDE w:val="0"/>
        <w:autoSpaceDN w:val="0"/>
        <w:adjustRightInd w:val="0"/>
        <w:textAlignment w:val="baseline"/>
        <w:rPr>
          <w:rFonts w:eastAsia="MS Mincho"/>
        </w:rPr>
      </w:pPr>
      <w:r>
        <w:rPr>
          <w:rFonts w:eastAsia="MS Mincho"/>
        </w:rPr>
        <w:t>Table 5.1.6.3.19-1: Enumeration DispersionType</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528A104E" w14:textId="77777777">
        <w:tc>
          <w:tcPr>
            <w:tcW w:w="1769" w:type="pct"/>
            <w:shd w:val="clear" w:color="auto" w:fill="C0C0C0"/>
            <w:tcMar>
              <w:top w:w="0" w:type="dxa"/>
              <w:left w:w="108" w:type="dxa"/>
              <w:bottom w:w="0" w:type="dxa"/>
              <w:right w:w="108" w:type="dxa"/>
            </w:tcMar>
          </w:tcPr>
          <w:p w14:paraId="15809DB8"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022F4C8D" w14:textId="77777777" w:rsidR="00A10B25" w:rsidRDefault="00A10B25">
            <w:pPr>
              <w:pStyle w:val="TAH"/>
            </w:pPr>
            <w:r>
              <w:t>Description</w:t>
            </w:r>
          </w:p>
        </w:tc>
        <w:tc>
          <w:tcPr>
            <w:tcW w:w="832" w:type="pct"/>
            <w:shd w:val="clear" w:color="auto" w:fill="C0C0C0"/>
          </w:tcPr>
          <w:p w14:paraId="6B98733E" w14:textId="77777777" w:rsidR="00A10B25" w:rsidRDefault="00A10B25">
            <w:pPr>
              <w:pStyle w:val="TAH"/>
            </w:pPr>
            <w:r>
              <w:t>Applicability</w:t>
            </w:r>
          </w:p>
        </w:tc>
      </w:tr>
      <w:tr w:rsidR="00A10B25" w14:paraId="0E4F1FFE" w14:textId="77777777">
        <w:tc>
          <w:tcPr>
            <w:tcW w:w="1769" w:type="pct"/>
            <w:tcMar>
              <w:top w:w="0" w:type="dxa"/>
              <w:left w:w="108" w:type="dxa"/>
              <w:bottom w:w="0" w:type="dxa"/>
              <w:right w:w="108" w:type="dxa"/>
            </w:tcMar>
          </w:tcPr>
          <w:p w14:paraId="15A057C8" w14:textId="77777777" w:rsidR="00A10B25" w:rsidRDefault="00A10B25">
            <w:pPr>
              <w:pStyle w:val="TAL"/>
            </w:pPr>
            <w:r>
              <w:t>DVDA</w:t>
            </w:r>
          </w:p>
        </w:tc>
        <w:tc>
          <w:tcPr>
            <w:tcW w:w="2399" w:type="pct"/>
            <w:tcMar>
              <w:top w:w="0" w:type="dxa"/>
              <w:left w:w="108" w:type="dxa"/>
              <w:bottom w:w="0" w:type="dxa"/>
              <w:right w:w="108" w:type="dxa"/>
            </w:tcMar>
          </w:tcPr>
          <w:p w14:paraId="43544628" w14:textId="77777777" w:rsidR="00A10B25" w:rsidRDefault="00A10B25">
            <w:pPr>
              <w:pStyle w:val="TAL"/>
            </w:pPr>
            <w:r>
              <w:t>Data Volume Dispersion Analytics.</w:t>
            </w:r>
          </w:p>
        </w:tc>
        <w:tc>
          <w:tcPr>
            <w:tcW w:w="832" w:type="pct"/>
          </w:tcPr>
          <w:p w14:paraId="131456B5" w14:textId="77777777" w:rsidR="00A10B25" w:rsidRDefault="00A10B25">
            <w:pPr>
              <w:pStyle w:val="TAL"/>
            </w:pPr>
          </w:p>
        </w:tc>
      </w:tr>
      <w:tr w:rsidR="00A10B25" w14:paraId="0575D890" w14:textId="77777777">
        <w:tc>
          <w:tcPr>
            <w:tcW w:w="1769" w:type="pct"/>
            <w:tcMar>
              <w:top w:w="0" w:type="dxa"/>
              <w:left w:w="108" w:type="dxa"/>
              <w:bottom w:w="0" w:type="dxa"/>
              <w:right w:w="108" w:type="dxa"/>
            </w:tcMar>
          </w:tcPr>
          <w:p w14:paraId="0C8B1CA2" w14:textId="77777777" w:rsidR="00A10B25" w:rsidRDefault="00A10B25">
            <w:pPr>
              <w:pStyle w:val="TAL"/>
            </w:pPr>
            <w:r>
              <w:t>TDA</w:t>
            </w:r>
          </w:p>
        </w:tc>
        <w:tc>
          <w:tcPr>
            <w:tcW w:w="2399" w:type="pct"/>
            <w:tcMar>
              <w:top w:w="0" w:type="dxa"/>
              <w:left w:w="108" w:type="dxa"/>
              <w:bottom w:w="0" w:type="dxa"/>
              <w:right w:w="108" w:type="dxa"/>
            </w:tcMar>
          </w:tcPr>
          <w:p w14:paraId="4FD61FA8" w14:textId="77777777" w:rsidR="00A10B25" w:rsidRDefault="00A10B25">
            <w:pPr>
              <w:pStyle w:val="TAL"/>
              <w:rPr>
                <w:lang w:eastAsia="zh-CN"/>
              </w:rPr>
            </w:pPr>
            <w:r>
              <w:rPr>
                <w:lang w:eastAsia="zh-CN"/>
              </w:rPr>
              <w:t>Transactions Dispersion Analytics.</w:t>
            </w:r>
          </w:p>
        </w:tc>
        <w:tc>
          <w:tcPr>
            <w:tcW w:w="832" w:type="pct"/>
          </w:tcPr>
          <w:p w14:paraId="648961B2" w14:textId="77777777" w:rsidR="00A10B25" w:rsidRDefault="00A10B25">
            <w:pPr>
              <w:pStyle w:val="TAL"/>
            </w:pPr>
          </w:p>
        </w:tc>
      </w:tr>
      <w:tr w:rsidR="00A10B25" w14:paraId="064E38C8" w14:textId="77777777">
        <w:tc>
          <w:tcPr>
            <w:tcW w:w="1769" w:type="pct"/>
            <w:tcMar>
              <w:top w:w="0" w:type="dxa"/>
              <w:left w:w="108" w:type="dxa"/>
              <w:bottom w:w="0" w:type="dxa"/>
              <w:right w:w="108" w:type="dxa"/>
            </w:tcMar>
          </w:tcPr>
          <w:p w14:paraId="1501B933" w14:textId="77777777" w:rsidR="00A10B25" w:rsidRDefault="00A10B25">
            <w:pPr>
              <w:pStyle w:val="TAL"/>
            </w:pPr>
            <w:r>
              <w:t>DVDA_AND</w:t>
            </w:r>
            <w:r>
              <w:rPr>
                <w:rFonts w:hint="eastAsia"/>
                <w:lang w:eastAsia="zh-CN"/>
              </w:rPr>
              <w:t>_</w:t>
            </w:r>
            <w:r>
              <w:t>TDA</w:t>
            </w:r>
          </w:p>
        </w:tc>
        <w:tc>
          <w:tcPr>
            <w:tcW w:w="2399" w:type="pct"/>
            <w:tcMar>
              <w:top w:w="0" w:type="dxa"/>
              <w:left w:w="108" w:type="dxa"/>
              <w:bottom w:w="0" w:type="dxa"/>
              <w:right w:w="108" w:type="dxa"/>
            </w:tcMar>
          </w:tcPr>
          <w:p w14:paraId="7E2A856F" w14:textId="77777777" w:rsidR="00A10B25" w:rsidRDefault="00A10B25">
            <w:pPr>
              <w:pStyle w:val="TAL"/>
              <w:rPr>
                <w:lang w:eastAsia="zh-CN"/>
              </w:rPr>
            </w:pPr>
            <w:r>
              <w:rPr>
                <w:lang w:eastAsia="zh-CN"/>
              </w:rPr>
              <w:t>Data Volume Dispersion Analytics and Transactions Dispersion Analytics.</w:t>
            </w:r>
          </w:p>
        </w:tc>
        <w:tc>
          <w:tcPr>
            <w:tcW w:w="832" w:type="pct"/>
          </w:tcPr>
          <w:p w14:paraId="404DDE19" w14:textId="77777777" w:rsidR="00A10B25" w:rsidRDefault="00A10B25">
            <w:pPr>
              <w:pStyle w:val="TAL"/>
            </w:pPr>
          </w:p>
        </w:tc>
      </w:tr>
    </w:tbl>
    <w:p w14:paraId="01E50004" w14:textId="77777777" w:rsidR="00A10B25" w:rsidRDefault="00A10B25">
      <w:pPr>
        <w:rPr>
          <w:lang w:val="en-US" w:eastAsia="zh-CN"/>
        </w:rPr>
      </w:pPr>
    </w:p>
    <w:p w14:paraId="493E4523" w14:textId="77777777" w:rsidR="00A10B25" w:rsidRDefault="00A10B25">
      <w:pPr>
        <w:pStyle w:val="5"/>
      </w:pPr>
      <w:bookmarkStart w:id="9009" w:name="_Toc114133893"/>
      <w:bookmarkStart w:id="9010" w:name="_Toc112951214"/>
      <w:bookmarkStart w:id="9011" w:name="_Toc145705805"/>
      <w:bookmarkStart w:id="9012" w:name="_Toc148522715"/>
      <w:bookmarkStart w:id="9013" w:name="_Toc104539091"/>
      <w:bookmarkStart w:id="9014" w:name="_Toc138754313"/>
      <w:bookmarkStart w:id="9015" w:name="_Toc120702393"/>
      <w:bookmarkStart w:id="9016" w:name="_Toc136562479"/>
      <w:bookmarkStart w:id="9017" w:name="_Toc98233719"/>
      <w:bookmarkStart w:id="9018" w:name="_Toc101244496"/>
      <w:bookmarkStart w:id="9019" w:name="_Toc113031754"/>
      <w:bookmarkStart w:id="9020" w:name="_Toc94064333"/>
      <w:bookmarkStart w:id="9021" w:name="_Toc164920901"/>
      <w:bookmarkStart w:id="9022" w:name="_Toc170120443"/>
      <w:bookmarkStart w:id="9023" w:name="_Toc175858688"/>
      <w:bookmarkStart w:id="9024" w:name="_Toc175859761"/>
      <w:bookmarkStart w:id="9025" w:name="_Toc180606051"/>
      <w:bookmarkStart w:id="9026" w:name="_Toc185517310"/>
      <w:bookmarkStart w:id="9027" w:name="_Toc191576361"/>
      <w:bookmarkStart w:id="9028" w:name="_Toc191577101"/>
      <w:bookmarkStart w:id="9029" w:name="_Toc192880171"/>
      <w:bookmarkStart w:id="9030" w:name="_Toc195815059"/>
      <w:bookmarkStart w:id="9031" w:name="_Toc199453026"/>
      <w:r>
        <w:lastRenderedPageBreak/>
        <w:t>5.1.6.3.20</w:t>
      </w:r>
      <w:r>
        <w:tab/>
        <w:t>Enumeration: DispersionClass</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74EF2595"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5.1.6.3.20-1: Enumeration DispersionClass</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2F44F552" w14:textId="77777777">
        <w:tc>
          <w:tcPr>
            <w:tcW w:w="1769" w:type="pct"/>
            <w:shd w:val="clear" w:color="auto" w:fill="C0C0C0"/>
            <w:tcMar>
              <w:top w:w="0" w:type="dxa"/>
              <w:left w:w="108" w:type="dxa"/>
              <w:bottom w:w="0" w:type="dxa"/>
              <w:right w:w="108" w:type="dxa"/>
            </w:tcMar>
          </w:tcPr>
          <w:p w14:paraId="1581BC1E"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2D1A8F76" w14:textId="77777777" w:rsidR="00A10B25" w:rsidRDefault="00A10B25">
            <w:pPr>
              <w:pStyle w:val="TAH"/>
            </w:pPr>
            <w:r>
              <w:t>Description</w:t>
            </w:r>
          </w:p>
        </w:tc>
        <w:tc>
          <w:tcPr>
            <w:tcW w:w="832" w:type="pct"/>
            <w:shd w:val="clear" w:color="auto" w:fill="C0C0C0"/>
          </w:tcPr>
          <w:p w14:paraId="6EFE5D0F" w14:textId="77777777" w:rsidR="00A10B25" w:rsidRDefault="00A10B25">
            <w:pPr>
              <w:pStyle w:val="TAH"/>
            </w:pPr>
            <w:r>
              <w:t>Applicability</w:t>
            </w:r>
          </w:p>
        </w:tc>
      </w:tr>
      <w:tr w:rsidR="00A10B25" w14:paraId="63BED31D" w14:textId="77777777">
        <w:tc>
          <w:tcPr>
            <w:tcW w:w="1769" w:type="pct"/>
            <w:tcMar>
              <w:top w:w="0" w:type="dxa"/>
              <w:left w:w="108" w:type="dxa"/>
              <w:bottom w:w="0" w:type="dxa"/>
              <w:right w:w="108" w:type="dxa"/>
            </w:tcMar>
          </w:tcPr>
          <w:p w14:paraId="038421C9" w14:textId="77777777" w:rsidR="00A10B25" w:rsidRDefault="00A10B25">
            <w:pPr>
              <w:pStyle w:val="TAL"/>
            </w:pPr>
            <w:r>
              <w:t>FIXED</w:t>
            </w:r>
          </w:p>
        </w:tc>
        <w:tc>
          <w:tcPr>
            <w:tcW w:w="2399" w:type="pct"/>
            <w:tcMar>
              <w:top w:w="0" w:type="dxa"/>
              <w:left w:w="108" w:type="dxa"/>
              <w:bottom w:w="0" w:type="dxa"/>
              <w:right w:w="108" w:type="dxa"/>
            </w:tcMar>
          </w:tcPr>
          <w:p w14:paraId="7F10CB12" w14:textId="77777777" w:rsidR="00A10B25" w:rsidRDefault="00A10B25">
            <w:pPr>
              <w:pStyle w:val="TAL"/>
            </w:pPr>
            <w:r>
              <w:rPr>
                <w:rFonts w:hint="eastAsia"/>
                <w:lang w:eastAsia="zh-CN"/>
              </w:rPr>
              <w:t>D</w:t>
            </w:r>
            <w:r>
              <w:t xml:space="preserve">ispersion class as fixed </w:t>
            </w:r>
            <w:r>
              <w:rPr>
                <w:rFonts w:hint="eastAsia"/>
                <w:lang w:eastAsia="zh-CN"/>
              </w:rPr>
              <w:t>UE</w:t>
            </w:r>
            <w:r>
              <w:rPr>
                <w:lang w:eastAsia="zh-CN"/>
              </w:rPr>
              <w:t>, its data or transaction usage at a location or a slice,</w:t>
            </w:r>
            <w:r>
              <w:t xml:space="preserve"> is higher than its class threshold set for its all data or transaction usage.</w:t>
            </w:r>
          </w:p>
        </w:tc>
        <w:tc>
          <w:tcPr>
            <w:tcW w:w="832" w:type="pct"/>
          </w:tcPr>
          <w:p w14:paraId="424B7470" w14:textId="77777777" w:rsidR="00A10B25" w:rsidRDefault="00A10B25">
            <w:pPr>
              <w:pStyle w:val="TAL"/>
            </w:pPr>
          </w:p>
        </w:tc>
      </w:tr>
      <w:tr w:rsidR="00A10B25" w14:paraId="66E209E7" w14:textId="77777777">
        <w:tc>
          <w:tcPr>
            <w:tcW w:w="1769" w:type="pct"/>
            <w:tcMar>
              <w:top w:w="0" w:type="dxa"/>
              <w:left w:w="108" w:type="dxa"/>
              <w:bottom w:w="0" w:type="dxa"/>
              <w:right w:w="108" w:type="dxa"/>
            </w:tcMar>
          </w:tcPr>
          <w:p w14:paraId="2AB5E4FD" w14:textId="77777777" w:rsidR="00A10B25" w:rsidRDefault="00A10B25">
            <w:pPr>
              <w:pStyle w:val="TAL"/>
            </w:pPr>
            <w:r>
              <w:t>CAMPER</w:t>
            </w:r>
          </w:p>
        </w:tc>
        <w:tc>
          <w:tcPr>
            <w:tcW w:w="2399" w:type="pct"/>
            <w:tcMar>
              <w:top w:w="0" w:type="dxa"/>
              <w:left w:w="108" w:type="dxa"/>
              <w:bottom w:w="0" w:type="dxa"/>
              <w:right w:w="108" w:type="dxa"/>
            </w:tcMar>
          </w:tcPr>
          <w:p w14:paraId="1F1E9581" w14:textId="77777777" w:rsidR="00A10B25" w:rsidRDefault="00A10B25">
            <w:pPr>
              <w:pStyle w:val="TAL"/>
              <w:rPr>
                <w:lang w:eastAsia="zh-CN"/>
              </w:rPr>
            </w:pPr>
            <w:r>
              <w:rPr>
                <w:lang w:eastAsia="zh-CN"/>
              </w:rPr>
              <w:t>Dispersion class as camper UE, its data or transaction usage at a location or a slice, is higher than its class threshold and lower than the fixed class threshold set for its all data or transaction usage.</w:t>
            </w:r>
          </w:p>
        </w:tc>
        <w:tc>
          <w:tcPr>
            <w:tcW w:w="832" w:type="pct"/>
          </w:tcPr>
          <w:p w14:paraId="735A364C" w14:textId="77777777" w:rsidR="00A10B25" w:rsidRDefault="00A10B25">
            <w:pPr>
              <w:pStyle w:val="TAL"/>
            </w:pPr>
          </w:p>
        </w:tc>
      </w:tr>
      <w:tr w:rsidR="00A10B25" w14:paraId="7EB9A590" w14:textId="77777777">
        <w:tc>
          <w:tcPr>
            <w:tcW w:w="1769" w:type="pct"/>
            <w:tcMar>
              <w:top w:w="0" w:type="dxa"/>
              <w:left w:w="108" w:type="dxa"/>
              <w:bottom w:w="0" w:type="dxa"/>
              <w:right w:w="108" w:type="dxa"/>
            </w:tcMar>
          </w:tcPr>
          <w:p w14:paraId="08A2CC59" w14:textId="77777777" w:rsidR="00A10B25" w:rsidRDefault="00A10B25">
            <w:pPr>
              <w:pStyle w:val="TAL"/>
            </w:pPr>
            <w:r>
              <w:t>TRAVELLER</w:t>
            </w:r>
          </w:p>
        </w:tc>
        <w:tc>
          <w:tcPr>
            <w:tcW w:w="2399" w:type="pct"/>
            <w:tcMar>
              <w:top w:w="0" w:type="dxa"/>
              <w:left w:w="108" w:type="dxa"/>
              <w:bottom w:w="0" w:type="dxa"/>
              <w:right w:w="108" w:type="dxa"/>
            </w:tcMar>
          </w:tcPr>
          <w:p w14:paraId="6886153F" w14:textId="77777777" w:rsidR="00A10B25" w:rsidRDefault="00A10B25">
            <w:pPr>
              <w:pStyle w:val="TAL"/>
              <w:rPr>
                <w:lang w:eastAsia="zh-CN"/>
              </w:rPr>
            </w:pPr>
            <w:r>
              <w:rPr>
                <w:lang w:eastAsia="zh-CN"/>
              </w:rPr>
              <w:t>Dispersion class as traveller UE, its data or transaction usage at a location or a slice, is lower than the camper class threshold set for its all data or transaction usage.</w:t>
            </w:r>
          </w:p>
        </w:tc>
        <w:tc>
          <w:tcPr>
            <w:tcW w:w="832" w:type="pct"/>
          </w:tcPr>
          <w:p w14:paraId="7AEA0473" w14:textId="77777777" w:rsidR="00A10B25" w:rsidRDefault="00A10B25">
            <w:pPr>
              <w:pStyle w:val="TAL"/>
            </w:pPr>
          </w:p>
        </w:tc>
      </w:tr>
      <w:tr w:rsidR="00A10B25" w14:paraId="258C7138" w14:textId="77777777">
        <w:tc>
          <w:tcPr>
            <w:tcW w:w="1769" w:type="pct"/>
            <w:tcMar>
              <w:top w:w="0" w:type="dxa"/>
              <w:left w:w="108" w:type="dxa"/>
              <w:bottom w:w="0" w:type="dxa"/>
              <w:right w:w="108" w:type="dxa"/>
            </w:tcMar>
          </w:tcPr>
          <w:p w14:paraId="331173D5" w14:textId="77777777" w:rsidR="00A10B25" w:rsidRDefault="00A10B25">
            <w:pPr>
              <w:pStyle w:val="TAL"/>
            </w:pPr>
            <w:r>
              <w:t>TOP_HEAVY</w:t>
            </w:r>
          </w:p>
        </w:tc>
        <w:tc>
          <w:tcPr>
            <w:tcW w:w="2399" w:type="pct"/>
            <w:tcMar>
              <w:top w:w="0" w:type="dxa"/>
              <w:left w:w="108" w:type="dxa"/>
              <w:bottom w:w="0" w:type="dxa"/>
              <w:right w:w="108" w:type="dxa"/>
            </w:tcMar>
          </w:tcPr>
          <w:p w14:paraId="3F958939" w14:textId="77777777" w:rsidR="00A10B25" w:rsidRDefault="00A10B25">
            <w:pPr>
              <w:pStyle w:val="TAL"/>
              <w:rPr>
                <w:lang w:eastAsia="zh-CN"/>
              </w:rPr>
            </w:pPr>
            <w:r>
              <w:rPr>
                <w:lang w:eastAsia="zh-CN"/>
              </w:rPr>
              <w:t>Dispersion class as Top_Heavy UE, who's dispersion percentile rating at a location or a slice, is higher than its class threshold.</w:t>
            </w:r>
          </w:p>
        </w:tc>
        <w:tc>
          <w:tcPr>
            <w:tcW w:w="832" w:type="pct"/>
          </w:tcPr>
          <w:p w14:paraId="66BE1730" w14:textId="77777777" w:rsidR="00A10B25" w:rsidRDefault="00A10B25">
            <w:pPr>
              <w:pStyle w:val="TAL"/>
            </w:pPr>
          </w:p>
        </w:tc>
      </w:tr>
    </w:tbl>
    <w:p w14:paraId="17E03096" w14:textId="77777777" w:rsidR="00A10B25" w:rsidRDefault="00A10B25">
      <w:pPr>
        <w:rPr>
          <w:lang w:val="en-US" w:eastAsia="zh-CN"/>
        </w:rPr>
      </w:pPr>
    </w:p>
    <w:p w14:paraId="0EB4A9A9" w14:textId="77777777" w:rsidR="00A10B25" w:rsidRDefault="00A10B25">
      <w:pPr>
        <w:pStyle w:val="5"/>
      </w:pPr>
      <w:bookmarkStart w:id="9032" w:name="_Toc113031755"/>
      <w:bookmarkStart w:id="9033" w:name="_Toc138754314"/>
      <w:bookmarkStart w:id="9034" w:name="_Toc98233720"/>
      <w:bookmarkStart w:id="9035" w:name="_Toc136562480"/>
      <w:bookmarkStart w:id="9036" w:name="_Toc120702394"/>
      <w:bookmarkStart w:id="9037" w:name="_Toc114133894"/>
      <w:bookmarkStart w:id="9038" w:name="_Toc104539092"/>
      <w:bookmarkStart w:id="9039" w:name="_Toc94064334"/>
      <w:bookmarkStart w:id="9040" w:name="_Toc101244497"/>
      <w:bookmarkStart w:id="9041" w:name="_Toc145705806"/>
      <w:bookmarkStart w:id="9042" w:name="_Toc148522716"/>
      <w:bookmarkStart w:id="9043" w:name="_Toc112951215"/>
      <w:bookmarkStart w:id="9044" w:name="_Toc164920902"/>
      <w:bookmarkStart w:id="9045" w:name="_Toc170120444"/>
      <w:bookmarkStart w:id="9046" w:name="_Toc175858689"/>
      <w:bookmarkStart w:id="9047" w:name="_Toc175859762"/>
      <w:bookmarkStart w:id="9048" w:name="_Toc180606052"/>
      <w:bookmarkStart w:id="9049" w:name="_Toc185517311"/>
      <w:bookmarkStart w:id="9050" w:name="_Toc191576362"/>
      <w:bookmarkStart w:id="9051" w:name="_Toc191577102"/>
      <w:bookmarkStart w:id="9052" w:name="_Toc192880172"/>
      <w:bookmarkStart w:id="9053" w:name="_Toc195815060"/>
      <w:bookmarkStart w:id="9054" w:name="_Toc199453027"/>
      <w:r>
        <w:t>5.1.6.3.21</w:t>
      </w:r>
      <w:r>
        <w:tab/>
        <w:t>Enumeration: DispersionOrderingCriterion</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43DD7097"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5.1.6.3.21-1: Enumeration DispersionOrderingCriterion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13751902" w14:textId="77777777">
        <w:tc>
          <w:tcPr>
            <w:tcW w:w="1769" w:type="pct"/>
            <w:shd w:val="clear" w:color="auto" w:fill="C0C0C0"/>
            <w:tcMar>
              <w:top w:w="0" w:type="dxa"/>
              <w:left w:w="108" w:type="dxa"/>
              <w:bottom w:w="0" w:type="dxa"/>
              <w:right w:w="108" w:type="dxa"/>
            </w:tcMar>
          </w:tcPr>
          <w:p w14:paraId="2135338A"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1106F114" w14:textId="77777777" w:rsidR="00A10B25" w:rsidRDefault="00A10B25">
            <w:pPr>
              <w:pStyle w:val="TAH"/>
            </w:pPr>
            <w:r>
              <w:t>Description</w:t>
            </w:r>
          </w:p>
        </w:tc>
        <w:tc>
          <w:tcPr>
            <w:tcW w:w="832" w:type="pct"/>
            <w:shd w:val="clear" w:color="auto" w:fill="C0C0C0"/>
          </w:tcPr>
          <w:p w14:paraId="525B4BBB" w14:textId="77777777" w:rsidR="00A10B25" w:rsidRDefault="00A10B25">
            <w:pPr>
              <w:pStyle w:val="TAH"/>
            </w:pPr>
            <w:r>
              <w:t>Applicability</w:t>
            </w:r>
          </w:p>
        </w:tc>
      </w:tr>
      <w:tr w:rsidR="00A10B25" w14:paraId="6FB350EE" w14:textId="77777777">
        <w:tc>
          <w:tcPr>
            <w:tcW w:w="1769" w:type="pct"/>
            <w:tcMar>
              <w:top w:w="0" w:type="dxa"/>
              <w:left w:w="108" w:type="dxa"/>
              <w:bottom w:w="0" w:type="dxa"/>
              <w:right w:w="108" w:type="dxa"/>
            </w:tcMar>
          </w:tcPr>
          <w:p w14:paraId="0E4D0D90" w14:textId="77777777" w:rsidR="00A10B25" w:rsidRDefault="00A10B25">
            <w:pPr>
              <w:pStyle w:val="TAL"/>
            </w:pPr>
            <w:r>
              <w:t>TIME_SLOT_START</w:t>
            </w:r>
          </w:p>
        </w:tc>
        <w:tc>
          <w:tcPr>
            <w:tcW w:w="2399" w:type="pct"/>
            <w:tcMar>
              <w:top w:w="0" w:type="dxa"/>
              <w:left w:w="108" w:type="dxa"/>
              <w:bottom w:w="0" w:type="dxa"/>
              <w:right w:w="108" w:type="dxa"/>
            </w:tcMar>
          </w:tcPr>
          <w:p w14:paraId="3D0E0AC1" w14:textId="77777777" w:rsidR="00A10B25" w:rsidRDefault="00A10B25">
            <w:pPr>
              <w:pStyle w:val="TAL"/>
            </w:pPr>
            <w:r>
              <w:t>Indicates the order of time slot start.</w:t>
            </w:r>
          </w:p>
        </w:tc>
        <w:tc>
          <w:tcPr>
            <w:tcW w:w="832" w:type="pct"/>
          </w:tcPr>
          <w:p w14:paraId="5EBF65DA" w14:textId="77777777" w:rsidR="00A10B25" w:rsidRDefault="00A10B25">
            <w:pPr>
              <w:pStyle w:val="TAL"/>
            </w:pPr>
          </w:p>
        </w:tc>
      </w:tr>
      <w:tr w:rsidR="00A10B25" w14:paraId="43D57A68" w14:textId="77777777">
        <w:tc>
          <w:tcPr>
            <w:tcW w:w="1769" w:type="pct"/>
            <w:tcMar>
              <w:top w:w="0" w:type="dxa"/>
              <w:left w:w="108" w:type="dxa"/>
              <w:bottom w:w="0" w:type="dxa"/>
              <w:right w:w="108" w:type="dxa"/>
            </w:tcMar>
          </w:tcPr>
          <w:p w14:paraId="4D34BA83" w14:textId="77777777" w:rsidR="00A10B25" w:rsidRDefault="00A10B25">
            <w:pPr>
              <w:pStyle w:val="TAL"/>
            </w:pPr>
            <w:r>
              <w:t>DISPERSION</w:t>
            </w:r>
          </w:p>
        </w:tc>
        <w:tc>
          <w:tcPr>
            <w:tcW w:w="2399" w:type="pct"/>
            <w:tcMar>
              <w:top w:w="0" w:type="dxa"/>
              <w:left w:w="108" w:type="dxa"/>
              <w:bottom w:w="0" w:type="dxa"/>
              <w:right w:w="108" w:type="dxa"/>
            </w:tcMar>
          </w:tcPr>
          <w:p w14:paraId="7AE41DC3" w14:textId="77777777" w:rsidR="00A10B25" w:rsidRDefault="00A10B25">
            <w:pPr>
              <w:pStyle w:val="TAL"/>
              <w:rPr>
                <w:lang w:eastAsia="zh-CN"/>
              </w:rPr>
            </w:pPr>
            <w:r>
              <w:rPr>
                <w:lang w:eastAsia="zh-CN"/>
              </w:rPr>
              <w:t>Indicates the order of data/transaction dispersion.</w:t>
            </w:r>
          </w:p>
        </w:tc>
        <w:tc>
          <w:tcPr>
            <w:tcW w:w="832" w:type="pct"/>
          </w:tcPr>
          <w:p w14:paraId="1C56AA71" w14:textId="77777777" w:rsidR="00A10B25" w:rsidRDefault="00A10B25">
            <w:pPr>
              <w:pStyle w:val="TAL"/>
            </w:pPr>
          </w:p>
        </w:tc>
      </w:tr>
      <w:tr w:rsidR="00A10B25" w14:paraId="68D63987" w14:textId="77777777">
        <w:tc>
          <w:tcPr>
            <w:tcW w:w="1769" w:type="pct"/>
            <w:tcMar>
              <w:top w:w="0" w:type="dxa"/>
              <w:left w:w="108" w:type="dxa"/>
              <w:bottom w:w="0" w:type="dxa"/>
              <w:right w:w="108" w:type="dxa"/>
            </w:tcMar>
          </w:tcPr>
          <w:p w14:paraId="6FC5BAF3" w14:textId="77777777" w:rsidR="00A10B25" w:rsidRDefault="00A10B25">
            <w:pPr>
              <w:pStyle w:val="TAL"/>
            </w:pPr>
            <w:r>
              <w:t>CLASSIFICATION</w:t>
            </w:r>
          </w:p>
        </w:tc>
        <w:tc>
          <w:tcPr>
            <w:tcW w:w="2399" w:type="pct"/>
            <w:tcMar>
              <w:top w:w="0" w:type="dxa"/>
              <w:left w:w="108" w:type="dxa"/>
              <w:bottom w:w="0" w:type="dxa"/>
              <w:right w:w="108" w:type="dxa"/>
            </w:tcMar>
          </w:tcPr>
          <w:p w14:paraId="0FA1EDF2" w14:textId="77777777" w:rsidR="00A10B25" w:rsidRDefault="00A10B25">
            <w:pPr>
              <w:pStyle w:val="TAL"/>
              <w:rPr>
                <w:lang w:eastAsia="zh-CN"/>
              </w:rPr>
            </w:pPr>
            <w:r>
              <w:rPr>
                <w:lang w:eastAsia="zh-CN"/>
              </w:rPr>
              <w:t>Indicates the order of data/transaction classification.</w:t>
            </w:r>
          </w:p>
        </w:tc>
        <w:tc>
          <w:tcPr>
            <w:tcW w:w="832" w:type="pct"/>
          </w:tcPr>
          <w:p w14:paraId="52322585" w14:textId="77777777" w:rsidR="00A10B25" w:rsidRDefault="00A10B25">
            <w:pPr>
              <w:pStyle w:val="TAL"/>
            </w:pPr>
          </w:p>
        </w:tc>
      </w:tr>
      <w:tr w:rsidR="00A10B25" w14:paraId="026204F2" w14:textId="77777777">
        <w:tc>
          <w:tcPr>
            <w:tcW w:w="1769" w:type="pct"/>
            <w:tcMar>
              <w:top w:w="0" w:type="dxa"/>
              <w:left w:w="108" w:type="dxa"/>
              <w:bottom w:w="0" w:type="dxa"/>
              <w:right w:w="108" w:type="dxa"/>
            </w:tcMar>
          </w:tcPr>
          <w:p w14:paraId="7D69E48E" w14:textId="77777777" w:rsidR="00A10B25" w:rsidRDefault="00A10B25">
            <w:pPr>
              <w:pStyle w:val="TAL"/>
            </w:pPr>
            <w:r>
              <w:t>RANKING</w:t>
            </w:r>
          </w:p>
        </w:tc>
        <w:tc>
          <w:tcPr>
            <w:tcW w:w="2399" w:type="pct"/>
            <w:tcMar>
              <w:top w:w="0" w:type="dxa"/>
              <w:left w:w="108" w:type="dxa"/>
              <w:bottom w:w="0" w:type="dxa"/>
              <w:right w:w="108" w:type="dxa"/>
            </w:tcMar>
          </w:tcPr>
          <w:p w14:paraId="627206BB" w14:textId="77777777" w:rsidR="00A10B25" w:rsidRDefault="00A10B25">
            <w:pPr>
              <w:pStyle w:val="TAL"/>
              <w:rPr>
                <w:lang w:eastAsia="zh-CN"/>
              </w:rPr>
            </w:pPr>
            <w:r>
              <w:rPr>
                <w:lang w:eastAsia="zh-CN"/>
              </w:rPr>
              <w:t>Indicates the order of data/transaction ranking.</w:t>
            </w:r>
          </w:p>
        </w:tc>
        <w:tc>
          <w:tcPr>
            <w:tcW w:w="832" w:type="pct"/>
          </w:tcPr>
          <w:p w14:paraId="4B792A8B" w14:textId="77777777" w:rsidR="00A10B25" w:rsidRDefault="00A10B25">
            <w:pPr>
              <w:pStyle w:val="TAL"/>
            </w:pPr>
          </w:p>
        </w:tc>
      </w:tr>
      <w:tr w:rsidR="00A10B25" w14:paraId="61F595D1" w14:textId="77777777">
        <w:tc>
          <w:tcPr>
            <w:tcW w:w="1769" w:type="pct"/>
            <w:tcMar>
              <w:top w:w="0" w:type="dxa"/>
              <w:left w:w="108" w:type="dxa"/>
              <w:bottom w:w="0" w:type="dxa"/>
              <w:right w:w="108" w:type="dxa"/>
            </w:tcMar>
          </w:tcPr>
          <w:p w14:paraId="0564615A" w14:textId="77777777" w:rsidR="00A10B25" w:rsidRDefault="00A10B25">
            <w:pPr>
              <w:pStyle w:val="TAL"/>
            </w:pPr>
            <w:r>
              <w:t>PE</w:t>
            </w:r>
            <w:r>
              <w:rPr>
                <w:rFonts w:hint="eastAsia"/>
                <w:lang w:eastAsia="zh-CN"/>
              </w:rPr>
              <w:t>R</w:t>
            </w:r>
            <w:r>
              <w:t>CENTILE_RANKING</w:t>
            </w:r>
          </w:p>
        </w:tc>
        <w:tc>
          <w:tcPr>
            <w:tcW w:w="2399" w:type="pct"/>
            <w:tcMar>
              <w:top w:w="0" w:type="dxa"/>
              <w:left w:w="108" w:type="dxa"/>
              <w:bottom w:w="0" w:type="dxa"/>
              <w:right w:w="108" w:type="dxa"/>
            </w:tcMar>
          </w:tcPr>
          <w:p w14:paraId="76F77E54" w14:textId="77777777" w:rsidR="00A10B25" w:rsidRDefault="00A10B25">
            <w:pPr>
              <w:pStyle w:val="TAL"/>
              <w:rPr>
                <w:lang w:eastAsia="zh-CN"/>
              </w:rPr>
            </w:pPr>
            <w:r>
              <w:rPr>
                <w:lang w:eastAsia="zh-CN"/>
              </w:rPr>
              <w:t>Indicates the order of data/transaction percentile ranking.</w:t>
            </w:r>
          </w:p>
        </w:tc>
        <w:tc>
          <w:tcPr>
            <w:tcW w:w="832" w:type="pct"/>
          </w:tcPr>
          <w:p w14:paraId="0FB65C0A" w14:textId="77777777" w:rsidR="00A10B25" w:rsidRDefault="00A10B25">
            <w:pPr>
              <w:pStyle w:val="TAL"/>
            </w:pPr>
          </w:p>
        </w:tc>
      </w:tr>
    </w:tbl>
    <w:p w14:paraId="258156E2" w14:textId="77777777" w:rsidR="00A10B25" w:rsidRDefault="00A10B25"/>
    <w:p w14:paraId="6DEEDB6A" w14:textId="77777777" w:rsidR="00A10B25" w:rsidRDefault="00A10B25">
      <w:pPr>
        <w:pStyle w:val="5"/>
      </w:pPr>
      <w:bookmarkStart w:id="9055" w:name="_Toc120702395"/>
      <w:bookmarkStart w:id="9056" w:name="_Toc94064335"/>
      <w:bookmarkStart w:id="9057" w:name="_Toc136562481"/>
      <w:bookmarkStart w:id="9058" w:name="_Toc114133895"/>
      <w:bookmarkStart w:id="9059" w:name="_Toc113031756"/>
      <w:bookmarkStart w:id="9060" w:name="_Toc112951216"/>
      <w:bookmarkStart w:id="9061" w:name="_Toc145705807"/>
      <w:bookmarkStart w:id="9062" w:name="_Toc101244498"/>
      <w:bookmarkStart w:id="9063" w:name="_Toc138754315"/>
      <w:bookmarkStart w:id="9064" w:name="_Toc148522717"/>
      <w:bookmarkStart w:id="9065" w:name="_Toc98233721"/>
      <w:bookmarkStart w:id="9066" w:name="_Toc104539093"/>
      <w:bookmarkStart w:id="9067" w:name="_Toc164920903"/>
      <w:bookmarkStart w:id="9068" w:name="_Toc170120445"/>
      <w:bookmarkStart w:id="9069" w:name="_Toc175858690"/>
      <w:bookmarkStart w:id="9070" w:name="_Toc175859763"/>
      <w:bookmarkStart w:id="9071" w:name="_Toc180606053"/>
      <w:bookmarkStart w:id="9072" w:name="_Toc185517312"/>
      <w:bookmarkStart w:id="9073" w:name="_Toc191576363"/>
      <w:bookmarkStart w:id="9074" w:name="_Toc191577103"/>
      <w:bookmarkStart w:id="9075" w:name="_Toc192880173"/>
      <w:bookmarkStart w:id="9076" w:name="_Toc195815061"/>
      <w:bookmarkStart w:id="9077" w:name="_Toc199453028"/>
      <w:r>
        <w:t>5.1.6.3.22</w:t>
      </w:r>
      <w:r>
        <w:tab/>
        <w:t>Enumeration: RedTransExpOrderingCriterion</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7F645E00"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5.1.6.3.22-1: Enumeration RedTransExpOrderingCriterion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4BDE8621" w14:textId="77777777">
        <w:tc>
          <w:tcPr>
            <w:tcW w:w="1769" w:type="pct"/>
            <w:shd w:val="clear" w:color="auto" w:fill="C0C0C0"/>
            <w:tcMar>
              <w:top w:w="0" w:type="dxa"/>
              <w:left w:w="108" w:type="dxa"/>
              <w:bottom w:w="0" w:type="dxa"/>
              <w:right w:w="108" w:type="dxa"/>
            </w:tcMar>
          </w:tcPr>
          <w:p w14:paraId="487726CD"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1E18699B" w14:textId="77777777" w:rsidR="00A10B25" w:rsidRDefault="00A10B25">
            <w:pPr>
              <w:pStyle w:val="TAH"/>
            </w:pPr>
            <w:r>
              <w:t>Description</w:t>
            </w:r>
          </w:p>
        </w:tc>
        <w:tc>
          <w:tcPr>
            <w:tcW w:w="832" w:type="pct"/>
            <w:shd w:val="clear" w:color="auto" w:fill="C0C0C0"/>
          </w:tcPr>
          <w:p w14:paraId="29981EB3" w14:textId="77777777" w:rsidR="00A10B25" w:rsidRDefault="00A10B25">
            <w:pPr>
              <w:pStyle w:val="TAH"/>
            </w:pPr>
            <w:r>
              <w:t>Applicability</w:t>
            </w:r>
          </w:p>
        </w:tc>
      </w:tr>
      <w:tr w:rsidR="00A10B25" w14:paraId="52128336" w14:textId="77777777">
        <w:tc>
          <w:tcPr>
            <w:tcW w:w="1769" w:type="pct"/>
            <w:tcMar>
              <w:top w:w="0" w:type="dxa"/>
              <w:left w:w="108" w:type="dxa"/>
              <w:bottom w:w="0" w:type="dxa"/>
              <w:right w:w="108" w:type="dxa"/>
            </w:tcMar>
          </w:tcPr>
          <w:p w14:paraId="32CC764F" w14:textId="77777777" w:rsidR="00A10B25" w:rsidRDefault="00A10B25">
            <w:pPr>
              <w:pStyle w:val="TAL"/>
            </w:pPr>
            <w:r>
              <w:t>TIME_SLOT_START</w:t>
            </w:r>
          </w:p>
        </w:tc>
        <w:tc>
          <w:tcPr>
            <w:tcW w:w="2399" w:type="pct"/>
            <w:tcMar>
              <w:top w:w="0" w:type="dxa"/>
              <w:left w:w="108" w:type="dxa"/>
              <w:bottom w:w="0" w:type="dxa"/>
              <w:right w:w="108" w:type="dxa"/>
            </w:tcMar>
          </w:tcPr>
          <w:p w14:paraId="68E371C3" w14:textId="77777777" w:rsidR="00A10B25" w:rsidRDefault="00A10B25">
            <w:pPr>
              <w:pStyle w:val="TAL"/>
            </w:pPr>
            <w:r>
              <w:t>Indicates the order of time slot start.</w:t>
            </w:r>
          </w:p>
        </w:tc>
        <w:tc>
          <w:tcPr>
            <w:tcW w:w="832" w:type="pct"/>
          </w:tcPr>
          <w:p w14:paraId="78904776" w14:textId="77777777" w:rsidR="00A10B25" w:rsidRDefault="00A10B25">
            <w:pPr>
              <w:pStyle w:val="TAL"/>
            </w:pPr>
          </w:p>
        </w:tc>
      </w:tr>
      <w:tr w:rsidR="00A10B25" w14:paraId="37BA289D" w14:textId="77777777">
        <w:tc>
          <w:tcPr>
            <w:tcW w:w="1769" w:type="pct"/>
            <w:tcMar>
              <w:top w:w="0" w:type="dxa"/>
              <w:left w:w="108" w:type="dxa"/>
              <w:bottom w:w="0" w:type="dxa"/>
              <w:right w:w="108" w:type="dxa"/>
            </w:tcMar>
          </w:tcPr>
          <w:p w14:paraId="2B408682" w14:textId="77777777" w:rsidR="00A10B25" w:rsidRDefault="00A10B25">
            <w:pPr>
              <w:pStyle w:val="TAL"/>
            </w:pPr>
            <w:r>
              <w:t>RED_TRANS_EXP</w:t>
            </w:r>
          </w:p>
        </w:tc>
        <w:tc>
          <w:tcPr>
            <w:tcW w:w="2399" w:type="pct"/>
            <w:tcMar>
              <w:top w:w="0" w:type="dxa"/>
              <w:left w:w="108" w:type="dxa"/>
              <w:bottom w:w="0" w:type="dxa"/>
              <w:right w:w="108" w:type="dxa"/>
            </w:tcMar>
          </w:tcPr>
          <w:p w14:paraId="65750589" w14:textId="77777777" w:rsidR="00A10B25" w:rsidRDefault="00A10B25">
            <w:pPr>
              <w:pStyle w:val="TAL"/>
              <w:rPr>
                <w:lang w:eastAsia="zh-CN"/>
              </w:rPr>
            </w:pPr>
            <w:r>
              <w:rPr>
                <w:lang w:eastAsia="zh-CN"/>
              </w:rPr>
              <w:t>Indicates the order of Redundant Transmission Experience.</w:t>
            </w:r>
          </w:p>
        </w:tc>
        <w:tc>
          <w:tcPr>
            <w:tcW w:w="832" w:type="pct"/>
          </w:tcPr>
          <w:p w14:paraId="55625094" w14:textId="77777777" w:rsidR="00A10B25" w:rsidRDefault="00A10B25">
            <w:pPr>
              <w:pStyle w:val="TAL"/>
            </w:pPr>
          </w:p>
        </w:tc>
      </w:tr>
    </w:tbl>
    <w:p w14:paraId="7BB4E99F" w14:textId="77777777" w:rsidR="00A10B25" w:rsidRDefault="00A10B25"/>
    <w:p w14:paraId="667369C0" w14:textId="77777777" w:rsidR="00A10B25" w:rsidRDefault="00A10B25">
      <w:pPr>
        <w:pStyle w:val="5"/>
      </w:pPr>
      <w:bookmarkStart w:id="9078" w:name="_Toc113031757"/>
      <w:bookmarkStart w:id="9079" w:name="_Toc145705808"/>
      <w:bookmarkStart w:id="9080" w:name="_Toc148522718"/>
      <w:bookmarkStart w:id="9081" w:name="_Toc98233722"/>
      <w:bookmarkStart w:id="9082" w:name="_Toc136562482"/>
      <w:bookmarkStart w:id="9083" w:name="_Toc112951217"/>
      <w:bookmarkStart w:id="9084" w:name="_Toc114133896"/>
      <w:bookmarkStart w:id="9085" w:name="_Toc120702396"/>
      <w:bookmarkStart w:id="9086" w:name="_Toc94064336"/>
      <w:bookmarkStart w:id="9087" w:name="_Toc101244499"/>
      <w:bookmarkStart w:id="9088" w:name="_Toc104539094"/>
      <w:bookmarkStart w:id="9089" w:name="_Toc138754316"/>
      <w:bookmarkStart w:id="9090" w:name="_Toc164920904"/>
      <w:bookmarkStart w:id="9091" w:name="_Toc170120446"/>
      <w:bookmarkStart w:id="9092" w:name="_Toc175858691"/>
      <w:bookmarkStart w:id="9093" w:name="_Toc175859764"/>
      <w:bookmarkStart w:id="9094" w:name="_Toc180606054"/>
      <w:bookmarkStart w:id="9095" w:name="_Toc185517313"/>
      <w:bookmarkStart w:id="9096" w:name="_Toc191576364"/>
      <w:bookmarkStart w:id="9097" w:name="_Toc191577104"/>
      <w:bookmarkStart w:id="9098" w:name="_Toc192880174"/>
      <w:bookmarkStart w:id="9099" w:name="_Toc195815062"/>
      <w:bookmarkStart w:id="9100" w:name="_Toc199453029"/>
      <w:r>
        <w:t>5.1.6.3.23</w:t>
      </w:r>
      <w:r>
        <w:tab/>
        <w:t>Enumeration: WlanOrderingCriterion</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74ACE7A7"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5.1.6.3.23-1: Enumeration WlanOrderingCriterion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65701B72" w14:textId="77777777">
        <w:tc>
          <w:tcPr>
            <w:tcW w:w="1769" w:type="pct"/>
            <w:shd w:val="clear" w:color="auto" w:fill="C0C0C0"/>
            <w:tcMar>
              <w:top w:w="0" w:type="dxa"/>
              <w:left w:w="108" w:type="dxa"/>
              <w:bottom w:w="0" w:type="dxa"/>
              <w:right w:w="108" w:type="dxa"/>
            </w:tcMar>
          </w:tcPr>
          <w:p w14:paraId="283FEA01"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3700F76A" w14:textId="77777777" w:rsidR="00A10B25" w:rsidRDefault="00A10B25">
            <w:pPr>
              <w:pStyle w:val="TAH"/>
            </w:pPr>
            <w:r>
              <w:t>Description</w:t>
            </w:r>
          </w:p>
        </w:tc>
        <w:tc>
          <w:tcPr>
            <w:tcW w:w="832" w:type="pct"/>
            <w:shd w:val="clear" w:color="auto" w:fill="C0C0C0"/>
          </w:tcPr>
          <w:p w14:paraId="3B206930" w14:textId="77777777" w:rsidR="00A10B25" w:rsidRDefault="00A10B25">
            <w:pPr>
              <w:pStyle w:val="TAH"/>
            </w:pPr>
            <w:r>
              <w:t>Applicability</w:t>
            </w:r>
          </w:p>
        </w:tc>
      </w:tr>
      <w:tr w:rsidR="00A10B25" w14:paraId="360E693C" w14:textId="77777777">
        <w:tc>
          <w:tcPr>
            <w:tcW w:w="1769" w:type="pct"/>
            <w:tcMar>
              <w:top w:w="0" w:type="dxa"/>
              <w:left w:w="108" w:type="dxa"/>
              <w:bottom w:w="0" w:type="dxa"/>
              <w:right w:w="108" w:type="dxa"/>
            </w:tcMar>
          </w:tcPr>
          <w:p w14:paraId="18D9C96C" w14:textId="77777777" w:rsidR="00A10B25" w:rsidRDefault="00A10B25">
            <w:pPr>
              <w:pStyle w:val="TAL"/>
            </w:pPr>
            <w:r>
              <w:t>TIME_SLOT_START</w:t>
            </w:r>
          </w:p>
        </w:tc>
        <w:tc>
          <w:tcPr>
            <w:tcW w:w="2399" w:type="pct"/>
            <w:tcMar>
              <w:top w:w="0" w:type="dxa"/>
              <w:left w:w="108" w:type="dxa"/>
              <w:bottom w:w="0" w:type="dxa"/>
              <w:right w:w="108" w:type="dxa"/>
            </w:tcMar>
          </w:tcPr>
          <w:p w14:paraId="7610E203" w14:textId="77777777" w:rsidR="00A10B25" w:rsidRDefault="00A10B25">
            <w:pPr>
              <w:pStyle w:val="TAL"/>
            </w:pPr>
            <w:r>
              <w:t>Indicates the order of time slot start.</w:t>
            </w:r>
          </w:p>
        </w:tc>
        <w:tc>
          <w:tcPr>
            <w:tcW w:w="832" w:type="pct"/>
          </w:tcPr>
          <w:p w14:paraId="00BB8C9F" w14:textId="77777777" w:rsidR="00A10B25" w:rsidRDefault="00A10B25">
            <w:pPr>
              <w:pStyle w:val="TAL"/>
            </w:pPr>
          </w:p>
        </w:tc>
      </w:tr>
      <w:tr w:rsidR="00A10B25" w14:paraId="4479754A" w14:textId="77777777">
        <w:tc>
          <w:tcPr>
            <w:tcW w:w="1769" w:type="pct"/>
            <w:tcMar>
              <w:top w:w="0" w:type="dxa"/>
              <w:left w:w="108" w:type="dxa"/>
              <w:bottom w:w="0" w:type="dxa"/>
              <w:right w:w="108" w:type="dxa"/>
            </w:tcMar>
          </w:tcPr>
          <w:p w14:paraId="61E7E27C" w14:textId="77777777" w:rsidR="00A10B25" w:rsidRDefault="00A10B25">
            <w:pPr>
              <w:pStyle w:val="TAL"/>
            </w:pPr>
            <w:r>
              <w:t>NUMBER_OF_UES</w:t>
            </w:r>
          </w:p>
        </w:tc>
        <w:tc>
          <w:tcPr>
            <w:tcW w:w="2399" w:type="pct"/>
            <w:tcMar>
              <w:top w:w="0" w:type="dxa"/>
              <w:left w:w="108" w:type="dxa"/>
              <w:bottom w:w="0" w:type="dxa"/>
              <w:right w:w="108" w:type="dxa"/>
            </w:tcMar>
          </w:tcPr>
          <w:p w14:paraId="17E8A37D" w14:textId="77777777" w:rsidR="00A10B25" w:rsidRDefault="00A10B25">
            <w:pPr>
              <w:pStyle w:val="TAL"/>
            </w:pPr>
            <w:r>
              <w:t>Indicates the order of number of UEs.</w:t>
            </w:r>
          </w:p>
        </w:tc>
        <w:tc>
          <w:tcPr>
            <w:tcW w:w="832" w:type="pct"/>
          </w:tcPr>
          <w:p w14:paraId="52D4B03A" w14:textId="77777777" w:rsidR="00A10B25" w:rsidRDefault="00A10B25">
            <w:pPr>
              <w:pStyle w:val="TAL"/>
            </w:pPr>
          </w:p>
        </w:tc>
      </w:tr>
      <w:tr w:rsidR="00A10B25" w14:paraId="20766440" w14:textId="77777777">
        <w:tc>
          <w:tcPr>
            <w:tcW w:w="1769" w:type="pct"/>
            <w:tcMar>
              <w:top w:w="0" w:type="dxa"/>
              <w:left w:w="108" w:type="dxa"/>
              <w:bottom w:w="0" w:type="dxa"/>
              <w:right w:w="108" w:type="dxa"/>
            </w:tcMar>
          </w:tcPr>
          <w:p w14:paraId="02957805" w14:textId="77777777" w:rsidR="00A10B25" w:rsidRDefault="00A10B25">
            <w:pPr>
              <w:pStyle w:val="TAL"/>
            </w:pPr>
            <w:r>
              <w:t>RSSI</w:t>
            </w:r>
          </w:p>
        </w:tc>
        <w:tc>
          <w:tcPr>
            <w:tcW w:w="2399" w:type="pct"/>
            <w:tcMar>
              <w:top w:w="0" w:type="dxa"/>
              <w:left w:w="108" w:type="dxa"/>
              <w:bottom w:w="0" w:type="dxa"/>
              <w:right w:w="108" w:type="dxa"/>
            </w:tcMar>
          </w:tcPr>
          <w:p w14:paraId="3B2A0D04" w14:textId="77777777" w:rsidR="00A10B25" w:rsidRDefault="00A10B25">
            <w:pPr>
              <w:pStyle w:val="TAL"/>
            </w:pPr>
            <w:r>
              <w:t>Indicates the order of RSSI.</w:t>
            </w:r>
          </w:p>
        </w:tc>
        <w:tc>
          <w:tcPr>
            <w:tcW w:w="832" w:type="pct"/>
          </w:tcPr>
          <w:p w14:paraId="57422AF2" w14:textId="77777777" w:rsidR="00A10B25" w:rsidRDefault="00A10B25">
            <w:pPr>
              <w:pStyle w:val="TAL"/>
            </w:pPr>
          </w:p>
        </w:tc>
      </w:tr>
      <w:tr w:rsidR="00A10B25" w14:paraId="3FD47C46" w14:textId="77777777">
        <w:tc>
          <w:tcPr>
            <w:tcW w:w="1769" w:type="pct"/>
            <w:tcMar>
              <w:top w:w="0" w:type="dxa"/>
              <w:left w:w="108" w:type="dxa"/>
              <w:bottom w:w="0" w:type="dxa"/>
              <w:right w:w="108" w:type="dxa"/>
            </w:tcMar>
          </w:tcPr>
          <w:p w14:paraId="78F0B906" w14:textId="77777777" w:rsidR="00A10B25" w:rsidRDefault="00A10B25">
            <w:pPr>
              <w:pStyle w:val="TAL"/>
            </w:pPr>
            <w:r>
              <w:t>RTT</w:t>
            </w:r>
          </w:p>
        </w:tc>
        <w:tc>
          <w:tcPr>
            <w:tcW w:w="2399" w:type="pct"/>
            <w:tcMar>
              <w:top w:w="0" w:type="dxa"/>
              <w:left w:w="108" w:type="dxa"/>
              <w:bottom w:w="0" w:type="dxa"/>
              <w:right w:w="108" w:type="dxa"/>
            </w:tcMar>
          </w:tcPr>
          <w:p w14:paraId="45F709D9" w14:textId="77777777" w:rsidR="00A10B25" w:rsidRDefault="00A10B25">
            <w:pPr>
              <w:pStyle w:val="TAL"/>
              <w:rPr>
                <w:lang w:eastAsia="zh-CN"/>
              </w:rPr>
            </w:pPr>
            <w:r>
              <w:rPr>
                <w:lang w:eastAsia="zh-CN"/>
              </w:rPr>
              <w:t>Indicates the order of RTT.</w:t>
            </w:r>
          </w:p>
        </w:tc>
        <w:tc>
          <w:tcPr>
            <w:tcW w:w="832" w:type="pct"/>
          </w:tcPr>
          <w:p w14:paraId="3141AE9D" w14:textId="77777777" w:rsidR="00A10B25" w:rsidRDefault="00A10B25">
            <w:pPr>
              <w:pStyle w:val="TAL"/>
            </w:pPr>
          </w:p>
        </w:tc>
      </w:tr>
      <w:tr w:rsidR="00A10B25" w14:paraId="608CF3A7" w14:textId="77777777">
        <w:tc>
          <w:tcPr>
            <w:tcW w:w="1769" w:type="pct"/>
            <w:tcMar>
              <w:top w:w="0" w:type="dxa"/>
              <w:left w:w="108" w:type="dxa"/>
              <w:bottom w:w="0" w:type="dxa"/>
              <w:right w:w="108" w:type="dxa"/>
            </w:tcMar>
          </w:tcPr>
          <w:p w14:paraId="55B06EF5" w14:textId="77777777" w:rsidR="00A10B25" w:rsidRDefault="00A10B25">
            <w:pPr>
              <w:pStyle w:val="TAL"/>
            </w:pPr>
            <w:r>
              <w:t>TRAFFIC_INFO</w:t>
            </w:r>
          </w:p>
        </w:tc>
        <w:tc>
          <w:tcPr>
            <w:tcW w:w="2399" w:type="pct"/>
            <w:tcMar>
              <w:top w:w="0" w:type="dxa"/>
              <w:left w:w="108" w:type="dxa"/>
              <w:bottom w:w="0" w:type="dxa"/>
              <w:right w:w="108" w:type="dxa"/>
            </w:tcMar>
          </w:tcPr>
          <w:p w14:paraId="6C9D8B90" w14:textId="77777777" w:rsidR="00A10B25" w:rsidRDefault="00A10B25">
            <w:pPr>
              <w:pStyle w:val="TAL"/>
              <w:rPr>
                <w:lang w:eastAsia="zh-CN"/>
              </w:rPr>
            </w:pPr>
            <w:r>
              <w:rPr>
                <w:lang w:eastAsia="zh-CN"/>
              </w:rPr>
              <w:t>Indicates the order of Traffic Information</w:t>
            </w:r>
          </w:p>
        </w:tc>
        <w:tc>
          <w:tcPr>
            <w:tcW w:w="832" w:type="pct"/>
          </w:tcPr>
          <w:p w14:paraId="72FFF5FE" w14:textId="77777777" w:rsidR="00A10B25" w:rsidRDefault="00A10B25">
            <w:pPr>
              <w:pStyle w:val="TAL"/>
            </w:pPr>
          </w:p>
        </w:tc>
      </w:tr>
    </w:tbl>
    <w:p w14:paraId="1A6C3A8B" w14:textId="77777777" w:rsidR="00A10B25" w:rsidRDefault="00A10B25"/>
    <w:p w14:paraId="450E970D" w14:textId="77777777" w:rsidR="00A10B25" w:rsidRDefault="00A10B25">
      <w:pPr>
        <w:pStyle w:val="5"/>
      </w:pPr>
      <w:bookmarkStart w:id="9101" w:name="_Toc136562483"/>
      <w:bookmarkStart w:id="9102" w:name="_Toc94064337"/>
      <w:bookmarkStart w:id="9103" w:name="_Toc145705809"/>
      <w:bookmarkStart w:id="9104" w:name="_Toc148522719"/>
      <w:bookmarkStart w:id="9105" w:name="_Toc98233723"/>
      <w:bookmarkStart w:id="9106" w:name="_Toc114133897"/>
      <w:bookmarkStart w:id="9107" w:name="_Toc113031758"/>
      <w:bookmarkStart w:id="9108" w:name="_Toc138754317"/>
      <w:bookmarkStart w:id="9109" w:name="_Toc112951218"/>
      <w:bookmarkStart w:id="9110" w:name="_Toc101244500"/>
      <w:bookmarkStart w:id="9111" w:name="_Toc104539095"/>
      <w:bookmarkStart w:id="9112" w:name="_Toc120702397"/>
      <w:bookmarkStart w:id="9113" w:name="_Toc164920905"/>
      <w:bookmarkStart w:id="9114" w:name="_Toc170120447"/>
      <w:bookmarkStart w:id="9115" w:name="_Toc175858692"/>
      <w:bookmarkStart w:id="9116" w:name="_Toc175859765"/>
      <w:bookmarkStart w:id="9117" w:name="_Toc180606055"/>
      <w:bookmarkStart w:id="9118" w:name="_Toc185517314"/>
      <w:bookmarkStart w:id="9119" w:name="_Toc191576365"/>
      <w:bookmarkStart w:id="9120" w:name="_Toc191577105"/>
      <w:bookmarkStart w:id="9121" w:name="_Toc192880175"/>
      <w:bookmarkStart w:id="9122" w:name="_Toc195815063"/>
      <w:bookmarkStart w:id="9123" w:name="_Toc199453030"/>
      <w:r>
        <w:lastRenderedPageBreak/>
        <w:t>5.1.6.3.24</w:t>
      </w:r>
      <w:r>
        <w:tab/>
        <w:t>Enumeration:</w:t>
      </w:r>
      <w:r>
        <w:rPr>
          <w:lang w:eastAsia="zh-CN"/>
        </w:rPr>
        <w:t xml:space="preserve"> ServiceExperienceType</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BC59C2C" w14:textId="77777777" w:rsidR="00A10B25" w:rsidRDefault="00A10B25">
      <w:pPr>
        <w:pStyle w:val="TH"/>
      </w:pPr>
      <w:r>
        <w:t xml:space="preserve">Table 5.1.6.3.24-1: Definition of type </w:t>
      </w:r>
      <w:r>
        <w:rPr>
          <w:lang w:eastAsia="zh-CN"/>
        </w:rPr>
        <w:t>ServiceExperienceType</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5D9D2B2C" w14:textId="77777777">
        <w:tc>
          <w:tcPr>
            <w:tcW w:w="1769" w:type="pct"/>
            <w:shd w:val="clear" w:color="auto" w:fill="C0C0C0"/>
            <w:tcMar>
              <w:top w:w="0" w:type="dxa"/>
              <w:left w:w="108" w:type="dxa"/>
              <w:bottom w:w="0" w:type="dxa"/>
              <w:right w:w="108" w:type="dxa"/>
            </w:tcMar>
          </w:tcPr>
          <w:p w14:paraId="470524A4"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2B5B8D8F" w14:textId="77777777" w:rsidR="00A10B25" w:rsidRDefault="00A10B25">
            <w:pPr>
              <w:pStyle w:val="TAH"/>
            </w:pPr>
            <w:r>
              <w:t>Description</w:t>
            </w:r>
          </w:p>
        </w:tc>
        <w:tc>
          <w:tcPr>
            <w:tcW w:w="832" w:type="pct"/>
            <w:shd w:val="clear" w:color="auto" w:fill="C0C0C0"/>
          </w:tcPr>
          <w:p w14:paraId="72526297" w14:textId="77777777" w:rsidR="00A10B25" w:rsidRDefault="00A10B25">
            <w:pPr>
              <w:pStyle w:val="TAH"/>
            </w:pPr>
            <w:r>
              <w:t>Applicability</w:t>
            </w:r>
          </w:p>
        </w:tc>
      </w:tr>
      <w:tr w:rsidR="00A10B25" w14:paraId="27F444BD" w14:textId="77777777">
        <w:tc>
          <w:tcPr>
            <w:tcW w:w="1769" w:type="pct"/>
            <w:tcMar>
              <w:top w:w="0" w:type="dxa"/>
              <w:left w:w="108" w:type="dxa"/>
              <w:bottom w:w="0" w:type="dxa"/>
              <w:right w:w="108" w:type="dxa"/>
            </w:tcMar>
          </w:tcPr>
          <w:p w14:paraId="718E1B9C" w14:textId="77777777" w:rsidR="00A10B25" w:rsidRDefault="00A10B25">
            <w:pPr>
              <w:pStyle w:val="TAL"/>
              <w:rPr>
                <w:lang w:eastAsia="zh-CN"/>
              </w:rPr>
            </w:pPr>
            <w:r>
              <w:rPr>
                <w:lang w:eastAsia="zh-CN"/>
              </w:rPr>
              <w:t>VOICE</w:t>
            </w:r>
          </w:p>
        </w:tc>
        <w:tc>
          <w:tcPr>
            <w:tcW w:w="2399" w:type="pct"/>
            <w:tcMar>
              <w:top w:w="0" w:type="dxa"/>
              <w:left w:w="108" w:type="dxa"/>
              <w:bottom w:w="0" w:type="dxa"/>
              <w:right w:w="108" w:type="dxa"/>
            </w:tcMar>
          </w:tcPr>
          <w:p w14:paraId="73C62DB3" w14:textId="77777777" w:rsidR="00A10B25" w:rsidRDefault="00A10B25">
            <w:pPr>
              <w:pStyle w:val="TAL"/>
              <w:rPr>
                <w:lang w:eastAsia="zh-CN"/>
              </w:rPr>
            </w:pPr>
            <w:r>
              <w:rPr>
                <w:rFonts w:hint="eastAsia"/>
                <w:lang w:eastAsia="zh-CN"/>
              </w:rPr>
              <w:t>I</w:t>
            </w:r>
            <w:r>
              <w:rPr>
                <w:lang w:eastAsia="zh-CN"/>
              </w:rPr>
              <w:t>ndicates that the service experience analytics is for voice service.</w:t>
            </w:r>
          </w:p>
        </w:tc>
        <w:tc>
          <w:tcPr>
            <w:tcW w:w="832" w:type="pct"/>
          </w:tcPr>
          <w:p w14:paraId="14D419F3" w14:textId="77777777" w:rsidR="00A10B25" w:rsidRDefault="00A10B25">
            <w:pPr>
              <w:pStyle w:val="TAL"/>
            </w:pPr>
          </w:p>
        </w:tc>
      </w:tr>
      <w:tr w:rsidR="00A10B25" w14:paraId="06874DD4" w14:textId="77777777">
        <w:tc>
          <w:tcPr>
            <w:tcW w:w="1769" w:type="pct"/>
            <w:tcMar>
              <w:top w:w="0" w:type="dxa"/>
              <w:left w:w="108" w:type="dxa"/>
              <w:bottom w:w="0" w:type="dxa"/>
              <w:right w:w="108" w:type="dxa"/>
            </w:tcMar>
          </w:tcPr>
          <w:p w14:paraId="60FDC8BF" w14:textId="77777777" w:rsidR="00A10B25" w:rsidRDefault="00A10B25">
            <w:pPr>
              <w:pStyle w:val="TAL"/>
            </w:pPr>
            <w:r>
              <w:rPr>
                <w:lang w:eastAsia="zh-CN"/>
              </w:rPr>
              <w:t>VIDEO</w:t>
            </w:r>
          </w:p>
        </w:tc>
        <w:tc>
          <w:tcPr>
            <w:tcW w:w="2399" w:type="pct"/>
            <w:tcMar>
              <w:top w:w="0" w:type="dxa"/>
              <w:left w:w="108" w:type="dxa"/>
              <w:bottom w:w="0" w:type="dxa"/>
              <w:right w:w="108" w:type="dxa"/>
            </w:tcMar>
          </w:tcPr>
          <w:p w14:paraId="030B292C" w14:textId="77777777" w:rsidR="00A10B25" w:rsidRDefault="00A10B25">
            <w:pPr>
              <w:pStyle w:val="TAL"/>
              <w:rPr>
                <w:lang w:eastAsia="zh-CN"/>
              </w:rPr>
            </w:pPr>
            <w:r>
              <w:rPr>
                <w:rFonts w:hint="eastAsia"/>
                <w:lang w:eastAsia="zh-CN"/>
              </w:rPr>
              <w:t>I</w:t>
            </w:r>
            <w:r>
              <w:rPr>
                <w:lang w:eastAsia="zh-CN"/>
              </w:rPr>
              <w:t>ndicates that the service experience analytics is for video service.</w:t>
            </w:r>
          </w:p>
        </w:tc>
        <w:tc>
          <w:tcPr>
            <w:tcW w:w="832" w:type="pct"/>
          </w:tcPr>
          <w:p w14:paraId="5E373208" w14:textId="77777777" w:rsidR="00A10B25" w:rsidRDefault="00A10B25">
            <w:pPr>
              <w:pStyle w:val="TAL"/>
            </w:pPr>
          </w:p>
        </w:tc>
      </w:tr>
      <w:tr w:rsidR="00A10B25" w14:paraId="69262587" w14:textId="77777777">
        <w:tc>
          <w:tcPr>
            <w:tcW w:w="1769" w:type="pct"/>
            <w:tcMar>
              <w:top w:w="0" w:type="dxa"/>
              <w:left w:w="108" w:type="dxa"/>
              <w:bottom w:w="0" w:type="dxa"/>
              <w:right w:w="108" w:type="dxa"/>
            </w:tcMar>
          </w:tcPr>
          <w:p w14:paraId="0FC17E3C" w14:textId="77777777" w:rsidR="00A10B25" w:rsidRDefault="00A10B25">
            <w:pPr>
              <w:pStyle w:val="TAL"/>
              <w:rPr>
                <w:lang w:eastAsia="zh-CN"/>
              </w:rPr>
            </w:pPr>
            <w:r>
              <w:rPr>
                <w:lang w:eastAsia="zh-CN"/>
              </w:rPr>
              <w:t>OTHER</w:t>
            </w:r>
          </w:p>
        </w:tc>
        <w:tc>
          <w:tcPr>
            <w:tcW w:w="2399" w:type="pct"/>
            <w:tcMar>
              <w:top w:w="0" w:type="dxa"/>
              <w:left w:w="108" w:type="dxa"/>
              <w:bottom w:w="0" w:type="dxa"/>
              <w:right w:w="108" w:type="dxa"/>
            </w:tcMar>
          </w:tcPr>
          <w:p w14:paraId="0D146A77" w14:textId="77777777" w:rsidR="00A10B25" w:rsidRDefault="00A10B25">
            <w:pPr>
              <w:pStyle w:val="TAL"/>
              <w:rPr>
                <w:rFonts w:hint="eastAsia"/>
                <w:lang w:eastAsia="zh-CN"/>
              </w:rPr>
            </w:pPr>
            <w:r>
              <w:rPr>
                <w:lang w:eastAsia="zh-CN"/>
              </w:rPr>
              <w:t>Indicates that the service experience analytics is for other service.</w:t>
            </w:r>
          </w:p>
        </w:tc>
        <w:tc>
          <w:tcPr>
            <w:tcW w:w="832" w:type="pct"/>
          </w:tcPr>
          <w:p w14:paraId="63450037" w14:textId="77777777" w:rsidR="00A10B25" w:rsidRDefault="00A10B25">
            <w:pPr>
              <w:pStyle w:val="TAL"/>
            </w:pPr>
          </w:p>
        </w:tc>
      </w:tr>
    </w:tbl>
    <w:p w14:paraId="777AAD4B" w14:textId="77777777" w:rsidR="00A10B25" w:rsidRDefault="00A10B25">
      <w:pPr>
        <w:rPr>
          <w:lang w:val="en-US" w:eastAsia="zh-CN"/>
        </w:rPr>
      </w:pPr>
    </w:p>
    <w:p w14:paraId="3856FCC0" w14:textId="77777777" w:rsidR="00A10B25" w:rsidRDefault="00A10B25">
      <w:pPr>
        <w:pStyle w:val="5"/>
      </w:pPr>
      <w:bookmarkStart w:id="9124" w:name="_Toc136562484"/>
      <w:bookmarkStart w:id="9125" w:name="_Toc114133898"/>
      <w:bookmarkStart w:id="9126" w:name="_Toc138754318"/>
      <w:bookmarkStart w:id="9127" w:name="_Toc120702398"/>
      <w:bookmarkStart w:id="9128" w:name="_Toc148522720"/>
      <w:bookmarkStart w:id="9129" w:name="_Toc112951219"/>
      <w:bookmarkStart w:id="9130" w:name="_Toc101244501"/>
      <w:bookmarkStart w:id="9131" w:name="_Toc113031759"/>
      <w:bookmarkStart w:id="9132" w:name="_Toc98233724"/>
      <w:bookmarkStart w:id="9133" w:name="_Toc145705810"/>
      <w:bookmarkStart w:id="9134" w:name="_Toc104539096"/>
      <w:bookmarkStart w:id="9135" w:name="_Toc164920906"/>
      <w:bookmarkStart w:id="9136" w:name="_Toc170120448"/>
      <w:bookmarkStart w:id="9137" w:name="_Toc175858693"/>
      <w:bookmarkStart w:id="9138" w:name="_Toc175859766"/>
      <w:bookmarkStart w:id="9139" w:name="_Toc180606056"/>
      <w:bookmarkStart w:id="9140" w:name="_Toc185517315"/>
      <w:bookmarkStart w:id="9141" w:name="_Toc191576366"/>
      <w:bookmarkStart w:id="9142" w:name="_Toc191577106"/>
      <w:bookmarkStart w:id="9143" w:name="_Toc192880176"/>
      <w:bookmarkStart w:id="9144" w:name="_Toc195815064"/>
      <w:bookmarkStart w:id="9145" w:name="_Toc199453031"/>
      <w:r>
        <w:t>5.1.6.3.25</w:t>
      </w:r>
      <w:r>
        <w:tab/>
        <w:t xml:space="preserve">Enumeration: </w:t>
      </w:r>
      <w:r>
        <w:rPr>
          <w:lang w:eastAsia="zh-CN"/>
        </w:rPr>
        <w:t>DnPerfOrderingCriterion</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7C2B17CE"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5.1.6.3.25-1: Enumeration </w:t>
      </w:r>
      <w:r>
        <w:rPr>
          <w:lang w:eastAsia="zh-CN"/>
        </w:rPr>
        <w:t>DnPerfOrderingCriterion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4B2B607E" w14:textId="77777777">
        <w:tc>
          <w:tcPr>
            <w:tcW w:w="1769" w:type="pct"/>
            <w:shd w:val="clear" w:color="auto" w:fill="C0C0C0"/>
            <w:tcMar>
              <w:top w:w="0" w:type="dxa"/>
              <w:left w:w="108" w:type="dxa"/>
              <w:bottom w:w="0" w:type="dxa"/>
              <w:right w:w="108" w:type="dxa"/>
            </w:tcMar>
          </w:tcPr>
          <w:p w14:paraId="1C3D33AC"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72F40E72" w14:textId="77777777" w:rsidR="00A10B25" w:rsidRDefault="00A10B25">
            <w:pPr>
              <w:pStyle w:val="TAH"/>
            </w:pPr>
            <w:r>
              <w:t>Description</w:t>
            </w:r>
          </w:p>
        </w:tc>
        <w:tc>
          <w:tcPr>
            <w:tcW w:w="832" w:type="pct"/>
            <w:shd w:val="clear" w:color="auto" w:fill="C0C0C0"/>
          </w:tcPr>
          <w:p w14:paraId="17DB17C3" w14:textId="77777777" w:rsidR="00A10B25" w:rsidRDefault="00A10B25">
            <w:pPr>
              <w:pStyle w:val="TAH"/>
            </w:pPr>
            <w:r>
              <w:t>Applicability</w:t>
            </w:r>
          </w:p>
        </w:tc>
      </w:tr>
      <w:tr w:rsidR="00A10B25" w14:paraId="4615CACF" w14:textId="77777777">
        <w:tc>
          <w:tcPr>
            <w:tcW w:w="1769" w:type="pct"/>
            <w:tcMar>
              <w:top w:w="0" w:type="dxa"/>
              <w:left w:w="108" w:type="dxa"/>
              <w:bottom w:w="0" w:type="dxa"/>
              <w:right w:w="108" w:type="dxa"/>
            </w:tcMar>
          </w:tcPr>
          <w:p w14:paraId="5A2194A5" w14:textId="77777777" w:rsidR="00A10B25" w:rsidRDefault="00A10B25">
            <w:pPr>
              <w:pStyle w:val="TAL"/>
            </w:pPr>
            <w:r>
              <w:t>AVERAGE_TRAFFIC_RATE</w:t>
            </w:r>
          </w:p>
        </w:tc>
        <w:tc>
          <w:tcPr>
            <w:tcW w:w="2399" w:type="pct"/>
            <w:tcMar>
              <w:top w:w="0" w:type="dxa"/>
              <w:left w:w="108" w:type="dxa"/>
              <w:bottom w:w="0" w:type="dxa"/>
              <w:right w:w="108" w:type="dxa"/>
            </w:tcMar>
          </w:tcPr>
          <w:p w14:paraId="555053BC" w14:textId="77777777" w:rsidR="00A10B25" w:rsidRDefault="00A10B25">
            <w:pPr>
              <w:pStyle w:val="TAL"/>
            </w:pPr>
            <w:r>
              <w:t xml:space="preserve">Indicates the </w:t>
            </w:r>
            <w:r>
              <w:rPr>
                <w:lang w:eastAsia="zh-CN"/>
              </w:rPr>
              <w:t>average traffic rate</w:t>
            </w:r>
            <w:r>
              <w:t>.</w:t>
            </w:r>
          </w:p>
        </w:tc>
        <w:tc>
          <w:tcPr>
            <w:tcW w:w="832" w:type="pct"/>
          </w:tcPr>
          <w:p w14:paraId="05A92C51" w14:textId="77777777" w:rsidR="00A10B25" w:rsidRDefault="00A10B25">
            <w:pPr>
              <w:pStyle w:val="TAL"/>
            </w:pPr>
          </w:p>
        </w:tc>
      </w:tr>
      <w:tr w:rsidR="00A10B25" w14:paraId="4C859270" w14:textId="77777777">
        <w:tc>
          <w:tcPr>
            <w:tcW w:w="1769" w:type="pct"/>
            <w:tcMar>
              <w:top w:w="0" w:type="dxa"/>
              <w:left w:w="108" w:type="dxa"/>
              <w:bottom w:w="0" w:type="dxa"/>
              <w:right w:w="108" w:type="dxa"/>
            </w:tcMar>
          </w:tcPr>
          <w:p w14:paraId="4D12478E" w14:textId="77777777" w:rsidR="00A10B25" w:rsidRDefault="00A10B25">
            <w:pPr>
              <w:pStyle w:val="TAL"/>
            </w:pPr>
            <w:r>
              <w:t>MAXIMUM_TRAFFIC_RATE</w:t>
            </w:r>
          </w:p>
        </w:tc>
        <w:tc>
          <w:tcPr>
            <w:tcW w:w="2399" w:type="pct"/>
            <w:tcMar>
              <w:top w:w="0" w:type="dxa"/>
              <w:left w:w="108" w:type="dxa"/>
              <w:bottom w:w="0" w:type="dxa"/>
              <w:right w:w="108" w:type="dxa"/>
            </w:tcMar>
          </w:tcPr>
          <w:p w14:paraId="5150030D" w14:textId="77777777" w:rsidR="00A10B25" w:rsidRDefault="00A10B25">
            <w:pPr>
              <w:pStyle w:val="TAL"/>
            </w:pPr>
            <w:r>
              <w:t>Indicates the maximum traffic rate.</w:t>
            </w:r>
          </w:p>
        </w:tc>
        <w:tc>
          <w:tcPr>
            <w:tcW w:w="832" w:type="pct"/>
          </w:tcPr>
          <w:p w14:paraId="0591FC38" w14:textId="77777777" w:rsidR="00A10B25" w:rsidRDefault="00A10B25">
            <w:pPr>
              <w:pStyle w:val="TAL"/>
            </w:pPr>
          </w:p>
        </w:tc>
      </w:tr>
      <w:tr w:rsidR="00A10B25" w14:paraId="6FD55D89" w14:textId="77777777">
        <w:tc>
          <w:tcPr>
            <w:tcW w:w="1769" w:type="pct"/>
            <w:tcMar>
              <w:top w:w="0" w:type="dxa"/>
              <w:left w:w="108" w:type="dxa"/>
              <w:bottom w:w="0" w:type="dxa"/>
              <w:right w:w="108" w:type="dxa"/>
            </w:tcMar>
          </w:tcPr>
          <w:p w14:paraId="3B4F9EF7" w14:textId="77777777" w:rsidR="00A10B25" w:rsidRDefault="00A10B25">
            <w:pPr>
              <w:pStyle w:val="TAL"/>
            </w:pPr>
            <w:r>
              <w:t>AVERAGE_PACKET_DELAY</w:t>
            </w:r>
          </w:p>
        </w:tc>
        <w:tc>
          <w:tcPr>
            <w:tcW w:w="2399" w:type="pct"/>
            <w:tcMar>
              <w:top w:w="0" w:type="dxa"/>
              <w:left w:w="108" w:type="dxa"/>
              <w:bottom w:w="0" w:type="dxa"/>
              <w:right w:w="108" w:type="dxa"/>
            </w:tcMar>
          </w:tcPr>
          <w:p w14:paraId="7892401F" w14:textId="77777777" w:rsidR="00A10B25" w:rsidRDefault="00A10B25">
            <w:pPr>
              <w:pStyle w:val="TAL"/>
            </w:pPr>
            <w:r>
              <w:t xml:space="preserve">Indicates the </w:t>
            </w:r>
            <w:r>
              <w:rPr>
                <w:lang w:eastAsia="zh-CN"/>
              </w:rPr>
              <w:t xml:space="preserve">average </w:t>
            </w:r>
            <w:r>
              <w:t>packet delay.</w:t>
            </w:r>
          </w:p>
        </w:tc>
        <w:tc>
          <w:tcPr>
            <w:tcW w:w="832" w:type="pct"/>
          </w:tcPr>
          <w:p w14:paraId="1DB2CFAA" w14:textId="77777777" w:rsidR="00A10B25" w:rsidRDefault="00A10B25">
            <w:pPr>
              <w:pStyle w:val="TAL"/>
            </w:pPr>
          </w:p>
        </w:tc>
      </w:tr>
      <w:tr w:rsidR="00A10B25" w14:paraId="7AAE8E2D" w14:textId="77777777">
        <w:tc>
          <w:tcPr>
            <w:tcW w:w="1769" w:type="pct"/>
            <w:tcMar>
              <w:top w:w="0" w:type="dxa"/>
              <w:left w:w="108" w:type="dxa"/>
              <w:bottom w:w="0" w:type="dxa"/>
              <w:right w:w="108" w:type="dxa"/>
            </w:tcMar>
          </w:tcPr>
          <w:p w14:paraId="6772341F" w14:textId="77777777" w:rsidR="00A10B25" w:rsidRDefault="00A10B25">
            <w:pPr>
              <w:pStyle w:val="TAL"/>
            </w:pPr>
            <w:r>
              <w:t>MAXIMUM_PACKET_DELAY</w:t>
            </w:r>
          </w:p>
        </w:tc>
        <w:tc>
          <w:tcPr>
            <w:tcW w:w="2399" w:type="pct"/>
            <w:tcMar>
              <w:top w:w="0" w:type="dxa"/>
              <w:left w:w="108" w:type="dxa"/>
              <w:bottom w:w="0" w:type="dxa"/>
              <w:right w:w="108" w:type="dxa"/>
            </w:tcMar>
          </w:tcPr>
          <w:p w14:paraId="23468412" w14:textId="77777777" w:rsidR="00A10B25" w:rsidRDefault="00A10B25">
            <w:pPr>
              <w:pStyle w:val="TAL"/>
              <w:rPr>
                <w:lang w:eastAsia="zh-CN"/>
              </w:rPr>
            </w:pPr>
            <w:r>
              <w:rPr>
                <w:lang w:eastAsia="zh-CN"/>
              </w:rPr>
              <w:t>Indicates the maximum packet delay.</w:t>
            </w:r>
          </w:p>
        </w:tc>
        <w:tc>
          <w:tcPr>
            <w:tcW w:w="832" w:type="pct"/>
          </w:tcPr>
          <w:p w14:paraId="63457536" w14:textId="77777777" w:rsidR="00A10B25" w:rsidRDefault="00A10B25">
            <w:pPr>
              <w:pStyle w:val="TAL"/>
            </w:pPr>
          </w:p>
        </w:tc>
      </w:tr>
      <w:tr w:rsidR="00A10B25" w14:paraId="0E6419C0" w14:textId="77777777">
        <w:tc>
          <w:tcPr>
            <w:tcW w:w="1769" w:type="pct"/>
            <w:tcMar>
              <w:top w:w="0" w:type="dxa"/>
              <w:left w:w="108" w:type="dxa"/>
              <w:bottom w:w="0" w:type="dxa"/>
              <w:right w:w="108" w:type="dxa"/>
            </w:tcMar>
          </w:tcPr>
          <w:p w14:paraId="15915454" w14:textId="77777777" w:rsidR="00A10B25" w:rsidRDefault="00A10B25">
            <w:pPr>
              <w:pStyle w:val="TAL"/>
            </w:pPr>
            <w:r>
              <w:t>AVERAGE_PACKET_LOSS_RATE</w:t>
            </w:r>
          </w:p>
        </w:tc>
        <w:tc>
          <w:tcPr>
            <w:tcW w:w="2399" w:type="pct"/>
            <w:tcMar>
              <w:top w:w="0" w:type="dxa"/>
              <w:left w:w="108" w:type="dxa"/>
              <w:bottom w:w="0" w:type="dxa"/>
              <w:right w:w="108" w:type="dxa"/>
            </w:tcMar>
          </w:tcPr>
          <w:p w14:paraId="035CD749" w14:textId="77777777" w:rsidR="00A10B25" w:rsidRDefault="00A10B25">
            <w:pPr>
              <w:pStyle w:val="TAL"/>
              <w:rPr>
                <w:lang w:eastAsia="zh-CN"/>
              </w:rPr>
            </w:pPr>
            <w:r>
              <w:rPr>
                <w:lang w:eastAsia="zh-CN"/>
              </w:rPr>
              <w:t>Indicates the average packet loss rate.</w:t>
            </w:r>
          </w:p>
        </w:tc>
        <w:tc>
          <w:tcPr>
            <w:tcW w:w="832" w:type="pct"/>
          </w:tcPr>
          <w:p w14:paraId="1BBBCAE9" w14:textId="77777777" w:rsidR="00A10B25" w:rsidRDefault="00A10B25">
            <w:pPr>
              <w:pStyle w:val="TAL"/>
            </w:pPr>
          </w:p>
        </w:tc>
      </w:tr>
    </w:tbl>
    <w:p w14:paraId="313C8AB5" w14:textId="77777777" w:rsidR="00A10B25" w:rsidRDefault="00A10B25"/>
    <w:p w14:paraId="7AA1FED1" w14:textId="77777777" w:rsidR="00A10B25" w:rsidRDefault="00A10B25">
      <w:pPr>
        <w:pStyle w:val="5"/>
      </w:pPr>
      <w:bookmarkStart w:id="9146" w:name="_Toc148522721"/>
      <w:bookmarkStart w:id="9147" w:name="_Toc120702399"/>
      <w:bookmarkStart w:id="9148" w:name="_Toc145705811"/>
      <w:bookmarkStart w:id="9149" w:name="_Toc136562485"/>
      <w:bookmarkStart w:id="9150" w:name="_Toc138754319"/>
      <w:bookmarkStart w:id="9151" w:name="_Toc164920907"/>
      <w:bookmarkStart w:id="9152" w:name="_Toc170120449"/>
      <w:bookmarkStart w:id="9153" w:name="_Toc175858694"/>
      <w:bookmarkStart w:id="9154" w:name="_Toc175859767"/>
      <w:bookmarkStart w:id="9155" w:name="_Toc180606057"/>
      <w:bookmarkStart w:id="9156" w:name="_Toc185517316"/>
      <w:bookmarkStart w:id="9157" w:name="_Toc191576367"/>
      <w:bookmarkStart w:id="9158" w:name="_Toc191577107"/>
      <w:bookmarkStart w:id="9159" w:name="_Toc192880177"/>
      <w:bookmarkStart w:id="9160" w:name="_Toc195815065"/>
      <w:bookmarkStart w:id="9161" w:name="_Toc199453032"/>
      <w:r>
        <w:t>5.1.6.3.26</w:t>
      </w:r>
      <w:r>
        <w:tab/>
        <w:t>Enumeration: TermCause</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33B9998E" w14:textId="77777777" w:rsidR="00A10B25" w:rsidRDefault="00A10B25">
      <w:pPr>
        <w:pStyle w:val="TH"/>
        <w:overflowPunct w:val="0"/>
        <w:autoSpaceDE w:val="0"/>
        <w:autoSpaceDN w:val="0"/>
        <w:adjustRightInd w:val="0"/>
        <w:textAlignment w:val="baseline"/>
        <w:rPr>
          <w:rFonts w:eastAsia="MS Mincho"/>
        </w:rPr>
      </w:pPr>
      <w:r>
        <w:rPr>
          <w:rFonts w:eastAsia="MS Mincho"/>
        </w:rPr>
        <w:t>Table 5.1.6.3.26-1: Enumeration TermCause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383D24CC" w14:textId="77777777">
        <w:tc>
          <w:tcPr>
            <w:tcW w:w="1919" w:type="pct"/>
            <w:shd w:val="clear" w:color="auto" w:fill="C0C0C0"/>
            <w:tcMar>
              <w:top w:w="0" w:type="dxa"/>
              <w:left w:w="108" w:type="dxa"/>
              <w:bottom w:w="0" w:type="dxa"/>
              <w:right w:w="108" w:type="dxa"/>
            </w:tcMar>
          </w:tcPr>
          <w:p w14:paraId="7244995A"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4CBBF773" w14:textId="77777777" w:rsidR="00A10B25" w:rsidRDefault="00A10B25">
            <w:pPr>
              <w:pStyle w:val="TAH"/>
            </w:pPr>
            <w:r>
              <w:t>Description</w:t>
            </w:r>
          </w:p>
        </w:tc>
        <w:tc>
          <w:tcPr>
            <w:tcW w:w="889" w:type="pct"/>
            <w:shd w:val="clear" w:color="auto" w:fill="C0C0C0"/>
          </w:tcPr>
          <w:p w14:paraId="6210C407" w14:textId="77777777" w:rsidR="00A10B25" w:rsidRDefault="00A10B25">
            <w:pPr>
              <w:pStyle w:val="TAH"/>
            </w:pPr>
            <w:r>
              <w:t>Applicability</w:t>
            </w:r>
          </w:p>
        </w:tc>
      </w:tr>
      <w:tr w:rsidR="00A10B25" w14:paraId="666936FE" w14:textId="77777777">
        <w:tc>
          <w:tcPr>
            <w:tcW w:w="1919" w:type="pct"/>
            <w:tcMar>
              <w:top w:w="0" w:type="dxa"/>
              <w:left w:w="108" w:type="dxa"/>
              <w:bottom w:w="0" w:type="dxa"/>
              <w:right w:w="108" w:type="dxa"/>
            </w:tcMar>
          </w:tcPr>
          <w:p w14:paraId="1CB9814D" w14:textId="77777777" w:rsidR="00A10B25" w:rsidRDefault="00A10B25">
            <w:pPr>
              <w:pStyle w:val="TAL"/>
            </w:pPr>
            <w:r>
              <w:t>USER_CONSENT_REVOKED</w:t>
            </w:r>
          </w:p>
        </w:tc>
        <w:tc>
          <w:tcPr>
            <w:tcW w:w="2192" w:type="pct"/>
            <w:tcMar>
              <w:top w:w="0" w:type="dxa"/>
              <w:left w:w="108" w:type="dxa"/>
              <w:bottom w:w="0" w:type="dxa"/>
              <w:right w:w="108" w:type="dxa"/>
            </w:tcMar>
          </w:tcPr>
          <w:p w14:paraId="13A21CA0" w14:textId="77777777" w:rsidR="00A10B25" w:rsidRDefault="00A10B25">
            <w:pPr>
              <w:pStyle w:val="TAL"/>
            </w:pPr>
            <w:r>
              <w:t>The user consent has been revoked.</w:t>
            </w:r>
          </w:p>
        </w:tc>
        <w:tc>
          <w:tcPr>
            <w:tcW w:w="889" w:type="pct"/>
          </w:tcPr>
          <w:p w14:paraId="4D30DBB3" w14:textId="77777777" w:rsidR="00A10B25" w:rsidRDefault="00A10B25">
            <w:pPr>
              <w:pStyle w:val="TAL"/>
            </w:pPr>
          </w:p>
        </w:tc>
      </w:tr>
      <w:tr w:rsidR="00A10B25" w14:paraId="1F3DD208" w14:textId="77777777">
        <w:tc>
          <w:tcPr>
            <w:tcW w:w="1919" w:type="pct"/>
            <w:tcMar>
              <w:top w:w="0" w:type="dxa"/>
              <w:left w:w="108" w:type="dxa"/>
              <w:bottom w:w="0" w:type="dxa"/>
              <w:right w:w="108" w:type="dxa"/>
            </w:tcMar>
          </w:tcPr>
          <w:p w14:paraId="6D6FADB9" w14:textId="77777777" w:rsidR="00A10B25" w:rsidRDefault="00A10B25">
            <w:pPr>
              <w:pStyle w:val="TAL"/>
            </w:pPr>
            <w:r>
              <w:t>NWDAF_OVERLOAD</w:t>
            </w:r>
          </w:p>
        </w:tc>
        <w:tc>
          <w:tcPr>
            <w:tcW w:w="2192" w:type="pct"/>
            <w:tcMar>
              <w:top w:w="0" w:type="dxa"/>
              <w:left w:w="108" w:type="dxa"/>
              <w:bottom w:w="0" w:type="dxa"/>
              <w:right w:w="108" w:type="dxa"/>
            </w:tcMar>
          </w:tcPr>
          <w:p w14:paraId="70689148" w14:textId="77777777" w:rsidR="00A10B25" w:rsidRDefault="00A10B25">
            <w:pPr>
              <w:pStyle w:val="TAL"/>
              <w:rPr>
                <w:lang w:eastAsia="zh-CN"/>
              </w:rPr>
            </w:pPr>
            <w:r>
              <w:rPr>
                <w:lang w:eastAsia="zh-CN"/>
              </w:rPr>
              <w:t>The NWDAF is overloaded.</w:t>
            </w:r>
          </w:p>
        </w:tc>
        <w:tc>
          <w:tcPr>
            <w:tcW w:w="889" w:type="pct"/>
          </w:tcPr>
          <w:p w14:paraId="769A79C1" w14:textId="77777777" w:rsidR="00A10B25" w:rsidRDefault="00A10B25">
            <w:pPr>
              <w:pStyle w:val="TAL"/>
            </w:pPr>
          </w:p>
        </w:tc>
      </w:tr>
      <w:tr w:rsidR="00A10B25" w14:paraId="2D4189C1" w14:textId="77777777">
        <w:tc>
          <w:tcPr>
            <w:tcW w:w="1919" w:type="pct"/>
            <w:tcMar>
              <w:top w:w="0" w:type="dxa"/>
              <w:left w:w="108" w:type="dxa"/>
              <w:bottom w:w="0" w:type="dxa"/>
              <w:right w:w="108" w:type="dxa"/>
            </w:tcMar>
          </w:tcPr>
          <w:p w14:paraId="21AF4C8F" w14:textId="77777777" w:rsidR="00A10B25" w:rsidRDefault="00A10B25">
            <w:pPr>
              <w:pStyle w:val="TAL"/>
            </w:pPr>
            <w:r>
              <w:t>UE_LEFT_AREA</w:t>
            </w:r>
          </w:p>
        </w:tc>
        <w:tc>
          <w:tcPr>
            <w:tcW w:w="2192" w:type="pct"/>
            <w:tcMar>
              <w:top w:w="0" w:type="dxa"/>
              <w:left w:w="108" w:type="dxa"/>
              <w:bottom w:w="0" w:type="dxa"/>
              <w:right w:w="108" w:type="dxa"/>
            </w:tcMar>
          </w:tcPr>
          <w:p w14:paraId="5D18C0A5" w14:textId="77777777" w:rsidR="00A10B25" w:rsidRDefault="00A10B25">
            <w:pPr>
              <w:pStyle w:val="TAL"/>
              <w:rPr>
                <w:lang w:eastAsia="zh-CN"/>
              </w:rPr>
            </w:pPr>
            <w:r>
              <w:rPr>
                <w:lang w:eastAsia="zh-CN"/>
              </w:rPr>
              <w:t>The UE has moved out of the NWDAF serving area.</w:t>
            </w:r>
          </w:p>
        </w:tc>
        <w:tc>
          <w:tcPr>
            <w:tcW w:w="889" w:type="pct"/>
          </w:tcPr>
          <w:p w14:paraId="19A36AB6" w14:textId="77777777" w:rsidR="00A10B25" w:rsidRDefault="00A10B25">
            <w:pPr>
              <w:pStyle w:val="TAL"/>
            </w:pPr>
          </w:p>
        </w:tc>
      </w:tr>
    </w:tbl>
    <w:p w14:paraId="464E8F73" w14:textId="77777777" w:rsidR="00A10B25" w:rsidRDefault="00A10B25"/>
    <w:p w14:paraId="4EE1FC8D" w14:textId="77777777" w:rsidR="00A10B25" w:rsidRDefault="00A10B25">
      <w:pPr>
        <w:pStyle w:val="5"/>
      </w:pPr>
      <w:bookmarkStart w:id="9162" w:name="_Toc148522722"/>
      <w:bookmarkStart w:id="9163" w:name="_Toc136562486"/>
      <w:bookmarkStart w:id="9164" w:name="_Toc138754320"/>
      <w:bookmarkStart w:id="9165" w:name="_Toc145705812"/>
      <w:bookmarkStart w:id="9166" w:name="_Toc164920908"/>
      <w:bookmarkStart w:id="9167" w:name="_Toc170120450"/>
      <w:bookmarkStart w:id="9168" w:name="_Toc175858695"/>
      <w:bookmarkStart w:id="9169" w:name="_Toc175859768"/>
      <w:bookmarkStart w:id="9170" w:name="_Toc180606058"/>
      <w:bookmarkStart w:id="9171" w:name="_Toc185517317"/>
      <w:bookmarkStart w:id="9172" w:name="_Toc191576368"/>
      <w:bookmarkStart w:id="9173" w:name="_Toc191577108"/>
      <w:bookmarkStart w:id="9174" w:name="_Toc192880178"/>
      <w:bookmarkStart w:id="9175" w:name="_Toc195815066"/>
      <w:bookmarkStart w:id="9176" w:name="_Toc199453033"/>
      <w:r>
        <w:t>5.1.6.3.27</w:t>
      </w:r>
      <w:r>
        <w:tab/>
        <w:t>Enumeration: UserDataConOrderCrit</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4EA29BE4"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5.1.6.3.27-1: Enumeration </w:t>
      </w:r>
      <w:r>
        <w:t>UserDataConOrderCrit</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5405E357" w14:textId="77777777">
        <w:tc>
          <w:tcPr>
            <w:tcW w:w="1769" w:type="pct"/>
            <w:shd w:val="clear" w:color="auto" w:fill="C0C0C0"/>
            <w:tcMar>
              <w:top w:w="0" w:type="dxa"/>
              <w:left w:w="108" w:type="dxa"/>
              <w:bottom w:w="0" w:type="dxa"/>
              <w:right w:w="108" w:type="dxa"/>
            </w:tcMar>
          </w:tcPr>
          <w:p w14:paraId="4F435E88" w14:textId="77777777" w:rsidR="00A10B25" w:rsidRDefault="00A10B25">
            <w:pPr>
              <w:pStyle w:val="TAH"/>
            </w:pPr>
            <w:r>
              <w:t>Enumeration value</w:t>
            </w:r>
          </w:p>
        </w:tc>
        <w:tc>
          <w:tcPr>
            <w:tcW w:w="2455" w:type="pct"/>
            <w:shd w:val="clear" w:color="auto" w:fill="C0C0C0"/>
            <w:tcMar>
              <w:top w:w="0" w:type="dxa"/>
              <w:left w:w="108" w:type="dxa"/>
              <w:bottom w:w="0" w:type="dxa"/>
              <w:right w:w="108" w:type="dxa"/>
            </w:tcMar>
          </w:tcPr>
          <w:p w14:paraId="668E660A" w14:textId="77777777" w:rsidR="00A10B25" w:rsidRDefault="00A10B25">
            <w:pPr>
              <w:pStyle w:val="TAH"/>
            </w:pPr>
            <w:r>
              <w:t>Description</w:t>
            </w:r>
          </w:p>
        </w:tc>
        <w:tc>
          <w:tcPr>
            <w:tcW w:w="776" w:type="pct"/>
            <w:shd w:val="clear" w:color="auto" w:fill="C0C0C0"/>
          </w:tcPr>
          <w:p w14:paraId="7FED7747" w14:textId="77777777" w:rsidR="00A10B25" w:rsidRDefault="00A10B25">
            <w:pPr>
              <w:pStyle w:val="TAH"/>
            </w:pPr>
            <w:r>
              <w:t>Applicability</w:t>
            </w:r>
          </w:p>
        </w:tc>
      </w:tr>
      <w:tr w:rsidR="00A10B25" w14:paraId="60F51D19" w14:textId="77777777">
        <w:tc>
          <w:tcPr>
            <w:tcW w:w="1769" w:type="pct"/>
            <w:tcMar>
              <w:top w:w="0" w:type="dxa"/>
              <w:left w:w="108" w:type="dxa"/>
              <w:bottom w:w="0" w:type="dxa"/>
              <w:right w:w="108" w:type="dxa"/>
            </w:tcMar>
          </w:tcPr>
          <w:p w14:paraId="00EF66E3" w14:textId="77777777" w:rsidR="00A10B25" w:rsidRDefault="00A10B25">
            <w:pPr>
              <w:pStyle w:val="TAL"/>
            </w:pPr>
            <w:r>
              <w:t>APPLICABLE_TIME_WINDOW</w:t>
            </w:r>
          </w:p>
        </w:tc>
        <w:tc>
          <w:tcPr>
            <w:tcW w:w="2455" w:type="pct"/>
            <w:tcMar>
              <w:top w:w="0" w:type="dxa"/>
              <w:left w:w="108" w:type="dxa"/>
              <w:bottom w:w="0" w:type="dxa"/>
              <w:right w:w="108" w:type="dxa"/>
            </w:tcMar>
          </w:tcPr>
          <w:p w14:paraId="7B4AC39D" w14:textId="77777777" w:rsidR="00A10B25" w:rsidRDefault="00A10B25">
            <w:pPr>
              <w:pStyle w:val="TAL"/>
            </w:pPr>
            <w:r>
              <w:t>T</w:t>
            </w:r>
            <w:r>
              <w:rPr>
                <w:rFonts w:hint="eastAsia"/>
                <w:lang w:eastAsia="zh-CN"/>
              </w:rPr>
              <w:t>he</w:t>
            </w:r>
            <w:r>
              <w:rPr>
                <w:lang w:eastAsia="zh-CN"/>
              </w:rPr>
              <w:t xml:space="preserve"> ordering criterion</w:t>
            </w:r>
            <w:r>
              <w:t xml:space="preserve"> is the Applicable Time Window.</w:t>
            </w:r>
          </w:p>
        </w:tc>
        <w:tc>
          <w:tcPr>
            <w:tcW w:w="776" w:type="pct"/>
          </w:tcPr>
          <w:p w14:paraId="7E3F643B" w14:textId="77777777" w:rsidR="00A10B25" w:rsidRDefault="00A10B25">
            <w:pPr>
              <w:pStyle w:val="TAL"/>
            </w:pPr>
          </w:p>
        </w:tc>
      </w:tr>
      <w:tr w:rsidR="00A10B25" w14:paraId="78549E63" w14:textId="77777777">
        <w:tc>
          <w:tcPr>
            <w:tcW w:w="1769" w:type="pct"/>
            <w:tcMar>
              <w:top w:w="0" w:type="dxa"/>
              <w:left w:w="108" w:type="dxa"/>
              <w:bottom w:w="0" w:type="dxa"/>
              <w:right w:w="108" w:type="dxa"/>
            </w:tcMar>
          </w:tcPr>
          <w:p w14:paraId="366A370D" w14:textId="77777777" w:rsidR="00A10B25" w:rsidRDefault="00A10B25">
            <w:pPr>
              <w:pStyle w:val="TAL"/>
              <w:rPr>
                <w:lang w:eastAsia="zh-CN"/>
              </w:rPr>
            </w:pPr>
            <w:r>
              <w:rPr>
                <w:lang w:eastAsia="zh-CN"/>
              </w:rPr>
              <w:t>NETWORK_STATUS_INDICATION</w:t>
            </w:r>
          </w:p>
        </w:tc>
        <w:tc>
          <w:tcPr>
            <w:tcW w:w="2455" w:type="pct"/>
            <w:tcMar>
              <w:top w:w="0" w:type="dxa"/>
              <w:left w:w="108" w:type="dxa"/>
              <w:bottom w:w="0" w:type="dxa"/>
              <w:right w:w="108" w:type="dxa"/>
            </w:tcMar>
          </w:tcPr>
          <w:p w14:paraId="23CEC7F0" w14:textId="77777777" w:rsidR="00A10B25" w:rsidRDefault="00A10B25">
            <w:pPr>
              <w:pStyle w:val="TAL"/>
            </w:pPr>
            <w:r>
              <w:t>T</w:t>
            </w:r>
            <w:r>
              <w:rPr>
                <w:rFonts w:hint="eastAsia"/>
                <w:lang w:eastAsia="zh-CN"/>
              </w:rPr>
              <w:t>he</w:t>
            </w:r>
            <w:r>
              <w:rPr>
                <w:lang w:eastAsia="zh-CN"/>
              </w:rPr>
              <w:t xml:space="preserve"> ordering criterion</w:t>
            </w:r>
            <w:r>
              <w:t xml:space="preserve"> is the </w:t>
            </w:r>
            <w:r>
              <w:rPr>
                <w:lang w:eastAsia="zh-CN"/>
              </w:rPr>
              <w:t>network status indication</w:t>
            </w:r>
            <w:r>
              <w:t>.</w:t>
            </w:r>
          </w:p>
        </w:tc>
        <w:tc>
          <w:tcPr>
            <w:tcW w:w="776" w:type="pct"/>
          </w:tcPr>
          <w:p w14:paraId="4ED91056" w14:textId="77777777" w:rsidR="00A10B25" w:rsidRDefault="00A10B25">
            <w:pPr>
              <w:pStyle w:val="TAL"/>
            </w:pPr>
          </w:p>
        </w:tc>
      </w:tr>
    </w:tbl>
    <w:p w14:paraId="614D326D" w14:textId="77777777" w:rsidR="00A10B25" w:rsidRDefault="00A10B25">
      <w:pPr>
        <w:rPr>
          <w:rFonts w:hint="eastAsia"/>
          <w:lang w:eastAsia="zh-CN"/>
        </w:rPr>
      </w:pPr>
    </w:p>
    <w:p w14:paraId="6994602E" w14:textId="77777777" w:rsidR="00A10B25" w:rsidRDefault="00A10B25">
      <w:pPr>
        <w:pStyle w:val="5"/>
      </w:pPr>
      <w:bookmarkStart w:id="9177" w:name="_Toc136562487"/>
      <w:bookmarkStart w:id="9178" w:name="_Toc138754321"/>
      <w:bookmarkStart w:id="9179" w:name="_Toc145705813"/>
      <w:bookmarkStart w:id="9180" w:name="_Toc148522723"/>
      <w:bookmarkStart w:id="9181" w:name="_Toc94064338"/>
      <w:bookmarkStart w:id="9182" w:name="_Toc83233125"/>
      <w:bookmarkStart w:id="9183" w:name="_Toc90655933"/>
      <w:bookmarkStart w:id="9184" w:name="_Toc88667648"/>
      <w:bookmarkStart w:id="9185" w:name="_Toc114133899"/>
      <w:bookmarkStart w:id="9186" w:name="_Toc50032019"/>
      <w:bookmarkStart w:id="9187" w:name="_Toc45134087"/>
      <w:bookmarkStart w:id="9188" w:name="_Toc120702400"/>
      <w:bookmarkStart w:id="9189" w:name="_Toc113031760"/>
      <w:bookmarkStart w:id="9190" w:name="_Toc34266329"/>
      <w:bookmarkStart w:id="9191" w:name="_Toc68169005"/>
      <w:bookmarkStart w:id="9192" w:name="_Toc112951220"/>
      <w:bookmarkStart w:id="9193" w:name="_Toc36102500"/>
      <w:bookmarkStart w:id="9194" w:name="_Toc51762939"/>
      <w:bookmarkStart w:id="9195" w:name="_Toc70550672"/>
      <w:bookmarkStart w:id="9196" w:name="_Toc28012843"/>
      <w:bookmarkStart w:id="9197" w:name="_Toc98233725"/>
      <w:bookmarkStart w:id="9198" w:name="_Toc59017976"/>
      <w:bookmarkStart w:id="9199" w:name="_Toc66231844"/>
      <w:bookmarkStart w:id="9200" w:name="_Toc85557140"/>
      <w:bookmarkStart w:id="9201" w:name="_Toc43563544"/>
      <w:bookmarkStart w:id="9202" w:name="_Toc104539097"/>
      <w:bookmarkStart w:id="9203" w:name="_Toc56641008"/>
      <w:bookmarkStart w:id="9204" w:name="_Toc101244502"/>
      <w:bookmarkStart w:id="9205" w:name="_Toc85553041"/>
      <w:bookmarkStart w:id="9206" w:name="_Toc164920909"/>
      <w:bookmarkStart w:id="9207" w:name="_Toc170120451"/>
      <w:bookmarkStart w:id="9208" w:name="_Toc175858696"/>
      <w:bookmarkStart w:id="9209" w:name="_Toc175859769"/>
      <w:bookmarkStart w:id="9210" w:name="_Toc180606059"/>
      <w:bookmarkStart w:id="9211" w:name="_Toc185517318"/>
      <w:bookmarkStart w:id="9212" w:name="_Toc191576369"/>
      <w:bookmarkStart w:id="9213" w:name="_Toc191577109"/>
      <w:bookmarkStart w:id="9214" w:name="_Toc192880179"/>
      <w:bookmarkStart w:id="9215" w:name="_Toc195815067"/>
      <w:bookmarkStart w:id="9216" w:name="_Toc199453034"/>
      <w:r>
        <w:t>5.1.6.3.28</w:t>
      </w:r>
      <w:r>
        <w:tab/>
        <w:t>Enumeration: UeMobilityOrderCriterion</w:t>
      </w:r>
      <w:bookmarkEnd w:id="9177"/>
      <w:bookmarkEnd w:id="9178"/>
      <w:bookmarkEnd w:id="9179"/>
      <w:bookmarkEnd w:id="9180"/>
      <w:bookmarkEnd w:id="9206"/>
      <w:bookmarkEnd w:id="9207"/>
      <w:bookmarkEnd w:id="9208"/>
      <w:bookmarkEnd w:id="9209"/>
      <w:bookmarkEnd w:id="9210"/>
      <w:bookmarkEnd w:id="9211"/>
      <w:bookmarkEnd w:id="9212"/>
      <w:bookmarkEnd w:id="9213"/>
      <w:bookmarkEnd w:id="9214"/>
      <w:bookmarkEnd w:id="9215"/>
      <w:bookmarkEnd w:id="9216"/>
    </w:p>
    <w:p w14:paraId="7C3AA3B7"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5.1.6.3.28-1: Enumeration </w:t>
      </w:r>
      <w:r>
        <w:t>UeMobilityOrderCriterion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29BDD11C" w14:textId="77777777">
        <w:tc>
          <w:tcPr>
            <w:tcW w:w="1769" w:type="pct"/>
            <w:shd w:val="clear" w:color="auto" w:fill="C0C0C0"/>
            <w:tcMar>
              <w:top w:w="0" w:type="dxa"/>
              <w:left w:w="108" w:type="dxa"/>
              <w:bottom w:w="0" w:type="dxa"/>
              <w:right w:w="108" w:type="dxa"/>
            </w:tcMar>
          </w:tcPr>
          <w:p w14:paraId="70A7AFF8" w14:textId="77777777" w:rsidR="00A10B25" w:rsidRDefault="00A10B25">
            <w:pPr>
              <w:pStyle w:val="TAH"/>
            </w:pPr>
            <w:r>
              <w:t>Enumeration value</w:t>
            </w:r>
          </w:p>
        </w:tc>
        <w:tc>
          <w:tcPr>
            <w:tcW w:w="2455" w:type="pct"/>
            <w:shd w:val="clear" w:color="auto" w:fill="C0C0C0"/>
            <w:tcMar>
              <w:top w:w="0" w:type="dxa"/>
              <w:left w:w="108" w:type="dxa"/>
              <w:bottom w:w="0" w:type="dxa"/>
              <w:right w:w="108" w:type="dxa"/>
            </w:tcMar>
          </w:tcPr>
          <w:p w14:paraId="6C16AD1C" w14:textId="77777777" w:rsidR="00A10B25" w:rsidRDefault="00A10B25">
            <w:pPr>
              <w:pStyle w:val="TAH"/>
            </w:pPr>
            <w:r>
              <w:t>Description</w:t>
            </w:r>
          </w:p>
        </w:tc>
        <w:tc>
          <w:tcPr>
            <w:tcW w:w="776" w:type="pct"/>
            <w:shd w:val="clear" w:color="auto" w:fill="C0C0C0"/>
          </w:tcPr>
          <w:p w14:paraId="3CFBFA4B" w14:textId="77777777" w:rsidR="00A10B25" w:rsidRDefault="00A10B25">
            <w:pPr>
              <w:pStyle w:val="TAH"/>
            </w:pPr>
            <w:r>
              <w:t>Applicability</w:t>
            </w:r>
          </w:p>
        </w:tc>
      </w:tr>
      <w:tr w:rsidR="00A10B25" w14:paraId="11DD1D74" w14:textId="77777777">
        <w:tc>
          <w:tcPr>
            <w:tcW w:w="1769" w:type="pct"/>
            <w:tcMar>
              <w:top w:w="0" w:type="dxa"/>
              <w:left w:w="108" w:type="dxa"/>
              <w:bottom w:w="0" w:type="dxa"/>
              <w:right w:w="108" w:type="dxa"/>
            </w:tcMar>
          </w:tcPr>
          <w:p w14:paraId="720BEC0C" w14:textId="77777777" w:rsidR="00A10B25" w:rsidRDefault="00A10B25">
            <w:pPr>
              <w:pStyle w:val="TAL"/>
            </w:pPr>
            <w:r>
              <w:t>TIME</w:t>
            </w:r>
            <w:r>
              <w:rPr>
                <w:rFonts w:hint="eastAsia"/>
                <w:lang w:eastAsia="zh-CN"/>
              </w:rPr>
              <w:t>_</w:t>
            </w:r>
            <w:r>
              <w:rPr>
                <w:lang w:eastAsia="zh-CN"/>
              </w:rPr>
              <w:t>SLOT</w:t>
            </w:r>
          </w:p>
        </w:tc>
        <w:tc>
          <w:tcPr>
            <w:tcW w:w="2455" w:type="pct"/>
            <w:tcMar>
              <w:top w:w="0" w:type="dxa"/>
              <w:left w:w="108" w:type="dxa"/>
              <w:bottom w:w="0" w:type="dxa"/>
              <w:right w:w="108" w:type="dxa"/>
            </w:tcMar>
          </w:tcPr>
          <w:p w14:paraId="4E6B7022" w14:textId="77777777" w:rsidR="00A10B25" w:rsidRDefault="00A10B25">
            <w:pPr>
              <w:pStyle w:val="TAL"/>
            </w:pPr>
            <w:r>
              <w:t>T</w:t>
            </w:r>
            <w:r>
              <w:rPr>
                <w:rFonts w:hint="eastAsia"/>
                <w:lang w:eastAsia="zh-CN"/>
              </w:rPr>
              <w:t>he</w:t>
            </w:r>
            <w:r>
              <w:rPr>
                <w:lang w:eastAsia="zh-CN"/>
              </w:rPr>
              <w:t xml:space="preserve"> ordering criterion</w:t>
            </w:r>
            <w:r>
              <w:t xml:space="preserve"> is the time slot.</w:t>
            </w:r>
          </w:p>
        </w:tc>
        <w:tc>
          <w:tcPr>
            <w:tcW w:w="776" w:type="pct"/>
          </w:tcPr>
          <w:p w14:paraId="0AB9B839" w14:textId="77777777" w:rsidR="00A10B25" w:rsidRDefault="00A10B25">
            <w:pPr>
              <w:pStyle w:val="TAL"/>
            </w:pPr>
          </w:p>
        </w:tc>
      </w:tr>
    </w:tbl>
    <w:p w14:paraId="6ABFAE33" w14:textId="77777777" w:rsidR="00A10B25" w:rsidRDefault="00A10B25"/>
    <w:p w14:paraId="568ACA2B" w14:textId="77777777" w:rsidR="00A10B25" w:rsidRDefault="00A10B25">
      <w:pPr>
        <w:pStyle w:val="5"/>
      </w:pPr>
      <w:bookmarkStart w:id="9217" w:name="_Toc136562488"/>
      <w:bookmarkStart w:id="9218" w:name="_Toc148522724"/>
      <w:bookmarkStart w:id="9219" w:name="_Toc138754322"/>
      <w:bookmarkStart w:id="9220" w:name="_Toc145705814"/>
      <w:bookmarkStart w:id="9221" w:name="_Toc164920910"/>
      <w:bookmarkStart w:id="9222" w:name="_Toc170120452"/>
      <w:bookmarkStart w:id="9223" w:name="_Toc175858697"/>
      <w:bookmarkStart w:id="9224" w:name="_Toc175859770"/>
      <w:bookmarkStart w:id="9225" w:name="_Toc180606060"/>
      <w:bookmarkStart w:id="9226" w:name="_Toc185517319"/>
      <w:bookmarkStart w:id="9227" w:name="_Toc191576370"/>
      <w:bookmarkStart w:id="9228" w:name="_Toc191577110"/>
      <w:bookmarkStart w:id="9229" w:name="_Toc192880180"/>
      <w:bookmarkStart w:id="9230" w:name="_Toc195815068"/>
      <w:bookmarkStart w:id="9231" w:name="_Toc199453035"/>
      <w:r>
        <w:lastRenderedPageBreak/>
        <w:t>5.1.6.3.29</w:t>
      </w:r>
      <w:r>
        <w:tab/>
        <w:t>Enumeration: UeCommOrderCriterion</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257AC630"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5.1.6.3.29-1: Enumeration </w:t>
      </w:r>
      <w:r>
        <w:t>UeCommOrderCriterion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1A5EE5AD" w14:textId="77777777">
        <w:tc>
          <w:tcPr>
            <w:tcW w:w="1769" w:type="pct"/>
            <w:shd w:val="clear" w:color="auto" w:fill="C0C0C0"/>
            <w:tcMar>
              <w:top w:w="0" w:type="dxa"/>
              <w:left w:w="108" w:type="dxa"/>
              <w:bottom w:w="0" w:type="dxa"/>
              <w:right w:w="108" w:type="dxa"/>
            </w:tcMar>
          </w:tcPr>
          <w:p w14:paraId="7211EEDC" w14:textId="77777777" w:rsidR="00A10B25" w:rsidRDefault="00A10B25">
            <w:pPr>
              <w:pStyle w:val="TAH"/>
            </w:pPr>
            <w:r>
              <w:t>Enumeration value</w:t>
            </w:r>
          </w:p>
        </w:tc>
        <w:tc>
          <w:tcPr>
            <w:tcW w:w="2455" w:type="pct"/>
            <w:shd w:val="clear" w:color="auto" w:fill="C0C0C0"/>
            <w:tcMar>
              <w:top w:w="0" w:type="dxa"/>
              <w:left w:w="108" w:type="dxa"/>
              <w:bottom w:w="0" w:type="dxa"/>
              <w:right w:w="108" w:type="dxa"/>
            </w:tcMar>
          </w:tcPr>
          <w:p w14:paraId="35055C71" w14:textId="77777777" w:rsidR="00A10B25" w:rsidRDefault="00A10B25">
            <w:pPr>
              <w:pStyle w:val="TAH"/>
            </w:pPr>
            <w:r>
              <w:t>Description</w:t>
            </w:r>
          </w:p>
        </w:tc>
        <w:tc>
          <w:tcPr>
            <w:tcW w:w="776" w:type="pct"/>
            <w:shd w:val="clear" w:color="auto" w:fill="C0C0C0"/>
          </w:tcPr>
          <w:p w14:paraId="29B831E5" w14:textId="77777777" w:rsidR="00A10B25" w:rsidRDefault="00A10B25">
            <w:pPr>
              <w:pStyle w:val="TAH"/>
            </w:pPr>
            <w:r>
              <w:t>Applicability</w:t>
            </w:r>
          </w:p>
        </w:tc>
      </w:tr>
      <w:tr w:rsidR="00A10B25" w14:paraId="4AB9E7D3" w14:textId="77777777">
        <w:tc>
          <w:tcPr>
            <w:tcW w:w="1769" w:type="pct"/>
            <w:tcMar>
              <w:top w:w="0" w:type="dxa"/>
              <w:left w:w="108" w:type="dxa"/>
              <w:bottom w:w="0" w:type="dxa"/>
              <w:right w:w="108" w:type="dxa"/>
            </w:tcMar>
          </w:tcPr>
          <w:p w14:paraId="459DDC43" w14:textId="77777777" w:rsidR="00A10B25" w:rsidRDefault="00A10B25">
            <w:pPr>
              <w:pStyle w:val="TAL"/>
            </w:pPr>
            <w:r>
              <w:t>START_TIME</w:t>
            </w:r>
          </w:p>
        </w:tc>
        <w:tc>
          <w:tcPr>
            <w:tcW w:w="2455" w:type="pct"/>
            <w:tcMar>
              <w:top w:w="0" w:type="dxa"/>
              <w:left w:w="108" w:type="dxa"/>
              <w:bottom w:w="0" w:type="dxa"/>
              <w:right w:w="108" w:type="dxa"/>
            </w:tcMar>
          </w:tcPr>
          <w:p w14:paraId="5417DBF1"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start time.</w:t>
            </w:r>
          </w:p>
        </w:tc>
        <w:tc>
          <w:tcPr>
            <w:tcW w:w="776" w:type="pct"/>
          </w:tcPr>
          <w:p w14:paraId="325D9214" w14:textId="77777777" w:rsidR="00A10B25" w:rsidRDefault="00A10B25">
            <w:pPr>
              <w:pStyle w:val="TAL"/>
            </w:pPr>
          </w:p>
        </w:tc>
      </w:tr>
      <w:tr w:rsidR="00A10B25" w14:paraId="06EB94FE" w14:textId="77777777">
        <w:tc>
          <w:tcPr>
            <w:tcW w:w="1769" w:type="pct"/>
            <w:tcMar>
              <w:top w:w="0" w:type="dxa"/>
              <w:left w:w="108" w:type="dxa"/>
              <w:bottom w:w="0" w:type="dxa"/>
              <w:right w:w="108" w:type="dxa"/>
            </w:tcMar>
          </w:tcPr>
          <w:p w14:paraId="58FF6C55" w14:textId="77777777" w:rsidR="00A10B25" w:rsidRDefault="00A10B25">
            <w:pPr>
              <w:pStyle w:val="TAL"/>
              <w:rPr>
                <w:lang w:eastAsia="zh-CN"/>
              </w:rPr>
            </w:pPr>
            <w:r>
              <w:rPr>
                <w:lang w:eastAsia="zh-CN"/>
              </w:rPr>
              <w:t>DURATION</w:t>
            </w:r>
          </w:p>
        </w:tc>
        <w:tc>
          <w:tcPr>
            <w:tcW w:w="2455" w:type="pct"/>
            <w:tcMar>
              <w:top w:w="0" w:type="dxa"/>
              <w:left w:w="108" w:type="dxa"/>
              <w:bottom w:w="0" w:type="dxa"/>
              <w:right w:w="108" w:type="dxa"/>
            </w:tcMar>
          </w:tcPr>
          <w:p w14:paraId="59EBDB2F"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w:t>
            </w:r>
            <w:r>
              <w:rPr>
                <w:lang w:eastAsia="zh-CN"/>
              </w:rPr>
              <w:t>duration of the communication</w:t>
            </w:r>
            <w:r>
              <w:t>.</w:t>
            </w:r>
          </w:p>
        </w:tc>
        <w:tc>
          <w:tcPr>
            <w:tcW w:w="776" w:type="pct"/>
          </w:tcPr>
          <w:p w14:paraId="48447FE7" w14:textId="77777777" w:rsidR="00A10B25" w:rsidRDefault="00A10B25">
            <w:pPr>
              <w:pStyle w:val="TAL"/>
            </w:pPr>
          </w:p>
        </w:tc>
      </w:tr>
    </w:tbl>
    <w:p w14:paraId="16BF801C" w14:textId="77777777" w:rsidR="00A10B25" w:rsidRDefault="00A10B25"/>
    <w:p w14:paraId="4BA26F9D" w14:textId="77777777" w:rsidR="00A10B25" w:rsidRDefault="00A10B25">
      <w:pPr>
        <w:pStyle w:val="5"/>
      </w:pPr>
      <w:bookmarkStart w:id="9232" w:name="_Toc148522725"/>
      <w:bookmarkStart w:id="9233" w:name="_Toc138754323"/>
      <w:bookmarkStart w:id="9234" w:name="_Toc145705815"/>
      <w:bookmarkStart w:id="9235" w:name="_Toc136562489"/>
      <w:bookmarkStart w:id="9236" w:name="_Toc164920911"/>
      <w:bookmarkStart w:id="9237" w:name="_Toc170120453"/>
      <w:bookmarkStart w:id="9238" w:name="_Toc175858698"/>
      <w:bookmarkStart w:id="9239" w:name="_Toc175859771"/>
      <w:bookmarkStart w:id="9240" w:name="_Toc180606061"/>
      <w:bookmarkStart w:id="9241" w:name="_Toc185517320"/>
      <w:bookmarkStart w:id="9242" w:name="_Toc191576371"/>
      <w:bookmarkStart w:id="9243" w:name="_Toc191577111"/>
      <w:bookmarkStart w:id="9244" w:name="_Toc192880181"/>
      <w:bookmarkStart w:id="9245" w:name="_Toc195815069"/>
      <w:bookmarkStart w:id="9246" w:name="_Toc199453036"/>
      <w:r>
        <w:t>5.1.6.3.30</w:t>
      </w:r>
      <w:r>
        <w:tab/>
        <w:t>Enumeration: NetworkPerfOrderCriterion</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31A0B1C7"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5.1.6.3.30-1: Enumeration </w:t>
      </w:r>
      <w:r>
        <w:t>NetworkPerfOrderCriterion</w:t>
      </w:r>
    </w:p>
    <w:tbl>
      <w:tblPr>
        <w:tblW w:w="4723"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362"/>
        <w:gridCol w:w="1513"/>
      </w:tblGrid>
      <w:tr w:rsidR="00A10B25" w14:paraId="7F519A2F" w14:textId="77777777">
        <w:tc>
          <w:tcPr>
            <w:tcW w:w="1769" w:type="pct"/>
            <w:shd w:val="clear" w:color="auto" w:fill="C0C0C0"/>
            <w:tcMar>
              <w:top w:w="0" w:type="dxa"/>
              <w:left w:w="108" w:type="dxa"/>
              <w:bottom w:w="0" w:type="dxa"/>
              <w:right w:w="108" w:type="dxa"/>
            </w:tcMar>
          </w:tcPr>
          <w:p w14:paraId="7CD0EDAA" w14:textId="77777777" w:rsidR="00A10B25" w:rsidRDefault="00A10B25">
            <w:pPr>
              <w:pStyle w:val="TAH"/>
            </w:pPr>
            <w:r>
              <w:t>Enumeration value</w:t>
            </w:r>
          </w:p>
        </w:tc>
        <w:tc>
          <w:tcPr>
            <w:tcW w:w="2399" w:type="pct"/>
            <w:shd w:val="clear" w:color="auto" w:fill="C0C0C0"/>
            <w:tcMar>
              <w:top w:w="0" w:type="dxa"/>
              <w:left w:w="108" w:type="dxa"/>
              <w:bottom w:w="0" w:type="dxa"/>
              <w:right w:w="108" w:type="dxa"/>
            </w:tcMar>
          </w:tcPr>
          <w:p w14:paraId="763A92CF" w14:textId="77777777" w:rsidR="00A10B25" w:rsidRDefault="00A10B25">
            <w:pPr>
              <w:pStyle w:val="TAH"/>
            </w:pPr>
            <w:r>
              <w:t>Description</w:t>
            </w:r>
          </w:p>
        </w:tc>
        <w:tc>
          <w:tcPr>
            <w:tcW w:w="832" w:type="pct"/>
            <w:shd w:val="clear" w:color="auto" w:fill="C0C0C0"/>
          </w:tcPr>
          <w:p w14:paraId="401EF95F" w14:textId="77777777" w:rsidR="00A10B25" w:rsidRDefault="00A10B25">
            <w:pPr>
              <w:pStyle w:val="TAH"/>
            </w:pPr>
            <w:r>
              <w:t>Applicability</w:t>
            </w:r>
          </w:p>
        </w:tc>
      </w:tr>
      <w:tr w:rsidR="00A10B25" w14:paraId="09A1BC1C" w14:textId="77777777">
        <w:tc>
          <w:tcPr>
            <w:tcW w:w="1769" w:type="pct"/>
            <w:tcMar>
              <w:top w:w="0" w:type="dxa"/>
              <w:left w:w="108" w:type="dxa"/>
              <w:bottom w:w="0" w:type="dxa"/>
              <w:right w:w="108" w:type="dxa"/>
            </w:tcMar>
          </w:tcPr>
          <w:p w14:paraId="7894F3C2" w14:textId="77777777" w:rsidR="00A10B25" w:rsidRDefault="00A10B25">
            <w:pPr>
              <w:pStyle w:val="TAL"/>
            </w:pPr>
            <w:r>
              <w:t>NUMBER_OF_UES</w:t>
            </w:r>
          </w:p>
        </w:tc>
        <w:tc>
          <w:tcPr>
            <w:tcW w:w="2399" w:type="pct"/>
            <w:tcMar>
              <w:top w:w="0" w:type="dxa"/>
              <w:left w:w="108" w:type="dxa"/>
              <w:bottom w:w="0" w:type="dxa"/>
              <w:right w:w="108" w:type="dxa"/>
            </w:tcMar>
          </w:tcPr>
          <w:p w14:paraId="05584EE5"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number of UEs.</w:t>
            </w:r>
          </w:p>
        </w:tc>
        <w:tc>
          <w:tcPr>
            <w:tcW w:w="832" w:type="pct"/>
          </w:tcPr>
          <w:p w14:paraId="27D74C95" w14:textId="77777777" w:rsidR="00A10B25" w:rsidRDefault="00A10B25">
            <w:pPr>
              <w:pStyle w:val="TAL"/>
            </w:pPr>
          </w:p>
        </w:tc>
      </w:tr>
      <w:tr w:rsidR="00A10B25" w14:paraId="467156E7" w14:textId="77777777">
        <w:tc>
          <w:tcPr>
            <w:tcW w:w="1769" w:type="pct"/>
            <w:tcMar>
              <w:top w:w="0" w:type="dxa"/>
              <w:left w:w="108" w:type="dxa"/>
              <w:bottom w:w="0" w:type="dxa"/>
              <w:right w:w="108" w:type="dxa"/>
            </w:tcMar>
          </w:tcPr>
          <w:p w14:paraId="1CBA38B1" w14:textId="77777777" w:rsidR="00A10B25" w:rsidRDefault="00A10B25">
            <w:pPr>
              <w:pStyle w:val="TAL"/>
              <w:rPr>
                <w:lang w:eastAsia="zh-CN"/>
              </w:rPr>
            </w:pPr>
            <w:r>
              <w:rPr>
                <w:lang w:eastAsia="zh-CN"/>
              </w:rPr>
              <w:t>COMMUNICATION_PERF</w:t>
            </w:r>
          </w:p>
        </w:tc>
        <w:tc>
          <w:tcPr>
            <w:tcW w:w="2399" w:type="pct"/>
            <w:tcMar>
              <w:top w:w="0" w:type="dxa"/>
              <w:left w:w="108" w:type="dxa"/>
              <w:bottom w:w="0" w:type="dxa"/>
              <w:right w:w="108" w:type="dxa"/>
            </w:tcMar>
          </w:tcPr>
          <w:p w14:paraId="2F1DB2D2" w14:textId="77777777" w:rsidR="00A10B25" w:rsidRDefault="00A10B25">
            <w:pPr>
              <w:pStyle w:val="TAL"/>
            </w:pPr>
            <w:r>
              <w:t>T</w:t>
            </w:r>
            <w:r>
              <w:rPr>
                <w:rFonts w:hint="eastAsia"/>
                <w:lang w:eastAsia="zh-CN"/>
              </w:rPr>
              <w:t>he</w:t>
            </w:r>
            <w:r>
              <w:rPr>
                <w:lang w:eastAsia="zh-CN"/>
              </w:rPr>
              <w:t xml:space="preserve"> ordering criterion</w:t>
            </w:r>
            <w:r>
              <w:t xml:space="preserve"> of the analytics is the </w:t>
            </w:r>
            <w:r>
              <w:rPr>
                <w:rFonts w:hint="eastAsia"/>
                <w:lang w:eastAsia="zh-CN"/>
              </w:rPr>
              <w:t>communication</w:t>
            </w:r>
            <w:r>
              <w:t xml:space="preserve"> performance.</w:t>
            </w:r>
          </w:p>
        </w:tc>
        <w:tc>
          <w:tcPr>
            <w:tcW w:w="832" w:type="pct"/>
          </w:tcPr>
          <w:p w14:paraId="2161F7EF" w14:textId="77777777" w:rsidR="00A10B25" w:rsidRDefault="00A10B25">
            <w:pPr>
              <w:pStyle w:val="TAL"/>
            </w:pPr>
          </w:p>
        </w:tc>
      </w:tr>
      <w:tr w:rsidR="00A10B25" w14:paraId="2349F8CC" w14:textId="77777777">
        <w:tc>
          <w:tcPr>
            <w:tcW w:w="1769" w:type="pct"/>
            <w:tcMar>
              <w:top w:w="0" w:type="dxa"/>
              <w:left w:w="108" w:type="dxa"/>
              <w:bottom w:w="0" w:type="dxa"/>
              <w:right w:w="108" w:type="dxa"/>
            </w:tcMar>
          </w:tcPr>
          <w:p w14:paraId="051FB5E9" w14:textId="77777777" w:rsidR="00A10B25" w:rsidRDefault="00A10B25">
            <w:pPr>
              <w:pStyle w:val="TAL"/>
              <w:rPr>
                <w:lang w:eastAsia="zh-CN"/>
              </w:rPr>
            </w:pPr>
            <w:r>
              <w:rPr>
                <w:rFonts w:hint="eastAsia"/>
                <w:lang w:eastAsia="zh-CN"/>
              </w:rPr>
              <w:t>M</w:t>
            </w:r>
            <w:r>
              <w:rPr>
                <w:lang w:eastAsia="zh-CN"/>
              </w:rPr>
              <w:t>OBILITY_PERF</w:t>
            </w:r>
          </w:p>
        </w:tc>
        <w:tc>
          <w:tcPr>
            <w:tcW w:w="2399" w:type="pct"/>
            <w:tcMar>
              <w:top w:w="0" w:type="dxa"/>
              <w:left w:w="108" w:type="dxa"/>
              <w:bottom w:w="0" w:type="dxa"/>
              <w:right w:w="108" w:type="dxa"/>
            </w:tcMar>
          </w:tcPr>
          <w:p w14:paraId="2C9264E4" w14:textId="77777777" w:rsidR="00A10B25" w:rsidRDefault="00A10B25">
            <w:pPr>
              <w:pStyle w:val="TAL"/>
              <w:rPr>
                <w:lang w:eastAsia="zh-CN"/>
              </w:rPr>
            </w:pPr>
            <w:r>
              <w:t>T</w:t>
            </w:r>
            <w:r>
              <w:rPr>
                <w:rFonts w:hint="eastAsia"/>
                <w:lang w:eastAsia="zh-CN"/>
              </w:rPr>
              <w:t>he</w:t>
            </w:r>
            <w:r>
              <w:rPr>
                <w:lang w:eastAsia="zh-CN"/>
              </w:rPr>
              <w:t xml:space="preserve"> ordering criterion</w:t>
            </w:r>
            <w:r>
              <w:t xml:space="preserve"> of the analytics is the mobility performance.</w:t>
            </w:r>
          </w:p>
        </w:tc>
        <w:tc>
          <w:tcPr>
            <w:tcW w:w="832" w:type="pct"/>
          </w:tcPr>
          <w:p w14:paraId="07354FFB" w14:textId="77777777" w:rsidR="00A10B25" w:rsidRDefault="00A10B25">
            <w:pPr>
              <w:pStyle w:val="TAL"/>
            </w:pPr>
          </w:p>
        </w:tc>
      </w:tr>
    </w:tbl>
    <w:p w14:paraId="67DA6ED1" w14:textId="77777777" w:rsidR="00A10B25" w:rsidRDefault="00A10B25"/>
    <w:p w14:paraId="41DA376B" w14:textId="77777777" w:rsidR="00A10B25" w:rsidRDefault="00A10B25">
      <w:pPr>
        <w:pStyle w:val="5"/>
      </w:pPr>
      <w:bookmarkStart w:id="9247" w:name="_Toc136562490"/>
      <w:bookmarkStart w:id="9248" w:name="_Toc138754324"/>
      <w:bookmarkStart w:id="9249" w:name="_Toc145705816"/>
      <w:bookmarkStart w:id="9250" w:name="_Toc148522726"/>
      <w:bookmarkStart w:id="9251" w:name="_Toc164920912"/>
      <w:bookmarkStart w:id="9252" w:name="_Toc170120454"/>
      <w:bookmarkStart w:id="9253" w:name="_Toc175858699"/>
      <w:bookmarkStart w:id="9254" w:name="_Toc175859772"/>
      <w:bookmarkStart w:id="9255" w:name="_Toc180606062"/>
      <w:bookmarkStart w:id="9256" w:name="_Toc185517321"/>
      <w:bookmarkStart w:id="9257" w:name="_Toc191576372"/>
      <w:bookmarkStart w:id="9258" w:name="_Toc191577112"/>
      <w:bookmarkStart w:id="9259" w:name="_Toc192880182"/>
      <w:bookmarkStart w:id="9260" w:name="_Toc195815070"/>
      <w:bookmarkStart w:id="9261" w:name="_Toc199453037"/>
      <w:r>
        <w:t>5.1.6.3.31</w:t>
      </w:r>
      <w:r>
        <w:tab/>
        <w:t xml:space="preserve">Enumeration: </w:t>
      </w:r>
      <w:r>
        <w:rPr>
          <w:rFonts w:hint="eastAsia"/>
          <w:lang w:eastAsia="zh-CN"/>
        </w:rPr>
        <w:t>D</w:t>
      </w:r>
      <w:r>
        <w:rPr>
          <w:lang w:eastAsia="zh-CN"/>
        </w:rPr>
        <w:t>eviceType</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6B8CE87F"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5.1.6.3.31-1: Enumeration </w:t>
      </w:r>
      <w:r>
        <w:rPr>
          <w:rFonts w:hint="eastAsia"/>
          <w:lang w:eastAsia="zh-CN"/>
        </w:rPr>
        <w:t>D</w:t>
      </w:r>
      <w:r>
        <w:rPr>
          <w:lang w:eastAsia="zh-CN"/>
        </w:rPr>
        <w:t>eviceType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544F8333" w14:textId="77777777">
        <w:tc>
          <w:tcPr>
            <w:tcW w:w="1919" w:type="pct"/>
            <w:shd w:val="clear" w:color="auto" w:fill="C0C0C0"/>
            <w:tcMar>
              <w:top w:w="0" w:type="dxa"/>
              <w:left w:w="108" w:type="dxa"/>
              <w:bottom w:w="0" w:type="dxa"/>
              <w:right w:w="108" w:type="dxa"/>
            </w:tcMar>
          </w:tcPr>
          <w:p w14:paraId="17C04E2B"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47838F2D" w14:textId="77777777" w:rsidR="00A10B25" w:rsidRDefault="00A10B25">
            <w:pPr>
              <w:pStyle w:val="TAH"/>
            </w:pPr>
            <w:r>
              <w:t>Description</w:t>
            </w:r>
          </w:p>
        </w:tc>
        <w:tc>
          <w:tcPr>
            <w:tcW w:w="889" w:type="pct"/>
            <w:shd w:val="clear" w:color="auto" w:fill="C0C0C0"/>
          </w:tcPr>
          <w:p w14:paraId="1D189D19" w14:textId="77777777" w:rsidR="00A10B25" w:rsidRDefault="00A10B25">
            <w:pPr>
              <w:pStyle w:val="TAH"/>
            </w:pPr>
            <w:r>
              <w:t>Applicability</w:t>
            </w:r>
          </w:p>
        </w:tc>
      </w:tr>
      <w:tr w:rsidR="00A10B25" w14:paraId="35648715" w14:textId="77777777">
        <w:tc>
          <w:tcPr>
            <w:tcW w:w="1919" w:type="pct"/>
            <w:tcMar>
              <w:top w:w="0" w:type="dxa"/>
              <w:left w:w="108" w:type="dxa"/>
              <w:bottom w:w="0" w:type="dxa"/>
              <w:right w:w="108" w:type="dxa"/>
            </w:tcMar>
          </w:tcPr>
          <w:p w14:paraId="0969216F" w14:textId="77777777" w:rsidR="00A10B25" w:rsidRDefault="00A10B25">
            <w:pPr>
              <w:pStyle w:val="TAL"/>
            </w:pPr>
            <w:r>
              <w:t>MOBILE_PHONE</w:t>
            </w:r>
          </w:p>
        </w:tc>
        <w:tc>
          <w:tcPr>
            <w:tcW w:w="2192" w:type="pct"/>
            <w:tcMar>
              <w:top w:w="0" w:type="dxa"/>
              <w:left w:w="108" w:type="dxa"/>
              <w:bottom w:w="0" w:type="dxa"/>
              <w:right w:w="108" w:type="dxa"/>
            </w:tcMar>
          </w:tcPr>
          <w:p w14:paraId="21345400" w14:textId="77777777" w:rsidR="00A10B25" w:rsidRDefault="00A10B25">
            <w:pPr>
              <w:pStyle w:val="TAL"/>
            </w:pPr>
            <w:r>
              <w:t>Mobile Phone</w:t>
            </w:r>
          </w:p>
        </w:tc>
        <w:tc>
          <w:tcPr>
            <w:tcW w:w="889" w:type="pct"/>
          </w:tcPr>
          <w:p w14:paraId="6F875213" w14:textId="77777777" w:rsidR="00A10B25" w:rsidRDefault="00A10B25">
            <w:pPr>
              <w:pStyle w:val="TAL"/>
            </w:pPr>
          </w:p>
        </w:tc>
      </w:tr>
      <w:tr w:rsidR="00A10B25" w14:paraId="024F00F1" w14:textId="77777777">
        <w:tc>
          <w:tcPr>
            <w:tcW w:w="1919" w:type="pct"/>
            <w:tcMar>
              <w:top w:w="0" w:type="dxa"/>
              <w:left w:w="108" w:type="dxa"/>
              <w:bottom w:w="0" w:type="dxa"/>
              <w:right w:w="108" w:type="dxa"/>
            </w:tcMar>
          </w:tcPr>
          <w:p w14:paraId="6C9F04EC" w14:textId="77777777" w:rsidR="00A10B25" w:rsidRDefault="00A10B25">
            <w:pPr>
              <w:pStyle w:val="TAL"/>
              <w:rPr>
                <w:lang w:eastAsia="zh-CN"/>
              </w:rPr>
            </w:pPr>
            <w:r>
              <w:rPr>
                <w:rFonts w:hint="eastAsia"/>
                <w:lang w:eastAsia="zh-CN"/>
              </w:rPr>
              <w:t>S</w:t>
            </w:r>
            <w:r>
              <w:rPr>
                <w:lang w:eastAsia="zh-CN"/>
              </w:rPr>
              <w:t>MART_PHONE</w:t>
            </w:r>
          </w:p>
        </w:tc>
        <w:tc>
          <w:tcPr>
            <w:tcW w:w="2192" w:type="pct"/>
            <w:tcMar>
              <w:top w:w="0" w:type="dxa"/>
              <w:left w:w="108" w:type="dxa"/>
              <w:bottom w:w="0" w:type="dxa"/>
              <w:right w:w="108" w:type="dxa"/>
            </w:tcMar>
          </w:tcPr>
          <w:p w14:paraId="2B8CB8D6" w14:textId="77777777" w:rsidR="00A10B25" w:rsidRDefault="00A10B25">
            <w:pPr>
              <w:pStyle w:val="TAL"/>
              <w:rPr>
                <w:lang w:eastAsia="zh-CN"/>
              </w:rPr>
            </w:pPr>
            <w:r>
              <w:t>Smartphone</w:t>
            </w:r>
          </w:p>
        </w:tc>
        <w:tc>
          <w:tcPr>
            <w:tcW w:w="889" w:type="pct"/>
          </w:tcPr>
          <w:p w14:paraId="509BC12F" w14:textId="77777777" w:rsidR="00A10B25" w:rsidRDefault="00A10B25">
            <w:pPr>
              <w:pStyle w:val="TAL"/>
            </w:pPr>
          </w:p>
        </w:tc>
      </w:tr>
      <w:tr w:rsidR="00A10B25" w14:paraId="1C218D3D" w14:textId="77777777">
        <w:tc>
          <w:tcPr>
            <w:tcW w:w="1919" w:type="pct"/>
            <w:tcMar>
              <w:top w:w="0" w:type="dxa"/>
              <w:left w:w="108" w:type="dxa"/>
              <w:bottom w:w="0" w:type="dxa"/>
              <w:right w:w="108" w:type="dxa"/>
            </w:tcMar>
          </w:tcPr>
          <w:p w14:paraId="2BE3E15D" w14:textId="77777777" w:rsidR="00A10B25" w:rsidRDefault="00A10B25">
            <w:pPr>
              <w:pStyle w:val="TAL"/>
              <w:rPr>
                <w:lang w:eastAsia="zh-CN"/>
              </w:rPr>
            </w:pPr>
            <w:r>
              <w:rPr>
                <w:rFonts w:hint="eastAsia"/>
                <w:lang w:eastAsia="zh-CN"/>
              </w:rPr>
              <w:t>T</w:t>
            </w:r>
            <w:r>
              <w:rPr>
                <w:lang w:eastAsia="zh-CN"/>
              </w:rPr>
              <w:t>ABLET</w:t>
            </w:r>
          </w:p>
        </w:tc>
        <w:tc>
          <w:tcPr>
            <w:tcW w:w="2192" w:type="pct"/>
            <w:tcMar>
              <w:top w:w="0" w:type="dxa"/>
              <w:left w:w="108" w:type="dxa"/>
              <w:bottom w:w="0" w:type="dxa"/>
              <w:right w:w="108" w:type="dxa"/>
            </w:tcMar>
          </w:tcPr>
          <w:p w14:paraId="60496F06" w14:textId="77777777" w:rsidR="00A10B25" w:rsidRDefault="00A10B25">
            <w:pPr>
              <w:pStyle w:val="TAL"/>
              <w:rPr>
                <w:lang w:eastAsia="zh-CN"/>
              </w:rPr>
            </w:pPr>
            <w:r>
              <w:t xml:space="preserve">Tablet </w:t>
            </w:r>
          </w:p>
        </w:tc>
        <w:tc>
          <w:tcPr>
            <w:tcW w:w="889" w:type="pct"/>
          </w:tcPr>
          <w:p w14:paraId="7C351989" w14:textId="77777777" w:rsidR="00A10B25" w:rsidRDefault="00A10B25">
            <w:pPr>
              <w:pStyle w:val="TAL"/>
            </w:pPr>
          </w:p>
        </w:tc>
      </w:tr>
      <w:tr w:rsidR="00A10B25" w14:paraId="24E949B3" w14:textId="77777777">
        <w:tc>
          <w:tcPr>
            <w:tcW w:w="1919" w:type="pct"/>
            <w:tcMar>
              <w:top w:w="0" w:type="dxa"/>
              <w:left w:w="108" w:type="dxa"/>
              <w:bottom w:w="0" w:type="dxa"/>
              <w:right w:w="108" w:type="dxa"/>
            </w:tcMar>
          </w:tcPr>
          <w:p w14:paraId="4E34295D" w14:textId="77777777" w:rsidR="00A10B25" w:rsidRDefault="00A10B25">
            <w:pPr>
              <w:pStyle w:val="TAL"/>
              <w:rPr>
                <w:lang w:eastAsia="zh-CN"/>
              </w:rPr>
            </w:pPr>
            <w:r>
              <w:rPr>
                <w:lang w:eastAsia="zh-CN"/>
              </w:rPr>
              <w:t>DONGLE</w:t>
            </w:r>
          </w:p>
        </w:tc>
        <w:tc>
          <w:tcPr>
            <w:tcW w:w="2192" w:type="pct"/>
            <w:tcMar>
              <w:top w:w="0" w:type="dxa"/>
              <w:left w:w="108" w:type="dxa"/>
              <w:bottom w:w="0" w:type="dxa"/>
              <w:right w:w="108" w:type="dxa"/>
            </w:tcMar>
          </w:tcPr>
          <w:p w14:paraId="4223A436" w14:textId="77777777" w:rsidR="00A10B25" w:rsidRDefault="00A10B25">
            <w:pPr>
              <w:pStyle w:val="TAL"/>
              <w:rPr>
                <w:lang w:eastAsia="zh-CN"/>
              </w:rPr>
            </w:pPr>
            <w:r>
              <w:t>Dongle</w:t>
            </w:r>
          </w:p>
        </w:tc>
        <w:tc>
          <w:tcPr>
            <w:tcW w:w="889" w:type="pct"/>
          </w:tcPr>
          <w:p w14:paraId="6C5F73C5" w14:textId="77777777" w:rsidR="00A10B25" w:rsidRDefault="00A10B25">
            <w:pPr>
              <w:pStyle w:val="TAL"/>
            </w:pPr>
          </w:p>
        </w:tc>
      </w:tr>
      <w:tr w:rsidR="00A10B25" w14:paraId="0AA560CF" w14:textId="77777777">
        <w:tc>
          <w:tcPr>
            <w:tcW w:w="1919" w:type="pct"/>
            <w:tcMar>
              <w:top w:w="0" w:type="dxa"/>
              <w:left w:w="108" w:type="dxa"/>
              <w:bottom w:w="0" w:type="dxa"/>
              <w:right w:w="108" w:type="dxa"/>
            </w:tcMar>
          </w:tcPr>
          <w:p w14:paraId="24BD18B1" w14:textId="77777777" w:rsidR="00A10B25" w:rsidRDefault="00A10B25">
            <w:pPr>
              <w:pStyle w:val="TAL"/>
              <w:rPr>
                <w:lang w:eastAsia="zh-CN"/>
              </w:rPr>
            </w:pPr>
            <w:r>
              <w:rPr>
                <w:lang w:eastAsia="zh-CN"/>
              </w:rPr>
              <w:t>MODEM</w:t>
            </w:r>
          </w:p>
        </w:tc>
        <w:tc>
          <w:tcPr>
            <w:tcW w:w="2192" w:type="pct"/>
            <w:tcMar>
              <w:top w:w="0" w:type="dxa"/>
              <w:left w:w="108" w:type="dxa"/>
              <w:bottom w:w="0" w:type="dxa"/>
              <w:right w:w="108" w:type="dxa"/>
            </w:tcMar>
          </w:tcPr>
          <w:p w14:paraId="05690EC7" w14:textId="77777777" w:rsidR="00A10B25" w:rsidRDefault="00A10B25">
            <w:pPr>
              <w:pStyle w:val="TAL"/>
              <w:rPr>
                <w:lang w:eastAsia="zh-CN"/>
              </w:rPr>
            </w:pPr>
            <w:r>
              <w:t>Modem</w:t>
            </w:r>
          </w:p>
        </w:tc>
        <w:tc>
          <w:tcPr>
            <w:tcW w:w="889" w:type="pct"/>
          </w:tcPr>
          <w:p w14:paraId="2A689EEB" w14:textId="77777777" w:rsidR="00A10B25" w:rsidRDefault="00A10B25">
            <w:pPr>
              <w:pStyle w:val="TAL"/>
            </w:pPr>
          </w:p>
        </w:tc>
      </w:tr>
      <w:tr w:rsidR="00A10B25" w14:paraId="3845D074" w14:textId="77777777">
        <w:tc>
          <w:tcPr>
            <w:tcW w:w="1919" w:type="pct"/>
            <w:tcMar>
              <w:top w:w="0" w:type="dxa"/>
              <w:left w:w="108" w:type="dxa"/>
              <w:bottom w:w="0" w:type="dxa"/>
              <w:right w:w="108" w:type="dxa"/>
            </w:tcMar>
          </w:tcPr>
          <w:p w14:paraId="057FAAF6" w14:textId="77777777" w:rsidR="00A10B25" w:rsidRDefault="00A10B25">
            <w:pPr>
              <w:pStyle w:val="TAL"/>
              <w:rPr>
                <w:lang w:eastAsia="zh-CN"/>
              </w:rPr>
            </w:pPr>
            <w:r>
              <w:rPr>
                <w:rFonts w:hint="eastAsia"/>
                <w:lang w:eastAsia="zh-CN"/>
              </w:rPr>
              <w:t>W</w:t>
            </w:r>
            <w:r>
              <w:rPr>
                <w:lang w:eastAsia="zh-CN"/>
              </w:rPr>
              <w:t>LAN_ROUTER</w:t>
            </w:r>
          </w:p>
        </w:tc>
        <w:tc>
          <w:tcPr>
            <w:tcW w:w="2192" w:type="pct"/>
            <w:tcMar>
              <w:top w:w="0" w:type="dxa"/>
              <w:left w:w="108" w:type="dxa"/>
              <w:bottom w:w="0" w:type="dxa"/>
              <w:right w:w="108" w:type="dxa"/>
            </w:tcMar>
          </w:tcPr>
          <w:p w14:paraId="0DCE56F8" w14:textId="77777777" w:rsidR="00A10B25" w:rsidRDefault="00A10B25">
            <w:pPr>
              <w:pStyle w:val="TAL"/>
              <w:rPr>
                <w:lang w:eastAsia="zh-CN"/>
              </w:rPr>
            </w:pPr>
            <w:r>
              <w:t>WLAN Router</w:t>
            </w:r>
          </w:p>
        </w:tc>
        <w:tc>
          <w:tcPr>
            <w:tcW w:w="889" w:type="pct"/>
          </w:tcPr>
          <w:p w14:paraId="3FEB1307" w14:textId="77777777" w:rsidR="00A10B25" w:rsidRDefault="00A10B25">
            <w:pPr>
              <w:pStyle w:val="TAL"/>
            </w:pPr>
          </w:p>
        </w:tc>
      </w:tr>
      <w:tr w:rsidR="00A10B25" w14:paraId="43F5E7D6" w14:textId="77777777">
        <w:tc>
          <w:tcPr>
            <w:tcW w:w="1919" w:type="pct"/>
            <w:tcMar>
              <w:top w:w="0" w:type="dxa"/>
              <w:left w:w="108" w:type="dxa"/>
              <w:bottom w:w="0" w:type="dxa"/>
              <w:right w:w="108" w:type="dxa"/>
            </w:tcMar>
          </w:tcPr>
          <w:p w14:paraId="695AD4F8" w14:textId="77777777" w:rsidR="00A10B25" w:rsidRDefault="00A10B25">
            <w:pPr>
              <w:pStyle w:val="TAL"/>
              <w:rPr>
                <w:lang w:eastAsia="zh-CN"/>
              </w:rPr>
            </w:pPr>
            <w:r>
              <w:rPr>
                <w:rFonts w:hint="eastAsia"/>
                <w:lang w:eastAsia="zh-CN"/>
              </w:rPr>
              <w:t>I</w:t>
            </w:r>
            <w:r>
              <w:rPr>
                <w:lang w:eastAsia="zh-CN"/>
              </w:rPr>
              <w:t>OT_DEVICE</w:t>
            </w:r>
          </w:p>
        </w:tc>
        <w:tc>
          <w:tcPr>
            <w:tcW w:w="2192" w:type="pct"/>
            <w:tcMar>
              <w:top w:w="0" w:type="dxa"/>
              <w:left w:w="108" w:type="dxa"/>
              <w:bottom w:w="0" w:type="dxa"/>
              <w:right w:w="108" w:type="dxa"/>
            </w:tcMar>
          </w:tcPr>
          <w:p w14:paraId="5CA91E56" w14:textId="77777777" w:rsidR="00A10B25" w:rsidRDefault="00A10B25">
            <w:pPr>
              <w:pStyle w:val="TAL"/>
              <w:rPr>
                <w:lang w:eastAsia="zh-CN"/>
              </w:rPr>
            </w:pPr>
            <w:r>
              <w:t>IoT Device</w:t>
            </w:r>
          </w:p>
        </w:tc>
        <w:tc>
          <w:tcPr>
            <w:tcW w:w="889" w:type="pct"/>
          </w:tcPr>
          <w:p w14:paraId="5EFDA6D3" w14:textId="77777777" w:rsidR="00A10B25" w:rsidRDefault="00A10B25">
            <w:pPr>
              <w:pStyle w:val="TAL"/>
            </w:pPr>
          </w:p>
        </w:tc>
      </w:tr>
      <w:tr w:rsidR="00A10B25" w14:paraId="632E6CC4" w14:textId="77777777">
        <w:tc>
          <w:tcPr>
            <w:tcW w:w="1919" w:type="pct"/>
            <w:tcMar>
              <w:top w:w="0" w:type="dxa"/>
              <w:left w:w="108" w:type="dxa"/>
              <w:bottom w:w="0" w:type="dxa"/>
              <w:right w:w="108" w:type="dxa"/>
            </w:tcMar>
          </w:tcPr>
          <w:p w14:paraId="4BCBC7E5" w14:textId="77777777" w:rsidR="00A10B25" w:rsidRDefault="00A10B25">
            <w:pPr>
              <w:pStyle w:val="TAL"/>
              <w:rPr>
                <w:lang w:eastAsia="zh-CN"/>
              </w:rPr>
            </w:pPr>
            <w:r>
              <w:rPr>
                <w:lang w:eastAsia="zh-CN"/>
              </w:rPr>
              <w:t>WEARABLE</w:t>
            </w:r>
          </w:p>
        </w:tc>
        <w:tc>
          <w:tcPr>
            <w:tcW w:w="2192" w:type="pct"/>
            <w:tcMar>
              <w:top w:w="0" w:type="dxa"/>
              <w:left w:w="108" w:type="dxa"/>
              <w:bottom w:w="0" w:type="dxa"/>
              <w:right w:w="108" w:type="dxa"/>
            </w:tcMar>
          </w:tcPr>
          <w:p w14:paraId="63C07D26" w14:textId="77777777" w:rsidR="00A10B25" w:rsidRDefault="00A10B25">
            <w:pPr>
              <w:pStyle w:val="TAL"/>
              <w:rPr>
                <w:lang w:eastAsia="zh-CN"/>
              </w:rPr>
            </w:pPr>
            <w:r>
              <w:t>Wearable</w:t>
            </w:r>
          </w:p>
        </w:tc>
        <w:tc>
          <w:tcPr>
            <w:tcW w:w="889" w:type="pct"/>
          </w:tcPr>
          <w:p w14:paraId="6A8DF64A" w14:textId="77777777" w:rsidR="00A10B25" w:rsidRDefault="00A10B25">
            <w:pPr>
              <w:pStyle w:val="TAL"/>
            </w:pPr>
          </w:p>
        </w:tc>
      </w:tr>
      <w:tr w:rsidR="00A10B25" w14:paraId="28605DC7" w14:textId="77777777">
        <w:tc>
          <w:tcPr>
            <w:tcW w:w="1919" w:type="pct"/>
            <w:tcMar>
              <w:top w:w="0" w:type="dxa"/>
              <w:left w:w="108" w:type="dxa"/>
              <w:bottom w:w="0" w:type="dxa"/>
              <w:right w:w="108" w:type="dxa"/>
            </w:tcMar>
          </w:tcPr>
          <w:p w14:paraId="070F8D06" w14:textId="77777777" w:rsidR="00A10B25" w:rsidRDefault="00A10B25">
            <w:pPr>
              <w:pStyle w:val="TAL"/>
              <w:rPr>
                <w:lang w:eastAsia="zh-CN"/>
              </w:rPr>
            </w:pPr>
            <w:r>
              <w:rPr>
                <w:rFonts w:hint="eastAsia"/>
                <w:lang w:eastAsia="zh-CN"/>
              </w:rPr>
              <w:t>M</w:t>
            </w:r>
            <w:r>
              <w:rPr>
                <w:lang w:eastAsia="zh-CN"/>
              </w:rPr>
              <w:t>OBILE_TEST_PLATFORM</w:t>
            </w:r>
          </w:p>
        </w:tc>
        <w:tc>
          <w:tcPr>
            <w:tcW w:w="2192" w:type="pct"/>
            <w:tcMar>
              <w:top w:w="0" w:type="dxa"/>
              <w:left w:w="108" w:type="dxa"/>
              <w:bottom w:w="0" w:type="dxa"/>
              <w:right w:w="108" w:type="dxa"/>
            </w:tcMar>
          </w:tcPr>
          <w:p w14:paraId="7AA1CF48" w14:textId="77777777" w:rsidR="00A10B25" w:rsidRDefault="00A10B25">
            <w:pPr>
              <w:pStyle w:val="TAL"/>
              <w:rPr>
                <w:lang w:eastAsia="zh-CN"/>
              </w:rPr>
            </w:pPr>
            <w:r>
              <w:t>Mobile Test Platform</w:t>
            </w:r>
          </w:p>
        </w:tc>
        <w:tc>
          <w:tcPr>
            <w:tcW w:w="889" w:type="pct"/>
          </w:tcPr>
          <w:p w14:paraId="2C99EE86" w14:textId="77777777" w:rsidR="00A10B25" w:rsidRDefault="00A10B25">
            <w:pPr>
              <w:pStyle w:val="TAL"/>
            </w:pPr>
          </w:p>
        </w:tc>
      </w:tr>
      <w:tr w:rsidR="00A10B25" w14:paraId="560C2B12" w14:textId="77777777">
        <w:tc>
          <w:tcPr>
            <w:tcW w:w="1919" w:type="pct"/>
            <w:tcMar>
              <w:top w:w="0" w:type="dxa"/>
              <w:left w:w="108" w:type="dxa"/>
              <w:bottom w:w="0" w:type="dxa"/>
              <w:right w:w="108" w:type="dxa"/>
            </w:tcMar>
          </w:tcPr>
          <w:p w14:paraId="13FA5FA1" w14:textId="77777777" w:rsidR="00A10B25" w:rsidRDefault="00A10B25">
            <w:pPr>
              <w:pStyle w:val="TAL"/>
              <w:rPr>
                <w:lang w:eastAsia="zh-CN"/>
              </w:rPr>
            </w:pPr>
            <w:r>
              <w:rPr>
                <w:rFonts w:hint="eastAsia"/>
                <w:lang w:eastAsia="zh-CN"/>
              </w:rPr>
              <w:t>U</w:t>
            </w:r>
            <w:r>
              <w:rPr>
                <w:lang w:eastAsia="zh-CN"/>
              </w:rPr>
              <w:t>NDEFINED</w:t>
            </w:r>
          </w:p>
        </w:tc>
        <w:tc>
          <w:tcPr>
            <w:tcW w:w="2192" w:type="pct"/>
            <w:tcMar>
              <w:top w:w="0" w:type="dxa"/>
              <w:left w:w="108" w:type="dxa"/>
              <w:bottom w:w="0" w:type="dxa"/>
              <w:right w:w="108" w:type="dxa"/>
            </w:tcMar>
          </w:tcPr>
          <w:p w14:paraId="07337025" w14:textId="77777777" w:rsidR="00A10B25" w:rsidRDefault="00A10B25">
            <w:pPr>
              <w:pStyle w:val="TAL"/>
              <w:rPr>
                <w:lang w:eastAsia="zh-CN"/>
              </w:rPr>
            </w:pPr>
            <w:r>
              <w:t>Undefined</w:t>
            </w:r>
          </w:p>
        </w:tc>
        <w:tc>
          <w:tcPr>
            <w:tcW w:w="889" w:type="pct"/>
          </w:tcPr>
          <w:p w14:paraId="5B61E7F3" w14:textId="77777777" w:rsidR="00A10B25" w:rsidRDefault="00A10B25">
            <w:pPr>
              <w:pStyle w:val="TAL"/>
            </w:pPr>
          </w:p>
        </w:tc>
      </w:tr>
    </w:tbl>
    <w:p w14:paraId="2BDD2A8E" w14:textId="77777777" w:rsidR="00A10B25" w:rsidRDefault="00A10B25"/>
    <w:p w14:paraId="5EB65B55" w14:textId="77777777" w:rsidR="00A10B25" w:rsidRDefault="00A10B25">
      <w:pPr>
        <w:pStyle w:val="5"/>
      </w:pPr>
      <w:bookmarkStart w:id="9262" w:name="_Toc145705817"/>
      <w:bookmarkStart w:id="9263" w:name="_Toc136562491"/>
      <w:bookmarkStart w:id="9264" w:name="_Toc138754325"/>
      <w:bookmarkStart w:id="9265" w:name="_Toc148522727"/>
      <w:bookmarkStart w:id="9266" w:name="_Toc164920913"/>
      <w:bookmarkStart w:id="9267" w:name="_Toc170120455"/>
      <w:bookmarkStart w:id="9268" w:name="_Toc175858700"/>
      <w:bookmarkStart w:id="9269" w:name="_Toc175859773"/>
      <w:bookmarkStart w:id="9270" w:name="_Toc180606063"/>
      <w:bookmarkStart w:id="9271" w:name="_Toc185517322"/>
      <w:bookmarkStart w:id="9272" w:name="_Toc191576373"/>
      <w:bookmarkStart w:id="9273" w:name="_Toc191577113"/>
      <w:bookmarkStart w:id="9274" w:name="_Toc192880183"/>
      <w:bookmarkStart w:id="9275" w:name="_Toc195815071"/>
      <w:bookmarkStart w:id="9276" w:name="_Toc199453038"/>
      <w:r>
        <w:t>5.1.6.3.32</w:t>
      </w:r>
      <w:r>
        <w:tab/>
        <w:t xml:space="preserve">Enumeration: </w:t>
      </w:r>
      <w:r>
        <w:rPr>
          <w:lang w:eastAsia="zh-CN"/>
        </w:rPr>
        <w:t>LocInfoGranularity</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14DAAC3D" w14:textId="77777777" w:rsidR="00A10B25" w:rsidRDefault="00A10B25">
      <w:pPr>
        <w:pStyle w:val="TH"/>
        <w:overflowPunct w:val="0"/>
        <w:autoSpaceDE w:val="0"/>
        <w:autoSpaceDN w:val="0"/>
        <w:adjustRightInd w:val="0"/>
        <w:textAlignment w:val="baseline"/>
      </w:pPr>
      <w:bookmarkStart w:id="9277" w:name="_Toc138754326"/>
      <w:bookmarkStart w:id="9278" w:name="_Toc136562492"/>
      <w:r>
        <w:t xml:space="preserve">Table 5.1.6.3.32-1: Enumeration </w:t>
      </w:r>
      <w:r>
        <w:rPr>
          <w:lang w:eastAsia="zh-CN"/>
        </w:rPr>
        <w:t>LocInfoGranularity</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332BD305" w14:textId="77777777">
        <w:tc>
          <w:tcPr>
            <w:tcW w:w="1919" w:type="pct"/>
            <w:shd w:val="clear" w:color="auto" w:fill="C0C0C0"/>
            <w:tcMar>
              <w:top w:w="0" w:type="dxa"/>
              <w:left w:w="108" w:type="dxa"/>
              <w:bottom w:w="0" w:type="dxa"/>
              <w:right w:w="108" w:type="dxa"/>
            </w:tcMar>
          </w:tcPr>
          <w:p w14:paraId="240E6A44" w14:textId="77777777" w:rsidR="00A10B25" w:rsidRDefault="00A10B25">
            <w:pPr>
              <w:pStyle w:val="TAH"/>
              <w:ind w:left="400" w:hanging="400"/>
            </w:pPr>
            <w:r>
              <w:t>Enumeration value</w:t>
            </w:r>
          </w:p>
        </w:tc>
        <w:tc>
          <w:tcPr>
            <w:tcW w:w="2192" w:type="pct"/>
            <w:shd w:val="clear" w:color="auto" w:fill="C0C0C0"/>
            <w:tcMar>
              <w:top w:w="0" w:type="dxa"/>
              <w:left w:w="108" w:type="dxa"/>
              <w:bottom w:w="0" w:type="dxa"/>
              <w:right w:w="108" w:type="dxa"/>
            </w:tcMar>
          </w:tcPr>
          <w:p w14:paraId="580F7ED4" w14:textId="77777777" w:rsidR="00A10B25" w:rsidRDefault="00A10B25">
            <w:pPr>
              <w:pStyle w:val="TAH"/>
              <w:ind w:left="400" w:hanging="400"/>
            </w:pPr>
            <w:r>
              <w:t>Description</w:t>
            </w:r>
          </w:p>
        </w:tc>
        <w:tc>
          <w:tcPr>
            <w:tcW w:w="889" w:type="pct"/>
            <w:shd w:val="clear" w:color="auto" w:fill="C0C0C0"/>
          </w:tcPr>
          <w:p w14:paraId="658179D5" w14:textId="77777777" w:rsidR="00A10B25" w:rsidRDefault="00A10B25">
            <w:pPr>
              <w:pStyle w:val="TAH"/>
              <w:ind w:left="400" w:hanging="400"/>
            </w:pPr>
            <w:r>
              <w:t>Applicability</w:t>
            </w:r>
          </w:p>
        </w:tc>
      </w:tr>
      <w:tr w:rsidR="00A10B25" w14:paraId="33EA558E" w14:textId="77777777">
        <w:tc>
          <w:tcPr>
            <w:tcW w:w="1919" w:type="pct"/>
            <w:tcMar>
              <w:top w:w="0" w:type="dxa"/>
              <w:left w:w="108" w:type="dxa"/>
              <w:bottom w:w="0" w:type="dxa"/>
              <w:right w:w="108" w:type="dxa"/>
            </w:tcMar>
          </w:tcPr>
          <w:p w14:paraId="334B3D36" w14:textId="77777777" w:rsidR="00A10B25" w:rsidRDefault="00A10B25">
            <w:pPr>
              <w:pStyle w:val="TAL"/>
              <w:rPr>
                <w:lang w:eastAsia="zh-CN"/>
              </w:rPr>
            </w:pPr>
            <w:r>
              <w:rPr>
                <w:rFonts w:hint="eastAsia"/>
                <w:lang w:eastAsia="zh-CN"/>
              </w:rPr>
              <w:t>T</w:t>
            </w:r>
            <w:r>
              <w:rPr>
                <w:lang w:eastAsia="zh-CN"/>
              </w:rPr>
              <w:t>A_LEVEL</w:t>
            </w:r>
          </w:p>
        </w:tc>
        <w:tc>
          <w:tcPr>
            <w:tcW w:w="2192" w:type="pct"/>
            <w:tcMar>
              <w:top w:w="0" w:type="dxa"/>
              <w:left w:w="108" w:type="dxa"/>
              <w:bottom w:w="0" w:type="dxa"/>
              <w:right w:w="108" w:type="dxa"/>
            </w:tcMar>
          </w:tcPr>
          <w:p w14:paraId="687804A6" w14:textId="77777777" w:rsidR="00A10B25" w:rsidRDefault="00A10B25">
            <w:pPr>
              <w:pStyle w:val="TAL"/>
            </w:pPr>
            <w:r>
              <w:t>Indicates location granularity of TA level.</w:t>
            </w:r>
          </w:p>
        </w:tc>
        <w:tc>
          <w:tcPr>
            <w:tcW w:w="889" w:type="pct"/>
          </w:tcPr>
          <w:p w14:paraId="5F5751CF" w14:textId="77777777" w:rsidR="00A10B25" w:rsidRDefault="00A10B25">
            <w:pPr>
              <w:pStyle w:val="TAL"/>
            </w:pPr>
          </w:p>
        </w:tc>
      </w:tr>
      <w:tr w:rsidR="00A10B25" w14:paraId="073F40BA" w14:textId="77777777">
        <w:tc>
          <w:tcPr>
            <w:tcW w:w="1919" w:type="pct"/>
            <w:tcMar>
              <w:top w:w="0" w:type="dxa"/>
              <w:left w:w="108" w:type="dxa"/>
              <w:bottom w:w="0" w:type="dxa"/>
              <w:right w:w="108" w:type="dxa"/>
            </w:tcMar>
          </w:tcPr>
          <w:p w14:paraId="3FE0FCE1" w14:textId="77777777" w:rsidR="00A10B25" w:rsidRDefault="00A10B25">
            <w:pPr>
              <w:pStyle w:val="TAL"/>
              <w:rPr>
                <w:lang w:eastAsia="zh-CN"/>
              </w:rPr>
            </w:pPr>
            <w:r>
              <w:rPr>
                <w:lang w:eastAsia="zh-CN"/>
              </w:rPr>
              <w:t>CELL_LEVEL</w:t>
            </w:r>
          </w:p>
        </w:tc>
        <w:tc>
          <w:tcPr>
            <w:tcW w:w="2192" w:type="pct"/>
            <w:tcMar>
              <w:top w:w="0" w:type="dxa"/>
              <w:left w:w="108" w:type="dxa"/>
              <w:bottom w:w="0" w:type="dxa"/>
              <w:right w:w="108" w:type="dxa"/>
            </w:tcMar>
          </w:tcPr>
          <w:p w14:paraId="35522AD7" w14:textId="77777777" w:rsidR="00A10B25" w:rsidRDefault="00A10B25">
            <w:pPr>
              <w:pStyle w:val="TAL"/>
              <w:rPr>
                <w:lang w:eastAsia="zh-CN"/>
              </w:rPr>
            </w:pPr>
            <w:r>
              <w:t>Indicates location granularity of Cell level.</w:t>
            </w:r>
          </w:p>
        </w:tc>
        <w:tc>
          <w:tcPr>
            <w:tcW w:w="889" w:type="pct"/>
          </w:tcPr>
          <w:p w14:paraId="2C42518C" w14:textId="77777777" w:rsidR="00A10B25" w:rsidRDefault="00A10B25">
            <w:pPr>
              <w:pStyle w:val="TAL"/>
            </w:pPr>
          </w:p>
        </w:tc>
      </w:tr>
      <w:tr w:rsidR="00A10B25" w14:paraId="001D070B"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2E362" w14:textId="77777777" w:rsidR="00A10B25" w:rsidRDefault="00A10B25">
            <w:pPr>
              <w:pStyle w:val="TAL"/>
              <w:rPr>
                <w:lang w:eastAsia="zh-CN"/>
              </w:rPr>
            </w:pPr>
            <w:r>
              <w:rPr>
                <w:lang w:eastAsia="zh-CN"/>
              </w:rPr>
              <w:t>LON_AND_LAT_LEVEL</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3F9E8D7" w14:textId="77777777" w:rsidR="00A10B25" w:rsidRDefault="00A10B25">
            <w:pPr>
              <w:pStyle w:val="TAL"/>
            </w:pPr>
            <w:r>
              <w:t>Indicates location granularity of longitude and latitude level.</w:t>
            </w:r>
          </w:p>
        </w:tc>
        <w:tc>
          <w:tcPr>
            <w:tcW w:w="889" w:type="pct"/>
            <w:tcBorders>
              <w:top w:val="single" w:sz="6" w:space="0" w:color="auto"/>
              <w:left w:val="single" w:sz="6" w:space="0" w:color="auto"/>
              <w:bottom w:val="single" w:sz="6" w:space="0" w:color="auto"/>
              <w:right w:val="single" w:sz="6" w:space="0" w:color="auto"/>
            </w:tcBorders>
          </w:tcPr>
          <w:p w14:paraId="45664976" w14:textId="77777777" w:rsidR="00A10B25" w:rsidRDefault="00A10B25">
            <w:pPr>
              <w:pStyle w:val="TAL"/>
            </w:pPr>
          </w:p>
        </w:tc>
      </w:tr>
    </w:tbl>
    <w:p w14:paraId="74A3D5EF" w14:textId="77777777" w:rsidR="00A10B25" w:rsidRDefault="00A10B25"/>
    <w:p w14:paraId="4C5320B8" w14:textId="77777777" w:rsidR="00A10B25" w:rsidRDefault="00A10B25">
      <w:pPr>
        <w:pStyle w:val="5"/>
      </w:pPr>
      <w:bookmarkStart w:id="9279" w:name="_Toc148522728"/>
      <w:bookmarkStart w:id="9280" w:name="_Toc145705818"/>
      <w:bookmarkStart w:id="9281" w:name="_Toc164920914"/>
      <w:bookmarkStart w:id="9282" w:name="_Toc170120456"/>
      <w:bookmarkStart w:id="9283" w:name="_Toc175858701"/>
      <w:bookmarkStart w:id="9284" w:name="_Toc175859774"/>
      <w:bookmarkStart w:id="9285" w:name="_Toc180606064"/>
      <w:bookmarkStart w:id="9286" w:name="_Toc185517323"/>
      <w:bookmarkStart w:id="9287" w:name="_Toc191576374"/>
      <w:bookmarkStart w:id="9288" w:name="_Toc191577114"/>
      <w:bookmarkStart w:id="9289" w:name="_Toc192880184"/>
      <w:bookmarkStart w:id="9290" w:name="_Toc195815072"/>
      <w:bookmarkStart w:id="9291" w:name="_Toc199453039"/>
      <w:r>
        <w:t>5.1.6.3.33</w:t>
      </w:r>
      <w:r>
        <w:tab/>
        <w:t>Enumeration: TrafficDirection</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2C1B147A"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5.1.6.3.33-1: Enumeration </w:t>
      </w:r>
      <w:r>
        <w:t>TrafficDirection</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0B3B90F3" w14:textId="77777777">
        <w:tc>
          <w:tcPr>
            <w:tcW w:w="1919" w:type="pct"/>
            <w:shd w:val="clear" w:color="auto" w:fill="C0C0C0"/>
            <w:tcMar>
              <w:top w:w="0" w:type="dxa"/>
              <w:left w:w="108" w:type="dxa"/>
              <w:bottom w:w="0" w:type="dxa"/>
              <w:right w:w="108" w:type="dxa"/>
            </w:tcMar>
          </w:tcPr>
          <w:p w14:paraId="25ED59CC"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1D9AB9E8" w14:textId="77777777" w:rsidR="00A10B25" w:rsidRDefault="00A10B25">
            <w:pPr>
              <w:pStyle w:val="TAH"/>
            </w:pPr>
            <w:r>
              <w:t>Description</w:t>
            </w:r>
          </w:p>
        </w:tc>
        <w:tc>
          <w:tcPr>
            <w:tcW w:w="889" w:type="pct"/>
            <w:shd w:val="clear" w:color="auto" w:fill="C0C0C0"/>
          </w:tcPr>
          <w:p w14:paraId="53DAC81B" w14:textId="77777777" w:rsidR="00A10B25" w:rsidRDefault="00A10B25">
            <w:pPr>
              <w:pStyle w:val="TAH"/>
            </w:pPr>
            <w:r>
              <w:t>Applicability</w:t>
            </w:r>
          </w:p>
        </w:tc>
      </w:tr>
      <w:tr w:rsidR="00A10B25" w14:paraId="7D55C175" w14:textId="77777777">
        <w:tc>
          <w:tcPr>
            <w:tcW w:w="1919" w:type="pct"/>
            <w:tcMar>
              <w:top w:w="0" w:type="dxa"/>
              <w:left w:w="108" w:type="dxa"/>
              <w:bottom w:w="0" w:type="dxa"/>
              <w:right w:w="108" w:type="dxa"/>
            </w:tcMar>
          </w:tcPr>
          <w:p w14:paraId="0734654A" w14:textId="77777777" w:rsidR="00A10B25" w:rsidRDefault="00A10B25">
            <w:pPr>
              <w:pStyle w:val="TAL"/>
            </w:pPr>
            <w:r>
              <w:t>UL_AND_DL</w:t>
            </w:r>
          </w:p>
        </w:tc>
        <w:tc>
          <w:tcPr>
            <w:tcW w:w="2192" w:type="pct"/>
            <w:tcMar>
              <w:top w:w="0" w:type="dxa"/>
              <w:left w:w="108" w:type="dxa"/>
              <w:bottom w:w="0" w:type="dxa"/>
              <w:right w:w="108" w:type="dxa"/>
            </w:tcMar>
          </w:tcPr>
          <w:p w14:paraId="001E8567" w14:textId="77777777" w:rsidR="00A10B25" w:rsidRDefault="00A10B25">
            <w:pPr>
              <w:pStyle w:val="TAL"/>
            </w:pPr>
            <w:r>
              <w:t>Uplink and downlink traffic.</w:t>
            </w:r>
          </w:p>
        </w:tc>
        <w:tc>
          <w:tcPr>
            <w:tcW w:w="889" w:type="pct"/>
          </w:tcPr>
          <w:p w14:paraId="2DF078C4" w14:textId="77777777" w:rsidR="00A10B25" w:rsidRDefault="00A10B25">
            <w:pPr>
              <w:pStyle w:val="TAL"/>
            </w:pPr>
          </w:p>
        </w:tc>
      </w:tr>
      <w:tr w:rsidR="00A10B25" w14:paraId="1C7963A4" w14:textId="77777777">
        <w:tc>
          <w:tcPr>
            <w:tcW w:w="1919" w:type="pct"/>
            <w:tcMar>
              <w:top w:w="0" w:type="dxa"/>
              <w:left w:w="108" w:type="dxa"/>
              <w:bottom w:w="0" w:type="dxa"/>
              <w:right w:w="108" w:type="dxa"/>
            </w:tcMar>
          </w:tcPr>
          <w:p w14:paraId="5DEB8DF4" w14:textId="77777777" w:rsidR="00A10B25" w:rsidRDefault="00A10B25">
            <w:pPr>
              <w:pStyle w:val="TAL"/>
              <w:rPr>
                <w:lang w:eastAsia="zh-CN"/>
              </w:rPr>
            </w:pPr>
            <w:r>
              <w:rPr>
                <w:lang w:eastAsia="zh-CN"/>
              </w:rPr>
              <w:t>UL</w:t>
            </w:r>
          </w:p>
        </w:tc>
        <w:tc>
          <w:tcPr>
            <w:tcW w:w="2192" w:type="pct"/>
            <w:tcMar>
              <w:top w:w="0" w:type="dxa"/>
              <w:left w:w="108" w:type="dxa"/>
              <w:bottom w:w="0" w:type="dxa"/>
              <w:right w:w="108" w:type="dxa"/>
            </w:tcMar>
          </w:tcPr>
          <w:p w14:paraId="30B1AB93" w14:textId="77777777" w:rsidR="00A10B25" w:rsidRDefault="00A10B25">
            <w:pPr>
              <w:pStyle w:val="TAL"/>
              <w:rPr>
                <w:lang w:eastAsia="zh-CN"/>
              </w:rPr>
            </w:pPr>
            <w:r>
              <w:t>Uplink traffic.</w:t>
            </w:r>
          </w:p>
        </w:tc>
        <w:tc>
          <w:tcPr>
            <w:tcW w:w="889" w:type="pct"/>
          </w:tcPr>
          <w:p w14:paraId="2B0FE964" w14:textId="77777777" w:rsidR="00A10B25" w:rsidRDefault="00A10B25">
            <w:pPr>
              <w:pStyle w:val="TAL"/>
            </w:pPr>
          </w:p>
        </w:tc>
      </w:tr>
      <w:tr w:rsidR="00A10B25" w14:paraId="21AADFD0" w14:textId="77777777">
        <w:tc>
          <w:tcPr>
            <w:tcW w:w="1919" w:type="pct"/>
            <w:tcMar>
              <w:top w:w="0" w:type="dxa"/>
              <w:left w:w="108" w:type="dxa"/>
              <w:bottom w:w="0" w:type="dxa"/>
              <w:right w:w="108" w:type="dxa"/>
            </w:tcMar>
          </w:tcPr>
          <w:p w14:paraId="77F05AE6" w14:textId="77777777" w:rsidR="00A10B25" w:rsidRDefault="00A10B25">
            <w:pPr>
              <w:pStyle w:val="TAL"/>
              <w:rPr>
                <w:lang w:eastAsia="zh-CN"/>
              </w:rPr>
            </w:pPr>
            <w:r>
              <w:rPr>
                <w:rFonts w:hint="eastAsia"/>
                <w:lang w:eastAsia="zh-CN"/>
              </w:rPr>
              <w:t>D</w:t>
            </w:r>
            <w:r>
              <w:rPr>
                <w:lang w:eastAsia="zh-CN"/>
              </w:rPr>
              <w:t>L</w:t>
            </w:r>
          </w:p>
        </w:tc>
        <w:tc>
          <w:tcPr>
            <w:tcW w:w="2192" w:type="pct"/>
            <w:tcMar>
              <w:top w:w="0" w:type="dxa"/>
              <w:left w:w="108" w:type="dxa"/>
              <w:bottom w:w="0" w:type="dxa"/>
              <w:right w:w="108" w:type="dxa"/>
            </w:tcMar>
          </w:tcPr>
          <w:p w14:paraId="5ADC1EF7" w14:textId="77777777" w:rsidR="00A10B25" w:rsidRDefault="00A10B25">
            <w:pPr>
              <w:pStyle w:val="TAL"/>
              <w:rPr>
                <w:lang w:eastAsia="zh-CN"/>
              </w:rPr>
            </w:pPr>
            <w:r>
              <w:rPr>
                <w:rFonts w:hint="eastAsia"/>
                <w:lang w:eastAsia="zh-CN"/>
              </w:rPr>
              <w:t>D</w:t>
            </w:r>
            <w:r>
              <w:rPr>
                <w:lang w:eastAsia="zh-CN"/>
              </w:rPr>
              <w:t>ownlink traffic.</w:t>
            </w:r>
          </w:p>
        </w:tc>
        <w:tc>
          <w:tcPr>
            <w:tcW w:w="889" w:type="pct"/>
          </w:tcPr>
          <w:p w14:paraId="499CDBD9" w14:textId="77777777" w:rsidR="00A10B25" w:rsidRDefault="00A10B25">
            <w:pPr>
              <w:pStyle w:val="TAL"/>
            </w:pPr>
          </w:p>
        </w:tc>
      </w:tr>
    </w:tbl>
    <w:p w14:paraId="3358E915" w14:textId="77777777" w:rsidR="00A10B25" w:rsidRDefault="00A10B25"/>
    <w:p w14:paraId="74F29F25" w14:textId="77777777" w:rsidR="00A10B25" w:rsidRDefault="00A10B25">
      <w:pPr>
        <w:pStyle w:val="5"/>
      </w:pPr>
      <w:bookmarkStart w:id="9292" w:name="_Toc136562493"/>
      <w:bookmarkStart w:id="9293" w:name="_Toc148522729"/>
      <w:bookmarkStart w:id="9294" w:name="_Toc138754327"/>
      <w:bookmarkStart w:id="9295" w:name="_Toc145705819"/>
      <w:bookmarkStart w:id="9296" w:name="_Toc164920915"/>
      <w:bookmarkStart w:id="9297" w:name="_Toc170120457"/>
      <w:bookmarkStart w:id="9298" w:name="_Toc175858702"/>
      <w:bookmarkStart w:id="9299" w:name="_Toc175859775"/>
      <w:bookmarkStart w:id="9300" w:name="_Toc180606065"/>
      <w:bookmarkStart w:id="9301" w:name="_Toc185517324"/>
      <w:bookmarkStart w:id="9302" w:name="_Toc191576375"/>
      <w:bookmarkStart w:id="9303" w:name="_Toc191577115"/>
      <w:bookmarkStart w:id="9304" w:name="_Toc192880185"/>
      <w:bookmarkStart w:id="9305" w:name="_Toc195815073"/>
      <w:bookmarkStart w:id="9306" w:name="_Toc199453040"/>
      <w:r>
        <w:lastRenderedPageBreak/>
        <w:t>5.1.6.3.34</w:t>
      </w:r>
      <w:r>
        <w:tab/>
        <w:t xml:space="preserve">Enumeration: </w:t>
      </w:r>
      <w:r>
        <w:rPr>
          <w:lang w:eastAsia="zh-CN"/>
        </w:rPr>
        <w:t>ValueExpression</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1AD04A73"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5.1.6.3.34-1: Enumeration </w:t>
      </w:r>
      <w:r>
        <w:rPr>
          <w:lang w:eastAsia="zh-CN"/>
        </w:rPr>
        <w:t>ValueExpression</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03461A06" w14:textId="77777777">
        <w:tc>
          <w:tcPr>
            <w:tcW w:w="1919" w:type="pct"/>
            <w:shd w:val="clear" w:color="auto" w:fill="C0C0C0"/>
            <w:tcMar>
              <w:top w:w="0" w:type="dxa"/>
              <w:left w:w="108" w:type="dxa"/>
              <w:bottom w:w="0" w:type="dxa"/>
              <w:right w:w="108" w:type="dxa"/>
            </w:tcMar>
          </w:tcPr>
          <w:p w14:paraId="43C4E8EE" w14:textId="77777777" w:rsidR="00A10B25" w:rsidRDefault="00A10B25">
            <w:pPr>
              <w:pStyle w:val="TAH"/>
            </w:pPr>
            <w:r>
              <w:t>Enumeration value</w:t>
            </w:r>
          </w:p>
        </w:tc>
        <w:tc>
          <w:tcPr>
            <w:tcW w:w="2192" w:type="pct"/>
            <w:shd w:val="clear" w:color="auto" w:fill="C0C0C0"/>
            <w:tcMar>
              <w:top w:w="0" w:type="dxa"/>
              <w:left w:w="108" w:type="dxa"/>
              <w:bottom w:w="0" w:type="dxa"/>
              <w:right w:w="108" w:type="dxa"/>
            </w:tcMar>
          </w:tcPr>
          <w:p w14:paraId="7428D36A" w14:textId="77777777" w:rsidR="00A10B25" w:rsidRDefault="00A10B25">
            <w:pPr>
              <w:pStyle w:val="TAH"/>
            </w:pPr>
            <w:r>
              <w:t>Description</w:t>
            </w:r>
          </w:p>
        </w:tc>
        <w:tc>
          <w:tcPr>
            <w:tcW w:w="889" w:type="pct"/>
            <w:shd w:val="clear" w:color="auto" w:fill="C0C0C0"/>
          </w:tcPr>
          <w:p w14:paraId="5D438B5B" w14:textId="77777777" w:rsidR="00A10B25" w:rsidRDefault="00A10B25">
            <w:pPr>
              <w:pStyle w:val="TAH"/>
            </w:pPr>
            <w:r>
              <w:t>Applicability</w:t>
            </w:r>
          </w:p>
        </w:tc>
      </w:tr>
      <w:tr w:rsidR="00A10B25" w14:paraId="60952A1A" w14:textId="77777777">
        <w:tc>
          <w:tcPr>
            <w:tcW w:w="1919" w:type="pct"/>
            <w:tcMar>
              <w:top w:w="0" w:type="dxa"/>
              <w:left w:w="108" w:type="dxa"/>
              <w:bottom w:w="0" w:type="dxa"/>
              <w:right w:w="108" w:type="dxa"/>
            </w:tcMar>
          </w:tcPr>
          <w:p w14:paraId="3361043D" w14:textId="77777777" w:rsidR="00A10B25" w:rsidRDefault="00A10B25">
            <w:pPr>
              <w:pStyle w:val="TAL"/>
            </w:pPr>
            <w:r>
              <w:t>AVERAGE</w:t>
            </w:r>
          </w:p>
        </w:tc>
        <w:tc>
          <w:tcPr>
            <w:tcW w:w="2192" w:type="pct"/>
            <w:tcMar>
              <w:top w:w="0" w:type="dxa"/>
              <w:left w:w="108" w:type="dxa"/>
              <w:bottom w:w="0" w:type="dxa"/>
              <w:right w:w="108" w:type="dxa"/>
            </w:tcMar>
          </w:tcPr>
          <w:p w14:paraId="2BEC6A83" w14:textId="77777777" w:rsidR="00A10B25" w:rsidRDefault="00A10B25">
            <w:pPr>
              <w:pStyle w:val="TAL"/>
            </w:pPr>
            <w:r>
              <w:t>Resource usage information in average value.</w:t>
            </w:r>
          </w:p>
        </w:tc>
        <w:tc>
          <w:tcPr>
            <w:tcW w:w="889" w:type="pct"/>
          </w:tcPr>
          <w:p w14:paraId="27BEDF9C" w14:textId="77777777" w:rsidR="00A10B25" w:rsidRDefault="00A10B25">
            <w:pPr>
              <w:pStyle w:val="TAL"/>
            </w:pPr>
          </w:p>
        </w:tc>
      </w:tr>
      <w:tr w:rsidR="00A10B25" w14:paraId="0B115715" w14:textId="77777777">
        <w:tc>
          <w:tcPr>
            <w:tcW w:w="1919" w:type="pct"/>
            <w:tcMar>
              <w:top w:w="0" w:type="dxa"/>
              <w:left w:w="108" w:type="dxa"/>
              <w:bottom w:w="0" w:type="dxa"/>
              <w:right w:w="108" w:type="dxa"/>
            </w:tcMar>
          </w:tcPr>
          <w:p w14:paraId="557D1DC2" w14:textId="77777777" w:rsidR="00A10B25" w:rsidRDefault="00A10B25">
            <w:pPr>
              <w:pStyle w:val="TAL"/>
              <w:rPr>
                <w:lang w:eastAsia="zh-CN"/>
              </w:rPr>
            </w:pPr>
            <w:r>
              <w:rPr>
                <w:lang w:eastAsia="zh-CN"/>
              </w:rPr>
              <w:t>PEAK</w:t>
            </w:r>
          </w:p>
        </w:tc>
        <w:tc>
          <w:tcPr>
            <w:tcW w:w="2192" w:type="pct"/>
            <w:tcMar>
              <w:top w:w="0" w:type="dxa"/>
              <w:left w:w="108" w:type="dxa"/>
              <w:bottom w:w="0" w:type="dxa"/>
              <w:right w:w="108" w:type="dxa"/>
            </w:tcMar>
          </w:tcPr>
          <w:p w14:paraId="3BEB6E0C" w14:textId="77777777" w:rsidR="00A10B25" w:rsidRDefault="00A10B25">
            <w:pPr>
              <w:pStyle w:val="TAL"/>
              <w:rPr>
                <w:lang w:eastAsia="zh-CN"/>
              </w:rPr>
            </w:pPr>
            <w:r>
              <w:t>Resource usage information in peak value.</w:t>
            </w:r>
          </w:p>
        </w:tc>
        <w:tc>
          <w:tcPr>
            <w:tcW w:w="889" w:type="pct"/>
          </w:tcPr>
          <w:p w14:paraId="51E9A2A4" w14:textId="77777777" w:rsidR="00A10B25" w:rsidRDefault="00A10B25">
            <w:pPr>
              <w:pStyle w:val="TAL"/>
            </w:pPr>
          </w:p>
        </w:tc>
      </w:tr>
    </w:tbl>
    <w:p w14:paraId="33466A84" w14:textId="77777777" w:rsidR="00A10B25" w:rsidRDefault="00A10B25"/>
    <w:p w14:paraId="2F711209" w14:textId="77777777" w:rsidR="00A10B25" w:rsidRDefault="00A10B25">
      <w:pPr>
        <w:pStyle w:val="5"/>
      </w:pPr>
      <w:bookmarkStart w:id="9307" w:name="_Toc148522730"/>
      <w:bookmarkStart w:id="9308" w:name="_Toc145705820"/>
      <w:bookmarkStart w:id="9309" w:name="_Toc136562494"/>
      <w:bookmarkStart w:id="9310" w:name="_Toc138754328"/>
      <w:bookmarkStart w:id="9311" w:name="_Toc164920916"/>
      <w:bookmarkStart w:id="9312" w:name="_Toc170120458"/>
      <w:bookmarkStart w:id="9313" w:name="_Toc175858703"/>
      <w:bookmarkStart w:id="9314" w:name="_Toc175859776"/>
      <w:bookmarkStart w:id="9315" w:name="_Toc180606066"/>
      <w:bookmarkStart w:id="9316" w:name="_Toc185517325"/>
      <w:bookmarkStart w:id="9317" w:name="_Toc191576376"/>
      <w:bookmarkStart w:id="9318" w:name="_Toc191577116"/>
      <w:bookmarkStart w:id="9319" w:name="_Toc192880186"/>
      <w:bookmarkStart w:id="9320" w:name="_Toc195815074"/>
      <w:bookmarkStart w:id="9321" w:name="_Toc199453041"/>
      <w:r>
        <w:t>5.1.6.3.35</w:t>
      </w:r>
      <w:r>
        <w:tab/>
        <w:t xml:space="preserve">Enumeration: </w:t>
      </w:r>
      <w:r>
        <w:rPr>
          <w:lang w:eastAsia="zh-CN"/>
        </w:rPr>
        <w:t>E2eDataVolTransTimeCriterion</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1FCDB31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5.1.6.3.35-1: Enumeration </w:t>
      </w:r>
      <w:r>
        <w:rPr>
          <w:lang w:eastAsia="zh-CN"/>
        </w:rPr>
        <w:t>E2eDataVolTransTimeCriterion</w:t>
      </w:r>
    </w:p>
    <w:tbl>
      <w:tblPr>
        <w:tblW w:w="4723" w:type="pct"/>
        <w:tblInd w:w="36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17"/>
        <w:gridCol w:w="4464"/>
        <w:gridCol w:w="1411"/>
      </w:tblGrid>
      <w:tr w:rsidR="00A10B25" w14:paraId="37B13B1D" w14:textId="77777777">
        <w:tc>
          <w:tcPr>
            <w:tcW w:w="1769" w:type="pct"/>
            <w:shd w:val="clear" w:color="auto" w:fill="C0C0C0"/>
            <w:tcMar>
              <w:top w:w="0" w:type="dxa"/>
              <w:left w:w="108" w:type="dxa"/>
              <w:bottom w:w="0" w:type="dxa"/>
              <w:right w:w="108" w:type="dxa"/>
            </w:tcMar>
          </w:tcPr>
          <w:p w14:paraId="315B7E2D" w14:textId="77777777" w:rsidR="00A10B25" w:rsidRDefault="00A10B25">
            <w:pPr>
              <w:pStyle w:val="TAH"/>
              <w:ind w:left="400" w:hanging="400"/>
            </w:pPr>
            <w:r>
              <w:t>Enumeration value</w:t>
            </w:r>
          </w:p>
        </w:tc>
        <w:tc>
          <w:tcPr>
            <w:tcW w:w="2455" w:type="pct"/>
            <w:shd w:val="clear" w:color="auto" w:fill="C0C0C0"/>
            <w:tcMar>
              <w:top w:w="0" w:type="dxa"/>
              <w:left w:w="108" w:type="dxa"/>
              <w:bottom w:w="0" w:type="dxa"/>
              <w:right w:w="108" w:type="dxa"/>
            </w:tcMar>
          </w:tcPr>
          <w:p w14:paraId="1E044683" w14:textId="77777777" w:rsidR="00A10B25" w:rsidRDefault="00A10B25">
            <w:pPr>
              <w:pStyle w:val="TAH"/>
              <w:ind w:left="400" w:hanging="400"/>
            </w:pPr>
            <w:r>
              <w:t>Description</w:t>
            </w:r>
          </w:p>
        </w:tc>
        <w:tc>
          <w:tcPr>
            <w:tcW w:w="776" w:type="pct"/>
            <w:shd w:val="clear" w:color="auto" w:fill="C0C0C0"/>
          </w:tcPr>
          <w:p w14:paraId="2511D1FA" w14:textId="77777777" w:rsidR="00A10B25" w:rsidRDefault="00A10B25">
            <w:pPr>
              <w:pStyle w:val="TAH"/>
              <w:ind w:left="400" w:hanging="400"/>
            </w:pPr>
            <w:r>
              <w:t>Applicability</w:t>
            </w:r>
          </w:p>
        </w:tc>
      </w:tr>
      <w:tr w:rsidR="00A10B25" w14:paraId="681A0A1F" w14:textId="77777777">
        <w:tc>
          <w:tcPr>
            <w:tcW w:w="1769" w:type="pct"/>
            <w:tcMar>
              <w:top w:w="0" w:type="dxa"/>
              <w:left w:w="108" w:type="dxa"/>
              <w:bottom w:w="0" w:type="dxa"/>
              <w:right w:w="108" w:type="dxa"/>
            </w:tcMar>
          </w:tcPr>
          <w:p w14:paraId="25359277" w14:textId="77777777" w:rsidR="00A10B25" w:rsidRDefault="00A10B25">
            <w:pPr>
              <w:pStyle w:val="TAL"/>
            </w:pPr>
            <w:r>
              <w:rPr>
                <w:lang w:eastAsia="zh-CN"/>
              </w:rPr>
              <w:t>E2E_DATA_VOL_TRANS_TIME</w:t>
            </w:r>
          </w:p>
        </w:tc>
        <w:tc>
          <w:tcPr>
            <w:tcW w:w="2455" w:type="pct"/>
            <w:tcMar>
              <w:top w:w="0" w:type="dxa"/>
              <w:left w:w="108" w:type="dxa"/>
              <w:bottom w:w="0" w:type="dxa"/>
              <w:right w:w="108" w:type="dxa"/>
            </w:tcMar>
          </w:tcPr>
          <w:p w14:paraId="1340AB49" w14:textId="77777777" w:rsidR="00A10B25" w:rsidRDefault="00A10B25">
            <w:pPr>
              <w:pStyle w:val="TAL"/>
            </w:pPr>
            <w:r>
              <w:t>T</w:t>
            </w:r>
            <w:r>
              <w:rPr>
                <w:rFonts w:hint="eastAsia"/>
                <w:lang w:eastAsia="zh-CN"/>
              </w:rPr>
              <w:t>he</w:t>
            </w:r>
            <w:r>
              <w:rPr>
                <w:lang w:eastAsia="zh-CN"/>
              </w:rPr>
              <w:t xml:space="preserve"> ordering criterion</w:t>
            </w:r>
            <w:r>
              <w:t xml:space="preserve"> is the E2E data volume transfer time.</w:t>
            </w:r>
          </w:p>
        </w:tc>
        <w:tc>
          <w:tcPr>
            <w:tcW w:w="776" w:type="pct"/>
          </w:tcPr>
          <w:p w14:paraId="32F7D102" w14:textId="77777777" w:rsidR="00A10B25" w:rsidRDefault="00A10B25">
            <w:pPr>
              <w:pStyle w:val="TAL"/>
            </w:pPr>
          </w:p>
        </w:tc>
      </w:tr>
    </w:tbl>
    <w:p w14:paraId="4A0343A4" w14:textId="77777777" w:rsidR="00A10B25" w:rsidRDefault="00A10B25">
      <w:pPr>
        <w:rPr>
          <w:lang w:val="en-US"/>
        </w:rPr>
      </w:pPr>
    </w:p>
    <w:p w14:paraId="7A46D87F" w14:textId="77777777" w:rsidR="00A10B25" w:rsidRDefault="00A10B25">
      <w:pPr>
        <w:pStyle w:val="5"/>
      </w:pPr>
      <w:bookmarkStart w:id="9322" w:name="_Toc138754329"/>
      <w:bookmarkStart w:id="9323" w:name="_Toc136562495"/>
      <w:bookmarkStart w:id="9324" w:name="_Toc145705821"/>
      <w:bookmarkStart w:id="9325" w:name="_Toc148522731"/>
      <w:bookmarkStart w:id="9326" w:name="_Toc164920917"/>
      <w:bookmarkStart w:id="9327" w:name="_Toc170120459"/>
      <w:bookmarkStart w:id="9328" w:name="_Toc175858704"/>
      <w:bookmarkStart w:id="9329" w:name="_Toc175859777"/>
      <w:bookmarkStart w:id="9330" w:name="_Toc180606067"/>
      <w:bookmarkStart w:id="9331" w:name="_Toc185517326"/>
      <w:bookmarkStart w:id="9332" w:name="_Toc191576377"/>
      <w:bookmarkStart w:id="9333" w:name="_Toc191577117"/>
      <w:bookmarkStart w:id="9334" w:name="_Toc192880187"/>
      <w:bookmarkStart w:id="9335" w:name="_Toc195815075"/>
      <w:bookmarkStart w:id="9336" w:name="_Toc199453042"/>
      <w:r>
        <w:t>5.1.6.3.36</w:t>
      </w:r>
      <w:r>
        <w:tab/>
      </w:r>
      <w:bookmarkEnd w:id="9322"/>
      <w:bookmarkEnd w:id="9323"/>
      <w:r>
        <w:t>Void</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0AEC6BE3" w14:textId="77777777" w:rsidR="00A10B25" w:rsidRDefault="00A10B25">
      <w:pPr>
        <w:pStyle w:val="5"/>
      </w:pPr>
      <w:bookmarkStart w:id="9337" w:name="_Toc148522732"/>
      <w:bookmarkStart w:id="9338" w:name="_Toc145705822"/>
      <w:bookmarkStart w:id="9339" w:name="_Toc164920918"/>
      <w:bookmarkStart w:id="9340" w:name="_Toc170120460"/>
      <w:bookmarkStart w:id="9341" w:name="_Toc175858705"/>
      <w:bookmarkStart w:id="9342" w:name="_Toc175859778"/>
      <w:bookmarkStart w:id="9343" w:name="_Toc180606068"/>
      <w:bookmarkStart w:id="9344" w:name="_Toc185517327"/>
      <w:bookmarkStart w:id="9345" w:name="_Toc191576378"/>
      <w:bookmarkStart w:id="9346" w:name="_Toc191577118"/>
      <w:bookmarkStart w:id="9347" w:name="_Toc192880188"/>
      <w:bookmarkStart w:id="9348" w:name="_Toc195815076"/>
      <w:bookmarkStart w:id="9349" w:name="_Toc199453043"/>
      <w:r>
        <w:t>5.1.6.3.37</w:t>
      </w:r>
      <w:r>
        <w:tab/>
        <w:t>Enumeration: AnalyticsAccuracyIndication</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2AF39EBC" w14:textId="77777777" w:rsidR="00A10B25" w:rsidRDefault="00A10B25">
      <w:pPr>
        <w:pStyle w:val="TH"/>
        <w:overflowPunct w:val="0"/>
        <w:autoSpaceDE w:val="0"/>
        <w:autoSpaceDN w:val="0"/>
        <w:adjustRightInd w:val="0"/>
        <w:textAlignment w:val="baseline"/>
      </w:pPr>
      <w:r>
        <w:t xml:space="preserve">Table 5.1.6.3.37-1: Enumeration </w:t>
      </w:r>
      <w:r>
        <w:rPr>
          <w:lang w:eastAsia="zh-CN"/>
        </w:rPr>
        <w:t>AnalyticsAccuracyIndication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52E4FED4"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5F1D5FC5" w14:textId="77777777" w:rsidR="00A10B25" w:rsidRDefault="00A10B25">
            <w:pPr>
              <w:pStyle w:val="TAH"/>
            </w:pPr>
            <w: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04F001BB" w14:textId="77777777" w:rsidR="00A10B25" w:rsidRDefault="00A10B25">
            <w:pPr>
              <w:pStyle w:val="TAH"/>
            </w:pPr>
            <w: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067F0B66" w14:textId="77777777" w:rsidR="00A10B25" w:rsidRDefault="00A10B25">
            <w:pPr>
              <w:pStyle w:val="TAH"/>
            </w:pPr>
            <w:r>
              <w:t>Applicability</w:t>
            </w:r>
          </w:p>
        </w:tc>
      </w:tr>
      <w:tr w:rsidR="00A10B25" w14:paraId="071E64F8"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10DC64" w14:textId="77777777" w:rsidR="00A10B25" w:rsidRDefault="00A10B25">
            <w:pPr>
              <w:pStyle w:val="TAL"/>
            </w:pPr>
            <w:r>
              <w:t>MEET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3A5D8" w14:textId="77777777" w:rsidR="00A10B25" w:rsidRDefault="00A10B25">
            <w:pPr>
              <w:pStyle w:val="TAL"/>
            </w:pPr>
            <w:r>
              <w:t>Indicates meet the analytics accuracy requirement.</w:t>
            </w:r>
          </w:p>
        </w:tc>
        <w:tc>
          <w:tcPr>
            <w:tcW w:w="889" w:type="pct"/>
            <w:tcBorders>
              <w:top w:val="single" w:sz="6" w:space="0" w:color="auto"/>
              <w:left w:val="single" w:sz="6" w:space="0" w:color="auto"/>
              <w:bottom w:val="single" w:sz="6" w:space="0" w:color="auto"/>
              <w:right w:val="single" w:sz="6" w:space="0" w:color="auto"/>
            </w:tcBorders>
          </w:tcPr>
          <w:p w14:paraId="1B5E2E2E" w14:textId="77777777" w:rsidR="00A10B25" w:rsidRDefault="00A10B25">
            <w:pPr>
              <w:pStyle w:val="TAL"/>
            </w:pPr>
          </w:p>
        </w:tc>
      </w:tr>
      <w:tr w:rsidR="00A10B25" w14:paraId="5E87340F"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1431CC" w14:textId="77777777" w:rsidR="00A10B25" w:rsidRDefault="00A10B25">
            <w:pPr>
              <w:pStyle w:val="TAL"/>
            </w:pPr>
            <w:r>
              <w:t>NOT_MEET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5C71F54" w14:textId="77777777" w:rsidR="00A10B25" w:rsidRDefault="00A10B25">
            <w:pPr>
              <w:pStyle w:val="TAL"/>
            </w:pPr>
            <w:r>
              <w:t>Indicates not meet the analytics accuracy requirement.</w:t>
            </w:r>
          </w:p>
        </w:tc>
        <w:tc>
          <w:tcPr>
            <w:tcW w:w="889" w:type="pct"/>
            <w:tcBorders>
              <w:top w:val="single" w:sz="6" w:space="0" w:color="auto"/>
              <w:left w:val="single" w:sz="6" w:space="0" w:color="auto"/>
              <w:bottom w:val="single" w:sz="6" w:space="0" w:color="auto"/>
              <w:right w:val="single" w:sz="6" w:space="0" w:color="auto"/>
            </w:tcBorders>
          </w:tcPr>
          <w:p w14:paraId="4309802E" w14:textId="77777777" w:rsidR="00A10B25" w:rsidRDefault="00A10B25">
            <w:pPr>
              <w:pStyle w:val="TAL"/>
            </w:pPr>
          </w:p>
        </w:tc>
      </w:tr>
    </w:tbl>
    <w:p w14:paraId="03E50B01" w14:textId="77777777" w:rsidR="00A10B25" w:rsidRDefault="00A10B25">
      <w:pPr>
        <w:rPr>
          <w:rFonts w:eastAsia="MS Mincho"/>
        </w:rPr>
      </w:pPr>
    </w:p>
    <w:p w14:paraId="04E3D9E4" w14:textId="77777777" w:rsidR="00A10B25" w:rsidRDefault="00A10B25">
      <w:pPr>
        <w:pStyle w:val="5"/>
      </w:pPr>
      <w:bookmarkStart w:id="9350" w:name="_Toc145705823"/>
      <w:bookmarkStart w:id="9351" w:name="_Toc136687210"/>
      <w:bookmarkStart w:id="9352" w:name="_Toc148522733"/>
      <w:bookmarkStart w:id="9353" w:name="_Toc164920919"/>
      <w:bookmarkStart w:id="9354" w:name="_Toc170120461"/>
      <w:bookmarkStart w:id="9355" w:name="_Toc175858706"/>
      <w:bookmarkStart w:id="9356" w:name="_Toc175859779"/>
      <w:bookmarkStart w:id="9357" w:name="_Toc180606069"/>
      <w:bookmarkStart w:id="9358" w:name="_Toc185517328"/>
      <w:bookmarkStart w:id="9359" w:name="_Toc191576379"/>
      <w:bookmarkStart w:id="9360" w:name="_Toc191577119"/>
      <w:bookmarkStart w:id="9361" w:name="_Toc192880189"/>
      <w:bookmarkStart w:id="9362" w:name="_Toc195815077"/>
      <w:bookmarkStart w:id="9363" w:name="_Toc199453044"/>
      <w:r>
        <w:t>5.1.6.3.38</w:t>
      </w:r>
      <w:r>
        <w:tab/>
        <w:t xml:space="preserve">Enumeration: </w:t>
      </w:r>
      <w:bookmarkEnd w:id="9351"/>
      <w:r>
        <w:t>LocationOrientation</w:t>
      </w:r>
      <w:bookmarkEnd w:id="9350"/>
      <w:bookmarkEnd w:id="9352"/>
      <w:bookmarkEnd w:id="9353"/>
      <w:bookmarkEnd w:id="9354"/>
      <w:bookmarkEnd w:id="9355"/>
      <w:bookmarkEnd w:id="9356"/>
      <w:bookmarkEnd w:id="9357"/>
      <w:bookmarkEnd w:id="9358"/>
      <w:bookmarkEnd w:id="9359"/>
      <w:bookmarkEnd w:id="9360"/>
      <w:bookmarkEnd w:id="9361"/>
      <w:bookmarkEnd w:id="9362"/>
      <w:bookmarkEnd w:id="9363"/>
    </w:p>
    <w:p w14:paraId="342ABFF8" w14:textId="77777777" w:rsidR="00A10B25" w:rsidRDefault="00A10B25">
      <w:pPr>
        <w:pStyle w:val="TH"/>
        <w:overflowPunct w:val="0"/>
        <w:autoSpaceDE w:val="0"/>
        <w:autoSpaceDN w:val="0"/>
        <w:adjustRightInd w:val="0"/>
        <w:textAlignment w:val="baseline"/>
      </w:pPr>
      <w:r>
        <w:t xml:space="preserve">Table 5.1.6.3.38-1: Enumeration </w:t>
      </w:r>
      <w:r>
        <w:rPr>
          <w:lang w:eastAsia="zh-CN"/>
        </w:rPr>
        <w:t>LocationOrientation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264340D1"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67135326" w14:textId="77777777" w:rsidR="00A10B25" w:rsidRDefault="00A10B25">
            <w:pPr>
              <w:pStyle w:val="TAH"/>
            </w:pPr>
            <w: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6B69D2A3" w14:textId="77777777" w:rsidR="00A10B25" w:rsidRDefault="00A10B25">
            <w:pPr>
              <w:pStyle w:val="TAH"/>
            </w:pPr>
            <w: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55C29E64" w14:textId="77777777" w:rsidR="00A10B25" w:rsidRDefault="00A10B25">
            <w:pPr>
              <w:pStyle w:val="TAH"/>
            </w:pPr>
            <w:r>
              <w:t>Applicability</w:t>
            </w:r>
          </w:p>
        </w:tc>
      </w:tr>
      <w:tr w:rsidR="00A10B25" w14:paraId="2844C3A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A4745" w14:textId="77777777" w:rsidR="00A10B25" w:rsidRDefault="00A10B25">
            <w:pPr>
              <w:pStyle w:val="TAL"/>
            </w:pPr>
            <w:r>
              <w:t>HORIZONTAL</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42D2EDB" w14:textId="77777777" w:rsidR="00A10B25" w:rsidRDefault="00A10B25">
            <w:pPr>
              <w:pStyle w:val="TAL"/>
            </w:pPr>
            <w:r>
              <w:t>Indicates horizontal orientation.</w:t>
            </w:r>
          </w:p>
        </w:tc>
        <w:tc>
          <w:tcPr>
            <w:tcW w:w="889" w:type="pct"/>
            <w:tcBorders>
              <w:top w:val="single" w:sz="6" w:space="0" w:color="auto"/>
              <w:left w:val="single" w:sz="6" w:space="0" w:color="auto"/>
              <w:bottom w:val="single" w:sz="6" w:space="0" w:color="auto"/>
              <w:right w:val="single" w:sz="6" w:space="0" w:color="auto"/>
            </w:tcBorders>
          </w:tcPr>
          <w:p w14:paraId="046B6D17" w14:textId="77777777" w:rsidR="00A10B25" w:rsidRDefault="00A10B25">
            <w:pPr>
              <w:pStyle w:val="TAL"/>
            </w:pPr>
          </w:p>
        </w:tc>
      </w:tr>
      <w:tr w:rsidR="00A10B25" w14:paraId="0E94851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11BAC5" w14:textId="77777777" w:rsidR="00A10B25" w:rsidRDefault="00A10B25">
            <w:pPr>
              <w:pStyle w:val="TAL"/>
              <w:rPr>
                <w:lang w:eastAsia="zh-CN"/>
              </w:rPr>
            </w:pPr>
            <w:r>
              <w:rPr>
                <w:lang w:eastAsia="zh-CN"/>
              </w:rPr>
              <w:t>VERTICAL</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371C1D" w14:textId="77777777" w:rsidR="00A10B25" w:rsidRDefault="00A10B25">
            <w:pPr>
              <w:pStyle w:val="TAL"/>
              <w:rPr>
                <w:lang w:eastAsia="zh-CN"/>
              </w:rPr>
            </w:pPr>
            <w:r>
              <w:t>Indicates vertical orientation.</w:t>
            </w:r>
          </w:p>
        </w:tc>
        <w:tc>
          <w:tcPr>
            <w:tcW w:w="889" w:type="pct"/>
            <w:tcBorders>
              <w:top w:val="single" w:sz="6" w:space="0" w:color="auto"/>
              <w:left w:val="single" w:sz="6" w:space="0" w:color="auto"/>
              <w:bottom w:val="single" w:sz="6" w:space="0" w:color="auto"/>
              <w:right w:val="single" w:sz="6" w:space="0" w:color="auto"/>
            </w:tcBorders>
          </w:tcPr>
          <w:p w14:paraId="6D3E6ACF" w14:textId="77777777" w:rsidR="00A10B25" w:rsidRDefault="00A10B25">
            <w:pPr>
              <w:pStyle w:val="TAL"/>
            </w:pPr>
          </w:p>
        </w:tc>
      </w:tr>
      <w:tr w:rsidR="00A10B25" w14:paraId="44FCF617"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C23019" w14:textId="77777777" w:rsidR="00A10B25" w:rsidRDefault="00607DB3">
            <w:pPr>
              <w:pStyle w:val="TAL"/>
              <w:rPr>
                <w:lang w:eastAsia="ja-JP"/>
              </w:rPr>
            </w:pPr>
            <w:r>
              <w:rPr>
                <w:lang w:val="en-US"/>
              </w:rPr>
              <w:t>HOR_AND_VER</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BC1523" w14:textId="77777777" w:rsidR="00A10B25" w:rsidRDefault="00A10B25">
            <w:pPr>
              <w:pStyle w:val="TAL"/>
              <w:rPr>
                <w:lang w:eastAsia="zh-CN"/>
              </w:rPr>
            </w:pPr>
            <w:r>
              <w:t>Indicates both horizontal and vertical orientation.</w:t>
            </w:r>
          </w:p>
        </w:tc>
        <w:tc>
          <w:tcPr>
            <w:tcW w:w="889" w:type="pct"/>
            <w:tcBorders>
              <w:top w:val="single" w:sz="6" w:space="0" w:color="auto"/>
              <w:left w:val="single" w:sz="6" w:space="0" w:color="auto"/>
              <w:bottom w:val="single" w:sz="6" w:space="0" w:color="auto"/>
              <w:right w:val="single" w:sz="6" w:space="0" w:color="auto"/>
            </w:tcBorders>
          </w:tcPr>
          <w:p w14:paraId="3083A27A" w14:textId="77777777" w:rsidR="00A10B25" w:rsidRDefault="00A10B25">
            <w:pPr>
              <w:pStyle w:val="TAL"/>
            </w:pPr>
          </w:p>
        </w:tc>
      </w:tr>
    </w:tbl>
    <w:p w14:paraId="3779AD0B" w14:textId="77777777" w:rsidR="00A10B25" w:rsidRDefault="00A10B25">
      <w:pPr>
        <w:rPr>
          <w:rFonts w:eastAsia="MS Mincho"/>
          <w:lang w:val="en-US"/>
        </w:rPr>
      </w:pPr>
    </w:p>
    <w:p w14:paraId="51F04CEC" w14:textId="77777777" w:rsidR="00A10B25" w:rsidRDefault="00A10B25">
      <w:pPr>
        <w:pStyle w:val="5"/>
      </w:pPr>
      <w:bookmarkStart w:id="9364" w:name="_Toc145705824"/>
      <w:bookmarkStart w:id="9365" w:name="_Toc148522734"/>
      <w:bookmarkStart w:id="9366" w:name="_Toc164920920"/>
      <w:bookmarkStart w:id="9367" w:name="_Toc170120462"/>
      <w:bookmarkStart w:id="9368" w:name="_Toc175858707"/>
      <w:bookmarkStart w:id="9369" w:name="_Toc175859780"/>
      <w:bookmarkStart w:id="9370" w:name="_Toc180606070"/>
      <w:bookmarkStart w:id="9371" w:name="_Toc185517329"/>
      <w:bookmarkStart w:id="9372" w:name="_Toc191576380"/>
      <w:bookmarkStart w:id="9373" w:name="_Toc191577120"/>
      <w:bookmarkStart w:id="9374" w:name="_Toc192880190"/>
      <w:bookmarkStart w:id="9375" w:name="_Toc195815078"/>
      <w:bookmarkStart w:id="9376" w:name="_Toc199453045"/>
      <w:r>
        <w:t>5.1.6.3.39</w:t>
      </w:r>
      <w:r>
        <w:tab/>
        <w:t>Enumeration: Direction</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0AC3CFFB" w14:textId="77777777" w:rsidR="00A10B25" w:rsidRDefault="00A10B25">
      <w:pPr>
        <w:pStyle w:val="TH"/>
        <w:overflowPunct w:val="0"/>
        <w:autoSpaceDE w:val="0"/>
        <w:autoSpaceDN w:val="0"/>
        <w:adjustRightInd w:val="0"/>
        <w:textAlignment w:val="baseline"/>
      </w:pPr>
      <w:r>
        <w:t xml:space="preserve">Table 5.1.6.3.39-1: Enumeration </w:t>
      </w:r>
      <w:r>
        <w:rPr>
          <w:lang w:eastAsia="zh-CN"/>
        </w:rPr>
        <w:t>Direction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7A0BCCFF"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50E8649" w14:textId="77777777" w:rsidR="00A10B25" w:rsidRDefault="00A10B25">
            <w:pPr>
              <w:pStyle w:val="TAH"/>
              <w:ind w:left="400" w:hanging="400"/>
            </w:pPr>
            <w: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6942578A" w14:textId="77777777" w:rsidR="00A10B25" w:rsidRDefault="00A10B25">
            <w:pPr>
              <w:pStyle w:val="TAH"/>
              <w:ind w:left="400" w:hanging="400"/>
            </w:pPr>
            <w: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31252BBD" w14:textId="77777777" w:rsidR="00A10B25" w:rsidRDefault="00A10B25">
            <w:pPr>
              <w:pStyle w:val="TAH"/>
              <w:ind w:left="400" w:hanging="400"/>
            </w:pPr>
            <w:r>
              <w:t>Applicability</w:t>
            </w:r>
          </w:p>
        </w:tc>
      </w:tr>
      <w:tr w:rsidR="00A10B25" w14:paraId="13F3995D"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C43C96" w14:textId="77777777" w:rsidR="00A10B25" w:rsidRDefault="00A10B25">
            <w:pPr>
              <w:pStyle w:val="TAL"/>
            </w:pPr>
            <w:r>
              <w:t>NORTH</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551A56" w14:textId="77777777" w:rsidR="00A10B25" w:rsidRDefault="00A10B25">
            <w:pPr>
              <w:pStyle w:val="TAL"/>
            </w:pPr>
            <w:r>
              <w:t>North direction.</w:t>
            </w:r>
          </w:p>
        </w:tc>
        <w:tc>
          <w:tcPr>
            <w:tcW w:w="889" w:type="pct"/>
            <w:tcBorders>
              <w:top w:val="single" w:sz="6" w:space="0" w:color="auto"/>
              <w:left w:val="single" w:sz="6" w:space="0" w:color="auto"/>
              <w:bottom w:val="single" w:sz="6" w:space="0" w:color="auto"/>
              <w:right w:val="single" w:sz="6" w:space="0" w:color="auto"/>
            </w:tcBorders>
          </w:tcPr>
          <w:p w14:paraId="6BE038E5" w14:textId="77777777" w:rsidR="00A10B25" w:rsidRDefault="00A10B25">
            <w:pPr>
              <w:pStyle w:val="TAL"/>
            </w:pPr>
          </w:p>
        </w:tc>
      </w:tr>
      <w:tr w:rsidR="00A10B25" w14:paraId="43619B6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4F351E" w14:textId="77777777" w:rsidR="00A10B25" w:rsidRDefault="00A10B25">
            <w:pPr>
              <w:pStyle w:val="TAL"/>
              <w:rPr>
                <w:lang w:eastAsia="zh-CN"/>
              </w:rPr>
            </w:pPr>
            <w:r>
              <w:rPr>
                <w:lang w:eastAsia="zh-CN"/>
              </w:rPr>
              <w:t>SOUTH</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0B57972" w14:textId="77777777" w:rsidR="00A10B25" w:rsidRDefault="00A10B25">
            <w:pPr>
              <w:pStyle w:val="TAL"/>
              <w:rPr>
                <w:lang w:eastAsia="zh-CN"/>
              </w:rPr>
            </w:pPr>
            <w:r>
              <w:t>South direction.</w:t>
            </w:r>
          </w:p>
        </w:tc>
        <w:tc>
          <w:tcPr>
            <w:tcW w:w="889" w:type="pct"/>
            <w:tcBorders>
              <w:top w:val="single" w:sz="6" w:space="0" w:color="auto"/>
              <w:left w:val="single" w:sz="6" w:space="0" w:color="auto"/>
              <w:bottom w:val="single" w:sz="6" w:space="0" w:color="auto"/>
              <w:right w:val="single" w:sz="6" w:space="0" w:color="auto"/>
            </w:tcBorders>
          </w:tcPr>
          <w:p w14:paraId="1D00D114" w14:textId="77777777" w:rsidR="00A10B25" w:rsidRDefault="00A10B25">
            <w:pPr>
              <w:pStyle w:val="TAL"/>
            </w:pPr>
          </w:p>
        </w:tc>
      </w:tr>
      <w:tr w:rsidR="00A10B25" w14:paraId="109C5F6B"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35533" w14:textId="77777777" w:rsidR="00A10B25" w:rsidRDefault="00A10B25">
            <w:pPr>
              <w:pStyle w:val="TAL"/>
              <w:rPr>
                <w:lang w:eastAsia="zh-CN"/>
              </w:rPr>
            </w:pPr>
            <w:r>
              <w:rPr>
                <w:lang w:eastAsia="zh-CN"/>
              </w:rPr>
              <w:t>EAST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384165" w14:textId="77777777" w:rsidR="00A10B25" w:rsidRDefault="00A10B25">
            <w:pPr>
              <w:pStyle w:val="TAL"/>
              <w:rPr>
                <w:lang w:eastAsia="zh-CN"/>
              </w:rPr>
            </w:pPr>
            <w:r>
              <w:t>East direction.</w:t>
            </w:r>
          </w:p>
        </w:tc>
        <w:tc>
          <w:tcPr>
            <w:tcW w:w="889" w:type="pct"/>
            <w:tcBorders>
              <w:top w:val="single" w:sz="6" w:space="0" w:color="auto"/>
              <w:left w:val="single" w:sz="6" w:space="0" w:color="auto"/>
              <w:bottom w:val="single" w:sz="6" w:space="0" w:color="auto"/>
              <w:right w:val="single" w:sz="6" w:space="0" w:color="auto"/>
            </w:tcBorders>
          </w:tcPr>
          <w:p w14:paraId="3E319E8D" w14:textId="77777777" w:rsidR="00A10B25" w:rsidRDefault="00A10B25">
            <w:pPr>
              <w:pStyle w:val="TAL"/>
            </w:pPr>
          </w:p>
        </w:tc>
      </w:tr>
      <w:tr w:rsidR="00A10B25" w14:paraId="333A7AA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053754" w14:textId="77777777" w:rsidR="00A10B25" w:rsidRDefault="00A10B25">
            <w:pPr>
              <w:pStyle w:val="TAL"/>
              <w:rPr>
                <w:lang w:eastAsia="zh-CN"/>
              </w:rPr>
            </w:pPr>
            <w:r>
              <w:rPr>
                <w:lang w:eastAsia="zh-CN"/>
              </w:rPr>
              <w:t>WEST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2878D8" w14:textId="77777777" w:rsidR="00A10B25" w:rsidRDefault="00A10B25">
            <w:pPr>
              <w:pStyle w:val="TAL"/>
            </w:pPr>
            <w:r>
              <w:t>West direction.</w:t>
            </w:r>
          </w:p>
        </w:tc>
        <w:tc>
          <w:tcPr>
            <w:tcW w:w="889" w:type="pct"/>
            <w:tcBorders>
              <w:top w:val="single" w:sz="6" w:space="0" w:color="auto"/>
              <w:left w:val="single" w:sz="6" w:space="0" w:color="auto"/>
              <w:bottom w:val="single" w:sz="6" w:space="0" w:color="auto"/>
              <w:right w:val="single" w:sz="6" w:space="0" w:color="auto"/>
            </w:tcBorders>
          </w:tcPr>
          <w:p w14:paraId="4CB0BC74" w14:textId="77777777" w:rsidR="00A10B25" w:rsidRDefault="00A10B25">
            <w:pPr>
              <w:pStyle w:val="TAL"/>
            </w:pPr>
          </w:p>
        </w:tc>
      </w:tr>
      <w:tr w:rsidR="00A10B25" w14:paraId="68DD9015"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7FD0E0" w14:textId="77777777" w:rsidR="00A10B25" w:rsidRDefault="00A10B25">
            <w:pPr>
              <w:pStyle w:val="TAL"/>
              <w:rPr>
                <w:lang w:eastAsia="zh-CN"/>
              </w:rPr>
            </w:pPr>
            <w:r>
              <w:rPr>
                <w:lang w:eastAsia="zh-CN"/>
              </w:rPr>
              <w:t>NORTHWEST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7CFF68" w14:textId="77777777" w:rsidR="00A10B25" w:rsidRDefault="00A10B25">
            <w:pPr>
              <w:pStyle w:val="TAL"/>
            </w:pPr>
            <w:r>
              <w:t>Northwest direction.</w:t>
            </w:r>
          </w:p>
        </w:tc>
        <w:tc>
          <w:tcPr>
            <w:tcW w:w="889" w:type="pct"/>
            <w:tcBorders>
              <w:top w:val="single" w:sz="6" w:space="0" w:color="auto"/>
              <w:left w:val="single" w:sz="6" w:space="0" w:color="auto"/>
              <w:bottom w:val="single" w:sz="6" w:space="0" w:color="auto"/>
              <w:right w:val="single" w:sz="6" w:space="0" w:color="auto"/>
            </w:tcBorders>
          </w:tcPr>
          <w:p w14:paraId="1D5F376A" w14:textId="77777777" w:rsidR="00A10B25" w:rsidRDefault="00A10B25">
            <w:pPr>
              <w:pStyle w:val="TAL"/>
            </w:pPr>
          </w:p>
        </w:tc>
      </w:tr>
      <w:tr w:rsidR="00A10B25" w14:paraId="5082F80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6ED66C6" w14:textId="77777777" w:rsidR="00A10B25" w:rsidRDefault="00A10B25">
            <w:pPr>
              <w:pStyle w:val="TAL"/>
              <w:rPr>
                <w:lang w:eastAsia="zh-CN"/>
              </w:rPr>
            </w:pPr>
            <w:r>
              <w:rPr>
                <w:lang w:eastAsia="zh-CN"/>
              </w:rPr>
              <w:t>NORTHEAST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8C780C" w14:textId="77777777" w:rsidR="00A10B25" w:rsidRDefault="00A10B25">
            <w:pPr>
              <w:pStyle w:val="TAL"/>
            </w:pPr>
            <w:r>
              <w:t>Northeast direction.</w:t>
            </w:r>
          </w:p>
        </w:tc>
        <w:tc>
          <w:tcPr>
            <w:tcW w:w="889" w:type="pct"/>
            <w:tcBorders>
              <w:top w:val="single" w:sz="6" w:space="0" w:color="auto"/>
              <w:left w:val="single" w:sz="6" w:space="0" w:color="auto"/>
              <w:bottom w:val="single" w:sz="6" w:space="0" w:color="auto"/>
              <w:right w:val="single" w:sz="6" w:space="0" w:color="auto"/>
            </w:tcBorders>
          </w:tcPr>
          <w:p w14:paraId="23E62E17" w14:textId="77777777" w:rsidR="00A10B25" w:rsidRDefault="00A10B25">
            <w:pPr>
              <w:pStyle w:val="TAL"/>
            </w:pPr>
          </w:p>
        </w:tc>
      </w:tr>
      <w:tr w:rsidR="00A10B25" w14:paraId="1AF8CD56"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711B6D" w14:textId="77777777" w:rsidR="00A10B25" w:rsidRDefault="00A10B25">
            <w:pPr>
              <w:pStyle w:val="TAL"/>
              <w:rPr>
                <w:lang w:eastAsia="zh-CN"/>
              </w:rPr>
            </w:pPr>
            <w:r>
              <w:rPr>
                <w:lang w:eastAsia="zh-CN"/>
              </w:rPr>
              <w:t>SOUTHWEST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35EF00" w14:textId="77777777" w:rsidR="00A10B25" w:rsidRDefault="00A10B25">
            <w:pPr>
              <w:pStyle w:val="TAL"/>
            </w:pPr>
            <w:r>
              <w:t>Southwest direction.</w:t>
            </w:r>
          </w:p>
        </w:tc>
        <w:tc>
          <w:tcPr>
            <w:tcW w:w="889" w:type="pct"/>
            <w:tcBorders>
              <w:top w:val="single" w:sz="6" w:space="0" w:color="auto"/>
              <w:left w:val="single" w:sz="6" w:space="0" w:color="auto"/>
              <w:bottom w:val="single" w:sz="6" w:space="0" w:color="auto"/>
              <w:right w:val="single" w:sz="6" w:space="0" w:color="auto"/>
            </w:tcBorders>
          </w:tcPr>
          <w:p w14:paraId="291EBB01" w14:textId="77777777" w:rsidR="00A10B25" w:rsidRDefault="00A10B25">
            <w:pPr>
              <w:pStyle w:val="TAL"/>
            </w:pPr>
          </w:p>
        </w:tc>
      </w:tr>
      <w:tr w:rsidR="00A10B25" w14:paraId="7A51415D"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EA2A04" w14:textId="77777777" w:rsidR="00A10B25" w:rsidRDefault="00A10B25">
            <w:pPr>
              <w:pStyle w:val="TAL"/>
              <w:rPr>
                <w:lang w:eastAsia="zh-CN"/>
              </w:rPr>
            </w:pPr>
            <w:r>
              <w:rPr>
                <w:lang w:eastAsia="zh-CN"/>
              </w:rPr>
              <w:t>SOUTHEAST</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35ACA20" w14:textId="77777777" w:rsidR="00A10B25" w:rsidRDefault="00A10B25">
            <w:pPr>
              <w:pStyle w:val="TAL"/>
            </w:pPr>
            <w:r>
              <w:t>Southeast direction.</w:t>
            </w:r>
          </w:p>
        </w:tc>
        <w:tc>
          <w:tcPr>
            <w:tcW w:w="889" w:type="pct"/>
            <w:tcBorders>
              <w:top w:val="single" w:sz="6" w:space="0" w:color="auto"/>
              <w:left w:val="single" w:sz="6" w:space="0" w:color="auto"/>
              <w:bottom w:val="single" w:sz="6" w:space="0" w:color="auto"/>
              <w:right w:val="single" w:sz="6" w:space="0" w:color="auto"/>
            </w:tcBorders>
          </w:tcPr>
          <w:p w14:paraId="1D08EBF8" w14:textId="77777777" w:rsidR="00A10B25" w:rsidRDefault="00A10B25">
            <w:pPr>
              <w:pStyle w:val="TAL"/>
            </w:pPr>
          </w:p>
        </w:tc>
      </w:tr>
    </w:tbl>
    <w:p w14:paraId="1A457670" w14:textId="77777777" w:rsidR="00A10B25" w:rsidRDefault="00A10B25">
      <w:pPr>
        <w:rPr>
          <w:rFonts w:eastAsia="MS Mincho"/>
        </w:rPr>
      </w:pPr>
    </w:p>
    <w:p w14:paraId="75DD5EA8" w14:textId="77777777" w:rsidR="00A10B25" w:rsidRDefault="00A10B25" w:rsidP="0076721C">
      <w:pPr>
        <w:pStyle w:val="5"/>
      </w:pPr>
      <w:bookmarkStart w:id="9377" w:name="_Toc144490184"/>
      <w:bookmarkStart w:id="9378" w:name="_Toc164920921"/>
      <w:bookmarkStart w:id="9379" w:name="_Toc170120463"/>
      <w:bookmarkStart w:id="9380" w:name="_Toc175858708"/>
      <w:bookmarkStart w:id="9381" w:name="_Toc175859781"/>
      <w:bookmarkStart w:id="9382" w:name="_Toc180606071"/>
      <w:bookmarkStart w:id="9383" w:name="_Toc185517330"/>
      <w:bookmarkStart w:id="9384" w:name="_Toc191576381"/>
      <w:bookmarkStart w:id="9385" w:name="_Toc191577121"/>
      <w:bookmarkStart w:id="9386" w:name="_Toc192880191"/>
      <w:bookmarkStart w:id="9387" w:name="_Toc195815079"/>
      <w:bookmarkStart w:id="9388" w:name="_Toc199453046"/>
      <w:r>
        <w:lastRenderedPageBreak/>
        <w:t>5.1.6.3.40</w:t>
      </w:r>
      <w:r>
        <w:tab/>
        <w:t xml:space="preserve">Enumeration: </w:t>
      </w:r>
      <w:bookmarkEnd w:id="9377"/>
      <w:r>
        <w:t>ProximityCriterion</w:t>
      </w:r>
      <w:bookmarkEnd w:id="9378"/>
      <w:bookmarkEnd w:id="9379"/>
      <w:bookmarkEnd w:id="9380"/>
      <w:bookmarkEnd w:id="9381"/>
      <w:bookmarkEnd w:id="9382"/>
      <w:bookmarkEnd w:id="9383"/>
      <w:bookmarkEnd w:id="9384"/>
      <w:bookmarkEnd w:id="9385"/>
      <w:bookmarkEnd w:id="9386"/>
      <w:bookmarkEnd w:id="9387"/>
      <w:bookmarkEnd w:id="9388"/>
    </w:p>
    <w:p w14:paraId="4885472B" w14:textId="77777777" w:rsidR="00A10B25" w:rsidRDefault="00A10B25" w:rsidP="0076721C">
      <w:pPr>
        <w:pStyle w:val="TH"/>
      </w:pPr>
      <w:r>
        <w:t xml:space="preserve">Table 5.1.6.3.40-1: Enumeration </w:t>
      </w:r>
      <w:r>
        <w:rPr>
          <w:lang w:eastAsia="zh-CN"/>
        </w:rPr>
        <w:t>ProximityCriterion</w:t>
      </w:r>
    </w:p>
    <w:tbl>
      <w:tblPr>
        <w:tblW w:w="4427" w:type="pct"/>
        <w:tblInd w:w="9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71"/>
        <w:gridCol w:w="3736"/>
        <w:gridCol w:w="1515"/>
      </w:tblGrid>
      <w:tr w:rsidR="00A10B25" w14:paraId="7A9B94AD" w14:textId="77777777">
        <w:tc>
          <w:tcPr>
            <w:tcW w:w="191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C082B71" w14:textId="77777777" w:rsidR="00A10B25" w:rsidRDefault="00A10B25">
            <w:pPr>
              <w:keepNext/>
              <w:keepLines/>
              <w:spacing w:after="0"/>
              <w:jc w:val="center"/>
              <w:rPr>
                <w:rFonts w:ascii="Arial" w:hAnsi="Arial"/>
                <w:b/>
                <w:sz w:val="18"/>
              </w:rPr>
            </w:pPr>
            <w:r>
              <w:rPr>
                <w:rFonts w:ascii="Arial" w:hAnsi="Arial"/>
                <w:b/>
                <w:sz w:val="18"/>
              </w:rPr>
              <w:t>Enumeration value</w:t>
            </w:r>
          </w:p>
        </w:tc>
        <w:tc>
          <w:tcPr>
            <w:tcW w:w="219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20775A54" w14:textId="77777777" w:rsidR="00A10B25" w:rsidRDefault="00A10B25">
            <w:pPr>
              <w:keepNext/>
              <w:keepLines/>
              <w:spacing w:after="0"/>
              <w:jc w:val="center"/>
              <w:rPr>
                <w:rFonts w:ascii="Arial" w:hAnsi="Arial"/>
                <w:b/>
                <w:sz w:val="18"/>
              </w:rPr>
            </w:pPr>
            <w:r>
              <w:rPr>
                <w:rFonts w:ascii="Arial" w:hAnsi="Arial"/>
                <w:b/>
                <w:sz w:val="18"/>
              </w:rPr>
              <w:t>Description</w:t>
            </w:r>
          </w:p>
        </w:tc>
        <w:tc>
          <w:tcPr>
            <w:tcW w:w="889" w:type="pct"/>
            <w:tcBorders>
              <w:top w:val="single" w:sz="6" w:space="0" w:color="auto"/>
              <w:left w:val="single" w:sz="6" w:space="0" w:color="auto"/>
              <w:bottom w:val="single" w:sz="6" w:space="0" w:color="auto"/>
              <w:right w:val="single" w:sz="6" w:space="0" w:color="auto"/>
            </w:tcBorders>
            <w:shd w:val="clear" w:color="auto" w:fill="C0C0C0"/>
          </w:tcPr>
          <w:p w14:paraId="1DD11EE9"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6DF3FB7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DA3AE5A" w14:textId="77777777" w:rsidR="00A10B25" w:rsidRDefault="00A10B25">
            <w:pPr>
              <w:keepNext/>
              <w:keepLines/>
              <w:spacing w:after="0"/>
              <w:rPr>
                <w:rFonts w:ascii="Arial" w:hAnsi="Arial"/>
                <w:sz w:val="18"/>
              </w:rPr>
            </w:pPr>
            <w:r>
              <w:rPr>
                <w:rFonts w:ascii="Arial" w:hAnsi="Arial"/>
                <w:sz w:val="18"/>
              </w:rPr>
              <w:t>VELOCITY</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649620" w14:textId="77777777" w:rsidR="00A10B25" w:rsidRDefault="00A10B25">
            <w:pPr>
              <w:keepNext/>
              <w:keepLines/>
              <w:spacing w:after="0"/>
              <w:rPr>
                <w:rFonts w:ascii="Arial" w:hAnsi="Arial"/>
                <w:sz w:val="18"/>
              </w:rPr>
            </w:pPr>
            <w:r>
              <w:rPr>
                <w:rFonts w:ascii="Arial" w:hAnsi="Arial"/>
                <w:sz w:val="18"/>
              </w:rPr>
              <w:t>Velocity.</w:t>
            </w:r>
          </w:p>
        </w:tc>
        <w:tc>
          <w:tcPr>
            <w:tcW w:w="889" w:type="pct"/>
            <w:tcBorders>
              <w:top w:val="single" w:sz="6" w:space="0" w:color="auto"/>
              <w:left w:val="single" w:sz="6" w:space="0" w:color="auto"/>
              <w:bottom w:val="single" w:sz="6" w:space="0" w:color="auto"/>
              <w:right w:val="single" w:sz="6" w:space="0" w:color="auto"/>
            </w:tcBorders>
          </w:tcPr>
          <w:p w14:paraId="6CE024E3" w14:textId="77777777" w:rsidR="00A10B25" w:rsidRDefault="00A10B25">
            <w:pPr>
              <w:keepNext/>
              <w:keepLines/>
              <w:spacing w:after="0"/>
              <w:rPr>
                <w:rFonts w:ascii="Arial" w:hAnsi="Arial"/>
                <w:sz w:val="18"/>
              </w:rPr>
            </w:pPr>
          </w:p>
        </w:tc>
      </w:tr>
      <w:tr w:rsidR="00A10B25" w14:paraId="65F3DF7D"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021C4E" w14:textId="77777777" w:rsidR="00A10B25" w:rsidRDefault="00A10B25">
            <w:pPr>
              <w:keepNext/>
              <w:keepLines/>
              <w:spacing w:after="0"/>
              <w:rPr>
                <w:rFonts w:ascii="Arial" w:hAnsi="Arial"/>
                <w:sz w:val="18"/>
                <w:lang w:eastAsia="zh-CN"/>
              </w:rPr>
            </w:pPr>
            <w:r>
              <w:rPr>
                <w:rFonts w:ascii="Arial" w:hAnsi="Arial"/>
                <w:sz w:val="18"/>
                <w:lang w:eastAsia="zh-CN"/>
              </w:rPr>
              <w:t>AVG_SPD</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04B8BA" w14:textId="77777777" w:rsidR="00A10B25" w:rsidRDefault="00A10B25">
            <w:pPr>
              <w:keepNext/>
              <w:keepLines/>
              <w:spacing w:after="0"/>
              <w:rPr>
                <w:rFonts w:ascii="Arial" w:hAnsi="Arial"/>
                <w:sz w:val="18"/>
                <w:lang w:eastAsia="zh-CN"/>
              </w:rPr>
            </w:pPr>
            <w:r>
              <w:rPr>
                <w:rFonts w:ascii="Arial" w:hAnsi="Arial"/>
                <w:sz w:val="18"/>
              </w:rPr>
              <w:t>Average speed.</w:t>
            </w:r>
          </w:p>
        </w:tc>
        <w:tc>
          <w:tcPr>
            <w:tcW w:w="889" w:type="pct"/>
            <w:tcBorders>
              <w:top w:val="single" w:sz="6" w:space="0" w:color="auto"/>
              <w:left w:val="single" w:sz="6" w:space="0" w:color="auto"/>
              <w:bottom w:val="single" w:sz="6" w:space="0" w:color="auto"/>
              <w:right w:val="single" w:sz="6" w:space="0" w:color="auto"/>
            </w:tcBorders>
          </w:tcPr>
          <w:p w14:paraId="702F699F" w14:textId="77777777" w:rsidR="00A10B25" w:rsidRDefault="00A10B25">
            <w:pPr>
              <w:keepNext/>
              <w:keepLines/>
              <w:spacing w:after="0"/>
              <w:rPr>
                <w:rFonts w:ascii="Arial" w:hAnsi="Arial"/>
                <w:sz w:val="18"/>
              </w:rPr>
            </w:pPr>
          </w:p>
        </w:tc>
      </w:tr>
      <w:tr w:rsidR="00A10B25" w14:paraId="7DBC3817"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7D19972" w14:textId="77777777" w:rsidR="00A10B25" w:rsidRDefault="00A10B25">
            <w:pPr>
              <w:keepNext/>
              <w:keepLines/>
              <w:spacing w:after="0"/>
              <w:rPr>
                <w:rFonts w:ascii="Arial" w:hAnsi="Arial"/>
                <w:sz w:val="18"/>
                <w:lang w:eastAsia="zh-CN"/>
              </w:rPr>
            </w:pPr>
            <w:r>
              <w:rPr>
                <w:rFonts w:ascii="Arial" w:hAnsi="Arial"/>
                <w:sz w:val="18"/>
                <w:lang w:eastAsia="zh-CN"/>
              </w:rPr>
              <w:t>ORIENTATION</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F89EDB" w14:textId="77777777" w:rsidR="00A10B25" w:rsidRDefault="00A10B25">
            <w:pPr>
              <w:keepNext/>
              <w:keepLines/>
              <w:spacing w:after="0"/>
              <w:rPr>
                <w:rFonts w:ascii="Arial" w:hAnsi="Arial"/>
                <w:sz w:val="18"/>
                <w:lang w:eastAsia="zh-CN"/>
              </w:rPr>
            </w:pPr>
            <w:r>
              <w:rPr>
                <w:rFonts w:ascii="Arial" w:hAnsi="Arial"/>
                <w:sz w:val="18"/>
              </w:rPr>
              <w:t>Orientation.</w:t>
            </w:r>
          </w:p>
        </w:tc>
        <w:tc>
          <w:tcPr>
            <w:tcW w:w="889" w:type="pct"/>
            <w:tcBorders>
              <w:top w:val="single" w:sz="6" w:space="0" w:color="auto"/>
              <w:left w:val="single" w:sz="6" w:space="0" w:color="auto"/>
              <w:bottom w:val="single" w:sz="6" w:space="0" w:color="auto"/>
              <w:right w:val="single" w:sz="6" w:space="0" w:color="auto"/>
            </w:tcBorders>
          </w:tcPr>
          <w:p w14:paraId="42F2F560" w14:textId="77777777" w:rsidR="00A10B25" w:rsidRDefault="00A10B25">
            <w:pPr>
              <w:keepNext/>
              <w:keepLines/>
              <w:spacing w:after="0"/>
              <w:rPr>
                <w:rFonts w:ascii="Arial" w:hAnsi="Arial"/>
                <w:sz w:val="18"/>
              </w:rPr>
            </w:pPr>
          </w:p>
        </w:tc>
      </w:tr>
      <w:tr w:rsidR="00A10B25" w14:paraId="3B5EA351" w14:textId="77777777">
        <w:tc>
          <w:tcPr>
            <w:tcW w:w="19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C0D0DA" w14:textId="77777777" w:rsidR="00A10B25" w:rsidRDefault="00A10B25">
            <w:pPr>
              <w:keepNext/>
              <w:keepLines/>
              <w:spacing w:after="0"/>
              <w:rPr>
                <w:rFonts w:ascii="Arial" w:hAnsi="Arial"/>
                <w:sz w:val="18"/>
                <w:lang w:eastAsia="zh-CN"/>
              </w:rPr>
            </w:pPr>
            <w:r>
              <w:rPr>
                <w:rFonts w:ascii="Arial" w:hAnsi="Arial"/>
                <w:sz w:val="18"/>
                <w:lang w:eastAsia="zh-CN"/>
              </w:rPr>
              <w:t>TRAJECTORY</w:t>
            </w:r>
          </w:p>
        </w:tc>
        <w:tc>
          <w:tcPr>
            <w:tcW w:w="219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1916D5" w14:textId="77777777" w:rsidR="00A10B25" w:rsidRDefault="00A10B25">
            <w:pPr>
              <w:keepNext/>
              <w:keepLines/>
              <w:spacing w:after="0"/>
              <w:rPr>
                <w:rFonts w:ascii="Arial" w:hAnsi="Arial"/>
                <w:sz w:val="18"/>
              </w:rPr>
            </w:pPr>
            <w:r>
              <w:rPr>
                <w:rFonts w:ascii="Arial" w:hAnsi="Arial"/>
                <w:sz w:val="18"/>
              </w:rPr>
              <w:t>Mobility trajectory.</w:t>
            </w:r>
          </w:p>
        </w:tc>
        <w:tc>
          <w:tcPr>
            <w:tcW w:w="889" w:type="pct"/>
            <w:tcBorders>
              <w:top w:val="single" w:sz="6" w:space="0" w:color="auto"/>
              <w:left w:val="single" w:sz="6" w:space="0" w:color="auto"/>
              <w:bottom w:val="single" w:sz="6" w:space="0" w:color="auto"/>
              <w:right w:val="single" w:sz="6" w:space="0" w:color="auto"/>
            </w:tcBorders>
          </w:tcPr>
          <w:p w14:paraId="558DC8D6" w14:textId="77777777" w:rsidR="00A10B25" w:rsidRDefault="00A10B25">
            <w:pPr>
              <w:keepNext/>
              <w:keepLines/>
              <w:spacing w:after="0"/>
              <w:rPr>
                <w:rFonts w:ascii="Arial" w:hAnsi="Arial"/>
                <w:sz w:val="18"/>
              </w:rPr>
            </w:pPr>
          </w:p>
        </w:tc>
      </w:tr>
    </w:tbl>
    <w:p w14:paraId="38AC31A5" w14:textId="77777777" w:rsidR="00A10B25" w:rsidRDefault="00A10B25">
      <w:pPr>
        <w:rPr>
          <w:rFonts w:eastAsia="MS Mincho"/>
        </w:rPr>
      </w:pPr>
    </w:p>
    <w:p w14:paraId="40F94AE7" w14:textId="77777777" w:rsidR="00991119" w:rsidRDefault="00991119" w:rsidP="00991119">
      <w:pPr>
        <w:pStyle w:val="5"/>
      </w:pPr>
      <w:bookmarkStart w:id="9389" w:name="_Toc138754330"/>
      <w:bookmarkStart w:id="9390" w:name="_Toc136562496"/>
      <w:bookmarkStart w:id="9391" w:name="_Toc145705825"/>
      <w:bookmarkStart w:id="9392" w:name="_Toc148522735"/>
      <w:bookmarkStart w:id="9393" w:name="_Toc164920922"/>
      <w:bookmarkStart w:id="9394" w:name="_Toc170120464"/>
      <w:bookmarkStart w:id="9395" w:name="_Toc175858709"/>
      <w:bookmarkStart w:id="9396" w:name="_Toc175859782"/>
      <w:bookmarkStart w:id="9397" w:name="_Toc180606072"/>
      <w:bookmarkStart w:id="9398" w:name="_Toc185517332"/>
      <w:bookmarkStart w:id="9399" w:name="_Toc185517331"/>
      <w:bookmarkStart w:id="9400" w:name="_Toc191576382"/>
      <w:bookmarkStart w:id="9401" w:name="_Toc191577122"/>
      <w:bookmarkStart w:id="9402" w:name="_Toc192880192"/>
      <w:bookmarkStart w:id="9403" w:name="_Toc195815080"/>
      <w:bookmarkStart w:id="9404" w:name="_Toc199453047"/>
      <w:r>
        <w:t>5.1.6.3.41</w:t>
      </w:r>
      <w:r>
        <w:tab/>
        <w:t>Enumeration: Target</w:t>
      </w:r>
      <w:r>
        <w:rPr>
          <w:rFonts w:hint="eastAsia"/>
          <w:lang w:eastAsia="zh-CN"/>
        </w:rPr>
        <w:t>Cause</w:t>
      </w:r>
      <w:r>
        <w:t>Id</w:t>
      </w:r>
      <w:bookmarkEnd w:id="9399"/>
      <w:bookmarkEnd w:id="9400"/>
      <w:bookmarkEnd w:id="9401"/>
      <w:bookmarkEnd w:id="9402"/>
      <w:bookmarkEnd w:id="9403"/>
      <w:bookmarkEnd w:id="9404"/>
    </w:p>
    <w:p w14:paraId="36BB5018" w14:textId="77777777" w:rsidR="00991119" w:rsidRDefault="00991119" w:rsidP="00991119">
      <w:pPr>
        <w:pStyle w:val="TH"/>
      </w:pPr>
      <w:r>
        <w:t>Table 5.1.6.3.41-1: Enumeration Target</w:t>
      </w:r>
      <w:r>
        <w:rPr>
          <w:rFonts w:hint="eastAsia"/>
          <w:lang w:eastAsia="zh-CN"/>
        </w:rPr>
        <w:t>Cause</w:t>
      </w:r>
      <w:r>
        <w:t>Id</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20"/>
        <w:gridCol w:w="3402"/>
        <w:gridCol w:w="2072"/>
      </w:tblGrid>
      <w:tr w:rsidR="00991119" w14:paraId="22991D7B" w14:textId="77777777" w:rsidTr="009E7F73">
        <w:trPr>
          <w:jc w:val="center"/>
        </w:trPr>
        <w:tc>
          <w:tcPr>
            <w:tcW w:w="3820" w:type="dxa"/>
            <w:shd w:val="clear" w:color="auto" w:fill="C0C0C0"/>
            <w:tcMar>
              <w:top w:w="0" w:type="dxa"/>
              <w:left w:w="108" w:type="dxa"/>
              <w:bottom w:w="0" w:type="dxa"/>
              <w:right w:w="108" w:type="dxa"/>
            </w:tcMar>
          </w:tcPr>
          <w:p w14:paraId="4AFC69D5" w14:textId="77777777" w:rsidR="00991119" w:rsidRDefault="00991119" w:rsidP="009E7F73">
            <w:pPr>
              <w:keepNext/>
              <w:keepLines/>
              <w:spacing w:after="0"/>
              <w:jc w:val="center"/>
              <w:rPr>
                <w:rFonts w:ascii="Arial" w:hAnsi="Arial"/>
                <w:b/>
                <w:sz w:val="18"/>
              </w:rPr>
            </w:pPr>
            <w:r>
              <w:rPr>
                <w:rFonts w:ascii="Arial" w:hAnsi="Arial"/>
                <w:b/>
                <w:sz w:val="18"/>
              </w:rPr>
              <w:t>Enumeration value</w:t>
            </w:r>
          </w:p>
        </w:tc>
        <w:tc>
          <w:tcPr>
            <w:tcW w:w="3402" w:type="dxa"/>
            <w:shd w:val="clear" w:color="auto" w:fill="C0C0C0"/>
            <w:tcMar>
              <w:top w:w="0" w:type="dxa"/>
              <w:left w:w="108" w:type="dxa"/>
              <w:bottom w:w="0" w:type="dxa"/>
              <w:right w:w="108" w:type="dxa"/>
            </w:tcMar>
          </w:tcPr>
          <w:p w14:paraId="5074E44C" w14:textId="77777777" w:rsidR="00991119" w:rsidRDefault="00991119" w:rsidP="009E7F73">
            <w:pPr>
              <w:keepNext/>
              <w:keepLines/>
              <w:spacing w:after="0"/>
              <w:jc w:val="center"/>
              <w:rPr>
                <w:rFonts w:ascii="Arial" w:hAnsi="Arial"/>
                <w:b/>
                <w:sz w:val="18"/>
              </w:rPr>
            </w:pPr>
            <w:r>
              <w:rPr>
                <w:rFonts w:ascii="Arial" w:hAnsi="Arial"/>
                <w:b/>
                <w:sz w:val="18"/>
              </w:rPr>
              <w:t>Description</w:t>
            </w:r>
          </w:p>
        </w:tc>
        <w:tc>
          <w:tcPr>
            <w:tcW w:w="2072" w:type="dxa"/>
            <w:shd w:val="clear" w:color="auto" w:fill="C0C0C0"/>
          </w:tcPr>
          <w:p w14:paraId="2F67223C" w14:textId="77777777" w:rsidR="00991119" w:rsidRDefault="00991119" w:rsidP="009E7F73">
            <w:pPr>
              <w:keepNext/>
              <w:keepLines/>
              <w:spacing w:after="0"/>
              <w:jc w:val="center"/>
              <w:rPr>
                <w:rFonts w:ascii="Arial" w:hAnsi="Arial"/>
                <w:b/>
                <w:sz w:val="18"/>
              </w:rPr>
            </w:pPr>
            <w:r>
              <w:rPr>
                <w:rFonts w:ascii="Arial" w:hAnsi="Arial"/>
                <w:b/>
                <w:sz w:val="18"/>
              </w:rPr>
              <w:t>Applicability</w:t>
            </w:r>
          </w:p>
        </w:tc>
      </w:tr>
      <w:tr w:rsidR="00991119" w14:paraId="593C1B96" w14:textId="77777777" w:rsidTr="009E7F73">
        <w:trPr>
          <w:jc w:val="center"/>
        </w:trPr>
        <w:tc>
          <w:tcPr>
            <w:tcW w:w="3820" w:type="dxa"/>
            <w:tcMar>
              <w:top w:w="0" w:type="dxa"/>
              <w:left w:w="108" w:type="dxa"/>
              <w:bottom w:w="0" w:type="dxa"/>
              <w:right w:w="108" w:type="dxa"/>
            </w:tcMar>
          </w:tcPr>
          <w:p w14:paraId="670CCEAC" w14:textId="77777777" w:rsidR="00991119" w:rsidRDefault="00991119" w:rsidP="009E7F73">
            <w:pPr>
              <w:keepNext/>
              <w:keepLines/>
              <w:spacing w:after="0"/>
              <w:rPr>
                <w:rFonts w:ascii="Arial" w:hAnsi="Arial"/>
                <w:sz w:val="18"/>
              </w:rPr>
            </w:pPr>
            <w:r>
              <w:rPr>
                <w:rFonts w:ascii="Arial" w:hAnsi="Arial"/>
                <w:sz w:val="18"/>
              </w:rPr>
              <w:t>SIGNALLING_STORM_CAUSED_BY_UE</w:t>
            </w:r>
          </w:p>
        </w:tc>
        <w:tc>
          <w:tcPr>
            <w:tcW w:w="3402" w:type="dxa"/>
            <w:tcMar>
              <w:top w:w="0" w:type="dxa"/>
              <w:left w:w="108" w:type="dxa"/>
              <w:bottom w:w="0" w:type="dxa"/>
              <w:right w:w="108" w:type="dxa"/>
            </w:tcMar>
          </w:tcPr>
          <w:p w14:paraId="71619843" w14:textId="77777777" w:rsidR="00991119" w:rsidRDefault="00991119" w:rsidP="009E7F73">
            <w:pPr>
              <w:keepNext/>
              <w:keepLines/>
              <w:spacing w:after="0"/>
              <w:rPr>
                <w:rFonts w:ascii="Arial" w:hAnsi="Arial"/>
                <w:sz w:val="18"/>
              </w:rPr>
            </w:pPr>
            <w:r>
              <w:rPr>
                <w:rFonts w:ascii="Arial" w:hAnsi="Arial"/>
                <w:sz w:val="18"/>
              </w:rPr>
              <w:t xml:space="preserve">The </w:t>
            </w:r>
            <w:r w:rsidRPr="00A44C77">
              <w:rPr>
                <w:rFonts w:ascii="Arial" w:hAnsi="Arial" w:hint="eastAsia"/>
                <w:sz w:val="18"/>
              </w:rPr>
              <w:t xml:space="preserve">signalling storm </w:t>
            </w:r>
            <w:r w:rsidRPr="00A44C77">
              <w:rPr>
                <w:rFonts w:ascii="Arial" w:hAnsi="Arial"/>
                <w:sz w:val="18"/>
              </w:rPr>
              <w:t>is c</w:t>
            </w:r>
            <w:r w:rsidRPr="00A44C77">
              <w:rPr>
                <w:rFonts w:ascii="Arial" w:hAnsi="Arial" w:hint="eastAsia"/>
                <w:sz w:val="18"/>
              </w:rPr>
              <w:t>aused by UE</w:t>
            </w:r>
            <w:r>
              <w:rPr>
                <w:rFonts w:ascii="Arial" w:hAnsi="Arial" w:hint="eastAsia"/>
                <w:sz w:val="18"/>
              </w:rPr>
              <w:t>s</w:t>
            </w:r>
            <w:r>
              <w:rPr>
                <w:rFonts w:ascii="Arial" w:hAnsi="Arial"/>
                <w:sz w:val="18"/>
              </w:rPr>
              <w:t>.</w:t>
            </w:r>
          </w:p>
        </w:tc>
        <w:tc>
          <w:tcPr>
            <w:tcW w:w="2072" w:type="dxa"/>
          </w:tcPr>
          <w:p w14:paraId="481B453D" w14:textId="77777777" w:rsidR="00991119" w:rsidRDefault="00991119" w:rsidP="009E7F73">
            <w:pPr>
              <w:keepNext/>
              <w:keepLines/>
              <w:spacing w:after="0"/>
              <w:rPr>
                <w:rFonts w:ascii="Arial" w:hAnsi="Arial"/>
                <w:sz w:val="18"/>
                <w:lang w:eastAsia="zh-CN"/>
              </w:rPr>
            </w:pPr>
          </w:p>
        </w:tc>
      </w:tr>
      <w:tr w:rsidR="00991119" w14:paraId="5DF5C38F" w14:textId="77777777" w:rsidTr="009E7F73">
        <w:trPr>
          <w:jc w:val="center"/>
        </w:trPr>
        <w:tc>
          <w:tcPr>
            <w:tcW w:w="3820" w:type="dxa"/>
            <w:tcMar>
              <w:top w:w="0" w:type="dxa"/>
              <w:left w:w="108" w:type="dxa"/>
              <w:bottom w:w="0" w:type="dxa"/>
              <w:right w:w="108" w:type="dxa"/>
            </w:tcMar>
          </w:tcPr>
          <w:p w14:paraId="71FB2EF1" w14:textId="77777777" w:rsidR="00991119" w:rsidRDefault="00991119" w:rsidP="009E7F73">
            <w:pPr>
              <w:keepNext/>
              <w:keepLines/>
              <w:spacing w:after="0"/>
              <w:rPr>
                <w:rFonts w:ascii="Arial" w:hAnsi="Arial"/>
                <w:sz w:val="18"/>
                <w:lang w:eastAsia="zh-CN"/>
              </w:rPr>
            </w:pPr>
            <w:r>
              <w:rPr>
                <w:rFonts w:ascii="Arial" w:hAnsi="Arial"/>
                <w:sz w:val="18"/>
              </w:rPr>
              <w:t>SIGNALLING_STORM_CAUSED_BY_NF</w:t>
            </w:r>
          </w:p>
        </w:tc>
        <w:tc>
          <w:tcPr>
            <w:tcW w:w="3402" w:type="dxa"/>
            <w:tcMar>
              <w:top w:w="0" w:type="dxa"/>
              <w:left w:w="108" w:type="dxa"/>
              <w:bottom w:w="0" w:type="dxa"/>
              <w:right w:w="108" w:type="dxa"/>
            </w:tcMar>
          </w:tcPr>
          <w:p w14:paraId="4C44D181" w14:textId="77777777" w:rsidR="00991119" w:rsidRDefault="00991119" w:rsidP="009E7F73">
            <w:pPr>
              <w:keepNext/>
              <w:keepLines/>
              <w:spacing w:after="0"/>
              <w:rPr>
                <w:rFonts w:ascii="Arial" w:hAnsi="Arial"/>
                <w:sz w:val="18"/>
              </w:rPr>
            </w:pPr>
            <w:r>
              <w:rPr>
                <w:rFonts w:ascii="Arial" w:hAnsi="Arial"/>
                <w:sz w:val="18"/>
              </w:rPr>
              <w:t xml:space="preserve">The </w:t>
            </w:r>
            <w:r w:rsidRPr="00A44C77">
              <w:rPr>
                <w:rFonts w:ascii="Arial" w:hAnsi="Arial" w:hint="eastAsia"/>
                <w:sz w:val="18"/>
              </w:rPr>
              <w:t xml:space="preserve">signalling storm </w:t>
            </w:r>
            <w:r w:rsidRPr="00A44C77">
              <w:rPr>
                <w:rFonts w:ascii="Arial" w:hAnsi="Arial"/>
                <w:sz w:val="18"/>
              </w:rPr>
              <w:t>is c</w:t>
            </w:r>
            <w:r>
              <w:rPr>
                <w:rFonts w:ascii="Arial" w:hAnsi="Arial" w:hint="eastAsia"/>
                <w:sz w:val="18"/>
              </w:rPr>
              <w:t xml:space="preserve">aused by </w:t>
            </w:r>
            <w:r>
              <w:rPr>
                <w:rFonts w:ascii="Arial" w:hAnsi="Arial"/>
                <w:sz w:val="18"/>
              </w:rPr>
              <w:t>NF.</w:t>
            </w:r>
          </w:p>
        </w:tc>
        <w:tc>
          <w:tcPr>
            <w:tcW w:w="2072" w:type="dxa"/>
          </w:tcPr>
          <w:p w14:paraId="072628BE" w14:textId="77777777" w:rsidR="00991119" w:rsidRDefault="00991119" w:rsidP="009E7F73">
            <w:pPr>
              <w:keepNext/>
              <w:keepLines/>
              <w:spacing w:after="0"/>
              <w:rPr>
                <w:rFonts w:ascii="Arial" w:hAnsi="Arial"/>
                <w:sz w:val="18"/>
                <w:lang w:eastAsia="zh-CN"/>
              </w:rPr>
            </w:pPr>
          </w:p>
        </w:tc>
      </w:tr>
    </w:tbl>
    <w:p w14:paraId="385C2A2E" w14:textId="77777777" w:rsidR="00991119" w:rsidRDefault="00991119" w:rsidP="00991119">
      <w:pPr>
        <w:rPr>
          <w:lang w:eastAsia="zh-CN"/>
        </w:rPr>
      </w:pPr>
    </w:p>
    <w:p w14:paraId="42CAE966" w14:textId="77777777" w:rsidR="00143F25" w:rsidRDefault="00143F25" w:rsidP="00143F25">
      <w:pPr>
        <w:pStyle w:val="5"/>
      </w:pPr>
      <w:bookmarkStart w:id="9405" w:name="_Toc191576383"/>
      <w:bookmarkStart w:id="9406" w:name="_Toc191577123"/>
      <w:bookmarkStart w:id="9407" w:name="_Toc192880193"/>
      <w:bookmarkStart w:id="9408" w:name="_Toc195815081"/>
      <w:bookmarkStart w:id="9409" w:name="_Toc199453048"/>
      <w:r>
        <w:t>5.1.6.3.42</w:t>
      </w:r>
      <w:r>
        <w:tab/>
        <w:t>Enumeration: TimerType</w:t>
      </w:r>
      <w:bookmarkEnd w:id="9398"/>
      <w:bookmarkEnd w:id="9405"/>
      <w:bookmarkEnd w:id="9406"/>
      <w:bookmarkEnd w:id="9407"/>
      <w:bookmarkEnd w:id="9408"/>
      <w:bookmarkEnd w:id="9409"/>
    </w:p>
    <w:p w14:paraId="7D68BADA" w14:textId="77777777" w:rsidR="00143F25" w:rsidRDefault="00143F25" w:rsidP="00143F25">
      <w:pPr>
        <w:pStyle w:val="TH"/>
      </w:pPr>
      <w:r>
        <w:t>Table 5.1.6.3.42-1: Enumeration TimerType</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20"/>
        <w:gridCol w:w="3402"/>
        <w:gridCol w:w="2072"/>
      </w:tblGrid>
      <w:tr w:rsidR="00143F25" w14:paraId="111A4174" w14:textId="77777777" w:rsidTr="007D0950">
        <w:trPr>
          <w:jc w:val="center"/>
        </w:trPr>
        <w:tc>
          <w:tcPr>
            <w:tcW w:w="3820" w:type="dxa"/>
            <w:shd w:val="clear" w:color="auto" w:fill="C0C0C0"/>
            <w:tcMar>
              <w:top w:w="0" w:type="dxa"/>
              <w:left w:w="108" w:type="dxa"/>
              <w:bottom w:w="0" w:type="dxa"/>
              <w:right w:w="108" w:type="dxa"/>
            </w:tcMar>
          </w:tcPr>
          <w:p w14:paraId="35D5445E" w14:textId="77777777" w:rsidR="00143F25" w:rsidRDefault="00143F25" w:rsidP="007D0950">
            <w:pPr>
              <w:keepNext/>
              <w:keepLines/>
              <w:spacing w:after="0"/>
              <w:jc w:val="center"/>
              <w:rPr>
                <w:rFonts w:ascii="Arial" w:hAnsi="Arial"/>
                <w:b/>
                <w:sz w:val="18"/>
              </w:rPr>
            </w:pPr>
            <w:r>
              <w:rPr>
                <w:rFonts w:ascii="Arial" w:hAnsi="Arial"/>
                <w:b/>
                <w:sz w:val="18"/>
              </w:rPr>
              <w:t>Enumeration value</w:t>
            </w:r>
          </w:p>
        </w:tc>
        <w:tc>
          <w:tcPr>
            <w:tcW w:w="3402" w:type="dxa"/>
            <w:shd w:val="clear" w:color="auto" w:fill="C0C0C0"/>
            <w:tcMar>
              <w:top w:w="0" w:type="dxa"/>
              <w:left w:w="108" w:type="dxa"/>
              <w:bottom w:w="0" w:type="dxa"/>
              <w:right w:w="108" w:type="dxa"/>
            </w:tcMar>
          </w:tcPr>
          <w:p w14:paraId="51AC97B3" w14:textId="77777777" w:rsidR="00143F25" w:rsidRDefault="00143F25" w:rsidP="007D0950">
            <w:pPr>
              <w:keepNext/>
              <w:keepLines/>
              <w:spacing w:after="0"/>
              <w:jc w:val="center"/>
              <w:rPr>
                <w:rFonts w:ascii="Arial" w:hAnsi="Arial"/>
                <w:b/>
                <w:sz w:val="18"/>
              </w:rPr>
            </w:pPr>
            <w:r>
              <w:rPr>
                <w:rFonts w:ascii="Arial" w:hAnsi="Arial"/>
                <w:b/>
                <w:sz w:val="18"/>
              </w:rPr>
              <w:t>Description</w:t>
            </w:r>
          </w:p>
        </w:tc>
        <w:tc>
          <w:tcPr>
            <w:tcW w:w="2072" w:type="dxa"/>
            <w:shd w:val="clear" w:color="auto" w:fill="C0C0C0"/>
          </w:tcPr>
          <w:p w14:paraId="654487CA" w14:textId="77777777" w:rsidR="00143F25" w:rsidRDefault="00143F25" w:rsidP="007D0950">
            <w:pPr>
              <w:keepNext/>
              <w:keepLines/>
              <w:spacing w:after="0"/>
              <w:jc w:val="center"/>
              <w:rPr>
                <w:rFonts w:ascii="Arial" w:hAnsi="Arial"/>
                <w:b/>
                <w:sz w:val="18"/>
              </w:rPr>
            </w:pPr>
            <w:r>
              <w:rPr>
                <w:rFonts w:ascii="Arial" w:hAnsi="Arial"/>
                <w:b/>
                <w:sz w:val="18"/>
              </w:rPr>
              <w:t>Applicability</w:t>
            </w:r>
          </w:p>
        </w:tc>
      </w:tr>
      <w:tr w:rsidR="00143F25" w14:paraId="6012829F" w14:textId="77777777" w:rsidTr="007D0950">
        <w:trPr>
          <w:jc w:val="center"/>
        </w:trPr>
        <w:tc>
          <w:tcPr>
            <w:tcW w:w="3820" w:type="dxa"/>
            <w:tcMar>
              <w:top w:w="0" w:type="dxa"/>
              <w:left w:w="108" w:type="dxa"/>
              <w:bottom w:w="0" w:type="dxa"/>
              <w:right w:w="108" w:type="dxa"/>
            </w:tcMar>
          </w:tcPr>
          <w:p w14:paraId="374DB64A" w14:textId="77777777" w:rsidR="00143F25" w:rsidRDefault="00143F25" w:rsidP="007D0950">
            <w:pPr>
              <w:keepNext/>
              <w:keepLines/>
              <w:spacing w:after="0"/>
              <w:rPr>
                <w:rFonts w:ascii="Arial" w:hAnsi="Arial"/>
                <w:sz w:val="18"/>
              </w:rPr>
            </w:pPr>
            <w:r>
              <w:rPr>
                <w:rFonts w:ascii="Arial" w:hAnsi="Arial"/>
                <w:sz w:val="18"/>
              </w:rPr>
              <w:t>PERIODICITY_TIMER</w:t>
            </w:r>
          </w:p>
        </w:tc>
        <w:tc>
          <w:tcPr>
            <w:tcW w:w="3402" w:type="dxa"/>
            <w:tcMar>
              <w:top w:w="0" w:type="dxa"/>
              <w:left w:w="108" w:type="dxa"/>
              <w:bottom w:w="0" w:type="dxa"/>
              <w:right w:w="108" w:type="dxa"/>
            </w:tcMar>
          </w:tcPr>
          <w:p w14:paraId="3B5702BC" w14:textId="77777777" w:rsidR="00143F25" w:rsidRDefault="00143F25" w:rsidP="007D0950">
            <w:pPr>
              <w:keepNext/>
              <w:keepLines/>
              <w:spacing w:after="0"/>
              <w:rPr>
                <w:rFonts w:ascii="Arial" w:hAnsi="Arial"/>
                <w:sz w:val="18"/>
              </w:rPr>
            </w:pPr>
            <w:r>
              <w:rPr>
                <w:rFonts w:ascii="Arial" w:hAnsi="Arial"/>
                <w:sz w:val="18"/>
              </w:rPr>
              <w:t>The type of the timer is periodicity</w:t>
            </w:r>
          </w:p>
        </w:tc>
        <w:tc>
          <w:tcPr>
            <w:tcW w:w="2072" w:type="dxa"/>
          </w:tcPr>
          <w:p w14:paraId="1410B593" w14:textId="77777777" w:rsidR="00143F25" w:rsidRDefault="00143F25" w:rsidP="007D0950">
            <w:pPr>
              <w:keepNext/>
              <w:keepLines/>
              <w:spacing w:after="0"/>
              <w:rPr>
                <w:rFonts w:ascii="Arial" w:hAnsi="Arial"/>
                <w:sz w:val="18"/>
                <w:lang w:eastAsia="zh-CN"/>
              </w:rPr>
            </w:pPr>
          </w:p>
        </w:tc>
      </w:tr>
      <w:tr w:rsidR="00143F25" w14:paraId="586EAF99" w14:textId="77777777" w:rsidTr="007D0950">
        <w:trPr>
          <w:jc w:val="center"/>
        </w:trPr>
        <w:tc>
          <w:tcPr>
            <w:tcW w:w="3820" w:type="dxa"/>
            <w:tcMar>
              <w:top w:w="0" w:type="dxa"/>
              <w:left w:w="108" w:type="dxa"/>
              <w:bottom w:w="0" w:type="dxa"/>
              <w:right w:w="108" w:type="dxa"/>
            </w:tcMar>
          </w:tcPr>
          <w:p w14:paraId="4129ECC5" w14:textId="77777777" w:rsidR="00143F25" w:rsidRDefault="00143F25" w:rsidP="007D0950">
            <w:pPr>
              <w:keepNext/>
              <w:keepLines/>
              <w:spacing w:after="0"/>
              <w:rPr>
                <w:rFonts w:ascii="Arial" w:hAnsi="Arial"/>
                <w:sz w:val="18"/>
                <w:lang w:eastAsia="zh-CN"/>
              </w:rPr>
            </w:pPr>
            <w:r>
              <w:rPr>
                <w:rFonts w:ascii="Arial" w:hAnsi="Arial"/>
                <w:sz w:val="18"/>
              </w:rPr>
              <w:t>BACKOFF_TIMER</w:t>
            </w:r>
          </w:p>
        </w:tc>
        <w:tc>
          <w:tcPr>
            <w:tcW w:w="3402" w:type="dxa"/>
            <w:tcMar>
              <w:top w:w="0" w:type="dxa"/>
              <w:left w:w="108" w:type="dxa"/>
              <w:bottom w:w="0" w:type="dxa"/>
              <w:right w:w="108" w:type="dxa"/>
            </w:tcMar>
          </w:tcPr>
          <w:p w14:paraId="006D27B3" w14:textId="77777777" w:rsidR="00143F25" w:rsidRDefault="00143F25" w:rsidP="007D0950">
            <w:pPr>
              <w:keepNext/>
              <w:keepLines/>
              <w:spacing w:after="0"/>
              <w:rPr>
                <w:rFonts w:ascii="Arial" w:hAnsi="Arial"/>
                <w:sz w:val="18"/>
              </w:rPr>
            </w:pPr>
            <w:r>
              <w:rPr>
                <w:rFonts w:ascii="Arial" w:hAnsi="Arial"/>
                <w:sz w:val="18"/>
              </w:rPr>
              <w:t>The type of the timer is back-off.</w:t>
            </w:r>
          </w:p>
        </w:tc>
        <w:tc>
          <w:tcPr>
            <w:tcW w:w="2072" w:type="dxa"/>
          </w:tcPr>
          <w:p w14:paraId="7698A13E" w14:textId="77777777" w:rsidR="00143F25" w:rsidRDefault="00143F25" w:rsidP="007D0950">
            <w:pPr>
              <w:keepNext/>
              <w:keepLines/>
              <w:spacing w:after="0"/>
              <w:rPr>
                <w:rFonts w:ascii="Arial" w:hAnsi="Arial"/>
                <w:sz w:val="18"/>
                <w:lang w:eastAsia="zh-CN"/>
              </w:rPr>
            </w:pPr>
          </w:p>
        </w:tc>
      </w:tr>
    </w:tbl>
    <w:p w14:paraId="29537180" w14:textId="77777777" w:rsidR="00143F25" w:rsidRDefault="00143F25" w:rsidP="00143F25">
      <w:pPr>
        <w:rPr>
          <w:lang w:eastAsia="zh-CN"/>
        </w:rPr>
      </w:pPr>
    </w:p>
    <w:p w14:paraId="01360B14" w14:textId="77777777" w:rsidR="00F525B2" w:rsidRPr="002A2211" w:rsidRDefault="00F525B2" w:rsidP="00F525B2">
      <w:pPr>
        <w:pStyle w:val="5"/>
      </w:pPr>
      <w:bookmarkStart w:id="9410" w:name="_Toc185517333"/>
      <w:bookmarkStart w:id="9411" w:name="_Toc191576384"/>
      <w:bookmarkStart w:id="9412" w:name="_Toc191577124"/>
      <w:bookmarkStart w:id="9413" w:name="_Toc192880194"/>
      <w:bookmarkStart w:id="9414" w:name="_Toc195815082"/>
      <w:bookmarkStart w:id="9415" w:name="_Toc199453049"/>
      <w:r>
        <w:t>5.1.6.3.43</w:t>
      </w:r>
      <w:r>
        <w:tab/>
        <w:t>Enumeration: QosPolOrderCriterion</w:t>
      </w:r>
      <w:bookmarkEnd w:id="9414"/>
      <w:bookmarkEnd w:id="9415"/>
    </w:p>
    <w:p w14:paraId="1153AE00" w14:textId="77777777" w:rsidR="00F525B2" w:rsidRDefault="00F525B2" w:rsidP="00F525B2">
      <w:pPr>
        <w:pStyle w:val="TH"/>
      </w:pPr>
      <w:r>
        <w:t>Table 5.1.6.3.43-1: Enumeration QosPolOrderCriterion</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902"/>
        <w:gridCol w:w="3370"/>
        <w:gridCol w:w="2250"/>
      </w:tblGrid>
      <w:tr w:rsidR="00F525B2" w14:paraId="2CBBBA85" w14:textId="77777777" w:rsidTr="009B329F">
        <w:tc>
          <w:tcPr>
            <w:tcW w:w="1703" w:type="pct"/>
            <w:shd w:val="clear" w:color="auto" w:fill="C0C0C0"/>
            <w:tcMar>
              <w:top w:w="0" w:type="dxa"/>
              <w:left w:w="108" w:type="dxa"/>
              <w:bottom w:w="0" w:type="dxa"/>
              <w:right w:w="108" w:type="dxa"/>
            </w:tcMar>
          </w:tcPr>
          <w:p w14:paraId="5246DE29" w14:textId="77777777" w:rsidR="00F525B2" w:rsidRDefault="00F525B2" w:rsidP="009B329F">
            <w:pPr>
              <w:pStyle w:val="TAH"/>
            </w:pPr>
            <w:r>
              <w:t>Enumeration value</w:t>
            </w:r>
          </w:p>
        </w:tc>
        <w:tc>
          <w:tcPr>
            <w:tcW w:w="1977" w:type="pct"/>
            <w:shd w:val="clear" w:color="auto" w:fill="C0C0C0"/>
            <w:tcMar>
              <w:top w:w="0" w:type="dxa"/>
              <w:left w:w="108" w:type="dxa"/>
              <w:bottom w:w="0" w:type="dxa"/>
              <w:right w:w="108" w:type="dxa"/>
            </w:tcMar>
          </w:tcPr>
          <w:p w14:paraId="03C5BE07" w14:textId="77777777" w:rsidR="00F525B2" w:rsidRDefault="00F525B2" w:rsidP="009B329F">
            <w:pPr>
              <w:pStyle w:val="TAH"/>
            </w:pPr>
            <w:r>
              <w:t>Description</w:t>
            </w:r>
          </w:p>
        </w:tc>
        <w:tc>
          <w:tcPr>
            <w:tcW w:w="1320" w:type="pct"/>
            <w:shd w:val="clear" w:color="auto" w:fill="C0C0C0"/>
          </w:tcPr>
          <w:p w14:paraId="5417B65C" w14:textId="77777777" w:rsidR="00F525B2" w:rsidRDefault="00F525B2" w:rsidP="009B329F">
            <w:pPr>
              <w:pStyle w:val="TAH"/>
            </w:pPr>
            <w:r>
              <w:t>Applicability</w:t>
            </w:r>
          </w:p>
        </w:tc>
      </w:tr>
      <w:tr w:rsidR="00F525B2" w14:paraId="6DB3542F" w14:textId="77777777" w:rsidTr="009B329F">
        <w:tc>
          <w:tcPr>
            <w:tcW w:w="1703" w:type="pct"/>
            <w:tcMar>
              <w:top w:w="0" w:type="dxa"/>
              <w:left w:w="108" w:type="dxa"/>
              <w:bottom w:w="0" w:type="dxa"/>
              <w:right w:w="108" w:type="dxa"/>
            </w:tcMar>
          </w:tcPr>
          <w:p w14:paraId="38EF44A7" w14:textId="77777777" w:rsidR="00F525B2" w:rsidRDefault="00F525B2" w:rsidP="009B329F">
            <w:pPr>
              <w:pStyle w:val="TAL"/>
            </w:pPr>
            <w:r>
              <w:t>QOE</w:t>
            </w:r>
          </w:p>
        </w:tc>
        <w:tc>
          <w:tcPr>
            <w:tcW w:w="1977" w:type="pct"/>
            <w:tcMar>
              <w:top w:w="0" w:type="dxa"/>
              <w:left w:w="108" w:type="dxa"/>
              <w:bottom w:w="0" w:type="dxa"/>
              <w:right w:w="108" w:type="dxa"/>
            </w:tcMar>
          </w:tcPr>
          <w:p w14:paraId="4E298752" w14:textId="77777777" w:rsidR="00F525B2" w:rsidRDefault="00F525B2" w:rsidP="009B329F">
            <w:pPr>
              <w:pStyle w:val="TAL"/>
            </w:pPr>
            <w:r>
              <w:t>The order criterion of the analytics is the QoE.</w:t>
            </w:r>
          </w:p>
        </w:tc>
        <w:tc>
          <w:tcPr>
            <w:tcW w:w="1320" w:type="pct"/>
          </w:tcPr>
          <w:p w14:paraId="2A3927A9" w14:textId="77777777" w:rsidR="00F525B2" w:rsidRDefault="00F525B2" w:rsidP="009B329F">
            <w:pPr>
              <w:pStyle w:val="TAL"/>
            </w:pPr>
          </w:p>
        </w:tc>
      </w:tr>
      <w:tr w:rsidR="00F525B2" w14:paraId="37D20DC2" w14:textId="77777777" w:rsidTr="009B329F">
        <w:tc>
          <w:tcPr>
            <w:tcW w:w="1703" w:type="pct"/>
            <w:tcMar>
              <w:top w:w="0" w:type="dxa"/>
              <w:left w:w="108" w:type="dxa"/>
              <w:bottom w:w="0" w:type="dxa"/>
              <w:right w:w="108" w:type="dxa"/>
            </w:tcMar>
          </w:tcPr>
          <w:p w14:paraId="13B18E75" w14:textId="77777777" w:rsidR="00F525B2" w:rsidRDefault="00F525B2" w:rsidP="009B329F">
            <w:pPr>
              <w:pStyle w:val="TAL"/>
            </w:pPr>
            <w:r>
              <w:t>USAGE_DURATION</w:t>
            </w:r>
          </w:p>
        </w:tc>
        <w:tc>
          <w:tcPr>
            <w:tcW w:w="1977" w:type="pct"/>
            <w:tcMar>
              <w:top w:w="0" w:type="dxa"/>
              <w:left w:w="108" w:type="dxa"/>
              <w:bottom w:w="0" w:type="dxa"/>
              <w:right w:w="108" w:type="dxa"/>
            </w:tcMar>
          </w:tcPr>
          <w:p w14:paraId="1DB2C9E4" w14:textId="77777777" w:rsidR="00F525B2" w:rsidRDefault="00F525B2" w:rsidP="009B329F">
            <w:pPr>
              <w:pStyle w:val="TAL"/>
            </w:pPr>
            <w:r>
              <w:t>The order criterion of the analytics is the QoS Flow Usage Duration.</w:t>
            </w:r>
          </w:p>
        </w:tc>
        <w:tc>
          <w:tcPr>
            <w:tcW w:w="1320" w:type="pct"/>
          </w:tcPr>
          <w:p w14:paraId="6EF7E9D2" w14:textId="77777777" w:rsidR="00F525B2" w:rsidRDefault="00F525B2" w:rsidP="009B329F">
            <w:pPr>
              <w:pStyle w:val="TAL"/>
            </w:pPr>
          </w:p>
        </w:tc>
      </w:tr>
      <w:tr w:rsidR="00F525B2" w14:paraId="0ED7B948" w14:textId="77777777" w:rsidTr="009B329F">
        <w:trPr>
          <w:trHeight w:val="518"/>
        </w:trPr>
        <w:tc>
          <w:tcPr>
            <w:tcW w:w="1703" w:type="pct"/>
            <w:tcMar>
              <w:top w:w="0" w:type="dxa"/>
              <w:left w:w="108" w:type="dxa"/>
              <w:bottom w:w="0" w:type="dxa"/>
              <w:right w:w="108" w:type="dxa"/>
            </w:tcMar>
          </w:tcPr>
          <w:p w14:paraId="106697AF" w14:textId="77777777" w:rsidR="00F525B2" w:rsidRDefault="00F525B2" w:rsidP="009B329F">
            <w:pPr>
              <w:pStyle w:val="TAL"/>
            </w:pPr>
            <w:r>
              <w:t>NUMBER_OF_USAGES</w:t>
            </w:r>
          </w:p>
        </w:tc>
        <w:tc>
          <w:tcPr>
            <w:tcW w:w="1977" w:type="pct"/>
            <w:tcMar>
              <w:top w:w="0" w:type="dxa"/>
              <w:left w:w="108" w:type="dxa"/>
              <w:bottom w:w="0" w:type="dxa"/>
              <w:right w:w="108" w:type="dxa"/>
            </w:tcMar>
          </w:tcPr>
          <w:p w14:paraId="4AD5BDA2" w14:textId="77777777" w:rsidR="00F525B2" w:rsidRDefault="00F525B2" w:rsidP="009B329F">
            <w:pPr>
              <w:pStyle w:val="TAL"/>
              <w:rPr>
                <w:lang w:eastAsia="zh-CN"/>
              </w:rPr>
            </w:pPr>
            <w:r>
              <w:t>The order criterion of the analytics is the number of usages of the QoS Flow.</w:t>
            </w:r>
          </w:p>
        </w:tc>
        <w:tc>
          <w:tcPr>
            <w:tcW w:w="1320" w:type="pct"/>
          </w:tcPr>
          <w:p w14:paraId="04D8DE60" w14:textId="77777777" w:rsidR="00F525B2" w:rsidRDefault="00F525B2" w:rsidP="009B329F">
            <w:pPr>
              <w:pStyle w:val="TAL"/>
            </w:pPr>
          </w:p>
        </w:tc>
      </w:tr>
    </w:tbl>
    <w:p w14:paraId="04EBBFAC" w14:textId="77777777" w:rsidR="00F525B2" w:rsidRDefault="00F525B2" w:rsidP="00F525B2">
      <w:pPr>
        <w:rPr>
          <w:lang w:eastAsia="zh-CN"/>
        </w:rPr>
      </w:pPr>
    </w:p>
    <w:p w14:paraId="6324EC05" w14:textId="77777777" w:rsidR="00A10B25" w:rsidRDefault="00A10B25">
      <w:pPr>
        <w:pStyle w:val="3"/>
        <w:rPr>
          <w:lang w:val="en-US"/>
        </w:rPr>
      </w:pPr>
      <w:bookmarkStart w:id="9416" w:name="_Toc195815083"/>
      <w:bookmarkStart w:id="9417" w:name="_Toc199453050"/>
      <w:r>
        <w:rPr>
          <w:lang w:val="en-US"/>
        </w:rPr>
        <w:t>5.1.7</w:t>
      </w:r>
      <w:r>
        <w:rPr>
          <w:lang w:val="en-US"/>
        </w:rPr>
        <w:tab/>
        <w:t>Error handling</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389"/>
      <w:bookmarkEnd w:id="9390"/>
      <w:bookmarkEnd w:id="9391"/>
      <w:bookmarkEnd w:id="9392"/>
      <w:bookmarkEnd w:id="9393"/>
      <w:bookmarkEnd w:id="9394"/>
      <w:bookmarkEnd w:id="9395"/>
      <w:bookmarkEnd w:id="9396"/>
      <w:bookmarkEnd w:id="9397"/>
      <w:bookmarkEnd w:id="9410"/>
      <w:bookmarkEnd w:id="9411"/>
      <w:bookmarkEnd w:id="9412"/>
      <w:bookmarkEnd w:id="9413"/>
      <w:bookmarkEnd w:id="9416"/>
      <w:bookmarkEnd w:id="9417"/>
    </w:p>
    <w:p w14:paraId="1A7F610C" w14:textId="77777777" w:rsidR="00A10B25" w:rsidRDefault="00A10B25">
      <w:pPr>
        <w:pStyle w:val="4"/>
      </w:pPr>
      <w:bookmarkStart w:id="9418" w:name="_Toc138754331"/>
      <w:bookmarkStart w:id="9419" w:name="_Toc114133900"/>
      <w:bookmarkStart w:id="9420" w:name="_Toc104539098"/>
      <w:bookmarkStart w:id="9421" w:name="_Toc136562497"/>
      <w:bookmarkStart w:id="9422" w:name="_Toc51762940"/>
      <w:bookmarkStart w:id="9423" w:name="_Toc68169006"/>
      <w:bookmarkStart w:id="9424" w:name="_Toc98233726"/>
      <w:bookmarkStart w:id="9425" w:name="_Toc90655934"/>
      <w:bookmarkStart w:id="9426" w:name="_Toc50032020"/>
      <w:bookmarkStart w:id="9427" w:name="_Toc94064339"/>
      <w:bookmarkStart w:id="9428" w:name="_Toc70550673"/>
      <w:bookmarkStart w:id="9429" w:name="_Toc120702401"/>
      <w:bookmarkStart w:id="9430" w:name="_Toc85553042"/>
      <w:bookmarkStart w:id="9431" w:name="_Toc83233126"/>
      <w:bookmarkStart w:id="9432" w:name="_Toc88667649"/>
      <w:bookmarkStart w:id="9433" w:name="_Toc145705826"/>
      <w:bookmarkStart w:id="9434" w:name="_Toc85557141"/>
      <w:bookmarkStart w:id="9435" w:name="_Toc45134088"/>
      <w:bookmarkStart w:id="9436" w:name="_Toc113031761"/>
      <w:bookmarkStart w:id="9437" w:name="_Toc66231845"/>
      <w:bookmarkStart w:id="9438" w:name="_Toc148522736"/>
      <w:bookmarkStart w:id="9439" w:name="_Toc112951221"/>
      <w:bookmarkStart w:id="9440" w:name="_Toc59017977"/>
      <w:bookmarkStart w:id="9441" w:name="_Toc101244503"/>
      <w:bookmarkStart w:id="9442" w:name="_Toc56641009"/>
      <w:bookmarkStart w:id="9443" w:name="_Toc164920923"/>
      <w:bookmarkStart w:id="9444" w:name="_Toc170120465"/>
      <w:bookmarkStart w:id="9445" w:name="_Toc175858710"/>
      <w:bookmarkStart w:id="9446" w:name="_Toc175859783"/>
      <w:bookmarkStart w:id="9447" w:name="_Toc180606073"/>
      <w:bookmarkStart w:id="9448" w:name="_Toc185517334"/>
      <w:bookmarkStart w:id="9449" w:name="_Toc191576385"/>
      <w:bookmarkStart w:id="9450" w:name="_Toc191577125"/>
      <w:bookmarkStart w:id="9451" w:name="_Toc192880195"/>
      <w:bookmarkStart w:id="9452" w:name="_Toc195815084"/>
      <w:bookmarkStart w:id="9453" w:name="_Toc199453051"/>
      <w:r>
        <w:t>5.1.7.1</w:t>
      </w:r>
      <w:r>
        <w:tab/>
        <w:t>General</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23BACC0C" w14:textId="77777777" w:rsidR="00A10B25" w:rsidRDefault="00A10B25">
      <w:pPr>
        <w:rPr>
          <w:rFonts w:eastAsia="Batang"/>
        </w:rPr>
      </w:pPr>
      <w:r>
        <w:rPr>
          <w:rFonts w:eastAsia="Batang"/>
        </w:rPr>
        <w:t>HTTP error handling shall be supported as specified in clause 5.2.4 of 3GPP TS 29.500 [6].</w:t>
      </w:r>
    </w:p>
    <w:p w14:paraId="5032B529" w14:textId="77777777" w:rsidR="00A10B25" w:rsidRDefault="00A10B25">
      <w:pPr>
        <w:rPr>
          <w:rFonts w:eastAsia="Batang"/>
        </w:rPr>
      </w:pPr>
      <w:bookmarkStart w:id="9454" w:name="_Hlk513729177"/>
      <w:r>
        <w:rPr>
          <w:rFonts w:eastAsia="Batang"/>
        </w:rPr>
        <w:t xml:space="preserve">For the Nnwdaf_EventsSubscription API, HTTP error responses shall be supported as specified in clause 4.8 of 3GPP TS 29.501 [7]. </w:t>
      </w:r>
    </w:p>
    <w:p w14:paraId="445CC6B4" w14:textId="77777777" w:rsidR="00A10B25" w:rsidRDefault="00A10B25">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363FB4F1" w14:textId="77777777" w:rsidR="00A10B25" w:rsidRDefault="00A10B25">
      <w:pPr>
        <w:rPr>
          <w:rFonts w:eastAsia="Batang"/>
        </w:rPr>
      </w:pPr>
      <w:r>
        <w:rPr>
          <w:rFonts w:eastAsia="Batang"/>
        </w:rPr>
        <w:t>In addition, the requirements in the following clauses shall apply.</w:t>
      </w:r>
    </w:p>
    <w:p w14:paraId="450D5B51" w14:textId="77777777" w:rsidR="00A10B25" w:rsidRDefault="00A10B25">
      <w:pPr>
        <w:pStyle w:val="4"/>
      </w:pPr>
      <w:bookmarkStart w:id="9455" w:name="_Toc70550674"/>
      <w:bookmarkStart w:id="9456" w:name="_Toc68169007"/>
      <w:bookmarkStart w:id="9457" w:name="_Toc83233127"/>
      <w:bookmarkStart w:id="9458" w:name="_Toc50032021"/>
      <w:bookmarkStart w:id="9459" w:name="_Toc94064340"/>
      <w:bookmarkStart w:id="9460" w:name="_Toc51762941"/>
      <w:bookmarkStart w:id="9461" w:name="_Toc45134089"/>
      <w:bookmarkStart w:id="9462" w:name="_Toc56641010"/>
      <w:bookmarkStart w:id="9463" w:name="_Toc120702402"/>
      <w:bookmarkStart w:id="9464" w:name="_Toc90655935"/>
      <w:bookmarkStart w:id="9465" w:name="_Toc138754332"/>
      <w:bookmarkStart w:id="9466" w:name="_Toc85557142"/>
      <w:bookmarkStart w:id="9467" w:name="_Toc101244504"/>
      <w:bookmarkStart w:id="9468" w:name="_Toc88667650"/>
      <w:bookmarkStart w:id="9469" w:name="_Toc113031762"/>
      <w:bookmarkStart w:id="9470" w:name="_Toc148522737"/>
      <w:bookmarkStart w:id="9471" w:name="_Toc145705827"/>
      <w:bookmarkStart w:id="9472" w:name="_Toc136562498"/>
      <w:bookmarkStart w:id="9473" w:name="_Toc114133901"/>
      <w:bookmarkStart w:id="9474" w:name="_Toc66231846"/>
      <w:bookmarkStart w:id="9475" w:name="_Toc98233727"/>
      <w:bookmarkStart w:id="9476" w:name="_Toc59017978"/>
      <w:bookmarkStart w:id="9477" w:name="_Toc85553043"/>
      <w:bookmarkStart w:id="9478" w:name="_Toc104539099"/>
      <w:bookmarkStart w:id="9479" w:name="_Toc112951222"/>
      <w:bookmarkStart w:id="9480" w:name="_Toc164920924"/>
      <w:bookmarkStart w:id="9481" w:name="_Toc170120466"/>
      <w:bookmarkStart w:id="9482" w:name="_Toc175858711"/>
      <w:bookmarkStart w:id="9483" w:name="_Toc175859784"/>
      <w:bookmarkStart w:id="9484" w:name="_Toc180606074"/>
      <w:bookmarkStart w:id="9485" w:name="_Toc185517335"/>
      <w:bookmarkStart w:id="9486" w:name="_Toc191576386"/>
      <w:bookmarkStart w:id="9487" w:name="_Toc191577126"/>
      <w:bookmarkStart w:id="9488" w:name="_Toc192880196"/>
      <w:bookmarkStart w:id="9489" w:name="_Toc195815085"/>
      <w:bookmarkStart w:id="9490" w:name="_Toc199453052"/>
      <w:bookmarkEnd w:id="9454"/>
      <w:r>
        <w:t>5.1.7.2</w:t>
      </w:r>
      <w:r>
        <w:tab/>
        <w:t>Protocol Errors</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2C74FD21"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Nnwdaf_EventsSubscription API.</w:t>
      </w:r>
    </w:p>
    <w:p w14:paraId="1F1FB880" w14:textId="77777777" w:rsidR="00D654A6" w:rsidRPr="00A801F9" w:rsidRDefault="00D654A6" w:rsidP="00D654A6">
      <w:pPr>
        <w:keepNext/>
        <w:keepLines/>
        <w:spacing w:before="120"/>
        <w:ind w:left="1418" w:hanging="1418"/>
        <w:outlineLvl w:val="3"/>
        <w:rPr>
          <w:rFonts w:ascii="Arial" w:eastAsia="Batang" w:hAnsi="Arial"/>
          <w:sz w:val="28"/>
        </w:rPr>
      </w:pPr>
      <w:bookmarkStart w:id="9491" w:name="_Toc83233129"/>
      <w:bookmarkStart w:id="9492" w:name="_Toc85557144"/>
      <w:bookmarkStart w:id="9493" w:name="_Toc145705829"/>
      <w:bookmarkStart w:id="9494" w:name="_Toc148522739"/>
      <w:bookmarkStart w:id="9495" w:name="_Toc50032023"/>
      <w:bookmarkStart w:id="9496" w:name="_Toc114133903"/>
      <w:bookmarkStart w:id="9497" w:name="_Toc101244506"/>
      <w:bookmarkStart w:id="9498" w:name="_Toc136562500"/>
      <w:bookmarkStart w:id="9499" w:name="_Toc36102501"/>
      <w:bookmarkStart w:id="9500" w:name="_Toc104539101"/>
      <w:bookmarkStart w:id="9501" w:name="_Toc94064342"/>
      <w:bookmarkStart w:id="9502" w:name="_Toc70550676"/>
      <w:bookmarkStart w:id="9503" w:name="_Toc51762943"/>
      <w:bookmarkStart w:id="9504" w:name="_Toc138754334"/>
      <w:bookmarkStart w:id="9505" w:name="_Toc68169009"/>
      <w:bookmarkStart w:id="9506" w:name="_Toc66231848"/>
      <w:bookmarkStart w:id="9507" w:name="_Toc85553045"/>
      <w:bookmarkStart w:id="9508" w:name="_Toc112951224"/>
      <w:bookmarkStart w:id="9509" w:name="_Toc120702404"/>
      <w:bookmarkStart w:id="9510" w:name="_Toc113031764"/>
      <w:bookmarkStart w:id="9511" w:name="_Toc34266330"/>
      <w:bookmarkStart w:id="9512" w:name="_Toc43563545"/>
      <w:bookmarkStart w:id="9513" w:name="_Toc28012844"/>
      <w:bookmarkStart w:id="9514" w:name="_Toc59017980"/>
      <w:bookmarkStart w:id="9515" w:name="_Toc56641012"/>
      <w:bookmarkStart w:id="9516" w:name="_Toc98233729"/>
      <w:bookmarkStart w:id="9517" w:name="_Toc45134091"/>
      <w:bookmarkStart w:id="9518" w:name="_Toc88667652"/>
      <w:bookmarkStart w:id="9519" w:name="_Toc90655937"/>
      <w:bookmarkStart w:id="9520" w:name="_Toc94064341"/>
      <w:bookmarkStart w:id="9521" w:name="_Toc113031763"/>
      <w:bookmarkStart w:id="9522" w:name="_Toc114133902"/>
      <w:bookmarkStart w:id="9523" w:name="_Toc70550675"/>
      <w:bookmarkStart w:id="9524" w:name="_Toc98233728"/>
      <w:bookmarkStart w:id="9525" w:name="_Toc90655936"/>
      <w:bookmarkStart w:id="9526" w:name="_Toc66231847"/>
      <w:bookmarkStart w:id="9527" w:name="_Toc59017979"/>
      <w:bookmarkStart w:id="9528" w:name="_Toc112951223"/>
      <w:bookmarkStart w:id="9529" w:name="_Toc83233128"/>
      <w:bookmarkStart w:id="9530" w:name="_Toc68169008"/>
      <w:bookmarkStart w:id="9531" w:name="_Toc56641011"/>
      <w:bookmarkStart w:id="9532" w:name="_Toc120702403"/>
      <w:bookmarkStart w:id="9533" w:name="_Toc136562499"/>
      <w:bookmarkStart w:id="9534" w:name="_Toc101244505"/>
      <w:bookmarkStart w:id="9535" w:name="_Toc85557143"/>
      <w:bookmarkStart w:id="9536" w:name="_Toc45134090"/>
      <w:bookmarkStart w:id="9537" w:name="_Toc104539100"/>
      <w:bookmarkStart w:id="9538" w:name="_Toc85553044"/>
      <w:bookmarkStart w:id="9539" w:name="_Toc51762942"/>
      <w:bookmarkStart w:id="9540" w:name="_Toc138754333"/>
      <w:bookmarkStart w:id="9541" w:name="_Toc88667651"/>
      <w:bookmarkStart w:id="9542" w:name="_Toc145705828"/>
      <w:bookmarkStart w:id="9543" w:name="_Toc148522738"/>
      <w:bookmarkStart w:id="9544" w:name="_Toc50032022"/>
      <w:r w:rsidRPr="00A801F9">
        <w:rPr>
          <w:rFonts w:ascii="Arial" w:hAnsi="Arial"/>
          <w:sz w:val="24"/>
        </w:rPr>
        <w:lastRenderedPageBreak/>
        <w:t>5.1.7.3</w:t>
      </w:r>
      <w:r w:rsidRPr="00A801F9">
        <w:rPr>
          <w:rFonts w:ascii="Arial" w:hAnsi="Arial"/>
          <w:sz w:val="24"/>
        </w:rPr>
        <w:tab/>
        <w:t>Application Errors</w:t>
      </w:r>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1EF5D45A" w14:textId="77777777" w:rsidR="00D654A6" w:rsidRPr="00A801F9" w:rsidRDefault="00D654A6" w:rsidP="00D654A6">
      <w:pPr>
        <w:rPr>
          <w:rFonts w:eastAsia="Batang"/>
        </w:rPr>
      </w:pPr>
      <w:r w:rsidRPr="00A801F9">
        <w:rPr>
          <w:rFonts w:eastAsia="Batang"/>
        </w:rPr>
        <w:t xml:space="preserve">The application errors defined for the Nnwdaf_EventsSubscription API are listed in table 5.1.7.3-1. </w:t>
      </w:r>
    </w:p>
    <w:p w14:paraId="57E04FF8" w14:textId="77777777" w:rsidR="00D654A6" w:rsidRPr="00A801F9" w:rsidRDefault="00D654A6" w:rsidP="00D654A6">
      <w:pPr>
        <w:keepNext/>
        <w:keepLines/>
        <w:spacing w:before="60"/>
        <w:jc w:val="center"/>
        <w:rPr>
          <w:rFonts w:ascii="Arial" w:hAnsi="Arial"/>
          <w:b/>
        </w:rPr>
      </w:pPr>
      <w:r w:rsidRPr="00A801F9">
        <w:rPr>
          <w:rFonts w:ascii="Arial" w:hAnsi="Arial"/>
          <w:b/>
        </w:rPr>
        <w:t>Table 5.1.7.3-1: Application errors</w:t>
      </w:r>
    </w:p>
    <w:tbl>
      <w:tblPr>
        <w:tblW w:w="972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28"/>
        <w:gridCol w:w="1980"/>
        <w:gridCol w:w="3933"/>
        <w:gridCol w:w="1487"/>
      </w:tblGrid>
      <w:tr w:rsidR="00D654A6" w:rsidRPr="00A801F9" w14:paraId="6C5A67E6" w14:textId="77777777" w:rsidTr="005A20DD">
        <w:trPr>
          <w:cantSplit/>
          <w:jc w:val="center"/>
        </w:trPr>
        <w:tc>
          <w:tcPr>
            <w:tcW w:w="2328" w:type="dxa"/>
            <w:shd w:val="clear" w:color="auto" w:fill="C0C0C0"/>
          </w:tcPr>
          <w:p w14:paraId="5368BDAD"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Application Error</w:t>
            </w:r>
          </w:p>
        </w:tc>
        <w:tc>
          <w:tcPr>
            <w:tcW w:w="1980" w:type="dxa"/>
            <w:shd w:val="clear" w:color="auto" w:fill="C0C0C0"/>
          </w:tcPr>
          <w:p w14:paraId="744174DB"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HTTP status code</w:t>
            </w:r>
          </w:p>
        </w:tc>
        <w:tc>
          <w:tcPr>
            <w:tcW w:w="3933" w:type="dxa"/>
            <w:shd w:val="clear" w:color="auto" w:fill="C0C0C0"/>
          </w:tcPr>
          <w:p w14:paraId="0E2CDBB0"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Description</w:t>
            </w:r>
          </w:p>
        </w:tc>
        <w:tc>
          <w:tcPr>
            <w:tcW w:w="1487" w:type="dxa"/>
            <w:shd w:val="clear" w:color="auto" w:fill="C0C0C0"/>
          </w:tcPr>
          <w:p w14:paraId="69F4B897" w14:textId="77777777" w:rsidR="00D654A6" w:rsidRPr="00A801F9" w:rsidRDefault="00D654A6" w:rsidP="005A20DD">
            <w:pPr>
              <w:keepNext/>
              <w:keepLines/>
              <w:spacing w:after="0"/>
              <w:ind w:left="400" w:hanging="400"/>
              <w:jc w:val="center"/>
              <w:rPr>
                <w:rFonts w:ascii="Arial" w:hAnsi="Arial"/>
                <w:b/>
                <w:sz w:val="18"/>
              </w:rPr>
            </w:pPr>
            <w:r w:rsidRPr="00A801F9">
              <w:rPr>
                <w:rFonts w:ascii="Arial" w:hAnsi="Arial"/>
                <w:b/>
                <w:sz w:val="18"/>
              </w:rPr>
              <w:t>Applicability</w:t>
            </w:r>
          </w:p>
        </w:tc>
      </w:tr>
      <w:tr w:rsidR="00D654A6" w:rsidRPr="00A801F9" w14:paraId="75098284" w14:textId="77777777" w:rsidTr="005A20DD">
        <w:trPr>
          <w:cantSplit/>
          <w:jc w:val="center"/>
        </w:trPr>
        <w:tc>
          <w:tcPr>
            <w:tcW w:w="2328" w:type="dxa"/>
          </w:tcPr>
          <w:p w14:paraId="6350C3BC" w14:textId="77777777" w:rsidR="00D654A6" w:rsidRPr="00A801F9" w:rsidRDefault="00D654A6" w:rsidP="005A20DD">
            <w:pPr>
              <w:keepNext/>
              <w:keepLines/>
              <w:spacing w:after="0"/>
              <w:rPr>
                <w:rFonts w:ascii="Arial" w:hAnsi="Arial"/>
                <w:sz w:val="18"/>
              </w:rPr>
            </w:pPr>
            <w:r w:rsidRPr="00A801F9">
              <w:rPr>
                <w:rFonts w:ascii="Arial" w:hAnsi="Arial"/>
                <w:sz w:val="18"/>
              </w:rPr>
              <w:t>BOTH_STAT_PRED_NOT_ALLOWED</w:t>
            </w:r>
          </w:p>
        </w:tc>
        <w:tc>
          <w:tcPr>
            <w:tcW w:w="1980" w:type="dxa"/>
          </w:tcPr>
          <w:p w14:paraId="2C71F3C4" w14:textId="77777777" w:rsidR="00D654A6" w:rsidRPr="00A801F9" w:rsidRDefault="00D654A6" w:rsidP="005A20DD">
            <w:pPr>
              <w:keepNext/>
              <w:keepLines/>
              <w:spacing w:after="0"/>
              <w:rPr>
                <w:rFonts w:ascii="Arial" w:hAnsi="Arial"/>
                <w:sz w:val="18"/>
              </w:rPr>
            </w:pPr>
            <w:r w:rsidRPr="00A801F9">
              <w:rPr>
                <w:rFonts w:ascii="Arial" w:hAnsi="Arial"/>
                <w:sz w:val="18"/>
              </w:rPr>
              <w:t>400 Bad Request</w:t>
            </w:r>
          </w:p>
        </w:tc>
        <w:tc>
          <w:tcPr>
            <w:tcW w:w="3933" w:type="dxa"/>
          </w:tcPr>
          <w:p w14:paraId="2AA17255" w14:textId="77777777" w:rsidR="00D654A6" w:rsidRPr="00A801F9" w:rsidRDefault="00D654A6" w:rsidP="005A20DD">
            <w:pPr>
              <w:keepNext/>
              <w:keepLines/>
              <w:spacing w:after="0"/>
              <w:rPr>
                <w:rFonts w:ascii="Arial" w:hAnsi="Arial"/>
                <w:sz w:val="18"/>
              </w:rPr>
            </w:pPr>
            <w:r w:rsidRPr="00A801F9">
              <w:rPr>
                <w:rFonts w:ascii="Arial" w:hAnsi="Arial"/>
                <w:sz w:val="18"/>
              </w:rPr>
              <w:t>Indicates that the request shall be rejected, because for the requested observation period, the start time is in the past and the end time is in the future, which means the NF service consumer requested both statistics and prediction for the analytics is not allowed.</w:t>
            </w:r>
          </w:p>
        </w:tc>
        <w:tc>
          <w:tcPr>
            <w:tcW w:w="1487" w:type="dxa"/>
          </w:tcPr>
          <w:p w14:paraId="0EABEF57" w14:textId="77777777" w:rsidR="00D654A6" w:rsidRPr="00A801F9" w:rsidRDefault="00D654A6" w:rsidP="005A20DD">
            <w:pPr>
              <w:keepNext/>
              <w:keepLines/>
              <w:spacing w:after="0"/>
              <w:rPr>
                <w:rFonts w:ascii="Arial" w:hAnsi="Arial"/>
                <w:sz w:val="18"/>
              </w:rPr>
            </w:pPr>
          </w:p>
        </w:tc>
      </w:tr>
      <w:tr w:rsidR="00D654A6" w:rsidRPr="00A801F9" w14:paraId="534AC695" w14:textId="77777777" w:rsidTr="005A20DD">
        <w:trPr>
          <w:cantSplit/>
          <w:jc w:val="center"/>
        </w:trPr>
        <w:tc>
          <w:tcPr>
            <w:tcW w:w="2328" w:type="dxa"/>
          </w:tcPr>
          <w:p w14:paraId="08E0FEB6" w14:textId="77777777" w:rsidR="00D654A6" w:rsidRPr="00A801F9" w:rsidRDefault="00D654A6" w:rsidP="005A20DD">
            <w:pPr>
              <w:keepNext/>
              <w:keepLines/>
              <w:spacing w:after="0"/>
              <w:rPr>
                <w:rFonts w:ascii="Arial" w:hAnsi="Arial"/>
                <w:sz w:val="18"/>
              </w:rPr>
            </w:pPr>
            <w:r w:rsidRPr="00A801F9">
              <w:rPr>
                <w:rFonts w:ascii="Arial" w:hAnsi="Arial"/>
                <w:sz w:val="18"/>
              </w:rPr>
              <w:t>UE_AGGREGATION_NOT_ALLOWED</w:t>
            </w:r>
          </w:p>
        </w:tc>
        <w:tc>
          <w:tcPr>
            <w:tcW w:w="1980" w:type="dxa"/>
          </w:tcPr>
          <w:p w14:paraId="3A98503A" w14:textId="77777777" w:rsidR="00D654A6" w:rsidRPr="00A801F9" w:rsidRDefault="00D654A6" w:rsidP="005A20DD">
            <w:pPr>
              <w:keepNext/>
              <w:keepLines/>
              <w:spacing w:after="0"/>
              <w:rPr>
                <w:rFonts w:ascii="Arial" w:hAnsi="Arial"/>
                <w:sz w:val="18"/>
              </w:rPr>
            </w:pPr>
            <w:r w:rsidRPr="00A801F9">
              <w:rPr>
                <w:rFonts w:ascii="Arial" w:hAnsi="Arial"/>
                <w:sz w:val="18"/>
              </w:rPr>
              <w:t>400 Bad Request</w:t>
            </w:r>
          </w:p>
        </w:tc>
        <w:tc>
          <w:tcPr>
            <w:tcW w:w="3933" w:type="dxa"/>
          </w:tcPr>
          <w:p w14:paraId="004A9F2F" w14:textId="77777777" w:rsidR="00D654A6" w:rsidRPr="00A801F9" w:rsidRDefault="00D654A6" w:rsidP="005A20DD">
            <w:pPr>
              <w:keepNext/>
              <w:keepLines/>
              <w:spacing w:after="0"/>
              <w:rPr>
                <w:rFonts w:ascii="Arial" w:hAnsi="Arial"/>
                <w:sz w:val="18"/>
              </w:rPr>
            </w:pPr>
            <w:r w:rsidRPr="00A801F9">
              <w:rPr>
                <w:rFonts w:ascii="Arial" w:hAnsi="Arial"/>
                <w:sz w:val="18"/>
              </w:rPr>
              <w:t>For the requested UE location aggregation in UE Mobility analytics is not allowed.</w:t>
            </w:r>
          </w:p>
        </w:tc>
        <w:tc>
          <w:tcPr>
            <w:tcW w:w="1487" w:type="dxa"/>
          </w:tcPr>
          <w:p w14:paraId="49C986F2" w14:textId="77777777" w:rsidR="00D654A6" w:rsidRPr="00A801F9" w:rsidRDefault="00D654A6" w:rsidP="005A20DD">
            <w:pPr>
              <w:keepNext/>
              <w:keepLines/>
              <w:spacing w:after="0"/>
              <w:rPr>
                <w:rFonts w:ascii="Arial" w:hAnsi="Arial"/>
                <w:sz w:val="18"/>
              </w:rPr>
            </w:pPr>
          </w:p>
        </w:tc>
      </w:tr>
      <w:tr w:rsidR="00D654A6" w:rsidRPr="00A801F9" w14:paraId="5A7BD0FB" w14:textId="77777777" w:rsidTr="005A20DD">
        <w:trPr>
          <w:cantSplit/>
          <w:jc w:val="center"/>
        </w:trPr>
        <w:tc>
          <w:tcPr>
            <w:tcW w:w="2328" w:type="dxa"/>
          </w:tcPr>
          <w:p w14:paraId="76B13418" w14:textId="77777777" w:rsidR="00D654A6" w:rsidRPr="00A801F9" w:rsidRDefault="00D654A6" w:rsidP="005A20DD">
            <w:pPr>
              <w:keepNext/>
              <w:keepLines/>
              <w:spacing w:after="0"/>
              <w:rPr>
                <w:rFonts w:ascii="Arial" w:hAnsi="Arial"/>
                <w:sz w:val="18"/>
              </w:rPr>
            </w:pPr>
            <w:r w:rsidRPr="00A801F9">
              <w:rPr>
                <w:rFonts w:ascii="Arial" w:hAnsi="Arial"/>
                <w:sz w:val="18"/>
              </w:rPr>
              <w:t>PREDICTION_NOT_ALLOWED</w:t>
            </w:r>
          </w:p>
        </w:tc>
        <w:tc>
          <w:tcPr>
            <w:tcW w:w="1980" w:type="dxa"/>
          </w:tcPr>
          <w:p w14:paraId="07286120" w14:textId="77777777" w:rsidR="00D654A6" w:rsidRPr="00A801F9" w:rsidRDefault="00D654A6" w:rsidP="005A20DD">
            <w:pPr>
              <w:keepNext/>
              <w:keepLines/>
              <w:spacing w:after="0"/>
              <w:rPr>
                <w:rFonts w:ascii="Arial" w:hAnsi="Arial"/>
                <w:sz w:val="18"/>
              </w:rPr>
            </w:pPr>
            <w:r w:rsidRPr="00A801F9">
              <w:rPr>
                <w:rFonts w:ascii="Arial" w:hAnsi="Arial"/>
                <w:sz w:val="18"/>
              </w:rPr>
              <w:t>400 Bad Request</w:t>
            </w:r>
          </w:p>
        </w:tc>
        <w:tc>
          <w:tcPr>
            <w:tcW w:w="3933" w:type="dxa"/>
          </w:tcPr>
          <w:p w14:paraId="3322CB63" w14:textId="77777777" w:rsidR="00D654A6" w:rsidRPr="00A801F9" w:rsidRDefault="00D654A6" w:rsidP="005A20DD">
            <w:pPr>
              <w:keepNext/>
              <w:keepLines/>
              <w:spacing w:after="0"/>
              <w:rPr>
                <w:rFonts w:ascii="Arial" w:hAnsi="Arial"/>
                <w:sz w:val="18"/>
              </w:rPr>
            </w:pPr>
            <w:r w:rsidRPr="00A801F9">
              <w:rPr>
                <w:rFonts w:ascii="Arial" w:hAnsi="Arial"/>
                <w:sz w:val="18"/>
              </w:rPr>
              <w:t>Indicates that the request shall be rejected because the prediction for the analytics event is not allowed.</w:t>
            </w:r>
          </w:p>
        </w:tc>
        <w:tc>
          <w:tcPr>
            <w:tcW w:w="1487" w:type="dxa"/>
          </w:tcPr>
          <w:p w14:paraId="58E168BC" w14:textId="77777777" w:rsidR="00D654A6" w:rsidRPr="00A801F9" w:rsidRDefault="00D654A6" w:rsidP="005A20DD">
            <w:pPr>
              <w:keepNext/>
              <w:keepLines/>
              <w:spacing w:after="0"/>
              <w:rPr>
                <w:rFonts w:ascii="Arial" w:hAnsi="Arial"/>
                <w:sz w:val="18"/>
              </w:rPr>
            </w:pPr>
            <w:r w:rsidRPr="00A801F9">
              <w:rPr>
                <w:rFonts w:ascii="Arial" w:hAnsi="Arial"/>
                <w:sz w:val="18"/>
              </w:rPr>
              <w:t>PredictionError</w:t>
            </w:r>
          </w:p>
        </w:tc>
      </w:tr>
      <w:tr w:rsidR="00D654A6" w:rsidRPr="00A801F9" w14:paraId="4B536DDA" w14:textId="77777777" w:rsidTr="005A20DD">
        <w:trPr>
          <w:cantSplit/>
          <w:jc w:val="center"/>
        </w:trPr>
        <w:tc>
          <w:tcPr>
            <w:tcW w:w="2328" w:type="dxa"/>
          </w:tcPr>
          <w:p w14:paraId="5B0D2179" w14:textId="77777777" w:rsidR="00D654A6" w:rsidRPr="00A801F9" w:rsidRDefault="00D654A6" w:rsidP="005A20DD">
            <w:pPr>
              <w:keepNext/>
              <w:keepLines/>
              <w:spacing w:after="0"/>
              <w:rPr>
                <w:rFonts w:ascii="Arial" w:hAnsi="Arial"/>
                <w:sz w:val="18"/>
              </w:rPr>
            </w:pPr>
            <w:r w:rsidRPr="00A801F9">
              <w:rPr>
                <w:rFonts w:ascii="Arial" w:hAnsi="Arial"/>
                <w:sz w:val="18"/>
              </w:rPr>
              <w:t>USER_CONSENT_NOT_GRANTED</w:t>
            </w:r>
          </w:p>
        </w:tc>
        <w:tc>
          <w:tcPr>
            <w:tcW w:w="1980" w:type="dxa"/>
          </w:tcPr>
          <w:p w14:paraId="21C9F534" w14:textId="77777777" w:rsidR="00D654A6" w:rsidRPr="00A801F9" w:rsidRDefault="00D654A6" w:rsidP="005A20DD">
            <w:pPr>
              <w:keepNext/>
              <w:keepLines/>
              <w:spacing w:after="0"/>
              <w:rPr>
                <w:rFonts w:ascii="Arial" w:hAnsi="Arial"/>
                <w:sz w:val="18"/>
              </w:rPr>
            </w:pPr>
            <w:r w:rsidRPr="00A801F9">
              <w:rPr>
                <w:rFonts w:ascii="Arial" w:hAnsi="Arial"/>
                <w:sz w:val="18"/>
              </w:rPr>
              <w:t>403 Forbidden</w:t>
            </w:r>
          </w:p>
        </w:tc>
        <w:tc>
          <w:tcPr>
            <w:tcW w:w="3933" w:type="dxa"/>
          </w:tcPr>
          <w:p w14:paraId="5BD081FD" w14:textId="77777777" w:rsidR="00D654A6" w:rsidRPr="00A801F9" w:rsidRDefault="00D654A6" w:rsidP="005A20DD">
            <w:pPr>
              <w:keepNext/>
              <w:keepLines/>
              <w:spacing w:after="0"/>
              <w:rPr>
                <w:rFonts w:ascii="Arial" w:hAnsi="Arial"/>
                <w:sz w:val="18"/>
              </w:rPr>
            </w:pPr>
            <w:r w:rsidRPr="00A801F9">
              <w:rPr>
                <w:rFonts w:ascii="Arial" w:hAnsi="Arial"/>
                <w:sz w:val="18"/>
              </w:rPr>
              <w:t>Indicates that the request shall be rejected because an impacted user has not provided the required user consent.</w:t>
            </w:r>
          </w:p>
        </w:tc>
        <w:tc>
          <w:tcPr>
            <w:tcW w:w="1487" w:type="dxa"/>
          </w:tcPr>
          <w:p w14:paraId="6917A64B" w14:textId="77777777" w:rsidR="00D654A6" w:rsidRPr="00A801F9" w:rsidRDefault="00D654A6" w:rsidP="005A20DD">
            <w:pPr>
              <w:keepNext/>
              <w:keepLines/>
              <w:spacing w:after="0"/>
              <w:rPr>
                <w:rFonts w:ascii="Arial" w:hAnsi="Arial"/>
                <w:sz w:val="18"/>
              </w:rPr>
            </w:pPr>
          </w:p>
        </w:tc>
      </w:tr>
      <w:tr w:rsidR="00D654A6" w:rsidRPr="00A801F9" w14:paraId="397D466D" w14:textId="77777777" w:rsidTr="005A20DD">
        <w:trPr>
          <w:cantSplit/>
          <w:jc w:val="center"/>
        </w:trPr>
        <w:tc>
          <w:tcPr>
            <w:tcW w:w="2328" w:type="dxa"/>
          </w:tcPr>
          <w:p w14:paraId="5AAA1F88" w14:textId="77777777" w:rsidR="00D654A6" w:rsidRPr="00A801F9" w:rsidRDefault="00D654A6" w:rsidP="005A20DD">
            <w:pPr>
              <w:keepNext/>
              <w:keepLines/>
              <w:spacing w:after="0"/>
              <w:rPr>
                <w:rFonts w:ascii="Arial" w:hAnsi="Arial"/>
                <w:sz w:val="18"/>
              </w:rPr>
            </w:pPr>
            <w:r>
              <w:rPr>
                <w:rFonts w:ascii="Arial" w:hAnsi="Arial"/>
                <w:sz w:val="18"/>
              </w:rPr>
              <w:t>NO_ROAMING_SUPPORT</w:t>
            </w:r>
          </w:p>
        </w:tc>
        <w:tc>
          <w:tcPr>
            <w:tcW w:w="1980" w:type="dxa"/>
          </w:tcPr>
          <w:p w14:paraId="4B888E5B" w14:textId="77777777" w:rsidR="00D654A6" w:rsidRPr="00A801F9" w:rsidRDefault="00D654A6" w:rsidP="005A20DD">
            <w:pPr>
              <w:keepNext/>
              <w:keepLines/>
              <w:spacing w:after="0"/>
              <w:rPr>
                <w:rFonts w:ascii="Arial" w:hAnsi="Arial"/>
                <w:sz w:val="18"/>
              </w:rPr>
            </w:pPr>
            <w:r w:rsidRPr="00A801F9">
              <w:rPr>
                <w:rFonts w:ascii="Arial" w:hAnsi="Arial"/>
                <w:sz w:val="18"/>
              </w:rPr>
              <w:t>403 Forbidden</w:t>
            </w:r>
          </w:p>
        </w:tc>
        <w:tc>
          <w:tcPr>
            <w:tcW w:w="3933" w:type="dxa"/>
          </w:tcPr>
          <w:p w14:paraId="50CA0CC1" w14:textId="77777777" w:rsidR="00D654A6" w:rsidRPr="00A801F9" w:rsidRDefault="00D654A6" w:rsidP="005A20DD">
            <w:pPr>
              <w:keepNext/>
              <w:keepLines/>
              <w:spacing w:after="0"/>
              <w:rPr>
                <w:rFonts w:ascii="Arial" w:hAnsi="Arial"/>
                <w:sz w:val="18"/>
              </w:rPr>
            </w:pPr>
            <w:r w:rsidRPr="00A801F9">
              <w:rPr>
                <w:rFonts w:ascii="Arial" w:hAnsi="Arial"/>
                <w:sz w:val="18"/>
              </w:rPr>
              <w:t xml:space="preserve">Indicates that the request shall be rejected because </w:t>
            </w:r>
            <w:r>
              <w:rPr>
                <w:rFonts w:ascii="Arial" w:hAnsi="Arial"/>
                <w:sz w:val="18"/>
              </w:rPr>
              <w:t>roaming analytics or data are required and the NWDAF neither supports roaming exchange capabilitiy nor can it forward the request to another NWDAF</w:t>
            </w:r>
            <w:r w:rsidRPr="00A801F9">
              <w:rPr>
                <w:rFonts w:ascii="Arial" w:hAnsi="Arial"/>
                <w:sz w:val="18"/>
              </w:rPr>
              <w:t>.</w:t>
            </w:r>
          </w:p>
        </w:tc>
        <w:tc>
          <w:tcPr>
            <w:tcW w:w="1487" w:type="dxa"/>
          </w:tcPr>
          <w:p w14:paraId="72581DD4" w14:textId="77777777" w:rsidR="00D654A6" w:rsidRPr="00A801F9" w:rsidRDefault="00D654A6" w:rsidP="005A20DD">
            <w:pPr>
              <w:keepNext/>
              <w:keepLines/>
              <w:spacing w:after="0"/>
              <w:rPr>
                <w:rFonts w:ascii="Arial" w:hAnsi="Arial"/>
                <w:sz w:val="18"/>
              </w:rPr>
            </w:pPr>
            <w:r>
              <w:rPr>
                <w:rFonts w:ascii="Arial" w:hAnsi="Arial"/>
                <w:sz w:val="18"/>
              </w:rPr>
              <w:t>RoamingAnalytics</w:t>
            </w:r>
          </w:p>
        </w:tc>
      </w:tr>
      <w:tr w:rsidR="00D654A6" w:rsidRPr="00A801F9" w14:paraId="1AF427F3" w14:textId="77777777" w:rsidTr="005A20DD">
        <w:trPr>
          <w:cantSplit/>
          <w:jc w:val="center"/>
        </w:trPr>
        <w:tc>
          <w:tcPr>
            <w:tcW w:w="2328" w:type="dxa"/>
          </w:tcPr>
          <w:p w14:paraId="1603998B" w14:textId="77777777" w:rsidR="00D654A6" w:rsidRPr="00A801F9" w:rsidRDefault="00D654A6" w:rsidP="005A20DD">
            <w:pPr>
              <w:keepNext/>
              <w:keepLines/>
              <w:spacing w:after="0"/>
              <w:rPr>
                <w:rFonts w:ascii="Arial" w:hAnsi="Arial"/>
                <w:sz w:val="18"/>
              </w:rPr>
            </w:pPr>
            <w:r w:rsidRPr="00A801F9">
              <w:rPr>
                <w:rFonts w:ascii="Arial" w:hAnsi="Arial"/>
                <w:sz w:val="18"/>
                <w:lang w:eastAsia="zh-CN"/>
              </w:rPr>
              <w:t>UNAVAILABLE_DATA</w:t>
            </w:r>
          </w:p>
        </w:tc>
        <w:tc>
          <w:tcPr>
            <w:tcW w:w="1980" w:type="dxa"/>
          </w:tcPr>
          <w:p w14:paraId="23262A16" w14:textId="77777777" w:rsidR="00D654A6" w:rsidRPr="00A801F9" w:rsidRDefault="00D654A6" w:rsidP="005A20DD">
            <w:pPr>
              <w:keepNext/>
              <w:keepLines/>
              <w:spacing w:after="0"/>
              <w:rPr>
                <w:rFonts w:ascii="Arial" w:hAnsi="Arial"/>
                <w:sz w:val="18"/>
              </w:rPr>
            </w:pPr>
            <w:r w:rsidRPr="00A801F9">
              <w:rPr>
                <w:rFonts w:ascii="Arial" w:hAnsi="Arial" w:hint="eastAsia"/>
                <w:sz w:val="18"/>
                <w:lang w:eastAsia="zh-CN"/>
              </w:rPr>
              <w:t>5</w:t>
            </w:r>
            <w:r w:rsidRPr="00A801F9">
              <w:rPr>
                <w:rFonts w:ascii="Arial" w:hAnsi="Arial"/>
                <w:sz w:val="18"/>
                <w:lang w:eastAsia="zh-CN"/>
              </w:rPr>
              <w:t>0</w:t>
            </w:r>
            <w:r w:rsidRPr="00A801F9">
              <w:rPr>
                <w:rFonts w:ascii="Arial" w:hAnsi="Arial"/>
                <w:sz w:val="18"/>
              </w:rPr>
              <w:t>0 Internal Server Error</w:t>
            </w:r>
          </w:p>
        </w:tc>
        <w:tc>
          <w:tcPr>
            <w:tcW w:w="3933" w:type="dxa"/>
          </w:tcPr>
          <w:p w14:paraId="0A295780" w14:textId="77777777" w:rsidR="00D654A6" w:rsidRPr="00A801F9" w:rsidRDefault="00D654A6" w:rsidP="005A20DD">
            <w:pPr>
              <w:keepNext/>
              <w:keepLines/>
              <w:spacing w:after="0"/>
              <w:rPr>
                <w:rFonts w:ascii="Arial" w:hAnsi="Arial"/>
                <w:sz w:val="18"/>
              </w:rPr>
            </w:pPr>
            <w:r w:rsidRPr="00A801F9">
              <w:rPr>
                <w:rFonts w:ascii="Arial" w:hAnsi="Arial" w:hint="eastAsia"/>
                <w:sz w:val="18"/>
                <w:lang w:eastAsia="zh-CN"/>
              </w:rPr>
              <w:t>I</w:t>
            </w:r>
            <w:r w:rsidRPr="00A801F9">
              <w:rPr>
                <w:rFonts w:ascii="Arial" w:hAnsi="Arial"/>
                <w:sz w:val="18"/>
                <w:lang w:eastAsia="zh-CN"/>
              </w:rPr>
              <w:t>ndicates the requested statistics in the past is rejected since necessary data to perform the service is unavailable.</w:t>
            </w:r>
          </w:p>
        </w:tc>
        <w:tc>
          <w:tcPr>
            <w:tcW w:w="1487" w:type="dxa"/>
          </w:tcPr>
          <w:p w14:paraId="6F0E843E" w14:textId="77777777" w:rsidR="00D654A6" w:rsidRPr="00A801F9" w:rsidRDefault="00D654A6" w:rsidP="005A20DD">
            <w:pPr>
              <w:keepNext/>
              <w:keepLines/>
              <w:spacing w:after="0"/>
              <w:rPr>
                <w:rFonts w:ascii="Arial" w:hAnsi="Arial"/>
                <w:sz w:val="18"/>
                <w:lang w:eastAsia="zh-CN"/>
              </w:rPr>
            </w:pPr>
          </w:p>
        </w:tc>
      </w:tr>
      <w:tr w:rsidR="00D654A6" w:rsidRPr="00A801F9" w14:paraId="1CE8F17C" w14:textId="77777777" w:rsidTr="005A20DD">
        <w:trPr>
          <w:cantSplit/>
          <w:jc w:val="center"/>
        </w:trPr>
        <w:tc>
          <w:tcPr>
            <w:tcW w:w="8241" w:type="dxa"/>
            <w:gridSpan w:val="3"/>
          </w:tcPr>
          <w:p w14:paraId="23AD5EA2" w14:textId="77777777" w:rsidR="00D654A6" w:rsidRPr="00A801F9" w:rsidRDefault="00D654A6" w:rsidP="005A20DD">
            <w:pPr>
              <w:keepNext/>
              <w:keepLines/>
              <w:spacing w:after="0"/>
              <w:ind w:left="851" w:hanging="851"/>
              <w:rPr>
                <w:rFonts w:ascii="Arial" w:hAnsi="Arial"/>
                <w:sz w:val="18"/>
              </w:rPr>
            </w:pPr>
            <w:r w:rsidRPr="00A801F9">
              <w:rPr>
                <w:rFonts w:ascii="Arial" w:hAnsi="Arial"/>
                <w:sz w:val="18"/>
              </w:rPr>
              <w:t>NOTE:</w:t>
            </w:r>
            <w:r w:rsidRPr="00A801F9">
              <w:rPr>
                <w:rFonts w:ascii="Arial" w:hAnsi="Arial"/>
                <w:sz w:val="18"/>
              </w:rPr>
              <w:tab/>
              <w:t>Including a "ProblemDetails" data structure with the "cause" attribute in the HTTP response is optional unless explicitly mandated in the service operation clauses.</w:t>
            </w:r>
          </w:p>
        </w:tc>
        <w:tc>
          <w:tcPr>
            <w:tcW w:w="1487" w:type="dxa"/>
          </w:tcPr>
          <w:p w14:paraId="4D144006" w14:textId="77777777" w:rsidR="00D654A6" w:rsidRPr="00A801F9" w:rsidRDefault="00D654A6" w:rsidP="005A20DD">
            <w:pPr>
              <w:keepNext/>
              <w:keepLines/>
              <w:spacing w:after="0"/>
              <w:ind w:left="851" w:hanging="851"/>
              <w:rPr>
                <w:rFonts w:ascii="Arial" w:hAnsi="Arial"/>
                <w:sz w:val="18"/>
              </w:rPr>
            </w:pPr>
          </w:p>
        </w:tc>
      </w:tr>
    </w:tbl>
    <w:p w14:paraId="2F84EA94" w14:textId="77777777" w:rsidR="00D654A6" w:rsidRDefault="00D654A6" w:rsidP="00D654A6"/>
    <w:p w14:paraId="19280303" w14:textId="77777777" w:rsidR="00A10B25" w:rsidRDefault="00A10B25">
      <w:pPr>
        <w:pStyle w:val="3"/>
        <w:rPr>
          <w:lang w:eastAsia="zh-CN"/>
        </w:rPr>
      </w:pPr>
      <w:bookmarkStart w:id="9545" w:name="_Toc164920925"/>
      <w:bookmarkStart w:id="9546" w:name="_Toc170120467"/>
      <w:bookmarkStart w:id="9547" w:name="_Toc175858712"/>
      <w:bookmarkStart w:id="9548" w:name="_Toc175859785"/>
      <w:bookmarkStart w:id="9549" w:name="_Toc180606075"/>
      <w:bookmarkStart w:id="9550" w:name="_Toc185517336"/>
      <w:bookmarkStart w:id="9551" w:name="_Toc191576387"/>
      <w:bookmarkStart w:id="9552" w:name="_Toc191577127"/>
      <w:bookmarkStart w:id="9553" w:name="_Toc192880197"/>
      <w:bookmarkStart w:id="9554" w:name="_Toc195815086"/>
      <w:bookmarkStart w:id="9555" w:name="_Toc199453053"/>
      <w:r>
        <w:rPr>
          <w:lang w:val="en-US"/>
        </w:rPr>
        <w:t>5.</w:t>
      </w:r>
      <w:r>
        <w:rPr>
          <w:rFonts w:hint="eastAsia"/>
          <w:lang w:val="en-US"/>
        </w:rPr>
        <w:t>1.</w:t>
      </w:r>
      <w:r>
        <w:rPr>
          <w:lang w:val="en-US"/>
        </w:rPr>
        <w:t>8</w:t>
      </w:r>
      <w:r>
        <w:rPr>
          <w:rFonts w:hint="eastAsia"/>
          <w:lang w:val="en-US"/>
        </w:rPr>
        <w:tab/>
      </w:r>
      <w:r>
        <w:rPr>
          <w:lang w:val="en-US"/>
        </w:rPr>
        <w:t>Feature negotiation</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45"/>
      <w:bookmarkEnd w:id="9546"/>
      <w:bookmarkEnd w:id="9547"/>
      <w:bookmarkEnd w:id="9548"/>
      <w:bookmarkEnd w:id="9549"/>
      <w:bookmarkEnd w:id="9550"/>
      <w:bookmarkEnd w:id="9551"/>
      <w:bookmarkEnd w:id="9552"/>
      <w:bookmarkEnd w:id="9553"/>
      <w:bookmarkEnd w:id="9554"/>
      <w:bookmarkEnd w:id="9555"/>
    </w:p>
    <w:p w14:paraId="2F085C5D" w14:textId="77777777" w:rsidR="00A10B25" w:rsidRDefault="00A10B25">
      <w:pPr>
        <w:rPr>
          <w:rFonts w:eastAsia="Batang"/>
        </w:rPr>
      </w:pPr>
      <w:r>
        <w:rPr>
          <w:rFonts w:eastAsia="Batang"/>
        </w:rPr>
        <w:t xml:space="preserve">The optional features in table 5.1.8-1 are defined for the Nnwdaf_EventsSubscription </w:t>
      </w:r>
      <w:r>
        <w:rPr>
          <w:rFonts w:eastAsia="Batang"/>
          <w:lang w:eastAsia="zh-CN"/>
        </w:rPr>
        <w:t xml:space="preserve">API. They shall be negotiated using the </w:t>
      </w:r>
      <w:r>
        <w:rPr>
          <w:rFonts w:eastAsia="Batang"/>
        </w:rPr>
        <w:t>extensibility mechanism defined in clause 6.6 of 3GPP TS 29.500 [6].</w:t>
      </w:r>
    </w:p>
    <w:p w14:paraId="6ECC2031" w14:textId="77777777" w:rsidR="00A10B25" w:rsidRDefault="00A10B25">
      <w:pPr>
        <w:pStyle w:val="TH"/>
      </w:pPr>
      <w:bookmarkStart w:id="9556" w:name="_Toc94064343"/>
      <w:bookmarkStart w:id="9557" w:name="_Toc104539102"/>
      <w:bookmarkStart w:id="9558" w:name="_Toc120702405"/>
      <w:bookmarkStart w:id="9559" w:name="_Toc34266331"/>
      <w:bookmarkStart w:id="9560" w:name="_Toc114133904"/>
      <w:bookmarkStart w:id="9561" w:name="_Toc112951225"/>
      <w:bookmarkStart w:id="9562" w:name="_Toc56641013"/>
      <w:bookmarkStart w:id="9563" w:name="_Toc66231849"/>
      <w:bookmarkStart w:id="9564" w:name="_Toc101244507"/>
      <w:bookmarkStart w:id="9565" w:name="_Toc90655938"/>
      <w:bookmarkStart w:id="9566" w:name="_Toc28012845"/>
      <w:bookmarkStart w:id="9567" w:name="_Toc88667653"/>
      <w:bookmarkStart w:id="9568" w:name="_Toc85557145"/>
      <w:bookmarkStart w:id="9569" w:name="_Toc45134092"/>
      <w:bookmarkStart w:id="9570" w:name="_Toc36102502"/>
      <w:bookmarkStart w:id="9571" w:name="_Toc50032024"/>
      <w:bookmarkStart w:id="9572" w:name="_Toc43563546"/>
      <w:bookmarkStart w:id="9573" w:name="_Toc98233730"/>
      <w:bookmarkStart w:id="9574" w:name="_Toc85553046"/>
      <w:bookmarkStart w:id="9575" w:name="_Toc70550677"/>
      <w:bookmarkStart w:id="9576" w:name="_Toc83233130"/>
      <w:bookmarkStart w:id="9577" w:name="_Toc113031765"/>
      <w:bookmarkStart w:id="9578" w:name="_Toc68169010"/>
      <w:bookmarkStart w:id="9579" w:name="_Toc51762944"/>
      <w:bookmarkStart w:id="9580" w:name="_Hlk525137310"/>
      <w:bookmarkStart w:id="9581" w:name="_Toc59017981"/>
      <w:r>
        <w:lastRenderedPageBreak/>
        <w:t>Table 5.1.8-1: Supported Features</w:t>
      </w:r>
    </w:p>
    <w:tbl>
      <w:tblPr>
        <w:tblW w:w="9612"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9"/>
        <w:gridCol w:w="33"/>
        <w:gridCol w:w="1303"/>
        <w:gridCol w:w="83"/>
        <w:gridCol w:w="42"/>
        <w:gridCol w:w="2760"/>
        <w:gridCol w:w="95"/>
        <w:gridCol w:w="33"/>
        <w:gridCol w:w="5073"/>
        <w:gridCol w:w="81"/>
        <w:gridCol w:w="30"/>
      </w:tblGrid>
      <w:tr w:rsidR="00A10B25" w14:paraId="5AEEDACA" w14:textId="77777777">
        <w:trPr>
          <w:gridBefore w:val="1"/>
          <w:wBefore w:w="79" w:type="dxa"/>
          <w:jc w:val="center"/>
        </w:trPr>
        <w:tc>
          <w:tcPr>
            <w:tcW w:w="1419" w:type="dxa"/>
            <w:gridSpan w:val="3"/>
            <w:shd w:val="clear" w:color="auto" w:fill="C0C0C0"/>
          </w:tcPr>
          <w:p w14:paraId="27FBF1C9" w14:textId="77777777" w:rsidR="00A10B25" w:rsidRDefault="00A10B25">
            <w:pPr>
              <w:pStyle w:val="TAH"/>
            </w:pPr>
            <w:r>
              <w:lastRenderedPageBreak/>
              <w:t>Feature number</w:t>
            </w:r>
          </w:p>
        </w:tc>
        <w:tc>
          <w:tcPr>
            <w:tcW w:w="2897" w:type="dxa"/>
            <w:gridSpan w:val="3"/>
            <w:shd w:val="clear" w:color="auto" w:fill="C0C0C0"/>
          </w:tcPr>
          <w:p w14:paraId="07777AC6" w14:textId="77777777" w:rsidR="00A10B25" w:rsidRDefault="00A10B25">
            <w:pPr>
              <w:pStyle w:val="TAH"/>
            </w:pPr>
            <w:r>
              <w:t>Feature Name</w:t>
            </w:r>
          </w:p>
        </w:tc>
        <w:tc>
          <w:tcPr>
            <w:tcW w:w="5217" w:type="dxa"/>
            <w:gridSpan w:val="4"/>
            <w:shd w:val="clear" w:color="auto" w:fill="C0C0C0"/>
          </w:tcPr>
          <w:p w14:paraId="0DADADBD" w14:textId="77777777" w:rsidR="00A10B25" w:rsidRDefault="00A10B25">
            <w:pPr>
              <w:pStyle w:val="TAH"/>
            </w:pPr>
            <w:r>
              <w:t>Description</w:t>
            </w:r>
          </w:p>
        </w:tc>
      </w:tr>
      <w:tr w:rsidR="00A10B25" w14:paraId="368EC3DF" w14:textId="77777777">
        <w:trPr>
          <w:gridBefore w:val="1"/>
          <w:wBefore w:w="79" w:type="dxa"/>
          <w:jc w:val="center"/>
        </w:trPr>
        <w:tc>
          <w:tcPr>
            <w:tcW w:w="1419" w:type="dxa"/>
            <w:gridSpan w:val="3"/>
          </w:tcPr>
          <w:p w14:paraId="184C5AE4" w14:textId="77777777" w:rsidR="00A10B25" w:rsidRDefault="00A10B25">
            <w:pPr>
              <w:pStyle w:val="TAL"/>
            </w:pPr>
            <w:r>
              <w:t>1</w:t>
            </w:r>
          </w:p>
        </w:tc>
        <w:tc>
          <w:tcPr>
            <w:tcW w:w="2897" w:type="dxa"/>
            <w:gridSpan w:val="3"/>
          </w:tcPr>
          <w:p w14:paraId="444798B2" w14:textId="77777777" w:rsidR="00A10B25" w:rsidRDefault="00A10B25">
            <w:pPr>
              <w:pStyle w:val="TAL"/>
            </w:pPr>
            <w:r>
              <w:t>ServiceExperience</w:t>
            </w:r>
          </w:p>
        </w:tc>
        <w:tc>
          <w:tcPr>
            <w:tcW w:w="5217" w:type="dxa"/>
            <w:gridSpan w:val="4"/>
          </w:tcPr>
          <w:p w14:paraId="09B9C387" w14:textId="77777777" w:rsidR="00A10B25" w:rsidRDefault="00A10B25">
            <w:pPr>
              <w:pStyle w:val="TAL"/>
            </w:pPr>
            <w:r>
              <w:t>This feature indicates support for the event related to service experience.</w:t>
            </w:r>
          </w:p>
        </w:tc>
      </w:tr>
      <w:tr w:rsidR="00A10B25" w14:paraId="75A99129" w14:textId="77777777">
        <w:trPr>
          <w:gridBefore w:val="1"/>
          <w:wBefore w:w="79" w:type="dxa"/>
          <w:jc w:val="center"/>
        </w:trPr>
        <w:tc>
          <w:tcPr>
            <w:tcW w:w="1419" w:type="dxa"/>
            <w:gridSpan w:val="3"/>
          </w:tcPr>
          <w:p w14:paraId="1DFD13D6" w14:textId="77777777" w:rsidR="00A10B25" w:rsidRDefault="00A10B25">
            <w:pPr>
              <w:pStyle w:val="TAL"/>
            </w:pPr>
            <w:r>
              <w:t>2</w:t>
            </w:r>
          </w:p>
        </w:tc>
        <w:tc>
          <w:tcPr>
            <w:tcW w:w="2897" w:type="dxa"/>
            <w:gridSpan w:val="3"/>
          </w:tcPr>
          <w:p w14:paraId="10EEB9B5" w14:textId="77777777" w:rsidR="00A10B25" w:rsidRDefault="00A10B25">
            <w:pPr>
              <w:pStyle w:val="TAL"/>
            </w:pPr>
            <w:r>
              <w:t>UeMobility</w:t>
            </w:r>
          </w:p>
        </w:tc>
        <w:tc>
          <w:tcPr>
            <w:tcW w:w="5217" w:type="dxa"/>
            <w:gridSpan w:val="4"/>
          </w:tcPr>
          <w:p w14:paraId="31571ABD" w14:textId="77777777" w:rsidR="00A10B25" w:rsidRDefault="00A10B25">
            <w:pPr>
              <w:pStyle w:val="TAL"/>
            </w:pPr>
            <w:r>
              <w:t>This feature indicates the support of analytics based on UE mobility information.</w:t>
            </w:r>
          </w:p>
        </w:tc>
      </w:tr>
      <w:tr w:rsidR="00A10B25" w14:paraId="62BE7584" w14:textId="77777777">
        <w:trPr>
          <w:gridBefore w:val="1"/>
          <w:wBefore w:w="79" w:type="dxa"/>
          <w:jc w:val="center"/>
        </w:trPr>
        <w:tc>
          <w:tcPr>
            <w:tcW w:w="1419" w:type="dxa"/>
            <w:gridSpan w:val="3"/>
          </w:tcPr>
          <w:p w14:paraId="0532BD32" w14:textId="77777777" w:rsidR="00A10B25" w:rsidRDefault="00A10B25">
            <w:pPr>
              <w:pStyle w:val="TAL"/>
            </w:pPr>
            <w:r>
              <w:t>3</w:t>
            </w:r>
          </w:p>
        </w:tc>
        <w:tc>
          <w:tcPr>
            <w:tcW w:w="2897" w:type="dxa"/>
            <w:gridSpan w:val="3"/>
          </w:tcPr>
          <w:p w14:paraId="0690DED7" w14:textId="77777777" w:rsidR="00A10B25" w:rsidRDefault="00A10B25">
            <w:pPr>
              <w:pStyle w:val="TAL"/>
            </w:pPr>
            <w:r>
              <w:t>UeCommunication</w:t>
            </w:r>
          </w:p>
        </w:tc>
        <w:tc>
          <w:tcPr>
            <w:tcW w:w="5217" w:type="dxa"/>
            <w:gridSpan w:val="4"/>
          </w:tcPr>
          <w:p w14:paraId="7EC19001" w14:textId="77777777" w:rsidR="00A10B25" w:rsidRDefault="00A10B25">
            <w:pPr>
              <w:pStyle w:val="TAL"/>
            </w:pPr>
            <w:r>
              <w:t>This feature indicates the support of analytics based on UE communication information.</w:t>
            </w:r>
          </w:p>
        </w:tc>
      </w:tr>
      <w:tr w:rsidR="00A10B25" w14:paraId="38A7FB1D" w14:textId="77777777">
        <w:trPr>
          <w:gridBefore w:val="1"/>
          <w:wBefore w:w="79" w:type="dxa"/>
          <w:jc w:val="center"/>
        </w:trPr>
        <w:tc>
          <w:tcPr>
            <w:tcW w:w="1419" w:type="dxa"/>
            <w:gridSpan w:val="3"/>
          </w:tcPr>
          <w:p w14:paraId="3FAF2C3C" w14:textId="77777777" w:rsidR="00A10B25" w:rsidRDefault="00A10B25">
            <w:pPr>
              <w:pStyle w:val="TAL"/>
            </w:pPr>
            <w:r>
              <w:t>4</w:t>
            </w:r>
          </w:p>
        </w:tc>
        <w:tc>
          <w:tcPr>
            <w:tcW w:w="2897" w:type="dxa"/>
            <w:gridSpan w:val="3"/>
          </w:tcPr>
          <w:p w14:paraId="3E40C720" w14:textId="77777777" w:rsidR="00A10B25" w:rsidRDefault="00A10B25">
            <w:pPr>
              <w:pStyle w:val="TAL"/>
            </w:pPr>
            <w:r>
              <w:t>QoSSustainability</w:t>
            </w:r>
          </w:p>
        </w:tc>
        <w:tc>
          <w:tcPr>
            <w:tcW w:w="5217" w:type="dxa"/>
            <w:gridSpan w:val="4"/>
          </w:tcPr>
          <w:p w14:paraId="5623DB7C" w14:textId="77777777" w:rsidR="00A10B25" w:rsidRDefault="00A10B25">
            <w:pPr>
              <w:pStyle w:val="TAL"/>
            </w:pPr>
            <w:r>
              <w:t>This feature indicates support for the event related to QoS sustainability.</w:t>
            </w:r>
          </w:p>
        </w:tc>
      </w:tr>
      <w:tr w:rsidR="00A10B25" w14:paraId="7941C95E" w14:textId="77777777">
        <w:trPr>
          <w:gridBefore w:val="1"/>
          <w:wBefore w:w="79" w:type="dxa"/>
          <w:jc w:val="center"/>
        </w:trPr>
        <w:tc>
          <w:tcPr>
            <w:tcW w:w="1419" w:type="dxa"/>
            <w:gridSpan w:val="3"/>
          </w:tcPr>
          <w:p w14:paraId="1F5963ED" w14:textId="77777777" w:rsidR="00A10B25" w:rsidRDefault="00A10B25">
            <w:pPr>
              <w:pStyle w:val="TAL"/>
            </w:pPr>
            <w:r>
              <w:rPr>
                <w:rFonts w:hint="eastAsia"/>
              </w:rPr>
              <w:t>5</w:t>
            </w:r>
          </w:p>
        </w:tc>
        <w:tc>
          <w:tcPr>
            <w:tcW w:w="2897" w:type="dxa"/>
            <w:gridSpan w:val="3"/>
          </w:tcPr>
          <w:p w14:paraId="435B2D26" w14:textId="77777777" w:rsidR="00A10B25" w:rsidRDefault="00A10B25">
            <w:pPr>
              <w:pStyle w:val="TAL"/>
            </w:pPr>
            <w:r>
              <w:t>AbnormalBehaviour</w:t>
            </w:r>
          </w:p>
        </w:tc>
        <w:tc>
          <w:tcPr>
            <w:tcW w:w="5217" w:type="dxa"/>
            <w:gridSpan w:val="4"/>
          </w:tcPr>
          <w:p w14:paraId="1BDFF189" w14:textId="77777777" w:rsidR="00A10B25" w:rsidRDefault="00A10B25">
            <w:pPr>
              <w:pStyle w:val="TAL"/>
            </w:pPr>
            <w:r>
              <w:t>This feature indicates support for the event related to abnormal behaviour information.</w:t>
            </w:r>
          </w:p>
        </w:tc>
      </w:tr>
      <w:tr w:rsidR="00A10B25" w14:paraId="77B00B6D" w14:textId="77777777">
        <w:trPr>
          <w:gridBefore w:val="1"/>
          <w:wBefore w:w="79" w:type="dxa"/>
          <w:jc w:val="center"/>
        </w:trPr>
        <w:tc>
          <w:tcPr>
            <w:tcW w:w="1419" w:type="dxa"/>
            <w:gridSpan w:val="3"/>
          </w:tcPr>
          <w:p w14:paraId="6BD7089E" w14:textId="77777777" w:rsidR="00A10B25" w:rsidRDefault="00A10B25">
            <w:pPr>
              <w:pStyle w:val="TAL"/>
            </w:pPr>
            <w:r>
              <w:rPr>
                <w:rFonts w:hint="eastAsia"/>
              </w:rPr>
              <w:t>6</w:t>
            </w:r>
          </w:p>
        </w:tc>
        <w:tc>
          <w:tcPr>
            <w:tcW w:w="2897" w:type="dxa"/>
            <w:gridSpan w:val="3"/>
          </w:tcPr>
          <w:p w14:paraId="33727DC6" w14:textId="77777777" w:rsidR="00A10B25" w:rsidRDefault="00A10B25">
            <w:pPr>
              <w:pStyle w:val="TAL"/>
            </w:pPr>
            <w:r>
              <w:t>UserDataCongestion</w:t>
            </w:r>
          </w:p>
        </w:tc>
        <w:tc>
          <w:tcPr>
            <w:tcW w:w="5217" w:type="dxa"/>
            <w:gridSpan w:val="4"/>
          </w:tcPr>
          <w:p w14:paraId="4A4FEFD1" w14:textId="77777777" w:rsidR="00A10B25" w:rsidRDefault="00A10B25">
            <w:pPr>
              <w:pStyle w:val="TAL"/>
            </w:pPr>
            <w:r>
              <w:t>This feature indicates support for the event related to user data congestion.</w:t>
            </w:r>
          </w:p>
        </w:tc>
      </w:tr>
      <w:tr w:rsidR="00A10B25" w14:paraId="0F78C01E" w14:textId="77777777">
        <w:trPr>
          <w:gridBefore w:val="1"/>
          <w:wBefore w:w="79" w:type="dxa"/>
          <w:jc w:val="center"/>
        </w:trPr>
        <w:tc>
          <w:tcPr>
            <w:tcW w:w="1419" w:type="dxa"/>
            <w:gridSpan w:val="3"/>
          </w:tcPr>
          <w:p w14:paraId="37B34105" w14:textId="77777777" w:rsidR="00A10B25" w:rsidRDefault="00A10B25">
            <w:pPr>
              <w:pStyle w:val="TAL"/>
            </w:pPr>
            <w:r>
              <w:t>7</w:t>
            </w:r>
          </w:p>
        </w:tc>
        <w:tc>
          <w:tcPr>
            <w:tcW w:w="2897" w:type="dxa"/>
            <w:gridSpan w:val="3"/>
          </w:tcPr>
          <w:p w14:paraId="72D2305C" w14:textId="77777777" w:rsidR="00A10B25" w:rsidRDefault="00A10B25">
            <w:pPr>
              <w:pStyle w:val="TAL"/>
            </w:pPr>
            <w:r>
              <w:t>NfLoad</w:t>
            </w:r>
          </w:p>
        </w:tc>
        <w:tc>
          <w:tcPr>
            <w:tcW w:w="5217" w:type="dxa"/>
            <w:gridSpan w:val="4"/>
          </w:tcPr>
          <w:p w14:paraId="04962792" w14:textId="77777777" w:rsidR="00A10B25" w:rsidRDefault="00A10B25">
            <w:pPr>
              <w:pStyle w:val="TAL"/>
            </w:pPr>
            <w:r>
              <w:t>This feature indicates the support of the analytics related to the load of NF instances.</w:t>
            </w:r>
          </w:p>
        </w:tc>
      </w:tr>
      <w:tr w:rsidR="00A10B25" w14:paraId="1E7D806B" w14:textId="77777777">
        <w:trPr>
          <w:gridBefore w:val="1"/>
          <w:wBefore w:w="79" w:type="dxa"/>
          <w:jc w:val="center"/>
        </w:trPr>
        <w:tc>
          <w:tcPr>
            <w:tcW w:w="1419" w:type="dxa"/>
            <w:gridSpan w:val="3"/>
          </w:tcPr>
          <w:p w14:paraId="266EFB98" w14:textId="77777777" w:rsidR="00A10B25" w:rsidRDefault="00A10B25">
            <w:pPr>
              <w:pStyle w:val="TAL"/>
            </w:pPr>
            <w:r>
              <w:rPr>
                <w:rFonts w:hint="eastAsia"/>
              </w:rPr>
              <w:t>8</w:t>
            </w:r>
          </w:p>
        </w:tc>
        <w:tc>
          <w:tcPr>
            <w:tcW w:w="2897" w:type="dxa"/>
            <w:gridSpan w:val="3"/>
          </w:tcPr>
          <w:p w14:paraId="0AB6AEA5" w14:textId="77777777" w:rsidR="00A10B25" w:rsidRDefault="00A10B25">
            <w:pPr>
              <w:pStyle w:val="TAL"/>
            </w:pPr>
            <w:r>
              <w:t>NetworkPerformance</w:t>
            </w:r>
          </w:p>
        </w:tc>
        <w:tc>
          <w:tcPr>
            <w:tcW w:w="5217" w:type="dxa"/>
            <w:gridSpan w:val="4"/>
          </w:tcPr>
          <w:p w14:paraId="1D569ACE" w14:textId="77777777" w:rsidR="00A10B25" w:rsidRDefault="00A10B25">
            <w:pPr>
              <w:pStyle w:val="TAL"/>
            </w:pPr>
            <w:r>
              <w:t>This feature indicates the support of analytics based on network performance.</w:t>
            </w:r>
          </w:p>
        </w:tc>
      </w:tr>
      <w:tr w:rsidR="00A10B25" w14:paraId="5E5DC4D2" w14:textId="77777777">
        <w:trPr>
          <w:gridBefore w:val="1"/>
          <w:wBefore w:w="79" w:type="dxa"/>
          <w:jc w:val="center"/>
        </w:trPr>
        <w:tc>
          <w:tcPr>
            <w:tcW w:w="1419" w:type="dxa"/>
            <w:gridSpan w:val="3"/>
          </w:tcPr>
          <w:p w14:paraId="4FB44975" w14:textId="77777777" w:rsidR="00A10B25" w:rsidRDefault="00A10B25">
            <w:pPr>
              <w:pStyle w:val="TAL"/>
            </w:pPr>
            <w:r>
              <w:rPr>
                <w:rFonts w:hint="eastAsia"/>
              </w:rPr>
              <w:t>9</w:t>
            </w:r>
          </w:p>
        </w:tc>
        <w:tc>
          <w:tcPr>
            <w:tcW w:w="2897" w:type="dxa"/>
            <w:gridSpan w:val="3"/>
          </w:tcPr>
          <w:p w14:paraId="5272FD5F" w14:textId="77777777" w:rsidR="00A10B25" w:rsidRDefault="00A10B25">
            <w:pPr>
              <w:pStyle w:val="TAL"/>
            </w:pPr>
            <w:r>
              <w:t>NsiLoad</w:t>
            </w:r>
          </w:p>
        </w:tc>
        <w:tc>
          <w:tcPr>
            <w:tcW w:w="5217" w:type="dxa"/>
            <w:gridSpan w:val="4"/>
          </w:tcPr>
          <w:p w14:paraId="206F069F" w14:textId="77777777" w:rsidR="00A10B25" w:rsidRDefault="00A10B25">
            <w:pPr>
              <w:pStyle w:val="TAL"/>
            </w:pPr>
            <w:r>
              <w:t>This feature indicates the support of the event related to the load level of Network Slice and the optionally associated Network Slice Instance.</w:t>
            </w:r>
          </w:p>
        </w:tc>
      </w:tr>
      <w:tr w:rsidR="00A10B25" w14:paraId="3F8FCD40" w14:textId="77777777">
        <w:trPr>
          <w:gridBefore w:val="1"/>
          <w:wBefore w:w="79" w:type="dxa"/>
          <w:jc w:val="center"/>
        </w:trPr>
        <w:tc>
          <w:tcPr>
            <w:tcW w:w="1419" w:type="dxa"/>
            <w:gridSpan w:val="3"/>
          </w:tcPr>
          <w:p w14:paraId="4E549BEF" w14:textId="77777777" w:rsidR="00A10B25" w:rsidRDefault="00A10B25">
            <w:pPr>
              <w:pStyle w:val="TAL"/>
            </w:pPr>
            <w:r>
              <w:t>10</w:t>
            </w:r>
          </w:p>
        </w:tc>
        <w:tc>
          <w:tcPr>
            <w:tcW w:w="2897" w:type="dxa"/>
            <w:gridSpan w:val="3"/>
          </w:tcPr>
          <w:p w14:paraId="1EEEEC07" w14:textId="77777777" w:rsidR="00A10B25" w:rsidRDefault="00A10B25">
            <w:pPr>
              <w:pStyle w:val="TAL"/>
            </w:pPr>
            <w:r>
              <w:t>ES3XX</w:t>
            </w:r>
          </w:p>
        </w:tc>
        <w:tc>
          <w:tcPr>
            <w:tcW w:w="5217" w:type="dxa"/>
            <w:gridSpan w:val="4"/>
          </w:tcPr>
          <w:p w14:paraId="4EE197F7" w14:textId="77777777" w:rsidR="00A10B25" w:rsidRDefault="00A10B25">
            <w:pPr>
              <w:pStyle w:val="TAL"/>
            </w:pPr>
            <w:r>
              <w:t xml:space="preserve">Extended Support for 3xx redirections. This feature indicates the support of redirection for any service operation, according to Stateless NF procedures as specified in clauses 6.5.3.2 and 6.5.3.3 of 3GPP TS 29.500 [6] and according to HTTP redirection principles for indirect communication, as specified in clause 6.10.9 of 3GPP TS 29.500 [6]. </w:t>
            </w:r>
          </w:p>
        </w:tc>
      </w:tr>
      <w:tr w:rsidR="00A10B25" w14:paraId="0894EDBD" w14:textId="77777777">
        <w:trPr>
          <w:gridBefore w:val="1"/>
          <w:wBefore w:w="79" w:type="dxa"/>
          <w:jc w:val="center"/>
        </w:trPr>
        <w:tc>
          <w:tcPr>
            <w:tcW w:w="1419" w:type="dxa"/>
            <w:gridSpan w:val="3"/>
          </w:tcPr>
          <w:p w14:paraId="0AC1E705" w14:textId="77777777" w:rsidR="00A10B25" w:rsidRDefault="00A10B25">
            <w:pPr>
              <w:pStyle w:val="TAL"/>
            </w:pPr>
            <w:r>
              <w:t>11</w:t>
            </w:r>
          </w:p>
        </w:tc>
        <w:tc>
          <w:tcPr>
            <w:tcW w:w="2897" w:type="dxa"/>
            <w:gridSpan w:val="3"/>
          </w:tcPr>
          <w:p w14:paraId="4BC86B54" w14:textId="77777777" w:rsidR="00A10B25" w:rsidRDefault="00A10B25">
            <w:pPr>
              <w:pStyle w:val="TAL"/>
            </w:pPr>
            <w:r>
              <w:t>EneNA</w:t>
            </w:r>
          </w:p>
        </w:tc>
        <w:tc>
          <w:tcPr>
            <w:tcW w:w="5217" w:type="dxa"/>
            <w:gridSpan w:val="4"/>
          </w:tcPr>
          <w:p w14:paraId="62CA5E6A" w14:textId="77777777" w:rsidR="00A10B25" w:rsidRDefault="00A10B25">
            <w:pPr>
              <w:pStyle w:val="TAL"/>
            </w:pPr>
            <w:r>
              <w:t>This feature indicates support for the enhancements of network data analytics requirements.</w:t>
            </w:r>
          </w:p>
        </w:tc>
      </w:tr>
      <w:tr w:rsidR="00A10B25" w14:paraId="4812C872" w14:textId="77777777">
        <w:trPr>
          <w:gridBefore w:val="2"/>
          <w:wBefore w:w="112" w:type="dxa"/>
          <w:jc w:val="center"/>
        </w:trPr>
        <w:tc>
          <w:tcPr>
            <w:tcW w:w="1428" w:type="dxa"/>
            <w:gridSpan w:val="3"/>
          </w:tcPr>
          <w:p w14:paraId="54712E58" w14:textId="77777777" w:rsidR="00A10B25" w:rsidRDefault="00A10B25">
            <w:pPr>
              <w:pStyle w:val="TAL"/>
            </w:pPr>
            <w:r>
              <w:rPr>
                <w:rFonts w:hint="eastAsia"/>
              </w:rPr>
              <w:t>1</w:t>
            </w:r>
            <w:r>
              <w:t>2</w:t>
            </w:r>
          </w:p>
        </w:tc>
        <w:tc>
          <w:tcPr>
            <w:tcW w:w="2888" w:type="dxa"/>
            <w:gridSpan w:val="3"/>
          </w:tcPr>
          <w:p w14:paraId="150BD923" w14:textId="77777777" w:rsidR="00A10B25" w:rsidRDefault="00A10B25">
            <w:pPr>
              <w:pStyle w:val="TAL"/>
            </w:pPr>
            <w:r>
              <w:t>UserDataCongestionExt</w:t>
            </w:r>
          </w:p>
        </w:tc>
        <w:tc>
          <w:tcPr>
            <w:tcW w:w="5184" w:type="dxa"/>
            <w:gridSpan w:val="3"/>
          </w:tcPr>
          <w:p w14:paraId="0295CE2A" w14:textId="77777777" w:rsidR="00A10B25" w:rsidRDefault="00A10B25">
            <w:pPr>
              <w:pStyle w:val="TAL"/>
            </w:pPr>
            <w:r>
              <w:t>This feature indicates support for the extensions to the event related to user data congestion, including support of GPSI and/or list of Top applications. Supporting this feature also requires the support of feature UserDataCongestion.</w:t>
            </w:r>
          </w:p>
        </w:tc>
      </w:tr>
      <w:tr w:rsidR="00A10B25" w14:paraId="2032A41A" w14:textId="77777777">
        <w:trPr>
          <w:gridBefore w:val="1"/>
          <w:gridAfter w:val="1"/>
          <w:wBefore w:w="79" w:type="dxa"/>
          <w:wAfter w:w="30" w:type="dxa"/>
          <w:jc w:val="center"/>
        </w:trPr>
        <w:tc>
          <w:tcPr>
            <w:tcW w:w="1419" w:type="dxa"/>
            <w:gridSpan w:val="3"/>
          </w:tcPr>
          <w:p w14:paraId="13A0972F" w14:textId="77777777" w:rsidR="00A10B25" w:rsidRDefault="00A10B25">
            <w:pPr>
              <w:pStyle w:val="TAL"/>
            </w:pPr>
            <w:r>
              <w:t>13</w:t>
            </w:r>
          </w:p>
        </w:tc>
        <w:tc>
          <w:tcPr>
            <w:tcW w:w="2897" w:type="dxa"/>
            <w:gridSpan w:val="3"/>
          </w:tcPr>
          <w:p w14:paraId="12D4A16C" w14:textId="77777777" w:rsidR="00A10B25" w:rsidRDefault="00A10B25">
            <w:pPr>
              <w:pStyle w:val="TAL"/>
            </w:pPr>
            <w:r>
              <w:t>Aggregation</w:t>
            </w:r>
          </w:p>
        </w:tc>
        <w:tc>
          <w:tcPr>
            <w:tcW w:w="5187" w:type="dxa"/>
            <w:gridSpan w:val="3"/>
          </w:tcPr>
          <w:p w14:paraId="02415A52" w14:textId="77777777" w:rsidR="00A10B25" w:rsidRDefault="00A10B25">
            <w:pPr>
              <w:pStyle w:val="TAL"/>
            </w:pPr>
            <w:r>
              <w:t>This feature indicates support for analytics aggregation.</w:t>
            </w:r>
          </w:p>
        </w:tc>
      </w:tr>
      <w:tr w:rsidR="00A10B25" w14:paraId="1B8D63D2" w14:textId="77777777">
        <w:trPr>
          <w:gridBefore w:val="1"/>
          <w:gridAfter w:val="1"/>
          <w:wBefore w:w="79" w:type="dxa"/>
          <w:wAfter w:w="30" w:type="dxa"/>
          <w:jc w:val="center"/>
        </w:trPr>
        <w:tc>
          <w:tcPr>
            <w:tcW w:w="1419" w:type="dxa"/>
            <w:gridSpan w:val="3"/>
          </w:tcPr>
          <w:p w14:paraId="51CE48A5" w14:textId="77777777" w:rsidR="00A10B25" w:rsidRDefault="00A10B25">
            <w:pPr>
              <w:pStyle w:val="TAL"/>
            </w:pPr>
            <w:r>
              <w:rPr>
                <w:rFonts w:hint="eastAsia"/>
              </w:rPr>
              <w:t>14</w:t>
            </w:r>
          </w:p>
        </w:tc>
        <w:tc>
          <w:tcPr>
            <w:tcW w:w="2897" w:type="dxa"/>
            <w:gridSpan w:val="3"/>
          </w:tcPr>
          <w:p w14:paraId="71C5D28E" w14:textId="77777777" w:rsidR="00A10B25" w:rsidRDefault="00A10B25">
            <w:pPr>
              <w:pStyle w:val="TAL"/>
            </w:pPr>
            <w:r>
              <w:t>NsiLoadExt</w:t>
            </w:r>
          </w:p>
        </w:tc>
        <w:tc>
          <w:tcPr>
            <w:tcW w:w="5187" w:type="dxa"/>
            <w:gridSpan w:val="3"/>
          </w:tcPr>
          <w:p w14:paraId="4D2B9203" w14:textId="77777777" w:rsidR="00A10B25" w:rsidRDefault="00A10B25">
            <w:pPr>
              <w:pStyle w:val="TAL"/>
            </w:pPr>
            <w:r>
              <w:t>This feature indicates support for the extensions to the event related to the load level of Network Slice and the optionally associated Network Slice Instance, including support of area of interest, NF load information and number of UE or number of PDU Session. Supporting this feature also requires the support of feature NsiLoad.</w:t>
            </w:r>
          </w:p>
        </w:tc>
      </w:tr>
      <w:tr w:rsidR="00A10B25" w14:paraId="1582BC79" w14:textId="77777777">
        <w:trPr>
          <w:gridBefore w:val="1"/>
          <w:gridAfter w:val="1"/>
          <w:wBefore w:w="79" w:type="dxa"/>
          <w:wAfter w:w="30" w:type="dxa"/>
          <w:jc w:val="center"/>
        </w:trPr>
        <w:tc>
          <w:tcPr>
            <w:tcW w:w="1419" w:type="dxa"/>
            <w:gridSpan w:val="3"/>
          </w:tcPr>
          <w:p w14:paraId="1A3B23E4" w14:textId="77777777" w:rsidR="00A10B25" w:rsidRDefault="00A10B25">
            <w:pPr>
              <w:pStyle w:val="TAL"/>
            </w:pPr>
            <w:r>
              <w:rPr>
                <w:rFonts w:hint="eastAsia"/>
              </w:rPr>
              <w:t>1</w:t>
            </w:r>
            <w:r>
              <w:t>5</w:t>
            </w:r>
          </w:p>
        </w:tc>
        <w:tc>
          <w:tcPr>
            <w:tcW w:w="2897" w:type="dxa"/>
            <w:gridSpan w:val="3"/>
          </w:tcPr>
          <w:p w14:paraId="69DCA8EF" w14:textId="77777777" w:rsidR="00A10B25" w:rsidRDefault="00A10B25">
            <w:pPr>
              <w:pStyle w:val="TAL"/>
            </w:pPr>
            <w:r>
              <w:rPr>
                <w:rFonts w:hint="eastAsia"/>
              </w:rPr>
              <w:t>S</w:t>
            </w:r>
            <w:r>
              <w:t>erviceExperienceExt</w:t>
            </w:r>
          </w:p>
        </w:tc>
        <w:tc>
          <w:tcPr>
            <w:tcW w:w="5187" w:type="dxa"/>
            <w:gridSpan w:val="3"/>
          </w:tcPr>
          <w:p w14:paraId="5149C120" w14:textId="77777777" w:rsidR="00A10B25" w:rsidRDefault="00A10B25">
            <w:pPr>
              <w:pStyle w:val="TAL"/>
            </w:pPr>
            <w:r>
              <w:rPr>
                <w:rFonts w:hint="eastAsia"/>
              </w:rPr>
              <w:t>T</w:t>
            </w:r>
            <w:r>
              <w:t>his feature indicates support for the extensions to the event related to service experience, including support of RAT type and/or Frequency. Supporting this feature also requires the support of feature ServiceExperience.</w:t>
            </w:r>
          </w:p>
        </w:tc>
      </w:tr>
      <w:tr w:rsidR="00A10B25" w14:paraId="6C6FA554" w14:textId="77777777">
        <w:trPr>
          <w:gridBefore w:val="1"/>
          <w:gridAfter w:val="1"/>
          <w:wBefore w:w="79" w:type="dxa"/>
          <w:wAfter w:w="30" w:type="dxa"/>
          <w:jc w:val="center"/>
        </w:trPr>
        <w:tc>
          <w:tcPr>
            <w:tcW w:w="1419" w:type="dxa"/>
            <w:gridSpan w:val="3"/>
          </w:tcPr>
          <w:p w14:paraId="53852B3F" w14:textId="77777777" w:rsidR="00A10B25" w:rsidRDefault="00A10B25">
            <w:pPr>
              <w:pStyle w:val="TAL"/>
            </w:pPr>
            <w:r>
              <w:t>16</w:t>
            </w:r>
          </w:p>
        </w:tc>
        <w:tc>
          <w:tcPr>
            <w:tcW w:w="2897" w:type="dxa"/>
            <w:gridSpan w:val="3"/>
          </w:tcPr>
          <w:p w14:paraId="36D9000E" w14:textId="77777777" w:rsidR="00A10B25" w:rsidRDefault="00A10B25">
            <w:pPr>
              <w:pStyle w:val="TAL"/>
            </w:pPr>
            <w:r>
              <w:rPr>
                <w:rFonts w:hint="eastAsia"/>
              </w:rPr>
              <w:t>Dn</w:t>
            </w:r>
            <w:r>
              <w:t>Performance</w:t>
            </w:r>
          </w:p>
        </w:tc>
        <w:tc>
          <w:tcPr>
            <w:tcW w:w="5187" w:type="dxa"/>
            <w:gridSpan w:val="3"/>
          </w:tcPr>
          <w:p w14:paraId="3DE3EFB4" w14:textId="77777777" w:rsidR="00A10B25" w:rsidRDefault="00A10B25">
            <w:pPr>
              <w:pStyle w:val="TAL"/>
            </w:pPr>
            <w:r>
              <w:t>This feature indicates the support of the analytics related to DN performance.</w:t>
            </w:r>
          </w:p>
        </w:tc>
      </w:tr>
      <w:tr w:rsidR="00A10B25" w14:paraId="0D3F7D39" w14:textId="77777777">
        <w:trPr>
          <w:gridBefore w:val="1"/>
          <w:gridAfter w:val="1"/>
          <w:wBefore w:w="79" w:type="dxa"/>
          <w:wAfter w:w="30" w:type="dxa"/>
          <w:jc w:val="center"/>
        </w:trPr>
        <w:tc>
          <w:tcPr>
            <w:tcW w:w="1419" w:type="dxa"/>
            <w:gridSpan w:val="3"/>
          </w:tcPr>
          <w:p w14:paraId="122678A9" w14:textId="77777777" w:rsidR="00A10B25" w:rsidRDefault="00A10B25">
            <w:pPr>
              <w:pStyle w:val="TAL"/>
            </w:pPr>
            <w:r>
              <w:rPr>
                <w:rFonts w:hint="eastAsia"/>
              </w:rPr>
              <w:t>1</w:t>
            </w:r>
            <w:r>
              <w:t>7</w:t>
            </w:r>
          </w:p>
        </w:tc>
        <w:tc>
          <w:tcPr>
            <w:tcW w:w="2897" w:type="dxa"/>
            <w:gridSpan w:val="3"/>
          </w:tcPr>
          <w:p w14:paraId="68EFA9A8" w14:textId="77777777" w:rsidR="00A10B25" w:rsidRDefault="00A10B25">
            <w:pPr>
              <w:pStyle w:val="TAL"/>
            </w:pPr>
            <w:r>
              <w:t>NfLoadExt</w:t>
            </w:r>
          </w:p>
        </w:tc>
        <w:tc>
          <w:tcPr>
            <w:tcW w:w="5187" w:type="dxa"/>
            <w:gridSpan w:val="3"/>
          </w:tcPr>
          <w:p w14:paraId="4D4C900F" w14:textId="77777777" w:rsidR="00A10B25" w:rsidRDefault="00A10B25">
            <w:pPr>
              <w:pStyle w:val="TAL"/>
            </w:pPr>
            <w:r>
              <w:t>This feature indicates support for the extensions to the event related to the load of NF instances, including NF load over area of interest. Supporting this feature also requires the support of feature NfLoad.</w:t>
            </w:r>
          </w:p>
        </w:tc>
      </w:tr>
      <w:tr w:rsidR="00A10B25" w14:paraId="15D5D245" w14:textId="77777777">
        <w:trPr>
          <w:gridBefore w:val="1"/>
          <w:gridAfter w:val="1"/>
          <w:wBefore w:w="79" w:type="dxa"/>
          <w:wAfter w:w="30" w:type="dxa"/>
          <w:jc w:val="center"/>
        </w:trPr>
        <w:tc>
          <w:tcPr>
            <w:tcW w:w="1419" w:type="dxa"/>
            <w:gridSpan w:val="3"/>
          </w:tcPr>
          <w:p w14:paraId="57B3AB27" w14:textId="77777777" w:rsidR="00A10B25" w:rsidRDefault="00A10B25">
            <w:pPr>
              <w:pStyle w:val="TAL"/>
            </w:pPr>
            <w:r>
              <w:t>18</w:t>
            </w:r>
          </w:p>
        </w:tc>
        <w:tc>
          <w:tcPr>
            <w:tcW w:w="2897" w:type="dxa"/>
            <w:gridSpan w:val="3"/>
          </w:tcPr>
          <w:p w14:paraId="22B9E0E5" w14:textId="77777777" w:rsidR="00A10B25" w:rsidRDefault="00A10B25">
            <w:pPr>
              <w:pStyle w:val="TAL"/>
            </w:pPr>
            <w:r>
              <w:t>Dispersion</w:t>
            </w:r>
          </w:p>
        </w:tc>
        <w:tc>
          <w:tcPr>
            <w:tcW w:w="5187" w:type="dxa"/>
            <w:gridSpan w:val="3"/>
          </w:tcPr>
          <w:p w14:paraId="4FF56FFB" w14:textId="77777777" w:rsidR="00A10B25" w:rsidRDefault="00A10B25">
            <w:pPr>
              <w:pStyle w:val="TAL"/>
            </w:pPr>
            <w:r>
              <w:t>This feature indicates support of the analytics related to dispersion analytics information.</w:t>
            </w:r>
          </w:p>
        </w:tc>
      </w:tr>
      <w:tr w:rsidR="00A10B25" w14:paraId="25033230" w14:textId="77777777">
        <w:trPr>
          <w:gridBefore w:val="1"/>
          <w:gridAfter w:val="1"/>
          <w:wBefore w:w="79" w:type="dxa"/>
          <w:wAfter w:w="30" w:type="dxa"/>
          <w:jc w:val="center"/>
        </w:trPr>
        <w:tc>
          <w:tcPr>
            <w:tcW w:w="1419" w:type="dxa"/>
            <w:gridSpan w:val="3"/>
          </w:tcPr>
          <w:p w14:paraId="46F04BA0" w14:textId="77777777" w:rsidR="00A10B25" w:rsidRDefault="00A10B25">
            <w:pPr>
              <w:pStyle w:val="TAL"/>
            </w:pPr>
            <w:r>
              <w:rPr>
                <w:rFonts w:hint="eastAsia"/>
              </w:rPr>
              <w:t>1</w:t>
            </w:r>
            <w:r>
              <w:t>9</w:t>
            </w:r>
          </w:p>
        </w:tc>
        <w:tc>
          <w:tcPr>
            <w:tcW w:w="2897" w:type="dxa"/>
            <w:gridSpan w:val="3"/>
          </w:tcPr>
          <w:p w14:paraId="0B921990" w14:textId="77777777" w:rsidR="00A10B25" w:rsidRDefault="00A10B25">
            <w:pPr>
              <w:pStyle w:val="TAL"/>
            </w:pPr>
            <w:r>
              <w:t>RedundantTransmissionExp</w:t>
            </w:r>
          </w:p>
        </w:tc>
        <w:tc>
          <w:tcPr>
            <w:tcW w:w="5187" w:type="dxa"/>
            <w:gridSpan w:val="3"/>
          </w:tcPr>
          <w:p w14:paraId="7EEB5405" w14:textId="77777777" w:rsidR="00A10B25" w:rsidRDefault="00A10B25">
            <w:pPr>
              <w:pStyle w:val="TAL"/>
            </w:pPr>
            <w:r>
              <w:t>This feature indicates support of the analytics related to redundant transmission experience analytics information.</w:t>
            </w:r>
          </w:p>
        </w:tc>
      </w:tr>
      <w:tr w:rsidR="00A10B25" w14:paraId="7D40F029" w14:textId="77777777">
        <w:trPr>
          <w:gridBefore w:val="1"/>
          <w:gridAfter w:val="1"/>
          <w:wBefore w:w="79" w:type="dxa"/>
          <w:wAfter w:w="30" w:type="dxa"/>
          <w:jc w:val="center"/>
        </w:trPr>
        <w:tc>
          <w:tcPr>
            <w:tcW w:w="1419" w:type="dxa"/>
            <w:gridSpan w:val="3"/>
          </w:tcPr>
          <w:p w14:paraId="06A92459" w14:textId="77777777" w:rsidR="00A10B25" w:rsidRDefault="00A10B25">
            <w:pPr>
              <w:pStyle w:val="TAL"/>
            </w:pPr>
            <w:r>
              <w:rPr>
                <w:rFonts w:hint="eastAsia"/>
              </w:rPr>
              <w:t>2</w:t>
            </w:r>
            <w:r>
              <w:t>0</w:t>
            </w:r>
          </w:p>
        </w:tc>
        <w:tc>
          <w:tcPr>
            <w:tcW w:w="2897" w:type="dxa"/>
            <w:gridSpan w:val="3"/>
          </w:tcPr>
          <w:p w14:paraId="21E413B2" w14:textId="77777777" w:rsidR="00A10B25" w:rsidRDefault="00A10B25">
            <w:pPr>
              <w:pStyle w:val="TAL"/>
            </w:pPr>
            <w:r>
              <w:t>WlanPerformance</w:t>
            </w:r>
          </w:p>
        </w:tc>
        <w:tc>
          <w:tcPr>
            <w:tcW w:w="5187" w:type="dxa"/>
            <w:gridSpan w:val="3"/>
          </w:tcPr>
          <w:p w14:paraId="45D45154" w14:textId="77777777" w:rsidR="00A10B25" w:rsidRDefault="00A10B25">
            <w:pPr>
              <w:pStyle w:val="TAL"/>
            </w:pPr>
            <w:r>
              <w:t>This feature indicates support of the analytics related to WLAN performance information.</w:t>
            </w:r>
          </w:p>
        </w:tc>
      </w:tr>
      <w:tr w:rsidR="00A10B25" w14:paraId="03619FF9" w14:textId="77777777">
        <w:trPr>
          <w:gridBefore w:val="1"/>
          <w:gridAfter w:val="1"/>
          <w:wBefore w:w="79" w:type="dxa"/>
          <w:wAfter w:w="30" w:type="dxa"/>
          <w:jc w:val="center"/>
        </w:trPr>
        <w:tc>
          <w:tcPr>
            <w:tcW w:w="1419" w:type="dxa"/>
            <w:gridSpan w:val="3"/>
          </w:tcPr>
          <w:p w14:paraId="3F4A3D45" w14:textId="77777777" w:rsidR="00A10B25" w:rsidRDefault="00A10B25">
            <w:pPr>
              <w:pStyle w:val="TAL"/>
            </w:pPr>
            <w:r>
              <w:rPr>
                <w:rFonts w:hint="eastAsia"/>
              </w:rPr>
              <w:t>2</w:t>
            </w:r>
            <w:r>
              <w:t>1</w:t>
            </w:r>
          </w:p>
        </w:tc>
        <w:tc>
          <w:tcPr>
            <w:tcW w:w="2897" w:type="dxa"/>
            <w:gridSpan w:val="3"/>
          </w:tcPr>
          <w:p w14:paraId="1E1D5AF5" w14:textId="77777777" w:rsidR="00A10B25" w:rsidRDefault="00A10B25">
            <w:pPr>
              <w:pStyle w:val="TAL"/>
            </w:pPr>
            <w:r>
              <w:t>UeCommunicationExt</w:t>
            </w:r>
          </w:p>
        </w:tc>
        <w:tc>
          <w:tcPr>
            <w:tcW w:w="5187" w:type="dxa"/>
            <w:gridSpan w:val="3"/>
          </w:tcPr>
          <w:p w14:paraId="67372924" w14:textId="77777777" w:rsidR="00A10B25" w:rsidRDefault="00A10B25">
            <w:pPr>
              <w:pStyle w:val="TAL"/>
            </w:pPr>
            <w:r>
              <w:t xml:space="preserve">This feature indicates the support for the extensions to the event related to UE communication, including support of reporting </w:t>
            </w:r>
            <w:r>
              <w:rPr>
                <w:lang w:eastAsia="zh-CN"/>
              </w:rPr>
              <w:t xml:space="preserve">the analytics of the application list used by UE, N4 Session inactivity timer, and </w:t>
            </w:r>
            <w:r>
              <w:rPr>
                <w:rFonts w:cs="Arial"/>
                <w:szCs w:val="18"/>
                <w:lang w:eastAsia="zh-CN"/>
              </w:rPr>
              <w:t>whether the UE communicates periodically or not</w:t>
            </w:r>
            <w:r>
              <w:t>.</w:t>
            </w:r>
          </w:p>
          <w:p w14:paraId="4A323680" w14:textId="77777777" w:rsidR="00A10B25" w:rsidRDefault="00A10B25">
            <w:pPr>
              <w:pStyle w:val="TAL"/>
            </w:pPr>
            <w:r>
              <w:rPr>
                <w:lang w:eastAsia="zh-CN"/>
              </w:rPr>
              <w:t xml:space="preserve">Supporting this feature also requires the support of </w:t>
            </w:r>
            <w:r>
              <w:t>UeCommunication</w:t>
            </w:r>
            <w:r>
              <w:rPr>
                <w:lang w:eastAsia="zh-CN"/>
              </w:rPr>
              <w:t xml:space="preserve"> feature.</w:t>
            </w:r>
          </w:p>
        </w:tc>
      </w:tr>
      <w:tr w:rsidR="00A10B25" w14:paraId="17F29A5D" w14:textId="77777777">
        <w:trPr>
          <w:gridBefore w:val="1"/>
          <w:gridAfter w:val="1"/>
          <w:wBefore w:w="79" w:type="dxa"/>
          <w:wAfter w:w="30" w:type="dxa"/>
          <w:jc w:val="center"/>
        </w:trPr>
        <w:tc>
          <w:tcPr>
            <w:tcW w:w="1419" w:type="dxa"/>
            <w:gridSpan w:val="3"/>
          </w:tcPr>
          <w:p w14:paraId="5342D445" w14:textId="77777777" w:rsidR="00A10B25" w:rsidRDefault="00A10B25">
            <w:pPr>
              <w:pStyle w:val="TAL"/>
            </w:pPr>
            <w:r>
              <w:t>22</w:t>
            </w:r>
          </w:p>
        </w:tc>
        <w:tc>
          <w:tcPr>
            <w:tcW w:w="2897" w:type="dxa"/>
            <w:gridSpan w:val="3"/>
          </w:tcPr>
          <w:p w14:paraId="45D6397A" w14:textId="77777777" w:rsidR="00A10B25" w:rsidRDefault="00A10B25">
            <w:pPr>
              <w:pStyle w:val="TAL"/>
            </w:pPr>
            <w:r>
              <w:t>UeMobilityExt</w:t>
            </w:r>
          </w:p>
        </w:tc>
        <w:tc>
          <w:tcPr>
            <w:tcW w:w="5187" w:type="dxa"/>
            <w:gridSpan w:val="3"/>
          </w:tcPr>
          <w:p w14:paraId="4667D210" w14:textId="77777777" w:rsidR="00A10B25" w:rsidRDefault="00A10B25">
            <w:pPr>
              <w:pStyle w:val="TAL"/>
            </w:pPr>
            <w:r>
              <w:rPr>
                <w:rFonts w:hint="eastAsia"/>
              </w:rPr>
              <w:t>T</w:t>
            </w:r>
            <w:r>
              <w:t>his feature indicates support for extensions to the event related to UE mobility, including support of LADN DNN to refer the LADN service area as the AOI. Supporting this feature also requires the support of feature UeMobility.</w:t>
            </w:r>
          </w:p>
        </w:tc>
      </w:tr>
      <w:tr w:rsidR="00A10B25" w14:paraId="39347C53" w14:textId="77777777">
        <w:trPr>
          <w:gridBefore w:val="1"/>
          <w:gridAfter w:val="1"/>
          <w:wBefore w:w="79" w:type="dxa"/>
          <w:wAfter w:w="30" w:type="dxa"/>
          <w:jc w:val="center"/>
        </w:trPr>
        <w:tc>
          <w:tcPr>
            <w:tcW w:w="1419" w:type="dxa"/>
            <w:gridSpan w:val="3"/>
          </w:tcPr>
          <w:p w14:paraId="5118A080" w14:textId="77777777" w:rsidR="00A10B25" w:rsidRDefault="00A10B25">
            <w:pPr>
              <w:pStyle w:val="TAL"/>
            </w:pPr>
            <w:r>
              <w:lastRenderedPageBreak/>
              <w:t>23</w:t>
            </w:r>
          </w:p>
        </w:tc>
        <w:tc>
          <w:tcPr>
            <w:tcW w:w="2897" w:type="dxa"/>
            <w:gridSpan w:val="3"/>
          </w:tcPr>
          <w:p w14:paraId="38D2299D" w14:textId="77777777" w:rsidR="00A10B25" w:rsidRDefault="00A10B25">
            <w:pPr>
              <w:pStyle w:val="TAL"/>
            </w:pPr>
            <w:r>
              <w:t>AnaCtxTransfer</w:t>
            </w:r>
          </w:p>
        </w:tc>
        <w:tc>
          <w:tcPr>
            <w:tcW w:w="5187" w:type="dxa"/>
            <w:gridSpan w:val="3"/>
          </w:tcPr>
          <w:p w14:paraId="71934113" w14:textId="77777777" w:rsidR="00A10B25" w:rsidRDefault="00A10B25">
            <w:pPr>
              <w:pStyle w:val="TAL"/>
            </w:pPr>
            <w:r>
              <w:t>This feature indicates support for functionality related to Analytics Context Transfer.</w:t>
            </w:r>
          </w:p>
        </w:tc>
      </w:tr>
      <w:tr w:rsidR="00A10B25" w14:paraId="754C0BC5" w14:textId="77777777">
        <w:trPr>
          <w:gridBefore w:val="1"/>
          <w:gridAfter w:val="1"/>
          <w:wBefore w:w="79" w:type="dxa"/>
          <w:wAfter w:w="30" w:type="dxa"/>
          <w:jc w:val="center"/>
        </w:trPr>
        <w:tc>
          <w:tcPr>
            <w:tcW w:w="1419" w:type="dxa"/>
            <w:gridSpan w:val="3"/>
          </w:tcPr>
          <w:p w14:paraId="2D9250E6" w14:textId="77777777" w:rsidR="00A10B25" w:rsidRDefault="00A10B25">
            <w:pPr>
              <w:pStyle w:val="TAL"/>
            </w:pPr>
            <w:r>
              <w:t>24</w:t>
            </w:r>
          </w:p>
        </w:tc>
        <w:tc>
          <w:tcPr>
            <w:tcW w:w="2897" w:type="dxa"/>
            <w:gridSpan w:val="3"/>
          </w:tcPr>
          <w:p w14:paraId="61364BBD" w14:textId="77777777" w:rsidR="00A10B25" w:rsidRDefault="00A10B25">
            <w:pPr>
              <w:pStyle w:val="TAL"/>
            </w:pPr>
            <w:r>
              <w:t>AnaSubTransfer</w:t>
            </w:r>
          </w:p>
        </w:tc>
        <w:tc>
          <w:tcPr>
            <w:tcW w:w="5187" w:type="dxa"/>
            <w:gridSpan w:val="3"/>
          </w:tcPr>
          <w:p w14:paraId="7B0476BC" w14:textId="77777777" w:rsidR="00A10B25" w:rsidRDefault="00A10B25">
            <w:pPr>
              <w:pStyle w:val="TAL"/>
            </w:pPr>
            <w:r>
              <w:t>This feature indicates support for Analytics Subscription Transfer initiated by the source NWDAF.</w:t>
            </w:r>
          </w:p>
        </w:tc>
      </w:tr>
      <w:tr w:rsidR="00A10B25" w14:paraId="6A9723D3" w14:textId="77777777">
        <w:trPr>
          <w:gridBefore w:val="1"/>
          <w:gridAfter w:val="1"/>
          <w:wBefore w:w="79" w:type="dxa"/>
          <w:wAfter w:w="30" w:type="dxa"/>
          <w:jc w:val="center"/>
        </w:trPr>
        <w:tc>
          <w:tcPr>
            <w:tcW w:w="1419" w:type="dxa"/>
            <w:gridSpan w:val="3"/>
          </w:tcPr>
          <w:p w14:paraId="016C7FFA" w14:textId="77777777" w:rsidR="00A10B25" w:rsidRDefault="00A10B25">
            <w:pPr>
              <w:pStyle w:val="TAL"/>
            </w:pPr>
            <w:r>
              <w:t>25</w:t>
            </w:r>
          </w:p>
        </w:tc>
        <w:tc>
          <w:tcPr>
            <w:tcW w:w="2897" w:type="dxa"/>
            <w:gridSpan w:val="3"/>
          </w:tcPr>
          <w:p w14:paraId="3A765397" w14:textId="77777777" w:rsidR="00A10B25" w:rsidRDefault="00A10B25">
            <w:pPr>
              <w:pStyle w:val="TAL"/>
            </w:pPr>
            <w:r>
              <w:t>UserConsent</w:t>
            </w:r>
          </w:p>
        </w:tc>
        <w:tc>
          <w:tcPr>
            <w:tcW w:w="5187" w:type="dxa"/>
            <w:gridSpan w:val="3"/>
          </w:tcPr>
          <w:p w14:paraId="6871A36B" w14:textId="77777777" w:rsidR="00A10B25" w:rsidRDefault="00A10B25">
            <w:pPr>
              <w:pStyle w:val="TAL"/>
            </w:pPr>
            <w:r>
              <w:t>Indicates the support of detailed handling of user consent, e.g. error responses related to the lack of user consent.</w:t>
            </w:r>
          </w:p>
        </w:tc>
      </w:tr>
      <w:tr w:rsidR="00A10B25" w14:paraId="119A192D" w14:textId="77777777">
        <w:trPr>
          <w:gridBefore w:val="1"/>
          <w:gridAfter w:val="1"/>
          <w:wBefore w:w="79" w:type="dxa"/>
          <w:wAfter w:w="30" w:type="dxa"/>
          <w:jc w:val="center"/>
        </w:trPr>
        <w:tc>
          <w:tcPr>
            <w:tcW w:w="1419" w:type="dxa"/>
            <w:gridSpan w:val="3"/>
          </w:tcPr>
          <w:p w14:paraId="43463B55" w14:textId="77777777" w:rsidR="00A10B25" w:rsidRDefault="00A10B25">
            <w:pPr>
              <w:pStyle w:val="TAL"/>
            </w:pPr>
            <w:r>
              <w:rPr>
                <w:rFonts w:hint="eastAsia"/>
              </w:rPr>
              <w:t>2</w:t>
            </w:r>
            <w:r>
              <w:t>6</w:t>
            </w:r>
          </w:p>
        </w:tc>
        <w:tc>
          <w:tcPr>
            <w:tcW w:w="2897" w:type="dxa"/>
            <w:gridSpan w:val="3"/>
          </w:tcPr>
          <w:p w14:paraId="785EF202" w14:textId="77777777" w:rsidR="00A10B25" w:rsidRDefault="00A10B25">
            <w:pPr>
              <w:pStyle w:val="TAL"/>
            </w:pPr>
            <w:r>
              <w:t>TermRequest</w:t>
            </w:r>
          </w:p>
        </w:tc>
        <w:tc>
          <w:tcPr>
            <w:tcW w:w="5187" w:type="dxa"/>
            <w:gridSpan w:val="3"/>
          </w:tcPr>
          <w:p w14:paraId="6D773787" w14:textId="77777777" w:rsidR="00A10B25" w:rsidRDefault="00A10B25">
            <w:pPr>
              <w:pStyle w:val="TAL"/>
            </w:pPr>
            <w:r>
              <w:t>This feature indicates support for Analytics Subscription termination requests sent by the NWDAF to the NF service consumer.</w:t>
            </w:r>
          </w:p>
        </w:tc>
      </w:tr>
      <w:tr w:rsidR="00A10B25" w14:paraId="51F3D62A" w14:textId="77777777">
        <w:trPr>
          <w:gridBefore w:val="1"/>
          <w:gridAfter w:val="1"/>
          <w:wBefore w:w="79" w:type="dxa"/>
          <w:wAfter w:w="30" w:type="dxa"/>
          <w:jc w:val="center"/>
        </w:trPr>
        <w:tc>
          <w:tcPr>
            <w:tcW w:w="1419" w:type="dxa"/>
            <w:gridSpan w:val="3"/>
          </w:tcPr>
          <w:p w14:paraId="5FC492CF" w14:textId="77777777" w:rsidR="00A10B25" w:rsidRDefault="00A10B25">
            <w:pPr>
              <w:pStyle w:val="TAL"/>
              <w:rPr>
                <w:lang w:eastAsia="zh-CN"/>
              </w:rPr>
            </w:pPr>
            <w:r>
              <w:rPr>
                <w:lang w:eastAsia="zh-CN"/>
              </w:rPr>
              <w:t>27</w:t>
            </w:r>
          </w:p>
        </w:tc>
        <w:tc>
          <w:tcPr>
            <w:tcW w:w="2897" w:type="dxa"/>
            <w:gridSpan w:val="3"/>
          </w:tcPr>
          <w:p w14:paraId="134109A3" w14:textId="77777777" w:rsidR="00A10B25" w:rsidRDefault="00A10B25">
            <w:pPr>
              <w:pStyle w:val="TAL"/>
              <w:rPr>
                <w:lang w:eastAsia="zh-CN"/>
              </w:rPr>
            </w:pPr>
            <w:r>
              <w:t>ENAExt</w:t>
            </w:r>
          </w:p>
        </w:tc>
        <w:tc>
          <w:tcPr>
            <w:tcW w:w="5187" w:type="dxa"/>
            <w:gridSpan w:val="3"/>
          </w:tcPr>
          <w:p w14:paraId="411B5E0C" w14:textId="77777777" w:rsidR="00A10B25" w:rsidRDefault="00A10B25">
            <w:pPr>
              <w:pStyle w:val="TAL"/>
              <w:rPr>
                <w:lang w:eastAsia="zh-CN"/>
              </w:rPr>
            </w:pPr>
            <w:r>
              <w:t>This feature indicates support for the general enhancements of network data analytics requirements,</w:t>
            </w:r>
            <w:r>
              <w:rPr>
                <w:lang w:eastAsia="zh-CN"/>
              </w:rPr>
              <w:t xml:space="preserve"> including support more level of accuracy and support for use case context sent by the NF service consumer to the NWDAF</w:t>
            </w:r>
            <w:r>
              <w:t>.</w:t>
            </w:r>
          </w:p>
        </w:tc>
      </w:tr>
      <w:tr w:rsidR="00A10B25" w14:paraId="20D036C7" w14:textId="77777777">
        <w:trPr>
          <w:gridBefore w:val="1"/>
          <w:gridAfter w:val="1"/>
          <w:wBefore w:w="79" w:type="dxa"/>
          <w:wAfter w:w="30" w:type="dxa"/>
          <w:jc w:val="center"/>
        </w:trPr>
        <w:tc>
          <w:tcPr>
            <w:tcW w:w="1419" w:type="dxa"/>
            <w:gridSpan w:val="3"/>
          </w:tcPr>
          <w:p w14:paraId="126BE100" w14:textId="77777777" w:rsidR="00A10B25" w:rsidRDefault="00A10B25">
            <w:pPr>
              <w:pStyle w:val="TAL"/>
              <w:rPr>
                <w:lang w:eastAsia="zh-CN"/>
              </w:rPr>
            </w:pPr>
            <w:r>
              <w:rPr>
                <w:lang w:eastAsia="zh-CN"/>
              </w:rPr>
              <w:t>28</w:t>
            </w:r>
          </w:p>
        </w:tc>
        <w:tc>
          <w:tcPr>
            <w:tcW w:w="2897" w:type="dxa"/>
            <w:gridSpan w:val="3"/>
          </w:tcPr>
          <w:p w14:paraId="4FA38B60" w14:textId="77777777" w:rsidR="00A10B25" w:rsidRDefault="00A10B25">
            <w:pPr>
              <w:pStyle w:val="TAL"/>
            </w:pPr>
            <w:r>
              <w:rPr>
                <w:rFonts w:hint="eastAsia"/>
                <w:lang w:eastAsia="zh-CN"/>
              </w:rPr>
              <w:t>E</w:t>
            </w:r>
            <w:r>
              <w:rPr>
                <w:lang w:eastAsia="zh-CN"/>
              </w:rPr>
              <w:t>n</w:t>
            </w:r>
            <w:r>
              <w:t>AbnormalBehaviour</w:t>
            </w:r>
          </w:p>
        </w:tc>
        <w:tc>
          <w:tcPr>
            <w:tcW w:w="5187" w:type="dxa"/>
            <w:gridSpan w:val="3"/>
          </w:tcPr>
          <w:p w14:paraId="5026BB90" w14:textId="77777777" w:rsidR="00A10B25" w:rsidRDefault="00A10B25">
            <w:pPr>
              <w:pStyle w:val="TAL"/>
            </w:pPr>
            <w:r>
              <w:t>This feature indicates support for the enhancements of UE Abnormal Behaviour.</w:t>
            </w:r>
          </w:p>
          <w:p w14:paraId="78F66D68" w14:textId="77777777" w:rsidR="00A10B25" w:rsidRDefault="00A10B25">
            <w:pPr>
              <w:pStyle w:val="TAL"/>
            </w:pPr>
            <w:r>
              <w:rPr>
                <w:lang w:eastAsia="zh-CN"/>
              </w:rPr>
              <w:t xml:space="preserve">Supporting this feature also requires the support of </w:t>
            </w:r>
            <w:r>
              <w:t>AbnormalBehaviour</w:t>
            </w:r>
            <w:r>
              <w:rPr>
                <w:lang w:eastAsia="zh-CN"/>
              </w:rPr>
              <w:t xml:space="preserve"> feature.</w:t>
            </w:r>
          </w:p>
        </w:tc>
      </w:tr>
      <w:tr w:rsidR="00A10B25" w14:paraId="58995DDF" w14:textId="77777777">
        <w:trPr>
          <w:gridBefore w:val="1"/>
          <w:gridAfter w:val="1"/>
          <w:wBefore w:w="79" w:type="dxa"/>
          <w:wAfter w:w="30" w:type="dxa"/>
          <w:jc w:val="center"/>
        </w:trPr>
        <w:tc>
          <w:tcPr>
            <w:tcW w:w="1419" w:type="dxa"/>
            <w:gridSpan w:val="3"/>
          </w:tcPr>
          <w:p w14:paraId="6ED23DD7" w14:textId="77777777" w:rsidR="00A10B25" w:rsidRDefault="00A10B25">
            <w:pPr>
              <w:pStyle w:val="TAL"/>
              <w:rPr>
                <w:lang w:eastAsia="zh-CN"/>
              </w:rPr>
            </w:pPr>
            <w:r>
              <w:rPr>
                <w:lang w:eastAsia="zh-CN"/>
              </w:rPr>
              <w:t>29</w:t>
            </w:r>
          </w:p>
        </w:tc>
        <w:tc>
          <w:tcPr>
            <w:tcW w:w="2897" w:type="dxa"/>
            <w:gridSpan w:val="3"/>
          </w:tcPr>
          <w:p w14:paraId="129B613C" w14:textId="77777777" w:rsidR="00A10B25" w:rsidRDefault="00A10B25">
            <w:pPr>
              <w:pStyle w:val="TAL"/>
              <w:rPr>
                <w:lang w:eastAsia="zh-CN"/>
              </w:rPr>
            </w:pPr>
            <w:r>
              <w:rPr>
                <w:rFonts w:hint="eastAsia"/>
                <w:lang w:eastAsia="zh-CN"/>
              </w:rPr>
              <w:t>E</w:t>
            </w:r>
            <w:r>
              <w:rPr>
                <w:lang w:eastAsia="zh-CN"/>
              </w:rPr>
              <w:t>n</w:t>
            </w:r>
            <w:r>
              <w:rPr>
                <w:rFonts w:eastAsia="Batang"/>
              </w:rPr>
              <w:t>QoSSustainability</w:t>
            </w:r>
          </w:p>
        </w:tc>
        <w:tc>
          <w:tcPr>
            <w:tcW w:w="5187" w:type="dxa"/>
            <w:gridSpan w:val="3"/>
          </w:tcPr>
          <w:p w14:paraId="6DEE05A6" w14:textId="77777777" w:rsidR="00A10B25" w:rsidRDefault="00A10B25">
            <w:pPr>
              <w:pStyle w:val="TAL"/>
            </w:pPr>
            <w:r>
              <w:t xml:space="preserve">This feature indicates support for the enhancements of </w:t>
            </w:r>
            <w:r>
              <w:rPr>
                <w:rFonts w:eastAsia="Batang"/>
              </w:rPr>
              <w:t>QoS Sustainability</w:t>
            </w:r>
            <w:r>
              <w:t>.</w:t>
            </w:r>
          </w:p>
          <w:p w14:paraId="5F5B9CC0" w14:textId="77777777" w:rsidR="00A10B25" w:rsidRDefault="00A10B25">
            <w:pPr>
              <w:pStyle w:val="TAL"/>
            </w:pPr>
            <w:r>
              <w:rPr>
                <w:lang w:eastAsia="zh-CN"/>
              </w:rPr>
              <w:t xml:space="preserve">Supporting this feature also requires the support of </w:t>
            </w:r>
            <w:r>
              <w:rPr>
                <w:rFonts w:eastAsia="Batang"/>
              </w:rPr>
              <w:t>QoSSustainability</w:t>
            </w:r>
            <w:r>
              <w:rPr>
                <w:lang w:eastAsia="zh-CN"/>
              </w:rPr>
              <w:t xml:space="preserve"> feature.</w:t>
            </w:r>
          </w:p>
        </w:tc>
      </w:tr>
      <w:tr w:rsidR="00A10B25" w14:paraId="5A920C02" w14:textId="77777777">
        <w:trPr>
          <w:gridBefore w:val="1"/>
          <w:gridAfter w:val="1"/>
          <w:wBefore w:w="79" w:type="dxa"/>
          <w:wAfter w:w="30" w:type="dxa"/>
          <w:jc w:val="center"/>
        </w:trPr>
        <w:tc>
          <w:tcPr>
            <w:tcW w:w="1419" w:type="dxa"/>
            <w:gridSpan w:val="3"/>
          </w:tcPr>
          <w:p w14:paraId="0EB311FA" w14:textId="77777777" w:rsidR="00A10B25" w:rsidRDefault="00A10B25">
            <w:pPr>
              <w:pStyle w:val="TAL"/>
              <w:rPr>
                <w:lang w:eastAsia="zh-CN"/>
              </w:rPr>
            </w:pPr>
            <w:r>
              <w:rPr>
                <w:lang w:eastAsia="zh-CN"/>
              </w:rPr>
              <w:t>30</w:t>
            </w:r>
          </w:p>
        </w:tc>
        <w:tc>
          <w:tcPr>
            <w:tcW w:w="2897" w:type="dxa"/>
            <w:gridSpan w:val="3"/>
          </w:tcPr>
          <w:p w14:paraId="06C54EC2" w14:textId="77777777" w:rsidR="00A10B25" w:rsidRDefault="00A10B25">
            <w:pPr>
              <w:pStyle w:val="TAL"/>
              <w:rPr>
                <w:lang w:eastAsia="zh-CN"/>
              </w:rPr>
            </w:pPr>
            <w:r>
              <w:t>UserDataCongestionExt2_eNA</w:t>
            </w:r>
          </w:p>
        </w:tc>
        <w:tc>
          <w:tcPr>
            <w:tcW w:w="5187" w:type="dxa"/>
            <w:gridSpan w:val="3"/>
          </w:tcPr>
          <w:p w14:paraId="5A6B1F06" w14:textId="77777777" w:rsidR="00A10B25" w:rsidRDefault="00A10B25">
            <w:pPr>
              <w:pStyle w:val="TAL"/>
            </w:pPr>
            <w:r>
              <w:t>This feature indicates support for the enhancements of user data congestion, including support of ordering criterion.</w:t>
            </w:r>
            <w:r>
              <w:rPr>
                <w:lang w:eastAsia="zh-CN"/>
              </w:rPr>
              <w:t xml:space="preserve"> Supporting this feature also requires the support of </w:t>
            </w:r>
            <w:r>
              <w:t>UserDataCongestion and UserDataCongestionExt</w:t>
            </w:r>
            <w:r>
              <w:rPr>
                <w:lang w:eastAsia="zh-CN"/>
              </w:rPr>
              <w:t xml:space="preserve"> features.</w:t>
            </w:r>
          </w:p>
        </w:tc>
      </w:tr>
      <w:tr w:rsidR="00A10B25" w14:paraId="4744BD0F" w14:textId="77777777">
        <w:trPr>
          <w:gridBefore w:val="1"/>
          <w:gridAfter w:val="1"/>
          <w:wBefore w:w="79" w:type="dxa"/>
          <w:wAfter w:w="30" w:type="dxa"/>
          <w:jc w:val="center"/>
        </w:trPr>
        <w:tc>
          <w:tcPr>
            <w:tcW w:w="1419" w:type="dxa"/>
            <w:gridSpan w:val="3"/>
          </w:tcPr>
          <w:p w14:paraId="2FE398F8" w14:textId="77777777" w:rsidR="00A10B25" w:rsidRDefault="00A10B25">
            <w:pPr>
              <w:pStyle w:val="TAL"/>
              <w:rPr>
                <w:lang w:eastAsia="zh-CN"/>
              </w:rPr>
            </w:pPr>
            <w:r>
              <w:rPr>
                <w:lang w:eastAsia="zh-CN"/>
              </w:rPr>
              <w:t>31</w:t>
            </w:r>
          </w:p>
        </w:tc>
        <w:tc>
          <w:tcPr>
            <w:tcW w:w="2897" w:type="dxa"/>
            <w:gridSpan w:val="3"/>
          </w:tcPr>
          <w:p w14:paraId="49703FAE" w14:textId="77777777" w:rsidR="00A10B25" w:rsidRDefault="00A10B25">
            <w:pPr>
              <w:pStyle w:val="TAL"/>
              <w:rPr>
                <w:lang w:eastAsia="zh-CN"/>
              </w:rPr>
            </w:pPr>
            <w:r>
              <w:t>UeMobility</w:t>
            </w:r>
            <w:r>
              <w:rPr>
                <w:lang w:eastAsia="zh-CN"/>
              </w:rPr>
              <w:t>Ext2_eNA</w:t>
            </w:r>
          </w:p>
        </w:tc>
        <w:tc>
          <w:tcPr>
            <w:tcW w:w="5187" w:type="dxa"/>
            <w:gridSpan w:val="3"/>
          </w:tcPr>
          <w:p w14:paraId="7247CB07" w14:textId="77777777" w:rsidR="00A10B25" w:rsidRDefault="00A10B25">
            <w:pPr>
              <w:pStyle w:val="TAL"/>
              <w:rPr>
                <w:lang w:eastAsia="zh-CN"/>
              </w:rPr>
            </w:pPr>
            <w:r>
              <w:t>This feature indicates support for the enhancements of UE mobility, including support of ordering criterion and linear distance threshold.</w:t>
            </w:r>
            <w:r>
              <w:rPr>
                <w:lang w:eastAsia="zh-CN"/>
              </w:rPr>
              <w:t xml:space="preserve"> Supporting this feature also requires the support of UeMobility and UeMobilityExt features.</w:t>
            </w:r>
          </w:p>
        </w:tc>
      </w:tr>
      <w:tr w:rsidR="00A10B25" w14:paraId="2CFFEA83" w14:textId="77777777">
        <w:trPr>
          <w:gridBefore w:val="1"/>
          <w:gridAfter w:val="1"/>
          <w:wBefore w:w="79" w:type="dxa"/>
          <w:wAfter w:w="30" w:type="dxa"/>
          <w:jc w:val="center"/>
        </w:trPr>
        <w:tc>
          <w:tcPr>
            <w:tcW w:w="1419" w:type="dxa"/>
            <w:gridSpan w:val="3"/>
          </w:tcPr>
          <w:p w14:paraId="3315C97C" w14:textId="77777777" w:rsidR="00A10B25" w:rsidRDefault="00A10B25">
            <w:pPr>
              <w:pStyle w:val="TAL"/>
              <w:rPr>
                <w:lang w:eastAsia="zh-CN"/>
              </w:rPr>
            </w:pPr>
            <w:r>
              <w:rPr>
                <w:lang w:eastAsia="zh-CN"/>
              </w:rPr>
              <w:t>32</w:t>
            </w:r>
          </w:p>
        </w:tc>
        <w:tc>
          <w:tcPr>
            <w:tcW w:w="2897" w:type="dxa"/>
            <w:gridSpan w:val="3"/>
          </w:tcPr>
          <w:p w14:paraId="65DF5623" w14:textId="77777777" w:rsidR="00A10B25" w:rsidRDefault="00A10B25">
            <w:pPr>
              <w:pStyle w:val="TAL"/>
            </w:pPr>
            <w:r>
              <w:t>UeCommunication</w:t>
            </w:r>
            <w:r>
              <w:rPr>
                <w:lang w:eastAsia="zh-CN"/>
              </w:rPr>
              <w:t>Ext_eNA</w:t>
            </w:r>
          </w:p>
        </w:tc>
        <w:tc>
          <w:tcPr>
            <w:tcW w:w="5187" w:type="dxa"/>
            <w:gridSpan w:val="3"/>
          </w:tcPr>
          <w:p w14:paraId="43F8707B" w14:textId="77777777" w:rsidR="00A10B25" w:rsidRDefault="00A10B25">
            <w:pPr>
              <w:pStyle w:val="TAL"/>
            </w:pPr>
            <w:r>
              <w:t xml:space="preserve">This feature indicates support for the enhancements of UE Communication, including to indicate the </w:t>
            </w:r>
            <w:r>
              <w:rPr>
                <w:lang w:eastAsia="ko-KR"/>
              </w:rPr>
              <w:t>ordering criterion for the list of analytics</w:t>
            </w:r>
            <w:r>
              <w:t>.</w:t>
            </w:r>
            <w:r>
              <w:rPr>
                <w:lang w:eastAsia="zh-CN"/>
              </w:rPr>
              <w:t xml:space="preserve"> Supporting this feature also requires the support of </w:t>
            </w:r>
            <w:r>
              <w:t xml:space="preserve">UeCommunication </w:t>
            </w:r>
            <w:r>
              <w:rPr>
                <w:lang w:eastAsia="zh-CN"/>
              </w:rPr>
              <w:t>feature</w:t>
            </w:r>
            <w:r>
              <w:t>.</w:t>
            </w:r>
          </w:p>
        </w:tc>
      </w:tr>
      <w:tr w:rsidR="00A10B25" w14:paraId="66948BD5" w14:textId="77777777">
        <w:trPr>
          <w:gridBefore w:val="1"/>
          <w:gridAfter w:val="1"/>
          <w:wBefore w:w="79" w:type="dxa"/>
          <w:wAfter w:w="30" w:type="dxa"/>
          <w:jc w:val="center"/>
        </w:trPr>
        <w:tc>
          <w:tcPr>
            <w:tcW w:w="1419" w:type="dxa"/>
            <w:gridSpan w:val="3"/>
          </w:tcPr>
          <w:p w14:paraId="70D47688" w14:textId="77777777" w:rsidR="00A10B25" w:rsidRDefault="00A10B25">
            <w:pPr>
              <w:pStyle w:val="TAL"/>
              <w:rPr>
                <w:lang w:eastAsia="zh-CN"/>
              </w:rPr>
            </w:pPr>
            <w:r>
              <w:rPr>
                <w:lang w:eastAsia="zh-CN"/>
              </w:rPr>
              <w:t>33</w:t>
            </w:r>
          </w:p>
        </w:tc>
        <w:tc>
          <w:tcPr>
            <w:tcW w:w="2897" w:type="dxa"/>
            <w:gridSpan w:val="3"/>
          </w:tcPr>
          <w:p w14:paraId="21D44288" w14:textId="77777777" w:rsidR="00A10B25" w:rsidRDefault="00A10B25">
            <w:pPr>
              <w:pStyle w:val="TAL"/>
              <w:rPr>
                <w:lang w:eastAsia="zh-CN"/>
              </w:rPr>
            </w:pPr>
            <w:r>
              <w:t>NetworkPerformance</w:t>
            </w:r>
            <w:r>
              <w:rPr>
                <w:lang w:eastAsia="zh-CN"/>
              </w:rPr>
              <w:t>Ext_eNA</w:t>
            </w:r>
          </w:p>
        </w:tc>
        <w:tc>
          <w:tcPr>
            <w:tcW w:w="5187" w:type="dxa"/>
            <w:gridSpan w:val="3"/>
          </w:tcPr>
          <w:p w14:paraId="67093073" w14:textId="77777777" w:rsidR="00A10B25" w:rsidRDefault="00A10B25">
            <w:pPr>
              <w:pStyle w:val="TAL"/>
            </w:pPr>
            <w:r>
              <w:t xml:space="preserve">This feature indicates support for the enhancements of Network Performance, including </w:t>
            </w:r>
            <w:r>
              <w:rPr>
                <w:lang w:eastAsia="zh-CN"/>
              </w:rPr>
              <w:t>support of</w:t>
            </w:r>
            <w:r>
              <w:t xml:space="preserve"> </w:t>
            </w:r>
            <w:r>
              <w:rPr>
                <w:lang w:eastAsia="ko-KR"/>
              </w:rPr>
              <w:t xml:space="preserve">ordering criterion for the list of analytics and </w:t>
            </w:r>
            <w:r>
              <w:rPr>
                <w:lang w:eastAsia="zh-CN"/>
              </w:rPr>
              <w:t>analytics target period subset</w:t>
            </w:r>
            <w:r>
              <w:t>.</w:t>
            </w:r>
            <w:r>
              <w:rPr>
                <w:lang w:eastAsia="zh-CN"/>
              </w:rPr>
              <w:t xml:space="preserve"> Supporting this feature also requires the support of </w:t>
            </w:r>
            <w:r>
              <w:t xml:space="preserve">NetworkPerformance </w:t>
            </w:r>
            <w:r>
              <w:rPr>
                <w:lang w:eastAsia="zh-CN"/>
              </w:rPr>
              <w:t>feature.</w:t>
            </w:r>
          </w:p>
        </w:tc>
      </w:tr>
      <w:tr w:rsidR="00A10B25" w14:paraId="1A3DCA52" w14:textId="77777777">
        <w:trPr>
          <w:gridBefore w:val="1"/>
          <w:gridAfter w:val="1"/>
          <w:wBefore w:w="79" w:type="dxa"/>
          <w:wAfter w:w="30" w:type="dxa"/>
          <w:jc w:val="center"/>
        </w:trPr>
        <w:tc>
          <w:tcPr>
            <w:tcW w:w="1419" w:type="dxa"/>
            <w:gridSpan w:val="3"/>
          </w:tcPr>
          <w:p w14:paraId="6BC56555" w14:textId="77777777" w:rsidR="00A10B25" w:rsidRDefault="00A10B25">
            <w:pPr>
              <w:pStyle w:val="TAL"/>
              <w:rPr>
                <w:lang w:eastAsia="zh-CN"/>
              </w:rPr>
            </w:pPr>
            <w:r>
              <w:rPr>
                <w:lang w:eastAsia="zh-CN"/>
              </w:rPr>
              <w:t>34</w:t>
            </w:r>
          </w:p>
        </w:tc>
        <w:tc>
          <w:tcPr>
            <w:tcW w:w="2897" w:type="dxa"/>
            <w:gridSpan w:val="3"/>
          </w:tcPr>
          <w:p w14:paraId="0ECD70DB" w14:textId="77777777" w:rsidR="00A10B25" w:rsidRDefault="00A10B25">
            <w:pPr>
              <w:pStyle w:val="TAL"/>
              <w:rPr>
                <w:lang w:eastAsia="zh-CN"/>
              </w:rPr>
            </w:pPr>
            <w:r>
              <w:rPr>
                <w:rFonts w:eastAsia="Batang"/>
              </w:rPr>
              <w:t>QoSSustainabilityExt_eNA</w:t>
            </w:r>
          </w:p>
        </w:tc>
        <w:tc>
          <w:tcPr>
            <w:tcW w:w="5187" w:type="dxa"/>
            <w:gridSpan w:val="3"/>
          </w:tcPr>
          <w:p w14:paraId="7A6F4883" w14:textId="77777777" w:rsidR="00A10B25" w:rsidRDefault="00A10B25">
            <w:pPr>
              <w:pStyle w:val="TAL"/>
            </w:pPr>
            <w:r>
              <w:t xml:space="preserve">This feature indicates support for the enhancements of </w:t>
            </w:r>
            <w:r>
              <w:rPr>
                <w:rFonts w:eastAsia="Batang"/>
              </w:rPr>
              <w:t>QoS Sustainability</w:t>
            </w:r>
            <w:r>
              <w:t>, including enhancements of filter information.</w:t>
            </w:r>
            <w:r>
              <w:rPr>
                <w:lang w:eastAsia="zh-CN"/>
              </w:rPr>
              <w:t xml:space="preserve"> Supporting this feature also requires the support of </w:t>
            </w:r>
            <w:r>
              <w:rPr>
                <w:rFonts w:eastAsia="Batang"/>
              </w:rPr>
              <w:t>QoSSustainability</w:t>
            </w:r>
            <w:r>
              <w:rPr>
                <w:lang w:eastAsia="zh-CN"/>
              </w:rPr>
              <w:t xml:space="preserve"> feature.</w:t>
            </w:r>
          </w:p>
        </w:tc>
      </w:tr>
      <w:tr w:rsidR="00A10B25" w14:paraId="44D53E6B" w14:textId="77777777">
        <w:trPr>
          <w:gridBefore w:val="1"/>
          <w:gridAfter w:val="1"/>
          <w:wBefore w:w="79" w:type="dxa"/>
          <w:wAfter w:w="30" w:type="dxa"/>
          <w:jc w:val="center"/>
        </w:trPr>
        <w:tc>
          <w:tcPr>
            <w:tcW w:w="1419" w:type="dxa"/>
            <w:gridSpan w:val="3"/>
          </w:tcPr>
          <w:p w14:paraId="4F8761A9" w14:textId="77777777" w:rsidR="00A10B25" w:rsidRDefault="00A10B25">
            <w:pPr>
              <w:pStyle w:val="TAL"/>
              <w:rPr>
                <w:lang w:eastAsia="zh-CN"/>
              </w:rPr>
            </w:pPr>
            <w:r>
              <w:rPr>
                <w:lang w:eastAsia="zh-CN"/>
              </w:rPr>
              <w:t>35</w:t>
            </w:r>
          </w:p>
        </w:tc>
        <w:tc>
          <w:tcPr>
            <w:tcW w:w="2897" w:type="dxa"/>
            <w:gridSpan w:val="3"/>
          </w:tcPr>
          <w:p w14:paraId="17BA813D" w14:textId="77777777" w:rsidR="00A10B25" w:rsidRDefault="00A10B25">
            <w:pPr>
              <w:pStyle w:val="TAL"/>
              <w:rPr>
                <w:rFonts w:eastAsia="Batang"/>
              </w:rPr>
            </w:pPr>
            <w:r>
              <w:rPr>
                <w:lang w:eastAsia="zh-CN"/>
              </w:rPr>
              <w:t>PartialAnalyticsSubTransfer</w:t>
            </w:r>
          </w:p>
        </w:tc>
        <w:tc>
          <w:tcPr>
            <w:tcW w:w="5187" w:type="dxa"/>
            <w:gridSpan w:val="3"/>
          </w:tcPr>
          <w:p w14:paraId="68FCC9C3" w14:textId="77777777" w:rsidR="00A10B25" w:rsidRDefault="00A10B25">
            <w:pPr>
              <w:pStyle w:val="TAL"/>
            </w:pPr>
            <w:r>
              <w:rPr>
                <w:lang w:eastAsia="zh-CN"/>
              </w:rPr>
              <w:t>This feature indicates support for partial successful analytics subscription transfer.</w:t>
            </w:r>
          </w:p>
        </w:tc>
      </w:tr>
      <w:tr w:rsidR="00A10B25" w14:paraId="0E66979A" w14:textId="77777777">
        <w:trPr>
          <w:gridBefore w:val="1"/>
          <w:gridAfter w:val="1"/>
          <w:wBefore w:w="79" w:type="dxa"/>
          <w:wAfter w:w="30" w:type="dxa"/>
          <w:jc w:val="center"/>
        </w:trPr>
        <w:tc>
          <w:tcPr>
            <w:tcW w:w="1419" w:type="dxa"/>
            <w:gridSpan w:val="3"/>
          </w:tcPr>
          <w:p w14:paraId="43C85D05" w14:textId="77777777" w:rsidR="00A10B25" w:rsidRDefault="00A10B25">
            <w:pPr>
              <w:pStyle w:val="TAL"/>
              <w:rPr>
                <w:lang w:eastAsia="zh-CN"/>
              </w:rPr>
            </w:pPr>
            <w:r>
              <w:rPr>
                <w:lang w:eastAsia="zh-CN"/>
              </w:rPr>
              <w:t>36</w:t>
            </w:r>
          </w:p>
        </w:tc>
        <w:tc>
          <w:tcPr>
            <w:tcW w:w="2897" w:type="dxa"/>
            <w:gridSpan w:val="3"/>
          </w:tcPr>
          <w:p w14:paraId="78A573F6" w14:textId="77777777" w:rsidR="00A10B25" w:rsidRDefault="00A10B25">
            <w:pPr>
              <w:pStyle w:val="TAL"/>
              <w:rPr>
                <w:lang w:eastAsia="zh-CN"/>
              </w:rPr>
            </w:pPr>
            <w:r>
              <w:rPr>
                <w:lang w:eastAsia="zh-CN"/>
              </w:rPr>
              <w:t>Void</w:t>
            </w:r>
          </w:p>
        </w:tc>
        <w:tc>
          <w:tcPr>
            <w:tcW w:w="5187" w:type="dxa"/>
            <w:gridSpan w:val="3"/>
          </w:tcPr>
          <w:p w14:paraId="7E5E9AD3" w14:textId="77777777" w:rsidR="00A10B25" w:rsidRDefault="00A10B25">
            <w:pPr>
              <w:pStyle w:val="TAL"/>
              <w:rPr>
                <w:lang w:eastAsia="zh-CN"/>
              </w:rPr>
            </w:pPr>
            <w:r>
              <w:rPr>
                <w:lang w:eastAsia="zh-CN"/>
              </w:rPr>
              <w:t>Void</w:t>
            </w:r>
          </w:p>
        </w:tc>
      </w:tr>
      <w:tr w:rsidR="00A10B25" w14:paraId="0F10B5FB" w14:textId="77777777">
        <w:trPr>
          <w:gridBefore w:val="1"/>
          <w:gridAfter w:val="1"/>
          <w:wBefore w:w="79" w:type="dxa"/>
          <w:wAfter w:w="30" w:type="dxa"/>
          <w:jc w:val="center"/>
        </w:trPr>
        <w:tc>
          <w:tcPr>
            <w:tcW w:w="1419" w:type="dxa"/>
            <w:gridSpan w:val="3"/>
          </w:tcPr>
          <w:p w14:paraId="10D2A7AB" w14:textId="77777777" w:rsidR="00A10B25" w:rsidRDefault="00A10B25">
            <w:pPr>
              <w:pStyle w:val="TAL"/>
              <w:rPr>
                <w:lang w:eastAsia="zh-CN"/>
              </w:rPr>
            </w:pPr>
            <w:r>
              <w:rPr>
                <w:lang w:eastAsia="zh-CN"/>
              </w:rPr>
              <w:t>37</w:t>
            </w:r>
          </w:p>
        </w:tc>
        <w:tc>
          <w:tcPr>
            <w:tcW w:w="2897" w:type="dxa"/>
            <w:gridSpan w:val="3"/>
          </w:tcPr>
          <w:p w14:paraId="7C7711DA" w14:textId="77777777" w:rsidR="00A10B25" w:rsidRDefault="00A10B25">
            <w:pPr>
              <w:pStyle w:val="TAL"/>
              <w:rPr>
                <w:lang w:eastAsia="zh-CN"/>
              </w:rPr>
            </w:pPr>
            <w:r>
              <w:rPr>
                <w:lang w:eastAsia="zh-CN"/>
              </w:rPr>
              <w:t>PfdDetermination</w:t>
            </w:r>
          </w:p>
        </w:tc>
        <w:tc>
          <w:tcPr>
            <w:tcW w:w="5187" w:type="dxa"/>
            <w:gridSpan w:val="3"/>
          </w:tcPr>
          <w:p w14:paraId="7EF4C403" w14:textId="77777777" w:rsidR="00A10B25" w:rsidRDefault="00A10B25">
            <w:pPr>
              <w:pStyle w:val="TAL"/>
              <w:rPr>
                <w:lang w:eastAsia="zh-CN"/>
              </w:rPr>
            </w:pPr>
            <w:r>
              <w:rPr>
                <w:lang w:eastAsia="zh-CN"/>
              </w:rPr>
              <w:t>This feature indicates support for functionality related to NWDAF assisted PFD Determination information for known application identifier(s).</w:t>
            </w:r>
          </w:p>
        </w:tc>
      </w:tr>
      <w:tr w:rsidR="00A10B25" w14:paraId="4D8D4474" w14:textId="77777777">
        <w:trPr>
          <w:gridBefore w:val="1"/>
          <w:gridAfter w:val="1"/>
          <w:wBefore w:w="79" w:type="dxa"/>
          <w:wAfter w:w="30" w:type="dxa"/>
          <w:jc w:val="center"/>
        </w:trPr>
        <w:tc>
          <w:tcPr>
            <w:tcW w:w="1419" w:type="dxa"/>
            <w:gridSpan w:val="3"/>
          </w:tcPr>
          <w:p w14:paraId="0F2220A6" w14:textId="77777777" w:rsidR="00A10B25" w:rsidRDefault="00A10B25">
            <w:pPr>
              <w:pStyle w:val="TAL"/>
              <w:rPr>
                <w:lang w:eastAsia="zh-CN"/>
              </w:rPr>
            </w:pPr>
            <w:r>
              <w:rPr>
                <w:lang w:eastAsia="zh-CN"/>
              </w:rPr>
              <w:t>38</w:t>
            </w:r>
          </w:p>
        </w:tc>
        <w:tc>
          <w:tcPr>
            <w:tcW w:w="2897" w:type="dxa"/>
            <w:gridSpan w:val="3"/>
          </w:tcPr>
          <w:p w14:paraId="2B4B3834" w14:textId="77777777" w:rsidR="00A10B25" w:rsidRDefault="00A10B25">
            <w:pPr>
              <w:pStyle w:val="TAL"/>
              <w:rPr>
                <w:lang w:eastAsia="zh-CN"/>
              </w:rPr>
            </w:pPr>
            <w:r>
              <w:rPr>
                <w:lang w:eastAsia="zh-CN"/>
              </w:rPr>
              <w:t>ServiceExperienceExt2_eNA</w:t>
            </w:r>
          </w:p>
        </w:tc>
        <w:tc>
          <w:tcPr>
            <w:tcW w:w="5187" w:type="dxa"/>
            <w:gridSpan w:val="3"/>
          </w:tcPr>
          <w:p w14:paraId="7FB7E9B2" w14:textId="77777777" w:rsidR="00A10B25" w:rsidRDefault="00A10B25">
            <w:pPr>
              <w:pStyle w:val="TAL"/>
              <w:rPr>
                <w:lang w:eastAsia="zh-CN"/>
              </w:rPr>
            </w:pPr>
            <w:r>
              <w:rPr>
                <w:lang w:eastAsia="zh-CN"/>
              </w:rPr>
              <w:t>This feature indicates support for the extensions to the event related to service experience supporting eNA, including support for PDU Session parameters information for service experience analytics. Supporting this feature also requires the support of feature ServiceExperience.</w:t>
            </w:r>
          </w:p>
        </w:tc>
      </w:tr>
      <w:tr w:rsidR="00A10B25" w14:paraId="24EDDFE4" w14:textId="77777777">
        <w:trPr>
          <w:gridBefore w:val="1"/>
          <w:gridAfter w:val="1"/>
          <w:wBefore w:w="79" w:type="dxa"/>
          <w:wAfter w:w="30" w:type="dxa"/>
          <w:jc w:val="center"/>
        </w:trPr>
        <w:tc>
          <w:tcPr>
            <w:tcW w:w="1419" w:type="dxa"/>
            <w:gridSpan w:val="3"/>
            <w:tcBorders>
              <w:top w:val="single" w:sz="6" w:space="0" w:color="auto"/>
              <w:left w:val="single" w:sz="6" w:space="0" w:color="auto"/>
              <w:bottom w:val="single" w:sz="6" w:space="0" w:color="auto"/>
              <w:right w:val="single" w:sz="6" w:space="0" w:color="auto"/>
            </w:tcBorders>
          </w:tcPr>
          <w:p w14:paraId="3F87FA78" w14:textId="77777777" w:rsidR="00A10B25" w:rsidRDefault="00A10B25">
            <w:pPr>
              <w:pStyle w:val="TAL"/>
              <w:rPr>
                <w:lang w:eastAsia="zh-CN"/>
              </w:rPr>
            </w:pPr>
            <w:r>
              <w:rPr>
                <w:lang w:eastAsia="zh-CN"/>
              </w:rPr>
              <w:t>39</w:t>
            </w:r>
          </w:p>
        </w:tc>
        <w:tc>
          <w:tcPr>
            <w:tcW w:w="2897" w:type="dxa"/>
            <w:gridSpan w:val="3"/>
            <w:tcBorders>
              <w:top w:val="single" w:sz="6" w:space="0" w:color="auto"/>
              <w:left w:val="single" w:sz="6" w:space="0" w:color="auto"/>
              <w:bottom w:val="single" w:sz="6" w:space="0" w:color="auto"/>
              <w:right w:val="single" w:sz="6" w:space="0" w:color="auto"/>
            </w:tcBorders>
          </w:tcPr>
          <w:p w14:paraId="5EA0AFC0" w14:textId="77777777" w:rsidR="00A10B25" w:rsidRDefault="00A10B25">
            <w:pPr>
              <w:pStyle w:val="TAL"/>
              <w:rPr>
                <w:lang w:eastAsia="zh-CN"/>
              </w:rPr>
            </w:pPr>
            <w:r>
              <w:rPr>
                <w:lang w:eastAsia="zh-CN"/>
              </w:rPr>
              <w:t>DnPerformanceExt_</w:t>
            </w:r>
            <w:r>
              <w:rPr>
                <w:rFonts w:hint="eastAsia"/>
                <w:lang w:eastAsia="zh-CN"/>
              </w:rPr>
              <w:t>AIML</w:t>
            </w:r>
          </w:p>
        </w:tc>
        <w:tc>
          <w:tcPr>
            <w:tcW w:w="5187" w:type="dxa"/>
            <w:gridSpan w:val="3"/>
            <w:tcBorders>
              <w:top w:val="single" w:sz="6" w:space="0" w:color="auto"/>
              <w:left w:val="single" w:sz="6" w:space="0" w:color="auto"/>
              <w:bottom w:val="single" w:sz="6" w:space="0" w:color="auto"/>
              <w:right w:val="single" w:sz="6" w:space="0" w:color="auto"/>
            </w:tcBorders>
          </w:tcPr>
          <w:p w14:paraId="558330A4" w14:textId="77777777" w:rsidR="00A10B25" w:rsidRDefault="00A10B25">
            <w:pPr>
              <w:pStyle w:val="TAL"/>
              <w:rPr>
                <w:lang w:eastAsia="zh-CN"/>
              </w:rPr>
            </w:pPr>
            <w:r>
              <w:rPr>
                <w:lang w:eastAsia="zh-CN"/>
              </w:rPr>
              <w:t>This feature indicates support for extensions to the event related to DN Performance supporting AIML, including support of extended DN Performance Analytics for group of UEs. Supporting this feature also requires the support of feature DnPerformance.</w:t>
            </w:r>
          </w:p>
        </w:tc>
      </w:tr>
      <w:tr w:rsidR="00A10B25" w14:paraId="4037E34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4B2FF46" w14:textId="77777777" w:rsidR="00A10B25" w:rsidRDefault="00A10B25">
            <w:pPr>
              <w:pStyle w:val="TAL"/>
              <w:rPr>
                <w:lang w:eastAsia="zh-CN"/>
              </w:rPr>
            </w:pPr>
            <w:r>
              <w:rPr>
                <w:lang w:eastAsia="zh-CN"/>
              </w:rPr>
              <w:t>40</w:t>
            </w:r>
          </w:p>
        </w:tc>
        <w:tc>
          <w:tcPr>
            <w:tcW w:w="2885" w:type="dxa"/>
            <w:gridSpan w:val="3"/>
            <w:tcBorders>
              <w:top w:val="single" w:sz="6" w:space="0" w:color="auto"/>
              <w:left w:val="single" w:sz="6" w:space="0" w:color="auto"/>
              <w:bottom w:val="single" w:sz="6" w:space="0" w:color="auto"/>
              <w:right w:val="single" w:sz="6" w:space="0" w:color="auto"/>
            </w:tcBorders>
          </w:tcPr>
          <w:p w14:paraId="71F80B46" w14:textId="77777777" w:rsidR="00A10B25" w:rsidRDefault="00A10B25">
            <w:pPr>
              <w:pStyle w:val="TAL"/>
              <w:rPr>
                <w:lang w:eastAsia="zh-CN"/>
              </w:rPr>
            </w:pPr>
            <w:r>
              <w:rPr>
                <w:lang w:eastAsia="zh-CN"/>
              </w:rPr>
              <w:t>UeMobilityExt_AIML</w:t>
            </w:r>
          </w:p>
        </w:tc>
        <w:tc>
          <w:tcPr>
            <w:tcW w:w="5201" w:type="dxa"/>
            <w:gridSpan w:val="3"/>
            <w:tcBorders>
              <w:top w:val="single" w:sz="6" w:space="0" w:color="auto"/>
              <w:left w:val="single" w:sz="6" w:space="0" w:color="auto"/>
              <w:bottom w:val="single" w:sz="6" w:space="0" w:color="auto"/>
              <w:right w:val="single" w:sz="6" w:space="0" w:color="auto"/>
            </w:tcBorders>
          </w:tcPr>
          <w:p w14:paraId="53D57D61" w14:textId="77777777" w:rsidR="00A10B25" w:rsidRDefault="00A10B25">
            <w:pPr>
              <w:pStyle w:val="TAL"/>
              <w:rPr>
                <w:lang w:eastAsia="zh-CN"/>
              </w:rPr>
            </w:pPr>
            <w:r>
              <w:rPr>
                <w:rFonts w:hint="eastAsia"/>
                <w:lang w:eastAsia="zh-CN"/>
              </w:rPr>
              <w:t>T</w:t>
            </w:r>
            <w:r>
              <w:rPr>
                <w:lang w:eastAsia="zh-CN"/>
              </w:rPr>
              <w:t>his feature indicates support for further extensions to the event related to UE mobility supporting AIML, including UE’s geographical distribution and direction analytics. Supporting this feature also requires the support of feature UeMobility.</w:t>
            </w:r>
          </w:p>
        </w:tc>
      </w:tr>
      <w:tr w:rsidR="00216973" w14:paraId="7442C36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B1804D9" w14:textId="77777777" w:rsidR="00216973" w:rsidRDefault="00216973" w:rsidP="00216973">
            <w:pPr>
              <w:pStyle w:val="TAL"/>
              <w:rPr>
                <w:lang w:eastAsia="zh-CN"/>
              </w:rPr>
            </w:pPr>
            <w:r>
              <w:rPr>
                <w:lang w:eastAsia="zh-CN"/>
              </w:rPr>
              <w:t>41</w:t>
            </w:r>
          </w:p>
        </w:tc>
        <w:tc>
          <w:tcPr>
            <w:tcW w:w="2885" w:type="dxa"/>
            <w:gridSpan w:val="3"/>
            <w:tcBorders>
              <w:top w:val="single" w:sz="6" w:space="0" w:color="auto"/>
              <w:left w:val="single" w:sz="6" w:space="0" w:color="auto"/>
              <w:bottom w:val="single" w:sz="6" w:space="0" w:color="auto"/>
              <w:right w:val="single" w:sz="6" w:space="0" w:color="auto"/>
            </w:tcBorders>
          </w:tcPr>
          <w:p w14:paraId="237EC6AF" w14:textId="77777777" w:rsidR="00216973" w:rsidRDefault="00216973" w:rsidP="00216973">
            <w:pPr>
              <w:pStyle w:val="TAL"/>
            </w:pPr>
            <w:r>
              <w:rPr>
                <w:lang w:eastAsia="zh-CN"/>
              </w:rPr>
              <w:t>PduSesTraffic</w:t>
            </w:r>
          </w:p>
        </w:tc>
        <w:tc>
          <w:tcPr>
            <w:tcW w:w="5201" w:type="dxa"/>
            <w:gridSpan w:val="3"/>
            <w:tcBorders>
              <w:top w:val="single" w:sz="6" w:space="0" w:color="auto"/>
              <w:left w:val="single" w:sz="6" w:space="0" w:color="auto"/>
              <w:bottom w:val="single" w:sz="6" w:space="0" w:color="auto"/>
              <w:right w:val="single" w:sz="6" w:space="0" w:color="auto"/>
            </w:tcBorders>
          </w:tcPr>
          <w:p w14:paraId="5198F6D9" w14:textId="77777777" w:rsidR="00216973" w:rsidRDefault="00216973" w:rsidP="00216973">
            <w:pPr>
              <w:pStyle w:val="TAL"/>
            </w:pPr>
            <w:r>
              <w:rPr>
                <w:lang w:eastAsia="zh-CN"/>
              </w:rPr>
              <w:t xml:space="preserve">This feature indicates support </w:t>
            </w:r>
            <w:r>
              <w:t>of the analytics related to</w:t>
            </w:r>
            <w:r>
              <w:rPr>
                <w:lang w:eastAsia="zh-CN"/>
              </w:rPr>
              <w:t xml:space="preserve"> PDU Session traffic information.</w:t>
            </w:r>
          </w:p>
        </w:tc>
      </w:tr>
      <w:tr w:rsidR="00E06B31" w14:paraId="44C54254"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404F9884" w14:textId="77777777" w:rsidR="00E06B31" w:rsidRDefault="00E06B31" w:rsidP="00E06B31">
            <w:pPr>
              <w:pStyle w:val="TAL"/>
              <w:rPr>
                <w:lang w:eastAsia="zh-CN"/>
              </w:rPr>
            </w:pPr>
            <w:r>
              <w:rPr>
                <w:lang w:eastAsia="zh-CN"/>
              </w:rPr>
              <w:t>42</w:t>
            </w:r>
          </w:p>
        </w:tc>
        <w:tc>
          <w:tcPr>
            <w:tcW w:w="2885" w:type="dxa"/>
            <w:gridSpan w:val="3"/>
            <w:tcBorders>
              <w:top w:val="single" w:sz="6" w:space="0" w:color="auto"/>
              <w:left w:val="single" w:sz="6" w:space="0" w:color="auto"/>
              <w:bottom w:val="single" w:sz="6" w:space="0" w:color="auto"/>
              <w:right w:val="single" w:sz="6" w:space="0" w:color="auto"/>
            </w:tcBorders>
          </w:tcPr>
          <w:p w14:paraId="489AE615" w14:textId="77777777" w:rsidR="00E06B31" w:rsidRDefault="00E06B31" w:rsidP="00E06B31">
            <w:pPr>
              <w:pStyle w:val="TAL"/>
              <w:rPr>
                <w:lang w:eastAsia="zh-CN"/>
              </w:rPr>
            </w:pPr>
            <w:r>
              <w:rPr>
                <w:lang w:eastAsia="zh-CN"/>
              </w:rPr>
              <w:t>E2eDataVolTransTime</w:t>
            </w:r>
          </w:p>
        </w:tc>
        <w:tc>
          <w:tcPr>
            <w:tcW w:w="5201" w:type="dxa"/>
            <w:gridSpan w:val="3"/>
            <w:tcBorders>
              <w:top w:val="single" w:sz="6" w:space="0" w:color="auto"/>
              <w:left w:val="single" w:sz="6" w:space="0" w:color="auto"/>
              <w:bottom w:val="single" w:sz="6" w:space="0" w:color="auto"/>
              <w:right w:val="single" w:sz="6" w:space="0" w:color="auto"/>
            </w:tcBorders>
          </w:tcPr>
          <w:p w14:paraId="79797D35" w14:textId="77777777" w:rsidR="00E06B31" w:rsidRDefault="00E06B31" w:rsidP="00E06B31">
            <w:pPr>
              <w:pStyle w:val="TAL"/>
              <w:rPr>
                <w:lang w:eastAsia="zh-CN"/>
              </w:rPr>
            </w:pPr>
            <w:r>
              <w:t xml:space="preserve">This feature indicates support for </w:t>
            </w:r>
            <w:r>
              <w:rPr>
                <w:lang w:eastAsia="ko-KR"/>
              </w:rPr>
              <w:t>E2E data volume transfer time analytics</w:t>
            </w:r>
          </w:p>
        </w:tc>
      </w:tr>
      <w:tr w:rsidR="00216973" w14:paraId="5AF5A69A"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E8E75E4" w14:textId="77777777" w:rsidR="00216973" w:rsidRDefault="00216973" w:rsidP="00216973">
            <w:pPr>
              <w:pStyle w:val="TAL"/>
              <w:rPr>
                <w:lang w:eastAsia="zh-CN"/>
              </w:rPr>
            </w:pPr>
            <w:r>
              <w:rPr>
                <w:lang w:eastAsia="zh-CN"/>
              </w:rPr>
              <w:lastRenderedPageBreak/>
              <w:t>43</w:t>
            </w:r>
          </w:p>
        </w:tc>
        <w:tc>
          <w:tcPr>
            <w:tcW w:w="2885" w:type="dxa"/>
            <w:gridSpan w:val="3"/>
            <w:tcBorders>
              <w:top w:val="single" w:sz="6" w:space="0" w:color="auto"/>
              <w:left w:val="single" w:sz="6" w:space="0" w:color="auto"/>
              <w:bottom w:val="single" w:sz="6" w:space="0" w:color="auto"/>
              <w:right w:val="single" w:sz="6" w:space="0" w:color="auto"/>
            </w:tcBorders>
          </w:tcPr>
          <w:p w14:paraId="1A4DA2D1" w14:textId="77777777" w:rsidR="00216973" w:rsidRDefault="00216973" w:rsidP="00216973">
            <w:pPr>
              <w:pStyle w:val="TAL"/>
              <w:rPr>
                <w:lang w:eastAsia="zh-CN"/>
              </w:rPr>
            </w:pPr>
            <w:r>
              <w:t>DispersionExt</w:t>
            </w:r>
            <w:r>
              <w:rPr>
                <w:lang w:eastAsia="zh-CN"/>
              </w:rPr>
              <w:t>_eNA</w:t>
            </w:r>
          </w:p>
        </w:tc>
        <w:tc>
          <w:tcPr>
            <w:tcW w:w="5201" w:type="dxa"/>
            <w:gridSpan w:val="3"/>
            <w:tcBorders>
              <w:top w:val="single" w:sz="6" w:space="0" w:color="auto"/>
              <w:left w:val="single" w:sz="6" w:space="0" w:color="auto"/>
              <w:bottom w:val="single" w:sz="6" w:space="0" w:color="auto"/>
              <w:right w:val="single" w:sz="6" w:space="0" w:color="auto"/>
            </w:tcBorders>
          </w:tcPr>
          <w:p w14:paraId="2F6BF07D" w14:textId="77777777" w:rsidR="00216973" w:rsidRDefault="00216973" w:rsidP="00216973">
            <w:pPr>
              <w:pStyle w:val="TAL"/>
            </w:pPr>
            <w:r>
              <w:t>This feature indicates support for the enhancements of Dispersion, including the support of preferred granularity of UE location.</w:t>
            </w:r>
            <w:r>
              <w:rPr>
                <w:lang w:eastAsia="zh-CN"/>
              </w:rPr>
              <w:t xml:space="preserve"> Supporting this feature also requires the support of </w:t>
            </w:r>
            <w:r>
              <w:t>Dispersion</w:t>
            </w:r>
            <w:r>
              <w:rPr>
                <w:lang w:eastAsia="zh-CN"/>
              </w:rPr>
              <w:t xml:space="preserve"> feature.</w:t>
            </w:r>
          </w:p>
        </w:tc>
      </w:tr>
      <w:tr w:rsidR="00216973" w14:paraId="765F021A"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1D054ED2" w14:textId="77777777" w:rsidR="00216973" w:rsidRDefault="00216973" w:rsidP="00216973">
            <w:pPr>
              <w:pStyle w:val="TAL"/>
              <w:rPr>
                <w:lang w:eastAsia="zh-CN"/>
              </w:rPr>
            </w:pPr>
            <w:r>
              <w:rPr>
                <w:lang w:eastAsia="zh-CN"/>
              </w:rPr>
              <w:t>44</w:t>
            </w:r>
          </w:p>
        </w:tc>
        <w:tc>
          <w:tcPr>
            <w:tcW w:w="2885" w:type="dxa"/>
            <w:gridSpan w:val="3"/>
            <w:tcBorders>
              <w:top w:val="single" w:sz="6" w:space="0" w:color="auto"/>
              <w:left w:val="single" w:sz="6" w:space="0" w:color="auto"/>
              <w:bottom w:val="single" w:sz="6" w:space="0" w:color="auto"/>
              <w:right w:val="single" w:sz="6" w:space="0" w:color="auto"/>
            </w:tcBorders>
          </w:tcPr>
          <w:p w14:paraId="6FAD7ED7" w14:textId="77777777" w:rsidR="00216973" w:rsidRDefault="00216973" w:rsidP="00216973">
            <w:pPr>
              <w:pStyle w:val="TAL"/>
            </w:pPr>
            <w:r>
              <w:t>WlanPerformanceExt_AIML</w:t>
            </w:r>
          </w:p>
        </w:tc>
        <w:tc>
          <w:tcPr>
            <w:tcW w:w="5201" w:type="dxa"/>
            <w:gridSpan w:val="3"/>
            <w:tcBorders>
              <w:top w:val="single" w:sz="6" w:space="0" w:color="auto"/>
              <w:left w:val="single" w:sz="6" w:space="0" w:color="auto"/>
              <w:bottom w:val="single" w:sz="6" w:space="0" w:color="auto"/>
              <w:right w:val="single" w:sz="6" w:space="0" w:color="auto"/>
            </w:tcBorders>
          </w:tcPr>
          <w:p w14:paraId="6DE7F2EB" w14:textId="77777777" w:rsidR="00216973" w:rsidRDefault="00216973" w:rsidP="00216973">
            <w:pPr>
              <w:pStyle w:val="TAL"/>
            </w:pPr>
            <w:r>
              <w:t>This feature indicates support for the enhancements of WLAN performance supporting AIML, including support of analytics per UE granularity. Supporting this feature also requires the support of feature WlanPerformance.</w:t>
            </w:r>
          </w:p>
        </w:tc>
      </w:tr>
      <w:tr w:rsidR="00216973" w14:paraId="1BCE9742"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5E08C78" w14:textId="77777777" w:rsidR="00216973" w:rsidRDefault="00216973" w:rsidP="00216973">
            <w:pPr>
              <w:pStyle w:val="TAL"/>
              <w:rPr>
                <w:lang w:eastAsia="zh-CN"/>
              </w:rPr>
            </w:pPr>
            <w:r>
              <w:rPr>
                <w:lang w:eastAsia="zh-CN"/>
              </w:rPr>
              <w:t>45</w:t>
            </w:r>
          </w:p>
        </w:tc>
        <w:tc>
          <w:tcPr>
            <w:tcW w:w="2885" w:type="dxa"/>
            <w:gridSpan w:val="3"/>
            <w:tcBorders>
              <w:top w:val="single" w:sz="6" w:space="0" w:color="auto"/>
              <w:left w:val="single" w:sz="6" w:space="0" w:color="auto"/>
              <w:bottom w:val="single" w:sz="6" w:space="0" w:color="auto"/>
              <w:right w:val="single" w:sz="6" w:space="0" w:color="auto"/>
            </w:tcBorders>
          </w:tcPr>
          <w:p w14:paraId="0279962A" w14:textId="77777777" w:rsidR="00216973" w:rsidRDefault="00216973" w:rsidP="00216973">
            <w:pPr>
              <w:pStyle w:val="TAL"/>
            </w:pPr>
            <w:r>
              <w:t>NetworkPerformance</w:t>
            </w:r>
            <w:r>
              <w:rPr>
                <w:lang w:eastAsia="zh-CN"/>
              </w:rPr>
              <w:t>Ext_AIML</w:t>
            </w:r>
          </w:p>
        </w:tc>
        <w:tc>
          <w:tcPr>
            <w:tcW w:w="5201" w:type="dxa"/>
            <w:gridSpan w:val="3"/>
            <w:tcBorders>
              <w:top w:val="single" w:sz="6" w:space="0" w:color="auto"/>
              <w:left w:val="single" w:sz="6" w:space="0" w:color="auto"/>
              <w:bottom w:val="single" w:sz="6" w:space="0" w:color="auto"/>
              <w:right w:val="single" w:sz="6" w:space="0" w:color="auto"/>
            </w:tcBorders>
          </w:tcPr>
          <w:p w14:paraId="0D827013" w14:textId="77777777" w:rsidR="00216973" w:rsidRDefault="00216973" w:rsidP="00216973">
            <w:pPr>
              <w:pStyle w:val="TAL"/>
            </w:pPr>
            <w:r>
              <w:t xml:space="preserve">This feature indicates support of the network performance enhancements </w:t>
            </w:r>
            <w:r>
              <w:rPr>
                <w:lang w:eastAsia="zh-CN"/>
              </w:rPr>
              <w:t>for AI/ML-based Services</w:t>
            </w:r>
            <w:r>
              <w:t>. Within this feature the following enhacements are covered:</w:t>
            </w:r>
          </w:p>
          <w:p w14:paraId="60123FD3" w14:textId="77777777" w:rsidR="00216973" w:rsidRDefault="00216973" w:rsidP="00216973">
            <w:pPr>
              <w:pStyle w:val="TAL"/>
            </w:pPr>
            <w:r>
              <w:t>-</w:t>
            </w:r>
            <w:r>
              <w:tab/>
              <w:t>support of providing gNB resource usage for GBR traffic and Delay-critical GBR traffic.</w:t>
            </w:r>
          </w:p>
          <w:p w14:paraId="372777F7" w14:textId="77777777" w:rsidR="00216973" w:rsidRDefault="00216973" w:rsidP="00216973">
            <w:pPr>
              <w:pStyle w:val="TAL"/>
            </w:pPr>
          </w:p>
          <w:p w14:paraId="0032114E" w14:textId="77777777" w:rsidR="00216973" w:rsidRDefault="00216973" w:rsidP="00216973">
            <w:pPr>
              <w:pStyle w:val="TAL"/>
            </w:pPr>
            <w:r>
              <w:rPr>
                <w:lang w:eastAsia="zh-CN"/>
              </w:rPr>
              <w:t xml:space="preserve">Supporting this feature also requires the support of </w:t>
            </w:r>
            <w:r>
              <w:t>NetworkPerformance</w:t>
            </w:r>
            <w:r>
              <w:rPr>
                <w:lang w:eastAsia="zh-CN"/>
              </w:rPr>
              <w:t xml:space="preserve"> feature.</w:t>
            </w:r>
          </w:p>
        </w:tc>
      </w:tr>
      <w:tr w:rsidR="00216973" w14:paraId="6113FD40"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F8D821D" w14:textId="77777777" w:rsidR="00216973" w:rsidRDefault="00216973" w:rsidP="00216973">
            <w:pPr>
              <w:pStyle w:val="TAL"/>
              <w:rPr>
                <w:lang w:eastAsia="zh-CN"/>
              </w:rPr>
            </w:pPr>
            <w:r>
              <w:rPr>
                <w:rFonts w:hint="eastAsia"/>
                <w:lang w:eastAsia="zh-CN"/>
              </w:rPr>
              <w:t>4</w:t>
            </w:r>
            <w:r>
              <w:rPr>
                <w:lang w:eastAsia="zh-CN"/>
              </w:rPr>
              <w:t>6</w:t>
            </w:r>
          </w:p>
        </w:tc>
        <w:tc>
          <w:tcPr>
            <w:tcW w:w="2885" w:type="dxa"/>
            <w:gridSpan w:val="3"/>
            <w:tcBorders>
              <w:top w:val="single" w:sz="6" w:space="0" w:color="auto"/>
              <w:left w:val="single" w:sz="6" w:space="0" w:color="auto"/>
              <w:bottom w:val="single" w:sz="6" w:space="0" w:color="auto"/>
              <w:right w:val="single" w:sz="6" w:space="0" w:color="auto"/>
            </w:tcBorders>
          </w:tcPr>
          <w:p w14:paraId="52C5712B" w14:textId="77777777" w:rsidR="00216973" w:rsidRDefault="00216973" w:rsidP="00216973">
            <w:pPr>
              <w:pStyle w:val="TAL"/>
            </w:pPr>
            <w:r>
              <w:rPr>
                <w:lang w:eastAsia="zh-CN"/>
              </w:rPr>
              <w:t>DnPerformanceExt_eNA</w:t>
            </w:r>
          </w:p>
        </w:tc>
        <w:tc>
          <w:tcPr>
            <w:tcW w:w="5201" w:type="dxa"/>
            <w:gridSpan w:val="3"/>
            <w:tcBorders>
              <w:top w:val="single" w:sz="6" w:space="0" w:color="auto"/>
              <w:left w:val="single" w:sz="6" w:space="0" w:color="auto"/>
              <w:bottom w:val="single" w:sz="6" w:space="0" w:color="auto"/>
              <w:right w:val="single" w:sz="6" w:space="0" w:color="auto"/>
            </w:tcBorders>
          </w:tcPr>
          <w:p w14:paraId="7B936844" w14:textId="77777777" w:rsidR="00216973" w:rsidRDefault="00216973" w:rsidP="00216973">
            <w:pPr>
              <w:pStyle w:val="TAL"/>
            </w:pPr>
            <w:r>
              <w:rPr>
                <w:lang w:eastAsia="zh-CN"/>
              </w:rPr>
              <w:t>This feature indicates support for extensions to the event related to DN Performance, including support of number of UEs. Supporting this feature also requires the support of feature DnPerformance.</w:t>
            </w:r>
          </w:p>
        </w:tc>
      </w:tr>
      <w:tr w:rsidR="00216973" w14:paraId="3F84F7B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6E76687" w14:textId="77777777" w:rsidR="00216973" w:rsidRDefault="00216973" w:rsidP="00216973">
            <w:pPr>
              <w:pStyle w:val="TAL"/>
              <w:rPr>
                <w:rFonts w:hint="eastAsia"/>
                <w:lang w:eastAsia="zh-CN"/>
              </w:rPr>
            </w:pPr>
            <w:r>
              <w:rPr>
                <w:rFonts w:hint="eastAsia"/>
                <w:lang w:eastAsia="zh-CN"/>
              </w:rPr>
              <w:t>4</w:t>
            </w:r>
            <w:r>
              <w:rPr>
                <w:lang w:eastAsia="zh-CN"/>
              </w:rPr>
              <w:t>7</w:t>
            </w:r>
          </w:p>
        </w:tc>
        <w:tc>
          <w:tcPr>
            <w:tcW w:w="2885" w:type="dxa"/>
            <w:gridSpan w:val="3"/>
            <w:tcBorders>
              <w:top w:val="single" w:sz="6" w:space="0" w:color="auto"/>
              <w:left w:val="single" w:sz="6" w:space="0" w:color="auto"/>
              <w:bottom w:val="single" w:sz="6" w:space="0" w:color="auto"/>
              <w:right w:val="single" w:sz="6" w:space="0" w:color="auto"/>
            </w:tcBorders>
          </w:tcPr>
          <w:p w14:paraId="06552090" w14:textId="77777777" w:rsidR="00216973" w:rsidRDefault="00216973" w:rsidP="00216973">
            <w:pPr>
              <w:pStyle w:val="TAL"/>
              <w:rPr>
                <w:lang w:eastAsia="zh-CN"/>
              </w:rPr>
            </w:pPr>
            <w:r>
              <w:rPr>
                <w:lang w:eastAsia="zh-CN"/>
              </w:rPr>
              <w:t>Analytics</w:t>
            </w:r>
            <w:r>
              <w:rPr>
                <w:rFonts w:hint="eastAsia"/>
                <w:lang w:eastAsia="zh-CN"/>
              </w:rPr>
              <w:t>A</w:t>
            </w:r>
            <w:r>
              <w:rPr>
                <w:lang w:eastAsia="zh-CN"/>
              </w:rPr>
              <w:t>ccuracy</w:t>
            </w:r>
          </w:p>
        </w:tc>
        <w:tc>
          <w:tcPr>
            <w:tcW w:w="5201" w:type="dxa"/>
            <w:gridSpan w:val="3"/>
            <w:tcBorders>
              <w:top w:val="single" w:sz="6" w:space="0" w:color="auto"/>
              <w:left w:val="single" w:sz="6" w:space="0" w:color="auto"/>
              <w:bottom w:val="single" w:sz="6" w:space="0" w:color="auto"/>
              <w:right w:val="single" w:sz="6" w:space="0" w:color="auto"/>
            </w:tcBorders>
          </w:tcPr>
          <w:p w14:paraId="0ACEEDC9" w14:textId="77777777" w:rsidR="00216973" w:rsidRDefault="00216973" w:rsidP="00216973">
            <w:pPr>
              <w:pStyle w:val="TAL"/>
              <w:rPr>
                <w:lang w:eastAsia="zh-CN"/>
              </w:rPr>
            </w:pPr>
            <w:r>
              <w:t>This feature indicates support for the Analytics Accuracy information.</w:t>
            </w:r>
          </w:p>
        </w:tc>
      </w:tr>
      <w:tr w:rsidR="00216973" w14:paraId="4AA35857"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B1FC3BA" w14:textId="77777777" w:rsidR="00216973" w:rsidRDefault="00216973" w:rsidP="00216973">
            <w:pPr>
              <w:pStyle w:val="TAL"/>
              <w:rPr>
                <w:lang w:eastAsia="zh-CN"/>
              </w:rPr>
            </w:pPr>
            <w:r>
              <w:rPr>
                <w:lang w:eastAsia="zh-CN"/>
              </w:rPr>
              <w:t>48</w:t>
            </w:r>
          </w:p>
        </w:tc>
        <w:tc>
          <w:tcPr>
            <w:tcW w:w="2885" w:type="dxa"/>
            <w:gridSpan w:val="3"/>
            <w:tcBorders>
              <w:top w:val="single" w:sz="6" w:space="0" w:color="auto"/>
              <w:left w:val="single" w:sz="6" w:space="0" w:color="auto"/>
              <w:bottom w:val="single" w:sz="6" w:space="0" w:color="auto"/>
              <w:right w:val="single" w:sz="6" w:space="0" w:color="auto"/>
            </w:tcBorders>
          </w:tcPr>
          <w:p w14:paraId="3CA4A2C4" w14:textId="77777777" w:rsidR="00216973" w:rsidRDefault="00216973" w:rsidP="00216973">
            <w:pPr>
              <w:pStyle w:val="TAL"/>
              <w:rPr>
                <w:lang w:eastAsia="zh-CN"/>
              </w:rPr>
            </w:pPr>
            <w:r>
              <w:rPr>
                <w:lang w:eastAsia="zh-CN"/>
              </w:rPr>
              <w:t>RedundantTransExpExt_eNA</w:t>
            </w:r>
          </w:p>
        </w:tc>
        <w:tc>
          <w:tcPr>
            <w:tcW w:w="5201" w:type="dxa"/>
            <w:gridSpan w:val="3"/>
            <w:tcBorders>
              <w:top w:val="single" w:sz="6" w:space="0" w:color="auto"/>
              <w:left w:val="single" w:sz="6" w:space="0" w:color="auto"/>
              <w:bottom w:val="single" w:sz="6" w:space="0" w:color="auto"/>
              <w:right w:val="single" w:sz="6" w:space="0" w:color="auto"/>
            </w:tcBorders>
          </w:tcPr>
          <w:p w14:paraId="13051E22" w14:textId="77777777" w:rsidR="00216973" w:rsidRDefault="00216973" w:rsidP="00216973">
            <w:pPr>
              <w:pStyle w:val="TAL"/>
            </w:pPr>
            <w:r>
              <w:t>This feature indicates support extensions to the event related to redundant transmission experience analytics information including:</w:t>
            </w:r>
          </w:p>
          <w:p w14:paraId="4661CB87" w14:textId="77777777" w:rsidR="00216973" w:rsidRDefault="00216973" w:rsidP="0076721C">
            <w:pPr>
              <w:pStyle w:val="TAL"/>
            </w:pPr>
            <w:r>
              <w:t>-</w:t>
            </w:r>
            <w:r>
              <w:tab/>
              <w:t>support of providing the E2E UL/DL packet loss rate (average, variance), E2E UL/DL packet delay (average, variance) in the analytics.</w:t>
            </w:r>
          </w:p>
          <w:p w14:paraId="30C9D754" w14:textId="77777777" w:rsidR="00216973" w:rsidRDefault="00216973" w:rsidP="0076721C">
            <w:pPr>
              <w:pStyle w:val="TAL"/>
            </w:pPr>
            <w:r>
              <w:t>-</w:t>
            </w:r>
            <w:r>
              <w:tab/>
              <w:t>support of spatial and temporal granularity size.</w:t>
            </w:r>
          </w:p>
          <w:p w14:paraId="4A5690D3" w14:textId="77777777" w:rsidR="00216973" w:rsidRDefault="00216973" w:rsidP="00216973">
            <w:pPr>
              <w:pStyle w:val="TAL"/>
            </w:pPr>
          </w:p>
          <w:p w14:paraId="75FECA49" w14:textId="77777777" w:rsidR="00216973" w:rsidRDefault="00216973" w:rsidP="00216973">
            <w:pPr>
              <w:pStyle w:val="TAL"/>
            </w:pPr>
            <w:r>
              <w:t>Supporting this feature also requires the support of feature RedundantTransmissionExp.</w:t>
            </w:r>
          </w:p>
        </w:tc>
      </w:tr>
      <w:tr w:rsidR="00216973" w14:paraId="4950BF8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7780EB54" w14:textId="77777777" w:rsidR="00216973" w:rsidRDefault="00216973" w:rsidP="00216973">
            <w:pPr>
              <w:pStyle w:val="TAL"/>
              <w:rPr>
                <w:lang w:eastAsia="zh-CN"/>
              </w:rPr>
            </w:pPr>
            <w:r>
              <w:rPr>
                <w:lang w:eastAsia="zh-CN"/>
              </w:rPr>
              <w:t>49</w:t>
            </w:r>
          </w:p>
        </w:tc>
        <w:tc>
          <w:tcPr>
            <w:tcW w:w="2885" w:type="dxa"/>
            <w:gridSpan w:val="3"/>
            <w:tcBorders>
              <w:top w:val="single" w:sz="6" w:space="0" w:color="auto"/>
              <w:left w:val="single" w:sz="6" w:space="0" w:color="auto"/>
              <w:bottom w:val="single" w:sz="6" w:space="0" w:color="auto"/>
              <w:right w:val="single" w:sz="6" w:space="0" w:color="auto"/>
            </w:tcBorders>
          </w:tcPr>
          <w:p w14:paraId="27D0DAAC" w14:textId="77777777" w:rsidR="00216973" w:rsidRDefault="00216973" w:rsidP="00216973">
            <w:pPr>
              <w:pStyle w:val="TAL"/>
              <w:rPr>
                <w:lang w:eastAsia="zh-CN"/>
              </w:rPr>
            </w:pPr>
            <w:r>
              <w:rPr>
                <w:lang w:eastAsia="zh-CN"/>
              </w:rPr>
              <w:t>WlanPerfExt_eNA</w:t>
            </w:r>
          </w:p>
        </w:tc>
        <w:tc>
          <w:tcPr>
            <w:tcW w:w="5201" w:type="dxa"/>
            <w:gridSpan w:val="3"/>
            <w:tcBorders>
              <w:top w:val="single" w:sz="6" w:space="0" w:color="auto"/>
              <w:left w:val="single" w:sz="6" w:space="0" w:color="auto"/>
              <w:bottom w:val="single" w:sz="6" w:space="0" w:color="auto"/>
              <w:right w:val="single" w:sz="6" w:space="0" w:color="auto"/>
            </w:tcBorders>
          </w:tcPr>
          <w:p w14:paraId="1261B45B" w14:textId="77777777" w:rsidR="00216973" w:rsidRDefault="00216973" w:rsidP="00216973">
            <w:pPr>
              <w:pStyle w:val="TAL"/>
            </w:pPr>
            <w:r>
              <w:t>This feature indicates support for the enhancements of WLAN performance supporting AIML, including support of temporal granularity size. Supporting this feature also requires the support of feature WlanPerformance.</w:t>
            </w:r>
          </w:p>
        </w:tc>
      </w:tr>
      <w:tr w:rsidR="00216973" w14:paraId="2002154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9D182C7" w14:textId="77777777" w:rsidR="00216973" w:rsidRDefault="00216973" w:rsidP="00216973">
            <w:pPr>
              <w:pStyle w:val="TAL"/>
              <w:rPr>
                <w:rFonts w:hint="eastAsia"/>
                <w:lang w:eastAsia="zh-CN"/>
              </w:rPr>
            </w:pPr>
            <w:r>
              <w:rPr>
                <w:rFonts w:hint="eastAsia"/>
                <w:lang w:eastAsia="zh-CN"/>
              </w:rPr>
              <w:t>5</w:t>
            </w:r>
            <w:r>
              <w:rPr>
                <w:lang w:eastAsia="zh-CN"/>
              </w:rPr>
              <w:t>0</w:t>
            </w:r>
          </w:p>
        </w:tc>
        <w:tc>
          <w:tcPr>
            <w:tcW w:w="2885" w:type="dxa"/>
            <w:gridSpan w:val="3"/>
            <w:tcBorders>
              <w:top w:val="single" w:sz="6" w:space="0" w:color="auto"/>
              <w:left w:val="single" w:sz="6" w:space="0" w:color="auto"/>
              <w:bottom w:val="single" w:sz="6" w:space="0" w:color="auto"/>
              <w:right w:val="single" w:sz="6" w:space="0" w:color="auto"/>
            </w:tcBorders>
          </w:tcPr>
          <w:p w14:paraId="3592DE1E" w14:textId="77777777" w:rsidR="00216973" w:rsidRDefault="00216973" w:rsidP="00216973">
            <w:pPr>
              <w:pStyle w:val="TAL"/>
              <w:rPr>
                <w:lang w:eastAsia="zh-CN"/>
              </w:rPr>
            </w:pPr>
            <w:r>
              <w:rPr>
                <w:lang w:eastAsia="zh-CN"/>
              </w:rPr>
              <w:t>MovementBehaviour</w:t>
            </w:r>
          </w:p>
        </w:tc>
        <w:tc>
          <w:tcPr>
            <w:tcW w:w="5201" w:type="dxa"/>
            <w:gridSpan w:val="3"/>
            <w:tcBorders>
              <w:top w:val="single" w:sz="6" w:space="0" w:color="auto"/>
              <w:left w:val="single" w:sz="6" w:space="0" w:color="auto"/>
              <w:bottom w:val="single" w:sz="6" w:space="0" w:color="auto"/>
              <w:right w:val="single" w:sz="6" w:space="0" w:color="auto"/>
            </w:tcBorders>
          </w:tcPr>
          <w:p w14:paraId="5E5FE5DC" w14:textId="77777777" w:rsidR="00216973" w:rsidRDefault="00216973" w:rsidP="00216973">
            <w:pPr>
              <w:pStyle w:val="TAL"/>
            </w:pPr>
            <w:r>
              <w:t>This feature indicates support for the Movement Behaviour information.</w:t>
            </w:r>
          </w:p>
        </w:tc>
      </w:tr>
      <w:tr w:rsidR="00216973" w14:paraId="7824D10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0AF6C492" w14:textId="77777777" w:rsidR="00216973" w:rsidRDefault="00216973" w:rsidP="00216973">
            <w:pPr>
              <w:pStyle w:val="TAL"/>
              <w:rPr>
                <w:lang w:eastAsia="zh-CN"/>
              </w:rPr>
            </w:pPr>
            <w:r>
              <w:rPr>
                <w:rFonts w:hint="eastAsia"/>
                <w:lang w:eastAsia="zh-CN"/>
              </w:rPr>
              <w:t>5</w:t>
            </w:r>
            <w:r>
              <w:rPr>
                <w:lang w:eastAsia="zh-CN"/>
              </w:rPr>
              <w:t>1</w:t>
            </w:r>
          </w:p>
        </w:tc>
        <w:tc>
          <w:tcPr>
            <w:tcW w:w="2885" w:type="dxa"/>
            <w:gridSpan w:val="3"/>
            <w:tcBorders>
              <w:top w:val="single" w:sz="6" w:space="0" w:color="auto"/>
              <w:left w:val="single" w:sz="6" w:space="0" w:color="auto"/>
              <w:bottom w:val="single" w:sz="6" w:space="0" w:color="auto"/>
              <w:right w:val="single" w:sz="6" w:space="0" w:color="auto"/>
            </w:tcBorders>
          </w:tcPr>
          <w:p w14:paraId="37DFD9F9" w14:textId="77777777" w:rsidR="00216973" w:rsidRDefault="00216973" w:rsidP="00216973">
            <w:pPr>
              <w:pStyle w:val="TAL"/>
              <w:rPr>
                <w:lang w:eastAsia="zh-CN"/>
              </w:rPr>
            </w:pPr>
            <w:r>
              <w:rPr>
                <w:lang w:eastAsia="zh-CN"/>
              </w:rPr>
              <w:t>LocAccuracy</w:t>
            </w:r>
          </w:p>
        </w:tc>
        <w:tc>
          <w:tcPr>
            <w:tcW w:w="5201" w:type="dxa"/>
            <w:gridSpan w:val="3"/>
            <w:tcBorders>
              <w:top w:val="single" w:sz="6" w:space="0" w:color="auto"/>
              <w:left w:val="single" w:sz="6" w:space="0" w:color="auto"/>
              <w:bottom w:val="single" w:sz="6" w:space="0" w:color="auto"/>
              <w:right w:val="single" w:sz="6" w:space="0" w:color="auto"/>
            </w:tcBorders>
          </w:tcPr>
          <w:p w14:paraId="21BA037F" w14:textId="77777777" w:rsidR="00216973" w:rsidRDefault="00216973" w:rsidP="00216973">
            <w:pPr>
              <w:pStyle w:val="TAL"/>
            </w:pPr>
            <w:r>
              <w:t>This feature indicates support for the Location Accuracy analytics.</w:t>
            </w:r>
          </w:p>
        </w:tc>
      </w:tr>
      <w:tr w:rsidR="00216973" w14:paraId="44562B0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774456C" w14:textId="77777777" w:rsidR="00216973" w:rsidRDefault="00216973" w:rsidP="00216973">
            <w:pPr>
              <w:pStyle w:val="TAL"/>
              <w:rPr>
                <w:rFonts w:hint="eastAsia"/>
                <w:lang w:eastAsia="zh-CN"/>
              </w:rPr>
            </w:pPr>
            <w:r>
              <w:rPr>
                <w:rFonts w:hint="eastAsia"/>
                <w:lang w:eastAsia="zh-CN"/>
              </w:rPr>
              <w:t>5</w:t>
            </w:r>
            <w:r>
              <w:rPr>
                <w:lang w:eastAsia="zh-CN"/>
              </w:rPr>
              <w:t>2</w:t>
            </w:r>
          </w:p>
        </w:tc>
        <w:tc>
          <w:tcPr>
            <w:tcW w:w="2885" w:type="dxa"/>
            <w:gridSpan w:val="3"/>
            <w:tcBorders>
              <w:top w:val="single" w:sz="6" w:space="0" w:color="auto"/>
              <w:left w:val="single" w:sz="6" w:space="0" w:color="auto"/>
              <w:bottom w:val="single" w:sz="6" w:space="0" w:color="auto"/>
              <w:right w:val="single" w:sz="6" w:space="0" w:color="auto"/>
            </w:tcBorders>
          </w:tcPr>
          <w:p w14:paraId="02982385" w14:textId="77777777" w:rsidR="00216973" w:rsidRDefault="00216973" w:rsidP="00216973">
            <w:pPr>
              <w:pStyle w:val="TAL"/>
              <w:rPr>
                <w:lang w:eastAsia="zh-CN"/>
              </w:rPr>
            </w:pPr>
            <w:r>
              <w:rPr>
                <w:lang w:eastAsia="zh-CN"/>
              </w:rPr>
              <w:t>RelativeProximity</w:t>
            </w:r>
          </w:p>
        </w:tc>
        <w:tc>
          <w:tcPr>
            <w:tcW w:w="5201" w:type="dxa"/>
            <w:gridSpan w:val="3"/>
            <w:tcBorders>
              <w:top w:val="single" w:sz="6" w:space="0" w:color="auto"/>
              <w:left w:val="single" w:sz="6" w:space="0" w:color="auto"/>
              <w:bottom w:val="single" w:sz="6" w:space="0" w:color="auto"/>
              <w:right w:val="single" w:sz="6" w:space="0" w:color="auto"/>
            </w:tcBorders>
          </w:tcPr>
          <w:p w14:paraId="21974C48" w14:textId="77777777" w:rsidR="00216973" w:rsidRDefault="00216973" w:rsidP="00216973">
            <w:pPr>
              <w:pStyle w:val="TAL"/>
            </w:pPr>
            <w:r>
              <w:t>This feature indicates support for the Relative Proximity analytics.</w:t>
            </w:r>
          </w:p>
        </w:tc>
      </w:tr>
      <w:tr w:rsidR="00216973" w14:paraId="13A9892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38BD2686" w14:textId="77777777" w:rsidR="00216973" w:rsidRDefault="00216973" w:rsidP="00216973">
            <w:pPr>
              <w:pStyle w:val="TAL"/>
              <w:rPr>
                <w:rFonts w:hint="eastAsia"/>
                <w:lang w:eastAsia="zh-CN"/>
              </w:rPr>
            </w:pPr>
            <w:r>
              <w:rPr>
                <w:rFonts w:hint="eastAsia"/>
                <w:lang w:eastAsia="zh-CN"/>
              </w:rPr>
              <w:t>5</w:t>
            </w:r>
            <w:r>
              <w:rPr>
                <w:lang w:eastAsia="zh-CN"/>
              </w:rPr>
              <w:t>3</w:t>
            </w:r>
          </w:p>
        </w:tc>
        <w:tc>
          <w:tcPr>
            <w:tcW w:w="2885" w:type="dxa"/>
            <w:gridSpan w:val="3"/>
            <w:tcBorders>
              <w:top w:val="single" w:sz="6" w:space="0" w:color="auto"/>
              <w:left w:val="single" w:sz="6" w:space="0" w:color="auto"/>
              <w:bottom w:val="single" w:sz="6" w:space="0" w:color="auto"/>
              <w:right w:val="single" w:sz="6" w:space="0" w:color="auto"/>
            </w:tcBorders>
          </w:tcPr>
          <w:p w14:paraId="4B7BB600" w14:textId="77777777" w:rsidR="00216973" w:rsidRDefault="00216973" w:rsidP="00216973">
            <w:pPr>
              <w:pStyle w:val="TAL"/>
              <w:rPr>
                <w:lang w:eastAsia="zh-CN"/>
              </w:rPr>
            </w:pPr>
            <w:r>
              <w:rPr>
                <w:lang w:val="en-US" w:eastAsia="zh-CN"/>
              </w:rPr>
              <w:t>StatisticsFailure</w:t>
            </w:r>
          </w:p>
        </w:tc>
        <w:tc>
          <w:tcPr>
            <w:tcW w:w="5201" w:type="dxa"/>
            <w:gridSpan w:val="3"/>
            <w:tcBorders>
              <w:top w:val="single" w:sz="6" w:space="0" w:color="auto"/>
              <w:left w:val="single" w:sz="6" w:space="0" w:color="auto"/>
              <w:bottom w:val="single" w:sz="6" w:space="0" w:color="auto"/>
              <w:right w:val="single" w:sz="6" w:space="0" w:color="auto"/>
            </w:tcBorders>
          </w:tcPr>
          <w:p w14:paraId="6401F73D" w14:textId="77777777" w:rsidR="00216973" w:rsidRDefault="00216973" w:rsidP="00216973">
            <w:pPr>
              <w:pStyle w:val="TAL"/>
            </w:pPr>
            <w:r>
              <w:t xml:space="preserve">This feature indicates </w:t>
            </w:r>
            <w:r>
              <w:rPr>
                <w:lang w:eastAsia="zh-CN"/>
              </w:rPr>
              <w:t>support for partial failure report for</w:t>
            </w:r>
            <w:r>
              <w:rPr>
                <w:lang w:val="en-US" w:eastAsia="zh-CN"/>
              </w:rPr>
              <w:t xml:space="preserve"> statistics during event notification</w:t>
            </w:r>
            <w:r>
              <w:t>.</w:t>
            </w:r>
          </w:p>
          <w:p w14:paraId="3A76C5D0" w14:textId="77777777" w:rsidR="00216973" w:rsidRDefault="00216973" w:rsidP="00216973">
            <w:pPr>
              <w:pStyle w:val="TAL"/>
            </w:pPr>
          </w:p>
          <w:p w14:paraId="798F908E" w14:textId="77777777" w:rsidR="00216973" w:rsidRDefault="00216973" w:rsidP="00216973">
            <w:pPr>
              <w:pStyle w:val="TAL"/>
            </w:pPr>
            <w:r>
              <w:rPr>
                <w:lang w:eastAsia="zh-CN"/>
              </w:rPr>
              <w:t xml:space="preserve">Supporting this feature also requires the support of </w:t>
            </w:r>
            <w:r>
              <w:t xml:space="preserve">EneNA </w:t>
            </w:r>
            <w:r>
              <w:rPr>
                <w:lang w:eastAsia="zh-CN"/>
              </w:rPr>
              <w:t>feature.</w:t>
            </w:r>
          </w:p>
        </w:tc>
      </w:tr>
      <w:tr w:rsidR="00216973" w14:paraId="2B9773A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A006B45" w14:textId="77777777" w:rsidR="00216973" w:rsidRDefault="00216973" w:rsidP="00216973">
            <w:pPr>
              <w:pStyle w:val="TAL"/>
              <w:rPr>
                <w:rFonts w:hint="eastAsia"/>
                <w:lang w:eastAsia="zh-CN"/>
              </w:rPr>
            </w:pPr>
            <w:r>
              <w:rPr>
                <w:lang w:eastAsia="zh-CN"/>
              </w:rPr>
              <w:t>54</w:t>
            </w:r>
          </w:p>
        </w:tc>
        <w:tc>
          <w:tcPr>
            <w:tcW w:w="2885" w:type="dxa"/>
            <w:gridSpan w:val="3"/>
            <w:tcBorders>
              <w:top w:val="single" w:sz="6" w:space="0" w:color="auto"/>
              <w:left w:val="single" w:sz="6" w:space="0" w:color="auto"/>
              <w:bottom w:val="single" w:sz="6" w:space="0" w:color="auto"/>
              <w:right w:val="single" w:sz="6" w:space="0" w:color="auto"/>
            </w:tcBorders>
          </w:tcPr>
          <w:p w14:paraId="2D2033CC" w14:textId="77777777" w:rsidR="00216973" w:rsidRDefault="00216973" w:rsidP="00216973">
            <w:pPr>
              <w:pStyle w:val="TAL"/>
              <w:rPr>
                <w:lang w:val="en-US" w:eastAsia="zh-CN"/>
              </w:rPr>
            </w:pPr>
            <w:r>
              <w:rPr>
                <w:lang w:eastAsia="zh-CN"/>
              </w:rPr>
              <w:t>RoamingAnalytics</w:t>
            </w:r>
          </w:p>
        </w:tc>
        <w:tc>
          <w:tcPr>
            <w:tcW w:w="5201" w:type="dxa"/>
            <w:gridSpan w:val="3"/>
            <w:tcBorders>
              <w:top w:val="single" w:sz="6" w:space="0" w:color="auto"/>
              <w:left w:val="single" w:sz="6" w:space="0" w:color="auto"/>
              <w:bottom w:val="single" w:sz="6" w:space="0" w:color="auto"/>
              <w:right w:val="single" w:sz="6" w:space="0" w:color="auto"/>
            </w:tcBorders>
          </w:tcPr>
          <w:p w14:paraId="476FEB02" w14:textId="77777777" w:rsidR="00216973" w:rsidRDefault="00216973" w:rsidP="00216973">
            <w:pPr>
              <w:pStyle w:val="TAL"/>
            </w:pPr>
            <w:r>
              <w:t>This feature indicates support for the Roaming analytics.</w:t>
            </w:r>
          </w:p>
        </w:tc>
      </w:tr>
      <w:tr w:rsidR="00216973" w14:paraId="10425FB5"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C3CDC41" w14:textId="77777777" w:rsidR="00216973" w:rsidRDefault="00216973" w:rsidP="00216973">
            <w:pPr>
              <w:pStyle w:val="TAL"/>
              <w:rPr>
                <w:lang w:eastAsia="zh-CN"/>
              </w:rPr>
            </w:pPr>
            <w:r>
              <w:rPr>
                <w:lang w:eastAsia="zh-CN"/>
              </w:rPr>
              <w:t>55</w:t>
            </w:r>
          </w:p>
        </w:tc>
        <w:tc>
          <w:tcPr>
            <w:tcW w:w="2885" w:type="dxa"/>
            <w:gridSpan w:val="3"/>
            <w:tcBorders>
              <w:top w:val="single" w:sz="6" w:space="0" w:color="auto"/>
              <w:left w:val="single" w:sz="6" w:space="0" w:color="auto"/>
              <w:bottom w:val="single" w:sz="6" w:space="0" w:color="auto"/>
              <w:right w:val="single" w:sz="6" w:space="0" w:color="auto"/>
            </w:tcBorders>
          </w:tcPr>
          <w:p w14:paraId="75DA9CDA" w14:textId="77777777" w:rsidR="00216973" w:rsidRDefault="00216973" w:rsidP="00216973">
            <w:pPr>
              <w:pStyle w:val="TAL"/>
              <w:rPr>
                <w:lang w:eastAsia="zh-CN"/>
              </w:rPr>
            </w:pPr>
            <w:r>
              <w:rPr>
                <w:lang w:eastAsia="zh-CN"/>
              </w:rPr>
              <w:t>PredictionError</w:t>
            </w:r>
          </w:p>
        </w:tc>
        <w:tc>
          <w:tcPr>
            <w:tcW w:w="5201" w:type="dxa"/>
            <w:gridSpan w:val="3"/>
            <w:tcBorders>
              <w:top w:val="single" w:sz="6" w:space="0" w:color="auto"/>
              <w:left w:val="single" w:sz="6" w:space="0" w:color="auto"/>
              <w:bottom w:val="single" w:sz="6" w:space="0" w:color="auto"/>
              <w:right w:val="single" w:sz="6" w:space="0" w:color="auto"/>
            </w:tcBorders>
          </w:tcPr>
          <w:p w14:paraId="5EC03F1F" w14:textId="77777777" w:rsidR="00216973" w:rsidRDefault="00216973" w:rsidP="00216973">
            <w:pPr>
              <w:pStyle w:val="TAL"/>
            </w:pPr>
            <w:r>
              <w:t>This feature indicates support for Prediction Error handling.</w:t>
            </w:r>
          </w:p>
        </w:tc>
      </w:tr>
      <w:tr w:rsidR="00BD381F" w14:paraId="7EEDB7D7"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D5E5541" w14:textId="77777777" w:rsidR="00BD381F" w:rsidRDefault="00BD381F" w:rsidP="00BD381F">
            <w:pPr>
              <w:pStyle w:val="TAL"/>
              <w:rPr>
                <w:lang w:eastAsia="zh-CN"/>
              </w:rPr>
            </w:pPr>
            <w:r>
              <w:rPr>
                <w:lang w:eastAsia="zh-CN"/>
              </w:rPr>
              <w:t>56</w:t>
            </w:r>
          </w:p>
        </w:tc>
        <w:tc>
          <w:tcPr>
            <w:tcW w:w="2885" w:type="dxa"/>
            <w:gridSpan w:val="3"/>
            <w:tcBorders>
              <w:top w:val="single" w:sz="6" w:space="0" w:color="auto"/>
              <w:left w:val="single" w:sz="6" w:space="0" w:color="auto"/>
              <w:bottom w:val="single" w:sz="6" w:space="0" w:color="auto"/>
              <w:right w:val="single" w:sz="6" w:space="0" w:color="auto"/>
            </w:tcBorders>
          </w:tcPr>
          <w:p w14:paraId="06F988CA" w14:textId="77777777" w:rsidR="00BD381F" w:rsidRDefault="00BD381F" w:rsidP="00BD381F">
            <w:pPr>
              <w:pStyle w:val="TAL"/>
              <w:rPr>
                <w:lang w:eastAsia="zh-CN"/>
              </w:rPr>
            </w:pPr>
            <w:r>
              <w:rPr>
                <w:lang w:eastAsia="zh-CN"/>
              </w:rPr>
              <w:t>EnAggregation</w:t>
            </w:r>
          </w:p>
        </w:tc>
        <w:tc>
          <w:tcPr>
            <w:tcW w:w="5201" w:type="dxa"/>
            <w:gridSpan w:val="3"/>
            <w:tcBorders>
              <w:top w:val="single" w:sz="6" w:space="0" w:color="auto"/>
              <w:left w:val="single" w:sz="6" w:space="0" w:color="auto"/>
              <w:bottom w:val="single" w:sz="6" w:space="0" w:color="auto"/>
              <w:right w:val="single" w:sz="6" w:space="0" w:color="auto"/>
            </w:tcBorders>
          </w:tcPr>
          <w:p w14:paraId="2E016F9F" w14:textId="77777777" w:rsidR="00BD381F" w:rsidRDefault="00BD381F" w:rsidP="00BD381F">
            <w:pPr>
              <w:pStyle w:val="TAL"/>
            </w:pPr>
            <w:r>
              <w:t>This feature indicates the enhancements on the analytics aggregation.</w:t>
            </w:r>
          </w:p>
          <w:p w14:paraId="0823F01F" w14:textId="77777777" w:rsidR="00BD381F" w:rsidRDefault="00BD381F" w:rsidP="00BD381F">
            <w:pPr>
              <w:pStyle w:val="TAL"/>
            </w:pPr>
          </w:p>
          <w:p w14:paraId="65BF8211" w14:textId="77777777" w:rsidR="00BD381F" w:rsidRDefault="00BD381F" w:rsidP="00BD381F">
            <w:pPr>
              <w:pStyle w:val="TAL"/>
            </w:pPr>
            <w:r>
              <w:rPr>
                <w:lang w:eastAsia="zh-CN"/>
              </w:rPr>
              <w:t xml:space="preserve">Supporting this feature also requires the support of </w:t>
            </w:r>
            <w:r>
              <w:t>Aggregation</w:t>
            </w:r>
            <w:r>
              <w:rPr>
                <w:lang w:eastAsia="zh-CN"/>
              </w:rPr>
              <w:t xml:space="preserve"> feature.</w:t>
            </w:r>
          </w:p>
        </w:tc>
      </w:tr>
      <w:tr w:rsidR="00C869EF" w14:paraId="2130D74E"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00B2A201" w14:textId="77777777" w:rsidR="00C869EF" w:rsidRDefault="00C869EF" w:rsidP="00C869EF">
            <w:pPr>
              <w:pStyle w:val="TAL"/>
              <w:rPr>
                <w:lang w:eastAsia="zh-CN"/>
              </w:rPr>
            </w:pPr>
            <w:r w:rsidRPr="00F31FE4">
              <w:rPr>
                <w:rFonts w:hint="eastAsia"/>
                <w:lang w:eastAsia="zh-CN"/>
              </w:rPr>
              <w:t>5</w:t>
            </w:r>
            <w:r w:rsidRPr="00F31FE4">
              <w:rPr>
                <w:lang w:eastAsia="zh-CN"/>
              </w:rPr>
              <w:t>7</w:t>
            </w:r>
          </w:p>
        </w:tc>
        <w:tc>
          <w:tcPr>
            <w:tcW w:w="2885" w:type="dxa"/>
            <w:gridSpan w:val="3"/>
            <w:tcBorders>
              <w:top w:val="single" w:sz="6" w:space="0" w:color="auto"/>
              <w:left w:val="single" w:sz="6" w:space="0" w:color="auto"/>
              <w:bottom w:val="single" w:sz="6" w:space="0" w:color="auto"/>
              <w:right w:val="single" w:sz="6" w:space="0" w:color="auto"/>
            </w:tcBorders>
          </w:tcPr>
          <w:p w14:paraId="5FFDAD3E" w14:textId="77777777" w:rsidR="00C869EF" w:rsidRDefault="00C869EF" w:rsidP="00C869EF">
            <w:pPr>
              <w:pStyle w:val="TAL"/>
              <w:rPr>
                <w:lang w:eastAsia="zh-CN"/>
              </w:rPr>
            </w:pPr>
            <w:r w:rsidRPr="00F31FE4">
              <w:rPr>
                <w:lang w:eastAsia="zh-CN"/>
              </w:rPr>
              <w:t>QoSSustainabilityExt</w:t>
            </w:r>
            <w:r w:rsidRPr="00F31FE4">
              <w:rPr>
                <w:rFonts w:hint="eastAsia"/>
                <w:lang w:eastAsia="zh-CN"/>
              </w:rPr>
              <w:t>2</w:t>
            </w:r>
          </w:p>
        </w:tc>
        <w:tc>
          <w:tcPr>
            <w:tcW w:w="5201" w:type="dxa"/>
            <w:gridSpan w:val="3"/>
            <w:tcBorders>
              <w:top w:val="single" w:sz="6" w:space="0" w:color="auto"/>
              <w:left w:val="single" w:sz="6" w:space="0" w:color="auto"/>
              <w:bottom w:val="single" w:sz="6" w:space="0" w:color="auto"/>
              <w:right w:val="single" w:sz="6" w:space="0" w:color="auto"/>
            </w:tcBorders>
          </w:tcPr>
          <w:p w14:paraId="21EC1C29" w14:textId="77777777" w:rsidR="00C869EF" w:rsidRPr="00F31FE4" w:rsidRDefault="00C869EF" w:rsidP="00C869EF">
            <w:pPr>
              <w:keepNext/>
              <w:keepLines/>
              <w:spacing w:after="0"/>
              <w:rPr>
                <w:rFonts w:ascii="Arial" w:hAnsi="Arial"/>
                <w:sz w:val="18"/>
                <w:lang w:eastAsia="zh-CN"/>
              </w:rPr>
            </w:pPr>
            <w:r w:rsidRPr="00F31FE4">
              <w:rPr>
                <w:rFonts w:ascii="Arial" w:hAnsi="Arial"/>
                <w:sz w:val="18"/>
                <w:lang w:eastAsia="zh-CN"/>
              </w:rPr>
              <w:t>This feature indicates support for the enhancements of QoS Sustainability</w:t>
            </w:r>
            <w:r w:rsidRPr="00F31FE4">
              <w:rPr>
                <w:rFonts w:ascii="Arial" w:hAnsi="Arial" w:hint="eastAsia"/>
                <w:sz w:val="18"/>
                <w:lang w:eastAsia="zh-CN"/>
              </w:rPr>
              <w:t xml:space="preserve"> </w:t>
            </w:r>
            <w:r w:rsidRPr="00F31FE4">
              <w:rPr>
                <w:rFonts w:ascii="Arial" w:hAnsi="Arial"/>
                <w:sz w:val="18"/>
                <w:lang w:eastAsia="zh-CN"/>
              </w:rPr>
              <w:t xml:space="preserve">Analytics </w:t>
            </w:r>
            <w:r w:rsidRPr="00F31FE4">
              <w:rPr>
                <w:rFonts w:ascii="Arial" w:hAnsi="Arial" w:hint="eastAsia"/>
                <w:sz w:val="18"/>
                <w:lang w:eastAsia="zh-CN"/>
              </w:rPr>
              <w:t>in Rel-19.</w:t>
            </w:r>
          </w:p>
          <w:p w14:paraId="7A0120C4" w14:textId="77777777" w:rsidR="00C869EF" w:rsidRPr="00F31FE4" w:rsidRDefault="00C869EF" w:rsidP="00C869EF">
            <w:pPr>
              <w:keepNext/>
              <w:keepLines/>
              <w:spacing w:after="0"/>
              <w:rPr>
                <w:rFonts w:ascii="Arial" w:hAnsi="Arial"/>
                <w:sz w:val="18"/>
                <w:lang w:eastAsia="zh-CN"/>
              </w:rPr>
            </w:pPr>
          </w:p>
          <w:p w14:paraId="1852F12C" w14:textId="77777777" w:rsidR="00C869EF" w:rsidRPr="00F31FE4" w:rsidRDefault="00C869EF" w:rsidP="00C869EF">
            <w:pPr>
              <w:keepNext/>
              <w:keepLines/>
              <w:spacing w:after="0"/>
              <w:rPr>
                <w:rFonts w:ascii="Arial" w:hAnsi="Arial"/>
                <w:sz w:val="18"/>
                <w:lang w:eastAsia="zh-CN"/>
              </w:rPr>
            </w:pPr>
            <w:r w:rsidRPr="00F31FE4">
              <w:rPr>
                <w:rFonts w:ascii="Arial" w:hAnsi="Arial"/>
                <w:sz w:val="18"/>
                <w:lang w:eastAsia="zh-CN"/>
              </w:rPr>
              <w:t>The following functionalities are supported:</w:t>
            </w:r>
          </w:p>
          <w:p w14:paraId="40FAE31A" w14:textId="77777777" w:rsidR="00C869EF" w:rsidRDefault="00C869EF" w:rsidP="00C869EF">
            <w:pPr>
              <w:keepNext/>
              <w:keepLines/>
              <w:spacing w:after="0"/>
              <w:rPr>
                <w:rFonts w:ascii="Arial" w:hAnsi="Arial"/>
                <w:sz w:val="18"/>
                <w:lang w:eastAsia="zh-CN"/>
              </w:rPr>
            </w:pPr>
            <w:r w:rsidRPr="00F31FE4">
              <w:rPr>
                <w:rFonts w:ascii="Arial" w:hAnsi="Arial"/>
                <w:sz w:val="18"/>
                <w:lang w:eastAsia="zh-CN"/>
              </w:rPr>
              <w:t>-</w:t>
            </w:r>
            <w:r w:rsidRPr="00F31FE4">
              <w:rPr>
                <w:rFonts w:ascii="Arial" w:hAnsi="Arial"/>
                <w:sz w:val="18"/>
                <w:lang w:eastAsia="zh-CN"/>
              </w:rPr>
              <w:tab/>
              <w:t xml:space="preserve">Support </w:t>
            </w:r>
            <w:r w:rsidRPr="00F31FE4">
              <w:rPr>
                <w:rFonts w:ascii="Arial" w:hAnsi="Arial" w:hint="eastAsia"/>
                <w:sz w:val="18"/>
                <w:lang w:eastAsia="zh-CN"/>
              </w:rPr>
              <w:t>targeting list of UEs in QoS Sustanability Anal</w:t>
            </w:r>
            <w:r w:rsidRPr="00F31FE4">
              <w:rPr>
                <w:rFonts w:ascii="Arial" w:hAnsi="Arial"/>
                <w:sz w:val="18"/>
                <w:lang w:eastAsia="zh-CN"/>
              </w:rPr>
              <w:t>ytics.</w:t>
            </w:r>
          </w:p>
          <w:p w14:paraId="73E7262C" w14:textId="77777777" w:rsidR="00C869EF" w:rsidRPr="00F31FE4" w:rsidRDefault="00C869EF" w:rsidP="00C869EF">
            <w:pPr>
              <w:keepNext/>
              <w:keepLines/>
              <w:spacing w:after="0"/>
              <w:rPr>
                <w:rFonts w:ascii="Arial" w:hAnsi="Arial"/>
                <w:sz w:val="18"/>
                <w:lang w:eastAsia="zh-CN"/>
              </w:rPr>
            </w:pPr>
            <w:r>
              <w:rPr>
                <w:rFonts w:ascii="Arial" w:hAnsi="Arial"/>
                <w:sz w:val="18"/>
                <w:lang w:eastAsia="zh-CN"/>
              </w:rPr>
              <w:t>-</w:t>
            </w:r>
            <w:r>
              <w:rPr>
                <w:rFonts w:ascii="Arial" w:hAnsi="Arial"/>
                <w:sz w:val="18"/>
                <w:lang w:eastAsia="zh-CN"/>
              </w:rPr>
              <w:tab/>
              <w:t>Providing end-to-end delay reporting thresholds.</w:t>
            </w:r>
          </w:p>
          <w:p w14:paraId="05B05C00" w14:textId="77777777" w:rsidR="00C869EF" w:rsidRPr="00F31FE4" w:rsidRDefault="00C869EF" w:rsidP="00C869EF">
            <w:pPr>
              <w:keepNext/>
              <w:keepLines/>
              <w:spacing w:after="0"/>
              <w:rPr>
                <w:rFonts w:ascii="Arial" w:hAnsi="Arial"/>
                <w:sz w:val="18"/>
                <w:lang w:eastAsia="zh-CN"/>
              </w:rPr>
            </w:pPr>
          </w:p>
          <w:p w14:paraId="59C622C5" w14:textId="77777777" w:rsidR="00C869EF" w:rsidRDefault="00C869EF" w:rsidP="00C869EF">
            <w:pPr>
              <w:pStyle w:val="TAL"/>
            </w:pPr>
            <w:r w:rsidRPr="00F31FE4">
              <w:rPr>
                <w:lang w:eastAsia="zh-CN"/>
              </w:rPr>
              <w:t>Supporting this feature also requires the support of QoSSustainability feature.</w:t>
            </w:r>
          </w:p>
        </w:tc>
      </w:tr>
      <w:tr w:rsidR="00956830" w14:paraId="08992109"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69C088DA" w14:textId="77777777" w:rsidR="00956830" w:rsidRDefault="00956830" w:rsidP="00956830">
            <w:pPr>
              <w:pStyle w:val="TAL"/>
              <w:rPr>
                <w:rFonts w:hint="eastAsia"/>
                <w:lang w:eastAsia="zh-CN"/>
              </w:rPr>
            </w:pPr>
            <w:r>
              <w:rPr>
                <w:rFonts w:hint="eastAsia"/>
                <w:lang w:eastAsia="zh-CN"/>
              </w:rPr>
              <w:lastRenderedPageBreak/>
              <w:t>5</w:t>
            </w:r>
            <w:r>
              <w:rPr>
                <w:lang w:eastAsia="zh-CN"/>
              </w:rPr>
              <w:t>8</w:t>
            </w:r>
          </w:p>
        </w:tc>
        <w:tc>
          <w:tcPr>
            <w:tcW w:w="2885" w:type="dxa"/>
            <w:gridSpan w:val="3"/>
            <w:tcBorders>
              <w:top w:val="single" w:sz="6" w:space="0" w:color="auto"/>
              <w:left w:val="single" w:sz="6" w:space="0" w:color="auto"/>
              <w:bottom w:val="single" w:sz="6" w:space="0" w:color="auto"/>
              <w:right w:val="single" w:sz="6" w:space="0" w:color="auto"/>
            </w:tcBorders>
          </w:tcPr>
          <w:p w14:paraId="1A4EF1E8" w14:textId="77777777" w:rsidR="00956830" w:rsidRPr="007043D9" w:rsidRDefault="00956830" w:rsidP="00956830">
            <w:pPr>
              <w:pStyle w:val="TAL"/>
              <w:rPr>
                <w:lang w:eastAsia="zh-CN"/>
              </w:rPr>
            </w:pPr>
            <w:r>
              <w:rPr>
                <w:lang w:eastAsia="zh-CN"/>
              </w:rPr>
              <w:t>EnMovementBehaviour</w:t>
            </w:r>
          </w:p>
        </w:tc>
        <w:tc>
          <w:tcPr>
            <w:tcW w:w="5201" w:type="dxa"/>
            <w:gridSpan w:val="3"/>
            <w:tcBorders>
              <w:top w:val="single" w:sz="6" w:space="0" w:color="auto"/>
              <w:left w:val="single" w:sz="6" w:space="0" w:color="auto"/>
              <w:bottom w:val="single" w:sz="6" w:space="0" w:color="auto"/>
              <w:right w:val="single" w:sz="6" w:space="0" w:color="auto"/>
            </w:tcBorders>
          </w:tcPr>
          <w:p w14:paraId="61A31B89" w14:textId="77777777" w:rsidR="00956830" w:rsidRDefault="00956830" w:rsidP="00956830">
            <w:pPr>
              <w:pStyle w:val="TAL"/>
            </w:pPr>
            <w:r>
              <w:t>This feature indicates support for the Movement Behaviour enhancements.</w:t>
            </w:r>
          </w:p>
          <w:p w14:paraId="496430D5" w14:textId="77777777" w:rsidR="00956830" w:rsidRDefault="00956830" w:rsidP="00956830">
            <w:pPr>
              <w:pStyle w:val="TAL"/>
            </w:pPr>
          </w:p>
          <w:p w14:paraId="23B241F5" w14:textId="77777777" w:rsidR="00956830" w:rsidRDefault="00956830" w:rsidP="00956830">
            <w:pPr>
              <w:pStyle w:val="TAL"/>
              <w:rPr>
                <w:lang w:eastAsia="zh-CN"/>
              </w:rPr>
            </w:pPr>
            <w:r>
              <w:t xml:space="preserve">Supporting this feature also requires the support of feature </w:t>
            </w:r>
            <w:r>
              <w:rPr>
                <w:lang w:eastAsia="zh-CN"/>
              </w:rPr>
              <w:t>MovementBehaviour</w:t>
            </w:r>
            <w:r>
              <w:t>.</w:t>
            </w:r>
          </w:p>
        </w:tc>
      </w:tr>
      <w:tr w:rsidR="00143F25" w14:paraId="406A87C3"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7594FF41" w14:textId="77777777" w:rsidR="00143F25" w:rsidRDefault="00143F25" w:rsidP="00143F25">
            <w:pPr>
              <w:pStyle w:val="TAL"/>
              <w:rPr>
                <w:rFonts w:hint="eastAsia"/>
                <w:lang w:eastAsia="zh-CN"/>
              </w:rPr>
            </w:pPr>
            <w:r>
              <w:rPr>
                <w:lang w:eastAsia="zh-CN"/>
              </w:rPr>
              <w:t>59</w:t>
            </w:r>
          </w:p>
        </w:tc>
        <w:tc>
          <w:tcPr>
            <w:tcW w:w="2885" w:type="dxa"/>
            <w:gridSpan w:val="3"/>
            <w:tcBorders>
              <w:top w:val="single" w:sz="6" w:space="0" w:color="auto"/>
              <w:left w:val="single" w:sz="6" w:space="0" w:color="auto"/>
              <w:bottom w:val="single" w:sz="6" w:space="0" w:color="auto"/>
              <w:right w:val="single" w:sz="6" w:space="0" w:color="auto"/>
            </w:tcBorders>
          </w:tcPr>
          <w:p w14:paraId="70114829" w14:textId="77777777" w:rsidR="00143F25" w:rsidRDefault="00143F25" w:rsidP="00143F25">
            <w:pPr>
              <w:pStyle w:val="TAL"/>
              <w:rPr>
                <w:lang w:eastAsia="zh-CN"/>
              </w:rPr>
            </w:pPr>
            <w:r>
              <w:t>S</w:t>
            </w:r>
            <w:r w:rsidRPr="001C406B">
              <w:t>ignalling</w:t>
            </w:r>
            <w:r>
              <w:t>S</w:t>
            </w:r>
            <w:r w:rsidRPr="001C406B">
              <w:t>torm</w:t>
            </w:r>
          </w:p>
        </w:tc>
        <w:tc>
          <w:tcPr>
            <w:tcW w:w="5201" w:type="dxa"/>
            <w:gridSpan w:val="3"/>
            <w:tcBorders>
              <w:top w:val="single" w:sz="6" w:space="0" w:color="auto"/>
              <w:left w:val="single" w:sz="6" w:space="0" w:color="auto"/>
              <w:bottom w:val="single" w:sz="6" w:space="0" w:color="auto"/>
              <w:right w:val="single" w:sz="6" w:space="0" w:color="auto"/>
            </w:tcBorders>
          </w:tcPr>
          <w:p w14:paraId="620A4E4B" w14:textId="77777777" w:rsidR="00143F25" w:rsidRDefault="00143F25" w:rsidP="00143F25">
            <w:pPr>
              <w:pStyle w:val="TAL"/>
            </w:pPr>
            <w:r>
              <w:t>This feature indicates support for the Signalling Storm</w:t>
            </w:r>
            <w:r w:rsidRPr="008558A9">
              <w:t xml:space="preserve"> Analytics</w:t>
            </w:r>
            <w:r>
              <w:t>.</w:t>
            </w:r>
          </w:p>
        </w:tc>
      </w:tr>
      <w:tr w:rsidR="00AD5F95" w14:paraId="1D8DA226"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1E708A0" w14:textId="77777777" w:rsidR="00AD5F95" w:rsidRDefault="00AD5F95" w:rsidP="00AD5F95">
            <w:pPr>
              <w:pStyle w:val="TAL"/>
              <w:rPr>
                <w:lang w:eastAsia="zh-CN"/>
              </w:rPr>
            </w:pPr>
            <w:r>
              <w:rPr>
                <w:lang w:eastAsia="zh-CN"/>
              </w:rPr>
              <w:t>60</w:t>
            </w:r>
          </w:p>
        </w:tc>
        <w:tc>
          <w:tcPr>
            <w:tcW w:w="2885" w:type="dxa"/>
            <w:gridSpan w:val="3"/>
            <w:tcBorders>
              <w:top w:val="single" w:sz="6" w:space="0" w:color="auto"/>
              <w:left w:val="single" w:sz="6" w:space="0" w:color="auto"/>
              <w:bottom w:val="single" w:sz="6" w:space="0" w:color="auto"/>
              <w:right w:val="single" w:sz="6" w:space="0" w:color="auto"/>
            </w:tcBorders>
          </w:tcPr>
          <w:p w14:paraId="2742B23A" w14:textId="77777777" w:rsidR="00AD5F95" w:rsidRDefault="00AD5F95" w:rsidP="00AD5F95">
            <w:pPr>
              <w:pStyle w:val="TAL"/>
            </w:pPr>
            <w:r>
              <w:rPr>
                <w:lang w:eastAsia="zh-CN"/>
              </w:rPr>
              <w:t>RelativeProximity</w:t>
            </w:r>
            <w:r w:rsidRPr="007043D9">
              <w:rPr>
                <w:lang w:eastAsia="zh-CN"/>
              </w:rPr>
              <w:t>Ext</w:t>
            </w:r>
          </w:p>
        </w:tc>
        <w:tc>
          <w:tcPr>
            <w:tcW w:w="5201" w:type="dxa"/>
            <w:gridSpan w:val="3"/>
            <w:tcBorders>
              <w:top w:val="single" w:sz="6" w:space="0" w:color="auto"/>
              <w:left w:val="single" w:sz="6" w:space="0" w:color="auto"/>
              <w:bottom w:val="single" w:sz="6" w:space="0" w:color="auto"/>
              <w:right w:val="single" w:sz="6" w:space="0" w:color="auto"/>
            </w:tcBorders>
          </w:tcPr>
          <w:p w14:paraId="44BC1537" w14:textId="77777777" w:rsidR="00AD5F95" w:rsidRDefault="00AD5F95" w:rsidP="00AD5F95">
            <w:pPr>
              <w:pStyle w:val="TAL"/>
              <w:rPr>
                <w:lang w:eastAsia="zh-CN"/>
              </w:rPr>
            </w:pPr>
            <w:r>
              <w:rPr>
                <w:lang w:eastAsia="zh-CN"/>
              </w:rPr>
              <w:t>This feature indicates support for the enhancements of Relative Proximity Analytics</w:t>
            </w:r>
            <w:r>
              <w:rPr>
                <w:rFonts w:hint="eastAsia"/>
                <w:lang w:eastAsia="zh-CN"/>
              </w:rPr>
              <w:t xml:space="preserve"> in Rel-19.</w:t>
            </w:r>
          </w:p>
          <w:p w14:paraId="7E86B705" w14:textId="77777777" w:rsidR="00AD5F95" w:rsidRDefault="00AD5F95" w:rsidP="00AD5F95">
            <w:pPr>
              <w:pStyle w:val="TAL"/>
              <w:rPr>
                <w:lang w:eastAsia="zh-CN"/>
              </w:rPr>
            </w:pPr>
          </w:p>
          <w:p w14:paraId="11282511" w14:textId="77777777" w:rsidR="00AD5F95" w:rsidRDefault="00AD5F95" w:rsidP="00AD5F95">
            <w:pPr>
              <w:pStyle w:val="TAL"/>
              <w:rPr>
                <w:lang w:eastAsia="zh-CN"/>
              </w:rPr>
            </w:pPr>
            <w:r>
              <w:rPr>
                <w:lang w:eastAsia="zh-CN"/>
              </w:rPr>
              <w:t>The following functionalities are supported:</w:t>
            </w:r>
          </w:p>
          <w:p w14:paraId="4C22C688" w14:textId="77777777" w:rsidR="00AD5F95" w:rsidRDefault="00AD5F95" w:rsidP="00AD5F95">
            <w:pPr>
              <w:pStyle w:val="TAL"/>
              <w:rPr>
                <w:lang w:eastAsia="zh-CN"/>
              </w:rPr>
            </w:pPr>
            <w:r>
              <w:rPr>
                <w:lang w:eastAsia="zh-CN"/>
              </w:rPr>
              <w:t>-</w:t>
            </w:r>
            <w:r>
              <w:rPr>
                <w:lang w:eastAsia="zh-CN"/>
              </w:rPr>
              <w:tab/>
              <w:t>Support enhancement of TTC prediction</w:t>
            </w:r>
            <w:r>
              <w:rPr>
                <w:rFonts w:hint="eastAsia"/>
                <w:lang w:eastAsia="zh-CN"/>
              </w:rPr>
              <w:t xml:space="preserve"> in </w:t>
            </w:r>
            <w:r>
              <w:rPr>
                <w:lang w:eastAsia="zh-CN"/>
              </w:rPr>
              <w:t>Relative Proximity</w:t>
            </w:r>
            <w:r>
              <w:rPr>
                <w:rFonts w:hint="eastAsia"/>
                <w:lang w:eastAsia="zh-CN"/>
              </w:rPr>
              <w:t xml:space="preserve"> Anal</w:t>
            </w:r>
            <w:r>
              <w:rPr>
                <w:lang w:eastAsia="zh-CN"/>
              </w:rPr>
              <w:t>ytics.</w:t>
            </w:r>
          </w:p>
          <w:p w14:paraId="6D272293" w14:textId="77777777" w:rsidR="00AD5F95" w:rsidRDefault="00AD5F95" w:rsidP="00AD5F95">
            <w:pPr>
              <w:pStyle w:val="TAL"/>
              <w:rPr>
                <w:lang w:eastAsia="zh-CN"/>
              </w:rPr>
            </w:pPr>
          </w:p>
          <w:p w14:paraId="11665312" w14:textId="77777777" w:rsidR="00AD5F95" w:rsidRDefault="00AD5F95" w:rsidP="00AD5F95">
            <w:pPr>
              <w:pStyle w:val="TAL"/>
            </w:pPr>
            <w:r>
              <w:rPr>
                <w:lang w:eastAsia="zh-CN"/>
              </w:rPr>
              <w:t>Supporting this feature also requires the support of RelativeProximity feature.</w:t>
            </w:r>
          </w:p>
        </w:tc>
      </w:tr>
      <w:tr w:rsidR="00AD5F95" w14:paraId="1928B932"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5D923FA7" w14:textId="77777777" w:rsidR="00AD5F95" w:rsidRDefault="00AD5F95" w:rsidP="00AD5F95">
            <w:pPr>
              <w:pStyle w:val="TAL"/>
              <w:rPr>
                <w:lang w:eastAsia="zh-CN"/>
              </w:rPr>
            </w:pPr>
            <w:r>
              <w:rPr>
                <w:lang w:eastAsia="zh-CN"/>
              </w:rPr>
              <w:t>61</w:t>
            </w:r>
          </w:p>
        </w:tc>
        <w:tc>
          <w:tcPr>
            <w:tcW w:w="2885" w:type="dxa"/>
            <w:gridSpan w:val="3"/>
            <w:tcBorders>
              <w:top w:val="single" w:sz="6" w:space="0" w:color="auto"/>
              <w:left w:val="single" w:sz="6" w:space="0" w:color="auto"/>
              <w:bottom w:val="single" w:sz="6" w:space="0" w:color="auto"/>
              <w:right w:val="single" w:sz="6" w:space="0" w:color="auto"/>
            </w:tcBorders>
          </w:tcPr>
          <w:p w14:paraId="4EA0DE2E" w14:textId="77777777" w:rsidR="00AD5F95" w:rsidRDefault="00AD5F95" w:rsidP="00AD5F95">
            <w:pPr>
              <w:pStyle w:val="TAL"/>
              <w:rPr>
                <w:lang w:eastAsia="zh-CN"/>
              </w:rPr>
            </w:pPr>
            <w:r>
              <w:rPr>
                <w:lang w:eastAsia="zh-CN"/>
              </w:rPr>
              <w:t>EnRelativeProximity</w:t>
            </w:r>
          </w:p>
        </w:tc>
        <w:tc>
          <w:tcPr>
            <w:tcW w:w="5201" w:type="dxa"/>
            <w:gridSpan w:val="3"/>
            <w:tcBorders>
              <w:top w:val="single" w:sz="6" w:space="0" w:color="auto"/>
              <w:left w:val="single" w:sz="6" w:space="0" w:color="auto"/>
              <w:bottom w:val="single" w:sz="6" w:space="0" w:color="auto"/>
              <w:right w:val="single" w:sz="6" w:space="0" w:color="auto"/>
            </w:tcBorders>
          </w:tcPr>
          <w:p w14:paraId="0C7875DD" w14:textId="77777777" w:rsidR="00AD5F95" w:rsidRDefault="00AD5F95" w:rsidP="00AD5F95">
            <w:pPr>
              <w:pStyle w:val="TAL"/>
              <w:rPr>
                <w:lang w:eastAsia="zh-CN"/>
              </w:rPr>
            </w:pPr>
            <w:r>
              <w:rPr>
                <w:lang w:eastAsia="zh-CN"/>
              </w:rPr>
              <w:t>This feature indicates the enhancements on the support for the Relative Proximity analytics.</w:t>
            </w:r>
          </w:p>
          <w:p w14:paraId="044E4906" w14:textId="77777777" w:rsidR="00AD5F95" w:rsidRDefault="00AD5F95" w:rsidP="00AD5F95">
            <w:pPr>
              <w:pStyle w:val="TAL"/>
              <w:rPr>
                <w:lang w:eastAsia="zh-CN"/>
              </w:rPr>
            </w:pPr>
          </w:p>
          <w:p w14:paraId="4A542553" w14:textId="77777777" w:rsidR="00AD5F95" w:rsidRDefault="00AD5F95" w:rsidP="00AD5F95">
            <w:pPr>
              <w:pStyle w:val="TAL"/>
              <w:rPr>
                <w:lang w:eastAsia="zh-CN"/>
              </w:rPr>
            </w:pPr>
            <w:r>
              <w:rPr>
                <w:lang w:eastAsia="zh-CN"/>
              </w:rPr>
              <w:t>Supporting this feature also requires the support of feature RelativeProximity.</w:t>
            </w:r>
          </w:p>
        </w:tc>
      </w:tr>
      <w:tr w:rsidR="00F525B2" w14:paraId="1D7CF936" w14:textId="77777777">
        <w:trPr>
          <w:gridAfter w:val="2"/>
          <w:wAfter w:w="111" w:type="dxa"/>
          <w:jc w:val="center"/>
        </w:trPr>
        <w:tc>
          <w:tcPr>
            <w:tcW w:w="1415" w:type="dxa"/>
            <w:gridSpan w:val="3"/>
            <w:tcBorders>
              <w:top w:val="single" w:sz="6" w:space="0" w:color="auto"/>
              <w:left w:val="single" w:sz="6" w:space="0" w:color="auto"/>
              <w:bottom w:val="single" w:sz="6" w:space="0" w:color="auto"/>
              <w:right w:val="single" w:sz="6" w:space="0" w:color="auto"/>
            </w:tcBorders>
          </w:tcPr>
          <w:p w14:paraId="4A55770C" w14:textId="77777777" w:rsidR="00F525B2" w:rsidRDefault="00F525B2" w:rsidP="00F525B2">
            <w:pPr>
              <w:pStyle w:val="TAL"/>
              <w:rPr>
                <w:lang w:eastAsia="zh-CN"/>
              </w:rPr>
            </w:pPr>
            <w:r>
              <w:rPr>
                <w:lang w:eastAsia="zh-CN"/>
              </w:rPr>
              <w:t>6</w:t>
            </w:r>
            <w:r>
              <w:rPr>
                <w:rFonts w:hint="eastAsia"/>
                <w:lang w:eastAsia="zh-CN"/>
              </w:rPr>
              <w:t>2</w:t>
            </w:r>
          </w:p>
        </w:tc>
        <w:tc>
          <w:tcPr>
            <w:tcW w:w="2885" w:type="dxa"/>
            <w:gridSpan w:val="3"/>
            <w:tcBorders>
              <w:top w:val="single" w:sz="6" w:space="0" w:color="auto"/>
              <w:left w:val="single" w:sz="6" w:space="0" w:color="auto"/>
              <w:bottom w:val="single" w:sz="6" w:space="0" w:color="auto"/>
              <w:right w:val="single" w:sz="6" w:space="0" w:color="auto"/>
            </w:tcBorders>
          </w:tcPr>
          <w:p w14:paraId="4BC4F6ED" w14:textId="77777777" w:rsidR="00F525B2" w:rsidRDefault="00F525B2" w:rsidP="00F525B2">
            <w:pPr>
              <w:pStyle w:val="TAL"/>
              <w:rPr>
                <w:lang w:eastAsia="zh-CN"/>
              </w:rPr>
            </w:pPr>
            <w:r>
              <w:rPr>
                <w:lang w:eastAsia="zh-CN"/>
              </w:rPr>
              <w:t>QoSPolicyAssist</w:t>
            </w:r>
          </w:p>
        </w:tc>
        <w:tc>
          <w:tcPr>
            <w:tcW w:w="5201" w:type="dxa"/>
            <w:gridSpan w:val="3"/>
            <w:tcBorders>
              <w:top w:val="single" w:sz="6" w:space="0" w:color="auto"/>
              <w:left w:val="single" w:sz="6" w:space="0" w:color="auto"/>
              <w:bottom w:val="single" w:sz="6" w:space="0" w:color="auto"/>
              <w:right w:val="single" w:sz="6" w:space="0" w:color="auto"/>
            </w:tcBorders>
          </w:tcPr>
          <w:p w14:paraId="5E41CDB1" w14:textId="77777777" w:rsidR="00F525B2" w:rsidRDefault="00F525B2" w:rsidP="00F525B2">
            <w:pPr>
              <w:pStyle w:val="TAL"/>
              <w:rPr>
                <w:lang w:eastAsia="zh-CN"/>
              </w:rPr>
            </w:pPr>
            <w:r>
              <w:rPr>
                <w:lang w:eastAsia="zh-CN"/>
              </w:rPr>
              <w:t>This feature indicates support for the QoS and Policy Assistance</w:t>
            </w:r>
            <w:r w:rsidRPr="008558A9">
              <w:rPr>
                <w:lang w:eastAsia="zh-CN"/>
              </w:rPr>
              <w:t xml:space="preserve"> Analytics</w:t>
            </w:r>
            <w:r>
              <w:rPr>
                <w:lang w:eastAsia="zh-CN"/>
              </w:rPr>
              <w:t>.</w:t>
            </w:r>
          </w:p>
        </w:tc>
      </w:tr>
    </w:tbl>
    <w:p w14:paraId="5E715466" w14:textId="77777777" w:rsidR="00A10B25" w:rsidRDefault="00A10B25"/>
    <w:p w14:paraId="3CBFA758" w14:textId="77777777" w:rsidR="00A10B25" w:rsidRDefault="00A10B25">
      <w:pPr>
        <w:pStyle w:val="3"/>
        <w:rPr>
          <w:lang w:val="en-US"/>
        </w:rPr>
      </w:pPr>
      <w:bookmarkStart w:id="9582" w:name="_Toc138754335"/>
      <w:bookmarkStart w:id="9583" w:name="_Toc136562501"/>
      <w:bookmarkStart w:id="9584" w:name="_Toc145705830"/>
      <w:bookmarkStart w:id="9585" w:name="_Toc148522740"/>
      <w:bookmarkStart w:id="9586" w:name="_Toc164920926"/>
      <w:bookmarkStart w:id="9587" w:name="_Toc170120468"/>
      <w:bookmarkStart w:id="9588" w:name="_Toc175858713"/>
      <w:bookmarkStart w:id="9589" w:name="_Toc175859786"/>
      <w:bookmarkStart w:id="9590" w:name="_Toc180606076"/>
      <w:bookmarkStart w:id="9591" w:name="_Toc185517337"/>
      <w:bookmarkStart w:id="9592" w:name="_Toc191576388"/>
      <w:bookmarkStart w:id="9593" w:name="_Toc191577128"/>
      <w:bookmarkStart w:id="9594" w:name="_Toc192880198"/>
      <w:bookmarkStart w:id="9595" w:name="_Toc195815087"/>
      <w:bookmarkStart w:id="9596" w:name="_Toc199453054"/>
      <w:r>
        <w:rPr>
          <w:lang w:val="en-US"/>
        </w:rPr>
        <w:t>5.1.9</w:t>
      </w:r>
      <w:r>
        <w:rPr>
          <w:lang w:val="en-US"/>
        </w:rPr>
        <w:tab/>
        <w:t>Security</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1F83B017" w14:textId="77777777" w:rsidR="00A10B25" w:rsidRDefault="00A10B25">
      <w:pPr>
        <w:rPr>
          <w:rFonts w:eastAsia="等线"/>
        </w:rPr>
      </w:pPr>
      <w:r>
        <w:rPr>
          <w:rFonts w:eastAsia="等线"/>
        </w:rPr>
        <w:t xml:space="preserve">As indicated in 3GPP TS 33.501 [13] and 3GPP TS 29.500 [6], the access to the </w:t>
      </w:r>
      <w:r>
        <w:rPr>
          <w:rFonts w:eastAsia="等线"/>
          <w:lang w:val="en-US" w:eastAsia="zh-CN"/>
        </w:rPr>
        <w:t xml:space="preserve">Nnwdaf_EventsSubscription </w:t>
      </w:r>
      <w:r>
        <w:rPr>
          <w:rFonts w:eastAsia="等线"/>
        </w:rPr>
        <w:t>API may be authorized by means of the OAuth2 protocol (see IETF RFC 6749 [14]), based on local configuration, using the "Client Credentials" authorization grant, where the NRF (see 3GPP TS 29.510 [12]) plays the role of the authorization server.</w:t>
      </w:r>
    </w:p>
    <w:p w14:paraId="1A072305" w14:textId="77777777" w:rsidR="00A10B25" w:rsidRDefault="00A10B25">
      <w:pPr>
        <w:rPr>
          <w:rFonts w:eastAsia="等线"/>
        </w:rPr>
      </w:pPr>
      <w:r>
        <w:rPr>
          <w:rFonts w:eastAsia="等线"/>
        </w:rPr>
        <w:t xml:space="preserve">If OAuth2 is used, an NF service consumer, prior to consuming services offered by the </w:t>
      </w:r>
      <w:r>
        <w:rPr>
          <w:rFonts w:eastAsia="等线"/>
          <w:lang w:val="en-US" w:eastAsia="zh-CN"/>
        </w:rPr>
        <w:t xml:space="preserve">Nnwdaf_EventsSubscription </w:t>
      </w:r>
      <w:r>
        <w:rPr>
          <w:rFonts w:eastAsia="等线"/>
        </w:rPr>
        <w:t>API, shall obtain a "token" from the authorization server, by invoking the Access Token Request service, as described in 3GPP TS 29.510 [12], clause 5.4.2.2.</w:t>
      </w:r>
    </w:p>
    <w:p w14:paraId="1ED7474B" w14:textId="77777777" w:rsidR="00A10B25" w:rsidRDefault="00A10B25">
      <w:pPr>
        <w:pStyle w:val="NO"/>
      </w:pPr>
      <w:r>
        <w:t>NOTE:</w:t>
      </w:r>
      <w:r>
        <w:tab/>
        <w:t>When multiple NRFs are deployed in a network, the NRF used as authorization server is the same NRF that the NF service consumer used for discovering the Nnwdaf_EventsSubscription service.</w:t>
      </w:r>
    </w:p>
    <w:p w14:paraId="43D6BEDE" w14:textId="77777777" w:rsidR="00A10B25" w:rsidRDefault="00A10B25">
      <w:bookmarkStart w:id="9597" w:name="_Toc112951226"/>
      <w:bookmarkStart w:id="9598" w:name="_Toc56641014"/>
      <w:bookmarkStart w:id="9599" w:name="_Toc83233131"/>
      <w:bookmarkStart w:id="9600" w:name="_Toc113031766"/>
      <w:bookmarkStart w:id="9601" w:name="_Toc104539103"/>
      <w:bookmarkStart w:id="9602" w:name="_Toc51762945"/>
      <w:bookmarkStart w:id="9603" w:name="_Toc43563547"/>
      <w:bookmarkStart w:id="9604" w:name="_Toc36102503"/>
      <w:bookmarkStart w:id="9605" w:name="_Toc50032025"/>
      <w:bookmarkStart w:id="9606" w:name="_Toc94064344"/>
      <w:bookmarkStart w:id="9607" w:name="_Toc114133905"/>
      <w:bookmarkStart w:id="9608" w:name="_Toc98233731"/>
      <w:bookmarkStart w:id="9609" w:name="_Toc90655939"/>
      <w:bookmarkStart w:id="9610" w:name="_Toc70550678"/>
      <w:bookmarkStart w:id="9611" w:name="_Toc88667654"/>
      <w:bookmarkStart w:id="9612" w:name="_Toc45134093"/>
      <w:bookmarkStart w:id="9613" w:name="_Toc59017982"/>
      <w:bookmarkStart w:id="9614" w:name="_Toc34266332"/>
      <w:bookmarkStart w:id="9615" w:name="_Toc85557146"/>
      <w:bookmarkStart w:id="9616" w:name="_Toc85553047"/>
      <w:bookmarkStart w:id="9617" w:name="_Toc68169011"/>
      <w:bookmarkStart w:id="9618" w:name="_Toc28012846"/>
      <w:bookmarkStart w:id="9619" w:name="_Toc120702406"/>
      <w:bookmarkStart w:id="9620" w:name="_Toc66231850"/>
      <w:bookmarkStart w:id="9621" w:name="_Toc101244508"/>
      <w:bookmarkEnd w:id="9580"/>
      <w:r>
        <w:rPr>
          <w:rFonts w:eastAsia="等线"/>
          <w:lang w:val="en-US"/>
        </w:rPr>
        <w:t xml:space="preserve">The </w:t>
      </w:r>
      <w:r>
        <w:rPr>
          <w:rFonts w:eastAsia="等线"/>
          <w:lang w:val="en-US" w:eastAsia="zh-CN"/>
        </w:rPr>
        <w:t xml:space="preserve">Nnwdaf_EventsSubscription </w:t>
      </w:r>
      <w:r>
        <w:rPr>
          <w:rFonts w:eastAsia="等线"/>
          <w:lang w:val="en-US"/>
        </w:rPr>
        <w:t>API defines</w:t>
      </w:r>
      <w:r>
        <w:rPr>
          <w:lang w:val="en-US"/>
        </w:rPr>
        <w:t xml:space="preserve"> </w:t>
      </w:r>
      <w:r>
        <w:t xml:space="preserve">the following scopes for OAuth2 authorization as described in </w:t>
      </w:r>
      <w:r>
        <w:rPr>
          <w:rFonts w:eastAsia="等线"/>
        </w:rPr>
        <w:t>3GPP TS 29.501 [7], clause 4.x</w:t>
      </w:r>
      <w:r>
        <w:t>.</w:t>
      </w:r>
    </w:p>
    <w:p w14:paraId="20653473" w14:textId="77777777" w:rsidR="00A10B25" w:rsidRDefault="00A10B25">
      <w:pPr>
        <w:pStyle w:val="TH"/>
      </w:pPr>
      <w:r>
        <w:t xml:space="preserve">Table 5.1.9-1: OAuth2 scopes defined in </w:t>
      </w:r>
      <w:r>
        <w:rPr>
          <w:lang w:val="en-US" w:eastAsia="zh-CN"/>
        </w:rPr>
        <w:t xml:space="preserve">Nnwdaf_EventsSubscription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075"/>
        <w:gridCol w:w="6221"/>
      </w:tblGrid>
      <w:tr w:rsidR="00A10B25" w14:paraId="2A2E553C" w14:textId="77777777" w:rsidTr="0076721C">
        <w:tc>
          <w:tcPr>
            <w:tcW w:w="1654" w:type="pct"/>
            <w:shd w:val="clear" w:color="auto" w:fill="C0C0C0"/>
            <w:tcMar>
              <w:top w:w="0" w:type="dxa"/>
              <w:left w:w="108" w:type="dxa"/>
              <w:bottom w:w="0" w:type="dxa"/>
              <w:right w:w="108" w:type="dxa"/>
            </w:tcMar>
          </w:tcPr>
          <w:p w14:paraId="6599E589" w14:textId="77777777" w:rsidR="00A10B25" w:rsidRDefault="00A10B25">
            <w:pPr>
              <w:pStyle w:val="TAH"/>
            </w:pPr>
            <w:r>
              <w:t>Scope</w:t>
            </w:r>
          </w:p>
        </w:tc>
        <w:tc>
          <w:tcPr>
            <w:tcW w:w="3346" w:type="pct"/>
            <w:shd w:val="clear" w:color="auto" w:fill="C0C0C0"/>
            <w:tcMar>
              <w:top w:w="0" w:type="dxa"/>
              <w:left w:w="108" w:type="dxa"/>
              <w:bottom w:w="0" w:type="dxa"/>
              <w:right w:w="108" w:type="dxa"/>
            </w:tcMar>
          </w:tcPr>
          <w:p w14:paraId="5C0796BA" w14:textId="77777777" w:rsidR="00A10B25" w:rsidRDefault="00A10B25">
            <w:pPr>
              <w:pStyle w:val="TAH"/>
            </w:pPr>
            <w:r>
              <w:t>Description</w:t>
            </w:r>
          </w:p>
        </w:tc>
      </w:tr>
      <w:tr w:rsidR="00A10B25" w14:paraId="7C8E0959" w14:textId="77777777" w:rsidTr="0076721C">
        <w:tc>
          <w:tcPr>
            <w:tcW w:w="1654" w:type="pct"/>
            <w:tcMar>
              <w:top w:w="0" w:type="dxa"/>
              <w:left w:w="108" w:type="dxa"/>
              <w:bottom w:w="0" w:type="dxa"/>
              <w:right w:w="108" w:type="dxa"/>
            </w:tcMar>
          </w:tcPr>
          <w:p w14:paraId="4E889558" w14:textId="77777777" w:rsidR="00A10B25" w:rsidRDefault="00A10B25">
            <w:pPr>
              <w:pStyle w:val="TAL"/>
            </w:pPr>
            <w:r>
              <w:t>"nnwdaf-eventssubscription"</w:t>
            </w:r>
          </w:p>
        </w:tc>
        <w:tc>
          <w:tcPr>
            <w:tcW w:w="3346" w:type="pct"/>
            <w:tcMar>
              <w:top w:w="0" w:type="dxa"/>
              <w:left w:w="108" w:type="dxa"/>
              <w:bottom w:w="0" w:type="dxa"/>
              <w:right w:w="108" w:type="dxa"/>
            </w:tcMar>
          </w:tcPr>
          <w:p w14:paraId="68D633CC" w14:textId="77777777" w:rsidR="00A10B25" w:rsidRDefault="00A10B25">
            <w:pPr>
              <w:pStyle w:val="TAL"/>
            </w:pPr>
            <w:r>
              <w:t xml:space="preserve">Access to the </w:t>
            </w:r>
            <w:r>
              <w:rPr>
                <w:lang w:val="en-US" w:eastAsia="zh-CN"/>
              </w:rPr>
              <w:t xml:space="preserve">Nnwdaf_EventsSubscription </w:t>
            </w:r>
            <w:r>
              <w:t>API</w:t>
            </w:r>
          </w:p>
        </w:tc>
      </w:tr>
      <w:tr w:rsidR="00A10B25" w14:paraId="272E5EEC" w14:textId="77777777" w:rsidTr="0076721C">
        <w:tc>
          <w:tcPr>
            <w:tcW w:w="1654" w:type="pct"/>
            <w:tcMar>
              <w:top w:w="0" w:type="dxa"/>
              <w:left w:w="108" w:type="dxa"/>
              <w:bottom w:w="0" w:type="dxa"/>
              <w:right w:w="108" w:type="dxa"/>
            </w:tcMar>
          </w:tcPr>
          <w:p w14:paraId="70099F47" w14:textId="77777777" w:rsidR="00A10B25" w:rsidRDefault="00A10B25">
            <w:pPr>
              <w:pStyle w:val="TAL"/>
            </w:pPr>
            <w:r>
              <w:t>"nnwdaf-eventssubscription:transfer"</w:t>
            </w:r>
          </w:p>
        </w:tc>
        <w:tc>
          <w:tcPr>
            <w:tcW w:w="3346" w:type="pct"/>
            <w:tcMar>
              <w:top w:w="0" w:type="dxa"/>
              <w:left w:w="108" w:type="dxa"/>
              <w:bottom w:w="0" w:type="dxa"/>
              <w:right w:w="108" w:type="dxa"/>
            </w:tcMar>
          </w:tcPr>
          <w:p w14:paraId="3C30620D" w14:textId="77777777" w:rsidR="00A10B25" w:rsidRDefault="00A10B25">
            <w:pPr>
              <w:pStyle w:val="TAL"/>
            </w:pPr>
            <w:r>
              <w:t xml:space="preserve">Access to service operations applying to NWDAF event subscription transfer </w:t>
            </w:r>
          </w:p>
        </w:tc>
      </w:tr>
    </w:tbl>
    <w:p w14:paraId="38FC412D" w14:textId="77777777" w:rsidR="00A10B25" w:rsidRDefault="00A10B25">
      <w:pPr>
        <w:rPr>
          <w:rFonts w:eastAsia="等线"/>
          <w:lang w:val="en-US"/>
        </w:rPr>
      </w:pPr>
    </w:p>
    <w:p w14:paraId="405D3317" w14:textId="77777777" w:rsidR="00A10B25" w:rsidRDefault="00A10B25">
      <w:pPr>
        <w:pStyle w:val="2"/>
      </w:pPr>
      <w:bookmarkStart w:id="9622" w:name="_Toc138754336"/>
      <w:bookmarkStart w:id="9623" w:name="_Toc145705831"/>
      <w:bookmarkStart w:id="9624" w:name="_Toc148522741"/>
      <w:bookmarkStart w:id="9625" w:name="_Toc136562502"/>
      <w:bookmarkStart w:id="9626" w:name="_Toc164920927"/>
      <w:bookmarkStart w:id="9627" w:name="_Toc170120469"/>
      <w:bookmarkStart w:id="9628" w:name="_Toc175858714"/>
      <w:bookmarkStart w:id="9629" w:name="_Toc175859787"/>
      <w:bookmarkStart w:id="9630" w:name="_Toc180606077"/>
      <w:bookmarkStart w:id="9631" w:name="_Toc185517338"/>
      <w:bookmarkStart w:id="9632" w:name="_Toc191576389"/>
      <w:bookmarkStart w:id="9633" w:name="_Toc191577129"/>
      <w:bookmarkStart w:id="9634" w:name="_Toc192880199"/>
      <w:bookmarkStart w:id="9635" w:name="_Toc195815088"/>
      <w:bookmarkStart w:id="9636" w:name="_Toc199453055"/>
      <w:r>
        <w:rPr>
          <w:lang w:eastAsia="zh-CN"/>
        </w:rPr>
        <w:t>5.</w:t>
      </w:r>
      <w:r>
        <w:rPr>
          <w:rFonts w:hint="eastAsia"/>
          <w:lang w:eastAsia="zh-CN"/>
        </w:rPr>
        <w:t>2</w:t>
      </w:r>
      <w:r>
        <w:tab/>
        <w:t>Nnwdaf_AnalyticsInfo Service API</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527DC7BB" w14:textId="77777777" w:rsidR="00A10B25" w:rsidRDefault="00A10B25">
      <w:pPr>
        <w:pStyle w:val="3"/>
        <w:rPr>
          <w:lang w:val="en-US"/>
        </w:rPr>
      </w:pPr>
      <w:bookmarkStart w:id="9637" w:name="_Toc28012847"/>
      <w:bookmarkStart w:id="9638" w:name="_Toc83233132"/>
      <w:bookmarkStart w:id="9639" w:name="_Toc90655940"/>
      <w:bookmarkStart w:id="9640" w:name="_Toc36102504"/>
      <w:bookmarkStart w:id="9641" w:name="_Toc112951227"/>
      <w:bookmarkStart w:id="9642" w:name="_Toc43563548"/>
      <w:bookmarkStart w:id="9643" w:name="_Toc113031767"/>
      <w:bookmarkStart w:id="9644" w:name="_Toc88667655"/>
      <w:bookmarkStart w:id="9645" w:name="_Toc85553048"/>
      <w:bookmarkStart w:id="9646" w:name="_Toc136562503"/>
      <w:bookmarkStart w:id="9647" w:name="_Toc50032026"/>
      <w:bookmarkStart w:id="9648" w:name="_Toc45134094"/>
      <w:bookmarkStart w:id="9649" w:name="_Toc59017983"/>
      <w:bookmarkStart w:id="9650" w:name="_Toc56641015"/>
      <w:bookmarkStart w:id="9651" w:name="_Toc94064345"/>
      <w:bookmarkStart w:id="9652" w:name="_Toc104539104"/>
      <w:bookmarkStart w:id="9653" w:name="_Toc120702407"/>
      <w:bookmarkStart w:id="9654" w:name="_Toc114133906"/>
      <w:bookmarkStart w:id="9655" w:name="_Toc85557147"/>
      <w:bookmarkStart w:id="9656" w:name="_Toc98233732"/>
      <w:bookmarkStart w:id="9657" w:name="_Toc70550679"/>
      <w:bookmarkStart w:id="9658" w:name="_Toc101244509"/>
      <w:bookmarkStart w:id="9659" w:name="_Toc51762946"/>
      <w:bookmarkStart w:id="9660" w:name="_Toc34266333"/>
      <w:bookmarkStart w:id="9661" w:name="_Toc145705832"/>
      <w:bookmarkStart w:id="9662" w:name="_Toc148522742"/>
      <w:bookmarkStart w:id="9663" w:name="_Toc68169012"/>
      <w:bookmarkStart w:id="9664" w:name="_Toc138754337"/>
      <w:bookmarkStart w:id="9665" w:name="_Toc66231851"/>
      <w:bookmarkStart w:id="9666" w:name="_Toc164920928"/>
      <w:bookmarkStart w:id="9667" w:name="_Toc170120470"/>
      <w:bookmarkStart w:id="9668" w:name="_Toc175858715"/>
      <w:bookmarkStart w:id="9669" w:name="_Toc175859788"/>
      <w:bookmarkStart w:id="9670" w:name="_Toc180606078"/>
      <w:bookmarkStart w:id="9671" w:name="_Toc185517339"/>
      <w:bookmarkStart w:id="9672" w:name="_Toc191576390"/>
      <w:bookmarkStart w:id="9673" w:name="_Toc191577130"/>
      <w:bookmarkStart w:id="9674" w:name="_Toc192880200"/>
      <w:bookmarkStart w:id="9675" w:name="_Toc195815089"/>
      <w:bookmarkStart w:id="9676" w:name="_Toc199453056"/>
      <w:r>
        <w:rPr>
          <w:lang w:val="en-US"/>
        </w:rPr>
        <w:t>5.</w:t>
      </w:r>
      <w:r>
        <w:rPr>
          <w:rFonts w:hint="eastAsia"/>
          <w:lang w:val="en-US"/>
        </w:rPr>
        <w:t>2.</w:t>
      </w:r>
      <w:r>
        <w:rPr>
          <w:lang w:val="en-US"/>
        </w:rPr>
        <w:t>1</w:t>
      </w:r>
      <w:r>
        <w:rPr>
          <w:lang w:val="en-US"/>
        </w:rPr>
        <w:tab/>
        <w:t>Introduction</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3E642AA0" w14:textId="77777777" w:rsidR="004D166F" w:rsidRDefault="004D166F" w:rsidP="004D166F">
      <w:pPr>
        <w:rPr>
          <w:lang w:eastAsia="zh-CN"/>
        </w:rPr>
      </w:pPr>
      <w:bookmarkStart w:id="9677" w:name="_Toc104539105"/>
      <w:bookmarkStart w:id="9678" w:name="_Toc113031768"/>
      <w:bookmarkStart w:id="9679" w:name="_Toc85557148"/>
      <w:bookmarkStart w:id="9680" w:name="_Toc120702408"/>
      <w:bookmarkStart w:id="9681" w:name="_Toc45134095"/>
      <w:bookmarkStart w:id="9682" w:name="_Toc85553049"/>
      <w:bookmarkStart w:id="9683" w:name="_Toc114133907"/>
      <w:bookmarkStart w:id="9684" w:name="_Toc88667656"/>
      <w:bookmarkStart w:id="9685" w:name="_Toc66231852"/>
      <w:bookmarkStart w:id="9686" w:name="_Toc70550680"/>
      <w:bookmarkStart w:id="9687" w:name="_Toc59017984"/>
      <w:bookmarkStart w:id="9688" w:name="_Toc98233733"/>
      <w:bookmarkStart w:id="9689" w:name="_Toc90655941"/>
      <w:bookmarkStart w:id="9690" w:name="_Toc138754338"/>
      <w:bookmarkStart w:id="9691" w:name="_Toc68169013"/>
      <w:bookmarkStart w:id="9692" w:name="_Toc136562504"/>
      <w:bookmarkStart w:id="9693" w:name="_Toc145705833"/>
      <w:bookmarkStart w:id="9694" w:name="_Toc148522743"/>
      <w:bookmarkStart w:id="9695" w:name="_Toc34266334"/>
      <w:bookmarkStart w:id="9696" w:name="_Toc51762947"/>
      <w:bookmarkStart w:id="9697" w:name="_Toc56641016"/>
      <w:bookmarkStart w:id="9698" w:name="_Toc43563549"/>
      <w:bookmarkStart w:id="9699" w:name="_Toc101244510"/>
      <w:bookmarkStart w:id="9700" w:name="_Toc94064346"/>
      <w:bookmarkStart w:id="9701" w:name="_Toc50032027"/>
      <w:bookmarkStart w:id="9702" w:name="_Toc36102505"/>
      <w:bookmarkStart w:id="9703" w:name="_Toc83233133"/>
      <w:bookmarkStart w:id="9704" w:name="_Toc28012848"/>
      <w:bookmarkStart w:id="9705" w:name="_Toc112951228"/>
      <w:bookmarkStart w:id="9706" w:name="_Toc164920929"/>
      <w:bookmarkStart w:id="9707" w:name="_Toc170120471"/>
      <w:bookmarkStart w:id="9708" w:name="_Toc175858716"/>
      <w:bookmarkStart w:id="9709" w:name="_Toc175859789"/>
      <w:bookmarkStart w:id="9710" w:name="_Toc180606079"/>
      <w:bookmarkStart w:id="9711" w:name="_Toc185517340"/>
      <w:r>
        <w:t xml:space="preserve">The Nnwdaf_AnalyticsInfo service shall use the Nnwdaf_AnalyticsInfo </w:t>
      </w:r>
      <w:r>
        <w:rPr>
          <w:lang w:eastAsia="zh-CN"/>
        </w:rPr>
        <w:t>API.</w:t>
      </w:r>
    </w:p>
    <w:p w14:paraId="23C3FFDD" w14:textId="77777777" w:rsidR="004D166F" w:rsidRDefault="004D166F" w:rsidP="004D166F">
      <w:r>
        <w:t>The API URI of the Nnwdaf_AnalyticsInfo</w:t>
      </w:r>
      <w:r>
        <w:rPr>
          <w:lang w:val="en-US"/>
        </w:rPr>
        <w:t xml:space="preserve"> </w:t>
      </w:r>
      <w:r>
        <w:rPr>
          <w:lang w:val="en-US" w:eastAsia="zh-CN"/>
        </w:rPr>
        <w:t xml:space="preserve">API shall be: </w:t>
      </w:r>
    </w:p>
    <w:p w14:paraId="313B7C8E" w14:textId="77777777" w:rsidR="004D166F" w:rsidRPr="0040274B" w:rsidRDefault="004D166F" w:rsidP="004D166F">
      <w:pPr>
        <w:pStyle w:val="B1"/>
        <w:rPr>
          <w:b/>
          <w:lang w:eastAsia="zh-CN"/>
        </w:rPr>
      </w:pPr>
      <w:r w:rsidRPr="0040274B">
        <w:rPr>
          <w:b/>
          <w:lang w:val="en-US"/>
        </w:rPr>
        <w:t>{apiRoot}/&lt;apiName&gt;/&lt;apiVersion&gt;</w:t>
      </w:r>
    </w:p>
    <w:p w14:paraId="52262110" w14:textId="77777777" w:rsidR="004D166F" w:rsidRDefault="004D166F" w:rsidP="004D166F">
      <w:pPr>
        <w:rPr>
          <w:lang w:eastAsia="zh-CN"/>
        </w:rPr>
      </w:pPr>
      <w:r>
        <w:rPr>
          <w:lang w:eastAsia="zh-CN"/>
        </w:rPr>
        <w:t>The request URIs used in each HTTP requests from the NF service consumer towards the NWDAF shall have the Resource URI structure defined in clause 4.4.1 of 3GPP TS 29.501 [7], i.e.:</w:t>
      </w:r>
    </w:p>
    <w:p w14:paraId="1BCF359C" w14:textId="77777777" w:rsidR="004D166F" w:rsidRDefault="004D166F" w:rsidP="004D166F">
      <w:pPr>
        <w:ind w:left="568" w:hanging="284"/>
        <w:rPr>
          <w:b/>
        </w:rPr>
      </w:pPr>
      <w:r>
        <w:rPr>
          <w:b/>
        </w:rPr>
        <w:lastRenderedPageBreak/>
        <w:t>{apiRoot}/&lt;apiName&gt;/&lt;apiVersion&gt;/&lt;apiSpecificResourceUriPart&gt;</w:t>
      </w:r>
    </w:p>
    <w:p w14:paraId="7748707E" w14:textId="77777777" w:rsidR="004D166F" w:rsidRDefault="004D166F" w:rsidP="004D166F">
      <w:pPr>
        <w:rPr>
          <w:lang w:eastAsia="zh-CN"/>
        </w:rPr>
      </w:pPr>
      <w:r>
        <w:rPr>
          <w:lang w:eastAsia="zh-CN"/>
        </w:rPr>
        <w:t>with the following components:</w:t>
      </w:r>
    </w:p>
    <w:p w14:paraId="31109546" w14:textId="77777777" w:rsidR="004D166F" w:rsidRDefault="004D166F" w:rsidP="004D166F">
      <w:pPr>
        <w:pStyle w:val="B1"/>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643B6FE0" w14:textId="77777777" w:rsidR="004D166F" w:rsidRDefault="004D166F" w:rsidP="004D166F">
      <w:pPr>
        <w:pStyle w:val="B1"/>
        <w:rPr>
          <w:lang w:val="en-US"/>
        </w:rPr>
      </w:pPr>
      <w:r>
        <w:rPr>
          <w:lang w:eastAsia="zh-CN"/>
        </w:rPr>
        <w:t>-</w:t>
      </w:r>
      <w:r>
        <w:rPr>
          <w:lang w:eastAsia="zh-CN"/>
        </w:rPr>
        <w:tab/>
        <w:t>The</w:t>
      </w:r>
      <w:r>
        <w:t>&lt;apiName&gt;</w:t>
      </w:r>
      <w:r>
        <w:rPr>
          <w:b/>
        </w:rPr>
        <w:t xml:space="preserve"> </w:t>
      </w:r>
      <w:r>
        <w:t>shall be "nnwdaf-analyticsinfo</w:t>
      </w:r>
      <w:r>
        <w:rPr>
          <w:lang w:val="en-US"/>
        </w:rPr>
        <w:t>".</w:t>
      </w:r>
    </w:p>
    <w:p w14:paraId="573FCF39" w14:textId="77777777" w:rsidR="004D166F" w:rsidRDefault="004D166F" w:rsidP="004D166F">
      <w:pPr>
        <w:pStyle w:val="B1"/>
        <w:rPr>
          <w:lang w:val="en-US"/>
        </w:rPr>
      </w:pPr>
      <w:r>
        <w:rPr>
          <w:lang w:val="en-US"/>
        </w:rPr>
        <w:t>-</w:t>
      </w:r>
      <w:r>
        <w:rPr>
          <w:lang w:val="en-US"/>
        </w:rPr>
        <w:tab/>
        <w:t>The &lt;apiVersion&gt; shall be "v1".</w:t>
      </w:r>
    </w:p>
    <w:p w14:paraId="45FD984C" w14:textId="77777777" w:rsidR="004D166F" w:rsidRDefault="004D166F" w:rsidP="004D166F">
      <w:pPr>
        <w:pStyle w:val="B1"/>
      </w:pPr>
      <w:r>
        <w:rPr>
          <w:lang w:val="en-US"/>
        </w:rPr>
        <w:t>-</w:t>
      </w:r>
      <w:r>
        <w:rPr>
          <w:lang w:val="en-US"/>
        </w:rPr>
        <w:tab/>
        <w:t>The &lt;apiSpecificResourceUriPart&gt; shall be set as described in clause</w:t>
      </w:r>
      <w:r>
        <w:rPr>
          <w:lang w:eastAsia="zh-CN"/>
        </w:rPr>
        <w:t> </w:t>
      </w:r>
      <w:r>
        <w:rPr>
          <w:lang w:val="en-US"/>
        </w:rPr>
        <w:t>5.2.3.</w:t>
      </w:r>
    </w:p>
    <w:p w14:paraId="2CC8663D" w14:textId="77777777" w:rsidR="00A10B25" w:rsidRDefault="00A10B25">
      <w:pPr>
        <w:pStyle w:val="3"/>
        <w:rPr>
          <w:lang w:val="en-US"/>
        </w:rPr>
      </w:pPr>
      <w:bookmarkStart w:id="9712" w:name="_Toc191576391"/>
      <w:bookmarkStart w:id="9713" w:name="_Toc191577131"/>
      <w:bookmarkStart w:id="9714" w:name="_Toc192880201"/>
      <w:bookmarkStart w:id="9715" w:name="_Toc195815090"/>
      <w:bookmarkStart w:id="9716" w:name="_Toc199453057"/>
      <w:r>
        <w:rPr>
          <w:lang w:val="en-US"/>
        </w:rPr>
        <w:t>5.2.2</w:t>
      </w:r>
      <w:r>
        <w:rPr>
          <w:lang w:val="en-US"/>
        </w:rPr>
        <w:tab/>
        <w:t>Usage of HTTP</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1F0708B4" w14:textId="77777777" w:rsidR="00A10B25" w:rsidRDefault="00A10B25">
      <w:pPr>
        <w:pStyle w:val="4"/>
      </w:pPr>
      <w:bookmarkStart w:id="9717" w:name="_Toc85557149"/>
      <w:bookmarkStart w:id="9718" w:name="_Toc34266335"/>
      <w:bookmarkStart w:id="9719" w:name="_Toc101244511"/>
      <w:bookmarkStart w:id="9720" w:name="_Toc50032028"/>
      <w:bookmarkStart w:id="9721" w:name="_Toc120702409"/>
      <w:bookmarkStart w:id="9722" w:name="_Toc88667657"/>
      <w:bookmarkStart w:id="9723" w:name="_Toc45134096"/>
      <w:bookmarkStart w:id="9724" w:name="_Toc90655942"/>
      <w:bookmarkStart w:id="9725" w:name="_Toc66231853"/>
      <w:bookmarkStart w:id="9726" w:name="_Toc59017985"/>
      <w:bookmarkStart w:id="9727" w:name="_Toc83233134"/>
      <w:bookmarkStart w:id="9728" w:name="_Toc98233734"/>
      <w:bookmarkStart w:id="9729" w:name="_Toc112951229"/>
      <w:bookmarkStart w:id="9730" w:name="_Toc138754339"/>
      <w:bookmarkStart w:id="9731" w:name="_Toc94064347"/>
      <w:bookmarkStart w:id="9732" w:name="_Toc51762948"/>
      <w:bookmarkStart w:id="9733" w:name="_Toc68169014"/>
      <w:bookmarkStart w:id="9734" w:name="_Toc104539106"/>
      <w:bookmarkStart w:id="9735" w:name="_Toc56641017"/>
      <w:bookmarkStart w:id="9736" w:name="_Toc70550681"/>
      <w:bookmarkStart w:id="9737" w:name="_Toc28012849"/>
      <w:bookmarkStart w:id="9738" w:name="_Toc43563550"/>
      <w:bookmarkStart w:id="9739" w:name="_Toc114133908"/>
      <w:bookmarkStart w:id="9740" w:name="_Toc113031769"/>
      <w:bookmarkStart w:id="9741" w:name="_Toc36102506"/>
      <w:bookmarkStart w:id="9742" w:name="_Toc148522744"/>
      <w:bookmarkStart w:id="9743" w:name="_Toc85553050"/>
      <w:bookmarkStart w:id="9744" w:name="_Toc145705834"/>
      <w:bookmarkStart w:id="9745" w:name="_Toc136562505"/>
      <w:bookmarkStart w:id="9746" w:name="_Toc164920930"/>
      <w:bookmarkStart w:id="9747" w:name="_Toc170120472"/>
      <w:bookmarkStart w:id="9748" w:name="_Toc175858717"/>
      <w:bookmarkStart w:id="9749" w:name="_Toc175859790"/>
      <w:bookmarkStart w:id="9750" w:name="_Toc180606080"/>
      <w:bookmarkStart w:id="9751" w:name="_Toc185517341"/>
      <w:bookmarkStart w:id="9752" w:name="_Toc191576392"/>
      <w:bookmarkStart w:id="9753" w:name="_Toc191577132"/>
      <w:bookmarkStart w:id="9754" w:name="_Toc192880202"/>
      <w:bookmarkStart w:id="9755" w:name="_Toc195815091"/>
      <w:bookmarkStart w:id="9756" w:name="_Toc199453058"/>
      <w:r>
        <w:t>5.2.2.1</w:t>
      </w:r>
      <w:r>
        <w:tab/>
        <w:t>General</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6BE5B35C" w14:textId="77777777" w:rsidR="00A10B25" w:rsidRDefault="00A10B25">
      <w:bookmarkStart w:id="9757" w:name="_Toc120702410"/>
      <w:bookmarkStart w:id="9758" w:name="_Toc68169015"/>
      <w:bookmarkStart w:id="9759" w:name="_Toc112951230"/>
      <w:bookmarkStart w:id="9760" w:name="_Toc98233735"/>
      <w:bookmarkStart w:id="9761" w:name="_Toc56641018"/>
      <w:bookmarkStart w:id="9762" w:name="_Toc85557150"/>
      <w:bookmarkStart w:id="9763" w:name="_Toc70550682"/>
      <w:bookmarkStart w:id="9764" w:name="_Toc104539107"/>
      <w:bookmarkStart w:id="9765" w:name="_Toc66231854"/>
      <w:bookmarkStart w:id="9766" w:name="_Toc83233135"/>
      <w:bookmarkStart w:id="9767" w:name="_Toc85553051"/>
      <w:bookmarkStart w:id="9768" w:name="_Toc34266336"/>
      <w:bookmarkStart w:id="9769" w:name="_Toc138754340"/>
      <w:bookmarkStart w:id="9770" w:name="_Toc45134097"/>
      <w:bookmarkStart w:id="9771" w:name="_Toc136562506"/>
      <w:bookmarkStart w:id="9772" w:name="_Toc59017986"/>
      <w:bookmarkStart w:id="9773" w:name="_Toc145705835"/>
      <w:bookmarkStart w:id="9774" w:name="_Toc43563551"/>
      <w:bookmarkStart w:id="9775" w:name="_Toc113031770"/>
      <w:bookmarkStart w:id="9776" w:name="_Toc90655943"/>
      <w:bookmarkStart w:id="9777" w:name="_Toc94064348"/>
      <w:bookmarkStart w:id="9778" w:name="_Toc114133909"/>
      <w:bookmarkStart w:id="9779" w:name="_Toc51762949"/>
      <w:bookmarkStart w:id="9780" w:name="_Toc36102507"/>
      <w:bookmarkStart w:id="9781" w:name="_Toc28012850"/>
      <w:bookmarkStart w:id="9782" w:name="_Toc101244512"/>
      <w:bookmarkStart w:id="9783" w:name="_Toc88667658"/>
      <w:bookmarkStart w:id="9784" w:name="_Toc148522745"/>
      <w:bookmarkStart w:id="9785" w:name="_Toc50032029"/>
      <w:r>
        <w:t>HTTP</w:t>
      </w:r>
      <w:r>
        <w:rPr>
          <w:lang w:eastAsia="zh-CN"/>
        </w:rPr>
        <w:t xml:space="preserve">/2, IETF RFC 9113 [9], </w:t>
      </w:r>
      <w:r>
        <w:t>shall be used as specified in clause 5 of 3GPP TS 29.500 [6].</w:t>
      </w:r>
    </w:p>
    <w:p w14:paraId="661EC5AF" w14:textId="77777777" w:rsidR="00A10B25" w:rsidRDefault="00A10B25">
      <w:r>
        <w:t>HTTP/2 shall be transported as specified in clause 5.3 of 3GPP TS 29.500 [6].</w:t>
      </w:r>
    </w:p>
    <w:p w14:paraId="4592AEC1" w14:textId="77777777" w:rsidR="00A10B25" w:rsidRDefault="00A10B25">
      <w:r>
        <w:t>The OpenAPI [11] specification of HTTP messages and content bodies for the Nnwdaf_AnalyticsInfo is contained in Annex A.</w:t>
      </w:r>
    </w:p>
    <w:p w14:paraId="2746F656" w14:textId="77777777" w:rsidR="00A10B25" w:rsidRDefault="00A10B25">
      <w:pPr>
        <w:pStyle w:val="4"/>
      </w:pPr>
      <w:bookmarkStart w:id="9786" w:name="_Toc164920931"/>
      <w:bookmarkStart w:id="9787" w:name="_Toc170120473"/>
      <w:bookmarkStart w:id="9788" w:name="_Toc175858718"/>
      <w:bookmarkStart w:id="9789" w:name="_Toc175859791"/>
      <w:bookmarkStart w:id="9790" w:name="_Toc180606081"/>
      <w:bookmarkStart w:id="9791" w:name="_Toc185517342"/>
      <w:bookmarkStart w:id="9792" w:name="_Toc191576393"/>
      <w:bookmarkStart w:id="9793" w:name="_Toc191577133"/>
      <w:bookmarkStart w:id="9794" w:name="_Toc192880203"/>
      <w:bookmarkStart w:id="9795" w:name="_Toc195815092"/>
      <w:bookmarkStart w:id="9796" w:name="_Toc199453059"/>
      <w:r>
        <w:t>5.2.2.2</w:t>
      </w:r>
      <w:r>
        <w:tab/>
        <w:t>HTTP standard headers</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6864FB02" w14:textId="77777777" w:rsidR="00A10B25" w:rsidRDefault="00A10B25">
      <w:pPr>
        <w:pStyle w:val="5"/>
      </w:pPr>
      <w:bookmarkStart w:id="9797" w:name="_Toc120702411"/>
      <w:bookmarkStart w:id="9798" w:name="_Toc36102508"/>
      <w:bookmarkStart w:id="9799" w:name="_Toc113031771"/>
      <w:bookmarkStart w:id="9800" w:name="_Toc83233136"/>
      <w:bookmarkStart w:id="9801" w:name="_Toc50032030"/>
      <w:bookmarkStart w:id="9802" w:name="_Toc59017987"/>
      <w:bookmarkStart w:id="9803" w:name="_Toc85557151"/>
      <w:bookmarkStart w:id="9804" w:name="_Toc90655944"/>
      <w:bookmarkStart w:id="9805" w:name="_Toc34266337"/>
      <w:bookmarkStart w:id="9806" w:name="_Toc66231855"/>
      <w:bookmarkStart w:id="9807" w:name="_Toc70550683"/>
      <w:bookmarkStart w:id="9808" w:name="_Toc28012851"/>
      <w:bookmarkStart w:id="9809" w:name="_Toc88667659"/>
      <w:bookmarkStart w:id="9810" w:name="_Toc101244513"/>
      <w:bookmarkStart w:id="9811" w:name="_Toc94064349"/>
      <w:bookmarkStart w:id="9812" w:name="_Toc85553052"/>
      <w:bookmarkStart w:id="9813" w:name="_Toc104539108"/>
      <w:bookmarkStart w:id="9814" w:name="_Toc114133910"/>
      <w:bookmarkStart w:id="9815" w:name="_Toc56641019"/>
      <w:bookmarkStart w:id="9816" w:name="_Toc45134098"/>
      <w:bookmarkStart w:id="9817" w:name="_Toc98233736"/>
      <w:bookmarkStart w:id="9818" w:name="_Toc145705836"/>
      <w:bookmarkStart w:id="9819" w:name="_Toc138754341"/>
      <w:bookmarkStart w:id="9820" w:name="_Toc112951231"/>
      <w:bookmarkStart w:id="9821" w:name="_Toc43563552"/>
      <w:bookmarkStart w:id="9822" w:name="_Toc51762950"/>
      <w:bookmarkStart w:id="9823" w:name="_Toc68169016"/>
      <w:bookmarkStart w:id="9824" w:name="_Toc148522746"/>
      <w:bookmarkStart w:id="9825" w:name="_Toc136562507"/>
      <w:bookmarkStart w:id="9826" w:name="_Toc164920932"/>
      <w:bookmarkStart w:id="9827" w:name="_Toc170120474"/>
      <w:bookmarkStart w:id="9828" w:name="_Toc175858719"/>
      <w:bookmarkStart w:id="9829" w:name="_Toc175859792"/>
      <w:bookmarkStart w:id="9830" w:name="_Toc180606082"/>
      <w:bookmarkStart w:id="9831" w:name="_Toc185517343"/>
      <w:bookmarkStart w:id="9832" w:name="_Toc191576394"/>
      <w:bookmarkStart w:id="9833" w:name="_Toc191577134"/>
      <w:bookmarkStart w:id="9834" w:name="_Toc192880204"/>
      <w:bookmarkStart w:id="9835" w:name="_Toc195815093"/>
      <w:bookmarkStart w:id="9836" w:name="_Toc199453060"/>
      <w:r>
        <w:t>5.2.2.2.1</w:t>
      </w:r>
      <w:r>
        <w:tab/>
        <w:t>General</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04FE7DA8" w14:textId="77777777" w:rsidR="00A10B25" w:rsidRDefault="00A10B25">
      <w:r>
        <w:t>See clause 5.2.2 of 3GPP TS 29.500 [6] for the usage of HTTP standard headers.</w:t>
      </w:r>
    </w:p>
    <w:p w14:paraId="32274829" w14:textId="77777777" w:rsidR="00A10B25" w:rsidRDefault="00A10B25">
      <w:pPr>
        <w:pStyle w:val="5"/>
      </w:pPr>
      <w:bookmarkStart w:id="9837" w:name="_Toc120702412"/>
      <w:bookmarkStart w:id="9838" w:name="_Toc68169017"/>
      <w:bookmarkStart w:id="9839" w:name="_Toc88667660"/>
      <w:bookmarkStart w:id="9840" w:name="_Toc34266338"/>
      <w:bookmarkStart w:id="9841" w:name="_Toc104539109"/>
      <w:bookmarkStart w:id="9842" w:name="_Toc98233737"/>
      <w:bookmarkStart w:id="9843" w:name="_Toc112951232"/>
      <w:bookmarkStart w:id="9844" w:name="_Toc85557152"/>
      <w:bookmarkStart w:id="9845" w:name="_Toc56641020"/>
      <w:bookmarkStart w:id="9846" w:name="_Toc51762951"/>
      <w:bookmarkStart w:id="9847" w:name="_Toc113031772"/>
      <w:bookmarkStart w:id="9848" w:name="_Toc85553053"/>
      <w:bookmarkStart w:id="9849" w:name="_Toc36102509"/>
      <w:bookmarkStart w:id="9850" w:name="_Toc101244514"/>
      <w:bookmarkStart w:id="9851" w:name="_Toc83233137"/>
      <w:bookmarkStart w:id="9852" w:name="_Toc28012852"/>
      <w:bookmarkStart w:id="9853" w:name="_Toc50032031"/>
      <w:bookmarkStart w:id="9854" w:name="_Toc45134099"/>
      <w:bookmarkStart w:id="9855" w:name="_Toc136562508"/>
      <w:bookmarkStart w:id="9856" w:name="_Toc70550684"/>
      <w:bookmarkStart w:id="9857" w:name="_Toc59017988"/>
      <w:bookmarkStart w:id="9858" w:name="_Toc66231856"/>
      <w:bookmarkStart w:id="9859" w:name="_Toc138754342"/>
      <w:bookmarkStart w:id="9860" w:name="_Toc114133911"/>
      <w:bookmarkStart w:id="9861" w:name="_Toc145705837"/>
      <w:bookmarkStart w:id="9862" w:name="_Toc43563553"/>
      <w:bookmarkStart w:id="9863" w:name="_Toc148522747"/>
      <w:bookmarkStart w:id="9864" w:name="_Toc94064350"/>
      <w:bookmarkStart w:id="9865" w:name="_Toc90655945"/>
      <w:bookmarkStart w:id="9866" w:name="_Toc164920933"/>
      <w:bookmarkStart w:id="9867" w:name="_Toc170120475"/>
      <w:bookmarkStart w:id="9868" w:name="_Toc175858720"/>
      <w:bookmarkStart w:id="9869" w:name="_Toc175859793"/>
      <w:bookmarkStart w:id="9870" w:name="_Toc180606083"/>
      <w:bookmarkStart w:id="9871" w:name="_Toc185517344"/>
      <w:bookmarkStart w:id="9872" w:name="_Toc191576395"/>
      <w:bookmarkStart w:id="9873" w:name="_Toc191577135"/>
      <w:bookmarkStart w:id="9874" w:name="_Toc192880205"/>
      <w:bookmarkStart w:id="9875" w:name="_Toc195815094"/>
      <w:bookmarkStart w:id="9876" w:name="_Toc199453061"/>
      <w:r>
        <w:t>5.2.2.2.2</w:t>
      </w:r>
      <w:r>
        <w:tab/>
        <w:t>Content type</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2808143A" w14:textId="77777777" w:rsidR="00A10B25" w:rsidRDefault="00A10B25">
      <w:bookmarkStart w:id="9877" w:name="_Toc70550685"/>
      <w:bookmarkStart w:id="9878" w:name="_Toc101244515"/>
      <w:bookmarkStart w:id="9879" w:name="_Toc88667661"/>
      <w:bookmarkStart w:id="9880" w:name="_Toc34266339"/>
      <w:bookmarkStart w:id="9881" w:name="_Toc94064351"/>
      <w:bookmarkStart w:id="9882" w:name="_Toc85553054"/>
      <w:bookmarkStart w:id="9883" w:name="_Toc136562509"/>
      <w:bookmarkStart w:id="9884" w:name="_Toc50032032"/>
      <w:bookmarkStart w:id="9885" w:name="_Toc51762952"/>
      <w:bookmarkStart w:id="9886" w:name="_Toc68169018"/>
      <w:bookmarkStart w:id="9887" w:name="_Toc138754343"/>
      <w:bookmarkStart w:id="9888" w:name="_Toc98233738"/>
      <w:bookmarkStart w:id="9889" w:name="_Toc83233138"/>
      <w:bookmarkStart w:id="9890" w:name="_Toc113031773"/>
      <w:bookmarkStart w:id="9891" w:name="_Toc145705838"/>
      <w:bookmarkStart w:id="9892" w:name="_Toc45134100"/>
      <w:bookmarkStart w:id="9893" w:name="_Toc28012853"/>
      <w:bookmarkStart w:id="9894" w:name="_Toc59017989"/>
      <w:bookmarkStart w:id="9895" w:name="_Toc148522748"/>
      <w:bookmarkStart w:id="9896" w:name="_Toc120702413"/>
      <w:bookmarkStart w:id="9897" w:name="_Toc36102510"/>
      <w:bookmarkStart w:id="9898" w:name="_Toc104539110"/>
      <w:bookmarkStart w:id="9899" w:name="_Toc66231857"/>
      <w:bookmarkStart w:id="9900" w:name="_Toc112951233"/>
      <w:bookmarkStart w:id="9901" w:name="_Toc85557153"/>
      <w:bookmarkStart w:id="9902" w:name="_Toc90655946"/>
      <w:bookmarkStart w:id="9903" w:name="_Toc56641021"/>
      <w:bookmarkStart w:id="9904" w:name="_Toc114133912"/>
      <w:bookmarkStart w:id="9905" w:name="_Toc43563554"/>
      <w:r>
        <w:t>JSON, IETF RFC 8259 [10], shall be used as content type of the HTTP bodies specified in the present specification as specified in clause 5.4 of 3GPP TS 29.500 [6]. The use of the JSON format shall be signalled by the content type "application/json".</w:t>
      </w:r>
    </w:p>
    <w:p w14:paraId="58FCCBE9"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7527977D" w14:textId="77777777" w:rsidR="00A10B25" w:rsidRDefault="00A10B25">
      <w:pPr>
        <w:pStyle w:val="4"/>
      </w:pPr>
      <w:bookmarkStart w:id="9906" w:name="_Toc164920934"/>
      <w:bookmarkStart w:id="9907" w:name="_Toc170120476"/>
      <w:bookmarkStart w:id="9908" w:name="_Toc175858721"/>
      <w:bookmarkStart w:id="9909" w:name="_Toc175859794"/>
      <w:bookmarkStart w:id="9910" w:name="_Toc180606084"/>
      <w:bookmarkStart w:id="9911" w:name="_Toc185517345"/>
      <w:bookmarkStart w:id="9912" w:name="_Toc191576396"/>
      <w:bookmarkStart w:id="9913" w:name="_Toc191577136"/>
      <w:bookmarkStart w:id="9914" w:name="_Toc192880206"/>
      <w:bookmarkStart w:id="9915" w:name="_Toc195815095"/>
      <w:bookmarkStart w:id="9916" w:name="_Toc199453062"/>
      <w:r>
        <w:t>5.2.2.3</w:t>
      </w:r>
      <w:r>
        <w:tab/>
        <w:t>HTTP custom headers</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0AEB7B31" w14:textId="77777777" w:rsidR="00A10B25" w:rsidRDefault="00A10B25">
      <w:pPr>
        <w:rPr>
          <w:rFonts w:eastAsia="Batang"/>
        </w:rPr>
      </w:pPr>
      <w:r>
        <w:rPr>
          <w:rFonts w:eastAsia="Batang"/>
        </w:rPr>
        <w:t>The Nnwdaf_AnalyticsInfo Service API</w:t>
      </w:r>
      <w:r>
        <w:rPr>
          <w:rFonts w:eastAsia="Batang"/>
          <w:lang w:eastAsia="zh-CN"/>
        </w:rPr>
        <w:t xml:space="preserve"> shall support the </w:t>
      </w:r>
      <w:r>
        <w:rPr>
          <w:lang w:val="en-US" w:eastAsia="zh-CN"/>
        </w:rPr>
        <w:t>mandatory</w:t>
      </w:r>
      <w:r>
        <w:rPr>
          <w:rFonts w:eastAsia="Batang"/>
          <w:lang w:eastAsia="zh-CN"/>
        </w:rPr>
        <w:t xml:space="preserve"> </w:t>
      </w:r>
      <w:r>
        <w:rPr>
          <w:rFonts w:eastAsia="Batang"/>
        </w:rPr>
        <w:t>HTTP custom header fields specified in clause 5.2.3.2 of 3GPP TS 29.500 [6]</w:t>
      </w:r>
      <w:r>
        <w:t xml:space="preserve"> and may support the </w:t>
      </w:r>
      <w:r>
        <w:rPr>
          <w:lang w:val="en-US" w:eastAsia="zh-CN"/>
        </w:rPr>
        <w:t>optional</w:t>
      </w:r>
      <w:r>
        <w:t xml:space="preserve"> HTTP custom header fields specified in clause 5.2.3.3 of 3GPP TS 29.500 [6]</w:t>
      </w:r>
      <w:r>
        <w:rPr>
          <w:rFonts w:eastAsia="Batang"/>
        </w:rPr>
        <w:t>.</w:t>
      </w:r>
    </w:p>
    <w:p w14:paraId="06E1C61E" w14:textId="77777777" w:rsidR="00A10B25" w:rsidRDefault="00A10B25">
      <w:pPr>
        <w:rPr>
          <w:rFonts w:eastAsia="Batang"/>
        </w:rPr>
      </w:pPr>
      <w:r>
        <w:rPr>
          <w:rFonts w:eastAsia="Batang"/>
          <w:lang w:eastAsia="zh-CN"/>
        </w:rPr>
        <w:t xml:space="preserve">In this release </w:t>
      </w:r>
      <w:r>
        <w:rPr>
          <w:rFonts w:eastAsia="Batang"/>
        </w:rPr>
        <w:t>of the specification, no specific custom headers are defined for the Nnwdaf_AnalyticsInfo Service API.</w:t>
      </w:r>
    </w:p>
    <w:p w14:paraId="1E7A3309" w14:textId="77777777" w:rsidR="00A10B25" w:rsidRDefault="00A10B25">
      <w:pPr>
        <w:pStyle w:val="3"/>
        <w:rPr>
          <w:lang w:val="en-US"/>
        </w:rPr>
      </w:pPr>
      <w:bookmarkStart w:id="9917" w:name="_Toc90655947"/>
      <w:bookmarkStart w:id="9918" w:name="_Toc36102511"/>
      <w:bookmarkStart w:id="9919" w:name="_Toc68169019"/>
      <w:bookmarkStart w:id="9920" w:name="_Toc51762953"/>
      <w:bookmarkStart w:id="9921" w:name="_Toc83233139"/>
      <w:bookmarkStart w:id="9922" w:name="_Toc112951234"/>
      <w:bookmarkStart w:id="9923" w:name="_Toc114133913"/>
      <w:bookmarkStart w:id="9924" w:name="_Toc136562510"/>
      <w:bookmarkStart w:id="9925" w:name="_Toc45134101"/>
      <w:bookmarkStart w:id="9926" w:name="_Toc66231858"/>
      <w:bookmarkStart w:id="9927" w:name="_Toc145705839"/>
      <w:bookmarkStart w:id="9928" w:name="_Toc120702414"/>
      <w:bookmarkStart w:id="9929" w:name="_Toc148522749"/>
      <w:bookmarkStart w:id="9930" w:name="_Toc28012854"/>
      <w:bookmarkStart w:id="9931" w:name="_Toc113031774"/>
      <w:bookmarkStart w:id="9932" w:name="_Toc101244516"/>
      <w:bookmarkStart w:id="9933" w:name="_Toc56641022"/>
      <w:bookmarkStart w:id="9934" w:name="_Toc88667662"/>
      <w:bookmarkStart w:id="9935" w:name="_Toc85557154"/>
      <w:bookmarkStart w:id="9936" w:name="_Toc138754344"/>
      <w:bookmarkStart w:id="9937" w:name="_Toc34266340"/>
      <w:bookmarkStart w:id="9938" w:name="_Toc104539111"/>
      <w:bookmarkStart w:id="9939" w:name="_Toc59017990"/>
      <w:bookmarkStart w:id="9940" w:name="_Toc43563555"/>
      <w:bookmarkStart w:id="9941" w:name="_Toc85553055"/>
      <w:bookmarkStart w:id="9942" w:name="_Toc50032033"/>
      <w:bookmarkStart w:id="9943" w:name="_Toc70550686"/>
      <w:bookmarkStart w:id="9944" w:name="_Toc98233739"/>
      <w:bookmarkStart w:id="9945" w:name="_Toc94064352"/>
      <w:bookmarkStart w:id="9946" w:name="_Toc164920935"/>
      <w:bookmarkStart w:id="9947" w:name="_Toc170120477"/>
      <w:bookmarkStart w:id="9948" w:name="_Toc175858722"/>
      <w:bookmarkStart w:id="9949" w:name="_Toc175859795"/>
      <w:bookmarkStart w:id="9950" w:name="_Toc180606085"/>
      <w:bookmarkStart w:id="9951" w:name="_Toc185517346"/>
      <w:bookmarkStart w:id="9952" w:name="_Toc191576397"/>
      <w:bookmarkStart w:id="9953" w:name="_Toc191577137"/>
      <w:bookmarkStart w:id="9954" w:name="_Toc192880207"/>
      <w:bookmarkStart w:id="9955" w:name="_Toc195815096"/>
      <w:bookmarkStart w:id="9956" w:name="_Toc199453063"/>
      <w:r>
        <w:rPr>
          <w:lang w:val="en-US"/>
        </w:rPr>
        <w:t>5.2.3</w:t>
      </w:r>
      <w:r>
        <w:rPr>
          <w:lang w:val="en-US"/>
        </w:rPr>
        <w:tab/>
        <w:t>Resources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51049458" w14:textId="77777777" w:rsidR="00A10B25" w:rsidRDefault="00A10B25">
      <w:pPr>
        <w:pStyle w:val="4"/>
      </w:pPr>
      <w:bookmarkStart w:id="9957" w:name="_Toc120702415"/>
      <w:bookmarkStart w:id="9958" w:name="_Toc50032034"/>
      <w:bookmarkStart w:id="9959" w:name="_Toc94064353"/>
      <w:bookmarkStart w:id="9960" w:name="_Toc88667663"/>
      <w:bookmarkStart w:id="9961" w:name="_Toc136562511"/>
      <w:bookmarkStart w:id="9962" w:name="_Toc101244517"/>
      <w:bookmarkStart w:id="9963" w:name="_Toc90655948"/>
      <w:bookmarkStart w:id="9964" w:name="_Toc43563556"/>
      <w:bookmarkStart w:id="9965" w:name="_Toc83233140"/>
      <w:bookmarkStart w:id="9966" w:name="_Toc56641023"/>
      <w:bookmarkStart w:id="9967" w:name="_Toc112951235"/>
      <w:bookmarkStart w:id="9968" w:name="_Toc114133914"/>
      <w:bookmarkStart w:id="9969" w:name="_Toc45134102"/>
      <w:bookmarkStart w:id="9970" w:name="_Toc113031775"/>
      <w:bookmarkStart w:id="9971" w:name="_Toc51762954"/>
      <w:bookmarkStart w:id="9972" w:name="_Toc104539112"/>
      <w:bookmarkStart w:id="9973" w:name="_Toc34266341"/>
      <w:bookmarkStart w:id="9974" w:name="_Toc148522750"/>
      <w:bookmarkStart w:id="9975" w:name="_Toc70550687"/>
      <w:bookmarkStart w:id="9976" w:name="_Toc28012855"/>
      <w:bookmarkStart w:id="9977" w:name="_Toc36102512"/>
      <w:bookmarkStart w:id="9978" w:name="_Toc85557155"/>
      <w:bookmarkStart w:id="9979" w:name="_Toc59017991"/>
      <w:bookmarkStart w:id="9980" w:name="_Toc66231859"/>
      <w:bookmarkStart w:id="9981" w:name="_Toc98233740"/>
      <w:bookmarkStart w:id="9982" w:name="_Toc145705840"/>
      <w:bookmarkStart w:id="9983" w:name="_Toc68169020"/>
      <w:bookmarkStart w:id="9984" w:name="_Toc138754345"/>
      <w:bookmarkStart w:id="9985" w:name="_Toc85553056"/>
      <w:bookmarkStart w:id="9986" w:name="_Toc164920936"/>
      <w:bookmarkStart w:id="9987" w:name="_Toc170120478"/>
      <w:bookmarkStart w:id="9988" w:name="_Toc175858723"/>
      <w:bookmarkStart w:id="9989" w:name="_Toc175859796"/>
      <w:bookmarkStart w:id="9990" w:name="_Toc180606086"/>
      <w:bookmarkStart w:id="9991" w:name="_Toc185517347"/>
      <w:bookmarkStart w:id="9992" w:name="_Toc191576398"/>
      <w:bookmarkStart w:id="9993" w:name="_Toc191577138"/>
      <w:bookmarkStart w:id="9994" w:name="_Toc192880208"/>
      <w:bookmarkStart w:id="9995" w:name="_Toc195815097"/>
      <w:bookmarkStart w:id="9996" w:name="_Toc199453064"/>
      <w:r>
        <w:t>5.2.3.1</w:t>
      </w:r>
      <w:r>
        <w:tab/>
        <w:t>Resource Structure</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37BBD706" w14:textId="77777777" w:rsidR="004D166F" w:rsidRDefault="004D166F" w:rsidP="004D166F">
      <w:r>
        <w:t>This clause describes the structure for the Resource URIs and the resources and methods used for the service.</w:t>
      </w:r>
    </w:p>
    <w:p w14:paraId="3C34DFF7" w14:textId="77777777" w:rsidR="00A10B25" w:rsidRDefault="00A10B25">
      <w:r>
        <w:t>Figure 5.2.3.1-1 depicts the resource URIs structure for the Nnwdaf_AnalyticsInfo API.</w:t>
      </w:r>
    </w:p>
    <w:p w14:paraId="5380D7F4" w14:textId="5B1E6B0B" w:rsidR="00A10B25" w:rsidRDefault="00257874">
      <w:pPr>
        <w:pStyle w:val="TH"/>
        <w:rPr>
          <w:lang w:val="en-US"/>
        </w:rPr>
      </w:pPr>
      <w:r>
        <w:rPr>
          <w:noProof/>
          <w:lang w:val="en-US" w:eastAsia="zh-CN"/>
        </w:rPr>
        <w:lastRenderedPageBreak/>
        <w:drawing>
          <wp:inline distT="0" distB="0" distL="0" distR="0" wp14:anchorId="23CD5FAB" wp14:editId="0963F799">
            <wp:extent cx="3585845" cy="1288415"/>
            <wp:effectExtent l="0" t="0" r="0" b="0"/>
            <wp:docPr id="7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585845" cy="1288415"/>
                    </a:xfrm>
                    <a:prstGeom prst="rect">
                      <a:avLst/>
                    </a:prstGeom>
                    <a:noFill/>
                    <a:ln>
                      <a:noFill/>
                    </a:ln>
                  </pic:spPr>
                </pic:pic>
              </a:graphicData>
            </a:graphic>
          </wp:inline>
        </w:drawing>
      </w:r>
    </w:p>
    <w:p w14:paraId="10E98196" w14:textId="77777777" w:rsidR="00A10B25" w:rsidRDefault="00A10B25">
      <w:pPr>
        <w:pStyle w:val="TF"/>
      </w:pPr>
      <w:r>
        <w:t>Figure 5.2.3.1-</w:t>
      </w:r>
      <w:r>
        <w:rPr>
          <w:lang w:eastAsia="zh-CN"/>
        </w:rPr>
        <w:t>1</w:t>
      </w:r>
      <w:r>
        <w:t>: Resource URI structure of the Nnwdaf_AnalyticsInfo API</w:t>
      </w:r>
    </w:p>
    <w:p w14:paraId="691D1814" w14:textId="77777777" w:rsidR="00A10B25" w:rsidRDefault="00A10B25">
      <w:r>
        <w:t>Table 5.2.3.1-1 provides an overview of the resources and applicable HTTP methods.</w:t>
      </w:r>
    </w:p>
    <w:p w14:paraId="1C31A723" w14:textId="77777777" w:rsidR="00A10B25" w:rsidRDefault="00A10B25">
      <w:pPr>
        <w:pStyle w:val="TH"/>
        <w:overflowPunct w:val="0"/>
        <w:autoSpaceDE w:val="0"/>
        <w:autoSpaceDN w:val="0"/>
        <w:adjustRightInd w:val="0"/>
        <w:textAlignment w:val="baseline"/>
        <w:rPr>
          <w:rFonts w:eastAsia="MS Mincho"/>
        </w:rPr>
      </w:pPr>
      <w:r>
        <w:rPr>
          <w:rFonts w:eastAsia="MS Mincho"/>
        </w:rPr>
        <w:t>Table 5.2.3.1-1: Resources and methods overview</w:t>
      </w:r>
    </w:p>
    <w:tbl>
      <w:tblPr>
        <w:tblW w:w="49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70"/>
        <w:gridCol w:w="2930"/>
        <w:gridCol w:w="1739"/>
        <w:gridCol w:w="3142"/>
      </w:tblGrid>
      <w:tr w:rsidR="00A10B25" w14:paraId="7E9FB53B" w14:textId="77777777">
        <w:trPr>
          <w:jc w:val="center"/>
        </w:trPr>
        <w:tc>
          <w:tcPr>
            <w:tcW w:w="881" w:type="pct"/>
            <w:shd w:val="clear" w:color="auto" w:fill="C0C0C0"/>
            <w:vAlign w:val="center"/>
          </w:tcPr>
          <w:p w14:paraId="37E5A476" w14:textId="77777777" w:rsidR="00A10B25" w:rsidRDefault="00A10B25">
            <w:pPr>
              <w:pStyle w:val="TAH"/>
              <w:rPr>
                <w:rFonts w:hint="eastAsia"/>
                <w:lang w:eastAsia="zh-CN"/>
              </w:rPr>
            </w:pPr>
            <w:r>
              <w:t>Resource name</w:t>
            </w:r>
          </w:p>
        </w:tc>
        <w:tc>
          <w:tcPr>
            <w:tcW w:w="1545" w:type="pct"/>
            <w:shd w:val="clear" w:color="auto" w:fill="C0C0C0"/>
            <w:vAlign w:val="center"/>
          </w:tcPr>
          <w:p w14:paraId="7FE305ED" w14:textId="77777777" w:rsidR="00A10B25" w:rsidRDefault="00A10B25">
            <w:pPr>
              <w:pStyle w:val="TAH"/>
            </w:pPr>
            <w:r>
              <w:t>Resource URI</w:t>
            </w:r>
          </w:p>
        </w:tc>
        <w:tc>
          <w:tcPr>
            <w:tcW w:w="917" w:type="pct"/>
            <w:shd w:val="clear" w:color="auto" w:fill="C0C0C0"/>
            <w:vAlign w:val="center"/>
          </w:tcPr>
          <w:p w14:paraId="436744BE" w14:textId="77777777" w:rsidR="00A10B25" w:rsidRDefault="00A10B25">
            <w:pPr>
              <w:pStyle w:val="TAH"/>
            </w:pPr>
            <w:r>
              <w:t>HTTP method or custom operation</w:t>
            </w:r>
          </w:p>
        </w:tc>
        <w:tc>
          <w:tcPr>
            <w:tcW w:w="1657" w:type="pct"/>
            <w:shd w:val="clear" w:color="auto" w:fill="C0C0C0"/>
            <w:vAlign w:val="center"/>
          </w:tcPr>
          <w:p w14:paraId="6BC4F95F" w14:textId="77777777" w:rsidR="00A10B25" w:rsidRDefault="00A10B25">
            <w:pPr>
              <w:pStyle w:val="TAH"/>
            </w:pPr>
            <w:r>
              <w:t>Description</w:t>
            </w:r>
          </w:p>
        </w:tc>
      </w:tr>
      <w:tr w:rsidR="00A10B25" w14:paraId="7A6C26F6" w14:textId="77777777">
        <w:trPr>
          <w:jc w:val="center"/>
        </w:trPr>
        <w:tc>
          <w:tcPr>
            <w:tcW w:w="881" w:type="pct"/>
            <w:vAlign w:val="center"/>
          </w:tcPr>
          <w:p w14:paraId="4FF8A539" w14:textId="77777777" w:rsidR="00A10B25" w:rsidRDefault="00A10B25">
            <w:pPr>
              <w:pStyle w:val="TAL"/>
            </w:pPr>
            <w:r>
              <w:t>NWDAF Analytics</w:t>
            </w:r>
          </w:p>
        </w:tc>
        <w:tc>
          <w:tcPr>
            <w:tcW w:w="1545" w:type="pct"/>
            <w:vAlign w:val="center"/>
          </w:tcPr>
          <w:p w14:paraId="10E7613D" w14:textId="77777777" w:rsidR="00A10B25" w:rsidRDefault="00A10B25">
            <w:pPr>
              <w:pStyle w:val="TAL"/>
            </w:pPr>
            <w:r>
              <w:t>/analytics</w:t>
            </w:r>
          </w:p>
        </w:tc>
        <w:tc>
          <w:tcPr>
            <w:tcW w:w="917" w:type="pct"/>
          </w:tcPr>
          <w:p w14:paraId="178A195C" w14:textId="77777777" w:rsidR="00A10B25" w:rsidRDefault="00A10B25">
            <w:pPr>
              <w:pStyle w:val="TAL"/>
            </w:pPr>
            <w:r>
              <w:t>GET</w:t>
            </w:r>
          </w:p>
        </w:tc>
        <w:tc>
          <w:tcPr>
            <w:tcW w:w="1657" w:type="pct"/>
          </w:tcPr>
          <w:p w14:paraId="27FB9ABE" w14:textId="77777777" w:rsidR="00A10B25" w:rsidRDefault="00A10B25">
            <w:pPr>
              <w:pStyle w:val="TAL"/>
            </w:pPr>
            <w:r>
              <w:t>Retrieves the NWDAF analytics.</w:t>
            </w:r>
          </w:p>
        </w:tc>
      </w:tr>
      <w:tr w:rsidR="00A10B25" w14:paraId="4D4A0A22" w14:textId="77777777">
        <w:trPr>
          <w:jc w:val="center"/>
        </w:trPr>
        <w:tc>
          <w:tcPr>
            <w:tcW w:w="881" w:type="pct"/>
            <w:vAlign w:val="center"/>
          </w:tcPr>
          <w:p w14:paraId="221FB78F" w14:textId="77777777" w:rsidR="00A10B25" w:rsidRDefault="00A10B25">
            <w:pPr>
              <w:pStyle w:val="TAL"/>
            </w:pPr>
            <w:r>
              <w:t>NWDAF Context</w:t>
            </w:r>
          </w:p>
        </w:tc>
        <w:tc>
          <w:tcPr>
            <w:tcW w:w="1545" w:type="pct"/>
            <w:vAlign w:val="center"/>
          </w:tcPr>
          <w:p w14:paraId="35D1BD18" w14:textId="77777777" w:rsidR="00A10B25" w:rsidRDefault="00A10B25">
            <w:pPr>
              <w:pStyle w:val="TAL"/>
            </w:pPr>
            <w:r>
              <w:t>/context</w:t>
            </w:r>
          </w:p>
        </w:tc>
        <w:tc>
          <w:tcPr>
            <w:tcW w:w="917" w:type="pct"/>
          </w:tcPr>
          <w:p w14:paraId="4A501AE2" w14:textId="77777777" w:rsidR="00A10B25" w:rsidRDefault="00A10B25">
            <w:pPr>
              <w:pStyle w:val="TAL"/>
            </w:pPr>
            <w:r>
              <w:t>GET</w:t>
            </w:r>
          </w:p>
        </w:tc>
        <w:tc>
          <w:tcPr>
            <w:tcW w:w="1657" w:type="pct"/>
          </w:tcPr>
          <w:p w14:paraId="7E242FC8" w14:textId="77777777" w:rsidR="00A10B25" w:rsidRDefault="00A10B25">
            <w:pPr>
              <w:pStyle w:val="TAL"/>
            </w:pPr>
            <w:r>
              <w:t>Retrieves the NWDAF context information related to analytics subscriptions.</w:t>
            </w:r>
          </w:p>
        </w:tc>
      </w:tr>
    </w:tbl>
    <w:p w14:paraId="2C73AB92" w14:textId="77777777" w:rsidR="00A10B25" w:rsidRDefault="00A10B25"/>
    <w:p w14:paraId="6C89C51F" w14:textId="77777777" w:rsidR="00A10B25" w:rsidRDefault="00A10B25">
      <w:pPr>
        <w:pStyle w:val="4"/>
      </w:pPr>
      <w:bookmarkStart w:id="9997" w:name="_Toc45134103"/>
      <w:bookmarkStart w:id="9998" w:name="_Toc120702416"/>
      <w:bookmarkStart w:id="9999" w:name="_Toc101244518"/>
      <w:bookmarkStart w:id="10000" w:name="_Toc112951236"/>
      <w:bookmarkStart w:id="10001" w:name="_Toc113031776"/>
      <w:bookmarkStart w:id="10002" w:name="_Toc98233741"/>
      <w:bookmarkStart w:id="10003" w:name="_Toc83233141"/>
      <w:bookmarkStart w:id="10004" w:name="_Toc36102513"/>
      <w:bookmarkStart w:id="10005" w:name="_Toc68169021"/>
      <w:bookmarkStart w:id="10006" w:name="_Toc136562512"/>
      <w:bookmarkStart w:id="10007" w:name="_Toc94064354"/>
      <w:bookmarkStart w:id="10008" w:name="_Toc88667664"/>
      <w:bookmarkStart w:id="10009" w:name="_Toc43563557"/>
      <w:bookmarkStart w:id="10010" w:name="_Toc59017992"/>
      <w:bookmarkStart w:id="10011" w:name="_Toc51762955"/>
      <w:bookmarkStart w:id="10012" w:name="_Toc85553057"/>
      <w:bookmarkStart w:id="10013" w:name="_Toc50032035"/>
      <w:bookmarkStart w:id="10014" w:name="_Toc28012856"/>
      <w:bookmarkStart w:id="10015" w:name="_Toc66231860"/>
      <w:bookmarkStart w:id="10016" w:name="_Toc104539113"/>
      <w:bookmarkStart w:id="10017" w:name="_Toc70550688"/>
      <w:bookmarkStart w:id="10018" w:name="_Toc90655949"/>
      <w:bookmarkStart w:id="10019" w:name="_Toc56641024"/>
      <w:bookmarkStart w:id="10020" w:name="_Toc85557156"/>
      <w:bookmarkStart w:id="10021" w:name="_Toc114133915"/>
      <w:bookmarkStart w:id="10022" w:name="_Toc148522751"/>
      <w:bookmarkStart w:id="10023" w:name="_Toc145705841"/>
      <w:bookmarkStart w:id="10024" w:name="_Toc138754346"/>
      <w:bookmarkStart w:id="10025" w:name="_Toc34266342"/>
      <w:bookmarkStart w:id="10026" w:name="_Toc164920937"/>
      <w:bookmarkStart w:id="10027" w:name="_Toc170120479"/>
      <w:bookmarkStart w:id="10028" w:name="_Toc175858724"/>
      <w:bookmarkStart w:id="10029" w:name="_Toc175859797"/>
      <w:bookmarkStart w:id="10030" w:name="_Toc180606087"/>
      <w:bookmarkStart w:id="10031" w:name="_Toc185517348"/>
      <w:bookmarkStart w:id="10032" w:name="_Toc191576399"/>
      <w:bookmarkStart w:id="10033" w:name="_Toc191577139"/>
      <w:bookmarkStart w:id="10034" w:name="_Toc192880209"/>
      <w:bookmarkStart w:id="10035" w:name="_Toc195815098"/>
      <w:bookmarkStart w:id="10036" w:name="_Toc199453065"/>
      <w:r>
        <w:t>5.2.3.2</w:t>
      </w:r>
      <w:r>
        <w:tab/>
        <w:t>Resource: NWDAF Analytics</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7C5C223B" w14:textId="77777777" w:rsidR="00A10B25" w:rsidRDefault="00A10B25">
      <w:pPr>
        <w:pStyle w:val="5"/>
      </w:pPr>
      <w:bookmarkStart w:id="10037" w:name="_Toc101244519"/>
      <w:bookmarkStart w:id="10038" w:name="_Toc112951237"/>
      <w:bookmarkStart w:id="10039" w:name="_Toc138754347"/>
      <w:bookmarkStart w:id="10040" w:name="_Toc94064355"/>
      <w:bookmarkStart w:id="10041" w:name="_Toc145705842"/>
      <w:bookmarkStart w:id="10042" w:name="_Toc66231861"/>
      <w:bookmarkStart w:id="10043" w:name="_Toc34266343"/>
      <w:bookmarkStart w:id="10044" w:name="_Toc50032036"/>
      <w:bookmarkStart w:id="10045" w:name="_Toc51762956"/>
      <w:bookmarkStart w:id="10046" w:name="_Toc88667665"/>
      <w:bookmarkStart w:id="10047" w:name="_Toc98233742"/>
      <w:bookmarkStart w:id="10048" w:name="_Toc85557157"/>
      <w:bookmarkStart w:id="10049" w:name="_Toc68169022"/>
      <w:bookmarkStart w:id="10050" w:name="_Toc43563558"/>
      <w:bookmarkStart w:id="10051" w:name="_Toc70550689"/>
      <w:bookmarkStart w:id="10052" w:name="_Toc148522752"/>
      <w:bookmarkStart w:id="10053" w:name="_Toc113031777"/>
      <w:bookmarkStart w:id="10054" w:name="_Toc104539114"/>
      <w:bookmarkStart w:id="10055" w:name="_Toc59017993"/>
      <w:bookmarkStart w:id="10056" w:name="_Toc85553058"/>
      <w:bookmarkStart w:id="10057" w:name="_Toc90655950"/>
      <w:bookmarkStart w:id="10058" w:name="_Toc120702417"/>
      <w:bookmarkStart w:id="10059" w:name="_Toc45134104"/>
      <w:bookmarkStart w:id="10060" w:name="_Toc83233142"/>
      <w:bookmarkStart w:id="10061" w:name="_Toc36102514"/>
      <w:bookmarkStart w:id="10062" w:name="_Toc56641025"/>
      <w:bookmarkStart w:id="10063" w:name="_Toc114133916"/>
      <w:bookmarkStart w:id="10064" w:name="_Toc28012857"/>
      <w:bookmarkStart w:id="10065" w:name="_Toc136562513"/>
      <w:bookmarkStart w:id="10066" w:name="_Toc164920938"/>
      <w:bookmarkStart w:id="10067" w:name="_Toc170120480"/>
      <w:bookmarkStart w:id="10068" w:name="_Toc175858725"/>
      <w:bookmarkStart w:id="10069" w:name="_Toc175859798"/>
      <w:bookmarkStart w:id="10070" w:name="_Toc180606088"/>
      <w:bookmarkStart w:id="10071" w:name="_Toc185517349"/>
      <w:bookmarkStart w:id="10072" w:name="_Toc191576400"/>
      <w:bookmarkStart w:id="10073" w:name="_Toc191577140"/>
      <w:bookmarkStart w:id="10074" w:name="_Toc192880210"/>
      <w:bookmarkStart w:id="10075" w:name="_Toc195815099"/>
      <w:bookmarkStart w:id="10076" w:name="_Toc199453066"/>
      <w:r>
        <w:t>5.2.3.2.1</w:t>
      </w:r>
      <w:r>
        <w:tab/>
        <w:t>Description</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759A27E4" w14:textId="77777777" w:rsidR="00A10B25" w:rsidRDefault="00A10B25">
      <w:r>
        <w:t>The NWDAF Analytics resource represents the analytics to the Nnwdaf_AnalyticsInfo service at a given NWDAF.</w:t>
      </w:r>
    </w:p>
    <w:p w14:paraId="35F95CC6" w14:textId="77777777" w:rsidR="00A10B25" w:rsidRDefault="00A10B25">
      <w:pPr>
        <w:pStyle w:val="5"/>
      </w:pPr>
      <w:bookmarkStart w:id="10077" w:name="_Toc51762957"/>
      <w:bookmarkStart w:id="10078" w:name="_Toc59017994"/>
      <w:bookmarkStart w:id="10079" w:name="_Toc83233143"/>
      <w:bookmarkStart w:id="10080" w:name="_Toc85557158"/>
      <w:bookmarkStart w:id="10081" w:name="_Toc36102515"/>
      <w:bookmarkStart w:id="10082" w:name="_Toc90655951"/>
      <w:bookmarkStart w:id="10083" w:name="_Toc94064356"/>
      <w:bookmarkStart w:id="10084" w:name="_Toc98233743"/>
      <w:bookmarkStart w:id="10085" w:name="_Toc112951238"/>
      <w:bookmarkStart w:id="10086" w:name="_Toc148522753"/>
      <w:bookmarkStart w:id="10087" w:name="_Toc66231862"/>
      <w:bookmarkStart w:id="10088" w:name="_Toc85553059"/>
      <w:bookmarkStart w:id="10089" w:name="_Toc50032037"/>
      <w:bookmarkStart w:id="10090" w:name="_Toc120702418"/>
      <w:bookmarkStart w:id="10091" w:name="_Toc136562514"/>
      <w:bookmarkStart w:id="10092" w:name="_Toc45134105"/>
      <w:bookmarkStart w:id="10093" w:name="_Toc28012858"/>
      <w:bookmarkStart w:id="10094" w:name="_Toc138754348"/>
      <w:bookmarkStart w:id="10095" w:name="_Toc145705843"/>
      <w:bookmarkStart w:id="10096" w:name="_Toc101244520"/>
      <w:bookmarkStart w:id="10097" w:name="_Toc114133917"/>
      <w:bookmarkStart w:id="10098" w:name="_Toc34266344"/>
      <w:bookmarkStart w:id="10099" w:name="_Toc56641026"/>
      <w:bookmarkStart w:id="10100" w:name="_Toc104539115"/>
      <w:bookmarkStart w:id="10101" w:name="_Toc68169023"/>
      <w:bookmarkStart w:id="10102" w:name="_Toc113031778"/>
      <w:bookmarkStart w:id="10103" w:name="_Toc88667666"/>
      <w:bookmarkStart w:id="10104" w:name="_Toc70550690"/>
      <w:bookmarkStart w:id="10105" w:name="_Toc43563559"/>
      <w:bookmarkStart w:id="10106" w:name="_Toc164920939"/>
      <w:bookmarkStart w:id="10107" w:name="_Toc170120481"/>
      <w:bookmarkStart w:id="10108" w:name="_Toc175858726"/>
      <w:bookmarkStart w:id="10109" w:name="_Toc175859799"/>
      <w:bookmarkStart w:id="10110" w:name="_Toc180606089"/>
      <w:bookmarkStart w:id="10111" w:name="_Toc185517350"/>
      <w:bookmarkStart w:id="10112" w:name="_Toc191576401"/>
      <w:bookmarkStart w:id="10113" w:name="_Toc191577141"/>
      <w:bookmarkStart w:id="10114" w:name="_Toc192880211"/>
      <w:bookmarkStart w:id="10115" w:name="_Toc195815100"/>
      <w:bookmarkStart w:id="10116" w:name="_Toc199453067"/>
      <w:r>
        <w:t>5.2.3.2.2</w:t>
      </w:r>
      <w:r>
        <w:tab/>
        <w:t>Resource definition</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3A68F704" w14:textId="77777777" w:rsidR="004D166F" w:rsidRDefault="004D166F" w:rsidP="004D166F">
      <w:r>
        <w:t xml:space="preserve">Resource URI: </w:t>
      </w:r>
      <w:r w:rsidRPr="0040274B">
        <w:rPr>
          <w:b/>
        </w:rPr>
        <w:t>{apiRoot}/nnwdaf-analyticsinfo/&lt;apiVersion&gt;/analytics</w:t>
      </w:r>
    </w:p>
    <w:p w14:paraId="67D91B2F" w14:textId="77777777" w:rsidR="00A10B25" w:rsidRDefault="00A10B25">
      <w:pPr>
        <w:rPr>
          <w:lang w:val="en-US"/>
        </w:rPr>
      </w:pPr>
      <w:r>
        <w:rPr>
          <w:lang w:val="en-US" w:eastAsia="zh-CN"/>
        </w:rPr>
        <w:t>The &lt;apiVersion&gt; shall be set as described in clause</w:t>
      </w:r>
      <w:r>
        <w:rPr>
          <w:lang w:val="en-US" w:eastAsia="zh-CN"/>
        </w:rPr>
        <w:t> 5.2</w:t>
      </w:r>
      <w:r>
        <w:rPr>
          <w:lang w:val="en-US" w:eastAsia="zh-CN"/>
        </w:rPr>
        <w:t>.1</w:t>
      </w:r>
      <w:r>
        <w:rPr>
          <w:lang w:val="en-US" w:eastAsia="zh-CN"/>
        </w:rPr>
        <w:t>.</w:t>
      </w:r>
    </w:p>
    <w:p w14:paraId="0EF4C5E6" w14:textId="77777777" w:rsidR="00A10B25" w:rsidRDefault="00A10B25">
      <w:pPr>
        <w:rPr>
          <w:rFonts w:ascii="Arial" w:hAnsi="Arial" w:cs="Arial"/>
        </w:rPr>
      </w:pPr>
      <w:r>
        <w:t>This resource shall support the resource URI variables defined in table 5.2.3.2.2-1</w:t>
      </w:r>
      <w:r>
        <w:rPr>
          <w:rFonts w:ascii="Arial" w:hAnsi="Arial" w:cs="Arial"/>
        </w:rPr>
        <w:t>.</w:t>
      </w:r>
    </w:p>
    <w:p w14:paraId="5F58CAA4" w14:textId="77777777" w:rsidR="00A10B25" w:rsidRDefault="00A10B25">
      <w:pPr>
        <w:pStyle w:val="TH"/>
        <w:overflowPunct w:val="0"/>
        <w:autoSpaceDE w:val="0"/>
        <w:autoSpaceDN w:val="0"/>
        <w:adjustRightInd w:val="0"/>
        <w:textAlignment w:val="baseline"/>
        <w:rPr>
          <w:rFonts w:eastAsia="MS Mincho"/>
        </w:rPr>
      </w:pPr>
      <w:r>
        <w:rPr>
          <w:rFonts w:eastAsia="MS Mincho"/>
        </w:rPr>
        <w:t>Table 5.2.3.2.2-1: Resource URI variables for this resource</w:t>
      </w:r>
    </w:p>
    <w:tbl>
      <w:tblPr>
        <w:tblW w:w="5000"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363"/>
        <w:gridCol w:w="7186"/>
      </w:tblGrid>
      <w:tr w:rsidR="00A10B25" w14:paraId="7CF1162E" w14:textId="77777777">
        <w:trPr>
          <w:jc w:val="center"/>
        </w:trPr>
        <w:tc>
          <w:tcPr>
            <w:tcW w:w="559" w:type="pct"/>
            <w:shd w:val="clear" w:color="000000" w:fill="C0C0C0"/>
          </w:tcPr>
          <w:p w14:paraId="6C62D75B" w14:textId="77777777" w:rsidR="00A10B25" w:rsidRDefault="00A10B25">
            <w:pPr>
              <w:pStyle w:val="TAH"/>
            </w:pPr>
            <w:r>
              <w:t>Name</w:t>
            </w:r>
          </w:p>
        </w:tc>
        <w:tc>
          <w:tcPr>
            <w:tcW w:w="708" w:type="pct"/>
            <w:shd w:val="clear" w:color="000000" w:fill="C0C0C0"/>
          </w:tcPr>
          <w:p w14:paraId="26ECBFD6" w14:textId="77777777" w:rsidR="00A10B25" w:rsidRDefault="00A10B25">
            <w:pPr>
              <w:pStyle w:val="TAH"/>
            </w:pPr>
            <w:r>
              <w:t>Data type</w:t>
            </w:r>
          </w:p>
        </w:tc>
        <w:tc>
          <w:tcPr>
            <w:tcW w:w="3733" w:type="pct"/>
            <w:shd w:val="clear" w:color="000000" w:fill="C0C0C0"/>
            <w:vAlign w:val="center"/>
          </w:tcPr>
          <w:p w14:paraId="63883F4B" w14:textId="77777777" w:rsidR="00A10B25" w:rsidRDefault="00A10B25">
            <w:pPr>
              <w:pStyle w:val="TAH"/>
            </w:pPr>
            <w:r>
              <w:t>Definition</w:t>
            </w:r>
          </w:p>
        </w:tc>
      </w:tr>
      <w:tr w:rsidR="00A10B25" w14:paraId="175139ED" w14:textId="77777777">
        <w:trPr>
          <w:jc w:val="center"/>
        </w:trPr>
        <w:tc>
          <w:tcPr>
            <w:tcW w:w="559" w:type="pct"/>
          </w:tcPr>
          <w:p w14:paraId="47ECDF2B" w14:textId="77777777" w:rsidR="00A10B25" w:rsidRDefault="00A10B25">
            <w:pPr>
              <w:pStyle w:val="TAL"/>
            </w:pPr>
            <w:r>
              <w:t>apiRoot</w:t>
            </w:r>
          </w:p>
        </w:tc>
        <w:tc>
          <w:tcPr>
            <w:tcW w:w="708" w:type="pct"/>
          </w:tcPr>
          <w:p w14:paraId="653A4338" w14:textId="77777777" w:rsidR="00A10B25" w:rsidRDefault="00A10B25">
            <w:pPr>
              <w:pStyle w:val="TAL"/>
            </w:pPr>
            <w:r>
              <w:rPr>
                <w:rFonts w:hint="eastAsia"/>
                <w:lang w:eastAsia="zh-CN"/>
              </w:rPr>
              <w:t>s</w:t>
            </w:r>
            <w:r>
              <w:rPr>
                <w:lang w:eastAsia="zh-CN"/>
              </w:rPr>
              <w:t>tring</w:t>
            </w:r>
          </w:p>
        </w:tc>
        <w:tc>
          <w:tcPr>
            <w:tcW w:w="3733" w:type="pct"/>
            <w:vAlign w:val="center"/>
          </w:tcPr>
          <w:p w14:paraId="0731A9F1" w14:textId="77777777" w:rsidR="00A10B25" w:rsidRDefault="00A10B25">
            <w:pPr>
              <w:pStyle w:val="TAL"/>
            </w:pPr>
            <w:r>
              <w:t>See clause</w:t>
            </w:r>
            <w:r>
              <w:rPr>
                <w:lang w:val="en-US" w:eastAsia="zh-CN"/>
              </w:rPr>
              <w:t> </w:t>
            </w:r>
            <w:r>
              <w:t>5.2.1</w:t>
            </w:r>
          </w:p>
        </w:tc>
      </w:tr>
    </w:tbl>
    <w:p w14:paraId="2227F57E" w14:textId="77777777" w:rsidR="00A10B25" w:rsidRDefault="00A10B25"/>
    <w:p w14:paraId="7201A5AF" w14:textId="77777777" w:rsidR="00A10B25" w:rsidRDefault="00A10B25">
      <w:pPr>
        <w:pStyle w:val="5"/>
      </w:pPr>
      <w:bookmarkStart w:id="10117" w:name="_Toc59017995"/>
      <w:bookmarkStart w:id="10118" w:name="_Toc28012859"/>
      <w:bookmarkStart w:id="10119" w:name="_Toc112951239"/>
      <w:bookmarkStart w:id="10120" w:name="_Toc36102516"/>
      <w:bookmarkStart w:id="10121" w:name="_Toc85557159"/>
      <w:bookmarkStart w:id="10122" w:name="_Toc114133918"/>
      <w:bookmarkStart w:id="10123" w:name="_Toc138754349"/>
      <w:bookmarkStart w:id="10124" w:name="_Toc66231863"/>
      <w:bookmarkStart w:id="10125" w:name="_Toc98233744"/>
      <w:bookmarkStart w:id="10126" w:name="_Toc90655952"/>
      <w:bookmarkStart w:id="10127" w:name="_Toc70550691"/>
      <w:bookmarkStart w:id="10128" w:name="_Toc88667667"/>
      <w:bookmarkStart w:id="10129" w:name="_Toc136562515"/>
      <w:bookmarkStart w:id="10130" w:name="_Toc45134106"/>
      <w:bookmarkStart w:id="10131" w:name="_Toc104539116"/>
      <w:bookmarkStart w:id="10132" w:name="_Toc85553060"/>
      <w:bookmarkStart w:id="10133" w:name="_Toc145705844"/>
      <w:bookmarkStart w:id="10134" w:name="_Toc34266345"/>
      <w:bookmarkStart w:id="10135" w:name="_Toc94064357"/>
      <w:bookmarkStart w:id="10136" w:name="_Toc51762958"/>
      <w:bookmarkStart w:id="10137" w:name="_Toc113031779"/>
      <w:bookmarkStart w:id="10138" w:name="_Toc50032038"/>
      <w:bookmarkStart w:id="10139" w:name="_Toc120702419"/>
      <w:bookmarkStart w:id="10140" w:name="_Toc101244521"/>
      <w:bookmarkStart w:id="10141" w:name="_Toc43563560"/>
      <w:bookmarkStart w:id="10142" w:name="_Toc148522754"/>
      <w:bookmarkStart w:id="10143" w:name="_Toc83233144"/>
      <w:bookmarkStart w:id="10144" w:name="_Toc56641027"/>
      <w:bookmarkStart w:id="10145" w:name="_Toc68169024"/>
      <w:bookmarkStart w:id="10146" w:name="_Toc164920940"/>
      <w:bookmarkStart w:id="10147" w:name="_Toc170120482"/>
      <w:bookmarkStart w:id="10148" w:name="_Toc175858727"/>
      <w:bookmarkStart w:id="10149" w:name="_Toc175859800"/>
      <w:bookmarkStart w:id="10150" w:name="_Toc180606090"/>
      <w:bookmarkStart w:id="10151" w:name="_Toc185517351"/>
      <w:bookmarkStart w:id="10152" w:name="_Toc191576402"/>
      <w:bookmarkStart w:id="10153" w:name="_Toc191577142"/>
      <w:bookmarkStart w:id="10154" w:name="_Toc192880212"/>
      <w:bookmarkStart w:id="10155" w:name="_Toc195815101"/>
      <w:bookmarkStart w:id="10156" w:name="_Toc199453068"/>
      <w:r>
        <w:t>5.2.3.2.3</w:t>
      </w:r>
      <w:r>
        <w:tab/>
        <w:t>Resource Standard Methods</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443E0C48" w14:textId="77777777" w:rsidR="00A10B25" w:rsidRDefault="00A10B25">
      <w:pPr>
        <w:pStyle w:val="6"/>
      </w:pPr>
      <w:bookmarkStart w:id="10157" w:name="_Toc112951240"/>
      <w:bookmarkStart w:id="10158" w:name="_Toc66231864"/>
      <w:bookmarkStart w:id="10159" w:name="_Toc45134107"/>
      <w:bookmarkStart w:id="10160" w:name="_Toc120702420"/>
      <w:bookmarkStart w:id="10161" w:name="_Toc28012860"/>
      <w:bookmarkStart w:id="10162" w:name="_Toc43563561"/>
      <w:bookmarkStart w:id="10163" w:name="_Toc56641028"/>
      <w:bookmarkStart w:id="10164" w:name="_Toc36102517"/>
      <w:bookmarkStart w:id="10165" w:name="_Toc88667668"/>
      <w:bookmarkStart w:id="10166" w:name="_Toc85557160"/>
      <w:bookmarkStart w:id="10167" w:name="_Toc34266346"/>
      <w:bookmarkStart w:id="10168" w:name="_Toc70550692"/>
      <w:bookmarkStart w:id="10169" w:name="_Toc83233145"/>
      <w:bookmarkStart w:id="10170" w:name="_Toc98233745"/>
      <w:bookmarkStart w:id="10171" w:name="_Toc113031780"/>
      <w:bookmarkStart w:id="10172" w:name="_Toc136562516"/>
      <w:bookmarkStart w:id="10173" w:name="_Toc138754350"/>
      <w:bookmarkStart w:id="10174" w:name="_Toc104539117"/>
      <w:bookmarkStart w:id="10175" w:name="_Toc85553061"/>
      <w:bookmarkStart w:id="10176" w:name="_Toc114133919"/>
      <w:bookmarkStart w:id="10177" w:name="_Toc50032039"/>
      <w:bookmarkStart w:id="10178" w:name="_Toc145705845"/>
      <w:bookmarkStart w:id="10179" w:name="_Toc90655953"/>
      <w:bookmarkStart w:id="10180" w:name="_Toc51762959"/>
      <w:bookmarkStart w:id="10181" w:name="_Toc59017996"/>
      <w:bookmarkStart w:id="10182" w:name="_Toc68169025"/>
      <w:bookmarkStart w:id="10183" w:name="_Toc101244522"/>
      <w:bookmarkStart w:id="10184" w:name="_Toc94064358"/>
      <w:bookmarkStart w:id="10185" w:name="_Toc148522755"/>
      <w:bookmarkStart w:id="10186" w:name="_Toc164920941"/>
      <w:bookmarkStart w:id="10187" w:name="_Toc170120483"/>
      <w:bookmarkStart w:id="10188" w:name="_Toc175858728"/>
      <w:bookmarkStart w:id="10189" w:name="_Toc175859801"/>
      <w:bookmarkStart w:id="10190" w:name="_Toc180606091"/>
      <w:bookmarkStart w:id="10191" w:name="_Toc185517352"/>
      <w:bookmarkStart w:id="10192" w:name="_Toc191576403"/>
      <w:bookmarkStart w:id="10193" w:name="_Toc191577143"/>
      <w:bookmarkStart w:id="10194" w:name="_Toc192880213"/>
      <w:bookmarkStart w:id="10195" w:name="_Toc195815102"/>
      <w:bookmarkStart w:id="10196" w:name="_Toc199453069"/>
      <w:r>
        <w:t>5.2.3.2.3.1</w:t>
      </w:r>
      <w:r>
        <w:tab/>
        <w:t>GET</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1B69FA9A" w14:textId="77777777" w:rsidR="00A10B25" w:rsidRDefault="00A10B25">
      <w:r>
        <w:t>This method shall support the URI query parameters specified in table 5.2.3.2.3.1-1.</w:t>
      </w:r>
    </w:p>
    <w:p w14:paraId="4BBFB49F" w14:textId="77777777" w:rsidR="00991119" w:rsidRPr="001464E6" w:rsidRDefault="00991119" w:rsidP="00991119">
      <w:pPr>
        <w:keepNext/>
        <w:keepLines/>
        <w:overflowPunct w:val="0"/>
        <w:autoSpaceDE w:val="0"/>
        <w:autoSpaceDN w:val="0"/>
        <w:adjustRightInd w:val="0"/>
        <w:spacing w:before="60"/>
        <w:jc w:val="center"/>
        <w:textAlignment w:val="baseline"/>
        <w:rPr>
          <w:rFonts w:ascii="Arial" w:eastAsia="MS Mincho" w:hAnsi="Arial"/>
          <w:b/>
        </w:rPr>
      </w:pPr>
      <w:r w:rsidRPr="001464E6">
        <w:rPr>
          <w:rFonts w:ascii="Arial" w:eastAsia="MS Mincho" w:hAnsi="Arial"/>
          <w:b/>
        </w:rPr>
        <w:lastRenderedPageBreak/>
        <w:t>Table 5.2.3.2.3.1-1: URI query parameters supported by the GET method on this resource</w:t>
      </w:r>
    </w:p>
    <w:tbl>
      <w:tblPr>
        <w:tblW w:w="9679" w:type="dxa"/>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92"/>
        <w:gridCol w:w="2668"/>
        <w:gridCol w:w="286"/>
        <w:gridCol w:w="1067"/>
        <w:gridCol w:w="4466"/>
      </w:tblGrid>
      <w:tr w:rsidR="00991119" w:rsidRPr="001464E6" w14:paraId="09B93BF0" w14:textId="77777777" w:rsidTr="009E7F73">
        <w:trPr>
          <w:jc w:val="center"/>
        </w:trPr>
        <w:tc>
          <w:tcPr>
            <w:tcW w:w="1192" w:type="dxa"/>
            <w:tcBorders>
              <w:bottom w:val="single" w:sz="6" w:space="0" w:color="auto"/>
            </w:tcBorders>
            <w:shd w:val="clear" w:color="auto" w:fill="C0C0C0"/>
          </w:tcPr>
          <w:p w14:paraId="148106F7"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Name</w:t>
            </w:r>
          </w:p>
        </w:tc>
        <w:tc>
          <w:tcPr>
            <w:tcW w:w="2668" w:type="dxa"/>
            <w:tcBorders>
              <w:bottom w:val="single" w:sz="6" w:space="0" w:color="auto"/>
            </w:tcBorders>
            <w:shd w:val="clear" w:color="auto" w:fill="C0C0C0"/>
          </w:tcPr>
          <w:p w14:paraId="34F4E4FC"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Data type</w:t>
            </w:r>
          </w:p>
        </w:tc>
        <w:tc>
          <w:tcPr>
            <w:tcW w:w="286" w:type="dxa"/>
            <w:tcBorders>
              <w:bottom w:val="single" w:sz="6" w:space="0" w:color="auto"/>
            </w:tcBorders>
            <w:shd w:val="clear" w:color="auto" w:fill="C0C0C0"/>
          </w:tcPr>
          <w:p w14:paraId="32015451"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P</w:t>
            </w:r>
          </w:p>
        </w:tc>
        <w:tc>
          <w:tcPr>
            <w:tcW w:w="1067" w:type="dxa"/>
            <w:tcBorders>
              <w:bottom w:val="single" w:sz="6" w:space="0" w:color="auto"/>
            </w:tcBorders>
            <w:shd w:val="clear" w:color="auto" w:fill="C0C0C0"/>
          </w:tcPr>
          <w:p w14:paraId="780C66D0"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Cardinality</w:t>
            </w:r>
          </w:p>
        </w:tc>
        <w:tc>
          <w:tcPr>
            <w:tcW w:w="4466" w:type="dxa"/>
            <w:tcBorders>
              <w:bottom w:val="single" w:sz="6" w:space="0" w:color="auto"/>
            </w:tcBorders>
            <w:shd w:val="clear" w:color="auto" w:fill="C0C0C0"/>
            <w:vAlign w:val="center"/>
          </w:tcPr>
          <w:p w14:paraId="0ED12D08" w14:textId="77777777" w:rsidR="00991119" w:rsidRPr="001464E6" w:rsidRDefault="00991119" w:rsidP="009E7F73">
            <w:pPr>
              <w:keepNext/>
              <w:keepLines/>
              <w:spacing w:after="0"/>
              <w:jc w:val="center"/>
              <w:rPr>
                <w:rFonts w:ascii="Arial" w:hAnsi="Arial"/>
                <w:b/>
                <w:sz w:val="18"/>
              </w:rPr>
            </w:pPr>
            <w:r w:rsidRPr="001464E6">
              <w:rPr>
                <w:rFonts w:ascii="Arial" w:hAnsi="Arial"/>
                <w:b/>
                <w:sz w:val="18"/>
              </w:rPr>
              <w:t>Description</w:t>
            </w:r>
          </w:p>
        </w:tc>
      </w:tr>
      <w:tr w:rsidR="00991119" w:rsidRPr="001464E6" w14:paraId="0A9C3196" w14:textId="77777777" w:rsidTr="009E7F73">
        <w:trPr>
          <w:jc w:val="center"/>
        </w:trPr>
        <w:tc>
          <w:tcPr>
            <w:tcW w:w="1192" w:type="dxa"/>
            <w:tcBorders>
              <w:top w:val="single" w:sz="6" w:space="0" w:color="auto"/>
            </w:tcBorders>
          </w:tcPr>
          <w:p w14:paraId="223D2A39" w14:textId="77777777" w:rsidR="00991119" w:rsidRPr="001464E6" w:rsidRDefault="00991119" w:rsidP="009E7F73">
            <w:pPr>
              <w:keepNext/>
              <w:keepLines/>
              <w:spacing w:after="0"/>
              <w:rPr>
                <w:rFonts w:ascii="Arial" w:hAnsi="Arial"/>
                <w:sz w:val="18"/>
              </w:rPr>
            </w:pPr>
            <w:r w:rsidRPr="001464E6">
              <w:rPr>
                <w:rFonts w:ascii="Arial" w:hAnsi="Arial"/>
                <w:sz w:val="18"/>
              </w:rPr>
              <w:t>ana-req</w:t>
            </w:r>
          </w:p>
        </w:tc>
        <w:tc>
          <w:tcPr>
            <w:tcW w:w="2668" w:type="dxa"/>
            <w:tcBorders>
              <w:top w:val="single" w:sz="6" w:space="0" w:color="auto"/>
            </w:tcBorders>
          </w:tcPr>
          <w:p w14:paraId="1F89A3DA" w14:textId="77777777" w:rsidR="00991119" w:rsidRPr="001464E6" w:rsidRDefault="00991119" w:rsidP="009E7F73">
            <w:pPr>
              <w:keepNext/>
              <w:keepLines/>
              <w:spacing w:after="0"/>
              <w:rPr>
                <w:rFonts w:ascii="Arial" w:hAnsi="Arial"/>
                <w:sz w:val="18"/>
              </w:rPr>
            </w:pPr>
            <w:r w:rsidRPr="001464E6">
              <w:rPr>
                <w:rFonts w:ascii="Arial" w:hAnsi="Arial"/>
                <w:sz w:val="18"/>
              </w:rPr>
              <w:t>EventReportingRequirement</w:t>
            </w:r>
          </w:p>
        </w:tc>
        <w:tc>
          <w:tcPr>
            <w:tcW w:w="286" w:type="dxa"/>
            <w:tcBorders>
              <w:top w:val="single" w:sz="6" w:space="0" w:color="auto"/>
            </w:tcBorders>
          </w:tcPr>
          <w:p w14:paraId="7E5F9F2F" w14:textId="77777777" w:rsidR="00991119" w:rsidRPr="001464E6" w:rsidRDefault="00991119" w:rsidP="009E7F73">
            <w:pPr>
              <w:keepNext/>
              <w:keepLines/>
              <w:spacing w:after="0"/>
              <w:jc w:val="center"/>
              <w:rPr>
                <w:rFonts w:ascii="Arial" w:hAnsi="Arial"/>
                <w:sz w:val="18"/>
              </w:rPr>
            </w:pPr>
            <w:r w:rsidRPr="001464E6">
              <w:rPr>
                <w:rFonts w:ascii="Arial" w:hAnsi="Arial"/>
                <w:sz w:val="18"/>
              </w:rPr>
              <w:t>O</w:t>
            </w:r>
          </w:p>
        </w:tc>
        <w:tc>
          <w:tcPr>
            <w:tcW w:w="1067" w:type="dxa"/>
            <w:tcBorders>
              <w:top w:val="single" w:sz="6" w:space="0" w:color="auto"/>
            </w:tcBorders>
          </w:tcPr>
          <w:p w14:paraId="356AC8BC"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0..1</w:t>
            </w:r>
          </w:p>
        </w:tc>
        <w:tc>
          <w:tcPr>
            <w:tcW w:w="4466" w:type="dxa"/>
            <w:tcBorders>
              <w:top w:val="single" w:sz="6" w:space="0" w:color="auto"/>
            </w:tcBorders>
          </w:tcPr>
          <w:p w14:paraId="5CA3951C" w14:textId="77777777" w:rsidR="00991119" w:rsidRPr="001464E6" w:rsidRDefault="00991119" w:rsidP="009E7F73">
            <w:pPr>
              <w:keepNext/>
              <w:keepLines/>
              <w:spacing w:after="0"/>
              <w:rPr>
                <w:rFonts w:ascii="Arial" w:hAnsi="Arial"/>
                <w:sz w:val="18"/>
              </w:rPr>
            </w:pPr>
            <w:r w:rsidRPr="001464E6">
              <w:rPr>
                <w:rFonts w:ascii="Arial" w:hAnsi="Arial"/>
                <w:sz w:val="18"/>
              </w:rPr>
              <w:t>Identifies the analytics reporting requirement information. (NOTE 2)</w:t>
            </w:r>
          </w:p>
        </w:tc>
      </w:tr>
      <w:tr w:rsidR="00991119" w:rsidRPr="001464E6" w14:paraId="3426A6F6" w14:textId="77777777" w:rsidTr="009E7F73">
        <w:trPr>
          <w:jc w:val="center"/>
        </w:trPr>
        <w:tc>
          <w:tcPr>
            <w:tcW w:w="1192" w:type="dxa"/>
          </w:tcPr>
          <w:p w14:paraId="2526F5E0" w14:textId="77777777" w:rsidR="00991119" w:rsidRPr="001464E6" w:rsidRDefault="00991119" w:rsidP="009E7F73">
            <w:pPr>
              <w:keepNext/>
              <w:keepLines/>
              <w:spacing w:after="0"/>
              <w:rPr>
                <w:rFonts w:ascii="Arial" w:hAnsi="Arial"/>
                <w:sz w:val="18"/>
              </w:rPr>
            </w:pPr>
            <w:r w:rsidRPr="001464E6">
              <w:rPr>
                <w:rFonts w:ascii="Arial" w:hAnsi="Arial"/>
                <w:sz w:val="18"/>
              </w:rPr>
              <w:t>event-id</w:t>
            </w:r>
          </w:p>
        </w:tc>
        <w:tc>
          <w:tcPr>
            <w:tcW w:w="2668" w:type="dxa"/>
          </w:tcPr>
          <w:p w14:paraId="62B3568F" w14:textId="77777777" w:rsidR="00991119" w:rsidRPr="001464E6" w:rsidRDefault="00991119" w:rsidP="009E7F73">
            <w:pPr>
              <w:keepNext/>
              <w:keepLines/>
              <w:spacing w:after="0"/>
              <w:rPr>
                <w:rFonts w:ascii="Arial" w:hAnsi="Arial"/>
                <w:sz w:val="18"/>
              </w:rPr>
            </w:pPr>
            <w:r w:rsidRPr="001464E6">
              <w:rPr>
                <w:rFonts w:ascii="Arial" w:hAnsi="Arial"/>
                <w:sz w:val="18"/>
              </w:rPr>
              <w:t>EventId</w:t>
            </w:r>
          </w:p>
        </w:tc>
        <w:tc>
          <w:tcPr>
            <w:tcW w:w="286" w:type="dxa"/>
          </w:tcPr>
          <w:p w14:paraId="150C9108" w14:textId="77777777" w:rsidR="00991119" w:rsidRPr="001464E6" w:rsidRDefault="00991119" w:rsidP="009E7F73">
            <w:pPr>
              <w:keepNext/>
              <w:keepLines/>
              <w:spacing w:after="0"/>
              <w:jc w:val="center"/>
              <w:rPr>
                <w:rFonts w:ascii="Arial" w:hAnsi="Arial"/>
                <w:sz w:val="18"/>
              </w:rPr>
            </w:pPr>
            <w:r w:rsidRPr="001464E6">
              <w:rPr>
                <w:rFonts w:ascii="Arial" w:hAnsi="Arial" w:hint="eastAsia"/>
                <w:sz w:val="18"/>
              </w:rPr>
              <w:t>M</w:t>
            </w:r>
          </w:p>
        </w:tc>
        <w:tc>
          <w:tcPr>
            <w:tcW w:w="1067" w:type="dxa"/>
          </w:tcPr>
          <w:p w14:paraId="1E2494A8" w14:textId="77777777" w:rsidR="00991119" w:rsidRPr="001464E6" w:rsidRDefault="00991119" w:rsidP="009E7F73">
            <w:pPr>
              <w:keepNext/>
              <w:keepLines/>
              <w:spacing w:after="0"/>
              <w:jc w:val="center"/>
              <w:rPr>
                <w:rFonts w:ascii="Arial" w:hAnsi="Arial"/>
                <w:sz w:val="18"/>
              </w:rPr>
            </w:pPr>
            <w:r w:rsidRPr="001464E6">
              <w:rPr>
                <w:rFonts w:ascii="Arial" w:hAnsi="Arial" w:hint="eastAsia"/>
                <w:sz w:val="18"/>
              </w:rPr>
              <w:t>1</w:t>
            </w:r>
          </w:p>
        </w:tc>
        <w:tc>
          <w:tcPr>
            <w:tcW w:w="4466" w:type="dxa"/>
            <w:vAlign w:val="center"/>
          </w:tcPr>
          <w:p w14:paraId="7C67C612" w14:textId="77777777" w:rsidR="00991119" w:rsidRPr="001464E6" w:rsidRDefault="00991119" w:rsidP="009E7F73">
            <w:pPr>
              <w:keepNext/>
              <w:keepLines/>
              <w:spacing w:after="0"/>
              <w:rPr>
                <w:rFonts w:ascii="Arial" w:hAnsi="Arial"/>
                <w:sz w:val="18"/>
              </w:rPr>
            </w:pPr>
            <w:r w:rsidRPr="001464E6">
              <w:rPr>
                <w:rFonts w:ascii="Arial" w:hAnsi="Arial" w:hint="eastAsia"/>
                <w:sz w:val="18"/>
              </w:rPr>
              <w:t xml:space="preserve">Shall be </w:t>
            </w:r>
            <w:r w:rsidRPr="001464E6">
              <w:rPr>
                <w:rFonts w:ascii="Arial" w:hAnsi="Arial"/>
                <w:sz w:val="18"/>
              </w:rPr>
              <w:t>included</w:t>
            </w:r>
            <w:r w:rsidRPr="001464E6">
              <w:rPr>
                <w:rFonts w:ascii="Arial" w:hAnsi="Arial" w:hint="eastAsia"/>
                <w:sz w:val="18"/>
              </w:rPr>
              <w:t xml:space="preserve"> </w:t>
            </w:r>
            <w:r w:rsidRPr="001464E6">
              <w:rPr>
                <w:rFonts w:ascii="Arial" w:hAnsi="Arial"/>
                <w:sz w:val="18"/>
              </w:rPr>
              <w:t>to identify the analytics.</w:t>
            </w:r>
          </w:p>
        </w:tc>
      </w:tr>
      <w:tr w:rsidR="00991119" w:rsidRPr="001464E6" w14:paraId="096FED70" w14:textId="77777777" w:rsidTr="009E7F73">
        <w:trPr>
          <w:jc w:val="center"/>
        </w:trPr>
        <w:tc>
          <w:tcPr>
            <w:tcW w:w="1192" w:type="dxa"/>
          </w:tcPr>
          <w:p w14:paraId="49E0001C" w14:textId="77777777" w:rsidR="00991119" w:rsidRPr="001464E6" w:rsidRDefault="00991119" w:rsidP="009E7F73">
            <w:pPr>
              <w:keepNext/>
              <w:keepLines/>
              <w:spacing w:after="0"/>
              <w:rPr>
                <w:rFonts w:ascii="Arial" w:hAnsi="Arial"/>
                <w:sz w:val="18"/>
              </w:rPr>
            </w:pPr>
            <w:r w:rsidRPr="001464E6">
              <w:rPr>
                <w:rFonts w:ascii="Arial" w:hAnsi="Arial"/>
                <w:sz w:val="18"/>
              </w:rPr>
              <w:t>event-filter</w:t>
            </w:r>
          </w:p>
        </w:tc>
        <w:tc>
          <w:tcPr>
            <w:tcW w:w="2668" w:type="dxa"/>
          </w:tcPr>
          <w:p w14:paraId="31711CB9" w14:textId="77777777" w:rsidR="00991119" w:rsidRPr="001464E6" w:rsidRDefault="00991119" w:rsidP="009E7F73">
            <w:pPr>
              <w:keepNext/>
              <w:keepLines/>
              <w:spacing w:after="0"/>
              <w:rPr>
                <w:rFonts w:ascii="Arial" w:hAnsi="Arial"/>
                <w:sz w:val="18"/>
              </w:rPr>
            </w:pPr>
            <w:r w:rsidRPr="001464E6">
              <w:rPr>
                <w:rFonts w:ascii="Arial" w:hAnsi="Arial"/>
                <w:sz w:val="18"/>
              </w:rPr>
              <w:t>EventFilter</w:t>
            </w:r>
          </w:p>
        </w:tc>
        <w:tc>
          <w:tcPr>
            <w:tcW w:w="286" w:type="dxa"/>
          </w:tcPr>
          <w:p w14:paraId="5B67A3EC" w14:textId="77777777" w:rsidR="00991119" w:rsidRPr="001464E6" w:rsidRDefault="00991119" w:rsidP="009E7F73">
            <w:pPr>
              <w:keepNext/>
              <w:keepLines/>
              <w:spacing w:after="0"/>
              <w:jc w:val="center"/>
              <w:rPr>
                <w:rFonts w:ascii="Arial" w:hAnsi="Arial"/>
                <w:sz w:val="18"/>
              </w:rPr>
            </w:pPr>
            <w:r w:rsidRPr="001464E6">
              <w:rPr>
                <w:rFonts w:ascii="Arial" w:hAnsi="Arial"/>
                <w:sz w:val="18"/>
              </w:rPr>
              <w:t>C</w:t>
            </w:r>
          </w:p>
        </w:tc>
        <w:tc>
          <w:tcPr>
            <w:tcW w:w="1067" w:type="dxa"/>
          </w:tcPr>
          <w:p w14:paraId="32086FD9"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w:t>
            </w:r>
            <w:r w:rsidRPr="001464E6">
              <w:rPr>
                <w:rFonts w:ascii="Arial" w:hAnsi="Arial" w:hint="eastAsia"/>
                <w:sz w:val="18"/>
              </w:rPr>
              <w:t>1</w:t>
            </w:r>
          </w:p>
        </w:tc>
        <w:tc>
          <w:tcPr>
            <w:tcW w:w="4466" w:type="dxa"/>
          </w:tcPr>
          <w:p w14:paraId="08B7ACE1" w14:textId="77777777" w:rsidR="00991119" w:rsidRPr="001464E6" w:rsidRDefault="00991119" w:rsidP="009E7F73">
            <w:pPr>
              <w:keepNext/>
              <w:keepLines/>
              <w:spacing w:after="0"/>
              <w:rPr>
                <w:rFonts w:ascii="Arial" w:hAnsi="Arial"/>
                <w:sz w:val="18"/>
              </w:rPr>
            </w:pPr>
            <w:r w:rsidRPr="001464E6">
              <w:rPr>
                <w:rFonts w:ascii="Arial" w:hAnsi="Arial"/>
                <w:sz w:val="18"/>
              </w:rPr>
              <w:t>Shall be included to identify the analytics when filter information is needed for the related event.</w:t>
            </w:r>
          </w:p>
        </w:tc>
      </w:tr>
      <w:tr w:rsidR="00991119" w:rsidRPr="001464E6" w14:paraId="5EEA996F" w14:textId="77777777" w:rsidTr="009E7F73">
        <w:trPr>
          <w:jc w:val="center"/>
        </w:trPr>
        <w:tc>
          <w:tcPr>
            <w:tcW w:w="1192" w:type="dxa"/>
          </w:tcPr>
          <w:p w14:paraId="25F48FEC" w14:textId="77777777" w:rsidR="00991119" w:rsidRPr="001464E6" w:rsidRDefault="00991119" w:rsidP="009E7F73">
            <w:pPr>
              <w:keepNext/>
              <w:keepLines/>
              <w:spacing w:after="0"/>
              <w:rPr>
                <w:rFonts w:ascii="Arial" w:hAnsi="Arial"/>
                <w:sz w:val="18"/>
              </w:rPr>
            </w:pPr>
            <w:r w:rsidRPr="001464E6">
              <w:rPr>
                <w:rFonts w:ascii="Arial" w:hAnsi="Arial"/>
                <w:sz w:val="18"/>
                <w:lang w:eastAsia="zh-CN"/>
              </w:rPr>
              <w:t>supported-features</w:t>
            </w:r>
          </w:p>
        </w:tc>
        <w:tc>
          <w:tcPr>
            <w:tcW w:w="2668" w:type="dxa"/>
          </w:tcPr>
          <w:p w14:paraId="324206FC" w14:textId="77777777" w:rsidR="00991119" w:rsidRPr="001464E6" w:rsidRDefault="00991119" w:rsidP="009E7F73">
            <w:pPr>
              <w:keepNext/>
              <w:keepLines/>
              <w:spacing w:after="0"/>
              <w:rPr>
                <w:rFonts w:ascii="Arial" w:hAnsi="Arial"/>
                <w:sz w:val="18"/>
              </w:rPr>
            </w:pPr>
            <w:r w:rsidRPr="001464E6">
              <w:rPr>
                <w:rFonts w:ascii="Arial" w:hAnsi="Arial"/>
                <w:sz w:val="18"/>
              </w:rPr>
              <w:t>SupportedFeatures</w:t>
            </w:r>
          </w:p>
        </w:tc>
        <w:tc>
          <w:tcPr>
            <w:tcW w:w="286" w:type="dxa"/>
          </w:tcPr>
          <w:p w14:paraId="2A12B881" w14:textId="77777777" w:rsidR="00991119" w:rsidRPr="001464E6" w:rsidRDefault="00991119" w:rsidP="009E7F73">
            <w:pPr>
              <w:keepNext/>
              <w:keepLines/>
              <w:spacing w:after="0"/>
              <w:jc w:val="center"/>
              <w:rPr>
                <w:rFonts w:ascii="Arial" w:hAnsi="Arial"/>
                <w:sz w:val="18"/>
              </w:rPr>
            </w:pPr>
            <w:r w:rsidRPr="001464E6">
              <w:rPr>
                <w:rFonts w:ascii="Arial" w:hAnsi="Arial"/>
                <w:sz w:val="18"/>
              </w:rPr>
              <w:t>O</w:t>
            </w:r>
          </w:p>
        </w:tc>
        <w:tc>
          <w:tcPr>
            <w:tcW w:w="1067" w:type="dxa"/>
          </w:tcPr>
          <w:p w14:paraId="2B3D073A"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0..1</w:t>
            </w:r>
          </w:p>
        </w:tc>
        <w:tc>
          <w:tcPr>
            <w:tcW w:w="4466" w:type="dxa"/>
            <w:vAlign w:val="center"/>
          </w:tcPr>
          <w:p w14:paraId="5F4B1828" w14:textId="77777777" w:rsidR="00991119" w:rsidRPr="001464E6" w:rsidRDefault="00991119" w:rsidP="009E7F73">
            <w:pPr>
              <w:keepNext/>
              <w:keepLines/>
              <w:spacing w:after="0"/>
              <w:rPr>
                <w:rFonts w:ascii="Arial" w:hAnsi="Arial"/>
                <w:sz w:val="18"/>
              </w:rPr>
            </w:pPr>
            <w:r w:rsidRPr="001464E6">
              <w:rPr>
                <w:rFonts w:ascii="Arial" w:hAnsi="Arial"/>
                <w:sz w:val="18"/>
              </w:rPr>
              <w:t>To filter irrelevant responses related to unsupported features.</w:t>
            </w:r>
          </w:p>
        </w:tc>
      </w:tr>
      <w:tr w:rsidR="00991119" w:rsidRPr="001464E6" w14:paraId="68322436" w14:textId="77777777" w:rsidTr="009E7F73">
        <w:trPr>
          <w:jc w:val="center"/>
        </w:trPr>
        <w:tc>
          <w:tcPr>
            <w:tcW w:w="1192" w:type="dxa"/>
          </w:tcPr>
          <w:p w14:paraId="690D2E88" w14:textId="77777777" w:rsidR="00991119" w:rsidRPr="001464E6" w:rsidRDefault="00991119" w:rsidP="009E7F73">
            <w:pPr>
              <w:keepNext/>
              <w:keepLines/>
              <w:spacing w:after="0"/>
              <w:rPr>
                <w:rFonts w:ascii="Arial" w:hAnsi="Arial"/>
                <w:sz w:val="18"/>
                <w:lang w:eastAsia="zh-CN"/>
              </w:rPr>
            </w:pPr>
            <w:r w:rsidRPr="001464E6">
              <w:rPr>
                <w:rFonts w:ascii="Arial" w:hAnsi="Arial"/>
                <w:sz w:val="18"/>
              </w:rPr>
              <w:t>tgt-ue</w:t>
            </w:r>
          </w:p>
        </w:tc>
        <w:tc>
          <w:tcPr>
            <w:tcW w:w="2668" w:type="dxa"/>
          </w:tcPr>
          <w:p w14:paraId="39BF173C" w14:textId="77777777" w:rsidR="00991119" w:rsidRPr="001464E6" w:rsidRDefault="00991119" w:rsidP="009E7F73">
            <w:pPr>
              <w:keepNext/>
              <w:keepLines/>
              <w:spacing w:after="0"/>
              <w:rPr>
                <w:rFonts w:ascii="Arial" w:hAnsi="Arial"/>
                <w:sz w:val="18"/>
              </w:rPr>
            </w:pPr>
            <w:r w:rsidRPr="001464E6">
              <w:rPr>
                <w:rFonts w:ascii="Arial" w:hAnsi="Arial"/>
                <w:sz w:val="18"/>
              </w:rPr>
              <w:t>TargetUeInformation</w:t>
            </w:r>
          </w:p>
        </w:tc>
        <w:tc>
          <w:tcPr>
            <w:tcW w:w="286" w:type="dxa"/>
          </w:tcPr>
          <w:p w14:paraId="72EB2DFD" w14:textId="77777777" w:rsidR="00991119" w:rsidRPr="001464E6" w:rsidRDefault="00991119" w:rsidP="009E7F73">
            <w:pPr>
              <w:keepNext/>
              <w:keepLines/>
              <w:spacing w:after="0"/>
              <w:jc w:val="center"/>
              <w:rPr>
                <w:rFonts w:ascii="Arial" w:hAnsi="Arial"/>
                <w:sz w:val="18"/>
              </w:rPr>
            </w:pPr>
            <w:r w:rsidRPr="001464E6">
              <w:rPr>
                <w:rFonts w:ascii="Arial" w:hAnsi="Arial"/>
                <w:sz w:val="18"/>
              </w:rPr>
              <w:t>O</w:t>
            </w:r>
          </w:p>
        </w:tc>
        <w:tc>
          <w:tcPr>
            <w:tcW w:w="1067" w:type="dxa"/>
          </w:tcPr>
          <w:p w14:paraId="435030E8" w14:textId="77777777" w:rsidR="00991119" w:rsidRPr="001464E6" w:rsidRDefault="00991119" w:rsidP="009E7F73">
            <w:pPr>
              <w:keepNext/>
              <w:keepLines/>
              <w:spacing w:after="0"/>
              <w:jc w:val="center"/>
              <w:rPr>
                <w:rFonts w:ascii="Arial" w:hAnsi="Arial"/>
                <w:sz w:val="18"/>
              </w:rPr>
            </w:pPr>
            <w:r w:rsidRPr="001464E6">
              <w:rPr>
                <w:rFonts w:ascii="Arial" w:hAnsi="Arial"/>
                <w:sz w:val="18"/>
              </w:rPr>
              <w:t>0..1</w:t>
            </w:r>
          </w:p>
        </w:tc>
        <w:tc>
          <w:tcPr>
            <w:tcW w:w="4466" w:type="dxa"/>
          </w:tcPr>
          <w:p w14:paraId="767100A1" w14:textId="77777777" w:rsidR="00991119" w:rsidRPr="001464E6" w:rsidRDefault="00991119" w:rsidP="009E7F73">
            <w:pPr>
              <w:keepNext/>
              <w:keepLines/>
              <w:spacing w:after="0"/>
              <w:rPr>
                <w:rFonts w:ascii="Arial" w:hAnsi="Arial"/>
                <w:sz w:val="18"/>
              </w:rPr>
            </w:pPr>
            <w:r w:rsidRPr="001464E6">
              <w:rPr>
                <w:rFonts w:ascii="Arial" w:hAnsi="Arial"/>
                <w:sz w:val="18"/>
              </w:rPr>
              <w:t>Identifies the target UE information. (NOTE 1)</w:t>
            </w:r>
          </w:p>
        </w:tc>
      </w:tr>
      <w:tr w:rsidR="00991119" w:rsidRPr="001464E6" w14:paraId="3E24B45E" w14:textId="77777777" w:rsidTr="009E7F73">
        <w:trPr>
          <w:jc w:val="center"/>
        </w:trPr>
        <w:tc>
          <w:tcPr>
            <w:tcW w:w="9679" w:type="dxa"/>
            <w:gridSpan w:val="5"/>
          </w:tcPr>
          <w:p w14:paraId="66A4120B" w14:textId="77777777" w:rsidR="00991119" w:rsidRPr="001464E6" w:rsidRDefault="00991119" w:rsidP="009E7F73">
            <w:pPr>
              <w:keepNext/>
              <w:keepLines/>
              <w:spacing w:after="0"/>
              <w:ind w:left="851" w:hanging="851"/>
              <w:rPr>
                <w:rFonts w:ascii="Arial" w:hAnsi="Arial"/>
                <w:sz w:val="18"/>
              </w:rPr>
            </w:pPr>
            <w:r w:rsidRPr="001464E6">
              <w:rPr>
                <w:rFonts w:ascii="Arial" w:hAnsi="Arial"/>
                <w:sz w:val="18"/>
              </w:rPr>
              <w:t>NOTE 1:</w:t>
            </w:r>
            <w:r w:rsidRPr="001464E6">
              <w:rPr>
                <w:rFonts w:ascii="Arial" w:hAnsi="Arial"/>
                <w:sz w:val="18"/>
              </w:rPr>
              <w:tab/>
              <w:t xml:space="preserve">All target UE(s) indicated by this attribute shall belong to the same PLMN. </w:t>
            </w:r>
            <w:r w:rsidRPr="001464E6">
              <w:rPr>
                <w:rFonts w:ascii="Arial" w:hAnsi="Arial" w:cs="Arial"/>
                <w:sz w:val="18"/>
                <w:szCs w:val="18"/>
              </w:rPr>
              <w:t xml:space="preserve">When the RoamingAnalytics feature is supported and </w:t>
            </w:r>
            <w:r w:rsidRPr="001464E6">
              <w:rPr>
                <w:rFonts w:ascii="Arial" w:hAnsi="Arial"/>
                <w:sz w:val="18"/>
              </w:rPr>
              <w:t>the target UE(s) indicated by this attribute belong to a PLMN different than the PLMN of the NF service consumer, the request should contain only attributes that are applicable also in the Nnwdaf_RoamingAnalytics service.</w:t>
            </w:r>
          </w:p>
          <w:p w14:paraId="3F551573" w14:textId="77777777" w:rsidR="00991119" w:rsidRPr="001464E6" w:rsidRDefault="00991119" w:rsidP="009E7F73">
            <w:pPr>
              <w:keepNext/>
              <w:keepLines/>
              <w:spacing w:after="0"/>
              <w:ind w:left="851" w:hanging="851"/>
              <w:rPr>
                <w:rFonts w:ascii="Arial" w:hAnsi="Arial"/>
                <w:sz w:val="18"/>
              </w:rPr>
            </w:pPr>
            <w:r w:rsidRPr="001464E6">
              <w:rPr>
                <w:rFonts w:ascii="Arial" w:hAnsi="Arial"/>
                <w:sz w:val="18"/>
              </w:rPr>
              <w:t>NOTE 2:</w:t>
            </w:r>
            <w:r w:rsidRPr="001464E6">
              <w:rPr>
                <w:rFonts w:ascii="Arial" w:hAnsi="Arial"/>
                <w:sz w:val="18"/>
              </w:rPr>
              <w:tab/>
              <w:t xml:space="preserve">"strategy" and "aggrNwdafIds" attributes within the "anaMetaInd" attribute in </w:t>
            </w:r>
            <w:r>
              <w:rPr>
                <w:rFonts w:ascii="Arial" w:hAnsi="Arial"/>
                <w:sz w:val="18"/>
              </w:rPr>
              <w:t xml:space="preserve">the </w:t>
            </w:r>
            <w:r w:rsidRPr="001464E6">
              <w:rPr>
                <w:rFonts w:ascii="Arial" w:hAnsi="Arial"/>
                <w:sz w:val="18"/>
              </w:rPr>
              <w:t>EventReportingRequirement data type are not applicable</w:t>
            </w:r>
            <w:r>
              <w:rPr>
                <w:rFonts w:ascii="Arial" w:hAnsi="Arial"/>
                <w:sz w:val="18"/>
              </w:rPr>
              <w:t xml:space="preserve">, while the </w:t>
            </w:r>
            <w:r w:rsidRPr="001464E6">
              <w:rPr>
                <w:rFonts w:ascii="Arial" w:hAnsi="Arial"/>
                <w:sz w:val="18"/>
              </w:rPr>
              <w:t>"</w:t>
            </w:r>
            <w:r>
              <w:rPr>
                <w:rFonts w:ascii="Arial" w:hAnsi="Arial"/>
                <w:sz w:val="18"/>
              </w:rPr>
              <w:t>DATA_SOURCES</w:t>
            </w:r>
            <w:r w:rsidRPr="001464E6">
              <w:rPr>
                <w:rFonts w:ascii="Arial" w:hAnsi="Arial"/>
                <w:sz w:val="18"/>
              </w:rPr>
              <w:t>"</w:t>
            </w:r>
            <w:r>
              <w:rPr>
                <w:rFonts w:ascii="Arial" w:hAnsi="Arial"/>
                <w:sz w:val="18"/>
              </w:rPr>
              <w:t xml:space="preserve"> and </w:t>
            </w:r>
            <w:r w:rsidRPr="001464E6">
              <w:rPr>
                <w:rFonts w:ascii="Arial" w:hAnsi="Arial"/>
                <w:sz w:val="18"/>
              </w:rPr>
              <w:t>"</w:t>
            </w:r>
            <w:r w:rsidRPr="00F02F1D">
              <w:rPr>
                <w:rFonts w:ascii="Arial" w:hAnsi="Arial"/>
                <w:sz w:val="18"/>
              </w:rPr>
              <w:t>USED_PROC_INSTRUCT</w:t>
            </w:r>
            <w:r w:rsidRPr="001464E6">
              <w:rPr>
                <w:rFonts w:ascii="Arial" w:hAnsi="Arial"/>
                <w:sz w:val="18"/>
              </w:rPr>
              <w:t>"</w:t>
            </w:r>
            <w:r>
              <w:rPr>
                <w:rFonts w:ascii="Arial" w:hAnsi="Arial"/>
                <w:sz w:val="18"/>
              </w:rPr>
              <w:t xml:space="preserve"> values are applicable in the </w:t>
            </w:r>
            <w:r w:rsidRPr="001464E6">
              <w:rPr>
                <w:rFonts w:ascii="Arial" w:hAnsi="Arial"/>
                <w:sz w:val="18"/>
              </w:rPr>
              <w:t xml:space="preserve">"anaMeta" attribute in </w:t>
            </w:r>
            <w:r>
              <w:rPr>
                <w:rFonts w:ascii="Arial" w:hAnsi="Arial"/>
                <w:sz w:val="18"/>
              </w:rPr>
              <w:t xml:space="preserve">the </w:t>
            </w:r>
            <w:r w:rsidRPr="001464E6">
              <w:rPr>
                <w:rFonts w:ascii="Arial" w:hAnsi="Arial"/>
                <w:sz w:val="18"/>
              </w:rPr>
              <w:t>EventReportingRequirement data type</w:t>
            </w:r>
            <w:r>
              <w:rPr>
                <w:rFonts w:ascii="Arial" w:hAnsi="Arial"/>
                <w:sz w:val="18"/>
              </w:rPr>
              <w:t xml:space="preserve"> only if the EnAggregation feature is supported</w:t>
            </w:r>
            <w:r w:rsidRPr="001464E6">
              <w:rPr>
                <w:rFonts w:ascii="Arial" w:hAnsi="Arial"/>
                <w:sz w:val="18"/>
              </w:rPr>
              <w:t xml:space="preserve">. </w:t>
            </w:r>
          </w:p>
        </w:tc>
      </w:tr>
    </w:tbl>
    <w:p w14:paraId="212860F4" w14:textId="77777777" w:rsidR="00991119" w:rsidRPr="001464E6" w:rsidRDefault="00991119" w:rsidP="00991119"/>
    <w:p w14:paraId="251C2C36" w14:textId="77777777" w:rsidR="00A10B25" w:rsidRDefault="00A10B25">
      <w:r>
        <w:t>This method shall support the request data structures specified in table 5.2.3.2.3.1-2 and the response data structures and response codes specified in table 5.2.3.2.3.1-3.</w:t>
      </w:r>
    </w:p>
    <w:p w14:paraId="44D8D69A" w14:textId="77777777" w:rsidR="00A10B25" w:rsidRDefault="00A10B25">
      <w:pPr>
        <w:pStyle w:val="TH"/>
        <w:overflowPunct w:val="0"/>
        <w:autoSpaceDE w:val="0"/>
        <w:autoSpaceDN w:val="0"/>
        <w:adjustRightInd w:val="0"/>
        <w:textAlignment w:val="baseline"/>
        <w:rPr>
          <w:rFonts w:eastAsia="MS Mincho"/>
        </w:rPr>
      </w:pPr>
      <w:r>
        <w:rPr>
          <w:rFonts w:eastAsia="MS Mincho"/>
        </w:rPr>
        <w:t>Table 5.2.3.2.3.1-2: Data structures supported by the GET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41420002" w14:textId="77777777">
        <w:trPr>
          <w:jc w:val="center"/>
        </w:trPr>
        <w:tc>
          <w:tcPr>
            <w:tcW w:w="1627" w:type="dxa"/>
            <w:tcBorders>
              <w:bottom w:val="single" w:sz="6" w:space="0" w:color="auto"/>
            </w:tcBorders>
            <w:shd w:val="clear" w:color="auto" w:fill="C0C0C0"/>
          </w:tcPr>
          <w:p w14:paraId="4DADBA9F" w14:textId="77777777" w:rsidR="00A10B25" w:rsidRDefault="00A10B25">
            <w:pPr>
              <w:pStyle w:val="TAH"/>
            </w:pPr>
            <w:r>
              <w:t>Data type</w:t>
            </w:r>
          </w:p>
        </w:tc>
        <w:tc>
          <w:tcPr>
            <w:tcW w:w="425" w:type="dxa"/>
            <w:tcBorders>
              <w:bottom w:val="single" w:sz="6" w:space="0" w:color="auto"/>
            </w:tcBorders>
            <w:shd w:val="clear" w:color="auto" w:fill="C0C0C0"/>
          </w:tcPr>
          <w:p w14:paraId="1CDD3616" w14:textId="77777777" w:rsidR="00A10B25" w:rsidRDefault="00A10B25">
            <w:pPr>
              <w:pStyle w:val="TAH"/>
            </w:pPr>
            <w:r>
              <w:t>P</w:t>
            </w:r>
          </w:p>
        </w:tc>
        <w:tc>
          <w:tcPr>
            <w:tcW w:w="1276" w:type="dxa"/>
            <w:tcBorders>
              <w:bottom w:val="single" w:sz="6" w:space="0" w:color="auto"/>
            </w:tcBorders>
            <w:shd w:val="clear" w:color="auto" w:fill="C0C0C0"/>
          </w:tcPr>
          <w:p w14:paraId="6D70B90A"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1877A6AD" w14:textId="77777777" w:rsidR="00A10B25" w:rsidRDefault="00A10B25">
            <w:pPr>
              <w:pStyle w:val="TAH"/>
            </w:pPr>
            <w:r>
              <w:t>Description</w:t>
            </w:r>
          </w:p>
        </w:tc>
      </w:tr>
      <w:tr w:rsidR="00A10B25" w14:paraId="001A39D8" w14:textId="77777777">
        <w:trPr>
          <w:jc w:val="center"/>
        </w:trPr>
        <w:tc>
          <w:tcPr>
            <w:tcW w:w="1627" w:type="dxa"/>
            <w:tcBorders>
              <w:top w:val="single" w:sz="6" w:space="0" w:color="auto"/>
            </w:tcBorders>
          </w:tcPr>
          <w:p w14:paraId="1C07194E" w14:textId="77777777" w:rsidR="00A10B25" w:rsidRDefault="00A10B25">
            <w:pPr>
              <w:pStyle w:val="TAL"/>
            </w:pPr>
            <w:r>
              <w:t>n/a</w:t>
            </w:r>
          </w:p>
        </w:tc>
        <w:tc>
          <w:tcPr>
            <w:tcW w:w="425" w:type="dxa"/>
            <w:tcBorders>
              <w:top w:val="single" w:sz="6" w:space="0" w:color="auto"/>
            </w:tcBorders>
          </w:tcPr>
          <w:p w14:paraId="5762913D" w14:textId="77777777" w:rsidR="00A10B25" w:rsidRDefault="00A10B25">
            <w:pPr>
              <w:pStyle w:val="TAC"/>
            </w:pPr>
          </w:p>
        </w:tc>
        <w:tc>
          <w:tcPr>
            <w:tcW w:w="1276" w:type="dxa"/>
            <w:tcBorders>
              <w:top w:val="single" w:sz="6" w:space="0" w:color="auto"/>
            </w:tcBorders>
          </w:tcPr>
          <w:p w14:paraId="7B6AAB12" w14:textId="77777777" w:rsidR="00A10B25" w:rsidRDefault="00A10B25">
            <w:pPr>
              <w:pStyle w:val="TAL"/>
            </w:pPr>
          </w:p>
        </w:tc>
        <w:tc>
          <w:tcPr>
            <w:tcW w:w="6447" w:type="dxa"/>
            <w:tcBorders>
              <w:top w:val="single" w:sz="6" w:space="0" w:color="auto"/>
            </w:tcBorders>
          </w:tcPr>
          <w:p w14:paraId="4631D08B" w14:textId="77777777" w:rsidR="00A10B25" w:rsidRDefault="00A10B25">
            <w:pPr>
              <w:pStyle w:val="TAL"/>
            </w:pPr>
          </w:p>
        </w:tc>
      </w:tr>
    </w:tbl>
    <w:p w14:paraId="0929C2AD" w14:textId="77777777" w:rsidR="00A10B25" w:rsidRDefault="00A10B25"/>
    <w:p w14:paraId="221E2AF6" w14:textId="77777777" w:rsidR="004D166F" w:rsidRDefault="004D166F" w:rsidP="004D166F">
      <w:pPr>
        <w:pStyle w:val="TH"/>
        <w:overflowPunct w:val="0"/>
        <w:autoSpaceDE w:val="0"/>
        <w:autoSpaceDN w:val="0"/>
        <w:adjustRightInd w:val="0"/>
        <w:textAlignment w:val="baseline"/>
        <w:rPr>
          <w:rFonts w:eastAsia="MS Mincho"/>
        </w:rPr>
      </w:pPr>
      <w:bookmarkStart w:id="10197" w:name="_Toc88667669"/>
      <w:bookmarkStart w:id="10198" w:name="_Toc51762960"/>
      <w:bookmarkStart w:id="10199" w:name="_Toc70550693"/>
      <w:bookmarkStart w:id="10200" w:name="_Toc85557161"/>
      <w:bookmarkStart w:id="10201" w:name="_Toc90655954"/>
      <w:bookmarkStart w:id="10202" w:name="_Toc101244523"/>
      <w:bookmarkStart w:id="10203" w:name="_Toc56641029"/>
      <w:bookmarkStart w:id="10204" w:name="_Toc43563562"/>
      <w:bookmarkStart w:id="10205" w:name="_Toc113031781"/>
      <w:bookmarkStart w:id="10206" w:name="_Toc114133920"/>
      <w:bookmarkStart w:id="10207" w:name="_Toc83233146"/>
      <w:bookmarkStart w:id="10208" w:name="_Toc34266347"/>
      <w:bookmarkStart w:id="10209" w:name="_Toc66231865"/>
      <w:bookmarkStart w:id="10210" w:name="_Toc98233746"/>
      <w:bookmarkStart w:id="10211" w:name="_Toc45134108"/>
      <w:bookmarkStart w:id="10212" w:name="_Toc59017997"/>
      <w:bookmarkStart w:id="10213" w:name="_Toc68169026"/>
      <w:bookmarkStart w:id="10214" w:name="_Toc104539118"/>
      <w:bookmarkStart w:id="10215" w:name="_Toc136562517"/>
      <w:bookmarkStart w:id="10216" w:name="_Toc36102518"/>
      <w:bookmarkStart w:id="10217" w:name="_Toc138754351"/>
      <w:bookmarkStart w:id="10218" w:name="_Toc145705846"/>
      <w:bookmarkStart w:id="10219" w:name="_Toc28012861"/>
      <w:bookmarkStart w:id="10220" w:name="_Toc120702421"/>
      <w:bookmarkStart w:id="10221" w:name="_Toc94064359"/>
      <w:bookmarkStart w:id="10222" w:name="_Toc148522756"/>
      <w:bookmarkStart w:id="10223" w:name="_Toc112951241"/>
      <w:bookmarkStart w:id="10224" w:name="_Toc50032040"/>
      <w:bookmarkStart w:id="10225" w:name="_Toc85553062"/>
      <w:bookmarkStart w:id="10226" w:name="_Toc164920942"/>
      <w:bookmarkStart w:id="10227" w:name="_Toc170120484"/>
      <w:bookmarkStart w:id="10228" w:name="_Toc175858729"/>
      <w:bookmarkStart w:id="10229" w:name="_Toc175859802"/>
      <w:bookmarkStart w:id="10230" w:name="_Toc180606092"/>
      <w:bookmarkStart w:id="10231" w:name="_Toc185517353"/>
      <w:r>
        <w:rPr>
          <w:rFonts w:eastAsia="MS Mincho"/>
        </w:rPr>
        <w:t>Table 5.2.3.2.3.1-3: Data structures supported by the GET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048"/>
        <w:gridCol w:w="286"/>
        <w:gridCol w:w="1067"/>
        <w:gridCol w:w="1017"/>
        <w:gridCol w:w="4122"/>
      </w:tblGrid>
      <w:tr w:rsidR="004D166F" w14:paraId="292AA1FB"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shd w:val="clear" w:color="auto" w:fill="C0C0C0"/>
          </w:tcPr>
          <w:p w14:paraId="7A62E57D" w14:textId="77777777" w:rsidR="004D166F" w:rsidRDefault="004D166F" w:rsidP="009E7F73">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tcPr>
          <w:p w14:paraId="3F0ADDF7" w14:textId="77777777" w:rsidR="004D166F" w:rsidRDefault="004D166F" w:rsidP="009E7F73">
            <w:pPr>
              <w:pStyle w:val="TAH"/>
            </w:pPr>
            <w:r>
              <w:t>P</w:t>
            </w:r>
          </w:p>
        </w:tc>
        <w:tc>
          <w:tcPr>
            <w:tcW w:w="559" w:type="pct"/>
            <w:tcBorders>
              <w:top w:val="single" w:sz="6" w:space="0" w:color="auto"/>
              <w:left w:val="single" w:sz="6" w:space="0" w:color="auto"/>
              <w:bottom w:val="single" w:sz="6" w:space="0" w:color="auto"/>
              <w:right w:val="single" w:sz="6" w:space="0" w:color="auto"/>
            </w:tcBorders>
            <w:shd w:val="clear" w:color="auto" w:fill="C0C0C0"/>
          </w:tcPr>
          <w:p w14:paraId="1EF21E08" w14:textId="77777777" w:rsidR="004D166F" w:rsidRDefault="004D166F" w:rsidP="009E7F73">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tcPr>
          <w:p w14:paraId="4976CF74" w14:textId="77777777" w:rsidR="004D166F" w:rsidRDefault="004D166F" w:rsidP="009E7F73">
            <w:pPr>
              <w:pStyle w:val="TAH"/>
            </w:pPr>
            <w:r>
              <w:t>Response</w:t>
            </w:r>
          </w:p>
          <w:p w14:paraId="6E0177F8" w14:textId="77777777" w:rsidR="004D166F" w:rsidRDefault="004D166F" w:rsidP="009E7F73">
            <w:pPr>
              <w:pStyle w:val="TAH"/>
            </w:pPr>
            <w:r>
              <w:t>codes</w:t>
            </w:r>
          </w:p>
        </w:tc>
        <w:tc>
          <w:tcPr>
            <w:tcW w:w="2205" w:type="pct"/>
            <w:tcBorders>
              <w:top w:val="single" w:sz="6" w:space="0" w:color="auto"/>
              <w:left w:val="single" w:sz="6" w:space="0" w:color="auto"/>
              <w:bottom w:val="single" w:sz="6" w:space="0" w:color="auto"/>
              <w:right w:val="single" w:sz="6" w:space="0" w:color="auto"/>
            </w:tcBorders>
            <w:shd w:val="clear" w:color="auto" w:fill="C0C0C0"/>
          </w:tcPr>
          <w:p w14:paraId="49645556" w14:textId="77777777" w:rsidR="004D166F" w:rsidRDefault="004D166F" w:rsidP="009E7F73">
            <w:pPr>
              <w:pStyle w:val="TAH"/>
            </w:pPr>
            <w:r>
              <w:t>Description</w:t>
            </w:r>
          </w:p>
        </w:tc>
      </w:tr>
      <w:tr w:rsidR="004D166F" w14:paraId="2E8D907B"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6394D693" w14:textId="77777777" w:rsidR="004D166F" w:rsidRDefault="004D166F" w:rsidP="009E7F73">
            <w:pPr>
              <w:pStyle w:val="TAL"/>
            </w:pPr>
            <w:r>
              <w:t>AnalyticsData</w:t>
            </w:r>
          </w:p>
        </w:tc>
        <w:tc>
          <w:tcPr>
            <w:tcW w:w="150" w:type="pct"/>
            <w:tcBorders>
              <w:top w:val="single" w:sz="6" w:space="0" w:color="auto"/>
              <w:left w:val="single" w:sz="6" w:space="0" w:color="auto"/>
              <w:bottom w:val="single" w:sz="6" w:space="0" w:color="auto"/>
              <w:right w:val="single" w:sz="6" w:space="0" w:color="auto"/>
            </w:tcBorders>
          </w:tcPr>
          <w:p w14:paraId="5FF8AEAD" w14:textId="77777777" w:rsidR="004D166F" w:rsidRDefault="004D166F" w:rsidP="009E7F73">
            <w:pPr>
              <w:pStyle w:val="TAC"/>
            </w:pPr>
            <w:r>
              <w:t>M</w:t>
            </w:r>
          </w:p>
        </w:tc>
        <w:tc>
          <w:tcPr>
            <w:tcW w:w="559" w:type="pct"/>
            <w:tcBorders>
              <w:top w:val="single" w:sz="6" w:space="0" w:color="auto"/>
              <w:left w:val="single" w:sz="6" w:space="0" w:color="auto"/>
              <w:bottom w:val="single" w:sz="6" w:space="0" w:color="auto"/>
              <w:right w:val="single" w:sz="6" w:space="0" w:color="auto"/>
            </w:tcBorders>
          </w:tcPr>
          <w:p w14:paraId="6252048D" w14:textId="77777777" w:rsidR="004D166F" w:rsidRDefault="004D166F" w:rsidP="009E7F73">
            <w:pPr>
              <w:pStyle w:val="TAL"/>
            </w:pPr>
            <w:r>
              <w:t>1</w:t>
            </w:r>
          </w:p>
        </w:tc>
        <w:tc>
          <w:tcPr>
            <w:tcW w:w="523" w:type="pct"/>
            <w:tcBorders>
              <w:top w:val="single" w:sz="6" w:space="0" w:color="auto"/>
              <w:left w:val="single" w:sz="6" w:space="0" w:color="auto"/>
              <w:bottom w:val="single" w:sz="6" w:space="0" w:color="auto"/>
              <w:right w:val="single" w:sz="6" w:space="0" w:color="auto"/>
            </w:tcBorders>
          </w:tcPr>
          <w:p w14:paraId="7F859007" w14:textId="77777777" w:rsidR="004D166F" w:rsidRDefault="004D166F" w:rsidP="009E7F73">
            <w:pPr>
              <w:pStyle w:val="TAL"/>
            </w:pPr>
            <w:r>
              <w:t>200 OK</w:t>
            </w:r>
          </w:p>
        </w:tc>
        <w:tc>
          <w:tcPr>
            <w:tcW w:w="2205" w:type="pct"/>
            <w:tcBorders>
              <w:top w:val="single" w:sz="6" w:space="0" w:color="auto"/>
              <w:left w:val="single" w:sz="6" w:space="0" w:color="auto"/>
              <w:bottom w:val="single" w:sz="6" w:space="0" w:color="auto"/>
              <w:right w:val="single" w:sz="6" w:space="0" w:color="auto"/>
            </w:tcBorders>
          </w:tcPr>
          <w:p w14:paraId="41F35195" w14:textId="77777777" w:rsidR="004D166F" w:rsidRDefault="004D166F" w:rsidP="009E7F73">
            <w:pPr>
              <w:pStyle w:val="TAL"/>
            </w:pPr>
            <w:r>
              <w:t>Containing the analytics with parameters as relevant for the requesting NF service consumer.</w:t>
            </w:r>
          </w:p>
        </w:tc>
      </w:tr>
      <w:tr w:rsidR="004D166F" w14:paraId="191274B7"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07EC7FE0" w14:textId="77777777" w:rsidR="004D166F" w:rsidRDefault="004D166F" w:rsidP="009E7F73">
            <w:pPr>
              <w:pStyle w:val="TAL"/>
            </w:pPr>
            <w:r>
              <w:t>n/a</w:t>
            </w:r>
          </w:p>
        </w:tc>
        <w:tc>
          <w:tcPr>
            <w:tcW w:w="150" w:type="pct"/>
            <w:tcBorders>
              <w:top w:val="single" w:sz="6" w:space="0" w:color="auto"/>
              <w:left w:val="single" w:sz="6" w:space="0" w:color="auto"/>
              <w:bottom w:val="single" w:sz="6" w:space="0" w:color="auto"/>
              <w:right w:val="single" w:sz="6" w:space="0" w:color="auto"/>
            </w:tcBorders>
          </w:tcPr>
          <w:p w14:paraId="16F268E7" w14:textId="77777777" w:rsidR="004D166F" w:rsidRDefault="004D166F" w:rsidP="009E7F73">
            <w:pPr>
              <w:pStyle w:val="TAC"/>
            </w:pPr>
          </w:p>
        </w:tc>
        <w:tc>
          <w:tcPr>
            <w:tcW w:w="559" w:type="pct"/>
            <w:tcBorders>
              <w:top w:val="single" w:sz="6" w:space="0" w:color="auto"/>
              <w:left w:val="single" w:sz="6" w:space="0" w:color="auto"/>
              <w:bottom w:val="single" w:sz="6" w:space="0" w:color="auto"/>
              <w:right w:val="single" w:sz="6" w:space="0" w:color="auto"/>
            </w:tcBorders>
          </w:tcPr>
          <w:p w14:paraId="6CAF260E" w14:textId="77777777" w:rsidR="004D166F" w:rsidRDefault="004D166F" w:rsidP="009E7F73">
            <w:pPr>
              <w:pStyle w:val="TAL"/>
            </w:pPr>
          </w:p>
        </w:tc>
        <w:tc>
          <w:tcPr>
            <w:tcW w:w="523" w:type="pct"/>
            <w:tcBorders>
              <w:top w:val="single" w:sz="6" w:space="0" w:color="auto"/>
              <w:left w:val="single" w:sz="6" w:space="0" w:color="auto"/>
              <w:bottom w:val="single" w:sz="6" w:space="0" w:color="auto"/>
              <w:right w:val="single" w:sz="6" w:space="0" w:color="auto"/>
            </w:tcBorders>
          </w:tcPr>
          <w:p w14:paraId="1653D383" w14:textId="77777777" w:rsidR="004D166F" w:rsidRDefault="004D166F" w:rsidP="009E7F73">
            <w:pPr>
              <w:pStyle w:val="TAL"/>
            </w:pPr>
            <w:r>
              <w:t>204 No Content</w:t>
            </w:r>
          </w:p>
        </w:tc>
        <w:tc>
          <w:tcPr>
            <w:tcW w:w="2205" w:type="pct"/>
            <w:tcBorders>
              <w:top w:val="single" w:sz="6" w:space="0" w:color="auto"/>
              <w:left w:val="single" w:sz="6" w:space="0" w:color="auto"/>
              <w:bottom w:val="single" w:sz="6" w:space="0" w:color="auto"/>
              <w:right w:val="single" w:sz="6" w:space="0" w:color="auto"/>
            </w:tcBorders>
          </w:tcPr>
          <w:p w14:paraId="28E5F5C6" w14:textId="77777777" w:rsidR="004D166F" w:rsidRDefault="004D166F" w:rsidP="009E7F73">
            <w:pPr>
              <w:pStyle w:val="TAL"/>
            </w:pPr>
            <w:r>
              <w:t>If the request NWDAF Analytics data does not exist, the NWDAF shall respond with "204 No Content"</w:t>
            </w:r>
          </w:p>
        </w:tc>
      </w:tr>
      <w:tr w:rsidR="004D166F" w14:paraId="51FC74E2"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74144467" w14:textId="77777777" w:rsidR="004D166F" w:rsidRDefault="004D166F" w:rsidP="009E7F73">
            <w:pPr>
              <w:pStyle w:val="TAL"/>
            </w:pPr>
            <w:r>
              <w:t>RedirectResponse</w:t>
            </w:r>
          </w:p>
        </w:tc>
        <w:tc>
          <w:tcPr>
            <w:tcW w:w="150" w:type="pct"/>
            <w:tcBorders>
              <w:top w:val="single" w:sz="6" w:space="0" w:color="auto"/>
              <w:left w:val="single" w:sz="6" w:space="0" w:color="auto"/>
              <w:bottom w:val="single" w:sz="6" w:space="0" w:color="auto"/>
              <w:right w:val="single" w:sz="6" w:space="0" w:color="auto"/>
            </w:tcBorders>
          </w:tcPr>
          <w:p w14:paraId="48911EE6"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025B4496"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0262D89B" w14:textId="77777777" w:rsidR="004D166F" w:rsidRDefault="004D166F" w:rsidP="009E7F73">
            <w:pPr>
              <w:pStyle w:val="TAL"/>
            </w:pPr>
            <w:r>
              <w:t>307 Temporary Redirect</w:t>
            </w:r>
          </w:p>
        </w:tc>
        <w:tc>
          <w:tcPr>
            <w:tcW w:w="2205" w:type="pct"/>
            <w:tcBorders>
              <w:top w:val="single" w:sz="6" w:space="0" w:color="auto"/>
              <w:left w:val="single" w:sz="6" w:space="0" w:color="auto"/>
              <w:bottom w:val="single" w:sz="6" w:space="0" w:color="auto"/>
              <w:right w:val="single" w:sz="6" w:space="0" w:color="auto"/>
            </w:tcBorders>
          </w:tcPr>
          <w:p w14:paraId="251C68F0" w14:textId="77777777" w:rsidR="004D166F" w:rsidRDefault="004D166F" w:rsidP="009E7F73">
            <w:pPr>
              <w:pStyle w:val="TAL"/>
            </w:pPr>
            <w:r>
              <w:t>Temporary redirection.</w:t>
            </w:r>
          </w:p>
          <w:p w14:paraId="4DF27342" w14:textId="77777777" w:rsidR="004D166F" w:rsidRDefault="004D166F" w:rsidP="009E7F73">
            <w:pPr>
              <w:pStyle w:val="TAL"/>
            </w:pPr>
          </w:p>
          <w:p w14:paraId="693C8663" w14:textId="77777777" w:rsidR="004D166F" w:rsidRDefault="004D166F" w:rsidP="009E7F73">
            <w:pPr>
              <w:pStyle w:val="TAL"/>
            </w:pPr>
            <w:r>
              <w:t>(NOTE 3)</w:t>
            </w:r>
          </w:p>
        </w:tc>
      </w:tr>
      <w:tr w:rsidR="004D166F" w14:paraId="4B4A0CB6"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5D1CD1AD" w14:textId="77777777" w:rsidR="004D166F" w:rsidRDefault="004D166F" w:rsidP="009E7F73">
            <w:pPr>
              <w:pStyle w:val="TAL"/>
            </w:pPr>
            <w:r>
              <w:t>RedirectResponse</w:t>
            </w:r>
          </w:p>
        </w:tc>
        <w:tc>
          <w:tcPr>
            <w:tcW w:w="150" w:type="pct"/>
            <w:tcBorders>
              <w:top w:val="single" w:sz="6" w:space="0" w:color="auto"/>
              <w:left w:val="single" w:sz="6" w:space="0" w:color="auto"/>
              <w:bottom w:val="single" w:sz="6" w:space="0" w:color="auto"/>
              <w:right w:val="single" w:sz="6" w:space="0" w:color="auto"/>
            </w:tcBorders>
          </w:tcPr>
          <w:p w14:paraId="35A4AFF1"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09FE7F14"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035DE388" w14:textId="77777777" w:rsidR="004D166F" w:rsidRDefault="004D166F" w:rsidP="009E7F73">
            <w:pPr>
              <w:pStyle w:val="TAL"/>
            </w:pPr>
            <w:r>
              <w:t>308 Permanent Redirect</w:t>
            </w:r>
          </w:p>
        </w:tc>
        <w:tc>
          <w:tcPr>
            <w:tcW w:w="2205" w:type="pct"/>
            <w:tcBorders>
              <w:top w:val="single" w:sz="6" w:space="0" w:color="auto"/>
              <w:left w:val="single" w:sz="6" w:space="0" w:color="auto"/>
              <w:bottom w:val="single" w:sz="6" w:space="0" w:color="auto"/>
              <w:right w:val="single" w:sz="6" w:space="0" w:color="auto"/>
            </w:tcBorders>
          </w:tcPr>
          <w:p w14:paraId="43EE93E6" w14:textId="77777777" w:rsidR="004D166F" w:rsidRDefault="004D166F" w:rsidP="009E7F73">
            <w:pPr>
              <w:pStyle w:val="TAL"/>
            </w:pPr>
            <w:r>
              <w:t>Permanent redirection.</w:t>
            </w:r>
          </w:p>
          <w:p w14:paraId="32ACC0F0" w14:textId="77777777" w:rsidR="004D166F" w:rsidRDefault="004D166F" w:rsidP="009E7F73">
            <w:pPr>
              <w:pStyle w:val="TAL"/>
            </w:pPr>
          </w:p>
          <w:p w14:paraId="28727D9F" w14:textId="77777777" w:rsidR="004D166F" w:rsidRDefault="004D166F" w:rsidP="009E7F73">
            <w:pPr>
              <w:pStyle w:val="TAL"/>
            </w:pPr>
            <w:r>
              <w:t>(NOTE 3)</w:t>
            </w:r>
          </w:p>
        </w:tc>
      </w:tr>
      <w:tr w:rsidR="004D166F" w14:paraId="3B07991A"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72D674AF" w14:textId="77777777" w:rsidR="004D166F" w:rsidRDefault="004D166F" w:rsidP="009E7F73">
            <w:pPr>
              <w:pStyle w:val="TAL"/>
            </w:pPr>
            <w:r>
              <w:t>ProblemDetails</w:t>
            </w:r>
          </w:p>
        </w:tc>
        <w:tc>
          <w:tcPr>
            <w:tcW w:w="150" w:type="pct"/>
            <w:tcBorders>
              <w:top w:val="single" w:sz="6" w:space="0" w:color="auto"/>
              <w:left w:val="single" w:sz="6" w:space="0" w:color="auto"/>
              <w:bottom w:val="single" w:sz="6" w:space="0" w:color="auto"/>
              <w:right w:val="single" w:sz="6" w:space="0" w:color="auto"/>
            </w:tcBorders>
          </w:tcPr>
          <w:p w14:paraId="28476439"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55DCA1EB"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0C3C8B97" w14:textId="77777777" w:rsidR="004D166F" w:rsidRDefault="004D166F" w:rsidP="009E7F73">
            <w:pPr>
              <w:pStyle w:val="TAL"/>
            </w:pPr>
            <w:r>
              <w:t>400 Bad Request</w:t>
            </w:r>
          </w:p>
        </w:tc>
        <w:tc>
          <w:tcPr>
            <w:tcW w:w="2205" w:type="pct"/>
            <w:tcBorders>
              <w:top w:val="single" w:sz="6" w:space="0" w:color="auto"/>
              <w:left w:val="single" w:sz="6" w:space="0" w:color="auto"/>
              <w:bottom w:val="single" w:sz="6" w:space="0" w:color="auto"/>
              <w:right w:val="single" w:sz="6" w:space="0" w:color="auto"/>
            </w:tcBorders>
          </w:tcPr>
          <w:p w14:paraId="09C3E3D2" w14:textId="77777777" w:rsidR="004D166F" w:rsidRDefault="004D166F" w:rsidP="009E7F73">
            <w:pPr>
              <w:pStyle w:val="TAL"/>
            </w:pPr>
            <w:r>
              <w:t>(NOTE 2)</w:t>
            </w:r>
          </w:p>
        </w:tc>
      </w:tr>
      <w:tr w:rsidR="004D166F" w14:paraId="5E305976"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2D893B8F" w14:textId="77777777" w:rsidR="004D166F" w:rsidRDefault="004D166F" w:rsidP="009E7F73">
            <w:pPr>
              <w:pStyle w:val="TAL"/>
            </w:pPr>
            <w:r>
              <w:t>ProblemDetails</w:t>
            </w:r>
          </w:p>
        </w:tc>
        <w:tc>
          <w:tcPr>
            <w:tcW w:w="150" w:type="pct"/>
            <w:tcBorders>
              <w:top w:val="single" w:sz="6" w:space="0" w:color="auto"/>
              <w:left w:val="single" w:sz="6" w:space="0" w:color="auto"/>
              <w:bottom w:val="single" w:sz="6" w:space="0" w:color="auto"/>
              <w:right w:val="single" w:sz="6" w:space="0" w:color="auto"/>
            </w:tcBorders>
          </w:tcPr>
          <w:p w14:paraId="04BEB0DF"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22941F46"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2780861D" w14:textId="77777777" w:rsidR="004D166F" w:rsidRDefault="004D166F" w:rsidP="009E7F73">
            <w:pPr>
              <w:pStyle w:val="TAL"/>
            </w:pPr>
            <w:r>
              <w:t>403 Forbidden</w:t>
            </w:r>
          </w:p>
        </w:tc>
        <w:tc>
          <w:tcPr>
            <w:tcW w:w="2205" w:type="pct"/>
            <w:tcBorders>
              <w:top w:val="single" w:sz="6" w:space="0" w:color="auto"/>
              <w:left w:val="single" w:sz="6" w:space="0" w:color="auto"/>
              <w:bottom w:val="single" w:sz="6" w:space="0" w:color="auto"/>
              <w:right w:val="single" w:sz="6" w:space="0" w:color="auto"/>
            </w:tcBorders>
          </w:tcPr>
          <w:p w14:paraId="08A5DD88" w14:textId="77777777" w:rsidR="004D166F" w:rsidRDefault="004D166F" w:rsidP="009E7F73">
            <w:pPr>
              <w:pStyle w:val="TAL"/>
            </w:pPr>
            <w:r>
              <w:t>(NOTE 2)</w:t>
            </w:r>
          </w:p>
        </w:tc>
      </w:tr>
      <w:tr w:rsidR="004D166F" w14:paraId="64857338"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7FE4E066" w14:textId="77777777" w:rsidR="004D166F" w:rsidRDefault="004D166F" w:rsidP="009E7F73">
            <w:pPr>
              <w:pStyle w:val="TAL"/>
            </w:pPr>
            <w:r>
              <w:rPr>
                <w:rStyle w:val="B1Char"/>
              </w:rPr>
              <w:t>ProblemDetailsAnalyticsInfo</w:t>
            </w:r>
            <w:r>
              <w:t>Request</w:t>
            </w:r>
          </w:p>
        </w:tc>
        <w:tc>
          <w:tcPr>
            <w:tcW w:w="150" w:type="pct"/>
            <w:tcBorders>
              <w:top w:val="single" w:sz="6" w:space="0" w:color="auto"/>
              <w:left w:val="single" w:sz="6" w:space="0" w:color="auto"/>
              <w:bottom w:val="single" w:sz="6" w:space="0" w:color="auto"/>
              <w:right w:val="single" w:sz="6" w:space="0" w:color="auto"/>
            </w:tcBorders>
          </w:tcPr>
          <w:p w14:paraId="0A81B5C6" w14:textId="77777777" w:rsidR="004D166F" w:rsidRDefault="004D166F" w:rsidP="009E7F73">
            <w:pPr>
              <w:pStyle w:val="TAC"/>
            </w:pPr>
            <w:r>
              <w:t>O</w:t>
            </w:r>
          </w:p>
        </w:tc>
        <w:tc>
          <w:tcPr>
            <w:tcW w:w="559" w:type="pct"/>
            <w:tcBorders>
              <w:top w:val="single" w:sz="6" w:space="0" w:color="auto"/>
              <w:left w:val="single" w:sz="6" w:space="0" w:color="auto"/>
              <w:bottom w:val="single" w:sz="6" w:space="0" w:color="auto"/>
              <w:right w:val="single" w:sz="6" w:space="0" w:color="auto"/>
            </w:tcBorders>
          </w:tcPr>
          <w:p w14:paraId="2D272534" w14:textId="77777777" w:rsidR="004D166F" w:rsidRDefault="004D166F" w:rsidP="009E7F73">
            <w:pPr>
              <w:pStyle w:val="TAL"/>
            </w:pPr>
            <w:r>
              <w:t>0..1</w:t>
            </w:r>
          </w:p>
        </w:tc>
        <w:tc>
          <w:tcPr>
            <w:tcW w:w="523" w:type="pct"/>
            <w:tcBorders>
              <w:top w:val="single" w:sz="6" w:space="0" w:color="auto"/>
              <w:left w:val="single" w:sz="6" w:space="0" w:color="auto"/>
              <w:bottom w:val="single" w:sz="6" w:space="0" w:color="auto"/>
              <w:right w:val="single" w:sz="6" w:space="0" w:color="auto"/>
            </w:tcBorders>
          </w:tcPr>
          <w:p w14:paraId="51CAFF2D" w14:textId="77777777" w:rsidR="004D166F" w:rsidRDefault="004D166F" w:rsidP="009E7F73">
            <w:pPr>
              <w:pStyle w:val="TAL"/>
            </w:pPr>
            <w:r>
              <w:t>500 Internal Server Error</w:t>
            </w:r>
          </w:p>
        </w:tc>
        <w:tc>
          <w:tcPr>
            <w:tcW w:w="2205" w:type="pct"/>
            <w:tcBorders>
              <w:top w:val="single" w:sz="6" w:space="0" w:color="auto"/>
              <w:left w:val="single" w:sz="6" w:space="0" w:color="auto"/>
              <w:bottom w:val="single" w:sz="6" w:space="0" w:color="auto"/>
              <w:right w:val="single" w:sz="6" w:space="0" w:color="auto"/>
            </w:tcBorders>
          </w:tcPr>
          <w:p w14:paraId="73AC3F88" w14:textId="77777777" w:rsidR="004D166F" w:rsidRDefault="004D166F" w:rsidP="009E7F73">
            <w:pPr>
              <w:pStyle w:val="TAL"/>
            </w:pPr>
            <w:r>
              <w:t>The request is rejected by the NWDAF and more details (not only the ProblemDetails) are returned.</w:t>
            </w:r>
          </w:p>
          <w:p w14:paraId="320E2A9C" w14:textId="77777777" w:rsidR="004D166F" w:rsidRDefault="004D166F" w:rsidP="009E7F73">
            <w:pPr>
              <w:pStyle w:val="TAL"/>
            </w:pPr>
            <w:r>
              <w:t>(NOTE 2)</w:t>
            </w:r>
          </w:p>
        </w:tc>
      </w:tr>
      <w:tr w:rsidR="004D166F" w14:paraId="6B54DE16" w14:textId="77777777" w:rsidTr="009E7F73">
        <w:trPr>
          <w:jc w:val="center"/>
        </w:trPr>
        <w:tc>
          <w:tcPr>
            <w:tcW w:w="1563" w:type="pct"/>
            <w:tcBorders>
              <w:top w:val="single" w:sz="6" w:space="0" w:color="auto"/>
              <w:left w:val="single" w:sz="6" w:space="0" w:color="auto"/>
              <w:bottom w:val="single" w:sz="6" w:space="0" w:color="auto"/>
              <w:right w:val="single" w:sz="6" w:space="0" w:color="auto"/>
            </w:tcBorders>
          </w:tcPr>
          <w:p w14:paraId="6EA20F4C" w14:textId="77777777" w:rsidR="004D166F" w:rsidRDefault="004D166F" w:rsidP="009E7F73">
            <w:pPr>
              <w:pStyle w:val="TAL"/>
              <w:rPr>
                <w:rStyle w:val="B1Char"/>
              </w:rPr>
            </w:pPr>
            <w:r>
              <w:rPr>
                <w:bCs/>
                <w:lang w:eastAsia="zh-CN"/>
              </w:rPr>
              <w:t>ProblemDetails</w:t>
            </w:r>
          </w:p>
        </w:tc>
        <w:tc>
          <w:tcPr>
            <w:tcW w:w="150" w:type="pct"/>
            <w:tcBorders>
              <w:top w:val="single" w:sz="6" w:space="0" w:color="auto"/>
              <w:left w:val="single" w:sz="6" w:space="0" w:color="auto"/>
              <w:bottom w:val="single" w:sz="6" w:space="0" w:color="auto"/>
              <w:right w:val="single" w:sz="6" w:space="0" w:color="auto"/>
            </w:tcBorders>
          </w:tcPr>
          <w:p w14:paraId="5A31BC49" w14:textId="77777777" w:rsidR="004D166F" w:rsidRDefault="004D166F" w:rsidP="009E7F73">
            <w:pPr>
              <w:pStyle w:val="TAL"/>
            </w:pPr>
            <w:r>
              <w:rPr>
                <w:lang w:eastAsia="zh-CN"/>
              </w:rPr>
              <w:t>O</w:t>
            </w:r>
          </w:p>
        </w:tc>
        <w:tc>
          <w:tcPr>
            <w:tcW w:w="559" w:type="pct"/>
            <w:tcBorders>
              <w:top w:val="single" w:sz="6" w:space="0" w:color="auto"/>
              <w:left w:val="single" w:sz="6" w:space="0" w:color="auto"/>
              <w:bottom w:val="single" w:sz="6" w:space="0" w:color="auto"/>
              <w:right w:val="single" w:sz="6" w:space="0" w:color="auto"/>
            </w:tcBorders>
          </w:tcPr>
          <w:p w14:paraId="41112917" w14:textId="77777777" w:rsidR="004D166F" w:rsidRDefault="004D166F" w:rsidP="009E7F73">
            <w:pPr>
              <w:pStyle w:val="TAL"/>
            </w:pPr>
            <w:r>
              <w:rPr>
                <w:lang w:eastAsia="zh-CN"/>
              </w:rPr>
              <w:t>0..1</w:t>
            </w:r>
          </w:p>
        </w:tc>
        <w:tc>
          <w:tcPr>
            <w:tcW w:w="523" w:type="pct"/>
            <w:tcBorders>
              <w:top w:val="single" w:sz="6" w:space="0" w:color="auto"/>
              <w:left w:val="single" w:sz="6" w:space="0" w:color="auto"/>
              <w:bottom w:val="single" w:sz="6" w:space="0" w:color="auto"/>
              <w:right w:val="single" w:sz="6" w:space="0" w:color="auto"/>
            </w:tcBorders>
          </w:tcPr>
          <w:p w14:paraId="4A6238C3" w14:textId="77777777" w:rsidR="004D166F" w:rsidRDefault="004D166F" w:rsidP="009E7F73">
            <w:pPr>
              <w:pStyle w:val="TAL"/>
            </w:pPr>
            <w:r>
              <w:rPr>
                <w:lang w:eastAsia="zh-CN"/>
              </w:rPr>
              <w:t>500 Internal Server Error</w:t>
            </w:r>
          </w:p>
        </w:tc>
        <w:tc>
          <w:tcPr>
            <w:tcW w:w="2205" w:type="pct"/>
            <w:tcBorders>
              <w:top w:val="single" w:sz="6" w:space="0" w:color="auto"/>
              <w:left w:val="single" w:sz="6" w:space="0" w:color="auto"/>
              <w:bottom w:val="single" w:sz="6" w:space="0" w:color="auto"/>
              <w:right w:val="single" w:sz="6" w:space="0" w:color="auto"/>
            </w:tcBorders>
          </w:tcPr>
          <w:p w14:paraId="35286FC6" w14:textId="77777777" w:rsidR="004D166F" w:rsidRDefault="004D166F" w:rsidP="009E7F73">
            <w:pPr>
              <w:pStyle w:val="TAL"/>
            </w:pPr>
            <w:r>
              <w:t>(NOTE 2)</w:t>
            </w:r>
          </w:p>
        </w:tc>
      </w:tr>
      <w:tr w:rsidR="004D166F" w14:paraId="1BD2AF9F" w14:textId="77777777" w:rsidTr="009E7F73">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1D8E60F" w14:textId="77777777" w:rsidR="004D166F" w:rsidRDefault="004D166F" w:rsidP="009E7F73">
            <w:pPr>
              <w:pStyle w:val="TAN"/>
            </w:pPr>
            <w:r>
              <w:t>NOTE 1:</w:t>
            </w:r>
            <w:r>
              <w:tab/>
              <w:t>The mandatory HTTP error status codes for the GET method listed in table 5.2.7.1-1 of 3GPP TS 29.500 [6] also apply.</w:t>
            </w:r>
          </w:p>
          <w:p w14:paraId="68FE8EDC" w14:textId="77777777" w:rsidR="004D166F" w:rsidRDefault="004D166F" w:rsidP="009E7F73">
            <w:pPr>
              <w:pStyle w:val="TAN"/>
            </w:pPr>
            <w:r>
              <w:t>NOTE 2:</w:t>
            </w:r>
            <w:r>
              <w:tab/>
              <w:t>Failure cases are described in clause 5.2.7.</w:t>
            </w:r>
          </w:p>
          <w:p w14:paraId="08BB7DB8" w14:textId="77777777" w:rsidR="004D166F" w:rsidRDefault="004D166F" w:rsidP="009E7F73">
            <w:pPr>
              <w:pStyle w:val="TAN"/>
            </w:pPr>
            <w:r>
              <w:t>NOTE 3:</w:t>
            </w:r>
            <w:r>
              <w:tab/>
              <w:t>The RedirectResponse data structure may be provided by an SCP (cf. clause 6.10.9.1 of 3GPP TS 29.500 [6]).</w:t>
            </w:r>
          </w:p>
        </w:tc>
      </w:tr>
    </w:tbl>
    <w:p w14:paraId="7CA82DF1" w14:textId="77777777" w:rsidR="004D166F" w:rsidRDefault="004D166F" w:rsidP="004D166F"/>
    <w:p w14:paraId="5AF765D1" w14:textId="77777777" w:rsidR="004D166F" w:rsidRDefault="004D166F" w:rsidP="004D166F">
      <w:pPr>
        <w:pStyle w:val="TH"/>
      </w:pPr>
      <w:r>
        <w:lastRenderedPageBreak/>
        <w:t>Table </w:t>
      </w:r>
      <w:r>
        <w:rPr>
          <w:rFonts w:eastAsia="MS Mincho"/>
        </w:rPr>
        <w:t>5.2.3.2.3.1</w:t>
      </w:r>
      <w:r>
        <w:t>-4: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2B1A7B22" w14:textId="77777777" w:rsidTr="009E7F73">
        <w:trPr>
          <w:jc w:val="center"/>
        </w:trPr>
        <w:tc>
          <w:tcPr>
            <w:tcW w:w="1027" w:type="pct"/>
            <w:tcBorders>
              <w:bottom w:val="single" w:sz="6" w:space="0" w:color="auto"/>
            </w:tcBorders>
            <w:shd w:val="clear" w:color="auto" w:fill="C0C0C0"/>
          </w:tcPr>
          <w:p w14:paraId="6009F916" w14:textId="77777777" w:rsidR="004D166F" w:rsidRDefault="004D166F" w:rsidP="009E7F73">
            <w:pPr>
              <w:pStyle w:val="TAH"/>
            </w:pPr>
            <w:r>
              <w:t>Name</w:t>
            </w:r>
          </w:p>
        </w:tc>
        <w:tc>
          <w:tcPr>
            <w:tcW w:w="529" w:type="pct"/>
            <w:tcBorders>
              <w:bottom w:val="single" w:sz="6" w:space="0" w:color="auto"/>
            </w:tcBorders>
            <w:shd w:val="clear" w:color="auto" w:fill="C0C0C0"/>
          </w:tcPr>
          <w:p w14:paraId="79A5ABFD" w14:textId="77777777" w:rsidR="004D166F" w:rsidRDefault="004D166F" w:rsidP="009E7F73">
            <w:pPr>
              <w:pStyle w:val="TAH"/>
            </w:pPr>
            <w:r>
              <w:t>Data type</w:t>
            </w:r>
          </w:p>
        </w:tc>
        <w:tc>
          <w:tcPr>
            <w:tcW w:w="217" w:type="pct"/>
            <w:tcBorders>
              <w:bottom w:val="single" w:sz="6" w:space="0" w:color="auto"/>
            </w:tcBorders>
            <w:shd w:val="clear" w:color="auto" w:fill="C0C0C0"/>
          </w:tcPr>
          <w:p w14:paraId="63C3F16F" w14:textId="77777777" w:rsidR="004D166F" w:rsidRDefault="004D166F" w:rsidP="009E7F73">
            <w:pPr>
              <w:pStyle w:val="TAH"/>
            </w:pPr>
            <w:r>
              <w:t>P</w:t>
            </w:r>
          </w:p>
        </w:tc>
        <w:tc>
          <w:tcPr>
            <w:tcW w:w="581" w:type="pct"/>
            <w:tcBorders>
              <w:bottom w:val="single" w:sz="6" w:space="0" w:color="auto"/>
            </w:tcBorders>
            <w:shd w:val="clear" w:color="auto" w:fill="C0C0C0"/>
          </w:tcPr>
          <w:p w14:paraId="6F121825"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24354811" w14:textId="77777777" w:rsidR="004D166F" w:rsidRDefault="004D166F" w:rsidP="009E7F73">
            <w:pPr>
              <w:pStyle w:val="TAH"/>
            </w:pPr>
            <w:r>
              <w:t>Description</w:t>
            </w:r>
          </w:p>
        </w:tc>
      </w:tr>
      <w:tr w:rsidR="004D166F" w14:paraId="54CF9017" w14:textId="77777777" w:rsidTr="009E7F73">
        <w:trPr>
          <w:jc w:val="center"/>
        </w:trPr>
        <w:tc>
          <w:tcPr>
            <w:tcW w:w="1027" w:type="pct"/>
            <w:tcBorders>
              <w:top w:val="single" w:sz="6" w:space="0" w:color="auto"/>
            </w:tcBorders>
          </w:tcPr>
          <w:p w14:paraId="31F2A1B7" w14:textId="77777777" w:rsidR="004D166F" w:rsidRDefault="004D166F" w:rsidP="009E7F73">
            <w:pPr>
              <w:pStyle w:val="TAL"/>
            </w:pPr>
            <w:r>
              <w:t>Location</w:t>
            </w:r>
          </w:p>
        </w:tc>
        <w:tc>
          <w:tcPr>
            <w:tcW w:w="529" w:type="pct"/>
            <w:tcBorders>
              <w:top w:val="single" w:sz="6" w:space="0" w:color="auto"/>
            </w:tcBorders>
          </w:tcPr>
          <w:p w14:paraId="4432C591" w14:textId="77777777" w:rsidR="004D166F" w:rsidRDefault="004D166F" w:rsidP="009E7F73">
            <w:pPr>
              <w:pStyle w:val="TAL"/>
            </w:pPr>
            <w:r>
              <w:t>string</w:t>
            </w:r>
          </w:p>
        </w:tc>
        <w:tc>
          <w:tcPr>
            <w:tcW w:w="217" w:type="pct"/>
            <w:tcBorders>
              <w:top w:val="single" w:sz="6" w:space="0" w:color="auto"/>
            </w:tcBorders>
          </w:tcPr>
          <w:p w14:paraId="6AD22E94" w14:textId="77777777" w:rsidR="004D166F" w:rsidRDefault="004D166F" w:rsidP="009E7F73">
            <w:pPr>
              <w:pStyle w:val="TAC"/>
            </w:pPr>
            <w:r>
              <w:t>M</w:t>
            </w:r>
          </w:p>
        </w:tc>
        <w:tc>
          <w:tcPr>
            <w:tcW w:w="581" w:type="pct"/>
            <w:tcBorders>
              <w:top w:val="single" w:sz="6" w:space="0" w:color="auto"/>
            </w:tcBorders>
          </w:tcPr>
          <w:p w14:paraId="1C51DAFB" w14:textId="77777777" w:rsidR="004D166F" w:rsidRDefault="004D166F" w:rsidP="009E7F73">
            <w:pPr>
              <w:pStyle w:val="TAC"/>
            </w:pPr>
            <w:r>
              <w:t>1</w:t>
            </w:r>
          </w:p>
        </w:tc>
        <w:tc>
          <w:tcPr>
            <w:tcW w:w="2645" w:type="pct"/>
            <w:tcBorders>
              <w:top w:val="single" w:sz="6" w:space="0" w:color="auto"/>
            </w:tcBorders>
            <w:vAlign w:val="center"/>
          </w:tcPr>
          <w:p w14:paraId="0B4A825D"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4477DF95" w14:textId="77777777" w:rsidR="004D166F" w:rsidRDefault="004D166F" w:rsidP="009E7F73">
            <w:pPr>
              <w:pStyle w:val="TAL"/>
            </w:pPr>
          </w:p>
          <w:p w14:paraId="45C94101" w14:textId="77777777" w:rsidR="004D166F" w:rsidRDefault="004D166F" w:rsidP="009E7F73">
            <w:pPr>
              <w:pStyle w:val="TAL"/>
            </w:pPr>
            <w:r>
              <w:t>For the case where the request is redirected to the same target via a different SCP, refer to clause 6.10.9.1 of 3GPP TS 29.500 [6].</w:t>
            </w:r>
          </w:p>
        </w:tc>
      </w:tr>
      <w:tr w:rsidR="004D166F" w14:paraId="1CA8475F" w14:textId="77777777" w:rsidTr="009E7F73">
        <w:trPr>
          <w:jc w:val="center"/>
        </w:trPr>
        <w:tc>
          <w:tcPr>
            <w:tcW w:w="1027" w:type="pct"/>
          </w:tcPr>
          <w:p w14:paraId="39D79C32" w14:textId="77777777" w:rsidR="004D166F" w:rsidRDefault="004D166F" w:rsidP="009E7F73">
            <w:pPr>
              <w:pStyle w:val="TAL"/>
            </w:pPr>
            <w:r>
              <w:rPr>
                <w:lang w:eastAsia="zh-CN"/>
              </w:rPr>
              <w:t>3gpp-Sbi-Target-Nf-Id</w:t>
            </w:r>
          </w:p>
        </w:tc>
        <w:tc>
          <w:tcPr>
            <w:tcW w:w="529" w:type="pct"/>
          </w:tcPr>
          <w:p w14:paraId="1F8FFBD7" w14:textId="77777777" w:rsidR="004D166F" w:rsidRDefault="004D166F" w:rsidP="009E7F73">
            <w:pPr>
              <w:pStyle w:val="TAL"/>
            </w:pPr>
            <w:r>
              <w:rPr>
                <w:lang w:eastAsia="fr-FR"/>
              </w:rPr>
              <w:t>string</w:t>
            </w:r>
          </w:p>
        </w:tc>
        <w:tc>
          <w:tcPr>
            <w:tcW w:w="217" w:type="pct"/>
          </w:tcPr>
          <w:p w14:paraId="71BD1A21" w14:textId="77777777" w:rsidR="004D166F" w:rsidRDefault="004D166F" w:rsidP="009E7F73">
            <w:pPr>
              <w:pStyle w:val="TAC"/>
            </w:pPr>
            <w:r>
              <w:rPr>
                <w:lang w:eastAsia="fr-FR"/>
              </w:rPr>
              <w:t>O</w:t>
            </w:r>
          </w:p>
        </w:tc>
        <w:tc>
          <w:tcPr>
            <w:tcW w:w="581" w:type="pct"/>
          </w:tcPr>
          <w:p w14:paraId="7EA05893" w14:textId="77777777" w:rsidR="004D166F" w:rsidRDefault="004D166F" w:rsidP="009E7F73">
            <w:pPr>
              <w:pStyle w:val="TAC"/>
            </w:pPr>
            <w:r>
              <w:rPr>
                <w:lang w:eastAsia="fr-FR"/>
              </w:rPr>
              <w:t>0..1</w:t>
            </w:r>
          </w:p>
        </w:tc>
        <w:tc>
          <w:tcPr>
            <w:tcW w:w="2645" w:type="pct"/>
            <w:vAlign w:val="center"/>
          </w:tcPr>
          <w:p w14:paraId="6872F184" w14:textId="77777777" w:rsidR="004D166F" w:rsidRDefault="004D166F" w:rsidP="009E7F73">
            <w:pPr>
              <w:pStyle w:val="TAL"/>
            </w:pPr>
            <w:r>
              <w:t>Contains the i</w:t>
            </w:r>
            <w:r>
              <w:rPr>
                <w:lang w:eastAsia="fr-FR"/>
              </w:rPr>
              <w:t>dentifier of the target NWDAF (service) instance towards which the request is redirected.</w:t>
            </w:r>
          </w:p>
        </w:tc>
      </w:tr>
    </w:tbl>
    <w:p w14:paraId="7EC6C8FF" w14:textId="77777777" w:rsidR="004D166F" w:rsidRDefault="004D166F" w:rsidP="004D166F"/>
    <w:p w14:paraId="2B19D566" w14:textId="77777777" w:rsidR="004D166F" w:rsidRDefault="004D166F" w:rsidP="004D166F">
      <w:pPr>
        <w:pStyle w:val="TH"/>
      </w:pPr>
      <w:r>
        <w:t>Table </w:t>
      </w:r>
      <w:r>
        <w:rPr>
          <w:rFonts w:eastAsia="MS Mincho"/>
        </w:rPr>
        <w:t>5.2.3.2.3.1</w:t>
      </w:r>
      <w:r>
        <w:t>-5: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22947473" w14:textId="77777777" w:rsidTr="009E7F73">
        <w:trPr>
          <w:jc w:val="center"/>
        </w:trPr>
        <w:tc>
          <w:tcPr>
            <w:tcW w:w="1027" w:type="pct"/>
            <w:tcBorders>
              <w:bottom w:val="single" w:sz="6" w:space="0" w:color="auto"/>
            </w:tcBorders>
            <w:shd w:val="clear" w:color="auto" w:fill="C0C0C0"/>
          </w:tcPr>
          <w:p w14:paraId="191C8026" w14:textId="77777777" w:rsidR="004D166F" w:rsidRDefault="004D166F" w:rsidP="009E7F73">
            <w:pPr>
              <w:pStyle w:val="TAH"/>
            </w:pPr>
            <w:r>
              <w:t>Name</w:t>
            </w:r>
          </w:p>
        </w:tc>
        <w:tc>
          <w:tcPr>
            <w:tcW w:w="529" w:type="pct"/>
            <w:tcBorders>
              <w:bottom w:val="single" w:sz="6" w:space="0" w:color="auto"/>
            </w:tcBorders>
            <w:shd w:val="clear" w:color="auto" w:fill="C0C0C0"/>
          </w:tcPr>
          <w:p w14:paraId="756D0054" w14:textId="77777777" w:rsidR="004D166F" w:rsidRDefault="004D166F" w:rsidP="009E7F73">
            <w:pPr>
              <w:pStyle w:val="TAH"/>
            </w:pPr>
            <w:r>
              <w:t>Data type</w:t>
            </w:r>
          </w:p>
        </w:tc>
        <w:tc>
          <w:tcPr>
            <w:tcW w:w="217" w:type="pct"/>
            <w:tcBorders>
              <w:bottom w:val="single" w:sz="6" w:space="0" w:color="auto"/>
            </w:tcBorders>
            <w:shd w:val="clear" w:color="auto" w:fill="C0C0C0"/>
          </w:tcPr>
          <w:p w14:paraId="71B27E24" w14:textId="77777777" w:rsidR="004D166F" w:rsidRDefault="004D166F" w:rsidP="009E7F73">
            <w:pPr>
              <w:pStyle w:val="TAH"/>
            </w:pPr>
            <w:r>
              <w:t>P</w:t>
            </w:r>
          </w:p>
        </w:tc>
        <w:tc>
          <w:tcPr>
            <w:tcW w:w="581" w:type="pct"/>
            <w:tcBorders>
              <w:bottom w:val="single" w:sz="6" w:space="0" w:color="auto"/>
            </w:tcBorders>
            <w:shd w:val="clear" w:color="auto" w:fill="C0C0C0"/>
          </w:tcPr>
          <w:p w14:paraId="679E0D02"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3565EF27" w14:textId="77777777" w:rsidR="004D166F" w:rsidRDefault="004D166F" w:rsidP="009E7F73">
            <w:pPr>
              <w:pStyle w:val="TAH"/>
            </w:pPr>
            <w:r>
              <w:t>Description</w:t>
            </w:r>
          </w:p>
        </w:tc>
      </w:tr>
      <w:tr w:rsidR="004D166F" w14:paraId="712BB95C" w14:textId="77777777" w:rsidTr="009E7F73">
        <w:trPr>
          <w:jc w:val="center"/>
        </w:trPr>
        <w:tc>
          <w:tcPr>
            <w:tcW w:w="1027" w:type="pct"/>
            <w:tcBorders>
              <w:top w:val="single" w:sz="6" w:space="0" w:color="auto"/>
            </w:tcBorders>
          </w:tcPr>
          <w:p w14:paraId="34442BFB" w14:textId="77777777" w:rsidR="004D166F" w:rsidRDefault="004D166F" w:rsidP="009E7F73">
            <w:pPr>
              <w:pStyle w:val="TAL"/>
            </w:pPr>
            <w:r>
              <w:t>Location</w:t>
            </w:r>
          </w:p>
        </w:tc>
        <w:tc>
          <w:tcPr>
            <w:tcW w:w="529" w:type="pct"/>
            <w:tcBorders>
              <w:top w:val="single" w:sz="6" w:space="0" w:color="auto"/>
            </w:tcBorders>
          </w:tcPr>
          <w:p w14:paraId="36580B9C" w14:textId="77777777" w:rsidR="004D166F" w:rsidRDefault="004D166F" w:rsidP="009E7F73">
            <w:pPr>
              <w:pStyle w:val="TAL"/>
            </w:pPr>
            <w:r>
              <w:t>string</w:t>
            </w:r>
          </w:p>
        </w:tc>
        <w:tc>
          <w:tcPr>
            <w:tcW w:w="217" w:type="pct"/>
            <w:tcBorders>
              <w:top w:val="single" w:sz="6" w:space="0" w:color="auto"/>
            </w:tcBorders>
          </w:tcPr>
          <w:p w14:paraId="6AC227D3" w14:textId="77777777" w:rsidR="004D166F" w:rsidRDefault="004D166F" w:rsidP="009E7F73">
            <w:pPr>
              <w:pStyle w:val="TAC"/>
            </w:pPr>
            <w:r>
              <w:t>M</w:t>
            </w:r>
          </w:p>
        </w:tc>
        <w:tc>
          <w:tcPr>
            <w:tcW w:w="581" w:type="pct"/>
            <w:tcBorders>
              <w:top w:val="single" w:sz="6" w:space="0" w:color="auto"/>
            </w:tcBorders>
          </w:tcPr>
          <w:p w14:paraId="357EC6C9" w14:textId="77777777" w:rsidR="004D166F" w:rsidRDefault="004D166F" w:rsidP="009E7F73">
            <w:pPr>
              <w:pStyle w:val="TAC"/>
            </w:pPr>
            <w:r>
              <w:t>1</w:t>
            </w:r>
          </w:p>
        </w:tc>
        <w:tc>
          <w:tcPr>
            <w:tcW w:w="2645" w:type="pct"/>
            <w:tcBorders>
              <w:top w:val="single" w:sz="6" w:space="0" w:color="auto"/>
            </w:tcBorders>
            <w:vAlign w:val="center"/>
          </w:tcPr>
          <w:p w14:paraId="5B9CCD88"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2985C34F" w14:textId="77777777" w:rsidR="004D166F" w:rsidRDefault="004D166F" w:rsidP="009E7F73">
            <w:pPr>
              <w:pStyle w:val="TAL"/>
            </w:pPr>
          </w:p>
          <w:p w14:paraId="0BA26C91" w14:textId="77777777" w:rsidR="004D166F" w:rsidRDefault="004D166F" w:rsidP="009E7F73">
            <w:pPr>
              <w:pStyle w:val="TAL"/>
            </w:pPr>
            <w:r>
              <w:t>For the case where the request is redirected to the same target via a different SCP, refer to clause 6.10.9.1 of 3GPP TS 29.500 [6].</w:t>
            </w:r>
          </w:p>
        </w:tc>
      </w:tr>
      <w:tr w:rsidR="004D166F" w14:paraId="4DAE8CC7" w14:textId="77777777" w:rsidTr="009E7F73">
        <w:trPr>
          <w:jc w:val="center"/>
        </w:trPr>
        <w:tc>
          <w:tcPr>
            <w:tcW w:w="1027" w:type="pct"/>
          </w:tcPr>
          <w:p w14:paraId="3572F196" w14:textId="77777777" w:rsidR="004D166F" w:rsidRDefault="004D166F" w:rsidP="009E7F73">
            <w:pPr>
              <w:pStyle w:val="TAL"/>
            </w:pPr>
            <w:r>
              <w:rPr>
                <w:lang w:eastAsia="zh-CN"/>
              </w:rPr>
              <w:t>3gpp-Sbi-Target-Nf-Id</w:t>
            </w:r>
          </w:p>
        </w:tc>
        <w:tc>
          <w:tcPr>
            <w:tcW w:w="529" w:type="pct"/>
          </w:tcPr>
          <w:p w14:paraId="15AAE861" w14:textId="77777777" w:rsidR="004D166F" w:rsidRDefault="004D166F" w:rsidP="009E7F73">
            <w:pPr>
              <w:pStyle w:val="TAL"/>
            </w:pPr>
            <w:r>
              <w:rPr>
                <w:lang w:eastAsia="fr-FR"/>
              </w:rPr>
              <w:t>string</w:t>
            </w:r>
          </w:p>
        </w:tc>
        <w:tc>
          <w:tcPr>
            <w:tcW w:w="217" w:type="pct"/>
          </w:tcPr>
          <w:p w14:paraId="58A17F65" w14:textId="77777777" w:rsidR="004D166F" w:rsidRDefault="004D166F" w:rsidP="009E7F73">
            <w:pPr>
              <w:pStyle w:val="TAC"/>
            </w:pPr>
            <w:r>
              <w:rPr>
                <w:lang w:eastAsia="fr-FR"/>
              </w:rPr>
              <w:t>O</w:t>
            </w:r>
          </w:p>
        </w:tc>
        <w:tc>
          <w:tcPr>
            <w:tcW w:w="581" w:type="pct"/>
          </w:tcPr>
          <w:p w14:paraId="46A11B56" w14:textId="77777777" w:rsidR="004D166F" w:rsidRDefault="004D166F" w:rsidP="009E7F73">
            <w:pPr>
              <w:pStyle w:val="TAC"/>
            </w:pPr>
            <w:r>
              <w:rPr>
                <w:lang w:eastAsia="fr-FR"/>
              </w:rPr>
              <w:t>0..1</w:t>
            </w:r>
          </w:p>
        </w:tc>
        <w:tc>
          <w:tcPr>
            <w:tcW w:w="2645" w:type="pct"/>
            <w:vAlign w:val="center"/>
          </w:tcPr>
          <w:p w14:paraId="2DA27D52" w14:textId="77777777" w:rsidR="004D166F" w:rsidRDefault="004D166F" w:rsidP="009E7F73">
            <w:pPr>
              <w:pStyle w:val="TAL"/>
            </w:pPr>
            <w:r>
              <w:t>Contains the i</w:t>
            </w:r>
            <w:r>
              <w:rPr>
                <w:lang w:eastAsia="fr-FR"/>
              </w:rPr>
              <w:t>dentifier of the target NWDAF (service) instance towards which the request is redirected.</w:t>
            </w:r>
          </w:p>
        </w:tc>
      </w:tr>
    </w:tbl>
    <w:p w14:paraId="3C5B8DE7" w14:textId="77777777" w:rsidR="004D166F" w:rsidRDefault="004D166F" w:rsidP="004D166F"/>
    <w:p w14:paraId="1F5FA811" w14:textId="77777777" w:rsidR="00A10B25" w:rsidRDefault="00A10B25">
      <w:pPr>
        <w:pStyle w:val="5"/>
      </w:pPr>
      <w:bookmarkStart w:id="10232" w:name="_Toc191576404"/>
      <w:bookmarkStart w:id="10233" w:name="_Toc191577144"/>
      <w:bookmarkStart w:id="10234" w:name="_Toc192880214"/>
      <w:bookmarkStart w:id="10235" w:name="_Toc195815103"/>
      <w:bookmarkStart w:id="10236" w:name="_Toc199453070"/>
      <w:r>
        <w:t>5.2.3.2.4</w:t>
      </w:r>
      <w:r>
        <w:tab/>
        <w:t>Resource Custom Operations</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3BF6327" w14:textId="77777777" w:rsidR="004D166F" w:rsidRDefault="004D166F" w:rsidP="004D166F">
      <w:bookmarkStart w:id="10237" w:name="_Toc85553063"/>
      <w:bookmarkStart w:id="10238" w:name="_Toc138754352"/>
      <w:bookmarkStart w:id="10239" w:name="_Toc148522757"/>
      <w:bookmarkStart w:id="10240" w:name="_Toc136562518"/>
      <w:bookmarkStart w:id="10241" w:name="_Toc88667670"/>
      <w:bookmarkStart w:id="10242" w:name="_Toc98233747"/>
      <w:bookmarkStart w:id="10243" w:name="_Toc73564502"/>
      <w:bookmarkStart w:id="10244" w:name="_Toc145705847"/>
      <w:bookmarkStart w:id="10245" w:name="_Toc104539119"/>
      <w:bookmarkStart w:id="10246" w:name="_Toc90655955"/>
      <w:bookmarkStart w:id="10247" w:name="_Toc113031782"/>
      <w:bookmarkStart w:id="10248" w:name="_Toc114133921"/>
      <w:bookmarkStart w:id="10249" w:name="_Toc112951242"/>
      <w:bookmarkStart w:id="10250" w:name="_Toc101244524"/>
      <w:bookmarkStart w:id="10251" w:name="_Toc94064360"/>
      <w:bookmarkStart w:id="10252" w:name="_Toc120702422"/>
      <w:bookmarkStart w:id="10253" w:name="_Toc85557162"/>
      <w:bookmarkStart w:id="10254" w:name="_Toc164920943"/>
      <w:bookmarkStart w:id="10255" w:name="_Toc170120485"/>
      <w:bookmarkStart w:id="10256" w:name="_Toc175858730"/>
      <w:bookmarkStart w:id="10257" w:name="_Toc175859803"/>
      <w:bookmarkStart w:id="10258" w:name="_Toc180606093"/>
      <w:bookmarkStart w:id="10259" w:name="_Toc185517354"/>
      <w:r>
        <w:t>There are no resource custom operations defined for this resource in this release of the specification.</w:t>
      </w:r>
    </w:p>
    <w:p w14:paraId="504B93E0" w14:textId="77777777" w:rsidR="00A10B25" w:rsidRDefault="00A10B25">
      <w:pPr>
        <w:pStyle w:val="4"/>
      </w:pPr>
      <w:bookmarkStart w:id="10260" w:name="_Toc191576405"/>
      <w:bookmarkStart w:id="10261" w:name="_Toc191577145"/>
      <w:bookmarkStart w:id="10262" w:name="_Toc192880215"/>
      <w:bookmarkStart w:id="10263" w:name="_Toc195815104"/>
      <w:bookmarkStart w:id="10264" w:name="_Toc199453071"/>
      <w:r>
        <w:t>5.2.3.3</w:t>
      </w:r>
      <w:r>
        <w:tab/>
        <w:t xml:space="preserve">Resource: NWDAF </w:t>
      </w:r>
      <w:bookmarkEnd w:id="10243"/>
      <w:r>
        <w:t>Context</w:t>
      </w:r>
      <w:bookmarkEnd w:id="10237"/>
      <w:bookmarkEnd w:id="10238"/>
      <w:bookmarkEnd w:id="10239"/>
      <w:bookmarkEnd w:id="10240"/>
      <w:bookmarkEnd w:id="10241"/>
      <w:bookmarkEnd w:id="10242"/>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7E74E7DD" w14:textId="77777777" w:rsidR="00A10B25" w:rsidRDefault="00A10B25">
      <w:pPr>
        <w:pStyle w:val="5"/>
      </w:pPr>
      <w:bookmarkStart w:id="10265" w:name="_Toc73564503"/>
      <w:bookmarkStart w:id="10266" w:name="_Toc120702423"/>
      <w:bookmarkStart w:id="10267" w:name="_Toc101244525"/>
      <w:bookmarkStart w:id="10268" w:name="_Toc85553064"/>
      <w:bookmarkStart w:id="10269" w:name="_Toc94064361"/>
      <w:bookmarkStart w:id="10270" w:name="_Toc112951243"/>
      <w:bookmarkStart w:id="10271" w:name="_Toc145705848"/>
      <w:bookmarkStart w:id="10272" w:name="_Toc104539120"/>
      <w:bookmarkStart w:id="10273" w:name="_Toc136562519"/>
      <w:bookmarkStart w:id="10274" w:name="_Toc85557163"/>
      <w:bookmarkStart w:id="10275" w:name="_Toc90655956"/>
      <w:bookmarkStart w:id="10276" w:name="_Toc113031783"/>
      <w:bookmarkStart w:id="10277" w:name="_Toc138754353"/>
      <w:bookmarkStart w:id="10278" w:name="_Toc98233748"/>
      <w:bookmarkStart w:id="10279" w:name="_Toc114133922"/>
      <w:bookmarkStart w:id="10280" w:name="_Toc148522758"/>
      <w:bookmarkStart w:id="10281" w:name="_Toc88667671"/>
      <w:bookmarkStart w:id="10282" w:name="_Toc164920944"/>
      <w:bookmarkStart w:id="10283" w:name="_Toc170120486"/>
      <w:bookmarkStart w:id="10284" w:name="_Toc175858731"/>
      <w:bookmarkStart w:id="10285" w:name="_Toc175859804"/>
      <w:bookmarkStart w:id="10286" w:name="_Toc180606094"/>
      <w:bookmarkStart w:id="10287" w:name="_Toc185517355"/>
      <w:bookmarkStart w:id="10288" w:name="_Toc191576406"/>
      <w:bookmarkStart w:id="10289" w:name="_Toc191577146"/>
      <w:bookmarkStart w:id="10290" w:name="_Toc192880216"/>
      <w:bookmarkStart w:id="10291" w:name="_Toc195815105"/>
      <w:bookmarkStart w:id="10292" w:name="_Toc199453072"/>
      <w:r>
        <w:t>5.2.3.3.1</w:t>
      </w:r>
      <w:r>
        <w:tab/>
        <w:t>Description</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65F01446" w14:textId="77777777" w:rsidR="004D3964" w:rsidRDefault="004D3964" w:rsidP="004D3964">
      <w:bookmarkStart w:id="10293" w:name="_Toc101244526"/>
      <w:bookmarkStart w:id="10294" w:name="_Toc138754354"/>
      <w:bookmarkStart w:id="10295" w:name="_Toc112951244"/>
      <w:bookmarkStart w:id="10296" w:name="_Toc73564504"/>
      <w:bookmarkStart w:id="10297" w:name="_Toc113031784"/>
      <w:bookmarkStart w:id="10298" w:name="_Toc98233749"/>
      <w:bookmarkStart w:id="10299" w:name="_Toc148522759"/>
      <w:bookmarkStart w:id="10300" w:name="_Toc85557164"/>
      <w:bookmarkStart w:id="10301" w:name="_Toc120702424"/>
      <w:bookmarkStart w:id="10302" w:name="_Toc136562520"/>
      <w:bookmarkStart w:id="10303" w:name="_Toc94064362"/>
      <w:bookmarkStart w:id="10304" w:name="_Toc88667672"/>
      <w:bookmarkStart w:id="10305" w:name="_Toc114133923"/>
      <w:bookmarkStart w:id="10306" w:name="_Toc104539121"/>
      <w:bookmarkStart w:id="10307" w:name="_Toc145705849"/>
      <w:bookmarkStart w:id="10308" w:name="_Toc85553065"/>
      <w:bookmarkStart w:id="10309" w:name="_Toc90655957"/>
      <w:bookmarkStart w:id="10310" w:name="_Toc164920945"/>
      <w:bookmarkStart w:id="10311" w:name="_Toc170120487"/>
      <w:bookmarkStart w:id="10312" w:name="_Toc175858732"/>
      <w:bookmarkStart w:id="10313" w:name="_Toc175859805"/>
      <w:r>
        <w:t>The NWDAF Context resource represents the context information related to analytics subscriptions at a given NWDAF.</w:t>
      </w:r>
    </w:p>
    <w:p w14:paraId="4646BF89" w14:textId="77777777" w:rsidR="00A10B25" w:rsidRDefault="00A10B25">
      <w:pPr>
        <w:pStyle w:val="5"/>
      </w:pPr>
      <w:bookmarkStart w:id="10314" w:name="_Toc180606095"/>
      <w:bookmarkStart w:id="10315" w:name="_Toc185517356"/>
      <w:bookmarkStart w:id="10316" w:name="_Toc191576407"/>
      <w:bookmarkStart w:id="10317" w:name="_Toc191577147"/>
      <w:bookmarkStart w:id="10318" w:name="_Toc192880217"/>
      <w:bookmarkStart w:id="10319" w:name="_Toc195815106"/>
      <w:bookmarkStart w:id="10320" w:name="_Toc199453073"/>
      <w:r>
        <w:t>5.2.3.3.2</w:t>
      </w:r>
      <w:r>
        <w:tab/>
        <w:t>Resource definition</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232EB926" w14:textId="77777777" w:rsidR="004D166F" w:rsidRDefault="004D166F" w:rsidP="004D166F">
      <w:r>
        <w:t xml:space="preserve">Resource URI: </w:t>
      </w:r>
      <w:r w:rsidRPr="0040274B">
        <w:rPr>
          <w:b/>
        </w:rPr>
        <w:t>{apiRoot}/nnwdaf-analyticsinfo/&lt;apiVersion&gt;/context</w:t>
      </w:r>
    </w:p>
    <w:p w14:paraId="52819A21" w14:textId="77777777" w:rsidR="004D166F" w:rsidRDefault="004D166F" w:rsidP="004D166F">
      <w:pPr>
        <w:rPr>
          <w:lang w:val="en-US"/>
        </w:rPr>
      </w:pPr>
      <w:r>
        <w:rPr>
          <w:lang w:val="en-US"/>
        </w:rPr>
        <w:t>The &lt;apiVersion&gt; shall be set as described in clause 5.2</w:t>
      </w:r>
      <w:r>
        <w:rPr>
          <w:lang w:val="en-US" w:eastAsia="zh-CN"/>
        </w:rPr>
        <w:t>.1</w:t>
      </w:r>
      <w:r>
        <w:rPr>
          <w:lang w:val="en-US"/>
        </w:rPr>
        <w:t>.</w:t>
      </w:r>
    </w:p>
    <w:p w14:paraId="5102CE16" w14:textId="77777777" w:rsidR="004D166F" w:rsidRDefault="004D166F" w:rsidP="004D166F">
      <w:pPr>
        <w:rPr>
          <w:rFonts w:ascii="Arial" w:hAnsi="Arial" w:cs="Arial"/>
        </w:rPr>
      </w:pPr>
      <w:r>
        <w:t>This resource shall support the resource URI variables defined in table 5.2.3.3.2-1</w:t>
      </w:r>
      <w:r>
        <w:rPr>
          <w:rFonts w:ascii="Arial" w:hAnsi="Arial" w:cs="Arial"/>
        </w:rPr>
        <w:t>.</w:t>
      </w:r>
    </w:p>
    <w:p w14:paraId="73A9039F" w14:textId="77777777" w:rsidR="004D166F" w:rsidRDefault="004D166F" w:rsidP="004D166F">
      <w:pPr>
        <w:pStyle w:val="TH"/>
        <w:overflowPunct w:val="0"/>
        <w:autoSpaceDE w:val="0"/>
        <w:autoSpaceDN w:val="0"/>
        <w:adjustRightInd w:val="0"/>
        <w:textAlignment w:val="baseline"/>
        <w:rPr>
          <w:rFonts w:eastAsia="MS Mincho"/>
        </w:rPr>
      </w:pPr>
      <w:r>
        <w:rPr>
          <w:rFonts w:eastAsia="MS Mincho"/>
        </w:rPr>
        <w:t>Table 5.2.3.3.2-1: Resource URI variables for this resource</w:t>
      </w:r>
    </w:p>
    <w:tbl>
      <w:tblPr>
        <w:tblW w:w="5000"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363"/>
        <w:gridCol w:w="7186"/>
      </w:tblGrid>
      <w:tr w:rsidR="004D166F" w14:paraId="75A0ECBF" w14:textId="77777777" w:rsidTr="009E7F73">
        <w:trPr>
          <w:jc w:val="center"/>
        </w:trPr>
        <w:tc>
          <w:tcPr>
            <w:tcW w:w="559" w:type="pct"/>
            <w:shd w:val="clear" w:color="000000" w:fill="C0C0C0"/>
          </w:tcPr>
          <w:p w14:paraId="35FCDE9A" w14:textId="77777777" w:rsidR="004D166F" w:rsidRDefault="004D166F" w:rsidP="009E7F73">
            <w:pPr>
              <w:pStyle w:val="TAH"/>
            </w:pPr>
            <w:r>
              <w:t>Name</w:t>
            </w:r>
          </w:p>
        </w:tc>
        <w:tc>
          <w:tcPr>
            <w:tcW w:w="708" w:type="pct"/>
            <w:shd w:val="clear" w:color="000000" w:fill="C0C0C0"/>
          </w:tcPr>
          <w:p w14:paraId="40F48CE4" w14:textId="77777777" w:rsidR="004D166F" w:rsidRDefault="004D166F" w:rsidP="009E7F73">
            <w:pPr>
              <w:pStyle w:val="TAH"/>
            </w:pPr>
            <w:r>
              <w:t>Data type</w:t>
            </w:r>
          </w:p>
        </w:tc>
        <w:tc>
          <w:tcPr>
            <w:tcW w:w="3733" w:type="pct"/>
            <w:shd w:val="clear" w:color="000000" w:fill="C0C0C0"/>
            <w:vAlign w:val="center"/>
          </w:tcPr>
          <w:p w14:paraId="00CDE398" w14:textId="77777777" w:rsidR="004D166F" w:rsidRDefault="004D166F" w:rsidP="009E7F73">
            <w:pPr>
              <w:pStyle w:val="TAH"/>
            </w:pPr>
            <w:r>
              <w:t>Definition</w:t>
            </w:r>
          </w:p>
        </w:tc>
      </w:tr>
      <w:tr w:rsidR="004D166F" w14:paraId="4A1C6BD4" w14:textId="77777777" w:rsidTr="009E7F73">
        <w:trPr>
          <w:jc w:val="center"/>
        </w:trPr>
        <w:tc>
          <w:tcPr>
            <w:tcW w:w="559" w:type="pct"/>
          </w:tcPr>
          <w:p w14:paraId="39A753E0" w14:textId="77777777" w:rsidR="004D166F" w:rsidRDefault="004D166F" w:rsidP="009E7F73">
            <w:pPr>
              <w:pStyle w:val="TAL"/>
            </w:pPr>
            <w:r>
              <w:t>apiRoot</w:t>
            </w:r>
          </w:p>
        </w:tc>
        <w:tc>
          <w:tcPr>
            <w:tcW w:w="708" w:type="pct"/>
          </w:tcPr>
          <w:p w14:paraId="63497A63" w14:textId="77777777" w:rsidR="004D166F" w:rsidRDefault="004D166F" w:rsidP="009E7F73">
            <w:pPr>
              <w:pStyle w:val="TAL"/>
            </w:pPr>
            <w:r>
              <w:rPr>
                <w:rFonts w:hint="eastAsia"/>
                <w:lang w:eastAsia="zh-CN"/>
              </w:rPr>
              <w:t>s</w:t>
            </w:r>
            <w:r>
              <w:rPr>
                <w:lang w:eastAsia="zh-CN"/>
              </w:rPr>
              <w:t>tring</w:t>
            </w:r>
          </w:p>
        </w:tc>
        <w:tc>
          <w:tcPr>
            <w:tcW w:w="3733" w:type="pct"/>
            <w:vAlign w:val="center"/>
          </w:tcPr>
          <w:p w14:paraId="14E902C8" w14:textId="77777777" w:rsidR="004D166F" w:rsidRDefault="004D166F" w:rsidP="009E7F73">
            <w:pPr>
              <w:pStyle w:val="TAL"/>
            </w:pPr>
            <w:r>
              <w:t>See clause</w:t>
            </w:r>
            <w:r>
              <w:rPr>
                <w:lang w:val="en-US" w:eastAsia="zh-CN"/>
              </w:rPr>
              <w:t> </w:t>
            </w:r>
            <w:r>
              <w:t>5.2.1.</w:t>
            </w:r>
          </w:p>
        </w:tc>
      </w:tr>
    </w:tbl>
    <w:p w14:paraId="3F616E32" w14:textId="77777777" w:rsidR="00A10B25" w:rsidRDefault="00A10B25"/>
    <w:p w14:paraId="17CD4743" w14:textId="77777777" w:rsidR="00A10B25" w:rsidRDefault="00A10B25">
      <w:pPr>
        <w:pStyle w:val="5"/>
      </w:pPr>
      <w:bookmarkStart w:id="10321" w:name="_Toc138754355"/>
      <w:bookmarkStart w:id="10322" w:name="_Toc73564505"/>
      <w:bookmarkStart w:id="10323" w:name="_Toc114133924"/>
      <w:bookmarkStart w:id="10324" w:name="_Toc145705850"/>
      <w:bookmarkStart w:id="10325" w:name="_Toc88667673"/>
      <w:bookmarkStart w:id="10326" w:name="_Toc85553066"/>
      <w:bookmarkStart w:id="10327" w:name="_Toc98233750"/>
      <w:bookmarkStart w:id="10328" w:name="_Toc90655958"/>
      <w:bookmarkStart w:id="10329" w:name="_Toc112951245"/>
      <w:bookmarkStart w:id="10330" w:name="_Toc136562521"/>
      <w:bookmarkStart w:id="10331" w:name="_Toc113031785"/>
      <w:bookmarkStart w:id="10332" w:name="_Toc120702425"/>
      <w:bookmarkStart w:id="10333" w:name="_Toc104539122"/>
      <w:bookmarkStart w:id="10334" w:name="_Toc148522760"/>
      <w:bookmarkStart w:id="10335" w:name="_Toc101244527"/>
      <w:bookmarkStart w:id="10336" w:name="_Toc85557165"/>
      <w:bookmarkStart w:id="10337" w:name="_Toc94064363"/>
      <w:bookmarkStart w:id="10338" w:name="_Toc164920946"/>
      <w:bookmarkStart w:id="10339" w:name="_Toc170120488"/>
      <w:bookmarkStart w:id="10340" w:name="_Toc175858733"/>
      <w:bookmarkStart w:id="10341" w:name="_Toc175859806"/>
      <w:bookmarkStart w:id="10342" w:name="_Toc180606096"/>
      <w:bookmarkStart w:id="10343" w:name="_Toc185517357"/>
      <w:bookmarkStart w:id="10344" w:name="_Toc191576408"/>
      <w:bookmarkStart w:id="10345" w:name="_Toc191577148"/>
      <w:bookmarkStart w:id="10346" w:name="_Toc192880218"/>
      <w:bookmarkStart w:id="10347" w:name="_Toc195815107"/>
      <w:bookmarkStart w:id="10348" w:name="_Toc199453074"/>
      <w:r>
        <w:t>5.2.3.3.3</w:t>
      </w:r>
      <w:r>
        <w:tab/>
        <w:t>Resource Standard Methods</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393399AD" w14:textId="77777777" w:rsidR="00A10B25" w:rsidRDefault="00A10B25">
      <w:pPr>
        <w:pStyle w:val="6"/>
      </w:pPr>
      <w:bookmarkStart w:id="10349" w:name="_Toc114133925"/>
      <w:bookmarkStart w:id="10350" w:name="_Toc88667674"/>
      <w:bookmarkStart w:id="10351" w:name="_Toc85557166"/>
      <w:bookmarkStart w:id="10352" w:name="_Toc73564506"/>
      <w:bookmarkStart w:id="10353" w:name="_Toc101244528"/>
      <w:bookmarkStart w:id="10354" w:name="_Toc138754356"/>
      <w:bookmarkStart w:id="10355" w:name="_Toc120702426"/>
      <w:bookmarkStart w:id="10356" w:name="_Toc104539123"/>
      <w:bookmarkStart w:id="10357" w:name="_Toc112951246"/>
      <w:bookmarkStart w:id="10358" w:name="_Toc113031786"/>
      <w:bookmarkStart w:id="10359" w:name="_Toc90655959"/>
      <w:bookmarkStart w:id="10360" w:name="_Toc136562522"/>
      <w:bookmarkStart w:id="10361" w:name="_Toc145705851"/>
      <w:bookmarkStart w:id="10362" w:name="_Toc98233751"/>
      <w:bookmarkStart w:id="10363" w:name="_Toc148522761"/>
      <w:bookmarkStart w:id="10364" w:name="_Toc94064364"/>
      <w:bookmarkStart w:id="10365" w:name="_Toc85553067"/>
      <w:bookmarkStart w:id="10366" w:name="_Toc164920947"/>
      <w:bookmarkStart w:id="10367" w:name="_Toc170120489"/>
      <w:bookmarkStart w:id="10368" w:name="_Toc175858734"/>
      <w:bookmarkStart w:id="10369" w:name="_Toc175859807"/>
      <w:bookmarkStart w:id="10370" w:name="_Toc180606097"/>
      <w:bookmarkStart w:id="10371" w:name="_Toc185517358"/>
      <w:bookmarkStart w:id="10372" w:name="_Toc191576409"/>
      <w:bookmarkStart w:id="10373" w:name="_Toc191577149"/>
      <w:bookmarkStart w:id="10374" w:name="_Toc192880219"/>
      <w:bookmarkStart w:id="10375" w:name="_Toc195815108"/>
      <w:bookmarkStart w:id="10376" w:name="_Toc199453075"/>
      <w:r>
        <w:t>5.2.3.3.3.1</w:t>
      </w:r>
      <w:r>
        <w:tab/>
        <w:t>GET</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0B9B4E81" w14:textId="77777777" w:rsidR="00A10B25" w:rsidRDefault="00A10B25">
      <w:r>
        <w:t>This method shall support the URI query parameters specified in table 5.2.3.3.3.1-1.</w:t>
      </w:r>
    </w:p>
    <w:p w14:paraId="601F575E" w14:textId="77777777" w:rsidR="007862A2" w:rsidRDefault="007862A2" w:rsidP="007862A2">
      <w:pPr>
        <w:pStyle w:val="TH"/>
        <w:overflowPunct w:val="0"/>
        <w:autoSpaceDE w:val="0"/>
        <w:autoSpaceDN w:val="0"/>
        <w:adjustRightInd w:val="0"/>
        <w:textAlignment w:val="baseline"/>
        <w:rPr>
          <w:rFonts w:eastAsia="MS Mincho"/>
        </w:rPr>
      </w:pPr>
      <w:r>
        <w:rPr>
          <w:rFonts w:eastAsia="MS Mincho"/>
        </w:rPr>
        <w:lastRenderedPageBreak/>
        <w:t>Table 5.2.3.3.3.1-1: URI query parameters supported by the GET method on this resource</w:t>
      </w:r>
    </w:p>
    <w:tbl>
      <w:tblPr>
        <w:tblW w:w="967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91"/>
        <w:gridCol w:w="2667"/>
        <w:gridCol w:w="286"/>
        <w:gridCol w:w="1067"/>
        <w:gridCol w:w="4464"/>
      </w:tblGrid>
      <w:tr w:rsidR="007862A2" w14:paraId="1A798A6C" w14:textId="77777777" w:rsidTr="007862A2">
        <w:trPr>
          <w:jc w:val="center"/>
        </w:trPr>
        <w:tc>
          <w:tcPr>
            <w:tcW w:w="1192" w:type="dxa"/>
            <w:tcBorders>
              <w:top w:val="single" w:sz="6" w:space="0" w:color="auto"/>
              <w:left w:val="single" w:sz="6" w:space="0" w:color="auto"/>
              <w:bottom w:val="single" w:sz="6" w:space="0" w:color="auto"/>
              <w:right w:val="single" w:sz="6" w:space="0" w:color="auto"/>
            </w:tcBorders>
            <w:shd w:val="clear" w:color="auto" w:fill="C0C0C0"/>
            <w:hideMark/>
          </w:tcPr>
          <w:p w14:paraId="2D67AD4E" w14:textId="77777777" w:rsidR="007862A2" w:rsidRDefault="007862A2">
            <w:pPr>
              <w:pStyle w:val="TAH"/>
            </w:pPr>
            <w:r>
              <w:t>Name</w:t>
            </w:r>
          </w:p>
        </w:tc>
        <w:tc>
          <w:tcPr>
            <w:tcW w:w="2668" w:type="dxa"/>
            <w:tcBorders>
              <w:top w:val="single" w:sz="6" w:space="0" w:color="auto"/>
              <w:left w:val="single" w:sz="6" w:space="0" w:color="auto"/>
              <w:bottom w:val="single" w:sz="6" w:space="0" w:color="auto"/>
              <w:right w:val="single" w:sz="6" w:space="0" w:color="auto"/>
            </w:tcBorders>
            <w:shd w:val="clear" w:color="auto" w:fill="C0C0C0"/>
            <w:hideMark/>
          </w:tcPr>
          <w:p w14:paraId="7D706259" w14:textId="77777777" w:rsidR="007862A2" w:rsidRDefault="007862A2">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hideMark/>
          </w:tcPr>
          <w:p w14:paraId="5B79E871" w14:textId="77777777" w:rsidR="007862A2" w:rsidRDefault="007862A2">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hideMark/>
          </w:tcPr>
          <w:p w14:paraId="6ED7177B" w14:textId="77777777" w:rsidR="007862A2" w:rsidRDefault="007862A2">
            <w:pPr>
              <w:pStyle w:val="TAH"/>
            </w:pPr>
            <w:r>
              <w:t>Cardinality</w:t>
            </w:r>
          </w:p>
        </w:tc>
        <w:tc>
          <w:tcPr>
            <w:tcW w:w="44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CC11E" w14:textId="77777777" w:rsidR="007862A2" w:rsidRDefault="007862A2">
            <w:pPr>
              <w:pStyle w:val="TAH"/>
            </w:pPr>
            <w:r>
              <w:t>Description</w:t>
            </w:r>
          </w:p>
        </w:tc>
      </w:tr>
      <w:tr w:rsidR="007862A2" w14:paraId="6AE94255" w14:textId="77777777" w:rsidTr="007862A2">
        <w:trPr>
          <w:jc w:val="center"/>
        </w:trPr>
        <w:tc>
          <w:tcPr>
            <w:tcW w:w="1192" w:type="dxa"/>
            <w:tcBorders>
              <w:top w:val="single" w:sz="6" w:space="0" w:color="auto"/>
              <w:left w:val="single" w:sz="6" w:space="0" w:color="auto"/>
              <w:bottom w:val="single" w:sz="6" w:space="0" w:color="auto"/>
              <w:right w:val="single" w:sz="6" w:space="0" w:color="auto"/>
            </w:tcBorders>
            <w:hideMark/>
          </w:tcPr>
          <w:p w14:paraId="43C001A3" w14:textId="77777777" w:rsidR="007862A2" w:rsidRDefault="007862A2">
            <w:pPr>
              <w:pStyle w:val="TAL"/>
            </w:pPr>
            <w:r>
              <w:t>context-ids</w:t>
            </w:r>
          </w:p>
        </w:tc>
        <w:tc>
          <w:tcPr>
            <w:tcW w:w="2668" w:type="dxa"/>
            <w:tcBorders>
              <w:top w:val="single" w:sz="6" w:space="0" w:color="auto"/>
              <w:left w:val="single" w:sz="6" w:space="0" w:color="auto"/>
              <w:bottom w:val="single" w:sz="6" w:space="0" w:color="auto"/>
              <w:right w:val="single" w:sz="6" w:space="0" w:color="auto"/>
            </w:tcBorders>
            <w:hideMark/>
          </w:tcPr>
          <w:p w14:paraId="380BB118" w14:textId="77777777" w:rsidR="007862A2" w:rsidRDefault="007862A2">
            <w:pPr>
              <w:pStyle w:val="TAL"/>
            </w:pPr>
            <w:r>
              <w:t>ContextIdList</w:t>
            </w:r>
          </w:p>
        </w:tc>
        <w:tc>
          <w:tcPr>
            <w:tcW w:w="286" w:type="dxa"/>
            <w:tcBorders>
              <w:top w:val="single" w:sz="6" w:space="0" w:color="auto"/>
              <w:left w:val="single" w:sz="6" w:space="0" w:color="auto"/>
              <w:bottom w:val="single" w:sz="6" w:space="0" w:color="auto"/>
              <w:right w:val="single" w:sz="6" w:space="0" w:color="auto"/>
            </w:tcBorders>
            <w:hideMark/>
          </w:tcPr>
          <w:p w14:paraId="3395A842" w14:textId="77777777" w:rsidR="007862A2" w:rsidRDefault="007862A2">
            <w:pPr>
              <w:pStyle w:val="TAC"/>
            </w:pPr>
            <w:r>
              <w:t>M</w:t>
            </w:r>
          </w:p>
        </w:tc>
        <w:tc>
          <w:tcPr>
            <w:tcW w:w="1067" w:type="dxa"/>
            <w:tcBorders>
              <w:top w:val="single" w:sz="6" w:space="0" w:color="auto"/>
              <w:left w:val="single" w:sz="6" w:space="0" w:color="auto"/>
              <w:bottom w:val="single" w:sz="6" w:space="0" w:color="auto"/>
              <w:right w:val="single" w:sz="6" w:space="0" w:color="auto"/>
            </w:tcBorders>
            <w:hideMark/>
          </w:tcPr>
          <w:p w14:paraId="0F64AAD8" w14:textId="77777777" w:rsidR="007862A2" w:rsidRDefault="007862A2">
            <w:pPr>
              <w:pStyle w:val="TAC"/>
            </w:pPr>
            <w:r>
              <w:t>1</w:t>
            </w:r>
          </w:p>
        </w:tc>
        <w:tc>
          <w:tcPr>
            <w:tcW w:w="4466" w:type="dxa"/>
            <w:tcBorders>
              <w:top w:val="single" w:sz="6" w:space="0" w:color="auto"/>
              <w:left w:val="single" w:sz="6" w:space="0" w:color="auto"/>
              <w:bottom w:val="single" w:sz="6" w:space="0" w:color="auto"/>
              <w:right w:val="single" w:sz="6" w:space="0" w:color="auto"/>
            </w:tcBorders>
            <w:hideMark/>
          </w:tcPr>
          <w:p w14:paraId="23FAE328" w14:textId="77777777" w:rsidR="007862A2" w:rsidRDefault="007862A2">
            <w:pPr>
              <w:pStyle w:val="TAL"/>
            </w:pPr>
            <w:r>
              <w:t>Identifies specific context information related to analytics subscriptions.</w:t>
            </w:r>
          </w:p>
        </w:tc>
      </w:tr>
      <w:tr w:rsidR="007862A2" w14:paraId="75595DA5" w14:textId="77777777" w:rsidTr="007862A2">
        <w:trPr>
          <w:jc w:val="center"/>
        </w:trPr>
        <w:tc>
          <w:tcPr>
            <w:tcW w:w="1192" w:type="dxa"/>
            <w:tcBorders>
              <w:top w:val="single" w:sz="6" w:space="0" w:color="auto"/>
              <w:left w:val="single" w:sz="6" w:space="0" w:color="auto"/>
              <w:bottom w:val="single" w:sz="6" w:space="0" w:color="auto"/>
              <w:right w:val="single" w:sz="6" w:space="0" w:color="auto"/>
            </w:tcBorders>
            <w:hideMark/>
          </w:tcPr>
          <w:p w14:paraId="11A297B0" w14:textId="77777777" w:rsidR="007862A2" w:rsidRDefault="007862A2">
            <w:pPr>
              <w:pStyle w:val="TAL"/>
            </w:pPr>
            <w:r>
              <w:t>req-context</w:t>
            </w:r>
          </w:p>
        </w:tc>
        <w:tc>
          <w:tcPr>
            <w:tcW w:w="2668" w:type="dxa"/>
            <w:tcBorders>
              <w:top w:val="single" w:sz="6" w:space="0" w:color="auto"/>
              <w:left w:val="single" w:sz="6" w:space="0" w:color="auto"/>
              <w:bottom w:val="single" w:sz="6" w:space="0" w:color="auto"/>
              <w:right w:val="single" w:sz="6" w:space="0" w:color="auto"/>
            </w:tcBorders>
            <w:hideMark/>
          </w:tcPr>
          <w:p w14:paraId="25A2087D" w14:textId="77777777" w:rsidR="007862A2" w:rsidRDefault="007862A2">
            <w:pPr>
              <w:pStyle w:val="TAL"/>
            </w:pPr>
            <w:r>
              <w:t>RequestedContext</w:t>
            </w:r>
          </w:p>
        </w:tc>
        <w:tc>
          <w:tcPr>
            <w:tcW w:w="286" w:type="dxa"/>
            <w:tcBorders>
              <w:top w:val="single" w:sz="6" w:space="0" w:color="auto"/>
              <w:left w:val="single" w:sz="6" w:space="0" w:color="auto"/>
              <w:bottom w:val="single" w:sz="6" w:space="0" w:color="auto"/>
              <w:right w:val="single" w:sz="6" w:space="0" w:color="auto"/>
            </w:tcBorders>
            <w:hideMark/>
          </w:tcPr>
          <w:p w14:paraId="542C7D2C" w14:textId="77777777" w:rsidR="007862A2" w:rsidRDefault="007862A2">
            <w:pPr>
              <w:pStyle w:val="TAC"/>
            </w:pPr>
            <w:r>
              <w:t>O</w:t>
            </w:r>
          </w:p>
        </w:tc>
        <w:tc>
          <w:tcPr>
            <w:tcW w:w="1067" w:type="dxa"/>
            <w:tcBorders>
              <w:top w:val="single" w:sz="6" w:space="0" w:color="auto"/>
              <w:left w:val="single" w:sz="6" w:space="0" w:color="auto"/>
              <w:bottom w:val="single" w:sz="6" w:space="0" w:color="auto"/>
              <w:right w:val="single" w:sz="6" w:space="0" w:color="auto"/>
            </w:tcBorders>
            <w:hideMark/>
          </w:tcPr>
          <w:p w14:paraId="49CAF20D" w14:textId="77777777" w:rsidR="007862A2" w:rsidRDefault="007862A2">
            <w:pPr>
              <w:pStyle w:val="TAC"/>
            </w:pPr>
            <w:r>
              <w:t>0..1</w:t>
            </w:r>
          </w:p>
        </w:tc>
        <w:tc>
          <w:tcPr>
            <w:tcW w:w="4466" w:type="dxa"/>
            <w:tcBorders>
              <w:top w:val="single" w:sz="6" w:space="0" w:color="auto"/>
              <w:left w:val="single" w:sz="6" w:space="0" w:color="auto"/>
              <w:bottom w:val="single" w:sz="6" w:space="0" w:color="auto"/>
              <w:right w:val="single" w:sz="6" w:space="0" w:color="auto"/>
            </w:tcBorders>
            <w:hideMark/>
          </w:tcPr>
          <w:p w14:paraId="09B4BA3D" w14:textId="77777777" w:rsidR="007862A2" w:rsidRDefault="007862A2">
            <w:pPr>
              <w:pStyle w:val="TAL"/>
            </w:pPr>
            <w:r>
              <w:t xml:space="preserve">Identfies the types </w:t>
            </w:r>
            <w:r>
              <w:rPr>
                <w:lang w:eastAsia="ko-KR"/>
              </w:rPr>
              <w:t>of the analytics context information the consumer wishes to receive. Absence of this attribute means that the consumer wishes to receive available context information of all types.</w:t>
            </w:r>
          </w:p>
        </w:tc>
      </w:tr>
      <w:tr w:rsidR="007862A2" w14:paraId="4C93DD71" w14:textId="77777777" w:rsidTr="00680A1F">
        <w:trPr>
          <w:jc w:val="center"/>
        </w:trPr>
        <w:tc>
          <w:tcPr>
            <w:tcW w:w="1192" w:type="dxa"/>
            <w:tcBorders>
              <w:top w:val="single" w:sz="6" w:space="0" w:color="auto"/>
              <w:left w:val="single" w:sz="6" w:space="0" w:color="auto"/>
              <w:bottom w:val="single" w:sz="6" w:space="0" w:color="auto"/>
              <w:right w:val="single" w:sz="6" w:space="0" w:color="auto"/>
            </w:tcBorders>
            <w:hideMark/>
          </w:tcPr>
          <w:p w14:paraId="006A7895" w14:textId="77777777" w:rsidR="007862A2" w:rsidRDefault="007862A2">
            <w:pPr>
              <w:pStyle w:val="TAL"/>
            </w:pPr>
            <w:r>
              <w:rPr>
                <w:lang w:eastAsia="zh-CN"/>
              </w:rPr>
              <w:t>supported-features</w:t>
            </w:r>
          </w:p>
        </w:tc>
        <w:tc>
          <w:tcPr>
            <w:tcW w:w="2668" w:type="dxa"/>
            <w:tcBorders>
              <w:top w:val="single" w:sz="6" w:space="0" w:color="auto"/>
              <w:left w:val="single" w:sz="6" w:space="0" w:color="auto"/>
              <w:bottom w:val="single" w:sz="6" w:space="0" w:color="auto"/>
              <w:right w:val="single" w:sz="6" w:space="0" w:color="auto"/>
            </w:tcBorders>
            <w:hideMark/>
          </w:tcPr>
          <w:p w14:paraId="0FA0A680" w14:textId="77777777" w:rsidR="007862A2" w:rsidRDefault="007862A2">
            <w:pPr>
              <w:pStyle w:val="TAL"/>
            </w:pPr>
            <w:r>
              <w:t>SupportedFeatures</w:t>
            </w:r>
          </w:p>
        </w:tc>
        <w:tc>
          <w:tcPr>
            <w:tcW w:w="286" w:type="dxa"/>
            <w:tcBorders>
              <w:top w:val="single" w:sz="6" w:space="0" w:color="auto"/>
              <w:left w:val="single" w:sz="6" w:space="0" w:color="auto"/>
              <w:bottom w:val="single" w:sz="6" w:space="0" w:color="auto"/>
              <w:right w:val="single" w:sz="6" w:space="0" w:color="auto"/>
            </w:tcBorders>
            <w:hideMark/>
          </w:tcPr>
          <w:p w14:paraId="21204316" w14:textId="77777777" w:rsidR="007862A2" w:rsidRDefault="007862A2">
            <w:pPr>
              <w:pStyle w:val="TAC"/>
            </w:pPr>
            <w:r>
              <w:t>O</w:t>
            </w:r>
          </w:p>
        </w:tc>
        <w:tc>
          <w:tcPr>
            <w:tcW w:w="1067" w:type="dxa"/>
            <w:tcBorders>
              <w:top w:val="single" w:sz="6" w:space="0" w:color="auto"/>
              <w:left w:val="single" w:sz="6" w:space="0" w:color="auto"/>
              <w:bottom w:val="single" w:sz="6" w:space="0" w:color="auto"/>
              <w:right w:val="single" w:sz="6" w:space="0" w:color="auto"/>
            </w:tcBorders>
            <w:hideMark/>
          </w:tcPr>
          <w:p w14:paraId="6DBA6603" w14:textId="77777777" w:rsidR="007862A2" w:rsidRDefault="007862A2">
            <w:pPr>
              <w:pStyle w:val="TAC"/>
            </w:pPr>
            <w:r>
              <w:t>0..1</w:t>
            </w:r>
          </w:p>
        </w:tc>
        <w:tc>
          <w:tcPr>
            <w:tcW w:w="4466" w:type="dxa"/>
            <w:tcBorders>
              <w:top w:val="single" w:sz="6" w:space="0" w:color="auto"/>
              <w:left w:val="single" w:sz="6" w:space="0" w:color="auto"/>
              <w:bottom w:val="single" w:sz="6" w:space="0" w:color="auto"/>
              <w:right w:val="single" w:sz="6" w:space="0" w:color="auto"/>
            </w:tcBorders>
            <w:vAlign w:val="center"/>
            <w:hideMark/>
          </w:tcPr>
          <w:p w14:paraId="22E8806F" w14:textId="77777777" w:rsidR="007862A2" w:rsidRDefault="007862A2">
            <w:pPr>
              <w:pStyle w:val="TAL"/>
            </w:pPr>
            <w:r>
              <w:t>The features supported by the NF service consumer.</w:t>
            </w:r>
          </w:p>
        </w:tc>
      </w:tr>
    </w:tbl>
    <w:p w14:paraId="5FA31DF4" w14:textId="77777777" w:rsidR="00A10B25" w:rsidRPr="007862A2" w:rsidRDefault="00A10B25"/>
    <w:p w14:paraId="0FC0F4AF" w14:textId="77777777" w:rsidR="00A10B25" w:rsidRDefault="00A10B25">
      <w:r>
        <w:t>This method shall support the request data structures specified in table 5.2.3.3.3.1-2 and the response data structures and response codes specified in table 5.2.3.3.3.1-3.</w:t>
      </w:r>
    </w:p>
    <w:p w14:paraId="78778548" w14:textId="77777777" w:rsidR="00A10B25" w:rsidRDefault="00A10B25">
      <w:pPr>
        <w:pStyle w:val="TH"/>
        <w:overflowPunct w:val="0"/>
        <w:autoSpaceDE w:val="0"/>
        <w:autoSpaceDN w:val="0"/>
        <w:adjustRightInd w:val="0"/>
        <w:textAlignment w:val="baseline"/>
        <w:rPr>
          <w:rFonts w:eastAsia="MS Mincho"/>
        </w:rPr>
      </w:pPr>
      <w:r>
        <w:rPr>
          <w:rFonts w:eastAsia="MS Mincho"/>
        </w:rPr>
        <w:t>Table 5.2.3.3.3.1-2: Data structures supported by the GET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2FE11EF" w14:textId="77777777">
        <w:trPr>
          <w:jc w:val="center"/>
        </w:trPr>
        <w:tc>
          <w:tcPr>
            <w:tcW w:w="1627" w:type="dxa"/>
            <w:tcBorders>
              <w:bottom w:val="single" w:sz="6" w:space="0" w:color="auto"/>
            </w:tcBorders>
            <w:shd w:val="clear" w:color="auto" w:fill="C0C0C0"/>
          </w:tcPr>
          <w:p w14:paraId="1C4125B3" w14:textId="77777777" w:rsidR="00A10B25" w:rsidRDefault="00A10B25">
            <w:pPr>
              <w:pStyle w:val="TAH"/>
            </w:pPr>
            <w:r>
              <w:t>Data type</w:t>
            </w:r>
          </w:p>
        </w:tc>
        <w:tc>
          <w:tcPr>
            <w:tcW w:w="425" w:type="dxa"/>
            <w:tcBorders>
              <w:bottom w:val="single" w:sz="6" w:space="0" w:color="auto"/>
            </w:tcBorders>
            <w:shd w:val="clear" w:color="auto" w:fill="C0C0C0"/>
          </w:tcPr>
          <w:p w14:paraId="0A501853" w14:textId="77777777" w:rsidR="00A10B25" w:rsidRDefault="00A10B25">
            <w:pPr>
              <w:pStyle w:val="TAH"/>
            </w:pPr>
            <w:r>
              <w:t>P</w:t>
            </w:r>
          </w:p>
        </w:tc>
        <w:tc>
          <w:tcPr>
            <w:tcW w:w="1276" w:type="dxa"/>
            <w:tcBorders>
              <w:bottom w:val="single" w:sz="6" w:space="0" w:color="auto"/>
            </w:tcBorders>
            <w:shd w:val="clear" w:color="auto" w:fill="C0C0C0"/>
          </w:tcPr>
          <w:p w14:paraId="3DC1E8E4"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53104A45" w14:textId="77777777" w:rsidR="00A10B25" w:rsidRDefault="00A10B25">
            <w:pPr>
              <w:pStyle w:val="TAH"/>
            </w:pPr>
            <w:r>
              <w:t>Description</w:t>
            </w:r>
          </w:p>
        </w:tc>
      </w:tr>
      <w:tr w:rsidR="00A10B25" w14:paraId="3CF74FE0" w14:textId="77777777">
        <w:trPr>
          <w:jc w:val="center"/>
        </w:trPr>
        <w:tc>
          <w:tcPr>
            <w:tcW w:w="1627" w:type="dxa"/>
            <w:tcBorders>
              <w:top w:val="single" w:sz="6" w:space="0" w:color="auto"/>
            </w:tcBorders>
          </w:tcPr>
          <w:p w14:paraId="5802C1A2" w14:textId="77777777" w:rsidR="00A10B25" w:rsidRDefault="00A10B25">
            <w:pPr>
              <w:pStyle w:val="TAL"/>
            </w:pPr>
            <w:r>
              <w:t>n/a</w:t>
            </w:r>
          </w:p>
        </w:tc>
        <w:tc>
          <w:tcPr>
            <w:tcW w:w="425" w:type="dxa"/>
            <w:tcBorders>
              <w:top w:val="single" w:sz="6" w:space="0" w:color="auto"/>
            </w:tcBorders>
          </w:tcPr>
          <w:p w14:paraId="7CCB4C73" w14:textId="77777777" w:rsidR="00A10B25" w:rsidRDefault="00A10B25">
            <w:pPr>
              <w:pStyle w:val="TAC"/>
            </w:pPr>
          </w:p>
        </w:tc>
        <w:tc>
          <w:tcPr>
            <w:tcW w:w="1276" w:type="dxa"/>
            <w:tcBorders>
              <w:top w:val="single" w:sz="6" w:space="0" w:color="auto"/>
            </w:tcBorders>
          </w:tcPr>
          <w:p w14:paraId="1E40C77F" w14:textId="77777777" w:rsidR="00A10B25" w:rsidRDefault="00A10B25">
            <w:pPr>
              <w:pStyle w:val="TAL"/>
            </w:pPr>
          </w:p>
        </w:tc>
        <w:tc>
          <w:tcPr>
            <w:tcW w:w="6447" w:type="dxa"/>
            <w:tcBorders>
              <w:top w:val="single" w:sz="6" w:space="0" w:color="auto"/>
            </w:tcBorders>
          </w:tcPr>
          <w:p w14:paraId="36322662" w14:textId="77777777" w:rsidR="00A10B25" w:rsidRDefault="00A10B25">
            <w:pPr>
              <w:pStyle w:val="TAL"/>
            </w:pPr>
          </w:p>
        </w:tc>
      </w:tr>
    </w:tbl>
    <w:p w14:paraId="76C008C8" w14:textId="77777777" w:rsidR="00A10B25" w:rsidRDefault="00A10B25"/>
    <w:p w14:paraId="401DDAA4" w14:textId="77777777" w:rsidR="004D166F" w:rsidRDefault="004D166F" w:rsidP="004D166F">
      <w:pPr>
        <w:pStyle w:val="TH"/>
        <w:overflowPunct w:val="0"/>
        <w:autoSpaceDE w:val="0"/>
        <w:autoSpaceDN w:val="0"/>
        <w:adjustRightInd w:val="0"/>
        <w:textAlignment w:val="baseline"/>
        <w:rPr>
          <w:rFonts w:eastAsia="MS Mincho"/>
        </w:rPr>
      </w:pPr>
      <w:r>
        <w:rPr>
          <w:rFonts w:eastAsia="MS Mincho"/>
        </w:rPr>
        <w:t>Table 5.2.3.3.3.1-3: Data structures supported by the GET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905"/>
        <w:gridCol w:w="286"/>
        <w:gridCol w:w="1067"/>
        <w:gridCol w:w="1017"/>
        <w:gridCol w:w="4265"/>
      </w:tblGrid>
      <w:tr w:rsidR="004D166F" w14:paraId="2C24B1AA" w14:textId="77777777" w:rsidTr="009E7F73">
        <w:trPr>
          <w:jc w:val="center"/>
        </w:trPr>
        <w:tc>
          <w:tcPr>
            <w:tcW w:w="1528" w:type="pct"/>
            <w:tcBorders>
              <w:bottom w:val="single" w:sz="6" w:space="0" w:color="auto"/>
            </w:tcBorders>
            <w:shd w:val="clear" w:color="auto" w:fill="C0C0C0"/>
          </w:tcPr>
          <w:p w14:paraId="54599454" w14:textId="77777777" w:rsidR="004D166F" w:rsidRDefault="004D166F" w:rsidP="009E7F73">
            <w:pPr>
              <w:pStyle w:val="TAH"/>
            </w:pPr>
            <w:r>
              <w:t>Data type</w:t>
            </w:r>
          </w:p>
        </w:tc>
        <w:tc>
          <w:tcPr>
            <w:tcW w:w="150" w:type="pct"/>
            <w:tcBorders>
              <w:bottom w:val="single" w:sz="6" w:space="0" w:color="auto"/>
            </w:tcBorders>
            <w:shd w:val="clear" w:color="auto" w:fill="C0C0C0"/>
          </w:tcPr>
          <w:p w14:paraId="0B9C30B0" w14:textId="77777777" w:rsidR="004D166F" w:rsidRDefault="004D166F" w:rsidP="009E7F73">
            <w:pPr>
              <w:pStyle w:val="TAH"/>
            </w:pPr>
            <w:r>
              <w:t>P</w:t>
            </w:r>
          </w:p>
        </w:tc>
        <w:tc>
          <w:tcPr>
            <w:tcW w:w="559" w:type="pct"/>
            <w:tcBorders>
              <w:bottom w:val="single" w:sz="6" w:space="0" w:color="auto"/>
            </w:tcBorders>
            <w:shd w:val="clear" w:color="auto" w:fill="C0C0C0"/>
          </w:tcPr>
          <w:p w14:paraId="02047F12" w14:textId="77777777" w:rsidR="004D166F" w:rsidRDefault="004D166F" w:rsidP="009E7F73">
            <w:pPr>
              <w:pStyle w:val="TAH"/>
            </w:pPr>
            <w:r>
              <w:t>Cardinality</w:t>
            </w:r>
          </w:p>
        </w:tc>
        <w:tc>
          <w:tcPr>
            <w:tcW w:w="523" w:type="pct"/>
            <w:tcBorders>
              <w:bottom w:val="single" w:sz="6" w:space="0" w:color="auto"/>
            </w:tcBorders>
            <w:shd w:val="clear" w:color="auto" w:fill="C0C0C0"/>
          </w:tcPr>
          <w:p w14:paraId="018B92AF" w14:textId="77777777" w:rsidR="004D166F" w:rsidRDefault="004D166F" w:rsidP="009E7F73">
            <w:pPr>
              <w:pStyle w:val="TAH"/>
            </w:pPr>
            <w:r>
              <w:t>Response</w:t>
            </w:r>
          </w:p>
          <w:p w14:paraId="6286FF71" w14:textId="77777777" w:rsidR="004D166F" w:rsidRDefault="004D166F" w:rsidP="009E7F73">
            <w:pPr>
              <w:pStyle w:val="TAH"/>
            </w:pPr>
            <w:r>
              <w:t>codes</w:t>
            </w:r>
          </w:p>
        </w:tc>
        <w:tc>
          <w:tcPr>
            <w:tcW w:w="2241" w:type="pct"/>
            <w:tcBorders>
              <w:bottom w:val="single" w:sz="6" w:space="0" w:color="auto"/>
            </w:tcBorders>
            <w:shd w:val="clear" w:color="auto" w:fill="C0C0C0"/>
          </w:tcPr>
          <w:p w14:paraId="700287E8" w14:textId="77777777" w:rsidR="004D166F" w:rsidRDefault="004D166F" w:rsidP="009E7F73">
            <w:pPr>
              <w:pStyle w:val="TAH"/>
            </w:pPr>
            <w:r>
              <w:t>Description</w:t>
            </w:r>
          </w:p>
        </w:tc>
      </w:tr>
      <w:tr w:rsidR="004D166F" w14:paraId="5BD5FAD4" w14:textId="77777777" w:rsidTr="009E7F73">
        <w:trPr>
          <w:jc w:val="center"/>
        </w:trPr>
        <w:tc>
          <w:tcPr>
            <w:tcW w:w="1528" w:type="pct"/>
            <w:tcBorders>
              <w:top w:val="single" w:sz="6" w:space="0" w:color="auto"/>
            </w:tcBorders>
          </w:tcPr>
          <w:p w14:paraId="16C08D45" w14:textId="77777777" w:rsidR="004D166F" w:rsidRDefault="004D166F" w:rsidP="009E7F73">
            <w:pPr>
              <w:pStyle w:val="TAL"/>
            </w:pPr>
            <w:r>
              <w:t>ContextData</w:t>
            </w:r>
          </w:p>
        </w:tc>
        <w:tc>
          <w:tcPr>
            <w:tcW w:w="150" w:type="pct"/>
            <w:tcBorders>
              <w:top w:val="single" w:sz="6" w:space="0" w:color="auto"/>
            </w:tcBorders>
          </w:tcPr>
          <w:p w14:paraId="73F8409E" w14:textId="77777777" w:rsidR="004D166F" w:rsidRDefault="004D166F" w:rsidP="009E7F73">
            <w:pPr>
              <w:pStyle w:val="TAL"/>
            </w:pPr>
            <w:r>
              <w:rPr>
                <w:rFonts w:hint="eastAsia"/>
              </w:rPr>
              <w:t>M</w:t>
            </w:r>
          </w:p>
        </w:tc>
        <w:tc>
          <w:tcPr>
            <w:tcW w:w="559" w:type="pct"/>
            <w:tcBorders>
              <w:top w:val="single" w:sz="6" w:space="0" w:color="auto"/>
            </w:tcBorders>
          </w:tcPr>
          <w:p w14:paraId="15D3E237" w14:textId="77777777" w:rsidR="004D166F" w:rsidRDefault="004D166F" w:rsidP="009E7F73">
            <w:pPr>
              <w:pStyle w:val="TAL"/>
            </w:pPr>
            <w:r>
              <w:rPr>
                <w:rFonts w:hint="eastAsia"/>
              </w:rPr>
              <w:t>1</w:t>
            </w:r>
          </w:p>
        </w:tc>
        <w:tc>
          <w:tcPr>
            <w:tcW w:w="523" w:type="pct"/>
            <w:tcBorders>
              <w:top w:val="single" w:sz="6" w:space="0" w:color="auto"/>
            </w:tcBorders>
          </w:tcPr>
          <w:p w14:paraId="7C9A1259" w14:textId="77777777" w:rsidR="004D166F" w:rsidRDefault="004D166F" w:rsidP="009E7F73">
            <w:pPr>
              <w:pStyle w:val="TAL"/>
            </w:pPr>
            <w:r>
              <w:rPr>
                <w:rFonts w:hint="eastAsia"/>
              </w:rPr>
              <w:t>200</w:t>
            </w:r>
            <w:r>
              <w:t xml:space="preserve"> OK</w:t>
            </w:r>
          </w:p>
        </w:tc>
        <w:tc>
          <w:tcPr>
            <w:tcW w:w="2241" w:type="pct"/>
            <w:tcBorders>
              <w:top w:val="single" w:sz="6" w:space="0" w:color="auto"/>
            </w:tcBorders>
          </w:tcPr>
          <w:p w14:paraId="3DBECD47" w14:textId="77777777" w:rsidR="004D166F" w:rsidRDefault="004D166F" w:rsidP="009E7F73">
            <w:pPr>
              <w:pStyle w:val="TAL"/>
            </w:pPr>
            <w:r>
              <w:t>Contains the context information corresponding with the context identifiers provided in the request.</w:t>
            </w:r>
          </w:p>
        </w:tc>
      </w:tr>
      <w:tr w:rsidR="004D166F" w14:paraId="22CFC6DE" w14:textId="77777777" w:rsidTr="009E7F73">
        <w:trPr>
          <w:jc w:val="center"/>
        </w:trPr>
        <w:tc>
          <w:tcPr>
            <w:tcW w:w="1528" w:type="pct"/>
          </w:tcPr>
          <w:p w14:paraId="3B046F48" w14:textId="77777777" w:rsidR="004D166F" w:rsidRDefault="004D166F" w:rsidP="009E7F73">
            <w:pPr>
              <w:pStyle w:val="TAL"/>
            </w:pPr>
            <w:r>
              <w:t>n/a</w:t>
            </w:r>
          </w:p>
        </w:tc>
        <w:tc>
          <w:tcPr>
            <w:tcW w:w="150" w:type="pct"/>
          </w:tcPr>
          <w:p w14:paraId="342DF5F3" w14:textId="77777777" w:rsidR="004D166F" w:rsidRDefault="004D166F" w:rsidP="009E7F73">
            <w:pPr>
              <w:pStyle w:val="TAL"/>
            </w:pPr>
          </w:p>
        </w:tc>
        <w:tc>
          <w:tcPr>
            <w:tcW w:w="559" w:type="pct"/>
          </w:tcPr>
          <w:p w14:paraId="6241281E" w14:textId="77777777" w:rsidR="004D166F" w:rsidRDefault="004D166F" w:rsidP="009E7F73">
            <w:pPr>
              <w:pStyle w:val="TAL"/>
            </w:pPr>
          </w:p>
        </w:tc>
        <w:tc>
          <w:tcPr>
            <w:tcW w:w="523" w:type="pct"/>
          </w:tcPr>
          <w:p w14:paraId="78ACF39E" w14:textId="77777777" w:rsidR="004D166F" w:rsidRDefault="004D166F" w:rsidP="009E7F73">
            <w:pPr>
              <w:pStyle w:val="TAL"/>
            </w:pPr>
            <w:r>
              <w:t>204 No Content</w:t>
            </w:r>
          </w:p>
        </w:tc>
        <w:tc>
          <w:tcPr>
            <w:tcW w:w="2241" w:type="pct"/>
          </w:tcPr>
          <w:p w14:paraId="1E0AE3BF" w14:textId="77777777" w:rsidR="004D166F" w:rsidRDefault="004D166F" w:rsidP="009E7F73">
            <w:pPr>
              <w:pStyle w:val="TAL"/>
            </w:pPr>
            <w:r>
              <w:t>If the requested context information does not exist, the NWDAF shall respond with "204 No Content".</w:t>
            </w:r>
          </w:p>
        </w:tc>
      </w:tr>
      <w:tr w:rsidR="004D166F" w14:paraId="23E91C48" w14:textId="77777777" w:rsidTr="009E7F73">
        <w:trPr>
          <w:jc w:val="center"/>
        </w:trPr>
        <w:tc>
          <w:tcPr>
            <w:tcW w:w="1528" w:type="pct"/>
          </w:tcPr>
          <w:p w14:paraId="180CFA22" w14:textId="77777777" w:rsidR="004D166F" w:rsidRDefault="004D166F" w:rsidP="009E7F73">
            <w:pPr>
              <w:pStyle w:val="TAL"/>
            </w:pPr>
            <w:r>
              <w:t>RedirectResponse</w:t>
            </w:r>
          </w:p>
        </w:tc>
        <w:tc>
          <w:tcPr>
            <w:tcW w:w="150" w:type="pct"/>
          </w:tcPr>
          <w:p w14:paraId="44E4A8C4" w14:textId="77777777" w:rsidR="004D166F" w:rsidRDefault="004D166F" w:rsidP="009E7F73">
            <w:pPr>
              <w:pStyle w:val="TAL"/>
            </w:pPr>
            <w:r>
              <w:t>O</w:t>
            </w:r>
          </w:p>
        </w:tc>
        <w:tc>
          <w:tcPr>
            <w:tcW w:w="559" w:type="pct"/>
          </w:tcPr>
          <w:p w14:paraId="132B4CCF" w14:textId="77777777" w:rsidR="004D166F" w:rsidRDefault="004D166F" w:rsidP="009E7F73">
            <w:pPr>
              <w:pStyle w:val="TAL"/>
            </w:pPr>
            <w:r>
              <w:t>0..1</w:t>
            </w:r>
          </w:p>
        </w:tc>
        <w:tc>
          <w:tcPr>
            <w:tcW w:w="523" w:type="pct"/>
          </w:tcPr>
          <w:p w14:paraId="7F2E605C" w14:textId="77777777" w:rsidR="004D166F" w:rsidRDefault="004D166F" w:rsidP="009E7F73">
            <w:pPr>
              <w:pStyle w:val="TAL"/>
            </w:pPr>
            <w:r>
              <w:t>307 Temporary Redirect</w:t>
            </w:r>
          </w:p>
        </w:tc>
        <w:tc>
          <w:tcPr>
            <w:tcW w:w="2241" w:type="pct"/>
          </w:tcPr>
          <w:p w14:paraId="3133AE59" w14:textId="77777777" w:rsidR="004D166F" w:rsidRDefault="004D166F" w:rsidP="009E7F73">
            <w:pPr>
              <w:pStyle w:val="TAL"/>
            </w:pPr>
            <w:r>
              <w:t>Temporary redirection.</w:t>
            </w:r>
          </w:p>
          <w:p w14:paraId="26B448CD" w14:textId="77777777" w:rsidR="004D166F" w:rsidRDefault="004D166F" w:rsidP="009E7F73">
            <w:pPr>
              <w:pStyle w:val="TAL"/>
            </w:pPr>
          </w:p>
          <w:p w14:paraId="6D59AA59" w14:textId="77777777" w:rsidR="004D166F" w:rsidRDefault="004D166F" w:rsidP="009E7F73">
            <w:pPr>
              <w:pStyle w:val="TAL"/>
            </w:pPr>
            <w:r>
              <w:t>(NOTE 2)</w:t>
            </w:r>
          </w:p>
        </w:tc>
      </w:tr>
      <w:tr w:rsidR="004D166F" w14:paraId="5C2C5966" w14:textId="77777777" w:rsidTr="009E7F73">
        <w:trPr>
          <w:jc w:val="center"/>
        </w:trPr>
        <w:tc>
          <w:tcPr>
            <w:tcW w:w="1528" w:type="pct"/>
          </w:tcPr>
          <w:p w14:paraId="40EECB0D" w14:textId="77777777" w:rsidR="004D166F" w:rsidRDefault="004D166F" w:rsidP="009E7F73">
            <w:pPr>
              <w:pStyle w:val="TAL"/>
            </w:pPr>
            <w:r>
              <w:t>RedirectResponse</w:t>
            </w:r>
          </w:p>
        </w:tc>
        <w:tc>
          <w:tcPr>
            <w:tcW w:w="150" w:type="pct"/>
          </w:tcPr>
          <w:p w14:paraId="23F083D9" w14:textId="77777777" w:rsidR="004D166F" w:rsidRDefault="004D166F" w:rsidP="009E7F73">
            <w:pPr>
              <w:pStyle w:val="TAL"/>
            </w:pPr>
            <w:r>
              <w:t>O</w:t>
            </w:r>
          </w:p>
        </w:tc>
        <w:tc>
          <w:tcPr>
            <w:tcW w:w="559" w:type="pct"/>
          </w:tcPr>
          <w:p w14:paraId="5CFED24E" w14:textId="77777777" w:rsidR="004D166F" w:rsidRDefault="004D166F" w:rsidP="009E7F73">
            <w:pPr>
              <w:pStyle w:val="TAL"/>
            </w:pPr>
            <w:r>
              <w:t>0..1</w:t>
            </w:r>
          </w:p>
        </w:tc>
        <w:tc>
          <w:tcPr>
            <w:tcW w:w="523" w:type="pct"/>
          </w:tcPr>
          <w:p w14:paraId="36D6D633" w14:textId="77777777" w:rsidR="004D166F" w:rsidRDefault="004D166F" w:rsidP="009E7F73">
            <w:pPr>
              <w:pStyle w:val="TAL"/>
            </w:pPr>
            <w:r>
              <w:t>308 Permanent Redirect</w:t>
            </w:r>
          </w:p>
        </w:tc>
        <w:tc>
          <w:tcPr>
            <w:tcW w:w="2241" w:type="pct"/>
          </w:tcPr>
          <w:p w14:paraId="6AE43087" w14:textId="77777777" w:rsidR="004D166F" w:rsidRDefault="004D166F" w:rsidP="009E7F73">
            <w:pPr>
              <w:pStyle w:val="TAL"/>
            </w:pPr>
            <w:r>
              <w:t>Permanent redirection.</w:t>
            </w:r>
          </w:p>
          <w:p w14:paraId="4F268841" w14:textId="77777777" w:rsidR="004D166F" w:rsidRDefault="004D166F" w:rsidP="009E7F73">
            <w:pPr>
              <w:pStyle w:val="TAL"/>
            </w:pPr>
          </w:p>
          <w:p w14:paraId="1445FDF5" w14:textId="77777777" w:rsidR="004D166F" w:rsidRDefault="004D166F" w:rsidP="009E7F73">
            <w:pPr>
              <w:pStyle w:val="TAL"/>
            </w:pPr>
            <w:r>
              <w:t>(NOTE 2)</w:t>
            </w:r>
          </w:p>
        </w:tc>
      </w:tr>
      <w:tr w:rsidR="004D166F" w14:paraId="5B30B505" w14:textId="77777777" w:rsidTr="009E7F73">
        <w:tblPrEx>
          <w:tblCellMar>
            <w:right w:w="115" w:type="dxa"/>
          </w:tblCellMar>
        </w:tblPrEx>
        <w:trPr>
          <w:jc w:val="center"/>
        </w:trPr>
        <w:tc>
          <w:tcPr>
            <w:tcW w:w="5000" w:type="pct"/>
            <w:gridSpan w:val="5"/>
          </w:tcPr>
          <w:p w14:paraId="2C6E7D24" w14:textId="77777777" w:rsidR="004D166F" w:rsidRDefault="004D166F" w:rsidP="009E7F73">
            <w:pPr>
              <w:pStyle w:val="TAN"/>
            </w:pPr>
            <w:r>
              <w:t>NOTE 1:</w:t>
            </w:r>
            <w:r>
              <w:tab/>
              <w:t>The mandatory HTTP error status codes for the GET method listed in table 5.2.7.1-1 of 3GPP TS 29.500 [6] also apply.</w:t>
            </w:r>
          </w:p>
          <w:p w14:paraId="25C394D0" w14:textId="77777777" w:rsidR="004D166F" w:rsidRDefault="004D166F" w:rsidP="009E7F73">
            <w:pPr>
              <w:pStyle w:val="TAN"/>
            </w:pPr>
            <w:r>
              <w:t>NOTE 2:</w:t>
            </w:r>
            <w:r>
              <w:tab/>
              <w:t>The RedirectResponse data structure may be provided by an SCP (cf. clause 6.10.9.1 of 3GPP TS 29.500 [6]).</w:t>
            </w:r>
          </w:p>
        </w:tc>
      </w:tr>
    </w:tbl>
    <w:p w14:paraId="769D6943" w14:textId="77777777" w:rsidR="004D166F" w:rsidRDefault="004D166F" w:rsidP="004D166F">
      <w:pPr>
        <w:rPr>
          <w:lang w:val="en-US"/>
        </w:rPr>
      </w:pPr>
    </w:p>
    <w:p w14:paraId="0FDC377D" w14:textId="77777777" w:rsidR="004D166F" w:rsidRDefault="004D166F" w:rsidP="004D166F">
      <w:pPr>
        <w:pStyle w:val="TH"/>
      </w:pPr>
      <w:r>
        <w:t>Table </w:t>
      </w:r>
      <w:r>
        <w:rPr>
          <w:rFonts w:eastAsia="MS Mincho"/>
        </w:rPr>
        <w:t>5.2.3.3.3.1</w:t>
      </w:r>
      <w:r>
        <w:t>-4: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55297019" w14:textId="77777777" w:rsidTr="009E7F73">
        <w:trPr>
          <w:jc w:val="center"/>
        </w:trPr>
        <w:tc>
          <w:tcPr>
            <w:tcW w:w="1027" w:type="pct"/>
            <w:tcBorders>
              <w:bottom w:val="single" w:sz="6" w:space="0" w:color="auto"/>
            </w:tcBorders>
            <w:shd w:val="clear" w:color="auto" w:fill="C0C0C0"/>
          </w:tcPr>
          <w:p w14:paraId="0E496B8A" w14:textId="77777777" w:rsidR="004D166F" w:rsidRDefault="004D166F" w:rsidP="009E7F73">
            <w:pPr>
              <w:pStyle w:val="TAH"/>
            </w:pPr>
            <w:r>
              <w:t>Name</w:t>
            </w:r>
          </w:p>
        </w:tc>
        <w:tc>
          <w:tcPr>
            <w:tcW w:w="529" w:type="pct"/>
            <w:tcBorders>
              <w:bottom w:val="single" w:sz="6" w:space="0" w:color="auto"/>
            </w:tcBorders>
            <w:shd w:val="clear" w:color="auto" w:fill="C0C0C0"/>
          </w:tcPr>
          <w:p w14:paraId="31AF384B" w14:textId="77777777" w:rsidR="004D166F" w:rsidRDefault="004D166F" w:rsidP="009E7F73">
            <w:pPr>
              <w:pStyle w:val="TAH"/>
            </w:pPr>
            <w:r>
              <w:t>Data type</w:t>
            </w:r>
          </w:p>
        </w:tc>
        <w:tc>
          <w:tcPr>
            <w:tcW w:w="217" w:type="pct"/>
            <w:tcBorders>
              <w:bottom w:val="single" w:sz="6" w:space="0" w:color="auto"/>
            </w:tcBorders>
            <w:shd w:val="clear" w:color="auto" w:fill="C0C0C0"/>
          </w:tcPr>
          <w:p w14:paraId="2A0F60B3" w14:textId="77777777" w:rsidR="004D166F" w:rsidRDefault="004D166F" w:rsidP="009E7F73">
            <w:pPr>
              <w:pStyle w:val="TAH"/>
            </w:pPr>
            <w:r>
              <w:t>P</w:t>
            </w:r>
          </w:p>
        </w:tc>
        <w:tc>
          <w:tcPr>
            <w:tcW w:w="581" w:type="pct"/>
            <w:tcBorders>
              <w:bottom w:val="single" w:sz="6" w:space="0" w:color="auto"/>
            </w:tcBorders>
            <w:shd w:val="clear" w:color="auto" w:fill="C0C0C0"/>
          </w:tcPr>
          <w:p w14:paraId="2AFD897F"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5B909823" w14:textId="77777777" w:rsidR="004D166F" w:rsidRDefault="004D166F" w:rsidP="009E7F73">
            <w:pPr>
              <w:pStyle w:val="TAH"/>
            </w:pPr>
            <w:r>
              <w:t>Description</w:t>
            </w:r>
          </w:p>
        </w:tc>
      </w:tr>
      <w:tr w:rsidR="004D166F" w14:paraId="23C2FDFC" w14:textId="77777777" w:rsidTr="009E7F73">
        <w:trPr>
          <w:jc w:val="center"/>
        </w:trPr>
        <w:tc>
          <w:tcPr>
            <w:tcW w:w="1027" w:type="pct"/>
            <w:tcBorders>
              <w:top w:val="single" w:sz="6" w:space="0" w:color="auto"/>
            </w:tcBorders>
          </w:tcPr>
          <w:p w14:paraId="31BE52D0" w14:textId="77777777" w:rsidR="004D166F" w:rsidRDefault="004D166F" w:rsidP="009E7F73">
            <w:pPr>
              <w:pStyle w:val="TAL"/>
            </w:pPr>
            <w:r>
              <w:t>Location</w:t>
            </w:r>
          </w:p>
        </w:tc>
        <w:tc>
          <w:tcPr>
            <w:tcW w:w="529" w:type="pct"/>
            <w:tcBorders>
              <w:top w:val="single" w:sz="6" w:space="0" w:color="auto"/>
            </w:tcBorders>
          </w:tcPr>
          <w:p w14:paraId="6D7BC655" w14:textId="77777777" w:rsidR="004D166F" w:rsidRDefault="004D166F" w:rsidP="009E7F73">
            <w:pPr>
              <w:pStyle w:val="TAL"/>
            </w:pPr>
            <w:r>
              <w:t>string</w:t>
            </w:r>
          </w:p>
        </w:tc>
        <w:tc>
          <w:tcPr>
            <w:tcW w:w="217" w:type="pct"/>
            <w:tcBorders>
              <w:top w:val="single" w:sz="6" w:space="0" w:color="auto"/>
            </w:tcBorders>
          </w:tcPr>
          <w:p w14:paraId="4074A3BD" w14:textId="77777777" w:rsidR="004D166F" w:rsidRDefault="004D166F" w:rsidP="009E7F73">
            <w:pPr>
              <w:pStyle w:val="TAC"/>
            </w:pPr>
            <w:r>
              <w:t>M</w:t>
            </w:r>
          </w:p>
        </w:tc>
        <w:tc>
          <w:tcPr>
            <w:tcW w:w="581" w:type="pct"/>
            <w:tcBorders>
              <w:top w:val="single" w:sz="6" w:space="0" w:color="auto"/>
            </w:tcBorders>
          </w:tcPr>
          <w:p w14:paraId="55BA630C" w14:textId="77777777" w:rsidR="004D166F" w:rsidRDefault="004D166F" w:rsidP="009E7F73">
            <w:pPr>
              <w:pStyle w:val="TAC"/>
            </w:pPr>
            <w:r>
              <w:t>1</w:t>
            </w:r>
          </w:p>
        </w:tc>
        <w:tc>
          <w:tcPr>
            <w:tcW w:w="2645" w:type="pct"/>
            <w:tcBorders>
              <w:top w:val="single" w:sz="6" w:space="0" w:color="auto"/>
            </w:tcBorders>
            <w:vAlign w:val="center"/>
          </w:tcPr>
          <w:p w14:paraId="6A76B7F2"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677BB107" w14:textId="77777777" w:rsidR="004D166F" w:rsidRDefault="004D166F" w:rsidP="009E7F73">
            <w:pPr>
              <w:pStyle w:val="TAL"/>
            </w:pPr>
          </w:p>
          <w:p w14:paraId="0F434BE3" w14:textId="77777777" w:rsidR="004D166F" w:rsidRDefault="004D166F" w:rsidP="009E7F73">
            <w:pPr>
              <w:pStyle w:val="TAL"/>
            </w:pPr>
            <w:r>
              <w:t>For the case where the request is redirected to the same target via a different SCP, refer to clause 6.10.9.1 of 3GPP TS 29.500 [6].</w:t>
            </w:r>
          </w:p>
        </w:tc>
      </w:tr>
      <w:tr w:rsidR="004D166F" w14:paraId="1B54844D" w14:textId="77777777" w:rsidTr="009E7F73">
        <w:trPr>
          <w:jc w:val="center"/>
        </w:trPr>
        <w:tc>
          <w:tcPr>
            <w:tcW w:w="1027" w:type="pct"/>
          </w:tcPr>
          <w:p w14:paraId="0A968112" w14:textId="77777777" w:rsidR="004D166F" w:rsidRDefault="004D166F" w:rsidP="009E7F73">
            <w:pPr>
              <w:pStyle w:val="TAL"/>
            </w:pPr>
            <w:r>
              <w:rPr>
                <w:lang w:eastAsia="zh-CN"/>
              </w:rPr>
              <w:t>3gpp-Sbi-Target-Nf-Id</w:t>
            </w:r>
          </w:p>
        </w:tc>
        <w:tc>
          <w:tcPr>
            <w:tcW w:w="529" w:type="pct"/>
          </w:tcPr>
          <w:p w14:paraId="4AE23ED2" w14:textId="77777777" w:rsidR="004D166F" w:rsidRDefault="004D166F" w:rsidP="009E7F73">
            <w:pPr>
              <w:pStyle w:val="TAL"/>
            </w:pPr>
            <w:r>
              <w:rPr>
                <w:lang w:eastAsia="fr-FR"/>
              </w:rPr>
              <w:t>string</w:t>
            </w:r>
          </w:p>
        </w:tc>
        <w:tc>
          <w:tcPr>
            <w:tcW w:w="217" w:type="pct"/>
          </w:tcPr>
          <w:p w14:paraId="6490C95E" w14:textId="77777777" w:rsidR="004D166F" w:rsidRDefault="004D166F" w:rsidP="009E7F73">
            <w:pPr>
              <w:pStyle w:val="TAC"/>
            </w:pPr>
            <w:r>
              <w:rPr>
                <w:lang w:eastAsia="fr-FR"/>
              </w:rPr>
              <w:t>O</w:t>
            </w:r>
          </w:p>
        </w:tc>
        <w:tc>
          <w:tcPr>
            <w:tcW w:w="581" w:type="pct"/>
          </w:tcPr>
          <w:p w14:paraId="2189F524" w14:textId="77777777" w:rsidR="004D166F" w:rsidRDefault="004D166F" w:rsidP="009E7F73">
            <w:pPr>
              <w:pStyle w:val="TAC"/>
            </w:pPr>
            <w:r>
              <w:rPr>
                <w:lang w:eastAsia="fr-FR"/>
              </w:rPr>
              <w:t>0..1</w:t>
            </w:r>
          </w:p>
        </w:tc>
        <w:tc>
          <w:tcPr>
            <w:tcW w:w="2645" w:type="pct"/>
            <w:vAlign w:val="center"/>
          </w:tcPr>
          <w:p w14:paraId="448E1F53" w14:textId="77777777" w:rsidR="004D166F" w:rsidRDefault="004D166F" w:rsidP="009E7F73">
            <w:pPr>
              <w:pStyle w:val="TAL"/>
            </w:pPr>
            <w:r>
              <w:t>Contains the i</w:t>
            </w:r>
            <w:r>
              <w:rPr>
                <w:lang w:eastAsia="fr-FR"/>
              </w:rPr>
              <w:t>dentifier of the target NWDAF (service) instance towards which the request is redirected.</w:t>
            </w:r>
          </w:p>
        </w:tc>
      </w:tr>
    </w:tbl>
    <w:p w14:paraId="14644CF3" w14:textId="77777777" w:rsidR="004D166F" w:rsidRDefault="004D166F" w:rsidP="004D166F"/>
    <w:p w14:paraId="66E8CAFC" w14:textId="77777777" w:rsidR="004D166F" w:rsidRDefault="004D166F" w:rsidP="004D166F">
      <w:pPr>
        <w:pStyle w:val="TH"/>
      </w:pPr>
      <w:r>
        <w:lastRenderedPageBreak/>
        <w:t>Table </w:t>
      </w:r>
      <w:r>
        <w:rPr>
          <w:rFonts w:eastAsia="MS Mincho"/>
        </w:rPr>
        <w:t>5.2.3.3.3.1</w:t>
      </w:r>
      <w:r>
        <w:t>-5: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4D166F" w14:paraId="31639F9F" w14:textId="77777777" w:rsidTr="009E7F73">
        <w:trPr>
          <w:jc w:val="center"/>
        </w:trPr>
        <w:tc>
          <w:tcPr>
            <w:tcW w:w="1027" w:type="pct"/>
            <w:tcBorders>
              <w:bottom w:val="single" w:sz="6" w:space="0" w:color="auto"/>
            </w:tcBorders>
            <w:shd w:val="clear" w:color="auto" w:fill="C0C0C0"/>
          </w:tcPr>
          <w:p w14:paraId="0BC0150B" w14:textId="77777777" w:rsidR="004D166F" w:rsidRDefault="004D166F" w:rsidP="009E7F73">
            <w:pPr>
              <w:pStyle w:val="TAH"/>
            </w:pPr>
            <w:r>
              <w:t>Name</w:t>
            </w:r>
          </w:p>
        </w:tc>
        <w:tc>
          <w:tcPr>
            <w:tcW w:w="529" w:type="pct"/>
            <w:tcBorders>
              <w:bottom w:val="single" w:sz="6" w:space="0" w:color="auto"/>
            </w:tcBorders>
            <w:shd w:val="clear" w:color="auto" w:fill="C0C0C0"/>
          </w:tcPr>
          <w:p w14:paraId="62F40542" w14:textId="77777777" w:rsidR="004D166F" w:rsidRDefault="004D166F" w:rsidP="009E7F73">
            <w:pPr>
              <w:pStyle w:val="TAH"/>
            </w:pPr>
            <w:r>
              <w:t>Data type</w:t>
            </w:r>
          </w:p>
        </w:tc>
        <w:tc>
          <w:tcPr>
            <w:tcW w:w="217" w:type="pct"/>
            <w:tcBorders>
              <w:bottom w:val="single" w:sz="6" w:space="0" w:color="auto"/>
            </w:tcBorders>
            <w:shd w:val="clear" w:color="auto" w:fill="C0C0C0"/>
          </w:tcPr>
          <w:p w14:paraId="467AB302" w14:textId="77777777" w:rsidR="004D166F" w:rsidRDefault="004D166F" w:rsidP="009E7F73">
            <w:pPr>
              <w:pStyle w:val="TAH"/>
            </w:pPr>
            <w:r>
              <w:t>P</w:t>
            </w:r>
          </w:p>
        </w:tc>
        <w:tc>
          <w:tcPr>
            <w:tcW w:w="581" w:type="pct"/>
            <w:tcBorders>
              <w:bottom w:val="single" w:sz="6" w:space="0" w:color="auto"/>
            </w:tcBorders>
            <w:shd w:val="clear" w:color="auto" w:fill="C0C0C0"/>
          </w:tcPr>
          <w:p w14:paraId="6C321B21" w14:textId="77777777" w:rsidR="004D166F" w:rsidRDefault="004D166F" w:rsidP="009E7F73">
            <w:pPr>
              <w:pStyle w:val="TAH"/>
            </w:pPr>
            <w:r>
              <w:t>Cardinality</w:t>
            </w:r>
          </w:p>
        </w:tc>
        <w:tc>
          <w:tcPr>
            <w:tcW w:w="2645" w:type="pct"/>
            <w:tcBorders>
              <w:bottom w:val="single" w:sz="6" w:space="0" w:color="auto"/>
            </w:tcBorders>
            <w:shd w:val="clear" w:color="auto" w:fill="C0C0C0"/>
            <w:vAlign w:val="center"/>
          </w:tcPr>
          <w:p w14:paraId="5947C529" w14:textId="77777777" w:rsidR="004D166F" w:rsidRDefault="004D166F" w:rsidP="009E7F73">
            <w:pPr>
              <w:pStyle w:val="TAH"/>
            </w:pPr>
            <w:r>
              <w:t>Description</w:t>
            </w:r>
          </w:p>
        </w:tc>
      </w:tr>
      <w:tr w:rsidR="004D166F" w14:paraId="44C5EA94" w14:textId="77777777" w:rsidTr="009E7F73">
        <w:trPr>
          <w:jc w:val="center"/>
        </w:trPr>
        <w:tc>
          <w:tcPr>
            <w:tcW w:w="1027" w:type="pct"/>
            <w:tcBorders>
              <w:top w:val="single" w:sz="6" w:space="0" w:color="auto"/>
            </w:tcBorders>
          </w:tcPr>
          <w:p w14:paraId="55EF558D" w14:textId="77777777" w:rsidR="004D166F" w:rsidRDefault="004D166F" w:rsidP="009E7F73">
            <w:pPr>
              <w:pStyle w:val="TAL"/>
            </w:pPr>
            <w:r>
              <w:t>Location</w:t>
            </w:r>
          </w:p>
        </w:tc>
        <w:tc>
          <w:tcPr>
            <w:tcW w:w="529" w:type="pct"/>
            <w:tcBorders>
              <w:top w:val="single" w:sz="6" w:space="0" w:color="auto"/>
            </w:tcBorders>
          </w:tcPr>
          <w:p w14:paraId="59B1E44D" w14:textId="77777777" w:rsidR="004D166F" w:rsidRDefault="004D166F" w:rsidP="009E7F73">
            <w:pPr>
              <w:pStyle w:val="TAL"/>
            </w:pPr>
            <w:r>
              <w:t>string</w:t>
            </w:r>
          </w:p>
        </w:tc>
        <w:tc>
          <w:tcPr>
            <w:tcW w:w="217" w:type="pct"/>
            <w:tcBorders>
              <w:top w:val="single" w:sz="6" w:space="0" w:color="auto"/>
            </w:tcBorders>
          </w:tcPr>
          <w:p w14:paraId="18905543" w14:textId="77777777" w:rsidR="004D166F" w:rsidRDefault="004D166F" w:rsidP="009E7F73">
            <w:pPr>
              <w:pStyle w:val="TAC"/>
            </w:pPr>
            <w:r>
              <w:t>M</w:t>
            </w:r>
          </w:p>
        </w:tc>
        <w:tc>
          <w:tcPr>
            <w:tcW w:w="581" w:type="pct"/>
            <w:tcBorders>
              <w:top w:val="single" w:sz="6" w:space="0" w:color="auto"/>
            </w:tcBorders>
          </w:tcPr>
          <w:p w14:paraId="7423A568" w14:textId="77777777" w:rsidR="004D166F" w:rsidRDefault="004D166F" w:rsidP="009E7F73">
            <w:pPr>
              <w:pStyle w:val="TAC"/>
            </w:pPr>
            <w:r>
              <w:t>1</w:t>
            </w:r>
          </w:p>
        </w:tc>
        <w:tc>
          <w:tcPr>
            <w:tcW w:w="2645" w:type="pct"/>
            <w:tcBorders>
              <w:top w:val="single" w:sz="6" w:space="0" w:color="auto"/>
            </w:tcBorders>
            <w:vAlign w:val="center"/>
          </w:tcPr>
          <w:p w14:paraId="168D7E38" w14:textId="77777777" w:rsidR="004D166F" w:rsidRDefault="004D166F" w:rsidP="009E7F73">
            <w:pPr>
              <w:pStyle w:val="TAL"/>
            </w:pPr>
            <w:r>
              <w:t>Contains an alternative URI of the resource located in an alternative NWDAF (service) instance</w:t>
            </w:r>
            <w:r>
              <w:rPr>
                <w:lang w:eastAsia="fr-FR"/>
              </w:rPr>
              <w:t xml:space="preserve"> towards which the request is redirected</w:t>
            </w:r>
            <w:r>
              <w:t>.</w:t>
            </w:r>
          </w:p>
          <w:p w14:paraId="4D2FF280" w14:textId="77777777" w:rsidR="004D166F" w:rsidRDefault="004D166F" w:rsidP="009E7F73">
            <w:pPr>
              <w:pStyle w:val="TAL"/>
            </w:pPr>
          </w:p>
          <w:p w14:paraId="4376EF44" w14:textId="77777777" w:rsidR="004D166F" w:rsidRDefault="004D166F" w:rsidP="009E7F73">
            <w:pPr>
              <w:pStyle w:val="TAL"/>
            </w:pPr>
            <w:r>
              <w:t>For the case where the request is redirected to the same target via a different SCP, refer to clause 6.10.9.1 of 3GPP TS 29.500 [6].</w:t>
            </w:r>
          </w:p>
        </w:tc>
      </w:tr>
      <w:tr w:rsidR="004D166F" w14:paraId="2FC485E6" w14:textId="77777777" w:rsidTr="009E7F73">
        <w:trPr>
          <w:jc w:val="center"/>
        </w:trPr>
        <w:tc>
          <w:tcPr>
            <w:tcW w:w="1027" w:type="pct"/>
          </w:tcPr>
          <w:p w14:paraId="77C518AA" w14:textId="77777777" w:rsidR="004D166F" w:rsidRDefault="004D166F" w:rsidP="009E7F73">
            <w:pPr>
              <w:pStyle w:val="TAL"/>
            </w:pPr>
            <w:r>
              <w:rPr>
                <w:lang w:eastAsia="zh-CN"/>
              </w:rPr>
              <w:t>3gpp-Sbi-Target-Nf-Id</w:t>
            </w:r>
          </w:p>
        </w:tc>
        <w:tc>
          <w:tcPr>
            <w:tcW w:w="529" w:type="pct"/>
          </w:tcPr>
          <w:p w14:paraId="5F5016FC" w14:textId="77777777" w:rsidR="004D166F" w:rsidRDefault="004D166F" w:rsidP="009E7F73">
            <w:pPr>
              <w:pStyle w:val="TAL"/>
            </w:pPr>
            <w:r>
              <w:rPr>
                <w:lang w:eastAsia="fr-FR"/>
              </w:rPr>
              <w:t>string</w:t>
            </w:r>
          </w:p>
        </w:tc>
        <w:tc>
          <w:tcPr>
            <w:tcW w:w="217" w:type="pct"/>
          </w:tcPr>
          <w:p w14:paraId="1E8EAAAC" w14:textId="77777777" w:rsidR="004D166F" w:rsidRDefault="004D166F" w:rsidP="009E7F73">
            <w:pPr>
              <w:pStyle w:val="TAC"/>
            </w:pPr>
            <w:r>
              <w:rPr>
                <w:lang w:eastAsia="fr-FR"/>
              </w:rPr>
              <w:t>O</w:t>
            </w:r>
          </w:p>
        </w:tc>
        <w:tc>
          <w:tcPr>
            <w:tcW w:w="581" w:type="pct"/>
          </w:tcPr>
          <w:p w14:paraId="62365C41" w14:textId="77777777" w:rsidR="004D166F" w:rsidRDefault="004D166F" w:rsidP="009E7F73">
            <w:pPr>
              <w:pStyle w:val="TAC"/>
            </w:pPr>
            <w:r>
              <w:rPr>
                <w:lang w:eastAsia="fr-FR"/>
              </w:rPr>
              <w:t>0..1</w:t>
            </w:r>
          </w:p>
        </w:tc>
        <w:tc>
          <w:tcPr>
            <w:tcW w:w="2645" w:type="pct"/>
            <w:vAlign w:val="center"/>
          </w:tcPr>
          <w:p w14:paraId="5A7E064C" w14:textId="77777777" w:rsidR="004D166F" w:rsidRDefault="004D166F" w:rsidP="009E7F73">
            <w:pPr>
              <w:pStyle w:val="TAL"/>
            </w:pPr>
            <w:r>
              <w:t>Contains the i</w:t>
            </w:r>
            <w:r>
              <w:rPr>
                <w:lang w:eastAsia="fr-FR"/>
              </w:rPr>
              <w:t>dentifier of the target NWDAF (service) instance towards which the request is redirected.</w:t>
            </w:r>
          </w:p>
        </w:tc>
      </w:tr>
    </w:tbl>
    <w:p w14:paraId="21519ECD" w14:textId="77777777" w:rsidR="004D166F" w:rsidRDefault="004D166F" w:rsidP="004D166F"/>
    <w:p w14:paraId="5345D492" w14:textId="77777777" w:rsidR="004D166F" w:rsidRDefault="004D166F" w:rsidP="004D166F">
      <w:pPr>
        <w:pStyle w:val="5"/>
      </w:pPr>
      <w:bookmarkStart w:id="10377" w:name="_Toc66231866"/>
      <w:bookmarkStart w:id="10378" w:name="_Toc59017998"/>
      <w:bookmarkStart w:id="10379" w:name="_Toc34266348"/>
      <w:bookmarkStart w:id="10380" w:name="_Toc45134109"/>
      <w:bookmarkStart w:id="10381" w:name="_Toc98233752"/>
      <w:bookmarkStart w:id="10382" w:name="_Toc28012862"/>
      <w:bookmarkStart w:id="10383" w:name="_Toc114133926"/>
      <w:bookmarkStart w:id="10384" w:name="_Toc88667675"/>
      <w:bookmarkStart w:id="10385" w:name="_Toc56641030"/>
      <w:bookmarkStart w:id="10386" w:name="_Toc50032041"/>
      <w:bookmarkStart w:id="10387" w:name="_Toc43563563"/>
      <w:bookmarkStart w:id="10388" w:name="_Toc70550694"/>
      <w:bookmarkStart w:id="10389" w:name="_Toc36102519"/>
      <w:bookmarkStart w:id="10390" w:name="_Toc101244529"/>
      <w:bookmarkStart w:id="10391" w:name="_Toc83233147"/>
      <w:bookmarkStart w:id="10392" w:name="_Toc120702427"/>
      <w:bookmarkStart w:id="10393" w:name="_Toc90655960"/>
      <w:bookmarkStart w:id="10394" w:name="_Toc138754357"/>
      <w:bookmarkStart w:id="10395" w:name="_Toc85557167"/>
      <w:bookmarkStart w:id="10396" w:name="_Toc145705852"/>
      <w:bookmarkStart w:id="10397" w:name="_Toc148522762"/>
      <w:bookmarkStart w:id="10398" w:name="_Toc113031787"/>
      <w:bookmarkStart w:id="10399" w:name="_Toc94064365"/>
      <w:bookmarkStart w:id="10400" w:name="_Toc104539124"/>
      <w:bookmarkStart w:id="10401" w:name="_Toc136562523"/>
      <w:bookmarkStart w:id="10402" w:name="_Toc112951247"/>
      <w:bookmarkStart w:id="10403" w:name="_Toc68169027"/>
      <w:bookmarkStart w:id="10404" w:name="_Toc85553068"/>
      <w:bookmarkStart w:id="10405" w:name="_Toc51762961"/>
      <w:bookmarkStart w:id="10406" w:name="_Toc164920948"/>
      <w:bookmarkStart w:id="10407" w:name="_Toc170120490"/>
      <w:bookmarkStart w:id="10408" w:name="_Toc175858735"/>
      <w:bookmarkStart w:id="10409" w:name="_Toc175859808"/>
      <w:bookmarkStart w:id="10410" w:name="_Toc180606098"/>
      <w:bookmarkStart w:id="10411" w:name="_Toc185517359"/>
      <w:bookmarkStart w:id="10412" w:name="_Toc191576410"/>
      <w:bookmarkStart w:id="10413" w:name="_Toc191577150"/>
      <w:bookmarkStart w:id="10414" w:name="_Toc192880220"/>
      <w:bookmarkStart w:id="10415" w:name="_Toc195815109"/>
      <w:bookmarkStart w:id="10416" w:name="_Toc199453076"/>
      <w:r>
        <w:t>5.2.3.3.4</w:t>
      </w:r>
      <w:r>
        <w:tab/>
        <w:t>Resource Custom Operations</w:t>
      </w:r>
      <w:bookmarkEnd w:id="10412"/>
      <w:bookmarkEnd w:id="10413"/>
      <w:bookmarkEnd w:id="10414"/>
      <w:bookmarkEnd w:id="10415"/>
      <w:bookmarkEnd w:id="10416"/>
    </w:p>
    <w:p w14:paraId="38F8C46C" w14:textId="77777777" w:rsidR="004D166F" w:rsidRDefault="004D166F" w:rsidP="004D166F">
      <w:r>
        <w:t>There are no resource custom operations defined for this resource in this release of the specification.</w:t>
      </w:r>
    </w:p>
    <w:p w14:paraId="3A9445D7" w14:textId="77777777" w:rsidR="00A10B25" w:rsidRDefault="00A10B25">
      <w:pPr>
        <w:pStyle w:val="3"/>
        <w:rPr>
          <w:lang w:val="en-US"/>
        </w:rPr>
      </w:pPr>
      <w:bookmarkStart w:id="10417" w:name="_Toc191576411"/>
      <w:bookmarkStart w:id="10418" w:name="_Toc191577151"/>
      <w:bookmarkStart w:id="10419" w:name="_Toc192880221"/>
      <w:bookmarkStart w:id="10420" w:name="_Toc195815110"/>
      <w:bookmarkStart w:id="10421" w:name="_Toc199453077"/>
      <w:r>
        <w:rPr>
          <w:lang w:val="en-US"/>
        </w:rPr>
        <w:t>5.2.4</w:t>
      </w:r>
      <w:r>
        <w:rPr>
          <w:lang w:val="en-US"/>
        </w:rPr>
        <w:tab/>
        <w:t>Custom Operations without associated resources</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7"/>
      <w:bookmarkEnd w:id="10418"/>
      <w:bookmarkEnd w:id="10419"/>
      <w:bookmarkEnd w:id="10420"/>
      <w:bookmarkEnd w:id="10421"/>
    </w:p>
    <w:p w14:paraId="65482471" w14:textId="77777777" w:rsidR="004D166F" w:rsidRDefault="004D166F" w:rsidP="004D166F">
      <w:r>
        <w:t>There are no custom operations without associated resources defined for this API in this release of the specification.</w:t>
      </w:r>
    </w:p>
    <w:p w14:paraId="1BAAED00" w14:textId="77777777" w:rsidR="00A10B25" w:rsidRDefault="00A10B25">
      <w:pPr>
        <w:pStyle w:val="3"/>
        <w:rPr>
          <w:lang w:val="en-US"/>
        </w:rPr>
      </w:pPr>
      <w:bookmarkStart w:id="10422" w:name="_Toc114133927"/>
      <w:bookmarkStart w:id="10423" w:name="_Toc85553069"/>
      <w:bookmarkStart w:id="10424" w:name="_Toc70550695"/>
      <w:bookmarkStart w:id="10425" w:name="_Toc51762962"/>
      <w:bookmarkStart w:id="10426" w:name="_Toc101244530"/>
      <w:bookmarkStart w:id="10427" w:name="_Toc43563564"/>
      <w:bookmarkStart w:id="10428" w:name="_Toc90655961"/>
      <w:bookmarkStart w:id="10429" w:name="_Toc56641031"/>
      <w:bookmarkStart w:id="10430" w:name="_Toc66231867"/>
      <w:bookmarkStart w:id="10431" w:name="_Toc68169028"/>
      <w:bookmarkStart w:id="10432" w:name="_Toc120702428"/>
      <w:bookmarkStart w:id="10433" w:name="_Toc94064366"/>
      <w:bookmarkStart w:id="10434" w:name="_Toc148522763"/>
      <w:bookmarkStart w:id="10435" w:name="_Toc88667676"/>
      <w:bookmarkStart w:id="10436" w:name="_Toc50032042"/>
      <w:bookmarkStart w:id="10437" w:name="_Toc136562524"/>
      <w:bookmarkStart w:id="10438" w:name="_Toc138754358"/>
      <w:bookmarkStart w:id="10439" w:name="_Toc145705853"/>
      <w:bookmarkStart w:id="10440" w:name="_Toc34266349"/>
      <w:bookmarkStart w:id="10441" w:name="_Toc104539125"/>
      <w:bookmarkStart w:id="10442" w:name="_Toc28012863"/>
      <w:bookmarkStart w:id="10443" w:name="_Toc36102520"/>
      <w:bookmarkStart w:id="10444" w:name="_Toc45134110"/>
      <w:bookmarkStart w:id="10445" w:name="_Toc83233148"/>
      <w:bookmarkStart w:id="10446" w:name="_Toc112951248"/>
      <w:bookmarkStart w:id="10447" w:name="_Toc98233753"/>
      <w:bookmarkStart w:id="10448" w:name="_Toc59017999"/>
      <w:bookmarkStart w:id="10449" w:name="_Toc113031788"/>
      <w:bookmarkStart w:id="10450" w:name="_Toc85557168"/>
      <w:bookmarkStart w:id="10451" w:name="_Toc164920949"/>
      <w:bookmarkStart w:id="10452" w:name="_Toc170120491"/>
      <w:bookmarkStart w:id="10453" w:name="_Toc175858736"/>
      <w:bookmarkStart w:id="10454" w:name="_Toc175859809"/>
      <w:bookmarkStart w:id="10455" w:name="_Toc180606099"/>
      <w:bookmarkStart w:id="10456" w:name="_Toc185517360"/>
      <w:bookmarkStart w:id="10457" w:name="_Toc191576412"/>
      <w:bookmarkStart w:id="10458" w:name="_Toc191577152"/>
      <w:bookmarkStart w:id="10459" w:name="_Toc192880222"/>
      <w:bookmarkStart w:id="10460" w:name="_Toc195815111"/>
      <w:bookmarkStart w:id="10461" w:name="_Toc199453078"/>
      <w:r>
        <w:rPr>
          <w:lang w:val="en-US"/>
        </w:rPr>
        <w:t>5.2.5</w:t>
      </w:r>
      <w:r>
        <w:rPr>
          <w:lang w:val="en-US"/>
        </w:rPr>
        <w:tab/>
        <w:t>Notifications</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0752ECB3" w14:textId="77777777" w:rsidR="004D166F" w:rsidRDefault="004D166F" w:rsidP="004D166F">
      <w:bookmarkStart w:id="10462" w:name="_Toc88667677"/>
      <w:bookmarkStart w:id="10463" w:name="_Toc56641032"/>
      <w:bookmarkStart w:id="10464" w:name="_Toc43563565"/>
      <w:bookmarkStart w:id="10465" w:name="_Toc45134111"/>
      <w:bookmarkStart w:id="10466" w:name="_Toc66231868"/>
      <w:bookmarkStart w:id="10467" w:name="_Toc59018000"/>
      <w:bookmarkStart w:id="10468" w:name="_Toc98233754"/>
      <w:bookmarkStart w:id="10469" w:name="_Toc120702429"/>
      <w:bookmarkStart w:id="10470" w:name="_Toc28012864"/>
      <w:bookmarkStart w:id="10471" w:name="_Toc113031789"/>
      <w:bookmarkStart w:id="10472" w:name="_Toc112951249"/>
      <w:bookmarkStart w:id="10473" w:name="_Toc136562525"/>
      <w:bookmarkStart w:id="10474" w:name="_Toc34266350"/>
      <w:bookmarkStart w:id="10475" w:name="_Toc101244531"/>
      <w:bookmarkStart w:id="10476" w:name="_Toc70550696"/>
      <w:bookmarkStart w:id="10477" w:name="_Toc104539126"/>
      <w:bookmarkStart w:id="10478" w:name="_Toc90655962"/>
      <w:bookmarkStart w:id="10479" w:name="_Toc36102521"/>
      <w:bookmarkStart w:id="10480" w:name="_Toc145705854"/>
      <w:bookmarkStart w:id="10481" w:name="_Toc94064367"/>
      <w:bookmarkStart w:id="10482" w:name="_Toc85557169"/>
      <w:bookmarkStart w:id="10483" w:name="_Toc51762963"/>
      <w:bookmarkStart w:id="10484" w:name="_Toc114133928"/>
      <w:bookmarkStart w:id="10485" w:name="_Toc68169029"/>
      <w:bookmarkStart w:id="10486" w:name="_Toc148522764"/>
      <w:bookmarkStart w:id="10487" w:name="_Toc50032043"/>
      <w:bookmarkStart w:id="10488" w:name="_Toc83233149"/>
      <w:bookmarkStart w:id="10489" w:name="_Toc138754359"/>
      <w:bookmarkStart w:id="10490" w:name="_Toc85553070"/>
      <w:bookmarkStart w:id="10491" w:name="_Toc164920950"/>
      <w:bookmarkStart w:id="10492" w:name="_Toc170120492"/>
      <w:bookmarkStart w:id="10493" w:name="_Toc175858737"/>
      <w:bookmarkStart w:id="10494" w:name="_Toc175859810"/>
      <w:bookmarkStart w:id="10495" w:name="_Toc180606100"/>
      <w:bookmarkStart w:id="10496" w:name="_Toc185517361"/>
      <w:r>
        <w:t>There are no notifications defined for this API in this release of the specification.</w:t>
      </w:r>
    </w:p>
    <w:p w14:paraId="134F3E63" w14:textId="77777777" w:rsidR="00A10B25" w:rsidRDefault="00A10B25">
      <w:pPr>
        <w:pStyle w:val="3"/>
        <w:rPr>
          <w:lang w:val="en-US"/>
        </w:rPr>
      </w:pPr>
      <w:bookmarkStart w:id="10497" w:name="_Toc191576413"/>
      <w:bookmarkStart w:id="10498" w:name="_Toc191577153"/>
      <w:bookmarkStart w:id="10499" w:name="_Toc192880223"/>
      <w:bookmarkStart w:id="10500" w:name="_Toc195815112"/>
      <w:bookmarkStart w:id="10501" w:name="_Toc199453079"/>
      <w:r>
        <w:rPr>
          <w:lang w:val="en-US"/>
        </w:rPr>
        <w:t>5.2.6</w:t>
      </w:r>
      <w:r>
        <w:rPr>
          <w:lang w:val="en-US"/>
        </w:rPr>
        <w:tab/>
        <w:t>Data Model</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621907A5" w14:textId="77777777" w:rsidR="00A10B25" w:rsidRDefault="00A10B25">
      <w:pPr>
        <w:pStyle w:val="4"/>
      </w:pPr>
      <w:bookmarkStart w:id="10502" w:name="_Toc98233755"/>
      <w:bookmarkStart w:id="10503" w:name="_Toc120702430"/>
      <w:bookmarkStart w:id="10504" w:name="_Toc43563566"/>
      <w:bookmarkStart w:id="10505" w:name="_Toc59018001"/>
      <w:bookmarkStart w:id="10506" w:name="_Toc94064368"/>
      <w:bookmarkStart w:id="10507" w:name="_Toc70550697"/>
      <w:bookmarkStart w:id="10508" w:name="_Toc104539127"/>
      <w:bookmarkStart w:id="10509" w:name="_Toc36102522"/>
      <w:bookmarkStart w:id="10510" w:name="_Toc113031790"/>
      <w:bookmarkStart w:id="10511" w:name="_Toc101244532"/>
      <w:bookmarkStart w:id="10512" w:name="_Toc51762964"/>
      <w:bookmarkStart w:id="10513" w:name="_Toc88667678"/>
      <w:bookmarkStart w:id="10514" w:name="_Toc90655963"/>
      <w:bookmarkStart w:id="10515" w:name="_Toc85557170"/>
      <w:bookmarkStart w:id="10516" w:name="_Toc34266351"/>
      <w:bookmarkStart w:id="10517" w:name="_Toc83233150"/>
      <w:bookmarkStart w:id="10518" w:name="_Toc136562526"/>
      <w:bookmarkStart w:id="10519" w:name="_Toc112951250"/>
      <w:bookmarkStart w:id="10520" w:name="_Toc66231869"/>
      <w:bookmarkStart w:id="10521" w:name="_Toc114133929"/>
      <w:bookmarkStart w:id="10522" w:name="_Toc85553071"/>
      <w:bookmarkStart w:id="10523" w:name="_Toc68169030"/>
      <w:bookmarkStart w:id="10524" w:name="_Toc45134112"/>
      <w:bookmarkStart w:id="10525" w:name="_Toc50032044"/>
      <w:bookmarkStart w:id="10526" w:name="_Toc56641033"/>
      <w:bookmarkStart w:id="10527" w:name="_Toc138754360"/>
      <w:bookmarkStart w:id="10528" w:name="_Toc148522765"/>
      <w:bookmarkStart w:id="10529" w:name="_Toc145705855"/>
      <w:bookmarkStart w:id="10530" w:name="_Toc28012865"/>
      <w:bookmarkStart w:id="10531" w:name="_Toc164920951"/>
      <w:bookmarkStart w:id="10532" w:name="_Toc170120493"/>
      <w:bookmarkStart w:id="10533" w:name="_Toc175858738"/>
      <w:bookmarkStart w:id="10534" w:name="_Toc175859811"/>
      <w:bookmarkStart w:id="10535" w:name="_Toc180606101"/>
      <w:bookmarkStart w:id="10536" w:name="_Toc185517362"/>
      <w:bookmarkStart w:id="10537" w:name="_Toc191576414"/>
      <w:bookmarkStart w:id="10538" w:name="_Toc191577154"/>
      <w:bookmarkStart w:id="10539" w:name="_Toc192880224"/>
      <w:bookmarkStart w:id="10540" w:name="_Toc195815113"/>
      <w:bookmarkStart w:id="10541" w:name="_Toc199453080"/>
      <w:r>
        <w:t>5.2.6.1</w:t>
      </w:r>
      <w:r>
        <w:tab/>
        <w:t>General</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7547412B" w14:textId="77777777" w:rsidR="00A10B25" w:rsidRDefault="00A10B25">
      <w:r>
        <w:t>This clause specifies the application data model supported by the API.</w:t>
      </w:r>
    </w:p>
    <w:p w14:paraId="499C14F8" w14:textId="77777777" w:rsidR="004D166F" w:rsidRDefault="004D166F" w:rsidP="004D166F">
      <w:r>
        <w:t>Table 5.2.6.1-1 specifies the data types defined for the Nnwdaf_AnalyticsInfo service-based interface protocol.</w:t>
      </w:r>
    </w:p>
    <w:p w14:paraId="03DD3BCC" w14:textId="77777777" w:rsidR="00A10B25" w:rsidRDefault="00A10B25">
      <w:pPr>
        <w:pStyle w:val="TH"/>
      </w:pPr>
      <w:r>
        <w:lastRenderedPageBreak/>
        <w:t>Table 5.2.6.1-1: Nnwdaf_AnalyticsInfo specific Data Types</w:t>
      </w:r>
    </w:p>
    <w:tbl>
      <w:tblPr>
        <w:tblW w:w="938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7"/>
        <w:gridCol w:w="3772"/>
        <w:gridCol w:w="1082"/>
        <w:gridCol w:w="12"/>
        <w:gridCol w:w="1863"/>
        <w:gridCol w:w="12"/>
        <w:gridCol w:w="2584"/>
        <w:gridCol w:w="33"/>
      </w:tblGrid>
      <w:tr w:rsidR="00A10B25" w14:paraId="34C6BA6D" w14:textId="77777777" w:rsidTr="0076721C">
        <w:trPr>
          <w:gridAfter w:val="1"/>
          <w:wAfter w:w="33" w:type="dxa"/>
          <w:jc w:val="center"/>
        </w:trPr>
        <w:tc>
          <w:tcPr>
            <w:tcW w:w="3799" w:type="dxa"/>
            <w:gridSpan w:val="2"/>
            <w:shd w:val="clear" w:color="auto" w:fill="C0C0C0"/>
          </w:tcPr>
          <w:p w14:paraId="594BC272" w14:textId="77777777" w:rsidR="00A10B25" w:rsidRDefault="00A10B25">
            <w:pPr>
              <w:pStyle w:val="TAH"/>
            </w:pPr>
            <w:r>
              <w:lastRenderedPageBreak/>
              <w:t>Data type</w:t>
            </w:r>
          </w:p>
        </w:tc>
        <w:tc>
          <w:tcPr>
            <w:tcW w:w="1082" w:type="dxa"/>
            <w:shd w:val="clear" w:color="auto" w:fill="C0C0C0"/>
          </w:tcPr>
          <w:p w14:paraId="4A6F783D" w14:textId="77777777" w:rsidR="00A10B25" w:rsidRDefault="00A10B25">
            <w:pPr>
              <w:pStyle w:val="TAH"/>
            </w:pPr>
            <w:r>
              <w:t>Section defined</w:t>
            </w:r>
          </w:p>
        </w:tc>
        <w:tc>
          <w:tcPr>
            <w:tcW w:w="1875" w:type="dxa"/>
            <w:gridSpan w:val="2"/>
            <w:shd w:val="clear" w:color="auto" w:fill="C0C0C0"/>
          </w:tcPr>
          <w:p w14:paraId="31649A6C" w14:textId="77777777" w:rsidR="00A10B25" w:rsidRDefault="00A10B25">
            <w:pPr>
              <w:pStyle w:val="TAH"/>
            </w:pPr>
            <w:r>
              <w:t>Description</w:t>
            </w:r>
          </w:p>
        </w:tc>
        <w:tc>
          <w:tcPr>
            <w:tcW w:w="2596" w:type="dxa"/>
            <w:gridSpan w:val="2"/>
            <w:shd w:val="clear" w:color="auto" w:fill="C0C0C0"/>
          </w:tcPr>
          <w:p w14:paraId="7B84E80A" w14:textId="77777777" w:rsidR="00A10B25" w:rsidRDefault="00A10B25">
            <w:pPr>
              <w:pStyle w:val="TAH"/>
            </w:pPr>
            <w:r>
              <w:t>Applicability</w:t>
            </w:r>
          </w:p>
        </w:tc>
      </w:tr>
      <w:tr w:rsidR="00A10B25" w14:paraId="3E1755DF" w14:textId="77777777" w:rsidTr="0076721C">
        <w:trPr>
          <w:gridBefore w:val="1"/>
          <w:wBefore w:w="27" w:type="dxa"/>
          <w:jc w:val="center"/>
        </w:trPr>
        <w:tc>
          <w:tcPr>
            <w:tcW w:w="3772" w:type="dxa"/>
          </w:tcPr>
          <w:p w14:paraId="46EAA590" w14:textId="77777777" w:rsidR="00A10B25" w:rsidRDefault="00A10B25">
            <w:pPr>
              <w:pStyle w:val="TAL"/>
            </w:pPr>
            <w:r>
              <w:t>AdditionInfoAnalyticsInfoReq</w:t>
            </w:r>
            <w:r>
              <w:rPr>
                <w:lang w:eastAsia="zh-CN"/>
              </w:rPr>
              <w:t>uest</w:t>
            </w:r>
          </w:p>
        </w:tc>
        <w:tc>
          <w:tcPr>
            <w:tcW w:w="1094" w:type="dxa"/>
            <w:gridSpan w:val="2"/>
          </w:tcPr>
          <w:p w14:paraId="32DE6778" w14:textId="77777777" w:rsidR="00A10B25" w:rsidRDefault="00A10B25">
            <w:pPr>
              <w:pStyle w:val="TAL"/>
            </w:pPr>
            <w:r>
              <w:rPr>
                <w:rFonts w:hint="eastAsia"/>
                <w:lang w:eastAsia="zh-CN"/>
              </w:rPr>
              <w:t>5</w:t>
            </w:r>
            <w:r>
              <w:rPr>
                <w:lang w:eastAsia="zh-CN"/>
              </w:rPr>
              <w:t>.2.6.2.5</w:t>
            </w:r>
          </w:p>
        </w:tc>
        <w:tc>
          <w:tcPr>
            <w:tcW w:w="1875" w:type="dxa"/>
            <w:gridSpan w:val="2"/>
          </w:tcPr>
          <w:p w14:paraId="19343E7D" w14:textId="77777777" w:rsidR="00A10B25" w:rsidRDefault="00A10B25">
            <w:pPr>
              <w:pStyle w:val="TAL"/>
              <w:rPr>
                <w:rFonts w:cs="Arial"/>
                <w:szCs w:val="18"/>
              </w:rPr>
            </w:pPr>
            <w:r>
              <w:rPr>
                <w:lang w:eastAsia="zh-CN"/>
              </w:rPr>
              <w:t xml:space="preserve">Contains more details </w:t>
            </w:r>
            <w:r>
              <w:t>(not only the ProblemDetails) in case an Nnwdaf_AnalyticsInfo request is rejected.</w:t>
            </w:r>
          </w:p>
        </w:tc>
        <w:tc>
          <w:tcPr>
            <w:tcW w:w="2617" w:type="dxa"/>
            <w:gridSpan w:val="2"/>
          </w:tcPr>
          <w:p w14:paraId="044DF75D" w14:textId="77777777" w:rsidR="00A10B25" w:rsidRDefault="00A10B25">
            <w:pPr>
              <w:pStyle w:val="TAL"/>
              <w:rPr>
                <w:rFonts w:cs="Arial"/>
                <w:szCs w:val="18"/>
              </w:rPr>
            </w:pPr>
            <w:r>
              <w:rPr>
                <w:rFonts w:cs="Arial"/>
                <w:szCs w:val="18"/>
              </w:rPr>
              <w:t>EneNA</w:t>
            </w:r>
          </w:p>
        </w:tc>
      </w:tr>
      <w:tr w:rsidR="00A10B25" w14:paraId="6A042782" w14:textId="77777777" w:rsidTr="0076721C">
        <w:trPr>
          <w:gridBefore w:val="1"/>
          <w:wBefore w:w="27" w:type="dxa"/>
          <w:jc w:val="center"/>
        </w:trPr>
        <w:tc>
          <w:tcPr>
            <w:tcW w:w="3772" w:type="dxa"/>
          </w:tcPr>
          <w:p w14:paraId="20461080" w14:textId="77777777" w:rsidR="00A10B25" w:rsidRDefault="00A10B25">
            <w:pPr>
              <w:pStyle w:val="TAL"/>
            </w:pPr>
            <w:r>
              <w:t>AdrfDataType</w:t>
            </w:r>
          </w:p>
        </w:tc>
        <w:tc>
          <w:tcPr>
            <w:tcW w:w="1094" w:type="dxa"/>
            <w:gridSpan w:val="2"/>
          </w:tcPr>
          <w:p w14:paraId="3AF3B2BA" w14:textId="77777777" w:rsidR="00A10B25" w:rsidRDefault="00A10B25">
            <w:pPr>
              <w:pStyle w:val="TAL"/>
              <w:rPr>
                <w:lang w:eastAsia="zh-CN"/>
              </w:rPr>
            </w:pPr>
            <w:r>
              <w:t>5.2.6.3.5</w:t>
            </w:r>
          </w:p>
        </w:tc>
        <w:tc>
          <w:tcPr>
            <w:tcW w:w="1875" w:type="dxa"/>
            <w:gridSpan w:val="2"/>
          </w:tcPr>
          <w:p w14:paraId="321C5433" w14:textId="77777777" w:rsidR="00A10B25" w:rsidRDefault="00A10B25">
            <w:pPr>
              <w:pStyle w:val="TAL"/>
              <w:rPr>
                <w:lang w:eastAsia="zh-CN"/>
              </w:rPr>
            </w:pPr>
            <w:r>
              <w:rPr>
                <w:lang w:eastAsia="zh-CN"/>
              </w:rPr>
              <w:t>Represents a type of data that is stored in the ADRF.</w:t>
            </w:r>
          </w:p>
        </w:tc>
        <w:tc>
          <w:tcPr>
            <w:tcW w:w="2617" w:type="dxa"/>
            <w:gridSpan w:val="2"/>
          </w:tcPr>
          <w:p w14:paraId="03D6FF13" w14:textId="77777777" w:rsidR="00A10B25" w:rsidRDefault="00A10B25">
            <w:pPr>
              <w:pStyle w:val="TAL"/>
              <w:rPr>
                <w:rFonts w:cs="Arial"/>
                <w:szCs w:val="18"/>
              </w:rPr>
            </w:pPr>
            <w:r>
              <w:rPr>
                <w:rFonts w:cs="Arial"/>
                <w:szCs w:val="18"/>
              </w:rPr>
              <w:t>AnaCtxTransfer</w:t>
            </w:r>
          </w:p>
        </w:tc>
      </w:tr>
      <w:tr w:rsidR="003E1F9F" w14:paraId="39039CC8" w14:textId="77777777" w:rsidTr="0076721C">
        <w:trPr>
          <w:gridBefore w:val="1"/>
          <w:wBefore w:w="27" w:type="dxa"/>
          <w:jc w:val="center"/>
        </w:trPr>
        <w:tc>
          <w:tcPr>
            <w:tcW w:w="3772" w:type="dxa"/>
          </w:tcPr>
          <w:p w14:paraId="3C6C9B7D" w14:textId="77777777" w:rsidR="003E1F9F" w:rsidRDefault="003E1F9F" w:rsidP="003E1F9F">
            <w:pPr>
              <w:pStyle w:val="TAL"/>
            </w:pPr>
            <w:r>
              <w:t>AnalyticsAccuracyInfo</w:t>
            </w:r>
          </w:p>
        </w:tc>
        <w:tc>
          <w:tcPr>
            <w:tcW w:w="1094" w:type="dxa"/>
            <w:gridSpan w:val="2"/>
          </w:tcPr>
          <w:p w14:paraId="2D95EE84" w14:textId="77777777" w:rsidR="003E1F9F" w:rsidRDefault="003E1F9F" w:rsidP="003E1F9F">
            <w:pPr>
              <w:pStyle w:val="TAL"/>
            </w:pPr>
            <w:r>
              <w:rPr>
                <w:rFonts w:hint="eastAsia"/>
                <w:lang w:eastAsia="zh-CN"/>
              </w:rPr>
              <w:t>5</w:t>
            </w:r>
            <w:r>
              <w:rPr>
                <w:lang w:eastAsia="zh-CN"/>
              </w:rPr>
              <w:t>.2.6.2.18</w:t>
            </w:r>
          </w:p>
        </w:tc>
        <w:tc>
          <w:tcPr>
            <w:tcW w:w="1875" w:type="dxa"/>
            <w:gridSpan w:val="2"/>
          </w:tcPr>
          <w:p w14:paraId="6BEC0B34" w14:textId="77777777" w:rsidR="003E1F9F" w:rsidRDefault="003E1F9F" w:rsidP="003E1F9F">
            <w:pPr>
              <w:pStyle w:val="TAL"/>
              <w:rPr>
                <w:lang w:eastAsia="zh-CN"/>
              </w:rPr>
            </w:pPr>
            <w:r>
              <w:rPr>
                <w:lang w:eastAsia="ko-KR"/>
              </w:rPr>
              <w:t xml:space="preserve">Analytics Accuracy related information needs to </w:t>
            </w:r>
            <w:r>
              <w:rPr>
                <w:rFonts w:hint="eastAsia"/>
                <w:lang w:eastAsia="zh-CN"/>
              </w:rPr>
              <w:t>b</w:t>
            </w:r>
            <w:r>
              <w:rPr>
                <w:lang w:eastAsia="zh-CN"/>
              </w:rPr>
              <w:t>e transferred.</w:t>
            </w:r>
          </w:p>
        </w:tc>
        <w:tc>
          <w:tcPr>
            <w:tcW w:w="2617" w:type="dxa"/>
            <w:gridSpan w:val="2"/>
          </w:tcPr>
          <w:p w14:paraId="5976AE25" w14:textId="77777777" w:rsidR="003E1F9F" w:rsidRDefault="003E1F9F" w:rsidP="003E1F9F">
            <w:pPr>
              <w:pStyle w:val="TAL"/>
              <w:rPr>
                <w:rFonts w:cs="Arial"/>
                <w:szCs w:val="18"/>
              </w:rPr>
            </w:pPr>
            <w:r>
              <w:rPr>
                <w:lang w:eastAsia="zh-CN"/>
              </w:rPr>
              <w:t>EnAnaCtxTransfer</w:t>
            </w:r>
          </w:p>
        </w:tc>
      </w:tr>
      <w:tr w:rsidR="003E1F9F" w14:paraId="46A8D0CA" w14:textId="77777777" w:rsidTr="0076721C">
        <w:trPr>
          <w:gridBefore w:val="1"/>
          <w:wBefore w:w="27" w:type="dxa"/>
          <w:jc w:val="center"/>
        </w:trPr>
        <w:tc>
          <w:tcPr>
            <w:tcW w:w="3772" w:type="dxa"/>
          </w:tcPr>
          <w:p w14:paraId="5AA2683E" w14:textId="77777777" w:rsidR="003E1F9F" w:rsidRDefault="003E1F9F" w:rsidP="003E1F9F">
            <w:pPr>
              <w:pStyle w:val="TAL"/>
            </w:pPr>
            <w:r>
              <w:t>AnalyticsData</w:t>
            </w:r>
          </w:p>
        </w:tc>
        <w:tc>
          <w:tcPr>
            <w:tcW w:w="1094" w:type="dxa"/>
            <w:gridSpan w:val="2"/>
          </w:tcPr>
          <w:p w14:paraId="2385E638" w14:textId="77777777" w:rsidR="003E1F9F" w:rsidRDefault="003E1F9F" w:rsidP="003E1F9F">
            <w:pPr>
              <w:pStyle w:val="TAL"/>
              <w:rPr>
                <w:rFonts w:hint="eastAsia"/>
                <w:lang w:eastAsia="zh-CN"/>
              </w:rPr>
            </w:pPr>
            <w:r>
              <w:rPr>
                <w:rFonts w:hint="eastAsia"/>
              </w:rPr>
              <w:t>5.2.6.2.2</w:t>
            </w:r>
          </w:p>
        </w:tc>
        <w:tc>
          <w:tcPr>
            <w:tcW w:w="1875" w:type="dxa"/>
            <w:gridSpan w:val="2"/>
          </w:tcPr>
          <w:p w14:paraId="62DDC80F" w14:textId="77777777" w:rsidR="003E1F9F" w:rsidRDefault="003E1F9F" w:rsidP="003E1F9F">
            <w:pPr>
              <w:pStyle w:val="TAL"/>
              <w:rPr>
                <w:lang w:eastAsia="ko-KR"/>
              </w:rPr>
            </w:pPr>
            <w:r>
              <w:rPr>
                <w:rFonts w:cs="Arial" w:hint="eastAsia"/>
                <w:szCs w:val="18"/>
              </w:rPr>
              <w:t xml:space="preserve">Describes </w:t>
            </w:r>
            <w:r>
              <w:rPr>
                <w:rFonts w:cs="Arial"/>
                <w:szCs w:val="18"/>
              </w:rPr>
              <w:t>analytics with parameters indicated in the request.</w:t>
            </w:r>
          </w:p>
        </w:tc>
        <w:tc>
          <w:tcPr>
            <w:tcW w:w="2617" w:type="dxa"/>
            <w:gridSpan w:val="2"/>
          </w:tcPr>
          <w:p w14:paraId="7150DFDB" w14:textId="77777777" w:rsidR="003E1F9F" w:rsidRDefault="003E1F9F" w:rsidP="003E1F9F">
            <w:pPr>
              <w:pStyle w:val="TAL"/>
              <w:rPr>
                <w:lang w:eastAsia="zh-CN"/>
              </w:rPr>
            </w:pPr>
          </w:p>
        </w:tc>
      </w:tr>
      <w:tr w:rsidR="00A10B25" w14:paraId="7387F63A" w14:textId="77777777" w:rsidTr="0076721C">
        <w:trPr>
          <w:gridBefore w:val="1"/>
          <w:wBefore w:w="27" w:type="dxa"/>
          <w:jc w:val="center"/>
        </w:trPr>
        <w:tc>
          <w:tcPr>
            <w:tcW w:w="3772" w:type="dxa"/>
          </w:tcPr>
          <w:p w14:paraId="555EB584" w14:textId="77777777" w:rsidR="00A10B25" w:rsidRDefault="00A10B25">
            <w:pPr>
              <w:pStyle w:val="TAL"/>
            </w:pPr>
            <w:r>
              <w:t>ContextData</w:t>
            </w:r>
          </w:p>
        </w:tc>
        <w:tc>
          <w:tcPr>
            <w:tcW w:w="1094" w:type="dxa"/>
            <w:gridSpan w:val="2"/>
          </w:tcPr>
          <w:p w14:paraId="2D666484" w14:textId="77777777" w:rsidR="00A10B25" w:rsidRDefault="00A10B25">
            <w:pPr>
              <w:pStyle w:val="TAL"/>
            </w:pPr>
            <w:r>
              <w:t>5.2.6.2.6</w:t>
            </w:r>
          </w:p>
        </w:tc>
        <w:tc>
          <w:tcPr>
            <w:tcW w:w="1875" w:type="dxa"/>
            <w:gridSpan w:val="2"/>
          </w:tcPr>
          <w:p w14:paraId="4C2AF471" w14:textId="77777777" w:rsidR="00A10B25" w:rsidRDefault="00A10B25">
            <w:pPr>
              <w:pStyle w:val="TAL"/>
              <w:rPr>
                <w:rFonts w:cs="Arial"/>
                <w:szCs w:val="18"/>
              </w:rPr>
            </w:pPr>
            <w:r>
              <w:t>Contains context information related to analytics subscriptions corresponding with one or more context identifiers.</w:t>
            </w:r>
          </w:p>
        </w:tc>
        <w:tc>
          <w:tcPr>
            <w:tcW w:w="2617" w:type="dxa"/>
            <w:gridSpan w:val="2"/>
          </w:tcPr>
          <w:p w14:paraId="26F080BF" w14:textId="77777777" w:rsidR="00A10B25" w:rsidRDefault="00A10B25">
            <w:pPr>
              <w:pStyle w:val="TAL"/>
              <w:rPr>
                <w:rFonts w:cs="Arial"/>
                <w:szCs w:val="18"/>
              </w:rPr>
            </w:pPr>
            <w:r>
              <w:rPr>
                <w:rFonts w:cs="Arial"/>
                <w:szCs w:val="18"/>
              </w:rPr>
              <w:t>AnaCtxTransfer</w:t>
            </w:r>
          </w:p>
        </w:tc>
      </w:tr>
      <w:tr w:rsidR="00A10B25" w14:paraId="034E73ED" w14:textId="77777777" w:rsidTr="0076721C">
        <w:trPr>
          <w:gridBefore w:val="1"/>
          <w:wBefore w:w="27" w:type="dxa"/>
          <w:jc w:val="center"/>
        </w:trPr>
        <w:tc>
          <w:tcPr>
            <w:tcW w:w="3772" w:type="dxa"/>
          </w:tcPr>
          <w:p w14:paraId="41FDFCEA" w14:textId="77777777" w:rsidR="00A10B25" w:rsidRDefault="00A10B25">
            <w:pPr>
              <w:pStyle w:val="TAL"/>
            </w:pPr>
            <w:r>
              <w:t>ContextElement</w:t>
            </w:r>
          </w:p>
        </w:tc>
        <w:tc>
          <w:tcPr>
            <w:tcW w:w="1094" w:type="dxa"/>
            <w:gridSpan w:val="2"/>
          </w:tcPr>
          <w:p w14:paraId="47DC81F0" w14:textId="77777777" w:rsidR="00A10B25" w:rsidRDefault="00A10B25">
            <w:pPr>
              <w:pStyle w:val="TAL"/>
            </w:pPr>
            <w:r>
              <w:t>5.2.6.2.7</w:t>
            </w:r>
          </w:p>
        </w:tc>
        <w:tc>
          <w:tcPr>
            <w:tcW w:w="1875" w:type="dxa"/>
            <w:gridSpan w:val="2"/>
          </w:tcPr>
          <w:p w14:paraId="7171A15C" w14:textId="77777777" w:rsidR="00A10B25" w:rsidRDefault="00A10B25">
            <w:pPr>
              <w:pStyle w:val="TAL"/>
              <w:rPr>
                <w:rFonts w:cs="Arial"/>
                <w:szCs w:val="18"/>
              </w:rPr>
            </w:pPr>
            <w:r>
              <w:t>Contains context information corresponding with a specific context identifier.</w:t>
            </w:r>
          </w:p>
        </w:tc>
        <w:tc>
          <w:tcPr>
            <w:tcW w:w="2617" w:type="dxa"/>
            <w:gridSpan w:val="2"/>
          </w:tcPr>
          <w:p w14:paraId="2F484A12" w14:textId="77777777" w:rsidR="00A10B25" w:rsidRDefault="00A10B25">
            <w:pPr>
              <w:pStyle w:val="TAL"/>
              <w:rPr>
                <w:rFonts w:cs="Arial"/>
                <w:szCs w:val="18"/>
              </w:rPr>
            </w:pPr>
            <w:r>
              <w:rPr>
                <w:rFonts w:cs="Arial"/>
                <w:szCs w:val="18"/>
              </w:rPr>
              <w:t>AnaCtxTransfer</w:t>
            </w:r>
          </w:p>
        </w:tc>
      </w:tr>
      <w:tr w:rsidR="00A10B25" w14:paraId="58F8942F" w14:textId="77777777" w:rsidTr="0076721C">
        <w:trPr>
          <w:gridBefore w:val="1"/>
          <w:wBefore w:w="27" w:type="dxa"/>
          <w:jc w:val="center"/>
        </w:trPr>
        <w:tc>
          <w:tcPr>
            <w:tcW w:w="3772" w:type="dxa"/>
          </w:tcPr>
          <w:p w14:paraId="73C20756" w14:textId="77777777" w:rsidR="00A10B25" w:rsidRDefault="00A10B25">
            <w:pPr>
              <w:pStyle w:val="TAL"/>
            </w:pPr>
            <w:r>
              <w:t>ContextIdList</w:t>
            </w:r>
          </w:p>
        </w:tc>
        <w:tc>
          <w:tcPr>
            <w:tcW w:w="1094" w:type="dxa"/>
            <w:gridSpan w:val="2"/>
          </w:tcPr>
          <w:p w14:paraId="75A06FF1" w14:textId="77777777" w:rsidR="00A10B25" w:rsidRDefault="00A10B25">
            <w:pPr>
              <w:pStyle w:val="TAL"/>
            </w:pPr>
            <w:r>
              <w:t>5.2.6.2.8</w:t>
            </w:r>
          </w:p>
        </w:tc>
        <w:tc>
          <w:tcPr>
            <w:tcW w:w="1875" w:type="dxa"/>
            <w:gridSpan w:val="2"/>
          </w:tcPr>
          <w:p w14:paraId="26F37181" w14:textId="77777777" w:rsidR="00A10B25" w:rsidRDefault="00A10B25">
            <w:pPr>
              <w:pStyle w:val="TAL"/>
              <w:rPr>
                <w:rFonts w:cs="Arial"/>
                <w:szCs w:val="18"/>
              </w:rPr>
            </w:pPr>
            <w:r>
              <w:t>Contains list of context identifiers of context information of analytics subscriptions.</w:t>
            </w:r>
          </w:p>
        </w:tc>
        <w:tc>
          <w:tcPr>
            <w:tcW w:w="2617" w:type="dxa"/>
            <w:gridSpan w:val="2"/>
          </w:tcPr>
          <w:p w14:paraId="64562C91" w14:textId="77777777" w:rsidR="00A10B25" w:rsidRDefault="00A10B25">
            <w:pPr>
              <w:pStyle w:val="TAL"/>
              <w:rPr>
                <w:rFonts w:cs="Arial"/>
                <w:szCs w:val="18"/>
              </w:rPr>
            </w:pPr>
            <w:r>
              <w:rPr>
                <w:rFonts w:cs="Arial"/>
                <w:szCs w:val="18"/>
              </w:rPr>
              <w:t>AnaCtxTransfer</w:t>
            </w:r>
          </w:p>
        </w:tc>
      </w:tr>
      <w:tr w:rsidR="00542337" w14:paraId="5EE57D9F" w14:textId="77777777" w:rsidTr="0076721C">
        <w:trPr>
          <w:gridBefore w:val="1"/>
          <w:wBefore w:w="27" w:type="dxa"/>
          <w:jc w:val="center"/>
        </w:trPr>
        <w:tc>
          <w:tcPr>
            <w:tcW w:w="3772" w:type="dxa"/>
          </w:tcPr>
          <w:p w14:paraId="5359C34A" w14:textId="77777777" w:rsidR="00542337" w:rsidRDefault="00542337" w:rsidP="00542337">
            <w:pPr>
              <w:pStyle w:val="TAL"/>
            </w:pPr>
            <w:r>
              <w:t>ContextType</w:t>
            </w:r>
          </w:p>
        </w:tc>
        <w:tc>
          <w:tcPr>
            <w:tcW w:w="1094" w:type="dxa"/>
            <w:gridSpan w:val="2"/>
          </w:tcPr>
          <w:p w14:paraId="35A5BD28" w14:textId="77777777" w:rsidR="00542337" w:rsidRDefault="00542337" w:rsidP="00542337">
            <w:pPr>
              <w:pStyle w:val="TAL"/>
            </w:pPr>
            <w:r>
              <w:t>5.2.6.3.4</w:t>
            </w:r>
          </w:p>
        </w:tc>
        <w:tc>
          <w:tcPr>
            <w:tcW w:w="1875" w:type="dxa"/>
            <w:gridSpan w:val="2"/>
          </w:tcPr>
          <w:p w14:paraId="3256881D" w14:textId="77777777" w:rsidR="00542337" w:rsidRDefault="00542337" w:rsidP="00542337">
            <w:pPr>
              <w:pStyle w:val="TAL"/>
            </w:pPr>
            <w:r>
              <w:t xml:space="preserve">Identifies the type </w:t>
            </w:r>
            <w:r>
              <w:rPr>
                <w:lang w:eastAsia="ko-KR"/>
              </w:rPr>
              <w:t>of analytics context information.</w:t>
            </w:r>
          </w:p>
        </w:tc>
        <w:tc>
          <w:tcPr>
            <w:tcW w:w="2617" w:type="dxa"/>
            <w:gridSpan w:val="2"/>
          </w:tcPr>
          <w:p w14:paraId="3CB09F8B" w14:textId="77777777" w:rsidR="00542337" w:rsidRDefault="00542337" w:rsidP="00542337">
            <w:pPr>
              <w:pStyle w:val="TAL"/>
              <w:rPr>
                <w:rFonts w:cs="Arial"/>
                <w:szCs w:val="18"/>
              </w:rPr>
            </w:pPr>
            <w:r>
              <w:rPr>
                <w:rFonts w:cs="Arial"/>
                <w:szCs w:val="18"/>
              </w:rPr>
              <w:t>AnaCtxTransfer</w:t>
            </w:r>
          </w:p>
        </w:tc>
      </w:tr>
      <w:tr w:rsidR="003E1F9F" w14:paraId="76F7E65A" w14:textId="77777777" w:rsidTr="0076721C">
        <w:trPr>
          <w:gridBefore w:val="1"/>
          <w:wBefore w:w="27" w:type="dxa"/>
          <w:jc w:val="center"/>
        </w:trPr>
        <w:tc>
          <w:tcPr>
            <w:tcW w:w="3772" w:type="dxa"/>
          </w:tcPr>
          <w:p w14:paraId="25112CB5" w14:textId="77777777" w:rsidR="003E1F9F" w:rsidRDefault="003E1F9F" w:rsidP="003E1F9F">
            <w:pPr>
              <w:pStyle w:val="TAL"/>
            </w:pPr>
            <w:r>
              <w:t>EventFilter</w:t>
            </w:r>
          </w:p>
        </w:tc>
        <w:tc>
          <w:tcPr>
            <w:tcW w:w="1094" w:type="dxa"/>
            <w:gridSpan w:val="2"/>
          </w:tcPr>
          <w:p w14:paraId="1EECDD78" w14:textId="77777777" w:rsidR="003E1F9F" w:rsidRDefault="003E1F9F" w:rsidP="003E1F9F">
            <w:pPr>
              <w:pStyle w:val="TAL"/>
            </w:pPr>
            <w:r>
              <w:t>5.2.6.2.3</w:t>
            </w:r>
          </w:p>
        </w:tc>
        <w:tc>
          <w:tcPr>
            <w:tcW w:w="1875" w:type="dxa"/>
            <w:gridSpan w:val="2"/>
          </w:tcPr>
          <w:p w14:paraId="7FF90388" w14:textId="77777777" w:rsidR="003E1F9F" w:rsidRDefault="003E1F9F" w:rsidP="003E1F9F">
            <w:pPr>
              <w:pStyle w:val="TAL"/>
            </w:pPr>
            <w:r>
              <w:rPr>
                <w:lang w:eastAsia="zh-CN"/>
              </w:rPr>
              <w:t>Represents the event filters used to identify the requested analytics.</w:t>
            </w:r>
          </w:p>
        </w:tc>
        <w:tc>
          <w:tcPr>
            <w:tcW w:w="2617" w:type="dxa"/>
            <w:gridSpan w:val="2"/>
          </w:tcPr>
          <w:p w14:paraId="0F09686D" w14:textId="77777777" w:rsidR="003E1F9F" w:rsidRDefault="003E1F9F" w:rsidP="003E1F9F">
            <w:pPr>
              <w:pStyle w:val="TAL"/>
              <w:rPr>
                <w:rFonts w:cs="Arial"/>
                <w:szCs w:val="18"/>
              </w:rPr>
            </w:pPr>
          </w:p>
        </w:tc>
      </w:tr>
      <w:tr w:rsidR="003E1F9F" w14:paraId="4447516E" w14:textId="77777777" w:rsidTr="0076721C">
        <w:trPr>
          <w:gridBefore w:val="1"/>
          <w:wBefore w:w="27" w:type="dxa"/>
          <w:jc w:val="center"/>
        </w:trPr>
        <w:tc>
          <w:tcPr>
            <w:tcW w:w="3772" w:type="dxa"/>
          </w:tcPr>
          <w:p w14:paraId="1F4CF2D9" w14:textId="77777777" w:rsidR="003E1F9F" w:rsidRDefault="003E1F9F" w:rsidP="003E1F9F">
            <w:pPr>
              <w:pStyle w:val="TAL"/>
            </w:pPr>
            <w:r>
              <w:t>EventId</w:t>
            </w:r>
          </w:p>
        </w:tc>
        <w:tc>
          <w:tcPr>
            <w:tcW w:w="1094" w:type="dxa"/>
            <w:gridSpan w:val="2"/>
          </w:tcPr>
          <w:p w14:paraId="660D34E3" w14:textId="77777777" w:rsidR="003E1F9F" w:rsidRDefault="003E1F9F" w:rsidP="003E1F9F">
            <w:pPr>
              <w:pStyle w:val="TAL"/>
            </w:pPr>
            <w:r>
              <w:t>5.2.6.3.3</w:t>
            </w:r>
          </w:p>
        </w:tc>
        <w:tc>
          <w:tcPr>
            <w:tcW w:w="1875" w:type="dxa"/>
            <w:gridSpan w:val="2"/>
          </w:tcPr>
          <w:p w14:paraId="23B2E24D" w14:textId="77777777" w:rsidR="003E1F9F" w:rsidRDefault="003E1F9F" w:rsidP="003E1F9F">
            <w:pPr>
              <w:pStyle w:val="TAL"/>
            </w:pPr>
            <w:r>
              <w:rPr>
                <w:lang w:eastAsia="zh-CN"/>
              </w:rPr>
              <w:t>Describes the type of analytics.</w:t>
            </w:r>
          </w:p>
        </w:tc>
        <w:tc>
          <w:tcPr>
            <w:tcW w:w="2617" w:type="dxa"/>
            <w:gridSpan w:val="2"/>
          </w:tcPr>
          <w:p w14:paraId="20A064CA" w14:textId="77777777" w:rsidR="003E1F9F" w:rsidRDefault="003E1F9F" w:rsidP="003E1F9F">
            <w:pPr>
              <w:pStyle w:val="TAL"/>
              <w:rPr>
                <w:rFonts w:cs="Arial"/>
                <w:szCs w:val="18"/>
              </w:rPr>
            </w:pPr>
          </w:p>
        </w:tc>
      </w:tr>
      <w:tr w:rsidR="003E1F9F" w14:paraId="26427D37" w14:textId="77777777" w:rsidTr="0076721C">
        <w:trPr>
          <w:gridBefore w:val="1"/>
          <w:wBefore w:w="27" w:type="dxa"/>
          <w:jc w:val="center"/>
        </w:trPr>
        <w:tc>
          <w:tcPr>
            <w:tcW w:w="3772" w:type="dxa"/>
          </w:tcPr>
          <w:p w14:paraId="7F0BBDB4" w14:textId="77777777" w:rsidR="003E1F9F" w:rsidRDefault="003E1F9F" w:rsidP="003E1F9F">
            <w:pPr>
              <w:pStyle w:val="TAL"/>
            </w:pPr>
            <w:r>
              <w:t>GroundTruthInfo</w:t>
            </w:r>
          </w:p>
        </w:tc>
        <w:tc>
          <w:tcPr>
            <w:tcW w:w="1094" w:type="dxa"/>
            <w:gridSpan w:val="2"/>
          </w:tcPr>
          <w:p w14:paraId="00798CF1" w14:textId="77777777" w:rsidR="003E1F9F" w:rsidRDefault="003E1F9F" w:rsidP="003E1F9F">
            <w:pPr>
              <w:pStyle w:val="TAL"/>
            </w:pPr>
            <w:r>
              <w:rPr>
                <w:rFonts w:hint="eastAsia"/>
                <w:lang w:eastAsia="zh-CN"/>
              </w:rPr>
              <w:t>5</w:t>
            </w:r>
            <w:r>
              <w:rPr>
                <w:lang w:eastAsia="zh-CN"/>
              </w:rPr>
              <w:t>.2.6.2.19</w:t>
            </w:r>
          </w:p>
        </w:tc>
        <w:tc>
          <w:tcPr>
            <w:tcW w:w="1875" w:type="dxa"/>
            <w:gridSpan w:val="2"/>
          </w:tcPr>
          <w:p w14:paraId="5220B86A" w14:textId="77777777" w:rsidR="003E1F9F" w:rsidRDefault="003E1F9F" w:rsidP="003E1F9F">
            <w:pPr>
              <w:pStyle w:val="TAL"/>
              <w:rPr>
                <w:lang w:eastAsia="zh-CN"/>
              </w:rPr>
            </w:pPr>
            <w:r>
              <w:t>The ground truth information used for the accuracy information computation.</w:t>
            </w:r>
          </w:p>
        </w:tc>
        <w:tc>
          <w:tcPr>
            <w:tcW w:w="2617" w:type="dxa"/>
            <w:gridSpan w:val="2"/>
          </w:tcPr>
          <w:p w14:paraId="4C4FA38F" w14:textId="77777777" w:rsidR="003E1F9F" w:rsidRDefault="003E1F9F" w:rsidP="003E1F9F">
            <w:pPr>
              <w:pStyle w:val="TAL"/>
              <w:rPr>
                <w:rFonts w:cs="Arial"/>
                <w:szCs w:val="18"/>
              </w:rPr>
            </w:pPr>
            <w:r>
              <w:rPr>
                <w:lang w:eastAsia="zh-CN"/>
              </w:rPr>
              <w:t>EnAnaCtxTransfer</w:t>
            </w:r>
          </w:p>
        </w:tc>
      </w:tr>
      <w:tr w:rsidR="003E1F9F" w14:paraId="24F310DA" w14:textId="77777777" w:rsidTr="0076721C">
        <w:trPr>
          <w:gridBefore w:val="1"/>
          <w:wBefore w:w="27" w:type="dxa"/>
          <w:jc w:val="center"/>
        </w:trPr>
        <w:tc>
          <w:tcPr>
            <w:tcW w:w="3772" w:type="dxa"/>
          </w:tcPr>
          <w:p w14:paraId="5FCA7FC5" w14:textId="77777777" w:rsidR="003E1F9F" w:rsidRDefault="003E1F9F" w:rsidP="003E1F9F">
            <w:pPr>
              <w:pStyle w:val="TAL"/>
            </w:pPr>
            <w:r>
              <w:t>HistoricalData</w:t>
            </w:r>
          </w:p>
        </w:tc>
        <w:tc>
          <w:tcPr>
            <w:tcW w:w="1094" w:type="dxa"/>
            <w:gridSpan w:val="2"/>
          </w:tcPr>
          <w:p w14:paraId="76948BC5" w14:textId="77777777" w:rsidR="003E1F9F" w:rsidRDefault="003E1F9F" w:rsidP="003E1F9F">
            <w:pPr>
              <w:pStyle w:val="TAL"/>
            </w:pPr>
            <w:r>
              <w:t>5.2.6.2.9</w:t>
            </w:r>
          </w:p>
        </w:tc>
        <w:tc>
          <w:tcPr>
            <w:tcW w:w="1875" w:type="dxa"/>
            <w:gridSpan w:val="2"/>
          </w:tcPr>
          <w:p w14:paraId="3BC2F14A" w14:textId="77777777" w:rsidR="003E1F9F" w:rsidRDefault="003E1F9F" w:rsidP="003E1F9F">
            <w:pPr>
              <w:pStyle w:val="TAL"/>
            </w:pPr>
            <w:r>
              <w:t xml:space="preserve">Contains </w:t>
            </w:r>
            <w:r>
              <w:rPr>
                <w:lang w:eastAsia="ko-KR"/>
              </w:rPr>
              <w:t>historical data</w:t>
            </w:r>
            <w:r>
              <w:t xml:space="preserve"> related to an analytics subscription.</w:t>
            </w:r>
          </w:p>
        </w:tc>
        <w:tc>
          <w:tcPr>
            <w:tcW w:w="2617" w:type="dxa"/>
            <w:gridSpan w:val="2"/>
          </w:tcPr>
          <w:p w14:paraId="40AF6CF0" w14:textId="77777777" w:rsidR="003E1F9F" w:rsidRDefault="003E1F9F" w:rsidP="003E1F9F">
            <w:pPr>
              <w:pStyle w:val="TAL"/>
              <w:rPr>
                <w:rFonts w:cs="Arial"/>
                <w:szCs w:val="18"/>
              </w:rPr>
            </w:pPr>
            <w:r>
              <w:rPr>
                <w:rFonts w:cs="Arial"/>
                <w:szCs w:val="18"/>
              </w:rPr>
              <w:t>AnaCtxTransfer</w:t>
            </w:r>
          </w:p>
        </w:tc>
      </w:tr>
      <w:tr w:rsidR="003E1F9F" w14:paraId="1E117CB7" w14:textId="77777777" w:rsidTr="0076721C">
        <w:trPr>
          <w:gridBefore w:val="1"/>
          <w:wBefore w:w="27" w:type="dxa"/>
          <w:jc w:val="center"/>
        </w:trPr>
        <w:tc>
          <w:tcPr>
            <w:tcW w:w="3772" w:type="dxa"/>
          </w:tcPr>
          <w:p w14:paraId="1BDA309F" w14:textId="77777777" w:rsidR="003E1F9F" w:rsidRDefault="003E1F9F" w:rsidP="003E1F9F">
            <w:pPr>
              <w:pStyle w:val="TAL"/>
            </w:pPr>
            <w:r>
              <w:t>MlModelAccuracyInfo</w:t>
            </w:r>
          </w:p>
        </w:tc>
        <w:tc>
          <w:tcPr>
            <w:tcW w:w="1094" w:type="dxa"/>
            <w:gridSpan w:val="2"/>
          </w:tcPr>
          <w:p w14:paraId="1C880ACC" w14:textId="77777777" w:rsidR="003E1F9F" w:rsidRDefault="003E1F9F" w:rsidP="003E1F9F">
            <w:pPr>
              <w:pStyle w:val="TAL"/>
            </w:pPr>
            <w:r>
              <w:rPr>
                <w:rFonts w:hint="eastAsia"/>
                <w:lang w:eastAsia="zh-CN"/>
              </w:rPr>
              <w:t>5</w:t>
            </w:r>
            <w:r>
              <w:rPr>
                <w:lang w:eastAsia="zh-CN"/>
              </w:rPr>
              <w:t>.2.6.2.20</w:t>
            </w:r>
          </w:p>
        </w:tc>
        <w:tc>
          <w:tcPr>
            <w:tcW w:w="1875" w:type="dxa"/>
            <w:gridSpan w:val="2"/>
          </w:tcPr>
          <w:p w14:paraId="2A12EF14" w14:textId="77777777" w:rsidR="003E1F9F" w:rsidRDefault="003E1F9F" w:rsidP="003E1F9F">
            <w:pPr>
              <w:pStyle w:val="TAL"/>
            </w:pPr>
            <w:r>
              <w:t xml:space="preserve">The ML Model Accuracy Subscription Information needs to be </w:t>
            </w:r>
            <w:r>
              <w:rPr>
                <w:lang w:eastAsia="zh-CN"/>
              </w:rPr>
              <w:t>transferred.</w:t>
            </w:r>
          </w:p>
        </w:tc>
        <w:tc>
          <w:tcPr>
            <w:tcW w:w="2617" w:type="dxa"/>
            <w:gridSpan w:val="2"/>
          </w:tcPr>
          <w:p w14:paraId="336AAA3C" w14:textId="77777777" w:rsidR="003E1F9F" w:rsidRDefault="003E1F9F" w:rsidP="003E1F9F">
            <w:pPr>
              <w:pStyle w:val="TAL"/>
              <w:rPr>
                <w:rFonts w:cs="Arial"/>
                <w:szCs w:val="18"/>
              </w:rPr>
            </w:pPr>
            <w:r>
              <w:rPr>
                <w:lang w:eastAsia="zh-CN"/>
              </w:rPr>
              <w:t>EnAnaCtxTransfer</w:t>
            </w:r>
          </w:p>
        </w:tc>
      </w:tr>
      <w:tr w:rsidR="003E1F9F" w14:paraId="4619C2D6" w14:textId="77777777" w:rsidTr="0076721C">
        <w:trPr>
          <w:gridBefore w:val="1"/>
          <w:wBefore w:w="27" w:type="dxa"/>
          <w:jc w:val="center"/>
        </w:trPr>
        <w:tc>
          <w:tcPr>
            <w:tcW w:w="3772" w:type="dxa"/>
          </w:tcPr>
          <w:p w14:paraId="1FEA45CF" w14:textId="77777777" w:rsidR="003E1F9F" w:rsidRDefault="003E1F9F" w:rsidP="003E1F9F">
            <w:pPr>
              <w:pStyle w:val="TAL"/>
            </w:pPr>
            <w:r>
              <w:t>NetworkPerfReq</w:t>
            </w:r>
          </w:p>
        </w:tc>
        <w:tc>
          <w:tcPr>
            <w:tcW w:w="1094" w:type="dxa"/>
            <w:gridSpan w:val="2"/>
          </w:tcPr>
          <w:p w14:paraId="7984DB0E" w14:textId="77777777" w:rsidR="003E1F9F" w:rsidRDefault="003E1F9F" w:rsidP="003E1F9F">
            <w:pPr>
              <w:pStyle w:val="TAL"/>
            </w:pPr>
            <w:r>
              <w:t>5.2.6.2.16</w:t>
            </w:r>
          </w:p>
        </w:tc>
        <w:tc>
          <w:tcPr>
            <w:tcW w:w="1875" w:type="dxa"/>
            <w:gridSpan w:val="2"/>
          </w:tcPr>
          <w:p w14:paraId="78D4A583" w14:textId="77777777" w:rsidR="003E1F9F" w:rsidRDefault="003E1F9F" w:rsidP="003E1F9F">
            <w:pPr>
              <w:pStyle w:val="TAL"/>
            </w:pPr>
            <w:r>
              <w:rPr>
                <w:lang w:eastAsia="zh-CN"/>
              </w:rPr>
              <w:t>Represents a network performance requirement.</w:t>
            </w:r>
          </w:p>
        </w:tc>
        <w:tc>
          <w:tcPr>
            <w:tcW w:w="2617" w:type="dxa"/>
            <w:gridSpan w:val="2"/>
          </w:tcPr>
          <w:p w14:paraId="10DE957E" w14:textId="77777777" w:rsidR="003E1F9F" w:rsidRDefault="003E1F9F" w:rsidP="003E1F9F">
            <w:pPr>
              <w:pStyle w:val="TAL"/>
              <w:rPr>
                <w:rFonts w:cs="Arial"/>
                <w:szCs w:val="18"/>
              </w:rPr>
            </w:pPr>
            <w:r>
              <w:t>NetworkPerformanceExt_eNA</w:t>
            </w:r>
          </w:p>
        </w:tc>
      </w:tr>
      <w:tr w:rsidR="003E1F9F" w14:paraId="479C9689" w14:textId="77777777" w:rsidTr="0076721C">
        <w:trPr>
          <w:gridBefore w:val="1"/>
          <w:wBefore w:w="27" w:type="dxa"/>
          <w:jc w:val="center"/>
        </w:trPr>
        <w:tc>
          <w:tcPr>
            <w:tcW w:w="3772" w:type="dxa"/>
          </w:tcPr>
          <w:p w14:paraId="65547131" w14:textId="77777777" w:rsidR="003E1F9F" w:rsidRDefault="003E1F9F" w:rsidP="003E1F9F">
            <w:pPr>
              <w:pStyle w:val="TAL"/>
            </w:pPr>
            <w:r>
              <w:t>ProblemDetailsAnalyticsInfoRequest</w:t>
            </w:r>
          </w:p>
        </w:tc>
        <w:tc>
          <w:tcPr>
            <w:tcW w:w="1094" w:type="dxa"/>
            <w:gridSpan w:val="2"/>
          </w:tcPr>
          <w:p w14:paraId="738762C1" w14:textId="77777777" w:rsidR="003E1F9F" w:rsidRDefault="003E1F9F" w:rsidP="003E1F9F">
            <w:pPr>
              <w:pStyle w:val="TAL"/>
            </w:pPr>
            <w:r>
              <w:t>5.2.6.4.1</w:t>
            </w:r>
          </w:p>
        </w:tc>
        <w:tc>
          <w:tcPr>
            <w:tcW w:w="1875" w:type="dxa"/>
            <w:gridSpan w:val="2"/>
          </w:tcPr>
          <w:p w14:paraId="2BE46CEB" w14:textId="77777777" w:rsidR="003E1F9F" w:rsidRDefault="003E1F9F" w:rsidP="003E1F9F">
            <w:pPr>
              <w:pStyle w:val="TAL"/>
            </w:pPr>
            <w:r>
              <w:rPr>
                <w:rFonts w:cs="Arial"/>
                <w:szCs w:val="18"/>
              </w:rPr>
              <w:t>Data type that extends ProblemDetails.</w:t>
            </w:r>
          </w:p>
        </w:tc>
        <w:tc>
          <w:tcPr>
            <w:tcW w:w="2617" w:type="dxa"/>
            <w:gridSpan w:val="2"/>
          </w:tcPr>
          <w:p w14:paraId="75332EF0" w14:textId="77777777" w:rsidR="003E1F9F" w:rsidRDefault="003E1F9F" w:rsidP="003E1F9F">
            <w:pPr>
              <w:pStyle w:val="TAL"/>
              <w:rPr>
                <w:rFonts w:cs="Arial"/>
                <w:szCs w:val="18"/>
              </w:rPr>
            </w:pPr>
            <w:r>
              <w:rPr>
                <w:rFonts w:cs="Arial"/>
                <w:szCs w:val="18"/>
              </w:rPr>
              <w:t>EneNA</w:t>
            </w:r>
          </w:p>
        </w:tc>
      </w:tr>
      <w:tr w:rsidR="00A10B25" w14:paraId="4221E2DB" w14:textId="77777777" w:rsidTr="0076721C">
        <w:trPr>
          <w:gridBefore w:val="1"/>
          <w:wBefore w:w="27" w:type="dxa"/>
          <w:jc w:val="center"/>
        </w:trPr>
        <w:tc>
          <w:tcPr>
            <w:tcW w:w="3772" w:type="dxa"/>
          </w:tcPr>
          <w:p w14:paraId="5D47EE98" w14:textId="77777777" w:rsidR="00A10B25" w:rsidRDefault="00A10B25">
            <w:pPr>
              <w:pStyle w:val="TAL"/>
            </w:pPr>
            <w:r>
              <w:lastRenderedPageBreak/>
              <w:t>RequestedContext</w:t>
            </w:r>
          </w:p>
        </w:tc>
        <w:tc>
          <w:tcPr>
            <w:tcW w:w="1094" w:type="dxa"/>
            <w:gridSpan w:val="2"/>
          </w:tcPr>
          <w:p w14:paraId="2B991B7B" w14:textId="77777777" w:rsidR="00A10B25" w:rsidRDefault="00A10B25">
            <w:pPr>
              <w:pStyle w:val="TAL"/>
            </w:pPr>
            <w:r>
              <w:t>5.2.6.2.11</w:t>
            </w:r>
          </w:p>
        </w:tc>
        <w:tc>
          <w:tcPr>
            <w:tcW w:w="1875" w:type="dxa"/>
            <w:gridSpan w:val="2"/>
          </w:tcPr>
          <w:p w14:paraId="2BC0047E" w14:textId="77777777" w:rsidR="00A10B25" w:rsidRDefault="00A10B25">
            <w:pPr>
              <w:pStyle w:val="TAL"/>
              <w:rPr>
                <w:rFonts w:cs="Arial"/>
                <w:szCs w:val="18"/>
              </w:rPr>
            </w:pPr>
            <w:r>
              <w:t xml:space="preserve">Contains types </w:t>
            </w:r>
            <w:r>
              <w:rPr>
                <w:lang w:eastAsia="ko-KR"/>
              </w:rPr>
              <w:t>of analytics context information.</w:t>
            </w:r>
          </w:p>
        </w:tc>
        <w:tc>
          <w:tcPr>
            <w:tcW w:w="2617" w:type="dxa"/>
            <w:gridSpan w:val="2"/>
          </w:tcPr>
          <w:p w14:paraId="00792234" w14:textId="77777777" w:rsidR="00A10B25" w:rsidRDefault="00A10B25">
            <w:pPr>
              <w:pStyle w:val="TAL"/>
              <w:rPr>
                <w:rFonts w:cs="Arial"/>
                <w:szCs w:val="18"/>
              </w:rPr>
            </w:pPr>
            <w:r>
              <w:rPr>
                <w:rFonts w:cs="Arial"/>
                <w:szCs w:val="18"/>
              </w:rPr>
              <w:t>AnaCtxTransfer</w:t>
            </w:r>
          </w:p>
        </w:tc>
      </w:tr>
      <w:tr w:rsidR="00A10B25" w14:paraId="7002D1F3" w14:textId="77777777" w:rsidTr="0076721C">
        <w:trPr>
          <w:gridBefore w:val="1"/>
          <w:wBefore w:w="27" w:type="dxa"/>
          <w:jc w:val="center"/>
        </w:trPr>
        <w:tc>
          <w:tcPr>
            <w:tcW w:w="3772" w:type="dxa"/>
          </w:tcPr>
          <w:p w14:paraId="2908CDB8" w14:textId="77777777" w:rsidR="00A10B25" w:rsidRDefault="00A10B25">
            <w:pPr>
              <w:pStyle w:val="TAL"/>
            </w:pPr>
            <w:r>
              <w:rPr>
                <w:lang w:eastAsia="zh-CN"/>
              </w:rPr>
              <w:t>ResourceUsageRequPerNwPerfType</w:t>
            </w:r>
          </w:p>
        </w:tc>
        <w:tc>
          <w:tcPr>
            <w:tcW w:w="1094" w:type="dxa"/>
            <w:gridSpan w:val="2"/>
          </w:tcPr>
          <w:p w14:paraId="51C8C8D6" w14:textId="77777777" w:rsidR="00A10B25" w:rsidRDefault="00A10B25">
            <w:pPr>
              <w:pStyle w:val="TAL"/>
            </w:pPr>
            <w:r>
              <w:t>5.2.6.2.17</w:t>
            </w:r>
          </w:p>
        </w:tc>
        <w:tc>
          <w:tcPr>
            <w:tcW w:w="1875" w:type="dxa"/>
            <w:gridSpan w:val="2"/>
          </w:tcPr>
          <w:p w14:paraId="1ECD8E0A" w14:textId="77777777" w:rsidR="00A10B25" w:rsidRDefault="00A10B25">
            <w:pPr>
              <w:pStyle w:val="TAL"/>
            </w:pPr>
            <w:r>
              <w:rPr>
                <w:lang w:eastAsia="zh-CN"/>
              </w:rPr>
              <w:t>Indicates more requirements per network performance type when providing resource usage information for network performance.</w:t>
            </w:r>
          </w:p>
        </w:tc>
        <w:tc>
          <w:tcPr>
            <w:tcW w:w="2617" w:type="dxa"/>
            <w:gridSpan w:val="2"/>
          </w:tcPr>
          <w:p w14:paraId="4ECED65F" w14:textId="77777777" w:rsidR="00A10B25" w:rsidRDefault="00A10B25">
            <w:pPr>
              <w:pStyle w:val="TAL"/>
              <w:rPr>
                <w:rFonts w:cs="Arial"/>
                <w:szCs w:val="18"/>
              </w:rPr>
            </w:pPr>
            <w:r>
              <w:t>NetworkPerformance</w:t>
            </w:r>
            <w:r>
              <w:rPr>
                <w:lang w:eastAsia="zh-CN"/>
              </w:rPr>
              <w:t>Ext_AIML</w:t>
            </w:r>
          </w:p>
        </w:tc>
      </w:tr>
      <w:tr w:rsidR="00A10B25" w14:paraId="4CE8E7B9" w14:textId="77777777" w:rsidTr="0076721C">
        <w:trPr>
          <w:gridBefore w:val="1"/>
          <w:wBefore w:w="27" w:type="dxa"/>
          <w:jc w:val="center"/>
        </w:trPr>
        <w:tc>
          <w:tcPr>
            <w:tcW w:w="3772" w:type="dxa"/>
          </w:tcPr>
          <w:p w14:paraId="373D5682" w14:textId="77777777" w:rsidR="00A10B25" w:rsidRDefault="00A10B25">
            <w:pPr>
              <w:pStyle w:val="TAL"/>
            </w:pPr>
            <w:r>
              <w:t>SmcceInfo</w:t>
            </w:r>
          </w:p>
        </w:tc>
        <w:tc>
          <w:tcPr>
            <w:tcW w:w="1094" w:type="dxa"/>
            <w:gridSpan w:val="2"/>
          </w:tcPr>
          <w:p w14:paraId="472C7D30" w14:textId="77777777" w:rsidR="00A10B25" w:rsidRDefault="00A10B25">
            <w:pPr>
              <w:pStyle w:val="TAL"/>
            </w:pPr>
            <w:r>
              <w:rPr>
                <w:rFonts w:hint="eastAsia"/>
                <w:lang w:eastAsia="ko-KR"/>
              </w:rPr>
              <w:t>5.2.6.2.12</w:t>
            </w:r>
          </w:p>
        </w:tc>
        <w:tc>
          <w:tcPr>
            <w:tcW w:w="1875" w:type="dxa"/>
            <w:gridSpan w:val="2"/>
          </w:tcPr>
          <w:p w14:paraId="10CB6A9D" w14:textId="77777777" w:rsidR="00A10B25" w:rsidRDefault="00A10B25">
            <w:pPr>
              <w:pStyle w:val="TAL"/>
              <w:rPr>
                <w:lang w:eastAsia="zh-CN"/>
              </w:rPr>
            </w:pPr>
            <w:r>
              <w:rPr>
                <w:lang w:val="en-US"/>
              </w:rPr>
              <w:t>Represents the analytics of Session Management congestion control experience information.</w:t>
            </w:r>
          </w:p>
        </w:tc>
        <w:tc>
          <w:tcPr>
            <w:tcW w:w="2617" w:type="dxa"/>
            <w:gridSpan w:val="2"/>
          </w:tcPr>
          <w:p w14:paraId="66C5CA25" w14:textId="77777777" w:rsidR="00A10B25" w:rsidRDefault="00A10B25">
            <w:pPr>
              <w:pStyle w:val="TAL"/>
              <w:rPr>
                <w:rFonts w:cs="Arial"/>
                <w:szCs w:val="18"/>
              </w:rPr>
            </w:pPr>
            <w:r>
              <w:rPr>
                <w:rFonts w:hint="eastAsia"/>
                <w:lang w:eastAsia="zh-CN"/>
              </w:rPr>
              <w:t>S</w:t>
            </w:r>
            <w:r>
              <w:rPr>
                <w:lang w:eastAsia="zh-CN"/>
              </w:rPr>
              <w:t>MCCE</w:t>
            </w:r>
          </w:p>
        </w:tc>
      </w:tr>
      <w:tr w:rsidR="00A10B25" w14:paraId="331C7D27" w14:textId="77777777" w:rsidTr="0076721C">
        <w:trPr>
          <w:gridBefore w:val="1"/>
          <w:wBefore w:w="27" w:type="dxa"/>
          <w:jc w:val="center"/>
        </w:trPr>
        <w:tc>
          <w:tcPr>
            <w:tcW w:w="3772" w:type="dxa"/>
          </w:tcPr>
          <w:p w14:paraId="1E0E8ED5" w14:textId="77777777" w:rsidR="00A10B25" w:rsidRDefault="00A10B25">
            <w:pPr>
              <w:pStyle w:val="TAL"/>
            </w:pPr>
            <w:r>
              <w:t>SmcceUeList</w:t>
            </w:r>
          </w:p>
        </w:tc>
        <w:tc>
          <w:tcPr>
            <w:tcW w:w="1094" w:type="dxa"/>
            <w:gridSpan w:val="2"/>
          </w:tcPr>
          <w:p w14:paraId="2F8A4710" w14:textId="77777777" w:rsidR="00A10B25" w:rsidRDefault="00A10B25">
            <w:pPr>
              <w:pStyle w:val="TAL"/>
              <w:rPr>
                <w:rFonts w:hint="eastAsia"/>
                <w:lang w:eastAsia="ko-KR"/>
              </w:rPr>
            </w:pPr>
            <w:r>
              <w:rPr>
                <w:lang w:eastAsia="ko-KR"/>
              </w:rPr>
              <w:t>5.2.6.2.13</w:t>
            </w:r>
          </w:p>
        </w:tc>
        <w:tc>
          <w:tcPr>
            <w:tcW w:w="1875" w:type="dxa"/>
            <w:gridSpan w:val="2"/>
          </w:tcPr>
          <w:p w14:paraId="66D507CD" w14:textId="77777777" w:rsidR="00A10B25" w:rsidRDefault="00A10B25">
            <w:pPr>
              <w:pStyle w:val="TAL"/>
              <w:rPr>
                <w:lang w:val="en-US"/>
              </w:rPr>
            </w:pPr>
            <w:r>
              <w:t xml:space="preserve">Represents the </w:t>
            </w:r>
            <w:r>
              <w:rPr>
                <w:lang w:eastAsia="ko-KR"/>
              </w:rPr>
              <w:t xml:space="preserve">List of UEs classified based on </w:t>
            </w:r>
            <w:r>
              <w:t xml:space="preserve">experience level of </w:t>
            </w:r>
            <w:r>
              <w:rPr>
                <w:lang w:eastAsia="ko-KR"/>
              </w:rPr>
              <w:t>Session Management congestion control.</w:t>
            </w:r>
          </w:p>
        </w:tc>
        <w:tc>
          <w:tcPr>
            <w:tcW w:w="2617" w:type="dxa"/>
            <w:gridSpan w:val="2"/>
          </w:tcPr>
          <w:p w14:paraId="15993F42" w14:textId="77777777" w:rsidR="00A10B25" w:rsidRDefault="00A10B25">
            <w:pPr>
              <w:pStyle w:val="TAL"/>
              <w:rPr>
                <w:rFonts w:hint="eastAsia"/>
                <w:lang w:eastAsia="zh-CN"/>
              </w:rPr>
            </w:pPr>
            <w:r>
              <w:rPr>
                <w:lang w:eastAsia="zh-CN"/>
              </w:rPr>
              <w:t>SMCCE</w:t>
            </w:r>
          </w:p>
        </w:tc>
      </w:tr>
      <w:tr w:rsidR="00A10B25" w14:paraId="75DFEB06" w14:textId="77777777" w:rsidTr="0076721C">
        <w:trPr>
          <w:gridBefore w:val="1"/>
          <w:wBefore w:w="27" w:type="dxa"/>
          <w:jc w:val="center"/>
        </w:trPr>
        <w:tc>
          <w:tcPr>
            <w:tcW w:w="3772" w:type="dxa"/>
          </w:tcPr>
          <w:p w14:paraId="66FA0128" w14:textId="77777777" w:rsidR="00A10B25" w:rsidRDefault="00A10B25">
            <w:pPr>
              <w:pStyle w:val="TAL"/>
            </w:pPr>
            <w:r>
              <w:t>SpecificAnalyticsSubscription</w:t>
            </w:r>
          </w:p>
        </w:tc>
        <w:tc>
          <w:tcPr>
            <w:tcW w:w="1094" w:type="dxa"/>
            <w:gridSpan w:val="2"/>
          </w:tcPr>
          <w:p w14:paraId="200B3A05" w14:textId="77777777" w:rsidR="00A10B25" w:rsidRDefault="00A10B25">
            <w:pPr>
              <w:pStyle w:val="TAL"/>
            </w:pPr>
            <w:r>
              <w:t>5.2.6.2.10</w:t>
            </w:r>
          </w:p>
        </w:tc>
        <w:tc>
          <w:tcPr>
            <w:tcW w:w="1875" w:type="dxa"/>
            <w:gridSpan w:val="2"/>
          </w:tcPr>
          <w:p w14:paraId="69BD872A" w14:textId="77777777" w:rsidR="00A10B25" w:rsidRDefault="00A10B25">
            <w:pPr>
              <w:pStyle w:val="TAL"/>
              <w:rPr>
                <w:rFonts w:cs="Arial"/>
                <w:szCs w:val="18"/>
              </w:rPr>
            </w:pPr>
            <w:r>
              <w:rPr>
                <w:lang w:eastAsia="zh-CN"/>
              </w:rPr>
              <w:t>Represents an existing subscription for a specific type of analytics to a specific NWDAF.</w:t>
            </w:r>
          </w:p>
        </w:tc>
        <w:tc>
          <w:tcPr>
            <w:tcW w:w="2617" w:type="dxa"/>
            <w:gridSpan w:val="2"/>
          </w:tcPr>
          <w:p w14:paraId="26F73CB0" w14:textId="77777777" w:rsidR="00A10B25" w:rsidRDefault="00A10B25">
            <w:pPr>
              <w:pStyle w:val="TAL"/>
              <w:rPr>
                <w:rFonts w:cs="Arial"/>
                <w:szCs w:val="18"/>
              </w:rPr>
            </w:pPr>
            <w:r>
              <w:rPr>
                <w:rFonts w:cs="Arial"/>
                <w:szCs w:val="18"/>
              </w:rPr>
              <w:t>AnaCtxTransfer</w:t>
            </w:r>
          </w:p>
        </w:tc>
      </w:tr>
      <w:tr w:rsidR="00A10B25" w14:paraId="02F274D8" w14:textId="77777777" w:rsidTr="0076721C">
        <w:trPr>
          <w:gridBefore w:val="1"/>
          <w:wBefore w:w="27" w:type="dxa"/>
          <w:jc w:val="center"/>
        </w:trPr>
        <w:tc>
          <w:tcPr>
            <w:tcW w:w="3772" w:type="dxa"/>
          </w:tcPr>
          <w:p w14:paraId="2A484323" w14:textId="77777777" w:rsidR="00A10B25" w:rsidRDefault="00A10B25">
            <w:pPr>
              <w:pStyle w:val="TAL"/>
            </w:pPr>
            <w:r>
              <w:t>SpecificDataSubscription</w:t>
            </w:r>
          </w:p>
        </w:tc>
        <w:tc>
          <w:tcPr>
            <w:tcW w:w="1094" w:type="dxa"/>
            <w:gridSpan w:val="2"/>
          </w:tcPr>
          <w:p w14:paraId="3144563B" w14:textId="77777777" w:rsidR="00A10B25" w:rsidRDefault="00A10B25">
            <w:pPr>
              <w:pStyle w:val="TAL"/>
            </w:pPr>
            <w:r>
              <w:t>5.2.6.2.14</w:t>
            </w:r>
          </w:p>
        </w:tc>
        <w:tc>
          <w:tcPr>
            <w:tcW w:w="1875" w:type="dxa"/>
            <w:gridSpan w:val="2"/>
          </w:tcPr>
          <w:p w14:paraId="25ACD7F9" w14:textId="77777777" w:rsidR="00A10B25" w:rsidRDefault="00A10B25">
            <w:pPr>
              <w:pStyle w:val="TAL"/>
              <w:rPr>
                <w:lang w:eastAsia="zh-CN"/>
              </w:rPr>
            </w:pPr>
            <w:r>
              <w:rPr>
                <w:lang w:eastAsia="zh-CN"/>
              </w:rPr>
              <w:t>Represents an existing data collection subscription to a specific data source NF.</w:t>
            </w:r>
          </w:p>
        </w:tc>
        <w:tc>
          <w:tcPr>
            <w:tcW w:w="2617" w:type="dxa"/>
            <w:gridSpan w:val="2"/>
          </w:tcPr>
          <w:p w14:paraId="72E62A52" w14:textId="77777777" w:rsidR="00A10B25" w:rsidRDefault="00A10B25">
            <w:pPr>
              <w:pStyle w:val="TAL"/>
              <w:rPr>
                <w:rFonts w:cs="Arial"/>
                <w:szCs w:val="18"/>
              </w:rPr>
            </w:pPr>
            <w:r>
              <w:rPr>
                <w:rFonts w:cs="Arial"/>
                <w:szCs w:val="18"/>
              </w:rPr>
              <w:t>AnaCtxTransfer</w:t>
            </w:r>
          </w:p>
        </w:tc>
      </w:tr>
      <w:tr w:rsidR="00A10B25" w14:paraId="439E003C" w14:textId="77777777" w:rsidTr="0076721C">
        <w:trPr>
          <w:gridBefore w:val="1"/>
          <w:wBefore w:w="27" w:type="dxa"/>
          <w:jc w:val="center"/>
        </w:trPr>
        <w:tc>
          <w:tcPr>
            <w:tcW w:w="3772" w:type="dxa"/>
          </w:tcPr>
          <w:p w14:paraId="2A79290F" w14:textId="77777777" w:rsidR="00A10B25" w:rsidRDefault="00A10B25">
            <w:pPr>
              <w:pStyle w:val="TAL"/>
            </w:pPr>
            <w:r>
              <w:t>UserDataCongestReq</w:t>
            </w:r>
          </w:p>
        </w:tc>
        <w:tc>
          <w:tcPr>
            <w:tcW w:w="1094" w:type="dxa"/>
            <w:gridSpan w:val="2"/>
          </w:tcPr>
          <w:p w14:paraId="0528ECD6" w14:textId="77777777" w:rsidR="00A10B25" w:rsidRDefault="00A10B25">
            <w:pPr>
              <w:pStyle w:val="TAL"/>
            </w:pPr>
            <w:r>
              <w:t>5.2.6.2.15</w:t>
            </w:r>
          </w:p>
        </w:tc>
        <w:tc>
          <w:tcPr>
            <w:tcW w:w="1875" w:type="dxa"/>
            <w:gridSpan w:val="2"/>
          </w:tcPr>
          <w:p w14:paraId="0E1283B2" w14:textId="77777777" w:rsidR="00A10B25" w:rsidRDefault="00A10B25">
            <w:pPr>
              <w:pStyle w:val="TAL"/>
              <w:rPr>
                <w:lang w:eastAsia="zh-CN"/>
              </w:rPr>
            </w:pPr>
            <w:r>
              <w:rPr>
                <w:lang w:eastAsia="zh-CN"/>
              </w:rPr>
              <w:t>Represents the user data congestion requirements.</w:t>
            </w:r>
          </w:p>
        </w:tc>
        <w:tc>
          <w:tcPr>
            <w:tcW w:w="2617" w:type="dxa"/>
            <w:gridSpan w:val="2"/>
          </w:tcPr>
          <w:p w14:paraId="7752EEBF" w14:textId="77777777" w:rsidR="00A10B25" w:rsidRDefault="00A10B25">
            <w:pPr>
              <w:pStyle w:val="TAL"/>
              <w:rPr>
                <w:rFonts w:cs="Arial"/>
                <w:szCs w:val="18"/>
              </w:rPr>
            </w:pPr>
            <w:r>
              <w:t>UserDataCongestionExt2_eNA</w:t>
            </w:r>
          </w:p>
        </w:tc>
      </w:tr>
    </w:tbl>
    <w:p w14:paraId="1F7BD88A" w14:textId="77777777" w:rsidR="00A10B25" w:rsidRDefault="00A10B25"/>
    <w:p w14:paraId="6D2ED855" w14:textId="77777777" w:rsidR="00A10B25" w:rsidRDefault="00A10B25">
      <w:r>
        <w:t>Table 5.2.6.1-2 specifies data types re-used by the Nnwdaf_AnalyticsInfo service based interface protocol from other specifications, including a reference to their respective specifications and when needed, a short description of their use within the Nnwdaf service based interface.</w:t>
      </w:r>
    </w:p>
    <w:p w14:paraId="392E298B" w14:textId="77777777" w:rsidR="00A10B25" w:rsidRDefault="00A10B25">
      <w:r>
        <w:t>Re-used data types of clause 5.1.6 refer here to requests instead of subscriptions.</w:t>
      </w:r>
    </w:p>
    <w:p w14:paraId="3AFC8C4B" w14:textId="77777777" w:rsidR="00E06B31" w:rsidRDefault="00E06B31" w:rsidP="00E06B31">
      <w:pPr>
        <w:pStyle w:val="TH"/>
      </w:pPr>
      <w:bookmarkStart w:id="10542" w:name="_Toc51762965"/>
      <w:bookmarkStart w:id="10543" w:name="_Toc83233151"/>
      <w:bookmarkStart w:id="10544" w:name="_Toc56641034"/>
      <w:bookmarkStart w:id="10545" w:name="_Toc113031791"/>
      <w:bookmarkStart w:id="10546" w:name="_Toc138754361"/>
      <w:bookmarkStart w:id="10547" w:name="_Toc94064369"/>
      <w:bookmarkStart w:id="10548" w:name="_Toc45134113"/>
      <w:bookmarkStart w:id="10549" w:name="_Toc68169031"/>
      <w:bookmarkStart w:id="10550" w:name="_Toc88667679"/>
      <w:bookmarkStart w:id="10551" w:name="_Toc145705856"/>
      <w:bookmarkStart w:id="10552" w:name="_Toc59018002"/>
      <w:bookmarkStart w:id="10553" w:name="_Toc85553072"/>
      <w:bookmarkStart w:id="10554" w:name="_Toc70550698"/>
      <w:bookmarkStart w:id="10555" w:name="_Toc50032045"/>
      <w:bookmarkStart w:id="10556" w:name="_Toc114133930"/>
      <w:bookmarkStart w:id="10557" w:name="_Toc90655964"/>
      <w:bookmarkStart w:id="10558" w:name="_Toc85557171"/>
      <w:bookmarkStart w:id="10559" w:name="_Toc66231870"/>
      <w:bookmarkStart w:id="10560" w:name="_Toc120702431"/>
      <w:bookmarkStart w:id="10561" w:name="_Toc36102523"/>
      <w:bookmarkStart w:id="10562" w:name="_Toc101244533"/>
      <w:bookmarkStart w:id="10563" w:name="_Toc28012866"/>
      <w:bookmarkStart w:id="10564" w:name="_Toc98233756"/>
      <w:bookmarkStart w:id="10565" w:name="_Toc43563567"/>
      <w:bookmarkStart w:id="10566" w:name="_Toc34266352"/>
      <w:bookmarkStart w:id="10567" w:name="_Toc148522766"/>
      <w:bookmarkStart w:id="10568" w:name="_Toc112951251"/>
      <w:bookmarkStart w:id="10569" w:name="_Toc136562527"/>
      <w:bookmarkStart w:id="10570" w:name="_Toc104539128"/>
      <w:r>
        <w:lastRenderedPageBreak/>
        <w:t>Table 5.2.6.1-2: Nnwdaf_AnalyticsInfo re-used Data Types</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778"/>
        <w:gridCol w:w="1849"/>
        <w:gridCol w:w="2089"/>
        <w:gridCol w:w="2632"/>
      </w:tblGrid>
      <w:tr w:rsidR="00E06B31" w14:paraId="5A4AF26A" w14:textId="77777777" w:rsidTr="008867D9">
        <w:trPr>
          <w:jc w:val="center"/>
        </w:trPr>
        <w:tc>
          <w:tcPr>
            <w:tcW w:w="2778" w:type="dxa"/>
            <w:shd w:val="clear" w:color="auto" w:fill="C0C0C0"/>
          </w:tcPr>
          <w:p w14:paraId="059EE813" w14:textId="77777777" w:rsidR="00E06B31" w:rsidRDefault="00E06B31" w:rsidP="008867D9">
            <w:pPr>
              <w:pStyle w:val="TAH"/>
            </w:pPr>
            <w:r>
              <w:lastRenderedPageBreak/>
              <w:t>Data type</w:t>
            </w:r>
          </w:p>
        </w:tc>
        <w:tc>
          <w:tcPr>
            <w:tcW w:w="1849" w:type="dxa"/>
            <w:shd w:val="clear" w:color="auto" w:fill="C0C0C0"/>
          </w:tcPr>
          <w:p w14:paraId="3C39D7AD" w14:textId="77777777" w:rsidR="00E06B31" w:rsidRDefault="00E06B31" w:rsidP="008867D9">
            <w:pPr>
              <w:pStyle w:val="TAH"/>
            </w:pPr>
            <w:r>
              <w:t>Reference</w:t>
            </w:r>
          </w:p>
        </w:tc>
        <w:tc>
          <w:tcPr>
            <w:tcW w:w="2089" w:type="dxa"/>
            <w:shd w:val="clear" w:color="auto" w:fill="C0C0C0"/>
          </w:tcPr>
          <w:p w14:paraId="1213D939" w14:textId="77777777" w:rsidR="00E06B31" w:rsidRDefault="00E06B31" w:rsidP="008867D9">
            <w:pPr>
              <w:pStyle w:val="TAH"/>
            </w:pPr>
            <w:r>
              <w:t>Comments</w:t>
            </w:r>
          </w:p>
        </w:tc>
        <w:tc>
          <w:tcPr>
            <w:tcW w:w="2632" w:type="dxa"/>
            <w:shd w:val="clear" w:color="auto" w:fill="C0C0C0"/>
          </w:tcPr>
          <w:p w14:paraId="1E811D3A" w14:textId="77777777" w:rsidR="00E06B31" w:rsidRDefault="00E06B31" w:rsidP="008867D9">
            <w:pPr>
              <w:pStyle w:val="TAH"/>
            </w:pPr>
            <w:r>
              <w:t>Applicability</w:t>
            </w:r>
          </w:p>
        </w:tc>
      </w:tr>
      <w:tr w:rsidR="00E06B31" w14:paraId="5E4BAC88" w14:textId="77777777" w:rsidTr="008867D9">
        <w:trPr>
          <w:jc w:val="center"/>
        </w:trPr>
        <w:tc>
          <w:tcPr>
            <w:tcW w:w="2778" w:type="dxa"/>
          </w:tcPr>
          <w:p w14:paraId="0842BD21" w14:textId="77777777" w:rsidR="00E06B31" w:rsidRDefault="00E06B31" w:rsidP="008867D9">
            <w:pPr>
              <w:pStyle w:val="TAL"/>
            </w:pPr>
            <w:r>
              <w:t>AbnormalBehaviour</w:t>
            </w:r>
          </w:p>
        </w:tc>
        <w:tc>
          <w:tcPr>
            <w:tcW w:w="1849" w:type="dxa"/>
          </w:tcPr>
          <w:p w14:paraId="035E4EB1" w14:textId="77777777" w:rsidR="00E06B31" w:rsidRDefault="00E06B31" w:rsidP="008867D9">
            <w:pPr>
              <w:pStyle w:val="TAL"/>
            </w:pPr>
            <w:r>
              <w:rPr>
                <w:lang w:eastAsia="zh-CN"/>
              </w:rPr>
              <w:t>5.1.6.2.15</w:t>
            </w:r>
          </w:p>
        </w:tc>
        <w:tc>
          <w:tcPr>
            <w:tcW w:w="2089" w:type="dxa"/>
          </w:tcPr>
          <w:p w14:paraId="53FD9C83" w14:textId="77777777" w:rsidR="00E06B31" w:rsidRDefault="00E06B31" w:rsidP="008867D9">
            <w:pPr>
              <w:pStyle w:val="TAL"/>
            </w:pPr>
            <w:r>
              <w:t>Represents the abnormal behaviour information.</w:t>
            </w:r>
          </w:p>
        </w:tc>
        <w:tc>
          <w:tcPr>
            <w:tcW w:w="2632" w:type="dxa"/>
          </w:tcPr>
          <w:p w14:paraId="436A40FB" w14:textId="77777777" w:rsidR="00E06B31" w:rsidRDefault="00E06B31" w:rsidP="008867D9">
            <w:pPr>
              <w:pStyle w:val="TAL"/>
            </w:pPr>
            <w:r>
              <w:rPr>
                <w:rFonts w:cs="Arial"/>
                <w:szCs w:val="18"/>
              </w:rPr>
              <w:t>AbnormalBehaviour</w:t>
            </w:r>
          </w:p>
        </w:tc>
      </w:tr>
      <w:tr w:rsidR="009B01A5" w14:paraId="180436A9" w14:textId="77777777" w:rsidTr="008867D9">
        <w:trPr>
          <w:jc w:val="center"/>
        </w:trPr>
        <w:tc>
          <w:tcPr>
            <w:tcW w:w="2778" w:type="dxa"/>
          </w:tcPr>
          <w:p w14:paraId="1826C4F6" w14:textId="77777777" w:rsidR="009B01A5" w:rsidRDefault="009B01A5" w:rsidP="009B01A5">
            <w:pPr>
              <w:pStyle w:val="TAL"/>
            </w:pPr>
            <w:r>
              <w:t>AccuracyInfo</w:t>
            </w:r>
          </w:p>
        </w:tc>
        <w:tc>
          <w:tcPr>
            <w:tcW w:w="1849" w:type="dxa"/>
          </w:tcPr>
          <w:p w14:paraId="225EC5E5" w14:textId="77777777" w:rsidR="009B01A5" w:rsidRDefault="009B01A5" w:rsidP="009B01A5">
            <w:pPr>
              <w:pStyle w:val="TAL"/>
              <w:rPr>
                <w:lang w:eastAsia="zh-CN"/>
              </w:rPr>
            </w:pPr>
            <w:r>
              <w:rPr>
                <w:rFonts w:hint="eastAsia"/>
                <w:lang w:eastAsia="zh-CN"/>
              </w:rPr>
              <w:t>5.</w:t>
            </w:r>
            <w:r>
              <w:rPr>
                <w:lang w:eastAsia="zh-CN"/>
              </w:rPr>
              <w:t>1.6.2.89</w:t>
            </w:r>
          </w:p>
        </w:tc>
        <w:tc>
          <w:tcPr>
            <w:tcW w:w="2089" w:type="dxa"/>
          </w:tcPr>
          <w:p w14:paraId="28DAA255" w14:textId="77777777" w:rsidR="009B01A5" w:rsidRDefault="009B01A5" w:rsidP="009B01A5">
            <w:pPr>
              <w:pStyle w:val="TAL"/>
            </w:pPr>
            <w:r>
              <w:rPr>
                <w:lang w:eastAsia="zh-CN"/>
              </w:rPr>
              <w:t xml:space="preserve">The </w:t>
            </w:r>
            <w:r>
              <w:t>analytics accuracy information.</w:t>
            </w:r>
          </w:p>
        </w:tc>
        <w:tc>
          <w:tcPr>
            <w:tcW w:w="2632" w:type="dxa"/>
          </w:tcPr>
          <w:p w14:paraId="66925CEF" w14:textId="77777777" w:rsidR="009B01A5" w:rsidRDefault="009B01A5" w:rsidP="009B01A5">
            <w:pPr>
              <w:pStyle w:val="TAL"/>
              <w:rPr>
                <w:rFonts w:cs="Arial"/>
                <w:szCs w:val="18"/>
              </w:rPr>
            </w:pPr>
            <w:r>
              <w:rPr>
                <w:lang w:eastAsia="zh-CN"/>
              </w:rPr>
              <w:t>AnalyticsAccuracy</w:t>
            </w:r>
          </w:p>
        </w:tc>
      </w:tr>
      <w:tr w:rsidR="00E06B31" w14:paraId="6DE7616F" w14:textId="77777777" w:rsidTr="008867D9">
        <w:trPr>
          <w:jc w:val="center"/>
        </w:trPr>
        <w:tc>
          <w:tcPr>
            <w:tcW w:w="2778" w:type="dxa"/>
          </w:tcPr>
          <w:p w14:paraId="74B1B234" w14:textId="77777777" w:rsidR="00E06B31" w:rsidRDefault="00E06B31" w:rsidP="008867D9">
            <w:pPr>
              <w:pStyle w:val="TAL"/>
            </w:pPr>
            <w:r>
              <w:t>AccuracyReq</w:t>
            </w:r>
          </w:p>
        </w:tc>
        <w:tc>
          <w:tcPr>
            <w:tcW w:w="1849" w:type="dxa"/>
          </w:tcPr>
          <w:p w14:paraId="600E79A9" w14:textId="77777777" w:rsidR="00E06B31" w:rsidRDefault="00E06B31" w:rsidP="008867D9">
            <w:pPr>
              <w:pStyle w:val="TAL"/>
              <w:rPr>
                <w:lang w:eastAsia="zh-CN"/>
              </w:rPr>
            </w:pPr>
            <w:r>
              <w:t>5.1.6.2.88</w:t>
            </w:r>
          </w:p>
        </w:tc>
        <w:tc>
          <w:tcPr>
            <w:tcW w:w="2089" w:type="dxa"/>
          </w:tcPr>
          <w:p w14:paraId="265E4381" w14:textId="77777777" w:rsidR="00E06B31" w:rsidRDefault="00E06B31" w:rsidP="008867D9">
            <w:pPr>
              <w:pStyle w:val="TAL"/>
            </w:pPr>
            <w:r>
              <w:rPr>
                <w:lang w:eastAsia="zh-CN"/>
              </w:rPr>
              <w:t xml:space="preserve">Represents the </w:t>
            </w:r>
            <w:r>
              <w:t>analytics accuracy requirement information</w:t>
            </w:r>
            <w:r>
              <w:rPr>
                <w:lang w:eastAsia="zh-CN"/>
              </w:rPr>
              <w:t>.</w:t>
            </w:r>
          </w:p>
        </w:tc>
        <w:tc>
          <w:tcPr>
            <w:tcW w:w="2632" w:type="dxa"/>
          </w:tcPr>
          <w:p w14:paraId="0950700D" w14:textId="77777777" w:rsidR="00E06B31" w:rsidRDefault="00E06B31" w:rsidP="008867D9">
            <w:pPr>
              <w:pStyle w:val="TAL"/>
              <w:rPr>
                <w:rFonts w:cs="Arial"/>
                <w:szCs w:val="18"/>
              </w:rPr>
            </w:pPr>
            <w:r>
              <w:rPr>
                <w:lang w:eastAsia="zh-CN"/>
              </w:rPr>
              <w:t>AnalyticsAccuracy</w:t>
            </w:r>
          </w:p>
        </w:tc>
      </w:tr>
      <w:tr w:rsidR="00542337" w14:paraId="681B7A64" w14:textId="77777777" w:rsidTr="008867D9">
        <w:trPr>
          <w:jc w:val="center"/>
        </w:trPr>
        <w:tc>
          <w:tcPr>
            <w:tcW w:w="2778" w:type="dxa"/>
          </w:tcPr>
          <w:p w14:paraId="6091E0CC" w14:textId="77777777" w:rsidR="00542337" w:rsidRDefault="00542337" w:rsidP="00542337">
            <w:pPr>
              <w:pStyle w:val="TAL"/>
            </w:pPr>
            <w:r>
              <w:t>AddrFqdn</w:t>
            </w:r>
          </w:p>
        </w:tc>
        <w:tc>
          <w:tcPr>
            <w:tcW w:w="1849" w:type="dxa"/>
          </w:tcPr>
          <w:p w14:paraId="5769ED84" w14:textId="77777777" w:rsidR="00542337" w:rsidRDefault="00542337" w:rsidP="00542337">
            <w:pPr>
              <w:pStyle w:val="TAL"/>
            </w:pPr>
            <w:r w:rsidRPr="00100637">
              <w:t>3GPP TS 29.517 [22]</w:t>
            </w:r>
          </w:p>
        </w:tc>
        <w:tc>
          <w:tcPr>
            <w:tcW w:w="2089" w:type="dxa"/>
          </w:tcPr>
          <w:p w14:paraId="15C9C104" w14:textId="77777777" w:rsidR="00542337" w:rsidRDefault="00542337" w:rsidP="00542337">
            <w:pPr>
              <w:pStyle w:val="TAL"/>
              <w:rPr>
                <w:lang w:eastAsia="zh-CN"/>
              </w:rPr>
            </w:pPr>
            <w:r w:rsidRPr="00100637">
              <w:rPr>
                <w:lang w:eastAsia="zh-CN"/>
              </w:rPr>
              <w:t>Represents the IP address or FQDN of the Application Server.</w:t>
            </w:r>
          </w:p>
        </w:tc>
        <w:tc>
          <w:tcPr>
            <w:tcW w:w="2632" w:type="dxa"/>
          </w:tcPr>
          <w:p w14:paraId="77FE64AE" w14:textId="77777777" w:rsidR="00542337" w:rsidRPr="00734297" w:rsidRDefault="00542337" w:rsidP="00542337">
            <w:pPr>
              <w:pStyle w:val="TAL"/>
              <w:rPr>
                <w:lang w:eastAsia="zh-CN"/>
              </w:rPr>
            </w:pPr>
            <w:r w:rsidRPr="00734297">
              <w:rPr>
                <w:lang w:eastAsia="zh-CN"/>
              </w:rPr>
              <w:t>ServiceExperienceExt</w:t>
            </w:r>
          </w:p>
          <w:p w14:paraId="75696A2F" w14:textId="77777777" w:rsidR="00542337" w:rsidRDefault="00542337" w:rsidP="00542337">
            <w:pPr>
              <w:pStyle w:val="TAL"/>
              <w:rPr>
                <w:lang w:eastAsia="zh-CN"/>
              </w:rPr>
            </w:pPr>
            <w:r w:rsidRPr="00734297">
              <w:rPr>
                <w:lang w:eastAsia="zh-CN"/>
              </w:rPr>
              <w:t>DnPerformance</w:t>
            </w:r>
          </w:p>
        </w:tc>
      </w:tr>
      <w:tr w:rsidR="00E06B31" w14:paraId="4B901ACB" w14:textId="77777777" w:rsidTr="008867D9">
        <w:trPr>
          <w:jc w:val="center"/>
        </w:trPr>
        <w:tc>
          <w:tcPr>
            <w:tcW w:w="2778" w:type="dxa"/>
          </w:tcPr>
          <w:p w14:paraId="01334F22" w14:textId="77777777" w:rsidR="00E06B31" w:rsidRDefault="00E06B31" w:rsidP="008867D9">
            <w:pPr>
              <w:pStyle w:val="TAL"/>
            </w:pPr>
            <w:r>
              <w:t>AnalyticsContextIdentifier</w:t>
            </w:r>
          </w:p>
        </w:tc>
        <w:tc>
          <w:tcPr>
            <w:tcW w:w="1849" w:type="dxa"/>
          </w:tcPr>
          <w:p w14:paraId="286F880C" w14:textId="77777777" w:rsidR="00E06B31" w:rsidRDefault="00E06B31" w:rsidP="008867D9">
            <w:pPr>
              <w:pStyle w:val="TAL"/>
            </w:pPr>
            <w:r>
              <w:t>5.1.6.2.43</w:t>
            </w:r>
          </w:p>
        </w:tc>
        <w:tc>
          <w:tcPr>
            <w:tcW w:w="2089" w:type="dxa"/>
          </w:tcPr>
          <w:p w14:paraId="59C2ECC8" w14:textId="77777777" w:rsidR="00E06B31" w:rsidRDefault="00E06B31" w:rsidP="008867D9">
            <w:pPr>
              <w:pStyle w:val="TAL"/>
            </w:pPr>
            <w:r>
              <w:t>Contains information about the available analytics contexts.</w:t>
            </w:r>
          </w:p>
        </w:tc>
        <w:tc>
          <w:tcPr>
            <w:tcW w:w="2632" w:type="dxa"/>
          </w:tcPr>
          <w:p w14:paraId="26029162" w14:textId="77777777" w:rsidR="00E06B31" w:rsidRDefault="00E06B31" w:rsidP="008867D9">
            <w:pPr>
              <w:pStyle w:val="TAL"/>
            </w:pPr>
            <w:r>
              <w:rPr>
                <w:rFonts w:cs="Arial"/>
                <w:szCs w:val="18"/>
              </w:rPr>
              <w:t>AnaCtxTransfer</w:t>
            </w:r>
          </w:p>
        </w:tc>
      </w:tr>
      <w:tr w:rsidR="00E06B31" w14:paraId="1040FE26" w14:textId="77777777" w:rsidTr="008867D9">
        <w:trPr>
          <w:jc w:val="center"/>
        </w:trPr>
        <w:tc>
          <w:tcPr>
            <w:tcW w:w="2778" w:type="dxa"/>
          </w:tcPr>
          <w:p w14:paraId="7260AE71" w14:textId="77777777" w:rsidR="00E06B31" w:rsidRDefault="00E06B31" w:rsidP="008867D9">
            <w:pPr>
              <w:pStyle w:val="TAL"/>
              <w:rPr>
                <w:lang w:eastAsia="zh-CN"/>
              </w:rPr>
            </w:pPr>
            <w:r>
              <w:t>AnalyticsMetadataInfo</w:t>
            </w:r>
          </w:p>
        </w:tc>
        <w:tc>
          <w:tcPr>
            <w:tcW w:w="1849" w:type="dxa"/>
          </w:tcPr>
          <w:p w14:paraId="021116F2" w14:textId="77777777" w:rsidR="00E06B31" w:rsidRDefault="00E06B31" w:rsidP="008867D9">
            <w:pPr>
              <w:pStyle w:val="TAL"/>
            </w:pPr>
            <w:r>
              <w:t>5.1.6.2.37</w:t>
            </w:r>
          </w:p>
        </w:tc>
        <w:tc>
          <w:tcPr>
            <w:tcW w:w="2089" w:type="dxa"/>
          </w:tcPr>
          <w:p w14:paraId="64A9F8FC" w14:textId="77777777" w:rsidR="00E06B31" w:rsidRDefault="00E06B31" w:rsidP="008867D9">
            <w:pPr>
              <w:pStyle w:val="TAL"/>
              <w:rPr>
                <w:rFonts w:cs="Arial"/>
                <w:szCs w:val="18"/>
              </w:rPr>
            </w:pPr>
            <w:r>
              <w:t>Contains analytics metadata information required for analytics aggregation.</w:t>
            </w:r>
          </w:p>
        </w:tc>
        <w:tc>
          <w:tcPr>
            <w:tcW w:w="2632" w:type="dxa"/>
          </w:tcPr>
          <w:p w14:paraId="67C1C8CB" w14:textId="77777777" w:rsidR="00E06B31" w:rsidRDefault="00E06B31" w:rsidP="008867D9">
            <w:pPr>
              <w:pStyle w:val="TAL"/>
              <w:rPr>
                <w:rFonts w:cs="Arial"/>
                <w:szCs w:val="18"/>
              </w:rPr>
            </w:pPr>
            <w:r>
              <w:t>Aggregation</w:t>
            </w:r>
          </w:p>
        </w:tc>
      </w:tr>
      <w:tr w:rsidR="00E06B31" w14:paraId="2A30B311" w14:textId="77777777" w:rsidTr="008867D9">
        <w:trPr>
          <w:jc w:val="center"/>
        </w:trPr>
        <w:tc>
          <w:tcPr>
            <w:tcW w:w="2778" w:type="dxa"/>
          </w:tcPr>
          <w:p w14:paraId="2862A896" w14:textId="77777777" w:rsidR="00E06B31" w:rsidRDefault="00E06B31" w:rsidP="008867D9">
            <w:pPr>
              <w:pStyle w:val="TAL"/>
            </w:pPr>
            <w:r>
              <w:rPr>
                <w:lang w:eastAsia="zh-CN"/>
              </w:rPr>
              <w:t>AnalyticsSubset</w:t>
            </w:r>
          </w:p>
        </w:tc>
        <w:tc>
          <w:tcPr>
            <w:tcW w:w="1849" w:type="dxa"/>
          </w:tcPr>
          <w:p w14:paraId="6BEA3F7B" w14:textId="77777777" w:rsidR="00E06B31" w:rsidRDefault="00E06B31" w:rsidP="008867D9">
            <w:pPr>
              <w:pStyle w:val="TAL"/>
            </w:pPr>
            <w:r>
              <w:rPr>
                <w:lang w:eastAsia="zh-CN"/>
              </w:rPr>
              <w:t>5.1.6.3.18</w:t>
            </w:r>
          </w:p>
        </w:tc>
        <w:tc>
          <w:tcPr>
            <w:tcW w:w="2089" w:type="dxa"/>
          </w:tcPr>
          <w:p w14:paraId="14924C58" w14:textId="77777777" w:rsidR="00E06B31" w:rsidRDefault="00E06B31" w:rsidP="008867D9">
            <w:pPr>
              <w:pStyle w:val="TAL"/>
            </w:pPr>
            <w:r>
              <w:rPr>
                <w:lang w:eastAsia="ko-KR"/>
              </w:rPr>
              <w:t>Contains information about the analytics subsets provided in the subscription request.</w:t>
            </w:r>
          </w:p>
        </w:tc>
        <w:tc>
          <w:tcPr>
            <w:tcW w:w="2632" w:type="dxa"/>
          </w:tcPr>
          <w:p w14:paraId="4B878CC8" w14:textId="77777777" w:rsidR="00E06B31" w:rsidRDefault="00E06B31" w:rsidP="008867D9">
            <w:pPr>
              <w:pStyle w:val="TAL"/>
            </w:pPr>
            <w:r>
              <w:t>EneNA</w:t>
            </w:r>
          </w:p>
        </w:tc>
      </w:tr>
      <w:tr w:rsidR="00E06B31" w14:paraId="4642B5DF" w14:textId="77777777" w:rsidTr="008867D9">
        <w:trPr>
          <w:jc w:val="center"/>
        </w:trPr>
        <w:tc>
          <w:tcPr>
            <w:tcW w:w="2778" w:type="dxa"/>
          </w:tcPr>
          <w:p w14:paraId="295267EC" w14:textId="77777777" w:rsidR="00E06B31" w:rsidRDefault="00E06B31" w:rsidP="008867D9">
            <w:pPr>
              <w:pStyle w:val="TAL"/>
              <w:rPr>
                <w:lang w:eastAsia="zh-CN"/>
              </w:rPr>
            </w:pPr>
            <w:r>
              <w:rPr>
                <w:lang w:eastAsia="zh-CN"/>
              </w:rPr>
              <w:t>AnySlice</w:t>
            </w:r>
          </w:p>
        </w:tc>
        <w:tc>
          <w:tcPr>
            <w:tcW w:w="1849" w:type="dxa"/>
          </w:tcPr>
          <w:p w14:paraId="59698CEB" w14:textId="77777777" w:rsidR="00E06B31" w:rsidRDefault="00E06B31" w:rsidP="008867D9">
            <w:pPr>
              <w:pStyle w:val="TAL"/>
            </w:pPr>
            <w:r>
              <w:t>5.1.6.3.2</w:t>
            </w:r>
          </w:p>
        </w:tc>
        <w:tc>
          <w:tcPr>
            <w:tcW w:w="2089" w:type="dxa"/>
          </w:tcPr>
          <w:p w14:paraId="414FF873" w14:textId="77777777" w:rsidR="00E06B31" w:rsidRDefault="00E06B31" w:rsidP="008867D9">
            <w:pPr>
              <w:pStyle w:val="TAL"/>
              <w:rPr>
                <w:rFonts w:cs="Arial"/>
                <w:szCs w:val="18"/>
              </w:rPr>
            </w:pPr>
          </w:p>
        </w:tc>
        <w:tc>
          <w:tcPr>
            <w:tcW w:w="2632" w:type="dxa"/>
          </w:tcPr>
          <w:p w14:paraId="33FB2EE4" w14:textId="77777777" w:rsidR="00E06B31" w:rsidRDefault="00E06B31" w:rsidP="008867D9">
            <w:pPr>
              <w:pStyle w:val="TAL"/>
              <w:rPr>
                <w:rFonts w:cs="Arial"/>
                <w:szCs w:val="18"/>
              </w:rPr>
            </w:pPr>
          </w:p>
        </w:tc>
      </w:tr>
      <w:tr w:rsidR="009B01A5" w14:paraId="3D2EE3BF" w14:textId="77777777" w:rsidTr="008867D9">
        <w:trPr>
          <w:jc w:val="center"/>
        </w:trPr>
        <w:tc>
          <w:tcPr>
            <w:tcW w:w="2778" w:type="dxa"/>
          </w:tcPr>
          <w:p w14:paraId="08480C13" w14:textId="77777777" w:rsidR="009B01A5" w:rsidRDefault="009B01A5" w:rsidP="009B01A5">
            <w:pPr>
              <w:pStyle w:val="TAL"/>
              <w:rPr>
                <w:lang w:eastAsia="zh-CN"/>
              </w:rPr>
            </w:pPr>
            <w:r>
              <w:t>ApplicationId</w:t>
            </w:r>
          </w:p>
        </w:tc>
        <w:tc>
          <w:tcPr>
            <w:tcW w:w="1849" w:type="dxa"/>
          </w:tcPr>
          <w:p w14:paraId="4F03E322" w14:textId="77777777" w:rsidR="009B01A5" w:rsidRDefault="009B01A5" w:rsidP="009B01A5">
            <w:pPr>
              <w:pStyle w:val="TAL"/>
            </w:pPr>
            <w:r>
              <w:rPr>
                <w:rFonts w:cs="Arial"/>
              </w:rPr>
              <w:t>3GPP TS 29.571 [8]</w:t>
            </w:r>
          </w:p>
        </w:tc>
        <w:tc>
          <w:tcPr>
            <w:tcW w:w="2089" w:type="dxa"/>
          </w:tcPr>
          <w:p w14:paraId="632D6BF6" w14:textId="77777777" w:rsidR="009B01A5" w:rsidRDefault="009B01A5" w:rsidP="009B01A5">
            <w:pPr>
              <w:pStyle w:val="TAL"/>
              <w:rPr>
                <w:rFonts w:cs="Arial"/>
                <w:szCs w:val="18"/>
              </w:rPr>
            </w:pPr>
            <w:r>
              <w:rPr>
                <w:rFonts w:cs="Arial"/>
                <w:szCs w:val="18"/>
                <w:lang w:eastAsia="zh-CN"/>
              </w:rPr>
              <w:t>Identifies the application.</w:t>
            </w:r>
          </w:p>
        </w:tc>
        <w:tc>
          <w:tcPr>
            <w:tcW w:w="2632" w:type="dxa"/>
          </w:tcPr>
          <w:p w14:paraId="6093A9B0" w14:textId="77777777" w:rsidR="009B01A5" w:rsidRDefault="009B01A5" w:rsidP="009B01A5">
            <w:pPr>
              <w:pStyle w:val="TAL"/>
              <w:rPr>
                <w:rFonts w:eastAsia="Batang"/>
              </w:rPr>
            </w:pPr>
            <w:r>
              <w:rPr>
                <w:rFonts w:eastAsia="Batang"/>
              </w:rPr>
              <w:t>ServiceExperience</w:t>
            </w:r>
            <w:r>
              <w:t xml:space="preserve"> </w:t>
            </w:r>
          </w:p>
          <w:p w14:paraId="1BE19F4E" w14:textId="77777777" w:rsidR="009B01A5" w:rsidRDefault="009B01A5" w:rsidP="009B01A5">
            <w:pPr>
              <w:pStyle w:val="TAL"/>
              <w:rPr>
                <w:rFonts w:eastAsia="Batang"/>
              </w:rPr>
            </w:pPr>
            <w:r>
              <w:rPr>
                <w:rFonts w:eastAsia="Batang"/>
              </w:rPr>
              <w:t>UeCommunication</w:t>
            </w:r>
          </w:p>
          <w:p w14:paraId="39A9290F" w14:textId="77777777" w:rsidR="009B01A5" w:rsidRDefault="009B01A5" w:rsidP="009B01A5">
            <w:pPr>
              <w:pStyle w:val="TAL"/>
              <w:rPr>
                <w:rFonts w:eastAsia="Batang"/>
              </w:rPr>
            </w:pPr>
            <w:r>
              <w:rPr>
                <w:rFonts w:eastAsia="Batang"/>
              </w:rPr>
              <w:t>AbnormalBehaviour</w:t>
            </w:r>
          </w:p>
          <w:p w14:paraId="2999075B" w14:textId="77777777" w:rsidR="009B01A5" w:rsidRDefault="009B01A5" w:rsidP="009B01A5">
            <w:pPr>
              <w:pStyle w:val="TAL"/>
            </w:pPr>
            <w:r>
              <w:rPr>
                <w:rFonts w:hint="eastAsia"/>
                <w:lang w:eastAsia="zh-CN"/>
              </w:rPr>
              <w:t>Dn</w:t>
            </w:r>
            <w:r>
              <w:t>Performance</w:t>
            </w:r>
          </w:p>
          <w:p w14:paraId="6EBBFEE7" w14:textId="77777777" w:rsidR="009B01A5" w:rsidRDefault="009B01A5" w:rsidP="009B01A5">
            <w:pPr>
              <w:pStyle w:val="TAL"/>
              <w:rPr>
                <w:rFonts w:cs="Arial"/>
                <w:szCs w:val="18"/>
              </w:rPr>
            </w:pPr>
            <w:r>
              <w:rPr>
                <w:lang w:eastAsia="zh-CN"/>
              </w:rPr>
              <w:t>E2eDataVolTransTime</w:t>
            </w:r>
          </w:p>
        </w:tc>
      </w:tr>
      <w:tr w:rsidR="004D166F" w14:paraId="00A049EA" w14:textId="77777777" w:rsidTr="008867D9">
        <w:trPr>
          <w:jc w:val="center"/>
        </w:trPr>
        <w:tc>
          <w:tcPr>
            <w:tcW w:w="2778" w:type="dxa"/>
          </w:tcPr>
          <w:p w14:paraId="4AE3EBBB" w14:textId="77777777" w:rsidR="004D166F" w:rsidRDefault="004D166F" w:rsidP="004D166F">
            <w:pPr>
              <w:pStyle w:val="TAL"/>
            </w:pPr>
            <w:r>
              <w:t>BwRequirement</w:t>
            </w:r>
          </w:p>
        </w:tc>
        <w:tc>
          <w:tcPr>
            <w:tcW w:w="1849" w:type="dxa"/>
          </w:tcPr>
          <w:p w14:paraId="24D73A81" w14:textId="77777777" w:rsidR="004D166F" w:rsidRDefault="004D166F" w:rsidP="004D166F">
            <w:pPr>
              <w:pStyle w:val="TAL"/>
              <w:rPr>
                <w:rFonts w:cs="Arial"/>
              </w:rPr>
            </w:pPr>
            <w:r>
              <w:t>5.1.6.2.25</w:t>
            </w:r>
          </w:p>
        </w:tc>
        <w:tc>
          <w:tcPr>
            <w:tcW w:w="2089" w:type="dxa"/>
          </w:tcPr>
          <w:p w14:paraId="6FEC2AF8" w14:textId="77777777" w:rsidR="004D166F" w:rsidRDefault="004D166F" w:rsidP="004D166F">
            <w:pPr>
              <w:pStyle w:val="TAL"/>
              <w:rPr>
                <w:rFonts w:cs="Arial"/>
                <w:szCs w:val="18"/>
                <w:lang w:eastAsia="zh-CN"/>
              </w:rPr>
            </w:pPr>
            <w:r>
              <w:rPr>
                <w:rFonts w:cs="Arial"/>
                <w:szCs w:val="18"/>
                <w:lang w:eastAsia="zh-CN"/>
              </w:rPr>
              <w:t>Represents bandwidth requirements.</w:t>
            </w:r>
          </w:p>
        </w:tc>
        <w:tc>
          <w:tcPr>
            <w:tcW w:w="2632" w:type="dxa"/>
          </w:tcPr>
          <w:p w14:paraId="52397091" w14:textId="77777777" w:rsidR="004D166F" w:rsidRDefault="004D166F" w:rsidP="004D166F">
            <w:pPr>
              <w:pStyle w:val="TAL"/>
              <w:rPr>
                <w:rFonts w:eastAsia="Batang"/>
              </w:rPr>
            </w:pPr>
            <w:r>
              <w:t>ServiceExperience</w:t>
            </w:r>
          </w:p>
        </w:tc>
      </w:tr>
      <w:tr w:rsidR="00E06B31" w14:paraId="35BE32C1" w14:textId="77777777" w:rsidTr="008867D9">
        <w:trPr>
          <w:jc w:val="center"/>
        </w:trPr>
        <w:tc>
          <w:tcPr>
            <w:tcW w:w="2778" w:type="dxa"/>
          </w:tcPr>
          <w:p w14:paraId="20404451" w14:textId="77777777" w:rsidR="00E06B31" w:rsidRDefault="00E06B31" w:rsidP="008867D9">
            <w:pPr>
              <w:pStyle w:val="TAL"/>
            </w:pPr>
            <w:r>
              <w:t>DataNotification</w:t>
            </w:r>
          </w:p>
        </w:tc>
        <w:tc>
          <w:tcPr>
            <w:tcW w:w="1849" w:type="dxa"/>
          </w:tcPr>
          <w:p w14:paraId="5C8994A4" w14:textId="77777777" w:rsidR="00E06B31" w:rsidRDefault="00E06B31" w:rsidP="008867D9">
            <w:pPr>
              <w:pStyle w:val="TAL"/>
            </w:pPr>
            <w:r>
              <w:rPr>
                <w:rFonts w:cs="Arial"/>
              </w:rPr>
              <w:t>3GPP TS 29.575 [27]</w:t>
            </w:r>
          </w:p>
        </w:tc>
        <w:tc>
          <w:tcPr>
            <w:tcW w:w="2089" w:type="dxa"/>
          </w:tcPr>
          <w:p w14:paraId="25184C48" w14:textId="77777777" w:rsidR="00E06B31" w:rsidRDefault="00E06B31" w:rsidP="008867D9">
            <w:pPr>
              <w:pStyle w:val="TAL"/>
              <w:rPr>
                <w:lang w:eastAsia="zh-CN"/>
              </w:rPr>
            </w:pPr>
            <w:r>
              <w:rPr>
                <w:lang w:eastAsia="zh-CN"/>
              </w:rPr>
              <w:t>Describes Notifications about data collection events that occurred.</w:t>
            </w:r>
          </w:p>
        </w:tc>
        <w:tc>
          <w:tcPr>
            <w:tcW w:w="2632" w:type="dxa"/>
          </w:tcPr>
          <w:p w14:paraId="30332925" w14:textId="77777777" w:rsidR="00E06B31" w:rsidRDefault="00E06B31" w:rsidP="008867D9">
            <w:pPr>
              <w:pStyle w:val="TAL"/>
              <w:rPr>
                <w:rFonts w:cs="Arial"/>
                <w:szCs w:val="18"/>
              </w:rPr>
            </w:pPr>
            <w:r>
              <w:t>EneNA</w:t>
            </w:r>
          </w:p>
        </w:tc>
      </w:tr>
      <w:tr w:rsidR="00E06B31" w14:paraId="07B718C8" w14:textId="77777777" w:rsidTr="008867D9">
        <w:trPr>
          <w:jc w:val="center"/>
        </w:trPr>
        <w:tc>
          <w:tcPr>
            <w:tcW w:w="2778" w:type="dxa"/>
          </w:tcPr>
          <w:p w14:paraId="5CADE66F" w14:textId="77777777" w:rsidR="00E06B31" w:rsidRDefault="00E06B31" w:rsidP="008867D9">
            <w:pPr>
              <w:pStyle w:val="TAL"/>
            </w:pPr>
            <w:r>
              <w:t>DataSubscription</w:t>
            </w:r>
          </w:p>
        </w:tc>
        <w:tc>
          <w:tcPr>
            <w:tcW w:w="1849" w:type="dxa"/>
          </w:tcPr>
          <w:p w14:paraId="166E25BD" w14:textId="77777777" w:rsidR="00E06B31" w:rsidRDefault="00E06B31" w:rsidP="008867D9">
            <w:pPr>
              <w:pStyle w:val="TAL"/>
            </w:pPr>
            <w:r>
              <w:t>3GPP TS 29.575 [27]</w:t>
            </w:r>
          </w:p>
        </w:tc>
        <w:tc>
          <w:tcPr>
            <w:tcW w:w="2089" w:type="dxa"/>
          </w:tcPr>
          <w:p w14:paraId="1AAA8F57" w14:textId="77777777" w:rsidR="00E06B31" w:rsidRDefault="00E06B31" w:rsidP="008867D9">
            <w:pPr>
              <w:pStyle w:val="TAL"/>
              <w:rPr>
                <w:rFonts w:cs="Arial"/>
                <w:szCs w:val="18"/>
                <w:lang w:eastAsia="zh-CN"/>
              </w:rPr>
            </w:pPr>
            <w:r>
              <w:rPr>
                <w:rFonts w:hint="eastAsia"/>
                <w:lang w:eastAsia="zh-CN"/>
              </w:rPr>
              <w:t>R</w:t>
            </w:r>
            <w:r>
              <w:rPr>
                <w:lang w:eastAsia="zh-CN"/>
              </w:rPr>
              <w:t>epresents data subscription from data source (e.g. AMF, SMF, UDM, NEF, AF).</w:t>
            </w:r>
          </w:p>
        </w:tc>
        <w:tc>
          <w:tcPr>
            <w:tcW w:w="2632" w:type="dxa"/>
          </w:tcPr>
          <w:p w14:paraId="1C49C19E" w14:textId="77777777" w:rsidR="00E06B31" w:rsidRDefault="00E06B31" w:rsidP="008867D9">
            <w:pPr>
              <w:pStyle w:val="TAL"/>
              <w:rPr>
                <w:rFonts w:cs="Arial"/>
                <w:szCs w:val="18"/>
              </w:rPr>
            </w:pPr>
            <w:r>
              <w:rPr>
                <w:rFonts w:cs="Arial"/>
                <w:szCs w:val="18"/>
              </w:rPr>
              <w:t>EneNA</w:t>
            </w:r>
          </w:p>
          <w:p w14:paraId="5495890A" w14:textId="77777777" w:rsidR="00E06B31" w:rsidRDefault="00E06B31" w:rsidP="008867D9">
            <w:pPr>
              <w:pStyle w:val="TAL"/>
            </w:pPr>
            <w:r>
              <w:rPr>
                <w:rFonts w:cs="Arial"/>
                <w:szCs w:val="18"/>
              </w:rPr>
              <w:t>EnAnaCtxTransfer</w:t>
            </w:r>
          </w:p>
        </w:tc>
      </w:tr>
      <w:tr w:rsidR="00E06B31" w14:paraId="6D262A22" w14:textId="77777777" w:rsidTr="008867D9">
        <w:trPr>
          <w:jc w:val="center"/>
        </w:trPr>
        <w:tc>
          <w:tcPr>
            <w:tcW w:w="2778" w:type="dxa"/>
          </w:tcPr>
          <w:p w14:paraId="163E6376" w14:textId="77777777" w:rsidR="00E06B31" w:rsidRDefault="00E06B31" w:rsidP="008867D9">
            <w:pPr>
              <w:pStyle w:val="TAL"/>
              <w:rPr>
                <w:lang w:eastAsia="zh-CN"/>
              </w:rPr>
            </w:pPr>
            <w:r>
              <w:t>DateTime</w:t>
            </w:r>
          </w:p>
        </w:tc>
        <w:tc>
          <w:tcPr>
            <w:tcW w:w="1849" w:type="dxa"/>
          </w:tcPr>
          <w:p w14:paraId="727A5F2F" w14:textId="77777777" w:rsidR="00E06B31" w:rsidRDefault="00E06B31" w:rsidP="008867D9">
            <w:pPr>
              <w:pStyle w:val="TAL"/>
            </w:pPr>
            <w:r>
              <w:rPr>
                <w:rFonts w:cs="Arial"/>
              </w:rPr>
              <w:t>3GPP TS 29.571 [8]</w:t>
            </w:r>
          </w:p>
        </w:tc>
        <w:tc>
          <w:tcPr>
            <w:tcW w:w="2089" w:type="dxa"/>
          </w:tcPr>
          <w:p w14:paraId="5BA28C8D" w14:textId="77777777" w:rsidR="00E06B31" w:rsidRDefault="00E06B31" w:rsidP="008867D9">
            <w:pPr>
              <w:pStyle w:val="TAL"/>
              <w:rPr>
                <w:rFonts w:cs="Arial"/>
                <w:szCs w:val="18"/>
              </w:rPr>
            </w:pPr>
            <w:r>
              <w:rPr>
                <w:rFonts w:cs="Arial"/>
                <w:szCs w:val="18"/>
                <w:lang w:eastAsia="zh-CN"/>
              </w:rPr>
              <w:t>Identifies the time.</w:t>
            </w:r>
          </w:p>
        </w:tc>
        <w:tc>
          <w:tcPr>
            <w:tcW w:w="2632" w:type="dxa"/>
          </w:tcPr>
          <w:p w14:paraId="05F6EE71" w14:textId="77777777" w:rsidR="00E06B31" w:rsidRDefault="00E06B31" w:rsidP="008867D9">
            <w:pPr>
              <w:pStyle w:val="TAL"/>
              <w:rPr>
                <w:rFonts w:cs="Arial"/>
                <w:szCs w:val="18"/>
              </w:rPr>
            </w:pPr>
          </w:p>
        </w:tc>
      </w:tr>
      <w:tr w:rsidR="00E06B31" w14:paraId="3DD7F318" w14:textId="77777777" w:rsidTr="008867D9">
        <w:trPr>
          <w:jc w:val="center"/>
        </w:trPr>
        <w:tc>
          <w:tcPr>
            <w:tcW w:w="2778" w:type="dxa"/>
          </w:tcPr>
          <w:p w14:paraId="6C2B4652" w14:textId="77777777" w:rsidR="00E06B31" w:rsidRDefault="00E06B31" w:rsidP="008867D9">
            <w:pPr>
              <w:pStyle w:val="TAL"/>
            </w:pPr>
            <w:r>
              <w:t>DispersionRequirement</w:t>
            </w:r>
          </w:p>
        </w:tc>
        <w:tc>
          <w:tcPr>
            <w:tcW w:w="1849" w:type="dxa"/>
          </w:tcPr>
          <w:p w14:paraId="5335AE40" w14:textId="77777777" w:rsidR="00E06B31" w:rsidRDefault="00E06B31" w:rsidP="008867D9">
            <w:pPr>
              <w:pStyle w:val="TAL"/>
              <w:rPr>
                <w:rFonts w:cs="Arial"/>
              </w:rPr>
            </w:pPr>
            <w:r>
              <w:rPr>
                <w:rFonts w:cs="Arial"/>
              </w:rPr>
              <w:t>5.1.6.2.50</w:t>
            </w:r>
          </w:p>
        </w:tc>
        <w:tc>
          <w:tcPr>
            <w:tcW w:w="2089" w:type="dxa"/>
          </w:tcPr>
          <w:p w14:paraId="4D6AADD5" w14:textId="77777777" w:rsidR="00E06B31" w:rsidRDefault="00E06B31" w:rsidP="008867D9">
            <w:pPr>
              <w:pStyle w:val="TAL"/>
              <w:rPr>
                <w:rFonts w:cs="Arial"/>
                <w:szCs w:val="18"/>
                <w:lang w:eastAsia="zh-CN"/>
              </w:rPr>
            </w:pPr>
            <w:r>
              <w:rPr>
                <w:rFonts w:cs="Arial"/>
                <w:szCs w:val="18"/>
                <w:lang w:eastAsia="zh-CN"/>
              </w:rPr>
              <w:t>Dispersion analytics requirement.</w:t>
            </w:r>
          </w:p>
        </w:tc>
        <w:tc>
          <w:tcPr>
            <w:tcW w:w="2632" w:type="dxa"/>
          </w:tcPr>
          <w:p w14:paraId="109BA364" w14:textId="77777777" w:rsidR="00E06B31" w:rsidRDefault="00E06B31" w:rsidP="008867D9">
            <w:pPr>
              <w:pStyle w:val="TAL"/>
              <w:rPr>
                <w:rFonts w:eastAsia="Batang"/>
              </w:rPr>
            </w:pPr>
            <w:r>
              <w:rPr>
                <w:rFonts w:cs="Arial"/>
                <w:szCs w:val="18"/>
              </w:rPr>
              <w:t>Dispersion</w:t>
            </w:r>
          </w:p>
        </w:tc>
      </w:tr>
      <w:tr w:rsidR="00E06B31" w14:paraId="3B42C65F" w14:textId="77777777" w:rsidTr="008867D9">
        <w:trPr>
          <w:jc w:val="center"/>
        </w:trPr>
        <w:tc>
          <w:tcPr>
            <w:tcW w:w="2778" w:type="dxa"/>
          </w:tcPr>
          <w:p w14:paraId="2095A94D" w14:textId="77777777" w:rsidR="00E06B31" w:rsidRDefault="00E06B31" w:rsidP="008867D9">
            <w:pPr>
              <w:pStyle w:val="TAL"/>
            </w:pPr>
            <w:r>
              <w:t>DispersionInfo</w:t>
            </w:r>
          </w:p>
        </w:tc>
        <w:tc>
          <w:tcPr>
            <w:tcW w:w="1849" w:type="dxa"/>
          </w:tcPr>
          <w:p w14:paraId="288CB0B0" w14:textId="77777777" w:rsidR="00E06B31" w:rsidRDefault="00E06B31" w:rsidP="008867D9">
            <w:pPr>
              <w:pStyle w:val="TAL"/>
              <w:rPr>
                <w:rFonts w:cs="Arial"/>
              </w:rPr>
            </w:pPr>
            <w:r>
              <w:rPr>
                <w:rFonts w:cs="Arial"/>
              </w:rPr>
              <w:t>5.1.6.2.53</w:t>
            </w:r>
          </w:p>
        </w:tc>
        <w:tc>
          <w:tcPr>
            <w:tcW w:w="2089" w:type="dxa"/>
          </w:tcPr>
          <w:p w14:paraId="38630EE1" w14:textId="77777777" w:rsidR="00E06B31" w:rsidRDefault="00E06B31" w:rsidP="008867D9">
            <w:pPr>
              <w:pStyle w:val="TAL"/>
              <w:rPr>
                <w:rFonts w:cs="Arial"/>
                <w:szCs w:val="18"/>
                <w:lang w:eastAsia="zh-CN"/>
              </w:rPr>
            </w:pPr>
            <w:r>
              <w:rPr>
                <w:rFonts w:cs="Arial"/>
                <w:szCs w:val="18"/>
                <w:lang w:eastAsia="zh-CN"/>
              </w:rPr>
              <w:t>Dispersion analytics information.</w:t>
            </w:r>
          </w:p>
        </w:tc>
        <w:tc>
          <w:tcPr>
            <w:tcW w:w="2632" w:type="dxa"/>
          </w:tcPr>
          <w:p w14:paraId="4B3E9764" w14:textId="77777777" w:rsidR="00E06B31" w:rsidRDefault="00E06B31" w:rsidP="008867D9">
            <w:pPr>
              <w:pStyle w:val="TAL"/>
              <w:rPr>
                <w:rFonts w:eastAsia="Batang"/>
              </w:rPr>
            </w:pPr>
            <w:r>
              <w:rPr>
                <w:rFonts w:cs="Arial"/>
                <w:szCs w:val="18"/>
              </w:rPr>
              <w:t>Dispersion</w:t>
            </w:r>
          </w:p>
        </w:tc>
      </w:tr>
      <w:tr w:rsidR="00E06B31" w14:paraId="3DEC040B" w14:textId="77777777" w:rsidTr="008867D9">
        <w:trPr>
          <w:jc w:val="center"/>
        </w:trPr>
        <w:tc>
          <w:tcPr>
            <w:tcW w:w="2778" w:type="dxa"/>
          </w:tcPr>
          <w:p w14:paraId="0BC10BB2" w14:textId="77777777" w:rsidR="00E06B31" w:rsidRDefault="00E06B31" w:rsidP="008867D9">
            <w:pPr>
              <w:pStyle w:val="TAL"/>
            </w:pPr>
            <w:r>
              <w:rPr>
                <w:rFonts w:hint="eastAsia"/>
              </w:rPr>
              <w:t>Dnai</w:t>
            </w:r>
          </w:p>
        </w:tc>
        <w:tc>
          <w:tcPr>
            <w:tcW w:w="1849" w:type="dxa"/>
          </w:tcPr>
          <w:p w14:paraId="07EA75B2" w14:textId="77777777" w:rsidR="00E06B31" w:rsidRDefault="00E06B31" w:rsidP="008867D9">
            <w:pPr>
              <w:pStyle w:val="TAL"/>
              <w:rPr>
                <w:rFonts w:cs="Arial"/>
              </w:rPr>
            </w:pPr>
            <w:r>
              <w:t>3GPP TS 29.571 [8]</w:t>
            </w:r>
          </w:p>
        </w:tc>
        <w:tc>
          <w:tcPr>
            <w:tcW w:w="2089" w:type="dxa"/>
          </w:tcPr>
          <w:p w14:paraId="48B1F2D3" w14:textId="77777777" w:rsidR="00E06B31" w:rsidRDefault="00E06B31" w:rsidP="008867D9">
            <w:pPr>
              <w:pStyle w:val="TAL"/>
              <w:rPr>
                <w:rFonts w:cs="Arial"/>
                <w:szCs w:val="18"/>
                <w:lang w:eastAsia="zh-CN"/>
              </w:rPr>
            </w:pPr>
            <w:r>
              <w:rPr>
                <w:rFonts w:cs="Arial"/>
                <w:szCs w:val="18"/>
                <w:lang w:eastAsia="zh-CN"/>
              </w:rPr>
              <w:t xml:space="preserve">Identifies </w:t>
            </w:r>
            <w:r>
              <w:t>a user plane access to one or more DN(s).</w:t>
            </w:r>
          </w:p>
        </w:tc>
        <w:tc>
          <w:tcPr>
            <w:tcW w:w="2632" w:type="dxa"/>
          </w:tcPr>
          <w:p w14:paraId="6DBD553A" w14:textId="77777777" w:rsidR="00E06B31" w:rsidRDefault="00E06B31" w:rsidP="008867D9">
            <w:pPr>
              <w:pStyle w:val="TAL"/>
              <w:rPr>
                <w:rFonts w:eastAsia="Batang"/>
              </w:rPr>
            </w:pPr>
            <w:r>
              <w:rPr>
                <w:rFonts w:eastAsia="Batang"/>
              </w:rPr>
              <w:t>ServiceExperience</w:t>
            </w:r>
          </w:p>
          <w:p w14:paraId="137B8457" w14:textId="77777777" w:rsidR="00E06B31" w:rsidRDefault="00E06B31" w:rsidP="008867D9">
            <w:pPr>
              <w:pStyle w:val="TAL"/>
              <w:rPr>
                <w:lang w:eastAsia="ja-JP"/>
              </w:rPr>
            </w:pPr>
            <w:r>
              <w:rPr>
                <w:rFonts w:hint="eastAsia"/>
                <w:lang w:eastAsia="zh-CN"/>
              </w:rPr>
              <w:t>Dn</w:t>
            </w:r>
            <w:r>
              <w:t>Performance</w:t>
            </w:r>
          </w:p>
          <w:p w14:paraId="0490B13C" w14:textId="77777777" w:rsidR="00E06B31" w:rsidRDefault="00E06B31" w:rsidP="008867D9">
            <w:pPr>
              <w:pStyle w:val="TAL"/>
              <w:rPr>
                <w:rFonts w:eastAsia="Batang"/>
              </w:rPr>
            </w:pPr>
          </w:p>
        </w:tc>
      </w:tr>
      <w:tr w:rsidR="009B01A5" w14:paraId="20F1C7D3" w14:textId="77777777" w:rsidTr="008867D9">
        <w:trPr>
          <w:jc w:val="center"/>
        </w:trPr>
        <w:tc>
          <w:tcPr>
            <w:tcW w:w="2778" w:type="dxa"/>
          </w:tcPr>
          <w:p w14:paraId="2263EB25" w14:textId="77777777" w:rsidR="009B01A5" w:rsidRDefault="009B01A5" w:rsidP="009B01A5">
            <w:pPr>
              <w:pStyle w:val="TAL"/>
            </w:pPr>
            <w:r>
              <w:t>Dnn</w:t>
            </w:r>
          </w:p>
        </w:tc>
        <w:tc>
          <w:tcPr>
            <w:tcW w:w="1849" w:type="dxa"/>
          </w:tcPr>
          <w:p w14:paraId="6E40B96A" w14:textId="77777777" w:rsidR="009B01A5" w:rsidRDefault="009B01A5" w:rsidP="009B01A5">
            <w:pPr>
              <w:pStyle w:val="TAL"/>
              <w:rPr>
                <w:rFonts w:cs="Arial"/>
              </w:rPr>
            </w:pPr>
            <w:r>
              <w:rPr>
                <w:rFonts w:cs="Arial"/>
              </w:rPr>
              <w:t>3GPP TS 29.571 [8]</w:t>
            </w:r>
          </w:p>
        </w:tc>
        <w:tc>
          <w:tcPr>
            <w:tcW w:w="2089" w:type="dxa"/>
          </w:tcPr>
          <w:p w14:paraId="44160295" w14:textId="77777777" w:rsidR="009B01A5" w:rsidRDefault="009B01A5" w:rsidP="009B01A5">
            <w:pPr>
              <w:pStyle w:val="TAL"/>
              <w:rPr>
                <w:rFonts w:cs="Arial"/>
                <w:szCs w:val="18"/>
                <w:lang w:eastAsia="zh-CN"/>
              </w:rPr>
            </w:pPr>
            <w:r>
              <w:rPr>
                <w:rFonts w:cs="Arial"/>
                <w:szCs w:val="18"/>
                <w:lang w:eastAsia="zh-CN"/>
              </w:rPr>
              <w:t>Identifies the DNN.</w:t>
            </w:r>
          </w:p>
        </w:tc>
        <w:tc>
          <w:tcPr>
            <w:tcW w:w="2632" w:type="dxa"/>
          </w:tcPr>
          <w:p w14:paraId="1B6DD756" w14:textId="77777777" w:rsidR="009B01A5" w:rsidRDefault="009B01A5" w:rsidP="009B01A5">
            <w:pPr>
              <w:pStyle w:val="TAL"/>
              <w:rPr>
                <w:rFonts w:eastAsia="Batang"/>
              </w:rPr>
            </w:pPr>
            <w:r>
              <w:rPr>
                <w:rFonts w:eastAsia="Batang"/>
              </w:rPr>
              <w:t>ServiceExperience</w:t>
            </w:r>
            <w:r>
              <w:t xml:space="preserve"> </w:t>
            </w:r>
          </w:p>
          <w:p w14:paraId="5FEAC379" w14:textId="77777777" w:rsidR="009B01A5" w:rsidRDefault="009B01A5" w:rsidP="009B01A5">
            <w:pPr>
              <w:pStyle w:val="TAL"/>
              <w:rPr>
                <w:rFonts w:eastAsia="Batang"/>
              </w:rPr>
            </w:pPr>
            <w:r>
              <w:rPr>
                <w:rFonts w:eastAsia="Batang"/>
              </w:rPr>
              <w:t>AbnormalBehaviour</w:t>
            </w:r>
          </w:p>
          <w:p w14:paraId="4C59F2DD" w14:textId="77777777" w:rsidR="009B01A5" w:rsidRDefault="009B01A5" w:rsidP="009B01A5">
            <w:pPr>
              <w:pStyle w:val="TAL"/>
              <w:rPr>
                <w:rFonts w:eastAsia="Batang"/>
              </w:rPr>
            </w:pPr>
            <w:r>
              <w:rPr>
                <w:rFonts w:eastAsia="Batang"/>
              </w:rPr>
              <w:t xml:space="preserve">UeCommunication </w:t>
            </w:r>
          </w:p>
          <w:p w14:paraId="31C6F66E" w14:textId="77777777" w:rsidR="009B01A5" w:rsidRDefault="009B01A5" w:rsidP="009B01A5">
            <w:pPr>
              <w:pStyle w:val="TAL"/>
              <w:rPr>
                <w:lang w:eastAsia="zh-CN"/>
              </w:rPr>
            </w:pPr>
            <w:r>
              <w:rPr>
                <w:rFonts w:hint="eastAsia"/>
                <w:lang w:eastAsia="zh-CN"/>
              </w:rPr>
              <w:t>S</w:t>
            </w:r>
            <w:r>
              <w:rPr>
                <w:lang w:eastAsia="zh-CN"/>
              </w:rPr>
              <w:t>MCCE</w:t>
            </w:r>
          </w:p>
          <w:p w14:paraId="38E8B440" w14:textId="77777777" w:rsidR="009B01A5" w:rsidRDefault="009B01A5" w:rsidP="009B01A5">
            <w:pPr>
              <w:pStyle w:val="TAL"/>
            </w:pPr>
            <w:r>
              <w:rPr>
                <w:rFonts w:hint="eastAsia"/>
                <w:lang w:eastAsia="zh-CN"/>
              </w:rPr>
              <w:t>Dn</w:t>
            </w:r>
            <w:r>
              <w:t>Performance</w:t>
            </w:r>
          </w:p>
          <w:p w14:paraId="5257D05E" w14:textId="77777777" w:rsidR="009B01A5" w:rsidRDefault="009B01A5" w:rsidP="009B01A5">
            <w:pPr>
              <w:pStyle w:val="TAL"/>
              <w:rPr>
                <w:lang w:eastAsia="ja-JP"/>
              </w:rPr>
            </w:pPr>
            <w:r>
              <w:rPr>
                <w:rFonts w:cs="Arial"/>
                <w:szCs w:val="18"/>
              </w:rPr>
              <w:t>PduSesTraffic</w:t>
            </w:r>
          </w:p>
          <w:p w14:paraId="0DE18D2E" w14:textId="77777777" w:rsidR="009B01A5" w:rsidRDefault="009B01A5" w:rsidP="009B01A5">
            <w:pPr>
              <w:pStyle w:val="TAL"/>
              <w:rPr>
                <w:lang w:eastAsia="ja-JP"/>
              </w:rPr>
            </w:pPr>
            <w:r>
              <w:rPr>
                <w:lang w:eastAsia="zh-CN"/>
              </w:rPr>
              <w:t>E2eDataVolTransTime</w:t>
            </w:r>
          </w:p>
        </w:tc>
      </w:tr>
      <w:tr w:rsidR="00E06B31" w14:paraId="778B3349" w14:textId="77777777" w:rsidTr="008867D9">
        <w:trPr>
          <w:jc w:val="center"/>
        </w:trPr>
        <w:tc>
          <w:tcPr>
            <w:tcW w:w="2778" w:type="dxa"/>
          </w:tcPr>
          <w:p w14:paraId="768BA046" w14:textId="77777777" w:rsidR="00E06B31" w:rsidRDefault="00E06B31" w:rsidP="008867D9">
            <w:pPr>
              <w:pStyle w:val="TAL"/>
            </w:pPr>
            <w:r>
              <w:t>DnPerfInfo</w:t>
            </w:r>
          </w:p>
        </w:tc>
        <w:tc>
          <w:tcPr>
            <w:tcW w:w="1849" w:type="dxa"/>
          </w:tcPr>
          <w:p w14:paraId="6590873A" w14:textId="77777777" w:rsidR="00E06B31" w:rsidRDefault="00E06B31" w:rsidP="008867D9">
            <w:pPr>
              <w:pStyle w:val="TAL"/>
            </w:pPr>
            <w:r>
              <w:t>5.1.6.2.45</w:t>
            </w:r>
          </w:p>
        </w:tc>
        <w:tc>
          <w:tcPr>
            <w:tcW w:w="2089" w:type="dxa"/>
          </w:tcPr>
          <w:p w14:paraId="74A0A830" w14:textId="77777777" w:rsidR="00E06B31" w:rsidRDefault="00E06B31" w:rsidP="008867D9">
            <w:pPr>
              <w:pStyle w:val="TAL"/>
              <w:rPr>
                <w:rFonts w:cs="Arial"/>
                <w:szCs w:val="18"/>
                <w:lang w:eastAsia="zh-CN"/>
              </w:rPr>
            </w:pPr>
            <w:r>
              <w:rPr>
                <w:lang w:eastAsia="zh-CN"/>
              </w:rPr>
              <w:t>Represents</w:t>
            </w:r>
            <w:r>
              <w:t xml:space="preserve"> DN performance information</w:t>
            </w:r>
          </w:p>
        </w:tc>
        <w:tc>
          <w:tcPr>
            <w:tcW w:w="2632" w:type="dxa"/>
          </w:tcPr>
          <w:p w14:paraId="52613DC3" w14:textId="77777777" w:rsidR="00E06B31" w:rsidRDefault="00E06B31" w:rsidP="008867D9">
            <w:pPr>
              <w:pStyle w:val="TAL"/>
              <w:rPr>
                <w:rFonts w:eastAsia="Batang"/>
              </w:rPr>
            </w:pPr>
            <w:r>
              <w:rPr>
                <w:lang w:eastAsia="zh-CN"/>
              </w:rPr>
              <w:t>DnPerformance</w:t>
            </w:r>
          </w:p>
        </w:tc>
      </w:tr>
      <w:tr w:rsidR="00E06B31" w14:paraId="613557F9" w14:textId="77777777" w:rsidTr="008867D9">
        <w:trPr>
          <w:jc w:val="center"/>
        </w:trPr>
        <w:tc>
          <w:tcPr>
            <w:tcW w:w="2778" w:type="dxa"/>
          </w:tcPr>
          <w:p w14:paraId="323B625E" w14:textId="77777777" w:rsidR="00E06B31" w:rsidRDefault="00E06B31" w:rsidP="008867D9">
            <w:pPr>
              <w:pStyle w:val="TAL"/>
            </w:pPr>
            <w:r>
              <w:t>DnPerformanceReq</w:t>
            </w:r>
          </w:p>
        </w:tc>
        <w:tc>
          <w:tcPr>
            <w:tcW w:w="1849" w:type="dxa"/>
          </w:tcPr>
          <w:p w14:paraId="2B398AE3" w14:textId="77777777" w:rsidR="00E06B31" w:rsidRDefault="00E06B31" w:rsidP="008867D9">
            <w:pPr>
              <w:pStyle w:val="TAL"/>
            </w:pPr>
            <w:r>
              <w:t>5.1.6.2.66</w:t>
            </w:r>
          </w:p>
        </w:tc>
        <w:tc>
          <w:tcPr>
            <w:tcW w:w="2089" w:type="dxa"/>
          </w:tcPr>
          <w:p w14:paraId="5991FF07" w14:textId="77777777" w:rsidR="00E06B31" w:rsidRDefault="00E06B31" w:rsidP="008867D9">
            <w:pPr>
              <w:pStyle w:val="TAL"/>
              <w:rPr>
                <w:rFonts w:cs="Arial"/>
                <w:szCs w:val="18"/>
                <w:lang w:eastAsia="zh-CN"/>
              </w:rPr>
            </w:pPr>
            <w:r>
              <w:rPr>
                <w:lang w:eastAsia="zh-CN"/>
              </w:rPr>
              <w:t>Represents the DN performance requirements.</w:t>
            </w:r>
          </w:p>
        </w:tc>
        <w:tc>
          <w:tcPr>
            <w:tcW w:w="2632" w:type="dxa"/>
          </w:tcPr>
          <w:p w14:paraId="50F1A435" w14:textId="77777777" w:rsidR="00E06B31" w:rsidRDefault="00E06B31" w:rsidP="008867D9">
            <w:pPr>
              <w:pStyle w:val="TAL"/>
              <w:rPr>
                <w:rFonts w:eastAsia="Batang"/>
              </w:rPr>
            </w:pPr>
            <w:r>
              <w:rPr>
                <w:lang w:eastAsia="zh-CN"/>
              </w:rPr>
              <w:t>DnPerformance</w:t>
            </w:r>
          </w:p>
        </w:tc>
      </w:tr>
      <w:tr w:rsidR="004D166F" w14:paraId="69F7CA1C" w14:textId="77777777" w:rsidTr="008867D9">
        <w:trPr>
          <w:jc w:val="center"/>
        </w:trPr>
        <w:tc>
          <w:tcPr>
            <w:tcW w:w="2778" w:type="dxa"/>
          </w:tcPr>
          <w:p w14:paraId="567CD9AD" w14:textId="77777777" w:rsidR="004D166F" w:rsidRDefault="004D166F" w:rsidP="004D166F">
            <w:pPr>
              <w:pStyle w:val="TAL"/>
            </w:pPr>
            <w:r>
              <w:t>DurationSec</w:t>
            </w:r>
          </w:p>
        </w:tc>
        <w:tc>
          <w:tcPr>
            <w:tcW w:w="1849" w:type="dxa"/>
          </w:tcPr>
          <w:p w14:paraId="0EB7A31C" w14:textId="77777777" w:rsidR="004D166F" w:rsidRDefault="004D166F" w:rsidP="004D166F">
            <w:pPr>
              <w:pStyle w:val="TAL"/>
            </w:pPr>
            <w:r>
              <w:t>3GPP TS 29.571 [8]</w:t>
            </w:r>
          </w:p>
        </w:tc>
        <w:tc>
          <w:tcPr>
            <w:tcW w:w="2089" w:type="dxa"/>
          </w:tcPr>
          <w:p w14:paraId="35F913CF" w14:textId="77777777" w:rsidR="004D166F" w:rsidRDefault="004D166F" w:rsidP="004D166F">
            <w:pPr>
              <w:pStyle w:val="TAL"/>
              <w:rPr>
                <w:lang w:eastAsia="zh-CN"/>
              </w:rPr>
            </w:pPr>
            <w:r>
              <w:t>Represents a time duration expressed in units of seconds.</w:t>
            </w:r>
          </w:p>
        </w:tc>
        <w:tc>
          <w:tcPr>
            <w:tcW w:w="2632" w:type="dxa"/>
          </w:tcPr>
          <w:p w14:paraId="2F79AD3D" w14:textId="77777777" w:rsidR="004D166F" w:rsidRDefault="004D166F" w:rsidP="004D166F">
            <w:pPr>
              <w:pStyle w:val="TAL"/>
              <w:rPr>
                <w:lang w:eastAsia="zh-CN"/>
              </w:rPr>
            </w:pPr>
          </w:p>
        </w:tc>
      </w:tr>
      <w:tr w:rsidR="004D166F" w14:paraId="76FD0C18" w14:textId="77777777" w:rsidTr="008867D9">
        <w:trPr>
          <w:jc w:val="center"/>
        </w:trPr>
        <w:tc>
          <w:tcPr>
            <w:tcW w:w="2778" w:type="dxa"/>
          </w:tcPr>
          <w:p w14:paraId="621182EA" w14:textId="77777777" w:rsidR="004D166F" w:rsidRDefault="004D166F" w:rsidP="004D166F">
            <w:pPr>
              <w:pStyle w:val="TAL"/>
            </w:pPr>
            <w:r>
              <w:t>EventNotification</w:t>
            </w:r>
          </w:p>
        </w:tc>
        <w:tc>
          <w:tcPr>
            <w:tcW w:w="1849" w:type="dxa"/>
          </w:tcPr>
          <w:p w14:paraId="54D836AE" w14:textId="77777777" w:rsidR="004D166F" w:rsidRDefault="004D166F" w:rsidP="004D166F">
            <w:pPr>
              <w:pStyle w:val="TAL"/>
            </w:pPr>
            <w:r>
              <w:t>5.1.6.2.5</w:t>
            </w:r>
          </w:p>
        </w:tc>
        <w:tc>
          <w:tcPr>
            <w:tcW w:w="2089" w:type="dxa"/>
          </w:tcPr>
          <w:p w14:paraId="05B68BBA" w14:textId="77777777" w:rsidR="004D166F" w:rsidRDefault="004D166F" w:rsidP="004D166F">
            <w:pPr>
              <w:pStyle w:val="TAL"/>
              <w:rPr>
                <w:rFonts w:cs="Arial"/>
                <w:szCs w:val="18"/>
                <w:lang w:eastAsia="zh-CN"/>
              </w:rPr>
            </w:pPr>
            <w:r>
              <w:rPr>
                <w:lang w:eastAsia="zh-CN"/>
              </w:rPr>
              <w:t>Describes Notifications about analytics events that occurred.</w:t>
            </w:r>
          </w:p>
        </w:tc>
        <w:tc>
          <w:tcPr>
            <w:tcW w:w="2632" w:type="dxa"/>
          </w:tcPr>
          <w:p w14:paraId="471B223B" w14:textId="77777777" w:rsidR="004D166F" w:rsidRDefault="004D166F" w:rsidP="004D166F">
            <w:pPr>
              <w:pStyle w:val="TAL"/>
              <w:rPr>
                <w:rFonts w:eastAsia="Batang"/>
              </w:rPr>
            </w:pPr>
            <w:r>
              <w:rPr>
                <w:rFonts w:cs="Arial"/>
                <w:szCs w:val="18"/>
              </w:rPr>
              <w:t>AnaCtxTransfer</w:t>
            </w:r>
          </w:p>
        </w:tc>
      </w:tr>
      <w:tr w:rsidR="004D166F" w14:paraId="692BFCFB" w14:textId="77777777" w:rsidTr="008867D9">
        <w:trPr>
          <w:jc w:val="center"/>
        </w:trPr>
        <w:tc>
          <w:tcPr>
            <w:tcW w:w="2778" w:type="dxa"/>
          </w:tcPr>
          <w:p w14:paraId="64C5ECAD" w14:textId="77777777" w:rsidR="004D166F" w:rsidRDefault="004D166F" w:rsidP="004D166F">
            <w:pPr>
              <w:pStyle w:val="TAL"/>
            </w:pPr>
            <w:r>
              <w:t>EventReportingRequirement</w:t>
            </w:r>
          </w:p>
        </w:tc>
        <w:tc>
          <w:tcPr>
            <w:tcW w:w="1849" w:type="dxa"/>
          </w:tcPr>
          <w:p w14:paraId="1815A1B6" w14:textId="77777777" w:rsidR="004D166F" w:rsidRDefault="004D166F" w:rsidP="004D166F">
            <w:pPr>
              <w:pStyle w:val="TAL"/>
            </w:pPr>
            <w:r>
              <w:t>5.1.6.2.7</w:t>
            </w:r>
          </w:p>
        </w:tc>
        <w:tc>
          <w:tcPr>
            <w:tcW w:w="2089" w:type="dxa"/>
          </w:tcPr>
          <w:p w14:paraId="10E97612" w14:textId="77777777" w:rsidR="004D166F" w:rsidRDefault="004D166F" w:rsidP="004D166F">
            <w:pPr>
              <w:pStyle w:val="TAL"/>
              <w:rPr>
                <w:rFonts w:cs="Arial"/>
                <w:szCs w:val="18"/>
                <w:lang w:eastAsia="zh-CN"/>
              </w:rPr>
            </w:pPr>
            <w:r>
              <w:rPr>
                <w:rFonts w:cs="Arial"/>
                <w:szCs w:val="18"/>
                <w:lang w:eastAsia="zh-CN"/>
              </w:rPr>
              <w:t>Represents event reporting requirements.</w:t>
            </w:r>
          </w:p>
        </w:tc>
        <w:tc>
          <w:tcPr>
            <w:tcW w:w="2632" w:type="dxa"/>
          </w:tcPr>
          <w:p w14:paraId="676357CB" w14:textId="77777777" w:rsidR="004D166F" w:rsidRDefault="004D166F" w:rsidP="004D166F">
            <w:pPr>
              <w:pStyle w:val="TAL"/>
              <w:rPr>
                <w:rFonts w:eastAsia="Batang"/>
              </w:rPr>
            </w:pPr>
          </w:p>
        </w:tc>
      </w:tr>
      <w:tr w:rsidR="004D166F" w14:paraId="5F421569" w14:textId="77777777" w:rsidTr="008867D9">
        <w:trPr>
          <w:jc w:val="center"/>
        </w:trPr>
        <w:tc>
          <w:tcPr>
            <w:tcW w:w="2778" w:type="dxa"/>
          </w:tcPr>
          <w:p w14:paraId="57951B26" w14:textId="77777777" w:rsidR="004D166F" w:rsidRDefault="004D166F" w:rsidP="004D166F">
            <w:pPr>
              <w:pStyle w:val="TAL"/>
            </w:pPr>
            <w:r>
              <w:lastRenderedPageBreak/>
              <w:t>ExceptionId</w:t>
            </w:r>
          </w:p>
        </w:tc>
        <w:tc>
          <w:tcPr>
            <w:tcW w:w="1849" w:type="dxa"/>
          </w:tcPr>
          <w:p w14:paraId="0E3F6536" w14:textId="77777777" w:rsidR="004D166F" w:rsidRDefault="004D166F" w:rsidP="004D166F">
            <w:pPr>
              <w:pStyle w:val="TAL"/>
            </w:pPr>
            <w:r>
              <w:rPr>
                <w:lang w:eastAsia="zh-CN"/>
              </w:rPr>
              <w:t>5.1.6.3.6</w:t>
            </w:r>
          </w:p>
        </w:tc>
        <w:tc>
          <w:tcPr>
            <w:tcW w:w="2089" w:type="dxa"/>
          </w:tcPr>
          <w:p w14:paraId="311A8B61" w14:textId="77777777" w:rsidR="004D166F" w:rsidRDefault="004D166F" w:rsidP="004D166F">
            <w:pPr>
              <w:pStyle w:val="TAL"/>
              <w:rPr>
                <w:rFonts w:cs="Arial"/>
                <w:szCs w:val="18"/>
                <w:lang w:eastAsia="zh-CN"/>
              </w:rPr>
            </w:pPr>
            <w:r>
              <w:rPr>
                <w:rFonts w:cs="Arial"/>
                <w:szCs w:val="18"/>
                <w:lang w:eastAsia="zh-CN"/>
              </w:rPr>
              <w:t>Represents the identifier of an exception.</w:t>
            </w:r>
          </w:p>
        </w:tc>
        <w:tc>
          <w:tcPr>
            <w:tcW w:w="2632" w:type="dxa"/>
          </w:tcPr>
          <w:p w14:paraId="6261DC02" w14:textId="77777777" w:rsidR="004D166F" w:rsidRDefault="004D166F" w:rsidP="004D166F">
            <w:pPr>
              <w:pStyle w:val="TAL"/>
              <w:rPr>
                <w:rFonts w:eastAsia="Batang"/>
              </w:rPr>
            </w:pPr>
            <w:r>
              <w:rPr>
                <w:rFonts w:cs="Arial"/>
                <w:szCs w:val="18"/>
              </w:rPr>
              <w:t>AbnormalBehaviour</w:t>
            </w:r>
          </w:p>
        </w:tc>
      </w:tr>
      <w:tr w:rsidR="004D166F" w14:paraId="41EB4F6E" w14:textId="77777777" w:rsidTr="008867D9">
        <w:trPr>
          <w:jc w:val="center"/>
        </w:trPr>
        <w:tc>
          <w:tcPr>
            <w:tcW w:w="2778" w:type="dxa"/>
          </w:tcPr>
          <w:p w14:paraId="053C5170" w14:textId="77777777" w:rsidR="004D166F" w:rsidRDefault="004D166F" w:rsidP="004D166F">
            <w:pPr>
              <w:pStyle w:val="TAL"/>
            </w:pPr>
            <w:r>
              <w:t>ExpectedUeBehaviourData</w:t>
            </w:r>
          </w:p>
        </w:tc>
        <w:tc>
          <w:tcPr>
            <w:tcW w:w="1849" w:type="dxa"/>
          </w:tcPr>
          <w:p w14:paraId="760CE590" w14:textId="77777777" w:rsidR="004D166F" w:rsidRDefault="004D166F" w:rsidP="004D166F">
            <w:pPr>
              <w:pStyle w:val="TAL"/>
            </w:pPr>
            <w:r>
              <w:t>3GPP TS 29.503 [23]</w:t>
            </w:r>
          </w:p>
        </w:tc>
        <w:tc>
          <w:tcPr>
            <w:tcW w:w="2089" w:type="dxa"/>
          </w:tcPr>
          <w:p w14:paraId="67CFC823" w14:textId="77777777" w:rsidR="004D166F" w:rsidRDefault="004D166F" w:rsidP="004D166F">
            <w:pPr>
              <w:pStyle w:val="TAL"/>
              <w:rPr>
                <w:rFonts w:cs="Arial"/>
                <w:szCs w:val="18"/>
                <w:lang w:eastAsia="zh-CN"/>
              </w:rPr>
            </w:pPr>
            <w:r>
              <w:rPr>
                <w:rFonts w:cs="Arial"/>
                <w:szCs w:val="18"/>
                <w:lang w:eastAsia="zh-CN"/>
              </w:rPr>
              <w:t>Represents the expected UE behaviour data.</w:t>
            </w:r>
          </w:p>
        </w:tc>
        <w:tc>
          <w:tcPr>
            <w:tcW w:w="2632" w:type="dxa"/>
          </w:tcPr>
          <w:p w14:paraId="293DC640" w14:textId="77777777" w:rsidR="004D166F" w:rsidRDefault="004D166F" w:rsidP="004D166F">
            <w:pPr>
              <w:pStyle w:val="TAL"/>
              <w:rPr>
                <w:rFonts w:eastAsia="Batang"/>
              </w:rPr>
            </w:pPr>
            <w:r>
              <w:rPr>
                <w:rFonts w:cs="Arial"/>
                <w:szCs w:val="18"/>
              </w:rPr>
              <w:t>AbnormalBehaviour</w:t>
            </w:r>
          </w:p>
        </w:tc>
      </w:tr>
      <w:tr w:rsidR="004D166F" w14:paraId="1B3D41DB" w14:textId="77777777" w:rsidTr="008867D9">
        <w:trPr>
          <w:jc w:val="center"/>
        </w:trPr>
        <w:tc>
          <w:tcPr>
            <w:tcW w:w="2778" w:type="dxa"/>
          </w:tcPr>
          <w:p w14:paraId="7B53020E" w14:textId="77777777" w:rsidR="004D166F" w:rsidRDefault="004D166F" w:rsidP="004D166F">
            <w:pPr>
              <w:pStyle w:val="TAL"/>
            </w:pPr>
            <w:r>
              <w:t>ExpectedAnalyticsType</w:t>
            </w:r>
          </w:p>
        </w:tc>
        <w:tc>
          <w:tcPr>
            <w:tcW w:w="1849" w:type="dxa"/>
          </w:tcPr>
          <w:p w14:paraId="3A82BDC9" w14:textId="77777777" w:rsidR="004D166F" w:rsidRDefault="004D166F" w:rsidP="004D166F">
            <w:pPr>
              <w:pStyle w:val="TAL"/>
            </w:pPr>
            <w:r>
              <w:t>5.1.6.3.11</w:t>
            </w:r>
          </w:p>
        </w:tc>
        <w:tc>
          <w:tcPr>
            <w:tcW w:w="2089" w:type="dxa"/>
          </w:tcPr>
          <w:p w14:paraId="44B794AC" w14:textId="77777777" w:rsidR="004D166F" w:rsidRDefault="004D166F" w:rsidP="004D166F">
            <w:pPr>
              <w:pStyle w:val="TAL"/>
              <w:rPr>
                <w:rFonts w:cs="Arial"/>
                <w:szCs w:val="18"/>
                <w:lang w:eastAsia="zh-CN"/>
              </w:rPr>
            </w:pPr>
            <w:r>
              <w:rPr>
                <w:rFonts w:cs="Arial"/>
                <w:szCs w:val="18"/>
                <w:lang w:eastAsia="zh-CN"/>
              </w:rPr>
              <w:t>Represents the expected analytics type.</w:t>
            </w:r>
          </w:p>
        </w:tc>
        <w:tc>
          <w:tcPr>
            <w:tcW w:w="2632" w:type="dxa"/>
          </w:tcPr>
          <w:p w14:paraId="51CF5D5B" w14:textId="77777777" w:rsidR="004D166F" w:rsidRDefault="004D166F" w:rsidP="004D166F">
            <w:pPr>
              <w:pStyle w:val="TAL"/>
              <w:rPr>
                <w:rFonts w:eastAsia="Batang"/>
              </w:rPr>
            </w:pPr>
            <w:r>
              <w:rPr>
                <w:rFonts w:cs="Arial"/>
                <w:szCs w:val="18"/>
              </w:rPr>
              <w:t>AbnormalBehaviour</w:t>
            </w:r>
          </w:p>
        </w:tc>
      </w:tr>
      <w:tr w:rsidR="004D3964" w14:paraId="4937A131" w14:textId="77777777" w:rsidTr="008867D9">
        <w:trPr>
          <w:jc w:val="center"/>
        </w:trPr>
        <w:tc>
          <w:tcPr>
            <w:tcW w:w="2778" w:type="dxa"/>
          </w:tcPr>
          <w:p w14:paraId="18142136" w14:textId="77777777" w:rsidR="004D3964" w:rsidRDefault="004D3964" w:rsidP="004D3964">
            <w:pPr>
              <w:pStyle w:val="TAL"/>
              <w:rPr>
                <w:lang w:eastAsia="zh-CN"/>
              </w:rPr>
            </w:pPr>
            <w:r>
              <w:t>GeographicalArea</w:t>
            </w:r>
          </w:p>
        </w:tc>
        <w:tc>
          <w:tcPr>
            <w:tcW w:w="1849" w:type="dxa"/>
          </w:tcPr>
          <w:p w14:paraId="574AE65D" w14:textId="77777777" w:rsidR="004D3964" w:rsidRDefault="004D3964" w:rsidP="004D3964">
            <w:pPr>
              <w:pStyle w:val="TAL"/>
              <w:rPr>
                <w:lang w:eastAsia="zh-CN"/>
              </w:rPr>
            </w:pPr>
            <w:r>
              <w:rPr>
                <w:lang w:eastAsia="en-GB"/>
              </w:rPr>
              <w:t>3GPP TS 29.522</w:t>
            </w:r>
            <w:r>
              <w:t> [32]</w:t>
            </w:r>
          </w:p>
        </w:tc>
        <w:tc>
          <w:tcPr>
            <w:tcW w:w="2089" w:type="dxa"/>
          </w:tcPr>
          <w:p w14:paraId="6F745E24" w14:textId="77777777" w:rsidR="004D3964" w:rsidRDefault="004D3964" w:rsidP="004D3964">
            <w:pPr>
              <w:pStyle w:val="TAL"/>
              <w:rPr>
                <w:lang w:eastAsia="zh-CN"/>
              </w:rPr>
            </w:pPr>
            <w:r>
              <w:t>Identifies the geographical location.</w:t>
            </w:r>
          </w:p>
        </w:tc>
        <w:tc>
          <w:tcPr>
            <w:tcW w:w="2632" w:type="dxa"/>
          </w:tcPr>
          <w:p w14:paraId="5E4C7B8B" w14:textId="77777777" w:rsidR="004D3964" w:rsidRDefault="004D3964" w:rsidP="004D3964">
            <w:pPr>
              <w:pStyle w:val="TAL"/>
            </w:pPr>
            <w:r>
              <w:t>UeMobilityExt2_eNA</w:t>
            </w:r>
          </w:p>
          <w:p w14:paraId="372C7610" w14:textId="77777777" w:rsidR="004D3964" w:rsidRDefault="004D3964" w:rsidP="004D3964">
            <w:pPr>
              <w:pStyle w:val="TAL"/>
              <w:rPr>
                <w:lang w:eastAsia="zh-CN"/>
              </w:rPr>
            </w:pPr>
            <w:r>
              <w:rPr>
                <w:lang w:eastAsia="zh-CN"/>
              </w:rPr>
              <w:t>ServiceExperienceExt2_eNA</w:t>
            </w:r>
          </w:p>
          <w:p w14:paraId="3FBA133D" w14:textId="77777777" w:rsidR="004D3964" w:rsidRDefault="004D3964" w:rsidP="004D3964">
            <w:pPr>
              <w:pStyle w:val="TAL"/>
              <w:rPr>
                <w:rFonts w:eastAsia="Batang"/>
              </w:rPr>
            </w:pPr>
            <w:r>
              <w:rPr>
                <w:rFonts w:eastAsia="Batang"/>
              </w:rPr>
              <w:t>QoSSustainExt_eNA</w:t>
            </w:r>
          </w:p>
          <w:p w14:paraId="6080D350" w14:textId="77777777" w:rsidR="004D3964" w:rsidRDefault="004D3964" w:rsidP="004D3964">
            <w:pPr>
              <w:pStyle w:val="TAL"/>
            </w:pPr>
            <w:r>
              <w:rPr>
                <w:rFonts w:eastAsia="Batang"/>
              </w:rPr>
              <w:t>MovementBehaviour</w:t>
            </w:r>
          </w:p>
        </w:tc>
      </w:tr>
      <w:tr w:rsidR="004D3964" w14:paraId="545840CB"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762FBBAD" w14:textId="77777777" w:rsidR="004D3964" w:rsidRDefault="004D3964" w:rsidP="004D3964">
            <w:pPr>
              <w:pStyle w:val="TAL"/>
            </w:pPr>
            <w:r>
              <w:t>GeoLocation</w:t>
            </w:r>
          </w:p>
        </w:tc>
        <w:tc>
          <w:tcPr>
            <w:tcW w:w="1849" w:type="dxa"/>
            <w:tcBorders>
              <w:top w:val="single" w:sz="6" w:space="0" w:color="auto"/>
              <w:left w:val="single" w:sz="6" w:space="0" w:color="auto"/>
              <w:bottom w:val="single" w:sz="6" w:space="0" w:color="auto"/>
              <w:right w:val="single" w:sz="6" w:space="0" w:color="auto"/>
            </w:tcBorders>
          </w:tcPr>
          <w:p w14:paraId="203FC4C0" w14:textId="77777777" w:rsidR="004D3964" w:rsidRDefault="004D3964" w:rsidP="004D3964">
            <w:pPr>
              <w:pStyle w:val="TAL"/>
              <w:rPr>
                <w:lang w:eastAsia="en-GB"/>
              </w:rPr>
            </w:pPr>
            <w:r>
              <w:rPr>
                <w:lang w:eastAsia="en-GB"/>
              </w:rPr>
              <w:t>5.1.6.2.95</w:t>
            </w:r>
          </w:p>
        </w:tc>
        <w:tc>
          <w:tcPr>
            <w:tcW w:w="2089" w:type="dxa"/>
            <w:tcBorders>
              <w:top w:val="single" w:sz="6" w:space="0" w:color="auto"/>
              <w:left w:val="single" w:sz="6" w:space="0" w:color="auto"/>
              <w:bottom w:val="single" w:sz="6" w:space="0" w:color="auto"/>
              <w:right w:val="single" w:sz="6" w:space="0" w:color="auto"/>
            </w:tcBorders>
          </w:tcPr>
          <w:p w14:paraId="496BB89D" w14:textId="77777777" w:rsidR="004D3964" w:rsidRDefault="004D3964" w:rsidP="004D3964">
            <w:pPr>
              <w:pStyle w:val="TAL"/>
            </w:pPr>
            <w:r>
              <w:t>Represents a geographic location, potentially using local coordinates and optionally including the altitude.</w:t>
            </w:r>
          </w:p>
        </w:tc>
        <w:tc>
          <w:tcPr>
            <w:tcW w:w="2632" w:type="dxa"/>
            <w:tcBorders>
              <w:top w:val="single" w:sz="6" w:space="0" w:color="auto"/>
              <w:left w:val="single" w:sz="6" w:space="0" w:color="auto"/>
              <w:bottom w:val="single" w:sz="6" w:space="0" w:color="auto"/>
              <w:right w:val="single" w:sz="6" w:space="0" w:color="auto"/>
            </w:tcBorders>
          </w:tcPr>
          <w:p w14:paraId="44964816" w14:textId="77777777" w:rsidR="004D3964" w:rsidRDefault="004D3964" w:rsidP="004D3964">
            <w:pPr>
              <w:pStyle w:val="TAL"/>
            </w:pPr>
            <w:r>
              <w:t>LocAccuracy</w:t>
            </w:r>
          </w:p>
        </w:tc>
      </w:tr>
      <w:tr w:rsidR="004D3964" w14:paraId="1288F57A"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58BA8C8D" w14:textId="77777777" w:rsidR="004D3964" w:rsidRDefault="004D3964" w:rsidP="004D3964">
            <w:pPr>
              <w:pStyle w:val="TAL"/>
            </w:pPr>
            <w:r>
              <w:t>LocAccuracyInfo</w:t>
            </w:r>
          </w:p>
        </w:tc>
        <w:tc>
          <w:tcPr>
            <w:tcW w:w="1849" w:type="dxa"/>
            <w:tcBorders>
              <w:top w:val="single" w:sz="6" w:space="0" w:color="auto"/>
              <w:left w:val="single" w:sz="6" w:space="0" w:color="auto"/>
              <w:bottom w:val="single" w:sz="6" w:space="0" w:color="auto"/>
              <w:right w:val="single" w:sz="6" w:space="0" w:color="auto"/>
            </w:tcBorders>
          </w:tcPr>
          <w:p w14:paraId="07AEF124" w14:textId="77777777" w:rsidR="004D3964" w:rsidRDefault="004D3964" w:rsidP="004D3964">
            <w:pPr>
              <w:pStyle w:val="TAL"/>
              <w:rPr>
                <w:lang w:eastAsia="en-GB"/>
              </w:rPr>
            </w:pPr>
            <w:r>
              <w:rPr>
                <w:lang w:eastAsia="en-GB"/>
              </w:rPr>
              <w:t>5.1.6.2.97</w:t>
            </w:r>
          </w:p>
        </w:tc>
        <w:tc>
          <w:tcPr>
            <w:tcW w:w="2089" w:type="dxa"/>
            <w:tcBorders>
              <w:top w:val="single" w:sz="6" w:space="0" w:color="auto"/>
              <w:left w:val="single" w:sz="6" w:space="0" w:color="auto"/>
              <w:bottom w:val="single" w:sz="6" w:space="0" w:color="auto"/>
              <w:right w:val="single" w:sz="6" w:space="0" w:color="auto"/>
            </w:tcBorders>
          </w:tcPr>
          <w:p w14:paraId="5D65A57A" w14:textId="77777777" w:rsidR="004D3964" w:rsidRDefault="004D3964" w:rsidP="004D3964">
            <w:pPr>
              <w:pStyle w:val="TAL"/>
            </w:pPr>
            <w:r>
              <w:t>Contains Location Accuracy information.</w:t>
            </w:r>
          </w:p>
        </w:tc>
        <w:tc>
          <w:tcPr>
            <w:tcW w:w="2632" w:type="dxa"/>
            <w:tcBorders>
              <w:top w:val="single" w:sz="6" w:space="0" w:color="auto"/>
              <w:left w:val="single" w:sz="6" w:space="0" w:color="auto"/>
              <w:bottom w:val="single" w:sz="6" w:space="0" w:color="auto"/>
              <w:right w:val="single" w:sz="6" w:space="0" w:color="auto"/>
            </w:tcBorders>
          </w:tcPr>
          <w:p w14:paraId="1F8A2A64" w14:textId="77777777" w:rsidR="004D3964" w:rsidRDefault="004D3964" w:rsidP="004D3964">
            <w:pPr>
              <w:pStyle w:val="TAL"/>
            </w:pPr>
            <w:r>
              <w:t>LocAccuracy</w:t>
            </w:r>
          </w:p>
        </w:tc>
      </w:tr>
      <w:tr w:rsidR="004D3964" w14:paraId="1B4DE722"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2B3E172C" w14:textId="77777777" w:rsidR="004D3964" w:rsidRDefault="004D3964" w:rsidP="004D3964">
            <w:pPr>
              <w:pStyle w:val="TAL"/>
            </w:pPr>
            <w:r>
              <w:t>LocAccuracyReq</w:t>
            </w:r>
          </w:p>
        </w:tc>
        <w:tc>
          <w:tcPr>
            <w:tcW w:w="1849" w:type="dxa"/>
            <w:tcBorders>
              <w:top w:val="single" w:sz="6" w:space="0" w:color="auto"/>
              <w:left w:val="single" w:sz="6" w:space="0" w:color="auto"/>
              <w:bottom w:val="single" w:sz="6" w:space="0" w:color="auto"/>
              <w:right w:val="single" w:sz="6" w:space="0" w:color="auto"/>
            </w:tcBorders>
          </w:tcPr>
          <w:p w14:paraId="080BC243" w14:textId="77777777" w:rsidR="004D3964" w:rsidRDefault="004D3964" w:rsidP="004D3964">
            <w:pPr>
              <w:pStyle w:val="TAL"/>
              <w:rPr>
                <w:lang w:eastAsia="en-GB"/>
              </w:rPr>
            </w:pPr>
            <w:r>
              <w:rPr>
                <w:lang w:eastAsia="en-GB"/>
              </w:rPr>
              <w:t>5.1.6.2.96</w:t>
            </w:r>
          </w:p>
        </w:tc>
        <w:tc>
          <w:tcPr>
            <w:tcW w:w="2089" w:type="dxa"/>
            <w:tcBorders>
              <w:top w:val="single" w:sz="6" w:space="0" w:color="auto"/>
              <w:left w:val="single" w:sz="6" w:space="0" w:color="auto"/>
              <w:bottom w:val="single" w:sz="6" w:space="0" w:color="auto"/>
              <w:right w:val="single" w:sz="6" w:space="0" w:color="auto"/>
            </w:tcBorders>
          </w:tcPr>
          <w:p w14:paraId="46283E8F" w14:textId="77777777" w:rsidR="004D3964" w:rsidRDefault="004D3964" w:rsidP="004D3964">
            <w:pPr>
              <w:pStyle w:val="TAL"/>
            </w:pPr>
            <w:r>
              <w:t>Contains Location Accuracy analytics requirements.</w:t>
            </w:r>
          </w:p>
        </w:tc>
        <w:tc>
          <w:tcPr>
            <w:tcW w:w="2632" w:type="dxa"/>
            <w:tcBorders>
              <w:top w:val="single" w:sz="6" w:space="0" w:color="auto"/>
              <w:left w:val="single" w:sz="6" w:space="0" w:color="auto"/>
              <w:bottom w:val="single" w:sz="6" w:space="0" w:color="auto"/>
              <w:right w:val="single" w:sz="6" w:space="0" w:color="auto"/>
            </w:tcBorders>
          </w:tcPr>
          <w:p w14:paraId="10F4D2F6" w14:textId="77777777" w:rsidR="004D3964" w:rsidRDefault="004D3964" w:rsidP="004D3964">
            <w:pPr>
              <w:pStyle w:val="TAL"/>
            </w:pPr>
            <w:r>
              <w:t>LocAccuracy</w:t>
            </w:r>
          </w:p>
        </w:tc>
      </w:tr>
      <w:tr w:rsidR="004D3964" w14:paraId="2342DD1D" w14:textId="77777777" w:rsidTr="008867D9">
        <w:trPr>
          <w:jc w:val="center"/>
        </w:trPr>
        <w:tc>
          <w:tcPr>
            <w:tcW w:w="2778" w:type="dxa"/>
          </w:tcPr>
          <w:p w14:paraId="16A8CCEF" w14:textId="77777777" w:rsidR="004D3964" w:rsidRDefault="004D3964" w:rsidP="004D3964">
            <w:pPr>
              <w:pStyle w:val="TAL"/>
            </w:pPr>
            <w:r>
              <w:rPr>
                <w:lang w:eastAsia="zh-CN"/>
              </w:rPr>
              <w:t>LocInfoGranularity</w:t>
            </w:r>
          </w:p>
        </w:tc>
        <w:tc>
          <w:tcPr>
            <w:tcW w:w="1849" w:type="dxa"/>
          </w:tcPr>
          <w:p w14:paraId="64CAAE89" w14:textId="77777777" w:rsidR="004D3964" w:rsidRDefault="004D3964" w:rsidP="004D3964">
            <w:pPr>
              <w:pStyle w:val="TAL"/>
            </w:pPr>
            <w:r>
              <w:rPr>
                <w:lang w:eastAsia="zh-CN"/>
              </w:rPr>
              <w:t>5.1.6.3.32</w:t>
            </w:r>
          </w:p>
        </w:tc>
        <w:tc>
          <w:tcPr>
            <w:tcW w:w="2089" w:type="dxa"/>
          </w:tcPr>
          <w:p w14:paraId="4E96A312" w14:textId="77777777" w:rsidR="004D3964" w:rsidRDefault="004D3964" w:rsidP="004D3964">
            <w:pPr>
              <w:pStyle w:val="TAL"/>
              <w:rPr>
                <w:rFonts w:cs="Arial"/>
                <w:szCs w:val="18"/>
                <w:lang w:eastAsia="zh-CN"/>
              </w:rPr>
            </w:pPr>
            <w:r>
              <w:rPr>
                <w:lang w:eastAsia="zh-CN"/>
              </w:rPr>
              <w:t xml:space="preserve">Represents the </w:t>
            </w:r>
            <w:r>
              <w:t>preferred granularity of location information.</w:t>
            </w:r>
          </w:p>
        </w:tc>
        <w:tc>
          <w:tcPr>
            <w:tcW w:w="2632" w:type="dxa"/>
          </w:tcPr>
          <w:p w14:paraId="03FAD990" w14:textId="77777777" w:rsidR="004D3964" w:rsidRDefault="004D3964" w:rsidP="004D3964">
            <w:pPr>
              <w:pStyle w:val="TAL"/>
              <w:rPr>
                <w:lang w:eastAsia="zh-CN"/>
              </w:rPr>
            </w:pPr>
            <w:r>
              <w:t>ServiceExperienceExt</w:t>
            </w:r>
            <w:r>
              <w:rPr>
                <w:lang w:eastAsia="zh-CN"/>
              </w:rPr>
              <w:t>2_eNA</w:t>
            </w:r>
          </w:p>
          <w:p w14:paraId="49790BA1" w14:textId="77777777" w:rsidR="004D3964" w:rsidRDefault="004D3964" w:rsidP="004D3964">
            <w:pPr>
              <w:pStyle w:val="TAL"/>
              <w:rPr>
                <w:lang w:eastAsia="zh-CN"/>
              </w:rPr>
            </w:pPr>
            <w:r>
              <w:t>UeMobility</w:t>
            </w:r>
            <w:r>
              <w:rPr>
                <w:lang w:eastAsia="zh-CN"/>
              </w:rPr>
              <w:t>Ext2_eNA</w:t>
            </w:r>
          </w:p>
          <w:p w14:paraId="43C000AC" w14:textId="77777777" w:rsidR="004D3964" w:rsidRDefault="004D3964" w:rsidP="004D3964">
            <w:pPr>
              <w:pStyle w:val="TAL"/>
              <w:rPr>
                <w:lang w:eastAsia="zh-CN"/>
              </w:rPr>
            </w:pPr>
            <w:r>
              <w:t>DispersionExt</w:t>
            </w:r>
            <w:r>
              <w:rPr>
                <w:lang w:eastAsia="zh-CN"/>
              </w:rPr>
              <w:t>_eNA</w:t>
            </w:r>
          </w:p>
          <w:p w14:paraId="37E69084" w14:textId="77777777" w:rsidR="004D3964" w:rsidRDefault="004D3964" w:rsidP="004D3964">
            <w:pPr>
              <w:pStyle w:val="TAL"/>
              <w:rPr>
                <w:rFonts w:cs="Arial"/>
                <w:szCs w:val="18"/>
              </w:rPr>
            </w:pPr>
            <w:r>
              <w:rPr>
                <w:rFonts w:cs="Arial"/>
                <w:szCs w:val="18"/>
                <w:lang w:eastAsia="zh-CN"/>
              </w:rPr>
              <w:t>MovementBehaviour</w:t>
            </w:r>
          </w:p>
        </w:tc>
      </w:tr>
      <w:tr w:rsidR="004D3964" w14:paraId="00A0BFC4"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57296E1C" w14:textId="77777777" w:rsidR="004D3964" w:rsidRDefault="004D3964" w:rsidP="004D3964">
            <w:pPr>
              <w:pStyle w:val="TAL"/>
              <w:rPr>
                <w:lang w:eastAsia="zh-CN"/>
              </w:rPr>
            </w:pPr>
            <w:r>
              <w:rPr>
                <w:lang w:eastAsia="zh-CN"/>
              </w:rPr>
              <w:t>LocationOrientation</w:t>
            </w:r>
          </w:p>
        </w:tc>
        <w:tc>
          <w:tcPr>
            <w:tcW w:w="1849" w:type="dxa"/>
            <w:tcBorders>
              <w:top w:val="single" w:sz="6" w:space="0" w:color="auto"/>
              <w:left w:val="single" w:sz="6" w:space="0" w:color="auto"/>
              <w:bottom w:val="single" w:sz="6" w:space="0" w:color="auto"/>
              <w:right w:val="single" w:sz="6" w:space="0" w:color="auto"/>
            </w:tcBorders>
          </w:tcPr>
          <w:p w14:paraId="6B721A6F" w14:textId="77777777" w:rsidR="004D3964" w:rsidRDefault="004D3964" w:rsidP="004D3964">
            <w:pPr>
              <w:pStyle w:val="TAL"/>
              <w:rPr>
                <w:lang w:eastAsia="zh-CN"/>
              </w:rPr>
            </w:pPr>
            <w:r>
              <w:rPr>
                <w:lang w:eastAsia="zh-CN"/>
              </w:rPr>
              <w:t>5.1.6.3.38</w:t>
            </w:r>
          </w:p>
        </w:tc>
        <w:tc>
          <w:tcPr>
            <w:tcW w:w="2089" w:type="dxa"/>
            <w:tcBorders>
              <w:top w:val="single" w:sz="6" w:space="0" w:color="auto"/>
              <w:left w:val="single" w:sz="6" w:space="0" w:color="auto"/>
              <w:bottom w:val="single" w:sz="6" w:space="0" w:color="auto"/>
              <w:right w:val="single" w:sz="6" w:space="0" w:color="auto"/>
            </w:tcBorders>
          </w:tcPr>
          <w:p w14:paraId="136D149B" w14:textId="77777777" w:rsidR="004D3964" w:rsidRDefault="004D3964" w:rsidP="004D3964">
            <w:pPr>
              <w:pStyle w:val="TAL"/>
              <w:rPr>
                <w:lang w:eastAsia="zh-CN"/>
              </w:rPr>
            </w:pPr>
            <w:r>
              <w:rPr>
                <w:lang w:eastAsia="zh-CN"/>
              </w:rPr>
              <w:t>Represent preferred orientation of location information</w:t>
            </w:r>
          </w:p>
        </w:tc>
        <w:tc>
          <w:tcPr>
            <w:tcW w:w="2632" w:type="dxa"/>
            <w:tcBorders>
              <w:top w:val="single" w:sz="6" w:space="0" w:color="auto"/>
              <w:left w:val="single" w:sz="6" w:space="0" w:color="auto"/>
              <w:bottom w:val="single" w:sz="6" w:space="0" w:color="auto"/>
              <w:right w:val="single" w:sz="6" w:space="0" w:color="auto"/>
            </w:tcBorders>
          </w:tcPr>
          <w:p w14:paraId="5ABC3096" w14:textId="77777777" w:rsidR="004D3964" w:rsidRDefault="004D3964" w:rsidP="004D3964">
            <w:pPr>
              <w:pStyle w:val="TAL"/>
            </w:pPr>
            <w:r>
              <w:t>MovementBehaviour</w:t>
            </w:r>
          </w:p>
        </w:tc>
      </w:tr>
      <w:tr w:rsidR="004D3964" w14:paraId="34AD8703" w14:textId="77777777" w:rsidTr="008867D9">
        <w:trPr>
          <w:jc w:val="center"/>
        </w:trPr>
        <w:tc>
          <w:tcPr>
            <w:tcW w:w="2778" w:type="dxa"/>
          </w:tcPr>
          <w:p w14:paraId="31E96A71" w14:textId="77777777" w:rsidR="004D3964" w:rsidRDefault="004D3964" w:rsidP="004D3964">
            <w:pPr>
              <w:pStyle w:val="TAL"/>
            </w:pPr>
            <w:r>
              <w:t>MatchingDirection</w:t>
            </w:r>
          </w:p>
        </w:tc>
        <w:tc>
          <w:tcPr>
            <w:tcW w:w="1849" w:type="dxa"/>
          </w:tcPr>
          <w:p w14:paraId="62A53948" w14:textId="77777777" w:rsidR="004D3964" w:rsidRDefault="004D3964" w:rsidP="004D3964">
            <w:pPr>
              <w:pStyle w:val="TAL"/>
            </w:pPr>
            <w:r>
              <w:t>5.1.6.3.12</w:t>
            </w:r>
          </w:p>
        </w:tc>
        <w:tc>
          <w:tcPr>
            <w:tcW w:w="2089" w:type="dxa"/>
          </w:tcPr>
          <w:p w14:paraId="77936864" w14:textId="77777777" w:rsidR="004D3964" w:rsidRDefault="004D3964" w:rsidP="004D3964">
            <w:pPr>
              <w:pStyle w:val="TAL"/>
              <w:rPr>
                <w:rFonts w:cs="Arial"/>
                <w:szCs w:val="18"/>
                <w:lang w:eastAsia="zh-CN"/>
              </w:rPr>
            </w:pPr>
            <w:r>
              <w:rPr>
                <w:lang w:eastAsia="zh-CN"/>
              </w:rPr>
              <w:t>The matching direction</w:t>
            </w:r>
            <w:r>
              <w:rPr>
                <w:rFonts w:hint="eastAsia"/>
                <w:lang w:eastAsia="zh-CN"/>
              </w:rPr>
              <w:t>.</w:t>
            </w:r>
          </w:p>
        </w:tc>
        <w:tc>
          <w:tcPr>
            <w:tcW w:w="2632" w:type="dxa"/>
          </w:tcPr>
          <w:p w14:paraId="6D18B5C4" w14:textId="77777777" w:rsidR="004D3964" w:rsidRDefault="004D3964" w:rsidP="004D3964">
            <w:pPr>
              <w:pStyle w:val="TAL"/>
            </w:pPr>
            <w:r>
              <w:t>UserDataCongestionExt2_eNA</w:t>
            </w:r>
          </w:p>
          <w:p w14:paraId="680220B4" w14:textId="77777777" w:rsidR="004D3964" w:rsidRDefault="004D3964" w:rsidP="004D3964">
            <w:pPr>
              <w:pStyle w:val="TAL"/>
              <w:rPr>
                <w:rFonts w:cs="Arial"/>
                <w:szCs w:val="18"/>
              </w:rPr>
            </w:pPr>
            <w:r>
              <w:t>NetworkPerformanceExt</w:t>
            </w:r>
          </w:p>
        </w:tc>
      </w:tr>
      <w:tr w:rsidR="004D3964" w14:paraId="7B452520" w14:textId="77777777" w:rsidTr="008867D9">
        <w:trPr>
          <w:jc w:val="center"/>
        </w:trPr>
        <w:tc>
          <w:tcPr>
            <w:tcW w:w="2778" w:type="dxa"/>
          </w:tcPr>
          <w:p w14:paraId="00214DF8" w14:textId="77777777" w:rsidR="004D3964" w:rsidRDefault="004D3964" w:rsidP="004D3964">
            <w:pPr>
              <w:pStyle w:val="TAL"/>
            </w:pPr>
            <w:r w:rsidRPr="00125A9F">
              <w:t>MLModelAccuracyInfo</w:t>
            </w:r>
          </w:p>
        </w:tc>
        <w:tc>
          <w:tcPr>
            <w:tcW w:w="1849" w:type="dxa"/>
          </w:tcPr>
          <w:p w14:paraId="18B8C856" w14:textId="77777777" w:rsidR="004D3964" w:rsidRDefault="004D3964" w:rsidP="004D3964">
            <w:pPr>
              <w:pStyle w:val="TAL"/>
            </w:pPr>
            <w:r w:rsidRPr="00964255">
              <w:rPr>
                <w:lang w:eastAsia="zh-CN"/>
              </w:rPr>
              <w:t>5.6.6.2.5</w:t>
            </w:r>
          </w:p>
        </w:tc>
        <w:tc>
          <w:tcPr>
            <w:tcW w:w="2089" w:type="dxa"/>
          </w:tcPr>
          <w:p w14:paraId="03EA494A" w14:textId="77777777" w:rsidR="004D3964" w:rsidRDefault="004D3964" w:rsidP="004D3964">
            <w:pPr>
              <w:pStyle w:val="TAL"/>
              <w:rPr>
                <w:lang w:eastAsia="zh-CN"/>
              </w:rPr>
            </w:pPr>
            <w:r>
              <w:t xml:space="preserve">Represents </w:t>
            </w:r>
            <w:r w:rsidRPr="00532216">
              <w:t xml:space="preserve">the subscription </w:t>
            </w:r>
            <w:r>
              <w:t xml:space="preserve">information </w:t>
            </w:r>
            <w:r w:rsidRPr="00532216">
              <w:t>for ML model accuracy information</w:t>
            </w:r>
            <w:r>
              <w:t>.</w:t>
            </w:r>
          </w:p>
        </w:tc>
        <w:tc>
          <w:tcPr>
            <w:tcW w:w="2632" w:type="dxa"/>
          </w:tcPr>
          <w:p w14:paraId="4E0A46A6" w14:textId="77777777" w:rsidR="004D3964" w:rsidRDefault="004D3964" w:rsidP="004D3964">
            <w:pPr>
              <w:pStyle w:val="TAL"/>
            </w:pPr>
            <w:r>
              <w:rPr>
                <w:lang w:eastAsia="zh-CN"/>
              </w:rPr>
              <w:t>EnAnaCtxTransfer</w:t>
            </w:r>
          </w:p>
        </w:tc>
      </w:tr>
      <w:tr w:rsidR="004D3964" w14:paraId="16E3CC52" w14:textId="77777777" w:rsidTr="008867D9">
        <w:trPr>
          <w:jc w:val="center"/>
        </w:trPr>
        <w:tc>
          <w:tcPr>
            <w:tcW w:w="2778" w:type="dxa"/>
          </w:tcPr>
          <w:p w14:paraId="26AE3257" w14:textId="77777777" w:rsidR="004D3964" w:rsidRDefault="004D3964" w:rsidP="004D3964">
            <w:pPr>
              <w:pStyle w:val="TAL"/>
            </w:pPr>
            <w:r>
              <w:t>ModelInfo</w:t>
            </w:r>
          </w:p>
        </w:tc>
        <w:tc>
          <w:tcPr>
            <w:tcW w:w="1849" w:type="dxa"/>
          </w:tcPr>
          <w:p w14:paraId="03CDF4DF" w14:textId="77777777" w:rsidR="004D3964" w:rsidRDefault="004D3964" w:rsidP="004D3964">
            <w:pPr>
              <w:pStyle w:val="TAL"/>
            </w:pPr>
            <w:r>
              <w:t>5.1.6.2.42</w:t>
            </w:r>
          </w:p>
        </w:tc>
        <w:tc>
          <w:tcPr>
            <w:tcW w:w="2089" w:type="dxa"/>
          </w:tcPr>
          <w:p w14:paraId="0F37CA82" w14:textId="77777777" w:rsidR="004D3964" w:rsidRDefault="004D3964" w:rsidP="004D3964">
            <w:pPr>
              <w:pStyle w:val="TAL"/>
              <w:rPr>
                <w:rFonts w:cs="Arial"/>
                <w:szCs w:val="18"/>
              </w:rPr>
            </w:pPr>
            <w:r>
              <w:rPr>
                <w:lang w:eastAsia="zh-CN"/>
              </w:rPr>
              <w:t>The information of the ML models.</w:t>
            </w:r>
          </w:p>
        </w:tc>
        <w:tc>
          <w:tcPr>
            <w:tcW w:w="2632" w:type="dxa"/>
          </w:tcPr>
          <w:p w14:paraId="6A60993E" w14:textId="77777777" w:rsidR="004D3964" w:rsidRDefault="004D3964" w:rsidP="004D3964">
            <w:pPr>
              <w:pStyle w:val="TAL"/>
            </w:pPr>
            <w:r>
              <w:rPr>
                <w:rFonts w:cs="Arial"/>
                <w:szCs w:val="18"/>
              </w:rPr>
              <w:t>AnaCtxTransfer</w:t>
            </w:r>
          </w:p>
        </w:tc>
      </w:tr>
      <w:tr w:rsidR="004D3964" w14:paraId="7194FB6E"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3C2235BD" w14:textId="77777777" w:rsidR="004D3964" w:rsidRDefault="004D3964" w:rsidP="004D3964">
            <w:pPr>
              <w:pStyle w:val="TAL"/>
            </w:pPr>
            <w:r>
              <w:t>MovBehavInfo</w:t>
            </w:r>
          </w:p>
        </w:tc>
        <w:tc>
          <w:tcPr>
            <w:tcW w:w="1849" w:type="dxa"/>
            <w:tcBorders>
              <w:top w:val="single" w:sz="6" w:space="0" w:color="auto"/>
              <w:left w:val="single" w:sz="6" w:space="0" w:color="auto"/>
              <w:bottom w:val="single" w:sz="6" w:space="0" w:color="auto"/>
              <w:right w:val="single" w:sz="6" w:space="0" w:color="auto"/>
            </w:tcBorders>
          </w:tcPr>
          <w:p w14:paraId="0774663C" w14:textId="77777777" w:rsidR="004D3964" w:rsidRDefault="004D3964" w:rsidP="004D3964">
            <w:pPr>
              <w:pStyle w:val="TAL"/>
            </w:pPr>
            <w:r>
              <w:t>5.1.6.2.91</w:t>
            </w:r>
          </w:p>
        </w:tc>
        <w:tc>
          <w:tcPr>
            <w:tcW w:w="2089" w:type="dxa"/>
            <w:tcBorders>
              <w:top w:val="single" w:sz="6" w:space="0" w:color="auto"/>
              <w:left w:val="single" w:sz="6" w:space="0" w:color="auto"/>
              <w:bottom w:val="single" w:sz="6" w:space="0" w:color="auto"/>
              <w:right w:val="single" w:sz="6" w:space="0" w:color="auto"/>
            </w:tcBorders>
          </w:tcPr>
          <w:p w14:paraId="1782C5B8" w14:textId="77777777" w:rsidR="004D3964" w:rsidRDefault="004D3964" w:rsidP="004D3964">
            <w:pPr>
              <w:pStyle w:val="TAL"/>
              <w:rPr>
                <w:lang w:eastAsia="zh-CN"/>
              </w:rPr>
            </w:pPr>
            <w:r>
              <w:rPr>
                <w:lang w:eastAsia="zh-CN"/>
              </w:rPr>
              <w:t>Represents the Movement Behaviour information.</w:t>
            </w:r>
          </w:p>
        </w:tc>
        <w:tc>
          <w:tcPr>
            <w:tcW w:w="2632" w:type="dxa"/>
            <w:tcBorders>
              <w:top w:val="single" w:sz="6" w:space="0" w:color="auto"/>
              <w:left w:val="single" w:sz="6" w:space="0" w:color="auto"/>
              <w:bottom w:val="single" w:sz="6" w:space="0" w:color="auto"/>
              <w:right w:val="single" w:sz="6" w:space="0" w:color="auto"/>
            </w:tcBorders>
          </w:tcPr>
          <w:p w14:paraId="0EE7E6FC" w14:textId="77777777" w:rsidR="004D3964" w:rsidRDefault="004D3964" w:rsidP="004D3964">
            <w:pPr>
              <w:pStyle w:val="TAL"/>
              <w:rPr>
                <w:rFonts w:cs="Arial"/>
                <w:szCs w:val="18"/>
              </w:rPr>
            </w:pPr>
            <w:r>
              <w:rPr>
                <w:rFonts w:cs="Arial"/>
                <w:szCs w:val="18"/>
              </w:rPr>
              <w:t>MovementBehaviour</w:t>
            </w:r>
          </w:p>
        </w:tc>
      </w:tr>
      <w:tr w:rsidR="004D3964" w14:paraId="25D399D5" w14:textId="77777777" w:rsidTr="008867D9">
        <w:trPr>
          <w:jc w:val="center"/>
        </w:trPr>
        <w:tc>
          <w:tcPr>
            <w:tcW w:w="2778" w:type="dxa"/>
            <w:tcBorders>
              <w:top w:val="single" w:sz="6" w:space="0" w:color="auto"/>
              <w:left w:val="single" w:sz="6" w:space="0" w:color="auto"/>
              <w:bottom w:val="single" w:sz="6" w:space="0" w:color="auto"/>
              <w:right w:val="single" w:sz="6" w:space="0" w:color="auto"/>
            </w:tcBorders>
          </w:tcPr>
          <w:p w14:paraId="7B7E9967" w14:textId="77777777" w:rsidR="004D3964" w:rsidRDefault="004D3964" w:rsidP="004D3964">
            <w:pPr>
              <w:pStyle w:val="TAL"/>
            </w:pPr>
            <w:r>
              <w:t>MovBehavReq</w:t>
            </w:r>
          </w:p>
        </w:tc>
        <w:tc>
          <w:tcPr>
            <w:tcW w:w="1849" w:type="dxa"/>
            <w:tcBorders>
              <w:top w:val="single" w:sz="6" w:space="0" w:color="auto"/>
              <w:left w:val="single" w:sz="6" w:space="0" w:color="auto"/>
              <w:bottom w:val="single" w:sz="6" w:space="0" w:color="auto"/>
              <w:right w:val="single" w:sz="6" w:space="0" w:color="auto"/>
            </w:tcBorders>
          </w:tcPr>
          <w:p w14:paraId="42CFFABB" w14:textId="77777777" w:rsidR="004D3964" w:rsidRDefault="004D3964" w:rsidP="004D3964">
            <w:pPr>
              <w:pStyle w:val="TAL"/>
            </w:pPr>
            <w:r>
              <w:t>5.1.6.2.90</w:t>
            </w:r>
          </w:p>
        </w:tc>
        <w:tc>
          <w:tcPr>
            <w:tcW w:w="2089" w:type="dxa"/>
            <w:tcBorders>
              <w:top w:val="single" w:sz="6" w:space="0" w:color="auto"/>
              <w:left w:val="single" w:sz="6" w:space="0" w:color="auto"/>
              <w:bottom w:val="single" w:sz="6" w:space="0" w:color="auto"/>
              <w:right w:val="single" w:sz="6" w:space="0" w:color="auto"/>
            </w:tcBorders>
          </w:tcPr>
          <w:p w14:paraId="3FD2AA94" w14:textId="77777777" w:rsidR="004D3964" w:rsidRDefault="004D3964" w:rsidP="004D3964">
            <w:pPr>
              <w:pStyle w:val="TAL"/>
              <w:rPr>
                <w:lang w:eastAsia="zh-CN"/>
              </w:rPr>
            </w:pPr>
            <w:r>
              <w:rPr>
                <w:lang w:eastAsia="zh-CN"/>
              </w:rPr>
              <w:t>Represents the Movement Behaviour analytics requirements</w:t>
            </w:r>
          </w:p>
        </w:tc>
        <w:tc>
          <w:tcPr>
            <w:tcW w:w="2632" w:type="dxa"/>
            <w:tcBorders>
              <w:top w:val="single" w:sz="6" w:space="0" w:color="auto"/>
              <w:left w:val="single" w:sz="6" w:space="0" w:color="auto"/>
              <w:bottom w:val="single" w:sz="6" w:space="0" w:color="auto"/>
              <w:right w:val="single" w:sz="6" w:space="0" w:color="auto"/>
            </w:tcBorders>
          </w:tcPr>
          <w:p w14:paraId="0FE6D705" w14:textId="77777777" w:rsidR="004D3964" w:rsidRDefault="004D3964" w:rsidP="004D3964">
            <w:pPr>
              <w:pStyle w:val="TAL"/>
              <w:rPr>
                <w:rFonts w:cs="Arial"/>
                <w:szCs w:val="18"/>
              </w:rPr>
            </w:pPr>
            <w:r>
              <w:rPr>
                <w:rFonts w:cs="Arial"/>
                <w:szCs w:val="18"/>
              </w:rPr>
              <w:t>MovementBehaviour</w:t>
            </w:r>
          </w:p>
        </w:tc>
      </w:tr>
      <w:tr w:rsidR="00432DC2" w14:paraId="58A49B65" w14:textId="77777777" w:rsidTr="008867D9">
        <w:trPr>
          <w:jc w:val="center"/>
        </w:trPr>
        <w:tc>
          <w:tcPr>
            <w:tcW w:w="2778" w:type="dxa"/>
          </w:tcPr>
          <w:p w14:paraId="41C15101" w14:textId="77777777" w:rsidR="00432DC2" w:rsidRDefault="00432DC2" w:rsidP="00432DC2">
            <w:pPr>
              <w:pStyle w:val="TAL"/>
              <w:rPr>
                <w:lang w:eastAsia="zh-CN"/>
              </w:rPr>
            </w:pPr>
            <w:r>
              <w:t>NetworkAreaInfo</w:t>
            </w:r>
          </w:p>
        </w:tc>
        <w:tc>
          <w:tcPr>
            <w:tcW w:w="1849" w:type="dxa"/>
          </w:tcPr>
          <w:p w14:paraId="304D57ED" w14:textId="77777777" w:rsidR="00432DC2" w:rsidRDefault="00432DC2" w:rsidP="00432DC2">
            <w:pPr>
              <w:pStyle w:val="TAL"/>
            </w:pPr>
            <w:r>
              <w:t>3GPP TS 29.554 [18]</w:t>
            </w:r>
          </w:p>
        </w:tc>
        <w:tc>
          <w:tcPr>
            <w:tcW w:w="2089" w:type="dxa"/>
          </w:tcPr>
          <w:p w14:paraId="2232DA4B" w14:textId="77777777" w:rsidR="00432DC2" w:rsidRDefault="00432DC2" w:rsidP="00432DC2">
            <w:pPr>
              <w:pStyle w:val="TAL"/>
              <w:rPr>
                <w:rFonts w:cs="Arial"/>
                <w:szCs w:val="18"/>
              </w:rPr>
            </w:pPr>
            <w:r>
              <w:rPr>
                <w:rFonts w:cs="Arial"/>
                <w:szCs w:val="18"/>
              </w:rPr>
              <w:t>The network area information.</w:t>
            </w:r>
          </w:p>
        </w:tc>
        <w:tc>
          <w:tcPr>
            <w:tcW w:w="2632" w:type="dxa"/>
          </w:tcPr>
          <w:p w14:paraId="13ED35C2" w14:textId="77777777" w:rsidR="00432DC2" w:rsidRDefault="00432DC2" w:rsidP="00432DC2">
            <w:pPr>
              <w:pStyle w:val="TAL"/>
            </w:pPr>
            <w:r>
              <w:t>UeMobility</w:t>
            </w:r>
          </w:p>
          <w:p w14:paraId="0E340409" w14:textId="77777777" w:rsidR="00432DC2" w:rsidRDefault="00432DC2" w:rsidP="00432DC2">
            <w:pPr>
              <w:pStyle w:val="TAL"/>
            </w:pPr>
            <w:r>
              <w:t>UeCommunication</w:t>
            </w:r>
          </w:p>
          <w:p w14:paraId="7C8B755A" w14:textId="77777777" w:rsidR="00432DC2" w:rsidRDefault="00432DC2" w:rsidP="00432DC2">
            <w:pPr>
              <w:pStyle w:val="TAL"/>
            </w:pPr>
            <w:r>
              <w:t>NetworkPerformance</w:t>
            </w:r>
          </w:p>
          <w:p w14:paraId="0D2204B8" w14:textId="77777777" w:rsidR="00432DC2" w:rsidRDefault="00432DC2" w:rsidP="00432DC2">
            <w:pPr>
              <w:pStyle w:val="TAL"/>
            </w:pPr>
            <w:r>
              <w:t>QoSSustainability</w:t>
            </w:r>
          </w:p>
          <w:p w14:paraId="6D1BC69B" w14:textId="77777777" w:rsidR="00432DC2" w:rsidRDefault="00432DC2" w:rsidP="00432DC2">
            <w:pPr>
              <w:pStyle w:val="TAL"/>
            </w:pPr>
            <w:r>
              <w:t>ServiceExperience</w:t>
            </w:r>
          </w:p>
          <w:p w14:paraId="5D9F1840" w14:textId="77777777" w:rsidR="00432DC2" w:rsidRDefault="00432DC2" w:rsidP="00432DC2">
            <w:pPr>
              <w:pStyle w:val="TAL"/>
            </w:pPr>
            <w:r>
              <w:t>UserDataCongestion</w:t>
            </w:r>
          </w:p>
          <w:p w14:paraId="3B72377A" w14:textId="77777777" w:rsidR="00432DC2" w:rsidRDefault="00432DC2" w:rsidP="00432DC2">
            <w:pPr>
              <w:pStyle w:val="TAL"/>
            </w:pPr>
            <w:r>
              <w:t xml:space="preserve">AbnormalBehaviour </w:t>
            </w:r>
          </w:p>
          <w:p w14:paraId="27C71033" w14:textId="77777777" w:rsidR="00432DC2" w:rsidRDefault="00432DC2" w:rsidP="00432DC2">
            <w:pPr>
              <w:pStyle w:val="TAL"/>
            </w:pPr>
            <w:r>
              <w:t>NsiLoadExt</w:t>
            </w:r>
          </w:p>
          <w:p w14:paraId="1AC535F1" w14:textId="77777777" w:rsidR="00432DC2" w:rsidRDefault="00432DC2" w:rsidP="00432DC2">
            <w:pPr>
              <w:pStyle w:val="TAL"/>
            </w:pPr>
            <w:r>
              <w:t>Dispersion</w:t>
            </w:r>
          </w:p>
          <w:p w14:paraId="1AB327FC" w14:textId="77777777" w:rsidR="00432DC2" w:rsidRDefault="00432DC2" w:rsidP="00432DC2">
            <w:pPr>
              <w:pStyle w:val="TAL"/>
            </w:pPr>
            <w:r>
              <w:t>RedundantTransmissionExp</w:t>
            </w:r>
          </w:p>
          <w:p w14:paraId="6611A252" w14:textId="77777777" w:rsidR="00432DC2" w:rsidRDefault="00432DC2" w:rsidP="00432DC2">
            <w:pPr>
              <w:pStyle w:val="TAL"/>
            </w:pPr>
            <w:r>
              <w:t>WlanPerformance</w:t>
            </w:r>
          </w:p>
          <w:p w14:paraId="4D8D1155" w14:textId="77777777" w:rsidR="00432DC2" w:rsidRDefault="00432DC2" w:rsidP="00432DC2">
            <w:pPr>
              <w:pStyle w:val="TAL"/>
            </w:pPr>
            <w:r>
              <w:rPr>
                <w:lang w:eastAsia="zh-CN"/>
              </w:rPr>
              <w:t>Dn</w:t>
            </w:r>
            <w:r>
              <w:t>Performance</w:t>
            </w:r>
          </w:p>
          <w:p w14:paraId="37DED926" w14:textId="77777777" w:rsidR="00432DC2" w:rsidRDefault="00432DC2" w:rsidP="00432DC2">
            <w:pPr>
              <w:pStyle w:val="TAL"/>
              <w:rPr>
                <w:lang w:eastAsia="ja-JP"/>
              </w:rPr>
            </w:pPr>
            <w:r>
              <w:t>NfLoadExt</w:t>
            </w:r>
          </w:p>
          <w:p w14:paraId="7B3D5686" w14:textId="77777777" w:rsidR="00432DC2" w:rsidRDefault="00432DC2" w:rsidP="00432DC2">
            <w:pPr>
              <w:pStyle w:val="TAL"/>
              <w:rPr>
                <w:lang w:eastAsia="zh-CN"/>
              </w:rPr>
            </w:pPr>
            <w:r>
              <w:rPr>
                <w:lang w:eastAsia="zh-CN"/>
              </w:rPr>
              <w:t>E2eDataVolTransTime</w:t>
            </w:r>
          </w:p>
          <w:p w14:paraId="7B2D5D12" w14:textId="77777777" w:rsidR="00432DC2" w:rsidRDefault="00432DC2" w:rsidP="00432DC2">
            <w:pPr>
              <w:pStyle w:val="TAL"/>
              <w:rPr>
                <w:lang w:eastAsia="zh-CN"/>
              </w:rPr>
            </w:pPr>
            <w:r>
              <w:rPr>
                <w:lang w:eastAsia="zh-CN"/>
              </w:rPr>
              <w:t>MovementBehaviour</w:t>
            </w:r>
          </w:p>
          <w:p w14:paraId="16586843" w14:textId="77777777" w:rsidR="00432DC2" w:rsidRDefault="00432DC2" w:rsidP="00432DC2">
            <w:pPr>
              <w:pStyle w:val="TAL"/>
            </w:pPr>
            <w:r>
              <w:t>S</w:t>
            </w:r>
            <w:r w:rsidRPr="001C406B">
              <w:t>ignalling</w:t>
            </w:r>
            <w:r>
              <w:t>S</w:t>
            </w:r>
            <w:r w:rsidRPr="001C406B">
              <w:t>torm</w:t>
            </w:r>
          </w:p>
        </w:tc>
      </w:tr>
      <w:tr w:rsidR="004D3964" w14:paraId="380A988C" w14:textId="77777777" w:rsidTr="008867D9">
        <w:trPr>
          <w:jc w:val="center"/>
        </w:trPr>
        <w:tc>
          <w:tcPr>
            <w:tcW w:w="2778" w:type="dxa"/>
          </w:tcPr>
          <w:p w14:paraId="3DEA4F5A" w14:textId="77777777" w:rsidR="004D3964" w:rsidRDefault="004D3964" w:rsidP="004D3964">
            <w:pPr>
              <w:pStyle w:val="TAL"/>
            </w:pPr>
            <w:r>
              <w:t>NetworkPerfInfo</w:t>
            </w:r>
          </w:p>
        </w:tc>
        <w:tc>
          <w:tcPr>
            <w:tcW w:w="1849" w:type="dxa"/>
          </w:tcPr>
          <w:p w14:paraId="60F30B7B" w14:textId="77777777" w:rsidR="004D3964" w:rsidRDefault="004D3964" w:rsidP="004D3964">
            <w:pPr>
              <w:pStyle w:val="TAL"/>
            </w:pPr>
            <w:r>
              <w:rPr>
                <w:rFonts w:hint="eastAsia"/>
                <w:lang w:eastAsia="zh-CN"/>
              </w:rPr>
              <w:t>5</w:t>
            </w:r>
            <w:r>
              <w:rPr>
                <w:lang w:eastAsia="zh-CN"/>
              </w:rPr>
              <w:t>.1.6.2.23</w:t>
            </w:r>
          </w:p>
        </w:tc>
        <w:tc>
          <w:tcPr>
            <w:tcW w:w="2089" w:type="dxa"/>
          </w:tcPr>
          <w:p w14:paraId="670C5B14" w14:textId="77777777" w:rsidR="004D3964" w:rsidRDefault="004D3964" w:rsidP="004D3964">
            <w:pPr>
              <w:pStyle w:val="TAL"/>
              <w:rPr>
                <w:rFonts w:cs="Arial"/>
                <w:szCs w:val="18"/>
              </w:rPr>
            </w:pPr>
            <w:r>
              <w:t>Represents network performance information.</w:t>
            </w:r>
          </w:p>
        </w:tc>
        <w:tc>
          <w:tcPr>
            <w:tcW w:w="2632" w:type="dxa"/>
          </w:tcPr>
          <w:p w14:paraId="600EEF99" w14:textId="77777777" w:rsidR="004D3964" w:rsidRDefault="004D3964" w:rsidP="004D3964">
            <w:pPr>
              <w:pStyle w:val="TAL"/>
              <w:rPr>
                <w:rFonts w:cs="Arial"/>
                <w:szCs w:val="18"/>
              </w:rPr>
            </w:pPr>
            <w:r>
              <w:rPr>
                <w:rFonts w:cs="Arial"/>
                <w:szCs w:val="18"/>
              </w:rPr>
              <w:t>NetworkPerformance</w:t>
            </w:r>
          </w:p>
        </w:tc>
      </w:tr>
      <w:tr w:rsidR="004D3964" w14:paraId="57FFB254" w14:textId="77777777" w:rsidTr="008867D9">
        <w:trPr>
          <w:jc w:val="center"/>
        </w:trPr>
        <w:tc>
          <w:tcPr>
            <w:tcW w:w="2778" w:type="dxa"/>
          </w:tcPr>
          <w:p w14:paraId="098B1625" w14:textId="77777777" w:rsidR="004D3964" w:rsidRDefault="004D3964" w:rsidP="004D3964">
            <w:pPr>
              <w:pStyle w:val="TAL"/>
            </w:pPr>
            <w:r>
              <w:t>NetworkPerfOrderCriterion</w:t>
            </w:r>
          </w:p>
        </w:tc>
        <w:tc>
          <w:tcPr>
            <w:tcW w:w="1849" w:type="dxa"/>
          </w:tcPr>
          <w:p w14:paraId="37DD3068" w14:textId="77777777" w:rsidR="004D3964" w:rsidRDefault="004D3964" w:rsidP="004D3964">
            <w:pPr>
              <w:pStyle w:val="TAL"/>
              <w:rPr>
                <w:lang w:eastAsia="zh-CN"/>
              </w:rPr>
            </w:pPr>
            <w:r>
              <w:t>5.1.6.3.30</w:t>
            </w:r>
          </w:p>
        </w:tc>
        <w:tc>
          <w:tcPr>
            <w:tcW w:w="2089" w:type="dxa"/>
          </w:tcPr>
          <w:p w14:paraId="3B96CAA4" w14:textId="77777777" w:rsidR="004D3964" w:rsidRDefault="004D3964" w:rsidP="004D3964">
            <w:pPr>
              <w:pStyle w:val="TAL"/>
              <w:rPr>
                <w:rFonts w:cs="Arial"/>
                <w:szCs w:val="18"/>
              </w:rPr>
            </w:pPr>
            <w:r>
              <w:rPr>
                <w:lang w:eastAsia="zh-CN"/>
              </w:rPr>
              <w:t>Represents a network performance requirement.</w:t>
            </w:r>
          </w:p>
        </w:tc>
        <w:tc>
          <w:tcPr>
            <w:tcW w:w="2632" w:type="dxa"/>
          </w:tcPr>
          <w:p w14:paraId="22E8CCA6" w14:textId="77777777" w:rsidR="004D3964" w:rsidRDefault="004D3964" w:rsidP="004D3964">
            <w:pPr>
              <w:pStyle w:val="TAL"/>
              <w:rPr>
                <w:rFonts w:cs="Arial"/>
                <w:szCs w:val="18"/>
              </w:rPr>
            </w:pPr>
            <w:r>
              <w:t>NetworkPerformanceExt_eNA</w:t>
            </w:r>
          </w:p>
        </w:tc>
      </w:tr>
      <w:tr w:rsidR="004D3964" w14:paraId="79AD73FA" w14:textId="77777777" w:rsidTr="008867D9">
        <w:trPr>
          <w:jc w:val="center"/>
        </w:trPr>
        <w:tc>
          <w:tcPr>
            <w:tcW w:w="2778" w:type="dxa"/>
          </w:tcPr>
          <w:p w14:paraId="076918EF" w14:textId="77777777" w:rsidR="004D3964" w:rsidRDefault="004D3964" w:rsidP="004D3964">
            <w:pPr>
              <w:pStyle w:val="TAL"/>
            </w:pPr>
            <w:r>
              <w:t>NetworkPerfType</w:t>
            </w:r>
          </w:p>
        </w:tc>
        <w:tc>
          <w:tcPr>
            <w:tcW w:w="1849" w:type="dxa"/>
          </w:tcPr>
          <w:p w14:paraId="65EE4930" w14:textId="77777777" w:rsidR="004D3964" w:rsidRDefault="004D3964" w:rsidP="004D3964">
            <w:pPr>
              <w:pStyle w:val="TAL"/>
            </w:pPr>
            <w:r>
              <w:rPr>
                <w:rFonts w:hint="eastAsia"/>
                <w:lang w:eastAsia="zh-CN"/>
              </w:rPr>
              <w:t>5</w:t>
            </w:r>
            <w:r>
              <w:rPr>
                <w:lang w:eastAsia="zh-CN"/>
              </w:rPr>
              <w:t>.1.6.3.10</w:t>
            </w:r>
          </w:p>
        </w:tc>
        <w:tc>
          <w:tcPr>
            <w:tcW w:w="2089" w:type="dxa"/>
          </w:tcPr>
          <w:p w14:paraId="017A9168" w14:textId="77777777" w:rsidR="004D3964" w:rsidRDefault="004D3964" w:rsidP="004D3964">
            <w:pPr>
              <w:pStyle w:val="TAL"/>
              <w:rPr>
                <w:rFonts w:cs="Arial"/>
                <w:szCs w:val="18"/>
              </w:rPr>
            </w:pPr>
            <w:r>
              <w:t>Represents the network performance types.</w:t>
            </w:r>
          </w:p>
        </w:tc>
        <w:tc>
          <w:tcPr>
            <w:tcW w:w="2632" w:type="dxa"/>
          </w:tcPr>
          <w:p w14:paraId="5628E386" w14:textId="77777777" w:rsidR="004D3964" w:rsidRDefault="004D3964" w:rsidP="004D3964">
            <w:pPr>
              <w:pStyle w:val="TAL"/>
              <w:rPr>
                <w:rFonts w:cs="Arial"/>
                <w:szCs w:val="18"/>
              </w:rPr>
            </w:pPr>
            <w:r>
              <w:rPr>
                <w:rFonts w:cs="Arial"/>
                <w:szCs w:val="18"/>
              </w:rPr>
              <w:t>NetworkPerformance</w:t>
            </w:r>
          </w:p>
        </w:tc>
      </w:tr>
      <w:tr w:rsidR="004D3964" w14:paraId="2A0FC59C" w14:textId="77777777" w:rsidTr="008867D9">
        <w:trPr>
          <w:jc w:val="center"/>
        </w:trPr>
        <w:tc>
          <w:tcPr>
            <w:tcW w:w="2778" w:type="dxa"/>
          </w:tcPr>
          <w:p w14:paraId="0E47437F" w14:textId="77777777" w:rsidR="004D3964" w:rsidRDefault="004D3964" w:rsidP="004D3964">
            <w:pPr>
              <w:pStyle w:val="TAL"/>
            </w:pPr>
            <w:r>
              <w:rPr>
                <w:lang w:eastAsia="zh-CN"/>
              </w:rPr>
              <w:lastRenderedPageBreak/>
              <w:t>NfLoadLevelInformation</w:t>
            </w:r>
          </w:p>
        </w:tc>
        <w:tc>
          <w:tcPr>
            <w:tcW w:w="1849" w:type="dxa"/>
          </w:tcPr>
          <w:p w14:paraId="5EF51469" w14:textId="77777777" w:rsidR="004D3964" w:rsidRDefault="004D3964" w:rsidP="004D3964">
            <w:pPr>
              <w:pStyle w:val="TAL"/>
            </w:pPr>
            <w:r>
              <w:t xml:space="preserve">5.1.6.2.31 </w:t>
            </w:r>
          </w:p>
        </w:tc>
        <w:tc>
          <w:tcPr>
            <w:tcW w:w="2089" w:type="dxa"/>
          </w:tcPr>
          <w:p w14:paraId="7B1CDF9A" w14:textId="77777777" w:rsidR="004D3964" w:rsidRDefault="004D3964" w:rsidP="004D3964">
            <w:pPr>
              <w:pStyle w:val="TAL"/>
              <w:rPr>
                <w:rFonts w:cs="Arial"/>
                <w:szCs w:val="18"/>
              </w:rPr>
            </w:pPr>
            <w:r>
              <w:rPr>
                <w:lang w:eastAsia="zh-CN"/>
              </w:rPr>
              <w:t xml:space="preserve">Represents load level information of a given NF instance. </w:t>
            </w:r>
          </w:p>
        </w:tc>
        <w:tc>
          <w:tcPr>
            <w:tcW w:w="2632" w:type="dxa"/>
          </w:tcPr>
          <w:p w14:paraId="1DBB0086" w14:textId="77777777" w:rsidR="004D3964" w:rsidRDefault="004D3964" w:rsidP="004D3964">
            <w:pPr>
              <w:pStyle w:val="TAL"/>
              <w:rPr>
                <w:rFonts w:cs="Arial"/>
                <w:szCs w:val="18"/>
              </w:rPr>
            </w:pPr>
            <w:r>
              <w:t>NfLoad</w:t>
            </w:r>
          </w:p>
        </w:tc>
      </w:tr>
      <w:tr w:rsidR="00432DC2" w14:paraId="7A9162AE" w14:textId="77777777" w:rsidTr="008867D9">
        <w:trPr>
          <w:jc w:val="center"/>
        </w:trPr>
        <w:tc>
          <w:tcPr>
            <w:tcW w:w="2778" w:type="dxa"/>
          </w:tcPr>
          <w:p w14:paraId="3A1CBC9A" w14:textId="77777777" w:rsidR="00432DC2" w:rsidRDefault="00432DC2" w:rsidP="00432DC2">
            <w:pPr>
              <w:pStyle w:val="TAL"/>
              <w:rPr>
                <w:lang w:eastAsia="zh-CN"/>
              </w:rPr>
            </w:pPr>
            <w:r>
              <w:t>NfInstanceId</w:t>
            </w:r>
          </w:p>
        </w:tc>
        <w:tc>
          <w:tcPr>
            <w:tcW w:w="1849" w:type="dxa"/>
          </w:tcPr>
          <w:p w14:paraId="7B7C2BFF" w14:textId="77777777" w:rsidR="00432DC2" w:rsidRDefault="00432DC2" w:rsidP="00432DC2">
            <w:pPr>
              <w:pStyle w:val="TAL"/>
            </w:pPr>
            <w:r>
              <w:rPr>
                <w:rFonts w:cs="Arial"/>
              </w:rPr>
              <w:t>3GPP TS </w:t>
            </w:r>
            <w:r>
              <w:t>29.571 [8]</w:t>
            </w:r>
          </w:p>
        </w:tc>
        <w:tc>
          <w:tcPr>
            <w:tcW w:w="2089" w:type="dxa"/>
          </w:tcPr>
          <w:p w14:paraId="65B0BD7C" w14:textId="77777777" w:rsidR="00432DC2" w:rsidRDefault="00432DC2" w:rsidP="00432DC2">
            <w:pPr>
              <w:pStyle w:val="TAL"/>
              <w:rPr>
                <w:lang w:eastAsia="zh-CN"/>
              </w:rPr>
            </w:pPr>
            <w:r>
              <w:t>Identifies an NF instance</w:t>
            </w:r>
          </w:p>
        </w:tc>
        <w:tc>
          <w:tcPr>
            <w:tcW w:w="2632" w:type="dxa"/>
          </w:tcPr>
          <w:p w14:paraId="486234F5" w14:textId="77777777" w:rsidR="00432DC2" w:rsidRDefault="00432DC2" w:rsidP="00432DC2">
            <w:pPr>
              <w:pStyle w:val="TAL"/>
            </w:pPr>
            <w:r>
              <w:t>NfLoad</w:t>
            </w:r>
          </w:p>
          <w:p w14:paraId="7A967EF4" w14:textId="77777777" w:rsidR="00432DC2" w:rsidRDefault="00432DC2" w:rsidP="00432DC2">
            <w:pPr>
              <w:pStyle w:val="TAL"/>
            </w:pPr>
            <w:r>
              <w:t>S</w:t>
            </w:r>
            <w:r w:rsidRPr="001C406B">
              <w:t>ignalling</w:t>
            </w:r>
            <w:r>
              <w:t>S</w:t>
            </w:r>
            <w:r w:rsidRPr="001C406B">
              <w:t>torm</w:t>
            </w:r>
          </w:p>
        </w:tc>
      </w:tr>
      <w:tr w:rsidR="00432DC2" w14:paraId="3EA495E4" w14:textId="77777777" w:rsidTr="008867D9">
        <w:trPr>
          <w:jc w:val="center"/>
        </w:trPr>
        <w:tc>
          <w:tcPr>
            <w:tcW w:w="2778" w:type="dxa"/>
          </w:tcPr>
          <w:p w14:paraId="368399C8" w14:textId="77777777" w:rsidR="00432DC2" w:rsidRDefault="00432DC2" w:rsidP="00432DC2">
            <w:pPr>
              <w:pStyle w:val="TAL"/>
              <w:rPr>
                <w:lang w:eastAsia="zh-CN"/>
              </w:rPr>
            </w:pPr>
            <w:r>
              <w:t>NfSetId</w:t>
            </w:r>
          </w:p>
        </w:tc>
        <w:tc>
          <w:tcPr>
            <w:tcW w:w="1849" w:type="dxa"/>
          </w:tcPr>
          <w:p w14:paraId="71AF6F23" w14:textId="77777777" w:rsidR="00432DC2" w:rsidRDefault="00432DC2" w:rsidP="00432DC2">
            <w:pPr>
              <w:pStyle w:val="TAL"/>
            </w:pPr>
            <w:r>
              <w:rPr>
                <w:rFonts w:cs="Arial"/>
              </w:rPr>
              <w:t>3GPP TS </w:t>
            </w:r>
            <w:r>
              <w:t>29.571 [8]</w:t>
            </w:r>
          </w:p>
        </w:tc>
        <w:tc>
          <w:tcPr>
            <w:tcW w:w="2089" w:type="dxa"/>
          </w:tcPr>
          <w:p w14:paraId="7247779D" w14:textId="77777777" w:rsidR="00432DC2" w:rsidRDefault="00432DC2" w:rsidP="00432DC2">
            <w:pPr>
              <w:pStyle w:val="TAL"/>
              <w:rPr>
                <w:lang w:eastAsia="zh-CN"/>
              </w:rPr>
            </w:pPr>
            <w:r>
              <w:t>Identifies an NF Set instance.</w:t>
            </w:r>
          </w:p>
        </w:tc>
        <w:tc>
          <w:tcPr>
            <w:tcW w:w="2632" w:type="dxa"/>
          </w:tcPr>
          <w:p w14:paraId="3AC4C370" w14:textId="77777777" w:rsidR="00432DC2" w:rsidRDefault="00432DC2" w:rsidP="00432DC2">
            <w:pPr>
              <w:pStyle w:val="TAL"/>
            </w:pPr>
            <w:r>
              <w:t>NfLoad</w:t>
            </w:r>
          </w:p>
          <w:p w14:paraId="298A6DD7" w14:textId="77777777" w:rsidR="00432DC2" w:rsidRDefault="00432DC2" w:rsidP="00432DC2">
            <w:pPr>
              <w:pStyle w:val="TAL"/>
            </w:pPr>
            <w:r>
              <w:t>S</w:t>
            </w:r>
            <w:r w:rsidRPr="001C406B">
              <w:t>ignalling</w:t>
            </w:r>
            <w:r>
              <w:t>S</w:t>
            </w:r>
            <w:r w:rsidRPr="001C406B">
              <w:t>torm</w:t>
            </w:r>
          </w:p>
        </w:tc>
      </w:tr>
      <w:tr w:rsidR="004D3964" w14:paraId="73947E55" w14:textId="77777777" w:rsidTr="008867D9">
        <w:trPr>
          <w:jc w:val="center"/>
        </w:trPr>
        <w:tc>
          <w:tcPr>
            <w:tcW w:w="2778" w:type="dxa"/>
          </w:tcPr>
          <w:p w14:paraId="4B171BED" w14:textId="77777777" w:rsidR="004D3964" w:rsidRDefault="004D3964" w:rsidP="004D3964">
            <w:pPr>
              <w:pStyle w:val="TAL"/>
              <w:rPr>
                <w:lang w:eastAsia="zh-CN"/>
              </w:rPr>
            </w:pPr>
            <w:r>
              <w:t>NFType</w:t>
            </w:r>
          </w:p>
        </w:tc>
        <w:tc>
          <w:tcPr>
            <w:tcW w:w="1849" w:type="dxa"/>
          </w:tcPr>
          <w:p w14:paraId="5097339B" w14:textId="77777777" w:rsidR="004D3964" w:rsidRDefault="004D3964" w:rsidP="004D3964">
            <w:pPr>
              <w:pStyle w:val="TAL"/>
            </w:pPr>
            <w:r>
              <w:rPr>
                <w:rFonts w:cs="Arial"/>
                <w:szCs w:val="18"/>
              </w:rPr>
              <w:t>3GPP TS 29.5</w:t>
            </w:r>
            <w:r>
              <w:rPr>
                <w:rFonts w:cs="Arial" w:hint="eastAsia"/>
                <w:szCs w:val="18"/>
                <w:lang w:eastAsia="zh-CN"/>
              </w:rPr>
              <w:t>10</w:t>
            </w:r>
            <w:r>
              <w:rPr>
                <w:rFonts w:cs="Arial"/>
                <w:szCs w:val="18"/>
              </w:rPr>
              <w:t> [12]</w:t>
            </w:r>
          </w:p>
        </w:tc>
        <w:tc>
          <w:tcPr>
            <w:tcW w:w="2089" w:type="dxa"/>
          </w:tcPr>
          <w:p w14:paraId="53A39959" w14:textId="77777777" w:rsidR="004D3964" w:rsidRDefault="004D3964" w:rsidP="004D3964">
            <w:pPr>
              <w:pStyle w:val="TAL"/>
              <w:rPr>
                <w:lang w:eastAsia="zh-CN"/>
              </w:rPr>
            </w:pPr>
            <w:r>
              <w:t>Indentifies a type of NF.</w:t>
            </w:r>
          </w:p>
        </w:tc>
        <w:tc>
          <w:tcPr>
            <w:tcW w:w="2632" w:type="dxa"/>
          </w:tcPr>
          <w:p w14:paraId="463ED595" w14:textId="77777777" w:rsidR="004D3964" w:rsidRDefault="004D3964" w:rsidP="004D3964">
            <w:pPr>
              <w:pStyle w:val="TAL"/>
            </w:pPr>
            <w:r>
              <w:t>NfLoad</w:t>
            </w:r>
          </w:p>
        </w:tc>
      </w:tr>
      <w:tr w:rsidR="004D3964" w14:paraId="12C2A747" w14:textId="77777777" w:rsidTr="008867D9">
        <w:trPr>
          <w:jc w:val="center"/>
        </w:trPr>
        <w:tc>
          <w:tcPr>
            <w:tcW w:w="2778" w:type="dxa"/>
          </w:tcPr>
          <w:p w14:paraId="22BF6E7A" w14:textId="77777777" w:rsidR="004D3964" w:rsidRDefault="004D3964" w:rsidP="004D3964">
            <w:pPr>
              <w:pStyle w:val="TAL"/>
            </w:pPr>
            <w:r>
              <w:t>NsiIdInfo</w:t>
            </w:r>
          </w:p>
        </w:tc>
        <w:tc>
          <w:tcPr>
            <w:tcW w:w="1849" w:type="dxa"/>
          </w:tcPr>
          <w:p w14:paraId="24FE11DE" w14:textId="77777777" w:rsidR="004D3964" w:rsidRDefault="004D3964" w:rsidP="004D3964">
            <w:pPr>
              <w:pStyle w:val="TAL"/>
              <w:rPr>
                <w:rFonts w:cs="Arial"/>
                <w:szCs w:val="18"/>
              </w:rPr>
            </w:pPr>
            <w:r>
              <w:rPr>
                <w:rFonts w:cs="Arial"/>
                <w:szCs w:val="18"/>
              </w:rPr>
              <w:t>5.1.6.2.33</w:t>
            </w:r>
          </w:p>
        </w:tc>
        <w:tc>
          <w:tcPr>
            <w:tcW w:w="2089" w:type="dxa"/>
          </w:tcPr>
          <w:p w14:paraId="4200396E" w14:textId="77777777" w:rsidR="004D3964" w:rsidRDefault="004D3964" w:rsidP="004D3964">
            <w:pPr>
              <w:pStyle w:val="TAL"/>
            </w:pPr>
            <w:r>
              <w:t>Identify the S-NSSAI and the associated Network Slice Instance(s).</w:t>
            </w:r>
          </w:p>
        </w:tc>
        <w:tc>
          <w:tcPr>
            <w:tcW w:w="2632" w:type="dxa"/>
          </w:tcPr>
          <w:p w14:paraId="1DA80B40" w14:textId="77777777" w:rsidR="004D3964" w:rsidRDefault="004D3964" w:rsidP="004D3964">
            <w:pPr>
              <w:pStyle w:val="TAL"/>
            </w:pPr>
            <w:r>
              <w:t>ServiceExperience</w:t>
            </w:r>
          </w:p>
          <w:p w14:paraId="52C46B5E" w14:textId="77777777" w:rsidR="004D3964" w:rsidRDefault="004D3964" w:rsidP="004D3964">
            <w:pPr>
              <w:pStyle w:val="TAL"/>
            </w:pPr>
            <w:r>
              <w:rPr>
                <w:lang w:eastAsia="zh-CN"/>
              </w:rPr>
              <w:t>NsiLoad</w:t>
            </w:r>
          </w:p>
          <w:p w14:paraId="5457DC2D" w14:textId="77777777" w:rsidR="004D3964" w:rsidRDefault="004D3964" w:rsidP="004D3964">
            <w:pPr>
              <w:pStyle w:val="TAL"/>
              <w:rPr>
                <w:lang w:eastAsia="zh-CN"/>
              </w:rPr>
            </w:pPr>
            <w:r>
              <w:rPr>
                <w:rFonts w:hint="eastAsia"/>
                <w:lang w:eastAsia="zh-CN"/>
              </w:rPr>
              <w:t>Dn</w:t>
            </w:r>
            <w:r>
              <w:t>Performance</w:t>
            </w:r>
          </w:p>
          <w:p w14:paraId="49A67AD2" w14:textId="77777777" w:rsidR="004D3964" w:rsidRDefault="004D3964" w:rsidP="004D3964">
            <w:pPr>
              <w:pStyle w:val="TAL"/>
            </w:pPr>
          </w:p>
        </w:tc>
      </w:tr>
      <w:tr w:rsidR="004D3964" w14:paraId="454939BD" w14:textId="77777777" w:rsidTr="008867D9">
        <w:trPr>
          <w:jc w:val="center"/>
        </w:trPr>
        <w:tc>
          <w:tcPr>
            <w:tcW w:w="2778" w:type="dxa"/>
          </w:tcPr>
          <w:p w14:paraId="5098123A" w14:textId="77777777" w:rsidR="004D3964" w:rsidRDefault="004D3964" w:rsidP="004D3964">
            <w:pPr>
              <w:pStyle w:val="TAL"/>
            </w:pPr>
            <w:r>
              <w:t>NsiLoadLevelInfo</w:t>
            </w:r>
          </w:p>
        </w:tc>
        <w:tc>
          <w:tcPr>
            <w:tcW w:w="1849" w:type="dxa"/>
          </w:tcPr>
          <w:p w14:paraId="75002730" w14:textId="77777777" w:rsidR="004D3964" w:rsidRDefault="004D3964" w:rsidP="004D3964">
            <w:pPr>
              <w:pStyle w:val="TAL"/>
              <w:rPr>
                <w:rFonts w:cs="Arial"/>
                <w:szCs w:val="18"/>
              </w:rPr>
            </w:pPr>
            <w:r>
              <w:rPr>
                <w:rFonts w:cs="Arial"/>
                <w:szCs w:val="18"/>
              </w:rPr>
              <w:t>5.1.6.2.34</w:t>
            </w:r>
          </w:p>
        </w:tc>
        <w:tc>
          <w:tcPr>
            <w:tcW w:w="2089" w:type="dxa"/>
          </w:tcPr>
          <w:p w14:paraId="21EC60C3" w14:textId="77777777" w:rsidR="004D3964" w:rsidRDefault="004D3964" w:rsidP="004D3964">
            <w:pPr>
              <w:pStyle w:val="TAL"/>
            </w:pPr>
            <w:r>
              <w:t>Represents the load level information for an S-NSSAI and the associated network slice instance.</w:t>
            </w:r>
          </w:p>
        </w:tc>
        <w:tc>
          <w:tcPr>
            <w:tcW w:w="2632" w:type="dxa"/>
          </w:tcPr>
          <w:p w14:paraId="0448EA4A" w14:textId="77777777" w:rsidR="004D3964" w:rsidRDefault="004D3964" w:rsidP="004D3964">
            <w:pPr>
              <w:pStyle w:val="TAL"/>
              <w:rPr>
                <w:lang w:eastAsia="zh-CN"/>
              </w:rPr>
            </w:pPr>
            <w:r>
              <w:rPr>
                <w:lang w:eastAsia="zh-CN"/>
              </w:rPr>
              <w:t>NsiLoad</w:t>
            </w:r>
          </w:p>
          <w:p w14:paraId="7C50DD5D" w14:textId="77777777" w:rsidR="004D3964" w:rsidRDefault="004D3964" w:rsidP="004D3964">
            <w:pPr>
              <w:pStyle w:val="TAL"/>
            </w:pPr>
          </w:p>
        </w:tc>
      </w:tr>
      <w:tr w:rsidR="004D3964" w14:paraId="1B94F7AA" w14:textId="77777777" w:rsidTr="008867D9">
        <w:trPr>
          <w:jc w:val="center"/>
        </w:trPr>
        <w:tc>
          <w:tcPr>
            <w:tcW w:w="2778" w:type="dxa"/>
          </w:tcPr>
          <w:p w14:paraId="2538D25E" w14:textId="77777777" w:rsidR="004D3964" w:rsidRDefault="004D3964" w:rsidP="004D3964">
            <w:pPr>
              <w:pStyle w:val="TAL"/>
            </w:pPr>
            <w:r>
              <w:t>NnwdafEventsSubscription</w:t>
            </w:r>
          </w:p>
        </w:tc>
        <w:tc>
          <w:tcPr>
            <w:tcW w:w="1849" w:type="dxa"/>
          </w:tcPr>
          <w:p w14:paraId="0FEB174D" w14:textId="77777777" w:rsidR="004D3964" w:rsidRDefault="004D3964" w:rsidP="004D3964">
            <w:pPr>
              <w:pStyle w:val="TAL"/>
              <w:rPr>
                <w:rFonts w:cs="Arial"/>
                <w:szCs w:val="18"/>
              </w:rPr>
            </w:pPr>
            <w:r>
              <w:rPr>
                <w:rFonts w:cs="Arial"/>
                <w:szCs w:val="18"/>
              </w:rPr>
              <w:t>5.1.6.2.2</w:t>
            </w:r>
          </w:p>
        </w:tc>
        <w:tc>
          <w:tcPr>
            <w:tcW w:w="2089" w:type="dxa"/>
          </w:tcPr>
          <w:p w14:paraId="48E98C76" w14:textId="77777777" w:rsidR="004D3964" w:rsidRDefault="004D3964" w:rsidP="004D3964">
            <w:pPr>
              <w:pStyle w:val="TAL"/>
            </w:pPr>
            <w:r>
              <w:rPr>
                <w:lang w:eastAsia="zh-CN"/>
              </w:rPr>
              <w:t>Represents an Individual NWDAF Event Subscription resource.</w:t>
            </w:r>
          </w:p>
        </w:tc>
        <w:tc>
          <w:tcPr>
            <w:tcW w:w="2632" w:type="dxa"/>
          </w:tcPr>
          <w:p w14:paraId="42BE5A24" w14:textId="77777777" w:rsidR="004D3964" w:rsidRDefault="004D3964" w:rsidP="004D3964">
            <w:pPr>
              <w:pStyle w:val="TAL"/>
              <w:rPr>
                <w:lang w:eastAsia="zh-CN"/>
              </w:rPr>
            </w:pPr>
            <w:r>
              <w:rPr>
                <w:rFonts w:cs="Arial"/>
                <w:szCs w:val="18"/>
              </w:rPr>
              <w:t>AnaCtxTransfer</w:t>
            </w:r>
          </w:p>
        </w:tc>
      </w:tr>
      <w:tr w:rsidR="004D3964" w14:paraId="25D91838" w14:textId="77777777" w:rsidTr="008867D9">
        <w:trPr>
          <w:jc w:val="center"/>
        </w:trPr>
        <w:tc>
          <w:tcPr>
            <w:tcW w:w="2778" w:type="dxa"/>
          </w:tcPr>
          <w:p w14:paraId="3CEDED67" w14:textId="77777777" w:rsidR="004D3964" w:rsidRDefault="004D3964" w:rsidP="004D3964">
            <w:pPr>
              <w:pStyle w:val="TAL"/>
              <w:rPr>
                <w:lang w:eastAsia="zh-CN"/>
              </w:rPr>
            </w:pPr>
            <w:r>
              <w:t>ProblemDetails</w:t>
            </w:r>
          </w:p>
        </w:tc>
        <w:tc>
          <w:tcPr>
            <w:tcW w:w="1849" w:type="dxa"/>
          </w:tcPr>
          <w:p w14:paraId="0EB96E8C" w14:textId="77777777" w:rsidR="004D3964" w:rsidRDefault="004D3964" w:rsidP="004D3964">
            <w:pPr>
              <w:pStyle w:val="TAL"/>
            </w:pPr>
            <w:r>
              <w:rPr>
                <w:rFonts w:cs="Arial"/>
              </w:rPr>
              <w:t>3GPP TS 29.571 [8]</w:t>
            </w:r>
          </w:p>
        </w:tc>
        <w:tc>
          <w:tcPr>
            <w:tcW w:w="2089" w:type="dxa"/>
          </w:tcPr>
          <w:p w14:paraId="7AD2BA70" w14:textId="77777777" w:rsidR="004D3964" w:rsidRDefault="004D3964" w:rsidP="004D3964">
            <w:pPr>
              <w:pStyle w:val="TAL"/>
              <w:rPr>
                <w:rFonts w:cs="Arial"/>
                <w:szCs w:val="18"/>
              </w:rPr>
            </w:pPr>
            <w:r>
              <w:rPr>
                <w:rFonts w:cs="Arial"/>
                <w:szCs w:val="18"/>
                <w:lang w:eastAsia="zh-CN"/>
              </w:rPr>
              <w:t>Used in error responses to provide more detailed information about an error.</w:t>
            </w:r>
          </w:p>
        </w:tc>
        <w:tc>
          <w:tcPr>
            <w:tcW w:w="2632" w:type="dxa"/>
          </w:tcPr>
          <w:p w14:paraId="014742C4" w14:textId="77777777" w:rsidR="004D3964" w:rsidRDefault="004D3964" w:rsidP="004D3964">
            <w:pPr>
              <w:pStyle w:val="TAL"/>
              <w:rPr>
                <w:rFonts w:cs="Arial"/>
                <w:szCs w:val="18"/>
              </w:rPr>
            </w:pPr>
          </w:p>
        </w:tc>
      </w:tr>
      <w:tr w:rsidR="001A238E" w14:paraId="60A840BE" w14:textId="77777777" w:rsidTr="008867D9">
        <w:trPr>
          <w:jc w:val="center"/>
        </w:trPr>
        <w:tc>
          <w:tcPr>
            <w:tcW w:w="2778" w:type="dxa"/>
          </w:tcPr>
          <w:p w14:paraId="1482ECF9" w14:textId="77777777" w:rsidR="001A238E" w:rsidRDefault="001A238E" w:rsidP="001A238E">
            <w:pPr>
              <w:pStyle w:val="TAL"/>
            </w:pPr>
            <w:r>
              <w:t>QosPolicyAssistInfo</w:t>
            </w:r>
          </w:p>
        </w:tc>
        <w:tc>
          <w:tcPr>
            <w:tcW w:w="1849" w:type="dxa"/>
          </w:tcPr>
          <w:p w14:paraId="7DC9B627" w14:textId="77777777" w:rsidR="001A238E" w:rsidRDefault="001A238E" w:rsidP="001A238E">
            <w:pPr>
              <w:pStyle w:val="TAL"/>
              <w:rPr>
                <w:rFonts w:cs="Arial"/>
              </w:rPr>
            </w:pPr>
            <w:r>
              <w:rPr>
                <w:rFonts w:cs="Arial"/>
              </w:rPr>
              <w:t>5.1.6.2.114</w:t>
            </w:r>
          </w:p>
        </w:tc>
        <w:tc>
          <w:tcPr>
            <w:tcW w:w="2089" w:type="dxa"/>
          </w:tcPr>
          <w:p w14:paraId="3E5DE660" w14:textId="77777777" w:rsidR="001A238E" w:rsidRDefault="001A238E" w:rsidP="001A238E">
            <w:pPr>
              <w:pStyle w:val="TAL"/>
              <w:rPr>
                <w:rFonts w:cs="Arial"/>
                <w:szCs w:val="18"/>
                <w:lang w:eastAsia="zh-CN"/>
              </w:rPr>
            </w:pPr>
            <w:r>
              <w:t>Represents the QoS and Policy Assistance Analytics.</w:t>
            </w:r>
          </w:p>
        </w:tc>
        <w:tc>
          <w:tcPr>
            <w:tcW w:w="2632" w:type="dxa"/>
          </w:tcPr>
          <w:p w14:paraId="335BB7D5" w14:textId="77777777" w:rsidR="001A238E" w:rsidRDefault="001A238E" w:rsidP="001A238E">
            <w:pPr>
              <w:pStyle w:val="TAL"/>
              <w:rPr>
                <w:rFonts w:cs="Arial"/>
                <w:szCs w:val="18"/>
              </w:rPr>
            </w:pPr>
            <w:r>
              <w:rPr>
                <w:rFonts w:hint="eastAsia"/>
                <w:lang w:eastAsia="zh-CN"/>
              </w:rPr>
              <w:t>Q</w:t>
            </w:r>
            <w:r>
              <w:rPr>
                <w:lang w:eastAsia="zh-CN"/>
              </w:rPr>
              <w:t>oSPolicyAssist</w:t>
            </w:r>
          </w:p>
        </w:tc>
      </w:tr>
      <w:tr w:rsidR="001A238E" w14:paraId="41273D10" w14:textId="77777777" w:rsidTr="008867D9">
        <w:trPr>
          <w:jc w:val="center"/>
        </w:trPr>
        <w:tc>
          <w:tcPr>
            <w:tcW w:w="2778" w:type="dxa"/>
          </w:tcPr>
          <w:p w14:paraId="31C8951D" w14:textId="77777777" w:rsidR="001A238E" w:rsidRDefault="001A238E" w:rsidP="001A238E">
            <w:pPr>
              <w:pStyle w:val="TAL"/>
            </w:pPr>
            <w:r>
              <w:t>QosPolicyAssistReq</w:t>
            </w:r>
          </w:p>
        </w:tc>
        <w:tc>
          <w:tcPr>
            <w:tcW w:w="1849" w:type="dxa"/>
          </w:tcPr>
          <w:p w14:paraId="770D3613" w14:textId="77777777" w:rsidR="001A238E" w:rsidRDefault="001A238E" w:rsidP="001A238E">
            <w:pPr>
              <w:pStyle w:val="TAL"/>
              <w:rPr>
                <w:rFonts w:cs="Arial"/>
              </w:rPr>
            </w:pPr>
            <w:r>
              <w:t>5.1.6.2.113</w:t>
            </w:r>
          </w:p>
        </w:tc>
        <w:tc>
          <w:tcPr>
            <w:tcW w:w="2089" w:type="dxa"/>
          </w:tcPr>
          <w:p w14:paraId="50E06E1D" w14:textId="77777777" w:rsidR="001A238E" w:rsidRDefault="001A238E" w:rsidP="001A238E">
            <w:pPr>
              <w:pStyle w:val="TAL"/>
              <w:rPr>
                <w:rFonts w:cs="Arial"/>
                <w:szCs w:val="18"/>
                <w:lang w:eastAsia="zh-CN"/>
              </w:rPr>
            </w:pPr>
            <w:r>
              <w:t>Represents the QoS and Policy Assistance requirement.</w:t>
            </w:r>
          </w:p>
        </w:tc>
        <w:tc>
          <w:tcPr>
            <w:tcW w:w="2632" w:type="dxa"/>
          </w:tcPr>
          <w:p w14:paraId="4CED2813" w14:textId="77777777" w:rsidR="001A238E" w:rsidRDefault="001A238E" w:rsidP="001A238E">
            <w:pPr>
              <w:pStyle w:val="TAL"/>
              <w:rPr>
                <w:rFonts w:cs="Arial"/>
                <w:szCs w:val="18"/>
              </w:rPr>
            </w:pPr>
            <w:r>
              <w:rPr>
                <w:rFonts w:hint="eastAsia"/>
                <w:lang w:eastAsia="zh-CN"/>
              </w:rPr>
              <w:t>Q</w:t>
            </w:r>
            <w:r>
              <w:rPr>
                <w:lang w:eastAsia="zh-CN"/>
              </w:rPr>
              <w:t>oSPolicyAssist</w:t>
            </w:r>
          </w:p>
        </w:tc>
      </w:tr>
      <w:tr w:rsidR="004D166F" w14:paraId="3CA12968" w14:textId="77777777" w:rsidTr="008867D9">
        <w:trPr>
          <w:jc w:val="center"/>
        </w:trPr>
        <w:tc>
          <w:tcPr>
            <w:tcW w:w="2778" w:type="dxa"/>
          </w:tcPr>
          <w:p w14:paraId="195E78B0" w14:textId="77777777" w:rsidR="004D166F" w:rsidRDefault="004D166F" w:rsidP="004D166F">
            <w:pPr>
              <w:pStyle w:val="TAL"/>
            </w:pPr>
            <w:r>
              <w:t>QosRequirement</w:t>
            </w:r>
          </w:p>
        </w:tc>
        <w:tc>
          <w:tcPr>
            <w:tcW w:w="1849" w:type="dxa"/>
          </w:tcPr>
          <w:p w14:paraId="5848C4AA" w14:textId="77777777" w:rsidR="004D166F" w:rsidRDefault="004D166F" w:rsidP="004D166F">
            <w:pPr>
              <w:pStyle w:val="TAL"/>
              <w:rPr>
                <w:rFonts w:cs="Arial"/>
              </w:rPr>
            </w:pPr>
            <w:r>
              <w:rPr>
                <w:rFonts w:cs="Arial"/>
              </w:rPr>
              <w:t>5.1.6.2.20</w:t>
            </w:r>
          </w:p>
        </w:tc>
        <w:tc>
          <w:tcPr>
            <w:tcW w:w="2089" w:type="dxa"/>
          </w:tcPr>
          <w:p w14:paraId="7AAD8798" w14:textId="77777777" w:rsidR="004D166F" w:rsidRDefault="004D166F" w:rsidP="004D166F">
            <w:pPr>
              <w:pStyle w:val="TAL"/>
              <w:rPr>
                <w:rFonts w:cs="Arial"/>
                <w:szCs w:val="18"/>
                <w:lang w:eastAsia="zh-CN"/>
              </w:rPr>
            </w:pPr>
            <w:r>
              <w:rPr>
                <w:rFonts w:cs="Arial"/>
                <w:szCs w:val="18"/>
                <w:lang w:eastAsia="zh-CN"/>
              </w:rPr>
              <w:t>Represents QoS requirements.</w:t>
            </w:r>
          </w:p>
        </w:tc>
        <w:tc>
          <w:tcPr>
            <w:tcW w:w="2632" w:type="dxa"/>
          </w:tcPr>
          <w:p w14:paraId="6E37CA40" w14:textId="77777777" w:rsidR="004D166F" w:rsidRDefault="004D166F" w:rsidP="004D166F">
            <w:pPr>
              <w:pStyle w:val="TAL"/>
              <w:rPr>
                <w:lang w:eastAsia="ja-JP"/>
              </w:rPr>
            </w:pPr>
            <w:r>
              <w:rPr>
                <w:rFonts w:cs="Arial"/>
                <w:szCs w:val="18"/>
              </w:rPr>
              <w:t>QoSSustainability</w:t>
            </w:r>
          </w:p>
          <w:p w14:paraId="6D56F926" w14:textId="77777777" w:rsidR="004D166F" w:rsidRDefault="004D166F" w:rsidP="004D166F">
            <w:pPr>
              <w:pStyle w:val="TAL"/>
              <w:rPr>
                <w:rFonts w:cs="Arial"/>
                <w:szCs w:val="18"/>
              </w:rPr>
            </w:pPr>
            <w:r>
              <w:rPr>
                <w:lang w:eastAsia="zh-CN"/>
              </w:rPr>
              <w:t>E2eDataVolTransTime</w:t>
            </w:r>
          </w:p>
        </w:tc>
      </w:tr>
      <w:tr w:rsidR="004D166F" w14:paraId="6FF7BE3B" w14:textId="77777777" w:rsidTr="008867D9">
        <w:trPr>
          <w:jc w:val="center"/>
        </w:trPr>
        <w:tc>
          <w:tcPr>
            <w:tcW w:w="2778" w:type="dxa"/>
          </w:tcPr>
          <w:p w14:paraId="0DBE4557" w14:textId="77777777" w:rsidR="004D166F" w:rsidRDefault="004D166F" w:rsidP="004D166F">
            <w:pPr>
              <w:pStyle w:val="TAL"/>
            </w:pPr>
            <w:r>
              <w:t>QosSustainabilityInfo</w:t>
            </w:r>
          </w:p>
        </w:tc>
        <w:tc>
          <w:tcPr>
            <w:tcW w:w="1849" w:type="dxa"/>
          </w:tcPr>
          <w:p w14:paraId="5776C3D1" w14:textId="77777777" w:rsidR="004D166F" w:rsidRDefault="004D166F" w:rsidP="004D166F">
            <w:pPr>
              <w:pStyle w:val="TAL"/>
              <w:rPr>
                <w:rFonts w:cs="Arial"/>
              </w:rPr>
            </w:pPr>
            <w:r>
              <w:rPr>
                <w:rFonts w:cs="Arial"/>
              </w:rPr>
              <w:t>5.1.6.2.19</w:t>
            </w:r>
          </w:p>
        </w:tc>
        <w:tc>
          <w:tcPr>
            <w:tcW w:w="2089" w:type="dxa"/>
          </w:tcPr>
          <w:p w14:paraId="0242FF06" w14:textId="77777777" w:rsidR="004D166F" w:rsidRDefault="004D166F" w:rsidP="004D166F">
            <w:pPr>
              <w:pStyle w:val="TAL"/>
              <w:rPr>
                <w:rFonts w:cs="Arial"/>
                <w:szCs w:val="18"/>
                <w:lang w:eastAsia="zh-CN"/>
              </w:rPr>
            </w:pPr>
            <w:r>
              <w:rPr>
                <w:rFonts w:cs="Arial"/>
                <w:szCs w:val="18"/>
                <w:lang w:eastAsia="zh-CN"/>
              </w:rPr>
              <w:t>Represents QoS sustainability information.</w:t>
            </w:r>
          </w:p>
        </w:tc>
        <w:tc>
          <w:tcPr>
            <w:tcW w:w="2632" w:type="dxa"/>
          </w:tcPr>
          <w:p w14:paraId="5F3E3157" w14:textId="77777777" w:rsidR="004D166F" w:rsidRDefault="004D166F" w:rsidP="004D166F">
            <w:pPr>
              <w:pStyle w:val="TAL"/>
              <w:rPr>
                <w:rFonts w:cs="Arial"/>
                <w:szCs w:val="18"/>
              </w:rPr>
            </w:pPr>
            <w:r>
              <w:rPr>
                <w:rFonts w:cs="Arial"/>
                <w:szCs w:val="18"/>
              </w:rPr>
              <w:t>QoSSustainability</w:t>
            </w:r>
          </w:p>
        </w:tc>
      </w:tr>
      <w:tr w:rsidR="004D3964" w14:paraId="4A68B3E3" w14:textId="77777777" w:rsidTr="008867D9">
        <w:trPr>
          <w:jc w:val="center"/>
        </w:trPr>
        <w:tc>
          <w:tcPr>
            <w:tcW w:w="2778" w:type="dxa"/>
          </w:tcPr>
          <w:p w14:paraId="0E49D64C" w14:textId="77777777" w:rsidR="004D3964" w:rsidRDefault="004D3964" w:rsidP="004D3964">
            <w:pPr>
              <w:pStyle w:val="TAL"/>
              <w:rPr>
                <w:lang w:eastAsia="zh-CN"/>
              </w:rPr>
            </w:pPr>
            <w:r>
              <w:t>RatFreqInformation</w:t>
            </w:r>
          </w:p>
        </w:tc>
        <w:tc>
          <w:tcPr>
            <w:tcW w:w="1849" w:type="dxa"/>
          </w:tcPr>
          <w:p w14:paraId="41AED4A3" w14:textId="77777777" w:rsidR="004D3964" w:rsidRDefault="004D3964" w:rsidP="004D3964">
            <w:pPr>
              <w:pStyle w:val="TAL"/>
              <w:rPr>
                <w:rFonts w:cs="Arial"/>
              </w:rPr>
            </w:pPr>
            <w:r>
              <w:rPr>
                <w:rFonts w:cs="Arial"/>
              </w:rPr>
              <w:t>5.1.6.2.67</w:t>
            </w:r>
          </w:p>
        </w:tc>
        <w:tc>
          <w:tcPr>
            <w:tcW w:w="2089" w:type="dxa"/>
          </w:tcPr>
          <w:p w14:paraId="6B203F70" w14:textId="77777777" w:rsidR="004D3964" w:rsidRDefault="004D3964" w:rsidP="004D3964">
            <w:pPr>
              <w:pStyle w:val="TAL"/>
              <w:rPr>
                <w:rFonts w:cs="Arial"/>
                <w:szCs w:val="18"/>
                <w:lang w:eastAsia="zh-CN"/>
              </w:rPr>
            </w:pPr>
            <w:r>
              <w:rPr>
                <w:rFonts w:cs="Arial"/>
                <w:szCs w:val="18"/>
                <w:lang w:eastAsia="zh-CN"/>
              </w:rPr>
              <w:t>Represents the RAT type and/or Frequency information</w:t>
            </w:r>
          </w:p>
        </w:tc>
        <w:tc>
          <w:tcPr>
            <w:tcW w:w="2632" w:type="dxa"/>
          </w:tcPr>
          <w:p w14:paraId="4F2E9DCD" w14:textId="77777777" w:rsidR="004D3964" w:rsidRDefault="004D3964" w:rsidP="004D3964">
            <w:pPr>
              <w:pStyle w:val="TAL"/>
            </w:pPr>
            <w:r>
              <w:rPr>
                <w:rFonts w:cs="Arial"/>
                <w:szCs w:val="18"/>
              </w:rPr>
              <w:t>ServiceExperienceExt</w:t>
            </w:r>
          </w:p>
        </w:tc>
      </w:tr>
      <w:tr w:rsidR="004D3964" w14:paraId="35A83762" w14:textId="77777777" w:rsidTr="008867D9">
        <w:trPr>
          <w:jc w:val="center"/>
        </w:trPr>
        <w:tc>
          <w:tcPr>
            <w:tcW w:w="2778" w:type="dxa"/>
          </w:tcPr>
          <w:p w14:paraId="2DC9F351" w14:textId="77777777" w:rsidR="004D3964" w:rsidRDefault="004D3964" w:rsidP="004D3964">
            <w:pPr>
              <w:pStyle w:val="TAL"/>
              <w:rPr>
                <w:lang w:eastAsia="zh-CN"/>
              </w:rPr>
            </w:pPr>
            <w:r>
              <w:t>RedundantTransmissionExpInfo</w:t>
            </w:r>
          </w:p>
        </w:tc>
        <w:tc>
          <w:tcPr>
            <w:tcW w:w="1849" w:type="dxa"/>
          </w:tcPr>
          <w:p w14:paraId="37883AD3" w14:textId="77777777" w:rsidR="004D3964" w:rsidRDefault="004D3964" w:rsidP="004D3964">
            <w:pPr>
              <w:pStyle w:val="TAL"/>
              <w:rPr>
                <w:rFonts w:cs="Arial"/>
              </w:rPr>
            </w:pPr>
            <w:r>
              <w:rPr>
                <w:rFonts w:cs="Arial"/>
              </w:rPr>
              <w:t>5.1.6.2.57</w:t>
            </w:r>
          </w:p>
        </w:tc>
        <w:tc>
          <w:tcPr>
            <w:tcW w:w="2089" w:type="dxa"/>
          </w:tcPr>
          <w:p w14:paraId="004586AD" w14:textId="77777777" w:rsidR="004D3964" w:rsidRDefault="004D3964" w:rsidP="004D3964">
            <w:pPr>
              <w:pStyle w:val="TAL"/>
              <w:rPr>
                <w:rFonts w:cs="Arial"/>
                <w:szCs w:val="18"/>
                <w:lang w:eastAsia="zh-CN"/>
              </w:rPr>
            </w:pPr>
            <w:r>
              <w:rPr>
                <w:rFonts w:cs="Arial"/>
                <w:szCs w:val="18"/>
                <w:lang w:eastAsia="zh-CN"/>
              </w:rPr>
              <w:t>Redundant transmission experience analytics information.</w:t>
            </w:r>
          </w:p>
        </w:tc>
        <w:tc>
          <w:tcPr>
            <w:tcW w:w="2632" w:type="dxa"/>
          </w:tcPr>
          <w:p w14:paraId="064C3C0B" w14:textId="77777777" w:rsidR="004D3964" w:rsidRDefault="004D3964" w:rsidP="004D3964">
            <w:pPr>
              <w:pStyle w:val="TAL"/>
            </w:pPr>
            <w:r>
              <w:rPr>
                <w:rFonts w:cs="Arial"/>
                <w:szCs w:val="18"/>
              </w:rPr>
              <w:t>RedundantTransmissionExp</w:t>
            </w:r>
          </w:p>
        </w:tc>
      </w:tr>
      <w:tr w:rsidR="004D3964" w14:paraId="0F16BA39" w14:textId="77777777" w:rsidTr="008867D9">
        <w:trPr>
          <w:jc w:val="center"/>
        </w:trPr>
        <w:tc>
          <w:tcPr>
            <w:tcW w:w="2778" w:type="dxa"/>
          </w:tcPr>
          <w:p w14:paraId="11617418" w14:textId="77777777" w:rsidR="004D3964" w:rsidRDefault="004D3964" w:rsidP="004D3964">
            <w:pPr>
              <w:pStyle w:val="TAL"/>
              <w:rPr>
                <w:lang w:eastAsia="zh-CN"/>
              </w:rPr>
            </w:pPr>
            <w:r>
              <w:t>RedundantTransmissionExpReq</w:t>
            </w:r>
          </w:p>
        </w:tc>
        <w:tc>
          <w:tcPr>
            <w:tcW w:w="1849" w:type="dxa"/>
          </w:tcPr>
          <w:p w14:paraId="62AF86F9" w14:textId="77777777" w:rsidR="004D3964" w:rsidRDefault="004D3964" w:rsidP="004D3964">
            <w:pPr>
              <w:pStyle w:val="TAL"/>
              <w:rPr>
                <w:rFonts w:cs="Arial"/>
              </w:rPr>
            </w:pPr>
            <w:r>
              <w:rPr>
                <w:rFonts w:cs="Arial"/>
              </w:rPr>
              <w:t>5.1.6.2.56</w:t>
            </w:r>
          </w:p>
        </w:tc>
        <w:tc>
          <w:tcPr>
            <w:tcW w:w="2089" w:type="dxa"/>
          </w:tcPr>
          <w:p w14:paraId="02D9D886" w14:textId="77777777" w:rsidR="004D3964" w:rsidRDefault="004D3964" w:rsidP="004D3964">
            <w:pPr>
              <w:pStyle w:val="TAL"/>
              <w:rPr>
                <w:rFonts w:cs="Arial"/>
                <w:szCs w:val="18"/>
                <w:lang w:eastAsia="zh-CN"/>
              </w:rPr>
            </w:pPr>
            <w:r>
              <w:rPr>
                <w:rFonts w:cs="Arial"/>
                <w:szCs w:val="18"/>
                <w:lang w:eastAsia="zh-CN"/>
              </w:rPr>
              <w:t>Redundant transmission experience analytics requirement.</w:t>
            </w:r>
          </w:p>
        </w:tc>
        <w:tc>
          <w:tcPr>
            <w:tcW w:w="2632" w:type="dxa"/>
          </w:tcPr>
          <w:p w14:paraId="7A544CE4" w14:textId="77777777" w:rsidR="004D3964" w:rsidRDefault="004D3964" w:rsidP="004D3964">
            <w:pPr>
              <w:pStyle w:val="TAL"/>
            </w:pPr>
            <w:r>
              <w:rPr>
                <w:rFonts w:cs="Arial"/>
                <w:szCs w:val="18"/>
              </w:rPr>
              <w:t>RedundantTransmissionExp</w:t>
            </w:r>
          </w:p>
        </w:tc>
      </w:tr>
      <w:tr w:rsidR="004D3964" w14:paraId="58CD634E" w14:textId="77777777" w:rsidTr="008867D9">
        <w:trPr>
          <w:jc w:val="center"/>
        </w:trPr>
        <w:tc>
          <w:tcPr>
            <w:tcW w:w="2778" w:type="dxa"/>
          </w:tcPr>
          <w:p w14:paraId="75F2DCC5" w14:textId="77777777" w:rsidR="004D3964" w:rsidRDefault="004D3964" w:rsidP="004D3964">
            <w:pPr>
              <w:pStyle w:val="TAL"/>
            </w:pPr>
            <w:r>
              <w:t>PduSessionInfo</w:t>
            </w:r>
          </w:p>
        </w:tc>
        <w:tc>
          <w:tcPr>
            <w:tcW w:w="1849" w:type="dxa"/>
          </w:tcPr>
          <w:p w14:paraId="010C5706" w14:textId="77777777" w:rsidR="004D3964" w:rsidRDefault="004D3964" w:rsidP="004D3964">
            <w:pPr>
              <w:pStyle w:val="TAL"/>
              <w:rPr>
                <w:rFonts w:cs="Arial"/>
              </w:rPr>
            </w:pPr>
            <w:r>
              <w:rPr>
                <w:rFonts w:cs="Arial"/>
              </w:rPr>
              <w:t>5.1.6.2.74</w:t>
            </w:r>
          </w:p>
        </w:tc>
        <w:tc>
          <w:tcPr>
            <w:tcW w:w="2089" w:type="dxa"/>
          </w:tcPr>
          <w:p w14:paraId="5173328F" w14:textId="77777777" w:rsidR="004D3964" w:rsidRDefault="004D3964" w:rsidP="004D3964">
            <w:pPr>
              <w:pStyle w:val="TAL"/>
              <w:rPr>
                <w:rFonts w:cs="Arial"/>
                <w:szCs w:val="18"/>
                <w:lang w:eastAsia="zh-CN"/>
              </w:rPr>
            </w:pPr>
            <w:r>
              <w:rPr>
                <w:rFonts w:cs="Arial"/>
                <w:szCs w:val="18"/>
                <w:lang w:eastAsia="zh-CN"/>
              </w:rPr>
              <w:t>Represents combination of PDU Session parameters.</w:t>
            </w:r>
          </w:p>
        </w:tc>
        <w:tc>
          <w:tcPr>
            <w:tcW w:w="2632" w:type="dxa"/>
          </w:tcPr>
          <w:p w14:paraId="4B676653" w14:textId="77777777" w:rsidR="004D3964" w:rsidRDefault="004D3964" w:rsidP="004D3964">
            <w:pPr>
              <w:pStyle w:val="TAL"/>
              <w:rPr>
                <w:rFonts w:cs="Arial"/>
                <w:szCs w:val="18"/>
              </w:rPr>
            </w:pPr>
            <w:r>
              <w:rPr>
                <w:rFonts w:cs="Arial"/>
                <w:szCs w:val="18"/>
              </w:rPr>
              <w:t>ServiceExperienceExt2_eNA</w:t>
            </w:r>
          </w:p>
        </w:tc>
      </w:tr>
      <w:tr w:rsidR="004D166F" w14:paraId="610A6A06" w14:textId="77777777" w:rsidTr="008867D9">
        <w:trPr>
          <w:jc w:val="center"/>
        </w:trPr>
        <w:tc>
          <w:tcPr>
            <w:tcW w:w="2778" w:type="dxa"/>
          </w:tcPr>
          <w:p w14:paraId="5A67896A" w14:textId="77777777" w:rsidR="004D166F" w:rsidRDefault="004D166F" w:rsidP="004D166F">
            <w:pPr>
              <w:pStyle w:val="TAL"/>
            </w:pPr>
            <w:r>
              <w:t>RedirectResponse</w:t>
            </w:r>
          </w:p>
        </w:tc>
        <w:tc>
          <w:tcPr>
            <w:tcW w:w="1849" w:type="dxa"/>
          </w:tcPr>
          <w:p w14:paraId="510F9ECB" w14:textId="77777777" w:rsidR="004D166F" w:rsidRDefault="004D166F" w:rsidP="004D166F">
            <w:pPr>
              <w:pStyle w:val="TAL"/>
              <w:rPr>
                <w:rFonts w:cs="Arial"/>
              </w:rPr>
            </w:pPr>
            <w:r>
              <w:t>3GPP TS 29.571 [8]</w:t>
            </w:r>
          </w:p>
        </w:tc>
        <w:tc>
          <w:tcPr>
            <w:tcW w:w="2089" w:type="dxa"/>
          </w:tcPr>
          <w:p w14:paraId="5F4BB22D" w14:textId="77777777" w:rsidR="004D166F" w:rsidRDefault="004D166F" w:rsidP="004D166F">
            <w:pPr>
              <w:pStyle w:val="TAL"/>
              <w:rPr>
                <w:rFonts w:cs="Arial"/>
                <w:szCs w:val="18"/>
                <w:lang w:eastAsia="zh-CN"/>
              </w:rPr>
            </w:pPr>
            <w:r>
              <w:t>Represents redirection related information.</w:t>
            </w:r>
          </w:p>
        </w:tc>
        <w:tc>
          <w:tcPr>
            <w:tcW w:w="2632" w:type="dxa"/>
          </w:tcPr>
          <w:p w14:paraId="75FF5FC8" w14:textId="77777777" w:rsidR="004D166F" w:rsidRDefault="004D166F" w:rsidP="004D166F">
            <w:pPr>
              <w:pStyle w:val="TAL"/>
              <w:rPr>
                <w:rFonts w:cs="Arial"/>
                <w:szCs w:val="18"/>
              </w:rPr>
            </w:pPr>
          </w:p>
        </w:tc>
      </w:tr>
      <w:tr w:rsidR="004D3964" w14:paraId="2A1FB32F" w14:textId="77777777" w:rsidTr="008867D9">
        <w:trPr>
          <w:jc w:val="center"/>
        </w:trPr>
        <w:tc>
          <w:tcPr>
            <w:tcW w:w="2778" w:type="dxa"/>
          </w:tcPr>
          <w:p w14:paraId="67925772" w14:textId="77777777" w:rsidR="004D3964" w:rsidRDefault="004D3964" w:rsidP="004D3964">
            <w:pPr>
              <w:pStyle w:val="TAL"/>
            </w:pPr>
            <w:r>
              <w:t>RelProxInfo</w:t>
            </w:r>
          </w:p>
        </w:tc>
        <w:tc>
          <w:tcPr>
            <w:tcW w:w="1849" w:type="dxa"/>
          </w:tcPr>
          <w:p w14:paraId="7431A680" w14:textId="77777777" w:rsidR="004D3964" w:rsidRDefault="004D3964" w:rsidP="004D3964">
            <w:pPr>
              <w:pStyle w:val="TAL"/>
              <w:rPr>
                <w:rFonts w:cs="Arial"/>
              </w:rPr>
            </w:pPr>
            <w:r>
              <w:rPr>
                <w:rFonts w:hint="eastAsia"/>
                <w:lang w:eastAsia="ja-JP"/>
              </w:rPr>
              <w:t>5</w:t>
            </w:r>
            <w:r>
              <w:rPr>
                <w:lang w:eastAsia="ja-JP"/>
              </w:rPr>
              <w:t>.1.6.2.100</w:t>
            </w:r>
          </w:p>
        </w:tc>
        <w:tc>
          <w:tcPr>
            <w:tcW w:w="2089" w:type="dxa"/>
          </w:tcPr>
          <w:p w14:paraId="2FCD6088" w14:textId="77777777" w:rsidR="004D3964" w:rsidRDefault="004D3964" w:rsidP="004D3964">
            <w:pPr>
              <w:pStyle w:val="TAL"/>
              <w:rPr>
                <w:rFonts w:cs="Arial"/>
                <w:szCs w:val="18"/>
                <w:lang w:eastAsia="zh-CN"/>
              </w:rPr>
            </w:pPr>
            <w:r>
              <w:rPr>
                <w:lang w:val="en-US" w:eastAsia="zh-CN"/>
              </w:rPr>
              <w:t xml:space="preserve">Relative Proximity </w:t>
            </w:r>
            <w:r>
              <w:rPr>
                <w:lang w:eastAsia="ko-KR"/>
              </w:rPr>
              <w:t>analytics information.</w:t>
            </w:r>
          </w:p>
        </w:tc>
        <w:tc>
          <w:tcPr>
            <w:tcW w:w="2632" w:type="dxa"/>
          </w:tcPr>
          <w:p w14:paraId="74FD07C3" w14:textId="77777777" w:rsidR="004D3964" w:rsidRDefault="004D3964" w:rsidP="004D3964">
            <w:pPr>
              <w:pStyle w:val="TAL"/>
              <w:rPr>
                <w:rFonts w:cs="Arial"/>
                <w:szCs w:val="18"/>
              </w:rPr>
            </w:pPr>
            <w:r>
              <w:rPr>
                <w:lang w:val="en-US" w:eastAsia="zh-CN"/>
              </w:rPr>
              <w:t>RelativeProximity</w:t>
            </w:r>
          </w:p>
        </w:tc>
      </w:tr>
      <w:tr w:rsidR="004D3964" w14:paraId="269A47D9" w14:textId="77777777" w:rsidTr="008867D9">
        <w:trPr>
          <w:jc w:val="center"/>
        </w:trPr>
        <w:tc>
          <w:tcPr>
            <w:tcW w:w="2778" w:type="dxa"/>
          </w:tcPr>
          <w:p w14:paraId="1D29E8EB" w14:textId="77777777" w:rsidR="004D3964" w:rsidRDefault="004D3964" w:rsidP="004D3964">
            <w:pPr>
              <w:pStyle w:val="TAL"/>
            </w:pPr>
            <w:r>
              <w:t>RelProxReq</w:t>
            </w:r>
          </w:p>
        </w:tc>
        <w:tc>
          <w:tcPr>
            <w:tcW w:w="1849" w:type="dxa"/>
          </w:tcPr>
          <w:p w14:paraId="6BD946DA" w14:textId="77777777" w:rsidR="004D3964" w:rsidRDefault="004D3964" w:rsidP="004D3964">
            <w:pPr>
              <w:pStyle w:val="TAL"/>
              <w:rPr>
                <w:rFonts w:cs="Arial"/>
              </w:rPr>
            </w:pPr>
            <w:r>
              <w:rPr>
                <w:rFonts w:hint="eastAsia"/>
                <w:lang w:eastAsia="ja-JP"/>
              </w:rPr>
              <w:t>5</w:t>
            </w:r>
            <w:r>
              <w:rPr>
                <w:lang w:eastAsia="ja-JP"/>
              </w:rPr>
              <w:t>.1.6.2.99</w:t>
            </w:r>
          </w:p>
        </w:tc>
        <w:tc>
          <w:tcPr>
            <w:tcW w:w="2089" w:type="dxa"/>
          </w:tcPr>
          <w:p w14:paraId="097FFDFA" w14:textId="77777777" w:rsidR="004D3964" w:rsidRDefault="004D3964" w:rsidP="004D3964">
            <w:pPr>
              <w:pStyle w:val="TAL"/>
              <w:rPr>
                <w:rFonts w:cs="Arial"/>
                <w:szCs w:val="18"/>
                <w:lang w:eastAsia="zh-CN"/>
              </w:rPr>
            </w:pPr>
            <w:r>
              <w:rPr>
                <w:lang w:val="en-US" w:eastAsia="zh-CN"/>
              </w:rPr>
              <w:t>Relative Proximity analytics requirements.</w:t>
            </w:r>
          </w:p>
        </w:tc>
        <w:tc>
          <w:tcPr>
            <w:tcW w:w="2632" w:type="dxa"/>
          </w:tcPr>
          <w:p w14:paraId="0E3F1F23" w14:textId="77777777" w:rsidR="004D3964" w:rsidRDefault="004D3964" w:rsidP="004D3964">
            <w:pPr>
              <w:pStyle w:val="TAL"/>
              <w:rPr>
                <w:rFonts w:cs="Arial"/>
                <w:szCs w:val="18"/>
              </w:rPr>
            </w:pPr>
            <w:r>
              <w:rPr>
                <w:lang w:val="en-US" w:eastAsia="zh-CN"/>
              </w:rPr>
              <w:t>RelativeProximity</w:t>
            </w:r>
          </w:p>
        </w:tc>
      </w:tr>
      <w:tr w:rsidR="004D3964" w14:paraId="5CF44312" w14:textId="77777777" w:rsidTr="008867D9">
        <w:trPr>
          <w:jc w:val="center"/>
        </w:trPr>
        <w:tc>
          <w:tcPr>
            <w:tcW w:w="2778" w:type="dxa"/>
          </w:tcPr>
          <w:p w14:paraId="07C32A46" w14:textId="77777777" w:rsidR="004D3964" w:rsidRDefault="004D3964" w:rsidP="004D3964">
            <w:pPr>
              <w:pStyle w:val="TAL"/>
            </w:pPr>
            <w:r>
              <w:rPr>
                <w:lang w:eastAsia="zh-CN"/>
              </w:rPr>
              <w:t>ResourceUsageRequirement</w:t>
            </w:r>
          </w:p>
        </w:tc>
        <w:tc>
          <w:tcPr>
            <w:tcW w:w="1849" w:type="dxa"/>
          </w:tcPr>
          <w:p w14:paraId="65397C1F" w14:textId="77777777" w:rsidR="004D3964" w:rsidRDefault="004D3964" w:rsidP="004D3964">
            <w:pPr>
              <w:pStyle w:val="TAL"/>
              <w:rPr>
                <w:rFonts w:cs="Arial"/>
              </w:rPr>
            </w:pPr>
            <w:r>
              <w:rPr>
                <w:rFonts w:hint="eastAsia"/>
                <w:lang w:eastAsia="zh-CN"/>
              </w:rPr>
              <w:t>5</w:t>
            </w:r>
            <w:r>
              <w:rPr>
                <w:lang w:eastAsia="zh-CN"/>
              </w:rPr>
              <w:t>.1.6.2.81</w:t>
            </w:r>
          </w:p>
        </w:tc>
        <w:tc>
          <w:tcPr>
            <w:tcW w:w="2089" w:type="dxa"/>
          </w:tcPr>
          <w:p w14:paraId="695B900B" w14:textId="77777777" w:rsidR="004D3964" w:rsidRDefault="004D3964" w:rsidP="004D3964">
            <w:pPr>
              <w:pStyle w:val="TAL"/>
              <w:rPr>
                <w:rFonts w:cs="Arial"/>
                <w:szCs w:val="18"/>
                <w:lang w:eastAsia="zh-CN"/>
              </w:rPr>
            </w:pPr>
            <w:r>
              <w:rPr>
                <w:lang w:eastAsia="zh-CN"/>
              </w:rPr>
              <w:t>Indicates more requirements per network performance type when providing resource usage information for network performance.</w:t>
            </w:r>
          </w:p>
        </w:tc>
        <w:tc>
          <w:tcPr>
            <w:tcW w:w="2632" w:type="dxa"/>
          </w:tcPr>
          <w:p w14:paraId="78B1ED94" w14:textId="77777777" w:rsidR="004D3964" w:rsidRDefault="004D3964" w:rsidP="004D3964">
            <w:pPr>
              <w:pStyle w:val="TAL"/>
              <w:rPr>
                <w:rFonts w:cs="Arial"/>
                <w:szCs w:val="18"/>
              </w:rPr>
            </w:pPr>
            <w:r>
              <w:t>NetworkPerformance</w:t>
            </w:r>
            <w:r>
              <w:rPr>
                <w:lang w:eastAsia="zh-CN"/>
              </w:rPr>
              <w:t>Ext_AIML</w:t>
            </w:r>
          </w:p>
        </w:tc>
      </w:tr>
      <w:tr w:rsidR="004D3964" w14:paraId="560B08D5" w14:textId="77777777" w:rsidTr="008867D9">
        <w:trPr>
          <w:jc w:val="center"/>
        </w:trPr>
        <w:tc>
          <w:tcPr>
            <w:tcW w:w="2778" w:type="dxa"/>
          </w:tcPr>
          <w:p w14:paraId="21BDF091" w14:textId="77777777" w:rsidR="004D3964" w:rsidRDefault="004D3964" w:rsidP="004D3964">
            <w:pPr>
              <w:pStyle w:val="TAL"/>
              <w:rPr>
                <w:lang w:eastAsia="zh-CN"/>
              </w:rPr>
            </w:pPr>
            <w:r>
              <w:rPr>
                <w:lang w:eastAsia="zh-CN"/>
              </w:rPr>
              <w:t>RoamingInfo</w:t>
            </w:r>
          </w:p>
        </w:tc>
        <w:tc>
          <w:tcPr>
            <w:tcW w:w="1849" w:type="dxa"/>
          </w:tcPr>
          <w:p w14:paraId="0EC2BB27" w14:textId="77777777" w:rsidR="004D3964" w:rsidRDefault="004D3964" w:rsidP="004D3964">
            <w:pPr>
              <w:pStyle w:val="TAL"/>
              <w:rPr>
                <w:lang w:eastAsia="zh-CN"/>
              </w:rPr>
            </w:pPr>
            <w:r>
              <w:rPr>
                <w:lang w:eastAsia="zh-CN"/>
              </w:rPr>
              <w:t>5.1.6.2.106</w:t>
            </w:r>
          </w:p>
        </w:tc>
        <w:tc>
          <w:tcPr>
            <w:tcW w:w="2089" w:type="dxa"/>
          </w:tcPr>
          <w:p w14:paraId="5F927DCA" w14:textId="77777777" w:rsidR="004D3964" w:rsidRDefault="004D3964" w:rsidP="004D3964">
            <w:pPr>
              <w:pStyle w:val="TAL"/>
              <w:rPr>
                <w:lang w:eastAsia="zh-CN"/>
              </w:rPr>
            </w:pPr>
            <w:r>
              <w:rPr>
                <w:lang w:eastAsia="zh-CN"/>
              </w:rPr>
              <w:t>Contains information related to roaming analytics.</w:t>
            </w:r>
          </w:p>
        </w:tc>
        <w:tc>
          <w:tcPr>
            <w:tcW w:w="2632" w:type="dxa"/>
          </w:tcPr>
          <w:p w14:paraId="11F0982F" w14:textId="77777777" w:rsidR="004D3964" w:rsidRDefault="004D3964" w:rsidP="004D3964">
            <w:pPr>
              <w:pStyle w:val="TAL"/>
            </w:pPr>
            <w:r>
              <w:rPr>
                <w:rFonts w:cs="Arial"/>
                <w:szCs w:val="18"/>
              </w:rPr>
              <w:t>RoamingAnalytics</w:t>
            </w:r>
          </w:p>
        </w:tc>
      </w:tr>
      <w:tr w:rsidR="004D166F" w14:paraId="77076DE1" w14:textId="77777777" w:rsidTr="008867D9">
        <w:trPr>
          <w:jc w:val="center"/>
        </w:trPr>
        <w:tc>
          <w:tcPr>
            <w:tcW w:w="2778" w:type="dxa"/>
          </w:tcPr>
          <w:p w14:paraId="005EB158" w14:textId="77777777" w:rsidR="004D166F" w:rsidRDefault="004D166F" w:rsidP="004D166F">
            <w:pPr>
              <w:pStyle w:val="TAL"/>
              <w:rPr>
                <w:lang w:eastAsia="zh-CN"/>
              </w:rPr>
            </w:pPr>
            <w:r>
              <w:t>ServiceExperienceInfo</w:t>
            </w:r>
          </w:p>
        </w:tc>
        <w:tc>
          <w:tcPr>
            <w:tcW w:w="1849" w:type="dxa"/>
          </w:tcPr>
          <w:p w14:paraId="4BC627E7" w14:textId="77777777" w:rsidR="004D166F" w:rsidRDefault="004D166F" w:rsidP="004D166F">
            <w:pPr>
              <w:pStyle w:val="TAL"/>
              <w:rPr>
                <w:lang w:eastAsia="zh-CN"/>
              </w:rPr>
            </w:pPr>
            <w:r>
              <w:rPr>
                <w:rFonts w:cs="Arial"/>
              </w:rPr>
              <w:t>5.1.6.2.24</w:t>
            </w:r>
          </w:p>
        </w:tc>
        <w:tc>
          <w:tcPr>
            <w:tcW w:w="2089" w:type="dxa"/>
          </w:tcPr>
          <w:p w14:paraId="0BF5A5D6" w14:textId="77777777" w:rsidR="004D166F" w:rsidRDefault="004D166F" w:rsidP="004D166F">
            <w:pPr>
              <w:pStyle w:val="TAL"/>
              <w:rPr>
                <w:rFonts w:cs="Arial"/>
                <w:szCs w:val="18"/>
              </w:rPr>
            </w:pPr>
            <w:r>
              <w:rPr>
                <w:rFonts w:cs="Arial"/>
                <w:szCs w:val="18"/>
                <w:lang w:eastAsia="zh-CN"/>
              </w:rPr>
              <w:t>Represents service experience information.</w:t>
            </w:r>
          </w:p>
        </w:tc>
        <w:tc>
          <w:tcPr>
            <w:tcW w:w="2632" w:type="dxa"/>
          </w:tcPr>
          <w:p w14:paraId="69E7A73B" w14:textId="77777777" w:rsidR="004D166F" w:rsidRDefault="004D166F" w:rsidP="004D166F">
            <w:pPr>
              <w:pStyle w:val="TAL"/>
              <w:rPr>
                <w:rFonts w:cs="Arial"/>
                <w:szCs w:val="18"/>
              </w:rPr>
            </w:pPr>
            <w:r>
              <w:rPr>
                <w:rFonts w:eastAsia="Batang"/>
              </w:rPr>
              <w:t>ServiceExperience</w:t>
            </w:r>
          </w:p>
        </w:tc>
      </w:tr>
      <w:tr w:rsidR="00432DC2" w14:paraId="5BF5EEEA" w14:textId="77777777" w:rsidTr="008867D9">
        <w:trPr>
          <w:jc w:val="center"/>
        </w:trPr>
        <w:tc>
          <w:tcPr>
            <w:tcW w:w="2778" w:type="dxa"/>
          </w:tcPr>
          <w:p w14:paraId="730F3CB5" w14:textId="77777777" w:rsidR="00432DC2" w:rsidRDefault="00432DC2" w:rsidP="00432DC2">
            <w:pPr>
              <w:pStyle w:val="TAL"/>
            </w:pPr>
            <w:r>
              <w:lastRenderedPageBreak/>
              <w:t>SignalStormInfo</w:t>
            </w:r>
          </w:p>
        </w:tc>
        <w:tc>
          <w:tcPr>
            <w:tcW w:w="1849" w:type="dxa"/>
          </w:tcPr>
          <w:p w14:paraId="2A98E238" w14:textId="77777777" w:rsidR="00432DC2" w:rsidRDefault="00432DC2" w:rsidP="00432DC2">
            <w:pPr>
              <w:pStyle w:val="TAL"/>
              <w:rPr>
                <w:rFonts w:cs="Arial"/>
              </w:rPr>
            </w:pPr>
            <w:r>
              <w:t>5.1.6.2.109</w:t>
            </w:r>
          </w:p>
        </w:tc>
        <w:tc>
          <w:tcPr>
            <w:tcW w:w="2089" w:type="dxa"/>
          </w:tcPr>
          <w:p w14:paraId="462B3890" w14:textId="77777777" w:rsidR="00432DC2" w:rsidRDefault="00432DC2" w:rsidP="00432DC2">
            <w:pPr>
              <w:pStyle w:val="TAL"/>
              <w:rPr>
                <w:rFonts w:cs="Arial"/>
                <w:szCs w:val="18"/>
              </w:rPr>
            </w:pPr>
            <w:r>
              <w:t>Represents the signalling storm analytics information.</w:t>
            </w:r>
          </w:p>
        </w:tc>
        <w:tc>
          <w:tcPr>
            <w:tcW w:w="2632" w:type="dxa"/>
          </w:tcPr>
          <w:p w14:paraId="0325CB53" w14:textId="77777777" w:rsidR="00432DC2" w:rsidRDefault="00432DC2" w:rsidP="00432DC2">
            <w:pPr>
              <w:pStyle w:val="TAL"/>
              <w:rPr>
                <w:rFonts w:eastAsia="Batang"/>
              </w:rPr>
            </w:pPr>
            <w:r w:rsidRPr="00AA1EE0">
              <w:t>SignallingStorm</w:t>
            </w:r>
          </w:p>
        </w:tc>
      </w:tr>
      <w:tr w:rsidR="00432DC2" w14:paraId="52E4EAD5" w14:textId="77777777" w:rsidTr="008867D9">
        <w:trPr>
          <w:jc w:val="center"/>
        </w:trPr>
        <w:tc>
          <w:tcPr>
            <w:tcW w:w="2778" w:type="dxa"/>
          </w:tcPr>
          <w:p w14:paraId="04DB76F5" w14:textId="77777777" w:rsidR="00432DC2" w:rsidRDefault="00432DC2" w:rsidP="00432DC2">
            <w:pPr>
              <w:pStyle w:val="TAL"/>
            </w:pPr>
            <w:r>
              <w:t>SignalStormReq</w:t>
            </w:r>
          </w:p>
        </w:tc>
        <w:tc>
          <w:tcPr>
            <w:tcW w:w="1849" w:type="dxa"/>
          </w:tcPr>
          <w:p w14:paraId="726F475A" w14:textId="77777777" w:rsidR="00432DC2" w:rsidRDefault="00432DC2" w:rsidP="00432DC2">
            <w:pPr>
              <w:pStyle w:val="TAL"/>
              <w:rPr>
                <w:rFonts w:cs="Arial"/>
              </w:rPr>
            </w:pPr>
            <w:r>
              <w:t>5.1.6.2.108</w:t>
            </w:r>
          </w:p>
        </w:tc>
        <w:tc>
          <w:tcPr>
            <w:tcW w:w="2089" w:type="dxa"/>
          </w:tcPr>
          <w:p w14:paraId="32114A4C" w14:textId="77777777" w:rsidR="00432DC2" w:rsidRDefault="00432DC2" w:rsidP="00432DC2">
            <w:pPr>
              <w:pStyle w:val="TAL"/>
              <w:rPr>
                <w:rFonts w:cs="Arial"/>
                <w:szCs w:val="18"/>
              </w:rPr>
            </w:pPr>
            <w:r>
              <w:t>Represents the signalling storm analytics requirement information.</w:t>
            </w:r>
          </w:p>
        </w:tc>
        <w:tc>
          <w:tcPr>
            <w:tcW w:w="2632" w:type="dxa"/>
          </w:tcPr>
          <w:p w14:paraId="5C5C1029" w14:textId="77777777" w:rsidR="00432DC2" w:rsidRDefault="00432DC2" w:rsidP="00432DC2">
            <w:pPr>
              <w:pStyle w:val="TAL"/>
              <w:rPr>
                <w:rFonts w:eastAsia="Batang"/>
              </w:rPr>
            </w:pPr>
            <w:r w:rsidRPr="00AA1EE0">
              <w:t>SignallingStorm</w:t>
            </w:r>
          </w:p>
        </w:tc>
      </w:tr>
      <w:tr w:rsidR="004D3964" w14:paraId="38C2CA6E" w14:textId="77777777" w:rsidTr="008867D9">
        <w:trPr>
          <w:jc w:val="center"/>
        </w:trPr>
        <w:tc>
          <w:tcPr>
            <w:tcW w:w="2778" w:type="dxa"/>
          </w:tcPr>
          <w:p w14:paraId="3311C379" w14:textId="77777777" w:rsidR="004D3964" w:rsidRDefault="004D3964" w:rsidP="004D3964">
            <w:pPr>
              <w:pStyle w:val="TAL"/>
              <w:rPr>
                <w:lang w:eastAsia="zh-CN"/>
              </w:rPr>
            </w:pPr>
            <w:r>
              <w:rPr>
                <w:lang w:eastAsia="zh-CN"/>
              </w:rPr>
              <w:t>Supi</w:t>
            </w:r>
          </w:p>
        </w:tc>
        <w:tc>
          <w:tcPr>
            <w:tcW w:w="1849" w:type="dxa"/>
          </w:tcPr>
          <w:p w14:paraId="4B84C77B" w14:textId="77777777" w:rsidR="004D3964" w:rsidRDefault="004D3964" w:rsidP="004D3964">
            <w:pPr>
              <w:pStyle w:val="TAL"/>
            </w:pPr>
            <w:r>
              <w:rPr>
                <w:lang w:eastAsia="zh-CN"/>
              </w:rPr>
              <w:t>3GPP</w:t>
            </w:r>
            <w:r>
              <w:rPr>
                <w:lang w:val="en-US" w:eastAsia="zh-CN"/>
              </w:rPr>
              <w:t> </w:t>
            </w:r>
            <w:r>
              <w:rPr>
                <w:lang w:eastAsia="zh-CN"/>
              </w:rPr>
              <w:t>TS</w:t>
            </w:r>
            <w:r>
              <w:rPr>
                <w:lang w:val="en-US" w:eastAsia="zh-CN"/>
              </w:rPr>
              <w:t> </w:t>
            </w:r>
            <w:r>
              <w:rPr>
                <w:lang w:eastAsia="zh-CN"/>
              </w:rPr>
              <w:t>29.571</w:t>
            </w:r>
            <w:r>
              <w:rPr>
                <w:lang w:val="en-US" w:eastAsia="zh-CN"/>
              </w:rPr>
              <w:t> </w:t>
            </w:r>
            <w:r>
              <w:rPr>
                <w:lang w:eastAsia="zh-CN"/>
              </w:rPr>
              <w:t>[8]</w:t>
            </w:r>
          </w:p>
        </w:tc>
        <w:tc>
          <w:tcPr>
            <w:tcW w:w="2089" w:type="dxa"/>
          </w:tcPr>
          <w:p w14:paraId="3FE5A14F" w14:textId="77777777" w:rsidR="004D3964" w:rsidRDefault="004D3964" w:rsidP="004D3964">
            <w:pPr>
              <w:pStyle w:val="TAL"/>
              <w:rPr>
                <w:rFonts w:cs="Arial"/>
                <w:szCs w:val="18"/>
              </w:rPr>
            </w:pPr>
            <w:r>
              <w:rPr>
                <w:rFonts w:cs="Arial"/>
                <w:szCs w:val="18"/>
              </w:rPr>
              <w:t>Identifies the UE.</w:t>
            </w:r>
          </w:p>
        </w:tc>
        <w:tc>
          <w:tcPr>
            <w:tcW w:w="2632" w:type="dxa"/>
          </w:tcPr>
          <w:p w14:paraId="676A358E" w14:textId="77777777" w:rsidR="004D3964" w:rsidRDefault="004D3964" w:rsidP="004D3964">
            <w:pPr>
              <w:pStyle w:val="TAL"/>
              <w:rPr>
                <w:rFonts w:cs="Arial"/>
                <w:szCs w:val="18"/>
              </w:rPr>
            </w:pPr>
            <w:r>
              <w:rPr>
                <w:rFonts w:cs="Arial"/>
                <w:szCs w:val="18"/>
              </w:rPr>
              <w:t>ServiceExperience,</w:t>
            </w:r>
          </w:p>
          <w:p w14:paraId="70956AF7" w14:textId="77777777" w:rsidR="004D3964" w:rsidRDefault="004D3964" w:rsidP="004D3964">
            <w:pPr>
              <w:pStyle w:val="TAL"/>
              <w:rPr>
                <w:rFonts w:cs="Arial"/>
                <w:szCs w:val="18"/>
              </w:rPr>
            </w:pPr>
            <w:r>
              <w:rPr>
                <w:rFonts w:cs="Arial"/>
                <w:szCs w:val="18"/>
              </w:rPr>
              <w:t>NfLoad</w:t>
            </w:r>
          </w:p>
          <w:p w14:paraId="2F357287" w14:textId="77777777" w:rsidR="004D3964" w:rsidRDefault="004D3964" w:rsidP="004D3964">
            <w:pPr>
              <w:pStyle w:val="TAL"/>
              <w:rPr>
                <w:rFonts w:cs="Arial"/>
                <w:szCs w:val="18"/>
              </w:rPr>
            </w:pPr>
            <w:r>
              <w:rPr>
                <w:rFonts w:cs="Arial"/>
                <w:szCs w:val="18"/>
              </w:rPr>
              <w:t>NetworkPerformance</w:t>
            </w:r>
          </w:p>
          <w:p w14:paraId="307774FE" w14:textId="77777777" w:rsidR="004D3964" w:rsidRDefault="004D3964" w:rsidP="004D3964">
            <w:pPr>
              <w:pStyle w:val="TAL"/>
              <w:rPr>
                <w:rFonts w:cs="Arial"/>
                <w:szCs w:val="18"/>
              </w:rPr>
            </w:pPr>
            <w:r>
              <w:rPr>
                <w:rFonts w:cs="Arial"/>
                <w:szCs w:val="18"/>
              </w:rPr>
              <w:t>UserDataCongestion</w:t>
            </w:r>
          </w:p>
          <w:p w14:paraId="71D006D7" w14:textId="77777777" w:rsidR="004D3964" w:rsidRDefault="004D3964" w:rsidP="004D3964">
            <w:pPr>
              <w:pStyle w:val="TAL"/>
              <w:rPr>
                <w:rFonts w:cs="Arial"/>
                <w:szCs w:val="18"/>
              </w:rPr>
            </w:pPr>
            <w:r>
              <w:rPr>
                <w:rFonts w:cs="Arial"/>
                <w:szCs w:val="18"/>
              </w:rPr>
              <w:t>UeMobility</w:t>
            </w:r>
          </w:p>
          <w:p w14:paraId="54A36CC0" w14:textId="77777777" w:rsidR="004D3964" w:rsidRDefault="004D3964" w:rsidP="004D3964">
            <w:pPr>
              <w:pStyle w:val="TAL"/>
              <w:rPr>
                <w:rFonts w:cs="Arial"/>
                <w:szCs w:val="18"/>
              </w:rPr>
            </w:pPr>
            <w:r>
              <w:rPr>
                <w:rFonts w:cs="Arial"/>
                <w:szCs w:val="18"/>
              </w:rPr>
              <w:t>UeCommunication</w:t>
            </w:r>
          </w:p>
          <w:p w14:paraId="1C8FEB54" w14:textId="77777777" w:rsidR="004D3964" w:rsidRDefault="004D3964" w:rsidP="004D3964">
            <w:pPr>
              <w:pStyle w:val="TAL"/>
              <w:rPr>
                <w:rFonts w:eastAsia="Batang"/>
              </w:rPr>
            </w:pPr>
            <w:r>
              <w:rPr>
                <w:rFonts w:cs="Arial"/>
                <w:szCs w:val="18"/>
              </w:rPr>
              <w:t>AbnormalBehaviour</w:t>
            </w:r>
            <w:r>
              <w:rPr>
                <w:rFonts w:eastAsia="Batang"/>
              </w:rPr>
              <w:t xml:space="preserve"> </w:t>
            </w:r>
          </w:p>
          <w:p w14:paraId="5843A65E" w14:textId="77777777" w:rsidR="004D3964" w:rsidRDefault="004D3964" w:rsidP="004D3964">
            <w:pPr>
              <w:pStyle w:val="TAL"/>
              <w:rPr>
                <w:lang w:eastAsia="zh-CN"/>
              </w:rPr>
            </w:pPr>
            <w:r>
              <w:rPr>
                <w:rFonts w:hint="eastAsia"/>
                <w:lang w:eastAsia="zh-CN"/>
              </w:rPr>
              <w:t>S</w:t>
            </w:r>
            <w:r>
              <w:rPr>
                <w:lang w:eastAsia="zh-CN"/>
              </w:rPr>
              <w:t>MCCE</w:t>
            </w:r>
          </w:p>
          <w:p w14:paraId="36524E79" w14:textId="77777777" w:rsidR="004D3964" w:rsidRDefault="004D3964" w:rsidP="004D3964">
            <w:pPr>
              <w:pStyle w:val="TAL"/>
              <w:rPr>
                <w:rFonts w:cs="Arial"/>
                <w:lang w:eastAsia="zh-CN"/>
              </w:rPr>
            </w:pPr>
            <w:r>
              <w:rPr>
                <w:rFonts w:cs="Arial"/>
                <w:lang w:eastAsia="zh-CN"/>
              </w:rPr>
              <w:t>Dispersion</w:t>
            </w:r>
          </w:p>
          <w:p w14:paraId="0E994822" w14:textId="77777777" w:rsidR="004D3964" w:rsidRDefault="004D3964" w:rsidP="004D3964">
            <w:pPr>
              <w:pStyle w:val="TAL"/>
              <w:rPr>
                <w:rFonts w:eastAsia="Batang"/>
              </w:rPr>
            </w:pPr>
            <w:r>
              <w:rPr>
                <w:rFonts w:eastAsia="Batang"/>
              </w:rPr>
              <w:t>RedundantTransmissionExp</w:t>
            </w:r>
          </w:p>
          <w:p w14:paraId="29710177" w14:textId="77777777" w:rsidR="004D3964" w:rsidRDefault="004D3964" w:rsidP="004D3964">
            <w:pPr>
              <w:pStyle w:val="TAL"/>
              <w:rPr>
                <w:lang w:eastAsia="ja-JP"/>
              </w:rPr>
            </w:pPr>
            <w:r>
              <w:rPr>
                <w:rFonts w:eastAsia="Batang"/>
              </w:rPr>
              <w:t>WlanPerformance</w:t>
            </w:r>
          </w:p>
          <w:p w14:paraId="6F520626" w14:textId="77777777" w:rsidR="004D3964" w:rsidRDefault="004D3964" w:rsidP="004D3964">
            <w:pPr>
              <w:pStyle w:val="TAL"/>
              <w:rPr>
                <w:rFonts w:cs="Arial"/>
                <w:szCs w:val="18"/>
              </w:rPr>
            </w:pPr>
            <w:r>
              <w:rPr>
                <w:lang w:eastAsia="zh-CN"/>
              </w:rPr>
              <w:t>E2eDataVolTransTime</w:t>
            </w:r>
          </w:p>
        </w:tc>
      </w:tr>
      <w:tr w:rsidR="004D3964" w14:paraId="5D38612B" w14:textId="77777777" w:rsidTr="008867D9">
        <w:trPr>
          <w:jc w:val="center"/>
        </w:trPr>
        <w:tc>
          <w:tcPr>
            <w:tcW w:w="2778" w:type="dxa"/>
          </w:tcPr>
          <w:p w14:paraId="23DCA3B9" w14:textId="77777777" w:rsidR="004D3964" w:rsidRDefault="004D3964" w:rsidP="004D3964">
            <w:pPr>
              <w:pStyle w:val="TAL"/>
            </w:pPr>
            <w:r>
              <w:rPr>
                <w:lang w:eastAsia="zh-CN"/>
              </w:rPr>
              <w:t>SupportedFeatures</w:t>
            </w:r>
          </w:p>
        </w:tc>
        <w:tc>
          <w:tcPr>
            <w:tcW w:w="1849" w:type="dxa"/>
          </w:tcPr>
          <w:p w14:paraId="6281A7CD" w14:textId="77777777" w:rsidR="004D3964" w:rsidRDefault="004D3964" w:rsidP="004D3964">
            <w:pPr>
              <w:pStyle w:val="TAL"/>
            </w:pPr>
            <w:r>
              <w:t>3GPP TS 29.571 [8]</w:t>
            </w:r>
          </w:p>
        </w:tc>
        <w:tc>
          <w:tcPr>
            <w:tcW w:w="2089" w:type="dxa"/>
          </w:tcPr>
          <w:p w14:paraId="230F5B23" w14:textId="77777777" w:rsidR="004D3964" w:rsidRDefault="004D3964" w:rsidP="004D3964">
            <w:pPr>
              <w:pStyle w:val="TAL"/>
              <w:rPr>
                <w:rFonts w:cs="Arial"/>
                <w:szCs w:val="18"/>
              </w:rPr>
            </w:pPr>
            <w:r>
              <w:rPr>
                <w:rFonts w:cs="Arial"/>
                <w:szCs w:val="18"/>
              </w:rPr>
              <w:t xml:space="preserve">Used to negotiate the applicability of the optional features defined in </w:t>
            </w:r>
            <w:r>
              <w:t>table 5.2.8-1.</w:t>
            </w:r>
          </w:p>
        </w:tc>
        <w:tc>
          <w:tcPr>
            <w:tcW w:w="2632" w:type="dxa"/>
          </w:tcPr>
          <w:p w14:paraId="1F280444" w14:textId="77777777" w:rsidR="004D3964" w:rsidRDefault="004D3964" w:rsidP="004D3964">
            <w:pPr>
              <w:pStyle w:val="TAL"/>
              <w:rPr>
                <w:rFonts w:cs="Arial"/>
                <w:szCs w:val="18"/>
              </w:rPr>
            </w:pPr>
          </w:p>
        </w:tc>
      </w:tr>
      <w:tr w:rsidR="004D166F" w14:paraId="187AC7DE" w14:textId="77777777" w:rsidTr="008867D9">
        <w:trPr>
          <w:jc w:val="center"/>
        </w:trPr>
        <w:tc>
          <w:tcPr>
            <w:tcW w:w="2778" w:type="dxa"/>
          </w:tcPr>
          <w:p w14:paraId="56F49EDD" w14:textId="77777777" w:rsidR="004D166F" w:rsidRDefault="004D166F" w:rsidP="004D166F">
            <w:pPr>
              <w:pStyle w:val="TAL"/>
              <w:rPr>
                <w:lang w:eastAsia="zh-CN"/>
              </w:rPr>
            </w:pPr>
            <w:r>
              <w:rPr>
                <w:lang w:eastAsia="zh-CN"/>
              </w:rPr>
              <w:t>Snssai</w:t>
            </w:r>
          </w:p>
        </w:tc>
        <w:tc>
          <w:tcPr>
            <w:tcW w:w="1849" w:type="dxa"/>
          </w:tcPr>
          <w:p w14:paraId="017F61E0" w14:textId="77777777" w:rsidR="004D166F" w:rsidRDefault="004D166F" w:rsidP="004D166F">
            <w:pPr>
              <w:pStyle w:val="TAL"/>
            </w:pPr>
            <w:r>
              <w:t>3GPP TS 29.571 [8]</w:t>
            </w:r>
          </w:p>
        </w:tc>
        <w:tc>
          <w:tcPr>
            <w:tcW w:w="2089" w:type="dxa"/>
          </w:tcPr>
          <w:p w14:paraId="0EDA7CD5" w14:textId="77777777" w:rsidR="004D166F" w:rsidRDefault="004D166F" w:rsidP="004D166F">
            <w:pPr>
              <w:pStyle w:val="TAL"/>
              <w:rPr>
                <w:rFonts w:cs="Arial"/>
                <w:szCs w:val="18"/>
              </w:rPr>
            </w:pPr>
            <w:r>
              <w:rPr>
                <w:rFonts w:cs="Arial"/>
                <w:szCs w:val="18"/>
                <w:lang w:eastAsia="zh-CN"/>
              </w:rPr>
              <w:t>Represents an S-NSSAI.</w:t>
            </w:r>
          </w:p>
        </w:tc>
        <w:tc>
          <w:tcPr>
            <w:tcW w:w="2632" w:type="dxa"/>
          </w:tcPr>
          <w:p w14:paraId="6EF3C288" w14:textId="77777777" w:rsidR="004D166F" w:rsidRDefault="004D166F" w:rsidP="004D166F">
            <w:pPr>
              <w:pStyle w:val="TAL"/>
              <w:rPr>
                <w:rFonts w:cs="Arial"/>
                <w:szCs w:val="18"/>
              </w:rPr>
            </w:pPr>
          </w:p>
        </w:tc>
      </w:tr>
      <w:tr w:rsidR="004D166F" w14:paraId="1E766244" w14:textId="77777777" w:rsidTr="008867D9">
        <w:trPr>
          <w:jc w:val="center"/>
        </w:trPr>
        <w:tc>
          <w:tcPr>
            <w:tcW w:w="2778" w:type="dxa"/>
          </w:tcPr>
          <w:p w14:paraId="39525376" w14:textId="77777777" w:rsidR="004D166F" w:rsidRDefault="004D166F" w:rsidP="004D166F">
            <w:pPr>
              <w:pStyle w:val="TAL"/>
              <w:rPr>
                <w:lang w:eastAsia="zh-CN"/>
              </w:rPr>
            </w:pPr>
            <w:r>
              <w:rPr>
                <w:lang w:eastAsia="zh-CN"/>
              </w:rPr>
              <w:t>SliceLoadLevelInformation</w:t>
            </w:r>
          </w:p>
        </w:tc>
        <w:tc>
          <w:tcPr>
            <w:tcW w:w="1849" w:type="dxa"/>
          </w:tcPr>
          <w:p w14:paraId="2658981B" w14:textId="77777777" w:rsidR="004D166F" w:rsidRDefault="004D166F" w:rsidP="004D166F">
            <w:pPr>
              <w:pStyle w:val="TAL"/>
            </w:pPr>
            <w:r>
              <w:t>5.1.6.2.6</w:t>
            </w:r>
          </w:p>
        </w:tc>
        <w:tc>
          <w:tcPr>
            <w:tcW w:w="2089" w:type="dxa"/>
          </w:tcPr>
          <w:p w14:paraId="2FD00D2A" w14:textId="77777777" w:rsidR="004D166F" w:rsidRDefault="004D166F" w:rsidP="004D166F">
            <w:pPr>
              <w:pStyle w:val="TAL"/>
              <w:rPr>
                <w:rFonts w:cs="Arial"/>
                <w:szCs w:val="18"/>
              </w:rPr>
            </w:pPr>
            <w:r>
              <w:rPr>
                <w:rFonts w:cs="Arial"/>
                <w:szCs w:val="18"/>
                <w:lang w:eastAsia="zh-CN"/>
              </w:rPr>
              <w:t>Represents slice load level information.</w:t>
            </w:r>
          </w:p>
        </w:tc>
        <w:tc>
          <w:tcPr>
            <w:tcW w:w="2632" w:type="dxa"/>
          </w:tcPr>
          <w:p w14:paraId="5B95D76D" w14:textId="77777777" w:rsidR="004D166F" w:rsidRDefault="004D166F" w:rsidP="004D166F">
            <w:pPr>
              <w:pStyle w:val="TAL"/>
              <w:rPr>
                <w:rFonts w:cs="Arial"/>
                <w:szCs w:val="18"/>
              </w:rPr>
            </w:pPr>
          </w:p>
        </w:tc>
      </w:tr>
      <w:tr w:rsidR="00A42460" w14:paraId="2EC3F914" w14:textId="77777777" w:rsidTr="008867D9">
        <w:trPr>
          <w:jc w:val="center"/>
        </w:trPr>
        <w:tc>
          <w:tcPr>
            <w:tcW w:w="2778" w:type="dxa"/>
          </w:tcPr>
          <w:p w14:paraId="3EA4933C" w14:textId="77777777" w:rsidR="00A42460" w:rsidRDefault="00A42460" w:rsidP="00A42460">
            <w:pPr>
              <w:pStyle w:val="TAL"/>
              <w:rPr>
                <w:lang w:eastAsia="zh-CN"/>
              </w:rPr>
            </w:pPr>
            <w:r>
              <w:rPr>
                <w:lang w:eastAsia="zh-CN"/>
              </w:rPr>
              <w:t>TargetUeInformation</w:t>
            </w:r>
          </w:p>
        </w:tc>
        <w:tc>
          <w:tcPr>
            <w:tcW w:w="1849" w:type="dxa"/>
          </w:tcPr>
          <w:p w14:paraId="4AB1380B" w14:textId="77777777" w:rsidR="00A42460" w:rsidRDefault="00A42460" w:rsidP="00A42460">
            <w:pPr>
              <w:pStyle w:val="TAL"/>
            </w:pPr>
            <w:r>
              <w:t>5.1.6.2.8</w:t>
            </w:r>
          </w:p>
        </w:tc>
        <w:tc>
          <w:tcPr>
            <w:tcW w:w="2089" w:type="dxa"/>
          </w:tcPr>
          <w:p w14:paraId="0BBFD045" w14:textId="77777777" w:rsidR="00A42460" w:rsidRDefault="00A42460" w:rsidP="00A42460">
            <w:pPr>
              <w:pStyle w:val="TAL"/>
              <w:rPr>
                <w:rFonts w:cs="Arial"/>
                <w:szCs w:val="18"/>
              </w:rPr>
            </w:pPr>
            <w:r>
              <w:rPr>
                <w:rFonts w:cs="Arial"/>
                <w:szCs w:val="18"/>
              </w:rPr>
              <w:t>Identifies the target UE information.</w:t>
            </w:r>
          </w:p>
        </w:tc>
        <w:tc>
          <w:tcPr>
            <w:tcW w:w="2632" w:type="dxa"/>
          </w:tcPr>
          <w:p w14:paraId="58A5AB7A" w14:textId="77777777" w:rsidR="00A42460" w:rsidRDefault="00A42460" w:rsidP="00A42460">
            <w:pPr>
              <w:pStyle w:val="TAL"/>
              <w:rPr>
                <w:rFonts w:cs="Arial"/>
                <w:szCs w:val="18"/>
              </w:rPr>
            </w:pPr>
            <w:r>
              <w:rPr>
                <w:rFonts w:cs="Arial"/>
                <w:szCs w:val="18"/>
              </w:rPr>
              <w:t>ServiceExperience</w:t>
            </w:r>
          </w:p>
          <w:p w14:paraId="66B03AF0" w14:textId="77777777" w:rsidR="00A42460" w:rsidRDefault="00A42460" w:rsidP="00A42460">
            <w:pPr>
              <w:pStyle w:val="TAL"/>
              <w:rPr>
                <w:rFonts w:cs="Arial"/>
                <w:szCs w:val="18"/>
              </w:rPr>
            </w:pPr>
            <w:r>
              <w:rPr>
                <w:rFonts w:cs="Arial"/>
                <w:szCs w:val="18"/>
              </w:rPr>
              <w:t>NfLoad</w:t>
            </w:r>
          </w:p>
          <w:p w14:paraId="11D1FE4E" w14:textId="77777777" w:rsidR="00A42460" w:rsidRDefault="00A42460" w:rsidP="00A42460">
            <w:pPr>
              <w:pStyle w:val="TAL"/>
              <w:rPr>
                <w:rFonts w:cs="Arial"/>
                <w:szCs w:val="18"/>
              </w:rPr>
            </w:pPr>
            <w:r>
              <w:rPr>
                <w:rFonts w:cs="Arial"/>
                <w:szCs w:val="18"/>
              </w:rPr>
              <w:t>NetworkPerformance</w:t>
            </w:r>
          </w:p>
          <w:p w14:paraId="4015A624" w14:textId="77777777" w:rsidR="00A42460" w:rsidRDefault="00A42460" w:rsidP="00A42460">
            <w:pPr>
              <w:pStyle w:val="TAL"/>
              <w:rPr>
                <w:rFonts w:cs="Arial"/>
                <w:szCs w:val="18"/>
              </w:rPr>
            </w:pPr>
            <w:r>
              <w:rPr>
                <w:rFonts w:cs="Arial"/>
                <w:szCs w:val="18"/>
              </w:rPr>
              <w:t>UserDataCongestion</w:t>
            </w:r>
          </w:p>
          <w:p w14:paraId="19938893" w14:textId="77777777" w:rsidR="00A42460" w:rsidRDefault="00A42460" w:rsidP="00A42460">
            <w:pPr>
              <w:pStyle w:val="TAL"/>
              <w:rPr>
                <w:rFonts w:cs="Arial"/>
                <w:szCs w:val="18"/>
              </w:rPr>
            </w:pPr>
            <w:r>
              <w:rPr>
                <w:rFonts w:cs="Arial"/>
                <w:szCs w:val="18"/>
              </w:rPr>
              <w:t>UeMobility</w:t>
            </w:r>
          </w:p>
          <w:p w14:paraId="4BEB2C8B" w14:textId="77777777" w:rsidR="00A42460" w:rsidRDefault="00A42460" w:rsidP="00A42460">
            <w:pPr>
              <w:pStyle w:val="TAL"/>
            </w:pPr>
            <w:r>
              <w:rPr>
                <w:rFonts w:cs="Arial"/>
                <w:szCs w:val="18"/>
              </w:rPr>
              <w:t>UeCommunication</w:t>
            </w:r>
          </w:p>
          <w:p w14:paraId="1818B2BB" w14:textId="77777777" w:rsidR="00A42460" w:rsidRDefault="00A42460" w:rsidP="00A42460">
            <w:pPr>
              <w:pStyle w:val="TAL"/>
              <w:rPr>
                <w:rFonts w:cs="Arial"/>
                <w:szCs w:val="18"/>
              </w:rPr>
            </w:pPr>
            <w:r>
              <w:rPr>
                <w:rFonts w:cs="Arial"/>
                <w:szCs w:val="18"/>
              </w:rPr>
              <w:t>AbnormalBehaviour</w:t>
            </w:r>
          </w:p>
          <w:p w14:paraId="068D686F" w14:textId="77777777" w:rsidR="00A42460" w:rsidRDefault="00A42460" w:rsidP="00A42460">
            <w:pPr>
              <w:pStyle w:val="TAL"/>
              <w:rPr>
                <w:lang w:eastAsia="zh-CN"/>
              </w:rPr>
            </w:pPr>
            <w:r>
              <w:rPr>
                <w:rFonts w:cs="Arial"/>
                <w:szCs w:val="18"/>
              </w:rPr>
              <w:t>QoSSustainability</w:t>
            </w:r>
          </w:p>
          <w:p w14:paraId="79EC1C26" w14:textId="77777777" w:rsidR="00A42460" w:rsidRDefault="00A42460" w:rsidP="00A42460">
            <w:pPr>
              <w:pStyle w:val="TAL"/>
              <w:rPr>
                <w:rFonts w:cs="Arial"/>
                <w:lang w:eastAsia="zh-CN"/>
              </w:rPr>
            </w:pPr>
            <w:r>
              <w:rPr>
                <w:rFonts w:cs="Arial"/>
                <w:lang w:eastAsia="zh-CN"/>
              </w:rPr>
              <w:t>Dispersion</w:t>
            </w:r>
          </w:p>
          <w:p w14:paraId="7200D5FD" w14:textId="77777777" w:rsidR="00A42460" w:rsidRDefault="00A42460" w:rsidP="00A42460">
            <w:pPr>
              <w:pStyle w:val="TAL"/>
              <w:rPr>
                <w:rFonts w:eastAsia="Batang"/>
              </w:rPr>
            </w:pPr>
            <w:r>
              <w:rPr>
                <w:rFonts w:eastAsia="Batang"/>
              </w:rPr>
              <w:t>RedundantTransmissionExp</w:t>
            </w:r>
          </w:p>
          <w:p w14:paraId="251E323D" w14:textId="77777777" w:rsidR="00A42460" w:rsidRDefault="00A42460" w:rsidP="00A42460">
            <w:pPr>
              <w:pStyle w:val="TAL"/>
              <w:rPr>
                <w:rFonts w:cs="Arial"/>
                <w:szCs w:val="18"/>
              </w:rPr>
            </w:pPr>
            <w:r>
              <w:rPr>
                <w:rFonts w:eastAsia="Batang"/>
              </w:rPr>
              <w:t>WlanPerformance</w:t>
            </w:r>
          </w:p>
          <w:p w14:paraId="127A1439" w14:textId="77777777" w:rsidR="00A42460" w:rsidRDefault="00A42460" w:rsidP="00A42460">
            <w:pPr>
              <w:pStyle w:val="TAL"/>
              <w:rPr>
                <w:rFonts w:cs="Arial"/>
                <w:szCs w:val="18"/>
                <w:lang w:eastAsia="ja-JP"/>
              </w:rPr>
            </w:pPr>
            <w:r>
              <w:rPr>
                <w:rFonts w:cs="Arial" w:hint="eastAsia"/>
                <w:szCs w:val="18"/>
                <w:lang w:eastAsia="ja-JP"/>
              </w:rPr>
              <w:t>S</w:t>
            </w:r>
            <w:r>
              <w:rPr>
                <w:rFonts w:cs="Arial"/>
                <w:szCs w:val="18"/>
                <w:lang w:eastAsia="ja-JP"/>
              </w:rPr>
              <w:t>MCCE</w:t>
            </w:r>
          </w:p>
          <w:p w14:paraId="70667BD0" w14:textId="77777777" w:rsidR="00A42460" w:rsidRDefault="00A42460" w:rsidP="00A42460">
            <w:pPr>
              <w:pStyle w:val="TAL"/>
            </w:pPr>
            <w:r>
              <w:rPr>
                <w:rFonts w:hint="eastAsia"/>
                <w:lang w:eastAsia="zh-CN"/>
              </w:rPr>
              <w:t>Dn</w:t>
            </w:r>
            <w:r>
              <w:t>Performance</w:t>
            </w:r>
          </w:p>
          <w:p w14:paraId="26A8C1BE" w14:textId="77777777" w:rsidR="00A42460" w:rsidRDefault="00A42460" w:rsidP="00A42460">
            <w:pPr>
              <w:pStyle w:val="TAL"/>
              <w:rPr>
                <w:rFonts w:cs="Arial"/>
              </w:rPr>
            </w:pPr>
            <w:r>
              <w:rPr>
                <w:rFonts w:cs="Arial"/>
              </w:rPr>
              <w:t>E2eDataVolTransTime</w:t>
            </w:r>
          </w:p>
          <w:p w14:paraId="331D4E25" w14:textId="77777777" w:rsidR="00A42460" w:rsidRDefault="00A42460" w:rsidP="00A42460">
            <w:pPr>
              <w:pStyle w:val="TAL"/>
              <w:rPr>
                <w:rFonts w:cs="Arial"/>
              </w:rPr>
            </w:pPr>
            <w:r w:rsidRPr="009D3C18">
              <w:rPr>
                <w:rFonts w:cs="Arial"/>
              </w:rPr>
              <w:t>MovementBehaviour</w:t>
            </w:r>
          </w:p>
          <w:p w14:paraId="064BBD28" w14:textId="77777777" w:rsidR="00A42460" w:rsidRPr="005B04C6" w:rsidRDefault="00A42460" w:rsidP="00A42460">
            <w:pPr>
              <w:pStyle w:val="TAL"/>
              <w:rPr>
                <w:rFonts w:cs="Arial"/>
                <w:szCs w:val="18"/>
              </w:rPr>
            </w:pPr>
            <w:r w:rsidRPr="005B04C6">
              <w:rPr>
                <w:rFonts w:cs="Arial"/>
                <w:szCs w:val="18"/>
              </w:rPr>
              <w:t>PduSesTraffic</w:t>
            </w:r>
          </w:p>
          <w:p w14:paraId="22A46799" w14:textId="77777777" w:rsidR="001A238E" w:rsidRDefault="00A42460" w:rsidP="001A238E">
            <w:pPr>
              <w:pStyle w:val="TAL"/>
              <w:rPr>
                <w:rFonts w:cs="Arial"/>
                <w:szCs w:val="18"/>
              </w:rPr>
            </w:pPr>
            <w:r w:rsidRPr="005B04C6">
              <w:rPr>
                <w:rFonts w:cs="Arial"/>
                <w:szCs w:val="18"/>
              </w:rPr>
              <w:t>RelativeProximity</w:t>
            </w:r>
          </w:p>
          <w:p w14:paraId="182717AD" w14:textId="77777777" w:rsidR="00A42460" w:rsidRDefault="001A238E" w:rsidP="001A238E">
            <w:pPr>
              <w:pStyle w:val="TAL"/>
              <w:rPr>
                <w:rFonts w:cs="Arial"/>
                <w:szCs w:val="18"/>
              </w:rPr>
            </w:pPr>
            <w:r>
              <w:rPr>
                <w:rFonts w:hint="eastAsia"/>
                <w:lang w:eastAsia="zh-CN"/>
              </w:rPr>
              <w:t>Q</w:t>
            </w:r>
            <w:r>
              <w:rPr>
                <w:lang w:eastAsia="zh-CN"/>
              </w:rPr>
              <w:t>oSPolicyAssist</w:t>
            </w:r>
          </w:p>
        </w:tc>
      </w:tr>
      <w:tr w:rsidR="004D166F" w14:paraId="7ED07D64" w14:textId="77777777" w:rsidTr="008867D9">
        <w:trPr>
          <w:jc w:val="center"/>
        </w:trPr>
        <w:tc>
          <w:tcPr>
            <w:tcW w:w="2778" w:type="dxa"/>
          </w:tcPr>
          <w:p w14:paraId="2F3734B5" w14:textId="77777777" w:rsidR="004D166F" w:rsidRDefault="004D166F" w:rsidP="004D166F">
            <w:pPr>
              <w:pStyle w:val="TAL"/>
              <w:rPr>
                <w:lang w:eastAsia="zh-CN"/>
              </w:rPr>
            </w:pPr>
            <w:r>
              <w:rPr>
                <w:lang w:eastAsia="zh-CN"/>
              </w:rPr>
              <w:t>UeCommunication</w:t>
            </w:r>
          </w:p>
        </w:tc>
        <w:tc>
          <w:tcPr>
            <w:tcW w:w="1849" w:type="dxa"/>
          </w:tcPr>
          <w:p w14:paraId="73EDBF52" w14:textId="77777777" w:rsidR="004D166F" w:rsidRDefault="004D166F" w:rsidP="004D166F">
            <w:pPr>
              <w:pStyle w:val="TAL"/>
            </w:pPr>
            <w:r>
              <w:rPr>
                <w:lang w:eastAsia="zh-CN"/>
              </w:rPr>
              <w:t>5.1.6.2.13</w:t>
            </w:r>
          </w:p>
        </w:tc>
        <w:tc>
          <w:tcPr>
            <w:tcW w:w="2089" w:type="dxa"/>
          </w:tcPr>
          <w:p w14:paraId="02D19624" w14:textId="77777777" w:rsidR="004D166F" w:rsidRDefault="004D166F" w:rsidP="004D166F">
            <w:pPr>
              <w:pStyle w:val="TAL"/>
              <w:rPr>
                <w:rFonts w:cs="Arial"/>
                <w:szCs w:val="18"/>
              </w:rPr>
            </w:pPr>
            <w:r>
              <w:rPr>
                <w:rFonts w:cs="Arial"/>
                <w:szCs w:val="18"/>
                <w:lang w:eastAsia="zh-CN"/>
              </w:rPr>
              <w:t>Represents UE communication data.</w:t>
            </w:r>
          </w:p>
        </w:tc>
        <w:tc>
          <w:tcPr>
            <w:tcW w:w="2632" w:type="dxa"/>
          </w:tcPr>
          <w:p w14:paraId="3D79A58A" w14:textId="77777777" w:rsidR="004D166F" w:rsidRDefault="004D166F" w:rsidP="004D166F">
            <w:pPr>
              <w:pStyle w:val="TAL"/>
              <w:rPr>
                <w:rFonts w:cs="Arial"/>
                <w:szCs w:val="18"/>
              </w:rPr>
            </w:pPr>
            <w:r>
              <w:rPr>
                <w:rFonts w:cs="Arial"/>
                <w:szCs w:val="18"/>
              </w:rPr>
              <w:t>UeCommunication</w:t>
            </w:r>
          </w:p>
        </w:tc>
      </w:tr>
      <w:tr w:rsidR="004D166F" w14:paraId="71E48148" w14:textId="77777777" w:rsidTr="008867D9">
        <w:trPr>
          <w:jc w:val="center"/>
        </w:trPr>
        <w:tc>
          <w:tcPr>
            <w:tcW w:w="2778" w:type="dxa"/>
          </w:tcPr>
          <w:p w14:paraId="1F676981" w14:textId="77777777" w:rsidR="004D166F" w:rsidRDefault="004D166F" w:rsidP="004D166F">
            <w:pPr>
              <w:pStyle w:val="TAL"/>
              <w:rPr>
                <w:lang w:eastAsia="zh-CN"/>
              </w:rPr>
            </w:pPr>
            <w:r>
              <w:t>UeCommReq</w:t>
            </w:r>
          </w:p>
        </w:tc>
        <w:tc>
          <w:tcPr>
            <w:tcW w:w="1849" w:type="dxa"/>
          </w:tcPr>
          <w:p w14:paraId="5D473D39" w14:textId="77777777" w:rsidR="004D166F" w:rsidRDefault="004D166F" w:rsidP="004D166F">
            <w:pPr>
              <w:pStyle w:val="TAL"/>
              <w:rPr>
                <w:lang w:eastAsia="zh-CN"/>
              </w:rPr>
            </w:pPr>
            <w:r>
              <w:t>5.1.6.2.72</w:t>
            </w:r>
          </w:p>
        </w:tc>
        <w:tc>
          <w:tcPr>
            <w:tcW w:w="2089" w:type="dxa"/>
          </w:tcPr>
          <w:p w14:paraId="110498DD" w14:textId="77777777" w:rsidR="004D166F" w:rsidRDefault="004D166F" w:rsidP="004D166F">
            <w:pPr>
              <w:pStyle w:val="TAL"/>
              <w:rPr>
                <w:rFonts w:cs="Arial"/>
                <w:szCs w:val="18"/>
              </w:rPr>
            </w:pPr>
            <w:r>
              <w:rPr>
                <w:rFonts w:hint="eastAsia"/>
                <w:lang w:eastAsia="zh-CN"/>
              </w:rPr>
              <w:t>U</w:t>
            </w:r>
            <w:r>
              <w:rPr>
                <w:lang w:eastAsia="zh-CN"/>
              </w:rPr>
              <w:t xml:space="preserve">E communication analytics </w:t>
            </w:r>
            <w:r>
              <w:rPr>
                <w:lang w:eastAsia="ko-KR"/>
              </w:rPr>
              <w:t>requirement.</w:t>
            </w:r>
          </w:p>
        </w:tc>
        <w:tc>
          <w:tcPr>
            <w:tcW w:w="2632" w:type="dxa"/>
          </w:tcPr>
          <w:p w14:paraId="78691200" w14:textId="77777777" w:rsidR="004D166F" w:rsidRDefault="004D166F" w:rsidP="004D166F">
            <w:pPr>
              <w:pStyle w:val="TAL"/>
              <w:rPr>
                <w:rFonts w:cs="Arial"/>
                <w:szCs w:val="18"/>
              </w:rPr>
            </w:pPr>
            <w:r>
              <w:t>UeCommunicationExt_eNA</w:t>
            </w:r>
          </w:p>
        </w:tc>
      </w:tr>
      <w:tr w:rsidR="004D166F" w14:paraId="22894D8F" w14:textId="77777777" w:rsidTr="008867D9">
        <w:trPr>
          <w:jc w:val="center"/>
        </w:trPr>
        <w:tc>
          <w:tcPr>
            <w:tcW w:w="2778" w:type="dxa"/>
          </w:tcPr>
          <w:p w14:paraId="6640ADF3" w14:textId="77777777" w:rsidR="004D166F" w:rsidRDefault="004D166F" w:rsidP="004D166F">
            <w:pPr>
              <w:pStyle w:val="TAL"/>
              <w:rPr>
                <w:lang w:eastAsia="zh-CN"/>
              </w:rPr>
            </w:pPr>
            <w:r>
              <w:rPr>
                <w:lang w:eastAsia="zh-CN"/>
              </w:rPr>
              <w:t>UeMobility</w:t>
            </w:r>
          </w:p>
        </w:tc>
        <w:tc>
          <w:tcPr>
            <w:tcW w:w="1849" w:type="dxa"/>
          </w:tcPr>
          <w:p w14:paraId="5A5E3AC9" w14:textId="77777777" w:rsidR="004D166F" w:rsidRDefault="004D166F" w:rsidP="004D166F">
            <w:pPr>
              <w:pStyle w:val="TAL"/>
            </w:pPr>
            <w:r>
              <w:rPr>
                <w:lang w:eastAsia="zh-CN"/>
              </w:rPr>
              <w:t>5.1.6.2.10</w:t>
            </w:r>
          </w:p>
        </w:tc>
        <w:tc>
          <w:tcPr>
            <w:tcW w:w="2089" w:type="dxa"/>
          </w:tcPr>
          <w:p w14:paraId="6C02265B" w14:textId="77777777" w:rsidR="004D166F" w:rsidRDefault="004D166F" w:rsidP="004D166F">
            <w:pPr>
              <w:pStyle w:val="TAL"/>
              <w:rPr>
                <w:rFonts w:cs="Arial"/>
                <w:szCs w:val="18"/>
              </w:rPr>
            </w:pPr>
            <w:r>
              <w:rPr>
                <w:rFonts w:cs="Arial"/>
                <w:szCs w:val="18"/>
                <w:lang w:eastAsia="zh-CN"/>
              </w:rPr>
              <w:t>Represents UE mobility data.</w:t>
            </w:r>
          </w:p>
        </w:tc>
        <w:tc>
          <w:tcPr>
            <w:tcW w:w="2632" w:type="dxa"/>
          </w:tcPr>
          <w:p w14:paraId="29865C22" w14:textId="77777777" w:rsidR="004D166F" w:rsidRDefault="004D166F" w:rsidP="004D166F">
            <w:pPr>
              <w:pStyle w:val="TAL"/>
              <w:rPr>
                <w:rFonts w:cs="Arial"/>
                <w:szCs w:val="18"/>
              </w:rPr>
            </w:pPr>
            <w:r>
              <w:rPr>
                <w:rFonts w:cs="Arial"/>
                <w:szCs w:val="18"/>
              </w:rPr>
              <w:t>UeMobility</w:t>
            </w:r>
          </w:p>
        </w:tc>
      </w:tr>
      <w:tr w:rsidR="004D166F" w14:paraId="6559DEE1" w14:textId="77777777" w:rsidTr="008867D9">
        <w:trPr>
          <w:jc w:val="center"/>
        </w:trPr>
        <w:tc>
          <w:tcPr>
            <w:tcW w:w="2778" w:type="dxa"/>
          </w:tcPr>
          <w:p w14:paraId="08712C30" w14:textId="77777777" w:rsidR="004D166F" w:rsidRDefault="004D166F" w:rsidP="004D166F">
            <w:pPr>
              <w:pStyle w:val="TAL"/>
              <w:rPr>
                <w:lang w:eastAsia="zh-CN"/>
              </w:rPr>
            </w:pPr>
            <w:r>
              <w:t>UeMobilityReq</w:t>
            </w:r>
          </w:p>
        </w:tc>
        <w:tc>
          <w:tcPr>
            <w:tcW w:w="1849" w:type="dxa"/>
          </w:tcPr>
          <w:p w14:paraId="78B8DA9E" w14:textId="77777777" w:rsidR="004D166F" w:rsidRDefault="004D166F" w:rsidP="004D166F">
            <w:pPr>
              <w:pStyle w:val="TAL"/>
              <w:rPr>
                <w:lang w:eastAsia="zh-CN"/>
              </w:rPr>
            </w:pPr>
            <w:r>
              <w:t>5.1.6.2.71</w:t>
            </w:r>
          </w:p>
        </w:tc>
        <w:tc>
          <w:tcPr>
            <w:tcW w:w="2089" w:type="dxa"/>
          </w:tcPr>
          <w:p w14:paraId="66A7CD8A" w14:textId="77777777" w:rsidR="004D166F" w:rsidRDefault="004D166F" w:rsidP="004D166F">
            <w:pPr>
              <w:pStyle w:val="TAL"/>
              <w:rPr>
                <w:rFonts w:cs="Arial"/>
                <w:szCs w:val="18"/>
              </w:rPr>
            </w:pPr>
            <w:r>
              <w:rPr>
                <w:rFonts w:hint="eastAsia"/>
                <w:lang w:eastAsia="zh-CN"/>
              </w:rPr>
              <w:t>U</w:t>
            </w:r>
            <w:r>
              <w:rPr>
                <w:lang w:eastAsia="zh-CN"/>
              </w:rPr>
              <w:t>E mobility</w:t>
            </w:r>
            <w:r>
              <w:rPr>
                <w:lang w:eastAsia="ko-KR"/>
              </w:rPr>
              <w:t xml:space="preserve"> </w:t>
            </w:r>
            <w:r>
              <w:rPr>
                <w:lang w:eastAsia="zh-CN"/>
              </w:rPr>
              <w:t xml:space="preserve">analytics </w:t>
            </w:r>
            <w:r>
              <w:rPr>
                <w:lang w:eastAsia="ko-KR"/>
              </w:rPr>
              <w:t>requirement.</w:t>
            </w:r>
          </w:p>
        </w:tc>
        <w:tc>
          <w:tcPr>
            <w:tcW w:w="2632" w:type="dxa"/>
          </w:tcPr>
          <w:p w14:paraId="4E8527EF" w14:textId="77777777" w:rsidR="004D166F" w:rsidRDefault="004D166F" w:rsidP="004D166F">
            <w:pPr>
              <w:pStyle w:val="TAL"/>
              <w:rPr>
                <w:rFonts w:cs="Arial"/>
                <w:szCs w:val="18"/>
              </w:rPr>
            </w:pPr>
            <w:r>
              <w:t>UeMobility</w:t>
            </w:r>
            <w:r>
              <w:rPr>
                <w:lang w:eastAsia="zh-CN"/>
              </w:rPr>
              <w:t>Ext2_eNA</w:t>
            </w:r>
          </w:p>
        </w:tc>
      </w:tr>
      <w:tr w:rsidR="004D166F" w14:paraId="5720A0C0" w14:textId="77777777" w:rsidTr="008867D9">
        <w:trPr>
          <w:jc w:val="center"/>
        </w:trPr>
        <w:tc>
          <w:tcPr>
            <w:tcW w:w="2778" w:type="dxa"/>
          </w:tcPr>
          <w:p w14:paraId="43C83C86" w14:textId="77777777" w:rsidR="004D166F" w:rsidRDefault="004D166F" w:rsidP="004D166F">
            <w:pPr>
              <w:pStyle w:val="TAL"/>
              <w:rPr>
                <w:lang w:eastAsia="zh-CN"/>
              </w:rPr>
            </w:pPr>
            <w:r>
              <w:t>Uinteger</w:t>
            </w:r>
          </w:p>
        </w:tc>
        <w:tc>
          <w:tcPr>
            <w:tcW w:w="1849" w:type="dxa"/>
          </w:tcPr>
          <w:p w14:paraId="73C6B1E6" w14:textId="77777777" w:rsidR="004D166F" w:rsidRDefault="004D166F" w:rsidP="004D166F">
            <w:pPr>
              <w:pStyle w:val="TAL"/>
              <w:rPr>
                <w:lang w:eastAsia="zh-CN"/>
              </w:rPr>
            </w:pPr>
            <w:r>
              <w:t>3GPP TS 29.571 [8]</w:t>
            </w:r>
          </w:p>
        </w:tc>
        <w:tc>
          <w:tcPr>
            <w:tcW w:w="2089" w:type="dxa"/>
          </w:tcPr>
          <w:p w14:paraId="28A3C0DD" w14:textId="77777777" w:rsidR="004D166F" w:rsidRDefault="004D166F" w:rsidP="004D166F">
            <w:pPr>
              <w:pStyle w:val="TAL"/>
              <w:rPr>
                <w:rFonts w:cs="Arial"/>
                <w:szCs w:val="18"/>
              </w:rPr>
            </w:pPr>
            <w:r>
              <w:t>Unsigned Integer, i.e. only value 0 and integers above 0 are permissible.</w:t>
            </w:r>
          </w:p>
        </w:tc>
        <w:tc>
          <w:tcPr>
            <w:tcW w:w="2632" w:type="dxa"/>
          </w:tcPr>
          <w:p w14:paraId="2D2A9EF3" w14:textId="77777777" w:rsidR="004D166F" w:rsidRDefault="004D166F" w:rsidP="004D166F">
            <w:pPr>
              <w:pStyle w:val="TAL"/>
              <w:rPr>
                <w:rFonts w:cs="Arial"/>
                <w:szCs w:val="18"/>
              </w:rPr>
            </w:pPr>
          </w:p>
        </w:tc>
      </w:tr>
      <w:tr w:rsidR="004D166F" w14:paraId="68B031DE" w14:textId="77777777" w:rsidTr="008867D9">
        <w:trPr>
          <w:jc w:val="center"/>
        </w:trPr>
        <w:tc>
          <w:tcPr>
            <w:tcW w:w="2778" w:type="dxa"/>
          </w:tcPr>
          <w:p w14:paraId="19C3C2BD" w14:textId="77777777" w:rsidR="004D166F" w:rsidRDefault="004D166F" w:rsidP="004D166F">
            <w:pPr>
              <w:pStyle w:val="TAL"/>
              <w:rPr>
                <w:lang w:eastAsia="zh-CN"/>
              </w:rPr>
            </w:pPr>
            <w:r>
              <w:rPr>
                <w:lang w:eastAsia="zh-CN"/>
              </w:rPr>
              <w:t>UpfInformation</w:t>
            </w:r>
          </w:p>
        </w:tc>
        <w:tc>
          <w:tcPr>
            <w:tcW w:w="1849" w:type="dxa"/>
          </w:tcPr>
          <w:p w14:paraId="06129019" w14:textId="77777777" w:rsidR="004D166F" w:rsidRDefault="004D166F" w:rsidP="004D166F">
            <w:pPr>
              <w:pStyle w:val="TAL"/>
              <w:rPr>
                <w:lang w:eastAsia="zh-CN"/>
              </w:rPr>
            </w:pPr>
            <w:r>
              <w:t>3GPP TS 29.508 [</w:t>
            </w:r>
            <w:r>
              <w:rPr>
                <w:lang w:eastAsia="zh-CN"/>
              </w:rPr>
              <w:t>29</w:t>
            </w:r>
            <w:r>
              <w:t>]</w:t>
            </w:r>
          </w:p>
        </w:tc>
        <w:tc>
          <w:tcPr>
            <w:tcW w:w="2089" w:type="dxa"/>
          </w:tcPr>
          <w:p w14:paraId="112ED4D8" w14:textId="77777777" w:rsidR="004D166F" w:rsidRDefault="004D166F" w:rsidP="004D166F">
            <w:pPr>
              <w:pStyle w:val="TAL"/>
              <w:rPr>
                <w:rFonts w:cs="Arial"/>
                <w:szCs w:val="18"/>
              </w:rPr>
            </w:pPr>
            <w:r>
              <w:rPr>
                <w:rFonts w:cs="Arial"/>
                <w:szCs w:val="18"/>
                <w:lang w:eastAsia="zh-CN"/>
              </w:rPr>
              <w:t xml:space="preserve">The </w:t>
            </w:r>
            <w:r>
              <w:rPr>
                <w:lang w:eastAsia="zh-CN"/>
              </w:rPr>
              <w:t>information of the UPF serving the UE.</w:t>
            </w:r>
          </w:p>
        </w:tc>
        <w:tc>
          <w:tcPr>
            <w:tcW w:w="2632" w:type="dxa"/>
          </w:tcPr>
          <w:p w14:paraId="4CA81A11" w14:textId="77777777" w:rsidR="004D166F" w:rsidRDefault="004D166F" w:rsidP="004D166F">
            <w:pPr>
              <w:pStyle w:val="TAL"/>
              <w:rPr>
                <w:rFonts w:cs="Arial"/>
                <w:szCs w:val="18"/>
                <w:lang w:eastAsia="zh-CN"/>
              </w:rPr>
            </w:pPr>
            <w:r>
              <w:rPr>
                <w:rFonts w:cs="Arial"/>
                <w:szCs w:val="18"/>
                <w:lang w:eastAsia="zh-CN"/>
              </w:rPr>
              <w:t>ServiceExperienceExt</w:t>
            </w:r>
          </w:p>
          <w:p w14:paraId="67FCCF79" w14:textId="77777777" w:rsidR="004D166F" w:rsidRDefault="004D166F" w:rsidP="004D166F">
            <w:pPr>
              <w:pStyle w:val="TAL"/>
              <w:rPr>
                <w:rFonts w:cs="Arial"/>
                <w:szCs w:val="18"/>
              </w:rPr>
            </w:pPr>
            <w:r>
              <w:rPr>
                <w:lang w:eastAsia="zh-CN"/>
              </w:rPr>
              <w:t>DnPerformance</w:t>
            </w:r>
          </w:p>
        </w:tc>
      </w:tr>
      <w:tr w:rsidR="004D166F" w14:paraId="5DDDCF07" w14:textId="77777777" w:rsidTr="008867D9">
        <w:trPr>
          <w:jc w:val="center"/>
        </w:trPr>
        <w:tc>
          <w:tcPr>
            <w:tcW w:w="2778" w:type="dxa"/>
          </w:tcPr>
          <w:p w14:paraId="4A75F47B" w14:textId="77777777" w:rsidR="004D166F" w:rsidRDefault="004D166F" w:rsidP="004D166F">
            <w:pPr>
              <w:pStyle w:val="TAL"/>
              <w:rPr>
                <w:lang w:eastAsia="zh-CN"/>
              </w:rPr>
            </w:pPr>
            <w:r>
              <w:rPr>
                <w:lang w:eastAsia="zh-CN"/>
              </w:rPr>
              <w:t>PduSesTrafficInfo</w:t>
            </w:r>
          </w:p>
        </w:tc>
        <w:tc>
          <w:tcPr>
            <w:tcW w:w="1849" w:type="dxa"/>
          </w:tcPr>
          <w:p w14:paraId="2A30DC91" w14:textId="77777777" w:rsidR="004D166F" w:rsidRDefault="004D166F" w:rsidP="004D166F">
            <w:pPr>
              <w:pStyle w:val="TAL"/>
            </w:pPr>
            <w:r>
              <w:rPr>
                <w:rFonts w:hint="eastAsia"/>
                <w:lang w:eastAsia="zh-CN"/>
              </w:rPr>
              <w:t>5</w:t>
            </w:r>
            <w:r>
              <w:rPr>
                <w:lang w:eastAsia="zh-CN"/>
              </w:rPr>
              <w:t>.1.6.2.77</w:t>
            </w:r>
          </w:p>
        </w:tc>
        <w:tc>
          <w:tcPr>
            <w:tcW w:w="2089" w:type="dxa"/>
          </w:tcPr>
          <w:p w14:paraId="2F8A5DE6" w14:textId="77777777" w:rsidR="004D166F" w:rsidRDefault="004D166F" w:rsidP="004D166F">
            <w:pPr>
              <w:pStyle w:val="TAL"/>
              <w:rPr>
                <w:rFonts w:cs="Arial"/>
                <w:szCs w:val="18"/>
                <w:lang w:eastAsia="zh-CN"/>
              </w:rPr>
            </w:pPr>
            <w:r>
              <w:rPr>
                <w:lang w:eastAsia="zh-CN"/>
              </w:rPr>
              <w:t>Represents PDU Session traffic</w:t>
            </w:r>
            <w:r>
              <w:rPr>
                <w:lang w:eastAsia="ko-KR"/>
              </w:rPr>
              <w:t xml:space="preserve"> analytics information.</w:t>
            </w:r>
          </w:p>
        </w:tc>
        <w:tc>
          <w:tcPr>
            <w:tcW w:w="2632" w:type="dxa"/>
          </w:tcPr>
          <w:p w14:paraId="6A41155F" w14:textId="77777777" w:rsidR="004D166F" w:rsidRDefault="004D166F" w:rsidP="004D166F">
            <w:pPr>
              <w:pStyle w:val="TAL"/>
              <w:rPr>
                <w:lang w:eastAsia="zh-CN"/>
              </w:rPr>
            </w:pPr>
            <w:r>
              <w:t>PduSesTraffic</w:t>
            </w:r>
          </w:p>
        </w:tc>
      </w:tr>
      <w:tr w:rsidR="004D166F" w14:paraId="6DAB61C2" w14:textId="77777777" w:rsidTr="008867D9">
        <w:trPr>
          <w:jc w:val="center"/>
        </w:trPr>
        <w:tc>
          <w:tcPr>
            <w:tcW w:w="2778" w:type="dxa"/>
          </w:tcPr>
          <w:p w14:paraId="215C2081" w14:textId="77777777" w:rsidR="004D166F" w:rsidRDefault="004D166F" w:rsidP="004D166F">
            <w:pPr>
              <w:pStyle w:val="TAL"/>
              <w:rPr>
                <w:lang w:eastAsia="zh-CN"/>
              </w:rPr>
            </w:pPr>
            <w:r>
              <w:rPr>
                <w:lang w:eastAsia="zh-CN"/>
              </w:rPr>
              <w:t>PduSesTrafficReq</w:t>
            </w:r>
          </w:p>
        </w:tc>
        <w:tc>
          <w:tcPr>
            <w:tcW w:w="1849" w:type="dxa"/>
          </w:tcPr>
          <w:p w14:paraId="6657A9FC" w14:textId="77777777" w:rsidR="004D166F" w:rsidRDefault="004D166F" w:rsidP="004D166F">
            <w:pPr>
              <w:pStyle w:val="TAL"/>
            </w:pPr>
            <w:r>
              <w:rPr>
                <w:rFonts w:hint="eastAsia"/>
                <w:lang w:eastAsia="zh-CN"/>
              </w:rPr>
              <w:t>5</w:t>
            </w:r>
            <w:r>
              <w:rPr>
                <w:lang w:eastAsia="zh-CN"/>
              </w:rPr>
              <w:t>.1.6.2.79</w:t>
            </w:r>
          </w:p>
        </w:tc>
        <w:tc>
          <w:tcPr>
            <w:tcW w:w="2089" w:type="dxa"/>
          </w:tcPr>
          <w:p w14:paraId="4C21206F" w14:textId="77777777" w:rsidR="004D166F" w:rsidRDefault="004D166F" w:rsidP="004D166F">
            <w:pPr>
              <w:pStyle w:val="TAL"/>
              <w:rPr>
                <w:rFonts w:cs="Arial"/>
                <w:szCs w:val="18"/>
                <w:lang w:eastAsia="zh-CN"/>
              </w:rPr>
            </w:pPr>
            <w:r>
              <w:rPr>
                <w:lang w:eastAsia="zh-CN"/>
              </w:rPr>
              <w:t xml:space="preserve">Represents PDU Session traffic </w:t>
            </w:r>
            <w:r>
              <w:rPr>
                <w:lang w:eastAsia="ko-KR"/>
              </w:rPr>
              <w:t>analytics requirement.</w:t>
            </w:r>
          </w:p>
        </w:tc>
        <w:tc>
          <w:tcPr>
            <w:tcW w:w="2632" w:type="dxa"/>
          </w:tcPr>
          <w:p w14:paraId="2DE60DC7" w14:textId="77777777" w:rsidR="004D166F" w:rsidRDefault="004D166F" w:rsidP="004D166F">
            <w:pPr>
              <w:pStyle w:val="TAL"/>
              <w:rPr>
                <w:lang w:eastAsia="zh-CN"/>
              </w:rPr>
            </w:pPr>
            <w:r>
              <w:t>PduSesTraffic</w:t>
            </w:r>
          </w:p>
        </w:tc>
      </w:tr>
      <w:tr w:rsidR="004D166F" w14:paraId="6BBC1AE4" w14:textId="77777777" w:rsidTr="008867D9">
        <w:trPr>
          <w:jc w:val="center"/>
        </w:trPr>
        <w:tc>
          <w:tcPr>
            <w:tcW w:w="2778" w:type="dxa"/>
          </w:tcPr>
          <w:p w14:paraId="62D240D7" w14:textId="77777777" w:rsidR="004D166F" w:rsidRDefault="004D166F" w:rsidP="004D166F">
            <w:pPr>
              <w:pStyle w:val="TAL"/>
              <w:rPr>
                <w:lang w:eastAsia="zh-CN"/>
              </w:rPr>
            </w:pPr>
            <w:r>
              <w:rPr>
                <w:lang w:eastAsia="zh-CN"/>
              </w:rPr>
              <w:t>UserDataCongestionInfo</w:t>
            </w:r>
          </w:p>
        </w:tc>
        <w:tc>
          <w:tcPr>
            <w:tcW w:w="1849" w:type="dxa"/>
          </w:tcPr>
          <w:p w14:paraId="370E7191" w14:textId="77777777" w:rsidR="004D166F" w:rsidRDefault="004D166F" w:rsidP="004D166F">
            <w:pPr>
              <w:pStyle w:val="TAL"/>
              <w:rPr>
                <w:lang w:eastAsia="zh-CN"/>
              </w:rPr>
            </w:pPr>
            <w:r>
              <w:rPr>
                <w:lang w:eastAsia="zh-CN"/>
              </w:rPr>
              <w:t>5.1.6.2.17</w:t>
            </w:r>
          </w:p>
        </w:tc>
        <w:tc>
          <w:tcPr>
            <w:tcW w:w="2089" w:type="dxa"/>
          </w:tcPr>
          <w:p w14:paraId="40278C03" w14:textId="77777777" w:rsidR="004D166F" w:rsidRDefault="004D166F" w:rsidP="004D166F">
            <w:pPr>
              <w:pStyle w:val="TAL"/>
              <w:rPr>
                <w:rFonts w:cs="Arial"/>
                <w:szCs w:val="18"/>
              </w:rPr>
            </w:pPr>
            <w:r>
              <w:rPr>
                <w:rFonts w:cs="Arial"/>
                <w:szCs w:val="18"/>
                <w:lang w:eastAsia="zh-CN"/>
              </w:rPr>
              <w:t>Represents user data congestion information.</w:t>
            </w:r>
          </w:p>
        </w:tc>
        <w:tc>
          <w:tcPr>
            <w:tcW w:w="2632" w:type="dxa"/>
          </w:tcPr>
          <w:p w14:paraId="48331BBE" w14:textId="77777777" w:rsidR="004D166F" w:rsidRDefault="004D166F" w:rsidP="004D166F">
            <w:pPr>
              <w:pStyle w:val="TAL"/>
              <w:rPr>
                <w:rFonts w:cs="Arial"/>
                <w:szCs w:val="18"/>
              </w:rPr>
            </w:pPr>
            <w:r>
              <w:rPr>
                <w:rFonts w:cs="Arial"/>
                <w:szCs w:val="18"/>
              </w:rPr>
              <w:t>UserDataCongestion</w:t>
            </w:r>
          </w:p>
        </w:tc>
      </w:tr>
      <w:tr w:rsidR="004D3964" w14:paraId="1AC19C95" w14:textId="77777777" w:rsidTr="008867D9">
        <w:trPr>
          <w:jc w:val="center"/>
        </w:trPr>
        <w:tc>
          <w:tcPr>
            <w:tcW w:w="2778" w:type="dxa"/>
          </w:tcPr>
          <w:p w14:paraId="2A6098FC" w14:textId="77777777" w:rsidR="004D3964" w:rsidRDefault="004D3964" w:rsidP="004D3964">
            <w:pPr>
              <w:pStyle w:val="TAL"/>
              <w:rPr>
                <w:lang w:eastAsia="zh-CN"/>
              </w:rPr>
            </w:pPr>
            <w:r>
              <w:lastRenderedPageBreak/>
              <w:t>UserDataConOrderCrit</w:t>
            </w:r>
          </w:p>
        </w:tc>
        <w:tc>
          <w:tcPr>
            <w:tcW w:w="1849" w:type="dxa"/>
          </w:tcPr>
          <w:p w14:paraId="56D9D4A3" w14:textId="77777777" w:rsidR="004D3964" w:rsidRDefault="004D3964" w:rsidP="004D3964">
            <w:pPr>
              <w:pStyle w:val="TAL"/>
              <w:rPr>
                <w:lang w:eastAsia="zh-CN"/>
              </w:rPr>
            </w:pPr>
            <w:r>
              <w:rPr>
                <w:rFonts w:hint="eastAsia"/>
                <w:lang w:eastAsia="zh-CN"/>
              </w:rPr>
              <w:t>5</w:t>
            </w:r>
            <w:r>
              <w:rPr>
                <w:lang w:eastAsia="zh-CN"/>
              </w:rPr>
              <w:t>.1.6.2.15</w:t>
            </w:r>
          </w:p>
        </w:tc>
        <w:tc>
          <w:tcPr>
            <w:tcW w:w="2089" w:type="dxa"/>
          </w:tcPr>
          <w:p w14:paraId="7DBF49ED" w14:textId="77777777" w:rsidR="004D3964" w:rsidRDefault="004D3964" w:rsidP="004D3964">
            <w:pPr>
              <w:pStyle w:val="TAL"/>
              <w:rPr>
                <w:rFonts w:cs="Arial"/>
                <w:szCs w:val="18"/>
              </w:rPr>
            </w:pPr>
            <w:r>
              <w:rPr>
                <w:lang w:eastAsia="ko-KR"/>
              </w:rPr>
              <w:t xml:space="preserve">The ordering criterion for the list of </w:t>
            </w:r>
            <w:r>
              <w:t>User Data Congestion</w:t>
            </w:r>
            <w:r>
              <w:rPr>
                <w:lang w:eastAsia="ko-KR"/>
              </w:rPr>
              <w:t xml:space="preserve"> analytics.</w:t>
            </w:r>
          </w:p>
        </w:tc>
        <w:tc>
          <w:tcPr>
            <w:tcW w:w="2632" w:type="dxa"/>
          </w:tcPr>
          <w:p w14:paraId="2E840BB3" w14:textId="77777777" w:rsidR="004D3964" w:rsidRDefault="004D3964" w:rsidP="004D3964">
            <w:pPr>
              <w:pStyle w:val="TAL"/>
              <w:rPr>
                <w:rFonts w:cs="Arial"/>
                <w:szCs w:val="18"/>
              </w:rPr>
            </w:pPr>
            <w:r>
              <w:t>UserDataCongestionExt2_eNA</w:t>
            </w:r>
          </w:p>
        </w:tc>
      </w:tr>
      <w:tr w:rsidR="00542337" w14:paraId="5A45C89D" w14:textId="77777777" w:rsidTr="008867D9">
        <w:trPr>
          <w:jc w:val="center"/>
        </w:trPr>
        <w:tc>
          <w:tcPr>
            <w:tcW w:w="2778" w:type="dxa"/>
          </w:tcPr>
          <w:p w14:paraId="10A0CFB5" w14:textId="77777777" w:rsidR="00542337" w:rsidRDefault="00542337" w:rsidP="00542337">
            <w:pPr>
              <w:pStyle w:val="TAL"/>
            </w:pPr>
            <w:r>
              <w:t>VendorId</w:t>
            </w:r>
          </w:p>
        </w:tc>
        <w:tc>
          <w:tcPr>
            <w:tcW w:w="1849" w:type="dxa"/>
          </w:tcPr>
          <w:p w14:paraId="044D027D" w14:textId="77777777" w:rsidR="00542337" w:rsidRDefault="00542337" w:rsidP="00542337">
            <w:pPr>
              <w:pStyle w:val="TAL"/>
              <w:rPr>
                <w:rFonts w:hint="eastAsia"/>
                <w:lang w:eastAsia="zh-CN"/>
              </w:rPr>
            </w:pPr>
            <w:r>
              <w:rPr>
                <w:lang w:eastAsia="zh-CN"/>
              </w:rPr>
              <w:t>3GPP TS 29.510 [12]</w:t>
            </w:r>
          </w:p>
        </w:tc>
        <w:tc>
          <w:tcPr>
            <w:tcW w:w="2089" w:type="dxa"/>
          </w:tcPr>
          <w:p w14:paraId="19651D93" w14:textId="77777777" w:rsidR="00542337" w:rsidRDefault="00542337" w:rsidP="00542337">
            <w:pPr>
              <w:pStyle w:val="TAL"/>
              <w:rPr>
                <w:lang w:eastAsia="ko-KR"/>
              </w:rPr>
            </w:pPr>
            <w:r w:rsidRPr="00100637">
              <w:rPr>
                <w:lang w:eastAsia="ko-KR"/>
              </w:rPr>
              <w:t>Represents the Vendor ID.</w:t>
            </w:r>
          </w:p>
        </w:tc>
        <w:tc>
          <w:tcPr>
            <w:tcW w:w="2632" w:type="dxa"/>
          </w:tcPr>
          <w:p w14:paraId="572C51AA" w14:textId="77777777" w:rsidR="00542337" w:rsidRDefault="00542337" w:rsidP="00542337">
            <w:pPr>
              <w:pStyle w:val="TAL"/>
            </w:pPr>
            <w:r w:rsidRPr="00734297">
              <w:t>EnAnaCtxTransfer</w:t>
            </w:r>
          </w:p>
        </w:tc>
      </w:tr>
      <w:tr w:rsidR="004D3964" w14:paraId="2D1E7583" w14:textId="77777777" w:rsidTr="008867D9">
        <w:trPr>
          <w:jc w:val="center"/>
        </w:trPr>
        <w:tc>
          <w:tcPr>
            <w:tcW w:w="2778" w:type="dxa"/>
          </w:tcPr>
          <w:p w14:paraId="422E116B" w14:textId="77777777" w:rsidR="004D3964" w:rsidRDefault="004D3964" w:rsidP="004D3964">
            <w:pPr>
              <w:pStyle w:val="TAL"/>
              <w:rPr>
                <w:lang w:eastAsia="zh-CN"/>
              </w:rPr>
            </w:pPr>
            <w:r>
              <w:t>WlanPerformanceInfo</w:t>
            </w:r>
          </w:p>
        </w:tc>
        <w:tc>
          <w:tcPr>
            <w:tcW w:w="1849" w:type="dxa"/>
          </w:tcPr>
          <w:p w14:paraId="7C5EFC4D" w14:textId="77777777" w:rsidR="004D3964" w:rsidRDefault="004D3964" w:rsidP="004D3964">
            <w:pPr>
              <w:pStyle w:val="TAL"/>
              <w:rPr>
                <w:lang w:eastAsia="zh-CN"/>
              </w:rPr>
            </w:pPr>
            <w:r>
              <w:rPr>
                <w:rFonts w:cs="Arial"/>
              </w:rPr>
              <w:t>5.1.6.2.60</w:t>
            </w:r>
          </w:p>
        </w:tc>
        <w:tc>
          <w:tcPr>
            <w:tcW w:w="2089" w:type="dxa"/>
          </w:tcPr>
          <w:p w14:paraId="63020C48" w14:textId="77777777" w:rsidR="004D3964" w:rsidRDefault="004D3964" w:rsidP="004D3964">
            <w:pPr>
              <w:pStyle w:val="TAL"/>
              <w:rPr>
                <w:rFonts w:cs="Arial"/>
                <w:szCs w:val="18"/>
              </w:rPr>
            </w:pPr>
            <w:r>
              <w:rPr>
                <w:rFonts w:cs="Arial"/>
                <w:szCs w:val="18"/>
                <w:lang w:eastAsia="zh-CN"/>
              </w:rPr>
              <w:t>WLAN performance analytics information.</w:t>
            </w:r>
          </w:p>
        </w:tc>
        <w:tc>
          <w:tcPr>
            <w:tcW w:w="2632" w:type="dxa"/>
          </w:tcPr>
          <w:p w14:paraId="609E1F2A" w14:textId="77777777" w:rsidR="004D3964" w:rsidRDefault="004D3964" w:rsidP="004D3964">
            <w:pPr>
              <w:pStyle w:val="TAL"/>
              <w:rPr>
                <w:rFonts w:cs="Arial"/>
                <w:szCs w:val="18"/>
              </w:rPr>
            </w:pPr>
            <w:r>
              <w:rPr>
                <w:rFonts w:cs="Arial"/>
                <w:szCs w:val="18"/>
              </w:rPr>
              <w:t>WlanPerformance</w:t>
            </w:r>
          </w:p>
        </w:tc>
      </w:tr>
      <w:tr w:rsidR="004D3964" w14:paraId="30765846" w14:textId="77777777" w:rsidTr="008867D9">
        <w:trPr>
          <w:jc w:val="center"/>
        </w:trPr>
        <w:tc>
          <w:tcPr>
            <w:tcW w:w="2778" w:type="dxa"/>
          </w:tcPr>
          <w:p w14:paraId="048EE19C" w14:textId="77777777" w:rsidR="004D3964" w:rsidRDefault="004D3964" w:rsidP="004D3964">
            <w:pPr>
              <w:pStyle w:val="TAL"/>
              <w:rPr>
                <w:lang w:eastAsia="zh-CN"/>
              </w:rPr>
            </w:pPr>
            <w:r>
              <w:t>WlanPerformanceReq</w:t>
            </w:r>
          </w:p>
        </w:tc>
        <w:tc>
          <w:tcPr>
            <w:tcW w:w="1849" w:type="dxa"/>
          </w:tcPr>
          <w:p w14:paraId="7871C7EE" w14:textId="77777777" w:rsidR="004D3964" w:rsidRDefault="004D3964" w:rsidP="004D3964">
            <w:pPr>
              <w:pStyle w:val="TAL"/>
              <w:rPr>
                <w:lang w:eastAsia="zh-CN"/>
              </w:rPr>
            </w:pPr>
            <w:r>
              <w:rPr>
                <w:rFonts w:cs="Arial"/>
              </w:rPr>
              <w:t>5.1.6.2.59</w:t>
            </w:r>
          </w:p>
        </w:tc>
        <w:tc>
          <w:tcPr>
            <w:tcW w:w="2089" w:type="dxa"/>
          </w:tcPr>
          <w:p w14:paraId="400FE062" w14:textId="77777777" w:rsidR="004D3964" w:rsidRDefault="004D3964" w:rsidP="004D3964">
            <w:pPr>
              <w:pStyle w:val="TAL"/>
              <w:rPr>
                <w:rFonts w:cs="Arial"/>
                <w:szCs w:val="18"/>
              </w:rPr>
            </w:pPr>
            <w:r>
              <w:rPr>
                <w:rFonts w:cs="Arial"/>
                <w:szCs w:val="18"/>
                <w:lang w:eastAsia="zh-CN"/>
              </w:rPr>
              <w:t>WLAN performance analytics requirement.</w:t>
            </w:r>
          </w:p>
        </w:tc>
        <w:tc>
          <w:tcPr>
            <w:tcW w:w="2632" w:type="dxa"/>
          </w:tcPr>
          <w:p w14:paraId="3C1FF13C" w14:textId="77777777" w:rsidR="004D3964" w:rsidRDefault="004D3964" w:rsidP="004D3964">
            <w:pPr>
              <w:pStyle w:val="TAL"/>
              <w:rPr>
                <w:rFonts w:cs="Arial"/>
                <w:szCs w:val="18"/>
              </w:rPr>
            </w:pPr>
            <w:r>
              <w:rPr>
                <w:rFonts w:cs="Arial"/>
                <w:szCs w:val="18"/>
              </w:rPr>
              <w:t>WlanPerformance</w:t>
            </w:r>
          </w:p>
        </w:tc>
      </w:tr>
      <w:tr w:rsidR="004D3964" w14:paraId="4CC29437" w14:textId="77777777" w:rsidTr="008867D9">
        <w:trPr>
          <w:jc w:val="center"/>
        </w:trPr>
        <w:tc>
          <w:tcPr>
            <w:tcW w:w="2778" w:type="dxa"/>
          </w:tcPr>
          <w:p w14:paraId="4725483A" w14:textId="77777777" w:rsidR="004D3964" w:rsidRDefault="004D3964" w:rsidP="004D3964">
            <w:pPr>
              <w:pStyle w:val="TAL"/>
            </w:pPr>
            <w:r>
              <w:rPr>
                <w:lang w:eastAsia="zh-CN"/>
              </w:rPr>
              <w:t>E2eDataVolTransTimeInfo</w:t>
            </w:r>
          </w:p>
        </w:tc>
        <w:tc>
          <w:tcPr>
            <w:tcW w:w="1849" w:type="dxa"/>
          </w:tcPr>
          <w:p w14:paraId="7C50A7E4" w14:textId="77777777" w:rsidR="004D3964" w:rsidRDefault="004D3964" w:rsidP="004D3964">
            <w:pPr>
              <w:pStyle w:val="TAL"/>
              <w:rPr>
                <w:rFonts w:cs="Arial"/>
              </w:rPr>
            </w:pPr>
            <w:r>
              <w:rPr>
                <w:lang w:eastAsia="zh-CN"/>
              </w:rPr>
              <w:t>5.1.6.2.82</w:t>
            </w:r>
          </w:p>
        </w:tc>
        <w:tc>
          <w:tcPr>
            <w:tcW w:w="2089" w:type="dxa"/>
          </w:tcPr>
          <w:p w14:paraId="3D45D954" w14:textId="77777777" w:rsidR="004D3964" w:rsidRDefault="004D3964" w:rsidP="004D3964">
            <w:pPr>
              <w:pStyle w:val="TAL"/>
              <w:rPr>
                <w:rFonts w:cs="Arial"/>
                <w:szCs w:val="18"/>
                <w:lang w:eastAsia="zh-CN"/>
              </w:rPr>
            </w:pPr>
            <w:r>
              <w:t>E2E data volume transfer time</w:t>
            </w:r>
          </w:p>
        </w:tc>
        <w:tc>
          <w:tcPr>
            <w:tcW w:w="2632" w:type="dxa"/>
          </w:tcPr>
          <w:p w14:paraId="3BAF3CF7" w14:textId="77777777" w:rsidR="004D3964" w:rsidRDefault="004D3964" w:rsidP="004D3964">
            <w:pPr>
              <w:pStyle w:val="TAL"/>
              <w:rPr>
                <w:rFonts w:cs="Arial"/>
                <w:szCs w:val="18"/>
              </w:rPr>
            </w:pPr>
            <w:r>
              <w:rPr>
                <w:lang w:eastAsia="zh-CN"/>
              </w:rPr>
              <w:t>E2eDataVolTransTime</w:t>
            </w:r>
          </w:p>
        </w:tc>
      </w:tr>
      <w:tr w:rsidR="004D3964" w14:paraId="1B808CB5" w14:textId="77777777" w:rsidTr="008867D9">
        <w:trPr>
          <w:jc w:val="center"/>
        </w:trPr>
        <w:tc>
          <w:tcPr>
            <w:tcW w:w="2778" w:type="dxa"/>
          </w:tcPr>
          <w:p w14:paraId="5FBCDC91" w14:textId="77777777" w:rsidR="004D3964" w:rsidRDefault="004D3964" w:rsidP="004D3964">
            <w:pPr>
              <w:pStyle w:val="TAL"/>
            </w:pPr>
            <w:r>
              <w:rPr>
                <w:lang w:eastAsia="zh-CN"/>
              </w:rPr>
              <w:t>E2eDataVolTransTimeReq</w:t>
            </w:r>
          </w:p>
        </w:tc>
        <w:tc>
          <w:tcPr>
            <w:tcW w:w="1849" w:type="dxa"/>
          </w:tcPr>
          <w:p w14:paraId="6B6697AA" w14:textId="77777777" w:rsidR="004D3964" w:rsidRDefault="004D3964" w:rsidP="004D3964">
            <w:pPr>
              <w:pStyle w:val="TAL"/>
              <w:rPr>
                <w:rFonts w:cs="Arial"/>
              </w:rPr>
            </w:pPr>
            <w:r>
              <w:rPr>
                <w:lang w:eastAsia="zh-CN"/>
              </w:rPr>
              <w:t>5.1.6.2.83</w:t>
            </w:r>
          </w:p>
        </w:tc>
        <w:tc>
          <w:tcPr>
            <w:tcW w:w="2089" w:type="dxa"/>
          </w:tcPr>
          <w:p w14:paraId="59D551A9" w14:textId="77777777" w:rsidR="004D3964" w:rsidRDefault="004D3964" w:rsidP="004D3964">
            <w:pPr>
              <w:pStyle w:val="TAL"/>
              <w:rPr>
                <w:rFonts w:cs="Arial"/>
                <w:szCs w:val="18"/>
                <w:lang w:eastAsia="zh-CN"/>
              </w:rPr>
            </w:pPr>
            <w:r>
              <w:t>E2E data volume transfer time requirement</w:t>
            </w:r>
          </w:p>
        </w:tc>
        <w:tc>
          <w:tcPr>
            <w:tcW w:w="2632" w:type="dxa"/>
          </w:tcPr>
          <w:p w14:paraId="67AAB8CD" w14:textId="77777777" w:rsidR="004D3964" w:rsidRDefault="004D3964" w:rsidP="004D3964">
            <w:pPr>
              <w:pStyle w:val="TAL"/>
              <w:rPr>
                <w:rFonts w:cs="Arial"/>
                <w:szCs w:val="18"/>
              </w:rPr>
            </w:pPr>
            <w:r>
              <w:rPr>
                <w:lang w:eastAsia="zh-CN"/>
              </w:rPr>
              <w:t>E2eDataVolTransTime</w:t>
            </w:r>
          </w:p>
        </w:tc>
      </w:tr>
    </w:tbl>
    <w:p w14:paraId="2DA2B560" w14:textId="77777777" w:rsidR="00E06B31" w:rsidRDefault="00E06B31" w:rsidP="00E06B31"/>
    <w:p w14:paraId="5614F180" w14:textId="77777777" w:rsidR="00A10B25" w:rsidRDefault="00A10B25">
      <w:pPr>
        <w:pStyle w:val="4"/>
      </w:pPr>
      <w:bookmarkStart w:id="10571" w:name="_Toc164920952"/>
      <w:bookmarkStart w:id="10572" w:name="_Toc170120494"/>
      <w:bookmarkStart w:id="10573" w:name="_Toc175858739"/>
      <w:bookmarkStart w:id="10574" w:name="_Toc175859812"/>
      <w:bookmarkStart w:id="10575" w:name="_Toc180606102"/>
      <w:bookmarkStart w:id="10576" w:name="_Toc185517363"/>
      <w:bookmarkStart w:id="10577" w:name="_Toc191576415"/>
      <w:bookmarkStart w:id="10578" w:name="_Toc191577155"/>
      <w:bookmarkStart w:id="10579" w:name="_Toc192880225"/>
      <w:bookmarkStart w:id="10580" w:name="_Toc195815114"/>
      <w:bookmarkStart w:id="10581" w:name="_Toc199453081"/>
      <w:r>
        <w:t>5.2.6.2</w:t>
      </w:r>
      <w:r>
        <w:tab/>
        <w:t>Structured data types</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7C819C3B" w14:textId="77777777" w:rsidR="00A10B25" w:rsidRDefault="00A10B25">
      <w:pPr>
        <w:pStyle w:val="5"/>
      </w:pPr>
      <w:bookmarkStart w:id="10582" w:name="_Toc101244534"/>
      <w:bookmarkStart w:id="10583" w:name="_Toc94064370"/>
      <w:bookmarkStart w:id="10584" w:name="_Toc59018003"/>
      <w:bookmarkStart w:id="10585" w:name="_Toc113031792"/>
      <w:bookmarkStart w:id="10586" w:name="_Toc28012867"/>
      <w:bookmarkStart w:id="10587" w:name="_Toc51762966"/>
      <w:bookmarkStart w:id="10588" w:name="_Toc136562528"/>
      <w:bookmarkStart w:id="10589" w:name="_Toc90655965"/>
      <w:bookmarkStart w:id="10590" w:name="_Toc56641035"/>
      <w:bookmarkStart w:id="10591" w:name="_Toc70550699"/>
      <w:bookmarkStart w:id="10592" w:name="_Toc120702432"/>
      <w:bookmarkStart w:id="10593" w:name="_Toc66231871"/>
      <w:bookmarkStart w:id="10594" w:name="_Toc145705857"/>
      <w:bookmarkStart w:id="10595" w:name="_Toc114133931"/>
      <w:bookmarkStart w:id="10596" w:name="_Toc45134114"/>
      <w:bookmarkStart w:id="10597" w:name="_Toc98233757"/>
      <w:bookmarkStart w:id="10598" w:name="_Toc68169032"/>
      <w:bookmarkStart w:id="10599" w:name="_Toc83233152"/>
      <w:bookmarkStart w:id="10600" w:name="_Toc85557172"/>
      <w:bookmarkStart w:id="10601" w:name="_Toc148522767"/>
      <w:bookmarkStart w:id="10602" w:name="_Toc88667680"/>
      <w:bookmarkStart w:id="10603" w:name="_Toc138754362"/>
      <w:bookmarkStart w:id="10604" w:name="_Toc104539129"/>
      <w:bookmarkStart w:id="10605" w:name="_Toc50032046"/>
      <w:bookmarkStart w:id="10606" w:name="_Toc36102524"/>
      <w:bookmarkStart w:id="10607" w:name="_Toc34266353"/>
      <w:bookmarkStart w:id="10608" w:name="_Toc112951252"/>
      <w:bookmarkStart w:id="10609" w:name="_Toc43563568"/>
      <w:bookmarkStart w:id="10610" w:name="_Toc85553073"/>
      <w:bookmarkStart w:id="10611" w:name="_Toc164920953"/>
      <w:bookmarkStart w:id="10612" w:name="_Toc170120495"/>
      <w:bookmarkStart w:id="10613" w:name="_Toc175858740"/>
      <w:bookmarkStart w:id="10614" w:name="_Toc175859813"/>
      <w:bookmarkStart w:id="10615" w:name="_Toc180606103"/>
      <w:bookmarkStart w:id="10616" w:name="_Toc185517364"/>
      <w:bookmarkStart w:id="10617" w:name="_Toc191576416"/>
      <w:bookmarkStart w:id="10618" w:name="_Toc191577156"/>
      <w:bookmarkStart w:id="10619" w:name="_Toc192880226"/>
      <w:bookmarkStart w:id="10620" w:name="_Toc195815115"/>
      <w:bookmarkStart w:id="10621" w:name="_Toc199453082"/>
      <w:r>
        <w:t>5.2.6.2.1</w:t>
      </w:r>
      <w:r>
        <w:tab/>
        <w:t>Introduction</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13537062" w14:textId="77777777" w:rsidR="00A10B25" w:rsidRDefault="00A10B25">
      <w:r>
        <w:t xml:space="preserve">This clause defines the structures to be used in resource representations. </w:t>
      </w:r>
    </w:p>
    <w:p w14:paraId="030B1747" w14:textId="77777777" w:rsidR="00A10B25" w:rsidRDefault="00A10B25">
      <w:pPr>
        <w:pStyle w:val="5"/>
      </w:pPr>
      <w:bookmarkStart w:id="10622" w:name="_Toc70550700"/>
      <w:bookmarkStart w:id="10623" w:name="_Toc101244535"/>
      <w:bookmarkStart w:id="10624" w:name="_Toc88667681"/>
      <w:bookmarkStart w:id="10625" w:name="_Toc50032047"/>
      <w:bookmarkStart w:id="10626" w:name="_Toc34266354"/>
      <w:bookmarkStart w:id="10627" w:name="_Toc66231872"/>
      <w:bookmarkStart w:id="10628" w:name="_Toc59018004"/>
      <w:bookmarkStart w:id="10629" w:name="_Toc36102525"/>
      <w:bookmarkStart w:id="10630" w:name="_Toc113031793"/>
      <w:bookmarkStart w:id="10631" w:name="_Toc114133932"/>
      <w:bookmarkStart w:id="10632" w:name="_Toc56641036"/>
      <w:bookmarkStart w:id="10633" w:name="_Toc85553074"/>
      <w:bookmarkStart w:id="10634" w:name="_Toc45134115"/>
      <w:bookmarkStart w:id="10635" w:name="_Toc120702433"/>
      <w:bookmarkStart w:id="10636" w:name="_Toc94064371"/>
      <w:bookmarkStart w:id="10637" w:name="_Toc98233758"/>
      <w:bookmarkStart w:id="10638" w:name="_Toc104539130"/>
      <w:bookmarkStart w:id="10639" w:name="_Toc148522768"/>
      <w:bookmarkStart w:id="10640" w:name="_Toc90655966"/>
      <w:bookmarkStart w:id="10641" w:name="_Toc28012868"/>
      <w:bookmarkStart w:id="10642" w:name="_Toc138754363"/>
      <w:bookmarkStart w:id="10643" w:name="_Toc68169033"/>
      <w:bookmarkStart w:id="10644" w:name="_Toc85557173"/>
      <w:bookmarkStart w:id="10645" w:name="_Toc43563569"/>
      <w:bookmarkStart w:id="10646" w:name="_Toc83233153"/>
      <w:bookmarkStart w:id="10647" w:name="_Toc145705858"/>
      <w:bookmarkStart w:id="10648" w:name="_Toc136562529"/>
      <w:bookmarkStart w:id="10649" w:name="_Toc112951253"/>
      <w:bookmarkStart w:id="10650" w:name="_Toc51762967"/>
      <w:bookmarkStart w:id="10651" w:name="_Toc164920954"/>
      <w:bookmarkStart w:id="10652" w:name="_Toc170120496"/>
      <w:bookmarkStart w:id="10653" w:name="_Toc175858741"/>
      <w:bookmarkStart w:id="10654" w:name="_Toc175859814"/>
      <w:bookmarkStart w:id="10655" w:name="_Toc180606104"/>
      <w:bookmarkStart w:id="10656" w:name="_Toc185517365"/>
      <w:bookmarkStart w:id="10657" w:name="_Toc191576417"/>
      <w:bookmarkStart w:id="10658" w:name="_Toc191577157"/>
      <w:bookmarkStart w:id="10659" w:name="_Toc192880227"/>
      <w:bookmarkStart w:id="10660" w:name="_Toc195815116"/>
      <w:bookmarkStart w:id="10661" w:name="_Toc199453083"/>
      <w:r>
        <w:lastRenderedPageBreak/>
        <w:t>5.2.6.2.2</w:t>
      </w:r>
      <w:r>
        <w:tab/>
        <w:t>Type AnalyticsData</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5B88B0B2" w14:textId="77777777" w:rsidR="00AD5F95" w:rsidRDefault="00AD5F95" w:rsidP="00AD5F95">
      <w:pPr>
        <w:pStyle w:val="TH"/>
      </w:pPr>
      <w:bookmarkStart w:id="10662" w:name="_Toc145705859"/>
      <w:bookmarkStart w:id="10663" w:name="_Toc148522769"/>
      <w:bookmarkStart w:id="10664" w:name="_Toc164920955"/>
      <w:bookmarkStart w:id="10665" w:name="_Toc170120497"/>
      <w:bookmarkStart w:id="10666" w:name="_Toc175858742"/>
      <w:bookmarkStart w:id="10667" w:name="_Toc175859815"/>
      <w:bookmarkStart w:id="10668" w:name="_Toc180606105"/>
      <w:bookmarkStart w:id="10669" w:name="_Toc185517366"/>
      <w:bookmarkStart w:id="10670" w:name="_Toc28012869"/>
      <w:bookmarkStart w:id="10671" w:name="_Toc36102526"/>
      <w:bookmarkStart w:id="10672" w:name="_Toc66231873"/>
      <w:bookmarkStart w:id="10673" w:name="_Toc83233154"/>
      <w:bookmarkStart w:id="10674" w:name="_Toc114133933"/>
      <w:bookmarkStart w:id="10675" w:name="_Toc113031794"/>
      <w:bookmarkStart w:id="10676" w:name="_Toc34266355"/>
      <w:bookmarkStart w:id="10677" w:name="_Toc51762968"/>
      <w:bookmarkStart w:id="10678" w:name="_Toc101244536"/>
      <w:bookmarkStart w:id="10679" w:name="_Toc85553075"/>
      <w:bookmarkStart w:id="10680" w:name="_Toc88667682"/>
      <w:bookmarkStart w:id="10681" w:name="_Toc120702434"/>
      <w:bookmarkStart w:id="10682" w:name="_Toc45134116"/>
      <w:bookmarkStart w:id="10683" w:name="_Toc59018005"/>
      <w:bookmarkStart w:id="10684" w:name="_Toc50032048"/>
      <w:bookmarkStart w:id="10685" w:name="_Toc98233759"/>
      <w:bookmarkStart w:id="10686" w:name="_Toc43563570"/>
      <w:bookmarkStart w:id="10687" w:name="_Toc90655967"/>
      <w:bookmarkStart w:id="10688" w:name="_Toc104539131"/>
      <w:bookmarkStart w:id="10689" w:name="_Toc112951254"/>
      <w:bookmarkStart w:id="10690" w:name="_Toc94064372"/>
      <w:bookmarkStart w:id="10691" w:name="_Toc68169034"/>
      <w:bookmarkStart w:id="10692" w:name="_Toc85557174"/>
      <w:bookmarkStart w:id="10693" w:name="_Toc136562530"/>
      <w:bookmarkStart w:id="10694" w:name="_Toc70550701"/>
      <w:bookmarkStart w:id="10695" w:name="_Toc138754364"/>
      <w:bookmarkStart w:id="10696" w:name="_Toc56641037"/>
      <w:r>
        <w:t>Table 5.2.6.2.2-1: Definition of type AnalyticsData</w:t>
      </w:r>
    </w:p>
    <w:tbl>
      <w:tblPr>
        <w:tblW w:w="9621"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682"/>
        <w:gridCol w:w="36"/>
        <w:gridCol w:w="2403"/>
        <w:gridCol w:w="36"/>
        <w:gridCol w:w="250"/>
        <w:gridCol w:w="36"/>
        <w:gridCol w:w="1032"/>
        <w:gridCol w:w="36"/>
        <w:gridCol w:w="2790"/>
        <w:gridCol w:w="36"/>
        <w:gridCol w:w="1212"/>
        <w:gridCol w:w="36"/>
      </w:tblGrid>
      <w:tr w:rsidR="00AD5F95" w14:paraId="6BA1851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shd w:val="clear" w:color="auto" w:fill="C0C0C0"/>
          </w:tcPr>
          <w:p w14:paraId="25EF7575" w14:textId="77777777" w:rsidR="00AD5F95" w:rsidRDefault="00AD5F95" w:rsidP="009E7F73">
            <w:pPr>
              <w:pStyle w:val="TAH"/>
            </w:pPr>
            <w:r>
              <w:lastRenderedPageBreak/>
              <w:t>Attribute name</w:t>
            </w:r>
          </w:p>
        </w:tc>
        <w:tc>
          <w:tcPr>
            <w:tcW w:w="2439" w:type="dxa"/>
            <w:gridSpan w:val="2"/>
            <w:tcBorders>
              <w:top w:val="single" w:sz="6" w:space="0" w:color="auto"/>
              <w:left w:val="single" w:sz="6" w:space="0" w:color="auto"/>
              <w:bottom w:val="single" w:sz="6" w:space="0" w:color="auto"/>
              <w:right w:val="single" w:sz="6" w:space="0" w:color="auto"/>
            </w:tcBorders>
            <w:shd w:val="clear" w:color="auto" w:fill="C0C0C0"/>
          </w:tcPr>
          <w:p w14:paraId="6E79DD59" w14:textId="77777777" w:rsidR="00AD5F95" w:rsidRDefault="00AD5F95" w:rsidP="009E7F73">
            <w:pPr>
              <w:pStyle w:val="TAH"/>
            </w:pPr>
            <w:r>
              <w:t>Data type</w:t>
            </w:r>
          </w:p>
        </w:tc>
        <w:tc>
          <w:tcPr>
            <w:tcW w:w="286" w:type="dxa"/>
            <w:gridSpan w:val="2"/>
            <w:tcBorders>
              <w:top w:val="single" w:sz="6" w:space="0" w:color="auto"/>
              <w:left w:val="single" w:sz="6" w:space="0" w:color="auto"/>
              <w:bottom w:val="single" w:sz="6" w:space="0" w:color="auto"/>
              <w:right w:val="single" w:sz="6" w:space="0" w:color="auto"/>
            </w:tcBorders>
            <w:shd w:val="clear" w:color="auto" w:fill="C0C0C0"/>
          </w:tcPr>
          <w:p w14:paraId="542D82FC" w14:textId="77777777" w:rsidR="00AD5F95" w:rsidRDefault="00AD5F95" w:rsidP="009E7F73">
            <w:pPr>
              <w:pStyle w:val="TAH"/>
            </w:pPr>
            <w:r>
              <w:t>P</w:t>
            </w:r>
          </w:p>
        </w:tc>
        <w:tc>
          <w:tcPr>
            <w:tcW w:w="1068" w:type="dxa"/>
            <w:gridSpan w:val="2"/>
            <w:tcBorders>
              <w:top w:val="single" w:sz="6" w:space="0" w:color="auto"/>
              <w:left w:val="single" w:sz="6" w:space="0" w:color="auto"/>
              <w:bottom w:val="single" w:sz="6" w:space="0" w:color="auto"/>
              <w:right w:val="single" w:sz="6" w:space="0" w:color="auto"/>
            </w:tcBorders>
            <w:shd w:val="clear" w:color="auto" w:fill="C0C0C0"/>
          </w:tcPr>
          <w:p w14:paraId="7106EDDD" w14:textId="77777777" w:rsidR="00AD5F95" w:rsidRDefault="00AD5F95" w:rsidP="009E7F73">
            <w:pPr>
              <w:pStyle w:val="TAH"/>
              <w:jc w:val="left"/>
            </w:pPr>
            <w:r>
              <w:t>Cardinality</w:t>
            </w:r>
          </w:p>
        </w:tc>
        <w:tc>
          <w:tcPr>
            <w:tcW w:w="2826" w:type="dxa"/>
            <w:gridSpan w:val="2"/>
            <w:tcBorders>
              <w:top w:val="single" w:sz="6" w:space="0" w:color="auto"/>
              <w:left w:val="single" w:sz="6" w:space="0" w:color="auto"/>
              <w:bottom w:val="single" w:sz="6" w:space="0" w:color="auto"/>
              <w:right w:val="single" w:sz="6" w:space="0" w:color="auto"/>
            </w:tcBorders>
            <w:shd w:val="clear" w:color="auto" w:fill="C0C0C0"/>
          </w:tcPr>
          <w:p w14:paraId="31E01BD7" w14:textId="77777777" w:rsidR="00AD5F95" w:rsidRDefault="00AD5F95" w:rsidP="009E7F73">
            <w:pPr>
              <w:pStyle w:val="TAH"/>
              <w:rPr>
                <w:rFonts w:cs="Arial"/>
                <w:szCs w:val="18"/>
              </w:rPr>
            </w:pPr>
            <w:r>
              <w:rPr>
                <w:rFonts w:cs="Arial"/>
                <w:szCs w:val="18"/>
              </w:rPr>
              <w:t>Description</w:t>
            </w:r>
          </w:p>
        </w:tc>
        <w:tc>
          <w:tcPr>
            <w:tcW w:w="1248" w:type="dxa"/>
            <w:gridSpan w:val="2"/>
            <w:tcBorders>
              <w:top w:val="single" w:sz="6" w:space="0" w:color="auto"/>
              <w:left w:val="single" w:sz="6" w:space="0" w:color="auto"/>
              <w:bottom w:val="single" w:sz="6" w:space="0" w:color="auto"/>
              <w:right w:val="single" w:sz="6" w:space="0" w:color="auto"/>
            </w:tcBorders>
            <w:shd w:val="clear" w:color="auto" w:fill="C0C0C0"/>
          </w:tcPr>
          <w:p w14:paraId="7D98D7F3" w14:textId="77777777" w:rsidR="00AD5F95" w:rsidRDefault="00AD5F95" w:rsidP="009E7F73">
            <w:pPr>
              <w:pStyle w:val="TAH"/>
              <w:rPr>
                <w:rFonts w:cs="Arial"/>
                <w:szCs w:val="18"/>
              </w:rPr>
            </w:pPr>
            <w:r>
              <w:rPr>
                <w:rFonts w:cs="Arial"/>
                <w:szCs w:val="18"/>
              </w:rPr>
              <w:t>Applicability</w:t>
            </w:r>
          </w:p>
        </w:tc>
      </w:tr>
      <w:tr w:rsidR="00AD5F95" w14:paraId="44BB188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E7C3227" w14:textId="77777777" w:rsidR="00AD5F95" w:rsidRDefault="00AD5F95" w:rsidP="009E7F73">
            <w:pPr>
              <w:pStyle w:val="TAL"/>
            </w:pPr>
            <w:r>
              <w:t>start</w:t>
            </w:r>
          </w:p>
        </w:tc>
        <w:tc>
          <w:tcPr>
            <w:tcW w:w="2439" w:type="dxa"/>
            <w:gridSpan w:val="2"/>
            <w:tcBorders>
              <w:top w:val="single" w:sz="6" w:space="0" w:color="auto"/>
              <w:left w:val="single" w:sz="6" w:space="0" w:color="auto"/>
              <w:bottom w:val="single" w:sz="6" w:space="0" w:color="auto"/>
              <w:right w:val="single" w:sz="6" w:space="0" w:color="auto"/>
            </w:tcBorders>
          </w:tcPr>
          <w:p w14:paraId="6D9CD7CF" w14:textId="77777777" w:rsidR="00AD5F95" w:rsidRDefault="00AD5F95" w:rsidP="009E7F73">
            <w:pPr>
              <w:pStyle w:val="TAL"/>
            </w:pPr>
            <w:r>
              <w:t>DateTime</w:t>
            </w:r>
          </w:p>
        </w:tc>
        <w:tc>
          <w:tcPr>
            <w:tcW w:w="286" w:type="dxa"/>
            <w:gridSpan w:val="2"/>
            <w:tcBorders>
              <w:top w:val="single" w:sz="6" w:space="0" w:color="auto"/>
              <w:left w:val="single" w:sz="6" w:space="0" w:color="auto"/>
              <w:bottom w:val="single" w:sz="6" w:space="0" w:color="auto"/>
              <w:right w:val="single" w:sz="6" w:space="0" w:color="auto"/>
            </w:tcBorders>
          </w:tcPr>
          <w:p w14:paraId="351011A4" w14:textId="77777777" w:rsidR="00AD5F95" w:rsidRDefault="00AD5F95" w:rsidP="009E7F73">
            <w:pPr>
              <w:pStyle w:val="TAL"/>
            </w:pPr>
            <w:r>
              <w:t>O</w:t>
            </w:r>
          </w:p>
        </w:tc>
        <w:tc>
          <w:tcPr>
            <w:tcW w:w="1068" w:type="dxa"/>
            <w:gridSpan w:val="2"/>
            <w:tcBorders>
              <w:top w:val="single" w:sz="6" w:space="0" w:color="auto"/>
              <w:left w:val="single" w:sz="6" w:space="0" w:color="auto"/>
              <w:bottom w:val="single" w:sz="6" w:space="0" w:color="auto"/>
              <w:right w:val="single" w:sz="6" w:space="0" w:color="auto"/>
            </w:tcBorders>
          </w:tcPr>
          <w:p w14:paraId="44819AB8"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3B194C07" w14:textId="77777777" w:rsidR="00AD5F95" w:rsidRDefault="00AD5F95" w:rsidP="009E7F73">
            <w:pPr>
              <w:pStyle w:val="TAL"/>
            </w:pPr>
            <w:r>
              <w:t xml:space="preserve">It defines the start time of which the </w:t>
            </w:r>
            <w:r>
              <w:rPr>
                <w:lang w:eastAsia="zh-CN"/>
              </w:rPr>
              <w:t xml:space="preserve">statistics </w:t>
            </w:r>
            <w:r>
              <w:t>analytics information is applicable or predictions analytics information is valid. (NOTE 1) (NOTE 7)</w:t>
            </w:r>
          </w:p>
        </w:tc>
        <w:tc>
          <w:tcPr>
            <w:tcW w:w="1248" w:type="dxa"/>
            <w:gridSpan w:val="2"/>
            <w:tcBorders>
              <w:top w:val="single" w:sz="6" w:space="0" w:color="auto"/>
              <w:left w:val="single" w:sz="6" w:space="0" w:color="auto"/>
              <w:bottom w:val="single" w:sz="6" w:space="0" w:color="auto"/>
              <w:right w:val="single" w:sz="6" w:space="0" w:color="auto"/>
            </w:tcBorders>
          </w:tcPr>
          <w:p w14:paraId="54867173" w14:textId="77777777" w:rsidR="00AD5F95" w:rsidRDefault="00AD5F95" w:rsidP="009E7F73">
            <w:pPr>
              <w:pStyle w:val="TAL"/>
            </w:pPr>
          </w:p>
        </w:tc>
      </w:tr>
      <w:tr w:rsidR="00AD5F95" w14:paraId="44B7759E"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8A7CA87" w14:textId="77777777" w:rsidR="00AD5F95" w:rsidRDefault="00AD5F95" w:rsidP="009E7F73">
            <w:pPr>
              <w:pStyle w:val="TAL"/>
            </w:pPr>
            <w:r>
              <w:t>expiry</w:t>
            </w:r>
          </w:p>
        </w:tc>
        <w:tc>
          <w:tcPr>
            <w:tcW w:w="2439" w:type="dxa"/>
            <w:gridSpan w:val="2"/>
            <w:tcBorders>
              <w:top w:val="single" w:sz="6" w:space="0" w:color="auto"/>
              <w:left w:val="single" w:sz="6" w:space="0" w:color="auto"/>
              <w:bottom w:val="single" w:sz="6" w:space="0" w:color="auto"/>
              <w:right w:val="single" w:sz="6" w:space="0" w:color="auto"/>
            </w:tcBorders>
          </w:tcPr>
          <w:p w14:paraId="381189B1" w14:textId="77777777" w:rsidR="00AD5F95" w:rsidRDefault="00AD5F95" w:rsidP="009E7F73">
            <w:pPr>
              <w:pStyle w:val="TAL"/>
            </w:pPr>
            <w:r>
              <w:t>DateTime</w:t>
            </w:r>
          </w:p>
        </w:tc>
        <w:tc>
          <w:tcPr>
            <w:tcW w:w="286" w:type="dxa"/>
            <w:gridSpan w:val="2"/>
            <w:tcBorders>
              <w:top w:val="single" w:sz="6" w:space="0" w:color="auto"/>
              <w:left w:val="single" w:sz="6" w:space="0" w:color="auto"/>
              <w:bottom w:val="single" w:sz="6" w:space="0" w:color="auto"/>
              <w:right w:val="single" w:sz="6" w:space="0" w:color="auto"/>
            </w:tcBorders>
          </w:tcPr>
          <w:p w14:paraId="13DC0D51" w14:textId="77777777" w:rsidR="00AD5F95" w:rsidRDefault="00AD5F95" w:rsidP="009E7F73">
            <w:pPr>
              <w:pStyle w:val="TAL"/>
            </w:pPr>
            <w:r>
              <w:t>O</w:t>
            </w:r>
          </w:p>
        </w:tc>
        <w:tc>
          <w:tcPr>
            <w:tcW w:w="1068" w:type="dxa"/>
            <w:gridSpan w:val="2"/>
            <w:tcBorders>
              <w:top w:val="single" w:sz="6" w:space="0" w:color="auto"/>
              <w:left w:val="single" w:sz="6" w:space="0" w:color="auto"/>
              <w:bottom w:val="single" w:sz="6" w:space="0" w:color="auto"/>
              <w:right w:val="single" w:sz="6" w:space="0" w:color="auto"/>
            </w:tcBorders>
          </w:tcPr>
          <w:p w14:paraId="7BF790DF"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637DC0E8" w14:textId="77777777" w:rsidR="00AD5F95" w:rsidRDefault="00AD5F95" w:rsidP="009E7F73">
            <w:pPr>
              <w:pStyle w:val="TAL"/>
            </w:pPr>
            <w:r>
              <w:t xml:space="preserve">It defines the expiration time after which the </w:t>
            </w:r>
            <w:r>
              <w:rPr>
                <w:lang w:eastAsia="zh-CN"/>
              </w:rPr>
              <w:t xml:space="preserve">statistics </w:t>
            </w:r>
            <w:r>
              <w:t>analytics information is applicable or predictions analytics information is invalid. (NOTE 1) (NOTE 7)</w:t>
            </w:r>
          </w:p>
        </w:tc>
        <w:tc>
          <w:tcPr>
            <w:tcW w:w="1248" w:type="dxa"/>
            <w:gridSpan w:val="2"/>
            <w:tcBorders>
              <w:top w:val="single" w:sz="6" w:space="0" w:color="auto"/>
              <w:left w:val="single" w:sz="6" w:space="0" w:color="auto"/>
              <w:bottom w:val="single" w:sz="6" w:space="0" w:color="auto"/>
              <w:right w:val="single" w:sz="6" w:space="0" w:color="auto"/>
            </w:tcBorders>
          </w:tcPr>
          <w:p w14:paraId="6A5E74E5" w14:textId="77777777" w:rsidR="00AD5F95" w:rsidRDefault="00AD5F95" w:rsidP="009E7F73">
            <w:pPr>
              <w:pStyle w:val="TAL"/>
            </w:pPr>
          </w:p>
        </w:tc>
      </w:tr>
      <w:tr w:rsidR="00AD5F95" w14:paraId="5AE8E068"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4D2814FA" w14:textId="77777777" w:rsidR="00AD5F95" w:rsidRDefault="00AD5F95" w:rsidP="009E7F73">
            <w:pPr>
              <w:pStyle w:val="TAL"/>
            </w:pPr>
            <w:r>
              <w:t>timeStampGen</w:t>
            </w:r>
          </w:p>
        </w:tc>
        <w:tc>
          <w:tcPr>
            <w:tcW w:w="2439" w:type="dxa"/>
            <w:gridSpan w:val="2"/>
            <w:tcBorders>
              <w:top w:val="single" w:sz="6" w:space="0" w:color="auto"/>
              <w:left w:val="single" w:sz="6" w:space="0" w:color="auto"/>
              <w:bottom w:val="single" w:sz="6" w:space="0" w:color="auto"/>
              <w:right w:val="single" w:sz="6" w:space="0" w:color="auto"/>
            </w:tcBorders>
          </w:tcPr>
          <w:p w14:paraId="15B987D9" w14:textId="77777777" w:rsidR="00AD5F95" w:rsidRDefault="00AD5F95" w:rsidP="009E7F73">
            <w:pPr>
              <w:pStyle w:val="TAL"/>
            </w:pPr>
            <w:r>
              <w:t>DateTime</w:t>
            </w:r>
          </w:p>
        </w:tc>
        <w:tc>
          <w:tcPr>
            <w:tcW w:w="286" w:type="dxa"/>
            <w:gridSpan w:val="2"/>
            <w:tcBorders>
              <w:top w:val="single" w:sz="6" w:space="0" w:color="auto"/>
              <w:left w:val="single" w:sz="6" w:space="0" w:color="auto"/>
              <w:bottom w:val="single" w:sz="6" w:space="0" w:color="auto"/>
              <w:right w:val="single" w:sz="6" w:space="0" w:color="auto"/>
            </w:tcBorders>
          </w:tcPr>
          <w:p w14:paraId="099D5F2F"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5594F42"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7E429839" w14:textId="77777777" w:rsidR="00AD5F95" w:rsidRDefault="00AD5F95" w:rsidP="009E7F73">
            <w:pPr>
              <w:pStyle w:val="TAL"/>
            </w:pPr>
            <w:r>
              <w:t>It defines the timestamp of analytics generation. (NOTE 3)</w:t>
            </w:r>
          </w:p>
        </w:tc>
        <w:tc>
          <w:tcPr>
            <w:tcW w:w="1248" w:type="dxa"/>
            <w:gridSpan w:val="2"/>
            <w:tcBorders>
              <w:top w:val="single" w:sz="6" w:space="0" w:color="auto"/>
              <w:left w:val="single" w:sz="6" w:space="0" w:color="auto"/>
              <w:bottom w:val="single" w:sz="6" w:space="0" w:color="auto"/>
              <w:right w:val="single" w:sz="6" w:space="0" w:color="auto"/>
            </w:tcBorders>
          </w:tcPr>
          <w:p w14:paraId="5BD6CFA5" w14:textId="77777777" w:rsidR="00AD5F95" w:rsidRDefault="00AD5F95" w:rsidP="009E7F73">
            <w:pPr>
              <w:pStyle w:val="TAL"/>
            </w:pPr>
          </w:p>
        </w:tc>
      </w:tr>
      <w:tr w:rsidR="00991119" w14:paraId="57513783"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32F5CC1A" w14:textId="77777777" w:rsidR="00991119" w:rsidRDefault="00991119" w:rsidP="00991119">
            <w:pPr>
              <w:pStyle w:val="TAL"/>
            </w:pPr>
            <w:r>
              <w:t>anaMetaInfo</w:t>
            </w:r>
          </w:p>
        </w:tc>
        <w:tc>
          <w:tcPr>
            <w:tcW w:w="2439" w:type="dxa"/>
            <w:gridSpan w:val="2"/>
            <w:tcBorders>
              <w:top w:val="single" w:sz="6" w:space="0" w:color="auto"/>
              <w:left w:val="single" w:sz="6" w:space="0" w:color="auto"/>
              <w:bottom w:val="single" w:sz="6" w:space="0" w:color="auto"/>
              <w:right w:val="single" w:sz="6" w:space="0" w:color="auto"/>
            </w:tcBorders>
          </w:tcPr>
          <w:p w14:paraId="1AA3BE84" w14:textId="77777777" w:rsidR="00991119" w:rsidRDefault="00991119" w:rsidP="00991119">
            <w:pPr>
              <w:pStyle w:val="TAL"/>
            </w:pPr>
            <w:r>
              <w:t>AnalyticsMetadataInfo</w:t>
            </w:r>
          </w:p>
        </w:tc>
        <w:tc>
          <w:tcPr>
            <w:tcW w:w="286" w:type="dxa"/>
            <w:gridSpan w:val="2"/>
            <w:tcBorders>
              <w:top w:val="single" w:sz="6" w:space="0" w:color="auto"/>
              <w:left w:val="single" w:sz="6" w:space="0" w:color="auto"/>
              <w:bottom w:val="single" w:sz="6" w:space="0" w:color="auto"/>
              <w:right w:val="single" w:sz="6" w:space="0" w:color="auto"/>
            </w:tcBorders>
          </w:tcPr>
          <w:p w14:paraId="16D082DB" w14:textId="77777777" w:rsidR="00991119" w:rsidRDefault="00991119" w:rsidP="00991119">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5838C82D" w14:textId="77777777" w:rsidR="00991119" w:rsidRDefault="00991119" w:rsidP="00991119">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15643E2B" w14:textId="77777777" w:rsidR="00991119" w:rsidRDefault="00991119" w:rsidP="00991119">
            <w:pPr>
              <w:pStyle w:val="TAL"/>
            </w:pPr>
            <w:r w:rsidRPr="001464E6">
              <w:t>Contains information about analytics metadata required to aggregate the analytics. It shall be present if the "anaMeta" attribute was included in the request, and contains the information requested by the "anaMeta" attribute. (NOTE </w:t>
            </w:r>
            <w:r w:rsidRPr="000E13B9">
              <w:rPr>
                <w:highlight w:val="yellow"/>
              </w:rPr>
              <w:t>1</w:t>
            </w:r>
            <w:r>
              <w:t>1</w:t>
            </w:r>
            <w:r w:rsidRPr="001464E6">
              <w:t>)</w:t>
            </w:r>
          </w:p>
        </w:tc>
        <w:tc>
          <w:tcPr>
            <w:tcW w:w="1248" w:type="dxa"/>
            <w:gridSpan w:val="2"/>
            <w:tcBorders>
              <w:top w:val="single" w:sz="6" w:space="0" w:color="auto"/>
              <w:left w:val="single" w:sz="6" w:space="0" w:color="auto"/>
              <w:bottom w:val="single" w:sz="6" w:space="0" w:color="auto"/>
              <w:right w:val="single" w:sz="6" w:space="0" w:color="auto"/>
            </w:tcBorders>
          </w:tcPr>
          <w:p w14:paraId="41B1A69A" w14:textId="77777777" w:rsidR="00991119" w:rsidRDefault="00991119" w:rsidP="00991119">
            <w:pPr>
              <w:pStyle w:val="TAL"/>
            </w:pPr>
            <w:r w:rsidRPr="001464E6">
              <w:t>Aggregation</w:t>
            </w:r>
          </w:p>
        </w:tc>
      </w:tr>
      <w:tr w:rsidR="00AD5F95" w14:paraId="509C6F0F"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1CB8710" w14:textId="77777777" w:rsidR="00AD5F95" w:rsidRDefault="00AD5F95" w:rsidP="009E7F73">
            <w:pPr>
              <w:pStyle w:val="TAL"/>
            </w:pPr>
            <w:r>
              <w:t>sliceLoadLevelInfos</w:t>
            </w:r>
          </w:p>
        </w:tc>
        <w:tc>
          <w:tcPr>
            <w:tcW w:w="2439" w:type="dxa"/>
            <w:gridSpan w:val="2"/>
            <w:tcBorders>
              <w:top w:val="single" w:sz="6" w:space="0" w:color="auto"/>
              <w:left w:val="single" w:sz="6" w:space="0" w:color="auto"/>
              <w:bottom w:val="single" w:sz="6" w:space="0" w:color="auto"/>
              <w:right w:val="single" w:sz="6" w:space="0" w:color="auto"/>
            </w:tcBorders>
          </w:tcPr>
          <w:p w14:paraId="58094EEC" w14:textId="77777777" w:rsidR="00AD5F95" w:rsidRDefault="00AD5F95" w:rsidP="009E7F73">
            <w:pPr>
              <w:pStyle w:val="TAL"/>
            </w:pPr>
            <w:r>
              <w:t>array(SliceLoadLevelInformation)</w:t>
            </w:r>
          </w:p>
        </w:tc>
        <w:tc>
          <w:tcPr>
            <w:tcW w:w="286" w:type="dxa"/>
            <w:gridSpan w:val="2"/>
            <w:tcBorders>
              <w:top w:val="single" w:sz="6" w:space="0" w:color="auto"/>
              <w:left w:val="single" w:sz="6" w:space="0" w:color="auto"/>
              <w:bottom w:val="single" w:sz="6" w:space="0" w:color="auto"/>
              <w:right w:val="single" w:sz="6" w:space="0" w:color="auto"/>
            </w:tcBorders>
          </w:tcPr>
          <w:p w14:paraId="782592F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548408C3"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8510491" w14:textId="77777777" w:rsidR="00AD5F95" w:rsidRDefault="00AD5F95" w:rsidP="009E7F73">
            <w:pPr>
              <w:pStyle w:val="TAL"/>
            </w:pPr>
            <w:r>
              <w:t>The slices and the load level information. Shall be present when the requested event is "LOAD_LEVEL_INFORMATION".</w:t>
            </w:r>
          </w:p>
        </w:tc>
        <w:tc>
          <w:tcPr>
            <w:tcW w:w="1248" w:type="dxa"/>
            <w:gridSpan w:val="2"/>
            <w:tcBorders>
              <w:top w:val="single" w:sz="6" w:space="0" w:color="auto"/>
              <w:left w:val="single" w:sz="6" w:space="0" w:color="auto"/>
              <w:bottom w:val="single" w:sz="6" w:space="0" w:color="auto"/>
              <w:right w:val="single" w:sz="6" w:space="0" w:color="auto"/>
            </w:tcBorders>
          </w:tcPr>
          <w:p w14:paraId="072925D1" w14:textId="77777777" w:rsidR="00AD5F95" w:rsidRDefault="00AD5F95" w:rsidP="009E7F73">
            <w:pPr>
              <w:pStyle w:val="TAL"/>
            </w:pPr>
          </w:p>
        </w:tc>
      </w:tr>
      <w:tr w:rsidR="00AD5F95" w14:paraId="47CB02D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1C5D6BC4" w14:textId="77777777" w:rsidR="00AD5F95" w:rsidRDefault="00AD5F95" w:rsidP="009E7F73">
            <w:pPr>
              <w:pStyle w:val="TAL"/>
            </w:pPr>
            <w:r>
              <w:t>nsiLoadLevelInfos</w:t>
            </w:r>
          </w:p>
        </w:tc>
        <w:tc>
          <w:tcPr>
            <w:tcW w:w="2439" w:type="dxa"/>
            <w:gridSpan w:val="2"/>
            <w:tcBorders>
              <w:top w:val="single" w:sz="6" w:space="0" w:color="auto"/>
              <w:left w:val="single" w:sz="6" w:space="0" w:color="auto"/>
              <w:bottom w:val="single" w:sz="6" w:space="0" w:color="auto"/>
              <w:right w:val="single" w:sz="6" w:space="0" w:color="auto"/>
            </w:tcBorders>
          </w:tcPr>
          <w:p w14:paraId="46FC0576" w14:textId="77777777" w:rsidR="00AD5F95" w:rsidRDefault="00AD5F95" w:rsidP="009E7F73">
            <w:pPr>
              <w:pStyle w:val="TAL"/>
            </w:pPr>
            <w:r>
              <w:t>array(NsiLoadLevelInfo)</w:t>
            </w:r>
          </w:p>
        </w:tc>
        <w:tc>
          <w:tcPr>
            <w:tcW w:w="286" w:type="dxa"/>
            <w:gridSpan w:val="2"/>
            <w:tcBorders>
              <w:top w:val="single" w:sz="6" w:space="0" w:color="auto"/>
              <w:left w:val="single" w:sz="6" w:space="0" w:color="auto"/>
              <w:bottom w:val="single" w:sz="6" w:space="0" w:color="auto"/>
              <w:right w:val="single" w:sz="6" w:space="0" w:color="auto"/>
            </w:tcBorders>
          </w:tcPr>
          <w:p w14:paraId="4D6A4FBE"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0281F7A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4F059987" w14:textId="77777777" w:rsidR="00AD5F95" w:rsidRDefault="00AD5F95" w:rsidP="009E7F73">
            <w:pPr>
              <w:pStyle w:val="TAL"/>
            </w:pPr>
            <w:r>
              <w:t>Each element identifies the load level information</w:t>
            </w:r>
            <w:r>
              <w:rPr>
                <w:rFonts w:cs="Arial"/>
                <w:szCs w:val="18"/>
              </w:rPr>
              <w:t xml:space="preserve"> for an S-NSSAI and the optionally associated network slice instance</w:t>
            </w:r>
            <w:r>
              <w:t>.</w:t>
            </w:r>
          </w:p>
          <w:p w14:paraId="24DFB92C" w14:textId="77777777" w:rsidR="00AD5F95" w:rsidRDefault="00AD5F95" w:rsidP="009E7F73">
            <w:pPr>
              <w:pStyle w:val="TAL"/>
            </w:pPr>
            <w:r>
              <w:t>Shall be presented when the requested event is "</w:t>
            </w:r>
            <w:r>
              <w:rPr>
                <w:lang w:eastAsia="zh-CN"/>
              </w:rPr>
              <w:t>NSI_LOAD_LEVEL"</w:t>
            </w:r>
            <w:r>
              <w:t xml:space="preserve"> </w:t>
            </w:r>
          </w:p>
        </w:tc>
        <w:tc>
          <w:tcPr>
            <w:tcW w:w="1248" w:type="dxa"/>
            <w:gridSpan w:val="2"/>
            <w:tcBorders>
              <w:top w:val="single" w:sz="6" w:space="0" w:color="auto"/>
              <w:left w:val="single" w:sz="6" w:space="0" w:color="auto"/>
              <w:bottom w:val="single" w:sz="6" w:space="0" w:color="auto"/>
              <w:right w:val="single" w:sz="6" w:space="0" w:color="auto"/>
            </w:tcBorders>
          </w:tcPr>
          <w:p w14:paraId="35CF9165" w14:textId="77777777" w:rsidR="00AD5F95" w:rsidRDefault="00AD5F95" w:rsidP="009E7F73">
            <w:pPr>
              <w:pStyle w:val="TAL"/>
              <w:rPr>
                <w:lang w:eastAsia="zh-CN"/>
              </w:rPr>
            </w:pPr>
            <w:r>
              <w:rPr>
                <w:lang w:eastAsia="zh-CN"/>
              </w:rPr>
              <w:t>NsiLoad</w:t>
            </w:r>
            <w:r>
              <w:t xml:space="preserve"> </w:t>
            </w:r>
          </w:p>
          <w:p w14:paraId="7709A34F" w14:textId="77777777" w:rsidR="00AD5F95" w:rsidRDefault="00AD5F95" w:rsidP="009E7F73">
            <w:pPr>
              <w:pStyle w:val="TAL"/>
            </w:pPr>
          </w:p>
        </w:tc>
      </w:tr>
      <w:tr w:rsidR="00AD5F95" w14:paraId="5A69A76F"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237BBCE" w14:textId="77777777" w:rsidR="00AD5F95" w:rsidRDefault="00AD5F95" w:rsidP="009E7F73">
            <w:pPr>
              <w:pStyle w:val="TAL"/>
            </w:pPr>
            <w:r>
              <w:t>nwPerfs</w:t>
            </w:r>
          </w:p>
        </w:tc>
        <w:tc>
          <w:tcPr>
            <w:tcW w:w="2439" w:type="dxa"/>
            <w:gridSpan w:val="2"/>
            <w:tcBorders>
              <w:top w:val="single" w:sz="6" w:space="0" w:color="auto"/>
              <w:left w:val="single" w:sz="6" w:space="0" w:color="auto"/>
              <w:bottom w:val="single" w:sz="6" w:space="0" w:color="auto"/>
              <w:right w:val="single" w:sz="6" w:space="0" w:color="auto"/>
            </w:tcBorders>
          </w:tcPr>
          <w:p w14:paraId="3F2CAA4C" w14:textId="77777777" w:rsidR="00AD5F95" w:rsidRDefault="00AD5F95" w:rsidP="009E7F73">
            <w:pPr>
              <w:pStyle w:val="TAL"/>
            </w:pPr>
            <w:r>
              <w:t>array(NetworkPerfInfo)</w:t>
            </w:r>
          </w:p>
        </w:tc>
        <w:tc>
          <w:tcPr>
            <w:tcW w:w="286" w:type="dxa"/>
            <w:gridSpan w:val="2"/>
            <w:tcBorders>
              <w:top w:val="single" w:sz="6" w:space="0" w:color="auto"/>
              <w:left w:val="single" w:sz="6" w:space="0" w:color="auto"/>
              <w:bottom w:val="single" w:sz="6" w:space="0" w:color="auto"/>
              <w:right w:val="single" w:sz="6" w:space="0" w:color="auto"/>
            </w:tcBorders>
          </w:tcPr>
          <w:p w14:paraId="2F8E04FF"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66266E0"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3811A114" w14:textId="77777777" w:rsidR="00AD5F95" w:rsidRDefault="00AD5F95" w:rsidP="009E7F73">
            <w:pPr>
              <w:pStyle w:val="TAL"/>
            </w:pPr>
            <w:r>
              <w:t>The network performance information.</w:t>
            </w:r>
          </w:p>
          <w:p w14:paraId="175D3FEE" w14:textId="77777777" w:rsidR="00AD5F95" w:rsidRDefault="00AD5F95" w:rsidP="009E7F73">
            <w:pPr>
              <w:pStyle w:val="TAL"/>
            </w:pPr>
            <w:r>
              <w:t>Shall be present when the requested event is "NETWORK_PERFORMANCE".</w:t>
            </w:r>
          </w:p>
        </w:tc>
        <w:tc>
          <w:tcPr>
            <w:tcW w:w="1248" w:type="dxa"/>
            <w:gridSpan w:val="2"/>
            <w:tcBorders>
              <w:top w:val="single" w:sz="6" w:space="0" w:color="auto"/>
              <w:left w:val="single" w:sz="6" w:space="0" w:color="auto"/>
              <w:bottom w:val="single" w:sz="6" w:space="0" w:color="auto"/>
              <w:right w:val="single" w:sz="6" w:space="0" w:color="auto"/>
            </w:tcBorders>
          </w:tcPr>
          <w:p w14:paraId="6F6A41C2" w14:textId="77777777" w:rsidR="00AD5F95" w:rsidRDefault="00AD5F95" w:rsidP="009E7F73">
            <w:pPr>
              <w:pStyle w:val="TAL"/>
            </w:pPr>
            <w:r>
              <w:t>NetworkPerformance</w:t>
            </w:r>
          </w:p>
        </w:tc>
      </w:tr>
      <w:tr w:rsidR="00AD5F95" w14:paraId="7600D762"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2494630" w14:textId="77777777" w:rsidR="00AD5F95" w:rsidRDefault="00AD5F95" w:rsidP="009E7F73">
            <w:pPr>
              <w:pStyle w:val="TAL"/>
            </w:pPr>
            <w:r>
              <w:t>nfLoadLevelInfos</w:t>
            </w:r>
          </w:p>
        </w:tc>
        <w:tc>
          <w:tcPr>
            <w:tcW w:w="2439" w:type="dxa"/>
            <w:gridSpan w:val="2"/>
            <w:tcBorders>
              <w:top w:val="single" w:sz="6" w:space="0" w:color="auto"/>
              <w:left w:val="single" w:sz="6" w:space="0" w:color="auto"/>
              <w:bottom w:val="single" w:sz="6" w:space="0" w:color="auto"/>
              <w:right w:val="single" w:sz="6" w:space="0" w:color="auto"/>
            </w:tcBorders>
          </w:tcPr>
          <w:p w14:paraId="70165263" w14:textId="77777777" w:rsidR="00AD5F95" w:rsidRDefault="00AD5F95" w:rsidP="009E7F73">
            <w:pPr>
              <w:pStyle w:val="TAL"/>
            </w:pPr>
            <w:r>
              <w:t>array(NfLoadLevelInformation)</w:t>
            </w:r>
          </w:p>
        </w:tc>
        <w:tc>
          <w:tcPr>
            <w:tcW w:w="286" w:type="dxa"/>
            <w:gridSpan w:val="2"/>
            <w:tcBorders>
              <w:top w:val="single" w:sz="6" w:space="0" w:color="auto"/>
              <w:left w:val="single" w:sz="6" w:space="0" w:color="auto"/>
              <w:bottom w:val="single" w:sz="6" w:space="0" w:color="auto"/>
              <w:right w:val="single" w:sz="6" w:space="0" w:color="auto"/>
            </w:tcBorders>
          </w:tcPr>
          <w:p w14:paraId="23638D96"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D3B837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F2E58A0" w14:textId="77777777" w:rsidR="00AD5F95" w:rsidRDefault="00AD5F95" w:rsidP="009E7F73">
            <w:pPr>
              <w:pStyle w:val="TAL"/>
            </w:pPr>
            <w:r>
              <w:t>The NF load information.</w:t>
            </w:r>
          </w:p>
          <w:p w14:paraId="200AAC0C" w14:textId="77777777" w:rsidR="00AD5F95" w:rsidRDefault="00AD5F95" w:rsidP="009E7F73">
            <w:pPr>
              <w:pStyle w:val="TAL"/>
            </w:pPr>
            <w:r>
              <w:t>When the requested event is "NF_LOAD", the nfLoadLevelInfos shall be included.</w:t>
            </w:r>
          </w:p>
        </w:tc>
        <w:tc>
          <w:tcPr>
            <w:tcW w:w="1248" w:type="dxa"/>
            <w:gridSpan w:val="2"/>
            <w:tcBorders>
              <w:top w:val="single" w:sz="6" w:space="0" w:color="auto"/>
              <w:left w:val="single" w:sz="6" w:space="0" w:color="auto"/>
              <w:bottom w:val="single" w:sz="6" w:space="0" w:color="auto"/>
              <w:right w:val="single" w:sz="6" w:space="0" w:color="auto"/>
            </w:tcBorders>
          </w:tcPr>
          <w:p w14:paraId="54770B7F" w14:textId="77777777" w:rsidR="00AD5F95" w:rsidRDefault="00AD5F95" w:rsidP="009E7F73">
            <w:pPr>
              <w:pStyle w:val="TAL"/>
            </w:pPr>
            <w:r>
              <w:t>NfLoad</w:t>
            </w:r>
          </w:p>
        </w:tc>
      </w:tr>
      <w:tr w:rsidR="00AD5F95" w14:paraId="78DE25A1"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1953B90C" w14:textId="77777777" w:rsidR="00AD5F95" w:rsidRDefault="00AD5F95" w:rsidP="009E7F73">
            <w:pPr>
              <w:pStyle w:val="TAL"/>
            </w:pPr>
            <w:r>
              <w:t>qosSustainInfos</w:t>
            </w:r>
          </w:p>
        </w:tc>
        <w:tc>
          <w:tcPr>
            <w:tcW w:w="2439" w:type="dxa"/>
            <w:gridSpan w:val="2"/>
            <w:tcBorders>
              <w:top w:val="single" w:sz="6" w:space="0" w:color="auto"/>
              <w:left w:val="single" w:sz="6" w:space="0" w:color="auto"/>
              <w:bottom w:val="single" w:sz="6" w:space="0" w:color="auto"/>
              <w:right w:val="single" w:sz="6" w:space="0" w:color="auto"/>
            </w:tcBorders>
          </w:tcPr>
          <w:p w14:paraId="3BEED14F" w14:textId="77777777" w:rsidR="00AD5F95" w:rsidRDefault="00AD5F95" w:rsidP="009E7F73">
            <w:pPr>
              <w:pStyle w:val="TAL"/>
            </w:pPr>
            <w:r>
              <w:t>array(QosSustainabilityInfo)</w:t>
            </w:r>
          </w:p>
        </w:tc>
        <w:tc>
          <w:tcPr>
            <w:tcW w:w="286" w:type="dxa"/>
            <w:gridSpan w:val="2"/>
            <w:tcBorders>
              <w:top w:val="single" w:sz="6" w:space="0" w:color="auto"/>
              <w:left w:val="single" w:sz="6" w:space="0" w:color="auto"/>
              <w:bottom w:val="single" w:sz="6" w:space="0" w:color="auto"/>
              <w:right w:val="single" w:sz="6" w:space="0" w:color="auto"/>
            </w:tcBorders>
          </w:tcPr>
          <w:p w14:paraId="53E09645"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69F1B559"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78C700D4" w14:textId="77777777" w:rsidR="00AD5F95" w:rsidRDefault="00AD5F95" w:rsidP="009E7F73">
            <w:pPr>
              <w:pStyle w:val="TAL"/>
            </w:pPr>
            <w:r>
              <w:t xml:space="preserve">The QoS sustainability informations in the certain geographic areas. </w:t>
            </w:r>
          </w:p>
          <w:p w14:paraId="0577BBA2" w14:textId="77777777" w:rsidR="00AD5F95" w:rsidRDefault="00AD5F95" w:rsidP="009E7F73">
            <w:pPr>
              <w:pStyle w:val="TAL"/>
            </w:pPr>
            <w:r>
              <w:t>It shall be present if the requested event is "QOS_SUSTAINABILITY".</w:t>
            </w:r>
          </w:p>
          <w:p w14:paraId="5D65D7A5" w14:textId="77777777" w:rsidR="00AD5F95" w:rsidRDefault="00AD5F95" w:rsidP="009E7F73">
            <w:pPr>
              <w:pStyle w:val="TAL"/>
            </w:pPr>
            <w:r>
              <w:t>(NOTE 2)</w:t>
            </w:r>
          </w:p>
        </w:tc>
        <w:tc>
          <w:tcPr>
            <w:tcW w:w="1248" w:type="dxa"/>
            <w:gridSpan w:val="2"/>
            <w:tcBorders>
              <w:top w:val="single" w:sz="6" w:space="0" w:color="auto"/>
              <w:left w:val="single" w:sz="6" w:space="0" w:color="auto"/>
              <w:bottom w:val="single" w:sz="6" w:space="0" w:color="auto"/>
              <w:right w:val="single" w:sz="6" w:space="0" w:color="auto"/>
            </w:tcBorders>
          </w:tcPr>
          <w:p w14:paraId="270EABB6" w14:textId="77777777" w:rsidR="00AD5F95" w:rsidRDefault="00AD5F95" w:rsidP="009E7F73">
            <w:pPr>
              <w:pStyle w:val="TAL"/>
            </w:pPr>
            <w:r>
              <w:t>QoSSustainability</w:t>
            </w:r>
          </w:p>
        </w:tc>
      </w:tr>
      <w:tr w:rsidR="00AD5F95" w14:paraId="0C9294AF"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7D567A62" w14:textId="77777777" w:rsidR="00AD5F95" w:rsidRDefault="00AD5F95" w:rsidP="009E7F73">
            <w:pPr>
              <w:pStyle w:val="TAL"/>
            </w:pPr>
            <w:r>
              <w:t>ueMobs</w:t>
            </w:r>
          </w:p>
        </w:tc>
        <w:tc>
          <w:tcPr>
            <w:tcW w:w="2439" w:type="dxa"/>
            <w:gridSpan w:val="2"/>
            <w:tcBorders>
              <w:top w:val="single" w:sz="6" w:space="0" w:color="auto"/>
              <w:left w:val="single" w:sz="6" w:space="0" w:color="auto"/>
              <w:bottom w:val="single" w:sz="6" w:space="0" w:color="auto"/>
              <w:right w:val="single" w:sz="6" w:space="0" w:color="auto"/>
            </w:tcBorders>
          </w:tcPr>
          <w:p w14:paraId="79A20D31" w14:textId="77777777" w:rsidR="00AD5F95" w:rsidRDefault="00AD5F95" w:rsidP="009E7F73">
            <w:pPr>
              <w:pStyle w:val="TAL"/>
            </w:pPr>
            <w:r>
              <w:t>array(UeMobility)</w:t>
            </w:r>
          </w:p>
        </w:tc>
        <w:tc>
          <w:tcPr>
            <w:tcW w:w="286" w:type="dxa"/>
            <w:gridSpan w:val="2"/>
            <w:tcBorders>
              <w:top w:val="single" w:sz="6" w:space="0" w:color="auto"/>
              <w:left w:val="single" w:sz="6" w:space="0" w:color="auto"/>
              <w:bottom w:val="single" w:sz="6" w:space="0" w:color="auto"/>
              <w:right w:val="single" w:sz="6" w:space="0" w:color="auto"/>
            </w:tcBorders>
          </w:tcPr>
          <w:p w14:paraId="58E0F9ED"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9E0CCF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50231D34" w14:textId="77777777" w:rsidR="00AD5F95" w:rsidRDefault="00AD5F95" w:rsidP="009E7F73">
            <w:pPr>
              <w:pStyle w:val="TAL"/>
            </w:pPr>
            <w:r>
              <w:t>The UE mobility information.</w:t>
            </w:r>
          </w:p>
          <w:p w14:paraId="6E24440E" w14:textId="77777777" w:rsidR="00AD5F95" w:rsidRDefault="00AD5F95" w:rsidP="009E7F73">
            <w:pPr>
              <w:pStyle w:val="TAL"/>
            </w:pPr>
            <w:r>
              <w:t>When the requested event is "UE_MOBILITY", the "ueMobs" attribute shall be included.</w:t>
            </w:r>
          </w:p>
          <w:p w14:paraId="0053CA12" w14:textId="77777777" w:rsidR="00AD5F95" w:rsidRDefault="00AD5F95" w:rsidP="009E7F73">
            <w:pPr>
              <w:pStyle w:val="TAL"/>
            </w:pPr>
            <w:r>
              <w:t>(NOTE 5) (NOTE 8)</w:t>
            </w:r>
          </w:p>
        </w:tc>
        <w:tc>
          <w:tcPr>
            <w:tcW w:w="1248" w:type="dxa"/>
            <w:gridSpan w:val="2"/>
            <w:tcBorders>
              <w:top w:val="single" w:sz="6" w:space="0" w:color="auto"/>
              <w:left w:val="single" w:sz="6" w:space="0" w:color="auto"/>
              <w:bottom w:val="single" w:sz="6" w:space="0" w:color="auto"/>
              <w:right w:val="single" w:sz="6" w:space="0" w:color="auto"/>
            </w:tcBorders>
          </w:tcPr>
          <w:p w14:paraId="297BC71E" w14:textId="77777777" w:rsidR="00AD5F95" w:rsidRDefault="00AD5F95" w:rsidP="009E7F73">
            <w:pPr>
              <w:pStyle w:val="TAL"/>
            </w:pPr>
            <w:r>
              <w:t>UeMobility</w:t>
            </w:r>
          </w:p>
        </w:tc>
      </w:tr>
      <w:tr w:rsidR="00AD5F95" w14:paraId="0AF17A2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E5EA3B6" w14:textId="77777777" w:rsidR="00AD5F95" w:rsidRDefault="00AD5F95" w:rsidP="009E7F73">
            <w:pPr>
              <w:pStyle w:val="TAL"/>
            </w:pPr>
            <w:r>
              <w:t>ueComms</w:t>
            </w:r>
          </w:p>
        </w:tc>
        <w:tc>
          <w:tcPr>
            <w:tcW w:w="2439" w:type="dxa"/>
            <w:gridSpan w:val="2"/>
            <w:tcBorders>
              <w:top w:val="single" w:sz="6" w:space="0" w:color="auto"/>
              <w:left w:val="single" w:sz="6" w:space="0" w:color="auto"/>
              <w:bottom w:val="single" w:sz="6" w:space="0" w:color="auto"/>
              <w:right w:val="single" w:sz="6" w:space="0" w:color="auto"/>
            </w:tcBorders>
          </w:tcPr>
          <w:p w14:paraId="3FBB686A" w14:textId="77777777" w:rsidR="00AD5F95" w:rsidRDefault="00AD5F95" w:rsidP="009E7F73">
            <w:pPr>
              <w:pStyle w:val="TAL"/>
            </w:pPr>
            <w:r>
              <w:t>array(UeCommunication)</w:t>
            </w:r>
          </w:p>
        </w:tc>
        <w:tc>
          <w:tcPr>
            <w:tcW w:w="286" w:type="dxa"/>
            <w:gridSpan w:val="2"/>
            <w:tcBorders>
              <w:top w:val="single" w:sz="6" w:space="0" w:color="auto"/>
              <w:left w:val="single" w:sz="6" w:space="0" w:color="auto"/>
              <w:bottom w:val="single" w:sz="6" w:space="0" w:color="auto"/>
              <w:right w:val="single" w:sz="6" w:space="0" w:color="auto"/>
            </w:tcBorders>
          </w:tcPr>
          <w:p w14:paraId="13A1888C"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70014C3"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192955A2" w14:textId="77777777" w:rsidR="00AD5F95" w:rsidRDefault="00AD5F95" w:rsidP="009E7F73">
            <w:pPr>
              <w:pStyle w:val="TAL"/>
            </w:pPr>
            <w:r>
              <w:t>The UE communication information.</w:t>
            </w:r>
          </w:p>
          <w:p w14:paraId="61C6E4B1" w14:textId="77777777" w:rsidR="00AD5F95" w:rsidRDefault="00AD5F95" w:rsidP="009E7F73">
            <w:pPr>
              <w:pStyle w:val="TAL"/>
            </w:pPr>
            <w:r>
              <w:t>When the requested event is "UE_COMM", the "ueComms" attribute shall be included. (NOTE 9)</w:t>
            </w:r>
          </w:p>
        </w:tc>
        <w:tc>
          <w:tcPr>
            <w:tcW w:w="1248" w:type="dxa"/>
            <w:gridSpan w:val="2"/>
            <w:tcBorders>
              <w:top w:val="single" w:sz="6" w:space="0" w:color="auto"/>
              <w:left w:val="single" w:sz="6" w:space="0" w:color="auto"/>
              <w:bottom w:val="single" w:sz="6" w:space="0" w:color="auto"/>
              <w:right w:val="single" w:sz="6" w:space="0" w:color="auto"/>
            </w:tcBorders>
          </w:tcPr>
          <w:p w14:paraId="26404706" w14:textId="77777777" w:rsidR="00AD5F95" w:rsidRDefault="00AD5F95" w:rsidP="009E7F73">
            <w:pPr>
              <w:pStyle w:val="TAL"/>
            </w:pPr>
            <w:r>
              <w:t>UeCommunication</w:t>
            </w:r>
          </w:p>
        </w:tc>
      </w:tr>
      <w:tr w:rsidR="00AD5F95" w14:paraId="23567D9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CE84D96" w14:textId="77777777" w:rsidR="00AD5F95" w:rsidRDefault="00AD5F95" w:rsidP="009E7F73">
            <w:pPr>
              <w:pStyle w:val="TAL"/>
            </w:pPr>
            <w:r>
              <w:t>userDataCongInfos</w:t>
            </w:r>
          </w:p>
        </w:tc>
        <w:tc>
          <w:tcPr>
            <w:tcW w:w="2439" w:type="dxa"/>
            <w:gridSpan w:val="2"/>
            <w:tcBorders>
              <w:top w:val="single" w:sz="6" w:space="0" w:color="auto"/>
              <w:left w:val="single" w:sz="6" w:space="0" w:color="auto"/>
              <w:bottom w:val="single" w:sz="6" w:space="0" w:color="auto"/>
              <w:right w:val="single" w:sz="6" w:space="0" w:color="auto"/>
            </w:tcBorders>
          </w:tcPr>
          <w:p w14:paraId="26F55367" w14:textId="77777777" w:rsidR="00AD5F95" w:rsidRDefault="00AD5F95" w:rsidP="009E7F73">
            <w:pPr>
              <w:pStyle w:val="TAL"/>
            </w:pPr>
            <w:r>
              <w:t>array(UserDataCongestionInfo)</w:t>
            </w:r>
          </w:p>
        </w:tc>
        <w:tc>
          <w:tcPr>
            <w:tcW w:w="286" w:type="dxa"/>
            <w:gridSpan w:val="2"/>
            <w:tcBorders>
              <w:top w:val="single" w:sz="6" w:space="0" w:color="auto"/>
              <w:left w:val="single" w:sz="6" w:space="0" w:color="auto"/>
              <w:bottom w:val="single" w:sz="6" w:space="0" w:color="auto"/>
              <w:right w:val="single" w:sz="6" w:space="0" w:color="auto"/>
            </w:tcBorders>
          </w:tcPr>
          <w:p w14:paraId="2C8D5D14"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63886C1"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019686B0" w14:textId="77777777" w:rsidR="00AD5F95" w:rsidRDefault="00AD5F95" w:rsidP="009E7F73">
            <w:pPr>
              <w:pStyle w:val="TAL"/>
            </w:pPr>
            <w:r>
              <w:t>The user data congestion information.</w:t>
            </w:r>
          </w:p>
          <w:p w14:paraId="06B9C8FC" w14:textId="77777777" w:rsidR="00AD5F95" w:rsidRDefault="00AD5F95" w:rsidP="009E7F73">
            <w:pPr>
              <w:pStyle w:val="TAL"/>
            </w:pPr>
            <w:r>
              <w:t>Shall be present when the requested event is "USER_DATA_CONGESTION".</w:t>
            </w:r>
          </w:p>
        </w:tc>
        <w:tc>
          <w:tcPr>
            <w:tcW w:w="1248" w:type="dxa"/>
            <w:gridSpan w:val="2"/>
            <w:tcBorders>
              <w:top w:val="single" w:sz="6" w:space="0" w:color="auto"/>
              <w:left w:val="single" w:sz="6" w:space="0" w:color="auto"/>
              <w:bottom w:val="single" w:sz="6" w:space="0" w:color="auto"/>
              <w:right w:val="single" w:sz="6" w:space="0" w:color="auto"/>
            </w:tcBorders>
          </w:tcPr>
          <w:p w14:paraId="2060241F" w14:textId="77777777" w:rsidR="00AD5F95" w:rsidRDefault="00AD5F95" w:rsidP="009E7F73">
            <w:pPr>
              <w:pStyle w:val="TAL"/>
            </w:pPr>
            <w:r>
              <w:t>UserDataCongestion</w:t>
            </w:r>
          </w:p>
        </w:tc>
      </w:tr>
      <w:tr w:rsidR="00AD5F95" w14:paraId="7D1E0372"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481BB34C" w14:textId="77777777" w:rsidR="00AD5F95" w:rsidRDefault="00AD5F95" w:rsidP="009E7F73">
            <w:pPr>
              <w:pStyle w:val="TAL"/>
            </w:pPr>
            <w:r>
              <w:lastRenderedPageBreak/>
              <w:t>suppFeat</w:t>
            </w:r>
          </w:p>
        </w:tc>
        <w:tc>
          <w:tcPr>
            <w:tcW w:w="2439" w:type="dxa"/>
            <w:gridSpan w:val="2"/>
            <w:tcBorders>
              <w:top w:val="single" w:sz="6" w:space="0" w:color="auto"/>
              <w:left w:val="single" w:sz="6" w:space="0" w:color="auto"/>
              <w:bottom w:val="single" w:sz="6" w:space="0" w:color="auto"/>
              <w:right w:val="single" w:sz="6" w:space="0" w:color="auto"/>
            </w:tcBorders>
          </w:tcPr>
          <w:p w14:paraId="69BA52B8" w14:textId="77777777" w:rsidR="00AD5F95" w:rsidRDefault="00AD5F95" w:rsidP="009E7F73">
            <w:pPr>
              <w:pStyle w:val="TAL"/>
            </w:pPr>
            <w:r>
              <w:t>SupportedFeatures</w:t>
            </w:r>
          </w:p>
        </w:tc>
        <w:tc>
          <w:tcPr>
            <w:tcW w:w="286" w:type="dxa"/>
            <w:gridSpan w:val="2"/>
            <w:tcBorders>
              <w:top w:val="single" w:sz="6" w:space="0" w:color="auto"/>
              <w:left w:val="single" w:sz="6" w:space="0" w:color="auto"/>
              <w:bottom w:val="single" w:sz="6" w:space="0" w:color="auto"/>
              <w:right w:val="single" w:sz="6" w:space="0" w:color="auto"/>
            </w:tcBorders>
          </w:tcPr>
          <w:p w14:paraId="2C0458C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DCE8E67"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3839E387" w14:textId="77777777" w:rsidR="00AD5F95" w:rsidRDefault="00AD5F95" w:rsidP="009E7F73">
            <w:pPr>
              <w:pStyle w:val="TAL"/>
            </w:pPr>
            <w:r>
              <w:t>List of Supported features used as described in clause 5.2.8.</w:t>
            </w:r>
          </w:p>
          <w:p w14:paraId="1FDA9147" w14:textId="77777777" w:rsidR="00AD5F95" w:rsidRDefault="00AD5F95" w:rsidP="009E7F73">
            <w:pPr>
              <w:pStyle w:val="TAL"/>
            </w:pPr>
            <w:r>
              <w:t>This parameter shall be supplied by NWDAF in the reply of GET request that request the analytics resource, if the consumer includes "supported-features" in the GET request.</w:t>
            </w:r>
          </w:p>
        </w:tc>
        <w:tc>
          <w:tcPr>
            <w:tcW w:w="1248" w:type="dxa"/>
            <w:gridSpan w:val="2"/>
            <w:tcBorders>
              <w:top w:val="single" w:sz="6" w:space="0" w:color="auto"/>
              <w:left w:val="single" w:sz="6" w:space="0" w:color="auto"/>
              <w:bottom w:val="single" w:sz="6" w:space="0" w:color="auto"/>
              <w:right w:val="single" w:sz="6" w:space="0" w:color="auto"/>
            </w:tcBorders>
          </w:tcPr>
          <w:p w14:paraId="1F042577" w14:textId="77777777" w:rsidR="00AD5F95" w:rsidRDefault="00AD5F95" w:rsidP="009E7F73">
            <w:pPr>
              <w:pStyle w:val="TAL"/>
            </w:pPr>
          </w:p>
        </w:tc>
      </w:tr>
      <w:tr w:rsidR="00AD5F95" w14:paraId="02AF38F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0377159E" w14:textId="77777777" w:rsidR="00AD5F95" w:rsidRDefault="00AD5F95" w:rsidP="009E7F73">
            <w:pPr>
              <w:pStyle w:val="TAL"/>
            </w:pPr>
            <w:r>
              <w:t>svcExps</w:t>
            </w:r>
          </w:p>
        </w:tc>
        <w:tc>
          <w:tcPr>
            <w:tcW w:w="2439" w:type="dxa"/>
            <w:gridSpan w:val="2"/>
            <w:tcBorders>
              <w:top w:val="single" w:sz="6" w:space="0" w:color="auto"/>
              <w:left w:val="single" w:sz="6" w:space="0" w:color="auto"/>
              <w:bottom w:val="single" w:sz="6" w:space="0" w:color="auto"/>
              <w:right w:val="single" w:sz="6" w:space="0" w:color="auto"/>
            </w:tcBorders>
          </w:tcPr>
          <w:p w14:paraId="0A8502C7" w14:textId="77777777" w:rsidR="00AD5F95" w:rsidRDefault="00AD5F95" w:rsidP="009E7F73">
            <w:pPr>
              <w:pStyle w:val="TAL"/>
            </w:pPr>
            <w:r>
              <w:t>array(ServiceExperienceInfo)</w:t>
            </w:r>
          </w:p>
        </w:tc>
        <w:tc>
          <w:tcPr>
            <w:tcW w:w="286" w:type="dxa"/>
            <w:gridSpan w:val="2"/>
            <w:tcBorders>
              <w:top w:val="single" w:sz="6" w:space="0" w:color="auto"/>
              <w:left w:val="single" w:sz="6" w:space="0" w:color="auto"/>
              <w:bottom w:val="single" w:sz="6" w:space="0" w:color="auto"/>
              <w:right w:val="single" w:sz="6" w:space="0" w:color="auto"/>
            </w:tcBorders>
          </w:tcPr>
          <w:p w14:paraId="2BC83E7F"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C125C70"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7710769" w14:textId="77777777" w:rsidR="00AD5F95" w:rsidRDefault="00AD5F95" w:rsidP="009E7F73">
            <w:pPr>
              <w:pStyle w:val="TAL"/>
            </w:pPr>
            <w:r>
              <w:t xml:space="preserve">The service experience information. </w:t>
            </w:r>
          </w:p>
          <w:p w14:paraId="36360F00" w14:textId="77777777" w:rsidR="00AD5F95" w:rsidRDefault="00AD5F95" w:rsidP="009E7F73">
            <w:pPr>
              <w:pStyle w:val="TAL"/>
            </w:pPr>
            <w:r>
              <w:t>Shall be present when the requested event is "</w:t>
            </w:r>
            <w:r>
              <w:rPr>
                <w:lang w:eastAsia="zh-CN"/>
              </w:rPr>
              <w:t>SERVICE_EXPERIENCE</w:t>
            </w:r>
            <w:r>
              <w:t>".</w:t>
            </w:r>
          </w:p>
        </w:tc>
        <w:tc>
          <w:tcPr>
            <w:tcW w:w="1248" w:type="dxa"/>
            <w:gridSpan w:val="2"/>
            <w:tcBorders>
              <w:top w:val="single" w:sz="6" w:space="0" w:color="auto"/>
              <w:left w:val="single" w:sz="6" w:space="0" w:color="auto"/>
              <w:bottom w:val="single" w:sz="6" w:space="0" w:color="auto"/>
              <w:right w:val="single" w:sz="6" w:space="0" w:color="auto"/>
            </w:tcBorders>
          </w:tcPr>
          <w:p w14:paraId="52EA5442" w14:textId="77777777" w:rsidR="00AD5F95" w:rsidRDefault="00AD5F95" w:rsidP="009E7F73">
            <w:pPr>
              <w:pStyle w:val="TAL"/>
            </w:pPr>
            <w:r>
              <w:t>ServiceExperience</w:t>
            </w:r>
          </w:p>
        </w:tc>
      </w:tr>
      <w:tr w:rsidR="00AD5F95" w14:paraId="4644D10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17298FDC" w14:textId="77777777" w:rsidR="00AD5F95" w:rsidRDefault="00AD5F95" w:rsidP="009E7F73">
            <w:pPr>
              <w:pStyle w:val="TAL"/>
            </w:pPr>
            <w:r>
              <w:t>abnorBehavrs</w:t>
            </w:r>
          </w:p>
        </w:tc>
        <w:tc>
          <w:tcPr>
            <w:tcW w:w="2439" w:type="dxa"/>
            <w:gridSpan w:val="2"/>
            <w:tcBorders>
              <w:top w:val="single" w:sz="6" w:space="0" w:color="auto"/>
              <w:left w:val="single" w:sz="6" w:space="0" w:color="auto"/>
              <w:bottom w:val="single" w:sz="6" w:space="0" w:color="auto"/>
              <w:right w:val="single" w:sz="6" w:space="0" w:color="auto"/>
            </w:tcBorders>
          </w:tcPr>
          <w:p w14:paraId="3080B7E0" w14:textId="77777777" w:rsidR="00AD5F95" w:rsidRDefault="00AD5F95" w:rsidP="009E7F73">
            <w:pPr>
              <w:pStyle w:val="TAL"/>
            </w:pPr>
            <w:r>
              <w:t>array(AbnormalBehaviour)</w:t>
            </w:r>
          </w:p>
        </w:tc>
        <w:tc>
          <w:tcPr>
            <w:tcW w:w="286" w:type="dxa"/>
            <w:gridSpan w:val="2"/>
            <w:tcBorders>
              <w:top w:val="single" w:sz="6" w:space="0" w:color="auto"/>
              <w:left w:val="single" w:sz="6" w:space="0" w:color="auto"/>
              <w:bottom w:val="single" w:sz="6" w:space="0" w:color="auto"/>
              <w:right w:val="single" w:sz="6" w:space="0" w:color="auto"/>
            </w:tcBorders>
          </w:tcPr>
          <w:p w14:paraId="551AEBC2"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04D35416"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3A4D84F8" w14:textId="77777777" w:rsidR="00AD5F95" w:rsidRDefault="00AD5F95" w:rsidP="009E7F73">
            <w:pPr>
              <w:pStyle w:val="TAL"/>
            </w:pPr>
            <w:r>
              <w:t xml:space="preserve">The abnormal behaviour information. </w:t>
            </w:r>
          </w:p>
          <w:p w14:paraId="4AF2E1AE" w14:textId="77777777" w:rsidR="00AD5F95" w:rsidRDefault="00AD5F95" w:rsidP="009E7F73">
            <w:pPr>
              <w:pStyle w:val="TAL"/>
            </w:pPr>
            <w:r>
              <w:t>Shall be present when the requested event is "ABNORMAL_BEHAVIOUR".</w:t>
            </w:r>
          </w:p>
        </w:tc>
        <w:tc>
          <w:tcPr>
            <w:tcW w:w="1248" w:type="dxa"/>
            <w:gridSpan w:val="2"/>
            <w:tcBorders>
              <w:top w:val="single" w:sz="6" w:space="0" w:color="auto"/>
              <w:left w:val="single" w:sz="6" w:space="0" w:color="auto"/>
              <w:bottom w:val="single" w:sz="6" w:space="0" w:color="auto"/>
              <w:right w:val="single" w:sz="6" w:space="0" w:color="auto"/>
            </w:tcBorders>
          </w:tcPr>
          <w:p w14:paraId="62C8A3E7" w14:textId="77777777" w:rsidR="00AD5F95" w:rsidRDefault="00AD5F95" w:rsidP="009E7F73">
            <w:pPr>
              <w:pStyle w:val="TAL"/>
            </w:pPr>
            <w:r>
              <w:t>AbnormalBehaviour</w:t>
            </w:r>
          </w:p>
        </w:tc>
      </w:tr>
      <w:tr w:rsidR="00AD5F95" w14:paraId="4FF8961D"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912BF0C" w14:textId="77777777" w:rsidR="00AD5F95" w:rsidRDefault="00AD5F95" w:rsidP="009E7F73">
            <w:pPr>
              <w:pStyle w:val="TAL"/>
            </w:pPr>
            <w:r>
              <w:rPr>
                <w:lang w:eastAsia="ko-KR"/>
              </w:rPr>
              <w:t>smccExps</w:t>
            </w:r>
          </w:p>
        </w:tc>
        <w:tc>
          <w:tcPr>
            <w:tcW w:w="2439" w:type="dxa"/>
            <w:gridSpan w:val="2"/>
            <w:tcBorders>
              <w:top w:val="single" w:sz="6" w:space="0" w:color="auto"/>
              <w:left w:val="single" w:sz="6" w:space="0" w:color="auto"/>
              <w:bottom w:val="single" w:sz="6" w:space="0" w:color="auto"/>
              <w:right w:val="single" w:sz="6" w:space="0" w:color="auto"/>
            </w:tcBorders>
          </w:tcPr>
          <w:p w14:paraId="3F38053A" w14:textId="77777777" w:rsidR="00AD5F95" w:rsidRDefault="00AD5F95" w:rsidP="009E7F73">
            <w:pPr>
              <w:pStyle w:val="TAL"/>
            </w:pPr>
            <w:r>
              <w:t>array(SmcceInfo)</w:t>
            </w:r>
          </w:p>
        </w:tc>
        <w:tc>
          <w:tcPr>
            <w:tcW w:w="286" w:type="dxa"/>
            <w:gridSpan w:val="2"/>
            <w:tcBorders>
              <w:top w:val="single" w:sz="6" w:space="0" w:color="auto"/>
              <w:left w:val="single" w:sz="6" w:space="0" w:color="auto"/>
              <w:bottom w:val="single" w:sz="6" w:space="0" w:color="auto"/>
              <w:right w:val="single" w:sz="6" w:space="0" w:color="auto"/>
            </w:tcBorders>
          </w:tcPr>
          <w:p w14:paraId="632D620D"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5F1780B6"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3B1A6DA" w14:textId="77777777" w:rsidR="00AD5F95" w:rsidRDefault="00AD5F95" w:rsidP="009E7F73">
            <w:pPr>
              <w:pStyle w:val="TAL"/>
              <w:rPr>
                <w:lang w:eastAsia="ko-KR"/>
              </w:rPr>
            </w:pPr>
            <w:r>
              <w:rPr>
                <w:lang w:eastAsia="ko-KR"/>
              </w:rPr>
              <w:t>The Session Management congestion control experience information.</w:t>
            </w:r>
          </w:p>
          <w:p w14:paraId="715ABFC6" w14:textId="77777777" w:rsidR="00AD5F95" w:rsidRDefault="00AD5F95" w:rsidP="009E7F73">
            <w:pPr>
              <w:pStyle w:val="TAL"/>
            </w:pPr>
            <w:r>
              <w:t>Shall be present when the requested event is "</w:t>
            </w:r>
            <w:r>
              <w:rPr>
                <w:lang w:eastAsia="zh-CN"/>
              </w:rPr>
              <w:t>SM_</w:t>
            </w:r>
            <w:r>
              <w:t>CONGESTION".</w:t>
            </w:r>
          </w:p>
        </w:tc>
        <w:tc>
          <w:tcPr>
            <w:tcW w:w="1248" w:type="dxa"/>
            <w:gridSpan w:val="2"/>
            <w:tcBorders>
              <w:top w:val="single" w:sz="6" w:space="0" w:color="auto"/>
              <w:left w:val="single" w:sz="6" w:space="0" w:color="auto"/>
              <w:bottom w:val="single" w:sz="6" w:space="0" w:color="auto"/>
              <w:right w:val="single" w:sz="6" w:space="0" w:color="auto"/>
            </w:tcBorders>
          </w:tcPr>
          <w:p w14:paraId="417C132E" w14:textId="77777777" w:rsidR="00AD5F95" w:rsidRDefault="00AD5F95" w:rsidP="009E7F73">
            <w:pPr>
              <w:pStyle w:val="TAL"/>
            </w:pPr>
            <w:r>
              <w:rPr>
                <w:lang w:eastAsia="zh-CN"/>
              </w:rPr>
              <w:t>SMCCE</w:t>
            </w:r>
          </w:p>
        </w:tc>
      </w:tr>
      <w:tr w:rsidR="00AD5F95" w14:paraId="0B5DEFC0"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0EA3BE8A" w14:textId="77777777" w:rsidR="00AD5F95" w:rsidRDefault="00AD5F95" w:rsidP="009E7F73">
            <w:pPr>
              <w:pStyle w:val="TAL"/>
              <w:rPr>
                <w:lang w:eastAsia="ko-KR"/>
              </w:rPr>
            </w:pPr>
            <w:r>
              <w:rPr>
                <w:lang w:eastAsia="ko-KR"/>
              </w:rPr>
              <w:t>disperInfos</w:t>
            </w:r>
          </w:p>
        </w:tc>
        <w:tc>
          <w:tcPr>
            <w:tcW w:w="2439" w:type="dxa"/>
            <w:gridSpan w:val="2"/>
            <w:tcBorders>
              <w:top w:val="single" w:sz="6" w:space="0" w:color="auto"/>
              <w:left w:val="single" w:sz="6" w:space="0" w:color="auto"/>
              <w:bottom w:val="single" w:sz="6" w:space="0" w:color="auto"/>
              <w:right w:val="single" w:sz="6" w:space="0" w:color="auto"/>
            </w:tcBorders>
          </w:tcPr>
          <w:p w14:paraId="3AD16C1B" w14:textId="77777777" w:rsidR="00AD5F95" w:rsidRDefault="00AD5F95" w:rsidP="009E7F73">
            <w:pPr>
              <w:pStyle w:val="TAL"/>
            </w:pPr>
            <w:r>
              <w:t>array(DispersionInfo)</w:t>
            </w:r>
          </w:p>
        </w:tc>
        <w:tc>
          <w:tcPr>
            <w:tcW w:w="286" w:type="dxa"/>
            <w:gridSpan w:val="2"/>
            <w:tcBorders>
              <w:top w:val="single" w:sz="6" w:space="0" w:color="auto"/>
              <w:left w:val="single" w:sz="6" w:space="0" w:color="auto"/>
              <w:bottom w:val="single" w:sz="6" w:space="0" w:color="auto"/>
              <w:right w:val="single" w:sz="6" w:space="0" w:color="auto"/>
            </w:tcBorders>
          </w:tcPr>
          <w:p w14:paraId="0F2D1596"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FA1E3CC"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10ACEDD1" w14:textId="77777777" w:rsidR="00AD5F95" w:rsidRDefault="00AD5F95" w:rsidP="009E7F73">
            <w:pPr>
              <w:pStyle w:val="TAL"/>
              <w:rPr>
                <w:lang w:eastAsia="ko-KR"/>
              </w:rPr>
            </w:pPr>
            <w:r>
              <w:rPr>
                <w:lang w:eastAsia="ko-KR"/>
              </w:rPr>
              <w:t>The Dispersion information.</w:t>
            </w:r>
          </w:p>
          <w:p w14:paraId="552C2332" w14:textId="77777777" w:rsidR="00AD5F95" w:rsidRDefault="00AD5F95" w:rsidP="009E7F73">
            <w:pPr>
              <w:pStyle w:val="TAL"/>
              <w:rPr>
                <w:lang w:eastAsia="ko-KR"/>
              </w:rPr>
            </w:pPr>
            <w:r>
              <w:rPr>
                <w:lang w:eastAsia="ko-KR"/>
              </w:rPr>
              <w:t>Shall be present when the requested event is "DISPERSION".</w:t>
            </w:r>
          </w:p>
        </w:tc>
        <w:tc>
          <w:tcPr>
            <w:tcW w:w="1248" w:type="dxa"/>
            <w:gridSpan w:val="2"/>
            <w:tcBorders>
              <w:top w:val="single" w:sz="6" w:space="0" w:color="auto"/>
              <w:left w:val="single" w:sz="6" w:space="0" w:color="auto"/>
              <w:bottom w:val="single" w:sz="6" w:space="0" w:color="auto"/>
              <w:right w:val="single" w:sz="6" w:space="0" w:color="auto"/>
            </w:tcBorders>
          </w:tcPr>
          <w:p w14:paraId="194F1ED1" w14:textId="77777777" w:rsidR="00AD5F95" w:rsidRDefault="00AD5F95" w:rsidP="009E7F73">
            <w:pPr>
              <w:pStyle w:val="TAL"/>
              <w:rPr>
                <w:lang w:eastAsia="zh-CN"/>
              </w:rPr>
            </w:pPr>
            <w:r>
              <w:rPr>
                <w:lang w:eastAsia="zh-CN"/>
              </w:rPr>
              <w:t>Dispersion</w:t>
            </w:r>
          </w:p>
        </w:tc>
      </w:tr>
      <w:tr w:rsidR="00AD5F95" w14:paraId="2795C87A"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DC35897" w14:textId="77777777" w:rsidR="00AD5F95" w:rsidRDefault="00AD5F95" w:rsidP="009E7F73">
            <w:pPr>
              <w:pStyle w:val="TAL"/>
              <w:rPr>
                <w:lang w:eastAsia="ko-KR"/>
              </w:rPr>
            </w:pPr>
            <w:r>
              <w:rPr>
                <w:lang w:eastAsia="ko-KR"/>
              </w:rPr>
              <w:t>redTransInfos</w:t>
            </w:r>
          </w:p>
        </w:tc>
        <w:tc>
          <w:tcPr>
            <w:tcW w:w="2439" w:type="dxa"/>
            <w:gridSpan w:val="2"/>
            <w:tcBorders>
              <w:top w:val="single" w:sz="6" w:space="0" w:color="auto"/>
              <w:left w:val="single" w:sz="6" w:space="0" w:color="auto"/>
              <w:bottom w:val="single" w:sz="6" w:space="0" w:color="auto"/>
              <w:right w:val="single" w:sz="6" w:space="0" w:color="auto"/>
            </w:tcBorders>
          </w:tcPr>
          <w:p w14:paraId="3A2A6967" w14:textId="77777777" w:rsidR="00AD5F95" w:rsidRDefault="00AD5F95" w:rsidP="009E7F73">
            <w:pPr>
              <w:pStyle w:val="TAL"/>
            </w:pPr>
            <w:r>
              <w:t>array(RedundantTransmissionExpInfo)</w:t>
            </w:r>
          </w:p>
        </w:tc>
        <w:tc>
          <w:tcPr>
            <w:tcW w:w="286" w:type="dxa"/>
            <w:gridSpan w:val="2"/>
            <w:tcBorders>
              <w:top w:val="single" w:sz="6" w:space="0" w:color="auto"/>
              <w:left w:val="single" w:sz="6" w:space="0" w:color="auto"/>
              <w:bottom w:val="single" w:sz="6" w:space="0" w:color="auto"/>
              <w:right w:val="single" w:sz="6" w:space="0" w:color="auto"/>
            </w:tcBorders>
          </w:tcPr>
          <w:p w14:paraId="081A7860"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A88BA30"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A5BAFEE" w14:textId="77777777" w:rsidR="00AD5F95" w:rsidRDefault="00AD5F95" w:rsidP="009E7F73">
            <w:pPr>
              <w:pStyle w:val="TAL"/>
              <w:rPr>
                <w:lang w:eastAsia="ko-KR"/>
              </w:rPr>
            </w:pPr>
            <w:r>
              <w:rPr>
                <w:lang w:eastAsia="ko-KR"/>
              </w:rPr>
              <w:t>The Redundant Transmission Experience analytics information.</w:t>
            </w:r>
          </w:p>
          <w:p w14:paraId="5A793E43" w14:textId="77777777" w:rsidR="00AD5F95" w:rsidRDefault="00AD5F95" w:rsidP="009E7F73">
            <w:pPr>
              <w:pStyle w:val="TAL"/>
              <w:rPr>
                <w:lang w:eastAsia="ko-KR"/>
              </w:rPr>
            </w:pPr>
            <w:r>
              <w:rPr>
                <w:lang w:eastAsia="ko-KR"/>
              </w:rPr>
              <w:t>Shall be present when the requested event is "RED_TRANS_EXP".</w:t>
            </w:r>
          </w:p>
        </w:tc>
        <w:tc>
          <w:tcPr>
            <w:tcW w:w="1248" w:type="dxa"/>
            <w:gridSpan w:val="2"/>
            <w:tcBorders>
              <w:top w:val="single" w:sz="6" w:space="0" w:color="auto"/>
              <w:left w:val="single" w:sz="6" w:space="0" w:color="auto"/>
              <w:bottom w:val="single" w:sz="6" w:space="0" w:color="auto"/>
              <w:right w:val="single" w:sz="6" w:space="0" w:color="auto"/>
            </w:tcBorders>
          </w:tcPr>
          <w:p w14:paraId="78567364" w14:textId="77777777" w:rsidR="00AD5F95" w:rsidRDefault="00AD5F95" w:rsidP="009E7F73">
            <w:pPr>
              <w:pStyle w:val="TAL"/>
              <w:rPr>
                <w:lang w:eastAsia="zh-CN"/>
              </w:rPr>
            </w:pPr>
            <w:r>
              <w:rPr>
                <w:lang w:eastAsia="zh-CN"/>
              </w:rPr>
              <w:t>RedundantTransmissionExp</w:t>
            </w:r>
          </w:p>
        </w:tc>
      </w:tr>
      <w:tr w:rsidR="00AD5F95" w14:paraId="3F6D901C"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3838C19E" w14:textId="77777777" w:rsidR="00AD5F95" w:rsidRDefault="00AD5F95" w:rsidP="009E7F73">
            <w:pPr>
              <w:pStyle w:val="TAL"/>
              <w:rPr>
                <w:lang w:eastAsia="ko-KR"/>
              </w:rPr>
            </w:pPr>
            <w:r>
              <w:rPr>
                <w:lang w:eastAsia="ko-KR"/>
              </w:rPr>
              <w:t>wlanInfos</w:t>
            </w:r>
          </w:p>
        </w:tc>
        <w:tc>
          <w:tcPr>
            <w:tcW w:w="2439" w:type="dxa"/>
            <w:gridSpan w:val="2"/>
            <w:tcBorders>
              <w:top w:val="single" w:sz="6" w:space="0" w:color="auto"/>
              <w:left w:val="single" w:sz="6" w:space="0" w:color="auto"/>
              <w:bottom w:val="single" w:sz="6" w:space="0" w:color="auto"/>
              <w:right w:val="single" w:sz="6" w:space="0" w:color="auto"/>
            </w:tcBorders>
          </w:tcPr>
          <w:p w14:paraId="7468A74F" w14:textId="77777777" w:rsidR="00AD5F95" w:rsidRDefault="00AD5F95" w:rsidP="009E7F73">
            <w:pPr>
              <w:pStyle w:val="TAL"/>
            </w:pPr>
            <w:r>
              <w:t>array(WlanPerformanceInfo)</w:t>
            </w:r>
          </w:p>
        </w:tc>
        <w:tc>
          <w:tcPr>
            <w:tcW w:w="286" w:type="dxa"/>
            <w:gridSpan w:val="2"/>
            <w:tcBorders>
              <w:top w:val="single" w:sz="6" w:space="0" w:color="auto"/>
              <w:left w:val="single" w:sz="6" w:space="0" w:color="auto"/>
              <w:bottom w:val="single" w:sz="6" w:space="0" w:color="auto"/>
              <w:right w:val="single" w:sz="6" w:space="0" w:color="auto"/>
            </w:tcBorders>
          </w:tcPr>
          <w:p w14:paraId="6DE7648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61087F5C"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1E0AD10E" w14:textId="77777777" w:rsidR="00AD5F95" w:rsidRDefault="00AD5F95" w:rsidP="009E7F73">
            <w:pPr>
              <w:pStyle w:val="TAL"/>
              <w:rPr>
                <w:lang w:eastAsia="ko-KR"/>
              </w:rPr>
            </w:pPr>
            <w:r>
              <w:rPr>
                <w:lang w:eastAsia="ko-KR"/>
              </w:rPr>
              <w:t>The WLAN performance related information.</w:t>
            </w:r>
          </w:p>
          <w:p w14:paraId="2002B764" w14:textId="77777777" w:rsidR="00AD5F95" w:rsidRDefault="00AD5F95" w:rsidP="009E7F73">
            <w:pPr>
              <w:pStyle w:val="TAL"/>
              <w:rPr>
                <w:lang w:eastAsia="ko-KR"/>
              </w:rPr>
            </w:pPr>
            <w:r>
              <w:rPr>
                <w:lang w:eastAsia="ko-KR"/>
              </w:rPr>
              <w:t xml:space="preserve">When requested event is "WLAN_PERFORMANCE", the "wlanInfos" attribute shall be included. </w:t>
            </w:r>
            <w:r>
              <w:t>(NOTE 6)</w:t>
            </w:r>
          </w:p>
        </w:tc>
        <w:tc>
          <w:tcPr>
            <w:tcW w:w="1248" w:type="dxa"/>
            <w:gridSpan w:val="2"/>
            <w:tcBorders>
              <w:top w:val="single" w:sz="6" w:space="0" w:color="auto"/>
              <w:left w:val="single" w:sz="6" w:space="0" w:color="auto"/>
              <w:bottom w:val="single" w:sz="6" w:space="0" w:color="auto"/>
              <w:right w:val="single" w:sz="6" w:space="0" w:color="auto"/>
            </w:tcBorders>
          </w:tcPr>
          <w:p w14:paraId="23423EBD" w14:textId="77777777" w:rsidR="00AD5F95" w:rsidRDefault="00AD5F95" w:rsidP="009E7F73">
            <w:pPr>
              <w:pStyle w:val="TAL"/>
              <w:rPr>
                <w:lang w:eastAsia="zh-CN"/>
              </w:rPr>
            </w:pPr>
            <w:r>
              <w:rPr>
                <w:lang w:eastAsia="zh-CN"/>
              </w:rPr>
              <w:t>WlanPerformance</w:t>
            </w:r>
          </w:p>
        </w:tc>
      </w:tr>
      <w:tr w:rsidR="00AD5F95" w14:paraId="409401B9"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93E4588" w14:textId="77777777" w:rsidR="00AD5F95" w:rsidRDefault="00AD5F95" w:rsidP="009E7F73">
            <w:pPr>
              <w:pStyle w:val="TAL"/>
              <w:rPr>
                <w:lang w:eastAsia="ko-KR"/>
              </w:rPr>
            </w:pPr>
            <w:r>
              <w:rPr>
                <w:lang w:eastAsia="zh-CN"/>
              </w:rPr>
              <w:t>dnPerfInfos</w:t>
            </w:r>
          </w:p>
        </w:tc>
        <w:tc>
          <w:tcPr>
            <w:tcW w:w="2439" w:type="dxa"/>
            <w:gridSpan w:val="2"/>
            <w:tcBorders>
              <w:top w:val="single" w:sz="6" w:space="0" w:color="auto"/>
              <w:left w:val="single" w:sz="6" w:space="0" w:color="auto"/>
              <w:bottom w:val="single" w:sz="6" w:space="0" w:color="auto"/>
              <w:right w:val="single" w:sz="6" w:space="0" w:color="auto"/>
            </w:tcBorders>
          </w:tcPr>
          <w:p w14:paraId="14FE5790" w14:textId="77777777" w:rsidR="00AD5F95" w:rsidRDefault="00AD5F95" w:rsidP="009E7F73">
            <w:pPr>
              <w:pStyle w:val="TAL"/>
            </w:pPr>
            <w:r>
              <w:t>array(DnPerfInfo)</w:t>
            </w:r>
          </w:p>
        </w:tc>
        <w:tc>
          <w:tcPr>
            <w:tcW w:w="286" w:type="dxa"/>
            <w:gridSpan w:val="2"/>
            <w:tcBorders>
              <w:top w:val="single" w:sz="6" w:space="0" w:color="auto"/>
              <w:left w:val="single" w:sz="6" w:space="0" w:color="auto"/>
              <w:bottom w:val="single" w:sz="6" w:space="0" w:color="auto"/>
              <w:right w:val="single" w:sz="6" w:space="0" w:color="auto"/>
            </w:tcBorders>
          </w:tcPr>
          <w:p w14:paraId="7C71EB07"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395262D4"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8A63F73" w14:textId="77777777" w:rsidR="00AD5F95" w:rsidRDefault="00AD5F95" w:rsidP="009E7F73">
            <w:pPr>
              <w:pStyle w:val="TAL"/>
            </w:pPr>
            <w:r>
              <w:t>The DN performance information.</w:t>
            </w:r>
          </w:p>
          <w:p w14:paraId="0CDCEFDA" w14:textId="77777777" w:rsidR="00AD5F95" w:rsidRDefault="00AD5F95" w:rsidP="009E7F73">
            <w:pPr>
              <w:pStyle w:val="TAL"/>
              <w:rPr>
                <w:lang w:eastAsia="ko-KR"/>
              </w:rPr>
            </w:pPr>
            <w:r>
              <w:t>Shall be present when the requested event is "</w:t>
            </w:r>
            <w:r>
              <w:rPr>
                <w:lang w:eastAsia="zh-CN"/>
              </w:rPr>
              <w:t>DN_PERFORMANCE</w:t>
            </w:r>
            <w:r>
              <w:t>". (NOTE 4)</w:t>
            </w:r>
          </w:p>
        </w:tc>
        <w:tc>
          <w:tcPr>
            <w:tcW w:w="1248" w:type="dxa"/>
            <w:gridSpan w:val="2"/>
            <w:tcBorders>
              <w:top w:val="single" w:sz="6" w:space="0" w:color="auto"/>
              <w:left w:val="single" w:sz="6" w:space="0" w:color="auto"/>
              <w:bottom w:val="single" w:sz="6" w:space="0" w:color="auto"/>
              <w:right w:val="single" w:sz="6" w:space="0" w:color="auto"/>
            </w:tcBorders>
          </w:tcPr>
          <w:p w14:paraId="12EA4634" w14:textId="77777777" w:rsidR="00AD5F95" w:rsidRDefault="00AD5F95" w:rsidP="009E7F73">
            <w:pPr>
              <w:pStyle w:val="TAL"/>
              <w:rPr>
                <w:lang w:eastAsia="zh-CN"/>
              </w:rPr>
            </w:pPr>
            <w:r>
              <w:rPr>
                <w:lang w:eastAsia="zh-CN"/>
              </w:rPr>
              <w:t>Dn</w:t>
            </w:r>
            <w:r>
              <w:t>Performance</w:t>
            </w:r>
          </w:p>
        </w:tc>
      </w:tr>
      <w:tr w:rsidR="00AD5F95" w14:paraId="089B8FED"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0912DEF7" w14:textId="77777777" w:rsidR="00AD5F95" w:rsidRDefault="00AD5F95" w:rsidP="009E7F73">
            <w:pPr>
              <w:pStyle w:val="TAL"/>
            </w:pPr>
            <w:r>
              <w:rPr>
                <w:lang w:eastAsia="zh-CN"/>
              </w:rPr>
              <w:t>pduSesTrafInfos</w:t>
            </w:r>
          </w:p>
        </w:tc>
        <w:tc>
          <w:tcPr>
            <w:tcW w:w="2439" w:type="dxa"/>
            <w:gridSpan w:val="2"/>
            <w:tcBorders>
              <w:top w:val="single" w:sz="6" w:space="0" w:color="auto"/>
              <w:left w:val="single" w:sz="6" w:space="0" w:color="auto"/>
              <w:bottom w:val="single" w:sz="6" w:space="0" w:color="auto"/>
              <w:right w:val="single" w:sz="6" w:space="0" w:color="auto"/>
            </w:tcBorders>
          </w:tcPr>
          <w:p w14:paraId="34006B85" w14:textId="77777777" w:rsidR="00AD5F95" w:rsidRDefault="00AD5F95" w:rsidP="009E7F73">
            <w:pPr>
              <w:pStyle w:val="TAL"/>
            </w:pPr>
            <w:r>
              <w:t>array(PduSesTrafficInfo)</w:t>
            </w:r>
          </w:p>
        </w:tc>
        <w:tc>
          <w:tcPr>
            <w:tcW w:w="286" w:type="dxa"/>
            <w:gridSpan w:val="2"/>
            <w:tcBorders>
              <w:top w:val="single" w:sz="6" w:space="0" w:color="auto"/>
              <w:left w:val="single" w:sz="6" w:space="0" w:color="auto"/>
              <w:bottom w:val="single" w:sz="6" w:space="0" w:color="auto"/>
              <w:right w:val="single" w:sz="6" w:space="0" w:color="auto"/>
            </w:tcBorders>
          </w:tcPr>
          <w:p w14:paraId="0F29933A"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4901DD9B"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79F4C5D" w14:textId="77777777" w:rsidR="00AD5F95" w:rsidRDefault="00AD5F95" w:rsidP="009E7F73">
            <w:pPr>
              <w:pStyle w:val="TAL"/>
            </w:pPr>
            <w:r>
              <w:t>The PDU Session traffic related information.</w:t>
            </w:r>
          </w:p>
          <w:p w14:paraId="65416972" w14:textId="77777777" w:rsidR="00AD5F95" w:rsidRDefault="00AD5F95" w:rsidP="009E7F73">
            <w:pPr>
              <w:pStyle w:val="TAL"/>
            </w:pPr>
            <w:r>
              <w:t>Shall be present when the requested event is "PDU_SESSION_TRAFFIC".</w:t>
            </w:r>
          </w:p>
        </w:tc>
        <w:tc>
          <w:tcPr>
            <w:tcW w:w="1248" w:type="dxa"/>
            <w:gridSpan w:val="2"/>
            <w:tcBorders>
              <w:top w:val="single" w:sz="6" w:space="0" w:color="auto"/>
              <w:left w:val="single" w:sz="6" w:space="0" w:color="auto"/>
              <w:bottom w:val="single" w:sz="6" w:space="0" w:color="auto"/>
              <w:right w:val="single" w:sz="6" w:space="0" w:color="auto"/>
            </w:tcBorders>
          </w:tcPr>
          <w:p w14:paraId="19771634" w14:textId="77777777" w:rsidR="00AD5F95" w:rsidRDefault="00AD5F95" w:rsidP="009E7F73">
            <w:pPr>
              <w:pStyle w:val="TAL"/>
              <w:rPr>
                <w:lang w:eastAsia="zh-CN"/>
              </w:rPr>
            </w:pPr>
            <w:r>
              <w:rPr>
                <w:lang w:eastAsia="zh-CN"/>
              </w:rPr>
              <w:t>PduSesTraffic</w:t>
            </w:r>
          </w:p>
        </w:tc>
      </w:tr>
      <w:tr w:rsidR="00AD5F95" w14:paraId="083AE472"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2ED3211" w14:textId="77777777" w:rsidR="00AD5F95" w:rsidRDefault="00AD5F95" w:rsidP="009E7F73">
            <w:pPr>
              <w:pStyle w:val="TAL"/>
              <w:rPr>
                <w:lang w:eastAsia="zh-CN"/>
              </w:rPr>
            </w:pPr>
            <w:r>
              <w:t>dataVlTrnsTmInfos</w:t>
            </w:r>
          </w:p>
        </w:tc>
        <w:tc>
          <w:tcPr>
            <w:tcW w:w="2439" w:type="dxa"/>
            <w:gridSpan w:val="2"/>
            <w:tcBorders>
              <w:top w:val="single" w:sz="6" w:space="0" w:color="auto"/>
              <w:left w:val="single" w:sz="6" w:space="0" w:color="auto"/>
              <w:bottom w:val="single" w:sz="6" w:space="0" w:color="auto"/>
              <w:right w:val="single" w:sz="6" w:space="0" w:color="auto"/>
            </w:tcBorders>
          </w:tcPr>
          <w:p w14:paraId="70A68E24" w14:textId="77777777" w:rsidR="00AD5F95" w:rsidRDefault="00AD5F95" w:rsidP="009E7F73">
            <w:pPr>
              <w:pStyle w:val="TAL"/>
            </w:pPr>
            <w:r>
              <w:t>array(E2eDataVolTransTimeInfo)</w:t>
            </w:r>
          </w:p>
        </w:tc>
        <w:tc>
          <w:tcPr>
            <w:tcW w:w="286" w:type="dxa"/>
            <w:gridSpan w:val="2"/>
            <w:tcBorders>
              <w:top w:val="single" w:sz="6" w:space="0" w:color="auto"/>
              <w:left w:val="single" w:sz="6" w:space="0" w:color="auto"/>
              <w:bottom w:val="single" w:sz="6" w:space="0" w:color="auto"/>
              <w:right w:val="single" w:sz="6" w:space="0" w:color="auto"/>
            </w:tcBorders>
          </w:tcPr>
          <w:p w14:paraId="40A7DE5C"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030A3CD4"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3ACC367B" w14:textId="77777777" w:rsidR="00AD5F95" w:rsidRDefault="00AD5F95" w:rsidP="009E7F73">
            <w:pPr>
              <w:pStyle w:val="TAL"/>
            </w:pPr>
            <w:r>
              <w:t>E2E data volume transfer time information.</w:t>
            </w:r>
          </w:p>
          <w:p w14:paraId="4752DFA2" w14:textId="77777777" w:rsidR="00AD5F95" w:rsidRDefault="00AD5F95" w:rsidP="009E7F73">
            <w:pPr>
              <w:pStyle w:val="TAL"/>
            </w:pPr>
            <w:r>
              <w:t>Shall be present when the requested event is "E2E_DATA_VOL_TRANS_TIME".</w:t>
            </w:r>
          </w:p>
        </w:tc>
        <w:tc>
          <w:tcPr>
            <w:tcW w:w="1248" w:type="dxa"/>
            <w:gridSpan w:val="2"/>
            <w:tcBorders>
              <w:top w:val="single" w:sz="6" w:space="0" w:color="auto"/>
              <w:left w:val="single" w:sz="6" w:space="0" w:color="auto"/>
              <w:bottom w:val="single" w:sz="6" w:space="0" w:color="auto"/>
              <w:right w:val="single" w:sz="6" w:space="0" w:color="auto"/>
            </w:tcBorders>
          </w:tcPr>
          <w:p w14:paraId="515A1740" w14:textId="77777777" w:rsidR="00AD5F95" w:rsidRDefault="00AD5F95" w:rsidP="009E7F73">
            <w:pPr>
              <w:pStyle w:val="TAL"/>
              <w:rPr>
                <w:lang w:eastAsia="zh-CN"/>
              </w:rPr>
            </w:pPr>
            <w:r>
              <w:rPr>
                <w:rFonts w:cs="Arial"/>
                <w:szCs w:val="18"/>
              </w:rPr>
              <w:t>E2eDataVolTransTime</w:t>
            </w:r>
          </w:p>
        </w:tc>
      </w:tr>
      <w:tr w:rsidR="00AD5F95" w14:paraId="68C81A8D"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65A95FF" w14:textId="77777777" w:rsidR="00AD5F95" w:rsidRDefault="00AD5F95" w:rsidP="009E7F73">
            <w:pPr>
              <w:pStyle w:val="TAL"/>
            </w:pPr>
            <w:r>
              <w:t>locAccInfos</w:t>
            </w:r>
          </w:p>
        </w:tc>
        <w:tc>
          <w:tcPr>
            <w:tcW w:w="2439" w:type="dxa"/>
            <w:gridSpan w:val="2"/>
            <w:tcBorders>
              <w:top w:val="single" w:sz="6" w:space="0" w:color="auto"/>
              <w:left w:val="single" w:sz="6" w:space="0" w:color="auto"/>
              <w:bottom w:val="single" w:sz="6" w:space="0" w:color="auto"/>
              <w:right w:val="single" w:sz="6" w:space="0" w:color="auto"/>
            </w:tcBorders>
          </w:tcPr>
          <w:p w14:paraId="6C393465" w14:textId="77777777" w:rsidR="00AD5F95" w:rsidRDefault="00AD5F95" w:rsidP="009E7F73">
            <w:pPr>
              <w:pStyle w:val="TAL"/>
            </w:pPr>
            <w:r>
              <w:t>array(LocAccuracyInfo)</w:t>
            </w:r>
          </w:p>
        </w:tc>
        <w:tc>
          <w:tcPr>
            <w:tcW w:w="286" w:type="dxa"/>
            <w:gridSpan w:val="2"/>
            <w:tcBorders>
              <w:top w:val="single" w:sz="6" w:space="0" w:color="auto"/>
              <w:left w:val="single" w:sz="6" w:space="0" w:color="auto"/>
              <w:bottom w:val="single" w:sz="6" w:space="0" w:color="auto"/>
              <w:right w:val="single" w:sz="6" w:space="0" w:color="auto"/>
            </w:tcBorders>
          </w:tcPr>
          <w:p w14:paraId="699C01F2" w14:textId="77777777" w:rsidR="00AD5F95" w:rsidRDefault="00AD5F95" w:rsidP="009E7F73">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2103997A"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22239AC3" w14:textId="77777777" w:rsidR="00AD5F95" w:rsidRDefault="00AD5F95" w:rsidP="009E7F73">
            <w:pPr>
              <w:pStyle w:val="TAL"/>
            </w:pPr>
            <w:r>
              <w:t>The Location Accuracy related information.</w:t>
            </w:r>
          </w:p>
          <w:p w14:paraId="4AF50295" w14:textId="77777777" w:rsidR="00AD5F95" w:rsidRDefault="00AD5F95" w:rsidP="009E7F73">
            <w:pPr>
              <w:pStyle w:val="TAL"/>
            </w:pPr>
            <w:r>
              <w:t>It shall be present when the requested event is "LOC_ACCURACY".</w:t>
            </w:r>
          </w:p>
        </w:tc>
        <w:tc>
          <w:tcPr>
            <w:tcW w:w="1248" w:type="dxa"/>
            <w:gridSpan w:val="2"/>
            <w:tcBorders>
              <w:top w:val="single" w:sz="6" w:space="0" w:color="auto"/>
              <w:left w:val="single" w:sz="6" w:space="0" w:color="auto"/>
              <w:bottom w:val="single" w:sz="6" w:space="0" w:color="auto"/>
              <w:right w:val="single" w:sz="6" w:space="0" w:color="auto"/>
            </w:tcBorders>
          </w:tcPr>
          <w:p w14:paraId="3470DC81" w14:textId="77777777" w:rsidR="00AD5F95" w:rsidRDefault="00AD5F95" w:rsidP="009E7F73">
            <w:pPr>
              <w:pStyle w:val="TAL"/>
              <w:rPr>
                <w:rFonts w:cs="Arial"/>
                <w:szCs w:val="18"/>
              </w:rPr>
            </w:pPr>
            <w:r w:rsidRPr="00D04642">
              <w:rPr>
                <w:rFonts w:cs="Arial"/>
                <w:szCs w:val="18"/>
              </w:rPr>
              <w:t>LocAccuracy</w:t>
            </w:r>
          </w:p>
        </w:tc>
      </w:tr>
      <w:tr w:rsidR="00AD5F95" w14:paraId="0E45A409" w14:textId="77777777" w:rsidTr="009E7F73">
        <w:trPr>
          <w:gridAfter w:val="1"/>
          <w:wAfter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5FAF7D52" w14:textId="77777777" w:rsidR="00AD5F95" w:rsidRDefault="00AD5F95" w:rsidP="009E7F73">
            <w:pPr>
              <w:pStyle w:val="TAL"/>
            </w:pPr>
            <w:r>
              <w:rPr>
                <w:lang w:eastAsia="zh-CN"/>
              </w:rPr>
              <w:t>accuInfo</w:t>
            </w:r>
          </w:p>
        </w:tc>
        <w:tc>
          <w:tcPr>
            <w:tcW w:w="2439" w:type="dxa"/>
            <w:gridSpan w:val="2"/>
            <w:tcBorders>
              <w:top w:val="single" w:sz="6" w:space="0" w:color="auto"/>
              <w:left w:val="single" w:sz="6" w:space="0" w:color="auto"/>
              <w:bottom w:val="single" w:sz="6" w:space="0" w:color="auto"/>
              <w:right w:val="single" w:sz="6" w:space="0" w:color="auto"/>
            </w:tcBorders>
          </w:tcPr>
          <w:p w14:paraId="6A67946B" w14:textId="77777777" w:rsidR="00AD5F95" w:rsidRDefault="00AD5F95" w:rsidP="009E7F73">
            <w:pPr>
              <w:pStyle w:val="TAL"/>
            </w:pPr>
            <w:r>
              <w:t>AccuracyInfo</w:t>
            </w:r>
          </w:p>
        </w:tc>
        <w:tc>
          <w:tcPr>
            <w:tcW w:w="286" w:type="dxa"/>
            <w:gridSpan w:val="2"/>
            <w:tcBorders>
              <w:top w:val="single" w:sz="6" w:space="0" w:color="auto"/>
              <w:left w:val="single" w:sz="6" w:space="0" w:color="auto"/>
              <w:bottom w:val="single" w:sz="6" w:space="0" w:color="auto"/>
              <w:right w:val="single" w:sz="6" w:space="0" w:color="auto"/>
            </w:tcBorders>
          </w:tcPr>
          <w:p w14:paraId="22B5C0B6" w14:textId="77777777" w:rsidR="00AD5F95" w:rsidRDefault="00AD5F95" w:rsidP="009E7F73">
            <w:pPr>
              <w:pStyle w:val="TAL"/>
            </w:pPr>
            <w:r>
              <w:rPr>
                <w:lang w:eastAsia="zh-CN"/>
              </w:rPr>
              <w:t>C</w:t>
            </w:r>
          </w:p>
        </w:tc>
        <w:tc>
          <w:tcPr>
            <w:tcW w:w="1068" w:type="dxa"/>
            <w:gridSpan w:val="2"/>
            <w:tcBorders>
              <w:top w:val="single" w:sz="6" w:space="0" w:color="auto"/>
              <w:left w:val="single" w:sz="6" w:space="0" w:color="auto"/>
              <w:bottom w:val="single" w:sz="6" w:space="0" w:color="auto"/>
              <w:right w:val="single" w:sz="6" w:space="0" w:color="auto"/>
            </w:tcBorders>
          </w:tcPr>
          <w:p w14:paraId="31AED8EA"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1BC457D6" w14:textId="77777777" w:rsidR="00AD5F95" w:rsidRDefault="00AD5F95" w:rsidP="009E7F73">
            <w:pPr>
              <w:pStyle w:val="TAL"/>
            </w:pPr>
            <w:r>
              <w:rPr>
                <w:lang w:eastAsia="zh-CN"/>
              </w:rPr>
              <w:t xml:space="preserve">The </w:t>
            </w:r>
            <w:r>
              <w:t>analytics accuracy information.</w:t>
            </w:r>
          </w:p>
          <w:p w14:paraId="566A6384" w14:textId="77777777" w:rsidR="00AD5F95" w:rsidRDefault="00AD5F95" w:rsidP="009E7F73">
            <w:pPr>
              <w:pStyle w:val="TAL"/>
            </w:pPr>
            <w:r>
              <w:t>Shall be provided if the analytics accuracy requirement was requested in the "accuReq" attribute and the "cancelAccuInd" attribute is set to "false" or omitted.)</w:t>
            </w:r>
          </w:p>
        </w:tc>
        <w:tc>
          <w:tcPr>
            <w:tcW w:w="1248" w:type="dxa"/>
            <w:gridSpan w:val="2"/>
            <w:tcBorders>
              <w:top w:val="single" w:sz="6" w:space="0" w:color="auto"/>
              <w:left w:val="single" w:sz="6" w:space="0" w:color="auto"/>
              <w:bottom w:val="single" w:sz="6" w:space="0" w:color="auto"/>
              <w:right w:val="single" w:sz="6" w:space="0" w:color="auto"/>
            </w:tcBorders>
          </w:tcPr>
          <w:p w14:paraId="4A789053" w14:textId="77777777" w:rsidR="00AD5F95" w:rsidRDefault="00AD5F95" w:rsidP="009E7F73">
            <w:pPr>
              <w:pStyle w:val="TAL"/>
              <w:rPr>
                <w:rFonts w:cs="Arial"/>
                <w:szCs w:val="18"/>
              </w:rPr>
            </w:pPr>
            <w:r>
              <w:rPr>
                <w:lang w:eastAsia="zh-CN"/>
              </w:rPr>
              <w:t>AnalyticsAccuracy</w:t>
            </w:r>
          </w:p>
        </w:tc>
      </w:tr>
      <w:tr w:rsidR="00AD5F95" w14:paraId="20CE3851"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0B2A59E" w14:textId="77777777" w:rsidR="00AD5F95" w:rsidRDefault="00AD5F95" w:rsidP="009E7F73">
            <w:pPr>
              <w:pStyle w:val="TAL"/>
              <w:rPr>
                <w:lang w:eastAsia="zh-CN"/>
              </w:rPr>
            </w:pPr>
            <w:r>
              <w:rPr>
                <w:lang w:eastAsia="zh-CN"/>
              </w:rPr>
              <w:lastRenderedPageBreak/>
              <w:t>cancelAccuInd</w:t>
            </w:r>
          </w:p>
        </w:tc>
        <w:tc>
          <w:tcPr>
            <w:tcW w:w="2439" w:type="dxa"/>
            <w:gridSpan w:val="2"/>
            <w:tcBorders>
              <w:top w:val="single" w:sz="6" w:space="0" w:color="auto"/>
              <w:left w:val="single" w:sz="6" w:space="0" w:color="auto"/>
              <w:bottom w:val="single" w:sz="6" w:space="0" w:color="auto"/>
              <w:right w:val="single" w:sz="6" w:space="0" w:color="auto"/>
            </w:tcBorders>
          </w:tcPr>
          <w:p w14:paraId="008868A8" w14:textId="77777777" w:rsidR="00AD5F95" w:rsidRDefault="00AD5F95" w:rsidP="009E7F73">
            <w:pPr>
              <w:pStyle w:val="TAL"/>
            </w:pPr>
            <w:r>
              <w:t>boolean</w:t>
            </w:r>
          </w:p>
        </w:tc>
        <w:tc>
          <w:tcPr>
            <w:tcW w:w="286" w:type="dxa"/>
            <w:gridSpan w:val="2"/>
            <w:tcBorders>
              <w:top w:val="single" w:sz="6" w:space="0" w:color="auto"/>
              <w:left w:val="single" w:sz="6" w:space="0" w:color="auto"/>
              <w:bottom w:val="single" w:sz="6" w:space="0" w:color="auto"/>
              <w:right w:val="single" w:sz="6" w:space="0" w:color="auto"/>
            </w:tcBorders>
          </w:tcPr>
          <w:p w14:paraId="0C23A8BC" w14:textId="77777777" w:rsidR="00AD5F95" w:rsidRDefault="00AD5F95" w:rsidP="009E7F73">
            <w:pPr>
              <w:pStyle w:val="TAL"/>
              <w:rPr>
                <w:lang w:eastAsia="zh-CN"/>
              </w:rPr>
            </w:pPr>
            <w:r>
              <w:rPr>
                <w:lang w:eastAsia="zh-CN"/>
              </w:rPr>
              <w:t>O</w:t>
            </w:r>
          </w:p>
        </w:tc>
        <w:tc>
          <w:tcPr>
            <w:tcW w:w="1068" w:type="dxa"/>
            <w:gridSpan w:val="2"/>
            <w:tcBorders>
              <w:top w:val="single" w:sz="6" w:space="0" w:color="auto"/>
              <w:left w:val="single" w:sz="6" w:space="0" w:color="auto"/>
              <w:bottom w:val="single" w:sz="6" w:space="0" w:color="auto"/>
              <w:right w:val="single" w:sz="6" w:space="0" w:color="auto"/>
            </w:tcBorders>
          </w:tcPr>
          <w:p w14:paraId="4F0CF483" w14:textId="77777777" w:rsidR="00AD5F95" w:rsidRDefault="00AD5F95" w:rsidP="009E7F73">
            <w:pPr>
              <w:pStyle w:val="TAL"/>
            </w:pPr>
            <w:r>
              <w:t>0..1</w:t>
            </w:r>
          </w:p>
        </w:tc>
        <w:tc>
          <w:tcPr>
            <w:tcW w:w="2826" w:type="dxa"/>
            <w:gridSpan w:val="2"/>
            <w:tcBorders>
              <w:top w:val="single" w:sz="6" w:space="0" w:color="auto"/>
              <w:left w:val="single" w:sz="6" w:space="0" w:color="auto"/>
              <w:bottom w:val="single" w:sz="6" w:space="0" w:color="auto"/>
              <w:right w:val="single" w:sz="6" w:space="0" w:color="auto"/>
            </w:tcBorders>
          </w:tcPr>
          <w:p w14:paraId="3F0D1E1E" w14:textId="77777777" w:rsidR="00AD5F95" w:rsidRDefault="00AD5F95" w:rsidP="009E7F73">
            <w:pPr>
              <w:keepNext/>
              <w:keepLines/>
              <w:spacing w:after="0"/>
              <w:rPr>
                <w:rFonts w:ascii="Arial" w:hAnsi="Arial"/>
                <w:sz w:val="18"/>
                <w:lang w:eastAsia="zh-CN"/>
              </w:rPr>
            </w:pPr>
            <w:r>
              <w:rPr>
                <w:rFonts w:ascii="Arial" w:hAnsi="Arial"/>
                <w:sz w:val="18"/>
                <w:lang w:eastAsia="zh-CN"/>
              </w:rPr>
              <w:t>Indicates cancelled request of the analytics accuracy information, i.e. the request to provide analytics accuracy information was not accepted.</w:t>
            </w:r>
          </w:p>
          <w:p w14:paraId="754942DB" w14:textId="77777777" w:rsidR="00AD5F95" w:rsidRDefault="00AD5F95" w:rsidP="009E7F73">
            <w:pPr>
              <w:pStyle w:val="TAL"/>
              <w:rPr>
                <w:lang w:eastAsia="zh-CN"/>
              </w:rPr>
            </w:pPr>
            <w:r>
              <w:rPr>
                <w:lang w:eastAsia="zh-CN"/>
              </w:rPr>
              <w:t>Set to "true" indicates the NWDAF cancelled request of analytics accuracy information as the NWDAF does not support the accuracy checking capability.</w:t>
            </w:r>
          </w:p>
          <w:p w14:paraId="1696C339" w14:textId="77777777" w:rsidR="00AD5F95" w:rsidRDefault="00AD5F95" w:rsidP="009E7F73">
            <w:pPr>
              <w:pStyle w:val="TAL"/>
              <w:rPr>
                <w:lang w:eastAsia="zh-CN"/>
              </w:rPr>
            </w:pPr>
            <w:r>
              <w:rPr>
                <w:lang w:eastAsia="zh-CN"/>
              </w:rPr>
              <w:t>Otherwise set to "false". Default value is "false" if omitted.</w:t>
            </w:r>
          </w:p>
        </w:tc>
        <w:tc>
          <w:tcPr>
            <w:tcW w:w="1248" w:type="dxa"/>
            <w:gridSpan w:val="2"/>
            <w:tcBorders>
              <w:top w:val="single" w:sz="6" w:space="0" w:color="auto"/>
              <w:left w:val="single" w:sz="6" w:space="0" w:color="auto"/>
              <w:bottom w:val="single" w:sz="6" w:space="0" w:color="auto"/>
              <w:right w:val="single" w:sz="6" w:space="0" w:color="auto"/>
            </w:tcBorders>
          </w:tcPr>
          <w:p w14:paraId="30CC1855" w14:textId="77777777" w:rsidR="00AD5F95" w:rsidRDefault="00AD5F95" w:rsidP="009E7F73">
            <w:pPr>
              <w:pStyle w:val="TAL"/>
              <w:rPr>
                <w:lang w:eastAsia="zh-CN"/>
              </w:rPr>
            </w:pPr>
            <w:r>
              <w:rPr>
                <w:lang w:eastAsia="zh-CN"/>
              </w:rPr>
              <w:t>AnalyticsAccuracy</w:t>
            </w:r>
          </w:p>
        </w:tc>
      </w:tr>
      <w:tr w:rsidR="00AD5F95" w14:paraId="5A4DF7F6"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22534130" w14:textId="77777777" w:rsidR="00AD5F95" w:rsidRDefault="00AD5F95" w:rsidP="009E7F73">
            <w:pPr>
              <w:pStyle w:val="TAL"/>
              <w:rPr>
                <w:lang w:eastAsia="zh-CN"/>
              </w:rPr>
            </w:pPr>
            <w:r>
              <w:rPr>
                <w:lang w:eastAsia="zh-CN"/>
              </w:rPr>
              <w:t>movBehavInfos</w:t>
            </w:r>
          </w:p>
        </w:tc>
        <w:tc>
          <w:tcPr>
            <w:tcW w:w="2439" w:type="dxa"/>
            <w:gridSpan w:val="2"/>
            <w:tcBorders>
              <w:top w:val="single" w:sz="6" w:space="0" w:color="auto"/>
              <w:left w:val="single" w:sz="6" w:space="0" w:color="auto"/>
              <w:bottom w:val="single" w:sz="6" w:space="0" w:color="auto"/>
              <w:right w:val="single" w:sz="6" w:space="0" w:color="auto"/>
            </w:tcBorders>
          </w:tcPr>
          <w:p w14:paraId="6EF88608" w14:textId="77777777" w:rsidR="00AD5F95" w:rsidRDefault="00AD5F95" w:rsidP="009E7F73">
            <w:pPr>
              <w:pStyle w:val="TAL"/>
            </w:pPr>
            <w:r>
              <w:t>array(</w:t>
            </w:r>
            <w:r>
              <w:rPr>
                <w:lang w:eastAsia="zh-CN"/>
              </w:rPr>
              <w:t>MovBehavInfo</w:t>
            </w:r>
            <w:r>
              <w:t>)</w:t>
            </w:r>
          </w:p>
        </w:tc>
        <w:tc>
          <w:tcPr>
            <w:tcW w:w="286" w:type="dxa"/>
            <w:gridSpan w:val="2"/>
            <w:tcBorders>
              <w:top w:val="single" w:sz="6" w:space="0" w:color="auto"/>
              <w:left w:val="single" w:sz="6" w:space="0" w:color="auto"/>
              <w:bottom w:val="single" w:sz="6" w:space="0" w:color="auto"/>
              <w:right w:val="single" w:sz="6" w:space="0" w:color="auto"/>
            </w:tcBorders>
          </w:tcPr>
          <w:p w14:paraId="4F3AD891" w14:textId="77777777" w:rsidR="00AD5F95" w:rsidRDefault="00AD5F95" w:rsidP="009E7F73">
            <w:pPr>
              <w:pStyle w:val="TAL"/>
            </w:pPr>
            <w:r>
              <w:rPr>
                <w:lang w:eastAsia="zh-CN"/>
              </w:rPr>
              <w:t>C</w:t>
            </w:r>
          </w:p>
        </w:tc>
        <w:tc>
          <w:tcPr>
            <w:tcW w:w="1068" w:type="dxa"/>
            <w:gridSpan w:val="2"/>
            <w:tcBorders>
              <w:top w:val="single" w:sz="6" w:space="0" w:color="auto"/>
              <w:left w:val="single" w:sz="6" w:space="0" w:color="auto"/>
              <w:bottom w:val="single" w:sz="6" w:space="0" w:color="auto"/>
              <w:right w:val="single" w:sz="6" w:space="0" w:color="auto"/>
            </w:tcBorders>
          </w:tcPr>
          <w:p w14:paraId="1F930FAA"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67CCB031" w14:textId="77777777" w:rsidR="00AD5F95" w:rsidRDefault="00AD5F95" w:rsidP="009E7F73">
            <w:pPr>
              <w:pStyle w:val="TAL"/>
            </w:pPr>
            <w:r>
              <w:rPr>
                <w:lang w:eastAsia="zh-CN"/>
              </w:rPr>
              <w:t xml:space="preserve">The </w:t>
            </w:r>
            <w:r>
              <w:t>Movement Behaviour information.</w:t>
            </w:r>
          </w:p>
          <w:p w14:paraId="329033EC" w14:textId="77777777" w:rsidR="00AD5F95" w:rsidRDefault="00AD5F95" w:rsidP="009E7F73">
            <w:pPr>
              <w:pStyle w:val="TAL"/>
            </w:pPr>
            <w:r>
              <w:t>Shall be present when the requested event is "MOVEMENT_BEHAVIOUR".</w:t>
            </w:r>
          </w:p>
        </w:tc>
        <w:tc>
          <w:tcPr>
            <w:tcW w:w="1248" w:type="dxa"/>
            <w:gridSpan w:val="2"/>
            <w:tcBorders>
              <w:top w:val="single" w:sz="6" w:space="0" w:color="auto"/>
              <w:left w:val="single" w:sz="6" w:space="0" w:color="auto"/>
              <w:bottom w:val="single" w:sz="6" w:space="0" w:color="auto"/>
              <w:right w:val="single" w:sz="6" w:space="0" w:color="auto"/>
            </w:tcBorders>
          </w:tcPr>
          <w:p w14:paraId="6124C2B1" w14:textId="77777777" w:rsidR="00AD5F95" w:rsidRDefault="00AD5F95" w:rsidP="009E7F73">
            <w:pPr>
              <w:pStyle w:val="TAL"/>
              <w:rPr>
                <w:lang w:eastAsia="zh-CN"/>
              </w:rPr>
            </w:pPr>
            <w:r>
              <w:rPr>
                <w:lang w:eastAsia="zh-CN"/>
              </w:rPr>
              <w:t>MovementBehaviour</w:t>
            </w:r>
          </w:p>
        </w:tc>
      </w:tr>
      <w:tr w:rsidR="00AD5F95" w14:paraId="38FFDD9F"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7C2E7546" w14:textId="77777777" w:rsidR="00AD5F95" w:rsidRDefault="00AD5F95" w:rsidP="009E7F73">
            <w:pPr>
              <w:pStyle w:val="TAL"/>
              <w:rPr>
                <w:lang w:eastAsia="zh-CN"/>
              </w:rPr>
            </w:pPr>
            <w:r>
              <w:rPr>
                <w:lang w:eastAsia="zh-CN"/>
              </w:rPr>
              <w:t>relProxInfos</w:t>
            </w:r>
          </w:p>
        </w:tc>
        <w:tc>
          <w:tcPr>
            <w:tcW w:w="2439" w:type="dxa"/>
            <w:gridSpan w:val="2"/>
            <w:tcBorders>
              <w:top w:val="single" w:sz="6" w:space="0" w:color="auto"/>
              <w:left w:val="single" w:sz="6" w:space="0" w:color="auto"/>
              <w:bottom w:val="single" w:sz="6" w:space="0" w:color="auto"/>
              <w:right w:val="single" w:sz="6" w:space="0" w:color="auto"/>
            </w:tcBorders>
          </w:tcPr>
          <w:p w14:paraId="1D5607A0" w14:textId="77777777" w:rsidR="00AD5F95" w:rsidRDefault="00AD5F95" w:rsidP="009E7F73">
            <w:pPr>
              <w:pStyle w:val="TAL"/>
            </w:pPr>
            <w:r>
              <w:rPr>
                <w:lang w:eastAsia="ja-JP"/>
              </w:rPr>
              <w:t>array(RelProxInfo)</w:t>
            </w:r>
          </w:p>
        </w:tc>
        <w:tc>
          <w:tcPr>
            <w:tcW w:w="286" w:type="dxa"/>
            <w:gridSpan w:val="2"/>
            <w:tcBorders>
              <w:top w:val="single" w:sz="6" w:space="0" w:color="auto"/>
              <w:left w:val="single" w:sz="6" w:space="0" w:color="auto"/>
              <w:bottom w:val="single" w:sz="6" w:space="0" w:color="auto"/>
              <w:right w:val="single" w:sz="6" w:space="0" w:color="auto"/>
            </w:tcBorders>
          </w:tcPr>
          <w:p w14:paraId="086F4F15" w14:textId="77777777" w:rsidR="00AD5F95" w:rsidRDefault="00AD5F95" w:rsidP="009E7F73">
            <w:pPr>
              <w:pStyle w:val="TAL"/>
              <w:rPr>
                <w:lang w:eastAsia="zh-CN"/>
              </w:rPr>
            </w:pPr>
            <w:r>
              <w:rPr>
                <w:lang w:eastAsia="zh-CN"/>
              </w:rPr>
              <w:t>C</w:t>
            </w:r>
          </w:p>
        </w:tc>
        <w:tc>
          <w:tcPr>
            <w:tcW w:w="1068" w:type="dxa"/>
            <w:gridSpan w:val="2"/>
            <w:tcBorders>
              <w:top w:val="single" w:sz="6" w:space="0" w:color="auto"/>
              <w:left w:val="single" w:sz="6" w:space="0" w:color="auto"/>
              <w:bottom w:val="single" w:sz="6" w:space="0" w:color="auto"/>
              <w:right w:val="single" w:sz="6" w:space="0" w:color="auto"/>
            </w:tcBorders>
          </w:tcPr>
          <w:p w14:paraId="313996D2"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095BC6FE" w14:textId="77777777" w:rsidR="00AD5F95" w:rsidRDefault="00AD5F95" w:rsidP="009E7F73">
            <w:pPr>
              <w:pStyle w:val="TAL"/>
            </w:pPr>
            <w:r>
              <w:rPr>
                <w:lang w:eastAsia="zh-CN"/>
              </w:rPr>
              <w:t xml:space="preserve">The </w:t>
            </w:r>
            <w:r>
              <w:t>Relative Proximity information.</w:t>
            </w:r>
          </w:p>
          <w:p w14:paraId="20EDA371" w14:textId="77777777" w:rsidR="00AD5F95" w:rsidRDefault="00AD5F95" w:rsidP="009E7F73">
            <w:pPr>
              <w:pStyle w:val="TAL"/>
            </w:pPr>
            <w:r>
              <w:t>Shall be present when the requested event is "RELATIVE_PROXIMITY".</w:t>
            </w:r>
          </w:p>
          <w:p w14:paraId="57A3DD1F" w14:textId="77777777" w:rsidR="00AD5F95" w:rsidRDefault="00AD5F95" w:rsidP="009E7F73">
            <w:pPr>
              <w:pStyle w:val="TAL"/>
              <w:rPr>
                <w:lang w:eastAsia="zh-CN"/>
              </w:rPr>
            </w:pPr>
            <w:r>
              <w:t>(NOTE </w:t>
            </w:r>
            <w:r>
              <w:rPr>
                <w:rFonts w:hint="eastAsia"/>
                <w:lang w:eastAsia="zh-CN"/>
              </w:rPr>
              <w:t>1</w:t>
            </w:r>
            <w:r>
              <w:rPr>
                <w:lang w:eastAsia="zh-CN"/>
              </w:rPr>
              <w:t>0</w:t>
            </w:r>
            <w:r>
              <w:t>)</w:t>
            </w:r>
          </w:p>
        </w:tc>
        <w:tc>
          <w:tcPr>
            <w:tcW w:w="1248" w:type="dxa"/>
            <w:gridSpan w:val="2"/>
            <w:tcBorders>
              <w:top w:val="single" w:sz="6" w:space="0" w:color="auto"/>
              <w:left w:val="single" w:sz="6" w:space="0" w:color="auto"/>
              <w:bottom w:val="single" w:sz="6" w:space="0" w:color="auto"/>
              <w:right w:val="single" w:sz="6" w:space="0" w:color="auto"/>
            </w:tcBorders>
          </w:tcPr>
          <w:p w14:paraId="4466DB82" w14:textId="77777777" w:rsidR="00AD5F95" w:rsidRDefault="00AD5F95" w:rsidP="009E7F73">
            <w:pPr>
              <w:pStyle w:val="TAL"/>
              <w:rPr>
                <w:lang w:eastAsia="zh-CN"/>
              </w:rPr>
            </w:pPr>
            <w:r>
              <w:rPr>
                <w:lang w:eastAsia="zh-CN"/>
              </w:rPr>
              <w:t>RelativeProximity</w:t>
            </w:r>
          </w:p>
        </w:tc>
      </w:tr>
      <w:tr w:rsidR="00AD5F95" w14:paraId="0F23AAD3"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4AE5FCF8" w14:textId="77777777" w:rsidR="00AD5F95" w:rsidRDefault="00AD5F95" w:rsidP="009E7F73">
            <w:pPr>
              <w:pStyle w:val="TAL"/>
              <w:rPr>
                <w:lang w:eastAsia="zh-CN"/>
              </w:rPr>
            </w:pPr>
            <w:r>
              <w:t>signalStormInfos</w:t>
            </w:r>
          </w:p>
        </w:tc>
        <w:tc>
          <w:tcPr>
            <w:tcW w:w="2439" w:type="dxa"/>
            <w:gridSpan w:val="2"/>
            <w:tcBorders>
              <w:top w:val="single" w:sz="6" w:space="0" w:color="auto"/>
              <w:left w:val="single" w:sz="6" w:space="0" w:color="auto"/>
              <w:bottom w:val="single" w:sz="6" w:space="0" w:color="auto"/>
              <w:right w:val="single" w:sz="6" w:space="0" w:color="auto"/>
            </w:tcBorders>
          </w:tcPr>
          <w:p w14:paraId="7426989F" w14:textId="77777777" w:rsidR="00AD5F95" w:rsidRDefault="00AD5F95" w:rsidP="009E7F73">
            <w:pPr>
              <w:pStyle w:val="TAL"/>
              <w:rPr>
                <w:lang w:eastAsia="ja-JP"/>
              </w:rPr>
            </w:pPr>
            <w:r>
              <w:t>array(SignalStormInfo)</w:t>
            </w:r>
          </w:p>
        </w:tc>
        <w:tc>
          <w:tcPr>
            <w:tcW w:w="286" w:type="dxa"/>
            <w:gridSpan w:val="2"/>
            <w:tcBorders>
              <w:top w:val="single" w:sz="6" w:space="0" w:color="auto"/>
              <w:left w:val="single" w:sz="6" w:space="0" w:color="auto"/>
              <w:bottom w:val="single" w:sz="6" w:space="0" w:color="auto"/>
              <w:right w:val="single" w:sz="6" w:space="0" w:color="auto"/>
            </w:tcBorders>
          </w:tcPr>
          <w:p w14:paraId="07BA067F" w14:textId="77777777" w:rsidR="00AD5F95" w:rsidRDefault="00AD5F95" w:rsidP="009E7F73">
            <w:pPr>
              <w:pStyle w:val="TAL"/>
              <w:rPr>
                <w:lang w:eastAsia="zh-CN"/>
              </w:rPr>
            </w:pPr>
            <w:r>
              <w:t>C</w:t>
            </w:r>
          </w:p>
        </w:tc>
        <w:tc>
          <w:tcPr>
            <w:tcW w:w="1068" w:type="dxa"/>
            <w:gridSpan w:val="2"/>
            <w:tcBorders>
              <w:top w:val="single" w:sz="6" w:space="0" w:color="auto"/>
              <w:left w:val="single" w:sz="6" w:space="0" w:color="auto"/>
              <w:bottom w:val="single" w:sz="6" w:space="0" w:color="auto"/>
              <w:right w:val="single" w:sz="6" w:space="0" w:color="auto"/>
            </w:tcBorders>
          </w:tcPr>
          <w:p w14:paraId="0697FDFF" w14:textId="77777777" w:rsidR="00AD5F95" w:rsidRDefault="00AD5F95" w:rsidP="009E7F73">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0FF7DA89" w14:textId="77777777" w:rsidR="00AD5F95" w:rsidRDefault="00AD5F95" w:rsidP="009E7F73">
            <w:pPr>
              <w:pStyle w:val="TAL"/>
              <w:rPr>
                <w:lang w:eastAsia="zh-CN"/>
              </w:rPr>
            </w:pPr>
            <w:r>
              <w:t>The signalling storm information. It shall be present when the requested event is "SIGNALLING_STORM".</w:t>
            </w:r>
          </w:p>
        </w:tc>
        <w:tc>
          <w:tcPr>
            <w:tcW w:w="1248" w:type="dxa"/>
            <w:gridSpan w:val="2"/>
            <w:tcBorders>
              <w:top w:val="single" w:sz="6" w:space="0" w:color="auto"/>
              <w:left w:val="single" w:sz="6" w:space="0" w:color="auto"/>
              <w:bottom w:val="single" w:sz="6" w:space="0" w:color="auto"/>
              <w:right w:val="single" w:sz="6" w:space="0" w:color="auto"/>
            </w:tcBorders>
          </w:tcPr>
          <w:p w14:paraId="32876468" w14:textId="77777777" w:rsidR="00AD5F95" w:rsidRDefault="00AD5F95" w:rsidP="009E7F73">
            <w:pPr>
              <w:pStyle w:val="TAL"/>
              <w:rPr>
                <w:lang w:eastAsia="zh-CN"/>
              </w:rPr>
            </w:pPr>
            <w:r>
              <w:t>SignallingStorm</w:t>
            </w:r>
          </w:p>
        </w:tc>
      </w:tr>
      <w:tr w:rsidR="001A238E" w14:paraId="5A7B94C5" w14:textId="77777777" w:rsidTr="009E7F73">
        <w:trPr>
          <w:gridBefore w:val="1"/>
          <w:wBefore w:w="36" w:type="dxa"/>
          <w:jc w:val="center"/>
        </w:trPr>
        <w:tc>
          <w:tcPr>
            <w:tcW w:w="1718" w:type="dxa"/>
            <w:gridSpan w:val="2"/>
            <w:tcBorders>
              <w:top w:val="single" w:sz="6" w:space="0" w:color="auto"/>
              <w:left w:val="single" w:sz="6" w:space="0" w:color="auto"/>
              <w:bottom w:val="single" w:sz="6" w:space="0" w:color="auto"/>
              <w:right w:val="single" w:sz="6" w:space="0" w:color="auto"/>
            </w:tcBorders>
          </w:tcPr>
          <w:p w14:paraId="665D073D" w14:textId="77777777" w:rsidR="001A238E" w:rsidRDefault="001A238E" w:rsidP="001A238E">
            <w:pPr>
              <w:pStyle w:val="TAL"/>
            </w:pPr>
            <w:r>
              <w:t>qosPlyAsstInfos</w:t>
            </w:r>
          </w:p>
        </w:tc>
        <w:tc>
          <w:tcPr>
            <w:tcW w:w="2439" w:type="dxa"/>
            <w:gridSpan w:val="2"/>
            <w:tcBorders>
              <w:top w:val="single" w:sz="6" w:space="0" w:color="auto"/>
              <w:left w:val="single" w:sz="6" w:space="0" w:color="auto"/>
              <w:bottom w:val="single" w:sz="6" w:space="0" w:color="auto"/>
              <w:right w:val="single" w:sz="6" w:space="0" w:color="auto"/>
            </w:tcBorders>
          </w:tcPr>
          <w:p w14:paraId="19EB9DE8" w14:textId="77777777" w:rsidR="001A238E" w:rsidRDefault="001A238E" w:rsidP="001A238E">
            <w:pPr>
              <w:pStyle w:val="TAL"/>
            </w:pPr>
            <w:r>
              <w:t>array(QosPolicyAssistInfo)</w:t>
            </w:r>
          </w:p>
        </w:tc>
        <w:tc>
          <w:tcPr>
            <w:tcW w:w="286" w:type="dxa"/>
            <w:gridSpan w:val="2"/>
            <w:tcBorders>
              <w:top w:val="single" w:sz="6" w:space="0" w:color="auto"/>
              <w:left w:val="single" w:sz="6" w:space="0" w:color="auto"/>
              <w:bottom w:val="single" w:sz="6" w:space="0" w:color="auto"/>
              <w:right w:val="single" w:sz="6" w:space="0" w:color="auto"/>
            </w:tcBorders>
          </w:tcPr>
          <w:p w14:paraId="7F159296" w14:textId="77777777" w:rsidR="001A238E" w:rsidRDefault="001A238E" w:rsidP="001A238E">
            <w:pPr>
              <w:pStyle w:val="TAL"/>
            </w:pPr>
            <w:r>
              <w:t>C</w:t>
            </w:r>
          </w:p>
        </w:tc>
        <w:tc>
          <w:tcPr>
            <w:tcW w:w="1068" w:type="dxa"/>
            <w:gridSpan w:val="2"/>
            <w:tcBorders>
              <w:top w:val="single" w:sz="6" w:space="0" w:color="auto"/>
              <w:left w:val="single" w:sz="6" w:space="0" w:color="auto"/>
              <w:bottom w:val="single" w:sz="6" w:space="0" w:color="auto"/>
              <w:right w:val="single" w:sz="6" w:space="0" w:color="auto"/>
            </w:tcBorders>
          </w:tcPr>
          <w:p w14:paraId="79A5855E" w14:textId="77777777" w:rsidR="001A238E" w:rsidRDefault="001A238E" w:rsidP="001A238E">
            <w:pPr>
              <w:pStyle w:val="TAL"/>
            </w:pPr>
            <w:r>
              <w:t>1..N</w:t>
            </w:r>
          </w:p>
        </w:tc>
        <w:tc>
          <w:tcPr>
            <w:tcW w:w="2826" w:type="dxa"/>
            <w:gridSpan w:val="2"/>
            <w:tcBorders>
              <w:top w:val="single" w:sz="6" w:space="0" w:color="auto"/>
              <w:left w:val="single" w:sz="6" w:space="0" w:color="auto"/>
              <w:bottom w:val="single" w:sz="6" w:space="0" w:color="auto"/>
              <w:right w:val="single" w:sz="6" w:space="0" w:color="auto"/>
            </w:tcBorders>
          </w:tcPr>
          <w:p w14:paraId="5DFA512C" w14:textId="77777777" w:rsidR="001A238E" w:rsidRDefault="001A238E" w:rsidP="001A238E">
            <w:pPr>
              <w:pStyle w:val="TAL"/>
            </w:pPr>
            <w:r>
              <w:t xml:space="preserve">The </w:t>
            </w:r>
            <w:r w:rsidRPr="00291381">
              <w:t xml:space="preserve">QoS and </w:t>
            </w:r>
            <w:r>
              <w:t>Policy A</w:t>
            </w:r>
            <w:r w:rsidRPr="00291381">
              <w:t xml:space="preserve">ssistance </w:t>
            </w:r>
            <w:r>
              <w:t>information. It shall be present when the requested event is "</w:t>
            </w:r>
            <w:r>
              <w:rPr>
                <w:lang w:eastAsia="zh-CN"/>
              </w:rPr>
              <w:t>QOS_POLICY_ASSISTANCE</w:t>
            </w:r>
            <w:r>
              <w:t>".</w:t>
            </w:r>
          </w:p>
        </w:tc>
        <w:tc>
          <w:tcPr>
            <w:tcW w:w="1248" w:type="dxa"/>
            <w:gridSpan w:val="2"/>
            <w:tcBorders>
              <w:top w:val="single" w:sz="6" w:space="0" w:color="auto"/>
              <w:left w:val="single" w:sz="6" w:space="0" w:color="auto"/>
              <w:bottom w:val="single" w:sz="6" w:space="0" w:color="auto"/>
              <w:right w:val="single" w:sz="6" w:space="0" w:color="auto"/>
            </w:tcBorders>
          </w:tcPr>
          <w:p w14:paraId="6708DFB8" w14:textId="77777777" w:rsidR="001A238E" w:rsidRDefault="001A238E" w:rsidP="001A238E">
            <w:pPr>
              <w:pStyle w:val="TAL"/>
            </w:pPr>
            <w:r>
              <w:rPr>
                <w:rFonts w:hint="eastAsia"/>
                <w:lang w:eastAsia="zh-CN"/>
              </w:rPr>
              <w:t>Q</w:t>
            </w:r>
            <w:r>
              <w:rPr>
                <w:lang w:eastAsia="zh-CN"/>
              </w:rPr>
              <w:t>oSPolicyAssist</w:t>
            </w:r>
          </w:p>
        </w:tc>
      </w:tr>
      <w:tr w:rsidR="00AD5F95" w14:paraId="747346C2" w14:textId="77777777" w:rsidTr="009E7F73">
        <w:trPr>
          <w:gridBefore w:val="1"/>
          <w:wBefore w:w="36" w:type="dxa"/>
          <w:jc w:val="center"/>
        </w:trPr>
        <w:tc>
          <w:tcPr>
            <w:tcW w:w="9585" w:type="dxa"/>
            <w:gridSpan w:val="12"/>
            <w:tcBorders>
              <w:top w:val="single" w:sz="6" w:space="0" w:color="auto"/>
              <w:left w:val="single" w:sz="6" w:space="0" w:color="auto"/>
              <w:bottom w:val="single" w:sz="6" w:space="0" w:color="auto"/>
              <w:right w:val="single" w:sz="6" w:space="0" w:color="auto"/>
            </w:tcBorders>
          </w:tcPr>
          <w:p w14:paraId="52073E3B" w14:textId="77777777" w:rsidR="00AD5F95" w:rsidRDefault="00AD5F95" w:rsidP="009E7F73">
            <w:pPr>
              <w:pStyle w:val="TAN"/>
            </w:pPr>
            <w:r>
              <w:rPr>
                <w:rFonts w:cs="Arial"/>
                <w:szCs w:val="18"/>
              </w:rPr>
              <w:t>NOTE 1:</w:t>
            </w:r>
            <w:r>
              <w:tab/>
              <w:t>If the "start" attribute and the "expiry" attribute are both provided, the DateTime of the "expiry" attribute shall not be earlier than the DateTime of the "start" attribute.</w:t>
            </w:r>
          </w:p>
          <w:p w14:paraId="7AEB3027" w14:textId="06545688" w:rsidR="00AD5F95" w:rsidRDefault="00AD5F95" w:rsidP="009E7F73">
            <w:pPr>
              <w:pStyle w:val="TAN"/>
            </w:pPr>
            <w:r>
              <w:t>NOTE 2:</w:t>
            </w:r>
            <w:r>
              <w:tab/>
            </w:r>
            <w:r w:rsidR="00C869EF" w:rsidRPr="00F31FE4">
              <w:t>The "qosFlowRetThd"</w:t>
            </w:r>
            <w:r w:rsidR="00C869EF">
              <w:t>,</w:t>
            </w:r>
            <w:r w:rsidR="00C869EF" w:rsidRPr="00F31FE4">
              <w:t xml:space="preserve"> "ranUeThrouThd"</w:t>
            </w:r>
            <w:r w:rsidR="00C869EF">
              <w:t>, and "e2eDelayThd"</w:t>
            </w:r>
            <w:r w:rsidR="00C869EF" w:rsidRPr="00F31FE4">
              <w:t xml:space="preserve"> attributes in QosSustainabilityInfo data type are not applicable.</w:t>
            </w:r>
          </w:p>
          <w:p w14:paraId="2BA33664" w14:textId="77777777" w:rsidR="00AD5F95" w:rsidRDefault="00AD5F95" w:rsidP="009E7F73">
            <w:pPr>
              <w:pStyle w:val="TAN"/>
            </w:pPr>
            <w:r>
              <w:t xml:space="preserve">NOTE 3: </w:t>
            </w:r>
            <w:r>
              <w:tab/>
              <w:t xml:space="preserve">This attribute shall be included </w:t>
            </w:r>
            <w:r>
              <w:rPr>
                <w:lang w:eastAsia="zh-CN"/>
              </w:rPr>
              <w:t>when</w:t>
            </w:r>
            <w:r>
              <w:t xml:space="preserve"> ADRF is deployed.</w:t>
            </w:r>
          </w:p>
          <w:p w14:paraId="2F6A554C" w14:textId="77777777" w:rsidR="00AD5F95" w:rsidRDefault="00AD5F95" w:rsidP="009E7F73">
            <w:pPr>
              <w:pStyle w:val="TAN"/>
            </w:pPr>
            <w:r>
              <w:t xml:space="preserve">NOTE 4: </w:t>
            </w:r>
            <w:r>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Pr>
                <w:lang w:eastAsia="en-GB"/>
              </w:rPr>
              <w:t>"</w:t>
            </w:r>
            <w:r>
              <w:t xml:space="preserve"> feature is supported.</w:t>
            </w:r>
          </w:p>
          <w:p w14:paraId="1D571C94" w14:textId="77777777" w:rsidR="00AD5F95" w:rsidRDefault="00AD5F95" w:rsidP="009E7F73">
            <w:pPr>
              <w:pStyle w:val="TAN"/>
            </w:pPr>
            <w:r>
              <w:t xml:space="preserve">NOTE 5: </w:t>
            </w:r>
            <w:r>
              <w:tab/>
              <w:t>The "directionInfos" attribute and the "geoDistrInfos" attribute in the "locInfos" attribute within the UeMobility data type are applicable only if the "UeMobilityExt_AIML</w:t>
            </w:r>
            <w:r>
              <w:rPr>
                <w:lang w:eastAsia="en-GB"/>
              </w:rPr>
              <w:t>"</w:t>
            </w:r>
            <w:r>
              <w:t xml:space="preserve"> feature is supported.</w:t>
            </w:r>
          </w:p>
          <w:p w14:paraId="31F016AF" w14:textId="77777777" w:rsidR="00AD5F95" w:rsidRDefault="00AD5F95" w:rsidP="009E7F73">
            <w:pPr>
              <w:pStyle w:val="TAN"/>
            </w:pPr>
            <w:r>
              <w:t xml:space="preserve">NOTE 6: </w:t>
            </w:r>
            <w:r>
              <w:tab/>
              <w:t>The "</w:t>
            </w:r>
            <w:r>
              <w:rPr>
                <w:lang w:eastAsia="zh-CN"/>
              </w:rPr>
              <w:t>wlanPerUeIdInfos</w:t>
            </w:r>
            <w:r>
              <w:t>" attribute may be included within the "</w:t>
            </w:r>
            <w:r>
              <w:rPr>
                <w:lang w:eastAsia="ko-KR"/>
              </w:rPr>
              <w:t>wlanInfos</w:t>
            </w:r>
            <w:r>
              <w:t>" attribute only if the "WlanPerformanceExt_AIML" feature is supported.</w:t>
            </w:r>
          </w:p>
          <w:p w14:paraId="62A304E6" w14:textId="77777777" w:rsidR="00AD5F95" w:rsidRDefault="00AD5F95" w:rsidP="009E7F73">
            <w:pPr>
              <w:pStyle w:val="TAN"/>
            </w:pPr>
            <w:r>
              <w:t xml:space="preserve">NOTE 7: </w:t>
            </w:r>
            <w:r>
              <w:tab/>
              <w:t xml:space="preserve">The </w:t>
            </w:r>
            <w:r>
              <w:rPr>
                <w:lang w:eastAsia="zh-CN"/>
              </w:rPr>
              <w:t>validity period specified by</w:t>
            </w:r>
            <w:r>
              <w:t xml:space="preserve"> </w:t>
            </w:r>
            <w:r>
              <w:rPr>
                <w:lang w:val="en-US" w:eastAsia="zh-CN"/>
              </w:rPr>
              <w:t>"</w:t>
            </w:r>
            <w:r>
              <w:t>start</w:t>
            </w:r>
            <w:r>
              <w:rPr>
                <w:lang w:val="en-US" w:eastAsia="zh-CN"/>
              </w:rPr>
              <w:t>"</w:t>
            </w:r>
            <w:r>
              <w:rPr>
                <w:lang w:eastAsia="zh-CN"/>
              </w:rPr>
              <w:t xml:space="preserve"> and </w:t>
            </w:r>
            <w:r>
              <w:rPr>
                <w:lang w:val="en-US" w:eastAsia="zh-CN"/>
              </w:rPr>
              <w:t>"</w:t>
            </w:r>
            <w:r>
              <w:t>expiry</w:t>
            </w:r>
            <w:r>
              <w:rPr>
                <w:lang w:val="en-US" w:eastAsia="zh-CN"/>
              </w:rPr>
              <w:t>"</w:t>
            </w:r>
            <w:r>
              <w:rPr>
                <w:lang w:eastAsia="zh-CN"/>
              </w:rPr>
              <w:t xml:space="preserve"> attributes is determined by NWDAF internal logic, and is a subset of the </w:t>
            </w:r>
            <w:r>
              <w:t xml:space="preserve">analytics target period indicated by </w:t>
            </w:r>
            <w:r>
              <w:rPr>
                <w:lang w:val="en-US" w:eastAsia="zh-CN"/>
              </w:rPr>
              <w:t>"</w:t>
            </w:r>
            <w:r>
              <w:t>startTs</w:t>
            </w:r>
            <w:r>
              <w:rPr>
                <w:lang w:val="en-US" w:eastAsia="zh-CN"/>
              </w:rPr>
              <w:t>"</w:t>
            </w:r>
            <w:r>
              <w:t xml:space="preserve"> and </w:t>
            </w:r>
            <w:r>
              <w:rPr>
                <w:lang w:val="en-US" w:eastAsia="zh-CN"/>
              </w:rPr>
              <w:t>"</w:t>
            </w:r>
            <w:r>
              <w:t>endTs</w:t>
            </w:r>
            <w:r>
              <w:rPr>
                <w:lang w:val="en-US" w:eastAsia="zh-CN"/>
              </w:rPr>
              <w:t>"</w:t>
            </w:r>
            <w:r>
              <w:t xml:space="preserve">, or </w:t>
            </w:r>
            <w:r>
              <w:rPr>
                <w:lang w:val="en-US" w:eastAsia="zh-CN"/>
              </w:rPr>
              <w:t>"</w:t>
            </w:r>
            <w:r>
              <w:t>offsetPeriod</w:t>
            </w:r>
            <w:r>
              <w:rPr>
                <w:lang w:val="en-US" w:eastAsia="zh-CN"/>
              </w:rPr>
              <w:t>"</w:t>
            </w:r>
            <w:r>
              <w:t xml:space="preserve"> attributes contained in </w:t>
            </w:r>
            <w:r>
              <w:rPr>
                <w:lang w:val="en-US" w:eastAsia="zh-CN"/>
              </w:rPr>
              <w:t>"</w:t>
            </w:r>
            <w:r>
              <w:t>ana-req</w:t>
            </w:r>
            <w:r>
              <w:rPr>
                <w:lang w:val="en-US" w:eastAsia="zh-CN"/>
              </w:rPr>
              <w:t>"</w:t>
            </w:r>
            <w:r>
              <w:t xml:space="preserve"> attribute</w:t>
            </w:r>
            <w:r>
              <w:rPr>
                <w:lang w:eastAsia="zh-CN"/>
              </w:rPr>
              <w:t xml:space="preserve">. If the </w:t>
            </w:r>
            <w:r>
              <w:t xml:space="preserve">analytics target period </w:t>
            </w:r>
            <w:r>
              <w:rPr>
                <w:lang w:eastAsia="zh-CN"/>
              </w:rPr>
              <w:t>refers to the past, the period specified by these two attributes indicate the time period over which the statistics are applicable</w:t>
            </w:r>
            <w:r>
              <w:t xml:space="preserve">. </w:t>
            </w:r>
            <w:r>
              <w:rPr>
                <w:lang w:eastAsia="zh-CN"/>
              </w:rPr>
              <w:t xml:space="preserve">If the </w:t>
            </w:r>
            <w:r>
              <w:t xml:space="preserve">analytics target period </w:t>
            </w:r>
            <w:r>
              <w:rPr>
                <w:lang w:eastAsia="zh-CN"/>
              </w:rPr>
              <w:t xml:space="preserve">refers to the future, the period specified by these two attributes indicate the time period </w:t>
            </w:r>
            <w:r>
              <w:t>over which the predictions are valid.</w:t>
            </w:r>
          </w:p>
          <w:p w14:paraId="22FFD6C7" w14:textId="77777777" w:rsidR="00AD5F95" w:rsidRDefault="00AD5F95" w:rsidP="009E7F73">
            <w:pPr>
              <w:pStyle w:val="TAN"/>
            </w:pPr>
            <w:r>
              <w:rPr>
                <w:rFonts w:cs="Arial"/>
                <w:szCs w:val="18"/>
              </w:rPr>
              <w:t>NOTE 8:</w:t>
            </w:r>
            <w:r>
              <w:tab/>
              <w:t>If the "UeMobilityExt2_eNA" feature is supported and the "locationGranReq" attribute value "LON_AND_LAT_LEVEL" is requested, the "geoLoc" attribute within the "locInfos" attribute in the "UeMobility" type shall be provided to report the geographical location.</w:t>
            </w:r>
          </w:p>
          <w:p w14:paraId="4BDF675C" w14:textId="77777777" w:rsidR="00AD5F95" w:rsidRDefault="00AD5F95" w:rsidP="009E7F73">
            <w:pPr>
              <w:pStyle w:val="TAN"/>
              <w:rPr>
                <w:lang w:eastAsia="ko-KR"/>
              </w:rPr>
            </w:pPr>
            <w:r>
              <w:t xml:space="preserve">NOTE 9: </w:t>
            </w:r>
            <w:r>
              <w:tab/>
            </w:r>
            <w:r>
              <w:tab/>
              <w:t>The "</w:t>
            </w:r>
            <w:r>
              <w:rPr>
                <w:lang w:eastAsia="zh-CN"/>
              </w:rPr>
              <w:t>perioCommInd</w:t>
            </w:r>
            <w:r>
              <w:t>", "anaOfAppList" and "</w:t>
            </w:r>
            <w:r>
              <w:rPr>
                <w:lang w:val="en-US" w:eastAsia="zh-CN"/>
              </w:rPr>
              <w:t>sessInactTimer</w:t>
            </w:r>
            <w:r>
              <w:t>" attributes within the UeCommunication data type are applicable only if the "UeCommunicationExt" feature is supported.</w:t>
            </w:r>
          </w:p>
          <w:p w14:paraId="481C4036" w14:textId="77777777" w:rsidR="00183EFC" w:rsidRDefault="00183EFC" w:rsidP="00183EFC">
            <w:pPr>
              <w:pStyle w:val="TAN"/>
            </w:pPr>
            <w:r w:rsidRPr="008A711E">
              <w:t>NOTE</w:t>
            </w:r>
            <w:r>
              <w:rPr>
                <w:lang w:eastAsia="zh-CN"/>
              </w:rPr>
              <w:t> </w:t>
            </w:r>
            <w:r>
              <w:rPr>
                <w:rFonts w:hint="eastAsia"/>
                <w:lang w:eastAsia="zh-CN"/>
              </w:rPr>
              <w:t>1</w:t>
            </w:r>
            <w:r>
              <w:rPr>
                <w:lang w:eastAsia="zh-CN"/>
              </w:rPr>
              <w:t>0</w:t>
            </w:r>
            <w:r w:rsidRPr="008A711E">
              <w:t>:</w:t>
            </w:r>
            <w:r w:rsidRPr="008A711E">
              <w:tab/>
            </w:r>
            <w:r>
              <w:t xml:space="preserve">When the </w:t>
            </w:r>
            <w:r w:rsidRPr="00CA75E7">
              <w:t>"</w:t>
            </w:r>
            <w:r>
              <w:t>RelativeProximityExt</w:t>
            </w:r>
            <w:r w:rsidRPr="00CA75E7">
              <w:t>"</w:t>
            </w:r>
            <w:r>
              <w:t xml:space="preserve"> feature is supported:</w:t>
            </w:r>
          </w:p>
          <w:p w14:paraId="7ED822B1" w14:textId="43D245EE" w:rsidR="00183EFC" w:rsidRPr="00253BF3" w:rsidRDefault="00183EFC" w:rsidP="00253BF3">
            <w:pPr>
              <w:pStyle w:val="TAN"/>
              <w:ind w:left="1135" w:hanging="284"/>
              <w:rPr>
                <w:rFonts w:cs="Arial"/>
                <w:szCs w:val="18"/>
              </w:rPr>
            </w:pPr>
            <w:r>
              <w:rPr>
                <w:rFonts w:cs="Arial"/>
                <w:szCs w:val="18"/>
              </w:rPr>
              <w:t>-</w:t>
            </w:r>
            <w:r>
              <w:rPr>
                <w:rFonts w:cs="Arial"/>
                <w:szCs w:val="18"/>
              </w:rPr>
              <w:tab/>
              <w:t xml:space="preserve">if </w:t>
            </w:r>
            <w:r w:rsidRPr="00253BF3">
              <w:rPr>
                <w:rFonts w:cs="Arial"/>
                <w:szCs w:val="18"/>
              </w:rPr>
              <w:t>the "TIME_TO_COLLISION" value within the "listOfAnaSubsets" attribute is provided in the request, the "collisionSpace" attribute, and/or the "colliDirection" attribute with optionally "colDirConfidence" and/or "colDirAccuracy" attributes within the "ttcInfo" attribute may be provided.</w:t>
            </w:r>
          </w:p>
          <w:p w14:paraId="44B7E0A7" w14:textId="77777777" w:rsidR="00183EFC" w:rsidRPr="0013743E" w:rsidRDefault="00183EFC" w:rsidP="00253BF3">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t>intGroupIds</w:t>
            </w:r>
            <w:r w:rsidRPr="000060F8">
              <w:rPr>
                <w:rFonts w:cs="Arial" w:hint="eastAsia"/>
                <w:szCs w:val="18"/>
              </w:rPr>
              <w:t>"</w:t>
            </w:r>
            <w:r w:rsidRPr="000060F8">
              <w:rPr>
                <w:rFonts w:cs="Arial"/>
                <w:szCs w:val="18"/>
              </w:rPr>
              <w:t xml:space="preserve"> </w:t>
            </w:r>
            <w:r w:rsidRPr="006D7B93">
              <w:rPr>
                <w:rFonts w:cs="Arial"/>
                <w:szCs w:val="18"/>
              </w:rPr>
              <w:t>within the RelProxInfo data type may be provided</w:t>
            </w:r>
            <w:r>
              <w:rPr>
                <w:rFonts w:cs="Arial"/>
                <w:szCs w:val="18"/>
              </w:rPr>
              <w:t>.</w:t>
            </w:r>
          </w:p>
          <w:p w14:paraId="42CAAD9D" w14:textId="5D32465A" w:rsidR="00AD5F95" w:rsidRDefault="00183EFC" w:rsidP="00183EFC">
            <w:pPr>
              <w:pStyle w:val="TAN"/>
            </w:pPr>
            <w:r w:rsidRPr="001464E6">
              <w:rPr>
                <w:rFonts w:cs="Arial"/>
                <w:szCs w:val="18"/>
              </w:rPr>
              <w:t>NOTE </w:t>
            </w:r>
            <w:r>
              <w:rPr>
                <w:rFonts w:cs="Arial"/>
                <w:szCs w:val="18"/>
              </w:rPr>
              <w:t>11</w:t>
            </w:r>
            <w:r w:rsidRPr="001464E6">
              <w:rPr>
                <w:rFonts w:cs="Arial"/>
                <w:szCs w:val="18"/>
              </w:rPr>
              <w:t>:</w:t>
            </w:r>
            <w:r w:rsidRPr="001464E6">
              <w:tab/>
              <w:t>The "</w:t>
            </w:r>
            <w:r>
              <w:t>nfIds</w:t>
            </w:r>
            <w:r w:rsidRPr="001464E6">
              <w:t>"</w:t>
            </w:r>
            <w:r>
              <w:t xml:space="preserve">, </w:t>
            </w:r>
            <w:r w:rsidRPr="001464E6">
              <w:t>"</w:t>
            </w:r>
            <w:r>
              <w:t>nfSetIds</w:t>
            </w:r>
            <w:r w:rsidRPr="001464E6">
              <w:t>"</w:t>
            </w:r>
            <w:r>
              <w:t xml:space="preserve">, and </w:t>
            </w:r>
            <w:r w:rsidRPr="001464E6">
              <w:t>"</w:t>
            </w:r>
            <w:r>
              <w:t>dataProcInstructs</w:t>
            </w:r>
            <w:r w:rsidRPr="001464E6">
              <w:t>" attribute</w:t>
            </w:r>
            <w:r>
              <w:t>s</w:t>
            </w:r>
            <w:r w:rsidRPr="001464E6">
              <w:t xml:space="preserve"> in the "</w:t>
            </w:r>
            <w:r>
              <w:t>anaMeta</w:t>
            </w:r>
            <w:r w:rsidRPr="001464E6">
              <w:t>Info" attribute</w:t>
            </w:r>
            <w:r>
              <w:t xml:space="preserve"> </w:t>
            </w:r>
            <w:r w:rsidRPr="001464E6">
              <w:t>are applicable only if the "</w:t>
            </w:r>
            <w:r>
              <w:t>EnAggregation</w:t>
            </w:r>
            <w:r w:rsidRPr="001464E6">
              <w:rPr>
                <w:lang w:eastAsia="en-GB"/>
              </w:rPr>
              <w:t>"</w:t>
            </w:r>
            <w:r w:rsidRPr="001464E6">
              <w:t xml:space="preserve"> feature is supported.</w:t>
            </w:r>
          </w:p>
        </w:tc>
      </w:tr>
    </w:tbl>
    <w:p w14:paraId="056E81CF" w14:textId="77777777" w:rsidR="00AD5F95" w:rsidRDefault="00AD5F95" w:rsidP="00AD5F95"/>
    <w:p w14:paraId="7B768317" w14:textId="77777777" w:rsidR="00D654A6" w:rsidRDefault="00D654A6" w:rsidP="00D654A6">
      <w:pPr>
        <w:pStyle w:val="5"/>
      </w:pPr>
      <w:bookmarkStart w:id="10697" w:name="_Toc191576418"/>
      <w:bookmarkStart w:id="10698" w:name="_Toc191577158"/>
      <w:bookmarkStart w:id="10699" w:name="_Toc192880228"/>
      <w:bookmarkStart w:id="10700" w:name="_Toc195815117"/>
      <w:bookmarkStart w:id="10701" w:name="_Toc199453084"/>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r>
        <w:lastRenderedPageBreak/>
        <w:t>5.2.6.2.3</w:t>
      </w:r>
      <w:r>
        <w:tab/>
        <w:t>Type EventFilter</w:t>
      </w:r>
      <w:bookmarkEnd w:id="10662"/>
      <w:bookmarkEnd w:id="10663"/>
      <w:bookmarkEnd w:id="10664"/>
      <w:bookmarkEnd w:id="10665"/>
      <w:bookmarkEnd w:id="10666"/>
      <w:bookmarkEnd w:id="10667"/>
      <w:bookmarkEnd w:id="10668"/>
      <w:bookmarkEnd w:id="10669"/>
      <w:bookmarkEnd w:id="10697"/>
      <w:bookmarkEnd w:id="10698"/>
      <w:bookmarkEnd w:id="10699"/>
      <w:bookmarkEnd w:id="10700"/>
      <w:bookmarkEnd w:id="10701"/>
    </w:p>
    <w:p w14:paraId="0C8FFF99" w14:textId="77777777" w:rsidR="00D654A6" w:rsidRDefault="00D654A6" w:rsidP="00D654A6">
      <w:pPr>
        <w:pStyle w:val="TH"/>
      </w:pPr>
      <w:r>
        <w:t>Table 5.2.6.2.3-1: Definition of type EventFilter</w:t>
      </w:r>
    </w:p>
    <w:tbl>
      <w:tblPr>
        <w:tblW w:w="941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
        <w:gridCol w:w="15"/>
        <w:gridCol w:w="1484"/>
        <w:gridCol w:w="38"/>
        <w:gridCol w:w="1434"/>
        <w:gridCol w:w="43"/>
        <w:gridCol w:w="317"/>
        <w:gridCol w:w="44"/>
        <w:gridCol w:w="1124"/>
        <w:gridCol w:w="48"/>
        <w:gridCol w:w="3277"/>
        <w:gridCol w:w="47"/>
        <w:gridCol w:w="11"/>
        <w:gridCol w:w="1423"/>
        <w:gridCol w:w="47"/>
        <w:gridCol w:w="30"/>
      </w:tblGrid>
      <w:tr w:rsidR="00D654A6" w14:paraId="7A38C0AB" w14:textId="77777777" w:rsidTr="005A20DD">
        <w:trPr>
          <w:gridAfter w:val="2"/>
          <w:wAfter w:w="77" w:type="dxa"/>
          <w:jc w:val="center"/>
        </w:trPr>
        <w:tc>
          <w:tcPr>
            <w:tcW w:w="1532" w:type="dxa"/>
            <w:gridSpan w:val="3"/>
            <w:shd w:val="clear" w:color="auto" w:fill="C0C0C0"/>
          </w:tcPr>
          <w:p w14:paraId="0B4D35FA" w14:textId="77777777" w:rsidR="00D654A6" w:rsidRDefault="00D654A6" w:rsidP="005A20DD">
            <w:pPr>
              <w:pStyle w:val="TAH"/>
            </w:pPr>
            <w:r>
              <w:lastRenderedPageBreak/>
              <w:t>Attribute name</w:t>
            </w:r>
          </w:p>
        </w:tc>
        <w:tc>
          <w:tcPr>
            <w:tcW w:w="1472" w:type="dxa"/>
            <w:gridSpan w:val="2"/>
            <w:shd w:val="clear" w:color="auto" w:fill="C0C0C0"/>
          </w:tcPr>
          <w:p w14:paraId="2C1C5D70" w14:textId="77777777" w:rsidR="00D654A6" w:rsidRDefault="00D654A6" w:rsidP="005A20DD">
            <w:pPr>
              <w:pStyle w:val="TAH"/>
            </w:pPr>
            <w:r>
              <w:t>Data type</w:t>
            </w:r>
          </w:p>
        </w:tc>
        <w:tc>
          <w:tcPr>
            <w:tcW w:w="360" w:type="dxa"/>
            <w:gridSpan w:val="2"/>
            <w:shd w:val="clear" w:color="auto" w:fill="C0C0C0"/>
          </w:tcPr>
          <w:p w14:paraId="57394C35" w14:textId="77777777" w:rsidR="00D654A6" w:rsidRDefault="00D654A6" w:rsidP="005A20DD">
            <w:pPr>
              <w:pStyle w:val="TAH"/>
            </w:pPr>
            <w:r>
              <w:t>P</w:t>
            </w:r>
          </w:p>
        </w:tc>
        <w:tc>
          <w:tcPr>
            <w:tcW w:w="1168" w:type="dxa"/>
            <w:gridSpan w:val="2"/>
            <w:shd w:val="clear" w:color="auto" w:fill="C0C0C0"/>
          </w:tcPr>
          <w:p w14:paraId="4C2D61C6" w14:textId="77777777" w:rsidR="00D654A6" w:rsidRDefault="00D654A6" w:rsidP="005A20DD">
            <w:pPr>
              <w:pStyle w:val="TAH"/>
              <w:rPr>
                <w:rFonts w:eastAsia="Batang"/>
              </w:rPr>
            </w:pPr>
            <w:r>
              <w:rPr>
                <w:rFonts w:eastAsia="Batang"/>
              </w:rPr>
              <w:t>Cardinality</w:t>
            </w:r>
          </w:p>
        </w:tc>
        <w:tc>
          <w:tcPr>
            <w:tcW w:w="3325" w:type="dxa"/>
            <w:gridSpan w:val="2"/>
            <w:shd w:val="clear" w:color="auto" w:fill="C0C0C0"/>
          </w:tcPr>
          <w:p w14:paraId="040CBE94" w14:textId="77777777" w:rsidR="00D654A6" w:rsidRDefault="00D654A6" w:rsidP="005A20DD">
            <w:pPr>
              <w:pStyle w:val="TAH"/>
              <w:rPr>
                <w:rFonts w:cs="Arial"/>
                <w:szCs w:val="18"/>
              </w:rPr>
            </w:pPr>
            <w:r>
              <w:rPr>
                <w:rFonts w:cs="Arial"/>
                <w:szCs w:val="18"/>
              </w:rPr>
              <w:t>Description</w:t>
            </w:r>
          </w:p>
        </w:tc>
        <w:tc>
          <w:tcPr>
            <w:tcW w:w="1481" w:type="dxa"/>
            <w:gridSpan w:val="3"/>
            <w:shd w:val="clear" w:color="auto" w:fill="C0C0C0"/>
          </w:tcPr>
          <w:p w14:paraId="77F7D87A" w14:textId="77777777" w:rsidR="00D654A6" w:rsidRDefault="00D654A6" w:rsidP="005A20DD">
            <w:pPr>
              <w:pStyle w:val="TAH"/>
              <w:rPr>
                <w:rFonts w:cs="Arial"/>
                <w:szCs w:val="18"/>
              </w:rPr>
            </w:pPr>
            <w:r>
              <w:rPr>
                <w:rFonts w:cs="Arial"/>
                <w:szCs w:val="18"/>
              </w:rPr>
              <w:t>Applicability</w:t>
            </w:r>
          </w:p>
        </w:tc>
      </w:tr>
      <w:tr w:rsidR="00D654A6" w14:paraId="7D3C86AC" w14:textId="77777777" w:rsidTr="005A20DD">
        <w:trPr>
          <w:gridAfter w:val="2"/>
          <w:wAfter w:w="77" w:type="dxa"/>
          <w:jc w:val="center"/>
        </w:trPr>
        <w:tc>
          <w:tcPr>
            <w:tcW w:w="1532" w:type="dxa"/>
            <w:gridSpan w:val="3"/>
          </w:tcPr>
          <w:p w14:paraId="6E44662A" w14:textId="77777777" w:rsidR="00D654A6" w:rsidRDefault="00D654A6" w:rsidP="005A20DD">
            <w:pPr>
              <w:pStyle w:val="TAL"/>
            </w:pPr>
            <w:r>
              <w:t>anySlice</w:t>
            </w:r>
          </w:p>
        </w:tc>
        <w:tc>
          <w:tcPr>
            <w:tcW w:w="1472" w:type="dxa"/>
            <w:gridSpan w:val="2"/>
          </w:tcPr>
          <w:p w14:paraId="511057D0" w14:textId="77777777" w:rsidR="00D654A6" w:rsidRDefault="00D654A6" w:rsidP="005A20DD">
            <w:pPr>
              <w:pStyle w:val="TAL"/>
            </w:pPr>
            <w:r>
              <w:t>AnySlice</w:t>
            </w:r>
          </w:p>
        </w:tc>
        <w:tc>
          <w:tcPr>
            <w:tcW w:w="360" w:type="dxa"/>
            <w:gridSpan w:val="2"/>
          </w:tcPr>
          <w:p w14:paraId="7B059875" w14:textId="77777777" w:rsidR="00D654A6" w:rsidRDefault="00D654A6" w:rsidP="005A20DD">
            <w:pPr>
              <w:pStyle w:val="TAC"/>
            </w:pPr>
            <w:r>
              <w:t>C</w:t>
            </w:r>
          </w:p>
        </w:tc>
        <w:tc>
          <w:tcPr>
            <w:tcW w:w="1168" w:type="dxa"/>
            <w:gridSpan w:val="2"/>
          </w:tcPr>
          <w:p w14:paraId="20B6AECD" w14:textId="77777777" w:rsidR="00D654A6" w:rsidRDefault="00D654A6" w:rsidP="005A20DD">
            <w:pPr>
              <w:pStyle w:val="TAC"/>
            </w:pPr>
            <w:r>
              <w:t>0..1</w:t>
            </w:r>
          </w:p>
        </w:tc>
        <w:tc>
          <w:tcPr>
            <w:tcW w:w="3325" w:type="dxa"/>
            <w:gridSpan w:val="2"/>
          </w:tcPr>
          <w:p w14:paraId="1B5CB056" w14:textId="77777777" w:rsidR="00D654A6" w:rsidRDefault="00D654A6" w:rsidP="005A20DD">
            <w:pPr>
              <w:pStyle w:val="TAL"/>
            </w:pPr>
            <w:r>
              <w:t>Default is "false". (NOTE </w:t>
            </w:r>
            <w:r>
              <w:rPr>
                <w:rFonts w:hint="eastAsia"/>
              </w:rPr>
              <w:t>1</w:t>
            </w:r>
            <w:r>
              <w:t>)</w:t>
            </w:r>
          </w:p>
        </w:tc>
        <w:tc>
          <w:tcPr>
            <w:tcW w:w="1481" w:type="dxa"/>
            <w:gridSpan w:val="3"/>
          </w:tcPr>
          <w:p w14:paraId="4DE5A01E" w14:textId="77777777" w:rsidR="00D654A6" w:rsidRDefault="00D654A6" w:rsidP="005A20DD">
            <w:pPr>
              <w:pStyle w:val="TAL"/>
            </w:pPr>
          </w:p>
        </w:tc>
      </w:tr>
      <w:tr w:rsidR="00CD748D" w14:paraId="190DC083" w14:textId="77777777" w:rsidTr="005A20DD">
        <w:trPr>
          <w:gridAfter w:val="2"/>
          <w:wAfter w:w="77" w:type="dxa"/>
          <w:jc w:val="center"/>
        </w:trPr>
        <w:tc>
          <w:tcPr>
            <w:tcW w:w="1532" w:type="dxa"/>
            <w:gridSpan w:val="3"/>
          </w:tcPr>
          <w:p w14:paraId="16076448" w14:textId="77777777" w:rsidR="00CD748D" w:rsidRDefault="00CD748D" w:rsidP="00CD748D">
            <w:pPr>
              <w:pStyle w:val="TAL"/>
            </w:pPr>
            <w:r>
              <w:rPr>
                <w:rFonts w:hint="eastAsia"/>
              </w:rPr>
              <w:t>a</w:t>
            </w:r>
            <w:r>
              <w:t>ppIds</w:t>
            </w:r>
          </w:p>
        </w:tc>
        <w:tc>
          <w:tcPr>
            <w:tcW w:w="1472" w:type="dxa"/>
            <w:gridSpan w:val="2"/>
          </w:tcPr>
          <w:p w14:paraId="349ED1EF" w14:textId="77777777" w:rsidR="00CD748D" w:rsidRDefault="00CD748D" w:rsidP="00CD748D">
            <w:pPr>
              <w:pStyle w:val="TAL"/>
            </w:pPr>
            <w:r>
              <w:t>array(ApplicationId)</w:t>
            </w:r>
          </w:p>
        </w:tc>
        <w:tc>
          <w:tcPr>
            <w:tcW w:w="360" w:type="dxa"/>
            <w:gridSpan w:val="2"/>
          </w:tcPr>
          <w:p w14:paraId="4BE88501" w14:textId="77777777" w:rsidR="00CD748D" w:rsidRDefault="00CD748D" w:rsidP="00CD748D">
            <w:pPr>
              <w:pStyle w:val="TAC"/>
            </w:pPr>
            <w:r>
              <w:t>C</w:t>
            </w:r>
          </w:p>
        </w:tc>
        <w:tc>
          <w:tcPr>
            <w:tcW w:w="1168" w:type="dxa"/>
            <w:gridSpan w:val="2"/>
          </w:tcPr>
          <w:p w14:paraId="324366A2" w14:textId="77777777" w:rsidR="00CD748D" w:rsidRDefault="00CD748D" w:rsidP="00CD748D">
            <w:pPr>
              <w:pStyle w:val="TAC"/>
            </w:pPr>
            <w:r>
              <w:t>1..N</w:t>
            </w:r>
          </w:p>
        </w:tc>
        <w:tc>
          <w:tcPr>
            <w:tcW w:w="3325" w:type="dxa"/>
            <w:gridSpan w:val="2"/>
          </w:tcPr>
          <w:p w14:paraId="5EC52493" w14:textId="77777777" w:rsidR="00CD748D" w:rsidRDefault="00CD748D" w:rsidP="00CD748D">
            <w:pPr>
              <w:pStyle w:val="TAL"/>
              <w:rPr>
                <w:lang w:val="en-US"/>
              </w:rPr>
            </w:pPr>
            <w:r>
              <w:t xml:space="preserve">Represents the Application Identifier(s). The absence of appIds means applicable to all applications. (NOTE 4) </w:t>
            </w:r>
            <w:r>
              <w:rPr>
                <w:rFonts w:cs="Arial"/>
                <w:szCs w:val="18"/>
              </w:rPr>
              <w:t>(NOTE 12)</w:t>
            </w:r>
            <w:r>
              <w:t xml:space="preserve"> (NOTE 22)</w:t>
            </w:r>
          </w:p>
        </w:tc>
        <w:tc>
          <w:tcPr>
            <w:tcW w:w="1481" w:type="dxa"/>
            <w:gridSpan w:val="3"/>
          </w:tcPr>
          <w:p w14:paraId="4C18FF6E" w14:textId="77777777" w:rsidR="00CD748D" w:rsidRDefault="00CD748D" w:rsidP="00CD748D">
            <w:pPr>
              <w:pStyle w:val="TAL"/>
            </w:pPr>
            <w:r>
              <w:t xml:space="preserve">ServiceExperience </w:t>
            </w:r>
          </w:p>
          <w:p w14:paraId="760C0B9B" w14:textId="77777777" w:rsidR="00CD748D" w:rsidRDefault="00CD748D" w:rsidP="00CD748D">
            <w:pPr>
              <w:pStyle w:val="TAL"/>
            </w:pPr>
            <w:r>
              <w:t>UeCommunication AbnormalBehaviour</w:t>
            </w:r>
          </w:p>
          <w:p w14:paraId="472621AF" w14:textId="77777777" w:rsidR="00CD748D" w:rsidRDefault="00CD748D" w:rsidP="00CD748D">
            <w:pPr>
              <w:pStyle w:val="TAL"/>
            </w:pPr>
            <w:r>
              <w:t>Dispersion</w:t>
            </w:r>
          </w:p>
          <w:p w14:paraId="1CE71177" w14:textId="77777777" w:rsidR="00CD748D" w:rsidRDefault="00CD748D" w:rsidP="00CD748D">
            <w:pPr>
              <w:pStyle w:val="TAL"/>
            </w:pPr>
            <w:r>
              <w:rPr>
                <w:rFonts w:hint="eastAsia"/>
                <w:lang w:eastAsia="zh-CN"/>
              </w:rPr>
              <w:t>Dn</w:t>
            </w:r>
            <w:r>
              <w:t>Performance</w:t>
            </w:r>
          </w:p>
          <w:p w14:paraId="6795C25E" w14:textId="77777777" w:rsidR="00CD748D" w:rsidRDefault="00CD748D" w:rsidP="00CD748D">
            <w:pPr>
              <w:pStyle w:val="TAL"/>
              <w:rPr>
                <w:lang w:eastAsia="zh-CN"/>
              </w:rPr>
            </w:pPr>
            <w:r>
              <w:rPr>
                <w:lang w:eastAsia="zh-CN"/>
              </w:rPr>
              <w:t>E2eDataVolTransTime</w:t>
            </w:r>
          </w:p>
          <w:p w14:paraId="774E7C91" w14:textId="77777777" w:rsidR="00CD748D" w:rsidRDefault="00CD748D" w:rsidP="00CD748D">
            <w:pPr>
              <w:pStyle w:val="TAL"/>
            </w:pPr>
            <w:r>
              <w:rPr>
                <w:rFonts w:hint="eastAsia"/>
                <w:lang w:eastAsia="zh-CN"/>
              </w:rPr>
              <w:t>Q</w:t>
            </w:r>
            <w:r>
              <w:rPr>
                <w:lang w:eastAsia="zh-CN"/>
              </w:rPr>
              <w:t>oSPolicyAssist</w:t>
            </w:r>
          </w:p>
        </w:tc>
      </w:tr>
      <w:tr w:rsidR="00CD748D" w14:paraId="2BE602DC" w14:textId="77777777" w:rsidTr="005A20DD">
        <w:trPr>
          <w:gridAfter w:val="2"/>
          <w:wAfter w:w="77" w:type="dxa"/>
          <w:jc w:val="center"/>
        </w:trPr>
        <w:tc>
          <w:tcPr>
            <w:tcW w:w="1532" w:type="dxa"/>
            <w:gridSpan w:val="3"/>
          </w:tcPr>
          <w:p w14:paraId="3F9F228E" w14:textId="77777777" w:rsidR="00CD748D" w:rsidRDefault="00CD748D" w:rsidP="00CD748D">
            <w:pPr>
              <w:pStyle w:val="TAL"/>
              <w:rPr>
                <w:rFonts w:hint="eastAsia"/>
              </w:rPr>
            </w:pPr>
            <w:r>
              <w:t>fDescs</w:t>
            </w:r>
          </w:p>
        </w:tc>
        <w:tc>
          <w:tcPr>
            <w:tcW w:w="1472" w:type="dxa"/>
            <w:gridSpan w:val="2"/>
          </w:tcPr>
          <w:p w14:paraId="56FD6791" w14:textId="77777777" w:rsidR="00CD748D" w:rsidRDefault="00CD748D" w:rsidP="00CD748D">
            <w:pPr>
              <w:pStyle w:val="TAL"/>
            </w:pPr>
            <w:r>
              <w:t>array(IpEthFlowDescription)</w:t>
            </w:r>
          </w:p>
        </w:tc>
        <w:tc>
          <w:tcPr>
            <w:tcW w:w="360" w:type="dxa"/>
            <w:gridSpan w:val="2"/>
          </w:tcPr>
          <w:p w14:paraId="527B188A" w14:textId="77777777" w:rsidR="00CD748D" w:rsidRDefault="00CD748D" w:rsidP="00CD748D">
            <w:pPr>
              <w:pStyle w:val="TAC"/>
            </w:pPr>
            <w:r>
              <w:t>C</w:t>
            </w:r>
          </w:p>
        </w:tc>
        <w:tc>
          <w:tcPr>
            <w:tcW w:w="1168" w:type="dxa"/>
            <w:gridSpan w:val="2"/>
          </w:tcPr>
          <w:p w14:paraId="5769516E" w14:textId="77777777" w:rsidR="00CD748D" w:rsidRDefault="00CD748D" w:rsidP="00CD748D">
            <w:pPr>
              <w:pStyle w:val="TAC"/>
            </w:pPr>
            <w:r>
              <w:t>1..N</w:t>
            </w:r>
          </w:p>
        </w:tc>
        <w:tc>
          <w:tcPr>
            <w:tcW w:w="3325" w:type="dxa"/>
            <w:gridSpan w:val="2"/>
          </w:tcPr>
          <w:p w14:paraId="7E65C6FE" w14:textId="77777777" w:rsidR="00CD748D" w:rsidRDefault="00CD748D" w:rsidP="00CD748D">
            <w:pPr>
              <w:pStyle w:val="TAL"/>
            </w:pPr>
            <w:r>
              <w:rPr>
                <w:rFonts w:cs="Arial"/>
                <w:szCs w:val="18"/>
              </w:rPr>
              <w:t>Contains the flow description for IP and/or Ethernet flows. (NOTE</w:t>
            </w:r>
            <w:r>
              <w:t> </w:t>
            </w:r>
            <w:r>
              <w:rPr>
                <w:rFonts w:cs="Arial"/>
                <w:szCs w:val="18"/>
              </w:rPr>
              <w:t>22)</w:t>
            </w:r>
          </w:p>
        </w:tc>
        <w:tc>
          <w:tcPr>
            <w:tcW w:w="1481" w:type="dxa"/>
            <w:gridSpan w:val="3"/>
          </w:tcPr>
          <w:p w14:paraId="218FFCE8" w14:textId="77777777" w:rsidR="00CD748D" w:rsidRDefault="00CD748D" w:rsidP="00CD748D">
            <w:pPr>
              <w:pStyle w:val="TAL"/>
            </w:pPr>
            <w:r>
              <w:rPr>
                <w:rFonts w:cs="Arial"/>
                <w:szCs w:val="18"/>
              </w:rPr>
              <w:t>QoSPolicyAssist</w:t>
            </w:r>
          </w:p>
        </w:tc>
      </w:tr>
      <w:tr w:rsidR="00CD748D" w14:paraId="47F44B19" w14:textId="77777777" w:rsidTr="005A20DD">
        <w:trPr>
          <w:gridAfter w:val="2"/>
          <w:wAfter w:w="77" w:type="dxa"/>
          <w:jc w:val="center"/>
        </w:trPr>
        <w:tc>
          <w:tcPr>
            <w:tcW w:w="1532" w:type="dxa"/>
            <w:gridSpan w:val="3"/>
          </w:tcPr>
          <w:p w14:paraId="32087CB4" w14:textId="77777777" w:rsidR="00CD748D" w:rsidRDefault="00CD748D" w:rsidP="00CD748D">
            <w:pPr>
              <w:pStyle w:val="TAL"/>
            </w:pPr>
            <w:r>
              <w:rPr>
                <w:rFonts w:hint="eastAsia"/>
              </w:rPr>
              <w:t>d</w:t>
            </w:r>
            <w:r>
              <w:t>nns</w:t>
            </w:r>
          </w:p>
        </w:tc>
        <w:tc>
          <w:tcPr>
            <w:tcW w:w="1472" w:type="dxa"/>
            <w:gridSpan w:val="2"/>
          </w:tcPr>
          <w:p w14:paraId="0AA4C382" w14:textId="77777777" w:rsidR="00CD748D" w:rsidRDefault="00CD748D" w:rsidP="00CD748D">
            <w:pPr>
              <w:pStyle w:val="TAL"/>
            </w:pPr>
            <w:r>
              <w:rPr>
                <w:rFonts w:hint="eastAsia"/>
              </w:rPr>
              <w:t>a</w:t>
            </w:r>
            <w:r>
              <w:t>rray(Dnn)</w:t>
            </w:r>
          </w:p>
        </w:tc>
        <w:tc>
          <w:tcPr>
            <w:tcW w:w="360" w:type="dxa"/>
            <w:gridSpan w:val="2"/>
          </w:tcPr>
          <w:p w14:paraId="6DED1BF4" w14:textId="77777777" w:rsidR="00CD748D" w:rsidRDefault="00CD748D" w:rsidP="00CD748D">
            <w:pPr>
              <w:pStyle w:val="TAC"/>
            </w:pPr>
            <w:r>
              <w:rPr>
                <w:rFonts w:hint="eastAsia"/>
              </w:rPr>
              <w:t>C</w:t>
            </w:r>
          </w:p>
        </w:tc>
        <w:tc>
          <w:tcPr>
            <w:tcW w:w="1168" w:type="dxa"/>
            <w:gridSpan w:val="2"/>
          </w:tcPr>
          <w:p w14:paraId="3C5655A7" w14:textId="77777777" w:rsidR="00CD748D" w:rsidRDefault="00CD748D" w:rsidP="00CD748D">
            <w:pPr>
              <w:pStyle w:val="TAC"/>
            </w:pPr>
            <w:r>
              <w:rPr>
                <w:rFonts w:hint="eastAsia"/>
              </w:rPr>
              <w:t>1</w:t>
            </w:r>
            <w:r>
              <w:t>..N</w:t>
            </w:r>
          </w:p>
        </w:tc>
        <w:tc>
          <w:tcPr>
            <w:tcW w:w="3325" w:type="dxa"/>
            <w:gridSpan w:val="2"/>
          </w:tcPr>
          <w:p w14:paraId="5720C4CE" w14:textId="77777777" w:rsidR="00CD748D" w:rsidRDefault="00CD748D" w:rsidP="00CD748D">
            <w:pPr>
              <w:pStyle w:val="TAL"/>
            </w:pPr>
            <w:r>
              <w:t>Represents the DNN(s). Each DNN is a full DNN with both the Network Identifier and Operator Identifier, or a DNN with the Network Identifier only. The absence of dnns means applicable to all DNNs. (NOTE 4) (NOTE 13)</w:t>
            </w:r>
          </w:p>
        </w:tc>
        <w:tc>
          <w:tcPr>
            <w:tcW w:w="1481" w:type="dxa"/>
            <w:gridSpan w:val="3"/>
          </w:tcPr>
          <w:p w14:paraId="1F2AE436" w14:textId="77777777" w:rsidR="00CD748D" w:rsidRDefault="00CD748D" w:rsidP="00CD748D">
            <w:pPr>
              <w:pStyle w:val="TAL"/>
            </w:pPr>
            <w:r>
              <w:t>ServiceExperience</w:t>
            </w:r>
          </w:p>
          <w:p w14:paraId="4B81A922" w14:textId="77777777" w:rsidR="00CD748D" w:rsidRDefault="00CD748D" w:rsidP="00CD748D">
            <w:pPr>
              <w:pStyle w:val="TAL"/>
            </w:pPr>
            <w:r>
              <w:t>UeCommunication</w:t>
            </w:r>
          </w:p>
          <w:p w14:paraId="48425C10" w14:textId="77777777" w:rsidR="00CD748D" w:rsidRDefault="00CD748D" w:rsidP="00CD748D">
            <w:pPr>
              <w:pStyle w:val="TAL"/>
            </w:pPr>
            <w:r>
              <w:t>AbnormalBehaviour</w:t>
            </w:r>
          </w:p>
          <w:p w14:paraId="34D29C11" w14:textId="77777777" w:rsidR="00CD748D" w:rsidRDefault="00CD748D" w:rsidP="00CD748D">
            <w:pPr>
              <w:pStyle w:val="TAL"/>
            </w:pPr>
            <w:r>
              <w:rPr>
                <w:rFonts w:hint="eastAsia"/>
                <w:lang w:eastAsia="zh-CN"/>
              </w:rPr>
              <w:t>S</w:t>
            </w:r>
            <w:r>
              <w:rPr>
                <w:lang w:eastAsia="zh-CN"/>
              </w:rPr>
              <w:t>MCCE</w:t>
            </w:r>
          </w:p>
          <w:p w14:paraId="0EBA123E" w14:textId="77777777" w:rsidR="00CD748D" w:rsidRDefault="00CD748D" w:rsidP="00CD748D">
            <w:pPr>
              <w:pStyle w:val="TAL"/>
            </w:pPr>
            <w:r>
              <w:rPr>
                <w:rFonts w:hint="eastAsia"/>
                <w:lang w:eastAsia="zh-CN"/>
              </w:rPr>
              <w:t>Dn</w:t>
            </w:r>
            <w:r>
              <w:t>Performance</w:t>
            </w:r>
          </w:p>
          <w:p w14:paraId="135A94BD" w14:textId="77777777" w:rsidR="00CD748D" w:rsidRDefault="00CD748D" w:rsidP="00CD748D">
            <w:pPr>
              <w:pStyle w:val="TAL"/>
              <w:rPr>
                <w:rFonts w:cs="Arial"/>
                <w:szCs w:val="18"/>
              </w:rPr>
            </w:pPr>
            <w:r>
              <w:rPr>
                <w:rFonts w:cs="Arial"/>
                <w:szCs w:val="18"/>
              </w:rPr>
              <w:t>RedundantTransmissionExp</w:t>
            </w:r>
          </w:p>
          <w:p w14:paraId="1508E3B0" w14:textId="77777777" w:rsidR="00CD748D" w:rsidRDefault="00CD748D" w:rsidP="00CD748D">
            <w:pPr>
              <w:pStyle w:val="TAL"/>
            </w:pPr>
            <w:r>
              <w:t>PduSesTraffic</w:t>
            </w:r>
          </w:p>
          <w:p w14:paraId="1113A64A" w14:textId="77777777" w:rsidR="00CD748D" w:rsidRDefault="00CD748D" w:rsidP="00CD748D">
            <w:pPr>
              <w:pStyle w:val="TAL"/>
              <w:rPr>
                <w:lang w:eastAsia="zh-CN"/>
              </w:rPr>
            </w:pPr>
            <w:r>
              <w:rPr>
                <w:lang w:eastAsia="zh-CN"/>
              </w:rPr>
              <w:t>E2eDataVolTransTime</w:t>
            </w:r>
          </w:p>
          <w:p w14:paraId="39DF2612" w14:textId="77777777" w:rsidR="00CD748D" w:rsidRDefault="00CD748D" w:rsidP="00CD748D">
            <w:pPr>
              <w:pStyle w:val="TAL"/>
              <w:rPr>
                <w:rFonts w:eastAsia="Batang"/>
              </w:rPr>
            </w:pPr>
            <w:r>
              <w:rPr>
                <w:rFonts w:eastAsia="Batang"/>
              </w:rPr>
              <w:t>RelativeProximity</w:t>
            </w:r>
          </w:p>
          <w:p w14:paraId="40C45B6D" w14:textId="77777777" w:rsidR="00CD748D" w:rsidRDefault="00CD748D" w:rsidP="00CD748D">
            <w:pPr>
              <w:pStyle w:val="TAL"/>
            </w:pPr>
            <w:r>
              <w:rPr>
                <w:rFonts w:hint="eastAsia"/>
                <w:lang w:eastAsia="zh-CN"/>
              </w:rPr>
              <w:t>Q</w:t>
            </w:r>
            <w:r>
              <w:rPr>
                <w:lang w:eastAsia="zh-CN"/>
              </w:rPr>
              <w:t>oSPolicyAssist</w:t>
            </w:r>
          </w:p>
        </w:tc>
      </w:tr>
      <w:tr w:rsidR="00CD748D" w14:paraId="4DA0615A" w14:textId="77777777" w:rsidTr="005A20DD">
        <w:trPr>
          <w:gridAfter w:val="2"/>
          <w:wAfter w:w="77" w:type="dxa"/>
          <w:jc w:val="center"/>
        </w:trPr>
        <w:tc>
          <w:tcPr>
            <w:tcW w:w="1532" w:type="dxa"/>
            <w:gridSpan w:val="3"/>
          </w:tcPr>
          <w:p w14:paraId="01F1EA82" w14:textId="77777777" w:rsidR="00CD748D" w:rsidRDefault="00CD748D" w:rsidP="00CD748D">
            <w:pPr>
              <w:pStyle w:val="TAL"/>
            </w:pPr>
            <w:r>
              <w:t>dnais</w:t>
            </w:r>
          </w:p>
        </w:tc>
        <w:tc>
          <w:tcPr>
            <w:tcW w:w="1472" w:type="dxa"/>
            <w:gridSpan w:val="2"/>
          </w:tcPr>
          <w:p w14:paraId="38BE2A56" w14:textId="77777777" w:rsidR="00CD748D" w:rsidRDefault="00CD748D" w:rsidP="00CD748D">
            <w:pPr>
              <w:pStyle w:val="TAL"/>
            </w:pPr>
            <w:r>
              <w:t>array(Dnai)</w:t>
            </w:r>
          </w:p>
        </w:tc>
        <w:tc>
          <w:tcPr>
            <w:tcW w:w="360" w:type="dxa"/>
            <w:gridSpan w:val="2"/>
          </w:tcPr>
          <w:p w14:paraId="726AE60E" w14:textId="77777777" w:rsidR="00CD748D" w:rsidRDefault="00CD748D" w:rsidP="00CD748D">
            <w:pPr>
              <w:pStyle w:val="TAC"/>
            </w:pPr>
            <w:r>
              <w:t>O</w:t>
            </w:r>
          </w:p>
        </w:tc>
        <w:tc>
          <w:tcPr>
            <w:tcW w:w="1168" w:type="dxa"/>
            <w:gridSpan w:val="2"/>
          </w:tcPr>
          <w:p w14:paraId="0A089C81" w14:textId="77777777" w:rsidR="00CD748D" w:rsidRDefault="00CD748D" w:rsidP="00CD748D">
            <w:pPr>
              <w:pStyle w:val="TAC"/>
            </w:pPr>
            <w:r>
              <w:t>1..N</w:t>
            </w:r>
          </w:p>
        </w:tc>
        <w:tc>
          <w:tcPr>
            <w:tcW w:w="3325" w:type="dxa"/>
            <w:gridSpan w:val="2"/>
          </w:tcPr>
          <w:p w14:paraId="0768A642" w14:textId="77777777" w:rsidR="00CD748D" w:rsidRDefault="00CD748D" w:rsidP="00CD748D">
            <w:pPr>
              <w:pStyle w:val="TAL"/>
            </w:pPr>
            <w:r>
              <w:t>Represents the Data Network Access Identifier(s) of user plane accesses to DN(s) where applications are deployed.</w:t>
            </w:r>
          </w:p>
        </w:tc>
        <w:tc>
          <w:tcPr>
            <w:tcW w:w="1481" w:type="dxa"/>
            <w:gridSpan w:val="3"/>
          </w:tcPr>
          <w:p w14:paraId="54BED797" w14:textId="77777777" w:rsidR="00CD748D" w:rsidRDefault="00CD748D" w:rsidP="00CD748D">
            <w:pPr>
              <w:pStyle w:val="TAL"/>
            </w:pPr>
            <w:r>
              <w:t>ServiceExperience</w:t>
            </w:r>
          </w:p>
          <w:p w14:paraId="38619CBD" w14:textId="77777777" w:rsidR="00CD748D" w:rsidRDefault="00CD748D" w:rsidP="00CD748D">
            <w:pPr>
              <w:pStyle w:val="TAL"/>
            </w:pPr>
            <w:r>
              <w:rPr>
                <w:rFonts w:hint="eastAsia"/>
                <w:lang w:eastAsia="zh-CN"/>
              </w:rPr>
              <w:t>Dn</w:t>
            </w:r>
            <w:r>
              <w:t>Performance</w:t>
            </w:r>
          </w:p>
          <w:p w14:paraId="13C6D32F" w14:textId="77777777" w:rsidR="00CD748D" w:rsidRDefault="00CD748D" w:rsidP="00CD748D">
            <w:pPr>
              <w:pStyle w:val="TAL"/>
            </w:pPr>
            <w:r>
              <w:rPr>
                <w:rFonts w:hint="eastAsia"/>
                <w:lang w:eastAsia="zh-CN"/>
              </w:rPr>
              <w:t>Q</w:t>
            </w:r>
            <w:r>
              <w:rPr>
                <w:lang w:eastAsia="zh-CN"/>
              </w:rPr>
              <w:t>oSPolicyAssist</w:t>
            </w:r>
          </w:p>
        </w:tc>
      </w:tr>
      <w:tr w:rsidR="00C86FDB" w14:paraId="27813148" w14:textId="77777777" w:rsidTr="005A20DD">
        <w:trPr>
          <w:gridAfter w:val="2"/>
          <w:wAfter w:w="77" w:type="dxa"/>
          <w:jc w:val="center"/>
        </w:trPr>
        <w:tc>
          <w:tcPr>
            <w:tcW w:w="1532" w:type="dxa"/>
            <w:gridSpan w:val="3"/>
          </w:tcPr>
          <w:p w14:paraId="1CC3AB24" w14:textId="77777777" w:rsidR="00C86FDB" w:rsidRDefault="00C86FDB" w:rsidP="00C86FDB">
            <w:pPr>
              <w:pStyle w:val="TAL"/>
            </w:pPr>
            <w:r>
              <w:t>ladnDnns</w:t>
            </w:r>
          </w:p>
        </w:tc>
        <w:tc>
          <w:tcPr>
            <w:tcW w:w="1472" w:type="dxa"/>
            <w:gridSpan w:val="2"/>
          </w:tcPr>
          <w:p w14:paraId="198937B5" w14:textId="77777777" w:rsidR="00C86FDB" w:rsidRDefault="00C86FDB" w:rsidP="00C86FDB">
            <w:pPr>
              <w:pStyle w:val="TAL"/>
            </w:pPr>
            <w:r>
              <w:t>array(Dnn)</w:t>
            </w:r>
          </w:p>
        </w:tc>
        <w:tc>
          <w:tcPr>
            <w:tcW w:w="360" w:type="dxa"/>
            <w:gridSpan w:val="2"/>
          </w:tcPr>
          <w:p w14:paraId="402AD400" w14:textId="77777777" w:rsidR="00C86FDB" w:rsidRDefault="00C86FDB" w:rsidP="00C86FDB">
            <w:pPr>
              <w:pStyle w:val="TAC"/>
            </w:pPr>
            <w:r>
              <w:t>O</w:t>
            </w:r>
          </w:p>
        </w:tc>
        <w:tc>
          <w:tcPr>
            <w:tcW w:w="1168" w:type="dxa"/>
            <w:gridSpan w:val="2"/>
          </w:tcPr>
          <w:p w14:paraId="4613D526" w14:textId="77777777" w:rsidR="00C86FDB" w:rsidRDefault="00C86FDB" w:rsidP="00C86FDB">
            <w:pPr>
              <w:pStyle w:val="TAC"/>
            </w:pPr>
            <w:r>
              <w:t>1..N</w:t>
            </w:r>
          </w:p>
        </w:tc>
        <w:tc>
          <w:tcPr>
            <w:tcW w:w="3325" w:type="dxa"/>
            <w:gridSpan w:val="2"/>
          </w:tcPr>
          <w:p w14:paraId="01E4E1C9" w14:textId="77777777" w:rsidR="00C86FDB" w:rsidRDefault="00C86FDB" w:rsidP="00C86FDB">
            <w:pPr>
              <w:pStyle w:val="TAL"/>
            </w:pPr>
            <w:r>
              <w:t>Represents the LADN DNN(s) to indicate the LADN service area(s) as the AoI(s).</w:t>
            </w:r>
          </w:p>
        </w:tc>
        <w:tc>
          <w:tcPr>
            <w:tcW w:w="1481" w:type="dxa"/>
            <w:gridSpan w:val="3"/>
          </w:tcPr>
          <w:p w14:paraId="44B67A5E" w14:textId="77777777" w:rsidR="00C86FDB" w:rsidRDefault="00C86FDB" w:rsidP="00C86FDB">
            <w:pPr>
              <w:pStyle w:val="TAL"/>
            </w:pPr>
            <w:r>
              <w:t>UeMobilityExt</w:t>
            </w:r>
          </w:p>
        </w:tc>
      </w:tr>
      <w:tr w:rsidR="00C86FDB" w14:paraId="35A277BA" w14:textId="77777777" w:rsidTr="005A20DD">
        <w:trPr>
          <w:gridAfter w:val="2"/>
          <w:wAfter w:w="77" w:type="dxa"/>
          <w:jc w:val="center"/>
        </w:trPr>
        <w:tc>
          <w:tcPr>
            <w:tcW w:w="1532" w:type="dxa"/>
            <w:gridSpan w:val="3"/>
          </w:tcPr>
          <w:p w14:paraId="224C6C6D" w14:textId="77777777" w:rsidR="00C86FDB" w:rsidRDefault="00C86FDB" w:rsidP="00C86FDB">
            <w:pPr>
              <w:pStyle w:val="TAL"/>
            </w:pPr>
            <w:r>
              <w:t>snssais</w:t>
            </w:r>
          </w:p>
        </w:tc>
        <w:tc>
          <w:tcPr>
            <w:tcW w:w="1472" w:type="dxa"/>
            <w:gridSpan w:val="2"/>
          </w:tcPr>
          <w:p w14:paraId="68E86032" w14:textId="77777777" w:rsidR="00C86FDB" w:rsidRDefault="00C86FDB" w:rsidP="00C86FDB">
            <w:pPr>
              <w:pStyle w:val="TAL"/>
            </w:pPr>
            <w:r>
              <w:t>array(Snssai)</w:t>
            </w:r>
          </w:p>
        </w:tc>
        <w:tc>
          <w:tcPr>
            <w:tcW w:w="360" w:type="dxa"/>
            <w:gridSpan w:val="2"/>
          </w:tcPr>
          <w:p w14:paraId="35BF4CC2" w14:textId="77777777" w:rsidR="00C86FDB" w:rsidRDefault="00C86FDB" w:rsidP="00C86FDB">
            <w:pPr>
              <w:pStyle w:val="TAC"/>
            </w:pPr>
            <w:r>
              <w:t>C</w:t>
            </w:r>
          </w:p>
        </w:tc>
        <w:tc>
          <w:tcPr>
            <w:tcW w:w="1168" w:type="dxa"/>
            <w:gridSpan w:val="2"/>
          </w:tcPr>
          <w:p w14:paraId="06F08C37" w14:textId="77777777" w:rsidR="00C86FDB" w:rsidRDefault="00C86FDB" w:rsidP="00C86FDB">
            <w:pPr>
              <w:pStyle w:val="TAC"/>
            </w:pPr>
            <w:r>
              <w:t>1..N</w:t>
            </w:r>
          </w:p>
        </w:tc>
        <w:tc>
          <w:tcPr>
            <w:tcW w:w="3325" w:type="dxa"/>
            <w:gridSpan w:val="2"/>
          </w:tcPr>
          <w:p w14:paraId="553FD65F" w14:textId="77777777" w:rsidR="00C86FDB" w:rsidRDefault="00C86FDB" w:rsidP="00C86FDB">
            <w:pPr>
              <w:pStyle w:val="TAL"/>
            </w:pPr>
            <w:r>
              <w:t>Identification(s) of network slice(s). (NOTE </w:t>
            </w:r>
            <w:r>
              <w:rPr>
                <w:rFonts w:hint="eastAsia"/>
              </w:rPr>
              <w:t>1</w:t>
            </w:r>
            <w:r>
              <w:t>), (NOTE 4) (NOTE 13) (NOTE 20)</w:t>
            </w:r>
          </w:p>
        </w:tc>
        <w:tc>
          <w:tcPr>
            <w:tcW w:w="1481" w:type="dxa"/>
            <w:gridSpan w:val="3"/>
          </w:tcPr>
          <w:p w14:paraId="0D0FE3CA" w14:textId="77777777" w:rsidR="00C86FDB" w:rsidRDefault="00C86FDB" w:rsidP="00C86FDB">
            <w:pPr>
              <w:pStyle w:val="TAL"/>
            </w:pPr>
          </w:p>
        </w:tc>
      </w:tr>
      <w:tr w:rsidR="00C86FDB" w14:paraId="54362B61" w14:textId="77777777" w:rsidTr="005A20DD">
        <w:trPr>
          <w:gridAfter w:val="2"/>
          <w:wAfter w:w="77" w:type="dxa"/>
          <w:jc w:val="center"/>
        </w:trPr>
        <w:tc>
          <w:tcPr>
            <w:tcW w:w="1532" w:type="dxa"/>
            <w:gridSpan w:val="3"/>
          </w:tcPr>
          <w:p w14:paraId="34D7EF04" w14:textId="77777777" w:rsidR="00C86FDB" w:rsidRDefault="00C86FDB" w:rsidP="00C86FDB">
            <w:pPr>
              <w:pStyle w:val="TAL"/>
            </w:pPr>
            <w:r>
              <w:t>roamingInfo</w:t>
            </w:r>
          </w:p>
        </w:tc>
        <w:tc>
          <w:tcPr>
            <w:tcW w:w="1472" w:type="dxa"/>
            <w:gridSpan w:val="2"/>
          </w:tcPr>
          <w:p w14:paraId="5AF93B20" w14:textId="77777777" w:rsidR="00C86FDB" w:rsidRDefault="00C86FDB" w:rsidP="00C86FDB">
            <w:pPr>
              <w:pStyle w:val="TAL"/>
            </w:pPr>
            <w:r>
              <w:t>RoamingInfo</w:t>
            </w:r>
          </w:p>
        </w:tc>
        <w:tc>
          <w:tcPr>
            <w:tcW w:w="360" w:type="dxa"/>
            <w:gridSpan w:val="2"/>
          </w:tcPr>
          <w:p w14:paraId="265E3030" w14:textId="77777777" w:rsidR="00C86FDB" w:rsidRDefault="00C86FDB" w:rsidP="00C86FDB">
            <w:pPr>
              <w:pStyle w:val="TAC"/>
            </w:pPr>
            <w:r>
              <w:rPr>
                <w:rFonts w:cs="Arial"/>
                <w:szCs w:val="18"/>
                <w:lang w:eastAsia="zh-CN"/>
              </w:rPr>
              <w:t>O</w:t>
            </w:r>
          </w:p>
        </w:tc>
        <w:tc>
          <w:tcPr>
            <w:tcW w:w="1168" w:type="dxa"/>
            <w:gridSpan w:val="2"/>
          </w:tcPr>
          <w:p w14:paraId="066B7B0E" w14:textId="77777777" w:rsidR="00C86FDB" w:rsidRDefault="00C86FDB" w:rsidP="00C86FDB">
            <w:pPr>
              <w:pStyle w:val="TAC"/>
            </w:pPr>
            <w:r>
              <w:rPr>
                <w:rFonts w:cs="Arial"/>
                <w:szCs w:val="18"/>
                <w:lang w:eastAsia="zh-CN"/>
              </w:rPr>
              <w:t>0..1</w:t>
            </w:r>
          </w:p>
        </w:tc>
        <w:tc>
          <w:tcPr>
            <w:tcW w:w="3325" w:type="dxa"/>
            <w:gridSpan w:val="2"/>
          </w:tcPr>
          <w:p w14:paraId="645C84DA" w14:textId="77777777" w:rsidR="00C86FDB" w:rsidRDefault="00C86FDB" w:rsidP="00C86FDB">
            <w:pPr>
              <w:pStyle w:val="TAL"/>
            </w:pPr>
            <w:r>
              <w:rPr>
                <w:rFonts w:cs="Arial"/>
                <w:szCs w:val="18"/>
              </w:rPr>
              <w:t>Information about roaming analytics. When this attribute is provided, the request should contain only attributes that are applicable also in the Nnwdaf_RoamingAnalytics service.</w:t>
            </w:r>
          </w:p>
        </w:tc>
        <w:tc>
          <w:tcPr>
            <w:tcW w:w="1481" w:type="dxa"/>
            <w:gridSpan w:val="3"/>
          </w:tcPr>
          <w:p w14:paraId="4C6184F3" w14:textId="77777777" w:rsidR="00C86FDB" w:rsidRDefault="00C86FDB" w:rsidP="00C86FDB">
            <w:pPr>
              <w:pStyle w:val="TAL"/>
            </w:pPr>
            <w:r>
              <w:rPr>
                <w:rFonts w:eastAsia="Batang"/>
              </w:rPr>
              <w:t>RoamingAnalytics</w:t>
            </w:r>
          </w:p>
        </w:tc>
      </w:tr>
      <w:tr w:rsidR="001A238E" w14:paraId="5BBDC281" w14:textId="77777777" w:rsidTr="005A20DD">
        <w:trPr>
          <w:gridAfter w:val="2"/>
          <w:wAfter w:w="77" w:type="dxa"/>
          <w:jc w:val="center"/>
        </w:trPr>
        <w:tc>
          <w:tcPr>
            <w:tcW w:w="1532" w:type="dxa"/>
            <w:gridSpan w:val="3"/>
          </w:tcPr>
          <w:p w14:paraId="3D2AFE8E" w14:textId="77777777" w:rsidR="001A238E" w:rsidRDefault="001A238E" w:rsidP="001A238E">
            <w:pPr>
              <w:pStyle w:val="TAL"/>
            </w:pPr>
            <w:r>
              <w:t>nfInstanceIds</w:t>
            </w:r>
          </w:p>
        </w:tc>
        <w:tc>
          <w:tcPr>
            <w:tcW w:w="1472" w:type="dxa"/>
            <w:gridSpan w:val="2"/>
          </w:tcPr>
          <w:p w14:paraId="35747104" w14:textId="77777777" w:rsidR="001A238E" w:rsidRDefault="001A238E" w:rsidP="001A238E">
            <w:pPr>
              <w:pStyle w:val="TAL"/>
            </w:pPr>
            <w:r>
              <w:t>array(NfInstanceId)</w:t>
            </w:r>
          </w:p>
        </w:tc>
        <w:tc>
          <w:tcPr>
            <w:tcW w:w="360" w:type="dxa"/>
            <w:gridSpan w:val="2"/>
          </w:tcPr>
          <w:p w14:paraId="4F2081B7" w14:textId="77777777" w:rsidR="001A238E" w:rsidRDefault="001A238E" w:rsidP="001A238E">
            <w:pPr>
              <w:pStyle w:val="TAC"/>
            </w:pPr>
            <w:r>
              <w:t>O</w:t>
            </w:r>
          </w:p>
        </w:tc>
        <w:tc>
          <w:tcPr>
            <w:tcW w:w="1168" w:type="dxa"/>
            <w:gridSpan w:val="2"/>
          </w:tcPr>
          <w:p w14:paraId="2D1D2C76" w14:textId="77777777" w:rsidR="001A238E" w:rsidRDefault="001A238E" w:rsidP="001A238E">
            <w:pPr>
              <w:pStyle w:val="TAC"/>
            </w:pPr>
            <w:r>
              <w:t>1..N</w:t>
            </w:r>
          </w:p>
        </w:tc>
        <w:tc>
          <w:tcPr>
            <w:tcW w:w="3325" w:type="dxa"/>
            <w:gridSpan w:val="2"/>
          </w:tcPr>
          <w:p w14:paraId="533F82AF" w14:textId="77777777" w:rsidR="001A238E" w:rsidRDefault="001A238E" w:rsidP="001A238E">
            <w:pPr>
              <w:pStyle w:val="TAL"/>
            </w:pPr>
            <w:r>
              <w:t>Identification(s) of NF instance(s).</w:t>
            </w:r>
          </w:p>
          <w:p w14:paraId="468548EB" w14:textId="77777777" w:rsidR="001A238E" w:rsidRDefault="001A238E" w:rsidP="001A238E">
            <w:pPr>
              <w:pStyle w:val="TAL"/>
            </w:pPr>
            <w:r>
              <w:t>(NOTE 22)</w:t>
            </w:r>
          </w:p>
        </w:tc>
        <w:tc>
          <w:tcPr>
            <w:tcW w:w="1481" w:type="dxa"/>
            <w:gridSpan w:val="3"/>
          </w:tcPr>
          <w:p w14:paraId="024B34F1" w14:textId="77777777" w:rsidR="001A238E" w:rsidRDefault="001A238E" w:rsidP="001A238E">
            <w:pPr>
              <w:pStyle w:val="TAL"/>
              <w:rPr>
                <w:rFonts w:cs="Arial"/>
                <w:szCs w:val="18"/>
              </w:rPr>
            </w:pPr>
            <w:r>
              <w:rPr>
                <w:rFonts w:cs="Arial"/>
                <w:szCs w:val="18"/>
              </w:rPr>
              <w:t>NfLoad</w:t>
            </w:r>
          </w:p>
          <w:p w14:paraId="1A3AC5AA" w14:textId="77777777" w:rsidR="001A238E" w:rsidRDefault="001A238E" w:rsidP="001A238E">
            <w:pPr>
              <w:pStyle w:val="TAL"/>
            </w:pPr>
            <w:r>
              <w:t>S</w:t>
            </w:r>
            <w:r w:rsidRPr="001C406B">
              <w:t>ignalling</w:t>
            </w:r>
            <w:r>
              <w:t>S</w:t>
            </w:r>
            <w:r w:rsidRPr="001C406B">
              <w:t>torm</w:t>
            </w:r>
          </w:p>
        </w:tc>
      </w:tr>
      <w:tr w:rsidR="001A238E" w14:paraId="1244CA60" w14:textId="77777777" w:rsidTr="005A20DD">
        <w:trPr>
          <w:gridAfter w:val="2"/>
          <w:wAfter w:w="77" w:type="dxa"/>
          <w:jc w:val="center"/>
        </w:trPr>
        <w:tc>
          <w:tcPr>
            <w:tcW w:w="1532" w:type="dxa"/>
            <w:gridSpan w:val="3"/>
          </w:tcPr>
          <w:p w14:paraId="19DBC51A" w14:textId="77777777" w:rsidR="001A238E" w:rsidRDefault="001A238E" w:rsidP="001A238E">
            <w:pPr>
              <w:pStyle w:val="TAL"/>
            </w:pPr>
            <w:r>
              <w:t>nfSetIds</w:t>
            </w:r>
          </w:p>
        </w:tc>
        <w:tc>
          <w:tcPr>
            <w:tcW w:w="1472" w:type="dxa"/>
            <w:gridSpan w:val="2"/>
          </w:tcPr>
          <w:p w14:paraId="1F25420D" w14:textId="77777777" w:rsidR="001A238E" w:rsidRDefault="001A238E" w:rsidP="001A238E">
            <w:pPr>
              <w:pStyle w:val="TAL"/>
            </w:pPr>
            <w:r>
              <w:t>array(NfSetId)</w:t>
            </w:r>
          </w:p>
        </w:tc>
        <w:tc>
          <w:tcPr>
            <w:tcW w:w="360" w:type="dxa"/>
            <w:gridSpan w:val="2"/>
          </w:tcPr>
          <w:p w14:paraId="7363AAC3" w14:textId="77777777" w:rsidR="001A238E" w:rsidRDefault="001A238E" w:rsidP="001A238E">
            <w:pPr>
              <w:pStyle w:val="TAC"/>
            </w:pPr>
            <w:r>
              <w:t>O</w:t>
            </w:r>
          </w:p>
        </w:tc>
        <w:tc>
          <w:tcPr>
            <w:tcW w:w="1168" w:type="dxa"/>
            <w:gridSpan w:val="2"/>
          </w:tcPr>
          <w:p w14:paraId="519AE3F7" w14:textId="77777777" w:rsidR="001A238E" w:rsidRDefault="001A238E" w:rsidP="001A238E">
            <w:pPr>
              <w:pStyle w:val="TAC"/>
            </w:pPr>
            <w:r>
              <w:t>1..N</w:t>
            </w:r>
          </w:p>
        </w:tc>
        <w:tc>
          <w:tcPr>
            <w:tcW w:w="3325" w:type="dxa"/>
            <w:gridSpan w:val="2"/>
          </w:tcPr>
          <w:p w14:paraId="3E284E93" w14:textId="77777777" w:rsidR="001A238E" w:rsidRDefault="001A238E" w:rsidP="001A238E">
            <w:pPr>
              <w:pStyle w:val="TAL"/>
            </w:pPr>
            <w:r>
              <w:t>Identification(s) of NF instance set(s).</w:t>
            </w:r>
          </w:p>
          <w:p w14:paraId="2B5B410F" w14:textId="77777777" w:rsidR="001A238E" w:rsidRDefault="001A238E" w:rsidP="001A238E">
            <w:pPr>
              <w:pStyle w:val="TAL"/>
            </w:pPr>
            <w:r>
              <w:t>(NOTE 22)</w:t>
            </w:r>
          </w:p>
        </w:tc>
        <w:tc>
          <w:tcPr>
            <w:tcW w:w="1481" w:type="dxa"/>
            <w:gridSpan w:val="3"/>
          </w:tcPr>
          <w:p w14:paraId="66DBA640" w14:textId="77777777" w:rsidR="001A238E" w:rsidRDefault="001A238E" w:rsidP="001A238E">
            <w:pPr>
              <w:pStyle w:val="TAL"/>
              <w:rPr>
                <w:rFonts w:cs="Arial"/>
                <w:szCs w:val="18"/>
              </w:rPr>
            </w:pPr>
            <w:r>
              <w:rPr>
                <w:rFonts w:cs="Arial"/>
                <w:szCs w:val="18"/>
              </w:rPr>
              <w:t>NfLoad</w:t>
            </w:r>
          </w:p>
          <w:p w14:paraId="1385E23C" w14:textId="77777777" w:rsidR="001A238E" w:rsidRDefault="001A238E" w:rsidP="001A238E">
            <w:pPr>
              <w:pStyle w:val="TAL"/>
            </w:pPr>
            <w:r>
              <w:t>S</w:t>
            </w:r>
            <w:r w:rsidRPr="001C406B">
              <w:t>ignalling</w:t>
            </w:r>
            <w:r>
              <w:t>S</w:t>
            </w:r>
            <w:r w:rsidRPr="001C406B">
              <w:t>torm</w:t>
            </w:r>
          </w:p>
        </w:tc>
      </w:tr>
      <w:tr w:rsidR="00C86FDB" w14:paraId="403328DB" w14:textId="77777777" w:rsidTr="005A20DD">
        <w:trPr>
          <w:gridAfter w:val="2"/>
          <w:wAfter w:w="77" w:type="dxa"/>
          <w:jc w:val="center"/>
        </w:trPr>
        <w:tc>
          <w:tcPr>
            <w:tcW w:w="1532" w:type="dxa"/>
            <w:gridSpan w:val="3"/>
          </w:tcPr>
          <w:p w14:paraId="74148FA7" w14:textId="77777777" w:rsidR="00C86FDB" w:rsidRDefault="00C86FDB" w:rsidP="00C86FDB">
            <w:pPr>
              <w:pStyle w:val="TAL"/>
            </w:pPr>
            <w:r>
              <w:t>nfTypes</w:t>
            </w:r>
          </w:p>
        </w:tc>
        <w:tc>
          <w:tcPr>
            <w:tcW w:w="1472" w:type="dxa"/>
            <w:gridSpan w:val="2"/>
          </w:tcPr>
          <w:p w14:paraId="53D7DE25" w14:textId="77777777" w:rsidR="00C86FDB" w:rsidRDefault="00C86FDB" w:rsidP="00C86FDB">
            <w:pPr>
              <w:pStyle w:val="TAL"/>
            </w:pPr>
            <w:r>
              <w:t>array(NFType)</w:t>
            </w:r>
          </w:p>
        </w:tc>
        <w:tc>
          <w:tcPr>
            <w:tcW w:w="360" w:type="dxa"/>
            <w:gridSpan w:val="2"/>
          </w:tcPr>
          <w:p w14:paraId="1B72219D" w14:textId="77777777" w:rsidR="00C86FDB" w:rsidRDefault="00C86FDB" w:rsidP="00C86FDB">
            <w:pPr>
              <w:pStyle w:val="TAC"/>
            </w:pPr>
            <w:r>
              <w:t>O</w:t>
            </w:r>
          </w:p>
        </w:tc>
        <w:tc>
          <w:tcPr>
            <w:tcW w:w="1168" w:type="dxa"/>
            <w:gridSpan w:val="2"/>
          </w:tcPr>
          <w:p w14:paraId="0480344B" w14:textId="77777777" w:rsidR="00C86FDB" w:rsidRDefault="00C86FDB" w:rsidP="00C86FDB">
            <w:pPr>
              <w:pStyle w:val="TAC"/>
            </w:pPr>
            <w:r>
              <w:t>1..N</w:t>
            </w:r>
          </w:p>
        </w:tc>
        <w:tc>
          <w:tcPr>
            <w:tcW w:w="3325" w:type="dxa"/>
            <w:gridSpan w:val="2"/>
          </w:tcPr>
          <w:p w14:paraId="4562D3D3" w14:textId="77777777" w:rsidR="00C86FDB" w:rsidRDefault="00C86FDB" w:rsidP="00C86FDB">
            <w:pPr>
              <w:pStyle w:val="TAL"/>
            </w:pPr>
            <w:r>
              <w:t>Identification(s) of NF type(s). (NOTE 8)</w:t>
            </w:r>
          </w:p>
        </w:tc>
        <w:tc>
          <w:tcPr>
            <w:tcW w:w="1481" w:type="dxa"/>
            <w:gridSpan w:val="3"/>
          </w:tcPr>
          <w:p w14:paraId="7B65106D" w14:textId="77777777" w:rsidR="00C86FDB" w:rsidRDefault="00C86FDB" w:rsidP="00C86FDB">
            <w:pPr>
              <w:pStyle w:val="TAL"/>
            </w:pPr>
            <w:r>
              <w:t>NfLoad</w:t>
            </w:r>
          </w:p>
          <w:p w14:paraId="6F343070" w14:textId="77777777" w:rsidR="00C86FDB" w:rsidRDefault="00C86FDB" w:rsidP="00C86FDB">
            <w:pPr>
              <w:pStyle w:val="TAL"/>
            </w:pPr>
            <w:r>
              <w:t>NsiLoadExt</w:t>
            </w:r>
          </w:p>
        </w:tc>
      </w:tr>
      <w:tr w:rsidR="00CD748D" w14:paraId="3956D2DB" w14:textId="77777777" w:rsidTr="005A20DD">
        <w:trPr>
          <w:gridAfter w:val="2"/>
          <w:wAfter w:w="77" w:type="dxa"/>
          <w:jc w:val="center"/>
        </w:trPr>
        <w:tc>
          <w:tcPr>
            <w:tcW w:w="1532" w:type="dxa"/>
            <w:gridSpan w:val="3"/>
          </w:tcPr>
          <w:p w14:paraId="05B33041" w14:textId="77777777" w:rsidR="00CD748D" w:rsidRDefault="00CD748D" w:rsidP="00CD748D">
            <w:pPr>
              <w:pStyle w:val="TAL"/>
            </w:pPr>
            <w:r>
              <w:lastRenderedPageBreak/>
              <w:t>networkArea</w:t>
            </w:r>
          </w:p>
        </w:tc>
        <w:tc>
          <w:tcPr>
            <w:tcW w:w="1472" w:type="dxa"/>
            <w:gridSpan w:val="2"/>
          </w:tcPr>
          <w:p w14:paraId="464EE728" w14:textId="77777777" w:rsidR="00CD748D" w:rsidRDefault="00CD748D" w:rsidP="00CD748D">
            <w:pPr>
              <w:pStyle w:val="TAL"/>
            </w:pPr>
            <w:r>
              <w:t>NetworkAreaInfo</w:t>
            </w:r>
          </w:p>
        </w:tc>
        <w:tc>
          <w:tcPr>
            <w:tcW w:w="360" w:type="dxa"/>
            <w:gridSpan w:val="2"/>
          </w:tcPr>
          <w:p w14:paraId="5C06D68D" w14:textId="77777777" w:rsidR="00CD748D" w:rsidRDefault="00CD748D" w:rsidP="00CD748D">
            <w:pPr>
              <w:pStyle w:val="TAC"/>
            </w:pPr>
            <w:r>
              <w:t>C</w:t>
            </w:r>
          </w:p>
        </w:tc>
        <w:tc>
          <w:tcPr>
            <w:tcW w:w="1168" w:type="dxa"/>
            <w:gridSpan w:val="2"/>
          </w:tcPr>
          <w:p w14:paraId="0D61C414" w14:textId="77777777" w:rsidR="00CD748D" w:rsidRDefault="00CD748D" w:rsidP="00CD748D">
            <w:pPr>
              <w:pStyle w:val="TAC"/>
            </w:pPr>
            <w:r>
              <w:t>0..1</w:t>
            </w:r>
          </w:p>
        </w:tc>
        <w:tc>
          <w:tcPr>
            <w:tcW w:w="3325" w:type="dxa"/>
            <w:gridSpan w:val="2"/>
          </w:tcPr>
          <w:p w14:paraId="7AABF978" w14:textId="77777777" w:rsidR="00CD748D" w:rsidRDefault="00CD748D" w:rsidP="00CD748D">
            <w:pPr>
              <w:pStyle w:val="TAL"/>
            </w:pPr>
            <w:r>
              <w:t>This IE represents the network area where the NF service consumer wants to know the analytics result. (NOTE 2), (NOTE 4) (NOTE 17) (NOTE 18)</w:t>
            </w:r>
          </w:p>
        </w:tc>
        <w:tc>
          <w:tcPr>
            <w:tcW w:w="1481" w:type="dxa"/>
            <w:gridSpan w:val="3"/>
          </w:tcPr>
          <w:p w14:paraId="328E785D" w14:textId="77777777" w:rsidR="00CD748D" w:rsidRDefault="00CD748D" w:rsidP="00CD748D">
            <w:pPr>
              <w:pStyle w:val="TAL"/>
            </w:pPr>
            <w:r>
              <w:t xml:space="preserve">UeMobility </w:t>
            </w:r>
          </w:p>
          <w:p w14:paraId="1EAC66B9" w14:textId="77777777" w:rsidR="00CD748D" w:rsidRDefault="00CD748D" w:rsidP="00CD748D">
            <w:pPr>
              <w:pStyle w:val="TAL"/>
            </w:pPr>
            <w:r>
              <w:t>UeCommunication</w:t>
            </w:r>
          </w:p>
          <w:p w14:paraId="56ED8000" w14:textId="77777777" w:rsidR="00CD748D" w:rsidRDefault="00CD748D" w:rsidP="00CD748D">
            <w:pPr>
              <w:pStyle w:val="TAL"/>
            </w:pPr>
            <w:r>
              <w:t>NetworkPerformance</w:t>
            </w:r>
          </w:p>
          <w:p w14:paraId="70547410" w14:textId="77777777" w:rsidR="00CD748D" w:rsidRDefault="00CD748D" w:rsidP="00CD748D">
            <w:pPr>
              <w:pStyle w:val="TAL"/>
            </w:pPr>
            <w:r>
              <w:t>QoSSustainability</w:t>
            </w:r>
          </w:p>
          <w:p w14:paraId="72F57183" w14:textId="77777777" w:rsidR="00CD748D" w:rsidRDefault="00CD748D" w:rsidP="00CD748D">
            <w:pPr>
              <w:pStyle w:val="TAL"/>
            </w:pPr>
            <w:r>
              <w:t>ServiceExperience</w:t>
            </w:r>
          </w:p>
          <w:p w14:paraId="4D10976A" w14:textId="77777777" w:rsidR="00CD748D" w:rsidRDefault="00CD748D" w:rsidP="00CD748D">
            <w:pPr>
              <w:pStyle w:val="TAL"/>
            </w:pPr>
            <w:r>
              <w:t>UserDataCongestion</w:t>
            </w:r>
          </w:p>
          <w:p w14:paraId="108D9BD9" w14:textId="77777777" w:rsidR="00CD748D" w:rsidRDefault="00CD748D" w:rsidP="00CD748D">
            <w:pPr>
              <w:pStyle w:val="TAL"/>
            </w:pPr>
            <w:r>
              <w:t xml:space="preserve">AbnormalBehaviour </w:t>
            </w:r>
          </w:p>
          <w:p w14:paraId="23A07B3F" w14:textId="77777777" w:rsidR="00CD748D" w:rsidRDefault="00CD748D" w:rsidP="00CD748D">
            <w:pPr>
              <w:pStyle w:val="TAL"/>
            </w:pPr>
            <w:r>
              <w:t>NsiLoadExt</w:t>
            </w:r>
          </w:p>
          <w:p w14:paraId="5EA4E831" w14:textId="77777777" w:rsidR="00CD748D" w:rsidRDefault="00CD748D" w:rsidP="00CD748D">
            <w:pPr>
              <w:pStyle w:val="TAL"/>
            </w:pPr>
            <w:r>
              <w:t>NfLoadExt</w:t>
            </w:r>
          </w:p>
          <w:p w14:paraId="776C8480" w14:textId="77777777" w:rsidR="00CD748D" w:rsidRDefault="00CD748D" w:rsidP="00CD748D">
            <w:pPr>
              <w:pStyle w:val="TAL"/>
            </w:pPr>
            <w:r>
              <w:t>Dispersion</w:t>
            </w:r>
          </w:p>
          <w:p w14:paraId="19242780" w14:textId="77777777" w:rsidR="00CD748D" w:rsidRDefault="00CD748D" w:rsidP="00CD748D">
            <w:pPr>
              <w:pStyle w:val="TAL"/>
            </w:pPr>
            <w:r>
              <w:t>RedundantTransmissionExp</w:t>
            </w:r>
          </w:p>
          <w:p w14:paraId="1B0C1CDD" w14:textId="77777777" w:rsidR="00CD748D" w:rsidRDefault="00CD748D" w:rsidP="00CD748D">
            <w:pPr>
              <w:pStyle w:val="TAL"/>
            </w:pPr>
            <w:r>
              <w:t>WlanPerformance</w:t>
            </w:r>
          </w:p>
          <w:p w14:paraId="3ABC0913" w14:textId="77777777" w:rsidR="00CD748D" w:rsidRDefault="00CD748D" w:rsidP="00CD748D">
            <w:pPr>
              <w:pStyle w:val="TAL"/>
            </w:pPr>
            <w:r>
              <w:rPr>
                <w:rFonts w:hint="eastAsia"/>
                <w:lang w:eastAsia="zh-CN"/>
              </w:rPr>
              <w:t>Dn</w:t>
            </w:r>
            <w:r>
              <w:t>Performance</w:t>
            </w:r>
          </w:p>
          <w:p w14:paraId="5AB4FFFB" w14:textId="77777777" w:rsidR="00CD748D" w:rsidRDefault="00CD748D" w:rsidP="00CD748D">
            <w:pPr>
              <w:pStyle w:val="TAL"/>
            </w:pPr>
            <w:r>
              <w:t>PduSesTraffic</w:t>
            </w:r>
          </w:p>
          <w:p w14:paraId="6CCD3778" w14:textId="77777777" w:rsidR="00CD748D" w:rsidRDefault="00CD748D" w:rsidP="00CD748D">
            <w:pPr>
              <w:pStyle w:val="TAL"/>
              <w:rPr>
                <w:lang w:eastAsia="zh-CN"/>
              </w:rPr>
            </w:pPr>
            <w:r>
              <w:rPr>
                <w:lang w:eastAsia="zh-CN"/>
              </w:rPr>
              <w:t>E2eDataVolTransTime</w:t>
            </w:r>
          </w:p>
          <w:p w14:paraId="17D5D707" w14:textId="77777777" w:rsidR="00CD748D" w:rsidRDefault="00CD748D" w:rsidP="00CD748D">
            <w:pPr>
              <w:pStyle w:val="TAL"/>
              <w:rPr>
                <w:lang w:eastAsia="zh-CN"/>
              </w:rPr>
            </w:pPr>
            <w:r>
              <w:rPr>
                <w:lang w:eastAsia="zh-CN"/>
              </w:rPr>
              <w:t>MovementBehaviour</w:t>
            </w:r>
          </w:p>
          <w:p w14:paraId="01A6F8B2" w14:textId="77777777" w:rsidR="00CD748D" w:rsidRDefault="00CD748D" w:rsidP="00CD748D">
            <w:pPr>
              <w:pStyle w:val="TAL"/>
              <w:rPr>
                <w:lang w:eastAsia="zh-CN"/>
              </w:rPr>
            </w:pPr>
            <w:r>
              <w:rPr>
                <w:lang w:eastAsia="zh-CN"/>
              </w:rPr>
              <w:t>LocAccuracy</w:t>
            </w:r>
          </w:p>
          <w:p w14:paraId="7D9F6D46" w14:textId="77777777" w:rsidR="00CD748D" w:rsidRDefault="00CD748D" w:rsidP="00CD748D">
            <w:pPr>
              <w:pStyle w:val="TAL"/>
              <w:rPr>
                <w:rFonts w:eastAsia="Batang"/>
              </w:rPr>
            </w:pPr>
            <w:r>
              <w:rPr>
                <w:rFonts w:eastAsia="Batang"/>
              </w:rPr>
              <w:t>RelativeProximity</w:t>
            </w:r>
          </w:p>
          <w:p w14:paraId="68300180" w14:textId="77777777" w:rsidR="00CD748D" w:rsidRDefault="00CD748D" w:rsidP="00CD748D">
            <w:pPr>
              <w:pStyle w:val="TAL"/>
            </w:pPr>
            <w:r>
              <w:t>S</w:t>
            </w:r>
            <w:r w:rsidRPr="001C406B">
              <w:t>ignalling</w:t>
            </w:r>
            <w:r>
              <w:t>S</w:t>
            </w:r>
            <w:r w:rsidRPr="001C406B">
              <w:t>torm</w:t>
            </w:r>
          </w:p>
          <w:p w14:paraId="14B6869C" w14:textId="77777777" w:rsidR="00CD748D" w:rsidRDefault="00CD748D" w:rsidP="00CD748D">
            <w:pPr>
              <w:pStyle w:val="TAL"/>
            </w:pPr>
            <w:r>
              <w:rPr>
                <w:rFonts w:hint="eastAsia"/>
                <w:lang w:eastAsia="zh-CN"/>
              </w:rPr>
              <w:t>Q</w:t>
            </w:r>
            <w:r>
              <w:rPr>
                <w:lang w:eastAsia="zh-CN"/>
              </w:rPr>
              <w:t>oSPolicyAssist</w:t>
            </w:r>
          </w:p>
        </w:tc>
      </w:tr>
      <w:tr w:rsidR="00CD748D" w14:paraId="5F9F7660" w14:textId="77777777" w:rsidTr="005A20DD">
        <w:trPr>
          <w:gridAfter w:val="2"/>
          <w:wAfter w:w="77" w:type="dxa"/>
          <w:jc w:val="center"/>
        </w:trPr>
        <w:tc>
          <w:tcPr>
            <w:tcW w:w="1532" w:type="dxa"/>
            <w:gridSpan w:val="3"/>
          </w:tcPr>
          <w:p w14:paraId="52E400A3" w14:textId="77777777" w:rsidR="00CD748D" w:rsidRDefault="00CD748D" w:rsidP="00CD748D">
            <w:pPr>
              <w:pStyle w:val="TAL"/>
            </w:pPr>
            <w:r>
              <w:t>location</w:t>
            </w:r>
          </w:p>
        </w:tc>
        <w:tc>
          <w:tcPr>
            <w:tcW w:w="1472" w:type="dxa"/>
            <w:gridSpan w:val="2"/>
          </w:tcPr>
          <w:p w14:paraId="0FF94855" w14:textId="77777777" w:rsidR="00CD748D" w:rsidRDefault="00CD748D" w:rsidP="00CD748D">
            <w:pPr>
              <w:pStyle w:val="TAL"/>
            </w:pPr>
            <w:r>
              <w:t>GeoLocation</w:t>
            </w:r>
          </w:p>
        </w:tc>
        <w:tc>
          <w:tcPr>
            <w:tcW w:w="360" w:type="dxa"/>
            <w:gridSpan w:val="2"/>
          </w:tcPr>
          <w:p w14:paraId="6958938F" w14:textId="77777777" w:rsidR="00CD748D" w:rsidRDefault="00CD748D" w:rsidP="00CD748D">
            <w:pPr>
              <w:pStyle w:val="TAC"/>
            </w:pPr>
            <w:r>
              <w:t>C</w:t>
            </w:r>
          </w:p>
        </w:tc>
        <w:tc>
          <w:tcPr>
            <w:tcW w:w="1168" w:type="dxa"/>
            <w:gridSpan w:val="2"/>
          </w:tcPr>
          <w:p w14:paraId="0621B503" w14:textId="77777777" w:rsidR="00CD748D" w:rsidRDefault="00CD748D" w:rsidP="00CD748D">
            <w:pPr>
              <w:pStyle w:val="TAC"/>
            </w:pPr>
            <w:r>
              <w:t>0..1</w:t>
            </w:r>
          </w:p>
        </w:tc>
        <w:tc>
          <w:tcPr>
            <w:tcW w:w="3325" w:type="dxa"/>
            <w:gridSpan w:val="2"/>
          </w:tcPr>
          <w:p w14:paraId="5629E252" w14:textId="77777777" w:rsidR="00CD748D" w:rsidRDefault="00CD748D" w:rsidP="00CD748D">
            <w:pPr>
              <w:pStyle w:val="TAL"/>
            </w:pPr>
            <w:r>
              <w:t>A location (i.e. geographical location or location in local coordinates) to which the request applies. (NOTE 18)</w:t>
            </w:r>
          </w:p>
        </w:tc>
        <w:tc>
          <w:tcPr>
            <w:tcW w:w="1481" w:type="dxa"/>
            <w:gridSpan w:val="3"/>
          </w:tcPr>
          <w:p w14:paraId="1FDC4067" w14:textId="77777777" w:rsidR="00CD748D" w:rsidRDefault="00CD748D" w:rsidP="00CD748D">
            <w:pPr>
              <w:pStyle w:val="TAL"/>
            </w:pPr>
            <w:r>
              <w:rPr>
                <w:rFonts w:eastAsia="Batang"/>
              </w:rPr>
              <w:t>LocAccuracy</w:t>
            </w:r>
          </w:p>
        </w:tc>
      </w:tr>
      <w:tr w:rsidR="00C86FDB" w14:paraId="06F32442"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038D1B3E" w14:textId="77777777" w:rsidR="00C86FDB" w:rsidRDefault="00C86FDB" w:rsidP="00C86FDB">
            <w:pPr>
              <w:pStyle w:val="TAL"/>
            </w:pPr>
            <w:r>
              <w:t>temporalGranSize</w:t>
            </w:r>
          </w:p>
        </w:tc>
        <w:tc>
          <w:tcPr>
            <w:tcW w:w="1472" w:type="dxa"/>
            <w:gridSpan w:val="2"/>
            <w:tcBorders>
              <w:top w:val="single" w:sz="6" w:space="0" w:color="auto"/>
              <w:left w:val="single" w:sz="6" w:space="0" w:color="auto"/>
              <w:bottom w:val="single" w:sz="6" w:space="0" w:color="auto"/>
              <w:right w:val="single" w:sz="6" w:space="0" w:color="auto"/>
            </w:tcBorders>
          </w:tcPr>
          <w:p w14:paraId="575ACF3F" w14:textId="77777777" w:rsidR="00C86FDB" w:rsidRDefault="00C86FDB" w:rsidP="00C86FDB">
            <w:pPr>
              <w:pStyle w:val="TAL"/>
            </w:pPr>
            <w:r>
              <w:t>DurationSec</w:t>
            </w:r>
          </w:p>
        </w:tc>
        <w:tc>
          <w:tcPr>
            <w:tcW w:w="360" w:type="dxa"/>
            <w:gridSpan w:val="2"/>
            <w:tcBorders>
              <w:top w:val="single" w:sz="6" w:space="0" w:color="auto"/>
              <w:left w:val="single" w:sz="6" w:space="0" w:color="auto"/>
              <w:bottom w:val="single" w:sz="6" w:space="0" w:color="auto"/>
              <w:right w:val="single" w:sz="6" w:space="0" w:color="auto"/>
            </w:tcBorders>
          </w:tcPr>
          <w:p w14:paraId="51CD86CB" w14:textId="77777777" w:rsidR="00C86FDB" w:rsidRDefault="00C86FDB" w:rsidP="00C86FDB">
            <w:pPr>
              <w:pStyle w:val="TAC"/>
            </w:pPr>
            <w:r>
              <w:t>O</w:t>
            </w:r>
          </w:p>
        </w:tc>
        <w:tc>
          <w:tcPr>
            <w:tcW w:w="1168" w:type="dxa"/>
            <w:gridSpan w:val="2"/>
            <w:tcBorders>
              <w:top w:val="single" w:sz="6" w:space="0" w:color="auto"/>
              <w:left w:val="single" w:sz="6" w:space="0" w:color="auto"/>
              <w:bottom w:val="single" w:sz="6" w:space="0" w:color="auto"/>
              <w:right w:val="single" w:sz="6" w:space="0" w:color="auto"/>
            </w:tcBorders>
          </w:tcPr>
          <w:p w14:paraId="54B8EA98" w14:textId="77777777" w:rsidR="00C86FDB" w:rsidRDefault="00C86FDB" w:rsidP="00C86FDB">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550CA2AF" w14:textId="77777777" w:rsidR="00C86FDB" w:rsidRDefault="00C86FDB" w:rsidP="00C86FDB">
            <w:pPr>
              <w:pStyle w:val="TAL"/>
            </w:pPr>
            <w:r>
              <w:t>Indicates the minimum duration of each time slot for which the analytics are provided.</w:t>
            </w:r>
          </w:p>
          <w:p w14:paraId="60C9E8C4" w14:textId="77777777" w:rsidR="00C86FDB" w:rsidRDefault="00C86FDB" w:rsidP="00C86FDB">
            <w:pPr>
              <w:pStyle w:val="TAL"/>
            </w:pPr>
            <w:r>
              <w:t>(NOTE 15)</w:t>
            </w:r>
          </w:p>
        </w:tc>
        <w:tc>
          <w:tcPr>
            <w:tcW w:w="1481" w:type="dxa"/>
            <w:gridSpan w:val="3"/>
            <w:tcBorders>
              <w:top w:val="single" w:sz="6" w:space="0" w:color="auto"/>
              <w:left w:val="single" w:sz="6" w:space="0" w:color="auto"/>
              <w:bottom w:val="single" w:sz="6" w:space="0" w:color="auto"/>
              <w:right w:val="single" w:sz="6" w:space="0" w:color="auto"/>
            </w:tcBorders>
          </w:tcPr>
          <w:p w14:paraId="3CF39533" w14:textId="77777777" w:rsidR="00C86FDB" w:rsidRDefault="00C86FDB" w:rsidP="00C86FDB">
            <w:pPr>
              <w:pStyle w:val="TAL"/>
            </w:pPr>
            <w:r>
              <w:t>NetworkPerformanceExt_eNA</w:t>
            </w:r>
          </w:p>
          <w:p w14:paraId="67AF91E1" w14:textId="77777777" w:rsidR="00C86FDB" w:rsidRDefault="00C86FDB" w:rsidP="00C86FDB">
            <w:pPr>
              <w:pStyle w:val="TAL"/>
            </w:pPr>
            <w:r>
              <w:t>UeMobilityExt2_eNA</w:t>
            </w:r>
          </w:p>
          <w:p w14:paraId="557C4219" w14:textId="77777777" w:rsidR="00C86FDB" w:rsidRDefault="00C86FDB" w:rsidP="00C86FDB">
            <w:pPr>
              <w:pStyle w:val="TAL"/>
            </w:pPr>
            <w:r>
              <w:t>UserDataCongestionExt2_eNA</w:t>
            </w:r>
          </w:p>
          <w:p w14:paraId="1B009F5D" w14:textId="77777777" w:rsidR="00C86FDB" w:rsidRDefault="00C86FDB" w:rsidP="00C86FDB">
            <w:pPr>
              <w:pStyle w:val="TAL"/>
            </w:pPr>
            <w:r>
              <w:t>QoSSustainExt_eNA</w:t>
            </w:r>
          </w:p>
          <w:p w14:paraId="01EE63F1" w14:textId="77777777" w:rsidR="00C86FDB" w:rsidRDefault="00C86FDB" w:rsidP="00C86FDB">
            <w:pPr>
              <w:pStyle w:val="TAL"/>
            </w:pPr>
            <w:r>
              <w:t>DispersionExt_eNA</w:t>
            </w:r>
          </w:p>
          <w:p w14:paraId="317CCE06" w14:textId="77777777" w:rsidR="00C86FDB" w:rsidRDefault="00C86FDB" w:rsidP="00C86FDB">
            <w:pPr>
              <w:pStyle w:val="TAL"/>
            </w:pPr>
            <w:r>
              <w:t>WlanPerfExt_eNA</w:t>
            </w:r>
          </w:p>
          <w:p w14:paraId="1BF87BE0" w14:textId="77777777" w:rsidR="00C86FDB" w:rsidRDefault="00C86FDB" w:rsidP="00C86FDB">
            <w:pPr>
              <w:pStyle w:val="TAL"/>
            </w:pPr>
            <w:r>
              <w:t>RedundantTransExpExt_eNA</w:t>
            </w:r>
          </w:p>
          <w:p w14:paraId="26B4F3A1" w14:textId="77777777" w:rsidR="00C86FDB" w:rsidRDefault="00C86FDB" w:rsidP="00C86FDB">
            <w:pPr>
              <w:pStyle w:val="TAL"/>
            </w:pPr>
            <w:r>
              <w:t>DnPerfExt_eNA</w:t>
            </w:r>
          </w:p>
        </w:tc>
      </w:tr>
      <w:tr w:rsidR="00C869EF" w14:paraId="5CC504D9"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38C2B75E" w14:textId="77777777" w:rsidR="00C869EF" w:rsidRDefault="00C869EF" w:rsidP="00C869EF">
            <w:pPr>
              <w:pStyle w:val="TAL"/>
            </w:pPr>
            <w:r>
              <w:t>spatialGranSizeTa</w:t>
            </w:r>
          </w:p>
        </w:tc>
        <w:tc>
          <w:tcPr>
            <w:tcW w:w="1472" w:type="dxa"/>
            <w:gridSpan w:val="2"/>
            <w:tcBorders>
              <w:top w:val="single" w:sz="6" w:space="0" w:color="auto"/>
              <w:left w:val="single" w:sz="6" w:space="0" w:color="auto"/>
              <w:bottom w:val="single" w:sz="6" w:space="0" w:color="auto"/>
              <w:right w:val="single" w:sz="6" w:space="0" w:color="auto"/>
            </w:tcBorders>
          </w:tcPr>
          <w:p w14:paraId="21015E40" w14:textId="77777777" w:rsidR="00C869EF" w:rsidRDefault="00C869EF" w:rsidP="00C869EF">
            <w:pPr>
              <w:pStyle w:val="TAL"/>
            </w:pPr>
            <w:r>
              <w:t>Uinteger</w:t>
            </w:r>
          </w:p>
        </w:tc>
        <w:tc>
          <w:tcPr>
            <w:tcW w:w="360" w:type="dxa"/>
            <w:gridSpan w:val="2"/>
            <w:tcBorders>
              <w:top w:val="single" w:sz="6" w:space="0" w:color="auto"/>
              <w:left w:val="single" w:sz="6" w:space="0" w:color="auto"/>
              <w:bottom w:val="single" w:sz="6" w:space="0" w:color="auto"/>
              <w:right w:val="single" w:sz="6" w:space="0" w:color="auto"/>
            </w:tcBorders>
          </w:tcPr>
          <w:p w14:paraId="4C899391" w14:textId="77777777" w:rsidR="00C869EF" w:rsidRDefault="00C869EF" w:rsidP="00C869EF">
            <w:pPr>
              <w:pStyle w:val="TAC"/>
            </w:pPr>
            <w:r>
              <w:t>O</w:t>
            </w:r>
          </w:p>
        </w:tc>
        <w:tc>
          <w:tcPr>
            <w:tcW w:w="1168" w:type="dxa"/>
            <w:gridSpan w:val="2"/>
            <w:tcBorders>
              <w:top w:val="single" w:sz="6" w:space="0" w:color="auto"/>
              <w:left w:val="single" w:sz="6" w:space="0" w:color="auto"/>
              <w:bottom w:val="single" w:sz="6" w:space="0" w:color="auto"/>
              <w:right w:val="single" w:sz="6" w:space="0" w:color="auto"/>
            </w:tcBorders>
          </w:tcPr>
          <w:p w14:paraId="54EF051B" w14:textId="77777777" w:rsidR="00C869EF" w:rsidRDefault="00C869EF" w:rsidP="00C869EF">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70A3B812" w14:textId="74D19898" w:rsidR="00C869EF" w:rsidRPr="00E6042B" w:rsidRDefault="00C869EF" w:rsidP="00C869EF">
            <w:pPr>
              <w:keepNext/>
              <w:keepLines/>
              <w:spacing w:after="0"/>
              <w:rPr>
                <w:rFonts w:ascii="Arial" w:hAnsi="Arial"/>
                <w:sz w:val="18"/>
              </w:rPr>
            </w:pPr>
            <w:r w:rsidRPr="00E6042B">
              <w:rPr>
                <w:rFonts w:ascii="Arial" w:hAnsi="Arial"/>
                <w:sz w:val="18"/>
              </w:rPr>
              <w:t xml:space="preserve">Indicates the maximum number of TAs used to define an area for which the analytics are </w:t>
            </w:r>
            <w:r>
              <w:rPr>
                <w:rFonts w:ascii="Arial" w:hAnsi="Arial"/>
                <w:sz w:val="18"/>
              </w:rPr>
              <w:t>requested</w:t>
            </w:r>
            <w:r w:rsidRPr="00E6042B">
              <w:rPr>
                <w:rFonts w:ascii="Arial" w:hAnsi="Arial"/>
                <w:sz w:val="18"/>
              </w:rPr>
              <w:t>.</w:t>
            </w:r>
          </w:p>
          <w:p w14:paraId="53D96D85" w14:textId="77777777" w:rsidR="00C869EF" w:rsidRPr="00E6042B" w:rsidRDefault="00C869EF" w:rsidP="00C869EF">
            <w:pPr>
              <w:keepNext/>
              <w:keepLines/>
              <w:spacing w:after="0"/>
              <w:rPr>
                <w:rFonts w:ascii="Arial" w:hAnsi="Arial"/>
                <w:sz w:val="18"/>
              </w:rPr>
            </w:pPr>
            <w:r w:rsidRPr="00E6042B">
              <w:rPr>
                <w:rFonts w:ascii="Arial" w:hAnsi="Arial"/>
                <w:sz w:val="18"/>
              </w:rPr>
              <w:t>May be included when the "networkArea" attribute in the EventSubscription data type is provided.</w:t>
            </w:r>
          </w:p>
          <w:p w14:paraId="574B5F35" w14:textId="77777777" w:rsidR="00C869EF" w:rsidRDefault="00C869EF" w:rsidP="00C869EF">
            <w:pPr>
              <w:pStyle w:val="TAL"/>
            </w:pPr>
            <w:r w:rsidRPr="00E6042B">
              <w:t>(NOTE 16)</w:t>
            </w:r>
          </w:p>
        </w:tc>
        <w:tc>
          <w:tcPr>
            <w:tcW w:w="1481" w:type="dxa"/>
            <w:gridSpan w:val="3"/>
            <w:tcBorders>
              <w:top w:val="single" w:sz="6" w:space="0" w:color="auto"/>
              <w:left w:val="single" w:sz="6" w:space="0" w:color="auto"/>
              <w:bottom w:val="single" w:sz="6" w:space="0" w:color="auto"/>
              <w:right w:val="single" w:sz="6" w:space="0" w:color="auto"/>
            </w:tcBorders>
          </w:tcPr>
          <w:p w14:paraId="01905092" w14:textId="77777777" w:rsidR="00C869EF" w:rsidRDefault="00C869EF" w:rsidP="00C869EF">
            <w:pPr>
              <w:pStyle w:val="TAL"/>
            </w:pPr>
            <w:r>
              <w:t>NetworkPerformanceExt_eNA</w:t>
            </w:r>
          </w:p>
          <w:p w14:paraId="186F9C20" w14:textId="77777777" w:rsidR="00C869EF" w:rsidRDefault="00C869EF" w:rsidP="00C869EF">
            <w:pPr>
              <w:pStyle w:val="TAL"/>
            </w:pPr>
            <w:r>
              <w:t>UeMobilityExt2_eNA</w:t>
            </w:r>
          </w:p>
          <w:p w14:paraId="0CC53C1D" w14:textId="77777777" w:rsidR="00C869EF" w:rsidRDefault="00C869EF" w:rsidP="00C869EF">
            <w:pPr>
              <w:pStyle w:val="TAL"/>
            </w:pPr>
            <w:r>
              <w:t>UeCommunicationExt_eNA</w:t>
            </w:r>
          </w:p>
          <w:p w14:paraId="059FE444" w14:textId="77777777" w:rsidR="00C869EF" w:rsidRDefault="00C869EF" w:rsidP="00C869EF">
            <w:pPr>
              <w:pStyle w:val="TAL"/>
            </w:pPr>
            <w:r>
              <w:t>QoSSustainExt_eNA</w:t>
            </w:r>
          </w:p>
          <w:p w14:paraId="6204B79D" w14:textId="77777777" w:rsidR="00C869EF" w:rsidRDefault="00C869EF" w:rsidP="00C869EF">
            <w:pPr>
              <w:pStyle w:val="TAL"/>
            </w:pPr>
            <w:r>
              <w:t>DispersionExt_eNA</w:t>
            </w:r>
          </w:p>
          <w:p w14:paraId="6A04FF5A" w14:textId="77777777" w:rsidR="00C869EF" w:rsidRDefault="00C869EF" w:rsidP="00C869EF">
            <w:pPr>
              <w:pStyle w:val="TAL"/>
            </w:pPr>
            <w:r>
              <w:t>DnPerfExt_eNA</w:t>
            </w:r>
          </w:p>
        </w:tc>
      </w:tr>
      <w:tr w:rsidR="00C869EF" w14:paraId="19263655"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0D57DAEB" w14:textId="77777777" w:rsidR="00C869EF" w:rsidRDefault="00C869EF" w:rsidP="00C869EF">
            <w:pPr>
              <w:pStyle w:val="TAL"/>
            </w:pPr>
            <w:r>
              <w:lastRenderedPageBreak/>
              <w:t>spatialGranSizeCell</w:t>
            </w:r>
          </w:p>
        </w:tc>
        <w:tc>
          <w:tcPr>
            <w:tcW w:w="1472" w:type="dxa"/>
            <w:gridSpan w:val="2"/>
            <w:tcBorders>
              <w:top w:val="single" w:sz="6" w:space="0" w:color="auto"/>
              <w:left w:val="single" w:sz="6" w:space="0" w:color="auto"/>
              <w:bottom w:val="single" w:sz="6" w:space="0" w:color="auto"/>
              <w:right w:val="single" w:sz="6" w:space="0" w:color="auto"/>
            </w:tcBorders>
          </w:tcPr>
          <w:p w14:paraId="7E7613ED" w14:textId="77777777" w:rsidR="00C869EF" w:rsidRDefault="00C869EF" w:rsidP="00C869EF">
            <w:pPr>
              <w:pStyle w:val="TAL"/>
            </w:pPr>
            <w:r>
              <w:t>Uinteger</w:t>
            </w:r>
          </w:p>
        </w:tc>
        <w:tc>
          <w:tcPr>
            <w:tcW w:w="360" w:type="dxa"/>
            <w:gridSpan w:val="2"/>
            <w:tcBorders>
              <w:top w:val="single" w:sz="6" w:space="0" w:color="auto"/>
              <w:left w:val="single" w:sz="6" w:space="0" w:color="auto"/>
              <w:bottom w:val="single" w:sz="6" w:space="0" w:color="auto"/>
              <w:right w:val="single" w:sz="6" w:space="0" w:color="auto"/>
            </w:tcBorders>
          </w:tcPr>
          <w:p w14:paraId="12E771E6" w14:textId="77777777" w:rsidR="00C869EF" w:rsidRDefault="00C869EF" w:rsidP="00C869EF">
            <w:pPr>
              <w:pStyle w:val="TAC"/>
            </w:pPr>
            <w:r>
              <w:t>O</w:t>
            </w:r>
          </w:p>
        </w:tc>
        <w:tc>
          <w:tcPr>
            <w:tcW w:w="1168" w:type="dxa"/>
            <w:gridSpan w:val="2"/>
            <w:tcBorders>
              <w:top w:val="single" w:sz="6" w:space="0" w:color="auto"/>
              <w:left w:val="single" w:sz="6" w:space="0" w:color="auto"/>
              <w:bottom w:val="single" w:sz="6" w:space="0" w:color="auto"/>
              <w:right w:val="single" w:sz="6" w:space="0" w:color="auto"/>
            </w:tcBorders>
          </w:tcPr>
          <w:p w14:paraId="54092F56" w14:textId="77777777" w:rsidR="00C869EF" w:rsidRDefault="00C869EF" w:rsidP="00C869EF">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7F69EB94" w14:textId="27D7F6F5" w:rsidR="00C869EF" w:rsidRPr="00E6042B" w:rsidRDefault="00C869EF" w:rsidP="00C869EF">
            <w:pPr>
              <w:keepNext/>
              <w:keepLines/>
              <w:spacing w:after="0"/>
              <w:rPr>
                <w:rFonts w:ascii="Arial" w:hAnsi="Arial"/>
                <w:sz w:val="18"/>
              </w:rPr>
            </w:pPr>
            <w:r w:rsidRPr="00E6042B">
              <w:rPr>
                <w:rFonts w:ascii="Arial" w:hAnsi="Arial"/>
                <w:sz w:val="18"/>
              </w:rPr>
              <w:t xml:space="preserve">Indicates the maximum number of cells used to define an area for which the analytics are </w:t>
            </w:r>
            <w:r>
              <w:rPr>
                <w:rFonts w:ascii="Arial" w:hAnsi="Arial"/>
                <w:sz w:val="18"/>
              </w:rPr>
              <w:t>requested</w:t>
            </w:r>
            <w:r w:rsidRPr="00E6042B">
              <w:rPr>
                <w:rFonts w:ascii="Arial" w:hAnsi="Arial"/>
                <w:sz w:val="18"/>
              </w:rPr>
              <w:t>.</w:t>
            </w:r>
          </w:p>
          <w:p w14:paraId="1D7F77D7" w14:textId="77777777" w:rsidR="00C869EF" w:rsidRPr="00E6042B" w:rsidRDefault="00C869EF" w:rsidP="00C869EF">
            <w:pPr>
              <w:keepNext/>
              <w:keepLines/>
              <w:spacing w:after="0"/>
              <w:rPr>
                <w:rFonts w:ascii="Arial" w:hAnsi="Arial"/>
                <w:sz w:val="18"/>
              </w:rPr>
            </w:pPr>
            <w:r w:rsidRPr="00E6042B">
              <w:rPr>
                <w:rFonts w:ascii="Arial" w:hAnsi="Arial"/>
                <w:sz w:val="18"/>
              </w:rPr>
              <w:t>May be included when the "networkArea" attribute is provided.</w:t>
            </w:r>
          </w:p>
          <w:p w14:paraId="3E253C50" w14:textId="77777777" w:rsidR="00C869EF" w:rsidRDefault="00C869EF" w:rsidP="00C869EF">
            <w:pPr>
              <w:pStyle w:val="TAL"/>
            </w:pPr>
            <w:r w:rsidRPr="00E6042B">
              <w:t>(NOTE 16)</w:t>
            </w:r>
          </w:p>
        </w:tc>
        <w:tc>
          <w:tcPr>
            <w:tcW w:w="1481" w:type="dxa"/>
            <w:gridSpan w:val="3"/>
            <w:tcBorders>
              <w:top w:val="single" w:sz="6" w:space="0" w:color="auto"/>
              <w:left w:val="single" w:sz="6" w:space="0" w:color="auto"/>
              <w:bottom w:val="single" w:sz="6" w:space="0" w:color="auto"/>
              <w:right w:val="single" w:sz="6" w:space="0" w:color="auto"/>
            </w:tcBorders>
          </w:tcPr>
          <w:p w14:paraId="35878E4C" w14:textId="77777777" w:rsidR="00C869EF" w:rsidRDefault="00C869EF" w:rsidP="00C869EF">
            <w:pPr>
              <w:pStyle w:val="TAL"/>
            </w:pPr>
            <w:r>
              <w:t>NetworkPerformanceExt_eNA</w:t>
            </w:r>
          </w:p>
          <w:p w14:paraId="2C6ACD28" w14:textId="77777777" w:rsidR="00C869EF" w:rsidRDefault="00C869EF" w:rsidP="00C869EF">
            <w:pPr>
              <w:pStyle w:val="TAL"/>
            </w:pPr>
            <w:r>
              <w:t>UeMobilityExt2_eNA</w:t>
            </w:r>
          </w:p>
          <w:p w14:paraId="184D3F51" w14:textId="77777777" w:rsidR="00C869EF" w:rsidRDefault="00C869EF" w:rsidP="00C869EF">
            <w:pPr>
              <w:pStyle w:val="TAL"/>
            </w:pPr>
            <w:r>
              <w:t>UeCommunicationExt_eNA</w:t>
            </w:r>
          </w:p>
          <w:p w14:paraId="6682BA59" w14:textId="77777777" w:rsidR="00C869EF" w:rsidRDefault="00C869EF" w:rsidP="00C869EF">
            <w:pPr>
              <w:pStyle w:val="TAL"/>
            </w:pPr>
            <w:r>
              <w:t>QoSSustainExt_eNA</w:t>
            </w:r>
          </w:p>
          <w:p w14:paraId="4033E3D0" w14:textId="77777777" w:rsidR="00C869EF" w:rsidRDefault="00C869EF" w:rsidP="00C869EF">
            <w:pPr>
              <w:pStyle w:val="TAL"/>
            </w:pPr>
            <w:r>
              <w:t>DispersionExt_eNA</w:t>
            </w:r>
          </w:p>
          <w:p w14:paraId="21B78997" w14:textId="77777777" w:rsidR="00C869EF" w:rsidRDefault="00C869EF" w:rsidP="00C869EF">
            <w:pPr>
              <w:pStyle w:val="TAL"/>
            </w:pPr>
            <w:r>
              <w:t>DnPerfExt_eNA</w:t>
            </w:r>
          </w:p>
        </w:tc>
      </w:tr>
      <w:tr w:rsidR="00CD748D" w14:paraId="323038EB"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69FF1180" w14:textId="77777777" w:rsidR="00CD748D" w:rsidRDefault="00CD748D" w:rsidP="00CD748D">
            <w:pPr>
              <w:pStyle w:val="TAL"/>
            </w:pPr>
            <w:r>
              <w:t>fineGranAreas</w:t>
            </w:r>
          </w:p>
        </w:tc>
        <w:tc>
          <w:tcPr>
            <w:tcW w:w="1472" w:type="dxa"/>
            <w:gridSpan w:val="2"/>
            <w:tcBorders>
              <w:top w:val="single" w:sz="6" w:space="0" w:color="auto"/>
              <w:left w:val="single" w:sz="6" w:space="0" w:color="auto"/>
              <w:bottom w:val="single" w:sz="6" w:space="0" w:color="auto"/>
              <w:right w:val="single" w:sz="6" w:space="0" w:color="auto"/>
            </w:tcBorders>
          </w:tcPr>
          <w:p w14:paraId="794F454C" w14:textId="77777777" w:rsidR="00CD748D" w:rsidRDefault="00CD748D" w:rsidP="00CD748D">
            <w:pPr>
              <w:pStyle w:val="TAL"/>
            </w:pPr>
            <w:r>
              <w:t>array(GeographicalArea)</w:t>
            </w:r>
          </w:p>
        </w:tc>
        <w:tc>
          <w:tcPr>
            <w:tcW w:w="360" w:type="dxa"/>
            <w:gridSpan w:val="2"/>
            <w:tcBorders>
              <w:top w:val="single" w:sz="6" w:space="0" w:color="auto"/>
              <w:left w:val="single" w:sz="6" w:space="0" w:color="auto"/>
              <w:bottom w:val="single" w:sz="6" w:space="0" w:color="auto"/>
              <w:right w:val="single" w:sz="6" w:space="0" w:color="auto"/>
            </w:tcBorders>
          </w:tcPr>
          <w:p w14:paraId="712260BA" w14:textId="77777777" w:rsidR="00CD748D" w:rsidRDefault="00CD748D" w:rsidP="00CD748D">
            <w:pPr>
              <w:pStyle w:val="TAC"/>
            </w:pPr>
            <w:r>
              <w:rPr>
                <w:lang w:eastAsia="zh-CN"/>
              </w:rPr>
              <w:t>O</w:t>
            </w:r>
          </w:p>
        </w:tc>
        <w:tc>
          <w:tcPr>
            <w:tcW w:w="1168" w:type="dxa"/>
            <w:gridSpan w:val="2"/>
            <w:tcBorders>
              <w:top w:val="single" w:sz="6" w:space="0" w:color="auto"/>
              <w:left w:val="single" w:sz="6" w:space="0" w:color="auto"/>
              <w:bottom w:val="single" w:sz="6" w:space="0" w:color="auto"/>
              <w:right w:val="single" w:sz="6" w:space="0" w:color="auto"/>
            </w:tcBorders>
          </w:tcPr>
          <w:p w14:paraId="4EE5C3F8" w14:textId="77777777" w:rsidR="00CD748D" w:rsidRDefault="00CD748D" w:rsidP="00CD748D">
            <w:pPr>
              <w:pStyle w:val="TAC"/>
            </w:pPr>
            <w:r>
              <w:rPr>
                <w:rFonts w:hint="eastAsia"/>
                <w:lang w:eastAsia="zh-CN"/>
              </w:rPr>
              <w:t>1..N</w:t>
            </w:r>
          </w:p>
        </w:tc>
        <w:tc>
          <w:tcPr>
            <w:tcW w:w="3325" w:type="dxa"/>
            <w:gridSpan w:val="2"/>
            <w:tcBorders>
              <w:top w:val="single" w:sz="6" w:space="0" w:color="auto"/>
              <w:left w:val="single" w:sz="6" w:space="0" w:color="auto"/>
              <w:bottom w:val="single" w:sz="6" w:space="0" w:color="auto"/>
              <w:right w:val="single" w:sz="6" w:space="0" w:color="auto"/>
            </w:tcBorders>
          </w:tcPr>
          <w:p w14:paraId="5F9BD96F" w14:textId="77777777" w:rsidR="00CD748D" w:rsidRDefault="00CD748D" w:rsidP="00CD748D">
            <w:pPr>
              <w:pStyle w:val="TAL"/>
            </w:pPr>
            <w:r>
              <w:rPr>
                <w:lang w:eastAsia="zh-CN"/>
              </w:rPr>
              <w:t>Indicates th</w:t>
            </w:r>
            <w:r>
              <w:t>e fine granularity areas to which the request applies. (i.e. with a finer granularity than cell).</w:t>
            </w:r>
          </w:p>
          <w:p w14:paraId="78F15714" w14:textId="77777777" w:rsidR="00CD748D" w:rsidRDefault="00CD748D" w:rsidP="00CD748D">
            <w:pPr>
              <w:pStyle w:val="TAL"/>
            </w:pPr>
            <w:r>
              <w:t>(NOTE 2) (NOTE 17)</w:t>
            </w:r>
          </w:p>
        </w:tc>
        <w:tc>
          <w:tcPr>
            <w:tcW w:w="1481" w:type="dxa"/>
            <w:gridSpan w:val="3"/>
            <w:tcBorders>
              <w:top w:val="single" w:sz="6" w:space="0" w:color="auto"/>
              <w:left w:val="single" w:sz="6" w:space="0" w:color="auto"/>
              <w:bottom w:val="single" w:sz="6" w:space="0" w:color="auto"/>
              <w:right w:val="single" w:sz="6" w:space="0" w:color="auto"/>
            </w:tcBorders>
          </w:tcPr>
          <w:p w14:paraId="5DA69FB6" w14:textId="77777777" w:rsidR="00CD748D" w:rsidRDefault="00CD748D" w:rsidP="00CD748D">
            <w:pPr>
              <w:pStyle w:val="TAL"/>
              <w:rPr>
                <w:lang w:eastAsia="zh-CN"/>
              </w:rPr>
            </w:pPr>
            <w:r>
              <w:rPr>
                <w:lang w:eastAsia="zh-CN"/>
              </w:rPr>
              <w:t>ServiceExperienceExt2_eNA</w:t>
            </w:r>
          </w:p>
          <w:p w14:paraId="5C49F649" w14:textId="77777777" w:rsidR="00CD748D" w:rsidRDefault="00CD748D" w:rsidP="00CD748D">
            <w:pPr>
              <w:pStyle w:val="TAL"/>
              <w:rPr>
                <w:lang w:eastAsia="zh-CN"/>
              </w:rPr>
            </w:pPr>
            <w:r>
              <w:t>UeMobility</w:t>
            </w:r>
            <w:r>
              <w:rPr>
                <w:lang w:eastAsia="zh-CN"/>
              </w:rPr>
              <w:t>Ext2_eNA</w:t>
            </w:r>
          </w:p>
          <w:p w14:paraId="1C7A4150" w14:textId="77777777" w:rsidR="00CD748D" w:rsidRDefault="00CD748D" w:rsidP="00CD748D">
            <w:pPr>
              <w:pStyle w:val="TAL"/>
              <w:rPr>
                <w:rFonts w:eastAsia="Batang"/>
              </w:rPr>
            </w:pPr>
            <w:r>
              <w:rPr>
                <w:rFonts w:eastAsia="Batang"/>
              </w:rPr>
              <w:t>QoSSustainExt_eNA</w:t>
            </w:r>
          </w:p>
          <w:p w14:paraId="19285808" w14:textId="77777777" w:rsidR="00CD748D" w:rsidRDefault="00CD748D" w:rsidP="00CD748D">
            <w:pPr>
              <w:pStyle w:val="TAL"/>
              <w:rPr>
                <w:rFonts w:eastAsia="Batang"/>
              </w:rPr>
            </w:pPr>
            <w:r>
              <w:rPr>
                <w:rFonts w:eastAsia="Batang"/>
              </w:rPr>
              <w:t>MovementBehaviour</w:t>
            </w:r>
          </w:p>
          <w:p w14:paraId="3BC5E6B3" w14:textId="77777777" w:rsidR="00CD748D" w:rsidRDefault="00CD748D" w:rsidP="00CD748D">
            <w:pPr>
              <w:pStyle w:val="TAL"/>
            </w:pPr>
            <w:r>
              <w:rPr>
                <w:rFonts w:hint="eastAsia"/>
                <w:lang w:eastAsia="zh-CN"/>
              </w:rPr>
              <w:t>Q</w:t>
            </w:r>
            <w:r>
              <w:rPr>
                <w:lang w:eastAsia="zh-CN"/>
              </w:rPr>
              <w:t>oSPolicyAssist</w:t>
            </w:r>
          </w:p>
        </w:tc>
      </w:tr>
      <w:tr w:rsidR="00CD748D" w14:paraId="3E1BAADB" w14:textId="77777777" w:rsidTr="005A20DD">
        <w:trPr>
          <w:gridAfter w:val="2"/>
          <w:wAfter w:w="77" w:type="dxa"/>
          <w:jc w:val="center"/>
        </w:trPr>
        <w:tc>
          <w:tcPr>
            <w:tcW w:w="1532" w:type="dxa"/>
            <w:gridSpan w:val="3"/>
          </w:tcPr>
          <w:p w14:paraId="7F046BAE" w14:textId="77777777" w:rsidR="00CD748D" w:rsidRDefault="00CD748D" w:rsidP="00CD748D">
            <w:pPr>
              <w:pStyle w:val="TAL"/>
            </w:pPr>
            <w:r>
              <w:t>visitedAreas</w:t>
            </w:r>
          </w:p>
        </w:tc>
        <w:tc>
          <w:tcPr>
            <w:tcW w:w="1472" w:type="dxa"/>
            <w:gridSpan w:val="2"/>
          </w:tcPr>
          <w:p w14:paraId="67A3EA05" w14:textId="77777777" w:rsidR="00CD748D" w:rsidRDefault="00CD748D" w:rsidP="00CD748D">
            <w:pPr>
              <w:pStyle w:val="TAL"/>
            </w:pPr>
            <w:r>
              <w:t>array(NetworkAreaInfo)</w:t>
            </w:r>
          </w:p>
        </w:tc>
        <w:tc>
          <w:tcPr>
            <w:tcW w:w="360" w:type="dxa"/>
            <w:gridSpan w:val="2"/>
          </w:tcPr>
          <w:p w14:paraId="1655ACBE" w14:textId="77777777" w:rsidR="00CD748D" w:rsidRDefault="00CD748D" w:rsidP="00CD748D">
            <w:pPr>
              <w:pStyle w:val="TAC"/>
            </w:pPr>
            <w:r>
              <w:rPr>
                <w:lang w:eastAsia="zh-CN"/>
              </w:rPr>
              <w:t>O</w:t>
            </w:r>
          </w:p>
        </w:tc>
        <w:tc>
          <w:tcPr>
            <w:tcW w:w="1168" w:type="dxa"/>
            <w:gridSpan w:val="2"/>
          </w:tcPr>
          <w:p w14:paraId="6FD0B037" w14:textId="77777777" w:rsidR="00CD748D" w:rsidRDefault="00CD748D" w:rsidP="00CD748D">
            <w:pPr>
              <w:pStyle w:val="TAC"/>
            </w:pPr>
            <w:r>
              <w:rPr>
                <w:rFonts w:hint="eastAsia"/>
                <w:lang w:eastAsia="zh-CN"/>
              </w:rPr>
              <w:t>1..N</w:t>
            </w:r>
          </w:p>
        </w:tc>
        <w:tc>
          <w:tcPr>
            <w:tcW w:w="3325" w:type="dxa"/>
            <w:gridSpan w:val="2"/>
          </w:tcPr>
          <w:p w14:paraId="34051ADA" w14:textId="77777777" w:rsidR="00CD748D" w:rsidRDefault="00CD748D" w:rsidP="00CD748D">
            <w:pPr>
              <w:pStyle w:val="TAL"/>
            </w:pPr>
            <w:r>
              <w:t>Identification(s) of network area(s) which the UEs had previously been in at least one of the Visited Area(s) of Interest. (NOTE 9)</w:t>
            </w:r>
          </w:p>
        </w:tc>
        <w:tc>
          <w:tcPr>
            <w:tcW w:w="1481" w:type="dxa"/>
            <w:gridSpan w:val="3"/>
          </w:tcPr>
          <w:p w14:paraId="42E3F430" w14:textId="77777777" w:rsidR="00CD748D" w:rsidRDefault="00CD748D" w:rsidP="00CD748D">
            <w:pPr>
              <w:pStyle w:val="TAL"/>
            </w:pPr>
            <w:r>
              <w:t>UeMobilityExt</w:t>
            </w:r>
          </w:p>
        </w:tc>
      </w:tr>
      <w:tr w:rsidR="00C86FDB" w14:paraId="7A59FDCB" w14:textId="77777777" w:rsidTr="005A20DD">
        <w:trPr>
          <w:gridAfter w:val="2"/>
          <w:wAfter w:w="77" w:type="dxa"/>
          <w:jc w:val="center"/>
        </w:trPr>
        <w:tc>
          <w:tcPr>
            <w:tcW w:w="1532" w:type="dxa"/>
            <w:gridSpan w:val="3"/>
          </w:tcPr>
          <w:p w14:paraId="46767018" w14:textId="77777777" w:rsidR="00C86FDB" w:rsidRDefault="00C86FDB" w:rsidP="00C86FDB">
            <w:pPr>
              <w:pStyle w:val="TAL"/>
            </w:pPr>
            <w:r>
              <w:rPr>
                <w:rFonts w:hint="eastAsia"/>
              </w:rPr>
              <w:t>m</w:t>
            </w:r>
            <w:r>
              <w:t>axTopAppUlNbr</w:t>
            </w:r>
          </w:p>
        </w:tc>
        <w:tc>
          <w:tcPr>
            <w:tcW w:w="1472" w:type="dxa"/>
            <w:gridSpan w:val="2"/>
          </w:tcPr>
          <w:p w14:paraId="48B72F12" w14:textId="77777777" w:rsidR="00C86FDB" w:rsidRDefault="00C86FDB" w:rsidP="00C86FDB">
            <w:pPr>
              <w:pStyle w:val="TAL"/>
            </w:pPr>
            <w:r>
              <w:t>Uinteger</w:t>
            </w:r>
          </w:p>
        </w:tc>
        <w:tc>
          <w:tcPr>
            <w:tcW w:w="360" w:type="dxa"/>
            <w:gridSpan w:val="2"/>
          </w:tcPr>
          <w:p w14:paraId="3695A406" w14:textId="77777777" w:rsidR="00C86FDB" w:rsidRDefault="00C86FDB" w:rsidP="00C86FDB">
            <w:pPr>
              <w:pStyle w:val="TAC"/>
            </w:pPr>
            <w:r>
              <w:t>O</w:t>
            </w:r>
          </w:p>
        </w:tc>
        <w:tc>
          <w:tcPr>
            <w:tcW w:w="1168" w:type="dxa"/>
            <w:gridSpan w:val="2"/>
          </w:tcPr>
          <w:p w14:paraId="25C255E5" w14:textId="77777777" w:rsidR="00C86FDB" w:rsidRDefault="00C86FDB" w:rsidP="00C86FDB">
            <w:pPr>
              <w:pStyle w:val="TAC"/>
            </w:pPr>
            <w:r>
              <w:t>0..1</w:t>
            </w:r>
          </w:p>
        </w:tc>
        <w:tc>
          <w:tcPr>
            <w:tcW w:w="3325" w:type="dxa"/>
            <w:gridSpan w:val="2"/>
          </w:tcPr>
          <w:p w14:paraId="2B65F242" w14:textId="77777777" w:rsidR="00C86FDB" w:rsidRDefault="00C86FDB" w:rsidP="00C86FDB">
            <w:pPr>
              <w:pStyle w:val="TAL"/>
            </w:pPr>
            <w:r>
              <w:rPr>
                <w:rFonts w:hint="eastAsia"/>
              </w:rPr>
              <w:t>I</w:t>
            </w:r>
            <w:r>
              <w:t xml:space="preserve">ndicates the requested maximum number of top applications that contribute the most to the traffic in Uplink direction. </w:t>
            </w:r>
          </w:p>
          <w:p w14:paraId="010B8D12" w14:textId="77777777" w:rsidR="00C86FDB" w:rsidRDefault="00C86FDB" w:rsidP="00C86FDB">
            <w:pPr>
              <w:pStyle w:val="TAL"/>
              <w:rPr>
                <w:rFonts w:cs="Arial"/>
                <w:szCs w:val="18"/>
                <w:lang w:eastAsia="zh-CN"/>
              </w:rPr>
            </w:pPr>
            <w:r>
              <w:rPr>
                <w:rFonts w:cs="Arial"/>
                <w:szCs w:val="18"/>
                <w:lang w:eastAsia="zh-CN"/>
              </w:rPr>
              <w:t>Minimum = 1.</w:t>
            </w:r>
          </w:p>
          <w:p w14:paraId="332F9CC5" w14:textId="77777777" w:rsidR="00C86FDB" w:rsidRDefault="00C86FDB" w:rsidP="00C86FDB">
            <w:pPr>
              <w:pStyle w:val="TAL"/>
            </w:pPr>
            <w:r>
              <w:rPr>
                <w:lang w:eastAsia="zh-CN"/>
              </w:rPr>
              <w:t>May be included when one of the elements in the "listOfAnaSubsets" attribute is set to LIST_OF_TOP_APP_UL.</w:t>
            </w:r>
          </w:p>
        </w:tc>
        <w:tc>
          <w:tcPr>
            <w:tcW w:w="1481" w:type="dxa"/>
            <w:gridSpan w:val="3"/>
          </w:tcPr>
          <w:p w14:paraId="449DF202" w14:textId="77777777" w:rsidR="00C86FDB" w:rsidRDefault="00C86FDB" w:rsidP="00C86FDB">
            <w:pPr>
              <w:pStyle w:val="TAL"/>
            </w:pPr>
            <w:r>
              <w:t>UserDataCongestionExt</w:t>
            </w:r>
          </w:p>
        </w:tc>
      </w:tr>
      <w:tr w:rsidR="00C86FDB" w14:paraId="1DA3BB22" w14:textId="77777777" w:rsidTr="005A20DD">
        <w:trPr>
          <w:gridAfter w:val="2"/>
          <w:wAfter w:w="77" w:type="dxa"/>
          <w:jc w:val="center"/>
        </w:trPr>
        <w:tc>
          <w:tcPr>
            <w:tcW w:w="1532" w:type="dxa"/>
            <w:gridSpan w:val="3"/>
          </w:tcPr>
          <w:p w14:paraId="696A4CC7" w14:textId="77777777" w:rsidR="00C86FDB" w:rsidRDefault="00C86FDB" w:rsidP="00C86FDB">
            <w:pPr>
              <w:pStyle w:val="TAL"/>
            </w:pPr>
            <w:r>
              <w:rPr>
                <w:rFonts w:hint="eastAsia"/>
              </w:rPr>
              <w:t>m</w:t>
            </w:r>
            <w:r>
              <w:t>axTopAppDlNbr</w:t>
            </w:r>
          </w:p>
        </w:tc>
        <w:tc>
          <w:tcPr>
            <w:tcW w:w="1472" w:type="dxa"/>
            <w:gridSpan w:val="2"/>
          </w:tcPr>
          <w:p w14:paraId="2E106E32" w14:textId="77777777" w:rsidR="00C86FDB" w:rsidRDefault="00C86FDB" w:rsidP="00C86FDB">
            <w:pPr>
              <w:pStyle w:val="TAL"/>
            </w:pPr>
            <w:r>
              <w:t>Uinteger</w:t>
            </w:r>
          </w:p>
        </w:tc>
        <w:tc>
          <w:tcPr>
            <w:tcW w:w="360" w:type="dxa"/>
            <w:gridSpan w:val="2"/>
          </w:tcPr>
          <w:p w14:paraId="47605053" w14:textId="77777777" w:rsidR="00C86FDB" w:rsidRDefault="00C86FDB" w:rsidP="00C86FDB">
            <w:pPr>
              <w:pStyle w:val="TAC"/>
            </w:pPr>
            <w:r>
              <w:t>O</w:t>
            </w:r>
          </w:p>
        </w:tc>
        <w:tc>
          <w:tcPr>
            <w:tcW w:w="1168" w:type="dxa"/>
            <w:gridSpan w:val="2"/>
          </w:tcPr>
          <w:p w14:paraId="54F66A06" w14:textId="77777777" w:rsidR="00C86FDB" w:rsidRDefault="00C86FDB" w:rsidP="00C86FDB">
            <w:pPr>
              <w:pStyle w:val="TAC"/>
            </w:pPr>
            <w:r>
              <w:t>0..1</w:t>
            </w:r>
          </w:p>
        </w:tc>
        <w:tc>
          <w:tcPr>
            <w:tcW w:w="3325" w:type="dxa"/>
            <w:gridSpan w:val="2"/>
          </w:tcPr>
          <w:p w14:paraId="0C4E5B46" w14:textId="77777777" w:rsidR="00C86FDB" w:rsidRDefault="00C86FDB" w:rsidP="00C86FDB">
            <w:pPr>
              <w:pStyle w:val="TAL"/>
            </w:pPr>
            <w:r>
              <w:rPr>
                <w:rFonts w:hint="eastAsia"/>
              </w:rPr>
              <w:t>I</w:t>
            </w:r>
            <w:r>
              <w:t xml:space="preserve">ndicates the requested maximum number of top applications that contribute the most to the traffic in Downlink direction. </w:t>
            </w:r>
          </w:p>
          <w:p w14:paraId="35103FE8" w14:textId="77777777" w:rsidR="00C86FDB" w:rsidRDefault="00C86FDB" w:rsidP="00C86FDB">
            <w:pPr>
              <w:pStyle w:val="TAL"/>
              <w:rPr>
                <w:rFonts w:cs="Arial"/>
                <w:szCs w:val="18"/>
                <w:lang w:eastAsia="zh-CN"/>
              </w:rPr>
            </w:pPr>
            <w:r>
              <w:rPr>
                <w:rFonts w:cs="Arial"/>
                <w:szCs w:val="18"/>
                <w:lang w:eastAsia="zh-CN"/>
              </w:rPr>
              <w:t>Minimum = 1.</w:t>
            </w:r>
          </w:p>
          <w:p w14:paraId="4B7078F4" w14:textId="77777777" w:rsidR="00C86FDB" w:rsidRDefault="00C86FDB" w:rsidP="00C86FDB">
            <w:pPr>
              <w:pStyle w:val="TAL"/>
            </w:pPr>
            <w:r>
              <w:rPr>
                <w:lang w:eastAsia="zh-CN"/>
              </w:rPr>
              <w:t>May be included when one of the elements in the "listOfAnaSubsets" attribute is set to LIST_OF_TOP_APP_DL.</w:t>
            </w:r>
          </w:p>
        </w:tc>
        <w:tc>
          <w:tcPr>
            <w:tcW w:w="1481" w:type="dxa"/>
            <w:gridSpan w:val="3"/>
          </w:tcPr>
          <w:p w14:paraId="34DD0208" w14:textId="77777777" w:rsidR="00C86FDB" w:rsidRDefault="00C86FDB" w:rsidP="00C86FDB">
            <w:pPr>
              <w:pStyle w:val="TAL"/>
            </w:pPr>
            <w:r>
              <w:t>UserDataCongestionExt</w:t>
            </w:r>
          </w:p>
        </w:tc>
      </w:tr>
      <w:tr w:rsidR="00CD748D" w14:paraId="741758F8" w14:textId="77777777" w:rsidTr="005A20DD">
        <w:trPr>
          <w:gridAfter w:val="2"/>
          <w:wAfter w:w="77" w:type="dxa"/>
          <w:jc w:val="center"/>
        </w:trPr>
        <w:tc>
          <w:tcPr>
            <w:tcW w:w="1532" w:type="dxa"/>
            <w:gridSpan w:val="3"/>
          </w:tcPr>
          <w:p w14:paraId="2D4ED31B" w14:textId="77777777" w:rsidR="00CD748D" w:rsidRDefault="00CD748D" w:rsidP="00CD748D">
            <w:pPr>
              <w:pStyle w:val="TAL"/>
            </w:pPr>
            <w:r>
              <w:t>nsiIdInfos</w:t>
            </w:r>
          </w:p>
        </w:tc>
        <w:tc>
          <w:tcPr>
            <w:tcW w:w="1472" w:type="dxa"/>
            <w:gridSpan w:val="2"/>
          </w:tcPr>
          <w:p w14:paraId="44057EC9" w14:textId="77777777" w:rsidR="00CD748D" w:rsidRDefault="00CD748D" w:rsidP="00CD748D">
            <w:pPr>
              <w:pStyle w:val="TAL"/>
            </w:pPr>
            <w:r>
              <w:t>array(NsiIdInfo)</w:t>
            </w:r>
          </w:p>
        </w:tc>
        <w:tc>
          <w:tcPr>
            <w:tcW w:w="360" w:type="dxa"/>
            <w:gridSpan w:val="2"/>
          </w:tcPr>
          <w:p w14:paraId="21DDC5E7" w14:textId="77777777" w:rsidR="00CD748D" w:rsidRDefault="00CD748D" w:rsidP="00CD748D">
            <w:pPr>
              <w:pStyle w:val="TAC"/>
            </w:pPr>
            <w:r>
              <w:t>O</w:t>
            </w:r>
          </w:p>
        </w:tc>
        <w:tc>
          <w:tcPr>
            <w:tcW w:w="1168" w:type="dxa"/>
            <w:gridSpan w:val="2"/>
          </w:tcPr>
          <w:p w14:paraId="53FE0370" w14:textId="77777777" w:rsidR="00CD748D" w:rsidRDefault="00CD748D" w:rsidP="00CD748D">
            <w:pPr>
              <w:pStyle w:val="TAC"/>
            </w:pPr>
            <w:r>
              <w:t>1..N</w:t>
            </w:r>
          </w:p>
        </w:tc>
        <w:tc>
          <w:tcPr>
            <w:tcW w:w="3325" w:type="dxa"/>
            <w:gridSpan w:val="2"/>
          </w:tcPr>
          <w:p w14:paraId="52D6B554" w14:textId="77777777" w:rsidR="00CD748D" w:rsidRDefault="00CD748D" w:rsidP="00CD748D">
            <w:pPr>
              <w:pStyle w:val="TAL"/>
            </w:pPr>
            <w:r>
              <w:t>Each element identifies the S-NSSAI and the optionally associated network slice instance(s).</w:t>
            </w:r>
          </w:p>
          <w:p w14:paraId="11F748F6" w14:textId="77777777" w:rsidR="00CD748D" w:rsidRDefault="00CD748D" w:rsidP="00CD748D">
            <w:pPr>
              <w:pStyle w:val="TAL"/>
              <w:rPr>
                <w:rFonts w:eastAsia="Batang"/>
              </w:rPr>
            </w:pPr>
            <w:r>
              <w:rPr>
                <w:rFonts w:eastAsia="Batang"/>
              </w:rPr>
              <w:t>May be included when the event-id is "</w:t>
            </w:r>
            <w:r>
              <w:rPr>
                <w:lang w:eastAsia="zh-CN"/>
              </w:rPr>
              <w:t>NSI_LOAD_LEVEL"</w:t>
            </w:r>
            <w:r>
              <w:rPr>
                <w:rFonts w:eastAsia="Batang"/>
              </w:rPr>
              <w:t>,</w:t>
            </w:r>
          </w:p>
          <w:p w14:paraId="56B6B8FE" w14:textId="2329D2AC" w:rsidR="00CD748D" w:rsidRDefault="00CD748D" w:rsidP="00CD748D">
            <w:pPr>
              <w:pStyle w:val="TAL"/>
            </w:pPr>
            <w:r>
              <w:t>"SERVICE_EXPERIENCE"</w:t>
            </w:r>
            <w:r>
              <w:rPr>
                <w:rFonts w:hint="eastAsia"/>
                <w:lang w:eastAsia="zh-CN"/>
              </w:rPr>
              <w:t>,</w:t>
            </w:r>
            <w:r>
              <w:t xml:space="preserve"> "DN_PERFORMANCE" or</w:t>
            </w:r>
          </w:p>
          <w:p w14:paraId="3AE3C7E2" w14:textId="77777777" w:rsidR="00CD748D" w:rsidRDefault="00CD748D" w:rsidP="00CD748D">
            <w:pPr>
              <w:pStyle w:val="TAL"/>
              <w:rPr>
                <w:rFonts w:eastAsia="Batang"/>
              </w:rPr>
            </w:pPr>
            <w:r>
              <w:t>"QOS_POLICY_ASSIST"</w:t>
            </w:r>
            <w:r>
              <w:rPr>
                <w:rFonts w:eastAsia="Batang"/>
              </w:rPr>
              <w:t>.</w:t>
            </w:r>
          </w:p>
          <w:p w14:paraId="4F77FA40" w14:textId="77777777" w:rsidR="00CD748D" w:rsidRDefault="00CD748D" w:rsidP="00CD748D">
            <w:pPr>
              <w:pStyle w:val="TAL"/>
            </w:pPr>
            <w:r>
              <w:rPr>
                <w:rFonts w:eastAsia="Batang"/>
              </w:rPr>
              <w:t>(NOTE 1)</w:t>
            </w:r>
          </w:p>
        </w:tc>
        <w:tc>
          <w:tcPr>
            <w:tcW w:w="1481" w:type="dxa"/>
            <w:gridSpan w:val="3"/>
          </w:tcPr>
          <w:p w14:paraId="48C83839" w14:textId="77777777" w:rsidR="00CD748D" w:rsidRDefault="00CD748D" w:rsidP="00CD748D">
            <w:pPr>
              <w:pStyle w:val="TAL"/>
            </w:pPr>
            <w:r>
              <w:t>ServiceExperience</w:t>
            </w:r>
          </w:p>
          <w:p w14:paraId="4421CDC8" w14:textId="77777777" w:rsidR="00CD748D" w:rsidRDefault="00CD748D" w:rsidP="00CD748D">
            <w:pPr>
              <w:pStyle w:val="TAL"/>
            </w:pPr>
            <w:r>
              <w:rPr>
                <w:lang w:eastAsia="zh-CN"/>
              </w:rPr>
              <w:t>NsiLoad</w:t>
            </w:r>
          </w:p>
          <w:p w14:paraId="5FE03AC9" w14:textId="77777777" w:rsidR="00CD748D" w:rsidRDefault="00CD748D" w:rsidP="00CD748D">
            <w:pPr>
              <w:pStyle w:val="TAL"/>
              <w:rPr>
                <w:lang w:eastAsia="zh-CN"/>
              </w:rPr>
            </w:pPr>
            <w:r>
              <w:rPr>
                <w:rFonts w:hint="eastAsia"/>
                <w:lang w:eastAsia="zh-CN"/>
              </w:rPr>
              <w:t>Dn</w:t>
            </w:r>
            <w:r>
              <w:t>Performance</w:t>
            </w:r>
          </w:p>
          <w:p w14:paraId="383C15A6" w14:textId="77777777" w:rsidR="00CD748D" w:rsidRDefault="00CD748D" w:rsidP="00CD748D">
            <w:pPr>
              <w:pStyle w:val="TAL"/>
            </w:pPr>
            <w:r>
              <w:rPr>
                <w:rFonts w:hint="eastAsia"/>
                <w:lang w:eastAsia="zh-CN"/>
              </w:rPr>
              <w:t>Q</w:t>
            </w:r>
            <w:r>
              <w:rPr>
                <w:lang w:eastAsia="zh-CN"/>
              </w:rPr>
              <w:t>oSPolicyAssist</w:t>
            </w:r>
          </w:p>
        </w:tc>
      </w:tr>
      <w:tr w:rsidR="00C86FDB" w14:paraId="5C1ABE93" w14:textId="77777777" w:rsidTr="005A20DD">
        <w:trPr>
          <w:gridAfter w:val="2"/>
          <w:wAfter w:w="77" w:type="dxa"/>
          <w:jc w:val="center"/>
        </w:trPr>
        <w:tc>
          <w:tcPr>
            <w:tcW w:w="1532" w:type="dxa"/>
            <w:gridSpan w:val="3"/>
          </w:tcPr>
          <w:p w14:paraId="3EBD0FDD" w14:textId="77777777" w:rsidR="00C86FDB" w:rsidRDefault="00C86FDB" w:rsidP="00C86FDB">
            <w:pPr>
              <w:pStyle w:val="TAL"/>
            </w:pPr>
            <w:r>
              <w:rPr>
                <w:rFonts w:hint="eastAsia"/>
                <w:lang w:eastAsia="zh-CN"/>
              </w:rPr>
              <w:t>n</w:t>
            </w:r>
            <w:r>
              <w:t>wPerfReqs</w:t>
            </w:r>
          </w:p>
        </w:tc>
        <w:tc>
          <w:tcPr>
            <w:tcW w:w="1472" w:type="dxa"/>
            <w:gridSpan w:val="2"/>
          </w:tcPr>
          <w:p w14:paraId="76166F2B" w14:textId="77777777" w:rsidR="00C86FDB" w:rsidRDefault="00C86FDB" w:rsidP="00C86FDB">
            <w:pPr>
              <w:pStyle w:val="TAL"/>
            </w:pPr>
            <w:r>
              <w:t>array(NetworkPerfReq)</w:t>
            </w:r>
          </w:p>
        </w:tc>
        <w:tc>
          <w:tcPr>
            <w:tcW w:w="360" w:type="dxa"/>
            <w:gridSpan w:val="2"/>
          </w:tcPr>
          <w:p w14:paraId="55B3B550" w14:textId="77777777" w:rsidR="00C86FDB" w:rsidRDefault="00C86FDB" w:rsidP="00C86FDB">
            <w:pPr>
              <w:pStyle w:val="TAC"/>
            </w:pPr>
            <w:r>
              <w:rPr>
                <w:rFonts w:cs="Arial"/>
                <w:szCs w:val="18"/>
                <w:lang w:eastAsia="zh-CN"/>
              </w:rPr>
              <w:t>O</w:t>
            </w:r>
          </w:p>
        </w:tc>
        <w:tc>
          <w:tcPr>
            <w:tcW w:w="1168" w:type="dxa"/>
            <w:gridSpan w:val="2"/>
          </w:tcPr>
          <w:p w14:paraId="6A3F9F18" w14:textId="77777777" w:rsidR="00C86FDB" w:rsidRDefault="00C86FDB" w:rsidP="00C86FDB">
            <w:pPr>
              <w:pStyle w:val="TAC"/>
            </w:pPr>
            <w:r>
              <w:t>1..N</w:t>
            </w:r>
          </w:p>
        </w:tc>
        <w:tc>
          <w:tcPr>
            <w:tcW w:w="3325" w:type="dxa"/>
            <w:gridSpan w:val="2"/>
          </w:tcPr>
          <w:p w14:paraId="25C73E2D" w14:textId="77777777" w:rsidR="00C86FDB" w:rsidRDefault="00C86FDB" w:rsidP="00C86FDB">
            <w:pPr>
              <w:pStyle w:val="TAL"/>
            </w:pPr>
            <w:r>
              <w:t>Represents the network performance requirements. This attribute may be included when the event-id is "NETWORK_PERFORMANCE".</w:t>
            </w:r>
          </w:p>
        </w:tc>
        <w:tc>
          <w:tcPr>
            <w:tcW w:w="1481" w:type="dxa"/>
            <w:gridSpan w:val="3"/>
          </w:tcPr>
          <w:p w14:paraId="67A911BF" w14:textId="77777777" w:rsidR="00C86FDB" w:rsidRDefault="00C86FDB" w:rsidP="00C86FDB">
            <w:pPr>
              <w:pStyle w:val="TAL"/>
            </w:pPr>
            <w:r>
              <w:t>NetworkPerformanceExt_eNA</w:t>
            </w:r>
          </w:p>
        </w:tc>
      </w:tr>
      <w:tr w:rsidR="00C86FDB" w14:paraId="569E8E60" w14:textId="77777777" w:rsidTr="005A20DD">
        <w:trPr>
          <w:gridAfter w:val="2"/>
          <w:wAfter w:w="77" w:type="dxa"/>
          <w:jc w:val="center"/>
        </w:trPr>
        <w:tc>
          <w:tcPr>
            <w:tcW w:w="1532" w:type="dxa"/>
            <w:gridSpan w:val="3"/>
          </w:tcPr>
          <w:p w14:paraId="090E06B7" w14:textId="77777777" w:rsidR="00C86FDB" w:rsidRDefault="00C86FDB" w:rsidP="00C86FDB">
            <w:pPr>
              <w:pStyle w:val="TAL"/>
            </w:pPr>
            <w:r>
              <w:t>nwPerfTypes</w:t>
            </w:r>
          </w:p>
        </w:tc>
        <w:tc>
          <w:tcPr>
            <w:tcW w:w="1472" w:type="dxa"/>
            <w:gridSpan w:val="2"/>
          </w:tcPr>
          <w:p w14:paraId="7A2450E0" w14:textId="77777777" w:rsidR="00C86FDB" w:rsidRDefault="00C86FDB" w:rsidP="00C86FDB">
            <w:pPr>
              <w:pStyle w:val="TAL"/>
            </w:pPr>
            <w:r>
              <w:t>array(NetworkPerfType)</w:t>
            </w:r>
          </w:p>
        </w:tc>
        <w:tc>
          <w:tcPr>
            <w:tcW w:w="360" w:type="dxa"/>
            <w:gridSpan w:val="2"/>
          </w:tcPr>
          <w:p w14:paraId="5E3F9CA1" w14:textId="77777777" w:rsidR="00C86FDB" w:rsidRDefault="00C86FDB" w:rsidP="00C86FDB">
            <w:pPr>
              <w:pStyle w:val="TAC"/>
            </w:pPr>
            <w:r>
              <w:t>C</w:t>
            </w:r>
          </w:p>
        </w:tc>
        <w:tc>
          <w:tcPr>
            <w:tcW w:w="1168" w:type="dxa"/>
            <w:gridSpan w:val="2"/>
          </w:tcPr>
          <w:p w14:paraId="4968C50C" w14:textId="77777777" w:rsidR="00C86FDB" w:rsidRDefault="00C86FDB" w:rsidP="00C86FDB">
            <w:pPr>
              <w:pStyle w:val="TAC"/>
            </w:pPr>
            <w:r>
              <w:t>1..N</w:t>
            </w:r>
          </w:p>
        </w:tc>
        <w:tc>
          <w:tcPr>
            <w:tcW w:w="3325" w:type="dxa"/>
            <w:gridSpan w:val="2"/>
          </w:tcPr>
          <w:p w14:paraId="535C412A" w14:textId="77777777" w:rsidR="00C86FDB" w:rsidRDefault="00C86FDB" w:rsidP="00C86FDB">
            <w:pPr>
              <w:pStyle w:val="TAL"/>
            </w:pPr>
            <w:r>
              <w:t>Represents the network performance types. This attribute shall be included when event-id is "NETWORK_PERFORMANCE".</w:t>
            </w:r>
          </w:p>
        </w:tc>
        <w:tc>
          <w:tcPr>
            <w:tcW w:w="1481" w:type="dxa"/>
            <w:gridSpan w:val="3"/>
          </w:tcPr>
          <w:p w14:paraId="153CC000" w14:textId="77777777" w:rsidR="00C86FDB" w:rsidRDefault="00C86FDB" w:rsidP="00C86FDB">
            <w:pPr>
              <w:pStyle w:val="TAL"/>
            </w:pPr>
            <w:r>
              <w:t>NetworkPerformance</w:t>
            </w:r>
          </w:p>
        </w:tc>
      </w:tr>
      <w:tr w:rsidR="00C86FDB" w14:paraId="22FEC83E" w14:textId="77777777" w:rsidTr="005A20DD">
        <w:trPr>
          <w:gridAfter w:val="2"/>
          <w:wAfter w:w="77" w:type="dxa"/>
          <w:jc w:val="center"/>
        </w:trPr>
        <w:tc>
          <w:tcPr>
            <w:tcW w:w="1532" w:type="dxa"/>
            <w:gridSpan w:val="3"/>
          </w:tcPr>
          <w:p w14:paraId="1BC8D291" w14:textId="77777777" w:rsidR="00C86FDB" w:rsidRDefault="00C86FDB" w:rsidP="00C86FDB">
            <w:pPr>
              <w:pStyle w:val="TAL"/>
            </w:pPr>
            <w:r>
              <w:t>addNwPerfReqs</w:t>
            </w:r>
          </w:p>
        </w:tc>
        <w:tc>
          <w:tcPr>
            <w:tcW w:w="1472" w:type="dxa"/>
            <w:gridSpan w:val="2"/>
          </w:tcPr>
          <w:p w14:paraId="0242C86A" w14:textId="77777777" w:rsidR="00C86FDB" w:rsidRDefault="00C86FDB" w:rsidP="00C86FDB">
            <w:pPr>
              <w:pStyle w:val="TAL"/>
            </w:pPr>
            <w:r>
              <w:rPr>
                <w:lang w:eastAsia="zh-CN"/>
              </w:rPr>
              <w:t>array(ResourceUsageRequPerNwPerfType)</w:t>
            </w:r>
          </w:p>
        </w:tc>
        <w:tc>
          <w:tcPr>
            <w:tcW w:w="360" w:type="dxa"/>
            <w:gridSpan w:val="2"/>
          </w:tcPr>
          <w:p w14:paraId="570F45C6" w14:textId="77777777" w:rsidR="00C86FDB" w:rsidRDefault="00C86FDB" w:rsidP="00C86FDB">
            <w:pPr>
              <w:pStyle w:val="TAC"/>
            </w:pPr>
            <w:r>
              <w:rPr>
                <w:rFonts w:hint="eastAsia"/>
                <w:lang w:eastAsia="zh-CN"/>
              </w:rPr>
              <w:t>O</w:t>
            </w:r>
          </w:p>
        </w:tc>
        <w:tc>
          <w:tcPr>
            <w:tcW w:w="1168" w:type="dxa"/>
            <w:gridSpan w:val="2"/>
          </w:tcPr>
          <w:p w14:paraId="7FF4B0C5" w14:textId="77777777" w:rsidR="00C86FDB" w:rsidRDefault="00C86FDB" w:rsidP="00C86FDB">
            <w:pPr>
              <w:pStyle w:val="TAC"/>
            </w:pPr>
            <w:r>
              <w:t>1..N</w:t>
            </w:r>
          </w:p>
        </w:tc>
        <w:tc>
          <w:tcPr>
            <w:tcW w:w="3325" w:type="dxa"/>
            <w:gridSpan w:val="2"/>
          </w:tcPr>
          <w:p w14:paraId="692E5F5D" w14:textId="77777777" w:rsidR="00C86FDB" w:rsidRDefault="00C86FDB" w:rsidP="00C86FDB">
            <w:pPr>
              <w:pStyle w:val="TAL"/>
            </w:pPr>
            <w:r>
              <w:rPr>
                <w:lang w:eastAsia="zh-CN"/>
              </w:rPr>
              <w:t xml:space="preserve">Each element indicates more requirement for each network performance type (by each element in the </w:t>
            </w:r>
            <w:r>
              <w:t>"nwPerfTypes" attribute</w:t>
            </w:r>
            <w:r>
              <w:rPr>
                <w:lang w:eastAsia="zh-CN"/>
              </w:rPr>
              <w:t>) when providing resource usage information for the network performance type.</w:t>
            </w:r>
          </w:p>
        </w:tc>
        <w:tc>
          <w:tcPr>
            <w:tcW w:w="1481" w:type="dxa"/>
            <w:gridSpan w:val="3"/>
          </w:tcPr>
          <w:p w14:paraId="330D5EE8" w14:textId="77777777" w:rsidR="00C86FDB" w:rsidRDefault="00C86FDB" w:rsidP="00C86FDB">
            <w:pPr>
              <w:pStyle w:val="TAL"/>
            </w:pPr>
            <w:r>
              <w:t>NetworkPerformance</w:t>
            </w:r>
            <w:r>
              <w:rPr>
                <w:lang w:eastAsia="zh-CN"/>
              </w:rPr>
              <w:t>Ext_AIML</w:t>
            </w:r>
          </w:p>
        </w:tc>
      </w:tr>
      <w:tr w:rsidR="00C86FDB" w14:paraId="7E39FBB7" w14:textId="77777777" w:rsidTr="005A20DD">
        <w:trPr>
          <w:gridAfter w:val="2"/>
          <w:wAfter w:w="77" w:type="dxa"/>
          <w:jc w:val="center"/>
        </w:trPr>
        <w:tc>
          <w:tcPr>
            <w:tcW w:w="1532" w:type="dxa"/>
            <w:gridSpan w:val="3"/>
          </w:tcPr>
          <w:p w14:paraId="2354C3D3" w14:textId="77777777" w:rsidR="00C86FDB" w:rsidRDefault="00C86FDB" w:rsidP="00C86FDB">
            <w:pPr>
              <w:pStyle w:val="TAL"/>
            </w:pPr>
            <w:r>
              <w:rPr>
                <w:lang w:eastAsia="zh-CN"/>
              </w:rPr>
              <w:lastRenderedPageBreak/>
              <w:t>userDataCon</w:t>
            </w:r>
            <w:r>
              <w:t>Reqs</w:t>
            </w:r>
          </w:p>
        </w:tc>
        <w:tc>
          <w:tcPr>
            <w:tcW w:w="1472" w:type="dxa"/>
            <w:gridSpan w:val="2"/>
          </w:tcPr>
          <w:p w14:paraId="05E92C34" w14:textId="77777777" w:rsidR="00C86FDB" w:rsidRDefault="00C86FDB" w:rsidP="00C86FDB">
            <w:pPr>
              <w:pStyle w:val="TAL"/>
            </w:pPr>
            <w:r>
              <w:t>array(UserDataCongestReq)</w:t>
            </w:r>
          </w:p>
        </w:tc>
        <w:tc>
          <w:tcPr>
            <w:tcW w:w="360" w:type="dxa"/>
            <w:gridSpan w:val="2"/>
          </w:tcPr>
          <w:p w14:paraId="5D51835B" w14:textId="77777777" w:rsidR="00C86FDB" w:rsidRDefault="00C86FDB" w:rsidP="00C86FDB">
            <w:pPr>
              <w:pStyle w:val="TAC"/>
            </w:pPr>
            <w:r>
              <w:rPr>
                <w:rFonts w:cs="Arial"/>
                <w:szCs w:val="18"/>
                <w:lang w:eastAsia="zh-CN"/>
              </w:rPr>
              <w:t>O</w:t>
            </w:r>
          </w:p>
        </w:tc>
        <w:tc>
          <w:tcPr>
            <w:tcW w:w="1168" w:type="dxa"/>
            <w:gridSpan w:val="2"/>
          </w:tcPr>
          <w:p w14:paraId="1B292A4E" w14:textId="77777777" w:rsidR="00C86FDB" w:rsidRDefault="00C86FDB" w:rsidP="00C86FDB">
            <w:pPr>
              <w:pStyle w:val="TAC"/>
            </w:pPr>
            <w:r>
              <w:t>1..N</w:t>
            </w:r>
          </w:p>
        </w:tc>
        <w:tc>
          <w:tcPr>
            <w:tcW w:w="3325" w:type="dxa"/>
            <w:gridSpan w:val="2"/>
          </w:tcPr>
          <w:p w14:paraId="1548A990" w14:textId="77777777" w:rsidR="00C86FDB" w:rsidRDefault="00C86FDB" w:rsidP="00C86FDB">
            <w:pPr>
              <w:pStyle w:val="TAL"/>
            </w:pPr>
            <w:r>
              <w:t>Represents the network performance requirements. This attribute may be included when the event-id is "NETWORK_PERFORMANCE".</w:t>
            </w:r>
          </w:p>
        </w:tc>
        <w:tc>
          <w:tcPr>
            <w:tcW w:w="1481" w:type="dxa"/>
            <w:gridSpan w:val="3"/>
          </w:tcPr>
          <w:p w14:paraId="1F9DA7C5" w14:textId="77777777" w:rsidR="00C86FDB" w:rsidRDefault="00C86FDB" w:rsidP="00C86FDB">
            <w:pPr>
              <w:pStyle w:val="TAL"/>
            </w:pPr>
            <w:r>
              <w:t>UserDataCongestionExt2_eNA</w:t>
            </w:r>
          </w:p>
        </w:tc>
      </w:tr>
      <w:tr w:rsidR="00C86FDB" w14:paraId="4E877FA3" w14:textId="77777777" w:rsidTr="005A20DD">
        <w:trPr>
          <w:gridAfter w:val="2"/>
          <w:wAfter w:w="77" w:type="dxa"/>
          <w:jc w:val="center"/>
        </w:trPr>
        <w:tc>
          <w:tcPr>
            <w:tcW w:w="1532" w:type="dxa"/>
            <w:gridSpan w:val="3"/>
          </w:tcPr>
          <w:p w14:paraId="117AA2CE" w14:textId="77777777" w:rsidR="00C86FDB" w:rsidRDefault="00C86FDB" w:rsidP="00C86FDB">
            <w:pPr>
              <w:pStyle w:val="TAL"/>
            </w:pPr>
            <w:r>
              <w:t>qosRequ</w:t>
            </w:r>
          </w:p>
        </w:tc>
        <w:tc>
          <w:tcPr>
            <w:tcW w:w="1472" w:type="dxa"/>
            <w:gridSpan w:val="2"/>
          </w:tcPr>
          <w:p w14:paraId="28C46E1D" w14:textId="77777777" w:rsidR="00C86FDB" w:rsidRDefault="00C86FDB" w:rsidP="00C86FDB">
            <w:pPr>
              <w:pStyle w:val="TAL"/>
            </w:pPr>
            <w:r>
              <w:t>QoSRequirement</w:t>
            </w:r>
          </w:p>
        </w:tc>
        <w:tc>
          <w:tcPr>
            <w:tcW w:w="360" w:type="dxa"/>
            <w:gridSpan w:val="2"/>
          </w:tcPr>
          <w:p w14:paraId="12C107A2" w14:textId="77777777" w:rsidR="00C86FDB" w:rsidRDefault="00C86FDB" w:rsidP="00C86FDB">
            <w:pPr>
              <w:pStyle w:val="TAC"/>
            </w:pPr>
            <w:r>
              <w:t>C</w:t>
            </w:r>
          </w:p>
        </w:tc>
        <w:tc>
          <w:tcPr>
            <w:tcW w:w="1168" w:type="dxa"/>
            <w:gridSpan w:val="2"/>
          </w:tcPr>
          <w:p w14:paraId="124E9511" w14:textId="77777777" w:rsidR="00C86FDB" w:rsidRDefault="00C86FDB" w:rsidP="00C86FDB">
            <w:pPr>
              <w:pStyle w:val="TAC"/>
            </w:pPr>
            <w:r>
              <w:t>0..1</w:t>
            </w:r>
          </w:p>
        </w:tc>
        <w:tc>
          <w:tcPr>
            <w:tcW w:w="3325" w:type="dxa"/>
            <w:gridSpan w:val="2"/>
          </w:tcPr>
          <w:p w14:paraId="6BB95E07" w14:textId="77777777" w:rsidR="00C86FDB" w:rsidRDefault="00C86FDB" w:rsidP="00C86FDB">
            <w:pPr>
              <w:pStyle w:val="TAL"/>
            </w:pPr>
            <w:r>
              <w:t xml:space="preserve">Represents the QoS requirements. This attribute shall be included when event-id is "QOS_SUSTAINABILITY" or </w:t>
            </w:r>
            <w:r>
              <w:rPr>
                <w:lang w:eastAsia="zh-CN"/>
              </w:rPr>
              <w:t>E2E_DATA_VOL_TRANS_TIME</w:t>
            </w:r>
            <w:r>
              <w:t>.</w:t>
            </w:r>
          </w:p>
        </w:tc>
        <w:tc>
          <w:tcPr>
            <w:tcW w:w="1481" w:type="dxa"/>
            <w:gridSpan w:val="3"/>
          </w:tcPr>
          <w:p w14:paraId="41591CDE" w14:textId="77777777" w:rsidR="00C86FDB" w:rsidRDefault="00C86FDB" w:rsidP="00C86FDB">
            <w:pPr>
              <w:pStyle w:val="TAL"/>
            </w:pPr>
            <w:r>
              <w:t>QoSSustainability</w:t>
            </w:r>
          </w:p>
          <w:p w14:paraId="12B540E6" w14:textId="77777777" w:rsidR="00C86FDB" w:rsidRDefault="00C86FDB" w:rsidP="00C86FDB">
            <w:pPr>
              <w:pStyle w:val="TAL"/>
            </w:pPr>
            <w:r>
              <w:rPr>
                <w:lang w:eastAsia="zh-CN"/>
              </w:rPr>
              <w:t>E2eDataVolTransTime</w:t>
            </w:r>
          </w:p>
        </w:tc>
      </w:tr>
      <w:tr w:rsidR="00C86FDB" w14:paraId="50445A28" w14:textId="77777777" w:rsidTr="005A20DD">
        <w:trPr>
          <w:gridAfter w:val="2"/>
          <w:wAfter w:w="77" w:type="dxa"/>
          <w:jc w:val="center"/>
        </w:trPr>
        <w:tc>
          <w:tcPr>
            <w:tcW w:w="1532" w:type="dxa"/>
            <w:gridSpan w:val="3"/>
          </w:tcPr>
          <w:p w14:paraId="3F386004" w14:textId="77777777" w:rsidR="00C86FDB" w:rsidRDefault="00C86FDB" w:rsidP="00C86FDB">
            <w:pPr>
              <w:pStyle w:val="TAL"/>
            </w:pPr>
            <w:r>
              <w:t>bwRequs</w:t>
            </w:r>
          </w:p>
        </w:tc>
        <w:tc>
          <w:tcPr>
            <w:tcW w:w="1472" w:type="dxa"/>
            <w:gridSpan w:val="2"/>
          </w:tcPr>
          <w:p w14:paraId="70C83E16" w14:textId="77777777" w:rsidR="00C86FDB" w:rsidRDefault="00C86FDB" w:rsidP="00C86FDB">
            <w:pPr>
              <w:pStyle w:val="TAL"/>
            </w:pPr>
            <w:r>
              <w:t>array(BwRequirement)</w:t>
            </w:r>
          </w:p>
        </w:tc>
        <w:tc>
          <w:tcPr>
            <w:tcW w:w="360" w:type="dxa"/>
            <w:gridSpan w:val="2"/>
          </w:tcPr>
          <w:p w14:paraId="4D02BA84" w14:textId="77777777" w:rsidR="00C86FDB" w:rsidRDefault="00C86FDB" w:rsidP="00C86FDB">
            <w:pPr>
              <w:pStyle w:val="TAC"/>
            </w:pPr>
            <w:r>
              <w:rPr>
                <w:rFonts w:cs="Arial"/>
                <w:szCs w:val="18"/>
                <w:lang w:eastAsia="zh-CN"/>
              </w:rPr>
              <w:t>O</w:t>
            </w:r>
          </w:p>
        </w:tc>
        <w:tc>
          <w:tcPr>
            <w:tcW w:w="1168" w:type="dxa"/>
            <w:gridSpan w:val="2"/>
          </w:tcPr>
          <w:p w14:paraId="7CBA42C6" w14:textId="77777777" w:rsidR="00C86FDB" w:rsidRDefault="00C86FDB" w:rsidP="00C86FDB">
            <w:pPr>
              <w:pStyle w:val="TAC"/>
            </w:pPr>
            <w:r>
              <w:rPr>
                <w:rFonts w:cs="Arial"/>
                <w:szCs w:val="18"/>
                <w:lang w:eastAsia="zh-CN"/>
              </w:rPr>
              <w:t>1..N</w:t>
            </w:r>
          </w:p>
        </w:tc>
        <w:tc>
          <w:tcPr>
            <w:tcW w:w="3325" w:type="dxa"/>
            <w:gridSpan w:val="2"/>
          </w:tcPr>
          <w:p w14:paraId="10A0AA8E" w14:textId="77777777" w:rsidR="00C86FDB" w:rsidRDefault="00C86FDB" w:rsidP="00C86FDB">
            <w:pPr>
              <w:pStyle w:val="TAL"/>
            </w:pPr>
            <w:r>
              <w:t>Represents the media/application bandwidth requirement for each application.</w:t>
            </w:r>
          </w:p>
          <w:p w14:paraId="7EBBD08A" w14:textId="77777777" w:rsidR="00C86FDB" w:rsidRDefault="00C86FDB" w:rsidP="00C86FDB">
            <w:pPr>
              <w:pStyle w:val="TAL"/>
            </w:pPr>
            <w:r>
              <w:t>It may only be present if "appIds" attribute is provided.</w:t>
            </w:r>
          </w:p>
        </w:tc>
        <w:tc>
          <w:tcPr>
            <w:tcW w:w="1481" w:type="dxa"/>
            <w:gridSpan w:val="3"/>
          </w:tcPr>
          <w:p w14:paraId="063C3EDD" w14:textId="77777777" w:rsidR="00C86FDB" w:rsidRDefault="00C86FDB" w:rsidP="00C86FDB">
            <w:pPr>
              <w:pStyle w:val="TAL"/>
            </w:pPr>
            <w:r>
              <w:t>ServiceExperience</w:t>
            </w:r>
          </w:p>
        </w:tc>
      </w:tr>
      <w:tr w:rsidR="00C86FDB" w14:paraId="3E7A3798" w14:textId="77777777" w:rsidTr="005A20DD">
        <w:trPr>
          <w:gridAfter w:val="2"/>
          <w:wAfter w:w="77" w:type="dxa"/>
          <w:jc w:val="center"/>
        </w:trPr>
        <w:tc>
          <w:tcPr>
            <w:tcW w:w="1532" w:type="dxa"/>
            <w:gridSpan w:val="3"/>
          </w:tcPr>
          <w:p w14:paraId="6943A15F" w14:textId="77777777" w:rsidR="00C86FDB" w:rsidRDefault="00C86FDB" w:rsidP="00C86FDB">
            <w:pPr>
              <w:pStyle w:val="TAL"/>
            </w:pPr>
            <w:r>
              <w:t>excepIds</w:t>
            </w:r>
          </w:p>
        </w:tc>
        <w:tc>
          <w:tcPr>
            <w:tcW w:w="1472" w:type="dxa"/>
            <w:gridSpan w:val="2"/>
          </w:tcPr>
          <w:p w14:paraId="6292A87B" w14:textId="77777777" w:rsidR="00C86FDB" w:rsidRDefault="00C86FDB" w:rsidP="00C86FDB">
            <w:pPr>
              <w:pStyle w:val="TAL"/>
            </w:pPr>
            <w:r>
              <w:t>array(ExceptionId)</w:t>
            </w:r>
          </w:p>
        </w:tc>
        <w:tc>
          <w:tcPr>
            <w:tcW w:w="360" w:type="dxa"/>
            <w:gridSpan w:val="2"/>
          </w:tcPr>
          <w:p w14:paraId="2F5650E6" w14:textId="77777777" w:rsidR="00C86FDB" w:rsidRDefault="00C86FDB" w:rsidP="00C86FDB">
            <w:pPr>
              <w:pStyle w:val="TAC"/>
              <w:rPr>
                <w:rFonts w:cs="Arial"/>
                <w:szCs w:val="18"/>
                <w:lang w:eastAsia="zh-CN"/>
              </w:rPr>
            </w:pPr>
            <w:r>
              <w:rPr>
                <w:rFonts w:cs="Arial"/>
                <w:szCs w:val="18"/>
                <w:lang w:eastAsia="zh-CN"/>
              </w:rPr>
              <w:t>C</w:t>
            </w:r>
          </w:p>
        </w:tc>
        <w:tc>
          <w:tcPr>
            <w:tcW w:w="1168" w:type="dxa"/>
            <w:gridSpan w:val="2"/>
          </w:tcPr>
          <w:p w14:paraId="1D6A55B5"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1366C58B" w14:textId="77777777" w:rsidR="00C86FDB" w:rsidRDefault="00C86FDB" w:rsidP="00C86FDB">
            <w:pPr>
              <w:pStyle w:val="TAL"/>
              <w:rPr>
                <w:rFonts w:cs="Arial"/>
                <w:szCs w:val="18"/>
              </w:rPr>
            </w:pPr>
            <w:r>
              <w:rPr>
                <w:rFonts w:cs="Arial"/>
                <w:szCs w:val="18"/>
              </w:rPr>
              <w:t>Represents a list of Exception Ids.</w:t>
            </w:r>
          </w:p>
          <w:p w14:paraId="68B50F3B" w14:textId="77777777" w:rsidR="00C86FDB" w:rsidRDefault="00C86FDB" w:rsidP="00C86FDB">
            <w:pPr>
              <w:pStyle w:val="TAL"/>
            </w:pPr>
            <w:r>
              <w:rPr>
                <w:rFonts w:cs="Arial"/>
                <w:szCs w:val="18"/>
              </w:rPr>
              <w:t>(NOTE 3), (NOTE 4)</w:t>
            </w:r>
          </w:p>
        </w:tc>
        <w:tc>
          <w:tcPr>
            <w:tcW w:w="1481" w:type="dxa"/>
            <w:gridSpan w:val="3"/>
          </w:tcPr>
          <w:p w14:paraId="05162AF2" w14:textId="77777777" w:rsidR="00C86FDB" w:rsidRDefault="00C86FDB" w:rsidP="00C86FDB">
            <w:pPr>
              <w:pStyle w:val="TAL"/>
            </w:pPr>
            <w:r>
              <w:rPr>
                <w:rFonts w:cs="Arial"/>
                <w:szCs w:val="18"/>
              </w:rPr>
              <w:t>AbnormalBehaviour</w:t>
            </w:r>
          </w:p>
        </w:tc>
      </w:tr>
      <w:tr w:rsidR="00C86FDB" w14:paraId="57106977" w14:textId="77777777" w:rsidTr="005A20DD">
        <w:trPr>
          <w:gridAfter w:val="2"/>
          <w:wAfter w:w="77" w:type="dxa"/>
          <w:jc w:val="center"/>
        </w:trPr>
        <w:tc>
          <w:tcPr>
            <w:tcW w:w="1532" w:type="dxa"/>
            <w:gridSpan w:val="3"/>
          </w:tcPr>
          <w:p w14:paraId="71B3861A" w14:textId="77777777" w:rsidR="00C86FDB" w:rsidRDefault="00C86FDB" w:rsidP="00C86FDB">
            <w:pPr>
              <w:pStyle w:val="TAL"/>
            </w:pPr>
            <w:r>
              <w:t>exptAnaType</w:t>
            </w:r>
          </w:p>
        </w:tc>
        <w:tc>
          <w:tcPr>
            <w:tcW w:w="1472" w:type="dxa"/>
            <w:gridSpan w:val="2"/>
          </w:tcPr>
          <w:p w14:paraId="0F2C8304" w14:textId="77777777" w:rsidR="00C86FDB" w:rsidRDefault="00C86FDB" w:rsidP="00C86FDB">
            <w:pPr>
              <w:pStyle w:val="TAL"/>
            </w:pPr>
            <w:r>
              <w:t>ExpectedAnalyticsType</w:t>
            </w:r>
          </w:p>
        </w:tc>
        <w:tc>
          <w:tcPr>
            <w:tcW w:w="360" w:type="dxa"/>
            <w:gridSpan w:val="2"/>
          </w:tcPr>
          <w:p w14:paraId="39AAF5C3" w14:textId="77777777" w:rsidR="00C86FDB" w:rsidRDefault="00C86FDB" w:rsidP="00C86FDB">
            <w:pPr>
              <w:pStyle w:val="TAC"/>
              <w:rPr>
                <w:rFonts w:cs="Arial"/>
                <w:szCs w:val="18"/>
                <w:lang w:eastAsia="zh-CN"/>
              </w:rPr>
            </w:pPr>
            <w:r>
              <w:rPr>
                <w:rFonts w:cs="Arial"/>
                <w:szCs w:val="18"/>
                <w:lang w:eastAsia="zh-CN"/>
              </w:rPr>
              <w:t>C</w:t>
            </w:r>
          </w:p>
        </w:tc>
        <w:tc>
          <w:tcPr>
            <w:tcW w:w="1168" w:type="dxa"/>
            <w:gridSpan w:val="2"/>
          </w:tcPr>
          <w:p w14:paraId="6EA3145A" w14:textId="77777777" w:rsidR="00C86FDB" w:rsidRDefault="00C86FDB" w:rsidP="00C86FDB">
            <w:pPr>
              <w:pStyle w:val="TAC"/>
              <w:rPr>
                <w:rFonts w:cs="Arial"/>
                <w:szCs w:val="18"/>
                <w:lang w:eastAsia="zh-CN"/>
              </w:rPr>
            </w:pPr>
            <w:r>
              <w:rPr>
                <w:rFonts w:cs="Arial"/>
                <w:szCs w:val="18"/>
                <w:lang w:eastAsia="zh-CN"/>
              </w:rPr>
              <w:t>0..1</w:t>
            </w:r>
          </w:p>
        </w:tc>
        <w:tc>
          <w:tcPr>
            <w:tcW w:w="3325" w:type="dxa"/>
            <w:gridSpan w:val="2"/>
          </w:tcPr>
          <w:p w14:paraId="0150AAB9" w14:textId="77777777" w:rsidR="00C86FDB" w:rsidRDefault="00C86FDB" w:rsidP="00C86FDB">
            <w:pPr>
              <w:pStyle w:val="TAL"/>
              <w:rPr>
                <w:rFonts w:cs="Arial"/>
                <w:szCs w:val="18"/>
              </w:rPr>
            </w:pPr>
            <w:r>
              <w:rPr>
                <w:rFonts w:cs="Arial"/>
                <w:szCs w:val="18"/>
              </w:rPr>
              <w:t>Represents expected UE analytics type.</w:t>
            </w:r>
          </w:p>
          <w:p w14:paraId="0EB22F96" w14:textId="77777777" w:rsidR="00C86FDB" w:rsidRDefault="00C86FDB" w:rsidP="00C86FDB">
            <w:pPr>
              <w:pStyle w:val="TAL"/>
            </w:pPr>
            <w:r>
              <w:rPr>
                <w:rFonts w:cs="Arial"/>
                <w:szCs w:val="18"/>
              </w:rPr>
              <w:t>(NOTE 3), (NOTE 4)</w:t>
            </w:r>
          </w:p>
        </w:tc>
        <w:tc>
          <w:tcPr>
            <w:tcW w:w="1481" w:type="dxa"/>
            <w:gridSpan w:val="3"/>
          </w:tcPr>
          <w:p w14:paraId="64D83FB2" w14:textId="77777777" w:rsidR="00C86FDB" w:rsidRDefault="00C86FDB" w:rsidP="00C86FDB">
            <w:pPr>
              <w:pStyle w:val="TAL"/>
            </w:pPr>
            <w:r>
              <w:rPr>
                <w:rFonts w:cs="Arial"/>
                <w:szCs w:val="18"/>
              </w:rPr>
              <w:t>AbnormalBehaviour</w:t>
            </w:r>
          </w:p>
        </w:tc>
      </w:tr>
      <w:tr w:rsidR="00C86FDB" w14:paraId="505A2D9A" w14:textId="77777777" w:rsidTr="005A20DD">
        <w:trPr>
          <w:gridAfter w:val="2"/>
          <w:wAfter w:w="77" w:type="dxa"/>
          <w:jc w:val="center"/>
        </w:trPr>
        <w:tc>
          <w:tcPr>
            <w:tcW w:w="1532" w:type="dxa"/>
            <w:gridSpan w:val="3"/>
          </w:tcPr>
          <w:p w14:paraId="2BAADBA4" w14:textId="77777777" w:rsidR="00C86FDB" w:rsidRDefault="00C86FDB" w:rsidP="00C86FDB">
            <w:pPr>
              <w:pStyle w:val="TAL"/>
            </w:pPr>
            <w:r>
              <w:t>exptUeBehav</w:t>
            </w:r>
          </w:p>
        </w:tc>
        <w:tc>
          <w:tcPr>
            <w:tcW w:w="1472" w:type="dxa"/>
            <w:gridSpan w:val="2"/>
          </w:tcPr>
          <w:p w14:paraId="54B8DB26" w14:textId="77777777" w:rsidR="00C86FDB" w:rsidRDefault="00C86FDB" w:rsidP="00C86FDB">
            <w:pPr>
              <w:pStyle w:val="TAL"/>
            </w:pPr>
            <w:r>
              <w:t>ExpectedUeBehaviourData</w:t>
            </w:r>
          </w:p>
        </w:tc>
        <w:tc>
          <w:tcPr>
            <w:tcW w:w="360" w:type="dxa"/>
            <w:gridSpan w:val="2"/>
          </w:tcPr>
          <w:p w14:paraId="52BC1FF6"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1623146F" w14:textId="77777777" w:rsidR="00C86FDB" w:rsidRDefault="00C86FDB" w:rsidP="00C86FDB">
            <w:pPr>
              <w:pStyle w:val="TAC"/>
              <w:rPr>
                <w:rFonts w:cs="Arial"/>
                <w:szCs w:val="18"/>
                <w:lang w:eastAsia="zh-CN"/>
              </w:rPr>
            </w:pPr>
            <w:r>
              <w:rPr>
                <w:rFonts w:cs="Arial"/>
                <w:szCs w:val="18"/>
                <w:lang w:eastAsia="zh-CN"/>
              </w:rPr>
              <w:t>0..1</w:t>
            </w:r>
          </w:p>
        </w:tc>
        <w:tc>
          <w:tcPr>
            <w:tcW w:w="3325" w:type="dxa"/>
            <w:gridSpan w:val="2"/>
          </w:tcPr>
          <w:p w14:paraId="5AD3A7A9" w14:textId="77777777" w:rsidR="00C86FDB" w:rsidRDefault="00C86FDB" w:rsidP="00C86FDB">
            <w:pPr>
              <w:pStyle w:val="TAL"/>
            </w:pPr>
            <w:r>
              <w:rPr>
                <w:rFonts w:cs="Arial"/>
                <w:szCs w:val="18"/>
              </w:rPr>
              <w:t>Represents expected UE behaviour.</w:t>
            </w:r>
          </w:p>
        </w:tc>
        <w:tc>
          <w:tcPr>
            <w:tcW w:w="1481" w:type="dxa"/>
            <w:gridSpan w:val="3"/>
          </w:tcPr>
          <w:p w14:paraId="04D3E739" w14:textId="77777777" w:rsidR="00C86FDB" w:rsidRDefault="00C86FDB" w:rsidP="00C86FDB">
            <w:pPr>
              <w:pStyle w:val="TAL"/>
            </w:pPr>
            <w:r>
              <w:rPr>
                <w:rFonts w:cs="Arial"/>
                <w:szCs w:val="18"/>
              </w:rPr>
              <w:t>AbnormalBehaviour</w:t>
            </w:r>
          </w:p>
        </w:tc>
      </w:tr>
      <w:tr w:rsidR="00C86FDB" w14:paraId="2F27E9BA" w14:textId="77777777" w:rsidTr="005A20DD">
        <w:trPr>
          <w:gridAfter w:val="2"/>
          <w:wAfter w:w="77" w:type="dxa"/>
          <w:jc w:val="center"/>
        </w:trPr>
        <w:tc>
          <w:tcPr>
            <w:tcW w:w="1532" w:type="dxa"/>
            <w:gridSpan w:val="3"/>
          </w:tcPr>
          <w:p w14:paraId="2E945A1E" w14:textId="77777777" w:rsidR="00C86FDB" w:rsidRDefault="00C86FDB" w:rsidP="00C86FDB">
            <w:pPr>
              <w:pStyle w:val="TAL"/>
              <w:rPr>
                <w:lang w:eastAsia="zh-CN"/>
              </w:rPr>
            </w:pPr>
            <w:r>
              <w:t>ratFreqs</w:t>
            </w:r>
          </w:p>
        </w:tc>
        <w:tc>
          <w:tcPr>
            <w:tcW w:w="1472" w:type="dxa"/>
            <w:gridSpan w:val="2"/>
          </w:tcPr>
          <w:p w14:paraId="0C51FD54" w14:textId="77777777" w:rsidR="00C86FDB" w:rsidRDefault="00C86FDB" w:rsidP="00C86FDB">
            <w:pPr>
              <w:pStyle w:val="TAL"/>
              <w:rPr>
                <w:lang w:eastAsia="zh-CN"/>
              </w:rPr>
            </w:pPr>
            <w:r>
              <w:t>array(RatFreqInformation)</w:t>
            </w:r>
          </w:p>
        </w:tc>
        <w:tc>
          <w:tcPr>
            <w:tcW w:w="360" w:type="dxa"/>
            <w:gridSpan w:val="2"/>
          </w:tcPr>
          <w:p w14:paraId="40703D7B"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2CF379D7"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13960500" w14:textId="77777777" w:rsidR="00C86FDB" w:rsidRDefault="00C86FDB" w:rsidP="00C86FDB">
            <w:pPr>
              <w:pStyle w:val="TAL"/>
              <w:rPr>
                <w:rFonts w:cs="Arial"/>
                <w:szCs w:val="18"/>
                <w:lang w:eastAsia="zh-CN"/>
              </w:rPr>
            </w:pPr>
            <w:r>
              <w:rPr>
                <w:rFonts w:cs="Arial" w:hint="eastAsia"/>
                <w:szCs w:val="18"/>
              </w:rPr>
              <w:t>I</w:t>
            </w:r>
            <w:r>
              <w:rPr>
                <w:rFonts w:cs="Arial"/>
                <w:szCs w:val="18"/>
              </w:rPr>
              <w:t>dentification(s) of the RAT type(s) and/or frequency(ies) of UE's serving cell(s) which the request applies. (NOTE 5)</w:t>
            </w:r>
          </w:p>
        </w:tc>
        <w:tc>
          <w:tcPr>
            <w:tcW w:w="1481" w:type="dxa"/>
            <w:gridSpan w:val="3"/>
          </w:tcPr>
          <w:p w14:paraId="7D4A86F2" w14:textId="77777777" w:rsidR="00C86FDB" w:rsidRDefault="00C86FDB" w:rsidP="00C86FDB">
            <w:pPr>
              <w:pStyle w:val="TAL"/>
            </w:pPr>
            <w:r>
              <w:rPr>
                <w:rFonts w:cs="Arial"/>
                <w:szCs w:val="18"/>
              </w:rPr>
              <w:t>ServiceExperienceExt</w:t>
            </w:r>
          </w:p>
        </w:tc>
      </w:tr>
      <w:tr w:rsidR="00C86FDB" w14:paraId="0D2A4482" w14:textId="77777777" w:rsidTr="005A20DD">
        <w:trPr>
          <w:gridAfter w:val="2"/>
          <w:wAfter w:w="77" w:type="dxa"/>
          <w:jc w:val="center"/>
        </w:trPr>
        <w:tc>
          <w:tcPr>
            <w:tcW w:w="1532" w:type="dxa"/>
            <w:gridSpan w:val="3"/>
          </w:tcPr>
          <w:p w14:paraId="293E4922" w14:textId="77777777" w:rsidR="00C86FDB" w:rsidRDefault="00C86FDB" w:rsidP="00C86FDB">
            <w:pPr>
              <w:pStyle w:val="TAL"/>
              <w:rPr>
                <w:lang w:eastAsia="zh-CN"/>
              </w:rPr>
            </w:pPr>
            <w:r>
              <w:t>disperReqs</w:t>
            </w:r>
          </w:p>
        </w:tc>
        <w:tc>
          <w:tcPr>
            <w:tcW w:w="1472" w:type="dxa"/>
            <w:gridSpan w:val="2"/>
          </w:tcPr>
          <w:p w14:paraId="5588588B" w14:textId="77777777" w:rsidR="00C86FDB" w:rsidRDefault="00C86FDB" w:rsidP="00C86FDB">
            <w:pPr>
              <w:pStyle w:val="TAL"/>
              <w:rPr>
                <w:lang w:eastAsia="zh-CN"/>
              </w:rPr>
            </w:pPr>
            <w:r>
              <w:t>array(DispersionRequirement)</w:t>
            </w:r>
          </w:p>
        </w:tc>
        <w:tc>
          <w:tcPr>
            <w:tcW w:w="360" w:type="dxa"/>
            <w:gridSpan w:val="2"/>
          </w:tcPr>
          <w:p w14:paraId="6AB9B95D"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72092210"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636CB4A0" w14:textId="77777777" w:rsidR="00C86FDB" w:rsidRDefault="00C86FDB" w:rsidP="00C86FDB">
            <w:pPr>
              <w:pStyle w:val="TAL"/>
              <w:rPr>
                <w:rFonts w:cs="Arial"/>
                <w:szCs w:val="18"/>
                <w:lang w:eastAsia="zh-CN"/>
              </w:rPr>
            </w:pPr>
            <w:r>
              <w:rPr>
                <w:rFonts w:cs="Arial"/>
                <w:szCs w:val="18"/>
              </w:rPr>
              <w:t>Represents the dispersion analytics requirements.</w:t>
            </w:r>
          </w:p>
        </w:tc>
        <w:tc>
          <w:tcPr>
            <w:tcW w:w="1481" w:type="dxa"/>
            <w:gridSpan w:val="3"/>
          </w:tcPr>
          <w:p w14:paraId="5C5A3EDB" w14:textId="77777777" w:rsidR="00C86FDB" w:rsidRDefault="00C86FDB" w:rsidP="00C86FDB">
            <w:pPr>
              <w:pStyle w:val="TAL"/>
            </w:pPr>
            <w:r>
              <w:rPr>
                <w:rFonts w:cs="Arial"/>
                <w:szCs w:val="18"/>
              </w:rPr>
              <w:t>Dispersion</w:t>
            </w:r>
          </w:p>
        </w:tc>
      </w:tr>
      <w:tr w:rsidR="00C86FDB" w14:paraId="4141F42A" w14:textId="77777777" w:rsidTr="005A20DD">
        <w:trPr>
          <w:gridAfter w:val="2"/>
          <w:wAfter w:w="77" w:type="dxa"/>
          <w:jc w:val="center"/>
        </w:trPr>
        <w:tc>
          <w:tcPr>
            <w:tcW w:w="1532" w:type="dxa"/>
            <w:gridSpan w:val="3"/>
          </w:tcPr>
          <w:p w14:paraId="2992E6C0" w14:textId="77777777" w:rsidR="00C86FDB" w:rsidRDefault="00C86FDB" w:rsidP="00C86FDB">
            <w:pPr>
              <w:pStyle w:val="TAL"/>
            </w:pPr>
            <w:r>
              <w:t>redTransReqs</w:t>
            </w:r>
          </w:p>
        </w:tc>
        <w:tc>
          <w:tcPr>
            <w:tcW w:w="1472" w:type="dxa"/>
            <w:gridSpan w:val="2"/>
          </w:tcPr>
          <w:p w14:paraId="03AB1E15" w14:textId="77777777" w:rsidR="00C86FDB" w:rsidRDefault="00C86FDB" w:rsidP="00C86FDB">
            <w:pPr>
              <w:pStyle w:val="TAL"/>
            </w:pPr>
            <w:r>
              <w:t>array(RedundantTransmissionExpReq)</w:t>
            </w:r>
          </w:p>
        </w:tc>
        <w:tc>
          <w:tcPr>
            <w:tcW w:w="360" w:type="dxa"/>
            <w:gridSpan w:val="2"/>
          </w:tcPr>
          <w:p w14:paraId="56ADC64C"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639D3410"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20E33D94" w14:textId="77777777" w:rsidR="00C86FDB" w:rsidRDefault="00C86FDB" w:rsidP="00C86FDB">
            <w:pPr>
              <w:pStyle w:val="TAL"/>
              <w:rPr>
                <w:rFonts w:cs="Arial"/>
                <w:szCs w:val="18"/>
              </w:rPr>
            </w:pPr>
            <w:r>
              <w:rPr>
                <w:rFonts w:cs="Arial"/>
                <w:szCs w:val="18"/>
              </w:rPr>
              <w:t>Represents the redundant transmission experience analytics requirements.</w:t>
            </w:r>
          </w:p>
        </w:tc>
        <w:tc>
          <w:tcPr>
            <w:tcW w:w="1481" w:type="dxa"/>
            <w:gridSpan w:val="3"/>
          </w:tcPr>
          <w:p w14:paraId="48BE2298" w14:textId="77777777" w:rsidR="00C86FDB" w:rsidRDefault="00C86FDB" w:rsidP="00C86FDB">
            <w:pPr>
              <w:pStyle w:val="TAL"/>
              <w:rPr>
                <w:rFonts w:cs="Arial"/>
                <w:szCs w:val="18"/>
              </w:rPr>
            </w:pPr>
            <w:r>
              <w:rPr>
                <w:rFonts w:cs="Arial"/>
                <w:szCs w:val="18"/>
              </w:rPr>
              <w:t>RedundantTransmissionExp</w:t>
            </w:r>
          </w:p>
        </w:tc>
      </w:tr>
      <w:tr w:rsidR="00C86FDB" w14:paraId="05B141B7" w14:textId="77777777" w:rsidTr="005A20DD">
        <w:trPr>
          <w:gridAfter w:val="2"/>
          <w:wAfter w:w="77" w:type="dxa"/>
          <w:jc w:val="center"/>
        </w:trPr>
        <w:tc>
          <w:tcPr>
            <w:tcW w:w="1532" w:type="dxa"/>
            <w:gridSpan w:val="3"/>
          </w:tcPr>
          <w:p w14:paraId="1A40CC06" w14:textId="77777777" w:rsidR="00C86FDB" w:rsidRDefault="00C86FDB" w:rsidP="00C86FDB">
            <w:pPr>
              <w:pStyle w:val="TAL"/>
            </w:pPr>
            <w:r>
              <w:t>wlanReqs</w:t>
            </w:r>
          </w:p>
        </w:tc>
        <w:tc>
          <w:tcPr>
            <w:tcW w:w="1472" w:type="dxa"/>
            <w:gridSpan w:val="2"/>
          </w:tcPr>
          <w:p w14:paraId="42DFB0B6" w14:textId="77777777" w:rsidR="00C86FDB" w:rsidRDefault="00C86FDB" w:rsidP="00C86FDB">
            <w:pPr>
              <w:pStyle w:val="TAL"/>
            </w:pPr>
            <w:r>
              <w:t>array(WlanPerformanceReq)</w:t>
            </w:r>
          </w:p>
        </w:tc>
        <w:tc>
          <w:tcPr>
            <w:tcW w:w="360" w:type="dxa"/>
            <w:gridSpan w:val="2"/>
          </w:tcPr>
          <w:p w14:paraId="1A8B083E"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62C7E8FF"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2A425A80" w14:textId="77777777" w:rsidR="00C86FDB" w:rsidRDefault="00C86FDB" w:rsidP="00C86FDB">
            <w:pPr>
              <w:pStyle w:val="TAL"/>
              <w:rPr>
                <w:rFonts w:cs="Arial"/>
                <w:szCs w:val="18"/>
              </w:rPr>
            </w:pPr>
            <w:r>
              <w:rPr>
                <w:rFonts w:cs="Arial"/>
                <w:szCs w:val="18"/>
              </w:rPr>
              <w:t>Represents other WLAN performance analytics requirements. If the attribute contains no content, may take default handling action.</w:t>
            </w:r>
          </w:p>
        </w:tc>
        <w:tc>
          <w:tcPr>
            <w:tcW w:w="1481" w:type="dxa"/>
            <w:gridSpan w:val="3"/>
          </w:tcPr>
          <w:p w14:paraId="4E96AE80" w14:textId="77777777" w:rsidR="00C86FDB" w:rsidRDefault="00C86FDB" w:rsidP="00C86FDB">
            <w:pPr>
              <w:pStyle w:val="TAL"/>
              <w:rPr>
                <w:rFonts w:cs="Arial"/>
                <w:szCs w:val="18"/>
              </w:rPr>
            </w:pPr>
            <w:r>
              <w:rPr>
                <w:rFonts w:cs="Arial"/>
                <w:szCs w:val="18"/>
              </w:rPr>
              <w:t>WlanPerformance</w:t>
            </w:r>
          </w:p>
        </w:tc>
      </w:tr>
      <w:tr w:rsidR="00C86FDB" w14:paraId="39C70B9A" w14:textId="77777777" w:rsidTr="005A20DD">
        <w:trPr>
          <w:gridAfter w:val="2"/>
          <w:wAfter w:w="77" w:type="dxa"/>
          <w:jc w:val="center"/>
        </w:trPr>
        <w:tc>
          <w:tcPr>
            <w:tcW w:w="1532" w:type="dxa"/>
            <w:gridSpan w:val="3"/>
          </w:tcPr>
          <w:p w14:paraId="7C32BB74" w14:textId="77777777" w:rsidR="00C86FDB" w:rsidRDefault="00C86FDB" w:rsidP="00C86FDB">
            <w:pPr>
              <w:pStyle w:val="TAL"/>
            </w:pPr>
            <w:r>
              <w:t>listOfAnaSubsets</w:t>
            </w:r>
          </w:p>
        </w:tc>
        <w:tc>
          <w:tcPr>
            <w:tcW w:w="1472" w:type="dxa"/>
            <w:gridSpan w:val="2"/>
          </w:tcPr>
          <w:p w14:paraId="414E5743" w14:textId="77777777" w:rsidR="00C86FDB" w:rsidRDefault="00C86FDB" w:rsidP="00C86FDB">
            <w:pPr>
              <w:pStyle w:val="TAL"/>
            </w:pPr>
            <w:r>
              <w:rPr>
                <w:rFonts w:eastAsia="等线"/>
              </w:rPr>
              <w:t>array(</w:t>
            </w:r>
            <w:r>
              <w:rPr>
                <w:lang w:eastAsia="zh-CN"/>
              </w:rPr>
              <w:t>AnalyticsSubset)</w:t>
            </w:r>
          </w:p>
        </w:tc>
        <w:tc>
          <w:tcPr>
            <w:tcW w:w="360" w:type="dxa"/>
            <w:gridSpan w:val="2"/>
          </w:tcPr>
          <w:p w14:paraId="75768492"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5EC8D012" w14:textId="77777777" w:rsidR="00C86FDB" w:rsidRDefault="00C86FDB" w:rsidP="00C86FDB">
            <w:pPr>
              <w:pStyle w:val="TAC"/>
              <w:rPr>
                <w:rFonts w:cs="Arial"/>
                <w:szCs w:val="18"/>
                <w:lang w:eastAsia="zh-CN"/>
              </w:rPr>
            </w:pPr>
            <w:r>
              <w:rPr>
                <w:rFonts w:cs="Arial"/>
                <w:szCs w:val="18"/>
                <w:lang w:eastAsia="zh-CN"/>
              </w:rPr>
              <w:t>1..N</w:t>
            </w:r>
          </w:p>
        </w:tc>
        <w:tc>
          <w:tcPr>
            <w:tcW w:w="3325" w:type="dxa"/>
            <w:gridSpan w:val="2"/>
          </w:tcPr>
          <w:p w14:paraId="58E32644" w14:textId="77777777" w:rsidR="00C86FDB" w:rsidRDefault="00C86FDB" w:rsidP="00C86FDB">
            <w:pPr>
              <w:pStyle w:val="TAL"/>
              <w:rPr>
                <w:rFonts w:cs="Arial"/>
                <w:szCs w:val="18"/>
              </w:rPr>
            </w:pPr>
            <w:r>
              <w:rPr>
                <w:lang w:eastAsia="zh-CN"/>
              </w:rPr>
              <w:t>The list of analytics subsets used to indicate the content of the analytics.</w:t>
            </w:r>
          </w:p>
        </w:tc>
        <w:tc>
          <w:tcPr>
            <w:tcW w:w="1481" w:type="dxa"/>
            <w:gridSpan w:val="3"/>
          </w:tcPr>
          <w:p w14:paraId="1D3FF5D7" w14:textId="77777777" w:rsidR="00C86FDB" w:rsidRDefault="00C86FDB" w:rsidP="00C86FDB">
            <w:pPr>
              <w:pStyle w:val="TAL"/>
              <w:rPr>
                <w:rFonts w:cs="Arial"/>
                <w:szCs w:val="18"/>
              </w:rPr>
            </w:pPr>
            <w:r>
              <w:rPr>
                <w:rFonts w:cs="Arial"/>
                <w:szCs w:val="18"/>
              </w:rPr>
              <w:t>EneNA</w:t>
            </w:r>
          </w:p>
        </w:tc>
      </w:tr>
      <w:tr w:rsidR="00C86FDB" w14:paraId="4CCBE66F" w14:textId="77777777" w:rsidTr="005A20DD">
        <w:trPr>
          <w:gridAfter w:val="2"/>
          <w:wAfter w:w="77" w:type="dxa"/>
          <w:jc w:val="center"/>
        </w:trPr>
        <w:tc>
          <w:tcPr>
            <w:tcW w:w="1532" w:type="dxa"/>
            <w:gridSpan w:val="3"/>
          </w:tcPr>
          <w:p w14:paraId="2414EC43" w14:textId="77777777" w:rsidR="00C86FDB" w:rsidRDefault="00C86FDB" w:rsidP="00C86FDB">
            <w:pPr>
              <w:pStyle w:val="TAL"/>
            </w:pPr>
            <w:r>
              <w:t>upfInfo</w:t>
            </w:r>
          </w:p>
        </w:tc>
        <w:tc>
          <w:tcPr>
            <w:tcW w:w="1472" w:type="dxa"/>
            <w:gridSpan w:val="2"/>
          </w:tcPr>
          <w:p w14:paraId="51B88D99" w14:textId="77777777" w:rsidR="00C86FDB" w:rsidRDefault="00C86FDB" w:rsidP="00C86FDB">
            <w:pPr>
              <w:pStyle w:val="TAL"/>
              <w:rPr>
                <w:rFonts w:eastAsia="等线"/>
              </w:rPr>
            </w:pPr>
            <w:r>
              <w:t>UpfInformation</w:t>
            </w:r>
          </w:p>
        </w:tc>
        <w:tc>
          <w:tcPr>
            <w:tcW w:w="360" w:type="dxa"/>
            <w:gridSpan w:val="2"/>
          </w:tcPr>
          <w:p w14:paraId="301CF675"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6227B21B" w14:textId="77777777" w:rsidR="00C86FDB" w:rsidRDefault="00C86FDB" w:rsidP="00C86FDB">
            <w:pPr>
              <w:pStyle w:val="TAC"/>
              <w:rPr>
                <w:rFonts w:cs="Arial"/>
                <w:szCs w:val="18"/>
                <w:lang w:eastAsia="zh-CN"/>
              </w:rPr>
            </w:pPr>
            <w:r>
              <w:rPr>
                <w:rFonts w:cs="Arial"/>
                <w:szCs w:val="18"/>
                <w:lang w:eastAsia="zh-CN"/>
              </w:rPr>
              <w:t>0..1</w:t>
            </w:r>
          </w:p>
        </w:tc>
        <w:tc>
          <w:tcPr>
            <w:tcW w:w="3325" w:type="dxa"/>
            <w:gridSpan w:val="2"/>
          </w:tcPr>
          <w:p w14:paraId="27E89A37" w14:textId="77777777" w:rsidR="00C86FDB" w:rsidRDefault="00C86FDB" w:rsidP="00C86FDB">
            <w:pPr>
              <w:pStyle w:val="TAL"/>
              <w:rPr>
                <w:rFonts w:cs="Arial"/>
                <w:szCs w:val="18"/>
              </w:rPr>
            </w:pPr>
            <w:r>
              <w:rPr>
                <w:lang w:eastAsia="zh-CN"/>
              </w:rPr>
              <w:t>Identifies the UPF. (NOTE</w:t>
            </w:r>
            <w:r>
              <w:rPr>
                <w:rFonts w:cs="Arial"/>
                <w:szCs w:val="18"/>
              </w:rPr>
              <w:t> </w:t>
            </w:r>
            <w:r>
              <w:rPr>
                <w:lang w:eastAsia="zh-CN"/>
              </w:rPr>
              <w:t>7)</w:t>
            </w:r>
          </w:p>
        </w:tc>
        <w:tc>
          <w:tcPr>
            <w:tcW w:w="1481" w:type="dxa"/>
            <w:gridSpan w:val="3"/>
          </w:tcPr>
          <w:p w14:paraId="2170F2BE" w14:textId="77777777" w:rsidR="00C86FDB" w:rsidRDefault="00C86FDB" w:rsidP="00C86FDB">
            <w:pPr>
              <w:pStyle w:val="TAL"/>
            </w:pPr>
            <w:r>
              <w:t>ServiceExperienceExt</w:t>
            </w:r>
          </w:p>
          <w:p w14:paraId="051D36CC" w14:textId="77777777" w:rsidR="00C86FDB" w:rsidRDefault="00C86FDB" w:rsidP="00C86FDB">
            <w:pPr>
              <w:pStyle w:val="TAL"/>
            </w:pPr>
            <w:r>
              <w:rPr>
                <w:lang w:eastAsia="zh-CN"/>
              </w:rPr>
              <w:t>DnPerformance</w:t>
            </w:r>
          </w:p>
        </w:tc>
      </w:tr>
      <w:tr w:rsidR="00C86FDB" w14:paraId="293B9214" w14:textId="77777777" w:rsidTr="005A20DD">
        <w:trPr>
          <w:gridAfter w:val="2"/>
          <w:wAfter w:w="77" w:type="dxa"/>
          <w:jc w:val="center"/>
        </w:trPr>
        <w:tc>
          <w:tcPr>
            <w:tcW w:w="1532" w:type="dxa"/>
            <w:gridSpan w:val="3"/>
          </w:tcPr>
          <w:p w14:paraId="4553FE40" w14:textId="77777777" w:rsidR="00C86FDB" w:rsidRDefault="00C86FDB" w:rsidP="00C86FDB">
            <w:pPr>
              <w:pStyle w:val="TAL"/>
            </w:pPr>
            <w:r>
              <w:rPr>
                <w:lang w:eastAsia="zh-CN"/>
              </w:rPr>
              <w:t>appServerAddrs</w:t>
            </w:r>
          </w:p>
        </w:tc>
        <w:tc>
          <w:tcPr>
            <w:tcW w:w="1472" w:type="dxa"/>
            <w:gridSpan w:val="2"/>
          </w:tcPr>
          <w:p w14:paraId="424DB37E" w14:textId="77777777" w:rsidR="00C86FDB" w:rsidRDefault="00C86FDB" w:rsidP="00C86FDB">
            <w:pPr>
              <w:pStyle w:val="TAL"/>
            </w:pPr>
            <w:r>
              <w:rPr>
                <w:rFonts w:eastAsia="等线"/>
              </w:rPr>
              <w:t>array(</w:t>
            </w:r>
            <w:r>
              <w:rPr>
                <w:rFonts w:hint="eastAsia"/>
                <w:lang w:eastAsia="zh-CN"/>
              </w:rPr>
              <w:t>A</w:t>
            </w:r>
            <w:r>
              <w:rPr>
                <w:lang w:eastAsia="zh-CN"/>
              </w:rPr>
              <w:t>ddrFqdn)</w:t>
            </w:r>
          </w:p>
        </w:tc>
        <w:tc>
          <w:tcPr>
            <w:tcW w:w="360" w:type="dxa"/>
            <w:gridSpan w:val="2"/>
          </w:tcPr>
          <w:p w14:paraId="39EBC53C" w14:textId="77777777" w:rsidR="00C86FDB" w:rsidRDefault="00C86FDB" w:rsidP="00C86FDB">
            <w:pPr>
              <w:pStyle w:val="TAC"/>
              <w:rPr>
                <w:rFonts w:cs="Arial"/>
                <w:szCs w:val="18"/>
                <w:lang w:eastAsia="zh-CN"/>
              </w:rPr>
            </w:pPr>
            <w:r>
              <w:rPr>
                <w:rFonts w:cs="Arial"/>
                <w:szCs w:val="18"/>
                <w:lang w:eastAsia="zh-CN"/>
              </w:rPr>
              <w:t>C</w:t>
            </w:r>
          </w:p>
        </w:tc>
        <w:tc>
          <w:tcPr>
            <w:tcW w:w="1168" w:type="dxa"/>
            <w:gridSpan w:val="2"/>
          </w:tcPr>
          <w:p w14:paraId="24FA6E2F" w14:textId="77777777" w:rsidR="00C86FDB" w:rsidRDefault="00C86FDB" w:rsidP="00C86FDB">
            <w:pPr>
              <w:pStyle w:val="TAC"/>
              <w:rPr>
                <w:rFonts w:cs="Arial"/>
                <w:szCs w:val="18"/>
                <w:lang w:eastAsia="zh-CN"/>
              </w:rPr>
            </w:pPr>
            <w:r>
              <w:rPr>
                <w:rFonts w:cs="Arial" w:hint="eastAsia"/>
                <w:szCs w:val="18"/>
                <w:lang w:eastAsia="zh-CN"/>
              </w:rPr>
              <w:t>1</w:t>
            </w:r>
            <w:r>
              <w:rPr>
                <w:rFonts w:cs="Arial"/>
                <w:szCs w:val="18"/>
                <w:lang w:eastAsia="zh-CN"/>
              </w:rPr>
              <w:t>..N</w:t>
            </w:r>
          </w:p>
        </w:tc>
        <w:tc>
          <w:tcPr>
            <w:tcW w:w="3325" w:type="dxa"/>
            <w:gridSpan w:val="2"/>
          </w:tcPr>
          <w:p w14:paraId="3661BD51" w14:textId="77777777" w:rsidR="00C86FDB" w:rsidRDefault="00C86FDB" w:rsidP="00C86FDB">
            <w:pPr>
              <w:pStyle w:val="TAL"/>
              <w:rPr>
                <w:rFonts w:cs="Arial"/>
                <w:szCs w:val="18"/>
              </w:rPr>
            </w:pPr>
            <w:r>
              <w:rPr>
                <w:lang w:eastAsia="zh-CN"/>
              </w:rPr>
              <w:t>Each element r</w:t>
            </w:r>
            <w:r>
              <w:rPr>
                <w:rFonts w:hint="eastAsia"/>
                <w:lang w:eastAsia="zh-CN"/>
              </w:rPr>
              <w:t>epresents</w:t>
            </w:r>
            <w:r>
              <w:t xml:space="preserve"> the Application Server Instance (IP address/FQDN of the Application Server). (NOTE 6)</w:t>
            </w:r>
          </w:p>
        </w:tc>
        <w:tc>
          <w:tcPr>
            <w:tcW w:w="1481" w:type="dxa"/>
            <w:gridSpan w:val="3"/>
          </w:tcPr>
          <w:p w14:paraId="5EA8A7C3" w14:textId="77777777" w:rsidR="00C86FDB" w:rsidRDefault="00C86FDB" w:rsidP="00C86FDB">
            <w:pPr>
              <w:pStyle w:val="TAL"/>
            </w:pPr>
            <w:r>
              <w:t>ServiceExperienceExt</w:t>
            </w:r>
          </w:p>
          <w:p w14:paraId="0738CDCB" w14:textId="77777777" w:rsidR="00C86FDB" w:rsidRDefault="00C86FDB" w:rsidP="00C86FDB">
            <w:pPr>
              <w:pStyle w:val="TAL"/>
            </w:pPr>
            <w:r>
              <w:t>DnPerformance</w:t>
            </w:r>
          </w:p>
        </w:tc>
      </w:tr>
      <w:tr w:rsidR="00C86FDB" w14:paraId="58E8B4C1" w14:textId="77777777" w:rsidTr="005A20DD">
        <w:trPr>
          <w:gridAfter w:val="2"/>
          <w:wAfter w:w="77" w:type="dxa"/>
          <w:jc w:val="center"/>
        </w:trPr>
        <w:tc>
          <w:tcPr>
            <w:tcW w:w="1532" w:type="dxa"/>
            <w:gridSpan w:val="3"/>
          </w:tcPr>
          <w:p w14:paraId="6D5FDEFB" w14:textId="77777777" w:rsidR="00C86FDB" w:rsidRDefault="00C86FDB" w:rsidP="00C86FDB">
            <w:pPr>
              <w:pStyle w:val="TAL"/>
              <w:rPr>
                <w:lang w:eastAsia="zh-CN"/>
              </w:rPr>
            </w:pPr>
            <w:r>
              <w:t>dnPerfReqs</w:t>
            </w:r>
          </w:p>
        </w:tc>
        <w:tc>
          <w:tcPr>
            <w:tcW w:w="1472" w:type="dxa"/>
            <w:gridSpan w:val="2"/>
          </w:tcPr>
          <w:p w14:paraId="11FA3B99" w14:textId="77777777" w:rsidR="00C86FDB" w:rsidRDefault="00C86FDB" w:rsidP="00C86FDB">
            <w:pPr>
              <w:pStyle w:val="TAL"/>
              <w:rPr>
                <w:rFonts w:eastAsia="等线"/>
              </w:rPr>
            </w:pPr>
            <w:r>
              <w:t>array(DnPerformanceReq)</w:t>
            </w:r>
          </w:p>
        </w:tc>
        <w:tc>
          <w:tcPr>
            <w:tcW w:w="360" w:type="dxa"/>
            <w:gridSpan w:val="2"/>
          </w:tcPr>
          <w:p w14:paraId="47CD0C29" w14:textId="77777777" w:rsidR="00C86FDB" w:rsidRDefault="00C86FDB" w:rsidP="00C86FDB">
            <w:pPr>
              <w:pStyle w:val="TAC"/>
              <w:rPr>
                <w:rFonts w:cs="Arial"/>
                <w:szCs w:val="18"/>
                <w:lang w:eastAsia="zh-CN"/>
              </w:rPr>
            </w:pPr>
            <w:r>
              <w:rPr>
                <w:rFonts w:cs="Arial" w:hint="eastAsia"/>
                <w:szCs w:val="18"/>
                <w:lang w:eastAsia="ja-JP"/>
              </w:rPr>
              <w:t>O</w:t>
            </w:r>
          </w:p>
        </w:tc>
        <w:tc>
          <w:tcPr>
            <w:tcW w:w="1168" w:type="dxa"/>
            <w:gridSpan w:val="2"/>
          </w:tcPr>
          <w:p w14:paraId="205867D9" w14:textId="77777777" w:rsidR="00C86FDB" w:rsidRDefault="00C86FDB" w:rsidP="00C86FDB">
            <w:pPr>
              <w:pStyle w:val="TAC"/>
              <w:rPr>
                <w:rFonts w:cs="Arial"/>
                <w:szCs w:val="18"/>
                <w:lang w:eastAsia="zh-CN"/>
              </w:rPr>
            </w:pPr>
            <w:r>
              <w:t>1..N</w:t>
            </w:r>
          </w:p>
        </w:tc>
        <w:tc>
          <w:tcPr>
            <w:tcW w:w="3325" w:type="dxa"/>
            <w:gridSpan w:val="2"/>
          </w:tcPr>
          <w:p w14:paraId="7A94B955" w14:textId="77777777" w:rsidR="00C86FDB" w:rsidRDefault="00C86FDB" w:rsidP="00C86FDB">
            <w:pPr>
              <w:pStyle w:val="TAL"/>
              <w:rPr>
                <w:lang w:eastAsia="zh-CN"/>
              </w:rPr>
            </w:pPr>
            <w:r>
              <w:t>Represents the DN performance requirements. This attribute shall be included when event-id is "DN_PERFORMANCE".</w:t>
            </w:r>
          </w:p>
        </w:tc>
        <w:tc>
          <w:tcPr>
            <w:tcW w:w="1481" w:type="dxa"/>
            <w:gridSpan w:val="3"/>
          </w:tcPr>
          <w:p w14:paraId="3696F95A" w14:textId="77777777" w:rsidR="00C86FDB" w:rsidRDefault="00C86FDB" w:rsidP="00C86FDB">
            <w:pPr>
              <w:pStyle w:val="TAL"/>
            </w:pPr>
            <w:r>
              <w:rPr>
                <w:rFonts w:hint="eastAsia"/>
                <w:lang w:eastAsia="zh-CN"/>
              </w:rPr>
              <w:t>Dn</w:t>
            </w:r>
            <w:r>
              <w:t>Performance</w:t>
            </w:r>
          </w:p>
        </w:tc>
      </w:tr>
      <w:tr w:rsidR="00C86FDB" w14:paraId="155BA565" w14:textId="77777777" w:rsidTr="005A20DD">
        <w:trPr>
          <w:gridAfter w:val="2"/>
          <w:wAfter w:w="77" w:type="dxa"/>
          <w:jc w:val="center"/>
        </w:trPr>
        <w:tc>
          <w:tcPr>
            <w:tcW w:w="1532" w:type="dxa"/>
            <w:gridSpan w:val="3"/>
          </w:tcPr>
          <w:p w14:paraId="726B3FC1" w14:textId="77777777" w:rsidR="00C86FDB" w:rsidRDefault="00C86FDB" w:rsidP="00C86FDB">
            <w:pPr>
              <w:pStyle w:val="TAL"/>
              <w:rPr>
                <w:lang w:eastAsia="zh-CN"/>
              </w:rPr>
            </w:pPr>
            <w:r>
              <w:rPr>
                <w:lang w:eastAsia="zh-CN"/>
              </w:rPr>
              <w:t>dataVlTrnsTmRqs</w:t>
            </w:r>
          </w:p>
        </w:tc>
        <w:tc>
          <w:tcPr>
            <w:tcW w:w="1472" w:type="dxa"/>
            <w:gridSpan w:val="2"/>
          </w:tcPr>
          <w:p w14:paraId="1779C1AE" w14:textId="77777777" w:rsidR="00C86FDB" w:rsidRDefault="00C86FDB" w:rsidP="00C86FDB">
            <w:pPr>
              <w:pStyle w:val="TAL"/>
            </w:pPr>
            <w:r>
              <w:rPr>
                <w:lang w:eastAsia="zh-CN"/>
              </w:rPr>
              <w:t>array(E2eDataVolTransTimeReq)</w:t>
            </w:r>
          </w:p>
        </w:tc>
        <w:tc>
          <w:tcPr>
            <w:tcW w:w="360" w:type="dxa"/>
            <w:gridSpan w:val="2"/>
          </w:tcPr>
          <w:p w14:paraId="3507FFB6" w14:textId="77777777" w:rsidR="00C86FDB" w:rsidRDefault="00C86FDB" w:rsidP="00C86FDB">
            <w:pPr>
              <w:pStyle w:val="TAC"/>
              <w:rPr>
                <w:rFonts w:cs="Arial"/>
                <w:szCs w:val="18"/>
                <w:lang w:eastAsia="zh-CN"/>
              </w:rPr>
            </w:pPr>
            <w:r>
              <w:rPr>
                <w:rFonts w:cs="Arial"/>
                <w:szCs w:val="18"/>
                <w:lang w:eastAsia="ja-JP"/>
              </w:rPr>
              <w:t>O</w:t>
            </w:r>
          </w:p>
        </w:tc>
        <w:tc>
          <w:tcPr>
            <w:tcW w:w="1168" w:type="dxa"/>
            <w:gridSpan w:val="2"/>
          </w:tcPr>
          <w:p w14:paraId="0EE9B83F" w14:textId="77777777" w:rsidR="00C86FDB" w:rsidRDefault="00C86FDB" w:rsidP="00C86FDB">
            <w:pPr>
              <w:pStyle w:val="TAC"/>
            </w:pPr>
            <w:r>
              <w:t>1..N</w:t>
            </w:r>
          </w:p>
        </w:tc>
        <w:tc>
          <w:tcPr>
            <w:tcW w:w="3325" w:type="dxa"/>
            <w:gridSpan w:val="2"/>
          </w:tcPr>
          <w:p w14:paraId="374DF52C" w14:textId="77777777" w:rsidR="00C86FDB" w:rsidRDefault="00C86FDB" w:rsidP="00C86FDB">
            <w:pPr>
              <w:pStyle w:val="TAL"/>
            </w:pPr>
            <w:r>
              <w:t>Represents the list of E2E data volume transfer time requirement. This attribute may be included when event-id is "</w:t>
            </w:r>
            <w:r>
              <w:rPr>
                <w:lang w:eastAsia="zh-CN"/>
              </w:rPr>
              <w:t>E2E_DATA_VOL_TRANS_TIME</w:t>
            </w:r>
            <w:r>
              <w:t>".</w:t>
            </w:r>
          </w:p>
        </w:tc>
        <w:tc>
          <w:tcPr>
            <w:tcW w:w="1481" w:type="dxa"/>
            <w:gridSpan w:val="3"/>
          </w:tcPr>
          <w:p w14:paraId="44C359DF" w14:textId="77777777" w:rsidR="00C86FDB" w:rsidRDefault="00C86FDB" w:rsidP="00C86FDB">
            <w:pPr>
              <w:pStyle w:val="TAL"/>
            </w:pPr>
            <w:r>
              <w:rPr>
                <w:lang w:eastAsia="zh-CN"/>
              </w:rPr>
              <w:t>E2eDataVolTransTime</w:t>
            </w:r>
          </w:p>
        </w:tc>
      </w:tr>
      <w:tr w:rsidR="00C86FDB" w14:paraId="63FCFD73" w14:textId="77777777" w:rsidTr="005A20DD">
        <w:trPr>
          <w:gridAfter w:val="2"/>
          <w:wAfter w:w="77" w:type="dxa"/>
          <w:jc w:val="center"/>
        </w:trPr>
        <w:tc>
          <w:tcPr>
            <w:tcW w:w="1532" w:type="dxa"/>
            <w:gridSpan w:val="3"/>
          </w:tcPr>
          <w:p w14:paraId="77E4BDF3" w14:textId="77777777" w:rsidR="00C86FDB" w:rsidRDefault="00C86FDB" w:rsidP="00C86FDB">
            <w:pPr>
              <w:pStyle w:val="TAL"/>
            </w:pPr>
            <w:r>
              <w:rPr>
                <w:rFonts w:hint="eastAsia"/>
                <w:lang w:eastAsia="zh-CN"/>
              </w:rPr>
              <w:t>u</w:t>
            </w:r>
            <w:r>
              <w:rPr>
                <w:lang w:eastAsia="zh-CN"/>
              </w:rPr>
              <w:t>eMobilityReqs</w:t>
            </w:r>
          </w:p>
        </w:tc>
        <w:tc>
          <w:tcPr>
            <w:tcW w:w="1472" w:type="dxa"/>
            <w:gridSpan w:val="2"/>
          </w:tcPr>
          <w:p w14:paraId="1D57FE34" w14:textId="77777777" w:rsidR="00C86FDB" w:rsidRDefault="00C86FDB" w:rsidP="00C86FDB">
            <w:pPr>
              <w:pStyle w:val="TAL"/>
            </w:pPr>
            <w:r>
              <w:t>array(UeMobilityReq)</w:t>
            </w:r>
          </w:p>
        </w:tc>
        <w:tc>
          <w:tcPr>
            <w:tcW w:w="360" w:type="dxa"/>
            <w:gridSpan w:val="2"/>
          </w:tcPr>
          <w:p w14:paraId="53BFCC28" w14:textId="77777777" w:rsidR="00C86FDB" w:rsidRDefault="00C86FDB" w:rsidP="00C86FDB">
            <w:pPr>
              <w:pStyle w:val="TAC"/>
              <w:rPr>
                <w:rFonts w:cs="Arial"/>
                <w:szCs w:val="18"/>
                <w:lang w:eastAsia="ja-JP"/>
              </w:rPr>
            </w:pPr>
            <w:r>
              <w:rPr>
                <w:rFonts w:cs="Arial"/>
                <w:szCs w:val="18"/>
                <w:lang w:eastAsia="zh-CN"/>
              </w:rPr>
              <w:t>O</w:t>
            </w:r>
          </w:p>
        </w:tc>
        <w:tc>
          <w:tcPr>
            <w:tcW w:w="1168" w:type="dxa"/>
            <w:gridSpan w:val="2"/>
          </w:tcPr>
          <w:p w14:paraId="00080E60" w14:textId="77777777" w:rsidR="00C86FDB" w:rsidRDefault="00C86FDB" w:rsidP="00C86FDB">
            <w:pPr>
              <w:pStyle w:val="TAC"/>
            </w:pPr>
            <w:r>
              <w:t>1..N</w:t>
            </w:r>
          </w:p>
        </w:tc>
        <w:tc>
          <w:tcPr>
            <w:tcW w:w="3325" w:type="dxa"/>
            <w:gridSpan w:val="2"/>
          </w:tcPr>
          <w:p w14:paraId="501C254F" w14:textId="77777777" w:rsidR="00C86FDB" w:rsidRDefault="00C86FDB" w:rsidP="00C86FDB">
            <w:pPr>
              <w:pStyle w:val="TAL"/>
            </w:pPr>
            <w:r>
              <w:t>Represents the UE mobility requirements. This attribute may be included when the event-id is "UE_MOBILITY".</w:t>
            </w:r>
          </w:p>
        </w:tc>
        <w:tc>
          <w:tcPr>
            <w:tcW w:w="1481" w:type="dxa"/>
            <w:gridSpan w:val="3"/>
          </w:tcPr>
          <w:p w14:paraId="62D01686" w14:textId="77777777" w:rsidR="00C86FDB" w:rsidRDefault="00C86FDB" w:rsidP="00C86FDB">
            <w:pPr>
              <w:pStyle w:val="TAL"/>
              <w:rPr>
                <w:lang w:eastAsia="zh-CN"/>
              </w:rPr>
            </w:pPr>
            <w:r>
              <w:t>UeMobility</w:t>
            </w:r>
            <w:r>
              <w:rPr>
                <w:lang w:eastAsia="zh-CN"/>
              </w:rPr>
              <w:t>Ext2_eNA</w:t>
            </w:r>
          </w:p>
        </w:tc>
      </w:tr>
      <w:tr w:rsidR="00C86FDB" w14:paraId="6636D966" w14:textId="77777777" w:rsidTr="005A20DD">
        <w:trPr>
          <w:gridAfter w:val="2"/>
          <w:wAfter w:w="77" w:type="dxa"/>
          <w:jc w:val="center"/>
        </w:trPr>
        <w:tc>
          <w:tcPr>
            <w:tcW w:w="1532" w:type="dxa"/>
            <w:gridSpan w:val="3"/>
          </w:tcPr>
          <w:p w14:paraId="7B941EC2" w14:textId="77777777" w:rsidR="00C86FDB" w:rsidRDefault="00C86FDB" w:rsidP="00C86FDB">
            <w:pPr>
              <w:pStyle w:val="TAL"/>
              <w:rPr>
                <w:lang w:eastAsia="zh-CN"/>
              </w:rPr>
            </w:pPr>
            <w:r>
              <w:rPr>
                <w:rFonts w:hint="eastAsia"/>
                <w:lang w:eastAsia="zh-CN"/>
              </w:rPr>
              <w:t>u</w:t>
            </w:r>
            <w:r>
              <w:rPr>
                <w:lang w:eastAsia="zh-CN"/>
              </w:rPr>
              <w:t>eCommReqs</w:t>
            </w:r>
          </w:p>
        </w:tc>
        <w:tc>
          <w:tcPr>
            <w:tcW w:w="1472" w:type="dxa"/>
            <w:gridSpan w:val="2"/>
          </w:tcPr>
          <w:p w14:paraId="7C6CED96" w14:textId="77777777" w:rsidR="00C86FDB" w:rsidRDefault="00C86FDB" w:rsidP="00C86FDB">
            <w:pPr>
              <w:pStyle w:val="TAL"/>
            </w:pPr>
            <w:r>
              <w:t>array(UeCommReq)</w:t>
            </w:r>
          </w:p>
        </w:tc>
        <w:tc>
          <w:tcPr>
            <w:tcW w:w="360" w:type="dxa"/>
            <w:gridSpan w:val="2"/>
          </w:tcPr>
          <w:p w14:paraId="79E39018"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2A1BEB9F" w14:textId="77777777" w:rsidR="00C86FDB" w:rsidRDefault="00C86FDB" w:rsidP="00C86FDB">
            <w:pPr>
              <w:pStyle w:val="TAC"/>
            </w:pPr>
            <w:r>
              <w:t>1..N</w:t>
            </w:r>
          </w:p>
        </w:tc>
        <w:tc>
          <w:tcPr>
            <w:tcW w:w="3325" w:type="dxa"/>
            <w:gridSpan w:val="2"/>
          </w:tcPr>
          <w:p w14:paraId="0C2AF2D4" w14:textId="77777777" w:rsidR="00C86FDB" w:rsidRDefault="00C86FDB" w:rsidP="00C86FDB">
            <w:pPr>
              <w:pStyle w:val="TAL"/>
            </w:pPr>
            <w:r>
              <w:t>Represents the UE communication requirements. This attribute may be included when the event-id is "UE_MOBILITY".</w:t>
            </w:r>
          </w:p>
        </w:tc>
        <w:tc>
          <w:tcPr>
            <w:tcW w:w="1481" w:type="dxa"/>
            <w:gridSpan w:val="3"/>
          </w:tcPr>
          <w:p w14:paraId="66B26E1A" w14:textId="77777777" w:rsidR="00C86FDB" w:rsidRDefault="00C86FDB" w:rsidP="00C86FDB">
            <w:pPr>
              <w:pStyle w:val="TAL"/>
            </w:pPr>
            <w:r>
              <w:t>UeCommunicationExt_eNA</w:t>
            </w:r>
          </w:p>
        </w:tc>
      </w:tr>
      <w:tr w:rsidR="00C86FDB" w14:paraId="47622854" w14:textId="77777777" w:rsidTr="005A20DD">
        <w:trPr>
          <w:gridAfter w:val="2"/>
          <w:wAfter w:w="77" w:type="dxa"/>
          <w:jc w:val="center"/>
        </w:trPr>
        <w:tc>
          <w:tcPr>
            <w:tcW w:w="1532" w:type="dxa"/>
            <w:gridSpan w:val="3"/>
          </w:tcPr>
          <w:p w14:paraId="613F04DB" w14:textId="77777777" w:rsidR="00C86FDB" w:rsidRDefault="00C86FDB" w:rsidP="00C86FDB">
            <w:pPr>
              <w:pStyle w:val="TAL"/>
              <w:rPr>
                <w:lang w:eastAsia="zh-CN"/>
              </w:rPr>
            </w:pPr>
            <w:r>
              <w:t>pduSesInfos</w:t>
            </w:r>
          </w:p>
        </w:tc>
        <w:tc>
          <w:tcPr>
            <w:tcW w:w="1472" w:type="dxa"/>
            <w:gridSpan w:val="2"/>
          </w:tcPr>
          <w:p w14:paraId="49AA277D" w14:textId="77777777" w:rsidR="00C86FDB" w:rsidRDefault="00C86FDB" w:rsidP="00C86FDB">
            <w:pPr>
              <w:pStyle w:val="TAL"/>
            </w:pPr>
            <w:r>
              <w:t>array(PduSessionInfo)</w:t>
            </w:r>
          </w:p>
        </w:tc>
        <w:tc>
          <w:tcPr>
            <w:tcW w:w="360" w:type="dxa"/>
            <w:gridSpan w:val="2"/>
          </w:tcPr>
          <w:p w14:paraId="1FB9CFC3" w14:textId="77777777" w:rsidR="00C86FDB" w:rsidRDefault="00C86FDB" w:rsidP="00C86FDB">
            <w:pPr>
              <w:pStyle w:val="TAC"/>
              <w:rPr>
                <w:rFonts w:cs="Arial"/>
                <w:szCs w:val="18"/>
                <w:lang w:eastAsia="zh-CN"/>
              </w:rPr>
            </w:pPr>
            <w:r>
              <w:rPr>
                <w:rFonts w:cs="Arial"/>
                <w:szCs w:val="18"/>
                <w:lang w:eastAsia="zh-CN"/>
              </w:rPr>
              <w:t>O</w:t>
            </w:r>
          </w:p>
        </w:tc>
        <w:tc>
          <w:tcPr>
            <w:tcW w:w="1168" w:type="dxa"/>
            <w:gridSpan w:val="2"/>
          </w:tcPr>
          <w:p w14:paraId="36642E27" w14:textId="77777777" w:rsidR="00C86FDB" w:rsidRDefault="00C86FDB" w:rsidP="00C86FDB">
            <w:pPr>
              <w:pStyle w:val="TAC"/>
            </w:pPr>
            <w:r>
              <w:rPr>
                <w:rFonts w:cs="Arial"/>
                <w:szCs w:val="18"/>
                <w:lang w:eastAsia="zh-CN"/>
              </w:rPr>
              <w:t>1..N</w:t>
            </w:r>
          </w:p>
        </w:tc>
        <w:tc>
          <w:tcPr>
            <w:tcW w:w="3325" w:type="dxa"/>
            <w:gridSpan w:val="2"/>
          </w:tcPr>
          <w:p w14:paraId="3C4B5E7E" w14:textId="77777777" w:rsidR="00C86FDB" w:rsidRDefault="00C86FDB" w:rsidP="00C86FDB">
            <w:pPr>
              <w:pStyle w:val="TAL"/>
            </w:pPr>
            <w:r>
              <w:rPr>
                <w:rFonts w:cs="Arial"/>
                <w:szCs w:val="18"/>
              </w:rPr>
              <w:t>Represents combination of PDU Session parameters. (NOTE 12)</w:t>
            </w:r>
          </w:p>
        </w:tc>
        <w:tc>
          <w:tcPr>
            <w:tcW w:w="1481" w:type="dxa"/>
            <w:gridSpan w:val="3"/>
          </w:tcPr>
          <w:p w14:paraId="3274D6D3" w14:textId="77777777" w:rsidR="00C86FDB" w:rsidRDefault="00C86FDB" w:rsidP="00C86FDB">
            <w:pPr>
              <w:pStyle w:val="TAL"/>
            </w:pPr>
            <w:r>
              <w:rPr>
                <w:rFonts w:cs="Arial"/>
                <w:szCs w:val="18"/>
              </w:rPr>
              <w:t>ServiceExperienceExt2_eNA</w:t>
            </w:r>
          </w:p>
        </w:tc>
      </w:tr>
      <w:tr w:rsidR="00164A54" w14:paraId="063CDD47" w14:textId="77777777" w:rsidTr="005A20DD">
        <w:trPr>
          <w:gridAfter w:val="2"/>
          <w:wAfter w:w="77" w:type="dxa"/>
          <w:jc w:val="center"/>
        </w:trPr>
        <w:tc>
          <w:tcPr>
            <w:tcW w:w="1532" w:type="dxa"/>
            <w:gridSpan w:val="3"/>
          </w:tcPr>
          <w:p w14:paraId="1BB209E4" w14:textId="77777777" w:rsidR="00164A54" w:rsidRDefault="00164A54" w:rsidP="00164A54">
            <w:pPr>
              <w:pStyle w:val="TAL"/>
            </w:pPr>
            <w:r>
              <w:rPr>
                <w:lang w:eastAsia="zh-CN"/>
              </w:rPr>
              <w:t>pduSesTrafReqs</w:t>
            </w:r>
          </w:p>
        </w:tc>
        <w:tc>
          <w:tcPr>
            <w:tcW w:w="1472" w:type="dxa"/>
            <w:gridSpan w:val="2"/>
          </w:tcPr>
          <w:p w14:paraId="18322E79" w14:textId="77777777" w:rsidR="00164A54" w:rsidRDefault="00164A54" w:rsidP="00164A54">
            <w:pPr>
              <w:pStyle w:val="TAL"/>
            </w:pPr>
            <w:r>
              <w:rPr>
                <w:rFonts w:eastAsia="等线"/>
              </w:rPr>
              <w:t>array(</w:t>
            </w:r>
            <w:r>
              <w:rPr>
                <w:lang w:eastAsia="zh-CN"/>
              </w:rPr>
              <w:t>PduSesTrafficReq</w:t>
            </w:r>
            <w:r>
              <w:rPr>
                <w:rFonts w:eastAsia="等线"/>
              </w:rPr>
              <w:t>)</w:t>
            </w:r>
          </w:p>
        </w:tc>
        <w:tc>
          <w:tcPr>
            <w:tcW w:w="360" w:type="dxa"/>
            <w:gridSpan w:val="2"/>
          </w:tcPr>
          <w:p w14:paraId="582D85BD" w14:textId="77777777" w:rsidR="00164A54" w:rsidRDefault="00164A54" w:rsidP="00164A54">
            <w:pPr>
              <w:pStyle w:val="TAC"/>
              <w:rPr>
                <w:rFonts w:cs="Arial"/>
                <w:szCs w:val="18"/>
                <w:lang w:eastAsia="zh-CN"/>
              </w:rPr>
            </w:pPr>
            <w:r>
              <w:rPr>
                <w:rFonts w:cs="Arial"/>
                <w:szCs w:val="18"/>
                <w:lang w:eastAsia="zh-CN"/>
              </w:rPr>
              <w:t>C</w:t>
            </w:r>
          </w:p>
        </w:tc>
        <w:tc>
          <w:tcPr>
            <w:tcW w:w="1168" w:type="dxa"/>
            <w:gridSpan w:val="2"/>
          </w:tcPr>
          <w:p w14:paraId="65707CD3" w14:textId="77777777" w:rsidR="00164A54" w:rsidRDefault="00164A54" w:rsidP="00164A54">
            <w:pPr>
              <w:pStyle w:val="TAC"/>
              <w:rPr>
                <w:rFonts w:cs="Arial"/>
                <w:szCs w:val="18"/>
                <w:lang w:eastAsia="zh-CN"/>
              </w:rPr>
            </w:pPr>
            <w:r>
              <w:rPr>
                <w:rFonts w:cs="Arial"/>
                <w:szCs w:val="18"/>
                <w:lang w:eastAsia="zh-CN"/>
              </w:rPr>
              <w:t>1..N</w:t>
            </w:r>
          </w:p>
        </w:tc>
        <w:tc>
          <w:tcPr>
            <w:tcW w:w="3325" w:type="dxa"/>
            <w:gridSpan w:val="2"/>
          </w:tcPr>
          <w:p w14:paraId="27718A56" w14:textId="77777777" w:rsidR="00164A54" w:rsidRDefault="00164A54" w:rsidP="00164A54">
            <w:pPr>
              <w:pStyle w:val="TAL"/>
              <w:rPr>
                <w:rFonts w:cs="Arial"/>
                <w:szCs w:val="18"/>
              </w:rPr>
            </w:pPr>
            <w:r>
              <w:rPr>
                <w:lang w:val="en-US" w:eastAsia="zh-CN"/>
              </w:rPr>
              <w:t xml:space="preserve">Represents the </w:t>
            </w:r>
            <w:r>
              <w:rPr>
                <w:rFonts w:eastAsia="等线"/>
              </w:rPr>
              <w:t>PDU Session traffic</w:t>
            </w:r>
            <w:r>
              <w:rPr>
                <w:lang w:val="en-US" w:eastAsia="zh-CN"/>
              </w:rPr>
              <w:t xml:space="preserve"> analytics requirements. </w:t>
            </w:r>
            <w:r>
              <w:t>This attribute shall be included when the requested event is "PDU_SESSION_TRAFFIC". (NOTE 13)</w:t>
            </w:r>
          </w:p>
        </w:tc>
        <w:tc>
          <w:tcPr>
            <w:tcW w:w="1481" w:type="dxa"/>
            <w:gridSpan w:val="3"/>
          </w:tcPr>
          <w:p w14:paraId="49D4DD5C" w14:textId="77777777" w:rsidR="00164A54" w:rsidRDefault="00164A54" w:rsidP="00164A54">
            <w:pPr>
              <w:pStyle w:val="TAL"/>
              <w:rPr>
                <w:rFonts w:cs="Arial"/>
                <w:szCs w:val="18"/>
              </w:rPr>
            </w:pPr>
            <w:r>
              <w:t>PduSesTraffic</w:t>
            </w:r>
          </w:p>
        </w:tc>
      </w:tr>
      <w:tr w:rsidR="00164A54" w14:paraId="621EE305" w14:textId="77777777" w:rsidTr="005A20DD">
        <w:trPr>
          <w:gridAfter w:val="2"/>
          <w:wAfter w:w="77" w:type="dxa"/>
          <w:jc w:val="center"/>
        </w:trPr>
        <w:tc>
          <w:tcPr>
            <w:tcW w:w="1532" w:type="dxa"/>
            <w:gridSpan w:val="3"/>
          </w:tcPr>
          <w:p w14:paraId="6801B1E0" w14:textId="77777777" w:rsidR="00164A54" w:rsidRDefault="00164A54" w:rsidP="00164A54">
            <w:pPr>
              <w:pStyle w:val="TAL"/>
              <w:rPr>
                <w:lang w:eastAsia="zh-CN"/>
              </w:rPr>
            </w:pPr>
            <w:r>
              <w:rPr>
                <w:lang w:eastAsia="zh-CN"/>
              </w:rPr>
              <w:lastRenderedPageBreak/>
              <w:t>locAccReqs</w:t>
            </w:r>
          </w:p>
        </w:tc>
        <w:tc>
          <w:tcPr>
            <w:tcW w:w="1472" w:type="dxa"/>
            <w:gridSpan w:val="2"/>
          </w:tcPr>
          <w:p w14:paraId="2411CA59" w14:textId="77777777" w:rsidR="00164A54" w:rsidRDefault="00164A54" w:rsidP="00164A54">
            <w:pPr>
              <w:pStyle w:val="TAL"/>
              <w:rPr>
                <w:rFonts w:eastAsia="等线"/>
              </w:rPr>
            </w:pPr>
            <w:r>
              <w:rPr>
                <w:rFonts w:eastAsia="等线"/>
              </w:rPr>
              <w:t>array(LocAccuracyReq)</w:t>
            </w:r>
          </w:p>
        </w:tc>
        <w:tc>
          <w:tcPr>
            <w:tcW w:w="360" w:type="dxa"/>
            <w:gridSpan w:val="2"/>
          </w:tcPr>
          <w:p w14:paraId="598C885B" w14:textId="77777777" w:rsidR="00164A54" w:rsidRDefault="00164A54" w:rsidP="00164A54">
            <w:pPr>
              <w:pStyle w:val="TAC"/>
              <w:rPr>
                <w:rFonts w:cs="Arial"/>
                <w:szCs w:val="18"/>
                <w:lang w:eastAsia="zh-CN"/>
              </w:rPr>
            </w:pPr>
            <w:r>
              <w:rPr>
                <w:rFonts w:cs="Arial"/>
                <w:szCs w:val="18"/>
                <w:lang w:eastAsia="zh-CN"/>
              </w:rPr>
              <w:t>O</w:t>
            </w:r>
          </w:p>
        </w:tc>
        <w:tc>
          <w:tcPr>
            <w:tcW w:w="1168" w:type="dxa"/>
            <w:gridSpan w:val="2"/>
          </w:tcPr>
          <w:p w14:paraId="7F57E498" w14:textId="77777777" w:rsidR="00164A54" w:rsidRDefault="00164A54" w:rsidP="00164A54">
            <w:pPr>
              <w:pStyle w:val="TAC"/>
              <w:rPr>
                <w:rFonts w:cs="Arial"/>
                <w:szCs w:val="18"/>
                <w:lang w:eastAsia="zh-CN"/>
              </w:rPr>
            </w:pPr>
            <w:r>
              <w:rPr>
                <w:rFonts w:cs="Arial"/>
                <w:szCs w:val="18"/>
                <w:lang w:eastAsia="zh-CN"/>
              </w:rPr>
              <w:t>1..N</w:t>
            </w:r>
          </w:p>
        </w:tc>
        <w:tc>
          <w:tcPr>
            <w:tcW w:w="3325" w:type="dxa"/>
            <w:gridSpan w:val="2"/>
          </w:tcPr>
          <w:p w14:paraId="69E99DBE" w14:textId="77777777" w:rsidR="00164A54" w:rsidRDefault="00164A54" w:rsidP="00164A54">
            <w:pPr>
              <w:pStyle w:val="TAL"/>
              <w:rPr>
                <w:lang w:val="en-US" w:eastAsia="zh-CN"/>
              </w:rPr>
            </w:pPr>
            <w:r>
              <w:rPr>
                <w:lang w:eastAsia="zh-CN"/>
              </w:rPr>
              <w:t xml:space="preserve">Represents the </w:t>
            </w:r>
            <w:r>
              <w:rPr>
                <w:rFonts w:eastAsia="等线"/>
              </w:rPr>
              <w:t>Location Accuracy</w:t>
            </w:r>
            <w:r>
              <w:rPr>
                <w:lang w:eastAsia="zh-CN"/>
              </w:rPr>
              <w:t xml:space="preserve"> analytics requirements. </w:t>
            </w:r>
            <w:r>
              <w:t>This attribute may only be included when the requested event is "LOC_ACCURACY" and the attribues "accThres", "accThresMatchDir", "inOutThres", and "inOutThresMatchDir" inside it are not applicable for analytics requests.</w:t>
            </w:r>
          </w:p>
        </w:tc>
        <w:tc>
          <w:tcPr>
            <w:tcW w:w="1481" w:type="dxa"/>
            <w:gridSpan w:val="3"/>
          </w:tcPr>
          <w:p w14:paraId="42556C0C" w14:textId="77777777" w:rsidR="00164A54" w:rsidRDefault="00164A54" w:rsidP="00164A54">
            <w:pPr>
              <w:pStyle w:val="TAL"/>
            </w:pPr>
            <w:r>
              <w:t>LocAccuracy</w:t>
            </w:r>
          </w:p>
        </w:tc>
      </w:tr>
      <w:tr w:rsidR="00CD748D" w14:paraId="7E202FFD" w14:textId="77777777" w:rsidTr="005A20DD">
        <w:trPr>
          <w:gridAfter w:val="2"/>
          <w:wAfter w:w="77" w:type="dxa"/>
          <w:jc w:val="center"/>
        </w:trPr>
        <w:tc>
          <w:tcPr>
            <w:tcW w:w="1532" w:type="dxa"/>
            <w:gridSpan w:val="3"/>
          </w:tcPr>
          <w:p w14:paraId="55F82EC7" w14:textId="77777777" w:rsidR="00CD748D" w:rsidRDefault="00CD748D" w:rsidP="00CD748D">
            <w:pPr>
              <w:pStyle w:val="TAL"/>
              <w:rPr>
                <w:lang w:eastAsia="zh-CN"/>
              </w:rPr>
            </w:pPr>
            <w:r>
              <w:rPr>
                <w:rFonts w:hint="eastAsia"/>
                <w:lang w:eastAsia="zh-CN"/>
              </w:rPr>
              <w:t>l</w:t>
            </w:r>
            <w:r>
              <w:rPr>
                <w:lang w:eastAsia="zh-CN"/>
              </w:rPr>
              <w:t>ocGranularity</w:t>
            </w:r>
          </w:p>
        </w:tc>
        <w:tc>
          <w:tcPr>
            <w:tcW w:w="1472" w:type="dxa"/>
            <w:gridSpan w:val="2"/>
          </w:tcPr>
          <w:p w14:paraId="2D275AB7" w14:textId="77777777" w:rsidR="00CD748D" w:rsidRDefault="00CD748D" w:rsidP="00CD748D">
            <w:pPr>
              <w:pStyle w:val="TAL"/>
              <w:rPr>
                <w:rFonts w:eastAsia="等线"/>
              </w:rPr>
            </w:pPr>
            <w:r>
              <w:rPr>
                <w:lang w:eastAsia="zh-CN"/>
              </w:rPr>
              <w:t>LocInfoGranularity</w:t>
            </w:r>
          </w:p>
        </w:tc>
        <w:tc>
          <w:tcPr>
            <w:tcW w:w="360" w:type="dxa"/>
            <w:gridSpan w:val="2"/>
          </w:tcPr>
          <w:p w14:paraId="59CFF0D3" w14:textId="77777777" w:rsidR="00CD748D" w:rsidRDefault="00CD748D" w:rsidP="00CD748D">
            <w:pPr>
              <w:pStyle w:val="TAC"/>
              <w:rPr>
                <w:rFonts w:cs="Arial"/>
                <w:szCs w:val="18"/>
                <w:lang w:eastAsia="zh-CN"/>
              </w:rPr>
            </w:pPr>
            <w:r>
              <w:rPr>
                <w:rFonts w:hint="eastAsia"/>
                <w:lang w:eastAsia="zh-CN"/>
              </w:rPr>
              <w:t>O</w:t>
            </w:r>
          </w:p>
        </w:tc>
        <w:tc>
          <w:tcPr>
            <w:tcW w:w="1168" w:type="dxa"/>
            <w:gridSpan w:val="2"/>
          </w:tcPr>
          <w:p w14:paraId="1956C065" w14:textId="77777777" w:rsidR="00CD748D" w:rsidRDefault="00CD748D" w:rsidP="00CD748D">
            <w:pPr>
              <w:pStyle w:val="TAC"/>
              <w:rPr>
                <w:rFonts w:cs="Arial"/>
                <w:szCs w:val="18"/>
                <w:lang w:eastAsia="zh-CN"/>
              </w:rPr>
            </w:pPr>
            <w:r>
              <w:t>0..1</w:t>
            </w:r>
          </w:p>
        </w:tc>
        <w:tc>
          <w:tcPr>
            <w:tcW w:w="3325" w:type="dxa"/>
            <w:gridSpan w:val="2"/>
          </w:tcPr>
          <w:p w14:paraId="301FB231" w14:textId="77777777" w:rsidR="00CD748D" w:rsidRDefault="00CD748D" w:rsidP="00CD748D">
            <w:pPr>
              <w:pStyle w:val="TAL"/>
              <w:rPr>
                <w:lang w:eastAsia="zh-CN"/>
              </w:rPr>
            </w:pPr>
            <w:r>
              <w:rPr>
                <w:rFonts w:hint="eastAsia"/>
                <w:lang w:eastAsia="zh-CN"/>
              </w:rPr>
              <w:t>T</w:t>
            </w:r>
            <w:r>
              <w:rPr>
                <w:lang w:eastAsia="zh-CN"/>
              </w:rPr>
              <w:t xml:space="preserve">he </w:t>
            </w:r>
            <w:r>
              <w:t>preferred granularity of UE location information.(NOTE</w:t>
            </w:r>
            <w:r>
              <w:rPr>
                <w:lang w:eastAsia="zh-CN"/>
              </w:rPr>
              <w:t> 19)</w:t>
            </w:r>
          </w:p>
        </w:tc>
        <w:tc>
          <w:tcPr>
            <w:tcW w:w="1481" w:type="dxa"/>
            <w:gridSpan w:val="3"/>
          </w:tcPr>
          <w:p w14:paraId="4B03D0ED" w14:textId="77777777" w:rsidR="00CD748D" w:rsidRDefault="00CD748D" w:rsidP="00CD748D">
            <w:pPr>
              <w:pStyle w:val="TAL"/>
              <w:rPr>
                <w:lang w:eastAsia="zh-CN"/>
              </w:rPr>
            </w:pPr>
            <w:r>
              <w:rPr>
                <w:rFonts w:hint="eastAsia"/>
              </w:rPr>
              <w:t>S</w:t>
            </w:r>
            <w:r>
              <w:t>erviceExperienceExt</w:t>
            </w:r>
            <w:r>
              <w:rPr>
                <w:lang w:eastAsia="zh-CN"/>
              </w:rPr>
              <w:t>2_eNA</w:t>
            </w:r>
          </w:p>
          <w:p w14:paraId="6C72E6BE" w14:textId="77777777" w:rsidR="00CD748D" w:rsidRDefault="00CD748D" w:rsidP="00CD748D">
            <w:pPr>
              <w:pStyle w:val="TAL"/>
              <w:rPr>
                <w:lang w:eastAsia="zh-CN"/>
              </w:rPr>
            </w:pPr>
            <w:r>
              <w:t>UeMobility</w:t>
            </w:r>
            <w:r>
              <w:rPr>
                <w:lang w:eastAsia="zh-CN"/>
              </w:rPr>
              <w:t>Ext2_eNA</w:t>
            </w:r>
          </w:p>
          <w:p w14:paraId="0F0AEE47" w14:textId="77777777" w:rsidR="00CD748D" w:rsidRDefault="00CD748D" w:rsidP="00CD748D">
            <w:pPr>
              <w:pStyle w:val="TAL"/>
              <w:rPr>
                <w:lang w:eastAsia="zh-CN"/>
              </w:rPr>
            </w:pPr>
            <w:r>
              <w:t>DispersionExt</w:t>
            </w:r>
            <w:r>
              <w:rPr>
                <w:lang w:eastAsia="zh-CN"/>
              </w:rPr>
              <w:t>_eNA</w:t>
            </w:r>
          </w:p>
          <w:p w14:paraId="3163D8F5" w14:textId="77777777" w:rsidR="00CD748D" w:rsidRDefault="00CD748D" w:rsidP="00CD748D">
            <w:pPr>
              <w:pStyle w:val="TAL"/>
              <w:rPr>
                <w:lang w:eastAsia="zh-CN"/>
              </w:rPr>
            </w:pPr>
            <w:r>
              <w:rPr>
                <w:lang w:eastAsia="zh-CN"/>
              </w:rPr>
              <w:t>MovementBehaviour</w:t>
            </w:r>
          </w:p>
          <w:p w14:paraId="5E870D90" w14:textId="77777777" w:rsidR="00CD748D" w:rsidRDefault="00CD748D" w:rsidP="00CD748D">
            <w:pPr>
              <w:pStyle w:val="TAL"/>
              <w:rPr>
                <w:lang w:eastAsia="zh-CN"/>
              </w:rPr>
            </w:pPr>
            <w:r>
              <w:t>QoSPolicyAssist</w:t>
            </w:r>
          </w:p>
        </w:tc>
      </w:tr>
      <w:tr w:rsidR="00CD748D" w14:paraId="71AD3818" w14:textId="77777777" w:rsidTr="005A20DD">
        <w:trPr>
          <w:gridAfter w:val="2"/>
          <w:wAfter w:w="77" w:type="dxa"/>
          <w:jc w:val="center"/>
        </w:trPr>
        <w:tc>
          <w:tcPr>
            <w:tcW w:w="1532" w:type="dxa"/>
            <w:gridSpan w:val="3"/>
            <w:tcBorders>
              <w:top w:val="single" w:sz="6" w:space="0" w:color="auto"/>
              <w:left w:val="single" w:sz="6" w:space="0" w:color="auto"/>
              <w:bottom w:val="single" w:sz="6" w:space="0" w:color="auto"/>
              <w:right w:val="single" w:sz="6" w:space="0" w:color="auto"/>
            </w:tcBorders>
          </w:tcPr>
          <w:p w14:paraId="33DE0595" w14:textId="77777777" w:rsidR="00CD748D" w:rsidRDefault="00CD748D" w:rsidP="00CD748D">
            <w:pPr>
              <w:pStyle w:val="TAL"/>
              <w:rPr>
                <w:lang w:eastAsia="zh-CN"/>
              </w:rPr>
            </w:pPr>
            <w:r>
              <w:rPr>
                <w:lang w:eastAsia="zh-CN"/>
              </w:rPr>
              <w:t>locOrientation</w:t>
            </w:r>
          </w:p>
        </w:tc>
        <w:tc>
          <w:tcPr>
            <w:tcW w:w="1472" w:type="dxa"/>
            <w:gridSpan w:val="2"/>
            <w:tcBorders>
              <w:top w:val="single" w:sz="6" w:space="0" w:color="auto"/>
              <w:left w:val="single" w:sz="6" w:space="0" w:color="auto"/>
              <w:bottom w:val="single" w:sz="6" w:space="0" w:color="auto"/>
              <w:right w:val="single" w:sz="6" w:space="0" w:color="auto"/>
            </w:tcBorders>
          </w:tcPr>
          <w:p w14:paraId="6788E497" w14:textId="77777777" w:rsidR="00CD748D" w:rsidRDefault="00CD748D" w:rsidP="00CD748D">
            <w:pPr>
              <w:pStyle w:val="TAL"/>
              <w:rPr>
                <w:lang w:eastAsia="zh-CN"/>
              </w:rPr>
            </w:pPr>
            <w:r>
              <w:rPr>
                <w:lang w:eastAsia="zh-CN"/>
              </w:rPr>
              <w:t>LocationOrientation</w:t>
            </w:r>
          </w:p>
        </w:tc>
        <w:tc>
          <w:tcPr>
            <w:tcW w:w="360" w:type="dxa"/>
            <w:gridSpan w:val="2"/>
            <w:tcBorders>
              <w:top w:val="single" w:sz="6" w:space="0" w:color="auto"/>
              <w:left w:val="single" w:sz="6" w:space="0" w:color="auto"/>
              <w:bottom w:val="single" w:sz="6" w:space="0" w:color="auto"/>
              <w:right w:val="single" w:sz="6" w:space="0" w:color="auto"/>
            </w:tcBorders>
          </w:tcPr>
          <w:p w14:paraId="09B66F4B" w14:textId="77777777" w:rsidR="00CD748D" w:rsidRDefault="00CD748D" w:rsidP="00CD748D">
            <w:pPr>
              <w:pStyle w:val="TAC"/>
              <w:rPr>
                <w:lang w:eastAsia="zh-CN"/>
              </w:rPr>
            </w:pPr>
            <w:r>
              <w:rPr>
                <w:lang w:eastAsia="zh-CN"/>
              </w:rPr>
              <w:t>O</w:t>
            </w:r>
          </w:p>
        </w:tc>
        <w:tc>
          <w:tcPr>
            <w:tcW w:w="1168" w:type="dxa"/>
            <w:gridSpan w:val="2"/>
            <w:tcBorders>
              <w:top w:val="single" w:sz="6" w:space="0" w:color="auto"/>
              <w:left w:val="single" w:sz="6" w:space="0" w:color="auto"/>
              <w:bottom w:val="single" w:sz="6" w:space="0" w:color="auto"/>
              <w:right w:val="single" w:sz="6" w:space="0" w:color="auto"/>
            </w:tcBorders>
          </w:tcPr>
          <w:p w14:paraId="36D83C14" w14:textId="77777777" w:rsidR="00CD748D" w:rsidRDefault="00CD748D" w:rsidP="00CD748D">
            <w:pPr>
              <w:pStyle w:val="TAC"/>
            </w:pPr>
            <w:r>
              <w:t>0..1</w:t>
            </w:r>
          </w:p>
        </w:tc>
        <w:tc>
          <w:tcPr>
            <w:tcW w:w="3325" w:type="dxa"/>
            <w:gridSpan w:val="2"/>
            <w:tcBorders>
              <w:top w:val="single" w:sz="6" w:space="0" w:color="auto"/>
              <w:left w:val="single" w:sz="6" w:space="0" w:color="auto"/>
              <w:bottom w:val="single" w:sz="6" w:space="0" w:color="auto"/>
              <w:right w:val="single" w:sz="6" w:space="0" w:color="auto"/>
            </w:tcBorders>
          </w:tcPr>
          <w:p w14:paraId="2085AF13" w14:textId="77777777" w:rsidR="00CD748D" w:rsidRDefault="00CD748D" w:rsidP="00CD748D">
            <w:pPr>
              <w:pStyle w:val="TAL"/>
              <w:rPr>
                <w:lang w:eastAsia="zh-CN"/>
              </w:rPr>
            </w:pPr>
            <w:r>
              <w:rPr>
                <w:lang w:eastAsia="zh-CN"/>
              </w:rPr>
              <w:t>Indicates the preferred orientation of location information.</w:t>
            </w:r>
          </w:p>
        </w:tc>
        <w:tc>
          <w:tcPr>
            <w:tcW w:w="1481" w:type="dxa"/>
            <w:gridSpan w:val="3"/>
            <w:tcBorders>
              <w:top w:val="single" w:sz="6" w:space="0" w:color="auto"/>
              <w:left w:val="single" w:sz="6" w:space="0" w:color="auto"/>
              <w:bottom w:val="single" w:sz="6" w:space="0" w:color="auto"/>
              <w:right w:val="single" w:sz="6" w:space="0" w:color="auto"/>
            </w:tcBorders>
          </w:tcPr>
          <w:p w14:paraId="439A1D48" w14:textId="77777777" w:rsidR="00CD748D" w:rsidRDefault="00CD748D" w:rsidP="00CD748D">
            <w:pPr>
              <w:pStyle w:val="TAL"/>
            </w:pPr>
            <w:r>
              <w:t>MovementBehaviour</w:t>
            </w:r>
          </w:p>
          <w:p w14:paraId="0A622189" w14:textId="77777777" w:rsidR="00CD748D" w:rsidRDefault="00CD748D" w:rsidP="00CD748D">
            <w:pPr>
              <w:pStyle w:val="TAL"/>
            </w:pPr>
            <w:r>
              <w:t>UeMobilityExt2_eNA</w:t>
            </w:r>
          </w:p>
        </w:tc>
      </w:tr>
      <w:tr w:rsidR="00C86FDB" w14:paraId="11A06066" w14:textId="77777777" w:rsidTr="005A20DD">
        <w:trPr>
          <w:gridBefore w:val="1"/>
          <w:gridAfter w:val="1"/>
          <w:wBefore w:w="33" w:type="dxa"/>
          <w:wAfter w:w="30" w:type="dxa"/>
          <w:jc w:val="center"/>
        </w:trPr>
        <w:tc>
          <w:tcPr>
            <w:tcW w:w="1537" w:type="dxa"/>
            <w:gridSpan w:val="3"/>
            <w:tcBorders>
              <w:top w:val="single" w:sz="6" w:space="0" w:color="auto"/>
              <w:left w:val="single" w:sz="6" w:space="0" w:color="auto"/>
              <w:bottom w:val="single" w:sz="6" w:space="0" w:color="auto"/>
              <w:right w:val="single" w:sz="6" w:space="0" w:color="auto"/>
            </w:tcBorders>
          </w:tcPr>
          <w:p w14:paraId="1D4DDAD2" w14:textId="77777777" w:rsidR="00C86FDB" w:rsidRDefault="00C86FDB" w:rsidP="00C86FDB">
            <w:pPr>
              <w:pStyle w:val="TAL"/>
            </w:pPr>
            <w:r>
              <w:t>useCaseCxt</w:t>
            </w:r>
          </w:p>
        </w:tc>
        <w:tc>
          <w:tcPr>
            <w:tcW w:w="1477" w:type="dxa"/>
            <w:gridSpan w:val="2"/>
            <w:tcBorders>
              <w:top w:val="single" w:sz="6" w:space="0" w:color="auto"/>
              <w:left w:val="single" w:sz="6" w:space="0" w:color="auto"/>
              <w:bottom w:val="single" w:sz="6" w:space="0" w:color="auto"/>
              <w:right w:val="single" w:sz="6" w:space="0" w:color="auto"/>
            </w:tcBorders>
          </w:tcPr>
          <w:p w14:paraId="4ED0658F" w14:textId="77777777" w:rsidR="00C86FDB" w:rsidRDefault="00C86FDB" w:rsidP="00C86FDB">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tcPr>
          <w:p w14:paraId="2BD4EC6D" w14:textId="77777777" w:rsidR="00C86FDB" w:rsidRDefault="00C86FDB" w:rsidP="00C86FDB">
            <w:pPr>
              <w:pStyle w:val="TAC"/>
              <w:rPr>
                <w:rFonts w:cs="Arial"/>
                <w:szCs w:val="18"/>
                <w:lang w:eastAsia="zh-CN"/>
              </w:rPr>
            </w:pPr>
            <w:r>
              <w:rPr>
                <w:rFonts w:cs="Arial"/>
                <w:szCs w:val="18"/>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227EE465" w14:textId="77777777" w:rsidR="00C86FDB" w:rsidRDefault="00C86FDB" w:rsidP="00C86FDB">
            <w:pPr>
              <w:pStyle w:val="TAC"/>
              <w:rPr>
                <w:rFonts w:cs="Arial"/>
                <w:szCs w:val="18"/>
                <w:lang w:eastAsia="zh-CN"/>
              </w:rPr>
            </w:pPr>
            <w:r>
              <w:rPr>
                <w:rFonts w:cs="Arial"/>
                <w:szCs w:val="18"/>
                <w:lang w:eastAsia="zh-CN"/>
              </w:rPr>
              <w:t>0..1</w:t>
            </w:r>
          </w:p>
        </w:tc>
        <w:tc>
          <w:tcPr>
            <w:tcW w:w="3324" w:type="dxa"/>
            <w:gridSpan w:val="2"/>
            <w:tcBorders>
              <w:top w:val="single" w:sz="6" w:space="0" w:color="auto"/>
              <w:left w:val="single" w:sz="6" w:space="0" w:color="auto"/>
              <w:bottom w:val="single" w:sz="6" w:space="0" w:color="auto"/>
              <w:right w:val="single" w:sz="6" w:space="0" w:color="auto"/>
            </w:tcBorders>
          </w:tcPr>
          <w:p w14:paraId="790CC583" w14:textId="77777777" w:rsidR="00C86FDB" w:rsidRDefault="00C86FDB" w:rsidP="00C86FDB">
            <w:pPr>
              <w:pStyle w:val="TAL"/>
              <w:rPr>
                <w:rFonts w:cs="Arial"/>
                <w:szCs w:val="18"/>
              </w:rPr>
            </w:pPr>
            <w:r>
              <w:rPr>
                <w:rFonts w:cs="Arial"/>
                <w:szCs w:val="18"/>
              </w:rPr>
              <w:t>Indicates the context of usage of the analytics.</w:t>
            </w:r>
          </w:p>
          <w:p w14:paraId="7A023616" w14:textId="77777777" w:rsidR="00C86FDB" w:rsidRDefault="00C86FDB" w:rsidP="00C86FDB">
            <w:pPr>
              <w:pStyle w:val="TAL"/>
              <w:rPr>
                <w:rFonts w:cs="Arial"/>
                <w:szCs w:val="18"/>
              </w:rPr>
            </w:pPr>
            <w:r>
              <w:rPr>
                <w:rFonts w:cs="Arial"/>
                <w:szCs w:val="18"/>
              </w:rPr>
              <w:t>The value and format of this parameter are not standardized.</w:t>
            </w:r>
          </w:p>
        </w:tc>
        <w:tc>
          <w:tcPr>
            <w:tcW w:w="1481" w:type="dxa"/>
            <w:gridSpan w:val="3"/>
            <w:tcBorders>
              <w:top w:val="single" w:sz="6" w:space="0" w:color="auto"/>
              <w:left w:val="single" w:sz="6" w:space="0" w:color="auto"/>
              <w:bottom w:val="single" w:sz="6" w:space="0" w:color="auto"/>
              <w:right w:val="single" w:sz="6" w:space="0" w:color="auto"/>
            </w:tcBorders>
          </w:tcPr>
          <w:p w14:paraId="41E1E1CE" w14:textId="77777777" w:rsidR="00C86FDB" w:rsidRDefault="00C86FDB" w:rsidP="00C86FDB">
            <w:pPr>
              <w:pStyle w:val="TAL"/>
              <w:rPr>
                <w:rFonts w:cs="Arial"/>
                <w:szCs w:val="18"/>
              </w:rPr>
            </w:pPr>
            <w:r>
              <w:rPr>
                <w:rFonts w:cs="Arial"/>
                <w:szCs w:val="18"/>
              </w:rPr>
              <w:t>ENAExt</w:t>
            </w:r>
          </w:p>
        </w:tc>
      </w:tr>
      <w:tr w:rsidR="00C86FDB" w14:paraId="269BD2B5" w14:textId="77777777" w:rsidTr="005A20DD">
        <w:trPr>
          <w:gridBefore w:val="1"/>
          <w:gridAfter w:val="1"/>
          <w:wBefore w:w="33" w:type="dxa"/>
          <w:wAfter w:w="30" w:type="dxa"/>
          <w:jc w:val="center"/>
        </w:trPr>
        <w:tc>
          <w:tcPr>
            <w:tcW w:w="1537" w:type="dxa"/>
            <w:gridSpan w:val="3"/>
            <w:tcBorders>
              <w:top w:val="single" w:sz="6" w:space="0" w:color="auto"/>
              <w:left w:val="single" w:sz="6" w:space="0" w:color="auto"/>
              <w:bottom w:val="single" w:sz="6" w:space="0" w:color="auto"/>
              <w:right w:val="single" w:sz="6" w:space="0" w:color="auto"/>
            </w:tcBorders>
          </w:tcPr>
          <w:p w14:paraId="509EE43F" w14:textId="77777777" w:rsidR="00C86FDB" w:rsidRDefault="00C86FDB" w:rsidP="00C86FDB">
            <w:pPr>
              <w:pStyle w:val="TAL"/>
            </w:pPr>
            <w:r>
              <w:rPr>
                <w:lang w:eastAsia="zh-CN"/>
              </w:rPr>
              <w:t>accuReq</w:t>
            </w:r>
          </w:p>
        </w:tc>
        <w:tc>
          <w:tcPr>
            <w:tcW w:w="1477" w:type="dxa"/>
            <w:gridSpan w:val="2"/>
            <w:tcBorders>
              <w:top w:val="single" w:sz="6" w:space="0" w:color="auto"/>
              <w:left w:val="single" w:sz="6" w:space="0" w:color="auto"/>
              <w:bottom w:val="single" w:sz="6" w:space="0" w:color="auto"/>
              <w:right w:val="single" w:sz="6" w:space="0" w:color="auto"/>
            </w:tcBorders>
          </w:tcPr>
          <w:p w14:paraId="7AA731C1" w14:textId="77777777" w:rsidR="00C86FDB" w:rsidRDefault="00C86FDB" w:rsidP="00C86FDB">
            <w:pPr>
              <w:pStyle w:val="TAL"/>
            </w:pPr>
            <w:r>
              <w:t>AccuracyReq</w:t>
            </w:r>
          </w:p>
        </w:tc>
        <w:tc>
          <w:tcPr>
            <w:tcW w:w="361" w:type="dxa"/>
            <w:gridSpan w:val="2"/>
            <w:tcBorders>
              <w:top w:val="single" w:sz="6" w:space="0" w:color="auto"/>
              <w:left w:val="single" w:sz="6" w:space="0" w:color="auto"/>
              <w:bottom w:val="single" w:sz="6" w:space="0" w:color="auto"/>
              <w:right w:val="single" w:sz="6" w:space="0" w:color="auto"/>
            </w:tcBorders>
          </w:tcPr>
          <w:p w14:paraId="7B2CB664" w14:textId="77777777" w:rsidR="00C86FDB" w:rsidRDefault="00C86FDB" w:rsidP="00C86FDB">
            <w:pPr>
              <w:pStyle w:val="TAC"/>
              <w:rPr>
                <w:rFonts w:cs="Arial"/>
                <w:szCs w:val="18"/>
                <w:lang w:eastAsia="zh-CN"/>
              </w:rPr>
            </w:pPr>
            <w:r>
              <w:rPr>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7D5E0F23" w14:textId="77777777" w:rsidR="00C86FDB" w:rsidRDefault="00C86FDB" w:rsidP="00C86FDB">
            <w:pPr>
              <w:pStyle w:val="TAC"/>
              <w:rPr>
                <w:rFonts w:cs="Arial"/>
                <w:szCs w:val="18"/>
                <w:lang w:eastAsia="zh-CN"/>
              </w:rPr>
            </w:pPr>
            <w:r>
              <w:t>0..1</w:t>
            </w:r>
          </w:p>
        </w:tc>
        <w:tc>
          <w:tcPr>
            <w:tcW w:w="3324" w:type="dxa"/>
            <w:gridSpan w:val="2"/>
            <w:tcBorders>
              <w:top w:val="single" w:sz="6" w:space="0" w:color="auto"/>
              <w:left w:val="single" w:sz="6" w:space="0" w:color="auto"/>
              <w:bottom w:val="single" w:sz="6" w:space="0" w:color="auto"/>
              <w:right w:val="single" w:sz="6" w:space="0" w:color="auto"/>
            </w:tcBorders>
          </w:tcPr>
          <w:p w14:paraId="1C77B8D0" w14:textId="77777777" w:rsidR="00C86FDB" w:rsidRDefault="00C86FDB" w:rsidP="00C86FDB">
            <w:pPr>
              <w:pStyle w:val="TAL"/>
              <w:rPr>
                <w:lang w:val="en-US" w:eastAsia="zh-CN"/>
              </w:rPr>
            </w:pPr>
            <w:r>
              <w:rPr>
                <w:lang w:val="en-US" w:eastAsia="zh-CN"/>
              </w:rPr>
              <w:t xml:space="preserve">Represents the </w:t>
            </w:r>
            <w:r>
              <w:t>analytics accuracy requirement information</w:t>
            </w:r>
            <w:r>
              <w:rPr>
                <w:lang w:val="en-US" w:eastAsia="zh-CN"/>
              </w:rPr>
              <w:t>.</w:t>
            </w:r>
          </w:p>
          <w:p w14:paraId="37F9CA38" w14:textId="77777777" w:rsidR="00C86FDB" w:rsidRDefault="00C86FDB" w:rsidP="00C86FDB">
            <w:pPr>
              <w:pStyle w:val="TAL"/>
              <w:rPr>
                <w:lang w:val="en-US" w:eastAsia="zh-CN"/>
              </w:rPr>
            </w:pPr>
            <w:r>
              <w:rPr>
                <w:lang w:val="en-US" w:eastAsia="zh-CN"/>
              </w:rPr>
              <w:t>May be included as indication to the NWDAF (containing an AnLF supporting Accuracy checking capability) to activate checking the analytics accuracy information of the event.</w:t>
            </w:r>
          </w:p>
          <w:p w14:paraId="04CFAB33" w14:textId="77777777" w:rsidR="00C86FDB" w:rsidRDefault="00C86FDB" w:rsidP="00C86FDB">
            <w:pPr>
              <w:pStyle w:val="TAL"/>
              <w:rPr>
                <w:rFonts w:cs="Arial"/>
                <w:szCs w:val="18"/>
              </w:rPr>
            </w:pPr>
            <w:r>
              <w:t>(NOTE</w:t>
            </w:r>
            <w:r>
              <w:rPr>
                <w:lang w:eastAsia="zh-CN"/>
              </w:rPr>
              <w:t> 21)</w:t>
            </w:r>
          </w:p>
        </w:tc>
        <w:tc>
          <w:tcPr>
            <w:tcW w:w="1481" w:type="dxa"/>
            <w:gridSpan w:val="3"/>
            <w:tcBorders>
              <w:top w:val="single" w:sz="6" w:space="0" w:color="auto"/>
              <w:left w:val="single" w:sz="6" w:space="0" w:color="auto"/>
              <w:bottom w:val="single" w:sz="6" w:space="0" w:color="auto"/>
              <w:right w:val="single" w:sz="6" w:space="0" w:color="auto"/>
            </w:tcBorders>
          </w:tcPr>
          <w:p w14:paraId="2DE789BD" w14:textId="77777777" w:rsidR="00C86FDB" w:rsidRDefault="00C86FDB" w:rsidP="00C86FDB">
            <w:pPr>
              <w:pStyle w:val="TAL"/>
              <w:rPr>
                <w:rFonts w:cs="Arial"/>
                <w:szCs w:val="18"/>
              </w:rPr>
            </w:pPr>
            <w:r>
              <w:rPr>
                <w:lang w:eastAsia="zh-CN"/>
              </w:rPr>
              <w:t>AnalyticsAccuracy</w:t>
            </w:r>
          </w:p>
        </w:tc>
      </w:tr>
      <w:tr w:rsidR="00C86FDB" w14:paraId="65632DB6"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42EF2253" w14:textId="77777777" w:rsidR="00C86FDB" w:rsidRDefault="00C86FDB" w:rsidP="00C86FDB">
            <w:pPr>
              <w:pStyle w:val="TAL"/>
              <w:rPr>
                <w:lang w:eastAsia="zh-CN"/>
              </w:rPr>
            </w:pPr>
            <w:r>
              <w:rPr>
                <w:lang w:eastAsia="zh-CN"/>
              </w:rPr>
              <w:t>movBehavReqs</w:t>
            </w:r>
          </w:p>
        </w:tc>
        <w:tc>
          <w:tcPr>
            <w:tcW w:w="1477" w:type="dxa"/>
            <w:gridSpan w:val="2"/>
            <w:tcBorders>
              <w:top w:val="single" w:sz="6" w:space="0" w:color="auto"/>
              <w:left w:val="single" w:sz="6" w:space="0" w:color="auto"/>
              <w:bottom w:val="single" w:sz="6" w:space="0" w:color="auto"/>
              <w:right w:val="single" w:sz="6" w:space="0" w:color="auto"/>
            </w:tcBorders>
          </w:tcPr>
          <w:p w14:paraId="6B04A94F" w14:textId="77777777" w:rsidR="00C86FDB" w:rsidRDefault="00C86FDB" w:rsidP="00C86FDB">
            <w:pPr>
              <w:pStyle w:val="TAL"/>
            </w:pPr>
            <w:r>
              <w:rPr>
                <w:rFonts w:eastAsia="等线"/>
              </w:rPr>
              <w:t>array(</w:t>
            </w:r>
            <w:r>
              <w:rPr>
                <w:lang w:eastAsia="zh-CN"/>
              </w:rPr>
              <w:t>MovBehavReq</w:t>
            </w:r>
            <w:r>
              <w:rPr>
                <w:rFonts w:eastAsia="等线"/>
              </w:rPr>
              <w:t>)</w:t>
            </w:r>
          </w:p>
        </w:tc>
        <w:tc>
          <w:tcPr>
            <w:tcW w:w="361" w:type="dxa"/>
            <w:gridSpan w:val="2"/>
            <w:tcBorders>
              <w:top w:val="single" w:sz="6" w:space="0" w:color="auto"/>
              <w:left w:val="single" w:sz="6" w:space="0" w:color="auto"/>
              <w:bottom w:val="single" w:sz="6" w:space="0" w:color="auto"/>
              <w:right w:val="single" w:sz="6" w:space="0" w:color="auto"/>
            </w:tcBorders>
          </w:tcPr>
          <w:p w14:paraId="2CE02FC4" w14:textId="77777777" w:rsidR="00C86FDB" w:rsidRDefault="00C86FDB" w:rsidP="00C86FDB">
            <w:pPr>
              <w:pStyle w:val="TAC"/>
              <w:rPr>
                <w:lang w:eastAsia="ja-JP"/>
              </w:rPr>
            </w:pPr>
            <w:r>
              <w:rPr>
                <w:lang w:eastAsia="ja-JP"/>
              </w:rPr>
              <w:t>O</w:t>
            </w:r>
          </w:p>
        </w:tc>
        <w:tc>
          <w:tcPr>
            <w:tcW w:w="1172" w:type="dxa"/>
            <w:gridSpan w:val="2"/>
            <w:tcBorders>
              <w:top w:val="single" w:sz="6" w:space="0" w:color="auto"/>
              <w:left w:val="single" w:sz="6" w:space="0" w:color="auto"/>
              <w:bottom w:val="single" w:sz="6" w:space="0" w:color="auto"/>
              <w:right w:val="single" w:sz="6" w:space="0" w:color="auto"/>
            </w:tcBorders>
          </w:tcPr>
          <w:p w14:paraId="2F95339E" w14:textId="77777777" w:rsidR="00C86FDB" w:rsidRDefault="00C86FDB" w:rsidP="00C86FDB">
            <w:pPr>
              <w:pStyle w:val="TAC"/>
            </w:pPr>
            <w:r>
              <w:t>1</w:t>
            </w:r>
            <w:r>
              <w:rPr>
                <w:rFonts w:cs="Arial"/>
                <w:szCs w:val="18"/>
                <w:lang w:eastAsia="zh-CN"/>
              </w:rPr>
              <w:t>..N</w:t>
            </w:r>
          </w:p>
        </w:tc>
        <w:tc>
          <w:tcPr>
            <w:tcW w:w="3335" w:type="dxa"/>
            <w:gridSpan w:val="3"/>
            <w:tcBorders>
              <w:top w:val="single" w:sz="6" w:space="0" w:color="auto"/>
              <w:left w:val="single" w:sz="6" w:space="0" w:color="auto"/>
              <w:bottom w:val="single" w:sz="6" w:space="0" w:color="auto"/>
              <w:right w:val="single" w:sz="6" w:space="0" w:color="auto"/>
            </w:tcBorders>
          </w:tcPr>
          <w:p w14:paraId="09E9FDD5" w14:textId="77777777" w:rsidR="00C86FDB" w:rsidRDefault="00C86FDB" w:rsidP="00C86FDB">
            <w:pPr>
              <w:pStyle w:val="TAL"/>
              <w:rPr>
                <w:lang w:val="en-US" w:eastAsia="zh-CN"/>
              </w:rPr>
            </w:pPr>
            <w:r>
              <w:rPr>
                <w:lang w:val="en-US" w:eastAsia="zh-CN"/>
              </w:rPr>
              <w:t xml:space="preserve">Represents the </w:t>
            </w:r>
            <w:r>
              <w:rPr>
                <w:lang w:eastAsia="zh-CN"/>
              </w:rPr>
              <w:t>Movement Behaviour</w:t>
            </w:r>
            <w:r>
              <w:rPr>
                <w:lang w:val="en-US" w:eastAsia="zh-CN"/>
              </w:rPr>
              <w:t xml:space="preserve"> analytics requirements.</w:t>
            </w:r>
          </w:p>
        </w:tc>
        <w:tc>
          <w:tcPr>
            <w:tcW w:w="1500" w:type="dxa"/>
            <w:gridSpan w:val="3"/>
            <w:tcBorders>
              <w:top w:val="single" w:sz="6" w:space="0" w:color="auto"/>
              <w:left w:val="single" w:sz="6" w:space="0" w:color="auto"/>
              <w:bottom w:val="single" w:sz="6" w:space="0" w:color="auto"/>
              <w:right w:val="single" w:sz="6" w:space="0" w:color="auto"/>
            </w:tcBorders>
          </w:tcPr>
          <w:p w14:paraId="70BB8827" w14:textId="77777777" w:rsidR="00C86FDB" w:rsidRDefault="00C86FDB" w:rsidP="00C86FDB">
            <w:pPr>
              <w:pStyle w:val="TAL"/>
              <w:rPr>
                <w:lang w:eastAsia="zh-CN"/>
              </w:rPr>
            </w:pPr>
            <w:r>
              <w:rPr>
                <w:lang w:eastAsia="zh-CN"/>
              </w:rPr>
              <w:t>MovementBehaviour</w:t>
            </w:r>
          </w:p>
        </w:tc>
      </w:tr>
      <w:tr w:rsidR="00C86FDB" w14:paraId="265C14A8"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28DD8E8A" w14:textId="77777777" w:rsidR="00C86FDB" w:rsidRDefault="00C86FDB" w:rsidP="00C86FDB">
            <w:pPr>
              <w:pStyle w:val="TAL"/>
              <w:rPr>
                <w:lang w:eastAsia="zh-CN"/>
              </w:rPr>
            </w:pPr>
            <w:r>
              <w:rPr>
                <w:lang w:eastAsia="zh-CN"/>
              </w:rPr>
              <w:t>relProxReqs</w:t>
            </w:r>
          </w:p>
        </w:tc>
        <w:tc>
          <w:tcPr>
            <w:tcW w:w="1477" w:type="dxa"/>
            <w:gridSpan w:val="2"/>
            <w:tcBorders>
              <w:top w:val="single" w:sz="6" w:space="0" w:color="auto"/>
              <w:left w:val="single" w:sz="6" w:space="0" w:color="auto"/>
              <w:bottom w:val="single" w:sz="6" w:space="0" w:color="auto"/>
              <w:right w:val="single" w:sz="6" w:space="0" w:color="auto"/>
            </w:tcBorders>
          </w:tcPr>
          <w:p w14:paraId="56B1FB6E" w14:textId="77777777" w:rsidR="00C86FDB" w:rsidRDefault="00C86FDB" w:rsidP="00C86FDB">
            <w:pPr>
              <w:pStyle w:val="TAL"/>
              <w:rPr>
                <w:rFonts w:eastAsia="等线"/>
              </w:rPr>
            </w:pPr>
            <w:r>
              <w:t>array(RelProxReq)</w:t>
            </w:r>
          </w:p>
        </w:tc>
        <w:tc>
          <w:tcPr>
            <w:tcW w:w="361" w:type="dxa"/>
            <w:gridSpan w:val="2"/>
            <w:tcBorders>
              <w:top w:val="single" w:sz="6" w:space="0" w:color="auto"/>
              <w:left w:val="single" w:sz="6" w:space="0" w:color="auto"/>
              <w:bottom w:val="single" w:sz="6" w:space="0" w:color="auto"/>
              <w:right w:val="single" w:sz="6" w:space="0" w:color="auto"/>
            </w:tcBorders>
          </w:tcPr>
          <w:p w14:paraId="050786C1" w14:textId="77777777" w:rsidR="00C86FDB" w:rsidRDefault="00C86FDB" w:rsidP="00C86FDB">
            <w:pPr>
              <w:pStyle w:val="TAC"/>
              <w:rPr>
                <w:lang w:eastAsia="ja-JP"/>
              </w:rPr>
            </w:pPr>
            <w:r>
              <w:rPr>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0CC93AC9" w14:textId="77777777" w:rsidR="00C86FDB" w:rsidRDefault="00C86FDB" w:rsidP="00C86FDB">
            <w:pPr>
              <w:pStyle w:val="TAC"/>
            </w:pPr>
            <w:r>
              <w:t>1..N</w:t>
            </w:r>
          </w:p>
        </w:tc>
        <w:tc>
          <w:tcPr>
            <w:tcW w:w="3335" w:type="dxa"/>
            <w:gridSpan w:val="3"/>
            <w:tcBorders>
              <w:top w:val="single" w:sz="6" w:space="0" w:color="auto"/>
              <w:left w:val="single" w:sz="6" w:space="0" w:color="auto"/>
              <w:bottom w:val="single" w:sz="6" w:space="0" w:color="auto"/>
              <w:right w:val="single" w:sz="6" w:space="0" w:color="auto"/>
            </w:tcBorders>
          </w:tcPr>
          <w:p w14:paraId="1EE0EBFE" w14:textId="77777777" w:rsidR="00C86FDB" w:rsidRDefault="00C86FDB" w:rsidP="00C86FDB">
            <w:pPr>
              <w:pStyle w:val="TAL"/>
              <w:rPr>
                <w:lang w:val="en-US" w:eastAsia="zh-CN"/>
              </w:rPr>
            </w:pPr>
            <w:r>
              <w:rPr>
                <w:lang w:val="en-US" w:eastAsia="zh-CN"/>
              </w:rPr>
              <w:t>Represents the Relative Proximity analytics requirements.</w:t>
            </w:r>
          </w:p>
        </w:tc>
        <w:tc>
          <w:tcPr>
            <w:tcW w:w="1500" w:type="dxa"/>
            <w:gridSpan w:val="3"/>
            <w:tcBorders>
              <w:top w:val="single" w:sz="6" w:space="0" w:color="auto"/>
              <w:left w:val="single" w:sz="6" w:space="0" w:color="auto"/>
              <w:bottom w:val="single" w:sz="6" w:space="0" w:color="auto"/>
              <w:right w:val="single" w:sz="6" w:space="0" w:color="auto"/>
            </w:tcBorders>
          </w:tcPr>
          <w:p w14:paraId="35CA20E0" w14:textId="77777777" w:rsidR="00C86FDB" w:rsidRDefault="00C86FDB" w:rsidP="00C86FDB">
            <w:pPr>
              <w:pStyle w:val="TAL"/>
              <w:rPr>
                <w:lang w:eastAsia="zh-CN"/>
              </w:rPr>
            </w:pPr>
            <w:r>
              <w:rPr>
                <w:lang w:eastAsia="zh-CN"/>
              </w:rPr>
              <w:t>RelativeProximity</w:t>
            </w:r>
          </w:p>
        </w:tc>
      </w:tr>
      <w:tr w:rsidR="00432DC2" w14:paraId="3170981F"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35913E5C" w14:textId="77777777" w:rsidR="00432DC2" w:rsidRDefault="00432DC2" w:rsidP="00432DC2">
            <w:pPr>
              <w:pStyle w:val="TAL"/>
              <w:rPr>
                <w:lang w:eastAsia="zh-CN"/>
              </w:rPr>
            </w:pPr>
            <w:r>
              <w:rPr>
                <w:lang w:eastAsia="zh-CN"/>
              </w:rPr>
              <w:t>sigStormReqs</w:t>
            </w:r>
          </w:p>
        </w:tc>
        <w:tc>
          <w:tcPr>
            <w:tcW w:w="1477" w:type="dxa"/>
            <w:gridSpan w:val="2"/>
            <w:tcBorders>
              <w:top w:val="single" w:sz="6" w:space="0" w:color="auto"/>
              <w:left w:val="single" w:sz="6" w:space="0" w:color="auto"/>
              <w:bottom w:val="single" w:sz="6" w:space="0" w:color="auto"/>
              <w:right w:val="single" w:sz="6" w:space="0" w:color="auto"/>
            </w:tcBorders>
          </w:tcPr>
          <w:p w14:paraId="20121449" w14:textId="77777777" w:rsidR="00432DC2" w:rsidRDefault="00432DC2" w:rsidP="00432DC2">
            <w:pPr>
              <w:pStyle w:val="TAL"/>
            </w:pPr>
            <w:r>
              <w:t>array(SignalStormReq)</w:t>
            </w:r>
          </w:p>
        </w:tc>
        <w:tc>
          <w:tcPr>
            <w:tcW w:w="361" w:type="dxa"/>
            <w:gridSpan w:val="2"/>
            <w:tcBorders>
              <w:top w:val="single" w:sz="6" w:space="0" w:color="auto"/>
              <w:left w:val="single" w:sz="6" w:space="0" w:color="auto"/>
              <w:bottom w:val="single" w:sz="6" w:space="0" w:color="auto"/>
              <w:right w:val="single" w:sz="6" w:space="0" w:color="auto"/>
            </w:tcBorders>
          </w:tcPr>
          <w:p w14:paraId="70A0E538" w14:textId="77777777" w:rsidR="00432DC2" w:rsidRDefault="00432DC2" w:rsidP="00432DC2">
            <w:pPr>
              <w:pStyle w:val="TAC"/>
              <w:rPr>
                <w:lang w:eastAsia="zh-CN"/>
              </w:rPr>
            </w:pPr>
            <w:r>
              <w:rPr>
                <w:lang w:eastAsia="zh-CN"/>
              </w:rPr>
              <w:t>O</w:t>
            </w:r>
          </w:p>
        </w:tc>
        <w:tc>
          <w:tcPr>
            <w:tcW w:w="1172" w:type="dxa"/>
            <w:gridSpan w:val="2"/>
            <w:tcBorders>
              <w:top w:val="single" w:sz="6" w:space="0" w:color="auto"/>
              <w:left w:val="single" w:sz="6" w:space="0" w:color="auto"/>
              <w:bottom w:val="single" w:sz="6" w:space="0" w:color="auto"/>
              <w:right w:val="single" w:sz="6" w:space="0" w:color="auto"/>
            </w:tcBorders>
          </w:tcPr>
          <w:p w14:paraId="67869817" w14:textId="77777777" w:rsidR="00432DC2" w:rsidRDefault="00432DC2" w:rsidP="00432DC2">
            <w:pPr>
              <w:pStyle w:val="TAC"/>
            </w:pPr>
            <w:r>
              <w:t>1..N</w:t>
            </w:r>
          </w:p>
        </w:tc>
        <w:tc>
          <w:tcPr>
            <w:tcW w:w="3335" w:type="dxa"/>
            <w:gridSpan w:val="3"/>
            <w:tcBorders>
              <w:top w:val="single" w:sz="6" w:space="0" w:color="auto"/>
              <w:left w:val="single" w:sz="6" w:space="0" w:color="auto"/>
              <w:bottom w:val="single" w:sz="6" w:space="0" w:color="auto"/>
              <w:right w:val="single" w:sz="6" w:space="0" w:color="auto"/>
            </w:tcBorders>
          </w:tcPr>
          <w:p w14:paraId="3185A936" w14:textId="77777777" w:rsidR="00432DC2" w:rsidRDefault="00432DC2" w:rsidP="00432DC2">
            <w:pPr>
              <w:pStyle w:val="TAL"/>
              <w:rPr>
                <w:lang w:val="en-US" w:eastAsia="zh-CN"/>
              </w:rPr>
            </w:pPr>
            <w:r>
              <w:t xml:space="preserve">Represents the </w:t>
            </w:r>
            <w:r>
              <w:rPr>
                <w:rFonts w:eastAsia="Malgun Gothic"/>
                <w:lang w:eastAsia="ko-KR"/>
              </w:rPr>
              <w:t>signalling storm</w:t>
            </w:r>
            <w:r>
              <w:t xml:space="preserve"> </w:t>
            </w:r>
            <w:r>
              <w:rPr>
                <w:lang w:val="en-US" w:eastAsia="zh-CN"/>
              </w:rPr>
              <w:t xml:space="preserve">analytics </w:t>
            </w:r>
            <w:r>
              <w:t>requirements. This attribute may be included when the "event-id" is "SIGNALLING_STORM".</w:t>
            </w:r>
          </w:p>
        </w:tc>
        <w:tc>
          <w:tcPr>
            <w:tcW w:w="1500" w:type="dxa"/>
            <w:gridSpan w:val="3"/>
            <w:tcBorders>
              <w:top w:val="single" w:sz="6" w:space="0" w:color="auto"/>
              <w:left w:val="single" w:sz="6" w:space="0" w:color="auto"/>
              <w:bottom w:val="single" w:sz="6" w:space="0" w:color="auto"/>
              <w:right w:val="single" w:sz="6" w:space="0" w:color="auto"/>
            </w:tcBorders>
          </w:tcPr>
          <w:p w14:paraId="6FB943F2" w14:textId="77777777" w:rsidR="00432DC2" w:rsidRDefault="00432DC2" w:rsidP="00432DC2">
            <w:pPr>
              <w:pStyle w:val="TAL"/>
              <w:rPr>
                <w:lang w:eastAsia="zh-CN"/>
              </w:rPr>
            </w:pPr>
            <w:r>
              <w:t>S</w:t>
            </w:r>
            <w:r w:rsidRPr="001C406B">
              <w:t>ignalling</w:t>
            </w:r>
            <w:r>
              <w:t>S</w:t>
            </w:r>
            <w:r w:rsidRPr="001C406B">
              <w:t>torm</w:t>
            </w:r>
          </w:p>
        </w:tc>
      </w:tr>
      <w:tr w:rsidR="00CD748D" w14:paraId="45ACE419" w14:textId="77777777" w:rsidTr="005A20DD">
        <w:trPr>
          <w:gridBefore w:val="2"/>
          <w:wBefore w:w="48" w:type="dxa"/>
          <w:jc w:val="center"/>
        </w:trPr>
        <w:tc>
          <w:tcPr>
            <w:tcW w:w="1522" w:type="dxa"/>
            <w:gridSpan w:val="2"/>
            <w:tcBorders>
              <w:top w:val="single" w:sz="6" w:space="0" w:color="auto"/>
              <w:left w:val="single" w:sz="6" w:space="0" w:color="auto"/>
              <w:bottom w:val="single" w:sz="6" w:space="0" w:color="auto"/>
              <w:right w:val="single" w:sz="6" w:space="0" w:color="auto"/>
            </w:tcBorders>
          </w:tcPr>
          <w:p w14:paraId="4788A4D1" w14:textId="77777777" w:rsidR="00CD748D" w:rsidRDefault="00CD748D" w:rsidP="00CD748D">
            <w:pPr>
              <w:pStyle w:val="TAL"/>
              <w:rPr>
                <w:lang w:eastAsia="zh-CN"/>
              </w:rPr>
            </w:pPr>
            <w:r>
              <w:rPr>
                <w:rFonts w:hint="eastAsia"/>
                <w:lang w:eastAsia="zh-CN"/>
              </w:rPr>
              <w:t>q</w:t>
            </w:r>
            <w:r>
              <w:rPr>
                <w:lang w:eastAsia="zh-CN"/>
              </w:rPr>
              <w:t>osPlyAssistReqs</w:t>
            </w:r>
          </w:p>
        </w:tc>
        <w:tc>
          <w:tcPr>
            <w:tcW w:w="1477" w:type="dxa"/>
            <w:gridSpan w:val="2"/>
            <w:tcBorders>
              <w:top w:val="single" w:sz="6" w:space="0" w:color="auto"/>
              <w:left w:val="single" w:sz="6" w:space="0" w:color="auto"/>
              <w:bottom w:val="single" w:sz="6" w:space="0" w:color="auto"/>
              <w:right w:val="single" w:sz="6" w:space="0" w:color="auto"/>
            </w:tcBorders>
          </w:tcPr>
          <w:p w14:paraId="6027D1AC" w14:textId="77777777" w:rsidR="00CD748D" w:rsidRDefault="00CD748D" w:rsidP="00CD748D">
            <w:pPr>
              <w:pStyle w:val="TAL"/>
            </w:pPr>
            <w:r>
              <w:t>array(QosPolicyAssistReq)</w:t>
            </w:r>
          </w:p>
        </w:tc>
        <w:tc>
          <w:tcPr>
            <w:tcW w:w="361" w:type="dxa"/>
            <w:gridSpan w:val="2"/>
            <w:tcBorders>
              <w:top w:val="single" w:sz="6" w:space="0" w:color="auto"/>
              <w:left w:val="single" w:sz="6" w:space="0" w:color="auto"/>
              <w:bottom w:val="single" w:sz="6" w:space="0" w:color="auto"/>
              <w:right w:val="single" w:sz="6" w:space="0" w:color="auto"/>
            </w:tcBorders>
          </w:tcPr>
          <w:p w14:paraId="72A394F7" w14:textId="77777777" w:rsidR="00CD748D" w:rsidRDefault="00CD748D" w:rsidP="00CD748D">
            <w:pPr>
              <w:pStyle w:val="TAC"/>
              <w:rPr>
                <w:lang w:eastAsia="zh-CN"/>
              </w:rPr>
            </w:pPr>
            <w:r>
              <w:rPr>
                <w:lang w:eastAsia="zh-CN"/>
              </w:rPr>
              <w:t>C</w:t>
            </w:r>
          </w:p>
        </w:tc>
        <w:tc>
          <w:tcPr>
            <w:tcW w:w="1172" w:type="dxa"/>
            <w:gridSpan w:val="2"/>
            <w:tcBorders>
              <w:top w:val="single" w:sz="6" w:space="0" w:color="auto"/>
              <w:left w:val="single" w:sz="6" w:space="0" w:color="auto"/>
              <w:bottom w:val="single" w:sz="6" w:space="0" w:color="auto"/>
              <w:right w:val="single" w:sz="6" w:space="0" w:color="auto"/>
            </w:tcBorders>
          </w:tcPr>
          <w:p w14:paraId="0896ADA3" w14:textId="77777777" w:rsidR="00CD748D" w:rsidRDefault="00CD748D" w:rsidP="00CD748D">
            <w:pPr>
              <w:pStyle w:val="TAC"/>
            </w:pPr>
            <w:r>
              <w:t>1..N</w:t>
            </w:r>
          </w:p>
        </w:tc>
        <w:tc>
          <w:tcPr>
            <w:tcW w:w="3335" w:type="dxa"/>
            <w:gridSpan w:val="3"/>
            <w:tcBorders>
              <w:top w:val="single" w:sz="6" w:space="0" w:color="auto"/>
              <w:left w:val="single" w:sz="6" w:space="0" w:color="auto"/>
              <w:bottom w:val="single" w:sz="6" w:space="0" w:color="auto"/>
              <w:right w:val="single" w:sz="6" w:space="0" w:color="auto"/>
            </w:tcBorders>
          </w:tcPr>
          <w:p w14:paraId="178FFAE4" w14:textId="77777777" w:rsidR="00CD748D" w:rsidRDefault="00CD748D" w:rsidP="00CD748D">
            <w:pPr>
              <w:pStyle w:val="TAL"/>
            </w:pPr>
            <w:r>
              <w:t>Represents the QoS and Policy Assistance analytics requirements. This attribute shall be included when the "event-id" is "</w:t>
            </w:r>
            <w:r>
              <w:rPr>
                <w:lang w:eastAsia="zh-CN"/>
              </w:rPr>
              <w:t>QOS_POLICY_ASSISTANCE</w:t>
            </w:r>
            <w:r>
              <w:t>".</w:t>
            </w:r>
          </w:p>
        </w:tc>
        <w:tc>
          <w:tcPr>
            <w:tcW w:w="1500" w:type="dxa"/>
            <w:gridSpan w:val="3"/>
            <w:tcBorders>
              <w:top w:val="single" w:sz="6" w:space="0" w:color="auto"/>
              <w:left w:val="single" w:sz="6" w:space="0" w:color="auto"/>
              <w:bottom w:val="single" w:sz="6" w:space="0" w:color="auto"/>
              <w:right w:val="single" w:sz="6" w:space="0" w:color="auto"/>
            </w:tcBorders>
          </w:tcPr>
          <w:p w14:paraId="0998CAE8" w14:textId="77777777" w:rsidR="00CD748D" w:rsidRDefault="00CD748D" w:rsidP="00CD748D">
            <w:pPr>
              <w:pStyle w:val="TAL"/>
            </w:pPr>
            <w:r>
              <w:rPr>
                <w:rFonts w:hint="eastAsia"/>
                <w:lang w:eastAsia="zh-CN"/>
              </w:rPr>
              <w:t>Q</w:t>
            </w:r>
            <w:r>
              <w:rPr>
                <w:lang w:eastAsia="zh-CN"/>
              </w:rPr>
              <w:t>oSPolicyAssist</w:t>
            </w:r>
          </w:p>
        </w:tc>
      </w:tr>
      <w:tr w:rsidR="00C86FDB" w14:paraId="112F3088" w14:textId="77777777" w:rsidTr="005A20DD">
        <w:trPr>
          <w:gridAfter w:val="2"/>
          <w:wAfter w:w="77" w:type="dxa"/>
          <w:jc w:val="center"/>
        </w:trPr>
        <w:tc>
          <w:tcPr>
            <w:tcW w:w="9338" w:type="dxa"/>
            <w:gridSpan w:val="14"/>
          </w:tcPr>
          <w:p w14:paraId="14B7674E" w14:textId="77777777" w:rsidR="00432DC2" w:rsidRDefault="00432DC2" w:rsidP="00432DC2">
            <w:pPr>
              <w:pStyle w:val="TAN"/>
            </w:pPr>
            <w:r>
              <w:lastRenderedPageBreak/>
              <w:t>NOTE 1:</w:t>
            </w:r>
            <w:r>
              <w:tab/>
              <w:t>The "anySlice" attribute is not applicable to features "UeMobility" and "NetworkPerformance". The "snssais" attribute is not applicable to features "ServiceExperience", "NsiLoad", "UeMobility" and "NetworkPerformance". When event-id in the request is "LOAD_LEVEL_INFORMATION", the identifications of network slices, either information about slice(s) identified by the "snssais" attribute, or "anySlice" set to "true", shall be included. When the requested event</w:t>
            </w:r>
            <w:r>
              <w:rPr>
                <w:rFonts w:eastAsia="Batang"/>
              </w:rPr>
              <w:t>-id</w:t>
            </w:r>
            <w:r>
              <w:t xml:space="preserve"> is "NSI_LOAD_LEVEL" or "SERVICE_EXPERIENCE", either the "nsiIdInfos" attribute or anySlice set to "true" shall be included. When the requested event</w:t>
            </w:r>
            <w:r>
              <w:rPr>
                <w:rFonts w:eastAsia="Batang"/>
              </w:rPr>
              <w:t>-id</w:t>
            </w:r>
            <w:r>
              <w:t xml:space="preserve"> is "QOS_SUSTAINABILITY", "NF_LOAD", "UE_COMM", "ABNORMAL_BEHAVIOUR", "USER_DATA_CONGESTION", "DISPERSION" "RED_TRANS_EXP", "PDU_SESSION_TRAFFIC", "RELATIVE_PROXIMITY" or "SIGNALLING_STORM", the identifications of network slices identified by the "snssais" attribute is optional.</w:t>
            </w:r>
          </w:p>
          <w:p w14:paraId="5B02D51B" w14:textId="77777777" w:rsidR="007862A2" w:rsidRDefault="00C86FDB" w:rsidP="007862A2">
            <w:pPr>
              <w:pStyle w:val="TAN"/>
              <w:rPr>
                <w:rFonts w:cs="Arial"/>
                <w:szCs w:val="18"/>
              </w:rPr>
            </w:pPr>
            <w:r>
              <w:rPr>
                <w:rFonts w:cs="Arial"/>
                <w:szCs w:val="18"/>
              </w:rPr>
              <w:t>NOTE 2:</w:t>
            </w:r>
            <w:r>
              <w:rPr>
                <w:rFonts w:cs="Arial"/>
                <w:szCs w:val="18"/>
              </w:rPr>
              <w:tab/>
            </w:r>
            <w:r w:rsidR="007862A2">
              <w:t>For different events, the following rules apply:</w:t>
            </w:r>
            <w:r w:rsidR="007862A2">
              <w:rPr>
                <w:rFonts w:cs="Arial"/>
                <w:szCs w:val="18"/>
              </w:rPr>
              <w:t xml:space="preserve"> </w:t>
            </w:r>
          </w:p>
          <w:p w14:paraId="16B64860" w14:textId="77777777" w:rsidR="007862A2" w:rsidRDefault="007862A2" w:rsidP="007862A2">
            <w:pPr>
              <w:pStyle w:val="TAN"/>
              <w:ind w:left="1135" w:hanging="284"/>
              <w:rPr>
                <w:rFonts w:cs="Arial"/>
                <w:szCs w:val="18"/>
              </w:rPr>
            </w:pPr>
            <w:r>
              <w:rPr>
                <w:rFonts w:cs="Arial"/>
                <w:szCs w:val="18"/>
              </w:rPr>
              <w:t>-</w:t>
            </w:r>
            <w:r>
              <w:rPr>
                <w:rFonts w:cs="Arial"/>
                <w:szCs w:val="18"/>
              </w:rPr>
              <w:tab/>
              <w:t>For "NETWORK_PERFORMANCE" or "USER_DATA_CONGESTION" event, the "</w:t>
            </w:r>
            <w:r>
              <w:t>networkArea</w:t>
            </w:r>
            <w:r>
              <w:rPr>
                <w:rFonts w:cs="Arial"/>
                <w:szCs w:val="18"/>
              </w:rPr>
              <w:t>"attribute shall be provided if the event applied for all UEs (i.e. "anyUe" attribute set to true).</w:t>
            </w:r>
          </w:p>
          <w:p w14:paraId="6A033D00" w14:textId="77777777" w:rsidR="007862A2" w:rsidRDefault="007862A2" w:rsidP="007862A2">
            <w:pPr>
              <w:pStyle w:val="TAN"/>
              <w:ind w:left="1135" w:hanging="284"/>
              <w:rPr>
                <w:rFonts w:cs="Arial"/>
                <w:szCs w:val="18"/>
              </w:rPr>
            </w:pPr>
            <w:r>
              <w:rPr>
                <w:rFonts w:cs="Arial"/>
                <w:szCs w:val="18"/>
              </w:rPr>
              <w:t>-</w:t>
            </w:r>
            <w:r>
              <w:rPr>
                <w:rFonts w:cs="Arial"/>
                <w:szCs w:val="18"/>
              </w:rPr>
              <w:tab/>
              <w:t>For "QOS_SUSTAINABILITY", at least one of "</w:t>
            </w:r>
            <w:r>
              <w:t>networkArea</w:t>
            </w:r>
            <w:r>
              <w:rPr>
                <w:rFonts w:cs="Arial"/>
                <w:szCs w:val="18"/>
              </w:rPr>
              <w:t>"</w:t>
            </w:r>
            <w:r>
              <w:t xml:space="preserve"> and </w:t>
            </w:r>
            <w:r>
              <w:rPr>
                <w:rFonts w:cs="Arial"/>
                <w:szCs w:val="18"/>
              </w:rPr>
              <w:t>"</w:t>
            </w:r>
            <w:r>
              <w:t>fineGranAreas</w:t>
            </w:r>
            <w:r>
              <w:rPr>
                <w:rFonts w:cs="Arial"/>
                <w:szCs w:val="18"/>
              </w:rPr>
              <w:t>" attributes shall be provided.</w:t>
            </w:r>
          </w:p>
          <w:p w14:paraId="194816B3" w14:textId="77777777" w:rsidR="007862A2" w:rsidRDefault="007862A2" w:rsidP="007862A2">
            <w:pPr>
              <w:pStyle w:val="TAN"/>
              <w:ind w:left="1135" w:hanging="284"/>
              <w:rPr>
                <w:rFonts w:cs="Arial"/>
                <w:szCs w:val="18"/>
              </w:rPr>
            </w:pPr>
            <w:r>
              <w:rPr>
                <w:rFonts w:cs="Arial"/>
                <w:szCs w:val="18"/>
              </w:rPr>
              <w:t>-</w:t>
            </w:r>
            <w:r>
              <w:rPr>
                <w:rFonts w:cs="Arial"/>
                <w:szCs w:val="18"/>
              </w:rPr>
              <w:tab/>
              <w:t>For "E2E_DATA_VOL_TRANS_TIME", the "</w:t>
            </w:r>
            <w:r>
              <w:t>networkArea</w:t>
            </w:r>
            <w:r>
              <w:rPr>
                <w:rFonts w:cs="Arial"/>
                <w:szCs w:val="18"/>
              </w:rPr>
              <w:t>"attribute shall be provided.</w:t>
            </w:r>
          </w:p>
          <w:p w14:paraId="7D9B8181" w14:textId="77777777" w:rsidR="007862A2" w:rsidRDefault="007862A2" w:rsidP="007862A2">
            <w:pPr>
              <w:pStyle w:val="TAN"/>
              <w:ind w:left="1135" w:hanging="284"/>
              <w:rPr>
                <w:rFonts w:cs="Arial"/>
                <w:szCs w:val="18"/>
              </w:rPr>
            </w:pPr>
            <w:r>
              <w:rPr>
                <w:rFonts w:cs="Arial" w:hint="eastAsia"/>
                <w:szCs w:val="18"/>
              </w:rPr>
              <w:t>-</w:t>
            </w:r>
            <w:r>
              <w:rPr>
                <w:rFonts w:cs="Arial"/>
                <w:szCs w:val="18"/>
              </w:rPr>
              <w:tab/>
              <w:t xml:space="preserve">For </w:t>
            </w:r>
            <w:r>
              <w:t xml:space="preserve">"MOVEMENT_BEHAVIOUR", </w:t>
            </w:r>
            <w:r w:rsidRPr="00745F04">
              <w:t>at leas</w:t>
            </w:r>
            <w:r>
              <w:t>t</w:t>
            </w:r>
            <w:r w:rsidRPr="00745F04">
              <w:t xml:space="preserve"> one of</w:t>
            </w:r>
            <w:r>
              <w:t xml:space="preserve"> the</w:t>
            </w:r>
            <w:r>
              <w:rPr>
                <w:rFonts w:cs="Arial"/>
                <w:szCs w:val="18"/>
              </w:rPr>
              <w:t xml:space="preserve"> "</w:t>
            </w:r>
            <w:r>
              <w:t>networkArea</w:t>
            </w:r>
            <w:r>
              <w:rPr>
                <w:rFonts w:cs="Arial"/>
                <w:szCs w:val="18"/>
              </w:rPr>
              <w:t xml:space="preserve">" </w:t>
            </w:r>
            <w:r w:rsidRPr="00745F04">
              <w:rPr>
                <w:rFonts w:cs="Arial"/>
                <w:szCs w:val="18"/>
              </w:rPr>
              <w:t>or "fineGranAreas"</w:t>
            </w:r>
            <w:r>
              <w:rPr>
                <w:rFonts w:cs="Arial"/>
                <w:szCs w:val="18"/>
              </w:rPr>
              <w:t xml:space="preserve"> attributes shall be provided.</w:t>
            </w:r>
          </w:p>
          <w:p w14:paraId="51C41FB5" w14:textId="77777777" w:rsidR="007862A2" w:rsidRDefault="007862A2" w:rsidP="007862A2">
            <w:pPr>
              <w:pStyle w:val="TAN"/>
              <w:ind w:left="1135" w:hanging="284"/>
              <w:rPr>
                <w:rFonts w:cs="Arial"/>
                <w:szCs w:val="18"/>
              </w:rPr>
            </w:pPr>
            <w:r>
              <w:rPr>
                <w:rFonts w:cs="Arial"/>
                <w:szCs w:val="18"/>
              </w:rPr>
              <w:t>-</w:t>
            </w:r>
            <w:r>
              <w:rPr>
                <w:rFonts w:cs="Arial"/>
                <w:szCs w:val="18"/>
              </w:rPr>
              <w:tab/>
              <w:t xml:space="preserve">For "SERVICE_EXPERIENCE" </w:t>
            </w:r>
            <w:r>
              <w:t>event</w:t>
            </w:r>
            <w:r>
              <w:rPr>
                <w:rFonts w:cs="Arial"/>
                <w:szCs w:val="18"/>
              </w:rPr>
              <w:t>, if the event applied for all UEs (i.e. "anyUe" attribute set to "true"): at least one of the "</w:t>
            </w:r>
            <w:r>
              <w:t>networkArea</w:t>
            </w:r>
            <w:r>
              <w:rPr>
                <w:rFonts w:cs="Arial"/>
                <w:szCs w:val="18"/>
              </w:rPr>
              <w:t>"</w:t>
            </w:r>
            <w:r>
              <w:t xml:space="preserve"> and </w:t>
            </w:r>
            <w:r>
              <w:rPr>
                <w:rFonts w:cs="Arial"/>
                <w:szCs w:val="18"/>
              </w:rPr>
              <w:t>"</w:t>
            </w:r>
            <w:r>
              <w:t>fineGranAreas</w:t>
            </w:r>
            <w:r>
              <w:rPr>
                <w:rFonts w:cs="Arial"/>
                <w:szCs w:val="18"/>
              </w:rPr>
              <w:t>" attributes shall be provided.</w:t>
            </w:r>
          </w:p>
          <w:p w14:paraId="6C0147AE" w14:textId="77777777" w:rsidR="00C86FDB" w:rsidRDefault="00C86FDB" w:rsidP="00C86FDB">
            <w:pPr>
              <w:pStyle w:val="TAN"/>
              <w:rPr>
                <w:rFonts w:cs="Arial"/>
                <w:szCs w:val="18"/>
              </w:rPr>
            </w:pPr>
            <w:r>
              <w:rPr>
                <w:rFonts w:cs="Arial"/>
                <w:szCs w:val="18"/>
              </w:rPr>
              <w:t>NOTE 3:</w:t>
            </w:r>
            <w:r>
              <w:rPr>
                <w:rFonts w:cs="Arial"/>
                <w:szCs w:val="18"/>
              </w:rPr>
              <w:tab/>
              <w:t>Either "excepIds" or "exptAnaType" shall be provided if event-id in the request is "ABNORMAL_BEHAVIOUR".</w:t>
            </w:r>
          </w:p>
          <w:p w14:paraId="0827D1C1" w14:textId="77777777" w:rsidR="00C86FDB" w:rsidRDefault="00C86FDB" w:rsidP="00C86FDB">
            <w:pPr>
              <w:pStyle w:val="TAN"/>
              <w:rPr>
                <w:rFonts w:cs="Arial"/>
                <w:szCs w:val="18"/>
              </w:rPr>
            </w:pPr>
            <w:r>
              <w:rPr>
                <w:rFonts w:cs="Arial"/>
                <w:szCs w:val="18"/>
              </w:rPr>
              <w:t>NOTE 4:</w:t>
            </w:r>
            <w:r>
              <w:rPr>
                <w:rFonts w:cs="Arial"/>
                <w:szCs w:val="18"/>
              </w:rPr>
              <w:tab/>
              <w:t>For "ABNORMAL_BEHAVIOUR" event with "anyUe" attribute in "tgt-ue" attribute sets to true,</w:t>
            </w:r>
          </w:p>
          <w:p w14:paraId="7AA6902F" w14:textId="77777777" w:rsidR="00C86FDB" w:rsidRDefault="00C86FDB" w:rsidP="00C86FDB">
            <w:pPr>
              <w:pStyle w:val="TAN"/>
              <w:ind w:left="1135" w:hanging="284"/>
              <w:rPr>
                <w:rFonts w:cs="Arial"/>
                <w:szCs w:val="18"/>
              </w:rPr>
            </w:pPr>
            <w:r>
              <w:rPr>
                <w:rFonts w:cs="Arial"/>
                <w:szCs w:val="18"/>
              </w:rPr>
              <w:t>-</w:t>
            </w:r>
            <w:r>
              <w:rPr>
                <w:rFonts w:cs="Arial"/>
                <w:szCs w:val="18"/>
              </w:rPr>
              <w:tab/>
              <w:t>at least one of the "networkArea" and the "snssais" attribute should be included, if the expected analytics type via the"exptAnaType" attribute or the list of Exception Ids via the "excepIds" attribute is mobility related;</w:t>
            </w:r>
          </w:p>
          <w:p w14:paraId="62F64851" w14:textId="77777777" w:rsidR="00C86FDB" w:rsidRDefault="00C86FDB" w:rsidP="00C86FDB">
            <w:pPr>
              <w:pStyle w:val="TAN"/>
              <w:ind w:left="1135" w:hanging="284"/>
              <w:rPr>
                <w:rFonts w:cs="Arial"/>
                <w:szCs w:val="18"/>
              </w:rPr>
            </w:pPr>
            <w:r>
              <w:rPr>
                <w:rFonts w:cs="Arial"/>
                <w:szCs w:val="18"/>
              </w:rPr>
              <w:t>-</w:t>
            </w:r>
            <w:r>
              <w:rPr>
                <w:rFonts w:cs="Arial"/>
                <w:szCs w:val="18"/>
              </w:rPr>
              <w:tab/>
              <w:t>at least one of the "networkArea", "appIds", "dnns" and "snssais" attribute should be included, if the expected analytics type via the"exptAnaType" attribute or the list of Exception Ids via the "excepIds" attribute is communication related;</w:t>
            </w:r>
          </w:p>
          <w:p w14:paraId="1D414556" w14:textId="77777777" w:rsidR="00C86FDB" w:rsidRDefault="00C86FDB" w:rsidP="00C86FDB">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6C0DBC05" w14:textId="77777777" w:rsidR="00C86FDB" w:rsidRDefault="00C86FDB" w:rsidP="00C86FDB">
            <w:pPr>
              <w:pStyle w:val="TAN"/>
            </w:pPr>
            <w:r>
              <w:rPr>
                <w:lang w:eastAsia="zh-CN"/>
              </w:rPr>
              <w:t>NOTE 5:</w:t>
            </w:r>
            <w:r>
              <w:tab/>
              <w:t>If both the "allFreq" attribute and the "allRat" attributes in RatFreqInformation data type are present, then the only one instance of the RatFreqInformation data type shall be present to indicate for all the RAT type and Frequency value the NWDAF has received for the application.</w:t>
            </w:r>
          </w:p>
          <w:p w14:paraId="65F30C77" w14:textId="77777777" w:rsidR="00C86FDB" w:rsidRDefault="00C86FDB" w:rsidP="00C86FDB">
            <w:pPr>
              <w:keepNext/>
              <w:keepLines/>
              <w:spacing w:after="0"/>
              <w:ind w:left="851" w:hanging="851"/>
              <w:rPr>
                <w:rFonts w:ascii="Arial" w:hAnsi="Arial"/>
                <w:sz w:val="18"/>
              </w:rPr>
            </w:pPr>
            <w:r>
              <w:rPr>
                <w:rFonts w:ascii="Arial" w:hAnsi="Arial"/>
                <w:sz w:val="18"/>
              </w:rPr>
              <w:t>NOTE </w:t>
            </w:r>
            <w:r>
              <w:rPr>
                <w:rFonts w:ascii="Arial" w:hAnsi="Arial"/>
                <w:sz w:val="18"/>
                <w:lang w:eastAsia="zh-CN"/>
              </w:rPr>
              <w:t>6</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shall be provided when a consumer requires analytics for an edge application over a UP path.</w:t>
            </w:r>
          </w:p>
          <w:p w14:paraId="38322CCA" w14:textId="77777777" w:rsidR="00C86FDB" w:rsidRDefault="00C86FDB" w:rsidP="00C86FDB">
            <w:pPr>
              <w:keepNext/>
              <w:keepLines/>
              <w:spacing w:after="0"/>
              <w:ind w:left="851" w:hanging="851"/>
              <w:rPr>
                <w:rFonts w:ascii="Arial" w:hAnsi="Arial"/>
                <w:sz w:val="18"/>
              </w:rPr>
            </w:pPr>
            <w:r>
              <w:rPr>
                <w:rFonts w:ascii="Arial" w:hAnsi="Arial"/>
                <w:sz w:val="18"/>
              </w:rPr>
              <w:t>NOTE </w:t>
            </w:r>
            <w:r>
              <w:rPr>
                <w:rFonts w:ascii="Arial" w:hAnsi="Arial"/>
                <w:sz w:val="18"/>
                <w:lang w:eastAsia="zh-CN"/>
              </w:rPr>
              <w:t>7</w:t>
            </w:r>
            <w:r>
              <w:rPr>
                <w:rFonts w:ascii="Arial" w:hAnsi="Arial"/>
                <w:sz w:val="18"/>
              </w:rPr>
              <w:t>:</w:t>
            </w:r>
            <w:r>
              <w:rPr>
                <w:rFonts w:ascii="Arial" w:hAnsi="Arial"/>
                <w:sz w:val="18"/>
              </w:rPr>
              <w:tab/>
              <w:t>For service experience analytics, th</w:t>
            </w:r>
            <w:r>
              <w:rPr>
                <w:rFonts w:ascii="Arial" w:hAnsi="Arial" w:hint="eastAsia"/>
                <w:sz w:val="18"/>
                <w:lang w:eastAsia="zh-CN"/>
              </w:rPr>
              <w:t>is</w:t>
            </w:r>
            <w:r>
              <w:rPr>
                <w:rFonts w:ascii="Arial" w:hAnsi="Arial"/>
                <w:sz w:val="18"/>
              </w:rPr>
              <w:t xml:space="preserve"> parameter may be provided when a consumer requires analytics for an edge application over a UP path, and it is only needed when the target of the service experience analytics is a specific UPF included in this UP path.</w:t>
            </w:r>
          </w:p>
          <w:p w14:paraId="77ED0903" w14:textId="77777777" w:rsidR="00C86FDB" w:rsidRDefault="00C86FDB" w:rsidP="00C86FDB">
            <w:pPr>
              <w:pStyle w:val="TAN"/>
            </w:pPr>
            <w:r>
              <w:t>NOTE 8:</w:t>
            </w:r>
            <w:r>
              <w:tab/>
              <w:t xml:space="preserve">When event-id in the request is "NSI_LOAD_LEVEL" and the NsiLoadExt feature is supported, and the NF service consumer provides the "nfTypes" attribute, then the </w:t>
            </w:r>
            <w:r>
              <w:rPr>
                <w:bCs/>
              </w:rPr>
              <w:t>NWDAF accounts only for the resource usage of the NF types included in "nfTypes" to derive the output analytics</w:t>
            </w:r>
            <w:r>
              <w:t>.</w:t>
            </w:r>
          </w:p>
          <w:p w14:paraId="5B7FAACE" w14:textId="77777777" w:rsidR="00C86FDB" w:rsidRDefault="00C86FDB" w:rsidP="00C86FDB">
            <w:pPr>
              <w:pStyle w:val="TAN"/>
            </w:pPr>
            <w:r>
              <w:t>NOTE 9:</w:t>
            </w:r>
            <w:r>
              <w:tab/>
              <w:t>If this attribute is provided, the analytics target period shall be a past time period (i.e. only statistics is supported).</w:t>
            </w:r>
          </w:p>
          <w:p w14:paraId="4BC87E45" w14:textId="77777777" w:rsidR="00C86FDB" w:rsidRDefault="00C86FDB" w:rsidP="00C86FDB">
            <w:pPr>
              <w:pStyle w:val="TAN"/>
            </w:pPr>
            <w:r>
              <w:t>NOTE 10:</w:t>
            </w:r>
            <w:r>
              <w:tab/>
              <w:t>Void.</w:t>
            </w:r>
          </w:p>
          <w:p w14:paraId="65A10A4F" w14:textId="77777777" w:rsidR="00C86FDB" w:rsidRDefault="00C86FDB" w:rsidP="00C86FDB">
            <w:pPr>
              <w:pStyle w:val="TAN"/>
            </w:pPr>
            <w:r>
              <w:t>NOTE 11: Void.</w:t>
            </w:r>
          </w:p>
          <w:p w14:paraId="6E157275" w14:textId="77777777" w:rsidR="00C86FDB" w:rsidRDefault="00C86FDB" w:rsidP="00C86FDB">
            <w:pPr>
              <w:pStyle w:val="TAN"/>
              <w:rPr>
                <w:rFonts w:cs="Arial"/>
                <w:szCs w:val="18"/>
              </w:rPr>
            </w:pPr>
            <w:r>
              <w:t>NOTE 12:</w:t>
            </w:r>
            <w:r>
              <w:tab/>
              <w:t xml:space="preserve">When </w:t>
            </w:r>
            <w:r>
              <w:rPr>
                <w:rFonts w:cs="Arial"/>
                <w:szCs w:val="18"/>
              </w:rPr>
              <w:t xml:space="preserve">the </w:t>
            </w:r>
            <w:r>
              <w:t xml:space="preserve">"pduSesInfos" attribute is provided, the associated </w:t>
            </w:r>
            <w:r>
              <w:rPr>
                <w:rFonts w:cs="Arial"/>
                <w:szCs w:val="18"/>
              </w:rPr>
              <w:t>"appIds" attribute shall be provided</w:t>
            </w:r>
            <w:r>
              <w:t xml:space="preserve"> </w:t>
            </w:r>
            <w:r>
              <w:rPr>
                <w:rFonts w:cs="Arial"/>
                <w:szCs w:val="18"/>
              </w:rPr>
              <w:t>for the NWDAF to be able to compute the service experience per application.</w:t>
            </w:r>
          </w:p>
          <w:p w14:paraId="47D4D2B6" w14:textId="77777777" w:rsidR="00C86FDB" w:rsidRDefault="00C86FDB" w:rsidP="00C86FDB">
            <w:pPr>
              <w:pStyle w:val="TAN"/>
            </w:pPr>
            <w:r>
              <w:t>NOTE</w:t>
            </w:r>
            <w:r>
              <w:rPr>
                <w:lang w:eastAsia="zh-CN"/>
              </w:rPr>
              <w:t> 13</w:t>
            </w:r>
            <w:r>
              <w:t>:</w:t>
            </w:r>
            <w:r>
              <w:tab/>
              <w:t xml:space="preserve">When the subscribed event is "PDU_SESSION_TRAFFIC and the PduSesTraffic feature is supported, at least one of the </w:t>
            </w:r>
            <w:r>
              <w:rPr>
                <w:rFonts w:cs="Arial"/>
                <w:szCs w:val="18"/>
              </w:rPr>
              <w:t>"</w:t>
            </w:r>
            <w:r>
              <w:t>dnns</w:t>
            </w:r>
            <w:r>
              <w:rPr>
                <w:lang w:eastAsia="en-GB"/>
              </w:rPr>
              <w:t>"</w:t>
            </w:r>
            <w:r>
              <w:rPr>
                <w:rFonts w:cs="Arial"/>
                <w:szCs w:val="18"/>
              </w:rPr>
              <w:t xml:space="preserve"> and/or "</w:t>
            </w:r>
            <w:r>
              <w:t>snssais</w:t>
            </w:r>
            <w:r>
              <w:rPr>
                <w:lang w:eastAsia="en-GB"/>
              </w:rPr>
              <w:t>"</w:t>
            </w:r>
            <w:r>
              <w:rPr>
                <w:rFonts w:cs="Arial"/>
                <w:szCs w:val="18"/>
              </w:rPr>
              <w:t xml:space="preserve"> </w:t>
            </w:r>
            <w:r>
              <w:rPr>
                <w:lang w:eastAsia="zh-CN"/>
              </w:rPr>
              <w:t>attributes as the route selection descriptor(s) for the URSP rule shall be included</w:t>
            </w:r>
            <w:r>
              <w:rPr>
                <w:lang w:eastAsia="ko-KR"/>
              </w:rPr>
              <w:t>.</w:t>
            </w:r>
          </w:p>
          <w:p w14:paraId="4AA472A6" w14:textId="77777777" w:rsidR="00C86FDB" w:rsidRDefault="00C86FDB" w:rsidP="00C86FDB">
            <w:pPr>
              <w:pStyle w:val="TAN"/>
            </w:pPr>
            <w:r>
              <w:t>NOTE 14:</w:t>
            </w:r>
            <w:r>
              <w:tab/>
              <w:t>Void.</w:t>
            </w:r>
          </w:p>
          <w:p w14:paraId="21CF1EAD" w14:textId="77777777" w:rsidR="00C86FDB" w:rsidRDefault="00C86FDB" w:rsidP="00C86FDB">
            <w:pPr>
              <w:pStyle w:val="TAN"/>
            </w:pPr>
            <w:r>
              <w:t>NOTE</w:t>
            </w:r>
            <w:r>
              <w:rPr>
                <w:lang w:eastAsia="zh-CN"/>
              </w:rPr>
              <w:t> 15</w:t>
            </w:r>
            <w:r>
              <w:t>:</w:t>
            </w:r>
            <w:r>
              <w:tab/>
              <w:t xml:space="preserve">When this </w:t>
            </w:r>
            <w:r>
              <w:rPr>
                <w:lang w:eastAsia="zh-CN"/>
              </w:rPr>
              <w:t>attribute</w:t>
            </w:r>
            <w:r>
              <w:t xml:space="preserve"> is provided, the NWDAF </w:t>
            </w:r>
            <w:r>
              <w:rPr>
                <w:lang w:eastAsia="zh-CN"/>
              </w:rPr>
              <w:t>shall</w:t>
            </w:r>
            <w:r>
              <w:t xml:space="preserve"> provide the analytics per elementary time slot accordingly.</w:t>
            </w:r>
          </w:p>
          <w:p w14:paraId="21D89A8E" w14:textId="77777777" w:rsidR="00C86FDB" w:rsidRDefault="00C86FDB" w:rsidP="00C86FDB">
            <w:pPr>
              <w:pStyle w:val="TAN"/>
            </w:pPr>
            <w:r>
              <w:t>NOTE</w:t>
            </w:r>
            <w:r>
              <w:rPr>
                <w:lang w:eastAsia="zh-CN"/>
              </w:rPr>
              <w:t> 16</w:t>
            </w:r>
            <w:r>
              <w:t>:</w:t>
            </w:r>
            <w:r>
              <w:tab/>
              <w:t xml:space="preserve">When this </w:t>
            </w:r>
            <w:r>
              <w:rPr>
                <w:lang w:eastAsia="zh-CN"/>
              </w:rPr>
              <w:t>attribute</w:t>
            </w:r>
            <w:r>
              <w:t xml:space="preserve"> is provided, the NWDAF </w:t>
            </w:r>
            <w:r>
              <w:rPr>
                <w:lang w:eastAsia="zh-CN"/>
              </w:rPr>
              <w:t>shall</w:t>
            </w:r>
            <w:r>
              <w:t xml:space="preserve"> provide the analytics per group of TAs or cells accordingly.</w:t>
            </w:r>
          </w:p>
          <w:p w14:paraId="0DAE0CE9" w14:textId="77777777" w:rsidR="00C86FDB" w:rsidRDefault="00C86FDB" w:rsidP="00C86FDB">
            <w:pPr>
              <w:pStyle w:val="TAN"/>
              <w:rPr>
                <w:rFonts w:eastAsia="Times New Roman"/>
                <w:lang w:eastAsia="en-GB"/>
              </w:rPr>
            </w:pPr>
            <w:r>
              <w:rPr>
                <w:rFonts w:eastAsia="Times New Roman"/>
                <w:lang w:eastAsia="en-GB"/>
              </w:rPr>
              <w:t>NOTE 17:</w:t>
            </w:r>
            <w:r>
              <w:rPr>
                <w:rFonts w:eastAsia="Times New Roman"/>
                <w:lang w:eastAsia="en-GB"/>
              </w:rPr>
              <w:tab/>
            </w:r>
            <w:r>
              <w:t xml:space="preserve">If both </w:t>
            </w:r>
            <w:r>
              <w:rPr>
                <w:rFonts w:cs="Arial"/>
                <w:szCs w:val="18"/>
              </w:rPr>
              <w:t>"</w:t>
            </w:r>
            <w:r>
              <w:t>networkArea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6931F985" w14:textId="77777777" w:rsidR="00C86FDB" w:rsidRDefault="00C86FDB" w:rsidP="00C86FDB">
            <w:pPr>
              <w:pStyle w:val="TAN"/>
              <w:rPr>
                <w:lang w:eastAsia="ko-KR"/>
              </w:rPr>
            </w:pPr>
            <w:r>
              <w:t>NOTE</w:t>
            </w:r>
            <w:r>
              <w:rPr>
                <w:lang w:eastAsia="zh-CN"/>
              </w:rPr>
              <w:t> 18</w:t>
            </w:r>
            <w:r>
              <w:t>:</w:t>
            </w:r>
            <w:r>
              <w:tab/>
              <w:t xml:space="preserve">When the subscribed event is "LOC_ACCURACY", only one of the </w:t>
            </w:r>
            <w:r>
              <w:rPr>
                <w:rFonts w:cs="Arial"/>
                <w:szCs w:val="18"/>
              </w:rPr>
              <w:t>"</w:t>
            </w:r>
            <w:r>
              <w:t>networkArea</w:t>
            </w:r>
            <w:r>
              <w:rPr>
                <w:lang w:eastAsia="en-GB"/>
              </w:rPr>
              <w:t>"</w:t>
            </w:r>
            <w:r>
              <w:rPr>
                <w:rFonts w:cs="Arial"/>
                <w:szCs w:val="18"/>
              </w:rPr>
              <w:t xml:space="preserve"> or "</w:t>
            </w:r>
            <w:r>
              <w:t>location</w:t>
            </w:r>
            <w:r>
              <w:rPr>
                <w:lang w:eastAsia="en-GB"/>
              </w:rPr>
              <w:t>"</w:t>
            </w:r>
            <w:r>
              <w:rPr>
                <w:rFonts w:cs="Arial"/>
                <w:szCs w:val="18"/>
              </w:rPr>
              <w:t xml:space="preserve"> </w:t>
            </w:r>
            <w:r>
              <w:rPr>
                <w:lang w:eastAsia="zh-CN"/>
              </w:rPr>
              <w:t>attribute shall be included</w:t>
            </w:r>
            <w:r>
              <w:rPr>
                <w:lang w:eastAsia="ko-KR"/>
              </w:rPr>
              <w:t>.</w:t>
            </w:r>
          </w:p>
          <w:p w14:paraId="3D3E49F8" w14:textId="77777777" w:rsidR="00C86FDB" w:rsidRDefault="00C86FDB" w:rsidP="00C86FDB">
            <w:pPr>
              <w:pStyle w:val="TAN"/>
            </w:pPr>
            <w:r>
              <w:t>NOTE</w:t>
            </w:r>
            <w:r>
              <w:rPr>
                <w:lang w:eastAsia="zh-CN"/>
              </w:rPr>
              <w:t> 19</w:t>
            </w:r>
            <w:r>
              <w:t>:</w:t>
            </w:r>
            <w:r>
              <w:tab/>
              <w:t>The "</w:t>
            </w:r>
            <w:r>
              <w:rPr>
                <w:lang w:eastAsia="zh-CN"/>
              </w:rPr>
              <w:t>LON_AND_LAT_LEVEL</w:t>
            </w:r>
            <w:r>
              <w:t>" value of "</w:t>
            </w:r>
            <w:r>
              <w:rPr>
                <w:rFonts w:hint="eastAsia"/>
                <w:lang w:eastAsia="zh-CN"/>
              </w:rPr>
              <w:t>l</w:t>
            </w:r>
            <w:r>
              <w:rPr>
                <w:lang w:eastAsia="zh-CN"/>
              </w:rPr>
              <w:t>ocGranularity</w:t>
            </w:r>
            <w:r>
              <w:t>" attribute is not applicable to features</w:t>
            </w:r>
            <w:r>
              <w:rPr>
                <w:lang w:eastAsia="ja-JP"/>
              </w:rPr>
              <w:t xml:space="preserve"> </w:t>
            </w:r>
            <w:r>
              <w:t>"DispersionExt</w:t>
            </w:r>
            <w:r>
              <w:rPr>
                <w:lang w:eastAsia="zh-CN"/>
              </w:rPr>
              <w:t>_eNA</w:t>
            </w:r>
            <w:r>
              <w:t>". The "TA_LEVEL" or "CELL_LEVEL" value of "</w:t>
            </w:r>
            <w:r>
              <w:rPr>
                <w:rFonts w:hint="eastAsia"/>
                <w:lang w:eastAsia="zh-CN"/>
              </w:rPr>
              <w:t>l</w:t>
            </w:r>
            <w:r>
              <w:rPr>
                <w:lang w:eastAsia="zh-CN"/>
              </w:rPr>
              <w:t>ocGranularity</w:t>
            </w:r>
            <w:r>
              <w:t>" attribute is not applicable to features</w:t>
            </w:r>
            <w:r>
              <w:rPr>
                <w:rFonts w:hint="eastAsia"/>
                <w:lang w:eastAsia="ja-JP"/>
              </w:rPr>
              <w:t xml:space="preserve"> </w:t>
            </w:r>
            <w:r>
              <w:t>"</w:t>
            </w:r>
            <w:r>
              <w:rPr>
                <w:lang w:eastAsia="zh-CN"/>
              </w:rPr>
              <w:t>MovementBehaviour</w:t>
            </w:r>
            <w:r>
              <w:t>".</w:t>
            </w:r>
          </w:p>
          <w:p w14:paraId="19A88317" w14:textId="77777777" w:rsidR="00C86FDB" w:rsidRDefault="00C86FDB" w:rsidP="00C86FDB">
            <w:pPr>
              <w:pStyle w:val="TAN"/>
              <w:rPr>
                <w:lang w:eastAsia="ko-KR"/>
              </w:rPr>
            </w:pPr>
            <w:r>
              <w:rPr>
                <w:lang w:eastAsia="ko-KR"/>
              </w:rPr>
              <w:t>NOTE 20:</w:t>
            </w:r>
            <w:r>
              <w:rPr>
                <w:lang w:eastAsia="ko-KR"/>
              </w:rPr>
              <w:tab/>
              <w:t>When the RoamingAnalytics feature is supported</w:t>
            </w:r>
            <w:r>
              <w:t xml:space="preserve">, the NF service consumer is in the VPLMN, and the NWDAF determines that the request is for roaming analytics in the HPLMN, </w:t>
            </w:r>
            <w:r>
              <w:rPr>
                <w:lang w:eastAsia="ko-KR"/>
              </w:rPr>
              <w:t>this attribute may contain the mapped S-NSSAI(s) of the HPLMN.</w:t>
            </w:r>
          </w:p>
          <w:p w14:paraId="70B9D495" w14:textId="77777777" w:rsidR="001A238E" w:rsidRDefault="00C86FDB" w:rsidP="001A238E">
            <w:pPr>
              <w:pStyle w:val="TAN"/>
              <w:rPr>
                <w:lang w:eastAsia="ko-KR"/>
              </w:rPr>
            </w:pPr>
            <w:r>
              <w:lastRenderedPageBreak/>
              <w:t>NOTE</w:t>
            </w:r>
            <w:r>
              <w:rPr>
                <w:lang w:eastAsia="zh-CN"/>
              </w:rPr>
              <w:t> 21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contained in </w:t>
            </w:r>
            <w:r>
              <w:t>AccuracyReq data type are applicable</w:t>
            </w:r>
            <w:r>
              <w:rPr>
                <w:lang w:eastAsia="ko-KR"/>
              </w:rPr>
              <w:t>.</w:t>
            </w:r>
          </w:p>
          <w:p w14:paraId="241D400E" w14:textId="77777777" w:rsidR="00C86FDB" w:rsidRDefault="001A238E" w:rsidP="001A238E">
            <w:pPr>
              <w:pStyle w:val="TAN"/>
              <w:rPr>
                <w:rFonts w:cs="Arial"/>
                <w:szCs w:val="18"/>
              </w:rPr>
            </w:pPr>
            <w:r>
              <w:t>NOTE</w:t>
            </w:r>
            <w:r>
              <w:rPr>
                <w:lang w:eastAsia="zh-CN"/>
              </w:rPr>
              <w:t> 22</w:t>
            </w:r>
            <w:r>
              <w:t>:</w:t>
            </w:r>
            <w:r>
              <w:tab/>
              <w:t xml:space="preserve">When the requested event is "SIGNALLING_STORM", the "nfInstanceIds" and "nfSetIds" attributes indicate the NF instances and NF sets that may cause the signalling storm </w:t>
            </w:r>
            <w:r w:rsidRPr="009B4D31">
              <w:rPr>
                <w:rFonts w:eastAsia="Malgun Gothic"/>
                <w:lang w:eastAsia="ko-KR"/>
              </w:rPr>
              <w:t>to the target NF</w:t>
            </w:r>
            <w:r>
              <w:rPr>
                <w:lang w:eastAsia="ko-KR"/>
              </w:rPr>
              <w:t>.</w:t>
            </w:r>
          </w:p>
        </w:tc>
      </w:tr>
    </w:tbl>
    <w:p w14:paraId="5A6583E8" w14:textId="77777777" w:rsidR="00D654A6" w:rsidRDefault="00D654A6" w:rsidP="00D654A6">
      <w:pPr>
        <w:rPr>
          <w:rFonts w:eastAsia="Batang"/>
          <w:lang w:val="es-ES"/>
        </w:rPr>
      </w:pPr>
    </w:p>
    <w:p w14:paraId="03824575" w14:textId="77777777" w:rsidR="00A10B25" w:rsidRDefault="00A10B25">
      <w:pPr>
        <w:pStyle w:val="NO"/>
      </w:pPr>
      <w:r>
        <w:t>NOTE:</w:t>
      </w:r>
      <w:r>
        <w:tab/>
        <w:t>Care needs to be taken to avoid excessive signalling.</w:t>
      </w:r>
    </w:p>
    <w:p w14:paraId="37AF5BBE" w14:textId="77777777" w:rsidR="00A10B25" w:rsidRDefault="00A10B25">
      <w:pPr>
        <w:pStyle w:val="5"/>
      </w:pPr>
      <w:bookmarkStart w:id="10702" w:name="_Toc70550702"/>
      <w:bookmarkStart w:id="10703" w:name="_Toc85557175"/>
      <w:bookmarkStart w:id="10704" w:name="_Toc113031795"/>
      <w:bookmarkStart w:id="10705" w:name="_Toc85553076"/>
      <w:bookmarkStart w:id="10706" w:name="_Toc120702435"/>
      <w:bookmarkStart w:id="10707" w:name="_Toc66231874"/>
      <w:bookmarkStart w:id="10708" w:name="_Toc51762969"/>
      <w:bookmarkStart w:id="10709" w:name="_Toc136562531"/>
      <w:bookmarkStart w:id="10710" w:name="_Toc148522770"/>
      <w:bookmarkStart w:id="10711" w:name="_Toc88667683"/>
      <w:bookmarkStart w:id="10712" w:name="_Toc104539132"/>
      <w:bookmarkStart w:id="10713" w:name="_Toc98233760"/>
      <w:bookmarkStart w:id="10714" w:name="_Toc114133934"/>
      <w:bookmarkStart w:id="10715" w:name="_Toc43563571"/>
      <w:bookmarkStart w:id="10716" w:name="_Toc94064373"/>
      <w:bookmarkStart w:id="10717" w:name="_Toc36102527"/>
      <w:bookmarkStart w:id="10718" w:name="_Toc45134117"/>
      <w:bookmarkStart w:id="10719" w:name="_Toc68169035"/>
      <w:bookmarkStart w:id="10720" w:name="_Toc56641038"/>
      <w:bookmarkStart w:id="10721" w:name="_Toc101244537"/>
      <w:bookmarkStart w:id="10722" w:name="_Toc59018006"/>
      <w:bookmarkStart w:id="10723" w:name="_Toc28012870"/>
      <w:bookmarkStart w:id="10724" w:name="_Toc50032049"/>
      <w:bookmarkStart w:id="10725" w:name="_Toc112951255"/>
      <w:bookmarkStart w:id="10726" w:name="_Toc90655968"/>
      <w:bookmarkStart w:id="10727" w:name="_Toc34266356"/>
      <w:bookmarkStart w:id="10728" w:name="_Toc138754365"/>
      <w:bookmarkStart w:id="10729" w:name="_Toc145705860"/>
      <w:bookmarkStart w:id="10730" w:name="_Toc83233155"/>
      <w:bookmarkStart w:id="10731" w:name="_Toc164920956"/>
      <w:bookmarkStart w:id="10732" w:name="_Toc170120498"/>
      <w:bookmarkStart w:id="10733" w:name="_Toc175858743"/>
      <w:bookmarkStart w:id="10734" w:name="_Toc175859816"/>
      <w:bookmarkStart w:id="10735" w:name="_Toc180606106"/>
      <w:bookmarkStart w:id="10736" w:name="_Toc185517367"/>
      <w:bookmarkStart w:id="10737" w:name="_Toc191576419"/>
      <w:bookmarkStart w:id="10738" w:name="_Toc191577159"/>
      <w:bookmarkStart w:id="10739" w:name="_Toc192880229"/>
      <w:bookmarkStart w:id="10740" w:name="_Toc195815118"/>
      <w:bookmarkStart w:id="10741" w:name="_Toc199453085"/>
      <w:r>
        <w:t>5.2.6.2.4</w:t>
      </w:r>
      <w:r>
        <w:tab/>
        <w:t>Void</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5D5F5160" w14:textId="77777777" w:rsidR="00A10B25" w:rsidRDefault="00A10B25">
      <w:pPr>
        <w:pStyle w:val="5"/>
      </w:pPr>
      <w:bookmarkStart w:id="10742" w:name="_Toc120702436"/>
      <w:bookmarkStart w:id="10743" w:name="_Toc85557176"/>
      <w:bookmarkStart w:id="10744" w:name="_Toc112951256"/>
      <w:bookmarkStart w:id="10745" w:name="_Toc94064374"/>
      <w:bookmarkStart w:id="10746" w:name="_Toc88667684"/>
      <w:bookmarkStart w:id="10747" w:name="_Toc101244538"/>
      <w:bookmarkStart w:id="10748" w:name="_Toc113031796"/>
      <w:bookmarkStart w:id="10749" w:name="_Toc98233761"/>
      <w:bookmarkStart w:id="10750" w:name="_Toc70550703"/>
      <w:bookmarkStart w:id="10751" w:name="_Toc83233156"/>
      <w:bookmarkStart w:id="10752" w:name="_Toc90655969"/>
      <w:bookmarkStart w:id="10753" w:name="_Toc85553077"/>
      <w:bookmarkStart w:id="10754" w:name="_Toc104539133"/>
      <w:bookmarkStart w:id="10755" w:name="_Toc136562532"/>
      <w:bookmarkStart w:id="10756" w:name="_Toc138754366"/>
      <w:bookmarkStart w:id="10757" w:name="_Toc145705861"/>
      <w:bookmarkStart w:id="10758" w:name="_Toc148522771"/>
      <w:bookmarkStart w:id="10759" w:name="_Toc114133935"/>
      <w:bookmarkStart w:id="10760" w:name="_Toc45134118"/>
      <w:bookmarkStart w:id="10761" w:name="_Toc36102528"/>
      <w:bookmarkStart w:id="10762" w:name="_Toc50032050"/>
      <w:bookmarkStart w:id="10763" w:name="_Toc66231875"/>
      <w:bookmarkStart w:id="10764" w:name="_Toc34266357"/>
      <w:bookmarkStart w:id="10765" w:name="_Toc28012871"/>
      <w:bookmarkStart w:id="10766" w:name="_Toc56641039"/>
      <w:bookmarkStart w:id="10767" w:name="_Toc59018007"/>
      <w:bookmarkStart w:id="10768" w:name="_Toc43563572"/>
      <w:bookmarkStart w:id="10769" w:name="_Toc68169036"/>
      <w:bookmarkStart w:id="10770" w:name="_Toc51762970"/>
      <w:bookmarkStart w:id="10771" w:name="_Toc164920957"/>
      <w:bookmarkStart w:id="10772" w:name="_Toc170120499"/>
      <w:bookmarkStart w:id="10773" w:name="_Toc175858744"/>
      <w:bookmarkStart w:id="10774" w:name="_Toc175859817"/>
      <w:bookmarkStart w:id="10775" w:name="_Toc180606107"/>
      <w:bookmarkStart w:id="10776" w:name="_Toc185517368"/>
      <w:bookmarkStart w:id="10777" w:name="_Toc191576420"/>
      <w:bookmarkStart w:id="10778" w:name="_Toc191577160"/>
      <w:bookmarkStart w:id="10779" w:name="_Toc192880230"/>
      <w:bookmarkStart w:id="10780" w:name="_Toc195815119"/>
      <w:bookmarkStart w:id="10781" w:name="_Toc199453086"/>
      <w:r>
        <w:t>5.2.6.2.5</w:t>
      </w:r>
      <w:r>
        <w:tab/>
        <w:t>Type AdditionInfoAnalyticsInfoRequest</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71"/>
      <w:bookmarkEnd w:id="10772"/>
      <w:bookmarkEnd w:id="10773"/>
      <w:bookmarkEnd w:id="10774"/>
      <w:bookmarkEnd w:id="10775"/>
      <w:bookmarkEnd w:id="10776"/>
      <w:bookmarkEnd w:id="10777"/>
      <w:bookmarkEnd w:id="10778"/>
      <w:bookmarkEnd w:id="10779"/>
      <w:bookmarkEnd w:id="10780"/>
      <w:bookmarkEnd w:id="10781"/>
    </w:p>
    <w:p w14:paraId="2CC1C969" w14:textId="77777777" w:rsidR="00A10B25" w:rsidRDefault="00A10B25">
      <w:pPr>
        <w:pStyle w:val="TH"/>
      </w:pPr>
      <w:r>
        <w:t>Table 5.2.6.2.5-1: Definition of type AdditionInfoAnalyticsInfoRequest</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572620D2" w14:textId="77777777">
        <w:trPr>
          <w:jc w:val="center"/>
        </w:trPr>
        <w:tc>
          <w:tcPr>
            <w:tcW w:w="1628" w:type="dxa"/>
            <w:shd w:val="clear" w:color="auto" w:fill="C0C0C0"/>
          </w:tcPr>
          <w:p w14:paraId="21588C73" w14:textId="77777777" w:rsidR="00A10B25" w:rsidRDefault="00A10B25">
            <w:pPr>
              <w:pStyle w:val="TAH"/>
            </w:pPr>
            <w:r>
              <w:t>Attribute name</w:t>
            </w:r>
          </w:p>
        </w:tc>
        <w:tc>
          <w:tcPr>
            <w:tcW w:w="1701" w:type="dxa"/>
            <w:shd w:val="clear" w:color="auto" w:fill="C0C0C0"/>
          </w:tcPr>
          <w:p w14:paraId="5D10E04E" w14:textId="77777777" w:rsidR="00A10B25" w:rsidRDefault="00A10B25">
            <w:pPr>
              <w:pStyle w:val="TAH"/>
            </w:pPr>
            <w:r>
              <w:t>Data type</w:t>
            </w:r>
          </w:p>
        </w:tc>
        <w:tc>
          <w:tcPr>
            <w:tcW w:w="426" w:type="dxa"/>
            <w:shd w:val="clear" w:color="auto" w:fill="C0C0C0"/>
          </w:tcPr>
          <w:p w14:paraId="6B7A09F1" w14:textId="77777777" w:rsidR="00A10B25" w:rsidRDefault="00A10B25">
            <w:pPr>
              <w:pStyle w:val="TAH"/>
            </w:pPr>
            <w:r>
              <w:t>P</w:t>
            </w:r>
          </w:p>
        </w:tc>
        <w:tc>
          <w:tcPr>
            <w:tcW w:w="1134" w:type="dxa"/>
            <w:shd w:val="clear" w:color="auto" w:fill="C0C0C0"/>
          </w:tcPr>
          <w:p w14:paraId="43DC5B2F" w14:textId="77777777" w:rsidR="00A10B25" w:rsidRDefault="00A10B25">
            <w:pPr>
              <w:pStyle w:val="TAH"/>
            </w:pPr>
            <w:r>
              <w:t>Cardinality</w:t>
            </w:r>
          </w:p>
        </w:tc>
        <w:tc>
          <w:tcPr>
            <w:tcW w:w="2976" w:type="dxa"/>
            <w:shd w:val="clear" w:color="auto" w:fill="C0C0C0"/>
          </w:tcPr>
          <w:p w14:paraId="77A304FE" w14:textId="77777777" w:rsidR="00A10B25" w:rsidRDefault="00A10B25">
            <w:pPr>
              <w:pStyle w:val="TAH"/>
              <w:rPr>
                <w:rFonts w:cs="Arial"/>
                <w:szCs w:val="18"/>
              </w:rPr>
            </w:pPr>
            <w:r>
              <w:rPr>
                <w:rFonts w:cs="Arial"/>
                <w:szCs w:val="18"/>
              </w:rPr>
              <w:t>Description</w:t>
            </w:r>
          </w:p>
        </w:tc>
        <w:tc>
          <w:tcPr>
            <w:tcW w:w="1628" w:type="dxa"/>
            <w:shd w:val="clear" w:color="auto" w:fill="C0C0C0"/>
          </w:tcPr>
          <w:p w14:paraId="44038C32" w14:textId="77777777" w:rsidR="00A10B25" w:rsidRDefault="00A10B25">
            <w:pPr>
              <w:pStyle w:val="TAH"/>
              <w:rPr>
                <w:rFonts w:cs="Arial"/>
                <w:szCs w:val="18"/>
              </w:rPr>
            </w:pPr>
            <w:r>
              <w:rPr>
                <w:rFonts w:cs="Arial"/>
                <w:szCs w:val="18"/>
              </w:rPr>
              <w:t>Applicability</w:t>
            </w:r>
          </w:p>
        </w:tc>
      </w:tr>
      <w:tr w:rsidR="00A10B25" w14:paraId="0F9C463F" w14:textId="77777777">
        <w:trPr>
          <w:jc w:val="center"/>
        </w:trPr>
        <w:tc>
          <w:tcPr>
            <w:tcW w:w="1628" w:type="dxa"/>
          </w:tcPr>
          <w:p w14:paraId="6CC5FD24" w14:textId="77777777" w:rsidR="00A10B25" w:rsidRDefault="00A10B25">
            <w:pPr>
              <w:pStyle w:val="TAL"/>
            </w:pPr>
            <w:r>
              <w:rPr>
                <w:lang w:eastAsia="zh-CN"/>
              </w:rPr>
              <w:t>rvWaitTime</w:t>
            </w:r>
          </w:p>
        </w:tc>
        <w:tc>
          <w:tcPr>
            <w:tcW w:w="1701" w:type="dxa"/>
          </w:tcPr>
          <w:p w14:paraId="028D3AA7" w14:textId="77777777" w:rsidR="00A10B25" w:rsidRDefault="00A10B25">
            <w:pPr>
              <w:pStyle w:val="TAL"/>
            </w:pPr>
            <w:r>
              <w:t>DurationSec</w:t>
            </w:r>
          </w:p>
        </w:tc>
        <w:tc>
          <w:tcPr>
            <w:tcW w:w="426" w:type="dxa"/>
          </w:tcPr>
          <w:p w14:paraId="7F0FD3C8" w14:textId="77777777" w:rsidR="00A10B25" w:rsidRDefault="00A10B25">
            <w:pPr>
              <w:pStyle w:val="TAL"/>
              <w:rPr>
                <w:lang w:eastAsia="zh-CN"/>
              </w:rPr>
            </w:pPr>
            <w:r>
              <w:rPr>
                <w:lang w:eastAsia="zh-CN"/>
              </w:rPr>
              <w:t>O</w:t>
            </w:r>
          </w:p>
        </w:tc>
        <w:tc>
          <w:tcPr>
            <w:tcW w:w="1134" w:type="dxa"/>
          </w:tcPr>
          <w:p w14:paraId="1D3CABED" w14:textId="77777777" w:rsidR="00A10B25" w:rsidRDefault="00A10B25">
            <w:pPr>
              <w:pStyle w:val="TAL"/>
            </w:pPr>
            <w:r>
              <w:rPr>
                <w:rFonts w:cs="Arial"/>
                <w:szCs w:val="18"/>
                <w:lang w:eastAsia="zh-CN"/>
              </w:rPr>
              <w:t>0..1</w:t>
            </w:r>
          </w:p>
        </w:tc>
        <w:tc>
          <w:tcPr>
            <w:tcW w:w="2976" w:type="dxa"/>
          </w:tcPr>
          <w:p w14:paraId="3B9C6EDA" w14:textId="77777777" w:rsidR="00A10B25" w:rsidRDefault="00A10B25">
            <w:pPr>
              <w:pStyle w:val="TAL"/>
            </w:pPr>
            <w:r>
              <w:t xml:space="preserve">Recommended minimum time interval (in seconds) to be used to determine the </w:t>
            </w:r>
            <w:r>
              <w:rPr>
                <w:lang w:eastAsia="ko-KR"/>
              </w:rPr>
              <w:t>time when analytics information is needed</w:t>
            </w:r>
            <w:r>
              <w:t xml:space="preserve"> in similar future requests.</w:t>
            </w:r>
          </w:p>
          <w:p w14:paraId="7B556D2B" w14:textId="77777777" w:rsidR="00A10B25" w:rsidRDefault="00A10B25">
            <w:pPr>
              <w:pStyle w:val="TAL"/>
              <w:rPr>
                <w:rFonts w:cs="Arial"/>
                <w:szCs w:val="18"/>
              </w:rPr>
            </w:pPr>
            <w:r>
              <w:t xml:space="preserve">It may only be included if the </w:t>
            </w:r>
            <w:r>
              <w:rPr>
                <w:lang w:val="en-US" w:eastAsia="zh-CN"/>
              </w:rPr>
              <w:t>"</w:t>
            </w:r>
            <w:r>
              <w:t>cause</w:t>
            </w:r>
            <w:r>
              <w:rPr>
                <w:lang w:val="en-US" w:eastAsia="zh-CN"/>
              </w:rPr>
              <w:t xml:space="preserve">" attribute within the </w:t>
            </w:r>
            <w:r>
              <w:t>ProblemDetails</w:t>
            </w:r>
            <w:r>
              <w:rPr>
                <w:lang w:val="en-US" w:eastAsia="zh-CN"/>
              </w:rPr>
              <w:t xml:space="preserve"> data type is set to "</w:t>
            </w:r>
            <w:r>
              <w:t>UNSATISFIED_REQUESTED_ANALYTICS_TIME</w:t>
            </w:r>
            <w:r>
              <w:rPr>
                <w:lang w:val="en-US" w:eastAsia="zh-CN"/>
              </w:rPr>
              <w:t>"</w:t>
            </w:r>
            <w:r>
              <w:t>.</w:t>
            </w:r>
          </w:p>
        </w:tc>
        <w:tc>
          <w:tcPr>
            <w:tcW w:w="1628" w:type="dxa"/>
          </w:tcPr>
          <w:p w14:paraId="174A11DF" w14:textId="77777777" w:rsidR="00A10B25" w:rsidRDefault="00A10B25">
            <w:pPr>
              <w:pStyle w:val="TAL"/>
              <w:rPr>
                <w:rFonts w:cs="Arial"/>
                <w:szCs w:val="18"/>
              </w:rPr>
            </w:pPr>
          </w:p>
        </w:tc>
      </w:tr>
    </w:tbl>
    <w:p w14:paraId="793F9522" w14:textId="77777777" w:rsidR="00A10B25" w:rsidRDefault="00A10B25"/>
    <w:p w14:paraId="174926AD" w14:textId="77777777" w:rsidR="00A10B25" w:rsidRDefault="00A10B25">
      <w:pPr>
        <w:pStyle w:val="5"/>
      </w:pPr>
      <w:bookmarkStart w:id="10782" w:name="_Toc113031797"/>
      <w:bookmarkStart w:id="10783" w:name="_Toc114133936"/>
      <w:bookmarkStart w:id="10784" w:name="_Toc145705862"/>
      <w:bookmarkStart w:id="10785" w:name="_Toc104539134"/>
      <w:bookmarkStart w:id="10786" w:name="_Toc90655970"/>
      <w:bookmarkStart w:id="10787" w:name="_Toc85557177"/>
      <w:bookmarkStart w:id="10788" w:name="_Toc73564517"/>
      <w:bookmarkStart w:id="10789" w:name="_Toc88667685"/>
      <w:bookmarkStart w:id="10790" w:name="_Toc112951257"/>
      <w:bookmarkStart w:id="10791" w:name="_Toc120702437"/>
      <w:bookmarkStart w:id="10792" w:name="_Toc101244539"/>
      <w:bookmarkStart w:id="10793" w:name="_Toc94064375"/>
      <w:bookmarkStart w:id="10794" w:name="_Toc136562533"/>
      <w:bookmarkStart w:id="10795" w:name="_Toc98233762"/>
      <w:bookmarkStart w:id="10796" w:name="_Toc138754367"/>
      <w:bookmarkStart w:id="10797" w:name="_Toc85553078"/>
      <w:bookmarkStart w:id="10798" w:name="_Toc148522772"/>
      <w:bookmarkStart w:id="10799" w:name="_Toc164920958"/>
      <w:bookmarkStart w:id="10800" w:name="_Toc170120500"/>
      <w:bookmarkStart w:id="10801" w:name="_Toc175858745"/>
      <w:bookmarkStart w:id="10802" w:name="_Toc175859818"/>
      <w:bookmarkStart w:id="10803" w:name="_Toc180606108"/>
      <w:bookmarkStart w:id="10804" w:name="_Toc185517369"/>
      <w:bookmarkStart w:id="10805" w:name="_Toc191576421"/>
      <w:bookmarkStart w:id="10806" w:name="_Toc191577161"/>
      <w:bookmarkStart w:id="10807" w:name="_Toc192880231"/>
      <w:bookmarkStart w:id="10808" w:name="_Toc195815120"/>
      <w:bookmarkStart w:id="10809" w:name="_Toc199453087"/>
      <w:r>
        <w:t>5.2.6.2.6</w:t>
      </w:r>
      <w:r>
        <w:tab/>
        <w:t xml:space="preserve">Type </w:t>
      </w:r>
      <w:bookmarkEnd w:id="10788"/>
      <w:r>
        <w:t>ContextData</w:t>
      </w:r>
      <w:bookmarkEnd w:id="10782"/>
      <w:bookmarkEnd w:id="10783"/>
      <w:bookmarkEnd w:id="10784"/>
      <w:bookmarkEnd w:id="10785"/>
      <w:bookmarkEnd w:id="10786"/>
      <w:bookmarkEnd w:id="10787"/>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6C5D6EEC" w14:textId="77777777" w:rsidR="007862A2" w:rsidRDefault="007862A2" w:rsidP="007862A2">
      <w:pPr>
        <w:pStyle w:val="TH"/>
      </w:pPr>
      <w:bookmarkStart w:id="10810" w:name="_Toc104539136"/>
      <w:bookmarkStart w:id="10811" w:name="_Toc136562535"/>
      <w:bookmarkStart w:id="10812" w:name="_Toc98233764"/>
      <w:bookmarkStart w:id="10813" w:name="_Toc120702439"/>
      <w:bookmarkStart w:id="10814" w:name="_Toc88667687"/>
      <w:bookmarkStart w:id="10815" w:name="_Toc138754369"/>
      <w:bookmarkStart w:id="10816" w:name="_Toc113031799"/>
      <w:bookmarkStart w:id="10817" w:name="_Toc85553080"/>
      <w:bookmarkStart w:id="10818" w:name="_Toc112951259"/>
      <w:bookmarkStart w:id="10819" w:name="_Toc114133938"/>
      <w:bookmarkStart w:id="10820" w:name="_Toc101244541"/>
      <w:bookmarkStart w:id="10821" w:name="_Toc90655972"/>
      <w:bookmarkStart w:id="10822" w:name="_Toc94064377"/>
      <w:bookmarkStart w:id="10823" w:name="_Toc148522774"/>
      <w:bookmarkStart w:id="10824" w:name="_Toc145705864"/>
      <w:bookmarkStart w:id="10825" w:name="_Toc85557179"/>
      <w:bookmarkStart w:id="10826" w:name="_Toc138754368"/>
      <w:bookmarkStart w:id="10827" w:name="_Toc113031798"/>
      <w:bookmarkStart w:id="10828" w:name="_Toc145705863"/>
      <w:bookmarkStart w:id="10829" w:name="_Toc85557178"/>
      <w:bookmarkStart w:id="10830" w:name="_Toc104539135"/>
      <w:bookmarkStart w:id="10831" w:name="_Toc148522773"/>
      <w:bookmarkStart w:id="10832" w:name="_Toc90655971"/>
      <w:bookmarkStart w:id="10833" w:name="_Toc85553079"/>
      <w:bookmarkStart w:id="10834" w:name="_Toc88667686"/>
      <w:bookmarkStart w:id="10835" w:name="_Toc112951258"/>
      <w:bookmarkStart w:id="10836" w:name="_Toc98233763"/>
      <w:bookmarkStart w:id="10837" w:name="_Toc120702438"/>
      <w:bookmarkStart w:id="10838" w:name="_Toc94064376"/>
      <w:bookmarkStart w:id="10839" w:name="_Toc136562534"/>
      <w:bookmarkStart w:id="10840" w:name="_Toc101244540"/>
      <w:bookmarkStart w:id="10841" w:name="_Toc114133937"/>
      <w:bookmarkStart w:id="10842" w:name="_Toc164920959"/>
      <w:bookmarkStart w:id="10843" w:name="_Toc170120501"/>
      <w:r>
        <w:t>Table 5.2.6.2.6-1: Definition of type ContextData</w:t>
      </w:r>
    </w:p>
    <w:tbl>
      <w:tblPr>
        <w:tblW w:w="949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9"/>
        <w:gridCol w:w="1701"/>
        <w:gridCol w:w="426"/>
        <w:gridCol w:w="1134"/>
        <w:gridCol w:w="2977"/>
        <w:gridCol w:w="1628"/>
      </w:tblGrid>
      <w:tr w:rsidR="007862A2" w14:paraId="706FC469" w14:textId="77777777" w:rsidTr="007862A2">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hideMark/>
          </w:tcPr>
          <w:p w14:paraId="577536CA" w14:textId="77777777" w:rsidR="007862A2" w:rsidRDefault="007862A2">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46C3C251" w14:textId="77777777" w:rsidR="007862A2" w:rsidRDefault="007862A2">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hideMark/>
          </w:tcPr>
          <w:p w14:paraId="5F027C95" w14:textId="77777777" w:rsidR="007862A2" w:rsidRDefault="007862A2">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D725430" w14:textId="77777777" w:rsidR="007862A2" w:rsidRDefault="007862A2">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hideMark/>
          </w:tcPr>
          <w:p w14:paraId="2614C381" w14:textId="77777777" w:rsidR="007862A2" w:rsidRDefault="007862A2">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hideMark/>
          </w:tcPr>
          <w:p w14:paraId="059CEE54" w14:textId="77777777" w:rsidR="007862A2" w:rsidRDefault="007862A2">
            <w:pPr>
              <w:pStyle w:val="TAH"/>
              <w:rPr>
                <w:rFonts w:cs="Arial"/>
                <w:szCs w:val="18"/>
              </w:rPr>
            </w:pPr>
            <w:r>
              <w:rPr>
                <w:rFonts w:cs="Arial"/>
                <w:szCs w:val="18"/>
              </w:rPr>
              <w:t>Applicability</w:t>
            </w:r>
          </w:p>
        </w:tc>
      </w:tr>
      <w:tr w:rsidR="007862A2" w14:paraId="515D6C9C" w14:textId="77777777" w:rsidTr="007862A2">
        <w:trPr>
          <w:jc w:val="center"/>
        </w:trPr>
        <w:tc>
          <w:tcPr>
            <w:tcW w:w="1628" w:type="dxa"/>
            <w:tcBorders>
              <w:top w:val="single" w:sz="6" w:space="0" w:color="auto"/>
              <w:left w:val="single" w:sz="6" w:space="0" w:color="auto"/>
              <w:bottom w:val="single" w:sz="6" w:space="0" w:color="auto"/>
              <w:right w:val="single" w:sz="6" w:space="0" w:color="auto"/>
            </w:tcBorders>
            <w:hideMark/>
          </w:tcPr>
          <w:p w14:paraId="0ACEDD52" w14:textId="77777777" w:rsidR="007862A2" w:rsidRDefault="007862A2">
            <w:pPr>
              <w:pStyle w:val="TAL"/>
            </w:pPr>
            <w:r>
              <w:rPr>
                <w:lang w:eastAsia="zh-CN"/>
              </w:rPr>
              <w:t>contextElems</w:t>
            </w:r>
          </w:p>
        </w:tc>
        <w:tc>
          <w:tcPr>
            <w:tcW w:w="1701" w:type="dxa"/>
            <w:tcBorders>
              <w:top w:val="single" w:sz="6" w:space="0" w:color="auto"/>
              <w:left w:val="single" w:sz="6" w:space="0" w:color="auto"/>
              <w:bottom w:val="single" w:sz="6" w:space="0" w:color="auto"/>
              <w:right w:val="single" w:sz="6" w:space="0" w:color="auto"/>
            </w:tcBorders>
            <w:hideMark/>
          </w:tcPr>
          <w:p w14:paraId="3D0D38EE" w14:textId="77777777" w:rsidR="007862A2" w:rsidRDefault="007862A2">
            <w:pPr>
              <w:pStyle w:val="TAL"/>
            </w:pPr>
            <w:r>
              <w:t>array(ContextElement)</w:t>
            </w:r>
          </w:p>
        </w:tc>
        <w:tc>
          <w:tcPr>
            <w:tcW w:w="426" w:type="dxa"/>
            <w:tcBorders>
              <w:top w:val="single" w:sz="6" w:space="0" w:color="auto"/>
              <w:left w:val="single" w:sz="6" w:space="0" w:color="auto"/>
              <w:bottom w:val="single" w:sz="6" w:space="0" w:color="auto"/>
              <w:right w:val="single" w:sz="6" w:space="0" w:color="auto"/>
            </w:tcBorders>
            <w:hideMark/>
          </w:tcPr>
          <w:p w14:paraId="3F4DC765" w14:textId="77777777" w:rsidR="007862A2" w:rsidRDefault="007862A2">
            <w:pPr>
              <w:pStyle w:val="TAL"/>
              <w:jc w:val="center"/>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25E74BBA" w14:textId="77777777" w:rsidR="007862A2" w:rsidRDefault="007862A2">
            <w:pPr>
              <w:pStyle w:val="TAL"/>
            </w:pPr>
            <w:r>
              <w:rPr>
                <w:rFonts w:cs="Arial"/>
                <w:szCs w:val="18"/>
                <w:lang w:eastAsia="zh-CN"/>
              </w:rPr>
              <w:t>1..N</w:t>
            </w:r>
          </w:p>
        </w:tc>
        <w:tc>
          <w:tcPr>
            <w:tcW w:w="2976" w:type="dxa"/>
            <w:tcBorders>
              <w:top w:val="single" w:sz="6" w:space="0" w:color="auto"/>
              <w:left w:val="single" w:sz="6" w:space="0" w:color="auto"/>
              <w:bottom w:val="single" w:sz="6" w:space="0" w:color="auto"/>
              <w:right w:val="single" w:sz="6" w:space="0" w:color="auto"/>
            </w:tcBorders>
            <w:hideMark/>
          </w:tcPr>
          <w:p w14:paraId="3550F6D6" w14:textId="77777777" w:rsidR="007862A2" w:rsidRDefault="007862A2">
            <w:pPr>
              <w:pStyle w:val="TAL"/>
              <w:rPr>
                <w:rFonts w:cs="Arial"/>
                <w:szCs w:val="18"/>
              </w:rPr>
            </w:pPr>
            <w:r>
              <w:t>List of items that contain context information corresponding with a context identifier.</w:t>
            </w:r>
          </w:p>
        </w:tc>
        <w:tc>
          <w:tcPr>
            <w:tcW w:w="1628" w:type="dxa"/>
            <w:tcBorders>
              <w:top w:val="single" w:sz="6" w:space="0" w:color="auto"/>
              <w:left w:val="single" w:sz="6" w:space="0" w:color="auto"/>
              <w:bottom w:val="single" w:sz="6" w:space="0" w:color="auto"/>
              <w:right w:val="single" w:sz="6" w:space="0" w:color="auto"/>
            </w:tcBorders>
          </w:tcPr>
          <w:p w14:paraId="7E1A4887" w14:textId="77777777" w:rsidR="007862A2" w:rsidRDefault="007862A2">
            <w:pPr>
              <w:pStyle w:val="TAL"/>
              <w:rPr>
                <w:rFonts w:cs="Arial"/>
                <w:szCs w:val="18"/>
              </w:rPr>
            </w:pPr>
          </w:p>
        </w:tc>
      </w:tr>
      <w:tr w:rsidR="007862A2" w14:paraId="6CC68BC6" w14:textId="77777777" w:rsidTr="007862A2">
        <w:trPr>
          <w:jc w:val="center"/>
        </w:trPr>
        <w:tc>
          <w:tcPr>
            <w:tcW w:w="1628" w:type="dxa"/>
            <w:tcBorders>
              <w:top w:val="single" w:sz="6" w:space="0" w:color="auto"/>
              <w:left w:val="single" w:sz="6" w:space="0" w:color="auto"/>
              <w:bottom w:val="single" w:sz="6" w:space="0" w:color="auto"/>
              <w:right w:val="single" w:sz="6" w:space="0" w:color="auto"/>
            </w:tcBorders>
            <w:hideMark/>
          </w:tcPr>
          <w:p w14:paraId="081C8966" w14:textId="77777777" w:rsidR="007862A2" w:rsidRDefault="007862A2">
            <w:pPr>
              <w:pStyle w:val="TAL"/>
              <w:rPr>
                <w:lang w:eastAsia="zh-CN"/>
              </w:rPr>
            </w:pPr>
            <w:r>
              <w:t>suppFeat</w:t>
            </w:r>
          </w:p>
        </w:tc>
        <w:tc>
          <w:tcPr>
            <w:tcW w:w="1701" w:type="dxa"/>
            <w:tcBorders>
              <w:top w:val="single" w:sz="6" w:space="0" w:color="auto"/>
              <w:left w:val="single" w:sz="6" w:space="0" w:color="auto"/>
              <w:bottom w:val="single" w:sz="6" w:space="0" w:color="auto"/>
              <w:right w:val="single" w:sz="6" w:space="0" w:color="auto"/>
            </w:tcBorders>
            <w:hideMark/>
          </w:tcPr>
          <w:p w14:paraId="49CFB0AC" w14:textId="77777777" w:rsidR="007862A2" w:rsidRDefault="007862A2">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hideMark/>
          </w:tcPr>
          <w:p w14:paraId="3FB98D2D" w14:textId="77777777" w:rsidR="007862A2" w:rsidRDefault="007862A2">
            <w:pPr>
              <w:pStyle w:val="TAL"/>
              <w:jc w:val="center"/>
              <w:rPr>
                <w:lang w:eastAsia="zh-CN"/>
              </w:rPr>
            </w:pPr>
            <w:r>
              <w:t>C</w:t>
            </w:r>
          </w:p>
        </w:tc>
        <w:tc>
          <w:tcPr>
            <w:tcW w:w="1134" w:type="dxa"/>
            <w:tcBorders>
              <w:top w:val="single" w:sz="6" w:space="0" w:color="auto"/>
              <w:left w:val="single" w:sz="6" w:space="0" w:color="auto"/>
              <w:bottom w:val="single" w:sz="6" w:space="0" w:color="auto"/>
              <w:right w:val="single" w:sz="6" w:space="0" w:color="auto"/>
            </w:tcBorders>
            <w:hideMark/>
          </w:tcPr>
          <w:p w14:paraId="4C69D741" w14:textId="77777777" w:rsidR="007862A2" w:rsidRDefault="007862A2">
            <w:pPr>
              <w:pStyle w:val="TAL"/>
              <w:rPr>
                <w:rFonts w:cs="Arial"/>
                <w:szCs w:val="18"/>
                <w:lang w:eastAsia="zh-CN"/>
              </w:rPr>
            </w:pPr>
            <w:r>
              <w:t>0..1</w:t>
            </w:r>
          </w:p>
        </w:tc>
        <w:tc>
          <w:tcPr>
            <w:tcW w:w="2976" w:type="dxa"/>
            <w:tcBorders>
              <w:top w:val="single" w:sz="6" w:space="0" w:color="auto"/>
              <w:left w:val="single" w:sz="6" w:space="0" w:color="auto"/>
              <w:bottom w:val="single" w:sz="6" w:space="0" w:color="auto"/>
              <w:right w:val="single" w:sz="6" w:space="0" w:color="auto"/>
            </w:tcBorders>
            <w:hideMark/>
          </w:tcPr>
          <w:p w14:paraId="1373C5A3" w14:textId="77777777" w:rsidR="007862A2" w:rsidRDefault="007862A2">
            <w:pPr>
              <w:pStyle w:val="TAL"/>
            </w:pPr>
            <w:r>
              <w:t>List of Supported features used as described in clause 5.2.8.</w:t>
            </w:r>
          </w:p>
          <w:p w14:paraId="5B71BCB4" w14:textId="77777777" w:rsidR="007862A2" w:rsidRDefault="007862A2">
            <w:pPr>
              <w:pStyle w:val="TAL"/>
            </w:pPr>
            <w:r>
              <w:t xml:space="preserve">This parameter shall be supplied by NWDAF in the reply of GET request that request </w:t>
            </w:r>
            <w:r>
              <w:rPr>
                <w:lang w:eastAsia="ko-KR"/>
              </w:rPr>
              <w:t>the analytics context information</w:t>
            </w:r>
            <w:r>
              <w:t>, if the consumer includes "supported-features" in the GET request.</w:t>
            </w:r>
          </w:p>
        </w:tc>
        <w:tc>
          <w:tcPr>
            <w:tcW w:w="1628" w:type="dxa"/>
            <w:tcBorders>
              <w:top w:val="single" w:sz="6" w:space="0" w:color="auto"/>
              <w:left w:val="single" w:sz="6" w:space="0" w:color="auto"/>
              <w:bottom w:val="single" w:sz="6" w:space="0" w:color="auto"/>
              <w:right w:val="single" w:sz="6" w:space="0" w:color="auto"/>
            </w:tcBorders>
          </w:tcPr>
          <w:p w14:paraId="356131F6" w14:textId="77777777" w:rsidR="007862A2" w:rsidRDefault="007862A2">
            <w:pPr>
              <w:pStyle w:val="TAL"/>
              <w:rPr>
                <w:rFonts w:cs="Arial"/>
                <w:szCs w:val="18"/>
              </w:rPr>
            </w:pPr>
          </w:p>
        </w:tc>
      </w:tr>
    </w:tbl>
    <w:p w14:paraId="17ED09DE" w14:textId="77777777" w:rsidR="007862A2" w:rsidRDefault="007862A2" w:rsidP="007862A2">
      <w:pPr>
        <w:rPr>
          <w:lang w:val="en-US"/>
        </w:rPr>
      </w:pPr>
    </w:p>
    <w:p w14:paraId="7BA04284" w14:textId="77777777" w:rsidR="003E1F9F" w:rsidRDefault="003E1F9F" w:rsidP="003E1F9F">
      <w:pPr>
        <w:pStyle w:val="5"/>
      </w:pPr>
      <w:bookmarkStart w:id="10844" w:name="_Toc175858746"/>
      <w:bookmarkStart w:id="10845" w:name="_Toc175859819"/>
      <w:bookmarkStart w:id="10846" w:name="_Toc180606109"/>
      <w:bookmarkStart w:id="10847" w:name="_Toc185517370"/>
      <w:bookmarkStart w:id="10848" w:name="_Toc191576422"/>
      <w:bookmarkStart w:id="10849" w:name="_Toc191577162"/>
      <w:bookmarkStart w:id="10850" w:name="_Toc192880232"/>
      <w:bookmarkStart w:id="10851" w:name="_Toc195815121"/>
      <w:bookmarkStart w:id="10852" w:name="_Toc199453088"/>
      <w:r>
        <w:lastRenderedPageBreak/>
        <w:t>5.2.6.2.7</w:t>
      </w:r>
      <w:r>
        <w:tab/>
        <w:t>Type ContextElement</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4E24BCFC" w14:textId="77777777" w:rsidR="003E1F9F" w:rsidRDefault="003E1F9F" w:rsidP="003E1F9F">
      <w:pPr>
        <w:pStyle w:val="TH"/>
      </w:pPr>
      <w:r>
        <w:t>Table 5.2.6.2.7-1: Definition of type ContextElement</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3E1F9F" w14:paraId="3B9CD9D2" w14:textId="77777777" w:rsidTr="005A20DD">
        <w:trPr>
          <w:jc w:val="center"/>
        </w:trPr>
        <w:tc>
          <w:tcPr>
            <w:tcW w:w="1628" w:type="dxa"/>
            <w:shd w:val="clear" w:color="auto" w:fill="C0C0C0"/>
          </w:tcPr>
          <w:p w14:paraId="7272F346" w14:textId="77777777" w:rsidR="003E1F9F" w:rsidRDefault="003E1F9F" w:rsidP="005A20DD">
            <w:pPr>
              <w:pStyle w:val="TAH"/>
              <w:ind w:left="400" w:hanging="400"/>
            </w:pPr>
            <w:r>
              <w:lastRenderedPageBreak/>
              <w:t>Attribute name</w:t>
            </w:r>
          </w:p>
        </w:tc>
        <w:tc>
          <w:tcPr>
            <w:tcW w:w="1701" w:type="dxa"/>
            <w:shd w:val="clear" w:color="auto" w:fill="C0C0C0"/>
          </w:tcPr>
          <w:p w14:paraId="3EEBBB91" w14:textId="77777777" w:rsidR="003E1F9F" w:rsidRDefault="003E1F9F" w:rsidP="005A20DD">
            <w:pPr>
              <w:pStyle w:val="TAH"/>
              <w:ind w:left="400" w:hanging="400"/>
            </w:pPr>
            <w:r>
              <w:t>Data type</w:t>
            </w:r>
          </w:p>
        </w:tc>
        <w:tc>
          <w:tcPr>
            <w:tcW w:w="426" w:type="dxa"/>
            <w:shd w:val="clear" w:color="auto" w:fill="C0C0C0"/>
          </w:tcPr>
          <w:p w14:paraId="74877C52" w14:textId="77777777" w:rsidR="003E1F9F" w:rsidRDefault="003E1F9F" w:rsidP="005A20DD">
            <w:pPr>
              <w:pStyle w:val="TAH"/>
              <w:ind w:left="400" w:hanging="400"/>
            </w:pPr>
            <w:r>
              <w:t>P</w:t>
            </w:r>
          </w:p>
        </w:tc>
        <w:tc>
          <w:tcPr>
            <w:tcW w:w="1134" w:type="dxa"/>
            <w:shd w:val="clear" w:color="auto" w:fill="C0C0C0"/>
          </w:tcPr>
          <w:p w14:paraId="0CB93D0B" w14:textId="77777777" w:rsidR="003E1F9F" w:rsidRDefault="003E1F9F" w:rsidP="005A20DD">
            <w:pPr>
              <w:pStyle w:val="TAH"/>
              <w:ind w:left="400" w:hanging="400"/>
            </w:pPr>
            <w:r>
              <w:t>Cardinality</w:t>
            </w:r>
          </w:p>
        </w:tc>
        <w:tc>
          <w:tcPr>
            <w:tcW w:w="2976" w:type="dxa"/>
            <w:shd w:val="clear" w:color="auto" w:fill="C0C0C0"/>
          </w:tcPr>
          <w:p w14:paraId="39678E29" w14:textId="77777777" w:rsidR="003E1F9F" w:rsidRDefault="003E1F9F" w:rsidP="005A20DD">
            <w:pPr>
              <w:pStyle w:val="TAH"/>
              <w:ind w:left="400" w:hanging="400"/>
              <w:rPr>
                <w:rFonts w:cs="Arial"/>
                <w:szCs w:val="18"/>
              </w:rPr>
            </w:pPr>
            <w:r>
              <w:rPr>
                <w:rFonts w:cs="Arial"/>
                <w:szCs w:val="18"/>
              </w:rPr>
              <w:t>Description</w:t>
            </w:r>
          </w:p>
        </w:tc>
        <w:tc>
          <w:tcPr>
            <w:tcW w:w="1628" w:type="dxa"/>
            <w:shd w:val="clear" w:color="auto" w:fill="C0C0C0"/>
          </w:tcPr>
          <w:p w14:paraId="54C59974" w14:textId="77777777" w:rsidR="003E1F9F" w:rsidRDefault="003E1F9F" w:rsidP="005A20DD">
            <w:pPr>
              <w:pStyle w:val="TAH"/>
              <w:ind w:left="400" w:hanging="400"/>
              <w:rPr>
                <w:rFonts w:cs="Arial"/>
                <w:szCs w:val="18"/>
              </w:rPr>
            </w:pPr>
            <w:r>
              <w:rPr>
                <w:rFonts w:cs="Arial"/>
                <w:szCs w:val="18"/>
              </w:rPr>
              <w:t>Applicability</w:t>
            </w:r>
          </w:p>
        </w:tc>
      </w:tr>
      <w:tr w:rsidR="003E1F9F" w14:paraId="6C047BEB" w14:textId="77777777" w:rsidTr="005A20DD">
        <w:trPr>
          <w:jc w:val="center"/>
        </w:trPr>
        <w:tc>
          <w:tcPr>
            <w:tcW w:w="1628" w:type="dxa"/>
          </w:tcPr>
          <w:p w14:paraId="0B5D2F99" w14:textId="77777777" w:rsidR="003E1F9F" w:rsidRDefault="003E1F9F" w:rsidP="005A20DD">
            <w:pPr>
              <w:pStyle w:val="TAL"/>
            </w:pPr>
            <w:r>
              <w:rPr>
                <w:lang w:eastAsia="zh-CN"/>
              </w:rPr>
              <w:t>contextId</w:t>
            </w:r>
          </w:p>
        </w:tc>
        <w:tc>
          <w:tcPr>
            <w:tcW w:w="1701" w:type="dxa"/>
          </w:tcPr>
          <w:p w14:paraId="10F7C00D" w14:textId="77777777" w:rsidR="003E1F9F" w:rsidRDefault="003E1F9F" w:rsidP="005A20DD">
            <w:pPr>
              <w:pStyle w:val="TAL"/>
            </w:pPr>
            <w:r>
              <w:t>AnalyticsContextIdentifier</w:t>
            </w:r>
          </w:p>
        </w:tc>
        <w:tc>
          <w:tcPr>
            <w:tcW w:w="426" w:type="dxa"/>
          </w:tcPr>
          <w:p w14:paraId="0B8F606F" w14:textId="77777777" w:rsidR="003E1F9F" w:rsidRDefault="003E1F9F" w:rsidP="005A20DD">
            <w:pPr>
              <w:pStyle w:val="TAL"/>
              <w:jc w:val="center"/>
              <w:rPr>
                <w:lang w:eastAsia="zh-CN"/>
              </w:rPr>
            </w:pPr>
            <w:r>
              <w:rPr>
                <w:lang w:eastAsia="zh-CN"/>
              </w:rPr>
              <w:t>M</w:t>
            </w:r>
          </w:p>
        </w:tc>
        <w:tc>
          <w:tcPr>
            <w:tcW w:w="1134" w:type="dxa"/>
          </w:tcPr>
          <w:p w14:paraId="16732E29" w14:textId="77777777" w:rsidR="003E1F9F" w:rsidRDefault="003E1F9F" w:rsidP="005A20DD">
            <w:pPr>
              <w:pStyle w:val="TAL"/>
            </w:pPr>
            <w:r>
              <w:rPr>
                <w:rFonts w:cs="Arial"/>
                <w:szCs w:val="18"/>
                <w:lang w:eastAsia="zh-CN"/>
              </w:rPr>
              <w:t>1</w:t>
            </w:r>
          </w:p>
        </w:tc>
        <w:tc>
          <w:tcPr>
            <w:tcW w:w="2976" w:type="dxa"/>
          </w:tcPr>
          <w:p w14:paraId="5BBE9856" w14:textId="77777777" w:rsidR="003E1F9F" w:rsidRDefault="003E1F9F" w:rsidP="005A20DD">
            <w:pPr>
              <w:pStyle w:val="TAL"/>
              <w:rPr>
                <w:rFonts w:cs="Arial"/>
                <w:szCs w:val="18"/>
              </w:rPr>
            </w:pPr>
            <w:r>
              <w:t>Context identifier of the context information contained in the rest of the attributes</w:t>
            </w:r>
            <w:r>
              <w:rPr>
                <w:lang w:eastAsia="zh-CN"/>
              </w:rPr>
              <w:t>.</w:t>
            </w:r>
          </w:p>
        </w:tc>
        <w:tc>
          <w:tcPr>
            <w:tcW w:w="1628" w:type="dxa"/>
          </w:tcPr>
          <w:p w14:paraId="39E6F2FC" w14:textId="77777777" w:rsidR="003E1F9F" w:rsidRDefault="003E1F9F" w:rsidP="005A20DD">
            <w:pPr>
              <w:pStyle w:val="TAL"/>
              <w:rPr>
                <w:rFonts w:cs="Arial"/>
                <w:szCs w:val="18"/>
              </w:rPr>
            </w:pPr>
          </w:p>
        </w:tc>
      </w:tr>
      <w:tr w:rsidR="003E1F9F" w14:paraId="0F5F0738" w14:textId="77777777" w:rsidTr="005A20DD">
        <w:trPr>
          <w:jc w:val="center"/>
        </w:trPr>
        <w:tc>
          <w:tcPr>
            <w:tcW w:w="1628" w:type="dxa"/>
          </w:tcPr>
          <w:p w14:paraId="0312E66D" w14:textId="77777777" w:rsidR="003E1F9F" w:rsidRDefault="003E1F9F" w:rsidP="005A20DD">
            <w:pPr>
              <w:pStyle w:val="TAL"/>
              <w:rPr>
                <w:lang w:eastAsia="zh-CN"/>
              </w:rPr>
            </w:pPr>
            <w:r>
              <w:rPr>
                <w:lang w:eastAsia="zh-CN"/>
              </w:rPr>
              <w:t>pendAnalytics</w:t>
            </w:r>
          </w:p>
        </w:tc>
        <w:tc>
          <w:tcPr>
            <w:tcW w:w="1701" w:type="dxa"/>
          </w:tcPr>
          <w:p w14:paraId="071EA769" w14:textId="77777777" w:rsidR="003E1F9F" w:rsidRDefault="003E1F9F" w:rsidP="005A20DD">
            <w:pPr>
              <w:pStyle w:val="TAL"/>
            </w:pPr>
            <w:r>
              <w:t>array(EventNotification)</w:t>
            </w:r>
          </w:p>
        </w:tc>
        <w:tc>
          <w:tcPr>
            <w:tcW w:w="426" w:type="dxa"/>
          </w:tcPr>
          <w:p w14:paraId="3E092962" w14:textId="77777777" w:rsidR="003E1F9F" w:rsidRDefault="003E1F9F" w:rsidP="005A20DD">
            <w:pPr>
              <w:pStyle w:val="TAL"/>
              <w:jc w:val="center"/>
              <w:rPr>
                <w:lang w:eastAsia="zh-CN"/>
              </w:rPr>
            </w:pPr>
            <w:r>
              <w:rPr>
                <w:lang w:eastAsia="zh-CN"/>
              </w:rPr>
              <w:t>C</w:t>
            </w:r>
          </w:p>
        </w:tc>
        <w:tc>
          <w:tcPr>
            <w:tcW w:w="1134" w:type="dxa"/>
          </w:tcPr>
          <w:p w14:paraId="008574F4"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1AE46F76" w14:textId="77777777" w:rsidR="003E1F9F" w:rsidRDefault="003E1F9F" w:rsidP="005A20DD">
            <w:pPr>
              <w:pStyle w:val="TAL"/>
            </w:pPr>
            <w:r>
              <w:t xml:space="preserve">Contains output analytics for the analytics subscription this context element is associated with, which have not yet been sent to the analytics consumer. It shall be provided if such analytics are available and the NF service consumer has requested </w:t>
            </w:r>
            <w:r>
              <w:rPr>
                <w:lang w:eastAsia="zh-CN"/>
              </w:rPr>
              <w:t>the "PENDING_ANALYTICS" context type.</w:t>
            </w:r>
          </w:p>
        </w:tc>
        <w:tc>
          <w:tcPr>
            <w:tcW w:w="1628" w:type="dxa"/>
          </w:tcPr>
          <w:p w14:paraId="4894CBE6" w14:textId="77777777" w:rsidR="003E1F9F" w:rsidRDefault="003E1F9F" w:rsidP="005A20DD">
            <w:pPr>
              <w:pStyle w:val="TAL"/>
              <w:rPr>
                <w:rFonts w:cs="Arial"/>
                <w:szCs w:val="18"/>
              </w:rPr>
            </w:pPr>
          </w:p>
        </w:tc>
      </w:tr>
      <w:tr w:rsidR="003E1F9F" w14:paraId="64D5D1B0" w14:textId="77777777" w:rsidTr="005A20DD">
        <w:trPr>
          <w:jc w:val="center"/>
        </w:trPr>
        <w:tc>
          <w:tcPr>
            <w:tcW w:w="1628" w:type="dxa"/>
          </w:tcPr>
          <w:p w14:paraId="4BA4A43E" w14:textId="77777777" w:rsidR="003E1F9F" w:rsidRDefault="003E1F9F" w:rsidP="005A20DD">
            <w:pPr>
              <w:pStyle w:val="TAL"/>
              <w:rPr>
                <w:lang w:eastAsia="zh-CN"/>
              </w:rPr>
            </w:pPr>
            <w:r>
              <w:rPr>
                <w:lang w:eastAsia="zh-CN"/>
              </w:rPr>
              <w:t>histAnalytics</w:t>
            </w:r>
          </w:p>
        </w:tc>
        <w:tc>
          <w:tcPr>
            <w:tcW w:w="1701" w:type="dxa"/>
          </w:tcPr>
          <w:p w14:paraId="063DC182" w14:textId="77777777" w:rsidR="003E1F9F" w:rsidRDefault="003E1F9F" w:rsidP="005A20DD">
            <w:pPr>
              <w:pStyle w:val="TAL"/>
            </w:pPr>
            <w:r>
              <w:t>array(EventNotification)</w:t>
            </w:r>
          </w:p>
        </w:tc>
        <w:tc>
          <w:tcPr>
            <w:tcW w:w="426" w:type="dxa"/>
          </w:tcPr>
          <w:p w14:paraId="0A3549AF" w14:textId="77777777" w:rsidR="003E1F9F" w:rsidRDefault="003E1F9F" w:rsidP="005A20DD">
            <w:pPr>
              <w:pStyle w:val="TAL"/>
              <w:jc w:val="center"/>
              <w:rPr>
                <w:lang w:eastAsia="zh-CN"/>
              </w:rPr>
            </w:pPr>
            <w:r>
              <w:rPr>
                <w:lang w:eastAsia="zh-CN"/>
              </w:rPr>
              <w:t>C</w:t>
            </w:r>
          </w:p>
        </w:tc>
        <w:tc>
          <w:tcPr>
            <w:tcW w:w="1134" w:type="dxa"/>
          </w:tcPr>
          <w:p w14:paraId="39586D8E"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106FB628" w14:textId="77777777" w:rsidR="003E1F9F" w:rsidRDefault="003E1F9F" w:rsidP="005A20DD">
            <w:pPr>
              <w:pStyle w:val="TAL"/>
            </w:pPr>
            <w:r>
              <w:t xml:space="preserve">Contains historical output analytics for the analytics subscription this context element is associated with. It shall be provided if such analytics are available and the NF service consumer has requested </w:t>
            </w:r>
            <w:r>
              <w:rPr>
                <w:lang w:eastAsia="zh-CN"/>
              </w:rPr>
              <w:t>the "HISTORICAL_ANALYTICS" context type</w:t>
            </w:r>
            <w:r>
              <w:t>.</w:t>
            </w:r>
          </w:p>
        </w:tc>
        <w:tc>
          <w:tcPr>
            <w:tcW w:w="1628" w:type="dxa"/>
          </w:tcPr>
          <w:p w14:paraId="28ABE0A5" w14:textId="77777777" w:rsidR="003E1F9F" w:rsidRDefault="003E1F9F" w:rsidP="005A20DD">
            <w:pPr>
              <w:pStyle w:val="TAL"/>
              <w:rPr>
                <w:rFonts w:cs="Arial"/>
                <w:szCs w:val="18"/>
              </w:rPr>
            </w:pPr>
          </w:p>
        </w:tc>
      </w:tr>
      <w:tr w:rsidR="003E1F9F" w14:paraId="361D3B8A" w14:textId="77777777" w:rsidTr="005A20DD">
        <w:trPr>
          <w:jc w:val="center"/>
        </w:trPr>
        <w:tc>
          <w:tcPr>
            <w:tcW w:w="1628" w:type="dxa"/>
          </w:tcPr>
          <w:p w14:paraId="79DA2C2B" w14:textId="77777777" w:rsidR="003E1F9F" w:rsidRDefault="003E1F9F" w:rsidP="005A20DD">
            <w:pPr>
              <w:pStyle w:val="TAL"/>
              <w:rPr>
                <w:lang w:eastAsia="zh-CN"/>
              </w:rPr>
            </w:pPr>
            <w:r>
              <w:rPr>
                <w:lang w:eastAsia="zh-CN"/>
              </w:rPr>
              <w:t>lastOutputTime</w:t>
            </w:r>
          </w:p>
        </w:tc>
        <w:tc>
          <w:tcPr>
            <w:tcW w:w="1701" w:type="dxa"/>
          </w:tcPr>
          <w:p w14:paraId="41DD68A7" w14:textId="77777777" w:rsidR="003E1F9F" w:rsidRDefault="003E1F9F" w:rsidP="005A20DD">
            <w:pPr>
              <w:pStyle w:val="TAL"/>
            </w:pPr>
            <w:r>
              <w:t>DateTime</w:t>
            </w:r>
          </w:p>
        </w:tc>
        <w:tc>
          <w:tcPr>
            <w:tcW w:w="426" w:type="dxa"/>
          </w:tcPr>
          <w:p w14:paraId="6604B265" w14:textId="77777777" w:rsidR="003E1F9F" w:rsidRDefault="003E1F9F" w:rsidP="005A20DD">
            <w:pPr>
              <w:pStyle w:val="TAL"/>
              <w:jc w:val="center"/>
              <w:rPr>
                <w:lang w:eastAsia="zh-CN"/>
              </w:rPr>
            </w:pPr>
            <w:r>
              <w:rPr>
                <w:lang w:eastAsia="zh-CN"/>
              </w:rPr>
              <w:t>C</w:t>
            </w:r>
          </w:p>
        </w:tc>
        <w:tc>
          <w:tcPr>
            <w:tcW w:w="1134" w:type="dxa"/>
          </w:tcPr>
          <w:p w14:paraId="5D3CC3D3" w14:textId="77777777" w:rsidR="003E1F9F" w:rsidRDefault="003E1F9F" w:rsidP="005A20DD">
            <w:pPr>
              <w:pStyle w:val="TAL"/>
              <w:rPr>
                <w:rFonts w:cs="Arial"/>
                <w:szCs w:val="18"/>
                <w:lang w:eastAsia="zh-CN"/>
              </w:rPr>
            </w:pPr>
            <w:r>
              <w:rPr>
                <w:rFonts w:cs="Arial"/>
                <w:szCs w:val="18"/>
                <w:lang w:eastAsia="zh-CN"/>
              </w:rPr>
              <w:t>0..1</w:t>
            </w:r>
          </w:p>
        </w:tc>
        <w:tc>
          <w:tcPr>
            <w:tcW w:w="2976" w:type="dxa"/>
          </w:tcPr>
          <w:p w14:paraId="7F316E82" w14:textId="77777777" w:rsidR="003E1F9F" w:rsidRDefault="003E1F9F" w:rsidP="005A20DD">
            <w:pPr>
              <w:pStyle w:val="TAL"/>
            </w:pPr>
            <w:r>
              <w:rPr>
                <w:lang w:eastAsia="ko-KR"/>
              </w:rPr>
              <w:t>Timestamp of the last output analytics provided to the analytics consumer. It shall be provided if output analytics had been provided and</w:t>
            </w:r>
            <w:r>
              <w:t xml:space="preserve"> the NF service consumer has requested </w:t>
            </w:r>
            <w:r>
              <w:rPr>
                <w:lang w:eastAsia="zh-CN"/>
              </w:rPr>
              <w:t>the "PENDING_ANALYTICS" and/or "HISTORICAL_ANALYTICS" context type. Ab</w:t>
            </w:r>
            <w:r>
              <w:t>sence of this attribute means that no output analytics had been sent.</w:t>
            </w:r>
          </w:p>
        </w:tc>
        <w:tc>
          <w:tcPr>
            <w:tcW w:w="1628" w:type="dxa"/>
          </w:tcPr>
          <w:p w14:paraId="266970E8" w14:textId="77777777" w:rsidR="003E1F9F" w:rsidRDefault="003E1F9F" w:rsidP="005A20DD">
            <w:pPr>
              <w:pStyle w:val="TAL"/>
              <w:rPr>
                <w:rFonts w:cs="Arial"/>
                <w:szCs w:val="18"/>
              </w:rPr>
            </w:pPr>
          </w:p>
        </w:tc>
      </w:tr>
      <w:tr w:rsidR="003E1F9F" w14:paraId="130A0BEA" w14:textId="77777777" w:rsidTr="005A20DD">
        <w:trPr>
          <w:jc w:val="center"/>
        </w:trPr>
        <w:tc>
          <w:tcPr>
            <w:tcW w:w="1628" w:type="dxa"/>
          </w:tcPr>
          <w:p w14:paraId="1A81ED02" w14:textId="77777777" w:rsidR="003E1F9F" w:rsidRDefault="003E1F9F" w:rsidP="005A20DD">
            <w:pPr>
              <w:pStyle w:val="TAL"/>
              <w:rPr>
                <w:lang w:eastAsia="zh-CN"/>
              </w:rPr>
            </w:pPr>
            <w:r>
              <w:rPr>
                <w:lang w:eastAsia="zh-CN"/>
              </w:rPr>
              <w:t>aggrSubs</w:t>
            </w:r>
          </w:p>
        </w:tc>
        <w:tc>
          <w:tcPr>
            <w:tcW w:w="1701" w:type="dxa"/>
          </w:tcPr>
          <w:p w14:paraId="056E3155" w14:textId="77777777" w:rsidR="003E1F9F" w:rsidRDefault="003E1F9F" w:rsidP="005A20DD">
            <w:pPr>
              <w:pStyle w:val="TAL"/>
            </w:pPr>
            <w:r>
              <w:t>array(SpecificAnalyticsSubscription)</w:t>
            </w:r>
          </w:p>
        </w:tc>
        <w:tc>
          <w:tcPr>
            <w:tcW w:w="426" w:type="dxa"/>
          </w:tcPr>
          <w:p w14:paraId="6F6747EB" w14:textId="77777777" w:rsidR="003E1F9F" w:rsidRDefault="003E1F9F" w:rsidP="005A20DD">
            <w:pPr>
              <w:pStyle w:val="TAL"/>
              <w:jc w:val="center"/>
              <w:rPr>
                <w:lang w:eastAsia="zh-CN"/>
              </w:rPr>
            </w:pPr>
            <w:r>
              <w:t>C</w:t>
            </w:r>
          </w:p>
        </w:tc>
        <w:tc>
          <w:tcPr>
            <w:tcW w:w="1134" w:type="dxa"/>
          </w:tcPr>
          <w:p w14:paraId="683EEB7E" w14:textId="77777777" w:rsidR="003E1F9F" w:rsidRDefault="003E1F9F" w:rsidP="005A20DD">
            <w:pPr>
              <w:pStyle w:val="TAL"/>
              <w:rPr>
                <w:rFonts w:cs="Arial"/>
                <w:szCs w:val="18"/>
                <w:lang w:eastAsia="zh-CN"/>
              </w:rPr>
            </w:pPr>
            <w:r>
              <w:t>1..N</w:t>
            </w:r>
          </w:p>
        </w:tc>
        <w:tc>
          <w:tcPr>
            <w:tcW w:w="2976" w:type="dxa"/>
          </w:tcPr>
          <w:p w14:paraId="50DD3AFB" w14:textId="77777777" w:rsidR="003E1F9F" w:rsidRDefault="003E1F9F" w:rsidP="005A20DD">
            <w:pPr>
              <w:pStyle w:val="TAL"/>
            </w:pPr>
            <w:r>
              <w:rPr>
                <w:lang w:val="en-US" w:eastAsia="zh-CN"/>
              </w:rPr>
              <w:t>Contains a</w:t>
            </w:r>
            <w:r>
              <w:rPr>
                <w:lang w:eastAsia="zh-CN"/>
              </w:rPr>
              <w:t>nalytics subscription aggregation information, i.e. information about analytics subscriptions that the NWDAF has with other NWDAFs that collectively serve an analytics subscription. It shall be provided if such subscriptions exist and the NF service consumer has requested the "AGGR_SUBS" context type.</w:t>
            </w:r>
          </w:p>
        </w:tc>
        <w:tc>
          <w:tcPr>
            <w:tcW w:w="1628" w:type="dxa"/>
          </w:tcPr>
          <w:p w14:paraId="522C92D6" w14:textId="77777777" w:rsidR="003E1F9F" w:rsidRDefault="003E1F9F" w:rsidP="005A20DD">
            <w:pPr>
              <w:pStyle w:val="TAL"/>
              <w:rPr>
                <w:rFonts w:cs="Arial"/>
                <w:szCs w:val="18"/>
              </w:rPr>
            </w:pPr>
          </w:p>
        </w:tc>
      </w:tr>
      <w:tr w:rsidR="003E1F9F" w14:paraId="044998B8" w14:textId="77777777" w:rsidTr="005A20DD">
        <w:trPr>
          <w:jc w:val="center"/>
        </w:trPr>
        <w:tc>
          <w:tcPr>
            <w:tcW w:w="1628" w:type="dxa"/>
          </w:tcPr>
          <w:p w14:paraId="0377C044" w14:textId="77777777" w:rsidR="003E1F9F" w:rsidRDefault="003E1F9F" w:rsidP="005A20DD">
            <w:pPr>
              <w:pStyle w:val="TAL"/>
              <w:rPr>
                <w:lang w:eastAsia="zh-CN"/>
              </w:rPr>
            </w:pPr>
            <w:r>
              <w:rPr>
                <w:lang w:eastAsia="zh-CN"/>
              </w:rPr>
              <w:t>histData</w:t>
            </w:r>
          </w:p>
        </w:tc>
        <w:tc>
          <w:tcPr>
            <w:tcW w:w="1701" w:type="dxa"/>
          </w:tcPr>
          <w:p w14:paraId="2417A348" w14:textId="77777777" w:rsidR="003E1F9F" w:rsidRDefault="003E1F9F" w:rsidP="005A20DD">
            <w:pPr>
              <w:pStyle w:val="TAL"/>
            </w:pPr>
            <w:r>
              <w:t>array(HistoricalData)</w:t>
            </w:r>
          </w:p>
        </w:tc>
        <w:tc>
          <w:tcPr>
            <w:tcW w:w="426" w:type="dxa"/>
          </w:tcPr>
          <w:p w14:paraId="39DFCBEF" w14:textId="77777777" w:rsidR="003E1F9F" w:rsidRDefault="003E1F9F" w:rsidP="005A20DD">
            <w:pPr>
              <w:pStyle w:val="TAL"/>
              <w:jc w:val="center"/>
              <w:rPr>
                <w:lang w:eastAsia="zh-CN"/>
              </w:rPr>
            </w:pPr>
            <w:r>
              <w:rPr>
                <w:lang w:eastAsia="zh-CN"/>
              </w:rPr>
              <w:t>C</w:t>
            </w:r>
          </w:p>
        </w:tc>
        <w:tc>
          <w:tcPr>
            <w:tcW w:w="1134" w:type="dxa"/>
          </w:tcPr>
          <w:p w14:paraId="599F744D"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553D9E10" w14:textId="77777777" w:rsidR="003E1F9F" w:rsidRDefault="003E1F9F" w:rsidP="005A20DD">
            <w:pPr>
              <w:pStyle w:val="TAL"/>
            </w:pPr>
            <w:r>
              <w:t xml:space="preserve">Contains </w:t>
            </w:r>
            <w:r>
              <w:rPr>
                <w:lang w:eastAsia="ko-KR"/>
              </w:rPr>
              <w:t>historical data</w:t>
            </w:r>
            <w:r>
              <w:t xml:space="preserve"> related to the analytics subscription this context element is associated with. </w:t>
            </w:r>
            <w:r>
              <w:rPr>
                <w:lang w:eastAsia="zh-CN"/>
              </w:rPr>
              <w:t>It shall be provided if such data exists and the NF service consumer has requested the "DATA" context type.</w:t>
            </w:r>
          </w:p>
        </w:tc>
        <w:tc>
          <w:tcPr>
            <w:tcW w:w="1628" w:type="dxa"/>
          </w:tcPr>
          <w:p w14:paraId="37E5C1D3" w14:textId="77777777" w:rsidR="003E1F9F" w:rsidRDefault="003E1F9F" w:rsidP="005A20DD">
            <w:pPr>
              <w:pStyle w:val="TAL"/>
              <w:rPr>
                <w:rFonts w:cs="Arial"/>
                <w:szCs w:val="18"/>
              </w:rPr>
            </w:pPr>
          </w:p>
        </w:tc>
      </w:tr>
      <w:tr w:rsidR="003E1F9F" w14:paraId="71BD5E6F" w14:textId="77777777" w:rsidTr="005A20DD">
        <w:trPr>
          <w:jc w:val="center"/>
        </w:trPr>
        <w:tc>
          <w:tcPr>
            <w:tcW w:w="1628" w:type="dxa"/>
          </w:tcPr>
          <w:p w14:paraId="16746EE3" w14:textId="77777777" w:rsidR="003E1F9F" w:rsidRDefault="003E1F9F" w:rsidP="005A20DD">
            <w:pPr>
              <w:pStyle w:val="TAL"/>
              <w:rPr>
                <w:lang w:eastAsia="zh-CN"/>
              </w:rPr>
            </w:pPr>
            <w:r>
              <w:rPr>
                <w:lang w:eastAsia="zh-CN"/>
              </w:rPr>
              <w:t>adrfId</w:t>
            </w:r>
          </w:p>
        </w:tc>
        <w:tc>
          <w:tcPr>
            <w:tcW w:w="1701" w:type="dxa"/>
          </w:tcPr>
          <w:p w14:paraId="0BCEBC1B" w14:textId="77777777" w:rsidR="003E1F9F" w:rsidRDefault="003E1F9F" w:rsidP="005A20DD">
            <w:pPr>
              <w:pStyle w:val="TAL"/>
            </w:pPr>
            <w:r>
              <w:t>NfInstanceId</w:t>
            </w:r>
          </w:p>
        </w:tc>
        <w:tc>
          <w:tcPr>
            <w:tcW w:w="426" w:type="dxa"/>
          </w:tcPr>
          <w:p w14:paraId="15130FC8" w14:textId="77777777" w:rsidR="003E1F9F" w:rsidRDefault="003E1F9F" w:rsidP="005A20DD">
            <w:pPr>
              <w:pStyle w:val="TAL"/>
              <w:jc w:val="center"/>
              <w:rPr>
                <w:lang w:eastAsia="zh-CN"/>
              </w:rPr>
            </w:pPr>
            <w:r>
              <w:rPr>
                <w:lang w:eastAsia="zh-CN"/>
              </w:rPr>
              <w:t>O</w:t>
            </w:r>
          </w:p>
        </w:tc>
        <w:tc>
          <w:tcPr>
            <w:tcW w:w="1134" w:type="dxa"/>
          </w:tcPr>
          <w:p w14:paraId="1751396F" w14:textId="77777777" w:rsidR="003E1F9F" w:rsidRDefault="003E1F9F" w:rsidP="005A20DD">
            <w:pPr>
              <w:pStyle w:val="TAL"/>
              <w:rPr>
                <w:rFonts w:cs="Arial"/>
                <w:szCs w:val="18"/>
                <w:lang w:eastAsia="zh-CN"/>
              </w:rPr>
            </w:pPr>
            <w:r>
              <w:rPr>
                <w:rFonts w:cs="Arial"/>
                <w:szCs w:val="18"/>
                <w:lang w:eastAsia="zh-CN"/>
              </w:rPr>
              <w:t>0..1</w:t>
            </w:r>
          </w:p>
        </w:tc>
        <w:tc>
          <w:tcPr>
            <w:tcW w:w="2976" w:type="dxa"/>
          </w:tcPr>
          <w:p w14:paraId="22151FA2" w14:textId="77777777" w:rsidR="003E1F9F" w:rsidRDefault="003E1F9F" w:rsidP="005A20DD">
            <w:pPr>
              <w:pStyle w:val="TAL"/>
            </w:pPr>
            <w:r>
              <w:t xml:space="preserve">Identifier of the ADRF in which </w:t>
            </w:r>
            <w:r>
              <w:rPr>
                <w:lang w:eastAsia="ko-KR"/>
              </w:rPr>
              <w:t>the NWDAF stores analytics context information.</w:t>
            </w:r>
          </w:p>
        </w:tc>
        <w:tc>
          <w:tcPr>
            <w:tcW w:w="1628" w:type="dxa"/>
          </w:tcPr>
          <w:p w14:paraId="1F6B4832" w14:textId="77777777" w:rsidR="003E1F9F" w:rsidRDefault="003E1F9F" w:rsidP="005A20DD">
            <w:pPr>
              <w:pStyle w:val="TAL"/>
              <w:rPr>
                <w:rFonts w:cs="Arial"/>
                <w:szCs w:val="18"/>
              </w:rPr>
            </w:pPr>
          </w:p>
        </w:tc>
      </w:tr>
      <w:tr w:rsidR="003E1F9F" w14:paraId="07D9E4C1" w14:textId="77777777" w:rsidTr="005A20DD">
        <w:trPr>
          <w:jc w:val="center"/>
        </w:trPr>
        <w:tc>
          <w:tcPr>
            <w:tcW w:w="1628" w:type="dxa"/>
          </w:tcPr>
          <w:p w14:paraId="08DCB1FA" w14:textId="77777777" w:rsidR="003E1F9F" w:rsidRDefault="003E1F9F" w:rsidP="005A20DD">
            <w:pPr>
              <w:pStyle w:val="TAL"/>
              <w:rPr>
                <w:lang w:eastAsia="zh-CN"/>
              </w:rPr>
            </w:pPr>
            <w:r>
              <w:rPr>
                <w:lang w:eastAsia="zh-CN"/>
              </w:rPr>
              <w:t>adrfDataTypes</w:t>
            </w:r>
          </w:p>
        </w:tc>
        <w:tc>
          <w:tcPr>
            <w:tcW w:w="1701" w:type="dxa"/>
          </w:tcPr>
          <w:p w14:paraId="15A47BCB" w14:textId="77777777" w:rsidR="003E1F9F" w:rsidRDefault="003E1F9F" w:rsidP="005A20DD">
            <w:pPr>
              <w:pStyle w:val="TAL"/>
            </w:pPr>
            <w:r>
              <w:t>array(AdrfDataType)</w:t>
            </w:r>
          </w:p>
        </w:tc>
        <w:tc>
          <w:tcPr>
            <w:tcW w:w="426" w:type="dxa"/>
          </w:tcPr>
          <w:p w14:paraId="622DE885" w14:textId="77777777" w:rsidR="003E1F9F" w:rsidRDefault="003E1F9F" w:rsidP="005A20DD">
            <w:pPr>
              <w:pStyle w:val="TAL"/>
              <w:jc w:val="center"/>
              <w:rPr>
                <w:lang w:eastAsia="zh-CN"/>
              </w:rPr>
            </w:pPr>
            <w:r>
              <w:rPr>
                <w:lang w:eastAsia="zh-CN"/>
              </w:rPr>
              <w:t>C</w:t>
            </w:r>
          </w:p>
        </w:tc>
        <w:tc>
          <w:tcPr>
            <w:tcW w:w="1134" w:type="dxa"/>
          </w:tcPr>
          <w:p w14:paraId="163E24FD"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691DBC40" w14:textId="77777777" w:rsidR="003E1F9F" w:rsidRDefault="003E1F9F" w:rsidP="005A20DD">
            <w:pPr>
              <w:pStyle w:val="TAL"/>
            </w:pPr>
            <w:r>
              <w:t>Type(s) of data stored in the ADRF by the NWDAF. It shall be provided if the attribute "adrfId" is provided.</w:t>
            </w:r>
          </w:p>
        </w:tc>
        <w:tc>
          <w:tcPr>
            <w:tcW w:w="1628" w:type="dxa"/>
          </w:tcPr>
          <w:p w14:paraId="34CBC1E3" w14:textId="77777777" w:rsidR="003E1F9F" w:rsidRDefault="003E1F9F" w:rsidP="005A20DD">
            <w:pPr>
              <w:pStyle w:val="TAL"/>
              <w:rPr>
                <w:rFonts w:cs="Arial"/>
                <w:szCs w:val="18"/>
              </w:rPr>
            </w:pPr>
          </w:p>
        </w:tc>
      </w:tr>
      <w:tr w:rsidR="003E1F9F" w14:paraId="26F08AF4" w14:textId="77777777" w:rsidTr="005A20DD">
        <w:trPr>
          <w:jc w:val="center"/>
        </w:trPr>
        <w:tc>
          <w:tcPr>
            <w:tcW w:w="1628" w:type="dxa"/>
          </w:tcPr>
          <w:p w14:paraId="4D2977EF" w14:textId="77777777" w:rsidR="003E1F9F" w:rsidRDefault="003E1F9F" w:rsidP="005A20DD">
            <w:pPr>
              <w:pStyle w:val="TAL"/>
              <w:rPr>
                <w:lang w:eastAsia="zh-CN"/>
              </w:rPr>
            </w:pPr>
            <w:r>
              <w:rPr>
                <w:lang w:eastAsia="zh-CN"/>
              </w:rPr>
              <w:t>aggrNwdafIds</w:t>
            </w:r>
          </w:p>
        </w:tc>
        <w:tc>
          <w:tcPr>
            <w:tcW w:w="1701" w:type="dxa"/>
          </w:tcPr>
          <w:p w14:paraId="4AEAF207" w14:textId="77777777" w:rsidR="003E1F9F" w:rsidRDefault="003E1F9F" w:rsidP="005A20DD">
            <w:pPr>
              <w:pStyle w:val="TAL"/>
            </w:pPr>
            <w:r>
              <w:t>array(NfInstanceId)</w:t>
            </w:r>
          </w:p>
        </w:tc>
        <w:tc>
          <w:tcPr>
            <w:tcW w:w="426" w:type="dxa"/>
          </w:tcPr>
          <w:p w14:paraId="3253C718" w14:textId="77777777" w:rsidR="003E1F9F" w:rsidRDefault="003E1F9F" w:rsidP="005A20DD">
            <w:pPr>
              <w:pStyle w:val="TAL"/>
              <w:jc w:val="center"/>
              <w:rPr>
                <w:lang w:eastAsia="zh-CN"/>
              </w:rPr>
            </w:pPr>
            <w:r>
              <w:rPr>
                <w:lang w:eastAsia="zh-CN"/>
              </w:rPr>
              <w:t>C</w:t>
            </w:r>
          </w:p>
        </w:tc>
        <w:tc>
          <w:tcPr>
            <w:tcW w:w="1134" w:type="dxa"/>
          </w:tcPr>
          <w:p w14:paraId="5309A14F"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337E3961" w14:textId="77777777" w:rsidR="003E1F9F" w:rsidRDefault="003E1F9F" w:rsidP="005A20DD">
            <w:pPr>
              <w:pStyle w:val="TAL"/>
            </w:pPr>
            <w:r>
              <w:rPr>
                <w:lang w:eastAsia="ko-KR"/>
              </w:rPr>
              <w:t xml:space="preserve">NWDAF identifiers of NWDAF instances used by the NWDAF service consumer when aggregating multiple analytics subscriptions. It shall be provided if such information is available and </w:t>
            </w:r>
            <w:r>
              <w:rPr>
                <w:lang w:eastAsia="zh-CN"/>
              </w:rPr>
              <w:t>the NF service consumer has requested the "AGGR_INFO" context type.</w:t>
            </w:r>
          </w:p>
        </w:tc>
        <w:tc>
          <w:tcPr>
            <w:tcW w:w="1628" w:type="dxa"/>
          </w:tcPr>
          <w:p w14:paraId="0C6C0460" w14:textId="77777777" w:rsidR="003E1F9F" w:rsidRDefault="003E1F9F" w:rsidP="005A20DD">
            <w:pPr>
              <w:pStyle w:val="TAL"/>
              <w:rPr>
                <w:rFonts w:cs="Arial"/>
                <w:szCs w:val="18"/>
              </w:rPr>
            </w:pPr>
          </w:p>
        </w:tc>
      </w:tr>
      <w:tr w:rsidR="003E1F9F" w14:paraId="3FC7DBBF" w14:textId="77777777" w:rsidTr="005A20DD">
        <w:trPr>
          <w:jc w:val="center"/>
        </w:trPr>
        <w:tc>
          <w:tcPr>
            <w:tcW w:w="1628" w:type="dxa"/>
          </w:tcPr>
          <w:p w14:paraId="750F6F54" w14:textId="77777777" w:rsidR="003E1F9F" w:rsidRDefault="00AD5F95" w:rsidP="005A20DD">
            <w:pPr>
              <w:pStyle w:val="TAL"/>
              <w:rPr>
                <w:lang w:eastAsia="zh-CN"/>
              </w:rPr>
            </w:pPr>
            <w:r>
              <w:rPr>
                <w:lang w:val="en-US" w:eastAsia="zh-CN"/>
              </w:rPr>
              <w:lastRenderedPageBreak/>
              <w:t>modelInfo</w:t>
            </w:r>
          </w:p>
        </w:tc>
        <w:tc>
          <w:tcPr>
            <w:tcW w:w="1701" w:type="dxa"/>
          </w:tcPr>
          <w:p w14:paraId="6C2EEEA9" w14:textId="77777777" w:rsidR="003E1F9F" w:rsidRDefault="003E1F9F" w:rsidP="005A20DD">
            <w:pPr>
              <w:pStyle w:val="TAL"/>
            </w:pPr>
            <w:r>
              <w:t>array(ModelInfo)</w:t>
            </w:r>
          </w:p>
        </w:tc>
        <w:tc>
          <w:tcPr>
            <w:tcW w:w="426" w:type="dxa"/>
          </w:tcPr>
          <w:p w14:paraId="5F86C10E" w14:textId="77777777" w:rsidR="003E1F9F" w:rsidRDefault="003E1F9F" w:rsidP="005A20DD">
            <w:pPr>
              <w:pStyle w:val="TAL"/>
              <w:jc w:val="center"/>
              <w:rPr>
                <w:lang w:eastAsia="zh-CN"/>
              </w:rPr>
            </w:pPr>
            <w:r>
              <w:rPr>
                <w:lang w:eastAsia="zh-CN"/>
              </w:rPr>
              <w:t>C</w:t>
            </w:r>
          </w:p>
        </w:tc>
        <w:tc>
          <w:tcPr>
            <w:tcW w:w="1134" w:type="dxa"/>
          </w:tcPr>
          <w:p w14:paraId="4FA91312"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244D8357" w14:textId="77777777" w:rsidR="003E1F9F" w:rsidRDefault="003E1F9F" w:rsidP="005A20DD">
            <w:pPr>
              <w:pStyle w:val="TAL"/>
            </w:pPr>
            <w:r>
              <w:rPr>
                <w:lang w:val="en-US" w:eastAsia="zh-CN"/>
              </w:rPr>
              <w:t>Contains i</w:t>
            </w:r>
            <w:r>
              <w:rPr>
                <w:lang w:eastAsia="zh-CN"/>
              </w:rPr>
              <w:t>nformation identifying the ML model(s) that the consumer NWDAF is currently subscribing for the analytics</w:t>
            </w:r>
            <w:r>
              <w:rPr>
                <w:lang w:eastAsia="ko-KR"/>
              </w:rPr>
              <w:t xml:space="preserve">. It shall be provided if such information is available and </w:t>
            </w:r>
            <w:r>
              <w:rPr>
                <w:lang w:eastAsia="zh-CN"/>
              </w:rPr>
              <w:t>the NF service consumer has requested the "ML_MODELS" context type.</w:t>
            </w:r>
          </w:p>
        </w:tc>
        <w:tc>
          <w:tcPr>
            <w:tcW w:w="1628" w:type="dxa"/>
          </w:tcPr>
          <w:p w14:paraId="4CB4665D" w14:textId="77777777" w:rsidR="003E1F9F" w:rsidRDefault="003E1F9F" w:rsidP="005A20DD">
            <w:pPr>
              <w:pStyle w:val="TAL"/>
              <w:rPr>
                <w:rFonts w:cs="Arial"/>
                <w:szCs w:val="18"/>
              </w:rPr>
            </w:pPr>
          </w:p>
        </w:tc>
      </w:tr>
      <w:tr w:rsidR="003E1F9F" w14:paraId="513D644D" w14:textId="77777777" w:rsidTr="005A20DD">
        <w:trPr>
          <w:jc w:val="center"/>
        </w:trPr>
        <w:tc>
          <w:tcPr>
            <w:tcW w:w="1628" w:type="dxa"/>
          </w:tcPr>
          <w:p w14:paraId="7145FFAE" w14:textId="77777777" w:rsidR="003E1F9F" w:rsidRDefault="003E1F9F" w:rsidP="005A20DD">
            <w:pPr>
              <w:pStyle w:val="TAL"/>
              <w:rPr>
                <w:lang w:eastAsia="zh-CN"/>
              </w:rPr>
            </w:pPr>
            <w:r>
              <w:rPr>
                <w:rFonts w:hint="eastAsia"/>
                <w:lang w:eastAsia="zh-CN"/>
              </w:rPr>
              <w:t>a</w:t>
            </w:r>
            <w:r>
              <w:rPr>
                <w:lang w:eastAsia="zh-CN"/>
              </w:rPr>
              <w:t>naAccuInfos</w:t>
            </w:r>
          </w:p>
        </w:tc>
        <w:tc>
          <w:tcPr>
            <w:tcW w:w="1701" w:type="dxa"/>
          </w:tcPr>
          <w:p w14:paraId="256EB97D" w14:textId="77777777" w:rsidR="003E1F9F" w:rsidRDefault="003E1F9F" w:rsidP="005A20DD">
            <w:pPr>
              <w:pStyle w:val="TAL"/>
            </w:pPr>
            <w:r>
              <w:t>array(AnalyticsAccuracyInfo)</w:t>
            </w:r>
          </w:p>
        </w:tc>
        <w:tc>
          <w:tcPr>
            <w:tcW w:w="426" w:type="dxa"/>
          </w:tcPr>
          <w:p w14:paraId="23CEACE1" w14:textId="77777777" w:rsidR="003E1F9F" w:rsidRDefault="003E1F9F" w:rsidP="005A20DD">
            <w:pPr>
              <w:pStyle w:val="TAL"/>
              <w:jc w:val="center"/>
              <w:rPr>
                <w:lang w:eastAsia="zh-CN"/>
              </w:rPr>
            </w:pPr>
            <w:r>
              <w:rPr>
                <w:lang w:eastAsia="zh-CN"/>
              </w:rPr>
              <w:t>C</w:t>
            </w:r>
          </w:p>
        </w:tc>
        <w:tc>
          <w:tcPr>
            <w:tcW w:w="1134" w:type="dxa"/>
          </w:tcPr>
          <w:p w14:paraId="4ACAFD9E"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687073FB" w14:textId="77777777" w:rsidR="003E1F9F" w:rsidRDefault="003E1F9F" w:rsidP="005A20DD">
            <w:pPr>
              <w:pStyle w:val="TAL"/>
              <w:rPr>
                <w:lang w:val="en-US" w:eastAsia="zh-CN"/>
              </w:rPr>
            </w:pPr>
            <w:r>
              <w:t xml:space="preserve">Contains </w:t>
            </w:r>
            <w:r>
              <w:rPr>
                <w:lang w:eastAsia="ko-KR"/>
              </w:rPr>
              <w:t>Analytics Accuracy related information</w:t>
            </w:r>
            <w:r>
              <w:t xml:space="preserve"> related to the analytics subscription associated with this context element. </w:t>
            </w:r>
            <w:r>
              <w:rPr>
                <w:lang w:eastAsia="zh-CN"/>
              </w:rPr>
              <w:t xml:space="preserve">It shall be provided if such </w:t>
            </w:r>
            <w:r>
              <w:rPr>
                <w:lang w:eastAsia="ko-KR"/>
              </w:rPr>
              <w:t>information</w:t>
            </w:r>
            <w:r>
              <w:t xml:space="preserve"> </w:t>
            </w:r>
            <w:r>
              <w:rPr>
                <w:lang w:eastAsia="zh-CN"/>
              </w:rPr>
              <w:t>exists and the NF service consumer has requested the "</w:t>
            </w:r>
            <w:r>
              <w:t>ANALYTICS_ACCU_INFO</w:t>
            </w:r>
            <w:r>
              <w:rPr>
                <w:lang w:eastAsia="zh-CN"/>
              </w:rPr>
              <w:t>" context type.</w:t>
            </w:r>
          </w:p>
        </w:tc>
        <w:tc>
          <w:tcPr>
            <w:tcW w:w="1628" w:type="dxa"/>
          </w:tcPr>
          <w:p w14:paraId="3D1E5F5E" w14:textId="77777777" w:rsidR="003E1F9F" w:rsidRDefault="003E1F9F" w:rsidP="005A20DD">
            <w:pPr>
              <w:pStyle w:val="TAL"/>
              <w:rPr>
                <w:rFonts w:cs="Arial"/>
                <w:szCs w:val="18"/>
              </w:rPr>
            </w:pPr>
            <w:r>
              <w:rPr>
                <w:lang w:eastAsia="zh-CN"/>
              </w:rPr>
              <w:t>EnAnaCtxTransfer</w:t>
            </w:r>
          </w:p>
        </w:tc>
      </w:tr>
      <w:tr w:rsidR="003E1F9F" w14:paraId="05F64A3C" w14:textId="77777777" w:rsidTr="005A20DD">
        <w:trPr>
          <w:jc w:val="center"/>
        </w:trPr>
        <w:tc>
          <w:tcPr>
            <w:tcW w:w="1628" w:type="dxa"/>
          </w:tcPr>
          <w:p w14:paraId="3B3DBEEE" w14:textId="77777777" w:rsidR="003E1F9F" w:rsidRDefault="003E1F9F" w:rsidP="005A20DD">
            <w:pPr>
              <w:pStyle w:val="TAL"/>
              <w:rPr>
                <w:lang w:eastAsia="zh-CN"/>
              </w:rPr>
            </w:pPr>
            <w:r>
              <w:rPr>
                <w:rFonts w:hint="eastAsia"/>
                <w:lang w:eastAsia="zh-CN"/>
              </w:rPr>
              <w:t>m</w:t>
            </w:r>
            <w:r>
              <w:rPr>
                <w:lang w:eastAsia="zh-CN"/>
              </w:rPr>
              <w:t>odelAccuInfos</w:t>
            </w:r>
          </w:p>
        </w:tc>
        <w:tc>
          <w:tcPr>
            <w:tcW w:w="1701" w:type="dxa"/>
          </w:tcPr>
          <w:p w14:paraId="4AD28BF3" w14:textId="77777777" w:rsidR="003E1F9F" w:rsidRDefault="003E1F9F" w:rsidP="005A20DD">
            <w:pPr>
              <w:pStyle w:val="TAL"/>
            </w:pPr>
            <w:r>
              <w:t>array(MlModelAccuracyInfo)</w:t>
            </w:r>
          </w:p>
        </w:tc>
        <w:tc>
          <w:tcPr>
            <w:tcW w:w="426" w:type="dxa"/>
          </w:tcPr>
          <w:p w14:paraId="0A4FBACE" w14:textId="77777777" w:rsidR="003E1F9F" w:rsidRDefault="003E1F9F" w:rsidP="005A20DD">
            <w:pPr>
              <w:pStyle w:val="TAL"/>
              <w:jc w:val="center"/>
              <w:rPr>
                <w:lang w:eastAsia="zh-CN"/>
              </w:rPr>
            </w:pPr>
            <w:r>
              <w:rPr>
                <w:lang w:eastAsia="zh-CN"/>
              </w:rPr>
              <w:t>C</w:t>
            </w:r>
          </w:p>
        </w:tc>
        <w:tc>
          <w:tcPr>
            <w:tcW w:w="1134" w:type="dxa"/>
          </w:tcPr>
          <w:p w14:paraId="2FBE15ED" w14:textId="77777777" w:rsidR="003E1F9F" w:rsidRDefault="003E1F9F" w:rsidP="005A20DD">
            <w:pPr>
              <w:pStyle w:val="TAL"/>
              <w:rPr>
                <w:rFonts w:cs="Arial"/>
                <w:szCs w:val="18"/>
                <w:lang w:eastAsia="zh-CN"/>
              </w:rPr>
            </w:pPr>
            <w:r>
              <w:rPr>
                <w:rFonts w:cs="Arial"/>
                <w:szCs w:val="18"/>
                <w:lang w:eastAsia="zh-CN"/>
              </w:rPr>
              <w:t>1..N</w:t>
            </w:r>
          </w:p>
        </w:tc>
        <w:tc>
          <w:tcPr>
            <w:tcW w:w="2976" w:type="dxa"/>
          </w:tcPr>
          <w:p w14:paraId="2A5BFB91" w14:textId="77777777" w:rsidR="003E1F9F" w:rsidRDefault="003E1F9F" w:rsidP="005A20DD">
            <w:pPr>
              <w:pStyle w:val="TAL"/>
              <w:rPr>
                <w:lang w:val="en-US" w:eastAsia="zh-CN"/>
              </w:rPr>
            </w:pPr>
            <w:r>
              <w:t xml:space="preserve">Contains ML Model accuracy related information related to the analytics subscription associated with this context element. </w:t>
            </w:r>
            <w:r>
              <w:rPr>
                <w:lang w:eastAsia="zh-CN"/>
              </w:rPr>
              <w:t xml:space="preserve">It shall be provided if such </w:t>
            </w:r>
            <w:r>
              <w:rPr>
                <w:lang w:eastAsia="ko-KR"/>
              </w:rPr>
              <w:t>information</w:t>
            </w:r>
            <w:r>
              <w:t xml:space="preserve"> </w:t>
            </w:r>
            <w:r>
              <w:rPr>
                <w:lang w:eastAsia="zh-CN"/>
              </w:rPr>
              <w:t>exists and the NF service consumer has requested the "</w:t>
            </w:r>
            <w:r>
              <w:t>ML_MODEL_ACCU_INFO</w:t>
            </w:r>
            <w:r>
              <w:rPr>
                <w:lang w:eastAsia="zh-CN"/>
              </w:rPr>
              <w:t>" context type.</w:t>
            </w:r>
          </w:p>
        </w:tc>
        <w:tc>
          <w:tcPr>
            <w:tcW w:w="1628" w:type="dxa"/>
          </w:tcPr>
          <w:p w14:paraId="25CEB4AE" w14:textId="77777777" w:rsidR="003E1F9F" w:rsidRDefault="003E1F9F" w:rsidP="005A20DD">
            <w:pPr>
              <w:pStyle w:val="TAL"/>
              <w:rPr>
                <w:rFonts w:cs="Arial"/>
                <w:szCs w:val="18"/>
              </w:rPr>
            </w:pPr>
            <w:r>
              <w:rPr>
                <w:lang w:eastAsia="zh-CN"/>
              </w:rPr>
              <w:t>EnAnaCtxTransfer</w:t>
            </w:r>
          </w:p>
        </w:tc>
      </w:tr>
    </w:tbl>
    <w:p w14:paraId="548A9D2A" w14:textId="77777777" w:rsidR="003E1F9F" w:rsidRDefault="003E1F9F" w:rsidP="003E1F9F"/>
    <w:p w14:paraId="64BC2507" w14:textId="77777777" w:rsidR="00A10B25" w:rsidRDefault="00A10B25">
      <w:pPr>
        <w:pStyle w:val="5"/>
      </w:pPr>
      <w:bookmarkStart w:id="10853" w:name="_Toc164920960"/>
      <w:bookmarkStart w:id="10854" w:name="_Toc170120502"/>
      <w:bookmarkStart w:id="10855" w:name="_Toc175858747"/>
      <w:bookmarkStart w:id="10856" w:name="_Toc175859820"/>
      <w:bookmarkStart w:id="10857" w:name="_Toc180606110"/>
      <w:bookmarkStart w:id="10858" w:name="_Toc185517371"/>
      <w:bookmarkStart w:id="10859" w:name="_Toc191576423"/>
      <w:bookmarkStart w:id="10860" w:name="_Toc191577163"/>
      <w:bookmarkStart w:id="10861" w:name="_Toc192880233"/>
      <w:bookmarkStart w:id="10862" w:name="_Toc195815122"/>
      <w:bookmarkStart w:id="10863" w:name="_Toc199453089"/>
      <w:r>
        <w:t>5.2.6.2.8</w:t>
      </w:r>
      <w:r>
        <w:tab/>
        <w:t>Type ContextIdList</w:t>
      </w:r>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53"/>
      <w:bookmarkEnd w:id="10854"/>
      <w:bookmarkEnd w:id="10855"/>
      <w:bookmarkEnd w:id="10856"/>
      <w:bookmarkEnd w:id="10857"/>
      <w:bookmarkEnd w:id="10858"/>
      <w:bookmarkEnd w:id="10859"/>
      <w:bookmarkEnd w:id="10860"/>
      <w:bookmarkEnd w:id="10861"/>
      <w:bookmarkEnd w:id="10862"/>
      <w:bookmarkEnd w:id="10863"/>
    </w:p>
    <w:p w14:paraId="20E57668" w14:textId="77777777" w:rsidR="00A10B25" w:rsidRDefault="00A10B25">
      <w:pPr>
        <w:pStyle w:val="TH"/>
      </w:pPr>
      <w:r>
        <w:t>Table 5.2.6.2.8-1: Definition of type ContextIdList</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FA9DD04" w14:textId="77777777">
        <w:trPr>
          <w:jc w:val="center"/>
        </w:trPr>
        <w:tc>
          <w:tcPr>
            <w:tcW w:w="1628" w:type="dxa"/>
            <w:shd w:val="clear" w:color="auto" w:fill="C0C0C0"/>
          </w:tcPr>
          <w:p w14:paraId="1DFC26BC" w14:textId="77777777" w:rsidR="00A10B25" w:rsidRDefault="00A10B25">
            <w:pPr>
              <w:pStyle w:val="TAH"/>
            </w:pPr>
            <w:r>
              <w:t>Attribute name</w:t>
            </w:r>
          </w:p>
        </w:tc>
        <w:tc>
          <w:tcPr>
            <w:tcW w:w="1701" w:type="dxa"/>
            <w:shd w:val="clear" w:color="auto" w:fill="C0C0C0"/>
          </w:tcPr>
          <w:p w14:paraId="6D66C18D" w14:textId="77777777" w:rsidR="00A10B25" w:rsidRDefault="00A10B25">
            <w:pPr>
              <w:pStyle w:val="TAH"/>
            </w:pPr>
            <w:r>
              <w:t>Data type</w:t>
            </w:r>
          </w:p>
        </w:tc>
        <w:tc>
          <w:tcPr>
            <w:tcW w:w="426" w:type="dxa"/>
            <w:shd w:val="clear" w:color="auto" w:fill="C0C0C0"/>
          </w:tcPr>
          <w:p w14:paraId="1A1C3476" w14:textId="77777777" w:rsidR="00A10B25" w:rsidRDefault="00A10B25">
            <w:pPr>
              <w:pStyle w:val="TAH"/>
            </w:pPr>
            <w:r>
              <w:t>P</w:t>
            </w:r>
          </w:p>
        </w:tc>
        <w:tc>
          <w:tcPr>
            <w:tcW w:w="1134" w:type="dxa"/>
            <w:shd w:val="clear" w:color="auto" w:fill="C0C0C0"/>
          </w:tcPr>
          <w:p w14:paraId="47155E9F" w14:textId="77777777" w:rsidR="00A10B25" w:rsidRDefault="00A10B25">
            <w:pPr>
              <w:pStyle w:val="TAH"/>
            </w:pPr>
            <w:r>
              <w:t>Cardinality</w:t>
            </w:r>
          </w:p>
        </w:tc>
        <w:tc>
          <w:tcPr>
            <w:tcW w:w="2976" w:type="dxa"/>
            <w:shd w:val="clear" w:color="auto" w:fill="C0C0C0"/>
          </w:tcPr>
          <w:p w14:paraId="19DBC5BE" w14:textId="77777777" w:rsidR="00A10B25" w:rsidRDefault="00A10B25">
            <w:pPr>
              <w:pStyle w:val="TAH"/>
              <w:rPr>
                <w:rFonts w:cs="Arial"/>
                <w:szCs w:val="18"/>
              </w:rPr>
            </w:pPr>
            <w:r>
              <w:rPr>
                <w:rFonts w:cs="Arial"/>
                <w:szCs w:val="18"/>
              </w:rPr>
              <w:t>Description</w:t>
            </w:r>
          </w:p>
        </w:tc>
        <w:tc>
          <w:tcPr>
            <w:tcW w:w="1628" w:type="dxa"/>
            <w:shd w:val="clear" w:color="auto" w:fill="C0C0C0"/>
          </w:tcPr>
          <w:p w14:paraId="1F3DC48B" w14:textId="77777777" w:rsidR="00A10B25" w:rsidRDefault="00A10B25">
            <w:pPr>
              <w:pStyle w:val="TAH"/>
              <w:rPr>
                <w:rFonts w:cs="Arial"/>
                <w:szCs w:val="18"/>
              </w:rPr>
            </w:pPr>
            <w:r>
              <w:rPr>
                <w:rFonts w:cs="Arial"/>
                <w:szCs w:val="18"/>
              </w:rPr>
              <w:t>Applicability</w:t>
            </w:r>
          </w:p>
        </w:tc>
      </w:tr>
      <w:tr w:rsidR="00A10B25" w14:paraId="7F5F69E9" w14:textId="77777777">
        <w:trPr>
          <w:jc w:val="center"/>
        </w:trPr>
        <w:tc>
          <w:tcPr>
            <w:tcW w:w="1628" w:type="dxa"/>
          </w:tcPr>
          <w:p w14:paraId="5290B818" w14:textId="77777777" w:rsidR="00A10B25" w:rsidRDefault="00A10B25">
            <w:pPr>
              <w:pStyle w:val="TAL"/>
            </w:pPr>
            <w:r>
              <w:rPr>
                <w:lang w:eastAsia="zh-CN"/>
              </w:rPr>
              <w:t>contextIds</w:t>
            </w:r>
          </w:p>
        </w:tc>
        <w:tc>
          <w:tcPr>
            <w:tcW w:w="1701" w:type="dxa"/>
          </w:tcPr>
          <w:p w14:paraId="14F3622A" w14:textId="77777777" w:rsidR="00A10B25" w:rsidRDefault="00A10B25">
            <w:pPr>
              <w:pStyle w:val="TAL"/>
            </w:pPr>
            <w:r>
              <w:t>array(AnalyticsContextIdentifier)</w:t>
            </w:r>
          </w:p>
        </w:tc>
        <w:tc>
          <w:tcPr>
            <w:tcW w:w="426" w:type="dxa"/>
          </w:tcPr>
          <w:p w14:paraId="580998E2" w14:textId="77777777" w:rsidR="00A10B25" w:rsidRDefault="00A10B25">
            <w:pPr>
              <w:pStyle w:val="TAL"/>
              <w:jc w:val="center"/>
              <w:rPr>
                <w:lang w:eastAsia="zh-CN"/>
              </w:rPr>
            </w:pPr>
            <w:r>
              <w:rPr>
                <w:lang w:eastAsia="zh-CN"/>
              </w:rPr>
              <w:t>M</w:t>
            </w:r>
          </w:p>
        </w:tc>
        <w:tc>
          <w:tcPr>
            <w:tcW w:w="1134" w:type="dxa"/>
          </w:tcPr>
          <w:p w14:paraId="033AF5B7" w14:textId="77777777" w:rsidR="00A10B25" w:rsidRDefault="00A10B25">
            <w:pPr>
              <w:pStyle w:val="TAL"/>
            </w:pPr>
            <w:r>
              <w:rPr>
                <w:rFonts w:cs="Arial"/>
                <w:szCs w:val="18"/>
                <w:lang w:eastAsia="zh-CN"/>
              </w:rPr>
              <w:t>1..N</w:t>
            </w:r>
          </w:p>
        </w:tc>
        <w:tc>
          <w:tcPr>
            <w:tcW w:w="2976" w:type="dxa"/>
          </w:tcPr>
          <w:p w14:paraId="07F11845" w14:textId="77777777" w:rsidR="00A10B25" w:rsidRDefault="00A10B25">
            <w:pPr>
              <w:pStyle w:val="TAL"/>
              <w:rPr>
                <w:rFonts w:cs="Arial"/>
                <w:szCs w:val="18"/>
              </w:rPr>
            </w:pPr>
            <w:r>
              <w:t>List of context identifiers of context information of analytics subscriptions.</w:t>
            </w:r>
          </w:p>
        </w:tc>
        <w:tc>
          <w:tcPr>
            <w:tcW w:w="1628" w:type="dxa"/>
          </w:tcPr>
          <w:p w14:paraId="473CB7AE" w14:textId="77777777" w:rsidR="00A10B25" w:rsidRDefault="00A10B25">
            <w:pPr>
              <w:pStyle w:val="TAL"/>
              <w:rPr>
                <w:rFonts w:cs="Arial"/>
                <w:szCs w:val="18"/>
              </w:rPr>
            </w:pPr>
          </w:p>
        </w:tc>
      </w:tr>
    </w:tbl>
    <w:p w14:paraId="0A6F0D27" w14:textId="77777777" w:rsidR="00A10B25" w:rsidRDefault="00A10B25">
      <w:bookmarkStart w:id="10864" w:name="_Toc98233765"/>
      <w:bookmarkStart w:id="10865" w:name="_Toc94064378"/>
      <w:bookmarkStart w:id="10866" w:name="_Toc85553081"/>
      <w:bookmarkStart w:id="10867" w:name="_Toc90655973"/>
      <w:bookmarkStart w:id="10868" w:name="_Toc85557180"/>
      <w:bookmarkStart w:id="10869" w:name="_Toc88667688"/>
    </w:p>
    <w:p w14:paraId="61584E3C" w14:textId="77777777" w:rsidR="00A10B25" w:rsidRDefault="00A10B25">
      <w:pPr>
        <w:pStyle w:val="5"/>
      </w:pPr>
      <w:bookmarkStart w:id="10870" w:name="_Toc136562536"/>
      <w:bookmarkStart w:id="10871" w:name="_Toc138754370"/>
      <w:bookmarkStart w:id="10872" w:name="_Toc145705865"/>
      <w:bookmarkStart w:id="10873" w:name="_Toc120702440"/>
      <w:bookmarkStart w:id="10874" w:name="_Toc112951260"/>
      <w:bookmarkStart w:id="10875" w:name="_Toc113031800"/>
      <w:bookmarkStart w:id="10876" w:name="_Toc104539137"/>
      <w:bookmarkStart w:id="10877" w:name="_Toc148522775"/>
      <w:bookmarkStart w:id="10878" w:name="_Toc101244542"/>
      <w:bookmarkStart w:id="10879" w:name="_Toc114133939"/>
      <w:bookmarkStart w:id="10880" w:name="_Toc164920961"/>
      <w:bookmarkStart w:id="10881" w:name="_Toc170120503"/>
      <w:bookmarkStart w:id="10882" w:name="_Toc175858748"/>
      <w:bookmarkStart w:id="10883" w:name="_Toc175859821"/>
      <w:bookmarkStart w:id="10884" w:name="_Toc180606111"/>
      <w:bookmarkStart w:id="10885" w:name="_Toc185517372"/>
      <w:bookmarkStart w:id="10886" w:name="_Toc191576424"/>
      <w:bookmarkStart w:id="10887" w:name="_Toc191577164"/>
      <w:bookmarkStart w:id="10888" w:name="_Toc192880234"/>
      <w:bookmarkStart w:id="10889" w:name="_Toc195815123"/>
      <w:bookmarkStart w:id="10890" w:name="_Toc199453090"/>
      <w:r>
        <w:t>5.2.6.2.9</w:t>
      </w:r>
      <w:r>
        <w:tab/>
        <w:t>Type HistoricalData</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13BE2F10" w14:textId="77777777" w:rsidR="00A10B25" w:rsidRDefault="00A10B25">
      <w:pPr>
        <w:pStyle w:val="TH"/>
      </w:pPr>
      <w:r>
        <w:t>Table 5.2.6.2.9-1: Definition of type HistoricalData</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1BCD3C91" w14:textId="77777777">
        <w:trPr>
          <w:jc w:val="center"/>
        </w:trPr>
        <w:tc>
          <w:tcPr>
            <w:tcW w:w="1628" w:type="dxa"/>
            <w:shd w:val="clear" w:color="auto" w:fill="C0C0C0"/>
          </w:tcPr>
          <w:p w14:paraId="0220356F" w14:textId="77777777" w:rsidR="00A10B25" w:rsidRDefault="00A10B25">
            <w:pPr>
              <w:pStyle w:val="TAH"/>
            </w:pPr>
            <w:r>
              <w:t>Attribute name</w:t>
            </w:r>
          </w:p>
        </w:tc>
        <w:tc>
          <w:tcPr>
            <w:tcW w:w="1701" w:type="dxa"/>
            <w:shd w:val="clear" w:color="auto" w:fill="C0C0C0"/>
          </w:tcPr>
          <w:p w14:paraId="28AE94C7" w14:textId="77777777" w:rsidR="00A10B25" w:rsidRDefault="00A10B25">
            <w:pPr>
              <w:pStyle w:val="TAH"/>
            </w:pPr>
            <w:r>
              <w:t>Data type</w:t>
            </w:r>
          </w:p>
        </w:tc>
        <w:tc>
          <w:tcPr>
            <w:tcW w:w="426" w:type="dxa"/>
            <w:shd w:val="clear" w:color="auto" w:fill="C0C0C0"/>
          </w:tcPr>
          <w:p w14:paraId="4C8E6BA3" w14:textId="77777777" w:rsidR="00A10B25" w:rsidRDefault="00A10B25">
            <w:pPr>
              <w:pStyle w:val="TAH"/>
            </w:pPr>
            <w:r>
              <w:t>P</w:t>
            </w:r>
          </w:p>
        </w:tc>
        <w:tc>
          <w:tcPr>
            <w:tcW w:w="1134" w:type="dxa"/>
            <w:shd w:val="clear" w:color="auto" w:fill="C0C0C0"/>
          </w:tcPr>
          <w:p w14:paraId="0EC438CA" w14:textId="77777777" w:rsidR="00A10B25" w:rsidRDefault="00A10B25">
            <w:pPr>
              <w:pStyle w:val="TAH"/>
            </w:pPr>
            <w:r>
              <w:t>Cardinality</w:t>
            </w:r>
          </w:p>
        </w:tc>
        <w:tc>
          <w:tcPr>
            <w:tcW w:w="2976" w:type="dxa"/>
            <w:shd w:val="clear" w:color="auto" w:fill="C0C0C0"/>
          </w:tcPr>
          <w:p w14:paraId="18C3586E" w14:textId="77777777" w:rsidR="00A10B25" w:rsidRDefault="00A10B25">
            <w:pPr>
              <w:pStyle w:val="TAH"/>
              <w:rPr>
                <w:rFonts w:cs="Arial"/>
                <w:szCs w:val="18"/>
              </w:rPr>
            </w:pPr>
            <w:r>
              <w:rPr>
                <w:rFonts w:cs="Arial"/>
                <w:szCs w:val="18"/>
              </w:rPr>
              <w:t>Description</w:t>
            </w:r>
          </w:p>
        </w:tc>
        <w:tc>
          <w:tcPr>
            <w:tcW w:w="1628" w:type="dxa"/>
            <w:shd w:val="clear" w:color="auto" w:fill="C0C0C0"/>
          </w:tcPr>
          <w:p w14:paraId="19242C89" w14:textId="77777777" w:rsidR="00A10B25" w:rsidRDefault="00A10B25">
            <w:pPr>
              <w:pStyle w:val="TAH"/>
              <w:rPr>
                <w:rFonts w:cs="Arial"/>
                <w:szCs w:val="18"/>
              </w:rPr>
            </w:pPr>
            <w:r>
              <w:rPr>
                <w:rFonts w:cs="Arial"/>
                <w:szCs w:val="18"/>
              </w:rPr>
              <w:t>Applicability</w:t>
            </w:r>
          </w:p>
        </w:tc>
      </w:tr>
      <w:tr w:rsidR="00A10B25" w14:paraId="7DAB1C1C" w14:textId="77777777">
        <w:trPr>
          <w:jc w:val="center"/>
        </w:trPr>
        <w:tc>
          <w:tcPr>
            <w:tcW w:w="1628" w:type="dxa"/>
          </w:tcPr>
          <w:p w14:paraId="2B995461" w14:textId="77777777" w:rsidR="00A10B25" w:rsidRDefault="00A10B25">
            <w:pPr>
              <w:pStyle w:val="TAL"/>
            </w:pPr>
            <w:r>
              <w:rPr>
                <w:lang w:val="de-DE"/>
              </w:rPr>
              <w:t>startTime</w:t>
            </w:r>
          </w:p>
        </w:tc>
        <w:tc>
          <w:tcPr>
            <w:tcW w:w="1701" w:type="dxa"/>
          </w:tcPr>
          <w:p w14:paraId="3446CE94" w14:textId="77777777" w:rsidR="00A10B25" w:rsidRDefault="00A10B25">
            <w:pPr>
              <w:pStyle w:val="TAL"/>
            </w:pPr>
            <w:r>
              <w:t>DateTime</w:t>
            </w:r>
          </w:p>
        </w:tc>
        <w:tc>
          <w:tcPr>
            <w:tcW w:w="426" w:type="dxa"/>
          </w:tcPr>
          <w:p w14:paraId="1B6FC63B" w14:textId="77777777" w:rsidR="00A10B25" w:rsidRDefault="00A10B25">
            <w:pPr>
              <w:pStyle w:val="TAL"/>
              <w:jc w:val="center"/>
              <w:rPr>
                <w:lang w:eastAsia="zh-CN"/>
              </w:rPr>
            </w:pPr>
            <w:r>
              <w:rPr>
                <w:lang w:eastAsia="zh-CN"/>
              </w:rPr>
              <w:t>O</w:t>
            </w:r>
          </w:p>
        </w:tc>
        <w:tc>
          <w:tcPr>
            <w:tcW w:w="1134" w:type="dxa"/>
          </w:tcPr>
          <w:p w14:paraId="2A147D55" w14:textId="77777777" w:rsidR="00A10B25" w:rsidRDefault="00A10B25">
            <w:pPr>
              <w:pStyle w:val="TAL"/>
            </w:pPr>
            <w:r>
              <w:t>0..1</w:t>
            </w:r>
          </w:p>
        </w:tc>
        <w:tc>
          <w:tcPr>
            <w:tcW w:w="2976" w:type="dxa"/>
          </w:tcPr>
          <w:p w14:paraId="6F18ECAF" w14:textId="77777777" w:rsidR="00A10B25" w:rsidRDefault="00A10B25">
            <w:pPr>
              <w:pStyle w:val="TAL"/>
              <w:rPr>
                <w:rFonts w:cs="Arial"/>
                <w:szCs w:val="18"/>
              </w:rPr>
            </w:pPr>
            <w:r>
              <w:rPr>
                <w:rFonts w:cs="Arial"/>
                <w:szCs w:val="18"/>
              </w:rPr>
              <w:t>Start of the time period during which the data was collected.</w:t>
            </w:r>
          </w:p>
        </w:tc>
        <w:tc>
          <w:tcPr>
            <w:tcW w:w="1628" w:type="dxa"/>
          </w:tcPr>
          <w:p w14:paraId="2A3CE85E" w14:textId="77777777" w:rsidR="00A10B25" w:rsidRDefault="00A10B25">
            <w:pPr>
              <w:pStyle w:val="TAL"/>
              <w:rPr>
                <w:rFonts w:cs="Arial"/>
                <w:szCs w:val="18"/>
              </w:rPr>
            </w:pPr>
          </w:p>
        </w:tc>
      </w:tr>
      <w:tr w:rsidR="00A10B25" w14:paraId="00C81695" w14:textId="77777777">
        <w:trPr>
          <w:jc w:val="center"/>
        </w:trPr>
        <w:tc>
          <w:tcPr>
            <w:tcW w:w="1628" w:type="dxa"/>
          </w:tcPr>
          <w:p w14:paraId="286266B1" w14:textId="77777777" w:rsidR="00A10B25" w:rsidRDefault="00A10B25">
            <w:pPr>
              <w:pStyle w:val="TAL"/>
            </w:pPr>
            <w:r>
              <w:t>endTime</w:t>
            </w:r>
          </w:p>
        </w:tc>
        <w:tc>
          <w:tcPr>
            <w:tcW w:w="1701" w:type="dxa"/>
          </w:tcPr>
          <w:p w14:paraId="620A6C57" w14:textId="77777777" w:rsidR="00A10B25" w:rsidRDefault="00A10B25">
            <w:pPr>
              <w:pStyle w:val="TAL"/>
            </w:pPr>
            <w:r>
              <w:t>DateTime</w:t>
            </w:r>
          </w:p>
        </w:tc>
        <w:tc>
          <w:tcPr>
            <w:tcW w:w="426" w:type="dxa"/>
          </w:tcPr>
          <w:p w14:paraId="44EB2FDB" w14:textId="77777777" w:rsidR="00A10B25" w:rsidRDefault="00A10B25">
            <w:pPr>
              <w:pStyle w:val="TAL"/>
              <w:jc w:val="center"/>
              <w:rPr>
                <w:lang w:eastAsia="zh-CN"/>
              </w:rPr>
            </w:pPr>
            <w:r>
              <w:rPr>
                <w:lang w:eastAsia="zh-CN"/>
              </w:rPr>
              <w:t>O</w:t>
            </w:r>
          </w:p>
        </w:tc>
        <w:tc>
          <w:tcPr>
            <w:tcW w:w="1134" w:type="dxa"/>
          </w:tcPr>
          <w:p w14:paraId="0D97ADC4" w14:textId="77777777" w:rsidR="00A10B25" w:rsidRDefault="00A10B25">
            <w:pPr>
              <w:pStyle w:val="TAL"/>
            </w:pPr>
            <w:r>
              <w:t>0..1</w:t>
            </w:r>
          </w:p>
        </w:tc>
        <w:tc>
          <w:tcPr>
            <w:tcW w:w="2976" w:type="dxa"/>
          </w:tcPr>
          <w:p w14:paraId="0EF1FD71" w14:textId="77777777" w:rsidR="00A10B25" w:rsidRDefault="00A10B25">
            <w:pPr>
              <w:pStyle w:val="TAL"/>
              <w:rPr>
                <w:rFonts w:cs="Arial"/>
                <w:szCs w:val="18"/>
              </w:rPr>
            </w:pPr>
            <w:r>
              <w:rPr>
                <w:rFonts w:cs="Arial"/>
                <w:szCs w:val="18"/>
              </w:rPr>
              <w:t>End of the time period during which the data was collected.</w:t>
            </w:r>
          </w:p>
        </w:tc>
        <w:tc>
          <w:tcPr>
            <w:tcW w:w="1628" w:type="dxa"/>
          </w:tcPr>
          <w:p w14:paraId="7494853B" w14:textId="77777777" w:rsidR="00A10B25" w:rsidRDefault="00A10B25">
            <w:pPr>
              <w:pStyle w:val="TAL"/>
              <w:rPr>
                <w:rFonts w:cs="Arial"/>
                <w:szCs w:val="18"/>
              </w:rPr>
            </w:pPr>
          </w:p>
        </w:tc>
      </w:tr>
      <w:tr w:rsidR="00A10B25" w14:paraId="22E4D0DD" w14:textId="77777777">
        <w:trPr>
          <w:jc w:val="center"/>
        </w:trPr>
        <w:tc>
          <w:tcPr>
            <w:tcW w:w="1628" w:type="dxa"/>
          </w:tcPr>
          <w:p w14:paraId="17170635" w14:textId="77777777" w:rsidR="00A10B25" w:rsidRDefault="00A10B25">
            <w:pPr>
              <w:pStyle w:val="TAL"/>
            </w:pPr>
            <w:r>
              <w:t>subsWithSources</w:t>
            </w:r>
          </w:p>
        </w:tc>
        <w:tc>
          <w:tcPr>
            <w:tcW w:w="1701" w:type="dxa"/>
          </w:tcPr>
          <w:p w14:paraId="6955DBF2" w14:textId="77777777" w:rsidR="00A10B25" w:rsidRDefault="00A10B25">
            <w:pPr>
              <w:pStyle w:val="TAL"/>
            </w:pPr>
            <w:r>
              <w:t>array(SpecificDataSubscription)</w:t>
            </w:r>
          </w:p>
        </w:tc>
        <w:tc>
          <w:tcPr>
            <w:tcW w:w="426" w:type="dxa"/>
          </w:tcPr>
          <w:p w14:paraId="1DE3BD34" w14:textId="77777777" w:rsidR="00A10B25" w:rsidRDefault="00A10B25">
            <w:pPr>
              <w:pStyle w:val="TAL"/>
              <w:jc w:val="center"/>
              <w:rPr>
                <w:lang w:eastAsia="zh-CN"/>
              </w:rPr>
            </w:pPr>
            <w:r>
              <w:rPr>
                <w:lang w:eastAsia="zh-CN"/>
              </w:rPr>
              <w:t>O</w:t>
            </w:r>
          </w:p>
        </w:tc>
        <w:tc>
          <w:tcPr>
            <w:tcW w:w="1134" w:type="dxa"/>
          </w:tcPr>
          <w:p w14:paraId="44DE2D70" w14:textId="77777777" w:rsidR="00A10B25" w:rsidRDefault="00A10B25">
            <w:pPr>
              <w:pStyle w:val="TAL"/>
            </w:pPr>
            <w:r>
              <w:t>1..N</w:t>
            </w:r>
          </w:p>
        </w:tc>
        <w:tc>
          <w:tcPr>
            <w:tcW w:w="2976" w:type="dxa"/>
          </w:tcPr>
          <w:p w14:paraId="1A81E859" w14:textId="77777777" w:rsidR="00A10B25" w:rsidRDefault="00A10B25">
            <w:pPr>
              <w:pStyle w:val="TAL"/>
              <w:rPr>
                <w:rFonts w:cs="Arial"/>
                <w:szCs w:val="18"/>
              </w:rPr>
            </w:pPr>
            <w:r>
              <w:rPr>
                <w:rFonts w:cs="Arial"/>
                <w:szCs w:val="18"/>
              </w:rPr>
              <w:t>Information about subscriptions with the data sources.</w:t>
            </w:r>
          </w:p>
        </w:tc>
        <w:tc>
          <w:tcPr>
            <w:tcW w:w="1628" w:type="dxa"/>
          </w:tcPr>
          <w:p w14:paraId="04BB5CD4" w14:textId="77777777" w:rsidR="00A10B25" w:rsidRDefault="00A10B25">
            <w:pPr>
              <w:pStyle w:val="TAL"/>
              <w:rPr>
                <w:rFonts w:cs="Arial"/>
                <w:szCs w:val="18"/>
              </w:rPr>
            </w:pPr>
          </w:p>
        </w:tc>
      </w:tr>
      <w:tr w:rsidR="00A10B25" w14:paraId="742ED3F6" w14:textId="77777777">
        <w:trPr>
          <w:jc w:val="center"/>
        </w:trPr>
        <w:tc>
          <w:tcPr>
            <w:tcW w:w="1628" w:type="dxa"/>
          </w:tcPr>
          <w:p w14:paraId="3F2D6954" w14:textId="77777777" w:rsidR="00A10B25" w:rsidRDefault="00A10B25">
            <w:pPr>
              <w:pStyle w:val="TAL"/>
            </w:pPr>
            <w:r>
              <w:t>data</w:t>
            </w:r>
          </w:p>
        </w:tc>
        <w:tc>
          <w:tcPr>
            <w:tcW w:w="1701" w:type="dxa"/>
          </w:tcPr>
          <w:p w14:paraId="4C2E9A73" w14:textId="77777777" w:rsidR="00A10B25" w:rsidRDefault="00A10B25">
            <w:pPr>
              <w:pStyle w:val="TAL"/>
            </w:pPr>
            <w:r>
              <w:t>array(DataNotification)</w:t>
            </w:r>
          </w:p>
        </w:tc>
        <w:tc>
          <w:tcPr>
            <w:tcW w:w="426" w:type="dxa"/>
          </w:tcPr>
          <w:p w14:paraId="32E80CF0" w14:textId="77777777" w:rsidR="00A10B25" w:rsidRDefault="00A10B25">
            <w:pPr>
              <w:pStyle w:val="TAL"/>
              <w:jc w:val="center"/>
              <w:rPr>
                <w:lang w:eastAsia="zh-CN"/>
              </w:rPr>
            </w:pPr>
            <w:r>
              <w:rPr>
                <w:lang w:eastAsia="zh-CN"/>
              </w:rPr>
              <w:t>M</w:t>
            </w:r>
          </w:p>
        </w:tc>
        <w:tc>
          <w:tcPr>
            <w:tcW w:w="1134" w:type="dxa"/>
          </w:tcPr>
          <w:p w14:paraId="0B4520E4" w14:textId="77777777" w:rsidR="00A10B25" w:rsidRDefault="00A10B25">
            <w:pPr>
              <w:pStyle w:val="TAL"/>
            </w:pPr>
            <w:r>
              <w:t>1..N</w:t>
            </w:r>
          </w:p>
        </w:tc>
        <w:tc>
          <w:tcPr>
            <w:tcW w:w="2976" w:type="dxa"/>
          </w:tcPr>
          <w:p w14:paraId="760B8C2A" w14:textId="77777777" w:rsidR="00A10B25" w:rsidRDefault="00A10B25">
            <w:pPr>
              <w:pStyle w:val="TAL"/>
              <w:rPr>
                <w:rFonts w:cs="Arial"/>
                <w:szCs w:val="18"/>
              </w:rPr>
            </w:pPr>
            <w:r>
              <w:rPr>
                <w:rFonts w:cs="Arial"/>
                <w:szCs w:val="18"/>
              </w:rPr>
              <w:t>Historical data related to the analytics.</w:t>
            </w:r>
          </w:p>
        </w:tc>
        <w:tc>
          <w:tcPr>
            <w:tcW w:w="1628" w:type="dxa"/>
          </w:tcPr>
          <w:p w14:paraId="340D1015" w14:textId="77777777" w:rsidR="00A10B25" w:rsidRDefault="00A10B25">
            <w:pPr>
              <w:pStyle w:val="TAL"/>
              <w:rPr>
                <w:rFonts w:cs="Arial"/>
                <w:szCs w:val="18"/>
              </w:rPr>
            </w:pPr>
          </w:p>
        </w:tc>
      </w:tr>
    </w:tbl>
    <w:p w14:paraId="43867882" w14:textId="77777777" w:rsidR="00A10B25" w:rsidRDefault="00A10B25">
      <w:pPr>
        <w:rPr>
          <w:lang w:val="es-ES"/>
        </w:rPr>
      </w:pPr>
    </w:p>
    <w:p w14:paraId="18C9DBAF" w14:textId="77777777" w:rsidR="00A10B25" w:rsidRDefault="00A10B25">
      <w:pPr>
        <w:pStyle w:val="5"/>
      </w:pPr>
      <w:bookmarkStart w:id="10891" w:name="_Toc85553082"/>
      <w:bookmarkStart w:id="10892" w:name="_Toc136562537"/>
      <w:bookmarkStart w:id="10893" w:name="_Toc88667689"/>
      <w:bookmarkStart w:id="10894" w:name="_Toc101244543"/>
      <w:bookmarkStart w:id="10895" w:name="_Toc148522776"/>
      <w:bookmarkStart w:id="10896" w:name="_Toc113031801"/>
      <w:bookmarkStart w:id="10897" w:name="_Toc94064379"/>
      <w:bookmarkStart w:id="10898" w:name="_Toc138754371"/>
      <w:bookmarkStart w:id="10899" w:name="_Toc112951261"/>
      <w:bookmarkStart w:id="10900" w:name="_Toc104539138"/>
      <w:bookmarkStart w:id="10901" w:name="_Toc90655974"/>
      <w:bookmarkStart w:id="10902" w:name="_Toc98233766"/>
      <w:bookmarkStart w:id="10903" w:name="_Toc114133940"/>
      <w:bookmarkStart w:id="10904" w:name="_Toc145705866"/>
      <w:bookmarkStart w:id="10905" w:name="_Toc120702441"/>
      <w:bookmarkStart w:id="10906" w:name="_Toc85557181"/>
      <w:bookmarkStart w:id="10907" w:name="_Toc164920962"/>
      <w:bookmarkStart w:id="10908" w:name="_Toc170120504"/>
      <w:bookmarkStart w:id="10909" w:name="_Toc175858749"/>
      <w:bookmarkStart w:id="10910" w:name="_Toc175859822"/>
      <w:bookmarkStart w:id="10911" w:name="_Toc180606112"/>
      <w:bookmarkStart w:id="10912" w:name="_Toc185517373"/>
      <w:bookmarkStart w:id="10913" w:name="_Toc191576425"/>
      <w:bookmarkStart w:id="10914" w:name="_Toc191577165"/>
      <w:bookmarkStart w:id="10915" w:name="_Toc192880235"/>
      <w:bookmarkStart w:id="10916" w:name="_Toc195815124"/>
      <w:bookmarkStart w:id="10917" w:name="_Toc199453091"/>
      <w:r>
        <w:lastRenderedPageBreak/>
        <w:t>5.2.6.2.10</w:t>
      </w:r>
      <w:r>
        <w:tab/>
        <w:t>Type SpecificAnalyticsSubscription</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12FD94DB" w14:textId="77777777" w:rsidR="00A10B25" w:rsidRDefault="00A10B25">
      <w:pPr>
        <w:pStyle w:val="TH"/>
      </w:pPr>
      <w:r>
        <w:t>Table 5.2.6.2.10-1: Definition of type SpecificAnalyticsSubscription</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4ACAD2E4" w14:textId="77777777">
        <w:trPr>
          <w:jc w:val="center"/>
        </w:trPr>
        <w:tc>
          <w:tcPr>
            <w:tcW w:w="1628" w:type="dxa"/>
            <w:shd w:val="clear" w:color="auto" w:fill="C0C0C0"/>
          </w:tcPr>
          <w:p w14:paraId="25444597" w14:textId="77777777" w:rsidR="00A10B25" w:rsidRDefault="00A10B25">
            <w:pPr>
              <w:pStyle w:val="TAH"/>
            </w:pPr>
            <w:r>
              <w:t>Attribute name</w:t>
            </w:r>
          </w:p>
        </w:tc>
        <w:tc>
          <w:tcPr>
            <w:tcW w:w="1701" w:type="dxa"/>
            <w:shd w:val="clear" w:color="auto" w:fill="C0C0C0"/>
          </w:tcPr>
          <w:p w14:paraId="472E75E4" w14:textId="77777777" w:rsidR="00A10B25" w:rsidRDefault="00A10B25">
            <w:pPr>
              <w:pStyle w:val="TAH"/>
            </w:pPr>
            <w:r>
              <w:t>Data type</w:t>
            </w:r>
          </w:p>
        </w:tc>
        <w:tc>
          <w:tcPr>
            <w:tcW w:w="426" w:type="dxa"/>
            <w:shd w:val="clear" w:color="auto" w:fill="C0C0C0"/>
          </w:tcPr>
          <w:p w14:paraId="5C6D82F8" w14:textId="77777777" w:rsidR="00A10B25" w:rsidRDefault="00A10B25">
            <w:pPr>
              <w:pStyle w:val="TAH"/>
            </w:pPr>
            <w:r>
              <w:t>P</w:t>
            </w:r>
          </w:p>
        </w:tc>
        <w:tc>
          <w:tcPr>
            <w:tcW w:w="1134" w:type="dxa"/>
            <w:shd w:val="clear" w:color="auto" w:fill="C0C0C0"/>
          </w:tcPr>
          <w:p w14:paraId="70464772" w14:textId="77777777" w:rsidR="00A10B25" w:rsidRDefault="00A10B25">
            <w:pPr>
              <w:pStyle w:val="TAH"/>
            </w:pPr>
            <w:r>
              <w:t>Cardinality</w:t>
            </w:r>
          </w:p>
        </w:tc>
        <w:tc>
          <w:tcPr>
            <w:tcW w:w="2976" w:type="dxa"/>
            <w:shd w:val="clear" w:color="auto" w:fill="C0C0C0"/>
          </w:tcPr>
          <w:p w14:paraId="532FDB12" w14:textId="77777777" w:rsidR="00A10B25" w:rsidRDefault="00A10B25">
            <w:pPr>
              <w:pStyle w:val="TAH"/>
              <w:rPr>
                <w:rFonts w:cs="Arial"/>
                <w:szCs w:val="18"/>
              </w:rPr>
            </w:pPr>
            <w:r>
              <w:rPr>
                <w:rFonts w:cs="Arial"/>
                <w:szCs w:val="18"/>
              </w:rPr>
              <w:t>Description</w:t>
            </w:r>
          </w:p>
        </w:tc>
        <w:tc>
          <w:tcPr>
            <w:tcW w:w="1628" w:type="dxa"/>
            <w:shd w:val="clear" w:color="auto" w:fill="C0C0C0"/>
          </w:tcPr>
          <w:p w14:paraId="6DF428B6" w14:textId="77777777" w:rsidR="00A10B25" w:rsidRDefault="00A10B25">
            <w:pPr>
              <w:pStyle w:val="TAH"/>
              <w:rPr>
                <w:rFonts w:cs="Arial"/>
                <w:szCs w:val="18"/>
              </w:rPr>
            </w:pPr>
            <w:r>
              <w:rPr>
                <w:rFonts w:cs="Arial"/>
                <w:szCs w:val="18"/>
              </w:rPr>
              <w:t>Applicability</w:t>
            </w:r>
          </w:p>
        </w:tc>
      </w:tr>
      <w:tr w:rsidR="00A10B25" w14:paraId="3FFAA7E8" w14:textId="77777777">
        <w:trPr>
          <w:jc w:val="center"/>
        </w:trPr>
        <w:tc>
          <w:tcPr>
            <w:tcW w:w="1628" w:type="dxa"/>
          </w:tcPr>
          <w:p w14:paraId="62094992" w14:textId="77777777" w:rsidR="00A10B25" w:rsidRDefault="00A10B25">
            <w:pPr>
              <w:pStyle w:val="TAL"/>
            </w:pPr>
            <w:r>
              <w:t>subscriptionId</w:t>
            </w:r>
          </w:p>
        </w:tc>
        <w:tc>
          <w:tcPr>
            <w:tcW w:w="1701" w:type="dxa"/>
          </w:tcPr>
          <w:p w14:paraId="19585097" w14:textId="77777777" w:rsidR="00A10B25" w:rsidRDefault="00A10B25">
            <w:pPr>
              <w:pStyle w:val="TAL"/>
            </w:pPr>
            <w:r>
              <w:t>string</w:t>
            </w:r>
          </w:p>
        </w:tc>
        <w:tc>
          <w:tcPr>
            <w:tcW w:w="426" w:type="dxa"/>
          </w:tcPr>
          <w:p w14:paraId="6C186F91" w14:textId="77777777" w:rsidR="00A10B25" w:rsidRDefault="00A10B25">
            <w:pPr>
              <w:pStyle w:val="TAL"/>
              <w:jc w:val="center"/>
            </w:pPr>
            <w:r>
              <w:t>M</w:t>
            </w:r>
          </w:p>
        </w:tc>
        <w:tc>
          <w:tcPr>
            <w:tcW w:w="1134" w:type="dxa"/>
          </w:tcPr>
          <w:p w14:paraId="007D0F28" w14:textId="77777777" w:rsidR="00A10B25" w:rsidRDefault="00A10B25">
            <w:pPr>
              <w:pStyle w:val="TAL"/>
            </w:pPr>
            <w:r>
              <w:t>1</w:t>
            </w:r>
          </w:p>
        </w:tc>
        <w:tc>
          <w:tcPr>
            <w:tcW w:w="2976" w:type="dxa"/>
          </w:tcPr>
          <w:p w14:paraId="58BB2036" w14:textId="77777777" w:rsidR="00A10B25" w:rsidRDefault="00A10B25">
            <w:pPr>
              <w:pStyle w:val="TAL"/>
              <w:rPr>
                <w:rFonts w:cs="Arial"/>
                <w:szCs w:val="18"/>
              </w:rPr>
            </w:pPr>
            <w:r>
              <w:t>The identifier of the specific analytics subscription.</w:t>
            </w:r>
          </w:p>
        </w:tc>
        <w:tc>
          <w:tcPr>
            <w:tcW w:w="1628" w:type="dxa"/>
          </w:tcPr>
          <w:p w14:paraId="1DCF97AE" w14:textId="77777777" w:rsidR="00A10B25" w:rsidRDefault="00A10B25">
            <w:pPr>
              <w:pStyle w:val="TAL"/>
              <w:rPr>
                <w:rFonts w:cs="Arial"/>
                <w:szCs w:val="18"/>
              </w:rPr>
            </w:pPr>
          </w:p>
        </w:tc>
      </w:tr>
      <w:tr w:rsidR="00A10B25" w14:paraId="410C8B8E" w14:textId="77777777">
        <w:trPr>
          <w:jc w:val="center"/>
        </w:trPr>
        <w:tc>
          <w:tcPr>
            <w:tcW w:w="1628" w:type="dxa"/>
          </w:tcPr>
          <w:p w14:paraId="0E0843E1" w14:textId="77777777" w:rsidR="00A10B25" w:rsidRDefault="00A10B25">
            <w:pPr>
              <w:pStyle w:val="TAL"/>
            </w:pPr>
            <w:r>
              <w:t>producerId</w:t>
            </w:r>
          </w:p>
        </w:tc>
        <w:tc>
          <w:tcPr>
            <w:tcW w:w="1701" w:type="dxa"/>
          </w:tcPr>
          <w:p w14:paraId="6E20C4FC" w14:textId="77777777" w:rsidR="00A10B25" w:rsidRDefault="00A10B25">
            <w:pPr>
              <w:pStyle w:val="TAL"/>
            </w:pPr>
            <w:r>
              <w:t>NfInstanceId</w:t>
            </w:r>
          </w:p>
        </w:tc>
        <w:tc>
          <w:tcPr>
            <w:tcW w:w="426" w:type="dxa"/>
          </w:tcPr>
          <w:p w14:paraId="7A31E4DD" w14:textId="77777777" w:rsidR="00A10B25" w:rsidRDefault="00A10B25">
            <w:pPr>
              <w:pStyle w:val="TAL"/>
              <w:jc w:val="center"/>
            </w:pPr>
            <w:r>
              <w:t>C</w:t>
            </w:r>
          </w:p>
        </w:tc>
        <w:tc>
          <w:tcPr>
            <w:tcW w:w="1134" w:type="dxa"/>
          </w:tcPr>
          <w:p w14:paraId="6725F316" w14:textId="77777777" w:rsidR="00A10B25" w:rsidRDefault="00A10B25">
            <w:pPr>
              <w:pStyle w:val="TAL"/>
            </w:pPr>
            <w:r>
              <w:t>0..1</w:t>
            </w:r>
          </w:p>
        </w:tc>
        <w:tc>
          <w:tcPr>
            <w:tcW w:w="2976" w:type="dxa"/>
          </w:tcPr>
          <w:p w14:paraId="35EB7620" w14:textId="77777777" w:rsidR="00A10B25" w:rsidRDefault="00A10B25">
            <w:pPr>
              <w:pStyle w:val="TAL"/>
            </w:pPr>
            <w:r>
              <w:t>NWDAF instance identifier to which the NF service consumer has established this subscription. (NOTE)</w:t>
            </w:r>
          </w:p>
        </w:tc>
        <w:tc>
          <w:tcPr>
            <w:tcW w:w="1628" w:type="dxa"/>
          </w:tcPr>
          <w:p w14:paraId="251F6904" w14:textId="77777777" w:rsidR="00A10B25" w:rsidRDefault="00A10B25">
            <w:pPr>
              <w:pStyle w:val="TAL"/>
              <w:rPr>
                <w:rFonts w:cs="Arial"/>
                <w:szCs w:val="18"/>
              </w:rPr>
            </w:pPr>
          </w:p>
        </w:tc>
      </w:tr>
      <w:tr w:rsidR="00A10B25" w14:paraId="630EFBA1" w14:textId="77777777">
        <w:trPr>
          <w:jc w:val="center"/>
        </w:trPr>
        <w:tc>
          <w:tcPr>
            <w:tcW w:w="1628" w:type="dxa"/>
          </w:tcPr>
          <w:p w14:paraId="19529CE8" w14:textId="77777777" w:rsidR="00A10B25" w:rsidRDefault="00A10B25">
            <w:pPr>
              <w:pStyle w:val="TAL"/>
            </w:pPr>
            <w:r>
              <w:t>producerSetId</w:t>
            </w:r>
          </w:p>
        </w:tc>
        <w:tc>
          <w:tcPr>
            <w:tcW w:w="1701" w:type="dxa"/>
          </w:tcPr>
          <w:p w14:paraId="115A2D5A" w14:textId="77777777" w:rsidR="00A10B25" w:rsidRDefault="00A10B25">
            <w:pPr>
              <w:pStyle w:val="TAL"/>
            </w:pPr>
            <w:r>
              <w:t>NfSetId</w:t>
            </w:r>
          </w:p>
        </w:tc>
        <w:tc>
          <w:tcPr>
            <w:tcW w:w="426" w:type="dxa"/>
          </w:tcPr>
          <w:p w14:paraId="4B8A8A98" w14:textId="77777777" w:rsidR="00A10B25" w:rsidRDefault="00A10B25">
            <w:pPr>
              <w:pStyle w:val="TAL"/>
              <w:jc w:val="center"/>
            </w:pPr>
            <w:r>
              <w:t>C</w:t>
            </w:r>
          </w:p>
        </w:tc>
        <w:tc>
          <w:tcPr>
            <w:tcW w:w="1134" w:type="dxa"/>
          </w:tcPr>
          <w:p w14:paraId="1CF3CC34" w14:textId="77777777" w:rsidR="00A10B25" w:rsidRDefault="00A10B25">
            <w:pPr>
              <w:pStyle w:val="TAL"/>
            </w:pPr>
            <w:r>
              <w:t>0..1</w:t>
            </w:r>
          </w:p>
        </w:tc>
        <w:tc>
          <w:tcPr>
            <w:tcW w:w="2976" w:type="dxa"/>
          </w:tcPr>
          <w:p w14:paraId="4FED9858" w14:textId="77777777" w:rsidR="00A10B25" w:rsidRDefault="00A10B25">
            <w:pPr>
              <w:pStyle w:val="TAL"/>
            </w:pPr>
            <w:r>
              <w:t>NWDAF set identifier to which the NF service consumer has established this subscription. (NOTE)</w:t>
            </w:r>
          </w:p>
        </w:tc>
        <w:tc>
          <w:tcPr>
            <w:tcW w:w="1628" w:type="dxa"/>
          </w:tcPr>
          <w:p w14:paraId="68FA3D4F" w14:textId="77777777" w:rsidR="00A10B25" w:rsidRDefault="00A10B25">
            <w:pPr>
              <w:pStyle w:val="TAL"/>
              <w:rPr>
                <w:rFonts w:cs="Arial"/>
                <w:szCs w:val="18"/>
              </w:rPr>
            </w:pPr>
          </w:p>
        </w:tc>
      </w:tr>
      <w:tr w:rsidR="00A10B25" w14:paraId="58DF2FE3" w14:textId="77777777">
        <w:trPr>
          <w:jc w:val="center"/>
        </w:trPr>
        <w:tc>
          <w:tcPr>
            <w:tcW w:w="1628" w:type="dxa"/>
          </w:tcPr>
          <w:p w14:paraId="50D839F6" w14:textId="77777777" w:rsidR="00A10B25" w:rsidRDefault="00A10B25">
            <w:pPr>
              <w:pStyle w:val="TAL"/>
            </w:pPr>
            <w:r>
              <w:t>nwdafEvSub</w:t>
            </w:r>
          </w:p>
        </w:tc>
        <w:tc>
          <w:tcPr>
            <w:tcW w:w="1701" w:type="dxa"/>
          </w:tcPr>
          <w:p w14:paraId="1234707B" w14:textId="77777777" w:rsidR="00A10B25" w:rsidRDefault="00A10B25">
            <w:pPr>
              <w:pStyle w:val="TAL"/>
            </w:pPr>
            <w:r>
              <w:t>NnwdafEventsSubscription</w:t>
            </w:r>
          </w:p>
        </w:tc>
        <w:tc>
          <w:tcPr>
            <w:tcW w:w="426" w:type="dxa"/>
          </w:tcPr>
          <w:p w14:paraId="00CBD78F" w14:textId="77777777" w:rsidR="00A10B25" w:rsidRDefault="00A10B25">
            <w:pPr>
              <w:pStyle w:val="TAL"/>
              <w:jc w:val="center"/>
            </w:pPr>
            <w:r>
              <w:t>M</w:t>
            </w:r>
          </w:p>
        </w:tc>
        <w:tc>
          <w:tcPr>
            <w:tcW w:w="1134" w:type="dxa"/>
          </w:tcPr>
          <w:p w14:paraId="27193742" w14:textId="77777777" w:rsidR="00A10B25" w:rsidRDefault="00A10B25">
            <w:pPr>
              <w:pStyle w:val="TAL"/>
            </w:pPr>
            <w:r>
              <w:t>1</w:t>
            </w:r>
          </w:p>
        </w:tc>
        <w:tc>
          <w:tcPr>
            <w:tcW w:w="2976" w:type="dxa"/>
          </w:tcPr>
          <w:p w14:paraId="0D699C33" w14:textId="77777777" w:rsidR="00A10B25" w:rsidRDefault="00A10B25">
            <w:pPr>
              <w:pStyle w:val="TAL"/>
            </w:pPr>
            <w:r>
              <w:t>Contains information about the analytics subscription.</w:t>
            </w:r>
          </w:p>
        </w:tc>
        <w:tc>
          <w:tcPr>
            <w:tcW w:w="1628" w:type="dxa"/>
          </w:tcPr>
          <w:p w14:paraId="2799F881" w14:textId="77777777" w:rsidR="00A10B25" w:rsidRDefault="00A10B25">
            <w:pPr>
              <w:pStyle w:val="TAL"/>
              <w:rPr>
                <w:rFonts w:cs="Arial"/>
                <w:szCs w:val="18"/>
              </w:rPr>
            </w:pPr>
          </w:p>
        </w:tc>
      </w:tr>
      <w:tr w:rsidR="00A10B25" w14:paraId="0DE10076" w14:textId="77777777">
        <w:trPr>
          <w:jc w:val="center"/>
        </w:trPr>
        <w:tc>
          <w:tcPr>
            <w:tcW w:w="9493" w:type="dxa"/>
            <w:gridSpan w:val="6"/>
          </w:tcPr>
          <w:p w14:paraId="053CF072" w14:textId="77777777" w:rsidR="00A10B25" w:rsidRDefault="00A10B25">
            <w:pPr>
              <w:pStyle w:val="TAN"/>
              <w:rPr>
                <w:rFonts w:cs="Arial"/>
                <w:szCs w:val="18"/>
              </w:rPr>
            </w:pPr>
            <w:r>
              <w:rPr>
                <w:rFonts w:cs="Arial"/>
                <w:szCs w:val="18"/>
              </w:rPr>
              <w:t>NOTE:</w:t>
            </w:r>
            <w:r>
              <w:tab/>
              <w:t>Exactly One of "producerId" and "producerSetId" shall be included.</w:t>
            </w:r>
          </w:p>
        </w:tc>
      </w:tr>
    </w:tbl>
    <w:p w14:paraId="0BDB6771" w14:textId="77777777" w:rsidR="00A10B25" w:rsidRDefault="00A10B25"/>
    <w:p w14:paraId="7B1C12D8" w14:textId="77777777" w:rsidR="003E1F9F" w:rsidRDefault="003E1F9F" w:rsidP="003E1F9F">
      <w:pPr>
        <w:pStyle w:val="5"/>
      </w:pPr>
      <w:bookmarkStart w:id="10918" w:name="_Toc113031803"/>
      <w:bookmarkStart w:id="10919" w:name="_Toc98233768"/>
      <w:bookmarkStart w:id="10920" w:name="_Toc145705868"/>
      <w:bookmarkStart w:id="10921" w:name="_Toc138754373"/>
      <w:bookmarkStart w:id="10922" w:name="_Toc90655976"/>
      <w:bookmarkStart w:id="10923" w:name="_Toc120702443"/>
      <w:bookmarkStart w:id="10924" w:name="_Toc94064381"/>
      <w:bookmarkStart w:id="10925" w:name="_Toc104539140"/>
      <w:bookmarkStart w:id="10926" w:name="_Toc101244545"/>
      <w:bookmarkStart w:id="10927" w:name="_Toc148522778"/>
      <w:bookmarkStart w:id="10928" w:name="_Toc136562539"/>
      <w:bookmarkStart w:id="10929" w:name="_Toc112951263"/>
      <w:bookmarkStart w:id="10930" w:name="_Toc88667691"/>
      <w:bookmarkStart w:id="10931" w:name="_Toc114133942"/>
      <w:bookmarkStart w:id="10932" w:name="_Toc164920963"/>
      <w:bookmarkStart w:id="10933" w:name="_Toc170120505"/>
      <w:bookmarkStart w:id="10934" w:name="_Toc175858750"/>
      <w:bookmarkStart w:id="10935" w:name="_Toc175859823"/>
      <w:bookmarkStart w:id="10936" w:name="_Toc180606113"/>
      <w:bookmarkStart w:id="10937" w:name="_Toc185517374"/>
      <w:bookmarkStart w:id="10938" w:name="_Toc191576426"/>
      <w:bookmarkStart w:id="10939" w:name="_Toc191577166"/>
      <w:bookmarkStart w:id="10940" w:name="_Toc192880236"/>
      <w:bookmarkStart w:id="10941" w:name="_Toc195815125"/>
      <w:bookmarkStart w:id="10942" w:name="_Toc199453092"/>
      <w:r>
        <w:t>5.2.6.2.11</w:t>
      </w:r>
      <w:r>
        <w:tab/>
        <w:t>Type RequestedContext</w:t>
      </w:r>
      <w:bookmarkEnd w:id="10932"/>
      <w:bookmarkEnd w:id="10933"/>
      <w:bookmarkEnd w:id="10934"/>
      <w:bookmarkEnd w:id="10935"/>
      <w:bookmarkEnd w:id="10936"/>
      <w:bookmarkEnd w:id="10937"/>
      <w:bookmarkEnd w:id="10938"/>
      <w:bookmarkEnd w:id="10939"/>
      <w:bookmarkEnd w:id="10940"/>
      <w:bookmarkEnd w:id="10941"/>
      <w:bookmarkEnd w:id="10942"/>
    </w:p>
    <w:p w14:paraId="7F0BDC87" w14:textId="77777777" w:rsidR="003E1F9F" w:rsidRDefault="003E1F9F" w:rsidP="003E1F9F">
      <w:pPr>
        <w:pStyle w:val="TH"/>
      </w:pPr>
      <w:r>
        <w:t>Table 5.2.6.2.11-1: Definition of type RequestedContext</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3E1F9F" w14:paraId="184CACC7" w14:textId="77777777" w:rsidTr="005A20DD">
        <w:trPr>
          <w:jc w:val="center"/>
        </w:trPr>
        <w:tc>
          <w:tcPr>
            <w:tcW w:w="1628" w:type="dxa"/>
            <w:shd w:val="clear" w:color="auto" w:fill="C0C0C0"/>
          </w:tcPr>
          <w:p w14:paraId="05183530" w14:textId="77777777" w:rsidR="003E1F9F" w:rsidRDefault="003E1F9F" w:rsidP="005A20DD">
            <w:pPr>
              <w:pStyle w:val="TAH"/>
              <w:ind w:left="400" w:hanging="400"/>
            </w:pPr>
            <w:r>
              <w:t>Attribute name</w:t>
            </w:r>
          </w:p>
        </w:tc>
        <w:tc>
          <w:tcPr>
            <w:tcW w:w="1701" w:type="dxa"/>
            <w:shd w:val="clear" w:color="auto" w:fill="C0C0C0"/>
          </w:tcPr>
          <w:p w14:paraId="0CBD1595" w14:textId="77777777" w:rsidR="003E1F9F" w:rsidRDefault="003E1F9F" w:rsidP="005A20DD">
            <w:pPr>
              <w:pStyle w:val="TAH"/>
              <w:ind w:left="400" w:hanging="400"/>
            </w:pPr>
            <w:r>
              <w:t>Data type</w:t>
            </w:r>
          </w:p>
        </w:tc>
        <w:tc>
          <w:tcPr>
            <w:tcW w:w="426" w:type="dxa"/>
            <w:shd w:val="clear" w:color="auto" w:fill="C0C0C0"/>
          </w:tcPr>
          <w:p w14:paraId="4CF1AFDF" w14:textId="77777777" w:rsidR="003E1F9F" w:rsidRDefault="003E1F9F" w:rsidP="005A20DD">
            <w:pPr>
              <w:pStyle w:val="TAH"/>
              <w:ind w:left="400" w:hanging="400"/>
            </w:pPr>
            <w:r>
              <w:t>P</w:t>
            </w:r>
          </w:p>
        </w:tc>
        <w:tc>
          <w:tcPr>
            <w:tcW w:w="1134" w:type="dxa"/>
            <w:shd w:val="clear" w:color="auto" w:fill="C0C0C0"/>
          </w:tcPr>
          <w:p w14:paraId="6EF4E76F" w14:textId="77777777" w:rsidR="003E1F9F" w:rsidRDefault="003E1F9F" w:rsidP="005A20DD">
            <w:pPr>
              <w:pStyle w:val="TAH"/>
              <w:ind w:left="400" w:hanging="400"/>
            </w:pPr>
            <w:r>
              <w:t>Cardinality</w:t>
            </w:r>
          </w:p>
        </w:tc>
        <w:tc>
          <w:tcPr>
            <w:tcW w:w="2976" w:type="dxa"/>
            <w:shd w:val="clear" w:color="auto" w:fill="C0C0C0"/>
          </w:tcPr>
          <w:p w14:paraId="445F7CF8" w14:textId="77777777" w:rsidR="003E1F9F" w:rsidRDefault="003E1F9F" w:rsidP="005A20DD">
            <w:pPr>
              <w:pStyle w:val="TAH"/>
              <w:ind w:left="400" w:hanging="400"/>
              <w:rPr>
                <w:rFonts w:cs="Arial"/>
                <w:szCs w:val="18"/>
              </w:rPr>
            </w:pPr>
            <w:r>
              <w:rPr>
                <w:rFonts w:cs="Arial"/>
                <w:szCs w:val="18"/>
              </w:rPr>
              <w:t>Description</w:t>
            </w:r>
          </w:p>
        </w:tc>
        <w:tc>
          <w:tcPr>
            <w:tcW w:w="1628" w:type="dxa"/>
            <w:shd w:val="clear" w:color="auto" w:fill="C0C0C0"/>
          </w:tcPr>
          <w:p w14:paraId="1E4A0273" w14:textId="77777777" w:rsidR="003E1F9F" w:rsidRDefault="003E1F9F" w:rsidP="005A20DD">
            <w:pPr>
              <w:pStyle w:val="TAH"/>
              <w:ind w:left="400" w:hanging="400"/>
              <w:rPr>
                <w:rFonts w:cs="Arial"/>
                <w:szCs w:val="18"/>
              </w:rPr>
            </w:pPr>
            <w:r>
              <w:rPr>
                <w:rFonts w:cs="Arial"/>
                <w:szCs w:val="18"/>
              </w:rPr>
              <w:t>Applicability</w:t>
            </w:r>
          </w:p>
        </w:tc>
      </w:tr>
      <w:tr w:rsidR="003E1F9F" w14:paraId="51D5DE1F" w14:textId="77777777" w:rsidTr="005A20DD">
        <w:trPr>
          <w:jc w:val="center"/>
        </w:trPr>
        <w:tc>
          <w:tcPr>
            <w:tcW w:w="1628" w:type="dxa"/>
          </w:tcPr>
          <w:p w14:paraId="508D0E35" w14:textId="77777777" w:rsidR="003E1F9F" w:rsidRDefault="003E1F9F" w:rsidP="005A20DD">
            <w:pPr>
              <w:pStyle w:val="TAL"/>
            </w:pPr>
            <w:r>
              <w:t>contexts</w:t>
            </w:r>
          </w:p>
        </w:tc>
        <w:tc>
          <w:tcPr>
            <w:tcW w:w="1701" w:type="dxa"/>
          </w:tcPr>
          <w:p w14:paraId="4E66DEC5" w14:textId="77777777" w:rsidR="003E1F9F" w:rsidRDefault="003E1F9F" w:rsidP="005A20DD">
            <w:pPr>
              <w:pStyle w:val="TAL"/>
            </w:pPr>
            <w:r>
              <w:t>array(ContextType)</w:t>
            </w:r>
          </w:p>
        </w:tc>
        <w:tc>
          <w:tcPr>
            <w:tcW w:w="426" w:type="dxa"/>
          </w:tcPr>
          <w:p w14:paraId="5B7D0B66" w14:textId="77777777" w:rsidR="003E1F9F" w:rsidRDefault="003E1F9F" w:rsidP="005A20DD">
            <w:pPr>
              <w:pStyle w:val="TAL"/>
              <w:jc w:val="center"/>
            </w:pPr>
            <w:r>
              <w:t>M</w:t>
            </w:r>
          </w:p>
        </w:tc>
        <w:tc>
          <w:tcPr>
            <w:tcW w:w="1134" w:type="dxa"/>
          </w:tcPr>
          <w:p w14:paraId="672B2E1B" w14:textId="77777777" w:rsidR="003E1F9F" w:rsidRDefault="003E1F9F" w:rsidP="005A20DD">
            <w:pPr>
              <w:pStyle w:val="TAL"/>
            </w:pPr>
            <w:r>
              <w:t>1..N</w:t>
            </w:r>
          </w:p>
        </w:tc>
        <w:tc>
          <w:tcPr>
            <w:tcW w:w="2976" w:type="dxa"/>
          </w:tcPr>
          <w:p w14:paraId="7E94AAC8" w14:textId="77777777" w:rsidR="003E1F9F" w:rsidRDefault="003E1F9F" w:rsidP="005A20DD">
            <w:pPr>
              <w:pStyle w:val="TAL"/>
              <w:rPr>
                <w:rFonts w:cs="Arial"/>
                <w:szCs w:val="18"/>
              </w:rPr>
            </w:pPr>
            <w:r>
              <w:t xml:space="preserve">Contains the types </w:t>
            </w:r>
            <w:r>
              <w:rPr>
                <w:lang w:eastAsia="ko-KR"/>
              </w:rPr>
              <w:t>of the analytics context information the consumer wishes to receive.</w:t>
            </w:r>
          </w:p>
        </w:tc>
        <w:tc>
          <w:tcPr>
            <w:tcW w:w="1628" w:type="dxa"/>
          </w:tcPr>
          <w:p w14:paraId="2868A6DB" w14:textId="77777777" w:rsidR="003E1F9F" w:rsidRDefault="003E1F9F" w:rsidP="005A20DD">
            <w:pPr>
              <w:pStyle w:val="TAL"/>
              <w:rPr>
                <w:rFonts w:cs="Arial"/>
                <w:szCs w:val="18"/>
              </w:rPr>
            </w:pPr>
          </w:p>
        </w:tc>
      </w:tr>
      <w:tr w:rsidR="003E1F9F" w14:paraId="5A69EF29" w14:textId="77777777" w:rsidTr="005A20DD">
        <w:trPr>
          <w:jc w:val="center"/>
        </w:trPr>
        <w:tc>
          <w:tcPr>
            <w:tcW w:w="1628" w:type="dxa"/>
          </w:tcPr>
          <w:p w14:paraId="14B73ECE" w14:textId="77777777" w:rsidR="003E1F9F" w:rsidRDefault="003E1F9F" w:rsidP="005A20DD">
            <w:pPr>
              <w:pStyle w:val="TAL"/>
            </w:pPr>
            <w:r>
              <w:t>nfConsumerInfo</w:t>
            </w:r>
          </w:p>
        </w:tc>
        <w:tc>
          <w:tcPr>
            <w:tcW w:w="1701" w:type="dxa"/>
          </w:tcPr>
          <w:p w14:paraId="54F11BC2" w14:textId="77777777" w:rsidR="003E1F9F" w:rsidRDefault="003E1F9F" w:rsidP="005A20DD">
            <w:pPr>
              <w:pStyle w:val="TAL"/>
            </w:pPr>
            <w:r>
              <w:rPr>
                <w:lang w:eastAsia="ja-JP"/>
              </w:rPr>
              <w:t>VendorId</w:t>
            </w:r>
          </w:p>
        </w:tc>
        <w:tc>
          <w:tcPr>
            <w:tcW w:w="426" w:type="dxa"/>
          </w:tcPr>
          <w:p w14:paraId="40C2C0C9" w14:textId="77777777" w:rsidR="003E1F9F" w:rsidRDefault="003E1F9F" w:rsidP="005A20DD">
            <w:pPr>
              <w:pStyle w:val="TAL"/>
              <w:jc w:val="center"/>
            </w:pPr>
            <w:r>
              <w:t>O</w:t>
            </w:r>
          </w:p>
        </w:tc>
        <w:tc>
          <w:tcPr>
            <w:tcW w:w="1134" w:type="dxa"/>
          </w:tcPr>
          <w:p w14:paraId="0A6ABAA9" w14:textId="77777777" w:rsidR="003E1F9F" w:rsidRDefault="003E1F9F" w:rsidP="005A20DD">
            <w:pPr>
              <w:pStyle w:val="TAL"/>
            </w:pPr>
            <w:r>
              <w:rPr>
                <w:rFonts w:eastAsia="Yu Mincho"/>
                <w:lang w:eastAsia="ja-JP"/>
              </w:rPr>
              <w:t>0..1</w:t>
            </w:r>
          </w:p>
        </w:tc>
        <w:tc>
          <w:tcPr>
            <w:tcW w:w="2976" w:type="dxa"/>
          </w:tcPr>
          <w:p w14:paraId="3B879E7E" w14:textId="77777777" w:rsidR="003E1F9F" w:rsidRDefault="003E1F9F" w:rsidP="005A20DD">
            <w:pPr>
              <w:pStyle w:val="TAL"/>
              <w:rPr>
                <w:rFonts w:cs="Arial"/>
                <w:szCs w:val="18"/>
              </w:rPr>
            </w:pPr>
            <w:r>
              <w:rPr>
                <w:rFonts w:cs="Arial"/>
                <w:szCs w:val="18"/>
              </w:rPr>
              <w:t>Vendor ID of the NF Service Consumer, according to the IANA-assigned "SMI Network Management Private Enterprise Codes" [31].</w:t>
            </w:r>
          </w:p>
          <w:p w14:paraId="5CD80AFC" w14:textId="77777777" w:rsidR="003E1F9F" w:rsidRPr="00727B9E" w:rsidRDefault="003E1F9F" w:rsidP="005A20DD">
            <w:pPr>
              <w:pStyle w:val="TAL"/>
              <w:rPr>
                <w:rFonts w:cs="Arial"/>
                <w:szCs w:val="18"/>
              </w:rPr>
            </w:pPr>
            <w:r>
              <w:rPr>
                <w:rFonts w:cs="Arial"/>
                <w:szCs w:val="18"/>
              </w:rPr>
              <w:t>This attribute may be provided if the requested context type is "</w:t>
            </w:r>
            <w:r>
              <w:t>ML_MODELS</w:t>
            </w:r>
            <w:r>
              <w:rPr>
                <w:rFonts w:cs="Arial"/>
                <w:szCs w:val="18"/>
              </w:rPr>
              <w:t>"</w:t>
            </w:r>
            <w:r>
              <w:t>.</w:t>
            </w:r>
          </w:p>
        </w:tc>
        <w:tc>
          <w:tcPr>
            <w:tcW w:w="1628" w:type="dxa"/>
          </w:tcPr>
          <w:p w14:paraId="672A3CC3" w14:textId="77777777" w:rsidR="003E1F9F" w:rsidRDefault="003E1F9F" w:rsidP="005A20DD">
            <w:pPr>
              <w:pStyle w:val="TAL"/>
              <w:rPr>
                <w:rFonts w:cs="Arial"/>
                <w:szCs w:val="18"/>
              </w:rPr>
            </w:pPr>
            <w:r>
              <w:rPr>
                <w:lang w:eastAsia="zh-CN"/>
              </w:rPr>
              <w:t>EnAnaCtxTransfer</w:t>
            </w:r>
          </w:p>
        </w:tc>
      </w:tr>
    </w:tbl>
    <w:p w14:paraId="2D08EE6F" w14:textId="77777777" w:rsidR="003E1F9F" w:rsidRDefault="003E1F9F" w:rsidP="003E1F9F"/>
    <w:p w14:paraId="4AAFD970" w14:textId="77777777" w:rsidR="00A10B25" w:rsidRDefault="00A10B25">
      <w:pPr>
        <w:pStyle w:val="5"/>
      </w:pPr>
      <w:bookmarkStart w:id="10943" w:name="_Toc164920964"/>
      <w:bookmarkStart w:id="10944" w:name="_Toc170120506"/>
      <w:bookmarkStart w:id="10945" w:name="_Toc175858751"/>
      <w:bookmarkStart w:id="10946" w:name="_Toc175859824"/>
      <w:bookmarkStart w:id="10947" w:name="_Toc180606114"/>
      <w:bookmarkStart w:id="10948" w:name="_Toc185517375"/>
      <w:bookmarkStart w:id="10949" w:name="_Toc191576427"/>
      <w:bookmarkStart w:id="10950" w:name="_Toc191577167"/>
      <w:bookmarkStart w:id="10951" w:name="_Toc192880237"/>
      <w:bookmarkStart w:id="10952" w:name="_Toc195815126"/>
      <w:bookmarkStart w:id="10953" w:name="_Toc199453093"/>
      <w:r>
        <w:t>5.2.6.2.12</w:t>
      </w:r>
      <w:r>
        <w:tab/>
        <w:t>Type SmcceInfo</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43"/>
      <w:bookmarkEnd w:id="10944"/>
      <w:bookmarkEnd w:id="10945"/>
      <w:bookmarkEnd w:id="10946"/>
      <w:bookmarkEnd w:id="10947"/>
      <w:bookmarkEnd w:id="10948"/>
      <w:bookmarkEnd w:id="10949"/>
      <w:bookmarkEnd w:id="10950"/>
      <w:bookmarkEnd w:id="10951"/>
      <w:bookmarkEnd w:id="10952"/>
      <w:bookmarkEnd w:id="10953"/>
    </w:p>
    <w:p w14:paraId="5735719B" w14:textId="77777777" w:rsidR="00A10B25" w:rsidRDefault="00A10B25">
      <w:pPr>
        <w:pStyle w:val="TH"/>
      </w:pPr>
      <w:r>
        <w:t>Table 5.2.6.2.12-1: Definition of type SmcceInfo</w:t>
      </w:r>
    </w:p>
    <w:tbl>
      <w:tblPr>
        <w:tblW w:w="960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39DF478E" w14:textId="77777777">
        <w:trPr>
          <w:jc w:val="center"/>
        </w:trPr>
        <w:tc>
          <w:tcPr>
            <w:tcW w:w="1825" w:type="dxa"/>
            <w:shd w:val="clear" w:color="auto" w:fill="C0C0C0"/>
          </w:tcPr>
          <w:p w14:paraId="385431EF" w14:textId="77777777" w:rsidR="00A10B25" w:rsidRDefault="00A10B25">
            <w:pPr>
              <w:pStyle w:val="TAH"/>
            </w:pPr>
            <w:r>
              <w:t>Attribute name</w:t>
            </w:r>
          </w:p>
        </w:tc>
        <w:tc>
          <w:tcPr>
            <w:tcW w:w="1559" w:type="dxa"/>
            <w:shd w:val="clear" w:color="auto" w:fill="C0C0C0"/>
          </w:tcPr>
          <w:p w14:paraId="110C6383" w14:textId="77777777" w:rsidR="00A10B25" w:rsidRDefault="00A10B25">
            <w:pPr>
              <w:pStyle w:val="TAH"/>
            </w:pPr>
            <w:r>
              <w:t>Data type</w:t>
            </w:r>
          </w:p>
        </w:tc>
        <w:tc>
          <w:tcPr>
            <w:tcW w:w="426" w:type="dxa"/>
            <w:shd w:val="clear" w:color="auto" w:fill="C0C0C0"/>
          </w:tcPr>
          <w:p w14:paraId="23524938" w14:textId="77777777" w:rsidR="00A10B25" w:rsidRDefault="00A10B25">
            <w:pPr>
              <w:pStyle w:val="TAH"/>
            </w:pPr>
            <w:r>
              <w:t>P</w:t>
            </w:r>
          </w:p>
        </w:tc>
        <w:tc>
          <w:tcPr>
            <w:tcW w:w="1134" w:type="dxa"/>
            <w:shd w:val="clear" w:color="auto" w:fill="C0C0C0"/>
          </w:tcPr>
          <w:p w14:paraId="26CFBEC4" w14:textId="77777777" w:rsidR="00A10B25" w:rsidRDefault="00A10B25">
            <w:pPr>
              <w:pStyle w:val="TAH"/>
            </w:pPr>
            <w:r>
              <w:t>Cardinality</w:t>
            </w:r>
          </w:p>
        </w:tc>
        <w:tc>
          <w:tcPr>
            <w:tcW w:w="2835" w:type="dxa"/>
            <w:shd w:val="clear" w:color="auto" w:fill="C0C0C0"/>
          </w:tcPr>
          <w:p w14:paraId="0AD61B61" w14:textId="77777777" w:rsidR="00A10B25" w:rsidRDefault="00A10B25">
            <w:pPr>
              <w:pStyle w:val="TAH"/>
            </w:pPr>
            <w:r>
              <w:t>Description</w:t>
            </w:r>
          </w:p>
        </w:tc>
        <w:tc>
          <w:tcPr>
            <w:tcW w:w="1824" w:type="dxa"/>
            <w:shd w:val="clear" w:color="auto" w:fill="C0C0C0"/>
          </w:tcPr>
          <w:p w14:paraId="52E5183A" w14:textId="77777777" w:rsidR="00A10B25" w:rsidRDefault="00A10B25">
            <w:pPr>
              <w:pStyle w:val="TAH"/>
            </w:pPr>
            <w:r>
              <w:t>Applicability</w:t>
            </w:r>
          </w:p>
        </w:tc>
      </w:tr>
      <w:tr w:rsidR="00A10B25" w14:paraId="14691894" w14:textId="77777777">
        <w:trPr>
          <w:jc w:val="center"/>
        </w:trPr>
        <w:tc>
          <w:tcPr>
            <w:tcW w:w="1825" w:type="dxa"/>
            <w:vAlign w:val="center"/>
          </w:tcPr>
          <w:p w14:paraId="45C8EE4C" w14:textId="77777777" w:rsidR="00A10B25" w:rsidRDefault="00A10B25">
            <w:pPr>
              <w:pStyle w:val="TAL"/>
            </w:pPr>
            <w:r>
              <w:t>dnn</w:t>
            </w:r>
          </w:p>
        </w:tc>
        <w:tc>
          <w:tcPr>
            <w:tcW w:w="1559" w:type="dxa"/>
          </w:tcPr>
          <w:p w14:paraId="486AC009" w14:textId="77777777" w:rsidR="00A10B25" w:rsidRDefault="00A10B25">
            <w:pPr>
              <w:pStyle w:val="TAL"/>
            </w:pPr>
            <w:r>
              <w:rPr>
                <w:lang w:eastAsia="zh-CN"/>
              </w:rPr>
              <w:t>Dnn</w:t>
            </w:r>
          </w:p>
        </w:tc>
        <w:tc>
          <w:tcPr>
            <w:tcW w:w="426" w:type="dxa"/>
          </w:tcPr>
          <w:p w14:paraId="4255FEB9" w14:textId="77777777" w:rsidR="00A10B25" w:rsidRDefault="00A10B25">
            <w:pPr>
              <w:pStyle w:val="TAC"/>
            </w:pPr>
            <w:r>
              <w:t>C</w:t>
            </w:r>
          </w:p>
        </w:tc>
        <w:tc>
          <w:tcPr>
            <w:tcW w:w="1134" w:type="dxa"/>
          </w:tcPr>
          <w:p w14:paraId="7819D6CC" w14:textId="77777777" w:rsidR="00A10B25" w:rsidRDefault="00A10B25">
            <w:pPr>
              <w:pStyle w:val="TAL"/>
            </w:pPr>
            <w:r>
              <w:rPr>
                <w:lang w:eastAsia="zh-CN"/>
              </w:rPr>
              <w:t>0..1</w:t>
            </w:r>
          </w:p>
        </w:tc>
        <w:tc>
          <w:tcPr>
            <w:tcW w:w="2835" w:type="dxa"/>
          </w:tcPr>
          <w:p w14:paraId="125236EA" w14:textId="77777777" w:rsidR="00A10B25" w:rsidRDefault="00A10B25">
            <w:pPr>
              <w:pStyle w:val="TAL"/>
              <w:rPr>
                <w:rFonts w:cs="Arial"/>
                <w:szCs w:val="18"/>
                <w:lang w:eastAsia="zh-CN"/>
              </w:rPr>
            </w:pPr>
            <w:r>
              <w:rPr>
                <w:rFonts w:cs="Arial"/>
                <w:szCs w:val="18"/>
                <w:lang w:eastAsia="zh-CN"/>
              </w:rPr>
              <w:t>Identifies DNN, a full DNN with both the Network Identifier and Operator Identifier, or a DNN with the Network Identifier only.</w:t>
            </w:r>
          </w:p>
          <w:p w14:paraId="77116A93" w14:textId="77777777" w:rsidR="00A10B25" w:rsidRDefault="00A10B25">
            <w:pPr>
              <w:pStyle w:val="TAL"/>
              <w:rPr>
                <w:rFonts w:cs="Arial"/>
                <w:szCs w:val="18"/>
              </w:rPr>
            </w:pPr>
            <w:r>
              <w:rPr>
                <w:lang w:eastAsia="zh-CN"/>
              </w:rPr>
              <w:t xml:space="preserve">Shall be present if the </w:t>
            </w:r>
            <w:r>
              <w:t>"dnns" was provided in the event subscription or analytics request.</w:t>
            </w:r>
          </w:p>
        </w:tc>
        <w:tc>
          <w:tcPr>
            <w:tcW w:w="1824" w:type="dxa"/>
          </w:tcPr>
          <w:p w14:paraId="723272C0" w14:textId="77777777" w:rsidR="00A10B25" w:rsidRDefault="00A10B25">
            <w:pPr>
              <w:keepNext/>
              <w:keepLines/>
              <w:spacing w:after="0"/>
              <w:rPr>
                <w:rFonts w:ascii="Arial" w:hAnsi="Arial" w:cs="Arial"/>
                <w:sz w:val="18"/>
                <w:szCs w:val="18"/>
              </w:rPr>
            </w:pPr>
          </w:p>
        </w:tc>
      </w:tr>
      <w:tr w:rsidR="00A10B25" w14:paraId="565368E0" w14:textId="77777777">
        <w:trPr>
          <w:jc w:val="center"/>
        </w:trPr>
        <w:tc>
          <w:tcPr>
            <w:tcW w:w="1825" w:type="dxa"/>
            <w:vAlign w:val="center"/>
          </w:tcPr>
          <w:p w14:paraId="1EE09DBD" w14:textId="77777777" w:rsidR="00A10B25" w:rsidRDefault="00A10B25">
            <w:pPr>
              <w:pStyle w:val="TAL"/>
            </w:pPr>
            <w:r>
              <w:rPr>
                <w:lang w:eastAsia="zh-CN"/>
              </w:rPr>
              <w:t>snssai</w:t>
            </w:r>
          </w:p>
        </w:tc>
        <w:tc>
          <w:tcPr>
            <w:tcW w:w="1559" w:type="dxa"/>
          </w:tcPr>
          <w:p w14:paraId="2A102970" w14:textId="77777777" w:rsidR="00A10B25" w:rsidRDefault="00A10B25">
            <w:pPr>
              <w:pStyle w:val="TAL"/>
            </w:pPr>
            <w:r>
              <w:rPr>
                <w:lang w:eastAsia="zh-CN"/>
              </w:rPr>
              <w:t>Snssai</w:t>
            </w:r>
          </w:p>
        </w:tc>
        <w:tc>
          <w:tcPr>
            <w:tcW w:w="426" w:type="dxa"/>
          </w:tcPr>
          <w:p w14:paraId="491275FE" w14:textId="77777777" w:rsidR="00A10B25" w:rsidRDefault="00A10B25">
            <w:pPr>
              <w:pStyle w:val="TAC"/>
            </w:pPr>
            <w:r>
              <w:t>C</w:t>
            </w:r>
          </w:p>
        </w:tc>
        <w:tc>
          <w:tcPr>
            <w:tcW w:w="1134" w:type="dxa"/>
          </w:tcPr>
          <w:p w14:paraId="644575FA" w14:textId="77777777" w:rsidR="00A10B25" w:rsidRDefault="00A10B25">
            <w:pPr>
              <w:pStyle w:val="TAL"/>
            </w:pPr>
            <w:r>
              <w:rPr>
                <w:lang w:eastAsia="zh-CN"/>
              </w:rPr>
              <w:t>0..1</w:t>
            </w:r>
          </w:p>
        </w:tc>
        <w:tc>
          <w:tcPr>
            <w:tcW w:w="2835" w:type="dxa"/>
          </w:tcPr>
          <w:p w14:paraId="57CBD674" w14:textId="77777777" w:rsidR="00A10B25" w:rsidRDefault="00A10B25">
            <w:pPr>
              <w:pStyle w:val="TAL"/>
              <w:rPr>
                <w:rFonts w:cs="Arial"/>
                <w:szCs w:val="18"/>
                <w:lang w:eastAsia="zh-CN"/>
              </w:rPr>
            </w:pPr>
            <w:r>
              <w:rPr>
                <w:rFonts w:cs="Arial"/>
                <w:szCs w:val="18"/>
                <w:lang w:eastAsia="zh-CN"/>
              </w:rPr>
              <w:t>Identifies the network slice information.</w:t>
            </w:r>
          </w:p>
          <w:p w14:paraId="41EF09CA" w14:textId="77777777" w:rsidR="00A10B25" w:rsidRDefault="00A10B25">
            <w:pPr>
              <w:pStyle w:val="TAL"/>
              <w:rPr>
                <w:rFonts w:cs="Arial"/>
                <w:szCs w:val="18"/>
              </w:rPr>
            </w:pPr>
            <w:r>
              <w:rPr>
                <w:rFonts w:eastAsia="Batang"/>
              </w:rPr>
              <w:t xml:space="preserve">Shall be present if the </w:t>
            </w:r>
            <w:r>
              <w:t>"snssais" was provided in the event subscription or analytics request.</w:t>
            </w:r>
          </w:p>
        </w:tc>
        <w:tc>
          <w:tcPr>
            <w:tcW w:w="1824" w:type="dxa"/>
          </w:tcPr>
          <w:p w14:paraId="0A576892" w14:textId="77777777" w:rsidR="00A10B25" w:rsidRDefault="00A10B25">
            <w:pPr>
              <w:keepNext/>
              <w:keepLines/>
              <w:spacing w:after="0"/>
              <w:rPr>
                <w:rFonts w:ascii="Arial" w:hAnsi="Arial" w:cs="Arial"/>
                <w:sz w:val="18"/>
                <w:szCs w:val="18"/>
              </w:rPr>
            </w:pPr>
          </w:p>
        </w:tc>
      </w:tr>
      <w:tr w:rsidR="00A10B25" w14:paraId="6F6DF48B" w14:textId="77777777">
        <w:trPr>
          <w:jc w:val="center"/>
        </w:trPr>
        <w:tc>
          <w:tcPr>
            <w:tcW w:w="1825" w:type="dxa"/>
          </w:tcPr>
          <w:p w14:paraId="58EB5049" w14:textId="77777777" w:rsidR="00A10B25" w:rsidRDefault="00A10B25">
            <w:pPr>
              <w:pStyle w:val="TAL"/>
            </w:pPr>
            <w:r>
              <w:t>smcceUeList</w:t>
            </w:r>
          </w:p>
        </w:tc>
        <w:tc>
          <w:tcPr>
            <w:tcW w:w="1559" w:type="dxa"/>
          </w:tcPr>
          <w:p w14:paraId="5673E479" w14:textId="77777777" w:rsidR="00A10B25" w:rsidRDefault="00A10B25">
            <w:pPr>
              <w:pStyle w:val="TAL"/>
            </w:pPr>
            <w:r>
              <w:t>SmcceUeList</w:t>
            </w:r>
          </w:p>
        </w:tc>
        <w:tc>
          <w:tcPr>
            <w:tcW w:w="426" w:type="dxa"/>
          </w:tcPr>
          <w:p w14:paraId="3710DBA3" w14:textId="77777777" w:rsidR="00A10B25" w:rsidRDefault="00A10B25">
            <w:pPr>
              <w:pStyle w:val="TAC"/>
            </w:pPr>
            <w:r>
              <w:t>M</w:t>
            </w:r>
          </w:p>
        </w:tc>
        <w:tc>
          <w:tcPr>
            <w:tcW w:w="1134" w:type="dxa"/>
          </w:tcPr>
          <w:p w14:paraId="1CC6C25A" w14:textId="77777777" w:rsidR="00A10B25" w:rsidRDefault="00A10B25">
            <w:pPr>
              <w:pStyle w:val="TAL"/>
            </w:pPr>
            <w:r>
              <w:t>1</w:t>
            </w:r>
          </w:p>
        </w:tc>
        <w:tc>
          <w:tcPr>
            <w:tcW w:w="2835" w:type="dxa"/>
          </w:tcPr>
          <w:p w14:paraId="101AAAC6" w14:textId="77777777" w:rsidR="00A10B25" w:rsidRDefault="00A10B25">
            <w:pPr>
              <w:pStyle w:val="TAL"/>
              <w:rPr>
                <w:rFonts w:cs="Arial"/>
                <w:szCs w:val="18"/>
              </w:rPr>
            </w:pPr>
            <w:r>
              <w:rPr>
                <w:rFonts w:cs="Arial"/>
                <w:szCs w:val="18"/>
              </w:rPr>
              <w:t>Contains the l</w:t>
            </w:r>
            <w:r>
              <w:rPr>
                <w:lang w:eastAsia="ko-KR"/>
              </w:rPr>
              <w:t xml:space="preserve">ist of UEs classified based on </w:t>
            </w:r>
            <w:r>
              <w:t xml:space="preserve">experience level of </w:t>
            </w:r>
            <w:r>
              <w:rPr>
                <w:lang w:eastAsia="ko-KR"/>
              </w:rPr>
              <w:t>SM congestion control</w:t>
            </w:r>
            <w:r>
              <w:rPr>
                <w:rFonts w:cs="Arial"/>
                <w:szCs w:val="18"/>
              </w:rPr>
              <w:t>.</w:t>
            </w:r>
          </w:p>
        </w:tc>
        <w:tc>
          <w:tcPr>
            <w:tcW w:w="1824" w:type="dxa"/>
          </w:tcPr>
          <w:p w14:paraId="6A162A9F" w14:textId="77777777" w:rsidR="00A10B25" w:rsidRDefault="00A10B25">
            <w:pPr>
              <w:keepNext/>
              <w:keepLines/>
              <w:spacing w:after="0"/>
              <w:rPr>
                <w:rFonts w:ascii="Arial" w:hAnsi="Arial" w:cs="Arial"/>
                <w:sz w:val="18"/>
                <w:szCs w:val="18"/>
              </w:rPr>
            </w:pPr>
          </w:p>
        </w:tc>
      </w:tr>
    </w:tbl>
    <w:p w14:paraId="684B7014" w14:textId="77777777" w:rsidR="00A10B25" w:rsidRDefault="00A10B25">
      <w:pPr>
        <w:rPr>
          <w:lang w:val="en-US" w:eastAsia="zh-CN"/>
        </w:rPr>
      </w:pPr>
    </w:p>
    <w:p w14:paraId="3117AB93" w14:textId="77777777" w:rsidR="00A10B25" w:rsidRDefault="00A10B25">
      <w:pPr>
        <w:pStyle w:val="5"/>
      </w:pPr>
      <w:bookmarkStart w:id="10954" w:name="_Toc136562540"/>
      <w:bookmarkStart w:id="10955" w:name="_Toc98233769"/>
      <w:bookmarkStart w:id="10956" w:name="_Toc101244546"/>
      <w:bookmarkStart w:id="10957" w:name="_Toc104539141"/>
      <w:bookmarkStart w:id="10958" w:name="_Toc94064382"/>
      <w:bookmarkStart w:id="10959" w:name="_Toc88667692"/>
      <w:bookmarkStart w:id="10960" w:name="_Toc113031804"/>
      <w:bookmarkStart w:id="10961" w:name="_Toc114133943"/>
      <w:bookmarkStart w:id="10962" w:name="_Toc90655977"/>
      <w:bookmarkStart w:id="10963" w:name="_Toc148522779"/>
      <w:bookmarkStart w:id="10964" w:name="_Toc120702444"/>
      <w:bookmarkStart w:id="10965" w:name="_Toc145705869"/>
      <w:bookmarkStart w:id="10966" w:name="_Toc112951264"/>
      <w:bookmarkStart w:id="10967" w:name="_Toc138754374"/>
      <w:bookmarkStart w:id="10968" w:name="_Toc164920965"/>
      <w:bookmarkStart w:id="10969" w:name="_Toc170120507"/>
      <w:bookmarkStart w:id="10970" w:name="_Toc175858752"/>
      <w:bookmarkStart w:id="10971" w:name="_Toc175859825"/>
      <w:bookmarkStart w:id="10972" w:name="_Toc180606115"/>
      <w:bookmarkStart w:id="10973" w:name="_Toc185517376"/>
      <w:bookmarkStart w:id="10974" w:name="_Toc191576428"/>
      <w:bookmarkStart w:id="10975" w:name="_Toc191577168"/>
      <w:bookmarkStart w:id="10976" w:name="_Toc192880238"/>
      <w:bookmarkStart w:id="10977" w:name="_Toc195815127"/>
      <w:bookmarkStart w:id="10978" w:name="_Toc199453094"/>
      <w:r>
        <w:lastRenderedPageBreak/>
        <w:t>5.2.6.2.13</w:t>
      </w:r>
      <w:r>
        <w:tab/>
        <w:t>Type SmcceUeList</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741DE6FD" w14:textId="77777777" w:rsidR="00A10B25" w:rsidRDefault="00A10B25">
      <w:pPr>
        <w:pStyle w:val="TH"/>
      </w:pPr>
      <w:r>
        <w:t>Table 5.2.6.2.13-1: Definition of type SmcceUeList</w:t>
      </w:r>
    </w:p>
    <w:tbl>
      <w:tblPr>
        <w:tblW w:w="960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5"/>
        <w:gridCol w:w="1559"/>
        <w:gridCol w:w="426"/>
        <w:gridCol w:w="1134"/>
        <w:gridCol w:w="2835"/>
        <w:gridCol w:w="1824"/>
      </w:tblGrid>
      <w:tr w:rsidR="00A10B25" w14:paraId="283CF451" w14:textId="77777777">
        <w:trPr>
          <w:jc w:val="center"/>
        </w:trPr>
        <w:tc>
          <w:tcPr>
            <w:tcW w:w="1825" w:type="dxa"/>
            <w:shd w:val="clear" w:color="auto" w:fill="C0C0C0"/>
          </w:tcPr>
          <w:p w14:paraId="3A3367C7" w14:textId="77777777" w:rsidR="00A10B25" w:rsidRDefault="00A10B25">
            <w:pPr>
              <w:pStyle w:val="TAH"/>
            </w:pPr>
            <w:r>
              <w:t>Attribute name</w:t>
            </w:r>
          </w:p>
        </w:tc>
        <w:tc>
          <w:tcPr>
            <w:tcW w:w="1559" w:type="dxa"/>
            <w:shd w:val="clear" w:color="auto" w:fill="C0C0C0"/>
          </w:tcPr>
          <w:p w14:paraId="61211E79" w14:textId="77777777" w:rsidR="00A10B25" w:rsidRDefault="00A10B25">
            <w:pPr>
              <w:pStyle w:val="TAH"/>
            </w:pPr>
            <w:r>
              <w:t>Data type</w:t>
            </w:r>
          </w:p>
        </w:tc>
        <w:tc>
          <w:tcPr>
            <w:tcW w:w="426" w:type="dxa"/>
            <w:shd w:val="clear" w:color="auto" w:fill="C0C0C0"/>
          </w:tcPr>
          <w:p w14:paraId="4E9AF859" w14:textId="77777777" w:rsidR="00A10B25" w:rsidRDefault="00A10B25">
            <w:pPr>
              <w:pStyle w:val="TAH"/>
            </w:pPr>
            <w:r>
              <w:t>P</w:t>
            </w:r>
          </w:p>
        </w:tc>
        <w:tc>
          <w:tcPr>
            <w:tcW w:w="1134" w:type="dxa"/>
            <w:shd w:val="clear" w:color="auto" w:fill="C0C0C0"/>
          </w:tcPr>
          <w:p w14:paraId="2A3659DB" w14:textId="77777777" w:rsidR="00A10B25" w:rsidRDefault="00A10B25">
            <w:pPr>
              <w:pStyle w:val="TAH"/>
            </w:pPr>
            <w:r>
              <w:t>Cardinality</w:t>
            </w:r>
          </w:p>
        </w:tc>
        <w:tc>
          <w:tcPr>
            <w:tcW w:w="2835" w:type="dxa"/>
            <w:shd w:val="clear" w:color="auto" w:fill="C0C0C0"/>
          </w:tcPr>
          <w:p w14:paraId="0221F324" w14:textId="77777777" w:rsidR="00A10B25" w:rsidRDefault="00A10B25">
            <w:pPr>
              <w:pStyle w:val="TAH"/>
            </w:pPr>
            <w:r>
              <w:t>Description</w:t>
            </w:r>
          </w:p>
        </w:tc>
        <w:tc>
          <w:tcPr>
            <w:tcW w:w="1824" w:type="dxa"/>
            <w:shd w:val="clear" w:color="auto" w:fill="C0C0C0"/>
          </w:tcPr>
          <w:p w14:paraId="6B79519D" w14:textId="77777777" w:rsidR="00A10B25" w:rsidRDefault="00A10B25">
            <w:pPr>
              <w:pStyle w:val="TAH"/>
            </w:pPr>
            <w:r>
              <w:t>Applicability</w:t>
            </w:r>
          </w:p>
        </w:tc>
      </w:tr>
      <w:tr w:rsidR="00A10B25" w14:paraId="5DE1C8E6" w14:textId="77777777">
        <w:trPr>
          <w:jc w:val="center"/>
        </w:trPr>
        <w:tc>
          <w:tcPr>
            <w:tcW w:w="1825" w:type="dxa"/>
            <w:vAlign w:val="center"/>
          </w:tcPr>
          <w:p w14:paraId="457590C8" w14:textId="77777777" w:rsidR="00A10B25" w:rsidRDefault="00A10B25">
            <w:pPr>
              <w:pStyle w:val="TAL"/>
            </w:pPr>
            <w:r>
              <w:t>highLevel</w:t>
            </w:r>
          </w:p>
        </w:tc>
        <w:tc>
          <w:tcPr>
            <w:tcW w:w="1559" w:type="dxa"/>
          </w:tcPr>
          <w:p w14:paraId="4A401BD4" w14:textId="77777777" w:rsidR="00A10B25" w:rsidRDefault="00A10B25">
            <w:pPr>
              <w:pStyle w:val="TAL"/>
            </w:pPr>
            <w:r>
              <w:rPr>
                <w:lang w:eastAsia="zh-CN"/>
              </w:rPr>
              <w:t>array(Supi)</w:t>
            </w:r>
          </w:p>
        </w:tc>
        <w:tc>
          <w:tcPr>
            <w:tcW w:w="426" w:type="dxa"/>
          </w:tcPr>
          <w:p w14:paraId="18785F52" w14:textId="77777777" w:rsidR="00A10B25" w:rsidRDefault="00A10B25">
            <w:pPr>
              <w:pStyle w:val="TAC"/>
            </w:pPr>
            <w:r>
              <w:t>C</w:t>
            </w:r>
          </w:p>
        </w:tc>
        <w:tc>
          <w:tcPr>
            <w:tcW w:w="1134" w:type="dxa"/>
          </w:tcPr>
          <w:p w14:paraId="5CED9551" w14:textId="77777777" w:rsidR="00A10B25" w:rsidRDefault="00A10B25">
            <w:pPr>
              <w:pStyle w:val="TAL"/>
              <w:rPr>
                <w:lang w:eastAsia="zh-CN"/>
              </w:rPr>
            </w:pPr>
            <w:r>
              <w:rPr>
                <w:lang w:eastAsia="zh-CN"/>
              </w:rPr>
              <w:t>1..N</w:t>
            </w:r>
          </w:p>
        </w:tc>
        <w:tc>
          <w:tcPr>
            <w:tcW w:w="2835" w:type="dxa"/>
          </w:tcPr>
          <w:p w14:paraId="21863E09" w14:textId="77777777" w:rsidR="00A10B25" w:rsidRDefault="00A10B25">
            <w:pPr>
              <w:pStyle w:val="TAL"/>
              <w:rPr>
                <w:rFonts w:cs="Arial"/>
                <w:szCs w:val="18"/>
              </w:rPr>
            </w:pPr>
            <w:r>
              <w:t xml:space="preserve">A list of UEs whose experience level of </w:t>
            </w:r>
            <w:r>
              <w:rPr>
                <w:lang w:eastAsia="ko-KR"/>
              </w:rPr>
              <w:t xml:space="preserve">SMCC for </w:t>
            </w:r>
            <w:r>
              <w:t>specific DNN and/or S-NSSAI is high.</w:t>
            </w:r>
          </w:p>
          <w:p w14:paraId="3606B18B" w14:textId="77777777" w:rsidR="00A10B25" w:rsidRDefault="00A10B25">
            <w:pPr>
              <w:pStyle w:val="TAL"/>
            </w:pPr>
            <w:r>
              <w:rPr>
                <w:rFonts w:cs="Arial"/>
                <w:szCs w:val="18"/>
              </w:rPr>
              <w:t>Shall be present if one of the elements in the "listOfAnaSubsets" attribute was set with value as "LIST_OF_HIGH_EXP_UE".</w:t>
            </w:r>
            <w:r>
              <w:rPr>
                <w:rFonts w:ascii="Times New Roman" w:hAnsi="Times New Roman"/>
                <w:sz w:val="20"/>
              </w:rPr>
              <w:t xml:space="preserve"> </w:t>
            </w:r>
            <w:r>
              <w:rPr>
                <w:rFonts w:cs="Arial"/>
                <w:szCs w:val="18"/>
              </w:rPr>
              <w:t>(NOTE 1) (NOTE 2)</w:t>
            </w:r>
          </w:p>
        </w:tc>
        <w:tc>
          <w:tcPr>
            <w:tcW w:w="1824" w:type="dxa"/>
          </w:tcPr>
          <w:p w14:paraId="39D5E5E8" w14:textId="77777777" w:rsidR="00A10B25" w:rsidRDefault="00A10B25">
            <w:pPr>
              <w:keepNext/>
              <w:keepLines/>
              <w:spacing w:after="0"/>
              <w:rPr>
                <w:rFonts w:ascii="Arial" w:hAnsi="Arial" w:cs="Arial"/>
                <w:sz w:val="18"/>
                <w:szCs w:val="18"/>
              </w:rPr>
            </w:pPr>
          </w:p>
        </w:tc>
      </w:tr>
      <w:tr w:rsidR="00A10B25" w14:paraId="5C78ADB3" w14:textId="77777777">
        <w:trPr>
          <w:jc w:val="center"/>
        </w:trPr>
        <w:tc>
          <w:tcPr>
            <w:tcW w:w="1825" w:type="dxa"/>
          </w:tcPr>
          <w:p w14:paraId="39E514AB" w14:textId="77777777" w:rsidR="00A10B25" w:rsidRDefault="00A10B25">
            <w:pPr>
              <w:pStyle w:val="TAL"/>
            </w:pPr>
            <w:r>
              <w:t>mediumLevel</w:t>
            </w:r>
          </w:p>
        </w:tc>
        <w:tc>
          <w:tcPr>
            <w:tcW w:w="1559" w:type="dxa"/>
          </w:tcPr>
          <w:p w14:paraId="2456BA4A" w14:textId="77777777" w:rsidR="00A10B25" w:rsidRDefault="00A10B25">
            <w:pPr>
              <w:pStyle w:val="TAL"/>
              <w:rPr>
                <w:lang w:eastAsia="zh-CN"/>
              </w:rPr>
            </w:pPr>
            <w:r>
              <w:rPr>
                <w:lang w:eastAsia="zh-CN"/>
              </w:rPr>
              <w:t>array(Supi)</w:t>
            </w:r>
          </w:p>
        </w:tc>
        <w:tc>
          <w:tcPr>
            <w:tcW w:w="426" w:type="dxa"/>
          </w:tcPr>
          <w:p w14:paraId="2E357E61" w14:textId="77777777" w:rsidR="00A10B25" w:rsidRDefault="00A10B25">
            <w:pPr>
              <w:pStyle w:val="TAC"/>
            </w:pPr>
            <w:r>
              <w:t>C</w:t>
            </w:r>
          </w:p>
        </w:tc>
        <w:tc>
          <w:tcPr>
            <w:tcW w:w="1134" w:type="dxa"/>
          </w:tcPr>
          <w:p w14:paraId="553E0C61" w14:textId="77777777" w:rsidR="00A10B25" w:rsidRDefault="00A10B25">
            <w:pPr>
              <w:pStyle w:val="TAL"/>
            </w:pPr>
            <w:r>
              <w:rPr>
                <w:lang w:eastAsia="zh-CN"/>
              </w:rPr>
              <w:t>1..N</w:t>
            </w:r>
          </w:p>
        </w:tc>
        <w:tc>
          <w:tcPr>
            <w:tcW w:w="2835" w:type="dxa"/>
          </w:tcPr>
          <w:p w14:paraId="486DC778" w14:textId="77777777" w:rsidR="00A10B25" w:rsidRDefault="00A10B25">
            <w:pPr>
              <w:pStyle w:val="TAL"/>
            </w:pPr>
            <w:r>
              <w:t xml:space="preserve">A list of UEs whose experience level of </w:t>
            </w:r>
            <w:r>
              <w:rPr>
                <w:lang w:eastAsia="ko-KR"/>
              </w:rPr>
              <w:t xml:space="preserve">SMCC for </w:t>
            </w:r>
            <w:r>
              <w:t>specific DNN and/or S-NSSAI is medium.</w:t>
            </w:r>
          </w:p>
          <w:p w14:paraId="368A2574" w14:textId="77777777" w:rsidR="00A10B25" w:rsidRDefault="00A10B25">
            <w:pPr>
              <w:pStyle w:val="TAL"/>
            </w:pPr>
            <w:r>
              <w:rPr>
                <w:rFonts w:cs="Arial"/>
                <w:szCs w:val="18"/>
              </w:rPr>
              <w:t>Shall be present if one of the elements in the "listOfAnaSubsets" attribute was set with value as "LIST_OF_MEDIUM_EXP_UE". (NOTE 1) (NOTE 2)</w:t>
            </w:r>
          </w:p>
        </w:tc>
        <w:tc>
          <w:tcPr>
            <w:tcW w:w="1824" w:type="dxa"/>
          </w:tcPr>
          <w:p w14:paraId="6CCBAB54" w14:textId="77777777" w:rsidR="00A10B25" w:rsidRDefault="00A10B25">
            <w:pPr>
              <w:keepNext/>
              <w:keepLines/>
              <w:spacing w:after="0"/>
              <w:rPr>
                <w:rFonts w:ascii="Arial" w:hAnsi="Arial" w:cs="Arial"/>
                <w:sz w:val="18"/>
                <w:szCs w:val="18"/>
              </w:rPr>
            </w:pPr>
          </w:p>
        </w:tc>
      </w:tr>
      <w:tr w:rsidR="00A10B25" w14:paraId="356C40C7" w14:textId="77777777">
        <w:trPr>
          <w:jc w:val="center"/>
        </w:trPr>
        <w:tc>
          <w:tcPr>
            <w:tcW w:w="1825" w:type="dxa"/>
          </w:tcPr>
          <w:p w14:paraId="1CAC935B" w14:textId="77777777" w:rsidR="00A10B25" w:rsidRDefault="00A10B25">
            <w:pPr>
              <w:pStyle w:val="TAL"/>
            </w:pPr>
            <w:r>
              <w:t>lowLevel</w:t>
            </w:r>
          </w:p>
        </w:tc>
        <w:tc>
          <w:tcPr>
            <w:tcW w:w="1559" w:type="dxa"/>
          </w:tcPr>
          <w:p w14:paraId="239DD00B" w14:textId="77777777" w:rsidR="00A10B25" w:rsidRDefault="00A10B25">
            <w:pPr>
              <w:pStyle w:val="TAL"/>
              <w:rPr>
                <w:lang w:eastAsia="zh-CN"/>
              </w:rPr>
            </w:pPr>
            <w:r>
              <w:rPr>
                <w:lang w:eastAsia="zh-CN"/>
              </w:rPr>
              <w:t>array(Supi)</w:t>
            </w:r>
          </w:p>
        </w:tc>
        <w:tc>
          <w:tcPr>
            <w:tcW w:w="426" w:type="dxa"/>
          </w:tcPr>
          <w:p w14:paraId="7843027F" w14:textId="77777777" w:rsidR="00A10B25" w:rsidRDefault="00A10B25">
            <w:pPr>
              <w:pStyle w:val="TAC"/>
            </w:pPr>
            <w:r>
              <w:t>C</w:t>
            </w:r>
          </w:p>
        </w:tc>
        <w:tc>
          <w:tcPr>
            <w:tcW w:w="1134" w:type="dxa"/>
          </w:tcPr>
          <w:p w14:paraId="3DC3AD6F" w14:textId="77777777" w:rsidR="00A10B25" w:rsidRDefault="00A10B25">
            <w:pPr>
              <w:pStyle w:val="TAL"/>
            </w:pPr>
            <w:r>
              <w:rPr>
                <w:lang w:eastAsia="zh-CN"/>
              </w:rPr>
              <w:t>1..N</w:t>
            </w:r>
          </w:p>
        </w:tc>
        <w:tc>
          <w:tcPr>
            <w:tcW w:w="2835" w:type="dxa"/>
          </w:tcPr>
          <w:p w14:paraId="16E1595D" w14:textId="77777777" w:rsidR="00A10B25" w:rsidRDefault="00A10B25">
            <w:pPr>
              <w:pStyle w:val="TAL"/>
            </w:pPr>
            <w:r>
              <w:t xml:space="preserve">A list of UEs whose experience level of </w:t>
            </w:r>
            <w:r>
              <w:rPr>
                <w:lang w:eastAsia="ko-KR"/>
              </w:rPr>
              <w:t xml:space="preserve">SMCC for </w:t>
            </w:r>
            <w:r>
              <w:t>specific DNN and/or S-NSSAI is low.</w:t>
            </w:r>
          </w:p>
          <w:p w14:paraId="5E2DF6B0" w14:textId="77777777" w:rsidR="00A10B25" w:rsidRDefault="00A10B25">
            <w:pPr>
              <w:pStyle w:val="TAL"/>
            </w:pPr>
            <w:r>
              <w:rPr>
                <w:rFonts w:cs="Arial"/>
                <w:szCs w:val="18"/>
              </w:rPr>
              <w:t>Shall be present if one of the elements in the "listOfAnaSubsets" attribute was set with value as "LIST_OF_LOW_EXP_UE". (NOTE 1) (NOTE 2)</w:t>
            </w:r>
          </w:p>
        </w:tc>
        <w:tc>
          <w:tcPr>
            <w:tcW w:w="1824" w:type="dxa"/>
          </w:tcPr>
          <w:p w14:paraId="245D96BB" w14:textId="77777777" w:rsidR="00A10B25" w:rsidRDefault="00A10B25">
            <w:pPr>
              <w:keepNext/>
              <w:keepLines/>
              <w:spacing w:after="0"/>
              <w:rPr>
                <w:rFonts w:ascii="Arial" w:hAnsi="Arial" w:cs="Arial"/>
                <w:sz w:val="18"/>
                <w:szCs w:val="18"/>
              </w:rPr>
            </w:pPr>
          </w:p>
        </w:tc>
      </w:tr>
      <w:tr w:rsidR="00A10B25" w14:paraId="20628200" w14:textId="77777777">
        <w:trPr>
          <w:jc w:val="center"/>
        </w:trPr>
        <w:tc>
          <w:tcPr>
            <w:tcW w:w="9603" w:type="dxa"/>
            <w:gridSpan w:val="6"/>
          </w:tcPr>
          <w:p w14:paraId="14FDD8A7" w14:textId="77777777" w:rsidR="00A10B25" w:rsidRDefault="00A10B25">
            <w:pPr>
              <w:pStyle w:val="TAN"/>
              <w:rPr>
                <w:lang w:eastAsia="zh-CN"/>
              </w:rPr>
            </w:pPr>
            <w:r>
              <w:rPr>
                <w:lang w:eastAsia="zh-CN"/>
              </w:rPr>
              <w:t>NOTE 1:</w:t>
            </w:r>
            <w:r>
              <w:rPr>
                <w:lang w:eastAsia="zh-CN"/>
              </w:rPr>
              <w:tab/>
              <w:t>At least one of "</w:t>
            </w:r>
            <w:r>
              <w:t>highLevel</w:t>
            </w:r>
            <w:r>
              <w:rPr>
                <w:lang w:eastAsia="zh-CN"/>
              </w:rPr>
              <w:t>", "</w:t>
            </w:r>
            <w:r>
              <w:t>mediumLevel</w:t>
            </w:r>
            <w:r>
              <w:rPr>
                <w:lang w:eastAsia="zh-CN"/>
              </w:rPr>
              <w:t>" or "</w:t>
            </w:r>
            <w:r>
              <w:t>lowLevel</w:t>
            </w:r>
            <w:r>
              <w:rPr>
                <w:lang w:eastAsia="zh-CN"/>
              </w:rPr>
              <w:t>" shall be provided.</w:t>
            </w:r>
          </w:p>
          <w:p w14:paraId="696D47A5" w14:textId="77777777" w:rsidR="00A10B25" w:rsidRDefault="00A42460">
            <w:pPr>
              <w:pStyle w:val="TAN"/>
              <w:rPr>
                <w:rFonts w:cs="Arial"/>
                <w:szCs w:val="18"/>
              </w:rPr>
            </w:pPr>
            <w:r>
              <w:rPr>
                <w:lang w:eastAsia="zh-CN"/>
              </w:rPr>
              <w:t>NOTE</w:t>
            </w:r>
            <w:r>
              <w:rPr>
                <w:rFonts w:cs="Arial"/>
                <w:szCs w:val="18"/>
              </w:rPr>
              <w:t> 2</w:t>
            </w:r>
            <w:r>
              <w:rPr>
                <w:lang w:eastAsia="zh-CN"/>
              </w:rPr>
              <w:t>:</w:t>
            </w:r>
            <w:r>
              <w:rPr>
                <w:lang w:eastAsia="zh-CN"/>
              </w:rPr>
              <w:tab/>
              <w:t xml:space="preserve">If the "listOfAnaSubsets" attribute with value only applicable to </w:t>
            </w:r>
            <w:r>
              <w:t>"</w:t>
            </w:r>
            <w:r>
              <w:rPr>
                <w:rFonts w:hint="eastAsia"/>
                <w:lang w:eastAsia="zh-CN"/>
              </w:rPr>
              <w:t>S</w:t>
            </w:r>
            <w:r>
              <w:rPr>
                <w:lang w:eastAsia="zh-CN"/>
              </w:rPr>
              <w:t>M_</w:t>
            </w:r>
            <w:r>
              <w:t>CONGESTION"</w:t>
            </w:r>
            <w:r>
              <w:rPr>
                <w:lang w:eastAsia="zh-CN"/>
              </w:rPr>
              <w:t xml:space="preserve"> event is present in the request, then only the corresponding attribute(s) shall be present.</w:t>
            </w:r>
          </w:p>
        </w:tc>
      </w:tr>
    </w:tbl>
    <w:p w14:paraId="7E21F38B" w14:textId="77777777" w:rsidR="00A10B25" w:rsidRDefault="00A10B25"/>
    <w:p w14:paraId="77890884" w14:textId="77777777" w:rsidR="00A10B25" w:rsidRDefault="00A10B25">
      <w:pPr>
        <w:pStyle w:val="5"/>
      </w:pPr>
      <w:bookmarkStart w:id="10979" w:name="_Toc145705870"/>
      <w:bookmarkStart w:id="10980" w:name="_Toc148522780"/>
      <w:bookmarkStart w:id="10981" w:name="_Toc104539142"/>
      <w:bookmarkStart w:id="10982" w:name="_Toc97244500"/>
      <w:bookmarkStart w:id="10983" w:name="_Toc138754375"/>
      <w:bookmarkStart w:id="10984" w:name="_Toc120702445"/>
      <w:bookmarkStart w:id="10985" w:name="_Toc112951265"/>
      <w:bookmarkStart w:id="10986" w:name="_Toc136562541"/>
      <w:bookmarkStart w:id="10987" w:name="_Toc114133944"/>
      <w:bookmarkStart w:id="10988" w:name="_Toc101244547"/>
      <w:bookmarkStart w:id="10989" w:name="_Toc113031805"/>
      <w:bookmarkStart w:id="10990" w:name="_Toc164920966"/>
      <w:bookmarkStart w:id="10991" w:name="_Toc170120508"/>
      <w:bookmarkStart w:id="10992" w:name="_Toc175858753"/>
      <w:bookmarkStart w:id="10993" w:name="_Toc175859826"/>
      <w:bookmarkStart w:id="10994" w:name="_Toc180606116"/>
      <w:bookmarkStart w:id="10995" w:name="_Toc185517377"/>
      <w:bookmarkStart w:id="10996" w:name="_Toc191576429"/>
      <w:bookmarkStart w:id="10997" w:name="_Toc191577169"/>
      <w:bookmarkStart w:id="10998" w:name="_Toc192880239"/>
      <w:bookmarkStart w:id="10999" w:name="_Toc195815128"/>
      <w:bookmarkStart w:id="11000" w:name="_Toc199453095"/>
      <w:r>
        <w:t>5.2.6.2.14</w:t>
      </w:r>
      <w:r>
        <w:tab/>
        <w:t>Type SpecificDataSubscription</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5F1894E1" w14:textId="77777777" w:rsidR="00A10B25" w:rsidRDefault="00A10B25">
      <w:pPr>
        <w:pStyle w:val="TH"/>
      </w:pPr>
      <w:r>
        <w:t>Table 5.2.6.2.14-1: Definition of type SpecificDataSubscription</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021DD8D6" w14:textId="77777777">
        <w:trPr>
          <w:jc w:val="center"/>
        </w:trPr>
        <w:tc>
          <w:tcPr>
            <w:tcW w:w="1628" w:type="dxa"/>
            <w:shd w:val="clear" w:color="auto" w:fill="C0C0C0"/>
          </w:tcPr>
          <w:p w14:paraId="4D146F5A" w14:textId="77777777" w:rsidR="00A10B25" w:rsidRDefault="00A10B25">
            <w:pPr>
              <w:pStyle w:val="TAH"/>
            </w:pPr>
            <w:r>
              <w:t>Attribute name</w:t>
            </w:r>
          </w:p>
        </w:tc>
        <w:tc>
          <w:tcPr>
            <w:tcW w:w="1701" w:type="dxa"/>
            <w:shd w:val="clear" w:color="auto" w:fill="C0C0C0"/>
          </w:tcPr>
          <w:p w14:paraId="2400B3F4" w14:textId="77777777" w:rsidR="00A10B25" w:rsidRDefault="00A10B25">
            <w:pPr>
              <w:pStyle w:val="TAH"/>
            </w:pPr>
            <w:r>
              <w:t>Data type</w:t>
            </w:r>
          </w:p>
        </w:tc>
        <w:tc>
          <w:tcPr>
            <w:tcW w:w="426" w:type="dxa"/>
            <w:shd w:val="clear" w:color="auto" w:fill="C0C0C0"/>
          </w:tcPr>
          <w:p w14:paraId="4A044C77" w14:textId="77777777" w:rsidR="00A10B25" w:rsidRDefault="00A10B25">
            <w:pPr>
              <w:pStyle w:val="TAH"/>
            </w:pPr>
            <w:r>
              <w:t>P</w:t>
            </w:r>
          </w:p>
        </w:tc>
        <w:tc>
          <w:tcPr>
            <w:tcW w:w="1134" w:type="dxa"/>
            <w:shd w:val="clear" w:color="auto" w:fill="C0C0C0"/>
          </w:tcPr>
          <w:p w14:paraId="21F64D3F" w14:textId="77777777" w:rsidR="00A10B25" w:rsidRDefault="00A10B25">
            <w:pPr>
              <w:pStyle w:val="TAH"/>
            </w:pPr>
            <w:r>
              <w:t>Cardinality</w:t>
            </w:r>
          </w:p>
        </w:tc>
        <w:tc>
          <w:tcPr>
            <w:tcW w:w="2976" w:type="dxa"/>
            <w:shd w:val="clear" w:color="auto" w:fill="C0C0C0"/>
          </w:tcPr>
          <w:p w14:paraId="00FE1F77" w14:textId="77777777" w:rsidR="00A10B25" w:rsidRDefault="00A10B25">
            <w:pPr>
              <w:pStyle w:val="TAH"/>
              <w:rPr>
                <w:rFonts w:cs="Arial"/>
                <w:szCs w:val="18"/>
              </w:rPr>
            </w:pPr>
            <w:r>
              <w:rPr>
                <w:rFonts w:cs="Arial"/>
                <w:szCs w:val="18"/>
              </w:rPr>
              <w:t>Description</w:t>
            </w:r>
          </w:p>
        </w:tc>
        <w:tc>
          <w:tcPr>
            <w:tcW w:w="1628" w:type="dxa"/>
            <w:shd w:val="clear" w:color="auto" w:fill="C0C0C0"/>
          </w:tcPr>
          <w:p w14:paraId="3009C6D6" w14:textId="77777777" w:rsidR="00A10B25" w:rsidRDefault="00A10B25">
            <w:pPr>
              <w:pStyle w:val="TAH"/>
              <w:rPr>
                <w:rFonts w:cs="Arial"/>
                <w:szCs w:val="18"/>
              </w:rPr>
            </w:pPr>
            <w:r>
              <w:rPr>
                <w:rFonts w:cs="Arial"/>
                <w:szCs w:val="18"/>
              </w:rPr>
              <w:t>Applicability</w:t>
            </w:r>
          </w:p>
        </w:tc>
      </w:tr>
      <w:tr w:rsidR="00A10B25" w14:paraId="3BF96B68" w14:textId="77777777">
        <w:trPr>
          <w:jc w:val="center"/>
        </w:trPr>
        <w:tc>
          <w:tcPr>
            <w:tcW w:w="1628" w:type="dxa"/>
          </w:tcPr>
          <w:p w14:paraId="4E144798" w14:textId="77777777" w:rsidR="00A10B25" w:rsidRDefault="00A10B25">
            <w:pPr>
              <w:pStyle w:val="TAL"/>
            </w:pPr>
            <w:r>
              <w:t>subscriptionId</w:t>
            </w:r>
          </w:p>
        </w:tc>
        <w:tc>
          <w:tcPr>
            <w:tcW w:w="1701" w:type="dxa"/>
          </w:tcPr>
          <w:p w14:paraId="7B0B7D1A" w14:textId="77777777" w:rsidR="00A10B25" w:rsidRDefault="00A10B25">
            <w:pPr>
              <w:pStyle w:val="TAL"/>
            </w:pPr>
            <w:r>
              <w:t>string</w:t>
            </w:r>
          </w:p>
        </w:tc>
        <w:tc>
          <w:tcPr>
            <w:tcW w:w="426" w:type="dxa"/>
          </w:tcPr>
          <w:p w14:paraId="02CB56AB" w14:textId="77777777" w:rsidR="00A10B25" w:rsidRDefault="00A10B25">
            <w:pPr>
              <w:pStyle w:val="TAL"/>
              <w:jc w:val="center"/>
            </w:pPr>
            <w:r>
              <w:t>M</w:t>
            </w:r>
          </w:p>
        </w:tc>
        <w:tc>
          <w:tcPr>
            <w:tcW w:w="1134" w:type="dxa"/>
          </w:tcPr>
          <w:p w14:paraId="4DC89A4A" w14:textId="77777777" w:rsidR="00A10B25" w:rsidRDefault="00A10B25">
            <w:pPr>
              <w:pStyle w:val="TAL"/>
            </w:pPr>
            <w:r>
              <w:t>1</w:t>
            </w:r>
          </w:p>
        </w:tc>
        <w:tc>
          <w:tcPr>
            <w:tcW w:w="2976" w:type="dxa"/>
          </w:tcPr>
          <w:p w14:paraId="23D3DD42" w14:textId="77777777" w:rsidR="00A10B25" w:rsidRDefault="00A10B25">
            <w:pPr>
              <w:pStyle w:val="TAL"/>
              <w:rPr>
                <w:rFonts w:cs="Arial"/>
                <w:szCs w:val="18"/>
              </w:rPr>
            </w:pPr>
            <w:r>
              <w:t>The identifier of the specific data subscription.</w:t>
            </w:r>
          </w:p>
        </w:tc>
        <w:tc>
          <w:tcPr>
            <w:tcW w:w="1628" w:type="dxa"/>
          </w:tcPr>
          <w:p w14:paraId="11DBE553" w14:textId="77777777" w:rsidR="00A10B25" w:rsidRDefault="00A10B25">
            <w:pPr>
              <w:pStyle w:val="TAL"/>
              <w:rPr>
                <w:rFonts w:cs="Arial"/>
                <w:szCs w:val="18"/>
              </w:rPr>
            </w:pPr>
          </w:p>
        </w:tc>
      </w:tr>
      <w:tr w:rsidR="00A10B25" w14:paraId="729F263C" w14:textId="77777777">
        <w:trPr>
          <w:jc w:val="center"/>
        </w:trPr>
        <w:tc>
          <w:tcPr>
            <w:tcW w:w="1628" w:type="dxa"/>
          </w:tcPr>
          <w:p w14:paraId="6A9A4ED8" w14:textId="77777777" w:rsidR="00A10B25" w:rsidRDefault="00A10B25">
            <w:pPr>
              <w:pStyle w:val="TAL"/>
            </w:pPr>
            <w:r>
              <w:t>producerId</w:t>
            </w:r>
          </w:p>
        </w:tc>
        <w:tc>
          <w:tcPr>
            <w:tcW w:w="1701" w:type="dxa"/>
          </w:tcPr>
          <w:p w14:paraId="3CCF9B0C" w14:textId="77777777" w:rsidR="00A10B25" w:rsidRDefault="00A10B25">
            <w:pPr>
              <w:pStyle w:val="TAL"/>
            </w:pPr>
            <w:r>
              <w:t>NfInstanceId</w:t>
            </w:r>
          </w:p>
        </w:tc>
        <w:tc>
          <w:tcPr>
            <w:tcW w:w="426" w:type="dxa"/>
          </w:tcPr>
          <w:p w14:paraId="037BE864" w14:textId="77777777" w:rsidR="00A10B25" w:rsidRDefault="00A10B25">
            <w:pPr>
              <w:pStyle w:val="TAL"/>
              <w:jc w:val="center"/>
            </w:pPr>
            <w:r>
              <w:t>C</w:t>
            </w:r>
          </w:p>
        </w:tc>
        <w:tc>
          <w:tcPr>
            <w:tcW w:w="1134" w:type="dxa"/>
          </w:tcPr>
          <w:p w14:paraId="438EED50" w14:textId="77777777" w:rsidR="00A10B25" w:rsidRDefault="00A10B25">
            <w:pPr>
              <w:pStyle w:val="TAL"/>
            </w:pPr>
            <w:r>
              <w:t>0..1</w:t>
            </w:r>
          </w:p>
        </w:tc>
        <w:tc>
          <w:tcPr>
            <w:tcW w:w="2976" w:type="dxa"/>
          </w:tcPr>
          <w:p w14:paraId="5D32FD9D" w14:textId="77777777" w:rsidR="00A10B25" w:rsidRDefault="00A10B25">
            <w:pPr>
              <w:pStyle w:val="TAL"/>
            </w:pPr>
            <w:r>
              <w:t>NF instance identifier to which the NF service consumer has established this subscription. (NOTE)</w:t>
            </w:r>
          </w:p>
        </w:tc>
        <w:tc>
          <w:tcPr>
            <w:tcW w:w="1628" w:type="dxa"/>
          </w:tcPr>
          <w:p w14:paraId="08384AED" w14:textId="77777777" w:rsidR="00A10B25" w:rsidRDefault="00A10B25">
            <w:pPr>
              <w:pStyle w:val="TAL"/>
              <w:rPr>
                <w:rFonts w:cs="Arial"/>
                <w:szCs w:val="18"/>
              </w:rPr>
            </w:pPr>
          </w:p>
        </w:tc>
      </w:tr>
      <w:tr w:rsidR="00A10B25" w14:paraId="04210E61" w14:textId="77777777">
        <w:trPr>
          <w:jc w:val="center"/>
        </w:trPr>
        <w:tc>
          <w:tcPr>
            <w:tcW w:w="1628" w:type="dxa"/>
          </w:tcPr>
          <w:p w14:paraId="5E8AB837" w14:textId="77777777" w:rsidR="00A10B25" w:rsidRDefault="00A10B25">
            <w:pPr>
              <w:pStyle w:val="TAL"/>
            </w:pPr>
            <w:r>
              <w:t>producerSetId</w:t>
            </w:r>
          </w:p>
        </w:tc>
        <w:tc>
          <w:tcPr>
            <w:tcW w:w="1701" w:type="dxa"/>
          </w:tcPr>
          <w:p w14:paraId="0ACA0FE4" w14:textId="77777777" w:rsidR="00A10B25" w:rsidRDefault="00A10B25">
            <w:pPr>
              <w:pStyle w:val="TAL"/>
            </w:pPr>
            <w:r>
              <w:t>NfSetId</w:t>
            </w:r>
          </w:p>
        </w:tc>
        <w:tc>
          <w:tcPr>
            <w:tcW w:w="426" w:type="dxa"/>
          </w:tcPr>
          <w:p w14:paraId="04D0659D" w14:textId="77777777" w:rsidR="00A10B25" w:rsidRDefault="00A10B25">
            <w:pPr>
              <w:pStyle w:val="TAL"/>
              <w:jc w:val="center"/>
            </w:pPr>
            <w:r>
              <w:t>C</w:t>
            </w:r>
          </w:p>
        </w:tc>
        <w:tc>
          <w:tcPr>
            <w:tcW w:w="1134" w:type="dxa"/>
          </w:tcPr>
          <w:p w14:paraId="49D6EBF6" w14:textId="77777777" w:rsidR="00A10B25" w:rsidRDefault="00A10B25">
            <w:pPr>
              <w:pStyle w:val="TAL"/>
            </w:pPr>
            <w:r>
              <w:t>0..1</w:t>
            </w:r>
          </w:p>
        </w:tc>
        <w:tc>
          <w:tcPr>
            <w:tcW w:w="2976" w:type="dxa"/>
          </w:tcPr>
          <w:p w14:paraId="5527117C" w14:textId="77777777" w:rsidR="00A10B25" w:rsidRDefault="00A10B25">
            <w:pPr>
              <w:pStyle w:val="TAL"/>
            </w:pPr>
            <w:r>
              <w:t>NF set identifier to which the NF service consumer has established this subscription. (NOTE)</w:t>
            </w:r>
          </w:p>
        </w:tc>
        <w:tc>
          <w:tcPr>
            <w:tcW w:w="1628" w:type="dxa"/>
          </w:tcPr>
          <w:p w14:paraId="56D6A912" w14:textId="77777777" w:rsidR="00A10B25" w:rsidRDefault="00A10B25">
            <w:pPr>
              <w:pStyle w:val="TAL"/>
              <w:rPr>
                <w:rFonts w:cs="Arial"/>
                <w:szCs w:val="18"/>
              </w:rPr>
            </w:pPr>
          </w:p>
        </w:tc>
      </w:tr>
      <w:tr w:rsidR="00A10B25" w14:paraId="01D780DB" w14:textId="77777777">
        <w:trPr>
          <w:jc w:val="center"/>
        </w:trPr>
        <w:tc>
          <w:tcPr>
            <w:tcW w:w="1628" w:type="dxa"/>
          </w:tcPr>
          <w:p w14:paraId="033155DD" w14:textId="77777777" w:rsidR="00A10B25" w:rsidRDefault="00A10B25">
            <w:pPr>
              <w:pStyle w:val="TAL"/>
            </w:pPr>
            <w:r>
              <w:t>dataSub</w:t>
            </w:r>
          </w:p>
        </w:tc>
        <w:tc>
          <w:tcPr>
            <w:tcW w:w="1701" w:type="dxa"/>
          </w:tcPr>
          <w:p w14:paraId="16B7C2B9" w14:textId="77777777" w:rsidR="00A10B25" w:rsidRDefault="00A10B25">
            <w:pPr>
              <w:pStyle w:val="TAL"/>
            </w:pPr>
            <w:r>
              <w:t>DataSubscription</w:t>
            </w:r>
          </w:p>
        </w:tc>
        <w:tc>
          <w:tcPr>
            <w:tcW w:w="426" w:type="dxa"/>
          </w:tcPr>
          <w:p w14:paraId="22B5F8F8" w14:textId="77777777" w:rsidR="00A10B25" w:rsidRDefault="00A10B25">
            <w:pPr>
              <w:pStyle w:val="TAL"/>
              <w:jc w:val="center"/>
            </w:pPr>
            <w:r>
              <w:t>M</w:t>
            </w:r>
          </w:p>
        </w:tc>
        <w:tc>
          <w:tcPr>
            <w:tcW w:w="1134" w:type="dxa"/>
          </w:tcPr>
          <w:p w14:paraId="3A1D10B2" w14:textId="77777777" w:rsidR="00A10B25" w:rsidRDefault="00A10B25">
            <w:pPr>
              <w:pStyle w:val="TAL"/>
            </w:pPr>
            <w:r>
              <w:t>1</w:t>
            </w:r>
          </w:p>
        </w:tc>
        <w:tc>
          <w:tcPr>
            <w:tcW w:w="2976" w:type="dxa"/>
          </w:tcPr>
          <w:p w14:paraId="081644E6" w14:textId="77777777" w:rsidR="00A10B25" w:rsidRDefault="00A10B25">
            <w:pPr>
              <w:pStyle w:val="TAL"/>
            </w:pPr>
            <w:r>
              <w:t>Contains information about the subscription with the data source.</w:t>
            </w:r>
          </w:p>
        </w:tc>
        <w:tc>
          <w:tcPr>
            <w:tcW w:w="1628" w:type="dxa"/>
          </w:tcPr>
          <w:p w14:paraId="595DE2ED" w14:textId="77777777" w:rsidR="00A10B25" w:rsidRDefault="00A10B25">
            <w:pPr>
              <w:pStyle w:val="TAL"/>
              <w:rPr>
                <w:rFonts w:cs="Arial"/>
                <w:szCs w:val="18"/>
              </w:rPr>
            </w:pPr>
          </w:p>
        </w:tc>
      </w:tr>
      <w:tr w:rsidR="00A10B25" w14:paraId="4A59214D" w14:textId="77777777">
        <w:trPr>
          <w:jc w:val="center"/>
        </w:trPr>
        <w:tc>
          <w:tcPr>
            <w:tcW w:w="9493" w:type="dxa"/>
            <w:gridSpan w:val="6"/>
          </w:tcPr>
          <w:p w14:paraId="43771478" w14:textId="77777777" w:rsidR="00A10B25" w:rsidRDefault="00A10B25">
            <w:pPr>
              <w:pStyle w:val="TAN"/>
              <w:rPr>
                <w:rFonts w:cs="Arial"/>
                <w:szCs w:val="18"/>
              </w:rPr>
            </w:pPr>
            <w:r>
              <w:rPr>
                <w:rFonts w:cs="Arial"/>
                <w:szCs w:val="18"/>
              </w:rPr>
              <w:t>NOTE:</w:t>
            </w:r>
            <w:r>
              <w:tab/>
              <w:t>One of "producerId" and "producerSetId" shall be included.</w:t>
            </w:r>
          </w:p>
        </w:tc>
      </w:tr>
    </w:tbl>
    <w:p w14:paraId="585F726B" w14:textId="77777777" w:rsidR="00A10B25" w:rsidRDefault="00A10B25"/>
    <w:p w14:paraId="60B55ED7" w14:textId="77777777" w:rsidR="00A10B25" w:rsidRDefault="00A10B25">
      <w:pPr>
        <w:pStyle w:val="5"/>
      </w:pPr>
      <w:bookmarkStart w:id="11001" w:name="_Toc136562542"/>
      <w:bookmarkStart w:id="11002" w:name="_Toc145705871"/>
      <w:bookmarkStart w:id="11003" w:name="_Toc148522781"/>
      <w:bookmarkStart w:id="11004" w:name="_Toc138754376"/>
      <w:bookmarkStart w:id="11005" w:name="_Toc114133945"/>
      <w:bookmarkStart w:id="11006" w:name="_Toc88667693"/>
      <w:bookmarkStart w:id="11007" w:name="_Toc94064383"/>
      <w:bookmarkStart w:id="11008" w:name="_Toc85557183"/>
      <w:bookmarkStart w:id="11009" w:name="_Toc104539143"/>
      <w:bookmarkStart w:id="11010" w:name="_Toc120702446"/>
      <w:bookmarkStart w:id="11011" w:name="_Toc112951266"/>
      <w:bookmarkStart w:id="11012" w:name="_Toc113031806"/>
      <w:bookmarkStart w:id="11013" w:name="_Toc90655978"/>
      <w:bookmarkStart w:id="11014" w:name="_Toc85553084"/>
      <w:bookmarkStart w:id="11015" w:name="_Toc70550704"/>
      <w:bookmarkStart w:id="11016" w:name="_Toc98233770"/>
      <w:bookmarkStart w:id="11017" w:name="_Toc101244548"/>
      <w:bookmarkStart w:id="11018" w:name="_Toc83233157"/>
      <w:bookmarkStart w:id="11019" w:name="_Toc164920967"/>
      <w:bookmarkStart w:id="11020" w:name="_Toc170120509"/>
      <w:bookmarkStart w:id="11021" w:name="_Toc175858754"/>
      <w:bookmarkStart w:id="11022" w:name="_Toc175859827"/>
      <w:bookmarkStart w:id="11023" w:name="_Toc180606117"/>
      <w:bookmarkStart w:id="11024" w:name="_Toc185517378"/>
      <w:bookmarkStart w:id="11025" w:name="_Toc191576430"/>
      <w:bookmarkStart w:id="11026" w:name="_Toc191577170"/>
      <w:bookmarkStart w:id="11027" w:name="_Toc192880240"/>
      <w:bookmarkStart w:id="11028" w:name="_Toc195815129"/>
      <w:bookmarkStart w:id="11029" w:name="_Toc199453096"/>
      <w:r>
        <w:lastRenderedPageBreak/>
        <w:t>5.2.6.2.15</w:t>
      </w:r>
      <w:r>
        <w:tab/>
        <w:t>Type UserDataCongestReq</w:t>
      </w:r>
      <w:bookmarkEnd w:id="11001"/>
      <w:bookmarkEnd w:id="11002"/>
      <w:bookmarkEnd w:id="11003"/>
      <w:bookmarkEnd w:id="11004"/>
      <w:bookmarkEnd w:id="11019"/>
      <w:bookmarkEnd w:id="11020"/>
      <w:bookmarkEnd w:id="11021"/>
      <w:bookmarkEnd w:id="11022"/>
      <w:bookmarkEnd w:id="11023"/>
      <w:bookmarkEnd w:id="11024"/>
      <w:bookmarkEnd w:id="11025"/>
      <w:bookmarkEnd w:id="11026"/>
      <w:bookmarkEnd w:id="11027"/>
      <w:bookmarkEnd w:id="11028"/>
      <w:bookmarkEnd w:id="11029"/>
    </w:p>
    <w:p w14:paraId="2904547E" w14:textId="77777777" w:rsidR="00A10B25" w:rsidRDefault="00A10B25">
      <w:pPr>
        <w:pStyle w:val="TH"/>
      </w:pPr>
      <w:r>
        <w:rPr>
          <w:lang w:val="en-US" w:eastAsia="zh-CN"/>
        </w:rPr>
        <w:t>Table </w:t>
      </w:r>
      <w:r>
        <w:t xml:space="preserve">5.2.6.2.15-1: </w:t>
      </w:r>
      <w:r>
        <w:rPr>
          <w:lang w:val="en-US" w:eastAsia="zh-CN"/>
        </w:rPr>
        <w:t xml:space="preserve">Definition of type </w:t>
      </w:r>
      <w:r>
        <w:t>UserDataCongestReq</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75E0CDF5" w14:textId="77777777">
        <w:trPr>
          <w:jc w:val="center"/>
        </w:trPr>
        <w:tc>
          <w:tcPr>
            <w:tcW w:w="1531" w:type="dxa"/>
            <w:shd w:val="clear" w:color="auto" w:fill="C0C0C0"/>
          </w:tcPr>
          <w:p w14:paraId="262A3F51" w14:textId="77777777" w:rsidR="00A10B25" w:rsidRDefault="00A10B25">
            <w:pPr>
              <w:pStyle w:val="TAH"/>
            </w:pPr>
            <w:r>
              <w:t>Attribute name</w:t>
            </w:r>
          </w:p>
        </w:tc>
        <w:tc>
          <w:tcPr>
            <w:tcW w:w="1474" w:type="dxa"/>
            <w:shd w:val="clear" w:color="auto" w:fill="C0C0C0"/>
          </w:tcPr>
          <w:p w14:paraId="3DCBBC3A" w14:textId="77777777" w:rsidR="00A10B25" w:rsidRDefault="00A10B25">
            <w:pPr>
              <w:pStyle w:val="TAH"/>
            </w:pPr>
            <w:r>
              <w:t>Data type</w:t>
            </w:r>
          </w:p>
        </w:tc>
        <w:tc>
          <w:tcPr>
            <w:tcW w:w="360" w:type="dxa"/>
            <w:shd w:val="clear" w:color="auto" w:fill="C0C0C0"/>
          </w:tcPr>
          <w:p w14:paraId="4C00C095" w14:textId="77777777" w:rsidR="00A10B25" w:rsidRDefault="00A10B25">
            <w:pPr>
              <w:pStyle w:val="TAH"/>
            </w:pPr>
            <w:r>
              <w:t>P</w:t>
            </w:r>
          </w:p>
        </w:tc>
        <w:tc>
          <w:tcPr>
            <w:tcW w:w="1170" w:type="dxa"/>
            <w:shd w:val="clear" w:color="auto" w:fill="C0C0C0"/>
          </w:tcPr>
          <w:p w14:paraId="53E8E0DB" w14:textId="77777777" w:rsidR="00A10B25" w:rsidRDefault="00A10B25">
            <w:pPr>
              <w:pStyle w:val="TAH"/>
              <w:rPr>
                <w:rFonts w:eastAsia="Batang"/>
              </w:rPr>
            </w:pPr>
            <w:r>
              <w:rPr>
                <w:rFonts w:eastAsia="Batang"/>
              </w:rPr>
              <w:t>Cardinality</w:t>
            </w:r>
          </w:p>
        </w:tc>
        <w:tc>
          <w:tcPr>
            <w:tcW w:w="3330" w:type="dxa"/>
            <w:shd w:val="clear" w:color="auto" w:fill="C0C0C0"/>
          </w:tcPr>
          <w:p w14:paraId="28070B66" w14:textId="77777777" w:rsidR="00A10B25" w:rsidRDefault="00A10B25">
            <w:pPr>
              <w:pStyle w:val="TAH"/>
              <w:rPr>
                <w:rFonts w:cs="Arial"/>
                <w:szCs w:val="18"/>
              </w:rPr>
            </w:pPr>
            <w:r>
              <w:rPr>
                <w:rFonts w:cs="Arial"/>
                <w:szCs w:val="18"/>
              </w:rPr>
              <w:t>Description</w:t>
            </w:r>
          </w:p>
        </w:tc>
        <w:tc>
          <w:tcPr>
            <w:tcW w:w="1483" w:type="dxa"/>
            <w:shd w:val="clear" w:color="auto" w:fill="C0C0C0"/>
          </w:tcPr>
          <w:p w14:paraId="314D19BA" w14:textId="77777777" w:rsidR="00A10B25" w:rsidRDefault="00A10B25">
            <w:pPr>
              <w:pStyle w:val="TAH"/>
              <w:rPr>
                <w:rFonts w:cs="Arial"/>
                <w:szCs w:val="18"/>
              </w:rPr>
            </w:pPr>
            <w:r>
              <w:rPr>
                <w:rFonts w:cs="Arial"/>
                <w:szCs w:val="18"/>
              </w:rPr>
              <w:t>Applicability</w:t>
            </w:r>
          </w:p>
        </w:tc>
      </w:tr>
      <w:tr w:rsidR="00A10B25" w14:paraId="28358C7C" w14:textId="77777777">
        <w:trPr>
          <w:jc w:val="center"/>
        </w:trPr>
        <w:tc>
          <w:tcPr>
            <w:tcW w:w="1531" w:type="dxa"/>
          </w:tcPr>
          <w:p w14:paraId="4C4A2498" w14:textId="77777777" w:rsidR="00A10B25" w:rsidRDefault="00A10B25">
            <w:pPr>
              <w:pStyle w:val="TAL"/>
              <w:rPr>
                <w:lang w:eastAsia="zh-CN"/>
              </w:rPr>
            </w:pPr>
            <w:r>
              <w:rPr>
                <w:rFonts w:hint="eastAsia"/>
                <w:lang w:eastAsia="zh-CN"/>
              </w:rPr>
              <w:t>o</w:t>
            </w:r>
            <w:r>
              <w:rPr>
                <w:lang w:eastAsia="zh-CN"/>
              </w:rPr>
              <w:t>rderCriterion</w:t>
            </w:r>
          </w:p>
        </w:tc>
        <w:tc>
          <w:tcPr>
            <w:tcW w:w="1474" w:type="dxa"/>
          </w:tcPr>
          <w:p w14:paraId="536AA6F8" w14:textId="77777777" w:rsidR="00A10B25" w:rsidRDefault="00A10B25">
            <w:pPr>
              <w:pStyle w:val="TAL"/>
            </w:pPr>
            <w:r>
              <w:t>UserDataConOrderCrit</w:t>
            </w:r>
          </w:p>
        </w:tc>
        <w:tc>
          <w:tcPr>
            <w:tcW w:w="360" w:type="dxa"/>
          </w:tcPr>
          <w:p w14:paraId="3D946A6F" w14:textId="77777777" w:rsidR="00A10B25" w:rsidRDefault="00A10B25">
            <w:pPr>
              <w:pStyle w:val="TAC"/>
              <w:rPr>
                <w:lang w:eastAsia="zh-CN"/>
              </w:rPr>
            </w:pPr>
            <w:r>
              <w:rPr>
                <w:lang w:eastAsia="zh-CN"/>
              </w:rPr>
              <w:t>O</w:t>
            </w:r>
          </w:p>
        </w:tc>
        <w:tc>
          <w:tcPr>
            <w:tcW w:w="1170" w:type="dxa"/>
          </w:tcPr>
          <w:p w14:paraId="01C40536" w14:textId="77777777" w:rsidR="00A10B25" w:rsidRDefault="00A10B25">
            <w:pPr>
              <w:pStyle w:val="TAC"/>
            </w:pPr>
            <w:r>
              <w:t>0..1</w:t>
            </w:r>
          </w:p>
        </w:tc>
        <w:tc>
          <w:tcPr>
            <w:tcW w:w="3330" w:type="dxa"/>
          </w:tcPr>
          <w:p w14:paraId="580896C6" w14:textId="77777777" w:rsidR="00A10B25" w:rsidRDefault="00A10B25">
            <w:pPr>
              <w:pStyle w:val="TAL"/>
            </w:pPr>
            <w:r>
              <w:rPr>
                <w:lang w:eastAsia="ko-KR"/>
              </w:rPr>
              <w:t xml:space="preserve">The ordering criterion for the list of </w:t>
            </w:r>
            <w:r>
              <w:rPr>
                <w:lang w:eastAsia="zh-CN"/>
              </w:rPr>
              <w:t>User Data Congestion</w:t>
            </w:r>
            <w:r>
              <w:rPr>
                <w:lang w:eastAsia="ko-KR"/>
              </w:rPr>
              <w:t xml:space="preserve"> analytics.</w:t>
            </w:r>
            <w:r>
              <w:rPr>
                <w:rFonts w:eastAsia="Times New Roman" w:cs="Arial"/>
                <w:szCs w:val="18"/>
              </w:rPr>
              <w:t xml:space="preserve"> (NOTE</w:t>
            </w:r>
            <w:r>
              <w:rPr>
                <w:lang w:eastAsia="zh-CN"/>
              </w:rPr>
              <w:t> 2</w:t>
            </w:r>
            <w:r>
              <w:rPr>
                <w:rFonts w:eastAsia="Times New Roman" w:cs="Arial"/>
                <w:szCs w:val="18"/>
              </w:rPr>
              <w:t>)</w:t>
            </w:r>
          </w:p>
        </w:tc>
        <w:tc>
          <w:tcPr>
            <w:tcW w:w="1483" w:type="dxa"/>
          </w:tcPr>
          <w:p w14:paraId="5C8CFF93" w14:textId="77777777" w:rsidR="00A10B25" w:rsidRDefault="00A10B25">
            <w:pPr>
              <w:pStyle w:val="TAL"/>
              <w:rPr>
                <w:rFonts w:cs="Arial"/>
                <w:szCs w:val="18"/>
              </w:rPr>
            </w:pPr>
          </w:p>
        </w:tc>
      </w:tr>
      <w:tr w:rsidR="00A10B25" w14:paraId="77DF7608" w14:textId="77777777">
        <w:trPr>
          <w:jc w:val="center"/>
        </w:trPr>
        <w:tc>
          <w:tcPr>
            <w:tcW w:w="1531" w:type="dxa"/>
          </w:tcPr>
          <w:p w14:paraId="295B41F9" w14:textId="77777777" w:rsidR="00A10B25" w:rsidRDefault="00A10B25">
            <w:pPr>
              <w:pStyle w:val="TAL"/>
              <w:rPr>
                <w:lang w:eastAsia="zh-CN"/>
              </w:rPr>
            </w:pPr>
            <w:r>
              <w:rPr>
                <w:lang w:eastAsia="zh-CN"/>
              </w:rPr>
              <w:t>o</w:t>
            </w:r>
            <w:r>
              <w:rPr>
                <w:rFonts w:hint="eastAsia"/>
                <w:lang w:eastAsia="zh-CN"/>
              </w:rPr>
              <w:t>rder</w:t>
            </w:r>
            <w:r>
              <w:rPr>
                <w:lang w:eastAsia="zh-CN"/>
              </w:rPr>
              <w:t>Direction</w:t>
            </w:r>
          </w:p>
        </w:tc>
        <w:tc>
          <w:tcPr>
            <w:tcW w:w="1474" w:type="dxa"/>
          </w:tcPr>
          <w:p w14:paraId="2CFEA787" w14:textId="77777777" w:rsidR="00A10B25" w:rsidRDefault="00A10B25">
            <w:pPr>
              <w:pStyle w:val="TAL"/>
            </w:pPr>
            <w:r>
              <w:rPr>
                <w:lang w:eastAsia="zh-CN"/>
              </w:rPr>
              <w:t>MatchingDirection</w:t>
            </w:r>
          </w:p>
        </w:tc>
        <w:tc>
          <w:tcPr>
            <w:tcW w:w="360" w:type="dxa"/>
          </w:tcPr>
          <w:p w14:paraId="406DB71E" w14:textId="77777777" w:rsidR="00A10B25" w:rsidRDefault="00A10B25">
            <w:pPr>
              <w:pStyle w:val="TAC"/>
              <w:rPr>
                <w:lang w:eastAsia="zh-CN"/>
              </w:rPr>
            </w:pPr>
            <w:r>
              <w:t>O</w:t>
            </w:r>
          </w:p>
        </w:tc>
        <w:tc>
          <w:tcPr>
            <w:tcW w:w="1170" w:type="dxa"/>
          </w:tcPr>
          <w:p w14:paraId="4C16C1E7" w14:textId="77777777" w:rsidR="00A10B25" w:rsidRDefault="00A10B25">
            <w:pPr>
              <w:pStyle w:val="TAC"/>
            </w:pPr>
            <w:r>
              <w:t>0..1</w:t>
            </w:r>
          </w:p>
        </w:tc>
        <w:tc>
          <w:tcPr>
            <w:tcW w:w="3330" w:type="dxa"/>
          </w:tcPr>
          <w:p w14:paraId="2019AA1D" w14:textId="77777777" w:rsidR="00A10B25" w:rsidRDefault="00A10B25">
            <w:pPr>
              <w:pStyle w:val="TAL"/>
              <w:rPr>
                <w:lang w:eastAsia="ko-KR"/>
              </w:rPr>
            </w:pPr>
            <w:r>
              <w:rPr>
                <w:rFonts w:cs="Arial"/>
                <w:szCs w:val="18"/>
              </w:rPr>
              <w:t>Indicate the order: ascending or descending.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w:t>
            </w:r>
            <w:r>
              <w:rPr>
                <w:lang w:eastAsia="zh-CN"/>
              </w:rPr>
              <w:t> 1</w:t>
            </w:r>
            <w:r>
              <w:rPr>
                <w:rFonts w:eastAsia="Times New Roman" w:cs="Arial"/>
                <w:szCs w:val="18"/>
              </w:rPr>
              <w:t>)</w:t>
            </w:r>
          </w:p>
        </w:tc>
        <w:tc>
          <w:tcPr>
            <w:tcW w:w="1483" w:type="dxa"/>
          </w:tcPr>
          <w:p w14:paraId="139FE34B" w14:textId="77777777" w:rsidR="00A10B25" w:rsidRDefault="00A10B25">
            <w:pPr>
              <w:pStyle w:val="TAL"/>
              <w:rPr>
                <w:lang w:eastAsia="zh-CN"/>
              </w:rPr>
            </w:pPr>
          </w:p>
        </w:tc>
      </w:tr>
      <w:tr w:rsidR="00A10B25" w14:paraId="560080D0" w14:textId="77777777">
        <w:trPr>
          <w:jc w:val="center"/>
        </w:trPr>
        <w:tc>
          <w:tcPr>
            <w:tcW w:w="9348" w:type="dxa"/>
            <w:gridSpan w:val="6"/>
          </w:tcPr>
          <w:p w14:paraId="52BFFD2D" w14:textId="77777777" w:rsidR="00A10B25" w:rsidRDefault="00A10B25">
            <w:pPr>
              <w:pStyle w:val="TAN"/>
            </w:pPr>
            <w:r>
              <w:t>NOTE</w:t>
            </w:r>
            <w:r>
              <w:rPr>
                <w:lang w:eastAsia="zh-CN"/>
              </w:rPr>
              <w:t> 1</w:t>
            </w:r>
            <w:r>
              <w:t>:</w:t>
            </w:r>
            <w:r>
              <w:tab/>
              <w:t xml:space="preserve">The "CROSSED" value in "MatchingDirection" date type is not applicable for </w:t>
            </w:r>
            <w:r>
              <w:rPr>
                <w:lang w:val="en-US" w:eastAsia="zh-CN"/>
              </w:rPr>
              <w:t>this</w:t>
            </w:r>
            <w:r>
              <w:t xml:space="preserve"> attribute.</w:t>
            </w:r>
          </w:p>
          <w:p w14:paraId="2A609352" w14:textId="77777777" w:rsidR="00A10B25" w:rsidRDefault="00A10B25">
            <w:pPr>
              <w:pStyle w:val="TAN"/>
              <w:rPr>
                <w:rFonts w:eastAsia="Batang"/>
              </w:rPr>
            </w:pPr>
            <w:r>
              <w:t>NOTE</w:t>
            </w:r>
            <w:r>
              <w:rPr>
                <w:lang w:eastAsia="zh-CN"/>
              </w:rPr>
              <w:t> 2</w:t>
            </w:r>
            <w:r>
              <w:t>:</w:t>
            </w:r>
            <w:r>
              <w:tab/>
              <w:t xml:space="preserve">If the the value of </w:t>
            </w:r>
            <w:r>
              <w:rPr>
                <w:rFonts w:cs="Arial"/>
                <w:szCs w:val="18"/>
              </w:rPr>
              <w:t>"</w:t>
            </w:r>
            <w:r>
              <w:rPr>
                <w:rFonts w:hint="eastAsia"/>
                <w:lang w:eastAsia="zh-CN"/>
              </w:rPr>
              <w:t>o</w:t>
            </w:r>
            <w:r>
              <w:rPr>
                <w:lang w:eastAsia="zh-CN"/>
              </w:rPr>
              <w:t>rderCriterion</w:t>
            </w:r>
            <w:r>
              <w:rPr>
                <w:rFonts w:cs="Arial"/>
                <w:szCs w:val="18"/>
              </w:rPr>
              <w:t>"</w:t>
            </w:r>
            <w:r>
              <w:rPr>
                <w:lang w:eastAsia="zh-CN"/>
              </w:rPr>
              <w:t xml:space="preserve"> attribute</w:t>
            </w:r>
            <w:r>
              <w:t xml:space="preserve"> is "APPLICABLE_TIME_WINDOW", the "</w:t>
            </w:r>
            <w:r>
              <w:rPr>
                <w:lang w:eastAsia="zh-CN"/>
              </w:rPr>
              <w:t>ASCENDING</w:t>
            </w:r>
            <w:r>
              <w:t xml:space="preserve">" direction indicates that the list of </w:t>
            </w:r>
            <w:r>
              <w:rPr>
                <w:lang w:eastAsia="zh-CN"/>
              </w:rPr>
              <w:t>User Data Congestion</w:t>
            </w:r>
            <w:r>
              <w:rPr>
                <w:lang w:eastAsia="ko-KR"/>
              </w:rPr>
              <w:t xml:space="preserve"> analytics</w:t>
            </w:r>
            <w:r>
              <w:t xml:space="preserve"> </w:t>
            </w:r>
            <w:r>
              <w:rPr>
                <w:lang w:eastAsia="ko-KR"/>
              </w:rPr>
              <w:t xml:space="preserve">are in chronological order and </w:t>
            </w:r>
            <w:r>
              <w:t>the "</w:t>
            </w:r>
            <w:r>
              <w:rPr>
                <w:lang w:eastAsia="zh-CN"/>
              </w:rPr>
              <w:t>DESCENDING</w:t>
            </w:r>
            <w:r>
              <w:t xml:space="preserve">" direction indicates that the list of </w:t>
            </w:r>
            <w:r>
              <w:rPr>
                <w:lang w:eastAsia="zh-CN"/>
              </w:rPr>
              <w:t>User Data Congestion</w:t>
            </w:r>
            <w:r>
              <w:rPr>
                <w:lang w:eastAsia="ko-KR"/>
              </w:rPr>
              <w:t xml:space="preserve"> analytics</w:t>
            </w:r>
            <w:r>
              <w:t xml:space="preserve"> </w:t>
            </w:r>
            <w:r>
              <w:rPr>
                <w:lang w:eastAsia="ko-KR"/>
              </w:rPr>
              <w:t>are in reverse chronological order.</w:t>
            </w:r>
          </w:p>
        </w:tc>
      </w:tr>
    </w:tbl>
    <w:p w14:paraId="6C5A8519" w14:textId="77777777" w:rsidR="00A10B25" w:rsidRDefault="00A10B25"/>
    <w:p w14:paraId="67B1129B" w14:textId="77777777" w:rsidR="00A10B25" w:rsidRDefault="00A10B25">
      <w:pPr>
        <w:pStyle w:val="5"/>
      </w:pPr>
      <w:bookmarkStart w:id="11030" w:name="_Toc136562543"/>
      <w:bookmarkStart w:id="11031" w:name="_Toc148522782"/>
      <w:bookmarkStart w:id="11032" w:name="_Toc138754377"/>
      <w:bookmarkStart w:id="11033" w:name="_Toc145705872"/>
      <w:bookmarkStart w:id="11034" w:name="_Toc164920968"/>
      <w:bookmarkStart w:id="11035" w:name="_Toc170120510"/>
      <w:bookmarkStart w:id="11036" w:name="_Toc175858755"/>
      <w:bookmarkStart w:id="11037" w:name="_Toc175859828"/>
      <w:bookmarkStart w:id="11038" w:name="_Toc180606118"/>
      <w:bookmarkStart w:id="11039" w:name="_Toc185517379"/>
      <w:bookmarkStart w:id="11040" w:name="_Toc191576431"/>
      <w:bookmarkStart w:id="11041" w:name="_Toc191577171"/>
      <w:bookmarkStart w:id="11042" w:name="_Toc192880241"/>
      <w:bookmarkStart w:id="11043" w:name="_Toc195815130"/>
      <w:bookmarkStart w:id="11044" w:name="_Toc199453097"/>
      <w:r>
        <w:t>5.2.6.2.16</w:t>
      </w:r>
      <w:r>
        <w:tab/>
        <w:t>Type NetworkPerfReq</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0F23AE56" w14:textId="77777777" w:rsidR="00A10B25" w:rsidRDefault="00A10B25">
      <w:pPr>
        <w:pStyle w:val="TH"/>
      </w:pPr>
      <w:r>
        <w:rPr>
          <w:lang w:val="en-US" w:eastAsia="zh-CN"/>
        </w:rPr>
        <w:t>Table </w:t>
      </w:r>
      <w:r>
        <w:t xml:space="preserve">5.2.6.2.16-1: </w:t>
      </w:r>
      <w:r>
        <w:rPr>
          <w:lang w:val="en-US" w:eastAsia="zh-CN"/>
        </w:rPr>
        <w:t xml:space="preserve">Definition of type </w:t>
      </w:r>
      <w:r>
        <w:t>NetworkPerfReq</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13E3C7EB" w14:textId="77777777">
        <w:trPr>
          <w:jc w:val="center"/>
        </w:trPr>
        <w:tc>
          <w:tcPr>
            <w:tcW w:w="1531" w:type="dxa"/>
            <w:shd w:val="clear" w:color="auto" w:fill="C0C0C0"/>
          </w:tcPr>
          <w:p w14:paraId="66E3CD8A" w14:textId="77777777" w:rsidR="00A10B25" w:rsidRDefault="00A10B25">
            <w:pPr>
              <w:pStyle w:val="TAH"/>
            </w:pPr>
            <w:r>
              <w:t>Attribute name</w:t>
            </w:r>
          </w:p>
        </w:tc>
        <w:tc>
          <w:tcPr>
            <w:tcW w:w="1474" w:type="dxa"/>
            <w:shd w:val="clear" w:color="auto" w:fill="C0C0C0"/>
          </w:tcPr>
          <w:p w14:paraId="4C511F18" w14:textId="77777777" w:rsidR="00A10B25" w:rsidRDefault="00A10B25">
            <w:pPr>
              <w:pStyle w:val="TAH"/>
            </w:pPr>
            <w:r>
              <w:t>Data type</w:t>
            </w:r>
          </w:p>
        </w:tc>
        <w:tc>
          <w:tcPr>
            <w:tcW w:w="360" w:type="dxa"/>
            <w:shd w:val="clear" w:color="auto" w:fill="C0C0C0"/>
          </w:tcPr>
          <w:p w14:paraId="5F22AE23" w14:textId="77777777" w:rsidR="00A10B25" w:rsidRDefault="00A10B25">
            <w:pPr>
              <w:pStyle w:val="TAH"/>
            </w:pPr>
            <w:r>
              <w:t>P</w:t>
            </w:r>
          </w:p>
        </w:tc>
        <w:tc>
          <w:tcPr>
            <w:tcW w:w="1170" w:type="dxa"/>
            <w:shd w:val="clear" w:color="auto" w:fill="C0C0C0"/>
          </w:tcPr>
          <w:p w14:paraId="507F6D6C" w14:textId="77777777" w:rsidR="00A10B25" w:rsidRDefault="00A10B25">
            <w:pPr>
              <w:pStyle w:val="TAH"/>
              <w:rPr>
                <w:rFonts w:eastAsia="Batang"/>
              </w:rPr>
            </w:pPr>
            <w:r>
              <w:rPr>
                <w:rFonts w:eastAsia="Batang"/>
              </w:rPr>
              <w:t>Cardinality</w:t>
            </w:r>
          </w:p>
        </w:tc>
        <w:tc>
          <w:tcPr>
            <w:tcW w:w="3330" w:type="dxa"/>
            <w:shd w:val="clear" w:color="auto" w:fill="C0C0C0"/>
          </w:tcPr>
          <w:p w14:paraId="4395B9FA" w14:textId="77777777" w:rsidR="00A10B25" w:rsidRDefault="00A10B25">
            <w:pPr>
              <w:pStyle w:val="TAH"/>
              <w:rPr>
                <w:rFonts w:cs="Arial"/>
                <w:szCs w:val="18"/>
              </w:rPr>
            </w:pPr>
            <w:r>
              <w:rPr>
                <w:rFonts w:cs="Arial"/>
                <w:szCs w:val="18"/>
              </w:rPr>
              <w:t>Description</w:t>
            </w:r>
          </w:p>
        </w:tc>
        <w:tc>
          <w:tcPr>
            <w:tcW w:w="1483" w:type="dxa"/>
            <w:shd w:val="clear" w:color="auto" w:fill="C0C0C0"/>
          </w:tcPr>
          <w:p w14:paraId="620C7B51" w14:textId="77777777" w:rsidR="00A10B25" w:rsidRDefault="00A10B25">
            <w:pPr>
              <w:pStyle w:val="TAH"/>
              <w:rPr>
                <w:rFonts w:cs="Arial"/>
                <w:szCs w:val="18"/>
              </w:rPr>
            </w:pPr>
            <w:r>
              <w:rPr>
                <w:rFonts w:cs="Arial"/>
                <w:szCs w:val="18"/>
              </w:rPr>
              <w:t>Applicability</w:t>
            </w:r>
          </w:p>
        </w:tc>
      </w:tr>
      <w:tr w:rsidR="00A10B25" w14:paraId="755E8B9B" w14:textId="77777777">
        <w:trPr>
          <w:jc w:val="center"/>
        </w:trPr>
        <w:tc>
          <w:tcPr>
            <w:tcW w:w="1531" w:type="dxa"/>
          </w:tcPr>
          <w:p w14:paraId="24792EA8" w14:textId="77777777" w:rsidR="00A10B25" w:rsidRDefault="00A10B25">
            <w:pPr>
              <w:pStyle w:val="TAL"/>
              <w:rPr>
                <w:lang w:eastAsia="zh-CN"/>
              </w:rPr>
            </w:pPr>
            <w:r>
              <w:rPr>
                <w:rFonts w:hint="eastAsia"/>
                <w:lang w:eastAsia="zh-CN"/>
              </w:rPr>
              <w:t>o</w:t>
            </w:r>
            <w:r>
              <w:rPr>
                <w:lang w:eastAsia="zh-CN"/>
              </w:rPr>
              <w:t>rderCriterion</w:t>
            </w:r>
          </w:p>
        </w:tc>
        <w:tc>
          <w:tcPr>
            <w:tcW w:w="1474" w:type="dxa"/>
          </w:tcPr>
          <w:p w14:paraId="57FFA3EB" w14:textId="77777777" w:rsidR="00A10B25" w:rsidRDefault="00A10B25">
            <w:pPr>
              <w:pStyle w:val="TAL"/>
            </w:pPr>
            <w:r>
              <w:t>NetworkPerfOrderCriterion</w:t>
            </w:r>
          </w:p>
        </w:tc>
        <w:tc>
          <w:tcPr>
            <w:tcW w:w="360" w:type="dxa"/>
          </w:tcPr>
          <w:p w14:paraId="054053C1" w14:textId="77777777" w:rsidR="00A10B25" w:rsidRDefault="00A10B25">
            <w:pPr>
              <w:pStyle w:val="TAC"/>
              <w:rPr>
                <w:lang w:eastAsia="zh-CN"/>
              </w:rPr>
            </w:pPr>
            <w:r>
              <w:rPr>
                <w:lang w:eastAsia="zh-CN"/>
              </w:rPr>
              <w:t>O</w:t>
            </w:r>
          </w:p>
        </w:tc>
        <w:tc>
          <w:tcPr>
            <w:tcW w:w="1170" w:type="dxa"/>
          </w:tcPr>
          <w:p w14:paraId="0FD9BD60" w14:textId="77777777" w:rsidR="00A10B25" w:rsidRDefault="00A10B25">
            <w:pPr>
              <w:pStyle w:val="TAC"/>
            </w:pPr>
            <w:r>
              <w:t>0..1</w:t>
            </w:r>
          </w:p>
        </w:tc>
        <w:tc>
          <w:tcPr>
            <w:tcW w:w="3330" w:type="dxa"/>
          </w:tcPr>
          <w:p w14:paraId="2F42D070" w14:textId="77777777" w:rsidR="00A10B25" w:rsidRDefault="00A10B25">
            <w:pPr>
              <w:pStyle w:val="TAL"/>
            </w:pPr>
            <w:r>
              <w:rPr>
                <w:lang w:eastAsia="ko-KR"/>
              </w:rPr>
              <w:t xml:space="preserve">The ordering criterion for the list of </w:t>
            </w:r>
            <w:r>
              <w:rPr>
                <w:rFonts w:hint="eastAsia"/>
                <w:lang w:eastAsia="zh-CN"/>
              </w:rPr>
              <w:t>network</w:t>
            </w:r>
            <w:r>
              <w:rPr>
                <w:lang w:eastAsia="ko-KR"/>
              </w:rPr>
              <w:t xml:space="preserve"> performance analytics.</w:t>
            </w:r>
          </w:p>
        </w:tc>
        <w:tc>
          <w:tcPr>
            <w:tcW w:w="1483" w:type="dxa"/>
          </w:tcPr>
          <w:p w14:paraId="314313E2" w14:textId="77777777" w:rsidR="00A10B25" w:rsidRDefault="00A10B25">
            <w:pPr>
              <w:pStyle w:val="TAL"/>
              <w:rPr>
                <w:rFonts w:cs="Arial"/>
                <w:szCs w:val="18"/>
              </w:rPr>
            </w:pPr>
          </w:p>
        </w:tc>
      </w:tr>
      <w:tr w:rsidR="00A10B25" w14:paraId="4078D9D6" w14:textId="77777777">
        <w:trPr>
          <w:jc w:val="center"/>
        </w:trPr>
        <w:tc>
          <w:tcPr>
            <w:tcW w:w="1531" w:type="dxa"/>
          </w:tcPr>
          <w:p w14:paraId="471EB697" w14:textId="77777777" w:rsidR="00A10B25" w:rsidRDefault="00A10B25">
            <w:pPr>
              <w:pStyle w:val="TAL"/>
              <w:rPr>
                <w:lang w:eastAsia="zh-CN"/>
              </w:rPr>
            </w:pPr>
            <w:r>
              <w:rPr>
                <w:lang w:eastAsia="zh-CN"/>
              </w:rPr>
              <w:t>o</w:t>
            </w:r>
            <w:r>
              <w:rPr>
                <w:rFonts w:hint="eastAsia"/>
                <w:lang w:eastAsia="zh-CN"/>
              </w:rPr>
              <w:t>rder</w:t>
            </w:r>
            <w:r>
              <w:rPr>
                <w:lang w:eastAsia="zh-CN"/>
              </w:rPr>
              <w:t>Direction</w:t>
            </w:r>
          </w:p>
        </w:tc>
        <w:tc>
          <w:tcPr>
            <w:tcW w:w="1474" w:type="dxa"/>
          </w:tcPr>
          <w:p w14:paraId="004F8D4F" w14:textId="77777777" w:rsidR="00A10B25" w:rsidRDefault="00A10B25">
            <w:pPr>
              <w:pStyle w:val="TAL"/>
            </w:pPr>
            <w:r>
              <w:rPr>
                <w:lang w:eastAsia="zh-CN"/>
              </w:rPr>
              <w:t>MatchingDirection</w:t>
            </w:r>
          </w:p>
        </w:tc>
        <w:tc>
          <w:tcPr>
            <w:tcW w:w="360" w:type="dxa"/>
          </w:tcPr>
          <w:p w14:paraId="06ECC9FF" w14:textId="77777777" w:rsidR="00A10B25" w:rsidRDefault="00A10B25">
            <w:pPr>
              <w:pStyle w:val="TAC"/>
              <w:rPr>
                <w:lang w:eastAsia="zh-CN"/>
              </w:rPr>
            </w:pPr>
            <w:r>
              <w:t>O</w:t>
            </w:r>
          </w:p>
        </w:tc>
        <w:tc>
          <w:tcPr>
            <w:tcW w:w="1170" w:type="dxa"/>
          </w:tcPr>
          <w:p w14:paraId="450DFB41" w14:textId="77777777" w:rsidR="00A10B25" w:rsidRDefault="00A10B25">
            <w:pPr>
              <w:pStyle w:val="TAC"/>
            </w:pPr>
            <w:r>
              <w:t>0..1</w:t>
            </w:r>
          </w:p>
        </w:tc>
        <w:tc>
          <w:tcPr>
            <w:tcW w:w="3330" w:type="dxa"/>
          </w:tcPr>
          <w:p w14:paraId="446CB6A2" w14:textId="77777777" w:rsidR="00A10B25" w:rsidRDefault="00A10B25">
            <w:pPr>
              <w:pStyle w:val="TAL"/>
              <w:rPr>
                <w:lang w:eastAsia="ko-KR"/>
              </w:rPr>
            </w:pPr>
            <w:r>
              <w:rPr>
                <w:rFonts w:cs="Arial"/>
                <w:szCs w:val="18"/>
              </w:rPr>
              <w:t>Indicate the order: ascending or descending. May be present when the "</w:t>
            </w:r>
            <w:r>
              <w:rPr>
                <w:rFonts w:hint="eastAsia"/>
                <w:lang w:eastAsia="zh-CN"/>
              </w:rPr>
              <w:t>o</w:t>
            </w:r>
            <w:r>
              <w:rPr>
                <w:lang w:eastAsia="zh-CN"/>
              </w:rPr>
              <w:t>rderCriterion</w:t>
            </w:r>
            <w:r>
              <w:rPr>
                <w:rFonts w:cs="Arial"/>
                <w:szCs w:val="18"/>
              </w:rPr>
              <w:t>" attribute is included.</w:t>
            </w:r>
            <w:r>
              <w:rPr>
                <w:rFonts w:eastAsia="Times New Roman" w:cs="Arial"/>
                <w:szCs w:val="18"/>
              </w:rPr>
              <w:t xml:space="preserve"> (NOTE)</w:t>
            </w:r>
          </w:p>
        </w:tc>
        <w:tc>
          <w:tcPr>
            <w:tcW w:w="1483" w:type="dxa"/>
          </w:tcPr>
          <w:p w14:paraId="19A74117" w14:textId="77777777" w:rsidR="00A10B25" w:rsidRDefault="00A10B25">
            <w:pPr>
              <w:pStyle w:val="TAL"/>
              <w:rPr>
                <w:lang w:eastAsia="zh-CN"/>
              </w:rPr>
            </w:pPr>
          </w:p>
        </w:tc>
      </w:tr>
      <w:tr w:rsidR="00A10B25" w14:paraId="60D8C38B" w14:textId="77777777">
        <w:trPr>
          <w:jc w:val="center"/>
        </w:trPr>
        <w:tc>
          <w:tcPr>
            <w:tcW w:w="9348" w:type="dxa"/>
            <w:gridSpan w:val="6"/>
          </w:tcPr>
          <w:p w14:paraId="7749AF58" w14:textId="77777777" w:rsidR="00A10B25" w:rsidRDefault="00A10B25">
            <w:pPr>
              <w:pStyle w:val="TAN"/>
              <w:rPr>
                <w:rFonts w:eastAsia="Batang"/>
              </w:rPr>
            </w:pPr>
            <w:r>
              <w:t>NOTE:</w:t>
            </w:r>
            <w:r>
              <w:tab/>
              <w:t xml:space="preserve">The "CROSSED" value in "MatchingDirection" date type is not applicable for </w:t>
            </w:r>
            <w:r>
              <w:rPr>
                <w:lang w:val="en-US" w:eastAsia="zh-CN"/>
              </w:rPr>
              <w:t>this</w:t>
            </w:r>
            <w:r>
              <w:t xml:space="preserve"> attribute.</w:t>
            </w:r>
          </w:p>
        </w:tc>
      </w:tr>
    </w:tbl>
    <w:p w14:paraId="76D2A002" w14:textId="77777777" w:rsidR="00A10B25" w:rsidRDefault="00A10B25"/>
    <w:p w14:paraId="095157E1" w14:textId="77777777" w:rsidR="00A10B25" w:rsidRDefault="00A10B25">
      <w:pPr>
        <w:pStyle w:val="5"/>
      </w:pPr>
      <w:bookmarkStart w:id="11045" w:name="_Toc138754378"/>
      <w:bookmarkStart w:id="11046" w:name="_Toc145705873"/>
      <w:bookmarkStart w:id="11047" w:name="_Toc136562544"/>
      <w:bookmarkStart w:id="11048" w:name="_Toc148522783"/>
      <w:bookmarkStart w:id="11049" w:name="_Toc164920969"/>
      <w:bookmarkStart w:id="11050" w:name="_Toc170120511"/>
      <w:bookmarkStart w:id="11051" w:name="_Toc175858756"/>
      <w:bookmarkStart w:id="11052" w:name="_Toc175859829"/>
      <w:bookmarkStart w:id="11053" w:name="_Toc180606119"/>
      <w:bookmarkStart w:id="11054" w:name="_Toc185517380"/>
      <w:bookmarkStart w:id="11055" w:name="_Toc191576432"/>
      <w:bookmarkStart w:id="11056" w:name="_Toc191577172"/>
      <w:bookmarkStart w:id="11057" w:name="_Toc192880242"/>
      <w:bookmarkStart w:id="11058" w:name="_Toc195815131"/>
      <w:bookmarkStart w:id="11059" w:name="_Toc199453098"/>
      <w:r>
        <w:t>5.2.6.2.17</w:t>
      </w:r>
      <w:r>
        <w:tab/>
        <w:t xml:space="preserve">Type </w:t>
      </w:r>
      <w:r>
        <w:rPr>
          <w:lang w:eastAsia="zh-CN"/>
        </w:rPr>
        <w:t>ResourceUsageRequPerNwPerfType</w:t>
      </w:r>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10A4FCA0" w14:textId="77777777" w:rsidR="00A10B25" w:rsidRDefault="00A10B25">
      <w:pPr>
        <w:pStyle w:val="TH"/>
      </w:pPr>
      <w:r>
        <w:t xml:space="preserve">Table 5.2.6.2.17-1: Definition of type </w:t>
      </w:r>
      <w:r>
        <w:rPr>
          <w:lang w:eastAsia="zh-CN"/>
        </w:rPr>
        <w:t>ResourceUsageRequPerNwPerfType</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1"/>
        <w:gridCol w:w="1474"/>
        <w:gridCol w:w="360"/>
        <w:gridCol w:w="1170"/>
        <w:gridCol w:w="3330"/>
        <w:gridCol w:w="1483"/>
      </w:tblGrid>
      <w:tr w:rsidR="00A10B25" w14:paraId="070E32D7" w14:textId="77777777">
        <w:trPr>
          <w:jc w:val="center"/>
        </w:trPr>
        <w:tc>
          <w:tcPr>
            <w:tcW w:w="1531" w:type="dxa"/>
            <w:shd w:val="clear" w:color="auto" w:fill="C0C0C0"/>
          </w:tcPr>
          <w:p w14:paraId="247C4E35" w14:textId="77777777" w:rsidR="00A10B25" w:rsidRDefault="00A10B25">
            <w:pPr>
              <w:pStyle w:val="TAH"/>
            </w:pPr>
            <w:r>
              <w:t>Attribute name</w:t>
            </w:r>
          </w:p>
        </w:tc>
        <w:tc>
          <w:tcPr>
            <w:tcW w:w="1474" w:type="dxa"/>
            <w:shd w:val="clear" w:color="auto" w:fill="C0C0C0"/>
          </w:tcPr>
          <w:p w14:paraId="4FD1170D" w14:textId="77777777" w:rsidR="00A10B25" w:rsidRDefault="00A10B25">
            <w:pPr>
              <w:pStyle w:val="TAH"/>
            </w:pPr>
            <w:r>
              <w:t>Data type</w:t>
            </w:r>
          </w:p>
        </w:tc>
        <w:tc>
          <w:tcPr>
            <w:tcW w:w="360" w:type="dxa"/>
            <w:shd w:val="clear" w:color="auto" w:fill="C0C0C0"/>
          </w:tcPr>
          <w:p w14:paraId="236E38B9" w14:textId="77777777" w:rsidR="00A10B25" w:rsidRDefault="00A10B25">
            <w:pPr>
              <w:pStyle w:val="TAH"/>
            </w:pPr>
            <w:r>
              <w:t>P</w:t>
            </w:r>
          </w:p>
        </w:tc>
        <w:tc>
          <w:tcPr>
            <w:tcW w:w="1170" w:type="dxa"/>
            <w:shd w:val="clear" w:color="auto" w:fill="C0C0C0"/>
          </w:tcPr>
          <w:p w14:paraId="5682D35E" w14:textId="77777777" w:rsidR="00A10B25" w:rsidRDefault="00A10B25">
            <w:pPr>
              <w:pStyle w:val="TAH"/>
              <w:rPr>
                <w:rFonts w:eastAsia="Batang"/>
              </w:rPr>
            </w:pPr>
            <w:r>
              <w:rPr>
                <w:rFonts w:eastAsia="Batang"/>
              </w:rPr>
              <w:t>Cardinality</w:t>
            </w:r>
          </w:p>
        </w:tc>
        <w:tc>
          <w:tcPr>
            <w:tcW w:w="3330" w:type="dxa"/>
            <w:shd w:val="clear" w:color="auto" w:fill="C0C0C0"/>
          </w:tcPr>
          <w:p w14:paraId="73F3A5E5" w14:textId="77777777" w:rsidR="00A10B25" w:rsidRDefault="00A10B25">
            <w:pPr>
              <w:pStyle w:val="TAH"/>
              <w:rPr>
                <w:rFonts w:cs="Arial"/>
                <w:szCs w:val="18"/>
              </w:rPr>
            </w:pPr>
            <w:r>
              <w:rPr>
                <w:rFonts w:cs="Arial"/>
                <w:szCs w:val="18"/>
              </w:rPr>
              <w:t>Description</w:t>
            </w:r>
          </w:p>
        </w:tc>
        <w:tc>
          <w:tcPr>
            <w:tcW w:w="1483" w:type="dxa"/>
            <w:shd w:val="clear" w:color="auto" w:fill="C0C0C0"/>
          </w:tcPr>
          <w:p w14:paraId="65303FD8" w14:textId="77777777" w:rsidR="00A10B25" w:rsidRDefault="00A10B25">
            <w:pPr>
              <w:pStyle w:val="TAH"/>
              <w:rPr>
                <w:rFonts w:cs="Arial"/>
                <w:szCs w:val="18"/>
              </w:rPr>
            </w:pPr>
            <w:r>
              <w:rPr>
                <w:rFonts w:cs="Arial"/>
                <w:szCs w:val="18"/>
              </w:rPr>
              <w:t>Applicability</w:t>
            </w:r>
          </w:p>
        </w:tc>
      </w:tr>
      <w:tr w:rsidR="00A10B25" w14:paraId="2ED88626" w14:textId="77777777">
        <w:trPr>
          <w:jc w:val="center"/>
        </w:trPr>
        <w:tc>
          <w:tcPr>
            <w:tcW w:w="1531" w:type="dxa"/>
          </w:tcPr>
          <w:p w14:paraId="46C10EC3" w14:textId="77777777" w:rsidR="00A10B25" w:rsidRDefault="00A10B25">
            <w:pPr>
              <w:pStyle w:val="TAL"/>
              <w:rPr>
                <w:lang w:eastAsia="zh-CN"/>
              </w:rPr>
            </w:pPr>
            <w:r>
              <w:t>nwPerfType</w:t>
            </w:r>
          </w:p>
        </w:tc>
        <w:tc>
          <w:tcPr>
            <w:tcW w:w="1474" w:type="dxa"/>
          </w:tcPr>
          <w:p w14:paraId="77603291" w14:textId="77777777" w:rsidR="00A10B25" w:rsidRDefault="00A10B25">
            <w:pPr>
              <w:pStyle w:val="TAL"/>
            </w:pPr>
            <w:r>
              <w:t>NetworkPerfType</w:t>
            </w:r>
          </w:p>
        </w:tc>
        <w:tc>
          <w:tcPr>
            <w:tcW w:w="360" w:type="dxa"/>
          </w:tcPr>
          <w:p w14:paraId="4080DBD0" w14:textId="77777777" w:rsidR="00A10B25" w:rsidRDefault="00A10B25">
            <w:pPr>
              <w:pStyle w:val="TAC"/>
              <w:rPr>
                <w:lang w:eastAsia="zh-CN"/>
              </w:rPr>
            </w:pPr>
            <w:r>
              <w:rPr>
                <w:lang w:eastAsia="zh-CN"/>
              </w:rPr>
              <w:t>M</w:t>
            </w:r>
          </w:p>
        </w:tc>
        <w:tc>
          <w:tcPr>
            <w:tcW w:w="1170" w:type="dxa"/>
          </w:tcPr>
          <w:p w14:paraId="2A7D8D36" w14:textId="77777777" w:rsidR="00A10B25" w:rsidRDefault="00A10B25">
            <w:pPr>
              <w:pStyle w:val="TAC"/>
            </w:pPr>
            <w:r>
              <w:t>1</w:t>
            </w:r>
          </w:p>
        </w:tc>
        <w:tc>
          <w:tcPr>
            <w:tcW w:w="3330" w:type="dxa"/>
          </w:tcPr>
          <w:p w14:paraId="2D9F1182" w14:textId="77777777" w:rsidR="00A10B25" w:rsidRDefault="00A10B25">
            <w:pPr>
              <w:pStyle w:val="TAL"/>
            </w:pPr>
            <w:r>
              <w:rPr>
                <w:lang w:eastAsia="ko-KR"/>
              </w:rPr>
              <w:t>Indicates network performance type.</w:t>
            </w:r>
          </w:p>
        </w:tc>
        <w:tc>
          <w:tcPr>
            <w:tcW w:w="1483" w:type="dxa"/>
          </w:tcPr>
          <w:p w14:paraId="4A6F673E" w14:textId="77777777" w:rsidR="00A10B25" w:rsidRDefault="00A10B25">
            <w:pPr>
              <w:pStyle w:val="TAL"/>
              <w:rPr>
                <w:rFonts w:cs="Arial"/>
                <w:szCs w:val="18"/>
              </w:rPr>
            </w:pPr>
          </w:p>
        </w:tc>
      </w:tr>
      <w:tr w:rsidR="00A10B25" w14:paraId="08E98D7F" w14:textId="77777777">
        <w:trPr>
          <w:jc w:val="center"/>
        </w:trPr>
        <w:tc>
          <w:tcPr>
            <w:tcW w:w="1531" w:type="dxa"/>
          </w:tcPr>
          <w:p w14:paraId="439F245D" w14:textId="77777777" w:rsidR="00A10B25" w:rsidRDefault="00A10B25">
            <w:pPr>
              <w:pStyle w:val="TAL"/>
              <w:rPr>
                <w:lang w:eastAsia="zh-CN"/>
              </w:rPr>
            </w:pPr>
            <w:r>
              <w:rPr>
                <w:lang w:eastAsia="zh-CN"/>
              </w:rPr>
              <w:t>rscUsgReq</w:t>
            </w:r>
          </w:p>
        </w:tc>
        <w:tc>
          <w:tcPr>
            <w:tcW w:w="1474" w:type="dxa"/>
          </w:tcPr>
          <w:p w14:paraId="4B42E557" w14:textId="77777777" w:rsidR="00A10B25" w:rsidRDefault="00A10B25">
            <w:pPr>
              <w:pStyle w:val="TAL"/>
            </w:pPr>
            <w:r>
              <w:rPr>
                <w:lang w:eastAsia="zh-CN"/>
              </w:rPr>
              <w:t>ResourceUsageRequirement</w:t>
            </w:r>
          </w:p>
        </w:tc>
        <w:tc>
          <w:tcPr>
            <w:tcW w:w="360" w:type="dxa"/>
          </w:tcPr>
          <w:p w14:paraId="6065277A" w14:textId="77777777" w:rsidR="00A10B25" w:rsidRDefault="00A10B25">
            <w:pPr>
              <w:pStyle w:val="TAC"/>
              <w:rPr>
                <w:lang w:eastAsia="zh-CN"/>
              </w:rPr>
            </w:pPr>
            <w:r>
              <w:rPr>
                <w:rFonts w:hint="eastAsia"/>
                <w:lang w:eastAsia="zh-CN"/>
              </w:rPr>
              <w:t>O</w:t>
            </w:r>
          </w:p>
        </w:tc>
        <w:tc>
          <w:tcPr>
            <w:tcW w:w="1170" w:type="dxa"/>
          </w:tcPr>
          <w:p w14:paraId="23A84A3D" w14:textId="77777777" w:rsidR="00A10B25" w:rsidRDefault="00A10B25">
            <w:pPr>
              <w:pStyle w:val="TAC"/>
            </w:pPr>
            <w:r>
              <w:t>0..1</w:t>
            </w:r>
          </w:p>
        </w:tc>
        <w:tc>
          <w:tcPr>
            <w:tcW w:w="3330" w:type="dxa"/>
          </w:tcPr>
          <w:p w14:paraId="0A34D49D" w14:textId="77777777" w:rsidR="00A10B25" w:rsidRDefault="00A10B25">
            <w:pPr>
              <w:pStyle w:val="TAL"/>
              <w:rPr>
                <w:lang w:eastAsia="ko-KR"/>
              </w:rPr>
            </w:pPr>
            <w:r>
              <w:rPr>
                <w:lang w:eastAsia="zh-CN"/>
              </w:rPr>
              <w:t xml:space="preserve">Indicates more requirements when providing resource usage information for the network performance type indicated by the </w:t>
            </w:r>
            <w:r>
              <w:t>"nwPerfType" attribute</w:t>
            </w:r>
            <w:r>
              <w:rPr>
                <w:lang w:eastAsia="zh-CN"/>
              </w:rPr>
              <w:t>.</w:t>
            </w:r>
            <w:r>
              <w:rPr>
                <w:rFonts w:hint="eastAsia"/>
                <w:lang w:eastAsia="zh-CN"/>
              </w:rPr>
              <w:t xml:space="preserve"> </w:t>
            </w:r>
            <w:r>
              <w:rPr>
                <w:lang w:eastAsia="zh-CN"/>
              </w:rPr>
              <w:t>(NOTE)</w:t>
            </w:r>
          </w:p>
        </w:tc>
        <w:tc>
          <w:tcPr>
            <w:tcW w:w="1483" w:type="dxa"/>
          </w:tcPr>
          <w:p w14:paraId="27CD4555" w14:textId="77777777" w:rsidR="00A10B25" w:rsidRDefault="00A10B25">
            <w:pPr>
              <w:pStyle w:val="TAL"/>
              <w:rPr>
                <w:lang w:eastAsia="zh-CN"/>
              </w:rPr>
            </w:pPr>
          </w:p>
        </w:tc>
      </w:tr>
      <w:tr w:rsidR="00A10B25" w14:paraId="4C1F4E9C" w14:textId="77777777">
        <w:trPr>
          <w:jc w:val="center"/>
        </w:trPr>
        <w:tc>
          <w:tcPr>
            <w:tcW w:w="9348" w:type="dxa"/>
            <w:gridSpan w:val="6"/>
          </w:tcPr>
          <w:p w14:paraId="02E5FCC9" w14:textId="77777777" w:rsidR="00A10B25" w:rsidRDefault="00A10B25">
            <w:pPr>
              <w:pStyle w:val="TAN"/>
              <w:rPr>
                <w:lang w:eastAsia="zh-CN"/>
              </w:rPr>
            </w:pPr>
            <w:r>
              <w:t>NOTE:</w:t>
            </w:r>
            <w:r>
              <w:tab/>
              <w:t>The "</w:t>
            </w:r>
            <w:r>
              <w:rPr>
                <w:lang w:eastAsia="zh-CN"/>
              </w:rPr>
              <w:t>rscUsgReq</w:t>
            </w:r>
            <w:r>
              <w:t>" value is only applicable when the "nwPerfType" attribute is set to "GNB_RSC_USAGE_OVERALL_TRAFFIC", "GNB_RSC_USAGE_GBR_TRAFFIC" or "GNB_RSC_USAGE_DELAY_CRIT_GBR_TRAFFIC".</w:t>
            </w:r>
          </w:p>
        </w:tc>
      </w:tr>
    </w:tbl>
    <w:p w14:paraId="68179B3A" w14:textId="77777777" w:rsidR="00A10B25" w:rsidRDefault="00A10B25"/>
    <w:p w14:paraId="6CAAE7C5" w14:textId="77777777" w:rsidR="003E1F9F" w:rsidRDefault="003E1F9F" w:rsidP="003E1F9F">
      <w:pPr>
        <w:pStyle w:val="5"/>
      </w:pPr>
      <w:bookmarkStart w:id="11060" w:name="_Toc136562545"/>
      <w:bookmarkStart w:id="11061" w:name="_Toc138754379"/>
      <w:bookmarkStart w:id="11062" w:name="_Toc148522784"/>
      <w:bookmarkStart w:id="11063" w:name="_Toc145705874"/>
      <w:bookmarkStart w:id="11064" w:name="_Toc164920970"/>
      <w:bookmarkStart w:id="11065" w:name="_Toc170120512"/>
      <w:bookmarkStart w:id="11066" w:name="_Toc175858757"/>
      <w:bookmarkStart w:id="11067" w:name="_Toc175859830"/>
      <w:bookmarkStart w:id="11068" w:name="_Toc180606120"/>
      <w:bookmarkStart w:id="11069" w:name="_Toc185517381"/>
      <w:bookmarkStart w:id="11070" w:name="_Toc191576433"/>
      <w:bookmarkStart w:id="11071" w:name="_Toc191577173"/>
      <w:bookmarkStart w:id="11072" w:name="_Toc192880243"/>
      <w:bookmarkStart w:id="11073" w:name="_Toc195815132"/>
      <w:bookmarkStart w:id="11074" w:name="_Toc199453099"/>
      <w:r>
        <w:lastRenderedPageBreak/>
        <w:t>5.2.6.2.18</w:t>
      </w:r>
      <w:r>
        <w:tab/>
        <w:t>Type AnalyticsAccuracyInfo</w:t>
      </w:r>
      <w:bookmarkEnd w:id="11064"/>
      <w:bookmarkEnd w:id="11065"/>
      <w:bookmarkEnd w:id="11066"/>
      <w:bookmarkEnd w:id="11067"/>
      <w:bookmarkEnd w:id="11068"/>
      <w:bookmarkEnd w:id="11069"/>
      <w:bookmarkEnd w:id="11070"/>
      <w:bookmarkEnd w:id="11071"/>
      <w:bookmarkEnd w:id="11072"/>
      <w:bookmarkEnd w:id="11073"/>
      <w:bookmarkEnd w:id="11074"/>
    </w:p>
    <w:p w14:paraId="738A5963" w14:textId="77777777" w:rsidR="003E1F9F" w:rsidRDefault="003E1F9F" w:rsidP="003E1F9F">
      <w:pPr>
        <w:pStyle w:val="TH"/>
      </w:pPr>
      <w:r>
        <w:t>Table 5.2.6.2.18-1: Definition of type AnalyticsAccuracyInfo</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3E1F9F" w14:paraId="44F87BB2" w14:textId="77777777" w:rsidTr="005A20DD">
        <w:trPr>
          <w:jc w:val="center"/>
        </w:trPr>
        <w:tc>
          <w:tcPr>
            <w:tcW w:w="1628" w:type="dxa"/>
            <w:shd w:val="clear" w:color="auto" w:fill="C0C0C0"/>
          </w:tcPr>
          <w:p w14:paraId="1D942FAA" w14:textId="77777777" w:rsidR="003E1F9F" w:rsidRDefault="003E1F9F" w:rsidP="005A20DD">
            <w:pPr>
              <w:pStyle w:val="TAH"/>
              <w:ind w:left="400" w:hanging="400"/>
            </w:pPr>
            <w:r>
              <w:t>Attribute name</w:t>
            </w:r>
          </w:p>
        </w:tc>
        <w:tc>
          <w:tcPr>
            <w:tcW w:w="1701" w:type="dxa"/>
            <w:shd w:val="clear" w:color="auto" w:fill="C0C0C0"/>
          </w:tcPr>
          <w:p w14:paraId="58F55A9B" w14:textId="77777777" w:rsidR="003E1F9F" w:rsidRDefault="003E1F9F" w:rsidP="005A20DD">
            <w:pPr>
              <w:pStyle w:val="TAH"/>
              <w:ind w:left="400" w:hanging="400"/>
            </w:pPr>
            <w:r>
              <w:t>Data type</w:t>
            </w:r>
          </w:p>
        </w:tc>
        <w:tc>
          <w:tcPr>
            <w:tcW w:w="426" w:type="dxa"/>
            <w:shd w:val="clear" w:color="auto" w:fill="C0C0C0"/>
          </w:tcPr>
          <w:p w14:paraId="57A1E1F2" w14:textId="77777777" w:rsidR="003E1F9F" w:rsidRDefault="003E1F9F" w:rsidP="005A20DD">
            <w:pPr>
              <w:pStyle w:val="TAH"/>
              <w:ind w:left="400" w:hanging="400"/>
            </w:pPr>
            <w:r>
              <w:t>P</w:t>
            </w:r>
          </w:p>
        </w:tc>
        <w:tc>
          <w:tcPr>
            <w:tcW w:w="1134" w:type="dxa"/>
            <w:shd w:val="clear" w:color="auto" w:fill="C0C0C0"/>
          </w:tcPr>
          <w:p w14:paraId="7865E17E" w14:textId="77777777" w:rsidR="003E1F9F" w:rsidRDefault="003E1F9F" w:rsidP="005A20DD">
            <w:pPr>
              <w:pStyle w:val="TAH"/>
              <w:ind w:left="400" w:hanging="400"/>
            </w:pPr>
            <w:r>
              <w:t>Cardinality</w:t>
            </w:r>
          </w:p>
        </w:tc>
        <w:tc>
          <w:tcPr>
            <w:tcW w:w="2976" w:type="dxa"/>
            <w:shd w:val="clear" w:color="auto" w:fill="C0C0C0"/>
          </w:tcPr>
          <w:p w14:paraId="7788A425" w14:textId="77777777" w:rsidR="003E1F9F" w:rsidRDefault="003E1F9F" w:rsidP="005A20DD">
            <w:pPr>
              <w:pStyle w:val="TAH"/>
              <w:ind w:left="400" w:hanging="400"/>
              <w:rPr>
                <w:rFonts w:cs="Arial"/>
                <w:szCs w:val="18"/>
              </w:rPr>
            </w:pPr>
            <w:r>
              <w:rPr>
                <w:rFonts w:cs="Arial"/>
                <w:szCs w:val="18"/>
              </w:rPr>
              <w:t>Description</w:t>
            </w:r>
          </w:p>
        </w:tc>
        <w:tc>
          <w:tcPr>
            <w:tcW w:w="1628" w:type="dxa"/>
            <w:shd w:val="clear" w:color="auto" w:fill="C0C0C0"/>
          </w:tcPr>
          <w:p w14:paraId="500E0591" w14:textId="77777777" w:rsidR="003E1F9F" w:rsidRDefault="003E1F9F" w:rsidP="005A20DD">
            <w:pPr>
              <w:pStyle w:val="TAH"/>
              <w:ind w:left="400" w:hanging="400"/>
              <w:rPr>
                <w:rFonts w:cs="Arial"/>
                <w:szCs w:val="18"/>
              </w:rPr>
            </w:pPr>
            <w:r>
              <w:rPr>
                <w:rFonts w:cs="Arial"/>
                <w:szCs w:val="18"/>
              </w:rPr>
              <w:t>Applicability</w:t>
            </w:r>
          </w:p>
        </w:tc>
      </w:tr>
      <w:tr w:rsidR="003E1F9F" w14:paraId="5637B099" w14:textId="77777777" w:rsidTr="005A20DD">
        <w:trPr>
          <w:jc w:val="center"/>
        </w:trPr>
        <w:tc>
          <w:tcPr>
            <w:tcW w:w="1628" w:type="dxa"/>
          </w:tcPr>
          <w:p w14:paraId="0BAE2459" w14:textId="77777777" w:rsidR="003E1F9F" w:rsidRDefault="003E1F9F" w:rsidP="005A20DD">
            <w:pPr>
              <w:pStyle w:val="TAL"/>
            </w:pPr>
            <w:r>
              <w:rPr>
                <w:lang w:val="de-DE"/>
              </w:rPr>
              <w:t>reportTime</w:t>
            </w:r>
          </w:p>
        </w:tc>
        <w:tc>
          <w:tcPr>
            <w:tcW w:w="1701" w:type="dxa"/>
          </w:tcPr>
          <w:p w14:paraId="32B52527" w14:textId="77777777" w:rsidR="003E1F9F" w:rsidRDefault="003E1F9F" w:rsidP="005A20DD">
            <w:pPr>
              <w:pStyle w:val="TAL"/>
            </w:pPr>
            <w:r>
              <w:t>DateTime</w:t>
            </w:r>
          </w:p>
        </w:tc>
        <w:tc>
          <w:tcPr>
            <w:tcW w:w="426" w:type="dxa"/>
          </w:tcPr>
          <w:p w14:paraId="6A5F1332" w14:textId="77777777" w:rsidR="003E1F9F" w:rsidRDefault="003E1F9F" w:rsidP="005A20DD">
            <w:pPr>
              <w:pStyle w:val="TAL"/>
              <w:jc w:val="center"/>
              <w:rPr>
                <w:lang w:eastAsia="zh-CN"/>
              </w:rPr>
            </w:pPr>
            <w:r>
              <w:rPr>
                <w:lang w:eastAsia="zh-CN"/>
              </w:rPr>
              <w:t>O</w:t>
            </w:r>
          </w:p>
        </w:tc>
        <w:tc>
          <w:tcPr>
            <w:tcW w:w="1134" w:type="dxa"/>
          </w:tcPr>
          <w:p w14:paraId="5C7050AF" w14:textId="77777777" w:rsidR="003E1F9F" w:rsidRDefault="003E1F9F" w:rsidP="005A20DD">
            <w:pPr>
              <w:pStyle w:val="TAL"/>
            </w:pPr>
            <w:r>
              <w:t>0..1</w:t>
            </w:r>
          </w:p>
        </w:tc>
        <w:tc>
          <w:tcPr>
            <w:tcW w:w="2976" w:type="dxa"/>
          </w:tcPr>
          <w:p w14:paraId="5BD43C83" w14:textId="77777777" w:rsidR="003E1F9F" w:rsidRDefault="003E1F9F" w:rsidP="005A20DD">
            <w:pPr>
              <w:pStyle w:val="TAL"/>
            </w:pPr>
            <w:r>
              <w:t>Indicates the timestamp of the last analytics accuracy information provided to the analytics consumer(s).</w:t>
            </w:r>
          </w:p>
          <w:p w14:paraId="78225FDA" w14:textId="77777777" w:rsidR="003E1F9F" w:rsidRDefault="003E1F9F" w:rsidP="005A20DD">
            <w:pPr>
              <w:pStyle w:val="TAL"/>
              <w:rPr>
                <w:rFonts w:cs="Arial"/>
                <w:szCs w:val="18"/>
              </w:rPr>
            </w:pPr>
            <w:r>
              <w:t>If no analytics accuracy information had been provided, the value is set to 0</w:t>
            </w:r>
            <w:r>
              <w:rPr>
                <w:rFonts w:cs="Arial"/>
                <w:szCs w:val="18"/>
              </w:rPr>
              <w:t>.</w:t>
            </w:r>
          </w:p>
        </w:tc>
        <w:tc>
          <w:tcPr>
            <w:tcW w:w="1628" w:type="dxa"/>
          </w:tcPr>
          <w:p w14:paraId="59C42E79" w14:textId="77777777" w:rsidR="003E1F9F" w:rsidRDefault="003E1F9F" w:rsidP="005A20DD">
            <w:pPr>
              <w:pStyle w:val="TAL"/>
              <w:rPr>
                <w:rFonts w:cs="Arial"/>
                <w:szCs w:val="18"/>
              </w:rPr>
            </w:pPr>
          </w:p>
        </w:tc>
      </w:tr>
      <w:tr w:rsidR="003E1F9F" w14:paraId="6BAB5242" w14:textId="77777777" w:rsidTr="005A20DD">
        <w:trPr>
          <w:jc w:val="center"/>
        </w:trPr>
        <w:tc>
          <w:tcPr>
            <w:tcW w:w="1628" w:type="dxa"/>
          </w:tcPr>
          <w:p w14:paraId="317EB2DA" w14:textId="77777777" w:rsidR="003E1F9F" w:rsidRDefault="003E1F9F" w:rsidP="005A20DD">
            <w:pPr>
              <w:pStyle w:val="TAL"/>
            </w:pPr>
            <w:r>
              <w:t>pauseInd</w:t>
            </w:r>
          </w:p>
        </w:tc>
        <w:tc>
          <w:tcPr>
            <w:tcW w:w="1701" w:type="dxa"/>
          </w:tcPr>
          <w:p w14:paraId="64A023CB" w14:textId="77777777" w:rsidR="003E1F9F" w:rsidRDefault="003E1F9F" w:rsidP="005A20DD">
            <w:pPr>
              <w:pStyle w:val="TAL"/>
            </w:pPr>
            <w:r>
              <w:t>boolean</w:t>
            </w:r>
          </w:p>
        </w:tc>
        <w:tc>
          <w:tcPr>
            <w:tcW w:w="426" w:type="dxa"/>
          </w:tcPr>
          <w:p w14:paraId="6E8A1156" w14:textId="77777777" w:rsidR="003E1F9F" w:rsidRDefault="003E1F9F" w:rsidP="005A20DD">
            <w:pPr>
              <w:pStyle w:val="TAL"/>
              <w:jc w:val="center"/>
              <w:rPr>
                <w:lang w:eastAsia="zh-CN"/>
              </w:rPr>
            </w:pPr>
            <w:r>
              <w:t>O</w:t>
            </w:r>
          </w:p>
        </w:tc>
        <w:tc>
          <w:tcPr>
            <w:tcW w:w="1134" w:type="dxa"/>
          </w:tcPr>
          <w:p w14:paraId="41C81457" w14:textId="77777777" w:rsidR="003E1F9F" w:rsidRDefault="003E1F9F" w:rsidP="005A20DD">
            <w:pPr>
              <w:pStyle w:val="TAL"/>
            </w:pPr>
            <w:r>
              <w:t>0..1</w:t>
            </w:r>
          </w:p>
        </w:tc>
        <w:tc>
          <w:tcPr>
            <w:tcW w:w="2976" w:type="dxa"/>
          </w:tcPr>
          <w:p w14:paraId="33C13070" w14:textId="77777777" w:rsidR="003E1F9F" w:rsidRDefault="003E1F9F" w:rsidP="005A20DD">
            <w:pPr>
              <w:pStyle w:val="TAL"/>
              <w:rPr>
                <w:rFonts w:cs="Arial"/>
                <w:szCs w:val="18"/>
              </w:rPr>
            </w:pPr>
            <w:r>
              <w:t>Indicates whether the analytics subscription has been paused. Set to "true" if it has been paused, otherwise set to "false".</w:t>
            </w:r>
          </w:p>
        </w:tc>
        <w:tc>
          <w:tcPr>
            <w:tcW w:w="1628" w:type="dxa"/>
          </w:tcPr>
          <w:p w14:paraId="156C0292" w14:textId="77777777" w:rsidR="003E1F9F" w:rsidRDefault="003E1F9F" w:rsidP="005A20DD">
            <w:pPr>
              <w:pStyle w:val="TAL"/>
              <w:rPr>
                <w:rFonts w:cs="Arial"/>
                <w:szCs w:val="18"/>
              </w:rPr>
            </w:pPr>
          </w:p>
        </w:tc>
      </w:tr>
      <w:tr w:rsidR="003E1F9F" w14:paraId="1B482064" w14:textId="77777777" w:rsidTr="005A20DD">
        <w:trPr>
          <w:jc w:val="center"/>
        </w:trPr>
        <w:tc>
          <w:tcPr>
            <w:tcW w:w="1628" w:type="dxa"/>
          </w:tcPr>
          <w:p w14:paraId="267FA929" w14:textId="77777777" w:rsidR="003E1F9F" w:rsidRDefault="003E1F9F" w:rsidP="005A20DD">
            <w:pPr>
              <w:pStyle w:val="TAL"/>
            </w:pPr>
            <w:r>
              <w:t>remainTimeWin</w:t>
            </w:r>
          </w:p>
        </w:tc>
        <w:tc>
          <w:tcPr>
            <w:tcW w:w="1701" w:type="dxa"/>
          </w:tcPr>
          <w:p w14:paraId="0A89550D" w14:textId="77777777" w:rsidR="003E1F9F" w:rsidRDefault="003E1F9F" w:rsidP="005A20DD">
            <w:pPr>
              <w:pStyle w:val="TAL"/>
            </w:pPr>
            <w:r>
              <w:rPr>
                <w:rFonts w:eastAsia="等线"/>
                <w:szCs w:val="18"/>
                <w:lang w:eastAsia="zh-CN"/>
              </w:rPr>
              <w:t>TimeWindow</w:t>
            </w:r>
          </w:p>
        </w:tc>
        <w:tc>
          <w:tcPr>
            <w:tcW w:w="426" w:type="dxa"/>
          </w:tcPr>
          <w:p w14:paraId="51908E51" w14:textId="77777777" w:rsidR="003E1F9F" w:rsidRDefault="003E1F9F" w:rsidP="005A20DD">
            <w:pPr>
              <w:pStyle w:val="TAL"/>
              <w:jc w:val="center"/>
              <w:rPr>
                <w:lang w:eastAsia="zh-CN"/>
              </w:rPr>
            </w:pPr>
            <w:r>
              <w:t>O</w:t>
            </w:r>
          </w:p>
        </w:tc>
        <w:tc>
          <w:tcPr>
            <w:tcW w:w="1134" w:type="dxa"/>
          </w:tcPr>
          <w:p w14:paraId="31B094EA" w14:textId="77777777" w:rsidR="003E1F9F" w:rsidRDefault="003E1F9F" w:rsidP="005A20DD">
            <w:pPr>
              <w:pStyle w:val="TAL"/>
            </w:pPr>
            <w:r>
              <w:t>0..1</w:t>
            </w:r>
          </w:p>
        </w:tc>
        <w:tc>
          <w:tcPr>
            <w:tcW w:w="2976" w:type="dxa"/>
          </w:tcPr>
          <w:p w14:paraId="5E4DA687" w14:textId="77777777" w:rsidR="003E1F9F" w:rsidRDefault="003E1F9F" w:rsidP="005A20DD">
            <w:pPr>
              <w:pStyle w:val="TAL"/>
              <w:rPr>
                <w:rFonts w:cs="Arial"/>
                <w:szCs w:val="18"/>
              </w:rPr>
            </w:pPr>
            <w:r>
              <w:t>The remaining time window of paused analytics subscription</w:t>
            </w:r>
            <w:r>
              <w:rPr>
                <w:rFonts w:cs="Arial"/>
                <w:szCs w:val="18"/>
              </w:rPr>
              <w:t>.</w:t>
            </w:r>
          </w:p>
        </w:tc>
        <w:tc>
          <w:tcPr>
            <w:tcW w:w="1628" w:type="dxa"/>
          </w:tcPr>
          <w:p w14:paraId="63FA7ADB" w14:textId="77777777" w:rsidR="003E1F9F" w:rsidRDefault="003E1F9F" w:rsidP="005A20DD">
            <w:pPr>
              <w:pStyle w:val="TAL"/>
              <w:rPr>
                <w:rFonts w:cs="Arial"/>
                <w:szCs w:val="18"/>
              </w:rPr>
            </w:pPr>
          </w:p>
        </w:tc>
      </w:tr>
      <w:tr w:rsidR="003E1F9F" w14:paraId="44A2E3DD" w14:textId="77777777" w:rsidTr="005A20DD">
        <w:trPr>
          <w:jc w:val="center"/>
        </w:trPr>
        <w:tc>
          <w:tcPr>
            <w:tcW w:w="1628" w:type="dxa"/>
          </w:tcPr>
          <w:p w14:paraId="390F6755" w14:textId="77777777" w:rsidR="003E1F9F" w:rsidRDefault="003E1F9F" w:rsidP="005A20DD">
            <w:pPr>
              <w:pStyle w:val="TAL"/>
            </w:pPr>
            <w:r>
              <w:t>groundTruthInfo</w:t>
            </w:r>
          </w:p>
        </w:tc>
        <w:tc>
          <w:tcPr>
            <w:tcW w:w="1701" w:type="dxa"/>
          </w:tcPr>
          <w:p w14:paraId="1EFBFAE7" w14:textId="77777777" w:rsidR="003E1F9F" w:rsidRDefault="003E1F9F" w:rsidP="005A20DD">
            <w:pPr>
              <w:pStyle w:val="TAL"/>
            </w:pPr>
            <w:r>
              <w:t>GroundTruthInfo</w:t>
            </w:r>
          </w:p>
        </w:tc>
        <w:tc>
          <w:tcPr>
            <w:tcW w:w="426" w:type="dxa"/>
          </w:tcPr>
          <w:p w14:paraId="43D52D49" w14:textId="77777777" w:rsidR="003E1F9F" w:rsidRDefault="003E1F9F" w:rsidP="005A20DD">
            <w:pPr>
              <w:pStyle w:val="TAL"/>
              <w:jc w:val="center"/>
              <w:rPr>
                <w:lang w:eastAsia="zh-CN"/>
              </w:rPr>
            </w:pPr>
            <w:r>
              <w:t>O</w:t>
            </w:r>
          </w:p>
        </w:tc>
        <w:tc>
          <w:tcPr>
            <w:tcW w:w="1134" w:type="dxa"/>
          </w:tcPr>
          <w:p w14:paraId="64371A4A" w14:textId="77777777" w:rsidR="003E1F9F" w:rsidRDefault="003E1F9F" w:rsidP="005A20DD">
            <w:pPr>
              <w:pStyle w:val="TAL"/>
            </w:pPr>
            <w:r>
              <w:t>0..1</w:t>
            </w:r>
          </w:p>
        </w:tc>
        <w:tc>
          <w:tcPr>
            <w:tcW w:w="2976" w:type="dxa"/>
          </w:tcPr>
          <w:p w14:paraId="30F881BE" w14:textId="77777777" w:rsidR="003E1F9F" w:rsidRDefault="003E1F9F" w:rsidP="005A20DD">
            <w:pPr>
              <w:pStyle w:val="TAL"/>
              <w:rPr>
                <w:rFonts w:cs="Arial"/>
                <w:szCs w:val="18"/>
              </w:rPr>
            </w:pPr>
            <w:r>
              <w:rPr>
                <w:rFonts w:cs="Arial"/>
                <w:szCs w:val="18"/>
              </w:rPr>
              <w:t xml:space="preserve">The ground truth information </w:t>
            </w:r>
            <w:r>
              <w:t>used for the accuracy information computation</w:t>
            </w:r>
            <w:r>
              <w:rPr>
                <w:rFonts w:cs="Arial"/>
                <w:szCs w:val="18"/>
              </w:rPr>
              <w:t>.</w:t>
            </w:r>
          </w:p>
        </w:tc>
        <w:tc>
          <w:tcPr>
            <w:tcW w:w="1628" w:type="dxa"/>
          </w:tcPr>
          <w:p w14:paraId="48962F56" w14:textId="77777777" w:rsidR="003E1F9F" w:rsidRDefault="003E1F9F" w:rsidP="005A20DD">
            <w:pPr>
              <w:pStyle w:val="TAL"/>
              <w:rPr>
                <w:rFonts w:cs="Arial"/>
                <w:szCs w:val="18"/>
              </w:rPr>
            </w:pPr>
          </w:p>
        </w:tc>
      </w:tr>
    </w:tbl>
    <w:p w14:paraId="380C6529" w14:textId="77777777" w:rsidR="003E1F9F" w:rsidRDefault="003E1F9F" w:rsidP="003E1F9F">
      <w:pPr>
        <w:rPr>
          <w:lang w:val="es-ES"/>
        </w:rPr>
      </w:pPr>
    </w:p>
    <w:p w14:paraId="4E91A17F" w14:textId="77777777" w:rsidR="00EF7075" w:rsidRDefault="00EF7075" w:rsidP="00EF7075">
      <w:pPr>
        <w:pStyle w:val="5"/>
      </w:pPr>
      <w:bookmarkStart w:id="11075" w:name="_Toc164920971"/>
      <w:bookmarkStart w:id="11076" w:name="_Toc170120513"/>
      <w:bookmarkStart w:id="11077" w:name="_Toc175858758"/>
      <w:bookmarkStart w:id="11078" w:name="_Toc175859831"/>
      <w:bookmarkStart w:id="11079" w:name="_Toc180606121"/>
      <w:bookmarkStart w:id="11080" w:name="_Toc185517382"/>
      <w:bookmarkStart w:id="11081" w:name="_Toc191576434"/>
      <w:bookmarkStart w:id="11082" w:name="_Toc191577174"/>
      <w:bookmarkStart w:id="11083" w:name="_Toc192880244"/>
      <w:bookmarkStart w:id="11084" w:name="_Toc195815133"/>
      <w:bookmarkStart w:id="11085" w:name="_Toc199453100"/>
      <w:r>
        <w:t>5.2.6.2.19</w:t>
      </w:r>
      <w:r>
        <w:tab/>
        <w:t>Type GroundTruthInfo</w:t>
      </w:r>
      <w:bookmarkEnd w:id="11075"/>
      <w:bookmarkEnd w:id="11076"/>
      <w:bookmarkEnd w:id="11077"/>
      <w:bookmarkEnd w:id="11078"/>
      <w:bookmarkEnd w:id="11079"/>
      <w:bookmarkEnd w:id="11080"/>
      <w:bookmarkEnd w:id="11081"/>
      <w:bookmarkEnd w:id="11082"/>
      <w:bookmarkEnd w:id="11083"/>
      <w:bookmarkEnd w:id="11084"/>
      <w:bookmarkEnd w:id="11085"/>
    </w:p>
    <w:p w14:paraId="43ED698A" w14:textId="77777777" w:rsidR="00EF7075" w:rsidRDefault="00EF7075" w:rsidP="00EF7075">
      <w:pPr>
        <w:pStyle w:val="TH"/>
      </w:pPr>
      <w:r>
        <w:t>Table 5.2.6.2.19-1: Definition of type GroundTruthInfo</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EF7075" w14:paraId="0B5A5C3A" w14:textId="77777777" w:rsidTr="009E0BD0">
        <w:trPr>
          <w:jc w:val="center"/>
        </w:trPr>
        <w:tc>
          <w:tcPr>
            <w:tcW w:w="1628" w:type="dxa"/>
            <w:shd w:val="clear" w:color="auto" w:fill="C0C0C0"/>
          </w:tcPr>
          <w:p w14:paraId="05F6BC43" w14:textId="77777777" w:rsidR="00EF7075" w:rsidRDefault="00EF7075" w:rsidP="009E0BD0">
            <w:pPr>
              <w:pStyle w:val="TAH"/>
              <w:ind w:left="400" w:hanging="400"/>
            </w:pPr>
            <w:r>
              <w:t>Attribute name</w:t>
            </w:r>
          </w:p>
        </w:tc>
        <w:tc>
          <w:tcPr>
            <w:tcW w:w="1701" w:type="dxa"/>
            <w:shd w:val="clear" w:color="auto" w:fill="C0C0C0"/>
          </w:tcPr>
          <w:p w14:paraId="65A103BF" w14:textId="77777777" w:rsidR="00EF7075" w:rsidRDefault="00EF7075" w:rsidP="009E0BD0">
            <w:pPr>
              <w:pStyle w:val="TAH"/>
              <w:ind w:left="400" w:hanging="400"/>
            </w:pPr>
            <w:r>
              <w:t>Data type</w:t>
            </w:r>
          </w:p>
        </w:tc>
        <w:tc>
          <w:tcPr>
            <w:tcW w:w="426" w:type="dxa"/>
            <w:shd w:val="clear" w:color="auto" w:fill="C0C0C0"/>
          </w:tcPr>
          <w:p w14:paraId="6D199312" w14:textId="77777777" w:rsidR="00EF7075" w:rsidRDefault="00EF7075" w:rsidP="009E0BD0">
            <w:pPr>
              <w:pStyle w:val="TAH"/>
              <w:ind w:left="400" w:hanging="400"/>
            </w:pPr>
            <w:r>
              <w:t>P</w:t>
            </w:r>
          </w:p>
        </w:tc>
        <w:tc>
          <w:tcPr>
            <w:tcW w:w="1134" w:type="dxa"/>
            <w:shd w:val="clear" w:color="auto" w:fill="C0C0C0"/>
          </w:tcPr>
          <w:p w14:paraId="092C0DD5" w14:textId="77777777" w:rsidR="00EF7075" w:rsidRDefault="00EF7075" w:rsidP="009E0BD0">
            <w:pPr>
              <w:pStyle w:val="TAH"/>
              <w:ind w:left="400" w:hanging="400"/>
            </w:pPr>
            <w:r>
              <w:t>Cardinality</w:t>
            </w:r>
          </w:p>
        </w:tc>
        <w:tc>
          <w:tcPr>
            <w:tcW w:w="2976" w:type="dxa"/>
            <w:shd w:val="clear" w:color="auto" w:fill="C0C0C0"/>
          </w:tcPr>
          <w:p w14:paraId="7A1B5441" w14:textId="77777777" w:rsidR="00EF7075" w:rsidRDefault="00EF7075" w:rsidP="009E0BD0">
            <w:pPr>
              <w:pStyle w:val="TAH"/>
              <w:ind w:left="400" w:hanging="400"/>
              <w:rPr>
                <w:rFonts w:cs="Arial"/>
                <w:szCs w:val="18"/>
              </w:rPr>
            </w:pPr>
            <w:r>
              <w:rPr>
                <w:rFonts w:cs="Arial"/>
                <w:szCs w:val="18"/>
              </w:rPr>
              <w:t>Description</w:t>
            </w:r>
          </w:p>
        </w:tc>
        <w:tc>
          <w:tcPr>
            <w:tcW w:w="1628" w:type="dxa"/>
            <w:shd w:val="clear" w:color="auto" w:fill="C0C0C0"/>
          </w:tcPr>
          <w:p w14:paraId="057C4471" w14:textId="77777777" w:rsidR="00EF7075" w:rsidRDefault="00EF7075" w:rsidP="009E0BD0">
            <w:pPr>
              <w:pStyle w:val="TAH"/>
              <w:ind w:left="400" w:hanging="400"/>
              <w:rPr>
                <w:rFonts w:cs="Arial"/>
                <w:szCs w:val="18"/>
              </w:rPr>
            </w:pPr>
            <w:r>
              <w:rPr>
                <w:rFonts w:cs="Arial"/>
                <w:szCs w:val="18"/>
              </w:rPr>
              <w:t>Applicability</w:t>
            </w:r>
          </w:p>
        </w:tc>
      </w:tr>
      <w:tr w:rsidR="00EF7075" w14:paraId="543A0560" w14:textId="77777777" w:rsidTr="009E0BD0">
        <w:trPr>
          <w:jc w:val="center"/>
        </w:trPr>
        <w:tc>
          <w:tcPr>
            <w:tcW w:w="1628" w:type="dxa"/>
          </w:tcPr>
          <w:p w14:paraId="2490C0E3" w14:textId="77777777" w:rsidR="00EF7075" w:rsidRDefault="00EF7075" w:rsidP="009E0BD0">
            <w:pPr>
              <w:pStyle w:val="TAL"/>
              <w:rPr>
                <w:lang w:eastAsia="zh-CN"/>
              </w:rPr>
            </w:pPr>
            <w:r>
              <w:rPr>
                <w:rFonts w:hint="eastAsia"/>
                <w:lang w:eastAsia="zh-CN"/>
              </w:rPr>
              <w:t>a</w:t>
            </w:r>
            <w:r>
              <w:rPr>
                <w:lang w:eastAsia="zh-CN"/>
              </w:rPr>
              <w:t>nalyticsId</w:t>
            </w:r>
          </w:p>
        </w:tc>
        <w:tc>
          <w:tcPr>
            <w:tcW w:w="1701" w:type="dxa"/>
          </w:tcPr>
          <w:p w14:paraId="6044978F" w14:textId="77777777" w:rsidR="00EF7075" w:rsidRDefault="00EF7075" w:rsidP="009E0BD0">
            <w:pPr>
              <w:pStyle w:val="TAL"/>
            </w:pPr>
            <w:r>
              <w:t>EventId</w:t>
            </w:r>
          </w:p>
        </w:tc>
        <w:tc>
          <w:tcPr>
            <w:tcW w:w="426" w:type="dxa"/>
          </w:tcPr>
          <w:p w14:paraId="427733A6" w14:textId="77777777" w:rsidR="00EF7075" w:rsidRDefault="00EF7075" w:rsidP="009E0BD0">
            <w:pPr>
              <w:pStyle w:val="TAL"/>
              <w:jc w:val="center"/>
              <w:rPr>
                <w:lang w:eastAsia="zh-CN"/>
              </w:rPr>
            </w:pPr>
            <w:r>
              <w:rPr>
                <w:rFonts w:hint="eastAsia"/>
                <w:lang w:eastAsia="zh-CN"/>
              </w:rPr>
              <w:t>M</w:t>
            </w:r>
          </w:p>
        </w:tc>
        <w:tc>
          <w:tcPr>
            <w:tcW w:w="1134" w:type="dxa"/>
          </w:tcPr>
          <w:p w14:paraId="720533F4" w14:textId="77777777" w:rsidR="00EF7075" w:rsidRDefault="00EF7075" w:rsidP="009E0BD0">
            <w:pPr>
              <w:pStyle w:val="TAL"/>
              <w:rPr>
                <w:lang w:eastAsia="zh-CN"/>
              </w:rPr>
            </w:pPr>
            <w:r>
              <w:rPr>
                <w:rFonts w:hint="eastAsia"/>
                <w:lang w:eastAsia="zh-CN"/>
              </w:rPr>
              <w:t>1</w:t>
            </w:r>
          </w:p>
        </w:tc>
        <w:tc>
          <w:tcPr>
            <w:tcW w:w="2976" w:type="dxa"/>
          </w:tcPr>
          <w:p w14:paraId="4CA710E0" w14:textId="77777777" w:rsidR="00EF7075" w:rsidRDefault="00EF7075" w:rsidP="009E0BD0">
            <w:pPr>
              <w:pStyle w:val="TAL"/>
              <w:rPr>
                <w:rFonts w:cs="Arial"/>
                <w:szCs w:val="18"/>
                <w:lang w:eastAsia="zh-CN"/>
              </w:rPr>
            </w:pPr>
            <w:r>
              <w:rPr>
                <w:rFonts w:cs="Arial"/>
                <w:szCs w:val="18"/>
                <w:lang w:eastAsia="zh-CN"/>
              </w:rPr>
              <w:t>Indicates the analytics ID.</w:t>
            </w:r>
          </w:p>
        </w:tc>
        <w:tc>
          <w:tcPr>
            <w:tcW w:w="1628" w:type="dxa"/>
          </w:tcPr>
          <w:p w14:paraId="403F3751" w14:textId="77777777" w:rsidR="00EF7075" w:rsidRDefault="00EF7075" w:rsidP="009E0BD0">
            <w:pPr>
              <w:pStyle w:val="TAL"/>
              <w:rPr>
                <w:rFonts w:cs="Arial"/>
                <w:szCs w:val="18"/>
              </w:rPr>
            </w:pPr>
          </w:p>
        </w:tc>
      </w:tr>
      <w:tr w:rsidR="00EF7075" w14:paraId="7C05BC86" w14:textId="77777777" w:rsidTr="009E0BD0">
        <w:trPr>
          <w:jc w:val="center"/>
        </w:trPr>
        <w:tc>
          <w:tcPr>
            <w:tcW w:w="1628" w:type="dxa"/>
          </w:tcPr>
          <w:p w14:paraId="50ED23BE" w14:textId="77777777" w:rsidR="00EF7075" w:rsidRDefault="00EF7075" w:rsidP="009E0BD0">
            <w:pPr>
              <w:pStyle w:val="TAL"/>
              <w:rPr>
                <w:lang w:eastAsia="zh-CN"/>
              </w:rPr>
            </w:pPr>
            <w:r>
              <w:rPr>
                <w:rFonts w:hint="eastAsia"/>
                <w:lang w:eastAsia="zh-CN"/>
              </w:rPr>
              <w:t>d</w:t>
            </w:r>
            <w:r>
              <w:rPr>
                <w:lang w:eastAsia="zh-CN"/>
              </w:rPr>
              <w:t>ataSourceIds</w:t>
            </w:r>
          </w:p>
        </w:tc>
        <w:tc>
          <w:tcPr>
            <w:tcW w:w="1701" w:type="dxa"/>
          </w:tcPr>
          <w:p w14:paraId="34811122" w14:textId="77777777" w:rsidR="00EF7075" w:rsidRDefault="00EF7075" w:rsidP="009E0BD0">
            <w:pPr>
              <w:pStyle w:val="TAL"/>
            </w:pPr>
            <w:r>
              <w:t>array(NfInstanceId)</w:t>
            </w:r>
          </w:p>
        </w:tc>
        <w:tc>
          <w:tcPr>
            <w:tcW w:w="426" w:type="dxa"/>
          </w:tcPr>
          <w:p w14:paraId="567B0869" w14:textId="77777777" w:rsidR="00EF7075" w:rsidRDefault="00EF7075" w:rsidP="009E0BD0">
            <w:pPr>
              <w:pStyle w:val="TAL"/>
              <w:jc w:val="center"/>
              <w:rPr>
                <w:lang w:eastAsia="zh-CN"/>
              </w:rPr>
            </w:pPr>
            <w:r>
              <w:t>O</w:t>
            </w:r>
          </w:p>
        </w:tc>
        <w:tc>
          <w:tcPr>
            <w:tcW w:w="1134" w:type="dxa"/>
          </w:tcPr>
          <w:p w14:paraId="48FE93CA" w14:textId="77777777" w:rsidR="00EF7075" w:rsidRDefault="00EF7075" w:rsidP="009E0BD0">
            <w:pPr>
              <w:pStyle w:val="TAL"/>
            </w:pPr>
            <w:r>
              <w:t>1..N</w:t>
            </w:r>
          </w:p>
        </w:tc>
        <w:tc>
          <w:tcPr>
            <w:tcW w:w="2976" w:type="dxa"/>
          </w:tcPr>
          <w:p w14:paraId="69787895" w14:textId="77777777" w:rsidR="00EF7075" w:rsidRDefault="00EF7075" w:rsidP="009E0BD0">
            <w:pPr>
              <w:pStyle w:val="TAL"/>
              <w:rPr>
                <w:rFonts w:cs="Arial"/>
                <w:szCs w:val="18"/>
              </w:rPr>
            </w:pPr>
            <w:r w:rsidRPr="00FF47BB">
              <w:rPr>
                <w:rFonts w:cs="Arial"/>
                <w:szCs w:val="18"/>
              </w:rPr>
              <w:t xml:space="preserve">The </w:t>
            </w:r>
            <w:r>
              <w:rPr>
                <w:rFonts w:cs="Arial"/>
                <w:szCs w:val="18"/>
              </w:rPr>
              <w:t xml:space="preserve">NF </w:t>
            </w:r>
            <w:r w:rsidRPr="00FF47BB">
              <w:rPr>
                <w:rFonts w:cs="Arial"/>
                <w:szCs w:val="18"/>
              </w:rPr>
              <w:t>instance ID</w:t>
            </w:r>
            <w:r>
              <w:rPr>
                <w:rFonts w:cs="Arial"/>
                <w:szCs w:val="18"/>
              </w:rPr>
              <w:t>(s)</w:t>
            </w:r>
            <w:r w:rsidRPr="00FF47BB">
              <w:rPr>
                <w:rFonts w:cs="Arial"/>
                <w:szCs w:val="18"/>
              </w:rPr>
              <w:t xml:space="preserve"> of the data source for ground truth data</w:t>
            </w:r>
            <w:r>
              <w:rPr>
                <w:rFonts w:cs="Arial"/>
                <w:szCs w:val="18"/>
              </w:rPr>
              <w:t>.</w:t>
            </w:r>
          </w:p>
        </w:tc>
        <w:tc>
          <w:tcPr>
            <w:tcW w:w="1628" w:type="dxa"/>
          </w:tcPr>
          <w:p w14:paraId="4DB6E1EA" w14:textId="77777777" w:rsidR="00EF7075" w:rsidRDefault="00EF7075" w:rsidP="009E0BD0">
            <w:pPr>
              <w:pStyle w:val="TAL"/>
              <w:rPr>
                <w:rFonts w:cs="Arial"/>
                <w:szCs w:val="18"/>
              </w:rPr>
            </w:pPr>
          </w:p>
        </w:tc>
      </w:tr>
      <w:tr w:rsidR="00EF7075" w14:paraId="64EA0C0B" w14:textId="77777777" w:rsidTr="009E0BD0">
        <w:trPr>
          <w:jc w:val="center"/>
        </w:trPr>
        <w:tc>
          <w:tcPr>
            <w:tcW w:w="1628" w:type="dxa"/>
          </w:tcPr>
          <w:p w14:paraId="031E5DD0" w14:textId="77777777" w:rsidR="00EF7075" w:rsidRDefault="00EF7075" w:rsidP="009E0BD0">
            <w:pPr>
              <w:pStyle w:val="TAL"/>
              <w:rPr>
                <w:lang w:eastAsia="zh-CN"/>
              </w:rPr>
            </w:pPr>
            <w:r>
              <w:rPr>
                <w:rFonts w:hint="eastAsia"/>
                <w:lang w:eastAsia="zh-CN"/>
              </w:rPr>
              <w:t>da</w:t>
            </w:r>
            <w:r>
              <w:rPr>
                <w:lang w:eastAsia="zh-CN"/>
              </w:rPr>
              <w:t>taSourceSetIds</w:t>
            </w:r>
          </w:p>
        </w:tc>
        <w:tc>
          <w:tcPr>
            <w:tcW w:w="1701" w:type="dxa"/>
          </w:tcPr>
          <w:p w14:paraId="3F01B53A" w14:textId="77777777" w:rsidR="00EF7075" w:rsidRDefault="00EF7075" w:rsidP="009E0BD0">
            <w:pPr>
              <w:pStyle w:val="TAL"/>
            </w:pPr>
            <w:r>
              <w:t>array(NfSetId)</w:t>
            </w:r>
          </w:p>
        </w:tc>
        <w:tc>
          <w:tcPr>
            <w:tcW w:w="426" w:type="dxa"/>
          </w:tcPr>
          <w:p w14:paraId="3F92428C" w14:textId="77777777" w:rsidR="00EF7075" w:rsidRDefault="00EF7075" w:rsidP="009E0BD0">
            <w:pPr>
              <w:pStyle w:val="TAL"/>
              <w:jc w:val="center"/>
              <w:rPr>
                <w:lang w:eastAsia="zh-CN"/>
              </w:rPr>
            </w:pPr>
            <w:r>
              <w:t>O</w:t>
            </w:r>
          </w:p>
        </w:tc>
        <w:tc>
          <w:tcPr>
            <w:tcW w:w="1134" w:type="dxa"/>
          </w:tcPr>
          <w:p w14:paraId="690FC27C" w14:textId="77777777" w:rsidR="00EF7075" w:rsidRDefault="00EF7075" w:rsidP="009E0BD0">
            <w:pPr>
              <w:pStyle w:val="TAL"/>
            </w:pPr>
            <w:r>
              <w:t>1..N</w:t>
            </w:r>
          </w:p>
        </w:tc>
        <w:tc>
          <w:tcPr>
            <w:tcW w:w="2976" w:type="dxa"/>
          </w:tcPr>
          <w:p w14:paraId="1CA4EFC8" w14:textId="77777777" w:rsidR="00EF7075" w:rsidRDefault="00EF7075" w:rsidP="009E0BD0">
            <w:pPr>
              <w:pStyle w:val="TAL"/>
              <w:rPr>
                <w:rFonts w:cs="Arial"/>
                <w:szCs w:val="18"/>
              </w:rPr>
            </w:pPr>
            <w:r w:rsidRPr="00FF47BB">
              <w:rPr>
                <w:rFonts w:cs="Arial"/>
                <w:szCs w:val="18"/>
              </w:rPr>
              <w:t xml:space="preserve">The </w:t>
            </w:r>
            <w:r>
              <w:rPr>
                <w:rFonts w:cs="Arial"/>
                <w:szCs w:val="18"/>
              </w:rPr>
              <w:t>NF Set</w:t>
            </w:r>
            <w:r w:rsidRPr="00FF47BB">
              <w:rPr>
                <w:rFonts w:cs="Arial"/>
                <w:szCs w:val="18"/>
              </w:rPr>
              <w:t xml:space="preserve"> ID</w:t>
            </w:r>
            <w:r>
              <w:rPr>
                <w:rFonts w:cs="Arial"/>
                <w:szCs w:val="18"/>
              </w:rPr>
              <w:t>(s)</w:t>
            </w:r>
            <w:r w:rsidRPr="00FF47BB">
              <w:rPr>
                <w:rFonts w:cs="Arial"/>
                <w:szCs w:val="18"/>
              </w:rPr>
              <w:t xml:space="preserve"> of the data source for ground truth data</w:t>
            </w:r>
            <w:r>
              <w:rPr>
                <w:rFonts w:cs="Arial"/>
                <w:szCs w:val="18"/>
              </w:rPr>
              <w:t>.</w:t>
            </w:r>
          </w:p>
        </w:tc>
        <w:tc>
          <w:tcPr>
            <w:tcW w:w="1628" w:type="dxa"/>
          </w:tcPr>
          <w:p w14:paraId="7E8F923C" w14:textId="77777777" w:rsidR="00EF7075" w:rsidRDefault="00EF7075" w:rsidP="009E0BD0">
            <w:pPr>
              <w:pStyle w:val="TAL"/>
              <w:rPr>
                <w:rFonts w:cs="Arial"/>
                <w:szCs w:val="18"/>
              </w:rPr>
            </w:pPr>
          </w:p>
        </w:tc>
      </w:tr>
      <w:tr w:rsidR="00EF7075" w14:paraId="1E823DA9" w14:textId="77777777" w:rsidTr="009E0BD0">
        <w:trPr>
          <w:jc w:val="center"/>
        </w:trPr>
        <w:tc>
          <w:tcPr>
            <w:tcW w:w="1628" w:type="dxa"/>
          </w:tcPr>
          <w:p w14:paraId="01DCF2C4" w14:textId="77777777" w:rsidR="00EF7075" w:rsidRDefault="00EF7075" w:rsidP="009E0BD0">
            <w:pPr>
              <w:pStyle w:val="TAL"/>
              <w:rPr>
                <w:lang w:eastAsia="zh-CN"/>
              </w:rPr>
            </w:pPr>
            <w:r>
              <w:rPr>
                <w:lang w:eastAsia="zh-CN"/>
              </w:rPr>
              <w:t>dataSubs</w:t>
            </w:r>
          </w:p>
        </w:tc>
        <w:tc>
          <w:tcPr>
            <w:tcW w:w="1701" w:type="dxa"/>
          </w:tcPr>
          <w:p w14:paraId="145A0AD8" w14:textId="77777777" w:rsidR="00EF7075" w:rsidRDefault="00EF7075" w:rsidP="009E0BD0">
            <w:pPr>
              <w:pStyle w:val="TAL"/>
            </w:pPr>
            <w:r>
              <w:t>array(DataSubscription)</w:t>
            </w:r>
          </w:p>
        </w:tc>
        <w:tc>
          <w:tcPr>
            <w:tcW w:w="426" w:type="dxa"/>
          </w:tcPr>
          <w:p w14:paraId="5D5EB871" w14:textId="77777777" w:rsidR="00EF7075" w:rsidRDefault="00EF7075" w:rsidP="009E0BD0">
            <w:pPr>
              <w:pStyle w:val="TAL"/>
              <w:jc w:val="center"/>
            </w:pPr>
            <w:r>
              <w:t>O</w:t>
            </w:r>
          </w:p>
        </w:tc>
        <w:tc>
          <w:tcPr>
            <w:tcW w:w="1134" w:type="dxa"/>
          </w:tcPr>
          <w:p w14:paraId="15D6ABD5" w14:textId="77777777" w:rsidR="00EF7075" w:rsidRDefault="00EF7075" w:rsidP="009E0BD0">
            <w:pPr>
              <w:pStyle w:val="TAL"/>
            </w:pPr>
            <w:r>
              <w:t>1..N</w:t>
            </w:r>
          </w:p>
        </w:tc>
        <w:tc>
          <w:tcPr>
            <w:tcW w:w="2976" w:type="dxa"/>
          </w:tcPr>
          <w:p w14:paraId="678AC99E" w14:textId="77777777" w:rsidR="00EF7075" w:rsidRPr="00FF47BB" w:rsidRDefault="00EF7075" w:rsidP="009E0BD0">
            <w:pPr>
              <w:pStyle w:val="TAL"/>
              <w:rPr>
                <w:rFonts w:cs="Arial"/>
                <w:szCs w:val="18"/>
              </w:rPr>
            </w:pPr>
            <w:r w:rsidRPr="008C3333">
              <w:rPr>
                <w:rFonts w:cs="Arial"/>
                <w:szCs w:val="18"/>
              </w:rPr>
              <w:t xml:space="preserve">Represents data </w:t>
            </w:r>
            <w:r>
              <w:rPr>
                <w:rFonts w:cs="Arial"/>
                <w:szCs w:val="18"/>
              </w:rPr>
              <w:t>subscription for ground truth data</w:t>
            </w:r>
            <w:r w:rsidRPr="008C3333">
              <w:rPr>
                <w:rFonts w:cs="Arial"/>
                <w:szCs w:val="18"/>
              </w:rPr>
              <w:t>.</w:t>
            </w:r>
          </w:p>
        </w:tc>
        <w:tc>
          <w:tcPr>
            <w:tcW w:w="1628" w:type="dxa"/>
          </w:tcPr>
          <w:p w14:paraId="526597ED" w14:textId="77777777" w:rsidR="00EF7075" w:rsidRDefault="00EF7075" w:rsidP="009E0BD0">
            <w:pPr>
              <w:pStyle w:val="TAL"/>
              <w:rPr>
                <w:rFonts w:cs="Arial"/>
                <w:szCs w:val="18"/>
              </w:rPr>
            </w:pPr>
          </w:p>
        </w:tc>
      </w:tr>
      <w:tr w:rsidR="00EF7075" w14:paraId="6B0C773F" w14:textId="77777777" w:rsidTr="009E0BD0">
        <w:trPr>
          <w:jc w:val="center"/>
        </w:trPr>
        <w:tc>
          <w:tcPr>
            <w:tcW w:w="1628" w:type="dxa"/>
          </w:tcPr>
          <w:p w14:paraId="058438B7" w14:textId="77777777" w:rsidR="00EF7075" w:rsidRDefault="00EF7075" w:rsidP="009E0BD0">
            <w:pPr>
              <w:pStyle w:val="TAL"/>
            </w:pPr>
            <w:r>
              <w:t>groundTruthDatas</w:t>
            </w:r>
          </w:p>
        </w:tc>
        <w:tc>
          <w:tcPr>
            <w:tcW w:w="1701" w:type="dxa"/>
          </w:tcPr>
          <w:p w14:paraId="3C80806C" w14:textId="77777777" w:rsidR="00EF7075" w:rsidRDefault="00EF7075" w:rsidP="009E0BD0">
            <w:pPr>
              <w:pStyle w:val="TAL"/>
            </w:pPr>
            <w:r>
              <w:t>array(</w:t>
            </w:r>
            <w:r w:rsidRPr="00620986">
              <w:t>DataNotification</w:t>
            </w:r>
            <w:r>
              <w:t>)</w:t>
            </w:r>
          </w:p>
        </w:tc>
        <w:tc>
          <w:tcPr>
            <w:tcW w:w="426" w:type="dxa"/>
          </w:tcPr>
          <w:p w14:paraId="28CB9510" w14:textId="77777777" w:rsidR="00EF7075" w:rsidRDefault="00EF7075" w:rsidP="009E0BD0">
            <w:pPr>
              <w:pStyle w:val="TAL"/>
              <w:jc w:val="center"/>
              <w:rPr>
                <w:lang w:eastAsia="zh-CN"/>
              </w:rPr>
            </w:pPr>
            <w:r>
              <w:t>M</w:t>
            </w:r>
          </w:p>
        </w:tc>
        <w:tc>
          <w:tcPr>
            <w:tcW w:w="1134" w:type="dxa"/>
          </w:tcPr>
          <w:p w14:paraId="25225AE2" w14:textId="77777777" w:rsidR="00EF7075" w:rsidRDefault="00EF7075" w:rsidP="009E0BD0">
            <w:pPr>
              <w:pStyle w:val="TAL"/>
            </w:pPr>
            <w:r>
              <w:t>1..N</w:t>
            </w:r>
          </w:p>
        </w:tc>
        <w:tc>
          <w:tcPr>
            <w:tcW w:w="2976" w:type="dxa"/>
          </w:tcPr>
          <w:p w14:paraId="3205624D" w14:textId="77777777" w:rsidR="00EF7075" w:rsidRDefault="00EF7075" w:rsidP="009E0BD0">
            <w:pPr>
              <w:pStyle w:val="TAL"/>
              <w:rPr>
                <w:rFonts w:cs="Arial"/>
                <w:szCs w:val="18"/>
              </w:rPr>
            </w:pPr>
            <w:r>
              <w:rPr>
                <w:lang w:eastAsia="zh-CN"/>
              </w:rPr>
              <w:t>The actual measured data observed corresponding to the event, i.e. the actual measured data observed at the time which the prediction refers to.</w:t>
            </w:r>
          </w:p>
        </w:tc>
        <w:tc>
          <w:tcPr>
            <w:tcW w:w="1628" w:type="dxa"/>
          </w:tcPr>
          <w:p w14:paraId="1398E16B" w14:textId="77777777" w:rsidR="00EF7075" w:rsidRDefault="00EF7075" w:rsidP="009E0BD0">
            <w:pPr>
              <w:pStyle w:val="TAL"/>
              <w:rPr>
                <w:rFonts w:cs="Arial"/>
                <w:szCs w:val="18"/>
              </w:rPr>
            </w:pPr>
          </w:p>
        </w:tc>
      </w:tr>
    </w:tbl>
    <w:p w14:paraId="5847A0A0" w14:textId="77777777" w:rsidR="00EF7075" w:rsidRDefault="00EF7075" w:rsidP="00EF7075">
      <w:pPr>
        <w:rPr>
          <w:lang w:val="es-ES"/>
        </w:rPr>
      </w:pPr>
    </w:p>
    <w:p w14:paraId="4EE9F3F7" w14:textId="77777777" w:rsidR="003E1F9F" w:rsidRPr="00406037" w:rsidRDefault="003E1F9F" w:rsidP="003E1F9F">
      <w:pPr>
        <w:rPr>
          <w:lang w:val="en-US"/>
        </w:rPr>
      </w:pPr>
    </w:p>
    <w:p w14:paraId="00411C68" w14:textId="77777777" w:rsidR="003E1F9F" w:rsidRDefault="003E1F9F" w:rsidP="003E1F9F">
      <w:pPr>
        <w:pStyle w:val="5"/>
      </w:pPr>
      <w:bookmarkStart w:id="11086" w:name="_Toc164920972"/>
      <w:bookmarkStart w:id="11087" w:name="_Toc170120514"/>
      <w:bookmarkStart w:id="11088" w:name="_Toc175858759"/>
      <w:bookmarkStart w:id="11089" w:name="_Toc175859832"/>
      <w:bookmarkStart w:id="11090" w:name="_Toc180606122"/>
      <w:bookmarkStart w:id="11091" w:name="_Toc185517383"/>
      <w:bookmarkStart w:id="11092" w:name="_Toc191576435"/>
      <w:bookmarkStart w:id="11093" w:name="_Toc191577175"/>
      <w:bookmarkStart w:id="11094" w:name="_Toc192880245"/>
      <w:bookmarkStart w:id="11095" w:name="_Toc195815134"/>
      <w:bookmarkStart w:id="11096" w:name="_Toc199453101"/>
      <w:r>
        <w:t>5.2.6.2.20</w:t>
      </w:r>
      <w:r>
        <w:tab/>
        <w:t>Type MlModelAccuracyInfo</w:t>
      </w:r>
      <w:bookmarkEnd w:id="11086"/>
      <w:bookmarkEnd w:id="11087"/>
      <w:bookmarkEnd w:id="11088"/>
      <w:bookmarkEnd w:id="11089"/>
      <w:bookmarkEnd w:id="11090"/>
      <w:bookmarkEnd w:id="11091"/>
      <w:bookmarkEnd w:id="11092"/>
      <w:bookmarkEnd w:id="11093"/>
      <w:bookmarkEnd w:id="11094"/>
      <w:bookmarkEnd w:id="11095"/>
      <w:bookmarkEnd w:id="11096"/>
    </w:p>
    <w:p w14:paraId="5CEB74CE" w14:textId="77777777" w:rsidR="00E06B31" w:rsidRDefault="00E06B31" w:rsidP="00E06B31">
      <w:pPr>
        <w:pStyle w:val="TH"/>
      </w:pPr>
      <w:r>
        <w:t>Table 5.2.6.2.20-1: Definition of type MlModelAccuracyInfo</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E06B31" w14:paraId="5FC44A51" w14:textId="77777777" w:rsidTr="008867D9">
        <w:trPr>
          <w:jc w:val="center"/>
        </w:trPr>
        <w:tc>
          <w:tcPr>
            <w:tcW w:w="1628" w:type="dxa"/>
            <w:shd w:val="clear" w:color="auto" w:fill="C0C0C0"/>
          </w:tcPr>
          <w:p w14:paraId="4FECF76D" w14:textId="77777777" w:rsidR="00E06B31" w:rsidRDefault="00E06B31" w:rsidP="008867D9">
            <w:pPr>
              <w:pStyle w:val="TAH"/>
              <w:ind w:left="400" w:hanging="400"/>
            </w:pPr>
            <w:r>
              <w:t>Attribute name</w:t>
            </w:r>
          </w:p>
        </w:tc>
        <w:tc>
          <w:tcPr>
            <w:tcW w:w="1701" w:type="dxa"/>
            <w:shd w:val="clear" w:color="auto" w:fill="C0C0C0"/>
          </w:tcPr>
          <w:p w14:paraId="50DCEABC" w14:textId="77777777" w:rsidR="00E06B31" w:rsidRDefault="00E06B31" w:rsidP="008867D9">
            <w:pPr>
              <w:pStyle w:val="TAH"/>
              <w:ind w:left="400" w:hanging="400"/>
            </w:pPr>
            <w:r>
              <w:t>Data type</w:t>
            </w:r>
          </w:p>
        </w:tc>
        <w:tc>
          <w:tcPr>
            <w:tcW w:w="426" w:type="dxa"/>
            <w:shd w:val="clear" w:color="auto" w:fill="C0C0C0"/>
          </w:tcPr>
          <w:p w14:paraId="46261BD8" w14:textId="77777777" w:rsidR="00E06B31" w:rsidRDefault="00E06B31" w:rsidP="008867D9">
            <w:pPr>
              <w:pStyle w:val="TAH"/>
              <w:ind w:left="400" w:hanging="400"/>
            </w:pPr>
            <w:r>
              <w:t>P</w:t>
            </w:r>
          </w:p>
        </w:tc>
        <w:tc>
          <w:tcPr>
            <w:tcW w:w="1134" w:type="dxa"/>
            <w:shd w:val="clear" w:color="auto" w:fill="C0C0C0"/>
          </w:tcPr>
          <w:p w14:paraId="3F06F660" w14:textId="77777777" w:rsidR="00E06B31" w:rsidRDefault="00E06B31" w:rsidP="008867D9">
            <w:pPr>
              <w:pStyle w:val="TAH"/>
              <w:ind w:left="400" w:hanging="400"/>
            </w:pPr>
            <w:r>
              <w:t>Cardinality</w:t>
            </w:r>
          </w:p>
        </w:tc>
        <w:tc>
          <w:tcPr>
            <w:tcW w:w="2976" w:type="dxa"/>
            <w:shd w:val="clear" w:color="auto" w:fill="C0C0C0"/>
          </w:tcPr>
          <w:p w14:paraId="0926909A" w14:textId="77777777" w:rsidR="00E06B31" w:rsidRDefault="00E06B31" w:rsidP="008867D9">
            <w:pPr>
              <w:pStyle w:val="TAH"/>
              <w:ind w:left="400" w:hanging="400"/>
              <w:rPr>
                <w:rFonts w:cs="Arial"/>
                <w:szCs w:val="18"/>
              </w:rPr>
            </w:pPr>
            <w:r>
              <w:rPr>
                <w:rFonts w:cs="Arial"/>
                <w:szCs w:val="18"/>
              </w:rPr>
              <w:t>Description</w:t>
            </w:r>
          </w:p>
        </w:tc>
        <w:tc>
          <w:tcPr>
            <w:tcW w:w="1628" w:type="dxa"/>
            <w:shd w:val="clear" w:color="auto" w:fill="C0C0C0"/>
          </w:tcPr>
          <w:p w14:paraId="2786219D" w14:textId="77777777" w:rsidR="00E06B31" w:rsidRDefault="00E06B31" w:rsidP="008867D9">
            <w:pPr>
              <w:pStyle w:val="TAH"/>
              <w:ind w:left="400" w:hanging="400"/>
              <w:rPr>
                <w:rFonts w:cs="Arial"/>
                <w:szCs w:val="18"/>
              </w:rPr>
            </w:pPr>
            <w:r>
              <w:rPr>
                <w:rFonts w:cs="Arial"/>
                <w:szCs w:val="18"/>
              </w:rPr>
              <w:t>Applicability</w:t>
            </w:r>
          </w:p>
        </w:tc>
      </w:tr>
      <w:tr w:rsidR="00E06B31" w14:paraId="1A55040E" w14:textId="77777777" w:rsidTr="008867D9">
        <w:trPr>
          <w:jc w:val="center"/>
        </w:trPr>
        <w:tc>
          <w:tcPr>
            <w:tcW w:w="1628" w:type="dxa"/>
          </w:tcPr>
          <w:p w14:paraId="0863EDCE" w14:textId="77777777" w:rsidR="00E06B31" w:rsidRDefault="00E06B31" w:rsidP="008867D9">
            <w:pPr>
              <w:pStyle w:val="TAL"/>
            </w:pPr>
            <w:r>
              <w:t>subscriptionId</w:t>
            </w:r>
          </w:p>
        </w:tc>
        <w:tc>
          <w:tcPr>
            <w:tcW w:w="1701" w:type="dxa"/>
          </w:tcPr>
          <w:p w14:paraId="7CA6AC48" w14:textId="77777777" w:rsidR="00E06B31" w:rsidRDefault="00E06B31" w:rsidP="008867D9">
            <w:pPr>
              <w:pStyle w:val="TAL"/>
            </w:pPr>
            <w:r>
              <w:t>string</w:t>
            </w:r>
          </w:p>
        </w:tc>
        <w:tc>
          <w:tcPr>
            <w:tcW w:w="426" w:type="dxa"/>
          </w:tcPr>
          <w:p w14:paraId="212C4C0E" w14:textId="77777777" w:rsidR="00E06B31" w:rsidRDefault="00E06B31" w:rsidP="008867D9">
            <w:pPr>
              <w:pStyle w:val="TAL"/>
              <w:jc w:val="center"/>
              <w:rPr>
                <w:lang w:eastAsia="zh-CN"/>
              </w:rPr>
            </w:pPr>
            <w:r>
              <w:rPr>
                <w:lang w:eastAsia="zh-CN"/>
              </w:rPr>
              <w:t>M</w:t>
            </w:r>
          </w:p>
        </w:tc>
        <w:tc>
          <w:tcPr>
            <w:tcW w:w="1134" w:type="dxa"/>
          </w:tcPr>
          <w:p w14:paraId="3B6E7F57" w14:textId="77777777" w:rsidR="00E06B31" w:rsidRDefault="00E06B31" w:rsidP="008867D9">
            <w:pPr>
              <w:pStyle w:val="TAL"/>
            </w:pPr>
            <w:r>
              <w:t>1</w:t>
            </w:r>
          </w:p>
        </w:tc>
        <w:tc>
          <w:tcPr>
            <w:tcW w:w="2976" w:type="dxa"/>
          </w:tcPr>
          <w:p w14:paraId="191806AC" w14:textId="77777777" w:rsidR="00E06B31" w:rsidRDefault="00E06B31" w:rsidP="008867D9">
            <w:pPr>
              <w:pStyle w:val="TAL"/>
              <w:rPr>
                <w:rFonts w:cs="Arial"/>
                <w:szCs w:val="18"/>
              </w:rPr>
            </w:pPr>
            <w:r>
              <w:t>The identifier of the subscription for the ML Model accuracy information.</w:t>
            </w:r>
          </w:p>
        </w:tc>
        <w:tc>
          <w:tcPr>
            <w:tcW w:w="1628" w:type="dxa"/>
          </w:tcPr>
          <w:p w14:paraId="49C4B4B3" w14:textId="77777777" w:rsidR="00E06B31" w:rsidRDefault="00E06B31" w:rsidP="008867D9">
            <w:pPr>
              <w:pStyle w:val="TAL"/>
              <w:rPr>
                <w:rFonts w:cs="Arial"/>
                <w:szCs w:val="18"/>
              </w:rPr>
            </w:pPr>
          </w:p>
        </w:tc>
      </w:tr>
      <w:tr w:rsidR="00E06B31" w14:paraId="1CA68FC5" w14:textId="77777777" w:rsidTr="008867D9">
        <w:trPr>
          <w:jc w:val="center"/>
        </w:trPr>
        <w:tc>
          <w:tcPr>
            <w:tcW w:w="1628" w:type="dxa"/>
          </w:tcPr>
          <w:p w14:paraId="4A895C6F" w14:textId="77777777" w:rsidR="00E06B31" w:rsidRDefault="00E06B31" w:rsidP="008867D9">
            <w:pPr>
              <w:pStyle w:val="TAL"/>
              <w:rPr>
                <w:lang w:eastAsia="zh-CN"/>
              </w:rPr>
            </w:pPr>
            <w:r>
              <w:rPr>
                <w:lang w:eastAsia="zh-CN"/>
              </w:rPr>
              <w:t>sourceId</w:t>
            </w:r>
          </w:p>
        </w:tc>
        <w:tc>
          <w:tcPr>
            <w:tcW w:w="1701" w:type="dxa"/>
          </w:tcPr>
          <w:p w14:paraId="12ABF5E1" w14:textId="77777777" w:rsidR="00E06B31" w:rsidRDefault="00E06B31" w:rsidP="008867D9">
            <w:pPr>
              <w:pStyle w:val="TAL"/>
            </w:pPr>
            <w:r>
              <w:t>NfInstanceId</w:t>
            </w:r>
          </w:p>
        </w:tc>
        <w:tc>
          <w:tcPr>
            <w:tcW w:w="426" w:type="dxa"/>
          </w:tcPr>
          <w:p w14:paraId="6A046D43" w14:textId="77777777" w:rsidR="00E06B31" w:rsidRDefault="00E06B31" w:rsidP="008867D9">
            <w:pPr>
              <w:pStyle w:val="TAL"/>
              <w:jc w:val="center"/>
              <w:rPr>
                <w:lang w:eastAsia="zh-CN"/>
              </w:rPr>
            </w:pPr>
            <w:r>
              <w:t>O</w:t>
            </w:r>
          </w:p>
        </w:tc>
        <w:tc>
          <w:tcPr>
            <w:tcW w:w="1134" w:type="dxa"/>
          </w:tcPr>
          <w:p w14:paraId="46E089D7" w14:textId="77777777" w:rsidR="00E06B31" w:rsidRDefault="00E06B31" w:rsidP="008867D9">
            <w:pPr>
              <w:pStyle w:val="TAL"/>
            </w:pPr>
            <w:r>
              <w:t>0..1</w:t>
            </w:r>
          </w:p>
        </w:tc>
        <w:tc>
          <w:tcPr>
            <w:tcW w:w="2976" w:type="dxa"/>
          </w:tcPr>
          <w:p w14:paraId="2F14E987" w14:textId="77777777" w:rsidR="00E06B31" w:rsidRDefault="00E06B31" w:rsidP="008867D9">
            <w:pPr>
              <w:pStyle w:val="TAL"/>
              <w:rPr>
                <w:rFonts w:cs="Arial"/>
                <w:szCs w:val="18"/>
              </w:rPr>
            </w:pPr>
            <w:r w:rsidRPr="00FF47BB">
              <w:rPr>
                <w:rFonts w:cs="Arial"/>
                <w:szCs w:val="18"/>
              </w:rPr>
              <w:t xml:space="preserve">The </w:t>
            </w:r>
            <w:r>
              <w:rPr>
                <w:rFonts w:cs="Arial"/>
                <w:szCs w:val="18"/>
              </w:rPr>
              <w:t xml:space="preserve">NF </w:t>
            </w:r>
            <w:r w:rsidRPr="00FF47BB">
              <w:rPr>
                <w:rFonts w:cs="Arial"/>
                <w:szCs w:val="18"/>
              </w:rPr>
              <w:t>instance ID of</w:t>
            </w:r>
            <w:r>
              <w:rPr>
                <w:rFonts w:cs="Arial"/>
                <w:szCs w:val="18"/>
              </w:rPr>
              <w:t xml:space="preserve"> source NWDAF.</w:t>
            </w:r>
          </w:p>
        </w:tc>
        <w:tc>
          <w:tcPr>
            <w:tcW w:w="1628" w:type="dxa"/>
          </w:tcPr>
          <w:p w14:paraId="504FB383" w14:textId="77777777" w:rsidR="00E06B31" w:rsidRDefault="00E06B31" w:rsidP="008867D9">
            <w:pPr>
              <w:pStyle w:val="TAL"/>
              <w:rPr>
                <w:rFonts w:cs="Arial"/>
                <w:szCs w:val="18"/>
              </w:rPr>
            </w:pPr>
          </w:p>
        </w:tc>
      </w:tr>
      <w:tr w:rsidR="00E06B31" w14:paraId="0A085882" w14:textId="77777777" w:rsidTr="008867D9">
        <w:trPr>
          <w:jc w:val="center"/>
        </w:trPr>
        <w:tc>
          <w:tcPr>
            <w:tcW w:w="1628" w:type="dxa"/>
          </w:tcPr>
          <w:p w14:paraId="3CE6309D" w14:textId="77777777" w:rsidR="00E06B31" w:rsidRDefault="00E06B31" w:rsidP="008867D9">
            <w:pPr>
              <w:pStyle w:val="TAL"/>
              <w:rPr>
                <w:lang w:eastAsia="zh-CN"/>
              </w:rPr>
            </w:pPr>
            <w:r>
              <w:rPr>
                <w:rFonts w:hint="eastAsia"/>
                <w:lang w:eastAsia="zh-CN"/>
              </w:rPr>
              <w:t>s</w:t>
            </w:r>
            <w:r>
              <w:rPr>
                <w:lang w:eastAsia="zh-CN"/>
              </w:rPr>
              <w:t>ourceSetId</w:t>
            </w:r>
          </w:p>
        </w:tc>
        <w:tc>
          <w:tcPr>
            <w:tcW w:w="1701" w:type="dxa"/>
          </w:tcPr>
          <w:p w14:paraId="65E3CBC7" w14:textId="77777777" w:rsidR="00E06B31" w:rsidRDefault="00E06B31" w:rsidP="008867D9">
            <w:pPr>
              <w:pStyle w:val="TAL"/>
            </w:pPr>
            <w:r>
              <w:t>NfSetId</w:t>
            </w:r>
          </w:p>
        </w:tc>
        <w:tc>
          <w:tcPr>
            <w:tcW w:w="426" w:type="dxa"/>
          </w:tcPr>
          <w:p w14:paraId="6F0D7BD7" w14:textId="77777777" w:rsidR="00E06B31" w:rsidRDefault="00E06B31" w:rsidP="008867D9">
            <w:pPr>
              <w:pStyle w:val="TAL"/>
              <w:jc w:val="center"/>
              <w:rPr>
                <w:lang w:eastAsia="zh-CN"/>
              </w:rPr>
            </w:pPr>
            <w:r>
              <w:t>O</w:t>
            </w:r>
          </w:p>
        </w:tc>
        <w:tc>
          <w:tcPr>
            <w:tcW w:w="1134" w:type="dxa"/>
          </w:tcPr>
          <w:p w14:paraId="7354CC2E" w14:textId="77777777" w:rsidR="00E06B31" w:rsidRDefault="00E06B31" w:rsidP="008867D9">
            <w:pPr>
              <w:pStyle w:val="TAL"/>
            </w:pPr>
            <w:r>
              <w:t>0..1</w:t>
            </w:r>
          </w:p>
        </w:tc>
        <w:tc>
          <w:tcPr>
            <w:tcW w:w="2976" w:type="dxa"/>
          </w:tcPr>
          <w:p w14:paraId="172A0244" w14:textId="77777777" w:rsidR="00E06B31" w:rsidRDefault="00E06B31" w:rsidP="008867D9">
            <w:pPr>
              <w:pStyle w:val="TAL"/>
              <w:rPr>
                <w:rFonts w:cs="Arial"/>
                <w:szCs w:val="18"/>
              </w:rPr>
            </w:pPr>
            <w:r w:rsidRPr="00FF47BB">
              <w:rPr>
                <w:rFonts w:cs="Arial"/>
                <w:szCs w:val="18"/>
              </w:rPr>
              <w:t xml:space="preserve">The </w:t>
            </w:r>
            <w:r>
              <w:rPr>
                <w:rFonts w:cs="Arial"/>
                <w:szCs w:val="18"/>
              </w:rPr>
              <w:t>NF Set</w:t>
            </w:r>
            <w:r w:rsidRPr="00FF47BB">
              <w:rPr>
                <w:rFonts w:cs="Arial"/>
                <w:szCs w:val="18"/>
              </w:rPr>
              <w:t xml:space="preserve"> ID of </w:t>
            </w:r>
            <w:r>
              <w:rPr>
                <w:rFonts w:cs="Arial"/>
                <w:szCs w:val="18"/>
              </w:rPr>
              <w:t>source NWDAF.</w:t>
            </w:r>
          </w:p>
        </w:tc>
        <w:tc>
          <w:tcPr>
            <w:tcW w:w="1628" w:type="dxa"/>
          </w:tcPr>
          <w:p w14:paraId="41A5A06D" w14:textId="77777777" w:rsidR="00E06B31" w:rsidRDefault="00E06B31" w:rsidP="008867D9">
            <w:pPr>
              <w:pStyle w:val="TAL"/>
              <w:rPr>
                <w:rFonts w:cs="Arial"/>
                <w:szCs w:val="18"/>
              </w:rPr>
            </w:pPr>
          </w:p>
        </w:tc>
      </w:tr>
      <w:tr w:rsidR="00E06B31" w14:paraId="701EBBF8" w14:textId="77777777" w:rsidTr="008867D9">
        <w:trPr>
          <w:jc w:val="center"/>
        </w:trPr>
        <w:tc>
          <w:tcPr>
            <w:tcW w:w="1628" w:type="dxa"/>
          </w:tcPr>
          <w:p w14:paraId="7D381DB5" w14:textId="77777777" w:rsidR="00E06B31" w:rsidRDefault="00E06B31" w:rsidP="008867D9">
            <w:pPr>
              <w:pStyle w:val="TAL"/>
            </w:pPr>
            <w:r>
              <w:t>accuSubInfo</w:t>
            </w:r>
          </w:p>
        </w:tc>
        <w:tc>
          <w:tcPr>
            <w:tcW w:w="1701" w:type="dxa"/>
          </w:tcPr>
          <w:p w14:paraId="6CD8A894" w14:textId="77777777" w:rsidR="00E06B31" w:rsidRDefault="00E06B31" w:rsidP="008867D9">
            <w:pPr>
              <w:pStyle w:val="TAL"/>
            </w:pPr>
            <w:r>
              <w:rPr>
                <w:rFonts w:eastAsia="等线"/>
              </w:rPr>
              <w:t>MLModelAccuracyInfo</w:t>
            </w:r>
          </w:p>
        </w:tc>
        <w:tc>
          <w:tcPr>
            <w:tcW w:w="426" w:type="dxa"/>
          </w:tcPr>
          <w:p w14:paraId="4EC83179" w14:textId="77777777" w:rsidR="00E06B31" w:rsidRDefault="00E06B31" w:rsidP="008867D9">
            <w:pPr>
              <w:pStyle w:val="TAL"/>
              <w:jc w:val="center"/>
              <w:rPr>
                <w:lang w:eastAsia="zh-CN"/>
              </w:rPr>
            </w:pPr>
            <w:r>
              <w:t>O</w:t>
            </w:r>
          </w:p>
        </w:tc>
        <w:tc>
          <w:tcPr>
            <w:tcW w:w="1134" w:type="dxa"/>
          </w:tcPr>
          <w:p w14:paraId="711EC499" w14:textId="77777777" w:rsidR="00E06B31" w:rsidRDefault="00E06B31" w:rsidP="008867D9">
            <w:pPr>
              <w:pStyle w:val="TAL"/>
            </w:pPr>
            <w:r>
              <w:t>0..1</w:t>
            </w:r>
          </w:p>
        </w:tc>
        <w:tc>
          <w:tcPr>
            <w:tcW w:w="2976" w:type="dxa"/>
          </w:tcPr>
          <w:p w14:paraId="44691306" w14:textId="77777777" w:rsidR="00E06B31" w:rsidRDefault="00E06B31" w:rsidP="008867D9">
            <w:pPr>
              <w:pStyle w:val="TAL"/>
              <w:rPr>
                <w:rFonts w:cs="Arial"/>
                <w:szCs w:val="18"/>
              </w:rPr>
            </w:pPr>
            <w:r>
              <w:t>The parameters used for the subscription for ML model accuracy information for the given ML Model</w:t>
            </w:r>
            <w:r>
              <w:rPr>
                <w:rFonts w:cs="Arial"/>
                <w:szCs w:val="18"/>
              </w:rPr>
              <w:t>.</w:t>
            </w:r>
          </w:p>
        </w:tc>
        <w:tc>
          <w:tcPr>
            <w:tcW w:w="1628" w:type="dxa"/>
          </w:tcPr>
          <w:p w14:paraId="0E0BA752" w14:textId="77777777" w:rsidR="00E06B31" w:rsidRDefault="00E06B31" w:rsidP="008867D9">
            <w:pPr>
              <w:pStyle w:val="TAL"/>
              <w:rPr>
                <w:rFonts w:cs="Arial"/>
                <w:szCs w:val="18"/>
              </w:rPr>
            </w:pPr>
          </w:p>
        </w:tc>
      </w:tr>
    </w:tbl>
    <w:p w14:paraId="661E085C" w14:textId="77777777" w:rsidR="00E06B31" w:rsidRDefault="00E06B31" w:rsidP="00E06B31">
      <w:pPr>
        <w:rPr>
          <w:lang w:val="es-ES"/>
        </w:rPr>
      </w:pPr>
    </w:p>
    <w:p w14:paraId="2933A796" w14:textId="77777777" w:rsidR="00A10B25" w:rsidRDefault="00A10B25">
      <w:pPr>
        <w:pStyle w:val="4"/>
        <w:rPr>
          <w:lang w:val="en-US"/>
        </w:rPr>
      </w:pPr>
      <w:bookmarkStart w:id="11097" w:name="_Toc164920973"/>
      <w:bookmarkStart w:id="11098" w:name="_Toc170120515"/>
      <w:bookmarkStart w:id="11099" w:name="_Toc175858760"/>
      <w:bookmarkStart w:id="11100" w:name="_Toc175859833"/>
      <w:bookmarkStart w:id="11101" w:name="_Toc180606123"/>
      <w:bookmarkStart w:id="11102" w:name="_Toc185517384"/>
      <w:bookmarkStart w:id="11103" w:name="_Toc191576436"/>
      <w:bookmarkStart w:id="11104" w:name="_Toc191577176"/>
      <w:bookmarkStart w:id="11105" w:name="_Toc192880246"/>
      <w:bookmarkStart w:id="11106" w:name="_Toc195815135"/>
      <w:bookmarkStart w:id="11107" w:name="_Toc199453102"/>
      <w:r>
        <w:lastRenderedPageBreak/>
        <w:t>5.2.6.3</w:t>
      </w:r>
      <w:r>
        <w:tab/>
        <w:t>Simple data types and enumerations</w:t>
      </w:r>
      <w:bookmarkEnd w:id="10760"/>
      <w:bookmarkEnd w:id="10761"/>
      <w:bookmarkEnd w:id="10762"/>
      <w:bookmarkEnd w:id="10763"/>
      <w:bookmarkEnd w:id="10764"/>
      <w:bookmarkEnd w:id="10765"/>
      <w:bookmarkEnd w:id="10766"/>
      <w:bookmarkEnd w:id="10767"/>
      <w:bookmarkEnd w:id="10768"/>
      <w:bookmarkEnd w:id="10769"/>
      <w:bookmarkEnd w:id="10770"/>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60"/>
      <w:bookmarkEnd w:id="11061"/>
      <w:bookmarkEnd w:id="11062"/>
      <w:bookmarkEnd w:id="11063"/>
      <w:bookmarkEnd w:id="11097"/>
      <w:bookmarkEnd w:id="11098"/>
      <w:bookmarkEnd w:id="11099"/>
      <w:bookmarkEnd w:id="11100"/>
      <w:bookmarkEnd w:id="11101"/>
      <w:bookmarkEnd w:id="11102"/>
      <w:bookmarkEnd w:id="11103"/>
      <w:bookmarkEnd w:id="11104"/>
      <w:bookmarkEnd w:id="11105"/>
      <w:bookmarkEnd w:id="11106"/>
      <w:bookmarkEnd w:id="11107"/>
    </w:p>
    <w:p w14:paraId="3DB0EA21" w14:textId="77777777" w:rsidR="00A10B25" w:rsidRDefault="00A10B25">
      <w:pPr>
        <w:pStyle w:val="5"/>
      </w:pPr>
      <w:bookmarkStart w:id="11108" w:name="_Toc34266358"/>
      <w:bookmarkStart w:id="11109" w:name="_Toc85553085"/>
      <w:bookmarkStart w:id="11110" w:name="_Toc120702447"/>
      <w:bookmarkStart w:id="11111" w:name="_Toc88667694"/>
      <w:bookmarkStart w:id="11112" w:name="_Toc85557184"/>
      <w:bookmarkStart w:id="11113" w:name="_Toc136562546"/>
      <w:bookmarkStart w:id="11114" w:name="_Toc36102529"/>
      <w:bookmarkStart w:id="11115" w:name="_Toc59018008"/>
      <w:bookmarkStart w:id="11116" w:name="_Toc56641040"/>
      <w:bookmarkStart w:id="11117" w:name="_Toc70550705"/>
      <w:bookmarkStart w:id="11118" w:name="_Toc112951267"/>
      <w:bookmarkStart w:id="11119" w:name="_Toc83233158"/>
      <w:bookmarkStart w:id="11120" w:name="_Toc94064384"/>
      <w:bookmarkStart w:id="11121" w:name="_Toc113031807"/>
      <w:bookmarkStart w:id="11122" w:name="_Toc43563573"/>
      <w:bookmarkStart w:id="11123" w:name="_Toc51762971"/>
      <w:bookmarkStart w:id="11124" w:name="_Toc104539144"/>
      <w:bookmarkStart w:id="11125" w:name="_Toc66231876"/>
      <w:bookmarkStart w:id="11126" w:name="_Toc98233771"/>
      <w:bookmarkStart w:id="11127" w:name="_Toc45134119"/>
      <w:bookmarkStart w:id="11128" w:name="_Toc50032051"/>
      <w:bookmarkStart w:id="11129" w:name="_Toc101244549"/>
      <w:bookmarkStart w:id="11130" w:name="_Toc114133946"/>
      <w:bookmarkStart w:id="11131" w:name="_Toc68169037"/>
      <w:bookmarkStart w:id="11132" w:name="_Toc145705875"/>
      <w:bookmarkStart w:id="11133" w:name="_Toc90655979"/>
      <w:bookmarkStart w:id="11134" w:name="_Toc28012872"/>
      <w:bookmarkStart w:id="11135" w:name="_Toc148522785"/>
      <w:bookmarkStart w:id="11136" w:name="_Toc138754380"/>
      <w:bookmarkStart w:id="11137" w:name="_Toc164920974"/>
      <w:bookmarkStart w:id="11138" w:name="_Toc170120516"/>
      <w:bookmarkStart w:id="11139" w:name="_Toc175858761"/>
      <w:bookmarkStart w:id="11140" w:name="_Toc175859834"/>
      <w:bookmarkStart w:id="11141" w:name="_Toc180606124"/>
      <w:bookmarkStart w:id="11142" w:name="_Toc185517385"/>
      <w:bookmarkStart w:id="11143" w:name="_Toc191576437"/>
      <w:bookmarkStart w:id="11144" w:name="_Toc191577177"/>
      <w:bookmarkStart w:id="11145" w:name="_Toc192880247"/>
      <w:bookmarkStart w:id="11146" w:name="_Toc195815136"/>
      <w:bookmarkStart w:id="11147" w:name="_Toc199453103"/>
      <w:r>
        <w:t>5.2.6.3.1</w:t>
      </w:r>
      <w:r>
        <w:tab/>
        <w:t>Introduction</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4712B626" w14:textId="77777777" w:rsidR="00A10B25" w:rsidRDefault="00A10B25">
      <w:r>
        <w:t>This clause defines simple data types and enumerations that can be referenced from data structures defined in the previous clauses.</w:t>
      </w:r>
    </w:p>
    <w:p w14:paraId="33E2B88E" w14:textId="77777777" w:rsidR="00A10B25" w:rsidRDefault="00A10B25">
      <w:pPr>
        <w:pStyle w:val="5"/>
      </w:pPr>
      <w:bookmarkStart w:id="11148" w:name="_Toc98233772"/>
      <w:bookmarkStart w:id="11149" w:name="_Toc56641041"/>
      <w:bookmarkStart w:id="11150" w:name="_Toc83233159"/>
      <w:bookmarkStart w:id="11151" w:name="_Toc70550706"/>
      <w:bookmarkStart w:id="11152" w:name="_Toc85553086"/>
      <w:bookmarkStart w:id="11153" w:name="_Toc36102530"/>
      <w:bookmarkStart w:id="11154" w:name="_Toc34266359"/>
      <w:bookmarkStart w:id="11155" w:name="_Toc59018009"/>
      <w:bookmarkStart w:id="11156" w:name="_Toc136562547"/>
      <w:bookmarkStart w:id="11157" w:name="_Toc88667695"/>
      <w:bookmarkStart w:id="11158" w:name="_Toc113031808"/>
      <w:bookmarkStart w:id="11159" w:name="_Toc85557185"/>
      <w:bookmarkStart w:id="11160" w:name="_Toc45134120"/>
      <w:bookmarkStart w:id="11161" w:name="_Toc104539145"/>
      <w:bookmarkStart w:id="11162" w:name="_Toc112951268"/>
      <w:bookmarkStart w:id="11163" w:name="_Toc68169038"/>
      <w:bookmarkStart w:id="11164" w:name="_Toc66231877"/>
      <w:bookmarkStart w:id="11165" w:name="_Toc90655980"/>
      <w:bookmarkStart w:id="11166" w:name="_Toc120702448"/>
      <w:bookmarkStart w:id="11167" w:name="_Toc50032052"/>
      <w:bookmarkStart w:id="11168" w:name="_Toc101244550"/>
      <w:bookmarkStart w:id="11169" w:name="_Toc51762972"/>
      <w:bookmarkStart w:id="11170" w:name="_Toc43563574"/>
      <w:bookmarkStart w:id="11171" w:name="_Toc28012873"/>
      <w:bookmarkStart w:id="11172" w:name="_Toc145705876"/>
      <w:bookmarkStart w:id="11173" w:name="_Toc138754381"/>
      <w:bookmarkStart w:id="11174" w:name="_Toc148522786"/>
      <w:bookmarkStart w:id="11175" w:name="_Toc94064385"/>
      <w:bookmarkStart w:id="11176" w:name="_Toc114133947"/>
      <w:bookmarkStart w:id="11177" w:name="_Toc164920975"/>
      <w:bookmarkStart w:id="11178" w:name="_Toc170120517"/>
      <w:bookmarkStart w:id="11179" w:name="_Toc175858762"/>
      <w:bookmarkStart w:id="11180" w:name="_Toc175859835"/>
      <w:bookmarkStart w:id="11181" w:name="_Toc180606125"/>
      <w:bookmarkStart w:id="11182" w:name="_Toc185517386"/>
      <w:bookmarkStart w:id="11183" w:name="_Toc191576438"/>
      <w:bookmarkStart w:id="11184" w:name="_Toc191577178"/>
      <w:bookmarkStart w:id="11185" w:name="_Toc192880248"/>
      <w:bookmarkStart w:id="11186" w:name="_Toc195815137"/>
      <w:bookmarkStart w:id="11187" w:name="_Toc199453104"/>
      <w:r>
        <w:t>5.2.6.3.2</w:t>
      </w:r>
      <w:r>
        <w:tab/>
        <w:t>Simple data types</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1BCEF6E1" w14:textId="77777777" w:rsidR="00A10B25" w:rsidRDefault="00A10B25">
      <w:r>
        <w:t>The simple data types defined in table 5.2.6.3.2-1 shall be supported.</w:t>
      </w:r>
    </w:p>
    <w:p w14:paraId="6DE1E0AA" w14:textId="77777777" w:rsidR="00A10B25" w:rsidRDefault="00A10B25">
      <w:pPr>
        <w:pStyle w:val="TH"/>
      </w:pPr>
      <w:r>
        <w:t>Table 5.2.6.3.2-1: Simple data types</w:t>
      </w:r>
    </w:p>
    <w:tbl>
      <w:tblPr>
        <w:tblW w:w="48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A10B25" w14:paraId="29DDBED8" w14:textId="77777777">
        <w:trPr>
          <w:jc w:val="center"/>
        </w:trPr>
        <w:tc>
          <w:tcPr>
            <w:tcW w:w="1185" w:type="pct"/>
            <w:shd w:val="clear" w:color="000000" w:fill="C0C0C0"/>
            <w:tcMar>
              <w:top w:w="0" w:type="dxa"/>
              <w:left w:w="108" w:type="dxa"/>
              <w:bottom w:w="0" w:type="dxa"/>
              <w:right w:w="108" w:type="dxa"/>
            </w:tcMar>
          </w:tcPr>
          <w:p w14:paraId="0D74CC2D" w14:textId="77777777" w:rsidR="00A10B25" w:rsidRDefault="00A10B25">
            <w:pPr>
              <w:pStyle w:val="TAH"/>
            </w:pPr>
            <w:r>
              <w:t>Type Name</w:t>
            </w:r>
          </w:p>
        </w:tc>
        <w:tc>
          <w:tcPr>
            <w:tcW w:w="1232" w:type="pct"/>
            <w:shd w:val="clear" w:color="000000" w:fill="C0C0C0"/>
            <w:tcMar>
              <w:top w:w="0" w:type="dxa"/>
              <w:left w:w="108" w:type="dxa"/>
              <w:bottom w:w="0" w:type="dxa"/>
              <w:right w:w="108" w:type="dxa"/>
            </w:tcMar>
          </w:tcPr>
          <w:p w14:paraId="54C99BE9" w14:textId="77777777" w:rsidR="00A10B25" w:rsidRDefault="00A10B25">
            <w:pPr>
              <w:pStyle w:val="TAH"/>
            </w:pPr>
            <w:r>
              <w:t>Type Definition</w:t>
            </w:r>
          </w:p>
        </w:tc>
        <w:tc>
          <w:tcPr>
            <w:tcW w:w="1872" w:type="pct"/>
            <w:shd w:val="clear" w:color="000000" w:fill="C0C0C0"/>
          </w:tcPr>
          <w:p w14:paraId="556F1103" w14:textId="77777777" w:rsidR="00A10B25" w:rsidRDefault="00A10B25">
            <w:pPr>
              <w:pStyle w:val="TAH"/>
            </w:pPr>
            <w:r>
              <w:t>Description</w:t>
            </w:r>
          </w:p>
        </w:tc>
        <w:tc>
          <w:tcPr>
            <w:tcW w:w="711" w:type="pct"/>
            <w:shd w:val="clear" w:color="000000" w:fill="C0C0C0"/>
          </w:tcPr>
          <w:p w14:paraId="20EC71FD" w14:textId="77777777" w:rsidR="00A10B25" w:rsidRDefault="00A10B25">
            <w:pPr>
              <w:pStyle w:val="TAH"/>
            </w:pPr>
            <w:r>
              <w:t>Applicability</w:t>
            </w:r>
          </w:p>
        </w:tc>
      </w:tr>
      <w:tr w:rsidR="00A10B25" w14:paraId="100AC01E" w14:textId="77777777">
        <w:trPr>
          <w:jc w:val="center"/>
        </w:trPr>
        <w:tc>
          <w:tcPr>
            <w:tcW w:w="1185" w:type="pct"/>
            <w:tcMar>
              <w:top w:w="0" w:type="dxa"/>
              <w:left w:w="108" w:type="dxa"/>
              <w:bottom w:w="0" w:type="dxa"/>
              <w:right w:w="108" w:type="dxa"/>
            </w:tcMar>
          </w:tcPr>
          <w:p w14:paraId="3AEF2655" w14:textId="77777777" w:rsidR="00A10B25" w:rsidRDefault="00A10B25">
            <w:pPr>
              <w:pStyle w:val="TAL"/>
            </w:pPr>
            <w:r>
              <w:t>n/a</w:t>
            </w:r>
          </w:p>
        </w:tc>
        <w:tc>
          <w:tcPr>
            <w:tcW w:w="1232" w:type="pct"/>
            <w:tcMar>
              <w:top w:w="0" w:type="dxa"/>
              <w:left w:w="108" w:type="dxa"/>
              <w:bottom w:w="0" w:type="dxa"/>
              <w:right w:w="108" w:type="dxa"/>
            </w:tcMar>
          </w:tcPr>
          <w:p w14:paraId="039E57C2" w14:textId="77777777" w:rsidR="00A10B25" w:rsidRDefault="00A10B25">
            <w:pPr>
              <w:pStyle w:val="TAL"/>
            </w:pPr>
          </w:p>
        </w:tc>
        <w:tc>
          <w:tcPr>
            <w:tcW w:w="1872" w:type="pct"/>
          </w:tcPr>
          <w:p w14:paraId="6C996EE3" w14:textId="77777777" w:rsidR="00A10B25" w:rsidRDefault="00A10B25">
            <w:pPr>
              <w:pStyle w:val="TAL"/>
            </w:pPr>
          </w:p>
        </w:tc>
        <w:tc>
          <w:tcPr>
            <w:tcW w:w="711" w:type="pct"/>
          </w:tcPr>
          <w:p w14:paraId="553FEA42" w14:textId="77777777" w:rsidR="00A10B25" w:rsidRDefault="00A10B25">
            <w:pPr>
              <w:pStyle w:val="TAL"/>
            </w:pPr>
          </w:p>
        </w:tc>
      </w:tr>
    </w:tbl>
    <w:p w14:paraId="07790616" w14:textId="77777777" w:rsidR="00A10B25" w:rsidRDefault="00A10B25"/>
    <w:p w14:paraId="48EB1C89" w14:textId="77777777" w:rsidR="00A10B25" w:rsidRDefault="00A10B25">
      <w:pPr>
        <w:pStyle w:val="5"/>
      </w:pPr>
      <w:bookmarkStart w:id="11188" w:name="_Toc120702449"/>
      <w:bookmarkStart w:id="11189" w:name="_Toc90655981"/>
      <w:bookmarkStart w:id="11190" w:name="_Toc101244551"/>
      <w:bookmarkStart w:id="11191" w:name="_Toc56641042"/>
      <w:bookmarkStart w:id="11192" w:name="_Toc104539146"/>
      <w:bookmarkStart w:id="11193" w:name="_Toc113031809"/>
      <w:bookmarkStart w:id="11194" w:name="_Toc68169039"/>
      <w:bookmarkStart w:id="11195" w:name="_Toc98233773"/>
      <w:bookmarkStart w:id="11196" w:name="_Toc59018010"/>
      <w:bookmarkStart w:id="11197" w:name="_Toc85553087"/>
      <w:bookmarkStart w:id="11198" w:name="_Toc85557186"/>
      <w:bookmarkStart w:id="11199" w:name="_Toc88667696"/>
      <w:bookmarkStart w:id="11200" w:name="_Toc112951269"/>
      <w:bookmarkStart w:id="11201" w:name="_Toc66231878"/>
      <w:bookmarkStart w:id="11202" w:name="_Toc50032053"/>
      <w:bookmarkStart w:id="11203" w:name="_Toc28012874"/>
      <w:bookmarkStart w:id="11204" w:name="_Toc83233160"/>
      <w:bookmarkStart w:id="11205" w:name="_Toc34266360"/>
      <w:bookmarkStart w:id="11206" w:name="_Toc148522787"/>
      <w:bookmarkStart w:id="11207" w:name="_Toc45134121"/>
      <w:bookmarkStart w:id="11208" w:name="_Toc94064386"/>
      <w:bookmarkStart w:id="11209" w:name="_Toc43563575"/>
      <w:bookmarkStart w:id="11210" w:name="_Toc114133948"/>
      <w:bookmarkStart w:id="11211" w:name="_Toc136562548"/>
      <w:bookmarkStart w:id="11212" w:name="_Toc36102531"/>
      <w:bookmarkStart w:id="11213" w:name="_Toc145705877"/>
      <w:bookmarkStart w:id="11214" w:name="_Toc70550707"/>
      <w:bookmarkStart w:id="11215" w:name="_Toc138754382"/>
      <w:bookmarkStart w:id="11216" w:name="_Toc51762973"/>
      <w:bookmarkStart w:id="11217" w:name="_Toc164920976"/>
      <w:bookmarkStart w:id="11218" w:name="_Toc170120518"/>
      <w:bookmarkStart w:id="11219" w:name="_Toc175858763"/>
      <w:bookmarkStart w:id="11220" w:name="_Toc175859836"/>
      <w:bookmarkStart w:id="11221" w:name="_Toc180606126"/>
      <w:bookmarkStart w:id="11222" w:name="_Toc185517387"/>
      <w:bookmarkStart w:id="11223" w:name="_Toc191576439"/>
      <w:bookmarkStart w:id="11224" w:name="_Toc191577179"/>
      <w:bookmarkStart w:id="11225" w:name="_Toc192880249"/>
      <w:bookmarkStart w:id="11226" w:name="_Toc195815138"/>
      <w:bookmarkStart w:id="11227" w:name="_Toc199453105"/>
      <w:r>
        <w:lastRenderedPageBreak/>
        <w:t>5.2.6.3.3</w:t>
      </w:r>
      <w:r>
        <w:tab/>
        <w:t>Enumeration: EventId</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7EB2837D" w14:textId="77777777" w:rsidR="00A10B25" w:rsidRDefault="00A10B25">
      <w:pPr>
        <w:pStyle w:val="TH"/>
      </w:pPr>
      <w:r>
        <w:t>Table 5.2.6.3.3-1: Enumeration EventId</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889"/>
        <w:gridCol w:w="3356"/>
        <w:gridCol w:w="2277"/>
      </w:tblGrid>
      <w:tr w:rsidR="00A10B25" w14:paraId="78088621" w14:textId="77777777">
        <w:tc>
          <w:tcPr>
            <w:tcW w:w="1703" w:type="pct"/>
            <w:shd w:val="clear" w:color="auto" w:fill="C0C0C0"/>
            <w:tcMar>
              <w:top w:w="0" w:type="dxa"/>
              <w:left w:w="108" w:type="dxa"/>
              <w:bottom w:w="0" w:type="dxa"/>
              <w:right w:w="108" w:type="dxa"/>
            </w:tcMar>
          </w:tcPr>
          <w:p w14:paraId="216B5CCE" w14:textId="77777777" w:rsidR="00A10B25" w:rsidRDefault="00A10B25">
            <w:pPr>
              <w:pStyle w:val="TAH"/>
            </w:pPr>
            <w:r>
              <w:t>Enumeration value</w:t>
            </w:r>
          </w:p>
        </w:tc>
        <w:tc>
          <w:tcPr>
            <w:tcW w:w="1977" w:type="pct"/>
            <w:shd w:val="clear" w:color="auto" w:fill="C0C0C0"/>
            <w:tcMar>
              <w:top w:w="0" w:type="dxa"/>
              <w:left w:w="108" w:type="dxa"/>
              <w:bottom w:w="0" w:type="dxa"/>
              <w:right w:w="108" w:type="dxa"/>
            </w:tcMar>
          </w:tcPr>
          <w:p w14:paraId="2ED41132" w14:textId="77777777" w:rsidR="00A10B25" w:rsidRDefault="00A10B25">
            <w:pPr>
              <w:pStyle w:val="TAH"/>
            </w:pPr>
            <w:r>
              <w:t>Description</w:t>
            </w:r>
          </w:p>
        </w:tc>
        <w:tc>
          <w:tcPr>
            <w:tcW w:w="1320" w:type="pct"/>
            <w:shd w:val="clear" w:color="auto" w:fill="C0C0C0"/>
          </w:tcPr>
          <w:p w14:paraId="18A47426" w14:textId="77777777" w:rsidR="00A10B25" w:rsidRDefault="00A10B25">
            <w:pPr>
              <w:pStyle w:val="TAH"/>
            </w:pPr>
            <w:r>
              <w:t>Applicability</w:t>
            </w:r>
          </w:p>
        </w:tc>
      </w:tr>
      <w:tr w:rsidR="00A10B25" w14:paraId="0527E4DB" w14:textId="77777777">
        <w:tc>
          <w:tcPr>
            <w:tcW w:w="1703" w:type="pct"/>
            <w:tcMar>
              <w:top w:w="0" w:type="dxa"/>
              <w:left w:w="108" w:type="dxa"/>
              <w:bottom w:w="0" w:type="dxa"/>
              <w:right w:w="108" w:type="dxa"/>
            </w:tcMar>
          </w:tcPr>
          <w:p w14:paraId="7A0EA642" w14:textId="77777777" w:rsidR="00A10B25" w:rsidRDefault="00A10B25">
            <w:pPr>
              <w:pStyle w:val="TAL"/>
            </w:pPr>
            <w:r>
              <w:rPr>
                <w:lang w:eastAsia="zh-CN"/>
              </w:rPr>
              <w:t>E2E_DATA_VOL_TRANS_TIME</w:t>
            </w:r>
          </w:p>
        </w:tc>
        <w:tc>
          <w:tcPr>
            <w:tcW w:w="1977" w:type="pct"/>
            <w:tcMar>
              <w:top w:w="0" w:type="dxa"/>
              <w:left w:w="108" w:type="dxa"/>
              <w:bottom w:w="0" w:type="dxa"/>
              <w:right w:w="108" w:type="dxa"/>
            </w:tcMar>
          </w:tcPr>
          <w:p w14:paraId="1F0D1F00" w14:textId="77777777" w:rsidR="00A10B25" w:rsidRDefault="00A10B25">
            <w:pPr>
              <w:pStyle w:val="TAL"/>
            </w:pPr>
            <w:r>
              <w:t xml:space="preserve">Represents the analytics of </w:t>
            </w:r>
            <w:r>
              <w:rPr>
                <w:lang w:eastAsia="ko-KR"/>
              </w:rPr>
              <w:t>E2E data volume transfer time</w:t>
            </w:r>
            <w:r>
              <w:t>.</w:t>
            </w:r>
          </w:p>
        </w:tc>
        <w:tc>
          <w:tcPr>
            <w:tcW w:w="1320" w:type="pct"/>
          </w:tcPr>
          <w:p w14:paraId="556B0190" w14:textId="77777777" w:rsidR="00A10B25" w:rsidRDefault="00A10B25">
            <w:pPr>
              <w:pStyle w:val="TAL"/>
            </w:pPr>
            <w:r>
              <w:rPr>
                <w:lang w:eastAsia="zh-CN"/>
              </w:rPr>
              <w:t>E2eDataVolTransTime</w:t>
            </w:r>
          </w:p>
        </w:tc>
      </w:tr>
      <w:tr w:rsidR="00A10B25" w14:paraId="5A6E6A1A" w14:textId="77777777">
        <w:tc>
          <w:tcPr>
            <w:tcW w:w="1703" w:type="pct"/>
            <w:tcMar>
              <w:top w:w="0" w:type="dxa"/>
              <w:left w:w="108" w:type="dxa"/>
              <w:bottom w:w="0" w:type="dxa"/>
              <w:right w:w="108" w:type="dxa"/>
            </w:tcMar>
          </w:tcPr>
          <w:p w14:paraId="66835C7B" w14:textId="77777777" w:rsidR="00A10B25" w:rsidRDefault="00A10B25">
            <w:pPr>
              <w:pStyle w:val="TAL"/>
            </w:pPr>
            <w:r>
              <w:t>LOAD_LEVEL_INFORMATION</w:t>
            </w:r>
          </w:p>
        </w:tc>
        <w:tc>
          <w:tcPr>
            <w:tcW w:w="1977" w:type="pct"/>
            <w:tcMar>
              <w:top w:w="0" w:type="dxa"/>
              <w:left w:w="108" w:type="dxa"/>
              <w:bottom w:w="0" w:type="dxa"/>
              <w:right w:w="108" w:type="dxa"/>
            </w:tcMar>
          </w:tcPr>
          <w:p w14:paraId="587FB9FE" w14:textId="77777777" w:rsidR="00A10B25" w:rsidRDefault="00A10B25">
            <w:pPr>
              <w:pStyle w:val="TAL"/>
            </w:pPr>
            <w:r>
              <w:t>Represents the analytics of load level information of corresponding network slice.</w:t>
            </w:r>
          </w:p>
        </w:tc>
        <w:tc>
          <w:tcPr>
            <w:tcW w:w="1320" w:type="pct"/>
          </w:tcPr>
          <w:p w14:paraId="370F20E9" w14:textId="77777777" w:rsidR="00A10B25" w:rsidRDefault="00A10B25">
            <w:pPr>
              <w:pStyle w:val="TAL"/>
            </w:pPr>
          </w:p>
        </w:tc>
      </w:tr>
      <w:tr w:rsidR="00A10B25" w14:paraId="3D81549B" w14:textId="77777777">
        <w:tc>
          <w:tcPr>
            <w:tcW w:w="1703" w:type="pct"/>
            <w:tcMar>
              <w:top w:w="0" w:type="dxa"/>
              <w:left w:w="108" w:type="dxa"/>
              <w:bottom w:w="0" w:type="dxa"/>
              <w:right w:w="108" w:type="dxa"/>
            </w:tcMar>
          </w:tcPr>
          <w:p w14:paraId="58E95105" w14:textId="77777777" w:rsidR="00A10B25" w:rsidRDefault="00A10B25">
            <w:pPr>
              <w:pStyle w:val="TAL"/>
            </w:pPr>
            <w:r>
              <w:t>NETWORK_PERFORMANCE</w:t>
            </w:r>
          </w:p>
        </w:tc>
        <w:tc>
          <w:tcPr>
            <w:tcW w:w="1977" w:type="pct"/>
            <w:tcMar>
              <w:top w:w="0" w:type="dxa"/>
              <w:left w:w="108" w:type="dxa"/>
              <w:bottom w:w="0" w:type="dxa"/>
              <w:right w:w="108" w:type="dxa"/>
            </w:tcMar>
          </w:tcPr>
          <w:p w14:paraId="09D60409" w14:textId="77777777" w:rsidR="00A10B25" w:rsidRDefault="00A10B25">
            <w:pPr>
              <w:pStyle w:val="TAL"/>
              <w:rPr>
                <w:lang w:eastAsia="zh-CN"/>
              </w:rPr>
            </w:pPr>
            <w:r>
              <w:t>Represents the analytics of network performance information</w:t>
            </w:r>
          </w:p>
        </w:tc>
        <w:tc>
          <w:tcPr>
            <w:tcW w:w="1320" w:type="pct"/>
          </w:tcPr>
          <w:p w14:paraId="7265913A" w14:textId="77777777" w:rsidR="00A10B25" w:rsidRDefault="00A10B25">
            <w:pPr>
              <w:pStyle w:val="TAL"/>
            </w:pPr>
            <w:r>
              <w:t>NetworkPerformance</w:t>
            </w:r>
          </w:p>
        </w:tc>
      </w:tr>
      <w:tr w:rsidR="00A10B25" w14:paraId="0F2C89A8" w14:textId="77777777">
        <w:tc>
          <w:tcPr>
            <w:tcW w:w="1703" w:type="pct"/>
            <w:tcMar>
              <w:top w:w="0" w:type="dxa"/>
              <w:left w:w="108" w:type="dxa"/>
              <w:bottom w:w="0" w:type="dxa"/>
              <w:right w:w="108" w:type="dxa"/>
            </w:tcMar>
          </w:tcPr>
          <w:p w14:paraId="2597A5F0" w14:textId="77777777" w:rsidR="00A10B25" w:rsidRDefault="00A10B25">
            <w:pPr>
              <w:pStyle w:val="TAL"/>
            </w:pPr>
            <w:r>
              <w:t>NF_LOAD</w:t>
            </w:r>
          </w:p>
        </w:tc>
        <w:tc>
          <w:tcPr>
            <w:tcW w:w="1977" w:type="pct"/>
            <w:tcMar>
              <w:top w:w="0" w:type="dxa"/>
              <w:left w:w="108" w:type="dxa"/>
              <w:bottom w:w="0" w:type="dxa"/>
              <w:right w:w="108" w:type="dxa"/>
            </w:tcMar>
          </w:tcPr>
          <w:p w14:paraId="45C5A3AE" w14:textId="77777777" w:rsidR="00A10B25" w:rsidRDefault="00A10B25">
            <w:pPr>
              <w:pStyle w:val="TAL"/>
            </w:pPr>
            <w:r>
              <w:t>Represents the analytics of NF Load information.</w:t>
            </w:r>
          </w:p>
        </w:tc>
        <w:tc>
          <w:tcPr>
            <w:tcW w:w="1320" w:type="pct"/>
          </w:tcPr>
          <w:p w14:paraId="4A252C97" w14:textId="77777777" w:rsidR="00A10B25" w:rsidRDefault="00A10B25">
            <w:pPr>
              <w:pStyle w:val="TAL"/>
            </w:pPr>
            <w:r>
              <w:t>NfLoad</w:t>
            </w:r>
          </w:p>
        </w:tc>
      </w:tr>
      <w:tr w:rsidR="00A10B25" w14:paraId="5397AC60" w14:textId="77777777">
        <w:tc>
          <w:tcPr>
            <w:tcW w:w="1703" w:type="pct"/>
            <w:tcMar>
              <w:top w:w="0" w:type="dxa"/>
              <w:left w:w="108" w:type="dxa"/>
              <w:bottom w:w="0" w:type="dxa"/>
              <w:right w:w="108" w:type="dxa"/>
            </w:tcMar>
          </w:tcPr>
          <w:p w14:paraId="3AA99B9E" w14:textId="77777777" w:rsidR="00A10B25" w:rsidRDefault="00A10B25">
            <w:pPr>
              <w:pStyle w:val="TAL"/>
              <w:rPr>
                <w:rFonts w:hint="eastAsia"/>
                <w:lang w:eastAsia="zh-CN"/>
              </w:rPr>
            </w:pPr>
            <w:r>
              <w:rPr>
                <w:lang w:eastAsia="zh-CN"/>
              </w:rPr>
              <w:t>QOS_SUSTAINABILITY</w:t>
            </w:r>
          </w:p>
        </w:tc>
        <w:tc>
          <w:tcPr>
            <w:tcW w:w="1977" w:type="pct"/>
            <w:tcMar>
              <w:top w:w="0" w:type="dxa"/>
              <w:left w:w="108" w:type="dxa"/>
              <w:bottom w:w="0" w:type="dxa"/>
              <w:right w:w="108" w:type="dxa"/>
            </w:tcMar>
          </w:tcPr>
          <w:p w14:paraId="17C3CEF9" w14:textId="77777777" w:rsidR="00A10B25" w:rsidRDefault="00A10B25">
            <w:pPr>
              <w:pStyle w:val="TAL"/>
              <w:rPr>
                <w:rFonts w:hint="eastAsia"/>
                <w:lang w:eastAsia="zh-CN"/>
              </w:rPr>
            </w:pPr>
            <w:r>
              <w:rPr>
                <w:rFonts w:hint="eastAsia"/>
                <w:lang w:eastAsia="zh-CN"/>
              </w:rPr>
              <w:t>R</w:t>
            </w:r>
            <w:r>
              <w:rPr>
                <w:lang w:eastAsia="zh-CN"/>
              </w:rPr>
              <w:t>epresents the analytics of QoS sustainability in the certain area.</w:t>
            </w:r>
          </w:p>
        </w:tc>
        <w:tc>
          <w:tcPr>
            <w:tcW w:w="1320" w:type="pct"/>
          </w:tcPr>
          <w:p w14:paraId="4DE7E060" w14:textId="77777777" w:rsidR="00A10B25" w:rsidRDefault="00A10B25">
            <w:pPr>
              <w:pStyle w:val="TAL"/>
            </w:pPr>
            <w:r>
              <w:rPr>
                <w:rFonts w:eastAsia="Batang"/>
              </w:rPr>
              <w:t>QoSSustainability</w:t>
            </w:r>
          </w:p>
        </w:tc>
      </w:tr>
      <w:tr w:rsidR="00A10B25" w14:paraId="62DE7509" w14:textId="77777777">
        <w:tc>
          <w:tcPr>
            <w:tcW w:w="1703" w:type="pct"/>
            <w:tcMar>
              <w:top w:w="0" w:type="dxa"/>
              <w:left w:w="108" w:type="dxa"/>
              <w:bottom w:w="0" w:type="dxa"/>
              <w:right w:w="108" w:type="dxa"/>
            </w:tcMar>
          </w:tcPr>
          <w:p w14:paraId="7CBCAF1F" w14:textId="77777777" w:rsidR="00A10B25" w:rsidRDefault="00A10B25">
            <w:pPr>
              <w:pStyle w:val="TAL"/>
            </w:pPr>
            <w:r>
              <w:rPr>
                <w:rFonts w:hint="eastAsia"/>
                <w:lang w:eastAsia="zh-CN"/>
              </w:rPr>
              <w:t>S</w:t>
            </w:r>
            <w:r>
              <w:rPr>
                <w:lang w:eastAsia="zh-CN"/>
              </w:rPr>
              <w:t>ERVICE_EXPERIENCE</w:t>
            </w:r>
          </w:p>
        </w:tc>
        <w:tc>
          <w:tcPr>
            <w:tcW w:w="1977" w:type="pct"/>
            <w:tcMar>
              <w:top w:w="0" w:type="dxa"/>
              <w:left w:w="108" w:type="dxa"/>
              <w:bottom w:w="0" w:type="dxa"/>
              <w:right w:w="108" w:type="dxa"/>
            </w:tcMar>
          </w:tcPr>
          <w:p w14:paraId="6D9726B4" w14:textId="77777777" w:rsidR="00A10B25" w:rsidRDefault="00A10B25">
            <w:pPr>
              <w:pStyle w:val="TAL"/>
            </w:pPr>
            <w:r>
              <w:rPr>
                <w:rFonts w:hint="eastAsia"/>
                <w:lang w:eastAsia="zh-CN"/>
              </w:rPr>
              <w:t>R</w:t>
            </w:r>
            <w:r>
              <w:rPr>
                <w:lang w:eastAsia="zh-CN"/>
              </w:rPr>
              <w:t>epresents the analytics of service experience of corresponding application</w:t>
            </w:r>
            <w:r>
              <w:t xml:space="preserve"> </w:t>
            </w:r>
            <w:r>
              <w:rPr>
                <w:lang w:eastAsia="zh-CN"/>
              </w:rPr>
              <w:t>and/or network slice.</w:t>
            </w:r>
          </w:p>
        </w:tc>
        <w:tc>
          <w:tcPr>
            <w:tcW w:w="1320" w:type="pct"/>
          </w:tcPr>
          <w:p w14:paraId="5AB4BDB3" w14:textId="77777777" w:rsidR="00A10B25" w:rsidRDefault="00A10B25">
            <w:pPr>
              <w:pStyle w:val="TAL"/>
            </w:pPr>
            <w:r>
              <w:t>ServiceExperience</w:t>
            </w:r>
          </w:p>
        </w:tc>
      </w:tr>
      <w:tr w:rsidR="00A10B25" w14:paraId="0C82B472" w14:textId="77777777">
        <w:tc>
          <w:tcPr>
            <w:tcW w:w="1703" w:type="pct"/>
            <w:tcMar>
              <w:top w:w="0" w:type="dxa"/>
              <w:left w:w="108" w:type="dxa"/>
              <w:bottom w:w="0" w:type="dxa"/>
              <w:right w:w="108" w:type="dxa"/>
            </w:tcMar>
          </w:tcPr>
          <w:p w14:paraId="0B3CC186" w14:textId="77777777" w:rsidR="00A10B25" w:rsidRDefault="00A10B25">
            <w:pPr>
              <w:pStyle w:val="TAL"/>
            </w:pPr>
            <w:r>
              <w:t>UE_MOBILITY</w:t>
            </w:r>
          </w:p>
        </w:tc>
        <w:tc>
          <w:tcPr>
            <w:tcW w:w="1977" w:type="pct"/>
            <w:tcMar>
              <w:top w:w="0" w:type="dxa"/>
              <w:left w:w="108" w:type="dxa"/>
              <w:bottom w:w="0" w:type="dxa"/>
              <w:right w:w="108" w:type="dxa"/>
            </w:tcMar>
          </w:tcPr>
          <w:p w14:paraId="34D8F0B2" w14:textId="77777777" w:rsidR="00A10B25" w:rsidRDefault="00A10B25">
            <w:pPr>
              <w:pStyle w:val="TAL"/>
            </w:pPr>
            <w:r>
              <w:rPr>
                <w:lang w:eastAsia="zh-CN"/>
              </w:rPr>
              <w:t>Represents the analytics of UE mobility.</w:t>
            </w:r>
          </w:p>
        </w:tc>
        <w:tc>
          <w:tcPr>
            <w:tcW w:w="1320" w:type="pct"/>
          </w:tcPr>
          <w:p w14:paraId="0196AD4B" w14:textId="77777777" w:rsidR="00A10B25" w:rsidRDefault="00A10B25">
            <w:pPr>
              <w:pStyle w:val="TAL"/>
            </w:pPr>
            <w:r>
              <w:t>UeMobility</w:t>
            </w:r>
          </w:p>
        </w:tc>
      </w:tr>
      <w:tr w:rsidR="00A10B25" w14:paraId="26ADFF32" w14:textId="77777777">
        <w:tc>
          <w:tcPr>
            <w:tcW w:w="1703" w:type="pct"/>
            <w:tcMar>
              <w:top w:w="0" w:type="dxa"/>
              <w:left w:w="108" w:type="dxa"/>
              <w:bottom w:w="0" w:type="dxa"/>
              <w:right w:w="108" w:type="dxa"/>
            </w:tcMar>
          </w:tcPr>
          <w:p w14:paraId="0D51349D" w14:textId="77777777" w:rsidR="00A10B25" w:rsidRDefault="00AD5F95">
            <w:pPr>
              <w:pStyle w:val="TAL"/>
            </w:pPr>
            <w:r>
              <w:t>UE_COMMUNICATION</w:t>
            </w:r>
          </w:p>
        </w:tc>
        <w:tc>
          <w:tcPr>
            <w:tcW w:w="1977" w:type="pct"/>
            <w:tcMar>
              <w:top w:w="0" w:type="dxa"/>
              <w:left w:w="108" w:type="dxa"/>
              <w:bottom w:w="0" w:type="dxa"/>
              <w:right w:w="108" w:type="dxa"/>
            </w:tcMar>
          </w:tcPr>
          <w:p w14:paraId="7F5C16AD" w14:textId="77777777" w:rsidR="00A10B25" w:rsidRDefault="00A10B25">
            <w:pPr>
              <w:pStyle w:val="TAL"/>
            </w:pPr>
            <w:r>
              <w:rPr>
                <w:lang w:eastAsia="zh-CN"/>
              </w:rPr>
              <w:t>Represents the analytics of UE communication.</w:t>
            </w:r>
          </w:p>
        </w:tc>
        <w:tc>
          <w:tcPr>
            <w:tcW w:w="1320" w:type="pct"/>
          </w:tcPr>
          <w:p w14:paraId="0ADEF6C8" w14:textId="77777777" w:rsidR="00A10B25" w:rsidRDefault="00A10B25">
            <w:pPr>
              <w:pStyle w:val="TAL"/>
            </w:pPr>
            <w:r>
              <w:t>UeCommunication</w:t>
            </w:r>
          </w:p>
        </w:tc>
      </w:tr>
      <w:tr w:rsidR="00A10B25" w14:paraId="78064E73" w14:textId="77777777">
        <w:tc>
          <w:tcPr>
            <w:tcW w:w="1703" w:type="pct"/>
            <w:tcMar>
              <w:top w:w="0" w:type="dxa"/>
              <w:left w:w="108" w:type="dxa"/>
              <w:bottom w:w="0" w:type="dxa"/>
              <w:right w:w="108" w:type="dxa"/>
            </w:tcMar>
          </w:tcPr>
          <w:p w14:paraId="7C23DEE7" w14:textId="77777777" w:rsidR="00A10B25" w:rsidRDefault="00A10B25">
            <w:pPr>
              <w:pStyle w:val="TAL"/>
            </w:pPr>
            <w:r>
              <w:t>USER_DATA_CONGESTION</w:t>
            </w:r>
          </w:p>
        </w:tc>
        <w:tc>
          <w:tcPr>
            <w:tcW w:w="1977" w:type="pct"/>
            <w:tcMar>
              <w:top w:w="0" w:type="dxa"/>
              <w:left w:w="108" w:type="dxa"/>
              <w:bottom w:w="0" w:type="dxa"/>
              <w:right w:w="108" w:type="dxa"/>
            </w:tcMar>
          </w:tcPr>
          <w:p w14:paraId="072B3789" w14:textId="77777777" w:rsidR="00A10B25" w:rsidRDefault="00A10B25">
            <w:pPr>
              <w:pStyle w:val="TAL"/>
              <w:rPr>
                <w:lang w:eastAsia="zh-CN"/>
              </w:rPr>
            </w:pPr>
            <w:r>
              <w:rPr>
                <w:lang w:eastAsia="zh-CN"/>
              </w:rPr>
              <w:t>Represents the analytics of the user data congestion in the certain area.</w:t>
            </w:r>
          </w:p>
        </w:tc>
        <w:tc>
          <w:tcPr>
            <w:tcW w:w="1320" w:type="pct"/>
          </w:tcPr>
          <w:p w14:paraId="1FFE40BD" w14:textId="77777777" w:rsidR="00A10B25" w:rsidRDefault="00A10B25">
            <w:pPr>
              <w:pStyle w:val="TAL"/>
            </w:pPr>
            <w:r>
              <w:t>UserDataCongestion</w:t>
            </w:r>
          </w:p>
        </w:tc>
      </w:tr>
      <w:tr w:rsidR="00A10B25" w14:paraId="0F8F7220" w14:textId="77777777">
        <w:tc>
          <w:tcPr>
            <w:tcW w:w="1703" w:type="pct"/>
            <w:tcMar>
              <w:top w:w="0" w:type="dxa"/>
              <w:left w:w="108" w:type="dxa"/>
              <w:bottom w:w="0" w:type="dxa"/>
              <w:right w:w="108" w:type="dxa"/>
            </w:tcMar>
          </w:tcPr>
          <w:p w14:paraId="24FC9009" w14:textId="77777777" w:rsidR="00A10B25" w:rsidRDefault="00A10B25">
            <w:pPr>
              <w:pStyle w:val="TAL"/>
            </w:pPr>
            <w:r>
              <w:t>ABNORMAL_BEHAVIOUR</w:t>
            </w:r>
          </w:p>
        </w:tc>
        <w:tc>
          <w:tcPr>
            <w:tcW w:w="1977" w:type="pct"/>
            <w:tcMar>
              <w:top w:w="0" w:type="dxa"/>
              <w:left w:w="108" w:type="dxa"/>
              <w:bottom w:w="0" w:type="dxa"/>
              <w:right w:w="108" w:type="dxa"/>
            </w:tcMar>
          </w:tcPr>
          <w:p w14:paraId="082E5F4C" w14:textId="77777777" w:rsidR="00A10B25" w:rsidRDefault="00A10B25">
            <w:pPr>
              <w:pStyle w:val="TAL"/>
              <w:rPr>
                <w:lang w:eastAsia="zh-CN"/>
              </w:rPr>
            </w:pPr>
            <w:r>
              <w:t>Represents the analytics of abnormal behaviour information.</w:t>
            </w:r>
          </w:p>
        </w:tc>
        <w:tc>
          <w:tcPr>
            <w:tcW w:w="1320" w:type="pct"/>
          </w:tcPr>
          <w:p w14:paraId="760A98A9" w14:textId="77777777" w:rsidR="00A10B25" w:rsidRDefault="00A10B25">
            <w:pPr>
              <w:pStyle w:val="TAL"/>
            </w:pPr>
            <w:r>
              <w:t>AbnormalBehaviour</w:t>
            </w:r>
          </w:p>
        </w:tc>
      </w:tr>
      <w:tr w:rsidR="00A10B25" w14:paraId="62FE1C5A" w14:textId="77777777">
        <w:tc>
          <w:tcPr>
            <w:tcW w:w="1703" w:type="pct"/>
            <w:tcMar>
              <w:top w:w="0" w:type="dxa"/>
              <w:left w:w="108" w:type="dxa"/>
              <w:bottom w:w="0" w:type="dxa"/>
              <w:right w:w="108" w:type="dxa"/>
            </w:tcMar>
          </w:tcPr>
          <w:p w14:paraId="0D19EA4E" w14:textId="77777777" w:rsidR="00A10B25" w:rsidRDefault="00A10B25">
            <w:pPr>
              <w:pStyle w:val="TAL"/>
            </w:pPr>
            <w:r>
              <w:rPr>
                <w:lang w:eastAsia="zh-CN"/>
              </w:rPr>
              <w:t>NSI_LOAD_LEVEL</w:t>
            </w:r>
          </w:p>
        </w:tc>
        <w:tc>
          <w:tcPr>
            <w:tcW w:w="1977" w:type="pct"/>
            <w:tcMar>
              <w:top w:w="0" w:type="dxa"/>
              <w:left w:w="108" w:type="dxa"/>
              <w:bottom w:w="0" w:type="dxa"/>
              <w:right w:w="108" w:type="dxa"/>
            </w:tcMar>
          </w:tcPr>
          <w:p w14:paraId="363E5A0D" w14:textId="77777777" w:rsidR="00A10B25" w:rsidRDefault="00A10B25">
            <w:pPr>
              <w:pStyle w:val="TAL"/>
            </w:pPr>
            <w:r>
              <w:rPr>
                <w:rFonts w:hint="eastAsia"/>
                <w:lang w:eastAsia="zh-CN"/>
              </w:rPr>
              <w:t>R</w:t>
            </w:r>
            <w:r>
              <w:rPr>
                <w:lang w:eastAsia="zh-CN"/>
              </w:rPr>
              <w:t xml:space="preserve">epresents the analytics of load level information of Network Slice </w:t>
            </w:r>
            <w:r>
              <w:t xml:space="preserve">and the optionally associated Network Slice </w:t>
            </w:r>
            <w:r>
              <w:rPr>
                <w:lang w:eastAsia="zh-CN"/>
              </w:rPr>
              <w:t>Instance.</w:t>
            </w:r>
          </w:p>
        </w:tc>
        <w:tc>
          <w:tcPr>
            <w:tcW w:w="1320" w:type="pct"/>
          </w:tcPr>
          <w:p w14:paraId="1111628B" w14:textId="77777777" w:rsidR="00A10B25" w:rsidRDefault="00A10B25">
            <w:pPr>
              <w:pStyle w:val="TAL"/>
            </w:pPr>
            <w:r>
              <w:rPr>
                <w:lang w:eastAsia="zh-CN"/>
              </w:rPr>
              <w:t>NsiLoad</w:t>
            </w:r>
          </w:p>
        </w:tc>
      </w:tr>
      <w:tr w:rsidR="00A10B25" w14:paraId="53FA214F" w14:textId="77777777">
        <w:tc>
          <w:tcPr>
            <w:tcW w:w="1703" w:type="pct"/>
            <w:tcMar>
              <w:top w:w="0" w:type="dxa"/>
              <w:left w:w="108" w:type="dxa"/>
              <w:bottom w:w="0" w:type="dxa"/>
              <w:right w:w="108" w:type="dxa"/>
            </w:tcMar>
          </w:tcPr>
          <w:p w14:paraId="499288D4" w14:textId="77777777" w:rsidR="00A10B25" w:rsidRDefault="00A10B25">
            <w:pPr>
              <w:pStyle w:val="TAL"/>
              <w:rPr>
                <w:lang w:eastAsia="zh-CN"/>
              </w:rPr>
            </w:pPr>
            <w:r>
              <w:rPr>
                <w:rFonts w:hint="eastAsia"/>
                <w:lang w:eastAsia="zh-CN"/>
              </w:rPr>
              <w:t>S</w:t>
            </w:r>
            <w:r>
              <w:rPr>
                <w:lang w:eastAsia="zh-CN"/>
              </w:rPr>
              <w:t>M_</w:t>
            </w:r>
            <w:r>
              <w:t>CONGESTION</w:t>
            </w:r>
          </w:p>
        </w:tc>
        <w:tc>
          <w:tcPr>
            <w:tcW w:w="1977" w:type="pct"/>
            <w:tcMar>
              <w:top w:w="0" w:type="dxa"/>
              <w:left w:w="108" w:type="dxa"/>
              <w:bottom w:w="0" w:type="dxa"/>
              <w:right w:w="108" w:type="dxa"/>
            </w:tcMar>
          </w:tcPr>
          <w:p w14:paraId="15980895" w14:textId="77777777" w:rsidR="00A10B25" w:rsidRDefault="00A10B25">
            <w:pPr>
              <w:pStyle w:val="TAL"/>
              <w:rPr>
                <w:rFonts w:hint="eastAsia"/>
                <w:lang w:eastAsia="zh-CN"/>
              </w:rPr>
            </w:pPr>
            <w:r>
              <w:rPr>
                <w:lang w:eastAsia="zh-CN"/>
              </w:rPr>
              <w:t xml:space="preserve">Represents the analytics of Session Management congestion control experience information </w:t>
            </w:r>
            <w:r>
              <w:t>for specific DNN and/or S-NSSAI</w:t>
            </w:r>
            <w:r>
              <w:rPr>
                <w:lang w:eastAsia="zh-CN"/>
              </w:rPr>
              <w:t>.</w:t>
            </w:r>
          </w:p>
        </w:tc>
        <w:tc>
          <w:tcPr>
            <w:tcW w:w="1320" w:type="pct"/>
          </w:tcPr>
          <w:p w14:paraId="048DEE43" w14:textId="77777777" w:rsidR="00A10B25" w:rsidRDefault="00A10B25">
            <w:pPr>
              <w:pStyle w:val="TAL"/>
              <w:rPr>
                <w:lang w:eastAsia="zh-CN"/>
              </w:rPr>
            </w:pPr>
            <w:r>
              <w:rPr>
                <w:rFonts w:hint="eastAsia"/>
                <w:lang w:eastAsia="zh-CN"/>
              </w:rPr>
              <w:t>S</w:t>
            </w:r>
            <w:r>
              <w:rPr>
                <w:lang w:eastAsia="zh-CN"/>
              </w:rPr>
              <w:t>MCCE</w:t>
            </w:r>
          </w:p>
        </w:tc>
      </w:tr>
      <w:tr w:rsidR="00A10B25" w14:paraId="6FE1E72F" w14:textId="77777777">
        <w:tc>
          <w:tcPr>
            <w:tcW w:w="1703" w:type="pct"/>
            <w:tcMar>
              <w:top w:w="0" w:type="dxa"/>
              <w:left w:w="108" w:type="dxa"/>
              <w:bottom w:w="0" w:type="dxa"/>
              <w:right w:w="108" w:type="dxa"/>
            </w:tcMar>
          </w:tcPr>
          <w:p w14:paraId="3DDCAA8B" w14:textId="77777777" w:rsidR="00A10B25" w:rsidRDefault="00A10B25">
            <w:pPr>
              <w:pStyle w:val="TAL"/>
              <w:rPr>
                <w:rFonts w:hint="eastAsia"/>
                <w:lang w:eastAsia="zh-CN"/>
              </w:rPr>
            </w:pPr>
            <w:r>
              <w:rPr>
                <w:rFonts w:hint="eastAsia"/>
                <w:lang w:eastAsia="zh-CN"/>
              </w:rPr>
              <w:t>D</w:t>
            </w:r>
            <w:r>
              <w:rPr>
                <w:lang w:eastAsia="zh-CN"/>
              </w:rPr>
              <w:t>N_PERFORMANCE</w:t>
            </w:r>
          </w:p>
        </w:tc>
        <w:tc>
          <w:tcPr>
            <w:tcW w:w="1977" w:type="pct"/>
            <w:tcMar>
              <w:top w:w="0" w:type="dxa"/>
              <w:left w:w="108" w:type="dxa"/>
              <w:bottom w:w="0" w:type="dxa"/>
              <w:right w:w="108" w:type="dxa"/>
            </w:tcMar>
          </w:tcPr>
          <w:p w14:paraId="55875DFA" w14:textId="77777777" w:rsidR="00A10B25" w:rsidRDefault="00A10B25">
            <w:pPr>
              <w:pStyle w:val="TAL"/>
              <w:rPr>
                <w:lang w:eastAsia="zh-CN"/>
              </w:rPr>
            </w:pPr>
            <w:r>
              <w:t>Represents the analytics of DN performance.</w:t>
            </w:r>
          </w:p>
        </w:tc>
        <w:tc>
          <w:tcPr>
            <w:tcW w:w="1320" w:type="pct"/>
          </w:tcPr>
          <w:p w14:paraId="452D2499" w14:textId="77777777" w:rsidR="00A10B25" w:rsidRDefault="00A10B25">
            <w:pPr>
              <w:pStyle w:val="TAL"/>
              <w:rPr>
                <w:rFonts w:hint="eastAsia"/>
                <w:lang w:eastAsia="zh-CN"/>
              </w:rPr>
            </w:pPr>
            <w:r>
              <w:rPr>
                <w:rFonts w:hint="eastAsia"/>
                <w:lang w:eastAsia="zh-CN"/>
              </w:rPr>
              <w:t>Dn</w:t>
            </w:r>
            <w:r>
              <w:t>Performance</w:t>
            </w:r>
          </w:p>
        </w:tc>
      </w:tr>
      <w:tr w:rsidR="00A10B25" w14:paraId="196B64B2" w14:textId="77777777">
        <w:tc>
          <w:tcPr>
            <w:tcW w:w="1703" w:type="pct"/>
            <w:tcMar>
              <w:top w:w="0" w:type="dxa"/>
              <w:left w:w="108" w:type="dxa"/>
              <w:bottom w:w="0" w:type="dxa"/>
              <w:right w:w="108" w:type="dxa"/>
            </w:tcMar>
          </w:tcPr>
          <w:p w14:paraId="486EDB9A" w14:textId="77777777" w:rsidR="00A10B25" w:rsidRDefault="00A10B25">
            <w:pPr>
              <w:pStyle w:val="TAL"/>
              <w:rPr>
                <w:rFonts w:hint="eastAsia"/>
                <w:lang w:eastAsia="zh-CN"/>
              </w:rPr>
            </w:pPr>
            <w:r>
              <w:rPr>
                <w:lang w:val="en-US" w:eastAsia="zh-CN"/>
              </w:rPr>
              <w:t>DISPERSION</w:t>
            </w:r>
          </w:p>
        </w:tc>
        <w:tc>
          <w:tcPr>
            <w:tcW w:w="1977" w:type="pct"/>
            <w:tcMar>
              <w:top w:w="0" w:type="dxa"/>
              <w:left w:w="108" w:type="dxa"/>
              <w:bottom w:w="0" w:type="dxa"/>
              <w:right w:w="108" w:type="dxa"/>
            </w:tcMar>
          </w:tcPr>
          <w:p w14:paraId="5FEB8194" w14:textId="77777777" w:rsidR="00A10B25" w:rsidRDefault="00A10B25">
            <w:pPr>
              <w:pStyle w:val="TAL"/>
            </w:pPr>
            <w:bookmarkStart w:id="11228" w:name="_Hlk90299654"/>
            <w:r>
              <w:t>Represents the analytics of dispersion.</w:t>
            </w:r>
            <w:bookmarkEnd w:id="11228"/>
          </w:p>
        </w:tc>
        <w:tc>
          <w:tcPr>
            <w:tcW w:w="1320" w:type="pct"/>
          </w:tcPr>
          <w:p w14:paraId="68D6F46A" w14:textId="77777777" w:rsidR="00A10B25" w:rsidRDefault="00A10B25">
            <w:pPr>
              <w:pStyle w:val="TAL"/>
              <w:rPr>
                <w:rFonts w:hint="eastAsia"/>
                <w:lang w:eastAsia="zh-CN"/>
              </w:rPr>
            </w:pPr>
            <w:r>
              <w:rPr>
                <w:lang w:eastAsia="zh-CN"/>
              </w:rPr>
              <w:t>Dispersion</w:t>
            </w:r>
          </w:p>
        </w:tc>
      </w:tr>
      <w:tr w:rsidR="00A10B25" w14:paraId="24D291C3" w14:textId="77777777">
        <w:tc>
          <w:tcPr>
            <w:tcW w:w="1703" w:type="pct"/>
            <w:tcMar>
              <w:top w:w="0" w:type="dxa"/>
              <w:left w:w="108" w:type="dxa"/>
              <w:bottom w:w="0" w:type="dxa"/>
              <w:right w:w="108" w:type="dxa"/>
            </w:tcMar>
          </w:tcPr>
          <w:p w14:paraId="4802C081" w14:textId="77777777" w:rsidR="00A10B25" w:rsidRDefault="00A10B25">
            <w:pPr>
              <w:pStyle w:val="TAL"/>
              <w:rPr>
                <w:lang w:val="en-US" w:eastAsia="zh-CN"/>
              </w:rPr>
            </w:pPr>
            <w:r>
              <w:rPr>
                <w:lang w:eastAsia="zh-CN"/>
              </w:rPr>
              <w:t>RED_TRANS_EXP</w:t>
            </w:r>
          </w:p>
        </w:tc>
        <w:tc>
          <w:tcPr>
            <w:tcW w:w="1977" w:type="pct"/>
            <w:tcMar>
              <w:top w:w="0" w:type="dxa"/>
              <w:left w:w="108" w:type="dxa"/>
              <w:bottom w:w="0" w:type="dxa"/>
              <w:right w:w="108" w:type="dxa"/>
            </w:tcMar>
          </w:tcPr>
          <w:p w14:paraId="2C9FE56A" w14:textId="77777777" w:rsidR="00A10B25" w:rsidRDefault="00A10B25">
            <w:pPr>
              <w:pStyle w:val="TAL"/>
            </w:pPr>
            <w:r>
              <w:t>Represents the analytics of Redundant Transmission Experience.</w:t>
            </w:r>
          </w:p>
        </w:tc>
        <w:tc>
          <w:tcPr>
            <w:tcW w:w="1320" w:type="pct"/>
          </w:tcPr>
          <w:p w14:paraId="0D30D11A" w14:textId="77777777" w:rsidR="00A10B25" w:rsidRDefault="00A10B25">
            <w:pPr>
              <w:pStyle w:val="TAL"/>
              <w:rPr>
                <w:lang w:eastAsia="zh-CN"/>
              </w:rPr>
            </w:pPr>
            <w:r>
              <w:rPr>
                <w:lang w:eastAsia="zh-CN"/>
              </w:rPr>
              <w:t>RedundantTransmissionExp</w:t>
            </w:r>
          </w:p>
        </w:tc>
      </w:tr>
      <w:tr w:rsidR="00A10B25" w14:paraId="4EDA84AC" w14:textId="77777777">
        <w:tc>
          <w:tcPr>
            <w:tcW w:w="1703" w:type="pct"/>
            <w:tcMar>
              <w:top w:w="0" w:type="dxa"/>
              <w:left w:w="108" w:type="dxa"/>
              <w:bottom w:w="0" w:type="dxa"/>
              <w:right w:w="108" w:type="dxa"/>
            </w:tcMar>
          </w:tcPr>
          <w:p w14:paraId="3D2EABF9" w14:textId="77777777" w:rsidR="00A10B25" w:rsidRDefault="00A10B25">
            <w:pPr>
              <w:pStyle w:val="TAL"/>
              <w:rPr>
                <w:lang w:eastAsia="zh-CN"/>
              </w:rPr>
            </w:pPr>
            <w:r>
              <w:rPr>
                <w:lang w:eastAsia="zh-CN"/>
              </w:rPr>
              <w:t>WLAN_PERFORMANCE</w:t>
            </w:r>
          </w:p>
        </w:tc>
        <w:tc>
          <w:tcPr>
            <w:tcW w:w="1977" w:type="pct"/>
            <w:tcMar>
              <w:top w:w="0" w:type="dxa"/>
              <w:left w:w="108" w:type="dxa"/>
              <w:bottom w:w="0" w:type="dxa"/>
              <w:right w:w="108" w:type="dxa"/>
            </w:tcMar>
          </w:tcPr>
          <w:p w14:paraId="428849E5" w14:textId="77777777" w:rsidR="00A10B25" w:rsidRDefault="00A10B25">
            <w:pPr>
              <w:pStyle w:val="TAL"/>
            </w:pPr>
            <w:r>
              <w:t>Represents the analytics of WLAN performance.</w:t>
            </w:r>
          </w:p>
        </w:tc>
        <w:tc>
          <w:tcPr>
            <w:tcW w:w="1320" w:type="pct"/>
          </w:tcPr>
          <w:p w14:paraId="0187B940" w14:textId="77777777" w:rsidR="00A10B25" w:rsidRDefault="00A10B25">
            <w:pPr>
              <w:pStyle w:val="TAL"/>
              <w:rPr>
                <w:lang w:eastAsia="zh-CN"/>
              </w:rPr>
            </w:pPr>
            <w:r>
              <w:rPr>
                <w:lang w:eastAsia="zh-CN"/>
              </w:rPr>
              <w:t>WlanPerformance</w:t>
            </w:r>
          </w:p>
        </w:tc>
      </w:tr>
      <w:tr w:rsidR="00C86FDB" w14:paraId="4BE73B40" w14:textId="77777777">
        <w:tc>
          <w:tcPr>
            <w:tcW w:w="1703" w:type="pct"/>
            <w:tcMar>
              <w:top w:w="0" w:type="dxa"/>
              <w:left w:w="108" w:type="dxa"/>
              <w:bottom w:w="0" w:type="dxa"/>
              <w:right w:w="108" w:type="dxa"/>
            </w:tcMar>
          </w:tcPr>
          <w:p w14:paraId="30208BB6" w14:textId="77777777" w:rsidR="00C86FDB" w:rsidRDefault="00C86FDB" w:rsidP="00C86FDB">
            <w:pPr>
              <w:pStyle w:val="TAL"/>
              <w:rPr>
                <w:rFonts w:hint="eastAsia"/>
                <w:lang w:eastAsia="zh-CN"/>
              </w:rPr>
            </w:pPr>
            <w:r>
              <w:rPr>
                <w:lang w:eastAsia="ja-JP"/>
              </w:rPr>
              <w:t>PDU_SESSION_TRAFFIC</w:t>
            </w:r>
          </w:p>
        </w:tc>
        <w:tc>
          <w:tcPr>
            <w:tcW w:w="1977" w:type="pct"/>
            <w:tcMar>
              <w:top w:w="0" w:type="dxa"/>
              <w:left w:w="108" w:type="dxa"/>
              <w:bottom w:w="0" w:type="dxa"/>
              <w:right w:w="108" w:type="dxa"/>
            </w:tcMar>
          </w:tcPr>
          <w:p w14:paraId="6B9C8029" w14:textId="77777777" w:rsidR="00C86FDB" w:rsidRDefault="00C86FDB" w:rsidP="00C86FDB">
            <w:pPr>
              <w:pStyle w:val="TAL"/>
            </w:pPr>
            <w:r>
              <w:t xml:space="preserve">Represents the analytics of </w:t>
            </w:r>
            <w:r>
              <w:rPr>
                <w:lang w:val="en-US"/>
              </w:rPr>
              <w:t>PDU Session traffic information.</w:t>
            </w:r>
          </w:p>
        </w:tc>
        <w:tc>
          <w:tcPr>
            <w:tcW w:w="1320" w:type="pct"/>
          </w:tcPr>
          <w:p w14:paraId="6DED83D4" w14:textId="77777777" w:rsidR="00C86FDB" w:rsidRDefault="00C86FDB" w:rsidP="00C86FDB">
            <w:pPr>
              <w:pStyle w:val="TAL"/>
              <w:rPr>
                <w:rFonts w:hint="eastAsia"/>
                <w:lang w:eastAsia="zh-CN"/>
              </w:rPr>
            </w:pPr>
            <w:r>
              <w:rPr>
                <w:lang w:eastAsia="zh-CN"/>
              </w:rPr>
              <w:t>PduSesTraffic</w:t>
            </w:r>
          </w:p>
        </w:tc>
      </w:tr>
      <w:tr w:rsidR="00C86FDB" w14:paraId="302B51C4"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D8DB00" w14:textId="77777777" w:rsidR="00C86FDB" w:rsidRDefault="00C86FDB" w:rsidP="00C86FDB">
            <w:pPr>
              <w:pStyle w:val="TAL"/>
              <w:rPr>
                <w:lang w:eastAsia="ja-JP"/>
              </w:rPr>
            </w:pPr>
            <w:r>
              <w:rPr>
                <w:lang w:eastAsia="ja-JP"/>
              </w:rPr>
              <w:t>MOVEMENT_BEHAVIOUR</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562CD3" w14:textId="77777777" w:rsidR="00C86FDB" w:rsidRDefault="00C86FDB" w:rsidP="00C86FDB">
            <w:pPr>
              <w:pStyle w:val="TAL"/>
            </w:pPr>
            <w:r>
              <w:t>Represents the analytics of Movement Behaviour information.</w:t>
            </w:r>
          </w:p>
        </w:tc>
        <w:tc>
          <w:tcPr>
            <w:tcW w:w="1320" w:type="pct"/>
            <w:tcBorders>
              <w:top w:val="single" w:sz="6" w:space="0" w:color="auto"/>
              <w:left w:val="single" w:sz="6" w:space="0" w:color="auto"/>
              <w:bottom w:val="single" w:sz="6" w:space="0" w:color="auto"/>
              <w:right w:val="single" w:sz="6" w:space="0" w:color="auto"/>
            </w:tcBorders>
          </w:tcPr>
          <w:p w14:paraId="7702595E" w14:textId="77777777" w:rsidR="00C86FDB" w:rsidRDefault="00C86FDB" w:rsidP="00C86FDB">
            <w:pPr>
              <w:pStyle w:val="TAL"/>
              <w:rPr>
                <w:lang w:eastAsia="zh-CN"/>
              </w:rPr>
            </w:pPr>
            <w:r>
              <w:rPr>
                <w:lang w:eastAsia="zh-CN"/>
              </w:rPr>
              <w:t>MovementBehaviour</w:t>
            </w:r>
          </w:p>
        </w:tc>
      </w:tr>
      <w:tr w:rsidR="00C86FDB" w14:paraId="5E4F04D6"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C8993" w14:textId="77777777" w:rsidR="00C86FDB" w:rsidRDefault="00C86FDB" w:rsidP="00C86FDB">
            <w:pPr>
              <w:pStyle w:val="TAL"/>
              <w:rPr>
                <w:lang w:eastAsia="ja-JP"/>
              </w:rPr>
            </w:pPr>
            <w:r>
              <w:rPr>
                <w:lang w:eastAsia="ja-JP"/>
              </w:rPr>
              <w:t>LOC_ACCURACY</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6676CF" w14:textId="77777777" w:rsidR="00C86FDB" w:rsidRDefault="00C86FDB" w:rsidP="00C86FDB">
            <w:pPr>
              <w:pStyle w:val="TAL"/>
            </w:pPr>
            <w:r>
              <w:rPr>
                <w:lang w:val="en-US"/>
              </w:rPr>
              <w:t>Represents the analytics of Location Accuracy.</w:t>
            </w:r>
          </w:p>
        </w:tc>
        <w:tc>
          <w:tcPr>
            <w:tcW w:w="1320" w:type="pct"/>
            <w:tcBorders>
              <w:top w:val="single" w:sz="6" w:space="0" w:color="auto"/>
              <w:left w:val="single" w:sz="6" w:space="0" w:color="auto"/>
              <w:bottom w:val="single" w:sz="6" w:space="0" w:color="auto"/>
              <w:right w:val="single" w:sz="6" w:space="0" w:color="auto"/>
            </w:tcBorders>
          </w:tcPr>
          <w:p w14:paraId="76E8DC0E" w14:textId="77777777" w:rsidR="00C86FDB" w:rsidRDefault="00C86FDB" w:rsidP="00C86FDB">
            <w:pPr>
              <w:pStyle w:val="TAL"/>
              <w:rPr>
                <w:lang w:eastAsia="zh-CN"/>
              </w:rPr>
            </w:pPr>
            <w:r>
              <w:rPr>
                <w:lang w:eastAsia="zh-CN"/>
              </w:rPr>
              <w:t>LocAccuracy</w:t>
            </w:r>
          </w:p>
        </w:tc>
      </w:tr>
      <w:tr w:rsidR="00C86FDB" w14:paraId="03BFAA1B"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8797A69" w14:textId="77777777" w:rsidR="00C86FDB" w:rsidRDefault="00C86FDB" w:rsidP="00C86FDB">
            <w:pPr>
              <w:pStyle w:val="TAL"/>
              <w:rPr>
                <w:lang w:eastAsia="ja-JP"/>
              </w:rPr>
            </w:pPr>
            <w:r>
              <w:rPr>
                <w:lang w:eastAsia="ja-JP"/>
              </w:rPr>
              <w:t>RELATIVE_PROXIMITY</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759BA82" w14:textId="77777777" w:rsidR="00C86FDB" w:rsidRDefault="00C86FDB" w:rsidP="00C86FDB">
            <w:pPr>
              <w:pStyle w:val="TAL"/>
              <w:rPr>
                <w:lang w:val="en-US"/>
              </w:rPr>
            </w:pPr>
            <w:r>
              <w:rPr>
                <w:lang w:val="en-US"/>
              </w:rPr>
              <w:t>Represents the analytics of Relative Proximity information.</w:t>
            </w:r>
          </w:p>
        </w:tc>
        <w:tc>
          <w:tcPr>
            <w:tcW w:w="1320" w:type="pct"/>
            <w:tcBorders>
              <w:top w:val="single" w:sz="6" w:space="0" w:color="auto"/>
              <w:left w:val="single" w:sz="6" w:space="0" w:color="auto"/>
              <w:bottom w:val="single" w:sz="6" w:space="0" w:color="auto"/>
              <w:right w:val="single" w:sz="6" w:space="0" w:color="auto"/>
            </w:tcBorders>
          </w:tcPr>
          <w:p w14:paraId="1854AEB9" w14:textId="77777777" w:rsidR="00C86FDB" w:rsidRDefault="00C86FDB" w:rsidP="00C86FDB">
            <w:pPr>
              <w:pStyle w:val="TAL"/>
              <w:rPr>
                <w:lang w:eastAsia="zh-CN"/>
              </w:rPr>
            </w:pPr>
            <w:r>
              <w:rPr>
                <w:lang w:eastAsia="zh-CN"/>
              </w:rPr>
              <w:t>RelativeProximity</w:t>
            </w:r>
          </w:p>
        </w:tc>
      </w:tr>
      <w:tr w:rsidR="00432DC2" w14:paraId="6FCFD219"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ED7871" w14:textId="77777777" w:rsidR="00432DC2" w:rsidRDefault="00432DC2" w:rsidP="00432DC2">
            <w:pPr>
              <w:pStyle w:val="TAL"/>
              <w:rPr>
                <w:lang w:eastAsia="ja-JP"/>
              </w:rPr>
            </w:pPr>
            <w:r>
              <w:t>SIGNALLING_STORM</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326E74" w14:textId="77777777" w:rsidR="00432DC2" w:rsidRDefault="00432DC2" w:rsidP="00432DC2">
            <w:pPr>
              <w:pStyle w:val="TAL"/>
              <w:rPr>
                <w:lang w:val="en-US"/>
              </w:rPr>
            </w:pPr>
            <w:r>
              <w:rPr>
                <w:lang w:val="en-US"/>
              </w:rPr>
              <w:t xml:space="preserve">Represents the analytics of </w:t>
            </w:r>
            <w:r>
              <w:t>S</w:t>
            </w:r>
            <w:r w:rsidRPr="001C406B">
              <w:t>ignalling</w:t>
            </w:r>
            <w:r>
              <w:t xml:space="preserve"> S</w:t>
            </w:r>
            <w:r w:rsidRPr="001C406B">
              <w:t>torm</w:t>
            </w:r>
            <w:r>
              <w:rPr>
                <w:lang w:val="en-US"/>
              </w:rPr>
              <w:t xml:space="preserve"> information.</w:t>
            </w:r>
          </w:p>
        </w:tc>
        <w:tc>
          <w:tcPr>
            <w:tcW w:w="1320" w:type="pct"/>
            <w:tcBorders>
              <w:top w:val="single" w:sz="6" w:space="0" w:color="auto"/>
              <w:left w:val="single" w:sz="6" w:space="0" w:color="auto"/>
              <w:bottom w:val="single" w:sz="6" w:space="0" w:color="auto"/>
              <w:right w:val="single" w:sz="6" w:space="0" w:color="auto"/>
            </w:tcBorders>
          </w:tcPr>
          <w:p w14:paraId="30C42518" w14:textId="77777777" w:rsidR="00432DC2" w:rsidRDefault="00432DC2" w:rsidP="00432DC2">
            <w:pPr>
              <w:pStyle w:val="TAL"/>
              <w:rPr>
                <w:lang w:eastAsia="zh-CN"/>
              </w:rPr>
            </w:pPr>
            <w:r>
              <w:t>S</w:t>
            </w:r>
            <w:r w:rsidRPr="001C406B">
              <w:t>ignalling</w:t>
            </w:r>
            <w:r>
              <w:t>S</w:t>
            </w:r>
            <w:r w:rsidRPr="001C406B">
              <w:t>torm</w:t>
            </w:r>
          </w:p>
        </w:tc>
      </w:tr>
      <w:tr w:rsidR="00CD748D" w14:paraId="14DE045D" w14:textId="77777777">
        <w:tc>
          <w:tcPr>
            <w:tcW w:w="17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BF4C2" w14:textId="77777777" w:rsidR="00CD748D" w:rsidRDefault="00CD748D" w:rsidP="00CD748D">
            <w:pPr>
              <w:pStyle w:val="TAL"/>
            </w:pPr>
            <w:r>
              <w:rPr>
                <w:lang w:eastAsia="zh-CN"/>
              </w:rPr>
              <w:t>QOS_POLICY_ASSISTANCE</w:t>
            </w:r>
          </w:p>
        </w:tc>
        <w:tc>
          <w:tcPr>
            <w:tcW w:w="19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FA96AB3" w14:textId="77777777" w:rsidR="00CD748D" w:rsidRDefault="00CD748D" w:rsidP="00CD748D">
            <w:pPr>
              <w:pStyle w:val="TAL"/>
              <w:rPr>
                <w:lang w:val="en-US"/>
              </w:rPr>
            </w:pPr>
            <w:r>
              <w:rPr>
                <w:lang w:val="en-US"/>
              </w:rPr>
              <w:t xml:space="preserve">Represents the analytics of </w:t>
            </w:r>
            <w:r>
              <w:t>QoS and Policy Assistance</w:t>
            </w:r>
            <w:r w:rsidRPr="008558A9">
              <w:t xml:space="preserve"> </w:t>
            </w:r>
            <w:r>
              <w:rPr>
                <w:lang w:val="en-US"/>
              </w:rPr>
              <w:t>information.</w:t>
            </w:r>
          </w:p>
        </w:tc>
        <w:tc>
          <w:tcPr>
            <w:tcW w:w="1320" w:type="pct"/>
            <w:tcBorders>
              <w:top w:val="single" w:sz="6" w:space="0" w:color="auto"/>
              <w:left w:val="single" w:sz="6" w:space="0" w:color="auto"/>
              <w:bottom w:val="single" w:sz="6" w:space="0" w:color="auto"/>
              <w:right w:val="single" w:sz="6" w:space="0" w:color="auto"/>
            </w:tcBorders>
          </w:tcPr>
          <w:p w14:paraId="316F4605" w14:textId="77777777" w:rsidR="00CD748D" w:rsidRDefault="00CD748D" w:rsidP="00CD748D">
            <w:pPr>
              <w:pStyle w:val="TAL"/>
            </w:pPr>
            <w:r>
              <w:rPr>
                <w:rFonts w:hint="eastAsia"/>
                <w:lang w:eastAsia="zh-CN"/>
              </w:rPr>
              <w:t>Q</w:t>
            </w:r>
            <w:r>
              <w:rPr>
                <w:lang w:eastAsia="zh-CN"/>
              </w:rPr>
              <w:t>oSPolicyAssist</w:t>
            </w:r>
          </w:p>
        </w:tc>
      </w:tr>
    </w:tbl>
    <w:p w14:paraId="245A0F65" w14:textId="77777777" w:rsidR="00A10B25" w:rsidRDefault="00A10B25">
      <w:pPr>
        <w:rPr>
          <w:lang w:val="en-US"/>
        </w:rPr>
      </w:pPr>
    </w:p>
    <w:p w14:paraId="2E0D6498" w14:textId="77777777" w:rsidR="003E1F9F" w:rsidRDefault="003E1F9F" w:rsidP="003E1F9F">
      <w:pPr>
        <w:pStyle w:val="5"/>
      </w:pPr>
      <w:bookmarkStart w:id="11229" w:name="_Toc85553088"/>
      <w:bookmarkStart w:id="11230" w:name="_Toc138754383"/>
      <w:bookmarkStart w:id="11231" w:name="_Toc88667697"/>
      <w:bookmarkStart w:id="11232" w:name="_Toc85557187"/>
      <w:bookmarkStart w:id="11233" w:name="_Toc136562549"/>
      <w:bookmarkStart w:id="11234" w:name="_Toc113031810"/>
      <w:bookmarkStart w:id="11235" w:name="_Toc98233774"/>
      <w:bookmarkStart w:id="11236" w:name="_Toc94064387"/>
      <w:bookmarkStart w:id="11237" w:name="_Toc101244552"/>
      <w:bookmarkStart w:id="11238" w:name="_Toc120702450"/>
      <w:bookmarkStart w:id="11239" w:name="_Toc114133949"/>
      <w:bookmarkStart w:id="11240" w:name="_Toc112951270"/>
      <w:bookmarkStart w:id="11241" w:name="_Toc148522788"/>
      <w:bookmarkStart w:id="11242" w:name="_Toc90655982"/>
      <w:bookmarkStart w:id="11243" w:name="_Toc104539147"/>
      <w:bookmarkStart w:id="11244" w:name="_Toc145705878"/>
      <w:bookmarkStart w:id="11245" w:name="_Toc164920977"/>
      <w:bookmarkStart w:id="11246" w:name="_Toc170120519"/>
      <w:bookmarkStart w:id="11247" w:name="_Toc175858764"/>
      <w:bookmarkStart w:id="11248" w:name="_Toc175859837"/>
      <w:bookmarkStart w:id="11249" w:name="_Toc180606127"/>
      <w:bookmarkStart w:id="11250" w:name="_Toc185517388"/>
      <w:bookmarkStart w:id="11251" w:name="_Toc191576440"/>
      <w:bookmarkStart w:id="11252" w:name="_Toc191577180"/>
      <w:bookmarkStart w:id="11253" w:name="_Toc192880250"/>
      <w:bookmarkStart w:id="11254" w:name="_Toc195815139"/>
      <w:bookmarkStart w:id="11255" w:name="_Toc199453106"/>
      <w:r>
        <w:lastRenderedPageBreak/>
        <w:t>5.2.6.3.4</w:t>
      </w:r>
      <w:r>
        <w:tab/>
        <w:t>Enumeration: ContextType</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52D8D8F5" w14:textId="77777777" w:rsidR="003E1F9F" w:rsidRDefault="003E1F9F" w:rsidP="003E1F9F">
      <w:pPr>
        <w:pStyle w:val="TH"/>
      </w:pPr>
      <w:r>
        <w:t>Table 5.2.6.3.4-1: Enumeration ContextType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171"/>
        <w:gridCol w:w="3640"/>
        <w:gridCol w:w="1711"/>
      </w:tblGrid>
      <w:tr w:rsidR="003E1F9F" w14:paraId="69D1ED91" w14:textId="77777777" w:rsidTr="005A20DD">
        <w:tc>
          <w:tcPr>
            <w:tcW w:w="1860" w:type="pct"/>
            <w:shd w:val="clear" w:color="auto" w:fill="C0C0C0"/>
            <w:tcMar>
              <w:top w:w="0" w:type="dxa"/>
              <w:left w:w="108" w:type="dxa"/>
              <w:bottom w:w="0" w:type="dxa"/>
              <w:right w:w="108" w:type="dxa"/>
            </w:tcMar>
          </w:tcPr>
          <w:p w14:paraId="6408229E" w14:textId="77777777" w:rsidR="003E1F9F" w:rsidRDefault="003E1F9F" w:rsidP="005A20DD">
            <w:pPr>
              <w:pStyle w:val="TAH"/>
              <w:ind w:left="400" w:hanging="400"/>
            </w:pPr>
            <w:r>
              <w:t>Enumeration value</w:t>
            </w:r>
          </w:p>
        </w:tc>
        <w:tc>
          <w:tcPr>
            <w:tcW w:w="2135" w:type="pct"/>
            <w:shd w:val="clear" w:color="auto" w:fill="C0C0C0"/>
            <w:tcMar>
              <w:top w:w="0" w:type="dxa"/>
              <w:left w:w="108" w:type="dxa"/>
              <w:bottom w:w="0" w:type="dxa"/>
              <w:right w:w="108" w:type="dxa"/>
            </w:tcMar>
          </w:tcPr>
          <w:p w14:paraId="2724EBA8" w14:textId="77777777" w:rsidR="003E1F9F" w:rsidRDefault="003E1F9F" w:rsidP="005A20DD">
            <w:pPr>
              <w:pStyle w:val="TAH"/>
              <w:ind w:left="400" w:hanging="400"/>
            </w:pPr>
            <w:r>
              <w:t>Description</w:t>
            </w:r>
          </w:p>
        </w:tc>
        <w:tc>
          <w:tcPr>
            <w:tcW w:w="1004" w:type="pct"/>
            <w:shd w:val="clear" w:color="auto" w:fill="C0C0C0"/>
          </w:tcPr>
          <w:p w14:paraId="4E7140DB" w14:textId="77777777" w:rsidR="003E1F9F" w:rsidRDefault="003E1F9F" w:rsidP="005A20DD">
            <w:pPr>
              <w:pStyle w:val="TAH"/>
              <w:ind w:left="400" w:hanging="400"/>
            </w:pPr>
            <w:r>
              <w:t>Applicability</w:t>
            </w:r>
          </w:p>
        </w:tc>
      </w:tr>
      <w:tr w:rsidR="003E1F9F" w14:paraId="6A63ECAB" w14:textId="77777777" w:rsidTr="005A20DD">
        <w:tc>
          <w:tcPr>
            <w:tcW w:w="1860" w:type="pct"/>
            <w:tcMar>
              <w:top w:w="0" w:type="dxa"/>
              <w:left w:w="108" w:type="dxa"/>
              <w:bottom w:w="0" w:type="dxa"/>
              <w:right w:w="108" w:type="dxa"/>
            </w:tcMar>
          </w:tcPr>
          <w:p w14:paraId="3593D5FA" w14:textId="77777777" w:rsidR="003E1F9F" w:rsidRDefault="003E1F9F" w:rsidP="005A20DD">
            <w:pPr>
              <w:pStyle w:val="TAL"/>
            </w:pPr>
            <w:r>
              <w:t>PENDING_ANALYTICS</w:t>
            </w:r>
          </w:p>
        </w:tc>
        <w:tc>
          <w:tcPr>
            <w:tcW w:w="2135" w:type="pct"/>
            <w:tcMar>
              <w:top w:w="0" w:type="dxa"/>
              <w:left w:w="108" w:type="dxa"/>
              <w:bottom w:w="0" w:type="dxa"/>
              <w:right w:w="108" w:type="dxa"/>
            </w:tcMar>
          </w:tcPr>
          <w:p w14:paraId="0384ACCB" w14:textId="77777777" w:rsidR="003E1F9F" w:rsidRDefault="003E1F9F" w:rsidP="005A20DD">
            <w:pPr>
              <w:pStyle w:val="TAL"/>
            </w:pPr>
            <w:r>
              <w:t>Represents context information that relates to pending output analytics.</w:t>
            </w:r>
          </w:p>
        </w:tc>
        <w:tc>
          <w:tcPr>
            <w:tcW w:w="1004" w:type="pct"/>
          </w:tcPr>
          <w:p w14:paraId="13E59A7A" w14:textId="77777777" w:rsidR="003E1F9F" w:rsidRDefault="003E1F9F" w:rsidP="005A20DD">
            <w:pPr>
              <w:pStyle w:val="TAL"/>
            </w:pPr>
          </w:p>
        </w:tc>
      </w:tr>
      <w:tr w:rsidR="003E1F9F" w14:paraId="0CA9E7B7" w14:textId="77777777" w:rsidTr="005A20DD">
        <w:tc>
          <w:tcPr>
            <w:tcW w:w="1860" w:type="pct"/>
            <w:tcMar>
              <w:top w:w="0" w:type="dxa"/>
              <w:left w:w="108" w:type="dxa"/>
              <w:bottom w:w="0" w:type="dxa"/>
              <w:right w:w="108" w:type="dxa"/>
            </w:tcMar>
          </w:tcPr>
          <w:p w14:paraId="167B5EB9" w14:textId="77777777" w:rsidR="003E1F9F" w:rsidRDefault="003E1F9F" w:rsidP="005A20DD">
            <w:pPr>
              <w:pStyle w:val="TAL"/>
            </w:pPr>
            <w:r>
              <w:t>HISTORICAL_ANALYTICS</w:t>
            </w:r>
          </w:p>
        </w:tc>
        <w:tc>
          <w:tcPr>
            <w:tcW w:w="2135" w:type="pct"/>
            <w:tcMar>
              <w:top w:w="0" w:type="dxa"/>
              <w:left w:w="108" w:type="dxa"/>
              <w:bottom w:w="0" w:type="dxa"/>
              <w:right w:w="108" w:type="dxa"/>
            </w:tcMar>
          </w:tcPr>
          <w:p w14:paraId="15EDA9B0" w14:textId="77777777" w:rsidR="003E1F9F" w:rsidRDefault="003E1F9F" w:rsidP="005A20DD">
            <w:pPr>
              <w:pStyle w:val="TAL"/>
              <w:rPr>
                <w:lang w:eastAsia="zh-CN"/>
              </w:rPr>
            </w:pPr>
            <w:r>
              <w:t>Represents context information that relates to historical output analytics.</w:t>
            </w:r>
          </w:p>
        </w:tc>
        <w:tc>
          <w:tcPr>
            <w:tcW w:w="1004" w:type="pct"/>
          </w:tcPr>
          <w:p w14:paraId="59938D8B" w14:textId="77777777" w:rsidR="003E1F9F" w:rsidRDefault="003E1F9F" w:rsidP="005A20DD">
            <w:pPr>
              <w:pStyle w:val="TAL"/>
            </w:pPr>
          </w:p>
        </w:tc>
      </w:tr>
      <w:tr w:rsidR="003E1F9F" w14:paraId="1A07BA7F" w14:textId="77777777" w:rsidTr="005A20DD">
        <w:tc>
          <w:tcPr>
            <w:tcW w:w="1860" w:type="pct"/>
            <w:tcMar>
              <w:top w:w="0" w:type="dxa"/>
              <w:left w:w="108" w:type="dxa"/>
              <w:bottom w:w="0" w:type="dxa"/>
              <w:right w:w="108" w:type="dxa"/>
            </w:tcMar>
          </w:tcPr>
          <w:p w14:paraId="6D2AFF44" w14:textId="77777777" w:rsidR="003E1F9F" w:rsidRDefault="003E1F9F" w:rsidP="005A20DD">
            <w:pPr>
              <w:pStyle w:val="TAL"/>
            </w:pPr>
            <w:r>
              <w:t>AGGR_SUBS</w:t>
            </w:r>
          </w:p>
        </w:tc>
        <w:tc>
          <w:tcPr>
            <w:tcW w:w="2135" w:type="pct"/>
            <w:tcMar>
              <w:top w:w="0" w:type="dxa"/>
              <w:left w:w="108" w:type="dxa"/>
              <w:bottom w:w="0" w:type="dxa"/>
              <w:right w:w="108" w:type="dxa"/>
            </w:tcMar>
          </w:tcPr>
          <w:p w14:paraId="258FBEDA" w14:textId="77777777" w:rsidR="003E1F9F" w:rsidRDefault="003E1F9F" w:rsidP="005A20DD">
            <w:pPr>
              <w:pStyle w:val="TAL"/>
            </w:pPr>
            <w:r>
              <w:t xml:space="preserve">Represents context information about </w:t>
            </w:r>
            <w:r>
              <w:rPr>
                <w:lang w:eastAsia="ko-KR"/>
              </w:rPr>
              <w:t>the analytics subscriptions that an NWDAF has with other NWDAFs that collectively serve an analytics subscription.</w:t>
            </w:r>
          </w:p>
        </w:tc>
        <w:tc>
          <w:tcPr>
            <w:tcW w:w="1004" w:type="pct"/>
          </w:tcPr>
          <w:p w14:paraId="16998172" w14:textId="77777777" w:rsidR="003E1F9F" w:rsidRDefault="003E1F9F" w:rsidP="005A20DD">
            <w:pPr>
              <w:pStyle w:val="TAL"/>
            </w:pPr>
          </w:p>
        </w:tc>
      </w:tr>
      <w:tr w:rsidR="003E1F9F" w14:paraId="2198D450" w14:textId="77777777" w:rsidTr="005A20DD">
        <w:tc>
          <w:tcPr>
            <w:tcW w:w="1860" w:type="pct"/>
            <w:tcMar>
              <w:top w:w="0" w:type="dxa"/>
              <w:left w:w="108" w:type="dxa"/>
              <w:bottom w:w="0" w:type="dxa"/>
              <w:right w:w="108" w:type="dxa"/>
            </w:tcMar>
          </w:tcPr>
          <w:p w14:paraId="358A69F0" w14:textId="77777777" w:rsidR="003E1F9F" w:rsidRDefault="003E1F9F" w:rsidP="005A20DD">
            <w:pPr>
              <w:pStyle w:val="TAL"/>
              <w:rPr>
                <w:lang w:eastAsia="zh-CN"/>
              </w:rPr>
            </w:pPr>
            <w:r>
              <w:rPr>
                <w:lang w:eastAsia="zh-CN"/>
              </w:rPr>
              <w:t>DATA</w:t>
            </w:r>
          </w:p>
        </w:tc>
        <w:tc>
          <w:tcPr>
            <w:tcW w:w="2135" w:type="pct"/>
            <w:tcMar>
              <w:top w:w="0" w:type="dxa"/>
              <w:left w:w="108" w:type="dxa"/>
              <w:bottom w:w="0" w:type="dxa"/>
              <w:right w:w="108" w:type="dxa"/>
            </w:tcMar>
          </w:tcPr>
          <w:p w14:paraId="1A0EE0D3" w14:textId="77777777" w:rsidR="003E1F9F" w:rsidRDefault="003E1F9F" w:rsidP="005A20DD">
            <w:pPr>
              <w:pStyle w:val="TAL"/>
              <w:rPr>
                <w:lang w:eastAsia="zh-CN"/>
              </w:rPr>
            </w:pPr>
            <w:r>
              <w:t>Represents context information about h</w:t>
            </w:r>
            <w:r>
              <w:rPr>
                <w:lang w:eastAsia="ko-KR"/>
              </w:rPr>
              <w:t xml:space="preserve">istorical data that is available. </w:t>
            </w:r>
          </w:p>
        </w:tc>
        <w:tc>
          <w:tcPr>
            <w:tcW w:w="1004" w:type="pct"/>
          </w:tcPr>
          <w:p w14:paraId="47D3C0D0" w14:textId="77777777" w:rsidR="003E1F9F" w:rsidRDefault="003E1F9F" w:rsidP="005A20DD">
            <w:pPr>
              <w:pStyle w:val="TAL"/>
            </w:pPr>
          </w:p>
        </w:tc>
      </w:tr>
      <w:tr w:rsidR="003E1F9F" w14:paraId="34E15338" w14:textId="77777777" w:rsidTr="005A20DD">
        <w:tc>
          <w:tcPr>
            <w:tcW w:w="1860" w:type="pct"/>
            <w:tcMar>
              <w:top w:w="0" w:type="dxa"/>
              <w:left w:w="108" w:type="dxa"/>
              <w:bottom w:w="0" w:type="dxa"/>
              <w:right w:w="108" w:type="dxa"/>
            </w:tcMar>
          </w:tcPr>
          <w:p w14:paraId="7F15D85A" w14:textId="77777777" w:rsidR="003E1F9F" w:rsidRDefault="003E1F9F" w:rsidP="005A20DD">
            <w:pPr>
              <w:pStyle w:val="TAL"/>
            </w:pPr>
            <w:r>
              <w:rPr>
                <w:lang w:eastAsia="zh-CN"/>
              </w:rPr>
              <w:t>AGGR_INFO</w:t>
            </w:r>
          </w:p>
        </w:tc>
        <w:tc>
          <w:tcPr>
            <w:tcW w:w="2135" w:type="pct"/>
            <w:tcMar>
              <w:top w:w="0" w:type="dxa"/>
              <w:left w:w="108" w:type="dxa"/>
              <w:bottom w:w="0" w:type="dxa"/>
              <w:right w:w="108" w:type="dxa"/>
            </w:tcMar>
          </w:tcPr>
          <w:p w14:paraId="0419E5FE" w14:textId="77777777" w:rsidR="003E1F9F" w:rsidRDefault="003E1F9F" w:rsidP="005A20DD">
            <w:pPr>
              <w:pStyle w:val="TAL"/>
            </w:pPr>
            <w:r>
              <w:rPr>
                <w:rFonts w:hint="eastAsia"/>
                <w:lang w:eastAsia="zh-CN"/>
              </w:rPr>
              <w:t>R</w:t>
            </w:r>
            <w:r>
              <w:rPr>
                <w:lang w:eastAsia="zh-CN"/>
              </w:rPr>
              <w:t xml:space="preserve">epresents </w:t>
            </w:r>
            <w:r>
              <w:t>context information that is r</w:t>
            </w:r>
            <w:r>
              <w:rPr>
                <w:lang w:eastAsia="ko-KR"/>
              </w:rPr>
              <w:t>elated to aggregation of analytics from multiple NWDAF subscriptions</w:t>
            </w:r>
            <w:r>
              <w:rPr>
                <w:lang w:eastAsia="zh-CN"/>
              </w:rPr>
              <w:t>.</w:t>
            </w:r>
          </w:p>
        </w:tc>
        <w:tc>
          <w:tcPr>
            <w:tcW w:w="1004" w:type="pct"/>
          </w:tcPr>
          <w:p w14:paraId="7098E6F6" w14:textId="77777777" w:rsidR="003E1F9F" w:rsidRDefault="003E1F9F" w:rsidP="005A20DD">
            <w:pPr>
              <w:pStyle w:val="TAL"/>
            </w:pPr>
          </w:p>
        </w:tc>
      </w:tr>
      <w:tr w:rsidR="003E1F9F" w14:paraId="064C1461" w14:textId="77777777" w:rsidTr="005A20DD">
        <w:tc>
          <w:tcPr>
            <w:tcW w:w="1860" w:type="pct"/>
            <w:tcMar>
              <w:top w:w="0" w:type="dxa"/>
              <w:left w:w="108" w:type="dxa"/>
              <w:bottom w:w="0" w:type="dxa"/>
              <w:right w:w="108" w:type="dxa"/>
            </w:tcMar>
          </w:tcPr>
          <w:p w14:paraId="43425BE4" w14:textId="77777777" w:rsidR="003E1F9F" w:rsidRDefault="003E1F9F" w:rsidP="005A20DD">
            <w:pPr>
              <w:pStyle w:val="TAL"/>
            </w:pPr>
            <w:r>
              <w:t>ML_MODELS</w:t>
            </w:r>
          </w:p>
        </w:tc>
        <w:tc>
          <w:tcPr>
            <w:tcW w:w="2135" w:type="pct"/>
            <w:tcMar>
              <w:top w:w="0" w:type="dxa"/>
              <w:left w:w="108" w:type="dxa"/>
              <w:bottom w:w="0" w:type="dxa"/>
              <w:right w:w="108" w:type="dxa"/>
            </w:tcMar>
          </w:tcPr>
          <w:p w14:paraId="63CC1DC8" w14:textId="77777777" w:rsidR="003E1F9F" w:rsidRDefault="003E1F9F" w:rsidP="005A20DD">
            <w:pPr>
              <w:pStyle w:val="TAL"/>
            </w:pPr>
            <w:r>
              <w:rPr>
                <w:rFonts w:hint="eastAsia"/>
                <w:lang w:eastAsia="zh-CN"/>
              </w:rPr>
              <w:t>R</w:t>
            </w:r>
            <w:r>
              <w:rPr>
                <w:lang w:eastAsia="zh-CN"/>
              </w:rPr>
              <w:t xml:space="preserve">epresents </w:t>
            </w:r>
            <w:r>
              <w:t>context information about used ML models.</w:t>
            </w:r>
          </w:p>
        </w:tc>
        <w:tc>
          <w:tcPr>
            <w:tcW w:w="1004" w:type="pct"/>
          </w:tcPr>
          <w:p w14:paraId="289F6756" w14:textId="77777777" w:rsidR="003E1F9F" w:rsidRDefault="003E1F9F" w:rsidP="005A20DD">
            <w:pPr>
              <w:pStyle w:val="TAL"/>
            </w:pPr>
          </w:p>
        </w:tc>
      </w:tr>
      <w:tr w:rsidR="003E1F9F" w14:paraId="1E8438CD" w14:textId="77777777" w:rsidTr="005A20DD">
        <w:tc>
          <w:tcPr>
            <w:tcW w:w="1860" w:type="pct"/>
            <w:tcMar>
              <w:top w:w="0" w:type="dxa"/>
              <w:left w:w="108" w:type="dxa"/>
              <w:bottom w:w="0" w:type="dxa"/>
              <w:right w:w="108" w:type="dxa"/>
            </w:tcMar>
          </w:tcPr>
          <w:p w14:paraId="2FB68151" w14:textId="77777777" w:rsidR="003E1F9F" w:rsidRDefault="003E1F9F" w:rsidP="005A20DD">
            <w:pPr>
              <w:pStyle w:val="TAL"/>
            </w:pPr>
            <w:r>
              <w:t>ANALYTICS_ACCU_INFO</w:t>
            </w:r>
          </w:p>
        </w:tc>
        <w:tc>
          <w:tcPr>
            <w:tcW w:w="2135" w:type="pct"/>
            <w:tcMar>
              <w:top w:w="0" w:type="dxa"/>
              <w:left w:w="108" w:type="dxa"/>
              <w:bottom w:w="0" w:type="dxa"/>
              <w:right w:w="108" w:type="dxa"/>
            </w:tcMar>
          </w:tcPr>
          <w:p w14:paraId="078BBD1F" w14:textId="77777777" w:rsidR="003E1F9F" w:rsidRDefault="003E1F9F" w:rsidP="005A20DD">
            <w:pPr>
              <w:pStyle w:val="TAL"/>
              <w:rPr>
                <w:lang w:eastAsia="zh-CN"/>
              </w:rPr>
            </w:pPr>
            <w:r>
              <w:rPr>
                <w:rFonts w:hint="eastAsia"/>
                <w:lang w:eastAsia="zh-CN"/>
              </w:rPr>
              <w:t>R</w:t>
            </w:r>
            <w:r>
              <w:rPr>
                <w:lang w:eastAsia="zh-CN"/>
              </w:rPr>
              <w:t xml:space="preserve">epresents the </w:t>
            </w:r>
            <w:r>
              <w:rPr>
                <w:lang w:eastAsia="ko-KR"/>
              </w:rPr>
              <w:t>Analytics Accuracy related information.</w:t>
            </w:r>
          </w:p>
        </w:tc>
        <w:tc>
          <w:tcPr>
            <w:tcW w:w="1004" w:type="pct"/>
          </w:tcPr>
          <w:p w14:paraId="16E306B0" w14:textId="77777777" w:rsidR="003E1F9F" w:rsidRDefault="003E1F9F" w:rsidP="005A20DD">
            <w:pPr>
              <w:pStyle w:val="TAL"/>
            </w:pPr>
            <w:r>
              <w:rPr>
                <w:lang w:eastAsia="zh-CN"/>
              </w:rPr>
              <w:t>EnAnaCtxTransfer</w:t>
            </w:r>
          </w:p>
        </w:tc>
      </w:tr>
      <w:tr w:rsidR="003E1F9F" w14:paraId="189E9CCE" w14:textId="77777777" w:rsidTr="005A20DD">
        <w:tc>
          <w:tcPr>
            <w:tcW w:w="1860" w:type="pct"/>
            <w:tcMar>
              <w:top w:w="0" w:type="dxa"/>
              <w:left w:w="108" w:type="dxa"/>
              <w:bottom w:w="0" w:type="dxa"/>
              <w:right w:w="108" w:type="dxa"/>
            </w:tcMar>
          </w:tcPr>
          <w:p w14:paraId="5183C00D" w14:textId="77777777" w:rsidR="003E1F9F" w:rsidRDefault="003E1F9F" w:rsidP="005A20DD">
            <w:pPr>
              <w:pStyle w:val="TAL"/>
            </w:pPr>
            <w:r>
              <w:t>ML_MODEL_ACCU_INFO</w:t>
            </w:r>
          </w:p>
        </w:tc>
        <w:tc>
          <w:tcPr>
            <w:tcW w:w="2135" w:type="pct"/>
            <w:tcMar>
              <w:top w:w="0" w:type="dxa"/>
              <w:left w:w="108" w:type="dxa"/>
              <w:bottom w:w="0" w:type="dxa"/>
              <w:right w:w="108" w:type="dxa"/>
            </w:tcMar>
          </w:tcPr>
          <w:p w14:paraId="466B99AD" w14:textId="77777777" w:rsidR="003E1F9F" w:rsidRDefault="003E1F9F" w:rsidP="005A20DD">
            <w:pPr>
              <w:pStyle w:val="TAL"/>
              <w:rPr>
                <w:lang w:eastAsia="zh-CN"/>
              </w:rPr>
            </w:pPr>
            <w:r>
              <w:rPr>
                <w:rFonts w:hint="eastAsia"/>
                <w:lang w:eastAsia="zh-CN"/>
              </w:rPr>
              <w:t>R</w:t>
            </w:r>
            <w:r>
              <w:rPr>
                <w:lang w:eastAsia="zh-CN"/>
              </w:rPr>
              <w:t xml:space="preserve">epresents the </w:t>
            </w:r>
            <w:r>
              <w:t>ML Model accuracy related information.</w:t>
            </w:r>
          </w:p>
        </w:tc>
        <w:tc>
          <w:tcPr>
            <w:tcW w:w="1004" w:type="pct"/>
          </w:tcPr>
          <w:p w14:paraId="28F34B5B" w14:textId="77777777" w:rsidR="003E1F9F" w:rsidRDefault="003E1F9F" w:rsidP="005A20DD">
            <w:pPr>
              <w:pStyle w:val="TAL"/>
            </w:pPr>
            <w:r>
              <w:rPr>
                <w:lang w:eastAsia="zh-CN"/>
              </w:rPr>
              <w:t>EnAnaCtxTransfer</w:t>
            </w:r>
          </w:p>
        </w:tc>
      </w:tr>
    </w:tbl>
    <w:p w14:paraId="17F24DE6" w14:textId="77777777" w:rsidR="00A10B25" w:rsidRDefault="00A10B25"/>
    <w:p w14:paraId="45A339D6" w14:textId="77777777" w:rsidR="00A10B25" w:rsidRDefault="00A10B25">
      <w:pPr>
        <w:pStyle w:val="5"/>
      </w:pPr>
      <w:bookmarkStart w:id="11256" w:name="_Toc98233775"/>
      <w:bookmarkStart w:id="11257" w:name="_Toc136562550"/>
      <w:bookmarkStart w:id="11258" w:name="_Toc88667698"/>
      <w:bookmarkStart w:id="11259" w:name="_Toc112951271"/>
      <w:bookmarkStart w:id="11260" w:name="_Toc85557188"/>
      <w:bookmarkStart w:id="11261" w:name="_Toc101244553"/>
      <w:bookmarkStart w:id="11262" w:name="_Toc113031811"/>
      <w:bookmarkStart w:id="11263" w:name="_Toc104539148"/>
      <w:bookmarkStart w:id="11264" w:name="_Toc114133950"/>
      <w:bookmarkStart w:id="11265" w:name="_Toc120702451"/>
      <w:bookmarkStart w:id="11266" w:name="_Toc94064388"/>
      <w:bookmarkStart w:id="11267" w:name="_Toc85553089"/>
      <w:bookmarkStart w:id="11268" w:name="_Toc145705879"/>
      <w:bookmarkStart w:id="11269" w:name="_Toc138754384"/>
      <w:bookmarkStart w:id="11270" w:name="_Toc148522789"/>
      <w:bookmarkStart w:id="11271" w:name="_Toc90655983"/>
      <w:bookmarkStart w:id="11272" w:name="_Toc164920978"/>
      <w:bookmarkStart w:id="11273" w:name="_Toc170120520"/>
      <w:bookmarkStart w:id="11274" w:name="_Toc175858765"/>
      <w:bookmarkStart w:id="11275" w:name="_Toc175859838"/>
      <w:bookmarkStart w:id="11276" w:name="_Toc180606128"/>
      <w:bookmarkStart w:id="11277" w:name="_Toc185517389"/>
      <w:bookmarkStart w:id="11278" w:name="_Toc191576441"/>
      <w:bookmarkStart w:id="11279" w:name="_Toc191577181"/>
      <w:bookmarkStart w:id="11280" w:name="_Toc192880251"/>
      <w:bookmarkStart w:id="11281" w:name="_Toc195815140"/>
      <w:bookmarkStart w:id="11282" w:name="_Toc199453107"/>
      <w:r>
        <w:t>5.2.6.3.5</w:t>
      </w:r>
      <w:r>
        <w:tab/>
        <w:t>Enumeration: AdrfDataType</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21EE92F2" w14:textId="77777777" w:rsidR="00A10B25" w:rsidRDefault="00A10B25">
      <w:pPr>
        <w:pStyle w:val="TH"/>
      </w:pPr>
      <w:r>
        <w:t>Table 5.2.6.3.5-1: Enumeration AdrfDataType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170"/>
        <w:gridCol w:w="3641"/>
        <w:gridCol w:w="1711"/>
      </w:tblGrid>
      <w:tr w:rsidR="00A10B25" w14:paraId="75883E55" w14:textId="77777777">
        <w:tc>
          <w:tcPr>
            <w:tcW w:w="1860" w:type="pct"/>
            <w:shd w:val="clear" w:color="auto" w:fill="C0C0C0"/>
            <w:tcMar>
              <w:top w:w="0" w:type="dxa"/>
              <w:left w:w="108" w:type="dxa"/>
              <w:bottom w:w="0" w:type="dxa"/>
              <w:right w:w="108" w:type="dxa"/>
            </w:tcMar>
          </w:tcPr>
          <w:p w14:paraId="58881D56" w14:textId="77777777" w:rsidR="00A10B25" w:rsidRDefault="00A10B25">
            <w:pPr>
              <w:pStyle w:val="TAH"/>
            </w:pPr>
            <w:r>
              <w:t>Enumeration value</w:t>
            </w:r>
          </w:p>
        </w:tc>
        <w:tc>
          <w:tcPr>
            <w:tcW w:w="2136" w:type="pct"/>
            <w:shd w:val="clear" w:color="auto" w:fill="C0C0C0"/>
            <w:tcMar>
              <w:top w:w="0" w:type="dxa"/>
              <w:left w:w="108" w:type="dxa"/>
              <w:bottom w:w="0" w:type="dxa"/>
              <w:right w:w="108" w:type="dxa"/>
            </w:tcMar>
          </w:tcPr>
          <w:p w14:paraId="78DA5AC2" w14:textId="77777777" w:rsidR="00A10B25" w:rsidRDefault="00A10B25">
            <w:pPr>
              <w:pStyle w:val="TAH"/>
            </w:pPr>
            <w:r>
              <w:t>Description</w:t>
            </w:r>
          </w:p>
        </w:tc>
        <w:tc>
          <w:tcPr>
            <w:tcW w:w="1004" w:type="pct"/>
            <w:shd w:val="clear" w:color="auto" w:fill="C0C0C0"/>
          </w:tcPr>
          <w:p w14:paraId="6BD8C19B" w14:textId="77777777" w:rsidR="00A10B25" w:rsidRDefault="00A10B25">
            <w:pPr>
              <w:pStyle w:val="TAH"/>
            </w:pPr>
            <w:r>
              <w:t>Applicability</w:t>
            </w:r>
          </w:p>
        </w:tc>
      </w:tr>
      <w:tr w:rsidR="00A10B25" w14:paraId="283183C2" w14:textId="77777777">
        <w:tc>
          <w:tcPr>
            <w:tcW w:w="1860" w:type="pct"/>
            <w:tcMar>
              <w:top w:w="0" w:type="dxa"/>
              <w:left w:w="108" w:type="dxa"/>
              <w:bottom w:w="0" w:type="dxa"/>
              <w:right w:w="108" w:type="dxa"/>
            </w:tcMar>
          </w:tcPr>
          <w:p w14:paraId="06CC39CB" w14:textId="77777777" w:rsidR="00A10B25" w:rsidRDefault="00A10B25">
            <w:pPr>
              <w:pStyle w:val="TAL"/>
            </w:pPr>
            <w:bookmarkStart w:id="11283" w:name="_Hlk85003761"/>
            <w:r>
              <w:t>HISTORICAL_ANALYTICS</w:t>
            </w:r>
          </w:p>
        </w:tc>
        <w:tc>
          <w:tcPr>
            <w:tcW w:w="2136" w:type="pct"/>
            <w:tcMar>
              <w:top w:w="0" w:type="dxa"/>
              <w:left w:w="108" w:type="dxa"/>
              <w:bottom w:w="0" w:type="dxa"/>
              <w:right w:w="108" w:type="dxa"/>
            </w:tcMar>
          </w:tcPr>
          <w:p w14:paraId="63D1DE69" w14:textId="77777777" w:rsidR="00A10B25" w:rsidRDefault="00A10B25">
            <w:pPr>
              <w:pStyle w:val="TAL"/>
              <w:rPr>
                <w:lang w:eastAsia="zh-CN"/>
              </w:rPr>
            </w:pPr>
            <w:r>
              <w:t>Indicates that historical analytics are stored in the ADRF.</w:t>
            </w:r>
          </w:p>
        </w:tc>
        <w:tc>
          <w:tcPr>
            <w:tcW w:w="1004" w:type="pct"/>
          </w:tcPr>
          <w:p w14:paraId="054E4ECB" w14:textId="77777777" w:rsidR="00A10B25" w:rsidRDefault="00A10B25">
            <w:pPr>
              <w:pStyle w:val="TAL"/>
            </w:pPr>
          </w:p>
        </w:tc>
      </w:tr>
      <w:tr w:rsidR="00A10B25" w14:paraId="786226D1" w14:textId="77777777">
        <w:tc>
          <w:tcPr>
            <w:tcW w:w="1860" w:type="pct"/>
            <w:tcMar>
              <w:top w:w="0" w:type="dxa"/>
              <w:left w:w="108" w:type="dxa"/>
              <w:bottom w:w="0" w:type="dxa"/>
              <w:right w:w="108" w:type="dxa"/>
            </w:tcMar>
          </w:tcPr>
          <w:p w14:paraId="0E98844B" w14:textId="77777777" w:rsidR="00A10B25" w:rsidRDefault="00A10B25">
            <w:pPr>
              <w:pStyle w:val="TAL"/>
            </w:pPr>
            <w:r>
              <w:t>HISTORICAL_DATA</w:t>
            </w:r>
          </w:p>
        </w:tc>
        <w:tc>
          <w:tcPr>
            <w:tcW w:w="2136" w:type="pct"/>
            <w:tcMar>
              <w:top w:w="0" w:type="dxa"/>
              <w:left w:w="108" w:type="dxa"/>
              <w:bottom w:w="0" w:type="dxa"/>
              <w:right w:w="108" w:type="dxa"/>
            </w:tcMar>
          </w:tcPr>
          <w:p w14:paraId="0C17EA6B" w14:textId="77777777" w:rsidR="00A10B25" w:rsidRDefault="00A10B25">
            <w:pPr>
              <w:pStyle w:val="TAL"/>
            </w:pPr>
            <w:r>
              <w:t>Indicates that historical data are stored in the ADRF.</w:t>
            </w:r>
          </w:p>
        </w:tc>
        <w:tc>
          <w:tcPr>
            <w:tcW w:w="1004" w:type="pct"/>
          </w:tcPr>
          <w:p w14:paraId="0C88D50E" w14:textId="77777777" w:rsidR="00A10B25" w:rsidRDefault="00A10B25">
            <w:pPr>
              <w:pStyle w:val="TAL"/>
            </w:pPr>
          </w:p>
        </w:tc>
      </w:tr>
      <w:bookmarkEnd w:id="11283"/>
    </w:tbl>
    <w:p w14:paraId="68780A9F" w14:textId="77777777" w:rsidR="00A10B25" w:rsidRDefault="00A10B25">
      <w:pPr>
        <w:rPr>
          <w:lang w:val="en-US"/>
        </w:rPr>
      </w:pPr>
    </w:p>
    <w:p w14:paraId="603C68C6" w14:textId="77777777" w:rsidR="00A10B25" w:rsidRDefault="00A10B25">
      <w:pPr>
        <w:pStyle w:val="4"/>
        <w:rPr>
          <w:lang w:val="en-US"/>
        </w:rPr>
      </w:pPr>
      <w:bookmarkStart w:id="11284" w:name="_Toc85553090"/>
      <w:bookmarkStart w:id="11285" w:name="_Toc83233161"/>
      <w:bookmarkStart w:id="11286" w:name="_Toc104539149"/>
      <w:bookmarkStart w:id="11287" w:name="_Toc70418564"/>
      <w:bookmarkStart w:id="11288" w:name="_Toc35971438"/>
      <w:bookmarkStart w:id="11289" w:name="_Toc90655984"/>
      <w:bookmarkStart w:id="11290" w:name="_Toc145705880"/>
      <w:bookmarkStart w:id="11291" w:name="_Toc510696643"/>
      <w:bookmarkStart w:id="11292" w:name="_Toc101244554"/>
      <w:bookmarkStart w:id="11293" w:name="_Toc114133951"/>
      <w:bookmarkStart w:id="11294" w:name="_Toc120702452"/>
      <w:bookmarkStart w:id="11295" w:name="_Toc113031812"/>
      <w:bookmarkStart w:id="11296" w:name="_Toc88667699"/>
      <w:bookmarkStart w:id="11297" w:name="_Toc112951272"/>
      <w:bookmarkStart w:id="11298" w:name="_Toc138754385"/>
      <w:bookmarkStart w:id="11299" w:name="_Toc136562551"/>
      <w:bookmarkStart w:id="11300" w:name="_Toc94064389"/>
      <w:bookmarkStart w:id="11301" w:name="_Toc85557189"/>
      <w:bookmarkStart w:id="11302" w:name="_Toc148522790"/>
      <w:bookmarkStart w:id="11303" w:name="_Toc98233776"/>
      <w:bookmarkStart w:id="11304" w:name="_Toc164920979"/>
      <w:bookmarkStart w:id="11305" w:name="_Toc170120521"/>
      <w:bookmarkStart w:id="11306" w:name="_Toc175858766"/>
      <w:bookmarkStart w:id="11307" w:name="_Toc175859839"/>
      <w:bookmarkStart w:id="11308" w:name="_Toc180606129"/>
      <w:bookmarkStart w:id="11309" w:name="_Toc185517390"/>
      <w:bookmarkStart w:id="11310" w:name="_Toc191576442"/>
      <w:bookmarkStart w:id="11311" w:name="_Toc191577182"/>
      <w:bookmarkStart w:id="11312" w:name="_Toc192880252"/>
      <w:bookmarkStart w:id="11313" w:name="_Toc195815141"/>
      <w:bookmarkStart w:id="11314" w:name="_Toc199453108"/>
      <w:r>
        <w:rPr>
          <w:lang w:val="en-US"/>
        </w:rPr>
        <w:t>5.2.6.4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088C6D2B" w14:textId="77777777" w:rsidR="00A10B25" w:rsidRDefault="00A10B25">
      <w:pPr>
        <w:pStyle w:val="5"/>
      </w:pPr>
      <w:bookmarkStart w:id="11315" w:name="_Toc138754386"/>
      <w:bookmarkStart w:id="11316" w:name="_Toc148522791"/>
      <w:bookmarkStart w:id="11317" w:name="_Toc88667700"/>
      <w:bookmarkStart w:id="11318" w:name="_Toc90655985"/>
      <w:bookmarkStart w:id="11319" w:name="_Toc113031813"/>
      <w:bookmarkStart w:id="11320" w:name="_Toc98233777"/>
      <w:bookmarkStart w:id="11321" w:name="_Toc136562552"/>
      <w:bookmarkStart w:id="11322" w:name="_Toc112951273"/>
      <w:bookmarkStart w:id="11323" w:name="_Toc83233162"/>
      <w:bookmarkStart w:id="11324" w:name="_Toc114133952"/>
      <w:bookmarkStart w:id="11325" w:name="_Toc85557190"/>
      <w:bookmarkStart w:id="11326" w:name="_Toc101244555"/>
      <w:bookmarkStart w:id="11327" w:name="_Toc145705881"/>
      <w:bookmarkStart w:id="11328" w:name="_Toc85553091"/>
      <w:bookmarkStart w:id="11329" w:name="_Toc120702453"/>
      <w:bookmarkStart w:id="11330" w:name="_Toc94064390"/>
      <w:bookmarkStart w:id="11331" w:name="_Toc104539150"/>
      <w:bookmarkStart w:id="11332" w:name="_Toc164920980"/>
      <w:bookmarkStart w:id="11333" w:name="_Toc170120522"/>
      <w:bookmarkStart w:id="11334" w:name="_Toc175858767"/>
      <w:bookmarkStart w:id="11335" w:name="_Toc175859840"/>
      <w:bookmarkStart w:id="11336" w:name="_Toc180606130"/>
      <w:bookmarkStart w:id="11337" w:name="_Toc185517391"/>
      <w:bookmarkStart w:id="11338" w:name="_Toc191576443"/>
      <w:bookmarkStart w:id="11339" w:name="_Toc191577183"/>
      <w:bookmarkStart w:id="11340" w:name="_Toc192880253"/>
      <w:bookmarkStart w:id="11341" w:name="_Toc195815142"/>
      <w:bookmarkStart w:id="11342" w:name="_Toc199453109"/>
      <w:r>
        <w:t>5.2.6.4.1</w:t>
      </w:r>
      <w:r>
        <w:tab/>
        <w:t xml:space="preserve">Type </w:t>
      </w:r>
      <w:r>
        <w:rPr>
          <w:rStyle w:val="B1Char"/>
        </w:rPr>
        <w:t>ProblemDetailsAnalyticsInfo</w:t>
      </w:r>
      <w:r>
        <w:t>Request</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0E44BA0E" w14:textId="77777777" w:rsidR="00A10B25" w:rsidRDefault="00A10B25">
      <w:pPr>
        <w:pStyle w:val="TH"/>
      </w:pPr>
      <w:r>
        <w:t xml:space="preserve">Table 5.2.6.4.1-1: Definition of type </w:t>
      </w:r>
      <w:r>
        <w:rPr>
          <w:rStyle w:val="B1Char"/>
        </w:rPr>
        <w:t>ProblemDetailsAnalyticsInfoRequest</w:t>
      </w:r>
      <w:r>
        <w:t xml:space="preserve"> as a list of to be combined data types</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2"/>
        <w:gridCol w:w="1275"/>
        <w:gridCol w:w="4250"/>
        <w:gridCol w:w="2072"/>
      </w:tblGrid>
      <w:tr w:rsidR="00A10B25" w14:paraId="454C9B3E" w14:textId="77777777">
        <w:trPr>
          <w:jc w:val="center"/>
        </w:trPr>
        <w:tc>
          <w:tcPr>
            <w:tcW w:w="1932" w:type="dxa"/>
            <w:shd w:val="clear" w:color="auto" w:fill="C0C0C0"/>
          </w:tcPr>
          <w:p w14:paraId="7DA25DBC" w14:textId="77777777" w:rsidR="00A10B25" w:rsidRDefault="00A10B25">
            <w:pPr>
              <w:pStyle w:val="TAH"/>
            </w:pPr>
            <w:r>
              <w:t>Data type</w:t>
            </w:r>
          </w:p>
        </w:tc>
        <w:tc>
          <w:tcPr>
            <w:tcW w:w="1276" w:type="dxa"/>
            <w:shd w:val="clear" w:color="auto" w:fill="C0C0C0"/>
          </w:tcPr>
          <w:p w14:paraId="58F2ED68" w14:textId="77777777" w:rsidR="00A10B25" w:rsidRDefault="00A10B25">
            <w:pPr>
              <w:pStyle w:val="TAH"/>
            </w:pPr>
            <w:r>
              <w:t>Cardinality</w:t>
            </w:r>
          </w:p>
        </w:tc>
        <w:tc>
          <w:tcPr>
            <w:tcW w:w="4252" w:type="dxa"/>
            <w:shd w:val="clear" w:color="auto" w:fill="C0C0C0"/>
          </w:tcPr>
          <w:p w14:paraId="7A8A8F36" w14:textId="77777777" w:rsidR="00A10B25" w:rsidRDefault="00A10B25">
            <w:pPr>
              <w:pStyle w:val="TAH"/>
            </w:pPr>
            <w:r>
              <w:t>Description</w:t>
            </w:r>
          </w:p>
        </w:tc>
        <w:tc>
          <w:tcPr>
            <w:tcW w:w="2073" w:type="dxa"/>
            <w:shd w:val="clear" w:color="auto" w:fill="C0C0C0"/>
          </w:tcPr>
          <w:p w14:paraId="30A5020E" w14:textId="77777777" w:rsidR="00A10B25" w:rsidRDefault="00A10B25">
            <w:pPr>
              <w:pStyle w:val="TAH"/>
            </w:pPr>
            <w:r>
              <w:t>Applicability</w:t>
            </w:r>
          </w:p>
        </w:tc>
      </w:tr>
      <w:tr w:rsidR="00A10B25" w14:paraId="4C266A7F" w14:textId="77777777">
        <w:trPr>
          <w:jc w:val="center"/>
        </w:trPr>
        <w:tc>
          <w:tcPr>
            <w:tcW w:w="1932" w:type="dxa"/>
          </w:tcPr>
          <w:p w14:paraId="26EC704B" w14:textId="77777777" w:rsidR="00A10B25" w:rsidRDefault="00A10B25">
            <w:pPr>
              <w:pStyle w:val="TAL"/>
            </w:pPr>
            <w:r>
              <w:t>ProblemDetails</w:t>
            </w:r>
          </w:p>
        </w:tc>
        <w:tc>
          <w:tcPr>
            <w:tcW w:w="1276" w:type="dxa"/>
          </w:tcPr>
          <w:p w14:paraId="579CADC2" w14:textId="77777777" w:rsidR="00A10B25" w:rsidRDefault="00A10B25">
            <w:pPr>
              <w:pStyle w:val="TAL"/>
            </w:pPr>
            <w:r>
              <w:t>1</w:t>
            </w:r>
          </w:p>
        </w:tc>
        <w:tc>
          <w:tcPr>
            <w:tcW w:w="4252" w:type="dxa"/>
          </w:tcPr>
          <w:p w14:paraId="30C2D461" w14:textId="77777777" w:rsidR="00A10B25" w:rsidRDefault="00A10B25">
            <w:pPr>
              <w:pStyle w:val="TAL"/>
            </w:pPr>
            <w:r>
              <w:t>Details of the problem as defined in TS 29.571 [8].</w:t>
            </w:r>
          </w:p>
        </w:tc>
        <w:tc>
          <w:tcPr>
            <w:tcW w:w="2073" w:type="dxa"/>
          </w:tcPr>
          <w:p w14:paraId="3D5A4C1B" w14:textId="77777777" w:rsidR="00A10B25" w:rsidRDefault="00A10B25">
            <w:pPr>
              <w:pStyle w:val="TAL"/>
            </w:pPr>
          </w:p>
        </w:tc>
      </w:tr>
      <w:tr w:rsidR="00A10B25" w14:paraId="05A00178" w14:textId="77777777">
        <w:trPr>
          <w:jc w:val="center"/>
        </w:trPr>
        <w:tc>
          <w:tcPr>
            <w:tcW w:w="1932" w:type="dxa"/>
          </w:tcPr>
          <w:p w14:paraId="78D056EF" w14:textId="77777777" w:rsidR="00A10B25" w:rsidRDefault="00A10B25">
            <w:pPr>
              <w:pStyle w:val="TAL"/>
            </w:pPr>
            <w:r>
              <w:t>AdditionInfoAnalyticsInfoRequest</w:t>
            </w:r>
          </w:p>
        </w:tc>
        <w:tc>
          <w:tcPr>
            <w:tcW w:w="1276" w:type="dxa"/>
          </w:tcPr>
          <w:p w14:paraId="6BA415FE" w14:textId="77777777" w:rsidR="00A10B25" w:rsidRDefault="00A10B25">
            <w:pPr>
              <w:pStyle w:val="TAL"/>
            </w:pPr>
            <w:r>
              <w:t>1</w:t>
            </w:r>
          </w:p>
        </w:tc>
        <w:tc>
          <w:tcPr>
            <w:tcW w:w="4252" w:type="dxa"/>
          </w:tcPr>
          <w:p w14:paraId="10ECA531" w14:textId="77777777" w:rsidR="00A10B25" w:rsidRDefault="00A10B25">
            <w:pPr>
              <w:pStyle w:val="TAL"/>
            </w:pPr>
            <w:r>
              <w:rPr>
                <w:lang w:eastAsia="zh-CN"/>
              </w:rPr>
              <w:t xml:space="preserve">Contains </w:t>
            </w:r>
            <w:r>
              <w:rPr>
                <w:rFonts w:cs="Arial"/>
                <w:szCs w:val="18"/>
              </w:rPr>
              <w:t>additional information</w:t>
            </w:r>
            <w:r>
              <w:rPr>
                <w:lang w:eastAsia="zh-CN"/>
              </w:rPr>
              <w:t xml:space="preserve"> why </w:t>
            </w:r>
            <w:r>
              <w:t>the analytics request is rejected.</w:t>
            </w:r>
          </w:p>
        </w:tc>
        <w:tc>
          <w:tcPr>
            <w:tcW w:w="2073" w:type="dxa"/>
          </w:tcPr>
          <w:p w14:paraId="6189FC46" w14:textId="77777777" w:rsidR="00A10B25" w:rsidRDefault="00A10B25">
            <w:pPr>
              <w:pStyle w:val="TAL"/>
            </w:pPr>
          </w:p>
        </w:tc>
      </w:tr>
    </w:tbl>
    <w:p w14:paraId="66650B9E" w14:textId="77777777" w:rsidR="00A10B25" w:rsidRDefault="00A10B25">
      <w:pPr>
        <w:rPr>
          <w:lang w:val="en-US"/>
        </w:rPr>
      </w:pPr>
    </w:p>
    <w:p w14:paraId="4D7BA0FD" w14:textId="77777777" w:rsidR="00A10B25" w:rsidRDefault="00A10B25">
      <w:pPr>
        <w:pStyle w:val="3"/>
        <w:rPr>
          <w:lang w:val="en-US"/>
        </w:rPr>
      </w:pPr>
      <w:bookmarkStart w:id="11343" w:name="_Toc85557191"/>
      <w:bookmarkStart w:id="11344" w:name="_Toc85553092"/>
      <w:bookmarkStart w:id="11345" w:name="_Toc94064391"/>
      <w:bookmarkStart w:id="11346" w:name="_Toc114133953"/>
      <w:bookmarkStart w:id="11347" w:name="_Toc51762974"/>
      <w:bookmarkStart w:id="11348" w:name="_Toc36102532"/>
      <w:bookmarkStart w:id="11349" w:name="_Toc50032054"/>
      <w:bookmarkStart w:id="11350" w:name="_Toc45134122"/>
      <w:bookmarkStart w:id="11351" w:name="_Toc113031814"/>
      <w:bookmarkStart w:id="11352" w:name="_Toc70550708"/>
      <w:bookmarkStart w:id="11353" w:name="_Toc101244556"/>
      <w:bookmarkStart w:id="11354" w:name="_Toc59018011"/>
      <w:bookmarkStart w:id="11355" w:name="_Toc112951274"/>
      <w:bookmarkStart w:id="11356" w:name="_Toc138754387"/>
      <w:bookmarkStart w:id="11357" w:name="_Toc145705882"/>
      <w:bookmarkStart w:id="11358" w:name="_Toc43563576"/>
      <w:bookmarkStart w:id="11359" w:name="_Toc88667701"/>
      <w:bookmarkStart w:id="11360" w:name="_Toc34266361"/>
      <w:bookmarkStart w:id="11361" w:name="_Toc148522792"/>
      <w:bookmarkStart w:id="11362" w:name="_Toc56641043"/>
      <w:bookmarkStart w:id="11363" w:name="_Toc120702454"/>
      <w:bookmarkStart w:id="11364" w:name="_Toc104539151"/>
      <w:bookmarkStart w:id="11365" w:name="_Toc98233778"/>
      <w:bookmarkStart w:id="11366" w:name="_Toc28012875"/>
      <w:bookmarkStart w:id="11367" w:name="_Toc83233163"/>
      <w:bookmarkStart w:id="11368" w:name="_Toc68169040"/>
      <w:bookmarkStart w:id="11369" w:name="_Toc90655986"/>
      <w:bookmarkStart w:id="11370" w:name="_Toc136562553"/>
      <w:bookmarkStart w:id="11371" w:name="_Toc66231879"/>
      <w:bookmarkStart w:id="11372" w:name="_Toc164920981"/>
      <w:bookmarkStart w:id="11373" w:name="_Toc170120523"/>
      <w:bookmarkStart w:id="11374" w:name="_Toc175858768"/>
      <w:bookmarkStart w:id="11375" w:name="_Toc175859841"/>
      <w:bookmarkStart w:id="11376" w:name="_Toc180606131"/>
      <w:bookmarkStart w:id="11377" w:name="_Toc185517392"/>
      <w:bookmarkStart w:id="11378" w:name="_Toc191576444"/>
      <w:bookmarkStart w:id="11379" w:name="_Toc191577184"/>
      <w:bookmarkStart w:id="11380" w:name="_Toc192880254"/>
      <w:bookmarkStart w:id="11381" w:name="_Toc195815143"/>
      <w:bookmarkStart w:id="11382" w:name="_Toc199453110"/>
      <w:r>
        <w:rPr>
          <w:lang w:val="en-US"/>
        </w:rPr>
        <w:t>5.2.7</w:t>
      </w:r>
      <w:r>
        <w:rPr>
          <w:lang w:val="en-US"/>
        </w:rPr>
        <w:tab/>
        <w:t>Error handling</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p>
    <w:p w14:paraId="1ADBD5AA" w14:textId="77777777" w:rsidR="00A10B25" w:rsidRDefault="00A10B25">
      <w:pPr>
        <w:pStyle w:val="4"/>
      </w:pPr>
      <w:bookmarkStart w:id="11383" w:name="_Toc51762975"/>
      <w:bookmarkStart w:id="11384" w:name="_Toc83233164"/>
      <w:bookmarkStart w:id="11385" w:name="_Toc114133954"/>
      <w:bookmarkStart w:id="11386" w:name="_Toc104539152"/>
      <w:bookmarkStart w:id="11387" w:name="_Toc45134123"/>
      <w:bookmarkStart w:id="11388" w:name="_Toc56641044"/>
      <w:bookmarkStart w:id="11389" w:name="_Toc59018012"/>
      <w:bookmarkStart w:id="11390" w:name="_Toc70550709"/>
      <w:bookmarkStart w:id="11391" w:name="_Toc85557192"/>
      <w:bookmarkStart w:id="11392" w:name="_Toc112951275"/>
      <w:bookmarkStart w:id="11393" w:name="_Toc120702455"/>
      <w:bookmarkStart w:id="11394" w:name="_Toc90655987"/>
      <w:bookmarkStart w:id="11395" w:name="_Toc66231880"/>
      <w:bookmarkStart w:id="11396" w:name="_Toc85553093"/>
      <w:bookmarkStart w:id="11397" w:name="_Toc148522793"/>
      <w:bookmarkStart w:id="11398" w:name="_Toc136562554"/>
      <w:bookmarkStart w:id="11399" w:name="_Toc94064392"/>
      <w:bookmarkStart w:id="11400" w:name="_Toc50032055"/>
      <w:bookmarkStart w:id="11401" w:name="_Toc138754388"/>
      <w:bookmarkStart w:id="11402" w:name="_Toc98233779"/>
      <w:bookmarkStart w:id="11403" w:name="_Toc101244557"/>
      <w:bookmarkStart w:id="11404" w:name="_Toc113031815"/>
      <w:bookmarkStart w:id="11405" w:name="_Toc145705883"/>
      <w:bookmarkStart w:id="11406" w:name="_Toc88667702"/>
      <w:bookmarkStart w:id="11407" w:name="_Toc68169041"/>
      <w:bookmarkStart w:id="11408" w:name="_Toc164920982"/>
      <w:bookmarkStart w:id="11409" w:name="_Toc170120524"/>
      <w:bookmarkStart w:id="11410" w:name="_Toc175858769"/>
      <w:bookmarkStart w:id="11411" w:name="_Toc175859842"/>
      <w:bookmarkStart w:id="11412" w:name="_Toc180606132"/>
      <w:bookmarkStart w:id="11413" w:name="_Toc185517393"/>
      <w:bookmarkStart w:id="11414" w:name="_Toc191576445"/>
      <w:bookmarkStart w:id="11415" w:name="_Toc191577185"/>
      <w:bookmarkStart w:id="11416" w:name="_Toc192880255"/>
      <w:bookmarkStart w:id="11417" w:name="_Toc195815144"/>
      <w:bookmarkStart w:id="11418" w:name="_Toc199453111"/>
      <w:r>
        <w:t>5.2.7.1</w:t>
      </w:r>
      <w:r>
        <w:tab/>
        <w:t>General</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7EA0A6BB" w14:textId="77777777" w:rsidR="00A10B25" w:rsidRDefault="00A10B25">
      <w:pPr>
        <w:rPr>
          <w:rFonts w:eastAsia="Batang"/>
        </w:rPr>
      </w:pPr>
      <w:r>
        <w:rPr>
          <w:rFonts w:eastAsia="Batang"/>
        </w:rPr>
        <w:t>HTTP error handling shall be supported as specified in clause 5.2.4 of 3GPP TS 29.500 [6].</w:t>
      </w:r>
    </w:p>
    <w:p w14:paraId="74295B2D" w14:textId="77777777" w:rsidR="00A10B25" w:rsidRDefault="00A10B25">
      <w:pPr>
        <w:rPr>
          <w:rFonts w:eastAsia="Batang"/>
        </w:rPr>
      </w:pPr>
      <w:r>
        <w:rPr>
          <w:rFonts w:eastAsia="Batang"/>
        </w:rPr>
        <w:t>For the Nnwdaf_AnalyticsInfo API, HTTP error responses shall be supported as specified in clause 4.8 of 3GPP TS 29.501 [7]. Protocol errors and application errors specified in table 5.2.7.2-1 of 3GPP TS 29.500 [6] shall be supported for an HTTP method if the corresponding HTTP status codes are specified as mandatory for that HTTP method in table 5.2.7.1-1 of 3GPP TS 29.500 [6]. In addition, the requirements in the following clauses shall apply.</w:t>
      </w:r>
    </w:p>
    <w:p w14:paraId="719BC84D" w14:textId="77777777" w:rsidR="00A10B25" w:rsidRDefault="00A10B25">
      <w:pPr>
        <w:pStyle w:val="4"/>
      </w:pPr>
      <w:bookmarkStart w:id="11419" w:name="_Toc66231881"/>
      <w:bookmarkStart w:id="11420" w:name="_Toc83233165"/>
      <w:bookmarkStart w:id="11421" w:name="_Toc45134124"/>
      <w:bookmarkStart w:id="11422" w:name="_Toc112951276"/>
      <w:bookmarkStart w:id="11423" w:name="_Toc56641045"/>
      <w:bookmarkStart w:id="11424" w:name="_Toc88667703"/>
      <w:bookmarkStart w:id="11425" w:name="_Toc51762976"/>
      <w:bookmarkStart w:id="11426" w:name="_Toc70550710"/>
      <w:bookmarkStart w:id="11427" w:name="_Toc120702456"/>
      <w:bookmarkStart w:id="11428" w:name="_Toc59018013"/>
      <w:bookmarkStart w:id="11429" w:name="_Toc68169042"/>
      <w:bookmarkStart w:id="11430" w:name="_Toc50032056"/>
      <w:bookmarkStart w:id="11431" w:name="_Toc94064393"/>
      <w:bookmarkStart w:id="11432" w:name="_Toc85553094"/>
      <w:bookmarkStart w:id="11433" w:name="_Toc85557193"/>
      <w:bookmarkStart w:id="11434" w:name="_Toc101244558"/>
      <w:bookmarkStart w:id="11435" w:name="_Toc113031816"/>
      <w:bookmarkStart w:id="11436" w:name="_Toc138754389"/>
      <w:bookmarkStart w:id="11437" w:name="_Toc145705884"/>
      <w:bookmarkStart w:id="11438" w:name="_Toc148522794"/>
      <w:bookmarkStart w:id="11439" w:name="_Toc90655988"/>
      <w:bookmarkStart w:id="11440" w:name="_Toc98233780"/>
      <w:bookmarkStart w:id="11441" w:name="_Toc114133955"/>
      <w:bookmarkStart w:id="11442" w:name="_Toc136562555"/>
      <w:bookmarkStart w:id="11443" w:name="_Toc104539153"/>
      <w:bookmarkStart w:id="11444" w:name="_Toc164920983"/>
      <w:bookmarkStart w:id="11445" w:name="_Toc170120525"/>
      <w:bookmarkStart w:id="11446" w:name="_Toc175858770"/>
      <w:bookmarkStart w:id="11447" w:name="_Toc175859843"/>
      <w:bookmarkStart w:id="11448" w:name="_Toc180606133"/>
      <w:bookmarkStart w:id="11449" w:name="_Toc185517394"/>
      <w:bookmarkStart w:id="11450" w:name="_Toc191576446"/>
      <w:bookmarkStart w:id="11451" w:name="_Toc191577186"/>
      <w:bookmarkStart w:id="11452" w:name="_Toc192880256"/>
      <w:bookmarkStart w:id="11453" w:name="_Toc195815145"/>
      <w:bookmarkStart w:id="11454" w:name="_Toc199453112"/>
      <w:r>
        <w:lastRenderedPageBreak/>
        <w:t>5.2.7.2</w:t>
      </w:r>
      <w:r>
        <w:tab/>
        <w:t>Protocol Errors</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00603507"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Nnwdaf_AnalyticsInfo API.</w:t>
      </w:r>
    </w:p>
    <w:p w14:paraId="05DEF52F" w14:textId="77777777" w:rsidR="003E1F9F" w:rsidRPr="00513375" w:rsidRDefault="003E1F9F" w:rsidP="003E1F9F">
      <w:pPr>
        <w:keepNext/>
        <w:keepLines/>
        <w:spacing w:before="120"/>
        <w:ind w:left="1418" w:hanging="1418"/>
        <w:outlineLvl w:val="3"/>
        <w:rPr>
          <w:rFonts w:ascii="Arial" w:eastAsia="Batang" w:hAnsi="Arial"/>
          <w:sz w:val="28"/>
        </w:rPr>
      </w:pPr>
      <w:bookmarkStart w:id="11455" w:name="_Toc28012876"/>
      <w:bookmarkStart w:id="11456" w:name="_Toc90655990"/>
      <w:bookmarkStart w:id="11457" w:name="_Toc112951278"/>
      <w:bookmarkStart w:id="11458" w:name="_Toc59018015"/>
      <w:bookmarkStart w:id="11459" w:name="_Toc51762978"/>
      <w:bookmarkStart w:id="11460" w:name="_Toc94064395"/>
      <w:bookmarkStart w:id="11461" w:name="_Toc70550712"/>
      <w:bookmarkStart w:id="11462" w:name="_Toc85553096"/>
      <w:bookmarkStart w:id="11463" w:name="_Toc104539155"/>
      <w:bookmarkStart w:id="11464" w:name="_Toc36102533"/>
      <w:bookmarkStart w:id="11465" w:name="_Toc98233782"/>
      <w:bookmarkStart w:id="11466" w:name="_Toc56641047"/>
      <w:bookmarkStart w:id="11467" w:name="_Toc68169044"/>
      <w:bookmarkStart w:id="11468" w:name="_Toc120702458"/>
      <w:bookmarkStart w:id="11469" w:name="_Toc66231883"/>
      <w:bookmarkStart w:id="11470" w:name="_Toc114133957"/>
      <w:bookmarkStart w:id="11471" w:name="_Toc83233167"/>
      <w:bookmarkStart w:id="11472" w:name="_Toc136562557"/>
      <w:bookmarkStart w:id="11473" w:name="_Toc45134126"/>
      <w:bookmarkStart w:id="11474" w:name="_Toc34266362"/>
      <w:bookmarkStart w:id="11475" w:name="_Toc148522796"/>
      <w:bookmarkStart w:id="11476" w:name="_Toc50032058"/>
      <w:bookmarkStart w:id="11477" w:name="_Toc138754391"/>
      <w:bookmarkStart w:id="11478" w:name="_Toc101244560"/>
      <w:bookmarkStart w:id="11479" w:name="_Toc43563577"/>
      <w:bookmarkStart w:id="11480" w:name="_Toc113031818"/>
      <w:bookmarkStart w:id="11481" w:name="_Toc145705886"/>
      <w:bookmarkStart w:id="11482" w:name="_Toc88667705"/>
      <w:bookmarkStart w:id="11483" w:name="_Toc85557195"/>
      <w:bookmarkStart w:id="11484" w:name="_Toc45134125"/>
      <w:bookmarkStart w:id="11485" w:name="_Toc56641046"/>
      <w:bookmarkStart w:id="11486" w:name="_Toc70550711"/>
      <w:bookmarkStart w:id="11487" w:name="_Toc66231882"/>
      <w:bookmarkStart w:id="11488" w:name="_Toc59018014"/>
      <w:bookmarkStart w:id="11489" w:name="_Toc90655989"/>
      <w:bookmarkStart w:id="11490" w:name="_Toc94064394"/>
      <w:bookmarkStart w:id="11491" w:name="_Toc85557194"/>
      <w:bookmarkStart w:id="11492" w:name="_Toc113031817"/>
      <w:bookmarkStart w:id="11493" w:name="_Toc145705885"/>
      <w:bookmarkStart w:id="11494" w:name="_Toc85553095"/>
      <w:bookmarkStart w:id="11495" w:name="_Toc88667704"/>
      <w:bookmarkStart w:id="11496" w:name="_Toc50032057"/>
      <w:bookmarkStart w:id="11497" w:name="_Toc138754390"/>
      <w:bookmarkStart w:id="11498" w:name="_Toc68169043"/>
      <w:bookmarkStart w:id="11499" w:name="_Toc83233166"/>
      <w:bookmarkStart w:id="11500" w:name="_Toc112951277"/>
      <w:bookmarkStart w:id="11501" w:name="_Toc136562556"/>
      <w:bookmarkStart w:id="11502" w:name="_Toc51762977"/>
      <w:bookmarkStart w:id="11503" w:name="_Toc104539154"/>
      <w:bookmarkStart w:id="11504" w:name="_Toc148522795"/>
      <w:bookmarkStart w:id="11505" w:name="_Toc101244559"/>
      <w:bookmarkStart w:id="11506" w:name="_Toc98233781"/>
      <w:bookmarkStart w:id="11507" w:name="_Toc120702457"/>
      <w:bookmarkStart w:id="11508" w:name="_Toc114133956"/>
      <w:r w:rsidRPr="00513375">
        <w:rPr>
          <w:rFonts w:ascii="Arial" w:hAnsi="Arial"/>
          <w:sz w:val="24"/>
        </w:rPr>
        <w:t>5.2.7.3</w:t>
      </w:r>
      <w:r w:rsidRPr="00513375">
        <w:rPr>
          <w:rFonts w:ascii="Arial" w:hAnsi="Arial"/>
          <w:sz w:val="24"/>
        </w:rPr>
        <w:tab/>
        <w:t>Application Errors</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5570C2EC" w14:textId="77777777" w:rsidR="003E1F9F" w:rsidRPr="00513375" w:rsidRDefault="003E1F9F" w:rsidP="003E1F9F">
      <w:pPr>
        <w:rPr>
          <w:rFonts w:eastAsia="Batang"/>
        </w:rPr>
      </w:pPr>
      <w:r w:rsidRPr="00513375">
        <w:rPr>
          <w:rFonts w:eastAsia="Batang"/>
        </w:rPr>
        <w:t>The application errors defined for the Nnwdaf_AnalyticsInfo API are listed in table 5.2.7.3-1.</w:t>
      </w:r>
    </w:p>
    <w:p w14:paraId="61F2BE72" w14:textId="77777777" w:rsidR="003E1F9F" w:rsidRPr="00513375" w:rsidRDefault="003E1F9F" w:rsidP="003E1F9F">
      <w:pPr>
        <w:keepNext/>
        <w:keepLines/>
        <w:spacing w:before="60"/>
        <w:jc w:val="center"/>
        <w:rPr>
          <w:rFonts w:ascii="Arial" w:hAnsi="Arial"/>
          <w:b/>
        </w:rPr>
      </w:pPr>
      <w:r w:rsidRPr="00513375">
        <w:rPr>
          <w:rFonts w:ascii="Arial" w:hAnsi="Arial"/>
          <w:b/>
        </w:rPr>
        <w:t>Table 5.2.7.3-1: Application errors</w:t>
      </w:r>
    </w:p>
    <w:tbl>
      <w:tblPr>
        <w:tblW w:w="960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092"/>
        <w:gridCol w:w="2552"/>
        <w:gridCol w:w="3543"/>
        <w:gridCol w:w="1418"/>
      </w:tblGrid>
      <w:tr w:rsidR="003E1F9F" w:rsidRPr="00513375" w14:paraId="446473AE" w14:textId="77777777" w:rsidTr="005A20DD">
        <w:trPr>
          <w:cantSplit/>
          <w:jc w:val="center"/>
        </w:trPr>
        <w:tc>
          <w:tcPr>
            <w:tcW w:w="2092" w:type="dxa"/>
          </w:tcPr>
          <w:p w14:paraId="388105E3"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Application Error</w:t>
            </w:r>
          </w:p>
        </w:tc>
        <w:tc>
          <w:tcPr>
            <w:tcW w:w="2552" w:type="dxa"/>
          </w:tcPr>
          <w:p w14:paraId="48CBB393"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HTTP status code</w:t>
            </w:r>
          </w:p>
        </w:tc>
        <w:tc>
          <w:tcPr>
            <w:tcW w:w="3543" w:type="dxa"/>
          </w:tcPr>
          <w:p w14:paraId="49B4EDA3"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Description</w:t>
            </w:r>
          </w:p>
        </w:tc>
        <w:tc>
          <w:tcPr>
            <w:tcW w:w="1418" w:type="dxa"/>
            <w:shd w:val="clear" w:color="auto" w:fill="C0C0C0"/>
          </w:tcPr>
          <w:p w14:paraId="3D0D5AE2" w14:textId="77777777" w:rsidR="003E1F9F" w:rsidRPr="00513375" w:rsidRDefault="003E1F9F" w:rsidP="005A20DD">
            <w:pPr>
              <w:keepNext/>
              <w:keepLines/>
              <w:spacing w:after="0"/>
              <w:jc w:val="center"/>
              <w:rPr>
                <w:rFonts w:ascii="Arial" w:hAnsi="Arial"/>
                <w:b/>
                <w:sz w:val="18"/>
              </w:rPr>
            </w:pPr>
            <w:r w:rsidRPr="00513375">
              <w:rPr>
                <w:rFonts w:ascii="Arial" w:hAnsi="Arial"/>
                <w:b/>
                <w:sz w:val="18"/>
              </w:rPr>
              <w:t>Applicability</w:t>
            </w:r>
          </w:p>
        </w:tc>
      </w:tr>
      <w:tr w:rsidR="003E1F9F" w:rsidRPr="00513375" w14:paraId="62DAFEF4" w14:textId="77777777" w:rsidTr="005A20DD">
        <w:trPr>
          <w:cantSplit/>
          <w:jc w:val="center"/>
        </w:trPr>
        <w:tc>
          <w:tcPr>
            <w:tcW w:w="2092" w:type="dxa"/>
          </w:tcPr>
          <w:p w14:paraId="5CB6C369" w14:textId="77777777" w:rsidR="003E1F9F" w:rsidRPr="00513375" w:rsidRDefault="003E1F9F" w:rsidP="005A20DD">
            <w:pPr>
              <w:keepNext/>
              <w:keepLines/>
              <w:spacing w:after="0"/>
              <w:rPr>
                <w:rFonts w:ascii="Arial" w:hAnsi="Arial"/>
                <w:sz w:val="18"/>
              </w:rPr>
            </w:pPr>
            <w:r w:rsidRPr="00513375">
              <w:rPr>
                <w:rFonts w:ascii="Arial" w:hAnsi="Arial"/>
                <w:sz w:val="18"/>
              </w:rPr>
              <w:t>BOTH_STAT_PRED_NOT_ALLOWED</w:t>
            </w:r>
          </w:p>
        </w:tc>
        <w:tc>
          <w:tcPr>
            <w:tcW w:w="2552" w:type="dxa"/>
          </w:tcPr>
          <w:p w14:paraId="6A736DE1" w14:textId="77777777" w:rsidR="003E1F9F" w:rsidRPr="00513375" w:rsidRDefault="003E1F9F" w:rsidP="005A20DD">
            <w:pPr>
              <w:keepNext/>
              <w:keepLines/>
              <w:spacing w:after="0"/>
              <w:rPr>
                <w:rFonts w:ascii="Arial" w:hAnsi="Arial"/>
                <w:sz w:val="18"/>
              </w:rPr>
            </w:pPr>
            <w:r w:rsidRPr="00513375">
              <w:rPr>
                <w:rFonts w:ascii="Arial" w:hAnsi="Arial"/>
                <w:sz w:val="18"/>
              </w:rPr>
              <w:t>400 Bad Request</w:t>
            </w:r>
          </w:p>
        </w:tc>
        <w:tc>
          <w:tcPr>
            <w:tcW w:w="3543" w:type="dxa"/>
          </w:tcPr>
          <w:p w14:paraId="694B4FAA"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 shall be rejected, because for the requested observation period, the start time is in the past and the end time is in the future, which means the NF service consumer requested both statistics and prediction for the analytics is not allowed.</w:t>
            </w:r>
          </w:p>
        </w:tc>
        <w:tc>
          <w:tcPr>
            <w:tcW w:w="1418" w:type="dxa"/>
          </w:tcPr>
          <w:p w14:paraId="093C216D" w14:textId="77777777" w:rsidR="003E1F9F" w:rsidRPr="00513375" w:rsidRDefault="003E1F9F" w:rsidP="005A20DD">
            <w:pPr>
              <w:keepNext/>
              <w:keepLines/>
              <w:spacing w:after="0"/>
              <w:rPr>
                <w:rFonts w:ascii="Arial" w:hAnsi="Arial"/>
                <w:sz w:val="18"/>
              </w:rPr>
            </w:pPr>
          </w:p>
        </w:tc>
      </w:tr>
      <w:tr w:rsidR="003E1F9F" w:rsidRPr="00513375" w14:paraId="508DB47B" w14:textId="77777777" w:rsidTr="005A20DD">
        <w:trPr>
          <w:cantSplit/>
          <w:jc w:val="center"/>
        </w:trPr>
        <w:tc>
          <w:tcPr>
            <w:tcW w:w="2092" w:type="dxa"/>
          </w:tcPr>
          <w:p w14:paraId="0673C4DD" w14:textId="77777777" w:rsidR="003E1F9F" w:rsidRPr="00513375" w:rsidRDefault="003E1F9F" w:rsidP="005A20DD">
            <w:pPr>
              <w:keepNext/>
              <w:keepLines/>
              <w:spacing w:after="0"/>
              <w:rPr>
                <w:rFonts w:ascii="Arial" w:hAnsi="Arial"/>
                <w:sz w:val="18"/>
              </w:rPr>
            </w:pPr>
            <w:r w:rsidRPr="00513375">
              <w:rPr>
                <w:rFonts w:ascii="Arial" w:hAnsi="Arial"/>
                <w:sz w:val="18"/>
              </w:rPr>
              <w:t>PREDICTION_NOT_ALLOWED</w:t>
            </w:r>
          </w:p>
        </w:tc>
        <w:tc>
          <w:tcPr>
            <w:tcW w:w="2552" w:type="dxa"/>
          </w:tcPr>
          <w:p w14:paraId="22540D2E" w14:textId="77777777" w:rsidR="003E1F9F" w:rsidRPr="00513375" w:rsidRDefault="003E1F9F" w:rsidP="005A20DD">
            <w:pPr>
              <w:keepNext/>
              <w:keepLines/>
              <w:spacing w:after="0"/>
              <w:rPr>
                <w:rFonts w:ascii="Arial" w:hAnsi="Arial"/>
                <w:sz w:val="18"/>
              </w:rPr>
            </w:pPr>
            <w:r w:rsidRPr="00513375">
              <w:rPr>
                <w:rFonts w:ascii="Arial" w:hAnsi="Arial"/>
                <w:sz w:val="18"/>
              </w:rPr>
              <w:t>400 Bad Request</w:t>
            </w:r>
          </w:p>
        </w:tc>
        <w:tc>
          <w:tcPr>
            <w:tcW w:w="3543" w:type="dxa"/>
          </w:tcPr>
          <w:p w14:paraId="0D8A6EB6"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 shall be rejected because the prediction for the analytics event is not allowed.</w:t>
            </w:r>
          </w:p>
        </w:tc>
        <w:tc>
          <w:tcPr>
            <w:tcW w:w="1418" w:type="dxa"/>
          </w:tcPr>
          <w:p w14:paraId="12C5FD28" w14:textId="77777777" w:rsidR="003E1F9F" w:rsidRPr="00513375" w:rsidRDefault="003E1F9F" w:rsidP="005A20DD">
            <w:pPr>
              <w:keepNext/>
              <w:keepLines/>
              <w:spacing w:after="0"/>
              <w:rPr>
                <w:rFonts w:ascii="Arial" w:hAnsi="Arial"/>
                <w:sz w:val="18"/>
              </w:rPr>
            </w:pPr>
            <w:r w:rsidRPr="00513375">
              <w:rPr>
                <w:rFonts w:ascii="Arial" w:hAnsi="Arial"/>
                <w:sz w:val="18"/>
              </w:rPr>
              <w:t>PredictionError</w:t>
            </w:r>
          </w:p>
        </w:tc>
      </w:tr>
      <w:tr w:rsidR="003E1F9F" w:rsidRPr="00513375" w14:paraId="7376CA0B" w14:textId="77777777" w:rsidTr="005A20DD">
        <w:trPr>
          <w:cantSplit/>
          <w:jc w:val="center"/>
        </w:trPr>
        <w:tc>
          <w:tcPr>
            <w:tcW w:w="2092" w:type="dxa"/>
          </w:tcPr>
          <w:p w14:paraId="6751C16D" w14:textId="77777777" w:rsidR="003E1F9F" w:rsidRPr="00513375" w:rsidRDefault="003E1F9F" w:rsidP="005A20DD">
            <w:pPr>
              <w:keepNext/>
              <w:keepLines/>
              <w:spacing w:after="0"/>
              <w:rPr>
                <w:rFonts w:ascii="Arial" w:hAnsi="Arial"/>
                <w:sz w:val="18"/>
              </w:rPr>
            </w:pPr>
            <w:r w:rsidRPr="00513375">
              <w:rPr>
                <w:rFonts w:ascii="Arial" w:hAnsi="Arial"/>
                <w:sz w:val="18"/>
              </w:rPr>
              <w:t>USER_CONSENT_NOT_GRANTED</w:t>
            </w:r>
          </w:p>
        </w:tc>
        <w:tc>
          <w:tcPr>
            <w:tcW w:w="2552" w:type="dxa"/>
          </w:tcPr>
          <w:p w14:paraId="46765E45" w14:textId="77777777" w:rsidR="003E1F9F" w:rsidRPr="00513375" w:rsidRDefault="003E1F9F" w:rsidP="005A20DD">
            <w:pPr>
              <w:keepNext/>
              <w:keepLines/>
              <w:spacing w:after="0"/>
              <w:rPr>
                <w:rFonts w:ascii="Arial" w:hAnsi="Arial"/>
                <w:sz w:val="18"/>
              </w:rPr>
            </w:pPr>
            <w:r w:rsidRPr="00513375">
              <w:rPr>
                <w:rFonts w:ascii="Arial" w:hAnsi="Arial"/>
                <w:sz w:val="18"/>
              </w:rPr>
              <w:t>403 Forbidden</w:t>
            </w:r>
          </w:p>
        </w:tc>
        <w:tc>
          <w:tcPr>
            <w:tcW w:w="3543" w:type="dxa"/>
          </w:tcPr>
          <w:p w14:paraId="460B5794"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 shall be rejected because an impacted user has not provided the required user consent.</w:t>
            </w:r>
          </w:p>
        </w:tc>
        <w:tc>
          <w:tcPr>
            <w:tcW w:w="1418" w:type="dxa"/>
          </w:tcPr>
          <w:p w14:paraId="3C2BB2CA" w14:textId="77777777" w:rsidR="003E1F9F" w:rsidRPr="00513375" w:rsidRDefault="003E1F9F" w:rsidP="005A20DD">
            <w:pPr>
              <w:keepNext/>
              <w:keepLines/>
              <w:spacing w:after="0"/>
              <w:rPr>
                <w:rFonts w:ascii="Arial" w:hAnsi="Arial"/>
                <w:sz w:val="18"/>
              </w:rPr>
            </w:pPr>
          </w:p>
        </w:tc>
      </w:tr>
      <w:tr w:rsidR="003E1F9F" w:rsidRPr="00513375" w14:paraId="5B894AF2" w14:textId="77777777" w:rsidTr="005A20DD">
        <w:trPr>
          <w:cantSplit/>
          <w:jc w:val="center"/>
        </w:trPr>
        <w:tc>
          <w:tcPr>
            <w:tcW w:w="2092" w:type="dxa"/>
          </w:tcPr>
          <w:p w14:paraId="2F31FFF5" w14:textId="77777777" w:rsidR="003E1F9F" w:rsidRPr="00513375" w:rsidRDefault="003E1F9F" w:rsidP="005A20DD">
            <w:pPr>
              <w:keepNext/>
              <w:keepLines/>
              <w:spacing w:after="0"/>
              <w:rPr>
                <w:rFonts w:ascii="Arial" w:hAnsi="Arial"/>
                <w:sz w:val="18"/>
              </w:rPr>
            </w:pPr>
            <w:r>
              <w:rPr>
                <w:rFonts w:ascii="Arial" w:hAnsi="Arial"/>
                <w:sz w:val="18"/>
              </w:rPr>
              <w:t>NO_ROAMING_SUPPORT</w:t>
            </w:r>
          </w:p>
        </w:tc>
        <w:tc>
          <w:tcPr>
            <w:tcW w:w="2552" w:type="dxa"/>
          </w:tcPr>
          <w:p w14:paraId="2C352C80" w14:textId="77777777" w:rsidR="003E1F9F" w:rsidRPr="00513375" w:rsidRDefault="003E1F9F" w:rsidP="005A20DD">
            <w:pPr>
              <w:keepNext/>
              <w:keepLines/>
              <w:spacing w:after="0"/>
              <w:rPr>
                <w:rFonts w:ascii="Arial" w:hAnsi="Arial"/>
                <w:sz w:val="18"/>
              </w:rPr>
            </w:pPr>
            <w:r w:rsidRPr="00A801F9">
              <w:rPr>
                <w:rFonts w:ascii="Arial" w:hAnsi="Arial"/>
                <w:sz w:val="18"/>
              </w:rPr>
              <w:t>403 Forbidden</w:t>
            </w:r>
          </w:p>
        </w:tc>
        <w:tc>
          <w:tcPr>
            <w:tcW w:w="3543" w:type="dxa"/>
          </w:tcPr>
          <w:p w14:paraId="0EF903D1" w14:textId="77777777" w:rsidR="003E1F9F" w:rsidRPr="00513375" w:rsidRDefault="003E1F9F" w:rsidP="005A20DD">
            <w:pPr>
              <w:keepNext/>
              <w:keepLines/>
              <w:spacing w:after="0"/>
              <w:rPr>
                <w:rFonts w:ascii="Arial" w:hAnsi="Arial"/>
                <w:sz w:val="18"/>
              </w:rPr>
            </w:pPr>
            <w:r w:rsidRPr="00A801F9">
              <w:rPr>
                <w:rFonts w:ascii="Arial" w:hAnsi="Arial"/>
                <w:sz w:val="18"/>
              </w:rPr>
              <w:t xml:space="preserve">Indicates that the request shall be rejected because </w:t>
            </w:r>
            <w:r>
              <w:rPr>
                <w:rFonts w:ascii="Arial" w:hAnsi="Arial"/>
                <w:sz w:val="18"/>
              </w:rPr>
              <w:t>roaming analytics or data are required and the NWDAF neither supports roaming exchange capabilitiy nor can it forward the request to another NWDAF</w:t>
            </w:r>
            <w:r w:rsidRPr="00A801F9">
              <w:rPr>
                <w:rFonts w:ascii="Arial" w:hAnsi="Arial"/>
                <w:sz w:val="18"/>
              </w:rPr>
              <w:t>.</w:t>
            </w:r>
          </w:p>
        </w:tc>
        <w:tc>
          <w:tcPr>
            <w:tcW w:w="1418" w:type="dxa"/>
          </w:tcPr>
          <w:p w14:paraId="02143030" w14:textId="77777777" w:rsidR="003E1F9F" w:rsidRPr="00513375" w:rsidRDefault="003E1F9F" w:rsidP="005A20DD">
            <w:pPr>
              <w:keepNext/>
              <w:keepLines/>
              <w:spacing w:after="0"/>
              <w:rPr>
                <w:rFonts w:ascii="Arial" w:hAnsi="Arial"/>
                <w:sz w:val="18"/>
              </w:rPr>
            </w:pPr>
            <w:r>
              <w:rPr>
                <w:rFonts w:ascii="Arial" w:hAnsi="Arial"/>
                <w:sz w:val="18"/>
              </w:rPr>
              <w:t>RoamingAnalytics</w:t>
            </w:r>
          </w:p>
        </w:tc>
      </w:tr>
      <w:tr w:rsidR="003E1F9F" w:rsidRPr="00513375" w14:paraId="6E4AD554" w14:textId="77777777" w:rsidTr="005A20DD">
        <w:trPr>
          <w:cantSplit/>
          <w:jc w:val="center"/>
        </w:trPr>
        <w:tc>
          <w:tcPr>
            <w:tcW w:w="2092" w:type="dxa"/>
          </w:tcPr>
          <w:p w14:paraId="3D0D17E2" w14:textId="77777777" w:rsidR="003E1F9F" w:rsidRPr="00513375" w:rsidRDefault="003E1F9F" w:rsidP="005A20DD">
            <w:pPr>
              <w:keepNext/>
              <w:keepLines/>
              <w:spacing w:after="0"/>
              <w:rPr>
                <w:rFonts w:ascii="Arial" w:hAnsi="Arial"/>
                <w:sz w:val="18"/>
              </w:rPr>
            </w:pPr>
            <w:r w:rsidRPr="00513375">
              <w:rPr>
                <w:rFonts w:ascii="Arial" w:hAnsi="Arial"/>
                <w:sz w:val="18"/>
              </w:rPr>
              <w:t>UNAVAILABLE_DATA</w:t>
            </w:r>
          </w:p>
        </w:tc>
        <w:tc>
          <w:tcPr>
            <w:tcW w:w="2552" w:type="dxa"/>
          </w:tcPr>
          <w:p w14:paraId="3A5A0E25" w14:textId="77777777" w:rsidR="003E1F9F" w:rsidRPr="00513375" w:rsidRDefault="003E1F9F" w:rsidP="005A20DD">
            <w:pPr>
              <w:keepNext/>
              <w:keepLines/>
              <w:spacing w:after="0"/>
              <w:rPr>
                <w:rFonts w:ascii="Arial" w:hAnsi="Arial"/>
                <w:sz w:val="18"/>
              </w:rPr>
            </w:pPr>
            <w:r w:rsidRPr="00513375">
              <w:rPr>
                <w:rFonts w:ascii="Arial" w:hAnsi="Arial"/>
                <w:sz w:val="18"/>
              </w:rPr>
              <w:t>500 Internal Server Error</w:t>
            </w:r>
          </w:p>
        </w:tc>
        <w:tc>
          <w:tcPr>
            <w:tcW w:w="3543" w:type="dxa"/>
          </w:tcPr>
          <w:p w14:paraId="2BDD8180" w14:textId="77777777" w:rsidR="003E1F9F" w:rsidRPr="00513375" w:rsidRDefault="003E1F9F" w:rsidP="005A20DD">
            <w:pPr>
              <w:keepNext/>
              <w:keepLines/>
              <w:spacing w:after="0"/>
              <w:rPr>
                <w:rFonts w:ascii="Arial" w:hAnsi="Arial"/>
                <w:sz w:val="18"/>
              </w:rPr>
            </w:pPr>
            <w:r w:rsidRPr="00513375">
              <w:rPr>
                <w:rFonts w:ascii="Arial" w:hAnsi="Arial"/>
                <w:sz w:val="18"/>
              </w:rPr>
              <w:t>Indicates the requested statistics in the past is rejected since necessary data to perform the service is unavailable.</w:t>
            </w:r>
          </w:p>
        </w:tc>
        <w:tc>
          <w:tcPr>
            <w:tcW w:w="1418" w:type="dxa"/>
          </w:tcPr>
          <w:p w14:paraId="6BBDE017" w14:textId="77777777" w:rsidR="003E1F9F" w:rsidRPr="00513375" w:rsidRDefault="003E1F9F" w:rsidP="005A20DD">
            <w:pPr>
              <w:keepNext/>
              <w:keepLines/>
              <w:spacing w:after="0"/>
              <w:rPr>
                <w:rFonts w:ascii="Arial" w:hAnsi="Arial"/>
                <w:sz w:val="18"/>
              </w:rPr>
            </w:pPr>
          </w:p>
        </w:tc>
      </w:tr>
      <w:tr w:rsidR="003E1F9F" w:rsidRPr="00513375" w14:paraId="518DA2DF" w14:textId="77777777" w:rsidTr="005A20DD">
        <w:trPr>
          <w:cantSplit/>
          <w:jc w:val="center"/>
        </w:trPr>
        <w:tc>
          <w:tcPr>
            <w:tcW w:w="2092" w:type="dxa"/>
          </w:tcPr>
          <w:p w14:paraId="47E6E4D6" w14:textId="77777777" w:rsidR="003E1F9F" w:rsidRPr="00513375" w:rsidRDefault="003E1F9F" w:rsidP="005A20DD">
            <w:pPr>
              <w:keepNext/>
              <w:keepLines/>
              <w:spacing w:after="0"/>
              <w:rPr>
                <w:rFonts w:ascii="Arial" w:hAnsi="Arial"/>
                <w:sz w:val="18"/>
              </w:rPr>
            </w:pPr>
            <w:r w:rsidRPr="00513375">
              <w:rPr>
                <w:rFonts w:ascii="Arial" w:hAnsi="Arial"/>
                <w:sz w:val="18"/>
              </w:rPr>
              <w:t>UNSATISFIED_REQUESTED_ANALYTICS_TIME</w:t>
            </w:r>
          </w:p>
        </w:tc>
        <w:tc>
          <w:tcPr>
            <w:tcW w:w="2552" w:type="dxa"/>
          </w:tcPr>
          <w:p w14:paraId="7FE5C02D" w14:textId="77777777" w:rsidR="003E1F9F" w:rsidRPr="00513375" w:rsidRDefault="003E1F9F" w:rsidP="005A20DD">
            <w:pPr>
              <w:keepNext/>
              <w:keepLines/>
              <w:spacing w:after="0"/>
              <w:rPr>
                <w:rFonts w:ascii="Arial" w:hAnsi="Arial"/>
                <w:sz w:val="18"/>
              </w:rPr>
            </w:pPr>
            <w:r w:rsidRPr="00513375">
              <w:rPr>
                <w:rFonts w:ascii="Arial" w:hAnsi="Arial" w:hint="eastAsia"/>
                <w:sz w:val="18"/>
                <w:lang w:eastAsia="zh-CN"/>
              </w:rPr>
              <w:t>5</w:t>
            </w:r>
            <w:r w:rsidRPr="00513375">
              <w:rPr>
                <w:rFonts w:ascii="Arial" w:hAnsi="Arial"/>
                <w:sz w:val="18"/>
                <w:lang w:eastAsia="zh-CN"/>
              </w:rPr>
              <w:t>0</w:t>
            </w:r>
            <w:r w:rsidRPr="00513375">
              <w:rPr>
                <w:rFonts w:ascii="Arial" w:hAnsi="Arial"/>
                <w:sz w:val="18"/>
              </w:rPr>
              <w:t>0 Internal Server Error</w:t>
            </w:r>
          </w:p>
        </w:tc>
        <w:tc>
          <w:tcPr>
            <w:tcW w:w="3543" w:type="dxa"/>
          </w:tcPr>
          <w:p w14:paraId="2C0A87C5" w14:textId="77777777" w:rsidR="003E1F9F" w:rsidRPr="00513375" w:rsidRDefault="003E1F9F" w:rsidP="005A20DD">
            <w:pPr>
              <w:keepNext/>
              <w:keepLines/>
              <w:spacing w:after="0"/>
              <w:rPr>
                <w:rFonts w:ascii="Arial" w:hAnsi="Arial"/>
                <w:sz w:val="18"/>
              </w:rPr>
            </w:pPr>
            <w:r w:rsidRPr="00513375">
              <w:rPr>
                <w:rFonts w:ascii="Arial" w:hAnsi="Arial"/>
                <w:sz w:val="18"/>
              </w:rPr>
              <w:t>Indicates that the requested event is rejected since the analytics information is not ready when the time indicated by the "timeAnaNeeded" attribute (as provided during the request) is reached.</w:t>
            </w:r>
          </w:p>
        </w:tc>
        <w:tc>
          <w:tcPr>
            <w:tcW w:w="1418" w:type="dxa"/>
          </w:tcPr>
          <w:p w14:paraId="2B074924" w14:textId="77777777" w:rsidR="003E1F9F" w:rsidRPr="00513375" w:rsidRDefault="003E1F9F" w:rsidP="005A20DD">
            <w:pPr>
              <w:keepNext/>
              <w:keepLines/>
              <w:spacing w:after="0"/>
              <w:rPr>
                <w:rFonts w:ascii="Arial" w:hAnsi="Arial"/>
                <w:sz w:val="18"/>
              </w:rPr>
            </w:pPr>
          </w:p>
        </w:tc>
      </w:tr>
      <w:tr w:rsidR="003E1F9F" w:rsidRPr="00513375" w14:paraId="7F3C7DC4" w14:textId="77777777" w:rsidTr="005A20DD">
        <w:trPr>
          <w:cantSplit/>
          <w:jc w:val="center"/>
        </w:trPr>
        <w:tc>
          <w:tcPr>
            <w:tcW w:w="8187" w:type="dxa"/>
            <w:gridSpan w:val="3"/>
          </w:tcPr>
          <w:p w14:paraId="41AE3913" w14:textId="77777777" w:rsidR="003E1F9F" w:rsidRPr="00513375" w:rsidRDefault="003E1F9F" w:rsidP="005A20DD">
            <w:pPr>
              <w:keepNext/>
              <w:keepLines/>
              <w:spacing w:after="0"/>
              <w:ind w:left="851" w:hanging="851"/>
              <w:rPr>
                <w:rFonts w:ascii="Arial" w:hAnsi="Arial"/>
                <w:sz w:val="18"/>
              </w:rPr>
            </w:pPr>
            <w:r w:rsidRPr="00513375">
              <w:rPr>
                <w:rFonts w:ascii="Arial" w:hAnsi="Arial"/>
                <w:sz w:val="18"/>
              </w:rPr>
              <w:t>NOTE:</w:t>
            </w:r>
            <w:r w:rsidRPr="00513375">
              <w:rPr>
                <w:rFonts w:ascii="Arial" w:hAnsi="Arial"/>
                <w:sz w:val="18"/>
              </w:rPr>
              <w:tab/>
              <w:t>Including a "ProblemDetails" data structure with the "cause" attribute in the HTTP response is optional unless explicitly mandated in the service operation clauses.</w:t>
            </w:r>
          </w:p>
        </w:tc>
        <w:tc>
          <w:tcPr>
            <w:tcW w:w="1418" w:type="dxa"/>
          </w:tcPr>
          <w:p w14:paraId="53D0759A" w14:textId="77777777" w:rsidR="003E1F9F" w:rsidRPr="00513375" w:rsidRDefault="003E1F9F" w:rsidP="005A20DD">
            <w:pPr>
              <w:keepNext/>
              <w:keepLines/>
              <w:spacing w:after="0"/>
              <w:ind w:left="851" w:hanging="851"/>
              <w:rPr>
                <w:rFonts w:ascii="Arial" w:hAnsi="Arial"/>
                <w:sz w:val="18"/>
              </w:rPr>
            </w:pPr>
          </w:p>
        </w:tc>
      </w:tr>
    </w:tbl>
    <w:p w14:paraId="4EB1CCD3" w14:textId="77777777" w:rsidR="003E1F9F" w:rsidRPr="00E639F5" w:rsidRDefault="003E1F9F" w:rsidP="003E1F9F">
      <w:pPr>
        <w:rPr>
          <w:lang w:eastAsia="zh-CN"/>
        </w:rPr>
      </w:pPr>
    </w:p>
    <w:p w14:paraId="160BA7FA" w14:textId="77777777" w:rsidR="00A10B25" w:rsidRDefault="00A10B25">
      <w:pPr>
        <w:pStyle w:val="3"/>
        <w:rPr>
          <w:lang w:val="en-US"/>
        </w:rPr>
      </w:pPr>
      <w:bookmarkStart w:id="11509" w:name="_Toc164920984"/>
      <w:bookmarkStart w:id="11510" w:name="_Toc170120526"/>
      <w:bookmarkStart w:id="11511" w:name="_Toc175858771"/>
      <w:bookmarkStart w:id="11512" w:name="_Toc175859844"/>
      <w:bookmarkStart w:id="11513" w:name="_Toc180606134"/>
      <w:bookmarkStart w:id="11514" w:name="_Toc185517395"/>
      <w:bookmarkStart w:id="11515" w:name="_Toc191576447"/>
      <w:bookmarkStart w:id="11516" w:name="_Toc191577187"/>
      <w:bookmarkStart w:id="11517" w:name="_Toc192880257"/>
      <w:bookmarkStart w:id="11518" w:name="_Toc195815146"/>
      <w:bookmarkStart w:id="11519" w:name="_Toc199453113"/>
      <w:r>
        <w:rPr>
          <w:lang w:val="en-US"/>
        </w:rPr>
        <w:t>5.</w:t>
      </w:r>
      <w:r>
        <w:rPr>
          <w:rFonts w:hint="eastAsia"/>
          <w:lang w:val="en-US"/>
        </w:rPr>
        <w:t>2.</w:t>
      </w:r>
      <w:r>
        <w:rPr>
          <w:lang w:val="en-US"/>
        </w:rPr>
        <w:t>8</w:t>
      </w:r>
      <w:r>
        <w:rPr>
          <w:rFonts w:hint="eastAsia"/>
          <w:lang w:val="en-US"/>
        </w:rPr>
        <w:tab/>
      </w:r>
      <w:r>
        <w:rPr>
          <w:lang w:val="en-US"/>
        </w:rPr>
        <w:t>Feature negotiation</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509"/>
      <w:bookmarkEnd w:id="11510"/>
      <w:bookmarkEnd w:id="11511"/>
      <w:bookmarkEnd w:id="11512"/>
      <w:bookmarkEnd w:id="11513"/>
      <w:bookmarkEnd w:id="11514"/>
      <w:bookmarkEnd w:id="11515"/>
      <w:bookmarkEnd w:id="11516"/>
      <w:bookmarkEnd w:id="11517"/>
      <w:bookmarkEnd w:id="11518"/>
      <w:bookmarkEnd w:id="11519"/>
    </w:p>
    <w:p w14:paraId="5837D5D2" w14:textId="77777777" w:rsidR="00A10B25" w:rsidRDefault="00A10B25">
      <w:pPr>
        <w:rPr>
          <w:rFonts w:eastAsia="Batang"/>
        </w:rPr>
      </w:pPr>
      <w:r>
        <w:rPr>
          <w:rFonts w:eastAsia="Batang"/>
        </w:rPr>
        <w:t xml:space="preserve">The optional features in table 5.2.8-1 are defined for the Nnwdaf_AnalyticsInfo </w:t>
      </w:r>
      <w:r>
        <w:rPr>
          <w:rFonts w:eastAsia="Batang"/>
          <w:lang w:eastAsia="zh-CN"/>
        </w:rPr>
        <w:t xml:space="preserve">API. They shall be negotiated using the </w:t>
      </w:r>
      <w:r>
        <w:rPr>
          <w:rFonts w:eastAsia="Batang"/>
        </w:rPr>
        <w:t>extensibility mechanism defined in clause 6.6 of 3GPP TS 29.500 [6].</w:t>
      </w:r>
    </w:p>
    <w:p w14:paraId="7112B560" w14:textId="77777777" w:rsidR="00A10B25" w:rsidRDefault="00A10B25">
      <w:pPr>
        <w:pStyle w:val="TH"/>
      </w:pPr>
      <w:bookmarkStart w:id="11520" w:name="_Toc88667706"/>
      <w:bookmarkStart w:id="11521" w:name="_Toc85553097"/>
      <w:bookmarkStart w:id="11522" w:name="_Toc104539156"/>
      <w:bookmarkStart w:id="11523" w:name="_Toc56641048"/>
      <w:bookmarkStart w:id="11524" w:name="_Toc94064396"/>
      <w:bookmarkStart w:id="11525" w:name="_Toc90655991"/>
      <w:bookmarkStart w:id="11526" w:name="_Toc85557196"/>
      <w:bookmarkStart w:id="11527" w:name="_Toc114133958"/>
      <w:bookmarkStart w:id="11528" w:name="_Toc70550713"/>
      <w:bookmarkStart w:id="11529" w:name="_Toc43563578"/>
      <w:bookmarkStart w:id="11530" w:name="_Toc83233168"/>
      <w:bookmarkStart w:id="11531" w:name="_Toc36102534"/>
      <w:bookmarkStart w:id="11532" w:name="_Toc34266363"/>
      <w:bookmarkStart w:id="11533" w:name="_Toc28012877"/>
      <w:bookmarkStart w:id="11534" w:name="_Toc51762979"/>
      <w:bookmarkStart w:id="11535" w:name="_Toc120702459"/>
      <w:bookmarkStart w:id="11536" w:name="_Toc98233783"/>
      <w:bookmarkStart w:id="11537" w:name="_Toc50032059"/>
      <w:bookmarkStart w:id="11538" w:name="_Toc45134127"/>
      <w:bookmarkStart w:id="11539" w:name="_Toc101244561"/>
      <w:bookmarkStart w:id="11540" w:name="_Toc66231884"/>
      <w:bookmarkStart w:id="11541" w:name="_Toc112951279"/>
      <w:bookmarkStart w:id="11542" w:name="_Toc113031819"/>
      <w:bookmarkStart w:id="11543" w:name="_Toc68169045"/>
      <w:bookmarkStart w:id="11544" w:name="_Toc59018016"/>
      <w:r>
        <w:lastRenderedPageBreak/>
        <w:t>Table 5.2.8-1: Supported Features</w:t>
      </w:r>
    </w:p>
    <w:tbl>
      <w:tblPr>
        <w:tblW w:w="9532"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6"/>
        <w:gridCol w:w="1426"/>
        <w:gridCol w:w="40"/>
        <w:gridCol w:w="2577"/>
        <w:gridCol w:w="41"/>
        <w:gridCol w:w="5372"/>
        <w:gridCol w:w="40"/>
      </w:tblGrid>
      <w:tr w:rsidR="00A10B25" w14:paraId="4A26F094" w14:textId="77777777">
        <w:trPr>
          <w:gridAfter w:val="1"/>
          <w:wAfter w:w="40" w:type="dxa"/>
          <w:jc w:val="center"/>
        </w:trPr>
        <w:tc>
          <w:tcPr>
            <w:tcW w:w="1462" w:type="dxa"/>
            <w:gridSpan w:val="2"/>
            <w:shd w:val="clear" w:color="auto" w:fill="C0C0C0"/>
          </w:tcPr>
          <w:p w14:paraId="75C506C7" w14:textId="77777777" w:rsidR="00A10B25" w:rsidRDefault="00A10B25">
            <w:pPr>
              <w:pStyle w:val="TAH"/>
            </w:pPr>
            <w:r>
              <w:lastRenderedPageBreak/>
              <w:t>Feature number</w:t>
            </w:r>
          </w:p>
        </w:tc>
        <w:tc>
          <w:tcPr>
            <w:tcW w:w="2617" w:type="dxa"/>
            <w:gridSpan w:val="2"/>
            <w:shd w:val="clear" w:color="auto" w:fill="C0C0C0"/>
          </w:tcPr>
          <w:p w14:paraId="22A1F782" w14:textId="77777777" w:rsidR="00A10B25" w:rsidRDefault="00A10B25">
            <w:pPr>
              <w:pStyle w:val="TAH"/>
            </w:pPr>
            <w:r>
              <w:t>Feature Name</w:t>
            </w:r>
          </w:p>
        </w:tc>
        <w:tc>
          <w:tcPr>
            <w:tcW w:w="5413" w:type="dxa"/>
            <w:gridSpan w:val="2"/>
            <w:shd w:val="clear" w:color="auto" w:fill="C0C0C0"/>
          </w:tcPr>
          <w:p w14:paraId="3AA0E967" w14:textId="77777777" w:rsidR="00A10B25" w:rsidRDefault="00A10B25">
            <w:pPr>
              <w:pStyle w:val="TAH"/>
            </w:pPr>
            <w:r>
              <w:t>Description</w:t>
            </w:r>
          </w:p>
        </w:tc>
      </w:tr>
      <w:tr w:rsidR="00A10B25" w14:paraId="3AB37505" w14:textId="77777777">
        <w:trPr>
          <w:gridAfter w:val="1"/>
          <w:wAfter w:w="40" w:type="dxa"/>
          <w:jc w:val="center"/>
        </w:trPr>
        <w:tc>
          <w:tcPr>
            <w:tcW w:w="1462" w:type="dxa"/>
            <w:gridSpan w:val="2"/>
          </w:tcPr>
          <w:p w14:paraId="52E847A3" w14:textId="77777777" w:rsidR="00A10B25" w:rsidRDefault="00A10B25">
            <w:pPr>
              <w:pStyle w:val="TAL"/>
            </w:pPr>
            <w:r>
              <w:t>1</w:t>
            </w:r>
          </w:p>
        </w:tc>
        <w:tc>
          <w:tcPr>
            <w:tcW w:w="2617" w:type="dxa"/>
            <w:gridSpan w:val="2"/>
          </w:tcPr>
          <w:p w14:paraId="34112B4E" w14:textId="77777777" w:rsidR="00A10B25" w:rsidRDefault="00A10B25">
            <w:pPr>
              <w:pStyle w:val="TAL"/>
            </w:pPr>
            <w:r>
              <w:t>UeMobility</w:t>
            </w:r>
          </w:p>
        </w:tc>
        <w:tc>
          <w:tcPr>
            <w:tcW w:w="5413" w:type="dxa"/>
            <w:gridSpan w:val="2"/>
          </w:tcPr>
          <w:p w14:paraId="11B7292E" w14:textId="77777777" w:rsidR="00A10B25" w:rsidRDefault="00A10B25">
            <w:pPr>
              <w:pStyle w:val="TAL"/>
            </w:pPr>
            <w:r>
              <w:t>This feature indicates the support of analytics based on UE mobility information.</w:t>
            </w:r>
          </w:p>
        </w:tc>
      </w:tr>
      <w:tr w:rsidR="00A10B25" w14:paraId="2FC01FAB" w14:textId="77777777">
        <w:trPr>
          <w:gridAfter w:val="1"/>
          <w:wAfter w:w="40" w:type="dxa"/>
          <w:jc w:val="center"/>
        </w:trPr>
        <w:tc>
          <w:tcPr>
            <w:tcW w:w="1462" w:type="dxa"/>
            <w:gridSpan w:val="2"/>
          </w:tcPr>
          <w:p w14:paraId="119D1A36" w14:textId="77777777" w:rsidR="00A10B25" w:rsidRDefault="00A10B25">
            <w:pPr>
              <w:pStyle w:val="TAL"/>
            </w:pPr>
            <w:r>
              <w:t>2</w:t>
            </w:r>
          </w:p>
        </w:tc>
        <w:tc>
          <w:tcPr>
            <w:tcW w:w="2617" w:type="dxa"/>
            <w:gridSpan w:val="2"/>
          </w:tcPr>
          <w:p w14:paraId="5303317A" w14:textId="77777777" w:rsidR="00A10B25" w:rsidRDefault="00A10B25">
            <w:pPr>
              <w:pStyle w:val="TAL"/>
            </w:pPr>
            <w:r>
              <w:t>UeCommunication</w:t>
            </w:r>
          </w:p>
        </w:tc>
        <w:tc>
          <w:tcPr>
            <w:tcW w:w="5413" w:type="dxa"/>
            <w:gridSpan w:val="2"/>
          </w:tcPr>
          <w:p w14:paraId="3C8E0770" w14:textId="77777777" w:rsidR="00A10B25" w:rsidRDefault="00A10B25">
            <w:pPr>
              <w:pStyle w:val="TAL"/>
            </w:pPr>
            <w:r>
              <w:t>This feature indicates the support of analytics based on UE communication information.</w:t>
            </w:r>
          </w:p>
        </w:tc>
      </w:tr>
      <w:tr w:rsidR="00A10B25" w14:paraId="40AF27A6" w14:textId="77777777">
        <w:trPr>
          <w:gridAfter w:val="1"/>
          <w:wAfter w:w="40" w:type="dxa"/>
          <w:jc w:val="center"/>
        </w:trPr>
        <w:tc>
          <w:tcPr>
            <w:tcW w:w="1462" w:type="dxa"/>
            <w:gridSpan w:val="2"/>
          </w:tcPr>
          <w:p w14:paraId="788B9DA3" w14:textId="77777777" w:rsidR="00A10B25" w:rsidRDefault="00A10B25">
            <w:pPr>
              <w:pStyle w:val="TAL"/>
            </w:pPr>
            <w:r>
              <w:rPr>
                <w:rFonts w:hint="eastAsia"/>
              </w:rPr>
              <w:t>3</w:t>
            </w:r>
          </w:p>
        </w:tc>
        <w:tc>
          <w:tcPr>
            <w:tcW w:w="2617" w:type="dxa"/>
            <w:gridSpan w:val="2"/>
          </w:tcPr>
          <w:p w14:paraId="1F2B7119" w14:textId="77777777" w:rsidR="00A10B25" w:rsidRDefault="00A10B25">
            <w:pPr>
              <w:pStyle w:val="TAL"/>
            </w:pPr>
            <w:r>
              <w:t>NetworkPerformance</w:t>
            </w:r>
          </w:p>
        </w:tc>
        <w:tc>
          <w:tcPr>
            <w:tcW w:w="5413" w:type="dxa"/>
            <w:gridSpan w:val="2"/>
          </w:tcPr>
          <w:p w14:paraId="609EA1B9" w14:textId="77777777" w:rsidR="00A10B25" w:rsidRDefault="00A10B25">
            <w:pPr>
              <w:pStyle w:val="TAL"/>
            </w:pPr>
            <w:r>
              <w:t>This feature indicates the support of analytics based on network performance.</w:t>
            </w:r>
          </w:p>
        </w:tc>
      </w:tr>
      <w:tr w:rsidR="00A10B25" w14:paraId="2E1E3DBB" w14:textId="77777777">
        <w:trPr>
          <w:gridAfter w:val="1"/>
          <w:wAfter w:w="40" w:type="dxa"/>
          <w:jc w:val="center"/>
        </w:trPr>
        <w:tc>
          <w:tcPr>
            <w:tcW w:w="1462" w:type="dxa"/>
            <w:gridSpan w:val="2"/>
          </w:tcPr>
          <w:p w14:paraId="1A90E54C" w14:textId="77777777" w:rsidR="00A10B25" w:rsidRDefault="00A10B25">
            <w:pPr>
              <w:pStyle w:val="TAL"/>
            </w:pPr>
            <w:r>
              <w:rPr>
                <w:rFonts w:hint="eastAsia"/>
              </w:rPr>
              <w:t>4</w:t>
            </w:r>
          </w:p>
        </w:tc>
        <w:tc>
          <w:tcPr>
            <w:tcW w:w="2617" w:type="dxa"/>
            <w:gridSpan w:val="2"/>
          </w:tcPr>
          <w:p w14:paraId="43B94DDB" w14:textId="77777777" w:rsidR="00A10B25" w:rsidRDefault="00A10B25">
            <w:pPr>
              <w:pStyle w:val="TAL"/>
            </w:pPr>
            <w:r>
              <w:t>ServiceExperience</w:t>
            </w:r>
          </w:p>
        </w:tc>
        <w:tc>
          <w:tcPr>
            <w:tcW w:w="5413" w:type="dxa"/>
            <w:gridSpan w:val="2"/>
          </w:tcPr>
          <w:p w14:paraId="36EC9BB5" w14:textId="77777777" w:rsidR="00A10B25" w:rsidRDefault="00A10B25">
            <w:pPr>
              <w:pStyle w:val="TAL"/>
            </w:pPr>
            <w:r>
              <w:t>This feature indicates support for the event related to service experience.</w:t>
            </w:r>
          </w:p>
        </w:tc>
      </w:tr>
      <w:tr w:rsidR="00A10B25" w14:paraId="5428BE49" w14:textId="77777777">
        <w:trPr>
          <w:gridAfter w:val="1"/>
          <w:wAfter w:w="40" w:type="dxa"/>
          <w:jc w:val="center"/>
        </w:trPr>
        <w:tc>
          <w:tcPr>
            <w:tcW w:w="1462" w:type="dxa"/>
            <w:gridSpan w:val="2"/>
          </w:tcPr>
          <w:p w14:paraId="5932F3A4" w14:textId="77777777" w:rsidR="00A10B25" w:rsidRDefault="00A10B25">
            <w:pPr>
              <w:pStyle w:val="TAL"/>
            </w:pPr>
            <w:r>
              <w:t>5</w:t>
            </w:r>
          </w:p>
        </w:tc>
        <w:tc>
          <w:tcPr>
            <w:tcW w:w="2617" w:type="dxa"/>
            <w:gridSpan w:val="2"/>
          </w:tcPr>
          <w:p w14:paraId="12B9CA13" w14:textId="77777777" w:rsidR="00A10B25" w:rsidRDefault="00A10B25">
            <w:pPr>
              <w:pStyle w:val="TAL"/>
            </w:pPr>
            <w:r>
              <w:t>QoSSustainability</w:t>
            </w:r>
          </w:p>
        </w:tc>
        <w:tc>
          <w:tcPr>
            <w:tcW w:w="5413" w:type="dxa"/>
            <w:gridSpan w:val="2"/>
          </w:tcPr>
          <w:p w14:paraId="7C89F92A" w14:textId="77777777" w:rsidR="00A10B25" w:rsidRDefault="00A10B25">
            <w:pPr>
              <w:pStyle w:val="TAL"/>
            </w:pPr>
            <w:r>
              <w:t>This feature indicates support for the event related to QoS sustainability.</w:t>
            </w:r>
          </w:p>
        </w:tc>
      </w:tr>
      <w:tr w:rsidR="00A10B25" w14:paraId="5B2923BD" w14:textId="77777777">
        <w:trPr>
          <w:gridAfter w:val="1"/>
          <w:wAfter w:w="40" w:type="dxa"/>
          <w:jc w:val="center"/>
        </w:trPr>
        <w:tc>
          <w:tcPr>
            <w:tcW w:w="1462" w:type="dxa"/>
            <w:gridSpan w:val="2"/>
          </w:tcPr>
          <w:p w14:paraId="3A18E471" w14:textId="77777777" w:rsidR="00A10B25" w:rsidRDefault="00A10B25">
            <w:pPr>
              <w:pStyle w:val="TAL"/>
            </w:pPr>
            <w:r>
              <w:rPr>
                <w:rFonts w:hint="eastAsia"/>
              </w:rPr>
              <w:t>6</w:t>
            </w:r>
          </w:p>
        </w:tc>
        <w:tc>
          <w:tcPr>
            <w:tcW w:w="2617" w:type="dxa"/>
            <w:gridSpan w:val="2"/>
          </w:tcPr>
          <w:p w14:paraId="6800886F" w14:textId="77777777" w:rsidR="00A10B25" w:rsidRDefault="00A10B25">
            <w:pPr>
              <w:pStyle w:val="TAL"/>
            </w:pPr>
            <w:r>
              <w:t>AbnormalBehaviour</w:t>
            </w:r>
          </w:p>
        </w:tc>
        <w:tc>
          <w:tcPr>
            <w:tcW w:w="5413" w:type="dxa"/>
            <w:gridSpan w:val="2"/>
          </w:tcPr>
          <w:p w14:paraId="777EEBCE" w14:textId="77777777" w:rsidR="00A10B25" w:rsidRDefault="00A10B25">
            <w:pPr>
              <w:pStyle w:val="TAL"/>
            </w:pPr>
            <w:r>
              <w:t>This feature indicates support for the event related to abnormal behaviour information.</w:t>
            </w:r>
          </w:p>
        </w:tc>
      </w:tr>
      <w:tr w:rsidR="00A10B25" w14:paraId="44AEB058" w14:textId="77777777">
        <w:trPr>
          <w:gridAfter w:val="1"/>
          <w:wAfter w:w="40" w:type="dxa"/>
          <w:jc w:val="center"/>
        </w:trPr>
        <w:tc>
          <w:tcPr>
            <w:tcW w:w="1462" w:type="dxa"/>
            <w:gridSpan w:val="2"/>
          </w:tcPr>
          <w:p w14:paraId="544CE4B2" w14:textId="77777777" w:rsidR="00A10B25" w:rsidRDefault="00A10B25">
            <w:pPr>
              <w:pStyle w:val="TAL"/>
            </w:pPr>
            <w:r>
              <w:rPr>
                <w:rFonts w:hint="eastAsia"/>
              </w:rPr>
              <w:t>7</w:t>
            </w:r>
          </w:p>
        </w:tc>
        <w:tc>
          <w:tcPr>
            <w:tcW w:w="2617" w:type="dxa"/>
            <w:gridSpan w:val="2"/>
          </w:tcPr>
          <w:p w14:paraId="24EE751B" w14:textId="77777777" w:rsidR="00A10B25" w:rsidRDefault="00A10B25">
            <w:pPr>
              <w:pStyle w:val="TAL"/>
            </w:pPr>
            <w:r>
              <w:t>UserDataCongestion</w:t>
            </w:r>
          </w:p>
        </w:tc>
        <w:tc>
          <w:tcPr>
            <w:tcW w:w="5413" w:type="dxa"/>
            <w:gridSpan w:val="2"/>
          </w:tcPr>
          <w:p w14:paraId="6B0F4A9F" w14:textId="77777777" w:rsidR="00A10B25" w:rsidRDefault="00A10B25">
            <w:pPr>
              <w:pStyle w:val="TAL"/>
            </w:pPr>
            <w:r>
              <w:t>This feature indicates the support of the analytics related on user data congestion.</w:t>
            </w:r>
          </w:p>
        </w:tc>
      </w:tr>
      <w:tr w:rsidR="00A10B25" w14:paraId="6F73E56A" w14:textId="77777777">
        <w:trPr>
          <w:gridAfter w:val="1"/>
          <w:wAfter w:w="40" w:type="dxa"/>
          <w:jc w:val="center"/>
        </w:trPr>
        <w:tc>
          <w:tcPr>
            <w:tcW w:w="1462" w:type="dxa"/>
            <w:gridSpan w:val="2"/>
          </w:tcPr>
          <w:p w14:paraId="7CB00019" w14:textId="77777777" w:rsidR="00A10B25" w:rsidRDefault="00A10B25">
            <w:pPr>
              <w:pStyle w:val="TAL"/>
            </w:pPr>
            <w:r>
              <w:rPr>
                <w:rFonts w:hint="eastAsia"/>
              </w:rPr>
              <w:t>8</w:t>
            </w:r>
          </w:p>
        </w:tc>
        <w:tc>
          <w:tcPr>
            <w:tcW w:w="2617" w:type="dxa"/>
            <w:gridSpan w:val="2"/>
          </w:tcPr>
          <w:p w14:paraId="0700C103" w14:textId="77777777" w:rsidR="00A10B25" w:rsidRDefault="00A10B25">
            <w:pPr>
              <w:pStyle w:val="TAL"/>
            </w:pPr>
            <w:r>
              <w:t>NfLoad</w:t>
            </w:r>
          </w:p>
        </w:tc>
        <w:tc>
          <w:tcPr>
            <w:tcW w:w="5413" w:type="dxa"/>
            <w:gridSpan w:val="2"/>
          </w:tcPr>
          <w:p w14:paraId="42F9425E" w14:textId="77777777" w:rsidR="00A10B25" w:rsidRDefault="00A10B25">
            <w:pPr>
              <w:pStyle w:val="TAL"/>
            </w:pPr>
            <w:r>
              <w:t>This feature indicates the support of the analytics related to the load of NF instances.</w:t>
            </w:r>
          </w:p>
        </w:tc>
      </w:tr>
      <w:tr w:rsidR="00A10B25" w14:paraId="112E39A2" w14:textId="77777777">
        <w:trPr>
          <w:gridAfter w:val="1"/>
          <w:wAfter w:w="40" w:type="dxa"/>
          <w:jc w:val="center"/>
        </w:trPr>
        <w:tc>
          <w:tcPr>
            <w:tcW w:w="1462" w:type="dxa"/>
            <w:gridSpan w:val="2"/>
          </w:tcPr>
          <w:p w14:paraId="4C350878" w14:textId="77777777" w:rsidR="00A10B25" w:rsidRDefault="00A10B25">
            <w:pPr>
              <w:pStyle w:val="TAL"/>
            </w:pPr>
            <w:r>
              <w:rPr>
                <w:rFonts w:hint="eastAsia"/>
              </w:rPr>
              <w:t>9</w:t>
            </w:r>
          </w:p>
        </w:tc>
        <w:tc>
          <w:tcPr>
            <w:tcW w:w="2617" w:type="dxa"/>
            <w:gridSpan w:val="2"/>
          </w:tcPr>
          <w:p w14:paraId="2992D244" w14:textId="77777777" w:rsidR="00A10B25" w:rsidRDefault="00A10B25">
            <w:pPr>
              <w:pStyle w:val="TAL"/>
            </w:pPr>
            <w:r>
              <w:t>NsiLoad</w:t>
            </w:r>
          </w:p>
        </w:tc>
        <w:tc>
          <w:tcPr>
            <w:tcW w:w="5413" w:type="dxa"/>
            <w:gridSpan w:val="2"/>
          </w:tcPr>
          <w:p w14:paraId="0099390C" w14:textId="77777777" w:rsidR="00A10B25" w:rsidRDefault="00A10B25">
            <w:pPr>
              <w:pStyle w:val="TAL"/>
            </w:pPr>
            <w:r>
              <w:t>This feature indicates the support of the analytics related to the load level of Network Slice and the optionally associated Network Slice Instance.</w:t>
            </w:r>
          </w:p>
        </w:tc>
      </w:tr>
      <w:tr w:rsidR="00A10B25" w14:paraId="1B7F512E" w14:textId="77777777">
        <w:trPr>
          <w:gridAfter w:val="1"/>
          <w:wAfter w:w="40" w:type="dxa"/>
          <w:jc w:val="center"/>
        </w:trPr>
        <w:tc>
          <w:tcPr>
            <w:tcW w:w="1462" w:type="dxa"/>
            <w:gridSpan w:val="2"/>
          </w:tcPr>
          <w:p w14:paraId="3565BF24" w14:textId="77777777" w:rsidR="00A10B25" w:rsidRDefault="00A10B25">
            <w:pPr>
              <w:pStyle w:val="TAL"/>
            </w:pPr>
            <w:r>
              <w:t>10</w:t>
            </w:r>
          </w:p>
        </w:tc>
        <w:tc>
          <w:tcPr>
            <w:tcW w:w="2617" w:type="dxa"/>
            <w:gridSpan w:val="2"/>
          </w:tcPr>
          <w:p w14:paraId="1B628B67" w14:textId="77777777" w:rsidR="00A10B25" w:rsidRDefault="00A10B25">
            <w:pPr>
              <w:pStyle w:val="TAL"/>
            </w:pPr>
            <w:r>
              <w:t>EneNA</w:t>
            </w:r>
          </w:p>
        </w:tc>
        <w:tc>
          <w:tcPr>
            <w:tcW w:w="5413" w:type="dxa"/>
            <w:gridSpan w:val="2"/>
          </w:tcPr>
          <w:p w14:paraId="2E8ABCF2" w14:textId="77777777" w:rsidR="00A10B25" w:rsidRDefault="00A10B25">
            <w:pPr>
              <w:pStyle w:val="TAL"/>
            </w:pPr>
            <w:r>
              <w:t>This feature indicates support for the enhancements of network data analytics requirements.</w:t>
            </w:r>
          </w:p>
        </w:tc>
      </w:tr>
      <w:tr w:rsidR="00A10B25" w14:paraId="09753B1C" w14:textId="77777777">
        <w:trPr>
          <w:gridBefore w:val="1"/>
          <w:wBefore w:w="36" w:type="dxa"/>
          <w:jc w:val="center"/>
        </w:trPr>
        <w:tc>
          <w:tcPr>
            <w:tcW w:w="1466" w:type="dxa"/>
            <w:gridSpan w:val="2"/>
          </w:tcPr>
          <w:p w14:paraId="7E5A0D33" w14:textId="77777777" w:rsidR="00A10B25" w:rsidRDefault="00A10B25">
            <w:pPr>
              <w:pStyle w:val="TAL"/>
            </w:pPr>
            <w:r>
              <w:rPr>
                <w:rFonts w:hint="eastAsia"/>
              </w:rPr>
              <w:t>1</w:t>
            </w:r>
            <w:r>
              <w:t>1</w:t>
            </w:r>
          </w:p>
        </w:tc>
        <w:tc>
          <w:tcPr>
            <w:tcW w:w="2618" w:type="dxa"/>
            <w:gridSpan w:val="2"/>
          </w:tcPr>
          <w:p w14:paraId="5FB96645" w14:textId="77777777" w:rsidR="00A10B25" w:rsidRDefault="00A10B25">
            <w:pPr>
              <w:pStyle w:val="TAL"/>
            </w:pPr>
            <w:r>
              <w:t>UserDataCongestionExt</w:t>
            </w:r>
          </w:p>
        </w:tc>
        <w:tc>
          <w:tcPr>
            <w:tcW w:w="5412" w:type="dxa"/>
            <w:gridSpan w:val="2"/>
          </w:tcPr>
          <w:p w14:paraId="669551EF" w14:textId="77777777" w:rsidR="00A10B25" w:rsidRDefault="00A10B25">
            <w:pPr>
              <w:pStyle w:val="TAL"/>
            </w:pPr>
            <w:r>
              <w:t>This feature indicates support for the extensions to the event related to user data congestion, including support of GPSI and/or list of Top applications. Supporting this feature also requires the support of feature UserDataCongestion.</w:t>
            </w:r>
          </w:p>
        </w:tc>
      </w:tr>
      <w:tr w:rsidR="00A10B25" w14:paraId="6EE5B3D6" w14:textId="77777777">
        <w:trPr>
          <w:gridAfter w:val="1"/>
          <w:wAfter w:w="40" w:type="dxa"/>
          <w:jc w:val="center"/>
        </w:trPr>
        <w:tc>
          <w:tcPr>
            <w:tcW w:w="1462" w:type="dxa"/>
            <w:gridSpan w:val="2"/>
          </w:tcPr>
          <w:p w14:paraId="71694941" w14:textId="77777777" w:rsidR="00A10B25" w:rsidRDefault="00A10B25">
            <w:pPr>
              <w:pStyle w:val="TAL"/>
            </w:pPr>
            <w:r>
              <w:t>12</w:t>
            </w:r>
          </w:p>
        </w:tc>
        <w:tc>
          <w:tcPr>
            <w:tcW w:w="2617" w:type="dxa"/>
            <w:gridSpan w:val="2"/>
          </w:tcPr>
          <w:p w14:paraId="6F2C49A2" w14:textId="77777777" w:rsidR="00A10B25" w:rsidRDefault="00A10B25">
            <w:pPr>
              <w:pStyle w:val="TAL"/>
            </w:pPr>
            <w:r>
              <w:t>Aggregation</w:t>
            </w:r>
          </w:p>
        </w:tc>
        <w:tc>
          <w:tcPr>
            <w:tcW w:w="5413" w:type="dxa"/>
            <w:gridSpan w:val="2"/>
          </w:tcPr>
          <w:p w14:paraId="1111B1FB" w14:textId="77777777" w:rsidR="00A10B25" w:rsidRDefault="00A10B25">
            <w:pPr>
              <w:pStyle w:val="TAL"/>
            </w:pPr>
            <w:r>
              <w:t xml:space="preserve">This feature indicates support for analytics aggregation. </w:t>
            </w:r>
          </w:p>
        </w:tc>
      </w:tr>
      <w:tr w:rsidR="00A10B25" w14:paraId="7461BD8B" w14:textId="77777777">
        <w:trPr>
          <w:gridAfter w:val="1"/>
          <w:wAfter w:w="40" w:type="dxa"/>
          <w:jc w:val="center"/>
        </w:trPr>
        <w:tc>
          <w:tcPr>
            <w:tcW w:w="1462" w:type="dxa"/>
            <w:gridSpan w:val="2"/>
          </w:tcPr>
          <w:p w14:paraId="7D3107C8" w14:textId="77777777" w:rsidR="00A10B25" w:rsidRDefault="00A10B25">
            <w:pPr>
              <w:pStyle w:val="TAL"/>
            </w:pPr>
            <w:r>
              <w:t>13</w:t>
            </w:r>
          </w:p>
        </w:tc>
        <w:tc>
          <w:tcPr>
            <w:tcW w:w="2617" w:type="dxa"/>
            <w:gridSpan w:val="2"/>
          </w:tcPr>
          <w:p w14:paraId="5D048B5A" w14:textId="77777777" w:rsidR="00A10B25" w:rsidRDefault="00A10B25">
            <w:pPr>
              <w:pStyle w:val="TAL"/>
            </w:pPr>
            <w:r>
              <w:t>NsiLoadExt</w:t>
            </w:r>
          </w:p>
        </w:tc>
        <w:tc>
          <w:tcPr>
            <w:tcW w:w="5413" w:type="dxa"/>
            <w:gridSpan w:val="2"/>
          </w:tcPr>
          <w:p w14:paraId="1262D3BD" w14:textId="77777777" w:rsidR="00A10B25" w:rsidRDefault="00A10B25">
            <w:pPr>
              <w:pStyle w:val="TAL"/>
            </w:pPr>
            <w:r>
              <w:t>This feature indicates support for the extensions to the event related to the load level of Network Slice and the optionally associated Network Slice Instance, including support of area of interest, NF load information and number of UE or number of PDU Session. Supporting this feature also requires the support of feature NsiLoad.</w:t>
            </w:r>
          </w:p>
        </w:tc>
      </w:tr>
      <w:tr w:rsidR="00A10B25" w14:paraId="087A64FA" w14:textId="77777777">
        <w:trPr>
          <w:gridAfter w:val="1"/>
          <w:wAfter w:w="40" w:type="dxa"/>
          <w:jc w:val="center"/>
        </w:trPr>
        <w:tc>
          <w:tcPr>
            <w:tcW w:w="1462" w:type="dxa"/>
            <w:gridSpan w:val="2"/>
          </w:tcPr>
          <w:p w14:paraId="64B16D10" w14:textId="77777777" w:rsidR="00A10B25" w:rsidRDefault="00A10B25">
            <w:pPr>
              <w:pStyle w:val="TAL"/>
              <w:rPr>
                <w:lang w:eastAsia="zh-CN"/>
              </w:rPr>
            </w:pPr>
            <w:r>
              <w:rPr>
                <w:lang w:eastAsia="zh-CN"/>
              </w:rPr>
              <w:t>14</w:t>
            </w:r>
          </w:p>
        </w:tc>
        <w:tc>
          <w:tcPr>
            <w:tcW w:w="2617" w:type="dxa"/>
            <w:gridSpan w:val="2"/>
          </w:tcPr>
          <w:p w14:paraId="05B1EA7D" w14:textId="77777777" w:rsidR="00A10B25" w:rsidRDefault="00A10B25">
            <w:pPr>
              <w:pStyle w:val="TAL"/>
              <w:rPr>
                <w:lang w:eastAsia="zh-CN"/>
              </w:rPr>
            </w:pPr>
            <w:r>
              <w:rPr>
                <w:rFonts w:hint="eastAsia"/>
                <w:lang w:eastAsia="zh-CN"/>
              </w:rPr>
              <w:t>S</w:t>
            </w:r>
            <w:r>
              <w:rPr>
                <w:lang w:eastAsia="zh-CN"/>
              </w:rPr>
              <w:t>erviceExperienceExt</w:t>
            </w:r>
          </w:p>
        </w:tc>
        <w:tc>
          <w:tcPr>
            <w:tcW w:w="5413" w:type="dxa"/>
            <w:gridSpan w:val="2"/>
          </w:tcPr>
          <w:p w14:paraId="157D7190" w14:textId="77777777" w:rsidR="00A10B25" w:rsidRDefault="00A10B25">
            <w:pPr>
              <w:pStyle w:val="TAL"/>
            </w:pPr>
            <w:r>
              <w:rPr>
                <w:rFonts w:hint="eastAsia"/>
                <w:lang w:eastAsia="zh-CN"/>
              </w:rPr>
              <w:t>T</w:t>
            </w:r>
            <w:r>
              <w:rPr>
                <w:lang w:eastAsia="zh-CN"/>
              </w:rPr>
              <w:t>his feature indicates support for the extensions to the event related to service experience, including support of RAT type and/or Frequency. Supporting this feature also requires the support of feature ServiceExperience.</w:t>
            </w:r>
          </w:p>
        </w:tc>
      </w:tr>
      <w:tr w:rsidR="00A10B25" w14:paraId="4A468551" w14:textId="77777777">
        <w:trPr>
          <w:gridAfter w:val="1"/>
          <w:wAfter w:w="40" w:type="dxa"/>
          <w:jc w:val="center"/>
        </w:trPr>
        <w:tc>
          <w:tcPr>
            <w:tcW w:w="1462" w:type="dxa"/>
            <w:gridSpan w:val="2"/>
          </w:tcPr>
          <w:p w14:paraId="5A807F1E" w14:textId="77777777" w:rsidR="00A10B25" w:rsidRDefault="00A10B25">
            <w:pPr>
              <w:pStyle w:val="TAL"/>
              <w:rPr>
                <w:lang w:eastAsia="zh-CN"/>
              </w:rPr>
            </w:pPr>
            <w:r>
              <w:rPr>
                <w:rFonts w:hint="eastAsia"/>
                <w:lang w:eastAsia="zh-CN"/>
              </w:rPr>
              <w:t>1</w:t>
            </w:r>
            <w:r>
              <w:rPr>
                <w:lang w:eastAsia="zh-CN"/>
              </w:rPr>
              <w:t>5</w:t>
            </w:r>
          </w:p>
        </w:tc>
        <w:tc>
          <w:tcPr>
            <w:tcW w:w="2617" w:type="dxa"/>
            <w:gridSpan w:val="2"/>
          </w:tcPr>
          <w:p w14:paraId="0E9999DD" w14:textId="77777777" w:rsidR="00A10B25" w:rsidRDefault="00A10B25">
            <w:pPr>
              <w:pStyle w:val="TAL"/>
              <w:rPr>
                <w:lang w:eastAsia="zh-CN"/>
              </w:rPr>
            </w:pPr>
            <w:r>
              <w:rPr>
                <w:rFonts w:hint="eastAsia"/>
                <w:lang w:eastAsia="zh-CN"/>
              </w:rPr>
              <w:t>S</w:t>
            </w:r>
            <w:r>
              <w:rPr>
                <w:lang w:eastAsia="zh-CN"/>
              </w:rPr>
              <w:t>MCCE</w:t>
            </w:r>
          </w:p>
        </w:tc>
        <w:tc>
          <w:tcPr>
            <w:tcW w:w="5413" w:type="dxa"/>
            <w:gridSpan w:val="2"/>
          </w:tcPr>
          <w:p w14:paraId="35B05F58" w14:textId="77777777" w:rsidR="00A10B25" w:rsidRDefault="00A10B25">
            <w:pPr>
              <w:pStyle w:val="TAL"/>
              <w:rPr>
                <w:lang w:eastAsia="zh-CN"/>
              </w:rPr>
            </w:pPr>
            <w:r>
              <w:t>This feature indicates support for the event related to SM congestion control experience.</w:t>
            </w:r>
          </w:p>
        </w:tc>
      </w:tr>
      <w:tr w:rsidR="00A10B25" w14:paraId="79206BCB" w14:textId="77777777">
        <w:trPr>
          <w:gridAfter w:val="1"/>
          <w:wAfter w:w="40" w:type="dxa"/>
          <w:jc w:val="center"/>
        </w:trPr>
        <w:tc>
          <w:tcPr>
            <w:tcW w:w="1462" w:type="dxa"/>
            <w:gridSpan w:val="2"/>
          </w:tcPr>
          <w:p w14:paraId="0E753FCF" w14:textId="77777777" w:rsidR="00A10B25" w:rsidRDefault="00A10B25">
            <w:pPr>
              <w:pStyle w:val="TAL"/>
              <w:rPr>
                <w:lang w:eastAsia="zh-CN"/>
              </w:rPr>
            </w:pPr>
            <w:r>
              <w:rPr>
                <w:lang w:eastAsia="zh-CN"/>
              </w:rPr>
              <w:t>16</w:t>
            </w:r>
          </w:p>
        </w:tc>
        <w:tc>
          <w:tcPr>
            <w:tcW w:w="2617" w:type="dxa"/>
            <w:gridSpan w:val="2"/>
          </w:tcPr>
          <w:p w14:paraId="431D9156" w14:textId="77777777" w:rsidR="00A10B25" w:rsidRDefault="00A10B25">
            <w:pPr>
              <w:pStyle w:val="TAL"/>
              <w:rPr>
                <w:lang w:eastAsia="zh-CN"/>
              </w:rPr>
            </w:pPr>
            <w:r>
              <w:rPr>
                <w:lang w:eastAsia="zh-CN"/>
              </w:rPr>
              <w:t>NfLoadExt</w:t>
            </w:r>
          </w:p>
        </w:tc>
        <w:tc>
          <w:tcPr>
            <w:tcW w:w="5413" w:type="dxa"/>
            <w:gridSpan w:val="2"/>
          </w:tcPr>
          <w:p w14:paraId="605D5F5D" w14:textId="77777777" w:rsidR="00A10B25" w:rsidRDefault="00A10B25">
            <w:pPr>
              <w:pStyle w:val="TAL"/>
            </w:pPr>
            <w:r>
              <w:t>This feature indicates support for the extensions to the event related to the load of NF instances, including NF load over area of interest. Supporting this feature also required the support of feature NfLoad.</w:t>
            </w:r>
          </w:p>
        </w:tc>
      </w:tr>
      <w:tr w:rsidR="00A10B25" w14:paraId="0874EA7B" w14:textId="77777777">
        <w:trPr>
          <w:gridAfter w:val="1"/>
          <w:wAfter w:w="40" w:type="dxa"/>
          <w:jc w:val="center"/>
        </w:trPr>
        <w:tc>
          <w:tcPr>
            <w:tcW w:w="1462" w:type="dxa"/>
            <w:gridSpan w:val="2"/>
          </w:tcPr>
          <w:p w14:paraId="6BD431FF" w14:textId="77777777" w:rsidR="00A10B25" w:rsidRDefault="00A10B25">
            <w:pPr>
              <w:pStyle w:val="TAL"/>
              <w:rPr>
                <w:lang w:eastAsia="zh-CN"/>
              </w:rPr>
            </w:pPr>
            <w:r>
              <w:rPr>
                <w:rFonts w:hint="eastAsia"/>
                <w:lang w:eastAsia="zh-CN"/>
              </w:rPr>
              <w:t>1</w:t>
            </w:r>
            <w:r>
              <w:rPr>
                <w:lang w:eastAsia="zh-CN"/>
              </w:rPr>
              <w:t>7</w:t>
            </w:r>
          </w:p>
        </w:tc>
        <w:tc>
          <w:tcPr>
            <w:tcW w:w="2617" w:type="dxa"/>
            <w:gridSpan w:val="2"/>
          </w:tcPr>
          <w:p w14:paraId="468EE92A" w14:textId="77777777" w:rsidR="00A10B25" w:rsidRDefault="00A10B25">
            <w:pPr>
              <w:pStyle w:val="TAL"/>
              <w:rPr>
                <w:lang w:eastAsia="zh-CN"/>
              </w:rPr>
            </w:pPr>
            <w:r>
              <w:rPr>
                <w:lang w:eastAsia="zh-CN"/>
              </w:rPr>
              <w:t>Dispersion</w:t>
            </w:r>
          </w:p>
        </w:tc>
        <w:tc>
          <w:tcPr>
            <w:tcW w:w="5413" w:type="dxa"/>
            <w:gridSpan w:val="2"/>
          </w:tcPr>
          <w:p w14:paraId="7393CEE4" w14:textId="77777777" w:rsidR="00A10B25" w:rsidRDefault="00A10B25">
            <w:pPr>
              <w:pStyle w:val="TAL"/>
            </w:pPr>
            <w:r>
              <w:t>This feature indicates support for the event related to dispersion analytics information.</w:t>
            </w:r>
          </w:p>
        </w:tc>
      </w:tr>
      <w:tr w:rsidR="00A10B25" w14:paraId="3BBFC491" w14:textId="77777777">
        <w:trPr>
          <w:gridAfter w:val="1"/>
          <w:wAfter w:w="40" w:type="dxa"/>
          <w:jc w:val="center"/>
        </w:trPr>
        <w:tc>
          <w:tcPr>
            <w:tcW w:w="1462" w:type="dxa"/>
            <w:gridSpan w:val="2"/>
          </w:tcPr>
          <w:p w14:paraId="085428A9" w14:textId="77777777" w:rsidR="00A10B25" w:rsidRDefault="00A10B25">
            <w:pPr>
              <w:pStyle w:val="TAL"/>
              <w:rPr>
                <w:lang w:eastAsia="zh-CN"/>
              </w:rPr>
            </w:pPr>
            <w:r>
              <w:rPr>
                <w:rFonts w:hint="eastAsia"/>
                <w:lang w:eastAsia="zh-CN"/>
              </w:rPr>
              <w:t>1</w:t>
            </w:r>
            <w:r>
              <w:rPr>
                <w:lang w:eastAsia="zh-CN"/>
              </w:rPr>
              <w:t>8</w:t>
            </w:r>
          </w:p>
        </w:tc>
        <w:tc>
          <w:tcPr>
            <w:tcW w:w="2617" w:type="dxa"/>
            <w:gridSpan w:val="2"/>
          </w:tcPr>
          <w:p w14:paraId="1FA882CF" w14:textId="77777777" w:rsidR="00A10B25" w:rsidRDefault="00A10B25">
            <w:pPr>
              <w:pStyle w:val="TAL"/>
              <w:rPr>
                <w:lang w:eastAsia="zh-CN"/>
              </w:rPr>
            </w:pPr>
            <w:r>
              <w:rPr>
                <w:lang w:eastAsia="zh-CN"/>
              </w:rPr>
              <w:t>RedundantTransmissionExp</w:t>
            </w:r>
          </w:p>
        </w:tc>
        <w:tc>
          <w:tcPr>
            <w:tcW w:w="5413" w:type="dxa"/>
            <w:gridSpan w:val="2"/>
          </w:tcPr>
          <w:p w14:paraId="1EAF0782" w14:textId="77777777" w:rsidR="00A10B25" w:rsidRDefault="00A10B25">
            <w:pPr>
              <w:pStyle w:val="TAL"/>
            </w:pPr>
            <w:r>
              <w:t>This feature indicates support for the event related to redundant transmission experience analytics information.</w:t>
            </w:r>
          </w:p>
        </w:tc>
      </w:tr>
      <w:tr w:rsidR="00A10B25" w14:paraId="3D2C5328" w14:textId="77777777">
        <w:trPr>
          <w:gridAfter w:val="1"/>
          <w:wAfter w:w="40" w:type="dxa"/>
          <w:jc w:val="center"/>
        </w:trPr>
        <w:tc>
          <w:tcPr>
            <w:tcW w:w="1462" w:type="dxa"/>
            <w:gridSpan w:val="2"/>
          </w:tcPr>
          <w:p w14:paraId="46E4CD4F" w14:textId="77777777" w:rsidR="00A10B25" w:rsidRDefault="00A10B25">
            <w:pPr>
              <w:pStyle w:val="TAL"/>
              <w:rPr>
                <w:lang w:eastAsia="zh-CN"/>
              </w:rPr>
            </w:pPr>
            <w:r>
              <w:rPr>
                <w:rFonts w:hint="eastAsia"/>
                <w:lang w:eastAsia="zh-CN"/>
              </w:rPr>
              <w:t>1</w:t>
            </w:r>
            <w:r>
              <w:rPr>
                <w:lang w:eastAsia="zh-CN"/>
              </w:rPr>
              <w:t>9</w:t>
            </w:r>
          </w:p>
        </w:tc>
        <w:tc>
          <w:tcPr>
            <w:tcW w:w="2617" w:type="dxa"/>
            <w:gridSpan w:val="2"/>
          </w:tcPr>
          <w:p w14:paraId="52A53959" w14:textId="77777777" w:rsidR="00A10B25" w:rsidRDefault="00A10B25">
            <w:pPr>
              <w:pStyle w:val="TAL"/>
              <w:rPr>
                <w:lang w:eastAsia="zh-CN"/>
              </w:rPr>
            </w:pPr>
            <w:r>
              <w:rPr>
                <w:lang w:eastAsia="zh-CN"/>
              </w:rPr>
              <w:t>WlanPerformance</w:t>
            </w:r>
          </w:p>
        </w:tc>
        <w:tc>
          <w:tcPr>
            <w:tcW w:w="5413" w:type="dxa"/>
            <w:gridSpan w:val="2"/>
          </w:tcPr>
          <w:p w14:paraId="2795E985" w14:textId="77777777" w:rsidR="00A10B25" w:rsidRDefault="00A10B25">
            <w:pPr>
              <w:pStyle w:val="TAL"/>
            </w:pPr>
            <w:r>
              <w:t>This feature indicates support of the event related to WLAN performance analytics information.</w:t>
            </w:r>
          </w:p>
        </w:tc>
      </w:tr>
      <w:tr w:rsidR="00A10B25" w14:paraId="6E80974F" w14:textId="77777777">
        <w:trPr>
          <w:gridAfter w:val="1"/>
          <w:wAfter w:w="40" w:type="dxa"/>
          <w:jc w:val="center"/>
        </w:trPr>
        <w:tc>
          <w:tcPr>
            <w:tcW w:w="1462" w:type="dxa"/>
            <w:gridSpan w:val="2"/>
          </w:tcPr>
          <w:p w14:paraId="687EF614" w14:textId="77777777" w:rsidR="00A10B25" w:rsidRDefault="00A10B25">
            <w:pPr>
              <w:pStyle w:val="TAL"/>
              <w:rPr>
                <w:lang w:eastAsia="zh-CN"/>
              </w:rPr>
            </w:pPr>
            <w:r>
              <w:rPr>
                <w:lang w:eastAsia="zh-CN"/>
              </w:rPr>
              <w:t>20</w:t>
            </w:r>
          </w:p>
        </w:tc>
        <w:tc>
          <w:tcPr>
            <w:tcW w:w="2617" w:type="dxa"/>
            <w:gridSpan w:val="2"/>
          </w:tcPr>
          <w:p w14:paraId="69B34138" w14:textId="77777777" w:rsidR="00A10B25" w:rsidRDefault="00A10B25">
            <w:pPr>
              <w:pStyle w:val="TAL"/>
              <w:rPr>
                <w:lang w:eastAsia="zh-CN"/>
              </w:rPr>
            </w:pPr>
            <w:r>
              <w:rPr>
                <w:lang w:eastAsia="zh-CN"/>
              </w:rPr>
              <w:t>UeMobilityExt</w:t>
            </w:r>
          </w:p>
        </w:tc>
        <w:tc>
          <w:tcPr>
            <w:tcW w:w="5413" w:type="dxa"/>
            <w:gridSpan w:val="2"/>
          </w:tcPr>
          <w:p w14:paraId="1CD9E706" w14:textId="77777777" w:rsidR="00A10B25" w:rsidRDefault="00A10B25">
            <w:pPr>
              <w:pStyle w:val="TAL"/>
            </w:pPr>
            <w:r>
              <w:rPr>
                <w:rFonts w:hint="eastAsia"/>
                <w:lang w:eastAsia="zh-CN"/>
              </w:rPr>
              <w:t>T</w:t>
            </w:r>
            <w:r>
              <w:rPr>
                <w:lang w:eastAsia="zh-CN"/>
              </w:rPr>
              <w:t>his feature indicates support for extensions to the event related to UE mobility, including support of LADN DNN to refer the LADN service area as the AOI. Supporting this feature also requires the support of feature UeMobility.</w:t>
            </w:r>
          </w:p>
        </w:tc>
      </w:tr>
      <w:tr w:rsidR="00A10B25" w14:paraId="165818C7" w14:textId="77777777">
        <w:trPr>
          <w:gridAfter w:val="1"/>
          <w:wAfter w:w="40" w:type="dxa"/>
          <w:jc w:val="center"/>
        </w:trPr>
        <w:tc>
          <w:tcPr>
            <w:tcW w:w="1462" w:type="dxa"/>
            <w:gridSpan w:val="2"/>
          </w:tcPr>
          <w:p w14:paraId="5639B280" w14:textId="77777777" w:rsidR="00A10B25" w:rsidRDefault="00A10B25">
            <w:pPr>
              <w:pStyle w:val="TAL"/>
              <w:rPr>
                <w:lang w:eastAsia="zh-CN"/>
              </w:rPr>
            </w:pPr>
            <w:r>
              <w:rPr>
                <w:lang w:eastAsia="ja-JP"/>
              </w:rPr>
              <w:t>21</w:t>
            </w:r>
          </w:p>
        </w:tc>
        <w:tc>
          <w:tcPr>
            <w:tcW w:w="2617" w:type="dxa"/>
            <w:gridSpan w:val="2"/>
          </w:tcPr>
          <w:p w14:paraId="7E81BBA0" w14:textId="77777777" w:rsidR="00A10B25" w:rsidRDefault="00A10B25">
            <w:pPr>
              <w:pStyle w:val="TAL"/>
              <w:rPr>
                <w:lang w:eastAsia="zh-CN"/>
              </w:rPr>
            </w:pPr>
            <w:r>
              <w:rPr>
                <w:rFonts w:hint="eastAsia"/>
                <w:lang w:eastAsia="zh-CN"/>
              </w:rPr>
              <w:t>Dn</w:t>
            </w:r>
            <w:r>
              <w:rPr>
                <w:lang w:eastAsia="zh-CN"/>
              </w:rPr>
              <w:t>Performance</w:t>
            </w:r>
          </w:p>
        </w:tc>
        <w:tc>
          <w:tcPr>
            <w:tcW w:w="5413" w:type="dxa"/>
            <w:gridSpan w:val="2"/>
          </w:tcPr>
          <w:p w14:paraId="5207F53D" w14:textId="77777777" w:rsidR="00A10B25" w:rsidRDefault="00A10B25">
            <w:pPr>
              <w:pStyle w:val="TAL"/>
              <w:rPr>
                <w:lang w:eastAsia="zh-CN"/>
              </w:rPr>
            </w:pPr>
            <w:r>
              <w:t>This feature indicates the support of the analytics related to DN performance.</w:t>
            </w:r>
          </w:p>
        </w:tc>
      </w:tr>
      <w:tr w:rsidR="00A10B25" w14:paraId="0DE5E4A3" w14:textId="77777777">
        <w:trPr>
          <w:gridAfter w:val="1"/>
          <w:wAfter w:w="40" w:type="dxa"/>
          <w:jc w:val="center"/>
        </w:trPr>
        <w:tc>
          <w:tcPr>
            <w:tcW w:w="1462" w:type="dxa"/>
            <w:gridSpan w:val="2"/>
          </w:tcPr>
          <w:p w14:paraId="4CBB482F" w14:textId="77777777" w:rsidR="00A10B25" w:rsidRDefault="00A10B25">
            <w:pPr>
              <w:pStyle w:val="TAL"/>
              <w:rPr>
                <w:lang w:eastAsia="ja-JP"/>
              </w:rPr>
            </w:pPr>
            <w:r>
              <w:rPr>
                <w:lang w:eastAsia="ja-JP"/>
              </w:rPr>
              <w:t>22</w:t>
            </w:r>
          </w:p>
        </w:tc>
        <w:tc>
          <w:tcPr>
            <w:tcW w:w="2617" w:type="dxa"/>
            <w:gridSpan w:val="2"/>
          </w:tcPr>
          <w:p w14:paraId="47CD0E43" w14:textId="77777777" w:rsidR="00A10B25" w:rsidRDefault="00A10B25">
            <w:pPr>
              <w:pStyle w:val="TAL"/>
              <w:rPr>
                <w:lang w:eastAsia="zh-CN"/>
              </w:rPr>
            </w:pPr>
            <w:r>
              <w:rPr>
                <w:lang w:eastAsia="zh-CN"/>
              </w:rPr>
              <w:t>AnaCtxTransfer</w:t>
            </w:r>
          </w:p>
        </w:tc>
        <w:tc>
          <w:tcPr>
            <w:tcW w:w="5413" w:type="dxa"/>
            <w:gridSpan w:val="2"/>
          </w:tcPr>
          <w:p w14:paraId="20A8FC5B" w14:textId="77777777" w:rsidR="00A10B25" w:rsidRDefault="00A10B25">
            <w:pPr>
              <w:pStyle w:val="TAL"/>
            </w:pPr>
            <w:r>
              <w:t>This feature indicates the support of analytics context transfer.</w:t>
            </w:r>
          </w:p>
        </w:tc>
      </w:tr>
      <w:tr w:rsidR="00A10B25" w14:paraId="1E5EEDE1" w14:textId="77777777">
        <w:trPr>
          <w:gridAfter w:val="1"/>
          <w:wAfter w:w="40" w:type="dxa"/>
          <w:jc w:val="center"/>
        </w:trPr>
        <w:tc>
          <w:tcPr>
            <w:tcW w:w="1462" w:type="dxa"/>
            <w:gridSpan w:val="2"/>
          </w:tcPr>
          <w:p w14:paraId="4780EFD2" w14:textId="77777777" w:rsidR="00A10B25" w:rsidRDefault="00A10B25">
            <w:pPr>
              <w:pStyle w:val="TAL"/>
              <w:rPr>
                <w:lang w:eastAsia="ja-JP"/>
              </w:rPr>
            </w:pPr>
            <w:r>
              <w:rPr>
                <w:lang w:eastAsia="ja-JP"/>
              </w:rPr>
              <w:t>23</w:t>
            </w:r>
          </w:p>
        </w:tc>
        <w:tc>
          <w:tcPr>
            <w:tcW w:w="2617" w:type="dxa"/>
            <w:gridSpan w:val="2"/>
          </w:tcPr>
          <w:p w14:paraId="387D2461" w14:textId="77777777" w:rsidR="00A10B25" w:rsidRDefault="00A10B25">
            <w:pPr>
              <w:pStyle w:val="TAL"/>
              <w:rPr>
                <w:lang w:eastAsia="zh-CN"/>
              </w:rPr>
            </w:pPr>
            <w:r>
              <w:rPr>
                <w:lang w:eastAsia="zh-CN"/>
              </w:rPr>
              <w:t>UserConsent</w:t>
            </w:r>
          </w:p>
        </w:tc>
        <w:tc>
          <w:tcPr>
            <w:tcW w:w="5413" w:type="dxa"/>
            <w:gridSpan w:val="2"/>
          </w:tcPr>
          <w:p w14:paraId="33E975F4" w14:textId="77777777" w:rsidR="00A10B25" w:rsidRDefault="00A10B25">
            <w:pPr>
              <w:pStyle w:val="TAL"/>
            </w:pPr>
            <w:r>
              <w:rPr>
                <w:rFonts w:cs="Arial"/>
                <w:szCs w:val="18"/>
              </w:rPr>
              <w:t>Indicates the support of detailed handling of user consent, e.g. error responses related to the lack of user consent.</w:t>
            </w:r>
          </w:p>
        </w:tc>
      </w:tr>
      <w:tr w:rsidR="00A10B25" w14:paraId="258BF6ED" w14:textId="77777777">
        <w:trPr>
          <w:gridAfter w:val="1"/>
          <w:wAfter w:w="40" w:type="dxa"/>
          <w:jc w:val="center"/>
        </w:trPr>
        <w:tc>
          <w:tcPr>
            <w:tcW w:w="1462" w:type="dxa"/>
            <w:gridSpan w:val="2"/>
          </w:tcPr>
          <w:p w14:paraId="3AD89B38" w14:textId="77777777" w:rsidR="00A10B25" w:rsidRDefault="00A10B25">
            <w:pPr>
              <w:pStyle w:val="TAL"/>
              <w:rPr>
                <w:lang w:eastAsia="ja-JP"/>
              </w:rPr>
            </w:pPr>
            <w:r>
              <w:rPr>
                <w:lang w:eastAsia="zh-CN"/>
              </w:rPr>
              <w:t>24</w:t>
            </w:r>
          </w:p>
        </w:tc>
        <w:tc>
          <w:tcPr>
            <w:tcW w:w="2617" w:type="dxa"/>
            <w:gridSpan w:val="2"/>
          </w:tcPr>
          <w:p w14:paraId="22C77BF4" w14:textId="77777777" w:rsidR="00A10B25" w:rsidRDefault="00A10B25">
            <w:pPr>
              <w:pStyle w:val="TAL"/>
              <w:rPr>
                <w:lang w:eastAsia="zh-CN"/>
              </w:rPr>
            </w:pPr>
            <w:r>
              <w:t>UserDataCongestionExt2_eNA</w:t>
            </w:r>
          </w:p>
        </w:tc>
        <w:tc>
          <w:tcPr>
            <w:tcW w:w="5413" w:type="dxa"/>
            <w:gridSpan w:val="2"/>
          </w:tcPr>
          <w:p w14:paraId="59EAF37D" w14:textId="77777777" w:rsidR="00A10B25" w:rsidRDefault="00A10B25">
            <w:pPr>
              <w:pStyle w:val="TAL"/>
              <w:rPr>
                <w:rFonts w:cs="Arial"/>
                <w:szCs w:val="18"/>
              </w:rPr>
            </w:pPr>
            <w:r>
              <w:t>This feature indicates support for the enhancements of user data congestion, including support of ordering criterion.</w:t>
            </w:r>
            <w:r>
              <w:rPr>
                <w:lang w:eastAsia="zh-CN"/>
              </w:rPr>
              <w:t xml:space="preserve"> Supporting this feature also requires the support of </w:t>
            </w:r>
            <w:r>
              <w:t>UserDataCongestion and UserDataCongestionExt</w:t>
            </w:r>
            <w:r>
              <w:rPr>
                <w:lang w:eastAsia="zh-CN"/>
              </w:rPr>
              <w:t xml:space="preserve"> features.</w:t>
            </w:r>
          </w:p>
        </w:tc>
      </w:tr>
      <w:tr w:rsidR="00A10B25" w14:paraId="6CCC5E4F" w14:textId="77777777">
        <w:trPr>
          <w:gridAfter w:val="1"/>
          <w:wAfter w:w="40" w:type="dxa"/>
          <w:jc w:val="center"/>
        </w:trPr>
        <w:tc>
          <w:tcPr>
            <w:tcW w:w="1462" w:type="dxa"/>
            <w:gridSpan w:val="2"/>
          </w:tcPr>
          <w:p w14:paraId="058CA6E3" w14:textId="77777777" w:rsidR="00A10B25" w:rsidRDefault="00A10B25">
            <w:pPr>
              <w:pStyle w:val="TAL"/>
              <w:rPr>
                <w:lang w:eastAsia="zh-CN"/>
              </w:rPr>
            </w:pPr>
            <w:r>
              <w:rPr>
                <w:lang w:eastAsia="zh-CN"/>
              </w:rPr>
              <w:t>25</w:t>
            </w:r>
          </w:p>
        </w:tc>
        <w:tc>
          <w:tcPr>
            <w:tcW w:w="2617" w:type="dxa"/>
            <w:gridSpan w:val="2"/>
          </w:tcPr>
          <w:p w14:paraId="7FEAFC32" w14:textId="77777777" w:rsidR="00A10B25" w:rsidRDefault="00A10B25">
            <w:pPr>
              <w:pStyle w:val="TAL"/>
            </w:pPr>
            <w:r>
              <w:t>UeMobility</w:t>
            </w:r>
            <w:r>
              <w:rPr>
                <w:lang w:eastAsia="zh-CN"/>
              </w:rPr>
              <w:t>Ext2_eNA</w:t>
            </w:r>
          </w:p>
        </w:tc>
        <w:tc>
          <w:tcPr>
            <w:tcW w:w="5413" w:type="dxa"/>
            <w:gridSpan w:val="2"/>
          </w:tcPr>
          <w:p w14:paraId="74DA1108" w14:textId="77777777" w:rsidR="00A10B25" w:rsidRDefault="00A10B25">
            <w:pPr>
              <w:pStyle w:val="TAL"/>
            </w:pPr>
            <w:r>
              <w:t>This feature indicates support for the enhancements of UE mobility, including support of ordering criterion.</w:t>
            </w:r>
            <w:r>
              <w:rPr>
                <w:lang w:eastAsia="zh-CN"/>
              </w:rPr>
              <w:t xml:space="preserve"> Supporting this feature also requires the support of UeMobility and UeMobilityExt features.</w:t>
            </w:r>
          </w:p>
        </w:tc>
      </w:tr>
      <w:tr w:rsidR="00A10B25" w14:paraId="31DB72AB" w14:textId="77777777">
        <w:trPr>
          <w:gridAfter w:val="1"/>
          <w:wAfter w:w="40" w:type="dxa"/>
          <w:jc w:val="center"/>
        </w:trPr>
        <w:tc>
          <w:tcPr>
            <w:tcW w:w="1462" w:type="dxa"/>
            <w:gridSpan w:val="2"/>
          </w:tcPr>
          <w:p w14:paraId="774AE705" w14:textId="77777777" w:rsidR="00A10B25" w:rsidRDefault="00A10B25">
            <w:pPr>
              <w:pStyle w:val="TAL"/>
              <w:rPr>
                <w:lang w:eastAsia="zh-CN"/>
              </w:rPr>
            </w:pPr>
            <w:r>
              <w:rPr>
                <w:lang w:eastAsia="zh-CN"/>
              </w:rPr>
              <w:lastRenderedPageBreak/>
              <w:t>26</w:t>
            </w:r>
          </w:p>
        </w:tc>
        <w:tc>
          <w:tcPr>
            <w:tcW w:w="2617" w:type="dxa"/>
            <w:gridSpan w:val="2"/>
          </w:tcPr>
          <w:p w14:paraId="0F8DA16E" w14:textId="77777777" w:rsidR="00A10B25" w:rsidRDefault="00A10B25">
            <w:pPr>
              <w:pStyle w:val="TAL"/>
            </w:pPr>
            <w:r>
              <w:t>UeCommunicationExt_eNA</w:t>
            </w:r>
          </w:p>
        </w:tc>
        <w:tc>
          <w:tcPr>
            <w:tcW w:w="5413" w:type="dxa"/>
            <w:gridSpan w:val="2"/>
          </w:tcPr>
          <w:p w14:paraId="4776C11E" w14:textId="77777777" w:rsidR="00A10B25" w:rsidRDefault="00A10B25">
            <w:pPr>
              <w:pStyle w:val="TAL"/>
            </w:pPr>
            <w:r>
              <w:t>This feature indicates support for the enhancements of UE Communication, including support of ordering criterion.</w:t>
            </w:r>
            <w:r>
              <w:rPr>
                <w:lang w:eastAsia="zh-CN"/>
              </w:rPr>
              <w:t xml:space="preserve"> Supporting this feature also requires the support of </w:t>
            </w:r>
            <w:r>
              <w:t>UeCommunication</w:t>
            </w:r>
            <w:r>
              <w:rPr>
                <w:lang w:eastAsia="zh-CN"/>
              </w:rPr>
              <w:t xml:space="preserve"> feature.</w:t>
            </w:r>
          </w:p>
        </w:tc>
      </w:tr>
      <w:tr w:rsidR="00A10B25" w14:paraId="5F3BFADE" w14:textId="77777777">
        <w:trPr>
          <w:gridAfter w:val="1"/>
          <w:wAfter w:w="40" w:type="dxa"/>
          <w:jc w:val="center"/>
        </w:trPr>
        <w:tc>
          <w:tcPr>
            <w:tcW w:w="1462" w:type="dxa"/>
            <w:gridSpan w:val="2"/>
          </w:tcPr>
          <w:p w14:paraId="4ACACAA2" w14:textId="77777777" w:rsidR="00A10B25" w:rsidRDefault="00D87394">
            <w:pPr>
              <w:pStyle w:val="TAL"/>
              <w:rPr>
                <w:lang w:eastAsia="zh-CN"/>
              </w:rPr>
            </w:pPr>
            <w:r>
              <w:rPr>
                <w:lang w:eastAsia="zh-CN"/>
              </w:rPr>
              <w:t>27</w:t>
            </w:r>
          </w:p>
        </w:tc>
        <w:tc>
          <w:tcPr>
            <w:tcW w:w="2617" w:type="dxa"/>
            <w:gridSpan w:val="2"/>
          </w:tcPr>
          <w:p w14:paraId="60CC91C0" w14:textId="77777777" w:rsidR="00A10B25" w:rsidRDefault="00A10B25">
            <w:pPr>
              <w:pStyle w:val="TAL"/>
            </w:pPr>
            <w:r>
              <w:t>NetworkPerformance</w:t>
            </w:r>
            <w:r>
              <w:rPr>
                <w:lang w:eastAsia="zh-CN"/>
              </w:rPr>
              <w:t>Ext_eNA</w:t>
            </w:r>
          </w:p>
        </w:tc>
        <w:tc>
          <w:tcPr>
            <w:tcW w:w="5413" w:type="dxa"/>
            <w:gridSpan w:val="2"/>
          </w:tcPr>
          <w:p w14:paraId="230057FB" w14:textId="77777777" w:rsidR="00A10B25" w:rsidRDefault="00A10B25">
            <w:pPr>
              <w:pStyle w:val="TAL"/>
            </w:pPr>
            <w:r>
              <w:t xml:space="preserve">This feature indicates support for the enhancements of Network Performance, including </w:t>
            </w:r>
            <w:r>
              <w:rPr>
                <w:lang w:eastAsia="zh-CN"/>
              </w:rPr>
              <w:t>support of</w:t>
            </w:r>
            <w:r>
              <w:t xml:space="preserve"> </w:t>
            </w:r>
            <w:r>
              <w:rPr>
                <w:lang w:eastAsia="ko-KR"/>
              </w:rPr>
              <w:t xml:space="preserve">ordering criterion for the list of analytics and </w:t>
            </w:r>
            <w:r>
              <w:rPr>
                <w:lang w:eastAsia="zh-CN"/>
              </w:rPr>
              <w:t>analytics target period subset</w:t>
            </w:r>
            <w:r>
              <w:t>.</w:t>
            </w:r>
            <w:r>
              <w:rPr>
                <w:lang w:eastAsia="zh-CN"/>
              </w:rPr>
              <w:t xml:space="preserve"> Supporting this feature also requires the support of </w:t>
            </w:r>
            <w:r>
              <w:t xml:space="preserve">NetworkPerformance </w:t>
            </w:r>
            <w:r>
              <w:rPr>
                <w:lang w:eastAsia="zh-CN"/>
              </w:rPr>
              <w:t>feature.</w:t>
            </w:r>
          </w:p>
        </w:tc>
      </w:tr>
      <w:tr w:rsidR="00D87394" w14:paraId="5F3B7AA6" w14:textId="77777777">
        <w:trPr>
          <w:gridAfter w:val="1"/>
          <w:wAfter w:w="40" w:type="dxa"/>
          <w:jc w:val="center"/>
        </w:trPr>
        <w:tc>
          <w:tcPr>
            <w:tcW w:w="1462" w:type="dxa"/>
            <w:gridSpan w:val="2"/>
          </w:tcPr>
          <w:p w14:paraId="1B1409D1" w14:textId="77777777" w:rsidR="00D87394" w:rsidRDefault="00D87394" w:rsidP="00D87394">
            <w:pPr>
              <w:pStyle w:val="TAL"/>
              <w:rPr>
                <w:lang w:eastAsia="ja-JP"/>
              </w:rPr>
            </w:pPr>
            <w:r>
              <w:rPr>
                <w:lang w:eastAsia="ja-JP"/>
              </w:rPr>
              <w:t>28</w:t>
            </w:r>
          </w:p>
        </w:tc>
        <w:tc>
          <w:tcPr>
            <w:tcW w:w="2617" w:type="dxa"/>
            <w:gridSpan w:val="2"/>
          </w:tcPr>
          <w:p w14:paraId="6AC9515E" w14:textId="77777777" w:rsidR="00D87394" w:rsidRDefault="00D87394" w:rsidP="00D87394">
            <w:pPr>
              <w:pStyle w:val="TAL"/>
              <w:rPr>
                <w:rFonts w:hint="eastAsia"/>
                <w:lang w:eastAsia="ja-JP"/>
              </w:rPr>
            </w:pPr>
            <w:r>
              <w:rPr>
                <w:lang w:eastAsia="zh-CN"/>
              </w:rPr>
              <w:t>ServiceExperienceExt2_eNA</w:t>
            </w:r>
          </w:p>
        </w:tc>
        <w:tc>
          <w:tcPr>
            <w:tcW w:w="5413" w:type="dxa"/>
            <w:gridSpan w:val="2"/>
          </w:tcPr>
          <w:p w14:paraId="48437710" w14:textId="77777777" w:rsidR="00D87394" w:rsidRDefault="00D87394" w:rsidP="00D87394">
            <w:pPr>
              <w:pStyle w:val="TAL"/>
              <w:rPr>
                <w:rFonts w:cs="Arial"/>
                <w:szCs w:val="18"/>
              </w:rPr>
            </w:pPr>
            <w:r>
              <w:rPr>
                <w:rFonts w:cs="Arial"/>
                <w:szCs w:val="18"/>
              </w:rPr>
              <w:t>This feature indicates extensions to the event related to service experience supporting eNA, including support for PDU Session parameters information</w:t>
            </w:r>
            <w:r>
              <w:t xml:space="preserve"> </w:t>
            </w:r>
            <w:r>
              <w:rPr>
                <w:rFonts w:cs="Arial"/>
                <w:szCs w:val="18"/>
              </w:rPr>
              <w:t>for service experience analytics. Supporting this feature also requires the support of feature ServiceExperience.</w:t>
            </w:r>
          </w:p>
        </w:tc>
      </w:tr>
      <w:tr w:rsidR="00D87394" w14:paraId="1E9CA20A"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07DD2A58" w14:textId="77777777" w:rsidR="00D87394" w:rsidRDefault="00D87394" w:rsidP="00D87394">
            <w:pPr>
              <w:pStyle w:val="TAL"/>
              <w:rPr>
                <w:lang w:eastAsia="ja-JP"/>
              </w:rPr>
            </w:pPr>
            <w:r>
              <w:rPr>
                <w:lang w:eastAsia="ja-JP"/>
              </w:rPr>
              <w:t>29</w:t>
            </w:r>
          </w:p>
        </w:tc>
        <w:tc>
          <w:tcPr>
            <w:tcW w:w="2617" w:type="dxa"/>
            <w:gridSpan w:val="2"/>
            <w:tcBorders>
              <w:top w:val="single" w:sz="6" w:space="0" w:color="auto"/>
              <w:left w:val="single" w:sz="6" w:space="0" w:color="auto"/>
              <w:bottom w:val="single" w:sz="6" w:space="0" w:color="auto"/>
              <w:right w:val="single" w:sz="6" w:space="0" w:color="auto"/>
            </w:tcBorders>
          </w:tcPr>
          <w:p w14:paraId="4AAE24FF" w14:textId="77777777" w:rsidR="00D87394" w:rsidRDefault="00D87394" w:rsidP="00D87394">
            <w:pPr>
              <w:pStyle w:val="TAL"/>
              <w:rPr>
                <w:lang w:eastAsia="ja-JP"/>
              </w:rPr>
            </w:pPr>
            <w:r>
              <w:rPr>
                <w:lang w:eastAsia="ja-JP"/>
              </w:rPr>
              <w:t>DnPerformanceExt_AIML</w:t>
            </w:r>
          </w:p>
        </w:tc>
        <w:tc>
          <w:tcPr>
            <w:tcW w:w="5413" w:type="dxa"/>
            <w:gridSpan w:val="2"/>
            <w:tcBorders>
              <w:top w:val="single" w:sz="6" w:space="0" w:color="auto"/>
              <w:left w:val="single" w:sz="6" w:space="0" w:color="auto"/>
              <w:bottom w:val="single" w:sz="6" w:space="0" w:color="auto"/>
              <w:right w:val="single" w:sz="6" w:space="0" w:color="auto"/>
            </w:tcBorders>
          </w:tcPr>
          <w:p w14:paraId="15CE18DD" w14:textId="77777777" w:rsidR="00D87394" w:rsidRDefault="00D87394" w:rsidP="00D87394">
            <w:pPr>
              <w:pStyle w:val="TAL"/>
              <w:rPr>
                <w:rFonts w:cs="Arial"/>
                <w:szCs w:val="18"/>
              </w:rPr>
            </w:pPr>
            <w:r>
              <w:rPr>
                <w:rFonts w:cs="Arial"/>
                <w:szCs w:val="18"/>
              </w:rPr>
              <w:t>This feature indicates support for extensions to the event related to DN Performance supporting AIML, including support of extended DN Performance Analytics for group of UEs. Supporting this feature also requires the support of feature DnPerformance.</w:t>
            </w:r>
          </w:p>
        </w:tc>
      </w:tr>
      <w:tr w:rsidR="00D87394" w14:paraId="5F01AF52"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7A01259B" w14:textId="77777777" w:rsidR="00D87394" w:rsidRDefault="00D87394" w:rsidP="00D87394">
            <w:pPr>
              <w:pStyle w:val="TAL"/>
              <w:rPr>
                <w:lang w:eastAsia="ja-JP"/>
              </w:rPr>
            </w:pPr>
            <w:r>
              <w:rPr>
                <w:lang w:eastAsia="ja-JP"/>
              </w:rPr>
              <w:t>30</w:t>
            </w:r>
          </w:p>
        </w:tc>
        <w:tc>
          <w:tcPr>
            <w:tcW w:w="2617" w:type="dxa"/>
            <w:gridSpan w:val="2"/>
            <w:tcBorders>
              <w:top w:val="single" w:sz="6" w:space="0" w:color="auto"/>
              <w:left w:val="single" w:sz="6" w:space="0" w:color="auto"/>
              <w:bottom w:val="single" w:sz="6" w:space="0" w:color="auto"/>
              <w:right w:val="single" w:sz="6" w:space="0" w:color="auto"/>
            </w:tcBorders>
          </w:tcPr>
          <w:p w14:paraId="190CB28F" w14:textId="77777777" w:rsidR="00D87394" w:rsidRDefault="00D87394" w:rsidP="00D87394">
            <w:pPr>
              <w:pStyle w:val="TAL"/>
              <w:rPr>
                <w:lang w:eastAsia="ja-JP"/>
              </w:rPr>
            </w:pPr>
            <w:r>
              <w:rPr>
                <w:lang w:eastAsia="ja-JP"/>
              </w:rPr>
              <w:t>UeMobilityExt_AIML</w:t>
            </w:r>
          </w:p>
        </w:tc>
        <w:tc>
          <w:tcPr>
            <w:tcW w:w="5413" w:type="dxa"/>
            <w:gridSpan w:val="2"/>
            <w:tcBorders>
              <w:top w:val="single" w:sz="6" w:space="0" w:color="auto"/>
              <w:left w:val="single" w:sz="6" w:space="0" w:color="auto"/>
              <w:bottom w:val="single" w:sz="6" w:space="0" w:color="auto"/>
              <w:right w:val="single" w:sz="6" w:space="0" w:color="auto"/>
            </w:tcBorders>
          </w:tcPr>
          <w:p w14:paraId="172AC62F" w14:textId="77777777" w:rsidR="00D87394" w:rsidRDefault="00D87394" w:rsidP="00D87394">
            <w:pPr>
              <w:pStyle w:val="TAL"/>
              <w:rPr>
                <w:rFonts w:cs="Arial"/>
                <w:szCs w:val="18"/>
              </w:rPr>
            </w:pPr>
            <w:r>
              <w:rPr>
                <w:rFonts w:cs="Arial" w:hint="eastAsia"/>
                <w:szCs w:val="18"/>
              </w:rPr>
              <w:t>T</w:t>
            </w:r>
            <w:r>
              <w:rPr>
                <w:rFonts w:cs="Arial"/>
                <w:szCs w:val="18"/>
              </w:rPr>
              <w:t>his feature indicates support for further extensions to the event related to UE mobility supporting AIML, including support of UE’s geographical distribution and direction analytics. Supporting this feature also requires the support of feature UeMobility.</w:t>
            </w:r>
          </w:p>
        </w:tc>
      </w:tr>
      <w:tr w:rsidR="00D87394" w14:paraId="627E0976"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5EAFCA1C" w14:textId="77777777" w:rsidR="00D87394" w:rsidRDefault="00D87394" w:rsidP="00D87394">
            <w:pPr>
              <w:pStyle w:val="TAL"/>
              <w:rPr>
                <w:lang w:eastAsia="ja-JP"/>
              </w:rPr>
            </w:pPr>
            <w:r>
              <w:rPr>
                <w:lang w:eastAsia="ja-JP"/>
              </w:rPr>
              <w:t>31</w:t>
            </w:r>
          </w:p>
        </w:tc>
        <w:tc>
          <w:tcPr>
            <w:tcW w:w="2617" w:type="dxa"/>
            <w:gridSpan w:val="2"/>
            <w:tcBorders>
              <w:top w:val="single" w:sz="6" w:space="0" w:color="auto"/>
              <w:left w:val="single" w:sz="6" w:space="0" w:color="auto"/>
              <w:bottom w:val="single" w:sz="6" w:space="0" w:color="auto"/>
              <w:right w:val="single" w:sz="6" w:space="0" w:color="auto"/>
            </w:tcBorders>
          </w:tcPr>
          <w:p w14:paraId="18E96E8A" w14:textId="77777777" w:rsidR="00D87394" w:rsidRDefault="00D87394" w:rsidP="00D87394">
            <w:pPr>
              <w:pStyle w:val="TAL"/>
              <w:rPr>
                <w:lang w:eastAsia="ja-JP"/>
              </w:rPr>
            </w:pPr>
            <w:r>
              <w:rPr>
                <w:lang w:eastAsia="zh-CN"/>
              </w:rPr>
              <w:t>PduSesTraffic</w:t>
            </w:r>
          </w:p>
        </w:tc>
        <w:tc>
          <w:tcPr>
            <w:tcW w:w="5413" w:type="dxa"/>
            <w:gridSpan w:val="2"/>
            <w:tcBorders>
              <w:top w:val="single" w:sz="6" w:space="0" w:color="auto"/>
              <w:left w:val="single" w:sz="6" w:space="0" w:color="auto"/>
              <w:bottom w:val="single" w:sz="6" w:space="0" w:color="auto"/>
              <w:right w:val="single" w:sz="6" w:space="0" w:color="auto"/>
            </w:tcBorders>
          </w:tcPr>
          <w:p w14:paraId="4E4259DB" w14:textId="77777777" w:rsidR="00D87394" w:rsidRDefault="00D87394" w:rsidP="00D87394">
            <w:pPr>
              <w:pStyle w:val="TAL"/>
              <w:rPr>
                <w:rFonts w:cs="Arial" w:hint="eastAsia"/>
                <w:szCs w:val="18"/>
              </w:rPr>
            </w:pPr>
            <w:r>
              <w:rPr>
                <w:lang w:eastAsia="zh-CN"/>
              </w:rPr>
              <w:t xml:space="preserve">This feature indicates support </w:t>
            </w:r>
            <w:r>
              <w:t>of the analytics related to</w:t>
            </w:r>
            <w:r>
              <w:rPr>
                <w:lang w:eastAsia="zh-CN"/>
              </w:rPr>
              <w:t xml:space="preserve"> PDU Session traffic information.</w:t>
            </w:r>
          </w:p>
        </w:tc>
      </w:tr>
      <w:tr w:rsidR="00D87394" w14:paraId="2D21779F"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183DEB15" w14:textId="77777777" w:rsidR="00D87394" w:rsidRDefault="00D87394" w:rsidP="00D87394">
            <w:pPr>
              <w:pStyle w:val="TAL"/>
              <w:rPr>
                <w:lang w:eastAsia="ja-JP"/>
              </w:rPr>
            </w:pPr>
            <w:r>
              <w:rPr>
                <w:lang w:eastAsia="zh-CN"/>
              </w:rPr>
              <w:t>32</w:t>
            </w:r>
          </w:p>
        </w:tc>
        <w:tc>
          <w:tcPr>
            <w:tcW w:w="2617" w:type="dxa"/>
            <w:gridSpan w:val="2"/>
            <w:tcBorders>
              <w:top w:val="single" w:sz="6" w:space="0" w:color="auto"/>
              <w:left w:val="single" w:sz="6" w:space="0" w:color="auto"/>
              <w:bottom w:val="single" w:sz="6" w:space="0" w:color="auto"/>
              <w:right w:val="single" w:sz="6" w:space="0" w:color="auto"/>
            </w:tcBorders>
          </w:tcPr>
          <w:p w14:paraId="1A7037BC" w14:textId="77777777" w:rsidR="00D87394" w:rsidRDefault="00D87394" w:rsidP="00D87394">
            <w:pPr>
              <w:pStyle w:val="TAL"/>
              <w:rPr>
                <w:lang w:eastAsia="zh-CN"/>
              </w:rPr>
            </w:pPr>
            <w:r>
              <w:t>DispersionExt</w:t>
            </w:r>
            <w:r>
              <w:rPr>
                <w:lang w:eastAsia="zh-CN"/>
              </w:rPr>
              <w:t>_eNA</w:t>
            </w:r>
          </w:p>
        </w:tc>
        <w:tc>
          <w:tcPr>
            <w:tcW w:w="5413" w:type="dxa"/>
            <w:gridSpan w:val="2"/>
            <w:tcBorders>
              <w:top w:val="single" w:sz="6" w:space="0" w:color="auto"/>
              <w:left w:val="single" w:sz="6" w:space="0" w:color="auto"/>
              <w:bottom w:val="single" w:sz="6" w:space="0" w:color="auto"/>
              <w:right w:val="single" w:sz="6" w:space="0" w:color="auto"/>
            </w:tcBorders>
          </w:tcPr>
          <w:p w14:paraId="5E16D620" w14:textId="77777777" w:rsidR="00D87394" w:rsidRDefault="00D87394" w:rsidP="00D87394">
            <w:pPr>
              <w:pStyle w:val="TAL"/>
              <w:rPr>
                <w:lang w:eastAsia="zh-CN"/>
              </w:rPr>
            </w:pPr>
            <w:r>
              <w:t>This feature indicates support for the enhancements of Dispersion, including the support of preferred granularity of UE location.</w:t>
            </w:r>
            <w:r>
              <w:rPr>
                <w:lang w:eastAsia="zh-CN"/>
              </w:rPr>
              <w:t xml:space="preserve"> Supporting this feature also requires the support of </w:t>
            </w:r>
            <w:r>
              <w:t>Dispersion</w:t>
            </w:r>
            <w:r>
              <w:rPr>
                <w:lang w:eastAsia="zh-CN"/>
              </w:rPr>
              <w:t xml:space="preserve"> feature.</w:t>
            </w:r>
          </w:p>
        </w:tc>
      </w:tr>
      <w:tr w:rsidR="00D87394" w14:paraId="310371DA"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77F6DB1C" w14:textId="77777777" w:rsidR="00D87394" w:rsidRDefault="00D87394" w:rsidP="00D87394">
            <w:pPr>
              <w:pStyle w:val="TAL"/>
              <w:rPr>
                <w:lang w:eastAsia="zh-CN"/>
              </w:rPr>
            </w:pPr>
            <w:r>
              <w:rPr>
                <w:lang w:eastAsia="zh-CN"/>
              </w:rPr>
              <w:t>33</w:t>
            </w:r>
          </w:p>
        </w:tc>
        <w:tc>
          <w:tcPr>
            <w:tcW w:w="2617" w:type="dxa"/>
            <w:gridSpan w:val="2"/>
            <w:tcBorders>
              <w:top w:val="single" w:sz="6" w:space="0" w:color="auto"/>
              <w:left w:val="single" w:sz="6" w:space="0" w:color="auto"/>
              <w:bottom w:val="single" w:sz="6" w:space="0" w:color="auto"/>
              <w:right w:val="single" w:sz="6" w:space="0" w:color="auto"/>
            </w:tcBorders>
          </w:tcPr>
          <w:p w14:paraId="5440C4E5" w14:textId="77777777" w:rsidR="00D87394" w:rsidRDefault="00D87394" w:rsidP="00D87394">
            <w:pPr>
              <w:pStyle w:val="TAL"/>
            </w:pPr>
            <w:r>
              <w:t>WlanPerformanceExt_AIML</w:t>
            </w:r>
          </w:p>
        </w:tc>
        <w:tc>
          <w:tcPr>
            <w:tcW w:w="5413" w:type="dxa"/>
            <w:gridSpan w:val="2"/>
            <w:tcBorders>
              <w:top w:val="single" w:sz="6" w:space="0" w:color="auto"/>
              <w:left w:val="single" w:sz="6" w:space="0" w:color="auto"/>
              <w:bottom w:val="single" w:sz="6" w:space="0" w:color="auto"/>
              <w:right w:val="single" w:sz="6" w:space="0" w:color="auto"/>
            </w:tcBorders>
          </w:tcPr>
          <w:p w14:paraId="53CE6B9E" w14:textId="77777777" w:rsidR="00D87394" w:rsidRDefault="00D87394" w:rsidP="00D87394">
            <w:pPr>
              <w:pStyle w:val="TAL"/>
            </w:pPr>
            <w:r>
              <w:t>This feature indicates support for the enhancements of WLAN performance supporting AIML, including support of analytics per UE granularity. Supporting this feature also requires the support of feature WlanPerformance.</w:t>
            </w:r>
          </w:p>
        </w:tc>
      </w:tr>
      <w:tr w:rsidR="00D87394" w14:paraId="41C2167E"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6C338FC9" w14:textId="77777777" w:rsidR="00D87394" w:rsidRDefault="00D87394" w:rsidP="00D87394">
            <w:pPr>
              <w:pStyle w:val="TAL"/>
              <w:rPr>
                <w:lang w:eastAsia="zh-CN"/>
              </w:rPr>
            </w:pPr>
            <w:r>
              <w:rPr>
                <w:lang w:eastAsia="zh-CN"/>
              </w:rPr>
              <w:t>34</w:t>
            </w:r>
          </w:p>
        </w:tc>
        <w:tc>
          <w:tcPr>
            <w:tcW w:w="2617" w:type="dxa"/>
            <w:gridSpan w:val="2"/>
            <w:tcBorders>
              <w:top w:val="single" w:sz="6" w:space="0" w:color="auto"/>
              <w:left w:val="single" w:sz="6" w:space="0" w:color="auto"/>
              <w:bottom w:val="single" w:sz="6" w:space="0" w:color="auto"/>
              <w:right w:val="single" w:sz="6" w:space="0" w:color="auto"/>
            </w:tcBorders>
          </w:tcPr>
          <w:p w14:paraId="111FF8D3" w14:textId="77777777" w:rsidR="00D87394" w:rsidRDefault="00D87394" w:rsidP="00D87394">
            <w:pPr>
              <w:pStyle w:val="TAL"/>
            </w:pPr>
            <w:r>
              <w:t>NetworkPerformance</w:t>
            </w:r>
            <w:r>
              <w:rPr>
                <w:lang w:eastAsia="zh-CN"/>
              </w:rPr>
              <w:t>Ext_AIML</w:t>
            </w:r>
          </w:p>
        </w:tc>
        <w:tc>
          <w:tcPr>
            <w:tcW w:w="5413" w:type="dxa"/>
            <w:gridSpan w:val="2"/>
            <w:tcBorders>
              <w:top w:val="single" w:sz="6" w:space="0" w:color="auto"/>
              <w:left w:val="single" w:sz="6" w:space="0" w:color="auto"/>
              <w:bottom w:val="single" w:sz="6" w:space="0" w:color="auto"/>
              <w:right w:val="single" w:sz="6" w:space="0" w:color="auto"/>
            </w:tcBorders>
          </w:tcPr>
          <w:p w14:paraId="12997239" w14:textId="77777777" w:rsidR="00D87394" w:rsidRDefault="00D87394" w:rsidP="00D87394">
            <w:pPr>
              <w:pStyle w:val="TAL"/>
            </w:pPr>
            <w:r>
              <w:t xml:space="preserve">This feature indicates support of the network performance enhancements </w:t>
            </w:r>
            <w:r>
              <w:rPr>
                <w:lang w:eastAsia="zh-CN"/>
              </w:rPr>
              <w:t>for AI/ML-based Services</w:t>
            </w:r>
            <w:r>
              <w:t>. Within this feature the following enhacements are covered:</w:t>
            </w:r>
          </w:p>
          <w:p w14:paraId="23BFB7B2" w14:textId="77777777" w:rsidR="00D87394" w:rsidRDefault="00D87394" w:rsidP="00D87394">
            <w:pPr>
              <w:pStyle w:val="TAL"/>
            </w:pPr>
            <w:r>
              <w:t>-</w:t>
            </w:r>
            <w:r>
              <w:tab/>
              <w:t>support of providing gNB resource usage for GBR traffic and Delay-critical GBR traffic.</w:t>
            </w:r>
          </w:p>
          <w:p w14:paraId="0CF6E9FB" w14:textId="77777777" w:rsidR="00D87394" w:rsidRDefault="00D87394" w:rsidP="00D87394">
            <w:pPr>
              <w:pStyle w:val="TAL"/>
            </w:pPr>
          </w:p>
          <w:p w14:paraId="777AEC24" w14:textId="77777777" w:rsidR="00D87394" w:rsidRDefault="00D87394" w:rsidP="00D87394">
            <w:pPr>
              <w:pStyle w:val="TAL"/>
            </w:pPr>
            <w:r>
              <w:rPr>
                <w:lang w:eastAsia="zh-CN"/>
              </w:rPr>
              <w:t xml:space="preserve">Supporting this feature also requires the support of </w:t>
            </w:r>
            <w:r>
              <w:t>NetworkPerformance</w:t>
            </w:r>
            <w:r>
              <w:rPr>
                <w:lang w:eastAsia="zh-CN"/>
              </w:rPr>
              <w:t xml:space="preserve"> feature.</w:t>
            </w:r>
          </w:p>
        </w:tc>
      </w:tr>
      <w:tr w:rsidR="00D87394" w14:paraId="41089D9F"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4DE5AB87" w14:textId="77777777" w:rsidR="00D87394" w:rsidRDefault="00D87394" w:rsidP="00D87394">
            <w:pPr>
              <w:pStyle w:val="TAL"/>
              <w:rPr>
                <w:lang w:eastAsia="zh-CN"/>
              </w:rPr>
            </w:pPr>
            <w:r>
              <w:rPr>
                <w:lang w:eastAsia="ja-JP"/>
              </w:rPr>
              <w:t>35</w:t>
            </w:r>
          </w:p>
        </w:tc>
        <w:tc>
          <w:tcPr>
            <w:tcW w:w="2617" w:type="dxa"/>
            <w:gridSpan w:val="2"/>
            <w:tcBorders>
              <w:top w:val="single" w:sz="6" w:space="0" w:color="auto"/>
              <w:left w:val="single" w:sz="6" w:space="0" w:color="auto"/>
              <w:bottom w:val="single" w:sz="6" w:space="0" w:color="auto"/>
              <w:right w:val="single" w:sz="6" w:space="0" w:color="auto"/>
            </w:tcBorders>
          </w:tcPr>
          <w:p w14:paraId="7EF22604" w14:textId="77777777" w:rsidR="00D87394" w:rsidRDefault="00D87394" w:rsidP="00D87394">
            <w:pPr>
              <w:pStyle w:val="TAL"/>
            </w:pPr>
            <w:r>
              <w:rPr>
                <w:lang w:eastAsia="zh-CN"/>
              </w:rPr>
              <w:t>E2eDataVolTransTime</w:t>
            </w:r>
          </w:p>
        </w:tc>
        <w:tc>
          <w:tcPr>
            <w:tcW w:w="5413" w:type="dxa"/>
            <w:gridSpan w:val="2"/>
            <w:tcBorders>
              <w:top w:val="single" w:sz="6" w:space="0" w:color="auto"/>
              <w:left w:val="single" w:sz="6" w:space="0" w:color="auto"/>
              <w:bottom w:val="single" w:sz="6" w:space="0" w:color="auto"/>
              <w:right w:val="single" w:sz="6" w:space="0" w:color="auto"/>
            </w:tcBorders>
          </w:tcPr>
          <w:p w14:paraId="2AA96EB3" w14:textId="77777777" w:rsidR="00D87394" w:rsidRDefault="00D87394" w:rsidP="00D87394">
            <w:pPr>
              <w:pStyle w:val="TAL"/>
            </w:pPr>
            <w:r>
              <w:t xml:space="preserve">This feature indicates support for </w:t>
            </w:r>
            <w:r>
              <w:rPr>
                <w:lang w:eastAsia="ko-KR"/>
              </w:rPr>
              <w:t>E2E data volume transfer time analytics</w:t>
            </w:r>
          </w:p>
        </w:tc>
      </w:tr>
      <w:tr w:rsidR="00D87394" w14:paraId="7CADCB2F"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0293B961" w14:textId="77777777" w:rsidR="00D87394" w:rsidRDefault="00D87394" w:rsidP="00D87394">
            <w:pPr>
              <w:pStyle w:val="TAL"/>
              <w:rPr>
                <w:rFonts w:hint="eastAsia"/>
                <w:lang w:eastAsia="zh-CN"/>
              </w:rPr>
            </w:pPr>
            <w:r>
              <w:rPr>
                <w:lang w:eastAsia="zh-CN"/>
              </w:rPr>
              <w:t>36</w:t>
            </w:r>
          </w:p>
        </w:tc>
        <w:tc>
          <w:tcPr>
            <w:tcW w:w="2617" w:type="dxa"/>
            <w:gridSpan w:val="2"/>
            <w:tcBorders>
              <w:top w:val="single" w:sz="6" w:space="0" w:color="auto"/>
              <w:left w:val="single" w:sz="6" w:space="0" w:color="auto"/>
              <w:bottom w:val="single" w:sz="6" w:space="0" w:color="auto"/>
              <w:right w:val="single" w:sz="6" w:space="0" w:color="auto"/>
            </w:tcBorders>
          </w:tcPr>
          <w:p w14:paraId="783B5ED4" w14:textId="77777777" w:rsidR="00D87394" w:rsidRDefault="00D87394" w:rsidP="00D87394">
            <w:pPr>
              <w:pStyle w:val="TAL"/>
              <w:rPr>
                <w:lang w:eastAsia="zh-CN"/>
              </w:rPr>
            </w:pPr>
            <w:r>
              <w:rPr>
                <w:lang w:eastAsia="zh-CN"/>
              </w:rPr>
              <w:t>AnalyticsAccuracy</w:t>
            </w:r>
          </w:p>
        </w:tc>
        <w:tc>
          <w:tcPr>
            <w:tcW w:w="5413" w:type="dxa"/>
            <w:gridSpan w:val="2"/>
            <w:tcBorders>
              <w:top w:val="single" w:sz="6" w:space="0" w:color="auto"/>
              <w:left w:val="single" w:sz="6" w:space="0" w:color="auto"/>
              <w:bottom w:val="single" w:sz="6" w:space="0" w:color="auto"/>
              <w:right w:val="single" w:sz="6" w:space="0" w:color="auto"/>
            </w:tcBorders>
          </w:tcPr>
          <w:p w14:paraId="18B1EBBF" w14:textId="77777777" w:rsidR="00D87394" w:rsidRDefault="00D87394" w:rsidP="00D87394">
            <w:pPr>
              <w:pStyle w:val="TAL"/>
            </w:pPr>
            <w:r>
              <w:t>This feature indicates support for the Analytics Accuracy information.</w:t>
            </w:r>
          </w:p>
        </w:tc>
      </w:tr>
      <w:tr w:rsidR="00D87394" w14:paraId="710240FA"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3258D13F" w14:textId="77777777" w:rsidR="00D87394" w:rsidRDefault="00D87394" w:rsidP="00D87394">
            <w:pPr>
              <w:pStyle w:val="TAL"/>
              <w:rPr>
                <w:rFonts w:hint="eastAsia"/>
                <w:lang w:eastAsia="zh-CN"/>
              </w:rPr>
            </w:pPr>
            <w:r>
              <w:rPr>
                <w:lang w:eastAsia="zh-CN"/>
              </w:rPr>
              <w:t>37</w:t>
            </w:r>
          </w:p>
        </w:tc>
        <w:tc>
          <w:tcPr>
            <w:tcW w:w="2617" w:type="dxa"/>
            <w:gridSpan w:val="2"/>
            <w:tcBorders>
              <w:top w:val="single" w:sz="6" w:space="0" w:color="auto"/>
              <w:left w:val="single" w:sz="6" w:space="0" w:color="auto"/>
              <w:bottom w:val="single" w:sz="6" w:space="0" w:color="auto"/>
              <w:right w:val="single" w:sz="6" w:space="0" w:color="auto"/>
            </w:tcBorders>
          </w:tcPr>
          <w:p w14:paraId="14602B71" w14:textId="77777777" w:rsidR="00D87394" w:rsidRDefault="00D87394" w:rsidP="00D87394">
            <w:pPr>
              <w:pStyle w:val="TAL"/>
              <w:rPr>
                <w:lang w:eastAsia="zh-CN"/>
              </w:rPr>
            </w:pPr>
            <w:r>
              <w:rPr>
                <w:rFonts w:hint="eastAsia"/>
                <w:lang w:eastAsia="zh-CN"/>
              </w:rPr>
              <w:t>E</w:t>
            </w:r>
            <w:r>
              <w:rPr>
                <w:lang w:eastAsia="zh-CN"/>
              </w:rPr>
              <w:t>n</w:t>
            </w:r>
            <w:r>
              <w:t>AbnormalBehaviour</w:t>
            </w:r>
          </w:p>
        </w:tc>
        <w:tc>
          <w:tcPr>
            <w:tcW w:w="5413" w:type="dxa"/>
            <w:gridSpan w:val="2"/>
            <w:tcBorders>
              <w:top w:val="single" w:sz="6" w:space="0" w:color="auto"/>
              <w:left w:val="single" w:sz="6" w:space="0" w:color="auto"/>
              <w:bottom w:val="single" w:sz="6" w:space="0" w:color="auto"/>
              <w:right w:val="single" w:sz="6" w:space="0" w:color="auto"/>
            </w:tcBorders>
          </w:tcPr>
          <w:p w14:paraId="486F4174" w14:textId="77777777" w:rsidR="00D87394" w:rsidRDefault="00D87394" w:rsidP="00D87394">
            <w:pPr>
              <w:pStyle w:val="TAL"/>
            </w:pPr>
            <w:r>
              <w:t>This feature indicates support for the enhancements of UE Abnormal Behaviour.</w:t>
            </w:r>
          </w:p>
          <w:p w14:paraId="6F2EC9D7" w14:textId="77777777" w:rsidR="00D87394" w:rsidRDefault="00D87394" w:rsidP="00D87394">
            <w:pPr>
              <w:pStyle w:val="TAL"/>
            </w:pPr>
            <w:r>
              <w:rPr>
                <w:lang w:eastAsia="zh-CN"/>
              </w:rPr>
              <w:t xml:space="preserve">Supporting this feature also requires the support of </w:t>
            </w:r>
            <w:r>
              <w:t>AbnormalBehaviour</w:t>
            </w:r>
            <w:r>
              <w:rPr>
                <w:lang w:eastAsia="zh-CN"/>
              </w:rPr>
              <w:t xml:space="preserve"> feature.</w:t>
            </w:r>
          </w:p>
        </w:tc>
      </w:tr>
      <w:tr w:rsidR="00D87394" w14:paraId="294C43A7"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7E83AB08" w14:textId="77777777" w:rsidR="00D87394" w:rsidRDefault="00D87394" w:rsidP="00D87394">
            <w:pPr>
              <w:pStyle w:val="TAL"/>
              <w:rPr>
                <w:rFonts w:hint="eastAsia"/>
                <w:lang w:eastAsia="zh-CN"/>
              </w:rPr>
            </w:pPr>
            <w:r>
              <w:rPr>
                <w:lang w:eastAsia="zh-CN"/>
              </w:rPr>
              <w:t>38</w:t>
            </w:r>
          </w:p>
        </w:tc>
        <w:tc>
          <w:tcPr>
            <w:tcW w:w="2617" w:type="dxa"/>
            <w:gridSpan w:val="2"/>
            <w:tcBorders>
              <w:top w:val="single" w:sz="6" w:space="0" w:color="auto"/>
              <w:left w:val="single" w:sz="6" w:space="0" w:color="auto"/>
              <w:bottom w:val="single" w:sz="6" w:space="0" w:color="auto"/>
              <w:right w:val="single" w:sz="6" w:space="0" w:color="auto"/>
            </w:tcBorders>
          </w:tcPr>
          <w:p w14:paraId="1C45479F" w14:textId="77777777" w:rsidR="00D87394" w:rsidRDefault="00D87394" w:rsidP="00D87394">
            <w:pPr>
              <w:pStyle w:val="TAL"/>
              <w:rPr>
                <w:rFonts w:hint="eastAsia"/>
                <w:lang w:eastAsia="zh-CN"/>
              </w:rPr>
            </w:pPr>
            <w:r>
              <w:t>UeCommunicationExt</w:t>
            </w:r>
          </w:p>
        </w:tc>
        <w:tc>
          <w:tcPr>
            <w:tcW w:w="5413" w:type="dxa"/>
            <w:gridSpan w:val="2"/>
            <w:tcBorders>
              <w:top w:val="single" w:sz="6" w:space="0" w:color="auto"/>
              <w:left w:val="single" w:sz="6" w:space="0" w:color="auto"/>
              <w:bottom w:val="single" w:sz="6" w:space="0" w:color="auto"/>
              <w:right w:val="single" w:sz="6" w:space="0" w:color="auto"/>
            </w:tcBorders>
          </w:tcPr>
          <w:p w14:paraId="28D96007" w14:textId="77777777" w:rsidR="00D87394" w:rsidRDefault="00D87394" w:rsidP="00D87394">
            <w:pPr>
              <w:pStyle w:val="TAL"/>
            </w:pPr>
            <w:r>
              <w:t xml:space="preserve">This feature indicates the support for the extensions to the event related to UE communication, including support of reporting </w:t>
            </w:r>
            <w:r>
              <w:rPr>
                <w:lang w:eastAsia="zh-CN"/>
              </w:rPr>
              <w:t xml:space="preserve">the analytics of the application list used by UE, N4 Session inactivity timer, and </w:t>
            </w:r>
            <w:r>
              <w:rPr>
                <w:rFonts w:cs="Arial"/>
                <w:szCs w:val="18"/>
                <w:lang w:eastAsia="zh-CN"/>
              </w:rPr>
              <w:t>whether the UE communicates periodically or not</w:t>
            </w:r>
            <w:r>
              <w:t>.</w:t>
            </w:r>
          </w:p>
          <w:p w14:paraId="3645A809" w14:textId="77777777" w:rsidR="00D87394" w:rsidRDefault="00D87394" w:rsidP="00D87394">
            <w:pPr>
              <w:pStyle w:val="TAL"/>
            </w:pPr>
            <w:r>
              <w:rPr>
                <w:lang w:eastAsia="zh-CN"/>
              </w:rPr>
              <w:t xml:space="preserve">Supporting this feature also requires the support of </w:t>
            </w:r>
            <w:r>
              <w:t>UeCommunication</w:t>
            </w:r>
            <w:r>
              <w:rPr>
                <w:lang w:eastAsia="zh-CN"/>
              </w:rPr>
              <w:t xml:space="preserve"> feature.</w:t>
            </w:r>
          </w:p>
        </w:tc>
      </w:tr>
      <w:tr w:rsidR="00D87394" w14:paraId="410A834E"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6DCC2419" w14:textId="77777777" w:rsidR="00D87394" w:rsidRDefault="00D87394" w:rsidP="00D87394">
            <w:pPr>
              <w:pStyle w:val="TAL"/>
              <w:rPr>
                <w:lang w:eastAsia="zh-CN"/>
              </w:rPr>
            </w:pPr>
            <w:r>
              <w:rPr>
                <w:lang w:eastAsia="zh-CN"/>
              </w:rPr>
              <w:t>39</w:t>
            </w:r>
          </w:p>
        </w:tc>
        <w:tc>
          <w:tcPr>
            <w:tcW w:w="2617" w:type="dxa"/>
            <w:gridSpan w:val="2"/>
            <w:tcBorders>
              <w:top w:val="single" w:sz="6" w:space="0" w:color="auto"/>
              <w:left w:val="single" w:sz="6" w:space="0" w:color="auto"/>
              <w:bottom w:val="single" w:sz="6" w:space="0" w:color="auto"/>
              <w:right w:val="single" w:sz="6" w:space="0" w:color="auto"/>
            </w:tcBorders>
          </w:tcPr>
          <w:p w14:paraId="4B91C965" w14:textId="77777777" w:rsidR="00D87394" w:rsidRDefault="00D87394" w:rsidP="00D87394">
            <w:pPr>
              <w:pStyle w:val="TAL"/>
            </w:pPr>
            <w:r>
              <w:t>QoSSustainExt_eNA</w:t>
            </w:r>
          </w:p>
        </w:tc>
        <w:tc>
          <w:tcPr>
            <w:tcW w:w="5413" w:type="dxa"/>
            <w:gridSpan w:val="2"/>
            <w:tcBorders>
              <w:top w:val="single" w:sz="6" w:space="0" w:color="auto"/>
              <w:left w:val="single" w:sz="6" w:space="0" w:color="auto"/>
              <w:bottom w:val="single" w:sz="6" w:space="0" w:color="auto"/>
              <w:right w:val="single" w:sz="6" w:space="0" w:color="auto"/>
            </w:tcBorders>
          </w:tcPr>
          <w:p w14:paraId="32E7FA57" w14:textId="77777777" w:rsidR="00D87394" w:rsidRDefault="00D87394" w:rsidP="00D87394">
            <w:pPr>
              <w:pStyle w:val="TAL"/>
            </w:pPr>
            <w:r>
              <w:t>This feature indicates support for the enhancements of QoS Sustainability, including:</w:t>
            </w:r>
          </w:p>
          <w:p w14:paraId="087B9C7F" w14:textId="77777777" w:rsidR="00D87394" w:rsidRDefault="00D87394" w:rsidP="00D87394">
            <w:pPr>
              <w:pStyle w:val="TAL"/>
            </w:pPr>
            <w:r>
              <w:t>-</w:t>
            </w:r>
            <w:r>
              <w:tab/>
              <w:t xml:space="preserve">support of temporal and spatial granularity size. </w:t>
            </w:r>
          </w:p>
          <w:p w14:paraId="092F7328" w14:textId="77777777" w:rsidR="00D87394" w:rsidRDefault="00D87394" w:rsidP="00D87394">
            <w:pPr>
              <w:pStyle w:val="TAL"/>
            </w:pPr>
          </w:p>
          <w:p w14:paraId="7C616FCA" w14:textId="77777777" w:rsidR="00D87394" w:rsidRDefault="00D87394" w:rsidP="00D87394">
            <w:pPr>
              <w:pStyle w:val="TAL"/>
            </w:pPr>
            <w:r>
              <w:t>Supporting this feature also requires the support of QoSSustainability feature.</w:t>
            </w:r>
          </w:p>
        </w:tc>
      </w:tr>
      <w:tr w:rsidR="00D87394" w14:paraId="7B95E5B3"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4B5C28F8" w14:textId="77777777" w:rsidR="00D87394" w:rsidRDefault="00D87394" w:rsidP="00D87394">
            <w:pPr>
              <w:pStyle w:val="TAL"/>
              <w:rPr>
                <w:lang w:eastAsia="zh-CN"/>
              </w:rPr>
            </w:pPr>
            <w:r>
              <w:rPr>
                <w:lang w:eastAsia="zh-CN"/>
              </w:rPr>
              <w:t>40</w:t>
            </w:r>
          </w:p>
        </w:tc>
        <w:tc>
          <w:tcPr>
            <w:tcW w:w="2617" w:type="dxa"/>
            <w:gridSpan w:val="2"/>
            <w:tcBorders>
              <w:top w:val="single" w:sz="6" w:space="0" w:color="auto"/>
              <w:left w:val="single" w:sz="6" w:space="0" w:color="auto"/>
              <w:bottom w:val="single" w:sz="6" w:space="0" w:color="auto"/>
              <w:right w:val="single" w:sz="6" w:space="0" w:color="auto"/>
            </w:tcBorders>
          </w:tcPr>
          <w:p w14:paraId="299C7F92" w14:textId="77777777" w:rsidR="00D87394" w:rsidRDefault="00D87394" w:rsidP="00D87394">
            <w:pPr>
              <w:pStyle w:val="TAL"/>
            </w:pPr>
            <w:r>
              <w:t>WlanPerfExt_eNA</w:t>
            </w:r>
          </w:p>
        </w:tc>
        <w:tc>
          <w:tcPr>
            <w:tcW w:w="5413" w:type="dxa"/>
            <w:gridSpan w:val="2"/>
            <w:tcBorders>
              <w:top w:val="single" w:sz="6" w:space="0" w:color="auto"/>
              <w:left w:val="single" w:sz="6" w:space="0" w:color="auto"/>
              <w:bottom w:val="single" w:sz="6" w:space="0" w:color="auto"/>
              <w:right w:val="single" w:sz="6" w:space="0" w:color="auto"/>
            </w:tcBorders>
          </w:tcPr>
          <w:p w14:paraId="73D6D6D5" w14:textId="77777777" w:rsidR="00D87394" w:rsidRDefault="00D87394" w:rsidP="00D87394">
            <w:pPr>
              <w:pStyle w:val="TAL"/>
            </w:pPr>
            <w:r>
              <w:t>This feature indicates support for the enhancements of WLAN performance, including:</w:t>
            </w:r>
          </w:p>
          <w:p w14:paraId="13FC9E92" w14:textId="77777777" w:rsidR="00D87394" w:rsidRDefault="00D87394" w:rsidP="00D87394">
            <w:pPr>
              <w:pStyle w:val="TAL"/>
            </w:pPr>
            <w:r>
              <w:t>-</w:t>
            </w:r>
            <w:r>
              <w:tab/>
              <w:t xml:space="preserve">support of temporal granularity size. </w:t>
            </w:r>
          </w:p>
          <w:p w14:paraId="5D5BFDCF" w14:textId="77777777" w:rsidR="00D87394" w:rsidRDefault="00D87394" w:rsidP="00D87394">
            <w:pPr>
              <w:pStyle w:val="TAL"/>
            </w:pPr>
          </w:p>
          <w:p w14:paraId="2D24E5F0" w14:textId="77777777" w:rsidR="00D87394" w:rsidRDefault="00D87394" w:rsidP="00D87394">
            <w:pPr>
              <w:pStyle w:val="TAL"/>
            </w:pPr>
            <w:r>
              <w:t>Supporting this feature also requires the support of feature WlanPerformance.</w:t>
            </w:r>
          </w:p>
        </w:tc>
      </w:tr>
      <w:tr w:rsidR="00D87394" w14:paraId="037EC616" w14:textId="77777777">
        <w:trPr>
          <w:gridAfter w:val="1"/>
          <w:wAfter w:w="40" w:type="dxa"/>
          <w:jc w:val="center"/>
        </w:trPr>
        <w:tc>
          <w:tcPr>
            <w:tcW w:w="1462" w:type="dxa"/>
            <w:gridSpan w:val="2"/>
            <w:tcBorders>
              <w:top w:val="single" w:sz="6" w:space="0" w:color="auto"/>
              <w:left w:val="single" w:sz="6" w:space="0" w:color="auto"/>
              <w:bottom w:val="single" w:sz="6" w:space="0" w:color="auto"/>
              <w:right w:val="single" w:sz="6" w:space="0" w:color="auto"/>
            </w:tcBorders>
          </w:tcPr>
          <w:p w14:paraId="409A091A" w14:textId="77777777" w:rsidR="00D87394" w:rsidRDefault="00D87394" w:rsidP="00D87394">
            <w:pPr>
              <w:pStyle w:val="TAL"/>
              <w:rPr>
                <w:lang w:eastAsia="zh-CN"/>
              </w:rPr>
            </w:pPr>
            <w:r>
              <w:rPr>
                <w:lang w:eastAsia="zh-CN"/>
              </w:rPr>
              <w:lastRenderedPageBreak/>
              <w:t>41</w:t>
            </w:r>
          </w:p>
        </w:tc>
        <w:tc>
          <w:tcPr>
            <w:tcW w:w="2617" w:type="dxa"/>
            <w:gridSpan w:val="2"/>
            <w:tcBorders>
              <w:top w:val="single" w:sz="6" w:space="0" w:color="auto"/>
              <w:left w:val="single" w:sz="6" w:space="0" w:color="auto"/>
              <w:bottom w:val="single" w:sz="6" w:space="0" w:color="auto"/>
              <w:right w:val="single" w:sz="6" w:space="0" w:color="auto"/>
            </w:tcBorders>
          </w:tcPr>
          <w:p w14:paraId="705BF4B2" w14:textId="77777777" w:rsidR="00D87394" w:rsidRDefault="00D87394" w:rsidP="00D87394">
            <w:pPr>
              <w:pStyle w:val="TAL"/>
            </w:pPr>
            <w:r>
              <w:t>DnPerfExt_eNA</w:t>
            </w:r>
          </w:p>
        </w:tc>
        <w:tc>
          <w:tcPr>
            <w:tcW w:w="5413" w:type="dxa"/>
            <w:gridSpan w:val="2"/>
            <w:tcBorders>
              <w:top w:val="single" w:sz="6" w:space="0" w:color="auto"/>
              <w:left w:val="single" w:sz="6" w:space="0" w:color="auto"/>
              <w:bottom w:val="single" w:sz="6" w:space="0" w:color="auto"/>
              <w:right w:val="single" w:sz="6" w:space="0" w:color="auto"/>
            </w:tcBorders>
          </w:tcPr>
          <w:p w14:paraId="12C75118" w14:textId="77777777" w:rsidR="00D87394" w:rsidRDefault="00D87394" w:rsidP="00D87394">
            <w:pPr>
              <w:pStyle w:val="TAL"/>
            </w:pPr>
            <w:r>
              <w:t>This feature indicates support for extensions to the event related to DN Performance, including support of number of UEs. Supporting this feature also requires the support of feature DnPerformance.</w:t>
            </w:r>
          </w:p>
        </w:tc>
      </w:tr>
      <w:tr w:rsidR="00D87394" w14:paraId="5A9D51FC"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3181EE98" w14:textId="77777777" w:rsidR="00D87394" w:rsidRDefault="00D87394" w:rsidP="00D87394">
            <w:pPr>
              <w:pStyle w:val="TAL"/>
              <w:rPr>
                <w:lang w:eastAsia="zh-CN"/>
              </w:rPr>
            </w:pPr>
            <w:r>
              <w:rPr>
                <w:rFonts w:hint="eastAsia"/>
                <w:lang w:eastAsia="zh-CN"/>
              </w:rPr>
              <w:t>4</w:t>
            </w:r>
            <w:r>
              <w:rPr>
                <w:lang w:eastAsia="zh-CN"/>
              </w:rPr>
              <w:t>2</w:t>
            </w:r>
          </w:p>
        </w:tc>
        <w:tc>
          <w:tcPr>
            <w:tcW w:w="2618" w:type="dxa"/>
            <w:gridSpan w:val="2"/>
            <w:tcBorders>
              <w:top w:val="single" w:sz="6" w:space="0" w:color="auto"/>
              <w:left w:val="single" w:sz="6" w:space="0" w:color="auto"/>
              <w:bottom w:val="single" w:sz="6" w:space="0" w:color="auto"/>
              <w:right w:val="single" w:sz="6" w:space="0" w:color="auto"/>
            </w:tcBorders>
          </w:tcPr>
          <w:p w14:paraId="60AB0453" w14:textId="77777777" w:rsidR="00D87394" w:rsidRDefault="00D87394" w:rsidP="00D87394">
            <w:pPr>
              <w:pStyle w:val="TAL"/>
            </w:pPr>
            <w:r>
              <w:t>QoSSustainExt_eNA</w:t>
            </w:r>
          </w:p>
        </w:tc>
        <w:tc>
          <w:tcPr>
            <w:tcW w:w="5412" w:type="dxa"/>
            <w:gridSpan w:val="2"/>
            <w:tcBorders>
              <w:top w:val="single" w:sz="6" w:space="0" w:color="auto"/>
              <w:left w:val="single" w:sz="6" w:space="0" w:color="auto"/>
              <w:bottom w:val="single" w:sz="6" w:space="0" w:color="auto"/>
              <w:right w:val="single" w:sz="6" w:space="0" w:color="auto"/>
            </w:tcBorders>
          </w:tcPr>
          <w:p w14:paraId="1BD1CC74" w14:textId="77777777" w:rsidR="00D87394" w:rsidRDefault="00D87394" w:rsidP="00D87394">
            <w:pPr>
              <w:pStyle w:val="TAL"/>
            </w:pPr>
            <w:r>
              <w:t xml:space="preserve">This feature indicates support for the enhancements of </w:t>
            </w:r>
            <w:r>
              <w:rPr>
                <w:rFonts w:eastAsia="Batang"/>
              </w:rPr>
              <w:t>QoS Sustainability</w:t>
            </w:r>
            <w:r>
              <w:t>, including enhancements of filter information.</w:t>
            </w:r>
            <w:r>
              <w:rPr>
                <w:lang w:eastAsia="zh-CN"/>
              </w:rPr>
              <w:t xml:space="preserve"> Supporting this feature also requires the support of </w:t>
            </w:r>
            <w:r>
              <w:rPr>
                <w:rFonts w:eastAsia="Batang"/>
              </w:rPr>
              <w:t>QoSSustainability</w:t>
            </w:r>
            <w:r>
              <w:rPr>
                <w:lang w:eastAsia="zh-CN"/>
              </w:rPr>
              <w:t xml:space="preserve"> feature.</w:t>
            </w:r>
          </w:p>
        </w:tc>
      </w:tr>
      <w:tr w:rsidR="00D87394" w14:paraId="5BCBD218"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05F1433" w14:textId="77777777" w:rsidR="00D87394" w:rsidRDefault="00D87394" w:rsidP="00D87394">
            <w:pPr>
              <w:pStyle w:val="TAL"/>
              <w:rPr>
                <w:lang w:eastAsia="zh-CN"/>
              </w:rPr>
            </w:pPr>
            <w:r>
              <w:rPr>
                <w:lang w:eastAsia="zh-CN"/>
              </w:rPr>
              <w:t>43</w:t>
            </w:r>
          </w:p>
        </w:tc>
        <w:tc>
          <w:tcPr>
            <w:tcW w:w="2618" w:type="dxa"/>
            <w:gridSpan w:val="2"/>
            <w:tcBorders>
              <w:top w:val="single" w:sz="6" w:space="0" w:color="auto"/>
              <w:left w:val="single" w:sz="6" w:space="0" w:color="auto"/>
              <w:bottom w:val="single" w:sz="6" w:space="0" w:color="auto"/>
              <w:right w:val="single" w:sz="6" w:space="0" w:color="auto"/>
            </w:tcBorders>
          </w:tcPr>
          <w:p w14:paraId="3A96D8B2" w14:textId="77777777" w:rsidR="00D87394" w:rsidRDefault="00D87394" w:rsidP="00D87394">
            <w:pPr>
              <w:pStyle w:val="TAL"/>
            </w:pPr>
            <w:r>
              <w:t>MovementBehaviour</w:t>
            </w:r>
          </w:p>
        </w:tc>
        <w:tc>
          <w:tcPr>
            <w:tcW w:w="5412" w:type="dxa"/>
            <w:gridSpan w:val="2"/>
            <w:tcBorders>
              <w:top w:val="single" w:sz="6" w:space="0" w:color="auto"/>
              <w:left w:val="single" w:sz="6" w:space="0" w:color="auto"/>
              <w:bottom w:val="single" w:sz="6" w:space="0" w:color="auto"/>
              <w:right w:val="single" w:sz="6" w:space="0" w:color="auto"/>
            </w:tcBorders>
          </w:tcPr>
          <w:p w14:paraId="4803FB48" w14:textId="77777777" w:rsidR="00D87394" w:rsidRDefault="00D87394" w:rsidP="00D87394">
            <w:pPr>
              <w:pStyle w:val="TAL"/>
            </w:pPr>
            <w:r>
              <w:t>This feature indicates support for the Movement Behaviour information.</w:t>
            </w:r>
          </w:p>
        </w:tc>
      </w:tr>
      <w:tr w:rsidR="00D87394" w14:paraId="0B761175"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3547D3DD" w14:textId="77777777" w:rsidR="00D87394" w:rsidRDefault="00D87394" w:rsidP="00D87394">
            <w:pPr>
              <w:pStyle w:val="TAL"/>
              <w:rPr>
                <w:lang w:eastAsia="zh-CN"/>
              </w:rPr>
            </w:pPr>
            <w:r>
              <w:rPr>
                <w:lang w:eastAsia="zh-CN"/>
              </w:rPr>
              <w:t>44</w:t>
            </w:r>
          </w:p>
        </w:tc>
        <w:tc>
          <w:tcPr>
            <w:tcW w:w="2618" w:type="dxa"/>
            <w:gridSpan w:val="2"/>
            <w:tcBorders>
              <w:top w:val="single" w:sz="6" w:space="0" w:color="auto"/>
              <w:left w:val="single" w:sz="6" w:space="0" w:color="auto"/>
              <w:bottom w:val="single" w:sz="6" w:space="0" w:color="auto"/>
              <w:right w:val="single" w:sz="6" w:space="0" w:color="auto"/>
            </w:tcBorders>
          </w:tcPr>
          <w:p w14:paraId="1F978367" w14:textId="77777777" w:rsidR="00D87394" w:rsidRDefault="00D87394" w:rsidP="00D87394">
            <w:pPr>
              <w:pStyle w:val="TAL"/>
            </w:pPr>
            <w:r>
              <w:t>LocAccuracy</w:t>
            </w:r>
          </w:p>
        </w:tc>
        <w:tc>
          <w:tcPr>
            <w:tcW w:w="5412" w:type="dxa"/>
            <w:gridSpan w:val="2"/>
            <w:tcBorders>
              <w:top w:val="single" w:sz="6" w:space="0" w:color="auto"/>
              <w:left w:val="single" w:sz="6" w:space="0" w:color="auto"/>
              <w:bottom w:val="single" w:sz="6" w:space="0" w:color="auto"/>
              <w:right w:val="single" w:sz="6" w:space="0" w:color="auto"/>
            </w:tcBorders>
          </w:tcPr>
          <w:p w14:paraId="1298D027" w14:textId="77777777" w:rsidR="00D87394" w:rsidRDefault="00D87394" w:rsidP="00D87394">
            <w:pPr>
              <w:pStyle w:val="TAL"/>
            </w:pPr>
            <w:r>
              <w:t>This feature indicates support for the Location Accuracy analytics.</w:t>
            </w:r>
          </w:p>
        </w:tc>
      </w:tr>
      <w:tr w:rsidR="00D87394" w14:paraId="3A8DD939"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4B886C34" w14:textId="77777777" w:rsidR="00D87394" w:rsidRDefault="00D87394" w:rsidP="00D87394">
            <w:pPr>
              <w:pStyle w:val="TAL"/>
              <w:rPr>
                <w:lang w:eastAsia="zh-CN"/>
              </w:rPr>
            </w:pPr>
            <w:r>
              <w:rPr>
                <w:rFonts w:hint="eastAsia"/>
                <w:lang w:eastAsia="zh-CN"/>
              </w:rPr>
              <w:t>4</w:t>
            </w:r>
            <w:r>
              <w:rPr>
                <w:lang w:eastAsia="zh-CN"/>
              </w:rPr>
              <w:t>5</w:t>
            </w:r>
          </w:p>
        </w:tc>
        <w:tc>
          <w:tcPr>
            <w:tcW w:w="2618" w:type="dxa"/>
            <w:gridSpan w:val="2"/>
            <w:tcBorders>
              <w:top w:val="single" w:sz="6" w:space="0" w:color="auto"/>
              <w:left w:val="single" w:sz="6" w:space="0" w:color="auto"/>
              <w:bottom w:val="single" w:sz="6" w:space="0" w:color="auto"/>
              <w:right w:val="single" w:sz="6" w:space="0" w:color="auto"/>
            </w:tcBorders>
          </w:tcPr>
          <w:p w14:paraId="4BABD14B" w14:textId="77777777" w:rsidR="00D87394" w:rsidRDefault="00D87394" w:rsidP="00D87394">
            <w:pPr>
              <w:pStyle w:val="TAL"/>
            </w:pPr>
            <w:r>
              <w:rPr>
                <w:lang w:eastAsia="zh-CN"/>
              </w:rPr>
              <w:t>RelativeProximity</w:t>
            </w:r>
          </w:p>
        </w:tc>
        <w:tc>
          <w:tcPr>
            <w:tcW w:w="5412" w:type="dxa"/>
            <w:gridSpan w:val="2"/>
            <w:tcBorders>
              <w:top w:val="single" w:sz="6" w:space="0" w:color="auto"/>
              <w:left w:val="single" w:sz="6" w:space="0" w:color="auto"/>
              <w:bottom w:val="single" w:sz="6" w:space="0" w:color="auto"/>
              <w:right w:val="single" w:sz="6" w:space="0" w:color="auto"/>
            </w:tcBorders>
          </w:tcPr>
          <w:p w14:paraId="19891240" w14:textId="77777777" w:rsidR="00D87394" w:rsidRDefault="00D87394" w:rsidP="00D87394">
            <w:pPr>
              <w:pStyle w:val="TAL"/>
            </w:pPr>
            <w:r>
              <w:t>This feature indicates support for the Relative Proximity analytics.</w:t>
            </w:r>
          </w:p>
        </w:tc>
      </w:tr>
      <w:tr w:rsidR="00D87394" w14:paraId="70AB2A8F"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ED32D7B" w14:textId="77777777" w:rsidR="00D87394" w:rsidRDefault="00D87394" w:rsidP="00D87394">
            <w:pPr>
              <w:pStyle w:val="TAL"/>
              <w:rPr>
                <w:rFonts w:hint="eastAsia"/>
                <w:lang w:eastAsia="ja-JP"/>
              </w:rPr>
            </w:pPr>
            <w:r>
              <w:rPr>
                <w:lang w:eastAsia="zh-CN"/>
              </w:rPr>
              <w:t>46</w:t>
            </w:r>
          </w:p>
        </w:tc>
        <w:tc>
          <w:tcPr>
            <w:tcW w:w="2618" w:type="dxa"/>
            <w:gridSpan w:val="2"/>
            <w:tcBorders>
              <w:top w:val="single" w:sz="6" w:space="0" w:color="auto"/>
              <w:left w:val="single" w:sz="6" w:space="0" w:color="auto"/>
              <w:bottom w:val="single" w:sz="6" w:space="0" w:color="auto"/>
              <w:right w:val="single" w:sz="6" w:space="0" w:color="auto"/>
            </w:tcBorders>
          </w:tcPr>
          <w:p w14:paraId="3684B65B" w14:textId="77777777" w:rsidR="00D87394" w:rsidRDefault="00D87394" w:rsidP="00D87394">
            <w:pPr>
              <w:pStyle w:val="TAL"/>
              <w:rPr>
                <w:lang w:eastAsia="zh-CN"/>
              </w:rPr>
            </w:pPr>
            <w:r>
              <w:t>ENAExt</w:t>
            </w:r>
          </w:p>
        </w:tc>
        <w:tc>
          <w:tcPr>
            <w:tcW w:w="5412" w:type="dxa"/>
            <w:gridSpan w:val="2"/>
            <w:tcBorders>
              <w:top w:val="single" w:sz="6" w:space="0" w:color="auto"/>
              <w:left w:val="single" w:sz="6" w:space="0" w:color="auto"/>
              <w:bottom w:val="single" w:sz="6" w:space="0" w:color="auto"/>
              <w:right w:val="single" w:sz="6" w:space="0" w:color="auto"/>
            </w:tcBorders>
          </w:tcPr>
          <w:p w14:paraId="1C547F7A" w14:textId="77777777" w:rsidR="00D87394" w:rsidRDefault="00D87394" w:rsidP="00D87394">
            <w:pPr>
              <w:pStyle w:val="TAL"/>
            </w:pPr>
            <w:r>
              <w:t>This feature indicates support for the general enhancements of network data analytics requirements,</w:t>
            </w:r>
            <w:r>
              <w:rPr>
                <w:lang w:eastAsia="zh-CN"/>
              </w:rPr>
              <w:t xml:space="preserve"> including support more level of accuracy and support for use case context sent by the NF service consumer to the NWDAF</w:t>
            </w:r>
            <w:r>
              <w:t>.</w:t>
            </w:r>
          </w:p>
        </w:tc>
      </w:tr>
      <w:tr w:rsidR="00D87394" w14:paraId="53D9E5F0"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718C9579" w14:textId="77777777" w:rsidR="00D87394" w:rsidRDefault="00D87394" w:rsidP="00D87394">
            <w:pPr>
              <w:pStyle w:val="TAL"/>
              <w:rPr>
                <w:lang w:eastAsia="zh-CN"/>
              </w:rPr>
            </w:pPr>
            <w:r>
              <w:rPr>
                <w:lang w:eastAsia="zh-CN"/>
              </w:rPr>
              <w:t>47</w:t>
            </w:r>
          </w:p>
        </w:tc>
        <w:tc>
          <w:tcPr>
            <w:tcW w:w="2618" w:type="dxa"/>
            <w:gridSpan w:val="2"/>
            <w:tcBorders>
              <w:top w:val="single" w:sz="6" w:space="0" w:color="auto"/>
              <w:left w:val="single" w:sz="6" w:space="0" w:color="auto"/>
              <w:bottom w:val="single" w:sz="6" w:space="0" w:color="auto"/>
              <w:right w:val="single" w:sz="6" w:space="0" w:color="auto"/>
            </w:tcBorders>
          </w:tcPr>
          <w:p w14:paraId="394F47F5" w14:textId="77777777" w:rsidR="00D87394" w:rsidRDefault="00D87394" w:rsidP="00D87394">
            <w:pPr>
              <w:pStyle w:val="TAL"/>
            </w:pPr>
            <w:r>
              <w:rPr>
                <w:lang w:eastAsia="zh-CN"/>
              </w:rPr>
              <w:t>RoamingAnalytics</w:t>
            </w:r>
          </w:p>
        </w:tc>
        <w:tc>
          <w:tcPr>
            <w:tcW w:w="5412" w:type="dxa"/>
            <w:gridSpan w:val="2"/>
            <w:tcBorders>
              <w:top w:val="single" w:sz="6" w:space="0" w:color="auto"/>
              <w:left w:val="single" w:sz="6" w:space="0" w:color="auto"/>
              <w:bottom w:val="single" w:sz="6" w:space="0" w:color="auto"/>
              <w:right w:val="single" w:sz="6" w:space="0" w:color="auto"/>
            </w:tcBorders>
          </w:tcPr>
          <w:p w14:paraId="3188455E" w14:textId="77777777" w:rsidR="00D87394" w:rsidRDefault="00D87394" w:rsidP="00D87394">
            <w:pPr>
              <w:pStyle w:val="TAL"/>
            </w:pPr>
            <w:r>
              <w:t>This feature indicates support for the Roaming analytics.</w:t>
            </w:r>
          </w:p>
        </w:tc>
      </w:tr>
      <w:tr w:rsidR="00D87394" w14:paraId="4905340A"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9570A44" w14:textId="77777777" w:rsidR="00D87394" w:rsidRDefault="00D87394" w:rsidP="00D87394">
            <w:pPr>
              <w:pStyle w:val="TAL"/>
              <w:rPr>
                <w:lang w:eastAsia="zh-CN"/>
              </w:rPr>
            </w:pPr>
            <w:r>
              <w:rPr>
                <w:lang w:eastAsia="zh-CN"/>
              </w:rPr>
              <w:t>48</w:t>
            </w:r>
          </w:p>
        </w:tc>
        <w:tc>
          <w:tcPr>
            <w:tcW w:w="2618" w:type="dxa"/>
            <w:gridSpan w:val="2"/>
            <w:tcBorders>
              <w:top w:val="single" w:sz="6" w:space="0" w:color="auto"/>
              <w:left w:val="single" w:sz="6" w:space="0" w:color="auto"/>
              <w:bottom w:val="single" w:sz="6" w:space="0" w:color="auto"/>
              <w:right w:val="single" w:sz="6" w:space="0" w:color="auto"/>
            </w:tcBorders>
          </w:tcPr>
          <w:p w14:paraId="4B31C9FD" w14:textId="77777777" w:rsidR="00D87394" w:rsidRDefault="00D87394" w:rsidP="00D87394">
            <w:pPr>
              <w:pStyle w:val="TAL"/>
              <w:rPr>
                <w:lang w:eastAsia="zh-CN"/>
              </w:rPr>
            </w:pPr>
            <w:r>
              <w:t>PredictionError</w:t>
            </w:r>
          </w:p>
        </w:tc>
        <w:tc>
          <w:tcPr>
            <w:tcW w:w="5412" w:type="dxa"/>
            <w:gridSpan w:val="2"/>
            <w:tcBorders>
              <w:top w:val="single" w:sz="6" w:space="0" w:color="auto"/>
              <w:left w:val="single" w:sz="6" w:space="0" w:color="auto"/>
              <w:bottom w:val="single" w:sz="6" w:space="0" w:color="auto"/>
              <w:right w:val="single" w:sz="6" w:space="0" w:color="auto"/>
            </w:tcBorders>
          </w:tcPr>
          <w:p w14:paraId="501ECF58" w14:textId="77777777" w:rsidR="00D87394" w:rsidRDefault="00D87394" w:rsidP="00D87394">
            <w:pPr>
              <w:pStyle w:val="TAL"/>
            </w:pPr>
            <w:r>
              <w:t>This feature indicates support for Prediction Error handling.</w:t>
            </w:r>
          </w:p>
        </w:tc>
      </w:tr>
      <w:tr w:rsidR="00D87394" w14:paraId="1CD2B097"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67AA5200" w14:textId="77777777" w:rsidR="00D87394" w:rsidRDefault="00D87394" w:rsidP="00D87394">
            <w:pPr>
              <w:pStyle w:val="TAL"/>
              <w:rPr>
                <w:lang w:eastAsia="zh-CN"/>
              </w:rPr>
            </w:pPr>
            <w:r>
              <w:rPr>
                <w:lang w:eastAsia="zh-CN"/>
              </w:rPr>
              <w:t>49</w:t>
            </w:r>
          </w:p>
        </w:tc>
        <w:tc>
          <w:tcPr>
            <w:tcW w:w="2618" w:type="dxa"/>
            <w:gridSpan w:val="2"/>
            <w:tcBorders>
              <w:top w:val="single" w:sz="6" w:space="0" w:color="auto"/>
              <w:left w:val="single" w:sz="6" w:space="0" w:color="auto"/>
              <w:bottom w:val="single" w:sz="6" w:space="0" w:color="auto"/>
              <w:right w:val="single" w:sz="6" w:space="0" w:color="auto"/>
            </w:tcBorders>
          </w:tcPr>
          <w:p w14:paraId="0C18B932" w14:textId="77777777" w:rsidR="00D87394" w:rsidRDefault="00D87394" w:rsidP="00D87394">
            <w:pPr>
              <w:pStyle w:val="TAL"/>
            </w:pPr>
            <w:r>
              <w:rPr>
                <w:lang w:eastAsia="zh-CN"/>
              </w:rPr>
              <w:t>EnAnaCtxTransfer</w:t>
            </w:r>
          </w:p>
        </w:tc>
        <w:tc>
          <w:tcPr>
            <w:tcW w:w="5412" w:type="dxa"/>
            <w:gridSpan w:val="2"/>
            <w:tcBorders>
              <w:top w:val="single" w:sz="6" w:space="0" w:color="auto"/>
              <w:left w:val="single" w:sz="6" w:space="0" w:color="auto"/>
              <w:bottom w:val="single" w:sz="6" w:space="0" w:color="auto"/>
              <w:right w:val="single" w:sz="6" w:space="0" w:color="auto"/>
            </w:tcBorders>
          </w:tcPr>
          <w:p w14:paraId="2B857BEC" w14:textId="77777777" w:rsidR="00D87394" w:rsidRDefault="00D87394" w:rsidP="00D87394">
            <w:pPr>
              <w:pStyle w:val="TAL"/>
            </w:pPr>
            <w:r>
              <w:t xml:space="preserve">This feature indicates the enhancement for the </w:t>
            </w:r>
            <w:r>
              <w:rPr>
                <w:lang w:eastAsia="ko-KR"/>
              </w:rPr>
              <w:t>analytics context transfer</w:t>
            </w:r>
            <w:r>
              <w:t>, including the support of transferring the</w:t>
            </w:r>
            <w:r>
              <w:rPr>
                <w:lang w:eastAsia="ko-KR"/>
              </w:rPr>
              <w:t xml:space="preserve"> Analytics Accuracy</w:t>
            </w:r>
            <w:r>
              <w:t xml:space="preserve"> and ML Model accuracy context types.</w:t>
            </w:r>
          </w:p>
          <w:p w14:paraId="3AEFCE86" w14:textId="77777777" w:rsidR="00D87394" w:rsidRDefault="00D87394" w:rsidP="00D87394">
            <w:pPr>
              <w:pStyle w:val="TAL"/>
            </w:pPr>
            <w:r>
              <w:t>Supporting this feature also requires the support of feature "</w:t>
            </w:r>
            <w:r>
              <w:rPr>
                <w:lang w:eastAsia="zh-CN"/>
              </w:rPr>
              <w:t>AnaCtxTransfer</w:t>
            </w:r>
            <w:r>
              <w:t>".</w:t>
            </w:r>
          </w:p>
        </w:tc>
      </w:tr>
      <w:tr w:rsidR="00432DC2" w14:paraId="5D787A20"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59CD5663" w14:textId="77777777" w:rsidR="00432DC2" w:rsidRDefault="00432DC2" w:rsidP="00432DC2">
            <w:pPr>
              <w:pStyle w:val="TAL"/>
              <w:rPr>
                <w:lang w:eastAsia="zh-CN"/>
              </w:rPr>
            </w:pPr>
            <w:r>
              <w:rPr>
                <w:rFonts w:hint="eastAsia"/>
                <w:lang w:eastAsia="zh-CN"/>
              </w:rPr>
              <w:t>5</w:t>
            </w:r>
            <w:r>
              <w:rPr>
                <w:lang w:eastAsia="zh-CN"/>
              </w:rPr>
              <w:t>0</w:t>
            </w:r>
          </w:p>
        </w:tc>
        <w:tc>
          <w:tcPr>
            <w:tcW w:w="2618" w:type="dxa"/>
            <w:gridSpan w:val="2"/>
            <w:tcBorders>
              <w:top w:val="single" w:sz="6" w:space="0" w:color="auto"/>
              <w:left w:val="single" w:sz="6" w:space="0" w:color="auto"/>
              <w:bottom w:val="single" w:sz="6" w:space="0" w:color="auto"/>
              <w:right w:val="single" w:sz="6" w:space="0" w:color="auto"/>
            </w:tcBorders>
          </w:tcPr>
          <w:p w14:paraId="35780362" w14:textId="77777777" w:rsidR="00432DC2" w:rsidRDefault="00432DC2" w:rsidP="00432DC2">
            <w:pPr>
              <w:pStyle w:val="TAL"/>
              <w:rPr>
                <w:lang w:eastAsia="zh-CN"/>
              </w:rPr>
            </w:pPr>
            <w:r>
              <w:t>S</w:t>
            </w:r>
            <w:r w:rsidRPr="001C406B">
              <w:t>ignalling</w:t>
            </w:r>
            <w:r>
              <w:t>S</w:t>
            </w:r>
            <w:r w:rsidRPr="001C406B">
              <w:t>torm</w:t>
            </w:r>
          </w:p>
        </w:tc>
        <w:tc>
          <w:tcPr>
            <w:tcW w:w="5412" w:type="dxa"/>
            <w:gridSpan w:val="2"/>
            <w:tcBorders>
              <w:top w:val="single" w:sz="6" w:space="0" w:color="auto"/>
              <w:left w:val="single" w:sz="6" w:space="0" w:color="auto"/>
              <w:bottom w:val="single" w:sz="6" w:space="0" w:color="auto"/>
              <w:right w:val="single" w:sz="6" w:space="0" w:color="auto"/>
            </w:tcBorders>
          </w:tcPr>
          <w:p w14:paraId="5826A443" w14:textId="77777777" w:rsidR="00432DC2" w:rsidRDefault="00432DC2" w:rsidP="00432DC2">
            <w:pPr>
              <w:pStyle w:val="TAL"/>
            </w:pPr>
            <w:r>
              <w:t>This feature indicates support for the Signalling Storm</w:t>
            </w:r>
            <w:r w:rsidRPr="008558A9">
              <w:t xml:space="preserve"> Analytics</w:t>
            </w:r>
            <w:r>
              <w:t>.</w:t>
            </w:r>
          </w:p>
        </w:tc>
      </w:tr>
      <w:tr w:rsidR="00AD5F95" w14:paraId="63E9181D"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71F20B05" w14:textId="77777777" w:rsidR="00AD5F95" w:rsidRDefault="00AD5F95" w:rsidP="00AD5F95">
            <w:pPr>
              <w:pStyle w:val="TAL"/>
              <w:rPr>
                <w:rFonts w:hint="eastAsia"/>
                <w:lang w:eastAsia="zh-CN"/>
              </w:rPr>
            </w:pPr>
            <w:r>
              <w:rPr>
                <w:rFonts w:hint="eastAsia"/>
                <w:lang w:eastAsia="zh-CN"/>
              </w:rPr>
              <w:t>5</w:t>
            </w:r>
            <w:r>
              <w:rPr>
                <w:lang w:eastAsia="zh-CN"/>
              </w:rPr>
              <w:t>1</w:t>
            </w:r>
          </w:p>
        </w:tc>
        <w:tc>
          <w:tcPr>
            <w:tcW w:w="2618" w:type="dxa"/>
            <w:gridSpan w:val="2"/>
            <w:tcBorders>
              <w:top w:val="single" w:sz="6" w:space="0" w:color="auto"/>
              <w:left w:val="single" w:sz="6" w:space="0" w:color="auto"/>
              <w:bottom w:val="single" w:sz="6" w:space="0" w:color="auto"/>
              <w:right w:val="single" w:sz="6" w:space="0" w:color="auto"/>
            </w:tcBorders>
          </w:tcPr>
          <w:p w14:paraId="6D9DA025" w14:textId="77777777" w:rsidR="00AD5F95" w:rsidRDefault="00AD5F95" w:rsidP="00AD5F95">
            <w:pPr>
              <w:pStyle w:val="TAL"/>
            </w:pPr>
            <w:r>
              <w:t>RelativeProximity</w:t>
            </w:r>
            <w:r w:rsidRPr="007043D9">
              <w:t>Ext</w:t>
            </w:r>
          </w:p>
        </w:tc>
        <w:tc>
          <w:tcPr>
            <w:tcW w:w="5412" w:type="dxa"/>
            <w:gridSpan w:val="2"/>
            <w:tcBorders>
              <w:top w:val="single" w:sz="6" w:space="0" w:color="auto"/>
              <w:left w:val="single" w:sz="6" w:space="0" w:color="auto"/>
              <w:bottom w:val="single" w:sz="6" w:space="0" w:color="auto"/>
              <w:right w:val="single" w:sz="6" w:space="0" w:color="auto"/>
            </w:tcBorders>
          </w:tcPr>
          <w:p w14:paraId="5315A9D8" w14:textId="77777777" w:rsidR="00AD5F95" w:rsidRDefault="00AD5F95" w:rsidP="00AD5F95">
            <w:pPr>
              <w:pStyle w:val="TAL"/>
            </w:pPr>
            <w:r>
              <w:t>This feature indicates support for the enhancements of Relative Proximity Analytics</w:t>
            </w:r>
            <w:r>
              <w:rPr>
                <w:rFonts w:hint="eastAsia"/>
              </w:rPr>
              <w:t>.</w:t>
            </w:r>
          </w:p>
          <w:p w14:paraId="0121ADCC" w14:textId="77777777" w:rsidR="00AD5F95" w:rsidRDefault="00AD5F95" w:rsidP="00AD5F95">
            <w:pPr>
              <w:pStyle w:val="TAL"/>
            </w:pPr>
          </w:p>
          <w:p w14:paraId="041514EC" w14:textId="77777777" w:rsidR="00AD5F95" w:rsidRDefault="00AD5F95" w:rsidP="00AD5F95">
            <w:pPr>
              <w:pStyle w:val="TAL"/>
            </w:pPr>
            <w:r>
              <w:t>The following functionalities are supported:</w:t>
            </w:r>
          </w:p>
          <w:p w14:paraId="37D062D9" w14:textId="77777777" w:rsidR="00AD5F95" w:rsidRDefault="00AD5F95" w:rsidP="00AD5F95">
            <w:pPr>
              <w:pStyle w:val="TAL"/>
            </w:pPr>
            <w:r>
              <w:t>-</w:t>
            </w:r>
            <w:r>
              <w:tab/>
              <w:t>Support enhancement of TTC prediction</w:t>
            </w:r>
            <w:r>
              <w:rPr>
                <w:rFonts w:hint="eastAsia"/>
              </w:rPr>
              <w:t xml:space="preserve"> in </w:t>
            </w:r>
            <w:r>
              <w:t>Relative Proximity</w:t>
            </w:r>
            <w:r>
              <w:rPr>
                <w:rFonts w:hint="eastAsia"/>
              </w:rPr>
              <w:t xml:space="preserve"> Anal</w:t>
            </w:r>
            <w:r>
              <w:t>ytics.</w:t>
            </w:r>
          </w:p>
          <w:p w14:paraId="506CFE3F" w14:textId="77777777" w:rsidR="00AD5F95" w:rsidRDefault="00AD5F95" w:rsidP="00AD5F95">
            <w:pPr>
              <w:pStyle w:val="TAL"/>
            </w:pPr>
          </w:p>
          <w:p w14:paraId="0062A88F" w14:textId="77777777" w:rsidR="00AD5F95" w:rsidRDefault="00AD5F95" w:rsidP="00AD5F95">
            <w:pPr>
              <w:pStyle w:val="TAL"/>
            </w:pPr>
            <w:r>
              <w:t>Supporting this feature also requires the support of RelativeProximity feature.</w:t>
            </w:r>
          </w:p>
        </w:tc>
      </w:tr>
      <w:tr w:rsidR="00991119" w14:paraId="4CDF9BF5"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004F0A26" w14:textId="77777777" w:rsidR="00991119" w:rsidRPr="00991119" w:rsidRDefault="00991119" w:rsidP="00991119">
            <w:pPr>
              <w:pStyle w:val="TAL"/>
              <w:rPr>
                <w:rFonts w:hint="eastAsia"/>
                <w:lang w:eastAsia="zh-CN"/>
              </w:rPr>
            </w:pPr>
            <w:r w:rsidRPr="00991119">
              <w:rPr>
                <w:lang w:eastAsia="zh-CN"/>
              </w:rPr>
              <w:t>52</w:t>
            </w:r>
          </w:p>
        </w:tc>
        <w:tc>
          <w:tcPr>
            <w:tcW w:w="2618" w:type="dxa"/>
            <w:gridSpan w:val="2"/>
            <w:tcBorders>
              <w:top w:val="single" w:sz="6" w:space="0" w:color="auto"/>
              <w:left w:val="single" w:sz="6" w:space="0" w:color="auto"/>
              <w:bottom w:val="single" w:sz="6" w:space="0" w:color="auto"/>
              <w:right w:val="single" w:sz="6" w:space="0" w:color="auto"/>
            </w:tcBorders>
          </w:tcPr>
          <w:p w14:paraId="73450E19" w14:textId="77777777" w:rsidR="00991119" w:rsidRPr="00991119" w:rsidRDefault="00991119" w:rsidP="00991119">
            <w:pPr>
              <w:pStyle w:val="TAL"/>
            </w:pPr>
            <w:r w:rsidRPr="00991119">
              <w:rPr>
                <w:lang w:eastAsia="zh-CN"/>
              </w:rPr>
              <w:t>EnAggregation</w:t>
            </w:r>
          </w:p>
        </w:tc>
        <w:tc>
          <w:tcPr>
            <w:tcW w:w="5412" w:type="dxa"/>
            <w:gridSpan w:val="2"/>
            <w:tcBorders>
              <w:top w:val="single" w:sz="6" w:space="0" w:color="auto"/>
              <w:left w:val="single" w:sz="6" w:space="0" w:color="auto"/>
              <w:bottom w:val="single" w:sz="6" w:space="0" w:color="auto"/>
              <w:right w:val="single" w:sz="6" w:space="0" w:color="auto"/>
            </w:tcBorders>
          </w:tcPr>
          <w:p w14:paraId="3B3ABB10" w14:textId="77777777" w:rsidR="00991119" w:rsidRDefault="00991119" w:rsidP="00991119">
            <w:pPr>
              <w:pStyle w:val="TAL"/>
            </w:pPr>
            <w:r>
              <w:t>This feature indicates the enhancements on the analytics aggregation.</w:t>
            </w:r>
          </w:p>
          <w:p w14:paraId="57271EEA" w14:textId="77777777" w:rsidR="00991119" w:rsidRDefault="00991119" w:rsidP="00991119">
            <w:pPr>
              <w:pStyle w:val="TAL"/>
            </w:pPr>
          </w:p>
          <w:p w14:paraId="12D9E980" w14:textId="77777777" w:rsidR="00991119" w:rsidRDefault="00991119" w:rsidP="00991119">
            <w:pPr>
              <w:pStyle w:val="TAL"/>
            </w:pPr>
            <w:r>
              <w:rPr>
                <w:lang w:eastAsia="zh-CN"/>
              </w:rPr>
              <w:t xml:space="preserve">Supporting this feature also requires the support of </w:t>
            </w:r>
            <w:r>
              <w:t>Aggregation</w:t>
            </w:r>
            <w:r>
              <w:rPr>
                <w:lang w:eastAsia="zh-CN"/>
              </w:rPr>
              <w:t xml:space="preserve"> feature.</w:t>
            </w:r>
          </w:p>
        </w:tc>
      </w:tr>
      <w:tr w:rsidR="00CD748D" w14:paraId="5E4BA61E" w14:textId="77777777">
        <w:trPr>
          <w:gridBefore w:val="1"/>
          <w:wBefore w:w="36" w:type="dxa"/>
          <w:jc w:val="center"/>
        </w:trPr>
        <w:tc>
          <w:tcPr>
            <w:tcW w:w="1466" w:type="dxa"/>
            <w:gridSpan w:val="2"/>
            <w:tcBorders>
              <w:top w:val="single" w:sz="6" w:space="0" w:color="auto"/>
              <w:left w:val="single" w:sz="6" w:space="0" w:color="auto"/>
              <w:bottom w:val="single" w:sz="6" w:space="0" w:color="auto"/>
              <w:right w:val="single" w:sz="6" w:space="0" w:color="auto"/>
            </w:tcBorders>
          </w:tcPr>
          <w:p w14:paraId="396ED248" w14:textId="77777777" w:rsidR="00CD748D" w:rsidRPr="00991119" w:rsidRDefault="00CD748D" w:rsidP="00CD748D">
            <w:pPr>
              <w:pStyle w:val="TAL"/>
              <w:rPr>
                <w:lang w:eastAsia="zh-CN"/>
              </w:rPr>
            </w:pPr>
            <w:r>
              <w:rPr>
                <w:rFonts w:hint="eastAsia"/>
                <w:lang w:eastAsia="zh-CN"/>
              </w:rPr>
              <w:t>5</w:t>
            </w:r>
            <w:r>
              <w:rPr>
                <w:lang w:eastAsia="zh-CN"/>
              </w:rPr>
              <w:t>3</w:t>
            </w:r>
          </w:p>
        </w:tc>
        <w:tc>
          <w:tcPr>
            <w:tcW w:w="2618" w:type="dxa"/>
            <w:gridSpan w:val="2"/>
            <w:tcBorders>
              <w:top w:val="single" w:sz="6" w:space="0" w:color="auto"/>
              <w:left w:val="single" w:sz="6" w:space="0" w:color="auto"/>
              <w:bottom w:val="single" w:sz="6" w:space="0" w:color="auto"/>
              <w:right w:val="single" w:sz="6" w:space="0" w:color="auto"/>
            </w:tcBorders>
          </w:tcPr>
          <w:p w14:paraId="6B85EA8C" w14:textId="77777777" w:rsidR="00CD748D" w:rsidRPr="00991119" w:rsidRDefault="00CD748D" w:rsidP="00CD748D">
            <w:pPr>
              <w:pStyle w:val="TAL"/>
              <w:rPr>
                <w:lang w:eastAsia="zh-CN"/>
              </w:rPr>
            </w:pPr>
            <w:r>
              <w:rPr>
                <w:rFonts w:hint="eastAsia"/>
                <w:lang w:eastAsia="zh-CN"/>
              </w:rPr>
              <w:t>Q</w:t>
            </w:r>
            <w:r>
              <w:rPr>
                <w:lang w:eastAsia="zh-CN"/>
              </w:rPr>
              <w:t>oSPolicyAssist</w:t>
            </w:r>
          </w:p>
        </w:tc>
        <w:tc>
          <w:tcPr>
            <w:tcW w:w="5412" w:type="dxa"/>
            <w:gridSpan w:val="2"/>
            <w:tcBorders>
              <w:top w:val="single" w:sz="6" w:space="0" w:color="auto"/>
              <w:left w:val="single" w:sz="6" w:space="0" w:color="auto"/>
              <w:bottom w:val="single" w:sz="6" w:space="0" w:color="auto"/>
              <w:right w:val="single" w:sz="6" w:space="0" w:color="auto"/>
            </w:tcBorders>
          </w:tcPr>
          <w:p w14:paraId="0B83E743" w14:textId="77777777" w:rsidR="00CD748D" w:rsidRDefault="00CD748D" w:rsidP="00CD748D">
            <w:pPr>
              <w:pStyle w:val="TAL"/>
            </w:pPr>
            <w:r>
              <w:t>This feature indicates support for the QoS and Policy Assistance</w:t>
            </w:r>
            <w:r w:rsidRPr="008558A9">
              <w:t xml:space="preserve"> Analytics</w:t>
            </w:r>
            <w:r>
              <w:t>.</w:t>
            </w:r>
          </w:p>
        </w:tc>
      </w:tr>
    </w:tbl>
    <w:p w14:paraId="1730B042" w14:textId="77777777" w:rsidR="00A10B25" w:rsidRDefault="00A10B25">
      <w:pPr>
        <w:rPr>
          <w:rFonts w:eastAsia="Batang"/>
        </w:rPr>
      </w:pPr>
    </w:p>
    <w:p w14:paraId="41E681E8" w14:textId="77777777" w:rsidR="00A10B25" w:rsidRDefault="00A10B25">
      <w:pPr>
        <w:pStyle w:val="3"/>
        <w:rPr>
          <w:lang w:val="en-US"/>
        </w:rPr>
      </w:pPr>
      <w:bookmarkStart w:id="11545" w:name="_Toc138754392"/>
      <w:bookmarkStart w:id="11546" w:name="_Toc148522797"/>
      <w:bookmarkStart w:id="11547" w:name="_Toc145705887"/>
      <w:bookmarkStart w:id="11548" w:name="_Toc136562558"/>
      <w:bookmarkStart w:id="11549" w:name="_Toc164920985"/>
      <w:bookmarkStart w:id="11550" w:name="_Toc170120527"/>
      <w:bookmarkStart w:id="11551" w:name="_Toc175858772"/>
      <w:bookmarkStart w:id="11552" w:name="_Toc175859845"/>
      <w:bookmarkStart w:id="11553" w:name="_Toc180606135"/>
      <w:bookmarkStart w:id="11554" w:name="_Toc185517396"/>
      <w:bookmarkStart w:id="11555" w:name="_Toc191576448"/>
      <w:bookmarkStart w:id="11556" w:name="_Toc191577188"/>
      <w:bookmarkStart w:id="11557" w:name="_Toc192880258"/>
      <w:bookmarkStart w:id="11558" w:name="_Toc195815147"/>
      <w:bookmarkStart w:id="11559" w:name="_Toc199453114"/>
      <w:r>
        <w:rPr>
          <w:lang w:val="en-US"/>
        </w:rPr>
        <w:t>5.2.9</w:t>
      </w:r>
      <w:r>
        <w:rPr>
          <w:lang w:val="en-US"/>
        </w:rPr>
        <w:tab/>
        <w:t>Security</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43128862" w14:textId="77777777" w:rsidR="00A10B25" w:rsidRDefault="00A10B25">
      <w:pPr>
        <w:rPr>
          <w:rFonts w:eastAsia="等线"/>
        </w:rPr>
      </w:pPr>
      <w:r>
        <w:rPr>
          <w:rFonts w:eastAsia="等线"/>
        </w:rPr>
        <w:t xml:space="preserve">As indicated in 3GPP TS 33.501 [13] and 3GPP TS 29.500 [6], the access to the </w:t>
      </w:r>
      <w:r>
        <w:rPr>
          <w:rFonts w:eastAsia="等线"/>
          <w:lang w:val="en-US" w:eastAsia="zh-CN"/>
        </w:rPr>
        <w:t xml:space="preserve">Nnwdaf_AnalyticsInfo </w:t>
      </w:r>
      <w:r>
        <w:rPr>
          <w:rFonts w:eastAsia="等线"/>
        </w:rPr>
        <w:t>API may be authorized by means of the OAuth2 protocol (see IETF RFC 6749 [14]), based on local configuration, using the "Client Credentials" authorization grant, where the NRF (see 3GPP TS 29.510 [12]) plays the role of the authorization server.</w:t>
      </w:r>
    </w:p>
    <w:p w14:paraId="3906EF0B" w14:textId="77777777" w:rsidR="00A10B25" w:rsidRDefault="00A10B25">
      <w:pPr>
        <w:rPr>
          <w:rFonts w:eastAsia="等线"/>
        </w:rPr>
      </w:pPr>
      <w:r>
        <w:rPr>
          <w:rFonts w:eastAsia="等线"/>
        </w:rPr>
        <w:t xml:space="preserve">If OAuth2 is used, an NF service consumer, prior to consuming services offered by the </w:t>
      </w:r>
      <w:r>
        <w:rPr>
          <w:rFonts w:eastAsia="等线"/>
          <w:lang w:val="en-US" w:eastAsia="zh-CN"/>
        </w:rPr>
        <w:t xml:space="preserve">Nnwdaf_AnalyticsInfo </w:t>
      </w:r>
      <w:r>
        <w:rPr>
          <w:rFonts w:eastAsia="等线"/>
        </w:rPr>
        <w:t>API, shall obtain a "token" from the authorization server, by invoking the Access Token Request service, as described in 3GPP TS 29.510 [12], clause 5.4.2.2.</w:t>
      </w:r>
    </w:p>
    <w:p w14:paraId="5A0D51DC"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val="en-US" w:eastAsia="zh-CN"/>
        </w:rPr>
        <w:t xml:space="preserve">Nnwdaf_AnalyticsInfo </w:t>
      </w:r>
      <w:r>
        <w:t>service.</w:t>
      </w:r>
    </w:p>
    <w:p w14:paraId="4C0A4F18" w14:textId="77777777" w:rsidR="00A10B25" w:rsidRDefault="00A10B25">
      <w:bookmarkStart w:id="11560" w:name="_Toc94064397"/>
      <w:bookmarkStart w:id="11561" w:name="_Toc101244562"/>
      <w:bookmarkStart w:id="11562" w:name="_Toc98233784"/>
      <w:bookmarkStart w:id="11563" w:name="_Toc113031820"/>
      <w:bookmarkStart w:id="11564" w:name="_Toc104539157"/>
      <w:bookmarkStart w:id="11565" w:name="_Toc112951280"/>
      <w:bookmarkStart w:id="11566" w:name="_Toc85557197"/>
      <w:bookmarkStart w:id="11567" w:name="_Toc83233169"/>
      <w:bookmarkStart w:id="11568" w:name="_Toc70550714"/>
      <w:bookmarkStart w:id="11569" w:name="_Toc85553098"/>
      <w:bookmarkStart w:id="11570" w:name="_Toc88667707"/>
      <w:bookmarkStart w:id="11571" w:name="_Toc120702460"/>
      <w:bookmarkStart w:id="11572" w:name="_Toc114133959"/>
      <w:bookmarkStart w:id="11573" w:name="_Toc90655992"/>
      <w:r>
        <w:rPr>
          <w:rFonts w:eastAsia="等线"/>
          <w:lang w:val="en-US"/>
        </w:rPr>
        <w:t xml:space="preserve">The </w:t>
      </w:r>
      <w:r>
        <w:rPr>
          <w:rFonts w:eastAsia="等线"/>
          <w:lang w:val="en-US" w:eastAsia="zh-CN"/>
        </w:rPr>
        <w:t xml:space="preserve">Nnwdaf_AnalyticsInfo </w:t>
      </w:r>
      <w:r>
        <w:rPr>
          <w:rFonts w:eastAsia="等线"/>
          <w:lang w:val="en-US"/>
        </w:rPr>
        <w:t xml:space="preserve">API defines </w:t>
      </w:r>
      <w:r>
        <w:t xml:space="preserve">the following scopes for OAuth2 authorization as described in </w:t>
      </w:r>
      <w:r>
        <w:rPr>
          <w:rFonts w:eastAsia="等线"/>
        </w:rPr>
        <w:t>3GPP TS 29.501 [7], clause 4.x</w:t>
      </w:r>
      <w:r>
        <w:t>.</w:t>
      </w:r>
    </w:p>
    <w:p w14:paraId="42893452" w14:textId="77777777" w:rsidR="00A10B25" w:rsidRDefault="00A10B25">
      <w:pPr>
        <w:pStyle w:val="TH"/>
      </w:pPr>
      <w:r>
        <w:t xml:space="preserve">Table 5.2.9-1: OAuth2 scopes defined in </w:t>
      </w:r>
      <w:r>
        <w:rPr>
          <w:lang w:val="en-US" w:eastAsia="zh-CN"/>
        </w:rPr>
        <w:t xml:space="preserve">Nnwdaf_AnalyticsInfo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075"/>
        <w:gridCol w:w="6221"/>
      </w:tblGrid>
      <w:tr w:rsidR="00A10B25" w14:paraId="7AC96756" w14:textId="77777777">
        <w:tc>
          <w:tcPr>
            <w:tcW w:w="1654" w:type="pct"/>
            <w:shd w:val="clear" w:color="auto" w:fill="C0C0C0"/>
            <w:tcMar>
              <w:top w:w="0" w:type="dxa"/>
              <w:left w:w="108" w:type="dxa"/>
              <w:bottom w:w="0" w:type="dxa"/>
              <w:right w:w="108" w:type="dxa"/>
            </w:tcMar>
          </w:tcPr>
          <w:p w14:paraId="24A8F725" w14:textId="77777777" w:rsidR="00A10B25" w:rsidRDefault="00A10B25">
            <w:pPr>
              <w:pStyle w:val="TAH"/>
            </w:pPr>
            <w:r>
              <w:t>Scope</w:t>
            </w:r>
          </w:p>
        </w:tc>
        <w:tc>
          <w:tcPr>
            <w:tcW w:w="3346" w:type="pct"/>
            <w:shd w:val="clear" w:color="auto" w:fill="C0C0C0"/>
            <w:tcMar>
              <w:top w:w="0" w:type="dxa"/>
              <w:left w:w="108" w:type="dxa"/>
              <w:bottom w:w="0" w:type="dxa"/>
              <w:right w:w="108" w:type="dxa"/>
            </w:tcMar>
          </w:tcPr>
          <w:p w14:paraId="011E199E" w14:textId="77777777" w:rsidR="00A10B25" w:rsidRDefault="00A10B25">
            <w:pPr>
              <w:pStyle w:val="TAH"/>
            </w:pPr>
            <w:r>
              <w:t>Description</w:t>
            </w:r>
          </w:p>
        </w:tc>
      </w:tr>
      <w:tr w:rsidR="00A10B25" w14:paraId="49B96DB9" w14:textId="77777777">
        <w:tc>
          <w:tcPr>
            <w:tcW w:w="1654" w:type="pct"/>
            <w:tcMar>
              <w:top w:w="0" w:type="dxa"/>
              <w:left w:w="108" w:type="dxa"/>
              <w:bottom w:w="0" w:type="dxa"/>
              <w:right w:w="108" w:type="dxa"/>
            </w:tcMar>
          </w:tcPr>
          <w:p w14:paraId="1B8E3D24" w14:textId="77777777" w:rsidR="00A10B25" w:rsidRDefault="00A10B25">
            <w:pPr>
              <w:pStyle w:val="TAL"/>
            </w:pPr>
            <w:r>
              <w:t>"nnwdaf-analyticsinfo"</w:t>
            </w:r>
          </w:p>
        </w:tc>
        <w:tc>
          <w:tcPr>
            <w:tcW w:w="3346" w:type="pct"/>
            <w:tcMar>
              <w:top w:w="0" w:type="dxa"/>
              <w:left w:w="108" w:type="dxa"/>
              <w:bottom w:w="0" w:type="dxa"/>
              <w:right w:w="108" w:type="dxa"/>
            </w:tcMar>
          </w:tcPr>
          <w:p w14:paraId="3ACC4680" w14:textId="77777777" w:rsidR="00A10B25" w:rsidRDefault="00A10B25">
            <w:pPr>
              <w:pStyle w:val="TAL"/>
            </w:pPr>
            <w:r>
              <w:t xml:space="preserve">Access to the </w:t>
            </w:r>
            <w:r>
              <w:rPr>
                <w:rFonts w:eastAsia="等线"/>
                <w:lang w:val="en-US" w:eastAsia="zh-CN"/>
              </w:rPr>
              <w:t xml:space="preserve">Nnwdaf_AnalyticsInfo </w:t>
            </w:r>
            <w:r>
              <w:t>API</w:t>
            </w:r>
          </w:p>
        </w:tc>
      </w:tr>
      <w:tr w:rsidR="00A10B25" w14:paraId="4DAD7BFB" w14:textId="77777777">
        <w:tc>
          <w:tcPr>
            <w:tcW w:w="1654" w:type="pct"/>
            <w:tcMar>
              <w:top w:w="0" w:type="dxa"/>
              <w:left w:w="108" w:type="dxa"/>
              <w:bottom w:w="0" w:type="dxa"/>
              <w:right w:w="108" w:type="dxa"/>
            </w:tcMar>
          </w:tcPr>
          <w:p w14:paraId="69B32826" w14:textId="77777777" w:rsidR="00A10B25" w:rsidRDefault="00A10B25">
            <w:pPr>
              <w:pStyle w:val="TAL"/>
            </w:pPr>
            <w:r>
              <w:t>"nnwdaf-analyticsinfo:contexttransfer"</w:t>
            </w:r>
          </w:p>
        </w:tc>
        <w:tc>
          <w:tcPr>
            <w:tcW w:w="3346" w:type="pct"/>
            <w:tcMar>
              <w:top w:w="0" w:type="dxa"/>
              <w:left w:w="108" w:type="dxa"/>
              <w:bottom w:w="0" w:type="dxa"/>
              <w:right w:w="108" w:type="dxa"/>
            </w:tcMar>
          </w:tcPr>
          <w:p w14:paraId="191820C2" w14:textId="77777777" w:rsidR="00A10B25" w:rsidRDefault="00A10B25">
            <w:pPr>
              <w:pStyle w:val="TAL"/>
            </w:pPr>
            <w:r>
              <w:t>Access to service operations applying to NWDAF context transfer related service operations, i.e. ContextTransfer.</w:t>
            </w:r>
          </w:p>
        </w:tc>
      </w:tr>
    </w:tbl>
    <w:p w14:paraId="137A2D4B" w14:textId="77777777" w:rsidR="00A10B25" w:rsidRDefault="00A10B25">
      <w:pPr>
        <w:rPr>
          <w:rFonts w:eastAsia="等线"/>
          <w:lang w:val="en-US"/>
        </w:rPr>
      </w:pPr>
    </w:p>
    <w:p w14:paraId="5128594E" w14:textId="77777777" w:rsidR="00A10B25" w:rsidRDefault="00A10B25">
      <w:pPr>
        <w:pStyle w:val="2"/>
      </w:pPr>
      <w:bookmarkStart w:id="11574" w:name="_Toc136562559"/>
      <w:bookmarkStart w:id="11575" w:name="_Toc148522798"/>
      <w:bookmarkStart w:id="11576" w:name="_Toc138754393"/>
      <w:bookmarkStart w:id="11577" w:name="_Toc145705888"/>
      <w:bookmarkStart w:id="11578" w:name="_Toc164920986"/>
      <w:bookmarkStart w:id="11579" w:name="_Toc170120528"/>
      <w:bookmarkStart w:id="11580" w:name="_Toc175858773"/>
      <w:bookmarkStart w:id="11581" w:name="_Toc175859846"/>
      <w:bookmarkStart w:id="11582" w:name="_Toc180606136"/>
      <w:bookmarkStart w:id="11583" w:name="_Toc185517397"/>
      <w:bookmarkStart w:id="11584" w:name="_Toc191576449"/>
      <w:bookmarkStart w:id="11585" w:name="_Toc191577189"/>
      <w:bookmarkStart w:id="11586" w:name="_Toc192880259"/>
      <w:bookmarkStart w:id="11587" w:name="_Toc195815148"/>
      <w:bookmarkStart w:id="11588" w:name="_Toc199453115"/>
      <w:r>
        <w:rPr>
          <w:lang w:eastAsia="zh-CN"/>
        </w:rPr>
        <w:lastRenderedPageBreak/>
        <w:t>5.3</w:t>
      </w:r>
      <w:r>
        <w:tab/>
      </w:r>
      <w:r>
        <w:rPr>
          <w:lang w:eastAsia="ja-JP"/>
        </w:rPr>
        <w:t xml:space="preserve">Nnwdaf_DataManagement </w:t>
      </w:r>
      <w:r>
        <w:t>Service API</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13F6F4FB" w14:textId="77777777" w:rsidR="00A10B25" w:rsidRDefault="00A10B25">
      <w:pPr>
        <w:pStyle w:val="3"/>
        <w:rPr>
          <w:lang w:val="en-US"/>
        </w:rPr>
      </w:pPr>
      <w:bookmarkStart w:id="11589" w:name="_Toc85553099"/>
      <w:bookmarkStart w:id="11590" w:name="_Toc90655993"/>
      <w:bookmarkStart w:id="11591" w:name="_Toc70550715"/>
      <w:bookmarkStart w:id="11592" w:name="_Toc112951281"/>
      <w:bookmarkStart w:id="11593" w:name="_Toc114133960"/>
      <w:bookmarkStart w:id="11594" w:name="_Toc101244563"/>
      <w:bookmarkStart w:id="11595" w:name="_Toc94064398"/>
      <w:bookmarkStart w:id="11596" w:name="_Toc145705889"/>
      <w:bookmarkStart w:id="11597" w:name="_Toc113031821"/>
      <w:bookmarkStart w:id="11598" w:name="_Toc85557198"/>
      <w:bookmarkStart w:id="11599" w:name="_Toc148522799"/>
      <w:bookmarkStart w:id="11600" w:name="_Toc98233785"/>
      <w:bookmarkStart w:id="11601" w:name="_Toc136562560"/>
      <w:bookmarkStart w:id="11602" w:name="_Toc83233170"/>
      <w:bookmarkStart w:id="11603" w:name="_Toc138754394"/>
      <w:bookmarkStart w:id="11604" w:name="_Toc120702461"/>
      <w:bookmarkStart w:id="11605" w:name="_Toc104539158"/>
      <w:bookmarkStart w:id="11606" w:name="_Toc88667708"/>
      <w:bookmarkStart w:id="11607" w:name="_Toc164920987"/>
      <w:bookmarkStart w:id="11608" w:name="_Toc170120529"/>
      <w:bookmarkStart w:id="11609" w:name="_Toc175858774"/>
      <w:bookmarkStart w:id="11610" w:name="_Toc175859847"/>
      <w:bookmarkStart w:id="11611" w:name="_Toc180606137"/>
      <w:bookmarkStart w:id="11612" w:name="_Toc185517398"/>
      <w:bookmarkStart w:id="11613" w:name="_Toc191576450"/>
      <w:bookmarkStart w:id="11614" w:name="_Toc191577190"/>
      <w:bookmarkStart w:id="11615" w:name="_Toc192880260"/>
      <w:bookmarkStart w:id="11616" w:name="_Toc195815149"/>
      <w:bookmarkStart w:id="11617" w:name="_Toc199453116"/>
      <w:r>
        <w:rPr>
          <w:lang w:val="en-US"/>
        </w:rPr>
        <w:t>5.3</w:t>
      </w:r>
      <w:r>
        <w:rPr>
          <w:rFonts w:hint="eastAsia"/>
          <w:lang w:val="en-US"/>
        </w:rPr>
        <w:t>.</w:t>
      </w:r>
      <w:r>
        <w:rPr>
          <w:lang w:val="en-US"/>
        </w:rPr>
        <w:t>1</w:t>
      </w:r>
      <w:r>
        <w:rPr>
          <w:lang w:val="en-US"/>
        </w:rPr>
        <w:tab/>
        <w:t>Introduction</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04210D64" w14:textId="77777777" w:rsidR="00991119" w:rsidRDefault="00991119" w:rsidP="00991119">
      <w:pPr>
        <w:rPr>
          <w:lang w:eastAsia="zh-CN"/>
        </w:rPr>
      </w:pPr>
      <w:bookmarkStart w:id="11618" w:name="_Toc120702462"/>
      <w:bookmarkStart w:id="11619" w:name="_Toc113031822"/>
      <w:bookmarkStart w:id="11620" w:name="_Toc90655994"/>
      <w:bookmarkStart w:id="11621" w:name="_Toc114133961"/>
      <w:bookmarkStart w:id="11622" w:name="_Toc70550716"/>
      <w:bookmarkStart w:id="11623" w:name="_Toc112951282"/>
      <w:bookmarkStart w:id="11624" w:name="_Toc138754395"/>
      <w:bookmarkStart w:id="11625" w:name="_Toc148522800"/>
      <w:bookmarkStart w:id="11626" w:name="_Toc83233171"/>
      <w:bookmarkStart w:id="11627" w:name="_Toc94064399"/>
      <w:bookmarkStart w:id="11628" w:name="_Toc88667709"/>
      <w:bookmarkStart w:id="11629" w:name="_Toc85557199"/>
      <w:bookmarkStart w:id="11630" w:name="_Toc101244564"/>
      <w:bookmarkStart w:id="11631" w:name="_Toc104539159"/>
      <w:bookmarkStart w:id="11632" w:name="_Toc136562561"/>
      <w:bookmarkStart w:id="11633" w:name="_Toc98233786"/>
      <w:bookmarkStart w:id="11634" w:name="_Toc85553100"/>
      <w:bookmarkStart w:id="11635" w:name="_Toc145705890"/>
      <w:bookmarkStart w:id="11636" w:name="_Toc164920988"/>
      <w:bookmarkStart w:id="11637" w:name="_Toc170120530"/>
      <w:bookmarkStart w:id="11638" w:name="_Toc175858775"/>
      <w:bookmarkStart w:id="11639" w:name="_Toc175859848"/>
      <w:bookmarkStart w:id="11640" w:name="_Toc180606138"/>
      <w:bookmarkStart w:id="11641" w:name="_Toc185517399"/>
      <w:r>
        <w:t xml:space="preserve">The </w:t>
      </w:r>
      <w:r>
        <w:rPr>
          <w:lang w:eastAsia="ja-JP"/>
        </w:rPr>
        <w:t>Nnwdaf_DataManagement</w:t>
      </w:r>
      <w:r>
        <w:t xml:space="preserve"> service shall use the </w:t>
      </w:r>
      <w:r>
        <w:rPr>
          <w:lang w:eastAsia="ja-JP"/>
        </w:rPr>
        <w:t>Nnwdaf_DataManagement</w:t>
      </w:r>
      <w:r>
        <w:t xml:space="preserve"> </w:t>
      </w:r>
      <w:r>
        <w:rPr>
          <w:lang w:eastAsia="zh-CN"/>
        </w:rPr>
        <w:t>API.</w:t>
      </w:r>
    </w:p>
    <w:p w14:paraId="030B5E65" w14:textId="77777777" w:rsidR="00991119" w:rsidRDefault="00991119" w:rsidP="00991119">
      <w:r>
        <w:t xml:space="preserve">The API URI of the </w:t>
      </w:r>
      <w:r>
        <w:rPr>
          <w:lang w:eastAsia="ja-JP"/>
        </w:rPr>
        <w:t>Nnwdaf_DataManagement</w:t>
      </w:r>
      <w:r>
        <w:rPr>
          <w:lang w:val="en-US"/>
        </w:rPr>
        <w:t xml:space="preserve"> </w:t>
      </w:r>
      <w:r>
        <w:rPr>
          <w:lang w:val="en-US" w:eastAsia="zh-CN"/>
        </w:rPr>
        <w:t xml:space="preserve">API shall be: </w:t>
      </w:r>
    </w:p>
    <w:p w14:paraId="6630EA7B" w14:textId="77777777" w:rsidR="00991119" w:rsidRPr="0040274B" w:rsidRDefault="00991119" w:rsidP="00991119">
      <w:pPr>
        <w:pStyle w:val="B1"/>
        <w:rPr>
          <w:b/>
          <w:lang w:eastAsia="zh-CN"/>
        </w:rPr>
      </w:pPr>
      <w:r w:rsidRPr="0040274B">
        <w:rPr>
          <w:b/>
          <w:lang w:val="en-US"/>
        </w:rPr>
        <w:t>{apiRoot}/&lt;apiName&gt;/&lt;apiVersion&gt;</w:t>
      </w:r>
    </w:p>
    <w:p w14:paraId="7DA06DD0" w14:textId="77777777" w:rsidR="00991119" w:rsidRDefault="00991119" w:rsidP="00991119">
      <w:pPr>
        <w:rPr>
          <w:lang w:eastAsia="zh-CN"/>
        </w:rPr>
      </w:pPr>
      <w:r>
        <w:rPr>
          <w:lang w:eastAsia="zh-CN"/>
        </w:rPr>
        <w:t>The request URIs used in each HTTP requests from the NF service consumer towards the NWDAF shall have the Resource URI structure defined in clause 4.4.1 of 3GPP TS 29.501 [7], i.e.:</w:t>
      </w:r>
    </w:p>
    <w:p w14:paraId="0EA1C272" w14:textId="77777777" w:rsidR="00991119" w:rsidRDefault="00991119" w:rsidP="00991119">
      <w:pPr>
        <w:ind w:left="568" w:hanging="284"/>
        <w:rPr>
          <w:b/>
        </w:rPr>
      </w:pPr>
      <w:r>
        <w:rPr>
          <w:b/>
        </w:rPr>
        <w:t>{apiRoot}/&lt;apiName&gt;/&lt;apiVersion&gt;/&lt;apiSpecificResourceUriPart&gt;</w:t>
      </w:r>
    </w:p>
    <w:p w14:paraId="6EAD48E2" w14:textId="77777777" w:rsidR="00991119" w:rsidRDefault="00991119" w:rsidP="00991119">
      <w:pPr>
        <w:rPr>
          <w:lang w:eastAsia="zh-CN"/>
        </w:rPr>
      </w:pPr>
      <w:r>
        <w:rPr>
          <w:lang w:eastAsia="zh-CN"/>
        </w:rPr>
        <w:t>with the following components:</w:t>
      </w:r>
    </w:p>
    <w:p w14:paraId="08D1EC28" w14:textId="77777777" w:rsidR="00991119" w:rsidRDefault="00991119" w:rsidP="00991119">
      <w:pPr>
        <w:pStyle w:val="B1"/>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785D7D4A" w14:textId="77777777" w:rsidR="00991119" w:rsidRDefault="00991119" w:rsidP="00991119">
      <w:pPr>
        <w:pStyle w:val="B1"/>
        <w:rPr>
          <w:lang w:val="en-US"/>
        </w:rPr>
      </w:pPr>
      <w:r>
        <w:rPr>
          <w:lang w:eastAsia="zh-CN"/>
        </w:rPr>
        <w:t>-</w:t>
      </w:r>
      <w:r>
        <w:rPr>
          <w:lang w:eastAsia="zh-CN"/>
        </w:rPr>
        <w:tab/>
        <w:t>The</w:t>
      </w:r>
      <w:r>
        <w:t>&lt;apiName&gt;</w:t>
      </w:r>
      <w:r>
        <w:rPr>
          <w:b/>
        </w:rPr>
        <w:t xml:space="preserve"> </w:t>
      </w:r>
      <w:r>
        <w:t>shall be "nnwdaf-datamanagement</w:t>
      </w:r>
      <w:r>
        <w:rPr>
          <w:lang w:val="en-US"/>
        </w:rPr>
        <w:t>".</w:t>
      </w:r>
    </w:p>
    <w:p w14:paraId="359C7A04" w14:textId="77777777" w:rsidR="00991119" w:rsidRDefault="00991119" w:rsidP="00991119">
      <w:pPr>
        <w:pStyle w:val="B1"/>
        <w:rPr>
          <w:lang w:val="en-US"/>
        </w:rPr>
      </w:pPr>
      <w:r>
        <w:rPr>
          <w:lang w:val="en-US"/>
        </w:rPr>
        <w:t>-</w:t>
      </w:r>
      <w:r>
        <w:rPr>
          <w:lang w:val="en-US"/>
        </w:rPr>
        <w:tab/>
        <w:t>The &lt;apiVersion&gt; shall be "v1".</w:t>
      </w:r>
    </w:p>
    <w:p w14:paraId="4F01C84A" w14:textId="77777777" w:rsidR="00991119" w:rsidRDefault="00991119" w:rsidP="00991119">
      <w:pPr>
        <w:pStyle w:val="B1"/>
      </w:pPr>
      <w:r>
        <w:rPr>
          <w:lang w:val="en-US"/>
        </w:rPr>
        <w:t>-</w:t>
      </w:r>
      <w:r>
        <w:rPr>
          <w:lang w:val="en-US"/>
        </w:rPr>
        <w:tab/>
        <w:t>The &lt;apiSpecificResourceUriPart&gt; shall be set as described in clause</w:t>
      </w:r>
      <w:r>
        <w:rPr>
          <w:lang w:eastAsia="zh-CN"/>
        </w:rPr>
        <w:t> </w:t>
      </w:r>
      <w:r>
        <w:rPr>
          <w:lang w:val="en-US"/>
        </w:rPr>
        <w:t>5.3.3.</w:t>
      </w:r>
    </w:p>
    <w:p w14:paraId="126D9ABF" w14:textId="77777777" w:rsidR="00A10B25" w:rsidRDefault="00A10B25">
      <w:pPr>
        <w:pStyle w:val="3"/>
        <w:rPr>
          <w:lang w:val="en-US"/>
        </w:rPr>
      </w:pPr>
      <w:bookmarkStart w:id="11642" w:name="_Toc191576451"/>
      <w:bookmarkStart w:id="11643" w:name="_Toc191577191"/>
      <w:bookmarkStart w:id="11644" w:name="_Toc192880261"/>
      <w:bookmarkStart w:id="11645" w:name="_Toc195815150"/>
      <w:bookmarkStart w:id="11646" w:name="_Toc199453117"/>
      <w:r>
        <w:rPr>
          <w:lang w:val="en-US"/>
        </w:rPr>
        <w:t>5.3.2</w:t>
      </w:r>
      <w:r>
        <w:rPr>
          <w:lang w:val="en-US"/>
        </w:rPr>
        <w:tab/>
        <w:t>Usage of HTTP</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11D65F64" w14:textId="77777777" w:rsidR="00A10B25" w:rsidRDefault="00A10B25">
      <w:pPr>
        <w:pStyle w:val="4"/>
      </w:pPr>
      <w:bookmarkStart w:id="11647" w:name="_Toc145705891"/>
      <w:bookmarkStart w:id="11648" w:name="_Toc148522801"/>
      <w:bookmarkStart w:id="11649" w:name="_Toc70550717"/>
      <w:bookmarkStart w:id="11650" w:name="_Toc85557200"/>
      <w:bookmarkStart w:id="11651" w:name="_Toc98233787"/>
      <w:bookmarkStart w:id="11652" w:name="_Toc113031823"/>
      <w:bookmarkStart w:id="11653" w:name="_Toc136562562"/>
      <w:bookmarkStart w:id="11654" w:name="_Toc94064400"/>
      <w:bookmarkStart w:id="11655" w:name="_Toc101244565"/>
      <w:bookmarkStart w:id="11656" w:name="_Toc83233172"/>
      <w:bookmarkStart w:id="11657" w:name="_Toc138754396"/>
      <w:bookmarkStart w:id="11658" w:name="_Toc88667710"/>
      <w:bookmarkStart w:id="11659" w:name="_Toc114133962"/>
      <w:bookmarkStart w:id="11660" w:name="_Toc85553101"/>
      <w:bookmarkStart w:id="11661" w:name="_Toc120702463"/>
      <w:bookmarkStart w:id="11662" w:name="_Toc112951283"/>
      <w:bookmarkStart w:id="11663" w:name="_Toc104539160"/>
      <w:bookmarkStart w:id="11664" w:name="_Toc90655995"/>
      <w:bookmarkStart w:id="11665" w:name="_Toc164920989"/>
      <w:bookmarkStart w:id="11666" w:name="_Toc170120531"/>
      <w:bookmarkStart w:id="11667" w:name="_Toc175858776"/>
      <w:bookmarkStart w:id="11668" w:name="_Toc175859849"/>
      <w:bookmarkStart w:id="11669" w:name="_Toc180606139"/>
      <w:bookmarkStart w:id="11670" w:name="_Toc185517400"/>
      <w:bookmarkStart w:id="11671" w:name="_Toc191576452"/>
      <w:bookmarkStart w:id="11672" w:name="_Toc191577192"/>
      <w:bookmarkStart w:id="11673" w:name="_Toc192880262"/>
      <w:bookmarkStart w:id="11674" w:name="_Toc195815151"/>
      <w:bookmarkStart w:id="11675" w:name="_Toc199453118"/>
      <w:r>
        <w:t>5.3.2.1</w:t>
      </w:r>
      <w:r>
        <w:tab/>
        <w:t>General</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6816362C" w14:textId="77777777" w:rsidR="00A10B25" w:rsidRDefault="00A10B25">
      <w:bookmarkStart w:id="11676" w:name="_Toc85557201"/>
      <w:bookmarkStart w:id="11677" w:name="_Toc145705892"/>
      <w:bookmarkStart w:id="11678" w:name="_Toc104539161"/>
      <w:bookmarkStart w:id="11679" w:name="_Toc70550718"/>
      <w:bookmarkStart w:id="11680" w:name="_Toc94064401"/>
      <w:bookmarkStart w:id="11681" w:name="_Toc136562563"/>
      <w:bookmarkStart w:id="11682" w:name="_Toc85553102"/>
      <w:bookmarkStart w:id="11683" w:name="_Toc114133963"/>
      <w:bookmarkStart w:id="11684" w:name="_Toc88667711"/>
      <w:bookmarkStart w:id="11685" w:name="_Toc138754397"/>
      <w:bookmarkStart w:id="11686" w:name="_Toc101244566"/>
      <w:bookmarkStart w:id="11687" w:name="_Toc148522802"/>
      <w:bookmarkStart w:id="11688" w:name="_Toc83233173"/>
      <w:bookmarkStart w:id="11689" w:name="_Toc120702464"/>
      <w:bookmarkStart w:id="11690" w:name="_Toc113031824"/>
      <w:bookmarkStart w:id="11691" w:name="_Toc98233788"/>
      <w:bookmarkStart w:id="11692" w:name="_Toc90655996"/>
      <w:bookmarkStart w:id="11693" w:name="_Toc112951284"/>
      <w:r>
        <w:t>HTTP</w:t>
      </w:r>
      <w:r>
        <w:rPr>
          <w:lang w:eastAsia="zh-CN"/>
        </w:rPr>
        <w:t xml:space="preserve">/2, IETF RFC 9113 [9], </w:t>
      </w:r>
      <w:r>
        <w:t>shall be used as specified in clause 5 of 3GPP TS 29.500 [6].</w:t>
      </w:r>
    </w:p>
    <w:p w14:paraId="372934B0" w14:textId="77777777" w:rsidR="00A10B25" w:rsidRDefault="00A10B25">
      <w:r>
        <w:t>HTTP/2 shall be transported as specified in clause 5.3 of 3GPP TS 29.500 [6].</w:t>
      </w:r>
    </w:p>
    <w:p w14:paraId="42D723B2" w14:textId="77777777" w:rsidR="00A10B25" w:rsidRDefault="00A10B25">
      <w:r>
        <w:t xml:space="preserve">The OpenAPI [11] specification of HTTP messages and content bodies for the </w:t>
      </w:r>
      <w:r>
        <w:rPr>
          <w:lang w:eastAsia="ja-JP"/>
        </w:rPr>
        <w:t>Nnwdaf_DataManagement</w:t>
      </w:r>
      <w:r>
        <w:t xml:space="preserve"> is contained in Annex A.</w:t>
      </w:r>
    </w:p>
    <w:p w14:paraId="528142BF" w14:textId="77777777" w:rsidR="00A10B25" w:rsidRDefault="00A10B25">
      <w:pPr>
        <w:pStyle w:val="4"/>
      </w:pPr>
      <w:bookmarkStart w:id="11694" w:name="_Toc164920990"/>
      <w:bookmarkStart w:id="11695" w:name="_Toc170120532"/>
      <w:bookmarkStart w:id="11696" w:name="_Toc175858777"/>
      <w:bookmarkStart w:id="11697" w:name="_Toc175859850"/>
      <w:bookmarkStart w:id="11698" w:name="_Toc180606140"/>
      <w:bookmarkStart w:id="11699" w:name="_Toc185517401"/>
      <w:bookmarkStart w:id="11700" w:name="_Toc191576453"/>
      <w:bookmarkStart w:id="11701" w:name="_Toc191577193"/>
      <w:bookmarkStart w:id="11702" w:name="_Toc192880263"/>
      <w:bookmarkStart w:id="11703" w:name="_Toc195815152"/>
      <w:bookmarkStart w:id="11704" w:name="_Toc199453119"/>
      <w:r>
        <w:t>5.3.2.2</w:t>
      </w:r>
      <w:r>
        <w:tab/>
        <w:t>HTTP standard headers</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43EA867B" w14:textId="77777777" w:rsidR="00A10B25" w:rsidRDefault="00A10B25">
      <w:pPr>
        <w:pStyle w:val="5"/>
      </w:pPr>
      <w:bookmarkStart w:id="11705" w:name="_Toc136562564"/>
      <w:bookmarkStart w:id="11706" w:name="_Toc85557202"/>
      <w:bookmarkStart w:id="11707" w:name="_Toc85553103"/>
      <w:bookmarkStart w:id="11708" w:name="_Toc88667712"/>
      <w:bookmarkStart w:id="11709" w:name="_Toc138754398"/>
      <w:bookmarkStart w:id="11710" w:name="_Toc94064402"/>
      <w:bookmarkStart w:id="11711" w:name="_Toc113031825"/>
      <w:bookmarkStart w:id="11712" w:name="_Toc101244567"/>
      <w:bookmarkStart w:id="11713" w:name="_Toc120702465"/>
      <w:bookmarkStart w:id="11714" w:name="_Toc90655997"/>
      <w:bookmarkStart w:id="11715" w:name="_Toc114133964"/>
      <w:bookmarkStart w:id="11716" w:name="_Toc83233174"/>
      <w:bookmarkStart w:id="11717" w:name="_Toc145705893"/>
      <w:bookmarkStart w:id="11718" w:name="_Toc104539162"/>
      <w:bookmarkStart w:id="11719" w:name="_Toc112951285"/>
      <w:bookmarkStart w:id="11720" w:name="_Toc98233789"/>
      <w:bookmarkStart w:id="11721" w:name="_Toc148522803"/>
      <w:bookmarkStart w:id="11722" w:name="_Toc70550719"/>
      <w:bookmarkStart w:id="11723" w:name="_Toc164920991"/>
      <w:bookmarkStart w:id="11724" w:name="_Toc170120533"/>
      <w:bookmarkStart w:id="11725" w:name="_Toc175858778"/>
      <w:bookmarkStart w:id="11726" w:name="_Toc175859851"/>
      <w:bookmarkStart w:id="11727" w:name="_Toc180606141"/>
      <w:bookmarkStart w:id="11728" w:name="_Toc185517402"/>
      <w:bookmarkStart w:id="11729" w:name="_Toc191576454"/>
      <w:bookmarkStart w:id="11730" w:name="_Toc191577194"/>
      <w:bookmarkStart w:id="11731" w:name="_Toc192880264"/>
      <w:bookmarkStart w:id="11732" w:name="_Toc195815153"/>
      <w:bookmarkStart w:id="11733" w:name="_Toc199453120"/>
      <w:r>
        <w:t>5.3.2.2.1</w:t>
      </w:r>
      <w:r>
        <w:tab/>
        <w:t>General</w:t>
      </w:r>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17360882" w14:textId="77777777" w:rsidR="00A10B25" w:rsidRDefault="00A10B25">
      <w:r>
        <w:t>See clause 5.2.2 of 3GPP TS 29.500 [6] for the usage of HTTP standard headers.</w:t>
      </w:r>
    </w:p>
    <w:p w14:paraId="0EF12551" w14:textId="77777777" w:rsidR="00A10B25" w:rsidRDefault="00A10B25">
      <w:pPr>
        <w:pStyle w:val="5"/>
      </w:pPr>
      <w:bookmarkStart w:id="11734" w:name="_Toc101244568"/>
      <w:bookmarkStart w:id="11735" w:name="_Toc85553104"/>
      <w:bookmarkStart w:id="11736" w:name="_Toc114133965"/>
      <w:bookmarkStart w:id="11737" w:name="_Toc136562565"/>
      <w:bookmarkStart w:id="11738" w:name="_Toc138754399"/>
      <w:bookmarkStart w:id="11739" w:name="_Toc104539163"/>
      <w:bookmarkStart w:id="11740" w:name="_Toc113031826"/>
      <w:bookmarkStart w:id="11741" w:name="_Toc98233790"/>
      <w:bookmarkStart w:id="11742" w:name="_Toc88667713"/>
      <w:bookmarkStart w:id="11743" w:name="_Toc145705894"/>
      <w:bookmarkStart w:id="11744" w:name="_Toc148522804"/>
      <w:bookmarkStart w:id="11745" w:name="_Toc83233175"/>
      <w:bookmarkStart w:id="11746" w:name="_Toc70550720"/>
      <w:bookmarkStart w:id="11747" w:name="_Toc90655998"/>
      <w:bookmarkStart w:id="11748" w:name="_Toc112951286"/>
      <w:bookmarkStart w:id="11749" w:name="_Toc85557203"/>
      <w:bookmarkStart w:id="11750" w:name="_Toc120702466"/>
      <w:bookmarkStart w:id="11751" w:name="_Toc94064403"/>
      <w:bookmarkStart w:id="11752" w:name="_Toc164920992"/>
      <w:bookmarkStart w:id="11753" w:name="_Toc170120534"/>
      <w:bookmarkStart w:id="11754" w:name="_Toc175858779"/>
      <w:bookmarkStart w:id="11755" w:name="_Toc175859852"/>
      <w:bookmarkStart w:id="11756" w:name="_Toc180606142"/>
      <w:bookmarkStart w:id="11757" w:name="_Toc185517403"/>
      <w:bookmarkStart w:id="11758" w:name="_Toc191576455"/>
      <w:bookmarkStart w:id="11759" w:name="_Toc191577195"/>
      <w:bookmarkStart w:id="11760" w:name="_Toc192880265"/>
      <w:bookmarkStart w:id="11761" w:name="_Toc195815154"/>
      <w:bookmarkStart w:id="11762" w:name="_Toc199453121"/>
      <w:r>
        <w:t>5.3.2.2.2</w:t>
      </w:r>
      <w:r>
        <w:tab/>
        <w:t>Content type</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p>
    <w:p w14:paraId="54314FD8" w14:textId="77777777" w:rsidR="00A10B25" w:rsidRDefault="00A10B25">
      <w:bookmarkStart w:id="11763" w:name="_Toc94064404"/>
      <w:bookmarkStart w:id="11764" w:name="_Toc101244569"/>
      <w:bookmarkStart w:id="11765" w:name="_Toc138754400"/>
      <w:bookmarkStart w:id="11766" w:name="_Toc112951287"/>
      <w:bookmarkStart w:id="11767" w:name="_Toc104539164"/>
      <w:bookmarkStart w:id="11768" w:name="_Toc120702467"/>
      <w:bookmarkStart w:id="11769" w:name="_Toc114133966"/>
      <w:bookmarkStart w:id="11770" w:name="_Toc113031827"/>
      <w:bookmarkStart w:id="11771" w:name="_Toc88667714"/>
      <w:bookmarkStart w:id="11772" w:name="_Toc85557204"/>
      <w:bookmarkStart w:id="11773" w:name="_Toc136562566"/>
      <w:bookmarkStart w:id="11774" w:name="_Toc85553105"/>
      <w:bookmarkStart w:id="11775" w:name="_Toc70550721"/>
      <w:bookmarkStart w:id="11776" w:name="_Toc83233176"/>
      <w:bookmarkStart w:id="11777" w:name="_Toc98233791"/>
      <w:bookmarkStart w:id="11778" w:name="_Toc148522805"/>
      <w:bookmarkStart w:id="11779" w:name="_Toc145705895"/>
      <w:bookmarkStart w:id="11780" w:name="_Toc90655999"/>
      <w:r>
        <w:t>JSON, IETF RFC 8259 [10], shall be used as content type of the HTTP bodies specified in the present specification as specified in clause 5.4 of 3GPP TS 29.500 [6]. The use of the JSON format shall be signalled by the content type "application/json".</w:t>
      </w:r>
    </w:p>
    <w:p w14:paraId="02D0ECE3"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241C64A8" w14:textId="77777777" w:rsidR="00A10B25" w:rsidRDefault="00A10B25">
      <w:pPr>
        <w:pStyle w:val="4"/>
      </w:pPr>
      <w:bookmarkStart w:id="11781" w:name="_Toc164920993"/>
      <w:bookmarkStart w:id="11782" w:name="_Toc170120535"/>
      <w:bookmarkStart w:id="11783" w:name="_Toc175858780"/>
      <w:bookmarkStart w:id="11784" w:name="_Toc175859853"/>
      <w:bookmarkStart w:id="11785" w:name="_Toc180606143"/>
      <w:bookmarkStart w:id="11786" w:name="_Toc185517404"/>
      <w:bookmarkStart w:id="11787" w:name="_Toc191576456"/>
      <w:bookmarkStart w:id="11788" w:name="_Toc191577196"/>
      <w:bookmarkStart w:id="11789" w:name="_Toc192880266"/>
      <w:bookmarkStart w:id="11790" w:name="_Toc195815155"/>
      <w:bookmarkStart w:id="11791" w:name="_Toc199453122"/>
      <w:r>
        <w:t>5.3.2.3</w:t>
      </w:r>
      <w:r>
        <w:tab/>
        <w:t>HTTP custom headers</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704E509B" w14:textId="77777777" w:rsidR="00A10B25" w:rsidRDefault="00A10B25">
      <w:pPr>
        <w:rPr>
          <w:rFonts w:eastAsia="Batang"/>
        </w:rPr>
      </w:pPr>
      <w:r>
        <w:rPr>
          <w:rFonts w:eastAsia="Batang"/>
        </w:rPr>
        <w:t xml:space="preserve">The </w:t>
      </w:r>
      <w:r>
        <w:rPr>
          <w:lang w:eastAsia="ja-JP"/>
        </w:rPr>
        <w:t>Nnwdaf_DataManagement</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07773768"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Nnwdaf_DataManagement</w:t>
      </w:r>
      <w:r>
        <w:rPr>
          <w:rFonts w:eastAsia="Batang"/>
        </w:rPr>
        <w:t xml:space="preserve"> service API.</w:t>
      </w:r>
    </w:p>
    <w:p w14:paraId="0395563E" w14:textId="77777777" w:rsidR="00A10B25" w:rsidRDefault="00A10B25">
      <w:pPr>
        <w:pStyle w:val="3"/>
      </w:pPr>
      <w:bookmarkStart w:id="11792" w:name="_Toc98233792"/>
      <w:bookmarkStart w:id="11793" w:name="_Toc70550722"/>
      <w:bookmarkStart w:id="11794" w:name="_Toc94064405"/>
      <w:bookmarkStart w:id="11795" w:name="_Toc113031828"/>
      <w:bookmarkStart w:id="11796" w:name="_Toc120702468"/>
      <w:bookmarkStart w:id="11797" w:name="_Toc112951288"/>
      <w:bookmarkStart w:id="11798" w:name="_Toc85557205"/>
      <w:bookmarkStart w:id="11799" w:name="_Toc101244570"/>
      <w:bookmarkStart w:id="11800" w:name="_Toc85553106"/>
      <w:bookmarkStart w:id="11801" w:name="_Toc83233177"/>
      <w:bookmarkStart w:id="11802" w:name="_Toc104539165"/>
      <w:bookmarkStart w:id="11803" w:name="_Toc88667715"/>
      <w:bookmarkStart w:id="11804" w:name="_Toc145705896"/>
      <w:bookmarkStart w:id="11805" w:name="_Toc138754401"/>
      <w:bookmarkStart w:id="11806" w:name="_Toc136562567"/>
      <w:bookmarkStart w:id="11807" w:name="_Toc90656000"/>
      <w:bookmarkStart w:id="11808" w:name="_Toc148522806"/>
      <w:bookmarkStart w:id="11809" w:name="_Toc114133967"/>
      <w:bookmarkStart w:id="11810" w:name="_Toc164920994"/>
      <w:bookmarkStart w:id="11811" w:name="_Toc170120536"/>
      <w:bookmarkStart w:id="11812" w:name="_Toc175858781"/>
      <w:bookmarkStart w:id="11813" w:name="_Toc175859854"/>
      <w:bookmarkStart w:id="11814" w:name="_Toc180606144"/>
      <w:bookmarkStart w:id="11815" w:name="_Toc185517405"/>
      <w:bookmarkStart w:id="11816" w:name="_Toc191576457"/>
      <w:bookmarkStart w:id="11817" w:name="_Toc191577197"/>
      <w:bookmarkStart w:id="11818" w:name="_Toc192880267"/>
      <w:bookmarkStart w:id="11819" w:name="_Toc195815156"/>
      <w:bookmarkStart w:id="11820" w:name="_Toc199453123"/>
      <w:r>
        <w:lastRenderedPageBreak/>
        <w:t>5.3.3</w:t>
      </w:r>
      <w:r>
        <w:tab/>
        <w:t>Resources</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p>
    <w:p w14:paraId="131A4A9D" w14:textId="77777777" w:rsidR="00A10B25" w:rsidRDefault="00A10B25">
      <w:pPr>
        <w:pStyle w:val="4"/>
      </w:pPr>
      <w:bookmarkStart w:id="11821" w:name="_Toc70550723"/>
      <w:bookmarkStart w:id="11822" w:name="_Toc85557206"/>
      <w:bookmarkStart w:id="11823" w:name="_Toc88667716"/>
      <w:bookmarkStart w:id="11824" w:name="_Toc85553107"/>
      <w:bookmarkStart w:id="11825" w:name="_Toc94064406"/>
      <w:bookmarkStart w:id="11826" w:name="_Toc114133968"/>
      <w:bookmarkStart w:id="11827" w:name="_Toc101244571"/>
      <w:bookmarkStart w:id="11828" w:name="_Toc138754402"/>
      <w:bookmarkStart w:id="11829" w:name="_Toc112951289"/>
      <w:bookmarkStart w:id="11830" w:name="_Toc145705897"/>
      <w:bookmarkStart w:id="11831" w:name="_Toc90656001"/>
      <w:bookmarkStart w:id="11832" w:name="_Toc98233793"/>
      <w:bookmarkStart w:id="11833" w:name="_Toc113031829"/>
      <w:bookmarkStart w:id="11834" w:name="_Toc83233178"/>
      <w:bookmarkStart w:id="11835" w:name="_Toc104539166"/>
      <w:bookmarkStart w:id="11836" w:name="_Toc120702469"/>
      <w:bookmarkStart w:id="11837" w:name="_Toc148522807"/>
      <w:bookmarkStart w:id="11838" w:name="_Toc136562568"/>
      <w:bookmarkStart w:id="11839" w:name="_Toc164920995"/>
      <w:bookmarkStart w:id="11840" w:name="_Toc170120537"/>
      <w:bookmarkStart w:id="11841" w:name="_Toc175858782"/>
      <w:bookmarkStart w:id="11842" w:name="_Toc175859855"/>
      <w:bookmarkStart w:id="11843" w:name="_Toc180606145"/>
      <w:bookmarkStart w:id="11844" w:name="_Toc185517406"/>
      <w:bookmarkStart w:id="11845" w:name="_Toc191576458"/>
      <w:bookmarkStart w:id="11846" w:name="_Toc191577198"/>
      <w:bookmarkStart w:id="11847" w:name="_Toc192880268"/>
      <w:bookmarkStart w:id="11848" w:name="_Toc195815157"/>
      <w:bookmarkStart w:id="11849" w:name="_Toc199453124"/>
      <w:r>
        <w:t>5.3.3.1</w:t>
      </w:r>
      <w:r>
        <w:tab/>
        <w:t>Resource Structure</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72AD2473" w14:textId="77777777" w:rsidR="00991119" w:rsidRDefault="00991119" w:rsidP="00991119">
      <w:r>
        <w:t>This clause describes the structure for the Resource URIs and the resources and methods used for the service.</w:t>
      </w:r>
    </w:p>
    <w:p w14:paraId="775C518D" w14:textId="77777777" w:rsidR="00991119" w:rsidRDefault="00991119" w:rsidP="00991119">
      <w:r>
        <w:t xml:space="preserve">Figure 5.3.3.1-1 depicts the resource URIs structure for the </w:t>
      </w:r>
      <w:r>
        <w:rPr>
          <w:lang w:eastAsia="ja-JP"/>
        </w:rPr>
        <w:t>Nnwdaf_DataManagement</w:t>
      </w:r>
      <w:r>
        <w:t xml:space="preserve"> API.</w:t>
      </w:r>
    </w:p>
    <w:p w14:paraId="2BB17F24" w14:textId="1D61C763" w:rsidR="00991119" w:rsidRDefault="00257874" w:rsidP="00991119">
      <w:pPr>
        <w:pStyle w:val="TH"/>
        <w:rPr>
          <w:lang w:val="en-US"/>
        </w:rPr>
      </w:pPr>
      <w:r w:rsidRPr="00991119">
        <w:rPr>
          <w:noProof/>
          <w:lang w:val="en-US"/>
        </w:rPr>
        <w:drawing>
          <wp:inline distT="0" distB="0" distL="0" distR="0" wp14:anchorId="18DBF193" wp14:editId="6E2F0864">
            <wp:extent cx="4858385" cy="2011680"/>
            <wp:effectExtent l="0" t="0" r="0" b="0"/>
            <wp:docPr id="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858385" cy="2011680"/>
                    </a:xfrm>
                    <a:prstGeom prst="rect">
                      <a:avLst/>
                    </a:prstGeom>
                    <a:noFill/>
                    <a:ln>
                      <a:noFill/>
                    </a:ln>
                  </pic:spPr>
                </pic:pic>
              </a:graphicData>
            </a:graphic>
          </wp:inline>
        </w:drawing>
      </w:r>
    </w:p>
    <w:p w14:paraId="536757BA" w14:textId="77777777" w:rsidR="00991119" w:rsidRDefault="00991119" w:rsidP="00991119">
      <w:pPr>
        <w:pStyle w:val="TF"/>
      </w:pPr>
      <w:r>
        <w:t>Figure 5.3.3.1-</w:t>
      </w:r>
      <w:r>
        <w:rPr>
          <w:rFonts w:hint="eastAsia"/>
          <w:lang w:eastAsia="zh-CN"/>
        </w:rPr>
        <w:t>1</w:t>
      </w:r>
      <w:r>
        <w:t xml:space="preserve">: Resource URI structure of the </w:t>
      </w:r>
      <w:r>
        <w:rPr>
          <w:lang w:eastAsia="ja-JP"/>
        </w:rPr>
        <w:t>Nnwdaf_DataManagement</w:t>
      </w:r>
      <w:r>
        <w:t xml:space="preserve"> API</w:t>
      </w:r>
    </w:p>
    <w:p w14:paraId="3E9D57A2" w14:textId="77777777" w:rsidR="00991119" w:rsidRDefault="00991119" w:rsidP="00991119">
      <w:r>
        <w:t>Table 5.3.3.1-1 provides an overview of the resources and applicable HTTP methods.</w:t>
      </w:r>
    </w:p>
    <w:p w14:paraId="3537AC42" w14:textId="77777777" w:rsidR="00991119" w:rsidRDefault="00991119" w:rsidP="00991119">
      <w:pPr>
        <w:pStyle w:val="TH"/>
        <w:overflowPunct w:val="0"/>
        <w:autoSpaceDE w:val="0"/>
        <w:autoSpaceDN w:val="0"/>
        <w:adjustRightInd w:val="0"/>
        <w:textAlignment w:val="baseline"/>
        <w:rPr>
          <w:rFonts w:eastAsia="MS Mincho"/>
        </w:rPr>
      </w:pPr>
      <w:r>
        <w:rPr>
          <w:rFonts w:eastAsia="MS Mincho"/>
        </w:rPr>
        <w:t>Table 5.3.3.1-1: Resources and methods overview</w:t>
      </w:r>
    </w:p>
    <w:tbl>
      <w:tblPr>
        <w:tblW w:w="49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8"/>
        <w:gridCol w:w="2845"/>
        <w:gridCol w:w="957"/>
        <w:gridCol w:w="3141"/>
      </w:tblGrid>
      <w:tr w:rsidR="00991119" w14:paraId="50CEDD24" w14:textId="77777777" w:rsidTr="009E7F73">
        <w:trPr>
          <w:jc w:val="center"/>
        </w:trPr>
        <w:tc>
          <w:tcPr>
            <w:tcW w:w="1341" w:type="pct"/>
            <w:shd w:val="clear" w:color="auto" w:fill="C0C0C0"/>
            <w:vAlign w:val="center"/>
          </w:tcPr>
          <w:p w14:paraId="33D8219D" w14:textId="77777777" w:rsidR="00991119" w:rsidRDefault="00991119" w:rsidP="009E7F73">
            <w:pPr>
              <w:pStyle w:val="TAH"/>
            </w:pPr>
            <w:r>
              <w:t>Resource name</w:t>
            </w:r>
          </w:p>
        </w:tc>
        <w:tc>
          <w:tcPr>
            <w:tcW w:w="1503" w:type="pct"/>
            <w:shd w:val="clear" w:color="auto" w:fill="C0C0C0"/>
            <w:vAlign w:val="center"/>
          </w:tcPr>
          <w:p w14:paraId="058E6260" w14:textId="77777777" w:rsidR="00991119" w:rsidRDefault="00991119" w:rsidP="009E7F73">
            <w:pPr>
              <w:pStyle w:val="TAH"/>
            </w:pPr>
            <w:r>
              <w:t>Resource URI</w:t>
            </w:r>
          </w:p>
        </w:tc>
        <w:tc>
          <w:tcPr>
            <w:tcW w:w="497" w:type="pct"/>
            <w:shd w:val="clear" w:color="auto" w:fill="C0C0C0"/>
            <w:vAlign w:val="center"/>
          </w:tcPr>
          <w:p w14:paraId="4260A44A" w14:textId="77777777" w:rsidR="00991119" w:rsidRDefault="00991119" w:rsidP="009E7F73">
            <w:pPr>
              <w:pStyle w:val="TAH"/>
            </w:pPr>
            <w:r>
              <w:t>HTTP method or custom operation</w:t>
            </w:r>
          </w:p>
        </w:tc>
        <w:tc>
          <w:tcPr>
            <w:tcW w:w="1659" w:type="pct"/>
            <w:shd w:val="clear" w:color="auto" w:fill="C0C0C0"/>
            <w:vAlign w:val="center"/>
          </w:tcPr>
          <w:p w14:paraId="108B7331" w14:textId="77777777" w:rsidR="00991119" w:rsidRDefault="00991119" w:rsidP="009E7F73">
            <w:pPr>
              <w:pStyle w:val="TAH"/>
            </w:pPr>
            <w:r>
              <w:t>Description</w:t>
            </w:r>
          </w:p>
        </w:tc>
      </w:tr>
      <w:tr w:rsidR="00991119" w14:paraId="046EAA2D" w14:textId="77777777" w:rsidTr="009E7F73">
        <w:trPr>
          <w:jc w:val="center"/>
        </w:trPr>
        <w:tc>
          <w:tcPr>
            <w:tcW w:w="0" w:type="auto"/>
            <w:vAlign w:val="center"/>
          </w:tcPr>
          <w:p w14:paraId="2B068CB7" w14:textId="77777777" w:rsidR="00991119" w:rsidRDefault="00991119" w:rsidP="009E7F73">
            <w:pPr>
              <w:pStyle w:val="TF"/>
              <w:keepNext/>
              <w:spacing w:after="0"/>
              <w:jc w:val="left"/>
            </w:pPr>
            <w:r>
              <w:rPr>
                <w:b w:val="0"/>
                <w:sz w:val="18"/>
              </w:rPr>
              <w:t>NWDAF Data Management Subscriptions</w:t>
            </w:r>
          </w:p>
        </w:tc>
        <w:tc>
          <w:tcPr>
            <w:tcW w:w="0" w:type="auto"/>
            <w:vAlign w:val="center"/>
          </w:tcPr>
          <w:p w14:paraId="35510BC4" w14:textId="77777777" w:rsidR="00991119" w:rsidRDefault="00991119" w:rsidP="009E7F73">
            <w:pPr>
              <w:pStyle w:val="TAL"/>
            </w:pPr>
            <w:r>
              <w:t>/subscriptions</w:t>
            </w:r>
          </w:p>
        </w:tc>
        <w:tc>
          <w:tcPr>
            <w:tcW w:w="497" w:type="pct"/>
          </w:tcPr>
          <w:p w14:paraId="013D3C64" w14:textId="77777777" w:rsidR="00991119" w:rsidRDefault="00991119" w:rsidP="009E7F73">
            <w:pPr>
              <w:pStyle w:val="TAL"/>
            </w:pPr>
            <w:r>
              <w:t>POST</w:t>
            </w:r>
          </w:p>
        </w:tc>
        <w:tc>
          <w:tcPr>
            <w:tcW w:w="1659" w:type="pct"/>
          </w:tcPr>
          <w:p w14:paraId="2542882B" w14:textId="77777777" w:rsidR="00991119" w:rsidRDefault="00991119" w:rsidP="009E7F73">
            <w:pPr>
              <w:pStyle w:val="TAL"/>
            </w:pPr>
            <w:r>
              <w:t>Creates a new Individual NWDAF Data Management Subscription resource.</w:t>
            </w:r>
          </w:p>
        </w:tc>
      </w:tr>
      <w:tr w:rsidR="00991119" w14:paraId="1BBE0C0E" w14:textId="77777777" w:rsidTr="009E7F73">
        <w:trPr>
          <w:jc w:val="center"/>
        </w:trPr>
        <w:tc>
          <w:tcPr>
            <w:tcW w:w="0" w:type="auto"/>
            <w:vMerge w:val="restart"/>
            <w:vAlign w:val="center"/>
          </w:tcPr>
          <w:p w14:paraId="24832314" w14:textId="77777777" w:rsidR="00991119" w:rsidRDefault="00991119" w:rsidP="009E7F73">
            <w:pPr>
              <w:pStyle w:val="TF"/>
              <w:keepNext/>
              <w:spacing w:after="0"/>
              <w:jc w:val="left"/>
            </w:pPr>
            <w:r>
              <w:rPr>
                <w:b w:val="0"/>
                <w:sz w:val="18"/>
              </w:rPr>
              <w:t>Individual NWDAF Data Management Subscription</w:t>
            </w:r>
          </w:p>
        </w:tc>
        <w:tc>
          <w:tcPr>
            <w:tcW w:w="0" w:type="auto"/>
            <w:vMerge w:val="restart"/>
            <w:vAlign w:val="center"/>
          </w:tcPr>
          <w:p w14:paraId="55E5843A" w14:textId="77777777" w:rsidR="00991119" w:rsidRDefault="00991119" w:rsidP="009E7F73">
            <w:pPr>
              <w:pStyle w:val="TAL"/>
            </w:pPr>
            <w:r>
              <w:t>/subscriptions/{subscriptionId}</w:t>
            </w:r>
          </w:p>
        </w:tc>
        <w:tc>
          <w:tcPr>
            <w:tcW w:w="497" w:type="pct"/>
          </w:tcPr>
          <w:p w14:paraId="610E91FA" w14:textId="77777777" w:rsidR="00991119" w:rsidRDefault="00991119" w:rsidP="009E7F73">
            <w:pPr>
              <w:pStyle w:val="TAL"/>
            </w:pPr>
            <w:r>
              <w:t>DELETE</w:t>
            </w:r>
          </w:p>
        </w:tc>
        <w:tc>
          <w:tcPr>
            <w:tcW w:w="1659" w:type="pct"/>
          </w:tcPr>
          <w:p w14:paraId="0703115F" w14:textId="77777777" w:rsidR="00991119" w:rsidRDefault="00991119" w:rsidP="009E7F73">
            <w:pPr>
              <w:pStyle w:val="TF"/>
              <w:keepNext/>
              <w:spacing w:after="0"/>
              <w:jc w:val="left"/>
              <w:rPr>
                <w:b w:val="0"/>
              </w:rPr>
            </w:pPr>
            <w:r w:rsidRPr="005B3671">
              <w:rPr>
                <w:b w:val="0"/>
                <w:sz w:val="18"/>
              </w:rPr>
              <w:t xml:space="preserve">Deletes an Individual NWDAF </w:t>
            </w:r>
            <w:r>
              <w:rPr>
                <w:b w:val="0"/>
                <w:sz w:val="18"/>
              </w:rPr>
              <w:t>Data Management Subscription</w:t>
            </w:r>
            <w:r w:rsidRPr="005B3671">
              <w:rPr>
                <w:b w:val="0"/>
                <w:sz w:val="18"/>
              </w:rPr>
              <w:t xml:space="preserve"> identified by subresource {subscriptionId}.</w:t>
            </w:r>
          </w:p>
        </w:tc>
      </w:tr>
      <w:tr w:rsidR="00991119" w14:paraId="3055865F" w14:textId="77777777" w:rsidTr="009E7F73">
        <w:trPr>
          <w:jc w:val="center"/>
        </w:trPr>
        <w:tc>
          <w:tcPr>
            <w:tcW w:w="0" w:type="auto"/>
            <w:vMerge/>
            <w:vAlign w:val="center"/>
          </w:tcPr>
          <w:p w14:paraId="64E144CF" w14:textId="77777777" w:rsidR="00991119" w:rsidRDefault="00991119" w:rsidP="009E7F73">
            <w:pPr>
              <w:pStyle w:val="TAL"/>
            </w:pPr>
          </w:p>
        </w:tc>
        <w:tc>
          <w:tcPr>
            <w:tcW w:w="0" w:type="auto"/>
            <w:vMerge/>
            <w:vAlign w:val="center"/>
          </w:tcPr>
          <w:p w14:paraId="31199D3B" w14:textId="77777777" w:rsidR="00991119" w:rsidRDefault="00991119" w:rsidP="009E7F73">
            <w:pPr>
              <w:pStyle w:val="TAL"/>
            </w:pPr>
          </w:p>
        </w:tc>
        <w:tc>
          <w:tcPr>
            <w:tcW w:w="497" w:type="pct"/>
          </w:tcPr>
          <w:p w14:paraId="3EB1A6B7" w14:textId="77777777" w:rsidR="00991119" w:rsidRDefault="00991119" w:rsidP="009E7F73">
            <w:pPr>
              <w:pStyle w:val="TAL"/>
            </w:pPr>
            <w:r>
              <w:t>PUT</w:t>
            </w:r>
          </w:p>
        </w:tc>
        <w:tc>
          <w:tcPr>
            <w:tcW w:w="1659" w:type="pct"/>
          </w:tcPr>
          <w:p w14:paraId="4055A2DB" w14:textId="77777777" w:rsidR="00991119" w:rsidRDefault="00991119" w:rsidP="009E7F73">
            <w:pPr>
              <w:pStyle w:val="TAL"/>
            </w:pPr>
            <w:r>
              <w:t>Updates an existing Individual NWDAF Data Management Subscription identified by subresource {subscriptionId}.</w:t>
            </w:r>
          </w:p>
        </w:tc>
      </w:tr>
    </w:tbl>
    <w:p w14:paraId="5C10CA0B" w14:textId="77777777" w:rsidR="00991119" w:rsidRDefault="00991119" w:rsidP="00991119"/>
    <w:p w14:paraId="0B23F88B" w14:textId="77777777" w:rsidR="00A10B25" w:rsidRDefault="00A10B25">
      <w:pPr>
        <w:pStyle w:val="4"/>
      </w:pPr>
      <w:bookmarkStart w:id="11850" w:name="_Toc113031830"/>
      <w:bookmarkStart w:id="11851" w:name="_Toc83233179"/>
      <w:bookmarkStart w:id="11852" w:name="_Toc101244572"/>
      <w:bookmarkStart w:id="11853" w:name="_Toc104539167"/>
      <w:bookmarkStart w:id="11854" w:name="_Toc136562569"/>
      <w:bookmarkStart w:id="11855" w:name="_Toc85553108"/>
      <w:bookmarkStart w:id="11856" w:name="_Toc85557207"/>
      <w:bookmarkStart w:id="11857" w:name="_Toc114133969"/>
      <w:bookmarkStart w:id="11858" w:name="_Toc138754403"/>
      <w:bookmarkStart w:id="11859" w:name="_Toc145705898"/>
      <w:bookmarkStart w:id="11860" w:name="_Toc148522808"/>
      <w:bookmarkStart w:id="11861" w:name="_Toc98233794"/>
      <w:bookmarkStart w:id="11862" w:name="_Toc120702470"/>
      <w:bookmarkStart w:id="11863" w:name="_Toc70550724"/>
      <w:bookmarkStart w:id="11864" w:name="_Toc90656002"/>
      <w:bookmarkStart w:id="11865" w:name="_Toc88667717"/>
      <w:bookmarkStart w:id="11866" w:name="_Toc94064407"/>
      <w:bookmarkStart w:id="11867" w:name="_Toc112951290"/>
      <w:bookmarkStart w:id="11868" w:name="_Toc164920996"/>
      <w:bookmarkStart w:id="11869" w:name="_Toc170120538"/>
      <w:bookmarkStart w:id="11870" w:name="_Toc175858783"/>
      <w:bookmarkStart w:id="11871" w:name="_Toc175859856"/>
      <w:bookmarkStart w:id="11872" w:name="_Toc180606146"/>
      <w:bookmarkStart w:id="11873" w:name="_Toc185517407"/>
      <w:bookmarkStart w:id="11874" w:name="_Toc191576459"/>
      <w:bookmarkStart w:id="11875" w:name="_Toc191577199"/>
      <w:bookmarkStart w:id="11876" w:name="_Toc192880269"/>
      <w:bookmarkStart w:id="11877" w:name="_Toc195815158"/>
      <w:bookmarkStart w:id="11878" w:name="_Toc199453125"/>
      <w:r>
        <w:t>5.3.3.2</w:t>
      </w:r>
      <w:r>
        <w:tab/>
        <w:t>Resource: NWDAF Data Management Subscriptions</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7E02993A" w14:textId="77777777" w:rsidR="00A10B25" w:rsidRDefault="00A10B25">
      <w:pPr>
        <w:pStyle w:val="5"/>
      </w:pPr>
      <w:bookmarkStart w:id="11879" w:name="_Toc138754404"/>
      <w:bookmarkStart w:id="11880" w:name="_Toc136562570"/>
      <w:bookmarkStart w:id="11881" w:name="_Toc148522809"/>
      <w:bookmarkStart w:id="11882" w:name="_Toc120702471"/>
      <w:bookmarkStart w:id="11883" w:name="_Toc104539168"/>
      <w:bookmarkStart w:id="11884" w:name="_Toc114133970"/>
      <w:bookmarkStart w:id="11885" w:name="_Toc145705899"/>
      <w:bookmarkStart w:id="11886" w:name="_Toc101244573"/>
      <w:bookmarkStart w:id="11887" w:name="_Toc112951291"/>
      <w:bookmarkStart w:id="11888" w:name="_Toc113031831"/>
      <w:bookmarkStart w:id="11889" w:name="_Toc98233795"/>
      <w:bookmarkStart w:id="11890" w:name="_Toc164920997"/>
      <w:bookmarkStart w:id="11891" w:name="_Toc170120539"/>
      <w:bookmarkStart w:id="11892" w:name="_Toc175858784"/>
      <w:bookmarkStart w:id="11893" w:name="_Toc175859857"/>
      <w:bookmarkStart w:id="11894" w:name="_Toc180606147"/>
      <w:bookmarkStart w:id="11895" w:name="_Toc185517408"/>
      <w:bookmarkStart w:id="11896" w:name="_Toc191576460"/>
      <w:bookmarkStart w:id="11897" w:name="_Toc191577200"/>
      <w:bookmarkStart w:id="11898" w:name="_Toc192880270"/>
      <w:bookmarkStart w:id="11899" w:name="_Toc195815159"/>
      <w:bookmarkStart w:id="11900" w:name="_Toc199453126"/>
      <w:r>
        <w:t>5.3.3.2.1</w:t>
      </w:r>
      <w:r>
        <w:tab/>
        <w:t>Description</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44BD30C5" w14:textId="77777777" w:rsidR="00A10B25" w:rsidRDefault="00A10B25">
      <w:r>
        <w:t>The NWDAF Data Management Subscriptions resource represents all subscriptions to the Nnwdaf_DataManagement Service at a given NWDAF. The resource allows an NF service consumer to create a new Individual NWDAF Data Management Subscription resource.</w:t>
      </w:r>
    </w:p>
    <w:p w14:paraId="2904C238" w14:textId="77777777" w:rsidR="00A10B25" w:rsidRDefault="00A10B25">
      <w:pPr>
        <w:pStyle w:val="5"/>
      </w:pPr>
      <w:bookmarkStart w:id="11901" w:name="_Toc112951292"/>
      <w:bookmarkStart w:id="11902" w:name="_Toc148522810"/>
      <w:bookmarkStart w:id="11903" w:name="_Toc98233796"/>
      <w:bookmarkStart w:id="11904" w:name="_Toc104539169"/>
      <w:bookmarkStart w:id="11905" w:name="_Toc113031832"/>
      <w:bookmarkStart w:id="11906" w:name="_Toc145705900"/>
      <w:bookmarkStart w:id="11907" w:name="_Toc138754405"/>
      <w:bookmarkStart w:id="11908" w:name="_Toc101244574"/>
      <w:bookmarkStart w:id="11909" w:name="_Toc114133971"/>
      <w:bookmarkStart w:id="11910" w:name="_Toc120702472"/>
      <w:bookmarkStart w:id="11911" w:name="_Toc136562571"/>
      <w:bookmarkStart w:id="11912" w:name="_Toc164920998"/>
      <w:bookmarkStart w:id="11913" w:name="_Toc170120540"/>
      <w:bookmarkStart w:id="11914" w:name="_Toc175858785"/>
      <w:bookmarkStart w:id="11915" w:name="_Toc175859858"/>
      <w:bookmarkStart w:id="11916" w:name="_Toc180606148"/>
      <w:bookmarkStart w:id="11917" w:name="_Toc185517409"/>
      <w:bookmarkStart w:id="11918" w:name="_Toc191576461"/>
      <w:bookmarkStart w:id="11919" w:name="_Toc191577201"/>
      <w:bookmarkStart w:id="11920" w:name="_Toc192880271"/>
      <w:bookmarkStart w:id="11921" w:name="_Toc195815160"/>
      <w:bookmarkStart w:id="11922" w:name="_Toc199453127"/>
      <w:r>
        <w:t>5.3.3.2.2</w:t>
      </w:r>
      <w:r>
        <w:tab/>
        <w:t>Resource Definition</w:t>
      </w:r>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369BB137" w14:textId="77777777" w:rsidR="00A10B25" w:rsidRDefault="00A10B25">
      <w:r>
        <w:t xml:space="preserve">Resource URI: </w:t>
      </w:r>
      <w:r>
        <w:rPr>
          <w:b/>
        </w:rPr>
        <w:t>{apiRoot}/nnwdaf-datamanagement/&lt;apiVersion&gt;/subscriptions</w:t>
      </w:r>
    </w:p>
    <w:p w14:paraId="0DEA60C7" w14:textId="77777777" w:rsidR="00A10B25" w:rsidRDefault="00A10B25">
      <w:pPr>
        <w:rPr>
          <w:lang w:val="en-US"/>
        </w:rPr>
      </w:pPr>
      <w:r>
        <w:rPr>
          <w:lang w:val="en-US" w:eastAsia="zh-CN"/>
        </w:rPr>
        <w:t>The &lt;apiVersion&gt; shall be set as described in clause</w:t>
      </w:r>
      <w:r>
        <w:rPr>
          <w:lang w:val="en-US" w:eastAsia="zh-CN"/>
        </w:rPr>
        <w:t> 5.3</w:t>
      </w:r>
      <w:r>
        <w:rPr>
          <w:lang w:val="en-US" w:eastAsia="zh-CN"/>
        </w:rPr>
        <w:t>.1</w:t>
      </w:r>
      <w:r>
        <w:rPr>
          <w:lang w:val="en-US" w:eastAsia="zh-CN"/>
        </w:rPr>
        <w:t>.</w:t>
      </w:r>
    </w:p>
    <w:p w14:paraId="738F64F1" w14:textId="77777777" w:rsidR="00A10B25" w:rsidRDefault="00A10B25">
      <w:pPr>
        <w:rPr>
          <w:rFonts w:ascii="Arial" w:hAnsi="Arial" w:cs="Arial"/>
        </w:rPr>
      </w:pPr>
      <w:r>
        <w:t>This resource shall support the resource URI variables defined in table 5.3.3.2.2-1</w:t>
      </w:r>
      <w:r>
        <w:rPr>
          <w:rFonts w:ascii="Arial" w:hAnsi="Arial" w:cs="Arial"/>
        </w:rPr>
        <w:t>.</w:t>
      </w:r>
    </w:p>
    <w:p w14:paraId="5F2069A9"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5.3.3.2.2-1: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3FAD085B" w14:textId="77777777">
        <w:trPr>
          <w:jc w:val="center"/>
        </w:trPr>
        <w:tc>
          <w:tcPr>
            <w:tcW w:w="559" w:type="pct"/>
            <w:shd w:val="clear" w:color="000000" w:fill="C0C0C0"/>
          </w:tcPr>
          <w:p w14:paraId="798258D3" w14:textId="77777777" w:rsidR="00A10B25" w:rsidRDefault="00A10B25">
            <w:pPr>
              <w:pStyle w:val="TAH"/>
            </w:pPr>
            <w:r>
              <w:t>Name</w:t>
            </w:r>
          </w:p>
        </w:tc>
        <w:tc>
          <w:tcPr>
            <w:tcW w:w="636" w:type="pct"/>
            <w:shd w:val="clear" w:color="000000" w:fill="C0C0C0"/>
          </w:tcPr>
          <w:p w14:paraId="18968E17" w14:textId="77777777" w:rsidR="00A10B25" w:rsidRDefault="00A10B25">
            <w:pPr>
              <w:pStyle w:val="TAH"/>
            </w:pPr>
            <w:r>
              <w:rPr>
                <w:lang w:eastAsia="zh-CN"/>
              </w:rPr>
              <w:t>Data type</w:t>
            </w:r>
          </w:p>
        </w:tc>
        <w:tc>
          <w:tcPr>
            <w:tcW w:w="3805" w:type="pct"/>
            <w:shd w:val="clear" w:color="000000" w:fill="C0C0C0"/>
            <w:vAlign w:val="center"/>
          </w:tcPr>
          <w:p w14:paraId="62D5D082" w14:textId="77777777" w:rsidR="00A10B25" w:rsidRDefault="00A10B25">
            <w:pPr>
              <w:pStyle w:val="TAH"/>
            </w:pPr>
            <w:r>
              <w:t>Definition</w:t>
            </w:r>
          </w:p>
        </w:tc>
      </w:tr>
      <w:tr w:rsidR="00A10B25" w14:paraId="21316760" w14:textId="77777777">
        <w:trPr>
          <w:jc w:val="center"/>
        </w:trPr>
        <w:tc>
          <w:tcPr>
            <w:tcW w:w="559" w:type="pct"/>
          </w:tcPr>
          <w:p w14:paraId="6C2671EF" w14:textId="77777777" w:rsidR="00A10B25" w:rsidRDefault="00A10B25">
            <w:pPr>
              <w:pStyle w:val="TAL"/>
            </w:pPr>
            <w:r>
              <w:t>apiRoot</w:t>
            </w:r>
          </w:p>
        </w:tc>
        <w:tc>
          <w:tcPr>
            <w:tcW w:w="636" w:type="pct"/>
          </w:tcPr>
          <w:p w14:paraId="19EDC6BA" w14:textId="77777777" w:rsidR="00A10B25" w:rsidRDefault="00A10B25">
            <w:pPr>
              <w:pStyle w:val="TAL"/>
            </w:pPr>
            <w:r>
              <w:t>string</w:t>
            </w:r>
          </w:p>
        </w:tc>
        <w:tc>
          <w:tcPr>
            <w:tcW w:w="3805" w:type="pct"/>
            <w:vAlign w:val="center"/>
          </w:tcPr>
          <w:p w14:paraId="51ED8C6F" w14:textId="77777777" w:rsidR="00A10B25" w:rsidRDefault="00A10B25">
            <w:pPr>
              <w:pStyle w:val="TAL"/>
            </w:pPr>
            <w:r>
              <w:t>See clause</w:t>
            </w:r>
            <w:r>
              <w:rPr>
                <w:lang w:val="en-US" w:eastAsia="zh-CN"/>
              </w:rPr>
              <w:t> </w:t>
            </w:r>
            <w:r>
              <w:t>5.3.1</w:t>
            </w:r>
          </w:p>
        </w:tc>
      </w:tr>
    </w:tbl>
    <w:p w14:paraId="7F579AAC" w14:textId="77777777" w:rsidR="00A10B25" w:rsidRDefault="00A10B25"/>
    <w:p w14:paraId="5ED5BFA7" w14:textId="77777777" w:rsidR="00A10B25" w:rsidRDefault="00A10B25">
      <w:pPr>
        <w:pStyle w:val="5"/>
      </w:pPr>
      <w:bookmarkStart w:id="11923" w:name="_Toc136562572"/>
      <w:bookmarkStart w:id="11924" w:name="_Toc113031833"/>
      <w:bookmarkStart w:id="11925" w:name="_Toc114133972"/>
      <w:bookmarkStart w:id="11926" w:name="_Toc112951293"/>
      <w:bookmarkStart w:id="11927" w:name="_Toc98233797"/>
      <w:bookmarkStart w:id="11928" w:name="_Toc104539170"/>
      <w:bookmarkStart w:id="11929" w:name="_Toc145705901"/>
      <w:bookmarkStart w:id="11930" w:name="_Toc138754406"/>
      <w:bookmarkStart w:id="11931" w:name="_Toc148522811"/>
      <w:bookmarkStart w:id="11932" w:name="_Toc101244575"/>
      <w:bookmarkStart w:id="11933" w:name="_Toc120702473"/>
      <w:bookmarkStart w:id="11934" w:name="_Toc164920999"/>
      <w:bookmarkStart w:id="11935" w:name="_Toc170120541"/>
      <w:bookmarkStart w:id="11936" w:name="_Toc175858786"/>
      <w:bookmarkStart w:id="11937" w:name="_Toc175859859"/>
      <w:bookmarkStart w:id="11938" w:name="_Toc180606149"/>
      <w:bookmarkStart w:id="11939" w:name="_Toc185517410"/>
      <w:bookmarkStart w:id="11940" w:name="_Toc191576462"/>
      <w:bookmarkStart w:id="11941" w:name="_Toc191577202"/>
      <w:bookmarkStart w:id="11942" w:name="_Toc192880272"/>
      <w:bookmarkStart w:id="11943" w:name="_Toc195815161"/>
      <w:bookmarkStart w:id="11944" w:name="_Toc199453128"/>
      <w:r>
        <w:t>5.3.3.2.3</w:t>
      </w:r>
      <w:r>
        <w:tab/>
        <w:t>Resource Standard Methods</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49265D95" w14:textId="77777777" w:rsidR="00A10B25" w:rsidRDefault="00A10B25">
      <w:pPr>
        <w:pStyle w:val="6"/>
      </w:pPr>
      <w:bookmarkStart w:id="11945" w:name="_Toc113031834"/>
      <w:bookmarkStart w:id="11946" w:name="_Toc114133973"/>
      <w:bookmarkStart w:id="11947" w:name="_Toc136562573"/>
      <w:bookmarkStart w:id="11948" w:name="_Toc120702474"/>
      <w:bookmarkStart w:id="11949" w:name="_Toc98233798"/>
      <w:bookmarkStart w:id="11950" w:name="_Toc104539171"/>
      <w:bookmarkStart w:id="11951" w:name="_Toc138754407"/>
      <w:bookmarkStart w:id="11952" w:name="_Toc145705902"/>
      <w:bookmarkStart w:id="11953" w:name="_Toc148522812"/>
      <w:bookmarkStart w:id="11954" w:name="_Toc101244576"/>
      <w:bookmarkStart w:id="11955" w:name="_Toc112951294"/>
      <w:bookmarkStart w:id="11956" w:name="_Toc164921000"/>
      <w:bookmarkStart w:id="11957" w:name="_Toc170120542"/>
      <w:bookmarkStart w:id="11958" w:name="_Toc175858787"/>
      <w:bookmarkStart w:id="11959" w:name="_Toc175859860"/>
      <w:bookmarkStart w:id="11960" w:name="_Toc180606150"/>
      <w:bookmarkStart w:id="11961" w:name="_Toc185517411"/>
      <w:bookmarkStart w:id="11962" w:name="_Toc191576463"/>
      <w:bookmarkStart w:id="11963" w:name="_Toc191577203"/>
      <w:bookmarkStart w:id="11964" w:name="_Toc192880273"/>
      <w:bookmarkStart w:id="11965" w:name="_Toc195815162"/>
      <w:bookmarkStart w:id="11966" w:name="_Toc199453129"/>
      <w:r>
        <w:t>5.3.3.2.3.1</w:t>
      </w:r>
      <w:r>
        <w:tab/>
        <w:t>POST</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5FE0F6E4" w14:textId="77777777" w:rsidR="00A10B25" w:rsidRDefault="00A10B25">
      <w:r>
        <w:t>This method shall support the URI query parameters specified in table 5.3.3.2.3.1-1.</w:t>
      </w:r>
    </w:p>
    <w:p w14:paraId="546C79E5" w14:textId="77777777" w:rsidR="00A10B25" w:rsidRDefault="00A10B25">
      <w:pPr>
        <w:pStyle w:val="TH"/>
        <w:overflowPunct w:val="0"/>
        <w:autoSpaceDE w:val="0"/>
        <w:autoSpaceDN w:val="0"/>
        <w:adjustRightInd w:val="0"/>
        <w:textAlignment w:val="baseline"/>
        <w:rPr>
          <w:rFonts w:eastAsia="MS Mincho"/>
        </w:rPr>
      </w:pPr>
      <w:r>
        <w:rPr>
          <w:rFonts w:eastAsia="MS Mincho"/>
        </w:rPr>
        <w:t>Table 5.3.3.2.3.1-1: URI query parameters supported by the POST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C8E2AB3" w14:textId="77777777">
        <w:trPr>
          <w:jc w:val="center"/>
        </w:trPr>
        <w:tc>
          <w:tcPr>
            <w:tcW w:w="825" w:type="pct"/>
            <w:tcBorders>
              <w:bottom w:val="single" w:sz="6" w:space="0" w:color="auto"/>
            </w:tcBorders>
            <w:shd w:val="clear" w:color="auto" w:fill="C0C0C0"/>
          </w:tcPr>
          <w:p w14:paraId="608D23B3" w14:textId="77777777" w:rsidR="00A10B25" w:rsidRDefault="00A10B25">
            <w:pPr>
              <w:pStyle w:val="TAH"/>
            </w:pPr>
            <w:r>
              <w:t>Name</w:t>
            </w:r>
          </w:p>
        </w:tc>
        <w:tc>
          <w:tcPr>
            <w:tcW w:w="732" w:type="pct"/>
            <w:tcBorders>
              <w:bottom w:val="single" w:sz="6" w:space="0" w:color="auto"/>
            </w:tcBorders>
            <w:shd w:val="clear" w:color="auto" w:fill="C0C0C0"/>
          </w:tcPr>
          <w:p w14:paraId="219F7E3E" w14:textId="77777777" w:rsidR="00A10B25" w:rsidRDefault="00A10B25">
            <w:pPr>
              <w:pStyle w:val="TAH"/>
            </w:pPr>
            <w:r>
              <w:t>Data type</w:t>
            </w:r>
          </w:p>
        </w:tc>
        <w:tc>
          <w:tcPr>
            <w:tcW w:w="217" w:type="pct"/>
            <w:tcBorders>
              <w:bottom w:val="single" w:sz="6" w:space="0" w:color="auto"/>
            </w:tcBorders>
            <w:shd w:val="clear" w:color="auto" w:fill="C0C0C0"/>
          </w:tcPr>
          <w:p w14:paraId="7EBADFCB" w14:textId="77777777" w:rsidR="00A10B25" w:rsidRDefault="00A10B25">
            <w:pPr>
              <w:pStyle w:val="TAH"/>
            </w:pPr>
            <w:r>
              <w:t>P</w:t>
            </w:r>
          </w:p>
        </w:tc>
        <w:tc>
          <w:tcPr>
            <w:tcW w:w="581" w:type="pct"/>
            <w:tcBorders>
              <w:bottom w:val="single" w:sz="6" w:space="0" w:color="auto"/>
            </w:tcBorders>
            <w:shd w:val="clear" w:color="auto" w:fill="C0C0C0"/>
          </w:tcPr>
          <w:p w14:paraId="622875B1"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4537E663" w14:textId="77777777" w:rsidR="00A10B25" w:rsidRDefault="00A10B25">
            <w:pPr>
              <w:pStyle w:val="TAH"/>
            </w:pPr>
            <w:r>
              <w:t>Description</w:t>
            </w:r>
          </w:p>
        </w:tc>
      </w:tr>
      <w:tr w:rsidR="00A10B25" w14:paraId="108F73DF" w14:textId="77777777">
        <w:trPr>
          <w:jc w:val="center"/>
        </w:trPr>
        <w:tc>
          <w:tcPr>
            <w:tcW w:w="825" w:type="pct"/>
            <w:tcBorders>
              <w:top w:val="single" w:sz="6" w:space="0" w:color="auto"/>
            </w:tcBorders>
          </w:tcPr>
          <w:p w14:paraId="4508DA7C" w14:textId="77777777" w:rsidR="00A10B25" w:rsidRDefault="00A10B25">
            <w:pPr>
              <w:pStyle w:val="TAL"/>
            </w:pPr>
            <w:r>
              <w:t>n/a</w:t>
            </w:r>
          </w:p>
        </w:tc>
        <w:tc>
          <w:tcPr>
            <w:tcW w:w="732" w:type="pct"/>
            <w:tcBorders>
              <w:top w:val="single" w:sz="6" w:space="0" w:color="auto"/>
            </w:tcBorders>
          </w:tcPr>
          <w:p w14:paraId="7FB2AF7E" w14:textId="77777777" w:rsidR="00A10B25" w:rsidRDefault="00A10B25">
            <w:pPr>
              <w:pStyle w:val="TAL"/>
            </w:pPr>
          </w:p>
        </w:tc>
        <w:tc>
          <w:tcPr>
            <w:tcW w:w="217" w:type="pct"/>
            <w:tcBorders>
              <w:top w:val="single" w:sz="6" w:space="0" w:color="auto"/>
            </w:tcBorders>
          </w:tcPr>
          <w:p w14:paraId="05037CEC" w14:textId="77777777" w:rsidR="00A10B25" w:rsidRDefault="00A10B25">
            <w:pPr>
              <w:pStyle w:val="TAC"/>
            </w:pPr>
          </w:p>
        </w:tc>
        <w:tc>
          <w:tcPr>
            <w:tcW w:w="581" w:type="pct"/>
            <w:tcBorders>
              <w:top w:val="single" w:sz="6" w:space="0" w:color="auto"/>
            </w:tcBorders>
          </w:tcPr>
          <w:p w14:paraId="71DC1EDB" w14:textId="77777777" w:rsidR="00A10B25" w:rsidRDefault="00A10B25">
            <w:pPr>
              <w:pStyle w:val="TAL"/>
            </w:pPr>
          </w:p>
        </w:tc>
        <w:tc>
          <w:tcPr>
            <w:tcW w:w="2646" w:type="pct"/>
            <w:tcBorders>
              <w:top w:val="single" w:sz="6" w:space="0" w:color="auto"/>
            </w:tcBorders>
            <w:vAlign w:val="center"/>
          </w:tcPr>
          <w:p w14:paraId="2498AF72" w14:textId="77777777" w:rsidR="00A10B25" w:rsidRDefault="00A10B25">
            <w:pPr>
              <w:pStyle w:val="TAL"/>
            </w:pPr>
          </w:p>
        </w:tc>
      </w:tr>
    </w:tbl>
    <w:p w14:paraId="6A5CE21D" w14:textId="77777777" w:rsidR="00A10B25" w:rsidRDefault="00A10B25"/>
    <w:p w14:paraId="085B63E8" w14:textId="77777777" w:rsidR="00A10B25" w:rsidRDefault="00A10B25">
      <w:r>
        <w:t>This method shall support the request data structures specified in table 5.3.3.2.3.1-2 and the response data structures and response codes specified in table 5.3.3.2.3.1-3.</w:t>
      </w:r>
    </w:p>
    <w:p w14:paraId="351467F1" w14:textId="77777777" w:rsidR="00A10B25" w:rsidRDefault="00A10B25">
      <w:pPr>
        <w:pStyle w:val="TH"/>
        <w:overflowPunct w:val="0"/>
        <w:autoSpaceDE w:val="0"/>
        <w:autoSpaceDN w:val="0"/>
        <w:adjustRightInd w:val="0"/>
        <w:textAlignment w:val="baseline"/>
        <w:rPr>
          <w:rFonts w:eastAsia="MS Mincho"/>
        </w:rPr>
      </w:pPr>
      <w:r>
        <w:rPr>
          <w:rFonts w:eastAsia="MS Mincho"/>
        </w:rPr>
        <w:t>Table 5.3.3.2.3.1-2: Data structures supported by the POST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CAC01E7" w14:textId="77777777">
        <w:trPr>
          <w:jc w:val="center"/>
        </w:trPr>
        <w:tc>
          <w:tcPr>
            <w:tcW w:w="1612" w:type="dxa"/>
            <w:tcBorders>
              <w:bottom w:val="single" w:sz="6" w:space="0" w:color="auto"/>
            </w:tcBorders>
            <w:shd w:val="clear" w:color="auto" w:fill="C0C0C0"/>
          </w:tcPr>
          <w:p w14:paraId="6AE445EA" w14:textId="77777777" w:rsidR="00A10B25" w:rsidRDefault="00A10B25">
            <w:pPr>
              <w:pStyle w:val="TAH"/>
            </w:pPr>
            <w:r>
              <w:t>Data type</w:t>
            </w:r>
          </w:p>
        </w:tc>
        <w:tc>
          <w:tcPr>
            <w:tcW w:w="422" w:type="dxa"/>
            <w:tcBorders>
              <w:bottom w:val="single" w:sz="6" w:space="0" w:color="auto"/>
            </w:tcBorders>
            <w:shd w:val="clear" w:color="auto" w:fill="C0C0C0"/>
          </w:tcPr>
          <w:p w14:paraId="525B1925" w14:textId="77777777" w:rsidR="00A10B25" w:rsidRDefault="00A10B25">
            <w:pPr>
              <w:pStyle w:val="TAH"/>
            </w:pPr>
            <w:r>
              <w:t>P</w:t>
            </w:r>
          </w:p>
        </w:tc>
        <w:tc>
          <w:tcPr>
            <w:tcW w:w="1264" w:type="dxa"/>
            <w:tcBorders>
              <w:bottom w:val="single" w:sz="6" w:space="0" w:color="auto"/>
            </w:tcBorders>
            <w:shd w:val="clear" w:color="auto" w:fill="C0C0C0"/>
          </w:tcPr>
          <w:p w14:paraId="0BE07317"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3CABFA3E" w14:textId="77777777" w:rsidR="00A10B25" w:rsidRDefault="00A10B25">
            <w:pPr>
              <w:pStyle w:val="TAH"/>
            </w:pPr>
            <w:r>
              <w:t>Description</w:t>
            </w:r>
          </w:p>
        </w:tc>
      </w:tr>
      <w:tr w:rsidR="00A10B25" w14:paraId="1F3594C5" w14:textId="77777777">
        <w:trPr>
          <w:jc w:val="center"/>
        </w:trPr>
        <w:tc>
          <w:tcPr>
            <w:tcW w:w="1612" w:type="dxa"/>
            <w:tcBorders>
              <w:top w:val="single" w:sz="6" w:space="0" w:color="auto"/>
            </w:tcBorders>
          </w:tcPr>
          <w:p w14:paraId="5DD1CB8A" w14:textId="77777777" w:rsidR="00A10B25" w:rsidRDefault="00A10B25">
            <w:pPr>
              <w:pStyle w:val="TAL"/>
            </w:pPr>
            <w:r>
              <w:rPr>
                <w:rFonts w:eastAsia="等线"/>
              </w:rPr>
              <w:t>NnwdafDataManagementSubsc</w:t>
            </w:r>
          </w:p>
        </w:tc>
        <w:tc>
          <w:tcPr>
            <w:tcW w:w="422" w:type="dxa"/>
            <w:tcBorders>
              <w:top w:val="single" w:sz="6" w:space="0" w:color="auto"/>
            </w:tcBorders>
          </w:tcPr>
          <w:p w14:paraId="547A580E" w14:textId="77777777" w:rsidR="00A10B25" w:rsidRDefault="00A10B25">
            <w:pPr>
              <w:pStyle w:val="TAC"/>
            </w:pPr>
            <w:r>
              <w:t>M</w:t>
            </w:r>
          </w:p>
        </w:tc>
        <w:tc>
          <w:tcPr>
            <w:tcW w:w="1264" w:type="dxa"/>
            <w:tcBorders>
              <w:top w:val="single" w:sz="6" w:space="0" w:color="auto"/>
            </w:tcBorders>
          </w:tcPr>
          <w:p w14:paraId="7490F2A4" w14:textId="77777777" w:rsidR="00A10B25" w:rsidRDefault="00A10B25">
            <w:pPr>
              <w:pStyle w:val="TAL"/>
            </w:pPr>
            <w:r>
              <w:t>1</w:t>
            </w:r>
          </w:p>
        </w:tc>
        <w:tc>
          <w:tcPr>
            <w:tcW w:w="6381" w:type="dxa"/>
            <w:tcBorders>
              <w:top w:val="single" w:sz="6" w:space="0" w:color="auto"/>
            </w:tcBorders>
          </w:tcPr>
          <w:p w14:paraId="77B96A72" w14:textId="77777777" w:rsidR="00A10B25" w:rsidRDefault="00A10B25">
            <w:pPr>
              <w:pStyle w:val="TAL"/>
            </w:pPr>
            <w:r>
              <w:t>Create a new Individual NWDAF Data Management Subscription resource.</w:t>
            </w:r>
          </w:p>
        </w:tc>
      </w:tr>
    </w:tbl>
    <w:p w14:paraId="65991F0F" w14:textId="77777777" w:rsidR="00A10B25" w:rsidRDefault="00A10B25"/>
    <w:p w14:paraId="3E4965F4" w14:textId="77777777" w:rsidR="00A10B25" w:rsidRDefault="00A10B25">
      <w:pPr>
        <w:pStyle w:val="TH"/>
        <w:overflowPunct w:val="0"/>
        <w:autoSpaceDE w:val="0"/>
        <w:autoSpaceDN w:val="0"/>
        <w:adjustRightInd w:val="0"/>
        <w:textAlignment w:val="baseline"/>
        <w:rPr>
          <w:rFonts w:eastAsia="MS Mincho"/>
        </w:rPr>
      </w:pPr>
      <w:r>
        <w:rPr>
          <w:rFonts w:eastAsia="MS Mincho"/>
        </w:rPr>
        <w:t>Table 5.3.3.2.3.1-3: Data structures supported by the POST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A10B25" w14:paraId="6B58986D" w14:textId="77777777">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20D923E0" w14:textId="77777777" w:rsidR="00A10B25" w:rsidRDefault="00A10B25">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454200DF" w14:textId="77777777" w:rsidR="00A10B25" w:rsidRDefault="00A10B25">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10284335" w14:textId="77777777" w:rsidR="00A10B25" w:rsidRDefault="00A10B25">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73A6F3B6" w14:textId="77777777" w:rsidR="00A10B25" w:rsidRDefault="00A10B25">
            <w:pPr>
              <w:pStyle w:val="TAH"/>
            </w:pPr>
            <w:r>
              <w:t>Response</w:t>
            </w:r>
          </w:p>
          <w:p w14:paraId="66E07471" w14:textId="77777777" w:rsidR="00A10B25" w:rsidRDefault="00A10B25">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BDFFF79" w14:textId="77777777" w:rsidR="00A10B25" w:rsidRDefault="00A10B25">
            <w:pPr>
              <w:pStyle w:val="TAH"/>
            </w:pPr>
            <w:r>
              <w:t>Description</w:t>
            </w:r>
          </w:p>
        </w:tc>
      </w:tr>
      <w:tr w:rsidR="00A10B25" w14:paraId="61395468"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40DC74C6" w14:textId="77777777" w:rsidR="00A10B25" w:rsidRDefault="00A10B25">
            <w:pPr>
              <w:pStyle w:val="TAL"/>
            </w:pPr>
            <w:r>
              <w:rPr>
                <w:rFonts w:eastAsia="等线"/>
              </w:rPr>
              <w:t>NnwdafDataManagementSubsc</w:t>
            </w:r>
          </w:p>
        </w:tc>
        <w:tc>
          <w:tcPr>
            <w:tcW w:w="185" w:type="pct"/>
            <w:tcBorders>
              <w:top w:val="single" w:sz="6" w:space="0" w:color="auto"/>
              <w:left w:val="single" w:sz="6" w:space="0" w:color="auto"/>
              <w:bottom w:val="single" w:sz="6" w:space="0" w:color="auto"/>
              <w:right w:val="single" w:sz="6" w:space="0" w:color="auto"/>
            </w:tcBorders>
          </w:tcPr>
          <w:p w14:paraId="6478AE6A" w14:textId="77777777" w:rsidR="00A10B25" w:rsidRDefault="00A10B25">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04C7F439" w14:textId="77777777" w:rsidR="00A10B25" w:rsidRDefault="00A10B25">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05F0EEC6" w14:textId="77777777" w:rsidR="00A10B25" w:rsidRDefault="00A10B25">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0704E106" w14:textId="77777777" w:rsidR="00A10B25" w:rsidRDefault="00A10B25">
            <w:pPr>
              <w:pStyle w:val="TAL"/>
            </w:pPr>
            <w:r>
              <w:t>The creation of an Individual NWDAF Data Management Subscription resource is confirmed and a representation of that resource is returned.</w:t>
            </w:r>
          </w:p>
        </w:tc>
      </w:tr>
      <w:tr w:rsidR="00A10B25" w14:paraId="3D0089F6"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6F680095" w14:textId="77777777" w:rsidR="00A10B25" w:rsidRDefault="00A10B25">
            <w:pPr>
              <w:pStyle w:val="TAL"/>
              <w:rPr>
                <w:rFonts w:eastAsia="等线"/>
              </w:rPr>
            </w:pPr>
            <w:r>
              <w:rPr>
                <w:rFonts w:eastAsia="等线"/>
              </w:rPr>
              <w:t>ProblemDetails</w:t>
            </w:r>
          </w:p>
        </w:tc>
        <w:tc>
          <w:tcPr>
            <w:tcW w:w="185" w:type="pct"/>
            <w:tcBorders>
              <w:top w:val="single" w:sz="6" w:space="0" w:color="auto"/>
              <w:left w:val="single" w:sz="6" w:space="0" w:color="auto"/>
              <w:bottom w:val="single" w:sz="6" w:space="0" w:color="auto"/>
              <w:right w:val="single" w:sz="6" w:space="0" w:color="auto"/>
            </w:tcBorders>
          </w:tcPr>
          <w:p w14:paraId="03EB3610" w14:textId="77777777" w:rsidR="00A10B25" w:rsidRDefault="00A10B25">
            <w:pPr>
              <w:pStyle w:val="TAL"/>
              <w:jc w:val="center"/>
              <w:rPr>
                <w:rFonts w:eastAsia="等线"/>
              </w:rPr>
            </w:pPr>
            <w:r>
              <w:t>O</w:t>
            </w:r>
          </w:p>
        </w:tc>
        <w:tc>
          <w:tcPr>
            <w:tcW w:w="605" w:type="pct"/>
            <w:tcBorders>
              <w:top w:val="single" w:sz="6" w:space="0" w:color="auto"/>
              <w:left w:val="single" w:sz="6" w:space="0" w:color="auto"/>
              <w:bottom w:val="single" w:sz="6" w:space="0" w:color="auto"/>
              <w:right w:val="single" w:sz="6" w:space="0" w:color="auto"/>
            </w:tcBorders>
          </w:tcPr>
          <w:p w14:paraId="7185C6DF" w14:textId="77777777" w:rsidR="00A10B25" w:rsidRDefault="00A10B25">
            <w:pPr>
              <w:pStyle w:val="TAL"/>
            </w:pPr>
            <w:r>
              <w:t>0..1</w:t>
            </w:r>
          </w:p>
        </w:tc>
        <w:tc>
          <w:tcPr>
            <w:tcW w:w="539" w:type="pct"/>
            <w:tcBorders>
              <w:top w:val="single" w:sz="6" w:space="0" w:color="auto"/>
              <w:left w:val="single" w:sz="6" w:space="0" w:color="auto"/>
              <w:bottom w:val="single" w:sz="6" w:space="0" w:color="auto"/>
              <w:right w:val="single" w:sz="6" w:space="0" w:color="auto"/>
            </w:tcBorders>
          </w:tcPr>
          <w:p w14:paraId="342B48A8" w14:textId="77777777" w:rsidR="00A10B25" w:rsidRDefault="00A10B25">
            <w:pPr>
              <w:pStyle w:val="TAL"/>
            </w:pPr>
            <w:r>
              <w:t>400 Bad Request</w:t>
            </w:r>
          </w:p>
        </w:tc>
        <w:tc>
          <w:tcPr>
            <w:tcW w:w="2267" w:type="pct"/>
            <w:tcBorders>
              <w:top w:val="single" w:sz="6" w:space="0" w:color="auto"/>
              <w:left w:val="single" w:sz="6" w:space="0" w:color="auto"/>
              <w:bottom w:val="single" w:sz="6" w:space="0" w:color="auto"/>
              <w:right w:val="single" w:sz="6" w:space="0" w:color="auto"/>
            </w:tcBorders>
          </w:tcPr>
          <w:p w14:paraId="7B8F2161" w14:textId="77777777" w:rsidR="00A10B25" w:rsidRDefault="00A10B25">
            <w:pPr>
              <w:pStyle w:val="TAL"/>
            </w:pPr>
            <w:r>
              <w:t>(NOTE 2)</w:t>
            </w:r>
          </w:p>
        </w:tc>
      </w:tr>
      <w:tr w:rsidR="00A10B25" w14:paraId="1C6CDD5A"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58B988CB" w14:textId="77777777" w:rsidR="00A10B25" w:rsidRDefault="00A10B25">
            <w:pPr>
              <w:pStyle w:val="TAL"/>
              <w:rPr>
                <w:rFonts w:eastAsia="等线"/>
              </w:rPr>
            </w:pPr>
            <w:r>
              <w:rPr>
                <w:rFonts w:eastAsia="等线"/>
              </w:rPr>
              <w:t>ProblemDetails</w:t>
            </w:r>
          </w:p>
        </w:tc>
        <w:tc>
          <w:tcPr>
            <w:tcW w:w="185" w:type="pct"/>
            <w:tcBorders>
              <w:top w:val="single" w:sz="6" w:space="0" w:color="auto"/>
              <w:left w:val="single" w:sz="6" w:space="0" w:color="auto"/>
              <w:bottom w:val="single" w:sz="6" w:space="0" w:color="auto"/>
              <w:right w:val="single" w:sz="6" w:space="0" w:color="auto"/>
            </w:tcBorders>
          </w:tcPr>
          <w:p w14:paraId="60C1B933" w14:textId="77777777" w:rsidR="00A10B25" w:rsidRDefault="00A10B25">
            <w:pPr>
              <w:pStyle w:val="TAL"/>
              <w:jc w:val="center"/>
            </w:pPr>
            <w:r>
              <w:t>O</w:t>
            </w:r>
          </w:p>
        </w:tc>
        <w:tc>
          <w:tcPr>
            <w:tcW w:w="605" w:type="pct"/>
            <w:tcBorders>
              <w:top w:val="single" w:sz="6" w:space="0" w:color="auto"/>
              <w:left w:val="single" w:sz="6" w:space="0" w:color="auto"/>
              <w:bottom w:val="single" w:sz="6" w:space="0" w:color="auto"/>
              <w:right w:val="single" w:sz="6" w:space="0" w:color="auto"/>
            </w:tcBorders>
          </w:tcPr>
          <w:p w14:paraId="02EAB11F" w14:textId="77777777" w:rsidR="00A10B25" w:rsidRDefault="00A10B25">
            <w:pPr>
              <w:pStyle w:val="TAL"/>
            </w:pPr>
            <w:r>
              <w:t>0..1</w:t>
            </w:r>
          </w:p>
        </w:tc>
        <w:tc>
          <w:tcPr>
            <w:tcW w:w="539" w:type="pct"/>
            <w:tcBorders>
              <w:top w:val="single" w:sz="6" w:space="0" w:color="auto"/>
              <w:left w:val="single" w:sz="6" w:space="0" w:color="auto"/>
              <w:bottom w:val="single" w:sz="6" w:space="0" w:color="auto"/>
              <w:right w:val="single" w:sz="6" w:space="0" w:color="auto"/>
            </w:tcBorders>
          </w:tcPr>
          <w:p w14:paraId="0099B2B4" w14:textId="77777777" w:rsidR="00A10B25" w:rsidRDefault="00A10B25">
            <w:pPr>
              <w:pStyle w:val="TAL"/>
            </w:pPr>
            <w:r>
              <w:t>403 Forbidden</w:t>
            </w:r>
          </w:p>
        </w:tc>
        <w:tc>
          <w:tcPr>
            <w:tcW w:w="2267" w:type="pct"/>
            <w:tcBorders>
              <w:top w:val="single" w:sz="6" w:space="0" w:color="auto"/>
              <w:left w:val="single" w:sz="6" w:space="0" w:color="auto"/>
              <w:bottom w:val="single" w:sz="6" w:space="0" w:color="auto"/>
              <w:right w:val="single" w:sz="6" w:space="0" w:color="auto"/>
            </w:tcBorders>
          </w:tcPr>
          <w:p w14:paraId="23695EF7" w14:textId="77777777" w:rsidR="00A10B25" w:rsidRDefault="00A10B25">
            <w:pPr>
              <w:pStyle w:val="TAL"/>
            </w:pPr>
            <w:r>
              <w:t>(NOTE 2)</w:t>
            </w:r>
          </w:p>
        </w:tc>
      </w:tr>
      <w:tr w:rsidR="00A10B25" w14:paraId="2A4C1EF5"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1774922A"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6E180386" w14:textId="77777777" w:rsidR="00A10B25" w:rsidRDefault="00A10B25">
            <w:pPr>
              <w:pStyle w:val="TAN"/>
              <w:rPr>
                <w:lang w:val="en-US" w:eastAsia="zh-CN"/>
              </w:rPr>
            </w:pPr>
            <w:r>
              <w:t>NOTE 2:</w:t>
            </w:r>
            <w:r>
              <w:rPr>
                <w:lang w:val="en-US" w:eastAsia="zh-CN"/>
              </w:rPr>
              <w:tab/>
            </w:r>
            <w:r>
              <w:t>Failure cases are described in clause 5.3.7.</w:t>
            </w:r>
          </w:p>
        </w:tc>
      </w:tr>
    </w:tbl>
    <w:p w14:paraId="454C7532" w14:textId="77777777" w:rsidR="00A10B25" w:rsidRDefault="00A10B25"/>
    <w:p w14:paraId="2138D0FD" w14:textId="77777777" w:rsidR="00A10B25" w:rsidRDefault="00A10B25">
      <w:pPr>
        <w:pStyle w:val="TH"/>
      </w:pPr>
      <w:r>
        <w:t>Table</w:t>
      </w:r>
      <w:r>
        <w:rPr>
          <w:lang w:val="en-US" w:eastAsia="zh-CN"/>
        </w:rPr>
        <w:t> </w:t>
      </w:r>
      <w:r>
        <w:rPr>
          <w:rFonts w:eastAsia="MS Mincho"/>
        </w:rPr>
        <w:t>5.3.3.2.3.1</w:t>
      </w:r>
      <w:r>
        <w:t xml:space="preserve">-4: Headers supported by the 201 Response Code on this resource </w:t>
      </w:r>
    </w:p>
    <w:tbl>
      <w:tblPr>
        <w:tblW w:w="0" w:type="auto"/>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3289B8D1" w14:textId="77777777">
        <w:trPr>
          <w:jc w:val="center"/>
        </w:trPr>
        <w:tc>
          <w:tcPr>
            <w:tcW w:w="1832" w:type="dxa"/>
            <w:tcBorders>
              <w:bottom w:val="single" w:sz="6" w:space="0" w:color="auto"/>
            </w:tcBorders>
            <w:shd w:val="clear" w:color="auto" w:fill="C0C0C0"/>
          </w:tcPr>
          <w:p w14:paraId="1BB63AE0" w14:textId="77777777" w:rsidR="00A10B25" w:rsidRDefault="00A10B25">
            <w:pPr>
              <w:pStyle w:val="TAH"/>
            </w:pPr>
            <w:r>
              <w:t>Name</w:t>
            </w:r>
          </w:p>
        </w:tc>
        <w:tc>
          <w:tcPr>
            <w:tcW w:w="1559" w:type="dxa"/>
            <w:tcBorders>
              <w:bottom w:val="single" w:sz="6" w:space="0" w:color="auto"/>
            </w:tcBorders>
            <w:shd w:val="clear" w:color="auto" w:fill="C0C0C0"/>
          </w:tcPr>
          <w:p w14:paraId="38FD695C" w14:textId="77777777" w:rsidR="00A10B25" w:rsidRDefault="00A10B25">
            <w:pPr>
              <w:pStyle w:val="TAH"/>
            </w:pPr>
            <w:r>
              <w:t>Data type</w:t>
            </w:r>
          </w:p>
        </w:tc>
        <w:tc>
          <w:tcPr>
            <w:tcW w:w="426" w:type="dxa"/>
            <w:tcBorders>
              <w:bottom w:val="single" w:sz="6" w:space="0" w:color="auto"/>
            </w:tcBorders>
            <w:shd w:val="clear" w:color="auto" w:fill="C0C0C0"/>
          </w:tcPr>
          <w:p w14:paraId="6CBFBAEC" w14:textId="77777777" w:rsidR="00A10B25" w:rsidRDefault="00A10B25">
            <w:pPr>
              <w:pStyle w:val="TAH"/>
            </w:pPr>
            <w:r>
              <w:t>P</w:t>
            </w:r>
          </w:p>
        </w:tc>
        <w:tc>
          <w:tcPr>
            <w:tcW w:w="1275" w:type="dxa"/>
            <w:tcBorders>
              <w:bottom w:val="single" w:sz="6" w:space="0" w:color="auto"/>
            </w:tcBorders>
            <w:shd w:val="clear" w:color="auto" w:fill="C0C0C0"/>
          </w:tcPr>
          <w:p w14:paraId="1272DB09"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5B499FF1" w14:textId="77777777" w:rsidR="00A10B25" w:rsidRDefault="00A10B25">
            <w:pPr>
              <w:pStyle w:val="TAH"/>
            </w:pPr>
            <w:r>
              <w:t>Description</w:t>
            </w:r>
          </w:p>
        </w:tc>
      </w:tr>
      <w:tr w:rsidR="00A10B25" w14:paraId="6FFD7882" w14:textId="77777777">
        <w:trPr>
          <w:jc w:val="center"/>
        </w:trPr>
        <w:tc>
          <w:tcPr>
            <w:tcW w:w="1832" w:type="dxa"/>
            <w:tcBorders>
              <w:top w:val="single" w:sz="6" w:space="0" w:color="auto"/>
            </w:tcBorders>
          </w:tcPr>
          <w:p w14:paraId="688402B7" w14:textId="77777777" w:rsidR="00A10B25" w:rsidRDefault="00A10B25">
            <w:pPr>
              <w:pStyle w:val="TAL"/>
            </w:pPr>
            <w:r>
              <w:t>Location</w:t>
            </w:r>
          </w:p>
        </w:tc>
        <w:tc>
          <w:tcPr>
            <w:tcW w:w="1559" w:type="dxa"/>
            <w:tcBorders>
              <w:top w:val="single" w:sz="6" w:space="0" w:color="auto"/>
            </w:tcBorders>
          </w:tcPr>
          <w:p w14:paraId="2B6909B0" w14:textId="77777777" w:rsidR="00A10B25" w:rsidRDefault="00A10B25">
            <w:pPr>
              <w:pStyle w:val="TAL"/>
            </w:pPr>
            <w:r>
              <w:t>string</w:t>
            </w:r>
          </w:p>
        </w:tc>
        <w:tc>
          <w:tcPr>
            <w:tcW w:w="426" w:type="dxa"/>
            <w:tcBorders>
              <w:top w:val="single" w:sz="6" w:space="0" w:color="auto"/>
            </w:tcBorders>
          </w:tcPr>
          <w:p w14:paraId="77A56B4B" w14:textId="77777777" w:rsidR="00A10B25" w:rsidRDefault="00A10B25">
            <w:pPr>
              <w:pStyle w:val="TAC"/>
            </w:pPr>
            <w:r>
              <w:t>M</w:t>
            </w:r>
          </w:p>
        </w:tc>
        <w:tc>
          <w:tcPr>
            <w:tcW w:w="1275" w:type="dxa"/>
            <w:tcBorders>
              <w:top w:val="single" w:sz="6" w:space="0" w:color="auto"/>
            </w:tcBorders>
          </w:tcPr>
          <w:p w14:paraId="20120B98" w14:textId="77777777" w:rsidR="00A10B25" w:rsidRDefault="00A10B25">
            <w:pPr>
              <w:pStyle w:val="TAL"/>
            </w:pPr>
            <w:r>
              <w:t>1</w:t>
            </w:r>
          </w:p>
        </w:tc>
        <w:tc>
          <w:tcPr>
            <w:tcW w:w="4524" w:type="dxa"/>
            <w:tcBorders>
              <w:top w:val="single" w:sz="6" w:space="0" w:color="auto"/>
            </w:tcBorders>
            <w:vAlign w:val="center"/>
          </w:tcPr>
          <w:p w14:paraId="6F5376B2" w14:textId="77777777" w:rsidR="00A10B25" w:rsidRDefault="00A10B25">
            <w:pPr>
              <w:pStyle w:val="TAL"/>
            </w:pPr>
            <w:r>
              <w:t>Contains the URI of the newly created resource, according to the structure: {apiRoot}/nnwdaf-datamanagement/&lt;apiVersion&gt;/subscriptions/{subscriptionId}</w:t>
            </w:r>
          </w:p>
        </w:tc>
      </w:tr>
    </w:tbl>
    <w:p w14:paraId="6A04F827" w14:textId="77777777" w:rsidR="00A10B25" w:rsidRDefault="00A10B25"/>
    <w:p w14:paraId="5BB0E3C8" w14:textId="77777777" w:rsidR="00A10B25" w:rsidRDefault="00A10B25">
      <w:pPr>
        <w:pStyle w:val="5"/>
      </w:pPr>
      <w:bookmarkStart w:id="11967" w:name="_Toc145705903"/>
      <w:bookmarkStart w:id="11968" w:name="_Toc148522813"/>
      <w:bookmarkStart w:id="11969" w:name="_Toc113031835"/>
      <w:bookmarkStart w:id="11970" w:name="_Toc112951295"/>
      <w:bookmarkStart w:id="11971" w:name="_Toc136562574"/>
      <w:bookmarkStart w:id="11972" w:name="_Toc114133974"/>
      <w:bookmarkStart w:id="11973" w:name="_Toc101244577"/>
      <w:bookmarkStart w:id="11974" w:name="_Toc138754408"/>
      <w:bookmarkStart w:id="11975" w:name="_Toc120702475"/>
      <w:bookmarkStart w:id="11976" w:name="_Toc98233799"/>
      <w:bookmarkStart w:id="11977" w:name="_Toc104539172"/>
      <w:bookmarkStart w:id="11978" w:name="_Toc164921001"/>
      <w:bookmarkStart w:id="11979" w:name="_Toc170120543"/>
      <w:bookmarkStart w:id="11980" w:name="_Toc175858788"/>
      <w:bookmarkStart w:id="11981" w:name="_Toc175859861"/>
      <w:bookmarkStart w:id="11982" w:name="_Toc180606151"/>
      <w:bookmarkStart w:id="11983" w:name="_Toc185517412"/>
      <w:bookmarkStart w:id="11984" w:name="_Toc191576464"/>
      <w:bookmarkStart w:id="11985" w:name="_Toc191577204"/>
      <w:bookmarkStart w:id="11986" w:name="_Toc192880274"/>
      <w:bookmarkStart w:id="11987" w:name="_Toc195815163"/>
      <w:bookmarkStart w:id="11988" w:name="_Toc199453130"/>
      <w:r>
        <w:t>5.3.3.2.4</w:t>
      </w:r>
      <w:r>
        <w:tab/>
        <w:t>Resource Custom Operations</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2C1F53E9" w14:textId="77777777" w:rsidR="00A10B25" w:rsidRDefault="00A10B25">
      <w:pPr>
        <w:rPr>
          <w:lang w:val="en-US" w:eastAsia="zh-CN"/>
        </w:rPr>
      </w:pPr>
      <w:r>
        <w:t>None in this release of the specification.</w:t>
      </w:r>
    </w:p>
    <w:p w14:paraId="48E2ECD5" w14:textId="77777777" w:rsidR="00A10B25" w:rsidRDefault="00A10B25">
      <w:pPr>
        <w:pStyle w:val="4"/>
      </w:pPr>
      <w:bookmarkStart w:id="11989" w:name="_Toc94064408"/>
      <w:bookmarkStart w:id="11990" w:name="_Toc104539173"/>
      <w:bookmarkStart w:id="11991" w:name="_Toc88667718"/>
      <w:bookmarkStart w:id="11992" w:name="_Toc138754409"/>
      <w:bookmarkStart w:id="11993" w:name="_Toc85553109"/>
      <w:bookmarkStart w:id="11994" w:name="_Toc85557208"/>
      <w:bookmarkStart w:id="11995" w:name="_Toc112951296"/>
      <w:bookmarkStart w:id="11996" w:name="_Toc101244578"/>
      <w:bookmarkStart w:id="11997" w:name="_Toc136562575"/>
      <w:bookmarkStart w:id="11998" w:name="_Toc114133975"/>
      <w:bookmarkStart w:id="11999" w:name="_Toc98233800"/>
      <w:bookmarkStart w:id="12000" w:name="_Toc120702476"/>
      <w:bookmarkStart w:id="12001" w:name="_Toc83233180"/>
      <w:bookmarkStart w:id="12002" w:name="_Toc70550725"/>
      <w:bookmarkStart w:id="12003" w:name="_Toc113031836"/>
      <w:bookmarkStart w:id="12004" w:name="_Toc145705904"/>
      <w:bookmarkStart w:id="12005" w:name="_Toc148522814"/>
      <w:bookmarkStart w:id="12006" w:name="_Toc90656003"/>
      <w:bookmarkStart w:id="12007" w:name="_Toc164921002"/>
      <w:bookmarkStart w:id="12008" w:name="_Toc170120544"/>
      <w:bookmarkStart w:id="12009" w:name="_Toc175858789"/>
      <w:bookmarkStart w:id="12010" w:name="_Toc175859862"/>
      <w:bookmarkStart w:id="12011" w:name="_Toc180606152"/>
      <w:bookmarkStart w:id="12012" w:name="_Toc185517413"/>
      <w:bookmarkStart w:id="12013" w:name="_Toc191576465"/>
      <w:bookmarkStart w:id="12014" w:name="_Toc191577205"/>
      <w:bookmarkStart w:id="12015" w:name="_Toc192880275"/>
      <w:bookmarkStart w:id="12016" w:name="_Toc195815164"/>
      <w:bookmarkStart w:id="12017" w:name="_Toc199453131"/>
      <w:r>
        <w:t>5.3.3.3</w:t>
      </w:r>
      <w:r>
        <w:tab/>
        <w:t>Resource: Individual NWDAF Data Management Subscription</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44A48364" w14:textId="77777777" w:rsidR="00A10B25" w:rsidRDefault="00A10B25">
      <w:pPr>
        <w:pStyle w:val="5"/>
      </w:pPr>
      <w:bookmarkStart w:id="12018" w:name="_Toc145705905"/>
      <w:bookmarkStart w:id="12019" w:name="_Toc101244579"/>
      <w:bookmarkStart w:id="12020" w:name="_Toc136562576"/>
      <w:bookmarkStart w:id="12021" w:name="_Toc120702477"/>
      <w:bookmarkStart w:id="12022" w:name="_Toc112951297"/>
      <w:bookmarkStart w:id="12023" w:name="_Toc148522815"/>
      <w:bookmarkStart w:id="12024" w:name="_Toc104539174"/>
      <w:bookmarkStart w:id="12025" w:name="_Toc98233801"/>
      <w:bookmarkStart w:id="12026" w:name="_Toc114133976"/>
      <w:bookmarkStart w:id="12027" w:name="_Toc138754410"/>
      <w:bookmarkStart w:id="12028" w:name="_Toc113031837"/>
      <w:bookmarkStart w:id="12029" w:name="_Toc164921003"/>
      <w:bookmarkStart w:id="12030" w:name="_Toc170120545"/>
      <w:bookmarkStart w:id="12031" w:name="_Toc175858790"/>
      <w:bookmarkStart w:id="12032" w:name="_Toc175859863"/>
      <w:bookmarkStart w:id="12033" w:name="_Toc180606153"/>
      <w:bookmarkStart w:id="12034" w:name="_Toc185517414"/>
      <w:bookmarkStart w:id="12035" w:name="_Toc191576466"/>
      <w:bookmarkStart w:id="12036" w:name="_Toc191577206"/>
      <w:bookmarkStart w:id="12037" w:name="_Toc192880276"/>
      <w:bookmarkStart w:id="12038" w:name="_Toc195815165"/>
      <w:bookmarkStart w:id="12039" w:name="_Toc199453132"/>
      <w:r>
        <w:t>5.3.3.3.1</w:t>
      </w:r>
      <w:r>
        <w:tab/>
        <w:t>Description</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p>
    <w:p w14:paraId="76516F43" w14:textId="77777777" w:rsidR="00A10B25" w:rsidRDefault="00A10B25">
      <w:r>
        <w:t>The Individual NWDAF Data Management Subscription resource represents a single subscription to the Nnwdaf_DataManagement Service at a given NWDAF.</w:t>
      </w:r>
    </w:p>
    <w:p w14:paraId="2D2658AC" w14:textId="77777777" w:rsidR="00A10B25" w:rsidRDefault="00A10B25">
      <w:pPr>
        <w:pStyle w:val="5"/>
      </w:pPr>
      <w:bookmarkStart w:id="12040" w:name="_Toc112951298"/>
      <w:bookmarkStart w:id="12041" w:name="_Toc98233802"/>
      <w:bookmarkStart w:id="12042" w:name="_Toc113031838"/>
      <w:bookmarkStart w:id="12043" w:name="_Toc148522816"/>
      <w:bookmarkStart w:id="12044" w:name="_Toc120702478"/>
      <w:bookmarkStart w:id="12045" w:name="_Toc138754411"/>
      <w:bookmarkStart w:id="12046" w:name="_Toc114133977"/>
      <w:bookmarkStart w:id="12047" w:name="_Toc101244580"/>
      <w:bookmarkStart w:id="12048" w:name="_Toc145705906"/>
      <w:bookmarkStart w:id="12049" w:name="_Toc104539175"/>
      <w:bookmarkStart w:id="12050" w:name="_Toc136562577"/>
      <w:bookmarkStart w:id="12051" w:name="_Toc164921004"/>
      <w:bookmarkStart w:id="12052" w:name="_Toc170120546"/>
      <w:bookmarkStart w:id="12053" w:name="_Toc175858791"/>
      <w:bookmarkStart w:id="12054" w:name="_Toc175859864"/>
      <w:bookmarkStart w:id="12055" w:name="_Toc180606154"/>
      <w:bookmarkStart w:id="12056" w:name="_Toc185517415"/>
      <w:bookmarkStart w:id="12057" w:name="_Toc191576467"/>
      <w:bookmarkStart w:id="12058" w:name="_Toc191577207"/>
      <w:bookmarkStart w:id="12059" w:name="_Toc192880277"/>
      <w:bookmarkStart w:id="12060" w:name="_Toc195815166"/>
      <w:bookmarkStart w:id="12061" w:name="_Toc199453133"/>
      <w:r>
        <w:lastRenderedPageBreak/>
        <w:t>5.3.3.3.2</w:t>
      </w:r>
      <w:r>
        <w:tab/>
        <w:t>Resource definition</w:t>
      </w:r>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p>
    <w:p w14:paraId="332497BA" w14:textId="77777777" w:rsidR="00A10B25" w:rsidRDefault="00A10B25">
      <w:r>
        <w:t xml:space="preserve">Resource URI: </w:t>
      </w:r>
      <w:r>
        <w:rPr>
          <w:b/>
        </w:rPr>
        <w:t>{apiRoot}/nnwdaf-datamanagement/&lt;apiVersion&gt;/subscriptions/{subscriptionId}</w:t>
      </w:r>
    </w:p>
    <w:p w14:paraId="1DDD7ADC" w14:textId="77777777" w:rsidR="00A10B25" w:rsidRDefault="00A10B25">
      <w:pPr>
        <w:rPr>
          <w:lang w:val="en-US"/>
        </w:rPr>
      </w:pPr>
      <w:r>
        <w:rPr>
          <w:lang w:val="en-US" w:eastAsia="zh-CN"/>
        </w:rPr>
        <w:t>The &lt;apiVersion&gt; shall be set as described in clause</w:t>
      </w:r>
      <w:r>
        <w:rPr>
          <w:lang w:val="en-US" w:eastAsia="zh-CN"/>
        </w:rPr>
        <w:t> 5.3</w:t>
      </w:r>
      <w:r>
        <w:rPr>
          <w:lang w:val="en-US" w:eastAsia="zh-CN"/>
        </w:rPr>
        <w:t>.1</w:t>
      </w:r>
      <w:r>
        <w:rPr>
          <w:lang w:val="en-US" w:eastAsia="zh-CN"/>
        </w:rPr>
        <w:t>.</w:t>
      </w:r>
    </w:p>
    <w:p w14:paraId="54BF1DEA" w14:textId="77777777" w:rsidR="00A10B25" w:rsidRDefault="00A10B25">
      <w:r>
        <w:t>This resource shall support the resource URI variables defined in table 5.3.3.3.2-1</w:t>
      </w:r>
      <w:r>
        <w:rPr>
          <w:rFonts w:ascii="Arial" w:hAnsi="Arial" w:cs="Arial"/>
        </w:rPr>
        <w:t>.</w:t>
      </w:r>
    </w:p>
    <w:p w14:paraId="42EB8B99" w14:textId="77777777" w:rsidR="00A10B25" w:rsidRDefault="00A10B25">
      <w:pPr>
        <w:pStyle w:val="TH"/>
      </w:pPr>
      <w:r>
        <w:t>Table 5.3.3.3.2-1: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72F4E1E7" w14:textId="77777777">
        <w:trPr>
          <w:jc w:val="center"/>
        </w:trPr>
        <w:tc>
          <w:tcPr>
            <w:tcW w:w="639" w:type="pct"/>
            <w:shd w:val="clear" w:color="000000" w:fill="C0C0C0"/>
          </w:tcPr>
          <w:p w14:paraId="61575482" w14:textId="77777777" w:rsidR="00A10B25" w:rsidRDefault="00A10B25">
            <w:pPr>
              <w:pStyle w:val="TAH"/>
            </w:pPr>
            <w:r>
              <w:t>Name</w:t>
            </w:r>
          </w:p>
        </w:tc>
        <w:tc>
          <w:tcPr>
            <w:tcW w:w="846" w:type="pct"/>
            <w:shd w:val="clear" w:color="000000" w:fill="C0C0C0"/>
          </w:tcPr>
          <w:p w14:paraId="6E51D697" w14:textId="77777777" w:rsidR="00A10B25" w:rsidRDefault="00A10B25">
            <w:pPr>
              <w:pStyle w:val="TAH"/>
            </w:pPr>
            <w:r>
              <w:rPr>
                <w:lang w:eastAsia="zh-CN"/>
              </w:rPr>
              <w:t>Data type</w:t>
            </w:r>
          </w:p>
        </w:tc>
        <w:tc>
          <w:tcPr>
            <w:tcW w:w="3515" w:type="pct"/>
            <w:shd w:val="clear" w:color="000000" w:fill="C0C0C0"/>
            <w:vAlign w:val="center"/>
          </w:tcPr>
          <w:p w14:paraId="54A2571D" w14:textId="77777777" w:rsidR="00A10B25" w:rsidRDefault="00A10B25">
            <w:pPr>
              <w:pStyle w:val="TAH"/>
            </w:pPr>
            <w:r>
              <w:t>Definition</w:t>
            </w:r>
          </w:p>
        </w:tc>
      </w:tr>
      <w:tr w:rsidR="00A10B25" w14:paraId="6CF81D53" w14:textId="77777777">
        <w:trPr>
          <w:jc w:val="center"/>
        </w:trPr>
        <w:tc>
          <w:tcPr>
            <w:tcW w:w="639" w:type="pct"/>
          </w:tcPr>
          <w:p w14:paraId="378B4A1D" w14:textId="77777777" w:rsidR="00A10B25" w:rsidRDefault="00A10B25">
            <w:pPr>
              <w:pStyle w:val="TAL"/>
            </w:pPr>
            <w:r>
              <w:t>apiRoot</w:t>
            </w:r>
          </w:p>
        </w:tc>
        <w:tc>
          <w:tcPr>
            <w:tcW w:w="846" w:type="pct"/>
          </w:tcPr>
          <w:p w14:paraId="75A7034A" w14:textId="77777777" w:rsidR="00A10B25" w:rsidRDefault="00A10B25">
            <w:pPr>
              <w:pStyle w:val="TAL"/>
            </w:pPr>
            <w:r>
              <w:t>string</w:t>
            </w:r>
          </w:p>
        </w:tc>
        <w:tc>
          <w:tcPr>
            <w:tcW w:w="3515" w:type="pct"/>
            <w:vAlign w:val="center"/>
          </w:tcPr>
          <w:p w14:paraId="23361609" w14:textId="77777777" w:rsidR="00A10B25" w:rsidRDefault="00A10B25">
            <w:pPr>
              <w:pStyle w:val="TAL"/>
            </w:pPr>
            <w:r>
              <w:t>See clause</w:t>
            </w:r>
            <w:r>
              <w:rPr>
                <w:lang w:val="en-US" w:eastAsia="zh-CN"/>
              </w:rPr>
              <w:t> </w:t>
            </w:r>
            <w:r>
              <w:t>5.3.1</w:t>
            </w:r>
          </w:p>
        </w:tc>
      </w:tr>
      <w:tr w:rsidR="00A10B25" w14:paraId="4AE564EC" w14:textId="77777777">
        <w:trPr>
          <w:jc w:val="center"/>
        </w:trPr>
        <w:tc>
          <w:tcPr>
            <w:tcW w:w="639" w:type="pct"/>
          </w:tcPr>
          <w:p w14:paraId="0589F2FD" w14:textId="77777777" w:rsidR="00A10B25" w:rsidRDefault="00A10B25">
            <w:pPr>
              <w:pStyle w:val="TAL"/>
            </w:pPr>
            <w:r>
              <w:t>subscriptionId</w:t>
            </w:r>
          </w:p>
        </w:tc>
        <w:tc>
          <w:tcPr>
            <w:tcW w:w="846" w:type="pct"/>
          </w:tcPr>
          <w:p w14:paraId="183B94E0" w14:textId="77777777" w:rsidR="00A10B25" w:rsidRDefault="00A10B25">
            <w:pPr>
              <w:pStyle w:val="TAL"/>
              <w:rPr>
                <w:rFonts w:eastAsia="Batang"/>
              </w:rPr>
            </w:pPr>
            <w:r>
              <w:t>string</w:t>
            </w:r>
          </w:p>
        </w:tc>
        <w:tc>
          <w:tcPr>
            <w:tcW w:w="3515" w:type="pct"/>
            <w:vAlign w:val="center"/>
          </w:tcPr>
          <w:p w14:paraId="40CB1B5C" w14:textId="77777777" w:rsidR="00A10B25" w:rsidRDefault="00A10B25">
            <w:pPr>
              <w:pStyle w:val="TAL"/>
            </w:pPr>
            <w:r>
              <w:rPr>
                <w:rFonts w:eastAsia="Batang"/>
              </w:rPr>
              <w:t>Identifies a subscription to the Nnwdaf_DataManagement Service</w:t>
            </w:r>
          </w:p>
        </w:tc>
      </w:tr>
    </w:tbl>
    <w:p w14:paraId="5D5D9D08" w14:textId="77777777" w:rsidR="00A10B25" w:rsidRDefault="00A10B25"/>
    <w:p w14:paraId="6B5E19F0" w14:textId="77777777" w:rsidR="00A10B25" w:rsidRDefault="00A10B25">
      <w:pPr>
        <w:pStyle w:val="5"/>
      </w:pPr>
      <w:bookmarkStart w:id="12062" w:name="_Toc104539176"/>
      <w:bookmarkStart w:id="12063" w:name="_Toc136562578"/>
      <w:bookmarkStart w:id="12064" w:name="_Toc112951299"/>
      <w:bookmarkStart w:id="12065" w:name="_Toc145705907"/>
      <w:bookmarkStart w:id="12066" w:name="_Toc113031839"/>
      <w:bookmarkStart w:id="12067" w:name="_Toc114133978"/>
      <w:bookmarkStart w:id="12068" w:name="_Toc148522817"/>
      <w:bookmarkStart w:id="12069" w:name="_Toc120702479"/>
      <w:bookmarkStart w:id="12070" w:name="_Toc98233803"/>
      <w:bookmarkStart w:id="12071" w:name="_Toc138754412"/>
      <w:bookmarkStart w:id="12072" w:name="_Toc101244581"/>
      <w:bookmarkStart w:id="12073" w:name="_Toc164921005"/>
      <w:bookmarkStart w:id="12074" w:name="_Toc170120547"/>
      <w:bookmarkStart w:id="12075" w:name="_Toc175858792"/>
      <w:bookmarkStart w:id="12076" w:name="_Toc175859865"/>
      <w:bookmarkStart w:id="12077" w:name="_Toc180606155"/>
      <w:bookmarkStart w:id="12078" w:name="_Toc185517416"/>
      <w:bookmarkStart w:id="12079" w:name="_Toc191576468"/>
      <w:bookmarkStart w:id="12080" w:name="_Toc191577208"/>
      <w:bookmarkStart w:id="12081" w:name="_Toc192880278"/>
      <w:bookmarkStart w:id="12082" w:name="_Toc195815167"/>
      <w:bookmarkStart w:id="12083" w:name="_Toc199453134"/>
      <w:r>
        <w:t>5.3.3.3.3</w:t>
      </w:r>
      <w:r>
        <w:tab/>
        <w:t>Resource Standard Methods</w:t>
      </w:r>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14160AD2" w14:textId="77777777" w:rsidR="00A10B25" w:rsidRDefault="00A10B25">
      <w:pPr>
        <w:pStyle w:val="6"/>
      </w:pPr>
      <w:bookmarkStart w:id="12084" w:name="_Toc112951300"/>
      <w:bookmarkStart w:id="12085" w:name="_Toc101244582"/>
      <w:bookmarkStart w:id="12086" w:name="_Toc113031840"/>
      <w:bookmarkStart w:id="12087" w:name="_Toc98233804"/>
      <w:bookmarkStart w:id="12088" w:name="_Toc145705908"/>
      <w:bookmarkStart w:id="12089" w:name="_Toc136562579"/>
      <w:bookmarkStart w:id="12090" w:name="_Toc114133979"/>
      <w:bookmarkStart w:id="12091" w:name="_Toc148522818"/>
      <w:bookmarkStart w:id="12092" w:name="_Toc138754413"/>
      <w:bookmarkStart w:id="12093" w:name="_Toc104539177"/>
      <w:bookmarkStart w:id="12094" w:name="_Toc120702480"/>
      <w:bookmarkStart w:id="12095" w:name="_Toc164921006"/>
      <w:bookmarkStart w:id="12096" w:name="_Toc170120548"/>
      <w:bookmarkStart w:id="12097" w:name="_Toc175858793"/>
      <w:bookmarkStart w:id="12098" w:name="_Toc175859866"/>
      <w:bookmarkStart w:id="12099" w:name="_Toc180606156"/>
      <w:bookmarkStart w:id="12100" w:name="_Toc185517417"/>
      <w:bookmarkStart w:id="12101" w:name="_Toc191576469"/>
      <w:bookmarkStart w:id="12102" w:name="_Toc191577209"/>
      <w:bookmarkStart w:id="12103" w:name="_Toc192880279"/>
      <w:bookmarkStart w:id="12104" w:name="_Toc195815168"/>
      <w:bookmarkStart w:id="12105" w:name="_Toc199453135"/>
      <w:r>
        <w:t>5.3.3.3.3.1</w:t>
      </w:r>
      <w:r>
        <w:tab/>
        <w:t>PUT</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2CA9CCDE" w14:textId="77777777" w:rsidR="00A10B25" w:rsidRDefault="00A10B25">
      <w:pPr>
        <w:rPr>
          <w:rFonts w:eastAsia="等线"/>
        </w:rPr>
      </w:pPr>
      <w:r>
        <w:rPr>
          <w:rFonts w:eastAsia="等线"/>
        </w:rPr>
        <w:t>This method shall support the URI query parameters specified in table 5.3.3.3.3.1-1.</w:t>
      </w:r>
    </w:p>
    <w:p w14:paraId="09252B6E" w14:textId="77777777" w:rsidR="00A10B25" w:rsidRDefault="00A10B25">
      <w:pPr>
        <w:pStyle w:val="TH"/>
        <w:rPr>
          <w:rFonts w:cs="Arial"/>
        </w:rPr>
      </w:pPr>
      <w:r>
        <w:t>Table 5.3.3.3.3.1-1: URI query parameters supported by the PUT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9E7D94D" w14:textId="77777777">
        <w:trPr>
          <w:jc w:val="center"/>
        </w:trPr>
        <w:tc>
          <w:tcPr>
            <w:tcW w:w="825" w:type="pct"/>
            <w:tcBorders>
              <w:bottom w:val="single" w:sz="6" w:space="0" w:color="auto"/>
            </w:tcBorders>
            <w:shd w:val="clear" w:color="auto" w:fill="C0C0C0"/>
          </w:tcPr>
          <w:p w14:paraId="71FFD913" w14:textId="77777777" w:rsidR="00A10B25" w:rsidRDefault="00A10B25">
            <w:pPr>
              <w:pStyle w:val="TAH"/>
            </w:pPr>
            <w:r>
              <w:t>Name</w:t>
            </w:r>
          </w:p>
        </w:tc>
        <w:tc>
          <w:tcPr>
            <w:tcW w:w="732" w:type="pct"/>
            <w:tcBorders>
              <w:bottom w:val="single" w:sz="6" w:space="0" w:color="auto"/>
            </w:tcBorders>
            <w:shd w:val="clear" w:color="auto" w:fill="C0C0C0"/>
          </w:tcPr>
          <w:p w14:paraId="7F379DFE" w14:textId="77777777" w:rsidR="00A10B25" w:rsidRDefault="00A10B25">
            <w:pPr>
              <w:pStyle w:val="TAH"/>
            </w:pPr>
            <w:r>
              <w:t>Data type</w:t>
            </w:r>
          </w:p>
        </w:tc>
        <w:tc>
          <w:tcPr>
            <w:tcW w:w="217" w:type="pct"/>
            <w:tcBorders>
              <w:bottom w:val="single" w:sz="6" w:space="0" w:color="auto"/>
            </w:tcBorders>
            <w:shd w:val="clear" w:color="auto" w:fill="C0C0C0"/>
          </w:tcPr>
          <w:p w14:paraId="13B50F4A" w14:textId="77777777" w:rsidR="00A10B25" w:rsidRDefault="00A10B25">
            <w:pPr>
              <w:pStyle w:val="TAH"/>
            </w:pPr>
            <w:r>
              <w:t>P</w:t>
            </w:r>
          </w:p>
        </w:tc>
        <w:tc>
          <w:tcPr>
            <w:tcW w:w="581" w:type="pct"/>
            <w:tcBorders>
              <w:bottom w:val="single" w:sz="6" w:space="0" w:color="auto"/>
            </w:tcBorders>
            <w:shd w:val="clear" w:color="auto" w:fill="C0C0C0"/>
          </w:tcPr>
          <w:p w14:paraId="241840A8"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51753E67" w14:textId="77777777" w:rsidR="00A10B25" w:rsidRDefault="00A10B25">
            <w:pPr>
              <w:pStyle w:val="TAH"/>
            </w:pPr>
            <w:r>
              <w:t>Description</w:t>
            </w:r>
          </w:p>
        </w:tc>
      </w:tr>
      <w:tr w:rsidR="00A10B25" w14:paraId="2F95347C" w14:textId="77777777">
        <w:trPr>
          <w:jc w:val="center"/>
        </w:trPr>
        <w:tc>
          <w:tcPr>
            <w:tcW w:w="825" w:type="pct"/>
            <w:tcBorders>
              <w:top w:val="single" w:sz="6" w:space="0" w:color="auto"/>
            </w:tcBorders>
          </w:tcPr>
          <w:p w14:paraId="6E881751" w14:textId="77777777" w:rsidR="00A10B25" w:rsidRDefault="00A10B25">
            <w:pPr>
              <w:pStyle w:val="TAL"/>
            </w:pPr>
            <w:r>
              <w:t>n/a</w:t>
            </w:r>
          </w:p>
        </w:tc>
        <w:tc>
          <w:tcPr>
            <w:tcW w:w="732" w:type="pct"/>
            <w:tcBorders>
              <w:top w:val="single" w:sz="6" w:space="0" w:color="auto"/>
            </w:tcBorders>
          </w:tcPr>
          <w:p w14:paraId="75F36F0A" w14:textId="77777777" w:rsidR="00A10B25" w:rsidRDefault="00A10B25">
            <w:pPr>
              <w:pStyle w:val="TAL"/>
            </w:pPr>
          </w:p>
        </w:tc>
        <w:tc>
          <w:tcPr>
            <w:tcW w:w="217" w:type="pct"/>
            <w:tcBorders>
              <w:top w:val="single" w:sz="6" w:space="0" w:color="auto"/>
            </w:tcBorders>
          </w:tcPr>
          <w:p w14:paraId="16F7D323" w14:textId="77777777" w:rsidR="00A10B25" w:rsidRDefault="00A10B25">
            <w:pPr>
              <w:pStyle w:val="TAC"/>
            </w:pPr>
          </w:p>
        </w:tc>
        <w:tc>
          <w:tcPr>
            <w:tcW w:w="581" w:type="pct"/>
            <w:tcBorders>
              <w:top w:val="single" w:sz="6" w:space="0" w:color="auto"/>
            </w:tcBorders>
          </w:tcPr>
          <w:p w14:paraId="3C6BACF9" w14:textId="77777777" w:rsidR="00A10B25" w:rsidRDefault="00A10B25">
            <w:pPr>
              <w:pStyle w:val="TAL"/>
            </w:pPr>
          </w:p>
        </w:tc>
        <w:tc>
          <w:tcPr>
            <w:tcW w:w="2646" w:type="pct"/>
            <w:tcBorders>
              <w:top w:val="single" w:sz="6" w:space="0" w:color="auto"/>
            </w:tcBorders>
            <w:vAlign w:val="center"/>
          </w:tcPr>
          <w:p w14:paraId="09D79C56" w14:textId="77777777" w:rsidR="00A10B25" w:rsidRDefault="00A10B25">
            <w:pPr>
              <w:pStyle w:val="TAL"/>
            </w:pPr>
          </w:p>
        </w:tc>
      </w:tr>
    </w:tbl>
    <w:p w14:paraId="0A0B3717" w14:textId="77777777" w:rsidR="00A10B25" w:rsidRDefault="00A10B25">
      <w:pPr>
        <w:rPr>
          <w:rFonts w:eastAsia="等线"/>
        </w:rPr>
      </w:pPr>
    </w:p>
    <w:p w14:paraId="6B4D301D" w14:textId="77777777" w:rsidR="00A10B25" w:rsidRDefault="00A10B25">
      <w:pPr>
        <w:rPr>
          <w:rFonts w:eastAsia="等线"/>
        </w:rPr>
      </w:pPr>
      <w:r>
        <w:rPr>
          <w:rFonts w:eastAsia="等线"/>
        </w:rPr>
        <w:t>This method shall support the request data structures specified in table 5.3.3.3.3.1-2 and the response data structures and response codes specified in table 5.3.3.3.3.1-3.</w:t>
      </w:r>
    </w:p>
    <w:p w14:paraId="0B3BC2AC" w14:textId="77777777" w:rsidR="00A10B25" w:rsidRDefault="00A10B25">
      <w:pPr>
        <w:pStyle w:val="TH"/>
      </w:pPr>
      <w:r>
        <w:t>Table 5.3.3.3.3.1-2: Data structures supported by the PUT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3D7C1B4B" w14:textId="77777777">
        <w:trPr>
          <w:jc w:val="center"/>
        </w:trPr>
        <w:tc>
          <w:tcPr>
            <w:tcW w:w="2539" w:type="dxa"/>
            <w:tcBorders>
              <w:bottom w:val="single" w:sz="6" w:space="0" w:color="auto"/>
            </w:tcBorders>
            <w:shd w:val="clear" w:color="auto" w:fill="C0C0C0"/>
          </w:tcPr>
          <w:p w14:paraId="0EA7F6F6" w14:textId="77777777" w:rsidR="00A10B25" w:rsidRDefault="00A10B25">
            <w:pPr>
              <w:pStyle w:val="TAH"/>
            </w:pPr>
            <w:r>
              <w:t>Data type</w:t>
            </w:r>
          </w:p>
        </w:tc>
        <w:tc>
          <w:tcPr>
            <w:tcW w:w="450" w:type="dxa"/>
            <w:tcBorders>
              <w:bottom w:val="single" w:sz="6" w:space="0" w:color="auto"/>
            </w:tcBorders>
            <w:shd w:val="clear" w:color="auto" w:fill="C0C0C0"/>
          </w:tcPr>
          <w:p w14:paraId="5CB9F0DD" w14:textId="77777777" w:rsidR="00A10B25" w:rsidRDefault="00A10B25">
            <w:pPr>
              <w:pStyle w:val="TAH"/>
            </w:pPr>
            <w:r>
              <w:t>P</w:t>
            </w:r>
          </w:p>
        </w:tc>
        <w:tc>
          <w:tcPr>
            <w:tcW w:w="1170" w:type="dxa"/>
            <w:tcBorders>
              <w:bottom w:val="single" w:sz="6" w:space="0" w:color="auto"/>
            </w:tcBorders>
            <w:shd w:val="clear" w:color="auto" w:fill="C0C0C0"/>
          </w:tcPr>
          <w:p w14:paraId="645A42A6"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75BBB783" w14:textId="77777777" w:rsidR="00A10B25" w:rsidRDefault="00A10B25">
            <w:pPr>
              <w:pStyle w:val="TAH"/>
            </w:pPr>
            <w:r>
              <w:t>Description</w:t>
            </w:r>
          </w:p>
        </w:tc>
      </w:tr>
      <w:tr w:rsidR="00A10B25" w14:paraId="6A054E2D" w14:textId="77777777">
        <w:trPr>
          <w:jc w:val="center"/>
        </w:trPr>
        <w:tc>
          <w:tcPr>
            <w:tcW w:w="2539" w:type="dxa"/>
            <w:tcBorders>
              <w:top w:val="single" w:sz="6" w:space="0" w:color="auto"/>
            </w:tcBorders>
          </w:tcPr>
          <w:p w14:paraId="5D2FEC14" w14:textId="77777777" w:rsidR="00A10B25" w:rsidRDefault="00A10B25">
            <w:pPr>
              <w:pStyle w:val="TAL"/>
            </w:pPr>
            <w:r>
              <w:rPr>
                <w:rFonts w:eastAsia="等线"/>
              </w:rPr>
              <w:t>NnwdafDataManagementSubsc</w:t>
            </w:r>
          </w:p>
        </w:tc>
        <w:tc>
          <w:tcPr>
            <w:tcW w:w="450" w:type="dxa"/>
            <w:tcBorders>
              <w:top w:val="single" w:sz="6" w:space="0" w:color="auto"/>
            </w:tcBorders>
          </w:tcPr>
          <w:p w14:paraId="1280A152" w14:textId="77777777" w:rsidR="00A10B25" w:rsidRDefault="00A10B25">
            <w:pPr>
              <w:pStyle w:val="TAC"/>
            </w:pPr>
            <w:r>
              <w:t>M</w:t>
            </w:r>
          </w:p>
        </w:tc>
        <w:tc>
          <w:tcPr>
            <w:tcW w:w="1170" w:type="dxa"/>
            <w:tcBorders>
              <w:top w:val="single" w:sz="6" w:space="0" w:color="auto"/>
            </w:tcBorders>
          </w:tcPr>
          <w:p w14:paraId="6BB98966" w14:textId="77777777" w:rsidR="00A10B25" w:rsidRDefault="00A10B25">
            <w:pPr>
              <w:pStyle w:val="TAC"/>
            </w:pPr>
            <w:r>
              <w:t>1</w:t>
            </w:r>
          </w:p>
        </w:tc>
        <w:tc>
          <w:tcPr>
            <w:tcW w:w="5518" w:type="dxa"/>
            <w:tcBorders>
              <w:top w:val="single" w:sz="6" w:space="0" w:color="auto"/>
            </w:tcBorders>
          </w:tcPr>
          <w:p w14:paraId="47D8FA40" w14:textId="77777777" w:rsidR="00A10B25" w:rsidRDefault="00A10B25">
            <w:pPr>
              <w:pStyle w:val="TAL"/>
            </w:pPr>
            <w:r>
              <w:t>Parameters to replace a subscription to NWDAF Data Management Subscription resource.</w:t>
            </w:r>
          </w:p>
        </w:tc>
      </w:tr>
    </w:tbl>
    <w:p w14:paraId="689507E3" w14:textId="77777777" w:rsidR="00A10B25" w:rsidRDefault="00A10B25">
      <w:pPr>
        <w:rPr>
          <w:rFonts w:eastAsia="等线"/>
        </w:rPr>
      </w:pPr>
    </w:p>
    <w:p w14:paraId="385C6CC0" w14:textId="77777777" w:rsidR="003E1F9F" w:rsidRPr="00B0690B" w:rsidRDefault="003E1F9F" w:rsidP="003E1F9F">
      <w:pPr>
        <w:keepNext/>
        <w:keepLines/>
        <w:spacing w:before="60"/>
        <w:jc w:val="center"/>
        <w:rPr>
          <w:rFonts w:ascii="Arial" w:hAnsi="Arial"/>
          <w:b/>
        </w:rPr>
      </w:pPr>
      <w:bookmarkStart w:id="12106" w:name="_Toc113031841"/>
      <w:bookmarkStart w:id="12107" w:name="_Toc120702481"/>
      <w:bookmarkStart w:id="12108" w:name="_Toc114133980"/>
      <w:bookmarkStart w:id="12109" w:name="_Toc104539178"/>
      <w:bookmarkStart w:id="12110" w:name="_Toc101244583"/>
      <w:bookmarkStart w:id="12111" w:name="_Toc112951301"/>
      <w:bookmarkStart w:id="12112" w:name="_Toc98233805"/>
      <w:r w:rsidRPr="00B0690B">
        <w:rPr>
          <w:rFonts w:ascii="Arial" w:hAnsi="Arial"/>
          <w:b/>
        </w:rPr>
        <w:t>Table 5.3.3.3.3.1-3: Data structures supported by the PUT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4"/>
        <w:gridCol w:w="1199"/>
        <w:gridCol w:w="1641"/>
        <w:gridCol w:w="3617"/>
      </w:tblGrid>
      <w:tr w:rsidR="003E1F9F" w:rsidRPr="00B0690B" w14:paraId="3DA937F8"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4CC4E10F"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Data type</w:t>
            </w:r>
          </w:p>
        </w:tc>
        <w:tc>
          <w:tcPr>
            <w:tcW w:w="207" w:type="pct"/>
            <w:tcBorders>
              <w:top w:val="single" w:sz="6" w:space="0" w:color="auto"/>
              <w:left w:val="single" w:sz="6" w:space="0" w:color="auto"/>
              <w:bottom w:val="single" w:sz="6" w:space="0" w:color="auto"/>
              <w:right w:val="single" w:sz="6" w:space="0" w:color="auto"/>
            </w:tcBorders>
            <w:shd w:val="clear" w:color="auto" w:fill="C0C0C0"/>
          </w:tcPr>
          <w:p w14:paraId="37FAD816"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2D40A374"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23CB5C5A"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4BA2BFE9" w14:textId="77777777" w:rsidR="003E1F9F" w:rsidRPr="00B0690B" w:rsidRDefault="003E1F9F" w:rsidP="005A20DD">
            <w:pPr>
              <w:keepNext/>
              <w:keepLines/>
              <w:spacing w:after="0"/>
              <w:jc w:val="center"/>
              <w:rPr>
                <w:rFonts w:ascii="Arial" w:hAnsi="Arial"/>
                <w:b/>
                <w:sz w:val="18"/>
              </w:rPr>
            </w:pPr>
            <w:r w:rsidRPr="00B0690B">
              <w:rPr>
                <w:rFonts w:ascii="Arial" w:hAnsi="Arial"/>
                <w:b/>
                <w:sz w:val="18"/>
              </w:rPr>
              <w:t>Description</w:t>
            </w:r>
          </w:p>
        </w:tc>
      </w:tr>
      <w:tr w:rsidR="003E1F9F" w:rsidRPr="00B0690B" w14:paraId="3AADC556"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FD4F545" w14:textId="77777777" w:rsidR="003E1F9F" w:rsidRPr="00B0690B" w:rsidRDefault="003E1F9F" w:rsidP="005A20DD">
            <w:pPr>
              <w:keepNext/>
              <w:keepLines/>
              <w:spacing w:after="0"/>
              <w:rPr>
                <w:rFonts w:ascii="Arial" w:hAnsi="Arial"/>
                <w:sz w:val="18"/>
              </w:rPr>
            </w:pPr>
            <w:r w:rsidRPr="00B0690B">
              <w:rPr>
                <w:rFonts w:ascii="Arial" w:eastAsia="等线" w:hAnsi="Arial"/>
                <w:sz w:val="18"/>
              </w:rPr>
              <w:t>NnwdafDataManagementSubsc</w:t>
            </w:r>
          </w:p>
        </w:tc>
        <w:tc>
          <w:tcPr>
            <w:tcW w:w="207" w:type="pct"/>
            <w:tcBorders>
              <w:top w:val="single" w:sz="6" w:space="0" w:color="auto"/>
              <w:left w:val="single" w:sz="6" w:space="0" w:color="auto"/>
              <w:bottom w:val="single" w:sz="6" w:space="0" w:color="auto"/>
              <w:right w:val="single" w:sz="6" w:space="0" w:color="auto"/>
            </w:tcBorders>
          </w:tcPr>
          <w:p w14:paraId="47D2192E" w14:textId="77777777" w:rsidR="003E1F9F" w:rsidRPr="00B0690B" w:rsidRDefault="003E1F9F" w:rsidP="005A20DD">
            <w:pPr>
              <w:keepNext/>
              <w:keepLines/>
              <w:spacing w:after="0"/>
              <w:jc w:val="center"/>
              <w:rPr>
                <w:rFonts w:ascii="Arial" w:hAnsi="Arial"/>
                <w:sz w:val="18"/>
              </w:rPr>
            </w:pPr>
            <w:r w:rsidRPr="00B0690B">
              <w:rPr>
                <w:rFonts w:ascii="Arial" w:hAnsi="Arial"/>
                <w:sz w:val="18"/>
              </w:rPr>
              <w:t>M</w:t>
            </w:r>
          </w:p>
        </w:tc>
        <w:tc>
          <w:tcPr>
            <w:tcW w:w="629" w:type="pct"/>
            <w:tcBorders>
              <w:top w:val="single" w:sz="6" w:space="0" w:color="auto"/>
              <w:left w:val="single" w:sz="6" w:space="0" w:color="auto"/>
              <w:bottom w:val="single" w:sz="6" w:space="0" w:color="auto"/>
              <w:right w:val="single" w:sz="6" w:space="0" w:color="auto"/>
            </w:tcBorders>
          </w:tcPr>
          <w:p w14:paraId="621CCDA1" w14:textId="77777777" w:rsidR="003E1F9F" w:rsidRPr="00B0690B" w:rsidRDefault="003E1F9F" w:rsidP="005A20DD">
            <w:pPr>
              <w:keepNext/>
              <w:keepLines/>
              <w:spacing w:after="0"/>
              <w:jc w:val="center"/>
              <w:rPr>
                <w:rFonts w:ascii="Arial" w:hAnsi="Arial"/>
                <w:sz w:val="18"/>
              </w:rPr>
            </w:pPr>
            <w:r w:rsidRPr="00B0690B">
              <w:rPr>
                <w:rFonts w:ascii="Arial" w:hAnsi="Arial"/>
                <w:sz w:val="18"/>
              </w:rPr>
              <w:t>1</w:t>
            </w:r>
          </w:p>
        </w:tc>
        <w:tc>
          <w:tcPr>
            <w:tcW w:w="861" w:type="pct"/>
            <w:tcBorders>
              <w:top w:val="single" w:sz="6" w:space="0" w:color="auto"/>
              <w:left w:val="single" w:sz="6" w:space="0" w:color="auto"/>
              <w:bottom w:val="single" w:sz="6" w:space="0" w:color="auto"/>
              <w:right w:val="single" w:sz="6" w:space="0" w:color="auto"/>
            </w:tcBorders>
          </w:tcPr>
          <w:p w14:paraId="0609841D" w14:textId="77777777" w:rsidR="003E1F9F" w:rsidRPr="00B0690B" w:rsidRDefault="003E1F9F" w:rsidP="005A20DD">
            <w:pPr>
              <w:keepNext/>
              <w:keepLines/>
              <w:spacing w:after="0"/>
              <w:rPr>
                <w:rFonts w:ascii="Arial" w:hAnsi="Arial"/>
                <w:sz w:val="18"/>
              </w:rPr>
            </w:pPr>
            <w:r w:rsidRPr="00B0690B">
              <w:rPr>
                <w:rFonts w:ascii="Arial" w:hAnsi="Arial"/>
                <w:sz w:val="18"/>
              </w:rPr>
              <w:t>200 OK</w:t>
            </w:r>
          </w:p>
        </w:tc>
        <w:tc>
          <w:tcPr>
            <w:tcW w:w="1897" w:type="pct"/>
            <w:tcBorders>
              <w:top w:val="single" w:sz="6" w:space="0" w:color="auto"/>
              <w:left w:val="single" w:sz="6" w:space="0" w:color="auto"/>
              <w:bottom w:val="single" w:sz="6" w:space="0" w:color="auto"/>
              <w:right w:val="single" w:sz="6" w:space="0" w:color="auto"/>
            </w:tcBorders>
          </w:tcPr>
          <w:p w14:paraId="361E1238" w14:textId="77777777" w:rsidR="003E1F9F" w:rsidRPr="00B0690B" w:rsidRDefault="003E1F9F" w:rsidP="005A20DD">
            <w:pPr>
              <w:keepNext/>
              <w:keepLines/>
              <w:spacing w:after="0"/>
              <w:rPr>
                <w:rFonts w:ascii="Arial" w:hAnsi="Arial"/>
                <w:sz w:val="18"/>
              </w:rPr>
            </w:pPr>
            <w:r w:rsidRPr="00B0690B">
              <w:rPr>
                <w:rFonts w:ascii="Arial" w:hAnsi="Arial"/>
                <w:sz w:val="18"/>
              </w:rPr>
              <w:t>The Individual NWDAF Data Management Subscription resource was modified successfully and a representation of that resource is returned.</w:t>
            </w:r>
          </w:p>
        </w:tc>
      </w:tr>
      <w:tr w:rsidR="003E1F9F" w:rsidRPr="00B0690B" w14:paraId="48CB1EE9"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77849A9" w14:textId="77777777" w:rsidR="003E1F9F" w:rsidRPr="00B0690B" w:rsidRDefault="003E1F9F" w:rsidP="005A20DD">
            <w:pPr>
              <w:keepNext/>
              <w:keepLines/>
              <w:spacing w:after="0"/>
              <w:rPr>
                <w:rFonts w:ascii="Arial" w:eastAsia="等线" w:hAnsi="Arial"/>
                <w:sz w:val="18"/>
                <w:lang w:eastAsia="zh-CN"/>
              </w:rPr>
            </w:pPr>
            <w:r w:rsidRPr="00B0690B">
              <w:rPr>
                <w:rFonts w:ascii="Arial" w:eastAsia="等线" w:hAnsi="Arial"/>
                <w:sz w:val="18"/>
                <w:lang w:eastAsia="zh-CN"/>
              </w:rPr>
              <w:t>n/a</w:t>
            </w:r>
          </w:p>
        </w:tc>
        <w:tc>
          <w:tcPr>
            <w:tcW w:w="207" w:type="pct"/>
            <w:tcBorders>
              <w:top w:val="single" w:sz="6" w:space="0" w:color="auto"/>
              <w:left w:val="single" w:sz="6" w:space="0" w:color="auto"/>
              <w:bottom w:val="single" w:sz="6" w:space="0" w:color="auto"/>
              <w:right w:val="single" w:sz="6" w:space="0" w:color="auto"/>
            </w:tcBorders>
          </w:tcPr>
          <w:p w14:paraId="1CAEB4EF" w14:textId="77777777" w:rsidR="003E1F9F" w:rsidRPr="00B0690B" w:rsidRDefault="003E1F9F" w:rsidP="005A20DD">
            <w:pPr>
              <w:keepNext/>
              <w:keepLines/>
              <w:spacing w:after="0"/>
              <w:jc w:val="center"/>
              <w:rPr>
                <w:rFonts w:ascii="Arial" w:eastAsia="等线" w:hAnsi="Arial"/>
                <w:sz w:val="18"/>
              </w:rPr>
            </w:pPr>
          </w:p>
        </w:tc>
        <w:tc>
          <w:tcPr>
            <w:tcW w:w="629" w:type="pct"/>
            <w:tcBorders>
              <w:top w:val="single" w:sz="6" w:space="0" w:color="auto"/>
              <w:left w:val="single" w:sz="6" w:space="0" w:color="auto"/>
              <w:bottom w:val="single" w:sz="6" w:space="0" w:color="auto"/>
              <w:right w:val="single" w:sz="6" w:space="0" w:color="auto"/>
            </w:tcBorders>
          </w:tcPr>
          <w:p w14:paraId="755FF4CF" w14:textId="77777777" w:rsidR="003E1F9F" w:rsidRPr="00B0690B" w:rsidRDefault="003E1F9F" w:rsidP="005A20DD">
            <w:pPr>
              <w:keepNext/>
              <w:keepLines/>
              <w:spacing w:after="0"/>
              <w:jc w:val="center"/>
              <w:rPr>
                <w:rFonts w:ascii="Arial" w:hAnsi="Arial"/>
                <w:sz w:val="18"/>
              </w:rPr>
            </w:pPr>
          </w:p>
        </w:tc>
        <w:tc>
          <w:tcPr>
            <w:tcW w:w="861" w:type="pct"/>
            <w:tcBorders>
              <w:top w:val="single" w:sz="6" w:space="0" w:color="auto"/>
              <w:left w:val="single" w:sz="6" w:space="0" w:color="auto"/>
              <w:bottom w:val="single" w:sz="6" w:space="0" w:color="auto"/>
              <w:right w:val="single" w:sz="6" w:space="0" w:color="auto"/>
            </w:tcBorders>
          </w:tcPr>
          <w:p w14:paraId="7D3FAE0B" w14:textId="77777777" w:rsidR="003E1F9F" w:rsidRPr="00B0690B" w:rsidRDefault="003E1F9F" w:rsidP="005A20DD">
            <w:pPr>
              <w:keepNext/>
              <w:keepLines/>
              <w:spacing w:after="0"/>
              <w:rPr>
                <w:rFonts w:ascii="Arial" w:hAnsi="Arial"/>
                <w:sz w:val="18"/>
              </w:rPr>
            </w:pPr>
            <w:r w:rsidRPr="00B0690B">
              <w:rPr>
                <w:rFonts w:ascii="Arial" w:hAnsi="Arial"/>
                <w:sz w:val="18"/>
              </w:rPr>
              <w:t>204 No Content</w:t>
            </w:r>
          </w:p>
        </w:tc>
        <w:tc>
          <w:tcPr>
            <w:tcW w:w="1897" w:type="pct"/>
            <w:tcBorders>
              <w:top w:val="single" w:sz="6" w:space="0" w:color="auto"/>
              <w:left w:val="single" w:sz="6" w:space="0" w:color="auto"/>
              <w:bottom w:val="single" w:sz="6" w:space="0" w:color="auto"/>
              <w:right w:val="single" w:sz="6" w:space="0" w:color="auto"/>
            </w:tcBorders>
          </w:tcPr>
          <w:p w14:paraId="0F04DE26" w14:textId="77777777" w:rsidR="003E1F9F" w:rsidRPr="00B0690B" w:rsidRDefault="003E1F9F" w:rsidP="005A20DD">
            <w:pPr>
              <w:keepNext/>
              <w:keepLines/>
              <w:spacing w:after="0"/>
              <w:rPr>
                <w:rFonts w:ascii="Arial" w:hAnsi="Arial"/>
                <w:sz w:val="18"/>
              </w:rPr>
            </w:pPr>
            <w:r w:rsidRPr="00B0690B">
              <w:rPr>
                <w:rFonts w:ascii="Arial" w:hAnsi="Arial"/>
                <w:sz w:val="18"/>
              </w:rPr>
              <w:t>The Individual NWDAF Data Management Subscription resource was modified successfully.</w:t>
            </w:r>
          </w:p>
        </w:tc>
      </w:tr>
      <w:tr w:rsidR="003E1F9F" w:rsidRPr="00B0690B" w14:paraId="1DA91C04"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36DB8F2" w14:textId="77777777" w:rsidR="003E1F9F" w:rsidRPr="00B0690B" w:rsidRDefault="003E1F9F" w:rsidP="005A20DD">
            <w:pPr>
              <w:keepNext/>
              <w:keepLines/>
              <w:spacing w:after="0"/>
              <w:rPr>
                <w:rFonts w:ascii="Arial" w:eastAsia="等线" w:hAnsi="Arial"/>
                <w:sz w:val="18"/>
                <w:lang w:eastAsia="zh-CN"/>
              </w:rPr>
            </w:pPr>
            <w:r w:rsidRPr="00B0690B">
              <w:rPr>
                <w:rFonts w:ascii="Arial" w:hAnsi="Arial"/>
                <w:sz w:val="18"/>
              </w:rPr>
              <w:t>RedirectResponse</w:t>
            </w:r>
          </w:p>
        </w:tc>
        <w:tc>
          <w:tcPr>
            <w:tcW w:w="207" w:type="pct"/>
            <w:tcBorders>
              <w:top w:val="single" w:sz="6" w:space="0" w:color="auto"/>
              <w:left w:val="single" w:sz="6" w:space="0" w:color="auto"/>
              <w:bottom w:val="single" w:sz="6" w:space="0" w:color="auto"/>
              <w:right w:val="single" w:sz="6" w:space="0" w:color="auto"/>
            </w:tcBorders>
          </w:tcPr>
          <w:p w14:paraId="135CEFC3" w14:textId="77777777" w:rsidR="003E1F9F" w:rsidRPr="00B0690B" w:rsidRDefault="003E1F9F" w:rsidP="005A20DD">
            <w:pPr>
              <w:keepNext/>
              <w:keepLines/>
              <w:spacing w:after="0"/>
              <w:jc w:val="center"/>
              <w:rPr>
                <w:rFonts w:ascii="Arial" w:eastAsia="等线"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F66C921"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553EE728" w14:textId="77777777" w:rsidR="003E1F9F" w:rsidRPr="00B0690B" w:rsidRDefault="003E1F9F" w:rsidP="005A20DD">
            <w:pPr>
              <w:keepNext/>
              <w:keepLines/>
              <w:spacing w:after="0"/>
              <w:rPr>
                <w:rFonts w:ascii="Arial" w:hAnsi="Arial"/>
                <w:sz w:val="18"/>
              </w:rPr>
            </w:pPr>
            <w:r w:rsidRPr="00B0690B">
              <w:rPr>
                <w:rFonts w:ascii="Arial" w:hAnsi="Arial"/>
                <w:sz w:val="18"/>
              </w:rPr>
              <w:t>307 Temporary Redirect</w:t>
            </w:r>
          </w:p>
        </w:tc>
        <w:tc>
          <w:tcPr>
            <w:tcW w:w="1897" w:type="pct"/>
            <w:tcBorders>
              <w:top w:val="single" w:sz="6" w:space="0" w:color="auto"/>
              <w:left w:val="single" w:sz="6" w:space="0" w:color="auto"/>
              <w:bottom w:val="single" w:sz="6" w:space="0" w:color="auto"/>
              <w:right w:val="single" w:sz="6" w:space="0" w:color="auto"/>
            </w:tcBorders>
          </w:tcPr>
          <w:p w14:paraId="6936C039" w14:textId="77777777" w:rsidR="003E1F9F" w:rsidRPr="00B0690B" w:rsidRDefault="003E1F9F" w:rsidP="005A20DD">
            <w:pPr>
              <w:keepNext/>
              <w:keepLines/>
              <w:spacing w:after="0"/>
              <w:rPr>
                <w:rFonts w:ascii="Arial" w:hAnsi="Arial"/>
                <w:sz w:val="18"/>
              </w:rPr>
            </w:pPr>
            <w:r w:rsidRPr="00B0690B">
              <w:rPr>
                <w:rFonts w:ascii="Arial" w:hAnsi="Arial"/>
                <w:sz w:val="18"/>
              </w:rPr>
              <w:t>Temporary redirection, during Individual NWDAF Data Management Subscription modification.</w:t>
            </w:r>
          </w:p>
          <w:p w14:paraId="74792A9D" w14:textId="77777777" w:rsidR="003E1F9F" w:rsidRPr="00B0690B" w:rsidRDefault="003E1F9F" w:rsidP="005A20DD">
            <w:pPr>
              <w:keepNext/>
              <w:keepLines/>
              <w:spacing w:after="0"/>
              <w:rPr>
                <w:rFonts w:ascii="Arial" w:hAnsi="Arial"/>
                <w:sz w:val="18"/>
              </w:rPr>
            </w:pPr>
          </w:p>
          <w:p w14:paraId="6764B60E" w14:textId="77777777" w:rsidR="003E1F9F" w:rsidRPr="00B0690B" w:rsidRDefault="003E1F9F" w:rsidP="005A20DD">
            <w:pPr>
              <w:keepNext/>
              <w:keepLines/>
              <w:spacing w:after="0"/>
              <w:rPr>
                <w:rFonts w:ascii="Arial" w:hAnsi="Arial"/>
                <w:sz w:val="18"/>
              </w:rPr>
            </w:pPr>
            <w:r w:rsidRPr="00B0690B">
              <w:rPr>
                <w:rFonts w:ascii="Arial" w:hAnsi="Arial"/>
                <w:sz w:val="18"/>
              </w:rPr>
              <w:t>(NOTE 3)</w:t>
            </w:r>
          </w:p>
        </w:tc>
      </w:tr>
      <w:tr w:rsidR="003E1F9F" w:rsidRPr="00B0690B" w14:paraId="275CEFCC"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7BA492A0" w14:textId="77777777" w:rsidR="003E1F9F" w:rsidRPr="00B0690B" w:rsidRDefault="003E1F9F" w:rsidP="005A20DD">
            <w:pPr>
              <w:keepNext/>
              <w:keepLines/>
              <w:spacing w:after="0"/>
              <w:rPr>
                <w:rFonts w:ascii="Arial" w:eastAsia="等线" w:hAnsi="Arial"/>
                <w:sz w:val="18"/>
                <w:lang w:eastAsia="zh-CN"/>
              </w:rPr>
            </w:pPr>
            <w:r w:rsidRPr="00B0690B">
              <w:rPr>
                <w:rFonts w:ascii="Arial" w:hAnsi="Arial"/>
                <w:sz w:val="18"/>
              </w:rPr>
              <w:t>RedirectResponse</w:t>
            </w:r>
          </w:p>
        </w:tc>
        <w:tc>
          <w:tcPr>
            <w:tcW w:w="207" w:type="pct"/>
            <w:tcBorders>
              <w:top w:val="single" w:sz="6" w:space="0" w:color="auto"/>
              <w:left w:val="single" w:sz="6" w:space="0" w:color="auto"/>
              <w:bottom w:val="single" w:sz="6" w:space="0" w:color="auto"/>
              <w:right w:val="single" w:sz="6" w:space="0" w:color="auto"/>
            </w:tcBorders>
          </w:tcPr>
          <w:p w14:paraId="739A07C5" w14:textId="77777777" w:rsidR="003E1F9F" w:rsidRPr="00B0690B" w:rsidRDefault="003E1F9F" w:rsidP="005A20DD">
            <w:pPr>
              <w:keepNext/>
              <w:keepLines/>
              <w:spacing w:after="0"/>
              <w:jc w:val="center"/>
              <w:rPr>
                <w:rFonts w:ascii="Arial" w:eastAsia="等线"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7729164F"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7E49DDBD" w14:textId="77777777" w:rsidR="003E1F9F" w:rsidRPr="00B0690B" w:rsidRDefault="003E1F9F" w:rsidP="005A20DD">
            <w:pPr>
              <w:keepNext/>
              <w:keepLines/>
              <w:spacing w:after="0"/>
              <w:rPr>
                <w:rFonts w:ascii="Arial" w:hAnsi="Arial"/>
                <w:sz w:val="18"/>
              </w:rPr>
            </w:pPr>
            <w:r w:rsidRPr="00B0690B">
              <w:rPr>
                <w:rFonts w:ascii="Arial" w:hAnsi="Arial"/>
                <w:sz w:val="18"/>
              </w:rPr>
              <w:t>308 Permanent Redirect</w:t>
            </w:r>
          </w:p>
        </w:tc>
        <w:tc>
          <w:tcPr>
            <w:tcW w:w="1897" w:type="pct"/>
            <w:tcBorders>
              <w:top w:val="single" w:sz="6" w:space="0" w:color="auto"/>
              <w:left w:val="single" w:sz="6" w:space="0" w:color="auto"/>
              <w:bottom w:val="single" w:sz="6" w:space="0" w:color="auto"/>
              <w:right w:val="single" w:sz="6" w:space="0" w:color="auto"/>
            </w:tcBorders>
          </w:tcPr>
          <w:p w14:paraId="72CCA467" w14:textId="77777777" w:rsidR="003E1F9F" w:rsidRPr="00B0690B" w:rsidRDefault="003E1F9F" w:rsidP="005A20DD">
            <w:pPr>
              <w:keepNext/>
              <w:keepLines/>
              <w:spacing w:after="0"/>
              <w:rPr>
                <w:rFonts w:ascii="Arial" w:hAnsi="Arial"/>
                <w:sz w:val="18"/>
              </w:rPr>
            </w:pPr>
            <w:r w:rsidRPr="00B0690B">
              <w:rPr>
                <w:rFonts w:ascii="Arial" w:hAnsi="Arial"/>
                <w:sz w:val="18"/>
              </w:rPr>
              <w:t>Permanent redirection, during Individual NWDAF Data Management Subscription modification.</w:t>
            </w:r>
          </w:p>
          <w:p w14:paraId="2FCBF04A" w14:textId="77777777" w:rsidR="003E1F9F" w:rsidRPr="00B0690B" w:rsidRDefault="003E1F9F" w:rsidP="005A20DD">
            <w:pPr>
              <w:keepNext/>
              <w:keepLines/>
              <w:spacing w:after="0"/>
              <w:rPr>
                <w:rFonts w:ascii="Arial" w:hAnsi="Arial"/>
                <w:sz w:val="18"/>
              </w:rPr>
            </w:pPr>
          </w:p>
          <w:p w14:paraId="3DCE1DE0" w14:textId="77777777" w:rsidR="003E1F9F" w:rsidRPr="00B0690B" w:rsidRDefault="003E1F9F" w:rsidP="005A20DD">
            <w:pPr>
              <w:keepNext/>
              <w:keepLines/>
              <w:spacing w:after="0"/>
              <w:rPr>
                <w:rFonts w:ascii="Arial" w:hAnsi="Arial"/>
                <w:sz w:val="18"/>
              </w:rPr>
            </w:pPr>
            <w:r w:rsidRPr="00B0690B">
              <w:rPr>
                <w:rFonts w:ascii="Arial" w:hAnsi="Arial"/>
                <w:sz w:val="18"/>
              </w:rPr>
              <w:t>(NOTE 3)</w:t>
            </w:r>
          </w:p>
        </w:tc>
      </w:tr>
      <w:tr w:rsidR="003E1F9F" w:rsidRPr="00B0690B" w14:paraId="611E4894"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3681B49" w14:textId="77777777" w:rsidR="003E1F9F" w:rsidRPr="00B0690B" w:rsidRDefault="003E1F9F" w:rsidP="005A20DD">
            <w:pPr>
              <w:keepNext/>
              <w:keepLines/>
              <w:spacing w:after="0"/>
              <w:rPr>
                <w:rFonts w:ascii="Arial" w:hAnsi="Arial"/>
                <w:sz w:val="18"/>
              </w:rPr>
            </w:pPr>
            <w:r w:rsidRPr="00B0690B">
              <w:rPr>
                <w:rFonts w:ascii="Arial" w:eastAsia="等线" w:hAnsi="Arial"/>
                <w:sz w:val="18"/>
              </w:rPr>
              <w:t>ProblemDetails</w:t>
            </w:r>
          </w:p>
        </w:tc>
        <w:tc>
          <w:tcPr>
            <w:tcW w:w="207" w:type="pct"/>
            <w:tcBorders>
              <w:top w:val="single" w:sz="6" w:space="0" w:color="auto"/>
              <w:left w:val="single" w:sz="6" w:space="0" w:color="auto"/>
              <w:bottom w:val="single" w:sz="6" w:space="0" w:color="auto"/>
              <w:right w:val="single" w:sz="6" w:space="0" w:color="auto"/>
            </w:tcBorders>
          </w:tcPr>
          <w:p w14:paraId="3BEB7F82" w14:textId="77777777" w:rsidR="003E1F9F" w:rsidRPr="00B0690B" w:rsidRDefault="003E1F9F" w:rsidP="005A20DD">
            <w:pPr>
              <w:keepNext/>
              <w:keepLines/>
              <w:spacing w:after="0"/>
              <w:jc w:val="center"/>
              <w:rPr>
                <w:rFonts w:ascii="Arial"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54877CB6"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6CC82DD4" w14:textId="77777777" w:rsidR="003E1F9F" w:rsidRPr="00B0690B" w:rsidRDefault="003E1F9F" w:rsidP="005A20DD">
            <w:pPr>
              <w:keepNext/>
              <w:keepLines/>
              <w:spacing w:after="0"/>
              <w:rPr>
                <w:rFonts w:ascii="Arial" w:hAnsi="Arial"/>
                <w:sz w:val="18"/>
              </w:rPr>
            </w:pPr>
            <w:r w:rsidRPr="00B0690B">
              <w:rPr>
                <w:rFonts w:ascii="Arial" w:hAnsi="Arial"/>
                <w:sz w:val="18"/>
              </w:rPr>
              <w:t>400 Bad Request</w:t>
            </w:r>
          </w:p>
        </w:tc>
        <w:tc>
          <w:tcPr>
            <w:tcW w:w="1897" w:type="pct"/>
            <w:tcBorders>
              <w:top w:val="single" w:sz="6" w:space="0" w:color="auto"/>
              <w:left w:val="single" w:sz="6" w:space="0" w:color="auto"/>
              <w:bottom w:val="single" w:sz="6" w:space="0" w:color="auto"/>
              <w:right w:val="single" w:sz="6" w:space="0" w:color="auto"/>
            </w:tcBorders>
          </w:tcPr>
          <w:p w14:paraId="56930471" w14:textId="77777777" w:rsidR="003E1F9F" w:rsidRPr="00B0690B" w:rsidRDefault="003E1F9F" w:rsidP="005A20DD">
            <w:pPr>
              <w:keepNext/>
              <w:keepLines/>
              <w:spacing w:after="0"/>
              <w:rPr>
                <w:rFonts w:ascii="Arial" w:hAnsi="Arial"/>
                <w:sz w:val="18"/>
              </w:rPr>
            </w:pPr>
            <w:r w:rsidRPr="00B0690B">
              <w:rPr>
                <w:rFonts w:ascii="Arial" w:hAnsi="Arial"/>
                <w:sz w:val="18"/>
              </w:rPr>
              <w:t>(NOTE 2)</w:t>
            </w:r>
          </w:p>
        </w:tc>
      </w:tr>
      <w:tr w:rsidR="003E1F9F" w:rsidRPr="00B0690B" w14:paraId="0C59529C"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61D33453" w14:textId="77777777" w:rsidR="003E1F9F" w:rsidRPr="00B0690B" w:rsidRDefault="003E1F9F" w:rsidP="005A20DD">
            <w:pPr>
              <w:keepNext/>
              <w:keepLines/>
              <w:spacing w:after="0"/>
              <w:rPr>
                <w:rFonts w:ascii="Arial" w:eastAsia="等线" w:hAnsi="Arial"/>
                <w:sz w:val="18"/>
              </w:rPr>
            </w:pPr>
            <w:r w:rsidRPr="00B0690B">
              <w:rPr>
                <w:rFonts w:ascii="Arial" w:eastAsia="等线" w:hAnsi="Arial"/>
                <w:sz w:val="18"/>
              </w:rPr>
              <w:t>ProblemDetails</w:t>
            </w:r>
          </w:p>
        </w:tc>
        <w:tc>
          <w:tcPr>
            <w:tcW w:w="207" w:type="pct"/>
            <w:tcBorders>
              <w:top w:val="single" w:sz="6" w:space="0" w:color="auto"/>
              <w:left w:val="single" w:sz="6" w:space="0" w:color="auto"/>
              <w:bottom w:val="single" w:sz="6" w:space="0" w:color="auto"/>
              <w:right w:val="single" w:sz="6" w:space="0" w:color="auto"/>
            </w:tcBorders>
          </w:tcPr>
          <w:p w14:paraId="7E8B36D4" w14:textId="77777777" w:rsidR="003E1F9F" w:rsidRPr="00B0690B" w:rsidRDefault="003E1F9F" w:rsidP="005A20DD">
            <w:pPr>
              <w:keepNext/>
              <w:keepLines/>
              <w:spacing w:after="0"/>
              <w:jc w:val="center"/>
              <w:rPr>
                <w:rFonts w:ascii="Arial" w:hAnsi="Arial"/>
                <w:sz w:val="18"/>
              </w:rPr>
            </w:pPr>
            <w:r w:rsidRPr="00B0690B">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3DC36BAF" w14:textId="77777777" w:rsidR="003E1F9F" w:rsidRPr="00B0690B" w:rsidRDefault="003E1F9F" w:rsidP="005A20DD">
            <w:pPr>
              <w:keepNext/>
              <w:keepLines/>
              <w:spacing w:after="0"/>
              <w:jc w:val="center"/>
              <w:rPr>
                <w:rFonts w:ascii="Arial" w:hAnsi="Arial"/>
                <w:sz w:val="18"/>
              </w:rPr>
            </w:pPr>
            <w:r w:rsidRPr="00B0690B">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0D06FE68" w14:textId="77777777" w:rsidR="003E1F9F" w:rsidRPr="00B0690B" w:rsidRDefault="003E1F9F" w:rsidP="005A20DD">
            <w:pPr>
              <w:keepNext/>
              <w:keepLines/>
              <w:spacing w:after="0"/>
              <w:rPr>
                <w:rFonts w:ascii="Arial" w:hAnsi="Arial"/>
                <w:sz w:val="18"/>
              </w:rPr>
            </w:pPr>
            <w:r w:rsidRPr="00B0690B">
              <w:rPr>
                <w:rFonts w:ascii="Arial" w:hAnsi="Arial"/>
                <w:sz w:val="18"/>
              </w:rPr>
              <w:t>40</w:t>
            </w:r>
            <w:r>
              <w:rPr>
                <w:rFonts w:ascii="Arial" w:hAnsi="Arial"/>
                <w:sz w:val="18"/>
              </w:rPr>
              <w:t>3</w:t>
            </w:r>
            <w:r w:rsidRPr="00B0690B">
              <w:rPr>
                <w:rFonts w:ascii="Arial" w:hAnsi="Arial"/>
                <w:sz w:val="18"/>
              </w:rPr>
              <w:t xml:space="preserve"> </w:t>
            </w:r>
            <w:r>
              <w:rPr>
                <w:rFonts w:ascii="Arial" w:hAnsi="Arial"/>
                <w:sz w:val="18"/>
              </w:rPr>
              <w:t>Forbidden</w:t>
            </w:r>
          </w:p>
        </w:tc>
        <w:tc>
          <w:tcPr>
            <w:tcW w:w="1897" w:type="pct"/>
            <w:tcBorders>
              <w:top w:val="single" w:sz="6" w:space="0" w:color="auto"/>
              <w:left w:val="single" w:sz="6" w:space="0" w:color="auto"/>
              <w:bottom w:val="single" w:sz="6" w:space="0" w:color="auto"/>
              <w:right w:val="single" w:sz="6" w:space="0" w:color="auto"/>
            </w:tcBorders>
          </w:tcPr>
          <w:p w14:paraId="605A897C" w14:textId="77777777" w:rsidR="003E1F9F" w:rsidRPr="00B0690B" w:rsidRDefault="003E1F9F" w:rsidP="005A20DD">
            <w:pPr>
              <w:keepNext/>
              <w:keepLines/>
              <w:spacing w:after="0"/>
              <w:rPr>
                <w:rFonts w:ascii="Arial" w:hAnsi="Arial"/>
                <w:sz w:val="18"/>
              </w:rPr>
            </w:pPr>
            <w:r w:rsidRPr="00B0690B">
              <w:rPr>
                <w:rFonts w:ascii="Arial" w:hAnsi="Arial"/>
                <w:sz w:val="18"/>
              </w:rPr>
              <w:t>(NOTE 2)</w:t>
            </w:r>
          </w:p>
        </w:tc>
      </w:tr>
      <w:tr w:rsidR="003E1F9F" w:rsidRPr="00B0690B" w14:paraId="6C80ED4F"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59C2E81D" w14:textId="77777777" w:rsidR="003E1F9F" w:rsidRPr="00B0690B" w:rsidRDefault="003E1F9F" w:rsidP="005A20DD">
            <w:pPr>
              <w:keepNext/>
              <w:keepLines/>
              <w:spacing w:after="0"/>
              <w:ind w:left="851" w:hanging="851"/>
              <w:rPr>
                <w:rFonts w:ascii="Arial" w:hAnsi="Arial"/>
                <w:sz w:val="18"/>
              </w:rPr>
            </w:pPr>
            <w:r w:rsidRPr="00B0690B">
              <w:rPr>
                <w:rFonts w:ascii="Arial" w:hAnsi="Arial"/>
                <w:sz w:val="18"/>
              </w:rPr>
              <w:t>NOTE 1:</w:t>
            </w:r>
            <w:r w:rsidRPr="00B0690B">
              <w:rPr>
                <w:rFonts w:ascii="Arial" w:hAnsi="Arial"/>
                <w:sz w:val="18"/>
              </w:rPr>
              <w:tab/>
              <w:t>The mandatory HTTP error status codes for the PUT method listed in table 5.2.7.1-1 of 3GPP TS 29.500 [6] also apply.</w:t>
            </w:r>
          </w:p>
          <w:p w14:paraId="254F7847" w14:textId="77777777" w:rsidR="003E1F9F" w:rsidRPr="00B0690B" w:rsidRDefault="003E1F9F" w:rsidP="005A20DD">
            <w:pPr>
              <w:keepNext/>
              <w:keepLines/>
              <w:spacing w:after="0"/>
              <w:ind w:left="851" w:hanging="851"/>
              <w:rPr>
                <w:rFonts w:ascii="Arial" w:hAnsi="Arial"/>
                <w:sz w:val="18"/>
              </w:rPr>
            </w:pPr>
            <w:r w:rsidRPr="00B0690B">
              <w:rPr>
                <w:rFonts w:ascii="Arial" w:hAnsi="Arial"/>
                <w:sz w:val="18"/>
              </w:rPr>
              <w:t>NOTE 2:</w:t>
            </w:r>
            <w:r w:rsidRPr="00B0690B">
              <w:rPr>
                <w:rFonts w:ascii="Arial" w:hAnsi="Arial"/>
                <w:sz w:val="18"/>
                <w:lang w:eastAsia="en-GB"/>
              </w:rPr>
              <w:tab/>
            </w:r>
            <w:r w:rsidRPr="00B0690B">
              <w:rPr>
                <w:rFonts w:ascii="Arial" w:hAnsi="Arial"/>
                <w:sz w:val="18"/>
              </w:rPr>
              <w:t>Failure cases are described in clause 5.3.7.</w:t>
            </w:r>
          </w:p>
          <w:p w14:paraId="74C60A2A" w14:textId="77777777" w:rsidR="003E1F9F" w:rsidRPr="00B0690B" w:rsidRDefault="003E1F9F" w:rsidP="005A20DD">
            <w:pPr>
              <w:keepNext/>
              <w:keepLines/>
              <w:spacing w:after="0"/>
              <w:ind w:left="851" w:hanging="851"/>
              <w:rPr>
                <w:rFonts w:ascii="Arial" w:hAnsi="Arial"/>
                <w:sz w:val="18"/>
              </w:rPr>
            </w:pPr>
            <w:r w:rsidRPr="00B0690B">
              <w:rPr>
                <w:rFonts w:ascii="Arial" w:hAnsi="Arial"/>
                <w:sz w:val="18"/>
              </w:rPr>
              <w:t>NOTE 3:</w:t>
            </w:r>
            <w:r w:rsidRPr="00B0690B">
              <w:rPr>
                <w:rFonts w:ascii="Arial" w:hAnsi="Arial"/>
                <w:sz w:val="18"/>
              </w:rPr>
              <w:tab/>
              <w:t>The RedirectResponse data structure may be provided by an SCP (cf. clause 6.10.9.1 of 3GPP TS 29.500 [6]).</w:t>
            </w:r>
          </w:p>
        </w:tc>
      </w:tr>
    </w:tbl>
    <w:p w14:paraId="291CD9E0" w14:textId="77777777" w:rsidR="003E1F9F" w:rsidRPr="00B0690B" w:rsidRDefault="003E1F9F" w:rsidP="003E1F9F">
      <w:pPr>
        <w:rPr>
          <w:lang w:eastAsia="en-GB"/>
        </w:rPr>
      </w:pPr>
    </w:p>
    <w:p w14:paraId="52DF28B0" w14:textId="77777777" w:rsidR="00A10B25" w:rsidRDefault="00A10B25">
      <w:pPr>
        <w:pStyle w:val="TH"/>
      </w:pPr>
      <w:r>
        <w:lastRenderedPageBreak/>
        <w:t>Table 5.3.3.3.3.1-4: Headers supported by the 307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D7920E6" w14:textId="77777777">
        <w:trPr>
          <w:jc w:val="center"/>
        </w:trPr>
        <w:tc>
          <w:tcPr>
            <w:tcW w:w="825" w:type="pct"/>
            <w:tcBorders>
              <w:bottom w:val="single" w:sz="6" w:space="0" w:color="auto"/>
            </w:tcBorders>
            <w:shd w:val="clear" w:color="auto" w:fill="C0C0C0"/>
          </w:tcPr>
          <w:p w14:paraId="5628B842" w14:textId="77777777" w:rsidR="00A10B25" w:rsidRDefault="00A10B25">
            <w:pPr>
              <w:pStyle w:val="TAH"/>
            </w:pPr>
            <w:r>
              <w:t>Name</w:t>
            </w:r>
          </w:p>
        </w:tc>
        <w:tc>
          <w:tcPr>
            <w:tcW w:w="732" w:type="pct"/>
            <w:tcBorders>
              <w:bottom w:val="single" w:sz="6" w:space="0" w:color="auto"/>
            </w:tcBorders>
            <w:shd w:val="clear" w:color="auto" w:fill="C0C0C0"/>
          </w:tcPr>
          <w:p w14:paraId="7331B163" w14:textId="77777777" w:rsidR="00A10B25" w:rsidRDefault="00A10B25">
            <w:pPr>
              <w:pStyle w:val="TAH"/>
            </w:pPr>
            <w:r>
              <w:t>Data type</w:t>
            </w:r>
          </w:p>
        </w:tc>
        <w:tc>
          <w:tcPr>
            <w:tcW w:w="217" w:type="pct"/>
            <w:tcBorders>
              <w:bottom w:val="single" w:sz="6" w:space="0" w:color="auto"/>
            </w:tcBorders>
            <w:shd w:val="clear" w:color="auto" w:fill="C0C0C0"/>
          </w:tcPr>
          <w:p w14:paraId="546F1501" w14:textId="77777777" w:rsidR="00A10B25" w:rsidRDefault="00A10B25">
            <w:pPr>
              <w:pStyle w:val="TAH"/>
            </w:pPr>
            <w:r>
              <w:t>P</w:t>
            </w:r>
          </w:p>
        </w:tc>
        <w:tc>
          <w:tcPr>
            <w:tcW w:w="581" w:type="pct"/>
            <w:tcBorders>
              <w:bottom w:val="single" w:sz="6" w:space="0" w:color="auto"/>
            </w:tcBorders>
            <w:shd w:val="clear" w:color="auto" w:fill="C0C0C0"/>
          </w:tcPr>
          <w:p w14:paraId="4485B2E3"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582C7B0A" w14:textId="77777777" w:rsidR="00A10B25" w:rsidRDefault="00A10B25">
            <w:pPr>
              <w:pStyle w:val="TAH"/>
            </w:pPr>
            <w:r>
              <w:t>Description</w:t>
            </w:r>
          </w:p>
        </w:tc>
      </w:tr>
      <w:tr w:rsidR="00A10B25" w14:paraId="24ABB5EE" w14:textId="77777777">
        <w:trPr>
          <w:jc w:val="center"/>
        </w:trPr>
        <w:tc>
          <w:tcPr>
            <w:tcW w:w="825" w:type="pct"/>
            <w:tcBorders>
              <w:top w:val="single" w:sz="6" w:space="0" w:color="auto"/>
            </w:tcBorders>
          </w:tcPr>
          <w:p w14:paraId="6AEFF177" w14:textId="77777777" w:rsidR="00A10B25" w:rsidRDefault="00A10B25">
            <w:pPr>
              <w:pStyle w:val="TAL"/>
            </w:pPr>
            <w:r>
              <w:t>Location</w:t>
            </w:r>
          </w:p>
        </w:tc>
        <w:tc>
          <w:tcPr>
            <w:tcW w:w="732" w:type="pct"/>
            <w:tcBorders>
              <w:top w:val="single" w:sz="6" w:space="0" w:color="auto"/>
            </w:tcBorders>
          </w:tcPr>
          <w:p w14:paraId="120F613D" w14:textId="77777777" w:rsidR="00A10B25" w:rsidRDefault="00A10B25">
            <w:pPr>
              <w:pStyle w:val="TAL"/>
            </w:pPr>
            <w:r>
              <w:t>string</w:t>
            </w:r>
          </w:p>
        </w:tc>
        <w:tc>
          <w:tcPr>
            <w:tcW w:w="217" w:type="pct"/>
            <w:tcBorders>
              <w:top w:val="single" w:sz="6" w:space="0" w:color="auto"/>
            </w:tcBorders>
          </w:tcPr>
          <w:p w14:paraId="73121023" w14:textId="77777777" w:rsidR="00A10B25" w:rsidRDefault="00A10B25">
            <w:pPr>
              <w:pStyle w:val="TAC"/>
            </w:pPr>
            <w:r>
              <w:t>M</w:t>
            </w:r>
          </w:p>
        </w:tc>
        <w:tc>
          <w:tcPr>
            <w:tcW w:w="581" w:type="pct"/>
            <w:tcBorders>
              <w:top w:val="single" w:sz="6" w:space="0" w:color="auto"/>
            </w:tcBorders>
          </w:tcPr>
          <w:p w14:paraId="17020AA6" w14:textId="77777777" w:rsidR="00A10B25" w:rsidRDefault="00A10B25">
            <w:pPr>
              <w:pStyle w:val="TAL"/>
            </w:pPr>
            <w:r>
              <w:t>1</w:t>
            </w:r>
          </w:p>
        </w:tc>
        <w:tc>
          <w:tcPr>
            <w:tcW w:w="2645" w:type="pct"/>
            <w:tcBorders>
              <w:top w:val="single" w:sz="6" w:space="0" w:color="auto"/>
            </w:tcBorders>
            <w:vAlign w:val="center"/>
          </w:tcPr>
          <w:p w14:paraId="445F4690"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622EE5D" w14:textId="77777777" w:rsidR="00A10B25" w:rsidRDefault="00A10B25">
            <w:pPr>
              <w:pStyle w:val="TAL"/>
            </w:pPr>
          </w:p>
          <w:p w14:paraId="551F166A" w14:textId="77777777" w:rsidR="00A10B25" w:rsidRDefault="00A10B25">
            <w:pPr>
              <w:pStyle w:val="TAL"/>
            </w:pPr>
            <w:r>
              <w:t>For the case where the request is redirected to the same target via a different SCP, refer to clause 6.10.9.1 of 3GPP TS 29.500 [6].</w:t>
            </w:r>
          </w:p>
        </w:tc>
      </w:tr>
      <w:tr w:rsidR="00A10B25" w14:paraId="267541E7" w14:textId="77777777">
        <w:trPr>
          <w:jc w:val="center"/>
        </w:trPr>
        <w:tc>
          <w:tcPr>
            <w:tcW w:w="825" w:type="pct"/>
          </w:tcPr>
          <w:p w14:paraId="6A6F21A2" w14:textId="77777777" w:rsidR="00A10B25" w:rsidRDefault="00A10B25">
            <w:pPr>
              <w:pStyle w:val="TAL"/>
            </w:pPr>
            <w:r>
              <w:rPr>
                <w:lang w:eastAsia="zh-CN"/>
              </w:rPr>
              <w:t>3gpp-Sbi-Target-Nf-Id</w:t>
            </w:r>
          </w:p>
        </w:tc>
        <w:tc>
          <w:tcPr>
            <w:tcW w:w="732" w:type="pct"/>
          </w:tcPr>
          <w:p w14:paraId="446A2A34" w14:textId="77777777" w:rsidR="00A10B25" w:rsidRDefault="00A10B25">
            <w:pPr>
              <w:pStyle w:val="TAL"/>
            </w:pPr>
            <w:r>
              <w:rPr>
                <w:lang w:eastAsia="fr-FR"/>
              </w:rPr>
              <w:t>string</w:t>
            </w:r>
          </w:p>
        </w:tc>
        <w:tc>
          <w:tcPr>
            <w:tcW w:w="217" w:type="pct"/>
          </w:tcPr>
          <w:p w14:paraId="37E1EB60" w14:textId="77777777" w:rsidR="00A10B25" w:rsidRDefault="00A10B25">
            <w:pPr>
              <w:pStyle w:val="TAC"/>
            </w:pPr>
            <w:r>
              <w:rPr>
                <w:lang w:eastAsia="fr-FR"/>
              </w:rPr>
              <w:t>O</w:t>
            </w:r>
          </w:p>
        </w:tc>
        <w:tc>
          <w:tcPr>
            <w:tcW w:w="581" w:type="pct"/>
          </w:tcPr>
          <w:p w14:paraId="710F9D96" w14:textId="77777777" w:rsidR="00A10B25" w:rsidRDefault="00A10B25">
            <w:pPr>
              <w:pStyle w:val="TAL"/>
            </w:pPr>
            <w:r>
              <w:rPr>
                <w:lang w:eastAsia="fr-FR"/>
              </w:rPr>
              <w:t>0..1</w:t>
            </w:r>
          </w:p>
        </w:tc>
        <w:tc>
          <w:tcPr>
            <w:tcW w:w="2645" w:type="pct"/>
            <w:vAlign w:val="center"/>
          </w:tcPr>
          <w:p w14:paraId="7F1D69EA" w14:textId="77777777" w:rsidR="00A10B25" w:rsidRDefault="00A10B25">
            <w:pPr>
              <w:pStyle w:val="TAL"/>
            </w:pPr>
            <w:r>
              <w:rPr>
                <w:lang w:eastAsia="fr-FR"/>
              </w:rPr>
              <w:t>Identifier of the target NWDAF (service) instance towards which the request is redirected.</w:t>
            </w:r>
          </w:p>
        </w:tc>
      </w:tr>
    </w:tbl>
    <w:p w14:paraId="7B6DF330" w14:textId="77777777" w:rsidR="00A10B25" w:rsidRDefault="00A10B25"/>
    <w:p w14:paraId="44176216" w14:textId="77777777" w:rsidR="00A10B25" w:rsidRDefault="00A10B25">
      <w:pPr>
        <w:pStyle w:val="TH"/>
      </w:pPr>
      <w:r>
        <w:t>Table 5.3.3.3.3.1-5: Headers supported by the 308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ABDA796" w14:textId="77777777">
        <w:trPr>
          <w:jc w:val="center"/>
        </w:trPr>
        <w:tc>
          <w:tcPr>
            <w:tcW w:w="825" w:type="pct"/>
            <w:tcBorders>
              <w:bottom w:val="single" w:sz="6" w:space="0" w:color="auto"/>
            </w:tcBorders>
            <w:shd w:val="clear" w:color="auto" w:fill="C0C0C0"/>
          </w:tcPr>
          <w:p w14:paraId="501AC454" w14:textId="77777777" w:rsidR="00A10B25" w:rsidRDefault="00A10B25">
            <w:pPr>
              <w:pStyle w:val="TAH"/>
            </w:pPr>
            <w:r>
              <w:t>Name</w:t>
            </w:r>
          </w:p>
        </w:tc>
        <w:tc>
          <w:tcPr>
            <w:tcW w:w="732" w:type="pct"/>
            <w:tcBorders>
              <w:bottom w:val="single" w:sz="6" w:space="0" w:color="auto"/>
            </w:tcBorders>
            <w:shd w:val="clear" w:color="auto" w:fill="C0C0C0"/>
          </w:tcPr>
          <w:p w14:paraId="2DEA984B" w14:textId="77777777" w:rsidR="00A10B25" w:rsidRDefault="00A10B25">
            <w:pPr>
              <w:pStyle w:val="TAH"/>
            </w:pPr>
            <w:r>
              <w:t>Data type</w:t>
            </w:r>
          </w:p>
        </w:tc>
        <w:tc>
          <w:tcPr>
            <w:tcW w:w="217" w:type="pct"/>
            <w:tcBorders>
              <w:bottom w:val="single" w:sz="6" w:space="0" w:color="auto"/>
            </w:tcBorders>
            <w:shd w:val="clear" w:color="auto" w:fill="C0C0C0"/>
          </w:tcPr>
          <w:p w14:paraId="1BE13D8E" w14:textId="77777777" w:rsidR="00A10B25" w:rsidRDefault="00A10B25">
            <w:pPr>
              <w:pStyle w:val="TAH"/>
            </w:pPr>
            <w:r>
              <w:t>P</w:t>
            </w:r>
          </w:p>
        </w:tc>
        <w:tc>
          <w:tcPr>
            <w:tcW w:w="581" w:type="pct"/>
            <w:tcBorders>
              <w:bottom w:val="single" w:sz="6" w:space="0" w:color="auto"/>
            </w:tcBorders>
            <w:shd w:val="clear" w:color="auto" w:fill="C0C0C0"/>
          </w:tcPr>
          <w:p w14:paraId="2B032EEE"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342C18BC" w14:textId="77777777" w:rsidR="00A10B25" w:rsidRDefault="00A10B25">
            <w:pPr>
              <w:pStyle w:val="TAH"/>
            </w:pPr>
            <w:r>
              <w:t>Description</w:t>
            </w:r>
          </w:p>
        </w:tc>
      </w:tr>
      <w:tr w:rsidR="00A10B25" w14:paraId="09BDAF4B" w14:textId="77777777">
        <w:trPr>
          <w:jc w:val="center"/>
        </w:trPr>
        <w:tc>
          <w:tcPr>
            <w:tcW w:w="825" w:type="pct"/>
            <w:tcBorders>
              <w:top w:val="single" w:sz="6" w:space="0" w:color="auto"/>
            </w:tcBorders>
          </w:tcPr>
          <w:p w14:paraId="78D2DD50" w14:textId="77777777" w:rsidR="00A10B25" w:rsidRDefault="00A10B25">
            <w:pPr>
              <w:pStyle w:val="TAL"/>
            </w:pPr>
            <w:r>
              <w:t>Location</w:t>
            </w:r>
          </w:p>
        </w:tc>
        <w:tc>
          <w:tcPr>
            <w:tcW w:w="732" w:type="pct"/>
            <w:tcBorders>
              <w:top w:val="single" w:sz="6" w:space="0" w:color="auto"/>
            </w:tcBorders>
          </w:tcPr>
          <w:p w14:paraId="4C812C44" w14:textId="77777777" w:rsidR="00A10B25" w:rsidRDefault="00A10B25">
            <w:pPr>
              <w:pStyle w:val="TAL"/>
            </w:pPr>
            <w:r>
              <w:t>string</w:t>
            </w:r>
          </w:p>
        </w:tc>
        <w:tc>
          <w:tcPr>
            <w:tcW w:w="217" w:type="pct"/>
            <w:tcBorders>
              <w:top w:val="single" w:sz="6" w:space="0" w:color="auto"/>
            </w:tcBorders>
          </w:tcPr>
          <w:p w14:paraId="128BFD41" w14:textId="77777777" w:rsidR="00A10B25" w:rsidRDefault="00A10B25">
            <w:pPr>
              <w:pStyle w:val="TAC"/>
            </w:pPr>
            <w:r>
              <w:t>M</w:t>
            </w:r>
          </w:p>
        </w:tc>
        <w:tc>
          <w:tcPr>
            <w:tcW w:w="581" w:type="pct"/>
            <w:tcBorders>
              <w:top w:val="single" w:sz="6" w:space="0" w:color="auto"/>
            </w:tcBorders>
          </w:tcPr>
          <w:p w14:paraId="1F7F6435" w14:textId="77777777" w:rsidR="00A10B25" w:rsidRDefault="00A10B25">
            <w:pPr>
              <w:pStyle w:val="TAL"/>
            </w:pPr>
            <w:r>
              <w:t>1</w:t>
            </w:r>
          </w:p>
        </w:tc>
        <w:tc>
          <w:tcPr>
            <w:tcW w:w="2645" w:type="pct"/>
            <w:tcBorders>
              <w:top w:val="single" w:sz="6" w:space="0" w:color="auto"/>
            </w:tcBorders>
            <w:vAlign w:val="center"/>
          </w:tcPr>
          <w:p w14:paraId="75340491"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67A01B2B" w14:textId="77777777" w:rsidR="00A10B25" w:rsidRDefault="00A10B25">
            <w:pPr>
              <w:pStyle w:val="TAL"/>
            </w:pPr>
          </w:p>
          <w:p w14:paraId="043F416D" w14:textId="77777777" w:rsidR="00A10B25" w:rsidRDefault="00A10B25">
            <w:pPr>
              <w:pStyle w:val="TAL"/>
            </w:pPr>
            <w:r>
              <w:t>For the case where the request is redirected to the same target via a different SCP, refer to clause 6.10.9.1 of 3GPP TS 29.500 [6].</w:t>
            </w:r>
          </w:p>
        </w:tc>
      </w:tr>
      <w:tr w:rsidR="00A10B25" w14:paraId="451F0319" w14:textId="77777777">
        <w:trPr>
          <w:jc w:val="center"/>
        </w:trPr>
        <w:tc>
          <w:tcPr>
            <w:tcW w:w="825" w:type="pct"/>
          </w:tcPr>
          <w:p w14:paraId="4CFA88AB" w14:textId="77777777" w:rsidR="00A10B25" w:rsidRDefault="00A10B25">
            <w:pPr>
              <w:pStyle w:val="TAL"/>
            </w:pPr>
            <w:r>
              <w:rPr>
                <w:lang w:eastAsia="zh-CN"/>
              </w:rPr>
              <w:t>3gpp-Sbi-Target-Nf-Id</w:t>
            </w:r>
          </w:p>
        </w:tc>
        <w:tc>
          <w:tcPr>
            <w:tcW w:w="732" w:type="pct"/>
          </w:tcPr>
          <w:p w14:paraId="4259D958" w14:textId="77777777" w:rsidR="00A10B25" w:rsidRDefault="00A10B25">
            <w:pPr>
              <w:pStyle w:val="TAL"/>
            </w:pPr>
            <w:r>
              <w:rPr>
                <w:lang w:eastAsia="fr-FR"/>
              </w:rPr>
              <w:t>string</w:t>
            </w:r>
          </w:p>
        </w:tc>
        <w:tc>
          <w:tcPr>
            <w:tcW w:w="217" w:type="pct"/>
          </w:tcPr>
          <w:p w14:paraId="0BF3DAEA" w14:textId="77777777" w:rsidR="00A10B25" w:rsidRDefault="00A10B25">
            <w:pPr>
              <w:pStyle w:val="TAC"/>
            </w:pPr>
            <w:r>
              <w:rPr>
                <w:lang w:eastAsia="fr-FR"/>
              </w:rPr>
              <w:t>O</w:t>
            </w:r>
          </w:p>
        </w:tc>
        <w:tc>
          <w:tcPr>
            <w:tcW w:w="581" w:type="pct"/>
          </w:tcPr>
          <w:p w14:paraId="25220399" w14:textId="77777777" w:rsidR="00A10B25" w:rsidRDefault="00A10B25">
            <w:pPr>
              <w:pStyle w:val="TAL"/>
            </w:pPr>
            <w:r>
              <w:rPr>
                <w:lang w:eastAsia="fr-FR"/>
              </w:rPr>
              <w:t>0..1</w:t>
            </w:r>
          </w:p>
        </w:tc>
        <w:tc>
          <w:tcPr>
            <w:tcW w:w="2645" w:type="pct"/>
            <w:vAlign w:val="center"/>
          </w:tcPr>
          <w:p w14:paraId="24F0CE17" w14:textId="77777777" w:rsidR="00A10B25" w:rsidRDefault="00A10B25">
            <w:pPr>
              <w:pStyle w:val="TAL"/>
            </w:pPr>
            <w:r>
              <w:rPr>
                <w:lang w:eastAsia="fr-FR"/>
              </w:rPr>
              <w:t>Identifier of the target NWDAF (service) instance towards which the request is redirected.</w:t>
            </w:r>
          </w:p>
        </w:tc>
      </w:tr>
    </w:tbl>
    <w:p w14:paraId="51C6BF81" w14:textId="77777777" w:rsidR="00A10B25" w:rsidRDefault="00A10B25">
      <w:pPr>
        <w:rPr>
          <w:rFonts w:eastAsia="MS Mincho"/>
          <w:lang w:eastAsia="ja-JP"/>
        </w:rPr>
      </w:pPr>
    </w:p>
    <w:p w14:paraId="50ADA781" w14:textId="77777777" w:rsidR="00A10B25" w:rsidRDefault="00A10B25">
      <w:pPr>
        <w:pStyle w:val="6"/>
      </w:pPr>
      <w:bookmarkStart w:id="12113" w:name="_Toc138754414"/>
      <w:bookmarkStart w:id="12114" w:name="_Toc145705909"/>
      <w:bookmarkStart w:id="12115" w:name="_Toc148522819"/>
      <w:bookmarkStart w:id="12116" w:name="_Toc136562580"/>
      <w:bookmarkStart w:id="12117" w:name="_Toc164921007"/>
      <w:bookmarkStart w:id="12118" w:name="_Toc170120549"/>
      <w:bookmarkStart w:id="12119" w:name="_Toc175858794"/>
      <w:bookmarkStart w:id="12120" w:name="_Toc175859867"/>
      <w:bookmarkStart w:id="12121" w:name="_Toc180606157"/>
      <w:bookmarkStart w:id="12122" w:name="_Toc185517418"/>
      <w:bookmarkStart w:id="12123" w:name="_Toc191576470"/>
      <w:bookmarkStart w:id="12124" w:name="_Toc191577210"/>
      <w:bookmarkStart w:id="12125" w:name="_Toc192880280"/>
      <w:bookmarkStart w:id="12126" w:name="_Toc195815169"/>
      <w:bookmarkStart w:id="12127" w:name="_Toc199453136"/>
      <w:r>
        <w:t>5.3.3.3.3.2</w:t>
      </w:r>
      <w:r>
        <w:tab/>
        <w:t>DELETE</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p>
    <w:p w14:paraId="30FFF26E" w14:textId="77777777" w:rsidR="00A10B25" w:rsidRDefault="00A10B25">
      <w:r>
        <w:t>This method shall support the URI query parameters specified in table 5.3.3.3.3.2-1.</w:t>
      </w:r>
    </w:p>
    <w:p w14:paraId="66043562" w14:textId="77777777" w:rsidR="00A10B25" w:rsidRDefault="00A10B25">
      <w:pPr>
        <w:pStyle w:val="TH"/>
      </w:pPr>
      <w:r>
        <w:t>Table 5.3.3.3.3.2-1: URI query parameters supported by the DELETE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3507DCC" w14:textId="77777777">
        <w:trPr>
          <w:jc w:val="center"/>
        </w:trPr>
        <w:tc>
          <w:tcPr>
            <w:tcW w:w="825" w:type="pct"/>
            <w:tcBorders>
              <w:bottom w:val="single" w:sz="6" w:space="0" w:color="auto"/>
            </w:tcBorders>
            <w:shd w:val="clear" w:color="auto" w:fill="C0C0C0"/>
          </w:tcPr>
          <w:p w14:paraId="4A80DF1F" w14:textId="77777777" w:rsidR="00A10B25" w:rsidRDefault="00A10B25">
            <w:pPr>
              <w:pStyle w:val="TAH"/>
            </w:pPr>
            <w:r>
              <w:t>Name</w:t>
            </w:r>
          </w:p>
        </w:tc>
        <w:tc>
          <w:tcPr>
            <w:tcW w:w="732" w:type="pct"/>
            <w:tcBorders>
              <w:bottom w:val="single" w:sz="6" w:space="0" w:color="auto"/>
            </w:tcBorders>
            <w:shd w:val="clear" w:color="auto" w:fill="C0C0C0"/>
          </w:tcPr>
          <w:p w14:paraId="4CFC7F07" w14:textId="77777777" w:rsidR="00A10B25" w:rsidRDefault="00A10B25">
            <w:pPr>
              <w:pStyle w:val="TAH"/>
            </w:pPr>
            <w:r>
              <w:t>Data type</w:t>
            </w:r>
          </w:p>
        </w:tc>
        <w:tc>
          <w:tcPr>
            <w:tcW w:w="217" w:type="pct"/>
            <w:tcBorders>
              <w:bottom w:val="single" w:sz="6" w:space="0" w:color="auto"/>
            </w:tcBorders>
            <w:shd w:val="clear" w:color="auto" w:fill="C0C0C0"/>
          </w:tcPr>
          <w:p w14:paraId="0DA2166C" w14:textId="77777777" w:rsidR="00A10B25" w:rsidRDefault="00A10B25">
            <w:pPr>
              <w:pStyle w:val="TAH"/>
            </w:pPr>
            <w:r>
              <w:t>P</w:t>
            </w:r>
          </w:p>
        </w:tc>
        <w:tc>
          <w:tcPr>
            <w:tcW w:w="581" w:type="pct"/>
            <w:tcBorders>
              <w:bottom w:val="single" w:sz="6" w:space="0" w:color="auto"/>
            </w:tcBorders>
            <w:shd w:val="clear" w:color="auto" w:fill="C0C0C0"/>
          </w:tcPr>
          <w:p w14:paraId="1E42EFC6"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8F53DCC" w14:textId="77777777" w:rsidR="00A10B25" w:rsidRDefault="00A10B25">
            <w:pPr>
              <w:pStyle w:val="TAH"/>
            </w:pPr>
            <w:r>
              <w:t>Description</w:t>
            </w:r>
          </w:p>
        </w:tc>
      </w:tr>
      <w:tr w:rsidR="00A10B25" w14:paraId="6C5B10AE" w14:textId="77777777">
        <w:trPr>
          <w:jc w:val="center"/>
        </w:trPr>
        <w:tc>
          <w:tcPr>
            <w:tcW w:w="825" w:type="pct"/>
            <w:tcBorders>
              <w:top w:val="single" w:sz="6" w:space="0" w:color="auto"/>
            </w:tcBorders>
          </w:tcPr>
          <w:p w14:paraId="01F6C7EA" w14:textId="77777777" w:rsidR="00A10B25" w:rsidRDefault="00A10B25">
            <w:pPr>
              <w:pStyle w:val="TAL"/>
            </w:pPr>
            <w:r>
              <w:t>n/a</w:t>
            </w:r>
          </w:p>
        </w:tc>
        <w:tc>
          <w:tcPr>
            <w:tcW w:w="732" w:type="pct"/>
            <w:tcBorders>
              <w:top w:val="single" w:sz="6" w:space="0" w:color="auto"/>
            </w:tcBorders>
          </w:tcPr>
          <w:p w14:paraId="73601673" w14:textId="77777777" w:rsidR="00A10B25" w:rsidRDefault="00A10B25">
            <w:pPr>
              <w:pStyle w:val="TAL"/>
            </w:pPr>
          </w:p>
        </w:tc>
        <w:tc>
          <w:tcPr>
            <w:tcW w:w="217" w:type="pct"/>
            <w:tcBorders>
              <w:top w:val="single" w:sz="6" w:space="0" w:color="auto"/>
            </w:tcBorders>
          </w:tcPr>
          <w:p w14:paraId="484A2DB2" w14:textId="77777777" w:rsidR="00A10B25" w:rsidRDefault="00A10B25">
            <w:pPr>
              <w:pStyle w:val="TAC"/>
            </w:pPr>
          </w:p>
        </w:tc>
        <w:tc>
          <w:tcPr>
            <w:tcW w:w="581" w:type="pct"/>
            <w:tcBorders>
              <w:top w:val="single" w:sz="6" w:space="0" w:color="auto"/>
            </w:tcBorders>
          </w:tcPr>
          <w:p w14:paraId="60C7D011" w14:textId="77777777" w:rsidR="00A10B25" w:rsidRDefault="00A10B25">
            <w:pPr>
              <w:pStyle w:val="TAL"/>
            </w:pPr>
          </w:p>
        </w:tc>
        <w:tc>
          <w:tcPr>
            <w:tcW w:w="2646" w:type="pct"/>
            <w:tcBorders>
              <w:top w:val="single" w:sz="6" w:space="0" w:color="auto"/>
            </w:tcBorders>
            <w:vAlign w:val="center"/>
          </w:tcPr>
          <w:p w14:paraId="6C86042D" w14:textId="77777777" w:rsidR="00A10B25" w:rsidRDefault="00A10B25">
            <w:pPr>
              <w:pStyle w:val="TAL"/>
            </w:pPr>
          </w:p>
        </w:tc>
      </w:tr>
    </w:tbl>
    <w:p w14:paraId="7C9BD76C" w14:textId="77777777" w:rsidR="00A10B25" w:rsidRDefault="00A10B25"/>
    <w:p w14:paraId="01A43FF3" w14:textId="77777777" w:rsidR="00A10B25" w:rsidRDefault="00A10B25">
      <w:r>
        <w:t>This method shall support the request data structures specified in table 5.3.3.3.3.2-2 and the response data structures and response codes specified in table 5.3.3.3.3.2-3.</w:t>
      </w:r>
    </w:p>
    <w:p w14:paraId="15360E8B" w14:textId="77777777" w:rsidR="00A10B25" w:rsidRDefault="00A10B25">
      <w:pPr>
        <w:pStyle w:val="TH"/>
      </w:pPr>
      <w:r>
        <w:t>Table 5.3.3.3.3.2-2: Data structures supported by the DELETE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7FBC69D" w14:textId="77777777">
        <w:trPr>
          <w:jc w:val="center"/>
        </w:trPr>
        <w:tc>
          <w:tcPr>
            <w:tcW w:w="1627" w:type="dxa"/>
            <w:tcBorders>
              <w:bottom w:val="single" w:sz="6" w:space="0" w:color="auto"/>
            </w:tcBorders>
            <w:shd w:val="clear" w:color="auto" w:fill="C0C0C0"/>
          </w:tcPr>
          <w:p w14:paraId="55D8A5FD" w14:textId="77777777" w:rsidR="00A10B25" w:rsidRDefault="00A10B25">
            <w:pPr>
              <w:pStyle w:val="TAH"/>
            </w:pPr>
            <w:r>
              <w:t>Data type</w:t>
            </w:r>
          </w:p>
        </w:tc>
        <w:tc>
          <w:tcPr>
            <w:tcW w:w="425" w:type="dxa"/>
            <w:tcBorders>
              <w:bottom w:val="single" w:sz="6" w:space="0" w:color="auto"/>
            </w:tcBorders>
            <w:shd w:val="clear" w:color="auto" w:fill="C0C0C0"/>
          </w:tcPr>
          <w:p w14:paraId="7364C8CA" w14:textId="77777777" w:rsidR="00A10B25" w:rsidRDefault="00A10B25">
            <w:pPr>
              <w:pStyle w:val="TAH"/>
            </w:pPr>
            <w:r>
              <w:t>P</w:t>
            </w:r>
          </w:p>
        </w:tc>
        <w:tc>
          <w:tcPr>
            <w:tcW w:w="1276" w:type="dxa"/>
            <w:tcBorders>
              <w:bottom w:val="single" w:sz="6" w:space="0" w:color="auto"/>
            </w:tcBorders>
            <w:shd w:val="clear" w:color="auto" w:fill="C0C0C0"/>
          </w:tcPr>
          <w:p w14:paraId="7C77E8DC"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1F2D4D50" w14:textId="77777777" w:rsidR="00A10B25" w:rsidRDefault="00A10B25">
            <w:pPr>
              <w:pStyle w:val="TAH"/>
            </w:pPr>
            <w:r>
              <w:t>Description</w:t>
            </w:r>
          </w:p>
        </w:tc>
      </w:tr>
      <w:tr w:rsidR="00A10B25" w14:paraId="345A75AD" w14:textId="77777777">
        <w:trPr>
          <w:jc w:val="center"/>
        </w:trPr>
        <w:tc>
          <w:tcPr>
            <w:tcW w:w="1627" w:type="dxa"/>
            <w:tcBorders>
              <w:top w:val="single" w:sz="6" w:space="0" w:color="auto"/>
            </w:tcBorders>
          </w:tcPr>
          <w:p w14:paraId="00FF32A1" w14:textId="77777777" w:rsidR="00A10B25" w:rsidRDefault="00A10B25">
            <w:pPr>
              <w:pStyle w:val="TAL"/>
            </w:pPr>
            <w:r>
              <w:t>n/a</w:t>
            </w:r>
          </w:p>
        </w:tc>
        <w:tc>
          <w:tcPr>
            <w:tcW w:w="425" w:type="dxa"/>
            <w:tcBorders>
              <w:top w:val="single" w:sz="6" w:space="0" w:color="auto"/>
            </w:tcBorders>
          </w:tcPr>
          <w:p w14:paraId="594609CD" w14:textId="77777777" w:rsidR="00A10B25" w:rsidRDefault="00A10B25">
            <w:pPr>
              <w:pStyle w:val="TAC"/>
            </w:pPr>
          </w:p>
        </w:tc>
        <w:tc>
          <w:tcPr>
            <w:tcW w:w="1276" w:type="dxa"/>
            <w:tcBorders>
              <w:top w:val="single" w:sz="6" w:space="0" w:color="auto"/>
            </w:tcBorders>
          </w:tcPr>
          <w:p w14:paraId="6EF2E9F8" w14:textId="77777777" w:rsidR="00A10B25" w:rsidRDefault="00A10B25">
            <w:pPr>
              <w:pStyle w:val="TAL"/>
            </w:pPr>
          </w:p>
        </w:tc>
        <w:tc>
          <w:tcPr>
            <w:tcW w:w="6447" w:type="dxa"/>
            <w:tcBorders>
              <w:top w:val="single" w:sz="6" w:space="0" w:color="auto"/>
            </w:tcBorders>
          </w:tcPr>
          <w:p w14:paraId="7806B4FE" w14:textId="77777777" w:rsidR="00A10B25" w:rsidRDefault="00A10B25">
            <w:pPr>
              <w:pStyle w:val="TAL"/>
            </w:pPr>
          </w:p>
        </w:tc>
      </w:tr>
    </w:tbl>
    <w:p w14:paraId="0D613C00" w14:textId="77777777" w:rsidR="00A10B25" w:rsidRDefault="00A10B25"/>
    <w:p w14:paraId="664790C8" w14:textId="77777777" w:rsidR="00A10B25" w:rsidRDefault="00A10B25">
      <w:pPr>
        <w:pStyle w:val="TH"/>
      </w:pPr>
      <w:bookmarkStart w:id="12128" w:name="_Toc113031842"/>
      <w:bookmarkStart w:id="12129" w:name="_Toc112951302"/>
      <w:bookmarkStart w:id="12130" w:name="_Toc120702482"/>
      <w:bookmarkStart w:id="12131" w:name="_Toc104539179"/>
      <w:bookmarkStart w:id="12132" w:name="_Toc101244584"/>
      <w:bookmarkStart w:id="12133" w:name="_Toc98233806"/>
      <w:bookmarkStart w:id="12134" w:name="_Toc114133981"/>
      <w:r>
        <w:lastRenderedPageBreak/>
        <w:t>Table 5.3.3.3.3.2-3: Data structures supported by the DELETE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8"/>
        <w:gridCol w:w="277"/>
        <w:gridCol w:w="1067"/>
        <w:gridCol w:w="1017"/>
        <w:gridCol w:w="4620"/>
      </w:tblGrid>
      <w:tr w:rsidR="00A10B25" w14:paraId="41DEEB9E" w14:textId="77777777">
        <w:trPr>
          <w:jc w:val="center"/>
        </w:trPr>
        <w:tc>
          <w:tcPr>
            <w:tcW w:w="849" w:type="pct"/>
            <w:tcBorders>
              <w:bottom w:val="single" w:sz="6" w:space="0" w:color="auto"/>
            </w:tcBorders>
            <w:shd w:val="clear" w:color="auto" w:fill="C0C0C0"/>
          </w:tcPr>
          <w:p w14:paraId="628A3F1E" w14:textId="77777777" w:rsidR="00A10B25" w:rsidRDefault="00A10B25">
            <w:pPr>
              <w:pStyle w:val="TAH"/>
            </w:pPr>
            <w:r>
              <w:t>Data type</w:t>
            </w:r>
          </w:p>
        </w:tc>
        <w:tc>
          <w:tcPr>
            <w:tcW w:w="223" w:type="pct"/>
            <w:tcBorders>
              <w:bottom w:val="single" w:sz="6" w:space="0" w:color="auto"/>
            </w:tcBorders>
            <w:shd w:val="clear" w:color="auto" w:fill="C0C0C0"/>
          </w:tcPr>
          <w:p w14:paraId="6CA44267" w14:textId="77777777" w:rsidR="00A10B25" w:rsidRDefault="00A10B25">
            <w:pPr>
              <w:pStyle w:val="TAH"/>
            </w:pPr>
            <w:r>
              <w:t>P</w:t>
            </w:r>
          </w:p>
        </w:tc>
        <w:tc>
          <w:tcPr>
            <w:tcW w:w="643" w:type="pct"/>
            <w:tcBorders>
              <w:bottom w:val="single" w:sz="6" w:space="0" w:color="auto"/>
            </w:tcBorders>
            <w:shd w:val="clear" w:color="auto" w:fill="C0C0C0"/>
          </w:tcPr>
          <w:p w14:paraId="749467D2" w14:textId="77777777" w:rsidR="00A10B25" w:rsidRDefault="00A10B25">
            <w:pPr>
              <w:pStyle w:val="TAH"/>
            </w:pPr>
            <w:r>
              <w:t>Cardinality</w:t>
            </w:r>
          </w:p>
        </w:tc>
        <w:tc>
          <w:tcPr>
            <w:tcW w:w="577" w:type="pct"/>
            <w:tcBorders>
              <w:bottom w:val="single" w:sz="6" w:space="0" w:color="auto"/>
            </w:tcBorders>
            <w:shd w:val="clear" w:color="auto" w:fill="C0C0C0"/>
          </w:tcPr>
          <w:p w14:paraId="7C5FCD9C" w14:textId="77777777" w:rsidR="00A10B25" w:rsidRDefault="00A10B25">
            <w:pPr>
              <w:pStyle w:val="TAH"/>
            </w:pPr>
            <w:r>
              <w:t>Response</w:t>
            </w:r>
          </w:p>
          <w:p w14:paraId="025FD04A" w14:textId="77777777" w:rsidR="00A10B25" w:rsidRDefault="00A10B25">
            <w:pPr>
              <w:pStyle w:val="TAH"/>
            </w:pPr>
            <w:r>
              <w:t>codes</w:t>
            </w:r>
          </w:p>
        </w:tc>
        <w:tc>
          <w:tcPr>
            <w:tcW w:w="2708" w:type="pct"/>
            <w:tcBorders>
              <w:bottom w:val="single" w:sz="6" w:space="0" w:color="auto"/>
            </w:tcBorders>
            <w:shd w:val="clear" w:color="auto" w:fill="C0C0C0"/>
          </w:tcPr>
          <w:p w14:paraId="30C648AD" w14:textId="77777777" w:rsidR="00A10B25" w:rsidRDefault="00A10B25">
            <w:pPr>
              <w:pStyle w:val="TAH"/>
            </w:pPr>
            <w:r>
              <w:t>Description</w:t>
            </w:r>
          </w:p>
        </w:tc>
      </w:tr>
      <w:tr w:rsidR="00A10B25" w14:paraId="1A49AD40" w14:textId="77777777">
        <w:trPr>
          <w:jc w:val="center"/>
        </w:trPr>
        <w:tc>
          <w:tcPr>
            <w:tcW w:w="849" w:type="pct"/>
            <w:tcBorders>
              <w:top w:val="single" w:sz="6" w:space="0" w:color="auto"/>
            </w:tcBorders>
          </w:tcPr>
          <w:p w14:paraId="2001E3EB" w14:textId="77777777" w:rsidR="00A10B25" w:rsidRDefault="00A10B25">
            <w:pPr>
              <w:pStyle w:val="TAL"/>
            </w:pPr>
            <w:r>
              <w:t>n/a</w:t>
            </w:r>
          </w:p>
        </w:tc>
        <w:tc>
          <w:tcPr>
            <w:tcW w:w="223" w:type="pct"/>
            <w:tcBorders>
              <w:top w:val="single" w:sz="6" w:space="0" w:color="auto"/>
            </w:tcBorders>
          </w:tcPr>
          <w:p w14:paraId="039167D8" w14:textId="77777777" w:rsidR="00A10B25" w:rsidRDefault="00A10B25"/>
        </w:tc>
        <w:tc>
          <w:tcPr>
            <w:tcW w:w="643" w:type="pct"/>
            <w:tcBorders>
              <w:top w:val="single" w:sz="6" w:space="0" w:color="auto"/>
            </w:tcBorders>
          </w:tcPr>
          <w:p w14:paraId="7C498928" w14:textId="77777777" w:rsidR="00A10B25" w:rsidRDefault="00A10B25">
            <w:pPr>
              <w:spacing w:after="0"/>
              <w:rPr>
                <w:lang w:val="en-US" w:eastAsia="zh-CN"/>
              </w:rPr>
            </w:pPr>
          </w:p>
        </w:tc>
        <w:tc>
          <w:tcPr>
            <w:tcW w:w="577" w:type="pct"/>
            <w:tcBorders>
              <w:top w:val="single" w:sz="6" w:space="0" w:color="auto"/>
            </w:tcBorders>
          </w:tcPr>
          <w:p w14:paraId="2C1FAC82" w14:textId="77777777" w:rsidR="00A10B25" w:rsidRDefault="00A10B25">
            <w:pPr>
              <w:pStyle w:val="TAL"/>
            </w:pPr>
            <w:r>
              <w:t>204 No Content</w:t>
            </w:r>
          </w:p>
        </w:tc>
        <w:tc>
          <w:tcPr>
            <w:tcW w:w="2708" w:type="pct"/>
            <w:tcBorders>
              <w:top w:val="single" w:sz="6" w:space="0" w:color="auto"/>
            </w:tcBorders>
          </w:tcPr>
          <w:p w14:paraId="5629BD22" w14:textId="77777777" w:rsidR="00A10B25" w:rsidRDefault="00A10B25">
            <w:pPr>
              <w:pStyle w:val="TAL"/>
            </w:pPr>
            <w:r>
              <w:t>Successful case: The Individual NWDAF Data Management Subscription resource matching the subscriptionId was deleted.</w:t>
            </w:r>
          </w:p>
        </w:tc>
      </w:tr>
      <w:tr w:rsidR="00A10B25" w14:paraId="1618E542" w14:textId="77777777">
        <w:trPr>
          <w:jc w:val="center"/>
        </w:trPr>
        <w:tc>
          <w:tcPr>
            <w:tcW w:w="849" w:type="pct"/>
            <w:tcBorders>
              <w:top w:val="single" w:sz="6" w:space="0" w:color="auto"/>
            </w:tcBorders>
          </w:tcPr>
          <w:p w14:paraId="1788394F" w14:textId="77777777" w:rsidR="00A10B25" w:rsidRDefault="00A10B25">
            <w:pPr>
              <w:pStyle w:val="TAL"/>
            </w:pPr>
            <w:r>
              <w:t>NnwdafDataManagementNotif</w:t>
            </w:r>
          </w:p>
        </w:tc>
        <w:tc>
          <w:tcPr>
            <w:tcW w:w="223" w:type="pct"/>
            <w:tcBorders>
              <w:top w:val="single" w:sz="6" w:space="0" w:color="auto"/>
            </w:tcBorders>
          </w:tcPr>
          <w:p w14:paraId="600B42FF" w14:textId="77777777" w:rsidR="00A10B25" w:rsidRDefault="00A10B25">
            <w:pPr>
              <w:pStyle w:val="TAC"/>
            </w:pPr>
            <w:r>
              <w:t>C</w:t>
            </w:r>
          </w:p>
        </w:tc>
        <w:tc>
          <w:tcPr>
            <w:tcW w:w="643" w:type="pct"/>
            <w:tcBorders>
              <w:top w:val="single" w:sz="6" w:space="0" w:color="auto"/>
            </w:tcBorders>
          </w:tcPr>
          <w:p w14:paraId="2B160C6D" w14:textId="77777777" w:rsidR="00A10B25" w:rsidRDefault="00A10B25">
            <w:pPr>
              <w:pStyle w:val="TAC"/>
              <w:rPr>
                <w:lang w:val="en-US" w:eastAsia="zh-CN"/>
              </w:rPr>
            </w:pPr>
            <w:r>
              <w:t>0..1</w:t>
            </w:r>
          </w:p>
        </w:tc>
        <w:tc>
          <w:tcPr>
            <w:tcW w:w="577" w:type="pct"/>
            <w:tcBorders>
              <w:top w:val="single" w:sz="6" w:space="0" w:color="auto"/>
            </w:tcBorders>
          </w:tcPr>
          <w:p w14:paraId="07E778A2" w14:textId="77777777" w:rsidR="00A10B25" w:rsidRDefault="00A10B25">
            <w:pPr>
              <w:pStyle w:val="TAL"/>
            </w:pPr>
            <w:r>
              <w:t>200 OK</w:t>
            </w:r>
          </w:p>
        </w:tc>
        <w:tc>
          <w:tcPr>
            <w:tcW w:w="2708" w:type="pct"/>
            <w:tcBorders>
              <w:top w:val="single" w:sz="6" w:space="0" w:color="auto"/>
            </w:tcBorders>
          </w:tcPr>
          <w:p w14:paraId="560B99D2" w14:textId="77777777" w:rsidR="00A10B25" w:rsidRDefault="00A10B25">
            <w:pPr>
              <w:pStyle w:val="TAL"/>
            </w:pPr>
            <w:r>
              <w:t>Successful case: The Individual NWDAF Data Management Subscription resource matching the subscriptionId was deleted and including the stored unsent events in the response.</w:t>
            </w:r>
          </w:p>
        </w:tc>
      </w:tr>
      <w:tr w:rsidR="00A10B25" w14:paraId="55B727B6" w14:textId="77777777">
        <w:trPr>
          <w:trHeight w:val="1086"/>
          <w:jc w:val="center"/>
        </w:trPr>
        <w:tc>
          <w:tcPr>
            <w:tcW w:w="849" w:type="pct"/>
          </w:tcPr>
          <w:p w14:paraId="541FD1E4" w14:textId="77777777" w:rsidR="00A10B25" w:rsidRDefault="00A10B25">
            <w:pPr>
              <w:pStyle w:val="TAL"/>
            </w:pPr>
            <w:r>
              <w:t>RedirectResponse</w:t>
            </w:r>
          </w:p>
        </w:tc>
        <w:tc>
          <w:tcPr>
            <w:tcW w:w="223" w:type="pct"/>
          </w:tcPr>
          <w:p w14:paraId="63C40B84" w14:textId="77777777" w:rsidR="00A10B25" w:rsidRDefault="00A10B25">
            <w:pPr>
              <w:pStyle w:val="TAC"/>
            </w:pPr>
            <w:r>
              <w:t>O</w:t>
            </w:r>
          </w:p>
        </w:tc>
        <w:tc>
          <w:tcPr>
            <w:tcW w:w="643" w:type="pct"/>
          </w:tcPr>
          <w:p w14:paraId="72FAB22C" w14:textId="77777777" w:rsidR="00A10B25" w:rsidRDefault="00A10B25">
            <w:pPr>
              <w:pStyle w:val="TAC"/>
            </w:pPr>
            <w:r>
              <w:t>0..1</w:t>
            </w:r>
          </w:p>
        </w:tc>
        <w:tc>
          <w:tcPr>
            <w:tcW w:w="577" w:type="pct"/>
          </w:tcPr>
          <w:p w14:paraId="16923F6B" w14:textId="77777777" w:rsidR="00A10B25" w:rsidRDefault="00A10B25">
            <w:pPr>
              <w:pStyle w:val="TAL"/>
            </w:pPr>
            <w:r>
              <w:t>307 Temporary Redirect</w:t>
            </w:r>
          </w:p>
        </w:tc>
        <w:tc>
          <w:tcPr>
            <w:tcW w:w="2708" w:type="pct"/>
          </w:tcPr>
          <w:p w14:paraId="0397A20C" w14:textId="77777777" w:rsidR="00A10B25" w:rsidRDefault="00A10B25">
            <w:pPr>
              <w:pStyle w:val="TAL"/>
            </w:pPr>
            <w:r>
              <w:t>Temporary redirection, during Individual NWDAF Data Management Subscription deletion.</w:t>
            </w:r>
          </w:p>
          <w:p w14:paraId="6B306659" w14:textId="77777777" w:rsidR="00A10B25" w:rsidRDefault="00A10B25">
            <w:pPr>
              <w:pStyle w:val="TAL"/>
            </w:pPr>
          </w:p>
          <w:p w14:paraId="3AD342D1" w14:textId="77777777" w:rsidR="00A10B25" w:rsidRDefault="00A10B25">
            <w:pPr>
              <w:pStyle w:val="TAL"/>
            </w:pPr>
            <w:r>
              <w:t>(NOTE 2)</w:t>
            </w:r>
          </w:p>
        </w:tc>
      </w:tr>
      <w:tr w:rsidR="00A10B25" w14:paraId="6B59C819" w14:textId="77777777">
        <w:trPr>
          <w:jc w:val="center"/>
        </w:trPr>
        <w:tc>
          <w:tcPr>
            <w:tcW w:w="849" w:type="pct"/>
          </w:tcPr>
          <w:p w14:paraId="6E7B5E83" w14:textId="77777777" w:rsidR="00A10B25" w:rsidRDefault="00A10B25">
            <w:pPr>
              <w:pStyle w:val="TAL"/>
            </w:pPr>
            <w:r>
              <w:t>RedirectResponse</w:t>
            </w:r>
          </w:p>
        </w:tc>
        <w:tc>
          <w:tcPr>
            <w:tcW w:w="223" w:type="pct"/>
          </w:tcPr>
          <w:p w14:paraId="0DE5A8ED" w14:textId="77777777" w:rsidR="00A10B25" w:rsidRDefault="00A10B25">
            <w:pPr>
              <w:pStyle w:val="TAC"/>
            </w:pPr>
            <w:r>
              <w:t>O</w:t>
            </w:r>
          </w:p>
        </w:tc>
        <w:tc>
          <w:tcPr>
            <w:tcW w:w="643" w:type="pct"/>
          </w:tcPr>
          <w:p w14:paraId="3E8E3DC7" w14:textId="77777777" w:rsidR="00A10B25" w:rsidRDefault="00A10B25">
            <w:pPr>
              <w:pStyle w:val="TAC"/>
            </w:pPr>
            <w:r>
              <w:t>0..1</w:t>
            </w:r>
          </w:p>
        </w:tc>
        <w:tc>
          <w:tcPr>
            <w:tcW w:w="577" w:type="pct"/>
          </w:tcPr>
          <w:p w14:paraId="71E4BF2D" w14:textId="77777777" w:rsidR="00A10B25" w:rsidRDefault="00A10B25">
            <w:pPr>
              <w:pStyle w:val="TAL"/>
            </w:pPr>
            <w:r>
              <w:t>308 Permanent Redirect</w:t>
            </w:r>
          </w:p>
        </w:tc>
        <w:tc>
          <w:tcPr>
            <w:tcW w:w="2708" w:type="pct"/>
          </w:tcPr>
          <w:p w14:paraId="6F8710EA" w14:textId="77777777" w:rsidR="00A10B25" w:rsidRDefault="00A10B25">
            <w:pPr>
              <w:pStyle w:val="TAL"/>
            </w:pPr>
            <w:r>
              <w:t>Permanent redirection, during Individual NWDAF Data Management Subscription deletion.</w:t>
            </w:r>
          </w:p>
          <w:p w14:paraId="2BA0CCAE" w14:textId="77777777" w:rsidR="00A10B25" w:rsidRDefault="00A10B25">
            <w:pPr>
              <w:pStyle w:val="TAL"/>
            </w:pPr>
          </w:p>
          <w:p w14:paraId="52D909CC" w14:textId="77777777" w:rsidR="00A10B25" w:rsidRDefault="00A10B25">
            <w:pPr>
              <w:pStyle w:val="TAL"/>
            </w:pPr>
            <w:r>
              <w:t>(NOTE 2)</w:t>
            </w:r>
          </w:p>
        </w:tc>
      </w:tr>
      <w:tr w:rsidR="00A10B25" w14:paraId="389436F3" w14:textId="77777777">
        <w:trPr>
          <w:jc w:val="center"/>
        </w:trPr>
        <w:tc>
          <w:tcPr>
            <w:tcW w:w="5000" w:type="pct"/>
            <w:gridSpan w:val="5"/>
          </w:tcPr>
          <w:p w14:paraId="6E5E63FC" w14:textId="77777777" w:rsidR="00A10B25" w:rsidRDefault="00A10B25">
            <w:pPr>
              <w:pStyle w:val="TAN"/>
            </w:pPr>
            <w:r>
              <w:t>NOTE 1:</w:t>
            </w:r>
            <w:r>
              <w:tab/>
              <w:t>The mandatory HTTP error status codes for the DELETE method listed in table 5.2.7.1-1 of 3GPP TS 29.500 [6] also apply.</w:t>
            </w:r>
          </w:p>
          <w:p w14:paraId="362EB2F5" w14:textId="77777777" w:rsidR="00A10B25" w:rsidRDefault="00A10B25">
            <w:pPr>
              <w:pStyle w:val="TAN"/>
            </w:pPr>
            <w:r>
              <w:t>NOTE 2:</w:t>
            </w:r>
            <w:r>
              <w:tab/>
              <w:t>The RedirectResponse data structure may be provided by an SCP (cf. clause 6.10.9.1 of 3GPP TS 29.500 [6]).</w:t>
            </w:r>
          </w:p>
        </w:tc>
      </w:tr>
    </w:tbl>
    <w:p w14:paraId="290CC8DE" w14:textId="77777777" w:rsidR="00A10B25" w:rsidRDefault="00A10B25">
      <w:pPr>
        <w:rPr>
          <w:lang w:val="en-US" w:eastAsia="zh-CN"/>
        </w:rPr>
      </w:pPr>
    </w:p>
    <w:p w14:paraId="6A82B627" w14:textId="77777777" w:rsidR="00A10B25" w:rsidRDefault="00A10B25">
      <w:pPr>
        <w:pStyle w:val="TH"/>
      </w:pPr>
      <w:r>
        <w:t>Table 5.3.3.3.3.2-4: Headers supported by the 307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F2358C8" w14:textId="77777777">
        <w:trPr>
          <w:jc w:val="center"/>
        </w:trPr>
        <w:tc>
          <w:tcPr>
            <w:tcW w:w="825" w:type="pct"/>
            <w:tcBorders>
              <w:bottom w:val="single" w:sz="6" w:space="0" w:color="auto"/>
            </w:tcBorders>
            <w:shd w:val="clear" w:color="auto" w:fill="C0C0C0"/>
          </w:tcPr>
          <w:p w14:paraId="3392D747" w14:textId="77777777" w:rsidR="00A10B25" w:rsidRDefault="00A10B25">
            <w:pPr>
              <w:pStyle w:val="TAH"/>
            </w:pPr>
            <w:r>
              <w:t>Name</w:t>
            </w:r>
          </w:p>
        </w:tc>
        <w:tc>
          <w:tcPr>
            <w:tcW w:w="732" w:type="pct"/>
            <w:tcBorders>
              <w:bottom w:val="single" w:sz="6" w:space="0" w:color="auto"/>
            </w:tcBorders>
            <w:shd w:val="clear" w:color="auto" w:fill="C0C0C0"/>
          </w:tcPr>
          <w:p w14:paraId="235981DB" w14:textId="77777777" w:rsidR="00A10B25" w:rsidRDefault="00A10B25">
            <w:pPr>
              <w:pStyle w:val="TAH"/>
            </w:pPr>
            <w:r>
              <w:t>Data type</w:t>
            </w:r>
          </w:p>
        </w:tc>
        <w:tc>
          <w:tcPr>
            <w:tcW w:w="217" w:type="pct"/>
            <w:tcBorders>
              <w:bottom w:val="single" w:sz="6" w:space="0" w:color="auto"/>
            </w:tcBorders>
            <w:shd w:val="clear" w:color="auto" w:fill="C0C0C0"/>
          </w:tcPr>
          <w:p w14:paraId="3BD777D7" w14:textId="77777777" w:rsidR="00A10B25" w:rsidRDefault="00A10B25">
            <w:pPr>
              <w:pStyle w:val="TAH"/>
            </w:pPr>
            <w:r>
              <w:t>P</w:t>
            </w:r>
          </w:p>
        </w:tc>
        <w:tc>
          <w:tcPr>
            <w:tcW w:w="581" w:type="pct"/>
            <w:tcBorders>
              <w:bottom w:val="single" w:sz="6" w:space="0" w:color="auto"/>
            </w:tcBorders>
            <w:shd w:val="clear" w:color="auto" w:fill="C0C0C0"/>
          </w:tcPr>
          <w:p w14:paraId="541D3F4F"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1128921" w14:textId="77777777" w:rsidR="00A10B25" w:rsidRDefault="00A10B25">
            <w:pPr>
              <w:pStyle w:val="TAH"/>
            </w:pPr>
            <w:r>
              <w:t>Description</w:t>
            </w:r>
          </w:p>
        </w:tc>
      </w:tr>
      <w:tr w:rsidR="00A10B25" w14:paraId="0B47209D" w14:textId="77777777">
        <w:trPr>
          <w:jc w:val="center"/>
        </w:trPr>
        <w:tc>
          <w:tcPr>
            <w:tcW w:w="825" w:type="pct"/>
            <w:tcBorders>
              <w:top w:val="single" w:sz="6" w:space="0" w:color="auto"/>
            </w:tcBorders>
          </w:tcPr>
          <w:p w14:paraId="4A11C76D" w14:textId="77777777" w:rsidR="00A10B25" w:rsidRDefault="00A10B25">
            <w:pPr>
              <w:pStyle w:val="TAL"/>
            </w:pPr>
            <w:r>
              <w:t>Location</w:t>
            </w:r>
          </w:p>
        </w:tc>
        <w:tc>
          <w:tcPr>
            <w:tcW w:w="732" w:type="pct"/>
            <w:tcBorders>
              <w:top w:val="single" w:sz="6" w:space="0" w:color="auto"/>
            </w:tcBorders>
          </w:tcPr>
          <w:p w14:paraId="271C6C94" w14:textId="77777777" w:rsidR="00A10B25" w:rsidRDefault="00A10B25">
            <w:pPr>
              <w:pStyle w:val="TAL"/>
            </w:pPr>
            <w:r>
              <w:t>string</w:t>
            </w:r>
          </w:p>
        </w:tc>
        <w:tc>
          <w:tcPr>
            <w:tcW w:w="217" w:type="pct"/>
            <w:tcBorders>
              <w:top w:val="single" w:sz="6" w:space="0" w:color="auto"/>
            </w:tcBorders>
          </w:tcPr>
          <w:p w14:paraId="087E244A" w14:textId="77777777" w:rsidR="00A10B25" w:rsidRDefault="00A10B25">
            <w:pPr>
              <w:pStyle w:val="TAC"/>
            </w:pPr>
            <w:r>
              <w:t>M</w:t>
            </w:r>
          </w:p>
        </w:tc>
        <w:tc>
          <w:tcPr>
            <w:tcW w:w="581" w:type="pct"/>
            <w:tcBorders>
              <w:top w:val="single" w:sz="6" w:space="0" w:color="auto"/>
            </w:tcBorders>
          </w:tcPr>
          <w:p w14:paraId="6A42D909" w14:textId="77777777" w:rsidR="00A10B25" w:rsidRDefault="00A10B25">
            <w:pPr>
              <w:pStyle w:val="TAL"/>
            </w:pPr>
            <w:r>
              <w:t>1</w:t>
            </w:r>
          </w:p>
        </w:tc>
        <w:tc>
          <w:tcPr>
            <w:tcW w:w="2645" w:type="pct"/>
            <w:tcBorders>
              <w:top w:val="single" w:sz="6" w:space="0" w:color="auto"/>
            </w:tcBorders>
            <w:vAlign w:val="center"/>
          </w:tcPr>
          <w:p w14:paraId="218D2A47"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F9BB0DF" w14:textId="77777777" w:rsidR="00A10B25" w:rsidRDefault="00A10B25">
            <w:pPr>
              <w:pStyle w:val="TAL"/>
            </w:pPr>
          </w:p>
          <w:p w14:paraId="52DD3500" w14:textId="77777777" w:rsidR="00A10B25" w:rsidRDefault="00A10B25">
            <w:pPr>
              <w:pStyle w:val="TAL"/>
            </w:pPr>
            <w:r>
              <w:t>For the case where the request is redirected to the same target via a different SCP, refer to clause 6.10.9.1 of 3GPP TS 29.500 [6].</w:t>
            </w:r>
          </w:p>
        </w:tc>
      </w:tr>
      <w:tr w:rsidR="00A10B25" w14:paraId="56842322" w14:textId="77777777">
        <w:trPr>
          <w:jc w:val="center"/>
        </w:trPr>
        <w:tc>
          <w:tcPr>
            <w:tcW w:w="825" w:type="pct"/>
          </w:tcPr>
          <w:p w14:paraId="42BAD1D2" w14:textId="77777777" w:rsidR="00A10B25" w:rsidRDefault="00A10B25">
            <w:pPr>
              <w:pStyle w:val="TAL"/>
            </w:pPr>
            <w:r>
              <w:rPr>
                <w:lang w:eastAsia="zh-CN"/>
              </w:rPr>
              <w:t>3gpp-Sbi-Target-Nf-Id</w:t>
            </w:r>
          </w:p>
        </w:tc>
        <w:tc>
          <w:tcPr>
            <w:tcW w:w="732" w:type="pct"/>
          </w:tcPr>
          <w:p w14:paraId="14103444" w14:textId="77777777" w:rsidR="00A10B25" w:rsidRDefault="00A10B25">
            <w:pPr>
              <w:pStyle w:val="TAL"/>
            </w:pPr>
            <w:r>
              <w:rPr>
                <w:lang w:eastAsia="fr-FR"/>
              </w:rPr>
              <w:t>string</w:t>
            </w:r>
          </w:p>
        </w:tc>
        <w:tc>
          <w:tcPr>
            <w:tcW w:w="217" w:type="pct"/>
          </w:tcPr>
          <w:p w14:paraId="4CB1D969" w14:textId="77777777" w:rsidR="00A10B25" w:rsidRDefault="00A10B25">
            <w:pPr>
              <w:pStyle w:val="TAC"/>
            </w:pPr>
            <w:r>
              <w:rPr>
                <w:lang w:eastAsia="fr-FR"/>
              </w:rPr>
              <w:t>O</w:t>
            </w:r>
          </w:p>
        </w:tc>
        <w:tc>
          <w:tcPr>
            <w:tcW w:w="581" w:type="pct"/>
          </w:tcPr>
          <w:p w14:paraId="5DEE80A3" w14:textId="77777777" w:rsidR="00A10B25" w:rsidRDefault="00A10B25">
            <w:pPr>
              <w:pStyle w:val="TAL"/>
            </w:pPr>
            <w:r>
              <w:rPr>
                <w:lang w:eastAsia="fr-FR"/>
              </w:rPr>
              <w:t>0..1</w:t>
            </w:r>
          </w:p>
        </w:tc>
        <w:tc>
          <w:tcPr>
            <w:tcW w:w="2645" w:type="pct"/>
            <w:vAlign w:val="center"/>
          </w:tcPr>
          <w:p w14:paraId="21C9D1D9" w14:textId="77777777" w:rsidR="00A10B25" w:rsidRDefault="00A10B25">
            <w:pPr>
              <w:pStyle w:val="TAL"/>
            </w:pPr>
            <w:r>
              <w:rPr>
                <w:lang w:eastAsia="fr-FR"/>
              </w:rPr>
              <w:t>Identifier of the target NWDAF (service) instance towards which the request is redirected.</w:t>
            </w:r>
          </w:p>
        </w:tc>
      </w:tr>
    </w:tbl>
    <w:p w14:paraId="2644BD20" w14:textId="77777777" w:rsidR="00A10B25" w:rsidRDefault="00A10B25"/>
    <w:p w14:paraId="36182C13" w14:textId="77777777" w:rsidR="00A10B25" w:rsidRDefault="00A10B25">
      <w:pPr>
        <w:pStyle w:val="TH"/>
      </w:pPr>
      <w:r>
        <w:t>Table 5.3.3.3.3.2-5: Headers supported by the 308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D91DAF9" w14:textId="77777777">
        <w:trPr>
          <w:jc w:val="center"/>
        </w:trPr>
        <w:tc>
          <w:tcPr>
            <w:tcW w:w="825" w:type="pct"/>
            <w:tcBorders>
              <w:bottom w:val="single" w:sz="6" w:space="0" w:color="auto"/>
            </w:tcBorders>
            <w:shd w:val="clear" w:color="auto" w:fill="C0C0C0"/>
          </w:tcPr>
          <w:p w14:paraId="585F9843" w14:textId="77777777" w:rsidR="00A10B25" w:rsidRDefault="00A10B25">
            <w:pPr>
              <w:pStyle w:val="TAH"/>
            </w:pPr>
            <w:r>
              <w:t>Name</w:t>
            </w:r>
          </w:p>
        </w:tc>
        <w:tc>
          <w:tcPr>
            <w:tcW w:w="732" w:type="pct"/>
            <w:tcBorders>
              <w:bottom w:val="single" w:sz="6" w:space="0" w:color="auto"/>
            </w:tcBorders>
            <w:shd w:val="clear" w:color="auto" w:fill="C0C0C0"/>
          </w:tcPr>
          <w:p w14:paraId="6661277E" w14:textId="77777777" w:rsidR="00A10B25" w:rsidRDefault="00A10B25">
            <w:pPr>
              <w:pStyle w:val="TAH"/>
            </w:pPr>
            <w:r>
              <w:t>Data type</w:t>
            </w:r>
          </w:p>
        </w:tc>
        <w:tc>
          <w:tcPr>
            <w:tcW w:w="217" w:type="pct"/>
            <w:tcBorders>
              <w:bottom w:val="single" w:sz="6" w:space="0" w:color="auto"/>
            </w:tcBorders>
            <w:shd w:val="clear" w:color="auto" w:fill="C0C0C0"/>
          </w:tcPr>
          <w:p w14:paraId="3834EEDB" w14:textId="77777777" w:rsidR="00A10B25" w:rsidRDefault="00A10B25">
            <w:pPr>
              <w:pStyle w:val="TAH"/>
            </w:pPr>
            <w:r>
              <w:t>P</w:t>
            </w:r>
          </w:p>
        </w:tc>
        <w:tc>
          <w:tcPr>
            <w:tcW w:w="581" w:type="pct"/>
            <w:tcBorders>
              <w:bottom w:val="single" w:sz="6" w:space="0" w:color="auto"/>
            </w:tcBorders>
            <w:shd w:val="clear" w:color="auto" w:fill="C0C0C0"/>
          </w:tcPr>
          <w:p w14:paraId="61BC187B"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804071F" w14:textId="77777777" w:rsidR="00A10B25" w:rsidRDefault="00A10B25">
            <w:pPr>
              <w:pStyle w:val="TAH"/>
            </w:pPr>
            <w:r>
              <w:t>Description</w:t>
            </w:r>
          </w:p>
        </w:tc>
      </w:tr>
      <w:tr w:rsidR="00A10B25" w14:paraId="04660168" w14:textId="77777777">
        <w:trPr>
          <w:jc w:val="center"/>
        </w:trPr>
        <w:tc>
          <w:tcPr>
            <w:tcW w:w="825" w:type="pct"/>
            <w:tcBorders>
              <w:top w:val="single" w:sz="6" w:space="0" w:color="auto"/>
            </w:tcBorders>
          </w:tcPr>
          <w:p w14:paraId="7F8A4A76" w14:textId="77777777" w:rsidR="00A10B25" w:rsidRDefault="00A10B25">
            <w:pPr>
              <w:pStyle w:val="TAL"/>
            </w:pPr>
            <w:r>
              <w:t>Location</w:t>
            </w:r>
          </w:p>
        </w:tc>
        <w:tc>
          <w:tcPr>
            <w:tcW w:w="732" w:type="pct"/>
            <w:tcBorders>
              <w:top w:val="single" w:sz="6" w:space="0" w:color="auto"/>
            </w:tcBorders>
          </w:tcPr>
          <w:p w14:paraId="7757800F" w14:textId="77777777" w:rsidR="00A10B25" w:rsidRDefault="00A10B25">
            <w:pPr>
              <w:pStyle w:val="TAL"/>
            </w:pPr>
            <w:r>
              <w:t>string</w:t>
            </w:r>
          </w:p>
        </w:tc>
        <w:tc>
          <w:tcPr>
            <w:tcW w:w="217" w:type="pct"/>
            <w:tcBorders>
              <w:top w:val="single" w:sz="6" w:space="0" w:color="auto"/>
            </w:tcBorders>
          </w:tcPr>
          <w:p w14:paraId="72D8AE91" w14:textId="77777777" w:rsidR="00A10B25" w:rsidRDefault="00A10B25">
            <w:pPr>
              <w:pStyle w:val="TAC"/>
            </w:pPr>
            <w:r>
              <w:t>M</w:t>
            </w:r>
          </w:p>
        </w:tc>
        <w:tc>
          <w:tcPr>
            <w:tcW w:w="581" w:type="pct"/>
            <w:tcBorders>
              <w:top w:val="single" w:sz="6" w:space="0" w:color="auto"/>
            </w:tcBorders>
          </w:tcPr>
          <w:p w14:paraId="7DADD8E6" w14:textId="77777777" w:rsidR="00A10B25" w:rsidRDefault="00A10B25">
            <w:pPr>
              <w:pStyle w:val="TAL"/>
            </w:pPr>
            <w:r>
              <w:t>1</w:t>
            </w:r>
          </w:p>
        </w:tc>
        <w:tc>
          <w:tcPr>
            <w:tcW w:w="2645" w:type="pct"/>
            <w:tcBorders>
              <w:top w:val="single" w:sz="6" w:space="0" w:color="auto"/>
            </w:tcBorders>
            <w:vAlign w:val="center"/>
          </w:tcPr>
          <w:p w14:paraId="1166E2DF"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31A4D78" w14:textId="77777777" w:rsidR="00A10B25" w:rsidRDefault="00A10B25">
            <w:pPr>
              <w:pStyle w:val="TAL"/>
            </w:pPr>
          </w:p>
          <w:p w14:paraId="131AC0E0" w14:textId="77777777" w:rsidR="00A10B25" w:rsidRDefault="00A10B25">
            <w:pPr>
              <w:pStyle w:val="TAL"/>
            </w:pPr>
            <w:r>
              <w:t>For the case where the request is redirected to the same target via a different SCP, refer to clause 6.10.9.1 of 3GPP TS 29.500 [6].</w:t>
            </w:r>
          </w:p>
        </w:tc>
      </w:tr>
      <w:tr w:rsidR="00A10B25" w14:paraId="1D421A6F" w14:textId="77777777">
        <w:trPr>
          <w:jc w:val="center"/>
        </w:trPr>
        <w:tc>
          <w:tcPr>
            <w:tcW w:w="825" w:type="pct"/>
          </w:tcPr>
          <w:p w14:paraId="5850B6D1" w14:textId="77777777" w:rsidR="00A10B25" w:rsidRDefault="00A10B25">
            <w:pPr>
              <w:pStyle w:val="TAL"/>
            </w:pPr>
            <w:r>
              <w:rPr>
                <w:lang w:eastAsia="zh-CN"/>
              </w:rPr>
              <w:t>3gpp-Sbi-Target-Nf-Id</w:t>
            </w:r>
          </w:p>
        </w:tc>
        <w:tc>
          <w:tcPr>
            <w:tcW w:w="732" w:type="pct"/>
          </w:tcPr>
          <w:p w14:paraId="2B824712" w14:textId="77777777" w:rsidR="00A10B25" w:rsidRDefault="00A10B25">
            <w:pPr>
              <w:pStyle w:val="TAL"/>
            </w:pPr>
            <w:r>
              <w:rPr>
                <w:lang w:eastAsia="fr-FR"/>
              </w:rPr>
              <w:t>string</w:t>
            </w:r>
          </w:p>
        </w:tc>
        <w:tc>
          <w:tcPr>
            <w:tcW w:w="217" w:type="pct"/>
          </w:tcPr>
          <w:p w14:paraId="3FED3A88" w14:textId="77777777" w:rsidR="00A10B25" w:rsidRDefault="00A10B25">
            <w:pPr>
              <w:pStyle w:val="TAC"/>
            </w:pPr>
            <w:r>
              <w:rPr>
                <w:lang w:eastAsia="fr-FR"/>
              </w:rPr>
              <w:t>O</w:t>
            </w:r>
          </w:p>
        </w:tc>
        <w:tc>
          <w:tcPr>
            <w:tcW w:w="581" w:type="pct"/>
          </w:tcPr>
          <w:p w14:paraId="0AEB47B4" w14:textId="77777777" w:rsidR="00A10B25" w:rsidRDefault="00A10B25">
            <w:pPr>
              <w:pStyle w:val="TAL"/>
            </w:pPr>
            <w:r>
              <w:rPr>
                <w:lang w:eastAsia="fr-FR"/>
              </w:rPr>
              <w:t>0..1</w:t>
            </w:r>
          </w:p>
        </w:tc>
        <w:tc>
          <w:tcPr>
            <w:tcW w:w="2645" w:type="pct"/>
            <w:vAlign w:val="center"/>
          </w:tcPr>
          <w:p w14:paraId="7F2A8520" w14:textId="77777777" w:rsidR="00A10B25" w:rsidRDefault="00A10B25">
            <w:pPr>
              <w:pStyle w:val="TAL"/>
            </w:pPr>
            <w:r>
              <w:rPr>
                <w:lang w:eastAsia="fr-FR"/>
              </w:rPr>
              <w:t>Identifier of the target NWDAF (service) instance towards which the request is redirected.</w:t>
            </w:r>
          </w:p>
        </w:tc>
      </w:tr>
    </w:tbl>
    <w:p w14:paraId="0BFCC6E8" w14:textId="77777777" w:rsidR="00A10B25" w:rsidRDefault="00A10B25">
      <w:pPr>
        <w:rPr>
          <w:rFonts w:eastAsia="MS Mincho"/>
          <w:lang w:eastAsia="ja-JP"/>
        </w:rPr>
      </w:pPr>
    </w:p>
    <w:p w14:paraId="7B6756B1" w14:textId="77777777" w:rsidR="00A10B25" w:rsidRDefault="00A10B25">
      <w:pPr>
        <w:pStyle w:val="5"/>
      </w:pPr>
      <w:bookmarkStart w:id="12135" w:name="_Toc136562581"/>
      <w:bookmarkStart w:id="12136" w:name="_Toc138754415"/>
      <w:bookmarkStart w:id="12137" w:name="_Toc145705910"/>
      <w:bookmarkStart w:id="12138" w:name="_Toc148522820"/>
      <w:bookmarkStart w:id="12139" w:name="_Toc164921008"/>
      <w:bookmarkStart w:id="12140" w:name="_Toc170120550"/>
      <w:bookmarkStart w:id="12141" w:name="_Toc175858795"/>
      <w:bookmarkStart w:id="12142" w:name="_Toc175859868"/>
      <w:bookmarkStart w:id="12143" w:name="_Toc180606158"/>
      <w:bookmarkStart w:id="12144" w:name="_Toc185517419"/>
      <w:bookmarkStart w:id="12145" w:name="_Toc191576471"/>
      <w:bookmarkStart w:id="12146" w:name="_Toc191577211"/>
      <w:bookmarkStart w:id="12147" w:name="_Toc192880281"/>
      <w:bookmarkStart w:id="12148" w:name="_Toc195815170"/>
      <w:bookmarkStart w:id="12149" w:name="_Toc199453137"/>
      <w:r>
        <w:t>5.3.3.3.4</w:t>
      </w:r>
      <w:r>
        <w:tab/>
        <w:t>Resource Custom Operations</w:t>
      </w:r>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4675CF25" w14:textId="77777777" w:rsidR="00A10B25" w:rsidRDefault="00A10B25">
      <w:pPr>
        <w:rPr>
          <w:lang w:val="en-US" w:eastAsia="zh-CN"/>
        </w:rPr>
      </w:pPr>
      <w:r>
        <w:t>None in this release of the specification.</w:t>
      </w:r>
    </w:p>
    <w:p w14:paraId="3098883F" w14:textId="77777777" w:rsidR="00A10B25" w:rsidRDefault="00A10B25">
      <w:pPr>
        <w:pStyle w:val="3"/>
      </w:pPr>
      <w:bookmarkStart w:id="12150" w:name="_Toc98233807"/>
      <w:bookmarkStart w:id="12151" w:name="_Toc90656004"/>
      <w:bookmarkStart w:id="12152" w:name="_Toc85557209"/>
      <w:bookmarkStart w:id="12153" w:name="_Toc120702483"/>
      <w:bookmarkStart w:id="12154" w:name="_Toc112951303"/>
      <w:bookmarkStart w:id="12155" w:name="_Toc85553110"/>
      <w:bookmarkStart w:id="12156" w:name="_Toc101244585"/>
      <w:bookmarkStart w:id="12157" w:name="_Toc113031843"/>
      <w:bookmarkStart w:id="12158" w:name="_Toc88667719"/>
      <w:bookmarkStart w:id="12159" w:name="_Toc94064409"/>
      <w:bookmarkStart w:id="12160" w:name="_Toc136562582"/>
      <w:bookmarkStart w:id="12161" w:name="_Toc138754416"/>
      <w:bookmarkStart w:id="12162" w:name="_Toc145705911"/>
      <w:bookmarkStart w:id="12163" w:name="_Toc114133982"/>
      <w:bookmarkStart w:id="12164" w:name="_Toc104539180"/>
      <w:bookmarkStart w:id="12165" w:name="_Toc70550726"/>
      <w:bookmarkStart w:id="12166" w:name="_Toc148522821"/>
      <w:bookmarkStart w:id="12167" w:name="_Toc83233181"/>
      <w:bookmarkStart w:id="12168" w:name="_Toc164921009"/>
      <w:bookmarkStart w:id="12169" w:name="_Toc170120551"/>
      <w:bookmarkStart w:id="12170" w:name="_Toc175858796"/>
      <w:bookmarkStart w:id="12171" w:name="_Toc175859869"/>
      <w:bookmarkStart w:id="12172" w:name="_Toc180606159"/>
      <w:bookmarkStart w:id="12173" w:name="_Toc185517420"/>
      <w:bookmarkStart w:id="12174" w:name="_Toc191576472"/>
      <w:bookmarkStart w:id="12175" w:name="_Toc191577212"/>
      <w:bookmarkStart w:id="12176" w:name="_Toc192880282"/>
      <w:bookmarkStart w:id="12177" w:name="_Toc195815171"/>
      <w:bookmarkStart w:id="12178" w:name="_Toc199453138"/>
      <w:r>
        <w:rPr>
          <w:lang w:val="en-US"/>
        </w:rPr>
        <w:t>5.3.4</w:t>
      </w:r>
      <w:r>
        <w:rPr>
          <w:lang w:val="en-US"/>
        </w:rPr>
        <w:tab/>
        <w:t>Custom Operations without associated resources</w:t>
      </w:r>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66AFAF80" w14:textId="77777777" w:rsidR="00E06B31" w:rsidRPr="00223A22" w:rsidRDefault="00E06B31" w:rsidP="00E06B31">
      <w:pPr>
        <w:rPr>
          <w:rFonts w:eastAsia="Batang"/>
          <w:lang w:val="en-US"/>
        </w:rPr>
      </w:pPr>
      <w:r>
        <w:rPr>
          <w:rFonts w:eastAsia="Batang"/>
          <w:lang w:val="en-US"/>
        </w:rPr>
        <w:t>None in this release of the specification.</w:t>
      </w:r>
    </w:p>
    <w:p w14:paraId="7CECC0CD" w14:textId="77777777" w:rsidR="00A10B25" w:rsidRDefault="00A10B25">
      <w:pPr>
        <w:pStyle w:val="3"/>
        <w:rPr>
          <w:lang w:val="en-US"/>
        </w:rPr>
      </w:pPr>
      <w:bookmarkStart w:id="12179" w:name="_Toc104539181"/>
      <w:bookmarkStart w:id="12180" w:name="_Toc112951304"/>
      <w:bookmarkStart w:id="12181" w:name="_Toc85557210"/>
      <w:bookmarkStart w:id="12182" w:name="_Toc136562583"/>
      <w:bookmarkStart w:id="12183" w:name="_Toc113031844"/>
      <w:bookmarkStart w:id="12184" w:name="_Toc138754417"/>
      <w:bookmarkStart w:id="12185" w:name="_Toc101244586"/>
      <w:bookmarkStart w:id="12186" w:name="_Toc70550727"/>
      <w:bookmarkStart w:id="12187" w:name="_Toc148522822"/>
      <w:bookmarkStart w:id="12188" w:name="_Toc83233182"/>
      <w:bookmarkStart w:id="12189" w:name="_Toc114133983"/>
      <w:bookmarkStart w:id="12190" w:name="_Toc98233808"/>
      <w:bookmarkStart w:id="12191" w:name="_Toc120702484"/>
      <w:bookmarkStart w:id="12192" w:name="_Toc88667720"/>
      <w:bookmarkStart w:id="12193" w:name="_Toc145705912"/>
      <w:bookmarkStart w:id="12194" w:name="_Toc94064410"/>
      <w:bookmarkStart w:id="12195" w:name="_Toc90656005"/>
      <w:bookmarkStart w:id="12196" w:name="_Toc85553111"/>
      <w:bookmarkStart w:id="12197" w:name="_Toc164921010"/>
      <w:bookmarkStart w:id="12198" w:name="_Toc170120552"/>
      <w:bookmarkStart w:id="12199" w:name="_Toc175858797"/>
      <w:bookmarkStart w:id="12200" w:name="_Toc175859870"/>
      <w:bookmarkStart w:id="12201" w:name="_Toc180606160"/>
      <w:bookmarkStart w:id="12202" w:name="_Toc185517421"/>
      <w:bookmarkStart w:id="12203" w:name="_Toc191576473"/>
      <w:bookmarkStart w:id="12204" w:name="_Toc191577213"/>
      <w:bookmarkStart w:id="12205" w:name="_Toc192880283"/>
      <w:bookmarkStart w:id="12206" w:name="_Toc195815172"/>
      <w:bookmarkStart w:id="12207" w:name="_Toc199453139"/>
      <w:r>
        <w:rPr>
          <w:lang w:val="en-US"/>
        </w:rPr>
        <w:lastRenderedPageBreak/>
        <w:t>5.3.5</w:t>
      </w:r>
      <w:r>
        <w:rPr>
          <w:lang w:val="en-US"/>
        </w:rPr>
        <w:tab/>
        <w:t>Notifications</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p>
    <w:p w14:paraId="21AD699E" w14:textId="77777777" w:rsidR="00A10B25" w:rsidRDefault="00A10B25">
      <w:pPr>
        <w:pStyle w:val="4"/>
      </w:pPr>
      <w:bookmarkStart w:id="12208" w:name="_Toc112951305"/>
      <w:bookmarkStart w:id="12209" w:name="_Toc120702485"/>
      <w:bookmarkStart w:id="12210" w:name="_Toc114133984"/>
      <w:bookmarkStart w:id="12211" w:name="_Toc104539182"/>
      <w:bookmarkStart w:id="12212" w:name="_Toc136562584"/>
      <w:bookmarkStart w:id="12213" w:name="_Toc113031845"/>
      <w:bookmarkStart w:id="12214" w:name="_Toc148522823"/>
      <w:bookmarkStart w:id="12215" w:name="_Toc138754418"/>
      <w:bookmarkStart w:id="12216" w:name="_Toc145705913"/>
      <w:bookmarkStart w:id="12217" w:name="_Toc164921011"/>
      <w:bookmarkStart w:id="12218" w:name="_Toc170120553"/>
      <w:bookmarkStart w:id="12219" w:name="_Toc175858798"/>
      <w:bookmarkStart w:id="12220" w:name="_Toc175859871"/>
      <w:bookmarkStart w:id="12221" w:name="_Toc180606161"/>
      <w:bookmarkStart w:id="12222" w:name="_Toc185517422"/>
      <w:bookmarkStart w:id="12223" w:name="_Toc191576474"/>
      <w:bookmarkStart w:id="12224" w:name="_Toc191577214"/>
      <w:bookmarkStart w:id="12225" w:name="_Toc192880284"/>
      <w:bookmarkStart w:id="12226" w:name="_Toc195815173"/>
      <w:bookmarkStart w:id="12227" w:name="_Toc199453140"/>
      <w:r>
        <w:t>5.3.5.1</w:t>
      </w:r>
      <w:r>
        <w:tab/>
        <w:t>General</w:t>
      </w:r>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14B990AB" w14:textId="77777777" w:rsidR="00A10B25" w:rsidRDefault="00A10B25">
      <w:r>
        <w:t>Notifications shall comply with clause 6.2 of 3GPP TS 29.500 [6] and clause 4.6.2.3 of 3GPP TS 29.501 [7].</w:t>
      </w:r>
    </w:p>
    <w:p w14:paraId="2DEFA16D" w14:textId="77777777" w:rsidR="00A10B25" w:rsidRDefault="00A10B25">
      <w:pPr>
        <w:pStyle w:val="TH"/>
      </w:pPr>
      <w:r>
        <w:t>Table 5.3.5.1-1: Notifications overview</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A10B25" w14:paraId="37C3315D" w14:textId="77777777">
        <w:trPr>
          <w:jc w:val="center"/>
        </w:trPr>
        <w:tc>
          <w:tcPr>
            <w:tcW w:w="1258" w:type="pct"/>
            <w:shd w:val="clear" w:color="auto" w:fill="C0C0C0"/>
          </w:tcPr>
          <w:p w14:paraId="5D109A01" w14:textId="77777777" w:rsidR="00A10B25" w:rsidRDefault="00A10B25">
            <w:pPr>
              <w:pStyle w:val="TAH"/>
            </w:pPr>
            <w:r>
              <w:t>Notification</w:t>
            </w:r>
          </w:p>
        </w:tc>
        <w:tc>
          <w:tcPr>
            <w:tcW w:w="1258" w:type="pct"/>
            <w:shd w:val="clear" w:color="auto" w:fill="C0C0C0"/>
            <w:vAlign w:val="center"/>
          </w:tcPr>
          <w:p w14:paraId="60F0F62C" w14:textId="77777777" w:rsidR="00A10B25" w:rsidRDefault="00A10B25">
            <w:pPr>
              <w:pStyle w:val="TAH"/>
            </w:pPr>
            <w:r>
              <w:t>Callback URI</w:t>
            </w:r>
          </w:p>
        </w:tc>
        <w:tc>
          <w:tcPr>
            <w:tcW w:w="666" w:type="pct"/>
            <w:shd w:val="clear" w:color="auto" w:fill="C0C0C0"/>
            <w:vAlign w:val="center"/>
          </w:tcPr>
          <w:p w14:paraId="1720DFB6" w14:textId="77777777" w:rsidR="00A10B25" w:rsidRDefault="00A10B25">
            <w:pPr>
              <w:pStyle w:val="TAH"/>
            </w:pPr>
            <w:r>
              <w:t>HTTP method or custom operation</w:t>
            </w:r>
          </w:p>
        </w:tc>
        <w:tc>
          <w:tcPr>
            <w:tcW w:w="1818" w:type="pct"/>
            <w:shd w:val="clear" w:color="auto" w:fill="C0C0C0"/>
            <w:vAlign w:val="center"/>
          </w:tcPr>
          <w:p w14:paraId="633307E8" w14:textId="77777777" w:rsidR="00A10B25" w:rsidRDefault="00A10B25">
            <w:pPr>
              <w:pStyle w:val="TAH"/>
            </w:pPr>
            <w:r>
              <w:t>Description (service operation)</w:t>
            </w:r>
          </w:p>
        </w:tc>
      </w:tr>
      <w:tr w:rsidR="00A10B25" w14:paraId="3D3E8A6A" w14:textId="77777777">
        <w:trPr>
          <w:jc w:val="center"/>
        </w:trPr>
        <w:tc>
          <w:tcPr>
            <w:tcW w:w="1258" w:type="pct"/>
          </w:tcPr>
          <w:p w14:paraId="56498DB5" w14:textId="77777777" w:rsidR="00A10B25" w:rsidRDefault="00A10B25">
            <w:pPr>
              <w:pStyle w:val="TAL"/>
              <w:rPr>
                <w:lang w:val="en-US" w:eastAsia="zh-CN"/>
              </w:rPr>
            </w:pPr>
            <w:r>
              <w:rPr>
                <w:rFonts w:cs="Arial"/>
                <w:szCs w:val="18"/>
                <w:lang w:val="en-US"/>
              </w:rPr>
              <w:t>Event Notification</w:t>
            </w:r>
          </w:p>
        </w:tc>
        <w:tc>
          <w:tcPr>
            <w:tcW w:w="1258" w:type="pct"/>
          </w:tcPr>
          <w:p w14:paraId="5ECE392F" w14:textId="77777777" w:rsidR="00A10B25" w:rsidRDefault="00A10B25">
            <w:pPr>
              <w:pStyle w:val="TAL"/>
            </w:pPr>
            <w:r>
              <w:rPr>
                <w:lang w:val="en-US" w:eastAsia="zh-CN"/>
              </w:rPr>
              <w:t>{</w:t>
            </w:r>
            <w:r>
              <w:t>notificURI</w:t>
            </w:r>
            <w:r>
              <w:rPr>
                <w:lang w:val="en-US" w:eastAsia="zh-CN"/>
              </w:rPr>
              <w:t>}</w:t>
            </w:r>
          </w:p>
        </w:tc>
        <w:tc>
          <w:tcPr>
            <w:tcW w:w="666" w:type="pct"/>
          </w:tcPr>
          <w:p w14:paraId="2874B783" w14:textId="77777777" w:rsidR="00A10B25" w:rsidRDefault="00A10B25">
            <w:pPr>
              <w:pStyle w:val="TAL"/>
            </w:pPr>
            <w:r>
              <w:t>POST</w:t>
            </w:r>
          </w:p>
        </w:tc>
        <w:tc>
          <w:tcPr>
            <w:tcW w:w="1818" w:type="pct"/>
          </w:tcPr>
          <w:p w14:paraId="20B0E499" w14:textId="77777777" w:rsidR="00A10B25" w:rsidRDefault="00A10B25">
            <w:pPr>
              <w:pStyle w:val="TAL"/>
            </w:pPr>
            <w:r>
              <w:t>Report one or several observed data.</w:t>
            </w:r>
          </w:p>
        </w:tc>
      </w:tr>
      <w:tr w:rsidR="00A10B25" w14:paraId="6732B418" w14:textId="77777777">
        <w:trPr>
          <w:jc w:val="center"/>
        </w:trPr>
        <w:tc>
          <w:tcPr>
            <w:tcW w:w="1258" w:type="pct"/>
          </w:tcPr>
          <w:p w14:paraId="2350CD44" w14:textId="77777777" w:rsidR="00A10B25" w:rsidRDefault="00A10B25">
            <w:pPr>
              <w:pStyle w:val="TAL"/>
              <w:rPr>
                <w:rFonts w:cs="Arial"/>
                <w:szCs w:val="18"/>
                <w:lang w:val="en-US" w:eastAsia="zh-CN"/>
              </w:rPr>
            </w:pPr>
            <w:bookmarkStart w:id="12228" w:name="_Hlk103348017"/>
            <w:r>
              <w:rPr>
                <w:rFonts w:cs="Arial"/>
                <w:szCs w:val="18"/>
                <w:lang w:val="en-US" w:eastAsia="zh-CN"/>
              </w:rPr>
              <w:t>Fetch Notification</w:t>
            </w:r>
            <w:bookmarkEnd w:id="12228"/>
          </w:p>
        </w:tc>
        <w:tc>
          <w:tcPr>
            <w:tcW w:w="1258" w:type="pct"/>
          </w:tcPr>
          <w:p w14:paraId="6DDF6B7D" w14:textId="77777777" w:rsidR="00A10B25" w:rsidRDefault="00A10B25">
            <w:pPr>
              <w:pStyle w:val="TAL"/>
              <w:rPr>
                <w:bCs/>
                <w:lang w:val="en-US" w:eastAsia="zh-CN"/>
              </w:rPr>
            </w:pPr>
            <w:r>
              <w:rPr>
                <w:bCs/>
                <w:lang w:val="en-US" w:eastAsia="zh-CN"/>
              </w:rPr>
              <w:t>{fetchUri}</w:t>
            </w:r>
          </w:p>
        </w:tc>
        <w:tc>
          <w:tcPr>
            <w:tcW w:w="666" w:type="pct"/>
          </w:tcPr>
          <w:p w14:paraId="2F2B86AF" w14:textId="77777777" w:rsidR="00A10B25" w:rsidRDefault="00A10B25">
            <w:pPr>
              <w:pStyle w:val="TAL"/>
              <w:rPr>
                <w:lang w:eastAsia="zh-CN"/>
              </w:rPr>
            </w:pPr>
            <w:r>
              <w:rPr>
                <w:lang w:eastAsia="zh-CN"/>
              </w:rPr>
              <w:t>POST</w:t>
            </w:r>
          </w:p>
        </w:tc>
        <w:tc>
          <w:tcPr>
            <w:tcW w:w="1818" w:type="pct"/>
          </w:tcPr>
          <w:p w14:paraId="33DAAD2F" w14:textId="77777777" w:rsidR="00A10B25" w:rsidRDefault="00A10B25">
            <w:pPr>
              <w:pStyle w:val="TAL"/>
              <w:rPr>
                <w:lang w:eastAsia="zh-CN"/>
              </w:rPr>
            </w:pPr>
            <w:r>
              <w:rPr>
                <w:lang w:eastAsia="zh-CN"/>
              </w:rPr>
              <w:t>Fetch one or several notified data.</w:t>
            </w:r>
          </w:p>
        </w:tc>
      </w:tr>
    </w:tbl>
    <w:p w14:paraId="1F33FCA0" w14:textId="77777777" w:rsidR="00A10B25" w:rsidRDefault="00A10B25"/>
    <w:p w14:paraId="286F3BED" w14:textId="77777777" w:rsidR="00A10B25" w:rsidRDefault="00A10B25">
      <w:pPr>
        <w:pStyle w:val="4"/>
      </w:pPr>
      <w:bookmarkStart w:id="12229" w:name="_Toc114133985"/>
      <w:bookmarkStart w:id="12230" w:name="_Toc136562585"/>
      <w:bookmarkStart w:id="12231" w:name="_Toc120702486"/>
      <w:bookmarkStart w:id="12232" w:name="_Toc104539183"/>
      <w:bookmarkStart w:id="12233" w:name="_Toc112951306"/>
      <w:bookmarkStart w:id="12234" w:name="_Toc113031846"/>
      <w:bookmarkStart w:id="12235" w:name="_Toc145705914"/>
      <w:bookmarkStart w:id="12236" w:name="_Toc138754419"/>
      <w:bookmarkStart w:id="12237" w:name="_Toc148522824"/>
      <w:bookmarkStart w:id="12238" w:name="_Toc164921012"/>
      <w:bookmarkStart w:id="12239" w:name="_Toc170120554"/>
      <w:bookmarkStart w:id="12240" w:name="_Toc175858799"/>
      <w:bookmarkStart w:id="12241" w:name="_Toc175859872"/>
      <w:bookmarkStart w:id="12242" w:name="_Toc180606162"/>
      <w:bookmarkStart w:id="12243" w:name="_Toc185517423"/>
      <w:bookmarkStart w:id="12244" w:name="_Toc191576475"/>
      <w:bookmarkStart w:id="12245" w:name="_Toc191577215"/>
      <w:bookmarkStart w:id="12246" w:name="_Toc192880285"/>
      <w:bookmarkStart w:id="12247" w:name="_Toc195815174"/>
      <w:bookmarkStart w:id="12248" w:name="_Toc199453141"/>
      <w:r>
        <w:t>5.3.5.2</w:t>
      </w:r>
      <w:r>
        <w:tab/>
        <w:t>Event Notification</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p>
    <w:p w14:paraId="4E5AB69C" w14:textId="77777777" w:rsidR="00A10B25" w:rsidRDefault="00A10B25">
      <w:pPr>
        <w:pStyle w:val="5"/>
      </w:pPr>
      <w:bookmarkStart w:id="12249" w:name="_Toc136562586"/>
      <w:bookmarkStart w:id="12250" w:name="_Toc145705915"/>
      <w:bookmarkStart w:id="12251" w:name="_Toc112951307"/>
      <w:bookmarkStart w:id="12252" w:name="_Toc148522825"/>
      <w:bookmarkStart w:id="12253" w:name="_Toc138754420"/>
      <w:bookmarkStart w:id="12254" w:name="_Toc113031847"/>
      <w:bookmarkStart w:id="12255" w:name="_Toc120702487"/>
      <w:bookmarkStart w:id="12256" w:name="_Toc114133986"/>
      <w:bookmarkStart w:id="12257" w:name="_Toc104539184"/>
      <w:bookmarkStart w:id="12258" w:name="_Toc164921013"/>
      <w:bookmarkStart w:id="12259" w:name="_Toc170120555"/>
      <w:bookmarkStart w:id="12260" w:name="_Toc175858800"/>
      <w:bookmarkStart w:id="12261" w:name="_Toc175859873"/>
      <w:bookmarkStart w:id="12262" w:name="_Toc180606163"/>
      <w:bookmarkStart w:id="12263" w:name="_Toc185517424"/>
      <w:bookmarkStart w:id="12264" w:name="_Toc191576476"/>
      <w:bookmarkStart w:id="12265" w:name="_Toc191577216"/>
      <w:bookmarkStart w:id="12266" w:name="_Toc192880286"/>
      <w:bookmarkStart w:id="12267" w:name="_Toc195815175"/>
      <w:bookmarkStart w:id="12268" w:name="_Toc199453142"/>
      <w:r>
        <w:t>5.3.5.2.1</w:t>
      </w:r>
      <w:r>
        <w:tab/>
        <w:t>Description</w:t>
      </w:r>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091C4B67" w14:textId="77777777" w:rsidR="00A10B25" w:rsidRDefault="00A10B25">
      <w:bookmarkStart w:id="12269" w:name="_Toc113031848"/>
      <w:bookmarkStart w:id="12270" w:name="_Toc104539185"/>
      <w:bookmarkStart w:id="12271" w:name="_Toc112951308"/>
      <w:bookmarkStart w:id="12272" w:name="_Toc114133987"/>
      <w:r>
        <w:t>The Event Notification is used by the NWDAF to report one or several observed data to an NF service consumer that has subscribed to such Notifications.</w:t>
      </w:r>
    </w:p>
    <w:p w14:paraId="1D8561E5" w14:textId="77777777" w:rsidR="00D654A6" w:rsidRDefault="00D654A6" w:rsidP="00D654A6">
      <w:pPr>
        <w:pStyle w:val="5"/>
      </w:pPr>
      <w:bookmarkStart w:id="12273" w:name="_Toc97037347"/>
      <w:bookmarkStart w:id="12274" w:name="_Toc114133988"/>
      <w:bookmarkStart w:id="12275" w:name="_Toc112951309"/>
      <w:bookmarkStart w:id="12276" w:name="_Toc120702489"/>
      <w:bookmarkStart w:id="12277" w:name="_Toc104539186"/>
      <w:bookmarkStart w:id="12278" w:name="_Toc113031849"/>
      <w:bookmarkStart w:id="12279" w:name="_Toc97193131"/>
      <w:bookmarkStart w:id="12280" w:name="_Toc148522827"/>
      <w:bookmarkStart w:id="12281" w:name="_Toc145705917"/>
      <w:bookmarkStart w:id="12282" w:name="_Toc138754422"/>
      <w:bookmarkStart w:id="12283" w:name="_Toc136562588"/>
      <w:bookmarkStart w:id="12284" w:name="_Toc136562587"/>
      <w:bookmarkStart w:id="12285" w:name="_Toc138754421"/>
      <w:bookmarkStart w:id="12286" w:name="_Toc120702488"/>
      <w:bookmarkStart w:id="12287" w:name="_Toc145705916"/>
      <w:bookmarkStart w:id="12288" w:name="_Toc148522826"/>
      <w:bookmarkStart w:id="12289" w:name="_Toc164921014"/>
      <w:bookmarkStart w:id="12290" w:name="_Toc170120556"/>
      <w:bookmarkStart w:id="12291" w:name="_Toc175858801"/>
      <w:bookmarkStart w:id="12292" w:name="_Toc175859874"/>
      <w:bookmarkStart w:id="12293" w:name="_Toc180606164"/>
      <w:bookmarkStart w:id="12294" w:name="_Toc185517425"/>
      <w:bookmarkStart w:id="12295" w:name="_Toc191576477"/>
      <w:bookmarkStart w:id="12296" w:name="_Toc191577217"/>
      <w:bookmarkStart w:id="12297" w:name="_Toc192880287"/>
      <w:bookmarkStart w:id="12298" w:name="_Toc195815176"/>
      <w:bookmarkStart w:id="12299" w:name="_Toc199453143"/>
      <w:bookmarkEnd w:id="12269"/>
      <w:bookmarkEnd w:id="12270"/>
      <w:bookmarkEnd w:id="12271"/>
      <w:bookmarkEnd w:id="12272"/>
      <w:r>
        <w:t>5.3.5.2.2</w:t>
      </w:r>
      <w:r>
        <w:tab/>
      </w:r>
      <w:r>
        <w:rPr>
          <w:lang w:val="en-US" w:eastAsia="zh-CN"/>
        </w:rPr>
        <w:t>Operation Definition</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21095FDE" w14:textId="77777777" w:rsidR="00D654A6" w:rsidRDefault="00D654A6" w:rsidP="00D654A6">
      <w:pPr>
        <w:rPr>
          <w:rFonts w:eastAsia="Batang"/>
        </w:rPr>
      </w:pPr>
      <w:r>
        <w:rPr>
          <w:rFonts w:eastAsia="Batang"/>
        </w:rPr>
        <w:t>Callback URI:</w:t>
      </w:r>
      <w:r>
        <w:rPr>
          <w:rFonts w:ascii="Arial" w:eastAsia="Batang" w:hAnsi="Arial"/>
          <w:b/>
          <w:sz w:val="18"/>
        </w:rPr>
        <w:t xml:space="preserve"> {</w:t>
      </w:r>
      <w:r>
        <w:rPr>
          <w:b/>
        </w:rPr>
        <w:t>notificURI</w:t>
      </w:r>
      <w:r>
        <w:rPr>
          <w:rFonts w:ascii="Arial" w:eastAsia="Batang" w:hAnsi="Arial"/>
          <w:b/>
          <w:sz w:val="18"/>
        </w:rPr>
        <w:t>}</w:t>
      </w:r>
    </w:p>
    <w:p w14:paraId="7FAF7AAC" w14:textId="77777777" w:rsidR="00D654A6" w:rsidRDefault="00D654A6" w:rsidP="00D654A6">
      <w:pPr>
        <w:rPr>
          <w:rFonts w:ascii="Arial" w:hAnsi="Arial" w:cs="Arial"/>
        </w:rPr>
      </w:pPr>
      <w:r>
        <w:rPr>
          <w:rFonts w:eastAsia="Batang"/>
        </w:rPr>
        <w:t>The operation shall support the</w:t>
      </w:r>
      <w:r>
        <w:t xml:space="preserve"> c</w:t>
      </w:r>
      <w:r>
        <w:rPr>
          <w:rFonts w:eastAsia="Batang"/>
        </w:rPr>
        <w:t>allback URI variables defined in Table 5.3.5.2.2-1</w:t>
      </w:r>
      <w:r>
        <w:rPr>
          <w:rFonts w:ascii="Arial" w:eastAsia="Batang" w:hAnsi="Arial" w:cs="Arial"/>
        </w:rPr>
        <w:t xml:space="preserve">, </w:t>
      </w:r>
      <w:r>
        <w:rPr>
          <w:rFonts w:eastAsia="Batang"/>
        </w:rPr>
        <w:t>the request data structures specified in table </w:t>
      </w:r>
      <w:r>
        <w:t>5.3.5.2.2</w:t>
      </w:r>
      <w:r>
        <w:rPr>
          <w:rFonts w:eastAsia="Batang"/>
        </w:rPr>
        <w:t>-2 and the response data structure and response codes specified in Table 5.3.5.2.2-3.</w:t>
      </w:r>
    </w:p>
    <w:p w14:paraId="0A020D14" w14:textId="77777777" w:rsidR="00D654A6" w:rsidRDefault="00D654A6" w:rsidP="00D654A6">
      <w:pPr>
        <w:pStyle w:val="TH"/>
        <w:rPr>
          <w:rFonts w:cs="Arial"/>
        </w:rPr>
      </w:pPr>
      <w:r>
        <w:t>Table 5.3.5.2.2-1: Callback URI variables</w:t>
      </w:r>
    </w:p>
    <w:tbl>
      <w:tblPr>
        <w:tblW w:w="4928" w:type="pct"/>
        <w:jc w:val="center"/>
        <w:tblInd w:w="0" w:type="dxa"/>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D654A6" w14:paraId="0E96E032" w14:textId="77777777" w:rsidTr="005A20DD">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BBC5DA9" w14:textId="77777777" w:rsidR="00D654A6" w:rsidRDefault="00D654A6" w:rsidP="005A20DD">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5461C202" w14:textId="77777777" w:rsidR="00D654A6" w:rsidRDefault="00D654A6" w:rsidP="005A20DD">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55CA79C" w14:textId="77777777" w:rsidR="00D654A6" w:rsidRDefault="00D654A6" w:rsidP="005A20DD">
            <w:pPr>
              <w:pStyle w:val="TAH"/>
            </w:pPr>
            <w:r>
              <w:t>Definition</w:t>
            </w:r>
          </w:p>
        </w:tc>
      </w:tr>
      <w:tr w:rsidR="00D654A6" w14:paraId="2321A873" w14:textId="77777777" w:rsidTr="005A20DD">
        <w:trPr>
          <w:jc w:val="center"/>
        </w:trPr>
        <w:tc>
          <w:tcPr>
            <w:tcW w:w="765" w:type="pct"/>
            <w:tcBorders>
              <w:top w:val="single" w:sz="6" w:space="0" w:color="000000"/>
              <w:left w:val="single" w:sz="6" w:space="0" w:color="000000"/>
              <w:bottom w:val="single" w:sz="6" w:space="0" w:color="000000"/>
              <w:right w:val="single" w:sz="6" w:space="0" w:color="000000"/>
            </w:tcBorders>
          </w:tcPr>
          <w:p w14:paraId="4D238D71" w14:textId="77777777" w:rsidR="00D654A6" w:rsidRDefault="00D654A6" w:rsidP="005A20DD">
            <w:pPr>
              <w:pStyle w:val="TAL"/>
            </w:pPr>
            <w:r>
              <w:t>notificURI</w:t>
            </w:r>
          </w:p>
        </w:tc>
        <w:tc>
          <w:tcPr>
            <w:tcW w:w="647" w:type="pct"/>
            <w:tcBorders>
              <w:top w:val="single" w:sz="6" w:space="0" w:color="000000"/>
              <w:left w:val="single" w:sz="6" w:space="0" w:color="000000"/>
              <w:bottom w:val="single" w:sz="6" w:space="0" w:color="000000"/>
              <w:right w:val="single" w:sz="6" w:space="0" w:color="000000"/>
            </w:tcBorders>
          </w:tcPr>
          <w:p w14:paraId="67F6197D" w14:textId="77777777" w:rsidR="00D654A6" w:rsidRDefault="00D654A6" w:rsidP="005A20DD">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73CD0C3" w14:textId="77777777" w:rsidR="00D654A6" w:rsidRDefault="00D654A6" w:rsidP="005A20DD">
            <w:pPr>
              <w:pStyle w:val="TAL"/>
            </w:pPr>
            <w:r>
              <w:t xml:space="preserve">The Notification Uri is assigned within the Individual NWDAF Data Management Subscription Resource and described within the </w:t>
            </w:r>
            <w:r>
              <w:rPr>
                <w:rFonts w:eastAsia="等线"/>
              </w:rPr>
              <w:t>NnwdafDataManagementSubsc</w:t>
            </w:r>
            <w:r>
              <w:rPr>
                <w:lang w:val="en-US" w:eastAsia="zh-CN"/>
              </w:rPr>
              <w:t xml:space="preserve"> type (see t</w:t>
            </w:r>
            <w:r>
              <w:t>able 5.3.6.2.2-1).</w:t>
            </w:r>
          </w:p>
        </w:tc>
      </w:tr>
    </w:tbl>
    <w:p w14:paraId="5D4814EC" w14:textId="77777777" w:rsidR="00D654A6" w:rsidRDefault="00D654A6" w:rsidP="00D654A6"/>
    <w:p w14:paraId="31579713" w14:textId="77777777" w:rsidR="00D654A6" w:rsidRDefault="00D654A6" w:rsidP="00D654A6">
      <w:pPr>
        <w:pStyle w:val="TH"/>
      </w:pPr>
      <w:r>
        <w:t>Table 5.3.5.2.2-2: Data structures supported by the POST Request Body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D654A6" w14:paraId="659D3AC2" w14:textId="77777777" w:rsidTr="005A20DD">
        <w:trPr>
          <w:jc w:val="center"/>
        </w:trPr>
        <w:tc>
          <w:tcPr>
            <w:tcW w:w="2989" w:type="dxa"/>
            <w:shd w:val="clear" w:color="auto" w:fill="C0C0C0"/>
          </w:tcPr>
          <w:p w14:paraId="084B789E" w14:textId="77777777" w:rsidR="00D654A6" w:rsidRDefault="00D654A6" w:rsidP="005A20DD">
            <w:pPr>
              <w:pStyle w:val="TAH"/>
            </w:pPr>
            <w:r>
              <w:t>Data type</w:t>
            </w:r>
          </w:p>
        </w:tc>
        <w:tc>
          <w:tcPr>
            <w:tcW w:w="360" w:type="dxa"/>
            <w:shd w:val="clear" w:color="auto" w:fill="C0C0C0"/>
          </w:tcPr>
          <w:p w14:paraId="525EE82A" w14:textId="77777777" w:rsidR="00D654A6" w:rsidRDefault="00D654A6" w:rsidP="005A20DD">
            <w:pPr>
              <w:pStyle w:val="TAH"/>
            </w:pPr>
            <w:r>
              <w:t>P</w:t>
            </w:r>
          </w:p>
        </w:tc>
        <w:tc>
          <w:tcPr>
            <w:tcW w:w="1350" w:type="dxa"/>
            <w:shd w:val="clear" w:color="auto" w:fill="C0C0C0"/>
          </w:tcPr>
          <w:p w14:paraId="1DFD77E4" w14:textId="77777777" w:rsidR="00D654A6" w:rsidRDefault="00D654A6" w:rsidP="005A20DD">
            <w:pPr>
              <w:pStyle w:val="TAH"/>
            </w:pPr>
            <w:r>
              <w:t>Cardinality</w:t>
            </w:r>
          </w:p>
        </w:tc>
        <w:tc>
          <w:tcPr>
            <w:tcW w:w="4980" w:type="dxa"/>
            <w:shd w:val="clear" w:color="auto" w:fill="C0C0C0"/>
            <w:vAlign w:val="center"/>
          </w:tcPr>
          <w:p w14:paraId="1FED1722" w14:textId="77777777" w:rsidR="00D654A6" w:rsidRDefault="00D654A6" w:rsidP="005A20DD">
            <w:pPr>
              <w:pStyle w:val="TAH"/>
            </w:pPr>
            <w:r>
              <w:t>Description</w:t>
            </w:r>
          </w:p>
        </w:tc>
      </w:tr>
      <w:tr w:rsidR="00D654A6" w14:paraId="4AB61C75" w14:textId="77777777" w:rsidTr="005A20DD">
        <w:trPr>
          <w:jc w:val="center"/>
        </w:trPr>
        <w:tc>
          <w:tcPr>
            <w:tcW w:w="2989" w:type="dxa"/>
          </w:tcPr>
          <w:p w14:paraId="5BE40249" w14:textId="77777777" w:rsidR="00D654A6" w:rsidRDefault="00D654A6" w:rsidP="005A20DD">
            <w:pPr>
              <w:pStyle w:val="TAL"/>
            </w:pPr>
            <w:r>
              <w:rPr>
                <w:rFonts w:eastAsia="等线"/>
              </w:rPr>
              <w:t>NnwdafDataManagementNotif</w:t>
            </w:r>
          </w:p>
        </w:tc>
        <w:tc>
          <w:tcPr>
            <w:tcW w:w="360" w:type="dxa"/>
          </w:tcPr>
          <w:p w14:paraId="5538943E" w14:textId="77777777" w:rsidR="00D654A6" w:rsidRDefault="00D654A6" w:rsidP="005A20DD">
            <w:pPr>
              <w:pStyle w:val="TAC"/>
            </w:pPr>
            <w:r>
              <w:t>M</w:t>
            </w:r>
          </w:p>
        </w:tc>
        <w:tc>
          <w:tcPr>
            <w:tcW w:w="1350" w:type="dxa"/>
          </w:tcPr>
          <w:p w14:paraId="769BF3AC" w14:textId="77777777" w:rsidR="00D654A6" w:rsidRDefault="00D654A6" w:rsidP="005A20DD">
            <w:pPr>
              <w:pStyle w:val="TAC"/>
            </w:pPr>
            <w:r>
              <w:t>1</w:t>
            </w:r>
          </w:p>
        </w:tc>
        <w:tc>
          <w:tcPr>
            <w:tcW w:w="4980" w:type="dxa"/>
          </w:tcPr>
          <w:p w14:paraId="57E015ED" w14:textId="77777777" w:rsidR="00D654A6" w:rsidRDefault="00D654A6" w:rsidP="005A20DD">
            <w:pPr>
              <w:pStyle w:val="TAL"/>
            </w:pPr>
            <w:r>
              <w:t>Provides Information about observed data.</w:t>
            </w:r>
          </w:p>
        </w:tc>
      </w:tr>
    </w:tbl>
    <w:p w14:paraId="476E9BE8" w14:textId="77777777" w:rsidR="00D654A6" w:rsidRDefault="00D654A6" w:rsidP="00D654A6"/>
    <w:p w14:paraId="795FE03B" w14:textId="77777777" w:rsidR="00991119" w:rsidRDefault="00991119" w:rsidP="00991119">
      <w:pPr>
        <w:pStyle w:val="TH"/>
      </w:pPr>
      <w:r>
        <w:t>Table 5.3.5.2.2-3: Data structures supported by the POST Response Body on this resource</w:t>
      </w:r>
    </w:p>
    <w:tbl>
      <w:tblPr>
        <w:tblW w:w="4956" w:type="pct"/>
        <w:jc w:val="center"/>
        <w:tblInd w:w="0" w:type="dxa"/>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991119" w14:paraId="3A9244A6"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6E2A262D" w14:textId="77777777" w:rsidR="00991119" w:rsidRDefault="00991119" w:rsidP="009E7F73">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6207782B" w14:textId="77777777" w:rsidR="00991119" w:rsidRDefault="00991119" w:rsidP="009E7F73">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399F225" w14:textId="77777777" w:rsidR="00991119" w:rsidRDefault="00991119" w:rsidP="009E7F73">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3EB5E31" w14:textId="77777777" w:rsidR="00991119" w:rsidRDefault="00991119" w:rsidP="009E7F73">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07895519" w14:textId="77777777" w:rsidR="00991119" w:rsidRDefault="00991119" w:rsidP="009E7F73">
            <w:pPr>
              <w:pStyle w:val="TAH"/>
            </w:pPr>
            <w:r>
              <w:t>Description</w:t>
            </w:r>
          </w:p>
        </w:tc>
      </w:tr>
      <w:tr w:rsidR="00991119" w14:paraId="782B0278"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860605C" w14:textId="77777777" w:rsidR="00991119" w:rsidRDefault="00991119" w:rsidP="009E7F73">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45D6AE9" w14:textId="77777777" w:rsidR="00991119" w:rsidRDefault="00991119" w:rsidP="009E7F73">
            <w:pPr>
              <w:pStyle w:val="TAC"/>
            </w:pPr>
          </w:p>
        </w:tc>
        <w:tc>
          <w:tcPr>
            <w:tcW w:w="603" w:type="pct"/>
            <w:tcBorders>
              <w:top w:val="single" w:sz="6" w:space="0" w:color="auto"/>
              <w:left w:val="single" w:sz="6" w:space="0" w:color="auto"/>
              <w:bottom w:val="single" w:sz="6" w:space="0" w:color="auto"/>
              <w:right w:val="single" w:sz="6" w:space="0" w:color="auto"/>
            </w:tcBorders>
          </w:tcPr>
          <w:p w14:paraId="4EDB3D0B" w14:textId="77777777" w:rsidR="00991119" w:rsidRDefault="00991119" w:rsidP="009E7F73">
            <w:pPr>
              <w:pStyle w:val="TAC"/>
            </w:pPr>
          </w:p>
        </w:tc>
        <w:tc>
          <w:tcPr>
            <w:tcW w:w="790" w:type="pct"/>
            <w:tcBorders>
              <w:top w:val="single" w:sz="6" w:space="0" w:color="auto"/>
              <w:left w:val="single" w:sz="6" w:space="0" w:color="auto"/>
              <w:bottom w:val="single" w:sz="6" w:space="0" w:color="auto"/>
              <w:right w:val="single" w:sz="6" w:space="0" w:color="auto"/>
            </w:tcBorders>
          </w:tcPr>
          <w:p w14:paraId="4BC1A503" w14:textId="77777777" w:rsidR="00991119" w:rsidRDefault="00991119" w:rsidP="009E7F73">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5EE45202" w14:textId="77777777" w:rsidR="00991119" w:rsidRDefault="00991119" w:rsidP="009E7F73">
            <w:pPr>
              <w:pStyle w:val="TAL"/>
            </w:pPr>
            <w:r>
              <w:t>The receipt of the Notification is acknowledged.</w:t>
            </w:r>
          </w:p>
        </w:tc>
      </w:tr>
      <w:tr w:rsidR="00991119" w14:paraId="41CF92B1"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250ABD71" w14:textId="77777777" w:rsidR="00991119" w:rsidRDefault="00991119" w:rsidP="009E7F73">
            <w:pPr>
              <w:pStyle w:val="TAL"/>
            </w:pPr>
            <w:r>
              <w:t>NotifResponse</w:t>
            </w:r>
          </w:p>
        </w:tc>
        <w:tc>
          <w:tcPr>
            <w:tcW w:w="215" w:type="pct"/>
            <w:tcBorders>
              <w:top w:val="single" w:sz="6" w:space="0" w:color="auto"/>
              <w:left w:val="single" w:sz="6" w:space="0" w:color="auto"/>
              <w:bottom w:val="single" w:sz="6" w:space="0" w:color="auto"/>
              <w:right w:val="single" w:sz="6" w:space="0" w:color="auto"/>
            </w:tcBorders>
          </w:tcPr>
          <w:p w14:paraId="281257AB" w14:textId="77777777" w:rsidR="00991119" w:rsidRDefault="00991119" w:rsidP="009E7F73">
            <w:pPr>
              <w:pStyle w:val="TAC"/>
            </w:pPr>
            <w:r>
              <w:t>M</w:t>
            </w:r>
          </w:p>
        </w:tc>
        <w:tc>
          <w:tcPr>
            <w:tcW w:w="603" w:type="pct"/>
            <w:tcBorders>
              <w:top w:val="single" w:sz="6" w:space="0" w:color="auto"/>
              <w:left w:val="single" w:sz="6" w:space="0" w:color="auto"/>
              <w:bottom w:val="single" w:sz="6" w:space="0" w:color="auto"/>
              <w:right w:val="single" w:sz="6" w:space="0" w:color="auto"/>
            </w:tcBorders>
          </w:tcPr>
          <w:p w14:paraId="62B9F6C3" w14:textId="77777777" w:rsidR="00991119" w:rsidRDefault="00991119" w:rsidP="009E7F73">
            <w:pPr>
              <w:pStyle w:val="TAC"/>
            </w:pPr>
            <w:r>
              <w:t>1</w:t>
            </w:r>
          </w:p>
        </w:tc>
        <w:tc>
          <w:tcPr>
            <w:tcW w:w="790" w:type="pct"/>
            <w:tcBorders>
              <w:top w:val="single" w:sz="6" w:space="0" w:color="auto"/>
              <w:left w:val="single" w:sz="6" w:space="0" w:color="auto"/>
              <w:bottom w:val="single" w:sz="6" w:space="0" w:color="auto"/>
              <w:right w:val="single" w:sz="6" w:space="0" w:color="auto"/>
            </w:tcBorders>
          </w:tcPr>
          <w:p w14:paraId="133C8729" w14:textId="77777777" w:rsidR="00991119" w:rsidRDefault="00991119" w:rsidP="009E7F73">
            <w:pPr>
              <w:pStyle w:val="TAL"/>
            </w:pPr>
            <w:r>
              <w:t>200 OK</w:t>
            </w:r>
          </w:p>
        </w:tc>
        <w:tc>
          <w:tcPr>
            <w:tcW w:w="2383" w:type="pct"/>
            <w:tcBorders>
              <w:top w:val="single" w:sz="6" w:space="0" w:color="auto"/>
              <w:left w:val="single" w:sz="6" w:space="0" w:color="auto"/>
              <w:bottom w:val="single" w:sz="6" w:space="0" w:color="auto"/>
              <w:right w:val="single" w:sz="6" w:space="0" w:color="auto"/>
            </w:tcBorders>
          </w:tcPr>
          <w:p w14:paraId="1419EE17" w14:textId="77777777" w:rsidR="00991119" w:rsidRDefault="00991119" w:rsidP="009E7F73">
            <w:pPr>
              <w:pStyle w:val="TAL"/>
            </w:pPr>
            <w:r w:rsidRPr="009E7152">
              <w:t xml:space="preserve">The receipt of the </w:t>
            </w:r>
            <w:r>
              <w:t>n</w:t>
            </w:r>
            <w:r w:rsidRPr="009E7152">
              <w:t>otification is acknowledged</w:t>
            </w:r>
            <w:r>
              <w:t xml:space="preserve"> and a response with information about the planned action is provided</w:t>
            </w:r>
            <w:r w:rsidRPr="009E7152">
              <w:t>.</w:t>
            </w:r>
          </w:p>
        </w:tc>
      </w:tr>
      <w:tr w:rsidR="00991119" w14:paraId="58DEFA0C"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533B5BD4" w14:textId="77777777" w:rsidR="00991119" w:rsidRDefault="00991119" w:rsidP="009E7F73">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273EB174" w14:textId="77777777" w:rsidR="00991119" w:rsidRDefault="00991119" w:rsidP="009E7F73">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2B2A7606" w14:textId="77777777" w:rsidR="00991119" w:rsidRDefault="00991119" w:rsidP="009E7F73">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16FE9794" w14:textId="77777777" w:rsidR="00991119" w:rsidRDefault="00991119" w:rsidP="009E7F73">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tcPr>
          <w:p w14:paraId="4009C29C" w14:textId="77777777" w:rsidR="00991119" w:rsidRDefault="00991119" w:rsidP="009E7F73">
            <w:pPr>
              <w:pStyle w:val="TAL"/>
            </w:pPr>
            <w:r>
              <w:t>Temporary redirection.</w:t>
            </w:r>
          </w:p>
          <w:p w14:paraId="517BBD34" w14:textId="77777777" w:rsidR="00991119" w:rsidRDefault="00991119" w:rsidP="009E7F73">
            <w:pPr>
              <w:pStyle w:val="TAL"/>
            </w:pPr>
          </w:p>
          <w:p w14:paraId="13164843" w14:textId="77777777" w:rsidR="00991119" w:rsidRDefault="00991119" w:rsidP="009E7F73">
            <w:pPr>
              <w:pStyle w:val="TAL"/>
            </w:pPr>
            <w:r>
              <w:t>(NOTE 2)</w:t>
            </w:r>
          </w:p>
        </w:tc>
      </w:tr>
      <w:tr w:rsidR="00991119" w14:paraId="132B4530" w14:textId="77777777" w:rsidTr="009E7F73">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7D2B71AD" w14:textId="77777777" w:rsidR="00991119" w:rsidRDefault="00991119" w:rsidP="009E7F73">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06B4F974" w14:textId="77777777" w:rsidR="00991119" w:rsidRDefault="00991119" w:rsidP="009E7F73">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67D29780" w14:textId="77777777" w:rsidR="00991119" w:rsidRDefault="00991119" w:rsidP="009E7F73">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150B0AD4" w14:textId="77777777" w:rsidR="00991119" w:rsidRDefault="00991119" w:rsidP="009E7F73">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tcPr>
          <w:p w14:paraId="63AB2E1F" w14:textId="77777777" w:rsidR="00991119" w:rsidRDefault="00991119" w:rsidP="009E7F73">
            <w:pPr>
              <w:pStyle w:val="TAL"/>
            </w:pPr>
            <w:r>
              <w:t>Permanent redirection.</w:t>
            </w:r>
          </w:p>
          <w:p w14:paraId="39154390" w14:textId="77777777" w:rsidR="00991119" w:rsidRDefault="00991119" w:rsidP="009E7F73">
            <w:pPr>
              <w:pStyle w:val="TAL"/>
            </w:pPr>
          </w:p>
          <w:p w14:paraId="7FCDBF27" w14:textId="77777777" w:rsidR="00991119" w:rsidRDefault="00991119" w:rsidP="009E7F73">
            <w:pPr>
              <w:pStyle w:val="TAL"/>
            </w:pPr>
            <w:r>
              <w:t>(NOTE 2)</w:t>
            </w:r>
          </w:p>
        </w:tc>
      </w:tr>
      <w:tr w:rsidR="00991119" w14:paraId="6C4E7AF2" w14:textId="77777777" w:rsidTr="009E7F73">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7E0A0C63" w14:textId="77777777" w:rsidR="00991119" w:rsidRDefault="00991119" w:rsidP="009E7F73">
            <w:pPr>
              <w:pStyle w:val="TAN"/>
            </w:pPr>
            <w:r>
              <w:t>NOTE 1:</w:t>
            </w:r>
            <w:r>
              <w:rPr>
                <w:lang w:val="en-US" w:eastAsia="zh-CN"/>
              </w:rPr>
              <w:tab/>
              <w:t xml:space="preserve">The mandatory </w:t>
            </w:r>
            <w:r>
              <w:t>HTTP error status codes for the POST method listed in table 5.2.7.1-1 of 3GPP TS 29.500 [6] also apply.</w:t>
            </w:r>
          </w:p>
          <w:p w14:paraId="628A3CE1" w14:textId="77777777" w:rsidR="00991119" w:rsidRDefault="00991119" w:rsidP="009E7F73">
            <w:pPr>
              <w:pStyle w:val="TAN"/>
              <w:rPr>
                <w:lang w:val="en-US" w:eastAsia="zh-CN"/>
              </w:rPr>
            </w:pPr>
            <w:r>
              <w:t>NOTE 2:</w:t>
            </w:r>
            <w:r>
              <w:tab/>
              <w:t>The RedirectResponse data structure may be provided by an SCP (cf. clause 6.10.9.1 of 3GPP TS 29.500 [6]).</w:t>
            </w:r>
          </w:p>
        </w:tc>
      </w:tr>
    </w:tbl>
    <w:p w14:paraId="19CF95BF" w14:textId="77777777" w:rsidR="00991119" w:rsidRDefault="00991119" w:rsidP="00991119">
      <w:pPr>
        <w:rPr>
          <w:lang w:val="en-US"/>
        </w:rPr>
      </w:pPr>
    </w:p>
    <w:p w14:paraId="4BB06F5E" w14:textId="77777777" w:rsidR="00991119" w:rsidRDefault="00991119" w:rsidP="00991119">
      <w:pPr>
        <w:pStyle w:val="TH"/>
      </w:pPr>
      <w:bookmarkStart w:id="12300" w:name="_Toc164921015"/>
      <w:bookmarkStart w:id="12301" w:name="_Toc170120557"/>
      <w:bookmarkStart w:id="12302" w:name="_Toc175858802"/>
      <w:bookmarkStart w:id="12303" w:name="_Toc175859875"/>
      <w:bookmarkStart w:id="12304" w:name="_Toc180606165"/>
      <w:bookmarkStart w:id="12305" w:name="_Toc185517426"/>
      <w:r>
        <w:lastRenderedPageBreak/>
        <w:t>Table 5.3.5.2.2-4: Headers supported by the 307 Response Code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991119" w14:paraId="6325DFB5" w14:textId="77777777" w:rsidTr="009E7F73">
        <w:trPr>
          <w:jc w:val="center"/>
        </w:trPr>
        <w:tc>
          <w:tcPr>
            <w:tcW w:w="825" w:type="pct"/>
            <w:shd w:val="clear" w:color="auto" w:fill="C0C0C0"/>
          </w:tcPr>
          <w:p w14:paraId="4AAD3EB7" w14:textId="77777777" w:rsidR="00991119" w:rsidRDefault="00991119" w:rsidP="009E7F73">
            <w:pPr>
              <w:pStyle w:val="TAH"/>
            </w:pPr>
            <w:r>
              <w:t>Name</w:t>
            </w:r>
          </w:p>
        </w:tc>
        <w:tc>
          <w:tcPr>
            <w:tcW w:w="732" w:type="pct"/>
            <w:shd w:val="clear" w:color="auto" w:fill="C0C0C0"/>
          </w:tcPr>
          <w:p w14:paraId="734BDCF3" w14:textId="77777777" w:rsidR="00991119" w:rsidRDefault="00991119" w:rsidP="009E7F73">
            <w:pPr>
              <w:pStyle w:val="TAH"/>
            </w:pPr>
            <w:r>
              <w:t>Data type</w:t>
            </w:r>
          </w:p>
        </w:tc>
        <w:tc>
          <w:tcPr>
            <w:tcW w:w="217" w:type="pct"/>
            <w:shd w:val="clear" w:color="auto" w:fill="C0C0C0"/>
          </w:tcPr>
          <w:p w14:paraId="40685AC0" w14:textId="77777777" w:rsidR="00991119" w:rsidRDefault="00991119" w:rsidP="009E7F73">
            <w:pPr>
              <w:pStyle w:val="TAH"/>
            </w:pPr>
            <w:r>
              <w:t>P</w:t>
            </w:r>
          </w:p>
        </w:tc>
        <w:tc>
          <w:tcPr>
            <w:tcW w:w="581" w:type="pct"/>
            <w:shd w:val="clear" w:color="auto" w:fill="C0C0C0"/>
          </w:tcPr>
          <w:p w14:paraId="7E6E56FB" w14:textId="77777777" w:rsidR="00991119" w:rsidRDefault="00991119" w:rsidP="009E7F73">
            <w:pPr>
              <w:pStyle w:val="TAH"/>
            </w:pPr>
            <w:r>
              <w:t>Cardinality</w:t>
            </w:r>
          </w:p>
        </w:tc>
        <w:tc>
          <w:tcPr>
            <w:tcW w:w="2645" w:type="pct"/>
            <w:shd w:val="clear" w:color="auto" w:fill="C0C0C0"/>
            <w:vAlign w:val="center"/>
          </w:tcPr>
          <w:p w14:paraId="6A0BD637" w14:textId="77777777" w:rsidR="00991119" w:rsidRDefault="00991119" w:rsidP="009E7F73">
            <w:pPr>
              <w:pStyle w:val="TAH"/>
            </w:pPr>
            <w:r>
              <w:t>Description</w:t>
            </w:r>
          </w:p>
        </w:tc>
      </w:tr>
      <w:tr w:rsidR="00991119" w14:paraId="092ACAC2" w14:textId="77777777" w:rsidTr="009E7F73">
        <w:trPr>
          <w:jc w:val="center"/>
        </w:trPr>
        <w:tc>
          <w:tcPr>
            <w:tcW w:w="825" w:type="pct"/>
          </w:tcPr>
          <w:p w14:paraId="3F0419E4" w14:textId="77777777" w:rsidR="00991119" w:rsidRDefault="00991119" w:rsidP="009E7F73">
            <w:pPr>
              <w:pStyle w:val="TAL"/>
            </w:pPr>
            <w:r>
              <w:t>Location</w:t>
            </w:r>
          </w:p>
        </w:tc>
        <w:tc>
          <w:tcPr>
            <w:tcW w:w="732" w:type="pct"/>
          </w:tcPr>
          <w:p w14:paraId="1B621254" w14:textId="77777777" w:rsidR="00991119" w:rsidRDefault="00991119" w:rsidP="009E7F73">
            <w:pPr>
              <w:pStyle w:val="TAL"/>
            </w:pPr>
            <w:r>
              <w:t>string</w:t>
            </w:r>
          </w:p>
        </w:tc>
        <w:tc>
          <w:tcPr>
            <w:tcW w:w="217" w:type="pct"/>
          </w:tcPr>
          <w:p w14:paraId="1C65D378" w14:textId="77777777" w:rsidR="00991119" w:rsidRDefault="00991119" w:rsidP="009E7F73">
            <w:pPr>
              <w:pStyle w:val="TAC"/>
            </w:pPr>
            <w:r>
              <w:t>M</w:t>
            </w:r>
          </w:p>
        </w:tc>
        <w:tc>
          <w:tcPr>
            <w:tcW w:w="581" w:type="pct"/>
          </w:tcPr>
          <w:p w14:paraId="096E69DB" w14:textId="77777777" w:rsidR="00991119" w:rsidRDefault="00991119" w:rsidP="009E7F73">
            <w:pPr>
              <w:pStyle w:val="TAL"/>
            </w:pPr>
            <w:r>
              <w:t>1</w:t>
            </w:r>
          </w:p>
        </w:tc>
        <w:tc>
          <w:tcPr>
            <w:tcW w:w="2645" w:type="pct"/>
            <w:vAlign w:val="center"/>
          </w:tcPr>
          <w:p w14:paraId="6BDFA011" w14:textId="77777777" w:rsidR="00991119" w:rsidRDefault="00991119" w:rsidP="009E7F73">
            <w:pPr>
              <w:pStyle w:val="TAL"/>
            </w:pPr>
            <w:r>
              <w:t xml:space="preserve">Contains </w:t>
            </w:r>
            <w:r>
              <w:rPr>
                <w:lang w:eastAsia="fr-FR"/>
              </w:rPr>
              <w:t>an alternative URI representing the end point of an alternative NF consumer (service) instance towards which the notification is redirected</w:t>
            </w:r>
            <w:r>
              <w:t>.</w:t>
            </w:r>
          </w:p>
          <w:p w14:paraId="7D0C9E23" w14:textId="77777777" w:rsidR="00991119" w:rsidRDefault="00991119" w:rsidP="009E7F73">
            <w:pPr>
              <w:pStyle w:val="TAL"/>
            </w:pPr>
          </w:p>
          <w:p w14:paraId="681BAF8E" w14:textId="77777777" w:rsidR="00991119" w:rsidRDefault="00991119" w:rsidP="009E7F73">
            <w:pPr>
              <w:pStyle w:val="TAL"/>
            </w:pPr>
            <w:r>
              <w:t>For the case where the notification is redirected to the same target via a different SCP, refer to clause 6.10.9.1 of 3GPP TS 29.500 [6].</w:t>
            </w:r>
          </w:p>
        </w:tc>
      </w:tr>
      <w:tr w:rsidR="00991119" w14:paraId="225FE4EC" w14:textId="77777777" w:rsidTr="009E7F73">
        <w:trPr>
          <w:jc w:val="center"/>
        </w:trPr>
        <w:tc>
          <w:tcPr>
            <w:tcW w:w="825" w:type="pct"/>
          </w:tcPr>
          <w:p w14:paraId="49B124BB" w14:textId="77777777" w:rsidR="00991119" w:rsidRDefault="00991119" w:rsidP="009E7F73">
            <w:pPr>
              <w:pStyle w:val="TAL"/>
            </w:pPr>
            <w:r>
              <w:rPr>
                <w:lang w:eastAsia="zh-CN"/>
              </w:rPr>
              <w:t>3gpp-Sbi-Target-Nf-Id</w:t>
            </w:r>
          </w:p>
        </w:tc>
        <w:tc>
          <w:tcPr>
            <w:tcW w:w="732" w:type="pct"/>
          </w:tcPr>
          <w:p w14:paraId="2BDAF2E0" w14:textId="77777777" w:rsidR="00991119" w:rsidRDefault="00991119" w:rsidP="009E7F73">
            <w:pPr>
              <w:pStyle w:val="TAL"/>
            </w:pPr>
            <w:r>
              <w:rPr>
                <w:lang w:eastAsia="fr-FR"/>
              </w:rPr>
              <w:t>string</w:t>
            </w:r>
          </w:p>
        </w:tc>
        <w:tc>
          <w:tcPr>
            <w:tcW w:w="217" w:type="pct"/>
          </w:tcPr>
          <w:p w14:paraId="09A44628" w14:textId="77777777" w:rsidR="00991119" w:rsidRDefault="00991119" w:rsidP="009E7F73">
            <w:pPr>
              <w:pStyle w:val="TAC"/>
            </w:pPr>
            <w:r>
              <w:rPr>
                <w:lang w:eastAsia="fr-FR"/>
              </w:rPr>
              <w:t>O</w:t>
            </w:r>
          </w:p>
        </w:tc>
        <w:tc>
          <w:tcPr>
            <w:tcW w:w="581" w:type="pct"/>
          </w:tcPr>
          <w:p w14:paraId="7E242AA5" w14:textId="77777777" w:rsidR="00991119" w:rsidRDefault="00991119" w:rsidP="009E7F73">
            <w:pPr>
              <w:pStyle w:val="TAL"/>
            </w:pPr>
            <w:r>
              <w:rPr>
                <w:lang w:eastAsia="fr-FR"/>
              </w:rPr>
              <w:t>0..1</w:t>
            </w:r>
          </w:p>
        </w:tc>
        <w:tc>
          <w:tcPr>
            <w:tcW w:w="2645" w:type="pct"/>
            <w:vAlign w:val="center"/>
          </w:tcPr>
          <w:p w14:paraId="4C84EC09" w14:textId="77777777" w:rsidR="00991119" w:rsidRDefault="00991119" w:rsidP="009E7F73">
            <w:pPr>
              <w:pStyle w:val="TAL"/>
            </w:pPr>
            <w:r>
              <w:rPr>
                <w:lang w:eastAsia="fr-FR"/>
              </w:rPr>
              <w:t>Contains the identifier of the target NF (service) instance towards which the notification request is redirected.</w:t>
            </w:r>
          </w:p>
        </w:tc>
      </w:tr>
    </w:tbl>
    <w:p w14:paraId="53DDE86E" w14:textId="77777777" w:rsidR="00991119" w:rsidRDefault="00991119" w:rsidP="00991119"/>
    <w:p w14:paraId="032AB4BB" w14:textId="77777777" w:rsidR="00991119" w:rsidRDefault="00991119" w:rsidP="00991119">
      <w:pPr>
        <w:pStyle w:val="TH"/>
      </w:pPr>
      <w:r>
        <w:t>Table 5.3.5.2.2-5: Headers supported by the 308 Response Code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991119" w14:paraId="0605DEC8" w14:textId="77777777" w:rsidTr="009E7F73">
        <w:trPr>
          <w:jc w:val="center"/>
        </w:trPr>
        <w:tc>
          <w:tcPr>
            <w:tcW w:w="825" w:type="pct"/>
            <w:shd w:val="clear" w:color="auto" w:fill="C0C0C0"/>
          </w:tcPr>
          <w:p w14:paraId="18642B93" w14:textId="77777777" w:rsidR="00991119" w:rsidRDefault="00991119" w:rsidP="009E7F73">
            <w:pPr>
              <w:pStyle w:val="TAH"/>
            </w:pPr>
            <w:r>
              <w:t>Name</w:t>
            </w:r>
          </w:p>
        </w:tc>
        <w:tc>
          <w:tcPr>
            <w:tcW w:w="732" w:type="pct"/>
            <w:shd w:val="clear" w:color="auto" w:fill="C0C0C0"/>
          </w:tcPr>
          <w:p w14:paraId="55E85E60" w14:textId="77777777" w:rsidR="00991119" w:rsidRDefault="00991119" w:rsidP="009E7F73">
            <w:pPr>
              <w:pStyle w:val="TAH"/>
            </w:pPr>
            <w:r>
              <w:t>Data type</w:t>
            </w:r>
          </w:p>
        </w:tc>
        <w:tc>
          <w:tcPr>
            <w:tcW w:w="217" w:type="pct"/>
            <w:shd w:val="clear" w:color="auto" w:fill="C0C0C0"/>
          </w:tcPr>
          <w:p w14:paraId="4E796DA7" w14:textId="77777777" w:rsidR="00991119" w:rsidRDefault="00991119" w:rsidP="009E7F73">
            <w:pPr>
              <w:pStyle w:val="TAH"/>
            </w:pPr>
            <w:r>
              <w:t>P</w:t>
            </w:r>
          </w:p>
        </w:tc>
        <w:tc>
          <w:tcPr>
            <w:tcW w:w="581" w:type="pct"/>
            <w:shd w:val="clear" w:color="auto" w:fill="C0C0C0"/>
          </w:tcPr>
          <w:p w14:paraId="23708546" w14:textId="77777777" w:rsidR="00991119" w:rsidRDefault="00991119" w:rsidP="009E7F73">
            <w:pPr>
              <w:pStyle w:val="TAH"/>
            </w:pPr>
            <w:r>
              <w:t>Cardinality</w:t>
            </w:r>
          </w:p>
        </w:tc>
        <w:tc>
          <w:tcPr>
            <w:tcW w:w="2645" w:type="pct"/>
            <w:shd w:val="clear" w:color="auto" w:fill="C0C0C0"/>
            <w:vAlign w:val="center"/>
          </w:tcPr>
          <w:p w14:paraId="2EB58D98" w14:textId="77777777" w:rsidR="00991119" w:rsidRDefault="00991119" w:rsidP="009E7F73">
            <w:pPr>
              <w:pStyle w:val="TAH"/>
            </w:pPr>
            <w:r>
              <w:t>Description</w:t>
            </w:r>
          </w:p>
        </w:tc>
      </w:tr>
      <w:tr w:rsidR="00991119" w14:paraId="3B4D4B5F" w14:textId="77777777" w:rsidTr="009E7F73">
        <w:trPr>
          <w:jc w:val="center"/>
        </w:trPr>
        <w:tc>
          <w:tcPr>
            <w:tcW w:w="825" w:type="pct"/>
          </w:tcPr>
          <w:p w14:paraId="2A405AFA" w14:textId="77777777" w:rsidR="00991119" w:rsidRDefault="00991119" w:rsidP="009E7F73">
            <w:pPr>
              <w:pStyle w:val="TAL"/>
            </w:pPr>
            <w:r>
              <w:t>Location</w:t>
            </w:r>
          </w:p>
        </w:tc>
        <w:tc>
          <w:tcPr>
            <w:tcW w:w="732" w:type="pct"/>
          </w:tcPr>
          <w:p w14:paraId="01EEE4C4" w14:textId="77777777" w:rsidR="00991119" w:rsidRDefault="00991119" w:rsidP="009E7F73">
            <w:pPr>
              <w:pStyle w:val="TAL"/>
            </w:pPr>
            <w:r>
              <w:t>string</w:t>
            </w:r>
          </w:p>
        </w:tc>
        <w:tc>
          <w:tcPr>
            <w:tcW w:w="217" w:type="pct"/>
          </w:tcPr>
          <w:p w14:paraId="44CAF2AB" w14:textId="77777777" w:rsidR="00991119" w:rsidRDefault="00991119" w:rsidP="009E7F73">
            <w:pPr>
              <w:pStyle w:val="TAC"/>
            </w:pPr>
            <w:r>
              <w:t>M</w:t>
            </w:r>
          </w:p>
        </w:tc>
        <w:tc>
          <w:tcPr>
            <w:tcW w:w="581" w:type="pct"/>
          </w:tcPr>
          <w:p w14:paraId="38CC5E32" w14:textId="77777777" w:rsidR="00991119" w:rsidRDefault="00991119" w:rsidP="009E7F73">
            <w:pPr>
              <w:pStyle w:val="TAL"/>
            </w:pPr>
            <w:r>
              <w:t>1</w:t>
            </w:r>
          </w:p>
        </w:tc>
        <w:tc>
          <w:tcPr>
            <w:tcW w:w="2645" w:type="pct"/>
            <w:vAlign w:val="center"/>
          </w:tcPr>
          <w:p w14:paraId="13466701" w14:textId="77777777" w:rsidR="00991119" w:rsidRDefault="00991119" w:rsidP="009E7F73">
            <w:pPr>
              <w:pStyle w:val="TAL"/>
            </w:pPr>
            <w:r>
              <w:t xml:space="preserve">Contains an alternative URI </w:t>
            </w:r>
            <w:r>
              <w:rPr>
                <w:lang w:eastAsia="fr-FR"/>
              </w:rPr>
              <w:t>representing the end point of an alternative NF consumer (service) instance towards which the notification is redirected</w:t>
            </w:r>
            <w:r>
              <w:t>.</w:t>
            </w:r>
          </w:p>
          <w:p w14:paraId="0EEA45BE" w14:textId="77777777" w:rsidR="00991119" w:rsidRDefault="00991119" w:rsidP="009E7F73">
            <w:pPr>
              <w:pStyle w:val="TAL"/>
            </w:pPr>
          </w:p>
          <w:p w14:paraId="4C823C3A" w14:textId="77777777" w:rsidR="00991119" w:rsidRDefault="00991119" w:rsidP="009E7F73">
            <w:pPr>
              <w:pStyle w:val="TAL"/>
            </w:pPr>
            <w:r>
              <w:t>For the case where the notification is redirected to the same target via a different SCP, refer to clause 6.10.9.1 of 3GPP TS 29.500 [6].</w:t>
            </w:r>
          </w:p>
        </w:tc>
      </w:tr>
      <w:tr w:rsidR="00991119" w14:paraId="15921D16" w14:textId="77777777" w:rsidTr="009E7F73">
        <w:trPr>
          <w:jc w:val="center"/>
        </w:trPr>
        <w:tc>
          <w:tcPr>
            <w:tcW w:w="825" w:type="pct"/>
          </w:tcPr>
          <w:p w14:paraId="1F514E3C" w14:textId="77777777" w:rsidR="00991119" w:rsidRDefault="00991119" w:rsidP="009E7F73">
            <w:pPr>
              <w:pStyle w:val="TAL"/>
            </w:pPr>
            <w:r>
              <w:rPr>
                <w:lang w:eastAsia="zh-CN"/>
              </w:rPr>
              <w:t>3gpp-Sbi-Target-Nf-Id</w:t>
            </w:r>
          </w:p>
        </w:tc>
        <w:tc>
          <w:tcPr>
            <w:tcW w:w="732" w:type="pct"/>
          </w:tcPr>
          <w:p w14:paraId="0D331BA8" w14:textId="77777777" w:rsidR="00991119" w:rsidRDefault="00991119" w:rsidP="009E7F73">
            <w:pPr>
              <w:pStyle w:val="TAL"/>
            </w:pPr>
            <w:r>
              <w:rPr>
                <w:lang w:eastAsia="fr-FR"/>
              </w:rPr>
              <w:t>string</w:t>
            </w:r>
          </w:p>
        </w:tc>
        <w:tc>
          <w:tcPr>
            <w:tcW w:w="217" w:type="pct"/>
          </w:tcPr>
          <w:p w14:paraId="7CB8B6EC" w14:textId="77777777" w:rsidR="00991119" w:rsidRDefault="00991119" w:rsidP="009E7F73">
            <w:pPr>
              <w:pStyle w:val="TAC"/>
            </w:pPr>
            <w:r>
              <w:rPr>
                <w:lang w:eastAsia="fr-FR"/>
              </w:rPr>
              <w:t>O</w:t>
            </w:r>
          </w:p>
        </w:tc>
        <w:tc>
          <w:tcPr>
            <w:tcW w:w="581" w:type="pct"/>
          </w:tcPr>
          <w:p w14:paraId="554E7318" w14:textId="77777777" w:rsidR="00991119" w:rsidRDefault="00991119" w:rsidP="009E7F73">
            <w:pPr>
              <w:pStyle w:val="TAL"/>
            </w:pPr>
            <w:r>
              <w:rPr>
                <w:lang w:eastAsia="fr-FR"/>
              </w:rPr>
              <w:t>0..1</w:t>
            </w:r>
          </w:p>
        </w:tc>
        <w:tc>
          <w:tcPr>
            <w:tcW w:w="2645" w:type="pct"/>
            <w:vAlign w:val="center"/>
          </w:tcPr>
          <w:p w14:paraId="3DA24732" w14:textId="77777777" w:rsidR="00991119" w:rsidRDefault="00991119" w:rsidP="009E7F73">
            <w:pPr>
              <w:pStyle w:val="TAL"/>
            </w:pPr>
            <w:r>
              <w:rPr>
                <w:lang w:eastAsia="fr-FR"/>
              </w:rPr>
              <w:t>Contains the identifier of the target NF (service) instance towards which the notification request is redirected.</w:t>
            </w:r>
          </w:p>
        </w:tc>
      </w:tr>
    </w:tbl>
    <w:p w14:paraId="21729941" w14:textId="77777777" w:rsidR="00991119" w:rsidRPr="00A41E10" w:rsidRDefault="00991119" w:rsidP="00991119">
      <w:pPr>
        <w:rPr>
          <w:lang w:eastAsia="zh-CN"/>
        </w:rPr>
      </w:pPr>
    </w:p>
    <w:p w14:paraId="446E184C" w14:textId="77777777" w:rsidR="00A10B25" w:rsidRDefault="00A10B25">
      <w:pPr>
        <w:pStyle w:val="4"/>
      </w:pPr>
      <w:bookmarkStart w:id="12306" w:name="_Toc191576478"/>
      <w:bookmarkStart w:id="12307" w:name="_Toc191577218"/>
      <w:bookmarkStart w:id="12308" w:name="_Toc192880288"/>
      <w:bookmarkStart w:id="12309" w:name="_Toc195815177"/>
      <w:bookmarkStart w:id="12310" w:name="_Toc199453144"/>
      <w:r>
        <w:t>5.3.5.3</w:t>
      </w:r>
      <w:r>
        <w:tab/>
      </w:r>
      <w:bookmarkEnd w:id="12273"/>
      <w:bookmarkEnd w:id="12279"/>
      <w:r>
        <w:t>Fetch Notification</w:t>
      </w:r>
      <w:bookmarkEnd w:id="12274"/>
      <w:bookmarkEnd w:id="12275"/>
      <w:bookmarkEnd w:id="12276"/>
      <w:bookmarkEnd w:id="12277"/>
      <w:bookmarkEnd w:id="12278"/>
      <w:bookmarkEnd w:id="12280"/>
      <w:bookmarkEnd w:id="12281"/>
      <w:bookmarkEnd w:id="12282"/>
      <w:bookmarkEnd w:id="12283"/>
      <w:bookmarkEnd w:id="12300"/>
      <w:bookmarkEnd w:id="12301"/>
      <w:bookmarkEnd w:id="12302"/>
      <w:bookmarkEnd w:id="12303"/>
      <w:bookmarkEnd w:id="12304"/>
      <w:bookmarkEnd w:id="12305"/>
      <w:bookmarkEnd w:id="12306"/>
      <w:bookmarkEnd w:id="12307"/>
      <w:bookmarkEnd w:id="12308"/>
      <w:bookmarkEnd w:id="12309"/>
      <w:bookmarkEnd w:id="12310"/>
    </w:p>
    <w:p w14:paraId="4EA6F29A" w14:textId="77777777" w:rsidR="00A10B25" w:rsidRDefault="00A10B25">
      <w:pPr>
        <w:pStyle w:val="5"/>
        <w:rPr>
          <w:lang w:val="en-US" w:eastAsia="zh-CN"/>
        </w:rPr>
      </w:pPr>
      <w:bookmarkStart w:id="12311" w:name="_Toc120702490"/>
      <w:bookmarkStart w:id="12312" w:name="_Toc112951310"/>
      <w:bookmarkStart w:id="12313" w:name="_Toc97037348"/>
      <w:bookmarkStart w:id="12314" w:name="_Toc114133989"/>
      <w:bookmarkStart w:id="12315" w:name="_Toc145705918"/>
      <w:bookmarkStart w:id="12316" w:name="_Toc104539187"/>
      <w:bookmarkStart w:id="12317" w:name="_Toc136562589"/>
      <w:bookmarkStart w:id="12318" w:name="_Toc97193132"/>
      <w:bookmarkStart w:id="12319" w:name="_Toc138754423"/>
      <w:bookmarkStart w:id="12320" w:name="_Toc148522828"/>
      <w:bookmarkStart w:id="12321" w:name="_Toc113031850"/>
      <w:bookmarkStart w:id="12322" w:name="_Toc164921016"/>
      <w:bookmarkStart w:id="12323" w:name="_Toc170120558"/>
      <w:bookmarkStart w:id="12324" w:name="_Toc175858803"/>
      <w:bookmarkStart w:id="12325" w:name="_Toc175859876"/>
      <w:bookmarkStart w:id="12326" w:name="_Toc180606166"/>
      <w:bookmarkStart w:id="12327" w:name="_Toc185517427"/>
      <w:bookmarkStart w:id="12328" w:name="_Toc191576479"/>
      <w:bookmarkStart w:id="12329" w:name="_Toc191577219"/>
      <w:bookmarkStart w:id="12330" w:name="_Toc192880289"/>
      <w:bookmarkStart w:id="12331" w:name="_Toc195815178"/>
      <w:bookmarkStart w:id="12332" w:name="_Toc199453145"/>
      <w:r>
        <w:t>5.3.5.3</w:t>
      </w:r>
      <w:r>
        <w:rPr>
          <w:lang w:val="en-US" w:eastAsia="zh-CN"/>
        </w:rPr>
        <w:t>.1</w:t>
      </w:r>
      <w:r>
        <w:rPr>
          <w:lang w:val="en-US" w:eastAsia="zh-CN"/>
        </w:rPr>
        <w:tab/>
        <w:t>Description</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75B5D35C" w14:textId="77777777" w:rsidR="00A10B25" w:rsidRDefault="00A10B25">
      <w:pPr>
        <w:rPr>
          <w:lang w:val="en-US" w:eastAsia="zh-CN"/>
        </w:rPr>
      </w:pPr>
      <w:bookmarkStart w:id="12333" w:name="_Toc113031851"/>
      <w:bookmarkStart w:id="12334" w:name="_Toc97037349"/>
      <w:bookmarkStart w:id="12335" w:name="_Toc104539188"/>
      <w:bookmarkStart w:id="12336" w:name="_Toc114133990"/>
      <w:bookmarkStart w:id="12337" w:name="_Toc97193133"/>
      <w:bookmarkStart w:id="12338" w:name="_Toc112951311"/>
      <w:r>
        <w:rPr>
          <w:lang w:val="en-US" w:eastAsia="zh-CN"/>
        </w:rPr>
        <w:t xml:space="preserve">The Fetch Notification is used by the NF service consumer to </w:t>
      </w:r>
      <w:r>
        <w:rPr>
          <w:lang w:eastAsia="ja-JP"/>
        </w:rPr>
        <w:t>retrieve data from the NWDAF</w:t>
      </w:r>
      <w:r>
        <w:rPr>
          <w:lang w:val="en-US" w:eastAsia="zh-CN"/>
        </w:rPr>
        <w:t>.</w:t>
      </w:r>
    </w:p>
    <w:p w14:paraId="5B7A7352" w14:textId="77777777" w:rsidR="00A10B25" w:rsidRDefault="00A10B25">
      <w:pPr>
        <w:pStyle w:val="5"/>
        <w:rPr>
          <w:lang w:val="en-US" w:eastAsia="zh-CN"/>
        </w:rPr>
      </w:pPr>
      <w:bookmarkStart w:id="12339" w:name="_Toc120702491"/>
      <w:bookmarkStart w:id="12340" w:name="_Toc145705919"/>
      <w:bookmarkStart w:id="12341" w:name="_Toc148522829"/>
      <w:bookmarkStart w:id="12342" w:name="_Toc138754424"/>
      <w:bookmarkStart w:id="12343" w:name="_Toc136562590"/>
      <w:bookmarkStart w:id="12344" w:name="_Toc164921017"/>
      <w:bookmarkStart w:id="12345" w:name="_Toc170120559"/>
      <w:bookmarkStart w:id="12346" w:name="_Toc175858804"/>
      <w:bookmarkStart w:id="12347" w:name="_Toc175859877"/>
      <w:bookmarkStart w:id="12348" w:name="_Toc180606167"/>
      <w:bookmarkStart w:id="12349" w:name="_Toc185517428"/>
      <w:bookmarkStart w:id="12350" w:name="_Toc191576480"/>
      <w:bookmarkStart w:id="12351" w:name="_Toc191577220"/>
      <w:bookmarkStart w:id="12352" w:name="_Toc192880290"/>
      <w:bookmarkStart w:id="12353" w:name="_Toc195815179"/>
      <w:bookmarkStart w:id="12354" w:name="_Toc199453146"/>
      <w:r>
        <w:t>5.3.5.3.2</w:t>
      </w:r>
      <w:r>
        <w:rPr>
          <w:lang w:val="en-US" w:eastAsia="zh-CN"/>
        </w:rPr>
        <w:tab/>
        <w:t>Target URI</w:t>
      </w:r>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03A6F738" w14:textId="77777777" w:rsidR="00A10B25" w:rsidRDefault="00A10B25">
      <w:pPr>
        <w:rPr>
          <w:rFonts w:ascii="Arial" w:hAnsi="Arial" w:cs="Arial"/>
          <w:lang w:val="en-US" w:eastAsia="zh-CN"/>
        </w:rPr>
      </w:pPr>
      <w:r>
        <w:rPr>
          <w:lang w:val="en-US" w:eastAsia="zh-CN"/>
        </w:rPr>
        <w:t xml:space="preserve">The Callback URI </w:t>
      </w:r>
      <w:r>
        <w:rPr>
          <w:b/>
          <w:lang w:val="en-US" w:eastAsia="zh-CN"/>
        </w:rPr>
        <w:t>"{fetchUri}"</w:t>
      </w:r>
      <w:r>
        <w:rPr>
          <w:lang w:val="en-US" w:eastAsia="zh-CN"/>
        </w:rPr>
        <w:t xml:space="preserve"> shall be used with the callback URI variables defined in table </w:t>
      </w:r>
      <w:r>
        <w:t>5.3.5.3.2</w:t>
      </w:r>
      <w:r>
        <w:rPr>
          <w:lang w:val="en-US" w:eastAsia="zh-CN"/>
        </w:rPr>
        <w:t>-1</w:t>
      </w:r>
      <w:r>
        <w:rPr>
          <w:rFonts w:ascii="Arial" w:hAnsi="Arial" w:cs="Arial"/>
          <w:lang w:val="en-US" w:eastAsia="zh-CN"/>
        </w:rPr>
        <w:t>.</w:t>
      </w:r>
    </w:p>
    <w:p w14:paraId="3766DE6F" w14:textId="77777777" w:rsidR="00A10B25" w:rsidRDefault="00A10B25">
      <w:pPr>
        <w:pStyle w:val="TH"/>
        <w:rPr>
          <w:rFonts w:cs="Arial"/>
          <w:lang w:val="en-US" w:eastAsia="zh-CN"/>
        </w:rPr>
      </w:pPr>
      <w:r>
        <w:rPr>
          <w:lang w:val="en-US" w:eastAsia="zh-CN"/>
        </w:rPr>
        <w:t>Table </w:t>
      </w:r>
      <w:r>
        <w:t>5.3.5.3.2</w:t>
      </w:r>
      <w:r>
        <w:rPr>
          <w:lang w:val="en-US" w:eastAsia="zh-CN"/>
        </w:rPr>
        <w:t>-1: Callback URI variables</w:t>
      </w:r>
    </w:p>
    <w:tbl>
      <w:tblPr>
        <w:tblW w:w="9555" w:type="dxa"/>
        <w:jc w:val="center"/>
        <w:tblInd w:w="0" w:type="dxa"/>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000" w:firstRow="0" w:lastRow="0" w:firstColumn="0" w:lastColumn="0" w:noHBand="0" w:noVBand="0"/>
      </w:tblPr>
      <w:tblGrid>
        <w:gridCol w:w="950"/>
        <w:gridCol w:w="1417"/>
        <w:gridCol w:w="7188"/>
      </w:tblGrid>
      <w:tr w:rsidR="00A10B25" w14:paraId="30BB5BCE" w14:textId="77777777">
        <w:trPr>
          <w:jc w:val="center"/>
        </w:trPr>
        <w:tc>
          <w:tcPr>
            <w:tcW w:w="950" w:type="dxa"/>
            <w:tcBorders>
              <w:top w:val="single" w:sz="6" w:space="0" w:color="000000"/>
              <w:left w:val="single" w:sz="6" w:space="0" w:color="000000"/>
              <w:bottom w:val="single" w:sz="6" w:space="0" w:color="000000"/>
              <w:right w:val="single" w:sz="6" w:space="0" w:color="000000"/>
            </w:tcBorders>
            <w:shd w:val="clear" w:color="auto" w:fill="C0C0C0"/>
          </w:tcPr>
          <w:p w14:paraId="00701FEB" w14:textId="77777777" w:rsidR="00A10B25" w:rsidRDefault="00A10B25">
            <w:pPr>
              <w:pStyle w:val="TAH"/>
              <w:rPr>
                <w:lang w:val="en-US" w:eastAsia="zh-CN"/>
              </w:rPr>
            </w:pPr>
            <w:r>
              <w:rPr>
                <w:lang w:val="en-US" w:eastAsia="zh-CN"/>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tcPr>
          <w:p w14:paraId="68853ACF" w14:textId="77777777" w:rsidR="00A10B25" w:rsidRDefault="00A10B25">
            <w:pPr>
              <w:pStyle w:val="TAH"/>
              <w:rPr>
                <w:lang w:val="en-US" w:eastAsia="zh-CN"/>
              </w:rPr>
            </w:pPr>
            <w:r>
              <w:rPr>
                <w:lang w:val="en-US" w:eastAsia="zh-CN"/>
              </w:rPr>
              <w:t>Data type</w:t>
            </w:r>
          </w:p>
        </w:tc>
        <w:tc>
          <w:tcPr>
            <w:tcW w:w="7188" w:type="dxa"/>
            <w:tcBorders>
              <w:top w:val="single" w:sz="6" w:space="0" w:color="000000"/>
              <w:left w:val="single" w:sz="6" w:space="0" w:color="000000"/>
              <w:bottom w:val="single" w:sz="6" w:space="0" w:color="000000"/>
              <w:right w:val="single" w:sz="6" w:space="0" w:color="000000"/>
            </w:tcBorders>
            <w:shd w:val="clear" w:color="auto" w:fill="C0C0C0"/>
            <w:vAlign w:val="center"/>
          </w:tcPr>
          <w:p w14:paraId="5A2DF921" w14:textId="77777777" w:rsidR="00A10B25" w:rsidRDefault="00A10B25">
            <w:pPr>
              <w:pStyle w:val="TAH"/>
              <w:rPr>
                <w:lang w:val="en-US" w:eastAsia="zh-CN"/>
              </w:rPr>
            </w:pPr>
            <w:r>
              <w:rPr>
                <w:lang w:val="en-US" w:eastAsia="zh-CN"/>
              </w:rPr>
              <w:t>Definition</w:t>
            </w:r>
          </w:p>
        </w:tc>
      </w:tr>
      <w:tr w:rsidR="00A10B25" w14:paraId="76F8649D" w14:textId="77777777">
        <w:trPr>
          <w:jc w:val="center"/>
        </w:trPr>
        <w:tc>
          <w:tcPr>
            <w:tcW w:w="950" w:type="dxa"/>
            <w:tcBorders>
              <w:top w:val="single" w:sz="6" w:space="0" w:color="000000"/>
              <w:left w:val="single" w:sz="6" w:space="0" w:color="000000"/>
              <w:bottom w:val="single" w:sz="6" w:space="0" w:color="000000"/>
              <w:right w:val="single" w:sz="6" w:space="0" w:color="000000"/>
            </w:tcBorders>
          </w:tcPr>
          <w:p w14:paraId="1EBDA822" w14:textId="77777777" w:rsidR="00A10B25" w:rsidRDefault="00A10B25">
            <w:pPr>
              <w:pStyle w:val="TAL"/>
              <w:rPr>
                <w:lang w:val="en-US" w:eastAsia="zh-CN"/>
              </w:rPr>
            </w:pPr>
            <w:r>
              <w:rPr>
                <w:lang w:val="en-US" w:eastAsia="zh-CN"/>
              </w:rPr>
              <w:t>fetchUri</w:t>
            </w:r>
          </w:p>
        </w:tc>
        <w:tc>
          <w:tcPr>
            <w:tcW w:w="1417" w:type="dxa"/>
            <w:tcBorders>
              <w:top w:val="single" w:sz="6" w:space="0" w:color="000000"/>
              <w:left w:val="single" w:sz="6" w:space="0" w:color="000000"/>
              <w:bottom w:val="single" w:sz="6" w:space="0" w:color="000000"/>
              <w:right w:val="single" w:sz="6" w:space="0" w:color="000000"/>
            </w:tcBorders>
          </w:tcPr>
          <w:p w14:paraId="6CE7DFF7" w14:textId="77777777" w:rsidR="00A10B25" w:rsidRDefault="00A10B25">
            <w:pPr>
              <w:pStyle w:val="TAL"/>
              <w:rPr>
                <w:lang w:val="en-US" w:eastAsia="zh-CN"/>
              </w:rPr>
            </w:pPr>
            <w:r>
              <w:rPr>
                <w:lang w:val="en-US" w:eastAsia="zh-CN"/>
              </w:rPr>
              <w:t>Uri</w:t>
            </w:r>
          </w:p>
        </w:tc>
        <w:tc>
          <w:tcPr>
            <w:tcW w:w="7188" w:type="dxa"/>
            <w:tcBorders>
              <w:top w:val="single" w:sz="6" w:space="0" w:color="000000"/>
              <w:left w:val="single" w:sz="6" w:space="0" w:color="000000"/>
              <w:bottom w:val="single" w:sz="6" w:space="0" w:color="000000"/>
              <w:right w:val="single" w:sz="6" w:space="0" w:color="000000"/>
            </w:tcBorders>
            <w:vAlign w:val="center"/>
          </w:tcPr>
          <w:p w14:paraId="1687E8BD" w14:textId="77777777" w:rsidR="00A10B25" w:rsidRDefault="00A10B25">
            <w:pPr>
              <w:pStyle w:val="TAL"/>
              <w:rPr>
                <w:lang w:val="en-US" w:eastAsia="zh-CN"/>
              </w:rPr>
            </w:pPr>
            <w:r>
              <w:rPr>
                <w:lang w:val="en-US" w:eastAsia="zh-CN"/>
              </w:rPr>
              <w:t xml:space="preserve">Fetch Uri as assigned during the procedure of notification about </w:t>
            </w:r>
            <w:r>
              <w:t>the subscribed data</w:t>
            </w:r>
            <w:r>
              <w:rPr>
                <w:lang w:val="en-US" w:eastAsia="zh-CN"/>
              </w:rPr>
              <w:t xml:space="preserve"> within the </w:t>
            </w:r>
            <w:r>
              <w:t xml:space="preserve">FetchInstruction </w:t>
            </w:r>
            <w:r>
              <w:rPr>
                <w:lang w:val="en-US" w:eastAsia="zh-CN"/>
              </w:rPr>
              <w:t>data type.</w:t>
            </w:r>
          </w:p>
        </w:tc>
      </w:tr>
    </w:tbl>
    <w:p w14:paraId="3238BF97" w14:textId="77777777" w:rsidR="00A10B25" w:rsidRDefault="00A10B25">
      <w:pPr>
        <w:rPr>
          <w:rFonts w:eastAsia="等线"/>
          <w:lang w:val="en-US" w:eastAsia="zh-CN"/>
        </w:rPr>
      </w:pPr>
    </w:p>
    <w:p w14:paraId="461AD4B4" w14:textId="77777777" w:rsidR="00A10B25" w:rsidRDefault="00A10B25">
      <w:pPr>
        <w:pStyle w:val="5"/>
        <w:rPr>
          <w:lang w:val="en-US" w:eastAsia="zh-CN"/>
        </w:rPr>
      </w:pPr>
      <w:bookmarkStart w:id="12355" w:name="_Toc97037350"/>
      <w:bookmarkStart w:id="12356" w:name="_Toc45132989"/>
      <w:bookmarkStart w:id="12357" w:name="_Toc39063154"/>
      <w:bookmarkStart w:id="12358" w:name="_Toc34210695"/>
      <w:bookmarkStart w:id="12359" w:name="_Toc51761292"/>
      <w:bookmarkStart w:id="12360" w:name="_Toc136562591"/>
      <w:bookmarkStart w:id="12361" w:name="_Toc28011579"/>
      <w:bookmarkStart w:id="12362" w:name="_Toc138754425"/>
      <w:bookmarkStart w:id="12363" w:name="_Toc120702492"/>
      <w:bookmarkStart w:id="12364" w:name="_Toc104539189"/>
      <w:bookmarkStart w:id="12365" w:name="_Toc36037720"/>
      <w:bookmarkStart w:id="12366" w:name="_Toc97193134"/>
      <w:bookmarkStart w:id="12367" w:name="_Toc43298212"/>
      <w:bookmarkStart w:id="12368" w:name="_Toc83230072"/>
      <w:bookmarkStart w:id="12369" w:name="_Toc66277780"/>
      <w:bookmarkStart w:id="12370" w:name="_Toc50023802"/>
      <w:bookmarkStart w:id="12371" w:name="_Toc114133991"/>
      <w:bookmarkStart w:id="12372" w:name="_Toc112951312"/>
      <w:bookmarkStart w:id="12373" w:name="_Toc49935456"/>
      <w:bookmarkStart w:id="12374" w:name="_Toc145705920"/>
      <w:bookmarkStart w:id="12375" w:name="_Toc148522830"/>
      <w:bookmarkStart w:id="12376" w:name="_Toc113031852"/>
      <w:bookmarkStart w:id="12377" w:name="_Toc56672222"/>
      <w:bookmarkStart w:id="12378" w:name="_Toc164921018"/>
      <w:bookmarkStart w:id="12379" w:name="_Toc170120560"/>
      <w:bookmarkStart w:id="12380" w:name="_Toc175858805"/>
      <w:bookmarkStart w:id="12381" w:name="_Toc175859878"/>
      <w:bookmarkStart w:id="12382" w:name="_Toc180606168"/>
      <w:bookmarkStart w:id="12383" w:name="_Toc185517429"/>
      <w:bookmarkStart w:id="12384" w:name="_Toc191576481"/>
      <w:bookmarkStart w:id="12385" w:name="_Toc191577221"/>
      <w:bookmarkStart w:id="12386" w:name="_Toc192880291"/>
      <w:bookmarkStart w:id="12387" w:name="_Toc195815180"/>
      <w:bookmarkStart w:id="12388" w:name="_Toc199453147"/>
      <w:r>
        <w:t>5.3.5.3.3</w:t>
      </w:r>
      <w:r>
        <w:rPr>
          <w:lang w:val="en-US" w:eastAsia="zh-CN"/>
        </w:rPr>
        <w:tab/>
        <w:t>Standard Methods</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0E5ED6DC" w14:textId="77777777" w:rsidR="00A10B25" w:rsidRDefault="00A10B25">
      <w:pPr>
        <w:pStyle w:val="6"/>
      </w:pPr>
      <w:bookmarkStart w:id="12389" w:name="_Toc114133992"/>
      <w:bookmarkStart w:id="12390" w:name="_Toc97037351"/>
      <w:bookmarkStart w:id="12391" w:name="_Toc145705921"/>
      <w:bookmarkStart w:id="12392" w:name="_Toc136562592"/>
      <w:bookmarkStart w:id="12393" w:name="_Toc104539190"/>
      <w:bookmarkStart w:id="12394" w:name="_Toc148522831"/>
      <w:bookmarkStart w:id="12395" w:name="_Toc112951313"/>
      <w:bookmarkStart w:id="12396" w:name="_Toc120702493"/>
      <w:bookmarkStart w:id="12397" w:name="_Toc113031853"/>
      <w:bookmarkStart w:id="12398" w:name="_Toc138754426"/>
      <w:bookmarkStart w:id="12399" w:name="_Toc97193135"/>
      <w:bookmarkStart w:id="12400" w:name="_Toc164921019"/>
      <w:bookmarkStart w:id="12401" w:name="_Toc170120561"/>
      <w:bookmarkStart w:id="12402" w:name="_Toc175858806"/>
      <w:bookmarkStart w:id="12403" w:name="_Toc175859879"/>
      <w:bookmarkStart w:id="12404" w:name="_Toc180606169"/>
      <w:bookmarkStart w:id="12405" w:name="_Toc185517430"/>
      <w:bookmarkStart w:id="12406" w:name="_Toc191576482"/>
      <w:bookmarkStart w:id="12407" w:name="_Toc191577222"/>
      <w:bookmarkStart w:id="12408" w:name="_Toc192880292"/>
      <w:bookmarkStart w:id="12409" w:name="_Toc195815181"/>
      <w:bookmarkStart w:id="12410" w:name="_Toc199453148"/>
      <w:r>
        <w:t>5.3.5.3.3.1</w:t>
      </w:r>
      <w:r>
        <w:tab/>
        <w:t>POST</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676564C0" w14:textId="77777777" w:rsidR="00A10B25" w:rsidRDefault="00A10B25">
      <w:r>
        <w:t>This method shall support the URI query parameters specified in table 5.3.5.3.3.1-1.</w:t>
      </w:r>
    </w:p>
    <w:p w14:paraId="37D707BF" w14:textId="77777777" w:rsidR="00A10B25" w:rsidRDefault="00A10B25">
      <w:pPr>
        <w:pStyle w:val="TH"/>
        <w:rPr>
          <w:rFonts w:cs="Arial"/>
        </w:rPr>
      </w:pPr>
      <w:r>
        <w:t>Table 5.3.5.3.3.1-1: URI query parameters supported by the POST method on this resource</w:t>
      </w:r>
    </w:p>
    <w:tbl>
      <w:tblPr>
        <w:tblW w:w="500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89"/>
        <w:gridCol w:w="1408"/>
        <w:gridCol w:w="414"/>
        <w:gridCol w:w="1117"/>
        <w:gridCol w:w="3565"/>
        <w:gridCol w:w="1532"/>
      </w:tblGrid>
      <w:tr w:rsidR="00A10B25" w14:paraId="2102C650" w14:textId="77777777">
        <w:trPr>
          <w:jc w:val="center"/>
        </w:trPr>
        <w:tc>
          <w:tcPr>
            <w:tcW w:w="825" w:type="pct"/>
            <w:shd w:val="clear" w:color="auto" w:fill="C0C0C0"/>
          </w:tcPr>
          <w:p w14:paraId="4F50F6BD" w14:textId="77777777" w:rsidR="00A10B25" w:rsidRDefault="00A10B25">
            <w:pPr>
              <w:pStyle w:val="TAH"/>
            </w:pPr>
            <w:r>
              <w:t>Name</w:t>
            </w:r>
          </w:p>
        </w:tc>
        <w:tc>
          <w:tcPr>
            <w:tcW w:w="731" w:type="pct"/>
            <w:shd w:val="clear" w:color="auto" w:fill="C0C0C0"/>
          </w:tcPr>
          <w:p w14:paraId="70168E05" w14:textId="77777777" w:rsidR="00A10B25" w:rsidRDefault="00A10B25">
            <w:pPr>
              <w:pStyle w:val="TAH"/>
            </w:pPr>
            <w:r>
              <w:t>Data type</w:t>
            </w:r>
          </w:p>
        </w:tc>
        <w:tc>
          <w:tcPr>
            <w:tcW w:w="215" w:type="pct"/>
            <w:shd w:val="clear" w:color="auto" w:fill="C0C0C0"/>
          </w:tcPr>
          <w:p w14:paraId="2C533C18" w14:textId="77777777" w:rsidR="00A10B25" w:rsidRDefault="00A10B25">
            <w:pPr>
              <w:pStyle w:val="TAH"/>
            </w:pPr>
            <w:r>
              <w:t>P</w:t>
            </w:r>
          </w:p>
        </w:tc>
        <w:tc>
          <w:tcPr>
            <w:tcW w:w="580" w:type="pct"/>
            <w:shd w:val="clear" w:color="auto" w:fill="C0C0C0"/>
          </w:tcPr>
          <w:p w14:paraId="10353C50" w14:textId="77777777" w:rsidR="00A10B25" w:rsidRDefault="00A10B25">
            <w:pPr>
              <w:pStyle w:val="TAH"/>
            </w:pPr>
            <w:r>
              <w:t>Cardinality</w:t>
            </w:r>
          </w:p>
        </w:tc>
        <w:tc>
          <w:tcPr>
            <w:tcW w:w="1852" w:type="pct"/>
            <w:shd w:val="clear" w:color="auto" w:fill="C0C0C0"/>
            <w:vAlign w:val="center"/>
          </w:tcPr>
          <w:p w14:paraId="65578980" w14:textId="77777777" w:rsidR="00A10B25" w:rsidRDefault="00A10B25">
            <w:pPr>
              <w:pStyle w:val="TAH"/>
            </w:pPr>
            <w:r>
              <w:t>Description</w:t>
            </w:r>
          </w:p>
        </w:tc>
        <w:tc>
          <w:tcPr>
            <w:tcW w:w="796" w:type="pct"/>
            <w:shd w:val="clear" w:color="auto" w:fill="C0C0C0"/>
          </w:tcPr>
          <w:p w14:paraId="6A42D56E" w14:textId="77777777" w:rsidR="00A10B25" w:rsidRDefault="00A10B25">
            <w:pPr>
              <w:pStyle w:val="TAH"/>
            </w:pPr>
            <w:r>
              <w:t>Applicability</w:t>
            </w:r>
          </w:p>
        </w:tc>
      </w:tr>
      <w:tr w:rsidR="00A10B25" w14:paraId="4743708E" w14:textId="77777777">
        <w:trPr>
          <w:jc w:val="center"/>
        </w:trPr>
        <w:tc>
          <w:tcPr>
            <w:tcW w:w="825" w:type="pct"/>
          </w:tcPr>
          <w:p w14:paraId="027EAD61" w14:textId="77777777" w:rsidR="00A10B25" w:rsidRDefault="00A10B25">
            <w:pPr>
              <w:pStyle w:val="TAL"/>
            </w:pPr>
            <w:r>
              <w:t>n/a</w:t>
            </w:r>
          </w:p>
        </w:tc>
        <w:tc>
          <w:tcPr>
            <w:tcW w:w="731" w:type="pct"/>
          </w:tcPr>
          <w:p w14:paraId="50CE0C33" w14:textId="77777777" w:rsidR="00A10B25" w:rsidRDefault="00A10B25">
            <w:pPr>
              <w:pStyle w:val="TAL"/>
            </w:pPr>
          </w:p>
        </w:tc>
        <w:tc>
          <w:tcPr>
            <w:tcW w:w="215" w:type="pct"/>
          </w:tcPr>
          <w:p w14:paraId="0BB6CF95" w14:textId="77777777" w:rsidR="00A10B25" w:rsidRDefault="00A10B25">
            <w:pPr>
              <w:pStyle w:val="TAC"/>
              <w:rPr>
                <w:lang w:val="en-US"/>
              </w:rPr>
            </w:pPr>
          </w:p>
        </w:tc>
        <w:tc>
          <w:tcPr>
            <w:tcW w:w="580" w:type="pct"/>
          </w:tcPr>
          <w:p w14:paraId="7F464371" w14:textId="77777777" w:rsidR="00A10B25" w:rsidRDefault="00A10B25">
            <w:pPr>
              <w:pStyle w:val="TAL"/>
            </w:pPr>
          </w:p>
        </w:tc>
        <w:tc>
          <w:tcPr>
            <w:tcW w:w="1852" w:type="pct"/>
            <w:vAlign w:val="center"/>
          </w:tcPr>
          <w:p w14:paraId="45964EB8" w14:textId="77777777" w:rsidR="00A10B25" w:rsidRDefault="00A10B25">
            <w:pPr>
              <w:pStyle w:val="TAL"/>
            </w:pPr>
          </w:p>
        </w:tc>
        <w:tc>
          <w:tcPr>
            <w:tcW w:w="796" w:type="pct"/>
          </w:tcPr>
          <w:p w14:paraId="3256CEAC" w14:textId="77777777" w:rsidR="00A10B25" w:rsidRDefault="00A10B25">
            <w:pPr>
              <w:pStyle w:val="TAL"/>
            </w:pPr>
          </w:p>
        </w:tc>
      </w:tr>
    </w:tbl>
    <w:p w14:paraId="0141C9C9" w14:textId="77777777" w:rsidR="00A10B25" w:rsidRDefault="00A10B25">
      <w:pPr>
        <w:pStyle w:val="Guidance"/>
        <w:rPr>
          <w:rFonts w:eastAsia="等线"/>
        </w:rPr>
      </w:pPr>
    </w:p>
    <w:p w14:paraId="53E6E176" w14:textId="77777777" w:rsidR="00A10B25" w:rsidRDefault="00A10B25">
      <w:r>
        <w:t>This method shall support the request data structures specified in table 5.3.5.3.3.1-2 and the response data structures and response codes specified in table 5.3.5.3.3.1-3.</w:t>
      </w:r>
    </w:p>
    <w:p w14:paraId="5B64439C" w14:textId="77777777" w:rsidR="00A10B25" w:rsidRDefault="00A10B25">
      <w:pPr>
        <w:pStyle w:val="TH"/>
      </w:pPr>
      <w:r>
        <w:lastRenderedPageBreak/>
        <w:t>Table 5.3.5.3.3.1-2: Data structures supported by the POST Request Body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7D58CFA5" w14:textId="77777777">
        <w:trPr>
          <w:jc w:val="center"/>
        </w:trPr>
        <w:tc>
          <w:tcPr>
            <w:tcW w:w="1603" w:type="dxa"/>
            <w:shd w:val="clear" w:color="auto" w:fill="C0C0C0"/>
          </w:tcPr>
          <w:p w14:paraId="30829183" w14:textId="77777777" w:rsidR="00A10B25" w:rsidRDefault="00A10B25">
            <w:pPr>
              <w:pStyle w:val="TAH"/>
            </w:pPr>
            <w:r>
              <w:t>Data type</w:t>
            </w:r>
          </w:p>
        </w:tc>
        <w:tc>
          <w:tcPr>
            <w:tcW w:w="421" w:type="dxa"/>
            <w:shd w:val="clear" w:color="auto" w:fill="C0C0C0"/>
          </w:tcPr>
          <w:p w14:paraId="1C152044" w14:textId="77777777" w:rsidR="00A10B25" w:rsidRDefault="00A10B25">
            <w:pPr>
              <w:pStyle w:val="TAH"/>
            </w:pPr>
            <w:r>
              <w:t>P</w:t>
            </w:r>
          </w:p>
        </w:tc>
        <w:tc>
          <w:tcPr>
            <w:tcW w:w="1258" w:type="dxa"/>
            <w:shd w:val="clear" w:color="auto" w:fill="C0C0C0"/>
          </w:tcPr>
          <w:p w14:paraId="718383BA" w14:textId="77777777" w:rsidR="00A10B25" w:rsidRDefault="00A10B25">
            <w:pPr>
              <w:pStyle w:val="TAH"/>
            </w:pPr>
            <w:r>
              <w:t>Cardinality</w:t>
            </w:r>
          </w:p>
        </w:tc>
        <w:tc>
          <w:tcPr>
            <w:tcW w:w="6345" w:type="dxa"/>
            <w:shd w:val="clear" w:color="auto" w:fill="C0C0C0"/>
            <w:vAlign w:val="center"/>
          </w:tcPr>
          <w:p w14:paraId="5D616B28" w14:textId="77777777" w:rsidR="00A10B25" w:rsidRDefault="00A10B25">
            <w:pPr>
              <w:pStyle w:val="TAH"/>
            </w:pPr>
            <w:r>
              <w:t>Description</w:t>
            </w:r>
          </w:p>
        </w:tc>
      </w:tr>
      <w:tr w:rsidR="00A10B25" w14:paraId="78C489C9" w14:textId="77777777">
        <w:trPr>
          <w:jc w:val="center"/>
        </w:trPr>
        <w:tc>
          <w:tcPr>
            <w:tcW w:w="1603" w:type="dxa"/>
          </w:tcPr>
          <w:p w14:paraId="5322DF48" w14:textId="77777777" w:rsidR="00A10B25" w:rsidRDefault="00A10B25">
            <w:pPr>
              <w:pStyle w:val="TAL"/>
            </w:pPr>
            <w:r>
              <w:t>array(string)</w:t>
            </w:r>
          </w:p>
        </w:tc>
        <w:tc>
          <w:tcPr>
            <w:tcW w:w="421" w:type="dxa"/>
          </w:tcPr>
          <w:p w14:paraId="7BDCAE2F" w14:textId="77777777" w:rsidR="00A10B25" w:rsidRDefault="00A10B25">
            <w:pPr>
              <w:pStyle w:val="TAC"/>
            </w:pPr>
            <w:r>
              <w:t>M</w:t>
            </w:r>
          </w:p>
        </w:tc>
        <w:tc>
          <w:tcPr>
            <w:tcW w:w="1258" w:type="dxa"/>
          </w:tcPr>
          <w:p w14:paraId="5C1349E4" w14:textId="77777777" w:rsidR="00A10B25" w:rsidRDefault="00A10B25">
            <w:pPr>
              <w:pStyle w:val="TAL"/>
            </w:pPr>
            <w:r>
              <w:t>1..N</w:t>
            </w:r>
          </w:p>
        </w:tc>
        <w:tc>
          <w:tcPr>
            <w:tcW w:w="6345" w:type="dxa"/>
            <w:vAlign w:val="center"/>
          </w:tcPr>
          <w:p w14:paraId="6B06A3BD" w14:textId="77777777" w:rsidR="00A10B25" w:rsidRDefault="00A10B25">
            <w:pPr>
              <w:pStyle w:val="TAL"/>
            </w:pPr>
            <w:r>
              <w:t>Indicate the fetch correlation identifier(s).</w:t>
            </w:r>
          </w:p>
        </w:tc>
      </w:tr>
    </w:tbl>
    <w:p w14:paraId="26E6D53D" w14:textId="77777777" w:rsidR="00A10B25" w:rsidRDefault="00A10B25">
      <w:pPr>
        <w:rPr>
          <w:rFonts w:eastAsia="等线"/>
        </w:rPr>
      </w:pPr>
    </w:p>
    <w:p w14:paraId="008F4A53" w14:textId="77777777" w:rsidR="00991119" w:rsidRDefault="00991119" w:rsidP="00991119">
      <w:pPr>
        <w:pStyle w:val="TH"/>
      </w:pPr>
      <w:bookmarkStart w:id="12411" w:name="_Toc120702494"/>
      <w:bookmarkStart w:id="12412" w:name="_Toc70550728"/>
      <w:bookmarkStart w:id="12413" w:name="_Toc85557211"/>
      <w:bookmarkStart w:id="12414" w:name="_Toc85553112"/>
      <w:bookmarkStart w:id="12415" w:name="_Toc94064411"/>
      <w:bookmarkStart w:id="12416" w:name="_Toc90656006"/>
      <w:bookmarkStart w:id="12417" w:name="_Toc88667721"/>
      <w:bookmarkStart w:id="12418" w:name="_Toc83233183"/>
      <w:bookmarkStart w:id="12419" w:name="_Toc101244587"/>
      <w:bookmarkStart w:id="12420" w:name="_Toc113031854"/>
      <w:bookmarkStart w:id="12421" w:name="_Toc114133993"/>
      <w:bookmarkStart w:id="12422" w:name="_Toc104539191"/>
      <w:bookmarkStart w:id="12423" w:name="_Toc98233809"/>
      <w:bookmarkStart w:id="12424" w:name="_Toc112951314"/>
      <w:r>
        <w:t>Table 5.3.5.3.3.1-3: Data structures supported by the POST Response Body on this resource</w:t>
      </w:r>
    </w:p>
    <w:tbl>
      <w:tblPr>
        <w:tblW w:w="4950" w:type="pct"/>
        <w:jc w:val="center"/>
        <w:tblInd w:w="0" w:type="dxa"/>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548"/>
        <w:gridCol w:w="286"/>
        <w:gridCol w:w="1067"/>
        <w:gridCol w:w="1017"/>
        <w:gridCol w:w="4611"/>
      </w:tblGrid>
      <w:tr w:rsidR="00991119" w14:paraId="308EB846"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tcPr>
          <w:p w14:paraId="1422F85E" w14:textId="77777777" w:rsidR="00991119" w:rsidRDefault="00991119" w:rsidP="009E7F73">
            <w:pPr>
              <w:pStyle w:val="TAH"/>
            </w:pPr>
            <w:r>
              <w:t>Data type</w:t>
            </w:r>
          </w:p>
        </w:tc>
        <w:tc>
          <w:tcPr>
            <w:tcW w:w="148" w:type="pct"/>
            <w:tcBorders>
              <w:top w:val="single" w:sz="6" w:space="0" w:color="auto"/>
              <w:left w:val="single" w:sz="6" w:space="0" w:color="auto"/>
              <w:bottom w:val="single" w:sz="6" w:space="0" w:color="auto"/>
              <w:right w:val="single" w:sz="6" w:space="0" w:color="auto"/>
            </w:tcBorders>
            <w:shd w:val="clear" w:color="auto" w:fill="C0C0C0"/>
          </w:tcPr>
          <w:p w14:paraId="1C9EFA0E" w14:textId="77777777" w:rsidR="00991119" w:rsidRDefault="00991119" w:rsidP="009E7F73">
            <w:pPr>
              <w:pStyle w:val="TAH"/>
            </w:pPr>
            <w:r>
              <w:t>P</w:t>
            </w:r>
          </w:p>
        </w:tc>
        <w:tc>
          <w:tcPr>
            <w:tcW w:w="551" w:type="pct"/>
            <w:tcBorders>
              <w:top w:val="single" w:sz="6" w:space="0" w:color="auto"/>
              <w:left w:val="single" w:sz="6" w:space="0" w:color="auto"/>
              <w:bottom w:val="single" w:sz="6" w:space="0" w:color="auto"/>
              <w:right w:val="single" w:sz="6" w:space="0" w:color="auto"/>
            </w:tcBorders>
            <w:shd w:val="clear" w:color="auto" w:fill="C0C0C0"/>
          </w:tcPr>
          <w:p w14:paraId="19EBAA24" w14:textId="77777777" w:rsidR="00991119" w:rsidRDefault="00991119" w:rsidP="009E7F73">
            <w:pPr>
              <w:pStyle w:val="TAH"/>
            </w:pPr>
            <w:r>
              <w:t>Cardinality</w:t>
            </w:r>
          </w:p>
        </w:tc>
        <w:tc>
          <w:tcPr>
            <w:tcW w:w="525" w:type="pct"/>
            <w:tcBorders>
              <w:top w:val="single" w:sz="6" w:space="0" w:color="auto"/>
              <w:left w:val="single" w:sz="6" w:space="0" w:color="auto"/>
              <w:bottom w:val="single" w:sz="6" w:space="0" w:color="auto"/>
              <w:right w:val="single" w:sz="6" w:space="0" w:color="auto"/>
            </w:tcBorders>
            <w:shd w:val="clear" w:color="auto" w:fill="C0C0C0"/>
          </w:tcPr>
          <w:p w14:paraId="00EAE802" w14:textId="77777777" w:rsidR="00991119" w:rsidRDefault="00991119" w:rsidP="009E7F73">
            <w:pPr>
              <w:pStyle w:val="TAH"/>
            </w:pPr>
            <w:r>
              <w:t>Response</w:t>
            </w:r>
          </w:p>
          <w:p w14:paraId="4ED3440B" w14:textId="77777777" w:rsidR="00991119" w:rsidRDefault="00991119" w:rsidP="009E7F73">
            <w:pPr>
              <w:pStyle w:val="TAH"/>
            </w:pPr>
            <w:r>
              <w:t>codes</w:t>
            </w:r>
          </w:p>
        </w:tc>
        <w:tc>
          <w:tcPr>
            <w:tcW w:w="2512" w:type="pct"/>
            <w:tcBorders>
              <w:top w:val="single" w:sz="6" w:space="0" w:color="auto"/>
              <w:left w:val="single" w:sz="6" w:space="0" w:color="auto"/>
              <w:bottom w:val="single" w:sz="6" w:space="0" w:color="auto"/>
              <w:right w:val="single" w:sz="6" w:space="0" w:color="auto"/>
            </w:tcBorders>
            <w:shd w:val="clear" w:color="auto" w:fill="C0C0C0"/>
          </w:tcPr>
          <w:p w14:paraId="19E63BBE" w14:textId="77777777" w:rsidR="00991119" w:rsidRDefault="00991119" w:rsidP="009E7F73">
            <w:pPr>
              <w:pStyle w:val="TAH"/>
            </w:pPr>
            <w:r>
              <w:t>Description</w:t>
            </w:r>
          </w:p>
        </w:tc>
      </w:tr>
      <w:tr w:rsidR="00991119" w14:paraId="3404C343"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tcPr>
          <w:p w14:paraId="6E401D82" w14:textId="77777777" w:rsidR="00991119" w:rsidRDefault="00991119" w:rsidP="009E7F73">
            <w:pPr>
              <w:pStyle w:val="TAL"/>
            </w:pPr>
            <w:r>
              <w:rPr>
                <w:rFonts w:eastAsia="等线"/>
              </w:rPr>
              <w:t>NnwdafDataManagementNotif</w:t>
            </w:r>
          </w:p>
        </w:tc>
        <w:tc>
          <w:tcPr>
            <w:tcW w:w="148" w:type="pct"/>
            <w:tcBorders>
              <w:top w:val="single" w:sz="6" w:space="0" w:color="auto"/>
              <w:left w:val="single" w:sz="6" w:space="0" w:color="auto"/>
              <w:bottom w:val="single" w:sz="6" w:space="0" w:color="auto"/>
              <w:right w:val="single" w:sz="6" w:space="0" w:color="auto"/>
            </w:tcBorders>
          </w:tcPr>
          <w:p w14:paraId="2CB8FA64" w14:textId="77777777" w:rsidR="00991119" w:rsidRDefault="00991119" w:rsidP="009E7F73">
            <w:pPr>
              <w:pStyle w:val="TAC"/>
            </w:pPr>
            <w:r>
              <w:t>M</w:t>
            </w:r>
          </w:p>
        </w:tc>
        <w:tc>
          <w:tcPr>
            <w:tcW w:w="551" w:type="pct"/>
            <w:tcBorders>
              <w:top w:val="single" w:sz="6" w:space="0" w:color="auto"/>
              <w:left w:val="single" w:sz="6" w:space="0" w:color="auto"/>
              <w:bottom w:val="single" w:sz="6" w:space="0" w:color="auto"/>
              <w:right w:val="single" w:sz="6" w:space="0" w:color="auto"/>
            </w:tcBorders>
          </w:tcPr>
          <w:p w14:paraId="4F6A9309" w14:textId="77777777" w:rsidR="00991119" w:rsidRDefault="00991119" w:rsidP="009E7F73">
            <w:pPr>
              <w:pStyle w:val="TAL"/>
            </w:pPr>
            <w:r>
              <w:t>1</w:t>
            </w:r>
          </w:p>
        </w:tc>
        <w:tc>
          <w:tcPr>
            <w:tcW w:w="525" w:type="pct"/>
            <w:tcBorders>
              <w:top w:val="single" w:sz="6" w:space="0" w:color="auto"/>
              <w:left w:val="single" w:sz="6" w:space="0" w:color="auto"/>
              <w:bottom w:val="single" w:sz="6" w:space="0" w:color="auto"/>
              <w:right w:val="single" w:sz="6" w:space="0" w:color="auto"/>
            </w:tcBorders>
          </w:tcPr>
          <w:p w14:paraId="4697AFC3" w14:textId="77777777" w:rsidR="00991119" w:rsidRDefault="00991119" w:rsidP="009E7F73">
            <w:pPr>
              <w:pStyle w:val="TAL"/>
            </w:pPr>
            <w:r>
              <w:t>200 OK</w:t>
            </w:r>
          </w:p>
        </w:tc>
        <w:tc>
          <w:tcPr>
            <w:tcW w:w="2512" w:type="pct"/>
            <w:tcBorders>
              <w:top w:val="single" w:sz="6" w:space="0" w:color="auto"/>
              <w:left w:val="single" w:sz="6" w:space="0" w:color="auto"/>
              <w:bottom w:val="single" w:sz="6" w:space="0" w:color="auto"/>
              <w:right w:val="single" w:sz="6" w:space="0" w:color="auto"/>
            </w:tcBorders>
          </w:tcPr>
          <w:p w14:paraId="443EB078" w14:textId="77777777" w:rsidR="00991119" w:rsidRDefault="00991119" w:rsidP="009E7F73">
            <w:pPr>
              <w:pStyle w:val="TAL"/>
            </w:pPr>
            <w:r>
              <w:t>The stored data related to the fetch correlation identifier(s).</w:t>
            </w:r>
          </w:p>
        </w:tc>
      </w:tr>
      <w:tr w:rsidR="00991119" w14:paraId="7DB18F18"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tcPr>
          <w:p w14:paraId="35C3A8BF" w14:textId="77777777" w:rsidR="00991119" w:rsidRDefault="00991119" w:rsidP="009E7F73">
            <w:pPr>
              <w:pStyle w:val="TAL"/>
              <w:rPr>
                <w:lang w:eastAsia="zh-CN"/>
              </w:rPr>
            </w:pPr>
            <w:r>
              <w:rPr>
                <w:lang w:eastAsia="zh-CN"/>
              </w:rPr>
              <w:t>RedirectResponse</w:t>
            </w:r>
          </w:p>
        </w:tc>
        <w:tc>
          <w:tcPr>
            <w:tcW w:w="148" w:type="pct"/>
            <w:tcBorders>
              <w:top w:val="single" w:sz="6" w:space="0" w:color="auto"/>
              <w:left w:val="single" w:sz="6" w:space="0" w:color="auto"/>
              <w:bottom w:val="single" w:sz="6" w:space="0" w:color="auto"/>
              <w:right w:val="single" w:sz="6" w:space="0" w:color="auto"/>
            </w:tcBorders>
          </w:tcPr>
          <w:p w14:paraId="2E2D8533" w14:textId="77777777" w:rsidR="00991119" w:rsidRDefault="00991119" w:rsidP="009E7F73">
            <w:pPr>
              <w:pStyle w:val="TAC"/>
              <w:rPr>
                <w:lang w:eastAsia="zh-CN"/>
              </w:rPr>
            </w:pPr>
            <w:r>
              <w:rPr>
                <w:lang w:eastAsia="zh-CN"/>
              </w:rPr>
              <w:t>O</w:t>
            </w:r>
          </w:p>
        </w:tc>
        <w:tc>
          <w:tcPr>
            <w:tcW w:w="551" w:type="pct"/>
            <w:tcBorders>
              <w:top w:val="single" w:sz="6" w:space="0" w:color="auto"/>
              <w:left w:val="single" w:sz="6" w:space="0" w:color="auto"/>
              <w:bottom w:val="single" w:sz="6" w:space="0" w:color="auto"/>
              <w:right w:val="single" w:sz="6" w:space="0" w:color="auto"/>
            </w:tcBorders>
          </w:tcPr>
          <w:p w14:paraId="235BB8E4" w14:textId="77777777" w:rsidR="00991119" w:rsidRDefault="00991119" w:rsidP="009E7F73">
            <w:pPr>
              <w:pStyle w:val="TAL"/>
              <w:rPr>
                <w:lang w:eastAsia="zh-CN"/>
              </w:rPr>
            </w:pPr>
            <w:r>
              <w:rPr>
                <w:lang w:eastAsia="zh-CN"/>
              </w:rPr>
              <w:t>0..1</w:t>
            </w:r>
          </w:p>
        </w:tc>
        <w:tc>
          <w:tcPr>
            <w:tcW w:w="525" w:type="pct"/>
            <w:tcBorders>
              <w:top w:val="single" w:sz="6" w:space="0" w:color="auto"/>
              <w:left w:val="single" w:sz="6" w:space="0" w:color="auto"/>
              <w:bottom w:val="single" w:sz="6" w:space="0" w:color="auto"/>
              <w:right w:val="single" w:sz="6" w:space="0" w:color="auto"/>
            </w:tcBorders>
          </w:tcPr>
          <w:p w14:paraId="10D0C19F" w14:textId="77777777" w:rsidR="00991119" w:rsidRDefault="00991119" w:rsidP="009E7F73">
            <w:pPr>
              <w:pStyle w:val="TAL"/>
            </w:pPr>
            <w:r>
              <w:t>307 Temporary Redirect</w:t>
            </w:r>
          </w:p>
        </w:tc>
        <w:tc>
          <w:tcPr>
            <w:tcW w:w="2512" w:type="pct"/>
            <w:tcBorders>
              <w:top w:val="single" w:sz="6" w:space="0" w:color="auto"/>
              <w:left w:val="single" w:sz="6" w:space="0" w:color="auto"/>
              <w:bottom w:val="single" w:sz="6" w:space="0" w:color="auto"/>
              <w:right w:val="single" w:sz="6" w:space="0" w:color="auto"/>
            </w:tcBorders>
          </w:tcPr>
          <w:p w14:paraId="33A0AC7B" w14:textId="77777777" w:rsidR="00991119" w:rsidRDefault="00991119" w:rsidP="009E7F73">
            <w:pPr>
              <w:pStyle w:val="TAL"/>
            </w:pPr>
            <w:r>
              <w:t>Temporary redirection.</w:t>
            </w:r>
          </w:p>
          <w:p w14:paraId="3605BB9B" w14:textId="77777777" w:rsidR="00991119" w:rsidRDefault="00991119" w:rsidP="009E7F73">
            <w:pPr>
              <w:pStyle w:val="TAL"/>
            </w:pPr>
          </w:p>
          <w:p w14:paraId="14FB09BF" w14:textId="77777777" w:rsidR="00991119" w:rsidRDefault="00991119" w:rsidP="009E7F73">
            <w:pPr>
              <w:pStyle w:val="TAL"/>
            </w:pPr>
            <w:r>
              <w:t>(NOTE 2)</w:t>
            </w:r>
          </w:p>
        </w:tc>
      </w:tr>
      <w:tr w:rsidR="00991119" w14:paraId="3A527839" w14:textId="77777777" w:rsidTr="009E7F73">
        <w:trPr>
          <w:jc w:val="center"/>
        </w:trPr>
        <w:tc>
          <w:tcPr>
            <w:tcW w:w="1264" w:type="pct"/>
            <w:tcBorders>
              <w:top w:val="single" w:sz="6" w:space="0" w:color="auto"/>
              <w:left w:val="single" w:sz="6" w:space="0" w:color="auto"/>
              <w:bottom w:val="single" w:sz="6" w:space="0" w:color="auto"/>
              <w:right w:val="single" w:sz="6" w:space="0" w:color="auto"/>
            </w:tcBorders>
          </w:tcPr>
          <w:p w14:paraId="1FCB7A17" w14:textId="77777777" w:rsidR="00991119" w:rsidRDefault="00991119" w:rsidP="009E7F73">
            <w:pPr>
              <w:pStyle w:val="TAL"/>
              <w:rPr>
                <w:lang w:eastAsia="zh-CN"/>
              </w:rPr>
            </w:pPr>
            <w:r>
              <w:rPr>
                <w:lang w:eastAsia="zh-CN"/>
              </w:rPr>
              <w:t>RedirectResponse</w:t>
            </w:r>
          </w:p>
        </w:tc>
        <w:tc>
          <w:tcPr>
            <w:tcW w:w="148" w:type="pct"/>
            <w:tcBorders>
              <w:top w:val="single" w:sz="6" w:space="0" w:color="auto"/>
              <w:left w:val="single" w:sz="6" w:space="0" w:color="auto"/>
              <w:bottom w:val="single" w:sz="6" w:space="0" w:color="auto"/>
              <w:right w:val="single" w:sz="6" w:space="0" w:color="auto"/>
            </w:tcBorders>
          </w:tcPr>
          <w:p w14:paraId="5C178D42" w14:textId="77777777" w:rsidR="00991119" w:rsidRDefault="00991119" w:rsidP="009E7F73">
            <w:pPr>
              <w:pStyle w:val="TAC"/>
              <w:rPr>
                <w:lang w:eastAsia="zh-CN"/>
              </w:rPr>
            </w:pPr>
            <w:r>
              <w:rPr>
                <w:lang w:eastAsia="zh-CN"/>
              </w:rPr>
              <w:t>O</w:t>
            </w:r>
          </w:p>
        </w:tc>
        <w:tc>
          <w:tcPr>
            <w:tcW w:w="551" w:type="pct"/>
            <w:tcBorders>
              <w:top w:val="single" w:sz="6" w:space="0" w:color="auto"/>
              <w:left w:val="single" w:sz="6" w:space="0" w:color="auto"/>
              <w:bottom w:val="single" w:sz="6" w:space="0" w:color="auto"/>
              <w:right w:val="single" w:sz="6" w:space="0" w:color="auto"/>
            </w:tcBorders>
          </w:tcPr>
          <w:p w14:paraId="0E931311" w14:textId="77777777" w:rsidR="00991119" w:rsidRDefault="00991119" w:rsidP="009E7F73">
            <w:pPr>
              <w:pStyle w:val="TAL"/>
              <w:rPr>
                <w:lang w:eastAsia="zh-CN"/>
              </w:rPr>
            </w:pPr>
            <w:r>
              <w:rPr>
                <w:lang w:eastAsia="zh-CN"/>
              </w:rPr>
              <w:t>0..1</w:t>
            </w:r>
          </w:p>
        </w:tc>
        <w:tc>
          <w:tcPr>
            <w:tcW w:w="525" w:type="pct"/>
            <w:tcBorders>
              <w:top w:val="single" w:sz="6" w:space="0" w:color="auto"/>
              <w:left w:val="single" w:sz="6" w:space="0" w:color="auto"/>
              <w:bottom w:val="single" w:sz="6" w:space="0" w:color="auto"/>
              <w:right w:val="single" w:sz="6" w:space="0" w:color="auto"/>
            </w:tcBorders>
          </w:tcPr>
          <w:p w14:paraId="3B4F30D8" w14:textId="77777777" w:rsidR="00991119" w:rsidRDefault="00991119" w:rsidP="009E7F73">
            <w:pPr>
              <w:pStyle w:val="TAL"/>
            </w:pPr>
            <w:r>
              <w:t>308 Permanent Redirect</w:t>
            </w:r>
          </w:p>
        </w:tc>
        <w:tc>
          <w:tcPr>
            <w:tcW w:w="2512" w:type="pct"/>
            <w:tcBorders>
              <w:top w:val="single" w:sz="6" w:space="0" w:color="auto"/>
              <w:left w:val="single" w:sz="6" w:space="0" w:color="auto"/>
              <w:bottom w:val="single" w:sz="6" w:space="0" w:color="auto"/>
              <w:right w:val="single" w:sz="6" w:space="0" w:color="auto"/>
            </w:tcBorders>
          </w:tcPr>
          <w:p w14:paraId="681194C0" w14:textId="77777777" w:rsidR="00991119" w:rsidRDefault="00991119" w:rsidP="009E7F73">
            <w:pPr>
              <w:pStyle w:val="TAL"/>
            </w:pPr>
            <w:r>
              <w:t>Permanent redirection.</w:t>
            </w:r>
          </w:p>
          <w:p w14:paraId="05847221" w14:textId="77777777" w:rsidR="00991119" w:rsidRDefault="00991119" w:rsidP="009E7F73">
            <w:pPr>
              <w:pStyle w:val="TAL"/>
            </w:pPr>
          </w:p>
          <w:p w14:paraId="451B1070" w14:textId="77777777" w:rsidR="00991119" w:rsidRDefault="00991119" w:rsidP="009E7F73">
            <w:pPr>
              <w:pStyle w:val="TAL"/>
            </w:pPr>
            <w:r>
              <w:t>(NOTE 2)</w:t>
            </w:r>
          </w:p>
        </w:tc>
      </w:tr>
      <w:tr w:rsidR="00991119" w14:paraId="172FBFA6" w14:textId="77777777" w:rsidTr="009E7F73">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8DAECE4" w14:textId="77777777" w:rsidR="00991119" w:rsidRDefault="00991119" w:rsidP="009E7F73">
            <w:pPr>
              <w:pStyle w:val="TAN"/>
            </w:pPr>
            <w:r>
              <w:t>NOTE 1:</w:t>
            </w:r>
            <w:r>
              <w:rPr>
                <w:lang w:val="en-US"/>
              </w:rPr>
              <w:tab/>
              <w:t xml:space="preserve">The manadatory </w:t>
            </w:r>
            <w:r>
              <w:t>HTTP error status code for the POST method listed in Table 5.2.7.1-1 of 3GPP TS 29.500 [6] also apply.</w:t>
            </w:r>
          </w:p>
          <w:p w14:paraId="51BE938F" w14:textId="77777777" w:rsidR="00991119" w:rsidRDefault="00991119" w:rsidP="009E7F73">
            <w:pPr>
              <w:pStyle w:val="TAN"/>
            </w:pPr>
            <w:r>
              <w:t>NOTE 2:</w:t>
            </w:r>
            <w:r>
              <w:tab/>
              <w:t>The RedirectResponse data structure may be provided by an SCP (cf. clause 6.10.9.1 of 3GPP TS 29.500 [6]).</w:t>
            </w:r>
          </w:p>
        </w:tc>
      </w:tr>
    </w:tbl>
    <w:p w14:paraId="1DD80FF5" w14:textId="77777777" w:rsidR="00991119" w:rsidRDefault="00991119" w:rsidP="00991119">
      <w:pPr>
        <w:rPr>
          <w:rFonts w:eastAsia="等线"/>
        </w:rPr>
      </w:pPr>
    </w:p>
    <w:p w14:paraId="04E8FCE1" w14:textId="77777777" w:rsidR="00991119" w:rsidRDefault="00991119" w:rsidP="00991119">
      <w:pPr>
        <w:pStyle w:val="TH"/>
        <w:rPr>
          <w:rFonts w:cs="Arial"/>
        </w:rPr>
      </w:pPr>
      <w:r>
        <w:t>Table 5.3.5.3.3.1-4: Headers supported by the by the 307 Response Code on this resource</w:t>
      </w:r>
    </w:p>
    <w:tbl>
      <w:tblPr>
        <w:tblW w:w="472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79"/>
        <w:gridCol w:w="1276"/>
        <w:gridCol w:w="567"/>
        <w:gridCol w:w="1134"/>
        <w:gridCol w:w="4130"/>
        <w:tblGridChange w:id="12425">
          <w:tblGrid>
            <w:gridCol w:w="1979"/>
            <w:gridCol w:w="1276"/>
            <w:gridCol w:w="567"/>
            <w:gridCol w:w="1134"/>
            <w:gridCol w:w="4130"/>
          </w:tblGrid>
        </w:tblGridChange>
      </w:tblGrid>
      <w:tr w:rsidR="004D166F" w14:paraId="626219F9" w14:textId="77777777" w:rsidTr="009E7F73">
        <w:trPr>
          <w:jc w:val="center"/>
        </w:trPr>
        <w:tc>
          <w:tcPr>
            <w:tcW w:w="1089" w:type="pct"/>
            <w:shd w:val="clear" w:color="auto" w:fill="C0C0C0"/>
          </w:tcPr>
          <w:p w14:paraId="7939F32A" w14:textId="77777777" w:rsidR="00991119" w:rsidRDefault="00991119" w:rsidP="009E7F73">
            <w:pPr>
              <w:pStyle w:val="TAH"/>
            </w:pPr>
            <w:r>
              <w:t>Name</w:t>
            </w:r>
          </w:p>
        </w:tc>
        <w:tc>
          <w:tcPr>
            <w:tcW w:w="702" w:type="pct"/>
            <w:shd w:val="clear" w:color="auto" w:fill="C0C0C0"/>
          </w:tcPr>
          <w:p w14:paraId="3F3291A3" w14:textId="77777777" w:rsidR="00991119" w:rsidRDefault="00991119" w:rsidP="009E7F73">
            <w:pPr>
              <w:pStyle w:val="TAH"/>
            </w:pPr>
            <w:r>
              <w:t>Data type</w:t>
            </w:r>
          </w:p>
        </w:tc>
        <w:tc>
          <w:tcPr>
            <w:tcW w:w="312" w:type="pct"/>
            <w:shd w:val="clear" w:color="auto" w:fill="C0C0C0"/>
          </w:tcPr>
          <w:p w14:paraId="1209EBF7" w14:textId="77777777" w:rsidR="00991119" w:rsidRDefault="00991119" w:rsidP="009E7F73">
            <w:pPr>
              <w:pStyle w:val="TAH"/>
            </w:pPr>
            <w:r>
              <w:t>P</w:t>
            </w:r>
          </w:p>
        </w:tc>
        <w:tc>
          <w:tcPr>
            <w:tcW w:w="624" w:type="pct"/>
            <w:shd w:val="clear" w:color="auto" w:fill="C0C0C0"/>
          </w:tcPr>
          <w:p w14:paraId="21AE1CBA" w14:textId="77777777" w:rsidR="00991119" w:rsidRDefault="00991119" w:rsidP="009E7F73">
            <w:pPr>
              <w:pStyle w:val="TAH"/>
            </w:pPr>
            <w:r>
              <w:t>Cardinality</w:t>
            </w:r>
          </w:p>
        </w:tc>
        <w:tc>
          <w:tcPr>
            <w:tcW w:w="2273" w:type="pct"/>
            <w:shd w:val="clear" w:color="auto" w:fill="C0C0C0"/>
            <w:vAlign w:val="center"/>
          </w:tcPr>
          <w:p w14:paraId="2F90D5AD" w14:textId="77777777" w:rsidR="00991119" w:rsidRDefault="00991119" w:rsidP="009E7F73">
            <w:pPr>
              <w:pStyle w:val="TAH"/>
            </w:pPr>
            <w:r>
              <w:t>Description</w:t>
            </w:r>
          </w:p>
        </w:tc>
      </w:tr>
      <w:tr w:rsidR="00991119" w14:paraId="52C4A131" w14:textId="77777777" w:rsidTr="0040274B">
        <w:trPr>
          <w:jc w:val="center"/>
        </w:trPr>
        <w:tc>
          <w:tcPr>
            <w:tcW w:w="1089" w:type="pct"/>
          </w:tcPr>
          <w:p w14:paraId="688B5446" w14:textId="77777777" w:rsidR="00991119" w:rsidRDefault="00991119" w:rsidP="009E7F73">
            <w:pPr>
              <w:pStyle w:val="TAL"/>
            </w:pPr>
            <w:r>
              <w:t>Location</w:t>
            </w:r>
          </w:p>
        </w:tc>
        <w:tc>
          <w:tcPr>
            <w:tcW w:w="702" w:type="pct"/>
          </w:tcPr>
          <w:p w14:paraId="442CF412" w14:textId="77777777" w:rsidR="00991119" w:rsidRDefault="00991119" w:rsidP="009E7F73">
            <w:pPr>
              <w:pStyle w:val="TAL"/>
            </w:pPr>
            <w:r>
              <w:t>string</w:t>
            </w:r>
          </w:p>
        </w:tc>
        <w:tc>
          <w:tcPr>
            <w:tcW w:w="312" w:type="pct"/>
          </w:tcPr>
          <w:p w14:paraId="0B9C2CEF" w14:textId="77777777" w:rsidR="00991119" w:rsidRDefault="00991119" w:rsidP="009E7F73">
            <w:pPr>
              <w:pStyle w:val="TAC"/>
            </w:pPr>
            <w:r>
              <w:t>M</w:t>
            </w:r>
          </w:p>
        </w:tc>
        <w:tc>
          <w:tcPr>
            <w:tcW w:w="624" w:type="pct"/>
          </w:tcPr>
          <w:p w14:paraId="017490DD" w14:textId="77777777" w:rsidR="00991119" w:rsidRDefault="00991119" w:rsidP="009E7F73">
            <w:pPr>
              <w:pStyle w:val="TAL"/>
            </w:pPr>
            <w:r>
              <w:t>1</w:t>
            </w:r>
          </w:p>
        </w:tc>
        <w:tc>
          <w:tcPr>
            <w:tcW w:w="2273" w:type="pct"/>
            <w:vAlign w:val="center"/>
          </w:tcPr>
          <w:p w14:paraId="6FE61F10" w14:textId="77777777" w:rsidR="00991119" w:rsidRDefault="00991119" w:rsidP="009E7F73">
            <w:pPr>
              <w:pStyle w:val="TAL"/>
            </w:pPr>
            <w:r>
              <w:rPr>
                <w:lang w:eastAsia="fr-FR"/>
              </w:rPr>
              <w:t>Contains an alternative URI representing the end point of an alternative NF consumer (service) instance towards which the notification should be redirected</w:t>
            </w:r>
            <w:r>
              <w:t>.</w:t>
            </w:r>
          </w:p>
          <w:p w14:paraId="6A428C2B" w14:textId="77777777" w:rsidR="00991119" w:rsidRDefault="00991119" w:rsidP="009E7F73">
            <w:pPr>
              <w:pStyle w:val="TAL"/>
            </w:pPr>
          </w:p>
          <w:p w14:paraId="16082D75" w14:textId="77777777" w:rsidR="00991119" w:rsidRDefault="00991119" w:rsidP="009E7F73">
            <w:pPr>
              <w:pStyle w:val="TAL"/>
            </w:pPr>
            <w:r>
              <w:t>For the case where the request is redirected to the same target via a different SCP, refer to clause 6.10.9.1 of 3GPP TS 29.500 [6].</w:t>
            </w:r>
          </w:p>
        </w:tc>
      </w:tr>
      <w:tr w:rsidR="00991119" w14:paraId="42AEDDEF" w14:textId="77777777" w:rsidTr="0040274B">
        <w:trPr>
          <w:jc w:val="center"/>
        </w:trPr>
        <w:tc>
          <w:tcPr>
            <w:tcW w:w="1089" w:type="pct"/>
          </w:tcPr>
          <w:p w14:paraId="5C68BDC6" w14:textId="77777777" w:rsidR="00991119" w:rsidRDefault="00991119" w:rsidP="009E7F73">
            <w:pPr>
              <w:pStyle w:val="TAL"/>
            </w:pPr>
            <w:r>
              <w:rPr>
                <w:lang w:eastAsia="zh-CN"/>
              </w:rPr>
              <w:t>3gpp-Sbi-Target-Nf-Id</w:t>
            </w:r>
          </w:p>
        </w:tc>
        <w:tc>
          <w:tcPr>
            <w:tcW w:w="702" w:type="pct"/>
          </w:tcPr>
          <w:p w14:paraId="39454120" w14:textId="77777777" w:rsidR="00991119" w:rsidRDefault="00991119" w:rsidP="009E7F73">
            <w:pPr>
              <w:pStyle w:val="TAL"/>
            </w:pPr>
            <w:r>
              <w:rPr>
                <w:lang w:eastAsia="fr-FR"/>
              </w:rPr>
              <w:t>string</w:t>
            </w:r>
          </w:p>
        </w:tc>
        <w:tc>
          <w:tcPr>
            <w:tcW w:w="312" w:type="pct"/>
          </w:tcPr>
          <w:p w14:paraId="30E04D8E" w14:textId="77777777" w:rsidR="00991119" w:rsidRDefault="00991119" w:rsidP="009E7F73">
            <w:pPr>
              <w:pStyle w:val="TAC"/>
            </w:pPr>
            <w:r>
              <w:rPr>
                <w:lang w:eastAsia="fr-FR"/>
              </w:rPr>
              <w:t>O</w:t>
            </w:r>
          </w:p>
        </w:tc>
        <w:tc>
          <w:tcPr>
            <w:tcW w:w="624" w:type="pct"/>
          </w:tcPr>
          <w:p w14:paraId="280C0DC4" w14:textId="77777777" w:rsidR="00991119" w:rsidRDefault="00991119" w:rsidP="009E7F73">
            <w:pPr>
              <w:pStyle w:val="TAL"/>
            </w:pPr>
            <w:r>
              <w:rPr>
                <w:lang w:eastAsia="fr-FR"/>
              </w:rPr>
              <w:t>0..1</w:t>
            </w:r>
          </w:p>
        </w:tc>
        <w:tc>
          <w:tcPr>
            <w:tcW w:w="2273" w:type="pct"/>
            <w:vAlign w:val="center"/>
          </w:tcPr>
          <w:p w14:paraId="7178CF1F" w14:textId="77777777" w:rsidR="00991119" w:rsidRDefault="00991119" w:rsidP="009E7F73">
            <w:pPr>
              <w:pStyle w:val="TAL"/>
            </w:pPr>
            <w:r>
              <w:rPr>
                <w:lang w:eastAsia="fr-FR"/>
              </w:rPr>
              <w:t>Contains the identifier of the target NF (service) instance towards which the notification request is redirected.</w:t>
            </w:r>
          </w:p>
        </w:tc>
      </w:tr>
    </w:tbl>
    <w:p w14:paraId="4984F576" w14:textId="77777777" w:rsidR="00991119" w:rsidRDefault="00991119" w:rsidP="00991119">
      <w:pPr>
        <w:rPr>
          <w:rFonts w:eastAsia="等线"/>
        </w:rPr>
      </w:pPr>
    </w:p>
    <w:p w14:paraId="0CC98F54" w14:textId="77777777" w:rsidR="00991119" w:rsidRDefault="00991119" w:rsidP="00991119">
      <w:pPr>
        <w:pStyle w:val="TH"/>
        <w:rPr>
          <w:rFonts w:cs="Arial"/>
        </w:rPr>
      </w:pPr>
      <w:r>
        <w:t>Table 5.3.5.3.3.1-5: Headers supported by the 308 response code on this resource</w:t>
      </w:r>
    </w:p>
    <w:tbl>
      <w:tblPr>
        <w:tblW w:w="472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79"/>
        <w:gridCol w:w="1276"/>
        <w:gridCol w:w="567"/>
        <w:gridCol w:w="1134"/>
        <w:gridCol w:w="4130"/>
      </w:tblGrid>
      <w:tr w:rsidR="00991119" w14:paraId="01879640" w14:textId="77777777" w:rsidTr="0040274B">
        <w:trPr>
          <w:jc w:val="center"/>
        </w:trPr>
        <w:tc>
          <w:tcPr>
            <w:tcW w:w="1089" w:type="pct"/>
            <w:shd w:val="clear" w:color="auto" w:fill="C0C0C0"/>
          </w:tcPr>
          <w:p w14:paraId="2B8C4CBA" w14:textId="77777777" w:rsidR="00991119" w:rsidRDefault="00991119" w:rsidP="009E7F73">
            <w:pPr>
              <w:pStyle w:val="TAH"/>
            </w:pPr>
            <w:r>
              <w:t>Name</w:t>
            </w:r>
          </w:p>
        </w:tc>
        <w:tc>
          <w:tcPr>
            <w:tcW w:w="702" w:type="pct"/>
            <w:shd w:val="clear" w:color="auto" w:fill="C0C0C0"/>
          </w:tcPr>
          <w:p w14:paraId="406852CA" w14:textId="77777777" w:rsidR="00991119" w:rsidRDefault="00991119" w:rsidP="009E7F73">
            <w:pPr>
              <w:pStyle w:val="TAH"/>
            </w:pPr>
            <w:r>
              <w:t>Data type</w:t>
            </w:r>
          </w:p>
        </w:tc>
        <w:tc>
          <w:tcPr>
            <w:tcW w:w="312" w:type="pct"/>
            <w:shd w:val="clear" w:color="auto" w:fill="C0C0C0"/>
          </w:tcPr>
          <w:p w14:paraId="7D3CD357" w14:textId="77777777" w:rsidR="00991119" w:rsidRDefault="00991119" w:rsidP="009E7F73">
            <w:pPr>
              <w:pStyle w:val="TAH"/>
            </w:pPr>
            <w:r>
              <w:t>P</w:t>
            </w:r>
          </w:p>
        </w:tc>
        <w:tc>
          <w:tcPr>
            <w:tcW w:w="624" w:type="pct"/>
            <w:shd w:val="clear" w:color="auto" w:fill="C0C0C0"/>
          </w:tcPr>
          <w:p w14:paraId="2184A725" w14:textId="77777777" w:rsidR="00991119" w:rsidRDefault="00991119" w:rsidP="009E7F73">
            <w:pPr>
              <w:pStyle w:val="TAH"/>
            </w:pPr>
            <w:r>
              <w:t>Cardinality</w:t>
            </w:r>
          </w:p>
        </w:tc>
        <w:tc>
          <w:tcPr>
            <w:tcW w:w="2273" w:type="pct"/>
            <w:shd w:val="clear" w:color="auto" w:fill="C0C0C0"/>
            <w:vAlign w:val="center"/>
          </w:tcPr>
          <w:p w14:paraId="790CF7B3" w14:textId="77777777" w:rsidR="00991119" w:rsidRDefault="00991119" w:rsidP="009E7F73">
            <w:pPr>
              <w:pStyle w:val="TAH"/>
            </w:pPr>
            <w:r>
              <w:t>Description</w:t>
            </w:r>
          </w:p>
        </w:tc>
      </w:tr>
      <w:tr w:rsidR="00991119" w14:paraId="125B8F59" w14:textId="77777777" w:rsidTr="0040274B">
        <w:trPr>
          <w:jc w:val="center"/>
        </w:trPr>
        <w:tc>
          <w:tcPr>
            <w:tcW w:w="1089" w:type="pct"/>
          </w:tcPr>
          <w:p w14:paraId="499BD16B" w14:textId="77777777" w:rsidR="00991119" w:rsidRDefault="00991119" w:rsidP="009E7F73">
            <w:pPr>
              <w:pStyle w:val="TAL"/>
            </w:pPr>
            <w:r>
              <w:t>Location</w:t>
            </w:r>
          </w:p>
        </w:tc>
        <w:tc>
          <w:tcPr>
            <w:tcW w:w="702" w:type="pct"/>
          </w:tcPr>
          <w:p w14:paraId="79BDCA3D" w14:textId="77777777" w:rsidR="00991119" w:rsidRDefault="00991119" w:rsidP="009E7F73">
            <w:pPr>
              <w:pStyle w:val="TAL"/>
            </w:pPr>
            <w:r>
              <w:t>string</w:t>
            </w:r>
          </w:p>
        </w:tc>
        <w:tc>
          <w:tcPr>
            <w:tcW w:w="312" w:type="pct"/>
          </w:tcPr>
          <w:p w14:paraId="01047FB3" w14:textId="77777777" w:rsidR="00991119" w:rsidRDefault="00991119" w:rsidP="009E7F73">
            <w:pPr>
              <w:pStyle w:val="TAC"/>
            </w:pPr>
            <w:r>
              <w:t>M</w:t>
            </w:r>
          </w:p>
        </w:tc>
        <w:tc>
          <w:tcPr>
            <w:tcW w:w="624" w:type="pct"/>
          </w:tcPr>
          <w:p w14:paraId="24A39B1E" w14:textId="77777777" w:rsidR="00991119" w:rsidRDefault="00991119" w:rsidP="009E7F73">
            <w:pPr>
              <w:pStyle w:val="TAL"/>
            </w:pPr>
            <w:r>
              <w:t>1</w:t>
            </w:r>
          </w:p>
        </w:tc>
        <w:tc>
          <w:tcPr>
            <w:tcW w:w="2273" w:type="pct"/>
            <w:vAlign w:val="center"/>
          </w:tcPr>
          <w:p w14:paraId="3382A45E" w14:textId="77777777" w:rsidR="00991119" w:rsidRDefault="00991119" w:rsidP="009E7F73">
            <w:pPr>
              <w:pStyle w:val="TAL"/>
            </w:pPr>
            <w:r>
              <w:rPr>
                <w:lang w:eastAsia="fr-FR"/>
              </w:rPr>
              <w:t>Contains an alternative URI representing the end point of an alternative NF consumer (service) instance towards which the notification should be redirected</w:t>
            </w:r>
            <w:r>
              <w:t>.</w:t>
            </w:r>
          </w:p>
          <w:p w14:paraId="35E880A7" w14:textId="77777777" w:rsidR="00991119" w:rsidRDefault="00991119" w:rsidP="009E7F73">
            <w:pPr>
              <w:pStyle w:val="TAL"/>
            </w:pPr>
          </w:p>
          <w:p w14:paraId="339C6857" w14:textId="77777777" w:rsidR="00991119" w:rsidRDefault="00991119" w:rsidP="009E7F73">
            <w:pPr>
              <w:pStyle w:val="TAL"/>
            </w:pPr>
            <w:r>
              <w:t>For the case where the request is redirected to the same target via a different SCP, refer to clause 6.10.9.1 of 3GPP TS 29.500 [6].</w:t>
            </w:r>
          </w:p>
        </w:tc>
      </w:tr>
      <w:tr w:rsidR="00991119" w14:paraId="10E7EC76" w14:textId="77777777" w:rsidTr="0040274B">
        <w:trPr>
          <w:jc w:val="center"/>
        </w:trPr>
        <w:tc>
          <w:tcPr>
            <w:tcW w:w="1089" w:type="pct"/>
          </w:tcPr>
          <w:p w14:paraId="5D971695" w14:textId="77777777" w:rsidR="00991119" w:rsidRDefault="00991119" w:rsidP="009E7F73">
            <w:pPr>
              <w:pStyle w:val="TAL"/>
            </w:pPr>
            <w:r>
              <w:rPr>
                <w:lang w:eastAsia="zh-CN"/>
              </w:rPr>
              <w:t>3gpp-Sbi-Target-Nf-Id</w:t>
            </w:r>
          </w:p>
        </w:tc>
        <w:tc>
          <w:tcPr>
            <w:tcW w:w="702" w:type="pct"/>
          </w:tcPr>
          <w:p w14:paraId="084A3663" w14:textId="77777777" w:rsidR="00991119" w:rsidRDefault="00991119" w:rsidP="009E7F73">
            <w:pPr>
              <w:pStyle w:val="TAL"/>
            </w:pPr>
            <w:r>
              <w:rPr>
                <w:lang w:eastAsia="fr-FR"/>
              </w:rPr>
              <w:t>string</w:t>
            </w:r>
          </w:p>
        </w:tc>
        <w:tc>
          <w:tcPr>
            <w:tcW w:w="312" w:type="pct"/>
          </w:tcPr>
          <w:p w14:paraId="221528CB" w14:textId="77777777" w:rsidR="00991119" w:rsidRDefault="00991119" w:rsidP="009E7F73">
            <w:pPr>
              <w:pStyle w:val="TAC"/>
            </w:pPr>
            <w:r>
              <w:rPr>
                <w:lang w:eastAsia="fr-FR"/>
              </w:rPr>
              <w:t>O</w:t>
            </w:r>
          </w:p>
        </w:tc>
        <w:tc>
          <w:tcPr>
            <w:tcW w:w="624" w:type="pct"/>
          </w:tcPr>
          <w:p w14:paraId="20CAA966" w14:textId="77777777" w:rsidR="00991119" w:rsidRDefault="00991119" w:rsidP="009E7F73">
            <w:pPr>
              <w:pStyle w:val="TAL"/>
            </w:pPr>
            <w:r>
              <w:rPr>
                <w:lang w:eastAsia="fr-FR"/>
              </w:rPr>
              <w:t>0..1</w:t>
            </w:r>
          </w:p>
        </w:tc>
        <w:tc>
          <w:tcPr>
            <w:tcW w:w="2273" w:type="pct"/>
            <w:vAlign w:val="center"/>
          </w:tcPr>
          <w:p w14:paraId="19D163A2" w14:textId="77777777" w:rsidR="00991119" w:rsidRDefault="00991119" w:rsidP="009E7F73">
            <w:pPr>
              <w:pStyle w:val="TAL"/>
            </w:pPr>
            <w:r>
              <w:rPr>
                <w:lang w:eastAsia="fr-FR"/>
              </w:rPr>
              <w:t>Contains the identifier of the target NF (service) instance towards which the notification request is redirected.</w:t>
            </w:r>
          </w:p>
        </w:tc>
      </w:tr>
    </w:tbl>
    <w:p w14:paraId="2C671D98" w14:textId="77777777" w:rsidR="00991119" w:rsidRDefault="00991119" w:rsidP="00991119">
      <w:pPr>
        <w:rPr>
          <w:lang w:val="en-US"/>
        </w:rPr>
      </w:pPr>
    </w:p>
    <w:p w14:paraId="0AE728F0" w14:textId="77777777" w:rsidR="00A10B25" w:rsidRPr="00991119" w:rsidRDefault="00A10B25">
      <w:pPr>
        <w:rPr>
          <w:lang w:val="en-US" w:eastAsia="zh-CN"/>
        </w:rPr>
      </w:pPr>
    </w:p>
    <w:p w14:paraId="611A350F" w14:textId="77777777" w:rsidR="00A10B25" w:rsidRDefault="00A10B25">
      <w:pPr>
        <w:pStyle w:val="3"/>
        <w:rPr>
          <w:lang w:val="en-US"/>
        </w:rPr>
      </w:pPr>
      <w:bookmarkStart w:id="12426" w:name="_Toc148522832"/>
      <w:bookmarkStart w:id="12427" w:name="_Toc138754427"/>
      <w:bookmarkStart w:id="12428" w:name="_Toc145705922"/>
      <w:bookmarkStart w:id="12429" w:name="_Toc136562593"/>
      <w:bookmarkStart w:id="12430" w:name="_Toc164921020"/>
      <w:bookmarkStart w:id="12431" w:name="_Toc170120562"/>
      <w:bookmarkStart w:id="12432" w:name="_Toc175858807"/>
      <w:bookmarkStart w:id="12433" w:name="_Toc175859880"/>
      <w:bookmarkStart w:id="12434" w:name="_Toc180606170"/>
      <w:bookmarkStart w:id="12435" w:name="_Toc185517431"/>
      <w:bookmarkStart w:id="12436" w:name="_Toc191576483"/>
      <w:bookmarkStart w:id="12437" w:name="_Toc191577223"/>
      <w:bookmarkStart w:id="12438" w:name="_Toc192880293"/>
      <w:bookmarkStart w:id="12439" w:name="_Toc195815182"/>
      <w:bookmarkStart w:id="12440" w:name="_Toc199453149"/>
      <w:r>
        <w:rPr>
          <w:lang w:val="en-US"/>
        </w:rPr>
        <w:t>5.3.6</w:t>
      </w:r>
      <w:r>
        <w:rPr>
          <w:lang w:val="en-US"/>
        </w:rPr>
        <w:tab/>
        <w:t>Data Model</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p>
    <w:p w14:paraId="4572714B" w14:textId="77777777" w:rsidR="00A10B25" w:rsidRDefault="00A10B25">
      <w:pPr>
        <w:pStyle w:val="4"/>
      </w:pPr>
      <w:bookmarkStart w:id="12441" w:name="_Toc112951315"/>
      <w:bookmarkStart w:id="12442" w:name="_Toc101244588"/>
      <w:bookmarkStart w:id="12443" w:name="_Toc104539192"/>
      <w:bookmarkStart w:id="12444" w:name="_Toc136562594"/>
      <w:bookmarkStart w:id="12445" w:name="_Toc120702495"/>
      <w:bookmarkStart w:id="12446" w:name="_Toc98233810"/>
      <w:bookmarkStart w:id="12447" w:name="_Toc113031855"/>
      <w:bookmarkStart w:id="12448" w:name="_Toc114133994"/>
      <w:bookmarkStart w:id="12449" w:name="_Toc145705923"/>
      <w:bookmarkStart w:id="12450" w:name="_Toc138754428"/>
      <w:bookmarkStart w:id="12451" w:name="_Toc148522833"/>
      <w:bookmarkStart w:id="12452" w:name="_Toc164921021"/>
      <w:bookmarkStart w:id="12453" w:name="_Toc170120563"/>
      <w:bookmarkStart w:id="12454" w:name="_Toc175858808"/>
      <w:bookmarkStart w:id="12455" w:name="_Toc175859881"/>
      <w:bookmarkStart w:id="12456" w:name="_Toc180606171"/>
      <w:bookmarkStart w:id="12457" w:name="_Toc185517432"/>
      <w:bookmarkStart w:id="12458" w:name="_Toc191576484"/>
      <w:bookmarkStart w:id="12459" w:name="_Toc191577224"/>
      <w:bookmarkStart w:id="12460" w:name="_Toc192880294"/>
      <w:bookmarkStart w:id="12461" w:name="_Toc195815183"/>
      <w:bookmarkStart w:id="12462" w:name="_Toc199453150"/>
      <w:r>
        <w:t>5.3.6.1</w:t>
      </w:r>
      <w:r>
        <w:tab/>
        <w:t>General</w:t>
      </w:r>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527112DA" w14:textId="77777777" w:rsidR="00A10B25" w:rsidRDefault="00A10B25">
      <w:r>
        <w:t>This clause specifies the application data model supported by the API.</w:t>
      </w:r>
    </w:p>
    <w:p w14:paraId="56ED0F68" w14:textId="77777777" w:rsidR="00A10B25" w:rsidRDefault="00A10B25">
      <w:r>
        <w:t>Table 5.3.6.1-1 specifies the data types defined for the Nnwdaf_DataManagement service based interface protocol.</w:t>
      </w:r>
    </w:p>
    <w:p w14:paraId="5F74FD4B"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5.3.6.1-1: Nnwdaf_</w:t>
      </w:r>
      <w:r>
        <w:rPr>
          <w:lang w:eastAsia="ja-JP"/>
        </w:rPr>
        <w:t>DataManagement</w:t>
      </w:r>
      <w:r>
        <w:rPr>
          <w:rFonts w:eastAsia="MS Mincho"/>
        </w:rPr>
        <w:t xml:space="preserve"> specific Data Types</w:t>
      </w:r>
    </w:p>
    <w:tbl>
      <w:tblPr>
        <w:tblW w:w="942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284590E6" w14:textId="77777777">
        <w:trPr>
          <w:jc w:val="center"/>
        </w:trPr>
        <w:tc>
          <w:tcPr>
            <w:tcW w:w="3198" w:type="dxa"/>
            <w:shd w:val="clear" w:color="auto" w:fill="C0C0C0"/>
          </w:tcPr>
          <w:p w14:paraId="26261165" w14:textId="77777777" w:rsidR="00A10B25" w:rsidRDefault="00A10B25">
            <w:pPr>
              <w:pStyle w:val="TAH"/>
            </w:pPr>
            <w:r>
              <w:t>Data type</w:t>
            </w:r>
          </w:p>
        </w:tc>
        <w:tc>
          <w:tcPr>
            <w:tcW w:w="1324" w:type="dxa"/>
            <w:shd w:val="clear" w:color="auto" w:fill="C0C0C0"/>
          </w:tcPr>
          <w:p w14:paraId="1D761FCB" w14:textId="77777777" w:rsidR="00A10B25" w:rsidRDefault="00A10B25">
            <w:pPr>
              <w:pStyle w:val="TAH"/>
            </w:pPr>
            <w:r>
              <w:t>Clause defined</w:t>
            </w:r>
          </w:p>
        </w:tc>
        <w:tc>
          <w:tcPr>
            <w:tcW w:w="2955" w:type="dxa"/>
            <w:shd w:val="clear" w:color="auto" w:fill="C0C0C0"/>
          </w:tcPr>
          <w:p w14:paraId="57AE68E4" w14:textId="77777777" w:rsidR="00A10B25" w:rsidRDefault="00A10B25">
            <w:pPr>
              <w:pStyle w:val="TAH"/>
            </w:pPr>
            <w:r>
              <w:t>Description</w:t>
            </w:r>
          </w:p>
        </w:tc>
        <w:tc>
          <w:tcPr>
            <w:tcW w:w="1947" w:type="dxa"/>
            <w:shd w:val="clear" w:color="auto" w:fill="C0C0C0"/>
          </w:tcPr>
          <w:p w14:paraId="58FACADE" w14:textId="77777777" w:rsidR="00A10B25" w:rsidRDefault="00A10B25">
            <w:pPr>
              <w:pStyle w:val="TAH"/>
            </w:pPr>
            <w:r>
              <w:t>Applicability</w:t>
            </w:r>
          </w:p>
        </w:tc>
      </w:tr>
      <w:tr w:rsidR="00A10B25" w14:paraId="3180F13D" w14:textId="77777777">
        <w:trPr>
          <w:jc w:val="center"/>
        </w:trPr>
        <w:tc>
          <w:tcPr>
            <w:tcW w:w="3198" w:type="dxa"/>
          </w:tcPr>
          <w:p w14:paraId="0FD490C3" w14:textId="77777777" w:rsidR="00A10B25" w:rsidRDefault="00A10B25">
            <w:pPr>
              <w:pStyle w:val="TAL"/>
            </w:pPr>
            <w:r>
              <w:rPr>
                <w:rFonts w:eastAsia="等线"/>
              </w:rPr>
              <w:t>NnwdafDataManagementSubsc</w:t>
            </w:r>
          </w:p>
        </w:tc>
        <w:tc>
          <w:tcPr>
            <w:tcW w:w="1324" w:type="dxa"/>
          </w:tcPr>
          <w:p w14:paraId="68C24E12" w14:textId="77777777" w:rsidR="00A10B25" w:rsidRDefault="00A10B25">
            <w:pPr>
              <w:pStyle w:val="TAL"/>
            </w:pPr>
            <w:r>
              <w:t>5.3.6.2.2</w:t>
            </w:r>
          </w:p>
        </w:tc>
        <w:tc>
          <w:tcPr>
            <w:tcW w:w="2955" w:type="dxa"/>
          </w:tcPr>
          <w:p w14:paraId="013A0274" w14:textId="77777777" w:rsidR="00A10B25" w:rsidRDefault="00A10B25">
            <w:pPr>
              <w:pStyle w:val="TAL"/>
              <w:rPr>
                <w:lang w:eastAsia="zh-CN"/>
              </w:rPr>
            </w:pPr>
            <w:r>
              <w:rPr>
                <w:lang w:eastAsia="zh-CN"/>
              </w:rPr>
              <w:t>Represents an Individual NWDAF Data Management Subscription resource.</w:t>
            </w:r>
          </w:p>
        </w:tc>
        <w:tc>
          <w:tcPr>
            <w:tcW w:w="1947" w:type="dxa"/>
          </w:tcPr>
          <w:p w14:paraId="297CBD8F" w14:textId="77777777" w:rsidR="00A10B25" w:rsidRDefault="00A10B25">
            <w:pPr>
              <w:pStyle w:val="TAL"/>
              <w:rPr>
                <w:rFonts w:cs="Arial"/>
                <w:szCs w:val="18"/>
              </w:rPr>
            </w:pPr>
          </w:p>
        </w:tc>
      </w:tr>
      <w:tr w:rsidR="00A10B25" w14:paraId="38D5218A" w14:textId="77777777">
        <w:trPr>
          <w:jc w:val="center"/>
        </w:trPr>
        <w:tc>
          <w:tcPr>
            <w:tcW w:w="3198" w:type="dxa"/>
          </w:tcPr>
          <w:p w14:paraId="3AB391C8" w14:textId="77777777" w:rsidR="00A10B25" w:rsidRDefault="00A10B25">
            <w:pPr>
              <w:pStyle w:val="TAL"/>
              <w:rPr>
                <w:rFonts w:eastAsia="等线"/>
              </w:rPr>
            </w:pPr>
            <w:r>
              <w:rPr>
                <w:rFonts w:eastAsia="等线"/>
              </w:rPr>
              <w:t>NnwdafDataManagementNotif</w:t>
            </w:r>
          </w:p>
        </w:tc>
        <w:tc>
          <w:tcPr>
            <w:tcW w:w="1324" w:type="dxa"/>
          </w:tcPr>
          <w:p w14:paraId="15EC74F9" w14:textId="77777777" w:rsidR="00A10B25" w:rsidRDefault="00A10B25">
            <w:pPr>
              <w:pStyle w:val="TAL"/>
            </w:pPr>
            <w:r>
              <w:rPr>
                <w:lang w:eastAsia="zh-CN"/>
              </w:rPr>
              <w:t>5.3.6.2.3</w:t>
            </w:r>
          </w:p>
        </w:tc>
        <w:tc>
          <w:tcPr>
            <w:tcW w:w="2955" w:type="dxa"/>
          </w:tcPr>
          <w:p w14:paraId="2B501F05" w14:textId="77777777" w:rsidR="00A10B25" w:rsidRDefault="00A10B25">
            <w:pPr>
              <w:pStyle w:val="TAL"/>
              <w:rPr>
                <w:lang w:eastAsia="zh-CN"/>
              </w:rPr>
            </w:pPr>
            <w:r>
              <w:rPr>
                <w:lang w:eastAsia="zh-CN"/>
              </w:rPr>
              <w:t>Represents a notification that corresponds with an Individual NWDAF Data Management Subscription resource.</w:t>
            </w:r>
          </w:p>
        </w:tc>
        <w:tc>
          <w:tcPr>
            <w:tcW w:w="1947" w:type="dxa"/>
          </w:tcPr>
          <w:p w14:paraId="3BC2BCE3" w14:textId="77777777" w:rsidR="00A10B25" w:rsidRDefault="00A10B25">
            <w:pPr>
              <w:pStyle w:val="TAL"/>
              <w:rPr>
                <w:rFonts w:cs="Arial"/>
                <w:szCs w:val="18"/>
              </w:rPr>
            </w:pPr>
          </w:p>
        </w:tc>
      </w:tr>
      <w:tr w:rsidR="00A10B25" w14:paraId="7E0CD34F" w14:textId="77777777">
        <w:trPr>
          <w:jc w:val="center"/>
        </w:trPr>
        <w:tc>
          <w:tcPr>
            <w:tcW w:w="3198" w:type="dxa"/>
          </w:tcPr>
          <w:p w14:paraId="63747323" w14:textId="77777777" w:rsidR="00A10B25" w:rsidRDefault="00A10B25">
            <w:pPr>
              <w:pStyle w:val="TAL"/>
              <w:rPr>
                <w:rFonts w:eastAsia="等线"/>
              </w:rPr>
            </w:pPr>
            <w:r>
              <w:rPr>
                <w:rFonts w:eastAsia="等线"/>
              </w:rPr>
              <w:t>PendingNotificationCause</w:t>
            </w:r>
          </w:p>
        </w:tc>
        <w:tc>
          <w:tcPr>
            <w:tcW w:w="1324" w:type="dxa"/>
          </w:tcPr>
          <w:p w14:paraId="0571F4EA" w14:textId="77777777" w:rsidR="00A10B25" w:rsidRDefault="00A10B25">
            <w:pPr>
              <w:pStyle w:val="TAL"/>
              <w:rPr>
                <w:lang w:eastAsia="zh-CN"/>
              </w:rPr>
            </w:pPr>
            <w:r>
              <w:rPr>
                <w:lang w:eastAsia="zh-CN"/>
              </w:rPr>
              <w:t>5.3.6.3.3</w:t>
            </w:r>
          </w:p>
        </w:tc>
        <w:tc>
          <w:tcPr>
            <w:tcW w:w="2955" w:type="dxa"/>
          </w:tcPr>
          <w:p w14:paraId="7FCD5765" w14:textId="77777777" w:rsidR="00A10B25" w:rsidRDefault="00A10B25">
            <w:pPr>
              <w:pStyle w:val="TAL"/>
              <w:rPr>
                <w:lang w:eastAsia="zh-CN"/>
              </w:rPr>
            </w:pPr>
            <w:r>
              <w:rPr>
                <w:lang w:eastAsia="zh-CN"/>
              </w:rPr>
              <w:t>Represents the Pending Notification Cause for the stored unsent events.</w:t>
            </w:r>
          </w:p>
        </w:tc>
        <w:tc>
          <w:tcPr>
            <w:tcW w:w="1947" w:type="dxa"/>
          </w:tcPr>
          <w:p w14:paraId="039ECC36" w14:textId="77777777" w:rsidR="00A10B25" w:rsidRDefault="00A10B25">
            <w:pPr>
              <w:pStyle w:val="TAL"/>
              <w:rPr>
                <w:rFonts w:cs="Arial"/>
                <w:szCs w:val="18"/>
              </w:rPr>
            </w:pPr>
            <w:r>
              <w:rPr>
                <w:rFonts w:cs="Arial"/>
                <w:szCs w:val="18"/>
              </w:rPr>
              <w:t>EnhDataMgmt</w:t>
            </w:r>
          </w:p>
        </w:tc>
      </w:tr>
    </w:tbl>
    <w:p w14:paraId="4D137788" w14:textId="77777777" w:rsidR="00A10B25" w:rsidRDefault="00A10B25"/>
    <w:p w14:paraId="7EDD83BB" w14:textId="77777777" w:rsidR="00A10B25" w:rsidRDefault="00A10B25">
      <w:r>
        <w:t>Table 5.3.6.1-2 specifies data types re-used by the Nnwdaf_</w:t>
      </w:r>
      <w:r>
        <w:rPr>
          <w:lang w:eastAsia="ja-JP"/>
        </w:rPr>
        <w:t>DataManagement</w:t>
      </w:r>
      <w:r>
        <w:t xml:space="preserve"> service based interface protocol from other specifications, including a reference to their respective specifications and when needed, a short description of their use within the Nnwdaf_DataManagement service based interface. </w:t>
      </w:r>
    </w:p>
    <w:p w14:paraId="13138948" w14:textId="77777777" w:rsidR="00A10B25" w:rsidRDefault="00A10B25">
      <w:pPr>
        <w:pStyle w:val="TH"/>
        <w:overflowPunct w:val="0"/>
        <w:autoSpaceDE w:val="0"/>
        <w:autoSpaceDN w:val="0"/>
        <w:adjustRightInd w:val="0"/>
        <w:textAlignment w:val="baseline"/>
        <w:rPr>
          <w:rFonts w:eastAsia="MS Mincho"/>
        </w:rPr>
      </w:pPr>
      <w:r>
        <w:rPr>
          <w:rFonts w:eastAsia="MS Mincho"/>
        </w:rPr>
        <w:t>Table 5.3.6.1-2: Nnwdaf_</w:t>
      </w:r>
      <w:r>
        <w:rPr>
          <w:lang w:eastAsia="ja-JP"/>
        </w:rPr>
        <w:t>DataManagement</w:t>
      </w:r>
      <w:r>
        <w:rPr>
          <w:rFonts w:eastAsia="MS Mincho"/>
        </w:rPr>
        <w:t xml:space="preserve"> re-used Data Types</w:t>
      </w:r>
    </w:p>
    <w:tbl>
      <w:tblPr>
        <w:tblW w:w="942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A10B25" w14:paraId="16A762B9" w14:textId="77777777">
        <w:trPr>
          <w:jc w:val="center"/>
        </w:trPr>
        <w:tc>
          <w:tcPr>
            <w:tcW w:w="3178" w:type="dxa"/>
            <w:shd w:val="clear" w:color="auto" w:fill="C0C0C0"/>
          </w:tcPr>
          <w:p w14:paraId="6F865BCE" w14:textId="77777777" w:rsidR="00A10B25" w:rsidRDefault="00A10B25">
            <w:pPr>
              <w:pStyle w:val="TAH"/>
            </w:pPr>
            <w:r>
              <w:t>Data type</w:t>
            </w:r>
          </w:p>
        </w:tc>
        <w:tc>
          <w:tcPr>
            <w:tcW w:w="2058" w:type="dxa"/>
            <w:shd w:val="clear" w:color="auto" w:fill="C0C0C0"/>
          </w:tcPr>
          <w:p w14:paraId="107CE713" w14:textId="77777777" w:rsidR="00A10B25" w:rsidRDefault="00A10B25">
            <w:pPr>
              <w:pStyle w:val="TAH"/>
            </w:pPr>
            <w:r>
              <w:t>Reference</w:t>
            </w:r>
          </w:p>
        </w:tc>
        <w:tc>
          <w:tcPr>
            <w:tcW w:w="2449" w:type="dxa"/>
            <w:shd w:val="clear" w:color="auto" w:fill="C0C0C0"/>
          </w:tcPr>
          <w:p w14:paraId="22B9737C" w14:textId="77777777" w:rsidR="00A10B25" w:rsidRDefault="00A10B25">
            <w:pPr>
              <w:pStyle w:val="TAH"/>
            </w:pPr>
            <w:r>
              <w:t>Comments</w:t>
            </w:r>
          </w:p>
        </w:tc>
        <w:tc>
          <w:tcPr>
            <w:tcW w:w="1739" w:type="dxa"/>
            <w:shd w:val="clear" w:color="auto" w:fill="C0C0C0"/>
          </w:tcPr>
          <w:p w14:paraId="3F901CA3" w14:textId="77777777" w:rsidR="00A10B25" w:rsidRDefault="00A10B25">
            <w:pPr>
              <w:pStyle w:val="TAH"/>
            </w:pPr>
            <w:r>
              <w:t>Applicability</w:t>
            </w:r>
          </w:p>
        </w:tc>
      </w:tr>
      <w:tr w:rsidR="00A10B25" w14:paraId="6954871A" w14:textId="77777777">
        <w:trPr>
          <w:jc w:val="center"/>
        </w:trPr>
        <w:tc>
          <w:tcPr>
            <w:tcW w:w="3178" w:type="dxa"/>
          </w:tcPr>
          <w:p w14:paraId="2E830DF4" w14:textId="77777777" w:rsidR="00A10B25" w:rsidRDefault="00A10B25">
            <w:pPr>
              <w:pStyle w:val="TAL"/>
              <w:rPr>
                <w:lang w:eastAsia="zh-CN"/>
              </w:rPr>
            </w:pPr>
            <w:r>
              <w:rPr>
                <w:rFonts w:hint="eastAsia"/>
                <w:lang w:eastAsia="zh-CN"/>
              </w:rPr>
              <w:t>D</w:t>
            </w:r>
            <w:r>
              <w:rPr>
                <w:lang w:eastAsia="zh-CN"/>
              </w:rPr>
              <w:t>ataCollectionPurpose</w:t>
            </w:r>
          </w:p>
        </w:tc>
        <w:tc>
          <w:tcPr>
            <w:tcW w:w="2058" w:type="dxa"/>
          </w:tcPr>
          <w:p w14:paraId="74BB0CB3" w14:textId="77777777" w:rsidR="00A10B25" w:rsidRDefault="00A10B25">
            <w:pPr>
              <w:pStyle w:val="TAL"/>
            </w:pPr>
            <w:r>
              <w:t>3GPP TS 29.574 [26]</w:t>
            </w:r>
          </w:p>
        </w:tc>
        <w:tc>
          <w:tcPr>
            <w:tcW w:w="2449" w:type="dxa"/>
          </w:tcPr>
          <w:p w14:paraId="46E31EAC" w14:textId="77777777" w:rsidR="00A10B25" w:rsidRDefault="00A10B25">
            <w:pPr>
              <w:pStyle w:val="TAL"/>
              <w:rPr>
                <w:rFonts w:cs="Arial"/>
                <w:szCs w:val="18"/>
                <w:lang w:eastAsia="zh-CN"/>
              </w:rPr>
            </w:pPr>
            <w:r>
              <w:rPr>
                <w:rFonts w:cs="Arial" w:hint="eastAsia"/>
                <w:szCs w:val="18"/>
                <w:lang w:eastAsia="zh-CN"/>
              </w:rPr>
              <w:t>R</w:t>
            </w:r>
            <w:r>
              <w:rPr>
                <w:rFonts w:cs="Arial"/>
                <w:szCs w:val="18"/>
                <w:lang w:eastAsia="zh-CN"/>
              </w:rPr>
              <w:t>epresents the purpose for data collection, e.g. analytics or model training.</w:t>
            </w:r>
          </w:p>
        </w:tc>
        <w:tc>
          <w:tcPr>
            <w:tcW w:w="1739" w:type="dxa"/>
          </w:tcPr>
          <w:p w14:paraId="121C78D7" w14:textId="77777777" w:rsidR="00A10B25" w:rsidRDefault="00A10B25">
            <w:pPr>
              <w:pStyle w:val="TAL"/>
              <w:rPr>
                <w:rFonts w:cs="Arial"/>
                <w:szCs w:val="18"/>
              </w:rPr>
            </w:pPr>
          </w:p>
        </w:tc>
      </w:tr>
      <w:tr w:rsidR="00A10B25" w14:paraId="00477AB4" w14:textId="77777777">
        <w:trPr>
          <w:jc w:val="center"/>
        </w:trPr>
        <w:tc>
          <w:tcPr>
            <w:tcW w:w="3178" w:type="dxa"/>
          </w:tcPr>
          <w:p w14:paraId="6ACFD6B8" w14:textId="77777777" w:rsidR="00A10B25" w:rsidRDefault="00A10B25">
            <w:pPr>
              <w:pStyle w:val="TAL"/>
              <w:rPr>
                <w:rFonts w:hint="eastAsia"/>
                <w:lang w:eastAsia="zh-CN"/>
              </w:rPr>
            </w:pPr>
            <w:r>
              <w:t>DataNotification</w:t>
            </w:r>
          </w:p>
        </w:tc>
        <w:tc>
          <w:tcPr>
            <w:tcW w:w="2058" w:type="dxa"/>
          </w:tcPr>
          <w:p w14:paraId="426D4EB9" w14:textId="77777777" w:rsidR="00A10B25" w:rsidRDefault="00A10B25">
            <w:pPr>
              <w:pStyle w:val="TAL"/>
            </w:pPr>
            <w:r>
              <w:t>3GPP TS 29.575 [27]</w:t>
            </w:r>
          </w:p>
        </w:tc>
        <w:tc>
          <w:tcPr>
            <w:tcW w:w="2449" w:type="dxa"/>
          </w:tcPr>
          <w:p w14:paraId="7671EF0A" w14:textId="77777777" w:rsidR="00A10B25" w:rsidRDefault="00A10B25">
            <w:pPr>
              <w:pStyle w:val="TAL"/>
              <w:rPr>
                <w:rFonts w:hint="eastAsia"/>
                <w:lang w:eastAsia="zh-CN"/>
              </w:rPr>
            </w:pPr>
            <w:r>
              <w:rPr>
                <w:rFonts w:cs="Arial"/>
                <w:szCs w:val="18"/>
              </w:rPr>
              <w:t>Represents data subscription notification</w:t>
            </w:r>
            <w:r>
              <w:rPr>
                <w:lang w:eastAsia="zh-CN"/>
              </w:rPr>
              <w:t xml:space="preserve"> from data source (e.g. AMF, SMF, UDM, NEF, AF)</w:t>
            </w:r>
            <w:r>
              <w:rPr>
                <w:rFonts w:cs="Arial"/>
                <w:szCs w:val="18"/>
              </w:rPr>
              <w:t>.</w:t>
            </w:r>
          </w:p>
        </w:tc>
        <w:tc>
          <w:tcPr>
            <w:tcW w:w="1739" w:type="dxa"/>
          </w:tcPr>
          <w:p w14:paraId="0BEC38B0" w14:textId="77777777" w:rsidR="00A10B25" w:rsidRDefault="00A10B25">
            <w:pPr>
              <w:pStyle w:val="TAL"/>
              <w:rPr>
                <w:rFonts w:cs="Arial"/>
                <w:szCs w:val="18"/>
              </w:rPr>
            </w:pPr>
          </w:p>
        </w:tc>
      </w:tr>
      <w:tr w:rsidR="00A10B25" w14:paraId="64B4FA0F" w14:textId="77777777">
        <w:trPr>
          <w:jc w:val="center"/>
        </w:trPr>
        <w:tc>
          <w:tcPr>
            <w:tcW w:w="3178" w:type="dxa"/>
          </w:tcPr>
          <w:p w14:paraId="513AF8CC" w14:textId="77777777" w:rsidR="00A10B25" w:rsidRDefault="00A10B25">
            <w:pPr>
              <w:pStyle w:val="TAL"/>
              <w:rPr>
                <w:rFonts w:hint="eastAsia"/>
                <w:lang w:eastAsia="zh-CN"/>
              </w:rPr>
            </w:pPr>
            <w:r>
              <w:rPr>
                <w:rFonts w:hint="eastAsia"/>
                <w:lang w:eastAsia="zh-CN"/>
              </w:rPr>
              <w:t>D</w:t>
            </w:r>
            <w:r>
              <w:rPr>
                <w:lang w:eastAsia="zh-CN"/>
              </w:rPr>
              <w:t>ataSubscription</w:t>
            </w:r>
          </w:p>
        </w:tc>
        <w:tc>
          <w:tcPr>
            <w:tcW w:w="2058" w:type="dxa"/>
          </w:tcPr>
          <w:p w14:paraId="5E6786CC" w14:textId="77777777" w:rsidR="00A10B25" w:rsidRDefault="00A10B25">
            <w:pPr>
              <w:pStyle w:val="TAL"/>
            </w:pPr>
            <w:r>
              <w:t>3GPP TS 29.575 [27]</w:t>
            </w:r>
          </w:p>
        </w:tc>
        <w:tc>
          <w:tcPr>
            <w:tcW w:w="2449" w:type="dxa"/>
          </w:tcPr>
          <w:p w14:paraId="44AB1C6C" w14:textId="77777777" w:rsidR="00A10B25" w:rsidRDefault="00A10B25">
            <w:pPr>
              <w:pStyle w:val="TAL"/>
              <w:rPr>
                <w:lang w:eastAsia="zh-CN"/>
              </w:rPr>
            </w:pPr>
            <w:r>
              <w:rPr>
                <w:rFonts w:hint="eastAsia"/>
                <w:lang w:eastAsia="zh-CN"/>
              </w:rPr>
              <w:t>R</w:t>
            </w:r>
            <w:r>
              <w:rPr>
                <w:lang w:eastAsia="zh-CN"/>
              </w:rPr>
              <w:t>epresents data subscription from data source (e.g. AMF, SMF, UDM, NEF, AF).</w:t>
            </w:r>
          </w:p>
        </w:tc>
        <w:tc>
          <w:tcPr>
            <w:tcW w:w="1739" w:type="dxa"/>
          </w:tcPr>
          <w:p w14:paraId="736E2CAE" w14:textId="77777777" w:rsidR="00A10B25" w:rsidRDefault="00A10B25">
            <w:pPr>
              <w:pStyle w:val="TAL"/>
              <w:rPr>
                <w:rFonts w:cs="Arial"/>
                <w:szCs w:val="18"/>
              </w:rPr>
            </w:pPr>
          </w:p>
        </w:tc>
      </w:tr>
      <w:tr w:rsidR="00A10B25" w14:paraId="67C2448A" w14:textId="77777777">
        <w:trPr>
          <w:jc w:val="center"/>
        </w:trPr>
        <w:tc>
          <w:tcPr>
            <w:tcW w:w="3178" w:type="dxa"/>
          </w:tcPr>
          <w:p w14:paraId="0DE9EC31" w14:textId="77777777" w:rsidR="00A10B25" w:rsidRDefault="00A10B25">
            <w:pPr>
              <w:pStyle w:val="TAL"/>
              <w:rPr>
                <w:rFonts w:hint="eastAsia"/>
                <w:lang w:eastAsia="zh-CN"/>
              </w:rPr>
            </w:pPr>
            <w:r>
              <w:t>DateTime</w:t>
            </w:r>
          </w:p>
        </w:tc>
        <w:tc>
          <w:tcPr>
            <w:tcW w:w="2058" w:type="dxa"/>
          </w:tcPr>
          <w:p w14:paraId="6216C600" w14:textId="77777777" w:rsidR="00A10B25" w:rsidRDefault="00A10B25">
            <w:pPr>
              <w:pStyle w:val="TAL"/>
            </w:pPr>
            <w:r>
              <w:rPr>
                <w:rFonts w:cs="Arial"/>
              </w:rPr>
              <w:t>3GPP TS 29.571 [8]</w:t>
            </w:r>
          </w:p>
        </w:tc>
        <w:tc>
          <w:tcPr>
            <w:tcW w:w="2449" w:type="dxa"/>
          </w:tcPr>
          <w:p w14:paraId="1EB6E2AA" w14:textId="77777777" w:rsidR="00A10B25" w:rsidRDefault="00A10B25">
            <w:pPr>
              <w:pStyle w:val="TAL"/>
              <w:rPr>
                <w:rFonts w:hint="eastAsia"/>
                <w:lang w:eastAsia="zh-CN"/>
              </w:rPr>
            </w:pPr>
            <w:r>
              <w:rPr>
                <w:rFonts w:cs="Arial"/>
                <w:szCs w:val="18"/>
                <w:lang w:eastAsia="zh-CN"/>
              </w:rPr>
              <w:t>Identifies the time.</w:t>
            </w:r>
          </w:p>
        </w:tc>
        <w:tc>
          <w:tcPr>
            <w:tcW w:w="1739" w:type="dxa"/>
          </w:tcPr>
          <w:p w14:paraId="6922667A" w14:textId="77777777" w:rsidR="00A10B25" w:rsidRDefault="00A10B25">
            <w:pPr>
              <w:pStyle w:val="TAL"/>
              <w:rPr>
                <w:rFonts w:cs="Arial"/>
                <w:szCs w:val="18"/>
              </w:rPr>
            </w:pPr>
          </w:p>
        </w:tc>
      </w:tr>
      <w:tr w:rsidR="00A10B25" w14:paraId="1905BD84" w14:textId="77777777">
        <w:trPr>
          <w:jc w:val="center"/>
        </w:trPr>
        <w:tc>
          <w:tcPr>
            <w:tcW w:w="3178" w:type="dxa"/>
          </w:tcPr>
          <w:p w14:paraId="22CC4364" w14:textId="77777777" w:rsidR="00A10B25" w:rsidRDefault="00A10B25">
            <w:pPr>
              <w:pStyle w:val="TAL"/>
            </w:pPr>
            <w:r>
              <w:rPr>
                <w:rFonts w:eastAsia="等线"/>
              </w:rPr>
              <w:t>DeletionAlert</w:t>
            </w:r>
          </w:p>
        </w:tc>
        <w:tc>
          <w:tcPr>
            <w:tcW w:w="2058" w:type="dxa"/>
          </w:tcPr>
          <w:p w14:paraId="11422454" w14:textId="77777777" w:rsidR="00A10B25" w:rsidRDefault="00A10B25">
            <w:pPr>
              <w:pStyle w:val="TAL"/>
              <w:rPr>
                <w:rFonts w:cs="Arial"/>
              </w:rPr>
            </w:pPr>
            <w:r>
              <w:t>3GPP TS 29.574 [26]</w:t>
            </w:r>
          </w:p>
        </w:tc>
        <w:tc>
          <w:tcPr>
            <w:tcW w:w="2449" w:type="dxa"/>
          </w:tcPr>
          <w:p w14:paraId="31786B8E" w14:textId="77777777" w:rsidR="00A10B25" w:rsidRDefault="00A10B25">
            <w:pPr>
              <w:pStyle w:val="TAL"/>
              <w:rPr>
                <w:rFonts w:cs="Arial"/>
                <w:szCs w:val="18"/>
                <w:lang w:eastAsia="zh-CN"/>
              </w:rPr>
            </w:pPr>
            <w:r>
              <w:rPr>
                <w:rFonts w:eastAsia="等线"/>
                <w:lang w:eastAsia="zh-CN"/>
              </w:rPr>
              <w:t>Contains information about data that are about to be deleted.</w:t>
            </w:r>
          </w:p>
        </w:tc>
        <w:tc>
          <w:tcPr>
            <w:tcW w:w="1739" w:type="dxa"/>
          </w:tcPr>
          <w:p w14:paraId="73C2F389" w14:textId="77777777" w:rsidR="00A10B25" w:rsidRDefault="00A10B25">
            <w:pPr>
              <w:pStyle w:val="TAL"/>
              <w:rPr>
                <w:rFonts w:cs="Arial"/>
                <w:szCs w:val="18"/>
              </w:rPr>
            </w:pPr>
            <w:r>
              <w:rPr>
                <w:rFonts w:eastAsia="等线" w:cs="Arial"/>
                <w:szCs w:val="18"/>
              </w:rPr>
              <w:t>EnhDataMgmt</w:t>
            </w:r>
          </w:p>
        </w:tc>
      </w:tr>
      <w:tr w:rsidR="00A10B25" w14:paraId="5A28370F" w14:textId="77777777">
        <w:trPr>
          <w:jc w:val="center"/>
        </w:trPr>
        <w:tc>
          <w:tcPr>
            <w:tcW w:w="3178" w:type="dxa"/>
          </w:tcPr>
          <w:p w14:paraId="0C44366A" w14:textId="77777777" w:rsidR="00A10B25" w:rsidRDefault="00A10B25">
            <w:pPr>
              <w:pStyle w:val="TAL"/>
            </w:pPr>
            <w:r>
              <w:t>FormattingInstruction</w:t>
            </w:r>
          </w:p>
        </w:tc>
        <w:tc>
          <w:tcPr>
            <w:tcW w:w="2058" w:type="dxa"/>
          </w:tcPr>
          <w:p w14:paraId="2FE84299" w14:textId="77777777" w:rsidR="00A10B25" w:rsidRDefault="00A10B25">
            <w:pPr>
              <w:pStyle w:val="TAL"/>
            </w:pPr>
            <w:r>
              <w:t>3GPP TS 29.574 [26]</w:t>
            </w:r>
          </w:p>
        </w:tc>
        <w:tc>
          <w:tcPr>
            <w:tcW w:w="2449" w:type="dxa"/>
          </w:tcPr>
          <w:p w14:paraId="7C4FA2FF" w14:textId="77777777" w:rsidR="00A10B25" w:rsidRDefault="00A10B25">
            <w:pPr>
              <w:pStyle w:val="TAL"/>
              <w:rPr>
                <w:rFonts w:cs="Arial"/>
                <w:szCs w:val="18"/>
              </w:rPr>
            </w:pPr>
            <w:r>
              <w:rPr>
                <w:lang w:eastAsia="zh-CN"/>
              </w:rPr>
              <w:t>DCCF formatting Instructions.</w:t>
            </w:r>
          </w:p>
        </w:tc>
        <w:tc>
          <w:tcPr>
            <w:tcW w:w="1739" w:type="dxa"/>
          </w:tcPr>
          <w:p w14:paraId="162D126A" w14:textId="77777777" w:rsidR="00A10B25" w:rsidRDefault="00A10B25">
            <w:pPr>
              <w:pStyle w:val="TAL"/>
              <w:rPr>
                <w:rFonts w:cs="Arial"/>
                <w:szCs w:val="18"/>
              </w:rPr>
            </w:pPr>
          </w:p>
        </w:tc>
      </w:tr>
      <w:tr w:rsidR="00A10B25" w14:paraId="204F207D" w14:textId="77777777">
        <w:trPr>
          <w:jc w:val="center"/>
        </w:trPr>
        <w:tc>
          <w:tcPr>
            <w:tcW w:w="3178" w:type="dxa"/>
          </w:tcPr>
          <w:p w14:paraId="53D53063" w14:textId="77777777" w:rsidR="00A10B25" w:rsidRDefault="00A10B25">
            <w:pPr>
              <w:pStyle w:val="TAL"/>
            </w:pPr>
            <w:r>
              <w:t>FetchInstruction</w:t>
            </w:r>
          </w:p>
        </w:tc>
        <w:tc>
          <w:tcPr>
            <w:tcW w:w="2058" w:type="dxa"/>
          </w:tcPr>
          <w:p w14:paraId="34AE1C0F" w14:textId="77777777" w:rsidR="00A10B25" w:rsidRDefault="00A10B25">
            <w:pPr>
              <w:pStyle w:val="TAL"/>
            </w:pPr>
            <w:r>
              <w:t>3GPP TS 29.576 [28]</w:t>
            </w:r>
          </w:p>
        </w:tc>
        <w:tc>
          <w:tcPr>
            <w:tcW w:w="2449" w:type="dxa"/>
          </w:tcPr>
          <w:p w14:paraId="167739FA" w14:textId="77777777" w:rsidR="00A10B25" w:rsidRDefault="00A10B25">
            <w:pPr>
              <w:pStyle w:val="TAL"/>
              <w:rPr>
                <w:lang w:eastAsia="zh-CN"/>
              </w:rPr>
            </w:pPr>
            <w:r>
              <w:rPr>
                <w:rFonts w:cs="Arial"/>
                <w:szCs w:val="18"/>
              </w:rPr>
              <w:t>The</w:t>
            </w:r>
            <w:r>
              <w:rPr>
                <w:lang w:eastAsia="ja-JP"/>
              </w:rPr>
              <w:t xml:space="preserve"> fetch instruction indicates whether the data can be fetched by the consumer.</w:t>
            </w:r>
          </w:p>
        </w:tc>
        <w:tc>
          <w:tcPr>
            <w:tcW w:w="1739" w:type="dxa"/>
          </w:tcPr>
          <w:p w14:paraId="76F7ED14" w14:textId="77777777" w:rsidR="00A10B25" w:rsidRDefault="00A10B25">
            <w:pPr>
              <w:pStyle w:val="TAL"/>
              <w:rPr>
                <w:rFonts w:cs="Arial"/>
                <w:szCs w:val="18"/>
              </w:rPr>
            </w:pPr>
          </w:p>
        </w:tc>
      </w:tr>
      <w:tr w:rsidR="00A10B25" w14:paraId="461D61D3" w14:textId="77777777">
        <w:trPr>
          <w:jc w:val="center"/>
        </w:trPr>
        <w:tc>
          <w:tcPr>
            <w:tcW w:w="3178" w:type="dxa"/>
          </w:tcPr>
          <w:p w14:paraId="169E1795" w14:textId="77777777" w:rsidR="00A10B25" w:rsidRDefault="00A10B25">
            <w:pPr>
              <w:pStyle w:val="TAL"/>
            </w:pPr>
            <w:r>
              <w:t>NfInstanceId</w:t>
            </w:r>
          </w:p>
        </w:tc>
        <w:tc>
          <w:tcPr>
            <w:tcW w:w="2058" w:type="dxa"/>
          </w:tcPr>
          <w:p w14:paraId="49FB5D22" w14:textId="77777777" w:rsidR="00A10B25" w:rsidRDefault="00A10B25">
            <w:pPr>
              <w:pStyle w:val="TAL"/>
            </w:pPr>
            <w:r>
              <w:t>3GPP TS 29.571 [8]</w:t>
            </w:r>
          </w:p>
        </w:tc>
        <w:tc>
          <w:tcPr>
            <w:tcW w:w="2449" w:type="dxa"/>
          </w:tcPr>
          <w:p w14:paraId="4B30CF6C" w14:textId="77777777" w:rsidR="00A10B25" w:rsidRDefault="00A10B25">
            <w:pPr>
              <w:pStyle w:val="TAL"/>
              <w:rPr>
                <w:rFonts w:cs="Arial"/>
                <w:szCs w:val="18"/>
              </w:rPr>
            </w:pPr>
            <w:r>
              <w:rPr>
                <w:rFonts w:cs="Arial"/>
                <w:szCs w:val="18"/>
              </w:rPr>
              <w:t>NF instance identifier.</w:t>
            </w:r>
          </w:p>
        </w:tc>
        <w:tc>
          <w:tcPr>
            <w:tcW w:w="1739" w:type="dxa"/>
          </w:tcPr>
          <w:p w14:paraId="2A92358E" w14:textId="77777777" w:rsidR="00A10B25" w:rsidRDefault="00A10B25">
            <w:pPr>
              <w:pStyle w:val="TAL"/>
              <w:rPr>
                <w:rFonts w:cs="Arial"/>
                <w:szCs w:val="18"/>
              </w:rPr>
            </w:pPr>
          </w:p>
        </w:tc>
      </w:tr>
      <w:tr w:rsidR="00A10B25" w14:paraId="1902728E" w14:textId="77777777">
        <w:trPr>
          <w:jc w:val="center"/>
        </w:trPr>
        <w:tc>
          <w:tcPr>
            <w:tcW w:w="3178" w:type="dxa"/>
          </w:tcPr>
          <w:p w14:paraId="703EC24D" w14:textId="77777777" w:rsidR="00A10B25" w:rsidRDefault="00A10B25">
            <w:pPr>
              <w:pStyle w:val="TAL"/>
            </w:pPr>
            <w:r>
              <w:t>NfSetId</w:t>
            </w:r>
          </w:p>
        </w:tc>
        <w:tc>
          <w:tcPr>
            <w:tcW w:w="2058" w:type="dxa"/>
          </w:tcPr>
          <w:p w14:paraId="32B0FE55" w14:textId="77777777" w:rsidR="00A10B25" w:rsidRDefault="00A10B25">
            <w:pPr>
              <w:pStyle w:val="TAL"/>
            </w:pPr>
            <w:r>
              <w:t>3GPP TS 29.571 [8]</w:t>
            </w:r>
          </w:p>
        </w:tc>
        <w:tc>
          <w:tcPr>
            <w:tcW w:w="2449" w:type="dxa"/>
          </w:tcPr>
          <w:p w14:paraId="4B19CE2E" w14:textId="77777777" w:rsidR="00A10B25" w:rsidRDefault="00A10B25">
            <w:pPr>
              <w:pStyle w:val="TAL"/>
              <w:rPr>
                <w:rFonts w:cs="Arial"/>
                <w:szCs w:val="18"/>
              </w:rPr>
            </w:pPr>
            <w:r>
              <w:rPr>
                <w:rFonts w:cs="Arial"/>
                <w:szCs w:val="18"/>
              </w:rPr>
              <w:t>NF set identifier.</w:t>
            </w:r>
          </w:p>
        </w:tc>
        <w:tc>
          <w:tcPr>
            <w:tcW w:w="1739" w:type="dxa"/>
          </w:tcPr>
          <w:p w14:paraId="3807A99B" w14:textId="77777777" w:rsidR="00A10B25" w:rsidRDefault="00A10B25">
            <w:pPr>
              <w:pStyle w:val="TAL"/>
              <w:rPr>
                <w:rFonts w:cs="Arial"/>
                <w:szCs w:val="18"/>
              </w:rPr>
            </w:pPr>
          </w:p>
        </w:tc>
      </w:tr>
      <w:tr w:rsidR="00A10B25" w14:paraId="704B056A" w14:textId="77777777">
        <w:trPr>
          <w:jc w:val="center"/>
        </w:trPr>
        <w:tc>
          <w:tcPr>
            <w:tcW w:w="3178" w:type="dxa"/>
          </w:tcPr>
          <w:p w14:paraId="0DF183DC" w14:textId="77777777" w:rsidR="00A10B25" w:rsidRDefault="00A10B25">
            <w:pPr>
              <w:pStyle w:val="TAL"/>
            </w:pPr>
            <w:r>
              <w:t>NnwdafEventsSubscription</w:t>
            </w:r>
          </w:p>
        </w:tc>
        <w:tc>
          <w:tcPr>
            <w:tcW w:w="2058" w:type="dxa"/>
          </w:tcPr>
          <w:p w14:paraId="055C5356" w14:textId="77777777" w:rsidR="00A10B25" w:rsidRDefault="00A10B25">
            <w:pPr>
              <w:pStyle w:val="TAL"/>
            </w:pPr>
            <w:r>
              <w:t>5.1.6.2.2</w:t>
            </w:r>
          </w:p>
        </w:tc>
        <w:tc>
          <w:tcPr>
            <w:tcW w:w="2449" w:type="dxa"/>
          </w:tcPr>
          <w:p w14:paraId="41F5B780" w14:textId="77777777" w:rsidR="00A10B25" w:rsidRDefault="00A10B25">
            <w:pPr>
              <w:pStyle w:val="TAL"/>
              <w:rPr>
                <w:rFonts w:cs="Arial"/>
                <w:szCs w:val="18"/>
              </w:rPr>
            </w:pPr>
            <w:r>
              <w:rPr>
                <w:rFonts w:cs="Arial"/>
                <w:szCs w:val="18"/>
              </w:rPr>
              <w:t>Represents an NWDAF analytics subscription.</w:t>
            </w:r>
          </w:p>
        </w:tc>
        <w:tc>
          <w:tcPr>
            <w:tcW w:w="1739" w:type="dxa"/>
          </w:tcPr>
          <w:p w14:paraId="0A8D7841" w14:textId="77777777" w:rsidR="00A10B25" w:rsidRDefault="00A10B25">
            <w:pPr>
              <w:pStyle w:val="TAL"/>
              <w:rPr>
                <w:rFonts w:cs="Arial"/>
                <w:szCs w:val="18"/>
              </w:rPr>
            </w:pPr>
          </w:p>
        </w:tc>
      </w:tr>
      <w:tr w:rsidR="00A10B25" w14:paraId="19DBC516" w14:textId="77777777">
        <w:trPr>
          <w:jc w:val="center"/>
        </w:trPr>
        <w:tc>
          <w:tcPr>
            <w:tcW w:w="3178" w:type="dxa"/>
          </w:tcPr>
          <w:p w14:paraId="091BAF5E" w14:textId="77777777" w:rsidR="00A10B25" w:rsidRDefault="00A10B25">
            <w:pPr>
              <w:pStyle w:val="TAL"/>
            </w:pPr>
            <w:r>
              <w:t>NotifSummaryReport</w:t>
            </w:r>
          </w:p>
        </w:tc>
        <w:tc>
          <w:tcPr>
            <w:tcW w:w="2058" w:type="dxa"/>
          </w:tcPr>
          <w:p w14:paraId="0623665E" w14:textId="77777777" w:rsidR="00A10B25" w:rsidRDefault="00A10B25">
            <w:pPr>
              <w:pStyle w:val="TAL"/>
            </w:pPr>
            <w:r>
              <w:t>3GPP TS 29.574 [26]</w:t>
            </w:r>
          </w:p>
        </w:tc>
        <w:tc>
          <w:tcPr>
            <w:tcW w:w="2449" w:type="dxa"/>
          </w:tcPr>
          <w:p w14:paraId="171AE6FD" w14:textId="77777777" w:rsidR="00A10B25" w:rsidRDefault="00A10B25">
            <w:pPr>
              <w:pStyle w:val="TAL"/>
              <w:rPr>
                <w:rFonts w:cs="Arial"/>
                <w:szCs w:val="18"/>
              </w:rPr>
            </w:pPr>
            <w:r>
              <w:rPr>
                <w:rFonts w:cs="Arial"/>
                <w:szCs w:val="18"/>
              </w:rPr>
              <w:t>Contains a summary report of processed notifications.</w:t>
            </w:r>
          </w:p>
        </w:tc>
        <w:tc>
          <w:tcPr>
            <w:tcW w:w="1739" w:type="dxa"/>
          </w:tcPr>
          <w:p w14:paraId="7E1C2C48" w14:textId="77777777" w:rsidR="00A10B25" w:rsidRDefault="00A10B25">
            <w:pPr>
              <w:pStyle w:val="TAL"/>
              <w:rPr>
                <w:rFonts w:cs="Arial"/>
                <w:szCs w:val="18"/>
              </w:rPr>
            </w:pPr>
          </w:p>
        </w:tc>
      </w:tr>
      <w:tr w:rsidR="00A10B25" w14:paraId="207D6582" w14:textId="77777777">
        <w:trPr>
          <w:jc w:val="center"/>
        </w:trPr>
        <w:tc>
          <w:tcPr>
            <w:tcW w:w="3178" w:type="dxa"/>
          </w:tcPr>
          <w:p w14:paraId="1F24AB72" w14:textId="77777777" w:rsidR="00A10B25" w:rsidRDefault="00A10B25">
            <w:pPr>
              <w:pStyle w:val="TAL"/>
            </w:pPr>
            <w:r>
              <w:t>NotifyEndpoint</w:t>
            </w:r>
          </w:p>
        </w:tc>
        <w:tc>
          <w:tcPr>
            <w:tcW w:w="2058" w:type="dxa"/>
          </w:tcPr>
          <w:p w14:paraId="5CD1EEB5" w14:textId="77777777" w:rsidR="00A10B25" w:rsidRDefault="00A10B25">
            <w:pPr>
              <w:pStyle w:val="TAL"/>
            </w:pPr>
            <w:r>
              <w:t>3GPP TS 29.574 [26]</w:t>
            </w:r>
          </w:p>
        </w:tc>
        <w:tc>
          <w:tcPr>
            <w:tcW w:w="2449" w:type="dxa"/>
          </w:tcPr>
          <w:p w14:paraId="7CBF7BBA" w14:textId="77777777" w:rsidR="00A10B25" w:rsidRDefault="00A10B25">
            <w:pPr>
              <w:pStyle w:val="TAL"/>
              <w:rPr>
                <w:lang w:eastAsia="zh-CN"/>
              </w:rPr>
            </w:pPr>
            <w:r>
              <w:rPr>
                <w:rFonts w:hint="eastAsia"/>
                <w:lang w:eastAsia="zh-CN"/>
              </w:rPr>
              <w:t>T</w:t>
            </w:r>
            <w:r>
              <w:rPr>
                <w:lang w:eastAsia="zh-CN"/>
              </w:rPr>
              <w:t>he information of notification endpoint.</w:t>
            </w:r>
          </w:p>
        </w:tc>
        <w:tc>
          <w:tcPr>
            <w:tcW w:w="1739" w:type="dxa"/>
          </w:tcPr>
          <w:p w14:paraId="58FA96F0" w14:textId="77777777" w:rsidR="00A10B25" w:rsidRDefault="00A10B25">
            <w:pPr>
              <w:pStyle w:val="TAL"/>
              <w:rPr>
                <w:rFonts w:cs="Arial"/>
                <w:szCs w:val="18"/>
              </w:rPr>
            </w:pPr>
            <w:r>
              <w:t>DataAnaCollect</w:t>
            </w:r>
          </w:p>
        </w:tc>
      </w:tr>
      <w:tr w:rsidR="00A10B25" w14:paraId="4CFFAA6B" w14:textId="77777777">
        <w:trPr>
          <w:jc w:val="center"/>
        </w:trPr>
        <w:tc>
          <w:tcPr>
            <w:tcW w:w="3178" w:type="dxa"/>
          </w:tcPr>
          <w:p w14:paraId="05ABEA6C" w14:textId="77777777" w:rsidR="00A10B25" w:rsidRDefault="00A10B25">
            <w:pPr>
              <w:pStyle w:val="TAL"/>
            </w:pPr>
            <w:r>
              <w:rPr>
                <w:rFonts w:eastAsia="等线"/>
              </w:rPr>
              <w:t>NotifResponse</w:t>
            </w:r>
          </w:p>
        </w:tc>
        <w:tc>
          <w:tcPr>
            <w:tcW w:w="2058" w:type="dxa"/>
          </w:tcPr>
          <w:p w14:paraId="2F4CDB92" w14:textId="77777777" w:rsidR="00A10B25" w:rsidRDefault="00A10B25">
            <w:pPr>
              <w:pStyle w:val="TAL"/>
            </w:pPr>
            <w:r>
              <w:t>3GPP TS 29.574 [26]</w:t>
            </w:r>
          </w:p>
        </w:tc>
        <w:tc>
          <w:tcPr>
            <w:tcW w:w="2449" w:type="dxa"/>
          </w:tcPr>
          <w:p w14:paraId="32903B91" w14:textId="77777777" w:rsidR="00A10B25" w:rsidRDefault="00A10B25">
            <w:pPr>
              <w:pStyle w:val="TAL"/>
              <w:rPr>
                <w:rFonts w:hint="eastAsia"/>
                <w:lang w:eastAsia="zh-CN"/>
              </w:rPr>
            </w:pPr>
            <w:r>
              <w:rPr>
                <w:rFonts w:eastAsia="等线"/>
                <w:lang w:eastAsia="zh-CN"/>
              </w:rPr>
              <w:t>Contains information about the planned action upon receiving a notification.</w:t>
            </w:r>
          </w:p>
        </w:tc>
        <w:tc>
          <w:tcPr>
            <w:tcW w:w="1739" w:type="dxa"/>
          </w:tcPr>
          <w:p w14:paraId="624A071C" w14:textId="77777777" w:rsidR="00A10B25" w:rsidRDefault="00A10B25">
            <w:pPr>
              <w:pStyle w:val="TAL"/>
            </w:pPr>
            <w:r>
              <w:rPr>
                <w:rFonts w:eastAsia="等线" w:cs="Arial"/>
                <w:szCs w:val="18"/>
              </w:rPr>
              <w:t>EnhDataMgmt</w:t>
            </w:r>
          </w:p>
        </w:tc>
      </w:tr>
      <w:tr w:rsidR="00A10B25" w14:paraId="7F60A7B2" w14:textId="77777777">
        <w:trPr>
          <w:jc w:val="center"/>
        </w:trPr>
        <w:tc>
          <w:tcPr>
            <w:tcW w:w="3178" w:type="dxa"/>
          </w:tcPr>
          <w:p w14:paraId="07399E45" w14:textId="77777777" w:rsidR="00A10B25" w:rsidRDefault="00A10B25">
            <w:pPr>
              <w:pStyle w:val="TAL"/>
            </w:pPr>
            <w:r>
              <w:t>ProcessingInstruction</w:t>
            </w:r>
          </w:p>
        </w:tc>
        <w:tc>
          <w:tcPr>
            <w:tcW w:w="2058" w:type="dxa"/>
          </w:tcPr>
          <w:p w14:paraId="487976E9" w14:textId="77777777" w:rsidR="00A10B25" w:rsidRDefault="00A10B25">
            <w:pPr>
              <w:pStyle w:val="TAL"/>
            </w:pPr>
            <w:r>
              <w:t>3GPP TS 29.574 [26]</w:t>
            </w:r>
          </w:p>
        </w:tc>
        <w:tc>
          <w:tcPr>
            <w:tcW w:w="2449" w:type="dxa"/>
          </w:tcPr>
          <w:p w14:paraId="76D3AB2C" w14:textId="77777777" w:rsidR="00A10B25" w:rsidRDefault="00A10B25">
            <w:pPr>
              <w:pStyle w:val="TAL"/>
              <w:rPr>
                <w:rFonts w:cs="Arial"/>
                <w:szCs w:val="18"/>
              </w:rPr>
            </w:pPr>
            <w:r>
              <w:rPr>
                <w:lang w:eastAsia="zh-CN"/>
              </w:rPr>
              <w:t>DCCF processing Instructions.</w:t>
            </w:r>
          </w:p>
        </w:tc>
        <w:tc>
          <w:tcPr>
            <w:tcW w:w="1739" w:type="dxa"/>
          </w:tcPr>
          <w:p w14:paraId="315AB1B8" w14:textId="77777777" w:rsidR="00A10B25" w:rsidRDefault="00A10B25">
            <w:pPr>
              <w:pStyle w:val="TAL"/>
              <w:rPr>
                <w:rFonts w:cs="Arial"/>
                <w:szCs w:val="18"/>
              </w:rPr>
            </w:pPr>
          </w:p>
        </w:tc>
      </w:tr>
      <w:tr w:rsidR="00A10B25" w14:paraId="1CF046E1" w14:textId="77777777">
        <w:trPr>
          <w:jc w:val="center"/>
        </w:trPr>
        <w:tc>
          <w:tcPr>
            <w:tcW w:w="3178" w:type="dxa"/>
          </w:tcPr>
          <w:p w14:paraId="3A0E5F49" w14:textId="77777777" w:rsidR="00A10B25" w:rsidRDefault="00A10B25">
            <w:pPr>
              <w:pStyle w:val="TAL"/>
            </w:pPr>
            <w:r>
              <w:rPr>
                <w:rFonts w:eastAsia="等线"/>
                <w:lang w:val="en-US" w:eastAsia="zh-CN"/>
              </w:rPr>
              <w:t>StorageHandlingInformation</w:t>
            </w:r>
          </w:p>
        </w:tc>
        <w:tc>
          <w:tcPr>
            <w:tcW w:w="2058" w:type="dxa"/>
          </w:tcPr>
          <w:p w14:paraId="546A44AA" w14:textId="77777777" w:rsidR="00A10B25" w:rsidRDefault="00A10B25">
            <w:pPr>
              <w:pStyle w:val="TAL"/>
            </w:pPr>
            <w:r>
              <w:t>3GPP TS 29.574 [26]</w:t>
            </w:r>
          </w:p>
        </w:tc>
        <w:tc>
          <w:tcPr>
            <w:tcW w:w="2449" w:type="dxa"/>
          </w:tcPr>
          <w:p w14:paraId="0BD92319" w14:textId="77777777" w:rsidR="00A10B25" w:rsidRDefault="00A10B25">
            <w:pPr>
              <w:pStyle w:val="TAL"/>
              <w:rPr>
                <w:lang w:eastAsia="zh-CN"/>
              </w:rPr>
            </w:pPr>
            <w:r>
              <w:rPr>
                <w:rFonts w:eastAsia="等线"/>
                <w:lang w:eastAsia="zh-CN"/>
              </w:rPr>
              <w:t>Contains storage handling information for data or analytics.</w:t>
            </w:r>
          </w:p>
        </w:tc>
        <w:tc>
          <w:tcPr>
            <w:tcW w:w="1739" w:type="dxa"/>
          </w:tcPr>
          <w:p w14:paraId="24243ACB" w14:textId="77777777" w:rsidR="00A10B25" w:rsidRDefault="00A10B25">
            <w:pPr>
              <w:pStyle w:val="TAL"/>
              <w:rPr>
                <w:rFonts w:cs="Arial"/>
                <w:szCs w:val="18"/>
              </w:rPr>
            </w:pPr>
            <w:r>
              <w:rPr>
                <w:rFonts w:eastAsia="等线" w:cs="Arial"/>
                <w:szCs w:val="18"/>
              </w:rPr>
              <w:t>EnhDataMgmt</w:t>
            </w:r>
          </w:p>
        </w:tc>
      </w:tr>
      <w:tr w:rsidR="00991119" w14:paraId="350EEABD" w14:textId="77777777">
        <w:trPr>
          <w:jc w:val="center"/>
        </w:trPr>
        <w:tc>
          <w:tcPr>
            <w:tcW w:w="3178" w:type="dxa"/>
          </w:tcPr>
          <w:p w14:paraId="48DBE401" w14:textId="77777777" w:rsidR="00991119" w:rsidRDefault="00991119" w:rsidP="00991119">
            <w:pPr>
              <w:pStyle w:val="TAL"/>
            </w:pPr>
            <w:r>
              <w:t>SupportedFeatures</w:t>
            </w:r>
          </w:p>
        </w:tc>
        <w:tc>
          <w:tcPr>
            <w:tcW w:w="2058" w:type="dxa"/>
          </w:tcPr>
          <w:p w14:paraId="36C6D208" w14:textId="77777777" w:rsidR="00991119" w:rsidRDefault="00991119" w:rsidP="00991119">
            <w:pPr>
              <w:pStyle w:val="TAL"/>
            </w:pPr>
            <w:r>
              <w:t>3GPP TS 29.571 [8]</w:t>
            </w:r>
          </w:p>
        </w:tc>
        <w:tc>
          <w:tcPr>
            <w:tcW w:w="2449" w:type="dxa"/>
          </w:tcPr>
          <w:p w14:paraId="04744451" w14:textId="77777777" w:rsidR="00991119" w:rsidRDefault="00991119" w:rsidP="00991119">
            <w:pPr>
              <w:pStyle w:val="TAL"/>
              <w:rPr>
                <w:rFonts w:cs="Arial"/>
                <w:szCs w:val="18"/>
              </w:rPr>
            </w:pPr>
            <w:r>
              <w:rPr>
                <w:rFonts w:cs="Arial"/>
                <w:szCs w:val="18"/>
              </w:rPr>
              <w:t>Represents the list of supported feature(s).</w:t>
            </w:r>
          </w:p>
        </w:tc>
        <w:tc>
          <w:tcPr>
            <w:tcW w:w="1739" w:type="dxa"/>
          </w:tcPr>
          <w:p w14:paraId="7B6D8EDF" w14:textId="77777777" w:rsidR="00991119" w:rsidRDefault="00991119" w:rsidP="00991119">
            <w:pPr>
              <w:pStyle w:val="TAL"/>
              <w:rPr>
                <w:rFonts w:cs="Arial"/>
                <w:szCs w:val="18"/>
              </w:rPr>
            </w:pPr>
          </w:p>
        </w:tc>
      </w:tr>
      <w:tr w:rsidR="00A10B25" w14:paraId="7A50E85B" w14:textId="77777777">
        <w:trPr>
          <w:jc w:val="center"/>
        </w:trPr>
        <w:tc>
          <w:tcPr>
            <w:tcW w:w="3178" w:type="dxa"/>
          </w:tcPr>
          <w:p w14:paraId="18501387" w14:textId="77777777" w:rsidR="00A10B25" w:rsidRDefault="00A10B25">
            <w:pPr>
              <w:pStyle w:val="TAL"/>
              <w:rPr>
                <w:lang w:eastAsia="zh-CN"/>
              </w:rPr>
            </w:pPr>
            <w:r>
              <w:rPr>
                <w:rFonts w:hint="eastAsia"/>
                <w:lang w:eastAsia="zh-CN"/>
              </w:rPr>
              <w:t>T</w:t>
            </w:r>
            <w:r>
              <w:rPr>
                <w:lang w:eastAsia="zh-CN"/>
              </w:rPr>
              <w:t>imeWindow</w:t>
            </w:r>
          </w:p>
        </w:tc>
        <w:tc>
          <w:tcPr>
            <w:tcW w:w="2058" w:type="dxa"/>
          </w:tcPr>
          <w:p w14:paraId="5309E4BA" w14:textId="77777777" w:rsidR="00A10B25" w:rsidRDefault="00A10B25">
            <w:pPr>
              <w:pStyle w:val="TAL"/>
            </w:pPr>
            <w:r>
              <w:t>3GPP TS 29.122 [19]</w:t>
            </w:r>
          </w:p>
        </w:tc>
        <w:tc>
          <w:tcPr>
            <w:tcW w:w="2449" w:type="dxa"/>
          </w:tcPr>
          <w:p w14:paraId="3D98A6BC" w14:textId="77777777" w:rsidR="00A10B25" w:rsidRDefault="00A10B25">
            <w:pPr>
              <w:pStyle w:val="TAL"/>
              <w:rPr>
                <w:lang w:eastAsia="zh-CN"/>
              </w:rPr>
            </w:pPr>
            <w:r>
              <w:rPr>
                <w:lang w:eastAsia="zh-CN"/>
              </w:rPr>
              <w:t>Represents a time window.</w:t>
            </w:r>
          </w:p>
        </w:tc>
        <w:tc>
          <w:tcPr>
            <w:tcW w:w="1739" w:type="dxa"/>
          </w:tcPr>
          <w:p w14:paraId="24415B1B" w14:textId="77777777" w:rsidR="00A10B25" w:rsidRDefault="00A10B25">
            <w:pPr>
              <w:pStyle w:val="TAL"/>
              <w:rPr>
                <w:rFonts w:cs="Arial"/>
                <w:szCs w:val="18"/>
              </w:rPr>
            </w:pPr>
          </w:p>
        </w:tc>
      </w:tr>
      <w:tr w:rsidR="00A10B25" w14:paraId="21E21E70" w14:textId="77777777">
        <w:trPr>
          <w:jc w:val="center"/>
        </w:trPr>
        <w:tc>
          <w:tcPr>
            <w:tcW w:w="3178" w:type="dxa"/>
          </w:tcPr>
          <w:p w14:paraId="0CEEEB30" w14:textId="77777777" w:rsidR="00A10B25" w:rsidRDefault="00A10B25">
            <w:pPr>
              <w:pStyle w:val="TAL"/>
            </w:pPr>
            <w:r>
              <w:t>Uri</w:t>
            </w:r>
          </w:p>
        </w:tc>
        <w:tc>
          <w:tcPr>
            <w:tcW w:w="2058" w:type="dxa"/>
          </w:tcPr>
          <w:p w14:paraId="44C15B4A" w14:textId="77777777" w:rsidR="00A10B25" w:rsidRDefault="00A10B25">
            <w:pPr>
              <w:pStyle w:val="TAL"/>
            </w:pPr>
            <w:r>
              <w:t>3GPP TS 29.571 [8]</w:t>
            </w:r>
          </w:p>
        </w:tc>
        <w:tc>
          <w:tcPr>
            <w:tcW w:w="2449" w:type="dxa"/>
          </w:tcPr>
          <w:p w14:paraId="48D81154" w14:textId="77777777" w:rsidR="00A10B25" w:rsidRDefault="00A10B25">
            <w:pPr>
              <w:pStyle w:val="TAL"/>
              <w:rPr>
                <w:rFonts w:cs="Arial"/>
                <w:szCs w:val="18"/>
              </w:rPr>
            </w:pPr>
            <w:r>
              <w:rPr>
                <w:rFonts w:cs="Arial"/>
                <w:szCs w:val="18"/>
              </w:rPr>
              <w:t>URI.</w:t>
            </w:r>
          </w:p>
        </w:tc>
        <w:tc>
          <w:tcPr>
            <w:tcW w:w="1739" w:type="dxa"/>
          </w:tcPr>
          <w:p w14:paraId="241DAF7D" w14:textId="77777777" w:rsidR="00A10B25" w:rsidRDefault="00A10B25">
            <w:pPr>
              <w:pStyle w:val="TAL"/>
              <w:rPr>
                <w:rFonts w:cs="Arial"/>
                <w:szCs w:val="18"/>
              </w:rPr>
            </w:pPr>
          </w:p>
        </w:tc>
      </w:tr>
    </w:tbl>
    <w:p w14:paraId="7AB661DC" w14:textId="77777777" w:rsidR="00A10B25" w:rsidRDefault="00A10B25" w:rsidP="0076721C">
      <w:bookmarkStart w:id="12463" w:name="_Toc138754429"/>
      <w:bookmarkStart w:id="12464" w:name="_Toc136562595"/>
      <w:bookmarkStart w:id="12465" w:name="_Toc113031856"/>
      <w:bookmarkStart w:id="12466" w:name="_Toc120702496"/>
      <w:bookmarkStart w:id="12467" w:name="_Toc112951316"/>
      <w:bookmarkStart w:id="12468" w:name="_Toc104539193"/>
      <w:bookmarkStart w:id="12469" w:name="_Toc145705924"/>
      <w:bookmarkStart w:id="12470" w:name="_Toc98233811"/>
      <w:bookmarkStart w:id="12471" w:name="_Toc101244589"/>
      <w:bookmarkStart w:id="12472" w:name="_Toc114133995"/>
    </w:p>
    <w:p w14:paraId="41D53772" w14:textId="77777777" w:rsidR="00A10B25" w:rsidRDefault="00A10B25">
      <w:pPr>
        <w:pStyle w:val="4"/>
      </w:pPr>
      <w:bookmarkStart w:id="12473" w:name="_Toc148522834"/>
      <w:bookmarkStart w:id="12474" w:name="_Toc164921022"/>
      <w:bookmarkStart w:id="12475" w:name="_Toc170120564"/>
      <w:bookmarkStart w:id="12476" w:name="_Toc175858809"/>
      <w:bookmarkStart w:id="12477" w:name="_Toc175859882"/>
      <w:bookmarkStart w:id="12478" w:name="_Toc180606172"/>
      <w:bookmarkStart w:id="12479" w:name="_Toc185517433"/>
      <w:bookmarkStart w:id="12480" w:name="_Toc191576485"/>
      <w:bookmarkStart w:id="12481" w:name="_Toc191577225"/>
      <w:bookmarkStart w:id="12482" w:name="_Toc192880295"/>
      <w:bookmarkStart w:id="12483" w:name="_Toc195815184"/>
      <w:bookmarkStart w:id="12484" w:name="_Toc199453151"/>
      <w:r>
        <w:lastRenderedPageBreak/>
        <w:t>5.3.6.2</w:t>
      </w:r>
      <w:r>
        <w:tab/>
        <w:t>Structured data types</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2BBCFA70" w14:textId="77777777" w:rsidR="00A10B25" w:rsidRDefault="00A10B25">
      <w:pPr>
        <w:pStyle w:val="5"/>
      </w:pPr>
      <w:bookmarkStart w:id="12485" w:name="_Toc148522835"/>
      <w:bookmarkStart w:id="12486" w:name="_Toc101244590"/>
      <w:bookmarkStart w:id="12487" w:name="_Toc98233812"/>
      <w:bookmarkStart w:id="12488" w:name="_Toc120702497"/>
      <w:bookmarkStart w:id="12489" w:name="_Toc138754430"/>
      <w:bookmarkStart w:id="12490" w:name="_Toc114133996"/>
      <w:bookmarkStart w:id="12491" w:name="_Toc104539194"/>
      <w:bookmarkStart w:id="12492" w:name="_Toc145705925"/>
      <w:bookmarkStart w:id="12493" w:name="_Toc112951317"/>
      <w:bookmarkStart w:id="12494" w:name="_Toc136562596"/>
      <w:bookmarkStart w:id="12495" w:name="_Toc113031857"/>
      <w:bookmarkStart w:id="12496" w:name="_Toc164921023"/>
      <w:bookmarkStart w:id="12497" w:name="_Toc170120565"/>
      <w:bookmarkStart w:id="12498" w:name="_Toc175858810"/>
      <w:bookmarkStart w:id="12499" w:name="_Toc175859883"/>
      <w:bookmarkStart w:id="12500" w:name="_Toc180606173"/>
      <w:bookmarkStart w:id="12501" w:name="_Toc185517434"/>
      <w:bookmarkStart w:id="12502" w:name="_Toc191576486"/>
      <w:bookmarkStart w:id="12503" w:name="_Toc191577226"/>
      <w:bookmarkStart w:id="12504" w:name="_Toc192880296"/>
      <w:bookmarkStart w:id="12505" w:name="_Toc195815185"/>
      <w:bookmarkStart w:id="12506" w:name="_Toc199453152"/>
      <w:r>
        <w:t>5.3.6.2.1</w:t>
      </w:r>
      <w:r>
        <w:tab/>
        <w:t>Introduction</w:t>
      </w:r>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p>
    <w:p w14:paraId="0BE0755B" w14:textId="77777777" w:rsidR="00A10B25" w:rsidRDefault="00A10B25">
      <w:r>
        <w:t xml:space="preserve">This clause defines the structures to be used in resource representations. </w:t>
      </w:r>
    </w:p>
    <w:p w14:paraId="3D02CF4B" w14:textId="77777777" w:rsidR="00A10B25" w:rsidRDefault="00A10B25">
      <w:pPr>
        <w:pStyle w:val="5"/>
      </w:pPr>
      <w:bookmarkStart w:id="12507" w:name="_Toc138754431"/>
      <w:bookmarkStart w:id="12508" w:name="_Toc112951318"/>
      <w:bookmarkStart w:id="12509" w:name="_Toc114133997"/>
      <w:bookmarkStart w:id="12510" w:name="_Toc136562597"/>
      <w:bookmarkStart w:id="12511" w:name="_Toc98233813"/>
      <w:bookmarkStart w:id="12512" w:name="_Toc113031858"/>
      <w:bookmarkStart w:id="12513" w:name="_Toc145705926"/>
      <w:bookmarkStart w:id="12514" w:name="_Toc101244591"/>
      <w:bookmarkStart w:id="12515" w:name="_Toc148522836"/>
      <w:bookmarkStart w:id="12516" w:name="_Toc104539195"/>
      <w:bookmarkStart w:id="12517" w:name="_Toc120702498"/>
      <w:bookmarkStart w:id="12518" w:name="_Toc164921024"/>
      <w:bookmarkStart w:id="12519" w:name="_Toc170120566"/>
      <w:bookmarkStart w:id="12520" w:name="_Toc175858811"/>
      <w:bookmarkStart w:id="12521" w:name="_Toc175859884"/>
      <w:bookmarkStart w:id="12522" w:name="_Toc180606174"/>
      <w:bookmarkStart w:id="12523" w:name="_Toc185517435"/>
      <w:bookmarkStart w:id="12524" w:name="_Toc191576487"/>
      <w:bookmarkStart w:id="12525" w:name="_Toc191577227"/>
      <w:bookmarkStart w:id="12526" w:name="_Toc192880297"/>
      <w:bookmarkStart w:id="12527" w:name="_Toc195815186"/>
      <w:bookmarkStart w:id="12528" w:name="_Toc199453153"/>
      <w:r>
        <w:lastRenderedPageBreak/>
        <w:t>5.3.6.2.2</w:t>
      </w:r>
      <w:r>
        <w:tab/>
        <w:t xml:space="preserve">Type </w:t>
      </w:r>
      <w:r>
        <w:rPr>
          <w:rFonts w:eastAsia="等线"/>
        </w:rPr>
        <w:t>NnwdafDataManagementSubsc</w:t>
      </w:r>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2FD742AB"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5.3.6.2.2-1: Definition of type </w:t>
      </w:r>
      <w:r>
        <w:rPr>
          <w:rFonts w:eastAsia="等线"/>
        </w:rPr>
        <w:t>NnwdafDataManagementSubsc</w:t>
      </w:r>
    </w:p>
    <w:tbl>
      <w:tblPr>
        <w:tblW w:w="952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10B25" w14:paraId="4DA7DA90" w14:textId="77777777">
        <w:trPr>
          <w:jc w:val="center"/>
        </w:trPr>
        <w:tc>
          <w:tcPr>
            <w:tcW w:w="1702" w:type="dxa"/>
            <w:shd w:val="clear" w:color="auto" w:fill="C0C0C0"/>
          </w:tcPr>
          <w:p w14:paraId="70256C77" w14:textId="77777777" w:rsidR="00A10B25" w:rsidRDefault="00A10B25">
            <w:pPr>
              <w:pStyle w:val="TAH"/>
            </w:pPr>
            <w:r>
              <w:lastRenderedPageBreak/>
              <w:t>Attribute name</w:t>
            </w:r>
          </w:p>
        </w:tc>
        <w:tc>
          <w:tcPr>
            <w:tcW w:w="1444" w:type="dxa"/>
            <w:shd w:val="clear" w:color="auto" w:fill="C0C0C0"/>
          </w:tcPr>
          <w:p w14:paraId="66BF02F8" w14:textId="77777777" w:rsidR="00A10B25" w:rsidRDefault="00A10B25">
            <w:pPr>
              <w:pStyle w:val="TAH"/>
            </w:pPr>
            <w:r>
              <w:t>Data type</w:t>
            </w:r>
          </w:p>
        </w:tc>
        <w:tc>
          <w:tcPr>
            <w:tcW w:w="425" w:type="dxa"/>
            <w:shd w:val="clear" w:color="auto" w:fill="C0C0C0"/>
          </w:tcPr>
          <w:p w14:paraId="48E1DA1B" w14:textId="77777777" w:rsidR="00A10B25" w:rsidRDefault="00A10B25">
            <w:pPr>
              <w:pStyle w:val="TAH"/>
            </w:pPr>
            <w:r>
              <w:t>P</w:t>
            </w:r>
          </w:p>
        </w:tc>
        <w:tc>
          <w:tcPr>
            <w:tcW w:w="1134" w:type="dxa"/>
            <w:shd w:val="clear" w:color="auto" w:fill="C0C0C0"/>
          </w:tcPr>
          <w:p w14:paraId="1B791ADF" w14:textId="77777777" w:rsidR="00A10B25" w:rsidRDefault="00A10B25">
            <w:pPr>
              <w:pStyle w:val="TAH"/>
              <w:jc w:val="left"/>
            </w:pPr>
            <w:r>
              <w:t>Cardinality</w:t>
            </w:r>
          </w:p>
        </w:tc>
        <w:tc>
          <w:tcPr>
            <w:tcW w:w="2410" w:type="dxa"/>
            <w:shd w:val="clear" w:color="auto" w:fill="C0C0C0"/>
          </w:tcPr>
          <w:p w14:paraId="1008A76B" w14:textId="77777777" w:rsidR="00A10B25" w:rsidRDefault="00A10B25">
            <w:pPr>
              <w:pStyle w:val="TAH"/>
              <w:rPr>
                <w:rFonts w:cs="Arial"/>
                <w:szCs w:val="18"/>
              </w:rPr>
            </w:pPr>
            <w:r>
              <w:rPr>
                <w:rFonts w:cs="Arial"/>
                <w:szCs w:val="18"/>
              </w:rPr>
              <w:t>Description</w:t>
            </w:r>
          </w:p>
        </w:tc>
        <w:tc>
          <w:tcPr>
            <w:tcW w:w="2410" w:type="dxa"/>
            <w:shd w:val="clear" w:color="auto" w:fill="C0C0C0"/>
          </w:tcPr>
          <w:p w14:paraId="370B7582" w14:textId="77777777" w:rsidR="00A10B25" w:rsidRDefault="00A10B25">
            <w:pPr>
              <w:pStyle w:val="TAH"/>
              <w:rPr>
                <w:rFonts w:cs="Arial"/>
                <w:szCs w:val="18"/>
              </w:rPr>
            </w:pPr>
            <w:r>
              <w:rPr>
                <w:rFonts w:cs="Arial"/>
                <w:szCs w:val="18"/>
              </w:rPr>
              <w:t>Applicability</w:t>
            </w:r>
          </w:p>
        </w:tc>
      </w:tr>
      <w:tr w:rsidR="00640768" w14:paraId="3A180713" w14:textId="77777777">
        <w:trPr>
          <w:jc w:val="center"/>
        </w:trPr>
        <w:tc>
          <w:tcPr>
            <w:tcW w:w="1702" w:type="dxa"/>
          </w:tcPr>
          <w:p w14:paraId="3B789417" w14:textId="77777777" w:rsidR="00640768" w:rsidRDefault="00640768" w:rsidP="00640768">
            <w:pPr>
              <w:pStyle w:val="TAL"/>
            </w:pPr>
            <w:r>
              <w:t>adrfId</w:t>
            </w:r>
          </w:p>
        </w:tc>
        <w:tc>
          <w:tcPr>
            <w:tcW w:w="1444" w:type="dxa"/>
          </w:tcPr>
          <w:p w14:paraId="1BD5FEAA" w14:textId="77777777" w:rsidR="00640768" w:rsidRDefault="00640768" w:rsidP="00640768">
            <w:pPr>
              <w:pStyle w:val="TAL"/>
            </w:pPr>
            <w:r>
              <w:t>NfInstanceId</w:t>
            </w:r>
          </w:p>
        </w:tc>
        <w:tc>
          <w:tcPr>
            <w:tcW w:w="425" w:type="dxa"/>
          </w:tcPr>
          <w:p w14:paraId="7B977E18" w14:textId="77777777" w:rsidR="00640768" w:rsidRDefault="00640768" w:rsidP="00640768">
            <w:pPr>
              <w:pStyle w:val="TAC"/>
              <w:rPr>
                <w:rFonts w:hint="eastAsia"/>
                <w:lang w:eastAsia="zh-CN"/>
              </w:rPr>
            </w:pPr>
            <w:r>
              <w:rPr>
                <w:rFonts w:hint="eastAsia"/>
                <w:lang w:eastAsia="zh-CN"/>
              </w:rPr>
              <w:t>O</w:t>
            </w:r>
          </w:p>
        </w:tc>
        <w:tc>
          <w:tcPr>
            <w:tcW w:w="1134" w:type="dxa"/>
          </w:tcPr>
          <w:p w14:paraId="7DCD63B7" w14:textId="77777777" w:rsidR="00640768" w:rsidRDefault="00640768" w:rsidP="00640768">
            <w:pPr>
              <w:pStyle w:val="TAL"/>
            </w:pPr>
            <w:r>
              <w:t>0..1</w:t>
            </w:r>
          </w:p>
        </w:tc>
        <w:tc>
          <w:tcPr>
            <w:tcW w:w="2410" w:type="dxa"/>
          </w:tcPr>
          <w:p w14:paraId="4B774D34" w14:textId="77777777" w:rsidR="00640768" w:rsidRDefault="00640768" w:rsidP="00640768">
            <w:pPr>
              <w:pStyle w:val="TAL"/>
            </w:pPr>
            <w:r>
              <w:t>Identifier of the ADRF to be used by the NWDAF.</w:t>
            </w:r>
          </w:p>
          <w:p w14:paraId="3AD9A91F" w14:textId="77777777" w:rsidR="00640768" w:rsidRDefault="00640768" w:rsidP="00640768">
            <w:pPr>
              <w:pStyle w:val="TAL"/>
            </w:pPr>
            <w:r>
              <w:t>If the subscription is for runtime data (i.e. the "timePeriod" attribute is either absent or contains a time window in the future) then the NWDAF shall store the notifications in this ADRF.</w:t>
            </w:r>
          </w:p>
          <w:p w14:paraId="4B39CCF3" w14:textId="77777777" w:rsidR="00640768" w:rsidRDefault="00640768" w:rsidP="00640768">
            <w:pPr>
              <w:pStyle w:val="TAL"/>
            </w:pPr>
            <w:r>
              <w:t>If the subscription is for historical data (i.e. the "timePeriod" attribute contains a time window in the past) then the NWDAF shall retrieve the data from this ADRF. (NOTE 2)</w:t>
            </w:r>
          </w:p>
        </w:tc>
        <w:tc>
          <w:tcPr>
            <w:tcW w:w="2410" w:type="dxa"/>
          </w:tcPr>
          <w:p w14:paraId="03785315" w14:textId="77777777" w:rsidR="00640768" w:rsidRDefault="00640768" w:rsidP="00640768">
            <w:pPr>
              <w:pStyle w:val="TAL"/>
              <w:rPr>
                <w:rFonts w:cs="Arial"/>
                <w:szCs w:val="18"/>
              </w:rPr>
            </w:pPr>
          </w:p>
        </w:tc>
      </w:tr>
      <w:tr w:rsidR="00640768" w14:paraId="6D50993D" w14:textId="77777777">
        <w:trPr>
          <w:jc w:val="center"/>
        </w:trPr>
        <w:tc>
          <w:tcPr>
            <w:tcW w:w="1702" w:type="dxa"/>
          </w:tcPr>
          <w:p w14:paraId="46D43174" w14:textId="77777777" w:rsidR="00640768" w:rsidRDefault="00640768" w:rsidP="00640768">
            <w:pPr>
              <w:pStyle w:val="TAL"/>
            </w:pPr>
            <w:r>
              <w:t>adrfSetId</w:t>
            </w:r>
          </w:p>
        </w:tc>
        <w:tc>
          <w:tcPr>
            <w:tcW w:w="1444" w:type="dxa"/>
          </w:tcPr>
          <w:p w14:paraId="557A08E7" w14:textId="77777777" w:rsidR="00640768" w:rsidRDefault="00640768" w:rsidP="00640768">
            <w:pPr>
              <w:pStyle w:val="TAL"/>
            </w:pPr>
            <w:r>
              <w:t>NfSetId</w:t>
            </w:r>
          </w:p>
        </w:tc>
        <w:tc>
          <w:tcPr>
            <w:tcW w:w="425" w:type="dxa"/>
          </w:tcPr>
          <w:p w14:paraId="45B476FC" w14:textId="77777777" w:rsidR="00640768" w:rsidRDefault="00640768" w:rsidP="00640768">
            <w:pPr>
              <w:pStyle w:val="TAC"/>
              <w:rPr>
                <w:rFonts w:hint="eastAsia"/>
                <w:lang w:eastAsia="zh-CN"/>
              </w:rPr>
            </w:pPr>
            <w:r>
              <w:rPr>
                <w:rFonts w:hint="eastAsia"/>
                <w:lang w:eastAsia="zh-CN"/>
              </w:rPr>
              <w:t>O</w:t>
            </w:r>
          </w:p>
        </w:tc>
        <w:tc>
          <w:tcPr>
            <w:tcW w:w="1134" w:type="dxa"/>
          </w:tcPr>
          <w:p w14:paraId="37457F0F" w14:textId="77777777" w:rsidR="00640768" w:rsidRDefault="00640768" w:rsidP="00640768">
            <w:pPr>
              <w:pStyle w:val="TAL"/>
            </w:pPr>
            <w:r>
              <w:t>0..1</w:t>
            </w:r>
          </w:p>
        </w:tc>
        <w:tc>
          <w:tcPr>
            <w:tcW w:w="2410" w:type="dxa"/>
          </w:tcPr>
          <w:p w14:paraId="0028304E" w14:textId="77777777" w:rsidR="00640768" w:rsidRDefault="00640768" w:rsidP="00640768">
            <w:pPr>
              <w:pStyle w:val="TAL"/>
            </w:pPr>
            <w:r>
              <w:t>Identifier of the ADRF Set to be used by the NWDAF.</w:t>
            </w:r>
          </w:p>
          <w:p w14:paraId="20D1C940" w14:textId="77777777" w:rsidR="00640768" w:rsidRDefault="00640768" w:rsidP="00640768">
            <w:pPr>
              <w:pStyle w:val="TAL"/>
            </w:pPr>
            <w:r>
              <w:t>If the subscription is for runtime data (i.e. the "timePeriod" attribute is either absent or contains a time window in the future) then the NWDAF shall store the notifications in this ADRF Set.</w:t>
            </w:r>
          </w:p>
          <w:p w14:paraId="2B225679" w14:textId="77777777" w:rsidR="00640768" w:rsidRDefault="00640768" w:rsidP="00640768">
            <w:pPr>
              <w:pStyle w:val="TAL"/>
            </w:pPr>
            <w:r>
              <w:t>If the subscription is for historical data (i.e. the "timePeriod" attribute contains a time window in the past) then the NWDAF shall retrieve the data from this ADRF Set. (NOTE 2)</w:t>
            </w:r>
          </w:p>
        </w:tc>
        <w:tc>
          <w:tcPr>
            <w:tcW w:w="2410" w:type="dxa"/>
          </w:tcPr>
          <w:p w14:paraId="5F5C26FD" w14:textId="77777777" w:rsidR="00640768" w:rsidRDefault="00640768" w:rsidP="00640768">
            <w:pPr>
              <w:pStyle w:val="TAL"/>
              <w:rPr>
                <w:rFonts w:cs="Arial"/>
                <w:szCs w:val="18"/>
              </w:rPr>
            </w:pPr>
          </w:p>
        </w:tc>
      </w:tr>
      <w:tr w:rsidR="00A10B25" w14:paraId="0EE3B245" w14:textId="77777777">
        <w:trPr>
          <w:jc w:val="center"/>
        </w:trPr>
        <w:tc>
          <w:tcPr>
            <w:tcW w:w="1702" w:type="dxa"/>
          </w:tcPr>
          <w:p w14:paraId="4813B77D" w14:textId="77777777" w:rsidR="00A10B25" w:rsidRDefault="00A10B25">
            <w:pPr>
              <w:pStyle w:val="TAL"/>
            </w:pPr>
            <w:r>
              <w:t>anaSub</w:t>
            </w:r>
          </w:p>
        </w:tc>
        <w:tc>
          <w:tcPr>
            <w:tcW w:w="1444" w:type="dxa"/>
          </w:tcPr>
          <w:p w14:paraId="377319D7" w14:textId="77777777" w:rsidR="00A10B25" w:rsidRDefault="00A10B25">
            <w:pPr>
              <w:pStyle w:val="TAL"/>
            </w:pPr>
            <w:r>
              <w:rPr>
                <w:lang w:eastAsia="zh-CN"/>
              </w:rPr>
              <w:t>NnwdafEventsSubscription</w:t>
            </w:r>
          </w:p>
        </w:tc>
        <w:tc>
          <w:tcPr>
            <w:tcW w:w="425" w:type="dxa"/>
          </w:tcPr>
          <w:p w14:paraId="55B3285E" w14:textId="77777777" w:rsidR="00A10B25" w:rsidRDefault="00A10B25">
            <w:pPr>
              <w:pStyle w:val="TAC"/>
            </w:pPr>
            <w:r>
              <w:t>C</w:t>
            </w:r>
          </w:p>
        </w:tc>
        <w:tc>
          <w:tcPr>
            <w:tcW w:w="1134" w:type="dxa"/>
          </w:tcPr>
          <w:p w14:paraId="55208121" w14:textId="77777777" w:rsidR="00A10B25" w:rsidRDefault="00A10B25">
            <w:pPr>
              <w:pStyle w:val="TAL"/>
            </w:pPr>
            <w:r>
              <w:t>0..1</w:t>
            </w:r>
          </w:p>
        </w:tc>
        <w:tc>
          <w:tcPr>
            <w:tcW w:w="2410" w:type="dxa"/>
          </w:tcPr>
          <w:p w14:paraId="5B06A6CE" w14:textId="77777777" w:rsidR="00A10B25" w:rsidRDefault="00A10B25">
            <w:pPr>
              <w:pStyle w:val="TAL"/>
            </w:pPr>
            <w:r>
              <w:t xml:space="preserve">Analytics subscription information to be used by the NWDAF to determine the data that is relevant to these analytics and shall thus be collected and reported, i.e. the </w:t>
            </w:r>
            <w:r>
              <w:rPr>
                <w:lang w:eastAsia="en-GB"/>
              </w:rPr>
              <w:t>"</w:t>
            </w:r>
            <w:r>
              <w:t>anaSub</w:t>
            </w:r>
            <w:r>
              <w:rPr>
                <w:lang w:eastAsia="en-GB"/>
              </w:rPr>
              <w:t>"</w:t>
            </w:r>
            <w:r>
              <w:t xml:space="preserve"> attribute may be provided </w:t>
            </w:r>
            <w:r>
              <w:rPr>
                <w:rFonts w:cs="Arial"/>
              </w:rPr>
              <w:t xml:space="preserve">when the consumer requests from the NWDAF data that it needs in order to compute the analytics that is specified by the </w:t>
            </w:r>
            <w:r>
              <w:rPr>
                <w:lang w:eastAsia="en-GB"/>
              </w:rPr>
              <w:t>"</w:t>
            </w:r>
            <w:r>
              <w:rPr>
                <w:rFonts w:cs="Arial"/>
              </w:rPr>
              <w:t>anaSub</w:t>
            </w:r>
            <w:r>
              <w:rPr>
                <w:lang w:eastAsia="en-GB"/>
              </w:rPr>
              <w:t>"</w:t>
            </w:r>
            <w:r>
              <w:rPr>
                <w:rFonts w:cs="Arial"/>
              </w:rPr>
              <w:t xml:space="preserve"> attribute.</w:t>
            </w:r>
          </w:p>
          <w:p w14:paraId="293A022E" w14:textId="77777777" w:rsidR="00A10B25" w:rsidRDefault="00A10B25">
            <w:pPr>
              <w:pStyle w:val="TAL"/>
            </w:pPr>
            <w:r>
              <w:t>(NOTE 1)</w:t>
            </w:r>
          </w:p>
        </w:tc>
        <w:tc>
          <w:tcPr>
            <w:tcW w:w="2410" w:type="dxa"/>
          </w:tcPr>
          <w:p w14:paraId="31727448" w14:textId="77777777" w:rsidR="00A10B25" w:rsidRDefault="00A10B25">
            <w:pPr>
              <w:pStyle w:val="TAL"/>
              <w:rPr>
                <w:rFonts w:cs="Arial"/>
                <w:szCs w:val="18"/>
              </w:rPr>
            </w:pPr>
          </w:p>
        </w:tc>
      </w:tr>
      <w:tr w:rsidR="00A10B25" w14:paraId="32AE0308" w14:textId="77777777">
        <w:trPr>
          <w:jc w:val="center"/>
        </w:trPr>
        <w:tc>
          <w:tcPr>
            <w:tcW w:w="1702" w:type="dxa"/>
          </w:tcPr>
          <w:p w14:paraId="503AB8D0" w14:textId="77777777" w:rsidR="00A10B25" w:rsidRDefault="00A10B25">
            <w:pPr>
              <w:pStyle w:val="TAL"/>
              <w:rPr>
                <w:rFonts w:hint="eastAsia"/>
                <w:lang w:eastAsia="zh-CN"/>
              </w:rPr>
            </w:pPr>
            <w:r>
              <w:rPr>
                <w:lang w:eastAsia="zh-CN"/>
              </w:rPr>
              <w:t>checkedConsentInd</w:t>
            </w:r>
          </w:p>
        </w:tc>
        <w:tc>
          <w:tcPr>
            <w:tcW w:w="1444" w:type="dxa"/>
          </w:tcPr>
          <w:p w14:paraId="77D0E2CB" w14:textId="77777777" w:rsidR="00A10B25" w:rsidRDefault="00A10B25">
            <w:pPr>
              <w:pStyle w:val="TAL"/>
              <w:rPr>
                <w:lang w:eastAsia="zh-CN"/>
              </w:rPr>
            </w:pPr>
            <w:r>
              <w:rPr>
                <w:lang w:eastAsia="zh-CN"/>
              </w:rPr>
              <w:t>boolean</w:t>
            </w:r>
          </w:p>
        </w:tc>
        <w:tc>
          <w:tcPr>
            <w:tcW w:w="425" w:type="dxa"/>
          </w:tcPr>
          <w:p w14:paraId="239980C8" w14:textId="77777777" w:rsidR="00A10B25" w:rsidRDefault="00A10B25">
            <w:pPr>
              <w:pStyle w:val="TAC"/>
              <w:rPr>
                <w:rFonts w:hint="eastAsia"/>
                <w:lang w:eastAsia="zh-CN"/>
              </w:rPr>
            </w:pPr>
            <w:r>
              <w:rPr>
                <w:lang w:eastAsia="zh-CN"/>
              </w:rPr>
              <w:t>O</w:t>
            </w:r>
          </w:p>
        </w:tc>
        <w:tc>
          <w:tcPr>
            <w:tcW w:w="1134" w:type="dxa"/>
          </w:tcPr>
          <w:p w14:paraId="52EE3606" w14:textId="77777777" w:rsidR="00A10B25" w:rsidRDefault="00A10B25">
            <w:pPr>
              <w:pStyle w:val="TAL"/>
              <w:rPr>
                <w:rFonts w:hint="eastAsia"/>
                <w:lang w:eastAsia="zh-CN"/>
              </w:rPr>
            </w:pPr>
            <w:r>
              <w:rPr>
                <w:lang w:eastAsia="zh-CN"/>
              </w:rPr>
              <w:t>0..1</w:t>
            </w:r>
          </w:p>
        </w:tc>
        <w:tc>
          <w:tcPr>
            <w:tcW w:w="2410" w:type="dxa"/>
          </w:tcPr>
          <w:p w14:paraId="179B54F5" w14:textId="77777777" w:rsidR="00A10B25" w:rsidRDefault="00A10B25">
            <w:pPr>
              <w:pStyle w:val="TAL"/>
              <w:rPr>
                <w:lang w:eastAsia="zh-CN"/>
              </w:rPr>
            </w:pPr>
            <w:r>
              <w:rPr>
                <w:lang w:eastAsia="zh-CN"/>
              </w:rPr>
              <w:t>If set to "true", it indicates that the NF service consumer has already checked the user consent. The default value is "false".</w:t>
            </w:r>
          </w:p>
        </w:tc>
        <w:tc>
          <w:tcPr>
            <w:tcW w:w="2410" w:type="dxa"/>
          </w:tcPr>
          <w:p w14:paraId="3D16E723" w14:textId="77777777" w:rsidR="00A10B25" w:rsidRDefault="00A10B25">
            <w:pPr>
              <w:pStyle w:val="TAL"/>
              <w:rPr>
                <w:rFonts w:cs="Arial"/>
                <w:szCs w:val="18"/>
              </w:rPr>
            </w:pPr>
            <w:r>
              <w:rPr>
                <w:rFonts w:cs="Arial"/>
                <w:szCs w:val="18"/>
              </w:rPr>
              <w:t>UserConsent</w:t>
            </w:r>
          </w:p>
        </w:tc>
      </w:tr>
      <w:tr w:rsidR="00A10B25" w14:paraId="6B528C06" w14:textId="77777777">
        <w:trPr>
          <w:jc w:val="center"/>
        </w:trPr>
        <w:tc>
          <w:tcPr>
            <w:tcW w:w="1702" w:type="dxa"/>
          </w:tcPr>
          <w:p w14:paraId="58B71129" w14:textId="77777777" w:rsidR="00A10B25" w:rsidRDefault="00A10B25">
            <w:pPr>
              <w:pStyle w:val="TAL"/>
              <w:rPr>
                <w:lang w:eastAsia="zh-CN"/>
              </w:rPr>
            </w:pPr>
            <w:r>
              <w:rPr>
                <w:rFonts w:hint="eastAsia"/>
                <w:lang w:eastAsia="zh-CN"/>
              </w:rPr>
              <w:t>d</w:t>
            </w:r>
            <w:r>
              <w:rPr>
                <w:lang w:eastAsia="zh-CN"/>
              </w:rPr>
              <w:t>ataCollectPurposes</w:t>
            </w:r>
          </w:p>
        </w:tc>
        <w:tc>
          <w:tcPr>
            <w:tcW w:w="1444" w:type="dxa"/>
          </w:tcPr>
          <w:p w14:paraId="021A4823" w14:textId="77777777" w:rsidR="00A10B25" w:rsidRDefault="00A10B25">
            <w:pPr>
              <w:pStyle w:val="TAL"/>
              <w:rPr>
                <w:lang w:eastAsia="zh-CN"/>
              </w:rPr>
            </w:pPr>
            <w:r>
              <w:rPr>
                <w:lang w:eastAsia="zh-CN"/>
              </w:rPr>
              <w:t>array(</w:t>
            </w:r>
            <w:r>
              <w:rPr>
                <w:rFonts w:hint="eastAsia"/>
                <w:lang w:eastAsia="zh-CN"/>
              </w:rPr>
              <w:t>D</w:t>
            </w:r>
            <w:r>
              <w:rPr>
                <w:lang w:eastAsia="zh-CN"/>
              </w:rPr>
              <w:t>ataCollectionPurpose)</w:t>
            </w:r>
          </w:p>
        </w:tc>
        <w:tc>
          <w:tcPr>
            <w:tcW w:w="425" w:type="dxa"/>
          </w:tcPr>
          <w:p w14:paraId="454E0BF4" w14:textId="77777777" w:rsidR="00A10B25" w:rsidRDefault="00A10B25">
            <w:pPr>
              <w:pStyle w:val="TAC"/>
              <w:rPr>
                <w:lang w:eastAsia="zh-CN"/>
              </w:rPr>
            </w:pPr>
            <w:r>
              <w:rPr>
                <w:rFonts w:hint="eastAsia"/>
                <w:lang w:eastAsia="zh-CN"/>
              </w:rPr>
              <w:t>O</w:t>
            </w:r>
          </w:p>
        </w:tc>
        <w:tc>
          <w:tcPr>
            <w:tcW w:w="1134" w:type="dxa"/>
          </w:tcPr>
          <w:p w14:paraId="5E2D740C" w14:textId="77777777" w:rsidR="00A10B25" w:rsidRDefault="00A10B25">
            <w:pPr>
              <w:pStyle w:val="TAL"/>
              <w:rPr>
                <w:lang w:eastAsia="zh-CN"/>
              </w:rPr>
            </w:pPr>
            <w:r>
              <w:rPr>
                <w:rFonts w:hint="eastAsia"/>
                <w:lang w:eastAsia="zh-CN"/>
              </w:rPr>
              <w:t>1</w:t>
            </w:r>
            <w:r>
              <w:rPr>
                <w:lang w:eastAsia="zh-CN"/>
              </w:rPr>
              <w:t>..N</w:t>
            </w:r>
          </w:p>
        </w:tc>
        <w:tc>
          <w:tcPr>
            <w:tcW w:w="2410" w:type="dxa"/>
          </w:tcPr>
          <w:p w14:paraId="10C9CA20" w14:textId="77777777" w:rsidR="00A10B25" w:rsidRDefault="00A10B25">
            <w:pPr>
              <w:pStyle w:val="TAL"/>
              <w:rPr>
                <w:lang w:eastAsia="zh-CN"/>
              </w:rPr>
            </w:pPr>
            <w:r>
              <w:rPr>
                <w:lang w:eastAsia="zh-CN"/>
              </w:rPr>
              <w:t>The purpose of data collection. This attribute may only be provided if user consent is required depending on local policy and regulations, and the consumer has not checked user consent</w:t>
            </w:r>
            <w:r>
              <w:rPr>
                <w:rFonts w:hint="eastAsia"/>
                <w:lang w:eastAsia="zh-CN"/>
              </w:rPr>
              <w:t>.</w:t>
            </w:r>
          </w:p>
        </w:tc>
        <w:tc>
          <w:tcPr>
            <w:tcW w:w="2410" w:type="dxa"/>
          </w:tcPr>
          <w:p w14:paraId="285BF855" w14:textId="77777777" w:rsidR="00A10B25" w:rsidRDefault="00A10B25">
            <w:pPr>
              <w:pStyle w:val="TAL"/>
              <w:rPr>
                <w:rFonts w:cs="Arial"/>
                <w:szCs w:val="18"/>
              </w:rPr>
            </w:pPr>
          </w:p>
        </w:tc>
      </w:tr>
      <w:tr w:rsidR="00A10B25" w14:paraId="2181E9C7" w14:textId="77777777">
        <w:trPr>
          <w:jc w:val="center"/>
        </w:trPr>
        <w:tc>
          <w:tcPr>
            <w:tcW w:w="1702" w:type="dxa"/>
          </w:tcPr>
          <w:p w14:paraId="58D2B664" w14:textId="77777777" w:rsidR="00A10B25" w:rsidRDefault="00A10B25">
            <w:pPr>
              <w:pStyle w:val="TAL"/>
              <w:rPr>
                <w:rFonts w:hint="eastAsia"/>
                <w:lang w:eastAsia="zh-CN"/>
              </w:rPr>
            </w:pPr>
            <w:r>
              <w:rPr>
                <w:lang w:eastAsia="zh-CN"/>
              </w:rPr>
              <w:t>dataSub</w:t>
            </w:r>
          </w:p>
        </w:tc>
        <w:tc>
          <w:tcPr>
            <w:tcW w:w="1444" w:type="dxa"/>
          </w:tcPr>
          <w:p w14:paraId="26AC100B" w14:textId="77777777" w:rsidR="00A10B25" w:rsidRDefault="00A10B25">
            <w:pPr>
              <w:pStyle w:val="TAL"/>
              <w:rPr>
                <w:lang w:eastAsia="zh-CN"/>
              </w:rPr>
            </w:pPr>
            <w:r>
              <w:rPr>
                <w:rFonts w:hint="eastAsia"/>
                <w:lang w:eastAsia="zh-CN"/>
              </w:rPr>
              <w:t>D</w:t>
            </w:r>
            <w:r>
              <w:rPr>
                <w:lang w:eastAsia="zh-CN"/>
              </w:rPr>
              <w:t>ataSubscription</w:t>
            </w:r>
          </w:p>
        </w:tc>
        <w:tc>
          <w:tcPr>
            <w:tcW w:w="425" w:type="dxa"/>
          </w:tcPr>
          <w:p w14:paraId="31F0372F" w14:textId="77777777" w:rsidR="00A10B25" w:rsidRDefault="00A10B25">
            <w:pPr>
              <w:pStyle w:val="TAC"/>
              <w:rPr>
                <w:rFonts w:hint="eastAsia"/>
                <w:lang w:eastAsia="zh-CN"/>
              </w:rPr>
            </w:pPr>
            <w:r>
              <w:rPr>
                <w:rFonts w:hint="eastAsia"/>
                <w:lang w:eastAsia="zh-CN"/>
              </w:rPr>
              <w:t>C</w:t>
            </w:r>
          </w:p>
        </w:tc>
        <w:tc>
          <w:tcPr>
            <w:tcW w:w="1134" w:type="dxa"/>
          </w:tcPr>
          <w:p w14:paraId="6781E0F6" w14:textId="77777777" w:rsidR="00A10B25" w:rsidRDefault="00A10B25">
            <w:pPr>
              <w:pStyle w:val="TAL"/>
              <w:rPr>
                <w:rFonts w:hint="eastAsia"/>
                <w:lang w:eastAsia="zh-CN"/>
              </w:rPr>
            </w:pPr>
            <w:r>
              <w:rPr>
                <w:rFonts w:hint="eastAsia"/>
                <w:lang w:eastAsia="zh-CN"/>
              </w:rPr>
              <w:t>0</w:t>
            </w:r>
            <w:r>
              <w:rPr>
                <w:lang w:eastAsia="zh-CN"/>
              </w:rPr>
              <w:t>..1</w:t>
            </w:r>
          </w:p>
        </w:tc>
        <w:tc>
          <w:tcPr>
            <w:tcW w:w="2410" w:type="dxa"/>
          </w:tcPr>
          <w:p w14:paraId="7CA023DE" w14:textId="77777777" w:rsidR="00A10B25" w:rsidRDefault="00A10B25">
            <w:pPr>
              <w:pStyle w:val="TAL"/>
              <w:rPr>
                <w:lang w:eastAsia="zh-CN"/>
              </w:rPr>
            </w:pPr>
            <w:r>
              <w:rPr>
                <w:rFonts w:hint="eastAsia"/>
                <w:lang w:eastAsia="zh-CN"/>
              </w:rPr>
              <w:t>S</w:t>
            </w:r>
            <w:r>
              <w:rPr>
                <w:lang w:eastAsia="zh-CN"/>
              </w:rPr>
              <w:t>ubscribed data events.</w:t>
            </w:r>
          </w:p>
          <w:p w14:paraId="268CE812" w14:textId="77777777" w:rsidR="00A10B25" w:rsidRDefault="00A10B25">
            <w:pPr>
              <w:pStyle w:val="TAL"/>
              <w:rPr>
                <w:rFonts w:hint="eastAsia"/>
                <w:lang w:eastAsia="zh-CN"/>
              </w:rPr>
            </w:pPr>
            <w:r>
              <w:t>(NOTE 1) (NOTE 6) (NOTE 7)</w:t>
            </w:r>
          </w:p>
        </w:tc>
        <w:tc>
          <w:tcPr>
            <w:tcW w:w="2410" w:type="dxa"/>
          </w:tcPr>
          <w:p w14:paraId="06AFCE17" w14:textId="77777777" w:rsidR="00A10B25" w:rsidRDefault="00A10B25">
            <w:pPr>
              <w:pStyle w:val="TAL"/>
              <w:rPr>
                <w:rFonts w:cs="Arial"/>
                <w:szCs w:val="18"/>
              </w:rPr>
            </w:pPr>
          </w:p>
        </w:tc>
      </w:tr>
      <w:tr w:rsidR="00A10B25" w14:paraId="709B9A57" w14:textId="77777777">
        <w:trPr>
          <w:jc w:val="center"/>
        </w:trPr>
        <w:tc>
          <w:tcPr>
            <w:tcW w:w="1702" w:type="dxa"/>
          </w:tcPr>
          <w:p w14:paraId="0FF22B39" w14:textId="77777777" w:rsidR="00A10B25" w:rsidRDefault="00A10B25">
            <w:pPr>
              <w:pStyle w:val="TAL"/>
            </w:pPr>
            <w:r>
              <w:rPr>
                <w:lang w:val="en-US" w:eastAsia="zh-CN"/>
              </w:rPr>
              <w:lastRenderedPageBreak/>
              <w:t>formatInstruct</w:t>
            </w:r>
          </w:p>
        </w:tc>
        <w:tc>
          <w:tcPr>
            <w:tcW w:w="1444" w:type="dxa"/>
          </w:tcPr>
          <w:p w14:paraId="5870D876" w14:textId="77777777" w:rsidR="00A10B25" w:rsidRDefault="00A10B25">
            <w:pPr>
              <w:pStyle w:val="TAL"/>
              <w:rPr>
                <w:lang w:eastAsia="zh-CN"/>
              </w:rPr>
            </w:pPr>
            <w:r>
              <w:rPr>
                <w:lang w:val="en-US" w:eastAsia="zh-CN"/>
              </w:rPr>
              <w:t>FormattingInstruction</w:t>
            </w:r>
          </w:p>
        </w:tc>
        <w:tc>
          <w:tcPr>
            <w:tcW w:w="425" w:type="dxa"/>
          </w:tcPr>
          <w:p w14:paraId="7C2D0DE4" w14:textId="77777777" w:rsidR="00A10B25" w:rsidRDefault="00A10B25">
            <w:pPr>
              <w:pStyle w:val="TAC"/>
              <w:rPr>
                <w:rFonts w:hint="eastAsia"/>
                <w:lang w:eastAsia="zh-CN"/>
              </w:rPr>
            </w:pPr>
            <w:r>
              <w:rPr>
                <w:rFonts w:hint="eastAsia"/>
                <w:lang w:eastAsia="zh-CN"/>
              </w:rPr>
              <w:t>O</w:t>
            </w:r>
          </w:p>
        </w:tc>
        <w:tc>
          <w:tcPr>
            <w:tcW w:w="1134" w:type="dxa"/>
          </w:tcPr>
          <w:p w14:paraId="677ADAAA" w14:textId="77777777" w:rsidR="00A10B25" w:rsidRDefault="00A10B25">
            <w:pPr>
              <w:pStyle w:val="TAL"/>
              <w:rPr>
                <w:rFonts w:hint="eastAsia"/>
                <w:lang w:eastAsia="zh-CN"/>
              </w:rPr>
            </w:pPr>
            <w:r>
              <w:rPr>
                <w:rFonts w:hint="eastAsia"/>
                <w:lang w:eastAsia="zh-CN"/>
              </w:rPr>
              <w:t>0</w:t>
            </w:r>
            <w:r>
              <w:rPr>
                <w:lang w:eastAsia="zh-CN"/>
              </w:rPr>
              <w:t>..1</w:t>
            </w:r>
          </w:p>
        </w:tc>
        <w:tc>
          <w:tcPr>
            <w:tcW w:w="2410" w:type="dxa"/>
          </w:tcPr>
          <w:p w14:paraId="6F2388E4" w14:textId="77777777" w:rsidR="00A10B25" w:rsidRDefault="00A10B25">
            <w:pPr>
              <w:pStyle w:val="TAL"/>
            </w:pPr>
            <w:r>
              <w:rPr>
                <w:lang w:eastAsia="ja-JP"/>
              </w:rPr>
              <w:t>Formatting instructions to be used for sending event notifications.</w:t>
            </w:r>
            <w:r>
              <w:rPr>
                <w:rFonts w:eastAsia="等线"/>
                <w:lang w:eastAsia="ja-JP"/>
              </w:rPr>
              <w:t xml:space="preserve"> If provided, they take precedence over any potentially conflicting event reporting requirements provided within the "dataSub" attribute.</w:t>
            </w:r>
          </w:p>
        </w:tc>
        <w:tc>
          <w:tcPr>
            <w:tcW w:w="2410" w:type="dxa"/>
          </w:tcPr>
          <w:p w14:paraId="41478A90" w14:textId="77777777" w:rsidR="00A10B25" w:rsidRDefault="00A10B25">
            <w:pPr>
              <w:pStyle w:val="TAL"/>
              <w:rPr>
                <w:rFonts w:cs="Arial"/>
                <w:szCs w:val="18"/>
              </w:rPr>
            </w:pPr>
          </w:p>
        </w:tc>
      </w:tr>
      <w:tr w:rsidR="00A10B25" w14:paraId="50AE7741" w14:textId="77777777">
        <w:trPr>
          <w:jc w:val="center"/>
        </w:trPr>
        <w:tc>
          <w:tcPr>
            <w:tcW w:w="1702" w:type="dxa"/>
          </w:tcPr>
          <w:p w14:paraId="1C7CE841" w14:textId="77777777" w:rsidR="00A10B25" w:rsidRDefault="00A10B25">
            <w:pPr>
              <w:pStyle w:val="TAL"/>
            </w:pPr>
            <w:r>
              <w:t>notifCorrId</w:t>
            </w:r>
          </w:p>
        </w:tc>
        <w:tc>
          <w:tcPr>
            <w:tcW w:w="1444" w:type="dxa"/>
          </w:tcPr>
          <w:p w14:paraId="7EE6C7C5" w14:textId="77777777" w:rsidR="00A10B25" w:rsidRDefault="00A10B25">
            <w:pPr>
              <w:pStyle w:val="TAL"/>
            </w:pPr>
            <w:r>
              <w:t>string</w:t>
            </w:r>
          </w:p>
        </w:tc>
        <w:tc>
          <w:tcPr>
            <w:tcW w:w="425" w:type="dxa"/>
          </w:tcPr>
          <w:p w14:paraId="768ADFAD" w14:textId="77777777" w:rsidR="00A10B25" w:rsidRDefault="00A10B25">
            <w:pPr>
              <w:pStyle w:val="TAC"/>
            </w:pPr>
            <w:r>
              <w:t>M</w:t>
            </w:r>
          </w:p>
        </w:tc>
        <w:tc>
          <w:tcPr>
            <w:tcW w:w="1134" w:type="dxa"/>
          </w:tcPr>
          <w:p w14:paraId="48B3EDA7" w14:textId="77777777" w:rsidR="00A10B25" w:rsidRDefault="00A10B25">
            <w:pPr>
              <w:pStyle w:val="TAL"/>
            </w:pPr>
            <w:r>
              <w:t>1</w:t>
            </w:r>
          </w:p>
        </w:tc>
        <w:tc>
          <w:tcPr>
            <w:tcW w:w="2410" w:type="dxa"/>
          </w:tcPr>
          <w:p w14:paraId="39B0F89C" w14:textId="77777777" w:rsidR="00A10B25" w:rsidRDefault="00A10B25">
            <w:pPr>
              <w:pStyle w:val="TAL"/>
            </w:pPr>
            <w:r>
              <w:t>Notification correlation identifier.</w:t>
            </w:r>
          </w:p>
        </w:tc>
        <w:tc>
          <w:tcPr>
            <w:tcW w:w="2410" w:type="dxa"/>
          </w:tcPr>
          <w:p w14:paraId="553E4373" w14:textId="77777777" w:rsidR="00A10B25" w:rsidRDefault="00A10B25">
            <w:pPr>
              <w:pStyle w:val="TAL"/>
              <w:rPr>
                <w:rFonts w:cs="Arial"/>
                <w:szCs w:val="18"/>
              </w:rPr>
            </w:pPr>
          </w:p>
        </w:tc>
      </w:tr>
      <w:tr w:rsidR="00991119" w14:paraId="5D9D70DA" w14:textId="77777777">
        <w:trPr>
          <w:jc w:val="center"/>
        </w:trPr>
        <w:tc>
          <w:tcPr>
            <w:tcW w:w="1702" w:type="dxa"/>
          </w:tcPr>
          <w:p w14:paraId="5021E8B5" w14:textId="77777777" w:rsidR="00991119" w:rsidRDefault="00991119" w:rsidP="00991119">
            <w:pPr>
              <w:pStyle w:val="TAL"/>
            </w:pPr>
            <w:r>
              <w:t>notificURI</w:t>
            </w:r>
          </w:p>
          <w:p w14:paraId="3FE93767" w14:textId="77777777" w:rsidR="00991119" w:rsidRDefault="00991119" w:rsidP="00991119">
            <w:pPr>
              <w:pStyle w:val="TAL"/>
            </w:pPr>
          </w:p>
          <w:p w14:paraId="70FF477A" w14:textId="77777777" w:rsidR="00991119" w:rsidRDefault="00991119" w:rsidP="00991119">
            <w:pPr>
              <w:pStyle w:val="TAL"/>
            </w:pPr>
            <w:r>
              <w:t>(NOTE 8)</w:t>
            </w:r>
          </w:p>
        </w:tc>
        <w:tc>
          <w:tcPr>
            <w:tcW w:w="1444" w:type="dxa"/>
          </w:tcPr>
          <w:p w14:paraId="0C660417" w14:textId="77777777" w:rsidR="00991119" w:rsidRDefault="00991119" w:rsidP="00991119">
            <w:pPr>
              <w:pStyle w:val="TAL"/>
            </w:pPr>
            <w:r>
              <w:t>Uri</w:t>
            </w:r>
          </w:p>
        </w:tc>
        <w:tc>
          <w:tcPr>
            <w:tcW w:w="425" w:type="dxa"/>
          </w:tcPr>
          <w:p w14:paraId="40B7A811" w14:textId="77777777" w:rsidR="00991119" w:rsidRDefault="00991119" w:rsidP="00991119">
            <w:pPr>
              <w:pStyle w:val="TAC"/>
            </w:pPr>
            <w:r>
              <w:t>M</w:t>
            </w:r>
          </w:p>
        </w:tc>
        <w:tc>
          <w:tcPr>
            <w:tcW w:w="1134" w:type="dxa"/>
          </w:tcPr>
          <w:p w14:paraId="60B7797A" w14:textId="77777777" w:rsidR="00991119" w:rsidRDefault="00991119" w:rsidP="00991119">
            <w:pPr>
              <w:pStyle w:val="TAL"/>
            </w:pPr>
            <w:r>
              <w:t>1</w:t>
            </w:r>
          </w:p>
        </w:tc>
        <w:tc>
          <w:tcPr>
            <w:tcW w:w="2410" w:type="dxa"/>
          </w:tcPr>
          <w:p w14:paraId="79BC2D56" w14:textId="77777777" w:rsidR="00991119" w:rsidRDefault="00991119" w:rsidP="00991119">
            <w:pPr>
              <w:pStyle w:val="TAL"/>
            </w:pPr>
            <w:r>
              <w:t>Notification target address.</w:t>
            </w:r>
          </w:p>
        </w:tc>
        <w:tc>
          <w:tcPr>
            <w:tcW w:w="2410" w:type="dxa"/>
          </w:tcPr>
          <w:p w14:paraId="43242B49" w14:textId="77777777" w:rsidR="00991119" w:rsidRDefault="00991119" w:rsidP="00991119">
            <w:pPr>
              <w:pStyle w:val="TAL"/>
              <w:rPr>
                <w:rFonts w:cs="Arial"/>
                <w:szCs w:val="18"/>
              </w:rPr>
            </w:pPr>
          </w:p>
        </w:tc>
      </w:tr>
      <w:tr w:rsidR="00A10B25" w14:paraId="5E207980" w14:textId="77777777">
        <w:trPr>
          <w:jc w:val="center"/>
        </w:trPr>
        <w:tc>
          <w:tcPr>
            <w:tcW w:w="1702" w:type="dxa"/>
          </w:tcPr>
          <w:p w14:paraId="7BFF3328" w14:textId="77777777" w:rsidR="00A10B25" w:rsidRDefault="00A10B25">
            <w:pPr>
              <w:pStyle w:val="TAL"/>
            </w:pPr>
            <w:r>
              <w:rPr>
                <w:lang w:eastAsia="zh-CN"/>
              </w:rPr>
              <w:t>notifEndpoints</w:t>
            </w:r>
          </w:p>
        </w:tc>
        <w:tc>
          <w:tcPr>
            <w:tcW w:w="1444" w:type="dxa"/>
          </w:tcPr>
          <w:p w14:paraId="085A8F2E" w14:textId="77777777" w:rsidR="00A10B25" w:rsidRDefault="00A10B25">
            <w:pPr>
              <w:pStyle w:val="TAL"/>
            </w:pPr>
            <w:r>
              <w:rPr>
                <w:lang w:eastAsia="zh-CN"/>
              </w:rPr>
              <w:t>array(</w:t>
            </w:r>
            <w:r>
              <w:t>NotifyEndpoint</w:t>
            </w:r>
            <w:r>
              <w:rPr>
                <w:lang w:eastAsia="zh-CN"/>
              </w:rPr>
              <w:t>)</w:t>
            </w:r>
          </w:p>
        </w:tc>
        <w:tc>
          <w:tcPr>
            <w:tcW w:w="425" w:type="dxa"/>
          </w:tcPr>
          <w:p w14:paraId="15337EC0" w14:textId="77777777" w:rsidR="00A10B25" w:rsidRDefault="00A10B25">
            <w:pPr>
              <w:pStyle w:val="TAC"/>
            </w:pPr>
            <w:r>
              <w:rPr>
                <w:rFonts w:hint="eastAsia"/>
                <w:lang w:eastAsia="zh-CN"/>
              </w:rPr>
              <w:t>O</w:t>
            </w:r>
          </w:p>
        </w:tc>
        <w:tc>
          <w:tcPr>
            <w:tcW w:w="1134" w:type="dxa"/>
          </w:tcPr>
          <w:p w14:paraId="73925793" w14:textId="77777777" w:rsidR="00A10B25" w:rsidRDefault="00A10B25">
            <w:pPr>
              <w:pStyle w:val="TAL"/>
            </w:pPr>
            <w:r>
              <w:t>1..N</w:t>
            </w:r>
          </w:p>
        </w:tc>
        <w:tc>
          <w:tcPr>
            <w:tcW w:w="2410" w:type="dxa"/>
          </w:tcPr>
          <w:p w14:paraId="50369BB6" w14:textId="77777777" w:rsidR="00A10B25" w:rsidRDefault="00A10B25">
            <w:pPr>
              <w:pStyle w:val="TAL"/>
            </w:pPr>
            <w:r>
              <w:rPr>
                <w:lang w:eastAsia="ko-KR"/>
              </w:rPr>
              <w:t>The</w:t>
            </w:r>
            <w:r>
              <w:rPr>
                <w:lang w:eastAsia="ja-JP"/>
              </w:rPr>
              <w:t xml:space="preserve"> </w:t>
            </w:r>
            <w:r>
              <w:rPr>
                <w:rFonts w:cs="Arial"/>
                <w:szCs w:val="18"/>
                <w:lang w:eastAsia="zh-CN"/>
              </w:rPr>
              <w:t xml:space="preserve">additional </w:t>
            </w:r>
            <w:r>
              <w:rPr>
                <w:lang w:eastAsia="ja-JP"/>
              </w:rPr>
              <w:t>information of</w:t>
            </w:r>
            <w:r>
              <w:rPr>
                <w:lang w:eastAsia="ko-KR"/>
              </w:rPr>
              <w:t xml:space="preserve"> </w:t>
            </w:r>
            <w:r>
              <w:t>notification target address and correlation identifier</w:t>
            </w:r>
            <w:r>
              <w:rPr>
                <w:lang w:eastAsia="ko-KR"/>
              </w:rPr>
              <w:t>.</w:t>
            </w:r>
          </w:p>
        </w:tc>
        <w:tc>
          <w:tcPr>
            <w:tcW w:w="2410" w:type="dxa"/>
          </w:tcPr>
          <w:p w14:paraId="5A0071F4" w14:textId="77777777" w:rsidR="00A10B25" w:rsidRDefault="00A10B25">
            <w:pPr>
              <w:pStyle w:val="TAL"/>
              <w:rPr>
                <w:rFonts w:cs="Arial"/>
                <w:szCs w:val="18"/>
              </w:rPr>
            </w:pPr>
            <w:r>
              <w:t>DataAnaCollect</w:t>
            </w:r>
          </w:p>
        </w:tc>
      </w:tr>
      <w:tr w:rsidR="00A10B25" w14:paraId="741E3714" w14:textId="77777777">
        <w:trPr>
          <w:jc w:val="center"/>
        </w:trPr>
        <w:tc>
          <w:tcPr>
            <w:tcW w:w="1702" w:type="dxa"/>
          </w:tcPr>
          <w:p w14:paraId="1EE217DE" w14:textId="77777777" w:rsidR="00A10B25" w:rsidRDefault="00A10B25">
            <w:pPr>
              <w:pStyle w:val="TAL"/>
            </w:pPr>
            <w:r>
              <w:rPr>
                <w:lang w:val="en-US" w:eastAsia="zh-CN"/>
              </w:rPr>
              <w:t>procInstruct</w:t>
            </w:r>
          </w:p>
        </w:tc>
        <w:tc>
          <w:tcPr>
            <w:tcW w:w="1444" w:type="dxa"/>
          </w:tcPr>
          <w:p w14:paraId="62BA567F" w14:textId="77777777" w:rsidR="00A10B25" w:rsidRDefault="00A10B25">
            <w:pPr>
              <w:pStyle w:val="TAL"/>
            </w:pPr>
            <w:r>
              <w:rPr>
                <w:lang w:val="en-US" w:eastAsia="zh-CN"/>
              </w:rPr>
              <w:t>ProcessingInstruction</w:t>
            </w:r>
          </w:p>
        </w:tc>
        <w:tc>
          <w:tcPr>
            <w:tcW w:w="425" w:type="dxa"/>
          </w:tcPr>
          <w:p w14:paraId="21951E7B" w14:textId="77777777" w:rsidR="00A10B25" w:rsidRDefault="00A10B25">
            <w:pPr>
              <w:pStyle w:val="TAC"/>
              <w:rPr>
                <w:rFonts w:hint="eastAsia"/>
                <w:lang w:eastAsia="zh-CN"/>
              </w:rPr>
            </w:pPr>
            <w:r>
              <w:rPr>
                <w:rFonts w:hint="eastAsia"/>
                <w:lang w:eastAsia="zh-CN"/>
              </w:rPr>
              <w:t>O</w:t>
            </w:r>
          </w:p>
        </w:tc>
        <w:tc>
          <w:tcPr>
            <w:tcW w:w="1134" w:type="dxa"/>
          </w:tcPr>
          <w:p w14:paraId="70BF0E13" w14:textId="77777777" w:rsidR="00A10B25" w:rsidRDefault="00A10B25">
            <w:pPr>
              <w:pStyle w:val="TAL"/>
              <w:rPr>
                <w:rFonts w:hint="eastAsia"/>
                <w:lang w:eastAsia="zh-CN"/>
              </w:rPr>
            </w:pPr>
            <w:r>
              <w:rPr>
                <w:rFonts w:hint="eastAsia"/>
                <w:lang w:eastAsia="zh-CN"/>
              </w:rPr>
              <w:t>0</w:t>
            </w:r>
            <w:r>
              <w:rPr>
                <w:lang w:eastAsia="zh-CN"/>
              </w:rPr>
              <w:t>..1</w:t>
            </w:r>
          </w:p>
        </w:tc>
        <w:tc>
          <w:tcPr>
            <w:tcW w:w="2410" w:type="dxa"/>
          </w:tcPr>
          <w:p w14:paraId="6C8BF459" w14:textId="77777777" w:rsidR="00A10B25" w:rsidRDefault="00A10B25">
            <w:pPr>
              <w:pStyle w:val="TAL"/>
              <w:rPr>
                <w:lang w:eastAsia="ja-JP"/>
              </w:rPr>
            </w:pPr>
            <w:r>
              <w:rPr>
                <w:lang w:eastAsia="ja-JP"/>
              </w:rPr>
              <w:t>Processing instructions to be used for sending event notifications.</w:t>
            </w:r>
          </w:p>
          <w:p w14:paraId="5029E780" w14:textId="77777777" w:rsidR="00A10B25" w:rsidRDefault="00A10B25">
            <w:pPr>
              <w:pStyle w:val="TAL"/>
            </w:pPr>
            <w:r>
              <w:rPr>
                <w:lang w:eastAsia="ja-JP"/>
              </w:rPr>
              <w:t xml:space="preserve">This attribute may only be provided if the </w:t>
            </w:r>
            <w:r>
              <w:t>"</w:t>
            </w:r>
            <w:r>
              <w:rPr>
                <w:lang w:eastAsia="ja-JP"/>
              </w:rPr>
              <w:t>dataSub</w:t>
            </w:r>
            <w:r>
              <w:t>"</w:t>
            </w:r>
            <w:r>
              <w:rPr>
                <w:lang w:eastAsia="ja-JP"/>
              </w:rPr>
              <w:t xml:space="preserve"> attribute is provided.</w:t>
            </w:r>
            <w:r>
              <w:t xml:space="preserve"> (NOTE 4)</w:t>
            </w:r>
          </w:p>
        </w:tc>
        <w:tc>
          <w:tcPr>
            <w:tcW w:w="2410" w:type="dxa"/>
          </w:tcPr>
          <w:p w14:paraId="72A30C5D" w14:textId="77777777" w:rsidR="00A10B25" w:rsidRDefault="00A10B25">
            <w:pPr>
              <w:pStyle w:val="TAL"/>
              <w:rPr>
                <w:rFonts w:cs="Arial"/>
                <w:szCs w:val="18"/>
              </w:rPr>
            </w:pPr>
          </w:p>
        </w:tc>
      </w:tr>
      <w:tr w:rsidR="00A10B25" w14:paraId="0101551A" w14:textId="77777777">
        <w:trPr>
          <w:jc w:val="center"/>
        </w:trPr>
        <w:tc>
          <w:tcPr>
            <w:tcW w:w="1702" w:type="dxa"/>
          </w:tcPr>
          <w:p w14:paraId="4633FEAA" w14:textId="77777777" w:rsidR="00A10B25" w:rsidRDefault="00A10B25">
            <w:pPr>
              <w:pStyle w:val="TAL"/>
              <w:rPr>
                <w:lang w:val="en-US" w:eastAsia="zh-CN"/>
              </w:rPr>
            </w:pPr>
            <w:r>
              <w:rPr>
                <w:lang w:val="en-US" w:eastAsia="zh-CN"/>
              </w:rPr>
              <w:t>multiProcInstructs</w:t>
            </w:r>
          </w:p>
        </w:tc>
        <w:tc>
          <w:tcPr>
            <w:tcW w:w="1444" w:type="dxa"/>
          </w:tcPr>
          <w:p w14:paraId="53BD9819" w14:textId="77777777" w:rsidR="00A10B25" w:rsidRDefault="00A10B25">
            <w:pPr>
              <w:pStyle w:val="TAL"/>
              <w:rPr>
                <w:lang w:val="en-US" w:eastAsia="zh-CN"/>
              </w:rPr>
            </w:pPr>
            <w:r>
              <w:rPr>
                <w:lang w:val="en-US" w:eastAsia="zh-CN"/>
              </w:rPr>
              <w:t>array(ProcessingInstruction)</w:t>
            </w:r>
          </w:p>
        </w:tc>
        <w:tc>
          <w:tcPr>
            <w:tcW w:w="425" w:type="dxa"/>
          </w:tcPr>
          <w:p w14:paraId="2B80D6D8" w14:textId="77777777" w:rsidR="00A10B25" w:rsidRDefault="00A10B25">
            <w:pPr>
              <w:pStyle w:val="TAC"/>
              <w:rPr>
                <w:rFonts w:hint="eastAsia"/>
                <w:lang w:eastAsia="zh-CN"/>
              </w:rPr>
            </w:pPr>
            <w:r>
              <w:t>O</w:t>
            </w:r>
          </w:p>
        </w:tc>
        <w:tc>
          <w:tcPr>
            <w:tcW w:w="1134" w:type="dxa"/>
          </w:tcPr>
          <w:p w14:paraId="08BED531" w14:textId="77777777" w:rsidR="00A10B25" w:rsidRDefault="00A10B25">
            <w:pPr>
              <w:pStyle w:val="TAL"/>
              <w:rPr>
                <w:rFonts w:hint="eastAsia"/>
                <w:lang w:eastAsia="zh-CN"/>
              </w:rPr>
            </w:pPr>
            <w:r>
              <w:t>1..N</w:t>
            </w:r>
          </w:p>
        </w:tc>
        <w:tc>
          <w:tcPr>
            <w:tcW w:w="2410" w:type="dxa"/>
          </w:tcPr>
          <w:p w14:paraId="1C057F89" w14:textId="77777777" w:rsidR="00A10B25" w:rsidRDefault="00A10B25">
            <w:pPr>
              <w:pStyle w:val="TAL"/>
              <w:rPr>
                <w:lang w:eastAsia="ja-JP"/>
              </w:rPr>
            </w:pPr>
            <w:r>
              <w:rPr>
                <w:lang w:eastAsia="ja-JP"/>
              </w:rPr>
              <w:t>Processing instructions to be used for sending event notifications.</w:t>
            </w:r>
          </w:p>
          <w:p w14:paraId="19FA703B" w14:textId="77777777" w:rsidR="00A10B25" w:rsidRDefault="00A10B25">
            <w:pPr>
              <w:pStyle w:val="TAL"/>
              <w:rPr>
                <w:lang w:eastAsia="ja-JP"/>
              </w:rPr>
            </w:pPr>
            <w:r>
              <w:rPr>
                <w:lang w:eastAsia="ja-JP"/>
              </w:rPr>
              <w:t xml:space="preserve">This attribute may only be provided if the </w:t>
            </w:r>
            <w:r>
              <w:t>"</w:t>
            </w:r>
            <w:r>
              <w:rPr>
                <w:lang w:eastAsia="ja-JP"/>
              </w:rPr>
              <w:t>dataSub</w:t>
            </w:r>
            <w:r>
              <w:t>"</w:t>
            </w:r>
            <w:r>
              <w:rPr>
                <w:lang w:eastAsia="ja-JP"/>
              </w:rPr>
              <w:t xml:space="preserve"> attribute is provided.</w:t>
            </w:r>
            <w:r>
              <w:t xml:space="preserve"> (NOTE 4)</w:t>
            </w:r>
          </w:p>
        </w:tc>
        <w:tc>
          <w:tcPr>
            <w:tcW w:w="2410" w:type="dxa"/>
          </w:tcPr>
          <w:p w14:paraId="37B04985" w14:textId="77777777" w:rsidR="00A10B25" w:rsidRDefault="00A10B25">
            <w:pPr>
              <w:pStyle w:val="TAL"/>
              <w:rPr>
                <w:rFonts w:cs="Arial"/>
                <w:szCs w:val="18"/>
              </w:rPr>
            </w:pPr>
            <w:r>
              <w:rPr>
                <w:rFonts w:cs="Arial" w:hint="eastAsia"/>
                <w:szCs w:val="18"/>
                <w:lang w:eastAsia="zh-CN"/>
              </w:rPr>
              <w:t>Multi</w:t>
            </w:r>
            <w:r>
              <w:rPr>
                <w:lang w:val="en-US" w:eastAsia="zh-CN"/>
              </w:rPr>
              <w:t>ProcessingInstruction</w:t>
            </w:r>
          </w:p>
        </w:tc>
      </w:tr>
      <w:tr w:rsidR="00A10B25" w14:paraId="53AA9F2B" w14:textId="77777777">
        <w:trPr>
          <w:jc w:val="center"/>
        </w:trPr>
        <w:tc>
          <w:tcPr>
            <w:tcW w:w="1702" w:type="dxa"/>
          </w:tcPr>
          <w:p w14:paraId="2B2A7B7F" w14:textId="77777777" w:rsidR="00A10B25" w:rsidRDefault="00A10B25">
            <w:pPr>
              <w:pStyle w:val="TAL"/>
            </w:pPr>
            <w:r>
              <w:t>suppFeat</w:t>
            </w:r>
          </w:p>
        </w:tc>
        <w:tc>
          <w:tcPr>
            <w:tcW w:w="1444" w:type="dxa"/>
          </w:tcPr>
          <w:p w14:paraId="17D081B2" w14:textId="77777777" w:rsidR="00A10B25" w:rsidRDefault="00A10B25">
            <w:pPr>
              <w:pStyle w:val="TAL"/>
            </w:pPr>
            <w:r>
              <w:t>SupportedFeatures</w:t>
            </w:r>
          </w:p>
        </w:tc>
        <w:tc>
          <w:tcPr>
            <w:tcW w:w="425" w:type="dxa"/>
          </w:tcPr>
          <w:p w14:paraId="350C3E61" w14:textId="77777777" w:rsidR="00A10B25" w:rsidRDefault="00A10B25">
            <w:pPr>
              <w:pStyle w:val="TAC"/>
            </w:pPr>
            <w:r>
              <w:t>C</w:t>
            </w:r>
          </w:p>
        </w:tc>
        <w:tc>
          <w:tcPr>
            <w:tcW w:w="1134" w:type="dxa"/>
          </w:tcPr>
          <w:p w14:paraId="31C1CD9E" w14:textId="77777777" w:rsidR="00A10B25" w:rsidRDefault="00A10B25">
            <w:pPr>
              <w:pStyle w:val="TAL"/>
            </w:pPr>
            <w:r>
              <w:t>0..1</w:t>
            </w:r>
          </w:p>
        </w:tc>
        <w:tc>
          <w:tcPr>
            <w:tcW w:w="2410" w:type="dxa"/>
          </w:tcPr>
          <w:p w14:paraId="72F9F555" w14:textId="77777777" w:rsidR="00A10B25" w:rsidRDefault="00A10B25">
            <w:pPr>
              <w:pStyle w:val="TAL"/>
            </w:pPr>
            <w:r>
              <w:rPr>
                <w:rFonts w:cs="Arial"/>
                <w:szCs w:val="18"/>
                <w:lang w:eastAsia="zh-CN"/>
              </w:rPr>
              <w:t>This IE represents a l</w:t>
            </w:r>
            <w:r>
              <w:t>ist of Supported features as described in clause 5.3.8.</w:t>
            </w:r>
          </w:p>
          <w:p w14:paraId="7A45B8A5" w14:textId="77777777" w:rsidR="00A10B25" w:rsidRDefault="00A10B25">
            <w:pPr>
              <w:pStyle w:val="TAL"/>
            </w:pPr>
            <w:r>
              <w:t>(NOTE 5)</w:t>
            </w:r>
          </w:p>
        </w:tc>
        <w:tc>
          <w:tcPr>
            <w:tcW w:w="2410" w:type="dxa"/>
          </w:tcPr>
          <w:p w14:paraId="5FC996CA" w14:textId="77777777" w:rsidR="00A10B25" w:rsidRDefault="00A10B25">
            <w:pPr>
              <w:pStyle w:val="TAL"/>
              <w:rPr>
                <w:rFonts w:cs="Arial"/>
                <w:szCs w:val="18"/>
              </w:rPr>
            </w:pPr>
          </w:p>
        </w:tc>
      </w:tr>
      <w:tr w:rsidR="00A10B25" w14:paraId="3A8B3A15" w14:textId="77777777">
        <w:trPr>
          <w:jc w:val="center"/>
        </w:trPr>
        <w:tc>
          <w:tcPr>
            <w:tcW w:w="1702" w:type="dxa"/>
          </w:tcPr>
          <w:p w14:paraId="53A92204" w14:textId="77777777" w:rsidR="00A10B25" w:rsidRDefault="00A10B25">
            <w:pPr>
              <w:pStyle w:val="TAL"/>
              <w:rPr>
                <w:lang w:val="en-US" w:eastAsia="zh-CN"/>
              </w:rPr>
            </w:pPr>
            <w:r>
              <w:t>targetNfId</w:t>
            </w:r>
          </w:p>
        </w:tc>
        <w:tc>
          <w:tcPr>
            <w:tcW w:w="1444" w:type="dxa"/>
          </w:tcPr>
          <w:p w14:paraId="1A8AD4CA" w14:textId="77777777" w:rsidR="00A10B25" w:rsidRDefault="00A10B25">
            <w:pPr>
              <w:pStyle w:val="TAL"/>
              <w:rPr>
                <w:lang w:val="en-US" w:eastAsia="zh-CN"/>
              </w:rPr>
            </w:pPr>
            <w:r>
              <w:t>NfInstanceId</w:t>
            </w:r>
          </w:p>
        </w:tc>
        <w:tc>
          <w:tcPr>
            <w:tcW w:w="425" w:type="dxa"/>
          </w:tcPr>
          <w:p w14:paraId="5B11FAFC" w14:textId="77777777" w:rsidR="00A10B25" w:rsidRDefault="00A10B25">
            <w:pPr>
              <w:pStyle w:val="TAC"/>
            </w:pPr>
            <w:r>
              <w:t>O</w:t>
            </w:r>
          </w:p>
        </w:tc>
        <w:tc>
          <w:tcPr>
            <w:tcW w:w="1134" w:type="dxa"/>
          </w:tcPr>
          <w:p w14:paraId="5BD678D3" w14:textId="77777777" w:rsidR="00A10B25" w:rsidRDefault="00A10B25">
            <w:pPr>
              <w:pStyle w:val="TAL"/>
            </w:pPr>
            <w:r>
              <w:rPr>
                <w:lang w:val="el-GR"/>
              </w:rPr>
              <w:t>0..</w:t>
            </w:r>
            <w:r>
              <w:t>1</w:t>
            </w:r>
          </w:p>
        </w:tc>
        <w:tc>
          <w:tcPr>
            <w:tcW w:w="2410" w:type="dxa"/>
          </w:tcPr>
          <w:p w14:paraId="4DE62A57" w14:textId="77777777" w:rsidR="00A10B25" w:rsidRDefault="00A10B25">
            <w:pPr>
              <w:pStyle w:val="TAL"/>
            </w:pPr>
            <w:r>
              <w:t>NF instance identifier to which the NWDAF shall create the requested subscription. (NOTE 2)</w:t>
            </w:r>
          </w:p>
        </w:tc>
        <w:tc>
          <w:tcPr>
            <w:tcW w:w="2410" w:type="dxa"/>
          </w:tcPr>
          <w:p w14:paraId="11F336D5" w14:textId="77777777" w:rsidR="00A10B25" w:rsidRDefault="00A10B25">
            <w:pPr>
              <w:pStyle w:val="TAL"/>
              <w:rPr>
                <w:rFonts w:cs="Arial"/>
                <w:szCs w:val="18"/>
              </w:rPr>
            </w:pPr>
          </w:p>
        </w:tc>
      </w:tr>
      <w:tr w:rsidR="00A10B25" w14:paraId="465FC237" w14:textId="77777777">
        <w:trPr>
          <w:jc w:val="center"/>
        </w:trPr>
        <w:tc>
          <w:tcPr>
            <w:tcW w:w="1702" w:type="dxa"/>
          </w:tcPr>
          <w:p w14:paraId="0A401405" w14:textId="77777777" w:rsidR="00A10B25" w:rsidRDefault="00A10B25">
            <w:pPr>
              <w:pStyle w:val="TAL"/>
              <w:rPr>
                <w:lang w:val="en-US" w:eastAsia="zh-CN"/>
              </w:rPr>
            </w:pPr>
            <w:r>
              <w:t>targetNfSetId</w:t>
            </w:r>
          </w:p>
        </w:tc>
        <w:tc>
          <w:tcPr>
            <w:tcW w:w="1444" w:type="dxa"/>
          </w:tcPr>
          <w:p w14:paraId="574CB5DE" w14:textId="77777777" w:rsidR="00A10B25" w:rsidRDefault="00A10B25">
            <w:pPr>
              <w:pStyle w:val="TAL"/>
              <w:rPr>
                <w:lang w:val="en-US" w:eastAsia="zh-CN"/>
              </w:rPr>
            </w:pPr>
            <w:r>
              <w:t>NfSetId</w:t>
            </w:r>
          </w:p>
        </w:tc>
        <w:tc>
          <w:tcPr>
            <w:tcW w:w="425" w:type="dxa"/>
          </w:tcPr>
          <w:p w14:paraId="34E9EC60" w14:textId="77777777" w:rsidR="00A10B25" w:rsidRDefault="00A10B25">
            <w:pPr>
              <w:pStyle w:val="TAC"/>
            </w:pPr>
            <w:r>
              <w:t>O</w:t>
            </w:r>
          </w:p>
        </w:tc>
        <w:tc>
          <w:tcPr>
            <w:tcW w:w="1134" w:type="dxa"/>
          </w:tcPr>
          <w:p w14:paraId="0D1DF9D7" w14:textId="77777777" w:rsidR="00A10B25" w:rsidRDefault="00A10B25">
            <w:pPr>
              <w:pStyle w:val="TAL"/>
            </w:pPr>
            <w:r>
              <w:rPr>
                <w:lang w:val="el-GR"/>
              </w:rPr>
              <w:t>0..</w:t>
            </w:r>
            <w:r>
              <w:t>1</w:t>
            </w:r>
          </w:p>
        </w:tc>
        <w:tc>
          <w:tcPr>
            <w:tcW w:w="2410" w:type="dxa"/>
          </w:tcPr>
          <w:p w14:paraId="52067436" w14:textId="77777777" w:rsidR="00A10B25" w:rsidRDefault="00A10B25">
            <w:pPr>
              <w:pStyle w:val="TAL"/>
            </w:pPr>
            <w:r>
              <w:t>NF set identifier to which the NWDAF shall create the requested subscription. (NOTE 2)</w:t>
            </w:r>
          </w:p>
        </w:tc>
        <w:tc>
          <w:tcPr>
            <w:tcW w:w="2410" w:type="dxa"/>
          </w:tcPr>
          <w:p w14:paraId="5CA523EA" w14:textId="77777777" w:rsidR="00A10B25" w:rsidRDefault="00A10B25">
            <w:pPr>
              <w:pStyle w:val="TAL"/>
              <w:rPr>
                <w:rFonts w:cs="Arial"/>
                <w:szCs w:val="18"/>
              </w:rPr>
            </w:pPr>
          </w:p>
        </w:tc>
      </w:tr>
      <w:tr w:rsidR="00A10B25" w14:paraId="08F36E90" w14:textId="77777777">
        <w:trPr>
          <w:jc w:val="center"/>
        </w:trPr>
        <w:tc>
          <w:tcPr>
            <w:tcW w:w="1702" w:type="dxa"/>
          </w:tcPr>
          <w:p w14:paraId="62AA9BA2" w14:textId="77777777" w:rsidR="00A10B25" w:rsidRDefault="00A10B25">
            <w:pPr>
              <w:pStyle w:val="TAL"/>
            </w:pPr>
            <w:r>
              <w:rPr>
                <w:rFonts w:hint="eastAsia"/>
                <w:lang w:eastAsia="zh-CN"/>
              </w:rPr>
              <w:t>t</w:t>
            </w:r>
            <w:r>
              <w:rPr>
                <w:lang w:eastAsia="zh-CN"/>
              </w:rPr>
              <w:t>imePeriod</w:t>
            </w:r>
          </w:p>
        </w:tc>
        <w:tc>
          <w:tcPr>
            <w:tcW w:w="1444" w:type="dxa"/>
          </w:tcPr>
          <w:p w14:paraId="46218605" w14:textId="77777777" w:rsidR="00A10B25" w:rsidRDefault="00A10B25">
            <w:pPr>
              <w:pStyle w:val="TAL"/>
            </w:pPr>
            <w:r>
              <w:rPr>
                <w:rFonts w:hint="eastAsia"/>
                <w:lang w:eastAsia="zh-CN"/>
              </w:rPr>
              <w:t>T</w:t>
            </w:r>
            <w:r>
              <w:rPr>
                <w:lang w:eastAsia="zh-CN"/>
              </w:rPr>
              <w:t>imeWindow</w:t>
            </w:r>
          </w:p>
        </w:tc>
        <w:tc>
          <w:tcPr>
            <w:tcW w:w="425" w:type="dxa"/>
          </w:tcPr>
          <w:p w14:paraId="0F1F4470" w14:textId="77777777" w:rsidR="00A10B25" w:rsidRDefault="00A10B25">
            <w:pPr>
              <w:pStyle w:val="TAC"/>
            </w:pPr>
            <w:r>
              <w:rPr>
                <w:rFonts w:hint="eastAsia"/>
                <w:lang w:eastAsia="zh-CN"/>
              </w:rPr>
              <w:t>O</w:t>
            </w:r>
          </w:p>
        </w:tc>
        <w:tc>
          <w:tcPr>
            <w:tcW w:w="1134" w:type="dxa"/>
          </w:tcPr>
          <w:p w14:paraId="3D912F44" w14:textId="77777777" w:rsidR="00A10B25" w:rsidRDefault="00A10B25">
            <w:pPr>
              <w:pStyle w:val="TAL"/>
              <w:rPr>
                <w:lang w:val="el-GR"/>
              </w:rPr>
            </w:pPr>
            <w:r>
              <w:rPr>
                <w:rFonts w:hint="eastAsia"/>
                <w:lang w:val="el-GR" w:eastAsia="zh-CN"/>
              </w:rPr>
              <w:t>0</w:t>
            </w:r>
            <w:r>
              <w:rPr>
                <w:lang w:val="el-GR" w:eastAsia="zh-CN"/>
              </w:rPr>
              <w:t>..1</w:t>
            </w:r>
          </w:p>
        </w:tc>
        <w:tc>
          <w:tcPr>
            <w:tcW w:w="2410" w:type="dxa"/>
          </w:tcPr>
          <w:p w14:paraId="05CF0E7C" w14:textId="77777777" w:rsidR="00A10B25" w:rsidRDefault="00A10B25">
            <w:pPr>
              <w:pStyle w:val="TAL"/>
              <w:rPr>
                <w:lang w:eastAsia="zh-CN"/>
              </w:rPr>
            </w:pPr>
            <w:r>
              <w:rPr>
                <w:lang w:eastAsia="zh-CN"/>
              </w:rPr>
              <w:t>Represents a start time and a stop time during which data was collected or is requested</w:t>
            </w:r>
            <w:r>
              <w:rPr>
                <w:lang w:val="fr-FR" w:eastAsia="zh-CN"/>
              </w:rPr>
              <w:t xml:space="preserve"> </w:t>
            </w:r>
            <w:r>
              <w:rPr>
                <w:lang w:eastAsia="zh-CN"/>
              </w:rPr>
              <w:t>to be collected.</w:t>
            </w:r>
            <w:r>
              <w:t xml:space="preserve"> If this attribute is included, then the internal attributes of the data subscription that indicate a subscription duration (e.g. the "targetPeriod" attribute of an "eventSubs" attribute of an "smfDataSub" attribute, or the "monDur" attribute of the ReportingInformation data type) shall not be provided.</w:t>
            </w:r>
          </w:p>
          <w:p w14:paraId="736B6929" w14:textId="77777777" w:rsidR="00A10B25" w:rsidRDefault="00A10B25">
            <w:pPr>
              <w:pStyle w:val="TAL"/>
            </w:pPr>
            <w:r>
              <w:t>(NOTE 3)</w:t>
            </w:r>
          </w:p>
        </w:tc>
        <w:tc>
          <w:tcPr>
            <w:tcW w:w="2410" w:type="dxa"/>
          </w:tcPr>
          <w:p w14:paraId="7AAE39FC" w14:textId="77777777" w:rsidR="00A10B25" w:rsidRDefault="00A10B25">
            <w:pPr>
              <w:pStyle w:val="TAL"/>
              <w:rPr>
                <w:rFonts w:cs="Arial"/>
                <w:szCs w:val="18"/>
              </w:rPr>
            </w:pPr>
          </w:p>
        </w:tc>
      </w:tr>
      <w:tr w:rsidR="00A10B25" w14:paraId="28E673D0" w14:textId="77777777">
        <w:trPr>
          <w:trHeight w:val="90"/>
          <w:jc w:val="center"/>
        </w:trPr>
        <w:tc>
          <w:tcPr>
            <w:tcW w:w="1702" w:type="dxa"/>
          </w:tcPr>
          <w:p w14:paraId="7DE54115" w14:textId="77777777" w:rsidR="00A10B25" w:rsidRDefault="00A10B25">
            <w:pPr>
              <w:keepNext/>
              <w:keepLines/>
              <w:spacing w:after="0"/>
              <w:rPr>
                <w:rFonts w:hint="eastAsia"/>
                <w:lang w:eastAsia="zh-CN"/>
              </w:rPr>
            </w:pPr>
            <w:r>
              <w:rPr>
                <w:rFonts w:ascii="Arial" w:eastAsia="等线" w:hAnsi="Arial"/>
                <w:sz w:val="18"/>
                <w:lang w:eastAsia="zh-CN"/>
              </w:rPr>
              <w:lastRenderedPageBreak/>
              <w:t>immReport</w:t>
            </w:r>
          </w:p>
        </w:tc>
        <w:tc>
          <w:tcPr>
            <w:tcW w:w="1444" w:type="dxa"/>
          </w:tcPr>
          <w:p w14:paraId="5EFEBA5D" w14:textId="77777777" w:rsidR="00A10B25" w:rsidRDefault="00A10B25">
            <w:pPr>
              <w:keepNext/>
              <w:keepLines/>
              <w:spacing w:after="0"/>
              <w:rPr>
                <w:rFonts w:hint="eastAsia"/>
                <w:lang w:eastAsia="zh-CN"/>
              </w:rPr>
            </w:pPr>
            <w:r>
              <w:rPr>
                <w:rFonts w:ascii="Arial" w:eastAsia="等线" w:hAnsi="Arial"/>
                <w:sz w:val="18"/>
                <w:lang w:eastAsia="zh-CN"/>
              </w:rPr>
              <w:t>NnwdafDataManagementNotif</w:t>
            </w:r>
          </w:p>
        </w:tc>
        <w:tc>
          <w:tcPr>
            <w:tcW w:w="425" w:type="dxa"/>
          </w:tcPr>
          <w:p w14:paraId="6D4065D0" w14:textId="77777777" w:rsidR="00A10B25" w:rsidRDefault="00A10B25">
            <w:pPr>
              <w:keepNext/>
              <w:keepLines/>
              <w:spacing w:after="0"/>
              <w:jc w:val="center"/>
              <w:rPr>
                <w:rFonts w:hint="eastAsia"/>
                <w:lang w:eastAsia="zh-CN"/>
              </w:rPr>
            </w:pPr>
            <w:r>
              <w:rPr>
                <w:rFonts w:ascii="Arial" w:eastAsia="等线" w:hAnsi="Arial"/>
                <w:sz w:val="18"/>
                <w:lang w:eastAsia="zh-CN"/>
              </w:rPr>
              <w:t>O</w:t>
            </w:r>
          </w:p>
        </w:tc>
        <w:tc>
          <w:tcPr>
            <w:tcW w:w="1134" w:type="dxa"/>
          </w:tcPr>
          <w:p w14:paraId="5A8EC935" w14:textId="77777777" w:rsidR="00A10B25" w:rsidRDefault="00A10B25">
            <w:pPr>
              <w:keepNext/>
              <w:keepLines/>
              <w:spacing w:after="0"/>
              <w:rPr>
                <w:rFonts w:hint="eastAsia"/>
                <w:lang w:val="el-GR" w:eastAsia="zh-CN"/>
              </w:rPr>
            </w:pPr>
            <w:r>
              <w:rPr>
                <w:rFonts w:ascii="Arial" w:eastAsia="等线" w:hAnsi="Arial"/>
                <w:sz w:val="18"/>
                <w:lang w:eastAsia="zh-CN"/>
              </w:rPr>
              <w:t>0..1</w:t>
            </w:r>
          </w:p>
        </w:tc>
        <w:tc>
          <w:tcPr>
            <w:tcW w:w="2410" w:type="dxa"/>
          </w:tcPr>
          <w:p w14:paraId="32C9DEC8" w14:textId="77777777" w:rsidR="00A10B25" w:rsidRDefault="00A10B25">
            <w:pPr>
              <w:keepNext/>
              <w:keepLines/>
              <w:spacing w:after="0"/>
              <w:rPr>
                <w:rFonts w:ascii="Arial" w:eastAsia="等线" w:hAnsi="Arial"/>
                <w:sz w:val="18"/>
                <w:lang w:eastAsia="zh-CN"/>
              </w:rPr>
            </w:pPr>
            <w:r>
              <w:rPr>
                <w:rFonts w:ascii="Arial" w:eastAsia="等线" w:hAnsi="Arial"/>
                <w:sz w:val="18"/>
                <w:lang w:eastAsia="zh-CN"/>
              </w:rPr>
              <w:t>Immediate report including available NWDAF data management notification.</w:t>
            </w:r>
          </w:p>
          <w:p w14:paraId="0574610C" w14:textId="77777777" w:rsidR="00A10B25" w:rsidRDefault="00A10B25">
            <w:pPr>
              <w:keepNext/>
              <w:keepLines/>
              <w:spacing w:after="0"/>
            </w:pPr>
            <w:r>
              <w:rPr>
                <w:rFonts w:ascii="Arial" w:eastAsia="等线" w:hAnsi="Arial"/>
                <w:sz w:val="18"/>
                <w:lang w:eastAsia="zh-CN"/>
              </w:rPr>
              <w:t>May only be present in the response to a subscription request and only if the immediate reporting indication and formatting or processing instructions were included in the subscription request.</w:t>
            </w:r>
          </w:p>
        </w:tc>
        <w:tc>
          <w:tcPr>
            <w:tcW w:w="2410" w:type="dxa"/>
          </w:tcPr>
          <w:p w14:paraId="5CBBBA49" w14:textId="77777777" w:rsidR="00A10B25" w:rsidRDefault="00A10B25">
            <w:pPr>
              <w:keepNext/>
              <w:keepLines/>
              <w:spacing w:after="0"/>
              <w:rPr>
                <w:rFonts w:cs="Arial"/>
                <w:szCs w:val="18"/>
              </w:rPr>
            </w:pPr>
            <w:r>
              <w:rPr>
                <w:rFonts w:ascii="Arial" w:eastAsia="等线" w:hAnsi="Arial" w:cs="Arial"/>
                <w:sz w:val="18"/>
                <w:szCs w:val="18"/>
              </w:rPr>
              <w:t>DataAnaCollect</w:t>
            </w:r>
          </w:p>
        </w:tc>
      </w:tr>
      <w:tr w:rsidR="00A10B25" w14:paraId="7B8091E1" w14:textId="77777777">
        <w:trPr>
          <w:trHeight w:val="90"/>
          <w:jc w:val="center"/>
        </w:trPr>
        <w:tc>
          <w:tcPr>
            <w:tcW w:w="1702" w:type="dxa"/>
          </w:tcPr>
          <w:p w14:paraId="2BF5BE9E" w14:textId="77777777" w:rsidR="00A10B25" w:rsidRDefault="00A10B25">
            <w:pPr>
              <w:keepNext/>
              <w:keepLines/>
              <w:spacing w:after="0"/>
              <w:rPr>
                <w:rFonts w:ascii="Arial" w:eastAsia="等线" w:hAnsi="Arial"/>
                <w:sz w:val="18"/>
                <w:lang w:eastAsia="zh-CN"/>
              </w:rPr>
            </w:pPr>
            <w:r>
              <w:rPr>
                <w:rFonts w:ascii="Arial" w:eastAsia="等线" w:hAnsi="Arial"/>
                <w:sz w:val="18"/>
              </w:rPr>
              <w:t>storeHandl</w:t>
            </w:r>
          </w:p>
        </w:tc>
        <w:tc>
          <w:tcPr>
            <w:tcW w:w="1444" w:type="dxa"/>
          </w:tcPr>
          <w:p w14:paraId="0D9E74E4" w14:textId="77777777" w:rsidR="00A10B25" w:rsidRDefault="00A10B25">
            <w:pPr>
              <w:keepNext/>
              <w:keepLines/>
              <w:spacing w:after="0"/>
              <w:rPr>
                <w:rFonts w:ascii="Arial" w:eastAsia="等线" w:hAnsi="Arial"/>
                <w:sz w:val="18"/>
                <w:lang w:eastAsia="zh-CN"/>
              </w:rPr>
            </w:pPr>
            <w:r>
              <w:rPr>
                <w:rFonts w:ascii="Arial" w:eastAsia="等线" w:hAnsi="Arial"/>
                <w:sz w:val="18"/>
              </w:rPr>
              <w:t>StorageHandlingInformation</w:t>
            </w:r>
          </w:p>
        </w:tc>
        <w:tc>
          <w:tcPr>
            <w:tcW w:w="425" w:type="dxa"/>
          </w:tcPr>
          <w:p w14:paraId="12F6F8DE" w14:textId="77777777" w:rsidR="00A10B25" w:rsidRDefault="00A10B25">
            <w:pPr>
              <w:keepNext/>
              <w:keepLines/>
              <w:spacing w:after="0"/>
              <w:jc w:val="center"/>
              <w:rPr>
                <w:rFonts w:ascii="Arial" w:eastAsia="等线" w:hAnsi="Arial"/>
                <w:sz w:val="18"/>
                <w:lang w:eastAsia="zh-CN"/>
              </w:rPr>
            </w:pPr>
            <w:r>
              <w:rPr>
                <w:rFonts w:ascii="Arial" w:eastAsia="等线" w:hAnsi="Arial"/>
                <w:sz w:val="18"/>
              </w:rPr>
              <w:t>O</w:t>
            </w:r>
          </w:p>
        </w:tc>
        <w:tc>
          <w:tcPr>
            <w:tcW w:w="1134" w:type="dxa"/>
          </w:tcPr>
          <w:p w14:paraId="27B60C4E" w14:textId="77777777" w:rsidR="00A10B25" w:rsidRDefault="00A10B25">
            <w:pPr>
              <w:keepNext/>
              <w:keepLines/>
              <w:spacing w:after="0"/>
              <w:rPr>
                <w:rFonts w:ascii="Arial" w:eastAsia="等线" w:hAnsi="Arial"/>
                <w:sz w:val="18"/>
                <w:lang w:eastAsia="zh-CN"/>
              </w:rPr>
            </w:pPr>
            <w:r>
              <w:rPr>
                <w:rFonts w:ascii="Arial" w:eastAsia="等线" w:hAnsi="Arial"/>
                <w:sz w:val="18"/>
              </w:rPr>
              <w:t>0..1</w:t>
            </w:r>
          </w:p>
        </w:tc>
        <w:tc>
          <w:tcPr>
            <w:tcW w:w="2410" w:type="dxa"/>
          </w:tcPr>
          <w:p w14:paraId="0E02D3E5" w14:textId="77777777" w:rsidR="00A10B25" w:rsidRDefault="00A10B25">
            <w:pPr>
              <w:keepNext/>
              <w:keepLines/>
              <w:spacing w:after="0"/>
              <w:rPr>
                <w:rFonts w:ascii="Arial" w:eastAsia="等线" w:hAnsi="Arial"/>
                <w:sz w:val="18"/>
                <w:lang w:eastAsia="zh-CN"/>
              </w:rPr>
            </w:pPr>
            <w:r>
              <w:rPr>
                <w:rFonts w:ascii="Arial" w:eastAsia="等线" w:hAnsi="Arial"/>
                <w:sz w:val="18"/>
              </w:rPr>
              <w:t>Contains storage handling information for the data that will be collected and stored in an ADRF based on the requested subscription.</w:t>
            </w:r>
          </w:p>
        </w:tc>
        <w:tc>
          <w:tcPr>
            <w:tcW w:w="2410" w:type="dxa"/>
          </w:tcPr>
          <w:p w14:paraId="1D87BD94" w14:textId="77777777" w:rsidR="00A10B25" w:rsidRDefault="00A10B25">
            <w:pPr>
              <w:keepNext/>
              <w:keepLines/>
              <w:spacing w:after="0"/>
              <w:rPr>
                <w:rFonts w:ascii="Arial" w:eastAsia="等线" w:hAnsi="Arial" w:cs="Arial"/>
                <w:sz w:val="18"/>
                <w:szCs w:val="18"/>
              </w:rPr>
            </w:pPr>
            <w:r>
              <w:rPr>
                <w:rFonts w:ascii="Arial" w:eastAsia="等线" w:hAnsi="Arial" w:cs="Arial"/>
                <w:sz w:val="18"/>
                <w:szCs w:val="18"/>
              </w:rPr>
              <w:t>EnhDataMgmt</w:t>
            </w:r>
          </w:p>
        </w:tc>
      </w:tr>
      <w:tr w:rsidR="00A10B25" w14:paraId="1580A342" w14:textId="77777777">
        <w:trPr>
          <w:jc w:val="center"/>
        </w:trPr>
        <w:tc>
          <w:tcPr>
            <w:tcW w:w="9525" w:type="dxa"/>
            <w:gridSpan w:val="6"/>
          </w:tcPr>
          <w:p w14:paraId="0E697102" w14:textId="77777777" w:rsidR="00A10B25" w:rsidRDefault="00A10B25">
            <w:pPr>
              <w:pStyle w:val="TAL"/>
            </w:pPr>
            <w:r>
              <w:t>NOTE 1:</w:t>
            </w:r>
            <w:r>
              <w:tab/>
              <w:t>Exactly one of these attributes shall be provided.</w:t>
            </w:r>
          </w:p>
          <w:p w14:paraId="7E210E66" w14:textId="77777777" w:rsidR="00A10B25" w:rsidRDefault="00A10B25">
            <w:pPr>
              <w:pStyle w:val="TAN"/>
            </w:pPr>
            <w:r>
              <w:t>NOTE 2:</w:t>
            </w:r>
            <w:r>
              <w:tab/>
              <w:t>"targetNfId" and "targetNfSetId" are mutually exclusive. "adrfId" and "adrfSetId" are also mutually exclusive.</w:t>
            </w:r>
          </w:p>
          <w:p w14:paraId="5532537E" w14:textId="77777777" w:rsidR="00A10B25" w:rsidRDefault="00A10B25">
            <w:pPr>
              <w:pStyle w:val="TAN"/>
            </w:pPr>
            <w:r>
              <w:t>NOTE 3:</w:t>
            </w:r>
            <w:r>
              <w:tab/>
              <w:t>It includes the time period either in the past or in the future (i.e., start time as past time and stop time as future time is not allowed).</w:t>
            </w:r>
          </w:p>
          <w:p w14:paraId="06B9ED1B" w14:textId="77777777" w:rsidR="00A10B25" w:rsidRDefault="00A10B25">
            <w:pPr>
              <w:pStyle w:val="TAN"/>
              <w:rPr>
                <w:rFonts w:cs="Arial"/>
              </w:rPr>
            </w:pPr>
            <w:r>
              <w:t>NOTE 4:</w:t>
            </w:r>
            <w:r>
              <w:tab/>
              <w:t>The</w:t>
            </w:r>
            <w:r>
              <w:rPr>
                <w:rFonts w:cs="Arial"/>
                <w:lang w:eastAsia="ja-JP"/>
              </w:rPr>
              <w:t xml:space="preserve"> </w:t>
            </w:r>
            <w:r>
              <w:rPr>
                <w:rFonts w:cs="Arial"/>
              </w:rPr>
              <w:t>"</w:t>
            </w:r>
            <w:r>
              <w:rPr>
                <w:lang w:val="en-US" w:eastAsia="zh-CN"/>
              </w:rPr>
              <w:t>multiProcInstructs</w:t>
            </w:r>
            <w:r>
              <w:rPr>
                <w:lang w:eastAsia="zh-CN"/>
              </w:rPr>
              <w:t xml:space="preserve">" attribute shall be used instead of the </w:t>
            </w:r>
            <w:r>
              <w:rPr>
                <w:rFonts w:cs="Arial"/>
              </w:rPr>
              <w:t>"</w:t>
            </w:r>
            <w:r>
              <w:rPr>
                <w:lang w:val="en-US" w:eastAsia="zh-CN"/>
              </w:rPr>
              <w:t>procInstruct</w:t>
            </w:r>
            <w:r>
              <w:rPr>
                <w:lang w:eastAsia="zh-CN"/>
              </w:rPr>
              <w:t xml:space="preserve">" attribute when the </w:t>
            </w:r>
            <w:r>
              <w:rPr>
                <w:rFonts w:cs="Arial"/>
              </w:rPr>
              <w:t>"</w:t>
            </w:r>
            <w:r>
              <w:rPr>
                <w:rFonts w:cs="Arial" w:hint="eastAsia"/>
                <w:szCs w:val="18"/>
                <w:lang w:eastAsia="zh-CN"/>
              </w:rPr>
              <w:t>Multi</w:t>
            </w:r>
            <w:r>
              <w:rPr>
                <w:lang w:val="en-US" w:eastAsia="zh-CN"/>
              </w:rPr>
              <w:t>ProcessingInstruction</w:t>
            </w:r>
            <w:r>
              <w:rPr>
                <w:rFonts w:cs="Arial"/>
              </w:rPr>
              <w:t>" feature is supported.</w:t>
            </w:r>
          </w:p>
          <w:p w14:paraId="25C9E09A" w14:textId="77777777" w:rsidR="005E22F6" w:rsidRPr="00B40EF1" w:rsidRDefault="005E22F6" w:rsidP="005B3671">
            <w:pPr>
              <w:pStyle w:val="TAN"/>
            </w:pPr>
            <w:r>
              <w:t>NOTE 5:</w:t>
            </w:r>
            <w:r>
              <w:tab/>
            </w:r>
            <w:r w:rsidRPr="005B3671">
              <w:t>It</w:t>
            </w:r>
            <w:r w:rsidRPr="00854FB5">
              <w:t xml:space="preserve"> shall be present in the POST request if at least one feature defined in </w:t>
            </w:r>
            <w:r>
              <w:t>clause 5.3.8</w:t>
            </w:r>
            <w:r w:rsidRPr="00B40EF1">
              <w:t xml:space="preserve"> is supported, and i</w:t>
            </w:r>
            <w:r w:rsidRPr="005B3671">
              <w:t>t</w:t>
            </w:r>
            <w:r w:rsidRPr="00854FB5">
              <w:t xml:space="preserve"> shall be present </w:t>
            </w:r>
            <w:r>
              <w:t>in the POST response</w:t>
            </w:r>
            <w:r w:rsidRPr="00B40EF1">
              <w:t xml:space="preserve"> if the </w:t>
            </w:r>
            <w:r>
              <w:t>NF service consumer</w:t>
            </w:r>
            <w:r w:rsidRPr="00B40EF1">
              <w:t xml:space="preserve"> includes the </w:t>
            </w:r>
            <w:r>
              <w:t>"suppFeat" attribute</w:t>
            </w:r>
            <w:r w:rsidRPr="00B40EF1">
              <w:t xml:space="preserve"> in the POST request.</w:t>
            </w:r>
          </w:p>
          <w:p w14:paraId="4CBA4BD6" w14:textId="77777777" w:rsidR="00A10B25" w:rsidRDefault="00A10B25">
            <w:pPr>
              <w:pStyle w:val="TAN"/>
              <w:rPr>
                <w:rFonts w:cs="Arial"/>
                <w:szCs w:val="18"/>
                <w:lang w:eastAsia="zh-CN"/>
              </w:rPr>
            </w:pPr>
            <w:r>
              <w:t>NOTE 6:</w:t>
            </w:r>
            <w:r>
              <w:tab/>
            </w:r>
            <w:r>
              <w:rPr>
                <w:rFonts w:cs="Arial"/>
                <w:szCs w:val="18"/>
                <w:lang w:eastAsia="zh-CN"/>
              </w:rPr>
              <w:t>The event reporting information within the "dataSub" attribute (e.g. "eventsRepInfo" attribute in the case of AF events) may include muting instructions (e.g. within the "notifFlagInstruct" attribute in the case of AF events) and/or muting notifications settings (e.g. within the "mutingSetting" attribute in the case of AF events) only if the EnhDataMgmt feature is supported.</w:t>
            </w:r>
          </w:p>
          <w:p w14:paraId="21FC2D0E" w14:textId="77777777" w:rsidR="00991119" w:rsidRDefault="00A10B25" w:rsidP="00991119">
            <w:pPr>
              <w:pStyle w:val="TAN"/>
              <w:rPr>
                <w:rFonts w:cs="Arial"/>
                <w:szCs w:val="18"/>
              </w:rPr>
            </w:pPr>
            <w:r>
              <w:t>NOTE 7:</w:t>
            </w:r>
            <w:r>
              <w:tab/>
            </w:r>
            <w:r>
              <w:rPr>
                <w:rFonts w:cs="Arial"/>
                <w:szCs w:val="18"/>
                <w:lang w:eastAsia="zh-CN"/>
              </w:rPr>
              <w:t>The "upfDataSub" attribute within the "dataSub" attribute is applicable only if the "UpEvents" feature is supported</w:t>
            </w:r>
            <w:r>
              <w:rPr>
                <w:rFonts w:cs="Arial"/>
                <w:szCs w:val="18"/>
              </w:rPr>
              <w:t xml:space="preserve">. </w:t>
            </w:r>
            <w:r>
              <w:rPr>
                <w:rFonts w:cs="Arial"/>
                <w:szCs w:val="18"/>
                <w:lang w:eastAsia="zh-CN"/>
              </w:rPr>
              <w:t>The "gmlcDataSub" attribute within the "dataSub" attribute is applicable only if the "LocEvents" feature is supported</w:t>
            </w:r>
            <w:r>
              <w:rPr>
                <w:rFonts w:cs="Arial"/>
                <w:szCs w:val="18"/>
              </w:rPr>
              <w:t>.</w:t>
            </w:r>
          </w:p>
          <w:p w14:paraId="62594388" w14:textId="77777777" w:rsidR="00A10B25" w:rsidRDefault="00991119" w:rsidP="00991119">
            <w:pPr>
              <w:pStyle w:val="TAN"/>
            </w:pPr>
            <w:r>
              <w:t>NOTE 8:</w:t>
            </w:r>
            <w:r>
              <w:tab/>
              <w:t>The "notificURI" attribute does not respect the related naming convention (i.e., "lowerCamel") defined</w:t>
            </w:r>
            <w:r w:rsidRPr="00C11AB2">
              <w:t xml:space="preserve"> in </w:t>
            </w:r>
            <w:r>
              <w:t xml:space="preserve">clause 5.1.4 of </w:t>
            </w:r>
            <w:r>
              <w:rPr>
                <w:lang w:eastAsia="zh-CN"/>
              </w:rPr>
              <w:t>3GPP TS 29.501 [7]</w:t>
            </w:r>
            <w:r>
              <w:t xml:space="preserve">. </w:t>
            </w:r>
            <w:r w:rsidRPr="00FC0827">
              <w:t>Th</w:t>
            </w:r>
            <w:r>
              <w:t>is</w:t>
            </w:r>
            <w:r w:rsidRPr="00FC0827">
              <w:t xml:space="preserve"> </w:t>
            </w:r>
            <w:r>
              <w:t xml:space="preserve">attribute </w:t>
            </w:r>
            <w:r w:rsidRPr="00FC0827">
              <w:t xml:space="preserve">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tbl>
    <w:p w14:paraId="0303CF35" w14:textId="77777777" w:rsidR="00A10B25" w:rsidRDefault="00A10B25">
      <w:pPr>
        <w:rPr>
          <w:lang w:val="en-US" w:eastAsia="zh-CN"/>
        </w:rPr>
      </w:pPr>
    </w:p>
    <w:p w14:paraId="4430C885" w14:textId="77777777" w:rsidR="00D654A6" w:rsidRDefault="00D654A6" w:rsidP="00D654A6">
      <w:pPr>
        <w:pStyle w:val="5"/>
      </w:pPr>
      <w:bookmarkStart w:id="12529" w:name="_Toc148522838"/>
      <w:bookmarkStart w:id="12530" w:name="_Toc144490234"/>
      <w:bookmarkStart w:id="12531" w:name="_Toc136562598"/>
      <w:bookmarkStart w:id="12532" w:name="_Toc138754432"/>
      <w:bookmarkStart w:id="12533" w:name="_Toc112951319"/>
      <w:bookmarkStart w:id="12534" w:name="_Toc145705927"/>
      <w:bookmarkStart w:id="12535" w:name="_Toc148522837"/>
      <w:bookmarkStart w:id="12536" w:name="_Toc104539196"/>
      <w:bookmarkStart w:id="12537" w:name="_Toc114133998"/>
      <w:bookmarkStart w:id="12538" w:name="_Toc113031859"/>
      <w:bookmarkStart w:id="12539" w:name="_Toc120702499"/>
      <w:bookmarkStart w:id="12540" w:name="_Toc164921025"/>
      <w:bookmarkStart w:id="12541" w:name="_Toc170120567"/>
      <w:bookmarkStart w:id="12542" w:name="_Toc175858812"/>
      <w:bookmarkStart w:id="12543" w:name="_Toc175859885"/>
      <w:bookmarkStart w:id="12544" w:name="_Toc180606175"/>
      <w:bookmarkStart w:id="12545" w:name="_Toc185517436"/>
      <w:bookmarkStart w:id="12546" w:name="_Toc191576488"/>
      <w:bookmarkStart w:id="12547" w:name="_Toc191577228"/>
      <w:bookmarkStart w:id="12548" w:name="_Toc192880298"/>
      <w:bookmarkStart w:id="12549" w:name="_Toc195815187"/>
      <w:bookmarkStart w:id="12550" w:name="_Toc199453154"/>
      <w:r>
        <w:lastRenderedPageBreak/>
        <w:t>5.3.6.2.3</w:t>
      </w:r>
      <w:r>
        <w:tab/>
        <w:t xml:space="preserve">Type </w:t>
      </w:r>
      <w:r>
        <w:rPr>
          <w:rFonts w:eastAsia="等线"/>
        </w:rPr>
        <w:t>NnwdafDataManagementNotif</w:t>
      </w:r>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p>
    <w:p w14:paraId="1E896CDD" w14:textId="77777777" w:rsidR="00D654A6" w:rsidRDefault="00D654A6" w:rsidP="00D654A6">
      <w:pPr>
        <w:pStyle w:val="TH"/>
        <w:overflowPunct w:val="0"/>
        <w:autoSpaceDE w:val="0"/>
        <w:autoSpaceDN w:val="0"/>
        <w:adjustRightInd w:val="0"/>
        <w:textAlignment w:val="baseline"/>
        <w:rPr>
          <w:rFonts w:eastAsia="MS Mincho"/>
        </w:rPr>
      </w:pPr>
      <w:r>
        <w:rPr>
          <w:rFonts w:eastAsia="MS Mincho"/>
        </w:rPr>
        <w:t xml:space="preserve">Table 5.3.6.2.3-1: Definition of type </w:t>
      </w:r>
      <w:r>
        <w:rPr>
          <w:rFonts w:eastAsia="等线"/>
        </w:rPr>
        <w:t>NnwdafDataManagementNotif</w:t>
      </w:r>
    </w:p>
    <w:tbl>
      <w:tblPr>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D654A6" w14:paraId="74036F7C"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tcPr>
          <w:p w14:paraId="19221CE6" w14:textId="77777777" w:rsidR="00D654A6" w:rsidRDefault="00D654A6" w:rsidP="005A20DD">
            <w:pPr>
              <w:pStyle w:val="TAH"/>
            </w:pPr>
            <w:r>
              <w:t>Attribute name</w:t>
            </w:r>
          </w:p>
        </w:tc>
        <w:tc>
          <w:tcPr>
            <w:tcW w:w="1444" w:type="dxa"/>
            <w:tcBorders>
              <w:top w:val="single" w:sz="6" w:space="0" w:color="auto"/>
              <w:left w:val="single" w:sz="6" w:space="0" w:color="auto"/>
              <w:bottom w:val="single" w:sz="6" w:space="0" w:color="auto"/>
              <w:right w:val="single" w:sz="6" w:space="0" w:color="auto"/>
            </w:tcBorders>
            <w:shd w:val="clear" w:color="auto" w:fill="C0C0C0"/>
          </w:tcPr>
          <w:p w14:paraId="4CBB6963" w14:textId="77777777" w:rsidR="00D654A6" w:rsidRDefault="00D654A6" w:rsidP="005A20DD">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CC6DFE5" w14:textId="77777777" w:rsidR="00D654A6" w:rsidRDefault="00D654A6" w:rsidP="005A20DD">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0488215F" w14:textId="77777777" w:rsidR="00D654A6" w:rsidRDefault="00D654A6" w:rsidP="005A20DD">
            <w:pPr>
              <w:pStyle w:val="TAH"/>
              <w:jc w:val="left"/>
            </w:pPr>
            <w:r>
              <w:t>Cardinality</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7574F06E" w14:textId="77777777" w:rsidR="00D654A6" w:rsidRDefault="00D654A6" w:rsidP="005A20DD">
            <w:pPr>
              <w:pStyle w:val="TAH"/>
              <w:rPr>
                <w:rFonts w:cs="Arial"/>
                <w:szCs w:val="18"/>
              </w:rPr>
            </w:pPr>
            <w:r>
              <w:rPr>
                <w:rFonts w:cs="Arial"/>
                <w:szCs w:val="18"/>
              </w:rPr>
              <w:t>Description</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2238B1A3" w14:textId="77777777" w:rsidR="00D654A6" w:rsidRDefault="00D654A6" w:rsidP="005A20DD">
            <w:pPr>
              <w:pStyle w:val="TAH"/>
              <w:rPr>
                <w:rFonts w:cs="Arial"/>
                <w:szCs w:val="18"/>
              </w:rPr>
            </w:pPr>
            <w:r>
              <w:rPr>
                <w:rFonts w:cs="Arial"/>
                <w:szCs w:val="18"/>
              </w:rPr>
              <w:t>Applicability</w:t>
            </w:r>
          </w:p>
        </w:tc>
      </w:tr>
      <w:tr w:rsidR="00D654A6" w14:paraId="19282433"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42D8EDDE" w14:textId="77777777" w:rsidR="00D654A6" w:rsidRDefault="00D654A6" w:rsidP="005A20DD">
            <w:pPr>
              <w:pStyle w:val="TAL"/>
              <w:rPr>
                <w:lang w:eastAsia="zh-CN"/>
              </w:rPr>
            </w:pPr>
            <w:r>
              <w:rPr>
                <w:lang w:eastAsia="zh-CN"/>
              </w:rPr>
              <w:t>dataNotification</w:t>
            </w:r>
          </w:p>
        </w:tc>
        <w:tc>
          <w:tcPr>
            <w:tcW w:w="1444" w:type="dxa"/>
            <w:tcBorders>
              <w:top w:val="single" w:sz="6" w:space="0" w:color="auto"/>
              <w:left w:val="single" w:sz="6" w:space="0" w:color="auto"/>
              <w:bottom w:val="single" w:sz="6" w:space="0" w:color="auto"/>
              <w:right w:val="single" w:sz="6" w:space="0" w:color="auto"/>
            </w:tcBorders>
          </w:tcPr>
          <w:p w14:paraId="172A4760" w14:textId="77777777" w:rsidR="00D654A6" w:rsidRDefault="00D654A6" w:rsidP="005A20DD">
            <w:pPr>
              <w:pStyle w:val="TAL"/>
              <w:rPr>
                <w:lang w:val="en-US" w:eastAsia="zh-CN"/>
              </w:rPr>
            </w:pPr>
            <w:r>
              <w:t>DataNotification</w:t>
            </w:r>
          </w:p>
        </w:tc>
        <w:tc>
          <w:tcPr>
            <w:tcW w:w="425" w:type="dxa"/>
            <w:tcBorders>
              <w:top w:val="single" w:sz="6" w:space="0" w:color="auto"/>
              <w:left w:val="single" w:sz="6" w:space="0" w:color="auto"/>
              <w:bottom w:val="single" w:sz="6" w:space="0" w:color="auto"/>
              <w:right w:val="single" w:sz="6" w:space="0" w:color="auto"/>
            </w:tcBorders>
          </w:tcPr>
          <w:p w14:paraId="4C00ECAA" w14:textId="77777777" w:rsidR="00D654A6" w:rsidRDefault="00D654A6" w:rsidP="005A20DD">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A8417D6" w14:textId="77777777" w:rsidR="00D654A6" w:rsidRDefault="00D654A6" w:rsidP="005A20DD">
            <w:pPr>
              <w:pStyle w:val="TAL"/>
              <w:rPr>
                <w:lang w:eastAsia="zh-CN"/>
              </w:rPr>
            </w:pPr>
            <w:r>
              <w:rPr>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18936408" w14:textId="77777777" w:rsidR="00D654A6" w:rsidRDefault="00D654A6" w:rsidP="005A20DD">
            <w:pPr>
              <w:pStyle w:val="TAL"/>
            </w:pPr>
            <w:r>
              <w:t xml:space="preserve">List of </w:t>
            </w:r>
            <w:r>
              <w:rPr>
                <w:lang w:eastAsia="zh-CN"/>
              </w:rPr>
              <w:t>data</w:t>
            </w:r>
            <w:r>
              <w:t xml:space="preserve"> subscription notifications.</w:t>
            </w:r>
          </w:p>
          <w:p w14:paraId="697140F9" w14:textId="77777777" w:rsidR="00D654A6" w:rsidRDefault="00D654A6" w:rsidP="005A20DD">
            <w:pPr>
              <w:pStyle w:val="TAL"/>
            </w:pPr>
            <w:r>
              <w:t>(NOTE</w:t>
            </w:r>
            <w:r>
              <w:rPr>
                <w:rFonts w:cs="Arial"/>
                <w:szCs w:val="18"/>
                <w:lang w:val="en-US"/>
              </w:rPr>
              <w:t xml:space="preserve"> 1, </w:t>
            </w:r>
            <w:r>
              <w:t>NOTE</w:t>
            </w:r>
            <w:r>
              <w:rPr>
                <w:rFonts w:cs="Arial"/>
                <w:szCs w:val="18"/>
                <w:lang w:val="en-US"/>
              </w:rPr>
              <w:t> 3</w:t>
            </w:r>
            <w:r>
              <w:t>, NOTE 4)</w:t>
            </w:r>
          </w:p>
        </w:tc>
        <w:tc>
          <w:tcPr>
            <w:tcW w:w="2410" w:type="dxa"/>
            <w:tcBorders>
              <w:top w:val="single" w:sz="6" w:space="0" w:color="auto"/>
              <w:left w:val="single" w:sz="6" w:space="0" w:color="auto"/>
              <w:bottom w:val="single" w:sz="6" w:space="0" w:color="auto"/>
              <w:right w:val="single" w:sz="6" w:space="0" w:color="auto"/>
            </w:tcBorders>
          </w:tcPr>
          <w:p w14:paraId="38D687E5" w14:textId="77777777" w:rsidR="00D654A6" w:rsidRDefault="00D654A6" w:rsidP="005A20DD">
            <w:pPr>
              <w:pStyle w:val="TAL"/>
              <w:rPr>
                <w:rFonts w:cs="Arial"/>
                <w:szCs w:val="18"/>
              </w:rPr>
            </w:pPr>
          </w:p>
        </w:tc>
      </w:tr>
      <w:tr w:rsidR="00D654A6" w14:paraId="5656505D"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3401815C" w14:textId="77777777" w:rsidR="00D654A6" w:rsidRDefault="00D654A6" w:rsidP="005A20DD">
            <w:pPr>
              <w:pStyle w:val="TAL"/>
              <w:rPr>
                <w:lang w:eastAsia="zh-CN"/>
              </w:rPr>
            </w:pPr>
            <w:r>
              <w:rPr>
                <w:lang w:eastAsia="zh-CN"/>
              </w:rPr>
              <w:t>dataReports</w:t>
            </w:r>
          </w:p>
        </w:tc>
        <w:tc>
          <w:tcPr>
            <w:tcW w:w="1444" w:type="dxa"/>
            <w:tcBorders>
              <w:top w:val="single" w:sz="6" w:space="0" w:color="auto"/>
              <w:left w:val="single" w:sz="6" w:space="0" w:color="auto"/>
              <w:bottom w:val="single" w:sz="6" w:space="0" w:color="auto"/>
              <w:right w:val="single" w:sz="6" w:space="0" w:color="auto"/>
            </w:tcBorders>
          </w:tcPr>
          <w:p w14:paraId="38CC6F2E" w14:textId="77777777" w:rsidR="00D654A6" w:rsidRDefault="00D654A6" w:rsidP="005A20DD">
            <w:pPr>
              <w:pStyle w:val="TAL"/>
            </w:pPr>
            <w:r>
              <w:t>array(NotifSummaryReport)</w:t>
            </w:r>
          </w:p>
        </w:tc>
        <w:tc>
          <w:tcPr>
            <w:tcW w:w="425" w:type="dxa"/>
            <w:tcBorders>
              <w:top w:val="single" w:sz="6" w:space="0" w:color="auto"/>
              <w:left w:val="single" w:sz="6" w:space="0" w:color="auto"/>
              <w:bottom w:val="single" w:sz="6" w:space="0" w:color="auto"/>
              <w:right w:val="single" w:sz="6" w:space="0" w:color="auto"/>
            </w:tcBorders>
          </w:tcPr>
          <w:p w14:paraId="15D1F980" w14:textId="77777777" w:rsidR="00D654A6" w:rsidRDefault="00D654A6" w:rsidP="005A20DD">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35D6969" w14:textId="77777777" w:rsidR="00D654A6" w:rsidRDefault="00D654A6" w:rsidP="005A20DD">
            <w:pPr>
              <w:pStyle w:val="TAL"/>
              <w:rPr>
                <w:lang w:eastAsia="zh-CN"/>
              </w:rPr>
            </w:pPr>
            <w:r>
              <w:rPr>
                <w:lang w:eastAsia="zh-CN"/>
              </w:rPr>
              <w:t>1..N</w:t>
            </w:r>
          </w:p>
        </w:tc>
        <w:tc>
          <w:tcPr>
            <w:tcW w:w="2410" w:type="dxa"/>
            <w:tcBorders>
              <w:top w:val="single" w:sz="6" w:space="0" w:color="auto"/>
              <w:left w:val="single" w:sz="6" w:space="0" w:color="auto"/>
              <w:bottom w:val="single" w:sz="6" w:space="0" w:color="auto"/>
              <w:right w:val="single" w:sz="6" w:space="0" w:color="auto"/>
            </w:tcBorders>
          </w:tcPr>
          <w:p w14:paraId="21A1A6AE" w14:textId="77777777" w:rsidR="00D654A6" w:rsidRDefault="00D654A6" w:rsidP="005A20DD">
            <w:pPr>
              <w:pStyle w:val="TAL"/>
            </w:pPr>
            <w:r>
              <w:rPr>
                <w:rFonts w:cs="Arial"/>
                <w:szCs w:val="18"/>
              </w:rPr>
              <w:t>List of reports with summarized data from multiple notifications received from data producer</w:t>
            </w:r>
            <w:r>
              <w:t>. (NOTE 1) (NOTE 2)</w:t>
            </w:r>
          </w:p>
        </w:tc>
        <w:tc>
          <w:tcPr>
            <w:tcW w:w="2410" w:type="dxa"/>
            <w:tcBorders>
              <w:top w:val="single" w:sz="6" w:space="0" w:color="auto"/>
              <w:left w:val="single" w:sz="6" w:space="0" w:color="auto"/>
              <w:bottom w:val="single" w:sz="6" w:space="0" w:color="auto"/>
              <w:right w:val="single" w:sz="6" w:space="0" w:color="auto"/>
            </w:tcBorders>
          </w:tcPr>
          <w:p w14:paraId="51842A44" w14:textId="77777777" w:rsidR="00D654A6" w:rsidRDefault="00D654A6" w:rsidP="005A20DD">
            <w:pPr>
              <w:pStyle w:val="TAL"/>
              <w:rPr>
                <w:rFonts w:cs="Arial"/>
                <w:szCs w:val="18"/>
              </w:rPr>
            </w:pPr>
          </w:p>
        </w:tc>
      </w:tr>
      <w:tr w:rsidR="00D654A6" w14:paraId="0D42CCE4"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4855DB92" w14:textId="77777777" w:rsidR="00D654A6" w:rsidRDefault="00D654A6" w:rsidP="005A20DD">
            <w:pPr>
              <w:pStyle w:val="TAL"/>
              <w:rPr>
                <w:lang w:eastAsia="zh-CN"/>
              </w:rPr>
            </w:pPr>
            <w:r>
              <w:rPr>
                <w:rFonts w:eastAsia="等线"/>
                <w:lang w:val="en-US" w:eastAsia="zh-CN"/>
              </w:rPr>
              <w:t>delAlert</w:t>
            </w:r>
          </w:p>
        </w:tc>
        <w:tc>
          <w:tcPr>
            <w:tcW w:w="1444" w:type="dxa"/>
            <w:tcBorders>
              <w:top w:val="single" w:sz="6" w:space="0" w:color="auto"/>
              <w:left w:val="single" w:sz="6" w:space="0" w:color="auto"/>
              <w:bottom w:val="single" w:sz="6" w:space="0" w:color="auto"/>
              <w:right w:val="single" w:sz="6" w:space="0" w:color="auto"/>
            </w:tcBorders>
          </w:tcPr>
          <w:p w14:paraId="20D55D70" w14:textId="77777777" w:rsidR="00D654A6" w:rsidRDefault="00D654A6" w:rsidP="005A20DD">
            <w:pPr>
              <w:pStyle w:val="TAL"/>
            </w:pPr>
            <w:r>
              <w:rPr>
                <w:rFonts w:eastAsia="等线"/>
                <w:lang w:val="en-US" w:eastAsia="zh-CN"/>
              </w:rPr>
              <w:t>DeletionAlert</w:t>
            </w:r>
          </w:p>
        </w:tc>
        <w:tc>
          <w:tcPr>
            <w:tcW w:w="425" w:type="dxa"/>
            <w:tcBorders>
              <w:top w:val="single" w:sz="6" w:space="0" w:color="auto"/>
              <w:left w:val="single" w:sz="6" w:space="0" w:color="auto"/>
              <w:bottom w:val="single" w:sz="6" w:space="0" w:color="auto"/>
              <w:right w:val="single" w:sz="6" w:space="0" w:color="auto"/>
            </w:tcBorders>
          </w:tcPr>
          <w:p w14:paraId="346E4CA8" w14:textId="77777777" w:rsidR="00D654A6" w:rsidRDefault="00D654A6" w:rsidP="005A20DD">
            <w:pPr>
              <w:pStyle w:val="TAC"/>
              <w:rPr>
                <w:lang w:eastAsia="zh-CN"/>
              </w:rPr>
            </w:pPr>
            <w:r>
              <w:rPr>
                <w:rFonts w:eastAsia="等线"/>
                <w:lang w:val="en-US" w:eastAsia="zh-CN"/>
              </w:rPr>
              <w:t>C</w:t>
            </w:r>
          </w:p>
        </w:tc>
        <w:tc>
          <w:tcPr>
            <w:tcW w:w="1134" w:type="dxa"/>
            <w:tcBorders>
              <w:top w:val="single" w:sz="6" w:space="0" w:color="auto"/>
              <w:left w:val="single" w:sz="6" w:space="0" w:color="auto"/>
              <w:bottom w:val="single" w:sz="6" w:space="0" w:color="auto"/>
              <w:right w:val="single" w:sz="6" w:space="0" w:color="auto"/>
            </w:tcBorders>
          </w:tcPr>
          <w:p w14:paraId="067FA100" w14:textId="77777777" w:rsidR="00D654A6" w:rsidRDefault="00D654A6" w:rsidP="005A20DD">
            <w:pPr>
              <w:pStyle w:val="TAL"/>
              <w:rPr>
                <w:lang w:eastAsia="zh-CN"/>
              </w:rPr>
            </w:pPr>
            <w:r>
              <w:rPr>
                <w:rFonts w:eastAsia="等线"/>
                <w:lang w:val="en-US" w:eastAsia="zh-CN"/>
              </w:rPr>
              <w:t>0..1</w:t>
            </w:r>
          </w:p>
        </w:tc>
        <w:tc>
          <w:tcPr>
            <w:tcW w:w="2410" w:type="dxa"/>
            <w:tcBorders>
              <w:top w:val="single" w:sz="6" w:space="0" w:color="auto"/>
              <w:left w:val="single" w:sz="6" w:space="0" w:color="auto"/>
              <w:bottom w:val="single" w:sz="6" w:space="0" w:color="auto"/>
              <w:right w:val="single" w:sz="6" w:space="0" w:color="auto"/>
            </w:tcBorders>
          </w:tcPr>
          <w:p w14:paraId="695039EA" w14:textId="77777777" w:rsidR="00D654A6" w:rsidRDefault="00D654A6" w:rsidP="005A20DD">
            <w:pPr>
              <w:pStyle w:val="TAL"/>
              <w:rPr>
                <w:rFonts w:cs="Arial"/>
                <w:szCs w:val="18"/>
              </w:rPr>
            </w:pPr>
            <w:r>
              <w:rPr>
                <w:rFonts w:eastAsia="等线"/>
              </w:rPr>
              <w:t xml:space="preserve">Information about data that is about to be deleted. </w:t>
            </w:r>
            <w:r>
              <w:rPr>
                <w:lang w:eastAsia="ja-JP"/>
              </w:rPr>
              <w:t xml:space="preserve"> </w:t>
            </w:r>
            <w:r>
              <w:t>This attribute may not be present in the response of a Fetch request</w:t>
            </w:r>
            <w:r>
              <w:rPr>
                <w:lang w:eastAsia="ja-JP"/>
              </w:rPr>
              <w:t xml:space="preserve">. </w:t>
            </w:r>
            <w:r>
              <w:rPr>
                <w:rFonts w:eastAsia="等线"/>
              </w:rPr>
              <w:t>(NOTE 1)</w:t>
            </w:r>
          </w:p>
        </w:tc>
        <w:tc>
          <w:tcPr>
            <w:tcW w:w="2410" w:type="dxa"/>
            <w:tcBorders>
              <w:top w:val="single" w:sz="6" w:space="0" w:color="auto"/>
              <w:left w:val="single" w:sz="6" w:space="0" w:color="auto"/>
              <w:bottom w:val="single" w:sz="6" w:space="0" w:color="auto"/>
              <w:right w:val="single" w:sz="6" w:space="0" w:color="auto"/>
            </w:tcBorders>
          </w:tcPr>
          <w:p w14:paraId="45CAB9B2" w14:textId="77777777" w:rsidR="00D654A6" w:rsidRDefault="00D654A6" w:rsidP="005A20DD">
            <w:pPr>
              <w:pStyle w:val="TAL"/>
              <w:rPr>
                <w:rFonts w:cs="Arial"/>
                <w:szCs w:val="18"/>
              </w:rPr>
            </w:pPr>
            <w:r>
              <w:rPr>
                <w:rFonts w:eastAsia="等线" w:cs="Arial"/>
                <w:szCs w:val="18"/>
              </w:rPr>
              <w:t>EnhDataMgmt</w:t>
            </w:r>
          </w:p>
        </w:tc>
      </w:tr>
      <w:tr w:rsidR="00D654A6" w14:paraId="77FB1438"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56BAF788" w14:textId="77777777" w:rsidR="00D654A6" w:rsidRDefault="00D654A6" w:rsidP="005A20DD">
            <w:pPr>
              <w:pStyle w:val="TAL"/>
            </w:pPr>
            <w:r>
              <w:t>notifCorrId</w:t>
            </w:r>
          </w:p>
        </w:tc>
        <w:tc>
          <w:tcPr>
            <w:tcW w:w="1444" w:type="dxa"/>
            <w:tcBorders>
              <w:top w:val="single" w:sz="6" w:space="0" w:color="auto"/>
              <w:left w:val="single" w:sz="6" w:space="0" w:color="auto"/>
              <w:bottom w:val="single" w:sz="6" w:space="0" w:color="auto"/>
              <w:right w:val="single" w:sz="6" w:space="0" w:color="auto"/>
            </w:tcBorders>
          </w:tcPr>
          <w:p w14:paraId="5DB6F8CB" w14:textId="77777777" w:rsidR="00D654A6" w:rsidRDefault="00D654A6" w:rsidP="005A20DD">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F735C29" w14:textId="77777777" w:rsidR="00D654A6" w:rsidRDefault="00D654A6" w:rsidP="005A20DD">
            <w:pPr>
              <w:pStyle w:val="TAC"/>
              <w:rPr>
                <w:lang w:eastAsia="zh-CN"/>
              </w:rPr>
            </w:pPr>
            <w:r>
              <w:t>M</w:t>
            </w:r>
          </w:p>
        </w:tc>
        <w:tc>
          <w:tcPr>
            <w:tcW w:w="1134" w:type="dxa"/>
            <w:tcBorders>
              <w:top w:val="single" w:sz="6" w:space="0" w:color="auto"/>
              <w:left w:val="single" w:sz="6" w:space="0" w:color="auto"/>
              <w:bottom w:val="single" w:sz="6" w:space="0" w:color="auto"/>
              <w:right w:val="single" w:sz="6" w:space="0" w:color="auto"/>
            </w:tcBorders>
          </w:tcPr>
          <w:p w14:paraId="17A377A0" w14:textId="77777777" w:rsidR="00D654A6" w:rsidRDefault="00D654A6" w:rsidP="005A20DD">
            <w:pPr>
              <w:pStyle w:val="TAL"/>
            </w:pPr>
            <w:r>
              <w:t>1</w:t>
            </w:r>
          </w:p>
        </w:tc>
        <w:tc>
          <w:tcPr>
            <w:tcW w:w="2410" w:type="dxa"/>
            <w:tcBorders>
              <w:top w:val="single" w:sz="6" w:space="0" w:color="auto"/>
              <w:left w:val="single" w:sz="6" w:space="0" w:color="auto"/>
              <w:bottom w:val="single" w:sz="6" w:space="0" w:color="auto"/>
              <w:right w:val="single" w:sz="6" w:space="0" w:color="auto"/>
            </w:tcBorders>
          </w:tcPr>
          <w:p w14:paraId="7530E9B9" w14:textId="77777777" w:rsidR="00D654A6" w:rsidRDefault="00D654A6" w:rsidP="005A20DD">
            <w:pPr>
              <w:pStyle w:val="TAL"/>
            </w:pPr>
            <w:r>
              <w:t>Notification correlation identifier.</w:t>
            </w:r>
          </w:p>
        </w:tc>
        <w:tc>
          <w:tcPr>
            <w:tcW w:w="2410" w:type="dxa"/>
            <w:tcBorders>
              <w:top w:val="single" w:sz="6" w:space="0" w:color="auto"/>
              <w:left w:val="single" w:sz="6" w:space="0" w:color="auto"/>
              <w:bottom w:val="single" w:sz="6" w:space="0" w:color="auto"/>
              <w:right w:val="single" w:sz="6" w:space="0" w:color="auto"/>
            </w:tcBorders>
          </w:tcPr>
          <w:p w14:paraId="70834BAD" w14:textId="77777777" w:rsidR="00D654A6" w:rsidRDefault="00D654A6" w:rsidP="005A20DD">
            <w:pPr>
              <w:pStyle w:val="TAL"/>
              <w:rPr>
                <w:rFonts w:cs="Arial"/>
                <w:szCs w:val="18"/>
              </w:rPr>
            </w:pPr>
          </w:p>
        </w:tc>
      </w:tr>
      <w:tr w:rsidR="00D654A6" w14:paraId="7ED6ACDF"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7643A998" w14:textId="77777777" w:rsidR="00D654A6" w:rsidRDefault="00D654A6" w:rsidP="005A20DD">
            <w:pPr>
              <w:pStyle w:val="TAL"/>
              <w:rPr>
                <w:lang w:eastAsia="zh-CN"/>
              </w:rPr>
            </w:pPr>
            <w:r>
              <w:rPr>
                <w:lang w:eastAsia="zh-CN"/>
              </w:rPr>
              <w:t>terminationReq</w:t>
            </w:r>
          </w:p>
        </w:tc>
        <w:tc>
          <w:tcPr>
            <w:tcW w:w="1444" w:type="dxa"/>
            <w:tcBorders>
              <w:top w:val="single" w:sz="6" w:space="0" w:color="auto"/>
              <w:left w:val="single" w:sz="6" w:space="0" w:color="auto"/>
              <w:bottom w:val="single" w:sz="6" w:space="0" w:color="auto"/>
              <w:right w:val="single" w:sz="6" w:space="0" w:color="auto"/>
            </w:tcBorders>
          </w:tcPr>
          <w:p w14:paraId="1CCE12CC" w14:textId="77777777" w:rsidR="00D654A6" w:rsidRDefault="00D654A6" w:rsidP="005A20DD">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tcPr>
          <w:p w14:paraId="28B3E936" w14:textId="77777777" w:rsidR="00D654A6" w:rsidRDefault="00D654A6" w:rsidP="005A20DD">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90692F0" w14:textId="77777777" w:rsidR="00D654A6" w:rsidRDefault="00D654A6" w:rsidP="005A20DD">
            <w:pPr>
              <w:pStyle w:val="TAL"/>
              <w:rPr>
                <w:lang w:eastAsia="zh-CN"/>
              </w:rPr>
            </w:pPr>
            <w:r>
              <w:rPr>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2C3FBE41" w14:textId="77777777" w:rsidR="00D654A6" w:rsidRDefault="00D654A6" w:rsidP="005A20DD">
            <w:pPr>
              <w:pStyle w:val="TAL"/>
              <w:rPr>
                <w:lang w:eastAsia="zh-CN"/>
              </w:rPr>
            </w:pPr>
            <w:r>
              <w:rPr>
                <w:lang w:eastAsia="zh-CN"/>
              </w:rPr>
              <w:t xml:space="preserve">If set to </w:t>
            </w:r>
            <w:r>
              <w:rPr>
                <w:rFonts w:cs="Arial"/>
                <w:szCs w:val="18"/>
              </w:rPr>
              <w:t>"</w:t>
            </w:r>
            <w:r>
              <w:rPr>
                <w:lang w:eastAsia="zh-CN"/>
              </w:rPr>
              <w:t>true</w:t>
            </w:r>
            <w:r>
              <w:rPr>
                <w:rFonts w:cs="Arial"/>
                <w:szCs w:val="18"/>
              </w:rPr>
              <w:t>"</w:t>
            </w:r>
            <w:r>
              <w:rPr>
                <w:lang w:eastAsia="zh-CN"/>
              </w:rPr>
              <w:t>, it indicates that the termination of the data management subscription is requested by the NWDAF, i.e. NWDAF will not provide further notifications related to this subscription.</w:t>
            </w:r>
          </w:p>
          <w:p w14:paraId="24729EE1" w14:textId="77777777" w:rsidR="00D654A6" w:rsidRDefault="00D654A6" w:rsidP="005A20DD">
            <w:pPr>
              <w:pStyle w:val="TAL"/>
              <w:rPr>
                <w:lang w:eastAsia="zh-CN"/>
              </w:rPr>
            </w:pPr>
            <w:r>
              <w:rPr>
                <w:lang w:eastAsia="zh-CN"/>
              </w:rPr>
              <w:t>If absent, no termination is requested.</w:t>
            </w:r>
          </w:p>
        </w:tc>
        <w:tc>
          <w:tcPr>
            <w:tcW w:w="2410" w:type="dxa"/>
            <w:tcBorders>
              <w:top w:val="single" w:sz="6" w:space="0" w:color="auto"/>
              <w:left w:val="single" w:sz="6" w:space="0" w:color="auto"/>
              <w:bottom w:val="single" w:sz="6" w:space="0" w:color="auto"/>
              <w:right w:val="single" w:sz="6" w:space="0" w:color="auto"/>
            </w:tcBorders>
          </w:tcPr>
          <w:p w14:paraId="5C45DA5B" w14:textId="77777777" w:rsidR="00D654A6" w:rsidRDefault="00D654A6" w:rsidP="005A20DD">
            <w:pPr>
              <w:pStyle w:val="TAL"/>
              <w:rPr>
                <w:rFonts w:cs="Arial"/>
                <w:szCs w:val="18"/>
              </w:rPr>
            </w:pPr>
          </w:p>
        </w:tc>
      </w:tr>
      <w:tr w:rsidR="00D654A6" w14:paraId="67DF56AF"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0CB2E2B9" w14:textId="77777777" w:rsidR="00D654A6" w:rsidRDefault="00D654A6" w:rsidP="005A20DD">
            <w:pPr>
              <w:pStyle w:val="TAL"/>
              <w:rPr>
                <w:lang w:eastAsia="zh-CN"/>
              </w:rPr>
            </w:pPr>
            <w:r>
              <w:rPr>
                <w:lang w:eastAsia="ja-JP"/>
              </w:rPr>
              <w:t>fetch</w:t>
            </w:r>
            <w:r>
              <w:t>Instruct</w:t>
            </w:r>
          </w:p>
        </w:tc>
        <w:tc>
          <w:tcPr>
            <w:tcW w:w="1444" w:type="dxa"/>
            <w:tcBorders>
              <w:top w:val="single" w:sz="6" w:space="0" w:color="auto"/>
              <w:left w:val="single" w:sz="6" w:space="0" w:color="auto"/>
              <w:bottom w:val="single" w:sz="6" w:space="0" w:color="auto"/>
              <w:right w:val="single" w:sz="6" w:space="0" w:color="auto"/>
            </w:tcBorders>
          </w:tcPr>
          <w:p w14:paraId="45B0827D" w14:textId="77777777" w:rsidR="00D654A6" w:rsidRDefault="00D654A6" w:rsidP="005A20DD">
            <w:pPr>
              <w:pStyle w:val="TAL"/>
              <w:rPr>
                <w:lang w:eastAsia="zh-CN"/>
              </w:rPr>
            </w:pPr>
            <w:r>
              <w:t>FetchInstruction</w:t>
            </w:r>
          </w:p>
        </w:tc>
        <w:tc>
          <w:tcPr>
            <w:tcW w:w="425" w:type="dxa"/>
            <w:tcBorders>
              <w:top w:val="single" w:sz="6" w:space="0" w:color="auto"/>
              <w:left w:val="single" w:sz="6" w:space="0" w:color="auto"/>
              <w:bottom w:val="single" w:sz="6" w:space="0" w:color="auto"/>
              <w:right w:val="single" w:sz="6" w:space="0" w:color="auto"/>
            </w:tcBorders>
          </w:tcPr>
          <w:p w14:paraId="1F8AC07E" w14:textId="77777777" w:rsidR="00D654A6" w:rsidRDefault="00D654A6" w:rsidP="005A20DD">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tcPr>
          <w:p w14:paraId="29075567" w14:textId="77777777" w:rsidR="00D654A6" w:rsidRDefault="00D654A6" w:rsidP="005A20DD">
            <w:pPr>
              <w:pStyle w:val="TAL"/>
              <w:rPr>
                <w:lang w:eastAsia="zh-CN"/>
              </w:rPr>
            </w:pPr>
            <w:r>
              <w:t>0..1</w:t>
            </w:r>
          </w:p>
        </w:tc>
        <w:tc>
          <w:tcPr>
            <w:tcW w:w="2410" w:type="dxa"/>
            <w:tcBorders>
              <w:top w:val="single" w:sz="6" w:space="0" w:color="auto"/>
              <w:left w:val="single" w:sz="6" w:space="0" w:color="auto"/>
              <w:bottom w:val="single" w:sz="6" w:space="0" w:color="auto"/>
              <w:right w:val="single" w:sz="6" w:space="0" w:color="auto"/>
            </w:tcBorders>
          </w:tcPr>
          <w:p w14:paraId="196409AA" w14:textId="77777777" w:rsidR="00D654A6" w:rsidRDefault="00D654A6" w:rsidP="005A20DD">
            <w:pPr>
              <w:pStyle w:val="TAL"/>
              <w:rPr>
                <w:lang w:eastAsia="ja-JP"/>
              </w:rPr>
            </w:pPr>
            <w:r>
              <w:rPr>
                <w:rFonts w:cs="Arial"/>
                <w:szCs w:val="18"/>
              </w:rPr>
              <w:t>The</w:t>
            </w:r>
            <w:r>
              <w:rPr>
                <w:lang w:eastAsia="ja-JP"/>
              </w:rPr>
              <w:t xml:space="preserve"> fetch instruction indicates whether the data are to be fetched by the Consumer. </w:t>
            </w:r>
            <w:r>
              <w:t>This attribute may not be present in the response of a Fetch request</w:t>
            </w:r>
            <w:r>
              <w:rPr>
                <w:lang w:eastAsia="ja-JP"/>
              </w:rPr>
              <w:t>.</w:t>
            </w:r>
          </w:p>
          <w:p w14:paraId="2DD38FE8" w14:textId="77777777" w:rsidR="00D654A6" w:rsidRDefault="00D654A6" w:rsidP="005A20DD">
            <w:pPr>
              <w:pStyle w:val="TAL"/>
              <w:rPr>
                <w:lang w:eastAsia="zh-CN"/>
              </w:rPr>
            </w:pPr>
            <w:r>
              <w:t>(NOTE</w:t>
            </w:r>
            <w:r>
              <w:rPr>
                <w:rFonts w:cs="Arial"/>
                <w:szCs w:val="18"/>
                <w:lang w:val="en-US"/>
              </w:rPr>
              <w:t> 1</w:t>
            </w:r>
            <w:r>
              <w:t>)</w:t>
            </w:r>
          </w:p>
        </w:tc>
        <w:tc>
          <w:tcPr>
            <w:tcW w:w="2410" w:type="dxa"/>
            <w:tcBorders>
              <w:top w:val="single" w:sz="6" w:space="0" w:color="auto"/>
              <w:left w:val="single" w:sz="6" w:space="0" w:color="auto"/>
              <w:bottom w:val="single" w:sz="6" w:space="0" w:color="auto"/>
              <w:right w:val="single" w:sz="6" w:space="0" w:color="auto"/>
            </w:tcBorders>
          </w:tcPr>
          <w:p w14:paraId="28448642" w14:textId="77777777" w:rsidR="00D654A6" w:rsidRDefault="00D654A6" w:rsidP="005A20DD">
            <w:pPr>
              <w:pStyle w:val="TAL"/>
              <w:rPr>
                <w:rFonts w:cs="Arial"/>
                <w:szCs w:val="18"/>
              </w:rPr>
            </w:pPr>
          </w:p>
        </w:tc>
      </w:tr>
      <w:tr w:rsidR="00D654A6" w14:paraId="66F59341"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7E0D6710" w14:textId="77777777" w:rsidR="00D654A6" w:rsidRDefault="00D654A6" w:rsidP="005A20DD">
            <w:pPr>
              <w:pStyle w:val="TAL"/>
              <w:rPr>
                <w:lang w:eastAsia="ja-JP"/>
              </w:rPr>
            </w:pPr>
            <w:r>
              <w:t>notifTimestamp</w:t>
            </w:r>
          </w:p>
        </w:tc>
        <w:tc>
          <w:tcPr>
            <w:tcW w:w="1444" w:type="dxa"/>
            <w:tcBorders>
              <w:top w:val="single" w:sz="6" w:space="0" w:color="auto"/>
              <w:left w:val="single" w:sz="6" w:space="0" w:color="auto"/>
              <w:bottom w:val="single" w:sz="6" w:space="0" w:color="auto"/>
              <w:right w:val="single" w:sz="6" w:space="0" w:color="auto"/>
            </w:tcBorders>
          </w:tcPr>
          <w:p w14:paraId="6337DBCD" w14:textId="77777777" w:rsidR="00D654A6" w:rsidRDefault="00D654A6" w:rsidP="005A20DD">
            <w:pPr>
              <w:pStyle w:val="TAL"/>
            </w:pPr>
            <w:r>
              <w:rPr>
                <w:rFonts w:hint="eastAsia"/>
                <w:lang w:eastAsia="zh-CN"/>
              </w:rPr>
              <w:t>D</w:t>
            </w:r>
            <w:r>
              <w:rPr>
                <w:lang w:eastAsia="zh-CN"/>
              </w:rPr>
              <w:t>ateTime</w:t>
            </w:r>
          </w:p>
        </w:tc>
        <w:tc>
          <w:tcPr>
            <w:tcW w:w="425" w:type="dxa"/>
            <w:tcBorders>
              <w:top w:val="single" w:sz="6" w:space="0" w:color="auto"/>
              <w:left w:val="single" w:sz="6" w:space="0" w:color="auto"/>
              <w:bottom w:val="single" w:sz="6" w:space="0" w:color="auto"/>
              <w:right w:val="single" w:sz="6" w:space="0" w:color="auto"/>
            </w:tcBorders>
          </w:tcPr>
          <w:p w14:paraId="70F84593" w14:textId="77777777" w:rsidR="00D654A6" w:rsidRDefault="00D654A6" w:rsidP="005A20DD">
            <w:pPr>
              <w:pStyle w:val="TAC"/>
            </w:pPr>
            <w:r>
              <w:rPr>
                <w:rFonts w:hint="eastAsia"/>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F920D23" w14:textId="77777777" w:rsidR="00D654A6" w:rsidRDefault="00D654A6" w:rsidP="005A20DD">
            <w:pPr>
              <w:pStyle w:val="TAL"/>
            </w:pPr>
            <w:r>
              <w:rPr>
                <w:rFonts w:hint="eastAsia"/>
                <w:lang w:eastAsia="zh-CN"/>
              </w:rPr>
              <w:t>1</w:t>
            </w:r>
          </w:p>
        </w:tc>
        <w:tc>
          <w:tcPr>
            <w:tcW w:w="2410" w:type="dxa"/>
            <w:tcBorders>
              <w:top w:val="single" w:sz="6" w:space="0" w:color="auto"/>
              <w:left w:val="single" w:sz="6" w:space="0" w:color="auto"/>
              <w:bottom w:val="single" w:sz="6" w:space="0" w:color="auto"/>
              <w:right w:val="single" w:sz="6" w:space="0" w:color="auto"/>
            </w:tcBorders>
          </w:tcPr>
          <w:p w14:paraId="210EF7EB" w14:textId="77777777" w:rsidR="00D654A6" w:rsidRDefault="00D654A6" w:rsidP="005A20DD">
            <w:pPr>
              <w:pStyle w:val="TAL"/>
              <w:rPr>
                <w:rFonts w:cs="Arial"/>
                <w:szCs w:val="18"/>
              </w:rPr>
            </w:pPr>
            <w:r>
              <w:rPr>
                <w:lang w:eastAsia="zh-CN"/>
              </w:rPr>
              <w:t>It represents time when NWDAF completes preparation of the requested data.</w:t>
            </w:r>
          </w:p>
        </w:tc>
        <w:tc>
          <w:tcPr>
            <w:tcW w:w="2410" w:type="dxa"/>
            <w:tcBorders>
              <w:top w:val="single" w:sz="6" w:space="0" w:color="auto"/>
              <w:left w:val="single" w:sz="6" w:space="0" w:color="auto"/>
              <w:bottom w:val="single" w:sz="6" w:space="0" w:color="auto"/>
              <w:right w:val="single" w:sz="6" w:space="0" w:color="auto"/>
            </w:tcBorders>
          </w:tcPr>
          <w:p w14:paraId="5649C41E" w14:textId="77777777" w:rsidR="00D654A6" w:rsidRDefault="00D654A6" w:rsidP="005A20DD">
            <w:pPr>
              <w:pStyle w:val="TAL"/>
              <w:rPr>
                <w:rFonts w:cs="Arial"/>
                <w:szCs w:val="18"/>
              </w:rPr>
            </w:pPr>
          </w:p>
        </w:tc>
      </w:tr>
      <w:tr w:rsidR="00D654A6" w14:paraId="3856D038" w14:textId="77777777" w:rsidTr="005A20DD">
        <w:trPr>
          <w:jc w:val="center"/>
        </w:trPr>
        <w:tc>
          <w:tcPr>
            <w:tcW w:w="1702" w:type="dxa"/>
            <w:tcBorders>
              <w:top w:val="single" w:sz="6" w:space="0" w:color="auto"/>
              <w:left w:val="single" w:sz="6" w:space="0" w:color="auto"/>
              <w:bottom w:val="single" w:sz="6" w:space="0" w:color="auto"/>
              <w:right w:val="single" w:sz="6" w:space="0" w:color="auto"/>
            </w:tcBorders>
          </w:tcPr>
          <w:p w14:paraId="761F1514" w14:textId="77777777" w:rsidR="00D654A6" w:rsidRDefault="00D654A6" w:rsidP="005A20DD">
            <w:pPr>
              <w:pStyle w:val="TAL"/>
            </w:pPr>
            <w:r>
              <w:t>pendNotifCause</w:t>
            </w:r>
          </w:p>
        </w:tc>
        <w:tc>
          <w:tcPr>
            <w:tcW w:w="1444" w:type="dxa"/>
            <w:tcBorders>
              <w:top w:val="single" w:sz="6" w:space="0" w:color="auto"/>
              <w:left w:val="single" w:sz="6" w:space="0" w:color="auto"/>
              <w:bottom w:val="single" w:sz="6" w:space="0" w:color="auto"/>
              <w:right w:val="single" w:sz="6" w:space="0" w:color="auto"/>
            </w:tcBorders>
          </w:tcPr>
          <w:p w14:paraId="217892C2" w14:textId="77777777" w:rsidR="00D654A6" w:rsidRDefault="00D654A6" w:rsidP="005A20DD">
            <w:pPr>
              <w:pStyle w:val="TAL"/>
              <w:rPr>
                <w:lang w:eastAsia="zh-CN"/>
              </w:rPr>
            </w:pPr>
            <w:r>
              <w:rPr>
                <w:lang w:eastAsia="zh-CN"/>
              </w:rPr>
              <w:t>PendingNotificationCause</w:t>
            </w:r>
          </w:p>
        </w:tc>
        <w:tc>
          <w:tcPr>
            <w:tcW w:w="425" w:type="dxa"/>
            <w:tcBorders>
              <w:top w:val="single" w:sz="6" w:space="0" w:color="auto"/>
              <w:left w:val="single" w:sz="6" w:space="0" w:color="auto"/>
              <w:bottom w:val="single" w:sz="6" w:space="0" w:color="auto"/>
              <w:right w:val="single" w:sz="6" w:space="0" w:color="auto"/>
            </w:tcBorders>
          </w:tcPr>
          <w:p w14:paraId="29A2E4EF" w14:textId="77777777" w:rsidR="00D654A6" w:rsidRDefault="00D654A6" w:rsidP="005A20DD">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357119" w14:textId="77777777" w:rsidR="00D654A6" w:rsidRDefault="00D654A6" w:rsidP="005A20DD">
            <w:pPr>
              <w:pStyle w:val="TAL"/>
              <w:rPr>
                <w:lang w:eastAsia="zh-CN"/>
              </w:rPr>
            </w:pPr>
            <w:r>
              <w:rPr>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4240C8D6" w14:textId="77777777" w:rsidR="00D654A6" w:rsidRDefault="00D654A6" w:rsidP="005A20DD">
            <w:pPr>
              <w:pStyle w:val="TAL"/>
              <w:rPr>
                <w:lang w:eastAsia="zh-CN"/>
              </w:rPr>
            </w:pPr>
            <w:r>
              <w:rPr>
                <w:lang w:eastAsia="zh-CN"/>
              </w:rPr>
              <w:t>Represents the Pending Notification Cause for the stored unsent data.</w:t>
            </w:r>
          </w:p>
        </w:tc>
        <w:tc>
          <w:tcPr>
            <w:tcW w:w="2410" w:type="dxa"/>
            <w:tcBorders>
              <w:top w:val="single" w:sz="6" w:space="0" w:color="auto"/>
              <w:left w:val="single" w:sz="6" w:space="0" w:color="auto"/>
              <w:bottom w:val="single" w:sz="6" w:space="0" w:color="auto"/>
              <w:right w:val="single" w:sz="6" w:space="0" w:color="auto"/>
            </w:tcBorders>
          </w:tcPr>
          <w:p w14:paraId="4A65A424" w14:textId="77777777" w:rsidR="00D654A6" w:rsidRDefault="00D654A6" w:rsidP="005A20DD">
            <w:pPr>
              <w:pStyle w:val="TAL"/>
              <w:rPr>
                <w:rFonts w:cs="Arial"/>
                <w:szCs w:val="18"/>
              </w:rPr>
            </w:pPr>
            <w:r>
              <w:rPr>
                <w:rFonts w:cs="Arial"/>
                <w:szCs w:val="18"/>
              </w:rPr>
              <w:t>EnhDataMgmt</w:t>
            </w:r>
          </w:p>
        </w:tc>
      </w:tr>
      <w:tr w:rsidR="00D654A6" w14:paraId="0F40CDD3" w14:textId="77777777" w:rsidTr="005A20DD">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757ED7B2" w14:textId="77777777" w:rsidR="00D654A6" w:rsidRDefault="00D654A6" w:rsidP="005A20DD">
            <w:pPr>
              <w:pStyle w:val="TAN"/>
            </w:pPr>
            <w:r>
              <w:rPr>
                <w:rFonts w:cs="Arial"/>
                <w:szCs w:val="18"/>
              </w:rPr>
              <w:t>NOTE</w:t>
            </w:r>
            <w:r>
              <w:rPr>
                <w:rFonts w:cs="Arial"/>
                <w:szCs w:val="18"/>
                <w:lang w:val="en-US"/>
              </w:rPr>
              <w:t> 1</w:t>
            </w:r>
            <w:r>
              <w:rPr>
                <w:rFonts w:cs="Arial"/>
                <w:szCs w:val="18"/>
              </w:rPr>
              <w:t>:</w:t>
            </w:r>
            <w:r>
              <w:tab/>
              <w:t>One of these attributes shall be provided.</w:t>
            </w:r>
          </w:p>
          <w:p w14:paraId="1E25C253" w14:textId="77777777" w:rsidR="00D654A6" w:rsidRDefault="00D654A6" w:rsidP="005A20DD">
            <w:pPr>
              <w:pStyle w:val="TAN"/>
            </w:pPr>
            <w:r>
              <w:rPr>
                <w:rFonts w:cs="Arial"/>
                <w:szCs w:val="18"/>
              </w:rPr>
              <w:t>NOTE</w:t>
            </w:r>
            <w:r>
              <w:rPr>
                <w:rFonts w:cs="Arial"/>
                <w:szCs w:val="18"/>
                <w:lang w:val="en-US"/>
              </w:rPr>
              <w:t> 2</w:t>
            </w:r>
            <w:r>
              <w:rPr>
                <w:rFonts w:cs="Arial"/>
                <w:szCs w:val="18"/>
              </w:rPr>
              <w:t>:</w:t>
            </w:r>
            <w:r>
              <w:tab/>
              <w:t>For every entry of the array, the "eventId" attribute shall not contain the "nwdafEvent" attribute.</w:t>
            </w:r>
          </w:p>
          <w:p w14:paraId="299CAAF8" w14:textId="77777777" w:rsidR="005E22F6" w:rsidRPr="005046A7" w:rsidRDefault="005E22F6" w:rsidP="005B3671">
            <w:pPr>
              <w:pStyle w:val="TAN"/>
              <w:rPr>
                <w:rFonts w:cs="Arial"/>
                <w:szCs w:val="18"/>
              </w:rPr>
            </w:pPr>
            <w:r>
              <w:rPr>
                <w:rFonts w:cs="Arial"/>
                <w:szCs w:val="18"/>
              </w:rPr>
              <w:t>NOTE</w:t>
            </w:r>
            <w:r w:rsidRPr="005B3671">
              <w:rPr>
                <w:rFonts w:cs="Arial"/>
                <w:szCs w:val="18"/>
              </w:rPr>
              <w:t> 3</w:t>
            </w:r>
            <w:r>
              <w:rPr>
                <w:rFonts w:cs="Arial"/>
                <w:szCs w:val="18"/>
              </w:rPr>
              <w:t>:</w:t>
            </w:r>
            <w:r w:rsidRPr="00B40EF1">
              <w:rPr>
                <w:rFonts w:cs="Arial"/>
                <w:szCs w:val="18"/>
              </w:rPr>
              <w:tab/>
            </w:r>
            <w:r w:rsidRPr="002F54BE">
              <w:rPr>
                <w:rFonts w:cs="Arial"/>
                <w:szCs w:val="18"/>
              </w:rPr>
              <w:t>If the NWDAF has received the notificat</w:t>
            </w:r>
            <w:r w:rsidRPr="005046A7">
              <w:rPr>
                <w:rFonts w:cs="Arial"/>
                <w:szCs w:val="18"/>
              </w:rPr>
              <w:t>ions from ano</w:t>
            </w:r>
            <w:r w:rsidRPr="004C25FC">
              <w:rPr>
                <w:rFonts w:cs="Arial"/>
                <w:szCs w:val="18"/>
              </w:rPr>
              <w:t xml:space="preserve">ther source without a timestamp, then the NWDAF adds itself a timestamp based on the time it received the notification in </w:t>
            </w:r>
            <w:r>
              <w:t>"</w:t>
            </w:r>
            <w:r w:rsidRPr="002F54BE">
              <w:rPr>
                <w:rFonts w:cs="Arial"/>
                <w:szCs w:val="18"/>
              </w:rPr>
              <w:t>timeStamp</w:t>
            </w:r>
            <w:r>
              <w:t>"</w:t>
            </w:r>
            <w:r w:rsidRPr="002F54BE">
              <w:rPr>
                <w:rFonts w:cs="Arial"/>
                <w:szCs w:val="18"/>
              </w:rPr>
              <w:t xml:space="preserve"> attribute contained in </w:t>
            </w:r>
            <w:r>
              <w:t>"</w:t>
            </w:r>
            <w:r w:rsidRPr="002F54BE">
              <w:rPr>
                <w:rFonts w:cs="Arial"/>
                <w:szCs w:val="18"/>
              </w:rPr>
              <w:t>dataNotification</w:t>
            </w:r>
            <w:r>
              <w:t>"</w:t>
            </w:r>
            <w:r w:rsidRPr="002F54BE">
              <w:rPr>
                <w:rFonts w:cs="Arial"/>
                <w:szCs w:val="18"/>
              </w:rPr>
              <w:t xml:space="preserve"> attribute.</w:t>
            </w:r>
          </w:p>
          <w:p w14:paraId="7A57A423" w14:textId="77777777" w:rsidR="00D654A6" w:rsidRDefault="00D654A6" w:rsidP="005A20DD">
            <w:pPr>
              <w:pStyle w:val="TAN"/>
            </w:pPr>
            <w:r>
              <w:rPr>
                <w:rFonts w:cs="Arial"/>
                <w:szCs w:val="18"/>
              </w:rPr>
              <w:t>NOTE</w:t>
            </w:r>
            <w:r>
              <w:rPr>
                <w:rFonts w:cs="Arial"/>
                <w:szCs w:val="18"/>
                <w:lang w:val="en-US"/>
              </w:rPr>
              <w:t> 4</w:t>
            </w:r>
            <w:r>
              <w:rPr>
                <w:rFonts w:cs="Arial"/>
                <w:szCs w:val="18"/>
              </w:rPr>
              <w:t>:</w:t>
            </w:r>
            <w:r>
              <w:tab/>
            </w:r>
            <w:r>
              <w:rPr>
                <w:rFonts w:cs="Arial"/>
                <w:szCs w:val="18"/>
                <w:lang w:eastAsia="zh-CN"/>
              </w:rPr>
              <w:t>The "upfEventNotifs" attribute within the "dataNotification" attribute is applicable only if the "UpEvents" feature is supported</w:t>
            </w:r>
            <w:r>
              <w:rPr>
                <w:rFonts w:cs="Arial"/>
                <w:szCs w:val="18"/>
              </w:rPr>
              <w:t xml:space="preserve">. </w:t>
            </w:r>
            <w:r>
              <w:rPr>
                <w:rFonts w:cs="Arial"/>
                <w:szCs w:val="18"/>
                <w:lang w:eastAsia="zh-CN"/>
              </w:rPr>
              <w:t>The "gmlcEventNotifs" attribute within the "dataNotification" attribute is applicable only if the "LocEvents" feature is supported</w:t>
            </w:r>
            <w:r>
              <w:rPr>
                <w:rFonts w:cs="Arial"/>
                <w:szCs w:val="18"/>
              </w:rPr>
              <w:t>.</w:t>
            </w:r>
          </w:p>
        </w:tc>
      </w:tr>
    </w:tbl>
    <w:p w14:paraId="4424DBE9" w14:textId="77777777" w:rsidR="00D654A6" w:rsidRDefault="00D654A6" w:rsidP="00D654A6">
      <w:pPr>
        <w:rPr>
          <w:lang w:val="en-US" w:eastAsia="zh-CN"/>
        </w:rPr>
      </w:pPr>
    </w:p>
    <w:p w14:paraId="551565B1" w14:textId="77777777" w:rsidR="00A10B25" w:rsidRDefault="00A10B25">
      <w:pPr>
        <w:pStyle w:val="4"/>
        <w:rPr>
          <w:lang w:val="en-US"/>
        </w:rPr>
      </w:pPr>
      <w:bookmarkStart w:id="12551" w:name="_Toc164921026"/>
      <w:bookmarkStart w:id="12552" w:name="_Toc170120568"/>
      <w:bookmarkStart w:id="12553" w:name="_Toc175858813"/>
      <w:bookmarkStart w:id="12554" w:name="_Toc175859886"/>
      <w:bookmarkStart w:id="12555" w:name="_Toc180606176"/>
      <w:bookmarkStart w:id="12556" w:name="_Toc185517437"/>
      <w:bookmarkStart w:id="12557" w:name="_Toc191576489"/>
      <w:bookmarkStart w:id="12558" w:name="_Toc191577229"/>
      <w:bookmarkStart w:id="12559" w:name="_Toc192880299"/>
      <w:bookmarkStart w:id="12560" w:name="_Toc195815188"/>
      <w:bookmarkStart w:id="12561" w:name="_Toc199453155"/>
      <w:r>
        <w:t>5.3.6.3</w:t>
      </w:r>
      <w:r>
        <w:tab/>
        <w:t>Simple data types and enumerations</w:t>
      </w:r>
      <w:bookmarkEnd w:id="12529"/>
      <w:bookmarkEnd w:id="12530"/>
      <w:bookmarkEnd w:id="12551"/>
      <w:bookmarkEnd w:id="12552"/>
      <w:bookmarkEnd w:id="12553"/>
      <w:bookmarkEnd w:id="12554"/>
      <w:bookmarkEnd w:id="12555"/>
      <w:bookmarkEnd w:id="12556"/>
      <w:bookmarkEnd w:id="12557"/>
      <w:bookmarkEnd w:id="12558"/>
      <w:bookmarkEnd w:id="12559"/>
      <w:bookmarkEnd w:id="12560"/>
      <w:bookmarkEnd w:id="12561"/>
    </w:p>
    <w:p w14:paraId="30EB0E4B" w14:textId="77777777" w:rsidR="00A10B25" w:rsidRDefault="00A10B25">
      <w:pPr>
        <w:pStyle w:val="5"/>
      </w:pPr>
      <w:bookmarkStart w:id="12562" w:name="_Toc148522839"/>
      <w:bookmarkStart w:id="12563" w:name="_Toc144490235"/>
      <w:bookmarkStart w:id="12564" w:name="_Toc164921027"/>
      <w:bookmarkStart w:id="12565" w:name="_Toc170120569"/>
      <w:bookmarkStart w:id="12566" w:name="_Toc175858814"/>
      <w:bookmarkStart w:id="12567" w:name="_Toc175859887"/>
      <w:bookmarkStart w:id="12568" w:name="_Toc180606177"/>
      <w:bookmarkStart w:id="12569" w:name="_Toc185517438"/>
      <w:bookmarkStart w:id="12570" w:name="_Toc191576490"/>
      <w:bookmarkStart w:id="12571" w:name="_Toc191577230"/>
      <w:bookmarkStart w:id="12572" w:name="_Toc192880300"/>
      <w:bookmarkStart w:id="12573" w:name="_Toc195815189"/>
      <w:bookmarkStart w:id="12574" w:name="_Toc199453156"/>
      <w:r>
        <w:t>5.3.6.3.1</w:t>
      </w:r>
      <w:r>
        <w:tab/>
        <w:t>Introduction</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449028AA" w14:textId="77777777" w:rsidR="00A10B25" w:rsidRDefault="00A10B25">
      <w:r>
        <w:t>This clause defines simple data types and enumerations that can be referenced from data structures defined in the previous clauses.</w:t>
      </w:r>
    </w:p>
    <w:p w14:paraId="6974DE4B" w14:textId="77777777" w:rsidR="00A10B25" w:rsidRDefault="00A10B25">
      <w:pPr>
        <w:pStyle w:val="5"/>
      </w:pPr>
      <w:bookmarkStart w:id="12575" w:name="_Toc144490236"/>
      <w:bookmarkStart w:id="12576" w:name="_Toc148522840"/>
      <w:bookmarkStart w:id="12577" w:name="_Toc164921028"/>
      <w:bookmarkStart w:id="12578" w:name="_Toc170120570"/>
      <w:bookmarkStart w:id="12579" w:name="_Toc175858815"/>
      <w:bookmarkStart w:id="12580" w:name="_Toc175859888"/>
      <w:bookmarkStart w:id="12581" w:name="_Toc180606178"/>
      <w:bookmarkStart w:id="12582" w:name="_Toc185517439"/>
      <w:bookmarkStart w:id="12583" w:name="_Toc191576491"/>
      <w:bookmarkStart w:id="12584" w:name="_Toc191577231"/>
      <w:bookmarkStart w:id="12585" w:name="_Toc192880301"/>
      <w:bookmarkStart w:id="12586" w:name="_Toc195815190"/>
      <w:bookmarkStart w:id="12587" w:name="_Toc199453157"/>
      <w:r>
        <w:lastRenderedPageBreak/>
        <w:t>5.3.6.3.2</w:t>
      </w:r>
      <w:r>
        <w:tab/>
        <w:t>Simple data types</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4380C999" w14:textId="77777777" w:rsidR="00A10B25" w:rsidRDefault="00A10B25">
      <w:r>
        <w:t>The simple data types defined in table 5.3.6.3.2-1 shall be supported.</w:t>
      </w:r>
    </w:p>
    <w:p w14:paraId="3EC2D111" w14:textId="77777777" w:rsidR="00A10B25" w:rsidRDefault="00A10B25">
      <w:pPr>
        <w:pStyle w:val="TH"/>
      </w:pPr>
      <w:r>
        <w:t>Table 5.3.6.3.2-1: Simple data types</w:t>
      </w:r>
    </w:p>
    <w:tbl>
      <w:tblPr>
        <w:tblW w:w="48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A10B25" w14:paraId="6BFEB930" w14:textId="77777777">
        <w:trPr>
          <w:jc w:val="center"/>
        </w:trPr>
        <w:tc>
          <w:tcPr>
            <w:tcW w:w="1185" w:type="pct"/>
            <w:shd w:val="clear" w:color="000000" w:fill="C0C0C0"/>
            <w:tcMar>
              <w:top w:w="0" w:type="dxa"/>
              <w:left w:w="108" w:type="dxa"/>
              <w:bottom w:w="0" w:type="dxa"/>
              <w:right w:w="108" w:type="dxa"/>
            </w:tcMar>
          </w:tcPr>
          <w:p w14:paraId="52DB54E3" w14:textId="77777777" w:rsidR="00A10B25" w:rsidRDefault="00A10B25">
            <w:pPr>
              <w:pStyle w:val="TAH"/>
            </w:pPr>
            <w:r>
              <w:t>Type Name</w:t>
            </w:r>
          </w:p>
        </w:tc>
        <w:tc>
          <w:tcPr>
            <w:tcW w:w="1232" w:type="pct"/>
            <w:shd w:val="clear" w:color="000000" w:fill="C0C0C0"/>
            <w:tcMar>
              <w:top w:w="0" w:type="dxa"/>
              <w:left w:w="108" w:type="dxa"/>
              <w:bottom w:w="0" w:type="dxa"/>
              <w:right w:w="108" w:type="dxa"/>
            </w:tcMar>
          </w:tcPr>
          <w:p w14:paraId="43546EE4" w14:textId="77777777" w:rsidR="00A10B25" w:rsidRDefault="00A10B25">
            <w:pPr>
              <w:pStyle w:val="TAH"/>
            </w:pPr>
            <w:r>
              <w:t>Type Definition</w:t>
            </w:r>
          </w:p>
        </w:tc>
        <w:tc>
          <w:tcPr>
            <w:tcW w:w="1872" w:type="pct"/>
            <w:shd w:val="clear" w:color="000000" w:fill="C0C0C0"/>
          </w:tcPr>
          <w:p w14:paraId="192F0649" w14:textId="77777777" w:rsidR="00A10B25" w:rsidRDefault="00A10B25">
            <w:pPr>
              <w:pStyle w:val="TAH"/>
            </w:pPr>
            <w:r>
              <w:t>Description</w:t>
            </w:r>
          </w:p>
        </w:tc>
        <w:tc>
          <w:tcPr>
            <w:tcW w:w="711" w:type="pct"/>
            <w:shd w:val="clear" w:color="000000" w:fill="C0C0C0"/>
          </w:tcPr>
          <w:p w14:paraId="3C10CFBF" w14:textId="77777777" w:rsidR="00A10B25" w:rsidRDefault="00A10B25">
            <w:pPr>
              <w:pStyle w:val="TAH"/>
            </w:pPr>
            <w:r>
              <w:t>Applicability</w:t>
            </w:r>
          </w:p>
        </w:tc>
      </w:tr>
      <w:tr w:rsidR="00A10B25" w14:paraId="186F85B8" w14:textId="77777777">
        <w:trPr>
          <w:jc w:val="center"/>
        </w:trPr>
        <w:tc>
          <w:tcPr>
            <w:tcW w:w="1185" w:type="pct"/>
            <w:tcMar>
              <w:top w:w="0" w:type="dxa"/>
              <w:left w:w="108" w:type="dxa"/>
              <w:bottom w:w="0" w:type="dxa"/>
              <w:right w:w="108" w:type="dxa"/>
            </w:tcMar>
          </w:tcPr>
          <w:p w14:paraId="2613485F" w14:textId="77777777" w:rsidR="00A10B25" w:rsidRDefault="00A10B25">
            <w:pPr>
              <w:pStyle w:val="TAL"/>
            </w:pPr>
            <w:r>
              <w:t>n/a</w:t>
            </w:r>
          </w:p>
        </w:tc>
        <w:tc>
          <w:tcPr>
            <w:tcW w:w="1232" w:type="pct"/>
            <w:tcMar>
              <w:top w:w="0" w:type="dxa"/>
              <w:left w:w="108" w:type="dxa"/>
              <w:bottom w:w="0" w:type="dxa"/>
              <w:right w:w="108" w:type="dxa"/>
            </w:tcMar>
          </w:tcPr>
          <w:p w14:paraId="4CCC2792" w14:textId="77777777" w:rsidR="00A10B25" w:rsidRDefault="00A10B25">
            <w:pPr>
              <w:pStyle w:val="TAL"/>
            </w:pPr>
          </w:p>
        </w:tc>
        <w:tc>
          <w:tcPr>
            <w:tcW w:w="1872" w:type="pct"/>
          </w:tcPr>
          <w:p w14:paraId="4F16FBAE" w14:textId="77777777" w:rsidR="00A10B25" w:rsidRDefault="00A10B25">
            <w:pPr>
              <w:pStyle w:val="TAL"/>
            </w:pPr>
          </w:p>
        </w:tc>
        <w:tc>
          <w:tcPr>
            <w:tcW w:w="711" w:type="pct"/>
          </w:tcPr>
          <w:p w14:paraId="3FC234C7" w14:textId="77777777" w:rsidR="00A10B25" w:rsidRDefault="00A10B25">
            <w:pPr>
              <w:pStyle w:val="TAL"/>
            </w:pPr>
          </w:p>
        </w:tc>
      </w:tr>
    </w:tbl>
    <w:p w14:paraId="0969AC01" w14:textId="77777777" w:rsidR="00A10B25" w:rsidRDefault="00A10B25"/>
    <w:p w14:paraId="35F852C5" w14:textId="77777777" w:rsidR="00A10B25" w:rsidRDefault="00A10B25">
      <w:pPr>
        <w:pStyle w:val="5"/>
      </w:pPr>
      <w:bookmarkStart w:id="12588" w:name="_Toc144490237"/>
      <w:bookmarkStart w:id="12589" w:name="_Toc148522841"/>
      <w:bookmarkStart w:id="12590" w:name="_Toc164921029"/>
      <w:bookmarkStart w:id="12591" w:name="_Toc170120571"/>
      <w:bookmarkStart w:id="12592" w:name="_Toc175858816"/>
      <w:bookmarkStart w:id="12593" w:name="_Toc175859889"/>
      <w:bookmarkStart w:id="12594" w:name="_Toc180606179"/>
      <w:bookmarkStart w:id="12595" w:name="_Toc185517440"/>
      <w:bookmarkStart w:id="12596" w:name="_Toc191576492"/>
      <w:bookmarkStart w:id="12597" w:name="_Toc191577232"/>
      <w:bookmarkStart w:id="12598" w:name="_Toc192880302"/>
      <w:bookmarkStart w:id="12599" w:name="_Toc195815191"/>
      <w:bookmarkStart w:id="12600" w:name="_Toc199453158"/>
      <w:r>
        <w:t>5.3.6.3.3</w:t>
      </w:r>
      <w:r>
        <w:tab/>
        <w:t xml:space="preserve">Enumeration: </w:t>
      </w:r>
      <w:bookmarkEnd w:id="12588"/>
      <w:r>
        <w:t>PendingNotificationCause</w:t>
      </w:r>
      <w:bookmarkEnd w:id="12589"/>
      <w:bookmarkEnd w:id="12590"/>
      <w:bookmarkEnd w:id="12591"/>
      <w:bookmarkEnd w:id="12592"/>
      <w:bookmarkEnd w:id="12593"/>
      <w:bookmarkEnd w:id="12594"/>
      <w:bookmarkEnd w:id="12595"/>
      <w:bookmarkEnd w:id="12596"/>
      <w:bookmarkEnd w:id="12597"/>
      <w:bookmarkEnd w:id="12598"/>
      <w:bookmarkEnd w:id="12599"/>
      <w:bookmarkEnd w:id="12600"/>
    </w:p>
    <w:p w14:paraId="128C1015" w14:textId="77777777" w:rsidR="00A10B25" w:rsidRDefault="00A10B25">
      <w:pPr>
        <w:pStyle w:val="TH"/>
      </w:pPr>
      <w:r>
        <w:t>Table 5.3.6.3.3-1: Enumeration PendingNotificationCause</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4130"/>
        <w:gridCol w:w="2400"/>
        <w:gridCol w:w="1992"/>
      </w:tblGrid>
      <w:tr w:rsidR="00A10B25" w14:paraId="0A0E99E3" w14:textId="77777777">
        <w:tc>
          <w:tcPr>
            <w:tcW w:w="2423" w:type="pct"/>
            <w:shd w:val="clear" w:color="auto" w:fill="C0C0C0"/>
            <w:tcMar>
              <w:top w:w="0" w:type="dxa"/>
              <w:left w:w="108" w:type="dxa"/>
              <w:bottom w:w="0" w:type="dxa"/>
              <w:right w:w="108" w:type="dxa"/>
            </w:tcMar>
          </w:tcPr>
          <w:p w14:paraId="2251B82B" w14:textId="77777777" w:rsidR="00A10B25" w:rsidRDefault="00A10B25">
            <w:pPr>
              <w:pStyle w:val="TAH"/>
            </w:pPr>
            <w:r>
              <w:t>Enumeration value</w:t>
            </w:r>
          </w:p>
        </w:tc>
        <w:tc>
          <w:tcPr>
            <w:tcW w:w="1408" w:type="pct"/>
            <w:shd w:val="clear" w:color="auto" w:fill="C0C0C0"/>
            <w:tcMar>
              <w:top w:w="0" w:type="dxa"/>
              <w:left w:w="108" w:type="dxa"/>
              <w:bottom w:w="0" w:type="dxa"/>
              <w:right w:w="108" w:type="dxa"/>
            </w:tcMar>
          </w:tcPr>
          <w:p w14:paraId="3413087D" w14:textId="77777777" w:rsidR="00A10B25" w:rsidRDefault="00A10B25">
            <w:pPr>
              <w:pStyle w:val="TAH"/>
            </w:pPr>
            <w:r>
              <w:t>Description</w:t>
            </w:r>
          </w:p>
        </w:tc>
        <w:tc>
          <w:tcPr>
            <w:tcW w:w="1169" w:type="pct"/>
            <w:shd w:val="clear" w:color="auto" w:fill="C0C0C0"/>
          </w:tcPr>
          <w:p w14:paraId="59396618" w14:textId="77777777" w:rsidR="00A10B25" w:rsidRDefault="00A10B25">
            <w:pPr>
              <w:pStyle w:val="TAH"/>
            </w:pPr>
            <w:r>
              <w:t>Applicability</w:t>
            </w:r>
          </w:p>
        </w:tc>
      </w:tr>
      <w:tr w:rsidR="00A10B25" w14:paraId="2DA40709" w14:textId="77777777">
        <w:tc>
          <w:tcPr>
            <w:tcW w:w="2423" w:type="pct"/>
            <w:tcMar>
              <w:top w:w="0" w:type="dxa"/>
              <w:left w:w="108" w:type="dxa"/>
              <w:bottom w:w="0" w:type="dxa"/>
              <w:right w:w="108" w:type="dxa"/>
            </w:tcMar>
          </w:tcPr>
          <w:p w14:paraId="6D3253E8" w14:textId="77777777" w:rsidR="00A10B25" w:rsidRDefault="00A10B25">
            <w:pPr>
              <w:pStyle w:val="TAL"/>
            </w:pPr>
            <w:r>
              <w:rPr>
                <w:lang w:eastAsia="zh-CN"/>
              </w:rPr>
              <w:t>UE_OUT_OF_NF_SERVING_AREA</w:t>
            </w:r>
          </w:p>
        </w:tc>
        <w:tc>
          <w:tcPr>
            <w:tcW w:w="1408" w:type="pct"/>
            <w:tcMar>
              <w:top w:w="0" w:type="dxa"/>
              <w:left w:w="108" w:type="dxa"/>
              <w:bottom w:w="0" w:type="dxa"/>
              <w:right w:w="108" w:type="dxa"/>
            </w:tcMar>
          </w:tcPr>
          <w:p w14:paraId="3EC9DF32" w14:textId="77777777" w:rsidR="00A10B25" w:rsidRDefault="00A10B25">
            <w:pPr>
              <w:pStyle w:val="TAL"/>
            </w:pPr>
            <w:r>
              <w:t>Represents the UE moved out of the NF serving area.</w:t>
            </w:r>
          </w:p>
        </w:tc>
        <w:tc>
          <w:tcPr>
            <w:tcW w:w="1169" w:type="pct"/>
          </w:tcPr>
          <w:p w14:paraId="61845B00" w14:textId="77777777" w:rsidR="00A10B25" w:rsidRDefault="00A10B25">
            <w:pPr>
              <w:pStyle w:val="TAL"/>
            </w:pPr>
          </w:p>
        </w:tc>
      </w:tr>
      <w:tr w:rsidR="00A10B25" w14:paraId="7366F0ED" w14:textId="77777777">
        <w:tc>
          <w:tcPr>
            <w:tcW w:w="2423" w:type="pct"/>
            <w:tcMar>
              <w:top w:w="0" w:type="dxa"/>
              <w:left w:w="108" w:type="dxa"/>
              <w:bottom w:w="0" w:type="dxa"/>
              <w:right w:w="108" w:type="dxa"/>
            </w:tcMar>
          </w:tcPr>
          <w:p w14:paraId="08AEBDAA" w14:textId="77777777" w:rsidR="00A10B25" w:rsidRDefault="00A10B25">
            <w:pPr>
              <w:pStyle w:val="TAL"/>
            </w:pPr>
            <w:r>
              <w:t>OTHER</w:t>
            </w:r>
          </w:p>
        </w:tc>
        <w:tc>
          <w:tcPr>
            <w:tcW w:w="1408" w:type="pct"/>
            <w:tcMar>
              <w:top w:w="0" w:type="dxa"/>
              <w:left w:w="108" w:type="dxa"/>
              <w:bottom w:w="0" w:type="dxa"/>
              <w:right w:w="108" w:type="dxa"/>
            </w:tcMar>
          </w:tcPr>
          <w:p w14:paraId="32AECA9F" w14:textId="77777777" w:rsidR="00A10B25" w:rsidRDefault="00A10B25">
            <w:pPr>
              <w:pStyle w:val="TAL"/>
              <w:rPr>
                <w:lang w:eastAsia="zh-CN"/>
              </w:rPr>
            </w:pPr>
            <w:r>
              <w:t>Represents the other cause.</w:t>
            </w:r>
          </w:p>
        </w:tc>
        <w:tc>
          <w:tcPr>
            <w:tcW w:w="1169" w:type="pct"/>
          </w:tcPr>
          <w:p w14:paraId="76A00183" w14:textId="77777777" w:rsidR="00A10B25" w:rsidRDefault="00A10B25">
            <w:pPr>
              <w:pStyle w:val="TAL"/>
            </w:pPr>
          </w:p>
        </w:tc>
      </w:tr>
    </w:tbl>
    <w:p w14:paraId="4F35BB7E" w14:textId="77777777" w:rsidR="00A10B25" w:rsidRDefault="00A10B25">
      <w:pPr>
        <w:rPr>
          <w:lang w:val="en-US" w:eastAsia="zh-CN"/>
        </w:rPr>
      </w:pPr>
    </w:p>
    <w:p w14:paraId="5B66B34E" w14:textId="77777777" w:rsidR="00A10B25" w:rsidRDefault="00A10B25">
      <w:pPr>
        <w:pStyle w:val="3"/>
        <w:rPr>
          <w:lang w:val="en-US"/>
        </w:rPr>
      </w:pPr>
      <w:bookmarkStart w:id="12601" w:name="_Toc101244592"/>
      <w:bookmarkStart w:id="12602" w:name="_Toc94064412"/>
      <w:bookmarkStart w:id="12603" w:name="_Toc85553113"/>
      <w:bookmarkStart w:id="12604" w:name="_Toc98233814"/>
      <w:bookmarkStart w:id="12605" w:name="_Toc90656007"/>
      <w:bookmarkStart w:id="12606" w:name="_Toc145705928"/>
      <w:bookmarkStart w:id="12607" w:name="_Toc83233184"/>
      <w:bookmarkStart w:id="12608" w:name="_Toc112951320"/>
      <w:bookmarkStart w:id="12609" w:name="_Toc138754433"/>
      <w:bookmarkStart w:id="12610" w:name="_Toc85557212"/>
      <w:bookmarkStart w:id="12611" w:name="_Toc114133999"/>
      <w:bookmarkStart w:id="12612" w:name="_Toc88667722"/>
      <w:bookmarkStart w:id="12613" w:name="_Toc136562599"/>
      <w:bookmarkStart w:id="12614" w:name="_Toc113031860"/>
      <w:bookmarkStart w:id="12615" w:name="_Toc148522842"/>
      <w:bookmarkStart w:id="12616" w:name="_Toc70550729"/>
      <w:bookmarkStart w:id="12617" w:name="_Toc120702500"/>
      <w:bookmarkStart w:id="12618" w:name="_Toc104539197"/>
      <w:bookmarkStart w:id="12619" w:name="_Toc164921030"/>
      <w:bookmarkStart w:id="12620" w:name="_Toc170120572"/>
      <w:bookmarkStart w:id="12621" w:name="_Toc175858817"/>
      <w:bookmarkStart w:id="12622" w:name="_Toc175859890"/>
      <w:bookmarkStart w:id="12623" w:name="_Toc180606180"/>
      <w:bookmarkStart w:id="12624" w:name="_Toc185517441"/>
      <w:bookmarkStart w:id="12625" w:name="_Toc191576493"/>
      <w:bookmarkStart w:id="12626" w:name="_Toc191577233"/>
      <w:bookmarkStart w:id="12627" w:name="_Toc192880303"/>
      <w:bookmarkStart w:id="12628" w:name="_Toc195815192"/>
      <w:bookmarkStart w:id="12629" w:name="_Toc199453159"/>
      <w:r>
        <w:rPr>
          <w:lang w:val="en-US"/>
        </w:rPr>
        <w:t>5.3.7</w:t>
      </w:r>
      <w:r>
        <w:rPr>
          <w:lang w:val="en-US"/>
        </w:rPr>
        <w:tab/>
        <w:t>Error handling</w:t>
      </w:r>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0DF98BB5" w14:textId="77777777" w:rsidR="00A10B25" w:rsidRDefault="00A10B25">
      <w:pPr>
        <w:pStyle w:val="4"/>
      </w:pPr>
      <w:bookmarkStart w:id="12630" w:name="_Toc104539198"/>
      <w:bookmarkStart w:id="12631" w:name="_Toc138754434"/>
      <w:bookmarkStart w:id="12632" w:name="_Toc101244593"/>
      <w:bookmarkStart w:id="12633" w:name="_Toc148522843"/>
      <w:bookmarkStart w:id="12634" w:name="_Toc112951321"/>
      <w:bookmarkStart w:id="12635" w:name="_Toc114134000"/>
      <w:bookmarkStart w:id="12636" w:name="_Toc120702501"/>
      <w:bookmarkStart w:id="12637" w:name="_Toc113031861"/>
      <w:bookmarkStart w:id="12638" w:name="_Toc136562600"/>
      <w:bookmarkStart w:id="12639" w:name="_Toc145705929"/>
      <w:bookmarkStart w:id="12640" w:name="_Toc164921031"/>
      <w:bookmarkStart w:id="12641" w:name="_Toc170120573"/>
      <w:bookmarkStart w:id="12642" w:name="_Toc175858818"/>
      <w:bookmarkStart w:id="12643" w:name="_Toc175859891"/>
      <w:bookmarkStart w:id="12644" w:name="_Toc180606181"/>
      <w:bookmarkStart w:id="12645" w:name="_Toc185517442"/>
      <w:bookmarkStart w:id="12646" w:name="_Toc191576494"/>
      <w:bookmarkStart w:id="12647" w:name="_Toc191577234"/>
      <w:bookmarkStart w:id="12648" w:name="_Toc192880304"/>
      <w:bookmarkStart w:id="12649" w:name="_Toc195815193"/>
      <w:bookmarkStart w:id="12650" w:name="_Toc199453160"/>
      <w:r>
        <w:t>5.3.7.1</w:t>
      </w:r>
      <w:r>
        <w:tab/>
        <w:t>General</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39716676" w14:textId="77777777" w:rsidR="00A10B25" w:rsidRDefault="00A10B25">
      <w:pPr>
        <w:rPr>
          <w:rFonts w:eastAsia="Batang"/>
        </w:rPr>
      </w:pPr>
      <w:r>
        <w:rPr>
          <w:rFonts w:eastAsia="Batang"/>
        </w:rPr>
        <w:t>HTTP error handling shall be supported as specified in clause 5.2.4 of TS 29.500 [6].</w:t>
      </w:r>
    </w:p>
    <w:p w14:paraId="4E749030" w14:textId="77777777" w:rsidR="00A10B25" w:rsidRDefault="00A10B25">
      <w:pPr>
        <w:rPr>
          <w:rFonts w:eastAsia="Batang"/>
        </w:rPr>
      </w:pPr>
      <w:r>
        <w:rPr>
          <w:rFonts w:eastAsia="Batang"/>
        </w:rPr>
        <w:t xml:space="preserve">For the </w:t>
      </w:r>
      <w:r>
        <w:rPr>
          <w:lang w:eastAsia="ja-JP"/>
        </w:rPr>
        <w:t>Nnwdaf_DataManagement</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68CC5AAD" w14:textId="77777777" w:rsidR="00A10B25" w:rsidRDefault="00A10B25">
      <w:pPr>
        <w:pStyle w:val="4"/>
      </w:pPr>
      <w:bookmarkStart w:id="12651" w:name="_Toc104539199"/>
      <w:bookmarkStart w:id="12652" w:name="_Toc113031862"/>
      <w:bookmarkStart w:id="12653" w:name="_Toc101244594"/>
      <w:bookmarkStart w:id="12654" w:name="_Toc120702502"/>
      <w:bookmarkStart w:id="12655" w:name="_Toc136562601"/>
      <w:bookmarkStart w:id="12656" w:name="_Toc148522844"/>
      <w:bookmarkStart w:id="12657" w:name="_Toc138754435"/>
      <w:bookmarkStart w:id="12658" w:name="_Toc145705930"/>
      <w:bookmarkStart w:id="12659" w:name="_Toc112951322"/>
      <w:bookmarkStart w:id="12660" w:name="_Toc114134001"/>
      <w:bookmarkStart w:id="12661" w:name="_Toc164921032"/>
      <w:bookmarkStart w:id="12662" w:name="_Toc170120574"/>
      <w:bookmarkStart w:id="12663" w:name="_Toc175858819"/>
      <w:bookmarkStart w:id="12664" w:name="_Toc175859892"/>
      <w:bookmarkStart w:id="12665" w:name="_Toc180606182"/>
      <w:bookmarkStart w:id="12666" w:name="_Toc185517443"/>
      <w:bookmarkStart w:id="12667" w:name="_Toc191576495"/>
      <w:bookmarkStart w:id="12668" w:name="_Toc191577235"/>
      <w:bookmarkStart w:id="12669" w:name="_Toc192880305"/>
      <w:bookmarkStart w:id="12670" w:name="_Toc195815194"/>
      <w:bookmarkStart w:id="12671" w:name="_Toc199453161"/>
      <w:r>
        <w:t>5.3.7.2</w:t>
      </w:r>
      <w:r>
        <w:tab/>
        <w:t>Protocol Errors</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p>
    <w:p w14:paraId="02BF8581"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Nnwdaf_DataManagement</w:t>
      </w:r>
      <w:r>
        <w:rPr>
          <w:rFonts w:eastAsia="Batang"/>
        </w:rPr>
        <w:t xml:space="preserve"> API.</w:t>
      </w:r>
    </w:p>
    <w:p w14:paraId="08715380" w14:textId="77777777" w:rsidR="00A10B25" w:rsidRDefault="00A10B25">
      <w:pPr>
        <w:pStyle w:val="4"/>
        <w:rPr>
          <w:rFonts w:eastAsia="Batang"/>
          <w:sz w:val="28"/>
        </w:rPr>
      </w:pPr>
      <w:bookmarkStart w:id="12672" w:name="_Toc112951323"/>
      <w:bookmarkStart w:id="12673" w:name="_Toc113031863"/>
      <w:bookmarkStart w:id="12674" w:name="_Toc138754436"/>
      <w:bookmarkStart w:id="12675" w:name="_Toc120702503"/>
      <w:bookmarkStart w:id="12676" w:name="_Toc145705931"/>
      <w:bookmarkStart w:id="12677" w:name="_Toc136562602"/>
      <w:bookmarkStart w:id="12678" w:name="_Toc148522845"/>
      <w:bookmarkStart w:id="12679" w:name="_Toc101244595"/>
      <w:bookmarkStart w:id="12680" w:name="_Toc114134002"/>
      <w:bookmarkStart w:id="12681" w:name="_Toc104539200"/>
      <w:bookmarkStart w:id="12682" w:name="_Toc164921033"/>
      <w:bookmarkStart w:id="12683" w:name="_Toc170120575"/>
      <w:bookmarkStart w:id="12684" w:name="_Toc175858820"/>
      <w:bookmarkStart w:id="12685" w:name="_Toc175859893"/>
      <w:bookmarkStart w:id="12686" w:name="_Toc180606183"/>
      <w:bookmarkStart w:id="12687" w:name="_Toc185517444"/>
      <w:bookmarkStart w:id="12688" w:name="_Toc191576496"/>
      <w:bookmarkStart w:id="12689" w:name="_Toc191577236"/>
      <w:bookmarkStart w:id="12690" w:name="_Toc192880306"/>
      <w:bookmarkStart w:id="12691" w:name="_Toc195815195"/>
      <w:bookmarkStart w:id="12692" w:name="_Toc199453162"/>
      <w:r>
        <w:t>5.3.7.3</w:t>
      </w:r>
      <w:r>
        <w:tab/>
        <w:t>Application Errors</w:t>
      </w:r>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p>
    <w:p w14:paraId="7E9CFA5D" w14:textId="77777777" w:rsidR="00A10B25" w:rsidRDefault="00A10B25">
      <w:pPr>
        <w:rPr>
          <w:rFonts w:eastAsia="Batang"/>
        </w:rPr>
      </w:pPr>
      <w:r>
        <w:rPr>
          <w:rFonts w:eastAsia="Batang"/>
        </w:rPr>
        <w:t xml:space="preserve">The application errors defined for the </w:t>
      </w:r>
      <w:r>
        <w:rPr>
          <w:lang w:eastAsia="ja-JP"/>
        </w:rPr>
        <w:t>Nnwdaf_DataManagement</w:t>
      </w:r>
      <w:r>
        <w:rPr>
          <w:rFonts w:eastAsia="Batang"/>
        </w:rPr>
        <w:t xml:space="preserve"> API are listed in table 5.3.7.3-1.</w:t>
      </w:r>
    </w:p>
    <w:p w14:paraId="673DC0B4" w14:textId="77777777" w:rsidR="00A10B25" w:rsidRDefault="00A10B25">
      <w:pPr>
        <w:pStyle w:val="TH"/>
      </w:pPr>
      <w:r>
        <w:t>Table 5.3.7.3-1: Application errors</w:t>
      </w:r>
    </w:p>
    <w:tbl>
      <w:tblPr>
        <w:tblW w:w="9747"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A10B25" w14:paraId="7CC61361" w14:textId="77777777">
        <w:trPr>
          <w:cantSplit/>
          <w:jc w:val="center"/>
        </w:trPr>
        <w:tc>
          <w:tcPr>
            <w:tcW w:w="3834" w:type="dxa"/>
            <w:shd w:val="clear" w:color="auto" w:fill="C0C0C0"/>
          </w:tcPr>
          <w:p w14:paraId="47169EEB" w14:textId="77777777" w:rsidR="00A10B25" w:rsidRDefault="00A10B25">
            <w:pPr>
              <w:pStyle w:val="TAH"/>
            </w:pPr>
            <w:r>
              <w:t>Application Error</w:t>
            </w:r>
          </w:p>
        </w:tc>
        <w:tc>
          <w:tcPr>
            <w:tcW w:w="1980" w:type="dxa"/>
            <w:shd w:val="clear" w:color="auto" w:fill="C0C0C0"/>
          </w:tcPr>
          <w:p w14:paraId="49DB7BEE" w14:textId="77777777" w:rsidR="00A10B25" w:rsidRDefault="00A10B25">
            <w:pPr>
              <w:pStyle w:val="TAH"/>
            </w:pPr>
            <w:r>
              <w:t>HTTP status code</w:t>
            </w:r>
          </w:p>
        </w:tc>
        <w:tc>
          <w:tcPr>
            <w:tcW w:w="3933" w:type="dxa"/>
            <w:shd w:val="clear" w:color="auto" w:fill="C0C0C0"/>
          </w:tcPr>
          <w:p w14:paraId="042E3C25" w14:textId="77777777" w:rsidR="00A10B25" w:rsidRDefault="00A10B25">
            <w:pPr>
              <w:pStyle w:val="TAH"/>
            </w:pPr>
            <w:r>
              <w:t>Description</w:t>
            </w:r>
          </w:p>
        </w:tc>
      </w:tr>
      <w:tr w:rsidR="00A10B25" w14:paraId="628D404A" w14:textId="77777777">
        <w:trPr>
          <w:cantSplit/>
          <w:jc w:val="center"/>
        </w:trPr>
        <w:tc>
          <w:tcPr>
            <w:tcW w:w="3834" w:type="dxa"/>
          </w:tcPr>
          <w:p w14:paraId="55E27C6E" w14:textId="77777777" w:rsidR="00A10B25" w:rsidRDefault="00A10B25">
            <w:pPr>
              <w:pStyle w:val="TAL"/>
            </w:pPr>
            <w:r>
              <w:t>SUBSCRIPTION_CANNOT_BE_SERVED</w:t>
            </w:r>
          </w:p>
        </w:tc>
        <w:tc>
          <w:tcPr>
            <w:tcW w:w="1980" w:type="dxa"/>
          </w:tcPr>
          <w:p w14:paraId="6CCC5C1A" w14:textId="77777777" w:rsidR="00A10B25" w:rsidRDefault="00A10B25">
            <w:pPr>
              <w:pStyle w:val="TAL"/>
            </w:pPr>
            <w:r>
              <w:t>400 Bad Request</w:t>
            </w:r>
          </w:p>
        </w:tc>
        <w:tc>
          <w:tcPr>
            <w:tcW w:w="3933" w:type="dxa"/>
          </w:tcPr>
          <w:p w14:paraId="76F650F8" w14:textId="77777777" w:rsidR="00A10B25" w:rsidRDefault="00A10B25">
            <w:pPr>
              <w:pStyle w:val="TAL"/>
            </w:pPr>
            <w:r>
              <w:t>Indicates that the NWDAF cannot use the contents of the request to either a) determine whether the subscription can already be served or interactions with the ADRF and/or data sources are required or b) determine what interactions with the ADRF and/or data sources are required (if it has determined that they are required).</w:t>
            </w:r>
          </w:p>
        </w:tc>
      </w:tr>
      <w:tr w:rsidR="00A10B25" w14:paraId="0D25188C" w14:textId="77777777">
        <w:trPr>
          <w:cantSplit/>
          <w:jc w:val="center"/>
        </w:trPr>
        <w:tc>
          <w:tcPr>
            <w:tcW w:w="3834" w:type="dxa"/>
          </w:tcPr>
          <w:p w14:paraId="5FE83D02" w14:textId="77777777" w:rsidR="00A10B25" w:rsidRDefault="00A10B25">
            <w:pPr>
              <w:pStyle w:val="TAL"/>
            </w:pPr>
            <w:r>
              <w:t>USER_CONSENT_NOT_GRANTED</w:t>
            </w:r>
          </w:p>
        </w:tc>
        <w:tc>
          <w:tcPr>
            <w:tcW w:w="1980" w:type="dxa"/>
          </w:tcPr>
          <w:p w14:paraId="6B7965AB" w14:textId="77777777" w:rsidR="00A10B25" w:rsidRDefault="00A10B25">
            <w:pPr>
              <w:pStyle w:val="TAL"/>
            </w:pPr>
            <w:r>
              <w:t>403 Forbidden</w:t>
            </w:r>
          </w:p>
        </w:tc>
        <w:tc>
          <w:tcPr>
            <w:tcW w:w="3933" w:type="dxa"/>
          </w:tcPr>
          <w:p w14:paraId="2B3E3933" w14:textId="77777777" w:rsidR="00A10B25" w:rsidRDefault="00A10B25">
            <w:pPr>
              <w:pStyle w:val="TAL"/>
            </w:pPr>
            <w:r>
              <w:t>Indicates that the request shall be rejected because an impacted user has not provided the required user consent.</w:t>
            </w:r>
          </w:p>
        </w:tc>
      </w:tr>
      <w:tr w:rsidR="00A10B25" w14:paraId="7930E256" w14:textId="77777777">
        <w:trPr>
          <w:cantSplit/>
          <w:jc w:val="center"/>
        </w:trPr>
        <w:tc>
          <w:tcPr>
            <w:tcW w:w="3834" w:type="dxa"/>
          </w:tcPr>
          <w:p w14:paraId="632B5D1E" w14:textId="77777777" w:rsidR="00A10B25" w:rsidRDefault="00A10B25">
            <w:pPr>
              <w:pStyle w:val="TAL"/>
            </w:pPr>
            <w:r>
              <w:t>MUTING_INSTR_NOT_ACCEPTED</w:t>
            </w:r>
          </w:p>
        </w:tc>
        <w:tc>
          <w:tcPr>
            <w:tcW w:w="1980" w:type="dxa"/>
          </w:tcPr>
          <w:p w14:paraId="11A032D3" w14:textId="77777777" w:rsidR="00A10B25" w:rsidRDefault="00A10B25">
            <w:pPr>
              <w:pStyle w:val="TAL"/>
            </w:pPr>
            <w:r>
              <w:t>403 Forbidden</w:t>
            </w:r>
          </w:p>
        </w:tc>
        <w:tc>
          <w:tcPr>
            <w:tcW w:w="3933" w:type="dxa"/>
          </w:tcPr>
          <w:p w14:paraId="49CA83D8" w14:textId="77777777" w:rsidR="00A10B25" w:rsidRDefault="00A10B25">
            <w:pPr>
              <w:pStyle w:val="TAL"/>
            </w:pPr>
            <w:r>
              <w:t>Indicates that the muting instructions received by the NF service consumer cannot be accepted.</w:t>
            </w:r>
          </w:p>
        </w:tc>
      </w:tr>
      <w:tr w:rsidR="00A10B25" w14:paraId="2702B522" w14:textId="77777777">
        <w:trPr>
          <w:cantSplit/>
          <w:jc w:val="center"/>
        </w:trPr>
        <w:tc>
          <w:tcPr>
            <w:tcW w:w="9747" w:type="dxa"/>
            <w:gridSpan w:val="3"/>
          </w:tcPr>
          <w:p w14:paraId="6367FA85" w14:textId="77777777" w:rsidR="00A10B25" w:rsidRDefault="00A10B25">
            <w:pPr>
              <w:pStyle w:val="TAN"/>
            </w:pPr>
            <w:r>
              <w:t>NOTE:</w:t>
            </w:r>
            <w:r>
              <w:tab/>
              <w:t>Including a "ProblemDetails" data structure with the "cause" attribute in the HTTP response is optional unless explicitly mandated in the service operation clauses.</w:t>
            </w:r>
          </w:p>
        </w:tc>
      </w:tr>
    </w:tbl>
    <w:p w14:paraId="2DEB93A6" w14:textId="77777777" w:rsidR="00A10B25" w:rsidRDefault="00A10B25">
      <w:pPr>
        <w:rPr>
          <w:lang w:val="en-US" w:eastAsia="zh-CN"/>
        </w:rPr>
      </w:pPr>
    </w:p>
    <w:p w14:paraId="418C06EB" w14:textId="77777777" w:rsidR="00A10B25" w:rsidRDefault="00A10B25">
      <w:pPr>
        <w:pStyle w:val="3"/>
        <w:rPr>
          <w:lang w:eastAsia="zh-CN"/>
        </w:rPr>
      </w:pPr>
      <w:bookmarkStart w:id="12693" w:name="_Toc90656008"/>
      <w:bookmarkStart w:id="12694" w:name="_Toc85557213"/>
      <w:bookmarkStart w:id="12695" w:name="_Toc104539201"/>
      <w:bookmarkStart w:id="12696" w:name="_Toc101244596"/>
      <w:bookmarkStart w:id="12697" w:name="_Toc98233815"/>
      <w:bookmarkStart w:id="12698" w:name="_Toc88667723"/>
      <w:bookmarkStart w:id="12699" w:name="_Toc94064413"/>
      <w:bookmarkStart w:id="12700" w:name="_Toc113031864"/>
      <w:bookmarkStart w:id="12701" w:name="_Toc83233185"/>
      <w:bookmarkStart w:id="12702" w:name="_Toc70550730"/>
      <w:bookmarkStart w:id="12703" w:name="_Toc114134003"/>
      <w:bookmarkStart w:id="12704" w:name="_Toc85553114"/>
      <w:bookmarkStart w:id="12705" w:name="_Toc136562603"/>
      <w:bookmarkStart w:id="12706" w:name="_Toc145705932"/>
      <w:bookmarkStart w:id="12707" w:name="_Toc148522846"/>
      <w:bookmarkStart w:id="12708" w:name="_Toc112951324"/>
      <w:bookmarkStart w:id="12709" w:name="_Toc138754437"/>
      <w:bookmarkStart w:id="12710" w:name="_Toc120702504"/>
      <w:bookmarkStart w:id="12711" w:name="_Toc164921034"/>
      <w:bookmarkStart w:id="12712" w:name="_Toc170120576"/>
      <w:bookmarkStart w:id="12713" w:name="_Toc175858821"/>
      <w:bookmarkStart w:id="12714" w:name="_Toc175859894"/>
      <w:bookmarkStart w:id="12715" w:name="_Toc180606184"/>
      <w:bookmarkStart w:id="12716" w:name="_Toc185517445"/>
      <w:bookmarkStart w:id="12717" w:name="_Toc191576497"/>
      <w:bookmarkStart w:id="12718" w:name="_Toc191577237"/>
      <w:bookmarkStart w:id="12719" w:name="_Toc192880307"/>
      <w:bookmarkStart w:id="12720" w:name="_Toc195815196"/>
      <w:bookmarkStart w:id="12721" w:name="_Toc199453163"/>
      <w:r>
        <w:rPr>
          <w:lang w:val="en-US"/>
        </w:rPr>
        <w:lastRenderedPageBreak/>
        <w:t>5.3</w:t>
      </w:r>
      <w:r>
        <w:rPr>
          <w:rFonts w:hint="eastAsia"/>
          <w:lang w:val="en-US"/>
        </w:rPr>
        <w:t>.</w:t>
      </w:r>
      <w:r>
        <w:rPr>
          <w:lang w:val="en-US"/>
        </w:rPr>
        <w:t>8</w:t>
      </w:r>
      <w:r>
        <w:rPr>
          <w:rFonts w:hint="eastAsia"/>
          <w:lang w:val="en-US"/>
        </w:rPr>
        <w:tab/>
      </w:r>
      <w:r>
        <w:rPr>
          <w:lang w:val="en-US"/>
        </w:rPr>
        <w:t>Feature negotiation</w:t>
      </w:r>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33F24761" w14:textId="77777777" w:rsidR="00A10B25" w:rsidRDefault="00A10B25">
      <w:pPr>
        <w:rPr>
          <w:rFonts w:eastAsia="Batang"/>
        </w:rPr>
      </w:pPr>
      <w:r>
        <w:rPr>
          <w:rFonts w:eastAsia="Batang"/>
        </w:rPr>
        <w:t xml:space="preserve">The optional features in table 5.3.8-1 are defined for the </w:t>
      </w:r>
      <w:r>
        <w:rPr>
          <w:lang w:eastAsia="ja-JP"/>
        </w:rPr>
        <w:t>Nnwdaf_DataManagement</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70A91E31" w14:textId="77777777" w:rsidR="00A10B25" w:rsidRDefault="00A10B25">
      <w:pPr>
        <w:pStyle w:val="TH"/>
      </w:pPr>
      <w:r>
        <w:t>Table 5.3.8-1: Supported Features</w:t>
      </w:r>
    </w:p>
    <w:tbl>
      <w:tblPr>
        <w:tblW w:w="949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37D77295" w14:textId="77777777">
        <w:trPr>
          <w:jc w:val="center"/>
        </w:trPr>
        <w:tc>
          <w:tcPr>
            <w:tcW w:w="1525" w:type="dxa"/>
            <w:shd w:val="clear" w:color="auto" w:fill="C0C0C0"/>
          </w:tcPr>
          <w:p w14:paraId="22F8225B" w14:textId="77777777" w:rsidR="00A10B25" w:rsidRDefault="00A10B25">
            <w:pPr>
              <w:pStyle w:val="TAH"/>
            </w:pPr>
            <w:r>
              <w:t>Feature number</w:t>
            </w:r>
          </w:p>
        </w:tc>
        <w:tc>
          <w:tcPr>
            <w:tcW w:w="2237" w:type="dxa"/>
            <w:shd w:val="clear" w:color="auto" w:fill="C0C0C0"/>
          </w:tcPr>
          <w:p w14:paraId="244ACDE9" w14:textId="77777777" w:rsidR="00A10B25" w:rsidRDefault="00A10B25">
            <w:pPr>
              <w:pStyle w:val="TAH"/>
            </w:pPr>
            <w:r>
              <w:t>Feature Name</w:t>
            </w:r>
          </w:p>
        </w:tc>
        <w:tc>
          <w:tcPr>
            <w:tcW w:w="5732" w:type="dxa"/>
            <w:shd w:val="clear" w:color="auto" w:fill="C0C0C0"/>
          </w:tcPr>
          <w:p w14:paraId="64CA16BE" w14:textId="77777777" w:rsidR="00A10B25" w:rsidRDefault="00A10B25">
            <w:pPr>
              <w:pStyle w:val="TAH"/>
            </w:pPr>
            <w:r>
              <w:t>Description</w:t>
            </w:r>
          </w:p>
        </w:tc>
      </w:tr>
      <w:tr w:rsidR="00A10B25" w14:paraId="4180D22C" w14:textId="77777777">
        <w:trPr>
          <w:jc w:val="center"/>
        </w:trPr>
        <w:tc>
          <w:tcPr>
            <w:tcW w:w="1525" w:type="dxa"/>
          </w:tcPr>
          <w:p w14:paraId="5F5385C2" w14:textId="77777777" w:rsidR="00A10B25" w:rsidRDefault="00A10B25">
            <w:pPr>
              <w:pStyle w:val="TAL"/>
            </w:pPr>
            <w:r>
              <w:rPr>
                <w:rFonts w:hint="eastAsia"/>
                <w:lang w:eastAsia="zh-CN"/>
              </w:rPr>
              <w:t>1</w:t>
            </w:r>
          </w:p>
        </w:tc>
        <w:tc>
          <w:tcPr>
            <w:tcW w:w="2237" w:type="dxa"/>
          </w:tcPr>
          <w:p w14:paraId="223F5632" w14:textId="77777777" w:rsidR="00A10B25" w:rsidRDefault="00A10B25">
            <w:pPr>
              <w:pStyle w:val="TAL"/>
            </w:pPr>
            <w:r>
              <w:rPr>
                <w:rFonts w:cs="Arial" w:hint="eastAsia"/>
                <w:szCs w:val="18"/>
                <w:lang w:eastAsia="zh-CN"/>
              </w:rPr>
              <w:t>Multi</w:t>
            </w:r>
            <w:r>
              <w:rPr>
                <w:lang w:val="en-US" w:eastAsia="zh-CN"/>
              </w:rPr>
              <w:t>ProcessingInstruction</w:t>
            </w:r>
          </w:p>
        </w:tc>
        <w:tc>
          <w:tcPr>
            <w:tcW w:w="5732" w:type="dxa"/>
          </w:tcPr>
          <w:p w14:paraId="72DA7329" w14:textId="77777777" w:rsidR="00A10B25" w:rsidRDefault="00A10B25">
            <w:pPr>
              <w:pStyle w:val="TAL"/>
              <w:rPr>
                <w:rFonts w:cs="Arial"/>
                <w:szCs w:val="18"/>
              </w:rPr>
            </w:pPr>
            <w:r>
              <w:t xml:space="preserve">Indicates the support of multiple </w:t>
            </w:r>
            <w:r>
              <w:rPr>
                <w:lang w:eastAsia="ja-JP"/>
              </w:rPr>
              <w:t>processing instructions</w:t>
            </w:r>
            <w:r>
              <w:t>.</w:t>
            </w:r>
          </w:p>
        </w:tc>
      </w:tr>
      <w:tr w:rsidR="00A10B25" w14:paraId="6F1C58A3" w14:textId="77777777">
        <w:trPr>
          <w:jc w:val="center"/>
        </w:trPr>
        <w:tc>
          <w:tcPr>
            <w:tcW w:w="1525" w:type="dxa"/>
          </w:tcPr>
          <w:p w14:paraId="060BB994" w14:textId="77777777" w:rsidR="00A10B25" w:rsidRDefault="00A10B25">
            <w:pPr>
              <w:pStyle w:val="TAL"/>
              <w:rPr>
                <w:rFonts w:eastAsia="等线" w:hint="eastAsia"/>
                <w:lang w:eastAsia="zh-CN"/>
              </w:rPr>
            </w:pPr>
            <w:r>
              <w:rPr>
                <w:rFonts w:eastAsia="等线" w:hint="eastAsia"/>
                <w:lang w:eastAsia="zh-CN"/>
              </w:rPr>
              <w:t>2</w:t>
            </w:r>
          </w:p>
        </w:tc>
        <w:tc>
          <w:tcPr>
            <w:tcW w:w="2237" w:type="dxa"/>
          </w:tcPr>
          <w:p w14:paraId="0ADB2335" w14:textId="77777777" w:rsidR="00A10B25" w:rsidRDefault="00A10B25">
            <w:pPr>
              <w:pStyle w:val="TAL"/>
              <w:rPr>
                <w:rFonts w:eastAsia="Batang"/>
              </w:rPr>
            </w:pPr>
            <w:r>
              <w:t>UserConsent</w:t>
            </w:r>
          </w:p>
        </w:tc>
        <w:tc>
          <w:tcPr>
            <w:tcW w:w="5732" w:type="dxa"/>
          </w:tcPr>
          <w:p w14:paraId="13E263D3" w14:textId="77777777" w:rsidR="00A10B25" w:rsidRDefault="00A10B25">
            <w:pPr>
              <w:pStyle w:val="TAL"/>
              <w:rPr>
                <w:rFonts w:eastAsia="Batang" w:cs="Arial"/>
                <w:szCs w:val="18"/>
              </w:rPr>
            </w:pPr>
            <w:r>
              <w:rPr>
                <w:rFonts w:cs="Arial"/>
                <w:szCs w:val="18"/>
              </w:rPr>
              <w:t>Indicates the support of detailed handling of user consent, e.g. indications that user consent has been checked and error responses related to the lack of user consent.</w:t>
            </w:r>
          </w:p>
        </w:tc>
      </w:tr>
      <w:tr w:rsidR="00A10B25" w14:paraId="4ECCD8E9" w14:textId="77777777">
        <w:trPr>
          <w:jc w:val="center"/>
        </w:trPr>
        <w:tc>
          <w:tcPr>
            <w:tcW w:w="1525" w:type="dxa"/>
          </w:tcPr>
          <w:p w14:paraId="2D814DE4" w14:textId="77777777" w:rsidR="00A10B25" w:rsidRDefault="00A10B25">
            <w:pPr>
              <w:keepNext/>
              <w:keepLines/>
              <w:spacing w:after="0"/>
              <w:rPr>
                <w:rFonts w:eastAsia="等线" w:hint="eastAsia"/>
                <w:lang w:eastAsia="zh-CN"/>
              </w:rPr>
            </w:pPr>
            <w:r>
              <w:rPr>
                <w:rFonts w:ascii="Arial" w:eastAsia="等线" w:hAnsi="Arial"/>
                <w:sz w:val="18"/>
                <w:lang w:eastAsia="zh-CN"/>
              </w:rPr>
              <w:t>3</w:t>
            </w:r>
          </w:p>
        </w:tc>
        <w:tc>
          <w:tcPr>
            <w:tcW w:w="2237" w:type="dxa"/>
          </w:tcPr>
          <w:p w14:paraId="5495F43A" w14:textId="77777777" w:rsidR="00A10B25" w:rsidRDefault="00A10B25">
            <w:pPr>
              <w:pStyle w:val="TAL"/>
            </w:pPr>
            <w:r>
              <w:t>DataAnaCollect</w:t>
            </w:r>
          </w:p>
        </w:tc>
        <w:tc>
          <w:tcPr>
            <w:tcW w:w="5732" w:type="dxa"/>
          </w:tcPr>
          <w:p w14:paraId="17C72B17" w14:textId="77777777" w:rsidR="00A10B25" w:rsidRDefault="00A10B25">
            <w:pPr>
              <w:pStyle w:val="TAL"/>
              <w:rPr>
                <w:rFonts w:cs="Arial"/>
                <w:szCs w:val="18"/>
              </w:rPr>
            </w:pPr>
            <w:r>
              <w:t>This feature indicates support for the enhancement of data and analytics collection.</w:t>
            </w:r>
          </w:p>
        </w:tc>
      </w:tr>
      <w:tr w:rsidR="00A10B25" w14:paraId="46342A7C" w14:textId="77777777">
        <w:trPr>
          <w:jc w:val="center"/>
        </w:trPr>
        <w:tc>
          <w:tcPr>
            <w:tcW w:w="1525" w:type="dxa"/>
          </w:tcPr>
          <w:p w14:paraId="23AA4E65" w14:textId="77777777" w:rsidR="00A10B25" w:rsidRDefault="00A10B25">
            <w:pPr>
              <w:keepNext/>
              <w:keepLines/>
              <w:spacing w:after="0"/>
              <w:rPr>
                <w:rFonts w:ascii="Arial" w:eastAsia="等线" w:hAnsi="Arial" w:hint="eastAsia"/>
                <w:sz w:val="18"/>
                <w:lang w:eastAsia="zh-CN"/>
              </w:rPr>
            </w:pPr>
            <w:r>
              <w:rPr>
                <w:rFonts w:ascii="Arial" w:eastAsia="等线" w:hAnsi="Arial" w:hint="eastAsia"/>
                <w:sz w:val="18"/>
                <w:lang w:eastAsia="zh-CN"/>
              </w:rPr>
              <w:t>4</w:t>
            </w:r>
          </w:p>
        </w:tc>
        <w:tc>
          <w:tcPr>
            <w:tcW w:w="2237" w:type="dxa"/>
          </w:tcPr>
          <w:p w14:paraId="578E33CF" w14:textId="77777777" w:rsidR="00A10B25" w:rsidRDefault="00A10B25">
            <w:pPr>
              <w:pStyle w:val="TAL"/>
            </w:pPr>
            <w:r>
              <w:t>EnhDataMgmt</w:t>
            </w:r>
          </w:p>
        </w:tc>
        <w:tc>
          <w:tcPr>
            <w:tcW w:w="5732" w:type="dxa"/>
          </w:tcPr>
          <w:p w14:paraId="0566721B" w14:textId="77777777" w:rsidR="00A10B25" w:rsidRDefault="00A10B25">
            <w:pPr>
              <w:pStyle w:val="TAL"/>
            </w:pPr>
            <w:r>
              <w:t>Indicates the support of enhanced data management mechanisms, including supporting of pending notification, muting and storage handling.</w:t>
            </w:r>
          </w:p>
        </w:tc>
      </w:tr>
      <w:tr w:rsidR="00A10B25" w14:paraId="7D33D832" w14:textId="77777777">
        <w:trPr>
          <w:jc w:val="center"/>
        </w:trPr>
        <w:tc>
          <w:tcPr>
            <w:tcW w:w="1525" w:type="dxa"/>
          </w:tcPr>
          <w:p w14:paraId="5A4EA51F" w14:textId="77777777" w:rsidR="00A10B25" w:rsidRDefault="00A10B25">
            <w:pPr>
              <w:keepNext/>
              <w:keepLines/>
              <w:spacing w:after="0"/>
              <w:rPr>
                <w:rFonts w:ascii="Arial" w:eastAsia="等线" w:hAnsi="Arial" w:hint="eastAsia"/>
                <w:sz w:val="18"/>
                <w:lang w:eastAsia="zh-CN"/>
              </w:rPr>
            </w:pPr>
            <w:r>
              <w:rPr>
                <w:rFonts w:ascii="Arial" w:eastAsia="等线" w:hAnsi="Arial" w:hint="eastAsia"/>
                <w:sz w:val="18"/>
                <w:lang w:eastAsia="zh-CN"/>
              </w:rPr>
              <w:t>5</w:t>
            </w:r>
          </w:p>
        </w:tc>
        <w:tc>
          <w:tcPr>
            <w:tcW w:w="2237" w:type="dxa"/>
          </w:tcPr>
          <w:p w14:paraId="16217A72" w14:textId="77777777" w:rsidR="00A10B25" w:rsidRDefault="00A10B25">
            <w:pPr>
              <w:pStyle w:val="TAL"/>
            </w:pPr>
            <w:r>
              <w:rPr>
                <w:rFonts w:eastAsia="等线"/>
              </w:rPr>
              <w:t>UpEvents</w:t>
            </w:r>
          </w:p>
        </w:tc>
        <w:tc>
          <w:tcPr>
            <w:tcW w:w="5732" w:type="dxa"/>
          </w:tcPr>
          <w:p w14:paraId="1D631546" w14:textId="77777777" w:rsidR="00A10B25" w:rsidRDefault="00A10B25">
            <w:pPr>
              <w:pStyle w:val="TAL"/>
            </w:pPr>
            <w:r>
              <w:rPr>
                <w:rFonts w:eastAsia="等线" w:cs="Arial"/>
                <w:szCs w:val="18"/>
              </w:rPr>
              <w:t>Indicates the support of UPF events.</w:t>
            </w:r>
          </w:p>
        </w:tc>
      </w:tr>
      <w:tr w:rsidR="00A10B25" w14:paraId="2B6A83E2" w14:textId="77777777">
        <w:trPr>
          <w:jc w:val="center"/>
        </w:trPr>
        <w:tc>
          <w:tcPr>
            <w:tcW w:w="1525" w:type="dxa"/>
            <w:tcBorders>
              <w:top w:val="single" w:sz="6" w:space="0" w:color="auto"/>
              <w:left w:val="single" w:sz="6" w:space="0" w:color="auto"/>
              <w:bottom w:val="single" w:sz="6" w:space="0" w:color="auto"/>
              <w:right w:val="single" w:sz="6" w:space="0" w:color="auto"/>
            </w:tcBorders>
          </w:tcPr>
          <w:p w14:paraId="48F9F817" w14:textId="77777777" w:rsidR="00A10B25" w:rsidRDefault="00A10B25">
            <w:pPr>
              <w:keepNext/>
              <w:keepLines/>
              <w:spacing w:after="0"/>
              <w:rPr>
                <w:rFonts w:ascii="Arial" w:eastAsia="等线" w:hAnsi="Arial"/>
                <w:sz w:val="18"/>
                <w:lang w:eastAsia="zh-CN"/>
              </w:rPr>
            </w:pPr>
            <w:r>
              <w:rPr>
                <w:rFonts w:ascii="Arial" w:eastAsia="等线" w:hAnsi="Arial"/>
                <w:sz w:val="18"/>
                <w:lang w:eastAsia="zh-CN"/>
              </w:rPr>
              <w:t>6</w:t>
            </w:r>
          </w:p>
        </w:tc>
        <w:tc>
          <w:tcPr>
            <w:tcW w:w="2237" w:type="dxa"/>
            <w:tcBorders>
              <w:top w:val="single" w:sz="6" w:space="0" w:color="auto"/>
              <w:left w:val="single" w:sz="6" w:space="0" w:color="auto"/>
              <w:bottom w:val="single" w:sz="6" w:space="0" w:color="auto"/>
              <w:right w:val="single" w:sz="6" w:space="0" w:color="auto"/>
            </w:tcBorders>
          </w:tcPr>
          <w:p w14:paraId="38AF62FF" w14:textId="77777777" w:rsidR="00A10B25" w:rsidRDefault="00A10B25">
            <w:pPr>
              <w:pStyle w:val="TAL"/>
              <w:rPr>
                <w:rFonts w:eastAsia="等线"/>
              </w:rPr>
            </w:pPr>
            <w:r>
              <w:rPr>
                <w:rFonts w:eastAsia="等线"/>
              </w:rPr>
              <w:t>LocEvents</w:t>
            </w:r>
          </w:p>
        </w:tc>
        <w:tc>
          <w:tcPr>
            <w:tcW w:w="5732" w:type="dxa"/>
            <w:tcBorders>
              <w:top w:val="single" w:sz="6" w:space="0" w:color="auto"/>
              <w:left w:val="single" w:sz="6" w:space="0" w:color="auto"/>
              <w:bottom w:val="single" w:sz="6" w:space="0" w:color="auto"/>
              <w:right w:val="single" w:sz="6" w:space="0" w:color="auto"/>
            </w:tcBorders>
          </w:tcPr>
          <w:p w14:paraId="3B75A5E8" w14:textId="77777777" w:rsidR="00A10B25" w:rsidRDefault="00A10B25">
            <w:pPr>
              <w:pStyle w:val="TAL"/>
              <w:rPr>
                <w:rFonts w:eastAsia="等线" w:cs="Arial"/>
                <w:szCs w:val="18"/>
              </w:rPr>
            </w:pPr>
            <w:r>
              <w:rPr>
                <w:rFonts w:eastAsia="等线" w:cs="Arial"/>
                <w:szCs w:val="18"/>
              </w:rPr>
              <w:t>Indicates the support of location events.</w:t>
            </w:r>
          </w:p>
        </w:tc>
      </w:tr>
    </w:tbl>
    <w:p w14:paraId="30523D55" w14:textId="77777777" w:rsidR="00A10B25" w:rsidRDefault="00A10B25">
      <w:pPr>
        <w:rPr>
          <w:lang w:val="en-US" w:eastAsia="zh-CN"/>
        </w:rPr>
      </w:pPr>
    </w:p>
    <w:p w14:paraId="5E07C39D" w14:textId="77777777" w:rsidR="00A10B25" w:rsidRDefault="00A10B25">
      <w:pPr>
        <w:pStyle w:val="3"/>
        <w:rPr>
          <w:lang w:val="en-US"/>
        </w:rPr>
      </w:pPr>
      <w:bookmarkStart w:id="12722" w:name="_Toc85553115"/>
      <w:bookmarkStart w:id="12723" w:name="_Toc112951325"/>
      <w:bookmarkStart w:id="12724" w:name="_Toc83233186"/>
      <w:bookmarkStart w:id="12725" w:name="_Toc88667724"/>
      <w:bookmarkStart w:id="12726" w:name="_Toc104539202"/>
      <w:bookmarkStart w:id="12727" w:name="_Toc98233816"/>
      <w:bookmarkStart w:id="12728" w:name="_Toc145705933"/>
      <w:bookmarkStart w:id="12729" w:name="_Toc101244597"/>
      <w:bookmarkStart w:id="12730" w:name="_Toc113031865"/>
      <w:bookmarkStart w:id="12731" w:name="_Toc148522847"/>
      <w:bookmarkStart w:id="12732" w:name="_Toc114134004"/>
      <w:bookmarkStart w:id="12733" w:name="_Toc138754438"/>
      <w:bookmarkStart w:id="12734" w:name="_Toc120702505"/>
      <w:bookmarkStart w:id="12735" w:name="_Toc70550731"/>
      <w:bookmarkStart w:id="12736" w:name="_Toc94064414"/>
      <w:bookmarkStart w:id="12737" w:name="_Toc90656009"/>
      <w:bookmarkStart w:id="12738" w:name="_Toc85557214"/>
      <w:bookmarkStart w:id="12739" w:name="_Toc136562604"/>
      <w:bookmarkStart w:id="12740" w:name="_Toc164921035"/>
      <w:bookmarkStart w:id="12741" w:name="_Toc170120577"/>
      <w:bookmarkStart w:id="12742" w:name="_Toc175858822"/>
      <w:bookmarkStart w:id="12743" w:name="_Toc175859895"/>
      <w:bookmarkStart w:id="12744" w:name="_Toc180606185"/>
      <w:bookmarkStart w:id="12745" w:name="_Toc185517446"/>
      <w:bookmarkStart w:id="12746" w:name="_Toc191576498"/>
      <w:bookmarkStart w:id="12747" w:name="_Toc191577238"/>
      <w:bookmarkStart w:id="12748" w:name="_Toc192880308"/>
      <w:bookmarkStart w:id="12749" w:name="_Toc195815197"/>
      <w:bookmarkStart w:id="12750" w:name="_Toc199453164"/>
      <w:r>
        <w:rPr>
          <w:lang w:val="en-US"/>
        </w:rPr>
        <w:t>5.3.9</w:t>
      </w:r>
      <w:r>
        <w:rPr>
          <w:lang w:val="en-US"/>
        </w:rPr>
        <w:tab/>
        <w:t>Security</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p>
    <w:p w14:paraId="6AE840CA" w14:textId="77777777" w:rsidR="00A10B25" w:rsidRDefault="00A10B25">
      <w:pPr>
        <w:rPr>
          <w:rFonts w:eastAsia="等线"/>
        </w:rPr>
      </w:pPr>
      <w:r>
        <w:rPr>
          <w:rFonts w:eastAsia="等线"/>
        </w:rPr>
        <w:t xml:space="preserve">As indicated in TS 33.501 [13] and TS 29.500 [6], the access to the </w:t>
      </w:r>
      <w:r>
        <w:rPr>
          <w:lang w:eastAsia="ja-JP"/>
        </w:rPr>
        <w:t>Nnwdaf_DataManagement</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6B0A6EA8" w14:textId="77777777" w:rsidR="00A10B25" w:rsidRDefault="00A10B25">
      <w:pPr>
        <w:rPr>
          <w:rFonts w:eastAsia="等线"/>
        </w:rPr>
      </w:pPr>
      <w:r>
        <w:rPr>
          <w:rFonts w:eastAsia="等线"/>
        </w:rPr>
        <w:t xml:space="preserve">If OAuth2 is used, an NF service consumer, prior to consuming services offered by the </w:t>
      </w:r>
      <w:r>
        <w:rPr>
          <w:lang w:eastAsia="ja-JP"/>
        </w:rPr>
        <w:t>Nnwdaf_DataManagement</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0A4404D1"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Nnwdaf_DataManagement</w:t>
      </w:r>
      <w:r>
        <w:t xml:space="preserve"> service.</w:t>
      </w:r>
    </w:p>
    <w:p w14:paraId="6E797B0C" w14:textId="77777777" w:rsidR="00A10B25" w:rsidRDefault="00A10B25">
      <w:pPr>
        <w:rPr>
          <w:rFonts w:eastAsia="等线"/>
          <w:lang w:val="en-US"/>
        </w:rPr>
      </w:pPr>
      <w:r>
        <w:rPr>
          <w:rFonts w:eastAsia="等线"/>
          <w:lang w:val="en-US"/>
        </w:rPr>
        <w:t xml:space="preserve">The </w:t>
      </w:r>
      <w:r>
        <w:rPr>
          <w:lang w:eastAsia="ja-JP"/>
        </w:rPr>
        <w:t>Nnwdaf_DataManagement</w:t>
      </w:r>
      <w:r>
        <w:rPr>
          <w:rFonts w:eastAsia="等线"/>
          <w:lang w:val="en-US" w:eastAsia="zh-CN"/>
        </w:rPr>
        <w:t xml:space="preserve"> </w:t>
      </w:r>
      <w:r>
        <w:rPr>
          <w:rFonts w:eastAsia="等线"/>
          <w:lang w:val="en-US"/>
        </w:rPr>
        <w:t>API defines a single scope "nnwdaf-datamanagement" for the entire service, and it does not define any additional scopes at resource or operation level.</w:t>
      </w:r>
    </w:p>
    <w:p w14:paraId="4572733F" w14:textId="77777777" w:rsidR="00A10B25" w:rsidRDefault="00A10B25">
      <w:pPr>
        <w:rPr>
          <w:rFonts w:eastAsia="Batang"/>
        </w:rPr>
      </w:pPr>
    </w:p>
    <w:p w14:paraId="52BC0357" w14:textId="77777777" w:rsidR="00A10B25" w:rsidRDefault="00A10B25">
      <w:pPr>
        <w:pStyle w:val="2"/>
      </w:pPr>
      <w:bookmarkStart w:id="12751" w:name="_Toc94064415"/>
      <w:bookmarkStart w:id="12752" w:name="_Toc85553116"/>
      <w:bookmarkStart w:id="12753" w:name="_Toc120702506"/>
      <w:bookmarkStart w:id="12754" w:name="_Toc113031866"/>
      <w:bookmarkStart w:id="12755" w:name="_Toc70550732"/>
      <w:bookmarkStart w:id="12756" w:name="_Toc136562605"/>
      <w:bookmarkStart w:id="12757" w:name="_Toc83233187"/>
      <w:bookmarkStart w:id="12758" w:name="_Toc98233817"/>
      <w:bookmarkStart w:id="12759" w:name="_Toc114134005"/>
      <w:bookmarkStart w:id="12760" w:name="_Toc88667725"/>
      <w:bookmarkStart w:id="12761" w:name="_Toc104539203"/>
      <w:bookmarkStart w:id="12762" w:name="_Toc101244598"/>
      <w:bookmarkStart w:id="12763" w:name="_Toc90656010"/>
      <w:bookmarkStart w:id="12764" w:name="_Toc85557215"/>
      <w:bookmarkStart w:id="12765" w:name="_Toc138754439"/>
      <w:bookmarkStart w:id="12766" w:name="_Toc148522848"/>
      <w:bookmarkStart w:id="12767" w:name="_Toc145705934"/>
      <w:bookmarkStart w:id="12768" w:name="_Toc112951326"/>
      <w:bookmarkStart w:id="12769" w:name="_Toc164921036"/>
      <w:bookmarkStart w:id="12770" w:name="_Toc170120578"/>
      <w:bookmarkStart w:id="12771" w:name="_Toc175858823"/>
      <w:bookmarkStart w:id="12772" w:name="_Toc175859896"/>
      <w:bookmarkStart w:id="12773" w:name="_Toc180606186"/>
      <w:bookmarkStart w:id="12774" w:name="_Toc185517447"/>
      <w:bookmarkStart w:id="12775" w:name="_Toc191576499"/>
      <w:bookmarkStart w:id="12776" w:name="_Toc191577239"/>
      <w:bookmarkStart w:id="12777" w:name="_Toc192880309"/>
      <w:bookmarkStart w:id="12778" w:name="_Toc195815198"/>
      <w:bookmarkStart w:id="12779" w:name="_Toc199453165"/>
      <w:r>
        <w:rPr>
          <w:lang w:eastAsia="zh-CN"/>
        </w:rPr>
        <w:t>5.4</w:t>
      </w:r>
      <w:r>
        <w:tab/>
      </w:r>
      <w:r>
        <w:rPr>
          <w:lang w:eastAsia="ja-JP"/>
        </w:rPr>
        <w:t>Nnwdaf_MLModelProvision</w:t>
      </w:r>
      <w:r>
        <w:t xml:space="preserve"> Service API</w:t>
      </w:r>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11D8F713" w14:textId="77777777" w:rsidR="00A10B25" w:rsidRDefault="00A10B25">
      <w:pPr>
        <w:pStyle w:val="3"/>
        <w:rPr>
          <w:lang w:val="en-US"/>
        </w:rPr>
      </w:pPr>
      <w:bookmarkStart w:id="12780" w:name="_Toc94064416"/>
      <w:bookmarkStart w:id="12781" w:name="_Toc136562606"/>
      <w:bookmarkStart w:id="12782" w:name="_Toc83233188"/>
      <w:bookmarkStart w:id="12783" w:name="_Toc98233818"/>
      <w:bookmarkStart w:id="12784" w:name="_Toc104539204"/>
      <w:bookmarkStart w:id="12785" w:name="_Toc90656011"/>
      <w:bookmarkStart w:id="12786" w:name="_Toc112951327"/>
      <w:bookmarkStart w:id="12787" w:name="_Toc113031867"/>
      <w:bookmarkStart w:id="12788" w:name="_Toc70550733"/>
      <w:bookmarkStart w:id="12789" w:name="_Toc101244599"/>
      <w:bookmarkStart w:id="12790" w:name="_Toc85553117"/>
      <w:bookmarkStart w:id="12791" w:name="_Toc138754440"/>
      <w:bookmarkStart w:id="12792" w:name="_Toc120702507"/>
      <w:bookmarkStart w:id="12793" w:name="_Toc148522849"/>
      <w:bookmarkStart w:id="12794" w:name="_Toc85557216"/>
      <w:bookmarkStart w:id="12795" w:name="_Toc88667726"/>
      <w:bookmarkStart w:id="12796" w:name="_Toc145705935"/>
      <w:bookmarkStart w:id="12797" w:name="_Toc114134006"/>
      <w:bookmarkStart w:id="12798" w:name="_Toc164921037"/>
      <w:bookmarkStart w:id="12799" w:name="_Toc170120579"/>
      <w:bookmarkStart w:id="12800" w:name="_Toc175858824"/>
      <w:bookmarkStart w:id="12801" w:name="_Toc175859897"/>
      <w:bookmarkStart w:id="12802" w:name="_Toc180606187"/>
      <w:bookmarkStart w:id="12803" w:name="_Toc185517448"/>
      <w:bookmarkStart w:id="12804" w:name="_Toc191576500"/>
      <w:bookmarkStart w:id="12805" w:name="_Toc191577240"/>
      <w:bookmarkStart w:id="12806" w:name="_Toc192880310"/>
      <w:bookmarkStart w:id="12807" w:name="_Toc195815199"/>
      <w:bookmarkStart w:id="12808" w:name="_Toc199453166"/>
      <w:r>
        <w:rPr>
          <w:lang w:val="en-US"/>
        </w:rPr>
        <w:t>5.4</w:t>
      </w:r>
      <w:r>
        <w:rPr>
          <w:rFonts w:hint="eastAsia"/>
          <w:lang w:val="en-US"/>
        </w:rPr>
        <w:t>.</w:t>
      </w:r>
      <w:r>
        <w:rPr>
          <w:lang w:val="en-US"/>
        </w:rPr>
        <w:t>1</w:t>
      </w:r>
      <w:r>
        <w:rPr>
          <w:lang w:val="en-US"/>
        </w:rPr>
        <w:tab/>
        <w:t>Introduction</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14:paraId="4B8B5EE8" w14:textId="77777777" w:rsidR="00A10B25" w:rsidRDefault="00A10B25">
      <w:pPr>
        <w:rPr>
          <w:lang w:eastAsia="zh-CN"/>
        </w:rPr>
      </w:pPr>
      <w:r>
        <w:t>The</w:t>
      </w:r>
      <w:r>
        <w:rPr>
          <w:rFonts w:eastAsia="Times New Roman"/>
        </w:rPr>
        <w:t xml:space="preserve"> </w:t>
      </w:r>
      <w:r>
        <w:rPr>
          <w:lang w:eastAsia="ja-JP"/>
        </w:rPr>
        <w:t>Nnwdaf_MLModelProvision</w:t>
      </w:r>
      <w:r>
        <w:rPr>
          <w:rFonts w:eastAsia="Times New Roman"/>
        </w:rPr>
        <w:t xml:space="preserve"> service </w:t>
      </w:r>
      <w:r>
        <w:t xml:space="preserve">shall use the </w:t>
      </w:r>
      <w:r>
        <w:rPr>
          <w:lang w:eastAsia="ja-JP"/>
        </w:rPr>
        <w:t>Nnwdaf_MLModelProvision</w:t>
      </w:r>
      <w:r>
        <w:t xml:space="preserve"> </w:t>
      </w:r>
      <w:r>
        <w:rPr>
          <w:lang w:eastAsia="zh-CN"/>
        </w:rPr>
        <w:t>API.</w:t>
      </w:r>
    </w:p>
    <w:p w14:paraId="3CC4BD4D" w14:textId="77777777" w:rsidR="00A10B25" w:rsidRDefault="00A10B25">
      <w:r>
        <w:t xml:space="preserve">The API URI of the </w:t>
      </w:r>
      <w:r>
        <w:rPr>
          <w:lang w:eastAsia="ja-JP"/>
        </w:rPr>
        <w:t>Nnwdaf_MLModelProvision</w:t>
      </w:r>
      <w:r>
        <w:rPr>
          <w:lang w:val="en-US" w:eastAsia="zh-CN"/>
        </w:rPr>
        <w:t xml:space="preserve"> </w:t>
      </w:r>
      <w:r>
        <w:rPr>
          <w:lang w:val="en-US" w:eastAsia="zh-CN"/>
        </w:rPr>
        <w:t xml:space="preserve">API shall be: </w:t>
      </w:r>
    </w:p>
    <w:p w14:paraId="629F16B3" w14:textId="77777777" w:rsidR="00A10B25" w:rsidRDefault="00A10B25">
      <w:pPr>
        <w:pStyle w:val="B1"/>
        <w:rPr>
          <w:lang w:eastAsia="zh-CN"/>
        </w:rPr>
      </w:pPr>
      <w:r>
        <w:rPr>
          <w:lang w:val="en-US" w:eastAsia="zh-CN"/>
        </w:rPr>
        <w:t>{apiRoot}/&lt;apiName&gt;/&lt;apiVersion&gt;</w:t>
      </w:r>
    </w:p>
    <w:p w14:paraId="0C36C82B" w14:textId="77777777" w:rsidR="00A10B25" w:rsidRDefault="00A10B25">
      <w:pPr>
        <w:rPr>
          <w:lang w:eastAsia="zh-CN"/>
        </w:rPr>
      </w:pPr>
      <w:r>
        <w:rPr>
          <w:lang w:eastAsia="zh-CN"/>
        </w:rPr>
        <w:t>The request URIs used in each HTTP requests from the NF service consumer towards the NWDAF shall have the Resource URI structure defined in clause 4.4.1 of 3GPP TS 29.501 [7], i.e.:</w:t>
      </w:r>
    </w:p>
    <w:p w14:paraId="2CA9C5C1" w14:textId="77777777" w:rsidR="00A10B25" w:rsidRDefault="00A10B25">
      <w:pPr>
        <w:ind w:left="568" w:hanging="284"/>
        <w:rPr>
          <w:b/>
        </w:rPr>
      </w:pPr>
      <w:r>
        <w:rPr>
          <w:b/>
        </w:rPr>
        <w:t>{apiRoot}/&lt;apiName&gt;/&lt;apiVersion&gt;/&lt;apiSpecificResourceUriPart&gt;</w:t>
      </w:r>
    </w:p>
    <w:p w14:paraId="0814566E" w14:textId="77777777" w:rsidR="00A10B25" w:rsidRDefault="00A10B25">
      <w:pPr>
        <w:rPr>
          <w:lang w:eastAsia="zh-CN"/>
        </w:rPr>
      </w:pPr>
      <w:r>
        <w:rPr>
          <w:lang w:eastAsia="zh-CN"/>
        </w:rPr>
        <w:t>with the following components:</w:t>
      </w:r>
    </w:p>
    <w:p w14:paraId="0F448139" w14:textId="77777777" w:rsidR="00A10B25" w:rsidRDefault="00A10B25">
      <w:pPr>
        <w:pStyle w:val="B1"/>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521E1137" w14:textId="77777777" w:rsidR="00A10B25" w:rsidRDefault="00A10B25">
      <w:pPr>
        <w:pStyle w:val="B1"/>
        <w:rPr>
          <w:lang w:val="en-US"/>
        </w:rPr>
      </w:pPr>
      <w:r>
        <w:rPr>
          <w:lang w:eastAsia="zh-CN"/>
        </w:rPr>
        <w:t>-</w:t>
      </w:r>
      <w:r>
        <w:rPr>
          <w:lang w:eastAsia="zh-CN"/>
        </w:rPr>
        <w:tab/>
        <w:t>The</w:t>
      </w:r>
      <w:r>
        <w:t>&lt;apiName&gt;</w:t>
      </w:r>
      <w:r>
        <w:rPr>
          <w:b/>
        </w:rPr>
        <w:t xml:space="preserve"> </w:t>
      </w:r>
      <w:r>
        <w:t>shall be "nnwdaf-mlmodelprovision</w:t>
      </w:r>
      <w:r>
        <w:rPr>
          <w:lang w:val="en-US"/>
        </w:rPr>
        <w:t>".</w:t>
      </w:r>
    </w:p>
    <w:p w14:paraId="66875CF2" w14:textId="77777777" w:rsidR="00A10B25" w:rsidRDefault="00A10B25">
      <w:pPr>
        <w:pStyle w:val="B1"/>
        <w:rPr>
          <w:lang w:val="en-US"/>
        </w:rPr>
      </w:pPr>
      <w:r>
        <w:rPr>
          <w:lang w:val="en-US"/>
        </w:rPr>
        <w:t>-</w:t>
      </w:r>
      <w:r>
        <w:rPr>
          <w:lang w:val="en-US"/>
        </w:rPr>
        <w:tab/>
        <w:t>The &lt;apiVersion&gt; shall be "v1".</w:t>
      </w:r>
    </w:p>
    <w:p w14:paraId="72059451" w14:textId="77777777" w:rsidR="00A10B25" w:rsidRDefault="00A10B25">
      <w:pPr>
        <w:pStyle w:val="B1"/>
      </w:pPr>
      <w:r>
        <w:rPr>
          <w:lang w:val="en-US"/>
        </w:rPr>
        <w:t>-</w:t>
      </w:r>
      <w:r>
        <w:rPr>
          <w:lang w:val="en-US"/>
        </w:rPr>
        <w:tab/>
        <w:t>The &lt;apiSpecificResourceUriPart&gt; shall be set as described in clause</w:t>
      </w:r>
      <w:r>
        <w:rPr>
          <w:lang w:eastAsia="zh-CN"/>
        </w:rPr>
        <w:t> </w:t>
      </w:r>
      <w:r>
        <w:rPr>
          <w:lang w:val="en-US"/>
        </w:rPr>
        <w:t>5.4.3.</w:t>
      </w:r>
    </w:p>
    <w:p w14:paraId="5B17D08D" w14:textId="77777777" w:rsidR="00A10B25" w:rsidRDefault="00A10B25">
      <w:pPr>
        <w:pStyle w:val="3"/>
        <w:rPr>
          <w:lang w:val="en-US"/>
        </w:rPr>
      </w:pPr>
      <w:bookmarkStart w:id="12809" w:name="_Toc101244600"/>
      <w:bookmarkStart w:id="12810" w:name="_Toc136562607"/>
      <w:bookmarkStart w:id="12811" w:name="_Toc94064417"/>
      <w:bookmarkStart w:id="12812" w:name="_Toc83233189"/>
      <w:bookmarkStart w:id="12813" w:name="_Toc114134007"/>
      <w:bookmarkStart w:id="12814" w:name="_Toc120702508"/>
      <w:bookmarkStart w:id="12815" w:name="_Toc85553118"/>
      <w:bookmarkStart w:id="12816" w:name="_Toc112951328"/>
      <w:bookmarkStart w:id="12817" w:name="_Toc113031868"/>
      <w:bookmarkStart w:id="12818" w:name="_Toc104539205"/>
      <w:bookmarkStart w:id="12819" w:name="_Toc85557217"/>
      <w:bookmarkStart w:id="12820" w:name="_Toc70550734"/>
      <w:bookmarkStart w:id="12821" w:name="_Toc138754441"/>
      <w:bookmarkStart w:id="12822" w:name="_Toc98233819"/>
      <w:bookmarkStart w:id="12823" w:name="_Toc145705936"/>
      <w:bookmarkStart w:id="12824" w:name="_Toc90656012"/>
      <w:bookmarkStart w:id="12825" w:name="_Toc88667727"/>
      <w:bookmarkStart w:id="12826" w:name="_Toc148522850"/>
      <w:bookmarkStart w:id="12827" w:name="_Toc164921038"/>
      <w:bookmarkStart w:id="12828" w:name="_Toc170120580"/>
      <w:bookmarkStart w:id="12829" w:name="_Toc175858825"/>
      <w:bookmarkStart w:id="12830" w:name="_Toc175859898"/>
      <w:bookmarkStart w:id="12831" w:name="_Toc180606188"/>
      <w:bookmarkStart w:id="12832" w:name="_Toc185517449"/>
      <w:bookmarkStart w:id="12833" w:name="_Toc191576501"/>
      <w:bookmarkStart w:id="12834" w:name="_Toc191577241"/>
      <w:bookmarkStart w:id="12835" w:name="_Toc192880311"/>
      <w:bookmarkStart w:id="12836" w:name="_Toc195815200"/>
      <w:bookmarkStart w:id="12837" w:name="_Toc199453167"/>
      <w:r>
        <w:rPr>
          <w:lang w:val="en-US"/>
        </w:rPr>
        <w:lastRenderedPageBreak/>
        <w:t>5.4.2</w:t>
      </w:r>
      <w:r>
        <w:rPr>
          <w:lang w:val="en-US"/>
        </w:rPr>
        <w:tab/>
        <w:t>Usage of HTTP</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p>
    <w:p w14:paraId="3BA88511" w14:textId="77777777" w:rsidR="00A10B25" w:rsidRDefault="00A10B25">
      <w:pPr>
        <w:pStyle w:val="4"/>
      </w:pPr>
      <w:bookmarkStart w:id="12838" w:name="_Toc85553119"/>
      <w:bookmarkStart w:id="12839" w:name="_Toc101244601"/>
      <w:bookmarkStart w:id="12840" w:name="_Toc98233820"/>
      <w:bookmarkStart w:id="12841" w:name="_Toc104539206"/>
      <w:bookmarkStart w:id="12842" w:name="_Toc85557218"/>
      <w:bookmarkStart w:id="12843" w:name="_Toc113031869"/>
      <w:bookmarkStart w:id="12844" w:name="_Toc83233190"/>
      <w:bookmarkStart w:id="12845" w:name="_Toc88667728"/>
      <w:bookmarkStart w:id="12846" w:name="_Toc145705937"/>
      <w:bookmarkStart w:id="12847" w:name="_Toc70550735"/>
      <w:bookmarkStart w:id="12848" w:name="_Toc120702509"/>
      <w:bookmarkStart w:id="12849" w:name="_Toc138754442"/>
      <w:bookmarkStart w:id="12850" w:name="_Toc136562608"/>
      <w:bookmarkStart w:id="12851" w:name="_Toc114134008"/>
      <w:bookmarkStart w:id="12852" w:name="_Toc94064418"/>
      <w:bookmarkStart w:id="12853" w:name="_Toc90656013"/>
      <w:bookmarkStart w:id="12854" w:name="_Toc148522851"/>
      <w:bookmarkStart w:id="12855" w:name="_Toc112951329"/>
      <w:bookmarkStart w:id="12856" w:name="_Toc164921039"/>
      <w:bookmarkStart w:id="12857" w:name="_Toc170120581"/>
      <w:bookmarkStart w:id="12858" w:name="_Toc175858826"/>
      <w:bookmarkStart w:id="12859" w:name="_Toc175859899"/>
      <w:bookmarkStart w:id="12860" w:name="_Toc180606189"/>
      <w:bookmarkStart w:id="12861" w:name="_Toc185517450"/>
      <w:bookmarkStart w:id="12862" w:name="_Toc191576502"/>
      <w:bookmarkStart w:id="12863" w:name="_Toc191577242"/>
      <w:bookmarkStart w:id="12864" w:name="_Toc192880312"/>
      <w:bookmarkStart w:id="12865" w:name="_Toc195815201"/>
      <w:bookmarkStart w:id="12866" w:name="_Toc199453168"/>
      <w:r>
        <w:t>5.4.2.1</w:t>
      </w:r>
      <w:r>
        <w:tab/>
        <w:t>General</w:t>
      </w:r>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4B05C0D4" w14:textId="77777777" w:rsidR="00A10B25" w:rsidRDefault="00A10B25">
      <w:bookmarkStart w:id="12867" w:name="_Toc90656014"/>
      <w:bookmarkStart w:id="12868" w:name="_Toc85557219"/>
      <w:bookmarkStart w:id="12869" w:name="_Toc136562609"/>
      <w:bookmarkStart w:id="12870" w:name="_Toc112951330"/>
      <w:bookmarkStart w:id="12871" w:name="_Toc114134009"/>
      <w:bookmarkStart w:id="12872" w:name="_Toc104539207"/>
      <w:bookmarkStart w:id="12873" w:name="_Toc70550736"/>
      <w:bookmarkStart w:id="12874" w:name="_Toc113031870"/>
      <w:bookmarkStart w:id="12875" w:name="_Toc148522852"/>
      <w:bookmarkStart w:id="12876" w:name="_Toc83233191"/>
      <w:bookmarkStart w:id="12877" w:name="_Toc120702510"/>
      <w:bookmarkStart w:id="12878" w:name="_Toc85553120"/>
      <w:bookmarkStart w:id="12879" w:name="_Toc138754443"/>
      <w:bookmarkStart w:id="12880" w:name="_Toc101244602"/>
      <w:bookmarkStart w:id="12881" w:name="_Toc145705938"/>
      <w:bookmarkStart w:id="12882" w:name="_Toc98233821"/>
      <w:bookmarkStart w:id="12883" w:name="_Toc94064419"/>
      <w:bookmarkStart w:id="12884" w:name="_Toc88667729"/>
      <w:r>
        <w:t>HTTP</w:t>
      </w:r>
      <w:r>
        <w:rPr>
          <w:lang w:eastAsia="zh-CN"/>
        </w:rPr>
        <w:t xml:space="preserve">/2, IETF RFC 9113 [9], </w:t>
      </w:r>
      <w:r>
        <w:t>shall be used as specified in clause 5 of 3GPP TS 29.500 [6].</w:t>
      </w:r>
    </w:p>
    <w:p w14:paraId="36C3752F" w14:textId="77777777" w:rsidR="00A10B25" w:rsidRDefault="00A10B25">
      <w:r>
        <w:t>HTTP/2 shall be transported as specified in clause 5.3 of 3GPP TS 29.500 [6].</w:t>
      </w:r>
    </w:p>
    <w:p w14:paraId="037362B2" w14:textId="77777777" w:rsidR="00A10B25" w:rsidRDefault="00A10B25">
      <w:r>
        <w:t xml:space="preserve">The OpenAPI [11] specification of HTTP messages and content bodies for the </w:t>
      </w:r>
      <w:r>
        <w:rPr>
          <w:lang w:eastAsia="ja-JP"/>
        </w:rPr>
        <w:t>Nnwdaf_MLModelProvision</w:t>
      </w:r>
      <w:r>
        <w:t xml:space="preserve"> is contained in Annex A.</w:t>
      </w:r>
    </w:p>
    <w:p w14:paraId="7C9DF93D" w14:textId="77777777" w:rsidR="00A10B25" w:rsidRDefault="00A10B25">
      <w:pPr>
        <w:pStyle w:val="4"/>
      </w:pPr>
      <w:bookmarkStart w:id="12885" w:name="_Toc164921040"/>
      <w:bookmarkStart w:id="12886" w:name="_Toc170120582"/>
      <w:bookmarkStart w:id="12887" w:name="_Toc175858827"/>
      <w:bookmarkStart w:id="12888" w:name="_Toc175859900"/>
      <w:bookmarkStart w:id="12889" w:name="_Toc180606190"/>
      <w:bookmarkStart w:id="12890" w:name="_Toc185517451"/>
      <w:bookmarkStart w:id="12891" w:name="_Toc191576503"/>
      <w:bookmarkStart w:id="12892" w:name="_Toc191577243"/>
      <w:bookmarkStart w:id="12893" w:name="_Toc192880313"/>
      <w:bookmarkStart w:id="12894" w:name="_Toc195815202"/>
      <w:bookmarkStart w:id="12895" w:name="_Toc199453169"/>
      <w:r>
        <w:t>5.4.2.2</w:t>
      </w:r>
      <w:r>
        <w:tab/>
        <w:t>HTTP standard headers</w:t>
      </w:r>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536F8A4D" w14:textId="77777777" w:rsidR="00A10B25" w:rsidRDefault="00A10B25">
      <w:pPr>
        <w:pStyle w:val="5"/>
      </w:pPr>
      <w:bookmarkStart w:id="12896" w:name="_Toc88667730"/>
      <w:bookmarkStart w:id="12897" w:name="_Toc136562610"/>
      <w:bookmarkStart w:id="12898" w:name="_Toc101244603"/>
      <w:bookmarkStart w:id="12899" w:name="_Toc138754444"/>
      <w:bookmarkStart w:id="12900" w:name="_Toc145705939"/>
      <w:bookmarkStart w:id="12901" w:name="_Toc85553121"/>
      <w:bookmarkStart w:id="12902" w:name="_Toc114134010"/>
      <w:bookmarkStart w:id="12903" w:name="_Toc98233822"/>
      <w:bookmarkStart w:id="12904" w:name="_Toc70550737"/>
      <w:bookmarkStart w:id="12905" w:name="_Toc112951331"/>
      <w:bookmarkStart w:id="12906" w:name="_Toc113031871"/>
      <w:bookmarkStart w:id="12907" w:name="_Toc90656015"/>
      <w:bookmarkStart w:id="12908" w:name="_Toc120702511"/>
      <w:bookmarkStart w:id="12909" w:name="_Toc94064420"/>
      <w:bookmarkStart w:id="12910" w:name="_Toc83233192"/>
      <w:bookmarkStart w:id="12911" w:name="_Toc148522853"/>
      <w:bookmarkStart w:id="12912" w:name="_Toc85557220"/>
      <w:bookmarkStart w:id="12913" w:name="_Toc104539208"/>
      <w:bookmarkStart w:id="12914" w:name="_Toc164921041"/>
      <w:bookmarkStart w:id="12915" w:name="_Toc170120583"/>
      <w:bookmarkStart w:id="12916" w:name="_Toc175858828"/>
      <w:bookmarkStart w:id="12917" w:name="_Toc175859901"/>
      <w:bookmarkStart w:id="12918" w:name="_Toc180606191"/>
      <w:bookmarkStart w:id="12919" w:name="_Toc185517452"/>
      <w:bookmarkStart w:id="12920" w:name="_Toc191576504"/>
      <w:bookmarkStart w:id="12921" w:name="_Toc191577244"/>
      <w:bookmarkStart w:id="12922" w:name="_Toc192880314"/>
      <w:bookmarkStart w:id="12923" w:name="_Toc195815203"/>
      <w:bookmarkStart w:id="12924" w:name="_Toc199453170"/>
      <w:r>
        <w:t>5.4.2.2.1</w:t>
      </w:r>
      <w:r>
        <w:tab/>
        <w:t>General</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14:paraId="79199099" w14:textId="77777777" w:rsidR="00A10B25" w:rsidRDefault="00A10B25">
      <w:r>
        <w:t>See clause 5.2.2 of 3GPP TS 29.500 [6] for the usage of HTTP standard headers.</w:t>
      </w:r>
    </w:p>
    <w:p w14:paraId="64CD3B9C" w14:textId="77777777" w:rsidR="00A10B25" w:rsidRDefault="00A10B25">
      <w:pPr>
        <w:pStyle w:val="5"/>
      </w:pPr>
      <w:bookmarkStart w:id="12925" w:name="_Toc90656016"/>
      <w:bookmarkStart w:id="12926" w:name="_Toc83233193"/>
      <w:bookmarkStart w:id="12927" w:name="_Toc94064421"/>
      <w:bookmarkStart w:id="12928" w:name="_Toc70550738"/>
      <w:bookmarkStart w:id="12929" w:name="_Toc145705940"/>
      <w:bookmarkStart w:id="12930" w:name="_Toc148522854"/>
      <w:bookmarkStart w:id="12931" w:name="_Toc138754445"/>
      <w:bookmarkStart w:id="12932" w:name="_Toc98233823"/>
      <w:bookmarkStart w:id="12933" w:name="_Toc114134011"/>
      <w:bookmarkStart w:id="12934" w:name="_Toc136562611"/>
      <w:bookmarkStart w:id="12935" w:name="_Toc112951332"/>
      <w:bookmarkStart w:id="12936" w:name="_Toc88667731"/>
      <w:bookmarkStart w:id="12937" w:name="_Toc101244604"/>
      <w:bookmarkStart w:id="12938" w:name="_Toc85553122"/>
      <w:bookmarkStart w:id="12939" w:name="_Toc85557221"/>
      <w:bookmarkStart w:id="12940" w:name="_Toc104539209"/>
      <w:bookmarkStart w:id="12941" w:name="_Toc113031872"/>
      <w:bookmarkStart w:id="12942" w:name="_Toc120702512"/>
      <w:bookmarkStart w:id="12943" w:name="_Toc164921042"/>
      <w:bookmarkStart w:id="12944" w:name="_Toc170120584"/>
      <w:bookmarkStart w:id="12945" w:name="_Toc175858829"/>
      <w:bookmarkStart w:id="12946" w:name="_Toc175859902"/>
      <w:bookmarkStart w:id="12947" w:name="_Toc180606192"/>
      <w:bookmarkStart w:id="12948" w:name="_Toc185517453"/>
      <w:bookmarkStart w:id="12949" w:name="_Toc191576505"/>
      <w:bookmarkStart w:id="12950" w:name="_Toc191577245"/>
      <w:bookmarkStart w:id="12951" w:name="_Toc192880315"/>
      <w:bookmarkStart w:id="12952" w:name="_Toc195815204"/>
      <w:bookmarkStart w:id="12953" w:name="_Toc199453171"/>
      <w:r>
        <w:t>5.4.2.2.2</w:t>
      </w:r>
      <w:r>
        <w:tab/>
        <w:t>Content type</w:t>
      </w:r>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p w14:paraId="3074BD98" w14:textId="77777777" w:rsidR="00A10B25" w:rsidRDefault="00A10B25">
      <w:bookmarkStart w:id="12954" w:name="_Toc104539210"/>
      <w:bookmarkStart w:id="12955" w:name="_Toc88667732"/>
      <w:bookmarkStart w:id="12956" w:name="_Toc101244605"/>
      <w:bookmarkStart w:id="12957" w:name="_Toc138754446"/>
      <w:bookmarkStart w:id="12958" w:name="_Toc85557222"/>
      <w:bookmarkStart w:id="12959" w:name="_Toc148522855"/>
      <w:bookmarkStart w:id="12960" w:name="_Toc94064422"/>
      <w:bookmarkStart w:id="12961" w:name="_Toc70550739"/>
      <w:bookmarkStart w:id="12962" w:name="_Toc145705941"/>
      <w:bookmarkStart w:id="12963" w:name="_Toc83233194"/>
      <w:bookmarkStart w:id="12964" w:name="_Toc85553123"/>
      <w:bookmarkStart w:id="12965" w:name="_Toc90656017"/>
      <w:bookmarkStart w:id="12966" w:name="_Toc112951333"/>
      <w:bookmarkStart w:id="12967" w:name="_Toc114134012"/>
      <w:bookmarkStart w:id="12968" w:name="_Toc98233824"/>
      <w:bookmarkStart w:id="12969" w:name="_Toc120702513"/>
      <w:bookmarkStart w:id="12970" w:name="_Toc113031873"/>
      <w:bookmarkStart w:id="12971" w:name="_Toc136562612"/>
      <w:r>
        <w:t>JSON, IETF RFC 8259 [10], shall be used as content type of the HTTP bodies specified in the present specification as specified in clause 5.4 of 3GPP TS 29.500 [6]. The use of the JSON format shall be signalled by the content type "application/json".</w:t>
      </w:r>
    </w:p>
    <w:p w14:paraId="099A359B"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7C07366C" w14:textId="77777777" w:rsidR="00A10B25" w:rsidRDefault="00A10B25">
      <w:pPr>
        <w:pStyle w:val="4"/>
      </w:pPr>
      <w:bookmarkStart w:id="12972" w:name="_Toc164921043"/>
      <w:bookmarkStart w:id="12973" w:name="_Toc170120585"/>
      <w:bookmarkStart w:id="12974" w:name="_Toc175858830"/>
      <w:bookmarkStart w:id="12975" w:name="_Toc175859903"/>
      <w:bookmarkStart w:id="12976" w:name="_Toc180606193"/>
      <w:bookmarkStart w:id="12977" w:name="_Toc185517454"/>
      <w:bookmarkStart w:id="12978" w:name="_Toc191576506"/>
      <w:bookmarkStart w:id="12979" w:name="_Toc191577246"/>
      <w:bookmarkStart w:id="12980" w:name="_Toc192880316"/>
      <w:bookmarkStart w:id="12981" w:name="_Toc195815205"/>
      <w:bookmarkStart w:id="12982" w:name="_Toc199453172"/>
      <w:r>
        <w:t>5.4.2.3</w:t>
      </w:r>
      <w:r>
        <w:tab/>
        <w:t>HTTP custom headers</w:t>
      </w:r>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p>
    <w:p w14:paraId="3BBFD980" w14:textId="77777777" w:rsidR="00A10B25" w:rsidRDefault="00A10B25">
      <w:pPr>
        <w:rPr>
          <w:rFonts w:eastAsia="Batang"/>
        </w:rPr>
      </w:pPr>
      <w:r>
        <w:rPr>
          <w:rFonts w:eastAsia="Batang"/>
        </w:rPr>
        <w:t xml:space="preserve">The </w:t>
      </w:r>
      <w:r>
        <w:rPr>
          <w:lang w:eastAsia="ja-JP"/>
        </w:rPr>
        <w:t>Nnwdaf_MLModelProvision</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4A07DE8A"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Nnwdaf_MLModelProvision</w:t>
      </w:r>
      <w:r>
        <w:rPr>
          <w:rFonts w:eastAsia="Batang"/>
        </w:rPr>
        <w:t xml:space="preserve"> service API.</w:t>
      </w:r>
    </w:p>
    <w:p w14:paraId="2AF12236" w14:textId="77777777" w:rsidR="00A10B25" w:rsidRDefault="00A10B25">
      <w:pPr>
        <w:pStyle w:val="3"/>
      </w:pPr>
      <w:bookmarkStart w:id="12983" w:name="_Toc114134013"/>
      <w:bookmarkStart w:id="12984" w:name="_Toc88667733"/>
      <w:bookmarkStart w:id="12985" w:name="_Toc70550740"/>
      <w:bookmarkStart w:id="12986" w:name="_Toc98233825"/>
      <w:bookmarkStart w:id="12987" w:name="_Toc112951334"/>
      <w:bookmarkStart w:id="12988" w:name="_Toc85553124"/>
      <w:bookmarkStart w:id="12989" w:name="_Toc120702514"/>
      <w:bookmarkStart w:id="12990" w:name="_Toc90656018"/>
      <w:bookmarkStart w:id="12991" w:name="_Toc94064423"/>
      <w:bookmarkStart w:id="12992" w:name="_Toc113031874"/>
      <w:bookmarkStart w:id="12993" w:name="_Toc85557223"/>
      <w:bookmarkStart w:id="12994" w:name="_Toc83233195"/>
      <w:bookmarkStart w:id="12995" w:name="_Toc101244606"/>
      <w:bookmarkStart w:id="12996" w:name="_Toc138754447"/>
      <w:bookmarkStart w:id="12997" w:name="_Toc136562613"/>
      <w:bookmarkStart w:id="12998" w:name="_Toc148522856"/>
      <w:bookmarkStart w:id="12999" w:name="_Toc145705942"/>
      <w:bookmarkStart w:id="13000" w:name="_Toc104539211"/>
      <w:bookmarkStart w:id="13001" w:name="_Toc164921044"/>
      <w:bookmarkStart w:id="13002" w:name="_Toc170120586"/>
      <w:bookmarkStart w:id="13003" w:name="_Toc175858831"/>
      <w:bookmarkStart w:id="13004" w:name="_Toc175859904"/>
      <w:bookmarkStart w:id="13005" w:name="_Toc180606194"/>
      <w:bookmarkStart w:id="13006" w:name="_Toc185517455"/>
      <w:bookmarkStart w:id="13007" w:name="_Toc191576507"/>
      <w:bookmarkStart w:id="13008" w:name="_Toc191577247"/>
      <w:bookmarkStart w:id="13009" w:name="_Toc192880317"/>
      <w:bookmarkStart w:id="13010" w:name="_Toc195815206"/>
      <w:bookmarkStart w:id="13011" w:name="_Toc199453173"/>
      <w:r>
        <w:t>5.4.3</w:t>
      </w:r>
      <w:r>
        <w:tab/>
        <w:t>Resources</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7FBA2F6E" w14:textId="77777777" w:rsidR="00A10B25" w:rsidRDefault="00A10B25">
      <w:pPr>
        <w:pStyle w:val="4"/>
      </w:pPr>
      <w:bookmarkStart w:id="13012" w:name="_Toc85553125"/>
      <w:bookmarkStart w:id="13013" w:name="_Toc85557224"/>
      <w:bookmarkStart w:id="13014" w:name="_Toc88667734"/>
      <w:bookmarkStart w:id="13015" w:name="_Toc70550741"/>
      <w:bookmarkStart w:id="13016" w:name="_Toc98233826"/>
      <w:bookmarkStart w:id="13017" w:name="_Toc94064424"/>
      <w:bookmarkStart w:id="13018" w:name="_Toc112951335"/>
      <w:bookmarkStart w:id="13019" w:name="_Toc101244607"/>
      <w:bookmarkStart w:id="13020" w:name="_Toc113031875"/>
      <w:bookmarkStart w:id="13021" w:name="_Toc114134014"/>
      <w:bookmarkStart w:id="13022" w:name="_Toc104539212"/>
      <w:bookmarkStart w:id="13023" w:name="_Toc90656019"/>
      <w:bookmarkStart w:id="13024" w:name="_Toc148522857"/>
      <w:bookmarkStart w:id="13025" w:name="_Toc120702515"/>
      <w:bookmarkStart w:id="13026" w:name="_Toc145705943"/>
      <w:bookmarkStart w:id="13027" w:name="_Toc83233196"/>
      <w:bookmarkStart w:id="13028" w:name="_Toc138754448"/>
      <w:bookmarkStart w:id="13029" w:name="_Toc136562614"/>
      <w:bookmarkStart w:id="13030" w:name="_Toc164921045"/>
      <w:bookmarkStart w:id="13031" w:name="_Toc170120587"/>
      <w:bookmarkStart w:id="13032" w:name="_Toc175858832"/>
      <w:bookmarkStart w:id="13033" w:name="_Toc175859905"/>
      <w:bookmarkStart w:id="13034" w:name="_Toc180606195"/>
      <w:bookmarkStart w:id="13035" w:name="_Toc185517456"/>
      <w:bookmarkStart w:id="13036" w:name="_Toc191576508"/>
      <w:bookmarkStart w:id="13037" w:name="_Toc191577248"/>
      <w:bookmarkStart w:id="13038" w:name="_Toc192880318"/>
      <w:bookmarkStart w:id="13039" w:name="_Toc195815207"/>
      <w:bookmarkStart w:id="13040" w:name="_Toc199453174"/>
      <w:r>
        <w:t>5.4.3.1</w:t>
      </w:r>
      <w:r>
        <w:tab/>
        <w:t>Resource Structure</w:t>
      </w:r>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p>
    <w:p w14:paraId="24BA898C" w14:textId="77777777" w:rsidR="00A10B25" w:rsidRDefault="00A10B25">
      <w:r>
        <w:t>This clause describes the structure for the Resource URIs and the resources and methods used for the service.</w:t>
      </w:r>
    </w:p>
    <w:p w14:paraId="233B79A2" w14:textId="77777777" w:rsidR="00A10B25" w:rsidRDefault="00A10B25">
      <w:r>
        <w:t xml:space="preserve">Figure 5.4.3.1-1 depicts the resource URIs structure for the </w:t>
      </w:r>
      <w:r>
        <w:rPr>
          <w:lang w:eastAsia="ja-JP"/>
        </w:rPr>
        <w:t>Nnwdaf_MLModelProvision</w:t>
      </w:r>
      <w:r>
        <w:t xml:space="preserve"> API.</w:t>
      </w:r>
    </w:p>
    <w:p w14:paraId="3BB5F10D" w14:textId="065F69D7" w:rsidR="00A10B25" w:rsidRDefault="00257874">
      <w:pPr>
        <w:pStyle w:val="TH"/>
        <w:rPr>
          <w:lang w:val="en-US"/>
        </w:rPr>
      </w:pPr>
      <w:r>
        <w:rPr>
          <w:noProof/>
          <w:lang w:val="en-US" w:eastAsia="zh-CN"/>
        </w:rPr>
        <w:drawing>
          <wp:inline distT="0" distB="0" distL="0" distR="0" wp14:anchorId="48CF4EB2" wp14:editId="70ABB584">
            <wp:extent cx="4858385" cy="2011680"/>
            <wp:effectExtent l="0" t="0" r="0" b="0"/>
            <wp:docPr id="7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858385" cy="2011680"/>
                    </a:xfrm>
                    <a:prstGeom prst="rect">
                      <a:avLst/>
                    </a:prstGeom>
                    <a:noFill/>
                    <a:ln>
                      <a:noFill/>
                    </a:ln>
                  </pic:spPr>
                </pic:pic>
              </a:graphicData>
            </a:graphic>
          </wp:inline>
        </w:drawing>
      </w:r>
    </w:p>
    <w:p w14:paraId="4DED5836" w14:textId="77777777" w:rsidR="00A10B25" w:rsidRDefault="00A10B25">
      <w:pPr>
        <w:pStyle w:val="TF"/>
      </w:pPr>
      <w:r>
        <w:t>Figure 5.4.3.1-</w:t>
      </w:r>
      <w:r>
        <w:rPr>
          <w:rFonts w:hint="eastAsia"/>
          <w:lang w:eastAsia="zh-CN"/>
        </w:rPr>
        <w:t>1</w:t>
      </w:r>
      <w:r>
        <w:t xml:space="preserve">: Resource URI structure of the </w:t>
      </w:r>
      <w:r>
        <w:rPr>
          <w:lang w:eastAsia="ja-JP"/>
        </w:rPr>
        <w:t>Nnwdaf_MLModelProvision</w:t>
      </w:r>
      <w:r>
        <w:t xml:space="preserve"> API</w:t>
      </w:r>
    </w:p>
    <w:p w14:paraId="255DFD50" w14:textId="77777777" w:rsidR="00A10B25" w:rsidRDefault="00A10B25">
      <w:r>
        <w:lastRenderedPageBreak/>
        <w:t>Table 5.4.3.1-1 provides an overview of the resources and applicable HTTP methods.</w:t>
      </w:r>
    </w:p>
    <w:p w14:paraId="21CBBCE8" w14:textId="77777777" w:rsidR="00A10B25" w:rsidRDefault="00A10B25">
      <w:pPr>
        <w:pStyle w:val="TH"/>
        <w:overflowPunct w:val="0"/>
        <w:autoSpaceDE w:val="0"/>
        <w:autoSpaceDN w:val="0"/>
        <w:adjustRightInd w:val="0"/>
        <w:textAlignment w:val="baseline"/>
        <w:rPr>
          <w:rFonts w:eastAsia="MS Mincho"/>
        </w:rPr>
      </w:pPr>
      <w:r>
        <w:rPr>
          <w:rFonts w:eastAsia="MS Mincho"/>
        </w:rPr>
        <w:t>Table 5.4.3.1-1: Resources and methods overview</w:t>
      </w:r>
    </w:p>
    <w:tbl>
      <w:tblPr>
        <w:tblW w:w="49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8"/>
        <w:gridCol w:w="2845"/>
        <w:gridCol w:w="957"/>
        <w:gridCol w:w="3141"/>
      </w:tblGrid>
      <w:tr w:rsidR="00A10B25" w14:paraId="0DF1CD9B" w14:textId="77777777">
        <w:trPr>
          <w:jc w:val="center"/>
        </w:trPr>
        <w:tc>
          <w:tcPr>
            <w:tcW w:w="1341" w:type="pct"/>
            <w:shd w:val="clear" w:color="auto" w:fill="C0C0C0"/>
            <w:vAlign w:val="center"/>
          </w:tcPr>
          <w:p w14:paraId="201AD7C4" w14:textId="77777777" w:rsidR="00A10B25" w:rsidRDefault="00A10B25">
            <w:pPr>
              <w:pStyle w:val="TAH"/>
            </w:pPr>
            <w:r>
              <w:t>Resource name</w:t>
            </w:r>
          </w:p>
        </w:tc>
        <w:tc>
          <w:tcPr>
            <w:tcW w:w="1503" w:type="pct"/>
            <w:shd w:val="clear" w:color="auto" w:fill="C0C0C0"/>
            <w:vAlign w:val="center"/>
          </w:tcPr>
          <w:p w14:paraId="40D4389E" w14:textId="77777777" w:rsidR="00A10B25" w:rsidRDefault="00A10B25">
            <w:pPr>
              <w:pStyle w:val="TAH"/>
            </w:pPr>
            <w:r>
              <w:t>Resource URI</w:t>
            </w:r>
          </w:p>
        </w:tc>
        <w:tc>
          <w:tcPr>
            <w:tcW w:w="497" w:type="pct"/>
            <w:shd w:val="clear" w:color="auto" w:fill="C0C0C0"/>
            <w:vAlign w:val="center"/>
          </w:tcPr>
          <w:p w14:paraId="288CEB01" w14:textId="77777777" w:rsidR="00A10B25" w:rsidRDefault="00A10B25">
            <w:pPr>
              <w:pStyle w:val="TAH"/>
            </w:pPr>
            <w:r>
              <w:t>HTTP method or custom operation</w:t>
            </w:r>
          </w:p>
        </w:tc>
        <w:tc>
          <w:tcPr>
            <w:tcW w:w="1659" w:type="pct"/>
            <w:shd w:val="clear" w:color="auto" w:fill="C0C0C0"/>
            <w:vAlign w:val="center"/>
          </w:tcPr>
          <w:p w14:paraId="41204487" w14:textId="77777777" w:rsidR="00A10B25" w:rsidRDefault="00A10B25">
            <w:pPr>
              <w:pStyle w:val="TAH"/>
            </w:pPr>
            <w:r>
              <w:t>Description</w:t>
            </w:r>
          </w:p>
        </w:tc>
      </w:tr>
      <w:tr w:rsidR="00A10B25" w14:paraId="127F5D7D" w14:textId="77777777">
        <w:trPr>
          <w:jc w:val="center"/>
        </w:trPr>
        <w:tc>
          <w:tcPr>
            <w:tcW w:w="0" w:type="auto"/>
            <w:vAlign w:val="center"/>
          </w:tcPr>
          <w:p w14:paraId="10696FA1" w14:textId="77777777" w:rsidR="00A10B25" w:rsidRDefault="00A10B25">
            <w:pPr>
              <w:pStyle w:val="TF"/>
              <w:keepNext/>
              <w:spacing w:after="0"/>
              <w:jc w:val="left"/>
            </w:pPr>
            <w:r>
              <w:rPr>
                <w:b w:val="0"/>
                <w:sz w:val="18"/>
              </w:rPr>
              <w:t>NWDAF ML Model Provision Subscriptions</w:t>
            </w:r>
          </w:p>
        </w:tc>
        <w:tc>
          <w:tcPr>
            <w:tcW w:w="0" w:type="auto"/>
            <w:vAlign w:val="center"/>
          </w:tcPr>
          <w:p w14:paraId="37EC2F6F" w14:textId="77777777" w:rsidR="00A10B25" w:rsidRDefault="00A10B25">
            <w:pPr>
              <w:pStyle w:val="TAL"/>
            </w:pPr>
            <w:r>
              <w:t>/subscriptions</w:t>
            </w:r>
          </w:p>
        </w:tc>
        <w:tc>
          <w:tcPr>
            <w:tcW w:w="497" w:type="pct"/>
          </w:tcPr>
          <w:p w14:paraId="7AE474C9" w14:textId="77777777" w:rsidR="00A10B25" w:rsidRDefault="00A10B25">
            <w:pPr>
              <w:pStyle w:val="TAL"/>
            </w:pPr>
            <w:r>
              <w:t>POST</w:t>
            </w:r>
          </w:p>
        </w:tc>
        <w:tc>
          <w:tcPr>
            <w:tcW w:w="1659" w:type="pct"/>
          </w:tcPr>
          <w:p w14:paraId="29613D74" w14:textId="77777777" w:rsidR="00A10B25" w:rsidRDefault="00A10B25">
            <w:pPr>
              <w:pStyle w:val="TAL"/>
            </w:pPr>
            <w:r>
              <w:t>Creates a new Individual NWDAF ML Model Provision Subscription resource.</w:t>
            </w:r>
          </w:p>
        </w:tc>
      </w:tr>
      <w:tr w:rsidR="00A10B25" w14:paraId="211CA2CF" w14:textId="77777777">
        <w:trPr>
          <w:jc w:val="center"/>
        </w:trPr>
        <w:tc>
          <w:tcPr>
            <w:tcW w:w="0" w:type="auto"/>
            <w:vMerge w:val="restart"/>
            <w:vAlign w:val="center"/>
          </w:tcPr>
          <w:p w14:paraId="3B324FCA" w14:textId="77777777" w:rsidR="00A10B25" w:rsidRDefault="00A10B25">
            <w:pPr>
              <w:pStyle w:val="TF"/>
              <w:keepNext/>
              <w:spacing w:after="0"/>
              <w:jc w:val="left"/>
            </w:pPr>
            <w:r>
              <w:rPr>
                <w:b w:val="0"/>
                <w:sz w:val="18"/>
              </w:rPr>
              <w:t>Individual NWDAF ML Model Provision Subscription</w:t>
            </w:r>
          </w:p>
        </w:tc>
        <w:tc>
          <w:tcPr>
            <w:tcW w:w="0" w:type="auto"/>
            <w:vMerge w:val="restart"/>
            <w:vAlign w:val="center"/>
          </w:tcPr>
          <w:p w14:paraId="142BC7E2" w14:textId="77777777" w:rsidR="00A10B25" w:rsidRDefault="00A10B25">
            <w:pPr>
              <w:pStyle w:val="TAL"/>
            </w:pPr>
            <w:r>
              <w:t>/subscriptions/{subscriptionId}</w:t>
            </w:r>
          </w:p>
        </w:tc>
        <w:tc>
          <w:tcPr>
            <w:tcW w:w="497" w:type="pct"/>
          </w:tcPr>
          <w:p w14:paraId="6E9FF839" w14:textId="77777777" w:rsidR="00A10B25" w:rsidRDefault="00A10B25">
            <w:pPr>
              <w:pStyle w:val="TAL"/>
            </w:pPr>
            <w:r>
              <w:t>DELETE</w:t>
            </w:r>
          </w:p>
        </w:tc>
        <w:tc>
          <w:tcPr>
            <w:tcW w:w="1659" w:type="pct"/>
          </w:tcPr>
          <w:p w14:paraId="0A029BB8" w14:textId="77777777" w:rsidR="00A10B25" w:rsidRDefault="00A10B25">
            <w:pPr>
              <w:pStyle w:val="TF"/>
              <w:keepNext/>
              <w:spacing w:after="0"/>
              <w:jc w:val="left"/>
              <w:rPr>
                <w:b w:val="0"/>
              </w:rPr>
            </w:pPr>
            <w:r>
              <w:rPr>
                <w:b w:val="0"/>
              </w:rPr>
              <w:t xml:space="preserve">Deletes an Individual NWDAF </w:t>
            </w:r>
            <w:r>
              <w:rPr>
                <w:b w:val="0"/>
                <w:sz w:val="18"/>
              </w:rPr>
              <w:t>ML Model Provision Subscription</w:t>
            </w:r>
            <w:r>
              <w:rPr>
                <w:b w:val="0"/>
              </w:rPr>
              <w:t xml:space="preserve"> identified by subresource {subscriptionId}.</w:t>
            </w:r>
          </w:p>
        </w:tc>
      </w:tr>
      <w:tr w:rsidR="00A10B25" w14:paraId="3A1D7514" w14:textId="77777777">
        <w:trPr>
          <w:jc w:val="center"/>
        </w:trPr>
        <w:tc>
          <w:tcPr>
            <w:tcW w:w="0" w:type="auto"/>
            <w:vMerge/>
            <w:vAlign w:val="center"/>
          </w:tcPr>
          <w:p w14:paraId="629EA52E" w14:textId="77777777" w:rsidR="00A10B25" w:rsidRDefault="00A10B25">
            <w:pPr>
              <w:pStyle w:val="TAL"/>
            </w:pPr>
          </w:p>
        </w:tc>
        <w:tc>
          <w:tcPr>
            <w:tcW w:w="0" w:type="auto"/>
            <w:vMerge/>
            <w:vAlign w:val="center"/>
          </w:tcPr>
          <w:p w14:paraId="7B33C893" w14:textId="77777777" w:rsidR="00A10B25" w:rsidRDefault="00A10B25">
            <w:pPr>
              <w:pStyle w:val="TAL"/>
            </w:pPr>
          </w:p>
        </w:tc>
        <w:tc>
          <w:tcPr>
            <w:tcW w:w="497" w:type="pct"/>
          </w:tcPr>
          <w:p w14:paraId="0CA29AB4" w14:textId="77777777" w:rsidR="00A10B25" w:rsidRDefault="00A10B25">
            <w:pPr>
              <w:pStyle w:val="TAL"/>
            </w:pPr>
            <w:r>
              <w:t>PUT</w:t>
            </w:r>
          </w:p>
        </w:tc>
        <w:tc>
          <w:tcPr>
            <w:tcW w:w="1659" w:type="pct"/>
          </w:tcPr>
          <w:p w14:paraId="5515A310" w14:textId="77777777" w:rsidR="00A10B25" w:rsidRDefault="00A10B25">
            <w:pPr>
              <w:pStyle w:val="TAL"/>
            </w:pPr>
            <w:r>
              <w:t>Modifies an existing Individual NWDAF ML Model Provision Subscription identified by subresource {subscriptionId}.</w:t>
            </w:r>
          </w:p>
        </w:tc>
      </w:tr>
    </w:tbl>
    <w:p w14:paraId="1721590F" w14:textId="77777777" w:rsidR="00A10B25" w:rsidRDefault="00A10B25"/>
    <w:p w14:paraId="7562514A" w14:textId="77777777" w:rsidR="00A10B25" w:rsidRDefault="00A10B25">
      <w:pPr>
        <w:pStyle w:val="4"/>
      </w:pPr>
      <w:bookmarkStart w:id="13041" w:name="_Toc83233197"/>
      <w:bookmarkStart w:id="13042" w:name="_Toc138754449"/>
      <w:bookmarkStart w:id="13043" w:name="_Toc112951336"/>
      <w:bookmarkStart w:id="13044" w:name="_Toc113031876"/>
      <w:bookmarkStart w:id="13045" w:name="_Toc90656020"/>
      <w:bookmarkStart w:id="13046" w:name="_Toc70550742"/>
      <w:bookmarkStart w:id="13047" w:name="_Toc94064425"/>
      <w:bookmarkStart w:id="13048" w:name="_Toc85557225"/>
      <w:bookmarkStart w:id="13049" w:name="_Toc98233827"/>
      <w:bookmarkStart w:id="13050" w:name="_Toc104539213"/>
      <w:bookmarkStart w:id="13051" w:name="_Toc114134015"/>
      <w:bookmarkStart w:id="13052" w:name="_Toc136562615"/>
      <w:bookmarkStart w:id="13053" w:name="_Toc120702516"/>
      <w:bookmarkStart w:id="13054" w:name="_Toc145705944"/>
      <w:bookmarkStart w:id="13055" w:name="_Toc148522858"/>
      <w:bookmarkStart w:id="13056" w:name="_Toc88667735"/>
      <w:bookmarkStart w:id="13057" w:name="_Toc101244608"/>
      <w:bookmarkStart w:id="13058" w:name="_Toc85553126"/>
      <w:bookmarkStart w:id="13059" w:name="_Toc164921046"/>
      <w:bookmarkStart w:id="13060" w:name="_Toc170120588"/>
      <w:bookmarkStart w:id="13061" w:name="_Toc175858833"/>
      <w:bookmarkStart w:id="13062" w:name="_Toc175859906"/>
      <w:bookmarkStart w:id="13063" w:name="_Toc180606196"/>
      <w:bookmarkStart w:id="13064" w:name="_Toc185517457"/>
      <w:bookmarkStart w:id="13065" w:name="_Toc191576509"/>
      <w:bookmarkStart w:id="13066" w:name="_Toc191577249"/>
      <w:bookmarkStart w:id="13067" w:name="_Toc192880319"/>
      <w:bookmarkStart w:id="13068" w:name="_Toc195815208"/>
      <w:bookmarkStart w:id="13069" w:name="_Toc199453175"/>
      <w:r>
        <w:t>5.4.3.2</w:t>
      </w:r>
      <w:r>
        <w:tab/>
        <w:t>Resource: NWDAF ML Model Provision Subscriptions</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57D5709A" w14:textId="77777777" w:rsidR="00A10B25" w:rsidRDefault="00A10B25">
      <w:pPr>
        <w:pStyle w:val="5"/>
      </w:pPr>
      <w:bookmarkStart w:id="13070" w:name="_Toc112951337"/>
      <w:bookmarkStart w:id="13071" w:name="_Toc114134016"/>
      <w:bookmarkStart w:id="13072" w:name="_Toc148522859"/>
      <w:bookmarkStart w:id="13073" w:name="_Toc94064426"/>
      <w:bookmarkStart w:id="13074" w:name="_Toc83233198"/>
      <w:bookmarkStart w:id="13075" w:name="_Toc136562616"/>
      <w:bookmarkStart w:id="13076" w:name="_Toc98233828"/>
      <w:bookmarkStart w:id="13077" w:name="_Toc88667736"/>
      <w:bookmarkStart w:id="13078" w:name="_Toc85557226"/>
      <w:bookmarkStart w:id="13079" w:name="_Toc90656021"/>
      <w:bookmarkStart w:id="13080" w:name="_Toc101244609"/>
      <w:bookmarkStart w:id="13081" w:name="_Toc138754450"/>
      <w:bookmarkStart w:id="13082" w:name="_Toc104539214"/>
      <w:bookmarkStart w:id="13083" w:name="_Toc113031877"/>
      <w:bookmarkStart w:id="13084" w:name="_Toc145705945"/>
      <w:bookmarkStart w:id="13085" w:name="_Toc120702517"/>
      <w:bookmarkStart w:id="13086" w:name="_Toc85553127"/>
      <w:bookmarkStart w:id="13087" w:name="_Toc164921047"/>
      <w:bookmarkStart w:id="13088" w:name="_Toc170120589"/>
      <w:bookmarkStart w:id="13089" w:name="_Toc175858834"/>
      <w:bookmarkStart w:id="13090" w:name="_Toc175859907"/>
      <w:bookmarkStart w:id="13091" w:name="_Toc180606197"/>
      <w:bookmarkStart w:id="13092" w:name="_Toc185517458"/>
      <w:bookmarkStart w:id="13093" w:name="_Toc191576510"/>
      <w:bookmarkStart w:id="13094" w:name="_Toc191577250"/>
      <w:bookmarkStart w:id="13095" w:name="_Toc192880320"/>
      <w:bookmarkStart w:id="13096" w:name="_Toc195815209"/>
      <w:bookmarkStart w:id="13097" w:name="_Toc199453176"/>
      <w:r>
        <w:t>5.4.3.2.1</w:t>
      </w:r>
      <w:r>
        <w:tab/>
        <w:t>Description</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324DB35D" w14:textId="77777777" w:rsidR="00A10B25" w:rsidRDefault="00A10B25">
      <w:r>
        <w:t>The NWDAF ML Model Provision Subscriptions resource represents all subscriptions to the Nnwdaf_MLModelProvision service at a given NWDAF. The resource allows an NF service consumer to create a new Individual NWDAF ML Model Provision Subscription resource.</w:t>
      </w:r>
    </w:p>
    <w:p w14:paraId="69E6D471" w14:textId="77777777" w:rsidR="00A10B25" w:rsidRDefault="00A10B25">
      <w:pPr>
        <w:pStyle w:val="5"/>
      </w:pPr>
      <w:bookmarkStart w:id="13098" w:name="_Toc94064427"/>
      <w:bookmarkStart w:id="13099" w:name="_Toc98233829"/>
      <w:bookmarkStart w:id="13100" w:name="_Toc113031878"/>
      <w:bookmarkStart w:id="13101" w:name="_Toc101244610"/>
      <w:bookmarkStart w:id="13102" w:name="_Toc138754451"/>
      <w:bookmarkStart w:id="13103" w:name="_Toc104539215"/>
      <w:bookmarkStart w:id="13104" w:name="_Toc136562617"/>
      <w:bookmarkStart w:id="13105" w:name="_Toc85557227"/>
      <w:bookmarkStart w:id="13106" w:name="_Toc112951338"/>
      <w:bookmarkStart w:id="13107" w:name="_Toc120702518"/>
      <w:bookmarkStart w:id="13108" w:name="_Toc145705946"/>
      <w:bookmarkStart w:id="13109" w:name="_Toc148522860"/>
      <w:bookmarkStart w:id="13110" w:name="_Toc85553128"/>
      <w:bookmarkStart w:id="13111" w:name="_Toc88667737"/>
      <w:bookmarkStart w:id="13112" w:name="_Toc83233199"/>
      <w:bookmarkStart w:id="13113" w:name="_Toc90656022"/>
      <w:bookmarkStart w:id="13114" w:name="_Toc114134017"/>
      <w:bookmarkStart w:id="13115" w:name="_Toc164921048"/>
      <w:bookmarkStart w:id="13116" w:name="_Toc170120590"/>
      <w:bookmarkStart w:id="13117" w:name="_Toc175858835"/>
      <w:bookmarkStart w:id="13118" w:name="_Toc175859908"/>
      <w:bookmarkStart w:id="13119" w:name="_Toc180606198"/>
      <w:bookmarkStart w:id="13120" w:name="_Toc185517459"/>
      <w:bookmarkStart w:id="13121" w:name="_Toc191576511"/>
      <w:bookmarkStart w:id="13122" w:name="_Toc191577251"/>
      <w:bookmarkStart w:id="13123" w:name="_Toc192880321"/>
      <w:bookmarkStart w:id="13124" w:name="_Toc195815210"/>
      <w:bookmarkStart w:id="13125" w:name="_Toc199453177"/>
      <w:r>
        <w:t>5.4.3.2.2</w:t>
      </w:r>
      <w:r>
        <w:tab/>
        <w:t>Resource definition</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p>
    <w:p w14:paraId="5770F533" w14:textId="77777777" w:rsidR="00A10B25" w:rsidRDefault="00A10B25">
      <w:r>
        <w:t xml:space="preserve">Resource URI: </w:t>
      </w:r>
      <w:r>
        <w:rPr>
          <w:b/>
        </w:rPr>
        <w:t>{apiRoot}/nnwdaf-mlmodelprovision/&lt;apiVersion&gt;/subscriptions</w:t>
      </w:r>
    </w:p>
    <w:p w14:paraId="237B92ED" w14:textId="77777777" w:rsidR="00A10B25" w:rsidRDefault="00A10B25">
      <w:pPr>
        <w:rPr>
          <w:rFonts w:ascii="Arial" w:hAnsi="Arial" w:cs="Arial"/>
        </w:rPr>
      </w:pPr>
      <w:r>
        <w:t>This resource shall support the resource URI variables defined in table 5.4.3.2.2-1</w:t>
      </w:r>
      <w:r>
        <w:rPr>
          <w:rFonts w:ascii="Arial" w:hAnsi="Arial" w:cs="Arial"/>
        </w:rPr>
        <w:t>.</w:t>
      </w:r>
    </w:p>
    <w:p w14:paraId="56C04911" w14:textId="77777777" w:rsidR="00A10B25" w:rsidRDefault="00A10B25">
      <w:pPr>
        <w:pStyle w:val="TH"/>
        <w:overflowPunct w:val="0"/>
        <w:autoSpaceDE w:val="0"/>
        <w:autoSpaceDN w:val="0"/>
        <w:adjustRightInd w:val="0"/>
        <w:textAlignment w:val="baseline"/>
        <w:rPr>
          <w:rFonts w:eastAsia="MS Mincho"/>
        </w:rPr>
      </w:pPr>
      <w:r>
        <w:rPr>
          <w:rFonts w:eastAsia="MS Mincho"/>
        </w:rPr>
        <w:t>Table 5.4.3.2.2-1: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28601D9C" w14:textId="77777777">
        <w:trPr>
          <w:jc w:val="center"/>
        </w:trPr>
        <w:tc>
          <w:tcPr>
            <w:tcW w:w="559" w:type="pct"/>
            <w:shd w:val="clear" w:color="000000" w:fill="C0C0C0"/>
          </w:tcPr>
          <w:p w14:paraId="29BFE925" w14:textId="77777777" w:rsidR="00A10B25" w:rsidRDefault="00A10B25">
            <w:pPr>
              <w:pStyle w:val="TAH"/>
            </w:pPr>
            <w:r>
              <w:t>Name</w:t>
            </w:r>
          </w:p>
        </w:tc>
        <w:tc>
          <w:tcPr>
            <w:tcW w:w="636" w:type="pct"/>
            <w:shd w:val="clear" w:color="000000" w:fill="C0C0C0"/>
          </w:tcPr>
          <w:p w14:paraId="425FED5C"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7521AFBF" w14:textId="77777777" w:rsidR="00A10B25" w:rsidRDefault="00A10B25">
            <w:pPr>
              <w:pStyle w:val="TAH"/>
            </w:pPr>
            <w:r>
              <w:t>Definition</w:t>
            </w:r>
          </w:p>
        </w:tc>
      </w:tr>
      <w:tr w:rsidR="00A10B25" w14:paraId="54F91DDC" w14:textId="77777777">
        <w:trPr>
          <w:jc w:val="center"/>
        </w:trPr>
        <w:tc>
          <w:tcPr>
            <w:tcW w:w="559" w:type="pct"/>
          </w:tcPr>
          <w:p w14:paraId="0A5CC0D1" w14:textId="77777777" w:rsidR="00A10B25" w:rsidRDefault="00A10B25">
            <w:pPr>
              <w:pStyle w:val="TAL"/>
            </w:pPr>
            <w:r>
              <w:t>apiRoot</w:t>
            </w:r>
          </w:p>
        </w:tc>
        <w:tc>
          <w:tcPr>
            <w:tcW w:w="636" w:type="pct"/>
          </w:tcPr>
          <w:p w14:paraId="235DCEEB" w14:textId="77777777" w:rsidR="00A10B25" w:rsidRDefault="00A10B25">
            <w:pPr>
              <w:pStyle w:val="TAL"/>
            </w:pPr>
            <w:r>
              <w:t>string</w:t>
            </w:r>
          </w:p>
        </w:tc>
        <w:tc>
          <w:tcPr>
            <w:tcW w:w="3805" w:type="pct"/>
            <w:vAlign w:val="center"/>
          </w:tcPr>
          <w:p w14:paraId="60D7E1AA" w14:textId="77777777" w:rsidR="00A10B25" w:rsidRDefault="00A10B25">
            <w:pPr>
              <w:pStyle w:val="TAL"/>
            </w:pPr>
            <w:r>
              <w:t>See clause</w:t>
            </w:r>
            <w:r>
              <w:rPr>
                <w:lang w:val="en-US" w:eastAsia="zh-CN"/>
              </w:rPr>
              <w:t> </w:t>
            </w:r>
            <w:r>
              <w:t>5.4.1</w:t>
            </w:r>
          </w:p>
        </w:tc>
      </w:tr>
    </w:tbl>
    <w:p w14:paraId="73FB585C" w14:textId="77777777" w:rsidR="00A10B25" w:rsidRDefault="00A10B25"/>
    <w:p w14:paraId="0C79C0A7" w14:textId="77777777" w:rsidR="00A10B25" w:rsidRDefault="00A10B25">
      <w:pPr>
        <w:pStyle w:val="5"/>
      </w:pPr>
      <w:bookmarkStart w:id="13126" w:name="_Toc85553129"/>
      <w:bookmarkStart w:id="13127" w:name="_Toc98233830"/>
      <w:bookmarkStart w:id="13128" w:name="_Toc104539216"/>
      <w:bookmarkStart w:id="13129" w:name="_Toc120702519"/>
      <w:bookmarkStart w:id="13130" w:name="_Toc83233200"/>
      <w:bookmarkStart w:id="13131" w:name="_Toc114134018"/>
      <w:bookmarkStart w:id="13132" w:name="_Toc94064428"/>
      <w:bookmarkStart w:id="13133" w:name="_Toc88667738"/>
      <w:bookmarkStart w:id="13134" w:name="_Toc112951339"/>
      <w:bookmarkStart w:id="13135" w:name="_Toc90656023"/>
      <w:bookmarkStart w:id="13136" w:name="_Toc113031879"/>
      <w:bookmarkStart w:id="13137" w:name="_Toc136562618"/>
      <w:bookmarkStart w:id="13138" w:name="_Toc138754452"/>
      <w:bookmarkStart w:id="13139" w:name="_Toc85557228"/>
      <w:bookmarkStart w:id="13140" w:name="_Toc148522861"/>
      <w:bookmarkStart w:id="13141" w:name="_Toc145705947"/>
      <w:bookmarkStart w:id="13142" w:name="_Toc101244611"/>
      <w:bookmarkStart w:id="13143" w:name="_Toc164921049"/>
      <w:bookmarkStart w:id="13144" w:name="_Toc170120591"/>
      <w:bookmarkStart w:id="13145" w:name="_Toc175858836"/>
      <w:bookmarkStart w:id="13146" w:name="_Toc175859909"/>
      <w:bookmarkStart w:id="13147" w:name="_Toc180606199"/>
      <w:bookmarkStart w:id="13148" w:name="_Toc185517460"/>
      <w:bookmarkStart w:id="13149" w:name="_Toc191576512"/>
      <w:bookmarkStart w:id="13150" w:name="_Toc191577252"/>
      <w:bookmarkStart w:id="13151" w:name="_Toc192880322"/>
      <w:bookmarkStart w:id="13152" w:name="_Toc195815211"/>
      <w:bookmarkStart w:id="13153" w:name="_Toc199453178"/>
      <w:r>
        <w:t>5.4.3.2.3</w:t>
      </w:r>
      <w:r>
        <w:tab/>
        <w:t>Resource Standard Methods</w:t>
      </w:r>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35E08AA1" w14:textId="77777777" w:rsidR="00A10B25" w:rsidRDefault="00A10B25">
      <w:pPr>
        <w:pStyle w:val="6"/>
      </w:pPr>
      <w:bookmarkStart w:id="13154" w:name="_Toc113031880"/>
      <w:bookmarkStart w:id="13155" w:name="_Toc98233831"/>
      <w:bookmarkStart w:id="13156" w:name="_Toc114134019"/>
      <w:bookmarkStart w:id="13157" w:name="_Toc120702520"/>
      <w:bookmarkStart w:id="13158" w:name="_Toc112951340"/>
      <w:bookmarkStart w:id="13159" w:name="_Toc85557229"/>
      <w:bookmarkStart w:id="13160" w:name="_Toc94064429"/>
      <w:bookmarkStart w:id="13161" w:name="_Toc101244612"/>
      <w:bookmarkStart w:id="13162" w:name="_Toc85553130"/>
      <w:bookmarkStart w:id="13163" w:name="_Toc104539217"/>
      <w:bookmarkStart w:id="13164" w:name="_Toc145705948"/>
      <w:bookmarkStart w:id="13165" w:name="_Toc83233201"/>
      <w:bookmarkStart w:id="13166" w:name="_Toc88667739"/>
      <w:bookmarkStart w:id="13167" w:name="_Toc138754453"/>
      <w:bookmarkStart w:id="13168" w:name="_Toc148522862"/>
      <w:bookmarkStart w:id="13169" w:name="_Toc136562619"/>
      <w:bookmarkStart w:id="13170" w:name="_Toc90656024"/>
      <w:bookmarkStart w:id="13171" w:name="_Toc164921050"/>
      <w:bookmarkStart w:id="13172" w:name="_Toc170120592"/>
      <w:bookmarkStart w:id="13173" w:name="_Toc175858837"/>
      <w:bookmarkStart w:id="13174" w:name="_Toc175859910"/>
      <w:bookmarkStart w:id="13175" w:name="_Toc180606200"/>
      <w:bookmarkStart w:id="13176" w:name="_Toc185517461"/>
      <w:bookmarkStart w:id="13177" w:name="_Toc191576513"/>
      <w:bookmarkStart w:id="13178" w:name="_Toc191577253"/>
      <w:bookmarkStart w:id="13179" w:name="_Toc192880323"/>
      <w:bookmarkStart w:id="13180" w:name="_Toc195815212"/>
      <w:bookmarkStart w:id="13181" w:name="_Toc199453179"/>
      <w:r>
        <w:t>5.4.3.2.3.1</w:t>
      </w:r>
      <w:r>
        <w:tab/>
        <w:t>POST</w:t>
      </w:r>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p>
    <w:p w14:paraId="023312AA" w14:textId="77777777" w:rsidR="00A10B25" w:rsidRDefault="00A10B25">
      <w:r>
        <w:t>This method shall support the URI query parameters specified in table 5.4.3.2.3.1-1.</w:t>
      </w:r>
    </w:p>
    <w:p w14:paraId="7C5FC4DE" w14:textId="77777777" w:rsidR="00A10B25" w:rsidRDefault="00A10B25">
      <w:pPr>
        <w:pStyle w:val="TH"/>
        <w:overflowPunct w:val="0"/>
        <w:autoSpaceDE w:val="0"/>
        <w:autoSpaceDN w:val="0"/>
        <w:adjustRightInd w:val="0"/>
        <w:textAlignment w:val="baseline"/>
        <w:rPr>
          <w:rFonts w:eastAsia="MS Mincho"/>
        </w:rPr>
      </w:pPr>
      <w:r>
        <w:rPr>
          <w:rFonts w:eastAsia="MS Mincho"/>
        </w:rPr>
        <w:t>Table 5.4.3.2.3.1-1: URI query parameters supported by the POST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8D81A07" w14:textId="77777777">
        <w:trPr>
          <w:jc w:val="center"/>
        </w:trPr>
        <w:tc>
          <w:tcPr>
            <w:tcW w:w="825" w:type="pct"/>
            <w:tcBorders>
              <w:bottom w:val="single" w:sz="6" w:space="0" w:color="auto"/>
            </w:tcBorders>
            <w:shd w:val="clear" w:color="auto" w:fill="C0C0C0"/>
          </w:tcPr>
          <w:p w14:paraId="011072F0" w14:textId="77777777" w:rsidR="00A10B25" w:rsidRDefault="00A10B25">
            <w:pPr>
              <w:pStyle w:val="TAH"/>
            </w:pPr>
            <w:r>
              <w:t>Name</w:t>
            </w:r>
          </w:p>
        </w:tc>
        <w:tc>
          <w:tcPr>
            <w:tcW w:w="732" w:type="pct"/>
            <w:tcBorders>
              <w:bottom w:val="single" w:sz="6" w:space="0" w:color="auto"/>
            </w:tcBorders>
            <w:shd w:val="clear" w:color="auto" w:fill="C0C0C0"/>
          </w:tcPr>
          <w:p w14:paraId="6F161629" w14:textId="77777777" w:rsidR="00A10B25" w:rsidRDefault="00A10B25">
            <w:pPr>
              <w:pStyle w:val="TAH"/>
            </w:pPr>
            <w:r>
              <w:t>Data type</w:t>
            </w:r>
          </w:p>
        </w:tc>
        <w:tc>
          <w:tcPr>
            <w:tcW w:w="217" w:type="pct"/>
            <w:tcBorders>
              <w:bottom w:val="single" w:sz="6" w:space="0" w:color="auto"/>
            </w:tcBorders>
            <w:shd w:val="clear" w:color="auto" w:fill="C0C0C0"/>
          </w:tcPr>
          <w:p w14:paraId="3D5D0CD8" w14:textId="77777777" w:rsidR="00A10B25" w:rsidRDefault="00A10B25">
            <w:pPr>
              <w:pStyle w:val="TAH"/>
            </w:pPr>
            <w:r>
              <w:t>P</w:t>
            </w:r>
          </w:p>
        </w:tc>
        <w:tc>
          <w:tcPr>
            <w:tcW w:w="581" w:type="pct"/>
            <w:tcBorders>
              <w:bottom w:val="single" w:sz="6" w:space="0" w:color="auto"/>
            </w:tcBorders>
            <w:shd w:val="clear" w:color="auto" w:fill="C0C0C0"/>
          </w:tcPr>
          <w:p w14:paraId="35C299B4"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58F6310" w14:textId="77777777" w:rsidR="00A10B25" w:rsidRDefault="00A10B25">
            <w:pPr>
              <w:pStyle w:val="TAH"/>
            </w:pPr>
            <w:r>
              <w:t>Description</w:t>
            </w:r>
          </w:p>
        </w:tc>
      </w:tr>
      <w:tr w:rsidR="00A10B25" w14:paraId="6524538D" w14:textId="77777777">
        <w:trPr>
          <w:jc w:val="center"/>
        </w:trPr>
        <w:tc>
          <w:tcPr>
            <w:tcW w:w="825" w:type="pct"/>
            <w:tcBorders>
              <w:top w:val="single" w:sz="6" w:space="0" w:color="auto"/>
            </w:tcBorders>
          </w:tcPr>
          <w:p w14:paraId="456B67BE" w14:textId="77777777" w:rsidR="00A10B25" w:rsidRDefault="00A10B25">
            <w:pPr>
              <w:pStyle w:val="TAL"/>
            </w:pPr>
            <w:r>
              <w:t>n/a</w:t>
            </w:r>
          </w:p>
        </w:tc>
        <w:tc>
          <w:tcPr>
            <w:tcW w:w="732" w:type="pct"/>
            <w:tcBorders>
              <w:top w:val="single" w:sz="6" w:space="0" w:color="auto"/>
            </w:tcBorders>
          </w:tcPr>
          <w:p w14:paraId="4477BEC3" w14:textId="77777777" w:rsidR="00A10B25" w:rsidRDefault="00A10B25">
            <w:pPr>
              <w:pStyle w:val="TAL"/>
            </w:pPr>
          </w:p>
        </w:tc>
        <w:tc>
          <w:tcPr>
            <w:tcW w:w="217" w:type="pct"/>
            <w:tcBorders>
              <w:top w:val="single" w:sz="6" w:space="0" w:color="auto"/>
            </w:tcBorders>
          </w:tcPr>
          <w:p w14:paraId="40DE1768" w14:textId="77777777" w:rsidR="00A10B25" w:rsidRDefault="00A10B25">
            <w:pPr>
              <w:pStyle w:val="TAC"/>
            </w:pPr>
          </w:p>
        </w:tc>
        <w:tc>
          <w:tcPr>
            <w:tcW w:w="581" w:type="pct"/>
            <w:tcBorders>
              <w:top w:val="single" w:sz="6" w:space="0" w:color="auto"/>
            </w:tcBorders>
          </w:tcPr>
          <w:p w14:paraId="2334BF15" w14:textId="77777777" w:rsidR="00A10B25" w:rsidRDefault="00A10B25">
            <w:pPr>
              <w:pStyle w:val="TAL"/>
            </w:pPr>
          </w:p>
        </w:tc>
        <w:tc>
          <w:tcPr>
            <w:tcW w:w="2646" w:type="pct"/>
            <w:tcBorders>
              <w:top w:val="single" w:sz="6" w:space="0" w:color="auto"/>
            </w:tcBorders>
            <w:vAlign w:val="center"/>
          </w:tcPr>
          <w:p w14:paraId="39935B5A" w14:textId="77777777" w:rsidR="00A10B25" w:rsidRDefault="00A10B25">
            <w:pPr>
              <w:pStyle w:val="TAL"/>
            </w:pPr>
          </w:p>
        </w:tc>
      </w:tr>
    </w:tbl>
    <w:p w14:paraId="3DA6297B" w14:textId="77777777" w:rsidR="00A10B25" w:rsidRDefault="00A10B25"/>
    <w:p w14:paraId="2A9224AF" w14:textId="77777777" w:rsidR="00A10B25" w:rsidRDefault="00A10B25">
      <w:r>
        <w:t>This method shall support the request data structures specified in table 5.4.3.2.3.1-2 and the response data structures and response codes specified in table 5.4.3.2.3.1-3.</w:t>
      </w:r>
    </w:p>
    <w:p w14:paraId="43960E9D"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5.4.3.2.3.1-2: Data structures supported by the POST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8B09BE3" w14:textId="77777777">
        <w:trPr>
          <w:jc w:val="center"/>
        </w:trPr>
        <w:tc>
          <w:tcPr>
            <w:tcW w:w="1612" w:type="dxa"/>
            <w:tcBorders>
              <w:bottom w:val="single" w:sz="6" w:space="0" w:color="auto"/>
            </w:tcBorders>
            <w:shd w:val="clear" w:color="auto" w:fill="C0C0C0"/>
          </w:tcPr>
          <w:p w14:paraId="6EBB69FC" w14:textId="77777777" w:rsidR="00A10B25" w:rsidRDefault="00A10B25">
            <w:pPr>
              <w:pStyle w:val="TAH"/>
            </w:pPr>
            <w:r>
              <w:t>Data type</w:t>
            </w:r>
          </w:p>
        </w:tc>
        <w:tc>
          <w:tcPr>
            <w:tcW w:w="422" w:type="dxa"/>
            <w:tcBorders>
              <w:bottom w:val="single" w:sz="6" w:space="0" w:color="auto"/>
            </w:tcBorders>
            <w:shd w:val="clear" w:color="auto" w:fill="C0C0C0"/>
          </w:tcPr>
          <w:p w14:paraId="26DDD74B" w14:textId="77777777" w:rsidR="00A10B25" w:rsidRDefault="00A10B25">
            <w:pPr>
              <w:pStyle w:val="TAH"/>
            </w:pPr>
            <w:r>
              <w:t>P</w:t>
            </w:r>
          </w:p>
        </w:tc>
        <w:tc>
          <w:tcPr>
            <w:tcW w:w="1264" w:type="dxa"/>
            <w:tcBorders>
              <w:bottom w:val="single" w:sz="6" w:space="0" w:color="auto"/>
            </w:tcBorders>
            <w:shd w:val="clear" w:color="auto" w:fill="C0C0C0"/>
          </w:tcPr>
          <w:p w14:paraId="27991DB5"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38156AD7" w14:textId="77777777" w:rsidR="00A10B25" w:rsidRDefault="00A10B25">
            <w:pPr>
              <w:pStyle w:val="TAH"/>
            </w:pPr>
            <w:r>
              <w:t>Description</w:t>
            </w:r>
          </w:p>
        </w:tc>
      </w:tr>
      <w:tr w:rsidR="00A10B25" w14:paraId="304E5821" w14:textId="77777777">
        <w:trPr>
          <w:jc w:val="center"/>
        </w:trPr>
        <w:tc>
          <w:tcPr>
            <w:tcW w:w="1612" w:type="dxa"/>
            <w:tcBorders>
              <w:top w:val="single" w:sz="6" w:space="0" w:color="auto"/>
            </w:tcBorders>
          </w:tcPr>
          <w:p w14:paraId="1A592EE1" w14:textId="77777777" w:rsidR="00A10B25" w:rsidRDefault="00A10B25">
            <w:pPr>
              <w:pStyle w:val="TAL"/>
            </w:pPr>
            <w:r>
              <w:rPr>
                <w:rFonts w:eastAsia="等线"/>
              </w:rPr>
              <w:t>NwdafMLModelProvSubsc</w:t>
            </w:r>
          </w:p>
        </w:tc>
        <w:tc>
          <w:tcPr>
            <w:tcW w:w="422" w:type="dxa"/>
            <w:tcBorders>
              <w:top w:val="single" w:sz="6" w:space="0" w:color="auto"/>
            </w:tcBorders>
          </w:tcPr>
          <w:p w14:paraId="6A68384A" w14:textId="77777777" w:rsidR="00A10B25" w:rsidRDefault="00A10B25">
            <w:pPr>
              <w:pStyle w:val="TAC"/>
            </w:pPr>
            <w:r>
              <w:t>M</w:t>
            </w:r>
          </w:p>
        </w:tc>
        <w:tc>
          <w:tcPr>
            <w:tcW w:w="1264" w:type="dxa"/>
            <w:tcBorders>
              <w:top w:val="single" w:sz="6" w:space="0" w:color="auto"/>
            </w:tcBorders>
          </w:tcPr>
          <w:p w14:paraId="3B4464D2" w14:textId="77777777" w:rsidR="00A10B25" w:rsidRDefault="00A10B25">
            <w:pPr>
              <w:pStyle w:val="TAL"/>
            </w:pPr>
            <w:r>
              <w:t>1</w:t>
            </w:r>
          </w:p>
        </w:tc>
        <w:tc>
          <w:tcPr>
            <w:tcW w:w="6381" w:type="dxa"/>
            <w:tcBorders>
              <w:top w:val="single" w:sz="6" w:space="0" w:color="auto"/>
            </w:tcBorders>
          </w:tcPr>
          <w:p w14:paraId="49DCA262" w14:textId="77777777" w:rsidR="00A10B25" w:rsidRDefault="00A10B25">
            <w:pPr>
              <w:pStyle w:val="TAL"/>
            </w:pPr>
            <w:r>
              <w:t>Creates a new Individual NWDAF ML Model Provision Subscription resource.</w:t>
            </w:r>
          </w:p>
        </w:tc>
      </w:tr>
    </w:tbl>
    <w:p w14:paraId="4897AB40" w14:textId="77777777" w:rsidR="00A10B25" w:rsidRDefault="00A10B25"/>
    <w:p w14:paraId="7D91981A" w14:textId="77777777" w:rsidR="00A10B25" w:rsidRDefault="00A10B25">
      <w:pPr>
        <w:pStyle w:val="TH"/>
        <w:overflowPunct w:val="0"/>
        <w:autoSpaceDE w:val="0"/>
        <w:autoSpaceDN w:val="0"/>
        <w:adjustRightInd w:val="0"/>
        <w:textAlignment w:val="baseline"/>
        <w:rPr>
          <w:rFonts w:eastAsia="MS Mincho"/>
        </w:rPr>
      </w:pPr>
      <w:r>
        <w:rPr>
          <w:rFonts w:eastAsia="MS Mincho"/>
        </w:rPr>
        <w:t>Table 5.4.3.2.3.1-3: Data structures supported by the POST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52"/>
        <w:gridCol w:w="435"/>
        <w:gridCol w:w="1236"/>
        <w:gridCol w:w="1110"/>
        <w:gridCol w:w="4407"/>
      </w:tblGrid>
      <w:tr w:rsidR="00A10B25" w14:paraId="74CBA1F8" w14:textId="77777777">
        <w:trPr>
          <w:jc w:val="center"/>
        </w:trPr>
        <w:tc>
          <w:tcPr>
            <w:tcW w:w="1232" w:type="pct"/>
            <w:tcBorders>
              <w:bottom w:val="single" w:sz="6" w:space="0" w:color="auto"/>
            </w:tcBorders>
            <w:shd w:val="clear" w:color="auto" w:fill="C0C0C0"/>
          </w:tcPr>
          <w:p w14:paraId="55852630" w14:textId="77777777" w:rsidR="00A10B25" w:rsidRDefault="00A10B25">
            <w:pPr>
              <w:pStyle w:val="TAH"/>
            </w:pPr>
            <w:r>
              <w:t>Data type</w:t>
            </w:r>
          </w:p>
        </w:tc>
        <w:tc>
          <w:tcPr>
            <w:tcW w:w="228" w:type="pct"/>
            <w:tcBorders>
              <w:bottom w:val="single" w:sz="6" w:space="0" w:color="auto"/>
            </w:tcBorders>
            <w:shd w:val="clear" w:color="auto" w:fill="C0C0C0"/>
          </w:tcPr>
          <w:p w14:paraId="7016EC4E" w14:textId="77777777" w:rsidR="00A10B25" w:rsidRDefault="00A10B25">
            <w:pPr>
              <w:pStyle w:val="TAH"/>
            </w:pPr>
            <w:r>
              <w:t>P</w:t>
            </w:r>
          </w:p>
        </w:tc>
        <w:tc>
          <w:tcPr>
            <w:tcW w:w="648" w:type="pct"/>
            <w:tcBorders>
              <w:bottom w:val="single" w:sz="6" w:space="0" w:color="auto"/>
            </w:tcBorders>
            <w:shd w:val="clear" w:color="auto" w:fill="C0C0C0"/>
          </w:tcPr>
          <w:p w14:paraId="3A74699E" w14:textId="77777777" w:rsidR="00A10B25" w:rsidRDefault="00A10B25">
            <w:pPr>
              <w:pStyle w:val="TAH"/>
            </w:pPr>
            <w:r>
              <w:t>Cardinality</w:t>
            </w:r>
          </w:p>
        </w:tc>
        <w:tc>
          <w:tcPr>
            <w:tcW w:w="582" w:type="pct"/>
            <w:tcBorders>
              <w:bottom w:val="single" w:sz="6" w:space="0" w:color="auto"/>
            </w:tcBorders>
            <w:shd w:val="clear" w:color="auto" w:fill="C0C0C0"/>
          </w:tcPr>
          <w:p w14:paraId="1F04A0DA" w14:textId="77777777" w:rsidR="00A10B25" w:rsidRDefault="00A10B25">
            <w:pPr>
              <w:pStyle w:val="TAH"/>
            </w:pPr>
            <w:r>
              <w:t>Response</w:t>
            </w:r>
          </w:p>
          <w:p w14:paraId="0F9B857E" w14:textId="77777777" w:rsidR="00A10B25" w:rsidRDefault="00A10B25">
            <w:pPr>
              <w:pStyle w:val="TAH"/>
            </w:pPr>
            <w:r>
              <w:t>codes</w:t>
            </w:r>
          </w:p>
        </w:tc>
        <w:tc>
          <w:tcPr>
            <w:tcW w:w="2310" w:type="pct"/>
            <w:tcBorders>
              <w:bottom w:val="single" w:sz="6" w:space="0" w:color="auto"/>
            </w:tcBorders>
            <w:shd w:val="clear" w:color="auto" w:fill="C0C0C0"/>
          </w:tcPr>
          <w:p w14:paraId="5C5CF263" w14:textId="77777777" w:rsidR="00A10B25" w:rsidRDefault="00A10B25">
            <w:pPr>
              <w:pStyle w:val="TAH"/>
            </w:pPr>
            <w:r>
              <w:t>Description</w:t>
            </w:r>
          </w:p>
        </w:tc>
      </w:tr>
      <w:tr w:rsidR="00A10B25" w14:paraId="7F292C91" w14:textId="77777777">
        <w:trPr>
          <w:jc w:val="center"/>
        </w:trPr>
        <w:tc>
          <w:tcPr>
            <w:tcW w:w="1232" w:type="pct"/>
            <w:tcBorders>
              <w:top w:val="single" w:sz="6" w:space="0" w:color="auto"/>
            </w:tcBorders>
          </w:tcPr>
          <w:p w14:paraId="43119769" w14:textId="77777777" w:rsidR="00A10B25" w:rsidRDefault="00A10B25">
            <w:pPr>
              <w:pStyle w:val="TAL"/>
            </w:pPr>
            <w:r>
              <w:rPr>
                <w:rFonts w:eastAsia="等线"/>
              </w:rPr>
              <w:t>NwdafMLModelProvSubsc</w:t>
            </w:r>
          </w:p>
        </w:tc>
        <w:tc>
          <w:tcPr>
            <w:tcW w:w="228" w:type="pct"/>
            <w:tcBorders>
              <w:top w:val="single" w:sz="6" w:space="0" w:color="auto"/>
            </w:tcBorders>
          </w:tcPr>
          <w:p w14:paraId="14EA7BC7" w14:textId="77777777" w:rsidR="00A10B25" w:rsidRDefault="00A10B25">
            <w:pPr>
              <w:pStyle w:val="TAL"/>
              <w:jc w:val="center"/>
            </w:pPr>
            <w:r>
              <w:t>M</w:t>
            </w:r>
          </w:p>
        </w:tc>
        <w:tc>
          <w:tcPr>
            <w:tcW w:w="648" w:type="pct"/>
            <w:tcBorders>
              <w:top w:val="single" w:sz="6" w:space="0" w:color="auto"/>
            </w:tcBorders>
          </w:tcPr>
          <w:p w14:paraId="029B329A" w14:textId="77777777" w:rsidR="00A10B25" w:rsidRDefault="00A10B25">
            <w:pPr>
              <w:pStyle w:val="TAL"/>
            </w:pPr>
            <w:r>
              <w:t>1</w:t>
            </w:r>
          </w:p>
        </w:tc>
        <w:tc>
          <w:tcPr>
            <w:tcW w:w="582" w:type="pct"/>
            <w:tcBorders>
              <w:top w:val="single" w:sz="6" w:space="0" w:color="auto"/>
            </w:tcBorders>
          </w:tcPr>
          <w:p w14:paraId="16F0DEFE" w14:textId="77777777" w:rsidR="00A10B25" w:rsidRDefault="00A10B25">
            <w:pPr>
              <w:pStyle w:val="TAL"/>
            </w:pPr>
            <w:r>
              <w:t>201 Created</w:t>
            </w:r>
          </w:p>
        </w:tc>
        <w:tc>
          <w:tcPr>
            <w:tcW w:w="2310" w:type="pct"/>
            <w:tcBorders>
              <w:top w:val="single" w:sz="6" w:space="0" w:color="auto"/>
            </w:tcBorders>
          </w:tcPr>
          <w:p w14:paraId="31A76DB9" w14:textId="77777777" w:rsidR="00A10B25" w:rsidRDefault="00A10B25">
            <w:pPr>
              <w:pStyle w:val="TAL"/>
            </w:pPr>
            <w:r>
              <w:t>The creation of an Individual NWDAF ML Model Provision Subscription resource is confirmed and a representation of that resource is returned.</w:t>
            </w:r>
          </w:p>
        </w:tc>
      </w:tr>
      <w:tr w:rsidR="00A10B25" w14:paraId="61130DBD" w14:textId="77777777">
        <w:trPr>
          <w:jc w:val="center"/>
        </w:trPr>
        <w:tc>
          <w:tcPr>
            <w:tcW w:w="1232" w:type="pct"/>
            <w:tcBorders>
              <w:top w:val="single" w:sz="6" w:space="0" w:color="auto"/>
            </w:tcBorders>
          </w:tcPr>
          <w:p w14:paraId="699FB920" w14:textId="77777777" w:rsidR="00A10B25" w:rsidRDefault="00A10B25">
            <w:pPr>
              <w:pStyle w:val="TAL"/>
              <w:rPr>
                <w:rFonts w:eastAsia="等线"/>
              </w:rPr>
            </w:pPr>
            <w:r>
              <w:rPr>
                <w:lang w:eastAsia="zh-CN"/>
              </w:rPr>
              <w:t>ProblemDetails</w:t>
            </w:r>
          </w:p>
        </w:tc>
        <w:tc>
          <w:tcPr>
            <w:tcW w:w="228" w:type="pct"/>
            <w:tcBorders>
              <w:top w:val="single" w:sz="6" w:space="0" w:color="auto"/>
            </w:tcBorders>
          </w:tcPr>
          <w:p w14:paraId="2F8DE39B" w14:textId="77777777" w:rsidR="00A10B25" w:rsidRDefault="00A10B25">
            <w:pPr>
              <w:pStyle w:val="TAL"/>
              <w:jc w:val="center"/>
            </w:pPr>
            <w:r>
              <w:rPr>
                <w:lang w:eastAsia="zh-CN"/>
              </w:rPr>
              <w:t>O</w:t>
            </w:r>
          </w:p>
        </w:tc>
        <w:tc>
          <w:tcPr>
            <w:tcW w:w="648" w:type="pct"/>
            <w:tcBorders>
              <w:top w:val="single" w:sz="6" w:space="0" w:color="auto"/>
            </w:tcBorders>
          </w:tcPr>
          <w:p w14:paraId="7161891F" w14:textId="77777777" w:rsidR="00A10B25" w:rsidRDefault="00A10B25">
            <w:pPr>
              <w:pStyle w:val="TAL"/>
            </w:pPr>
            <w:r>
              <w:rPr>
                <w:lang w:eastAsia="zh-CN"/>
              </w:rPr>
              <w:t>0..1</w:t>
            </w:r>
          </w:p>
        </w:tc>
        <w:tc>
          <w:tcPr>
            <w:tcW w:w="582" w:type="pct"/>
            <w:tcBorders>
              <w:top w:val="single" w:sz="6" w:space="0" w:color="auto"/>
            </w:tcBorders>
          </w:tcPr>
          <w:p w14:paraId="45D665F8" w14:textId="77777777" w:rsidR="00A10B25" w:rsidRDefault="00A10B25">
            <w:pPr>
              <w:pStyle w:val="TAL"/>
            </w:pPr>
            <w:r>
              <w:rPr>
                <w:rFonts w:hint="eastAsia"/>
                <w:lang w:eastAsia="zh-CN"/>
              </w:rPr>
              <w:t>5</w:t>
            </w:r>
            <w:r>
              <w:rPr>
                <w:lang w:eastAsia="zh-CN"/>
              </w:rPr>
              <w:t>0</w:t>
            </w:r>
            <w:r>
              <w:t>0 Internal Server Error</w:t>
            </w:r>
          </w:p>
        </w:tc>
        <w:tc>
          <w:tcPr>
            <w:tcW w:w="2310" w:type="pct"/>
            <w:tcBorders>
              <w:top w:val="single" w:sz="6" w:space="0" w:color="auto"/>
            </w:tcBorders>
          </w:tcPr>
          <w:p w14:paraId="4D12B0BC" w14:textId="77777777" w:rsidR="00A10B25" w:rsidRDefault="00A10B25">
            <w:pPr>
              <w:pStyle w:val="TAL"/>
            </w:pPr>
            <w:r>
              <w:t>(NOTE 2)</w:t>
            </w:r>
          </w:p>
        </w:tc>
      </w:tr>
      <w:tr w:rsidR="00A10B25" w14:paraId="1D971228" w14:textId="77777777">
        <w:tblPrEx>
          <w:tblCellMar>
            <w:right w:w="115" w:type="dxa"/>
          </w:tblCellMar>
        </w:tblPrEx>
        <w:trPr>
          <w:jc w:val="center"/>
        </w:trPr>
        <w:tc>
          <w:tcPr>
            <w:tcW w:w="5000" w:type="pct"/>
            <w:gridSpan w:val="5"/>
          </w:tcPr>
          <w:p w14:paraId="3302E5A6"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1130F0EB" w14:textId="77777777" w:rsidR="00A10B25" w:rsidRDefault="00A10B25">
            <w:pPr>
              <w:pStyle w:val="TAN"/>
              <w:rPr>
                <w:lang w:val="en-US" w:eastAsia="zh-CN"/>
              </w:rPr>
            </w:pPr>
            <w:r>
              <w:t>NOTE 2:</w:t>
            </w:r>
            <w:r>
              <w:tab/>
              <w:t>Failure causes are described in subclause 5.4.7.3.</w:t>
            </w:r>
          </w:p>
        </w:tc>
      </w:tr>
    </w:tbl>
    <w:p w14:paraId="47A05781" w14:textId="77777777" w:rsidR="00A10B25" w:rsidRDefault="00A10B25"/>
    <w:p w14:paraId="6D49DAEF" w14:textId="77777777" w:rsidR="00A10B25" w:rsidRDefault="00A10B25">
      <w:pPr>
        <w:keepNext/>
        <w:keepLines/>
        <w:spacing w:before="60"/>
        <w:jc w:val="center"/>
        <w:rPr>
          <w:rFonts w:ascii="Arial" w:hAnsi="Arial"/>
          <w:b/>
        </w:rPr>
      </w:pPr>
      <w:bookmarkStart w:id="13182" w:name="_Toc98233832"/>
      <w:bookmarkStart w:id="13183" w:name="_Toc114134020"/>
      <w:bookmarkStart w:id="13184" w:name="_Toc120702521"/>
      <w:bookmarkStart w:id="13185" w:name="_Toc113031881"/>
      <w:bookmarkStart w:id="13186" w:name="_Toc112951341"/>
      <w:bookmarkStart w:id="13187" w:name="_Toc101244613"/>
      <w:bookmarkStart w:id="13188" w:name="_Toc88667740"/>
      <w:bookmarkStart w:id="13189" w:name="_Toc83233202"/>
      <w:bookmarkStart w:id="13190" w:name="_Toc85553131"/>
      <w:bookmarkStart w:id="13191" w:name="_Toc148522863"/>
      <w:bookmarkStart w:id="13192" w:name="_Toc90656025"/>
      <w:bookmarkStart w:id="13193" w:name="_Toc104539218"/>
      <w:bookmarkStart w:id="13194" w:name="_Toc138754454"/>
      <w:bookmarkStart w:id="13195" w:name="_Toc94064430"/>
      <w:bookmarkStart w:id="13196" w:name="_Toc145705949"/>
      <w:bookmarkStart w:id="13197" w:name="_Toc85557230"/>
      <w:bookmarkStart w:id="13198" w:name="_Toc136562620"/>
      <w:r>
        <w:rPr>
          <w:rFonts w:ascii="Arial" w:hAnsi="Arial"/>
          <w:b/>
        </w:rPr>
        <w:t>Table</w:t>
      </w:r>
      <w:r>
        <w:rPr>
          <w:rFonts w:ascii="Arial" w:hAnsi="Arial"/>
          <w:b/>
          <w:lang w:eastAsia="en-GB"/>
        </w:rPr>
        <w:t> </w:t>
      </w:r>
      <w:r>
        <w:rPr>
          <w:rFonts w:ascii="Arial" w:eastAsia="MS Mincho" w:hAnsi="Arial"/>
          <w:b/>
        </w:rPr>
        <w:t>5.4.3.2.3.1</w:t>
      </w:r>
      <w:r>
        <w:rPr>
          <w:rFonts w:ascii="Arial" w:hAnsi="Arial"/>
          <w:b/>
        </w:rPr>
        <w:t xml:space="preserve">-4: Headers supported by the 201 Response Code on this resource </w:t>
      </w:r>
    </w:p>
    <w:tbl>
      <w:tblPr>
        <w:tblW w:w="0" w:type="auto"/>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1B129E5A" w14:textId="77777777">
        <w:trPr>
          <w:jc w:val="center"/>
        </w:trPr>
        <w:tc>
          <w:tcPr>
            <w:tcW w:w="1832" w:type="dxa"/>
            <w:tcBorders>
              <w:bottom w:val="single" w:sz="6" w:space="0" w:color="auto"/>
            </w:tcBorders>
            <w:shd w:val="clear" w:color="auto" w:fill="C0C0C0"/>
          </w:tcPr>
          <w:p w14:paraId="4560F251" w14:textId="77777777" w:rsidR="00A10B25" w:rsidRDefault="00A10B25">
            <w:pPr>
              <w:keepNext/>
              <w:keepLines/>
              <w:spacing w:after="0"/>
              <w:jc w:val="center"/>
              <w:rPr>
                <w:rFonts w:ascii="Arial" w:hAnsi="Arial"/>
                <w:b/>
                <w:sz w:val="18"/>
              </w:rPr>
            </w:pPr>
            <w:r>
              <w:rPr>
                <w:rFonts w:ascii="Arial" w:hAnsi="Arial"/>
                <w:b/>
                <w:sz w:val="18"/>
              </w:rPr>
              <w:t>Name</w:t>
            </w:r>
          </w:p>
        </w:tc>
        <w:tc>
          <w:tcPr>
            <w:tcW w:w="1559" w:type="dxa"/>
            <w:tcBorders>
              <w:bottom w:val="single" w:sz="6" w:space="0" w:color="auto"/>
            </w:tcBorders>
            <w:shd w:val="clear" w:color="auto" w:fill="C0C0C0"/>
          </w:tcPr>
          <w:p w14:paraId="333CF20E" w14:textId="77777777" w:rsidR="00A10B25" w:rsidRDefault="00A10B25">
            <w:pPr>
              <w:keepNext/>
              <w:keepLines/>
              <w:spacing w:after="0"/>
              <w:jc w:val="center"/>
              <w:rPr>
                <w:rFonts w:ascii="Arial" w:hAnsi="Arial"/>
                <w:b/>
                <w:sz w:val="18"/>
              </w:rPr>
            </w:pPr>
            <w:r>
              <w:rPr>
                <w:rFonts w:ascii="Arial" w:hAnsi="Arial"/>
                <w:b/>
                <w:sz w:val="18"/>
              </w:rPr>
              <w:t>Data type</w:t>
            </w:r>
          </w:p>
        </w:tc>
        <w:tc>
          <w:tcPr>
            <w:tcW w:w="426" w:type="dxa"/>
            <w:tcBorders>
              <w:bottom w:val="single" w:sz="6" w:space="0" w:color="auto"/>
            </w:tcBorders>
            <w:shd w:val="clear" w:color="auto" w:fill="C0C0C0"/>
          </w:tcPr>
          <w:p w14:paraId="441EDAC1" w14:textId="77777777" w:rsidR="00A10B25" w:rsidRDefault="00A10B25">
            <w:pPr>
              <w:keepNext/>
              <w:keepLines/>
              <w:spacing w:after="0"/>
              <w:jc w:val="center"/>
              <w:rPr>
                <w:rFonts w:ascii="Arial" w:hAnsi="Arial"/>
                <w:b/>
                <w:sz w:val="18"/>
              </w:rPr>
            </w:pPr>
            <w:r>
              <w:rPr>
                <w:rFonts w:ascii="Arial" w:hAnsi="Arial"/>
                <w:b/>
                <w:sz w:val="18"/>
              </w:rPr>
              <w:t>P</w:t>
            </w:r>
          </w:p>
        </w:tc>
        <w:tc>
          <w:tcPr>
            <w:tcW w:w="1275" w:type="dxa"/>
            <w:tcBorders>
              <w:bottom w:val="single" w:sz="6" w:space="0" w:color="auto"/>
            </w:tcBorders>
            <w:shd w:val="clear" w:color="auto" w:fill="C0C0C0"/>
          </w:tcPr>
          <w:p w14:paraId="6EBAE584" w14:textId="77777777" w:rsidR="00A10B25" w:rsidRDefault="00A10B25">
            <w:pPr>
              <w:keepNext/>
              <w:keepLines/>
              <w:spacing w:after="0"/>
              <w:jc w:val="center"/>
              <w:rPr>
                <w:rFonts w:ascii="Arial" w:hAnsi="Arial"/>
                <w:b/>
                <w:sz w:val="18"/>
              </w:rPr>
            </w:pPr>
            <w:r>
              <w:rPr>
                <w:rFonts w:ascii="Arial" w:hAnsi="Arial"/>
                <w:b/>
                <w:sz w:val="18"/>
              </w:rPr>
              <w:t>Cardinality</w:t>
            </w:r>
          </w:p>
        </w:tc>
        <w:tc>
          <w:tcPr>
            <w:tcW w:w="4524" w:type="dxa"/>
            <w:tcBorders>
              <w:bottom w:val="single" w:sz="6" w:space="0" w:color="auto"/>
            </w:tcBorders>
            <w:shd w:val="clear" w:color="auto" w:fill="C0C0C0"/>
            <w:vAlign w:val="center"/>
          </w:tcPr>
          <w:p w14:paraId="1303FD21"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2965C29D" w14:textId="77777777">
        <w:trPr>
          <w:jc w:val="center"/>
        </w:trPr>
        <w:tc>
          <w:tcPr>
            <w:tcW w:w="1832" w:type="dxa"/>
            <w:tcBorders>
              <w:top w:val="single" w:sz="6" w:space="0" w:color="auto"/>
            </w:tcBorders>
          </w:tcPr>
          <w:p w14:paraId="3451A17C" w14:textId="77777777" w:rsidR="00A10B25" w:rsidRDefault="00A10B25">
            <w:pPr>
              <w:keepNext/>
              <w:keepLines/>
              <w:spacing w:after="0"/>
              <w:rPr>
                <w:rFonts w:ascii="Arial" w:hAnsi="Arial"/>
                <w:sz w:val="18"/>
              </w:rPr>
            </w:pPr>
            <w:r>
              <w:rPr>
                <w:rFonts w:ascii="Arial" w:hAnsi="Arial"/>
                <w:sz w:val="18"/>
              </w:rPr>
              <w:t>Location</w:t>
            </w:r>
          </w:p>
        </w:tc>
        <w:tc>
          <w:tcPr>
            <w:tcW w:w="1559" w:type="dxa"/>
            <w:tcBorders>
              <w:top w:val="single" w:sz="6" w:space="0" w:color="auto"/>
            </w:tcBorders>
          </w:tcPr>
          <w:p w14:paraId="3AACF421" w14:textId="77777777" w:rsidR="00A10B25" w:rsidRDefault="00A10B25">
            <w:pPr>
              <w:keepNext/>
              <w:keepLines/>
              <w:spacing w:after="0"/>
              <w:rPr>
                <w:rFonts w:ascii="Arial" w:hAnsi="Arial"/>
                <w:sz w:val="18"/>
              </w:rPr>
            </w:pPr>
            <w:r>
              <w:rPr>
                <w:rFonts w:ascii="Arial" w:hAnsi="Arial"/>
                <w:sz w:val="18"/>
              </w:rPr>
              <w:t>string</w:t>
            </w:r>
          </w:p>
        </w:tc>
        <w:tc>
          <w:tcPr>
            <w:tcW w:w="426" w:type="dxa"/>
            <w:tcBorders>
              <w:top w:val="single" w:sz="6" w:space="0" w:color="auto"/>
            </w:tcBorders>
          </w:tcPr>
          <w:p w14:paraId="181E66EA" w14:textId="77777777" w:rsidR="00A10B25" w:rsidRDefault="00A10B25">
            <w:pPr>
              <w:keepNext/>
              <w:keepLines/>
              <w:spacing w:after="0"/>
              <w:jc w:val="center"/>
              <w:rPr>
                <w:rFonts w:ascii="Arial" w:hAnsi="Arial"/>
                <w:sz w:val="18"/>
              </w:rPr>
            </w:pPr>
            <w:r>
              <w:rPr>
                <w:rFonts w:ascii="Arial" w:hAnsi="Arial"/>
                <w:sz w:val="18"/>
              </w:rPr>
              <w:t>M</w:t>
            </w:r>
          </w:p>
        </w:tc>
        <w:tc>
          <w:tcPr>
            <w:tcW w:w="1275" w:type="dxa"/>
            <w:tcBorders>
              <w:top w:val="single" w:sz="6" w:space="0" w:color="auto"/>
            </w:tcBorders>
          </w:tcPr>
          <w:p w14:paraId="615ED913" w14:textId="77777777" w:rsidR="00A10B25" w:rsidRDefault="00A10B25">
            <w:pPr>
              <w:keepNext/>
              <w:keepLines/>
              <w:spacing w:after="0"/>
              <w:rPr>
                <w:rFonts w:ascii="Arial" w:hAnsi="Arial"/>
                <w:sz w:val="18"/>
              </w:rPr>
            </w:pPr>
            <w:r>
              <w:rPr>
                <w:rFonts w:ascii="Arial" w:hAnsi="Arial"/>
                <w:sz w:val="18"/>
              </w:rPr>
              <w:t>1</w:t>
            </w:r>
          </w:p>
        </w:tc>
        <w:tc>
          <w:tcPr>
            <w:tcW w:w="4524" w:type="dxa"/>
            <w:tcBorders>
              <w:top w:val="single" w:sz="6" w:space="0" w:color="auto"/>
            </w:tcBorders>
            <w:vAlign w:val="center"/>
          </w:tcPr>
          <w:p w14:paraId="0EBAA557" w14:textId="77777777" w:rsidR="00A10B25" w:rsidRDefault="00A10B25">
            <w:pPr>
              <w:keepNext/>
              <w:keepLines/>
              <w:spacing w:after="0"/>
              <w:rPr>
                <w:rFonts w:ascii="Arial" w:hAnsi="Arial"/>
                <w:sz w:val="18"/>
              </w:rPr>
            </w:pPr>
            <w:r>
              <w:rPr>
                <w:rFonts w:ascii="Arial" w:hAnsi="Arial"/>
                <w:sz w:val="18"/>
              </w:rPr>
              <w:t>Contains the URI of the newly created resource, according to the structure: {apiRoot}/nnwdaf-mlmodelprovision/&lt;apiVersion&gt;/subscriptions/{subscriptionId}</w:t>
            </w:r>
          </w:p>
        </w:tc>
      </w:tr>
    </w:tbl>
    <w:p w14:paraId="3FE7C9DE" w14:textId="77777777" w:rsidR="00A10B25" w:rsidRDefault="00A10B25">
      <w:pPr>
        <w:rPr>
          <w:lang w:eastAsia="en-GB"/>
        </w:rPr>
      </w:pPr>
    </w:p>
    <w:p w14:paraId="3A381268" w14:textId="77777777" w:rsidR="00A10B25" w:rsidRDefault="00A10B25">
      <w:pPr>
        <w:pStyle w:val="5"/>
      </w:pPr>
      <w:bookmarkStart w:id="13199" w:name="_Toc164921051"/>
      <w:bookmarkStart w:id="13200" w:name="_Toc170120593"/>
      <w:bookmarkStart w:id="13201" w:name="_Toc175858838"/>
      <w:bookmarkStart w:id="13202" w:name="_Toc175859911"/>
      <w:bookmarkStart w:id="13203" w:name="_Toc180606201"/>
      <w:bookmarkStart w:id="13204" w:name="_Toc185517462"/>
      <w:bookmarkStart w:id="13205" w:name="_Toc191576514"/>
      <w:bookmarkStart w:id="13206" w:name="_Toc191577254"/>
      <w:bookmarkStart w:id="13207" w:name="_Toc192880324"/>
      <w:bookmarkStart w:id="13208" w:name="_Toc195815213"/>
      <w:bookmarkStart w:id="13209" w:name="_Toc199453180"/>
      <w:r>
        <w:t>5.4.3.2.4</w:t>
      </w:r>
      <w:r>
        <w:tab/>
        <w:t>Resource Custom Operations</w:t>
      </w:r>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p>
    <w:p w14:paraId="1426E192" w14:textId="77777777" w:rsidR="00A10B25" w:rsidRDefault="00A10B25">
      <w:pPr>
        <w:rPr>
          <w:lang w:val="en-US" w:eastAsia="zh-CN"/>
        </w:rPr>
      </w:pPr>
      <w:r>
        <w:t>None in this release of the specification.</w:t>
      </w:r>
    </w:p>
    <w:p w14:paraId="32A863F3" w14:textId="77777777" w:rsidR="00A10B25" w:rsidRDefault="00A10B25">
      <w:pPr>
        <w:pStyle w:val="4"/>
      </w:pPr>
      <w:bookmarkStart w:id="13210" w:name="_Toc83233203"/>
      <w:bookmarkStart w:id="13211" w:name="_Toc85553132"/>
      <w:bookmarkStart w:id="13212" w:name="_Toc112951342"/>
      <w:bookmarkStart w:id="13213" w:name="_Toc98233833"/>
      <w:bookmarkStart w:id="13214" w:name="_Toc104539219"/>
      <w:bookmarkStart w:id="13215" w:name="_Toc145705950"/>
      <w:bookmarkStart w:id="13216" w:name="_Toc101244614"/>
      <w:bookmarkStart w:id="13217" w:name="_Toc113031882"/>
      <w:bookmarkStart w:id="13218" w:name="_Toc136562621"/>
      <w:bookmarkStart w:id="13219" w:name="_Toc85557231"/>
      <w:bookmarkStart w:id="13220" w:name="_Toc70550743"/>
      <w:bookmarkStart w:id="13221" w:name="_Toc138754455"/>
      <w:bookmarkStart w:id="13222" w:name="_Toc148522864"/>
      <w:bookmarkStart w:id="13223" w:name="_Toc114134021"/>
      <w:bookmarkStart w:id="13224" w:name="_Toc88667741"/>
      <w:bookmarkStart w:id="13225" w:name="_Toc90656026"/>
      <w:bookmarkStart w:id="13226" w:name="_Toc94064431"/>
      <w:bookmarkStart w:id="13227" w:name="_Toc120702522"/>
      <w:bookmarkStart w:id="13228" w:name="_Toc164921052"/>
      <w:bookmarkStart w:id="13229" w:name="_Toc170120594"/>
      <w:bookmarkStart w:id="13230" w:name="_Toc175858839"/>
      <w:bookmarkStart w:id="13231" w:name="_Toc175859912"/>
      <w:bookmarkStart w:id="13232" w:name="_Toc180606202"/>
      <w:bookmarkStart w:id="13233" w:name="_Toc185517463"/>
      <w:bookmarkStart w:id="13234" w:name="_Toc191576515"/>
      <w:bookmarkStart w:id="13235" w:name="_Toc191577255"/>
      <w:bookmarkStart w:id="13236" w:name="_Toc192880325"/>
      <w:bookmarkStart w:id="13237" w:name="_Toc195815214"/>
      <w:bookmarkStart w:id="13238" w:name="_Toc199453181"/>
      <w:r>
        <w:t>5.4.3.3</w:t>
      </w:r>
      <w:r>
        <w:tab/>
        <w:t>Resource: Individual NWDAF ML Model Provision Subscription</w:t>
      </w:r>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p>
    <w:p w14:paraId="010F26D1" w14:textId="77777777" w:rsidR="00A10B25" w:rsidRDefault="00A10B25">
      <w:pPr>
        <w:pStyle w:val="5"/>
      </w:pPr>
      <w:bookmarkStart w:id="13239" w:name="_Toc85553133"/>
      <w:bookmarkStart w:id="13240" w:name="_Toc120702523"/>
      <w:bookmarkStart w:id="13241" w:name="_Toc136562622"/>
      <w:bookmarkStart w:id="13242" w:name="_Toc114134022"/>
      <w:bookmarkStart w:id="13243" w:name="_Toc138754456"/>
      <w:bookmarkStart w:id="13244" w:name="_Toc88667742"/>
      <w:bookmarkStart w:id="13245" w:name="_Toc112951343"/>
      <w:bookmarkStart w:id="13246" w:name="_Toc101244615"/>
      <w:bookmarkStart w:id="13247" w:name="_Toc145705951"/>
      <w:bookmarkStart w:id="13248" w:name="_Toc104539220"/>
      <w:bookmarkStart w:id="13249" w:name="_Toc98233834"/>
      <w:bookmarkStart w:id="13250" w:name="_Toc94064432"/>
      <w:bookmarkStart w:id="13251" w:name="_Toc113031883"/>
      <w:bookmarkStart w:id="13252" w:name="_Toc90656027"/>
      <w:bookmarkStart w:id="13253" w:name="_Toc85557232"/>
      <w:bookmarkStart w:id="13254" w:name="_Toc83233204"/>
      <w:bookmarkStart w:id="13255" w:name="_Toc148522865"/>
      <w:bookmarkStart w:id="13256" w:name="_Toc164921053"/>
      <w:bookmarkStart w:id="13257" w:name="_Toc170120595"/>
      <w:bookmarkStart w:id="13258" w:name="_Toc175858840"/>
      <w:bookmarkStart w:id="13259" w:name="_Toc175859913"/>
      <w:bookmarkStart w:id="13260" w:name="_Toc180606203"/>
      <w:bookmarkStart w:id="13261" w:name="_Toc185517464"/>
      <w:bookmarkStart w:id="13262" w:name="_Toc191576516"/>
      <w:bookmarkStart w:id="13263" w:name="_Toc191577256"/>
      <w:bookmarkStart w:id="13264" w:name="_Toc192880326"/>
      <w:bookmarkStart w:id="13265" w:name="_Toc195815215"/>
      <w:bookmarkStart w:id="13266" w:name="_Toc199453182"/>
      <w:r>
        <w:t>5.4.3.3.1</w:t>
      </w:r>
      <w:r>
        <w:tab/>
        <w:t>Description</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p>
    <w:p w14:paraId="3D50C29E" w14:textId="77777777" w:rsidR="00A10B25" w:rsidRDefault="00A10B25">
      <w:r>
        <w:t>The Individual NWDAF ML Model Provision Subscription resource represents a single subscription to the Nnwdaf_MLModelProvision service at a given NWDAF.</w:t>
      </w:r>
    </w:p>
    <w:p w14:paraId="5E47050F" w14:textId="77777777" w:rsidR="00A10B25" w:rsidRDefault="00A10B25">
      <w:pPr>
        <w:pStyle w:val="5"/>
      </w:pPr>
      <w:bookmarkStart w:id="13267" w:name="_Toc88667743"/>
      <w:bookmarkStart w:id="13268" w:name="_Toc85553134"/>
      <w:bookmarkStart w:id="13269" w:name="_Toc138754457"/>
      <w:bookmarkStart w:id="13270" w:name="_Toc98233835"/>
      <w:bookmarkStart w:id="13271" w:name="_Toc90656028"/>
      <w:bookmarkStart w:id="13272" w:name="_Toc114134023"/>
      <w:bookmarkStart w:id="13273" w:name="_Toc83233205"/>
      <w:bookmarkStart w:id="13274" w:name="_Toc113031884"/>
      <w:bookmarkStart w:id="13275" w:name="_Toc94064433"/>
      <w:bookmarkStart w:id="13276" w:name="_Toc85557233"/>
      <w:bookmarkStart w:id="13277" w:name="_Toc104539221"/>
      <w:bookmarkStart w:id="13278" w:name="_Toc112951344"/>
      <w:bookmarkStart w:id="13279" w:name="_Toc101244616"/>
      <w:bookmarkStart w:id="13280" w:name="_Toc120702524"/>
      <w:bookmarkStart w:id="13281" w:name="_Toc136562623"/>
      <w:bookmarkStart w:id="13282" w:name="_Toc145705952"/>
      <w:bookmarkStart w:id="13283" w:name="_Toc148522866"/>
      <w:bookmarkStart w:id="13284" w:name="_Toc164921054"/>
      <w:bookmarkStart w:id="13285" w:name="_Toc170120596"/>
      <w:bookmarkStart w:id="13286" w:name="_Toc175858841"/>
      <w:bookmarkStart w:id="13287" w:name="_Toc175859914"/>
      <w:bookmarkStart w:id="13288" w:name="_Toc180606204"/>
      <w:bookmarkStart w:id="13289" w:name="_Toc185517465"/>
      <w:bookmarkStart w:id="13290" w:name="_Toc191576517"/>
      <w:bookmarkStart w:id="13291" w:name="_Toc191577257"/>
      <w:bookmarkStart w:id="13292" w:name="_Toc192880327"/>
      <w:bookmarkStart w:id="13293" w:name="_Toc195815216"/>
      <w:bookmarkStart w:id="13294" w:name="_Toc199453183"/>
      <w:r>
        <w:t>5.4.3.3.2</w:t>
      </w:r>
      <w:r>
        <w:tab/>
        <w:t>Resource definition</w:t>
      </w:r>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6599F7B3" w14:textId="77777777" w:rsidR="00A10B25" w:rsidRDefault="00A10B25">
      <w:r>
        <w:t xml:space="preserve">Resource URI: </w:t>
      </w:r>
      <w:r>
        <w:rPr>
          <w:b/>
        </w:rPr>
        <w:t>{apiRoot}/nnwdaf-mlmodelprovision/&lt;apiVersion&gt;/subscriptions/{subscriptionId}</w:t>
      </w:r>
    </w:p>
    <w:p w14:paraId="5EC07367" w14:textId="77777777" w:rsidR="00A10B25" w:rsidRDefault="00A10B25">
      <w:pPr>
        <w:rPr>
          <w:lang w:val="en-US"/>
        </w:rPr>
      </w:pPr>
      <w:r>
        <w:rPr>
          <w:lang w:val="en-US" w:eastAsia="zh-CN"/>
        </w:rPr>
        <w:t>The &lt;apiVersion&gt; shall be set as described in clause</w:t>
      </w:r>
      <w:r>
        <w:rPr>
          <w:lang w:val="en-US" w:eastAsia="zh-CN"/>
        </w:rPr>
        <w:t> 5.4</w:t>
      </w:r>
      <w:r>
        <w:rPr>
          <w:lang w:val="en-US" w:eastAsia="zh-CN"/>
        </w:rPr>
        <w:t>.1</w:t>
      </w:r>
      <w:r>
        <w:rPr>
          <w:lang w:val="en-US" w:eastAsia="zh-CN"/>
        </w:rPr>
        <w:t>.</w:t>
      </w:r>
    </w:p>
    <w:p w14:paraId="18182D68" w14:textId="77777777" w:rsidR="00A10B25" w:rsidRDefault="00A10B25">
      <w:r>
        <w:t>This resource shall support the resource URI variables defined in table 5.4.3.3.2-1</w:t>
      </w:r>
      <w:r>
        <w:rPr>
          <w:rFonts w:ascii="Arial" w:hAnsi="Arial" w:cs="Arial"/>
        </w:rPr>
        <w:t>.</w:t>
      </w:r>
    </w:p>
    <w:p w14:paraId="7292B356" w14:textId="77777777" w:rsidR="00A10B25" w:rsidRDefault="00A10B25">
      <w:pPr>
        <w:pStyle w:val="TH"/>
      </w:pPr>
      <w:r>
        <w:t>Table 5.4.3.3.2-1: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06600400" w14:textId="77777777">
        <w:trPr>
          <w:jc w:val="center"/>
        </w:trPr>
        <w:tc>
          <w:tcPr>
            <w:tcW w:w="639" w:type="pct"/>
            <w:shd w:val="clear" w:color="000000" w:fill="C0C0C0"/>
          </w:tcPr>
          <w:p w14:paraId="00F6F22B" w14:textId="77777777" w:rsidR="00A10B25" w:rsidRDefault="00A10B25">
            <w:pPr>
              <w:pStyle w:val="TAH"/>
            </w:pPr>
            <w:r>
              <w:t>Name</w:t>
            </w:r>
          </w:p>
        </w:tc>
        <w:tc>
          <w:tcPr>
            <w:tcW w:w="846" w:type="pct"/>
            <w:shd w:val="clear" w:color="000000" w:fill="C0C0C0"/>
          </w:tcPr>
          <w:p w14:paraId="1CB4FBEB"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663124DC" w14:textId="77777777" w:rsidR="00A10B25" w:rsidRDefault="00A10B25">
            <w:pPr>
              <w:pStyle w:val="TAH"/>
            </w:pPr>
            <w:r>
              <w:t>Definition</w:t>
            </w:r>
          </w:p>
        </w:tc>
      </w:tr>
      <w:tr w:rsidR="00A10B25" w14:paraId="0019F564" w14:textId="77777777">
        <w:trPr>
          <w:jc w:val="center"/>
        </w:trPr>
        <w:tc>
          <w:tcPr>
            <w:tcW w:w="639" w:type="pct"/>
          </w:tcPr>
          <w:p w14:paraId="2C86175E" w14:textId="77777777" w:rsidR="00A10B25" w:rsidRDefault="00A10B25">
            <w:pPr>
              <w:pStyle w:val="TAL"/>
            </w:pPr>
            <w:r>
              <w:t>apiRoot</w:t>
            </w:r>
          </w:p>
        </w:tc>
        <w:tc>
          <w:tcPr>
            <w:tcW w:w="846" w:type="pct"/>
          </w:tcPr>
          <w:p w14:paraId="2F3B40CC" w14:textId="77777777" w:rsidR="00A10B25" w:rsidRDefault="00A10B25">
            <w:pPr>
              <w:pStyle w:val="TAL"/>
            </w:pPr>
            <w:r>
              <w:t>string</w:t>
            </w:r>
          </w:p>
        </w:tc>
        <w:tc>
          <w:tcPr>
            <w:tcW w:w="3515" w:type="pct"/>
            <w:vAlign w:val="center"/>
          </w:tcPr>
          <w:p w14:paraId="0F31AF2C" w14:textId="77777777" w:rsidR="00A10B25" w:rsidRDefault="00A10B25">
            <w:pPr>
              <w:pStyle w:val="TAL"/>
            </w:pPr>
            <w:r>
              <w:t>See clause</w:t>
            </w:r>
            <w:r>
              <w:rPr>
                <w:lang w:val="en-US" w:eastAsia="zh-CN"/>
              </w:rPr>
              <w:t> </w:t>
            </w:r>
            <w:r>
              <w:t>5.4.1.</w:t>
            </w:r>
          </w:p>
        </w:tc>
      </w:tr>
      <w:tr w:rsidR="00A10B25" w14:paraId="2603DE48" w14:textId="77777777">
        <w:trPr>
          <w:jc w:val="center"/>
        </w:trPr>
        <w:tc>
          <w:tcPr>
            <w:tcW w:w="639" w:type="pct"/>
          </w:tcPr>
          <w:p w14:paraId="7EE7BEF6" w14:textId="77777777" w:rsidR="00A10B25" w:rsidRDefault="00A10B25">
            <w:pPr>
              <w:pStyle w:val="TAL"/>
            </w:pPr>
            <w:r>
              <w:t>subscriptionId</w:t>
            </w:r>
          </w:p>
        </w:tc>
        <w:tc>
          <w:tcPr>
            <w:tcW w:w="846" w:type="pct"/>
          </w:tcPr>
          <w:p w14:paraId="1B95E812" w14:textId="77777777" w:rsidR="00A10B25" w:rsidRDefault="00A10B25">
            <w:pPr>
              <w:pStyle w:val="TAL"/>
              <w:rPr>
                <w:rFonts w:eastAsia="Batang"/>
              </w:rPr>
            </w:pPr>
            <w:r>
              <w:t>string</w:t>
            </w:r>
          </w:p>
        </w:tc>
        <w:tc>
          <w:tcPr>
            <w:tcW w:w="3515" w:type="pct"/>
            <w:vAlign w:val="center"/>
          </w:tcPr>
          <w:p w14:paraId="60F4AFA9" w14:textId="77777777" w:rsidR="00A10B25" w:rsidRDefault="00A10B25">
            <w:pPr>
              <w:pStyle w:val="TAL"/>
            </w:pPr>
            <w:r>
              <w:rPr>
                <w:rFonts w:eastAsia="Batang"/>
              </w:rPr>
              <w:t>Identifies a subscription to the Nnwdaf_</w:t>
            </w:r>
            <w:r>
              <w:t>MLModelProvision</w:t>
            </w:r>
            <w:r>
              <w:rPr>
                <w:rFonts w:eastAsia="Batang"/>
              </w:rPr>
              <w:t xml:space="preserve"> service.</w:t>
            </w:r>
          </w:p>
        </w:tc>
      </w:tr>
    </w:tbl>
    <w:p w14:paraId="7D733B9B" w14:textId="77777777" w:rsidR="00A10B25" w:rsidRDefault="00A10B25"/>
    <w:p w14:paraId="48C2A624" w14:textId="77777777" w:rsidR="00A10B25" w:rsidRDefault="00A10B25">
      <w:pPr>
        <w:pStyle w:val="5"/>
      </w:pPr>
      <w:bookmarkStart w:id="13295" w:name="_Toc88667744"/>
      <w:bookmarkStart w:id="13296" w:name="_Toc114134024"/>
      <w:bookmarkStart w:id="13297" w:name="_Toc112951345"/>
      <w:bookmarkStart w:id="13298" w:name="_Toc83233206"/>
      <w:bookmarkStart w:id="13299" w:name="_Toc85553135"/>
      <w:bookmarkStart w:id="13300" w:name="_Toc113031885"/>
      <w:bookmarkStart w:id="13301" w:name="_Toc104539222"/>
      <w:bookmarkStart w:id="13302" w:name="_Toc85557234"/>
      <w:bookmarkStart w:id="13303" w:name="_Toc90656029"/>
      <w:bookmarkStart w:id="13304" w:name="_Toc145705953"/>
      <w:bookmarkStart w:id="13305" w:name="_Toc138754458"/>
      <w:bookmarkStart w:id="13306" w:name="_Toc101244617"/>
      <w:bookmarkStart w:id="13307" w:name="_Toc94064434"/>
      <w:bookmarkStart w:id="13308" w:name="_Toc120702525"/>
      <w:bookmarkStart w:id="13309" w:name="_Toc98233836"/>
      <w:bookmarkStart w:id="13310" w:name="_Toc148522867"/>
      <w:bookmarkStart w:id="13311" w:name="_Toc136562624"/>
      <w:bookmarkStart w:id="13312" w:name="_Toc164921055"/>
      <w:bookmarkStart w:id="13313" w:name="_Toc170120597"/>
      <w:bookmarkStart w:id="13314" w:name="_Toc175858842"/>
      <w:bookmarkStart w:id="13315" w:name="_Toc175859915"/>
      <w:bookmarkStart w:id="13316" w:name="_Toc180606205"/>
      <w:bookmarkStart w:id="13317" w:name="_Toc185517466"/>
      <w:bookmarkStart w:id="13318" w:name="_Toc191576518"/>
      <w:bookmarkStart w:id="13319" w:name="_Toc191577258"/>
      <w:bookmarkStart w:id="13320" w:name="_Toc192880328"/>
      <w:bookmarkStart w:id="13321" w:name="_Toc195815217"/>
      <w:bookmarkStart w:id="13322" w:name="_Toc199453184"/>
      <w:r>
        <w:t>5.4.3.3.3</w:t>
      </w:r>
      <w:r>
        <w:tab/>
        <w:t>Resource Standard Methods</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p>
    <w:p w14:paraId="6E6C7E3B" w14:textId="77777777" w:rsidR="00A10B25" w:rsidRDefault="00A10B25">
      <w:pPr>
        <w:pStyle w:val="6"/>
      </w:pPr>
      <w:bookmarkStart w:id="13323" w:name="_Toc113031886"/>
      <w:bookmarkStart w:id="13324" w:name="_Toc98233837"/>
      <w:bookmarkStart w:id="13325" w:name="_Toc120702526"/>
      <w:bookmarkStart w:id="13326" w:name="_Toc88667745"/>
      <w:bookmarkStart w:id="13327" w:name="_Toc94064435"/>
      <w:bookmarkStart w:id="13328" w:name="_Toc90656030"/>
      <w:bookmarkStart w:id="13329" w:name="_Toc83233207"/>
      <w:bookmarkStart w:id="13330" w:name="_Toc101244618"/>
      <w:bookmarkStart w:id="13331" w:name="_Toc138754459"/>
      <w:bookmarkStart w:id="13332" w:name="_Toc114134025"/>
      <w:bookmarkStart w:id="13333" w:name="_Toc85553136"/>
      <w:bookmarkStart w:id="13334" w:name="_Toc136562625"/>
      <w:bookmarkStart w:id="13335" w:name="_Toc85557235"/>
      <w:bookmarkStart w:id="13336" w:name="_Toc112951346"/>
      <w:bookmarkStart w:id="13337" w:name="_Toc145705954"/>
      <w:bookmarkStart w:id="13338" w:name="_Toc148522868"/>
      <w:bookmarkStart w:id="13339" w:name="_Toc104539223"/>
      <w:bookmarkStart w:id="13340" w:name="_Toc164921056"/>
      <w:bookmarkStart w:id="13341" w:name="_Toc170120598"/>
      <w:bookmarkStart w:id="13342" w:name="_Toc175858843"/>
      <w:bookmarkStart w:id="13343" w:name="_Toc175859916"/>
      <w:bookmarkStart w:id="13344" w:name="_Toc180606206"/>
      <w:bookmarkStart w:id="13345" w:name="_Toc185517467"/>
      <w:bookmarkStart w:id="13346" w:name="_Toc191576519"/>
      <w:bookmarkStart w:id="13347" w:name="_Toc191577259"/>
      <w:bookmarkStart w:id="13348" w:name="_Toc192880329"/>
      <w:bookmarkStart w:id="13349" w:name="_Toc195815218"/>
      <w:bookmarkStart w:id="13350" w:name="_Toc199453185"/>
      <w:r>
        <w:t>5.4.3.3.3.1</w:t>
      </w:r>
      <w:r>
        <w:tab/>
        <w:t>PUT</w:t>
      </w:r>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p>
    <w:p w14:paraId="53337E64" w14:textId="77777777" w:rsidR="00A10B25" w:rsidRDefault="00A10B25">
      <w:pPr>
        <w:rPr>
          <w:rFonts w:eastAsia="等线"/>
        </w:rPr>
      </w:pPr>
      <w:r>
        <w:rPr>
          <w:rFonts w:eastAsia="等线"/>
        </w:rPr>
        <w:t>This method shall support the URI query parameters specified in table 5.4.3.3.3.1-1.</w:t>
      </w:r>
    </w:p>
    <w:p w14:paraId="79849DF6" w14:textId="77777777" w:rsidR="00A10B25" w:rsidRDefault="00A10B25">
      <w:pPr>
        <w:pStyle w:val="TH"/>
        <w:rPr>
          <w:rFonts w:cs="Arial"/>
        </w:rPr>
      </w:pPr>
      <w:r>
        <w:lastRenderedPageBreak/>
        <w:t>Table 5.4.3.3.3.1-1: URI query parameters supported by the PUT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9803B18" w14:textId="77777777">
        <w:trPr>
          <w:jc w:val="center"/>
        </w:trPr>
        <w:tc>
          <w:tcPr>
            <w:tcW w:w="825" w:type="pct"/>
            <w:tcBorders>
              <w:bottom w:val="single" w:sz="6" w:space="0" w:color="auto"/>
            </w:tcBorders>
            <w:shd w:val="clear" w:color="auto" w:fill="C0C0C0"/>
          </w:tcPr>
          <w:p w14:paraId="6FACEC30" w14:textId="77777777" w:rsidR="00A10B25" w:rsidRDefault="00A10B25">
            <w:pPr>
              <w:pStyle w:val="TAH"/>
            </w:pPr>
            <w:r>
              <w:t>Name</w:t>
            </w:r>
          </w:p>
        </w:tc>
        <w:tc>
          <w:tcPr>
            <w:tcW w:w="732" w:type="pct"/>
            <w:tcBorders>
              <w:bottom w:val="single" w:sz="6" w:space="0" w:color="auto"/>
            </w:tcBorders>
            <w:shd w:val="clear" w:color="auto" w:fill="C0C0C0"/>
          </w:tcPr>
          <w:p w14:paraId="57EDD729" w14:textId="77777777" w:rsidR="00A10B25" w:rsidRDefault="00A10B25">
            <w:pPr>
              <w:pStyle w:val="TAH"/>
            </w:pPr>
            <w:r>
              <w:t>Data type</w:t>
            </w:r>
          </w:p>
        </w:tc>
        <w:tc>
          <w:tcPr>
            <w:tcW w:w="217" w:type="pct"/>
            <w:tcBorders>
              <w:bottom w:val="single" w:sz="6" w:space="0" w:color="auto"/>
            </w:tcBorders>
            <w:shd w:val="clear" w:color="auto" w:fill="C0C0C0"/>
          </w:tcPr>
          <w:p w14:paraId="5A64251F" w14:textId="77777777" w:rsidR="00A10B25" w:rsidRDefault="00A10B25">
            <w:pPr>
              <w:pStyle w:val="TAH"/>
            </w:pPr>
            <w:r>
              <w:t>P</w:t>
            </w:r>
          </w:p>
        </w:tc>
        <w:tc>
          <w:tcPr>
            <w:tcW w:w="581" w:type="pct"/>
            <w:tcBorders>
              <w:bottom w:val="single" w:sz="6" w:space="0" w:color="auto"/>
            </w:tcBorders>
            <w:shd w:val="clear" w:color="auto" w:fill="C0C0C0"/>
          </w:tcPr>
          <w:p w14:paraId="4EF0FF50"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E7F6CDE" w14:textId="77777777" w:rsidR="00A10B25" w:rsidRDefault="00A10B25">
            <w:pPr>
              <w:pStyle w:val="TAH"/>
            </w:pPr>
            <w:r>
              <w:t>Description</w:t>
            </w:r>
          </w:p>
        </w:tc>
      </w:tr>
      <w:tr w:rsidR="00A10B25" w14:paraId="4EDBEDBC" w14:textId="77777777">
        <w:trPr>
          <w:jc w:val="center"/>
        </w:trPr>
        <w:tc>
          <w:tcPr>
            <w:tcW w:w="825" w:type="pct"/>
            <w:tcBorders>
              <w:top w:val="single" w:sz="6" w:space="0" w:color="auto"/>
            </w:tcBorders>
          </w:tcPr>
          <w:p w14:paraId="5767D545" w14:textId="77777777" w:rsidR="00A10B25" w:rsidRDefault="00A10B25">
            <w:pPr>
              <w:pStyle w:val="TAL"/>
            </w:pPr>
            <w:r>
              <w:t>n/a</w:t>
            </w:r>
          </w:p>
        </w:tc>
        <w:tc>
          <w:tcPr>
            <w:tcW w:w="732" w:type="pct"/>
            <w:tcBorders>
              <w:top w:val="single" w:sz="6" w:space="0" w:color="auto"/>
            </w:tcBorders>
          </w:tcPr>
          <w:p w14:paraId="456D91D5" w14:textId="77777777" w:rsidR="00A10B25" w:rsidRDefault="00A10B25">
            <w:pPr>
              <w:pStyle w:val="TAL"/>
            </w:pPr>
          </w:p>
        </w:tc>
        <w:tc>
          <w:tcPr>
            <w:tcW w:w="217" w:type="pct"/>
            <w:tcBorders>
              <w:top w:val="single" w:sz="6" w:space="0" w:color="auto"/>
            </w:tcBorders>
          </w:tcPr>
          <w:p w14:paraId="17806316" w14:textId="77777777" w:rsidR="00A10B25" w:rsidRDefault="00A10B25">
            <w:pPr>
              <w:pStyle w:val="TAC"/>
            </w:pPr>
          </w:p>
        </w:tc>
        <w:tc>
          <w:tcPr>
            <w:tcW w:w="581" w:type="pct"/>
            <w:tcBorders>
              <w:top w:val="single" w:sz="6" w:space="0" w:color="auto"/>
            </w:tcBorders>
          </w:tcPr>
          <w:p w14:paraId="3365FA24" w14:textId="77777777" w:rsidR="00A10B25" w:rsidRDefault="00A10B25">
            <w:pPr>
              <w:pStyle w:val="TAL"/>
            </w:pPr>
          </w:p>
        </w:tc>
        <w:tc>
          <w:tcPr>
            <w:tcW w:w="2646" w:type="pct"/>
            <w:tcBorders>
              <w:top w:val="single" w:sz="6" w:space="0" w:color="auto"/>
            </w:tcBorders>
            <w:vAlign w:val="center"/>
          </w:tcPr>
          <w:p w14:paraId="6A3A04ED" w14:textId="77777777" w:rsidR="00A10B25" w:rsidRDefault="00A10B25">
            <w:pPr>
              <w:pStyle w:val="TAL"/>
            </w:pPr>
          </w:p>
        </w:tc>
      </w:tr>
    </w:tbl>
    <w:p w14:paraId="663C25E1" w14:textId="77777777" w:rsidR="00A10B25" w:rsidRDefault="00A10B25">
      <w:pPr>
        <w:rPr>
          <w:rFonts w:eastAsia="等线"/>
        </w:rPr>
      </w:pPr>
    </w:p>
    <w:p w14:paraId="2C8607C0" w14:textId="77777777" w:rsidR="00A10B25" w:rsidRDefault="00A10B25">
      <w:pPr>
        <w:rPr>
          <w:rFonts w:eastAsia="等线"/>
        </w:rPr>
      </w:pPr>
      <w:r>
        <w:rPr>
          <w:rFonts w:eastAsia="等线"/>
        </w:rPr>
        <w:t>This method shall support the request data structures specified in table 5.4.3.3.3.1-2 and the response data structures and response codes specified in table 5.4.3.3.3.1-3.</w:t>
      </w:r>
    </w:p>
    <w:p w14:paraId="2CE41084" w14:textId="77777777" w:rsidR="00A10B25" w:rsidRDefault="00A10B25">
      <w:pPr>
        <w:pStyle w:val="TH"/>
      </w:pPr>
      <w:r>
        <w:t>Table 5.4.3.3.3.1-2: Data structures supported by the PUT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5A7D535B" w14:textId="77777777">
        <w:trPr>
          <w:jc w:val="center"/>
        </w:trPr>
        <w:tc>
          <w:tcPr>
            <w:tcW w:w="2539" w:type="dxa"/>
            <w:tcBorders>
              <w:bottom w:val="single" w:sz="6" w:space="0" w:color="auto"/>
            </w:tcBorders>
            <w:shd w:val="clear" w:color="auto" w:fill="C0C0C0"/>
          </w:tcPr>
          <w:p w14:paraId="445A6188" w14:textId="77777777" w:rsidR="00A10B25" w:rsidRDefault="00A10B25">
            <w:pPr>
              <w:pStyle w:val="TAH"/>
            </w:pPr>
            <w:r>
              <w:t>Data type</w:t>
            </w:r>
          </w:p>
        </w:tc>
        <w:tc>
          <w:tcPr>
            <w:tcW w:w="450" w:type="dxa"/>
            <w:tcBorders>
              <w:bottom w:val="single" w:sz="6" w:space="0" w:color="auto"/>
            </w:tcBorders>
            <w:shd w:val="clear" w:color="auto" w:fill="C0C0C0"/>
          </w:tcPr>
          <w:p w14:paraId="5A5C867B" w14:textId="77777777" w:rsidR="00A10B25" w:rsidRDefault="00A10B25">
            <w:pPr>
              <w:pStyle w:val="TAH"/>
            </w:pPr>
            <w:r>
              <w:t>P</w:t>
            </w:r>
          </w:p>
        </w:tc>
        <w:tc>
          <w:tcPr>
            <w:tcW w:w="1170" w:type="dxa"/>
            <w:tcBorders>
              <w:bottom w:val="single" w:sz="6" w:space="0" w:color="auto"/>
            </w:tcBorders>
            <w:shd w:val="clear" w:color="auto" w:fill="C0C0C0"/>
          </w:tcPr>
          <w:p w14:paraId="2AA001FD"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57791090" w14:textId="77777777" w:rsidR="00A10B25" w:rsidRDefault="00A10B25">
            <w:pPr>
              <w:pStyle w:val="TAH"/>
            </w:pPr>
            <w:r>
              <w:t>Description</w:t>
            </w:r>
          </w:p>
        </w:tc>
      </w:tr>
      <w:tr w:rsidR="00A10B25" w14:paraId="4B8119A2" w14:textId="77777777">
        <w:trPr>
          <w:jc w:val="center"/>
        </w:trPr>
        <w:tc>
          <w:tcPr>
            <w:tcW w:w="2539" w:type="dxa"/>
            <w:tcBorders>
              <w:top w:val="single" w:sz="6" w:space="0" w:color="auto"/>
            </w:tcBorders>
          </w:tcPr>
          <w:p w14:paraId="14F3AB3E" w14:textId="77777777" w:rsidR="00A10B25" w:rsidRDefault="00A10B25">
            <w:pPr>
              <w:pStyle w:val="TAL"/>
            </w:pPr>
            <w:r>
              <w:rPr>
                <w:rFonts w:eastAsia="等线"/>
              </w:rPr>
              <w:t>NwdafMLModelProvSubsc</w:t>
            </w:r>
          </w:p>
        </w:tc>
        <w:tc>
          <w:tcPr>
            <w:tcW w:w="450" w:type="dxa"/>
            <w:tcBorders>
              <w:top w:val="single" w:sz="6" w:space="0" w:color="auto"/>
            </w:tcBorders>
          </w:tcPr>
          <w:p w14:paraId="62FD338D" w14:textId="77777777" w:rsidR="00A10B25" w:rsidRDefault="00A10B25">
            <w:pPr>
              <w:pStyle w:val="TAC"/>
            </w:pPr>
            <w:r>
              <w:rPr>
                <w:rFonts w:hint="eastAsia"/>
              </w:rPr>
              <w:t>M</w:t>
            </w:r>
          </w:p>
        </w:tc>
        <w:tc>
          <w:tcPr>
            <w:tcW w:w="1170" w:type="dxa"/>
            <w:tcBorders>
              <w:top w:val="single" w:sz="6" w:space="0" w:color="auto"/>
            </w:tcBorders>
          </w:tcPr>
          <w:p w14:paraId="26AF93BF" w14:textId="77777777" w:rsidR="00A10B25" w:rsidRDefault="00A10B25">
            <w:pPr>
              <w:pStyle w:val="TAC"/>
            </w:pPr>
            <w:r>
              <w:rPr>
                <w:rFonts w:hint="eastAsia"/>
              </w:rPr>
              <w:t>1</w:t>
            </w:r>
          </w:p>
        </w:tc>
        <w:tc>
          <w:tcPr>
            <w:tcW w:w="5518" w:type="dxa"/>
            <w:tcBorders>
              <w:top w:val="single" w:sz="6" w:space="0" w:color="auto"/>
            </w:tcBorders>
          </w:tcPr>
          <w:p w14:paraId="38C3D2F7" w14:textId="77777777" w:rsidR="00A10B25" w:rsidRDefault="00A10B25">
            <w:pPr>
              <w:pStyle w:val="TAL"/>
            </w:pPr>
            <w:r>
              <w:t>Parameters to replace a subscription to NWDAF ML Model Provision Subscription resource.</w:t>
            </w:r>
          </w:p>
        </w:tc>
      </w:tr>
    </w:tbl>
    <w:p w14:paraId="32C135C4" w14:textId="77777777" w:rsidR="00A10B25" w:rsidRDefault="00A10B25">
      <w:pPr>
        <w:rPr>
          <w:rFonts w:eastAsia="等线"/>
        </w:rPr>
      </w:pPr>
    </w:p>
    <w:p w14:paraId="393878D8" w14:textId="77777777" w:rsidR="00A10B25" w:rsidRDefault="00A10B25">
      <w:pPr>
        <w:pStyle w:val="TH"/>
      </w:pPr>
      <w:r>
        <w:t>Table 5.4.3.3.3.1-3: Data structures supported by the PUT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2"/>
        <w:gridCol w:w="442"/>
        <w:gridCol w:w="1243"/>
        <w:gridCol w:w="1685"/>
        <w:gridCol w:w="3657"/>
      </w:tblGrid>
      <w:tr w:rsidR="00A10B25" w14:paraId="1FEDC0CC" w14:textId="77777777">
        <w:trPr>
          <w:jc w:val="center"/>
        </w:trPr>
        <w:tc>
          <w:tcPr>
            <w:tcW w:w="1313" w:type="pct"/>
            <w:tcBorders>
              <w:bottom w:val="single" w:sz="6" w:space="0" w:color="auto"/>
            </w:tcBorders>
            <w:shd w:val="clear" w:color="auto" w:fill="C0C0C0"/>
          </w:tcPr>
          <w:p w14:paraId="4680CBBD" w14:textId="77777777" w:rsidR="00A10B25" w:rsidRDefault="00A10B25">
            <w:pPr>
              <w:pStyle w:val="TAH"/>
            </w:pPr>
            <w:r>
              <w:t>Data type</w:t>
            </w:r>
          </w:p>
        </w:tc>
        <w:tc>
          <w:tcPr>
            <w:tcW w:w="232" w:type="pct"/>
            <w:tcBorders>
              <w:bottom w:val="single" w:sz="6" w:space="0" w:color="auto"/>
            </w:tcBorders>
            <w:shd w:val="clear" w:color="auto" w:fill="C0C0C0"/>
          </w:tcPr>
          <w:p w14:paraId="5614E042" w14:textId="77777777" w:rsidR="00A10B25" w:rsidRDefault="00A10B25">
            <w:pPr>
              <w:pStyle w:val="TAH"/>
            </w:pPr>
            <w:r>
              <w:t>P</w:t>
            </w:r>
          </w:p>
        </w:tc>
        <w:tc>
          <w:tcPr>
            <w:tcW w:w="652" w:type="pct"/>
            <w:tcBorders>
              <w:bottom w:val="single" w:sz="6" w:space="0" w:color="auto"/>
            </w:tcBorders>
            <w:shd w:val="clear" w:color="auto" w:fill="C0C0C0"/>
          </w:tcPr>
          <w:p w14:paraId="79EC3291" w14:textId="77777777" w:rsidR="00A10B25" w:rsidRDefault="00A10B25">
            <w:pPr>
              <w:pStyle w:val="TAH"/>
            </w:pPr>
            <w:r>
              <w:t>Cardinality</w:t>
            </w:r>
          </w:p>
        </w:tc>
        <w:tc>
          <w:tcPr>
            <w:tcW w:w="884" w:type="pct"/>
            <w:tcBorders>
              <w:bottom w:val="single" w:sz="6" w:space="0" w:color="auto"/>
            </w:tcBorders>
            <w:shd w:val="clear" w:color="auto" w:fill="C0C0C0"/>
          </w:tcPr>
          <w:p w14:paraId="755CE8C5" w14:textId="77777777" w:rsidR="00A10B25" w:rsidRDefault="00A10B25">
            <w:pPr>
              <w:pStyle w:val="TAH"/>
            </w:pPr>
            <w:r>
              <w:t>Response codes</w:t>
            </w:r>
          </w:p>
        </w:tc>
        <w:tc>
          <w:tcPr>
            <w:tcW w:w="1919" w:type="pct"/>
            <w:tcBorders>
              <w:bottom w:val="single" w:sz="6" w:space="0" w:color="auto"/>
            </w:tcBorders>
            <w:shd w:val="clear" w:color="auto" w:fill="C0C0C0"/>
          </w:tcPr>
          <w:p w14:paraId="085AD6C4" w14:textId="77777777" w:rsidR="00A10B25" w:rsidRDefault="00A10B25">
            <w:pPr>
              <w:pStyle w:val="TAH"/>
            </w:pPr>
            <w:r>
              <w:t>Description</w:t>
            </w:r>
          </w:p>
        </w:tc>
      </w:tr>
      <w:tr w:rsidR="00A10B25" w14:paraId="2C1CF8B2" w14:textId="77777777">
        <w:trPr>
          <w:jc w:val="center"/>
        </w:trPr>
        <w:tc>
          <w:tcPr>
            <w:tcW w:w="1313" w:type="pct"/>
            <w:tcBorders>
              <w:top w:val="single" w:sz="6" w:space="0" w:color="auto"/>
            </w:tcBorders>
          </w:tcPr>
          <w:p w14:paraId="7F0A104C" w14:textId="77777777" w:rsidR="00A10B25" w:rsidRDefault="00A10B25">
            <w:pPr>
              <w:pStyle w:val="TAL"/>
            </w:pPr>
            <w:r>
              <w:rPr>
                <w:rFonts w:eastAsia="等线"/>
              </w:rPr>
              <w:t>NwdafMLModelProvSubsc</w:t>
            </w:r>
          </w:p>
        </w:tc>
        <w:tc>
          <w:tcPr>
            <w:tcW w:w="232" w:type="pct"/>
            <w:tcBorders>
              <w:top w:val="single" w:sz="6" w:space="0" w:color="auto"/>
            </w:tcBorders>
          </w:tcPr>
          <w:p w14:paraId="40202AAC" w14:textId="77777777" w:rsidR="00A10B25" w:rsidRDefault="00A10B25">
            <w:pPr>
              <w:pStyle w:val="TAC"/>
            </w:pPr>
            <w:r>
              <w:t>M</w:t>
            </w:r>
          </w:p>
        </w:tc>
        <w:tc>
          <w:tcPr>
            <w:tcW w:w="652" w:type="pct"/>
            <w:tcBorders>
              <w:top w:val="single" w:sz="6" w:space="0" w:color="auto"/>
            </w:tcBorders>
          </w:tcPr>
          <w:p w14:paraId="2D11D417" w14:textId="77777777" w:rsidR="00A10B25" w:rsidRDefault="00A10B25">
            <w:pPr>
              <w:pStyle w:val="TAC"/>
            </w:pPr>
            <w:r>
              <w:t>1</w:t>
            </w:r>
          </w:p>
        </w:tc>
        <w:tc>
          <w:tcPr>
            <w:tcW w:w="884" w:type="pct"/>
            <w:tcBorders>
              <w:top w:val="single" w:sz="6" w:space="0" w:color="auto"/>
            </w:tcBorders>
          </w:tcPr>
          <w:p w14:paraId="20023466" w14:textId="77777777" w:rsidR="00A10B25" w:rsidRDefault="00A10B25">
            <w:pPr>
              <w:pStyle w:val="TAL"/>
            </w:pPr>
            <w:r>
              <w:rPr>
                <w:rFonts w:hint="eastAsia"/>
              </w:rPr>
              <w:t>20</w:t>
            </w:r>
            <w:r>
              <w:t>0 OK</w:t>
            </w:r>
          </w:p>
        </w:tc>
        <w:tc>
          <w:tcPr>
            <w:tcW w:w="1919" w:type="pct"/>
            <w:tcBorders>
              <w:top w:val="single" w:sz="6" w:space="0" w:color="auto"/>
            </w:tcBorders>
          </w:tcPr>
          <w:p w14:paraId="0FA0EFD2" w14:textId="77777777" w:rsidR="00A10B25" w:rsidRDefault="00A10B25">
            <w:pPr>
              <w:pStyle w:val="TAL"/>
            </w:pPr>
            <w:r>
              <w:t>The Individual NWDAF ML Model Provision Subscription resource was modified successfully and a representation of that resource is returned.</w:t>
            </w:r>
          </w:p>
        </w:tc>
      </w:tr>
      <w:tr w:rsidR="00A10B25" w14:paraId="23F01C9E" w14:textId="77777777">
        <w:trPr>
          <w:jc w:val="center"/>
        </w:trPr>
        <w:tc>
          <w:tcPr>
            <w:tcW w:w="1313" w:type="pct"/>
          </w:tcPr>
          <w:p w14:paraId="6E7DA159" w14:textId="77777777" w:rsidR="00A10B25" w:rsidRDefault="00A10B25">
            <w:pPr>
              <w:pStyle w:val="TAL"/>
              <w:rPr>
                <w:rFonts w:eastAsia="等线"/>
                <w:lang w:eastAsia="zh-CN"/>
              </w:rPr>
            </w:pPr>
            <w:r>
              <w:rPr>
                <w:rFonts w:eastAsia="等线" w:hint="eastAsia"/>
                <w:lang w:eastAsia="zh-CN"/>
              </w:rPr>
              <w:t>n</w:t>
            </w:r>
            <w:r>
              <w:rPr>
                <w:rFonts w:eastAsia="等线"/>
                <w:lang w:eastAsia="zh-CN"/>
              </w:rPr>
              <w:t>/a</w:t>
            </w:r>
          </w:p>
        </w:tc>
        <w:tc>
          <w:tcPr>
            <w:tcW w:w="232" w:type="pct"/>
          </w:tcPr>
          <w:p w14:paraId="64A3C79E" w14:textId="77777777" w:rsidR="00A10B25" w:rsidRDefault="00A10B25">
            <w:pPr>
              <w:pStyle w:val="TAC"/>
            </w:pPr>
          </w:p>
        </w:tc>
        <w:tc>
          <w:tcPr>
            <w:tcW w:w="652" w:type="pct"/>
          </w:tcPr>
          <w:p w14:paraId="7A2DF500" w14:textId="77777777" w:rsidR="00A10B25" w:rsidRDefault="00A10B25">
            <w:pPr>
              <w:pStyle w:val="TAC"/>
            </w:pPr>
          </w:p>
        </w:tc>
        <w:tc>
          <w:tcPr>
            <w:tcW w:w="884" w:type="pct"/>
          </w:tcPr>
          <w:p w14:paraId="501D03D3" w14:textId="77777777" w:rsidR="00A10B25" w:rsidRDefault="00A10B25">
            <w:pPr>
              <w:pStyle w:val="TAL"/>
            </w:pPr>
            <w:r>
              <w:t>204 No Content</w:t>
            </w:r>
          </w:p>
        </w:tc>
        <w:tc>
          <w:tcPr>
            <w:tcW w:w="1919" w:type="pct"/>
          </w:tcPr>
          <w:p w14:paraId="04289531" w14:textId="77777777" w:rsidR="00A10B25" w:rsidRDefault="00A10B25">
            <w:pPr>
              <w:pStyle w:val="TAL"/>
            </w:pPr>
            <w:r>
              <w:t>The Individual NWDAF ML Model Provision Subscription resource was modified successfully.</w:t>
            </w:r>
          </w:p>
        </w:tc>
      </w:tr>
      <w:tr w:rsidR="00A10B25" w14:paraId="4749E968" w14:textId="77777777">
        <w:trPr>
          <w:jc w:val="center"/>
        </w:trPr>
        <w:tc>
          <w:tcPr>
            <w:tcW w:w="1313" w:type="pct"/>
          </w:tcPr>
          <w:p w14:paraId="4D86AC7E" w14:textId="77777777" w:rsidR="00A10B25" w:rsidRDefault="00A10B25">
            <w:pPr>
              <w:pStyle w:val="TAL"/>
              <w:rPr>
                <w:rFonts w:eastAsia="等线"/>
                <w:lang w:eastAsia="zh-CN"/>
              </w:rPr>
            </w:pPr>
            <w:r>
              <w:t>RedirectResponse</w:t>
            </w:r>
          </w:p>
        </w:tc>
        <w:tc>
          <w:tcPr>
            <w:tcW w:w="232" w:type="pct"/>
          </w:tcPr>
          <w:p w14:paraId="42944879" w14:textId="77777777" w:rsidR="00A10B25" w:rsidRDefault="00A10B25">
            <w:pPr>
              <w:pStyle w:val="TAC"/>
            </w:pPr>
            <w:r>
              <w:t>O</w:t>
            </w:r>
          </w:p>
        </w:tc>
        <w:tc>
          <w:tcPr>
            <w:tcW w:w="652" w:type="pct"/>
          </w:tcPr>
          <w:p w14:paraId="4DAD169C" w14:textId="77777777" w:rsidR="00A10B25" w:rsidRDefault="00A10B25">
            <w:pPr>
              <w:pStyle w:val="TAC"/>
            </w:pPr>
            <w:r>
              <w:t>0..1</w:t>
            </w:r>
          </w:p>
        </w:tc>
        <w:tc>
          <w:tcPr>
            <w:tcW w:w="884" w:type="pct"/>
          </w:tcPr>
          <w:p w14:paraId="0449318C" w14:textId="77777777" w:rsidR="00A10B25" w:rsidRDefault="00A10B25">
            <w:pPr>
              <w:pStyle w:val="TAL"/>
            </w:pPr>
            <w:r>
              <w:t>307 Temporary Redirect</w:t>
            </w:r>
          </w:p>
        </w:tc>
        <w:tc>
          <w:tcPr>
            <w:tcW w:w="1919" w:type="pct"/>
          </w:tcPr>
          <w:p w14:paraId="06FE774B" w14:textId="77777777" w:rsidR="00A10B25" w:rsidRDefault="00A10B25">
            <w:pPr>
              <w:pStyle w:val="TAL"/>
            </w:pPr>
            <w:r>
              <w:t>Temporary redirection, during Individual NWDAF ML Model Provision Subscription modification.</w:t>
            </w:r>
          </w:p>
          <w:p w14:paraId="6B332AE5" w14:textId="77777777" w:rsidR="00A10B25" w:rsidRDefault="00A10B25">
            <w:pPr>
              <w:pStyle w:val="TAL"/>
            </w:pPr>
          </w:p>
          <w:p w14:paraId="25018B4E" w14:textId="77777777" w:rsidR="00A10B25" w:rsidRDefault="00A10B25">
            <w:pPr>
              <w:pStyle w:val="TAL"/>
            </w:pPr>
            <w:r>
              <w:t>(NOTE 3)</w:t>
            </w:r>
          </w:p>
        </w:tc>
      </w:tr>
      <w:tr w:rsidR="00A10B25" w14:paraId="4D872A5A" w14:textId="77777777">
        <w:trPr>
          <w:jc w:val="center"/>
        </w:trPr>
        <w:tc>
          <w:tcPr>
            <w:tcW w:w="1313" w:type="pct"/>
          </w:tcPr>
          <w:p w14:paraId="798C0BDA" w14:textId="77777777" w:rsidR="00A10B25" w:rsidRDefault="00A10B25">
            <w:pPr>
              <w:pStyle w:val="TAL"/>
              <w:rPr>
                <w:rFonts w:eastAsia="等线"/>
                <w:lang w:eastAsia="zh-CN"/>
              </w:rPr>
            </w:pPr>
            <w:r>
              <w:t>RedirectResponse</w:t>
            </w:r>
          </w:p>
        </w:tc>
        <w:tc>
          <w:tcPr>
            <w:tcW w:w="232" w:type="pct"/>
          </w:tcPr>
          <w:p w14:paraId="0CAF9891" w14:textId="77777777" w:rsidR="00A10B25" w:rsidRDefault="00A10B25">
            <w:pPr>
              <w:pStyle w:val="TAC"/>
            </w:pPr>
            <w:r>
              <w:t>O</w:t>
            </w:r>
          </w:p>
        </w:tc>
        <w:tc>
          <w:tcPr>
            <w:tcW w:w="652" w:type="pct"/>
          </w:tcPr>
          <w:p w14:paraId="477CBB95" w14:textId="77777777" w:rsidR="00A10B25" w:rsidRDefault="00A10B25">
            <w:pPr>
              <w:pStyle w:val="TAC"/>
            </w:pPr>
            <w:r>
              <w:t>0..1</w:t>
            </w:r>
          </w:p>
        </w:tc>
        <w:tc>
          <w:tcPr>
            <w:tcW w:w="884" w:type="pct"/>
          </w:tcPr>
          <w:p w14:paraId="173512DB" w14:textId="77777777" w:rsidR="00A10B25" w:rsidRDefault="00A10B25">
            <w:pPr>
              <w:pStyle w:val="TAL"/>
            </w:pPr>
            <w:r>
              <w:t>308 Permanent Redirect</w:t>
            </w:r>
          </w:p>
        </w:tc>
        <w:tc>
          <w:tcPr>
            <w:tcW w:w="1919" w:type="pct"/>
          </w:tcPr>
          <w:p w14:paraId="6A211939" w14:textId="77777777" w:rsidR="00A10B25" w:rsidRDefault="00A10B25">
            <w:pPr>
              <w:pStyle w:val="TAL"/>
            </w:pPr>
            <w:r>
              <w:t>Permanent redirection, during Individual NWDAF ML Model Provision Subscription modification.</w:t>
            </w:r>
          </w:p>
          <w:p w14:paraId="12D18C5B" w14:textId="77777777" w:rsidR="00A10B25" w:rsidRDefault="00A10B25">
            <w:pPr>
              <w:pStyle w:val="TAL"/>
            </w:pPr>
          </w:p>
          <w:p w14:paraId="0C024113" w14:textId="77777777" w:rsidR="00A10B25" w:rsidRDefault="00A10B25">
            <w:pPr>
              <w:pStyle w:val="TAL"/>
            </w:pPr>
            <w:r>
              <w:t>(NOTE 3)</w:t>
            </w:r>
          </w:p>
        </w:tc>
      </w:tr>
      <w:tr w:rsidR="00A10B25" w14:paraId="1B17A4BB" w14:textId="77777777">
        <w:trPr>
          <w:jc w:val="center"/>
        </w:trPr>
        <w:tc>
          <w:tcPr>
            <w:tcW w:w="1313" w:type="pct"/>
          </w:tcPr>
          <w:p w14:paraId="55709E3A" w14:textId="77777777" w:rsidR="00A10B25" w:rsidRDefault="00A10B25">
            <w:pPr>
              <w:pStyle w:val="TAL"/>
            </w:pPr>
            <w:r>
              <w:rPr>
                <w:lang w:eastAsia="zh-CN"/>
              </w:rPr>
              <w:t>ProblemDetails</w:t>
            </w:r>
          </w:p>
        </w:tc>
        <w:tc>
          <w:tcPr>
            <w:tcW w:w="232" w:type="pct"/>
          </w:tcPr>
          <w:p w14:paraId="5C73079C" w14:textId="77777777" w:rsidR="00A10B25" w:rsidRDefault="00A10B25">
            <w:pPr>
              <w:pStyle w:val="TAC"/>
            </w:pPr>
            <w:r>
              <w:rPr>
                <w:lang w:eastAsia="zh-CN"/>
              </w:rPr>
              <w:t>O</w:t>
            </w:r>
          </w:p>
        </w:tc>
        <w:tc>
          <w:tcPr>
            <w:tcW w:w="652" w:type="pct"/>
          </w:tcPr>
          <w:p w14:paraId="43F7E521" w14:textId="77777777" w:rsidR="00A10B25" w:rsidRDefault="00A10B25">
            <w:pPr>
              <w:pStyle w:val="TAC"/>
            </w:pPr>
            <w:r>
              <w:rPr>
                <w:lang w:eastAsia="zh-CN"/>
              </w:rPr>
              <w:t>0..1</w:t>
            </w:r>
          </w:p>
        </w:tc>
        <w:tc>
          <w:tcPr>
            <w:tcW w:w="884" w:type="pct"/>
          </w:tcPr>
          <w:p w14:paraId="181E0DB0" w14:textId="77777777" w:rsidR="00A10B25" w:rsidRDefault="00A10B25">
            <w:pPr>
              <w:pStyle w:val="TAL"/>
            </w:pPr>
            <w:r>
              <w:rPr>
                <w:rFonts w:hint="eastAsia"/>
                <w:lang w:eastAsia="zh-CN"/>
              </w:rPr>
              <w:t>5</w:t>
            </w:r>
            <w:r>
              <w:rPr>
                <w:lang w:eastAsia="zh-CN"/>
              </w:rPr>
              <w:t>0</w:t>
            </w:r>
            <w:r>
              <w:t>0 Internal Server Error</w:t>
            </w:r>
          </w:p>
        </w:tc>
        <w:tc>
          <w:tcPr>
            <w:tcW w:w="1919" w:type="pct"/>
          </w:tcPr>
          <w:p w14:paraId="53FFE597" w14:textId="77777777" w:rsidR="00A10B25" w:rsidRDefault="00A10B25">
            <w:pPr>
              <w:pStyle w:val="TAL"/>
            </w:pPr>
            <w:r>
              <w:t>(NOTE 2)</w:t>
            </w:r>
          </w:p>
        </w:tc>
      </w:tr>
      <w:tr w:rsidR="00A10B25" w14:paraId="5B8DDBB3" w14:textId="77777777">
        <w:trPr>
          <w:jc w:val="center"/>
        </w:trPr>
        <w:tc>
          <w:tcPr>
            <w:tcW w:w="5000" w:type="pct"/>
            <w:gridSpan w:val="5"/>
          </w:tcPr>
          <w:p w14:paraId="7517495C" w14:textId="77777777" w:rsidR="00A10B25" w:rsidRDefault="00A10B25">
            <w:pPr>
              <w:pStyle w:val="TAN"/>
            </w:pPr>
            <w:r>
              <w:t>NOTE 1:</w:t>
            </w:r>
            <w:r>
              <w:tab/>
              <w:t>The mandatory HTTP error status codes for the PUT method listed in table 5.2.7.1-1 of 3GPP TS 29.500 [6] also apply.</w:t>
            </w:r>
          </w:p>
          <w:p w14:paraId="19664DCD" w14:textId="77777777" w:rsidR="00A10B25" w:rsidRDefault="00A10B25">
            <w:pPr>
              <w:pStyle w:val="TAN"/>
            </w:pPr>
            <w:r>
              <w:t>NOTE 2:</w:t>
            </w:r>
            <w:r>
              <w:tab/>
              <w:t>Failure causes are described in subclause 5.4.7.3.</w:t>
            </w:r>
          </w:p>
          <w:p w14:paraId="04C38339" w14:textId="77777777" w:rsidR="00A10B25" w:rsidRDefault="00A10B25">
            <w:pPr>
              <w:pStyle w:val="TAN"/>
            </w:pPr>
            <w:r>
              <w:t>NOTE 3:</w:t>
            </w:r>
            <w:r>
              <w:tab/>
              <w:t>The RedirectResponse data structure may be provided by an SCP (cf. clause 6.10.9.1 of 3GPP TS 29.500 [6]).</w:t>
            </w:r>
          </w:p>
        </w:tc>
      </w:tr>
    </w:tbl>
    <w:p w14:paraId="6C32527E" w14:textId="77777777" w:rsidR="00A10B25" w:rsidRDefault="00A10B25">
      <w:pPr>
        <w:rPr>
          <w:lang w:val="en-US" w:eastAsia="zh-CN"/>
        </w:rPr>
      </w:pPr>
    </w:p>
    <w:p w14:paraId="61939E43" w14:textId="77777777" w:rsidR="00A10B25" w:rsidRDefault="00A10B25">
      <w:pPr>
        <w:pStyle w:val="TH"/>
      </w:pPr>
      <w:bookmarkStart w:id="13351" w:name="_Toc90656031"/>
      <w:bookmarkStart w:id="13352" w:name="_Toc101244619"/>
      <w:bookmarkStart w:id="13353" w:name="_Toc114134026"/>
      <w:bookmarkStart w:id="13354" w:name="_Toc94064436"/>
      <w:bookmarkStart w:id="13355" w:name="_Toc88667746"/>
      <w:bookmarkStart w:id="13356" w:name="_Toc98233838"/>
      <w:bookmarkStart w:id="13357" w:name="_Toc113031887"/>
      <w:bookmarkStart w:id="13358" w:name="_Toc85553137"/>
      <w:bookmarkStart w:id="13359" w:name="_Toc85557236"/>
      <w:bookmarkStart w:id="13360" w:name="_Toc83233208"/>
      <w:bookmarkStart w:id="13361" w:name="_Toc120702527"/>
      <w:bookmarkStart w:id="13362" w:name="_Toc104539224"/>
      <w:bookmarkStart w:id="13363" w:name="_Toc112951347"/>
      <w:r>
        <w:t>Table 5.4.3.3.3.1-4: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4A9F37CD" w14:textId="77777777">
        <w:trPr>
          <w:jc w:val="center"/>
        </w:trPr>
        <w:tc>
          <w:tcPr>
            <w:tcW w:w="825" w:type="pct"/>
            <w:tcBorders>
              <w:bottom w:val="single" w:sz="6" w:space="0" w:color="auto"/>
            </w:tcBorders>
            <w:shd w:val="clear" w:color="auto" w:fill="C0C0C0"/>
          </w:tcPr>
          <w:p w14:paraId="772B5F28" w14:textId="77777777" w:rsidR="00A10B25" w:rsidRDefault="00A10B25">
            <w:pPr>
              <w:pStyle w:val="TAH"/>
            </w:pPr>
            <w:r>
              <w:t>Name</w:t>
            </w:r>
          </w:p>
        </w:tc>
        <w:tc>
          <w:tcPr>
            <w:tcW w:w="732" w:type="pct"/>
            <w:tcBorders>
              <w:bottom w:val="single" w:sz="6" w:space="0" w:color="auto"/>
            </w:tcBorders>
            <w:shd w:val="clear" w:color="auto" w:fill="C0C0C0"/>
          </w:tcPr>
          <w:p w14:paraId="55EE742C" w14:textId="77777777" w:rsidR="00A10B25" w:rsidRDefault="00A10B25">
            <w:pPr>
              <w:pStyle w:val="TAH"/>
            </w:pPr>
            <w:r>
              <w:t>Data type</w:t>
            </w:r>
          </w:p>
        </w:tc>
        <w:tc>
          <w:tcPr>
            <w:tcW w:w="217" w:type="pct"/>
            <w:tcBorders>
              <w:bottom w:val="single" w:sz="6" w:space="0" w:color="auto"/>
            </w:tcBorders>
            <w:shd w:val="clear" w:color="auto" w:fill="C0C0C0"/>
          </w:tcPr>
          <w:p w14:paraId="37EB9287" w14:textId="77777777" w:rsidR="00A10B25" w:rsidRDefault="00A10B25">
            <w:pPr>
              <w:pStyle w:val="TAH"/>
            </w:pPr>
            <w:r>
              <w:t>P</w:t>
            </w:r>
          </w:p>
        </w:tc>
        <w:tc>
          <w:tcPr>
            <w:tcW w:w="581" w:type="pct"/>
            <w:tcBorders>
              <w:bottom w:val="single" w:sz="6" w:space="0" w:color="auto"/>
            </w:tcBorders>
            <w:shd w:val="clear" w:color="auto" w:fill="C0C0C0"/>
          </w:tcPr>
          <w:p w14:paraId="63611703"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1EBCC35B" w14:textId="77777777" w:rsidR="00A10B25" w:rsidRDefault="00A10B25">
            <w:pPr>
              <w:pStyle w:val="TAH"/>
            </w:pPr>
            <w:r>
              <w:t>Description</w:t>
            </w:r>
          </w:p>
        </w:tc>
      </w:tr>
      <w:tr w:rsidR="00A10B25" w14:paraId="0E3063EE" w14:textId="77777777">
        <w:trPr>
          <w:jc w:val="center"/>
        </w:trPr>
        <w:tc>
          <w:tcPr>
            <w:tcW w:w="825" w:type="pct"/>
            <w:tcBorders>
              <w:top w:val="single" w:sz="6" w:space="0" w:color="auto"/>
            </w:tcBorders>
          </w:tcPr>
          <w:p w14:paraId="592C80B9" w14:textId="77777777" w:rsidR="00A10B25" w:rsidRDefault="00A10B25">
            <w:pPr>
              <w:pStyle w:val="TAL"/>
            </w:pPr>
            <w:r>
              <w:t>Location</w:t>
            </w:r>
          </w:p>
        </w:tc>
        <w:tc>
          <w:tcPr>
            <w:tcW w:w="732" w:type="pct"/>
            <w:tcBorders>
              <w:top w:val="single" w:sz="6" w:space="0" w:color="auto"/>
            </w:tcBorders>
          </w:tcPr>
          <w:p w14:paraId="1B531D77" w14:textId="77777777" w:rsidR="00A10B25" w:rsidRDefault="00A10B25">
            <w:pPr>
              <w:pStyle w:val="TAL"/>
            </w:pPr>
            <w:r>
              <w:t>string</w:t>
            </w:r>
          </w:p>
        </w:tc>
        <w:tc>
          <w:tcPr>
            <w:tcW w:w="217" w:type="pct"/>
            <w:tcBorders>
              <w:top w:val="single" w:sz="6" w:space="0" w:color="auto"/>
            </w:tcBorders>
          </w:tcPr>
          <w:p w14:paraId="5E9E130E" w14:textId="77777777" w:rsidR="00A10B25" w:rsidRDefault="00A10B25">
            <w:pPr>
              <w:pStyle w:val="TAC"/>
            </w:pPr>
            <w:r>
              <w:t>M</w:t>
            </w:r>
          </w:p>
        </w:tc>
        <w:tc>
          <w:tcPr>
            <w:tcW w:w="581" w:type="pct"/>
            <w:tcBorders>
              <w:top w:val="single" w:sz="6" w:space="0" w:color="auto"/>
            </w:tcBorders>
          </w:tcPr>
          <w:p w14:paraId="714DDC18" w14:textId="77777777" w:rsidR="00A10B25" w:rsidRDefault="00A10B25">
            <w:pPr>
              <w:pStyle w:val="TAL"/>
            </w:pPr>
            <w:r>
              <w:t>1</w:t>
            </w:r>
          </w:p>
        </w:tc>
        <w:tc>
          <w:tcPr>
            <w:tcW w:w="2645" w:type="pct"/>
            <w:tcBorders>
              <w:top w:val="single" w:sz="6" w:space="0" w:color="auto"/>
            </w:tcBorders>
            <w:vAlign w:val="center"/>
          </w:tcPr>
          <w:p w14:paraId="53018705"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7CA59FDB" w14:textId="77777777" w:rsidR="00A10B25" w:rsidRDefault="00A10B25">
            <w:pPr>
              <w:pStyle w:val="TAL"/>
            </w:pPr>
          </w:p>
          <w:p w14:paraId="78F29AFA" w14:textId="77777777" w:rsidR="00A10B25" w:rsidRDefault="00A10B25">
            <w:pPr>
              <w:pStyle w:val="TAL"/>
            </w:pPr>
            <w:r>
              <w:t>For the case where the request is redirected to the same target via a different SCP, refer to clause 6.10.9.1 of 3GPP TS 29.500 [6].</w:t>
            </w:r>
          </w:p>
        </w:tc>
      </w:tr>
      <w:tr w:rsidR="00A10B25" w14:paraId="597C02A4" w14:textId="77777777">
        <w:trPr>
          <w:jc w:val="center"/>
        </w:trPr>
        <w:tc>
          <w:tcPr>
            <w:tcW w:w="825" w:type="pct"/>
          </w:tcPr>
          <w:p w14:paraId="717665B8" w14:textId="77777777" w:rsidR="00A10B25" w:rsidRDefault="00A10B25">
            <w:pPr>
              <w:pStyle w:val="TAL"/>
            </w:pPr>
            <w:r>
              <w:rPr>
                <w:lang w:eastAsia="zh-CN"/>
              </w:rPr>
              <w:t>3gpp-Sbi-Target-Nf-Id</w:t>
            </w:r>
          </w:p>
        </w:tc>
        <w:tc>
          <w:tcPr>
            <w:tcW w:w="732" w:type="pct"/>
          </w:tcPr>
          <w:p w14:paraId="66292FE3" w14:textId="77777777" w:rsidR="00A10B25" w:rsidRDefault="00A10B25">
            <w:pPr>
              <w:pStyle w:val="TAL"/>
            </w:pPr>
            <w:r>
              <w:rPr>
                <w:lang w:eastAsia="fr-FR"/>
              </w:rPr>
              <w:t>string</w:t>
            </w:r>
          </w:p>
        </w:tc>
        <w:tc>
          <w:tcPr>
            <w:tcW w:w="217" w:type="pct"/>
          </w:tcPr>
          <w:p w14:paraId="551F14F8" w14:textId="77777777" w:rsidR="00A10B25" w:rsidRDefault="00A10B25">
            <w:pPr>
              <w:pStyle w:val="TAC"/>
            </w:pPr>
            <w:r>
              <w:rPr>
                <w:lang w:eastAsia="fr-FR"/>
              </w:rPr>
              <w:t>O</w:t>
            </w:r>
          </w:p>
        </w:tc>
        <w:tc>
          <w:tcPr>
            <w:tcW w:w="581" w:type="pct"/>
          </w:tcPr>
          <w:p w14:paraId="24745173" w14:textId="77777777" w:rsidR="00A10B25" w:rsidRDefault="00A10B25">
            <w:pPr>
              <w:pStyle w:val="TAL"/>
            </w:pPr>
            <w:r>
              <w:rPr>
                <w:lang w:eastAsia="fr-FR"/>
              </w:rPr>
              <w:t>0..1</w:t>
            </w:r>
          </w:p>
        </w:tc>
        <w:tc>
          <w:tcPr>
            <w:tcW w:w="2645" w:type="pct"/>
            <w:vAlign w:val="center"/>
          </w:tcPr>
          <w:p w14:paraId="1D657D13" w14:textId="77777777" w:rsidR="00A10B25" w:rsidRDefault="00A10B25">
            <w:pPr>
              <w:pStyle w:val="TAL"/>
            </w:pPr>
            <w:r>
              <w:rPr>
                <w:lang w:eastAsia="fr-FR"/>
              </w:rPr>
              <w:t>Identifier of the target NWDAF (service) instance towards which the request is redirected.</w:t>
            </w:r>
          </w:p>
        </w:tc>
      </w:tr>
    </w:tbl>
    <w:p w14:paraId="057E2506" w14:textId="77777777" w:rsidR="00A10B25" w:rsidRDefault="00A10B25"/>
    <w:p w14:paraId="535F09AE" w14:textId="77777777" w:rsidR="00A10B25" w:rsidRDefault="00A10B25">
      <w:pPr>
        <w:pStyle w:val="TH"/>
      </w:pPr>
      <w:r>
        <w:lastRenderedPageBreak/>
        <w:t>Table 5.4.3.3.3.1-5: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2BBD2179" w14:textId="77777777">
        <w:trPr>
          <w:jc w:val="center"/>
        </w:trPr>
        <w:tc>
          <w:tcPr>
            <w:tcW w:w="825" w:type="pct"/>
            <w:tcBorders>
              <w:bottom w:val="single" w:sz="6" w:space="0" w:color="auto"/>
            </w:tcBorders>
            <w:shd w:val="clear" w:color="auto" w:fill="C0C0C0"/>
          </w:tcPr>
          <w:p w14:paraId="00034263" w14:textId="77777777" w:rsidR="00A10B25" w:rsidRDefault="00A10B25">
            <w:pPr>
              <w:pStyle w:val="TAH"/>
            </w:pPr>
            <w:r>
              <w:t>Name</w:t>
            </w:r>
          </w:p>
        </w:tc>
        <w:tc>
          <w:tcPr>
            <w:tcW w:w="732" w:type="pct"/>
            <w:tcBorders>
              <w:bottom w:val="single" w:sz="6" w:space="0" w:color="auto"/>
            </w:tcBorders>
            <w:shd w:val="clear" w:color="auto" w:fill="C0C0C0"/>
          </w:tcPr>
          <w:p w14:paraId="18169234" w14:textId="77777777" w:rsidR="00A10B25" w:rsidRDefault="00A10B25">
            <w:pPr>
              <w:pStyle w:val="TAH"/>
            </w:pPr>
            <w:r>
              <w:t>Data type</w:t>
            </w:r>
          </w:p>
        </w:tc>
        <w:tc>
          <w:tcPr>
            <w:tcW w:w="217" w:type="pct"/>
            <w:tcBorders>
              <w:bottom w:val="single" w:sz="6" w:space="0" w:color="auto"/>
            </w:tcBorders>
            <w:shd w:val="clear" w:color="auto" w:fill="C0C0C0"/>
          </w:tcPr>
          <w:p w14:paraId="34F39E3F" w14:textId="77777777" w:rsidR="00A10B25" w:rsidRDefault="00A10B25">
            <w:pPr>
              <w:pStyle w:val="TAH"/>
            </w:pPr>
            <w:r>
              <w:t>P</w:t>
            </w:r>
          </w:p>
        </w:tc>
        <w:tc>
          <w:tcPr>
            <w:tcW w:w="581" w:type="pct"/>
            <w:tcBorders>
              <w:bottom w:val="single" w:sz="6" w:space="0" w:color="auto"/>
            </w:tcBorders>
            <w:shd w:val="clear" w:color="auto" w:fill="C0C0C0"/>
          </w:tcPr>
          <w:p w14:paraId="010AB7E3"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133D24E5" w14:textId="77777777" w:rsidR="00A10B25" w:rsidRDefault="00A10B25">
            <w:pPr>
              <w:pStyle w:val="TAH"/>
            </w:pPr>
            <w:r>
              <w:t>Description</w:t>
            </w:r>
          </w:p>
        </w:tc>
      </w:tr>
      <w:tr w:rsidR="00A10B25" w14:paraId="35C438E9" w14:textId="77777777">
        <w:trPr>
          <w:jc w:val="center"/>
        </w:trPr>
        <w:tc>
          <w:tcPr>
            <w:tcW w:w="825" w:type="pct"/>
            <w:tcBorders>
              <w:top w:val="single" w:sz="6" w:space="0" w:color="auto"/>
            </w:tcBorders>
          </w:tcPr>
          <w:p w14:paraId="11B9F61A" w14:textId="77777777" w:rsidR="00A10B25" w:rsidRDefault="00A10B25">
            <w:pPr>
              <w:pStyle w:val="TAL"/>
            </w:pPr>
            <w:r>
              <w:t>Location</w:t>
            </w:r>
          </w:p>
        </w:tc>
        <w:tc>
          <w:tcPr>
            <w:tcW w:w="732" w:type="pct"/>
            <w:tcBorders>
              <w:top w:val="single" w:sz="6" w:space="0" w:color="auto"/>
            </w:tcBorders>
          </w:tcPr>
          <w:p w14:paraId="26230070" w14:textId="77777777" w:rsidR="00A10B25" w:rsidRDefault="00A10B25">
            <w:pPr>
              <w:pStyle w:val="TAL"/>
            </w:pPr>
            <w:r>
              <w:t>string</w:t>
            </w:r>
          </w:p>
        </w:tc>
        <w:tc>
          <w:tcPr>
            <w:tcW w:w="217" w:type="pct"/>
            <w:tcBorders>
              <w:top w:val="single" w:sz="6" w:space="0" w:color="auto"/>
            </w:tcBorders>
          </w:tcPr>
          <w:p w14:paraId="27D49CFC" w14:textId="77777777" w:rsidR="00A10B25" w:rsidRDefault="00A10B25">
            <w:pPr>
              <w:pStyle w:val="TAC"/>
            </w:pPr>
            <w:r>
              <w:t>M</w:t>
            </w:r>
          </w:p>
        </w:tc>
        <w:tc>
          <w:tcPr>
            <w:tcW w:w="581" w:type="pct"/>
            <w:tcBorders>
              <w:top w:val="single" w:sz="6" w:space="0" w:color="auto"/>
            </w:tcBorders>
          </w:tcPr>
          <w:p w14:paraId="22973049" w14:textId="77777777" w:rsidR="00A10B25" w:rsidRDefault="00A10B25">
            <w:pPr>
              <w:pStyle w:val="TAL"/>
            </w:pPr>
            <w:r>
              <w:t>1</w:t>
            </w:r>
          </w:p>
        </w:tc>
        <w:tc>
          <w:tcPr>
            <w:tcW w:w="2645" w:type="pct"/>
            <w:tcBorders>
              <w:top w:val="single" w:sz="6" w:space="0" w:color="auto"/>
            </w:tcBorders>
            <w:vAlign w:val="center"/>
          </w:tcPr>
          <w:p w14:paraId="1D2437F7"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183B13C" w14:textId="77777777" w:rsidR="00A10B25" w:rsidRDefault="00A10B25">
            <w:pPr>
              <w:pStyle w:val="TAL"/>
            </w:pPr>
          </w:p>
          <w:p w14:paraId="04330E9C" w14:textId="77777777" w:rsidR="00A10B25" w:rsidRDefault="00A10B25">
            <w:pPr>
              <w:pStyle w:val="TAL"/>
            </w:pPr>
            <w:r>
              <w:t>For the case where the request is redirected to the same target via a different SCP, refer to clause 6.10.9.1 of 3GPP TS 29.500 [6].</w:t>
            </w:r>
          </w:p>
        </w:tc>
      </w:tr>
      <w:tr w:rsidR="00A10B25" w14:paraId="21364E47" w14:textId="77777777">
        <w:trPr>
          <w:jc w:val="center"/>
        </w:trPr>
        <w:tc>
          <w:tcPr>
            <w:tcW w:w="825" w:type="pct"/>
          </w:tcPr>
          <w:p w14:paraId="43C80C00" w14:textId="77777777" w:rsidR="00A10B25" w:rsidRDefault="00A10B25">
            <w:pPr>
              <w:pStyle w:val="TAL"/>
            </w:pPr>
            <w:r>
              <w:rPr>
                <w:lang w:eastAsia="zh-CN"/>
              </w:rPr>
              <w:t>3gpp-Sbi-Target-Nf-Id</w:t>
            </w:r>
          </w:p>
        </w:tc>
        <w:tc>
          <w:tcPr>
            <w:tcW w:w="732" w:type="pct"/>
          </w:tcPr>
          <w:p w14:paraId="6C812F2B" w14:textId="77777777" w:rsidR="00A10B25" w:rsidRDefault="00A10B25">
            <w:pPr>
              <w:pStyle w:val="TAL"/>
            </w:pPr>
            <w:r>
              <w:rPr>
                <w:lang w:eastAsia="fr-FR"/>
              </w:rPr>
              <w:t>string</w:t>
            </w:r>
          </w:p>
        </w:tc>
        <w:tc>
          <w:tcPr>
            <w:tcW w:w="217" w:type="pct"/>
          </w:tcPr>
          <w:p w14:paraId="32FB764A" w14:textId="77777777" w:rsidR="00A10B25" w:rsidRDefault="00A10B25">
            <w:pPr>
              <w:pStyle w:val="TAC"/>
            </w:pPr>
            <w:r>
              <w:rPr>
                <w:lang w:eastAsia="fr-FR"/>
              </w:rPr>
              <w:t>O</w:t>
            </w:r>
          </w:p>
        </w:tc>
        <w:tc>
          <w:tcPr>
            <w:tcW w:w="581" w:type="pct"/>
          </w:tcPr>
          <w:p w14:paraId="73F5BD7C" w14:textId="77777777" w:rsidR="00A10B25" w:rsidRDefault="00A10B25">
            <w:pPr>
              <w:pStyle w:val="TAL"/>
            </w:pPr>
            <w:r>
              <w:rPr>
                <w:lang w:eastAsia="fr-FR"/>
              </w:rPr>
              <w:t>0..1</w:t>
            </w:r>
          </w:p>
        </w:tc>
        <w:tc>
          <w:tcPr>
            <w:tcW w:w="2645" w:type="pct"/>
            <w:vAlign w:val="center"/>
          </w:tcPr>
          <w:p w14:paraId="35733EA0" w14:textId="77777777" w:rsidR="00A10B25" w:rsidRDefault="00A10B25">
            <w:pPr>
              <w:pStyle w:val="TAL"/>
            </w:pPr>
            <w:r>
              <w:rPr>
                <w:lang w:eastAsia="fr-FR"/>
              </w:rPr>
              <w:t>Identifier of the target NWDAF (service) instance towards which the request is redirected.</w:t>
            </w:r>
          </w:p>
        </w:tc>
      </w:tr>
    </w:tbl>
    <w:p w14:paraId="3B65BE94" w14:textId="77777777" w:rsidR="00A10B25" w:rsidRDefault="00A10B25">
      <w:pPr>
        <w:rPr>
          <w:rFonts w:eastAsia="MS Mincho"/>
          <w:lang w:eastAsia="ja-JP"/>
        </w:rPr>
      </w:pPr>
    </w:p>
    <w:p w14:paraId="494D03DD" w14:textId="77777777" w:rsidR="00A10B25" w:rsidRDefault="00A10B25">
      <w:pPr>
        <w:pStyle w:val="6"/>
      </w:pPr>
      <w:bookmarkStart w:id="13364" w:name="_Toc138754460"/>
      <w:bookmarkStart w:id="13365" w:name="_Toc148522869"/>
      <w:bookmarkStart w:id="13366" w:name="_Toc136562626"/>
      <w:bookmarkStart w:id="13367" w:name="_Toc145705955"/>
      <w:bookmarkStart w:id="13368" w:name="_Toc164921057"/>
      <w:bookmarkStart w:id="13369" w:name="_Toc170120599"/>
      <w:bookmarkStart w:id="13370" w:name="_Toc175858844"/>
      <w:bookmarkStart w:id="13371" w:name="_Toc175859917"/>
      <w:bookmarkStart w:id="13372" w:name="_Toc180606207"/>
      <w:bookmarkStart w:id="13373" w:name="_Toc185517468"/>
      <w:bookmarkStart w:id="13374" w:name="_Toc191576520"/>
      <w:bookmarkStart w:id="13375" w:name="_Toc191577260"/>
      <w:bookmarkStart w:id="13376" w:name="_Toc192880330"/>
      <w:bookmarkStart w:id="13377" w:name="_Toc195815219"/>
      <w:bookmarkStart w:id="13378" w:name="_Toc199453186"/>
      <w:r>
        <w:t>5.4.3.3.3.2</w:t>
      </w:r>
      <w:r>
        <w:tab/>
        <w:t>DELETE</w:t>
      </w:r>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p>
    <w:p w14:paraId="2A9A15CB" w14:textId="77777777" w:rsidR="00A10B25" w:rsidRDefault="00A10B25">
      <w:r>
        <w:t>This method shall support the URI query parameters specified in table 5.4.3.3.3.2-1.</w:t>
      </w:r>
    </w:p>
    <w:p w14:paraId="7442E4C9" w14:textId="77777777" w:rsidR="00A10B25" w:rsidRDefault="00A10B25">
      <w:pPr>
        <w:pStyle w:val="TH"/>
      </w:pPr>
      <w:r>
        <w:t>Table 5.4.3.3.3.2-1: URI query parameters supported by the DELETE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8F317ED" w14:textId="77777777">
        <w:trPr>
          <w:jc w:val="center"/>
        </w:trPr>
        <w:tc>
          <w:tcPr>
            <w:tcW w:w="825" w:type="pct"/>
            <w:tcBorders>
              <w:bottom w:val="single" w:sz="6" w:space="0" w:color="auto"/>
            </w:tcBorders>
            <w:shd w:val="clear" w:color="auto" w:fill="C0C0C0"/>
          </w:tcPr>
          <w:p w14:paraId="454FDD45" w14:textId="77777777" w:rsidR="00A10B25" w:rsidRDefault="00A10B25">
            <w:pPr>
              <w:pStyle w:val="TAH"/>
            </w:pPr>
            <w:r>
              <w:t>Name</w:t>
            </w:r>
          </w:p>
        </w:tc>
        <w:tc>
          <w:tcPr>
            <w:tcW w:w="732" w:type="pct"/>
            <w:tcBorders>
              <w:bottom w:val="single" w:sz="6" w:space="0" w:color="auto"/>
            </w:tcBorders>
            <w:shd w:val="clear" w:color="auto" w:fill="C0C0C0"/>
          </w:tcPr>
          <w:p w14:paraId="23E8696C" w14:textId="77777777" w:rsidR="00A10B25" w:rsidRDefault="00A10B25">
            <w:pPr>
              <w:pStyle w:val="TAH"/>
            </w:pPr>
            <w:r>
              <w:t>Data type</w:t>
            </w:r>
          </w:p>
        </w:tc>
        <w:tc>
          <w:tcPr>
            <w:tcW w:w="217" w:type="pct"/>
            <w:tcBorders>
              <w:bottom w:val="single" w:sz="6" w:space="0" w:color="auto"/>
            </w:tcBorders>
            <w:shd w:val="clear" w:color="auto" w:fill="C0C0C0"/>
          </w:tcPr>
          <w:p w14:paraId="26212768" w14:textId="77777777" w:rsidR="00A10B25" w:rsidRDefault="00A10B25">
            <w:pPr>
              <w:pStyle w:val="TAH"/>
            </w:pPr>
            <w:r>
              <w:t>P</w:t>
            </w:r>
          </w:p>
        </w:tc>
        <w:tc>
          <w:tcPr>
            <w:tcW w:w="581" w:type="pct"/>
            <w:tcBorders>
              <w:bottom w:val="single" w:sz="6" w:space="0" w:color="auto"/>
            </w:tcBorders>
            <w:shd w:val="clear" w:color="auto" w:fill="C0C0C0"/>
          </w:tcPr>
          <w:p w14:paraId="60F18C15"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2D97F086" w14:textId="77777777" w:rsidR="00A10B25" w:rsidRDefault="00A10B25">
            <w:pPr>
              <w:pStyle w:val="TAH"/>
            </w:pPr>
            <w:r>
              <w:t>Description</w:t>
            </w:r>
          </w:p>
        </w:tc>
      </w:tr>
      <w:tr w:rsidR="00A10B25" w14:paraId="4E7BECCF" w14:textId="77777777">
        <w:trPr>
          <w:jc w:val="center"/>
        </w:trPr>
        <w:tc>
          <w:tcPr>
            <w:tcW w:w="825" w:type="pct"/>
            <w:tcBorders>
              <w:top w:val="single" w:sz="6" w:space="0" w:color="auto"/>
            </w:tcBorders>
          </w:tcPr>
          <w:p w14:paraId="60E9B15E" w14:textId="77777777" w:rsidR="00A10B25" w:rsidRDefault="00A10B25">
            <w:pPr>
              <w:pStyle w:val="TAL"/>
            </w:pPr>
            <w:r>
              <w:t>n/a</w:t>
            </w:r>
          </w:p>
        </w:tc>
        <w:tc>
          <w:tcPr>
            <w:tcW w:w="732" w:type="pct"/>
            <w:tcBorders>
              <w:top w:val="single" w:sz="6" w:space="0" w:color="auto"/>
            </w:tcBorders>
          </w:tcPr>
          <w:p w14:paraId="00464DED" w14:textId="77777777" w:rsidR="00A10B25" w:rsidRDefault="00A10B25">
            <w:pPr>
              <w:pStyle w:val="TAL"/>
            </w:pPr>
          </w:p>
        </w:tc>
        <w:tc>
          <w:tcPr>
            <w:tcW w:w="217" w:type="pct"/>
            <w:tcBorders>
              <w:top w:val="single" w:sz="6" w:space="0" w:color="auto"/>
            </w:tcBorders>
          </w:tcPr>
          <w:p w14:paraId="24282A5B" w14:textId="77777777" w:rsidR="00A10B25" w:rsidRDefault="00A10B25">
            <w:pPr>
              <w:pStyle w:val="TAC"/>
            </w:pPr>
          </w:p>
        </w:tc>
        <w:tc>
          <w:tcPr>
            <w:tcW w:w="581" w:type="pct"/>
            <w:tcBorders>
              <w:top w:val="single" w:sz="6" w:space="0" w:color="auto"/>
            </w:tcBorders>
          </w:tcPr>
          <w:p w14:paraId="33EDB3D0" w14:textId="77777777" w:rsidR="00A10B25" w:rsidRDefault="00A10B25">
            <w:pPr>
              <w:pStyle w:val="TAL"/>
            </w:pPr>
          </w:p>
        </w:tc>
        <w:tc>
          <w:tcPr>
            <w:tcW w:w="2646" w:type="pct"/>
            <w:tcBorders>
              <w:top w:val="single" w:sz="6" w:space="0" w:color="auto"/>
            </w:tcBorders>
            <w:vAlign w:val="center"/>
          </w:tcPr>
          <w:p w14:paraId="4117F0C1" w14:textId="77777777" w:rsidR="00A10B25" w:rsidRDefault="00A10B25">
            <w:pPr>
              <w:pStyle w:val="TAL"/>
            </w:pPr>
          </w:p>
        </w:tc>
      </w:tr>
    </w:tbl>
    <w:p w14:paraId="0338B318" w14:textId="77777777" w:rsidR="00A10B25" w:rsidRDefault="00A10B25"/>
    <w:p w14:paraId="313B56CB" w14:textId="77777777" w:rsidR="00A10B25" w:rsidRDefault="00A10B25">
      <w:r>
        <w:t>This method shall support the request data structures specified in table 5.4.3.3.3.2-2 and the response data structures and response codes specified in table 5.4.3.3.3.2-3.</w:t>
      </w:r>
    </w:p>
    <w:p w14:paraId="4C7D70A1" w14:textId="77777777" w:rsidR="00A10B25" w:rsidRDefault="00A10B25">
      <w:pPr>
        <w:pStyle w:val="TH"/>
      </w:pPr>
      <w:r>
        <w:t>Table 5.4.3.3.3.2-2: Data structures supported by the DELETE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45F715D3" w14:textId="77777777">
        <w:trPr>
          <w:jc w:val="center"/>
        </w:trPr>
        <w:tc>
          <w:tcPr>
            <w:tcW w:w="1627" w:type="dxa"/>
            <w:tcBorders>
              <w:bottom w:val="single" w:sz="6" w:space="0" w:color="auto"/>
            </w:tcBorders>
            <w:shd w:val="clear" w:color="auto" w:fill="C0C0C0"/>
          </w:tcPr>
          <w:p w14:paraId="0356BAE4" w14:textId="77777777" w:rsidR="00A10B25" w:rsidRDefault="00A10B25">
            <w:pPr>
              <w:pStyle w:val="TAH"/>
            </w:pPr>
            <w:r>
              <w:t>Data type</w:t>
            </w:r>
          </w:p>
        </w:tc>
        <w:tc>
          <w:tcPr>
            <w:tcW w:w="425" w:type="dxa"/>
            <w:tcBorders>
              <w:bottom w:val="single" w:sz="6" w:space="0" w:color="auto"/>
            </w:tcBorders>
            <w:shd w:val="clear" w:color="auto" w:fill="C0C0C0"/>
          </w:tcPr>
          <w:p w14:paraId="314C6D9C" w14:textId="77777777" w:rsidR="00A10B25" w:rsidRDefault="00A10B25">
            <w:pPr>
              <w:pStyle w:val="TAH"/>
            </w:pPr>
            <w:r>
              <w:t>P</w:t>
            </w:r>
          </w:p>
        </w:tc>
        <w:tc>
          <w:tcPr>
            <w:tcW w:w="1276" w:type="dxa"/>
            <w:tcBorders>
              <w:bottom w:val="single" w:sz="6" w:space="0" w:color="auto"/>
            </w:tcBorders>
            <w:shd w:val="clear" w:color="auto" w:fill="C0C0C0"/>
          </w:tcPr>
          <w:p w14:paraId="5C15B6AA" w14:textId="77777777" w:rsidR="00A10B25" w:rsidRDefault="00A10B25">
            <w:pPr>
              <w:pStyle w:val="TAH"/>
            </w:pPr>
            <w:r>
              <w:t>Cardinality</w:t>
            </w:r>
          </w:p>
        </w:tc>
        <w:tc>
          <w:tcPr>
            <w:tcW w:w="6447" w:type="dxa"/>
            <w:tcBorders>
              <w:bottom w:val="single" w:sz="6" w:space="0" w:color="auto"/>
            </w:tcBorders>
            <w:shd w:val="clear" w:color="auto" w:fill="C0C0C0"/>
            <w:vAlign w:val="center"/>
          </w:tcPr>
          <w:p w14:paraId="480D6C0D" w14:textId="77777777" w:rsidR="00A10B25" w:rsidRDefault="00A10B25">
            <w:pPr>
              <w:pStyle w:val="TAH"/>
            </w:pPr>
            <w:r>
              <w:t>Description</w:t>
            </w:r>
          </w:p>
        </w:tc>
      </w:tr>
      <w:tr w:rsidR="00A10B25" w14:paraId="7DECE4C1" w14:textId="77777777">
        <w:trPr>
          <w:jc w:val="center"/>
        </w:trPr>
        <w:tc>
          <w:tcPr>
            <w:tcW w:w="1627" w:type="dxa"/>
            <w:tcBorders>
              <w:top w:val="single" w:sz="6" w:space="0" w:color="auto"/>
            </w:tcBorders>
          </w:tcPr>
          <w:p w14:paraId="330D1718" w14:textId="77777777" w:rsidR="00A10B25" w:rsidRDefault="00A10B25">
            <w:pPr>
              <w:pStyle w:val="TAL"/>
            </w:pPr>
            <w:r>
              <w:t>n/a</w:t>
            </w:r>
          </w:p>
        </w:tc>
        <w:tc>
          <w:tcPr>
            <w:tcW w:w="425" w:type="dxa"/>
            <w:tcBorders>
              <w:top w:val="single" w:sz="6" w:space="0" w:color="auto"/>
            </w:tcBorders>
          </w:tcPr>
          <w:p w14:paraId="183BCC96" w14:textId="77777777" w:rsidR="00A10B25" w:rsidRDefault="00A10B25">
            <w:pPr>
              <w:pStyle w:val="TAC"/>
            </w:pPr>
          </w:p>
        </w:tc>
        <w:tc>
          <w:tcPr>
            <w:tcW w:w="1276" w:type="dxa"/>
            <w:tcBorders>
              <w:top w:val="single" w:sz="6" w:space="0" w:color="auto"/>
            </w:tcBorders>
          </w:tcPr>
          <w:p w14:paraId="49245A4D" w14:textId="77777777" w:rsidR="00A10B25" w:rsidRDefault="00A10B25">
            <w:pPr>
              <w:pStyle w:val="TAL"/>
            </w:pPr>
          </w:p>
        </w:tc>
        <w:tc>
          <w:tcPr>
            <w:tcW w:w="6447" w:type="dxa"/>
            <w:tcBorders>
              <w:top w:val="single" w:sz="6" w:space="0" w:color="auto"/>
            </w:tcBorders>
          </w:tcPr>
          <w:p w14:paraId="12A92493" w14:textId="77777777" w:rsidR="00A10B25" w:rsidRDefault="00A10B25">
            <w:pPr>
              <w:pStyle w:val="TAL"/>
            </w:pPr>
          </w:p>
        </w:tc>
      </w:tr>
    </w:tbl>
    <w:p w14:paraId="0410B9A7" w14:textId="77777777" w:rsidR="00A10B25" w:rsidRDefault="00A10B25"/>
    <w:p w14:paraId="10AEE0C3" w14:textId="77777777" w:rsidR="00A10B25" w:rsidRDefault="00A10B25">
      <w:pPr>
        <w:pStyle w:val="TH"/>
      </w:pPr>
      <w:bookmarkStart w:id="13379" w:name="_Toc113031888"/>
      <w:bookmarkStart w:id="13380" w:name="_Toc94064437"/>
      <w:bookmarkStart w:id="13381" w:name="_Toc120702528"/>
      <w:bookmarkStart w:id="13382" w:name="_Toc88667747"/>
      <w:bookmarkStart w:id="13383" w:name="_Toc101244620"/>
      <w:bookmarkStart w:id="13384" w:name="_Toc104539225"/>
      <w:bookmarkStart w:id="13385" w:name="_Toc114134027"/>
      <w:bookmarkStart w:id="13386" w:name="_Toc112951348"/>
      <w:bookmarkStart w:id="13387" w:name="_Toc85553138"/>
      <w:bookmarkStart w:id="13388" w:name="_Toc83233209"/>
      <w:bookmarkStart w:id="13389" w:name="_Toc90656032"/>
      <w:bookmarkStart w:id="13390" w:name="_Toc98233839"/>
      <w:bookmarkStart w:id="13391" w:name="_Toc85557237"/>
      <w:r>
        <w:t>Table 5.4.3.3.3.2-3: Data structures supported by the DELETE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67D48534" w14:textId="77777777">
        <w:trPr>
          <w:jc w:val="center"/>
        </w:trPr>
        <w:tc>
          <w:tcPr>
            <w:tcW w:w="848" w:type="pct"/>
            <w:tcBorders>
              <w:bottom w:val="single" w:sz="6" w:space="0" w:color="auto"/>
            </w:tcBorders>
            <w:shd w:val="clear" w:color="auto" w:fill="C0C0C0"/>
          </w:tcPr>
          <w:p w14:paraId="1FF148F2" w14:textId="77777777" w:rsidR="00A10B25" w:rsidRDefault="00A10B25">
            <w:pPr>
              <w:pStyle w:val="TAH"/>
            </w:pPr>
            <w:r>
              <w:t>Data type</w:t>
            </w:r>
          </w:p>
        </w:tc>
        <w:tc>
          <w:tcPr>
            <w:tcW w:w="223" w:type="pct"/>
            <w:tcBorders>
              <w:bottom w:val="single" w:sz="6" w:space="0" w:color="auto"/>
            </w:tcBorders>
            <w:shd w:val="clear" w:color="auto" w:fill="C0C0C0"/>
          </w:tcPr>
          <w:p w14:paraId="068836EC" w14:textId="77777777" w:rsidR="00A10B25" w:rsidRDefault="00A10B25">
            <w:pPr>
              <w:pStyle w:val="TAH"/>
            </w:pPr>
            <w:r>
              <w:t>P</w:t>
            </w:r>
          </w:p>
        </w:tc>
        <w:tc>
          <w:tcPr>
            <w:tcW w:w="643" w:type="pct"/>
            <w:tcBorders>
              <w:bottom w:val="single" w:sz="6" w:space="0" w:color="auto"/>
            </w:tcBorders>
            <w:shd w:val="clear" w:color="auto" w:fill="C0C0C0"/>
          </w:tcPr>
          <w:p w14:paraId="32AFA865" w14:textId="77777777" w:rsidR="00A10B25" w:rsidRDefault="00A10B25">
            <w:pPr>
              <w:pStyle w:val="TAH"/>
            </w:pPr>
            <w:r>
              <w:t>Cardinality</w:t>
            </w:r>
          </w:p>
        </w:tc>
        <w:tc>
          <w:tcPr>
            <w:tcW w:w="577" w:type="pct"/>
            <w:tcBorders>
              <w:bottom w:val="single" w:sz="6" w:space="0" w:color="auto"/>
            </w:tcBorders>
            <w:shd w:val="clear" w:color="auto" w:fill="C0C0C0"/>
          </w:tcPr>
          <w:p w14:paraId="17DBE80F" w14:textId="77777777" w:rsidR="00A10B25" w:rsidRDefault="00A10B25">
            <w:pPr>
              <w:pStyle w:val="TAH"/>
            </w:pPr>
            <w:r>
              <w:t>Response</w:t>
            </w:r>
          </w:p>
          <w:p w14:paraId="6A625838" w14:textId="77777777" w:rsidR="00A10B25" w:rsidRDefault="00A10B25">
            <w:pPr>
              <w:pStyle w:val="TAH"/>
            </w:pPr>
            <w:r>
              <w:t>codes</w:t>
            </w:r>
          </w:p>
        </w:tc>
        <w:tc>
          <w:tcPr>
            <w:tcW w:w="2708" w:type="pct"/>
            <w:tcBorders>
              <w:bottom w:val="single" w:sz="6" w:space="0" w:color="auto"/>
            </w:tcBorders>
            <w:shd w:val="clear" w:color="auto" w:fill="C0C0C0"/>
          </w:tcPr>
          <w:p w14:paraId="59DF5534" w14:textId="77777777" w:rsidR="00A10B25" w:rsidRDefault="00A10B25">
            <w:pPr>
              <w:pStyle w:val="TAH"/>
            </w:pPr>
            <w:r>
              <w:t>Description</w:t>
            </w:r>
          </w:p>
        </w:tc>
      </w:tr>
      <w:tr w:rsidR="00A10B25" w14:paraId="1CD1C66E" w14:textId="77777777">
        <w:trPr>
          <w:jc w:val="center"/>
        </w:trPr>
        <w:tc>
          <w:tcPr>
            <w:tcW w:w="848" w:type="pct"/>
            <w:tcBorders>
              <w:top w:val="single" w:sz="6" w:space="0" w:color="auto"/>
            </w:tcBorders>
          </w:tcPr>
          <w:p w14:paraId="5F070982" w14:textId="77777777" w:rsidR="00A10B25" w:rsidRDefault="00A10B25">
            <w:pPr>
              <w:pStyle w:val="TAL"/>
            </w:pPr>
            <w:r>
              <w:t>n/a</w:t>
            </w:r>
          </w:p>
        </w:tc>
        <w:tc>
          <w:tcPr>
            <w:tcW w:w="223" w:type="pct"/>
            <w:tcBorders>
              <w:top w:val="single" w:sz="6" w:space="0" w:color="auto"/>
            </w:tcBorders>
          </w:tcPr>
          <w:p w14:paraId="2C04B677" w14:textId="77777777" w:rsidR="00A10B25" w:rsidRDefault="00A10B25">
            <w:pPr>
              <w:pStyle w:val="TAC"/>
            </w:pPr>
          </w:p>
        </w:tc>
        <w:tc>
          <w:tcPr>
            <w:tcW w:w="643" w:type="pct"/>
            <w:tcBorders>
              <w:top w:val="single" w:sz="6" w:space="0" w:color="auto"/>
            </w:tcBorders>
          </w:tcPr>
          <w:p w14:paraId="4BD8BED5" w14:textId="77777777" w:rsidR="00A10B25" w:rsidRDefault="00A10B25">
            <w:pPr>
              <w:pStyle w:val="TAC"/>
            </w:pPr>
          </w:p>
        </w:tc>
        <w:tc>
          <w:tcPr>
            <w:tcW w:w="577" w:type="pct"/>
            <w:tcBorders>
              <w:top w:val="single" w:sz="6" w:space="0" w:color="auto"/>
            </w:tcBorders>
          </w:tcPr>
          <w:p w14:paraId="551DD5C8" w14:textId="77777777" w:rsidR="00A10B25" w:rsidRDefault="00A10B25">
            <w:pPr>
              <w:pStyle w:val="TAL"/>
            </w:pPr>
            <w:r>
              <w:t>204 No Content</w:t>
            </w:r>
          </w:p>
        </w:tc>
        <w:tc>
          <w:tcPr>
            <w:tcW w:w="2708" w:type="pct"/>
            <w:tcBorders>
              <w:top w:val="single" w:sz="6" w:space="0" w:color="auto"/>
            </w:tcBorders>
          </w:tcPr>
          <w:p w14:paraId="749F42C7" w14:textId="77777777" w:rsidR="00A10B25" w:rsidRDefault="00A10B25">
            <w:pPr>
              <w:pStyle w:val="TAL"/>
            </w:pPr>
            <w:r>
              <w:t>Successful case: The Individual NWDAF ML Model Provision Subscription resource matching the subscriptionId was deleted.</w:t>
            </w:r>
          </w:p>
        </w:tc>
      </w:tr>
      <w:tr w:rsidR="00A10B25" w14:paraId="6C6EEC42" w14:textId="77777777">
        <w:trPr>
          <w:trHeight w:val="1086"/>
          <w:jc w:val="center"/>
        </w:trPr>
        <w:tc>
          <w:tcPr>
            <w:tcW w:w="848" w:type="pct"/>
          </w:tcPr>
          <w:p w14:paraId="36B6206F" w14:textId="77777777" w:rsidR="00A10B25" w:rsidRDefault="00A10B25">
            <w:pPr>
              <w:pStyle w:val="TAL"/>
            </w:pPr>
            <w:r>
              <w:t>RedirectResponse</w:t>
            </w:r>
          </w:p>
        </w:tc>
        <w:tc>
          <w:tcPr>
            <w:tcW w:w="223" w:type="pct"/>
          </w:tcPr>
          <w:p w14:paraId="04071E31" w14:textId="77777777" w:rsidR="00A10B25" w:rsidRDefault="00A10B25">
            <w:pPr>
              <w:pStyle w:val="TAC"/>
            </w:pPr>
            <w:r>
              <w:t>O</w:t>
            </w:r>
          </w:p>
        </w:tc>
        <w:tc>
          <w:tcPr>
            <w:tcW w:w="643" w:type="pct"/>
          </w:tcPr>
          <w:p w14:paraId="201DE571" w14:textId="77777777" w:rsidR="00A10B25" w:rsidRDefault="00A10B25">
            <w:pPr>
              <w:pStyle w:val="TAC"/>
            </w:pPr>
            <w:r>
              <w:t>0..1</w:t>
            </w:r>
          </w:p>
        </w:tc>
        <w:tc>
          <w:tcPr>
            <w:tcW w:w="577" w:type="pct"/>
          </w:tcPr>
          <w:p w14:paraId="35F7D6E6" w14:textId="77777777" w:rsidR="00A10B25" w:rsidRDefault="00A10B25">
            <w:pPr>
              <w:pStyle w:val="TAL"/>
            </w:pPr>
            <w:r>
              <w:t>307 Temporary Redirect</w:t>
            </w:r>
          </w:p>
        </w:tc>
        <w:tc>
          <w:tcPr>
            <w:tcW w:w="2708" w:type="pct"/>
          </w:tcPr>
          <w:p w14:paraId="7FFC0DE4" w14:textId="77777777" w:rsidR="00A10B25" w:rsidRDefault="00A10B25">
            <w:pPr>
              <w:pStyle w:val="TAL"/>
            </w:pPr>
            <w:r>
              <w:t>Temporary redirection, during Individual NWDAF ML Model Provision Subscription deletion.</w:t>
            </w:r>
          </w:p>
          <w:p w14:paraId="03ADE9F4" w14:textId="77777777" w:rsidR="00A10B25" w:rsidRDefault="00A10B25">
            <w:pPr>
              <w:pStyle w:val="TAL"/>
            </w:pPr>
          </w:p>
          <w:p w14:paraId="41F4EE83" w14:textId="77777777" w:rsidR="00A10B25" w:rsidRDefault="00A10B25">
            <w:pPr>
              <w:pStyle w:val="TAL"/>
            </w:pPr>
            <w:r>
              <w:t>(NOTE 2)</w:t>
            </w:r>
          </w:p>
        </w:tc>
      </w:tr>
      <w:tr w:rsidR="00A10B25" w14:paraId="35D554FC" w14:textId="77777777">
        <w:trPr>
          <w:jc w:val="center"/>
        </w:trPr>
        <w:tc>
          <w:tcPr>
            <w:tcW w:w="848" w:type="pct"/>
          </w:tcPr>
          <w:p w14:paraId="766A838E" w14:textId="77777777" w:rsidR="00A10B25" w:rsidRDefault="00A10B25">
            <w:pPr>
              <w:pStyle w:val="TAL"/>
            </w:pPr>
            <w:r>
              <w:t>RedirectResponse</w:t>
            </w:r>
          </w:p>
        </w:tc>
        <w:tc>
          <w:tcPr>
            <w:tcW w:w="223" w:type="pct"/>
          </w:tcPr>
          <w:p w14:paraId="6F45C7DC" w14:textId="77777777" w:rsidR="00A10B25" w:rsidRDefault="00A10B25">
            <w:pPr>
              <w:pStyle w:val="TAC"/>
            </w:pPr>
            <w:r>
              <w:t>O</w:t>
            </w:r>
          </w:p>
        </w:tc>
        <w:tc>
          <w:tcPr>
            <w:tcW w:w="643" w:type="pct"/>
          </w:tcPr>
          <w:p w14:paraId="631124B4" w14:textId="77777777" w:rsidR="00A10B25" w:rsidRDefault="00A10B25">
            <w:pPr>
              <w:pStyle w:val="TAC"/>
            </w:pPr>
            <w:r>
              <w:t>0..1</w:t>
            </w:r>
          </w:p>
        </w:tc>
        <w:tc>
          <w:tcPr>
            <w:tcW w:w="577" w:type="pct"/>
          </w:tcPr>
          <w:p w14:paraId="23B9E8E1" w14:textId="77777777" w:rsidR="00A10B25" w:rsidRDefault="00A10B25">
            <w:pPr>
              <w:pStyle w:val="TAL"/>
            </w:pPr>
            <w:r>
              <w:t>308 Permanent Redirect</w:t>
            </w:r>
          </w:p>
        </w:tc>
        <w:tc>
          <w:tcPr>
            <w:tcW w:w="2708" w:type="pct"/>
          </w:tcPr>
          <w:p w14:paraId="2E27D143" w14:textId="77777777" w:rsidR="00A10B25" w:rsidRDefault="00A10B25">
            <w:pPr>
              <w:pStyle w:val="TAL"/>
            </w:pPr>
            <w:r>
              <w:t>Permanent redirection, during Individual NWDAF ML Model Provision Subscription deletion.</w:t>
            </w:r>
          </w:p>
          <w:p w14:paraId="4893C2CB" w14:textId="77777777" w:rsidR="00A10B25" w:rsidRDefault="00A10B25">
            <w:pPr>
              <w:pStyle w:val="TAL"/>
            </w:pPr>
          </w:p>
          <w:p w14:paraId="67A4BC36" w14:textId="77777777" w:rsidR="00A10B25" w:rsidRDefault="00A10B25">
            <w:pPr>
              <w:pStyle w:val="TAL"/>
            </w:pPr>
            <w:r>
              <w:t>(NOTE 2)</w:t>
            </w:r>
          </w:p>
        </w:tc>
      </w:tr>
      <w:tr w:rsidR="00A10B25" w14:paraId="2A64368E" w14:textId="77777777">
        <w:trPr>
          <w:jc w:val="center"/>
        </w:trPr>
        <w:tc>
          <w:tcPr>
            <w:tcW w:w="5000" w:type="pct"/>
            <w:gridSpan w:val="5"/>
          </w:tcPr>
          <w:p w14:paraId="542A1A91" w14:textId="77777777" w:rsidR="00A10B25" w:rsidRDefault="00A10B25">
            <w:pPr>
              <w:pStyle w:val="TAN"/>
            </w:pPr>
            <w:r>
              <w:t>NOTE 1:</w:t>
            </w:r>
            <w:r>
              <w:tab/>
              <w:t>The mandatory HTTP error status codes for the DELETE method listed in table 5.2.7.1-1 of 3GPP TS 29.500 [6] also apply.</w:t>
            </w:r>
          </w:p>
          <w:p w14:paraId="6E4A1067" w14:textId="77777777" w:rsidR="00A10B25" w:rsidRDefault="00A10B25">
            <w:pPr>
              <w:pStyle w:val="TAN"/>
            </w:pPr>
            <w:r>
              <w:t>NOTE 2:</w:t>
            </w:r>
            <w:r>
              <w:tab/>
              <w:t>The RedirectResponse data structure may be provided by an SCP (cf. clause 6.10.9.1 of 3GPP TS 29.500 [6]).</w:t>
            </w:r>
          </w:p>
        </w:tc>
      </w:tr>
    </w:tbl>
    <w:p w14:paraId="618DB83B" w14:textId="77777777" w:rsidR="00A10B25" w:rsidRDefault="00A10B25">
      <w:pPr>
        <w:rPr>
          <w:lang w:val="en-US" w:eastAsia="zh-CN"/>
        </w:rPr>
      </w:pPr>
    </w:p>
    <w:p w14:paraId="14E196B0" w14:textId="77777777" w:rsidR="00A10B25" w:rsidRDefault="00A10B25">
      <w:pPr>
        <w:pStyle w:val="TH"/>
      </w:pPr>
      <w:r>
        <w:lastRenderedPageBreak/>
        <w:t>Table 5.4.3.3.3.2-4: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E42ABBB" w14:textId="77777777">
        <w:trPr>
          <w:jc w:val="center"/>
        </w:trPr>
        <w:tc>
          <w:tcPr>
            <w:tcW w:w="825" w:type="pct"/>
            <w:tcBorders>
              <w:bottom w:val="single" w:sz="6" w:space="0" w:color="auto"/>
            </w:tcBorders>
            <w:shd w:val="clear" w:color="auto" w:fill="C0C0C0"/>
          </w:tcPr>
          <w:p w14:paraId="2D5E9CF4" w14:textId="77777777" w:rsidR="00A10B25" w:rsidRDefault="00A10B25">
            <w:pPr>
              <w:pStyle w:val="TAH"/>
            </w:pPr>
            <w:r>
              <w:t>Name</w:t>
            </w:r>
          </w:p>
        </w:tc>
        <w:tc>
          <w:tcPr>
            <w:tcW w:w="732" w:type="pct"/>
            <w:tcBorders>
              <w:bottom w:val="single" w:sz="6" w:space="0" w:color="auto"/>
            </w:tcBorders>
            <w:shd w:val="clear" w:color="auto" w:fill="C0C0C0"/>
          </w:tcPr>
          <w:p w14:paraId="21B80D44" w14:textId="77777777" w:rsidR="00A10B25" w:rsidRDefault="00A10B25">
            <w:pPr>
              <w:pStyle w:val="TAH"/>
            </w:pPr>
            <w:r>
              <w:t>Data type</w:t>
            </w:r>
          </w:p>
        </w:tc>
        <w:tc>
          <w:tcPr>
            <w:tcW w:w="217" w:type="pct"/>
            <w:tcBorders>
              <w:bottom w:val="single" w:sz="6" w:space="0" w:color="auto"/>
            </w:tcBorders>
            <w:shd w:val="clear" w:color="auto" w:fill="C0C0C0"/>
          </w:tcPr>
          <w:p w14:paraId="2CE1AE44" w14:textId="77777777" w:rsidR="00A10B25" w:rsidRDefault="00A10B25">
            <w:pPr>
              <w:pStyle w:val="TAH"/>
            </w:pPr>
            <w:r>
              <w:t>P</w:t>
            </w:r>
          </w:p>
        </w:tc>
        <w:tc>
          <w:tcPr>
            <w:tcW w:w="581" w:type="pct"/>
            <w:tcBorders>
              <w:bottom w:val="single" w:sz="6" w:space="0" w:color="auto"/>
            </w:tcBorders>
            <w:shd w:val="clear" w:color="auto" w:fill="C0C0C0"/>
          </w:tcPr>
          <w:p w14:paraId="68E721E5"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60C3B11" w14:textId="77777777" w:rsidR="00A10B25" w:rsidRDefault="00A10B25">
            <w:pPr>
              <w:pStyle w:val="TAH"/>
            </w:pPr>
            <w:r>
              <w:t>Description</w:t>
            </w:r>
          </w:p>
        </w:tc>
      </w:tr>
      <w:tr w:rsidR="00A10B25" w14:paraId="73527109" w14:textId="77777777">
        <w:trPr>
          <w:jc w:val="center"/>
        </w:trPr>
        <w:tc>
          <w:tcPr>
            <w:tcW w:w="825" w:type="pct"/>
            <w:tcBorders>
              <w:top w:val="single" w:sz="6" w:space="0" w:color="auto"/>
            </w:tcBorders>
          </w:tcPr>
          <w:p w14:paraId="7EC2F361" w14:textId="77777777" w:rsidR="00A10B25" w:rsidRDefault="00A10B25">
            <w:pPr>
              <w:pStyle w:val="TAL"/>
            </w:pPr>
            <w:r>
              <w:t>Location</w:t>
            </w:r>
          </w:p>
        </w:tc>
        <w:tc>
          <w:tcPr>
            <w:tcW w:w="732" w:type="pct"/>
            <w:tcBorders>
              <w:top w:val="single" w:sz="6" w:space="0" w:color="auto"/>
            </w:tcBorders>
          </w:tcPr>
          <w:p w14:paraId="17FFD743" w14:textId="77777777" w:rsidR="00A10B25" w:rsidRDefault="00A10B25">
            <w:pPr>
              <w:pStyle w:val="TAL"/>
            </w:pPr>
            <w:r>
              <w:t>string</w:t>
            </w:r>
          </w:p>
        </w:tc>
        <w:tc>
          <w:tcPr>
            <w:tcW w:w="217" w:type="pct"/>
            <w:tcBorders>
              <w:top w:val="single" w:sz="6" w:space="0" w:color="auto"/>
            </w:tcBorders>
          </w:tcPr>
          <w:p w14:paraId="4CF1E51A" w14:textId="77777777" w:rsidR="00A10B25" w:rsidRDefault="00A10B25">
            <w:pPr>
              <w:pStyle w:val="TAC"/>
            </w:pPr>
            <w:r>
              <w:t>M</w:t>
            </w:r>
          </w:p>
        </w:tc>
        <w:tc>
          <w:tcPr>
            <w:tcW w:w="581" w:type="pct"/>
            <w:tcBorders>
              <w:top w:val="single" w:sz="6" w:space="0" w:color="auto"/>
            </w:tcBorders>
          </w:tcPr>
          <w:p w14:paraId="76EF0663" w14:textId="77777777" w:rsidR="00A10B25" w:rsidRDefault="00A10B25">
            <w:pPr>
              <w:pStyle w:val="TAL"/>
            </w:pPr>
            <w:r>
              <w:t>1</w:t>
            </w:r>
          </w:p>
        </w:tc>
        <w:tc>
          <w:tcPr>
            <w:tcW w:w="2645" w:type="pct"/>
            <w:tcBorders>
              <w:top w:val="single" w:sz="6" w:space="0" w:color="auto"/>
            </w:tcBorders>
            <w:vAlign w:val="center"/>
          </w:tcPr>
          <w:p w14:paraId="4AD4EC0A"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65702102" w14:textId="77777777" w:rsidR="00A10B25" w:rsidRDefault="00A10B25">
            <w:pPr>
              <w:pStyle w:val="TAL"/>
            </w:pPr>
          </w:p>
          <w:p w14:paraId="19AF40B7" w14:textId="77777777" w:rsidR="00A10B25" w:rsidRDefault="00A10B25">
            <w:pPr>
              <w:pStyle w:val="TAL"/>
            </w:pPr>
            <w:r>
              <w:t>For the case where the request is redirected to the same target via a different SCP, refer to clause 6.10.9.1 of 3GPP TS 29.500 [6].</w:t>
            </w:r>
          </w:p>
        </w:tc>
      </w:tr>
      <w:tr w:rsidR="00A10B25" w14:paraId="1EDE2900" w14:textId="77777777">
        <w:trPr>
          <w:jc w:val="center"/>
        </w:trPr>
        <w:tc>
          <w:tcPr>
            <w:tcW w:w="825" w:type="pct"/>
          </w:tcPr>
          <w:p w14:paraId="3CC76E31" w14:textId="77777777" w:rsidR="00A10B25" w:rsidRDefault="00A10B25">
            <w:pPr>
              <w:pStyle w:val="TAL"/>
            </w:pPr>
            <w:r>
              <w:rPr>
                <w:lang w:eastAsia="zh-CN"/>
              </w:rPr>
              <w:t>3gpp-Sbi-Target-Nf-Id</w:t>
            </w:r>
          </w:p>
        </w:tc>
        <w:tc>
          <w:tcPr>
            <w:tcW w:w="732" w:type="pct"/>
          </w:tcPr>
          <w:p w14:paraId="49DB1475" w14:textId="77777777" w:rsidR="00A10B25" w:rsidRDefault="00A10B25">
            <w:pPr>
              <w:pStyle w:val="TAL"/>
            </w:pPr>
            <w:r>
              <w:rPr>
                <w:lang w:eastAsia="fr-FR"/>
              </w:rPr>
              <w:t>string</w:t>
            </w:r>
          </w:p>
        </w:tc>
        <w:tc>
          <w:tcPr>
            <w:tcW w:w="217" w:type="pct"/>
          </w:tcPr>
          <w:p w14:paraId="74ACB15B" w14:textId="77777777" w:rsidR="00A10B25" w:rsidRDefault="00A10B25">
            <w:pPr>
              <w:pStyle w:val="TAC"/>
            </w:pPr>
            <w:r>
              <w:rPr>
                <w:lang w:eastAsia="fr-FR"/>
              </w:rPr>
              <w:t>O</w:t>
            </w:r>
          </w:p>
        </w:tc>
        <w:tc>
          <w:tcPr>
            <w:tcW w:w="581" w:type="pct"/>
          </w:tcPr>
          <w:p w14:paraId="201CDCA2" w14:textId="77777777" w:rsidR="00A10B25" w:rsidRDefault="00A10B25">
            <w:pPr>
              <w:pStyle w:val="TAL"/>
            </w:pPr>
            <w:r>
              <w:rPr>
                <w:lang w:eastAsia="fr-FR"/>
              </w:rPr>
              <w:t>0..1</w:t>
            </w:r>
          </w:p>
        </w:tc>
        <w:tc>
          <w:tcPr>
            <w:tcW w:w="2645" w:type="pct"/>
            <w:vAlign w:val="center"/>
          </w:tcPr>
          <w:p w14:paraId="0E48EDF9" w14:textId="77777777" w:rsidR="00A10B25" w:rsidRDefault="00A10B25">
            <w:pPr>
              <w:pStyle w:val="TAL"/>
            </w:pPr>
            <w:r>
              <w:rPr>
                <w:lang w:eastAsia="fr-FR"/>
              </w:rPr>
              <w:t>Identifier of the target NWDAF (service) instance towards which the request is redirected.</w:t>
            </w:r>
          </w:p>
        </w:tc>
      </w:tr>
    </w:tbl>
    <w:p w14:paraId="4BD799AD" w14:textId="77777777" w:rsidR="00A10B25" w:rsidRDefault="00A10B25"/>
    <w:p w14:paraId="292F4FED" w14:textId="77777777" w:rsidR="00A10B25" w:rsidRDefault="00A10B25">
      <w:pPr>
        <w:pStyle w:val="TH"/>
      </w:pPr>
      <w:r>
        <w:t>Table 5.4.3.3.3.2-5: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12ADE3EE" w14:textId="77777777">
        <w:trPr>
          <w:jc w:val="center"/>
        </w:trPr>
        <w:tc>
          <w:tcPr>
            <w:tcW w:w="825" w:type="pct"/>
            <w:tcBorders>
              <w:bottom w:val="single" w:sz="6" w:space="0" w:color="auto"/>
            </w:tcBorders>
            <w:shd w:val="clear" w:color="auto" w:fill="C0C0C0"/>
          </w:tcPr>
          <w:p w14:paraId="1719F4EB" w14:textId="77777777" w:rsidR="00A10B25" w:rsidRDefault="00A10B25">
            <w:pPr>
              <w:pStyle w:val="TAH"/>
            </w:pPr>
            <w:r>
              <w:t>Name</w:t>
            </w:r>
          </w:p>
        </w:tc>
        <w:tc>
          <w:tcPr>
            <w:tcW w:w="732" w:type="pct"/>
            <w:tcBorders>
              <w:bottom w:val="single" w:sz="6" w:space="0" w:color="auto"/>
            </w:tcBorders>
            <w:shd w:val="clear" w:color="auto" w:fill="C0C0C0"/>
          </w:tcPr>
          <w:p w14:paraId="59D5893A" w14:textId="77777777" w:rsidR="00A10B25" w:rsidRDefault="00A10B25">
            <w:pPr>
              <w:pStyle w:val="TAH"/>
            </w:pPr>
            <w:r>
              <w:t>Data type</w:t>
            </w:r>
          </w:p>
        </w:tc>
        <w:tc>
          <w:tcPr>
            <w:tcW w:w="217" w:type="pct"/>
            <w:tcBorders>
              <w:bottom w:val="single" w:sz="6" w:space="0" w:color="auto"/>
            </w:tcBorders>
            <w:shd w:val="clear" w:color="auto" w:fill="C0C0C0"/>
          </w:tcPr>
          <w:p w14:paraId="6FFE5633" w14:textId="77777777" w:rsidR="00A10B25" w:rsidRDefault="00A10B25">
            <w:pPr>
              <w:pStyle w:val="TAH"/>
            </w:pPr>
            <w:r>
              <w:t>P</w:t>
            </w:r>
          </w:p>
        </w:tc>
        <w:tc>
          <w:tcPr>
            <w:tcW w:w="581" w:type="pct"/>
            <w:tcBorders>
              <w:bottom w:val="single" w:sz="6" w:space="0" w:color="auto"/>
            </w:tcBorders>
            <w:shd w:val="clear" w:color="auto" w:fill="C0C0C0"/>
          </w:tcPr>
          <w:p w14:paraId="0B3DE475"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60720EC7" w14:textId="77777777" w:rsidR="00A10B25" w:rsidRDefault="00A10B25">
            <w:pPr>
              <w:pStyle w:val="TAH"/>
            </w:pPr>
            <w:r>
              <w:t>Description</w:t>
            </w:r>
          </w:p>
        </w:tc>
      </w:tr>
      <w:tr w:rsidR="00A10B25" w14:paraId="3EDFCC85" w14:textId="77777777">
        <w:trPr>
          <w:jc w:val="center"/>
        </w:trPr>
        <w:tc>
          <w:tcPr>
            <w:tcW w:w="825" w:type="pct"/>
            <w:tcBorders>
              <w:top w:val="single" w:sz="6" w:space="0" w:color="auto"/>
            </w:tcBorders>
          </w:tcPr>
          <w:p w14:paraId="340DC9B3" w14:textId="77777777" w:rsidR="00A10B25" w:rsidRDefault="00A10B25">
            <w:pPr>
              <w:pStyle w:val="TAL"/>
            </w:pPr>
            <w:r>
              <w:t>Location</w:t>
            </w:r>
          </w:p>
        </w:tc>
        <w:tc>
          <w:tcPr>
            <w:tcW w:w="732" w:type="pct"/>
            <w:tcBorders>
              <w:top w:val="single" w:sz="6" w:space="0" w:color="auto"/>
            </w:tcBorders>
          </w:tcPr>
          <w:p w14:paraId="0FFFA043" w14:textId="77777777" w:rsidR="00A10B25" w:rsidRDefault="00A10B25">
            <w:pPr>
              <w:pStyle w:val="TAL"/>
            </w:pPr>
            <w:r>
              <w:t>string</w:t>
            </w:r>
          </w:p>
        </w:tc>
        <w:tc>
          <w:tcPr>
            <w:tcW w:w="217" w:type="pct"/>
            <w:tcBorders>
              <w:top w:val="single" w:sz="6" w:space="0" w:color="auto"/>
            </w:tcBorders>
          </w:tcPr>
          <w:p w14:paraId="5CB3E1B6" w14:textId="77777777" w:rsidR="00A10B25" w:rsidRDefault="00A10B25">
            <w:pPr>
              <w:pStyle w:val="TAC"/>
            </w:pPr>
            <w:r>
              <w:t>M</w:t>
            </w:r>
          </w:p>
        </w:tc>
        <w:tc>
          <w:tcPr>
            <w:tcW w:w="581" w:type="pct"/>
            <w:tcBorders>
              <w:top w:val="single" w:sz="6" w:space="0" w:color="auto"/>
            </w:tcBorders>
          </w:tcPr>
          <w:p w14:paraId="7BE6E5DF" w14:textId="77777777" w:rsidR="00A10B25" w:rsidRDefault="00A10B25">
            <w:pPr>
              <w:pStyle w:val="TAL"/>
            </w:pPr>
            <w:r>
              <w:t>1</w:t>
            </w:r>
          </w:p>
        </w:tc>
        <w:tc>
          <w:tcPr>
            <w:tcW w:w="2645" w:type="pct"/>
            <w:tcBorders>
              <w:top w:val="single" w:sz="6" w:space="0" w:color="auto"/>
            </w:tcBorders>
            <w:vAlign w:val="center"/>
          </w:tcPr>
          <w:p w14:paraId="640D8549"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75BF234C" w14:textId="77777777" w:rsidR="00A10B25" w:rsidRDefault="00A10B25">
            <w:pPr>
              <w:pStyle w:val="TAL"/>
            </w:pPr>
          </w:p>
          <w:p w14:paraId="40BA1C63" w14:textId="77777777" w:rsidR="00A10B25" w:rsidRDefault="00A10B25">
            <w:pPr>
              <w:pStyle w:val="TAL"/>
            </w:pPr>
            <w:r>
              <w:t>For the case where the request is redirected to the same target via a different SCP, refer to clause 6.10.9.1 of 3GPP TS 29.500 [6].</w:t>
            </w:r>
          </w:p>
        </w:tc>
      </w:tr>
      <w:tr w:rsidR="00A10B25" w14:paraId="77C3C000" w14:textId="77777777">
        <w:trPr>
          <w:jc w:val="center"/>
        </w:trPr>
        <w:tc>
          <w:tcPr>
            <w:tcW w:w="825" w:type="pct"/>
          </w:tcPr>
          <w:p w14:paraId="2AB5D9E4" w14:textId="77777777" w:rsidR="00A10B25" w:rsidRDefault="00A10B25">
            <w:pPr>
              <w:pStyle w:val="TAL"/>
            </w:pPr>
            <w:r>
              <w:rPr>
                <w:lang w:eastAsia="zh-CN"/>
              </w:rPr>
              <w:t>3gpp-Sbi-Target-Nf-Id</w:t>
            </w:r>
          </w:p>
        </w:tc>
        <w:tc>
          <w:tcPr>
            <w:tcW w:w="732" w:type="pct"/>
          </w:tcPr>
          <w:p w14:paraId="1D74D5EC" w14:textId="77777777" w:rsidR="00A10B25" w:rsidRDefault="00A10B25">
            <w:pPr>
              <w:pStyle w:val="TAL"/>
            </w:pPr>
            <w:r>
              <w:rPr>
                <w:lang w:eastAsia="fr-FR"/>
              </w:rPr>
              <w:t>string</w:t>
            </w:r>
          </w:p>
        </w:tc>
        <w:tc>
          <w:tcPr>
            <w:tcW w:w="217" w:type="pct"/>
          </w:tcPr>
          <w:p w14:paraId="263F8D43" w14:textId="77777777" w:rsidR="00A10B25" w:rsidRDefault="00A10B25">
            <w:pPr>
              <w:pStyle w:val="TAC"/>
            </w:pPr>
            <w:r>
              <w:rPr>
                <w:lang w:eastAsia="fr-FR"/>
              </w:rPr>
              <w:t>O</w:t>
            </w:r>
          </w:p>
        </w:tc>
        <w:tc>
          <w:tcPr>
            <w:tcW w:w="581" w:type="pct"/>
          </w:tcPr>
          <w:p w14:paraId="6F1B049A" w14:textId="77777777" w:rsidR="00A10B25" w:rsidRDefault="00A10B25">
            <w:pPr>
              <w:pStyle w:val="TAL"/>
            </w:pPr>
            <w:r>
              <w:rPr>
                <w:lang w:eastAsia="fr-FR"/>
              </w:rPr>
              <w:t>0..1</w:t>
            </w:r>
          </w:p>
        </w:tc>
        <w:tc>
          <w:tcPr>
            <w:tcW w:w="2645" w:type="pct"/>
            <w:vAlign w:val="center"/>
          </w:tcPr>
          <w:p w14:paraId="7A8C69CC" w14:textId="77777777" w:rsidR="00A10B25" w:rsidRDefault="00A10B25">
            <w:pPr>
              <w:pStyle w:val="TAL"/>
            </w:pPr>
            <w:r>
              <w:rPr>
                <w:lang w:eastAsia="fr-FR"/>
              </w:rPr>
              <w:t>Identifier of the target NWDAF (service) instance towards which the request is redirected.</w:t>
            </w:r>
          </w:p>
        </w:tc>
      </w:tr>
    </w:tbl>
    <w:p w14:paraId="2BA9BACF" w14:textId="77777777" w:rsidR="00A10B25" w:rsidRDefault="00A10B25">
      <w:pPr>
        <w:rPr>
          <w:rFonts w:eastAsia="MS Mincho"/>
          <w:lang w:eastAsia="ja-JP"/>
        </w:rPr>
      </w:pPr>
    </w:p>
    <w:p w14:paraId="297065F3" w14:textId="77777777" w:rsidR="00A10B25" w:rsidRDefault="00A10B25">
      <w:pPr>
        <w:pStyle w:val="5"/>
      </w:pPr>
      <w:bookmarkStart w:id="13392" w:name="_Toc138754461"/>
      <w:bookmarkStart w:id="13393" w:name="_Toc148522870"/>
      <w:bookmarkStart w:id="13394" w:name="_Toc145705956"/>
      <w:bookmarkStart w:id="13395" w:name="_Toc136562627"/>
      <w:bookmarkStart w:id="13396" w:name="_Toc164921058"/>
      <w:bookmarkStart w:id="13397" w:name="_Toc170120600"/>
      <w:bookmarkStart w:id="13398" w:name="_Toc175858845"/>
      <w:bookmarkStart w:id="13399" w:name="_Toc175859918"/>
      <w:bookmarkStart w:id="13400" w:name="_Toc180606208"/>
      <w:bookmarkStart w:id="13401" w:name="_Toc185517469"/>
      <w:bookmarkStart w:id="13402" w:name="_Toc191576521"/>
      <w:bookmarkStart w:id="13403" w:name="_Toc191577261"/>
      <w:bookmarkStart w:id="13404" w:name="_Toc192880331"/>
      <w:bookmarkStart w:id="13405" w:name="_Toc195815220"/>
      <w:bookmarkStart w:id="13406" w:name="_Toc199453187"/>
      <w:r>
        <w:t>5.4.3.3.4</w:t>
      </w:r>
      <w:r>
        <w:tab/>
        <w:t>Resource Custom Operations</w:t>
      </w:r>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p>
    <w:p w14:paraId="5803F172" w14:textId="77777777" w:rsidR="00A10B25" w:rsidRDefault="00A10B25">
      <w:pPr>
        <w:rPr>
          <w:lang w:val="en-US" w:eastAsia="zh-CN"/>
        </w:rPr>
      </w:pPr>
      <w:r>
        <w:t>None in this release of the specification.</w:t>
      </w:r>
    </w:p>
    <w:p w14:paraId="2A5277E9" w14:textId="77777777" w:rsidR="00A10B25" w:rsidRDefault="00A10B25">
      <w:pPr>
        <w:pStyle w:val="3"/>
      </w:pPr>
      <w:bookmarkStart w:id="13407" w:name="_Toc101244621"/>
      <w:bookmarkStart w:id="13408" w:name="_Toc85557238"/>
      <w:bookmarkStart w:id="13409" w:name="_Toc120702529"/>
      <w:bookmarkStart w:id="13410" w:name="_Toc70550744"/>
      <w:bookmarkStart w:id="13411" w:name="_Toc136562628"/>
      <w:bookmarkStart w:id="13412" w:name="_Toc94064438"/>
      <w:bookmarkStart w:id="13413" w:name="_Toc88667748"/>
      <w:bookmarkStart w:id="13414" w:name="_Toc138754462"/>
      <w:bookmarkStart w:id="13415" w:name="_Toc148522871"/>
      <w:bookmarkStart w:id="13416" w:name="_Toc113031889"/>
      <w:bookmarkStart w:id="13417" w:name="_Toc85553139"/>
      <w:bookmarkStart w:id="13418" w:name="_Toc114134028"/>
      <w:bookmarkStart w:id="13419" w:name="_Toc145705957"/>
      <w:bookmarkStart w:id="13420" w:name="_Toc83233210"/>
      <w:bookmarkStart w:id="13421" w:name="_Toc104539226"/>
      <w:bookmarkStart w:id="13422" w:name="_Toc98233840"/>
      <w:bookmarkStart w:id="13423" w:name="_Toc90656033"/>
      <w:bookmarkStart w:id="13424" w:name="_Toc112951349"/>
      <w:bookmarkStart w:id="13425" w:name="_Toc164921059"/>
      <w:bookmarkStart w:id="13426" w:name="_Toc170120601"/>
      <w:bookmarkStart w:id="13427" w:name="_Toc175858846"/>
      <w:bookmarkStart w:id="13428" w:name="_Toc175859919"/>
      <w:bookmarkStart w:id="13429" w:name="_Toc180606209"/>
      <w:bookmarkStart w:id="13430" w:name="_Toc185517470"/>
      <w:bookmarkStart w:id="13431" w:name="_Toc191576522"/>
      <w:bookmarkStart w:id="13432" w:name="_Toc191577262"/>
      <w:bookmarkStart w:id="13433" w:name="_Toc192880332"/>
      <w:bookmarkStart w:id="13434" w:name="_Toc195815221"/>
      <w:bookmarkStart w:id="13435" w:name="_Toc199453188"/>
      <w:r>
        <w:rPr>
          <w:lang w:val="en-US"/>
        </w:rPr>
        <w:t>5.4.4</w:t>
      </w:r>
      <w:r>
        <w:rPr>
          <w:lang w:val="en-US"/>
        </w:rPr>
        <w:tab/>
        <w:t>Custom Operations without associated resources</w:t>
      </w:r>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p>
    <w:p w14:paraId="38CEE2C9" w14:textId="77777777" w:rsidR="00A10B25" w:rsidRDefault="00A10B25">
      <w:pPr>
        <w:rPr>
          <w:rFonts w:eastAsia="Batang"/>
        </w:rPr>
      </w:pPr>
      <w:r>
        <w:rPr>
          <w:rFonts w:eastAsia="Batang"/>
        </w:rPr>
        <w:t>None in this release of the specification.</w:t>
      </w:r>
    </w:p>
    <w:p w14:paraId="73DF1B3F" w14:textId="77777777" w:rsidR="00A10B25" w:rsidRDefault="00A10B25">
      <w:pPr>
        <w:rPr>
          <w:lang w:val="en-US" w:eastAsia="zh-CN"/>
        </w:rPr>
      </w:pPr>
    </w:p>
    <w:p w14:paraId="5125451C" w14:textId="77777777" w:rsidR="00A10B25" w:rsidRDefault="00A10B25">
      <w:pPr>
        <w:pStyle w:val="3"/>
        <w:rPr>
          <w:lang w:val="en-US"/>
        </w:rPr>
      </w:pPr>
      <w:bookmarkStart w:id="13436" w:name="_Toc104539227"/>
      <w:bookmarkStart w:id="13437" w:name="_Toc112951350"/>
      <w:bookmarkStart w:id="13438" w:name="_Toc145705958"/>
      <w:bookmarkStart w:id="13439" w:name="_Toc148522872"/>
      <w:bookmarkStart w:id="13440" w:name="_Toc114134029"/>
      <w:bookmarkStart w:id="13441" w:name="_Toc88667749"/>
      <w:bookmarkStart w:id="13442" w:name="_Toc94064439"/>
      <w:bookmarkStart w:id="13443" w:name="_Toc120702530"/>
      <w:bookmarkStart w:id="13444" w:name="_Toc70550745"/>
      <w:bookmarkStart w:id="13445" w:name="_Toc136562629"/>
      <w:bookmarkStart w:id="13446" w:name="_Toc90656034"/>
      <w:bookmarkStart w:id="13447" w:name="_Toc85553140"/>
      <w:bookmarkStart w:id="13448" w:name="_Toc138754463"/>
      <w:bookmarkStart w:id="13449" w:name="_Toc101244622"/>
      <w:bookmarkStart w:id="13450" w:name="_Toc113031890"/>
      <w:bookmarkStart w:id="13451" w:name="_Toc85557239"/>
      <w:bookmarkStart w:id="13452" w:name="_Toc83233211"/>
      <w:bookmarkStart w:id="13453" w:name="_Toc98233841"/>
      <w:bookmarkStart w:id="13454" w:name="_Toc164921060"/>
      <w:bookmarkStart w:id="13455" w:name="_Toc170120602"/>
      <w:bookmarkStart w:id="13456" w:name="_Toc175858847"/>
      <w:bookmarkStart w:id="13457" w:name="_Toc175859920"/>
      <w:bookmarkStart w:id="13458" w:name="_Toc180606210"/>
      <w:bookmarkStart w:id="13459" w:name="_Toc185517471"/>
      <w:bookmarkStart w:id="13460" w:name="_Toc191576523"/>
      <w:bookmarkStart w:id="13461" w:name="_Toc191577263"/>
      <w:bookmarkStart w:id="13462" w:name="_Toc192880333"/>
      <w:bookmarkStart w:id="13463" w:name="_Toc195815222"/>
      <w:bookmarkStart w:id="13464" w:name="_Toc199453189"/>
      <w:r>
        <w:rPr>
          <w:lang w:val="en-US"/>
        </w:rPr>
        <w:t>5.4.5</w:t>
      </w:r>
      <w:r>
        <w:rPr>
          <w:lang w:val="en-US"/>
        </w:rPr>
        <w:tab/>
        <w:t>Notifications</w:t>
      </w:r>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1DD91B84" w14:textId="77777777" w:rsidR="00A10B25" w:rsidRDefault="00A10B25">
      <w:pPr>
        <w:pStyle w:val="4"/>
      </w:pPr>
      <w:bookmarkStart w:id="13465" w:name="_Toc101244623"/>
      <w:bookmarkStart w:id="13466" w:name="_Toc88667750"/>
      <w:bookmarkStart w:id="13467" w:name="_Toc94064440"/>
      <w:bookmarkStart w:id="13468" w:name="_Toc136562630"/>
      <w:bookmarkStart w:id="13469" w:name="_Toc112951351"/>
      <w:bookmarkStart w:id="13470" w:name="_Toc138754464"/>
      <w:bookmarkStart w:id="13471" w:name="_Toc145705959"/>
      <w:bookmarkStart w:id="13472" w:name="_Toc113031891"/>
      <w:bookmarkStart w:id="13473" w:name="_Toc120702531"/>
      <w:bookmarkStart w:id="13474" w:name="_Toc85557240"/>
      <w:bookmarkStart w:id="13475" w:name="_Toc114134030"/>
      <w:bookmarkStart w:id="13476" w:name="_Toc83233212"/>
      <w:bookmarkStart w:id="13477" w:name="_Toc104539228"/>
      <w:bookmarkStart w:id="13478" w:name="_Toc98233842"/>
      <w:bookmarkStart w:id="13479" w:name="_Toc85553141"/>
      <w:bookmarkStart w:id="13480" w:name="_Toc148522873"/>
      <w:bookmarkStart w:id="13481" w:name="_Toc90656035"/>
      <w:bookmarkStart w:id="13482" w:name="_Toc164921061"/>
      <w:bookmarkStart w:id="13483" w:name="_Toc170120603"/>
      <w:bookmarkStart w:id="13484" w:name="_Toc175858848"/>
      <w:bookmarkStart w:id="13485" w:name="_Toc175859921"/>
      <w:bookmarkStart w:id="13486" w:name="_Toc180606211"/>
      <w:bookmarkStart w:id="13487" w:name="_Toc185517472"/>
      <w:bookmarkStart w:id="13488" w:name="_Toc191576524"/>
      <w:bookmarkStart w:id="13489" w:name="_Toc191577264"/>
      <w:bookmarkStart w:id="13490" w:name="_Toc192880334"/>
      <w:bookmarkStart w:id="13491" w:name="_Toc195815223"/>
      <w:bookmarkStart w:id="13492" w:name="_Toc199453190"/>
      <w:r>
        <w:t>5.4.5.1</w:t>
      </w:r>
      <w:r>
        <w:tab/>
        <w:t>General</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p>
    <w:p w14:paraId="2D01505A" w14:textId="77777777" w:rsidR="00A10B25" w:rsidRDefault="00A10B25">
      <w:r>
        <w:t>Notifications shall comply with clause 6.2 of 3GPP TS 29.500 [6] and clause 4.6.2.3 of 3GPP TS 29.501 [7].</w:t>
      </w:r>
    </w:p>
    <w:p w14:paraId="2674456B" w14:textId="77777777" w:rsidR="00A10B25" w:rsidRDefault="00A10B25">
      <w:pPr>
        <w:pStyle w:val="TH"/>
      </w:pPr>
      <w:r>
        <w:t>Table 5.4.3.4.1-1: Notifications overview</w:t>
      </w:r>
    </w:p>
    <w:tbl>
      <w:tblPr>
        <w:tblW w:w="4999"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21"/>
        <w:gridCol w:w="2421"/>
        <w:gridCol w:w="1282"/>
        <w:gridCol w:w="3499"/>
      </w:tblGrid>
      <w:tr w:rsidR="00A10B25" w14:paraId="6BF9F930" w14:textId="77777777">
        <w:trPr>
          <w:jc w:val="center"/>
        </w:trPr>
        <w:tc>
          <w:tcPr>
            <w:tcW w:w="1258" w:type="pct"/>
            <w:shd w:val="clear" w:color="auto" w:fill="C0C0C0"/>
          </w:tcPr>
          <w:p w14:paraId="5597E09A" w14:textId="77777777" w:rsidR="00A10B25" w:rsidRDefault="00A10B25">
            <w:pPr>
              <w:pStyle w:val="TAH"/>
            </w:pPr>
            <w:r>
              <w:t>Notification</w:t>
            </w:r>
          </w:p>
        </w:tc>
        <w:tc>
          <w:tcPr>
            <w:tcW w:w="1258" w:type="pct"/>
            <w:shd w:val="clear" w:color="auto" w:fill="C0C0C0"/>
            <w:vAlign w:val="center"/>
          </w:tcPr>
          <w:p w14:paraId="3E905FC4" w14:textId="77777777" w:rsidR="00A10B25" w:rsidRDefault="00A10B25">
            <w:pPr>
              <w:pStyle w:val="TAH"/>
            </w:pPr>
            <w:r>
              <w:t>Callback URI</w:t>
            </w:r>
          </w:p>
        </w:tc>
        <w:tc>
          <w:tcPr>
            <w:tcW w:w="666" w:type="pct"/>
            <w:shd w:val="clear" w:color="auto" w:fill="C0C0C0"/>
            <w:vAlign w:val="center"/>
          </w:tcPr>
          <w:p w14:paraId="43B6CAA7" w14:textId="77777777" w:rsidR="00A10B25" w:rsidRDefault="00A10B25">
            <w:pPr>
              <w:pStyle w:val="TAH"/>
            </w:pPr>
            <w:r>
              <w:t>HTTP method or custom operation</w:t>
            </w:r>
          </w:p>
        </w:tc>
        <w:tc>
          <w:tcPr>
            <w:tcW w:w="1818" w:type="pct"/>
            <w:shd w:val="clear" w:color="auto" w:fill="C0C0C0"/>
            <w:vAlign w:val="center"/>
          </w:tcPr>
          <w:p w14:paraId="56894A73" w14:textId="77777777" w:rsidR="00A10B25" w:rsidRDefault="00A10B25">
            <w:pPr>
              <w:pStyle w:val="TAH"/>
            </w:pPr>
            <w:r>
              <w:t>Description (service operation)</w:t>
            </w:r>
          </w:p>
        </w:tc>
      </w:tr>
      <w:tr w:rsidR="00A10B25" w14:paraId="32F87169" w14:textId="77777777">
        <w:trPr>
          <w:jc w:val="center"/>
        </w:trPr>
        <w:tc>
          <w:tcPr>
            <w:tcW w:w="1258" w:type="pct"/>
          </w:tcPr>
          <w:p w14:paraId="6FD9975A" w14:textId="77777777" w:rsidR="00A10B25" w:rsidRDefault="00A10B25">
            <w:pPr>
              <w:pStyle w:val="TAL"/>
              <w:rPr>
                <w:lang w:val="en-US" w:eastAsia="zh-CN"/>
              </w:rPr>
            </w:pPr>
            <w:r>
              <w:rPr>
                <w:rFonts w:cs="Arial"/>
                <w:szCs w:val="18"/>
                <w:lang w:val="en-US"/>
              </w:rPr>
              <w:t>Event Notification</w:t>
            </w:r>
          </w:p>
        </w:tc>
        <w:tc>
          <w:tcPr>
            <w:tcW w:w="1258" w:type="pct"/>
          </w:tcPr>
          <w:p w14:paraId="09904DB6" w14:textId="77777777" w:rsidR="00A10B25" w:rsidRDefault="00A10B25">
            <w:pPr>
              <w:pStyle w:val="TAL"/>
            </w:pPr>
            <w:r>
              <w:rPr>
                <w:lang w:val="en-US" w:eastAsia="zh-CN"/>
              </w:rPr>
              <w:t>{</w:t>
            </w:r>
            <w:r>
              <w:rPr>
                <w:rFonts w:eastAsia="Batang"/>
              </w:rPr>
              <w:t>notifUri</w:t>
            </w:r>
            <w:r>
              <w:rPr>
                <w:lang w:val="en-US" w:eastAsia="zh-CN"/>
              </w:rPr>
              <w:t>}</w:t>
            </w:r>
          </w:p>
        </w:tc>
        <w:tc>
          <w:tcPr>
            <w:tcW w:w="666" w:type="pct"/>
          </w:tcPr>
          <w:p w14:paraId="0001F5E5" w14:textId="77777777" w:rsidR="00A10B25" w:rsidRDefault="00A10B25">
            <w:pPr>
              <w:pStyle w:val="TAL"/>
            </w:pPr>
            <w:r>
              <w:t>POST</w:t>
            </w:r>
          </w:p>
        </w:tc>
        <w:tc>
          <w:tcPr>
            <w:tcW w:w="1818" w:type="pct"/>
          </w:tcPr>
          <w:p w14:paraId="6642FD33" w14:textId="77777777" w:rsidR="00A10B25" w:rsidRDefault="00A10B25">
            <w:pPr>
              <w:pStyle w:val="TAL"/>
            </w:pPr>
            <w:r>
              <w:t>Report one or several observed Events.</w:t>
            </w:r>
          </w:p>
        </w:tc>
      </w:tr>
    </w:tbl>
    <w:p w14:paraId="00238F5B" w14:textId="77777777" w:rsidR="00A10B25" w:rsidRDefault="00A10B25"/>
    <w:p w14:paraId="6F3F5119" w14:textId="77777777" w:rsidR="00A10B25" w:rsidRDefault="00A10B25">
      <w:pPr>
        <w:pStyle w:val="4"/>
      </w:pPr>
      <w:bookmarkStart w:id="13493" w:name="_Toc120702532"/>
      <w:bookmarkStart w:id="13494" w:name="_Toc83233213"/>
      <w:bookmarkStart w:id="13495" w:name="_Toc98233843"/>
      <w:bookmarkStart w:id="13496" w:name="_Toc136562631"/>
      <w:bookmarkStart w:id="13497" w:name="_Toc138754465"/>
      <w:bookmarkStart w:id="13498" w:name="_Toc94064441"/>
      <w:bookmarkStart w:id="13499" w:name="_Toc85553142"/>
      <w:bookmarkStart w:id="13500" w:name="_Toc145705960"/>
      <w:bookmarkStart w:id="13501" w:name="_Toc104539229"/>
      <w:bookmarkStart w:id="13502" w:name="_Toc85557241"/>
      <w:bookmarkStart w:id="13503" w:name="_Toc112951352"/>
      <w:bookmarkStart w:id="13504" w:name="_Toc114134031"/>
      <w:bookmarkStart w:id="13505" w:name="_Toc90656036"/>
      <w:bookmarkStart w:id="13506" w:name="_Toc148522874"/>
      <w:bookmarkStart w:id="13507" w:name="_Toc101244624"/>
      <w:bookmarkStart w:id="13508" w:name="_Toc113031892"/>
      <w:bookmarkStart w:id="13509" w:name="_Toc88667751"/>
      <w:bookmarkStart w:id="13510" w:name="_Toc164921062"/>
      <w:bookmarkStart w:id="13511" w:name="_Toc170120604"/>
      <w:bookmarkStart w:id="13512" w:name="_Toc175858849"/>
      <w:bookmarkStart w:id="13513" w:name="_Toc175859922"/>
      <w:bookmarkStart w:id="13514" w:name="_Toc180606212"/>
      <w:bookmarkStart w:id="13515" w:name="_Toc185517473"/>
      <w:bookmarkStart w:id="13516" w:name="_Toc191576525"/>
      <w:bookmarkStart w:id="13517" w:name="_Toc191577265"/>
      <w:bookmarkStart w:id="13518" w:name="_Toc192880335"/>
      <w:bookmarkStart w:id="13519" w:name="_Toc195815224"/>
      <w:bookmarkStart w:id="13520" w:name="_Toc199453191"/>
      <w:r>
        <w:t>5.4.5.2</w:t>
      </w:r>
      <w:r>
        <w:tab/>
        <w:t>Event Notification</w:t>
      </w:r>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6B173161" w14:textId="77777777" w:rsidR="00A10B25" w:rsidRDefault="00A10B25">
      <w:pPr>
        <w:pStyle w:val="5"/>
      </w:pPr>
      <w:bookmarkStart w:id="13521" w:name="_Toc85553143"/>
      <w:bookmarkStart w:id="13522" w:name="_Toc136562632"/>
      <w:bookmarkStart w:id="13523" w:name="_Toc120702533"/>
      <w:bookmarkStart w:id="13524" w:name="_Toc85557242"/>
      <w:bookmarkStart w:id="13525" w:name="_Toc88667752"/>
      <w:bookmarkStart w:id="13526" w:name="_Toc112951353"/>
      <w:bookmarkStart w:id="13527" w:name="_Toc113031893"/>
      <w:bookmarkStart w:id="13528" w:name="_Toc83233214"/>
      <w:bookmarkStart w:id="13529" w:name="_Toc138754466"/>
      <w:bookmarkStart w:id="13530" w:name="_Toc114134032"/>
      <w:bookmarkStart w:id="13531" w:name="_Toc94064442"/>
      <w:bookmarkStart w:id="13532" w:name="_Toc145705961"/>
      <w:bookmarkStart w:id="13533" w:name="_Toc148522875"/>
      <w:bookmarkStart w:id="13534" w:name="_Toc104539230"/>
      <w:bookmarkStart w:id="13535" w:name="_Toc98233844"/>
      <w:bookmarkStart w:id="13536" w:name="_Toc90656037"/>
      <w:bookmarkStart w:id="13537" w:name="_Toc101244625"/>
      <w:bookmarkStart w:id="13538" w:name="_Toc164921063"/>
      <w:bookmarkStart w:id="13539" w:name="_Toc170120605"/>
      <w:bookmarkStart w:id="13540" w:name="_Toc175858850"/>
      <w:bookmarkStart w:id="13541" w:name="_Toc175859923"/>
      <w:bookmarkStart w:id="13542" w:name="_Toc180606213"/>
      <w:bookmarkStart w:id="13543" w:name="_Toc185517474"/>
      <w:bookmarkStart w:id="13544" w:name="_Toc191576526"/>
      <w:bookmarkStart w:id="13545" w:name="_Toc191577266"/>
      <w:bookmarkStart w:id="13546" w:name="_Toc192880336"/>
      <w:bookmarkStart w:id="13547" w:name="_Toc195815225"/>
      <w:bookmarkStart w:id="13548" w:name="_Toc199453192"/>
      <w:r>
        <w:t>5.4.5.2.1</w:t>
      </w:r>
      <w:r>
        <w:tab/>
        <w:t>Description</w:t>
      </w:r>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p>
    <w:p w14:paraId="73CE43DB" w14:textId="77777777" w:rsidR="00A10B25" w:rsidRDefault="00A10B25">
      <w:r>
        <w:t>The Event Notification is used by the NWDAF to report one or several observed Events to a NF service consumer that has subscribed to such Notifications via the Individual NWDAF ML Model Provision Subscription Resource.</w:t>
      </w:r>
    </w:p>
    <w:p w14:paraId="4B0E1EDF" w14:textId="77777777" w:rsidR="00A10B25" w:rsidRDefault="00A10B25">
      <w:pPr>
        <w:pStyle w:val="5"/>
      </w:pPr>
      <w:bookmarkStart w:id="13549" w:name="_Toc120702534"/>
      <w:bookmarkStart w:id="13550" w:name="_Toc83233215"/>
      <w:bookmarkStart w:id="13551" w:name="_Toc104539231"/>
      <w:bookmarkStart w:id="13552" w:name="_Toc85557243"/>
      <w:bookmarkStart w:id="13553" w:name="_Toc94064443"/>
      <w:bookmarkStart w:id="13554" w:name="_Toc98233845"/>
      <w:bookmarkStart w:id="13555" w:name="_Toc90656038"/>
      <w:bookmarkStart w:id="13556" w:name="_Toc136562633"/>
      <w:bookmarkStart w:id="13557" w:name="_Toc113031894"/>
      <w:bookmarkStart w:id="13558" w:name="_Toc101244626"/>
      <w:bookmarkStart w:id="13559" w:name="_Toc112951354"/>
      <w:bookmarkStart w:id="13560" w:name="_Toc138754467"/>
      <w:bookmarkStart w:id="13561" w:name="_Toc145705962"/>
      <w:bookmarkStart w:id="13562" w:name="_Toc88667753"/>
      <w:bookmarkStart w:id="13563" w:name="_Toc85553144"/>
      <w:bookmarkStart w:id="13564" w:name="_Toc148522876"/>
      <w:bookmarkStart w:id="13565" w:name="_Toc114134033"/>
      <w:bookmarkStart w:id="13566" w:name="_Toc164921064"/>
      <w:bookmarkStart w:id="13567" w:name="_Toc170120606"/>
      <w:bookmarkStart w:id="13568" w:name="_Toc175858851"/>
      <w:bookmarkStart w:id="13569" w:name="_Toc175859924"/>
      <w:bookmarkStart w:id="13570" w:name="_Toc180606214"/>
      <w:bookmarkStart w:id="13571" w:name="_Toc185517475"/>
      <w:bookmarkStart w:id="13572" w:name="_Toc191576527"/>
      <w:bookmarkStart w:id="13573" w:name="_Toc191577267"/>
      <w:bookmarkStart w:id="13574" w:name="_Toc192880337"/>
      <w:bookmarkStart w:id="13575" w:name="_Toc195815226"/>
      <w:bookmarkStart w:id="13576" w:name="_Toc199453193"/>
      <w:r>
        <w:lastRenderedPageBreak/>
        <w:t>5.4.5.2.2</w:t>
      </w:r>
      <w:r>
        <w:tab/>
        <w:t>Operation Definition</w:t>
      </w:r>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p>
    <w:p w14:paraId="77C323A8" w14:textId="77777777" w:rsidR="00A10B25" w:rsidRDefault="00A10B25">
      <w:pPr>
        <w:rPr>
          <w:rFonts w:eastAsia="Batang"/>
        </w:rPr>
      </w:pPr>
      <w:r>
        <w:rPr>
          <w:rFonts w:eastAsia="Batang"/>
        </w:rPr>
        <w:t>Callback URI:</w:t>
      </w:r>
      <w:r>
        <w:rPr>
          <w:rFonts w:ascii="Arial" w:eastAsia="Batang" w:hAnsi="Arial"/>
          <w:b/>
          <w:sz w:val="18"/>
        </w:rPr>
        <w:t xml:space="preserve"> {notifUri}</w:t>
      </w:r>
    </w:p>
    <w:p w14:paraId="143BCB49"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5.4.5.2.2-1</w:t>
      </w:r>
      <w:r>
        <w:rPr>
          <w:rFonts w:ascii="Arial" w:eastAsia="Batang" w:hAnsi="Arial" w:cs="Arial"/>
        </w:rPr>
        <w:t xml:space="preserve">, </w:t>
      </w:r>
      <w:r>
        <w:rPr>
          <w:rFonts w:eastAsia="Batang"/>
        </w:rPr>
        <w:t>the request data structures specified in table 5.4.5.2.2-2 and the response data structure and response codes specified in table 5.4.5.2.2-3.</w:t>
      </w:r>
    </w:p>
    <w:p w14:paraId="54F26EAF" w14:textId="77777777" w:rsidR="00A10B25" w:rsidRDefault="00A10B25">
      <w:pPr>
        <w:pStyle w:val="TH"/>
        <w:rPr>
          <w:rFonts w:cs="Arial"/>
        </w:rPr>
      </w:pPr>
      <w:r>
        <w:t>Table 5.4.5.2.2-1: Callback URI variables</w:t>
      </w:r>
    </w:p>
    <w:tbl>
      <w:tblPr>
        <w:tblW w:w="4928"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5171D751" w14:textId="77777777">
        <w:trPr>
          <w:jc w:val="center"/>
        </w:trPr>
        <w:tc>
          <w:tcPr>
            <w:tcW w:w="765" w:type="pct"/>
            <w:shd w:val="clear" w:color="000000" w:fill="C0C0C0"/>
          </w:tcPr>
          <w:p w14:paraId="738D0E22" w14:textId="77777777" w:rsidR="00A10B25" w:rsidRDefault="00A10B25">
            <w:pPr>
              <w:pStyle w:val="TAH"/>
            </w:pPr>
            <w:r>
              <w:t>Name</w:t>
            </w:r>
          </w:p>
        </w:tc>
        <w:tc>
          <w:tcPr>
            <w:tcW w:w="647" w:type="pct"/>
            <w:shd w:val="clear" w:color="000000" w:fill="C0C0C0"/>
          </w:tcPr>
          <w:p w14:paraId="05641109" w14:textId="77777777" w:rsidR="00A10B25" w:rsidRDefault="00A10B25">
            <w:pPr>
              <w:pStyle w:val="TAH"/>
            </w:pPr>
            <w:r>
              <w:t>Data type</w:t>
            </w:r>
          </w:p>
        </w:tc>
        <w:tc>
          <w:tcPr>
            <w:tcW w:w="3588" w:type="pct"/>
            <w:shd w:val="clear" w:color="000000" w:fill="C0C0C0"/>
            <w:vAlign w:val="center"/>
          </w:tcPr>
          <w:p w14:paraId="6AEE4249" w14:textId="77777777" w:rsidR="00A10B25" w:rsidRDefault="00A10B25">
            <w:pPr>
              <w:pStyle w:val="TAH"/>
            </w:pPr>
            <w:r>
              <w:t>Definition</w:t>
            </w:r>
          </w:p>
        </w:tc>
      </w:tr>
      <w:tr w:rsidR="00A10B25" w14:paraId="4AAB7A2A" w14:textId="77777777">
        <w:trPr>
          <w:jc w:val="center"/>
        </w:trPr>
        <w:tc>
          <w:tcPr>
            <w:tcW w:w="765" w:type="pct"/>
          </w:tcPr>
          <w:p w14:paraId="175E0E61" w14:textId="77777777" w:rsidR="00A10B25" w:rsidRDefault="00A10B25">
            <w:pPr>
              <w:pStyle w:val="TAL"/>
            </w:pPr>
            <w:r>
              <w:t>notifUri</w:t>
            </w:r>
          </w:p>
        </w:tc>
        <w:tc>
          <w:tcPr>
            <w:tcW w:w="647" w:type="pct"/>
          </w:tcPr>
          <w:p w14:paraId="0E5A4B73" w14:textId="77777777" w:rsidR="00A10B25" w:rsidRDefault="00A10B25">
            <w:pPr>
              <w:pStyle w:val="TAL"/>
            </w:pPr>
            <w:r>
              <w:t>Uri</w:t>
            </w:r>
          </w:p>
        </w:tc>
        <w:tc>
          <w:tcPr>
            <w:tcW w:w="3588" w:type="pct"/>
            <w:vAlign w:val="center"/>
          </w:tcPr>
          <w:p w14:paraId="390D34B3" w14:textId="77777777" w:rsidR="00A10B25" w:rsidRDefault="00A10B25">
            <w:pPr>
              <w:pStyle w:val="TAL"/>
            </w:pPr>
            <w:r>
              <w:t xml:space="preserve">The Notification Uri as assigned within the Individual NWDAF ML Model Provision Subscription and described within the </w:t>
            </w:r>
            <w:r>
              <w:rPr>
                <w:rFonts w:eastAsia="等线"/>
              </w:rPr>
              <w:t>NwdafMLModelProvSubsc</w:t>
            </w:r>
            <w:r>
              <w:rPr>
                <w:lang w:val="en-US" w:eastAsia="zh-CN"/>
              </w:rPr>
              <w:t xml:space="preserve"> type (see t</w:t>
            </w:r>
            <w:r>
              <w:t>able 5.4.6.2.2-1).</w:t>
            </w:r>
          </w:p>
        </w:tc>
      </w:tr>
    </w:tbl>
    <w:p w14:paraId="2F7A6D82" w14:textId="77777777" w:rsidR="00A10B25" w:rsidRDefault="00A10B25"/>
    <w:p w14:paraId="06C7DC50" w14:textId="77777777" w:rsidR="00A10B25" w:rsidRDefault="00A10B25">
      <w:pPr>
        <w:pStyle w:val="TH"/>
      </w:pPr>
      <w:r>
        <w:t>Table 5.4.5.2.2-2: Data structures supported by the POST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1129E5EB" w14:textId="77777777">
        <w:trPr>
          <w:jc w:val="center"/>
        </w:trPr>
        <w:tc>
          <w:tcPr>
            <w:tcW w:w="2989" w:type="dxa"/>
            <w:tcBorders>
              <w:bottom w:val="single" w:sz="6" w:space="0" w:color="auto"/>
            </w:tcBorders>
            <w:shd w:val="clear" w:color="auto" w:fill="C0C0C0"/>
          </w:tcPr>
          <w:p w14:paraId="3C5B9280" w14:textId="77777777" w:rsidR="00A10B25" w:rsidRDefault="00A10B25">
            <w:pPr>
              <w:pStyle w:val="TAH"/>
            </w:pPr>
            <w:r>
              <w:t>Data type</w:t>
            </w:r>
          </w:p>
        </w:tc>
        <w:tc>
          <w:tcPr>
            <w:tcW w:w="360" w:type="dxa"/>
            <w:tcBorders>
              <w:bottom w:val="single" w:sz="6" w:space="0" w:color="auto"/>
            </w:tcBorders>
            <w:shd w:val="clear" w:color="auto" w:fill="C0C0C0"/>
          </w:tcPr>
          <w:p w14:paraId="200FFD23" w14:textId="77777777" w:rsidR="00A10B25" w:rsidRDefault="00A10B25">
            <w:pPr>
              <w:pStyle w:val="TAH"/>
            </w:pPr>
            <w:r>
              <w:t>P</w:t>
            </w:r>
          </w:p>
        </w:tc>
        <w:tc>
          <w:tcPr>
            <w:tcW w:w="1350" w:type="dxa"/>
            <w:tcBorders>
              <w:bottom w:val="single" w:sz="6" w:space="0" w:color="auto"/>
            </w:tcBorders>
            <w:shd w:val="clear" w:color="auto" w:fill="C0C0C0"/>
          </w:tcPr>
          <w:p w14:paraId="206EE9E1" w14:textId="77777777" w:rsidR="00A10B25" w:rsidRDefault="00A10B25">
            <w:pPr>
              <w:pStyle w:val="TAH"/>
            </w:pPr>
            <w:r>
              <w:t>Cardinality</w:t>
            </w:r>
          </w:p>
        </w:tc>
        <w:tc>
          <w:tcPr>
            <w:tcW w:w="4980" w:type="dxa"/>
            <w:tcBorders>
              <w:bottom w:val="single" w:sz="6" w:space="0" w:color="auto"/>
            </w:tcBorders>
            <w:shd w:val="clear" w:color="auto" w:fill="C0C0C0"/>
            <w:vAlign w:val="center"/>
          </w:tcPr>
          <w:p w14:paraId="5A0F1F20" w14:textId="77777777" w:rsidR="00A10B25" w:rsidRDefault="00A10B25">
            <w:pPr>
              <w:pStyle w:val="TAH"/>
            </w:pPr>
            <w:r>
              <w:t>Description</w:t>
            </w:r>
          </w:p>
        </w:tc>
      </w:tr>
      <w:tr w:rsidR="00A10B25" w14:paraId="222CAC5B" w14:textId="77777777">
        <w:trPr>
          <w:jc w:val="center"/>
        </w:trPr>
        <w:tc>
          <w:tcPr>
            <w:tcW w:w="2989" w:type="dxa"/>
            <w:tcBorders>
              <w:top w:val="single" w:sz="6" w:space="0" w:color="auto"/>
            </w:tcBorders>
          </w:tcPr>
          <w:p w14:paraId="0F66334D" w14:textId="77777777" w:rsidR="00A10B25" w:rsidRDefault="00A10B25">
            <w:pPr>
              <w:pStyle w:val="TAL"/>
            </w:pPr>
            <w:r>
              <w:rPr>
                <w:rFonts w:eastAsia="等线"/>
              </w:rPr>
              <w:t>array(NwdafMLModelProvNotif)</w:t>
            </w:r>
          </w:p>
        </w:tc>
        <w:tc>
          <w:tcPr>
            <w:tcW w:w="360" w:type="dxa"/>
            <w:tcBorders>
              <w:top w:val="single" w:sz="6" w:space="0" w:color="auto"/>
            </w:tcBorders>
          </w:tcPr>
          <w:p w14:paraId="5ECADD06" w14:textId="77777777" w:rsidR="00A10B25" w:rsidRDefault="00A10B25">
            <w:pPr>
              <w:pStyle w:val="TAC"/>
            </w:pPr>
            <w:r>
              <w:t>M</w:t>
            </w:r>
          </w:p>
        </w:tc>
        <w:tc>
          <w:tcPr>
            <w:tcW w:w="1350" w:type="dxa"/>
            <w:tcBorders>
              <w:top w:val="single" w:sz="6" w:space="0" w:color="auto"/>
            </w:tcBorders>
          </w:tcPr>
          <w:p w14:paraId="278E1708" w14:textId="77777777" w:rsidR="00A10B25" w:rsidRDefault="00A10B25">
            <w:pPr>
              <w:pStyle w:val="TAC"/>
            </w:pPr>
            <w:r>
              <w:t>1..N</w:t>
            </w:r>
          </w:p>
        </w:tc>
        <w:tc>
          <w:tcPr>
            <w:tcW w:w="4980" w:type="dxa"/>
            <w:tcBorders>
              <w:top w:val="single" w:sz="6" w:space="0" w:color="auto"/>
            </w:tcBorders>
          </w:tcPr>
          <w:p w14:paraId="11165E4F" w14:textId="77777777" w:rsidR="00A10B25" w:rsidRDefault="00A10B25">
            <w:pPr>
              <w:pStyle w:val="TAL"/>
            </w:pPr>
            <w:r>
              <w:t>Provides Information about observed events.</w:t>
            </w:r>
          </w:p>
        </w:tc>
      </w:tr>
    </w:tbl>
    <w:p w14:paraId="26DCE69E" w14:textId="77777777" w:rsidR="00A10B25" w:rsidRDefault="00A10B25"/>
    <w:p w14:paraId="038800C9" w14:textId="77777777" w:rsidR="00A10B25" w:rsidRDefault="00A10B25">
      <w:pPr>
        <w:pStyle w:val="TH"/>
      </w:pPr>
      <w:bookmarkStart w:id="13577" w:name="_Toc85553145"/>
      <w:bookmarkStart w:id="13578" w:name="_Toc114134034"/>
      <w:bookmarkStart w:id="13579" w:name="_Toc94064444"/>
      <w:bookmarkStart w:id="13580" w:name="_Toc85557244"/>
      <w:bookmarkStart w:id="13581" w:name="_Toc90656039"/>
      <w:bookmarkStart w:id="13582" w:name="_Toc112951355"/>
      <w:bookmarkStart w:id="13583" w:name="_Toc113031895"/>
      <w:bookmarkStart w:id="13584" w:name="_Toc101244627"/>
      <w:bookmarkStart w:id="13585" w:name="_Toc120702535"/>
      <w:bookmarkStart w:id="13586" w:name="_Toc104539232"/>
      <w:bookmarkStart w:id="13587" w:name="_Toc83233216"/>
      <w:bookmarkStart w:id="13588" w:name="_Toc70550746"/>
      <w:bookmarkStart w:id="13589" w:name="_Toc88667754"/>
      <w:bookmarkStart w:id="13590" w:name="_Toc98233846"/>
      <w:r>
        <w:t>Table 5.4.5.2.2-3: Data structures supported by the POST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08"/>
        <w:gridCol w:w="410"/>
        <w:gridCol w:w="1151"/>
        <w:gridCol w:w="1507"/>
        <w:gridCol w:w="4547"/>
        <w:gridCol w:w="17"/>
      </w:tblGrid>
      <w:tr w:rsidR="00A10B25" w14:paraId="78EEC108" w14:textId="77777777">
        <w:trPr>
          <w:gridAfter w:val="1"/>
          <w:wAfter w:w="8" w:type="pct"/>
          <w:jc w:val="center"/>
        </w:trPr>
        <w:tc>
          <w:tcPr>
            <w:tcW w:w="1000" w:type="pct"/>
            <w:tcBorders>
              <w:bottom w:val="single" w:sz="6" w:space="0" w:color="auto"/>
            </w:tcBorders>
            <w:shd w:val="clear" w:color="auto" w:fill="C0C0C0"/>
          </w:tcPr>
          <w:p w14:paraId="1392DA24" w14:textId="77777777" w:rsidR="00A10B25" w:rsidRDefault="00A10B25">
            <w:pPr>
              <w:pStyle w:val="TAH"/>
            </w:pPr>
            <w:r>
              <w:t>Data type</w:t>
            </w:r>
          </w:p>
        </w:tc>
        <w:tc>
          <w:tcPr>
            <w:tcW w:w="215" w:type="pct"/>
            <w:tcBorders>
              <w:bottom w:val="single" w:sz="6" w:space="0" w:color="auto"/>
            </w:tcBorders>
            <w:shd w:val="clear" w:color="auto" w:fill="C0C0C0"/>
          </w:tcPr>
          <w:p w14:paraId="03C7569F" w14:textId="77777777" w:rsidR="00A10B25" w:rsidRDefault="00A10B25">
            <w:pPr>
              <w:pStyle w:val="TAH"/>
            </w:pPr>
            <w:r>
              <w:t>P</w:t>
            </w:r>
          </w:p>
        </w:tc>
        <w:tc>
          <w:tcPr>
            <w:tcW w:w="603" w:type="pct"/>
            <w:tcBorders>
              <w:bottom w:val="single" w:sz="6" w:space="0" w:color="auto"/>
            </w:tcBorders>
            <w:shd w:val="clear" w:color="auto" w:fill="C0C0C0"/>
          </w:tcPr>
          <w:p w14:paraId="1152C671" w14:textId="77777777" w:rsidR="00A10B25" w:rsidRDefault="00A10B25">
            <w:pPr>
              <w:pStyle w:val="TAH"/>
            </w:pPr>
            <w:r>
              <w:t>Cardinality</w:t>
            </w:r>
          </w:p>
        </w:tc>
        <w:tc>
          <w:tcPr>
            <w:tcW w:w="790" w:type="pct"/>
            <w:tcBorders>
              <w:bottom w:val="single" w:sz="6" w:space="0" w:color="auto"/>
            </w:tcBorders>
            <w:shd w:val="clear" w:color="auto" w:fill="C0C0C0"/>
          </w:tcPr>
          <w:p w14:paraId="2F9384C4" w14:textId="77777777" w:rsidR="00A10B25" w:rsidRDefault="00A10B25">
            <w:pPr>
              <w:pStyle w:val="TAH"/>
            </w:pPr>
            <w:r>
              <w:t>Response codes</w:t>
            </w:r>
          </w:p>
        </w:tc>
        <w:tc>
          <w:tcPr>
            <w:tcW w:w="2383" w:type="pct"/>
            <w:tcBorders>
              <w:bottom w:val="single" w:sz="6" w:space="0" w:color="auto"/>
            </w:tcBorders>
            <w:shd w:val="clear" w:color="auto" w:fill="C0C0C0"/>
          </w:tcPr>
          <w:p w14:paraId="49591105" w14:textId="77777777" w:rsidR="00A10B25" w:rsidRDefault="00A10B25">
            <w:pPr>
              <w:pStyle w:val="TAH"/>
            </w:pPr>
            <w:r>
              <w:t>Description</w:t>
            </w:r>
          </w:p>
        </w:tc>
      </w:tr>
      <w:tr w:rsidR="00A10B25" w14:paraId="0CADCAA5" w14:textId="77777777">
        <w:trPr>
          <w:gridAfter w:val="1"/>
          <w:wAfter w:w="8" w:type="pct"/>
          <w:jc w:val="center"/>
        </w:trPr>
        <w:tc>
          <w:tcPr>
            <w:tcW w:w="1000" w:type="pct"/>
            <w:tcBorders>
              <w:top w:val="single" w:sz="6" w:space="0" w:color="auto"/>
            </w:tcBorders>
          </w:tcPr>
          <w:p w14:paraId="7A705666" w14:textId="77777777" w:rsidR="00A10B25" w:rsidRDefault="00A10B25">
            <w:pPr>
              <w:pStyle w:val="TAL"/>
            </w:pPr>
            <w:r>
              <w:t>n/a</w:t>
            </w:r>
          </w:p>
        </w:tc>
        <w:tc>
          <w:tcPr>
            <w:tcW w:w="215" w:type="pct"/>
            <w:tcBorders>
              <w:top w:val="single" w:sz="6" w:space="0" w:color="auto"/>
            </w:tcBorders>
          </w:tcPr>
          <w:p w14:paraId="42AF890E" w14:textId="77777777" w:rsidR="00A10B25" w:rsidRDefault="00A10B25">
            <w:pPr>
              <w:pStyle w:val="TAC"/>
            </w:pPr>
          </w:p>
        </w:tc>
        <w:tc>
          <w:tcPr>
            <w:tcW w:w="603" w:type="pct"/>
            <w:tcBorders>
              <w:top w:val="single" w:sz="6" w:space="0" w:color="auto"/>
            </w:tcBorders>
          </w:tcPr>
          <w:p w14:paraId="6329BD9E" w14:textId="77777777" w:rsidR="00A10B25" w:rsidRDefault="00A10B25">
            <w:pPr>
              <w:pStyle w:val="TAC"/>
            </w:pPr>
          </w:p>
        </w:tc>
        <w:tc>
          <w:tcPr>
            <w:tcW w:w="790" w:type="pct"/>
            <w:tcBorders>
              <w:top w:val="single" w:sz="6" w:space="0" w:color="auto"/>
            </w:tcBorders>
          </w:tcPr>
          <w:p w14:paraId="535C46F1" w14:textId="77777777" w:rsidR="00A10B25" w:rsidRDefault="00A10B25">
            <w:pPr>
              <w:pStyle w:val="TAL"/>
            </w:pPr>
            <w:r>
              <w:t>204 No Content</w:t>
            </w:r>
          </w:p>
        </w:tc>
        <w:tc>
          <w:tcPr>
            <w:tcW w:w="2383" w:type="pct"/>
            <w:tcBorders>
              <w:top w:val="single" w:sz="6" w:space="0" w:color="auto"/>
            </w:tcBorders>
          </w:tcPr>
          <w:p w14:paraId="161A5EA6" w14:textId="77777777" w:rsidR="00A10B25" w:rsidRDefault="00A10B25">
            <w:pPr>
              <w:pStyle w:val="TAL"/>
            </w:pPr>
            <w:r>
              <w:t>The receipt of the Notification is acknowledged.</w:t>
            </w:r>
          </w:p>
        </w:tc>
      </w:tr>
      <w:tr w:rsidR="00A10B25" w14:paraId="271D9A00" w14:textId="77777777">
        <w:trPr>
          <w:gridAfter w:val="1"/>
          <w:wAfter w:w="8" w:type="pct"/>
          <w:jc w:val="center"/>
        </w:trPr>
        <w:tc>
          <w:tcPr>
            <w:tcW w:w="1000" w:type="pct"/>
          </w:tcPr>
          <w:p w14:paraId="0243C23C" w14:textId="77777777" w:rsidR="00A10B25" w:rsidRDefault="00A10B25">
            <w:pPr>
              <w:pStyle w:val="TAL"/>
            </w:pPr>
            <w:r>
              <w:t>RedirectResponse</w:t>
            </w:r>
          </w:p>
        </w:tc>
        <w:tc>
          <w:tcPr>
            <w:tcW w:w="215" w:type="pct"/>
          </w:tcPr>
          <w:p w14:paraId="7C7F244D" w14:textId="77777777" w:rsidR="00A10B25" w:rsidRDefault="00A10B25">
            <w:pPr>
              <w:pStyle w:val="TAC"/>
            </w:pPr>
            <w:r>
              <w:t>O</w:t>
            </w:r>
          </w:p>
        </w:tc>
        <w:tc>
          <w:tcPr>
            <w:tcW w:w="603" w:type="pct"/>
          </w:tcPr>
          <w:p w14:paraId="34A09A22" w14:textId="77777777" w:rsidR="00A10B25" w:rsidRDefault="00A10B25">
            <w:pPr>
              <w:pStyle w:val="TAC"/>
            </w:pPr>
            <w:r>
              <w:t>0..1</w:t>
            </w:r>
          </w:p>
        </w:tc>
        <w:tc>
          <w:tcPr>
            <w:tcW w:w="790" w:type="pct"/>
          </w:tcPr>
          <w:p w14:paraId="1045D402" w14:textId="77777777" w:rsidR="00A10B25" w:rsidRDefault="00A10B25">
            <w:pPr>
              <w:pStyle w:val="TAL"/>
            </w:pPr>
            <w:r>
              <w:t>307 Temporary Redirect</w:t>
            </w:r>
          </w:p>
        </w:tc>
        <w:tc>
          <w:tcPr>
            <w:tcW w:w="2383" w:type="pct"/>
          </w:tcPr>
          <w:p w14:paraId="61E31968" w14:textId="77777777" w:rsidR="00A10B25" w:rsidRDefault="00A10B25">
            <w:pPr>
              <w:pStyle w:val="TAL"/>
            </w:pPr>
            <w:r>
              <w:t>Temporary redirection, during the event notification.</w:t>
            </w:r>
          </w:p>
          <w:p w14:paraId="60528BF6" w14:textId="77777777" w:rsidR="00A10B25" w:rsidRDefault="00A10B25">
            <w:pPr>
              <w:pStyle w:val="TAL"/>
            </w:pPr>
          </w:p>
          <w:p w14:paraId="59D04CC2" w14:textId="77777777" w:rsidR="00A10B25" w:rsidRDefault="00A10B25">
            <w:pPr>
              <w:pStyle w:val="TAL"/>
            </w:pPr>
            <w:r>
              <w:t>(NOTE 2)</w:t>
            </w:r>
          </w:p>
        </w:tc>
      </w:tr>
      <w:tr w:rsidR="00A10B25" w14:paraId="1B6EAFA8" w14:textId="77777777">
        <w:trPr>
          <w:gridAfter w:val="1"/>
          <w:wAfter w:w="8" w:type="pct"/>
          <w:jc w:val="center"/>
        </w:trPr>
        <w:tc>
          <w:tcPr>
            <w:tcW w:w="1000" w:type="pct"/>
          </w:tcPr>
          <w:p w14:paraId="35A9BE94" w14:textId="77777777" w:rsidR="00A10B25" w:rsidRDefault="00A10B25">
            <w:pPr>
              <w:pStyle w:val="TAL"/>
            </w:pPr>
            <w:r>
              <w:t>RedirectResponse</w:t>
            </w:r>
          </w:p>
        </w:tc>
        <w:tc>
          <w:tcPr>
            <w:tcW w:w="215" w:type="pct"/>
          </w:tcPr>
          <w:p w14:paraId="4C00FFAB" w14:textId="77777777" w:rsidR="00A10B25" w:rsidRDefault="00A10B25">
            <w:pPr>
              <w:pStyle w:val="TAC"/>
            </w:pPr>
            <w:r>
              <w:t>O</w:t>
            </w:r>
          </w:p>
        </w:tc>
        <w:tc>
          <w:tcPr>
            <w:tcW w:w="603" w:type="pct"/>
          </w:tcPr>
          <w:p w14:paraId="5D5D1D09" w14:textId="77777777" w:rsidR="00A10B25" w:rsidRDefault="00A10B25">
            <w:pPr>
              <w:pStyle w:val="TAC"/>
            </w:pPr>
            <w:r>
              <w:t>0..1</w:t>
            </w:r>
          </w:p>
        </w:tc>
        <w:tc>
          <w:tcPr>
            <w:tcW w:w="790" w:type="pct"/>
          </w:tcPr>
          <w:p w14:paraId="582FBAE9" w14:textId="77777777" w:rsidR="00A10B25" w:rsidRDefault="00A10B25">
            <w:pPr>
              <w:pStyle w:val="TAL"/>
            </w:pPr>
            <w:r>
              <w:t>308 Permanent Redirect</w:t>
            </w:r>
          </w:p>
        </w:tc>
        <w:tc>
          <w:tcPr>
            <w:tcW w:w="2383" w:type="pct"/>
          </w:tcPr>
          <w:p w14:paraId="3A2251EA" w14:textId="77777777" w:rsidR="00A10B25" w:rsidRDefault="00A10B25">
            <w:pPr>
              <w:pStyle w:val="TAL"/>
            </w:pPr>
            <w:r>
              <w:t>Permanent redirection, during the event notification.</w:t>
            </w:r>
          </w:p>
          <w:p w14:paraId="51AD4C9B" w14:textId="77777777" w:rsidR="00A10B25" w:rsidRDefault="00A10B25">
            <w:pPr>
              <w:pStyle w:val="TAL"/>
            </w:pPr>
          </w:p>
          <w:p w14:paraId="0060C4E8" w14:textId="77777777" w:rsidR="00A10B25" w:rsidRDefault="00A10B25">
            <w:pPr>
              <w:pStyle w:val="TAL"/>
            </w:pPr>
            <w:r>
              <w:t>(NOTE 2)</w:t>
            </w:r>
          </w:p>
        </w:tc>
      </w:tr>
      <w:tr w:rsidR="00A10B25" w14:paraId="2C14581B" w14:textId="77777777">
        <w:tblPrEx>
          <w:tblCellMar>
            <w:right w:w="115" w:type="dxa"/>
          </w:tblCellMar>
        </w:tblPrEx>
        <w:trPr>
          <w:jc w:val="center"/>
        </w:trPr>
        <w:tc>
          <w:tcPr>
            <w:tcW w:w="5000" w:type="pct"/>
            <w:gridSpan w:val="6"/>
          </w:tcPr>
          <w:p w14:paraId="00557C6E"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6A9332E5" w14:textId="77777777" w:rsidR="00A10B25" w:rsidRDefault="00A10B25">
            <w:pPr>
              <w:pStyle w:val="TAN"/>
              <w:rPr>
                <w:lang w:val="en-US" w:eastAsia="zh-CN"/>
              </w:rPr>
            </w:pPr>
            <w:r>
              <w:t>NOTE 2:</w:t>
            </w:r>
            <w:r>
              <w:tab/>
              <w:t>The RedirectResponse data structure may be provided by an SCP (cf. clause 6.10.9.1 of 3GPP TS 29.500 [6]).</w:t>
            </w:r>
          </w:p>
        </w:tc>
      </w:tr>
    </w:tbl>
    <w:p w14:paraId="2384CEAA" w14:textId="77777777" w:rsidR="00A10B25" w:rsidRDefault="00A10B25">
      <w:pPr>
        <w:rPr>
          <w:lang w:val="en-US"/>
        </w:rPr>
      </w:pPr>
    </w:p>
    <w:p w14:paraId="38F914D8" w14:textId="77777777" w:rsidR="00A10B25" w:rsidRDefault="00A10B25">
      <w:pPr>
        <w:pStyle w:val="TH"/>
      </w:pPr>
      <w:r>
        <w:t>Table 5.4.5.2.2-4: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09033D26" w14:textId="77777777">
        <w:trPr>
          <w:jc w:val="center"/>
        </w:trPr>
        <w:tc>
          <w:tcPr>
            <w:tcW w:w="825" w:type="pct"/>
            <w:tcBorders>
              <w:bottom w:val="single" w:sz="6" w:space="0" w:color="auto"/>
            </w:tcBorders>
            <w:shd w:val="clear" w:color="auto" w:fill="C0C0C0"/>
          </w:tcPr>
          <w:p w14:paraId="46A16814" w14:textId="77777777" w:rsidR="00A10B25" w:rsidRDefault="00A10B25">
            <w:pPr>
              <w:pStyle w:val="TAH"/>
            </w:pPr>
            <w:r>
              <w:t>Name</w:t>
            </w:r>
          </w:p>
        </w:tc>
        <w:tc>
          <w:tcPr>
            <w:tcW w:w="732" w:type="pct"/>
            <w:tcBorders>
              <w:bottom w:val="single" w:sz="6" w:space="0" w:color="auto"/>
            </w:tcBorders>
            <w:shd w:val="clear" w:color="auto" w:fill="C0C0C0"/>
          </w:tcPr>
          <w:p w14:paraId="3922974A" w14:textId="77777777" w:rsidR="00A10B25" w:rsidRDefault="00A10B25">
            <w:pPr>
              <w:pStyle w:val="TAH"/>
            </w:pPr>
            <w:r>
              <w:t>Data type</w:t>
            </w:r>
          </w:p>
        </w:tc>
        <w:tc>
          <w:tcPr>
            <w:tcW w:w="217" w:type="pct"/>
            <w:tcBorders>
              <w:bottom w:val="single" w:sz="6" w:space="0" w:color="auto"/>
            </w:tcBorders>
            <w:shd w:val="clear" w:color="auto" w:fill="C0C0C0"/>
          </w:tcPr>
          <w:p w14:paraId="7F12CB6B" w14:textId="77777777" w:rsidR="00A10B25" w:rsidRDefault="00A10B25">
            <w:pPr>
              <w:pStyle w:val="TAH"/>
            </w:pPr>
            <w:r>
              <w:t>P</w:t>
            </w:r>
          </w:p>
        </w:tc>
        <w:tc>
          <w:tcPr>
            <w:tcW w:w="581" w:type="pct"/>
            <w:tcBorders>
              <w:bottom w:val="single" w:sz="6" w:space="0" w:color="auto"/>
            </w:tcBorders>
            <w:shd w:val="clear" w:color="auto" w:fill="C0C0C0"/>
          </w:tcPr>
          <w:p w14:paraId="0F12CA66"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5EEB6EB7" w14:textId="77777777" w:rsidR="00A10B25" w:rsidRDefault="00A10B25">
            <w:pPr>
              <w:pStyle w:val="TAH"/>
            </w:pPr>
            <w:r>
              <w:t>Description</w:t>
            </w:r>
          </w:p>
        </w:tc>
      </w:tr>
      <w:tr w:rsidR="00A10B25" w14:paraId="34BF2DAA" w14:textId="77777777">
        <w:trPr>
          <w:jc w:val="center"/>
        </w:trPr>
        <w:tc>
          <w:tcPr>
            <w:tcW w:w="825" w:type="pct"/>
            <w:tcBorders>
              <w:top w:val="single" w:sz="6" w:space="0" w:color="auto"/>
            </w:tcBorders>
          </w:tcPr>
          <w:p w14:paraId="5C4D8609" w14:textId="77777777" w:rsidR="00A10B25" w:rsidRDefault="00A10B25">
            <w:pPr>
              <w:pStyle w:val="TAL"/>
            </w:pPr>
            <w:r>
              <w:t>Location</w:t>
            </w:r>
          </w:p>
        </w:tc>
        <w:tc>
          <w:tcPr>
            <w:tcW w:w="732" w:type="pct"/>
            <w:tcBorders>
              <w:top w:val="single" w:sz="6" w:space="0" w:color="auto"/>
            </w:tcBorders>
          </w:tcPr>
          <w:p w14:paraId="251C000E" w14:textId="77777777" w:rsidR="00A10B25" w:rsidRDefault="00A10B25">
            <w:pPr>
              <w:pStyle w:val="TAL"/>
            </w:pPr>
            <w:r>
              <w:t>string</w:t>
            </w:r>
          </w:p>
        </w:tc>
        <w:tc>
          <w:tcPr>
            <w:tcW w:w="217" w:type="pct"/>
            <w:tcBorders>
              <w:top w:val="single" w:sz="6" w:space="0" w:color="auto"/>
            </w:tcBorders>
          </w:tcPr>
          <w:p w14:paraId="3E3AEB6F" w14:textId="77777777" w:rsidR="00A10B25" w:rsidRDefault="00A10B25">
            <w:pPr>
              <w:pStyle w:val="TAC"/>
            </w:pPr>
            <w:r>
              <w:t>M</w:t>
            </w:r>
          </w:p>
        </w:tc>
        <w:tc>
          <w:tcPr>
            <w:tcW w:w="581" w:type="pct"/>
            <w:tcBorders>
              <w:top w:val="single" w:sz="6" w:space="0" w:color="auto"/>
            </w:tcBorders>
          </w:tcPr>
          <w:p w14:paraId="7566CCB3" w14:textId="77777777" w:rsidR="00A10B25" w:rsidRDefault="00A10B25">
            <w:pPr>
              <w:pStyle w:val="TAL"/>
            </w:pPr>
            <w:r>
              <w:t>1</w:t>
            </w:r>
          </w:p>
        </w:tc>
        <w:tc>
          <w:tcPr>
            <w:tcW w:w="2645" w:type="pct"/>
            <w:tcBorders>
              <w:top w:val="single" w:sz="6" w:space="0" w:color="auto"/>
            </w:tcBorders>
            <w:vAlign w:val="center"/>
          </w:tcPr>
          <w:p w14:paraId="03C7E4E5" w14:textId="77777777" w:rsidR="00A10B25" w:rsidRDefault="00A10B25">
            <w:pPr>
              <w:keepNext/>
              <w:keepLines/>
              <w:spacing w:after="0"/>
              <w:rPr>
                <w:rFonts w:ascii="Arial" w:hAnsi="Arial"/>
                <w:sz w:val="18"/>
              </w:rPr>
            </w:pPr>
            <w:r>
              <w:rPr>
                <w:rFonts w:ascii="Arial" w:hAnsi="Arial"/>
                <w:sz w:val="18"/>
                <w:lang w:eastAsia="fr-FR"/>
              </w:rPr>
              <w:t>Contains an alternative URI representing the end point of an alternative NF consumer (service) instance towards which the notification is redirected</w:t>
            </w:r>
            <w:r>
              <w:rPr>
                <w:rFonts w:ascii="Arial" w:hAnsi="Arial"/>
                <w:sz w:val="18"/>
              </w:rPr>
              <w:t>.</w:t>
            </w:r>
          </w:p>
          <w:p w14:paraId="26A4CE07" w14:textId="77777777" w:rsidR="00A10B25" w:rsidRDefault="00A10B25">
            <w:pPr>
              <w:keepNext/>
              <w:keepLines/>
              <w:spacing w:after="0"/>
              <w:rPr>
                <w:rFonts w:ascii="Arial" w:hAnsi="Arial"/>
                <w:sz w:val="18"/>
              </w:rPr>
            </w:pPr>
          </w:p>
          <w:p w14:paraId="1B80BC29" w14:textId="77777777" w:rsidR="00A10B25" w:rsidRDefault="00A10B25">
            <w:pPr>
              <w:pStyle w:val="TAL"/>
            </w:pPr>
            <w:r>
              <w:t>For the case where the notification is redirected to the same target via a different SCP, refer to clause 6.10.9.1 of 3GPP TS 29.500 [6].</w:t>
            </w:r>
          </w:p>
        </w:tc>
      </w:tr>
      <w:tr w:rsidR="00A10B25" w14:paraId="5772D8D3" w14:textId="77777777">
        <w:trPr>
          <w:jc w:val="center"/>
        </w:trPr>
        <w:tc>
          <w:tcPr>
            <w:tcW w:w="825" w:type="pct"/>
          </w:tcPr>
          <w:p w14:paraId="25479226" w14:textId="77777777" w:rsidR="00A10B25" w:rsidRDefault="00A10B25">
            <w:pPr>
              <w:pStyle w:val="TAL"/>
            </w:pPr>
            <w:r>
              <w:rPr>
                <w:lang w:eastAsia="zh-CN"/>
              </w:rPr>
              <w:t>3gpp-Sbi-Target-Nf-Id</w:t>
            </w:r>
          </w:p>
        </w:tc>
        <w:tc>
          <w:tcPr>
            <w:tcW w:w="732" w:type="pct"/>
          </w:tcPr>
          <w:p w14:paraId="45BE88E8" w14:textId="77777777" w:rsidR="00A10B25" w:rsidRDefault="00A10B25">
            <w:pPr>
              <w:pStyle w:val="TAL"/>
            </w:pPr>
            <w:r>
              <w:rPr>
                <w:lang w:eastAsia="fr-FR"/>
              </w:rPr>
              <w:t>string</w:t>
            </w:r>
          </w:p>
        </w:tc>
        <w:tc>
          <w:tcPr>
            <w:tcW w:w="217" w:type="pct"/>
          </w:tcPr>
          <w:p w14:paraId="39970299" w14:textId="77777777" w:rsidR="00A10B25" w:rsidRDefault="00A10B25">
            <w:pPr>
              <w:pStyle w:val="TAC"/>
            </w:pPr>
            <w:r>
              <w:rPr>
                <w:lang w:eastAsia="fr-FR"/>
              </w:rPr>
              <w:t>O</w:t>
            </w:r>
          </w:p>
        </w:tc>
        <w:tc>
          <w:tcPr>
            <w:tcW w:w="581" w:type="pct"/>
          </w:tcPr>
          <w:p w14:paraId="714B8B02" w14:textId="77777777" w:rsidR="00A10B25" w:rsidRDefault="00A10B25">
            <w:pPr>
              <w:pStyle w:val="TAL"/>
            </w:pPr>
            <w:r>
              <w:rPr>
                <w:lang w:eastAsia="fr-FR"/>
              </w:rPr>
              <w:t>0..1</w:t>
            </w:r>
          </w:p>
        </w:tc>
        <w:tc>
          <w:tcPr>
            <w:tcW w:w="2645" w:type="pct"/>
            <w:vAlign w:val="center"/>
          </w:tcPr>
          <w:p w14:paraId="7A20CD59" w14:textId="77777777" w:rsidR="00A10B25" w:rsidRDefault="00A10B25">
            <w:pPr>
              <w:pStyle w:val="TAL"/>
            </w:pPr>
            <w:r>
              <w:rPr>
                <w:lang w:eastAsia="fr-FR"/>
              </w:rPr>
              <w:t>Identifier of the target NF (service) instance towards which the notification request is redirected.</w:t>
            </w:r>
          </w:p>
        </w:tc>
      </w:tr>
    </w:tbl>
    <w:p w14:paraId="6BF4FC7A" w14:textId="77777777" w:rsidR="00A10B25" w:rsidRDefault="00A10B25"/>
    <w:p w14:paraId="3086CEC1" w14:textId="77777777" w:rsidR="00A10B25" w:rsidRDefault="00A10B25">
      <w:pPr>
        <w:pStyle w:val="TH"/>
      </w:pPr>
      <w:r>
        <w:t>Table 5.4.5.2.2-5: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B25" w14:paraId="2120AD04" w14:textId="77777777">
        <w:trPr>
          <w:jc w:val="center"/>
        </w:trPr>
        <w:tc>
          <w:tcPr>
            <w:tcW w:w="825" w:type="pct"/>
            <w:tcBorders>
              <w:bottom w:val="single" w:sz="6" w:space="0" w:color="auto"/>
            </w:tcBorders>
            <w:shd w:val="clear" w:color="auto" w:fill="C0C0C0"/>
          </w:tcPr>
          <w:p w14:paraId="3EB69476" w14:textId="77777777" w:rsidR="00A10B25" w:rsidRDefault="00A10B25">
            <w:pPr>
              <w:pStyle w:val="TAH"/>
            </w:pPr>
            <w:r>
              <w:t>Name</w:t>
            </w:r>
          </w:p>
        </w:tc>
        <w:tc>
          <w:tcPr>
            <w:tcW w:w="732" w:type="pct"/>
            <w:tcBorders>
              <w:bottom w:val="single" w:sz="6" w:space="0" w:color="auto"/>
            </w:tcBorders>
            <w:shd w:val="clear" w:color="auto" w:fill="C0C0C0"/>
          </w:tcPr>
          <w:p w14:paraId="7D6A3E3E" w14:textId="77777777" w:rsidR="00A10B25" w:rsidRDefault="00A10B25">
            <w:pPr>
              <w:pStyle w:val="TAH"/>
            </w:pPr>
            <w:r>
              <w:t>Data type</w:t>
            </w:r>
          </w:p>
        </w:tc>
        <w:tc>
          <w:tcPr>
            <w:tcW w:w="217" w:type="pct"/>
            <w:tcBorders>
              <w:bottom w:val="single" w:sz="6" w:space="0" w:color="auto"/>
            </w:tcBorders>
            <w:shd w:val="clear" w:color="auto" w:fill="C0C0C0"/>
          </w:tcPr>
          <w:p w14:paraId="6FE2C662" w14:textId="77777777" w:rsidR="00A10B25" w:rsidRDefault="00A10B25">
            <w:pPr>
              <w:pStyle w:val="TAH"/>
            </w:pPr>
            <w:r>
              <w:t>P</w:t>
            </w:r>
          </w:p>
        </w:tc>
        <w:tc>
          <w:tcPr>
            <w:tcW w:w="581" w:type="pct"/>
            <w:tcBorders>
              <w:bottom w:val="single" w:sz="6" w:space="0" w:color="auto"/>
            </w:tcBorders>
            <w:shd w:val="clear" w:color="auto" w:fill="C0C0C0"/>
          </w:tcPr>
          <w:p w14:paraId="69E19329" w14:textId="77777777" w:rsidR="00A10B25" w:rsidRDefault="00A10B25">
            <w:pPr>
              <w:pStyle w:val="TAH"/>
            </w:pPr>
            <w:r>
              <w:t>Cardinality</w:t>
            </w:r>
          </w:p>
        </w:tc>
        <w:tc>
          <w:tcPr>
            <w:tcW w:w="2645" w:type="pct"/>
            <w:tcBorders>
              <w:bottom w:val="single" w:sz="6" w:space="0" w:color="auto"/>
            </w:tcBorders>
            <w:shd w:val="clear" w:color="auto" w:fill="C0C0C0"/>
            <w:vAlign w:val="center"/>
          </w:tcPr>
          <w:p w14:paraId="0DD78BF3" w14:textId="77777777" w:rsidR="00A10B25" w:rsidRDefault="00A10B25">
            <w:pPr>
              <w:pStyle w:val="TAH"/>
            </w:pPr>
            <w:r>
              <w:t>Description</w:t>
            </w:r>
          </w:p>
        </w:tc>
      </w:tr>
      <w:tr w:rsidR="00A10B25" w14:paraId="22169EF3" w14:textId="77777777">
        <w:trPr>
          <w:jc w:val="center"/>
        </w:trPr>
        <w:tc>
          <w:tcPr>
            <w:tcW w:w="825" w:type="pct"/>
            <w:tcBorders>
              <w:top w:val="single" w:sz="6" w:space="0" w:color="auto"/>
            </w:tcBorders>
          </w:tcPr>
          <w:p w14:paraId="7D9A2DB8" w14:textId="77777777" w:rsidR="00A10B25" w:rsidRDefault="00A10B25">
            <w:pPr>
              <w:pStyle w:val="TAL"/>
            </w:pPr>
            <w:r>
              <w:t>Location</w:t>
            </w:r>
          </w:p>
        </w:tc>
        <w:tc>
          <w:tcPr>
            <w:tcW w:w="732" w:type="pct"/>
            <w:tcBorders>
              <w:top w:val="single" w:sz="6" w:space="0" w:color="auto"/>
            </w:tcBorders>
          </w:tcPr>
          <w:p w14:paraId="1ED8DFAF" w14:textId="77777777" w:rsidR="00A10B25" w:rsidRDefault="00A10B25">
            <w:pPr>
              <w:pStyle w:val="TAL"/>
            </w:pPr>
            <w:r>
              <w:t>string</w:t>
            </w:r>
          </w:p>
        </w:tc>
        <w:tc>
          <w:tcPr>
            <w:tcW w:w="217" w:type="pct"/>
            <w:tcBorders>
              <w:top w:val="single" w:sz="6" w:space="0" w:color="auto"/>
            </w:tcBorders>
          </w:tcPr>
          <w:p w14:paraId="010A0F86" w14:textId="77777777" w:rsidR="00A10B25" w:rsidRDefault="00A10B25">
            <w:pPr>
              <w:pStyle w:val="TAC"/>
            </w:pPr>
            <w:r>
              <w:t>M</w:t>
            </w:r>
          </w:p>
        </w:tc>
        <w:tc>
          <w:tcPr>
            <w:tcW w:w="581" w:type="pct"/>
            <w:tcBorders>
              <w:top w:val="single" w:sz="6" w:space="0" w:color="auto"/>
            </w:tcBorders>
          </w:tcPr>
          <w:p w14:paraId="7A023E13" w14:textId="77777777" w:rsidR="00A10B25" w:rsidRDefault="00A10B25">
            <w:pPr>
              <w:pStyle w:val="TAL"/>
            </w:pPr>
            <w:r>
              <w:t>1</w:t>
            </w:r>
          </w:p>
        </w:tc>
        <w:tc>
          <w:tcPr>
            <w:tcW w:w="2645" w:type="pct"/>
            <w:tcBorders>
              <w:top w:val="single" w:sz="6" w:space="0" w:color="auto"/>
            </w:tcBorders>
            <w:vAlign w:val="center"/>
          </w:tcPr>
          <w:p w14:paraId="43145A29" w14:textId="77777777" w:rsidR="00A10B25" w:rsidRDefault="00A10B25">
            <w:pPr>
              <w:keepNext/>
              <w:keepLines/>
              <w:spacing w:after="0"/>
              <w:rPr>
                <w:rFonts w:ascii="Arial" w:hAnsi="Arial"/>
                <w:sz w:val="18"/>
              </w:rPr>
            </w:pPr>
            <w:r>
              <w:rPr>
                <w:rFonts w:ascii="Arial" w:hAnsi="Arial"/>
                <w:sz w:val="18"/>
              </w:rPr>
              <w:t xml:space="preserve">Contains an alternative URI </w:t>
            </w:r>
            <w:r>
              <w:rPr>
                <w:rFonts w:ascii="Arial" w:hAnsi="Arial"/>
                <w:sz w:val="18"/>
                <w:lang w:eastAsia="fr-FR"/>
              </w:rPr>
              <w:t>representing the end point of an alternative NF consumer (service) instance towards which the notification is redirected</w:t>
            </w:r>
            <w:r>
              <w:rPr>
                <w:rFonts w:ascii="Arial" w:hAnsi="Arial"/>
                <w:sz w:val="18"/>
              </w:rPr>
              <w:t>.</w:t>
            </w:r>
          </w:p>
          <w:p w14:paraId="7ED3B4A0" w14:textId="77777777" w:rsidR="00A10B25" w:rsidRDefault="00A10B25">
            <w:pPr>
              <w:keepNext/>
              <w:keepLines/>
              <w:spacing w:after="0"/>
              <w:rPr>
                <w:rFonts w:ascii="Arial" w:hAnsi="Arial"/>
                <w:sz w:val="18"/>
              </w:rPr>
            </w:pPr>
          </w:p>
          <w:p w14:paraId="1AC5673F" w14:textId="77777777" w:rsidR="00A10B25" w:rsidRDefault="00A10B25">
            <w:pPr>
              <w:pStyle w:val="TAL"/>
            </w:pPr>
            <w:r>
              <w:t>For the case where the notification is redirected to the same target via a different SCP, refer to clause 6.10.9.1 of 3GPP TS 29.500 [6].</w:t>
            </w:r>
          </w:p>
        </w:tc>
      </w:tr>
      <w:tr w:rsidR="00A10B25" w14:paraId="6CAFB874" w14:textId="77777777">
        <w:trPr>
          <w:jc w:val="center"/>
        </w:trPr>
        <w:tc>
          <w:tcPr>
            <w:tcW w:w="825" w:type="pct"/>
          </w:tcPr>
          <w:p w14:paraId="58DC998E" w14:textId="77777777" w:rsidR="00A10B25" w:rsidRDefault="00A10B25">
            <w:pPr>
              <w:pStyle w:val="TAL"/>
            </w:pPr>
            <w:r>
              <w:rPr>
                <w:lang w:eastAsia="zh-CN"/>
              </w:rPr>
              <w:t>3gpp-Sbi-Target-Nf-Id</w:t>
            </w:r>
          </w:p>
        </w:tc>
        <w:tc>
          <w:tcPr>
            <w:tcW w:w="732" w:type="pct"/>
          </w:tcPr>
          <w:p w14:paraId="21FBCF27" w14:textId="77777777" w:rsidR="00A10B25" w:rsidRDefault="00A10B25">
            <w:pPr>
              <w:pStyle w:val="TAL"/>
            </w:pPr>
            <w:r>
              <w:rPr>
                <w:lang w:eastAsia="fr-FR"/>
              </w:rPr>
              <w:t>string</w:t>
            </w:r>
          </w:p>
        </w:tc>
        <w:tc>
          <w:tcPr>
            <w:tcW w:w="217" w:type="pct"/>
          </w:tcPr>
          <w:p w14:paraId="5446DA97" w14:textId="77777777" w:rsidR="00A10B25" w:rsidRDefault="00A10B25">
            <w:pPr>
              <w:pStyle w:val="TAC"/>
            </w:pPr>
            <w:r>
              <w:rPr>
                <w:lang w:eastAsia="fr-FR"/>
              </w:rPr>
              <w:t>O</w:t>
            </w:r>
          </w:p>
        </w:tc>
        <w:tc>
          <w:tcPr>
            <w:tcW w:w="581" w:type="pct"/>
          </w:tcPr>
          <w:p w14:paraId="3D3CC160" w14:textId="77777777" w:rsidR="00A10B25" w:rsidRDefault="00A10B25">
            <w:pPr>
              <w:pStyle w:val="TAL"/>
            </w:pPr>
            <w:r>
              <w:rPr>
                <w:lang w:eastAsia="fr-FR"/>
              </w:rPr>
              <w:t>0..1</w:t>
            </w:r>
          </w:p>
        </w:tc>
        <w:tc>
          <w:tcPr>
            <w:tcW w:w="2645" w:type="pct"/>
            <w:vAlign w:val="center"/>
          </w:tcPr>
          <w:p w14:paraId="5ED356A4" w14:textId="77777777" w:rsidR="00A10B25" w:rsidRDefault="00A10B25">
            <w:pPr>
              <w:pStyle w:val="TAL"/>
            </w:pPr>
            <w:r>
              <w:rPr>
                <w:lang w:eastAsia="fr-FR"/>
              </w:rPr>
              <w:t>Identifier of the target NF (service) instance towards which the notification request is redirected</w:t>
            </w:r>
          </w:p>
        </w:tc>
      </w:tr>
    </w:tbl>
    <w:p w14:paraId="2C44230B" w14:textId="77777777" w:rsidR="00A10B25" w:rsidRDefault="00A10B25">
      <w:pPr>
        <w:rPr>
          <w:lang w:val="en-US" w:eastAsia="zh-CN"/>
        </w:rPr>
      </w:pPr>
    </w:p>
    <w:p w14:paraId="4D011BDC" w14:textId="77777777" w:rsidR="00A10B25" w:rsidRDefault="00A10B25">
      <w:pPr>
        <w:pStyle w:val="3"/>
        <w:rPr>
          <w:lang w:val="en-US"/>
        </w:rPr>
      </w:pPr>
      <w:bookmarkStart w:id="13591" w:name="_Toc148522877"/>
      <w:bookmarkStart w:id="13592" w:name="_Toc145705963"/>
      <w:bookmarkStart w:id="13593" w:name="_Toc136562634"/>
      <w:bookmarkStart w:id="13594" w:name="_Toc138754468"/>
      <w:bookmarkStart w:id="13595" w:name="_Toc164921065"/>
      <w:bookmarkStart w:id="13596" w:name="_Toc170120607"/>
      <w:bookmarkStart w:id="13597" w:name="_Toc175858852"/>
      <w:bookmarkStart w:id="13598" w:name="_Toc175859925"/>
      <w:bookmarkStart w:id="13599" w:name="_Toc180606215"/>
      <w:bookmarkStart w:id="13600" w:name="_Toc185517476"/>
      <w:bookmarkStart w:id="13601" w:name="_Toc191576528"/>
      <w:bookmarkStart w:id="13602" w:name="_Toc191577268"/>
      <w:bookmarkStart w:id="13603" w:name="_Toc192880338"/>
      <w:bookmarkStart w:id="13604" w:name="_Toc195815227"/>
      <w:bookmarkStart w:id="13605" w:name="_Toc199453194"/>
      <w:r>
        <w:rPr>
          <w:lang w:val="en-US"/>
        </w:rPr>
        <w:lastRenderedPageBreak/>
        <w:t>5.4.6</w:t>
      </w:r>
      <w:r>
        <w:rPr>
          <w:lang w:val="en-US"/>
        </w:rPr>
        <w:tab/>
        <w:t>Data Model</w:t>
      </w:r>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p>
    <w:p w14:paraId="3E96AFF9" w14:textId="77777777" w:rsidR="00A10B25" w:rsidRDefault="00A10B25">
      <w:pPr>
        <w:pStyle w:val="4"/>
      </w:pPr>
      <w:bookmarkStart w:id="13606" w:name="_Toc98233847"/>
      <w:bookmarkStart w:id="13607" w:name="_Toc101244628"/>
      <w:bookmarkStart w:id="13608" w:name="_Toc120702536"/>
      <w:bookmarkStart w:id="13609" w:name="_Toc104539233"/>
      <w:bookmarkStart w:id="13610" w:name="_Toc83233217"/>
      <w:bookmarkStart w:id="13611" w:name="_Toc136562635"/>
      <w:bookmarkStart w:id="13612" w:name="_Toc113031896"/>
      <w:bookmarkStart w:id="13613" w:name="_Toc90656040"/>
      <w:bookmarkStart w:id="13614" w:name="_Toc94064445"/>
      <w:bookmarkStart w:id="13615" w:name="_Toc114134035"/>
      <w:bookmarkStart w:id="13616" w:name="_Toc85553146"/>
      <w:bookmarkStart w:id="13617" w:name="_Toc138754469"/>
      <w:bookmarkStart w:id="13618" w:name="_Toc148522878"/>
      <w:bookmarkStart w:id="13619" w:name="_Toc145705964"/>
      <w:bookmarkStart w:id="13620" w:name="_Toc85557245"/>
      <w:bookmarkStart w:id="13621" w:name="_Toc112951356"/>
      <w:bookmarkStart w:id="13622" w:name="_Toc88667755"/>
      <w:bookmarkStart w:id="13623" w:name="_Toc164921066"/>
      <w:bookmarkStart w:id="13624" w:name="_Toc170120608"/>
      <w:bookmarkStart w:id="13625" w:name="_Toc175858853"/>
      <w:bookmarkStart w:id="13626" w:name="_Toc175859926"/>
      <w:bookmarkStart w:id="13627" w:name="_Toc180606216"/>
      <w:bookmarkStart w:id="13628" w:name="_Toc185517477"/>
      <w:bookmarkStart w:id="13629" w:name="_Toc191576529"/>
      <w:bookmarkStart w:id="13630" w:name="_Toc191577269"/>
      <w:bookmarkStart w:id="13631" w:name="_Toc192880339"/>
      <w:bookmarkStart w:id="13632" w:name="_Toc195815228"/>
      <w:bookmarkStart w:id="13633" w:name="_Toc199453195"/>
      <w:r>
        <w:t>5.4.6.1</w:t>
      </w:r>
      <w:r>
        <w:tab/>
        <w:t>General</w:t>
      </w:r>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35E9B042" w14:textId="77777777" w:rsidR="00A10B25" w:rsidRDefault="00A10B25">
      <w:r>
        <w:t>This clause specifies the application data model supported by the API.</w:t>
      </w:r>
    </w:p>
    <w:p w14:paraId="611BB4C8" w14:textId="77777777" w:rsidR="00A10B25" w:rsidRDefault="00A10B25">
      <w:r>
        <w:t xml:space="preserve">Table 5.4.6.1-1 specifies the data types defined for the </w:t>
      </w:r>
      <w:r>
        <w:rPr>
          <w:rFonts w:eastAsia="MS Mincho"/>
        </w:rPr>
        <w:t>Nnwdaf_</w:t>
      </w:r>
      <w:r>
        <w:rPr>
          <w:lang w:eastAsia="ja-JP"/>
        </w:rPr>
        <w:t>MLModelProvision</w:t>
      </w:r>
      <w:r>
        <w:t xml:space="preserve"> service based interface protocol.</w:t>
      </w:r>
    </w:p>
    <w:p w14:paraId="7EF35091" w14:textId="77777777" w:rsidR="00A10B25" w:rsidRDefault="00A10B25">
      <w:pPr>
        <w:pStyle w:val="TH"/>
        <w:overflowPunct w:val="0"/>
        <w:autoSpaceDE w:val="0"/>
        <w:autoSpaceDN w:val="0"/>
        <w:adjustRightInd w:val="0"/>
        <w:textAlignment w:val="baseline"/>
      </w:pPr>
      <w:r>
        <w:t>Table 5.4.6.1-1: Nnwdaf_</w:t>
      </w:r>
      <w:r>
        <w:rPr>
          <w:lang w:eastAsia="ja-JP"/>
        </w:rPr>
        <w:t>MLModelProvision</w:t>
      </w:r>
      <w:r>
        <w:t xml:space="preserve"> specific Data Types</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265"/>
        <w:gridCol w:w="1404"/>
        <w:gridCol w:w="2822"/>
        <w:gridCol w:w="1857"/>
      </w:tblGrid>
      <w:tr w:rsidR="00542337" w14:paraId="3B78406D"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shd w:val="clear" w:color="auto" w:fill="C0C0C0"/>
          </w:tcPr>
          <w:p w14:paraId="5766CACD" w14:textId="77777777" w:rsidR="00542337" w:rsidRDefault="00542337" w:rsidP="009B329F">
            <w:pPr>
              <w:pStyle w:val="TAH"/>
              <w:ind w:left="400" w:hanging="400"/>
            </w:pPr>
            <w:r>
              <w:t>Data type</w:t>
            </w:r>
          </w:p>
        </w:tc>
        <w:tc>
          <w:tcPr>
            <w:tcW w:w="1404" w:type="dxa"/>
            <w:tcBorders>
              <w:top w:val="single" w:sz="6" w:space="0" w:color="auto"/>
              <w:left w:val="single" w:sz="6" w:space="0" w:color="auto"/>
              <w:bottom w:val="single" w:sz="6" w:space="0" w:color="auto"/>
              <w:right w:val="single" w:sz="6" w:space="0" w:color="auto"/>
            </w:tcBorders>
            <w:shd w:val="clear" w:color="auto" w:fill="C0C0C0"/>
          </w:tcPr>
          <w:p w14:paraId="1D7F0BB1" w14:textId="77777777" w:rsidR="00542337" w:rsidRDefault="00542337" w:rsidP="009B329F">
            <w:pPr>
              <w:pStyle w:val="TAH"/>
              <w:ind w:left="400" w:hanging="400"/>
            </w:pPr>
            <w:r>
              <w:t>Section defined</w:t>
            </w:r>
          </w:p>
        </w:tc>
        <w:tc>
          <w:tcPr>
            <w:tcW w:w="2822" w:type="dxa"/>
            <w:tcBorders>
              <w:top w:val="single" w:sz="6" w:space="0" w:color="auto"/>
              <w:left w:val="single" w:sz="6" w:space="0" w:color="auto"/>
              <w:bottom w:val="single" w:sz="6" w:space="0" w:color="auto"/>
              <w:right w:val="single" w:sz="6" w:space="0" w:color="auto"/>
            </w:tcBorders>
            <w:shd w:val="clear" w:color="auto" w:fill="C0C0C0"/>
          </w:tcPr>
          <w:p w14:paraId="2DF04A63" w14:textId="77777777" w:rsidR="00542337" w:rsidRDefault="00542337" w:rsidP="009B329F">
            <w:pPr>
              <w:pStyle w:val="TAH"/>
              <w:ind w:left="400" w:hanging="400"/>
            </w:pPr>
            <w:r>
              <w:t>Description</w:t>
            </w:r>
          </w:p>
        </w:tc>
        <w:tc>
          <w:tcPr>
            <w:tcW w:w="1857" w:type="dxa"/>
            <w:tcBorders>
              <w:top w:val="single" w:sz="6" w:space="0" w:color="auto"/>
              <w:left w:val="single" w:sz="6" w:space="0" w:color="auto"/>
              <w:bottom w:val="single" w:sz="6" w:space="0" w:color="auto"/>
              <w:right w:val="single" w:sz="6" w:space="0" w:color="auto"/>
            </w:tcBorders>
            <w:shd w:val="clear" w:color="auto" w:fill="C0C0C0"/>
          </w:tcPr>
          <w:p w14:paraId="76627D92" w14:textId="77777777" w:rsidR="00542337" w:rsidRDefault="00542337" w:rsidP="009B329F">
            <w:pPr>
              <w:pStyle w:val="TAH"/>
              <w:ind w:left="400" w:hanging="400"/>
            </w:pPr>
            <w:r>
              <w:t>Applicability</w:t>
            </w:r>
          </w:p>
        </w:tc>
      </w:tr>
      <w:tr w:rsidR="00542337" w14:paraId="6A0E12A9"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0F4C6F24" w14:textId="77777777" w:rsidR="00542337" w:rsidRDefault="00542337" w:rsidP="009B329F">
            <w:pPr>
              <w:pStyle w:val="TAL"/>
              <w:rPr>
                <w:rFonts w:eastAsia="等线"/>
              </w:rPr>
            </w:pPr>
            <w:r>
              <w:rPr>
                <w:rFonts w:eastAsia="等线"/>
              </w:rPr>
              <w:t>AdditionalMLModelInformation</w:t>
            </w:r>
          </w:p>
        </w:tc>
        <w:tc>
          <w:tcPr>
            <w:tcW w:w="1404" w:type="dxa"/>
            <w:tcBorders>
              <w:top w:val="single" w:sz="6" w:space="0" w:color="auto"/>
              <w:left w:val="single" w:sz="6" w:space="0" w:color="auto"/>
              <w:bottom w:val="single" w:sz="6" w:space="0" w:color="auto"/>
              <w:right w:val="single" w:sz="6" w:space="0" w:color="auto"/>
            </w:tcBorders>
          </w:tcPr>
          <w:p w14:paraId="02506DE1" w14:textId="77777777" w:rsidR="00542337" w:rsidRDefault="00542337" w:rsidP="009B329F">
            <w:pPr>
              <w:pStyle w:val="TAL"/>
              <w:rPr>
                <w:rFonts w:eastAsia="MS Mincho"/>
                <w:lang w:eastAsia="zh-CN"/>
              </w:rPr>
            </w:pPr>
            <w:r>
              <w:rPr>
                <w:lang w:eastAsia="zh-CN"/>
              </w:rPr>
              <w:t>5.4.6.2.14</w:t>
            </w:r>
          </w:p>
        </w:tc>
        <w:tc>
          <w:tcPr>
            <w:tcW w:w="2822" w:type="dxa"/>
            <w:tcBorders>
              <w:top w:val="single" w:sz="6" w:space="0" w:color="auto"/>
              <w:left w:val="single" w:sz="6" w:space="0" w:color="auto"/>
              <w:bottom w:val="single" w:sz="6" w:space="0" w:color="auto"/>
              <w:right w:val="single" w:sz="6" w:space="0" w:color="auto"/>
            </w:tcBorders>
          </w:tcPr>
          <w:p w14:paraId="6294143F" w14:textId="1683D6C5" w:rsidR="00542337" w:rsidRDefault="00542337" w:rsidP="009B329F">
            <w:pPr>
              <w:pStyle w:val="TAL"/>
            </w:pPr>
            <w:r>
              <w:t>Represents the additional ML Model Information</w:t>
            </w:r>
          </w:p>
        </w:tc>
        <w:tc>
          <w:tcPr>
            <w:tcW w:w="1857" w:type="dxa"/>
            <w:tcBorders>
              <w:top w:val="single" w:sz="6" w:space="0" w:color="auto"/>
              <w:left w:val="single" w:sz="6" w:space="0" w:color="auto"/>
              <w:bottom w:val="single" w:sz="6" w:space="0" w:color="auto"/>
              <w:right w:val="single" w:sz="6" w:space="0" w:color="auto"/>
            </w:tcBorders>
          </w:tcPr>
          <w:p w14:paraId="65D9A7FA" w14:textId="77777777" w:rsidR="00542337" w:rsidRDefault="00542337" w:rsidP="009B329F">
            <w:pPr>
              <w:pStyle w:val="TAL"/>
            </w:pPr>
            <w:r>
              <w:t>ModelProvisionExt</w:t>
            </w:r>
          </w:p>
        </w:tc>
      </w:tr>
      <w:tr w:rsidR="00542337" w14:paraId="199E48BE"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38EECC5D" w14:textId="77777777" w:rsidR="00542337" w:rsidRDefault="00542337" w:rsidP="009B329F">
            <w:pPr>
              <w:pStyle w:val="TAL"/>
              <w:rPr>
                <w:rFonts w:eastAsia="等线"/>
              </w:rPr>
            </w:pPr>
            <w:r>
              <w:rPr>
                <w:rFonts w:eastAsia="等线"/>
              </w:rPr>
              <w:t>FailureCode</w:t>
            </w:r>
          </w:p>
        </w:tc>
        <w:tc>
          <w:tcPr>
            <w:tcW w:w="1404" w:type="dxa"/>
            <w:tcBorders>
              <w:top w:val="single" w:sz="6" w:space="0" w:color="auto"/>
              <w:left w:val="single" w:sz="6" w:space="0" w:color="auto"/>
              <w:bottom w:val="single" w:sz="6" w:space="0" w:color="auto"/>
              <w:right w:val="single" w:sz="6" w:space="0" w:color="auto"/>
            </w:tcBorders>
          </w:tcPr>
          <w:p w14:paraId="3C22E600" w14:textId="77777777" w:rsidR="00542337" w:rsidRDefault="00542337" w:rsidP="009B329F">
            <w:pPr>
              <w:pStyle w:val="TAL"/>
              <w:rPr>
                <w:lang w:eastAsia="zh-CN"/>
              </w:rPr>
            </w:pPr>
            <w:r>
              <w:rPr>
                <w:lang w:eastAsia="zh-CN"/>
              </w:rPr>
              <w:t>5.4.6.3.3</w:t>
            </w:r>
          </w:p>
        </w:tc>
        <w:tc>
          <w:tcPr>
            <w:tcW w:w="2822" w:type="dxa"/>
            <w:tcBorders>
              <w:top w:val="single" w:sz="6" w:space="0" w:color="auto"/>
              <w:left w:val="single" w:sz="6" w:space="0" w:color="auto"/>
              <w:bottom w:val="single" w:sz="6" w:space="0" w:color="auto"/>
              <w:right w:val="single" w:sz="6" w:space="0" w:color="auto"/>
            </w:tcBorders>
          </w:tcPr>
          <w:p w14:paraId="21DE5C27" w14:textId="77777777" w:rsidR="00542337" w:rsidRDefault="00542337" w:rsidP="009B329F">
            <w:pPr>
              <w:pStyle w:val="TAL"/>
            </w:pPr>
            <w:r>
              <w:t>Represents Failure Code.</w:t>
            </w:r>
          </w:p>
        </w:tc>
        <w:tc>
          <w:tcPr>
            <w:tcW w:w="1857" w:type="dxa"/>
            <w:tcBorders>
              <w:top w:val="single" w:sz="6" w:space="0" w:color="auto"/>
              <w:left w:val="single" w:sz="6" w:space="0" w:color="auto"/>
              <w:bottom w:val="single" w:sz="6" w:space="0" w:color="auto"/>
              <w:right w:val="single" w:sz="6" w:space="0" w:color="auto"/>
            </w:tcBorders>
          </w:tcPr>
          <w:p w14:paraId="6A8208F3" w14:textId="77777777" w:rsidR="00542337" w:rsidRDefault="00542337" w:rsidP="009B329F">
            <w:pPr>
              <w:pStyle w:val="TAL"/>
            </w:pPr>
          </w:p>
        </w:tc>
      </w:tr>
      <w:tr w:rsidR="00542337" w14:paraId="602CAB09"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68595B2A" w14:textId="77777777" w:rsidR="00542337" w:rsidRDefault="00542337" w:rsidP="009B329F">
            <w:pPr>
              <w:pStyle w:val="TAL"/>
              <w:rPr>
                <w:rFonts w:eastAsia="等线"/>
              </w:rPr>
            </w:pPr>
            <w:r>
              <w:rPr>
                <w:rFonts w:eastAsia="等线"/>
              </w:rPr>
              <w:t>FailureEventInfoForMLModel</w:t>
            </w:r>
          </w:p>
        </w:tc>
        <w:tc>
          <w:tcPr>
            <w:tcW w:w="1404" w:type="dxa"/>
            <w:tcBorders>
              <w:top w:val="single" w:sz="6" w:space="0" w:color="auto"/>
              <w:left w:val="single" w:sz="6" w:space="0" w:color="auto"/>
              <w:bottom w:val="single" w:sz="6" w:space="0" w:color="auto"/>
              <w:right w:val="single" w:sz="6" w:space="0" w:color="auto"/>
            </w:tcBorders>
          </w:tcPr>
          <w:p w14:paraId="470B58A9" w14:textId="77777777" w:rsidR="00542337" w:rsidRDefault="00542337" w:rsidP="009B329F">
            <w:pPr>
              <w:pStyle w:val="TAL"/>
              <w:rPr>
                <w:rFonts w:eastAsia="MS Mincho"/>
                <w:lang w:eastAsia="zh-CN"/>
              </w:rPr>
            </w:pPr>
            <w:r>
              <w:rPr>
                <w:lang w:eastAsia="zh-CN"/>
              </w:rPr>
              <w:t>5.4.6.2.7</w:t>
            </w:r>
          </w:p>
        </w:tc>
        <w:tc>
          <w:tcPr>
            <w:tcW w:w="2822" w:type="dxa"/>
            <w:tcBorders>
              <w:top w:val="single" w:sz="6" w:space="0" w:color="auto"/>
              <w:left w:val="single" w:sz="6" w:space="0" w:color="auto"/>
              <w:bottom w:val="single" w:sz="6" w:space="0" w:color="auto"/>
              <w:right w:val="single" w:sz="6" w:space="0" w:color="auto"/>
            </w:tcBorders>
          </w:tcPr>
          <w:p w14:paraId="195535A5" w14:textId="77777777" w:rsidR="00542337" w:rsidRDefault="00542337" w:rsidP="009B329F">
            <w:pPr>
              <w:pStyle w:val="TAL"/>
            </w:pPr>
            <w:r>
              <w:t>Contains Failure Event Information for the ML Model.</w:t>
            </w:r>
          </w:p>
        </w:tc>
        <w:tc>
          <w:tcPr>
            <w:tcW w:w="1857" w:type="dxa"/>
            <w:tcBorders>
              <w:top w:val="single" w:sz="6" w:space="0" w:color="auto"/>
              <w:left w:val="single" w:sz="6" w:space="0" w:color="auto"/>
              <w:bottom w:val="single" w:sz="6" w:space="0" w:color="auto"/>
              <w:right w:val="single" w:sz="6" w:space="0" w:color="auto"/>
            </w:tcBorders>
          </w:tcPr>
          <w:p w14:paraId="74F7C425" w14:textId="77777777" w:rsidR="00542337" w:rsidRDefault="00542337" w:rsidP="009B329F">
            <w:pPr>
              <w:pStyle w:val="TAL"/>
            </w:pPr>
          </w:p>
        </w:tc>
      </w:tr>
      <w:tr w:rsidR="00542337" w14:paraId="24D2AD7D"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CAA722E" w14:textId="77777777" w:rsidR="00542337" w:rsidRDefault="00542337" w:rsidP="009B329F">
            <w:pPr>
              <w:pStyle w:val="TAL"/>
              <w:rPr>
                <w:rFonts w:eastAsia="等线"/>
              </w:rPr>
            </w:pPr>
            <w:r>
              <w:t>InputDataInfo</w:t>
            </w:r>
          </w:p>
        </w:tc>
        <w:tc>
          <w:tcPr>
            <w:tcW w:w="1404" w:type="dxa"/>
            <w:tcBorders>
              <w:top w:val="single" w:sz="6" w:space="0" w:color="auto"/>
              <w:left w:val="single" w:sz="6" w:space="0" w:color="auto"/>
              <w:bottom w:val="single" w:sz="6" w:space="0" w:color="auto"/>
              <w:right w:val="single" w:sz="6" w:space="0" w:color="auto"/>
            </w:tcBorders>
          </w:tcPr>
          <w:p w14:paraId="21EB167F" w14:textId="77777777" w:rsidR="00542337" w:rsidRDefault="00542337" w:rsidP="009B329F">
            <w:pPr>
              <w:pStyle w:val="TAL"/>
              <w:rPr>
                <w:lang w:eastAsia="zh-CN"/>
              </w:rPr>
            </w:pPr>
            <w:r>
              <w:rPr>
                <w:lang w:eastAsia="zh-CN"/>
              </w:rPr>
              <w:t>5.4.6.2.12</w:t>
            </w:r>
          </w:p>
        </w:tc>
        <w:tc>
          <w:tcPr>
            <w:tcW w:w="2822" w:type="dxa"/>
            <w:tcBorders>
              <w:top w:val="single" w:sz="6" w:space="0" w:color="auto"/>
              <w:left w:val="single" w:sz="6" w:space="0" w:color="auto"/>
              <w:bottom w:val="single" w:sz="6" w:space="0" w:color="auto"/>
              <w:right w:val="single" w:sz="6" w:space="0" w:color="auto"/>
            </w:tcBorders>
          </w:tcPr>
          <w:p w14:paraId="52CABA10" w14:textId="77777777" w:rsidR="00542337" w:rsidRDefault="00542337" w:rsidP="009B329F">
            <w:pPr>
              <w:pStyle w:val="TAL"/>
              <w:rPr>
                <w:lang w:eastAsia="zh-CN"/>
              </w:rPr>
            </w:pPr>
            <w:r>
              <w:rPr>
                <w:rFonts w:hint="eastAsia"/>
                <w:lang w:eastAsia="zh-CN"/>
              </w:rPr>
              <w:t>Re</w:t>
            </w:r>
            <w:r>
              <w:rPr>
                <w:lang w:eastAsia="zh-CN"/>
              </w:rPr>
              <w:t>presents the metrics of the input data.</w:t>
            </w:r>
          </w:p>
        </w:tc>
        <w:tc>
          <w:tcPr>
            <w:tcW w:w="1857" w:type="dxa"/>
            <w:tcBorders>
              <w:top w:val="single" w:sz="6" w:space="0" w:color="auto"/>
              <w:left w:val="single" w:sz="6" w:space="0" w:color="auto"/>
              <w:bottom w:val="single" w:sz="6" w:space="0" w:color="auto"/>
              <w:right w:val="single" w:sz="6" w:space="0" w:color="auto"/>
            </w:tcBorders>
          </w:tcPr>
          <w:p w14:paraId="4650CCEE" w14:textId="77777777" w:rsidR="00542337" w:rsidRDefault="00542337" w:rsidP="009B329F">
            <w:pPr>
              <w:pStyle w:val="TAL"/>
            </w:pPr>
            <w:r>
              <w:rPr>
                <w:rFonts w:cs="Arial"/>
                <w:szCs w:val="18"/>
              </w:rPr>
              <w:t>ModelProvisionExt</w:t>
            </w:r>
          </w:p>
        </w:tc>
      </w:tr>
      <w:tr w:rsidR="00542337" w14:paraId="69B6E7D2"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415664E2" w14:textId="77777777" w:rsidR="00542337" w:rsidRDefault="00542337" w:rsidP="009B329F">
            <w:pPr>
              <w:pStyle w:val="TAL"/>
            </w:pPr>
            <w:r>
              <w:rPr>
                <w:lang w:val="en-US" w:eastAsia="zh-CN"/>
              </w:rPr>
              <w:t>InferenceDataForModelTrain</w:t>
            </w:r>
          </w:p>
        </w:tc>
        <w:tc>
          <w:tcPr>
            <w:tcW w:w="1404" w:type="dxa"/>
            <w:tcBorders>
              <w:top w:val="single" w:sz="6" w:space="0" w:color="auto"/>
              <w:left w:val="single" w:sz="6" w:space="0" w:color="auto"/>
              <w:bottom w:val="single" w:sz="6" w:space="0" w:color="auto"/>
              <w:right w:val="single" w:sz="6" w:space="0" w:color="auto"/>
            </w:tcBorders>
          </w:tcPr>
          <w:p w14:paraId="2A690F17" w14:textId="77777777" w:rsidR="00542337" w:rsidRDefault="00542337" w:rsidP="009B329F">
            <w:pPr>
              <w:pStyle w:val="TAL"/>
              <w:rPr>
                <w:lang w:eastAsia="zh-CN"/>
              </w:rPr>
            </w:pPr>
            <w:r>
              <w:rPr>
                <w:rFonts w:hint="eastAsia"/>
                <w:lang w:eastAsia="zh-CN"/>
              </w:rPr>
              <w:t>5</w:t>
            </w:r>
            <w:r>
              <w:rPr>
                <w:lang w:eastAsia="zh-CN"/>
              </w:rPr>
              <w:t>.4.6.2.17</w:t>
            </w:r>
          </w:p>
        </w:tc>
        <w:tc>
          <w:tcPr>
            <w:tcW w:w="2822" w:type="dxa"/>
            <w:tcBorders>
              <w:top w:val="single" w:sz="6" w:space="0" w:color="auto"/>
              <w:left w:val="single" w:sz="6" w:space="0" w:color="auto"/>
              <w:bottom w:val="single" w:sz="6" w:space="0" w:color="auto"/>
              <w:right w:val="single" w:sz="6" w:space="0" w:color="auto"/>
            </w:tcBorders>
          </w:tcPr>
          <w:p w14:paraId="1B74A8CB" w14:textId="77777777" w:rsidR="00542337" w:rsidRDefault="00542337" w:rsidP="009B329F">
            <w:pPr>
              <w:pStyle w:val="TAL"/>
              <w:rPr>
                <w:lang w:eastAsia="zh-CN"/>
              </w:rPr>
            </w:pPr>
            <w:r>
              <w:rPr>
                <w:rFonts w:hint="eastAsia"/>
                <w:lang w:eastAsia="zh-CN"/>
              </w:rPr>
              <w:t>Indicates</w:t>
            </w:r>
            <w:r>
              <w:rPr>
                <w:lang w:eastAsia="zh-CN"/>
              </w:rPr>
              <w:t xml:space="preserve"> the inference data stored in ADRF.</w:t>
            </w:r>
          </w:p>
        </w:tc>
        <w:tc>
          <w:tcPr>
            <w:tcW w:w="1857" w:type="dxa"/>
            <w:tcBorders>
              <w:top w:val="single" w:sz="6" w:space="0" w:color="auto"/>
              <w:left w:val="single" w:sz="6" w:space="0" w:color="auto"/>
              <w:bottom w:val="single" w:sz="6" w:space="0" w:color="auto"/>
              <w:right w:val="single" w:sz="6" w:space="0" w:color="auto"/>
            </w:tcBorders>
          </w:tcPr>
          <w:p w14:paraId="657C3981" w14:textId="77777777" w:rsidR="00542337" w:rsidRDefault="00542337" w:rsidP="009B329F">
            <w:pPr>
              <w:pStyle w:val="TAL"/>
              <w:rPr>
                <w:rFonts w:cs="Arial"/>
                <w:szCs w:val="18"/>
              </w:rPr>
            </w:pPr>
            <w:r>
              <w:t>ModelProvisionExt</w:t>
            </w:r>
          </w:p>
        </w:tc>
      </w:tr>
      <w:tr w:rsidR="00542337" w14:paraId="11383260"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8E85AF4" w14:textId="77777777" w:rsidR="00542337" w:rsidRDefault="00542337" w:rsidP="009B329F">
            <w:pPr>
              <w:pStyle w:val="TAL"/>
            </w:pPr>
            <w:r>
              <w:t>MLEventNotif</w:t>
            </w:r>
          </w:p>
        </w:tc>
        <w:tc>
          <w:tcPr>
            <w:tcW w:w="1404" w:type="dxa"/>
            <w:tcBorders>
              <w:top w:val="single" w:sz="6" w:space="0" w:color="auto"/>
              <w:left w:val="single" w:sz="6" w:space="0" w:color="auto"/>
              <w:bottom w:val="single" w:sz="6" w:space="0" w:color="auto"/>
              <w:right w:val="single" w:sz="6" w:space="0" w:color="auto"/>
            </w:tcBorders>
          </w:tcPr>
          <w:p w14:paraId="74F5F92F" w14:textId="77777777" w:rsidR="00542337" w:rsidRDefault="00542337" w:rsidP="009B329F">
            <w:pPr>
              <w:pStyle w:val="TAL"/>
              <w:rPr>
                <w:lang w:eastAsia="zh-CN"/>
              </w:rPr>
            </w:pPr>
            <w:r>
              <w:rPr>
                <w:lang w:eastAsia="zh-CN"/>
              </w:rPr>
              <w:t>5.4.6.2.6</w:t>
            </w:r>
          </w:p>
        </w:tc>
        <w:tc>
          <w:tcPr>
            <w:tcW w:w="2822" w:type="dxa"/>
            <w:tcBorders>
              <w:top w:val="single" w:sz="6" w:space="0" w:color="auto"/>
              <w:left w:val="single" w:sz="6" w:space="0" w:color="auto"/>
              <w:bottom w:val="single" w:sz="6" w:space="0" w:color="auto"/>
              <w:right w:val="single" w:sz="6" w:space="0" w:color="auto"/>
            </w:tcBorders>
          </w:tcPr>
          <w:p w14:paraId="1B658945" w14:textId="77777777" w:rsidR="00542337" w:rsidRDefault="00542337" w:rsidP="009B329F">
            <w:pPr>
              <w:pStyle w:val="TAL"/>
            </w:pPr>
            <w:r>
              <w:t>Represents notification on ML Event information.</w:t>
            </w:r>
          </w:p>
        </w:tc>
        <w:tc>
          <w:tcPr>
            <w:tcW w:w="1857" w:type="dxa"/>
            <w:tcBorders>
              <w:top w:val="single" w:sz="6" w:space="0" w:color="auto"/>
              <w:left w:val="single" w:sz="6" w:space="0" w:color="auto"/>
              <w:bottom w:val="single" w:sz="6" w:space="0" w:color="auto"/>
              <w:right w:val="single" w:sz="6" w:space="0" w:color="auto"/>
            </w:tcBorders>
          </w:tcPr>
          <w:p w14:paraId="214FE606" w14:textId="77777777" w:rsidR="00542337" w:rsidRDefault="00542337" w:rsidP="009B329F">
            <w:pPr>
              <w:pStyle w:val="TAL"/>
            </w:pPr>
          </w:p>
        </w:tc>
      </w:tr>
      <w:tr w:rsidR="00542337" w14:paraId="18C76B4F"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33F13736" w14:textId="77777777" w:rsidR="00542337" w:rsidRDefault="00542337" w:rsidP="009B329F">
            <w:pPr>
              <w:pStyle w:val="TAL"/>
            </w:pPr>
            <w:r>
              <w:t>MLEventSubscription</w:t>
            </w:r>
          </w:p>
        </w:tc>
        <w:tc>
          <w:tcPr>
            <w:tcW w:w="1404" w:type="dxa"/>
            <w:tcBorders>
              <w:top w:val="single" w:sz="6" w:space="0" w:color="auto"/>
              <w:left w:val="single" w:sz="6" w:space="0" w:color="auto"/>
              <w:bottom w:val="single" w:sz="6" w:space="0" w:color="auto"/>
              <w:right w:val="single" w:sz="6" w:space="0" w:color="auto"/>
            </w:tcBorders>
          </w:tcPr>
          <w:p w14:paraId="47DFDE25" w14:textId="77777777" w:rsidR="00542337" w:rsidRDefault="00542337" w:rsidP="009B329F">
            <w:pPr>
              <w:pStyle w:val="TAL"/>
              <w:rPr>
                <w:lang w:eastAsia="zh-CN"/>
              </w:rPr>
            </w:pPr>
            <w:r>
              <w:rPr>
                <w:lang w:eastAsia="zh-CN"/>
              </w:rPr>
              <w:t>5.4.6.2.3</w:t>
            </w:r>
          </w:p>
        </w:tc>
        <w:tc>
          <w:tcPr>
            <w:tcW w:w="2822" w:type="dxa"/>
            <w:tcBorders>
              <w:top w:val="single" w:sz="6" w:space="0" w:color="auto"/>
              <w:left w:val="single" w:sz="6" w:space="0" w:color="auto"/>
              <w:bottom w:val="single" w:sz="6" w:space="0" w:color="auto"/>
              <w:right w:val="single" w:sz="6" w:space="0" w:color="auto"/>
            </w:tcBorders>
          </w:tcPr>
          <w:p w14:paraId="725A0EE0" w14:textId="77777777" w:rsidR="00542337" w:rsidRDefault="00542337" w:rsidP="009B329F">
            <w:pPr>
              <w:pStyle w:val="TAL"/>
            </w:pPr>
            <w:r>
              <w:t>Represents ML Event Subscription.</w:t>
            </w:r>
          </w:p>
        </w:tc>
        <w:tc>
          <w:tcPr>
            <w:tcW w:w="1857" w:type="dxa"/>
            <w:tcBorders>
              <w:top w:val="single" w:sz="6" w:space="0" w:color="auto"/>
              <w:left w:val="single" w:sz="6" w:space="0" w:color="auto"/>
              <w:bottom w:val="single" w:sz="6" w:space="0" w:color="auto"/>
              <w:right w:val="single" w:sz="6" w:space="0" w:color="auto"/>
            </w:tcBorders>
          </w:tcPr>
          <w:p w14:paraId="03F994A0" w14:textId="77777777" w:rsidR="00542337" w:rsidRDefault="00542337" w:rsidP="009B329F">
            <w:pPr>
              <w:pStyle w:val="TAL"/>
            </w:pPr>
          </w:p>
        </w:tc>
      </w:tr>
      <w:tr w:rsidR="00542337" w14:paraId="548B446F"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356C7D7B" w14:textId="77777777" w:rsidR="00542337" w:rsidRDefault="00542337" w:rsidP="009B329F">
            <w:pPr>
              <w:pStyle w:val="TAL"/>
            </w:pPr>
            <w:r>
              <w:t>MLModelAddr</w:t>
            </w:r>
          </w:p>
        </w:tc>
        <w:tc>
          <w:tcPr>
            <w:tcW w:w="1404" w:type="dxa"/>
            <w:tcBorders>
              <w:top w:val="single" w:sz="6" w:space="0" w:color="auto"/>
              <w:left w:val="single" w:sz="6" w:space="0" w:color="auto"/>
              <w:bottom w:val="single" w:sz="6" w:space="0" w:color="auto"/>
              <w:right w:val="single" w:sz="6" w:space="0" w:color="auto"/>
            </w:tcBorders>
          </w:tcPr>
          <w:p w14:paraId="1E16B1F9" w14:textId="77777777" w:rsidR="00542337" w:rsidRDefault="00542337" w:rsidP="009B329F">
            <w:pPr>
              <w:pStyle w:val="TAL"/>
              <w:rPr>
                <w:lang w:eastAsia="zh-CN"/>
              </w:rPr>
            </w:pPr>
            <w:r>
              <w:rPr>
                <w:lang w:eastAsia="zh-CN"/>
              </w:rPr>
              <w:t>5.4.6.2.8</w:t>
            </w:r>
          </w:p>
        </w:tc>
        <w:tc>
          <w:tcPr>
            <w:tcW w:w="2822" w:type="dxa"/>
            <w:tcBorders>
              <w:top w:val="single" w:sz="6" w:space="0" w:color="auto"/>
              <w:left w:val="single" w:sz="6" w:space="0" w:color="auto"/>
              <w:bottom w:val="single" w:sz="6" w:space="0" w:color="auto"/>
              <w:right w:val="single" w:sz="6" w:space="0" w:color="auto"/>
            </w:tcBorders>
          </w:tcPr>
          <w:p w14:paraId="67B67293" w14:textId="77777777" w:rsidR="00542337" w:rsidRDefault="00542337" w:rsidP="009B329F">
            <w:pPr>
              <w:pStyle w:val="TAL"/>
            </w:pPr>
            <w:r w:rsidRPr="00103B96">
              <w:t>Represents the address of the ML Model file.</w:t>
            </w:r>
          </w:p>
        </w:tc>
        <w:tc>
          <w:tcPr>
            <w:tcW w:w="1857" w:type="dxa"/>
            <w:tcBorders>
              <w:top w:val="single" w:sz="6" w:space="0" w:color="auto"/>
              <w:left w:val="single" w:sz="6" w:space="0" w:color="auto"/>
              <w:bottom w:val="single" w:sz="6" w:space="0" w:color="auto"/>
              <w:right w:val="single" w:sz="6" w:space="0" w:color="auto"/>
            </w:tcBorders>
          </w:tcPr>
          <w:p w14:paraId="5D56586D" w14:textId="77777777" w:rsidR="00542337" w:rsidRDefault="00542337" w:rsidP="009B329F">
            <w:pPr>
              <w:pStyle w:val="TAL"/>
            </w:pPr>
          </w:p>
        </w:tc>
      </w:tr>
      <w:tr w:rsidR="00542337" w14:paraId="03DCDCA3"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7DCD334F" w14:textId="77777777" w:rsidR="00542337" w:rsidRDefault="00542337" w:rsidP="009B329F">
            <w:pPr>
              <w:pStyle w:val="TAL"/>
            </w:pPr>
            <w:r>
              <w:t>MLModelAdrf</w:t>
            </w:r>
          </w:p>
        </w:tc>
        <w:tc>
          <w:tcPr>
            <w:tcW w:w="1404" w:type="dxa"/>
            <w:tcBorders>
              <w:top w:val="single" w:sz="6" w:space="0" w:color="auto"/>
              <w:left w:val="single" w:sz="6" w:space="0" w:color="auto"/>
              <w:bottom w:val="single" w:sz="6" w:space="0" w:color="auto"/>
              <w:right w:val="single" w:sz="6" w:space="0" w:color="auto"/>
            </w:tcBorders>
          </w:tcPr>
          <w:p w14:paraId="4436477F" w14:textId="77777777" w:rsidR="00542337" w:rsidRDefault="00542337" w:rsidP="009B329F">
            <w:pPr>
              <w:pStyle w:val="TAL"/>
              <w:rPr>
                <w:lang w:eastAsia="zh-CN"/>
              </w:rPr>
            </w:pPr>
            <w:r>
              <w:rPr>
                <w:lang w:eastAsia="zh-CN"/>
              </w:rPr>
              <w:t>5.4.6.2.15</w:t>
            </w:r>
          </w:p>
        </w:tc>
        <w:tc>
          <w:tcPr>
            <w:tcW w:w="2822" w:type="dxa"/>
            <w:tcBorders>
              <w:top w:val="single" w:sz="6" w:space="0" w:color="auto"/>
              <w:left w:val="single" w:sz="6" w:space="0" w:color="auto"/>
              <w:bottom w:val="single" w:sz="6" w:space="0" w:color="auto"/>
              <w:right w:val="single" w:sz="6" w:space="0" w:color="auto"/>
            </w:tcBorders>
          </w:tcPr>
          <w:p w14:paraId="7161BF41" w14:textId="77777777" w:rsidR="00542337" w:rsidRDefault="00542337" w:rsidP="009B329F">
            <w:pPr>
              <w:pStyle w:val="TAL"/>
            </w:pPr>
            <w:r>
              <w:t>Represents the ADRF (Set) information of ML Model.</w:t>
            </w:r>
          </w:p>
        </w:tc>
        <w:tc>
          <w:tcPr>
            <w:tcW w:w="1857" w:type="dxa"/>
            <w:tcBorders>
              <w:top w:val="single" w:sz="6" w:space="0" w:color="auto"/>
              <w:left w:val="single" w:sz="6" w:space="0" w:color="auto"/>
              <w:bottom w:val="single" w:sz="6" w:space="0" w:color="auto"/>
              <w:right w:val="single" w:sz="6" w:space="0" w:color="auto"/>
            </w:tcBorders>
          </w:tcPr>
          <w:p w14:paraId="4DF324F0" w14:textId="77777777" w:rsidR="00542337" w:rsidRDefault="00542337" w:rsidP="009B329F">
            <w:pPr>
              <w:pStyle w:val="TAL"/>
            </w:pPr>
            <w:r>
              <w:rPr>
                <w:rFonts w:cs="Arial"/>
                <w:szCs w:val="18"/>
              </w:rPr>
              <w:t>ModelProvisionExt</w:t>
            </w:r>
          </w:p>
        </w:tc>
      </w:tr>
      <w:tr w:rsidR="00542337" w14:paraId="3E0A04A1"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4B091DB3" w14:textId="77777777" w:rsidR="00542337" w:rsidRDefault="00542337" w:rsidP="009B329F">
            <w:pPr>
              <w:pStyle w:val="TAL"/>
            </w:pPr>
            <w:r>
              <w:t>MLModelMetric</w:t>
            </w:r>
          </w:p>
        </w:tc>
        <w:tc>
          <w:tcPr>
            <w:tcW w:w="1404" w:type="dxa"/>
            <w:tcBorders>
              <w:top w:val="single" w:sz="6" w:space="0" w:color="auto"/>
              <w:left w:val="single" w:sz="6" w:space="0" w:color="auto"/>
              <w:bottom w:val="single" w:sz="6" w:space="0" w:color="auto"/>
              <w:right w:val="single" w:sz="6" w:space="0" w:color="auto"/>
            </w:tcBorders>
          </w:tcPr>
          <w:p w14:paraId="37C5369E" w14:textId="77777777" w:rsidR="00542337" w:rsidRDefault="00542337" w:rsidP="009B329F">
            <w:pPr>
              <w:pStyle w:val="TAL"/>
              <w:rPr>
                <w:lang w:eastAsia="zh-CN"/>
              </w:rPr>
            </w:pPr>
            <w:r>
              <w:t>5.4.6.3.4</w:t>
            </w:r>
          </w:p>
        </w:tc>
        <w:tc>
          <w:tcPr>
            <w:tcW w:w="2822" w:type="dxa"/>
            <w:tcBorders>
              <w:top w:val="single" w:sz="6" w:space="0" w:color="auto"/>
              <w:left w:val="single" w:sz="6" w:space="0" w:color="auto"/>
              <w:bottom w:val="single" w:sz="6" w:space="0" w:color="auto"/>
              <w:right w:val="single" w:sz="6" w:space="0" w:color="auto"/>
            </w:tcBorders>
          </w:tcPr>
          <w:p w14:paraId="23CD1607" w14:textId="77777777" w:rsidR="00542337" w:rsidRDefault="00542337" w:rsidP="009B329F">
            <w:pPr>
              <w:pStyle w:val="TAL"/>
            </w:pPr>
            <w:r>
              <w:t>Represents the metric of the ML model</w:t>
            </w:r>
            <w:r>
              <w:rPr>
                <w:rFonts w:cs="Arial"/>
                <w:szCs w:val="18"/>
                <w:lang w:eastAsia="zh-CN"/>
              </w:rPr>
              <w:t>.</w:t>
            </w:r>
          </w:p>
        </w:tc>
        <w:tc>
          <w:tcPr>
            <w:tcW w:w="1857" w:type="dxa"/>
            <w:tcBorders>
              <w:top w:val="single" w:sz="6" w:space="0" w:color="auto"/>
              <w:left w:val="single" w:sz="6" w:space="0" w:color="auto"/>
              <w:bottom w:val="single" w:sz="6" w:space="0" w:color="auto"/>
              <w:right w:val="single" w:sz="6" w:space="0" w:color="auto"/>
            </w:tcBorders>
          </w:tcPr>
          <w:p w14:paraId="0DD2E117" w14:textId="77777777" w:rsidR="00542337" w:rsidRPr="00AB0064" w:rsidRDefault="00542337" w:rsidP="009B329F">
            <w:pPr>
              <w:pStyle w:val="TAL"/>
              <w:rPr>
                <w:rFonts w:cs="Arial"/>
                <w:szCs w:val="18"/>
              </w:rPr>
            </w:pPr>
            <w:r w:rsidRPr="00AB0064">
              <w:rPr>
                <w:rFonts w:cs="Arial"/>
                <w:szCs w:val="18"/>
              </w:rPr>
              <w:t>FederatedLearning</w:t>
            </w:r>
          </w:p>
          <w:p w14:paraId="6E11DAF6" w14:textId="77777777" w:rsidR="00542337" w:rsidRDefault="00542337" w:rsidP="009B329F">
            <w:pPr>
              <w:pStyle w:val="TAL"/>
              <w:rPr>
                <w:rFonts w:cs="Arial"/>
                <w:szCs w:val="18"/>
              </w:rPr>
            </w:pPr>
            <w:r w:rsidRPr="00AB0064">
              <w:rPr>
                <w:rFonts w:cs="Arial"/>
                <w:szCs w:val="18"/>
              </w:rPr>
              <w:t>ModelProvisionExt</w:t>
            </w:r>
          </w:p>
        </w:tc>
      </w:tr>
      <w:tr w:rsidR="00542337" w14:paraId="6CDFD9EE"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16078AB" w14:textId="77777777" w:rsidR="00542337" w:rsidRDefault="00542337" w:rsidP="009B329F">
            <w:pPr>
              <w:pStyle w:val="TAL"/>
            </w:pPr>
            <w:r>
              <w:t>MLRepEventCondition</w:t>
            </w:r>
          </w:p>
        </w:tc>
        <w:tc>
          <w:tcPr>
            <w:tcW w:w="1404" w:type="dxa"/>
            <w:tcBorders>
              <w:top w:val="single" w:sz="6" w:space="0" w:color="auto"/>
              <w:left w:val="single" w:sz="6" w:space="0" w:color="auto"/>
              <w:bottom w:val="single" w:sz="6" w:space="0" w:color="auto"/>
              <w:right w:val="single" w:sz="6" w:space="0" w:color="auto"/>
            </w:tcBorders>
          </w:tcPr>
          <w:p w14:paraId="0D020C58" w14:textId="77777777" w:rsidR="00542337" w:rsidRDefault="00542337" w:rsidP="009B329F">
            <w:pPr>
              <w:pStyle w:val="TAL"/>
              <w:rPr>
                <w:lang w:eastAsia="zh-CN"/>
              </w:rPr>
            </w:pPr>
            <w:r>
              <w:rPr>
                <w:lang w:eastAsia="zh-CN"/>
              </w:rPr>
              <w:t>5.4.6.2.11</w:t>
            </w:r>
          </w:p>
        </w:tc>
        <w:tc>
          <w:tcPr>
            <w:tcW w:w="2822" w:type="dxa"/>
            <w:tcBorders>
              <w:top w:val="single" w:sz="6" w:space="0" w:color="auto"/>
              <w:left w:val="single" w:sz="6" w:space="0" w:color="auto"/>
              <w:bottom w:val="single" w:sz="6" w:space="0" w:color="auto"/>
              <w:right w:val="single" w:sz="6" w:space="0" w:color="auto"/>
            </w:tcBorders>
          </w:tcPr>
          <w:p w14:paraId="22A045BE" w14:textId="77777777" w:rsidR="00542337" w:rsidRDefault="00542337" w:rsidP="009B329F">
            <w:pPr>
              <w:pStyle w:val="TAL"/>
            </w:pPr>
            <w:r>
              <w:t xml:space="preserve">Indicates the </w:t>
            </w:r>
            <w:r>
              <w:rPr>
                <w:lang w:eastAsia="ko-KR"/>
              </w:rPr>
              <w:t>ML event reporting condition</w:t>
            </w:r>
            <w:r>
              <w:t>.</w:t>
            </w:r>
          </w:p>
        </w:tc>
        <w:tc>
          <w:tcPr>
            <w:tcW w:w="1857" w:type="dxa"/>
            <w:tcBorders>
              <w:top w:val="single" w:sz="6" w:space="0" w:color="auto"/>
              <w:left w:val="single" w:sz="6" w:space="0" w:color="auto"/>
              <w:bottom w:val="single" w:sz="6" w:space="0" w:color="auto"/>
              <w:right w:val="single" w:sz="6" w:space="0" w:color="auto"/>
            </w:tcBorders>
          </w:tcPr>
          <w:p w14:paraId="79A03F38" w14:textId="77777777" w:rsidR="00542337" w:rsidRDefault="00542337" w:rsidP="009B329F">
            <w:pPr>
              <w:pStyle w:val="TAL"/>
            </w:pPr>
            <w:r>
              <w:t>FederatedLearning</w:t>
            </w:r>
          </w:p>
          <w:p w14:paraId="13A64633" w14:textId="77777777" w:rsidR="00542337" w:rsidRDefault="00542337" w:rsidP="009B329F">
            <w:pPr>
              <w:pStyle w:val="TAL"/>
            </w:pPr>
            <w:r>
              <w:t>ModelProvisionExt</w:t>
            </w:r>
          </w:p>
        </w:tc>
      </w:tr>
      <w:tr w:rsidR="00542337" w14:paraId="0DDE851F"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62B883A2" w14:textId="77777777" w:rsidR="00542337" w:rsidRDefault="00542337" w:rsidP="009B329F">
            <w:pPr>
              <w:pStyle w:val="TAL"/>
            </w:pPr>
            <w:r>
              <w:t>ModelProvisionParamsExt</w:t>
            </w:r>
          </w:p>
        </w:tc>
        <w:tc>
          <w:tcPr>
            <w:tcW w:w="1404" w:type="dxa"/>
            <w:tcBorders>
              <w:top w:val="single" w:sz="6" w:space="0" w:color="auto"/>
              <w:left w:val="single" w:sz="6" w:space="0" w:color="auto"/>
              <w:bottom w:val="single" w:sz="6" w:space="0" w:color="auto"/>
              <w:right w:val="single" w:sz="6" w:space="0" w:color="auto"/>
            </w:tcBorders>
          </w:tcPr>
          <w:p w14:paraId="5B9EC793" w14:textId="77777777" w:rsidR="00542337" w:rsidRDefault="00542337" w:rsidP="009B329F">
            <w:pPr>
              <w:pStyle w:val="TAL"/>
              <w:rPr>
                <w:lang w:eastAsia="zh-CN"/>
              </w:rPr>
            </w:pPr>
            <w:r>
              <w:rPr>
                <w:lang w:eastAsia="zh-CN"/>
              </w:rPr>
              <w:t>5.4.6.2.13</w:t>
            </w:r>
          </w:p>
        </w:tc>
        <w:tc>
          <w:tcPr>
            <w:tcW w:w="2822" w:type="dxa"/>
            <w:tcBorders>
              <w:top w:val="single" w:sz="6" w:space="0" w:color="auto"/>
              <w:left w:val="single" w:sz="6" w:space="0" w:color="auto"/>
              <w:bottom w:val="single" w:sz="6" w:space="0" w:color="auto"/>
              <w:right w:val="single" w:sz="6" w:space="0" w:color="auto"/>
            </w:tcBorders>
          </w:tcPr>
          <w:p w14:paraId="755B378D" w14:textId="77777777" w:rsidR="00542337" w:rsidRDefault="00542337" w:rsidP="009B329F">
            <w:pPr>
              <w:pStyle w:val="TAL"/>
            </w:pPr>
            <w:r>
              <w:t>Represents extended model provision parameters.</w:t>
            </w:r>
          </w:p>
        </w:tc>
        <w:tc>
          <w:tcPr>
            <w:tcW w:w="1857" w:type="dxa"/>
            <w:tcBorders>
              <w:top w:val="single" w:sz="6" w:space="0" w:color="auto"/>
              <w:left w:val="single" w:sz="6" w:space="0" w:color="auto"/>
              <w:bottom w:val="single" w:sz="6" w:space="0" w:color="auto"/>
              <w:right w:val="single" w:sz="6" w:space="0" w:color="auto"/>
            </w:tcBorders>
          </w:tcPr>
          <w:p w14:paraId="476F24AB" w14:textId="77777777" w:rsidR="00542337" w:rsidRDefault="00542337" w:rsidP="009B329F">
            <w:pPr>
              <w:pStyle w:val="TAL"/>
            </w:pPr>
            <w:r>
              <w:t>ModelProvisionExt</w:t>
            </w:r>
          </w:p>
        </w:tc>
      </w:tr>
      <w:tr w:rsidR="00542337" w14:paraId="38BCF29B"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2CA5B74D" w14:textId="77777777" w:rsidR="00542337" w:rsidRDefault="00542337" w:rsidP="009B329F">
            <w:pPr>
              <w:pStyle w:val="TAL"/>
            </w:pPr>
            <w:r>
              <w:rPr>
                <w:rFonts w:eastAsia="等线"/>
              </w:rPr>
              <w:t>NwdafMLModelProvNotif</w:t>
            </w:r>
          </w:p>
        </w:tc>
        <w:tc>
          <w:tcPr>
            <w:tcW w:w="1404" w:type="dxa"/>
            <w:tcBorders>
              <w:top w:val="single" w:sz="6" w:space="0" w:color="auto"/>
              <w:left w:val="single" w:sz="6" w:space="0" w:color="auto"/>
              <w:bottom w:val="single" w:sz="6" w:space="0" w:color="auto"/>
              <w:right w:val="single" w:sz="6" w:space="0" w:color="auto"/>
            </w:tcBorders>
          </w:tcPr>
          <w:p w14:paraId="6C75D1EC" w14:textId="77777777" w:rsidR="00542337" w:rsidRDefault="00542337" w:rsidP="009B329F">
            <w:pPr>
              <w:pStyle w:val="TAL"/>
              <w:rPr>
                <w:lang w:eastAsia="zh-CN"/>
              </w:rPr>
            </w:pPr>
            <w:r>
              <w:rPr>
                <w:lang w:eastAsia="zh-CN"/>
              </w:rPr>
              <w:t>5.4.6.2.5</w:t>
            </w:r>
          </w:p>
        </w:tc>
        <w:tc>
          <w:tcPr>
            <w:tcW w:w="2822" w:type="dxa"/>
            <w:tcBorders>
              <w:top w:val="single" w:sz="6" w:space="0" w:color="auto"/>
              <w:left w:val="single" w:sz="6" w:space="0" w:color="auto"/>
              <w:bottom w:val="single" w:sz="6" w:space="0" w:color="auto"/>
              <w:right w:val="single" w:sz="6" w:space="0" w:color="auto"/>
            </w:tcBorders>
          </w:tcPr>
          <w:p w14:paraId="7F03397A" w14:textId="77777777" w:rsidR="00542337" w:rsidRDefault="00542337" w:rsidP="009B329F">
            <w:pPr>
              <w:pStyle w:val="TAL"/>
            </w:pPr>
            <w:r w:rsidRPr="00103B96">
              <w:t xml:space="preserve">Represents notification on </w:t>
            </w:r>
            <w:r>
              <w:t xml:space="preserve">ML Model </w:t>
            </w:r>
            <w:r w:rsidRPr="00103B96">
              <w:t>event</w:t>
            </w:r>
            <w:r>
              <w:t>(</w:t>
            </w:r>
            <w:r w:rsidRPr="00103B96">
              <w:t>s</w:t>
            </w:r>
            <w:r>
              <w:t>)</w:t>
            </w:r>
            <w:r w:rsidRPr="00103B96">
              <w:t xml:space="preserve"> that occurred</w:t>
            </w:r>
            <w:r>
              <w:t>.</w:t>
            </w:r>
          </w:p>
        </w:tc>
        <w:tc>
          <w:tcPr>
            <w:tcW w:w="1857" w:type="dxa"/>
            <w:tcBorders>
              <w:top w:val="single" w:sz="6" w:space="0" w:color="auto"/>
              <w:left w:val="single" w:sz="6" w:space="0" w:color="auto"/>
              <w:bottom w:val="single" w:sz="6" w:space="0" w:color="auto"/>
              <w:right w:val="single" w:sz="6" w:space="0" w:color="auto"/>
            </w:tcBorders>
          </w:tcPr>
          <w:p w14:paraId="39C0E925" w14:textId="77777777" w:rsidR="00542337" w:rsidRDefault="00542337" w:rsidP="009B329F">
            <w:pPr>
              <w:pStyle w:val="TAL"/>
            </w:pPr>
          </w:p>
        </w:tc>
      </w:tr>
      <w:tr w:rsidR="00542337" w14:paraId="1EA0C33A"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43B3E6B2" w14:textId="77777777" w:rsidR="00542337" w:rsidRDefault="00542337" w:rsidP="009B329F">
            <w:pPr>
              <w:pStyle w:val="TAL"/>
            </w:pPr>
            <w:r>
              <w:rPr>
                <w:rFonts w:eastAsia="等线"/>
              </w:rPr>
              <w:t>NwdafMLModelProvSubsc</w:t>
            </w:r>
          </w:p>
        </w:tc>
        <w:tc>
          <w:tcPr>
            <w:tcW w:w="1404" w:type="dxa"/>
            <w:tcBorders>
              <w:top w:val="single" w:sz="6" w:space="0" w:color="auto"/>
              <w:left w:val="single" w:sz="6" w:space="0" w:color="auto"/>
              <w:bottom w:val="single" w:sz="6" w:space="0" w:color="auto"/>
              <w:right w:val="single" w:sz="6" w:space="0" w:color="auto"/>
            </w:tcBorders>
          </w:tcPr>
          <w:p w14:paraId="67A611F4" w14:textId="77777777" w:rsidR="00542337" w:rsidRDefault="00542337" w:rsidP="009B329F">
            <w:pPr>
              <w:pStyle w:val="TAL"/>
              <w:rPr>
                <w:lang w:eastAsia="zh-CN"/>
              </w:rPr>
            </w:pPr>
            <w:r>
              <w:rPr>
                <w:lang w:eastAsia="zh-CN"/>
              </w:rPr>
              <w:t>5.4.6.2.2</w:t>
            </w:r>
          </w:p>
        </w:tc>
        <w:tc>
          <w:tcPr>
            <w:tcW w:w="2822" w:type="dxa"/>
            <w:tcBorders>
              <w:top w:val="single" w:sz="6" w:space="0" w:color="auto"/>
              <w:left w:val="single" w:sz="6" w:space="0" w:color="auto"/>
              <w:bottom w:val="single" w:sz="6" w:space="0" w:color="auto"/>
              <w:right w:val="single" w:sz="6" w:space="0" w:color="auto"/>
            </w:tcBorders>
          </w:tcPr>
          <w:p w14:paraId="690BAEEE" w14:textId="77777777" w:rsidR="00542337" w:rsidRDefault="00542337" w:rsidP="009B329F">
            <w:pPr>
              <w:pStyle w:val="TAL"/>
            </w:pPr>
            <w:r w:rsidRPr="00103B96">
              <w:t xml:space="preserve">Represents </w:t>
            </w:r>
            <w:r>
              <w:t>ML Model</w:t>
            </w:r>
            <w:r w:rsidRPr="00103B96">
              <w:t xml:space="preserve"> </w:t>
            </w:r>
            <w:r>
              <w:t>e</w:t>
            </w:r>
            <w:r w:rsidRPr="00103B96">
              <w:t>vent</w:t>
            </w:r>
            <w:r>
              <w:t>(s)</w:t>
            </w:r>
            <w:r w:rsidRPr="00103B96">
              <w:t xml:space="preserve"> </w:t>
            </w:r>
            <w:r>
              <w:t>s</w:t>
            </w:r>
            <w:r w:rsidRPr="00103B96">
              <w:t>ubscription</w:t>
            </w:r>
            <w:r>
              <w:t>.</w:t>
            </w:r>
          </w:p>
        </w:tc>
        <w:tc>
          <w:tcPr>
            <w:tcW w:w="1857" w:type="dxa"/>
            <w:tcBorders>
              <w:top w:val="single" w:sz="6" w:space="0" w:color="auto"/>
              <w:left w:val="single" w:sz="6" w:space="0" w:color="auto"/>
              <w:bottom w:val="single" w:sz="6" w:space="0" w:color="auto"/>
              <w:right w:val="single" w:sz="6" w:space="0" w:color="auto"/>
            </w:tcBorders>
          </w:tcPr>
          <w:p w14:paraId="0042D2E1" w14:textId="77777777" w:rsidR="00542337" w:rsidRDefault="00542337" w:rsidP="009B329F">
            <w:pPr>
              <w:pStyle w:val="TAL"/>
            </w:pPr>
          </w:p>
        </w:tc>
      </w:tr>
      <w:tr w:rsidR="00542337" w14:paraId="3B89235C" w14:textId="77777777" w:rsidTr="009B329F">
        <w:trPr>
          <w:jc w:val="center"/>
        </w:trPr>
        <w:tc>
          <w:tcPr>
            <w:tcW w:w="3265" w:type="dxa"/>
            <w:tcBorders>
              <w:top w:val="single" w:sz="6" w:space="0" w:color="auto"/>
              <w:left w:val="single" w:sz="6" w:space="0" w:color="auto"/>
              <w:bottom w:val="single" w:sz="6" w:space="0" w:color="auto"/>
              <w:right w:val="single" w:sz="6" w:space="0" w:color="auto"/>
            </w:tcBorders>
          </w:tcPr>
          <w:p w14:paraId="186E5879" w14:textId="77777777" w:rsidR="00542337" w:rsidRDefault="00542337" w:rsidP="009B329F">
            <w:pPr>
              <w:pStyle w:val="TAL"/>
              <w:rPr>
                <w:rFonts w:eastAsia="等线"/>
              </w:rPr>
            </w:pPr>
            <w:r>
              <w:rPr>
                <w:rFonts w:eastAsia="等线"/>
              </w:rPr>
              <w:t>TrainInputDataInfo</w:t>
            </w:r>
          </w:p>
        </w:tc>
        <w:tc>
          <w:tcPr>
            <w:tcW w:w="1404" w:type="dxa"/>
            <w:tcBorders>
              <w:top w:val="single" w:sz="6" w:space="0" w:color="auto"/>
              <w:left w:val="single" w:sz="6" w:space="0" w:color="auto"/>
              <w:bottom w:val="single" w:sz="6" w:space="0" w:color="auto"/>
              <w:right w:val="single" w:sz="6" w:space="0" w:color="auto"/>
            </w:tcBorders>
          </w:tcPr>
          <w:p w14:paraId="5C44D7FF" w14:textId="77777777" w:rsidR="00542337" w:rsidRDefault="00542337" w:rsidP="009B329F">
            <w:pPr>
              <w:pStyle w:val="TAL"/>
              <w:rPr>
                <w:rFonts w:eastAsia="MS Mincho"/>
                <w:lang w:eastAsia="zh-CN"/>
              </w:rPr>
            </w:pPr>
            <w:r>
              <w:rPr>
                <w:lang w:eastAsia="zh-CN"/>
              </w:rPr>
              <w:t>5.4.6.2.16</w:t>
            </w:r>
          </w:p>
        </w:tc>
        <w:tc>
          <w:tcPr>
            <w:tcW w:w="2822" w:type="dxa"/>
            <w:tcBorders>
              <w:top w:val="single" w:sz="6" w:space="0" w:color="auto"/>
              <w:left w:val="single" w:sz="6" w:space="0" w:color="auto"/>
              <w:bottom w:val="single" w:sz="6" w:space="0" w:color="auto"/>
              <w:right w:val="single" w:sz="6" w:space="0" w:color="auto"/>
            </w:tcBorders>
          </w:tcPr>
          <w:p w14:paraId="581F3AC3" w14:textId="77777777" w:rsidR="00542337" w:rsidRDefault="00542337" w:rsidP="009B329F">
            <w:pPr>
              <w:pStyle w:val="TAL"/>
            </w:pPr>
            <w:r>
              <w:t>Represents training input data information.</w:t>
            </w:r>
          </w:p>
        </w:tc>
        <w:tc>
          <w:tcPr>
            <w:tcW w:w="1857" w:type="dxa"/>
            <w:tcBorders>
              <w:top w:val="single" w:sz="6" w:space="0" w:color="auto"/>
              <w:left w:val="single" w:sz="6" w:space="0" w:color="auto"/>
              <w:bottom w:val="single" w:sz="6" w:space="0" w:color="auto"/>
              <w:right w:val="single" w:sz="6" w:space="0" w:color="auto"/>
            </w:tcBorders>
          </w:tcPr>
          <w:p w14:paraId="411E1E9C" w14:textId="77777777" w:rsidR="00542337" w:rsidRDefault="00542337" w:rsidP="009B329F">
            <w:pPr>
              <w:pStyle w:val="TAL"/>
            </w:pPr>
            <w:r>
              <w:t>ModelProvisionExt</w:t>
            </w:r>
          </w:p>
        </w:tc>
      </w:tr>
    </w:tbl>
    <w:p w14:paraId="171E4E5A" w14:textId="77777777" w:rsidR="00A10B25" w:rsidRDefault="00A10B25">
      <w:pPr>
        <w:rPr>
          <w:rFonts w:eastAsia="MS Mincho"/>
        </w:rPr>
      </w:pPr>
    </w:p>
    <w:p w14:paraId="00B08294" w14:textId="77777777" w:rsidR="00A10B25" w:rsidRDefault="00A10B25">
      <w:r>
        <w:t>Table 5.4.6.1-2 specifies data types re-used by the Nnwdaf_</w:t>
      </w:r>
      <w:r>
        <w:rPr>
          <w:lang w:eastAsia="ja-JP"/>
        </w:rPr>
        <w:t>MLModelProvision</w:t>
      </w:r>
      <w:r>
        <w:t xml:space="preserve"> service based interface protocol from other specifications, including a reference to their respective specifications and when needed, a short description of their use within the </w:t>
      </w:r>
      <w:r>
        <w:rPr>
          <w:rFonts w:eastAsia="MS Mincho"/>
        </w:rPr>
        <w:t>Nnwdaf_</w:t>
      </w:r>
      <w:r>
        <w:rPr>
          <w:lang w:eastAsia="ja-JP"/>
        </w:rPr>
        <w:t xml:space="preserve">MLModelProvision </w:t>
      </w:r>
      <w:r>
        <w:t>service based interface.</w:t>
      </w:r>
    </w:p>
    <w:p w14:paraId="0E8E1DDE"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5.4.6.1-2: Nnwdaf_</w:t>
      </w:r>
      <w:r>
        <w:rPr>
          <w:lang w:eastAsia="ja-JP"/>
        </w:rPr>
        <w:t>MLModelProvision</w:t>
      </w:r>
      <w:r>
        <w:rPr>
          <w:rFonts w:eastAsia="MS Mincho"/>
        </w:rPr>
        <w:t xml:space="preserve"> re-used Data Types</w:t>
      </w:r>
    </w:p>
    <w:tbl>
      <w:tblPr>
        <w:tblW w:w="946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35"/>
        <w:gridCol w:w="2378"/>
        <w:gridCol w:w="2578"/>
        <w:gridCol w:w="1877"/>
      </w:tblGrid>
      <w:tr w:rsidR="00542337" w14:paraId="4C712759" w14:textId="77777777" w:rsidTr="009B329F">
        <w:trPr>
          <w:jc w:val="center"/>
        </w:trPr>
        <w:tc>
          <w:tcPr>
            <w:tcW w:w="2635" w:type="dxa"/>
            <w:shd w:val="clear" w:color="auto" w:fill="C0C0C0"/>
          </w:tcPr>
          <w:p w14:paraId="7D1C86AB" w14:textId="77777777" w:rsidR="00542337" w:rsidRDefault="00542337" w:rsidP="009B329F">
            <w:pPr>
              <w:pStyle w:val="TAH"/>
            </w:pPr>
            <w:r>
              <w:t>Data type</w:t>
            </w:r>
          </w:p>
        </w:tc>
        <w:tc>
          <w:tcPr>
            <w:tcW w:w="2378" w:type="dxa"/>
            <w:shd w:val="clear" w:color="auto" w:fill="C0C0C0"/>
          </w:tcPr>
          <w:p w14:paraId="4A673C3A" w14:textId="77777777" w:rsidR="00542337" w:rsidRDefault="00542337" w:rsidP="009B329F">
            <w:pPr>
              <w:pStyle w:val="TAH"/>
            </w:pPr>
            <w:r>
              <w:t>Reference</w:t>
            </w:r>
          </w:p>
        </w:tc>
        <w:tc>
          <w:tcPr>
            <w:tcW w:w="2578" w:type="dxa"/>
            <w:shd w:val="clear" w:color="auto" w:fill="C0C0C0"/>
          </w:tcPr>
          <w:p w14:paraId="757E6717" w14:textId="77777777" w:rsidR="00542337" w:rsidRDefault="00542337" w:rsidP="009B329F">
            <w:pPr>
              <w:pStyle w:val="TAH"/>
            </w:pPr>
            <w:r>
              <w:t>Comments</w:t>
            </w:r>
          </w:p>
        </w:tc>
        <w:tc>
          <w:tcPr>
            <w:tcW w:w="1877" w:type="dxa"/>
            <w:shd w:val="clear" w:color="auto" w:fill="C0C0C0"/>
          </w:tcPr>
          <w:p w14:paraId="0D45DE63" w14:textId="77777777" w:rsidR="00542337" w:rsidRDefault="00542337" w:rsidP="009B329F">
            <w:pPr>
              <w:pStyle w:val="TAH"/>
            </w:pPr>
            <w:r>
              <w:t>Applicability</w:t>
            </w:r>
          </w:p>
        </w:tc>
      </w:tr>
      <w:tr w:rsidR="00542337" w14:paraId="25A5A2B9"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2BFF61B1" w14:textId="77777777" w:rsidR="00542337" w:rsidRDefault="00542337" w:rsidP="009B329F">
            <w:pPr>
              <w:pStyle w:val="TAL"/>
            </w:pPr>
            <w:r>
              <w:t>Accuracy</w:t>
            </w:r>
          </w:p>
        </w:tc>
        <w:tc>
          <w:tcPr>
            <w:tcW w:w="2378" w:type="dxa"/>
            <w:tcBorders>
              <w:top w:val="single" w:sz="6" w:space="0" w:color="auto"/>
              <w:left w:val="single" w:sz="6" w:space="0" w:color="auto"/>
              <w:bottom w:val="single" w:sz="6" w:space="0" w:color="auto"/>
              <w:right w:val="single" w:sz="6" w:space="0" w:color="auto"/>
            </w:tcBorders>
          </w:tcPr>
          <w:p w14:paraId="7F538D67" w14:textId="77777777" w:rsidR="00542337" w:rsidRPr="009C2982" w:rsidRDefault="00542337" w:rsidP="009B329F">
            <w:pPr>
              <w:pStyle w:val="TAL"/>
              <w:rPr>
                <w:rFonts w:cs="Arial"/>
              </w:rPr>
            </w:pPr>
            <w:r w:rsidRPr="009C2982">
              <w:rPr>
                <w:rFonts w:cs="Arial"/>
              </w:rPr>
              <w:t>5.1.6.3.5</w:t>
            </w:r>
          </w:p>
        </w:tc>
        <w:tc>
          <w:tcPr>
            <w:tcW w:w="2578" w:type="dxa"/>
            <w:tcBorders>
              <w:top w:val="single" w:sz="6" w:space="0" w:color="auto"/>
              <w:left w:val="single" w:sz="6" w:space="0" w:color="auto"/>
              <w:bottom w:val="single" w:sz="6" w:space="0" w:color="auto"/>
              <w:right w:val="single" w:sz="6" w:space="0" w:color="auto"/>
            </w:tcBorders>
          </w:tcPr>
          <w:p w14:paraId="43649AE9" w14:textId="77777777" w:rsidR="00542337" w:rsidRPr="009C2982" w:rsidRDefault="00542337" w:rsidP="009B329F">
            <w:pPr>
              <w:pStyle w:val="TAL"/>
              <w:rPr>
                <w:rFonts w:cs="Arial"/>
                <w:szCs w:val="18"/>
                <w:lang w:eastAsia="zh-CN"/>
              </w:rPr>
            </w:pPr>
            <w:r w:rsidRPr="009C2982">
              <w:rPr>
                <w:rFonts w:cs="Arial"/>
                <w:szCs w:val="18"/>
                <w:lang w:eastAsia="zh-CN"/>
              </w:rPr>
              <w:t>Represents accuracy levels of interest for ML models</w:t>
            </w:r>
          </w:p>
        </w:tc>
        <w:tc>
          <w:tcPr>
            <w:tcW w:w="1877" w:type="dxa"/>
            <w:tcBorders>
              <w:top w:val="single" w:sz="6" w:space="0" w:color="auto"/>
              <w:left w:val="single" w:sz="6" w:space="0" w:color="auto"/>
              <w:bottom w:val="single" w:sz="6" w:space="0" w:color="auto"/>
              <w:right w:val="single" w:sz="6" w:space="0" w:color="auto"/>
            </w:tcBorders>
          </w:tcPr>
          <w:p w14:paraId="0597A51B"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0F867686"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5E606999" w14:textId="77777777" w:rsidR="00542337" w:rsidRDefault="00542337" w:rsidP="009B329F">
            <w:pPr>
              <w:pStyle w:val="TAL"/>
            </w:pPr>
            <w:r>
              <w:t>DataSetTag</w:t>
            </w:r>
          </w:p>
        </w:tc>
        <w:tc>
          <w:tcPr>
            <w:tcW w:w="2378" w:type="dxa"/>
            <w:tcBorders>
              <w:top w:val="single" w:sz="6" w:space="0" w:color="auto"/>
              <w:left w:val="single" w:sz="6" w:space="0" w:color="auto"/>
              <w:bottom w:val="single" w:sz="6" w:space="0" w:color="auto"/>
              <w:right w:val="single" w:sz="6" w:space="0" w:color="auto"/>
            </w:tcBorders>
          </w:tcPr>
          <w:p w14:paraId="33BFFCFB" w14:textId="77777777" w:rsidR="00542337" w:rsidRPr="009C2982" w:rsidRDefault="00542337" w:rsidP="009B329F">
            <w:pPr>
              <w:pStyle w:val="TAL"/>
              <w:rPr>
                <w:rFonts w:cs="Arial"/>
              </w:rPr>
            </w:pPr>
            <w:r>
              <w:rPr>
                <w:rFonts w:cs="Arial"/>
              </w:rPr>
              <w:t>3GPP TS 29.575 [27]</w:t>
            </w:r>
          </w:p>
        </w:tc>
        <w:tc>
          <w:tcPr>
            <w:tcW w:w="2578" w:type="dxa"/>
            <w:tcBorders>
              <w:top w:val="single" w:sz="6" w:space="0" w:color="auto"/>
              <w:left w:val="single" w:sz="6" w:space="0" w:color="auto"/>
              <w:bottom w:val="single" w:sz="6" w:space="0" w:color="auto"/>
              <w:right w:val="single" w:sz="6" w:space="0" w:color="auto"/>
            </w:tcBorders>
          </w:tcPr>
          <w:p w14:paraId="67590053" w14:textId="77777777" w:rsidR="00542337" w:rsidRPr="009C2982" w:rsidRDefault="00542337" w:rsidP="009B329F">
            <w:pPr>
              <w:pStyle w:val="TAL"/>
              <w:rPr>
                <w:rFonts w:cs="Arial"/>
                <w:szCs w:val="18"/>
                <w:lang w:eastAsia="zh-CN"/>
              </w:rPr>
            </w:pPr>
            <w:r w:rsidRPr="009C2982">
              <w:rPr>
                <w:rFonts w:cs="Arial"/>
                <w:szCs w:val="18"/>
                <w:lang w:eastAsia="zh-CN"/>
              </w:rPr>
              <w:t>Contains an identifier and a description of associated data or analytics records.</w:t>
            </w:r>
          </w:p>
        </w:tc>
        <w:tc>
          <w:tcPr>
            <w:tcW w:w="1877" w:type="dxa"/>
            <w:tcBorders>
              <w:top w:val="single" w:sz="6" w:space="0" w:color="auto"/>
              <w:left w:val="single" w:sz="6" w:space="0" w:color="auto"/>
              <w:bottom w:val="single" w:sz="6" w:space="0" w:color="auto"/>
              <w:right w:val="single" w:sz="6" w:space="0" w:color="auto"/>
            </w:tcBorders>
          </w:tcPr>
          <w:p w14:paraId="5C6E5381" w14:textId="77777777" w:rsidR="00542337" w:rsidRDefault="00542337" w:rsidP="009B329F">
            <w:pPr>
              <w:keepNext/>
              <w:keepLines/>
              <w:spacing w:after="0"/>
              <w:rPr>
                <w:rFonts w:ascii="Arial" w:eastAsia="Batang" w:hAnsi="Arial"/>
                <w:sz w:val="18"/>
              </w:rPr>
            </w:pPr>
            <w:r w:rsidRPr="005F7683">
              <w:rPr>
                <w:rFonts w:ascii="Arial" w:eastAsia="Batang" w:hAnsi="Arial"/>
                <w:sz w:val="18"/>
              </w:rPr>
              <w:t>ModelProvisionExt</w:t>
            </w:r>
          </w:p>
        </w:tc>
      </w:tr>
      <w:tr w:rsidR="00542337" w14:paraId="36F7F5AB"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347DB36B" w14:textId="77777777" w:rsidR="00542337" w:rsidRDefault="00542337" w:rsidP="009B329F">
            <w:pPr>
              <w:pStyle w:val="TAL"/>
            </w:pPr>
            <w:r>
              <w:t>DateTime</w:t>
            </w:r>
          </w:p>
        </w:tc>
        <w:tc>
          <w:tcPr>
            <w:tcW w:w="2378" w:type="dxa"/>
            <w:tcBorders>
              <w:top w:val="single" w:sz="6" w:space="0" w:color="auto"/>
              <w:left w:val="single" w:sz="6" w:space="0" w:color="auto"/>
              <w:bottom w:val="single" w:sz="6" w:space="0" w:color="auto"/>
              <w:right w:val="single" w:sz="6" w:space="0" w:color="auto"/>
            </w:tcBorders>
          </w:tcPr>
          <w:p w14:paraId="5558E750" w14:textId="77777777" w:rsidR="00542337" w:rsidRPr="009C2982" w:rsidRDefault="00542337" w:rsidP="009B329F">
            <w:pPr>
              <w:pStyle w:val="TAL"/>
              <w:rPr>
                <w:rFonts w:cs="Arial"/>
              </w:rPr>
            </w:pPr>
            <w:r w:rsidRPr="009C2982">
              <w:rPr>
                <w:rFonts w:cs="Arial"/>
              </w:rPr>
              <w:t>3GPP TS 29.571 [8]</w:t>
            </w:r>
          </w:p>
        </w:tc>
        <w:tc>
          <w:tcPr>
            <w:tcW w:w="2578" w:type="dxa"/>
            <w:tcBorders>
              <w:top w:val="single" w:sz="6" w:space="0" w:color="auto"/>
              <w:left w:val="single" w:sz="6" w:space="0" w:color="auto"/>
              <w:bottom w:val="single" w:sz="6" w:space="0" w:color="auto"/>
              <w:right w:val="single" w:sz="6" w:space="0" w:color="auto"/>
            </w:tcBorders>
          </w:tcPr>
          <w:p w14:paraId="4EAEC0ED" w14:textId="77777777" w:rsidR="00542337" w:rsidRPr="009C2982" w:rsidRDefault="00542337" w:rsidP="009B329F">
            <w:pPr>
              <w:pStyle w:val="TAL"/>
              <w:rPr>
                <w:rFonts w:cs="Arial"/>
                <w:szCs w:val="18"/>
                <w:lang w:eastAsia="zh-CN"/>
              </w:rPr>
            </w:pPr>
            <w:r w:rsidRPr="009C2982">
              <w:rPr>
                <w:rFonts w:cs="Arial"/>
                <w:szCs w:val="18"/>
                <w:lang w:eastAsia="zh-CN"/>
              </w:rPr>
              <w:t>Identifies the time.</w:t>
            </w:r>
          </w:p>
        </w:tc>
        <w:tc>
          <w:tcPr>
            <w:tcW w:w="1877" w:type="dxa"/>
            <w:tcBorders>
              <w:top w:val="single" w:sz="6" w:space="0" w:color="auto"/>
              <w:left w:val="single" w:sz="6" w:space="0" w:color="auto"/>
              <w:bottom w:val="single" w:sz="6" w:space="0" w:color="auto"/>
              <w:right w:val="single" w:sz="6" w:space="0" w:color="auto"/>
            </w:tcBorders>
          </w:tcPr>
          <w:p w14:paraId="212C2E46" w14:textId="77777777" w:rsidR="00542337" w:rsidRDefault="00542337" w:rsidP="009B329F">
            <w:pPr>
              <w:keepNext/>
              <w:keepLines/>
              <w:spacing w:after="0"/>
              <w:rPr>
                <w:rFonts w:ascii="Arial" w:eastAsia="Batang" w:hAnsi="Arial"/>
                <w:sz w:val="18"/>
              </w:rPr>
            </w:pPr>
          </w:p>
        </w:tc>
      </w:tr>
      <w:tr w:rsidR="00542337" w14:paraId="5ED0965A"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61986A79" w14:textId="77777777" w:rsidR="00542337" w:rsidRDefault="00542337" w:rsidP="009B329F">
            <w:pPr>
              <w:pStyle w:val="TAL"/>
            </w:pPr>
            <w:r>
              <w:t>DccfEvent</w:t>
            </w:r>
          </w:p>
        </w:tc>
        <w:tc>
          <w:tcPr>
            <w:tcW w:w="2378" w:type="dxa"/>
            <w:tcBorders>
              <w:top w:val="single" w:sz="6" w:space="0" w:color="auto"/>
              <w:left w:val="single" w:sz="6" w:space="0" w:color="auto"/>
              <w:bottom w:val="single" w:sz="6" w:space="0" w:color="auto"/>
              <w:right w:val="single" w:sz="6" w:space="0" w:color="auto"/>
            </w:tcBorders>
          </w:tcPr>
          <w:p w14:paraId="2F399D7E" w14:textId="77777777" w:rsidR="00542337" w:rsidRPr="009C2982" w:rsidRDefault="00542337" w:rsidP="009B329F">
            <w:pPr>
              <w:pStyle w:val="TAL"/>
              <w:rPr>
                <w:rFonts w:cs="Arial"/>
              </w:rPr>
            </w:pPr>
            <w:r w:rsidRPr="009C2982">
              <w:rPr>
                <w:rFonts w:cs="Arial"/>
              </w:rPr>
              <w:t>3GPP TS 29.574 [26]</w:t>
            </w:r>
          </w:p>
        </w:tc>
        <w:tc>
          <w:tcPr>
            <w:tcW w:w="2578" w:type="dxa"/>
            <w:tcBorders>
              <w:top w:val="single" w:sz="6" w:space="0" w:color="auto"/>
              <w:left w:val="single" w:sz="6" w:space="0" w:color="auto"/>
              <w:bottom w:val="single" w:sz="6" w:space="0" w:color="auto"/>
              <w:right w:val="single" w:sz="6" w:space="0" w:color="auto"/>
            </w:tcBorders>
          </w:tcPr>
          <w:p w14:paraId="505BB613" w14:textId="77777777" w:rsidR="00542337" w:rsidRPr="009C2982" w:rsidRDefault="00542337" w:rsidP="009B329F">
            <w:pPr>
              <w:pStyle w:val="TAL"/>
              <w:rPr>
                <w:rFonts w:cs="Arial"/>
                <w:szCs w:val="18"/>
                <w:lang w:eastAsia="zh-CN"/>
              </w:rPr>
            </w:pPr>
            <w:r w:rsidRPr="009C2982">
              <w:rPr>
                <w:rFonts w:cs="Arial"/>
                <w:szCs w:val="18"/>
                <w:lang w:eastAsia="zh-CN"/>
              </w:rPr>
              <w:t>Identifies the input data event.</w:t>
            </w:r>
          </w:p>
        </w:tc>
        <w:tc>
          <w:tcPr>
            <w:tcW w:w="1877" w:type="dxa"/>
            <w:tcBorders>
              <w:top w:val="single" w:sz="6" w:space="0" w:color="auto"/>
              <w:left w:val="single" w:sz="6" w:space="0" w:color="auto"/>
              <w:bottom w:val="single" w:sz="6" w:space="0" w:color="auto"/>
              <w:right w:val="single" w:sz="6" w:space="0" w:color="auto"/>
            </w:tcBorders>
          </w:tcPr>
          <w:p w14:paraId="6964E5CB"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58352E80"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0324F355" w14:textId="77777777" w:rsidR="00542337" w:rsidRDefault="00542337" w:rsidP="009B329F">
            <w:pPr>
              <w:pStyle w:val="TAL"/>
            </w:pPr>
            <w:r>
              <w:t>EventFilter</w:t>
            </w:r>
          </w:p>
        </w:tc>
        <w:tc>
          <w:tcPr>
            <w:tcW w:w="2378" w:type="dxa"/>
            <w:tcBorders>
              <w:top w:val="single" w:sz="6" w:space="0" w:color="auto"/>
              <w:left w:val="single" w:sz="6" w:space="0" w:color="auto"/>
              <w:bottom w:val="single" w:sz="6" w:space="0" w:color="auto"/>
              <w:right w:val="single" w:sz="6" w:space="0" w:color="auto"/>
            </w:tcBorders>
          </w:tcPr>
          <w:p w14:paraId="3B97C84A" w14:textId="77777777" w:rsidR="00542337" w:rsidRDefault="00542337" w:rsidP="009B329F">
            <w:pPr>
              <w:pStyle w:val="TAL"/>
              <w:rPr>
                <w:rFonts w:cs="Arial"/>
              </w:rPr>
            </w:pPr>
            <w:r w:rsidRPr="009C2982">
              <w:rPr>
                <w:rFonts w:cs="Arial"/>
              </w:rPr>
              <w:t>5.2.6.2.3</w:t>
            </w:r>
          </w:p>
        </w:tc>
        <w:tc>
          <w:tcPr>
            <w:tcW w:w="2578" w:type="dxa"/>
            <w:tcBorders>
              <w:top w:val="single" w:sz="6" w:space="0" w:color="auto"/>
              <w:left w:val="single" w:sz="6" w:space="0" w:color="auto"/>
              <w:bottom w:val="single" w:sz="6" w:space="0" w:color="auto"/>
              <w:right w:val="single" w:sz="6" w:space="0" w:color="auto"/>
            </w:tcBorders>
          </w:tcPr>
          <w:p w14:paraId="48EB9281" w14:textId="77777777" w:rsidR="00542337" w:rsidRDefault="00542337" w:rsidP="009B329F">
            <w:pPr>
              <w:pStyle w:val="TAL"/>
              <w:rPr>
                <w:rFonts w:cs="Arial"/>
                <w:szCs w:val="18"/>
                <w:lang w:eastAsia="zh-CN"/>
              </w:rPr>
            </w:pPr>
            <w:r>
              <w:rPr>
                <w:rFonts w:cs="Arial"/>
                <w:szCs w:val="18"/>
                <w:lang w:eastAsia="zh-CN"/>
              </w:rPr>
              <w:t>Identifies the filter for the subscribed event.</w:t>
            </w:r>
          </w:p>
        </w:tc>
        <w:tc>
          <w:tcPr>
            <w:tcW w:w="1877" w:type="dxa"/>
            <w:tcBorders>
              <w:top w:val="single" w:sz="6" w:space="0" w:color="auto"/>
              <w:left w:val="single" w:sz="6" w:space="0" w:color="auto"/>
              <w:bottom w:val="single" w:sz="6" w:space="0" w:color="auto"/>
              <w:right w:val="single" w:sz="6" w:space="0" w:color="auto"/>
            </w:tcBorders>
          </w:tcPr>
          <w:p w14:paraId="1060449E" w14:textId="77777777" w:rsidR="00542337" w:rsidRDefault="00542337" w:rsidP="009B329F">
            <w:pPr>
              <w:keepNext/>
              <w:keepLines/>
              <w:spacing w:after="0"/>
              <w:rPr>
                <w:rFonts w:ascii="Arial" w:eastAsia="Batang" w:hAnsi="Arial"/>
                <w:sz w:val="18"/>
              </w:rPr>
            </w:pPr>
          </w:p>
        </w:tc>
      </w:tr>
      <w:tr w:rsidR="00542337" w14:paraId="4AB22A62"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0B45BAD2" w14:textId="77777777" w:rsidR="00542337" w:rsidRDefault="00542337" w:rsidP="009B329F">
            <w:pPr>
              <w:pStyle w:val="TAL"/>
            </w:pPr>
            <w:r>
              <w:t>NetworkAreaInfo</w:t>
            </w:r>
          </w:p>
        </w:tc>
        <w:tc>
          <w:tcPr>
            <w:tcW w:w="2378" w:type="dxa"/>
            <w:tcBorders>
              <w:top w:val="single" w:sz="6" w:space="0" w:color="auto"/>
              <w:left w:val="single" w:sz="6" w:space="0" w:color="auto"/>
              <w:bottom w:val="single" w:sz="6" w:space="0" w:color="auto"/>
              <w:right w:val="single" w:sz="6" w:space="0" w:color="auto"/>
            </w:tcBorders>
          </w:tcPr>
          <w:p w14:paraId="0D1CC75C" w14:textId="77777777" w:rsidR="00542337" w:rsidRPr="009C2982" w:rsidRDefault="00542337" w:rsidP="009B329F">
            <w:pPr>
              <w:pStyle w:val="TAL"/>
              <w:rPr>
                <w:rFonts w:cs="Arial"/>
              </w:rPr>
            </w:pPr>
            <w:r>
              <w:rPr>
                <w:rFonts w:cs="Arial"/>
              </w:rPr>
              <w:t>3GPP TS 29.554 [18]</w:t>
            </w:r>
          </w:p>
        </w:tc>
        <w:tc>
          <w:tcPr>
            <w:tcW w:w="2578" w:type="dxa"/>
            <w:tcBorders>
              <w:top w:val="single" w:sz="6" w:space="0" w:color="auto"/>
              <w:left w:val="single" w:sz="6" w:space="0" w:color="auto"/>
              <w:bottom w:val="single" w:sz="6" w:space="0" w:color="auto"/>
              <w:right w:val="single" w:sz="6" w:space="0" w:color="auto"/>
            </w:tcBorders>
          </w:tcPr>
          <w:p w14:paraId="2418C953" w14:textId="77777777" w:rsidR="00542337" w:rsidRDefault="00542337" w:rsidP="009B329F">
            <w:pPr>
              <w:pStyle w:val="TAL"/>
              <w:rPr>
                <w:rFonts w:cs="Arial"/>
                <w:szCs w:val="18"/>
                <w:lang w:eastAsia="zh-CN"/>
              </w:rPr>
            </w:pPr>
            <w:r>
              <w:rPr>
                <w:rFonts w:cs="Arial"/>
                <w:szCs w:val="18"/>
                <w:lang w:eastAsia="zh-CN"/>
              </w:rPr>
              <w:t>Identifies the network area.</w:t>
            </w:r>
          </w:p>
        </w:tc>
        <w:tc>
          <w:tcPr>
            <w:tcW w:w="1877" w:type="dxa"/>
            <w:tcBorders>
              <w:top w:val="single" w:sz="6" w:space="0" w:color="auto"/>
              <w:left w:val="single" w:sz="6" w:space="0" w:color="auto"/>
              <w:bottom w:val="single" w:sz="6" w:space="0" w:color="auto"/>
              <w:right w:val="single" w:sz="6" w:space="0" w:color="auto"/>
            </w:tcBorders>
          </w:tcPr>
          <w:p w14:paraId="65F031C4" w14:textId="77777777" w:rsidR="00542337" w:rsidRDefault="00542337" w:rsidP="009B329F">
            <w:pPr>
              <w:keepNext/>
              <w:keepLines/>
              <w:spacing w:after="0"/>
              <w:rPr>
                <w:rFonts w:ascii="Arial" w:eastAsia="Batang" w:hAnsi="Arial"/>
                <w:sz w:val="18"/>
              </w:rPr>
            </w:pPr>
          </w:p>
        </w:tc>
      </w:tr>
      <w:tr w:rsidR="00542337" w14:paraId="50D262D0"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3010C6F2" w14:textId="77777777" w:rsidR="00542337" w:rsidRDefault="00542337" w:rsidP="009B329F">
            <w:pPr>
              <w:pStyle w:val="TAL"/>
            </w:pPr>
            <w:r>
              <w:t>NwdafEvent</w:t>
            </w:r>
          </w:p>
        </w:tc>
        <w:tc>
          <w:tcPr>
            <w:tcW w:w="2378" w:type="dxa"/>
            <w:tcBorders>
              <w:top w:val="single" w:sz="6" w:space="0" w:color="auto"/>
              <w:left w:val="single" w:sz="6" w:space="0" w:color="auto"/>
              <w:bottom w:val="single" w:sz="6" w:space="0" w:color="auto"/>
              <w:right w:val="single" w:sz="6" w:space="0" w:color="auto"/>
            </w:tcBorders>
          </w:tcPr>
          <w:p w14:paraId="0EAD077C" w14:textId="77777777" w:rsidR="00542337" w:rsidRDefault="00542337" w:rsidP="009B329F">
            <w:pPr>
              <w:pStyle w:val="TAL"/>
              <w:rPr>
                <w:rFonts w:cs="Arial"/>
              </w:rPr>
            </w:pPr>
            <w:r>
              <w:rPr>
                <w:rFonts w:cs="Arial"/>
              </w:rPr>
              <w:t>5.1.6.3.4</w:t>
            </w:r>
          </w:p>
        </w:tc>
        <w:tc>
          <w:tcPr>
            <w:tcW w:w="2578" w:type="dxa"/>
            <w:tcBorders>
              <w:top w:val="single" w:sz="6" w:space="0" w:color="auto"/>
              <w:left w:val="single" w:sz="6" w:space="0" w:color="auto"/>
              <w:bottom w:val="single" w:sz="6" w:space="0" w:color="auto"/>
              <w:right w:val="single" w:sz="6" w:space="0" w:color="auto"/>
            </w:tcBorders>
          </w:tcPr>
          <w:p w14:paraId="1F04E429" w14:textId="77777777" w:rsidR="00542337" w:rsidRDefault="00542337" w:rsidP="009B329F">
            <w:pPr>
              <w:pStyle w:val="TAL"/>
              <w:rPr>
                <w:rFonts w:cs="Arial"/>
                <w:szCs w:val="18"/>
                <w:lang w:eastAsia="zh-CN"/>
              </w:rPr>
            </w:pPr>
            <w:r w:rsidRPr="005F7683">
              <w:rPr>
                <w:rFonts w:cs="Arial"/>
                <w:szCs w:val="18"/>
                <w:lang w:eastAsia="zh-CN"/>
              </w:rPr>
              <w:t>Describes the NWDAF Events.</w:t>
            </w:r>
          </w:p>
        </w:tc>
        <w:tc>
          <w:tcPr>
            <w:tcW w:w="1877" w:type="dxa"/>
            <w:tcBorders>
              <w:top w:val="single" w:sz="6" w:space="0" w:color="auto"/>
              <w:left w:val="single" w:sz="6" w:space="0" w:color="auto"/>
              <w:bottom w:val="single" w:sz="6" w:space="0" w:color="auto"/>
              <w:right w:val="single" w:sz="6" w:space="0" w:color="auto"/>
            </w:tcBorders>
          </w:tcPr>
          <w:p w14:paraId="19B1B0A5" w14:textId="77777777" w:rsidR="00542337" w:rsidRDefault="00542337" w:rsidP="009B329F">
            <w:pPr>
              <w:keepNext/>
              <w:keepLines/>
              <w:spacing w:after="0"/>
              <w:rPr>
                <w:rFonts w:ascii="Arial" w:eastAsia="Batang" w:hAnsi="Arial"/>
                <w:sz w:val="18"/>
              </w:rPr>
            </w:pPr>
          </w:p>
        </w:tc>
      </w:tr>
      <w:tr w:rsidR="00542337" w14:paraId="3333D654" w14:textId="77777777" w:rsidTr="009B329F">
        <w:trPr>
          <w:jc w:val="center"/>
        </w:trPr>
        <w:tc>
          <w:tcPr>
            <w:tcW w:w="2635" w:type="dxa"/>
          </w:tcPr>
          <w:p w14:paraId="32259A3C" w14:textId="77777777" w:rsidR="00542337" w:rsidRDefault="00542337" w:rsidP="009B329F">
            <w:pPr>
              <w:pStyle w:val="TAL"/>
            </w:pPr>
            <w:r>
              <w:t>NfInstanceId</w:t>
            </w:r>
          </w:p>
        </w:tc>
        <w:tc>
          <w:tcPr>
            <w:tcW w:w="2378" w:type="dxa"/>
          </w:tcPr>
          <w:p w14:paraId="679AAD03" w14:textId="77777777" w:rsidR="00542337" w:rsidRDefault="00542337" w:rsidP="009B329F">
            <w:pPr>
              <w:pStyle w:val="TAL"/>
              <w:rPr>
                <w:rFonts w:cs="Arial"/>
              </w:rPr>
            </w:pPr>
            <w:r>
              <w:t>3GPP TS 29.571 [8]</w:t>
            </w:r>
          </w:p>
        </w:tc>
        <w:tc>
          <w:tcPr>
            <w:tcW w:w="2578" w:type="dxa"/>
          </w:tcPr>
          <w:p w14:paraId="33EC354A" w14:textId="77777777" w:rsidR="00542337" w:rsidRDefault="00542337" w:rsidP="009B329F">
            <w:pPr>
              <w:pStyle w:val="TAL"/>
              <w:rPr>
                <w:rFonts w:cs="Arial"/>
                <w:szCs w:val="18"/>
                <w:lang w:eastAsia="zh-CN"/>
              </w:rPr>
            </w:pPr>
            <w:r>
              <w:t>Identifies an NF instance.</w:t>
            </w:r>
          </w:p>
        </w:tc>
        <w:tc>
          <w:tcPr>
            <w:tcW w:w="1877" w:type="dxa"/>
          </w:tcPr>
          <w:p w14:paraId="07C532A0"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2C91352B" w14:textId="77777777" w:rsidTr="009B329F">
        <w:trPr>
          <w:jc w:val="center"/>
        </w:trPr>
        <w:tc>
          <w:tcPr>
            <w:tcW w:w="2635" w:type="dxa"/>
          </w:tcPr>
          <w:p w14:paraId="66B222D0" w14:textId="77777777" w:rsidR="00542337" w:rsidRDefault="00542337" w:rsidP="009B329F">
            <w:pPr>
              <w:pStyle w:val="TAL"/>
            </w:pPr>
            <w:r>
              <w:t>NfSetId</w:t>
            </w:r>
          </w:p>
        </w:tc>
        <w:tc>
          <w:tcPr>
            <w:tcW w:w="2378" w:type="dxa"/>
          </w:tcPr>
          <w:p w14:paraId="5AEE7EA5" w14:textId="77777777" w:rsidR="00542337" w:rsidRDefault="00542337" w:rsidP="009B329F">
            <w:pPr>
              <w:pStyle w:val="TAL"/>
              <w:rPr>
                <w:rFonts w:cs="Arial"/>
              </w:rPr>
            </w:pPr>
            <w:r>
              <w:t>3GPP TS 29.571 [8]</w:t>
            </w:r>
          </w:p>
        </w:tc>
        <w:tc>
          <w:tcPr>
            <w:tcW w:w="2578" w:type="dxa"/>
          </w:tcPr>
          <w:p w14:paraId="0A7D6E2A" w14:textId="77777777" w:rsidR="00542337" w:rsidRDefault="00542337" w:rsidP="009B329F">
            <w:pPr>
              <w:pStyle w:val="TAL"/>
              <w:rPr>
                <w:rFonts w:cs="Arial"/>
                <w:szCs w:val="18"/>
                <w:lang w:eastAsia="zh-CN"/>
              </w:rPr>
            </w:pPr>
            <w:r>
              <w:t>Identifies an NF Set.</w:t>
            </w:r>
          </w:p>
        </w:tc>
        <w:tc>
          <w:tcPr>
            <w:tcW w:w="1877" w:type="dxa"/>
          </w:tcPr>
          <w:p w14:paraId="08F7FC28" w14:textId="77777777" w:rsidR="00542337" w:rsidRDefault="00542337" w:rsidP="009B329F">
            <w:pPr>
              <w:keepNext/>
              <w:keepLines/>
              <w:spacing w:after="0"/>
              <w:rPr>
                <w:rFonts w:ascii="Arial" w:eastAsia="Batang" w:hAnsi="Arial"/>
                <w:sz w:val="18"/>
              </w:rPr>
            </w:pPr>
            <w:r>
              <w:rPr>
                <w:rFonts w:ascii="Arial" w:eastAsia="Batang" w:hAnsi="Arial"/>
                <w:sz w:val="18"/>
              </w:rPr>
              <w:t>ModelProvisionExt</w:t>
            </w:r>
          </w:p>
        </w:tc>
      </w:tr>
      <w:tr w:rsidR="00542337" w14:paraId="1194FDE6" w14:textId="77777777" w:rsidTr="009B329F">
        <w:trPr>
          <w:jc w:val="center"/>
        </w:trPr>
        <w:tc>
          <w:tcPr>
            <w:tcW w:w="2635" w:type="dxa"/>
          </w:tcPr>
          <w:p w14:paraId="59B173A8" w14:textId="77777777" w:rsidR="00542337" w:rsidRDefault="00542337" w:rsidP="009B329F">
            <w:pPr>
              <w:pStyle w:val="TAL"/>
            </w:pPr>
            <w:r>
              <w:rPr>
                <w:rFonts w:eastAsia="等线"/>
              </w:rPr>
              <w:t>RedirectResponse</w:t>
            </w:r>
          </w:p>
        </w:tc>
        <w:tc>
          <w:tcPr>
            <w:tcW w:w="2378" w:type="dxa"/>
          </w:tcPr>
          <w:p w14:paraId="07AEE75A" w14:textId="77777777" w:rsidR="00542337" w:rsidRDefault="00542337" w:rsidP="009B329F">
            <w:pPr>
              <w:pStyle w:val="TAL"/>
            </w:pPr>
            <w:r>
              <w:t>3GPP TS 29.571 [8]</w:t>
            </w:r>
          </w:p>
        </w:tc>
        <w:tc>
          <w:tcPr>
            <w:tcW w:w="2578" w:type="dxa"/>
          </w:tcPr>
          <w:p w14:paraId="5BEE09B6" w14:textId="77777777" w:rsidR="00542337" w:rsidRDefault="00542337" w:rsidP="009B329F">
            <w:pPr>
              <w:pStyle w:val="TAL"/>
            </w:pPr>
            <w:r w:rsidRPr="005F7683">
              <w:t>Represents redirection related information</w:t>
            </w:r>
            <w:r>
              <w:t>.</w:t>
            </w:r>
          </w:p>
        </w:tc>
        <w:tc>
          <w:tcPr>
            <w:tcW w:w="1877" w:type="dxa"/>
          </w:tcPr>
          <w:p w14:paraId="55F776CA" w14:textId="77777777" w:rsidR="00542337" w:rsidRDefault="00542337" w:rsidP="009B329F">
            <w:pPr>
              <w:keepNext/>
              <w:keepLines/>
              <w:spacing w:after="0"/>
              <w:rPr>
                <w:rFonts w:ascii="Arial" w:hAnsi="Arial" w:cs="Arial"/>
                <w:sz w:val="18"/>
                <w:szCs w:val="18"/>
              </w:rPr>
            </w:pPr>
          </w:p>
        </w:tc>
      </w:tr>
      <w:tr w:rsidR="00542337" w14:paraId="2F9698EF"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1BDD2438" w14:textId="77777777" w:rsidR="00542337" w:rsidRPr="009C2982" w:rsidRDefault="00542337" w:rsidP="009B329F">
            <w:pPr>
              <w:pStyle w:val="TAL"/>
              <w:rPr>
                <w:rFonts w:eastAsia="等线"/>
              </w:rPr>
            </w:pPr>
            <w:r w:rsidRPr="009C2982">
              <w:rPr>
                <w:rFonts w:eastAsia="等线"/>
              </w:rPr>
              <w:t>ReportingInformation</w:t>
            </w:r>
          </w:p>
        </w:tc>
        <w:tc>
          <w:tcPr>
            <w:tcW w:w="2378" w:type="dxa"/>
            <w:tcBorders>
              <w:top w:val="single" w:sz="6" w:space="0" w:color="auto"/>
              <w:left w:val="single" w:sz="6" w:space="0" w:color="auto"/>
              <w:bottom w:val="single" w:sz="6" w:space="0" w:color="auto"/>
              <w:right w:val="single" w:sz="6" w:space="0" w:color="auto"/>
            </w:tcBorders>
          </w:tcPr>
          <w:p w14:paraId="0DC32CA6" w14:textId="77777777" w:rsidR="00542337" w:rsidRDefault="00542337" w:rsidP="009B329F">
            <w:pPr>
              <w:pStyle w:val="TAL"/>
            </w:pPr>
            <w:r>
              <w:t>3GPP TS 29.523 [20]</w:t>
            </w:r>
          </w:p>
        </w:tc>
        <w:tc>
          <w:tcPr>
            <w:tcW w:w="2578" w:type="dxa"/>
            <w:tcBorders>
              <w:top w:val="single" w:sz="6" w:space="0" w:color="auto"/>
              <w:left w:val="single" w:sz="6" w:space="0" w:color="auto"/>
              <w:bottom w:val="single" w:sz="6" w:space="0" w:color="auto"/>
              <w:right w:val="single" w:sz="6" w:space="0" w:color="auto"/>
            </w:tcBorders>
          </w:tcPr>
          <w:p w14:paraId="1394878B" w14:textId="77777777" w:rsidR="00542337" w:rsidRPr="009C2982" w:rsidRDefault="00542337" w:rsidP="009B329F">
            <w:pPr>
              <w:pStyle w:val="TAL"/>
            </w:pPr>
            <w:r w:rsidRPr="009C2982">
              <w:t>Represents the requirements of reporting the subscription.</w:t>
            </w:r>
          </w:p>
        </w:tc>
        <w:tc>
          <w:tcPr>
            <w:tcW w:w="1877" w:type="dxa"/>
            <w:tcBorders>
              <w:top w:val="single" w:sz="6" w:space="0" w:color="auto"/>
              <w:left w:val="single" w:sz="6" w:space="0" w:color="auto"/>
              <w:bottom w:val="single" w:sz="6" w:space="0" w:color="auto"/>
              <w:right w:val="single" w:sz="6" w:space="0" w:color="auto"/>
            </w:tcBorders>
          </w:tcPr>
          <w:p w14:paraId="44208B8E" w14:textId="77777777" w:rsidR="00542337" w:rsidRPr="009C2982" w:rsidRDefault="00542337" w:rsidP="009B329F">
            <w:pPr>
              <w:rPr>
                <w:rFonts w:ascii="Arial" w:hAnsi="Arial" w:cs="Arial"/>
                <w:sz w:val="18"/>
                <w:szCs w:val="18"/>
              </w:rPr>
            </w:pPr>
          </w:p>
        </w:tc>
      </w:tr>
      <w:tr w:rsidR="00542337" w14:paraId="78C26358" w14:textId="77777777" w:rsidTr="009B329F">
        <w:trPr>
          <w:jc w:val="center"/>
        </w:trPr>
        <w:tc>
          <w:tcPr>
            <w:tcW w:w="2635" w:type="dxa"/>
          </w:tcPr>
          <w:p w14:paraId="3F75D434" w14:textId="77777777" w:rsidR="00542337" w:rsidRDefault="00542337" w:rsidP="009B329F">
            <w:pPr>
              <w:pStyle w:val="TAL"/>
              <w:rPr>
                <w:rFonts w:eastAsia="等线"/>
              </w:rPr>
            </w:pPr>
            <w:r>
              <w:t>SupportedFeatures</w:t>
            </w:r>
          </w:p>
        </w:tc>
        <w:tc>
          <w:tcPr>
            <w:tcW w:w="2378" w:type="dxa"/>
          </w:tcPr>
          <w:p w14:paraId="265A9E64" w14:textId="77777777" w:rsidR="00542337" w:rsidRDefault="00542337" w:rsidP="009B329F">
            <w:pPr>
              <w:pStyle w:val="TAL"/>
            </w:pPr>
            <w:r>
              <w:t>3GPP TS 29.571 [8]</w:t>
            </w:r>
          </w:p>
        </w:tc>
        <w:tc>
          <w:tcPr>
            <w:tcW w:w="2578" w:type="dxa"/>
          </w:tcPr>
          <w:p w14:paraId="7D7B3173" w14:textId="77777777" w:rsidR="00542337" w:rsidRDefault="00542337" w:rsidP="009B329F">
            <w:pPr>
              <w:pStyle w:val="TAL"/>
            </w:pPr>
            <w:r w:rsidRPr="005F7683">
              <w:t>Used to negotiate the applicability of the optional features defined in table</w:t>
            </w:r>
            <w:r>
              <w:t> </w:t>
            </w:r>
            <w:r w:rsidRPr="005F7683">
              <w:t>5.</w:t>
            </w:r>
            <w:r>
              <w:t>4</w:t>
            </w:r>
            <w:r w:rsidRPr="005F7683">
              <w:t>.8-1.</w:t>
            </w:r>
          </w:p>
        </w:tc>
        <w:tc>
          <w:tcPr>
            <w:tcW w:w="1877" w:type="dxa"/>
          </w:tcPr>
          <w:p w14:paraId="7A2501C9" w14:textId="77777777" w:rsidR="00542337" w:rsidRDefault="00542337" w:rsidP="009B329F">
            <w:pPr>
              <w:keepNext/>
              <w:keepLines/>
              <w:spacing w:after="0"/>
              <w:rPr>
                <w:rFonts w:ascii="Arial" w:hAnsi="Arial" w:cs="Arial"/>
                <w:sz w:val="18"/>
                <w:szCs w:val="18"/>
              </w:rPr>
            </w:pPr>
          </w:p>
        </w:tc>
      </w:tr>
      <w:tr w:rsidR="00542337" w14:paraId="09AF3469" w14:textId="77777777" w:rsidTr="009B329F">
        <w:trPr>
          <w:jc w:val="center"/>
        </w:trPr>
        <w:tc>
          <w:tcPr>
            <w:tcW w:w="2635" w:type="dxa"/>
          </w:tcPr>
          <w:p w14:paraId="546A1364" w14:textId="77777777" w:rsidR="00542337" w:rsidRDefault="00542337" w:rsidP="009B329F">
            <w:pPr>
              <w:pStyle w:val="TAL"/>
            </w:pPr>
            <w:r>
              <w:rPr>
                <w:lang w:eastAsia="zh-CN"/>
              </w:rPr>
              <w:t>TargetUeInformation</w:t>
            </w:r>
          </w:p>
        </w:tc>
        <w:tc>
          <w:tcPr>
            <w:tcW w:w="2378" w:type="dxa"/>
          </w:tcPr>
          <w:p w14:paraId="0476B6E1" w14:textId="77777777" w:rsidR="00542337" w:rsidRDefault="00542337" w:rsidP="009B329F">
            <w:pPr>
              <w:pStyle w:val="TAL"/>
            </w:pPr>
            <w:r>
              <w:t>5.1.6.2.8</w:t>
            </w:r>
          </w:p>
        </w:tc>
        <w:tc>
          <w:tcPr>
            <w:tcW w:w="2578" w:type="dxa"/>
          </w:tcPr>
          <w:p w14:paraId="59527728" w14:textId="77777777" w:rsidR="00542337" w:rsidRDefault="00542337" w:rsidP="009B329F">
            <w:pPr>
              <w:pStyle w:val="TAL"/>
            </w:pPr>
            <w:r w:rsidRPr="00FC29A4">
              <w:t>Identifies the target UE information.</w:t>
            </w:r>
          </w:p>
        </w:tc>
        <w:tc>
          <w:tcPr>
            <w:tcW w:w="1877" w:type="dxa"/>
          </w:tcPr>
          <w:p w14:paraId="4BB213D2" w14:textId="77777777" w:rsidR="00542337" w:rsidRDefault="00542337" w:rsidP="009B329F">
            <w:pPr>
              <w:keepNext/>
              <w:keepLines/>
              <w:spacing w:after="0"/>
              <w:rPr>
                <w:rFonts w:ascii="Arial" w:hAnsi="Arial" w:cs="Arial"/>
                <w:sz w:val="18"/>
                <w:szCs w:val="18"/>
              </w:rPr>
            </w:pPr>
          </w:p>
        </w:tc>
      </w:tr>
      <w:tr w:rsidR="00542337" w14:paraId="66CE7D51" w14:textId="77777777" w:rsidTr="009B329F">
        <w:trPr>
          <w:jc w:val="center"/>
        </w:trPr>
        <w:tc>
          <w:tcPr>
            <w:tcW w:w="2635" w:type="dxa"/>
            <w:tcBorders>
              <w:top w:val="single" w:sz="6" w:space="0" w:color="auto"/>
              <w:left w:val="single" w:sz="6" w:space="0" w:color="auto"/>
              <w:bottom w:val="single" w:sz="6" w:space="0" w:color="auto"/>
              <w:right w:val="single" w:sz="6" w:space="0" w:color="auto"/>
            </w:tcBorders>
          </w:tcPr>
          <w:p w14:paraId="217A60CF" w14:textId="77777777" w:rsidR="00542337" w:rsidRDefault="00542337" w:rsidP="009B329F">
            <w:pPr>
              <w:pStyle w:val="TAL"/>
              <w:rPr>
                <w:lang w:eastAsia="zh-CN"/>
              </w:rPr>
            </w:pPr>
            <w:r>
              <w:rPr>
                <w:lang w:eastAsia="zh-CN"/>
              </w:rPr>
              <w:t>TimeWindow</w:t>
            </w:r>
          </w:p>
        </w:tc>
        <w:tc>
          <w:tcPr>
            <w:tcW w:w="2378" w:type="dxa"/>
            <w:tcBorders>
              <w:top w:val="single" w:sz="6" w:space="0" w:color="auto"/>
              <w:left w:val="single" w:sz="6" w:space="0" w:color="auto"/>
              <w:bottom w:val="single" w:sz="6" w:space="0" w:color="auto"/>
              <w:right w:val="single" w:sz="6" w:space="0" w:color="auto"/>
            </w:tcBorders>
          </w:tcPr>
          <w:p w14:paraId="6EE0B5AB" w14:textId="77777777" w:rsidR="00542337" w:rsidRDefault="00542337" w:rsidP="009B329F">
            <w:pPr>
              <w:pStyle w:val="TAL"/>
            </w:pPr>
            <w:r>
              <w:t>3GPP TS 29.122 [19]</w:t>
            </w:r>
          </w:p>
        </w:tc>
        <w:tc>
          <w:tcPr>
            <w:tcW w:w="2578" w:type="dxa"/>
            <w:tcBorders>
              <w:top w:val="single" w:sz="6" w:space="0" w:color="auto"/>
              <w:left w:val="single" w:sz="6" w:space="0" w:color="auto"/>
              <w:bottom w:val="single" w:sz="6" w:space="0" w:color="auto"/>
              <w:right w:val="single" w:sz="6" w:space="0" w:color="auto"/>
            </w:tcBorders>
          </w:tcPr>
          <w:p w14:paraId="3DA66479" w14:textId="77777777" w:rsidR="00542337" w:rsidRDefault="00542337" w:rsidP="009B329F">
            <w:pPr>
              <w:pStyle w:val="TAL"/>
            </w:pPr>
            <w:r w:rsidRPr="00C86D77">
              <w:t>Represents a time window.</w:t>
            </w:r>
          </w:p>
        </w:tc>
        <w:tc>
          <w:tcPr>
            <w:tcW w:w="1877" w:type="dxa"/>
            <w:tcBorders>
              <w:top w:val="single" w:sz="6" w:space="0" w:color="auto"/>
              <w:left w:val="single" w:sz="6" w:space="0" w:color="auto"/>
              <w:bottom w:val="single" w:sz="6" w:space="0" w:color="auto"/>
              <w:right w:val="single" w:sz="6" w:space="0" w:color="auto"/>
            </w:tcBorders>
          </w:tcPr>
          <w:p w14:paraId="33693978" w14:textId="77777777" w:rsidR="00542337" w:rsidRDefault="00542337" w:rsidP="009B329F">
            <w:pPr>
              <w:keepNext/>
              <w:keepLines/>
              <w:spacing w:after="0"/>
              <w:rPr>
                <w:rFonts w:ascii="Arial" w:hAnsi="Arial" w:cs="Arial"/>
                <w:sz w:val="18"/>
                <w:szCs w:val="18"/>
              </w:rPr>
            </w:pPr>
          </w:p>
        </w:tc>
      </w:tr>
      <w:tr w:rsidR="00542337" w14:paraId="00C5E525" w14:textId="77777777" w:rsidTr="009B329F">
        <w:trPr>
          <w:jc w:val="center"/>
        </w:trPr>
        <w:tc>
          <w:tcPr>
            <w:tcW w:w="2635" w:type="dxa"/>
          </w:tcPr>
          <w:p w14:paraId="1AAA8CA1" w14:textId="77777777" w:rsidR="00542337" w:rsidRDefault="00542337" w:rsidP="009B329F">
            <w:pPr>
              <w:pStyle w:val="TAL"/>
            </w:pPr>
            <w:r>
              <w:t>Uinteger</w:t>
            </w:r>
          </w:p>
        </w:tc>
        <w:tc>
          <w:tcPr>
            <w:tcW w:w="2378" w:type="dxa"/>
          </w:tcPr>
          <w:p w14:paraId="1BE1CE2A" w14:textId="77777777" w:rsidR="00542337" w:rsidRDefault="00542337" w:rsidP="009B329F">
            <w:pPr>
              <w:pStyle w:val="TAL"/>
            </w:pPr>
            <w:r>
              <w:t>3GPP TS 29.571 [8]</w:t>
            </w:r>
          </w:p>
        </w:tc>
        <w:tc>
          <w:tcPr>
            <w:tcW w:w="2578" w:type="dxa"/>
          </w:tcPr>
          <w:p w14:paraId="40AED449" w14:textId="77777777" w:rsidR="00542337" w:rsidRDefault="00542337" w:rsidP="009B329F">
            <w:pPr>
              <w:pStyle w:val="TAL"/>
              <w:rPr>
                <w:rFonts w:cs="Arial"/>
                <w:szCs w:val="18"/>
                <w:lang w:eastAsia="zh-CN"/>
              </w:rPr>
            </w:pPr>
            <w:r>
              <w:t>Unsigned Integer, i.e. only value 0 and integers above 0 are permissible.</w:t>
            </w:r>
          </w:p>
        </w:tc>
        <w:tc>
          <w:tcPr>
            <w:tcW w:w="1877" w:type="dxa"/>
          </w:tcPr>
          <w:p w14:paraId="0E12C2BF" w14:textId="77777777" w:rsidR="00542337" w:rsidRDefault="00542337" w:rsidP="009B329F">
            <w:pPr>
              <w:pStyle w:val="TAL"/>
              <w:rPr>
                <w:rFonts w:eastAsia="Batang"/>
              </w:rPr>
            </w:pPr>
            <w:r>
              <w:rPr>
                <w:rFonts w:eastAsia="Batang"/>
              </w:rPr>
              <w:t>ModelProvisionExt</w:t>
            </w:r>
          </w:p>
        </w:tc>
      </w:tr>
      <w:tr w:rsidR="00542337" w14:paraId="3BA4E090" w14:textId="77777777" w:rsidTr="009B329F">
        <w:trPr>
          <w:jc w:val="center"/>
        </w:trPr>
        <w:tc>
          <w:tcPr>
            <w:tcW w:w="2635" w:type="dxa"/>
          </w:tcPr>
          <w:p w14:paraId="42F4620E" w14:textId="77777777" w:rsidR="00542337" w:rsidRDefault="00542337" w:rsidP="009B329F">
            <w:pPr>
              <w:pStyle w:val="TAL"/>
            </w:pPr>
            <w:r>
              <w:t>Uri</w:t>
            </w:r>
          </w:p>
        </w:tc>
        <w:tc>
          <w:tcPr>
            <w:tcW w:w="2378" w:type="dxa"/>
          </w:tcPr>
          <w:p w14:paraId="346293F8" w14:textId="77777777" w:rsidR="00542337" w:rsidRDefault="00542337" w:rsidP="009B329F">
            <w:pPr>
              <w:pStyle w:val="TAL"/>
              <w:rPr>
                <w:rFonts w:cs="Arial"/>
              </w:rPr>
            </w:pPr>
            <w:r>
              <w:t>3GPP TS 29.571 [8]</w:t>
            </w:r>
          </w:p>
        </w:tc>
        <w:tc>
          <w:tcPr>
            <w:tcW w:w="2578" w:type="dxa"/>
          </w:tcPr>
          <w:p w14:paraId="44D37114" w14:textId="77777777" w:rsidR="00542337" w:rsidRDefault="00542337" w:rsidP="009B329F">
            <w:pPr>
              <w:pStyle w:val="TAL"/>
              <w:rPr>
                <w:rFonts w:cs="Arial"/>
                <w:szCs w:val="18"/>
                <w:lang w:eastAsia="zh-CN"/>
              </w:rPr>
            </w:pPr>
            <w:r w:rsidRPr="00C86D77">
              <w:rPr>
                <w:rFonts w:cs="Arial"/>
                <w:szCs w:val="18"/>
                <w:lang w:eastAsia="zh-CN"/>
              </w:rPr>
              <w:t>Represents a URI.</w:t>
            </w:r>
          </w:p>
        </w:tc>
        <w:tc>
          <w:tcPr>
            <w:tcW w:w="1877" w:type="dxa"/>
          </w:tcPr>
          <w:p w14:paraId="7EA5D9E3" w14:textId="77777777" w:rsidR="00542337" w:rsidRDefault="00542337" w:rsidP="009B329F">
            <w:pPr>
              <w:pStyle w:val="TAL"/>
              <w:rPr>
                <w:rFonts w:eastAsia="Batang"/>
              </w:rPr>
            </w:pPr>
          </w:p>
        </w:tc>
      </w:tr>
      <w:tr w:rsidR="00542337" w14:paraId="0D6DEF14" w14:textId="77777777" w:rsidTr="009B329F">
        <w:trPr>
          <w:jc w:val="center"/>
        </w:trPr>
        <w:tc>
          <w:tcPr>
            <w:tcW w:w="2635" w:type="dxa"/>
          </w:tcPr>
          <w:p w14:paraId="3F47BAF8" w14:textId="77777777" w:rsidR="00542337" w:rsidRDefault="00542337" w:rsidP="009B329F">
            <w:pPr>
              <w:pStyle w:val="TAL"/>
            </w:pPr>
            <w:r>
              <w:t>VendorId</w:t>
            </w:r>
          </w:p>
        </w:tc>
        <w:tc>
          <w:tcPr>
            <w:tcW w:w="2378" w:type="dxa"/>
          </w:tcPr>
          <w:p w14:paraId="3DDCA0F3" w14:textId="77777777" w:rsidR="00542337" w:rsidRDefault="00542337" w:rsidP="009B329F">
            <w:pPr>
              <w:pStyle w:val="TAL"/>
            </w:pPr>
            <w:r>
              <w:t>3GPP TS 29.510 [12]</w:t>
            </w:r>
          </w:p>
        </w:tc>
        <w:tc>
          <w:tcPr>
            <w:tcW w:w="2578" w:type="dxa"/>
          </w:tcPr>
          <w:p w14:paraId="5417507C" w14:textId="77777777" w:rsidR="00542337" w:rsidRDefault="00542337" w:rsidP="009B329F">
            <w:pPr>
              <w:pStyle w:val="TAL"/>
              <w:rPr>
                <w:rFonts w:cs="Arial"/>
                <w:szCs w:val="18"/>
                <w:lang w:eastAsia="zh-CN"/>
              </w:rPr>
            </w:pPr>
            <w:r>
              <w:rPr>
                <w:rFonts w:cs="Arial"/>
                <w:szCs w:val="18"/>
                <w:lang w:eastAsia="zh-CN"/>
              </w:rPr>
              <w:t>Represents the Vendor ID.</w:t>
            </w:r>
          </w:p>
        </w:tc>
        <w:tc>
          <w:tcPr>
            <w:tcW w:w="1877" w:type="dxa"/>
          </w:tcPr>
          <w:p w14:paraId="1D778675" w14:textId="77777777" w:rsidR="00542337" w:rsidRDefault="00542337" w:rsidP="009B329F">
            <w:pPr>
              <w:pStyle w:val="TAL"/>
              <w:rPr>
                <w:rFonts w:eastAsia="Batang"/>
              </w:rPr>
            </w:pPr>
            <w:r>
              <w:rPr>
                <w:rFonts w:cs="Arial"/>
                <w:szCs w:val="18"/>
              </w:rPr>
              <w:t>ModelSharing</w:t>
            </w:r>
          </w:p>
        </w:tc>
      </w:tr>
    </w:tbl>
    <w:p w14:paraId="4D798B10" w14:textId="77777777" w:rsidR="00A10B25" w:rsidRDefault="00A10B25"/>
    <w:p w14:paraId="4AD8B283" w14:textId="77777777" w:rsidR="00A10B25" w:rsidRDefault="00A10B25">
      <w:pPr>
        <w:pStyle w:val="4"/>
      </w:pPr>
      <w:bookmarkStart w:id="13634" w:name="_Toc85557246"/>
      <w:bookmarkStart w:id="13635" w:name="_Toc88667756"/>
      <w:bookmarkStart w:id="13636" w:name="_Toc114134036"/>
      <w:bookmarkStart w:id="13637" w:name="_Toc120702537"/>
      <w:bookmarkStart w:id="13638" w:name="_Toc138754470"/>
      <w:bookmarkStart w:id="13639" w:name="_Toc90656041"/>
      <w:bookmarkStart w:id="13640" w:name="_Toc148522879"/>
      <w:bookmarkStart w:id="13641" w:name="_Toc83233218"/>
      <w:bookmarkStart w:id="13642" w:name="_Toc98233848"/>
      <w:bookmarkStart w:id="13643" w:name="_Toc112951357"/>
      <w:bookmarkStart w:id="13644" w:name="_Toc101244629"/>
      <w:bookmarkStart w:id="13645" w:name="_Toc104539234"/>
      <w:bookmarkStart w:id="13646" w:name="_Toc136562636"/>
      <w:bookmarkStart w:id="13647" w:name="_Toc145705965"/>
      <w:bookmarkStart w:id="13648" w:name="_Toc85553147"/>
      <w:bookmarkStart w:id="13649" w:name="_Toc94064446"/>
      <w:bookmarkStart w:id="13650" w:name="_Toc113031897"/>
      <w:bookmarkStart w:id="13651" w:name="_Toc164921067"/>
      <w:bookmarkStart w:id="13652" w:name="_Toc170120609"/>
      <w:bookmarkStart w:id="13653" w:name="_Toc175858854"/>
      <w:bookmarkStart w:id="13654" w:name="_Toc175859927"/>
      <w:bookmarkStart w:id="13655" w:name="_Toc180606217"/>
      <w:bookmarkStart w:id="13656" w:name="_Toc185517478"/>
      <w:bookmarkStart w:id="13657" w:name="_Toc191576530"/>
      <w:bookmarkStart w:id="13658" w:name="_Toc191577270"/>
      <w:bookmarkStart w:id="13659" w:name="_Toc192880340"/>
      <w:bookmarkStart w:id="13660" w:name="_Toc195815229"/>
      <w:bookmarkStart w:id="13661" w:name="_Toc199453196"/>
      <w:r>
        <w:t>5.4.6.2</w:t>
      </w:r>
      <w:r>
        <w:tab/>
        <w:t>Structured data types</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p>
    <w:p w14:paraId="7645334A" w14:textId="77777777" w:rsidR="00A10B25" w:rsidRDefault="00A10B25">
      <w:pPr>
        <w:pStyle w:val="5"/>
      </w:pPr>
      <w:bookmarkStart w:id="13662" w:name="_Toc145705966"/>
      <w:bookmarkStart w:id="13663" w:name="_Toc136562637"/>
      <w:bookmarkStart w:id="13664" w:name="_Toc94064447"/>
      <w:bookmarkStart w:id="13665" w:name="_Toc90656042"/>
      <w:bookmarkStart w:id="13666" w:name="_Toc148522880"/>
      <w:bookmarkStart w:id="13667" w:name="_Toc138754471"/>
      <w:bookmarkStart w:id="13668" w:name="_Toc83233219"/>
      <w:bookmarkStart w:id="13669" w:name="_Toc113031898"/>
      <w:bookmarkStart w:id="13670" w:name="_Toc88667757"/>
      <w:bookmarkStart w:id="13671" w:name="_Toc101244630"/>
      <w:bookmarkStart w:id="13672" w:name="_Toc120702538"/>
      <w:bookmarkStart w:id="13673" w:name="_Toc85553148"/>
      <w:bookmarkStart w:id="13674" w:name="_Toc104539235"/>
      <w:bookmarkStart w:id="13675" w:name="_Toc114134037"/>
      <w:bookmarkStart w:id="13676" w:name="_Toc98233849"/>
      <w:bookmarkStart w:id="13677" w:name="_Toc112951358"/>
      <w:bookmarkStart w:id="13678" w:name="_Toc85557247"/>
      <w:bookmarkStart w:id="13679" w:name="_Toc164921068"/>
      <w:bookmarkStart w:id="13680" w:name="_Toc170120610"/>
      <w:bookmarkStart w:id="13681" w:name="_Toc175858855"/>
      <w:bookmarkStart w:id="13682" w:name="_Toc175859928"/>
      <w:bookmarkStart w:id="13683" w:name="_Toc180606218"/>
      <w:bookmarkStart w:id="13684" w:name="_Toc185517479"/>
      <w:bookmarkStart w:id="13685" w:name="_Toc191576531"/>
      <w:bookmarkStart w:id="13686" w:name="_Toc191577271"/>
      <w:bookmarkStart w:id="13687" w:name="_Toc192880341"/>
      <w:bookmarkStart w:id="13688" w:name="_Toc195815230"/>
      <w:bookmarkStart w:id="13689" w:name="_Toc199453197"/>
      <w:r>
        <w:t>5.4.6.2.1</w:t>
      </w:r>
      <w:r>
        <w:tab/>
        <w:t>Introduction</w:t>
      </w:r>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p>
    <w:p w14:paraId="57CD86B5" w14:textId="77777777" w:rsidR="00A10B25" w:rsidRDefault="00A10B25">
      <w:bookmarkStart w:id="13690" w:name="_Toc85557248"/>
      <w:bookmarkStart w:id="13691" w:name="_Toc101244631"/>
      <w:bookmarkStart w:id="13692" w:name="_Toc83233220"/>
      <w:bookmarkStart w:id="13693" w:name="_Toc113031899"/>
      <w:bookmarkStart w:id="13694" w:name="_Toc120702539"/>
      <w:bookmarkStart w:id="13695" w:name="_Toc136562638"/>
      <w:bookmarkStart w:id="13696" w:name="_Toc90656043"/>
      <w:bookmarkStart w:id="13697" w:name="_Toc112951359"/>
      <w:bookmarkStart w:id="13698" w:name="_Toc114134038"/>
      <w:bookmarkStart w:id="13699" w:name="_Toc98233850"/>
      <w:bookmarkStart w:id="13700" w:name="_Toc88667758"/>
      <w:bookmarkStart w:id="13701" w:name="_Toc85553149"/>
      <w:bookmarkStart w:id="13702" w:name="_Toc94064448"/>
      <w:bookmarkStart w:id="13703" w:name="_Toc104539236"/>
      <w:bookmarkStart w:id="13704" w:name="_Toc138754472"/>
      <w:r>
        <w:t>This clause defines the structures to be used in resource representations.</w:t>
      </w:r>
    </w:p>
    <w:p w14:paraId="02B5AC18" w14:textId="77777777" w:rsidR="00A10B25" w:rsidRDefault="00A10B25">
      <w:pPr>
        <w:pStyle w:val="5"/>
      </w:pPr>
      <w:bookmarkStart w:id="13705" w:name="_Toc145705967"/>
      <w:bookmarkStart w:id="13706" w:name="_Toc148522881"/>
      <w:bookmarkStart w:id="13707" w:name="_Toc164921069"/>
      <w:bookmarkStart w:id="13708" w:name="_Toc170120611"/>
      <w:bookmarkStart w:id="13709" w:name="_Toc175858856"/>
      <w:bookmarkStart w:id="13710" w:name="_Toc175859929"/>
      <w:bookmarkStart w:id="13711" w:name="_Toc180606219"/>
      <w:bookmarkStart w:id="13712" w:name="_Toc185517480"/>
      <w:bookmarkStart w:id="13713" w:name="_Toc191576532"/>
      <w:bookmarkStart w:id="13714" w:name="_Toc191577272"/>
      <w:bookmarkStart w:id="13715" w:name="_Toc192880342"/>
      <w:bookmarkStart w:id="13716" w:name="_Toc195815231"/>
      <w:bookmarkStart w:id="13717" w:name="_Toc199453198"/>
      <w:r>
        <w:lastRenderedPageBreak/>
        <w:t>5.4.6.2.2</w:t>
      </w:r>
      <w:r>
        <w:tab/>
        <w:t xml:space="preserve">Type </w:t>
      </w:r>
      <w:r>
        <w:rPr>
          <w:rFonts w:eastAsia="等线"/>
        </w:rPr>
        <w:t>NwdafMLModelProvSubsc</w:t>
      </w:r>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p>
    <w:p w14:paraId="0E97BC2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5.4.6.2.2-1: Definition of type </w:t>
      </w:r>
      <w:r>
        <w:rPr>
          <w:rFonts w:eastAsia="等线"/>
        </w:rPr>
        <w:t>NwdafMLModelProvSubsc</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7F220E42" w14:textId="77777777">
        <w:trPr>
          <w:trHeight w:val="209"/>
          <w:jc w:val="center"/>
        </w:trPr>
        <w:tc>
          <w:tcPr>
            <w:tcW w:w="1657" w:type="dxa"/>
            <w:shd w:val="clear" w:color="auto" w:fill="C0C0C0"/>
          </w:tcPr>
          <w:p w14:paraId="6E192CA8" w14:textId="77777777" w:rsidR="00A10B25" w:rsidRDefault="00A10B25">
            <w:pPr>
              <w:pStyle w:val="TAH"/>
              <w:ind w:left="400" w:hanging="400"/>
            </w:pPr>
            <w:r>
              <w:t>Attribute name</w:t>
            </w:r>
          </w:p>
        </w:tc>
        <w:tc>
          <w:tcPr>
            <w:tcW w:w="2494" w:type="dxa"/>
            <w:shd w:val="clear" w:color="auto" w:fill="C0C0C0"/>
          </w:tcPr>
          <w:p w14:paraId="56D324BD" w14:textId="77777777" w:rsidR="00A10B25" w:rsidRDefault="00A10B25">
            <w:pPr>
              <w:pStyle w:val="TAH"/>
              <w:ind w:left="400" w:hanging="400"/>
            </w:pPr>
            <w:r>
              <w:t>Data type</w:t>
            </w:r>
          </w:p>
        </w:tc>
        <w:tc>
          <w:tcPr>
            <w:tcW w:w="487" w:type="dxa"/>
            <w:shd w:val="clear" w:color="auto" w:fill="C0C0C0"/>
          </w:tcPr>
          <w:p w14:paraId="7D353C4D" w14:textId="77777777" w:rsidR="00A10B25" w:rsidRDefault="00A10B25">
            <w:pPr>
              <w:pStyle w:val="TAH"/>
              <w:ind w:left="400" w:hanging="400"/>
            </w:pPr>
            <w:r>
              <w:t>P</w:t>
            </w:r>
          </w:p>
        </w:tc>
        <w:tc>
          <w:tcPr>
            <w:tcW w:w="1067" w:type="dxa"/>
            <w:shd w:val="clear" w:color="auto" w:fill="C0C0C0"/>
          </w:tcPr>
          <w:p w14:paraId="7E574769" w14:textId="77777777" w:rsidR="00A10B25" w:rsidRDefault="00A10B25">
            <w:pPr>
              <w:pStyle w:val="TAH"/>
              <w:ind w:left="400" w:hanging="400"/>
            </w:pPr>
            <w:r>
              <w:t>Cardinality</w:t>
            </w:r>
          </w:p>
        </w:tc>
        <w:tc>
          <w:tcPr>
            <w:tcW w:w="2512" w:type="dxa"/>
            <w:shd w:val="clear" w:color="auto" w:fill="C0C0C0"/>
          </w:tcPr>
          <w:p w14:paraId="755B87A5" w14:textId="77777777" w:rsidR="00A10B25" w:rsidRDefault="00A10B25">
            <w:pPr>
              <w:pStyle w:val="TAH"/>
              <w:ind w:left="400" w:hanging="400"/>
              <w:rPr>
                <w:rFonts w:cs="Arial"/>
                <w:szCs w:val="18"/>
              </w:rPr>
            </w:pPr>
            <w:r>
              <w:rPr>
                <w:rFonts w:cs="Arial"/>
                <w:szCs w:val="18"/>
              </w:rPr>
              <w:t>Description</w:t>
            </w:r>
          </w:p>
        </w:tc>
        <w:tc>
          <w:tcPr>
            <w:tcW w:w="1349" w:type="dxa"/>
            <w:shd w:val="clear" w:color="auto" w:fill="C0C0C0"/>
          </w:tcPr>
          <w:p w14:paraId="536FB290" w14:textId="77777777" w:rsidR="00A10B25" w:rsidRDefault="00A10B25">
            <w:pPr>
              <w:pStyle w:val="TAH"/>
              <w:ind w:left="400" w:hanging="400"/>
              <w:rPr>
                <w:rFonts w:cs="Arial"/>
                <w:szCs w:val="18"/>
              </w:rPr>
            </w:pPr>
            <w:r>
              <w:rPr>
                <w:rFonts w:cs="Arial"/>
                <w:szCs w:val="18"/>
              </w:rPr>
              <w:t>Applicability</w:t>
            </w:r>
          </w:p>
        </w:tc>
      </w:tr>
      <w:tr w:rsidR="00A10B25" w14:paraId="6AADF775" w14:textId="77777777">
        <w:trPr>
          <w:trHeight w:val="420"/>
          <w:jc w:val="center"/>
        </w:trPr>
        <w:tc>
          <w:tcPr>
            <w:tcW w:w="1657" w:type="dxa"/>
          </w:tcPr>
          <w:p w14:paraId="5889F2E9" w14:textId="77777777" w:rsidR="00A10B25" w:rsidRDefault="00A10B25">
            <w:pPr>
              <w:pStyle w:val="TAL"/>
            </w:pPr>
            <w:r>
              <w:t>mLE</w:t>
            </w:r>
            <w:r>
              <w:rPr>
                <w:lang w:val="en-US" w:eastAsia="zh-CN"/>
              </w:rPr>
              <w:t>ventSubscs</w:t>
            </w:r>
          </w:p>
        </w:tc>
        <w:tc>
          <w:tcPr>
            <w:tcW w:w="2494" w:type="dxa"/>
          </w:tcPr>
          <w:p w14:paraId="3F38B514" w14:textId="77777777" w:rsidR="00A10B25" w:rsidRDefault="00A10B25">
            <w:pPr>
              <w:pStyle w:val="TAL"/>
              <w:rPr>
                <w:lang w:eastAsia="zh-CN"/>
              </w:rPr>
            </w:pPr>
            <w:r>
              <w:rPr>
                <w:lang w:eastAsia="zh-CN"/>
              </w:rPr>
              <w:t>array(</w:t>
            </w:r>
            <w:r>
              <w:rPr>
                <w:lang w:val="en-US" w:eastAsia="zh-CN"/>
              </w:rPr>
              <w:t>MLEventSubscription</w:t>
            </w:r>
            <w:r>
              <w:rPr>
                <w:lang w:eastAsia="zh-CN"/>
              </w:rPr>
              <w:t>)</w:t>
            </w:r>
          </w:p>
        </w:tc>
        <w:tc>
          <w:tcPr>
            <w:tcW w:w="487" w:type="dxa"/>
          </w:tcPr>
          <w:p w14:paraId="7D879156" w14:textId="77777777" w:rsidR="00A10B25" w:rsidRDefault="00A10B25">
            <w:pPr>
              <w:pStyle w:val="TAL"/>
              <w:rPr>
                <w:lang w:eastAsia="zh-CN"/>
              </w:rPr>
            </w:pPr>
            <w:r>
              <w:rPr>
                <w:rFonts w:hint="eastAsia"/>
                <w:lang w:eastAsia="zh-CN"/>
              </w:rPr>
              <w:t>M</w:t>
            </w:r>
          </w:p>
        </w:tc>
        <w:tc>
          <w:tcPr>
            <w:tcW w:w="1067" w:type="dxa"/>
          </w:tcPr>
          <w:p w14:paraId="54DF7E9C" w14:textId="77777777" w:rsidR="00A10B25" w:rsidRDefault="00A10B25">
            <w:pPr>
              <w:pStyle w:val="TAL"/>
              <w:rPr>
                <w:lang w:eastAsia="zh-CN"/>
              </w:rPr>
            </w:pPr>
            <w:r>
              <w:rPr>
                <w:lang w:eastAsia="zh-CN"/>
              </w:rPr>
              <w:t>1..N</w:t>
            </w:r>
          </w:p>
        </w:tc>
        <w:tc>
          <w:tcPr>
            <w:tcW w:w="2512" w:type="dxa"/>
          </w:tcPr>
          <w:p w14:paraId="1D0915F1" w14:textId="77777777" w:rsidR="00A10B25" w:rsidRDefault="00A10B25">
            <w:pPr>
              <w:pStyle w:val="TAL"/>
              <w:rPr>
                <w:rFonts w:cs="Arial"/>
                <w:szCs w:val="18"/>
                <w:lang w:eastAsia="zh-CN"/>
              </w:rPr>
            </w:pPr>
            <w:r>
              <w:rPr>
                <w:rFonts w:cs="Arial"/>
                <w:szCs w:val="18"/>
                <w:lang w:eastAsia="zh-CN"/>
              </w:rPr>
              <w:t>Each element identifies the subscription for each event.</w:t>
            </w:r>
          </w:p>
        </w:tc>
        <w:tc>
          <w:tcPr>
            <w:tcW w:w="1349" w:type="dxa"/>
          </w:tcPr>
          <w:p w14:paraId="009B8E47" w14:textId="77777777" w:rsidR="00A10B25" w:rsidRDefault="00A10B25">
            <w:pPr>
              <w:pStyle w:val="TAL"/>
              <w:rPr>
                <w:rFonts w:cs="Arial"/>
                <w:szCs w:val="18"/>
              </w:rPr>
            </w:pPr>
          </w:p>
        </w:tc>
      </w:tr>
      <w:tr w:rsidR="00A10B25" w14:paraId="1EAB1980" w14:textId="77777777">
        <w:trPr>
          <w:trHeight w:val="420"/>
          <w:jc w:val="center"/>
        </w:trPr>
        <w:tc>
          <w:tcPr>
            <w:tcW w:w="1657" w:type="dxa"/>
          </w:tcPr>
          <w:p w14:paraId="2EFB3027" w14:textId="77777777" w:rsidR="00A10B25" w:rsidRDefault="00A10B25">
            <w:pPr>
              <w:pStyle w:val="TAL"/>
            </w:pPr>
            <w:r>
              <w:t>notifUri</w:t>
            </w:r>
          </w:p>
        </w:tc>
        <w:tc>
          <w:tcPr>
            <w:tcW w:w="2494" w:type="dxa"/>
          </w:tcPr>
          <w:p w14:paraId="757315A4" w14:textId="77777777" w:rsidR="00A10B25" w:rsidRDefault="00A10B25">
            <w:pPr>
              <w:pStyle w:val="TAL"/>
              <w:rPr>
                <w:lang w:eastAsia="zh-CN"/>
              </w:rPr>
            </w:pPr>
            <w:r>
              <w:t>Uri</w:t>
            </w:r>
          </w:p>
        </w:tc>
        <w:tc>
          <w:tcPr>
            <w:tcW w:w="487" w:type="dxa"/>
          </w:tcPr>
          <w:p w14:paraId="5B122DBC" w14:textId="77777777" w:rsidR="00A10B25" w:rsidRDefault="00A10B25">
            <w:pPr>
              <w:pStyle w:val="TAL"/>
            </w:pPr>
            <w:r>
              <w:t>M</w:t>
            </w:r>
          </w:p>
        </w:tc>
        <w:tc>
          <w:tcPr>
            <w:tcW w:w="1067" w:type="dxa"/>
          </w:tcPr>
          <w:p w14:paraId="63717A8F" w14:textId="77777777" w:rsidR="00A10B25" w:rsidRDefault="00A10B25">
            <w:pPr>
              <w:pStyle w:val="TAL"/>
            </w:pPr>
            <w:r>
              <w:t>1</w:t>
            </w:r>
          </w:p>
        </w:tc>
        <w:tc>
          <w:tcPr>
            <w:tcW w:w="2512" w:type="dxa"/>
          </w:tcPr>
          <w:p w14:paraId="1377A40E" w14:textId="77777777" w:rsidR="00A10B25" w:rsidRDefault="00A10B25">
            <w:pPr>
              <w:pStyle w:val="TAL"/>
            </w:pPr>
            <w:r>
              <w:t>Identifies the recipient of Notifications sent by the NWDAF.</w:t>
            </w:r>
          </w:p>
        </w:tc>
        <w:tc>
          <w:tcPr>
            <w:tcW w:w="1349" w:type="dxa"/>
          </w:tcPr>
          <w:p w14:paraId="6FDD7A56" w14:textId="77777777" w:rsidR="00A10B25" w:rsidRDefault="00A10B25">
            <w:pPr>
              <w:pStyle w:val="TAL"/>
              <w:rPr>
                <w:rFonts w:cs="Arial"/>
                <w:szCs w:val="18"/>
              </w:rPr>
            </w:pPr>
          </w:p>
        </w:tc>
      </w:tr>
      <w:tr w:rsidR="00A10B25" w14:paraId="29A890AD" w14:textId="77777777">
        <w:trPr>
          <w:trHeight w:val="420"/>
          <w:jc w:val="center"/>
        </w:trPr>
        <w:tc>
          <w:tcPr>
            <w:tcW w:w="1657" w:type="dxa"/>
          </w:tcPr>
          <w:p w14:paraId="24FDF87A" w14:textId="77777777" w:rsidR="00A10B25" w:rsidRDefault="00A10B25">
            <w:pPr>
              <w:pStyle w:val="TAL"/>
              <w:rPr>
                <w:lang w:val="en-US" w:eastAsia="zh-CN"/>
              </w:rPr>
            </w:pPr>
            <w:r>
              <w:t>mLEventNotifs</w:t>
            </w:r>
          </w:p>
        </w:tc>
        <w:tc>
          <w:tcPr>
            <w:tcW w:w="2494" w:type="dxa"/>
          </w:tcPr>
          <w:p w14:paraId="3E3223E8" w14:textId="77777777" w:rsidR="00A10B25" w:rsidRDefault="00A10B25">
            <w:pPr>
              <w:pStyle w:val="TAL"/>
            </w:pPr>
            <w:r>
              <w:t>array(MLEventNotif)</w:t>
            </w:r>
          </w:p>
        </w:tc>
        <w:tc>
          <w:tcPr>
            <w:tcW w:w="487" w:type="dxa"/>
          </w:tcPr>
          <w:p w14:paraId="24984EFA" w14:textId="77777777" w:rsidR="00A10B25" w:rsidRDefault="00A10B25">
            <w:pPr>
              <w:pStyle w:val="TAL"/>
            </w:pPr>
            <w:r>
              <w:t>C</w:t>
            </w:r>
          </w:p>
        </w:tc>
        <w:tc>
          <w:tcPr>
            <w:tcW w:w="1067" w:type="dxa"/>
          </w:tcPr>
          <w:p w14:paraId="021AA28B" w14:textId="77777777" w:rsidR="00A10B25" w:rsidRDefault="00A10B25">
            <w:pPr>
              <w:pStyle w:val="TAL"/>
            </w:pPr>
            <w:r>
              <w:t>1..N</w:t>
            </w:r>
          </w:p>
        </w:tc>
        <w:tc>
          <w:tcPr>
            <w:tcW w:w="2512" w:type="dxa"/>
          </w:tcPr>
          <w:p w14:paraId="52DA5A2E" w14:textId="77777777" w:rsidR="00A10B25" w:rsidRDefault="00A10B25">
            <w:pPr>
              <w:pStyle w:val="TAL"/>
            </w:pPr>
            <w:r>
              <w:t>Notifications about Individual Events.</w:t>
            </w:r>
          </w:p>
          <w:p w14:paraId="1DC26C95" w14:textId="77777777" w:rsidR="00A10B25" w:rsidRDefault="00A10B25">
            <w:pPr>
              <w:pStyle w:val="TAL"/>
            </w:pPr>
            <w:r>
              <w:t>Shall only be present if the immediate reporting indication in the "immRep" attribute within the "eventReq" attribute sets to true in the event subscription, and the reports are available.</w:t>
            </w:r>
          </w:p>
        </w:tc>
        <w:tc>
          <w:tcPr>
            <w:tcW w:w="1349" w:type="dxa"/>
          </w:tcPr>
          <w:p w14:paraId="46CC60C0" w14:textId="77777777" w:rsidR="00A10B25" w:rsidRDefault="00A10B25">
            <w:pPr>
              <w:pStyle w:val="TAL"/>
              <w:rPr>
                <w:rFonts w:cs="Arial"/>
                <w:szCs w:val="18"/>
              </w:rPr>
            </w:pPr>
          </w:p>
        </w:tc>
      </w:tr>
      <w:tr w:rsidR="00A10B25" w14:paraId="27326480" w14:textId="77777777">
        <w:trPr>
          <w:trHeight w:val="420"/>
          <w:jc w:val="center"/>
        </w:trPr>
        <w:tc>
          <w:tcPr>
            <w:tcW w:w="1657" w:type="dxa"/>
          </w:tcPr>
          <w:p w14:paraId="42C2F80B" w14:textId="77777777" w:rsidR="00A10B25" w:rsidRDefault="00A10B25">
            <w:pPr>
              <w:pStyle w:val="TAL"/>
            </w:pPr>
            <w:r>
              <w:t>suppFeats</w:t>
            </w:r>
          </w:p>
        </w:tc>
        <w:tc>
          <w:tcPr>
            <w:tcW w:w="2494" w:type="dxa"/>
          </w:tcPr>
          <w:p w14:paraId="4CB28481" w14:textId="77777777" w:rsidR="00A10B25" w:rsidRDefault="00A10B25">
            <w:pPr>
              <w:pStyle w:val="TAL"/>
            </w:pPr>
            <w:r>
              <w:t>SupportedFeatures</w:t>
            </w:r>
          </w:p>
        </w:tc>
        <w:tc>
          <w:tcPr>
            <w:tcW w:w="487" w:type="dxa"/>
          </w:tcPr>
          <w:p w14:paraId="77921FC7" w14:textId="77777777" w:rsidR="00A10B25" w:rsidRDefault="00A10B25">
            <w:pPr>
              <w:pStyle w:val="TAL"/>
            </w:pPr>
            <w:r>
              <w:t>C</w:t>
            </w:r>
          </w:p>
        </w:tc>
        <w:tc>
          <w:tcPr>
            <w:tcW w:w="1067" w:type="dxa"/>
          </w:tcPr>
          <w:p w14:paraId="3BDA0A1B" w14:textId="77777777" w:rsidR="00A10B25" w:rsidRDefault="00A10B25">
            <w:pPr>
              <w:pStyle w:val="TAL"/>
            </w:pPr>
            <w:r>
              <w:t>0..1</w:t>
            </w:r>
          </w:p>
        </w:tc>
        <w:tc>
          <w:tcPr>
            <w:tcW w:w="2512" w:type="dxa"/>
          </w:tcPr>
          <w:p w14:paraId="36C28E8B" w14:textId="77777777" w:rsidR="00A10B25" w:rsidRDefault="00A10B25">
            <w:pPr>
              <w:pStyle w:val="TAL"/>
            </w:pPr>
            <w:r>
              <w:t>List of Supported features used as described in clause 5.4.8.</w:t>
            </w:r>
          </w:p>
          <w:p w14:paraId="60E33114" w14:textId="77777777" w:rsidR="00A10B25" w:rsidRDefault="00A10B25">
            <w:pPr>
              <w:pStyle w:val="TAL"/>
            </w:pPr>
            <w:r>
              <w:t>It shall be supplied by NF service consumer in the POST requests that request the creation of an NWDAF ML Model Provision Subscriptions resource, and shall be supplied by the NWDAF in the reply of corresponding request.</w:t>
            </w:r>
          </w:p>
        </w:tc>
        <w:tc>
          <w:tcPr>
            <w:tcW w:w="1349" w:type="dxa"/>
          </w:tcPr>
          <w:p w14:paraId="06DEAA28" w14:textId="77777777" w:rsidR="00A10B25" w:rsidRDefault="00A10B25">
            <w:pPr>
              <w:pStyle w:val="TAL"/>
              <w:rPr>
                <w:rFonts w:cs="Arial"/>
                <w:szCs w:val="18"/>
              </w:rPr>
            </w:pPr>
          </w:p>
        </w:tc>
      </w:tr>
      <w:tr w:rsidR="00A10B25" w14:paraId="44337C7D" w14:textId="77777777">
        <w:trPr>
          <w:trHeight w:val="420"/>
          <w:jc w:val="center"/>
        </w:trPr>
        <w:tc>
          <w:tcPr>
            <w:tcW w:w="1657" w:type="dxa"/>
          </w:tcPr>
          <w:p w14:paraId="53463D2B" w14:textId="77777777" w:rsidR="00A10B25" w:rsidRDefault="00A10B25">
            <w:pPr>
              <w:pStyle w:val="TAL"/>
            </w:pPr>
            <w:r>
              <w:t>notifCorreId</w:t>
            </w:r>
          </w:p>
        </w:tc>
        <w:tc>
          <w:tcPr>
            <w:tcW w:w="2494" w:type="dxa"/>
          </w:tcPr>
          <w:p w14:paraId="48A57D14" w14:textId="77777777" w:rsidR="00A10B25" w:rsidRDefault="00A10B25">
            <w:pPr>
              <w:pStyle w:val="TAL"/>
            </w:pPr>
            <w:r>
              <w:t>string</w:t>
            </w:r>
          </w:p>
        </w:tc>
        <w:tc>
          <w:tcPr>
            <w:tcW w:w="487" w:type="dxa"/>
          </w:tcPr>
          <w:p w14:paraId="0FBC35AB" w14:textId="77777777" w:rsidR="00A10B25" w:rsidRDefault="00A10B25">
            <w:pPr>
              <w:pStyle w:val="TAL"/>
            </w:pPr>
            <w:r>
              <w:t>O</w:t>
            </w:r>
          </w:p>
        </w:tc>
        <w:tc>
          <w:tcPr>
            <w:tcW w:w="1067" w:type="dxa"/>
          </w:tcPr>
          <w:p w14:paraId="4263ACF3" w14:textId="77777777" w:rsidR="00A10B25" w:rsidRDefault="00A10B25">
            <w:pPr>
              <w:pStyle w:val="TAL"/>
            </w:pPr>
            <w:r>
              <w:t>0..1</w:t>
            </w:r>
          </w:p>
        </w:tc>
        <w:tc>
          <w:tcPr>
            <w:tcW w:w="2512" w:type="dxa"/>
          </w:tcPr>
          <w:p w14:paraId="04EEB93A" w14:textId="77777777" w:rsidR="00A10B25" w:rsidRDefault="00A10B25">
            <w:pPr>
              <w:pStyle w:val="TAL"/>
            </w:pPr>
            <w:r>
              <w:t>The value of Notification Correlation ID in the corresponding notification.</w:t>
            </w:r>
          </w:p>
        </w:tc>
        <w:tc>
          <w:tcPr>
            <w:tcW w:w="1349" w:type="dxa"/>
          </w:tcPr>
          <w:p w14:paraId="55449C78" w14:textId="77777777" w:rsidR="00A10B25" w:rsidRDefault="00A10B25">
            <w:pPr>
              <w:pStyle w:val="TAL"/>
              <w:rPr>
                <w:rFonts w:cs="Arial"/>
                <w:szCs w:val="18"/>
              </w:rPr>
            </w:pPr>
          </w:p>
        </w:tc>
      </w:tr>
      <w:tr w:rsidR="00A10B25" w14:paraId="7394E4C7" w14:textId="77777777">
        <w:trPr>
          <w:trHeight w:val="420"/>
          <w:jc w:val="center"/>
        </w:trPr>
        <w:tc>
          <w:tcPr>
            <w:tcW w:w="1657" w:type="dxa"/>
          </w:tcPr>
          <w:p w14:paraId="063B9989" w14:textId="77777777" w:rsidR="00A10B25" w:rsidRDefault="00A10B25">
            <w:pPr>
              <w:pStyle w:val="TAL"/>
            </w:pPr>
            <w:r>
              <w:t>eventReq</w:t>
            </w:r>
          </w:p>
        </w:tc>
        <w:tc>
          <w:tcPr>
            <w:tcW w:w="2494" w:type="dxa"/>
          </w:tcPr>
          <w:p w14:paraId="377DD33E" w14:textId="77777777" w:rsidR="00A10B25" w:rsidRDefault="00A10B25">
            <w:pPr>
              <w:pStyle w:val="TAL"/>
            </w:pPr>
            <w:r>
              <w:t>ReportingInformation</w:t>
            </w:r>
          </w:p>
        </w:tc>
        <w:tc>
          <w:tcPr>
            <w:tcW w:w="487" w:type="dxa"/>
          </w:tcPr>
          <w:p w14:paraId="711DCD62" w14:textId="77777777" w:rsidR="00A10B25" w:rsidRDefault="00A10B25">
            <w:pPr>
              <w:pStyle w:val="TAL"/>
            </w:pPr>
            <w:r>
              <w:t>O</w:t>
            </w:r>
          </w:p>
        </w:tc>
        <w:tc>
          <w:tcPr>
            <w:tcW w:w="1067" w:type="dxa"/>
          </w:tcPr>
          <w:p w14:paraId="1F5D1CF8" w14:textId="77777777" w:rsidR="00A10B25" w:rsidRDefault="00A10B25">
            <w:pPr>
              <w:pStyle w:val="TAL"/>
            </w:pPr>
            <w:r>
              <w:t>0..1</w:t>
            </w:r>
          </w:p>
        </w:tc>
        <w:tc>
          <w:tcPr>
            <w:tcW w:w="2512" w:type="dxa"/>
          </w:tcPr>
          <w:p w14:paraId="522D0D04" w14:textId="77777777" w:rsidR="00A10B25" w:rsidRDefault="00A10B25">
            <w:pPr>
              <w:pStyle w:val="TAL"/>
            </w:pPr>
            <w:r>
              <w:t>Reporting requirement information of the subscription.</w:t>
            </w:r>
          </w:p>
          <w:p w14:paraId="255931C4" w14:textId="77777777" w:rsidR="00A10B25" w:rsidRDefault="00A10B25">
            <w:pPr>
              <w:pStyle w:val="TAL"/>
            </w:pPr>
            <w:r>
              <w:t>If omitted, the default values within the ReportingInformation data type apply.</w:t>
            </w:r>
          </w:p>
        </w:tc>
        <w:tc>
          <w:tcPr>
            <w:tcW w:w="1349" w:type="dxa"/>
          </w:tcPr>
          <w:p w14:paraId="69D6E17A" w14:textId="77777777" w:rsidR="00A10B25" w:rsidRDefault="00A10B25">
            <w:pPr>
              <w:pStyle w:val="TAL"/>
              <w:rPr>
                <w:rFonts w:cs="Arial"/>
                <w:szCs w:val="18"/>
              </w:rPr>
            </w:pPr>
          </w:p>
        </w:tc>
      </w:tr>
      <w:tr w:rsidR="00A10B25" w14:paraId="31820EE9" w14:textId="77777777">
        <w:trPr>
          <w:trHeight w:val="420"/>
          <w:jc w:val="center"/>
        </w:trPr>
        <w:tc>
          <w:tcPr>
            <w:tcW w:w="1657" w:type="dxa"/>
          </w:tcPr>
          <w:p w14:paraId="32198FDE" w14:textId="77777777" w:rsidR="00A10B25" w:rsidRDefault="00A10B25">
            <w:pPr>
              <w:pStyle w:val="TAL"/>
            </w:pPr>
            <w:r>
              <w:t>failEventReports</w:t>
            </w:r>
          </w:p>
        </w:tc>
        <w:tc>
          <w:tcPr>
            <w:tcW w:w="2494" w:type="dxa"/>
          </w:tcPr>
          <w:p w14:paraId="19B10EF1" w14:textId="77777777" w:rsidR="00A10B25" w:rsidRDefault="00A10B25">
            <w:pPr>
              <w:pStyle w:val="TAL"/>
            </w:pPr>
            <w:r>
              <w:t>array(</w:t>
            </w:r>
            <w:r>
              <w:rPr>
                <w:lang w:eastAsia="zh-CN"/>
              </w:rPr>
              <w:t>FailureEventInfoForMLModel</w:t>
            </w:r>
            <w:r>
              <w:t>)</w:t>
            </w:r>
          </w:p>
        </w:tc>
        <w:tc>
          <w:tcPr>
            <w:tcW w:w="487" w:type="dxa"/>
          </w:tcPr>
          <w:p w14:paraId="3896FE7B" w14:textId="77777777" w:rsidR="00A10B25" w:rsidRDefault="00A10B25">
            <w:pPr>
              <w:pStyle w:val="TAL"/>
            </w:pPr>
            <w:r>
              <w:t>O</w:t>
            </w:r>
          </w:p>
        </w:tc>
        <w:tc>
          <w:tcPr>
            <w:tcW w:w="1067" w:type="dxa"/>
          </w:tcPr>
          <w:p w14:paraId="13AD80BD" w14:textId="77777777" w:rsidR="00A10B25" w:rsidRDefault="00A10B25">
            <w:pPr>
              <w:pStyle w:val="TAL"/>
            </w:pPr>
            <w:r>
              <w:t>1..N</w:t>
            </w:r>
          </w:p>
        </w:tc>
        <w:tc>
          <w:tcPr>
            <w:tcW w:w="2512" w:type="dxa"/>
          </w:tcPr>
          <w:p w14:paraId="02309427" w14:textId="77777777" w:rsidR="00A10B25" w:rsidRDefault="00A10B25">
            <w:pPr>
              <w:pStyle w:val="TAL"/>
            </w:pPr>
            <w:r>
              <w:t xml:space="preserve">Supplied by the NWDAF containing MTLF when available, shall contain the event(s) that the subscription is not successful including the failure reason(s). </w:t>
            </w:r>
          </w:p>
        </w:tc>
        <w:tc>
          <w:tcPr>
            <w:tcW w:w="1349" w:type="dxa"/>
          </w:tcPr>
          <w:p w14:paraId="1CB04635" w14:textId="77777777" w:rsidR="00A10B25" w:rsidRDefault="00A10B25">
            <w:pPr>
              <w:pStyle w:val="TAL"/>
              <w:rPr>
                <w:rFonts w:cs="Arial"/>
                <w:szCs w:val="18"/>
              </w:rPr>
            </w:pPr>
          </w:p>
        </w:tc>
      </w:tr>
    </w:tbl>
    <w:p w14:paraId="6582DF34" w14:textId="77777777" w:rsidR="00A10B25" w:rsidRDefault="00A10B25"/>
    <w:p w14:paraId="68B9B092" w14:textId="77777777" w:rsidR="00A10B25" w:rsidRDefault="00A10B25">
      <w:pPr>
        <w:pStyle w:val="5"/>
      </w:pPr>
      <w:bookmarkStart w:id="13718" w:name="_Toc113031900"/>
      <w:bookmarkStart w:id="13719" w:name="_Toc85557249"/>
      <w:bookmarkStart w:id="13720" w:name="_Toc94064449"/>
      <w:bookmarkStart w:id="13721" w:name="_Toc112951360"/>
      <w:bookmarkStart w:id="13722" w:name="_Toc120702540"/>
      <w:bookmarkStart w:id="13723" w:name="_Toc90656044"/>
      <w:bookmarkStart w:id="13724" w:name="_Toc138754473"/>
      <w:bookmarkStart w:id="13725" w:name="_Toc148522882"/>
      <w:bookmarkStart w:id="13726" w:name="_Toc101244632"/>
      <w:bookmarkStart w:id="13727" w:name="_Toc104539237"/>
      <w:bookmarkStart w:id="13728" w:name="_Toc136562639"/>
      <w:bookmarkStart w:id="13729" w:name="_Toc88667759"/>
      <w:bookmarkStart w:id="13730" w:name="_Toc98233851"/>
      <w:bookmarkStart w:id="13731" w:name="_Toc145705968"/>
      <w:bookmarkStart w:id="13732" w:name="_Toc114134039"/>
      <w:bookmarkStart w:id="13733" w:name="_Toc85553150"/>
      <w:bookmarkStart w:id="13734" w:name="_Toc83233221"/>
      <w:bookmarkStart w:id="13735" w:name="_Toc164921070"/>
      <w:bookmarkStart w:id="13736" w:name="_Toc170120612"/>
      <w:bookmarkStart w:id="13737" w:name="_Toc175858857"/>
      <w:bookmarkStart w:id="13738" w:name="_Toc175859930"/>
      <w:bookmarkStart w:id="13739" w:name="_Toc180606220"/>
      <w:bookmarkStart w:id="13740" w:name="_Toc185517481"/>
      <w:bookmarkStart w:id="13741" w:name="_Toc191576533"/>
      <w:bookmarkStart w:id="13742" w:name="_Toc191577273"/>
      <w:bookmarkStart w:id="13743" w:name="_Toc192880343"/>
      <w:bookmarkStart w:id="13744" w:name="_Toc195815232"/>
      <w:bookmarkStart w:id="13745" w:name="_Toc199453199"/>
      <w:r>
        <w:lastRenderedPageBreak/>
        <w:t>5.4.6.2.3</w:t>
      </w:r>
      <w:r>
        <w:tab/>
        <w:t xml:space="preserve">Type </w:t>
      </w:r>
      <w:r>
        <w:rPr>
          <w:lang w:val="en-US" w:eastAsia="zh-CN"/>
        </w:rPr>
        <w:t>MLEventSubscription</w:t>
      </w:r>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36B7B359" w14:textId="77777777" w:rsidR="00A10B25" w:rsidRDefault="00A10B25">
      <w:pPr>
        <w:pStyle w:val="TH"/>
        <w:overflowPunct w:val="0"/>
        <w:autoSpaceDE w:val="0"/>
        <w:autoSpaceDN w:val="0"/>
        <w:adjustRightInd w:val="0"/>
        <w:textAlignment w:val="baseline"/>
      </w:pPr>
      <w:bookmarkStart w:id="13746" w:name="_Toc88667760"/>
      <w:bookmarkStart w:id="13747" w:name="_Toc112951361"/>
      <w:bookmarkStart w:id="13748" w:name="_Toc85557250"/>
      <w:bookmarkStart w:id="13749" w:name="_Toc114134040"/>
      <w:bookmarkStart w:id="13750" w:name="_Toc98233852"/>
      <w:bookmarkStart w:id="13751" w:name="_Toc138754474"/>
      <w:bookmarkStart w:id="13752" w:name="_Toc104539238"/>
      <w:bookmarkStart w:id="13753" w:name="_Toc90656045"/>
      <w:bookmarkStart w:id="13754" w:name="_Toc101244633"/>
      <w:bookmarkStart w:id="13755" w:name="_Toc120702541"/>
      <w:bookmarkStart w:id="13756" w:name="_Toc85553151"/>
      <w:bookmarkStart w:id="13757" w:name="_Toc94064450"/>
      <w:bookmarkStart w:id="13758" w:name="_Toc113031901"/>
      <w:bookmarkStart w:id="13759" w:name="_Toc136562640"/>
      <w:bookmarkStart w:id="13760" w:name="_Toc83233222"/>
      <w:r>
        <w:t>Table 5.4.6.2.3-1: Definition of type MLEventSubscription</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23744561" w14:textId="77777777">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40681CCC" w14:textId="77777777" w:rsidR="00A10B25" w:rsidRDefault="00A10B25">
            <w:pPr>
              <w:pStyle w:val="TAH"/>
              <w:ind w:left="400" w:hanging="400"/>
            </w:pPr>
            <w:r>
              <w:lastRenderedPageBreak/>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7525922D" w14:textId="77777777" w:rsidR="00A10B25" w:rsidRDefault="00A10B25">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3D65C0E8" w14:textId="77777777" w:rsidR="00A10B25" w:rsidRDefault="00A10B25">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3A6682A" w14:textId="77777777" w:rsidR="00A10B25" w:rsidRDefault="00A10B25">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21F6CB9B" w14:textId="77777777" w:rsidR="00A10B25" w:rsidRDefault="00A10B25">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13EDC391" w14:textId="77777777" w:rsidR="00A10B25" w:rsidRDefault="00A10B25">
            <w:pPr>
              <w:pStyle w:val="TAH"/>
              <w:ind w:left="400" w:hanging="400"/>
              <w:rPr>
                <w:rFonts w:cs="Arial"/>
                <w:szCs w:val="18"/>
              </w:rPr>
            </w:pPr>
            <w:r>
              <w:rPr>
                <w:rFonts w:cs="Arial"/>
                <w:szCs w:val="18"/>
              </w:rPr>
              <w:t>Applicability</w:t>
            </w:r>
          </w:p>
        </w:tc>
      </w:tr>
      <w:tr w:rsidR="00A10B25" w14:paraId="577FE960"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E965A74" w14:textId="77777777" w:rsidR="00A10B25" w:rsidRDefault="00A10B25">
            <w:pPr>
              <w:pStyle w:val="TAL"/>
            </w:pPr>
            <w:r>
              <w:t>mLEvent</w:t>
            </w:r>
          </w:p>
        </w:tc>
        <w:tc>
          <w:tcPr>
            <w:tcW w:w="2494" w:type="dxa"/>
            <w:tcBorders>
              <w:top w:val="single" w:sz="6" w:space="0" w:color="auto"/>
              <w:left w:val="single" w:sz="6" w:space="0" w:color="auto"/>
              <w:bottom w:val="single" w:sz="6" w:space="0" w:color="auto"/>
              <w:right w:val="single" w:sz="6" w:space="0" w:color="auto"/>
            </w:tcBorders>
          </w:tcPr>
          <w:p w14:paraId="2918E12B" w14:textId="77777777" w:rsidR="00A10B25" w:rsidRDefault="00A10B25">
            <w:pPr>
              <w:pStyle w:val="TAL"/>
              <w:rPr>
                <w:lang w:eastAsia="zh-CN"/>
              </w:rPr>
            </w:pPr>
            <w:r>
              <w:t>NwdafEvent</w:t>
            </w:r>
          </w:p>
        </w:tc>
        <w:tc>
          <w:tcPr>
            <w:tcW w:w="487" w:type="dxa"/>
            <w:tcBorders>
              <w:top w:val="single" w:sz="6" w:space="0" w:color="auto"/>
              <w:left w:val="single" w:sz="6" w:space="0" w:color="auto"/>
              <w:bottom w:val="single" w:sz="6" w:space="0" w:color="auto"/>
              <w:right w:val="single" w:sz="6" w:space="0" w:color="auto"/>
            </w:tcBorders>
          </w:tcPr>
          <w:p w14:paraId="3A82FDF9" w14:textId="77777777" w:rsidR="00A10B25" w:rsidRDefault="00A10B25">
            <w:pPr>
              <w:pStyle w:val="TAL"/>
              <w:rPr>
                <w:lang w:eastAsia="zh-CN"/>
              </w:rPr>
            </w:pPr>
            <w:r>
              <w:rPr>
                <w:lang w:eastAsia="zh-CN"/>
              </w:rPr>
              <w:t>M</w:t>
            </w:r>
          </w:p>
        </w:tc>
        <w:tc>
          <w:tcPr>
            <w:tcW w:w="1067" w:type="dxa"/>
            <w:tcBorders>
              <w:top w:val="single" w:sz="6" w:space="0" w:color="auto"/>
              <w:left w:val="single" w:sz="6" w:space="0" w:color="auto"/>
              <w:bottom w:val="single" w:sz="6" w:space="0" w:color="auto"/>
              <w:right w:val="single" w:sz="6" w:space="0" w:color="auto"/>
            </w:tcBorders>
          </w:tcPr>
          <w:p w14:paraId="4E55FAA5" w14:textId="77777777" w:rsidR="00A10B25" w:rsidRDefault="00A10B25">
            <w:pPr>
              <w:pStyle w:val="TAL"/>
              <w:rPr>
                <w:lang w:eastAsia="zh-CN"/>
              </w:rPr>
            </w:pP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537D66D4" w14:textId="77777777" w:rsidR="00A10B25" w:rsidRDefault="00A10B25">
            <w:pPr>
              <w:pStyle w:val="TAL"/>
              <w:rPr>
                <w:rFonts w:cs="Arial"/>
                <w:szCs w:val="18"/>
                <w:lang w:eastAsia="zh-CN"/>
              </w:rPr>
            </w:pPr>
            <w:r>
              <w:rPr>
                <w:rFonts w:cs="Arial"/>
                <w:szCs w:val="18"/>
                <w:lang w:eastAsia="zh-CN"/>
              </w:rPr>
              <w:t>Identifies the subscribed event.</w:t>
            </w:r>
          </w:p>
        </w:tc>
        <w:tc>
          <w:tcPr>
            <w:tcW w:w="1349" w:type="dxa"/>
            <w:tcBorders>
              <w:top w:val="single" w:sz="6" w:space="0" w:color="auto"/>
              <w:left w:val="single" w:sz="6" w:space="0" w:color="auto"/>
              <w:bottom w:val="single" w:sz="6" w:space="0" w:color="auto"/>
              <w:right w:val="single" w:sz="6" w:space="0" w:color="auto"/>
            </w:tcBorders>
          </w:tcPr>
          <w:p w14:paraId="0CDEB985" w14:textId="77777777" w:rsidR="00A10B25" w:rsidRDefault="00A10B25">
            <w:pPr>
              <w:pStyle w:val="TAL"/>
              <w:rPr>
                <w:rFonts w:cs="Arial"/>
                <w:szCs w:val="18"/>
              </w:rPr>
            </w:pPr>
          </w:p>
        </w:tc>
      </w:tr>
      <w:tr w:rsidR="00A10B25" w14:paraId="1A64F611"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128DB58" w14:textId="77777777" w:rsidR="00A10B25" w:rsidRDefault="00A10B25">
            <w:pPr>
              <w:pStyle w:val="TAL"/>
            </w:pPr>
            <w:r>
              <w:t>mLEventFilter</w:t>
            </w:r>
          </w:p>
        </w:tc>
        <w:tc>
          <w:tcPr>
            <w:tcW w:w="2494" w:type="dxa"/>
            <w:tcBorders>
              <w:top w:val="single" w:sz="6" w:space="0" w:color="auto"/>
              <w:left w:val="single" w:sz="6" w:space="0" w:color="auto"/>
              <w:bottom w:val="single" w:sz="6" w:space="0" w:color="auto"/>
              <w:right w:val="single" w:sz="6" w:space="0" w:color="auto"/>
            </w:tcBorders>
          </w:tcPr>
          <w:p w14:paraId="7773A624" w14:textId="77777777" w:rsidR="00A10B25" w:rsidRDefault="00A10B25">
            <w:pPr>
              <w:pStyle w:val="TAL"/>
            </w:pPr>
            <w:r>
              <w:t>EventFilter</w:t>
            </w:r>
          </w:p>
        </w:tc>
        <w:tc>
          <w:tcPr>
            <w:tcW w:w="487" w:type="dxa"/>
            <w:tcBorders>
              <w:top w:val="single" w:sz="6" w:space="0" w:color="auto"/>
              <w:left w:val="single" w:sz="6" w:space="0" w:color="auto"/>
              <w:bottom w:val="single" w:sz="6" w:space="0" w:color="auto"/>
              <w:right w:val="single" w:sz="6" w:space="0" w:color="auto"/>
            </w:tcBorders>
          </w:tcPr>
          <w:p w14:paraId="2AB9B7DA" w14:textId="77777777" w:rsidR="00A10B25" w:rsidRDefault="00A10B25">
            <w:pPr>
              <w:pStyle w:val="TAL"/>
              <w:rPr>
                <w:lang w:eastAsia="zh-CN"/>
              </w:rPr>
            </w:pPr>
            <w:r>
              <w:rPr>
                <w:lang w:eastAsia="zh-CN"/>
              </w:rPr>
              <w:t>M</w:t>
            </w:r>
          </w:p>
        </w:tc>
        <w:tc>
          <w:tcPr>
            <w:tcW w:w="1067" w:type="dxa"/>
            <w:tcBorders>
              <w:top w:val="single" w:sz="6" w:space="0" w:color="auto"/>
              <w:left w:val="single" w:sz="6" w:space="0" w:color="auto"/>
              <w:bottom w:val="single" w:sz="6" w:space="0" w:color="auto"/>
              <w:right w:val="single" w:sz="6" w:space="0" w:color="auto"/>
            </w:tcBorders>
          </w:tcPr>
          <w:p w14:paraId="31CEFAF1" w14:textId="77777777" w:rsidR="00A10B25" w:rsidRDefault="00A10B25">
            <w:pPr>
              <w:pStyle w:val="TAL"/>
              <w:rPr>
                <w:lang w:eastAsia="zh-CN"/>
              </w:rPr>
            </w:pP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6C7DB3BC" w14:textId="77777777" w:rsidR="00A10B25" w:rsidRDefault="00A10B25">
            <w:pPr>
              <w:pStyle w:val="TAL"/>
              <w:rPr>
                <w:rFonts w:cs="Arial"/>
                <w:szCs w:val="18"/>
                <w:lang w:eastAsia="zh-CN"/>
              </w:rPr>
            </w:pPr>
            <w:r>
              <w:rPr>
                <w:rFonts w:cs="Arial"/>
                <w:szCs w:val="18"/>
                <w:lang w:eastAsia="zh-CN"/>
              </w:rPr>
              <w:t>Identifies the analytics filter for the subscribed event.</w:t>
            </w:r>
          </w:p>
        </w:tc>
        <w:tc>
          <w:tcPr>
            <w:tcW w:w="1349" w:type="dxa"/>
            <w:tcBorders>
              <w:top w:val="single" w:sz="6" w:space="0" w:color="auto"/>
              <w:left w:val="single" w:sz="6" w:space="0" w:color="auto"/>
              <w:bottom w:val="single" w:sz="6" w:space="0" w:color="auto"/>
              <w:right w:val="single" w:sz="6" w:space="0" w:color="auto"/>
            </w:tcBorders>
          </w:tcPr>
          <w:p w14:paraId="2D651860" w14:textId="77777777" w:rsidR="00A10B25" w:rsidRDefault="00A10B25">
            <w:pPr>
              <w:pStyle w:val="TAL"/>
              <w:rPr>
                <w:rFonts w:cs="Arial"/>
                <w:szCs w:val="18"/>
              </w:rPr>
            </w:pPr>
          </w:p>
        </w:tc>
      </w:tr>
      <w:tr w:rsidR="00A10B25" w14:paraId="52264D0A"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E409FD3" w14:textId="77777777" w:rsidR="00A10B25" w:rsidRDefault="00A10B25">
            <w:pPr>
              <w:pStyle w:val="TAL"/>
            </w:pPr>
            <w:r>
              <w:t>tgtUe</w:t>
            </w:r>
          </w:p>
        </w:tc>
        <w:tc>
          <w:tcPr>
            <w:tcW w:w="2494" w:type="dxa"/>
            <w:tcBorders>
              <w:top w:val="single" w:sz="6" w:space="0" w:color="auto"/>
              <w:left w:val="single" w:sz="6" w:space="0" w:color="auto"/>
              <w:bottom w:val="single" w:sz="6" w:space="0" w:color="auto"/>
              <w:right w:val="single" w:sz="6" w:space="0" w:color="auto"/>
            </w:tcBorders>
          </w:tcPr>
          <w:p w14:paraId="00403D98" w14:textId="77777777" w:rsidR="00A10B25" w:rsidRDefault="00A10B25">
            <w:pPr>
              <w:pStyle w:val="TAL"/>
              <w:rPr>
                <w:lang w:eastAsia="zh-CN"/>
              </w:rPr>
            </w:pPr>
            <w:r>
              <w:t>TargetUeInformation</w:t>
            </w:r>
          </w:p>
        </w:tc>
        <w:tc>
          <w:tcPr>
            <w:tcW w:w="487" w:type="dxa"/>
            <w:tcBorders>
              <w:top w:val="single" w:sz="6" w:space="0" w:color="auto"/>
              <w:left w:val="single" w:sz="6" w:space="0" w:color="auto"/>
              <w:bottom w:val="single" w:sz="6" w:space="0" w:color="auto"/>
              <w:right w:val="single" w:sz="6" w:space="0" w:color="auto"/>
            </w:tcBorders>
          </w:tcPr>
          <w:p w14:paraId="3B879ED3" w14:textId="77777777" w:rsidR="00A10B25" w:rsidRDefault="00A10B25">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5CE4DDBE" w14:textId="77777777" w:rsidR="00A10B25" w:rsidRDefault="00A10B25">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531BA920" w14:textId="77777777" w:rsidR="00A10B25" w:rsidRDefault="00A10B25">
            <w:pPr>
              <w:pStyle w:val="TAL"/>
            </w:pPr>
            <w:r>
              <w:rPr>
                <w:rFonts w:cs="Arial"/>
                <w:szCs w:val="18"/>
              </w:rPr>
              <w:t>Identifies target UE information</w:t>
            </w:r>
          </w:p>
        </w:tc>
        <w:tc>
          <w:tcPr>
            <w:tcW w:w="1349" w:type="dxa"/>
            <w:tcBorders>
              <w:top w:val="single" w:sz="6" w:space="0" w:color="auto"/>
              <w:left w:val="single" w:sz="6" w:space="0" w:color="auto"/>
              <w:bottom w:val="single" w:sz="6" w:space="0" w:color="auto"/>
              <w:right w:val="single" w:sz="6" w:space="0" w:color="auto"/>
            </w:tcBorders>
          </w:tcPr>
          <w:p w14:paraId="67340810" w14:textId="77777777" w:rsidR="00A10B25" w:rsidRDefault="00A10B25">
            <w:pPr>
              <w:pStyle w:val="TAL"/>
              <w:rPr>
                <w:rFonts w:cs="Arial"/>
                <w:szCs w:val="18"/>
              </w:rPr>
            </w:pPr>
          </w:p>
        </w:tc>
      </w:tr>
      <w:tr w:rsidR="00A10B25" w14:paraId="3F5C07BC"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26662CF" w14:textId="77777777" w:rsidR="00A10B25" w:rsidRDefault="00A10B25">
            <w:pPr>
              <w:pStyle w:val="TAL"/>
            </w:pPr>
            <w:r>
              <w:rPr>
                <w:lang w:eastAsia="zh-CN"/>
              </w:rPr>
              <w:t>mLTargetPeriod</w:t>
            </w:r>
          </w:p>
        </w:tc>
        <w:tc>
          <w:tcPr>
            <w:tcW w:w="2494" w:type="dxa"/>
            <w:tcBorders>
              <w:top w:val="single" w:sz="6" w:space="0" w:color="auto"/>
              <w:left w:val="single" w:sz="6" w:space="0" w:color="auto"/>
              <w:bottom w:val="single" w:sz="6" w:space="0" w:color="auto"/>
              <w:right w:val="single" w:sz="6" w:space="0" w:color="auto"/>
            </w:tcBorders>
          </w:tcPr>
          <w:p w14:paraId="4CE9616F" w14:textId="77777777" w:rsidR="00A10B25" w:rsidRDefault="00A10B25">
            <w:pPr>
              <w:pStyle w:val="TAL"/>
            </w:pPr>
            <w:r>
              <w:rPr>
                <w:rFonts w:eastAsia="等线"/>
                <w:lang w:eastAsia="zh-CN"/>
              </w:rPr>
              <w:t>TimeWindow</w:t>
            </w:r>
          </w:p>
        </w:tc>
        <w:tc>
          <w:tcPr>
            <w:tcW w:w="487" w:type="dxa"/>
            <w:tcBorders>
              <w:top w:val="single" w:sz="6" w:space="0" w:color="auto"/>
              <w:left w:val="single" w:sz="6" w:space="0" w:color="auto"/>
              <w:bottom w:val="single" w:sz="6" w:space="0" w:color="auto"/>
              <w:right w:val="single" w:sz="6" w:space="0" w:color="auto"/>
            </w:tcBorders>
          </w:tcPr>
          <w:p w14:paraId="304BCF0B" w14:textId="77777777" w:rsidR="00A10B25" w:rsidRDefault="00A10B25">
            <w:pPr>
              <w:pStyle w:val="TAL"/>
              <w:rPr>
                <w:rFonts w:cs="Arial"/>
                <w:szCs w:val="18"/>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6752AC2A" w14:textId="77777777" w:rsidR="00A10B25" w:rsidRDefault="00A10B25">
            <w:pPr>
              <w:pStyle w:val="TAL"/>
              <w:rPr>
                <w:rFonts w:cs="Arial"/>
                <w:szCs w:val="18"/>
                <w:lang w:eastAsia="zh-CN"/>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69A3B8EC" w14:textId="77777777" w:rsidR="00A10B25" w:rsidRDefault="00A10B25">
            <w:pPr>
              <w:pStyle w:val="TAL"/>
              <w:rPr>
                <w:rFonts w:cs="Arial"/>
                <w:szCs w:val="18"/>
              </w:rPr>
            </w:pPr>
            <w:r>
              <w:rPr>
                <w:rFonts w:cs="Arial"/>
                <w:szCs w:val="18"/>
                <w:lang w:eastAsia="zh-CN"/>
              </w:rPr>
              <w:t xml:space="preserve">Indicates the </w:t>
            </w:r>
            <w:r>
              <w:rPr>
                <w:lang w:eastAsia="zh-CN"/>
              </w:rPr>
              <w:t xml:space="preserve">time interval </w:t>
            </w:r>
            <w:r>
              <w:rPr>
                <w:lang w:val="en-US" w:eastAsia="zh-CN"/>
              </w:rPr>
              <w:t>for</w:t>
            </w:r>
            <w:r>
              <w:rPr>
                <w:rFonts w:cs="Arial"/>
                <w:szCs w:val="18"/>
                <w:lang w:eastAsia="zh-CN"/>
              </w:rPr>
              <w:t xml:space="preserve"> which the ML model for the analytics is requested</w:t>
            </w:r>
            <w:r>
              <w:rPr>
                <w:lang w:eastAsia="zh-CN"/>
              </w:rPr>
              <w:t>.</w:t>
            </w:r>
          </w:p>
        </w:tc>
        <w:tc>
          <w:tcPr>
            <w:tcW w:w="1349" w:type="dxa"/>
            <w:tcBorders>
              <w:top w:val="single" w:sz="6" w:space="0" w:color="auto"/>
              <w:left w:val="single" w:sz="6" w:space="0" w:color="auto"/>
              <w:bottom w:val="single" w:sz="6" w:space="0" w:color="auto"/>
              <w:right w:val="single" w:sz="6" w:space="0" w:color="auto"/>
            </w:tcBorders>
          </w:tcPr>
          <w:p w14:paraId="48FA24A1" w14:textId="77777777" w:rsidR="00A10B25" w:rsidRDefault="00A10B25">
            <w:pPr>
              <w:pStyle w:val="TAL"/>
              <w:rPr>
                <w:rFonts w:cs="Arial"/>
                <w:szCs w:val="18"/>
              </w:rPr>
            </w:pPr>
          </w:p>
        </w:tc>
      </w:tr>
      <w:tr w:rsidR="00A10B25" w14:paraId="16D87CD4"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8A18991" w14:textId="77777777" w:rsidR="00A10B25" w:rsidRDefault="00A10B25">
            <w:pPr>
              <w:pStyle w:val="TAL"/>
              <w:rPr>
                <w:lang w:eastAsia="zh-CN"/>
              </w:rPr>
            </w:pPr>
            <w:r>
              <w:t>timeModelNeeded</w:t>
            </w:r>
          </w:p>
        </w:tc>
        <w:tc>
          <w:tcPr>
            <w:tcW w:w="2494" w:type="dxa"/>
            <w:tcBorders>
              <w:top w:val="single" w:sz="6" w:space="0" w:color="auto"/>
              <w:left w:val="single" w:sz="6" w:space="0" w:color="auto"/>
              <w:bottom w:val="single" w:sz="6" w:space="0" w:color="auto"/>
              <w:right w:val="single" w:sz="6" w:space="0" w:color="auto"/>
            </w:tcBorders>
          </w:tcPr>
          <w:p w14:paraId="78276A72" w14:textId="77777777" w:rsidR="00A10B25" w:rsidRDefault="00A10B25">
            <w:pPr>
              <w:pStyle w:val="TAL"/>
              <w:rPr>
                <w:rFonts w:eastAsia="等线"/>
                <w:lang w:eastAsia="zh-CN"/>
              </w:rPr>
            </w:pPr>
            <w:r>
              <w:t>DateTime</w:t>
            </w:r>
          </w:p>
        </w:tc>
        <w:tc>
          <w:tcPr>
            <w:tcW w:w="487" w:type="dxa"/>
            <w:tcBorders>
              <w:top w:val="single" w:sz="6" w:space="0" w:color="auto"/>
              <w:left w:val="single" w:sz="6" w:space="0" w:color="auto"/>
              <w:bottom w:val="single" w:sz="6" w:space="0" w:color="auto"/>
              <w:right w:val="single" w:sz="6" w:space="0" w:color="auto"/>
            </w:tcBorders>
          </w:tcPr>
          <w:p w14:paraId="1B2B9166"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175C4CD" w14:textId="77777777" w:rsidR="00A10B25" w:rsidRDefault="00A10B25">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tcPr>
          <w:p w14:paraId="4E0BE901" w14:textId="77777777" w:rsidR="00A10B25" w:rsidRDefault="00A10B25">
            <w:pPr>
              <w:pStyle w:val="TAL"/>
              <w:rPr>
                <w:rFonts w:cs="Arial"/>
                <w:szCs w:val="18"/>
                <w:lang w:eastAsia="zh-CN"/>
              </w:rPr>
            </w:pPr>
            <w:r>
              <w:t>UTC time indicating the time when the ML model is needed.</w:t>
            </w:r>
          </w:p>
        </w:tc>
        <w:tc>
          <w:tcPr>
            <w:tcW w:w="1349" w:type="dxa"/>
            <w:tcBorders>
              <w:top w:val="single" w:sz="6" w:space="0" w:color="auto"/>
              <w:left w:val="single" w:sz="6" w:space="0" w:color="auto"/>
              <w:bottom w:val="single" w:sz="6" w:space="0" w:color="auto"/>
              <w:right w:val="single" w:sz="6" w:space="0" w:color="auto"/>
            </w:tcBorders>
          </w:tcPr>
          <w:p w14:paraId="39F6A102" w14:textId="77777777" w:rsidR="00A10B25" w:rsidRDefault="00A10B25">
            <w:pPr>
              <w:pStyle w:val="TAL"/>
              <w:rPr>
                <w:rFonts w:cs="Arial"/>
                <w:szCs w:val="18"/>
              </w:rPr>
            </w:pPr>
            <w:r>
              <w:rPr>
                <w:rFonts w:cs="Arial"/>
                <w:szCs w:val="18"/>
              </w:rPr>
              <w:t>ModelProvisionExt</w:t>
            </w:r>
          </w:p>
          <w:p w14:paraId="458B94CE" w14:textId="77777777" w:rsidR="00A10B25" w:rsidRDefault="00A10B25">
            <w:pPr>
              <w:pStyle w:val="TAL"/>
              <w:rPr>
                <w:rFonts w:cs="Arial"/>
                <w:szCs w:val="18"/>
              </w:rPr>
            </w:pPr>
            <w:r>
              <w:t>FederatedLearning</w:t>
            </w:r>
          </w:p>
        </w:tc>
      </w:tr>
      <w:tr w:rsidR="00A10B25" w14:paraId="29CB2472"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A398A44" w14:textId="77777777" w:rsidR="00A10B25" w:rsidRDefault="00A10B25">
            <w:pPr>
              <w:pStyle w:val="TAL"/>
              <w:rPr>
                <w:lang w:eastAsia="zh-CN"/>
              </w:rPr>
            </w:pPr>
            <w:r>
              <w:rPr>
                <w:lang w:eastAsia="ja-JP"/>
              </w:rPr>
              <w:t>expiryTime</w:t>
            </w:r>
          </w:p>
        </w:tc>
        <w:tc>
          <w:tcPr>
            <w:tcW w:w="2494" w:type="dxa"/>
            <w:tcBorders>
              <w:top w:val="single" w:sz="6" w:space="0" w:color="auto"/>
              <w:left w:val="single" w:sz="6" w:space="0" w:color="auto"/>
              <w:bottom w:val="single" w:sz="6" w:space="0" w:color="auto"/>
              <w:right w:val="single" w:sz="6" w:space="0" w:color="auto"/>
            </w:tcBorders>
          </w:tcPr>
          <w:p w14:paraId="5C79FD7C" w14:textId="77777777" w:rsidR="00A10B25" w:rsidRDefault="00A10B25">
            <w:pPr>
              <w:pStyle w:val="TAL"/>
              <w:rPr>
                <w:rFonts w:eastAsia="等线"/>
                <w:lang w:eastAsia="zh-CN"/>
              </w:rPr>
            </w:pPr>
            <w:r>
              <w:t>DateTime</w:t>
            </w:r>
          </w:p>
        </w:tc>
        <w:tc>
          <w:tcPr>
            <w:tcW w:w="487" w:type="dxa"/>
            <w:tcBorders>
              <w:top w:val="single" w:sz="6" w:space="0" w:color="auto"/>
              <w:left w:val="single" w:sz="6" w:space="0" w:color="auto"/>
              <w:bottom w:val="single" w:sz="6" w:space="0" w:color="auto"/>
              <w:right w:val="single" w:sz="6" w:space="0" w:color="auto"/>
            </w:tcBorders>
          </w:tcPr>
          <w:p w14:paraId="4EFE7362" w14:textId="77777777" w:rsidR="00A10B25" w:rsidRDefault="00A10B25">
            <w:pPr>
              <w:pStyle w:val="TAL"/>
              <w:rPr>
                <w:rFonts w:eastAsia="MS Mincho"/>
              </w:rPr>
            </w:pPr>
            <w:r>
              <w:t>O</w:t>
            </w:r>
          </w:p>
        </w:tc>
        <w:tc>
          <w:tcPr>
            <w:tcW w:w="1067" w:type="dxa"/>
            <w:tcBorders>
              <w:top w:val="single" w:sz="6" w:space="0" w:color="auto"/>
              <w:left w:val="single" w:sz="6" w:space="0" w:color="auto"/>
              <w:bottom w:val="single" w:sz="6" w:space="0" w:color="auto"/>
              <w:right w:val="single" w:sz="6" w:space="0" w:color="auto"/>
            </w:tcBorders>
          </w:tcPr>
          <w:p w14:paraId="129D61AD"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3AB8F2FA" w14:textId="77777777" w:rsidR="00A10B25" w:rsidRDefault="00A10B25">
            <w:pPr>
              <w:pStyle w:val="TAL"/>
              <w:rPr>
                <w:rFonts w:eastAsia="MS Mincho" w:cs="Arial"/>
                <w:szCs w:val="18"/>
                <w:lang w:eastAsia="zh-CN"/>
              </w:rPr>
            </w:pPr>
            <w:r>
              <w:rPr>
                <w:rFonts w:cs="Arial"/>
                <w:szCs w:val="18"/>
                <w:lang w:eastAsia="zh-CN"/>
              </w:rPr>
              <w:t>Indicates the time when the subscription expired.</w:t>
            </w:r>
          </w:p>
        </w:tc>
        <w:tc>
          <w:tcPr>
            <w:tcW w:w="1349" w:type="dxa"/>
            <w:tcBorders>
              <w:top w:val="single" w:sz="6" w:space="0" w:color="auto"/>
              <w:left w:val="single" w:sz="6" w:space="0" w:color="auto"/>
              <w:bottom w:val="single" w:sz="6" w:space="0" w:color="auto"/>
              <w:right w:val="single" w:sz="6" w:space="0" w:color="auto"/>
            </w:tcBorders>
          </w:tcPr>
          <w:p w14:paraId="644E4572" w14:textId="77777777" w:rsidR="00A10B25" w:rsidRDefault="00A10B25">
            <w:pPr>
              <w:pStyle w:val="TAL"/>
              <w:rPr>
                <w:rFonts w:cs="Arial"/>
                <w:szCs w:val="18"/>
              </w:rPr>
            </w:pPr>
          </w:p>
        </w:tc>
      </w:tr>
      <w:tr w:rsidR="00A10B25" w14:paraId="6BCB55A7"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7141F0D1" w14:textId="77777777" w:rsidR="00A10B25" w:rsidRDefault="00A10B25">
            <w:pPr>
              <w:pStyle w:val="TAL"/>
            </w:pPr>
            <w:r>
              <w:rPr>
                <w:lang w:eastAsia="ko-KR"/>
              </w:rPr>
              <w:t>mlEvRepCon</w:t>
            </w:r>
          </w:p>
        </w:tc>
        <w:tc>
          <w:tcPr>
            <w:tcW w:w="2494" w:type="dxa"/>
            <w:tcBorders>
              <w:top w:val="single" w:sz="6" w:space="0" w:color="auto"/>
              <w:left w:val="single" w:sz="6" w:space="0" w:color="auto"/>
              <w:bottom w:val="single" w:sz="6" w:space="0" w:color="auto"/>
              <w:right w:val="single" w:sz="6" w:space="0" w:color="auto"/>
            </w:tcBorders>
          </w:tcPr>
          <w:p w14:paraId="09C0861A" w14:textId="77777777" w:rsidR="00A10B25" w:rsidRDefault="00A10B25">
            <w:pPr>
              <w:pStyle w:val="TAL"/>
              <w:rPr>
                <w:lang w:eastAsia="ko-KR"/>
              </w:rPr>
            </w:pPr>
            <w:r>
              <w:rPr>
                <w:lang w:eastAsia="ko-KR"/>
              </w:rPr>
              <w:t>MLRepEventCondition</w:t>
            </w:r>
          </w:p>
        </w:tc>
        <w:tc>
          <w:tcPr>
            <w:tcW w:w="487" w:type="dxa"/>
            <w:tcBorders>
              <w:top w:val="single" w:sz="6" w:space="0" w:color="auto"/>
              <w:left w:val="single" w:sz="6" w:space="0" w:color="auto"/>
              <w:bottom w:val="single" w:sz="6" w:space="0" w:color="auto"/>
              <w:right w:val="single" w:sz="6" w:space="0" w:color="auto"/>
            </w:tcBorders>
          </w:tcPr>
          <w:p w14:paraId="39E556CE"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E4001FE" w14:textId="77777777" w:rsidR="00A10B25" w:rsidRDefault="00A10B25">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tcPr>
          <w:p w14:paraId="689928FD" w14:textId="77777777" w:rsidR="00A10B25" w:rsidRDefault="00A10B25">
            <w:pPr>
              <w:pStyle w:val="TAL"/>
              <w:rPr>
                <w:rFonts w:eastAsia="MS Mincho" w:cs="Arial"/>
                <w:szCs w:val="18"/>
                <w:lang w:eastAsia="zh-CN"/>
              </w:rPr>
            </w:pPr>
            <w:r>
              <w:t xml:space="preserve">Indicates the </w:t>
            </w:r>
            <w:r>
              <w:rPr>
                <w:lang w:eastAsia="ko-KR"/>
              </w:rPr>
              <w:t xml:space="preserve">ML event reporting condition. This attribute can be provided when the </w:t>
            </w:r>
            <w:r>
              <w:t xml:space="preserve">"notifMethod" attribute within the ReportingInformation structure is set to "ON_EVENT_DETECTION" in the "eventReq" attribute within the </w:t>
            </w:r>
            <w:r>
              <w:rPr>
                <w:rFonts w:eastAsia="等线"/>
              </w:rPr>
              <w:t>NwdafMLModelProvSubsc data type.</w:t>
            </w:r>
          </w:p>
        </w:tc>
        <w:tc>
          <w:tcPr>
            <w:tcW w:w="1349" w:type="dxa"/>
            <w:tcBorders>
              <w:top w:val="single" w:sz="6" w:space="0" w:color="auto"/>
              <w:left w:val="single" w:sz="6" w:space="0" w:color="auto"/>
              <w:bottom w:val="single" w:sz="6" w:space="0" w:color="auto"/>
              <w:right w:val="single" w:sz="6" w:space="0" w:color="auto"/>
            </w:tcBorders>
          </w:tcPr>
          <w:p w14:paraId="56C66932" w14:textId="77777777" w:rsidR="00A10B25" w:rsidRDefault="00A10B25">
            <w:pPr>
              <w:pStyle w:val="TAL"/>
            </w:pPr>
            <w:r>
              <w:t>FederatedLearning</w:t>
            </w:r>
          </w:p>
          <w:p w14:paraId="14BE839A" w14:textId="77777777" w:rsidR="00A10B25" w:rsidRDefault="00A10B25">
            <w:pPr>
              <w:pStyle w:val="TAL"/>
            </w:pPr>
            <w:r>
              <w:t>ModelProvisionExt</w:t>
            </w:r>
          </w:p>
        </w:tc>
      </w:tr>
      <w:tr w:rsidR="00A10B25" w14:paraId="5062431B"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72A1D609" w14:textId="77777777" w:rsidR="00A10B25" w:rsidRDefault="00A10B25">
            <w:pPr>
              <w:pStyle w:val="TAL"/>
            </w:pPr>
            <w:r>
              <w:t>modelInterInfo</w:t>
            </w:r>
          </w:p>
        </w:tc>
        <w:tc>
          <w:tcPr>
            <w:tcW w:w="2494" w:type="dxa"/>
            <w:tcBorders>
              <w:top w:val="single" w:sz="6" w:space="0" w:color="auto"/>
              <w:left w:val="single" w:sz="6" w:space="0" w:color="auto"/>
              <w:bottom w:val="single" w:sz="6" w:space="0" w:color="auto"/>
              <w:right w:val="single" w:sz="6" w:space="0" w:color="auto"/>
            </w:tcBorders>
          </w:tcPr>
          <w:p w14:paraId="459D068A" w14:textId="77777777" w:rsidR="00A10B25" w:rsidRDefault="00A10B25">
            <w:pPr>
              <w:pStyle w:val="TAL"/>
            </w:pPr>
            <w:r>
              <w:t>string</w:t>
            </w:r>
          </w:p>
        </w:tc>
        <w:tc>
          <w:tcPr>
            <w:tcW w:w="487" w:type="dxa"/>
            <w:tcBorders>
              <w:top w:val="single" w:sz="6" w:space="0" w:color="auto"/>
              <w:left w:val="single" w:sz="6" w:space="0" w:color="auto"/>
              <w:bottom w:val="single" w:sz="6" w:space="0" w:color="auto"/>
              <w:right w:val="single" w:sz="6" w:space="0" w:color="auto"/>
            </w:tcBorders>
          </w:tcPr>
          <w:p w14:paraId="3410ABEF"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EA0B474"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7637D507" w14:textId="77777777" w:rsidR="00542337" w:rsidRDefault="00542337" w:rsidP="00542337">
            <w:pPr>
              <w:pStyle w:val="TAL"/>
              <w:rPr>
                <w:rFonts w:eastAsia="MS Mincho"/>
                <w:lang w:eastAsia="ko-KR"/>
              </w:rPr>
            </w:pPr>
            <w:r>
              <w:rPr>
                <w:rFonts w:cs="Arial"/>
                <w:szCs w:val="18"/>
                <w:lang w:eastAsia="zh-CN"/>
              </w:rPr>
              <w:t xml:space="preserve">Represents </w:t>
            </w:r>
            <w:r>
              <w:rPr>
                <w:lang w:eastAsia="zh-CN"/>
              </w:rPr>
              <w:t xml:space="preserve">the ML Model Interoperability Information. This is vendor-specific information </w:t>
            </w:r>
            <w:r>
              <w:rPr>
                <w:lang w:eastAsia="ko-KR"/>
              </w:rPr>
              <w:t>and is agreed between vendors, if necessary for sharing purposes.</w:t>
            </w:r>
          </w:p>
          <w:p w14:paraId="56F4565E" w14:textId="77777777" w:rsidR="00542337" w:rsidRDefault="00542337" w:rsidP="00542337">
            <w:pPr>
              <w:pStyle w:val="TAL"/>
              <w:rPr>
                <w:lang w:eastAsia="ko-KR"/>
              </w:rPr>
            </w:pPr>
            <w:r>
              <w:rPr>
                <w:lang w:eastAsia="ko-KR"/>
              </w:rPr>
              <w:t>The format of value is out of 3GPP.</w:t>
            </w:r>
          </w:p>
          <w:p w14:paraId="76A2327B" w14:textId="77777777" w:rsidR="00A10B25" w:rsidRDefault="00542337" w:rsidP="00542337">
            <w:pPr>
              <w:pStyle w:val="TAL"/>
              <w:rPr>
                <w:rFonts w:cs="Arial"/>
                <w:szCs w:val="18"/>
                <w:lang w:eastAsia="zh-CN"/>
              </w:rPr>
            </w:pPr>
            <w:r>
              <w:rPr>
                <w:rFonts w:cs="Arial" w:hint="eastAsia"/>
                <w:szCs w:val="18"/>
                <w:lang w:eastAsia="zh-CN"/>
              </w:rPr>
              <w:t>(</w:t>
            </w:r>
            <w:r>
              <w:rPr>
                <w:rFonts w:cs="Arial"/>
                <w:szCs w:val="18"/>
                <w:lang w:eastAsia="zh-CN"/>
              </w:rPr>
              <w:t>NOTE)</w:t>
            </w:r>
          </w:p>
        </w:tc>
        <w:tc>
          <w:tcPr>
            <w:tcW w:w="1349" w:type="dxa"/>
            <w:tcBorders>
              <w:top w:val="single" w:sz="6" w:space="0" w:color="auto"/>
              <w:left w:val="single" w:sz="6" w:space="0" w:color="auto"/>
              <w:bottom w:val="single" w:sz="6" w:space="0" w:color="auto"/>
              <w:right w:val="single" w:sz="6" w:space="0" w:color="auto"/>
            </w:tcBorders>
          </w:tcPr>
          <w:p w14:paraId="47778CD3" w14:textId="77777777" w:rsidR="00A10B25" w:rsidRDefault="00A10B25">
            <w:pPr>
              <w:pStyle w:val="TAL"/>
            </w:pPr>
            <w:r>
              <w:rPr>
                <w:rFonts w:cs="Arial"/>
                <w:szCs w:val="18"/>
              </w:rPr>
              <w:t>ModelSharing</w:t>
            </w:r>
          </w:p>
        </w:tc>
      </w:tr>
      <w:tr w:rsidR="003E1F9F" w14:paraId="30E50753"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4B55572" w14:textId="77777777" w:rsidR="003E1F9F" w:rsidRDefault="003E1F9F" w:rsidP="003E1F9F">
            <w:pPr>
              <w:pStyle w:val="TAL"/>
            </w:pPr>
            <w:r>
              <w:t>nfConsumerInfo</w:t>
            </w:r>
          </w:p>
        </w:tc>
        <w:tc>
          <w:tcPr>
            <w:tcW w:w="2494" w:type="dxa"/>
            <w:tcBorders>
              <w:top w:val="single" w:sz="6" w:space="0" w:color="auto"/>
              <w:left w:val="single" w:sz="6" w:space="0" w:color="auto"/>
              <w:bottom w:val="single" w:sz="6" w:space="0" w:color="auto"/>
              <w:right w:val="single" w:sz="6" w:space="0" w:color="auto"/>
            </w:tcBorders>
          </w:tcPr>
          <w:p w14:paraId="1B9BF32C" w14:textId="77777777" w:rsidR="003E1F9F" w:rsidRDefault="003E1F9F" w:rsidP="003E1F9F">
            <w:pPr>
              <w:pStyle w:val="TAL"/>
            </w:pPr>
            <w:r>
              <w:rPr>
                <w:lang w:eastAsia="ja-JP"/>
              </w:rPr>
              <w:t>VendorId</w:t>
            </w:r>
          </w:p>
        </w:tc>
        <w:tc>
          <w:tcPr>
            <w:tcW w:w="487" w:type="dxa"/>
            <w:tcBorders>
              <w:top w:val="single" w:sz="6" w:space="0" w:color="auto"/>
              <w:left w:val="single" w:sz="6" w:space="0" w:color="auto"/>
              <w:bottom w:val="single" w:sz="6" w:space="0" w:color="auto"/>
              <w:right w:val="single" w:sz="6" w:space="0" w:color="auto"/>
            </w:tcBorders>
          </w:tcPr>
          <w:p w14:paraId="48CCA305" w14:textId="77777777" w:rsidR="003E1F9F" w:rsidRDefault="003E1F9F" w:rsidP="003E1F9F">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D96CDF5" w14:textId="77777777" w:rsidR="003E1F9F" w:rsidRDefault="003E1F9F" w:rsidP="003E1F9F">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4D68135C" w14:textId="77777777" w:rsidR="003E1F9F" w:rsidRDefault="003E1F9F" w:rsidP="003E1F9F">
            <w:pPr>
              <w:pStyle w:val="TAL"/>
              <w:rPr>
                <w:rFonts w:eastAsia="MS Mincho" w:cs="Arial"/>
                <w:szCs w:val="18"/>
                <w:lang w:eastAsia="zh-CN"/>
              </w:rPr>
            </w:pPr>
            <w:r>
              <w:rPr>
                <w:rFonts w:cs="Arial"/>
                <w:szCs w:val="18"/>
                <w:lang w:eastAsia="zh-CN"/>
              </w:rPr>
              <w:t xml:space="preserve">Identifies a vendor. </w:t>
            </w:r>
            <w:r>
              <w:rPr>
                <w:rFonts w:cs="Arial"/>
                <w:szCs w:val="18"/>
              </w:rPr>
              <w:t>Vendor ID of the NF Service Consumer instance, according to the IANA-assigned "SMI Network Management Private Enterprise Codes" [31].</w:t>
            </w:r>
          </w:p>
        </w:tc>
        <w:tc>
          <w:tcPr>
            <w:tcW w:w="1349" w:type="dxa"/>
            <w:tcBorders>
              <w:top w:val="single" w:sz="6" w:space="0" w:color="auto"/>
              <w:left w:val="single" w:sz="6" w:space="0" w:color="auto"/>
              <w:bottom w:val="single" w:sz="6" w:space="0" w:color="auto"/>
              <w:right w:val="single" w:sz="6" w:space="0" w:color="auto"/>
            </w:tcBorders>
          </w:tcPr>
          <w:p w14:paraId="2CBB84DE" w14:textId="77777777" w:rsidR="003E1F9F" w:rsidRDefault="003E1F9F" w:rsidP="003E1F9F">
            <w:pPr>
              <w:pStyle w:val="TAL"/>
            </w:pPr>
            <w:r>
              <w:rPr>
                <w:rFonts w:cs="Arial"/>
                <w:szCs w:val="18"/>
              </w:rPr>
              <w:t>ModelSharing</w:t>
            </w:r>
          </w:p>
        </w:tc>
      </w:tr>
      <w:tr w:rsidR="00A10B25" w14:paraId="7D5C72E5"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D56CA5A" w14:textId="77777777" w:rsidR="00A10B25" w:rsidRDefault="00A10B25">
            <w:pPr>
              <w:pStyle w:val="TAL"/>
            </w:pPr>
            <w:r>
              <w:rPr>
                <w:lang w:eastAsia="ja-JP"/>
              </w:rPr>
              <w:t>modelProvExt</w:t>
            </w:r>
          </w:p>
        </w:tc>
        <w:tc>
          <w:tcPr>
            <w:tcW w:w="2494" w:type="dxa"/>
            <w:tcBorders>
              <w:top w:val="single" w:sz="6" w:space="0" w:color="auto"/>
              <w:left w:val="single" w:sz="6" w:space="0" w:color="auto"/>
              <w:bottom w:val="single" w:sz="6" w:space="0" w:color="auto"/>
              <w:right w:val="single" w:sz="6" w:space="0" w:color="auto"/>
            </w:tcBorders>
          </w:tcPr>
          <w:p w14:paraId="659DB84F" w14:textId="77777777" w:rsidR="00A10B25" w:rsidRDefault="00A10B25">
            <w:pPr>
              <w:pStyle w:val="TAL"/>
              <w:rPr>
                <w:lang w:eastAsia="ja-JP"/>
              </w:rPr>
            </w:pPr>
            <w:r>
              <w:t>ModelProvisionParamsExt</w:t>
            </w:r>
          </w:p>
        </w:tc>
        <w:tc>
          <w:tcPr>
            <w:tcW w:w="487" w:type="dxa"/>
            <w:tcBorders>
              <w:top w:val="single" w:sz="6" w:space="0" w:color="auto"/>
              <w:left w:val="single" w:sz="6" w:space="0" w:color="auto"/>
              <w:bottom w:val="single" w:sz="6" w:space="0" w:color="auto"/>
              <w:right w:val="single" w:sz="6" w:space="0" w:color="auto"/>
            </w:tcBorders>
          </w:tcPr>
          <w:p w14:paraId="6EB491D4"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04B57C5"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0572EDD2" w14:textId="77777777" w:rsidR="00A10B25" w:rsidRDefault="00A10B25">
            <w:pPr>
              <w:pStyle w:val="TAL"/>
              <w:rPr>
                <w:rFonts w:eastAsia="MS Mincho" w:cs="Arial"/>
                <w:szCs w:val="18"/>
                <w:lang w:eastAsia="zh-CN"/>
              </w:rPr>
            </w:pPr>
            <w:r>
              <w:rPr>
                <w:rFonts w:cs="Arial"/>
                <w:szCs w:val="18"/>
                <w:lang w:eastAsia="zh-CN"/>
              </w:rPr>
              <w:t>Extended ML model provisioning parameters.</w:t>
            </w:r>
          </w:p>
        </w:tc>
        <w:tc>
          <w:tcPr>
            <w:tcW w:w="1349" w:type="dxa"/>
            <w:tcBorders>
              <w:top w:val="single" w:sz="6" w:space="0" w:color="auto"/>
              <w:left w:val="single" w:sz="6" w:space="0" w:color="auto"/>
              <w:bottom w:val="single" w:sz="6" w:space="0" w:color="auto"/>
              <w:right w:val="single" w:sz="6" w:space="0" w:color="auto"/>
            </w:tcBorders>
          </w:tcPr>
          <w:p w14:paraId="251A4F2F" w14:textId="77777777" w:rsidR="00A10B25" w:rsidRDefault="00A10B25">
            <w:pPr>
              <w:pStyle w:val="TAL"/>
              <w:rPr>
                <w:rFonts w:cs="Arial"/>
                <w:szCs w:val="18"/>
              </w:rPr>
            </w:pPr>
            <w:r>
              <w:rPr>
                <w:rFonts w:cs="Arial"/>
                <w:szCs w:val="18"/>
              </w:rPr>
              <w:t>ModelProvisionExt</w:t>
            </w:r>
          </w:p>
        </w:tc>
      </w:tr>
      <w:tr w:rsidR="00A10B25" w14:paraId="0BD69EAB"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EB0BD91" w14:textId="77777777" w:rsidR="00A10B25" w:rsidRDefault="00A10B25">
            <w:pPr>
              <w:pStyle w:val="TAL"/>
              <w:rPr>
                <w:lang w:eastAsia="ja-JP"/>
              </w:rPr>
            </w:pPr>
            <w:r>
              <w:rPr>
                <w:lang w:eastAsia="ja-JP"/>
              </w:rPr>
              <w:t>useCaseCxt</w:t>
            </w:r>
          </w:p>
        </w:tc>
        <w:tc>
          <w:tcPr>
            <w:tcW w:w="2494" w:type="dxa"/>
            <w:tcBorders>
              <w:top w:val="single" w:sz="6" w:space="0" w:color="auto"/>
              <w:left w:val="single" w:sz="6" w:space="0" w:color="auto"/>
              <w:bottom w:val="single" w:sz="6" w:space="0" w:color="auto"/>
              <w:right w:val="single" w:sz="6" w:space="0" w:color="auto"/>
            </w:tcBorders>
          </w:tcPr>
          <w:p w14:paraId="3D653F9D" w14:textId="77777777" w:rsidR="00A10B25" w:rsidRDefault="00A10B25">
            <w:pPr>
              <w:pStyle w:val="TAL"/>
            </w:pPr>
            <w:r>
              <w:t>string</w:t>
            </w:r>
          </w:p>
        </w:tc>
        <w:tc>
          <w:tcPr>
            <w:tcW w:w="487" w:type="dxa"/>
            <w:tcBorders>
              <w:top w:val="single" w:sz="6" w:space="0" w:color="auto"/>
              <w:left w:val="single" w:sz="6" w:space="0" w:color="auto"/>
              <w:bottom w:val="single" w:sz="6" w:space="0" w:color="auto"/>
              <w:right w:val="single" w:sz="6" w:space="0" w:color="auto"/>
            </w:tcBorders>
          </w:tcPr>
          <w:p w14:paraId="70463F00"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51EBE274" w14:textId="77777777" w:rsidR="00A10B25" w:rsidRDefault="00A10B25">
            <w:pPr>
              <w:pStyle w:val="TAL"/>
              <w:rPr>
                <w:rFonts w:eastAsia="Yu Mincho"/>
                <w:lang w:eastAsia="ja-JP"/>
              </w:rPr>
            </w:pPr>
            <w:r>
              <w:rPr>
                <w:rFonts w:eastAsia="Yu Mincho"/>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615B54EE" w14:textId="77777777" w:rsidR="00A10B25" w:rsidRDefault="00A10B25">
            <w:pPr>
              <w:pStyle w:val="TAL"/>
              <w:rPr>
                <w:rFonts w:eastAsia="MS Mincho" w:cs="Arial"/>
                <w:szCs w:val="18"/>
                <w:lang w:eastAsia="zh-CN"/>
              </w:rPr>
            </w:pPr>
            <w:r>
              <w:rPr>
                <w:rFonts w:cs="Arial"/>
                <w:szCs w:val="18"/>
                <w:lang w:eastAsia="zh-CN"/>
              </w:rPr>
              <w:t>Indicates the context of usage of the analytics.</w:t>
            </w:r>
          </w:p>
          <w:p w14:paraId="07D611AB" w14:textId="77777777" w:rsidR="00A10B25" w:rsidRDefault="00A10B25">
            <w:pPr>
              <w:pStyle w:val="TAL"/>
              <w:rPr>
                <w:rFonts w:cs="Arial"/>
                <w:szCs w:val="18"/>
                <w:lang w:eastAsia="zh-CN"/>
              </w:rPr>
            </w:pPr>
            <w:r>
              <w:rPr>
                <w:rFonts w:cs="Arial"/>
                <w:szCs w:val="18"/>
                <w:lang w:eastAsia="zh-CN"/>
              </w:rPr>
              <w:t>The value and format of this parameter are not standardized.</w:t>
            </w:r>
          </w:p>
        </w:tc>
        <w:tc>
          <w:tcPr>
            <w:tcW w:w="1349" w:type="dxa"/>
            <w:tcBorders>
              <w:top w:val="single" w:sz="6" w:space="0" w:color="auto"/>
              <w:left w:val="single" w:sz="6" w:space="0" w:color="auto"/>
              <w:bottom w:val="single" w:sz="6" w:space="0" w:color="auto"/>
              <w:right w:val="single" w:sz="6" w:space="0" w:color="auto"/>
            </w:tcBorders>
          </w:tcPr>
          <w:p w14:paraId="3A70937B" w14:textId="77777777" w:rsidR="00A10B25" w:rsidRDefault="00A10B25">
            <w:pPr>
              <w:pStyle w:val="TAL"/>
              <w:rPr>
                <w:rFonts w:cs="Arial"/>
                <w:szCs w:val="18"/>
              </w:rPr>
            </w:pPr>
            <w:r>
              <w:rPr>
                <w:rFonts w:cs="Arial"/>
                <w:szCs w:val="18"/>
              </w:rPr>
              <w:t>ENAExt</w:t>
            </w:r>
          </w:p>
        </w:tc>
      </w:tr>
      <w:tr w:rsidR="00A10B25" w14:paraId="52EFF1B3"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391B673" w14:textId="77777777" w:rsidR="00A10B25" w:rsidRDefault="00A10B25">
            <w:pPr>
              <w:pStyle w:val="TAL"/>
              <w:rPr>
                <w:lang w:eastAsia="ja-JP"/>
              </w:rPr>
            </w:pPr>
            <w:r>
              <w:rPr>
                <w:lang w:eastAsia="zh-CN"/>
              </w:rPr>
              <w:t>inferDataForM</w:t>
            </w:r>
            <w:r>
              <w:rPr>
                <w:rFonts w:hint="eastAsia"/>
                <w:lang w:eastAsia="zh-CN"/>
              </w:rPr>
              <w:t>od</w:t>
            </w:r>
            <w:r>
              <w:rPr>
                <w:lang w:eastAsia="zh-CN"/>
              </w:rPr>
              <w:t>el</w:t>
            </w:r>
          </w:p>
        </w:tc>
        <w:tc>
          <w:tcPr>
            <w:tcW w:w="2494" w:type="dxa"/>
            <w:tcBorders>
              <w:top w:val="single" w:sz="6" w:space="0" w:color="auto"/>
              <w:left w:val="single" w:sz="6" w:space="0" w:color="auto"/>
              <w:bottom w:val="single" w:sz="6" w:space="0" w:color="auto"/>
              <w:right w:val="single" w:sz="6" w:space="0" w:color="auto"/>
            </w:tcBorders>
          </w:tcPr>
          <w:p w14:paraId="481139AF" w14:textId="77777777" w:rsidR="00A10B25" w:rsidRDefault="00A10B25">
            <w:pPr>
              <w:pStyle w:val="TAL"/>
            </w:pPr>
            <w:r>
              <w:rPr>
                <w:lang w:val="en-US" w:eastAsia="zh-CN"/>
              </w:rPr>
              <w:t>InferenceDataForModelTrain</w:t>
            </w:r>
          </w:p>
        </w:tc>
        <w:tc>
          <w:tcPr>
            <w:tcW w:w="487" w:type="dxa"/>
            <w:tcBorders>
              <w:top w:val="single" w:sz="6" w:space="0" w:color="auto"/>
              <w:left w:val="single" w:sz="6" w:space="0" w:color="auto"/>
              <w:bottom w:val="single" w:sz="6" w:space="0" w:color="auto"/>
              <w:right w:val="single" w:sz="6" w:space="0" w:color="auto"/>
            </w:tcBorders>
          </w:tcPr>
          <w:p w14:paraId="57DEDB98"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1B9B3B13" w14:textId="77777777" w:rsidR="00A10B25" w:rsidRDefault="00A10B25">
            <w:pPr>
              <w:pStyle w:val="TAL"/>
              <w:rPr>
                <w:rFonts w:eastAsia="Yu Mincho"/>
                <w:lang w:eastAsia="ja-JP"/>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2D360E1D" w14:textId="77777777" w:rsidR="00A10B25" w:rsidRDefault="00A10B25">
            <w:pPr>
              <w:pStyle w:val="TAL"/>
              <w:rPr>
                <w:rFonts w:cs="Arial"/>
                <w:szCs w:val="18"/>
                <w:lang w:eastAsia="zh-CN"/>
              </w:rPr>
            </w:pPr>
            <w:r>
              <w:rPr>
                <w:rFonts w:hint="eastAsia"/>
                <w:lang w:eastAsia="zh-CN"/>
              </w:rPr>
              <w:t>Indicates</w:t>
            </w:r>
            <w:r>
              <w:rPr>
                <w:lang w:eastAsia="zh-CN"/>
              </w:rPr>
              <w:t xml:space="preserve"> the inference data stored in ADRF which can be used by MTLF to retrain or reprovision of the ML model.</w:t>
            </w:r>
          </w:p>
        </w:tc>
        <w:tc>
          <w:tcPr>
            <w:tcW w:w="1349" w:type="dxa"/>
            <w:tcBorders>
              <w:top w:val="single" w:sz="6" w:space="0" w:color="auto"/>
              <w:left w:val="single" w:sz="6" w:space="0" w:color="auto"/>
              <w:bottom w:val="single" w:sz="6" w:space="0" w:color="auto"/>
              <w:right w:val="single" w:sz="6" w:space="0" w:color="auto"/>
            </w:tcBorders>
          </w:tcPr>
          <w:p w14:paraId="0DC82995" w14:textId="77777777" w:rsidR="00A10B25" w:rsidRDefault="00A10B25">
            <w:pPr>
              <w:pStyle w:val="TAL"/>
              <w:rPr>
                <w:rFonts w:cs="Arial"/>
                <w:szCs w:val="18"/>
              </w:rPr>
            </w:pPr>
            <w:r>
              <w:rPr>
                <w:rFonts w:cs="Arial"/>
                <w:szCs w:val="18"/>
              </w:rPr>
              <w:t>ModelProvisionExt</w:t>
            </w:r>
          </w:p>
        </w:tc>
      </w:tr>
      <w:tr w:rsidR="003E1F9F" w14:paraId="424C59E4"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A183F2F" w14:textId="77777777" w:rsidR="003E1F9F" w:rsidRDefault="003E1F9F" w:rsidP="003E1F9F">
            <w:pPr>
              <w:pStyle w:val="TAL"/>
              <w:rPr>
                <w:lang w:eastAsia="zh-CN"/>
              </w:rPr>
            </w:pPr>
            <w:r>
              <w:t>modelId</w:t>
            </w:r>
          </w:p>
        </w:tc>
        <w:tc>
          <w:tcPr>
            <w:tcW w:w="2494" w:type="dxa"/>
            <w:tcBorders>
              <w:top w:val="single" w:sz="6" w:space="0" w:color="auto"/>
              <w:left w:val="single" w:sz="6" w:space="0" w:color="auto"/>
              <w:bottom w:val="single" w:sz="6" w:space="0" w:color="auto"/>
              <w:right w:val="single" w:sz="6" w:space="0" w:color="auto"/>
            </w:tcBorders>
          </w:tcPr>
          <w:p w14:paraId="6F3CE223" w14:textId="77777777" w:rsidR="003E1F9F" w:rsidRDefault="003E1F9F" w:rsidP="003E1F9F">
            <w:pPr>
              <w:pStyle w:val="TAL"/>
              <w:rPr>
                <w:lang w:val="en-US" w:eastAsia="zh-CN"/>
              </w:rPr>
            </w:pPr>
            <w:r>
              <w:rPr>
                <w:rFonts w:eastAsia="等线"/>
              </w:rPr>
              <w:t>Uinteger</w:t>
            </w:r>
          </w:p>
        </w:tc>
        <w:tc>
          <w:tcPr>
            <w:tcW w:w="487" w:type="dxa"/>
            <w:tcBorders>
              <w:top w:val="single" w:sz="6" w:space="0" w:color="auto"/>
              <w:left w:val="single" w:sz="6" w:space="0" w:color="auto"/>
              <w:bottom w:val="single" w:sz="6" w:space="0" w:color="auto"/>
              <w:right w:val="single" w:sz="6" w:space="0" w:color="auto"/>
            </w:tcBorders>
          </w:tcPr>
          <w:p w14:paraId="0DBC406B" w14:textId="77777777" w:rsidR="003E1F9F" w:rsidRDefault="003E1F9F" w:rsidP="003E1F9F">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0A000B56" w14:textId="77777777" w:rsidR="003E1F9F" w:rsidRDefault="003E1F9F" w:rsidP="003E1F9F">
            <w:pPr>
              <w:pStyle w:val="TAL"/>
              <w:rPr>
                <w:rFonts w:cs="Arial"/>
                <w:szCs w:val="18"/>
                <w:lang w:eastAsia="zh-CN"/>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3EBF9A24" w14:textId="77777777" w:rsidR="003E1F9F" w:rsidRDefault="003E1F9F" w:rsidP="003E1F9F">
            <w:pPr>
              <w:pStyle w:val="TAL"/>
              <w:rPr>
                <w:rFonts w:hint="eastAsia"/>
                <w:lang w:eastAsia="zh-CN"/>
              </w:rPr>
            </w:pPr>
            <w:r>
              <w:rPr>
                <w:lang w:eastAsia="zh-CN"/>
              </w:rPr>
              <w:t xml:space="preserve">The ML model </w:t>
            </w:r>
            <w:r>
              <w:t>Identifier</w:t>
            </w:r>
            <w:r>
              <w:rPr>
                <w:lang w:eastAsia="zh-CN"/>
              </w:rPr>
              <w:t>.</w:t>
            </w:r>
            <w:r>
              <w:t xml:space="preserve"> This attribute may be included when the consumer knows which model it wants to request, e.g., due to Analytics Context Transfer.</w:t>
            </w:r>
          </w:p>
        </w:tc>
        <w:tc>
          <w:tcPr>
            <w:tcW w:w="1349" w:type="dxa"/>
            <w:tcBorders>
              <w:top w:val="single" w:sz="6" w:space="0" w:color="auto"/>
              <w:left w:val="single" w:sz="6" w:space="0" w:color="auto"/>
              <w:bottom w:val="single" w:sz="6" w:space="0" w:color="auto"/>
              <w:right w:val="single" w:sz="6" w:space="0" w:color="auto"/>
            </w:tcBorders>
          </w:tcPr>
          <w:p w14:paraId="57891DE2" w14:textId="77777777" w:rsidR="003E1F9F" w:rsidRDefault="003E1F9F" w:rsidP="003E1F9F">
            <w:pPr>
              <w:pStyle w:val="TAL"/>
              <w:rPr>
                <w:rFonts w:cs="Arial"/>
                <w:szCs w:val="18"/>
              </w:rPr>
            </w:pPr>
            <w:r>
              <w:rPr>
                <w:lang w:eastAsia="zh-CN"/>
              </w:rPr>
              <w:t>EnAnaCtxTransfer</w:t>
            </w:r>
          </w:p>
        </w:tc>
      </w:tr>
      <w:tr w:rsidR="00542337" w14:paraId="4A0C34B0" w14:textId="77777777" w:rsidTr="009B329F">
        <w:trPr>
          <w:trHeight w:val="420"/>
          <w:jc w:val="center"/>
        </w:trPr>
        <w:tc>
          <w:tcPr>
            <w:tcW w:w="9566" w:type="dxa"/>
            <w:gridSpan w:val="6"/>
            <w:tcBorders>
              <w:top w:val="single" w:sz="6" w:space="0" w:color="auto"/>
              <w:left w:val="single" w:sz="6" w:space="0" w:color="auto"/>
              <w:bottom w:val="single" w:sz="6" w:space="0" w:color="auto"/>
              <w:right w:val="single" w:sz="6" w:space="0" w:color="auto"/>
            </w:tcBorders>
          </w:tcPr>
          <w:p w14:paraId="06216429" w14:textId="77777777" w:rsidR="00542337" w:rsidRDefault="00542337" w:rsidP="00542337">
            <w:pPr>
              <w:pStyle w:val="TAN"/>
              <w:rPr>
                <w:lang w:eastAsia="zh-CN"/>
              </w:rPr>
            </w:pPr>
            <w:r>
              <w:t xml:space="preserve">NOTE: </w:t>
            </w:r>
            <w:r>
              <w:tab/>
              <w:t>If both the</w:t>
            </w:r>
            <w:r>
              <w:rPr>
                <w:lang w:eastAsia="zh-CN"/>
              </w:rPr>
              <w:t xml:space="preserve"> </w:t>
            </w:r>
            <w:r>
              <w:t>"modelInterInfo" attribute and "</w:t>
            </w:r>
            <w:r>
              <w:rPr>
                <w:lang w:eastAsia="zh-CN"/>
              </w:rPr>
              <w:t>modelInterInfo</w:t>
            </w:r>
            <w:r>
              <w:t xml:space="preserve">" attribute within the ModelProvisionParamsExt data type were provided, </w:t>
            </w:r>
            <w:r>
              <w:rPr>
                <w:rFonts w:cs="Arial"/>
                <w:szCs w:val="18"/>
                <w:lang w:eastAsia="zh-CN"/>
              </w:rPr>
              <w:t>the</w:t>
            </w:r>
            <w:r>
              <w:t xml:space="preserve"> </w:t>
            </w:r>
            <w:r>
              <w:rPr>
                <w:rFonts w:cs="Arial"/>
                <w:szCs w:val="18"/>
              </w:rPr>
              <w:t>"</w:t>
            </w:r>
            <w:r>
              <w:t>modelInterInfo</w:t>
            </w:r>
            <w:r>
              <w:rPr>
                <w:rFonts w:cs="Arial"/>
                <w:szCs w:val="18"/>
              </w:rPr>
              <w:t>"</w:t>
            </w:r>
            <w:r>
              <w:rPr>
                <w:rFonts w:cs="Arial"/>
                <w:szCs w:val="18"/>
                <w:lang w:eastAsia="zh-CN"/>
              </w:rPr>
              <w:t xml:space="preserve"> attribute t</w:t>
            </w:r>
            <w:r>
              <w:t>akes precedence over the "</w:t>
            </w:r>
            <w:r>
              <w:rPr>
                <w:lang w:eastAsia="zh-CN"/>
              </w:rPr>
              <w:t>modelInterInfo</w:t>
            </w:r>
            <w:r>
              <w:t>" attribute within the ModelProvisionParamsExt data type.</w:t>
            </w:r>
          </w:p>
        </w:tc>
      </w:tr>
    </w:tbl>
    <w:p w14:paraId="514E1BD4" w14:textId="77777777" w:rsidR="00A10B25" w:rsidRDefault="00A10B25">
      <w:pPr>
        <w:rPr>
          <w:rFonts w:eastAsia="MS Mincho"/>
          <w:lang w:eastAsia="zh-CN"/>
        </w:rPr>
      </w:pPr>
    </w:p>
    <w:p w14:paraId="3C8E7054" w14:textId="77777777" w:rsidR="00A10B25" w:rsidRDefault="00A10B25" w:rsidP="0076721C">
      <w:pPr>
        <w:pStyle w:val="5"/>
      </w:pPr>
      <w:bookmarkStart w:id="13761" w:name="_Toc145705969"/>
      <w:bookmarkStart w:id="13762" w:name="_Toc148522883"/>
      <w:bookmarkStart w:id="13763" w:name="_Toc164921071"/>
      <w:bookmarkStart w:id="13764" w:name="_Toc170120613"/>
      <w:bookmarkStart w:id="13765" w:name="_Toc175858858"/>
      <w:bookmarkStart w:id="13766" w:name="_Toc175859931"/>
      <w:bookmarkStart w:id="13767" w:name="_Toc180606221"/>
      <w:bookmarkStart w:id="13768" w:name="_Toc185517482"/>
      <w:bookmarkStart w:id="13769" w:name="_Toc191576534"/>
      <w:bookmarkStart w:id="13770" w:name="_Toc191577274"/>
      <w:bookmarkStart w:id="13771" w:name="_Toc192880344"/>
      <w:bookmarkStart w:id="13772" w:name="_Toc195815233"/>
      <w:bookmarkStart w:id="13773" w:name="_Toc199453200"/>
      <w:r>
        <w:lastRenderedPageBreak/>
        <w:t>5.4.6.2.4</w:t>
      </w:r>
      <w:r>
        <w:tab/>
      </w:r>
      <w:bookmarkEnd w:id="13760"/>
      <w:r>
        <w:t>Void</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p>
    <w:p w14:paraId="3F7817F7" w14:textId="77777777" w:rsidR="00A10B25" w:rsidRDefault="00A10B25">
      <w:pPr>
        <w:pStyle w:val="5"/>
      </w:pPr>
      <w:bookmarkStart w:id="13774" w:name="_Toc136562641"/>
      <w:bookmarkStart w:id="13775" w:name="_Toc120702542"/>
      <w:bookmarkStart w:id="13776" w:name="_Toc88667761"/>
      <w:bookmarkStart w:id="13777" w:name="_Toc113031902"/>
      <w:bookmarkStart w:id="13778" w:name="_Toc104539239"/>
      <w:bookmarkStart w:id="13779" w:name="_Toc101244634"/>
      <w:bookmarkStart w:id="13780" w:name="_Toc94064451"/>
      <w:bookmarkStart w:id="13781" w:name="_Toc145705970"/>
      <w:bookmarkStart w:id="13782" w:name="_Toc148522884"/>
      <w:bookmarkStart w:id="13783" w:name="_Toc112951362"/>
      <w:bookmarkStart w:id="13784" w:name="_Toc85553152"/>
      <w:bookmarkStart w:id="13785" w:name="_Toc83233223"/>
      <w:bookmarkStart w:id="13786" w:name="_Toc85557251"/>
      <w:bookmarkStart w:id="13787" w:name="_Toc138754475"/>
      <w:bookmarkStart w:id="13788" w:name="_Toc114134041"/>
      <w:bookmarkStart w:id="13789" w:name="_Toc98233853"/>
      <w:bookmarkStart w:id="13790" w:name="_Toc90656046"/>
      <w:bookmarkStart w:id="13791" w:name="_Toc164921072"/>
      <w:bookmarkStart w:id="13792" w:name="_Toc170120614"/>
      <w:bookmarkStart w:id="13793" w:name="_Toc175858859"/>
      <w:bookmarkStart w:id="13794" w:name="_Toc175859932"/>
      <w:bookmarkStart w:id="13795" w:name="_Toc180606222"/>
      <w:bookmarkStart w:id="13796" w:name="_Toc185517483"/>
      <w:bookmarkStart w:id="13797" w:name="_Toc191576535"/>
      <w:bookmarkStart w:id="13798" w:name="_Toc191577275"/>
      <w:bookmarkStart w:id="13799" w:name="_Toc192880345"/>
      <w:bookmarkStart w:id="13800" w:name="_Toc195815234"/>
      <w:bookmarkStart w:id="13801" w:name="_Toc199453201"/>
      <w:r>
        <w:t>5.4.6.2.5</w:t>
      </w:r>
      <w:r>
        <w:tab/>
        <w:t xml:space="preserve">Type </w:t>
      </w:r>
      <w:r>
        <w:rPr>
          <w:rFonts w:eastAsia="等线"/>
        </w:rPr>
        <w:t>NwdafMLModelProvNotif</w:t>
      </w:r>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7D3C2336"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5.4.6.2.5-1: Definition of type </w:t>
      </w:r>
      <w:r>
        <w:rPr>
          <w:rFonts w:eastAsia="等线"/>
        </w:rPr>
        <w:t>NwdafMLModelProvNotif</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18489F48" w14:textId="77777777">
        <w:trPr>
          <w:trHeight w:val="209"/>
          <w:jc w:val="center"/>
        </w:trPr>
        <w:tc>
          <w:tcPr>
            <w:tcW w:w="1657" w:type="dxa"/>
            <w:shd w:val="clear" w:color="auto" w:fill="C0C0C0"/>
          </w:tcPr>
          <w:p w14:paraId="071FCF93" w14:textId="77777777" w:rsidR="00A10B25" w:rsidRDefault="00A10B25">
            <w:pPr>
              <w:pStyle w:val="TAH"/>
            </w:pPr>
            <w:r>
              <w:t>Attribute name</w:t>
            </w:r>
          </w:p>
        </w:tc>
        <w:tc>
          <w:tcPr>
            <w:tcW w:w="2494" w:type="dxa"/>
            <w:shd w:val="clear" w:color="auto" w:fill="C0C0C0"/>
          </w:tcPr>
          <w:p w14:paraId="6A6ADEBE" w14:textId="77777777" w:rsidR="00A10B25" w:rsidRDefault="00A10B25">
            <w:pPr>
              <w:pStyle w:val="TAH"/>
            </w:pPr>
            <w:r>
              <w:t>Data type</w:t>
            </w:r>
          </w:p>
        </w:tc>
        <w:tc>
          <w:tcPr>
            <w:tcW w:w="487" w:type="dxa"/>
            <w:shd w:val="clear" w:color="auto" w:fill="C0C0C0"/>
          </w:tcPr>
          <w:p w14:paraId="20EFFC89" w14:textId="77777777" w:rsidR="00A10B25" w:rsidRDefault="00A10B25">
            <w:pPr>
              <w:pStyle w:val="TAH"/>
            </w:pPr>
            <w:r>
              <w:t>P</w:t>
            </w:r>
          </w:p>
        </w:tc>
        <w:tc>
          <w:tcPr>
            <w:tcW w:w="1067" w:type="dxa"/>
            <w:shd w:val="clear" w:color="auto" w:fill="C0C0C0"/>
          </w:tcPr>
          <w:p w14:paraId="31B7E19F" w14:textId="77777777" w:rsidR="00A10B25" w:rsidRDefault="00A10B25">
            <w:pPr>
              <w:pStyle w:val="TAH"/>
            </w:pPr>
            <w:r>
              <w:t>Cardinality</w:t>
            </w:r>
          </w:p>
        </w:tc>
        <w:tc>
          <w:tcPr>
            <w:tcW w:w="2512" w:type="dxa"/>
            <w:shd w:val="clear" w:color="auto" w:fill="C0C0C0"/>
          </w:tcPr>
          <w:p w14:paraId="76576008" w14:textId="77777777" w:rsidR="00A10B25" w:rsidRDefault="00A10B25">
            <w:pPr>
              <w:pStyle w:val="TAH"/>
              <w:rPr>
                <w:rFonts w:cs="Arial"/>
                <w:szCs w:val="18"/>
              </w:rPr>
            </w:pPr>
            <w:r>
              <w:rPr>
                <w:rFonts w:cs="Arial"/>
                <w:szCs w:val="18"/>
              </w:rPr>
              <w:t>Description</w:t>
            </w:r>
          </w:p>
        </w:tc>
        <w:tc>
          <w:tcPr>
            <w:tcW w:w="1349" w:type="dxa"/>
            <w:shd w:val="clear" w:color="auto" w:fill="C0C0C0"/>
          </w:tcPr>
          <w:p w14:paraId="110C19DB" w14:textId="77777777" w:rsidR="00A10B25" w:rsidRDefault="00A10B25">
            <w:pPr>
              <w:pStyle w:val="TAH"/>
              <w:rPr>
                <w:rFonts w:cs="Arial"/>
                <w:szCs w:val="18"/>
              </w:rPr>
            </w:pPr>
            <w:r>
              <w:rPr>
                <w:rFonts w:cs="Arial"/>
                <w:szCs w:val="18"/>
              </w:rPr>
              <w:t>Applicability</w:t>
            </w:r>
          </w:p>
        </w:tc>
      </w:tr>
      <w:tr w:rsidR="00A10B25" w14:paraId="3B36DFD6" w14:textId="77777777">
        <w:trPr>
          <w:trHeight w:val="420"/>
          <w:jc w:val="center"/>
        </w:trPr>
        <w:tc>
          <w:tcPr>
            <w:tcW w:w="1657" w:type="dxa"/>
          </w:tcPr>
          <w:p w14:paraId="351353E4" w14:textId="77777777" w:rsidR="00A10B25" w:rsidRDefault="00A10B25">
            <w:pPr>
              <w:pStyle w:val="TAL"/>
            </w:pPr>
            <w:r>
              <w:t>eventNotifs</w:t>
            </w:r>
          </w:p>
        </w:tc>
        <w:tc>
          <w:tcPr>
            <w:tcW w:w="2494" w:type="dxa"/>
          </w:tcPr>
          <w:p w14:paraId="41861749" w14:textId="77777777" w:rsidR="00A10B25" w:rsidRDefault="00A10B25">
            <w:pPr>
              <w:pStyle w:val="TAL"/>
              <w:rPr>
                <w:lang w:eastAsia="zh-CN"/>
              </w:rPr>
            </w:pPr>
            <w:r>
              <w:t>array(MLEventNotif)</w:t>
            </w:r>
          </w:p>
        </w:tc>
        <w:tc>
          <w:tcPr>
            <w:tcW w:w="487" w:type="dxa"/>
          </w:tcPr>
          <w:p w14:paraId="503833F8" w14:textId="77777777" w:rsidR="00A10B25" w:rsidRDefault="00A10B25">
            <w:pPr>
              <w:pStyle w:val="TAL"/>
              <w:rPr>
                <w:lang w:eastAsia="zh-CN"/>
              </w:rPr>
            </w:pPr>
            <w:r>
              <w:t>M</w:t>
            </w:r>
          </w:p>
        </w:tc>
        <w:tc>
          <w:tcPr>
            <w:tcW w:w="1067" w:type="dxa"/>
          </w:tcPr>
          <w:p w14:paraId="172E92E1" w14:textId="77777777" w:rsidR="00A10B25" w:rsidRDefault="00A10B25">
            <w:pPr>
              <w:pStyle w:val="TAL"/>
              <w:rPr>
                <w:lang w:eastAsia="zh-CN"/>
              </w:rPr>
            </w:pPr>
            <w:r>
              <w:t>1..N</w:t>
            </w:r>
          </w:p>
        </w:tc>
        <w:tc>
          <w:tcPr>
            <w:tcW w:w="2512" w:type="dxa"/>
          </w:tcPr>
          <w:p w14:paraId="70C576C9" w14:textId="77777777" w:rsidR="00A10B25" w:rsidRDefault="00A10B25">
            <w:pPr>
              <w:pStyle w:val="TAL"/>
              <w:rPr>
                <w:rFonts w:cs="Arial"/>
                <w:szCs w:val="18"/>
                <w:lang w:eastAsia="zh-CN"/>
              </w:rPr>
            </w:pPr>
            <w:r>
              <w:t>Notifications about Individual Events</w:t>
            </w:r>
          </w:p>
        </w:tc>
        <w:tc>
          <w:tcPr>
            <w:tcW w:w="1349" w:type="dxa"/>
          </w:tcPr>
          <w:p w14:paraId="626AEDEF" w14:textId="77777777" w:rsidR="00A10B25" w:rsidRDefault="00A10B25">
            <w:pPr>
              <w:pStyle w:val="TAL"/>
              <w:rPr>
                <w:rFonts w:cs="Arial"/>
                <w:szCs w:val="18"/>
              </w:rPr>
            </w:pPr>
          </w:p>
        </w:tc>
      </w:tr>
      <w:tr w:rsidR="00A10B25" w14:paraId="69DB6B2D" w14:textId="77777777">
        <w:trPr>
          <w:trHeight w:val="420"/>
          <w:jc w:val="center"/>
        </w:trPr>
        <w:tc>
          <w:tcPr>
            <w:tcW w:w="1657" w:type="dxa"/>
          </w:tcPr>
          <w:p w14:paraId="4335F1CE" w14:textId="77777777" w:rsidR="00A10B25" w:rsidRDefault="00A10B25">
            <w:pPr>
              <w:pStyle w:val="TAL"/>
            </w:pPr>
            <w:r>
              <w:t>subscriptionId</w:t>
            </w:r>
          </w:p>
        </w:tc>
        <w:tc>
          <w:tcPr>
            <w:tcW w:w="2494" w:type="dxa"/>
          </w:tcPr>
          <w:p w14:paraId="078A363E" w14:textId="77777777" w:rsidR="00A10B25" w:rsidRDefault="00A10B25">
            <w:pPr>
              <w:pStyle w:val="TAL"/>
              <w:rPr>
                <w:lang w:val="en-US" w:eastAsia="zh-CN"/>
              </w:rPr>
            </w:pPr>
            <w:r>
              <w:t>string</w:t>
            </w:r>
          </w:p>
        </w:tc>
        <w:tc>
          <w:tcPr>
            <w:tcW w:w="487" w:type="dxa"/>
          </w:tcPr>
          <w:p w14:paraId="5C4FAA29" w14:textId="77777777" w:rsidR="00A10B25" w:rsidRDefault="00A10B25">
            <w:pPr>
              <w:pStyle w:val="TAL"/>
              <w:rPr>
                <w:lang w:eastAsia="zh-CN"/>
              </w:rPr>
            </w:pPr>
            <w:r>
              <w:rPr>
                <w:rFonts w:hint="eastAsia"/>
              </w:rPr>
              <w:t>M</w:t>
            </w:r>
          </w:p>
        </w:tc>
        <w:tc>
          <w:tcPr>
            <w:tcW w:w="1067" w:type="dxa"/>
          </w:tcPr>
          <w:p w14:paraId="773FC53A" w14:textId="77777777" w:rsidR="00A10B25" w:rsidRDefault="00A10B25">
            <w:pPr>
              <w:pStyle w:val="TAL"/>
              <w:rPr>
                <w:lang w:eastAsia="zh-CN"/>
              </w:rPr>
            </w:pPr>
            <w:r>
              <w:rPr>
                <w:rFonts w:hint="eastAsia"/>
              </w:rPr>
              <w:t>1</w:t>
            </w:r>
          </w:p>
        </w:tc>
        <w:tc>
          <w:tcPr>
            <w:tcW w:w="2512" w:type="dxa"/>
            <w:vAlign w:val="center"/>
          </w:tcPr>
          <w:p w14:paraId="647E3635" w14:textId="77777777" w:rsidR="00A10B25" w:rsidRDefault="00A10B25">
            <w:pPr>
              <w:pStyle w:val="TAL"/>
              <w:rPr>
                <w:rFonts w:cs="Arial"/>
                <w:szCs w:val="18"/>
                <w:lang w:eastAsia="zh-CN"/>
              </w:rPr>
            </w:pPr>
            <w:r>
              <w:t>String identifying a subscription to the Nnwdaf_MLModelProvision Service</w:t>
            </w:r>
          </w:p>
        </w:tc>
        <w:tc>
          <w:tcPr>
            <w:tcW w:w="1349" w:type="dxa"/>
          </w:tcPr>
          <w:p w14:paraId="58F27E12" w14:textId="77777777" w:rsidR="00A10B25" w:rsidRDefault="00A10B25">
            <w:pPr>
              <w:pStyle w:val="TAL"/>
              <w:rPr>
                <w:rFonts w:cs="Arial"/>
                <w:szCs w:val="18"/>
              </w:rPr>
            </w:pPr>
          </w:p>
        </w:tc>
      </w:tr>
    </w:tbl>
    <w:p w14:paraId="21AB9A1B" w14:textId="77777777" w:rsidR="00A10B25" w:rsidRDefault="00A10B25">
      <w:pPr>
        <w:rPr>
          <w:lang w:val="es-ES"/>
        </w:rPr>
      </w:pPr>
    </w:p>
    <w:p w14:paraId="4F43C1D8" w14:textId="77777777" w:rsidR="00D654A6" w:rsidRDefault="00D654A6" w:rsidP="00D654A6">
      <w:pPr>
        <w:pStyle w:val="5"/>
      </w:pPr>
      <w:bookmarkStart w:id="13802" w:name="_Toc98233855"/>
      <w:bookmarkStart w:id="13803" w:name="_Toc101244636"/>
      <w:bookmarkStart w:id="13804" w:name="_Toc120702544"/>
      <w:bookmarkStart w:id="13805" w:name="_Toc104539241"/>
      <w:bookmarkStart w:id="13806" w:name="_Toc136562643"/>
      <w:bookmarkStart w:id="13807" w:name="_Toc138754477"/>
      <w:bookmarkStart w:id="13808" w:name="_Toc112951364"/>
      <w:bookmarkStart w:id="13809" w:name="_Toc148522886"/>
      <w:bookmarkStart w:id="13810" w:name="_Toc94064453"/>
      <w:bookmarkStart w:id="13811" w:name="_Toc113031904"/>
      <w:bookmarkStart w:id="13812" w:name="_Toc145705972"/>
      <w:bookmarkStart w:id="13813" w:name="_Toc114134043"/>
      <w:bookmarkStart w:id="13814" w:name="_Toc88667762"/>
      <w:bookmarkStart w:id="13815" w:name="_Toc112951363"/>
      <w:bookmarkStart w:id="13816" w:name="_Toc85557252"/>
      <w:bookmarkStart w:id="13817" w:name="_Toc98233854"/>
      <w:bookmarkStart w:id="13818" w:name="_Toc83233224"/>
      <w:bookmarkStart w:id="13819" w:name="_Toc136562642"/>
      <w:bookmarkStart w:id="13820" w:name="_Toc101244635"/>
      <w:bookmarkStart w:id="13821" w:name="_Toc90656047"/>
      <w:bookmarkStart w:id="13822" w:name="_Toc114134042"/>
      <w:bookmarkStart w:id="13823" w:name="_Toc94064452"/>
      <w:bookmarkStart w:id="13824" w:name="_Toc104539240"/>
      <w:bookmarkStart w:id="13825" w:name="_Toc85553153"/>
      <w:bookmarkStart w:id="13826" w:name="_Toc113031903"/>
      <w:bookmarkStart w:id="13827" w:name="_Toc148522885"/>
      <w:bookmarkStart w:id="13828" w:name="_Toc145705971"/>
      <w:bookmarkStart w:id="13829" w:name="_Toc120702543"/>
      <w:bookmarkStart w:id="13830" w:name="_Toc138754476"/>
      <w:bookmarkStart w:id="13831" w:name="_Toc164921073"/>
      <w:bookmarkStart w:id="13832" w:name="_Toc170120615"/>
      <w:bookmarkStart w:id="13833" w:name="_Toc175858860"/>
      <w:bookmarkStart w:id="13834" w:name="_Toc175859933"/>
      <w:bookmarkStart w:id="13835" w:name="_Toc180606223"/>
      <w:bookmarkStart w:id="13836" w:name="_Toc185517484"/>
      <w:bookmarkStart w:id="13837" w:name="_Toc191576536"/>
      <w:bookmarkStart w:id="13838" w:name="_Toc191577276"/>
      <w:bookmarkStart w:id="13839" w:name="_Toc192880346"/>
      <w:bookmarkStart w:id="13840" w:name="_Toc195815235"/>
      <w:bookmarkStart w:id="13841" w:name="_Toc199453202"/>
      <w:r>
        <w:lastRenderedPageBreak/>
        <w:t>5.4.6.2.6</w:t>
      </w:r>
      <w:r>
        <w:tab/>
        <w:t>Type MLEventNotif</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p>
    <w:p w14:paraId="7570529B" w14:textId="77777777" w:rsidR="007862A2" w:rsidRDefault="007862A2" w:rsidP="007862A2">
      <w:pPr>
        <w:pStyle w:val="TH"/>
        <w:overflowPunct w:val="0"/>
        <w:autoSpaceDE w:val="0"/>
        <w:autoSpaceDN w:val="0"/>
        <w:adjustRightInd w:val="0"/>
        <w:textAlignment w:val="baseline"/>
        <w:rPr>
          <w:rFonts w:eastAsia="MS Mincho"/>
        </w:rPr>
      </w:pPr>
      <w:bookmarkStart w:id="13842" w:name="_Toc164921074"/>
      <w:bookmarkStart w:id="13843" w:name="_Toc170120616"/>
      <w:r>
        <w:rPr>
          <w:rFonts w:eastAsia="MS Mincho"/>
        </w:rPr>
        <w:t xml:space="preserve">Table 5.4.6.2.6-1: Definition of type </w:t>
      </w:r>
      <w:r>
        <w:t>MLEventNotif</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4"/>
        <w:gridCol w:w="425"/>
        <w:gridCol w:w="1134"/>
        <w:gridCol w:w="2410"/>
        <w:gridCol w:w="1916"/>
      </w:tblGrid>
      <w:tr w:rsidR="007862A2" w14:paraId="5AC06D9E" w14:textId="77777777" w:rsidTr="00531D1A">
        <w:trPr>
          <w:trHeight w:val="209"/>
          <w:jc w:val="center"/>
        </w:trPr>
        <w:tc>
          <w:tcPr>
            <w:tcW w:w="1657" w:type="dxa"/>
            <w:shd w:val="clear" w:color="auto" w:fill="C0C0C0"/>
          </w:tcPr>
          <w:p w14:paraId="711E0E06" w14:textId="77777777" w:rsidR="007862A2" w:rsidRDefault="007862A2" w:rsidP="00531D1A">
            <w:pPr>
              <w:pStyle w:val="TAH"/>
              <w:ind w:left="400" w:hanging="400"/>
            </w:pPr>
            <w:r>
              <w:lastRenderedPageBreak/>
              <w:t>Attribute name</w:t>
            </w:r>
          </w:p>
        </w:tc>
        <w:tc>
          <w:tcPr>
            <w:tcW w:w="2024" w:type="dxa"/>
            <w:shd w:val="clear" w:color="auto" w:fill="C0C0C0"/>
          </w:tcPr>
          <w:p w14:paraId="290CF6FD" w14:textId="77777777" w:rsidR="007862A2" w:rsidRDefault="007862A2" w:rsidP="00531D1A">
            <w:pPr>
              <w:pStyle w:val="TAH"/>
              <w:ind w:left="400" w:hanging="400"/>
            </w:pPr>
            <w:r>
              <w:t>Data type</w:t>
            </w:r>
          </w:p>
        </w:tc>
        <w:tc>
          <w:tcPr>
            <w:tcW w:w="425" w:type="dxa"/>
            <w:shd w:val="clear" w:color="auto" w:fill="C0C0C0"/>
          </w:tcPr>
          <w:p w14:paraId="716C16A8" w14:textId="77777777" w:rsidR="007862A2" w:rsidRDefault="007862A2" w:rsidP="00531D1A">
            <w:pPr>
              <w:pStyle w:val="TAH"/>
              <w:ind w:left="400" w:hanging="400"/>
            </w:pPr>
            <w:r>
              <w:t>P</w:t>
            </w:r>
          </w:p>
        </w:tc>
        <w:tc>
          <w:tcPr>
            <w:tcW w:w="1134" w:type="dxa"/>
            <w:shd w:val="clear" w:color="auto" w:fill="C0C0C0"/>
          </w:tcPr>
          <w:p w14:paraId="5AAE2790" w14:textId="77777777" w:rsidR="007862A2" w:rsidRDefault="007862A2" w:rsidP="00531D1A">
            <w:pPr>
              <w:pStyle w:val="TAH"/>
              <w:ind w:left="400" w:hanging="400"/>
            </w:pPr>
            <w:r>
              <w:t>Cardinality</w:t>
            </w:r>
          </w:p>
        </w:tc>
        <w:tc>
          <w:tcPr>
            <w:tcW w:w="2410" w:type="dxa"/>
            <w:shd w:val="clear" w:color="auto" w:fill="C0C0C0"/>
          </w:tcPr>
          <w:p w14:paraId="663094F4" w14:textId="77777777" w:rsidR="007862A2" w:rsidRDefault="007862A2" w:rsidP="00531D1A">
            <w:pPr>
              <w:pStyle w:val="TAH"/>
              <w:ind w:left="400" w:hanging="400"/>
              <w:rPr>
                <w:rFonts w:cs="Arial"/>
                <w:szCs w:val="18"/>
              </w:rPr>
            </w:pPr>
            <w:r>
              <w:rPr>
                <w:rFonts w:cs="Arial"/>
                <w:szCs w:val="18"/>
              </w:rPr>
              <w:t>Description</w:t>
            </w:r>
          </w:p>
        </w:tc>
        <w:tc>
          <w:tcPr>
            <w:tcW w:w="1916" w:type="dxa"/>
            <w:shd w:val="clear" w:color="auto" w:fill="C0C0C0"/>
          </w:tcPr>
          <w:p w14:paraId="70CF4614" w14:textId="77777777" w:rsidR="007862A2" w:rsidRDefault="007862A2" w:rsidP="00531D1A">
            <w:pPr>
              <w:pStyle w:val="TAH"/>
              <w:ind w:left="400" w:hanging="400"/>
              <w:rPr>
                <w:rFonts w:cs="Arial"/>
                <w:szCs w:val="18"/>
              </w:rPr>
            </w:pPr>
            <w:r>
              <w:rPr>
                <w:rFonts w:cs="Arial"/>
                <w:szCs w:val="18"/>
              </w:rPr>
              <w:t>Applicability</w:t>
            </w:r>
          </w:p>
        </w:tc>
      </w:tr>
      <w:tr w:rsidR="007862A2" w14:paraId="32B54A40" w14:textId="77777777" w:rsidTr="00531D1A">
        <w:trPr>
          <w:trHeight w:val="420"/>
          <w:jc w:val="center"/>
        </w:trPr>
        <w:tc>
          <w:tcPr>
            <w:tcW w:w="1657" w:type="dxa"/>
          </w:tcPr>
          <w:p w14:paraId="233A2615" w14:textId="77777777" w:rsidR="007862A2" w:rsidRDefault="007862A2" w:rsidP="00531D1A">
            <w:pPr>
              <w:pStyle w:val="TAL"/>
            </w:pPr>
            <w:r>
              <w:t>e</w:t>
            </w:r>
            <w:r>
              <w:rPr>
                <w:rFonts w:hint="eastAsia"/>
              </w:rPr>
              <w:t>vent</w:t>
            </w:r>
          </w:p>
        </w:tc>
        <w:tc>
          <w:tcPr>
            <w:tcW w:w="2024" w:type="dxa"/>
          </w:tcPr>
          <w:p w14:paraId="08D3CBC0" w14:textId="77777777" w:rsidR="007862A2" w:rsidRDefault="007862A2" w:rsidP="00531D1A">
            <w:pPr>
              <w:pStyle w:val="TAL"/>
              <w:rPr>
                <w:lang w:eastAsia="zh-CN"/>
              </w:rPr>
            </w:pPr>
            <w:r>
              <w:rPr>
                <w:lang w:eastAsia="zh-CN"/>
              </w:rPr>
              <w:t>NwdafEvent</w:t>
            </w:r>
          </w:p>
        </w:tc>
        <w:tc>
          <w:tcPr>
            <w:tcW w:w="425" w:type="dxa"/>
          </w:tcPr>
          <w:p w14:paraId="403C293E" w14:textId="77777777" w:rsidR="007862A2" w:rsidRDefault="007862A2" w:rsidP="00531D1A">
            <w:pPr>
              <w:pStyle w:val="TAL"/>
              <w:rPr>
                <w:lang w:eastAsia="zh-CN"/>
              </w:rPr>
            </w:pPr>
            <w:r>
              <w:rPr>
                <w:rFonts w:hint="eastAsia"/>
                <w:lang w:eastAsia="zh-CN"/>
              </w:rPr>
              <w:t>M</w:t>
            </w:r>
          </w:p>
        </w:tc>
        <w:tc>
          <w:tcPr>
            <w:tcW w:w="1134" w:type="dxa"/>
          </w:tcPr>
          <w:p w14:paraId="5F06F49B" w14:textId="77777777" w:rsidR="007862A2" w:rsidRDefault="007862A2" w:rsidP="00531D1A">
            <w:pPr>
              <w:pStyle w:val="TAL"/>
              <w:rPr>
                <w:lang w:eastAsia="zh-CN"/>
              </w:rPr>
            </w:pPr>
            <w:r>
              <w:rPr>
                <w:rFonts w:hint="eastAsia"/>
                <w:lang w:eastAsia="zh-CN"/>
              </w:rPr>
              <w:t>1</w:t>
            </w:r>
          </w:p>
        </w:tc>
        <w:tc>
          <w:tcPr>
            <w:tcW w:w="2410" w:type="dxa"/>
          </w:tcPr>
          <w:p w14:paraId="28E2CA48" w14:textId="77777777" w:rsidR="007862A2" w:rsidRDefault="007862A2" w:rsidP="00531D1A">
            <w:pPr>
              <w:pStyle w:val="TAL"/>
              <w:rPr>
                <w:rFonts w:cs="Arial"/>
                <w:szCs w:val="18"/>
                <w:lang w:eastAsia="zh-CN"/>
              </w:rPr>
            </w:pPr>
            <w:r>
              <w:rPr>
                <w:rFonts w:cs="Arial"/>
                <w:szCs w:val="18"/>
                <w:lang w:eastAsia="zh-CN"/>
              </w:rPr>
              <w:t>Identifies the subscribed event.</w:t>
            </w:r>
          </w:p>
        </w:tc>
        <w:tc>
          <w:tcPr>
            <w:tcW w:w="1916" w:type="dxa"/>
          </w:tcPr>
          <w:p w14:paraId="1F76FC2F" w14:textId="77777777" w:rsidR="007862A2" w:rsidRDefault="007862A2" w:rsidP="00531D1A">
            <w:pPr>
              <w:pStyle w:val="TAL"/>
              <w:rPr>
                <w:rFonts w:cs="Arial"/>
                <w:szCs w:val="18"/>
              </w:rPr>
            </w:pPr>
          </w:p>
        </w:tc>
      </w:tr>
      <w:tr w:rsidR="007862A2" w14:paraId="2AB2F1A7" w14:textId="77777777" w:rsidTr="00531D1A">
        <w:trPr>
          <w:trHeight w:val="420"/>
          <w:jc w:val="center"/>
        </w:trPr>
        <w:tc>
          <w:tcPr>
            <w:tcW w:w="1657" w:type="dxa"/>
          </w:tcPr>
          <w:p w14:paraId="6FEE5569" w14:textId="77777777" w:rsidR="007862A2" w:rsidRDefault="007862A2" w:rsidP="00531D1A">
            <w:pPr>
              <w:pStyle w:val="TAL"/>
            </w:pPr>
            <w:r>
              <w:rPr>
                <w:lang w:eastAsia="zh-CN"/>
              </w:rPr>
              <w:t>notifCorreId</w:t>
            </w:r>
          </w:p>
        </w:tc>
        <w:tc>
          <w:tcPr>
            <w:tcW w:w="2024" w:type="dxa"/>
          </w:tcPr>
          <w:p w14:paraId="254F8705" w14:textId="77777777" w:rsidR="007862A2" w:rsidRDefault="007862A2" w:rsidP="00531D1A">
            <w:pPr>
              <w:pStyle w:val="TAL"/>
              <w:rPr>
                <w:lang w:eastAsia="zh-CN"/>
              </w:rPr>
            </w:pPr>
            <w:r>
              <w:rPr>
                <w:lang w:eastAsia="zh-CN"/>
              </w:rPr>
              <w:t>string</w:t>
            </w:r>
          </w:p>
        </w:tc>
        <w:tc>
          <w:tcPr>
            <w:tcW w:w="425" w:type="dxa"/>
          </w:tcPr>
          <w:p w14:paraId="76FB979D" w14:textId="77777777" w:rsidR="007862A2" w:rsidRDefault="007862A2" w:rsidP="00531D1A">
            <w:pPr>
              <w:pStyle w:val="TAL"/>
              <w:rPr>
                <w:lang w:eastAsia="zh-CN"/>
              </w:rPr>
            </w:pPr>
            <w:r>
              <w:t>O</w:t>
            </w:r>
          </w:p>
        </w:tc>
        <w:tc>
          <w:tcPr>
            <w:tcW w:w="1134" w:type="dxa"/>
          </w:tcPr>
          <w:p w14:paraId="2CF46935" w14:textId="77777777" w:rsidR="007862A2" w:rsidRDefault="007862A2" w:rsidP="00531D1A">
            <w:pPr>
              <w:pStyle w:val="TAL"/>
              <w:rPr>
                <w:lang w:eastAsia="zh-CN"/>
              </w:rPr>
            </w:pPr>
            <w:r>
              <w:rPr>
                <w:rFonts w:eastAsia="Yu Mincho"/>
                <w:lang w:eastAsia="ja-JP"/>
              </w:rPr>
              <w:t>0..1</w:t>
            </w:r>
          </w:p>
        </w:tc>
        <w:tc>
          <w:tcPr>
            <w:tcW w:w="2410" w:type="dxa"/>
          </w:tcPr>
          <w:p w14:paraId="3774E3CE" w14:textId="77777777" w:rsidR="007862A2" w:rsidRDefault="007862A2" w:rsidP="00531D1A">
            <w:pPr>
              <w:pStyle w:val="TAL"/>
              <w:rPr>
                <w:rFonts w:cs="Arial"/>
                <w:szCs w:val="18"/>
                <w:lang w:eastAsia="zh-CN"/>
              </w:rPr>
            </w:pPr>
            <w:r>
              <w:rPr>
                <w:lang w:eastAsia="zh-CN"/>
              </w:rPr>
              <w:t>Notification correlation ID used to identify the subscription to which the notification relates. It shall be set to the same value as the "</w:t>
            </w:r>
            <w:r>
              <w:rPr>
                <w:lang w:eastAsia="zh-CN"/>
              </w:rPr>
              <w:t>notifCorreId</w:t>
            </w:r>
            <w:r>
              <w:rPr>
                <w:lang w:eastAsia="zh-CN"/>
              </w:rPr>
              <w:t xml:space="preserve">" attribute of </w:t>
            </w:r>
            <w:r>
              <w:rPr>
                <w:rFonts w:eastAsia="等线"/>
              </w:rPr>
              <w:t>NwdafMLModelProvSubsc</w:t>
            </w:r>
            <w:r>
              <w:rPr>
                <w:lang w:eastAsia="zh-CN"/>
              </w:rPr>
              <w:t xml:space="preserve"> data type</w:t>
            </w:r>
            <w:r>
              <w:rPr>
                <w:rFonts w:eastAsia="等线"/>
              </w:rPr>
              <w:t>.</w:t>
            </w:r>
          </w:p>
        </w:tc>
        <w:tc>
          <w:tcPr>
            <w:tcW w:w="1916" w:type="dxa"/>
          </w:tcPr>
          <w:p w14:paraId="1A542F9A" w14:textId="77777777" w:rsidR="007862A2" w:rsidRDefault="007862A2" w:rsidP="00531D1A">
            <w:pPr>
              <w:pStyle w:val="TAL"/>
              <w:rPr>
                <w:rFonts w:cs="Arial"/>
                <w:szCs w:val="18"/>
              </w:rPr>
            </w:pPr>
          </w:p>
        </w:tc>
      </w:tr>
      <w:tr w:rsidR="007862A2" w14:paraId="3827D7E0" w14:textId="77777777" w:rsidTr="00531D1A">
        <w:trPr>
          <w:trHeight w:val="420"/>
          <w:jc w:val="center"/>
        </w:trPr>
        <w:tc>
          <w:tcPr>
            <w:tcW w:w="1657" w:type="dxa"/>
          </w:tcPr>
          <w:p w14:paraId="2DED4AD1" w14:textId="77777777" w:rsidR="007862A2" w:rsidRDefault="007862A2" w:rsidP="00531D1A">
            <w:pPr>
              <w:pStyle w:val="TAL"/>
              <w:rPr>
                <w:lang w:eastAsia="zh-CN"/>
              </w:rPr>
            </w:pPr>
            <w:r>
              <w:t>mlFile</w:t>
            </w:r>
          </w:p>
        </w:tc>
        <w:tc>
          <w:tcPr>
            <w:tcW w:w="2024" w:type="dxa"/>
          </w:tcPr>
          <w:p w14:paraId="035C01C8" w14:textId="77777777" w:rsidR="007862A2" w:rsidRDefault="007862A2" w:rsidP="00531D1A">
            <w:pPr>
              <w:pStyle w:val="TAL"/>
              <w:rPr>
                <w:lang w:eastAsia="zh-CN"/>
              </w:rPr>
            </w:pPr>
            <w:r>
              <w:rPr>
                <w:lang w:eastAsia="zh-CN"/>
              </w:rPr>
              <w:t>string</w:t>
            </w:r>
          </w:p>
        </w:tc>
        <w:tc>
          <w:tcPr>
            <w:tcW w:w="425" w:type="dxa"/>
          </w:tcPr>
          <w:p w14:paraId="7BBCFE90" w14:textId="77777777" w:rsidR="007862A2" w:rsidRDefault="007862A2" w:rsidP="00531D1A">
            <w:pPr>
              <w:pStyle w:val="TAL"/>
            </w:pPr>
            <w:r>
              <w:rPr>
                <w:lang w:eastAsia="zh-CN"/>
              </w:rPr>
              <w:t>O</w:t>
            </w:r>
          </w:p>
        </w:tc>
        <w:tc>
          <w:tcPr>
            <w:tcW w:w="1134" w:type="dxa"/>
          </w:tcPr>
          <w:p w14:paraId="1C7EE143" w14:textId="77777777" w:rsidR="007862A2" w:rsidRDefault="007862A2" w:rsidP="00531D1A">
            <w:pPr>
              <w:pStyle w:val="TAL"/>
              <w:rPr>
                <w:rFonts w:eastAsia="Yu Mincho"/>
                <w:lang w:eastAsia="ja-JP"/>
              </w:rPr>
            </w:pPr>
            <w:r>
              <w:rPr>
                <w:rFonts w:cs="Arial"/>
                <w:szCs w:val="18"/>
                <w:lang w:eastAsia="zh-CN"/>
              </w:rPr>
              <w:t>0..1</w:t>
            </w:r>
          </w:p>
        </w:tc>
        <w:tc>
          <w:tcPr>
            <w:tcW w:w="2410" w:type="dxa"/>
          </w:tcPr>
          <w:p w14:paraId="4A94800F" w14:textId="77777777" w:rsidR="007862A2" w:rsidRPr="00A47B42" w:rsidRDefault="007862A2" w:rsidP="00531D1A">
            <w:pPr>
              <w:keepNext/>
              <w:keepLines/>
              <w:spacing w:after="0"/>
              <w:rPr>
                <w:rFonts w:ascii="Arial" w:hAnsi="Arial"/>
                <w:sz w:val="18"/>
                <w:lang w:val="en-US" w:eastAsia="zh-CN"/>
              </w:rPr>
            </w:pPr>
            <w:r w:rsidRPr="00A47B42">
              <w:rPr>
                <w:rFonts w:ascii="Arial" w:hAnsi="Arial"/>
                <w:sz w:val="18"/>
                <w:lang w:eastAsia="zh-CN"/>
              </w:rPr>
              <w:t>Indicates</w:t>
            </w:r>
            <w:r w:rsidRPr="00A47B42">
              <w:rPr>
                <w:rFonts w:ascii="Arial" w:hAnsi="Arial" w:hint="eastAsia"/>
                <w:sz w:val="18"/>
                <w:lang w:eastAsia="zh-CN"/>
              </w:rPr>
              <w:t xml:space="preserve"> the</w:t>
            </w:r>
            <w:r w:rsidRPr="00A47B42">
              <w:rPr>
                <w:rFonts w:ascii="Arial" w:hAnsi="Arial"/>
                <w:sz w:val="18"/>
                <w:lang w:eastAsia="zh-CN"/>
              </w:rPr>
              <w:t xml:space="preserve"> ML model file.</w:t>
            </w:r>
            <w:r w:rsidRPr="00A47B42">
              <w:rPr>
                <w:rFonts w:ascii="Arial" w:hAnsi="Arial"/>
                <w:sz w:val="18"/>
                <w:lang w:val="en-US" w:eastAsia="zh-CN"/>
              </w:rPr>
              <w:t xml:space="preserve"> The format of </w:t>
            </w:r>
            <w:r>
              <w:rPr>
                <w:rFonts w:ascii="Arial" w:hAnsi="Arial"/>
                <w:sz w:val="18"/>
                <w:lang w:val="en-US" w:eastAsia="zh-CN"/>
              </w:rPr>
              <w:t xml:space="preserve">its </w:t>
            </w:r>
            <w:r w:rsidRPr="00A47B42">
              <w:rPr>
                <w:rFonts w:ascii="Arial" w:hAnsi="Arial"/>
                <w:sz w:val="18"/>
                <w:lang w:val="en-US" w:eastAsia="zh-CN"/>
              </w:rPr>
              <w:t>value is out of 3GPP</w:t>
            </w:r>
            <w:r>
              <w:rPr>
                <w:rFonts w:ascii="Arial" w:hAnsi="Arial"/>
                <w:sz w:val="18"/>
                <w:lang w:val="en-US" w:eastAsia="zh-CN"/>
              </w:rPr>
              <w:t xml:space="preserve"> scope</w:t>
            </w:r>
            <w:r w:rsidRPr="00A47B42">
              <w:rPr>
                <w:rFonts w:ascii="Arial" w:hAnsi="Arial"/>
                <w:sz w:val="18"/>
                <w:lang w:val="en-US" w:eastAsia="zh-CN"/>
              </w:rPr>
              <w:t>.</w:t>
            </w:r>
          </w:p>
          <w:p w14:paraId="3E01AC8C" w14:textId="77777777" w:rsidR="007862A2" w:rsidRDefault="007862A2" w:rsidP="00531D1A">
            <w:pPr>
              <w:pStyle w:val="TAL"/>
              <w:rPr>
                <w:lang w:eastAsia="zh-CN"/>
              </w:rPr>
            </w:pPr>
            <w:r w:rsidRPr="00A47B42">
              <w:t>This attribute is not applicable in the Nnwdaf_MLModelProvision API.</w:t>
            </w:r>
          </w:p>
        </w:tc>
        <w:tc>
          <w:tcPr>
            <w:tcW w:w="1916" w:type="dxa"/>
          </w:tcPr>
          <w:p w14:paraId="61453C51" w14:textId="77777777" w:rsidR="007862A2" w:rsidRDefault="007862A2" w:rsidP="00531D1A">
            <w:pPr>
              <w:pStyle w:val="TAL"/>
              <w:rPr>
                <w:rFonts w:cs="Arial"/>
                <w:szCs w:val="18"/>
              </w:rPr>
            </w:pPr>
          </w:p>
        </w:tc>
      </w:tr>
      <w:tr w:rsidR="007862A2" w14:paraId="1448C2D8" w14:textId="77777777" w:rsidTr="00531D1A">
        <w:trPr>
          <w:trHeight w:val="420"/>
          <w:jc w:val="center"/>
        </w:trPr>
        <w:tc>
          <w:tcPr>
            <w:tcW w:w="1657" w:type="dxa"/>
          </w:tcPr>
          <w:p w14:paraId="6B918E27" w14:textId="77777777" w:rsidR="007862A2" w:rsidRDefault="007862A2" w:rsidP="00531D1A">
            <w:pPr>
              <w:pStyle w:val="TAL"/>
            </w:pPr>
            <w:r>
              <w:t>mLFileAddr</w:t>
            </w:r>
          </w:p>
        </w:tc>
        <w:tc>
          <w:tcPr>
            <w:tcW w:w="2024" w:type="dxa"/>
          </w:tcPr>
          <w:p w14:paraId="4A076FF2" w14:textId="77777777" w:rsidR="007862A2" w:rsidRDefault="007862A2" w:rsidP="00531D1A">
            <w:pPr>
              <w:pStyle w:val="TAL"/>
              <w:rPr>
                <w:lang w:eastAsia="zh-CN"/>
              </w:rPr>
            </w:pPr>
            <w:r>
              <w:rPr>
                <w:lang w:eastAsia="zh-CN"/>
              </w:rPr>
              <w:t>MLModelAddr</w:t>
            </w:r>
          </w:p>
        </w:tc>
        <w:tc>
          <w:tcPr>
            <w:tcW w:w="425" w:type="dxa"/>
          </w:tcPr>
          <w:p w14:paraId="1A5E6178" w14:textId="77777777" w:rsidR="007862A2" w:rsidRDefault="007862A2" w:rsidP="00531D1A">
            <w:pPr>
              <w:pStyle w:val="TAL"/>
              <w:rPr>
                <w:lang w:eastAsia="zh-CN"/>
              </w:rPr>
            </w:pPr>
            <w:r>
              <w:rPr>
                <w:lang w:eastAsia="zh-CN"/>
              </w:rPr>
              <w:t>C</w:t>
            </w:r>
          </w:p>
        </w:tc>
        <w:tc>
          <w:tcPr>
            <w:tcW w:w="1134" w:type="dxa"/>
          </w:tcPr>
          <w:p w14:paraId="31CE082B" w14:textId="77777777" w:rsidR="007862A2" w:rsidRDefault="007862A2" w:rsidP="00531D1A">
            <w:pPr>
              <w:pStyle w:val="TAL"/>
              <w:rPr>
                <w:lang w:eastAsia="zh-CN"/>
              </w:rPr>
            </w:pPr>
            <w:r>
              <w:rPr>
                <w:rFonts w:cs="Arial"/>
                <w:szCs w:val="18"/>
                <w:lang w:eastAsia="zh-CN"/>
              </w:rPr>
              <w:t>0..1</w:t>
            </w:r>
          </w:p>
        </w:tc>
        <w:tc>
          <w:tcPr>
            <w:tcW w:w="2410" w:type="dxa"/>
          </w:tcPr>
          <w:p w14:paraId="481C2FB7" w14:textId="77777777" w:rsidR="007862A2" w:rsidRDefault="007862A2" w:rsidP="00531D1A">
            <w:pPr>
              <w:pStyle w:val="TAL"/>
              <w:rPr>
                <w:lang w:eastAsia="zh-CN"/>
              </w:rPr>
            </w:pPr>
            <w:r>
              <w:rPr>
                <w:lang w:eastAsia="zh-CN"/>
              </w:rPr>
              <w:t>Indicates</w:t>
            </w:r>
            <w:r>
              <w:rPr>
                <w:rFonts w:hint="eastAsia"/>
                <w:lang w:eastAsia="zh-CN"/>
              </w:rPr>
              <w:t xml:space="preserve"> the</w:t>
            </w:r>
            <w:r>
              <w:rPr>
                <w:lang w:eastAsia="zh-CN"/>
              </w:rPr>
              <w:t xml:space="preserve"> address (e.g. </w:t>
            </w:r>
            <w:r>
              <w:rPr>
                <w:rFonts w:hint="eastAsia"/>
                <w:lang w:eastAsia="zh-CN"/>
              </w:rPr>
              <w:t>a URL or a</w:t>
            </w:r>
            <w:r>
              <w:rPr>
                <w:lang w:eastAsia="zh-CN"/>
              </w:rPr>
              <w:t>n</w:t>
            </w:r>
            <w:r>
              <w:rPr>
                <w:rFonts w:hint="eastAsia"/>
                <w:lang w:eastAsia="zh-CN"/>
              </w:rPr>
              <w:t xml:space="preserve"> FQDN</w:t>
            </w:r>
            <w:r>
              <w:rPr>
                <w:lang w:eastAsia="zh-CN"/>
              </w:rPr>
              <w:t>) of the ML model file.</w:t>
            </w:r>
          </w:p>
          <w:p w14:paraId="7C5F4E01" w14:textId="77777777" w:rsidR="007862A2" w:rsidRPr="0076721C" w:rsidRDefault="007862A2" w:rsidP="00531D1A">
            <w:pPr>
              <w:pStyle w:val="TAL"/>
              <w:rPr>
                <w:rFonts w:cs="Arial"/>
                <w:szCs w:val="18"/>
                <w:lang w:val="en-US" w:eastAsia="zh-CN"/>
              </w:rPr>
            </w:pPr>
            <w:r>
              <w:rPr>
                <w:lang w:eastAsia="zh-CN"/>
              </w:rPr>
              <w:t>(NOTE </w:t>
            </w:r>
            <w:r>
              <w:rPr>
                <w:lang w:val="en-US" w:eastAsia="zh-CN"/>
              </w:rPr>
              <w:t xml:space="preserve">1, </w:t>
            </w:r>
            <w:r>
              <w:rPr>
                <w:lang w:eastAsia="zh-CN"/>
              </w:rPr>
              <w:t>NOTE </w:t>
            </w:r>
            <w:r>
              <w:rPr>
                <w:lang w:val="en-US" w:eastAsia="zh-CN"/>
              </w:rPr>
              <w:t>2</w:t>
            </w:r>
            <w:r>
              <w:rPr>
                <w:lang w:eastAsia="zh-CN"/>
              </w:rPr>
              <w:t>)</w:t>
            </w:r>
          </w:p>
        </w:tc>
        <w:tc>
          <w:tcPr>
            <w:tcW w:w="1916" w:type="dxa"/>
          </w:tcPr>
          <w:p w14:paraId="6F4063FD" w14:textId="77777777" w:rsidR="007862A2" w:rsidRDefault="007862A2" w:rsidP="00531D1A">
            <w:pPr>
              <w:pStyle w:val="TAL"/>
              <w:rPr>
                <w:rFonts w:cs="Arial"/>
                <w:szCs w:val="18"/>
              </w:rPr>
            </w:pPr>
          </w:p>
        </w:tc>
      </w:tr>
      <w:tr w:rsidR="007862A2" w14:paraId="3AA1404E" w14:textId="77777777" w:rsidTr="00531D1A">
        <w:trPr>
          <w:trHeight w:val="420"/>
          <w:jc w:val="center"/>
        </w:trPr>
        <w:tc>
          <w:tcPr>
            <w:tcW w:w="1657" w:type="dxa"/>
          </w:tcPr>
          <w:p w14:paraId="46679B88" w14:textId="77777777" w:rsidR="007862A2" w:rsidRDefault="007862A2" w:rsidP="00531D1A">
            <w:pPr>
              <w:pStyle w:val="TAL"/>
            </w:pPr>
            <w:r>
              <w:t>mLModelAdrf</w:t>
            </w:r>
          </w:p>
        </w:tc>
        <w:tc>
          <w:tcPr>
            <w:tcW w:w="2024" w:type="dxa"/>
          </w:tcPr>
          <w:p w14:paraId="0FC679B0" w14:textId="77777777" w:rsidR="007862A2" w:rsidRDefault="007862A2" w:rsidP="00531D1A">
            <w:pPr>
              <w:pStyle w:val="TAL"/>
              <w:rPr>
                <w:lang w:eastAsia="zh-CN"/>
              </w:rPr>
            </w:pPr>
            <w:r>
              <w:t>MLModelAdrf</w:t>
            </w:r>
          </w:p>
        </w:tc>
        <w:tc>
          <w:tcPr>
            <w:tcW w:w="425" w:type="dxa"/>
          </w:tcPr>
          <w:p w14:paraId="4C372124" w14:textId="77777777" w:rsidR="007862A2" w:rsidRDefault="007862A2" w:rsidP="00531D1A">
            <w:pPr>
              <w:pStyle w:val="TAL"/>
              <w:rPr>
                <w:lang w:eastAsia="zh-CN"/>
              </w:rPr>
            </w:pPr>
            <w:r>
              <w:t>C</w:t>
            </w:r>
          </w:p>
        </w:tc>
        <w:tc>
          <w:tcPr>
            <w:tcW w:w="1134" w:type="dxa"/>
          </w:tcPr>
          <w:p w14:paraId="79FF3180" w14:textId="77777777" w:rsidR="007862A2" w:rsidRDefault="007862A2" w:rsidP="00531D1A">
            <w:pPr>
              <w:pStyle w:val="TAL"/>
              <w:rPr>
                <w:rFonts w:cs="Arial"/>
                <w:szCs w:val="18"/>
                <w:lang w:eastAsia="zh-CN"/>
              </w:rPr>
            </w:pPr>
            <w:r>
              <w:rPr>
                <w:rFonts w:cs="Arial"/>
                <w:szCs w:val="18"/>
                <w:lang w:eastAsia="zh-CN"/>
              </w:rPr>
              <w:t>0..1</w:t>
            </w:r>
          </w:p>
        </w:tc>
        <w:tc>
          <w:tcPr>
            <w:tcW w:w="2410" w:type="dxa"/>
          </w:tcPr>
          <w:p w14:paraId="4E1AEA05" w14:textId="77777777" w:rsidR="007862A2" w:rsidRDefault="007862A2" w:rsidP="00531D1A">
            <w:pPr>
              <w:pStyle w:val="TAL"/>
              <w:rPr>
                <w:lang w:eastAsia="zh-CN"/>
              </w:rPr>
            </w:pPr>
            <w:r>
              <w:t>Indicates the ADRF (Set) information of the ML Model</w:t>
            </w:r>
            <w:r>
              <w:rPr>
                <w:lang w:eastAsia="ja-JP"/>
              </w:rPr>
              <w:t>.</w:t>
            </w:r>
          </w:p>
          <w:p w14:paraId="799098A8" w14:textId="77777777" w:rsidR="007862A2" w:rsidRDefault="007862A2" w:rsidP="00531D1A">
            <w:pPr>
              <w:pStyle w:val="TAL"/>
              <w:rPr>
                <w:lang w:eastAsia="zh-CN"/>
              </w:rPr>
            </w:pPr>
            <w:r>
              <w:rPr>
                <w:lang w:eastAsia="zh-CN"/>
              </w:rPr>
              <w:t>(NOTE </w:t>
            </w:r>
            <w:r>
              <w:rPr>
                <w:lang w:val="en-US" w:eastAsia="zh-CN"/>
              </w:rPr>
              <w:t>2</w:t>
            </w:r>
            <w:r>
              <w:rPr>
                <w:lang w:eastAsia="zh-CN"/>
              </w:rPr>
              <w:t>)</w:t>
            </w:r>
          </w:p>
        </w:tc>
        <w:tc>
          <w:tcPr>
            <w:tcW w:w="1916" w:type="dxa"/>
          </w:tcPr>
          <w:p w14:paraId="3B3D52E0" w14:textId="77777777" w:rsidR="007862A2" w:rsidRDefault="007862A2" w:rsidP="00531D1A">
            <w:pPr>
              <w:pStyle w:val="TAL"/>
              <w:rPr>
                <w:rFonts w:cs="Arial"/>
                <w:szCs w:val="18"/>
              </w:rPr>
            </w:pPr>
            <w:r>
              <w:rPr>
                <w:rFonts w:cs="Arial"/>
                <w:szCs w:val="18"/>
              </w:rPr>
              <w:t>ModelProvisionExt</w:t>
            </w:r>
          </w:p>
        </w:tc>
      </w:tr>
      <w:tr w:rsidR="00A42460" w14:paraId="11277E19" w14:textId="77777777" w:rsidTr="00531D1A">
        <w:trPr>
          <w:trHeight w:val="420"/>
          <w:jc w:val="center"/>
        </w:trPr>
        <w:tc>
          <w:tcPr>
            <w:tcW w:w="1657" w:type="dxa"/>
          </w:tcPr>
          <w:p w14:paraId="572CBD83" w14:textId="77777777" w:rsidR="00A42460" w:rsidRDefault="00A42460" w:rsidP="00A42460">
            <w:pPr>
              <w:pStyle w:val="TAL"/>
            </w:pPr>
            <w:r>
              <w:t>modelUpdateInd</w:t>
            </w:r>
          </w:p>
        </w:tc>
        <w:tc>
          <w:tcPr>
            <w:tcW w:w="2024" w:type="dxa"/>
          </w:tcPr>
          <w:p w14:paraId="6A6F27E0" w14:textId="77777777" w:rsidR="00A42460" w:rsidRDefault="00A42460" w:rsidP="00A42460">
            <w:pPr>
              <w:pStyle w:val="TAL"/>
            </w:pPr>
            <w:r>
              <w:t>boolean</w:t>
            </w:r>
          </w:p>
        </w:tc>
        <w:tc>
          <w:tcPr>
            <w:tcW w:w="425" w:type="dxa"/>
          </w:tcPr>
          <w:p w14:paraId="45599BAF" w14:textId="77777777" w:rsidR="00A42460" w:rsidRDefault="00A42460" w:rsidP="00A42460">
            <w:pPr>
              <w:pStyle w:val="TAL"/>
            </w:pPr>
            <w:r>
              <w:t>O</w:t>
            </w:r>
          </w:p>
        </w:tc>
        <w:tc>
          <w:tcPr>
            <w:tcW w:w="1134" w:type="dxa"/>
          </w:tcPr>
          <w:p w14:paraId="19B66437" w14:textId="77777777" w:rsidR="00A42460" w:rsidRDefault="00A42460" w:rsidP="00A42460">
            <w:pPr>
              <w:pStyle w:val="TAL"/>
              <w:rPr>
                <w:rFonts w:cs="Arial"/>
                <w:szCs w:val="18"/>
                <w:lang w:eastAsia="zh-CN"/>
              </w:rPr>
            </w:pPr>
            <w:r>
              <w:t>0..1</w:t>
            </w:r>
          </w:p>
        </w:tc>
        <w:tc>
          <w:tcPr>
            <w:tcW w:w="2410" w:type="dxa"/>
          </w:tcPr>
          <w:p w14:paraId="052F4B14" w14:textId="77777777" w:rsidR="00A42460" w:rsidRDefault="00A42460" w:rsidP="00A42460">
            <w:pPr>
              <w:pStyle w:val="TAL"/>
            </w:pPr>
            <w:r w:rsidRPr="00084510">
              <w:t>Set to "true" to indicate that the ML model is updated</w:t>
            </w:r>
            <w:r>
              <w:t>.</w:t>
            </w:r>
            <w:r w:rsidRPr="0097043F">
              <w:t xml:space="preserve"> </w:t>
            </w:r>
            <w:r>
              <w:t>S</w:t>
            </w:r>
            <w:r w:rsidRPr="0097043F">
              <w:t>et to "false"</w:t>
            </w:r>
            <w:r>
              <w:t xml:space="preserve"> to indicate the ML model is not updated</w:t>
            </w:r>
            <w:r w:rsidRPr="0097043F">
              <w:t>. Default value is "false" if omitted.</w:t>
            </w:r>
          </w:p>
          <w:p w14:paraId="0260017B" w14:textId="77777777" w:rsidR="00A42460" w:rsidRDefault="00A42460" w:rsidP="00A42460">
            <w:pPr>
              <w:pStyle w:val="TAL"/>
            </w:pPr>
            <w:r>
              <w:rPr>
                <w:lang w:eastAsia="zh-CN"/>
              </w:rPr>
              <w:t>(NOTE </w:t>
            </w:r>
            <w:r>
              <w:rPr>
                <w:lang w:val="en-US" w:eastAsia="zh-CN"/>
              </w:rPr>
              <w:t>1</w:t>
            </w:r>
            <w:r>
              <w:rPr>
                <w:lang w:eastAsia="zh-CN"/>
              </w:rPr>
              <w:t>)</w:t>
            </w:r>
          </w:p>
        </w:tc>
        <w:tc>
          <w:tcPr>
            <w:tcW w:w="1916" w:type="dxa"/>
          </w:tcPr>
          <w:p w14:paraId="38257C8A" w14:textId="77777777" w:rsidR="00A42460" w:rsidRDefault="00A42460" w:rsidP="00A42460">
            <w:pPr>
              <w:pStyle w:val="TAL"/>
              <w:rPr>
                <w:rFonts w:cs="Arial"/>
                <w:szCs w:val="18"/>
              </w:rPr>
            </w:pPr>
            <w:r>
              <w:rPr>
                <w:rFonts w:cs="Arial" w:hint="eastAsia"/>
                <w:szCs w:val="18"/>
                <w:lang w:eastAsia="zh-CN"/>
              </w:rPr>
              <w:t>E</w:t>
            </w:r>
            <w:r>
              <w:rPr>
                <w:rFonts w:cs="Arial"/>
                <w:szCs w:val="18"/>
                <w:lang w:eastAsia="zh-CN"/>
              </w:rPr>
              <w:t>nModelProvision</w:t>
            </w:r>
          </w:p>
        </w:tc>
      </w:tr>
      <w:tr w:rsidR="00A42460" w14:paraId="6F302E72" w14:textId="77777777" w:rsidTr="00531D1A">
        <w:trPr>
          <w:trHeight w:val="420"/>
          <w:jc w:val="center"/>
        </w:trPr>
        <w:tc>
          <w:tcPr>
            <w:tcW w:w="1657" w:type="dxa"/>
          </w:tcPr>
          <w:p w14:paraId="331D45E5" w14:textId="77777777" w:rsidR="00A42460" w:rsidRDefault="00A42460" w:rsidP="00A42460">
            <w:pPr>
              <w:pStyle w:val="TAL"/>
            </w:pPr>
            <w:r>
              <w:rPr>
                <w:lang w:eastAsia="zh-CN"/>
              </w:rPr>
              <w:t>modelUniqueId</w:t>
            </w:r>
          </w:p>
        </w:tc>
        <w:tc>
          <w:tcPr>
            <w:tcW w:w="2024" w:type="dxa"/>
          </w:tcPr>
          <w:p w14:paraId="050F409B" w14:textId="77777777" w:rsidR="00A42460" w:rsidRDefault="00A42460" w:rsidP="00A42460">
            <w:pPr>
              <w:pStyle w:val="TAL"/>
            </w:pPr>
            <w:r>
              <w:t>Uinteger</w:t>
            </w:r>
          </w:p>
        </w:tc>
        <w:tc>
          <w:tcPr>
            <w:tcW w:w="425" w:type="dxa"/>
          </w:tcPr>
          <w:p w14:paraId="352E28B1" w14:textId="77777777" w:rsidR="00A42460" w:rsidRDefault="00A42460" w:rsidP="00A42460">
            <w:pPr>
              <w:pStyle w:val="TAL"/>
            </w:pPr>
            <w:r>
              <w:rPr>
                <w:rFonts w:cs="Arial"/>
                <w:szCs w:val="18"/>
                <w:lang w:eastAsia="zh-CN"/>
              </w:rPr>
              <w:t>C</w:t>
            </w:r>
          </w:p>
        </w:tc>
        <w:tc>
          <w:tcPr>
            <w:tcW w:w="1134" w:type="dxa"/>
          </w:tcPr>
          <w:p w14:paraId="46DBD27C" w14:textId="77777777" w:rsidR="00A42460" w:rsidRDefault="00A42460" w:rsidP="00A42460">
            <w:pPr>
              <w:pStyle w:val="TAL"/>
              <w:rPr>
                <w:rFonts w:cs="Arial"/>
                <w:szCs w:val="18"/>
                <w:lang w:eastAsia="zh-CN"/>
              </w:rPr>
            </w:pPr>
            <w:r>
              <w:rPr>
                <w:rFonts w:cs="Arial"/>
                <w:szCs w:val="18"/>
                <w:lang w:eastAsia="zh-CN"/>
              </w:rPr>
              <w:t>0..1</w:t>
            </w:r>
          </w:p>
        </w:tc>
        <w:tc>
          <w:tcPr>
            <w:tcW w:w="2410" w:type="dxa"/>
          </w:tcPr>
          <w:p w14:paraId="7A26C41F" w14:textId="77777777" w:rsidR="00A42460" w:rsidRDefault="00A42460" w:rsidP="00A42460">
            <w:pPr>
              <w:pStyle w:val="TAL"/>
              <w:rPr>
                <w:lang w:eastAsia="zh-CN"/>
              </w:rPr>
            </w:pPr>
            <w:r>
              <w:rPr>
                <w:lang w:eastAsia="zh-CN"/>
              </w:rPr>
              <w:t>Unique identifier for an ML model. The identifier shall be unique within 5GC scope.</w:t>
            </w:r>
          </w:p>
          <w:p w14:paraId="3C3EDABD" w14:textId="77777777" w:rsidR="00A42460" w:rsidRDefault="00A42460" w:rsidP="00A42460">
            <w:pPr>
              <w:pStyle w:val="TAL"/>
            </w:pPr>
            <w:r>
              <w:rPr>
                <w:lang w:eastAsia="zh-CN"/>
              </w:rPr>
              <w:t>It shall be provided only if t</w:t>
            </w:r>
            <w:r>
              <w:t xml:space="preserve">he </w:t>
            </w:r>
            <w:r>
              <w:rPr>
                <w:rFonts w:cs="Arial"/>
                <w:szCs w:val="18"/>
              </w:rPr>
              <w:t>ModelProvisionExt</w:t>
            </w:r>
            <w:r>
              <w:t xml:space="preserve"> feature is supported.</w:t>
            </w:r>
          </w:p>
        </w:tc>
        <w:tc>
          <w:tcPr>
            <w:tcW w:w="1916" w:type="dxa"/>
          </w:tcPr>
          <w:p w14:paraId="525A59B4" w14:textId="77777777" w:rsidR="00A42460" w:rsidRDefault="00A42460" w:rsidP="00A42460">
            <w:pPr>
              <w:pStyle w:val="TAL"/>
              <w:rPr>
                <w:rFonts w:cs="Arial"/>
                <w:szCs w:val="18"/>
              </w:rPr>
            </w:pPr>
            <w:r>
              <w:rPr>
                <w:rFonts w:cs="Arial"/>
                <w:szCs w:val="18"/>
              </w:rPr>
              <w:t>ModelProvisionExt</w:t>
            </w:r>
          </w:p>
        </w:tc>
      </w:tr>
      <w:tr w:rsidR="00A42460" w14:paraId="7FFEFAC6" w14:textId="77777777" w:rsidTr="00531D1A">
        <w:trPr>
          <w:trHeight w:val="420"/>
          <w:jc w:val="center"/>
        </w:trPr>
        <w:tc>
          <w:tcPr>
            <w:tcW w:w="1657" w:type="dxa"/>
          </w:tcPr>
          <w:p w14:paraId="2672C660" w14:textId="77777777" w:rsidR="00A42460" w:rsidRDefault="00A42460" w:rsidP="00A42460">
            <w:pPr>
              <w:pStyle w:val="TAL"/>
              <w:rPr>
                <w:lang w:eastAsia="zh-CN"/>
              </w:rPr>
            </w:pPr>
            <w:r>
              <w:t>modelProviderId</w:t>
            </w:r>
          </w:p>
        </w:tc>
        <w:tc>
          <w:tcPr>
            <w:tcW w:w="2024" w:type="dxa"/>
          </w:tcPr>
          <w:p w14:paraId="1C310733" w14:textId="77777777" w:rsidR="00A42460" w:rsidRDefault="00A42460" w:rsidP="00A42460">
            <w:pPr>
              <w:pStyle w:val="TAL"/>
            </w:pPr>
            <w:r>
              <w:t>NfInstanceId</w:t>
            </w:r>
          </w:p>
        </w:tc>
        <w:tc>
          <w:tcPr>
            <w:tcW w:w="425" w:type="dxa"/>
          </w:tcPr>
          <w:p w14:paraId="1FEDFD74" w14:textId="77777777" w:rsidR="00A42460" w:rsidRDefault="00A42460" w:rsidP="00A42460">
            <w:pPr>
              <w:pStyle w:val="TAL"/>
              <w:rPr>
                <w:rFonts w:cs="Arial"/>
                <w:szCs w:val="18"/>
                <w:lang w:eastAsia="zh-CN"/>
              </w:rPr>
            </w:pPr>
            <w:r>
              <w:rPr>
                <w:lang w:eastAsia="zh-CN"/>
              </w:rPr>
              <w:t>O</w:t>
            </w:r>
          </w:p>
        </w:tc>
        <w:tc>
          <w:tcPr>
            <w:tcW w:w="1134" w:type="dxa"/>
          </w:tcPr>
          <w:p w14:paraId="08212163" w14:textId="77777777" w:rsidR="00A42460" w:rsidRDefault="00A42460" w:rsidP="00A42460">
            <w:pPr>
              <w:pStyle w:val="TAL"/>
              <w:rPr>
                <w:rFonts w:cs="Arial"/>
                <w:szCs w:val="18"/>
                <w:lang w:eastAsia="zh-CN"/>
              </w:rPr>
            </w:pPr>
            <w:r>
              <w:t>0..1</w:t>
            </w:r>
          </w:p>
        </w:tc>
        <w:tc>
          <w:tcPr>
            <w:tcW w:w="2410" w:type="dxa"/>
          </w:tcPr>
          <w:p w14:paraId="7A0A890F" w14:textId="77777777" w:rsidR="00A42460" w:rsidRDefault="00A42460" w:rsidP="00A42460">
            <w:pPr>
              <w:pStyle w:val="TAL"/>
            </w:pPr>
            <w:r>
              <w:rPr>
                <w:lang w:eastAsia="zh-CN"/>
              </w:rPr>
              <w:t>The NF Instance Identifer to identify the ML Model provider</w:t>
            </w:r>
            <w:r>
              <w:t>.</w:t>
            </w:r>
          </w:p>
          <w:p w14:paraId="01390A33" w14:textId="77777777" w:rsidR="00A42460" w:rsidRDefault="00A42460" w:rsidP="00A42460">
            <w:pPr>
              <w:pStyle w:val="TAL"/>
              <w:rPr>
                <w:lang w:eastAsia="zh-CN"/>
              </w:rPr>
            </w:pPr>
            <w:r>
              <w:rPr>
                <w:lang w:eastAsia="zh-CN"/>
              </w:rPr>
              <w:t>(NOTE </w:t>
            </w:r>
            <w:r>
              <w:rPr>
                <w:lang w:val="en-US" w:eastAsia="zh-CN"/>
              </w:rPr>
              <w:t>1</w:t>
            </w:r>
            <w:r>
              <w:rPr>
                <w:lang w:eastAsia="zh-CN"/>
              </w:rPr>
              <w:t>)</w:t>
            </w:r>
          </w:p>
        </w:tc>
        <w:tc>
          <w:tcPr>
            <w:tcW w:w="1916" w:type="dxa"/>
          </w:tcPr>
          <w:p w14:paraId="044902D9" w14:textId="77777777" w:rsidR="00A42460" w:rsidRDefault="00A42460" w:rsidP="00A42460">
            <w:pPr>
              <w:pStyle w:val="TAL"/>
              <w:rPr>
                <w:rFonts w:cs="Arial"/>
                <w:szCs w:val="18"/>
              </w:rPr>
            </w:pPr>
            <w:r>
              <w:rPr>
                <w:rFonts w:cs="Arial"/>
                <w:szCs w:val="18"/>
              </w:rPr>
              <w:t>EnModelProvision</w:t>
            </w:r>
          </w:p>
        </w:tc>
      </w:tr>
      <w:tr w:rsidR="007862A2" w14:paraId="2872F343" w14:textId="77777777" w:rsidTr="00531D1A">
        <w:trPr>
          <w:trHeight w:val="420"/>
          <w:jc w:val="center"/>
        </w:trPr>
        <w:tc>
          <w:tcPr>
            <w:tcW w:w="1657" w:type="dxa"/>
          </w:tcPr>
          <w:p w14:paraId="73E76F40" w14:textId="77777777" w:rsidR="007862A2" w:rsidRDefault="007862A2" w:rsidP="00531D1A">
            <w:pPr>
              <w:pStyle w:val="TAL"/>
            </w:pPr>
            <w:r>
              <w:rPr>
                <w:lang w:eastAsia="zh-CN"/>
              </w:rPr>
              <w:t>validityPeriod</w:t>
            </w:r>
          </w:p>
        </w:tc>
        <w:tc>
          <w:tcPr>
            <w:tcW w:w="2024" w:type="dxa"/>
          </w:tcPr>
          <w:p w14:paraId="10A3EBCE" w14:textId="77777777" w:rsidR="007862A2" w:rsidRDefault="007862A2" w:rsidP="00531D1A">
            <w:pPr>
              <w:pStyle w:val="TAL"/>
              <w:rPr>
                <w:lang w:eastAsia="zh-CN"/>
              </w:rPr>
            </w:pPr>
            <w:r>
              <w:rPr>
                <w:rFonts w:eastAsia="等线"/>
                <w:lang w:eastAsia="zh-CN"/>
              </w:rPr>
              <w:t>TimeWindow</w:t>
            </w:r>
          </w:p>
        </w:tc>
        <w:tc>
          <w:tcPr>
            <w:tcW w:w="425" w:type="dxa"/>
          </w:tcPr>
          <w:p w14:paraId="7B99F38E" w14:textId="77777777" w:rsidR="007862A2" w:rsidRDefault="007862A2" w:rsidP="00531D1A">
            <w:pPr>
              <w:pStyle w:val="TAL"/>
              <w:rPr>
                <w:lang w:eastAsia="zh-CN"/>
              </w:rPr>
            </w:pPr>
            <w:r>
              <w:t>O</w:t>
            </w:r>
          </w:p>
        </w:tc>
        <w:tc>
          <w:tcPr>
            <w:tcW w:w="1134" w:type="dxa"/>
          </w:tcPr>
          <w:p w14:paraId="5C2197DA" w14:textId="77777777" w:rsidR="007862A2" w:rsidRDefault="007862A2" w:rsidP="00531D1A">
            <w:pPr>
              <w:pStyle w:val="TAL"/>
              <w:rPr>
                <w:lang w:eastAsia="zh-CN"/>
              </w:rPr>
            </w:pPr>
            <w:r>
              <w:rPr>
                <w:rFonts w:eastAsia="Yu Mincho"/>
                <w:lang w:eastAsia="ja-JP"/>
              </w:rPr>
              <w:t>0..1</w:t>
            </w:r>
          </w:p>
        </w:tc>
        <w:tc>
          <w:tcPr>
            <w:tcW w:w="2410" w:type="dxa"/>
          </w:tcPr>
          <w:p w14:paraId="0FCB7D69" w14:textId="77777777" w:rsidR="007862A2" w:rsidRDefault="007862A2" w:rsidP="00531D1A">
            <w:pPr>
              <w:pStyle w:val="TAL"/>
              <w:rPr>
                <w:lang w:eastAsia="zh-CN"/>
              </w:rPr>
            </w:pPr>
            <w:r>
              <w:rPr>
                <w:lang w:eastAsia="zh-CN"/>
              </w:rPr>
              <w:t>Indicates the time period when the provided ML model applies.</w:t>
            </w:r>
          </w:p>
          <w:p w14:paraId="0C96D840" w14:textId="77777777" w:rsidR="007862A2" w:rsidRDefault="007862A2" w:rsidP="00531D1A">
            <w:pPr>
              <w:pStyle w:val="TAL"/>
              <w:rPr>
                <w:rFonts w:cs="Arial"/>
                <w:szCs w:val="18"/>
                <w:lang w:eastAsia="zh-CN"/>
              </w:rPr>
            </w:pPr>
            <w:r>
              <w:rPr>
                <w:lang w:eastAsia="zh-CN"/>
              </w:rPr>
              <w:t>(NOTE </w:t>
            </w:r>
            <w:r>
              <w:rPr>
                <w:lang w:val="en-US" w:eastAsia="zh-CN"/>
              </w:rPr>
              <w:t>1</w:t>
            </w:r>
            <w:r>
              <w:rPr>
                <w:lang w:eastAsia="zh-CN"/>
              </w:rPr>
              <w:t>)</w:t>
            </w:r>
          </w:p>
        </w:tc>
        <w:tc>
          <w:tcPr>
            <w:tcW w:w="1916" w:type="dxa"/>
          </w:tcPr>
          <w:p w14:paraId="11F2BE15" w14:textId="77777777" w:rsidR="007862A2" w:rsidRDefault="007862A2" w:rsidP="00531D1A">
            <w:pPr>
              <w:pStyle w:val="TAL"/>
              <w:rPr>
                <w:rFonts w:cs="Arial"/>
                <w:szCs w:val="18"/>
              </w:rPr>
            </w:pPr>
          </w:p>
        </w:tc>
      </w:tr>
      <w:tr w:rsidR="007862A2" w14:paraId="39885405" w14:textId="77777777" w:rsidTr="00531D1A">
        <w:trPr>
          <w:trHeight w:val="420"/>
          <w:jc w:val="center"/>
        </w:trPr>
        <w:tc>
          <w:tcPr>
            <w:tcW w:w="1657" w:type="dxa"/>
          </w:tcPr>
          <w:p w14:paraId="5CEB1DB1" w14:textId="77777777" w:rsidR="007862A2" w:rsidRDefault="007862A2" w:rsidP="00531D1A">
            <w:pPr>
              <w:pStyle w:val="TAL"/>
            </w:pPr>
            <w:r>
              <w:rPr>
                <w:lang w:eastAsia="zh-CN"/>
              </w:rPr>
              <w:t>spatialValidity</w:t>
            </w:r>
          </w:p>
        </w:tc>
        <w:tc>
          <w:tcPr>
            <w:tcW w:w="2024" w:type="dxa"/>
          </w:tcPr>
          <w:p w14:paraId="42DEECA9" w14:textId="77777777" w:rsidR="007862A2" w:rsidRDefault="007862A2" w:rsidP="00531D1A">
            <w:pPr>
              <w:pStyle w:val="TAL"/>
              <w:rPr>
                <w:lang w:eastAsia="zh-CN"/>
              </w:rPr>
            </w:pPr>
            <w:r>
              <w:t>NetworkAreaInfo</w:t>
            </w:r>
          </w:p>
        </w:tc>
        <w:tc>
          <w:tcPr>
            <w:tcW w:w="425" w:type="dxa"/>
          </w:tcPr>
          <w:p w14:paraId="7D29F5AB" w14:textId="77777777" w:rsidR="007862A2" w:rsidRDefault="007862A2" w:rsidP="00531D1A">
            <w:pPr>
              <w:pStyle w:val="TAL"/>
              <w:rPr>
                <w:lang w:eastAsia="zh-CN"/>
              </w:rPr>
            </w:pPr>
            <w:r>
              <w:rPr>
                <w:rFonts w:cs="Arial"/>
                <w:szCs w:val="18"/>
                <w:lang w:eastAsia="zh-CN"/>
              </w:rPr>
              <w:t>O</w:t>
            </w:r>
          </w:p>
        </w:tc>
        <w:tc>
          <w:tcPr>
            <w:tcW w:w="1134" w:type="dxa"/>
          </w:tcPr>
          <w:p w14:paraId="4DC29F00" w14:textId="77777777" w:rsidR="007862A2" w:rsidRDefault="007862A2" w:rsidP="00531D1A">
            <w:pPr>
              <w:pStyle w:val="TAL"/>
              <w:rPr>
                <w:lang w:eastAsia="zh-CN"/>
              </w:rPr>
            </w:pPr>
            <w:r>
              <w:rPr>
                <w:rFonts w:cs="Arial"/>
                <w:szCs w:val="18"/>
                <w:lang w:eastAsia="zh-CN"/>
              </w:rPr>
              <w:t>0..1</w:t>
            </w:r>
          </w:p>
        </w:tc>
        <w:tc>
          <w:tcPr>
            <w:tcW w:w="2410" w:type="dxa"/>
          </w:tcPr>
          <w:p w14:paraId="3E5AA2D5" w14:textId="77777777" w:rsidR="007862A2" w:rsidRDefault="007862A2" w:rsidP="00531D1A">
            <w:pPr>
              <w:pStyle w:val="TAL"/>
              <w:rPr>
                <w:lang w:eastAsia="zh-CN"/>
              </w:rPr>
            </w:pPr>
            <w:r>
              <w:rPr>
                <w:lang w:eastAsia="zh-CN"/>
              </w:rPr>
              <w:t>Indicates the area where the provided ML model applies.</w:t>
            </w:r>
          </w:p>
          <w:p w14:paraId="3625AB6F" w14:textId="77777777" w:rsidR="007862A2" w:rsidRDefault="007862A2" w:rsidP="00531D1A">
            <w:pPr>
              <w:pStyle w:val="TAL"/>
              <w:rPr>
                <w:rFonts w:cs="Arial"/>
                <w:szCs w:val="18"/>
                <w:lang w:eastAsia="zh-CN"/>
              </w:rPr>
            </w:pPr>
            <w:r>
              <w:rPr>
                <w:lang w:eastAsia="zh-CN"/>
              </w:rPr>
              <w:t>(NOTE </w:t>
            </w:r>
            <w:r>
              <w:rPr>
                <w:lang w:val="en-US" w:eastAsia="zh-CN"/>
              </w:rPr>
              <w:t>1</w:t>
            </w:r>
            <w:r>
              <w:rPr>
                <w:lang w:eastAsia="zh-CN"/>
              </w:rPr>
              <w:t>)</w:t>
            </w:r>
          </w:p>
        </w:tc>
        <w:tc>
          <w:tcPr>
            <w:tcW w:w="1916" w:type="dxa"/>
          </w:tcPr>
          <w:p w14:paraId="5E2E83EF" w14:textId="77777777" w:rsidR="007862A2" w:rsidRDefault="007862A2" w:rsidP="00531D1A">
            <w:pPr>
              <w:pStyle w:val="TAL"/>
              <w:rPr>
                <w:rFonts w:cs="Arial"/>
                <w:szCs w:val="18"/>
              </w:rPr>
            </w:pPr>
          </w:p>
        </w:tc>
      </w:tr>
      <w:tr w:rsidR="007862A2" w14:paraId="55C6442D" w14:textId="77777777" w:rsidTr="00531D1A">
        <w:trPr>
          <w:trHeight w:val="420"/>
          <w:jc w:val="center"/>
        </w:trPr>
        <w:tc>
          <w:tcPr>
            <w:tcW w:w="1657" w:type="dxa"/>
          </w:tcPr>
          <w:p w14:paraId="3E0C28BF" w14:textId="77777777" w:rsidR="007862A2" w:rsidRDefault="007862A2" w:rsidP="00531D1A">
            <w:pPr>
              <w:pStyle w:val="TAL"/>
              <w:rPr>
                <w:lang w:eastAsia="zh-CN"/>
              </w:rPr>
            </w:pPr>
            <w:r>
              <w:rPr>
                <w:lang w:eastAsia="zh-CN"/>
              </w:rPr>
              <w:t>addModelInfo</w:t>
            </w:r>
          </w:p>
        </w:tc>
        <w:tc>
          <w:tcPr>
            <w:tcW w:w="2024" w:type="dxa"/>
          </w:tcPr>
          <w:p w14:paraId="7383F48F" w14:textId="77777777" w:rsidR="007862A2" w:rsidRDefault="007862A2" w:rsidP="00531D1A">
            <w:pPr>
              <w:pStyle w:val="TAL"/>
            </w:pPr>
            <w:r>
              <w:rPr>
                <w:lang w:eastAsia="zh-CN"/>
              </w:rPr>
              <w:t>array(AdditionalMLModelInformation)</w:t>
            </w:r>
          </w:p>
        </w:tc>
        <w:tc>
          <w:tcPr>
            <w:tcW w:w="425" w:type="dxa"/>
          </w:tcPr>
          <w:p w14:paraId="284A159A" w14:textId="77777777" w:rsidR="007862A2" w:rsidRDefault="007862A2" w:rsidP="00531D1A">
            <w:pPr>
              <w:pStyle w:val="TAL"/>
              <w:rPr>
                <w:rFonts w:cs="Arial"/>
                <w:szCs w:val="18"/>
                <w:lang w:eastAsia="zh-CN"/>
              </w:rPr>
            </w:pPr>
            <w:r>
              <w:t>O</w:t>
            </w:r>
          </w:p>
        </w:tc>
        <w:tc>
          <w:tcPr>
            <w:tcW w:w="1134" w:type="dxa"/>
          </w:tcPr>
          <w:p w14:paraId="3D2B6DF7" w14:textId="77777777" w:rsidR="007862A2" w:rsidRDefault="007862A2" w:rsidP="00531D1A">
            <w:pPr>
              <w:pStyle w:val="TAL"/>
              <w:rPr>
                <w:rFonts w:cs="Arial"/>
                <w:szCs w:val="18"/>
                <w:lang w:eastAsia="zh-CN"/>
              </w:rPr>
            </w:pPr>
            <w:r>
              <w:rPr>
                <w:rFonts w:eastAsia="Yu Mincho"/>
                <w:lang w:eastAsia="ja-JP"/>
              </w:rPr>
              <w:t>1..N</w:t>
            </w:r>
          </w:p>
        </w:tc>
        <w:tc>
          <w:tcPr>
            <w:tcW w:w="2410" w:type="dxa"/>
          </w:tcPr>
          <w:p w14:paraId="46267F56" w14:textId="77777777" w:rsidR="007862A2" w:rsidRDefault="007862A2" w:rsidP="00531D1A">
            <w:pPr>
              <w:pStyle w:val="TAL"/>
              <w:rPr>
                <w:lang w:eastAsia="zh-CN"/>
              </w:rPr>
            </w:pPr>
            <w:r>
              <w:rPr>
                <w:lang w:eastAsia="zh-CN"/>
              </w:rPr>
              <w:t>Indicates the additional ML Model Information.</w:t>
            </w:r>
          </w:p>
          <w:p w14:paraId="4DEFE194" w14:textId="77777777" w:rsidR="007862A2" w:rsidRDefault="007862A2" w:rsidP="00531D1A">
            <w:pPr>
              <w:pStyle w:val="TAL"/>
              <w:rPr>
                <w:lang w:eastAsia="zh-CN"/>
              </w:rPr>
            </w:pPr>
            <w:r>
              <w:rPr>
                <w:lang w:eastAsia="zh-CN"/>
              </w:rPr>
              <w:t>(NOTE </w:t>
            </w:r>
            <w:r>
              <w:rPr>
                <w:lang w:val="en-US" w:eastAsia="zh-CN"/>
              </w:rPr>
              <w:t>1</w:t>
            </w:r>
            <w:r>
              <w:rPr>
                <w:lang w:eastAsia="zh-CN"/>
              </w:rPr>
              <w:t>)</w:t>
            </w:r>
          </w:p>
        </w:tc>
        <w:tc>
          <w:tcPr>
            <w:tcW w:w="1916" w:type="dxa"/>
          </w:tcPr>
          <w:p w14:paraId="06ADD4B8" w14:textId="77777777" w:rsidR="007862A2" w:rsidRDefault="007862A2" w:rsidP="00531D1A">
            <w:pPr>
              <w:pStyle w:val="TAL"/>
              <w:rPr>
                <w:rFonts w:cs="Arial"/>
                <w:szCs w:val="18"/>
              </w:rPr>
            </w:pPr>
            <w:r>
              <w:rPr>
                <w:rFonts w:cs="Arial"/>
                <w:szCs w:val="18"/>
              </w:rPr>
              <w:t>ModelProvisionExt</w:t>
            </w:r>
          </w:p>
        </w:tc>
      </w:tr>
      <w:tr w:rsidR="007862A2" w14:paraId="42C8343E" w14:textId="77777777" w:rsidTr="00531D1A">
        <w:trPr>
          <w:trHeight w:val="420"/>
          <w:jc w:val="center"/>
        </w:trPr>
        <w:tc>
          <w:tcPr>
            <w:tcW w:w="1657" w:type="dxa"/>
          </w:tcPr>
          <w:p w14:paraId="32324811" w14:textId="77777777" w:rsidR="007862A2" w:rsidRDefault="007862A2" w:rsidP="00531D1A">
            <w:pPr>
              <w:pStyle w:val="TAL"/>
              <w:rPr>
                <w:lang w:eastAsia="zh-CN"/>
              </w:rPr>
            </w:pPr>
            <w:r>
              <w:rPr>
                <w:lang w:eastAsia="ja-JP"/>
              </w:rPr>
              <w:t>useCaseCxt</w:t>
            </w:r>
          </w:p>
        </w:tc>
        <w:tc>
          <w:tcPr>
            <w:tcW w:w="2024" w:type="dxa"/>
          </w:tcPr>
          <w:p w14:paraId="4E038639" w14:textId="77777777" w:rsidR="007862A2" w:rsidRDefault="007862A2" w:rsidP="00531D1A">
            <w:pPr>
              <w:pStyle w:val="TAL"/>
              <w:rPr>
                <w:lang w:eastAsia="zh-CN"/>
              </w:rPr>
            </w:pPr>
            <w:r>
              <w:t>string</w:t>
            </w:r>
          </w:p>
        </w:tc>
        <w:tc>
          <w:tcPr>
            <w:tcW w:w="425" w:type="dxa"/>
          </w:tcPr>
          <w:p w14:paraId="78410E92" w14:textId="77777777" w:rsidR="007862A2" w:rsidRDefault="007862A2" w:rsidP="00531D1A">
            <w:pPr>
              <w:pStyle w:val="TAL"/>
            </w:pPr>
            <w:r>
              <w:t>O</w:t>
            </w:r>
          </w:p>
        </w:tc>
        <w:tc>
          <w:tcPr>
            <w:tcW w:w="1134" w:type="dxa"/>
          </w:tcPr>
          <w:p w14:paraId="72D8FD62" w14:textId="77777777" w:rsidR="007862A2" w:rsidRDefault="007862A2" w:rsidP="00531D1A">
            <w:pPr>
              <w:pStyle w:val="TAL"/>
              <w:rPr>
                <w:rFonts w:eastAsia="Yu Mincho"/>
                <w:lang w:eastAsia="ja-JP"/>
              </w:rPr>
            </w:pPr>
            <w:r>
              <w:rPr>
                <w:rFonts w:eastAsia="Yu Mincho"/>
                <w:lang w:eastAsia="ja-JP"/>
              </w:rPr>
              <w:t>0..1</w:t>
            </w:r>
          </w:p>
        </w:tc>
        <w:tc>
          <w:tcPr>
            <w:tcW w:w="2410" w:type="dxa"/>
          </w:tcPr>
          <w:p w14:paraId="097D8CAB" w14:textId="77777777" w:rsidR="007862A2" w:rsidRDefault="007862A2" w:rsidP="00531D1A">
            <w:pPr>
              <w:pStyle w:val="TAL"/>
              <w:rPr>
                <w:rFonts w:eastAsia="MS Mincho" w:cs="Arial"/>
                <w:szCs w:val="18"/>
                <w:lang w:eastAsia="zh-CN"/>
              </w:rPr>
            </w:pPr>
            <w:r>
              <w:rPr>
                <w:rFonts w:cs="Arial"/>
                <w:szCs w:val="18"/>
                <w:lang w:eastAsia="zh-CN"/>
              </w:rPr>
              <w:t>Indicates the context of the ML model.</w:t>
            </w:r>
          </w:p>
          <w:p w14:paraId="308A3D89" w14:textId="77777777" w:rsidR="007862A2" w:rsidRDefault="007862A2" w:rsidP="00531D1A">
            <w:pPr>
              <w:pStyle w:val="TAL"/>
              <w:rPr>
                <w:rFonts w:cs="Arial"/>
                <w:szCs w:val="18"/>
                <w:lang w:eastAsia="zh-CN"/>
              </w:rPr>
            </w:pPr>
            <w:r>
              <w:rPr>
                <w:rFonts w:cs="Arial"/>
                <w:szCs w:val="18"/>
                <w:lang w:eastAsia="zh-CN"/>
              </w:rPr>
              <w:t>The value and format of this parameter are not standardized.</w:t>
            </w:r>
          </w:p>
          <w:p w14:paraId="42677A33" w14:textId="77777777" w:rsidR="007862A2" w:rsidRDefault="007862A2" w:rsidP="00531D1A">
            <w:pPr>
              <w:pStyle w:val="TAL"/>
              <w:rPr>
                <w:rFonts w:cs="Arial"/>
                <w:szCs w:val="18"/>
                <w:lang w:eastAsia="zh-CN"/>
              </w:rPr>
            </w:pPr>
          </w:p>
          <w:p w14:paraId="16C7D0AB" w14:textId="77777777" w:rsidR="007862A2" w:rsidRDefault="007862A2" w:rsidP="00531D1A">
            <w:pPr>
              <w:pStyle w:val="TAL"/>
              <w:rPr>
                <w:lang w:eastAsia="zh-CN"/>
              </w:rPr>
            </w:pPr>
            <w:r>
              <w:t>This attribute is not applicable in the Nnwdaf_MLModelProvision API.</w:t>
            </w:r>
          </w:p>
        </w:tc>
        <w:tc>
          <w:tcPr>
            <w:tcW w:w="1916" w:type="dxa"/>
          </w:tcPr>
          <w:p w14:paraId="0A9CF74E" w14:textId="77777777" w:rsidR="007862A2" w:rsidRDefault="007862A2" w:rsidP="00531D1A">
            <w:pPr>
              <w:pStyle w:val="TAL"/>
              <w:rPr>
                <w:rFonts w:cs="Arial"/>
                <w:szCs w:val="18"/>
              </w:rPr>
            </w:pPr>
            <w:r>
              <w:rPr>
                <w:rFonts w:cs="Arial"/>
                <w:szCs w:val="18"/>
              </w:rPr>
              <w:t>ENAExt</w:t>
            </w:r>
          </w:p>
        </w:tc>
      </w:tr>
      <w:tr w:rsidR="007862A2" w14:paraId="6A9F5034" w14:textId="77777777" w:rsidTr="00531D1A">
        <w:trPr>
          <w:trHeight w:val="420"/>
          <w:jc w:val="center"/>
        </w:trPr>
        <w:tc>
          <w:tcPr>
            <w:tcW w:w="1657" w:type="dxa"/>
          </w:tcPr>
          <w:p w14:paraId="1588FE40" w14:textId="77777777" w:rsidR="007862A2" w:rsidRDefault="007862A2" w:rsidP="00531D1A">
            <w:pPr>
              <w:pStyle w:val="TAL"/>
              <w:rPr>
                <w:lang w:eastAsia="ja-JP"/>
              </w:rPr>
            </w:pPr>
            <w:r>
              <w:lastRenderedPageBreak/>
              <w:t>mLEventFilter</w:t>
            </w:r>
          </w:p>
        </w:tc>
        <w:tc>
          <w:tcPr>
            <w:tcW w:w="2024" w:type="dxa"/>
          </w:tcPr>
          <w:p w14:paraId="438E9AEB" w14:textId="77777777" w:rsidR="007862A2" w:rsidRDefault="007862A2" w:rsidP="00531D1A">
            <w:pPr>
              <w:pStyle w:val="TAL"/>
            </w:pPr>
            <w:r>
              <w:t>EventFilter</w:t>
            </w:r>
          </w:p>
        </w:tc>
        <w:tc>
          <w:tcPr>
            <w:tcW w:w="425" w:type="dxa"/>
          </w:tcPr>
          <w:p w14:paraId="50D9EFA7" w14:textId="77777777" w:rsidR="007862A2" w:rsidRDefault="007862A2" w:rsidP="00531D1A">
            <w:pPr>
              <w:pStyle w:val="TAL"/>
            </w:pPr>
            <w:r>
              <w:rPr>
                <w:lang w:eastAsia="zh-CN"/>
              </w:rPr>
              <w:t>O</w:t>
            </w:r>
          </w:p>
        </w:tc>
        <w:tc>
          <w:tcPr>
            <w:tcW w:w="1134" w:type="dxa"/>
          </w:tcPr>
          <w:p w14:paraId="53CBC20B" w14:textId="77777777" w:rsidR="007862A2" w:rsidRDefault="007862A2" w:rsidP="00531D1A">
            <w:pPr>
              <w:pStyle w:val="TAL"/>
              <w:rPr>
                <w:rFonts w:eastAsia="Yu Mincho"/>
                <w:lang w:eastAsia="ja-JP"/>
              </w:rPr>
            </w:pPr>
            <w:r>
              <w:rPr>
                <w:rFonts w:cs="Arial"/>
                <w:szCs w:val="18"/>
                <w:lang w:eastAsia="zh-CN"/>
              </w:rPr>
              <w:t>0..</w:t>
            </w:r>
            <w:r>
              <w:rPr>
                <w:lang w:eastAsia="zh-CN"/>
              </w:rPr>
              <w:t>1</w:t>
            </w:r>
          </w:p>
        </w:tc>
        <w:tc>
          <w:tcPr>
            <w:tcW w:w="2410" w:type="dxa"/>
          </w:tcPr>
          <w:p w14:paraId="4ADFFACF" w14:textId="77777777" w:rsidR="007862A2" w:rsidRDefault="007862A2" w:rsidP="00531D1A">
            <w:pPr>
              <w:pStyle w:val="TAL"/>
              <w:rPr>
                <w:rFonts w:cs="Arial"/>
                <w:szCs w:val="18"/>
                <w:lang w:eastAsia="zh-CN"/>
              </w:rPr>
            </w:pPr>
            <w:r>
              <w:rPr>
                <w:rFonts w:cs="Arial"/>
                <w:szCs w:val="18"/>
                <w:lang w:eastAsia="zh-CN"/>
              </w:rPr>
              <w:t>Identifies the analytics filter for the subscribed event.</w:t>
            </w:r>
          </w:p>
          <w:p w14:paraId="0DA5B6BC" w14:textId="77777777" w:rsidR="007862A2" w:rsidRDefault="007862A2" w:rsidP="00531D1A">
            <w:pPr>
              <w:pStyle w:val="TAL"/>
              <w:rPr>
                <w:rFonts w:cs="Arial"/>
                <w:szCs w:val="18"/>
                <w:lang w:eastAsia="zh-CN"/>
              </w:rPr>
            </w:pPr>
            <w:r>
              <w:rPr>
                <w:rFonts w:cs="Arial"/>
                <w:szCs w:val="18"/>
                <w:lang w:eastAsia="zh-CN"/>
              </w:rPr>
              <w:t>May be present if multiple ML Models with the same analytics ID are provided in the notification.</w:t>
            </w:r>
          </w:p>
          <w:p w14:paraId="2960147A" w14:textId="77777777" w:rsidR="007862A2" w:rsidRDefault="007862A2" w:rsidP="00531D1A">
            <w:pPr>
              <w:pStyle w:val="TAL"/>
              <w:rPr>
                <w:rFonts w:cs="Arial"/>
                <w:szCs w:val="18"/>
                <w:lang w:eastAsia="zh-CN"/>
              </w:rPr>
            </w:pPr>
            <w:r>
              <w:rPr>
                <w:lang w:eastAsia="zh-CN"/>
              </w:rPr>
              <w:t>(</w:t>
            </w:r>
            <w:r>
              <w:t>NOTE</w:t>
            </w:r>
            <w:r>
              <w:rPr>
                <w:lang w:eastAsia="zh-CN"/>
              </w:rPr>
              <w:t> </w:t>
            </w:r>
            <w:r>
              <w:rPr>
                <w:lang w:val="en-US" w:eastAsia="zh-CN"/>
              </w:rPr>
              <w:t>3</w:t>
            </w:r>
            <w:r>
              <w:rPr>
                <w:lang w:eastAsia="zh-CN"/>
              </w:rPr>
              <w:t>)</w:t>
            </w:r>
          </w:p>
        </w:tc>
        <w:tc>
          <w:tcPr>
            <w:tcW w:w="1916" w:type="dxa"/>
          </w:tcPr>
          <w:p w14:paraId="65FE5F6A" w14:textId="77777777" w:rsidR="007862A2" w:rsidRDefault="007862A2" w:rsidP="00531D1A">
            <w:pPr>
              <w:pStyle w:val="TAL"/>
              <w:rPr>
                <w:rFonts w:cs="Arial"/>
                <w:szCs w:val="18"/>
              </w:rPr>
            </w:pPr>
            <w:r>
              <w:rPr>
                <w:rFonts w:cs="Arial"/>
                <w:szCs w:val="18"/>
              </w:rPr>
              <w:t>ModelProvisionExt</w:t>
            </w:r>
          </w:p>
        </w:tc>
      </w:tr>
      <w:tr w:rsidR="007862A2" w14:paraId="10D965D9" w14:textId="77777777" w:rsidTr="00531D1A">
        <w:trPr>
          <w:trHeight w:val="420"/>
          <w:jc w:val="center"/>
        </w:trPr>
        <w:tc>
          <w:tcPr>
            <w:tcW w:w="1657" w:type="dxa"/>
          </w:tcPr>
          <w:p w14:paraId="7CD4CDE7" w14:textId="77777777" w:rsidR="007862A2" w:rsidRDefault="007862A2" w:rsidP="00531D1A">
            <w:pPr>
              <w:pStyle w:val="TAL"/>
              <w:rPr>
                <w:lang w:eastAsia="ja-JP"/>
              </w:rPr>
            </w:pPr>
            <w:r>
              <w:t>tgtUe</w:t>
            </w:r>
          </w:p>
        </w:tc>
        <w:tc>
          <w:tcPr>
            <w:tcW w:w="2024" w:type="dxa"/>
          </w:tcPr>
          <w:p w14:paraId="0AEC1028" w14:textId="77777777" w:rsidR="007862A2" w:rsidRDefault="007862A2" w:rsidP="00531D1A">
            <w:pPr>
              <w:pStyle w:val="TAL"/>
            </w:pPr>
            <w:r>
              <w:t>TargetUeInformation</w:t>
            </w:r>
          </w:p>
        </w:tc>
        <w:tc>
          <w:tcPr>
            <w:tcW w:w="425" w:type="dxa"/>
          </w:tcPr>
          <w:p w14:paraId="1D347E1D" w14:textId="77777777" w:rsidR="007862A2" w:rsidRDefault="007862A2" w:rsidP="00531D1A">
            <w:pPr>
              <w:pStyle w:val="TAL"/>
            </w:pPr>
            <w:r>
              <w:rPr>
                <w:rFonts w:cs="Arial"/>
                <w:szCs w:val="18"/>
                <w:lang w:eastAsia="zh-CN"/>
              </w:rPr>
              <w:t>O</w:t>
            </w:r>
          </w:p>
        </w:tc>
        <w:tc>
          <w:tcPr>
            <w:tcW w:w="1134" w:type="dxa"/>
          </w:tcPr>
          <w:p w14:paraId="01D6DF21" w14:textId="77777777" w:rsidR="007862A2" w:rsidRDefault="007862A2" w:rsidP="00531D1A">
            <w:pPr>
              <w:pStyle w:val="TAL"/>
              <w:rPr>
                <w:rFonts w:eastAsia="Yu Mincho"/>
                <w:lang w:eastAsia="ja-JP"/>
              </w:rPr>
            </w:pPr>
            <w:r>
              <w:rPr>
                <w:rFonts w:cs="Arial"/>
                <w:szCs w:val="18"/>
                <w:lang w:eastAsia="zh-CN"/>
              </w:rPr>
              <w:t>0..1</w:t>
            </w:r>
          </w:p>
        </w:tc>
        <w:tc>
          <w:tcPr>
            <w:tcW w:w="2410" w:type="dxa"/>
          </w:tcPr>
          <w:p w14:paraId="2B3A9822" w14:textId="77777777" w:rsidR="007862A2" w:rsidRDefault="007862A2" w:rsidP="00531D1A">
            <w:pPr>
              <w:pStyle w:val="TAL"/>
              <w:rPr>
                <w:rFonts w:cs="Arial"/>
                <w:szCs w:val="18"/>
                <w:lang w:eastAsia="zh-CN"/>
              </w:rPr>
            </w:pPr>
            <w:r>
              <w:rPr>
                <w:rFonts w:cs="Arial"/>
                <w:szCs w:val="18"/>
              </w:rPr>
              <w:t>Identifies target UE information.</w:t>
            </w:r>
            <w:r>
              <w:rPr>
                <w:rFonts w:cs="Arial"/>
                <w:szCs w:val="18"/>
                <w:lang w:eastAsia="zh-CN"/>
              </w:rPr>
              <w:t xml:space="preserve"> </w:t>
            </w:r>
          </w:p>
          <w:p w14:paraId="01EB0B1A" w14:textId="77777777" w:rsidR="007862A2" w:rsidRDefault="007862A2" w:rsidP="00531D1A">
            <w:pPr>
              <w:pStyle w:val="TAL"/>
              <w:rPr>
                <w:rFonts w:cs="Arial"/>
                <w:szCs w:val="18"/>
                <w:lang w:eastAsia="zh-CN"/>
              </w:rPr>
            </w:pPr>
            <w:r>
              <w:rPr>
                <w:rFonts w:cs="Arial"/>
                <w:szCs w:val="18"/>
                <w:lang w:eastAsia="zh-CN"/>
              </w:rPr>
              <w:t>May be present if multiple ML Models with the same analytics ID are provided in the notification.</w:t>
            </w:r>
          </w:p>
          <w:p w14:paraId="31159826" w14:textId="77777777" w:rsidR="007862A2" w:rsidRDefault="007862A2" w:rsidP="00531D1A">
            <w:pPr>
              <w:pStyle w:val="TAL"/>
              <w:rPr>
                <w:rFonts w:cs="Arial"/>
                <w:szCs w:val="18"/>
                <w:lang w:eastAsia="zh-CN"/>
              </w:rPr>
            </w:pPr>
            <w:r>
              <w:rPr>
                <w:lang w:eastAsia="zh-CN"/>
              </w:rPr>
              <w:t>(</w:t>
            </w:r>
            <w:r>
              <w:t>NOTE</w:t>
            </w:r>
            <w:r>
              <w:rPr>
                <w:lang w:eastAsia="zh-CN"/>
              </w:rPr>
              <w:t> </w:t>
            </w:r>
            <w:r>
              <w:rPr>
                <w:lang w:val="en-US" w:eastAsia="zh-CN"/>
              </w:rPr>
              <w:t>3</w:t>
            </w:r>
            <w:r>
              <w:rPr>
                <w:lang w:eastAsia="zh-CN"/>
              </w:rPr>
              <w:t>)</w:t>
            </w:r>
          </w:p>
        </w:tc>
        <w:tc>
          <w:tcPr>
            <w:tcW w:w="1916" w:type="dxa"/>
          </w:tcPr>
          <w:p w14:paraId="247AAA06" w14:textId="77777777" w:rsidR="007862A2" w:rsidRDefault="007862A2" w:rsidP="00531D1A">
            <w:pPr>
              <w:pStyle w:val="TAL"/>
              <w:rPr>
                <w:rFonts w:cs="Arial"/>
                <w:szCs w:val="18"/>
              </w:rPr>
            </w:pPr>
            <w:r>
              <w:rPr>
                <w:rFonts w:cs="Arial"/>
                <w:szCs w:val="18"/>
              </w:rPr>
              <w:t>ModelProvisionExt</w:t>
            </w:r>
          </w:p>
        </w:tc>
      </w:tr>
      <w:tr w:rsidR="00A42460" w14:paraId="641E04E8" w14:textId="77777777" w:rsidTr="00A42460">
        <w:trPr>
          <w:trHeight w:val="420"/>
          <w:jc w:val="center"/>
        </w:trPr>
        <w:tc>
          <w:tcPr>
            <w:tcW w:w="9566" w:type="dxa"/>
            <w:gridSpan w:val="6"/>
          </w:tcPr>
          <w:p w14:paraId="7F24FC1C" w14:textId="77777777" w:rsidR="00A42460" w:rsidRDefault="00A42460" w:rsidP="00A42460">
            <w:pPr>
              <w:pStyle w:val="TAN"/>
            </w:pPr>
            <w:r>
              <w:t>NOTE</w:t>
            </w:r>
            <w:r>
              <w:rPr>
                <w:lang w:eastAsia="zh-CN"/>
              </w:rPr>
              <w:t> </w:t>
            </w:r>
            <w:r>
              <w:rPr>
                <w:lang w:val="en-US" w:eastAsia="zh-CN"/>
              </w:rPr>
              <w:t>1</w:t>
            </w:r>
            <w:r>
              <w:t>:</w:t>
            </w:r>
            <w:r>
              <w:tab/>
              <w:t>If the "addModelInfo" attribute is provided, then the attributes "validityPeriod", "spatialValidity", "modelUpdateInd" and "modelProviderId" shall not be provided and the value of the "mLFileAddr" attribute and "mLModelAdrf" attribute and "</w:t>
            </w:r>
            <w:r>
              <w:rPr>
                <w:lang w:eastAsia="zh-CN"/>
              </w:rPr>
              <w:t>modelUniqueId</w:t>
            </w:r>
            <w:r>
              <w:t>" attribute of the MLEventNotif data type shall be ignored.</w:t>
            </w:r>
          </w:p>
          <w:p w14:paraId="48E8CCE9" w14:textId="77777777" w:rsidR="00A42460" w:rsidRDefault="00A42460" w:rsidP="00A42460">
            <w:pPr>
              <w:pStyle w:val="TAN"/>
            </w:pPr>
            <w:r>
              <w:t>NOTE</w:t>
            </w:r>
            <w:r>
              <w:rPr>
                <w:lang w:eastAsia="zh-CN"/>
              </w:rPr>
              <w:t> </w:t>
            </w:r>
            <w:r>
              <w:rPr>
                <w:lang w:val="en-US" w:eastAsia="zh-CN"/>
              </w:rPr>
              <w:t>2</w:t>
            </w:r>
            <w:r>
              <w:t>:</w:t>
            </w:r>
            <w:r>
              <w:tab/>
              <w:t>If the "</w:t>
            </w:r>
            <w:r>
              <w:rPr>
                <w:rFonts w:cs="Arial"/>
                <w:szCs w:val="18"/>
              </w:rPr>
              <w:t>ModelProvisionExt</w:t>
            </w:r>
            <w:r>
              <w:t>" feature is supported, one of the "mLFileAddr" or "mLModelAdrf" attribute shall be provided</w:t>
            </w:r>
            <w:r>
              <w:rPr>
                <w:lang w:eastAsia="zh-CN"/>
              </w:rPr>
              <w:t xml:space="preserve">, otherwise </w:t>
            </w:r>
            <w:r>
              <w:t>"mLFileAddr" attribute shall be provided.</w:t>
            </w:r>
          </w:p>
          <w:p w14:paraId="2609E189" w14:textId="77777777" w:rsidR="00A42460" w:rsidRDefault="00A42460" w:rsidP="00A42460">
            <w:pPr>
              <w:pStyle w:val="TAN"/>
              <w:rPr>
                <w:rFonts w:cs="Arial"/>
                <w:szCs w:val="18"/>
              </w:rPr>
            </w:pPr>
            <w:r>
              <w:t>NOTE</w:t>
            </w:r>
            <w:r>
              <w:rPr>
                <w:lang w:eastAsia="zh-CN"/>
              </w:rPr>
              <w:t> </w:t>
            </w:r>
            <w:r>
              <w:rPr>
                <w:lang w:val="en-US" w:eastAsia="zh-CN"/>
              </w:rPr>
              <w:t>3</w:t>
            </w:r>
            <w:r>
              <w:t>:</w:t>
            </w:r>
            <w:r>
              <w:tab/>
              <w:t>The "mLEventFilter"</w:t>
            </w:r>
            <w:r w:rsidRPr="003E4163">
              <w:t xml:space="preserve"> </w:t>
            </w:r>
            <w:r>
              <w:t>and/or "tgtUe"</w:t>
            </w:r>
            <w:r w:rsidRPr="003E4163">
              <w:t xml:space="preserve"> </w:t>
            </w:r>
            <w:r>
              <w:t xml:space="preserve">attributes may be present </w:t>
            </w:r>
            <w:r w:rsidRPr="003E4163">
              <w:t>when the ML Model provisioning request include</w:t>
            </w:r>
            <w:r>
              <w:t>s</w:t>
            </w:r>
            <w:r w:rsidRPr="003E4163">
              <w:t xml:space="preserve"> </w:t>
            </w:r>
            <w:r>
              <w:t>the same Analytics ID</w:t>
            </w:r>
            <w:r w:rsidRPr="003E4163">
              <w:t xml:space="preserve"> but with different ML Model </w:t>
            </w:r>
            <w:r>
              <w:t>f</w:t>
            </w:r>
            <w:r w:rsidRPr="003E4163">
              <w:t xml:space="preserve">ilter </w:t>
            </w:r>
            <w:r>
              <w:t>i</w:t>
            </w:r>
            <w:r w:rsidRPr="003E4163">
              <w:t xml:space="preserve">nformation </w:t>
            </w:r>
            <w:r>
              <w:t xml:space="preserve">and/or </w:t>
            </w:r>
            <w:r w:rsidRPr="003E4163">
              <w:t xml:space="preserve">different </w:t>
            </w:r>
            <w:r>
              <w:t>t</w:t>
            </w:r>
            <w:r w:rsidRPr="003E4163">
              <w:t xml:space="preserve">argets of ML Model </w:t>
            </w:r>
            <w:r>
              <w:t>r</w:t>
            </w:r>
            <w:r w:rsidRPr="003E4163">
              <w:t>eporting</w:t>
            </w:r>
            <w:r>
              <w:t>.</w:t>
            </w:r>
          </w:p>
        </w:tc>
      </w:tr>
    </w:tbl>
    <w:p w14:paraId="6EAF24B3" w14:textId="77777777" w:rsidR="007862A2" w:rsidRPr="00870426" w:rsidRDefault="007862A2" w:rsidP="007862A2">
      <w:pPr>
        <w:rPr>
          <w:lang w:val="es-ES"/>
        </w:rPr>
      </w:pPr>
    </w:p>
    <w:p w14:paraId="501FE0DC" w14:textId="77777777" w:rsidR="00A10B25" w:rsidRDefault="00A10B25">
      <w:pPr>
        <w:pStyle w:val="5"/>
      </w:pPr>
      <w:bookmarkStart w:id="13844" w:name="_Toc175858861"/>
      <w:bookmarkStart w:id="13845" w:name="_Toc175859934"/>
      <w:bookmarkStart w:id="13846" w:name="_Toc180606224"/>
      <w:bookmarkStart w:id="13847" w:name="_Toc185517485"/>
      <w:bookmarkStart w:id="13848" w:name="_Toc191576537"/>
      <w:bookmarkStart w:id="13849" w:name="_Toc191577277"/>
      <w:bookmarkStart w:id="13850" w:name="_Toc192880347"/>
      <w:bookmarkStart w:id="13851" w:name="_Toc195815236"/>
      <w:bookmarkStart w:id="13852" w:name="_Toc199453203"/>
      <w:r>
        <w:t>5.4.6.2.7</w:t>
      </w:r>
      <w:r>
        <w:tab/>
        <w:t xml:space="preserve">Type </w:t>
      </w:r>
      <w:r>
        <w:rPr>
          <w:lang w:eastAsia="zh-CN"/>
        </w:rPr>
        <w:t>FailureEventInfoForMLModel</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42"/>
      <w:bookmarkEnd w:id="13843"/>
      <w:bookmarkEnd w:id="13844"/>
      <w:bookmarkEnd w:id="13845"/>
      <w:bookmarkEnd w:id="13846"/>
      <w:bookmarkEnd w:id="13847"/>
      <w:bookmarkEnd w:id="13848"/>
      <w:bookmarkEnd w:id="13849"/>
      <w:bookmarkEnd w:id="13850"/>
      <w:bookmarkEnd w:id="13851"/>
      <w:bookmarkEnd w:id="13852"/>
    </w:p>
    <w:p w14:paraId="72023F3F" w14:textId="77777777" w:rsidR="00A10B25" w:rsidRDefault="00A10B25">
      <w:pPr>
        <w:pStyle w:val="TH"/>
      </w:pPr>
      <w:r>
        <w:t xml:space="preserve">Table 5.1.6.2.7-1: Definition of type </w:t>
      </w:r>
      <w:r>
        <w:rPr>
          <w:lang w:eastAsia="zh-CN"/>
        </w:rPr>
        <w:t>FailureEventInfoForMLModel</w:t>
      </w:r>
    </w:p>
    <w:tbl>
      <w:tblPr>
        <w:tblW w:w="949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1701"/>
        <w:gridCol w:w="426"/>
        <w:gridCol w:w="1134"/>
        <w:gridCol w:w="2976"/>
        <w:gridCol w:w="1628"/>
      </w:tblGrid>
      <w:tr w:rsidR="00A10B25" w14:paraId="5C69EB85" w14:textId="77777777">
        <w:trPr>
          <w:jc w:val="center"/>
        </w:trPr>
        <w:tc>
          <w:tcPr>
            <w:tcW w:w="1628" w:type="dxa"/>
            <w:shd w:val="clear" w:color="auto" w:fill="C0C0C0"/>
          </w:tcPr>
          <w:p w14:paraId="5B41403B" w14:textId="77777777" w:rsidR="00A10B25" w:rsidRDefault="00A10B25">
            <w:pPr>
              <w:pStyle w:val="TAH"/>
            </w:pPr>
            <w:r>
              <w:t>Attribute name</w:t>
            </w:r>
          </w:p>
        </w:tc>
        <w:tc>
          <w:tcPr>
            <w:tcW w:w="1701" w:type="dxa"/>
            <w:shd w:val="clear" w:color="auto" w:fill="C0C0C0"/>
          </w:tcPr>
          <w:p w14:paraId="714A0A72" w14:textId="77777777" w:rsidR="00A10B25" w:rsidRDefault="00A10B25">
            <w:pPr>
              <w:pStyle w:val="TAH"/>
            </w:pPr>
            <w:r>
              <w:t>Data type</w:t>
            </w:r>
          </w:p>
        </w:tc>
        <w:tc>
          <w:tcPr>
            <w:tcW w:w="426" w:type="dxa"/>
            <w:shd w:val="clear" w:color="auto" w:fill="C0C0C0"/>
          </w:tcPr>
          <w:p w14:paraId="407FB0A6" w14:textId="77777777" w:rsidR="00A10B25" w:rsidRDefault="00A10B25">
            <w:pPr>
              <w:pStyle w:val="TAH"/>
            </w:pPr>
            <w:r>
              <w:t>P</w:t>
            </w:r>
          </w:p>
        </w:tc>
        <w:tc>
          <w:tcPr>
            <w:tcW w:w="1134" w:type="dxa"/>
            <w:shd w:val="clear" w:color="auto" w:fill="C0C0C0"/>
          </w:tcPr>
          <w:p w14:paraId="7DA8A63E" w14:textId="77777777" w:rsidR="00A10B25" w:rsidRDefault="00A10B25">
            <w:pPr>
              <w:pStyle w:val="TAH"/>
            </w:pPr>
            <w:r>
              <w:t>Cardinality</w:t>
            </w:r>
          </w:p>
        </w:tc>
        <w:tc>
          <w:tcPr>
            <w:tcW w:w="2976" w:type="dxa"/>
            <w:shd w:val="clear" w:color="auto" w:fill="C0C0C0"/>
          </w:tcPr>
          <w:p w14:paraId="49FEA5D7" w14:textId="77777777" w:rsidR="00A10B25" w:rsidRDefault="00A10B25">
            <w:pPr>
              <w:pStyle w:val="TAH"/>
              <w:rPr>
                <w:rFonts w:cs="Arial"/>
                <w:szCs w:val="18"/>
              </w:rPr>
            </w:pPr>
            <w:r>
              <w:rPr>
                <w:rFonts w:cs="Arial"/>
                <w:szCs w:val="18"/>
              </w:rPr>
              <w:t>Description</w:t>
            </w:r>
          </w:p>
        </w:tc>
        <w:tc>
          <w:tcPr>
            <w:tcW w:w="1628" w:type="dxa"/>
            <w:shd w:val="clear" w:color="auto" w:fill="C0C0C0"/>
          </w:tcPr>
          <w:p w14:paraId="492CF2C2" w14:textId="77777777" w:rsidR="00A10B25" w:rsidRDefault="00A10B25">
            <w:pPr>
              <w:pStyle w:val="TAH"/>
              <w:rPr>
                <w:rFonts w:cs="Arial"/>
                <w:szCs w:val="18"/>
              </w:rPr>
            </w:pPr>
            <w:r>
              <w:rPr>
                <w:rFonts w:cs="Arial"/>
                <w:szCs w:val="18"/>
              </w:rPr>
              <w:t>Applicability</w:t>
            </w:r>
          </w:p>
        </w:tc>
      </w:tr>
      <w:tr w:rsidR="00A10B25" w14:paraId="36E23A7E" w14:textId="77777777">
        <w:trPr>
          <w:jc w:val="center"/>
        </w:trPr>
        <w:tc>
          <w:tcPr>
            <w:tcW w:w="1628" w:type="dxa"/>
          </w:tcPr>
          <w:p w14:paraId="667D2E7F" w14:textId="77777777" w:rsidR="00A10B25" w:rsidRDefault="00A10B25">
            <w:pPr>
              <w:pStyle w:val="TAL"/>
            </w:pPr>
            <w:r>
              <w:t>e</w:t>
            </w:r>
            <w:r>
              <w:rPr>
                <w:rFonts w:hint="eastAsia"/>
              </w:rPr>
              <w:t>vent</w:t>
            </w:r>
          </w:p>
        </w:tc>
        <w:tc>
          <w:tcPr>
            <w:tcW w:w="1701" w:type="dxa"/>
          </w:tcPr>
          <w:p w14:paraId="6B6DAE87" w14:textId="77777777" w:rsidR="00A10B25" w:rsidRDefault="00A10B25">
            <w:pPr>
              <w:pStyle w:val="TAL"/>
            </w:pPr>
            <w:r>
              <w:rPr>
                <w:rFonts w:hint="eastAsia"/>
              </w:rPr>
              <w:t>NwdafEvent</w:t>
            </w:r>
          </w:p>
        </w:tc>
        <w:tc>
          <w:tcPr>
            <w:tcW w:w="426" w:type="dxa"/>
          </w:tcPr>
          <w:p w14:paraId="69CD5C90" w14:textId="77777777" w:rsidR="00A10B25" w:rsidRDefault="00A10B25">
            <w:pPr>
              <w:pStyle w:val="TAL"/>
            </w:pPr>
            <w:r>
              <w:rPr>
                <w:rFonts w:hint="eastAsia"/>
              </w:rPr>
              <w:t>M</w:t>
            </w:r>
          </w:p>
        </w:tc>
        <w:tc>
          <w:tcPr>
            <w:tcW w:w="1134" w:type="dxa"/>
          </w:tcPr>
          <w:p w14:paraId="0664F355" w14:textId="77777777" w:rsidR="00A10B25" w:rsidRDefault="00A10B25">
            <w:pPr>
              <w:pStyle w:val="TAL"/>
            </w:pPr>
            <w:r>
              <w:rPr>
                <w:rFonts w:hint="eastAsia"/>
              </w:rPr>
              <w:t>1</w:t>
            </w:r>
          </w:p>
        </w:tc>
        <w:tc>
          <w:tcPr>
            <w:tcW w:w="2976" w:type="dxa"/>
          </w:tcPr>
          <w:p w14:paraId="69D7B062" w14:textId="77777777" w:rsidR="00A10B25" w:rsidRDefault="00A10B25">
            <w:pPr>
              <w:pStyle w:val="TAL"/>
              <w:rPr>
                <w:rFonts w:cs="Arial"/>
                <w:szCs w:val="18"/>
              </w:rPr>
            </w:pPr>
            <w:r>
              <w:t>Event that is subscribed.</w:t>
            </w:r>
          </w:p>
        </w:tc>
        <w:tc>
          <w:tcPr>
            <w:tcW w:w="1628" w:type="dxa"/>
          </w:tcPr>
          <w:p w14:paraId="12969BC3" w14:textId="77777777" w:rsidR="00A10B25" w:rsidRDefault="00A10B25">
            <w:pPr>
              <w:pStyle w:val="TAL"/>
              <w:rPr>
                <w:rFonts w:cs="Arial"/>
                <w:szCs w:val="18"/>
              </w:rPr>
            </w:pPr>
          </w:p>
        </w:tc>
      </w:tr>
      <w:tr w:rsidR="00A10B25" w14:paraId="12A09BE6" w14:textId="77777777">
        <w:trPr>
          <w:jc w:val="center"/>
        </w:trPr>
        <w:tc>
          <w:tcPr>
            <w:tcW w:w="1628" w:type="dxa"/>
          </w:tcPr>
          <w:p w14:paraId="1FEAC586" w14:textId="77777777" w:rsidR="00A10B25" w:rsidRDefault="00A10B25">
            <w:pPr>
              <w:pStyle w:val="TAL"/>
            </w:pPr>
            <w:r>
              <w:rPr>
                <w:lang w:eastAsia="zh-CN"/>
              </w:rPr>
              <w:t>failureCode</w:t>
            </w:r>
          </w:p>
        </w:tc>
        <w:tc>
          <w:tcPr>
            <w:tcW w:w="1701" w:type="dxa"/>
          </w:tcPr>
          <w:p w14:paraId="0CA85FAD" w14:textId="77777777" w:rsidR="00A10B25" w:rsidRDefault="00A10B25">
            <w:pPr>
              <w:pStyle w:val="TAL"/>
            </w:pPr>
            <w:r>
              <w:rPr>
                <w:lang w:eastAsia="zh-CN"/>
              </w:rPr>
              <w:t>FailureCode</w:t>
            </w:r>
          </w:p>
        </w:tc>
        <w:tc>
          <w:tcPr>
            <w:tcW w:w="426" w:type="dxa"/>
          </w:tcPr>
          <w:p w14:paraId="326B39F4" w14:textId="77777777" w:rsidR="00A10B25" w:rsidRDefault="00A10B25">
            <w:pPr>
              <w:pStyle w:val="TAL"/>
              <w:rPr>
                <w:lang w:eastAsia="zh-CN"/>
              </w:rPr>
            </w:pPr>
            <w:r>
              <w:rPr>
                <w:rFonts w:hint="eastAsia"/>
                <w:lang w:eastAsia="zh-CN"/>
              </w:rPr>
              <w:t>M</w:t>
            </w:r>
          </w:p>
        </w:tc>
        <w:tc>
          <w:tcPr>
            <w:tcW w:w="1134" w:type="dxa"/>
          </w:tcPr>
          <w:p w14:paraId="569B11C4" w14:textId="77777777" w:rsidR="00A10B25" w:rsidRDefault="00A10B25">
            <w:pPr>
              <w:pStyle w:val="TAL"/>
            </w:pPr>
            <w:r>
              <w:rPr>
                <w:rFonts w:cs="Arial"/>
                <w:szCs w:val="18"/>
                <w:lang w:eastAsia="zh-CN"/>
              </w:rPr>
              <w:t>1</w:t>
            </w:r>
          </w:p>
        </w:tc>
        <w:tc>
          <w:tcPr>
            <w:tcW w:w="2976" w:type="dxa"/>
          </w:tcPr>
          <w:p w14:paraId="16057B06" w14:textId="77777777" w:rsidR="00A10B25" w:rsidRDefault="00A10B25">
            <w:pPr>
              <w:pStyle w:val="TAL"/>
              <w:rPr>
                <w:rFonts w:cs="Arial"/>
                <w:szCs w:val="18"/>
              </w:rPr>
            </w:pPr>
            <w:r>
              <w:rPr>
                <w:rFonts w:eastAsia="Times New Roman" w:cs="Arial"/>
                <w:szCs w:val="18"/>
              </w:rPr>
              <w:t>Identifies the failure reason.</w:t>
            </w:r>
          </w:p>
        </w:tc>
        <w:tc>
          <w:tcPr>
            <w:tcW w:w="1628" w:type="dxa"/>
          </w:tcPr>
          <w:p w14:paraId="6B4D6174" w14:textId="77777777" w:rsidR="00A10B25" w:rsidRDefault="00A10B25">
            <w:pPr>
              <w:pStyle w:val="TAL"/>
              <w:rPr>
                <w:rFonts w:cs="Arial"/>
                <w:szCs w:val="18"/>
              </w:rPr>
            </w:pPr>
          </w:p>
        </w:tc>
      </w:tr>
    </w:tbl>
    <w:p w14:paraId="36898AAA" w14:textId="77777777" w:rsidR="00A10B25" w:rsidRDefault="00A10B25">
      <w:pPr>
        <w:rPr>
          <w:lang w:val="es-ES" w:eastAsia="zh-CN"/>
        </w:rPr>
      </w:pPr>
    </w:p>
    <w:p w14:paraId="559979DE" w14:textId="77777777" w:rsidR="00A10B25" w:rsidRDefault="00A10B25">
      <w:pPr>
        <w:pStyle w:val="5"/>
      </w:pPr>
      <w:bookmarkStart w:id="13853" w:name="_Toc112951365"/>
      <w:bookmarkStart w:id="13854" w:name="_Toc113031905"/>
      <w:bookmarkStart w:id="13855" w:name="_Toc136562644"/>
      <w:bookmarkStart w:id="13856" w:name="_Toc104539242"/>
      <w:bookmarkStart w:id="13857" w:name="_Toc138754478"/>
      <w:bookmarkStart w:id="13858" w:name="_Toc114134044"/>
      <w:bookmarkStart w:id="13859" w:name="_Toc145705973"/>
      <w:bookmarkStart w:id="13860" w:name="_Toc148522887"/>
      <w:bookmarkStart w:id="13861" w:name="_Toc120702545"/>
      <w:bookmarkStart w:id="13862" w:name="_Toc164921075"/>
      <w:bookmarkStart w:id="13863" w:name="_Toc170120617"/>
      <w:bookmarkStart w:id="13864" w:name="_Toc175858862"/>
      <w:bookmarkStart w:id="13865" w:name="_Toc175859935"/>
      <w:bookmarkStart w:id="13866" w:name="_Toc180606225"/>
      <w:bookmarkStart w:id="13867" w:name="_Toc185517486"/>
      <w:bookmarkStart w:id="13868" w:name="_Toc191576538"/>
      <w:bookmarkStart w:id="13869" w:name="_Toc191577278"/>
      <w:bookmarkStart w:id="13870" w:name="_Toc192880348"/>
      <w:bookmarkStart w:id="13871" w:name="_Toc195815237"/>
      <w:bookmarkStart w:id="13872" w:name="_Toc199453204"/>
      <w:r>
        <w:t>5.4.6.2.8</w:t>
      </w:r>
      <w:r>
        <w:tab/>
        <w:t>Type MLModelAddr</w:t>
      </w:r>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p>
    <w:p w14:paraId="7BE518E1" w14:textId="77777777" w:rsidR="00A10B25" w:rsidRDefault="00A10B25">
      <w:pPr>
        <w:pStyle w:val="TH"/>
      </w:pPr>
      <w:r>
        <w:t>Table 5.4.6.2.8-1: Definition of type MLModelAddr</w:t>
      </w:r>
    </w:p>
    <w:tbl>
      <w:tblPr>
        <w:tblW w:w="949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A10B25" w14:paraId="257381F0" w14:textId="77777777">
        <w:trPr>
          <w:jc w:val="center"/>
        </w:trPr>
        <w:tc>
          <w:tcPr>
            <w:tcW w:w="1628" w:type="dxa"/>
            <w:tcBorders>
              <w:top w:val="single" w:sz="6" w:space="0" w:color="auto"/>
              <w:left w:val="single" w:sz="6" w:space="0" w:color="auto"/>
              <w:bottom w:val="single" w:sz="6" w:space="0" w:color="auto"/>
              <w:right w:val="single" w:sz="6" w:space="0" w:color="auto"/>
            </w:tcBorders>
            <w:shd w:val="clear" w:color="auto" w:fill="C0C0C0"/>
          </w:tcPr>
          <w:p w14:paraId="1EF86AC6" w14:textId="77777777" w:rsidR="00A10B25" w:rsidRDefault="00A10B25">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3B24EB4C" w14:textId="77777777" w:rsidR="00A10B25" w:rsidRDefault="00A10B25">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12639363" w14:textId="77777777" w:rsidR="00A10B25" w:rsidRDefault="00A10B2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1119E91A" w14:textId="77777777" w:rsidR="00A10B25" w:rsidRDefault="00A10B25">
            <w:pPr>
              <w:pStyle w:val="TAH"/>
            </w:pPr>
            <w:r>
              <w:t>Cardinality</w:t>
            </w:r>
          </w:p>
        </w:tc>
        <w:tc>
          <w:tcPr>
            <w:tcW w:w="2976" w:type="dxa"/>
            <w:tcBorders>
              <w:top w:val="single" w:sz="6" w:space="0" w:color="auto"/>
              <w:left w:val="single" w:sz="6" w:space="0" w:color="auto"/>
              <w:bottom w:val="single" w:sz="6" w:space="0" w:color="auto"/>
              <w:right w:val="single" w:sz="6" w:space="0" w:color="auto"/>
            </w:tcBorders>
            <w:shd w:val="clear" w:color="auto" w:fill="C0C0C0"/>
          </w:tcPr>
          <w:p w14:paraId="2A103D66" w14:textId="77777777" w:rsidR="00A10B25" w:rsidRDefault="00A10B25">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4C103950" w14:textId="77777777" w:rsidR="00A10B25" w:rsidRDefault="00A10B25">
            <w:pPr>
              <w:pStyle w:val="TAH"/>
              <w:rPr>
                <w:rFonts w:cs="Arial"/>
                <w:szCs w:val="18"/>
              </w:rPr>
            </w:pPr>
            <w:r>
              <w:rPr>
                <w:rFonts w:cs="Arial"/>
                <w:szCs w:val="18"/>
              </w:rPr>
              <w:t>Applicability</w:t>
            </w:r>
          </w:p>
        </w:tc>
      </w:tr>
      <w:tr w:rsidR="00A10B25" w14:paraId="6DCC4597"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5B4C9FCA" w14:textId="77777777" w:rsidR="00A10B25" w:rsidRDefault="00A10B25">
            <w:pPr>
              <w:pStyle w:val="TAL"/>
            </w:pPr>
            <w:r>
              <w:t>mLModelUrl</w:t>
            </w:r>
          </w:p>
        </w:tc>
        <w:tc>
          <w:tcPr>
            <w:tcW w:w="1701" w:type="dxa"/>
            <w:tcBorders>
              <w:top w:val="single" w:sz="6" w:space="0" w:color="auto"/>
              <w:left w:val="single" w:sz="6" w:space="0" w:color="auto"/>
              <w:bottom w:val="single" w:sz="6" w:space="0" w:color="auto"/>
              <w:right w:val="single" w:sz="6" w:space="0" w:color="auto"/>
            </w:tcBorders>
          </w:tcPr>
          <w:p w14:paraId="259AECCA" w14:textId="77777777" w:rsidR="00A10B25" w:rsidRDefault="00A10B25">
            <w:pPr>
              <w:pStyle w:val="TAL"/>
            </w:pPr>
            <w:r>
              <w:t>Uri</w:t>
            </w:r>
          </w:p>
        </w:tc>
        <w:tc>
          <w:tcPr>
            <w:tcW w:w="426" w:type="dxa"/>
            <w:tcBorders>
              <w:top w:val="single" w:sz="6" w:space="0" w:color="auto"/>
              <w:left w:val="single" w:sz="6" w:space="0" w:color="auto"/>
              <w:bottom w:val="single" w:sz="6" w:space="0" w:color="auto"/>
              <w:right w:val="single" w:sz="6" w:space="0" w:color="auto"/>
            </w:tcBorders>
          </w:tcPr>
          <w:p w14:paraId="437AC425" w14:textId="77777777" w:rsidR="00A10B25" w:rsidRDefault="00A10B25">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57C39336"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04F35B4F" w14:textId="77777777" w:rsidR="00A10B25" w:rsidRDefault="00A10B25">
            <w:pPr>
              <w:pStyle w:val="TAL"/>
            </w:pPr>
            <w:r>
              <w:t>The URL of the ML Model file.</w:t>
            </w:r>
          </w:p>
          <w:p w14:paraId="07028D44" w14:textId="77777777" w:rsidR="00A10B25" w:rsidRDefault="00A10B25">
            <w:pPr>
              <w:pStyle w:val="TAL"/>
              <w:rPr>
                <w:rFonts w:cs="Arial"/>
                <w:szCs w:val="18"/>
              </w:rPr>
            </w:pPr>
            <w:r>
              <w:t>(NOTE)</w:t>
            </w:r>
          </w:p>
        </w:tc>
        <w:tc>
          <w:tcPr>
            <w:tcW w:w="1628" w:type="dxa"/>
            <w:tcBorders>
              <w:top w:val="single" w:sz="6" w:space="0" w:color="auto"/>
              <w:left w:val="single" w:sz="6" w:space="0" w:color="auto"/>
              <w:bottom w:val="single" w:sz="6" w:space="0" w:color="auto"/>
              <w:right w:val="single" w:sz="6" w:space="0" w:color="auto"/>
            </w:tcBorders>
          </w:tcPr>
          <w:p w14:paraId="07F21996" w14:textId="77777777" w:rsidR="00A10B25" w:rsidRDefault="00A10B25">
            <w:pPr>
              <w:pStyle w:val="TAL"/>
              <w:rPr>
                <w:rFonts w:cs="Arial"/>
                <w:szCs w:val="18"/>
              </w:rPr>
            </w:pPr>
          </w:p>
        </w:tc>
      </w:tr>
      <w:tr w:rsidR="00A10B25" w14:paraId="74024D78" w14:textId="77777777">
        <w:trPr>
          <w:jc w:val="center"/>
        </w:trPr>
        <w:tc>
          <w:tcPr>
            <w:tcW w:w="1628" w:type="dxa"/>
            <w:tcBorders>
              <w:top w:val="single" w:sz="6" w:space="0" w:color="auto"/>
              <w:left w:val="single" w:sz="6" w:space="0" w:color="auto"/>
              <w:bottom w:val="single" w:sz="6" w:space="0" w:color="auto"/>
              <w:right w:val="single" w:sz="6" w:space="0" w:color="auto"/>
            </w:tcBorders>
          </w:tcPr>
          <w:p w14:paraId="5096913D" w14:textId="77777777" w:rsidR="00A10B25" w:rsidRDefault="00A10B25">
            <w:pPr>
              <w:pStyle w:val="TAL"/>
            </w:pPr>
            <w:r>
              <w:rPr>
                <w:lang w:val="en-US" w:eastAsia="zh-CN"/>
              </w:rPr>
              <w:t>mlFileFqdn</w:t>
            </w:r>
          </w:p>
        </w:tc>
        <w:tc>
          <w:tcPr>
            <w:tcW w:w="1701" w:type="dxa"/>
            <w:tcBorders>
              <w:top w:val="single" w:sz="6" w:space="0" w:color="auto"/>
              <w:left w:val="single" w:sz="6" w:space="0" w:color="auto"/>
              <w:bottom w:val="single" w:sz="6" w:space="0" w:color="auto"/>
              <w:right w:val="single" w:sz="6" w:space="0" w:color="auto"/>
            </w:tcBorders>
          </w:tcPr>
          <w:p w14:paraId="3B4EB3D7" w14:textId="77777777" w:rsidR="00A10B25" w:rsidRDefault="00A10B25">
            <w:pPr>
              <w:pStyle w:val="TAL"/>
            </w:pPr>
            <w:r>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55562169" w14:textId="77777777" w:rsidR="00A10B25" w:rsidRDefault="00A10B25">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644C9EF8" w14:textId="77777777" w:rsidR="00A10B25" w:rsidRDefault="00A10B25">
            <w:pPr>
              <w:pStyle w:val="TAL"/>
            </w:pPr>
            <w:r>
              <w:rPr>
                <w:rFonts w:cs="Arial"/>
                <w:szCs w:val="18"/>
                <w:lang w:eastAsia="zh-CN"/>
              </w:rPr>
              <w:t>0..1</w:t>
            </w:r>
          </w:p>
        </w:tc>
        <w:tc>
          <w:tcPr>
            <w:tcW w:w="2976" w:type="dxa"/>
            <w:tcBorders>
              <w:top w:val="single" w:sz="6" w:space="0" w:color="auto"/>
              <w:left w:val="single" w:sz="6" w:space="0" w:color="auto"/>
              <w:bottom w:val="single" w:sz="6" w:space="0" w:color="auto"/>
              <w:right w:val="single" w:sz="6" w:space="0" w:color="auto"/>
            </w:tcBorders>
          </w:tcPr>
          <w:p w14:paraId="6A7B8A86" w14:textId="77777777" w:rsidR="00A10B25" w:rsidRDefault="00A10B25">
            <w:pPr>
              <w:pStyle w:val="TAL"/>
              <w:rPr>
                <w:lang w:eastAsia="ja-JP"/>
              </w:rPr>
            </w:pPr>
            <w:r>
              <w:t xml:space="preserve">The </w:t>
            </w:r>
            <w:r>
              <w:rPr>
                <w:lang w:eastAsia="ja-JP"/>
              </w:rPr>
              <w:t>FQDN</w:t>
            </w:r>
            <w:r>
              <w:t xml:space="preserve"> of the ML Model file</w:t>
            </w:r>
            <w:r>
              <w:rPr>
                <w:lang w:eastAsia="ja-JP"/>
              </w:rPr>
              <w:t>.</w:t>
            </w:r>
          </w:p>
          <w:p w14:paraId="207E2F3E" w14:textId="77777777" w:rsidR="00A10B25" w:rsidRDefault="00A10B25">
            <w:pPr>
              <w:pStyle w:val="TAL"/>
            </w:pPr>
            <w:r>
              <w:t>(NOTE)</w:t>
            </w:r>
          </w:p>
        </w:tc>
        <w:tc>
          <w:tcPr>
            <w:tcW w:w="1628" w:type="dxa"/>
            <w:tcBorders>
              <w:top w:val="single" w:sz="6" w:space="0" w:color="auto"/>
              <w:left w:val="single" w:sz="6" w:space="0" w:color="auto"/>
              <w:bottom w:val="single" w:sz="6" w:space="0" w:color="auto"/>
              <w:right w:val="single" w:sz="6" w:space="0" w:color="auto"/>
            </w:tcBorders>
          </w:tcPr>
          <w:p w14:paraId="23E71AF7" w14:textId="77777777" w:rsidR="00A10B25" w:rsidRDefault="00A10B25">
            <w:pPr>
              <w:pStyle w:val="TAL"/>
              <w:rPr>
                <w:rFonts w:cs="Arial"/>
                <w:szCs w:val="18"/>
              </w:rPr>
            </w:pPr>
          </w:p>
        </w:tc>
      </w:tr>
      <w:tr w:rsidR="00A10B25" w14:paraId="489E3BB8" w14:textId="77777777">
        <w:trPr>
          <w:jc w:val="center"/>
        </w:trPr>
        <w:tc>
          <w:tcPr>
            <w:tcW w:w="9493" w:type="dxa"/>
            <w:gridSpan w:val="6"/>
            <w:tcBorders>
              <w:top w:val="single" w:sz="6" w:space="0" w:color="auto"/>
              <w:left w:val="single" w:sz="6" w:space="0" w:color="auto"/>
              <w:bottom w:val="single" w:sz="6" w:space="0" w:color="auto"/>
              <w:right w:val="single" w:sz="6" w:space="0" w:color="auto"/>
            </w:tcBorders>
          </w:tcPr>
          <w:p w14:paraId="1762E956" w14:textId="77777777" w:rsidR="00A10B25" w:rsidRDefault="00A10B25">
            <w:pPr>
              <w:pStyle w:val="TAN"/>
              <w:rPr>
                <w:rFonts w:cs="Arial"/>
                <w:szCs w:val="18"/>
              </w:rPr>
            </w:pPr>
            <w:r>
              <w:rPr>
                <w:rFonts w:cs="Arial"/>
                <w:szCs w:val="18"/>
              </w:rPr>
              <w:t>NOTE:</w:t>
            </w:r>
            <w:r>
              <w:rPr>
                <w:rFonts w:cs="Arial"/>
                <w:szCs w:val="18"/>
              </w:rPr>
              <w:tab/>
              <w:t>One of the "</w:t>
            </w:r>
            <w:r>
              <w:t>mLModelUrl</w:t>
            </w:r>
            <w:r>
              <w:rPr>
                <w:rFonts w:cs="Arial"/>
                <w:szCs w:val="18"/>
              </w:rPr>
              <w:t>" and "</w:t>
            </w:r>
            <w:r>
              <w:rPr>
                <w:lang w:val="en-US" w:eastAsia="zh-CN"/>
              </w:rPr>
              <w:t>mlFileFqdn</w:t>
            </w:r>
            <w:r>
              <w:rPr>
                <w:rFonts w:cs="Arial"/>
                <w:szCs w:val="18"/>
              </w:rPr>
              <w:t>" attributes shall be provided.</w:t>
            </w:r>
          </w:p>
        </w:tc>
      </w:tr>
    </w:tbl>
    <w:p w14:paraId="7965D383" w14:textId="77777777" w:rsidR="00A10B25" w:rsidRDefault="00A10B25">
      <w:pPr>
        <w:rPr>
          <w:rFonts w:hint="eastAsia"/>
          <w:lang w:val="es-ES" w:eastAsia="zh-CN"/>
        </w:rPr>
      </w:pPr>
    </w:p>
    <w:p w14:paraId="52704857" w14:textId="77777777" w:rsidR="00A10B25" w:rsidRDefault="00A10B25" w:rsidP="0076721C">
      <w:pPr>
        <w:pStyle w:val="5"/>
      </w:pPr>
      <w:bookmarkStart w:id="13873" w:name="_Toc138754480"/>
      <w:bookmarkStart w:id="13874" w:name="_Toc145705975"/>
      <w:bookmarkStart w:id="13875" w:name="_Toc136562646"/>
      <w:bookmarkStart w:id="13876" w:name="_Toc94064454"/>
      <w:bookmarkStart w:id="13877" w:name="_Toc113031906"/>
      <w:bookmarkStart w:id="13878" w:name="_Toc104539243"/>
      <w:bookmarkStart w:id="13879" w:name="_Toc148522888"/>
      <w:bookmarkStart w:id="13880" w:name="_Toc98233856"/>
      <w:bookmarkStart w:id="13881" w:name="_Toc101244637"/>
      <w:bookmarkStart w:id="13882" w:name="_Toc114134045"/>
      <w:bookmarkStart w:id="13883" w:name="_Toc85557253"/>
      <w:bookmarkStart w:id="13884" w:name="_Toc120702546"/>
      <w:bookmarkStart w:id="13885" w:name="_Toc85553154"/>
      <w:bookmarkStart w:id="13886" w:name="_Toc88667763"/>
      <w:bookmarkStart w:id="13887" w:name="_Toc83233225"/>
      <w:bookmarkStart w:id="13888" w:name="_Toc112951366"/>
      <w:bookmarkStart w:id="13889" w:name="_Toc90656048"/>
      <w:bookmarkStart w:id="13890" w:name="_Toc164921076"/>
      <w:bookmarkStart w:id="13891" w:name="_Toc170120618"/>
      <w:bookmarkStart w:id="13892" w:name="_Toc175858863"/>
      <w:bookmarkStart w:id="13893" w:name="_Toc175859936"/>
      <w:bookmarkStart w:id="13894" w:name="_Toc180606226"/>
      <w:bookmarkStart w:id="13895" w:name="_Toc185517487"/>
      <w:bookmarkStart w:id="13896" w:name="_Toc191576539"/>
      <w:bookmarkStart w:id="13897" w:name="_Toc191577279"/>
      <w:bookmarkStart w:id="13898" w:name="_Toc192880349"/>
      <w:bookmarkStart w:id="13899" w:name="_Toc195815238"/>
      <w:bookmarkStart w:id="13900" w:name="_Toc199453205"/>
      <w:r>
        <w:t>5.4.6.2.9</w:t>
      </w:r>
      <w:r>
        <w:tab/>
        <w:t>Void</w:t>
      </w:r>
      <w:bookmarkEnd w:id="13879"/>
      <w:bookmarkEnd w:id="13890"/>
      <w:bookmarkEnd w:id="13891"/>
      <w:bookmarkEnd w:id="13892"/>
      <w:bookmarkEnd w:id="13893"/>
      <w:bookmarkEnd w:id="13894"/>
      <w:bookmarkEnd w:id="13895"/>
      <w:bookmarkEnd w:id="13896"/>
      <w:bookmarkEnd w:id="13897"/>
      <w:bookmarkEnd w:id="13898"/>
      <w:bookmarkEnd w:id="13899"/>
      <w:bookmarkEnd w:id="13900"/>
    </w:p>
    <w:p w14:paraId="38942645" w14:textId="77777777" w:rsidR="00A10B25" w:rsidRDefault="00A10B25"/>
    <w:p w14:paraId="268CF7CA" w14:textId="77777777" w:rsidR="00A10B25" w:rsidRDefault="00A10B25">
      <w:pPr>
        <w:pStyle w:val="5"/>
      </w:pPr>
      <w:bookmarkStart w:id="13901" w:name="_Toc148522889"/>
      <w:bookmarkStart w:id="13902" w:name="_Toc136562647"/>
      <w:bookmarkStart w:id="13903" w:name="_Toc145705976"/>
      <w:bookmarkStart w:id="13904" w:name="_Toc138754481"/>
      <w:bookmarkStart w:id="13905" w:name="_Toc164921077"/>
      <w:bookmarkStart w:id="13906" w:name="_Toc170120619"/>
      <w:bookmarkStart w:id="13907" w:name="_Toc175858864"/>
      <w:bookmarkStart w:id="13908" w:name="_Toc175859937"/>
      <w:bookmarkStart w:id="13909" w:name="_Toc180606227"/>
      <w:bookmarkStart w:id="13910" w:name="_Toc185517488"/>
      <w:bookmarkStart w:id="13911" w:name="_Toc191576540"/>
      <w:bookmarkStart w:id="13912" w:name="_Toc191577280"/>
      <w:bookmarkStart w:id="13913" w:name="_Toc192880350"/>
      <w:bookmarkStart w:id="13914" w:name="_Toc195815239"/>
      <w:bookmarkStart w:id="13915" w:name="_Toc199453206"/>
      <w:bookmarkEnd w:id="13873"/>
      <w:bookmarkEnd w:id="13874"/>
      <w:bookmarkEnd w:id="13875"/>
      <w:r>
        <w:t>5.4.6.2.10</w:t>
      </w:r>
      <w:r>
        <w:tab/>
        <w:t>Void</w:t>
      </w:r>
      <w:bookmarkEnd w:id="13901"/>
      <w:bookmarkEnd w:id="13905"/>
      <w:bookmarkEnd w:id="13906"/>
      <w:bookmarkEnd w:id="13907"/>
      <w:bookmarkEnd w:id="13908"/>
      <w:bookmarkEnd w:id="13909"/>
      <w:bookmarkEnd w:id="13910"/>
      <w:bookmarkEnd w:id="13911"/>
      <w:bookmarkEnd w:id="13912"/>
      <w:bookmarkEnd w:id="13913"/>
      <w:bookmarkEnd w:id="13914"/>
      <w:bookmarkEnd w:id="13915"/>
    </w:p>
    <w:p w14:paraId="090AC83E" w14:textId="77777777" w:rsidR="00A10B25" w:rsidRDefault="00A10B25"/>
    <w:p w14:paraId="7DB0AD6A" w14:textId="77777777" w:rsidR="00A10B25" w:rsidRDefault="00A10B25">
      <w:pPr>
        <w:pStyle w:val="5"/>
      </w:pPr>
      <w:bookmarkStart w:id="13916" w:name="_Toc148522890"/>
      <w:bookmarkStart w:id="13917" w:name="_Toc164921078"/>
      <w:bookmarkStart w:id="13918" w:name="_Toc170120620"/>
      <w:bookmarkStart w:id="13919" w:name="_Toc175858865"/>
      <w:bookmarkStart w:id="13920" w:name="_Toc175859938"/>
      <w:bookmarkStart w:id="13921" w:name="_Toc180606228"/>
      <w:bookmarkStart w:id="13922" w:name="_Toc185517489"/>
      <w:bookmarkStart w:id="13923" w:name="_Toc191576541"/>
      <w:bookmarkStart w:id="13924" w:name="_Toc191577281"/>
      <w:bookmarkStart w:id="13925" w:name="_Toc192880351"/>
      <w:bookmarkStart w:id="13926" w:name="_Toc195815240"/>
      <w:bookmarkStart w:id="13927" w:name="_Toc199453207"/>
      <w:r>
        <w:lastRenderedPageBreak/>
        <w:t>5.4.6.2.11</w:t>
      </w:r>
      <w:r>
        <w:tab/>
        <w:t>Type MLRepEventCondition</w:t>
      </w:r>
      <w:bookmarkEnd w:id="13902"/>
      <w:bookmarkEnd w:id="13903"/>
      <w:bookmarkEnd w:id="13904"/>
      <w:bookmarkEnd w:id="13916"/>
      <w:bookmarkEnd w:id="13917"/>
      <w:bookmarkEnd w:id="13918"/>
      <w:bookmarkEnd w:id="13919"/>
      <w:bookmarkEnd w:id="13920"/>
      <w:bookmarkEnd w:id="13921"/>
      <w:bookmarkEnd w:id="13922"/>
      <w:bookmarkEnd w:id="13923"/>
      <w:bookmarkEnd w:id="13924"/>
      <w:bookmarkEnd w:id="13925"/>
      <w:bookmarkEnd w:id="13926"/>
      <w:bookmarkEnd w:id="13927"/>
    </w:p>
    <w:p w14:paraId="7DF9B2DD" w14:textId="77777777" w:rsidR="00A10B25" w:rsidRDefault="00A10B25">
      <w:pPr>
        <w:pStyle w:val="TH"/>
      </w:pPr>
      <w:bookmarkStart w:id="13928" w:name="_Toc136562648"/>
      <w:bookmarkStart w:id="13929" w:name="_Toc138754482"/>
      <w:r>
        <w:t>Table 5.4.6.2.11-1: Definition of type MLRepEventCondition</w:t>
      </w:r>
    </w:p>
    <w:tbl>
      <w:tblPr>
        <w:tblW w:w="958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9"/>
        <w:gridCol w:w="1417"/>
        <w:gridCol w:w="567"/>
        <w:gridCol w:w="1134"/>
        <w:gridCol w:w="3262"/>
        <w:gridCol w:w="1226"/>
      </w:tblGrid>
      <w:tr w:rsidR="00A10B25" w14:paraId="723BE2D6" w14:textId="77777777">
        <w:trPr>
          <w:jc w:val="center"/>
        </w:trPr>
        <w:tc>
          <w:tcPr>
            <w:tcW w:w="1979" w:type="dxa"/>
            <w:tcBorders>
              <w:top w:val="single" w:sz="6" w:space="0" w:color="auto"/>
              <w:left w:val="single" w:sz="6" w:space="0" w:color="auto"/>
              <w:bottom w:val="single" w:sz="6" w:space="0" w:color="auto"/>
              <w:right w:val="single" w:sz="6" w:space="0" w:color="auto"/>
            </w:tcBorders>
            <w:shd w:val="clear" w:color="auto" w:fill="C0C0C0"/>
          </w:tcPr>
          <w:p w14:paraId="6F4FD61F" w14:textId="77777777" w:rsidR="00A10B25" w:rsidRDefault="00A10B25">
            <w:pPr>
              <w:pStyle w:val="TAH"/>
              <w:ind w:left="400" w:hanging="400"/>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tcPr>
          <w:p w14:paraId="64D65D9E" w14:textId="77777777" w:rsidR="00A10B25" w:rsidRDefault="00A10B25">
            <w:pPr>
              <w:pStyle w:val="TAH"/>
              <w:ind w:left="400" w:hanging="400"/>
            </w:pPr>
            <w:r>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tcPr>
          <w:p w14:paraId="0ED26811" w14:textId="77777777" w:rsidR="00A10B25" w:rsidRDefault="00A10B25">
            <w:pPr>
              <w:pStyle w:val="TAH"/>
              <w:ind w:left="400" w:hanging="400"/>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8EF1CB5" w14:textId="77777777" w:rsidR="00A10B25" w:rsidRDefault="00A10B25">
            <w:pPr>
              <w:pStyle w:val="TAH"/>
              <w:ind w:left="400" w:hanging="400"/>
            </w:pPr>
            <w:r>
              <w:t>Cardinality</w:t>
            </w:r>
          </w:p>
        </w:tc>
        <w:tc>
          <w:tcPr>
            <w:tcW w:w="3262" w:type="dxa"/>
            <w:tcBorders>
              <w:top w:val="single" w:sz="6" w:space="0" w:color="auto"/>
              <w:left w:val="single" w:sz="6" w:space="0" w:color="auto"/>
              <w:bottom w:val="single" w:sz="6" w:space="0" w:color="auto"/>
              <w:right w:val="single" w:sz="6" w:space="0" w:color="auto"/>
            </w:tcBorders>
            <w:shd w:val="clear" w:color="auto" w:fill="C0C0C0"/>
          </w:tcPr>
          <w:p w14:paraId="482D1F00" w14:textId="77777777" w:rsidR="00A10B25" w:rsidRDefault="00A10B25">
            <w:pPr>
              <w:pStyle w:val="TAH"/>
              <w:ind w:left="400" w:hanging="400"/>
              <w:rPr>
                <w:rFonts w:cs="Arial"/>
                <w:szCs w:val="18"/>
              </w:rPr>
            </w:pPr>
            <w:r>
              <w:rPr>
                <w:rFonts w:cs="Arial"/>
                <w:szCs w:val="18"/>
              </w:rPr>
              <w:t>Description</w:t>
            </w:r>
          </w:p>
        </w:tc>
        <w:tc>
          <w:tcPr>
            <w:tcW w:w="1226" w:type="dxa"/>
            <w:tcBorders>
              <w:top w:val="single" w:sz="6" w:space="0" w:color="auto"/>
              <w:left w:val="single" w:sz="6" w:space="0" w:color="auto"/>
              <w:bottom w:val="single" w:sz="6" w:space="0" w:color="auto"/>
              <w:right w:val="single" w:sz="6" w:space="0" w:color="auto"/>
            </w:tcBorders>
            <w:shd w:val="clear" w:color="auto" w:fill="C0C0C0"/>
          </w:tcPr>
          <w:p w14:paraId="060B1546" w14:textId="77777777" w:rsidR="00A10B25" w:rsidRDefault="00A10B25">
            <w:pPr>
              <w:pStyle w:val="TAH"/>
              <w:ind w:left="400" w:hanging="400"/>
              <w:rPr>
                <w:rFonts w:cs="Arial"/>
                <w:szCs w:val="18"/>
              </w:rPr>
            </w:pPr>
            <w:r>
              <w:rPr>
                <w:rFonts w:cs="Arial"/>
                <w:szCs w:val="18"/>
              </w:rPr>
              <w:t>Applicability</w:t>
            </w:r>
          </w:p>
        </w:tc>
      </w:tr>
      <w:tr w:rsidR="00183EFC" w14:paraId="15167D6E" w14:textId="77777777">
        <w:trPr>
          <w:jc w:val="center"/>
        </w:trPr>
        <w:tc>
          <w:tcPr>
            <w:tcW w:w="1979" w:type="dxa"/>
            <w:tcBorders>
              <w:top w:val="single" w:sz="6" w:space="0" w:color="auto"/>
              <w:left w:val="single" w:sz="6" w:space="0" w:color="auto"/>
              <w:bottom w:val="single" w:sz="4" w:space="0" w:color="auto"/>
              <w:right w:val="single" w:sz="6" w:space="0" w:color="auto"/>
            </w:tcBorders>
          </w:tcPr>
          <w:p w14:paraId="7E7A25B9" w14:textId="46538193" w:rsidR="00183EFC" w:rsidRDefault="00183EFC" w:rsidP="00183EFC">
            <w:pPr>
              <w:pStyle w:val="TAL"/>
            </w:pPr>
            <w:r>
              <w:t>mlTrainRound</w:t>
            </w:r>
          </w:p>
        </w:tc>
        <w:tc>
          <w:tcPr>
            <w:tcW w:w="1417" w:type="dxa"/>
            <w:tcBorders>
              <w:top w:val="single" w:sz="6" w:space="0" w:color="auto"/>
              <w:left w:val="single" w:sz="6" w:space="0" w:color="auto"/>
              <w:bottom w:val="single" w:sz="4" w:space="0" w:color="auto"/>
              <w:right w:val="single" w:sz="6" w:space="0" w:color="auto"/>
            </w:tcBorders>
          </w:tcPr>
          <w:p w14:paraId="2F061F52" w14:textId="42D24CBA" w:rsidR="00183EFC" w:rsidRDefault="00183EFC" w:rsidP="00183EFC">
            <w:pPr>
              <w:pStyle w:val="TAL"/>
            </w:pPr>
            <w:r>
              <w:t>Uinteger</w:t>
            </w:r>
          </w:p>
        </w:tc>
        <w:tc>
          <w:tcPr>
            <w:tcW w:w="567" w:type="dxa"/>
            <w:tcBorders>
              <w:top w:val="single" w:sz="6" w:space="0" w:color="auto"/>
              <w:left w:val="single" w:sz="6" w:space="0" w:color="auto"/>
              <w:bottom w:val="single" w:sz="4" w:space="0" w:color="auto"/>
              <w:right w:val="single" w:sz="6" w:space="0" w:color="auto"/>
            </w:tcBorders>
          </w:tcPr>
          <w:p w14:paraId="18EC6309" w14:textId="727D6478" w:rsidR="00183EFC" w:rsidRDefault="00183EFC" w:rsidP="00183EFC">
            <w:pPr>
              <w:pStyle w:val="TAC"/>
            </w:pPr>
            <w:r>
              <w:t>O</w:t>
            </w:r>
          </w:p>
        </w:tc>
        <w:tc>
          <w:tcPr>
            <w:tcW w:w="1134" w:type="dxa"/>
            <w:tcBorders>
              <w:top w:val="single" w:sz="6" w:space="0" w:color="auto"/>
              <w:left w:val="single" w:sz="6" w:space="0" w:color="auto"/>
              <w:bottom w:val="single" w:sz="4" w:space="0" w:color="auto"/>
              <w:right w:val="single" w:sz="6" w:space="0" w:color="auto"/>
            </w:tcBorders>
          </w:tcPr>
          <w:p w14:paraId="3FA0065E" w14:textId="1E7AFEF3" w:rsidR="00183EFC" w:rsidRDefault="00183EFC" w:rsidP="00183EFC">
            <w:pPr>
              <w:pStyle w:val="TAL"/>
            </w:pPr>
            <w:r>
              <w:rPr>
                <w:rFonts w:cs="Arial"/>
                <w:szCs w:val="18"/>
                <w:lang w:eastAsia="zh-CN"/>
              </w:rPr>
              <w:t>0..1</w:t>
            </w:r>
          </w:p>
        </w:tc>
        <w:tc>
          <w:tcPr>
            <w:tcW w:w="3262" w:type="dxa"/>
            <w:tcBorders>
              <w:top w:val="single" w:sz="6" w:space="0" w:color="auto"/>
              <w:left w:val="single" w:sz="6" w:space="0" w:color="auto"/>
              <w:bottom w:val="single" w:sz="4" w:space="0" w:color="auto"/>
              <w:right w:val="single" w:sz="6" w:space="0" w:color="auto"/>
            </w:tcBorders>
          </w:tcPr>
          <w:p w14:paraId="79212387" w14:textId="5AD30594" w:rsidR="00183EFC" w:rsidRDefault="00183EFC" w:rsidP="00183EFC">
            <w:pPr>
              <w:pStyle w:val="TAL"/>
            </w:pPr>
            <w:r>
              <w:t>Indicates that the NWDAF shall report the metric value indicated in the "modelMetric" attribute for the global ML Model each time the number of the training round is a multiple of the value set for this attribute.</w:t>
            </w:r>
          </w:p>
        </w:tc>
        <w:tc>
          <w:tcPr>
            <w:tcW w:w="1226" w:type="dxa"/>
            <w:tcBorders>
              <w:top w:val="single" w:sz="6" w:space="0" w:color="auto"/>
              <w:left w:val="single" w:sz="6" w:space="0" w:color="auto"/>
              <w:bottom w:val="single" w:sz="4" w:space="0" w:color="auto"/>
              <w:right w:val="single" w:sz="6" w:space="0" w:color="auto"/>
            </w:tcBorders>
          </w:tcPr>
          <w:p w14:paraId="075CFB04" w14:textId="77777777" w:rsidR="00183EFC" w:rsidRDefault="00183EFC" w:rsidP="00183EFC">
            <w:pPr>
              <w:pStyle w:val="TAL"/>
              <w:rPr>
                <w:rFonts w:cs="Arial"/>
                <w:szCs w:val="18"/>
              </w:rPr>
            </w:pPr>
          </w:p>
        </w:tc>
      </w:tr>
      <w:tr w:rsidR="00183EFC" w14:paraId="77404C63" w14:textId="77777777">
        <w:trPr>
          <w:jc w:val="center"/>
        </w:trPr>
        <w:tc>
          <w:tcPr>
            <w:tcW w:w="1979" w:type="dxa"/>
            <w:tcBorders>
              <w:top w:val="single" w:sz="4" w:space="0" w:color="auto"/>
              <w:left w:val="single" w:sz="4" w:space="0" w:color="auto"/>
              <w:bottom w:val="single" w:sz="4" w:space="0" w:color="auto"/>
              <w:right w:val="single" w:sz="6" w:space="0" w:color="auto"/>
            </w:tcBorders>
          </w:tcPr>
          <w:p w14:paraId="1AD6A88D" w14:textId="08EA571C" w:rsidR="00183EFC" w:rsidRDefault="00183EFC" w:rsidP="00183EFC">
            <w:pPr>
              <w:pStyle w:val="TAL"/>
            </w:pPr>
            <w:r>
              <w:rPr>
                <w:lang w:eastAsia="zh-CN"/>
              </w:rPr>
              <w:t>mlTrainRepTime</w:t>
            </w:r>
          </w:p>
        </w:tc>
        <w:tc>
          <w:tcPr>
            <w:tcW w:w="1417" w:type="dxa"/>
            <w:tcBorders>
              <w:top w:val="single" w:sz="4" w:space="0" w:color="auto"/>
              <w:left w:val="single" w:sz="6" w:space="0" w:color="auto"/>
              <w:bottom w:val="single" w:sz="4" w:space="0" w:color="auto"/>
              <w:right w:val="single" w:sz="6" w:space="0" w:color="auto"/>
            </w:tcBorders>
          </w:tcPr>
          <w:p w14:paraId="380CD68E" w14:textId="5FD05755" w:rsidR="00183EFC" w:rsidRDefault="00183EFC" w:rsidP="00183EFC">
            <w:pPr>
              <w:pStyle w:val="TAL"/>
            </w:pPr>
            <w:r>
              <w:rPr>
                <w:lang w:eastAsia="zh-CN"/>
              </w:rPr>
              <w:t>TimeWindow</w:t>
            </w:r>
          </w:p>
        </w:tc>
        <w:tc>
          <w:tcPr>
            <w:tcW w:w="567" w:type="dxa"/>
            <w:tcBorders>
              <w:top w:val="single" w:sz="4" w:space="0" w:color="auto"/>
              <w:left w:val="single" w:sz="6" w:space="0" w:color="auto"/>
              <w:bottom w:val="single" w:sz="4" w:space="0" w:color="auto"/>
              <w:right w:val="single" w:sz="6" w:space="0" w:color="auto"/>
            </w:tcBorders>
          </w:tcPr>
          <w:p w14:paraId="5F8FDB4D" w14:textId="3877F89D" w:rsidR="00183EFC" w:rsidRDefault="00183EFC" w:rsidP="00183EFC">
            <w:pPr>
              <w:pStyle w:val="TAC"/>
            </w:pPr>
            <w:r>
              <w:t>O</w:t>
            </w:r>
          </w:p>
        </w:tc>
        <w:tc>
          <w:tcPr>
            <w:tcW w:w="1134" w:type="dxa"/>
            <w:tcBorders>
              <w:top w:val="single" w:sz="4" w:space="0" w:color="auto"/>
              <w:left w:val="single" w:sz="6" w:space="0" w:color="auto"/>
              <w:bottom w:val="single" w:sz="4" w:space="0" w:color="auto"/>
              <w:right w:val="single" w:sz="6" w:space="0" w:color="auto"/>
            </w:tcBorders>
          </w:tcPr>
          <w:p w14:paraId="2CDD1162" w14:textId="4C56CD69" w:rsidR="00183EFC" w:rsidRDefault="00183EFC" w:rsidP="00183EFC">
            <w:pPr>
              <w:pStyle w:val="TAL"/>
            </w:pPr>
            <w:r>
              <w:rPr>
                <w:rFonts w:cs="Arial"/>
                <w:szCs w:val="18"/>
                <w:lang w:eastAsia="zh-CN"/>
              </w:rPr>
              <w:t>0..1</w:t>
            </w:r>
          </w:p>
        </w:tc>
        <w:tc>
          <w:tcPr>
            <w:tcW w:w="3262" w:type="dxa"/>
            <w:tcBorders>
              <w:top w:val="single" w:sz="4" w:space="0" w:color="auto"/>
              <w:left w:val="single" w:sz="6" w:space="0" w:color="auto"/>
              <w:bottom w:val="single" w:sz="4" w:space="0" w:color="auto"/>
              <w:right w:val="single" w:sz="6" w:space="0" w:color="auto"/>
            </w:tcBorders>
          </w:tcPr>
          <w:p w14:paraId="37F0B278" w14:textId="7F6CE24C" w:rsidR="00183EFC" w:rsidRDefault="00183EFC" w:rsidP="00183EFC">
            <w:pPr>
              <w:pStyle w:val="TAL"/>
            </w:pPr>
            <w:r>
              <w:t>Indicates that the NWDAF shall report the metric value indicated in the "modelMetric" attribute for the global ML Model periodically, with a time interval same as the value set for this attribute.</w:t>
            </w:r>
          </w:p>
        </w:tc>
        <w:tc>
          <w:tcPr>
            <w:tcW w:w="1226" w:type="dxa"/>
            <w:tcBorders>
              <w:top w:val="single" w:sz="4" w:space="0" w:color="auto"/>
              <w:left w:val="single" w:sz="6" w:space="0" w:color="auto"/>
              <w:bottom w:val="single" w:sz="4" w:space="0" w:color="auto"/>
              <w:right w:val="single" w:sz="4" w:space="0" w:color="auto"/>
            </w:tcBorders>
          </w:tcPr>
          <w:p w14:paraId="27FB8594" w14:textId="77777777" w:rsidR="00183EFC" w:rsidRDefault="00183EFC" w:rsidP="00183EFC">
            <w:pPr>
              <w:pStyle w:val="TAL"/>
              <w:rPr>
                <w:rFonts w:cs="Arial"/>
                <w:szCs w:val="18"/>
              </w:rPr>
            </w:pPr>
          </w:p>
        </w:tc>
      </w:tr>
      <w:tr w:rsidR="00183EFC" w14:paraId="221E26E1" w14:textId="77777777">
        <w:trPr>
          <w:jc w:val="center"/>
        </w:trPr>
        <w:tc>
          <w:tcPr>
            <w:tcW w:w="1979" w:type="dxa"/>
            <w:tcBorders>
              <w:top w:val="single" w:sz="4" w:space="0" w:color="auto"/>
              <w:left w:val="single" w:sz="6" w:space="0" w:color="auto"/>
              <w:bottom w:val="single" w:sz="4" w:space="0" w:color="auto"/>
              <w:right w:val="single" w:sz="6" w:space="0" w:color="auto"/>
            </w:tcBorders>
          </w:tcPr>
          <w:p w14:paraId="78BF790F" w14:textId="19EC3FAB" w:rsidR="00183EFC" w:rsidRDefault="00183EFC" w:rsidP="00183EFC">
            <w:pPr>
              <w:pStyle w:val="TAL"/>
              <w:rPr>
                <w:lang w:eastAsia="zh-CN"/>
              </w:rPr>
            </w:pPr>
            <w:r>
              <w:rPr>
                <w:lang w:eastAsia="zh-CN"/>
              </w:rPr>
              <w:t>mlAccuracyThreshold</w:t>
            </w:r>
          </w:p>
        </w:tc>
        <w:tc>
          <w:tcPr>
            <w:tcW w:w="1417" w:type="dxa"/>
            <w:tcBorders>
              <w:top w:val="single" w:sz="4" w:space="0" w:color="auto"/>
              <w:left w:val="single" w:sz="6" w:space="0" w:color="auto"/>
              <w:bottom w:val="single" w:sz="4" w:space="0" w:color="auto"/>
              <w:right w:val="single" w:sz="6" w:space="0" w:color="auto"/>
            </w:tcBorders>
          </w:tcPr>
          <w:p w14:paraId="64942178" w14:textId="6FD24CB3" w:rsidR="00183EFC" w:rsidRDefault="00183EFC" w:rsidP="00183EFC">
            <w:pPr>
              <w:pStyle w:val="TAL"/>
              <w:tabs>
                <w:tab w:val="left" w:pos="874"/>
              </w:tabs>
              <w:rPr>
                <w:lang w:eastAsia="zh-CN"/>
              </w:rPr>
            </w:pPr>
            <w:r>
              <w:rPr>
                <w:lang w:eastAsia="zh-CN"/>
              </w:rPr>
              <w:t>Uinteger</w:t>
            </w:r>
          </w:p>
        </w:tc>
        <w:tc>
          <w:tcPr>
            <w:tcW w:w="567" w:type="dxa"/>
            <w:tcBorders>
              <w:top w:val="single" w:sz="4" w:space="0" w:color="auto"/>
              <w:left w:val="single" w:sz="6" w:space="0" w:color="auto"/>
              <w:bottom w:val="single" w:sz="4" w:space="0" w:color="auto"/>
              <w:right w:val="single" w:sz="6" w:space="0" w:color="auto"/>
            </w:tcBorders>
          </w:tcPr>
          <w:p w14:paraId="21D4DD86" w14:textId="1FB7EE9F" w:rsidR="00183EFC" w:rsidRDefault="00183EFC" w:rsidP="00183EFC">
            <w:pPr>
              <w:pStyle w:val="TAC"/>
            </w:pPr>
            <w:r>
              <w:t>O</w:t>
            </w:r>
          </w:p>
        </w:tc>
        <w:tc>
          <w:tcPr>
            <w:tcW w:w="1134" w:type="dxa"/>
            <w:tcBorders>
              <w:top w:val="single" w:sz="4" w:space="0" w:color="auto"/>
              <w:left w:val="single" w:sz="6" w:space="0" w:color="auto"/>
              <w:bottom w:val="single" w:sz="4" w:space="0" w:color="auto"/>
              <w:right w:val="single" w:sz="6" w:space="0" w:color="auto"/>
            </w:tcBorders>
          </w:tcPr>
          <w:p w14:paraId="7E432ADA" w14:textId="27E69A70" w:rsidR="00183EFC" w:rsidRDefault="00183EFC" w:rsidP="00183EFC">
            <w:pPr>
              <w:pStyle w:val="TAL"/>
              <w:rPr>
                <w:rFonts w:cs="Arial"/>
                <w:szCs w:val="18"/>
                <w:lang w:eastAsia="zh-CN"/>
              </w:rPr>
            </w:pPr>
            <w:r>
              <w:rPr>
                <w:rFonts w:cs="Arial"/>
                <w:szCs w:val="18"/>
                <w:lang w:eastAsia="zh-CN"/>
              </w:rPr>
              <w:t>0..1</w:t>
            </w:r>
          </w:p>
        </w:tc>
        <w:tc>
          <w:tcPr>
            <w:tcW w:w="3262" w:type="dxa"/>
            <w:tcBorders>
              <w:top w:val="single" w:sz="4" w:space="0" w:color="auto"/>
              <w:left w:val="single" w:sz="6" w:space="0" w:color="auto"/>
              <w:bottom w:val="single" w:sz="4" w:space="0" w:color="auto"/>
              <w:right w:val="single" w:sz="6" w:space="0" w:color="auto"/>
            </w:tcBorders>
          </w:tcPr>
          <w:p w14:paraId="50E07CAF" w14:textId="77777777" w:rsidR="00183EFC" w:rsidRDefault="00183EFC" w:rsidP="00183EFC">
            <w:pPr>
              <w:pStyle w:val="TAL"/>
            </w:pPr>
            <w:r>
              <w:t>Indicates the report shall occur when the ML model accuracy is crossing the ML Model Accuracy threshold of the value set for the attribute, i.e., the accuracy either becomes higher or lower than the value set for the attribute.</w:t>
            </w:r>
          </w:p>
          <w:p w14:paraId="71CFF0D7" w14:textId="4F1C330B" w:rsidR="00183EFC" w:rsidRDefault="00183EFC" w:rsidP="00183EFC">
            <w:pPr>
              <w:pStyle w:val="TAL"/>
            </w:pPr>
            <w:r w:rsidRPr="00A73A05">
              <w:t>Minimum = 0. Maximum = 100.</w:t>
            </w:r>
          </w:p>
        </w:tc>
        <w:tc>
          <w:tcPr>
            <w:tcW w:w="1226" w:type="dxa"/>
            <w:tcBorders>
              <w:top w:val="single" w:sz="4" w:space="0" w:color="auto"/>
              <w:left w:val="single" w:sz="6" w:space="0" w:color="auto"/>
              <w:bottom w:val="single" w:sz="4" w:space="0" w:color="auto"/>
              <w:right w:val="single" w:sz="6" w:space="0" w:color="auto"/>
            </w:tcBorders>
          </w:tcPr>
          <w:p w14:paraId="51576DDA" w14:textId="77777777" w:rsidR="00183EFC" w:rsidRDefault="00183EFC" w:rsidP="00183EFC">
            <w:pPr>
              <w:pStyle w:val="TAL"/>
              <w:rPr>
                <w:rFonts w:cs="Arial"/>
                <w:szCs w:val="18"/>
              </w:rPr>
            </w:pPr>
          </w:p>
        </w:tc>
      </w:tr>
      <w:tr w:rsidR="00A10B25" w14:paraId="0707F771" w14:textId="77777777">
        <w:trPr>
          <w:jc w:val="center"/>
        </w:trPr>
        <w:tc>
          <w:tcPr>
            <w:tcW w:w="1979" w:type="dxa"/>
            <w:tcBorders>
              <w:top w:val="single" w:sz="4" w:space="0" w:color="auto"/>
              <w:left w:val="single" w:sz="6" w:space="0" w:color="auto"/>
              <w:bottom w:val="single" w:sz="4" w:space="0" w:color="auto"/>
              <w:right w:val="single" w:sz="6" w:space="0" w:color="auto"/>
            </w:tcBorders>
          </w:tcPr>
          <w:p w14:paraId="79C641AD" w14:textId="77777777" w:rsidR="00A10B25" w:rsidRDefault="00A10B25">
            <w:pPr>
              <w:pStyle w:val="TAL"/>
              <w:rPr>
                <w:lang w:eastAsia="zh-CN"/>
              </w:rPr>
            </w:pPr>
            <w:r>
              <w:rPr>
                <w:lang w:eastAsia="zh-CN"/>
              </w:rPr>
              <w:t>modelMetric</w:t>
            </w:r>
          </w:p>
        </w:tc>
        <w:tc>
          <w:tcPr>
            <w:tcW w:w="1417" w:type="dxa"/>
            <w:tcBorders>
              <w:top w:val="single" w:sz="4" w:space="0" w:color="auto"/>
              <w:left w:val="single" w:sz="6" w:space="0" w:color="auto"/>
              <w:bottom w:val="single" w:sz="4" w:space="0" w:color="auto"/>
              <w:right w:val="single" w:sz="6" w:space="0" w:color="auto"/>
            </w:tcBorders>
          </w:tcPr>
          <w:p w14:paraId="45D2960A" w14:textId="77777777" w:rsidR="00A10B25" w:rsidRDefault="00A10B25">
            <w:pPr>
              <w:pStyle w:val="TAL"/>
              <w:tabs>
                <w:tab w:val="left" w:pos="874"/>
              </w:tabs>
              <w:rPr>
                <w:lang w:eastAsia="zh-CN"/>
              </w:rPr>
            </w:pPr>
            <w:r>
              <w:t>MLModelMetric</w:t>
            </w:r>
          </w:p>
        </w:tc>
        <w:tc>
          <w:tcPr>
            <w:tcW w:w="567" w:type="dxa"/>
            <w:tcBorders>
              <w:top w:val="single" w:sz="4" w:space="0" w:color="auto"/>
              <w:left w:val="single" w:sz="6" w:space="0" w:color="auto"/>
              <w:bottom w:val="single" w:sz="4" w:space="0" w:color="auto"/>
              <w:right w:val="single" w:sz="6" w:space="0" w:color="auto"/>
            </w:tcBorders>
          </w:tcPr>
          <w:p w14:paraId="3AD2D1C7" w14:textId="77777777" w:rsidR="00A10B25" w:rsidRDefault="00A10B25">
            <w:pPr>
              <w:pStyle w:val="TAC"/>
            </w:pPr>
            <w:r>
              <w:rPr>
                <w:rFonts w:cs="Arial"/>
                <w:szCs w:val="18"/>
                <w:lang w:eastAsia="zh-CN"/>
              </w:rPr>
              <w:t>O</w:t>
            </w:r>
          </w:p>
        </w:tc>
        <w:tc>
          <w:tcPr>
            <w:tcW w:w="1134" w:type="dxa"/>
            <w:tcBorders>
              <w:top w:val="single" w:sz="4" w:space="0" w:color="auto"/>
              <w:left w:val="single" w:sz="6" w:space="0" w:color="auto"/>
              <w:bottom w:val="single" w:sz="4" w:space="0" w:color="auto"/>
              <w:right w:val="single" w:sz="6" w:space="0" w:color="auto"/>
            </w:tcBorders>
          </w:tcPr>
          <w:p w14:paraId="44C69875" w14:textId="77777777" w:rsidR="00A10B25" w:rsidRDefault="00A10B25">
            <w:pPr>
              <w:pStyle w:val="TAL"/>
              <w:rPr>
                <w:rFonts w:cs="Arial"/>
                <w:szCs w:val="18"/>
                <w:lang w:eastAsia="zh-CN"/>
              </w:rPr>
            </w:pPr>
            <w:r>
              <w:rPr>
                <w:rFonts w:cs="Arial"/>
                <w:szCs w:val="18"/>
                <w:lang w:eastAsia="zh-CN"/>
              </w:rPr>
              <w:t>0..1</w:t>
            </w:r>
          </w:p>
        </w:tc>
        <w:tc>
          <w:tcPr>
            <w:tcW w:w="3262" w:type="dxa"/>
            <w:tcBorders>
              <w:top w:val="single" w:sz="4" w:space="0" w:color="auto"/>
              <w:left w:val="single" w:sz="6" w:space="0" w:color="auto"/>
              <w:bottom w:val="single" w:sz="4" w:space="0" w:color="auto"/>
              <w:right w:val="single" w:sz="6" w:space="0" w:color="auto"/>
            </w:tcBorders>
          </w:tcPr>
          <w:p w14:paraId="11D3A031" w14:textId="77777777" w:rsidR="00A10B25" w:rsidRDefault="00A10B25">
            <w:pPr>
              <w:pStyle w:val="TAL"/>
            </w:pPr>
            <w:r>
              <w:rPr>
                <w:rFonts w:cs="Arial"/>
                <w:szCs w:val="18"/>
                <w:lang w:eastAsia="zh-CN"/>
              </w:rPr>
              <w:t>Indicates the ML model metric</w:t>
            </w:r>
            <w:r>
              <w:rPr>
                <w:lang w:eastAsia="ko-KR"/>
              </w:rPr>
              <w:t>.</w:t>
            </w:r>
          </w:p>
        </w:tc>
        <w:tc>
          <w:tcPr>
            <w:tcW w:w="1226" w:type="dxa"/>
            <w:tcBorders>
              <w:top w:val="single" w:sz="4" w:space="0" w:color="auto"/>
              <w:left w:val="single" w:sz="6" w:space="0" w:color="auto"/>
              <w:bottom w:val="single" w:sz="4" w:space="0" w:color="auto"/>
              <w:right w:val="single" w:sz="6" w:space="0" w:color="auto"/>
            </w:tcBorders>
          </w:tcPr>
          <w:p w14:paraId="7EB5298D" w14:textId="77777777" w:rsidR="00A10B25" w:rsidRDefault="00A10B25">
            <w:pPr>
              <w:pStyle w:val="TAL"/>
              <w:rPr>
                <w:rFonts w:cs="Arial"/>
                <w:szCs w:val="18"/>
              </w:rPr>
            </w:pPr>
          </w:p>
        </w:tc>
      </w:tr>
    </w:tbl>
    <w:p w14:paraId="57AC6F35" w14:textId="77777777" w:rsidR="00A10B25" w:rsidRDefault="00A10B25"/>
    <w:p w14:paraId="0D333733" w14:textId="77777777" w:rsidR="00D654A6" w:rsidRDefault="00D654A6" w:rsidP="00D654A6">
      <w:pPr>
        <w:pStyle w:val="5"/>
      </w:pPr>
      <w:bookmarkStart w:id="13930" w:name="_Toc138754483"/>
      <w:bookmarkStart w:id="13931" w:name="_Toc136562649"/>
      <w:bookmarkStart w:id="13932" w:name="_Toc145705978"/>
      <w:bookmarkStart w:id="13933" w:name="_Toc148522892"/>
      <w:bookmarkStart w:id="13934" w:name="_Toc145705977"/>
      <w:bookmarkStart w:id="13935" w:name="_Toc148522891"/>
      <w:bookmarkStart w:id="13936" w:name="_Toc164921079"/>
      <w:bookmarkStart w:id="13937" w:name="_Toc170120621"/>
      <w:bookmarkStart w:id="13938" w:name="_Toc175858866"/>
      <w:bookmarkStart w:id="13939" w:name="_Toc175859939"/>
      <w:bookmarkStart w:id="13940" w:name="_Toc180606229"/>
      <w:bookmarkStart w:id="13941" w:name="_Toc185517490"/>
      <w:bookmarkStart w:id="13942" w:name="_Toc191576542"/>
      <w:bookmarkStart w:id="13943" w:name="_Toc191577282"/>
      <w:bookmarkStart w:id="13944" w:name="_Toc192880352"/>
      <w:bookmarkStart w:id="13945" w:name="_Toc195815241"/>
      <w:bookmarkStart w:id="13946" w:name="_Toc199453208"/>
      <w:bookmarkEnd w:id="13928"/>
      <w:bookmarkEnd w:id="13929"/>
      <w:r>
        <w:t>5.4.6.2.12</w:t>
      </w:r>
      <w:r>
        <w:tab/>
      </w:r>
      <w:bookmarkEnd w:id="13934"/>
      <w:r>
        <w:t>Type InputDataInfo</w:t>
      </w:r>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00D94512" w14:textId="77777777" w:rsidR="00D654A6" w:rsidRDefault="00D654A6" w:rsidP="00D654A6">
      <w:pPr>
        <w:keepNext/>
        <w:keepLines/>
        <w:overflowPunct w:val="0"/>
        <w:autoSpaceDE w:val="0"/>
        <w:autoSpaceDN w:val="0"/>
        <w:adjustRightInd w:val="0"/>
        <w:spacing w:before="60"/>
        <w:jc w:val="center"/>
        <w:textAlignment w:val="baseline"/>
        <w:rPr>
          <w:rFonts w:ascii="Arial" w:eastAsia="MS Mincho" w:hAnsi="Arial"/>
          <w:b/>
        </w:rPr>
      </w:pPr>
      <w:r>
        <w:rPr>
          <w:rFonts w:ascii="Arial" w:eastAsia="MS Mincho" w:hAnsi="Arial"/>
          <w:b/>
        </w:rPr>
        <w:t xml:space="preserve">Table 5.4.6.2.12-1: Definition of type </w:t>
      </w:r>
      <w:r w:rsidRPr="003D1091">
        <w:rPr>
          <w:rFonts w:ascii="Arial" w:eastAsia="MS Mincho" w:hAnsi="Arial"/>
          <w:b/>
        </w:rPr>
        <w:t>InputDataInfo</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4"/>
        <w:gridCol w:w="425"/>
        <w:gridCol w:w="1134"/>
        <w:gridCol w:w="2410"/>
        <w:gridCol w:w="1916"/>
      </w:tblGrid>
      <w:tr w:rsidR="00D654A6" w14:paraId="544B82C6" w14:textId="77777777" w:rsidTr="005A20DD">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2A3B7717" w14:textId="77777777" w:rsidR="00D654A6" w:rsidRDefault="00D654A6" w:rsidP="005A20DD">
            <w:pPr>
              <w:keepNext/>
              <w:keepLines/>
              <w:spacing w:after="0"/>
              <w:jc w:val="center"/>
              <w:rPr>
                <w:rFonts w:ascii="Arial" w:hAnsi="Arial"/>
                <w:b/>
                <w:sz w:val="18"/>
              </w:rPr>
            </w:pPr>
            <w:r>
              <w:rPr>
                <w:rFonts w:ascii="Arial" w:hAnsi="Arial"/>
                <w:b/>
                <w:sz w:val="18"/>
              </w:rPr>
              <w:t>Attribute name</w:t>
            </w:r>
          </w:p>
        </w:tc>
        <w:tc>
          <w:tcPr>
            <w:tcW w:w="2024" w:type="dxa"/>
            <w:tcBorders>
              <w:top w:val="single" w:sz="6" w:space="0" w:color="auto"/>
              <w:left w:val="single" w:sz="6" w:space="0" w:color="auto"/>
              <w:bottom w:val="single" w:sz="6" w:space="0" w:color="auto"/>
              <w:right w:val="single" w:sz="6" w:space="0" w:color="auto"/>
            </w:tcBorders>
            <w:shd w:val="clear" w:color="auto" w:fill="C0C0C0"/>
          </w:tcPr>
          <w:p w14:paraId="465485FF" w14:textId="77777777" w:rsidR="00D654A6" w:rsidRDefault="00D654A6" w:rsidP="005A20DD">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33A56868" w14:textId="77777777" w:rsidR="00D654A6" w:rsidRDefault="00D654A6" w:rsidP="005A20DD">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6BA33AFD" w14:textId="77777777" w:rsidR="00D654A6" w:rsidRDefault="00D654A6" w:rsidP="005A20DD">
            <w:pPr>
              <w:keepNext/>
              <w:keepLines/>
              <w:spacing w:after="0"/>
              <w:jc w:val="center"/>
              <w:rPr>
                <w:rFonts w:ascii="Arial" w:hAnsi="Arial"/>
                <w:b/>
                <w:sz w:val="18"/>
              </w:rPr>
            </w:pPr>
            <w:r>
              <w:rPr>
                <w:rFonts w:ascii="Arial" w:hAnsi="Arial"/>
                <w:b/>
                <w:sz w:val="18"/>
              </w:rPr>
              <w:t>Cardinality</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701AFA9C" w14:textId="77777777" w:rsidR="00D654A6" w:rsidRDefault="00D654A6" w:rsidP="005A20DD">
            <w:pPr>
              <w:keepNext/>
              <w:keepLines/>
              <w:spacing w:after="0"/>
              <w:jc w:val="center"/>
              <w:rPr>
                <w:rFonts w:ascii="Arial" w:hAnsi="Arial" w:cs="Arial"/>
                <w:b/>
                <w:sz w:val="18"/>
                <w:szCs w:val="18"/>
              </w:rPr>
            </w:pPr>
            <w:r>
              <w:rPr>
                <w:rFonts w:ascii="Arial" w:hAnsi="Arial" w:cs="Arial"/>
                <w:b/>
                <w:sz w:val="18"/>
                <w:szCs w:val="18"/>
              </w:rPr>
              <w:t>Description</w:t>
            </w:r>
          </w:p>
        </w:tc>
        <w:tc>
          <w:tcPr>
            <w:tcW w:w="1916" w:type="dxa"/>
            <w:tcBorders>
              <w:top w:val="single" w:sz="6" w:space="0" w:color="auto"/>
              <w:left w:val="single" w:sz="6" w:space="0" w:color="auto"/>
              <w:bottom w:val="single" w:sz="6" w:space="0" w:color="auto"/>
              <w:right w:val="single" w:sz="6" w:space="0" w:color="auto"/>
            </w:tcBorders>
            <w:shd w:val="clear" w:color="auto" w:fill="C0C0C0"/>
          </w:tcPr>
          <w:p w14:paraId="560D38DE" w14:textId="77777777" w:rsidR="00D654A6" w:rsidRDefault="00D654A6" w:rsidP="005A20DD">
            <w:pPr>
              <w:keepNext/>
              <w:keepLines/>
              <w:spacing w:after="0"/>
              <w:jc w:val="center"/>
              <w:rPr>
                <w:rFonts w:ascii="Arial" w:hAnsi="Arial" w:cs="Arial"/>
                <w:b/>
                <w:sz w:val="18"/>
                <w:szCs w:val="18"/>
              </w:rPr>
            </w:pPr>
            <w:r>
              <w:rPr>
                <w:rFonts w:ascii="Arial" w:hAnsi="Arial" w:cs="Arial"/>
                <w:b/>
                <w:sz w:val="18"/>
                <w:szCs w:val="18"/>
              </w:rPr>
              <w:t>Applicability</w:t>
            </w:r>
          </w:p>
        </w:tc>
      </w:tr>
      <w:tr w:rsidR="00BD381F" w14:paraId="6DDD176A"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FE4D5DF" w14:textId="77777777" w:rsidR="00BD381F" w:rsidRDefault="00BD381F" w:rsidP="00BD381F">
            <w:pPr>
              <w:keepNext/>
              <w:keepLines/>
              <w:spacing w:after="0"/>
              <w:rPr>
                <w:rFonts w:ascii="Arial" w:hAnsi="Arial"/>
                <w:sz w:val="18"/>
                <w:lang w:eastAsia="zh-CN"/>
              </w:rPr>
            </w:pPr>
            <w:r>
              <w:rPr>
                <w:rFonts w:ascii="Arial" w:hAnsi="Arial"/>
                <w:sz w:val="18"/>
                <w:lang w:eastAsia="zh-CN"/>
              </w:rPr>
              <w:t>inpEvent</w:t>
            </w:r>
          </w:p>
        </w:tc>
        <w:tc>
          <w:tcPr>
            <w:tcW w:w="2024" w:type="dxa"/>
            <w:tcBorders>
              <w:top w:val="single" w:sz="6" w:space="0" w:color="auto"/>
              <w:left w:val="single" w:sz="6" w:space="0" w:color="auto"/>
              <w:bottom w:val="single" w:sz="6" w:space="0" w:color="auto"/>
              <w:right w:val="single" w:sz="6" w:space="0" w:color="auto"/>
            </w:tcBorders>
          </w:tcPr>
          <w:p w14:paraId="38EDB416" w14:textId="77777777" w:rsidR="00BD381F" w:rsidRDefault="00BD381F" w:rsidP="00BD381F">
            <w:pPr>
              <w:keepNext/>
              <w:keepLines/>
              <w:spacing w:after="0"/>
              <w:rPr>
                <w:rFonts w:ascii="Arial" w:hAnsi="Arial"/>
                <w:sz w:val="18"/>
                <w:lang w:eastAsia="en-GB"/>
              </w:rPr>
            </w:pPr>
            <w:r>
              <w:rPr>
                <w:rFonts w:ascii="Arial" w:hAnsi="Arial"/>
                <w:sz w:val="18"/>
                <w:lang w:eastAsia="en-GB"/>
              </w:rPr>
              <w:t>DccfEvent</w:t>
            </w:r>
          </w:p>
        </w:tc>
        <w:tc>
          <w:tcPr>
            <w:tcW w:w="425" w:type="dxa"/>
            <w:tcBorders>
              <w:top w:val="single" w:sz="6" w:space="0" w:color="auto"/>
              <w:left w:val="single" w:sz="6" w:space="0" w:color="auto"/>
              <w:bottom w:val="single" w:sz="6" w:space="0" w:color="auto"/>
              <w:right w:val="single" w:sz="6" w:space="0" w:color="auto"/>
            </w:tcBorders>
          </w:tcPr>
          <w:p w14:paraId="12229560" w14:textId="77777777" w:rsidR="00BD381F" w:rsidRDefault="00BD381F" w:rsidP="00BD381F">
            <w:pPr>
              <w:keepNext/>
              <w:keepLines/>
              <w:spacing w:after="0"/>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53C92E22" w14:textId="77777777" w:rsidR="00BD381F" w:rsidRDefault="00BD381F" w:rsidP="00BD381F">
            <w:pPr>
              <w:keepNext/>
              <w:keepLines/>
              <w:spacing w:after="0"/>
              <w:rPr>
                <w:rFonts w:ascii="Arial" w:eastAsia="Yu Mincho" w:hAnsi="Arial"/>
                <w:sz w:val="18"/>
                <w:lang w:eastAsia="ja-JP"/>
              </w:rPr>
            </w:pPr>
            <w:r>
              <w:rPr>
                <w:rFonts w:ascii="Arial" w:eastAsia="Yu Mincho" w:hAnsi="Arial"/>
                <w:sz w:val="18"/>
                <w:lang w:eastAsia="ja-JP"/>
              </w:rPr>
              <w:t>1</w:t>
            </w:r>
          </w:p>
        </w:tc>
        <w:tc>
          <w:tcPr>
            <w:tcW w:w="2410" w:type="dxa"/>
            <w:tcBorders>
              <w:top w:val="single" w:sz="6" w:space="0" w:color="auto"/>
              <w:left w:val="single" w:sz="6" w:space="0" w:color="auto"/>
              <w:bottom w:val="single" w:sz="6" w:space="0" w:color="auto"/>
              <w:right w:val="single" w:sz="6" w:space="0" w:color="auto"/>
            </w:tcBorders>
          </w:tcPr>
          <w:p w14:paraId="67FBB946" w14:textId="77777777" w:rsidR="00BD381F" w:rsidRDefault="00BD381F" w:rsidP="00BD381F">
            <w:pPr>
              <w:keepNext/>
              <w:keepLines/>
              <w:spacing w:after="0"/>
              <w:rPr>
                <w:rFonts w:ascii="Arial" w:hAnsi="Arial"/>
                <w:sz w:val="18"/>
                <w:lang w:eastAsia="zh-CN"/>
              </w:rPr>
            </w:pPr>
            <w:r>
              <w:rPr>
                <w:rFonts w:ascii="Arial" w:hAnsi="Arial"/>
                <w:sz w:val="18"/>
                <w:lang w:eastAsia="zh-CN"/>
              </w:rPr>
              <w:t>Identifies the input data event to which the information applies.</w:t>
            </w:r>
          </w:p>
        </w:tc>
        <w:tc>
          <w:tcPr>
            <w:tcW w:w="1916" w:type="dxa"/>
            <w:tcBorders>
              <w:top w:val="single" w:sz="6" w:space="0" w:color="auto"/>
              <w:left w:val="single" w:sz="6" w:space="0" w:color="auto"/>
              <w:bottom w:val="single" w:sz="6" w:space="0" w:color="auto"/>
              <w:right w:val="single" w:sz="6" w:space="0" w:color="auto"/>
            </w:tcBorders>
          </w:tcPr>
          <w:p w14:paraId="3EFF93FD" w14:textId="77777777" w:rsidR="00BD381F" w:rsidRDefault="00BD381F" w:rsidP="00BD381F">
            <w:pPr>
              <w:keepNext/>
              <w:keepLines/>
              <w:spacing w:after="0"/>
              <w:rPr>
                <w:rFonts w:ascii="Arial" w:hAnsi="Arial" w:cs="Arial"/>
                <w:sz w:val="18"/>
                <w:szCs w:val="18"/>
              </w:rPr>
            </w:pPr>
          </w:p>
        </w:tc>
      </w:tr>
      <w:tr w:rsidR="00BD381F" w14:paraId="1779A8FF"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5D83AC9" w14:textId="77777777" w:rsidR="00BD381F" w:rsidRDefault="00BD381F" w:rsidP="00BD381F">
            <w:pPr>
              <w:keepNext/>
              <w:keepLines/>
              <w:spacing w:after="0"/>
              <w:rPr>
                <w:rFonts w:ascii="Arial" w:hAnsi="Arial"/>
                <w:sz w:val="18"/>
                <w:lang w:eastAsia="zh-CN"/>
              </w:rPr>
            </w:pPr>
            <w:r>
              <w:rPr>
                <w:rFonts w:ascii="Arial" w:hAnsi="Arial"/>
                <w:sz w:val="18"/>
                <w:lang w:eastAsia="zh-CN"/>
              </w:rPr>
              <w:t>maxNumSamples</w:t>
            </w:r>
          </w:p>
        </w:tc>
        <w:tc>
          <w:tcPr>
            <w:tcW w:w="2024" w:type="dxa"/>
            <w:tcBorders>
              <w:top w:val="single" w:sz="6" w:space="0" w:color="auto"/>
              <w:left w:val="single" w:sz="6" w:space="0" w:color="auto"/>
              <w:bottom w:val="single" w:sz="6" w:space="0" w:color="auto"/>
              <w:right w:val="single" w:sz="6" w:space="0" w:color="auto"/>
            </w:tcBorders>
          </w:tcPr>
          <w:p w14:paraId="635425D5" w14:textId="77777777" w:rsidR="00BD381F" w:rsidRDefault="00BD381F" w:rsidP="00BD381F">
            <w:pPr>
              <w:keepNext/>
              <w:keepLines/>
              <w:spacing w:after="0"/>
              <w:rPr>
                <w:rFonts w:ascii="Arial" w:hAnsi="Arial"/>
                <w:sz w:val="18"/>
                <w:lang w:eastAsia="en-GB"/>
              </w:rPr>
            </w:pPr>
            <w:r>
              <w:rPr>
                <w:rFonts w:ascii="Arial" w:hAnsi="Arial"/>
                <w:sz w:val="18"/>
                <w:lang w:eastAsia="en-GB"/>
              </w:rPr>
              <w:t>Uinteger</w:t>
            </w:r>
          </w:p>
        </w:tc>
        <w:tc>
          <w:tcPr>
            <w:tcW w:w="425" w:type="dxa"/>
            <w:tcBorders>
              <w:top w:val="single" w:sz="6" w:space="0" w:color="auto"/>
              <w:left w:val="single" w:sz="6" w:space="0" w:color="auto"/>
              <w:bottom w:val="single" w:sz="6" w:space="0" w:color="auto"/>
              <w:right w:val="single" w:sz="6" w:space="0" w:color="auto"/>
            </w:tcBorders>
          </w:tcPr>
          <w:p w14:paraId="2E3C3D0A" w14:textId="77777777" w:rsidR="00BD381F" w:rsidRDefault="00BD381F" w:rsidP="00BD381F">
            <w:pPr>
              <w:keepNext/>
              <w:keepLines/>
              <w:spacing w:after="0"/>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7FE683F" w14:textId="77777777" w:rsidR="00BD381F" w:rsidRDefault="00BD381F" w:rsidP="00BD381F">
            <w:pPr>
              <w:keepNext/>
              <w:keepLines/>
              <w:spacing w:after="0"/>
              <w:rPr>
                <w:rFonts w:ascii="Arial" w:eastAsia="Yu Mincho" w:hAnsi="Arial"/>
                <w:sz w:val="18"/>
                <w:lang w:eastAsia="ja-JP"/>
              </w:rPr>
            </w:pPr>
            <w:r>
              <w:rPr>
                <w:rFonts w:ascii="Arial" w:eastAsia="Yu Mincho" w:hAnsi="Arial"/>
                <w:sz w:val="18"/>
                <w:lang w:eastAsia="ja-JP"/>
              </w:rPr>
              <w:t>0..1</w:t>
            </w:r>
          </w:p>
        </w:tc>
        <w:tc>
          <w:tcPr>
            <w:tcW w:w="2410" w:type="dxa"/>
            <w:tcBorders>
              <w:top w:val="single" w:sz="6" w:space="0" w:color="auto"/>
              <w:left w:val="single" w:sz="6" w:space="0" w:color="auto"/>
              <w:bottom w:val="single" w:sz="6" w:space="0" w:color="auto"/>
              <w:right w:val="single" w:sz="6" w:space="0" w:color="auto"/>
            </w:tcBorders>
          </w:tcPr>
          <w:p w14:paraId="55F21AE4" w14:textId="77777777" w:rsidR="00BD381F" w:rsidRDefault="00BD381F" w:rsidP="00BD381F">
            <w:pPr>
              <w:keepNext/>
              <w:keepLines/>
              <w:spacing w:after="0"/>
              <w:rPr>
                <w:rFonts w:ascii="Arial" w:hAnsi="Arial"/>
                <w:sz w:val="18"/>
                <w:lang w:eastAsia="zh-CN"/>
              </w:rPr>
            </w:pPr>
            <w:r>
              <w:rPr>
                <w:rFonts w:ascii="Arial" w:hAnsi="Arial"/>
                <w:sz w:val="18"/>
                <w:lang w:eastAsia="zh-CN"/>
              </w:rPr>
              <w:t>Maximum number of samples.</w:t>
            </w:r>
          </w:p>
        </w:tc>
        <w:tc>
          <w:tcPr>
            <w:tcW w:w="1916" w:type="dxa"/>
            <w:tcBorders>
              <w:top w:val="single" w:sz="6" w:space="0" w:color="auto"/>
              <w:left w:val="single" w:sz="6" w:space="0" w:color="auto"/>
              <w:bottom w:val="single" w:sz="6" w:space="0" w:color="auto"/>
              <w:right w:val="single" w:sz="6" w:space="0" w:color="auto"/>
            </w:tcBorders>
          </w:tcPr>
          <w:p w14:paraId="43FE8D25" w14:textId="77777777" w:rsidR="00BD381F" w:rsidRDefault="00BD381F" w:rsidP="00BD381F">
            <w:pPr>
              <w:keepNext/>
              <w:keepLines/>
              <w:spacing w:after="0"/>
              <w:rPr>
                <w:rFonts w:ascii="Arial" w:hAnsi="Arial" w:cs="Arial"/>
                <w:sz w:val="18"/>
                <w:szCs w:val="18"/>
              </w:rPr>
            </w:pPr>
          </w:p>
        </w:tc>
      </w:tr>
      <w:tr w:rsidR="00BD381F" w14:paraId="4510CD19"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1550F56" w14:textId="77777777" w:rsidR="00BD381F" w:rsidRDefault="00BD381F" w:rsidP="00BD381F">
            <w:pPr>
              <w:keepNext/>
              <w:keepLines/>
              <w:spacing w:after="0"/>
              <w:rPr>
                <w:rFonts w:ascii="Arial" w:hAnsi="Arial"/>
                <w:sz w:val="18"/>
              </w:rPr>
            </w:pPr>
            <w:r>
              <w:rPr>
                <w:rFonts w:ascii="Arial" w:hAnsi="Arial"/>
                <w:sz w:val="18"/>
              </w:rPr>
              <w:t>maxTimeInterval</w:t>
            </w:r>
          </w:p>
        </w:tc>
        <w:tc>
          <w:tcPr>
            <w:tcW w:w="2024" w:type="dxa"/>
            <w:tcBorders>
              <w:top w:val="single" w:sz="6" w:space="0" w:color="auto"/>
              <w:left w:val="single" w:sz="6" w:space="0" w:color="auto"/>
              <w:bottom w:val="single" w:sz="6" w:space="0" w:color="auto"/>
              <w:right w:val="single" w:sz="6" w:space="0" w:color="auto"/>
            </w:tcBorders>
          </w:tcPr>
          <w:p w14:paraId="273A21C6" w14:textId="77777777" w:rsidR="00BD381F" w:rsidRDefault="00BD381F" w:rsidP="00BD381F">
            <w:pPr>
              <w:keepNext/>
              <w:keepLines/>
              <w:spacing w:after="0"/>
              <w:rPr>
                <w:rFonts w:ascii="Arial" w:hAnsi="Arial"/>
                <w:sz w:val="18"/>
                <w:lang w:eastAsia="zh-CN"/>
              </w:rPr>
            </w:pPr>
            <w:r>
              <w:rPr>
                <w:rFonts w:ascii="Arial" w:hAnsi="Arial"/>
                <w:sz w:val="18"/>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7C2E6000"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A25CD40" w14:textId="77777777" w:rsidR="00BD381F" w:rsidRDefault="00BD381F" w:rsidP="00BD381F">
            <w:pPr>
              <w:keepNext/>
              <w:keepLines/>
              <w:spacing w:after="0"/>
              <w:rPr>
                <w:rFonts w:ascii="Arial" w:hAnsi="Arial"/>
                <w:sz w:val="18"/>
                <w:lang w:eastAsia="zh-CN"/>
              </w:rPr>
            </w:pPr>
            <w:r>
              <w:rPr>
                <w:rFonts w:ascii="Arial" w:hAnsi="Arial" w:cs="Arial"/>
                <w:sz w:val="18"/>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73FBD6F" w14:textId="77777777" w:rsidR="00BD381F" w:rsidRDefault="00BD381F" w:rsidP="00BD381F">
            <w:pPr>
              <w:keepNext/>
              <w:keepLines/>
              <w:spacing w:after="0"/>
              <w:rPr>
                <w:rFonts w:ascii="Arial" w:hAnsi="Arial" w:cs="Arial"/>
                <w:sz w:val="18"/>
                <w:szCs w:val="18"/>
                <w:lang w:eastAsia="zh-CN"/>
              </w:rPr>
            </w:pPr>
            <w:r>
              <w:rPr>
                <w:rFonts w:ascii="Arial" w:hAnsi="Arial"/>
                <w:sz w:val="18"/>
                <w:lang w:eastAsia="zh-CN"/>
              </w:rPr>
              <w:t>Maximum time interval between samples.</w:t>
            </w:r>
          </w:p>
        </w:tc>
        <w:tc>
          <w:tcPr>
            <w:tcW w:w="1916" w:type="dxa"/>
            <w:tcBorders>
              <w:top w:val="single" w:sz="6" w:space="0" w:color="auto"/>
              <w:left w:val="single" w:sz="6" w:space="0" w:color="auto"/>
              <w:bottom w:val="single" w:sz="6" w:space="0" w:color="auto"/>
              <w:right w:val="single" w:sz="6" w:space="0" w:color="auto"/>
            </w:tcBorders>
          </w:tcPr>
          <w:p w14:paraId="2353131C" w14:textId="77777777" w:rsidR="00BD381F" w:rsidRDefault="00BD381F" w:rsidP="00BD381F">
            <w:pPr>
              <w:keepNext/>
              <w:keepLines/>
              <w:spacing w:after="0"/>
              <w:rPr>
                <w:rFonts w:ascii="Arial" w:hAnsi="Arial" w:cs="Arial"/>
                <w:sz w:val="18"/>
                <w:szCs w:val="18"/>
              </w:rPr>
            </w:pPr>
          </w:p>
        </w:tc>
      </w:tr>
      <w:tr w:rsidR="00BD381F" w14:paraId="656EDEF7"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0990D34" w14:textId="77777777" w:rsidR="00BD381F" w:rsidRDefault="00BD381F" w:rsidP="00BD381F">
            <w:pPr>
              <w:keepNext/>
              <w:keepLines/>
              <w:spacing w:after="0"/>
              <w:rPr>
                <w:rFonts w:ascii="Arial" w:hAnsi="Arial"/>
                <w:sz w:val="18"/>
              </w:rPr>
            </w:pPr>
            <w:r>
              <w:rPr>
                <w:rFonts w:ascii="Arial" w:hAnsi="Arial"/>
                <w:sz w:val="18"/>
              </w:rPr>
              <w:t>nfInstanceIds</w:t>
            </w:r>
          </w:p>
        </w:tc>
        <w:tc>
          <w:tcPr>
            <w:tcW w:w="2024" w:type="dxa"/>
            <w:tcBorders>
              <w:top w:val="single" w:sz="6" w:space="0" w:color="auto"/>
              <w:left w:val="single" w:sz="6" w:space="0" w:color="auto"/>
              <w:bottom w:val="single" w:sz="6" w:space="0" w:color="auto"/>
              <w:right w:val="single" w:sz="6" w:space="0" w:color="auto"/>
            </w:tcBorders>
          </w:tcPr>
          <w:p w14:paraId="7A9C448D" w14:textId="77777777" w:rsidR="00BD381F" w:rsidRDefault="00BD381F" w:rsidP="00BD381F">
            <w:pPr>
              <w:keepNext/>
              <w:keepLines/>
              <w:spacing w:after="0"/>
              <w:rPr>
                <w:rFonts w:ascii="Arial" w:hAnsi="Arial"/>
                <w:sz w:val="18"/>
                <w:lang w:eastAsia="zh-CN"/>
              </w:rPr>
            </w:pPr>
            <w:r>
              <w:rPr>
                <w:rFonts w:ascii="Arial" w:hAnsi="Arial"/>
                <w:sz w:val="18"/>
                <w:lang w:eastAsia="zh-CN"/>
              </w:rPr>
              <w:t>array(NfInstanceId)</w:t>
            </w:r>
          </w:p>
        </w:tc>
        <w:tc>
          <w:tcPr>
            <w:tcW w:w="425" w:type="dxa"/>
            <w:tcBorders>
              <w:top w:val="single" w:sz="6" w:space="0" w:color="auto"/>
              <w:left w:val="single" w:sz="6" w:space="0" w:color="auto"/>
              <w:bottom w:val="single" w:sz="6" w:space="0" w:color="auto"/>
              <w:right w:val="single" w:sz="6" w:space="0" w:color="auto"/>
            </w:tcBorders>
          </w:tcPr>
          <w:p w14:paraId="57FECC0F"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4E73895" w14:textId="77777777" w:rsidR="00BD381F" w:rsidRDefault="00BD381F" w:rsidP="00BD381F">
            <w:pPr>
              <w:keepNext/>
              <w:keepLines/>
              <w:spacing w:after="0"/>
              <w:rPr>
                <w:rFonts w:ascii="Arial" w:hAnsi="Arial" w:cs="Arial"/>
                <w:sz w:val="18"/>
                <w:szCs w:val="18"/>
                <w:lang w:eastAsia="zh-CN"/>
              </w:rPr>
            </w:pPr>
            <w:r>
              <w:rPr>
                <w:rFonts w:ascii="Arial" w:hAnsi="Arial" w:cs="Arial"/>
                <w:sz w:val="18"/>
                <w:szCs w:val="18"/>
                <w:lang w:eastAsia="zh-CN"/>
              </w:rPr>
              <w:t>1..N</w:t>
            </w:r>
          </w:p>
        </w:tc>
        <w:tc>
          <w:tcPr>
            <w:tcW w:w="2410" w:type="dxa"/>
            <w:tcBorders>
              <w:top w:val="single" w:sz="6" w:space="0" w:color="auto"/>
              <w:left w:val="single" w:sz="6" w:space="0" w:color="auto"/>
              <w:bottom w:val="single" w:sz="6" w:space="0" w:color="auto"/>
              <w:right w:val="single" w:sz="6" w:space="0" w:color="auto"/>
            </w:tcBorders>
          </w:tcPr>
          <w:p w14:paraId="1572A3DE" w14:textId="77777777" w:rsidR="00BD381F" w:rsidRDefault="00BD381F" w:rsidP="00BD381F">
            <w:pPr>
              <w:keepNext/>
              <w:keepLines/>
              <w:spacing w:after="0"/>
              <w:rPr>
                <w:rFonts w:ascii="Arial" w:hAnsi="Arial"/>
                <w:sz w:val="18"/>
                <w:lang w:eastAsia="zh-CN"/>
              </w:rPr>
            </w:pPr>
            <w:r>
              <w:rPr>
                <w:rFonts w:ascii="Arial" w:hAnsi="Arial"/>
                <w:sz w:val="18"/>
                <w:lang w:eastAsia="zh-CN"/>
              </w:rPr>
              <w:t>NF instance identifiers of the data sources.</w:t>
            </w:r>
          </w:p>
        </w:tc>
        <w:tc>
          <w:tcPr>
            <w:tcW w:w="1916" w:type="dxa"/>
            <w:tcBorders>
              <w:top w:val="single" w:sz="6" w:space="0" w:color="auto"/>
              <w:left w:val="single" w:sz="6" w:space="0" w:color="auto"/>
              <w:bottom w:val="single" w:sz="6" w:space="0" w:color="auto"/>
              <w:right w:val="single" w:sz="6" w:space="0" w:color="auto"/>
            </w:tcBorders>
          </w:tcPr>
          <w:p w14:paraId="6A05392A" w14:textId="77777777" w:rsidR="00BD381F" w:rsidRDefault="00BD381F" w:rsidP="00BD381F">
            <w:pPr>
              <w:keepNext/>
              <w:keepLines/>
              <w:spacing w:after="0"/>
              <w:rPr>
                <w:rFonts w:ascii="Arial" w:hAnsi="Arial" w:cs="Arial"/>
                <w:sz w:val="18"/>
                <w:szCs w:val="18"/>
              </w:rPr>
            </w:pPr>
          </w:p>
        </w:tc>
      </w:tr>
      <w:tr w:rsidR="00BD381F" w14:paraId="7DD0B074"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696C9A58" w14:textId="77777777" w:rsidR="00BD381F" w:rsidRDefault="00BD381F" w:rsidP="00BD381F">
            <w:pPr>
              <w:keepNext/>
              <w:keepLines/>
              <w:spacing w:after="0"/>
              <w:rPr>
                <w:rFonts w:ascii="Arial" w:hAnsi="Arial"/>
                <w:sz w:val="18"/>
              </w:rPr>
            </w:pPr>
            <w:r>
              <w:rPr>
                <w:rFonts w:ascii="Arial" w:hAnsi="Arial"/>
                <w:sz w:val="18"/>
              </w:rPr>
              <w:t>nfSetIds</w:t>
            </w:r>
          </w:p>
        </w:tc>
        <w:tc>
          <w:tcPr>
            <w:tcW w:w="2024" w:type="dxa"/>
            <w:tcBorders>
              <w:top w:val="single" w:sz="6" w:space="0" w:color="auto"/>
              <w:left w:val="single" w:sz="6" w:space="0" w:color="auto"/>
              <w:bottom w:val="single" w:sz="6" w:space="0" w:color="auto"/>
              <w:right w:val="single" w:sz="6" w:space="0" w:color="auto"/>
            </w:tcBorders>
          </w:tcPr>
          <w:p w14:paraId="066A2266" w14:textId="77777777" w:rsidR="00BD381F" w:rsidRDefault="00BD381F" w:rsidP="00BD381F">
            <w:pPr>
              <w:keepNext/>
              <w:keepLines/>
              <w:spacing w:after="0"/>
              <w:rPr>
                <w:rFonts w:ascii="Arial" w:hAnsi="Arial"/>
                <w:sz w:val="18"/>
                <w:lang w:eastAsia="zh-CN"/>
              </w:rPr>
            </w:pPr>
            <w:r>
              <w:rPr>
                <w:rFonts w:ascii="Arial" w:hAnsi="Arial"/>
                <w:sz w:val="18"/>
                <w:lang w:eastAsia="zh-CN"/>
              </w:rPr>
              <w:t>array(NfSetId)</w:t>
            </w:r>
          </w:p>
        </w:tc>
        <w:tc>
          <w:tcPr>
            <w:tcW w:w="425" w:type="dxa"/>
            <w:tcBorders>
              <w:top w:val="single" w:sz="6" w:space="0" w:color="auto"/>
              <w:left w:val="single" w:sz="6" w:space="0" w:color="auto"/>
              <w:bottom w:val="single" w:sz="6" w:space="0" w:color="auto"/>
              <w:right w:val="single" w:sz="6" w:space="0" w:color="auto"/>
            </w:tcBorders>
          </w:tcPr>
          <w:p w14:paraId="30B66345"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00B1B17" w14:textId="77777777" w:rsidR="00BD381F" w:rsidRDefault="00BD381F" w:rsidP="00BD381F">
            <w:pPr>
              <w:keepNext/>
              <w:keepLines/>
              <w:spacing w:after="0"/>
              <w:rPr>
                <w:rFonts w:ascii="Arial" w:hAnsi="Arial" w:cs="Arial"/>
                <w:sz w:val="18"/>
                <w:szCs w:val="18"/>
                <w:lang w:eastAsia="zh-CN"/>
              </w:rPr>
            </w:pPr>
            <w:r>
              <w:rPr>
                <w:rFonts w:ascii="Arial" w:hAnsi="Arial" w:cs="Arial"/>
                <w:sz w:val="18"/>
                <w:szCs w:val="18"/>
                <w:lang w:eastAsia="zh-CN"/>
              </w:rPr>
              <w:t>1..N</w:t>
            </w:r>
          </w:p>
        </w:tc>
        <w:tc>
          <w:tcPr>
            <w:tcW w:w="2410" w:type="dxa"/>
            <w:tcBorders>
              <w:top w:val="single" w:sz="6" w:space="0" w:color="auto"/>
              <w:left w:val="single" w:sz="6" w:space="0" w:color="auto"/>
              <w:bottom w:val="single" w:sz="6" w:space="0" w:color="auto"/>
              <w:right w:val="single" w:sz="6" w:space="0" w:color="auto"/>
            </w:tcBorders>
          </w:tcPr>
          <w:p w14:paraId="251B3712" w14:textId="77777777" w:rsidR="00BD381F" w:rsidRDefault="00BD381F" w:rsidP="00BD381F">
            <w:pPr>
              <w:keepNext/>
              <w:keepLines/>
              <w:spacing w:after="0"/>
              <w:rPr>
                <w:rFonts w:ascii="Arial" w:hAnsi="Arial"/>
                <w:sz w:val="18"/>
                <w:lang w:eastAsia="zh-CN"/>
              </w:rPr>
            </w:pPr>
            <w:r>
              <w:rPr>
                <w:rFonts w:ascii="Arial" w:hAnsi="Arial"/>
                <w:sz w:val="18"/>
                <w:lang w:eastAsia="zh-CN"/>
              </w:rPr>
              <w:t>NF set identifiers of the data sources.</w:t>
            </w:r>
          </w:p>
        </w:tc>
        <w:tc>
          <w:tcPr>
            <w:tcW w:w="1916" w:type="dxa"/>
            <w:tcBorders>
              <w:top w:val="single" w:sz="6" w:space="0" w:color="auto"/>
              <w:left w:val="single" w:sz="6" w:space="0" w:color="auto"/>
              <w:bottom w:val="single" w:sz="6" w:space="0" w:color="auto"/>
              <w:right w:val="single" w:sz="6" w:space="0" w:color="auto"/>
            </w:tcBorders>
          </w:tcPr>
          <w:p w14:paraId="201C6EBB" w14:textId="77777777" w:rsidR="00BD381F" w:rsidRDefault="00BD381F" w:rsidP="00BD381F">
            <w:pPr>
              <w:keepNext/>
              <w:keepLines/>
              <w:spacing w:after="0"/>
              <w:rPr>
                <w:rFonts w:ascii="Arial" w:hAnsi="Arial" w:cs="Arial"/>
                <w:sz w:val="18"/>
                <w:szCs w:val="18"/>
              </w:rPr>
            </w:pPr>
          </w:p>
        </w:tc>
      </w:tr>
      <w:tr w:rsidR="00BD381F" w14:paraId="6855FACD"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A0E5F01" w14:textId="77777777" w:rsidR="00BD381F" w:rsidRDefault="00BD381F" w:rsidP="00BD381F">
            <w:pPr>
              <w:keepNext/>
              <w:keepLines/>
              <w:spacing w:after="0"/>
              <w:rPr>
                <w:rFonts w:ascii="Arial" w:hAnsi="Arial"/>
                <w:sz w:val="18"/>
              </w:rPr>
            </w:pPr>
            <w:r>
              <w:rPr>
                <w:rFonts w:ascii="Arial" w:hAnsi="Arial"/>
                <w:sz w:val="18"/>
              </w:rPr>
              <w:t>ratio</w:t>
            </w:r>
          </w:p>
        </w:tc>
        <w:tc>
          <w:tcPr>
            <w:tcW w:w="2024" w:type="dxa"/>
            <w:tcBorders>
              <w:top w:val="single" w:sz="6" w:space="0" w:color="auto"/>
              <w:left w:val="single" w:sz="6" w:space="0" w:color="auto"/>
              <w:bottom w:val="single" w:sz="6" w:space="0" w:color="auto"/>
              <w:right w:val="single" w:sz="6" w:space="0" w:color="auto"/>
            </w:tcBorders>
          </w:tcPr>
          <w:p w14:paraId="245F95C9" w14:textId="77777777" w:rsidR="00BD381F" w:rsidRDefault="00BD381F" w:rsidP="00BD381F">
            <w:pPr>
              <w:keepNext/>
              <w:keepLines/>
              <w:spacing w:after="0"/>
              <w:rPr>
                <w:rFonts w:ascii="Arial" w:hAnsi="Arial"/>
                <w:sz w:val="18"/>
                <w:lang w:eastAsia="zh-CN"/>
              </w:rPr>
            </w:pPr>
            <w:r>
              <w:rPr>
                <w:rFonts w:ascii="Arial" w:hAnsi="Arial"/>
                <w:sz w:val="18"/>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0202137E" w14:textId="77777777" w:rsidR="00BD381F" w:rsidRDefault="00BD381F" w:rsidP="00BD381F">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4B28997" w14:textId="77777777" w:rsidR="00BD381F" w:rsidRDefault="00BD381F" w:rsidP="00BD381F">
            <w:pPr>
              <w:keepNext/>
              <w:keepLines/>
              <w:spacing w:after="0"/>
              <w:rPr>
                <w:rFonts w:ascii="Arial" w:hAnsi="Arial" w:cs="Arial"/>
                <w:sz w:val="18"/>
                <w:szCs w:val="18"/>
                <w:lang w:eastAsia="zh-CN"/>
              </w:rPr>
            </w:pPr>
            <w:r>
              <w:rPr>
                <w:rFonts w:ascii="Arial" w:hAnsi="Arial" w:cs="Arial"/>
                <w:sz w:val="18"/>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70551DE7" w14:textId="77777777" w:rsidR="00BD381F" w:rsidRDefault="00BD381F" w:rsidP="00BD381F">
            <w:pPr>
              <w:keepNext/>
              <w:keepLines/>
              <w:spacing w:after="0"/>
              <w:rPr>
                <w:rFonts w:ascii="Arial" w:hAnsi="Arial"/>
                <w:sz w:val="18"/>
                <w:lang w:eastAsia="zh-CN"/>
              </w:rPr>
            </w:pPr>
            <w:r>
              <w:rPr>
                <w:rFonts w:ascii="Arial" w:hAnsi="Arial"/>
                <w:sz w:val="18"/>
                <w:lang w:eastAsia="zh-CN"/>
              </w:rPr>
              <w:t>Sampling ratio, indicates the percentage of the available data values.</w:t>
            </w:r>
          </w:p>
          <w:p w14:paraId="0C6912AB" w14:textId="77777777" w:rsidR="00BD381F" w:rsidRDefault="00BD381F" w:rsidP="00BD381F">
            <w:pPr>
              <w:keepNext/>
              <w:keepLines/>
              <w:spacing w:after="0"/>
              <w:rPr>
                <w:rFonts w:ascii="Arial" w:hAnsi="Arial"/>
                <w:sz w:val="18"/>
                <w:lang w:eastAsia="zh-CN"/>
              </w:rPr>
            </w:pPr>
            <w:r>
              <w:rPr>
                <w:rFonts w:ascii="Arial" w:hAnsi="Arial"/>
                <w:sz w:val="18"/>
                <w:lang w:eastAsia="zh-CN"/>
              </w:rPr>
              <w:t>Minimum = 0. Maximum = 100.</w:t>
            </w:r>
          </w:p>
        </w:tc>
        <w:tc>
          <w:tcPr>
            <w:tcW w:w="1916" w:type="dxa"/>
            <w:tcBorders>
              <w:top w:val="single" w:sz="6" w:space="0" w:color="auto"/>
              <w:left w:val="single" w:sz="6" w:space="0" w:color="auto"/>
              <w:bottom w:val="single" w:sz="6" w:space="0" w:color="auto"/>
              <w:right w:val="single" w:sz="6" w:space="0" w:color="auto"/>
            </w:tcBorders>
          </w:tcPr>
          <w:p w14:paraId="35FDE564" w14:textId="77777777" w:rsidR="00BD381F" w:rsidRDefault="00BD381F" w:rsidP="00BD381F">
            <w:pPr>
              <w:keepNext/>
              <w:keepLines/>
              <w:spacing w:after="0"/>
              <w:rPr>
                <w:rFonts w:ascii="Arial" w:hAnsi="Arial" w:cs="Arial"/>
                <w:sz w:val="18"/>
                <w:szCs w:val="18"/>
              </w:rPr>
            </w:pPr>
          </w:p>
        </w:tc>
      </w:tr>
    </w:tbl>
    <w:p w14:paraId="458383A2" w14:textId="77777777" w:rsidR="00D654A6" w:rsidRDefault="00D654A6" w:rsidP="00D654A6">
      <w:pPr>
        <w:rPr>
          <w:lang w:val="es-ES"/>
        </w:rPr>
      </w:pPr>
    </w:p>
    <w:p w14:paraId="615DACAD" w14:textId="77777777" w:rsidR="00A10B25" w:rsidRDefault="00A10B25">
      <w:pPr>
        <w:pStyle w:val="5"/>
      </w:pPr>
      <w:bookmarkStart w:id="13947" w:name="_Toc164921080"/>
      <w:bookmarkStart w:id="13948" w:name="_Toc170120622"/>
      <w:bookmarkStart w:id="13949" w:name="_Toc175858867"/>
      <w:bookmarkStart w:id="13950" w:name="_Toc175859940"/>
      <w:bookmarkStart w:id="13951" w:name="_Toc180606230"/>
      <w:bookmarkStart w:id="13952" w:name="_Toc185517491"/>
      <w:bookmarkStart w:id="13953" w:name="_Toc191576543"/>
      <w:bookmarkStart w:id="13954" w:name="_Toc191577283"/>
      <w:bookmarkStart w:id="13955" w:name="_Toc192880353"/>
      <w:bookmarkStart w:id="13956" w:name="_Toc195815242"/>
      <w:bookmarkStart w:id="13957" w:name="_Toc199453209"/>
      <w:r>
        <w:lastRenderedPageBreak/>
        <w:t>5.4.6.2.13</w:t>
      </w:r>
      <w:r>
        <w:tab/>
        <w:t>Type ModelProvisionParamsExt</w:t>
      </w:r>
      <w:bookmarkEnd w:id="13930"/>
      <w:bookmarkEnd w:id="13931"/>
      <w:bookmarkEnd w:id="13932"/>
      <w:bookmarkEnd w:id="13933"/>
      <w:bookmarkEnd w:id="13947"/>
      <w:bookmarkEnd w:id="13948"/>
      <w:bookmarkEnd w:id="13949"/>
      <w:bookmarkEnd w:id="13950"/>
      <w:bookmarkEnd w:id="13951"/>
      <w:bookmarkEnd w:id="13952"/>
      <w:bookmarkEnd w:id="13953"/>
      <w:bookmarkEnd w:id="13954"/>
      <w:bookmarkEnd w:id="13955"/>
      <w:bookmarkEnd w:id="13956"/>
      <w:bookmarkEnd w:id="13957"/>
    </w:p>
    <w:p w14:paraId="61B645FB"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5.4.6.2.13-1: Definition of type </w:t>
      </w:r>
      <w:r>
        <w:t>ModelProvisionParamsExt</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79701859" w14:textId="77777777" w:rsidTr="0076721C">
        <w:trPr>
          <w:trHeight w:val="276"/>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8A7A5EC" w14:textId="77777777" w:rsidR="00A10B25" w:rsidRDefault="00A10B25">
            <w:pPr>
              <w:pStyle w:val="TAL"/>
              <w:jc w:val="center"/>
              <w:rPr>
                <w:b/>
                <w:bCs/>
              </w:rPr>
            </w:pPr>
            <w:r>
              <w:rPr>
                <w:b/>
                <w:bCs/>
              </w:rP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42950C40" w14:textId="77777777" w:rsidR="00A10B25" w:rsidRDefault="00A10B25">
            <w:pPr>
              <w:pStyle w:val="TAL"/>
              <w:jc w:val="center"/>
              <w:rPr>
                <w:b/>
                <w:bCs/>
              </w:rPr>
            </w:pPr>
            <w:r>
              <w:rPr>
                <w:b/>
                <w:bCs/>
              </w:rP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6B03D1F5" w14:textId="77777777" w:rsidR="00A10B25" w:rsidRDefault="00A10B25">
            <w:pPr>
              <w:pStyle w:val="TAL"/>
              <w:jc w:val="center"/>
              <w:rPr>
                <w:b/>
                <w:bCs/>
              </w:rPr>
            </w:pPr>
            <w:r>
              <w:rPr>
                <w:b/>
                <w:bCs/>
              </w:rP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C9A94A0" w14:textId="77777777" w:rsidR="00A10B25" w:rsidRDefault="00A10B25">
            <w:pPr>
              <w:pStyle w:val="TAL"/>
              <w:jc w:val="center"/>
              <w:rPr>
                <w:b/>
                <w:bCs/>
              </w:rPr>
            </w:pPr>
            <w:r>
              <w:rPr>
                <w:b/>
                <w:bCs/>
              </w:rP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214471E7" w14:textId="77777777" w:rsidR="00A10B25" w:rsidRDefault="00A10B25">
            <w:pPr>
              <w:pStyle w:val="TAL"/>
              <w:jc w:val="center"/>
              <w:rPr>
                <w:b/>
                <w:bCs/>
              </w:rPr>
            </w:pPr>
            <w:r>
              <w:rPr>
                <w:b/>
                <w:bCs/>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59D27219" w14:textId="77777777" w:rsidR="00A10B25" w:rsidRDefault="00A10B25">
            <w:pPr>
              <w:pStyle w:val="TAL"/>
              <w:jc w:val="center"/>
              <w:rPr>
                <w:rFonts w:cs="Arial"/>
                <w:b/>
                <w:bCs/>
                <w:szCs w:val="18"/>
              </w:rPr>
            </w:pPr>
            <w:r>
              <w:rPr>
                <w:rFonts w:cs="Arial"/>
                <w:b/>
                <w:bCs/>
                <w:szCs w:val="18"/>
              </w:rPr>
              <w:t>Applicability</w:t>
            </w:r>
          </w:p>
        </w:tc>
      </w:tr>
      <w:tr w:rsidR="00E06B31" w14:paraId="1FC87507" w14:textId="77777777" w:rsidTr="0076721C">
        <w:trPr>
          <w:trHeight w:val="1429"/>
          <w:jc w:val="center"/>
        </w:trPr>
        <w:tc>
          <w:tcPr>
            <w:tcW w:w="1701" w:type="dxa"/>
          </w:tcPr>
          <w:p w14:paraId="5C63046B" w14:textId="77777777" w:rsidR="00E06B31" w:rsidRDefault="00E06B31" w:rsidP="00E06B31">
            <w:pPr>
              <w:pStyle w:val="TAL"/>
            </w:pPr>
            <w:r>
              <w:rPr>
                <w:rStyle w:val="ui-provider"/>
              </w:rPr>
              <w:t>modelInterInfo</w:t>
            </w:r>
          </w:p>
        </w:tc>
        <w:tc>
          <w:tcPr>
            <w:tcW w:w="2494" w:type="dxa"/>
          </w:tcPr>
          <w:p w14:paraId="5DAD60E6" w14:textId="77777777" w:rsidR="00E06B31" w:rsidRDefault="00E06B31" w:rsidP="00E06B31">
            <w:pPr>
              <w:pStyle w:val="TAL"/>
            </w:pPr>
            <w:r>
              <w:t>string</w:t>
            </w:r>
          </w:p>
        </w:tc>
        <w:tc>
          <w:tcPr>
            <w:tcW w:w="487" w:type="dxa"/>
          </w:tcPr>
          <w:p w14:paraId="5F6B4433" w14:textId="77777777" w:rsidR="00E06B31" w:rsidRDefault="00E06B31" w:rsidP="00E06B31">
            <w:pPr>
              <w:pStyle w:val="TAL"/>
            </w:pPr>
            <w:r>
              <w:t>O</w:t>
            </w:r>
          </w:p>
        </w:tc>
        <w:tc>
          <w:tcPr>
            <w:tcW w:w="1067" w:type="dxa"/>
          </w:tcPr>
          <w:p w14:paraId="312440E7" w14:textId="77777777" w:rsidR="00E06B31" w:rsidRDefault="00E06B31" w:rsidP="00E06B31">
            <w:pPr>
              <w:pStyle w:val="TAL"/>
            </w:pPr>
            <w:r>
              <w:t>0..1</w:t>
            </w:r>
          </w:p>
        </w:tc>
        <w:tc>
          <w:tcPr>
            <w:tcW w:w="2512" w:type="dxa"/>
          </w:tcPr>
          <w:p w14:paraId="56DAB8BB" w14:textId="77777777" w:rsidR="00E06B31" w:rsidRDefault="00E06B31" w:rsidP="00E06B31">
            <w:pPr>
              <w:pStyle w:val="TAL"/>
            </w:pPr>
            <w:r>
              <w:t>Represents the ML Model Interoperability Information. This is vendor-specific information and is agreed between vendors, if necessary for sharing purposes.</w:t>
            </w:r>
          </w:p>
          <w:p w14:paraId="1FEDBD78" w14:textId="77777777" w:rsidR="00E06B31" w:rsidRDefault="00E06B31" w:rsidP="00E06B31">
            <w:pPr>
              <w:spacing w:after="0"/>
              <w:rPr>
                <w:rFonts w:eastAsia="Times New Roman"/>
                <w:sz w:val="24"/>
                <w:szCs w:val="24"/>
              </w:rPr>
            </w:pPr>
            <w:r w:rsidRPr="00635E7C">
              <w:rPr>
                <w:rFonts w:ascii="Arial" w:hAnsi="Arial"/>
                <w:sz w:val="18"/>
              </w:rPr>
              <w:t>The format of value is out of 3GPP.</w:t>
            </w:r>
          </w:p>
        </w:tc>
        <w:tc>
          <w:tcPr>
            <w:tcW w:w="1349" w:type="dxa"/>
          </w:tcPr>
          <w:p w14:paraId="7E8A6EC5" w14:textId="77777777" w:rsidR="00E06B31" w:rsidRDefault="00E06B31" w:rsidP="00E06B31">
            <w:pPr>
              <w:pStyle w:val="TAL"/>
              <w:rPr>
                <w:rFonts w:cs="Arial"/>
                <w:szCs w:val="18"/>
              </w:rPr>
            </w:pPr>
          </w:p>
        </w:tc>
      </w:tr>
      <w:tr w:rsidR="00E06B31" w14:paraId="3072B683" w14:textId="77777777" w:rsidTr="0076721C">
        <w:trPr>
          <w:trHeight w:val="420"/>
          <w:jc w:val="center"/>
        </w:trPr>
        <w:tc>
          <w:tcPr>
            <w:tcW w:w="1701" w:type="dxa"/>
          </w:tcPr>
          <w:p w14:paraId="683E51F3" w14:textId="77777777" w:rsidR="00E06B31" w:rsidRDefault="00E06B31" w:rsidP="00E06B31">
            <w:pPr>
              <w:pStyle w:val="TAL"/>
            </w:pPr>
            <w:r>
              <w:t>reqRepRatio</w:t>
            </w:r>
          </w:p>
        </w:tc>
        <w:tc>
          <w:tcPr>
            <w:tcW w:w="2494" w:type="dxa"/>
          </w:tcPr>
          <w:p w14:paraId="39DAD143" w14:textId="77777777" w:rsidR="00E06B31" w:rsidRDefault="00E06B31" w:rsidP="00E06B31">
            <w:pPr>
              <w:pStyle w:val="TAL"/>
            </w:pPr>
            <w:r>
              <w:t>Uinteger</w:t>
            </w:r>
          </w:p>
        </w:tc>
        <w:tc>
          <w:tcPr>
            <w:tcW w:w="487" w:type="dxa"/>
          </w:tcPr>
          <w:p w14:paraId="1A9AC618" w14:textId="77777777" w:rsidR="00E06B31" w:rsidRDefault="00E06B31" w:rsidP="00E06B31">
            <w:pPr>
              <w:pStyle w:val="TAL"/>
            </w:pPr>
            <w:r>
              <w:t>O</w:t>
            </w:r>
          </w:p>
        </w:tc>
        <w:tc>
          <w:tcPr>
            <w:tcW w:w="1067" w:type="dxa"/>
          </w:tcPr>
          <w:p w14:paraId="3EAE3686" w14:textId="77777777" w:rsidR="00E06B31" w:rsidRDefault="00E06B31" w:rsidP="00E06B31">
            <w:pPr>
              <w:pStyle w:val="TAL"/>
            </w:pPr>
            <w:r>
              <w:t>0..1</w:t>
            </w:r>
          </w:p>
        </w:tc>
        <w:tc>
          <w:tcPr>
            <w:tcW w:w="2512" w:type="dxa"/>
          </w:tcPr>
          <w:p w14:paraId="3C6E882C" w14:textId="77777777" w:rsidR="00E06B31" w:rsidRDefault="00E06B31" w:rsidP="00E06B31">
            <w:pPr>
              <w:pStyle w:val="TAL"/>
            </w:pPr>
            <w:r>
              <w:t>Minimum percentage of UEs whose data is used for training an ML model when the target of ML model reporting is a group of UEs.</w:t>
            </w:r>
          </w:p>
          <w:p w14:paraId="776AE37C" w14:textId="77777777" w:rsidR="00E06B31" w:rsidRDefault="00E06B31" w:rsidP="00E06B31">
            <w:pPr>
              <w:pStyle w:val="TAL"/>
            </w:pPr>
            <w:r>
              <w:rPr>
                <w:lang w:eastAsia="zh-CN"/>
              </w:rPr>
              <w:t>Minimum = 0. Maximum = 100.</w:t>
            </w:r>
          </w:p>
        </w:tc>
        <w:tc>
          <w:tcPr>
            <w:tcW w:w="1349" w:type="dxa"/>
          </w:tcPr>
          <w:p w14:paraId="5AA614A4" w14:textId="77777777" w:rsidR="00E06B31" w:rsidRDefault="00E06B31" w:rsidP="00E06B31">
            <w:pPr>
              <w:pStyle w:val="TAL"/>
              <w:rPr>
                <w:rFonts w:cs="Arial"/>
                <w:szCs w:val="18"/>
              </w:rPr>
            </w:pPr>
          </w:p>
        </w:tc>
      </w:tr>
      <w:tr w:rsidR="00E06B31" w14:paraId="0434EDDC" w14:textId="77777777" w:rsidTr="0076721C">
        <w:trPr>
          <w:trHeight w:val="420"/>
          <w:jc w:val="center"/>
        </w:trPr>
        <w:tc>
          <w:tcPr>
            <w:tcW w:w="1701" w:type="dxa"/>
          </w:tcPr>
          <w:p w14:paraId="3BD09EC0" w14:textId="77777777" w:rsidR="00E06B31" w:rsidRDefault="00E06B31" w:rsidP="00E06B31">
            <w:pPr>
              <w:pStyle w:val="TAL"/>
            </w:pPr>
            <w:r>
              <w:t>inferInpDataInfos</w:t>
            </w:r>
          </w:p>
        </w:tc>
        <w:tc>
          <w:tcPr>
            <w:tcW w:w="2494" w:type="dxa"/>
          </w:tcPr>
          <w:p w14:paraId="4D66F973" w14:textId="77777777" w:rsidR="00E06B31" w:rsidRDefault="00E06B31" w:rsidP="00E06B31">
            <w:pPr>
              <w:pStyle w:val="TAL"/>
            </w:pPr>
            <w:r>
              <w:t>array(InputDataInfo)</w:t>
            </w:r>
          </w:p>
        </w:tc>
        <w:tc>
          <w:tcPr>
            <w:tcW w:w="487" w:type="dxa"/>
          </w:tcPr>
          <w:p w14:paraId="027C987B" w14:textId="77777777" w:rsidR="00E06B31" w:rsidRDefault="00E06B31" w:rsidP="00E06B31">
            <w:pPr>
              <w:pStyle w:val="TAL"/>
            </w:pPr>
            <w:r>
              <w:t>O</w:t>
            </w:r>
          </w:p>
        </w:tc>
        <w:tc>
          <w:tcPr>
            <w:tcW w:w="1067" w:type="dxa"/>
          </w:tcPr>
          <w:p w14:paraId="00F26926" w14:textId="77777777" w:rsidR="00E06B31" w:rsidRDefault="00E06B31" w:rsidP="00E06B31">
            <w:pPr>
              <w:pStyle w:val="TAL"/>
            </w:pPr>
            <w:r>
              <w:t>1..N</w:t>
            </w:r>
          </w:p>
        </w:tc>
        <w:tc>
          <w:tcPr>
            <w:tcW w:w="2512" w:type="dxa"/>
          </w:tcPr>
          <w:p w14:paraId="6EB88EB3" w14:textId="77777777" w:rsidR="00E06B31" w:rsidRDefault="00E06B31" w:rsidP="00E06B31">
            <w:pPr>
              <w:pStyle w:val="TAL"/>
            </w:pPr>
            <w:r>
              <w:t>The metrics of input data that are expected to be used by NWDAF containing AnLF during inference</w:t>
            </w:r>
            <w:r>
              <w:rPr>
                <w:rFonts w:hint="eastAsia"/>
                <w:lang w:eastAsia="zh-CN"/>
              </w:rPr>
              <w:t>.</w:t>
            </w:r>
          </w:p>
        </w:tc>
        <w:tc>
          <w:tcPr>
            <w:tcW w:w="1349" w:type="dxa"/>
          </w:tcPr>
          <w:p w14:paraId="39476D32" w14:textId="77777777" w:rsidR="00E06B31" w:rsidRDefault="00E06B31" w:rsidP="00E06B31">
            <w:pPr>
              <w:pStyle w:val="TAL"/>
              <w:rPr>
                <w:rFonts w:cs="Arial"/>
                <w:szCs w:val="18"/>
              </w:rPr>
            </w:pPr>
          </w:p>
        </w:tc>
      </w:tr>
      <w:tr w:rsidR="00E06B31" w14:paraId="59CB540D" w14:textId="77777777" w:rsidTr="0076721C">
        <w:trPr>
          <w:trHeight w:val="420"/>
          <w:jc w:val="center"/>
        </w:trPr>
        <w:tc>
          <w:tcPr>
            <w:tcW w:w="1701" w:type="dxa"/>
          </w:tcPr>
          <w:p w14:paraId="7D95CA77" w14:textId="77777777" w:rsidR="00E06B31" w:rsidRDefault="00E06B31" w:rsidP="00E06B31">
            <w:pPr>
              <w:pStyle w:val="TAL"/>
            </w:pPr>
            <w:r>
              <w:t>multModelsInd</w:t>
            </w:r>
          </w:p>
        </w:tc>
        <w:tc>
          <w:tcPr>
            <w:tcW w:w="2494" w:type="dxa"/>
          </w:tcPr>
          <w:p w14:paraId="76852440" w14:textId="77777777" w:rsidR="00E06B31" w:rsidRDefault="00E06B31" w:rsidP="00E06B31">
            <w:pPr>
              <w:pStyle w:val="TAL"/>
            </w:pPr>
            <w:r>
              <w:t>boolean</w:t>
            </w:r>
          </w:p>
        </w:tc>
        <w:tc>
          <w:tcPr>
            <w:tcW w:w="487" w:type="dxa"/>
          </w:tcPr>
          <w:p w14:paraId="6CCC902D" w14:textId="77777777" w:rsidR="00E06B31" w:rsidRDefault="00E06B31" w:rsidP="00E06B31">
            <w:pPr>
              <w:pStyle w:val="TAL"/>
            </w:pPr>
            <w:r>
              <w:t>O</w:t>
            </w:r>
          </w:p>
        </w:tc>
        <w:tc>
          <w:tcPr>
            <w:tcW w:w="1067" w:type="dxa"/>
          </w:tcPr>
          <w:p w14:paraId="7EC401F5" w14:textId="77777777" w:rsidR="00E06B31" w:rsidRDefault="00E06B31" w:rsidP="00E06B31">
            <w:pPr>
              <w:pStyle w:val="TAL"/>
            </w:pPr>
            <w:r>
              <w:t>0..1</w:t>
            </w:r>
          </w:p>
        </w:tc>
        <w:tc>
          <w:tcPr>
            <w:tcW w:w="2512" w:type="dxa"/>
          </w:tcPr>
          <w:p w14:paraId="408C1EB2" w14:textId="77777777" w:rsidR="00E06B31" w:rsidRDefault="00E06B31" w:rsidP="00E06B31">
            <w:pPr>
              <w:pStyle w:val="TAL"/>
            </w:pPr>
            <w:r>
              <w:t>If provided and set to "true", it indicates that the NF service consumer supports receiving multiple ML models. If omitted or set to "false" the NF service consumer does not support multiple ML models. The default value is false.</w:t>
            </w:r>
          </w:p>
        </w:tc>
        <w:tc>
          <w:tcPr>
            <w:tcW w:w="1349" w:type="dxa"/>
          </w:tcPr>
          <w:p w14:paraId="5A8274E5" w14:textId="77777777" w:rsidR="00E06B31" w:rsidRDefault="00E06B31" w:rsidP="00E06B31">
            <w:pPr>
              <w:pStyle w:val="TAL"/>
              <w:rPr>
                <w:rFonts w:cs="Arial"/>
                <w:szCs w:val="18"/>
              </w:rPr>
            </w:pPr>
          </w:p>
        </w:tc>
      </w:tr>
      <w:tr w:rsidR="00E06B31" w14:paraId="6967B32F" w14:textId="77777777" w:rsidTr="0076721C">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68644EE9" w14:textId="77777777" w:rsidR="00E06B31" w:rsidRDefault="00E06B31" w:rsidP="00E06B31">
            <w:pPr>
              <w:pStyle w:val="TAL"/>
            </w:pPr>
            <w:r>
              <w:t>numModels</w:t>
            </w:r>
          </w:p>
        </w:tc>
        <w:tc>
          <w:tcPr>
            <w:tcW w:w="2494" w:type="dxa"/>
            <w:tcBorders>
              <w:top w:val="single" w:sz="6" w:space="0" w:color="auto"/>
              <w:left w:val="single" w:sz="6" w:space="0" w:color="auto"/>
              <w:bottom w:val="single" w:sz="6" w:space="0" w:color="auto"/>
              <w:right w:val="single" w:sz="6" w:space="0" w:color="auto"/>
            </w:tcBorders>
          </w:tcPr>
          <w:p w14:paraId="6B3438D4" w14:textId="77777777" w:rsidR="00E06B31" w:rsidRDefault="00E06B31" w:rsidP="00E06B31">
            <w:pPr>
              <w:pStyle w:val="TAL"/>
            </w:pPr>
            <w:r>
              <w:t>Uinteger</w:t>
            </w:r>
          </w:p>
        </w:tc>
        <w:tc>
          <w:tcPr>
            <w:tcW w:w="487" w:type="dxa"/>
            <w:tcBorders>
              <w:top w:val="single" w:sz="6" w:space="0" w:color="auto"/>
              <w:left w:val="single" w:sz="6" w:space="0" w:color="auto"/>
              <w:bottom w:val="single" w:sz="6" w:space="0" w:color="auto"/>
              <w:right w:val="single" w:sz="6" w:space="0" w:color="auto"/>
            </w:tcBorders>
          </w:tcPr>
          <w:p w14:paraId="4D750457" w14:textId="77777777" w:rsidR="00E06B31" w:rsidRDefault="00E06B31" w:rsidP="00E06B31">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1D346A07" w14:textId="77777777" w:rsidR="00E06B31" w:rsidRDefault="00E06B31" w:rsidP="00E06B31">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7ED46202" w14:textId="77777777" w:rsidR="00E06B31" w:rsidRDefault="00E06B31" w:rsidP="00E06B31">
            <w:pPr>
              <w:pStyle w:val="TAL"/>
            </w:pPr>
            <w:r>
              <w:t>Maximum number of ML models that the consumer supports to receive for a specific analytics ID. It may only be provided if the "multModelsInd" attribute is provided and set to "true".</w:t>
            </w:r>
          </w:p>
        </w:tc>
        <w:tc>
          <w:tcPr>
            <w:tcW w:w="1349" w:type="dxa"/>
            <w:tcBorders>
              <w:top w:val="single" w:sz="6" w:space="0" w:color="auto"/>
              <w:left w:val="single" w:sz="6" w:space="0" w:color="auto"/>
              <w:bottom w:val="single" w:sz="6" w:space="0" w:color="auto"/>
              <w:right w:val="single" w:sz="6" w:space="0" w:color="auto"/>
            </w:tcBorders>
          </w:tcPr>
          <w:p w14:paraId="34C0F444" w14:textId="77777777" w:rsidR="00E06B31" w:rsidRDefault="00E06B31" w:rsidP="00E06B31">
            <w:pPr>
              <w:pStyle w:val="TAL"/>
              <w:rPr>
                <w:rFonts w:cs="Arial"/>
                <w:szCs w:val="18"/>
              </w:rPr>
            </w:pPr>
          </w:p>
        </w:tc>
      </w:tr>
      <w:tr w:rsidR="00E06B31" w14:paraId="349A450B" w14:textId="77777777" w:rsidTr="0076721C">
        <w:trPr>
          <w:trHeight w:val="420"/>
          <w:jc w:val="center"/>
        </w:trPr>
        <w:tc>
          <w:tcPr>
            <w:tcW w:w="1701" w:type="dxa"/>
          </w:tcPr>
          <w:p w14:paraId="4A521426" w14:textId="77777777" w:rsidR="00E06B31" w:rsidRDefault="00E06B31" w:rsidP="00E06B31">
            <w:pPr>
              <w:pStyle w:val="TAL"/>
            </w:pPr>
            <w:r>
              <w:t>accuLevels</w:t>
            </w:r>
          </w:p>
        </w:tc>
        <w:tc>
          <w:tcPr>
            <w:tcW w:w="2494" w:type="dxa"/>
          </w:tcPr>
          <w:p w14:paraId="49DBDC3B" w14:textId="77777777" w:rsidR="00E06B31" w:rsidRDefault="00E06B31" w:rsidP="00E06B31">
            <w:pPr>
              <w:pStyle w:val="TAL"/>
            </w:pPr>
            <w:r>
              <w:t>array(Accuracy)</w:t>
            </w:r>
          </w:p>
        </w:tc>
        <w:tc>
          <w:tcPr>
            <w:tcW w:w="487" w:type="dxa"/>
          </w:tcPr>
          <w:p w14:paraId="129CA8E4" w14:textId="77777777" w:rsidR="00E06B31" w:rsidRDefault="00E06B31" w:rsidP="00E06B31">
            <w:pPr>
              <w:pStyle w:val="TAL"/>
            </w:pPr>
            <w:r>
              <w:t>O</w:t>
            </w:r>
          </w:p>
        </w:tc>
        <w:tc>
          <w:tcPr>
            <w:tcW w:w="1067" w:type="dxa"/>
          </w:tcPr>
          <w:p w14:paraId="1F07E40F" w14:textId="77777777" w:rsidR="00E06B31" w:rsidRDefault="00E06B31" w:rsidP="00E06B31">
            <w:pPr>
              <w:pStyle w:val="TAL"/>
            </w:pPr>
            <w:r>
              <w:t>1..N</w:t>
            </w:r>
          </w:p>
        </w:tc>
        <w:tc>
          <w:tcPr>
            <w:tcW w:w="2512" w:type="dxa"/>
          </w:tcPr>
          <w:p w14:paraId="0CC4D3E4" w14:textId="77777777" w:rsidR="00E06B31" w:rsidRDefault="00E06B31" w:rsidP="00E06B31">
            <w:pPr>
              <w:pStyle w:val="TAL"/>
            </w:pPr>
            <w:r>
              <w:t>Provided accuracy levels of interest for ML models.</w:t>
            </w:r>
          </w:p>
        </w:tc>
        <w:tc>
          <w:tcPr>
            <w:tcW w:w="1349" w:type="dxa"/>
          </w:tcPr>
          <w:p w14:paraId="76018D65" w14:textId="77777777" w:rsidR="00E06B31" w:rsidRDefault="00E06B31" w:rsidP="00E06B31">
            <w:pPr>
              <w:pStyle w:val="TAL"/>
              <w:rPr>
                <w:rFonts w:cs="Arial"/>
                <w:szCs w:val="18"/>
              </w:rPr>
            </w:pPr>
          </w:p>
        </w:tc>
      </w:tr>
    </w:tbl>
    <w:p w14:paraId="1D577976" w14:textId="77777777" w:rsidR="00A10B25" w:rsidRDefault="00A10B25"/>
    <w:p w14:paraId="3FDB5BC4" w14:textId="77777777" w:rsidR="00D654A6" w:rsidRDefault="00D654A6" w:rsidP="00D654A6">
      <w:pPr>
        <w:pStyle w:val="5"/>
      </w:pPr>
      <w:bookmarkStart w:id="13958" w:name="_Toc145705980"/>
      <w:bookmarkStart w:id="13959" w:name="_Toc136562651"/>
      <w:bookmarkStart w:id="13960" w:name="_Toc138754485"/>
      <w:bookmarkStart w:id="13961" w:name="_Toc148522894"/>
      <w:bookmarkStart w:id="13962" w:name="_Toc136562650"/>
      <w:bookmarkStart w:id="13963" w:name="_Toc145705979"/>
      <w:bookmarkStart w:id="13964" w:name="_Toc148522893"/>
      <w:bookmarkStart w:id="13965" w:name="_Toc138754484"/>
      <w:bookmarkStart w:id="13966" w:name="_Toc164921081"/>
      <w:bookmarkStart w:id="13967" w:name="_Toc170120623"/>
      <w:bookmarkStart w:id="13968" w:name="_Toc175858868"/>
      <w:bookmarkStart w:id="13969" w:name="_Toc175859941"/>
      <w:bookmarkStart w:id="13970" w:name="_Toc180606231"/>
      <w:bookmarkStart w:id="13971" w:name="_Toc185517492"/>
      <w:bookmarkStart w:id="13972" w:name="_Toc191576544"/>
      <w:bookmarkStart w:id="13973" w:name="_Toc191577284"/>
      <w:bookmarkStart w:id="13974" w:name="_Toc192880354"/>
      <w:bookmarkStart w:id="13975" w:name="_Toc195815243"/>
      <w:bookmarkStart w:id="13976" w:name="_Toc199453210"/>
      <w:r>
        <w:lastRenderedPageBreak/>
        <w:t>5.4.6.2.14</w:t>
      </w:r>
      <w:r>
        <w:tab/>
        <w:t>Type AdditionalMLModelInformation</w:t>
      </w:r>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p>
    <w:p w14:paraId="5D5C3502" w14:textId="77777777" w:rsidR="00D654A6" w:rsidRDefault="00D654A6" w:rsidP="00D654A6">
      <w:pPr>
        <w:pStyle w:val="TH"/>
        <w:overflowPunct w:val="0"/>
        <w:autoSpaceDE w:val="0"/>
        <w:autoSpaceDN w:val="0"/>
        <w:adjustRightInd w:val="0"/>
        <w:textAlignment w:val="baseline"/>
        <w:rPr>
          <w:rFonts w:eastAsia="MS Mincho"/>
        </w:rPr>
      </w:pPr>
      <w:r>
        <w:rPr>
          <w:rFonts w:eastAsia="MS Mincho"/>
        </w:rPr>
        <w:t xml:space="preserve">Table 5.4.6.2.14-1: Definition of type </w:t>
      </w:r>
      <w:r>
        <w:t>AdditionalMLModelInformation</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024"/>
        <w:gridCol w:w="425"/>
        <w:gridCol w:w="1134"/>
        <w:gridCol w:w="2410"/>
        <w:gridCol w:w="1916"/>
      </w:tblGrid>
      <w:tr w:rsidR="00D654A6" w14:paraId="4BAFE8EA" w14:textId="77777777" w:rsidTr="005A20DD">
        <w:trPr>
          <w:trHeight w:val="209"/>
          <w:jc w:val="center"/>
        </w:trPr>
        <w:tc>
          <w:tcPr>
            <w:tcW w:w="1701" w:type="dxa"/>
            <w:shd w:val="clear" w:color="auto" w:fill="C0C0C0"/>
          </w:tcPr>
          <w:p w14:paraId="356A8085" w14:textId="77777777" w:rsidR="00D654A6" w:rsidRDefault="00D654A6" w:rsidP="005A20DD">
            <w:pPr>
              <w:pStyle w:val="TAH"/>
              <w:ind w:left="400" w:hanging="400"/>
            </w:pPr>
            <w:r>
              <w:t>Attribute name</w:t>
            </w:r>
          </w:p>
        </w:tc>
        <w:tc>
          <w:tcPr>
            <w:tcW w:w="2024" w:type="dxa"/>
            <w:shd w:val="clear" w:color="auto" w:fill="C0C0C0"/>
          </w:tcPr>
          <w:p w14:paraId="51D12C48" w14:textId="77777777" w:rsidR="00D654A6" w:rsidRDefault="00D654A6" w:rsidP="005A20DD">
            <w:pPr>
              <w:pStyle w:val="TAH"/>
              <w:ind w:left="400" w:hanging="400"/>
            </w:pPr>
            <w:r>
              <w:t>Data type</w:t>
            </w:r>
          </w:p>
        </w:tc>
        <w:tc>
          <w:tcPr>
            <w:tcW w:w="425" w:type="dxa"/>
            <w:shd w:val="clear" w:color="auto" w:fill="C0C0C0"/>
          </w:tcPr>
          <w:p w14:paraId="609CA850" w14:textId="77777777" w:rsidR="00D654A6" w:rsidRDefault="00D654A6" w:rsidP="005A20DD">
            <w:pPr>
              <w:pStyle w:val="TAH"/>
              <w:ind w:left="400" w:hanging="400"/>
            </w:pPr>
            <w:r>
              <w:t>P</w:t>
            </w:r>
          </w:p>
        </w:tc>
        <w:tc>
          <w:tcPr>
            <w:tcW w:w="1134" w:type="dxa"/>
            <w:shd w:val="clear" w:color="auto" w:fill="C0C0C0"/>
          </w:tcPr>
          <w:p w14:paraId="74F1DCF3" w14:textId="77777777" w:rsidR="00D654A6" w:rsidRDefault="00D654A6" w:rsidP="005A20DD">
            <w:pPr>
              <w:pStyle w:val="TAH"/>
              <w:ind w:left="400" w:hanging="400"/>
            </w:pPr>
            <w:r>
              <w:t>Cardinality</w:t>
            </w:r>
          </w:p>
        </w:tc>
        <w:tc>
          <w:tcPr>
            <w:tcW w:w="2410" w:type="dxa"/>
            <w:shd w:val="clear" w:color="auto" w:fill="C0C0C0"/>
          </w:tcPr>
          <w:p w14:paraId="7DB658F3" w14:textId="77777777" w:rsidR="00D654A6" w:rsidRDefault="00D654A6" w:rsidP="005A20DD">
            <w:pPr>
              <w:pStyle w:val="TAH"/>
              <w:ind w:left="400" w:hanging="400"/>
              <w:rPr>
                <w:rFonts w:cs="Arial"/>
                <w:szCs w:val="18"/>
              </w:rPr>
            </w:pPr>
            <w:r>
              <w:rPr>
                <w:rFonts w:cs="Arial"/>
                <w:szCs w:val="18"/>
              </w:rPr>
              <w:t>Description</w:t>
            </w:r>
          </w:p>
        </w:tc>
        <w:tc>
          <w:tcPr>
            <w:tcW w:w="1916" w:type="dxa"/>
            <w:shd w:val="clear" w:color="auto" w:fill="C0C0C0"/>
          </w:tcPr>
          <w:p w14:paraId="577F5A16" w14:textId="77777777" w:rsidR="00D654A6" w:rsidRDefault="00D654A6" w:rsidP="005A20DD">
            <w:pPr>
              <w:pStyle w:val="TAH"/>
              <w:ind w:left="400" w:hanging="400"/>
              <w:rPr>
                <w:rFonts w:cs="Arial"/>
                <w:szCs w:val="18"/>
              </w:rPr>
            </w:pPr>
            <w:r>
              <w:rPr>
                <w:rFonts w:cs="Arial"/>
                <w:szCs w:val="18"/>
              </w:rPr>
              <w:t>Applicability</w:t>
            </w:r>
          </w:p>
        </w:tc>
      </w:tr>
      <w:tr w:rsidR="00D654A6" w14:paraId="37E2F784"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36873A91" w14:textId="77777777" w:rsidR="00D654A6" w:rsidRDefault="00D654A6" w:rsidP="005A20DD">
            <w:pPr>
              <w:pStyle w:val="TAL"/>
              <w:rPr>
                <w:lang w:eastAsia="zh-CN"/>
              </w:rPr>
            </w:pPr>
            <w:r>
              <w:rPr>
                <w:lang w:eastAsia="zh-CN"/>
              </w:rPr>
              <w:t>mLFileAddr</w:t>
            </w:r>
          </w:p>
        </w:tc>
        <w:tc>
          <w:tcPr>
            <w:tcW w:w="2024" w:type="dxa"/>
            <w:tcBorders>
              <w:top w:val="single" w:sz="6" w:space="0" w:color="auto"/>
              <w:left w:val="single" w:sz="6" w:space="0" w:color="auto"/>
              <w:bottom w:val="single" w:sz="6" w:space="0" w:color="auto"/>
              <w:right w:val="single" w:sz="6" w:space="0" w:color="auto"/>
            </w:tcBorders>
          </w:tcPr>
          <w:p w14:paraId="7CDE932E" w14:textId="77777777" w:rsidR="00D654A6" w:rsidRDefault="00D654A6" w:rsidP="005A20DD">
            <w:pPr>
              <w:pStyle w:val="TAL"/>
            </w:pPr>
            <w:r>
              <w:t>MLModelAddr</w:t>
            </w:r>
          </w:p>
        </w:tc>
        <w:tc>
          <w:tcPr>
            <w:tcW w:w="425" w:type="dxa"/>
            <w:tcBorders>
              <w:top w:val="single" w:sz="6" w:space="0" w:color="auto"/>
              <w:left w:val="single" w:sz="6" w:space="0" w:color="auto"/>
              <w:bottom w:val="single" w:sz="6" w:space="0" w:color="auto"/>
              <w:right w:val="single" w:sz="6" w:space="0" w:color="auto"/>
            </w:tcBorders>
          </w:tcPr>
          <w:p w14:paraId="01C148FF" w14:textId="77777777" w:rsidR="00D654A6" w:rsidRDefault="00D654A6" w:rsidP="005A20DD">
            <w:pPr>
              <w:pStyle w:val="TAL"/>
              <w:rPr>
                <w:rFonts w:cs="Arial"/>
                <w:szCs w:val="18"/>
                <w:lang w:eastAsia="zh-CN"/>
              </w:rPr>
            </w:pPr>
            <w:r>
              <w:rPr>
                <w:rFonts w:cs="Arial"/>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F1A06B9"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5480C7DE" w14:textId="77777777" w:rsidR="00D654A6" w:rsidRDefault="00D654A6" w:rsidP="005A20DD">
            <w:pPr>
              <w:pStyle w:val="TAL"/>
              <w:rPr>
                <w:lang w:eastAsia="zh-CN"/>
              </w:rPr>
            </w:pPr>
            <w:r>
              <w:rPr>
                <w:lang w:eastAsia="zh-CN"/>
              </w:rPr>
              <w:t>Indicates</w:t>
            </w:r>
            <w:r>
              <w:rPr>
                <w:rFonts w:hint="eastAsia"/>
                <w:lang w:eastAsia="zh-CN"/>
              </w:rPr>
              <w:t xml:space="preserve"> the</w:t>
            </w:r>
            <w:r>
              <w:rPr>
                <w:lang w:eastAsia="zh-CN"/>
              </w:rPr>
              <w:t xml:space="preserve"> address (e.g. </w:t>
            </w:r>
            <w:r>
              <w:rPr>
                <w:rFonts w:hint="eastAsia"/>
                <w:lang w:eastAsia="zh-CN"/>
              </w:rPr>
              <w:t>a URL or a</w:t>
            </w:r>
            <w:r>
              <w:rPr>
                <w:lang w:eastAsia="zh-CN"/>
              </w:rPr>
              <w:t>n</w:t>
            </w:r>
            <w:r>
              <w:rPr>
                <w:rFonts w:hint="eastAsia"/>
                <w:lang w:eastAsia="zh-CN"/>
              </w:rPr>
              <w:t xml:space="preserve"> FQDN</w:t>
            </w:r>
            <w:r>
              <w:rPr>
                <w:lang w:eastAsia="zh-CN"/>
              </w:rPr>
              <w:t>) of the ML model file.</w:t>
            </w:r>
            <w:r>
              <w:rPr>
                <w:lang w:eastAsia="zh-CN"/>
              </w:rPr>
              <w:t xml:space="preserve"> (NOTE)</w:t>
            </w:r>
          </w:p>
        </w:tc>
        <w:tc>
          <w:tcPr>
            <w:tcW w:w="1916" w:type="dxa"/>
            <w:tcBorders>
              <w:top w:val="single" w:sz="6" w:space="0" w:color="auto"/>
              <w:left w:val="single" w:sz="6" w:space="0" w:color="auto"/>
              <w:bottom w:val="single" w:sz="6" w:space="0" w:color="auto"/>
              <w:right w:val="single" w:sz="6" w:space="0" w:color="auto"/>
            </w:tcBorders>
          </w:tcPr>
          <w:p w14:paraId="6B806657" w14:textId="77777777" w:rsidR="00D654A6" w:rsidRDefault="00D654A6" w:rsidP="005A20DD">
            <w:pPr>
              <w:pStyle w:val="TAL"/>
              <w:rPr>
                <w:rFonts w:cs="Arial"/>
                <w:szCs w:val="18"/>
              </w:rPr>
            </w:pPr>
          </w:p>
        </w:tc>
      </w:tr>
      <w:tr w:rsidR="00D654A6" w14:paraId="3305E088"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93E499D" w14:textId="77777777" w:rsidR="00D654A6" w:rsidRDefault="00D654A6" w:rsidP="005A20DD">
            <w:pPr>
              <w:pStyle w:val="TAL"/>
              <w:rPr>
                <w:lang w:eastAsia="zh-CN"/>
              </w:rPr>
            </w:pPr>
            <w:r>
              <w:t>mLModelAdrf</w:t>
            </w:r>
          </w:p>
        </w:tc>
        <w:tc>
          <w:tcPr>
            <w:tcW w:w="2024" w:type="dxa"/>
            <w:tcBorders>
              <w:top w:val="single" w:sz="6" w:space="0" w:color="auto"/>
              <w:left w:val="single" w:sz="6" w:space="0" w:color="auto"/>
              <w:bottom w:val="single" w:sz="6" w:space="0" w:color="auto"/>
              <w:right w:val="single" w:sz="6" w:space="0" w:color="auto"/>
            </w:tcBorders>
          </w:tcPr>
          <w:p w14:paraId="059ACA87" w14:textId="77777777" w:rsidR="00D654A6" w:rsidRDefault="00D654A6" w:rsidP="005A20DD">
            <w:pPr>
              <w:pStyle w:val="TAL"/>
            </w:pPr>
            <w:r>
              <w:t>MLModelAdrf</w:t>
            </w:r>
          </w:p>
        </w:tc>
        <w:tc>
          <w:tcPr>
            <w:tcW w:w="425" w:type="dxa"/>
            <w:tcBorders>
              <w:top w:val="single" w:sz="6" w:space="0" w:color="auto"/>
              <w:left w:val="single" w:sz="6" w:space="0" w:color="auto"/>
              <w:bottom w:val="single" w:sz="6" w:space="0" w:color="auto"/>
              <w:right w:val="single" w:sz="6" w:space="0" w:color="auto"/>
            </w:tcBorders>
          </w:tcPr>
          <w:p w14:paraId="1E586341" w14:textId="77777777" w:rsidR="00D654A6" w:rsidRDefault="00D654A6" w:rsidP="005A20DD">
            <w:pPr>
              <w:pStyle w:val="TAL"/>
              <w:rPr>
                <w:rFonts w:cs="Arial"/>
                <w:szCs w:val="18"/>
                <w:lang w:eastAsia="zh-CN"/>
              </w:rPr>
            </w:pPr>
            <w:r>
              <w:t>C</w:t>
            </w:r>
          </w:p>
        </w:tc>
        <w:tc>
          <w:tcPr>
            <w:tcW w:w="1134" w:type="dxa"/>
            <w:tcBorders>
              <w:top w:val="single" w:sz="6" w:space="0" w:color="auto"/>
              <w:left w:val="single" w:sz="6" w:space="0" w:color="auto"/>
              <w:bottom w:val="single" w:sz="6" w:space="0" w:color="auto"/>
              <w:right w:val="single" w:sz="6" w:space="0" w:color="auto"/>
            </w:tcBorders>
          </w:tcPr>
          <w:p w14:paraId="3FE46FA8"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99C5EF7" w14:textId="77777777" w:rsidR="00D654A6" w:rsidRDefault="00D654A6" w:rsidP="005A20DD">
            <w:pPr>
              <w:pStyle w:val="TAL"/>
              <w:rPr>
                <w:lang w:eastAsia="zh-CN"/>
              </w:rPr>
            </w:pPr>
            <w:r>
              <w:t>Indicates the ADRF (Set) information of the ML Model</w:t>
            </w:r>
            <w:r>
              <w:rPr>
                <w:lang w:eastAsia="ja-JP"/>
              </w:rPr>
              <w:t>.</w:t>
            </w:r>
            <w:r>
              <w:rPr>
                <w:lang w:eastAsia="zh-CN"/>
              </w:rPr>
              <w:t xml:space="preserve"> (NOTE)</w:t>
            </w:r>
          </w:p>
        </w:tc>
        <w:tc>
          <w:tcPr>
            <w:tcW w:w="1916" w:type="dxa"/>
            <w:tcBorders>
              <w:top w:val="single" w:sz="6" w:space="0" w:color="auto"/>
              <w:left w:val="single" w:sz="6" w:space="0" w:color="auto"/>
              <w:bottom w:val="single" w:sz="6" w:space="0" w:color="auto"/>
              <w:right w:val="single" w:sz="6" w:space="0" w:color="auto"/>
            </w:tcBorders>
          </w:tcPr>
          <w:p w14:paraId="3EF408E4" w14:textId="77777777" w:rsidR="00D654A6" w:rsidRDefault="00D654A6" w:rsidP="005A20DD">
            <w:pPr>
              <w:pStyle w:val="TAL"/>
              <w:rPr>
                <w:rFonts w:cs="Arial"/>
                <w:szCs w:val="18"/>
              </w:rPr>
            </w:pPr>
          </w:p>
        </w:tc>
      </w:tr>
      <w:tr w:rsidR="00D654A6" w14:paraId="045338A8"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38382BF" w14:textId="77777777" w:rsidR="00D654A6" w:rsidRDefault="00D654A6" w:rsidP="005A20DD">
            <w:pPr>
              <w:pStyle w:val="TAL"/>
              <w:rPr>
                <w:lang w:eastAsia="zh-CN"/>
              </w:rPr>
            </w:pPr>
            <w:r>
              <w:rPr>
                <w:lang w:eastAsia="zh-CN"/>
              </w:rPr>
              <w:t>validityPeriod</w:t>
            </w:r>
          </w:p>
        </w:tc>
        <w:tc>
          <w:tcPr>
            <w:tcW w:w="2024" w:type="dxa"/>
            <w:tcBorders>
              <w:top w:val="single" w:sz="6" w:space="0" w:color="auto"/>
              <w:left w:val="single" w:sz="6" w:space="0" w:color="auto"/>
              <w:bottom w:val="single" w:sz="6" w:space="0" w:color="auto"/>
              <w:right w:val="single" w:sz="6" w:space="0" w:color="auto"/>
            </w:tcBorders>
          </w:tcPr>
          <w:p w14:paraId="673B9BD9" w14:textId="77777777" w:rsidR="00D654A6" w:rsidRDefault="00D654A6" w:rsidP="005A20DD">
            <w:pPr>
              <w:pStyle w:val="TAL"/>
            </w:pPr>
            <w:r>
              <w:t>TimeWindow</w:t>
            </w:r>
          </w:p>
        </w:tc>
        <w:tc>
          <w:tcPr>
            <w:tcW w:w="425" w:type="dxa"/>
            <w:tcBorders>
              <w:top w:val="single" w:sz="6" w:space="0" w:color="auto"/>
              <w:left w:val="single" w:sz="6" w:space="0" w:color="auto"/>
              <w:bottom w:val="single" w:sz="6" w:space="0" w:color="auto"/>
              <w:right w:val="single" w:sz="6" w:space="0" w:color="auto"/>
            </w:tcBorders>
          </w:tcPr>
          <w:p w14:paraId="74D6B217"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B7B0986"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6A294C8B" w14:textId="77777777" w:rsidR="00D654A6" w:rsidRDefault="00D654A6" w:rsidP="005A20DD">
            <w:pPr>
              <w:pStyle w:val="TAL"/>
              <w:rPr>
                <w:lang w:eastAsia="zh-CN"/>
              </w:rPr>
            </w:pPr>
            <w:r>
              <w:rPr>
                <w:lang w:eastAsia="zh-CN"/>
              </w:rPr>
              <w:t>Indicates the time period when the provided ML model applies.</w:t>
            </w:r>
          </w:p>
        </w:tc>
        <w:tc>
          <w:tcPr>
            <w:tcW w:w="1916" w:type="dxa"/>
            <w:tcBorders>
              <w:top w:val="single" w:sz="6" w:space="0" w:color="auto"/>
              <w:left w:val="single" w:sz="6" w:space="0" w:color="auto"/>
              <w:bottom w:val="single" w:sz="6" w:space="0" w:color="auto"/>
              <w:right w:val="single" w:sz="6" w:space="0" w:color="auto"/>
            </w:tcBorders>
          </w:tcPr>
          <w:p w14:paraId="4D6A5BDE" w14:textId="77777777" w:rsidR="00D654A6" w:rsidRDefault="00D654A6" w:rsidP="005A20DD">
            <w:pPr>
              <w:pStyle w:val="TAL"/>
              <w:rPr>
                <w:rFonts w:cs="Arial"/>
                <w:szCs w:val="18"/>
              </w:rPr>
            </w:pPr>
          </w:p>
        </w:tc>
      </w:tr>
      <w:tr w:rsidR="00D654A6" w14:paraId="536C2134"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7B132D1" w14:textId="77777777" w:rsidR="00D654A6" w:rsidRDefault="00D654A6" w:rsidP="005A20DD">
            <w:pPr>
              <w:pStyle w:val="TAL"/>
              <w:rPr>
                <w:lang w:eastAsia="zh-CN"/>
              </w:rPr>
            </w:pPr>
            <w:r>
              <w:rPr>
                <w:lang w:eastAsia="zh-CN"/>
              </w:rPr>
              <w:t>spatialValidity</w:t>
            </w:r>
          </w:p>
        </w:tc>
        <w:tc>
          <w:tcPr>
            <w:tcW w:w="2024" w:type="dxa"/>
            <w:tcBorders>
              <w:top w:val="single" w:sz="6" w:space="0" w:color="auto"/>
              <w:left w:val="single" w:sz="6" w:space="0" w:color="auto"/>
              <w:bottom w:val="single" w:sz="6" w:space="0" w:color="auto"/>
              <w:right w:val="single" w:sz="6" w:space="0" w:color="auto"/>
            </w:tcBorders>
          </w:tcPr>
          <w:p w14:paraId="33F72EBA" w14:textId="77777777" w:rsidR="00D654A6" w:rsidRDefault="00D654A6" w:rsidP="005A20DD">
            <w:pPr>
              <w:pStyle w:val="TAL"/>
            </w:pPr>
            <w:r>
              <w:t>NetworkAreaInfo</w:t>
            </w:r>
          </w:p>
        </w:tc>
        <w:tc>
          <w:tcPr>
            <w:tcW w:w="425" w:type="dxa"/>
            <w:tcBorders>
              <w:top w:val="single" w:sz="6" w:space="0" w:color="auto"/>
              <w:left w:val="single" w:sz="6" w:space="0" w:color="auto"/>
              <w:bottom w:val="single" w:sz="6" w:space="0" w:color="auto"/>
              <w:right w:val="single" w:sz="6" w:space="0" w:color="auto"/>
            </w:tcBorders>
          </w:tcPr>
          <w:p w14:paraId="2CC87541"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14716BB"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F3FCECA" w14:textId="77777777" w:rsidR="00D654A6" w:rsidRDefault="00D654A6" w:rsidP="005A20DD">
            <w:pPr>
              <w:pStyle w:val="TAL"/>
              <w:rPr>
                <w:lang w:eastAsia="zh-CN"/>
              </w:rPr>
            </w:pPr>
            <w:r>
              <w:rPr>
                <w:lang w:eastAsia="zh-CN"/>
              </w:rPr>
              <w:t>Indicates the area where the provided ML model applies.</w:t>
            </w:r>
          </w:p>
        </w:tc>
        <w:tc>
          <w:tcPr>
            <w:tcW w:w="1916" w:type="dxa"/>
            <w:tcBorders>
              <w:top w:val="single" w:sz="6" w:space="0" w:color="auto"/>
              <w:left w:val="single" w:sz="6" w:space="0" w:color="auto"/>
              <w:bottom w:val="single" w:sz="6" w:space="0" w:color="auto"/>
              <w:right w:val="single" w:sz="6" w:space="0" w:color="auto"/>
            </w:tcBorders>
          </w:tcPr>
          <w:p w14:paraId="0DECE078" w14:textId="77777777" w:rsidR="00D654A6" w:rsidRDefault="00D654A6" w:rsidP="005A20DD">
            <w:pPr>
              <w:pStyle w:val="TAL"/>
              <w:rPr>
                <w:rFonts w:cs="Arial"/>
                <w:szCs w:val="18"/>
              </w:rPr>
            </w:pPr>
          </w:p>
        </w:tc>
      </w:tr>
      <w:tr w:rsidR="00D654A6" w14:paraId="743296D8"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64297E9" w14:textId="77777777" w:rsidR="00D654A6" w:rsidRDefault="00D654A6" w:rsidP="00D654A6">
            <w:pPr>
              <w:pStyle w:val="TAL"/>
              <w:rPr>
                <w:lang w:eastAsia="zh-CN"/>
              </w:rPr>
            </w:pPr>
            <w:r>
              <w:rPr>
                <w:lang w:eastAsia="zh-CN"/>
              </w:rPr>
              <w:t>modelUniqueId</w:t>
            </w:r>
          </w:p>
        </w:tc>
        <w:tc>
          <w:tcPr>
            <w:tcW w:w="2024" w:type="dxa"/>
            <w:tcBorders>
              <w:top w:val="single" w:sz="6" w:space="0" w:color="auto"/>
              <w:left w:val="single" w:sz="6" w:space="0" w:color="auto"/>
              <w:bottom w:val="single" w:sz="6" w:space="0" w:color="auto"/>
              <w:right w:val="single" w:sz="6" w:space="0" w:color="auto"/>
            </w:tcBorders>
          </w:tcPr>
          <w:p w14:paraId="73CAC58B" w14:textId="77777777" w:rsidR="00D654A6" w:rsidRDefault="00D654A6" w:rsidP="00D654A6">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45096819" w14:textId="77777777" w:rsidR="00D654A6" w:rsidRDefault="00D654A6" w:rsidP="00D654A6">
            <w:pPr>
              <w:pStyle w:val="TAL"/>
              <w:rPr>
                <w:rFonts w:cs="Arial"/>
                <w:szCs w:val="18"/>
                <w:lang w:eastAsia="zh-CN"/>
              </w:rPr>
            </w:pPr>
            <w:r>
              <w:rPr>
                <w:rFonts w:cs="Arial"/>
                <w:szCs w:val="18"/>
                <w:lang w:eastAsia="zh-CN"/>
              </w:rPr>
              <w:t>M</w:t>
            </w:r>
          </w:p>
        </w:tc>
        <w:tc>
          <w:tcPr>
            <w:tcW w:w="1134" w:type="dxa"/>
            <w:tcBorders>
              <w:top w:val="single" w:sz="6" w:space="0" w:color="auto"/>
              <w:left w:val="single" w:sz="6" w:space="0" w:color="auto"/>
              <w:bottom w:val="single" w:sz="6" w:space="0" w:color="auto"/>
              <w:right w:val="single" w:sz="6" w:space="0" w:color="auto"/>
            </w:tcBorders>
          </w:tcPr>
          <w:p w14:paraId="14EB51A3" w14:textId="77777777" w:rsidR="00D654A6" w:rsidRDefault="00D654A6" w:rsidP="00D654A6">
            <w:pPr>
              <w:pStyle w:val="TAL"/>
              <w:rPr>
                <w:rFonts w:cs="Arial"/>
                <w:szCs w:val="18"/>
                <w:lang w:eastAsia="zh-CN"/>
              </w:rPr>
            </w:pPr>
            <w:r>
              <w:rPr>
                <w:rFonts w:cs="Arial"/>
                <w:szCs w:val="18"/>
                <w:lang w:eastAsia="zh-CN"/>
              </w:rPr>
              <w:t>1</w:t>
            </w:r>
          </w:p>
        </w:tc>
        <w:tc>
          <w:tcPr>
            <w:tcW w:w="2410" w:type="dxa"/>
            <w:tcBorders>
              <w:top w:val="single" w:sz="6" w:space="0" w:color="auto"/>
              <w:left w:val="single" w:sz="6" w:space="0" w:color="auto"/>
              <w:bottom w:val="single" w:sz="6" w:space="0" w:color="auto"/>
              <w:right w:val="single" w:sz="6" w:space="0" w:color="auto"/>
            </w:tcBorders>
          </w:tcPr>
          <w:p w14:paraId="22A7A9CA" w14:textId="77777777" w:rsidR="00D654A6" w:rsidRDefault="00D654A6" w:rsidP="00D654A6">
            <w:pPr>
              <w:pStyle w:val="TAL"/>
              <w:rPr>
                <w:lang w:eastAsia="zh-CN"/>
              </w:rPr>
            </w:pPr>
            <w:r>
              <w:rPr>
                <w:lang w:eastAsia="zh-CN"/>
              </w:rPr>
              <w:t>Unique identifier for an ML model. The identifier shall be unique within 5GC scope.</w:t>
            </w:r>
          </w:p>
        </w:tc>
        <w:tc>
          <w:tcPr>
            <w:tcW w:w="1916" w:type="dxa"/>
            <w:tcBorders>
              <w:top w:val="single" w:sz="6" w:space="0" w:color="auto"/>
              <w:left w:val="single" w:sz="6" w:space="0" w:color="auto"/>
              <w:bottom w:val="single" w:sz="6" w:space="0" w:color="auto"/>
              <w:right w:val="single" w:sz="6" w:space="0" w:color="auto"/>
            </w:tcBorders>
          </w:tcPr>
          <w:p w14:paraId="1529807A" w14:textId="77777777" w:rsidR="00D654A6" w:rsidRDefault="00D654A6" w:rsidP="00D654A6">
            <w:pPr>
              <w:pStyle w:val="TAL"/>
              <w:rPr>
                <w:rFonts w:cs="Arial"/>
                <w:szCs w:val="18"/>
              </w:rPr>
            </w:pPr>
          </w:p>
        </w:tc>
      </w:tr>
      <w:tr w:rsidR="00D654A6" w14:paraId="29C9654A" w14:textId="77777777" w:rsidTr="005A20DD">
        <w:trPr>
          <w:trHeight w:val="420"/>
          <w:jc w:val="center"/>
        </w:trPr>
        <w:tc>
          <w:tcPr>
            <w:tcW w:w="1701" w:type="dxa"/>
          </w:tcPr>
          <w:p w14:paraId="53D1C418" w14:textId="77777777" w:rsidR="00D654A6" w:rsidRDefault="00D654A6" w:rsidP="005A20DD">
            <w:pPr>
              <w:pStyle w:val="TAL"/>
              <w:rPr>
                <w:lang w:eastAsia="zh-CN"/>
              </w:rPr>
            </w:pPr>
            <w:r>
              <w:rPr>
                <w:lang w:eastAsia="zh-CN"/>
              </w:rPr>
              <w:t>modelRepRatio</w:t>
            </w:r>
          </w:p>
        </w:tc>
        <w:tc>
          <w:tcPr>
            <w:tcW w:w="2024" w:type="dxa"/>
          </w:tcPr>
          <w:p w14:paraId="315CAEA7" w14:textId="77777777" w:rsidR="00D654A6" w:rsidRDefault="00D654A6" w:rsidP="005A20DD">
            <w:pPr>
              <w:pStyle w:val="TAL"/>
            </w:pPr>
            <w:r>
              <w:t>Uinteger</w:t>
            </w:r>
          </w:p>
        </w:tc>
        <w:tc>
          <w:tcPr>
            <w:tcW w:w="425" w:type="dxa"/>
          </w:tcPr>
          <w:p w14:paraId="4BA4FFA7" w14:textId="77777777" w:rsidR="00D654A6" w:rsidRDefault="00D654A6" w:rsidP="005A20DD">
            <w:pPr>
              <w:pStyle w:val="TAL"/>
              <w:rPr>
                <w:rFonts w:cs="Arial"/>
                <w:szCs w:val="18"/>
                <w:lang w:eastAsia="zh-CN"/>
              </w:rPr>
            </w:pPr>
            <w:r>
              <w:rPr>
                <w:rFonts w:cs="Arial"/>
                <w:szCs w:val="18"/>
                <w:lang w:eastAsia="zh-CN"/>
              </w:rPr>
              <w:t>O</w:t>
            </w:r>
          </w:p>
        </w:tc>
        <w:tc>
          <w:tcPr>
            <w:tcW w:w="1134" w:type="dxa"/>
          </w:tcPr>
          <w:p w14:paraId="13F09259" w14:textId="77777777" w:rsidR="00D654A6" w:rsidRDefault="00D654A6" w:rsidP="005A20DD">
            <w:pPr>
              <w:pStyle w:val="TAL"/>
              <w:rPr>
                <w:rFonts w:cs="Arial"/>
                <w:szCs w:val="18"/>
                <w:lang w:eastAsia="zh-CN"/>
              </w:rPr>
            </w:pPr>
            <w:r>
              <w:rPr>
                <w:rFonts w:cs="Arial"/>
                <w:szCs w:val="18"/>
                <w:lang w:eastAsia="zh-CN"/>
              </w:rPr>
              <w:t>0..1</w:t>
            </w:r>
          </w:p>
        </w:tc>
        <w:tc>
          <w:tcPr>
            <w:tcW w:w="2410" w:type="dxa"/>
          </w:tcPr>
          <w:p w14:paraId="0F2B0A4C" w14:textId="77777777" w:rsidR="00D654A6" w:rsidRDefault="00D654A6" w:rsidP="005A20DD">
            <w:pPr>
              <w:pStyle w:val="TAL"/>
              <w:rPr>
                <w:lang w:eastAsia="zh-CN"/>
              </w:rPr>
            </w:pPr>
            <w:r>
              <w:rPr>
                <w:lang w:eastAsia="zh-CN"/>
              </w:rPr>
              <w:t>Indicating the percentage of UEs in the group that is used to train an ML model when target of ML model reporting is a group of UEs.</w:t>
            </w:r>
          </w:p>
        </w:tc>
        <w:tc>
          <w:tcPr>
            <w:tcW w:w="1916" w:type="dxa"/>
          </w:tcPr>
          <w:p w14:paraId="0136AE4D" w14:textId="77777777" w:rsidR="00D654A6" w:rsidRDefault="00D654A6" w:rsidP="005A20DD">
            <w:pPr>
              <w:pStyle w:val="TAL"/>
              <w:rPr>
                <w:rFonts w:cs="Arial"/>
                <w:szCs w:val="18"/>
              </w:rPr>
            </w:pPr>
          </w:p>
        </w:tc>
      </w:tr>
      <w:tr w:rsidR="00D654A6" w14:paraId="632EAA2F"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E3F8CE5" w14:textId="77777777" w:rsidR="00D654A6" w:rsidRDefault="00D654A6" w:rsidP="005A20DD">
            <w:pPr>
              <w:pStyle w:val="TAL"/>
              <w:rPr>
                <w:lang w:eastAsia="zh-CN"/>
              </w:rPr>
            </w:pPr>
            <w:r>
              <w:rPr>
                <w:lang w:eastAsia="zh-CN"/>
              </w:rPr>
              <w:t>mlDegradInd</w:t>
            </w:r>
          </w:p>
        </w:tc>
        <w:tc>
          <w:tcPr>
            <w:tcW w:w="2024" w:type="dxa"/>
            <w:tcBorders>
              <w:top w:val="single" w:sz="6" w:space="0" w:color="auto"/>
              <w:left w:val="single" w:sz="6" w:space="0" w:color="auto"/>
              <w:bottom w:val="single" w:sz="6" w:space="0" w:color="auto"/>
              <w:right w:val="single" w:sz="6" w:space="0" w:color="auto"/>
            </w:tcBorders>
          </w:tcPr>
          <w:p w14:paraId="570CF755" w14:textId="77777777" w:rsidR="00D654A6" w:rsidRDefault="00D654A6" w:rsidP="005A20DD">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27795AAC"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5985218"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6F926C36" w14:textId="77777777" w:rsidR="00D654A6" w:rsidRDefault="00D654A6" w:rsidP="005A20DD">
            <w:pPr>
              <w:pStyle w:val="TAL"/>
              <w:rPr>
                <w:lang w:eastAsia="zh-CN"/>
              </w:rPr>
            </w:pPr>
            <w:r>
              <w:rPr>
                <w:lang w:eastAsia="zh-CN"/>
              </w:rPr>
              <w:t>Set to "true" to indicate that the ML model is degraded.</w:t>
            </w:r>
          </w:p>
          <w:p w14:paraId="5F4E3971" w14:textId="77777777" w:rsidR="00D654A6" w:rsidRDefault="00D654A6" w:rsidP="005A20DD">
            <w:pPr>
              <w:pStyle w:val="TAL"/>
              <w:rPr>
                <w:lang w:eastAsia="zh-CN"/>
              </w:rPr>
            </w:pPr>
          </w:p>
          <w:p w14:paraId="56FE9E8F" w14:textId="77777777" w:rsidR="00D654A6" w:rsidRDefault="00D654A6" w:rsidP="005A20DD">
            <w:pPr>
              <w:pStyle w:val="TAL"/>
              <w:rPr>
                <w:lang w:eastAsia="zh-CN"/>
              </w:rPr>
            </w:pPr>
            <w:r>
              <w:rPr>
                <w:lang w:eastAsia="zh-CN"/>
              </w:rPr>
              <w:t>Set to "false" to indicate that the ML model is not degraded.</w:t>
            </w:r>
          </w:p>
          <w:p w14:paraId="0115AD1E" w14:textId="77777777" w:rsidR="00D654A6" w:rsidRDefault="00D654A6" w:rsidP="005A20DD">
            <w:pPr>
              <w:pStyle w:val="TAL"/>
              <w:rPr>
                <w:lang w:eastAsia="zh-CN"/>
              </w:rPr>
            </w:pPr>
          </w:p>
          <w:p w14:paraId="379F1138" w14:textId="77777777" w:rsidR="00D654A6" w:rsidRDefault="00D654A6" w:rsidP="005A20DD">
            <w:pPr>
              <w:pStyle w:val="TAL"/>
              <w:rPr>
                <w:lang w:eastAsia="zh-CN"/>
              </w:rPr>
            </w:pPr>
            <w:r>
              <w:t xml:space="preserve">Default value is </w:t>
            </w:r>
            <w:r>
              <w:rPr>
                <w:lang w:eastAsia="zh-CN"/>
              </w:rPr>
              <w:t>"false</w:t>
            </w:r>
            <w:r>
              <w:rPr>
                <w:lang w:val="en-US" w:eastAsia="zh-CN"/>
              </w:rPr>
              <w:t>"</w:t>
            </w:r>
            <w:r>
              <w:rPr>
                <w:lang w:eastAsia="zh-CN"/>
              </w:rPr>
              <w:t xml:space="preserve"> if omitted.</w:t>
            </w:r>
          </w:p>
        </w:tc>
        <w:tc>
          <w:tcPr>
            <w:tcW w:w="1916" w:type="dxa"/>
            <w:tcBorders>
              <w:top w:val="single" w:sz="6" w:space="0" w:color="auto"/>
              <w:left w:val="single" w:sz="6" w:space="0" w:color="auto"/>
              <w:bottom w:val="single" w:sz="6" w:space="0" w:color="auto"/>
              <w:right w:val="single" w:sz="6" w:space="0" w:color="auto"/>
            </w:tcBorders>
          </w:tcPr>
          <w:p w14:paraId="6C646975" w14:textId="77777777" w:rsidR="00D654A6" w:rsidRDefault="00D654A6" w:rsidP="005A20DD">
            <w:pPr>
              <w:pStyle w:val="TAL"/>
              <w:rPr>
                <w:rFonts w:cs="Arial"/>
                <w:szCs w:val="18"/>
              </w:rPr>
            </w:pPr>
          </w:p>
        </w:tc>
      </w:tr>
      <w:tr w:rsidR="00D654A6" w14:paraId="73FE88DD" w14:textId="77777777" w:rsidTr="005A20DD">
        <w:trPr>
          <w:trHeight w:val="420"/>
          <w:jc w:val="center"/>
        </w:trPr>
        <w:tc>
          <w:tcPr>
            <w:tcW w:w="1701" w:type="dxa"/>
          </w:tcPr>
          <w:p w14:paraId="1043B082" w14:textId="77777777" w:rsidR="00D654A6" w:rsidRDefault="00D654A6" w:rsidP="005A20DD">
            <w:pPr>
              <w:pStyle w:val="TAL"/>
              <w:rPr>
                <w:lang w:eastAsia="zh-CN"/>
              </w:rPr>
            </w:pPr>
            <w:r>
              <w:rPr>
                <w:lang w:eastAsia="zh-CN"/>
              </w:rPr>
              <w:t>trainInpInfos</w:t>
            </w:r>
          </w:p>
        </w:tc>
        <w:tc>
          <w:tcPr>
            <w:tcW w:w="2024" w:type="dxa"/>
          </w:tcPr>
          <w:p w14:paraId="0FD72021" w14:textId="77777777" w:rsidR="00D654A6" w:rsidRDefault="00D654A6" w:rsidP="005A20DD">
            <w:pPr>
              <w:pStyle w:val="TAL"/>
            </w:pPr>
            <w:r>
              <w:t>array(TrainInputDataInfo)</w:t>
            </w:r>
          </w:p>
        </w:tc>
        <w:tc>
          <w:tcPr>
            <w:tcW w:w="425" w:type="dxa"/>
          </w:tcPr>
          <w:p w14:paraId="4AF84E9B" w14:textId="77777777" w:rsidR="00D654A6" w:rsidRDefault="00D654A6" w:rsidP="005A20DD">
            <w:pPr>
              <w:pStyle w:val="TAL"/>
              <w:rPr>
                <w:rFonts w:cs="Arial"/>
                <w:szCs w:val="18"/>
                <w:lang w:eastAsia="zh-CN"/>
              </w:rPr>
            </w:pPr>
            <w:r>
              <w:rPr>
                <w:rFonts w:cs="Arial"/>
                <w:szCs w:val="18"/>
                <w:lang w:eastAsia="zh-CN"/>
              </w:rPr>
              <w:t>O</w:t>
            </w:r>
          </w:p>
        </w:tc>
        <w:tc>
          <w:tcPr>
            <w:tcW w:w="1134" w:type="dxa"/>
          </w:tcPr>
          <w:p w14:paraId="32EC6820" w14:textId="77777777" w:rsidR="00D654A6" w:rsidRDefault="00D654A6" w:rsidP="005A20DD">
            <w:pPr>
              <w:pStyle w:val="TAL"/>
              <w:rPr>
                <w:rFonts w:cs="Arial"/>
                <w:szCs w:val="18"/>
                <w:lang w:eastAsia="zh-CN"/>
              </w:rPr>
            </w:pPr>
            <w:r>
              <w:rPr>
                <w:rFonts w:cs="Arial"/>
                <w:szCs w:val="18"/>
                <w:lang w:eastAsia="zh-CN"/>
              </w:rPr>
              <w:t>1..N</w:t>
            </w:r>
          </w:p>
        </w:tc>
        <w:tc>
          <w:tcPr>
            <w:tcW w:w="2410" w:type="dxa"/>
          </w:tcPr>
          <w:p w14:paraId="326368F8" w14:textId="77777777" w:rsidR="00D654A6" w:rsidRDefault="00D654A6" w:rsidP="005A20DD">
            <w:pPr>
              <w:pStyle w:val="TAL"/>
              <w:rPr>
                <w:lang w:eastAsia="zh-CN"/>
              </w:rPr>
            </w:pPr>
            <w:r>
              <w:rPr>
                <w:lang w:eastAsia="zh-CN"/>
              </w:rPr>
              <w:t>Training input data information that is used by NWDAF containing MTLF during training.</w:t>
            </w:r>
          </w:p>
        </w:tc>
        <w:tc>
          <w:tcPr>
            <w:tcW w:w="1916" w:type="dxa"/>
          </w:tcPr>
          <w:p w14:paraId="2ABEC7AA" w14:textId="77777777" w:rsidR="00D654A6" w:rsidRDefault="00D654A6" w:rsidP="005A20DD">
            <w:pPr>
              <w:pStyle w:val="TAL"/>
              <w:rPr>
                <w:rFonts w:cs="Arial"/>
                <w:szCs w:val="18"/>
              </w:rPr>
            </w:pPr>
          </w:p>
        </w:tc>
      </w:tr>
      <w:tr w:rsidR="00D654A6" w14:paraId="36828342" w14:textId="77777777" w:rsidTr="005A20DD">
        <w:trPr>
          <w:trHeight w:val="420"/>
          <w:jc w:val="center"/>
        </w:trPr>
        <w:tc>
          <w:tcPr>
            <w:tcW w:w="1701" w:type="dxa"/>
          </w:tcPr>
          <w:p w14:paraId="06D58AC3" w14:textId="77777777" w:rsidR="00D654A6" w:rsidRDefault="00D654A6" w:rsidP="005A20DD">
            <w:pPr>
              <w:pStyle w:val="TAL"/>
              <w:rPr>
                <w:lang w:eastAsia="zh-CN"/>
              </w:rPr>
            </w:pPr>
            <w:r>
              <w:rPr>
                <w:lang w:eastAsia="zh-CN"/>
              </w:rPr>
              <w:t>modelMetric</w:t>
            </w:r>
          </w:p>
        </w:tc>
        <w:tc>
          <w:tcPr>
            <w:tcW w:w="2024" w:type="dxa"/>
          </w:tcPr>
          <w:p w14:paraId="493913B6" w14:textId="77777777" w:rsidR="00D654A6" w:rsidRDefault="00D654A6" w:rsidP="005A20DD">
            <w:pPr>
              <w:pStyle w:val="TAL"/>
            </w:pPr>
            <w:r>
              <w:t>MLModelMetric</w:t>
            </w:r>
          </w:p>
        </w:tc>
        <w:tc>
          <w:tcPr>
            <w:tcW w:w="425" w:type="dxa"/>
          </w:tcPr>
          <w:p w14:paraId="2DB601CA" w14:textId="77777777" w:rsidR="00D654A6" w:rsidRDefault="00D654A6" w:rsidP="005A20DD">
            <w:pPr>
              <w:pStyle w:val="TAL"/>
              <w:rPr>
                <w:rFonts w:cs="Arial"/>
                <w:szCs w:val="18"/>
                <w:lang w:eastAsia="zh-CN"/>
              </w:rPr>
            </w:pPr>
            <w:r>
              <w:rPr>
                <w:rFonts w:cs="Arial"/>
                <w:szCs w:val="18"/>
                <w:lang w:eastAsia="zh-CN"/>
              </w:rPr>
              <w:t>O</w:t>
            </w:r>
          </w:p>
        </w:tc>
        <w:tc>
          <w:tcPr>
            <w:tcW w:w="1134" w:type="dxa"/>
          </w:tcPr>
          <w:p w14:paraId="3A6F5F9A" w14:textId="77777777" w:rsidR="00D654A6" w:rsidRDefault="00D654A6" w:rsidP="005A20DD">
            <w:pPr>
              <w:pStyle w:val="TAL"/>
              <w:rPr>
                <w:rFonts w:cs="Arial"/>
                <w:szCs w:val="18"/>
                <w:lang w:eastAsia="zh-CN"/>
              </w:rPr>
            </w:pPr>
            <w:r>
              <w:rPr>
                <w:rFonts w:cs="Arial"/>
                <w:szCs w:val="18"/>
                <w:lang w:eastAsia="zh-CN"/>
              </w:rPr>
              <w:t>0..1</w:t>
            </w:r>
          </w:p>
        </w:tc>
        <w:tc>
          <w:tcPr>
            <w:tcW w:w="2410" w:type="dxa"/>
          </w:tcPr>
          <w:p w14:paraId="5DB359C8" w14:textId="77777777" w:rsidR="00D654A6" w:rsidRDefault="00D654A6" w:rsidP="005A20DD">
            <w:pPr>
              <w:pStyle w:val="TAL"/>
              <w:rPr>
                <w:lang w:eastAsia="zh-CN"/>
              </w:rPr>
            </w:pPr>
            <w:r>
              <w:rPr>
                <w:rFonts w:cs="Arial"/>
                <w:szCs w:val="18"/>
                <w:lang w:eastAsia="zh-CN"/>
              </w:rPr>
              <w:t>Indicates the ML model metric</w:t>
            </w:r>
            <w:r>
              <w:rPr>
                <w:lang w:eastAsia="ko-KR"/>
              </w:rPr>
              <w:t>.</w:t>
            </w:r>
          </w:p>
        </w:tc>
        <w:tc>
          <w:tcPr>
            <w:tcW w:w="1916" w:type="dxa"/>
          </w:tcPr>
          <w:p w14:paraId="44882865" w14:textId="77777777" w:rsidR="00D654A6" w:rsidRDefault="00D654A6" w:rsidP="005A20DD">
            <w:pPr>
              <w:pStyle w:val="TAL"/>
              <w:rPr>
                <w:rFonts w:cs="Arial"/>
                <w:szCs w:val="18"/>
              </w:rPr>
            </w:pPr>
          </w:p>
        </w:tc>
      </w:tr>
      <w:tr w:rsidR="00D654A6" w14:paraId="430F9B65"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7F24947" w14:textId="77777777" w:rsidR="00D654A6" w:rsidRDefault="00D654A6" w:rsidP="005A20DD">
            <w:pPr>
              <w:pStyle w:val="TAL"/>
              <w:rPr>
                <w:lang w:eastAsia="zh-CN"/>
              </w:rPr>
            </w:pPr>
            <w:r>
              <w:rPr>
                <w:lang w:eastAsia="zh-CN"/>
              </w:rPr>
              <w:t>accMLModel</w:t>
            </w:r>
          </w:p>
        </w:tc>
        <w:tc>
          <w:tcPr>
            <w:tcW w:w="2024" w:type="dxa"/>
            <w:tcBorders>
              <w:top w:val="single" w:sz="6" w:space="0" w:color="auto"/>
              <w:left w:val="single" w:sz="6" w:space="0" w:color="auto"/>
              <w:bottom w:val="single" w:sz="6" w:space="0" w:color="auto"/>
              <w:right w:val="single" w:sz="6" w:space="0" w:color="auto"/>
            </w:tcBorders>
          </w:tcPr>
          <w:p w14:paraId="34F1FB84" w14:textId="77777777" w:rsidR="00D654A6" w:rsidRDefault="00D654A6" w:rsidP="005A20DD">
            <w:pPr>
              <w:pStyle w:val="TAL"/>
            </w:pPr>
            <w:r>
              <w:rPr>
                <w:lang w:eastAsia="zh-CN"/>
              </w:rPr>
              <w:t>Uinteger</w:t>
            </w:r>
          </w:p>
        </w:tc>
        <w:tc>
          <w:tcPr>
            <w:tcW w:w="425" w:type="dxa"/>
            <w:tcBorders>
              <w:top w:val="single" w:sz="6" w:space="0" w:color="auto"/>
              <w:left w:val="single" w:sz="6" w:space="0" w:color="auto"/>
              <w:bottom w:val="single" w:sz="6" w:space="0" w:color="auto"/>
              <w:right w:val="single" w:sz="6" w:space="0" w:color="auto"/>
            </w:tcBorders>
          </w:tcPr>
          <w:p w14:paraId="424ABECF" w14:textId="77777777" w:rsidR="00D654A6" w:rsidRDefault="00D654A6" w:rsidP="005A20DD">
            <w:pPr>
              <w:pStyle w:val="TAL"/>
              <w:rPr>
                <w:rFonts w:cs="Arial"/>
                <w:szCs w:val="18"/>
                <w:lang w:eastAsia="zh-CN"/>
              </w:rPr>
            </w:pPr>
            <w:r>
              <w:rPr>
                <w:rFonts w:cs="Arial"/>
                <w:szCs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86EC75" w14:textId="77777777" w:rsidR="00D654A6" w:rsidRDefault="00D654A6" w:rsidP="005A20DD">
            <w:pPr>
              <w:pStyle w:val="TAL"/>
              <w:rPr>
                <w:rFonts w:cs="Arial"/>
                <w:szCs w:val="18"/>
                <w:lang w:eastAsia="zh-CN"/>
              </w:rPr>
            </w:pPr>
            <w:r>
              <w:rPr>
                <w:rFonts w:cs="Arial"/>
                <w:szCs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7B2A1580" w14:textId="77777777" w:rsidR="00D654A6" w:rsidRDefault="00D654A6" w:rsidP="005A20DD">
            <w:pPr>
              <w:pStyle w:val="TAL"/>
              <w:rPr>
                <w:rFonts w:cs="Arial"/>
                <w:szCs w:val="18"/>
                <w:lang w:eastAsia="zh-CN"/>
              </w:rPr>
            </w:pPr>
            <w:r>
              <w:t>Indicates the accuracy value of the ML model.</w:t>
            </w:r>
          </w:p>
          <w:p w14:paraId="1887B6E7" w14:textId="77777777" w:rsidR="00D654A6" w:rsidRDefault="00D654A6" w:rsidP="005A20DD">
            <w:pPr>
              <w:pStyle w:val="TAL"/>
              <w:rPr>
                <w:rFonts w:cs="Arial"/>
                <w:szCs w:val="18"/>
                <w:lang w:eastAsia="zh-CN"/>
              </w:rPr>
            </w:pPr>
            <w:r>
              <w:rPr>
                <w:lang w:eastAsia="zh-CN"/>
              </w:rPr>
              <w:t>Minimum = 0. Maximum = 100.</w:t>
            </w:r>
          </w:p>
        </w:tc>
        <w:tc>
          <w:tcPr>
            <w:tcW w:w="1916" w:type="dxa"/>
            <w:tcBorders>
              <w:top w:val="single" w:sz="6" w:space="0" w:color="auto"/>
              <w:left w:val="single" w:sz="6" w:space="0" w:color="auto"/>
              <w:bottom w:val="single" w:sz="6" w:space="0" w:color="auto"/>
              <w:right w:val="single" w:sz="6" w:space="0" w:color="auto"/>
            </w:tcBorders>
          </w:tcPr>
          <w:p w14:paraId="298088DF" w14:textId="77777777" w:rsidR="00D654A6" w:rsidRDefault="00D654A6" w:rsidP="005A20DD">
            <w:pPr>
              <w:pStyle w:val="TAL"/>
              <w:rPr>
                <w:lang w:eastAsia="zh-CN"/>
              </w:rPr>
            </w:pPr>
          </w:p>
        </w:tc>
      </w:tr>
      <w:tr w:rsidR="00A42460" w14:paraId="364C3E35"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8C93700" w14:textId="77777777" w:rsidR="00A42460" w:rsidRDefault="00A42460" w:rsidP="00A42460">
            <w:pPr>
              <w:pStyle w:val="TAL"/>
              <w:rPr>
                <w:lang w:eastAsia="zh-CN"/>
              </w:rPr>
            </w:pPr>
            <w:r>
              <w:t>modelUpdateInd</w:t>
            </w:r>
          </w:p>
        </w:tc>
        <w:tc>
          <w:tcPr>
            <w:tcW w:w="2024" w:type="dxa"/>
            <w:tcBorders>
              <w:top w:val="single" w:sz="6" w:space="0" w:color="auto"/>
              <w:left w:val="single" w:sz="6" w:space="0" w:color="auto"/>
              <w:bottom w:val="single" w:sz="6" w:space="0" w:color="auto"/>
              <w:right w:val="single" w:sz="6" w:space="0" w:color="auto"/>
            </w:tcBorders>
          </w:tcPr>
          <w:p w14:paraId="6A4FD583" w14:textId="77777777" w:rsidR="00A42460" w:rsidRDefault="00A42460" w:rsidP="00A42460">
            <w:pPr>
              <w:pStyle w:val="TAL"/>
              <w:rPr>
                <w:lang w:eastAsia="zh-CN"/>
              </w:rPr>
            </w:pPr>
            <w:r>
              <w:t>boolean</w:t>
            </w:r>
          </w:p>
        </w:tc>
        <w:tc>
          <w:tcPr>
            <w:tcW w:w="425" w:type="dxa"/>
            <w:tcBorders>
              <w:top w:val="single" w:sz="6" w:space="0" w:color="auto"/>
              <w:left w:val="single" w:sz="6" w:space="0" w:color="auto"/>
              <w:bottom w:val="single" w:sz="6" w:space="0" w:color="auto"/>
              <w:right w:val="single" w:sz="6" w:space="0" w:color="auto"/>
            </w:tcBorders>
          </w:tcPr>
          <w:p w14:paraId="13BEEC9E" w14:textId="77777777" w:rsidR="00A42460" w:rsidRDefault="00A42460" w:rsidP="00A42460">
            <w:pPr>
              <w:pStyle w:val="TAL"/>
              <w:rPr>
                <w:rFonts w:cs="Arial"/>
                <w:szCs w:val="18"/>
                <w:lang w:eastAsia="zh-CN"/>
              </w:rPr>
            </w:pPr>
            <w:r>
              <w:t>O</w:t>
            </w:r>
          </w:p>
        </w:tc>
        <w:tc>
          <w:tcPr>
            <w:tcW w:w="1134" w:type="dxa"/>
            <w:tcBorders>
              <w:top w:val="single" w:sz="6" w:space="0" w:color="auto"/>
              <w:left w:val="single" w:sz="6" w:space="0" w:color="auto"/>
              <w:bottom w:val="single" w:sz="6" w:space="0" w:color="auto"/>
              <w:right w:val="single" w:sz="6" w:space="0" w:color="auto"/>
            </w:tcBorders>
          </w:tcPr>
          <w:p w14:paraId="1E881DB3" w14:textId="77777777" w:rsidR="00A42460" w:rsidRDefault="00A42460" w:rsidP="00A42460">
            <w:pPr>
              <w:pStyle w:val="TAL"/>
              <w:rPr>
                <w:rFonts w:cs="Arial"/>
                <w:szCs w:val="18"/>
                <w:lang w:eastAsia="zh-CN"/>
              </w:rPr>
            </w:pPr>
            <w:r>
              <w:t>0..1</w:t>
            </w:r>
          </w:p>
        </w:tc>
        <w:tc>
          <w:tcPr>
            <w:tcW w:w="2410" w:type="dxa"/>
            <w:tcBorders>
              <w:top w:val="single" w:sz="6" w:space="0" w:color="auto"/>
              <w:left w:val="single" w:sz="6" w:space="0" w:color="auto"/>
              <w:bottom w:val="single" w:sz="6" w:space="0" w:color="auto"/>
              <w:right w:val="single" w:sz="6" w:space="0" w:color="auto"/>
            </w:tcBorders>
          </w:tcPr>
          <w:p w14:paraId="66E82D9F" w14:textId="77777777" w:rsidR="00A42460" w:rsidRDefault="00A42460" w:rsidP="00A42460">
            <w:pPr>
              <w:pStyle w:val="TAL"/>
            </w:pPr>
            <w:r w:rsidRPr="00084510">
              <w:t>Set to "true" to indicate that the ML model is updated</w:t>
            </w:r>
            <w:r>
              <w:t>.</w:t>
            </w:r>
            <w:r w:rsidRPr="0097043F">
              <w:t xml:space="preserve"> </w:t>
            </w:r>
            <w:r>
              <w:t>S</w:t>
            </w:r>
            <w:r w:rsidRPr="0097043F">
              <w:t>et to "false"</w:t>
            </w:r>
            <w:r>
              <w:t xml:space="preserve"> to indicate the ML model is not updated</w:t>
            </w:r>
            <w:r w:rsidRPr="0097043F">
              <w:t>. Default value is "false" if omitted.</w:t>
            </w:r>
          </w:p>
        </w:tc>
        <w:tc>
          <w:tcPr>
            <w:tcW w:w="1916" w:type="dxa"/>
            <w:tcBorders>
              <w:top w:val="single" w:sz="6" w:space="0" w:color="auto"/>
              <w:left w:val="single" w:sz="6" w:space="0" w:color="auto"/>
              <w:bottom w:val="single" w:sz="6" w:space="0" w:color="auto"/>
              <w:right w:val="single" w:sz="6" w:space="0" w:color="auto"/>
            </w:tcBorders>
          </w:tcPr>
          <w:p w14:paraId="742B258B" w14:textId="77777777" w:rsidR="00A42460" w:rsidRDefault="00A42460" w:rsidP="00A42460">
            <w:pPr>
              <w:pStyle w:val="TAL"/>
              <w:rPr>
                <w:lang w:eastAsia="zh-CN"/>
              </w:rPr>
            </w:pPr>
            <w:r>
              <w:rPr>
                <w:rFonts w:cs="Arial" w:hint="eastAsia"/>
                <w:szCs w:val="18"/>
                <w:lang w:eastAsia="zh-CN"/>
              </w:rPr>
              <w:t>E</w:t>
            </w:r>
            <w:r>
              <w:rPr>
                <w:rFonts w:cs="Arial"/>
                <w:szCs w:val="18"/>
                <w:lang w:eastAsia="zh-CN"/>
              </w:rPr>
              <w:t>nModelProvision</w:t>
            </w:r>
          </w:p>
        </w:tc>
      </w:tr>
      <w:tr w:rsidR="00A42460" w14:paraId="052955F0" w14:textId="77777777" w:rsidTr="005A20DD">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5FB42B5" w14:textId="77777777" w:rsidR="00A42460" w:rsidRDefault="00A42460" w:rsidP="00A42460">
            <w:pPr>
              <w:pStyle w:val="TAL"/>
              <w:rPr>
                <w:lang w:eastAsia="zh-CN"/>
              </w:rPr>
            </w:pPr>
            <w:r>
              <w:t>modelProviderId</w:t>
            </w:r>
          </w:p>
        </w:tc>
        <w:tc>
          <w:tcPr>
            <w:tcW w:w="2024" w:type="dxa"/>
            <w:tcBorders>
              <w:top w:val="single" w:sz="6" w:space="0" w:color="auto"/>
              <w:left w:val="single" w:sz="6" w:space="0" w:color="auto"/>
              <w:bottom w:val="single" w:sz="6" w:space="0" w:color="auto"/>
              <w:right w:val="single" w:sz="6" w:space="0" w:color="auto"/>
            </w:tcBorders>
          </w:tcPr>
          <w:p w14:paraId="333AF039" w14:textId="77777777" w:rsidR="00A42460" w:rsidRDefault="00A42460" w:rsidP="00A42460">
            <w:pPr>
              <w:pStyle w:val="TAL"/>
              <w:rPr>
                <w:lang w:eastAsia="zh-CN"/>
              </w:rPr>
            </w:pPr>
            <w:r>
              <w:t>NfInstanceId</w:t>
            </w:r>
          </w:p>
        </w:tc>
        <w:tc>
          <w:tcPr>
            <w:tcW w:w="425" w:type="dxa"/>
            <w:tcBorders>
              <w:top w:val="single" w:sz="6" w:space="0" w:color="auto"/>
              <w:left w:val="single" w:sz="6" w:space="0" w:color="auto"/>
              <w:bottom w:val="single" w:sz="6" w:space="0" w:color="auto"/>
              <w:right w:val="single" w:sz="6" w:space="0" w:color="auto"/>
            </w:tcBorders>
          </w:tcPr>
          <w:p w14:paraId="771E85B5" w14:textId="77777777" w:rsidR="00A42460" w:rsidRDefault="00A42460" w:rsidP="00A42460">
            <w:pPr>
              <w:pStyle w:val="TAL"/>
              <w:rPr>
                <w:rFonts w:cs="Arial"/>
                <w:szCs w:val="18"/>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8FC6A23" w14:textId="77777777" w:rsidR="00A42460" w:rsidRDefault="00A42460" w:rsidP="00A42460">
            <w:pPr>
              <w:pStyle w:val="TAL"/>
              <w:rPr>
                <w:rFonts w:cs="Arial"/>
                <w:szCs w:val="18"/>
                <w:lang w:eastAsia="zh-CN"/>
              </w:rPr>
            </w:pPr>
            <w:r>
              <w:t>0..1</w:t>
            </w:r>
          </w:p>
        </w:tc>
        <w:tc>
          <w:tcPr>
            <w:tcW w:w="2410" w:type="dxa"/>
            <w:tcBorders>
              <w:top w:val="single" w:sz="6" w:space="0" w:color="auto"/>
              <w:left w:val="single" w:sz="6" w:space="0" w:color="auto"/>
              <w:bottom w:val="single" w:sz="6" w:space="0" w:color="auto"/>
              <w:right w:val="single" w:sz="6" w:space="0" w:color="auto"/>
            </w:tcBorders>
          </w:tcPr>
          <w:p w14:paraId="3680A472" w14:textId="77777777" w:rsidR="00A42460" w:rsidRDefault="00A42460" w:rsidP="00A42460">
            <w:pPr>
              <w:pStyle w:val="TAL"/>
            </w:pPr>
            <w:r>
              <w:rPr>
                <w:lang w:eastAsia="zh-CN"/>
              </w:rPr>
              <w:t>The NF Instance Identifer to identify the ML Model provider</w:t>
            </w:r>
            <w:r>
              <w:t>.</w:t>
            </w:r>
          </w:p>
        </w:tc>
        <w:tc>
          <w:tcPr>
            <w:tcW w:w="1916" w:type="dxa"/>
            <w:tcBorders>
              <w:top w:val="single" w:sz="6" w:space="0" w:color="auto"/>
              <w:left w:val="single" w:sz="6" w:space="0" w:color="auto"/>
              <w:bottom w:val="single" w:sz="6" w:space="0" w:color="auto"/>
              <w:right w:val="single" w:sz="6" w:space="0" w:color="auto"/>
            </w:tcBorders>
          </w:tcPr>
          <w:p w14:paraId="00317A31" w14:textId="77777777" w:rsidR="00A42460" w:rsidRDefault="00A42460" w:rsidP="00A42460">
            <w:pPr>
              <w:pStyle w:val="TAL"/>
              <w:rPr>
                <w:lang w:eastAsia="zh-CN"/>
              </w:rPr>
            </w:pPr>
            <w:r>
              <w:rPr>
                <w:rFonts w:cs="Arial"/>
                <w:szCs w:val="18"/>
              </w:rPr>
              <w:t>EnModelProvision</w:t>
            </w:r>
          </w:p>
        </w:tc>
      </w:tr>
      <w:tr w:rsidR="00D654A6" w14:paraId="3130B9B5" w14:textId="77777777" w:rsidTr="005A20DD">
        <w:trPr>
          <w:trHeight w:val="420"/>
          <w:jc w:val="center"/>
        </w:trPr>
        <w:tc>
          <w:tcPr>
            <w:tcW w:w="9610" w:type="dxa"/>
            <w:gridSpan w:val="6"/>
            <w:tcBorders>
              <w:top w:val="single" w:sz="6" w:space="0" w:color="auto"/>
              <w:left w:val="single" w:sz="6" w:space="0" w:color="auto"/>
              <w:bottom w:val="single" w:sz="6" w:space="0" w:color="auto"/>
              <w:right w:val="single" w:sz="6" w:space="0" w:color="auto"/>
            </w:tcBorders>
          </w:tcPr>
          <w:p w14:paraId="1DD28B25" w14:textId="77777777" w:rsidR="00D654A6" w:rsidRPr="00F81822" w:rsidRDefault="00D654A6" w:rsidP="005A20DD">
            <w:pPr>
              <w:pStyle w:val="TAN"/>
            </w:pPr>
            <w:r w:rsidRPr="00F81822">
              <w:t>NOTE</w:t>
            </w:r>
            <w:r>
              <w:t>:</w:t>
            </w:r>
            <w:r>
              <w:tab/>
              <w:t>Exactly o</w:t>
            </w:r>
            <w:r w:rsidRPr="00F81822">
              <w:t>ne of the "mLFileAddr" or "mLModelAdrf" attribute shall be provided.</w:t>
            </w:r>
          </w:p>
        </w:tc>
      </w:tr>
    </w:tbl>
    <w:p w14:paraId="35512F4E" w14:textId="77777777" w:rsidR="00D654A6" w:rsidRDefault="00D654A6" w:rsidP="00D654A6">
      <w:pPr>
        <w:rPr>
          <w:lang w:val="es-ES"/>
        </w:rPr>
      </w:pPr>
    </w:p>
    <w:p w14:paraId="06909DAA" w14:textId="77777777" w:rsidR="00A10B25" w:rsidRDefault="00A10B25">
      <w:pPr>
        <w:pStyle w:val="5"/>
      </w:pPr>
      <w:bookmarkStart w:id="13977" w:name="_Toc164921082"/>
      <w:bookmarkStart w:id="13978" w:name="_Toc170120624"/>
      <w:bookmarkStart w:id="13979" w:name="_Toc175858869"/>
      <w:bookmarkStart w:id="13980" w:name="_Toc175859942"/>
      <w:bookmarkStart w:id="13981" w:name="_Toc180606232"/>
      <w:bookmarkStart w:id="13982" w:name="_Toc185517493"/>
      <w:bookmarkStart w:id="13983" w:name="_Toc191576545"/>
      <w:bookmarkStart w:id="13984" w:name="_Toc191577285"/>
      <w:bookmarkStart w:id="13985" w:name="_Toc192880355"/>
      <w:bookmarkStart w:id="13986" w:name="_Toc195815244"/>
      <w:bookmarkStart w:id="13987" w:name="_Toc199453211"/>
      <w:r>
        <w:lastRenderedPageBreak/>
        <w:t>5.4.6.2.15</w:t>
      </w:r>
      <w:r>
        <w:tab/>
        <w:t>Type MLModelAdrf</w:t>
      </w:r>
      <w:bookmarkEnd w:id="13958"/>
      <w:bookmarkEnd w:id="13959"/>
      <w:bookmarkEnd w:id="13960"/>
      <w:bookmarkEnd w:id="13961"/>
      <w:bookmarkEnd w:id="13977"/>
      <w:bookmarkEnd w:id="13978"/>
      <w:bookmarkEnd w:id="13979"/>
      <w:bookmarkEnd w:id="13980"/>
      <w:bookmarkEnd w:id="13981"/>
      <w:bookmarkEnd w:id="13982"/>
      <w:bookmarkEnd w:id="13983"/>
      <w:bookmarkEnd w:id="13984"/>
      <w:bookmarkEnd w:id="13985"/>
      <w:bookmarkEnd w:id="13986"/>
      <w:bookmarkEnd w:id="13987"/>
    </w:p>
    <w:p w14:paraId="74FD482D" w14:textId="77777777" w:rsidR="00A10B25" w:rsidRDefault="00A10B25">
      <w:pPr>
        <w:pStyle w:val="TH"/>
      </w:pPr>
      <w:r>
        <w:t>Table 5.4.6.2.15-1: Definition of type MLModelAdrf</w:t>
      </w:r>
    </w:p>
    <w:tbl>
      <w:tblPr>
        <w:tblW w:w="9503"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66"/>
        <w:gridCol w:w="1695"/>
        <w:gridCol w:w="425"/>
        <w:gridCol w:w="1130"/>
        <w:gridCol w:w="2965"/>
        <w:gridCol w:w="1622"/>
      </w:tblGrid>
      <w:tr w:rsidR="00A10B25" w14:paraId="6DD54C9A"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shd w:val="clear" w:color="auto" w:fill="C0C0C0"/>
          </w:tcPr>
          <w:p w14:paraId="33C6DE7F" w14:textId="77777777" w:rsidR="00A10B25" w:rsidRDefault="00A10B25">
            <w:pPr>
              <w:pStyle w:val="TAH"/>
              <w:ind w:left="400" w:hanging="400"/>
            </w:pPr>
            <w:r>
              <w:t>Attribute name</w:t>
            </w:r>
          </w:p>
        </w:tc>
        <w:tc>
          <w:tcPr>
            <w:tcW w:w="1695" w:type="dxa"/>
            <w:tcBorders>
              <w:top w:val="single" w:sz="6" w:space="0" w:color="auto"/>
              <w:left w:val="single" w:sz="6" w:space="0" w:color="auto"/>
              <w:bottom w:val="single" w:sz="6" w:space="0" w:color="auto"/>
              <w:right w:val="single" w:sz="6" w:space="0" w:color="auto"/>
            </w:tcBorders>
            <w:shd w:val="clear" w:color="auto" w:fill="C0C0C0"/>
          </w:tcPr>
          <w:p w14:paraId="6F527ED5" w14:textId="77777777" w:rsidR="00A10B25" w:rsidRDefault="00A10B25">
            <w:pPr>
              <w:pStyle w:val="TAH"/>
              <w:ind w:left="400" w:hanging="400"/>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4AD8A345" w14:textId="77777777" w:rsidR="00A10B25" w:rsidRDefault="00A10B25">
            <w:pPr>
              <w:pStyle w:val="TAH"/>
              <w:ind w:left="400" w:hanging="400"/>
            </w:pPr>
            <w:r>
              <w:t>P</w:t>
            </w:r>
          </w:p>
        </w:tc>
        <w:tc>
          <w:tcPr>
            <w:tcW w:w="1130" w:type="dxa"/>
            <w:tcBorders>
              <w:top w:val="single" w:sz="6" w:space="0" w:color="auto"/>
              <w:left w:val="single" w:sz="6" w:space="0" w:color="auto"/>
              <w:bottom w:val="single" w:sz="6" w:space="0" w:color="auto"/>
              <w:right w:val="single" w:sz="6" w:space="0" w:color="auto"/>
            </w:tcBorders>
            <w:shd w:val="clear" w:color="auto" w:fill="C0C0C0"/>
          </w:tcPr>
          <w:p w14:paraId="73FC6B80" w14:textId="77777777" w:rsidR="00A10B25" w:rsidRDefault="00A10B25">
            <w:pPr>
              <w:pStyle w:val="TAH"/>
              <w:ind w:left="400" w:hanging="400"/>
            </w:pPr>
            <w:r>
              <w:t>Cardinality</w:t>
            </w:r>
          </w:p>
        </w:tc>
        <w:tc>
          <w:tcPr>
            <w:tcW w:w="2965" w:type="dxa"/>
            <w:tcBorders>
              <w:top w:val="single" w:sz="6" w:space="0" w:color="auto"/>
              <w:left w:val="single" w:sz="6" w:space="0" w:color="auto"/>
              <w:bottom w:val="single" w:sz="6" w:space="0" w:color="auto"/>
              <w:right w:val="single" w:sz="6" w:space="0" w:color="auto"/>
            </w:tcBorders>
            <w:shd w:val="clear" w:color="auto" w:fill="C0C0C0"/>
          </w:tcPr>
          <w:p w14:paraId="35B4FABF" w14:textId="77777777" w:rsidR="00A10B25" w:rsidRDefault="00A10B25">
            <w:pPr>
              <w:pStyle w:val="TAH"/>
              <w:ind w:left="400" w:hanging="400"/>
              <w:rPr>
                <w:rFonts w:cs="Arial"/>
                <w:szCs w:val="18"/>
              </w:rPr>
            </w:pPr>
            <w:r>
              <w:rPr>
                <w:rFonts w:cs="Arial"/>
                <w:szCs w:val="18"/>
              </w:rPr>
              <w:t>Description</w:t>
            </w:r>
          </w:p>
        </w:tc>
        <w:tc>
          <w:tcPr>
            <w:tcW w:w="1622" w:type="dxa"/>
            <w:tcBorders>
              <w:top w:val="single" w:sz="6" w:space="0" w:color="auto"/>
              <w:left w:val="single" w:sz="6" w:space="0" w:color="auto"/>
              <w:bottom w:val="single" w:sz="6" w:space="0" w:color="auto"/>
              <w:right w:val="single" w:sz="6" w:space="0" w:color="auto"/>
            </w:tcBorders>
            <w:shd w:val="clear" w:color="auto" w:fill="C0C0C0"/>
          </w:tcPr>
          <w:p w14:paraId="7B0444EE" w14:textId="77777777" w:rsidR="00A10B25" w:rsidRDefault="00A10B25">
            <w:pPr>
              <w:pStyle w:val="TAH"/>
              <w:ind w:left="400" w:hanging="400"/>
              <w:rPr>
                <w:rFonts w:cs="Arial"/>
                <w:szCs w:val="18"/>
              </w:rPr>
            </w:pPr>
            <w:r>
              <w:rPr>
                <w:rFonts w:cs="Arial"/>
                <w:szCs w:val="18"/>
              </w:rPr>
              <w:t>Applicability</w:t>
            </w:r>
          </w:p>
        </w:tc>
      </w:tr>
      <w:tr w:rsidR="00A10B25" w14:paraId="1B873C29"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tcPr>
          <w:p w14:paraId="2AE8B0C0" w14:textId="77777777" w:rsidR="00A10B25" w:rsidRDefault="00A10B25">
            <w:pPr>
              <w:pStyle w:val="TAL"/>
              <w:rPr>
                <w:lang w:val="en-US" w:eastAsia="zh-CN"/>
              </w:rPr>
            </w:pPr>
            <w:r>
              <w:rPr>
                <w:lang w:val="en-US" w:eastAsia="zh-CN"/>
              </w:rPr>
              <w:t>adrfId</w:t>
            </w:r>
          </w:p>
        </w:tc>
        <w:tc>
          <w:tcPr>
            <w:tcW w:w="1695" w:type="dxa"/>
            <w:tcBorders>
              <w:top w:val="single" w:sz="6" w:space="0" w:color="auto"/>
              <w:left w:val="single" w:sz="6" w:space="0" w:color="auto"/>
              <w:bottom w:val="single" w:sz="6" w:space="0" w:color="auto"/>
              <w:right w:val="single" w:sz="6" w:space="0" w:color="auto"/>
            </w:tcBorders>
          </w:tcPr>
          <w:p w14:paraId="3BD17284" w14:textId="77777777" w:rsidR="00A10B25" w:rsidRDefault="00A10B25">
            <w:pPr>
              <w:pStyle w:val="TAL"/>
            </w:pPr>
            <w:r>
              <w:t>NfInstanceId</w:t>
            </w:r>
          </w:p>
        </w:tc>
        <w:tc>
          <w:tcPr>
            <w:tcW w:w="425" w:type="dxa"/>
            <w:tcBorders>
              <w:top w:val="single" w:sz="6" w:space="0" w:color="auto"/>
              <w:left w:val="single" w:sz="6" w:space="0" w:color="auto"/>
              <w:bottom w:val="single" w:sz="6" w:space="0" w:color="auto"/>
              <w:right w:val="single" w:sz="6" w:space="0" w:color="auto"/>
            </w:tcBorders>
          </w:tcPr>
          <w:p w14:paraId="6D2317B4" w14:textId="77777777" w:rsidR="00A10B25" w:rsidRDefault="00A10B25">
            <w:pPr>
              <w:pStyle w:val="TAL"/>
              <w:jc w:val="center"/>
            </w:pPr>
            <w:r>
              <w:t>C</w:t>
            </w:r>
          </w:p>
        </w:tc>
        <w:tc>
          <w:tcPr>
            <w:tcW w:w="1130" w:type="dxa"/>
            <w:tcBorders>
              <w:top w:val="single" w:sz="6" w:space="0" w:color="auto"/>
              <w:left w:val="single" w:sz="6" w:space="0" w:color="auto"/>
              <w:bottom w:val="single" w:sz="6" w:space="0" w:color="auto"/>
              <w:right w:val="single" w:sz="6" w:space="0" w:color="auto"/>
            </w:tcBorders>
          </w:tcPr>
          <w:p w14:paraId="765147DA" w14:textId="77777777" w:rsidR="00A10B25" w:rsidRDefault="00A10B25">
            <w:pPr>
              <w:pStyle w:val="TAL"/>
              <w:rPr>
                <w:rFonts w:cs="Arial"/>
                <w:szCs w:val="18"/>
                <w:lang w:eastAsia="zh-CN"/>
              </w:rPr>
            </w:pPr>
            <w:r>
              <w:rPr>
                <w:rFonts w:cs="Arial"/>
                <w:szCs w:val="18"/>
                <w:lang w:eastAsia="zh-CN"/>
              </w:rPr>
              <w:t>0..1</w:t>
            </w:r>
          </w:p>
        </w:tc>
        <w:tc>
          <w:tcPr>
            <w:tcW w:w="2965" w:type="dxa"/>
            <w:tcBorders>
              <w:top w:val="single" w:sz="6" w:space="0" w:color="auto"/>
              <w:left w:val="single" w:sz="6" w:space="0" w:color="auto"/>
              <w:bottom w:val="single" w:sz="6" w:space="0" w:color="auto"/>
              <w:right w:val="single" w:sz="6" w:space="0" w:color="auto"/>
            </w:tcBorders>
          </w:tcPr>
          <w:p w14:paraId="273E72F4" w14:textId="77777777" w:rsidR="00A10B25" w:rsidRDefault="00A10B25">
            <w:pPr>
              <w:pStyle w:val="TAL"/>
            </w:pPr>
            <w:r>
              <w:t>Identifier of the ADRF.</w:t>
            </w:r>
          </w:p>
          <w:p w14:paraId="21CCBEC1" w14:textId="77777777" w:rsidR="00A10B25" w:rsidRDefault="00A10B25">
            <w:pPr>
              <w:pStyle w:val="TAL"/>
            </w:pPr>
            <w:r>
              <w:t>(NOTE)</w:t>
            </w:r>
          </w:p>
        </w:tc>
        <w:tc>
          <w:tcPr>
            <w:tcW w:w="1622" w:type="dxa"/>
            <w:tcBorders>
              <w:top w:val="single" w:sz="6" w:space="0" w:color="auto"/>
              <w:left w:val="single" w:sz="6" w:space="0" w:color="auto"/>
              <w:bottom w:val="single" w:sz="6" w:space="0" w:color="auto"/>
              <w:right w:val="single" w:sz="6" w:space="0" w:color="auto"/>
            </w:tcBorders>
          </w:tcPr>
          <w:p w14:paraId="46BEA9DC" w14:textId="77777777" w:rsidR="00A10B25" w:rsidRDefault="00A10B25">
            <w:pPr>
              <w:pStyle w:val="TAL"/>
              <w:rPr>
                <w:rFonts w:cs="Arial"/>
                <w:szCs w:val="18"/>
              </w:rPr>
            </w:pPr>
          </w:p>
        </w:tc>
      </w:tr>
      <w:tr w:rsidR="00A10B25" w14:paraId="55345E81"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tcPr>
          <w:p w14:paraId="2E1B9F34" w14:textId="77777777" w:rsidR="00A10B25" w:rsidRDefault="00A10B25">
            <w:pPr>
              <w:pStyle w:val="TAL"/>
            </w:pPr>
            <w:r>
              <w:rPr>
                <w:lang w:val="en-US" w:eastAsia="zh-CN"/>
              </w:rPr>
              <w:t>adrfSetId</w:t>
            </w:r>
          </w:p>
        </w:tc>
        <w:tc>
          <w:tcPr>
            <w:tcW w:w="1695" w:type="dxa"/>
            <w:tcBorders>
              <w:top w:val="single" w:sz="6" w:space="0" w:color="auto"/>
              <w:left w:val="single" w:sz="6" w:space="0" w:color="auto"/>
              <w:bottom w:val="single" w:sz="6" w:space="0" w:color="auto"/>
              <w:right w:val="single" w:sz="6" w:space="0" w:color="auto"/>
            </w:tcBorders>
          </w:tcPr>
          <w:p w14:paraId="74B74B1B" w14:textId="77777777" w:rsidR="00A10B25" w:rsidRDefault="00A10B25">
            <w:pPr>
              <w:pStyle w:val="TAL"/>
            </w:pPr>
            <w:r>
              <w:t>NfSetId</w:t>
            </w:r>
          </w:p>
        </w:tc>
        <w:tc>
          <w:tcPr>
            <w:tcW w:w="425" w:type="dxa"/>
            <w:tcBorders>
              <w:top w:val="single" w:sz="6" w:space="0" w:color="auto"/>
              <w:left w:val="single" w:sz="6" w:space="0" w:color="auto"/>
              <w:bottom w:val="single" w:sz="6" w:space="0" w:color="auto"/>
              <w:right w:val="single" w:sz="6" w:space="0" w:color="auto"/>
            </w:tcBorders>
          </w:tcPr>
          <w:p w14:paraId="36C93402" w14:textId="77777777" w:rsidR="00A10B25" w:rsidRDefault="00A10B25">
            <w:pPr>
              <w:pStyle w:val="TAL"/>
              <w:jc w:val="center"/>
            </w:pPr>
            <w:r>
              <w:t>C</w:t>
            </w:r>
          </w:p>
        </w:tc>
        <w:tc>
          <w:tcPr>
            <w:tcW w:w="1130" w:type="dxa"/>
            <w:tcBorders>
              <w:top w:val="single" w:sz="6" w:space="0" w:color="auto"/>
              <w:left w:val="single" w:sz="6" w:space="0" w:color="auto"/>
              <w:bottom w:val="single" w:sz="6" w:space="0" w:color="auto"/>
              <w:right w:val="single" w:sz="6" w:space="0" w:color="auto"/>
            </w:tcBorders>
          </w:tcPr>
          <w:p w14:paraId="5FDD0B77" w14:textId="77777777" w:rsidR="00A10B25" w:rsidRDefault="00A10B25">
            <w:pPr>
              <w:pStyle w:val="TAL"/>
            </w:pPr>
            <w:r>
              <w:rPr>
                <w:rFonts w:cs="Arial"/>
                <w:szCs w:val="18"/>
                <w:lang w:eastAsia="zh-CN"/>
              </w:rPr>
              <w:t>0..1</w:t>
            </w:r>
          </w:p>
        </w:tc>
        <w:tc>
          <w:tcPr>
            <w:tcW w:w="2965" w:type="dxa"/>
            <w:tcBorders>
              <w:top w:val="single" w:sz="6" w:space="0" w:color="auto"/>
              <w:left w:val="single" w:sz="6" w:space="0" w:color="auto"/>
              <w:bottom w:val="single" w:sz="6" w:space="0" w:color="auto"/>
              <w:right w:val="single" w:sz="6" w:space="0" w:color="auto"/>
            </w:tcBorders>
          </w:tcPr>
          <w:p w14:paraId="3E0DACCC" w14:textId="77777777" w:rsidR="00A10B25" w:rsidRDefault="00A10B25">
            <w:pPr>
              <w:pStyle w:val="TAL"/>
            </w:pPr>
            <w:r>
              <w:t>Identifier of the ADRF Set.</w:t>
            </w:r>
          </w:p>
          <w:p w14:paraId="2DAADC69" w14:textId="77777777" w:rsidR="00A10B25" w:rsidRDefault="00A10B25">
            <w:pPr>
              <w:pStyle w:val="TAL"/>
            </w:pPr>
            <w:r>
              <w:t>(NOTE)</w:t>
            </w:r>
          </w:p>
        </w:tc>
        <w:tc>
          <w:tcPr>
            <w:tcW w:w="1622" w:type="dxa"/>
            <w:tcBorders>
              <w:top w:val="single" w:sz="6" w:space="0" w:color="auto"/>
              <w:left w:val="single" w:sz="6" w:space="0" w:color="auto"/>
              <w:bottom w:val="single" w:sz="6" w:space="0" w:color="auto"/>
              <w:right w:val="single" w:sz="6" w:space="0" w:color="auto"/>
            </w:tcBorders>
          </w:tcPr>
          <w:p w14:paraId="0ED67ADE" w14:textId="77777777" w:rsidR="00A10B25" w:rsidRDefault="00A10B25">
            <w:pPr>
              <w:pStyle w:val="TAL"/>
              <w:rPr>
                <w:rFonts w:cs="Arial"/>
                <w:szCs w:val="18"/>
              </w:rPr>
            </w:pPr>
          </w:p>
        </w:tc>
      </w:tr>
      <w:tr w:rsidR="00A10B25" w14:paraId="59084701" w14:textId="77777777" w:rsidTr="0076721C">
        <w:trPr>
          <w:jc w:val="center"/>
        </w:trPr>
        <w:tc>
          <w:tcPr>
            <w:tcW w:w="1666" w:type="dxa"/>
            <w:tcBorders>
              <w:top w:val="single" w:sz="6" w:space="0" w:color="auto"/>
              <w:left w:val="single" w:sz="6" w:space="0" w:color="auto"/>
              <w:bottom w:val="single" w:sz="6" w:space="0" w:color="auto"/>
              <w:right w:val="single" w:sz="6" w:space="0" w:color="auto"/>
            </w:tcBorders>
          </w:tcPr>
          <w:p w14:paraId="551A5C1F" w14:textId="77777777" w:rsidR="00A10B25" w:rsidRDefault="00A10B25">
            <w:pPr>
              <w:pStyle w:val="TAL"/>
              <w:rPr>
                <w:lang w:val="en-US" w:eastAsia="zh-CN"/>
              </w:rPr>
            </w:pPr>
            <w:r>
              <w:rPr>
                <w:lang w:val="en-US" w:eastAsia="zh-CN"/>
              </w:rPr>
              <w:t>storTransId</w:t>
            </w:r>
          </w:p>
        </w:tc>
        <w:tc>
          <w:tcPr>
            <w:tcW w:w="1695" w:type="dxa"/>
            <w:tcBorders>
              <w:top w:val="single" w:sz="6" w:space="0" w:color="auto"/>
              <w:left w:val="single" w:sz="6" w:space="0" w:color="auto"/>
              <w:bottom w:val="single" w:sz="6" w:space="0" w:color="auto"/>
              <w:right w:val="single" w:sz="6" w:space="0" w:color="auto"/>
            </w:tcBorders>
          </w:tcPr>
          <w:p w14:paraId="6F4CE242" w14:textId="77777777" w:rsidR="00A10B25" w:rsidRDefault="00A10B25">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tcPr>
          <w:p w14:paraId="7390E560" w14:textId="77777777" w:rsidR="00A10B25" w:rsidRDefault="00A10B25">
            <w:pPr>
              <w:pStyle w:val="TAL"/>
              <w:jc w:val="center"/>
            </w:pPr>
            <w:r>
              <w:t>O</w:t>
            </w:r>
          </w:p>
        </w:tc>
        <w:tc>
          <w:tcPr>
            <w:tcW w:w="1130" w:type="dxa"/>
            <w:tcBorders>
              <w:top w:val="single" w:sz="6" w:space="0" w:color="auto"/>
              <w:left w:val="single" w:sz="6" w:space="0" w:color="auto"/>
              <w:bottom w:val="single" w:sz="6" w:space="0" w:color="auto"/>
              <w:right w:val="single" w:sz="6" w:space="0" w:color="auto"/>
            </w:tcBorders>
          </w:tcPr>
          <w:p w14:paraId="18BC8731" w14:textId="77777777" w:rsidR="00A10B25" w:rsidRDefault="00A10B25">
            <w:pPr>
              <w:pStyle w:val="TAL"/>
              <w:rPr>
                <w:rFonts w:cs="Arial"/>
                <w:szCs w:val="18"/>
                <w:lang w:eastAsia="zh-CN"/>
              </w:rPr>
            </w:pPr>
            <w:r>
              <w:rPr>
                <w:rFonts w:cs="Arial"/>
                <w:szCs w:val="18"/>
                <w:lang w:eastAsia="zh-CN"/>
              </w:rPr>
              <w:t>0..1</w:t>
            </w:r>
          </w:p>
        </w:tc>
        <w:tc>
          <w:tcPr>
            <w:tcW w:w="2965" w:type="dxa"/>
            <w:tcBorders>
              <w:top w:val="single" w:sz="6" w:space="0" w:color="auto"/>
              <w:left w:val="single" w:sz="6" w:space="0" w:color="auto"/>
              <w:bottom w:val="single" w:sz="6" w:space="0" w:color="auto"/>
              <w:right w:val="single" w:sz="6" w:space="0" w:color="auto"/>
            </w:tcBorders>
          </w:tcPr>
          <w:p w14:paraId="139B2B42" w14:textId="77777777" w:rsidR="00A10B25" w:rsidRDefault="00640768">
            <w:pPr>
              <w:pStyle w:val="TAL"/>
            </w:pPr>
            <w:r w:rsidRPr="00A47B42">
              <w:t xml:space="preserve">Indicates </w:t>
            </w:r>
            <w:r>
              <w:t xml:space="preserve">the </w:t>
            </w:r>
            <w:r w:rsidRPr="00A47B42">
              <w:t>Storage Transaction ID.</w:t>
            </w:r>
          </w:p>
        </w:tc>
        <w:tc>
          <w:tcPr>
            <w:tcW w:w="1622" w:type="dxa"/>
            <w:tcBorders>
              <w:top w:val="single" w:sz="6" w:space="0" w:color="auto"/>
              <w:left w:val="single" w:sz="6" w:space="0" w:color="auto"/>
              <w:bottom w:val="single" w:sz="6" w:space="0" w:color="auto"/>
              <w:right w:val="single" w:sz="6" w:space="0" w:color="auto"/>
            </w:tcBorders>
          </w:tcPr>
          <w:p w14:paraId="42D74F41" w14:textId="77777777" w:rsidR="00A10B25" w:rsidRDefault="00A10B25">
            <w:pPr>
              <w:pStyle w:val="TAL"/>
              <w:rPr>
                <w:rFonts w:cs="Arial"/>
                <w:szCs w:val="18"/>
              </w:rPr>
            </w:pPr>
          </w:p>
        </w:tc>
      </w:tr>
      <w:tr w:rsidR="00A10B25" w14:paraId="5C339EFB" w14:textId="77777777" w:rsidTr="0076721C">
        <w:trPr>
          <w:jc w:val="center"/>
        </w:trPr>
        <w:tc>
          <w:tcPr>
            <w:tcW w:w="9503" w:type="dxa"/>
            <w:gridSpan w:val="6"/>
            <w:tcBorders>
              <w:top w:val="single" w:sz="6" w:space="0" w:color="auto"/>
              <w:left w:val="single" w:sz="6" w:space="0" w:color="auto"/>
              <w:bottom w:val="single" w:sz="6" w:space="0" w:color="auto"/>
              <w:right w:val="single" w:sz="6" w:space="0" w:color="auto"/>
            </w:tcBorders>
          </w:tcPr>
          <w:p w14:paraId="2D98DBC3" w14:textId="77777777" w:rsidR="00A10B25" w:rsidRDefault="00A10B25">
            <w:pPr>
              <w:pStyle w:val="TAN"/>
              <w:rPr>
                <w:rFonts w:cs="Arial"/>
                <w:szCs w:val="18"/>
              </w:rPr>
            </w:pPr>
            <w:r>
              <w:rPr>
                <w:rFonts w:cs="Arial"/>
                <w:szCs w:val="18"/>
              </w:rPr>
              <w:t>NOTE:</w:t>
            </w:r>
            <w:r>
              <w:rPr>
                <w:rFonts w:cs="Arial"/>
                <w:szCs w:val="18"/>
              </w:rPr>
              <w:tab/>
              <w:t>One of "</w:t>
            </w:r>
            <w:r>
              <w:rPr>
                <w:lang w:val="en-US" w:eastAsia="zh-CN"/>
              </w:rPr>
              <w:t>adrfId</w:t>
            </w:r>
            <w:r>
              <w:rPr>
                <w:rFonts w:cs="Arial"/>
                <w:szCs w:val="18"/>
              </w:rPr>
              <w:t>" and "</w:t>
            </w:r>
            <w:r>
              <w:rPr>
                <w:lang w:val="en-US" w:eastAsia="zh-CN"/>
              </w:rPr>
              <w:t>adrfSetId</w:t>
            </w:r>
            <w:r>
              <w:rPr>
                <w:rFonts w:cs="Arial"/>
                <w:szCs w:val="18"/>
              </w:rPr>
              <w:t>" attributes shall be provided.</w:t>
            </w:r>
          </w:p>
        </w:tc>
      </w:tr>
    </w:tbl>
    <w:p w14:paraId="4366E68A" w14:textId="77777777" w:rsidR="00A10B25" w:rsidRDefault="00A10B25"/>
    <w:p w14:paraId="5DA7106D" w14:textId="77777777" w:rsidR="00EF7075" w:rsidRDefault="00EF7075" w:rsidP="00EF7075">
      <w:pPr>
        <w:pStyle w:val="5"/>
      </w:pPr>
      <w:bookmarkStart w:id="13988" w:name="_Toc148522896"/>
      <w:bookmarkStart w:id="13989" w:name="_Toc164921084"/>
      <w:bookmarkStart w:id="13990" w:name="_Toc148522895"/>
      <w:bookmarkStart w:id="13991" w:name="_Toc164921083"/>
      <w:bookmarkStart w:id="13992" w:name="_Toc510696633"/>
      <w:bookmarkStart w:id="13993" w:name="_Toc35971428"/>
      <w:bookmarkStart w:id="13994" w:name="_Toc67903544"/>
      <w:bookmarkStart w:id="13995" w:name="_Toc90664053"/>
      <w:bookmarkStart w:id="13996" w:name="_Toc122117832"/>
      <w:bookmarkStart w:id="13997" w:name="_Toc122117835"/>
      <w:bookmarkStart w:id="13998" w:name="_Toc170120625"/>
      <w:bookmarkStart w:id="13999" w:name="_Toc175858870"/>
      <w:bookmarkStart w:id="14000" w:name="_Toc175859943"/>
      <w:bookmarkStart w:id="14001" w:name="_Toc180606233"/>
      <w:bookmarkStart w:id="14002" w:name="_Toc185517494"/>
      <w:bookmarkStart w:id="14003" w:name="_Toc191576546"/>
      <w:bookmarkStart w:id="14004" w:name="_Toc191577286"/>
      <w:bookmarkStart w:id="14005" w:name="_Toc192880356"/>
      <w:bookmarkStart w:id="14006" w:name="_Toc195815245"/>
      <w:bookmarkStart w:id="14007" w:name="_Toc199453212"/>
      <w:r>
        <w:t>5.4.6.2.16</w:t>
      </w:r>
      <w:r>
        <w:tab/>
        <w:t>Type TrainInputDataInfo</w:t>
      </w:r>
      <w:bookmarkEnd w:id="13990"/>
      <w:bookmarkEnd w:id="13991"/>
      <w:bookmarkEnd w:id="13998"/>
      <w:bookmarkEnd w:id="13999"/>
      <w:bookmarkEnd w:id="14000"/>
      <w:bookmarkEnd w:id="14001"/>
      <w:bookmarkEnd w:id="14002"/>
      <w:bookmarkEnd w:id="14003"/>
      <w:bookmarkEnd w:id="14004"/>
      <w:bookmarkEnd w:id="14005"/>
      <w:bookmarkEnd w:id="14006"/>
      <w:bookmarkEnd w:id="14007"/>
    </w:p>
    <w:p w14:paraId="6D2E0CB2" w14:textId="77777777" w:rsidR="00EF7075" w:rsidRDefault="00EF7075" w:rsidP="00EF7075">
      <w:pPr>
        <w:keepNext/>
        <w:keepLines/>
        <w:overflowPunct w:val="0"/>
        <w:autoSpaceDE w:val="0"/>
        <w:autoSpaceDN w:val="0"/>
        <w:adjustRightInd w:val="0"/>
        <w:spacing w:before="60"/>
        <w:jc w:val="center"/>
        <w:textAlignment w:val="baseline"/>
        <w:rPr>
          <w:rFonts w:ascii="Arial" w:eastAsia="MS Mincho" w:hAnsi="Arial"/>
          <w:b/>
        </w:rPr>
      </w:pPr>
      <w:r>
        <w:rPr>
          <w:rFonts w:ascii="Arial" w:eastAsia="MS Mincho" w:hAnsi="Arial"/>
          <w:b/>
        </w:rPr>
        <w:t>Table 5.4.6.2.16-1: Definition of type TrainInputDataInfo</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4"/>
        <w:gridCol w:w="425"/>
        <w:gridCol w:w="1134"/>
        <w:gridCol w:w="2410"/>
        <w:gridCol w:w="1916"/>
      </w:tblGrid>
      <w:tr w:rsidR="00EF7075" w14:paraId="450FCDA7" w14:textId="77777777" w:rsidTr="009E0BD0">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1AAA0679" w14:textId="77777777" w:rsidR="00EF7075" w:rsidRDefault="00EF7075" w:rsidP="009E0BD0">
            <w:pPr>
              <w:keepNext/>
              <w:keepLines/>
              <w:spacing w:after="0"/>
              <w:jc w:val="center"/>
              <w:rPr>
                <w:rFonts w:ascii="Arial" w:hAnsi="Arial"/>
                <w:b/>
                <w:sz w:val="18"/>
              </w:rPr>
            </w:pPr>
            <w:r>
              <w:rPr>
                <w:rFonts w:ascii="Arial" w:hAnsi="Arial"/>
                <w:b/>
                <w:sz w:val="18"/>
              </w:rPr>
              <w:t>Attribute name</w:t>
            </w:r>
          </w:p>
        </w:tc>
        <w:tc>
          <w:tcPr>
            <w:tcW w:w="2024" w:type="dxa"/>
            <w:tcBorders>
              <w:top w:val="single" w:sz="6" w:space="0" w:color="auto"/>
              <w:left w:val="single" w:sz="6" w:space="0" w:color="auto"/>
              <w:bottom w:val="single" w:sz="6" w:space="0" w:color="auto"/>
              <w:right w:val="single" w:sz="6" w:space="0" w:color="auto"/>
            </w:tcBorders>
            <w:shd w:val="clear" w:color="auto" w:fill="C0C0C0"/>
          </w:tcPr>
          <w:p w14:paraId="07C7028A" w14:textId="77777777" w:rsidR="00EF7075" w:rsidRDefault="00EF7075" w:rsidP="009E0BD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8B90C8B" w14:textId="77777777" w:rsidR="00EF7075" w:rsidRDefault="00EF7075" w:rsidP="009E0BD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6E233B56" w14:textId="77777777" w:rsidR="00EF7075" w:rsidRDefault="00EF7075" w:rsidP="009E0BD0">
            <w:pPr>
              <w:keepNext/>
              <w:keepLines/>
              <w:spacing w:after="0"/>
              <w:jc w:val="center"/>
              <w:rPr>
                <w:rFonts w:ascii="Arial" w:hAnsi="Arial"/>
                <w:b/>
                <w:sz w:val="18"/>
              </w:rPr>
            </w:pPr>
            <w:r>
              <w:rPr>
                <w:rFonts w:ascii="Arial" w:hAnsi="Arial"/>
                <w:b/>
                <w:sz w:val="18"/>
              </w:rPr>
              <w:t>Cardinality</w:t>
            </w:r>
          </w:p>
        </w:tc>
        <w:tc>
          <w:tcPr>
            <w:tcW w:w="2410" w:type="dxa"/>
            <w:tcBorders>
              <w:top w:val="single" w:sz="6" w:space="0" w:color="auto"/>
              <w:left w:val="single" w:sz="6" w:space="0" w:color="auto"/>
              <w:bottom w:val="single" w:sz="6" w:space="0" w:color="auto"/>
              <w:right w:val="single" w:sz="6" w:space="0" w:color="auto"/>
            </w:tcBorders>
            <w:shd w:val="clear" w:color="auto" w:fill="C0C0C0"/>
          </w:tcPr>
          <w:p w14:paraId="58A84269" w14:textId="77777777" w:rsidR="00EF7075" w:rsidRDefault="00EF7075" w:rsidP="009E0BD0">
            <w:pPr>
              <w:keepNext/>
              <w:keepLines/>
              <w:spacing w:after="0"/>
              <w:jc w:val="center"/>
              <w:rPr>
                <w:rFonts w:ascii="Arial" w:hAnsi="Arial" w:cs="Arial"/>
                <w:b/>
                <w:sz w:val="18"/>
                <w:szCs w:val="18"/>
              </w:rPr>
            </w:pPr>
            <w:r>
              <w:rPr>
                <w:rFonts w:ascii="Arial" w:hAnsi="Arial" w:cs="Arial"/>
                <w:b/>
                <w:sz w:val="18"/>
                <w:szCs w:val="18"/>
              </w:rPr>
              <w:t>Description</w:t>
            </w:r>
          </w:p>
        </w:tc>
        <w:tc>
          <w:tcPr>
            <w:tcW w:w="1916" w:type="dxa"/>
            <w:tcBorders>
              <w:top w:val="single" w:sz="6" w:space="0" w:color="auto"/>
              <w:left w:val="single" w:sz="6" w:space="0" w:color="auto"/>
              <w:bottom w:val="single" w:sz="6" w:space="0" w:color="auto"/>
              <w:right w:val="single" w:sz="6" w:space="0" w:color="auto"/>
            </w:tcBorders>
            <w:shd w:val="clear" w:color="auto" w:fill="C0C0C0"/>
          </w:tcPr>
          <w:p w14:paraId="4A088CD6" w14:textId="77777777" w:rsidR="00EF7075" w:rsidRDefault="00EF7075" w:rsidP="009E0BD0">
            <w:pPr>
              <w:keepNext/>
              <w:keepLines/>
              <w:spacing w:after="0"/>
              <w:jc w:val="center"/>
              <w:rPr>
                <w:rFonts w:ascii="Arial" w:hAnsi="Arial" w:cs="Arial"/>
                <w:b/>
                <w:sz w:val="18"/>
                <w:szCs w:val="18"/>
              </w:rPr>
            </w:pPr>
            <w:r>
              <w:rPr>
                <w:rFonts w:ascii="Arial" w:hAnsi="Arial" w:cs="Arial"/>
                <w:b/>
                <w:sz w:val="18"/>
                <w:szCs w:val="18"/>
              </w:rPr>
              <w:t>Applicability</w:t>
            </w:r>
          </w:p>
        </w:tc>
      </w:tr>
      <w:tr w:rsidR="00EF7075" w14:paraId="4D948E9A" w14:textId="77777777" w:rsidTr="009E0BD0">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A514654" w14:textId="77777777" w:rsidR="00EF7075" w:rsidRDefault="00EF7075" w:rsidP="009E0BD0">
            <w:pPr>
              <w:keepNext/>
              <w:keepLines/>
              <w:spacing w:after="0"/>
              <w:rPr>
                <w:rFonts w:ascii="Arial" w:hAnsi="Arial"/>
                <w:sz w:val="18"/>
                <w:lang w:eastAsia="zh-CN"/>
              </w:rPr>
            </w:pPr>
            <w:r>
              <w:rPr>
                <w:rFonts w:ascii="Arial" w:hAnsi="Arial"/>
                <w:sz w:val="18"/>
                <w:lang w:eastAsia="zh-CN"/>
              </w:rPr>
              <w:t>dataInfo</w:t>
            </w:r>
          </w:p>
        </w:tc>
        <w:tc>
          <w:tcPr>
            <w:tcW w:w="2024" w:type="dxa"/>
            <w:tcBorders>
              <w:top w:val="single" w:sz="6" w:space="0" w:color="auto"/>
              <w:left w:val="single" w:sz="6" w:space="0" w:color="auto"/>
              <w:bottom w:val="single" w:sz="6" w:space="0" w:color="auto"/>
              <w:right w:val="single" w:sz="6" w:space="0" w:color="auto"/>
            </w:tcBorders>
          </w:tcPr>
          <w:p w14:paraId="6B03C301" w14:textId="77777777" w:rsidR="00EF7075" w:rsidRDefault="00EF7075" w:rsidP="009E0BD0">
            <w:pPr>
              <w:keepNext/>
              <w:keepLines/>
              <w:spacing w:after="0"/>
              <w:rPr>
                <w:rFonts w:ascii="Arial" w:hAnsi="Arial"/>
                <w:sz w:val="18"/>
                <w:lang w:eastAsia="zh-CN"/>
              </w:rPr>
            </w:pPr>
            <w:r>
              <w:rPr>
                <w:rFonts w:ascii="Arial" w:hAnsi="Arial"/>
                <w:sz w:val="18"/>
                <w:lang w:eastAsia="zh-CN"/>
              </w:rPr>
              <w:t>InputDataInfo</w:t>
            </w:r>
          </w:p>
        </w:tc>
        <w:tc>
          <w:tcPr>
            <w:tcW w:w="425" w:type="dxa"/>
            <w:tcBorders>
              <w:top w:val="single" w:sz="6" w:space="0" w:color="auto"/>
              <w:left w:val="single" w:sz="6" w:space="0" w:color="auto"/>
              <w:bottom w:val="single" w:sz="6" w:space="0" w:color="auto"/>
              <w:right w:val="single" w:sz="6" w:space="0" w:color="auto"/>
            </w:tcBorders>
          </w:tcPr>
          <w:p w14:paraId="0A5CE9F0" w14:textId="77777777" w:rsidR="00EF7075" w:rsidRDefault="00EF7075" w:rsidP="009E0BD0">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987574F" w14:textId="77777777" w:rsidR="00EF7075" w:rsidRDefault="00EF7075" w:rsidP="009E0BD0">
            <w:pPr>
              <w:keepNext/>
              <w:keepLines/>
              <w:spacing w:after="0"/>
              <w:rPr>
                <w:rFonts w:ascii="Arial" w:hAnsi="Arial"/>
                <w:sz w:val="18"/>
                <w:lang w:eastAsia="zh-CN"/>
              </w:rPr>
            </w:pPr>
            <w:r>
              <w:rPr>
                <w:rFonts w:ascii="Arial" w:hAnsi="Arial"/>
                <w:sz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482D313D" w14:textId="77777777" w:rsidR="00EF7075" w:rsidRDefault="00EF7075" w:rsidP="009E0BD0">
            <w:pPr>
              <w:keepNext/>
              <w:keepLines/>
              <w:spacing w:after="0"/>
              <w:rPr>
                <w:rFonts w:ascii="Arial" w:hAnsi="Arial"/>
                <w:sz w:val="18"/>
                <w:lang w:eastAsia="zh-CN"/>
              </w:rPr>
            </w:pPr>
            <w:r>
              <w:rPr>
                <w:rFonts w:ascii="Arial" w:hAnsi="Arial"/>
                <w:sz w:val="18"/>
                <w:lang w:eastAsia="zh-CN"/>
              </w:rPr>
              <w:t>The metrics of input data that has been used by NWDAF containing MTLF during training</w:t>
            </w:r>
            <w:r>
              <w:rPr>
                <w:rFonts w:ascii="Arial" w:hAnsi="Arial" w:hint="eastAsia"/>
                <w:sz w:val="18"/>
                <w:lang w:eastAsia="zh-CN"/>
              </w:rPr>
              <w:t>.</w:t>
            </w:r>
          </w:p>
        </w:tc>
        <w:tc>
          <w:tcPr>
            <w:tcW w:w="1916" w:type="dxa"/>
            <w:tcBorders>
              <w:top w:val="single" w:sz="6" w:space="0" w:color="auto"/>
              <w:left w:val="single" w:sz="6" w:space="0" w:color="auto"/>
              <w:bottom w:val="single" w:sz="6" w:space="0" w:color="auto"/>
              <w:right w:val="single" w:sz="6" w:space="0" w:color="auto"/>
            </w:tcBorders>
          </w:tcPr>
          <w:p w14:paraId="08C6CC34" w14:textId="77777777" w:rsidR="00EF7075" w:rsidRDefault="00EF7075" w:rsidP="009E0BD0">
            <w:pPr>
              <w:keepNext/>
              <w:keepLines/>
              <w:spacing w:after="0"/>
              <w:rPr>
                <w:rFonts w:ascii="Arial" w:hAnsi="Arial"/>
                <w:sz w:val="18"/>
                <w:lang w:eastAsia="zh-CN"/>
              </w:rPr>
            </w:pPr>
          </w:p>
        </w:tc>
      </w:tr>
      <w:tr w:rsidR="00EF7075" w14:paraId="4729AC0F" w14:textId="77777777" w:rsidTr="009E0BD0">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572F8E20" w14:textId="77777777" w:rsidR="00EF7075" w:rsidRDefault="00EF7075" w:rsidP="009E0BD0">
            <w:pPr>
              <w:keepNext/>
              <w:keepLines/>
              <w:spacing w:after="0"/>
              <w:rPr>
                <w:rFonts w:ascii="Arial" w:hAnsi="Arial"/>
                <w:sz w:val="18"/>
              </w:rPr>
            </w:pPr>
            <w:r>
              <w:rPr>
                <w:rFonts w:ascii="Arial" w:hAnsi="Arial" w:hint="eastAsia"/>
                <w:sz w:val="18"/>
                <w:lang w:eastAsia="zh-CN"/>
              </w:rPr>
              <w:t>t</w:t>
            </w:r>
            <w:r>
              <w:rPr>
                <w:rFonts w:ascii="Arial" w:hAnsi="Arial"/>
                <w:sz w:val="18"/>
                <w:lang w:eastAsia="zh-CN"/>
              </w:rPr>
              <w:t>ime</w:t>
            </w:r>
          </w:p>
        </w:tc>
        <w:tc>
          <w:tcPr>
            <w:tcW w:w="2024" w:type="dxa"/>
            <w:tcBorders>
              <w:top w:val="single" w:sz="6" w:space="0" w:color="auto"/>
              <w:left w:val="single" w:sz="6" w:space="0" w:color="auto"/>
              <w:bottom w:val="single" w:sz="6" w:space="0" w:color="auto"/>
              <w:right w:val="single" w:sz="6" w:space="0" w:color="auto"/>
            </w:tcBorders>
          </w:tcPr>
          <w:p w14:paraId="566C35D8" w14:textId="77777777" w:rsidR="00EF7075" w:rsidRDefault="00EF7075" w:rsidP="009E0BD0">
            <w:pPr>
              <w:keepNext/>
              <w:keepLines/>
              <w:spacing w:after="0"/>
              <w:rPr>
                <w:rFonts w:ascii="Arial" w:hAnsi="Arial"/>
                <w:sz w:val="18"/>
                <w:lang w:eastAsia="zh-CN"/>
              </w:rPr>
            </w:pPr>
            <w:r>
              <w:rPr>
                <w:rFonts w:ascii="Arial" w:hAnsi="Arial"/>
                <w:sz w:val="18"/>
                <w:lang w:eastAsia="zh-CN"/>
              </w:rPr>
              <w:t>TimeWindow</w:t>
            </w:r>
          </w:p>
        </w:tc>
        <w:tc>
          <w:tcPr>
            <w:tcW w:w="425" w:type="dxa"/>
            <w:tcBorders>
              <w:top w:val="single" w:sz="6" w:space="0" w:color="auto"/>
              <w:left w:val="single" w:sz="6" w:space="0" w:color="auto"/>
              <w:bottom w:val="single" w:sz="6" w:space="0" w:color="auto"/>
              <w:right w:val="single" w:sz="6" w:space="0" w:color="auto"/>
            </w:tcBorders>
          </w:tcPr>
          <w:p w14:paraId="105A7F9B" w14:textId="77777777" w:rsidR="00EF7075" w:rsidRDefault="00EF7075" w:rsidP="009E0BD0">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ADE1281" w14:textId="77777777" w:rsidR="00EF7075" w:rsidRDefault="00EF7075" w:rsidP="009E0BD0">
            <w:pPr>
              <w:keepNext/>
              <w:keepLines/>
              <w:spacing w:after="0"/>
              <w:rPr>
                <w:rFonts w:ascii="Arial" w:hAnsi="Arial"/>
                <w:sz w:val="18"/>
                <w:lang w:eastAsia="zh-CN"/>
              </w:rPr>
            </w:pPr>
            <w:r>
              <w:rPr>
                <w:rFonts w:ascii="Arial" w:hAnsi="Arial"/>
                <w:sz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3478DDB8" w14:textId="77777777" w:rsidR="00EF7075" w:rsidRDefault="00EF7075" w:rsidP="009E0BD0">
            <w:pPr>
              <w:keepNext/>
              <w:keepLines/>
              <w:spacing w:after="0"/>
              <w:rPr>
                <w:rFonts w:ascii="Arial" w:hAnsi="Arial"/>
                <w:sz w:val="18"/>
                <w:lang w:eastAsia="zh-CN"/>
              </w:rPr>
            </w:pPr>
            <w:r>
              <w:rPr>
                <w:rFonts w:ascii="Arial" w:hAnsi="Arial"/>
                <w:sz w:val="18"/>
                <w:lang w:eastAsia="zh-CN"/>
              </w:rPr>
              <w:t>Indicates the time interval during which the data was obtained from the data source NFs.</w:t>
            </w:r>
          </w:p>
        </w:tc>
        <w:tc>
          <w:tcPr>
            <w:tcW w:w="1916" w:type="dxa"/>
            <w:tcBorders>
              <w:top w:val="single" w:sz="6" w:space="0" w:color="auto"/>
              <w:left w:val="single" w:sz="6" w:space="0" w:color="auto"/>
              <w:bottom w:val="single" w:sz="6" w:space="0" w:color="auto"/>
              <w:right w:val="single" w:sz="6" w:space="0" w:color="auto"/>
            </w:tcBorders>
          </w:tcPr>
          <w:p w14:paraId="1BDEA341" w14:textId="77777777" w:rsidR="00EF7075" w:rsidRDefault="00EF7075" w:rsidP="009E0BD0">
            <w:pPr>
              <w:keepNext/>
              <w:keepLines/>
              <w:spacing w:after="0"/>
              <w:rPr>
                <w:rFonts w:ascii="Arial" w:hAnsi="Arial" w:cs="Arial"/>
                <w:sz w:val="18"/>
                <w:szCs w:val="18"/>
              </w:rPr>
            </w:pPr>
          </w:p>
        </w:tc>
      </w:tr>
      <w:tr w:rsidR="00EF7075" w14:paraId="194B762D" w14:textId="77777777" w:rsidTr="009E0BD0">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4BAA52D" w14:textId="77777777" w:rsidR="00EF7075" w:rsidRDefault="00EF7075" w:rsidP="009E0BD0">
            <w:pPr>
              <w:keepNext/>
              <w:keepLines/>
              <w:spacing w:after="0"/>
              <w:rPr>
                <w:rFonts w:ascii="Arial" w:hAnsi="Arial"/>
                <w:sz w:val="18"/>
                <w:lang w:eastAsia="zh-CN"/>
              </w:rPr>
            </w:pPr>
            <w:r>
              <w:rPr>
                <w:rFonts w:ascii="Arial" w:hAnsi="Arial"/>
                <w:sz w:val="18"/>
                <w:lang w:eastAsia="zh-CN"/>
              </w:rPr>
              <w:t>dataStatisticsInfos</w:t>
            </w:r>
          </w:p>
        </w:tc>
        <w:tc>
          <w:tcPr>
            <w:tcW w:w="2024" w:type="dxa"/>
            <w:tcBorders>
              <w:top w:val="single" w:sz="6" w:space="0" w:color="auto"/>
              <w:left w:val="single" w:sz="6" w:space="0" w:color="auto"/>
              <w:bottom w:val="single" w:sz="6" w:space="0" w:color="auto"/>
              <w:right w:val="single" w:sz="6" w:space="0" w:color="auto"/>
            </w:tcBorders>
          </w:tcPr>
          <w:p w14:paraId="275F6E24" w14:textId="77777777" w:rsidR="00EF7075" w:rsidRDefault="00EF7075" w:rsidP="009E0BD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tcPr>
          <w:p w14:paraId="131116CD" w14:textId="77777777" w:rsidR="00EF7075" w:rsidRDefault="00EF7075" w:rsidP="009E0BD0">
            <w:pPr>
              <w:keepNext/>
              <w:keepLines/>
              <w:spacing w:after="0"/>
              <w:rPr>
                <w:rFonts w:ascii="Arial" w:hAnsi="Arial"/>
                <w:sz w:val="18"/>
                <w:lang w:eastAsia="zh-CN"/>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1A46109" w14:textId="77777777" w:rsidR="00EF7075" w:rsidRDefault="00EF7075" w:rsidP="009E0BD0">
            <w:pPr>
              <w:keepNext/>
              <w:keepLines/>
              <w:spacing w:after="0"/>
              <w:rPr>
                <w:rFonts w:ascii="Arial" w:hAnsi="Arial"/>
                <w:sz w:val="18"/>
                <w:lang w:eastAsia="zh-CN"/>
              </w:rPr>
            </w:pPr>
            <w:r>
              <w:rPr>
                <w:rFonts w:ascii="Arial" w:hAnsi="Arial"/>
                <w:sz w:val="18"/>
                <w:lang w:eastAsia="zh-CN"/>
              </w:rPr>
              <w:t>0..1</w:t>
            </w:r>
          </w:p>
        </w:tc>
        <w:tc>
          <w:tcPr>
            <w:tcW w:w="2410" w:type="dxa"/>
            <w:tcBorders>
              <w:top w:val="single" w:sz="6" w:space="0" w:color="auto"/>
              <w:left w:val="single" w:sz="6" w:space="0" w:color="auto"/>
              <w:bottom w:val="single" w:sz="6" w:space="0" w:color="auto"/>
              <w:right w:val="single" w:sz="6" w:space="0" w:color="auto"/>
            </w:tcBorders>
          </w:tcPr>
          <w:p w14:paraId="6A2B5056" w14:textId="77777777" w:rsidR="00EF7075" w:rsidRDefault="00EF7075" w:rsidP="009E0BD0">
            <w:pPr>
              <w:keepNext/>
              <w:keepLines/>
              <w:spacing w:after="0"/>
              <w:rPr>
                <w:rFonts w:ascii="Arial" w:hAnsi="Arial"/>
                <w:sz w:val="18"/>
                <w:lang w:eastAsia="zh-CN"/>
              </w:rPr>
            </w:pPr>
            <w:r>
              <w:rPr>
                <w:rFonts w:ascii="Arial" w:hAnsi="Arial"/>
                <w:sz w:val="18"/>
                <w:lang w:eastAsia="zh-CN"/>
              </w:rPr>
              <w:t xml:space="preserve">Indicates the statistics information of the data identified by "dataInfo" </w:t>
            </w:r>
            <w:r>
              <w:rPr>
                <w:rFonts w:ascii="Arial" w:hAnsi="Arial" w:hint="eastAsia"/>
                <w:sz w:val="18"/>
                <w:lang w:eastAsia="zh-CN"/>
              </w:rPr>
              <w:t>attribute</w:t>
            </w:r>
            <w:r>
              <w:rPr>
                <w:rFonts w:ascii="Arial" w:hAnsi="Arial"/>
                <w:sz w:val="18"/>
                <w:lang w:eastAsia="zh-CN"/>
              </w:rPr>
              <w:t xml:space="preserve">, i.e. data range including maximum and minimum values, mean and standard deviation and data distribution when applicable. </w:t>
            </w:r>
            <w:r w:rsidRPr="0013184E">
              <w:rPr>
                <w:rFonts w:ascii="Arial" w:hAnsi="Arial"/>
                <w:sz w:val="18"/>
                <w:lang w:eastAsia="zh-CN"/>
              </w:rPr>
              <w:t>May be present when the "</w:t>
            </w:r>
            <w:r>
              <w:rPr>
                <w:rFonts w:ascii="Arial" w:hAnsi="Arial"/>
                <w:sz w:val="18"/>
                <w:lang w:eastAsia="zh-CN"/>
              </w:rPr>
              <w:t>dataInfo</w:t>
            </w:r>
            <w:r w:rsidRPr="0013184E">
              <w:rPr>
                <w:rFonts w:ascii="Arial" w:hAnsi="Arial"/>
                <w:sz w:val="18"/>
                <w:lang w:eastAsia="zh-CN"/>
              </w:rPr>
              <w:t>" attribute is included.</w:t>
            </w:r>
          </w:p>
          <w:p w14:paraId="1AB5EAAE" w14:textId="77777777" w:rsidR="00EF7075" w:rsidRDefault="00EF7075" w:rsidP="009E0BD0">
            <w:pPr>
              <w:keepNext/>
              <w:keepLines/>
              <w:spacing w:after="0"/>
              <w:rPr>
                <w:rFonts w:ascii="Arial" w:hAnsi="Arial"/>
                <w:sz w:val="18"/>
                <w:lang w:eastAsia="zh-CN"/>
              </w:rPr>
            </w:pPr>
            <w:r>
              <w:rPr>
                <w:rFonts w:ascii="Arial" w:hAnsi="Arial"/>
                <w:sz w:val="18"/>
                <w:lang w:eastAsia="zh-CN"/>
              </w:rPr>
              <w:t>The format of the value of this attribute is up to implementation.</w:t>
            </w:r>
          </w:p>
        </w:tc>
        <w:tc>
          <w:tcPr>
            <w:tcW w:w="1916" w:type="dxa"/>
            <w:tcBorders>
              <w:top w:val="single" w:sz="6" w:space="0" w:color="auto"/>
              <w:left w:val="single" w:sz="6" w:space="0" w:color="auto"/>
              <w:bottom w:val="single" w:sz="6" w:space="0" w:color="auto"/>
              <w:right w:val="single" w:sz="6" w:space="0" w:color="auto"/>
            </w:tcBorders>
          </w:tcPr>
          <w:p w14:paraId="4FF8DD37" w14:textId="77777777" w:rsidR="00EF7075" w:rsidRDefault="00EF7075" w:rsidP="009E0BD0">
            <w:pPr>
              <w:keepNext/>
              <w:keepLines/>
              <w:spacing w:after="0"/>
              <w:rPr>
                <w:rFonts w:ascii="Arial" w:hAnsi="Arial" w:cs="Arial"/>
                <w:sz w:val="18"/>
                <w:szCs w:val="18"/>
              </w:rPr>
            </w:pPr>
          </w:p>
        </w:tc>
      </w:tr>
    </w:tbl>
    <w:p w14:paraId="7F016519" w14:textId="77777777" w:rsidR="00A10B25" w:rsidRDefault="00A10B25">
      <w:pPr>
        <w:pStyle w:val="5"/>
      </w:pPr>
      <w:bookmarkStart w:id="14008" w:name="_Toc170120626"/>
      <w:bookmarkStart w:id="14009" w:name="_Toc175858871"/>
      <w:bookmarkStart w:id="14010" w:name="_Toc175859944"/>
      <w:bookmarkStart w:id="14011" w:name="_Toc180606234"/>
      <w:bookmarkStart w:id="14012" w:name="_Toc185517495"/>
      <w:bookmarkStart w:id="14013" w:name="_Toc191576547"/>
      <w:bookmarkStart w:id="14014" w:name="_Toc191577287"/>
      <w:bookmarkStart w:id="14015" w:name="_Toc192880357"/>
      <w:bookmarkStart w:id="14016" w:name="_Toc195815246"/>
      <w:bookmarkStart w:id="14017" w:name="_Toc199453213"/>
      <w:bookmarkEnd w:id="13992"/>
      <w:bookmarkEnd w:id="13993"/>
      <w:bookmarkEnd w:id="13994"/>
      <w:bookmarkEnd w:id="13995"/>
      <w:bookmarkEnd w:id="13996"/>
      <w:bookmarkEnd w:id="13997"/>
      <w:r>
        <w:t>5.4.6.2.17</w:t>
      </w:r>
      <w:r>
        <w:tab/>
        <w:t xml:space="preserve">Type </w:t>
      </w:r>
      <w:r>
        <w:rPr>
          <w:lang w:val="en-US" w:eastAsia="zh-CN"/>
        </w:rPr>
        <w:t>InferenceDataForModelTrain</w:t>
      </w:r>
      <w:bookmarkEnd w:id="13988"/>
      <w:bookmarkEnd w:id="13989"/>
      <w:bookmarkEnd w:id="14008"/>
      <w:bookmarkEnd w:id="14009"/>
      <w:bookmarkEnd w:id="14010"/>
      <w:bookmarkEnd w:id="14011"/>
      <w:bookmarkEnd w:id="14012"/>
      <w:bookmarkEnd w:id="14013"/>
      <w:bookmarkEnd w:id="14014"/>
      <w:bookmarkEnd w:id="14015"/>
      <w:bookmarkEnd w:id="14016"/>
      <w:bookmarkEnd w:id="14017"/>
    </w:p>
    <w:p w14:paraId="73907E98" w14:textId="77777777" w:rsidR="00A10B25" w:rsidRDefault="00A10B25">
      <w:pPr>
        <w:pStyle w:val="TH"/>
        <w:overflowPunct w:val="0"/>
        <w:autoSpaceDE w:val="0"/>
        <w:autoSpaceDN w:val="0"/>
        <w:adjustRightInd w:val="0"/>
        <w:textAlignment w:val="baseline"/>
      </w:pPr>
      <w:r>
        <w:t xml:space="preserve">Table 5.4.6.2.17-1: Definition of type </w:t>
      </w:r>
      <w:r>
        <w:rPr>
          <w:lang w:val="en-US" w:eastAsia="zh-CN"/>
        </w:rPr>
        <w:t>InferenceDataForModelTrain</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A10B25" w14:paraId="7C31C8EC" w14:textId="77777777">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095579A5" w14:textId="77777777" w:rsidR="00A10B25" w:rsidRDefault="00A10B25">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2F285C20" w14:textId="77777777" w:rsidR="00A10B25" w:rsidRDefault="00A10B25">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3A62FF68" w14:textId="77777777" w:rsidR="00A10B25" w:rsidRDefault="00A10B25">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2ED1313" w14:textId="77777777" w:rsidR="00A10B25" w:rsidRDefault="00A10B25">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5C016EA8" w14:textId="77777777" w:rsidR="00A10B25" w:rsidRDefault="00A10B25">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3DFF0A0F" w14:textId="77777777" w:rsidR="00A10B25" w:rsidRDefault="00A10B25">
            <w:pPr>
              <w:pStyle w:val="TAH"/>
              <w:ind w:left="400" w:hanging="400"/>
              <w:rPr>
                <w:rFonts w:cs="Arial"/>
                <w:szCs w:val="18"/>
              </w:rPr>
            </w:pPr>
            <w:r>
              <w:rPr>
                <w:rFonts w:cs="Arial"/>
                <w:szCs w:val="18"/>
              </w:rPr>
              <w:t>Applicability</w:t>
            </w:r>
          </w:p>
        </w:tc>
      </w:tr>
      <w:tr w:rsidR="00A10B25" w14:paraId="64203D1D"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1CF60005" w14:textId="77777777" w:rsidR="00A10B25" w:rsidRDefault="00A10B25">
            <w:pPr>
              <w:pStyle w:val="TAL"/>
              <w:rPr>
                <w:lang w:eastAsia="ja-JP"/>
              </w:rPr>
            </w:pPr>
            <w:r>
              <w:rPr>
                <w:lang w:val="en-US" w:eastAsia="zh-CN"/>
              </w:rPr>
              <w:t>adrfId</w:t>
            </w:r>
          </w:p>
        </w:tc>
        <w:tc>
          <w:tcPr>
            <w:tcW w:w="2494" w:type="dxa"/>
            <w:tcBorders>
              <w:top w:val="single" w:sz="6" w:space="0" w:color="auto"/>
              <w:left w:val="single" w:sz="6" w:space="0" w:color="auto"/>
              <w:bottom w:val="single" w:sz="6" w:space="0" w:color="auto"/>
              <w:right w:val="single" w:sz="6" w:space="0" w:color="auto"/>
            </w:tcBorders>
          </w:tcPr>
          <w:p w14:paraId="246B8414" w14:textId="77777777" w:rsidR="00A10B25" w:rsidRDefault="00A10B25">
            <w:pPr>
              <w:pStyle w:val="TAL"/>
            </w:pPr>
            <w:r>
              <w:t>NfInstanceId</w:t>
            </w:r>
          </w:p>
        </w:tc>
        <w:tc>
          <w:tcPr>
            <w:tcW w:w="487" w:type="dxa"/>
            <w:tcBorders>
              <w:top w:val="single" w:sz="6" w:space="0" w:color="auto"/>
              <w:left w:val="single" w:sz="6" w:space="0" w:color="auto"/>
              <w:bottom w:val="single" w:sz="6" w:space="0" w:color="auto"/>
              <w:right w:val="single" w:sz="6" w:space="0" w:color="auto"/>
            </w:tcBorders>
          </w:tcPr>
          <w:p w14:paraId="4BB6B8F3"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3BE21945" w14:textId="77777777" w:rsidR="00A10B25" w:rsidRDefault="00A10B25">
            <w:pPr>
              <w:pStyle w:val="TAL"/>
              <w:rPr>
                <w:rFonts w:eastAsia="Yu Mincho"/>
                <w:lang w:eastAsia="ja-JP"/>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6BF0417B" w14:textId="77777777" w:rsidR="00A10B25" w:rsidRDefault="00A10B25">
            <w:pPr>
              <w:pStyle w:val="TAL"/>
            </w:pPr>
            <w:r>
              <w:t>Identifier of the ADRF.</w:t>
            </w:r>
          </w:p>
          <w:p w14:paraId="7B0D0E94" w14:textId="77777777" w:rsidR="00A10B25" w:rsidRDefault="00A10B25">
            <w:pPr>
              <w:pStyle w:val="TAL"/>
            </w:pPr>
            <w:r>
              <w:t>(NOTE)</w:t>
            </w:r>
          </w:p>
        </w:tc>
        <w:tc>
          <w:tcPr>
            <w:tcW w:w="1349" w:type="dxa"/>
            <w:tcBorders>
              <w:top w:val="single" w:sz="6" w:space="0" w:color="auto"/>
              <w:left w:val="single" w:sz="6" w:space="0" w:color="auto"/>
              <w:bottom w:val="single" w:sz="6" w:space="0" w:color="auto"/>
              <w:right w:val="single" w:sz="6" w:space="0" w:color="auto"/>
            </w:tcBorders>
          </w:tcPr>
          <w:p w14:paraId="3EF5508E" w14:textId="77777777" w:rsidR="00A10B25" w:rsidRDefault="00A10B25">
            <w:pPr>
              <w:pStyle w:val="TAL"/>
              <w:rPr>
                <w:rFonts w:cs="Arial"/>
                <w:szCs w:val="18"/>
              </w:rPr>
            </w:pPr>
          </w:p>
        </w:tc>
      </w:tr>
      <w:tr w:rsidR="00A10B25" w14:paraId="270BAE38"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43D56018" w14:textId="77777777" w:rsidR="00A10B25" w:rsidRDefault="00A10B25">
            <w:pPr>
              <w:pStyle w:val="TAL"/>
              <w:rPr>
                <w:lang w:eastAsia="ja-JP"/>
              </w:rPr>
            </w:pPr>
            <w:r>
              <w:rPr>
                <w:lang w:val="en-US" w:eastAsia="zh-CN"/>
              </w:rPr>
              <w:t>adrfSetId</w:t>
            </w:r>
          </w:p>
        </w:tc>
        <w:tc>
          <w:tcPr>
            <w:tcW w:w="2494" w:type="dxa"/>
            <w:tcBorders>
              <w:top w:val="single" w:sz="6" w:space="0" w:color="auto"/>
              <w:left w:val="single" w:sz="6" w:space="0" w:color="auto"/>
              <w:bottom w:val="single" w:sz="6" w:space="0" w:color="auto"/>
              <w:right w:val="single" w:sz="6" w:space="0" w:color="auto"/>
            </w:tcBorders>
          </w:tcPr>
          <w:p w14:paraId="6BD45B66" w14:textId="77777777" w:rsidR="00A10B25" w:rsidRDefault="00A10B25">
            <w:pPr>
              <w:pStyle w:val="TAL"/>
            </w:pPr>
            <w:r>
              <w:t>NfSetId</w:t>
            </w:r>
          </w:p>
        </w:tc>
        <w:tc>
          <w:tcPr>
            <w:tcW w:w="487" w:type="dxa"/>
            <w:tcBorders>
              <w:top w:val="single" w:sz="6" w:space="0" w:color="auto"/>
              <w:left w:val="single" w:sz="6" w:space="0" w:color="auto"/>
              <w:bottom w:val="single" w:sz="6" w:space="0" w:color="auto"/>
              <w:right w:val="single" w:sz="6" w:space="0" w:color="auto"/>
            </w:tcBorders>
          </w:tcPr>
          <w:p w14:paraId="4CC33A5C" w14:textId="77777777" w:rsidR="00A10B25" w:rsidRDefault="00A10B25">
            <w:pPr>
              <w:pStyle w:val="TAL"/>
            </w:pPr>
            <w:r>
              <w:t>C</w:t>
            </w:r>
          </w:p>
        </w:tc>
        <w:tc>
          <w:tcPr>
            <w:tcW w:w="1067" w:type="dxa"/>
            <w:tcBorders>
              <w:top w:val="single" w:sz="6" w:space="0" w:color="auto"/>
              <w:left w:val="single" w:sz="6" w:space="0" w:color="auto"/>
              <w:bottom w:val="single" w:sz="6" w:space="0" w:color="auto"/>
              <w:right w:val="single" w:sz="6" w:space="0" w:color="auto"/>
            </w:tcBorders>
          </w:tcPr>
          <w:p w14:paraId="78A2C13F" w14:textId="77777777" w:rsidR="00A10B25" w:rsidRDefault="00A10B25">
            <w:pPr>
              <w:pStyle w:val="TAL"/>
              <w:rPr>
                <w:rFonts w:eastAsia="Yu Mincho"/>
                <w:lang w:eastAsia="ja-JP"/>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16DC8853" w14:textId="77777777" w:rsidR="00A10B25" w:rsidRDefault="00A10B25">
            <w:pPr>
              <w:pStyle w:val="TAL"/>
            </w:pPr>
            <w:r>
              <w:t>Identifier of the ADRF Set.</w:t>
            </w:r>
          </w:p>
          <w:p w14:paraId="25668423" w14:textId="77777777" w:rsidR="00A10B25" w:rsidRDefault="00A10B25">
            <w:pPr>
              <w:pStyle w:val="TAL"/>
            </w:pPr>
            <w:r>
              <w:t>(NOTE)</w:t>
            </w:r>
          </w:p>
        </w:tc>
        <w:tc>
          <w:tcPr>
            <w:tcW w:w="1349" w:type="dxa"/>
            <w:tcBorders>
              <w:top w:val="single" w:sz="6" w:space="0" w:color="auto"/>
              <w:left w:val="single" w:sz="6" w:space="0" w:color="auto"/>
              <w:bottom w:val="single" w:sz="6" w:space="0" w:color="auto"/>
              <w:right w:val="single" w:sz="6" w:space="0" w:color="auto"/>
            </w:tcBorders>
          </w:tcPr>
          <w:p w14:paraId="68E7FE17" w14:textId="77777777" w:rsidR="00A10B25" w:rsidRDefault="00A10B25">
            <w:pPr>
              <w:pStyle w:val="TAL"/>
              <w:rPr>
                <w:rFonts w:cs="Arial"/>
                <w:szCs w:val="18"/>
              </w:rPr>
            </w:pPr>
          </w:p>
        </w:tc>
      </w:tr>
      <w:tr w:rsidR="00A10B25" w14:paraId="63E73ABF"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6276979" w14:textId="77777777" w:rsidR="00A10B25" w:rsidRDefault="00A10B25">
            <w:pPr>
              <w:pStyle w:val="TAL"/>
              <w:rPr>
                <w:lang w:eastAsia="ja-JP"/>
              </w:rPr>
            </w:pPr>
            <w:r>
              <w:t>dataSetTag</w:t>
            </w:r>
          </w:p>
        </w:tc>
        <w:tc>
          <w:tcPr>
            <w:tcW w:w="2494" w:type="dxa"/>
            <w:tcBorders>
              <w:top w:val="single" w:sz="6" w:space="0" w:color="auto"/>
              <w:left w:val="single" w:sz="6" w:space="0" w:color="auto"/>
              <w:bottom w:val="single" w:sz="6" w:space="0" w:color="auto"/>
              <w:right w:val="single" w:sz="6" w:space="0" w:color="auto"/>
            </w:tcBorders>
          </w:tcPr>
          <w:p w14:paraId="3105F33E" w14:textId="77777777" w:rsidR="00A10B25" w:rsidRDefault="00A10B25">
            <w:pPr>
              <w:pStyle w:val="TAL"/>
            </w:pPr>
            <w:r>
              <w:t>DataSetTag</w:t>
            </w:r>
          </w:p>
        </w:tc>
        <w:tc>
          <w:tcPr>
            <w:tcW w:w="487" w:type="dxa"/>
            <w:tcBorders>
              <w:top w:val="single" w:sz="6" w:space="0" w:color="auto"/>
              <w:left w:val="single" w:sz="6" w:space="0" w:color="auto"/>
              <w:bottom w:val="single" w:sz="6" w:space="0" w:color="auto"/>
              <w:right w:val="single" w:sz="6" w:space="0" w:color="auto"/>
            </w:tcBorders>
          </w:tcPr>
          <w:p w14:paraId="4C515269"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6D36B85" w14:textId="77777777" w:rsidR="00A10B25" w:rsidRDefault="00A10B25">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tcPr>
          <w:p w14:paraId="57D0C44D" w14:textId="77777777" w:rsidR="00A10B25" w:rsidRDefault="00A10B25">
            <w:pPr>
              <w:pStyle w:val="TAL"/>
            </w:pPr>
            <w:r>
              <w:t>Data set tag of the data stored in ADRF which can be used by MTLF.</w:t>
            </w:r>
          </w:p>
        </w:tc>
        <w:tc>
          <w:tcPr>
            <w:tcW w:w="1349" w:type="dxa"/>
            <w:tcBorders>
              <w:top w:val="single" w:sz="6" w:space="0" w:color="auto"/>
              <w:left w:val="single" w:sz="6" w:space="0" w:color="auto"/>
              <w:bottom w:val="single" w:sz="6" w:space="0" w:color="auto"/>
              <w:right w:val="single" w:sz="6" w:space="0" w:color="auto"/>
            </w:tcBorders>
          </w:tcPr>
          <w:p w14:paraId="7F07A8E4" w14:textId="77777777" w:rsidR="00A10B25" w:rsidRDefault="00A10B25">
            <w:pPr>
              <w:pStyle w:val="TAL"/>
              <w:rPr>
                <w:rFonts w:cs="Arial"/>
                <w:szCs w:val="18"/>
              </w:rPr>
            </w:pPr>
          </w:p>
        </w:tc>
      </w:tr>
      <w:tr w:rsidR="00A10B25" w14:paraId="5A1EE873" w14:textId="77777777">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38C59E68" w14:textId="77777777" w:rsidR="00A10B25" w:rsidRDefault="00A10B25">
            <w:pPr>
              <w:pStyle w:val="TAL"/>
              <w:rPr>
                <w:lang w:eastAsia="zh-CN"/>
              </w:rPr>
            </w:pPr>
            <w:r>
              <w:rPr>
                <w:lang w:eastAsia="zh-CN"/>
              </w:rPr>
              <w:t>modelId</w:t>
            </w:r>
          </w:p>
        </w:tc>
        <w:tc>
          <w:tcPr>
            <w:tcW w:w="2494" w:type="dxa"/>
            <w:tcBorders>
              <w:top w:val="single" w:sz="6" w:space="0" w:color="auto"/>
              <w:left w:val="single" w:sz="6" w:space="0" w:color="auto"/>
              <w:bottom w:val="single" w:sz="6" w:space="0" w:color="auto"/>
              <w:right w:val="single" w:sz="6" w:space="0" w:color="auto"/>
            </w:tcBorders>
          </w:tcPr>
          <w:p w14:paraId="105AE0A3" w14:textId="77777777" w:rsidR="00A10B25" w:rsidRDefault="00A10B25">
            <w:pPr>
              <w:pStyle w:val="TAL"/>
            </w:pPr>
            <w:r>
              <w:t>Uinteger</w:t>
            </w:r>
          </w:p>
        </w:tc>
        <w:tc>
          <w:tcPr>
            <w:tcW w:w="487" w:type="dxa"/>
            <w:tcBorders>
              <w:top w:val="single" w:sz="6" w:space="0" w:color="auto"/>
              <w:left w:val="single" w:sz="6" w:space="0" w:color="auto"/>
              <w:bottom w:val="single" w:sz="6" w:space="0" w:color="auto"/>
              <w:right w:val="single" w:sz="6" w:space="0" w:color="auto"/>
            </w:tcBorders>
          </w:tcPr>
          <w:p w14:paraId="0968936D" w14:textId="77777777" w:rsidR="00A10B25" w:rsidRDefault="00A10B25">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0BEC77A5" w14:textId="77777777" w:rsidR="00A10B25" w:rsidRDefault="00A10B25">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09B6AD84" w14:textId="77777777" w:rsidR="00A10B25" w:rsidRDefault="00A10B25">
            <w:pPr>
              <w:pStyle w:val="TAL"/>
            </w:pPr>
            <w:r>
              <w:t>ML model Identifier. Indicates the model that the data corresponding to the DataSetTag is related to. This attribute may be present only in a subscription modification request.</w:t>
            </w:r>
          </w:p>
        </w:tc>
        <w:tc>
          <w:tcPr>
            <w:tcW w:w="1349" w:type="dxa"/>
            <w:tcBorders>
              <w:top w:val="single" w:sz="6" w:space="0" w:color="auto"/>
              <w:left w:val="single" w:sz="6" w:space="0" w:color="auto"/>
              <w:bottom w:val="single" w:sz="6" w:space="0" w:color="auto"/>
              <w:right w:val="single" w:sz="6" w:space="0" w:color="auto"/>
            </w:tcBorders>
          </w:tcPr>
          <w:p w14:paraId="402B59C0" w14:textId="77777777" w:rsidR="00A10B25" w:rsidRDefault="00A10B25">
            <w:pPr>
              <w:pStyle w:val="TAL"/>
              <w:rPr>
                <w:rFonts w:cs="Arial"/>
                <w:szCs w:val="18"/>
              </w:rPr>
            </w:pPr>
          </w:p>
        </w:tc>
      </w:tr>
      <w:tr w:rsidR="00A10B25" w14:paraId="19D01026" w14:textId="77777777">
        <w:trPr>
          <w:trHeight w:val="262"/>
          <w:jc w:val="center"/>
        </w:trPr>
        <w:tc>
          <w:tcPr>
            <w:tcW w:w="9566" w:type="dxa"/>
            <w:gridSpan w:val="6"/>
            <w:tcBorders>
              <w:top w:val="single" w:sz="6" w:space="0" w:color="auto"/>
              <w:left w:val="single" w:sz="6" w:space="0" w:color="auto"/>
              <w:bottom w:val="single" w:sz="6" w:space="0" w:color="auto"/>
              <w:right w:val="single" w:sz="6" w:space="0" w:color="auto"/>
            </w:tcBorders>
          </w:tcPr>
          <w:p w14:paraId="6EC86B7A" w14:textId="77777777" w:rsidR="00A10B25" w:rsidRDefault="00A10B25">
            <w:pPr>
              <w:pStyle w:val="TAN"/>
              <w:rPr>
                <w:rFonts w:cs="Arial"/>
                <w:szCs w:val="18"/>
              </w:rPr>
            </w:pPr>
            <w:r>
              <w:rPr>
                <w:rFonts w:cs="Arial"/>
                <w:szCs w:val="18"/>
              </w:rPr>
              <w:t>NOTE:</w:t>
            </w:r>
            <w:r>
              <w:rPr>
                <w:rFonts w:cs="Arial"/>
                <w:szCs w:val="18"/>
              </w:rPr>
              <w:tab/>
              <w:t>One of "adrfId" and "adrfSetId" attributes shall be provided.</w:t>
            </w:r>
          </w:p>
        </w:tc>
      </w:tr>
    </w:tbl>
    <w:p w14:paraId="5E0839C6" w14:textId="77777777" w:rsidR="00A10B25" w:rsidRDefault="00A10B25"/>
    <w:p w14:paraId="7C9D5511" w14:textId="77777777" w:rsidR="00A10B25" w:rsidRDefault="00A10B25">
      <w:pPr>
        <w:pStyle w:val="4"/>
        <w:rPr>
          <w:lang w:val="en-US"/>
        </w:rPr>
      </w:pPr>
      <w:bookmarkStart w:id="14018" w:name="_Toc136562652"/>
      <w:bookmarkStart w:id="14019" w:name="_Toc138754486"/>
      <w:bookmarkStart w:id="14020" w:name="_Toc145705981"/>
      <w:bookmarkStart w:id="14021" w:name="_Toc148522897"/>
      <w:bookmarkStart w:id="14022" w:name="_Toc164921085"/>
      <w:bookmarkStart w:id="14023" w:name="_Toc170120627"/>
      <w:bookmarkStart w:id="14024" w:name="_Toc175858872"/>
      <w:bookmarkStart w:id="14025" w:name="_Toc175859945"/>
      <w:bookmarkStart w:id="14026" w:name="_Toc180606235"/>
      <w:bookmarkStart w:id="14027" w:name="_Toc185517496"/>
      <w:bookmarkStart w:id="14028" w:name="_Toc191576548"/>
      <w:bookmarkStart w:id="14029" w:name="_Toc191577288"/>
      <w:bookmarkStart w:id="14030" w:name="_Toc192880358"/>
      <w:bookmarkStart w:id="14031" w:name="_Toc195815247"/>
      <w:bookmarkStart w:id="14032" w:name="_Toc199453214"/>
      <w:r>
        <w:lastRenderedPageBreak/>
        <w:t>5.4.6.3</w:t>
      </w:r>
      <w:r>
        <w:tab/>
        <w:t>Simple data types and enumerations</w:t>
      </w:r>
      <w:bookmarkEnd w:id="13876"/>
      <w:bookmarkEnd w:id="13877"/>
      <w:bookmarkEnd w:id="13878"/>
      <w:bookmarkEnd w:id="13880"/>
      <w:bookmarkEnd w:id="13881"/>
      <w:bookmarkEnd w:id="13882"/>
      <w:bookmarkEnd w:id="13883"/>
      <w:bookmarkEnd w:id="13884"/>
      <w:bookmarkEnd w:id="13885"/>
      <w:bookmarkEnd w:id="13886"/>
      <w:bookmarkEnd w:id="13887"/>
      <w:bookmarkEnd w:id="13888"/>
      <w:bookmarkEnd w:id="13889"/>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p>
    <w:p w14:paraId="3AD55BD8" w14:textId="77777777" w:rsidR="00A10B25" w:rsidRDefault="00A10B25">
      <w:pPr>
        <w:pStyle w:val="5"/>
      </w:pPr>
      <w:bookmarkStart w:id="14033" w:name="_Toc120702547"/>
      <w:bookmarkStart w:id="14034" w:name="_Toc104539244"/>
      <w:bookmarkStart w:id="14035" w:name="_Toc136562653"/>
      <w:bookmarkStart w:id="14036" w:name="_Toc83233226"/>
      <w:bookmarkStart w:id="14037" w:name="_Toc112951367"/>
      <w:bookmarkStart w:id="14038" w:name="_Toc114134046"/>
      <w:bookmarkStart w:id="14039" w:name="_Toc98233857"/>
      <w:bookmarkStart w:id="14040" w:name="_Toc85553155"/>
      <w:bookmarkStart w:id="14041" w:name="_Toc85557254"/>
      <w:bookmarkStart w:id="14042" w:name="_Toc148522898"/>
      <w:bookmarkStart w:id="14043" w:name="_Toc145705982"/>
      <w:bookmarkStart w:id="14044" w:name="_Toc94064455"/>
      <w:bookmarkStart w:id="14045" w:name="_Toc88667764"/>
      <w:bookmarkStart w:id="14046" w:name="_Toc90656049"/>
      <w:bookmarkStart w:id="14047" w:name="_Toc113031907"/>
      <w:bookmarkStart w:id="14048" w:name="_Toc138754487"/>
      <w:bookmarkStart w:id="14049" w:name="_Toc101244638"/>
      <w:bookmarkStart w:id="14050" w:name="_Toc164921086"/>
      <w:bookmarkStart w:id="14051" w:name="_Toc170120628"/>
      <w:bookmarkStart w:id="14052" w:name="_Toc175858873"/>
      <w:bookmarkStart w:id="14053" w:name="_Toc175859946"/>
      <w:bookmarkStart w:id="14054" w:name="_Toc180606236"/>
      <w:bookmarkStart w:id="14055" w:name="_Toc185517497"/>
      <w:bookmarkStart w:id="14056" w:name="_Toc191576549"/>
      <w:bookmarkStart w:id="14057" w:name="_Toc191577289"/>
      <w:bookmarkStart w:id="14058" w:name="_Toc192880359"/>
      <w:bookmarkStart w:id="14059" w:name="_Toc195815248"/>
      <w:bookmarkStart w:id="14060" w:name="_Toc199453215"/>
      <w:r>
        <w:t>5.4.6.3.1</w:t>
      </w:r>
      <w:r>
        <w:tab/>
        <w:t>Introduction</w:t>
      </w:r>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26315240" w14:textId="77777777" w:rsidR="00A10B25" w:rsidRDefault="00A10B25">
      <w:r>
        <w:t>This clause defines simple data types and enumerations that can be referenced from data structures defined in the previous clauses.</w:t>
      </w:r>
    </w:p>
    <w:p w14:paraId="4D2D207D" w14:textId="77777777" w:rsidR="00A10B25" w:rsidRDefault="00A10B25">
      <w:pPr>
        <w:pStyle w:val="5"/>
      </w:pPr>
      <w:bookmarkStart w:id="14061" w:name="_Toc113031908"/>
      <w:bookmarkStart w:id="14062" w:name="_Toc90656050"/>
      <w:bookmarkStart w:id="14063" w:name="_Toc136562654"/>
      <w:bookmarkStart w:id="14064" w:name="_Toc88667765"/>
      <w:bookmarkStart w:id="14065" w:name="_Toc104539245"/>
      <w:bookmarkStart w:id="14066" w:name="_Toc94064456"/>
      <w:bookmarkStart w:id="14067" w:name="_Toc148522899"/>
      <w:bookmarkStart w:id="14068" w:name="_Toc145705983"/>
      <w:bookmarkStart w:id="14069" w:name="_Toc138754488"/>
      <w:bookmarkStart w:id="14070" w:name="_Toc85557255"/>
      <w:bookmarkStart w:id="14071" w:name="_Toc83233227"/>
      <w:bookmarkStart w:id="14072" w:name="_Toc112951368"/>
      <w:bookmarkStart w:id="14073" w:name="_Toc114134047"/>
      <w:bookmarkStart w:id="14074" w:name="_Toc101244639"/>
      <w:bookmarkStart w:id="14075" w:name="_Toc120702548"/>
      <w:bookmarkStart w:id="14076" w:name="_Toc98233858"/>
      <w:bookmarkStart w:id="14077" w:name="_Toc85553156"/>
      <w:bookmarkStart w:id="14078" w:name="_Toc164921087"/>
      <w:bookmarkStart w:id="14079" w:name="_Toc170120629"/>
      <w:bookmarkStart w:id="14080" w:name="_Toc175858874"/>
      <w:bookmarkStart w:id="14081" w:name="_Toc175859947"/>
      <w:bookmarkStart w:id="14082" w:name="_Toc180606237"/>
      <w:bookmarkStart w:id="14083" w:name="_Toc185517498"/>
      <w:bookmarkStart w:id="14084" w:name="_Toc191576550"/>
      <w:bookmarkStart w:id="14085" w:name="_Toc191577290"/>
      <w:bookmarkStart w:id="14086" w:name="_Toc192880360"/>
      <w:bookmarkStart w:id="14087" w:name="_Toc195815249"/>
      <w:bookmarkStart w:id="14088" w:name="_Toc199453216"/>
      <w:r>
        <w:t>5.4.6.3.2</w:t>
      </w:r>
      <w:r>
        <w:tab/>
        <w:t>Simple data types</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p>
    <w:p w14:paraId="5F68D2F8" w14:textId="0F326E3B" w:rsidR="00183EFC" w:rsidRPr="00131F29" w:rsidRDefault="00183EFC" w:rsidP="00183EFC">
      <w:r w:rsidRPr="00131F29">
        <w:t>The simple data types defined in table 5.</w:t>
      </w:r>
      <w:r>
        <w:t>4</w:t>
      </w:r>
      <w:r w:rsidRPr="00131F29">
        <w:t>.6.3.2-1 shall be supported.</w:t>
      </w:r>
    </w:p>
    <w:p w14:paraId="53725B6B" w14:textId="77777777" w:rsidR="00183EFC" w:rsidRPr="00131F29"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131F29">
        <w:rPr>
          <w:rFonts w:ascii="Arial" w:eastAsia="MS Mincho" w:hAnsi="Arial"/>
          <w:b/>
        </w:rPr>
        <w:t>Table 5.4.6.3.2-1: Simple data types</w:t>
      </w:r>
    </w:p>
    <w:tbl>
      <w:tblPr>
        <w:tblW w:w="48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183EFC" w:rsidRPr="00131F29" w14:paraId="1EC2AA6E" w14:textId="77777777" w:rsidTr="00902260">
        <w:trPr>
          <w:jc w:val="center"/>
        </w:trPr>
        <w:tc>
          <w:tcPr>
            <w:tcW w:w="1185" w:type="pct"/>
            <w:shd w:val="clear" w:color="000000" w:fill="C0C0C0"/>
            <w:tcMar>
              <w:top w:w="0" w:type="dxa"/>
              <w:left w:w="108" w:type="dxa"/>
              <w:bottom w:w="0" w:type="dxa"/>
              <w:right w:w="108" w:type="dxa"/>
            </w:tcMar>
          </w:tcPr>
          <w:p w14:paraId="652A0437"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Name</w:t>
            </w:r>
          </w:p>
        </w:tc>
        <w:tc>
          <w:tcPr>
            <w:tcW w:w="1232" w:type="pct"/>
            <w:shd w:val="clear" w:color="000000" w:fill="C0C0C0"/>
            <w:tcMar>
              <w:top w:w="0" w:type="dxa"/>
              <w:left w:w="108" w:type="dxa"/>
              <w:bottom w:w="0" w:type="dxa"/>
              <w:right w:w="108" w:type="dxa"/>
            </w:tcMar>
          </w:tcPr>
          <w:p w14:paraId="17F0A4D9"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Definition</w:t>
            </w:r>
          </w:p>
        </w:tc>
        <w:tc>
          <w:tcPr>
            <w:tcW w:w="1872" w:type="pct"/>
            <w:shd w:val="clear" w:color="000000" w:fill="C0C0C0"/>
          </w:tcPr>
          <w:p w14:paraId="05F0DDC5"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Description</w:t>
            </w:r>
          </w:p>
        </w:tc>
        <w:tc>
          <w:tcPr>
            <w:tcW w:w="711" w:type="pct"/>
            <w:shd w:val="clear" w:color="000000" w:fill="C0C0C0"/>
          </w:tcPr>
          <w:p w14:paraId="0478863E"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Applicability</w:t>
            </w:r>
          </w:p>
        </w:tc>
      </w:tr>
      <w:tr w:rsidR="00183EFC" w:rsidRPr="00131F29" w14:paraId="458493D7" w14:textId="77777777" w:rsidTr="00902260">
        <w:trPr>
          <w:jc w:val="center"/>
        </w:trPr>
        <w:tc>
          <w:tcPr>
            <w:tcW w:w="1185" w:type="pct"/>
            <w:tcMar>
              <w:top w:w="0" w:type="dxa"/>
              <w:left w:w="108" w:type="dxa"/>
              <w:bottom w:w="0" w:type="dxa"/>
              <w:right w:w="108" w:type="dxa"/>
            </w:tcMar>
          </w:tcPr>
          <w:p w14:paraId="2D10F064" w14:textId="77777777" w:rsidR="00183EFC" w:rsidRPr="00131F29" w:rsidRDefault="00183EFC" w:rsidP="00902260">
            <w:pPr>
              <w:keepNext/>
              <w:keepLines/>
              <w:spacing w:after="0"/>
              <w:rPr>
                <w:rFonts w:ascii="Arial" w:hAnsi="Arial"/>
                <w:sz w:val="18"/>
              </w:rPr>
            </w:pPr>
          </w:p>
        </w:tc>
        <w:tc>
          <w:tcPr>
            <w:tcW w:w="1232" w:type="pct"/>
            <w:tcMar>
              <w:top w:w="0" w:type="dxa"/>
              <w:left w:w="108" w:type="dxa"/>
              <w:bottom w:w="0" w:type="dxa"/>
              <w:right w:w="108" w:type="dxa"/>
            </w:tcMar>
          </w:tcPr>
          <w:p w14:paraId="7DE2E92B" w14:textId="77777777" w:rsidR="00183EFC" w:rsidRPr="00131F29" w:rsidRDefault="00183EFC" w:rsidP="00902260">
            <w:pPr>
              <w:keepNext/>
              <w:keepLines/>
              <w:spacing w:after="0"/>
              <w:rPr>
                <w:rFonts w:ascii="Arial" w:hAnsi="Arial"/>
                <w:sz w:val="18"/>
              </w:rPr>
            </w:pPr>
          </w:p>
        </w:tc>
        <w:tc>
          <w:tcPr>
            <w:tcW w:w="1872" w:type="pct"/>
          </w:tcPr>
          <w:p w14:paraId="05180359" w14:textId="77777777" w:rsidR="00183EFC" w:rsidRPr="00131F29" w:rsidRDefault="00183EFC" w:rsidP="00902260">
            <w:pPr>
              <w:keepNext/>
              <w:keepLines/>
              <w:spacing w:after="0"/>
              <w:rPr>
                <w:rFonts w:ascii="Arial" w:hAnsi="Arial"/>
                <w:sz w:val="18"/>
              </w:rPr>
            </w:pPr>
          </w:p>
        </w:tc>
        <w:tc>
          <w:tcPr>
            <w:tcW w:w="711" w:type="pct"/>
          </w:tcPr>
          <w:p w14:paraId="05451007" w14:textId="77777777" w:rsidR="00183EFC" w:rsidRPr="00131F29" w:rsidRDefault="00183EFC" w:rsidP="00902260">
            <w:pPr>
              <w:keepNext/>
              <w:keepLines/>
              <w:spacing w:after="0"/>
              <w:rPr>
                <w:rFonts w:ascii="Arial" w:hAnsi="Arial"/>
                <w:sz w:val="18"/>
              </w:rPr>
            </w:pPr>
          </w:p>
        </w:tc>
      </w:tr>
    </w:tbl>
    <w:p w14:paraId="12FBEFCC" w14:textId="77777777" w:rsidR="00A10B25" w:rsidRDefault="00A10B25">
      <w:pPr>
        <w:rPr>
          <w:lang w:val="en-US" w:eastAsia="zh-CN"/>
        </w:rPr>
      </w:pPr>
    </w:p>
    <w:p w14:paraId="662B2878" w14:textId="77777777" w:rsidR="00A10B25" w:rsidRDefault="00A10B25">
      <w:pPr>
        <w:pStyle w:val="5"/>
        <w:spacing w:before="240" w:after="240"/>
        <w:rPr>
          <w:rFonts w:eastAsia="等线"/>
        </w:rPr>
      </w:pPr>
      <w:bookmarkStart w:id="14089" w:name="_Toc104539246"/>
      <w:bookmarkStart w:id="14090" w:name="_Toc112951369"/>
      <w:bookmarkStart w:id="14091" w:name="_Toc145705984"/>
      <w:bookmarkStart w:id="14092" w:name="_Toc148522900"/>
      <w:bookmarkStart w:id="14093" w:name="_Toc94064457"/>
      <w:bookmarkStart w:id="14094" w:name="_Toc114134048"/>
      <w:bookmarkStart w:id="14095" w:name="_Toc138754489"/>
      <w:bookmarkStart w:id="14096" w:name="_Toc136562655"/>
      <w:bookmarkStart w:id="14097" w:name="_Toc101244640"/>
      <w:bookmarkStart w:id="14098" w:name="_Toc120702549"/>
      <w:bookmarkStart w:id="14099" w:name="_Toc98233859"/>
      <w:bookmarkStart w:id="14100" w:name="_Toc113031909"/>
      <w:bookmarkStart w:id="14101" w:name="_Toc164921088"/>
      <w:bookmarkStart w:id="14102" w:name="_Toc170120630"/>
      <w:bookmarkStart w:id="14103" w:name="_Toc175858875"/>
      <w:bookmarkStart w:id="14104" w:name="_Toc175859948"/>
      <w:bookmarkStart w:id="14105" w:name="_Toc180606238"/>
      <w:bookmarkStart w:id="14106" w:name="_Toc185517499"/>
      <w:bookmarkStart w:id="14107" w:name="_Toc191576551"/>
      <w:bookmarkStart w:id="14108" w:name="_Toc191577291"/>
      <w:bookmarkStart w:id="14109" w:name="_Toc192880361"/>
      <w:bookmarkStart w:id="14110" w:name="_Toc195815250"/>
      <w:bookmarkStart w:id="14111" w:name="_Toc199453217"/>
      <w:r>
        <w:rPr>
          <w:rFonts w:eastAsia="等线"/>
        </w:rPr>
        <w:t>5.4.6.3.3</w:t>
      </w:r>
      <w:r>
        <w:rPr>
          <w:rFonts w:eastAsia="等线"/>
        </w:rPr>
        <w:tab/>
        <w:t xml:space="preserve">Enumeration: </w:t>
      </w:r>
      <w:r>
        <w:rPr>
          <w:lang w:eastAsia="zh-CN"/>
        </w:rPr>
        <w:t>FailureCode</w:t>
      </w:r>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20BC68C0" w14:textId="77777777" w:rsidR="00A10B25" w:rsidRDefault="00A10B25">
      <w:pPr>
        <w:pStyle w:val="TH"/>
        <w:rPr>
          <w:rFonts w:eastAsia="等线"/>
        </w:rPr>
      </w:pPr>
      <w:r>
        <w:t xml:space="preserve">Table 5.4.6.3.3-1: Enumeration </w:t>
      </w:r>
      <w:r>
        <w:rPr>
          <w:lang w:eastAsia="zh-CN"/>
        </w:rPr>
        <w:t>FailureCode</w:t>
      </w:r>
    </w:p>
    <w:tbl>
      <w:tblPr>
        <w:tblW w:w="9639" w:type="dxa"/>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59F34809" w14:textId="77777777">
        <w:tc>
          <w:tcPr>
            <w:tcW w:w="1178" w:type="pct"/>
            <w:shd w:val="clear" w:color="auto" w:fill="C0C0C0"/>
            <w:tcMar>
              <w:top w:w="0" w:type="dxa"/>
              <w:left w:w="108" w:type="dxa"/>
              <w:bottom w:w="0" w:type="dxa"/>
              <w:right w:w="108" w:type="dxa"/>
            </w:tcMar>
          </w:tcPr>
          <w:p w14:paraId="770B4977"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070E5185" w14:textId="77777777" w:rsidR="00A10B25" w:rsidRDefault="00A10B25">
            <w:pPr>
              <w:pStyle w:val="TAH"/>
            </w:pPr>
            <w:r>
              <w:t>Description</w:t>
            </w:r>
          </w:p>
        </w:tc>
        <w:tc>
          <w:tcPr>
            <w:tcW w:w="736" w:type="pct"/>
            <w:shd w:val="clear" w:color="auto" w:fill="C0C0C0"/>
          </w:tcPr>
          <w:p w14:paraId="4B5A1563" w14:textId="77777777" w:rsidR="00A10B25" w:rsidRDefault="00A10B25">
            <w:pPr>
              <w:pStyle w:val="TAH"/>
            </w:pPr>
            <w:r>
              <w:t>Applicability</w:t>
            </w:r>
          </w:p>
        </w:tc>
      </w:tr>
      <w:tr w:rsidR="00A10B25" w14:paraId="3EB9BAB5" w14:textId="77777777">
        <w:tc>
          <w:tcPr>
            <w:tcW w:w="1178" w:type="pct"/>
            <w:tcMar>
              <w:top w:w="0" w:type="dxa"/>
              <w:left w:w="108" w:type="dxa"/>
              <w:bottom w:w="0" w:type="dxa"/>
              <w:right w:w="108" w:type="dxa"/>
            </w:tcMar>
          </w:tcPr>
          <w:p w14:paraId="651F6FA3" w14:textId="77777777" w:rsidR="00A10B25" w:rsidRDefault="00A10B25">
            <w:pPr>
              <w:pStyle w:val="TAL"/>
            </w:pPr>
            <w:r>
              <w:rPr>
                <w:lang w:eastAsia="zh-CN"/>
              </w:rPr>
              <w:t>UNAVAILABLE_ML_MODEL</w:t>
            </w:r>
          </w:p>
        </w:tc>
        <w:tc>
          <w:tcPr>
            <w:tcW w:w="3086" w:type="pct"/>
            <w:tcMar>
              <w:top w:w="0" w:type="dxa"/>
              <w:left w:w="108" w:type="dxa"/>
              <w:bottom w:w="0" w:type="dxa"/>
              <w:right w:w="108" w:type="dxa"/>
            </w:tcMar>
          </w:tcPr>
          <w:p w14:paraId="020AAF6A" w14:textId="77777777" w:rsidR="00A10B25" w:rsidRDefault="00A10B25">
            <w:pPr>
              <w:pStyle w:val="TAL"/>
            </w:pPr>
            <w:r>
              <w:rPr>
                <w:rFonts w:hint="eastAsia"/>
                <w:lang w:eastAsia="zh-CN"/>
              </w:rPr>
              <w:t>I</w:t>
            </w:r>
            <w:r>
              <w:rPr>
                <w:lang w:eastAsia="zh-CN"/>
              </w:rPr>
              <w:t>ndicates the requested ML model for the event is unavailable.</w:t>
            </w:r>
          </w:p>
        </w:tc>
        <w:tc>
          <w:tcPr>
            <w:tcW w:w="736" w:type="pct"/>
          </w:tcPr>
          <w:p w14:paraId="6EF817E6" w14:textId="77777777" w:rsidR="00A10B25" w:rsidRDefault="00A10B25">
            <w:pPr>
              <w:pStyle w:val="TAL"/>
              <w:rPr>
                <w:lang w:eastAsia="zh-CN"/>
              </w:rPr>
            </w:pPr>
          </w:p>
        </w:tc>
      </w:tr>
    </w:tbl>
    <w:p w14:paraId="763C8EBD" w14:textId="77777777" w:rsidR="00A10B25" w:rsidRDefault="00A10B25">
      <w:pPr>
        <w:pStyle w:val="PL"/>
        <w:rPr>
          <w:lang w:eastAsia="zh-CN"/>
        </w:rPr>
      </w:pPr>
    </w:p>
    <w:p w14:paraId="0C3CD276" w14:textId="77777777" w:rsidR="00A10B25" w:rsidRDefault="00A10B25">
      <w:pPr>
        <w:pStyle w:val="5"/>
      </w:pPr>
      <w:bookmarkStart w:id="14112" w:name="_Toc148522901"/>
      <w:bookmarkStart w:id="14113" w:name="_Toc164921089"/>
      <w:bookmarkStart w:id="14114" w:name="_Toc170120631"/>
      <w:bookmarkStart w:id="14115" w:name="_Toc175858876"/>
      <w:bookmarkStart w:id="14116" w:name="_Toc175859949"/>
      <w:bookmarkStart w:id="14117" w:name="_Toc180606239"/>
      <w:bookmarkStart w:id="14118" w:name="_Toc185517500"/>
      <w:bookmarkStart w:id="14119" w:name="_Toc191576552"/>
      <w:bookmarkStart w:id="14120" w:name="_Toc191577292"/>
      <w:bookmarkStart w:id="14121" w:name="_Toc192880362"/>
      <w:bookmarkStart w:id="14122" w:name="_Toc195815251"/>
      <w:bookmarkStart w:id="14123" w:name="_Toc199453218"/>
      <w:r>
        <w:t>5.4.6.3.4</w:t>
      </w:r>
      <w:r>
        <w:tab/>
        <w:t>Enumeration: MLModelMetric</w:t>
      </w:r>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1462BEA1" w14:textId="77777777" w:rsidR="00A10B25" w:rsidRDefault="00A10B25">
      <w:pPr>
        <w:pStyle w:val="TH"/>
      </w:pPr>
      <w:r>
        <w:t>Table 5.4.6.3.4-1: Enumeration MLModelMetric</w:t>
      </w:r>
    </w:p>
    <w:tbl>
      <w:tblPr>
        <w:tblW w:w="4427" w:type="pct"/>
        <w:tblInd w:w="8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170"/>
        <w:gridCol w:w="3641"/>
        <w:gridCol w:w="1711"/>
      </w:tblGrid>
      <w:tr w:rsidR="00A10B25" w14:paraId="4087B094" w14:textId="77777777">
        <w:tc>
          <w:tcPr>
            <w:tcW w:w="1860" w:type="pct"/>
            <w:shd w:val="clear" w:color="auto" w:fill="C0C0C0"/>
            <w:tcMar>
              <w:top w:w="0" w:type="dxa"/>
              <w:left w:w="108" w:type="dxa"/>
              <w:bottom w:w="0" w:type="dxa"/>
              <w:right w:w="108" w:type="dxa"/>
            </w:tcMar>
          </w:tcPr>
          <w:p w14:paraId="2B37DE16" w14:textId="77777777" w:rsidR="00A10B25" w:rsidRDefault="00A10B25">
            <w:pPr>
              <w:pStyle w:val="TAH"/>
              <w:ind w:left="400" w:hanging="400"/>
            </w:pPr>
            <w:r>
              <w:t>Enumeration value</w:t>
            </w:r>
          </w:p>
        </w:tc>
        <w:tc>
          <w:tcPr>
            <w:tcW w:w="2136" w:type="pct"/>
            <w:shd w:val="clear" w:color="auto" w:fill="C0C0C0"/>
            <w:tcMar>
              <w:top w:w="0" w:type="dxa"/>
              <w:left w:w="108" w:type="dxa"/>
              <w:bottom w:w="0" w:type="dxa"/>
              <w:right w:w="108" w:type="dxa"/>
            </w:tcMar>
          </w:tcPr>
          <w:p w14:paraId="194FC34B" w14:textId="77777777" w:rsidR="00A10B25" w:rsidRDefault="00A10B25">
            <w:pPr>
              <w:pStyle w:val="TAH"/>
              <w:ind w:left="400" w:hanging="400"/>
            </w:pPr>
            <w:r>
              <w:t>Description</w:t>
            </w:r>
          </w:p>
        </w:tc>
        <w:tc>
          <w:tcPr>
            <w:tcW w:w="1004" w:type="pct"/>
            <w:shd w:val="clear" w:color="auto" w:fill="C0C0C0"/>
          </w:tcPr>
          <w:p w14:paraId="2403CACC" w14:textId="77777777" w:rsidR="00A10B25" w:rsidRDefault="00A10B25">
            <w:pPr>
              <w:pStyle w:val="TAH"/>
              <w:ind w:left="400" w:hanging="400"/>
            </w:pPr>
            <w:r>
              <w:t>Applicability</w:t>
            </w:r>
          </w:p>
        </w:tc>
      </w:tr>
      <w:tr w:rsidR="00A10B25" w14:paraId="4CA66E70" w14:textId="77777777">
        <w:tc>
          <w:tcPr>
            <w:tcW w:w="1860" w:type="pct"/>
            <w:tcMar>
              <w:top w:w="0" w:type="dxa"/>
              <w:left w:w="108" w:type="dxa"/>
              <w:bottom w:w="0" w:type="dxa"/>
              <w:right w:w="108" w:type="dxa"/>
            </w:tcMar>
          </w:tcPr>
          <w:p w14:paraId="308DE7A5" w14:textId="77777777" w:rsidR="00A10B25" w:rsidRDefault="00A10B25">
            <w:pPr>
              <w:pStyle w:val="TAL"/>
              <w:rPr>
                <w:lang w:eastAsia="zh-CN"/>
              </w:rPr>
            </w:pPr>
            <w:r>
              <w:rPr>
                <w:lang w:eastAsia="zh-CN"/>
              </w:rPr>
              <w:t>ACCURACY</w:t>
            </w:r>
          </w:p>
        </w:tc>
        <w:tc>
          <w:tcPr>
            <w:tcW w:w="2136" w:type="pct"/>
            <w:tcMar>
              <w:top w:w="0" w:type="dxa"/>
              <w:left w:w="108" w:type="dxa"/>
              <w:bottom w:w="0" w:type="dxa"/>
              <w:right w:w="108" w:type="dxa"/>
            </w:tcMar>
          </w:tcPr>
          <w:p w14:paraId="4EFC8287" w14:textId="77777777" w:rsidR="00A10B25" w:rsidRDefault="00A10B25">
            <w:pPr>
              <w:pStyle w:val="TAL"/>
              <w:rPr>
                <w:lang w:eastAsia="zh-CN"/>
              </w:rPr>
            </w:pPr>
            <w:r>
              <w:t>ML Model Accuracy metric.</w:t>
            </w:r>
          </w:p>
        </w:tc>
        <w:tc>
          <w:tcPr>
            <w:tcW w:w="1004" w:type="pct"/>
          </w:tcPr>
          <w:p w14:paraId="482849DD" w14:textId="77777777" w:rsidR="00A10B25" w:rsidRDefault="00A10B25">
            <w:pPr>
              <w:pStyle w:val="TAL"/>
            </w:pPr>
          </w:p>
        </w:tc>
      </w:tr>
    </w:tbl>
    <w:p w14:paraId="27E79FA6" w14:textId="77777777" w:rsidR="00A10B25" w:rsidRDefault="00A10B25">
      <w:pPr>
        <w:pStyle w:val="PL"/>
        <w:rPr>
          <w:rFonts w:hint="eastAsia"/>
          <w:lang w:eastAsia="zh-CN"/>
        </w:rPr>
      </w:pPr>
    </w:p>
    <w:p w14:paraId="7BE4586D" w14:textId="77777777" w:rsidR="00A10B25" w:rsidRDefault="00A10B25">
      <w:pPr>
        <w:pStyle w:val="3"/>
        <w:rPr>
          <w:lang w:val="en-US"/>
        </w:rPr>
      </w:pPr>
      <w:bookmarkStart w:id="14124" w:name="_Toc90656051"/>
      <w:bookmarkStart w:id="14125" w:name="_Toc136562656"/>
      <w:bookmarkStart w:id="14126" w:name="_Toc101244641"/>
      <w:bookmarkStart w:id="14127" w:name="_Toc85553157"/>
      <w:bookmarkStart w:id="14128" w:name="_Toc104539247"/>
      <w:bookmarkStart w:id="14129" w:name="_Toc138754490"/>
      <w:bookmarkStart w:id="14130" w:name="_Toc145705985"/>
      <w:bookmarkStart w:id="14131" w:name="_Toc148522902"/>
      <w:bookmarkStart w:id="14132" w:name="_Toc98233860"/>
      <w:bookmarkStart w:id="14133" w:name="_Toc83233228"/>
      <w:bookmarkStart w:id="14134" w:name="_Toc94064458"/>
      <w:bookmarkStart w:id="14135" w:name="_Toc88667766"/>
      <w:bookmarkStart w:id="14136" w:name="_Toc114134049"/>
      <w:bookmarkStart w:id="14137" w:name="_Toc120702550"/>
      <w:bookmarkStart w:id="14138" w:name="_Toc70550747"/>
      <w:bookmarkStart w:id="14139" w:name="_Toc113031910"/>
      <w:bookmarkStart w:id="14140" w:name="_Toc112951370"/>
      <w:bookmarkStart w:id="14141" w:name="_Toc85557256"/>
      <w:bookmarkStart w:id="14142" w:name="_Toc164921090"/>
      <w:bookmarkStart w:id="14143" w:name="_Toc170120632"/>
      <w:bookmarkStart w:id="14144" w:name="_Toc175858877"/>
      <w:bookmarkStart w:id="14145" w:name="_Toc175859950"/>
      <w:bookmarkStart w:id="14146" w:name="_Toc180606240"/>
      <w:bookmarkStart w:id="14147" w:name="_Toc185517501"/>
      <w:bookmarkStart w:id="14148" w:name="_Toc191576553"/>
      <w:bookmarkStart w:id="14149" w:name="_Toc191577293"/>
      <w:bookmarkStart w:id="14150" w:name="_Toc192880363"/>
      <w:bookmarkStart w:id="14151" w:name="_Toc195815252"/>
      <w:bookmarkStart w:id="14152" w:name="_Toc199453219"/>
      <w:r>
        <w:rPr>
          <w:lang w:val="en-US"/>
        </w:rPr>
        <w:t>5.4.7</w:t>
      </w:r>
      <w:r>
        <w:rPr>
          <w:lang w:val="en-US"/>
        </w:rPr>
        <w:tab/>
        <w:t>Error handling</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p>
    <w:p w14:paraId="0221457D" w14:textId="77777777" w:rsidR="00A10B25" w:rsidRDefault="00A10B25">
      <w:pPr>
        <w:pStyle w:val="4"/>
      </w:pPr>
      <w:bookmarkStart w:id="14153" w:name="_Toc104539248"/>
      <w:bookmarkStart w:id="14154" w:name="_Toc120702551"/>
      <w:bookmarkStart w:id="14155" w:name="_Toc88667767"/>
      <w:bookmarkStart w:id="14156" w:name="_Toc112951371"/>
      <w:bookmarkStart w:id="14157" w:name="_Toc85557257"/>
      <w:bookmarkStart w:id="14158" w:name="_Toc136562657"/>
      <w:bookmarkStart w:id="14159" w:name="_Toc138754491"/>
      <w:bookmarkStart w:id="14160" w:name="_Toc85553158"/>
      <w:bookmarkStart w:id="14161" w:name="_Toc113031911"/>
      <w:bookmarkStart w:id="14162" w:name="_Toc83233229"/>
      <w:bookmarkStart w:id="14163" w:name="_Toc114134050"/>
      <w:bookmarkStart w:id="14164" w:name="_Toc98233861"/>
      <w:bookmarkStart w:id="14165" w:name="_Toc145705986"/>
      <w:bookmarkStart w:id="14166" w:name="_Toc90656052"/>
      <w:bookmarkStart w:id="14167" w:name="_Toc101244642"/>
      <w:bookmarkStart w:id="14168" w:name="_Toc148522903"/>
      <w:bookmarkStart w:id="14169" w:name="_Toc94064459"/>
      <w:bookmarkStart w:id="14170" w:name="_Toc164921091"/>
      <w:bookmarkStart w:id="14171" w:name="_Toc170120633"/>
      <w:bookmarkStart w:id="14172" w:name="_Toc175858878"/>
      <w:bookmarkStart w:id="14173" w:name="_Toc175859951"/>
      <w:bookmarkStart w:id="14174" w:name="_Toc180606241"/>
      <w:bookmarkStart w:id="14175" w:name="_Toc185517502"/>
      <w:bookmarkStart w:id="14176" w:name="_Toc191576554"/>
      <w:bookmarkStart w:id="14177" w:name="_Toc191577294"/>
      <w:bookmarkStart w:id="14178" w:name="_Toc192880364"/>
      <w:bookmarkStart w:id="14179" w:name="_Toc195815253"/>
      <w:bookmarkStart w:id="14180" w:name="_Toc199453220"/>
      <w:r>
        <w:t>5.4.7.1</w:t>
      </w:r>
      <w:r>
        <w:tab/>
        <w:t>General</w:t>
      </w:r>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p>
    <w:p w14:paraId="51737180" w14:textId="77777777" w:rsidR="00A10B25" w:rsidRDefault="00A10B25">
      <w:pPr>
        <w:rPr>
          <w:rFonts w:eastAsia="Batang"/>
        </w:rPr>
      </w:pPr>
      <w:r>
        <w:rPr>
          <w:rFonts w:eastAsia="Batang"/>
        </w:rPr>
        <w:t>HTTP error handling shall be supported as specified in clause 5.2.4 of 3GPP TS 29.500 [6].</w:t>
      </w:r>
    </w:p>
    <w:p w14:paraId="54D611F8" w14:textId="77777777" w:rsidR="00A10B25" w:rsidRDefault="00A10B25">
      <w:pPr>
        <w:rPr>
          <w:rFonts w:eastAsia="Batang"/>
        </w:rPr>
      </w:pPr>
      <w:r>
        <w:rPr>
          <w:rFonts w:eastAsia="Batang"/>
        </w:rPr>
        <w:t>For the Nnwdaf_</w:t>
      </w:r>
      <w:r>
        <w:rPr>
          <w:lang w:eastAsia="ja-JP"/>
        </w:rPr>
        <w:t>MLModelProvision</w:t>
      </w:r>
      <w:r>
        <w:rPr>
          <w:rFonts w:eastAsia="Batang"/>
        </w:rPr>
        <w:t xml:space="preserve"> API, HTTP error responses shall be supported as specified in clause 4.8 of 3GPP TS 29.501 [7]. </w:t>
      </w:r>
    </w:p>
    <w:p w14:paraId="337C391A" w14:textId="77777777" w:rsidR="00A10B25" w:rsidRDefault="00A10B25">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3FA76466" w14:textId="77777777" w:rsidR="00A10B25" w:rsidRDefault="00A10B25">
      <w:pPr>
        <w:rPr>
          <w:rFonts w:eastAsia="Batang"/>
        </w:rPr>
      </w:pPr>
      <w:r>
        <w:t>Protocol errors and application errors specified in table 5.2.7.2-1 of 3GPP TS 29.500 [6] for HTTP redirections shall be supported.</w:t>
      </w:r>
    </w:p>
    <w:p w14:paraId="13C3819D" w14:textId="77777777" w:rsidR="00A10B25" w:rsidRDefault="00A10B25">
      <w:pPr>
        <w:rPr>
          <w:rFonts w:eastAsia="Batang"/>
        </w:rPr>
      </w:pPr>
      <w:r>
        <w:rPr>
          <w:rFonts w:eastAsia="Batang"/>
        </w:rPr>
        <w:t>In addition, the requirements in the following clauses shall apply.</w:t>
      </w:r>
    </w:p>
    <w:p w14:paraId="4E500E5E" w14:textId="77777777" w:rsidR="00A10B25" w:rsidRDefault="00A10B25">
      <w:pPr>
        <w:pStyle w:val="4"/>
      </w:pPr>
      <w:bookmarkStart w:id="14181" w:name="_Toc85557258"/>
      <w:bookmarkStart w:id="14182" w:name="_Toc90656053"/>
      <w:bookmarkStart w:id="14183" w:name="_Toc104539249"/>
      <w:bookmarkStart w:id="14184" w:name="_Toc88667768"/>
      <w:bookmarkStart w:id="14185" w:name="_Toc83233230"/>
      <w:bookmarkStart w:id="14186" w:name="_Toc94064460"/>
      <w:bookmarkStart w:id="14187" w:name="_Toc145705987"/>
      <w:bookmarkStart w:id="14188" w:name="_Toc114134051"/>
      <w:bookmarkStart w:id="14189" w:name="_Toc138754492"/>
      <w:bookmarkStart w:id="14190" w:name="_Toc120702552"/>
      <w:bookmarkStart w:id="14191" w:name="_Toc136562658"/>
      <w:bookmarkStart w:id="14192" w:name="_Toc98233862"/>
      <w:bookmarkStart w:id="14193" w:name="_Toc85553159"/>
      <w:bookmarkStart w:id="14194" w:name="_Toc101244643"/>
      <w:bookmarkStart w:id="14195" w:name="_Toc112951372"/>
      <w:bookmarkStart w:id="14196" w:name="_Toc148522904"/>
      <w:bookmarkStart w:id="14197" w:name="_Toc113031912"/>
      <w:bookmarkStart w:id="14198" w:name="_Toc164921092"/>
      <w:bookmarkStart w:id="14199" w:name="_Toc170120634"/>
      <w:bookmarkStart w:id="14200" w:name="_Toc175858879"/>
      <w:bookmarkStart w:id="14201" w:name="_Toc175859952"/>
      <w:bookmarkStart w:id="14202" w:name="_Toc180606242"/>
      <w:bookmarkStart w:id="14203" w:name="_Toc185517503"/>
      <w:bookmarkStart w:id="14204" w:name="_Toc191576555"/>
      <w:bookmarkStart w:id="14205" w:name="_Toc191577295"/>
      <w:bookmarkStart w:id="14206" w:name="_Toc192880365"/>
      <w:bookmarkStart w:id="14207" w:name="_Toc195815254"/>
      <w:bookmarkStart w:id="14208" w:name="_Toc199453221"/>
      <w:r>
        <w:t>5.4.7.2</w:t>
      </w:r>
      <w:r>
        <w:tab/>
        <w:t>Protocol Errors</w:t>
      </w:r>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70441E09"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w:t>
      </w:r>
      <w:r>
        <w:rPr>
          <w:lang w:eastAsia="ja-JP"/>
        </w:rPr>
        <w:t>MLModelProvision</w:t>
      </w:r>
      <w:r>
        <w:rPr>
          <w:rFonts w:eastAsia="Batang"/>
        </w:rPr>
        <w:t xml:space="preserve"> API.</w:t>
      </w:r>
    </w:p>
    <w:p w14:paraId="00414313" w14:textId="77777777" w:rsidR="00A10B25" w:rsidRDefault="00A10B25">
      <w:pPr>
        <w:pStyle w:val="4"/>
        <w:rPr>
          <w:rFonts w:eastAsia="Batang"/>
          <w:sz w:val="28"/>
        </w:rPr>
      </w:pPr>
      <w:bookmarkStart w:id="14209" w:name="_Toc136562659"/>
      <w:bookmarkStart w:id="14210" w:name="_Toc104539250"/>
      <w:bookmarkStart w:id="14211" w:name="_Toc114134052"/>
      <w:bookmarkStart w:id="14212" w:name="_Toc88667769"/>
      <w:bookmarkStart w:id="14213" w:name="_Toc83233231"/>
      <w:bookmarkStart w:id="14214" w:name="_Toc90656054"/>
      <w:bookmarkStart w:id="14215" w:name="_Toc94064461"/>
      <w:bookmarkStart w:id="14216" w:name="_Toc113031913"/>
      <w:bookmarkStart w:id="14217" w:name="_Toc112951373"/>
      <w:bookmarkStart w:id="14218" w:name="_Toc120702553"/>
      <w:bookmarkStart w:id="14219" w:name="_Toc98233863"/>
      <w:bookmarkStart w:id="14220" w:name="_Toc85553160"/>
      <w:bookmarkStart w:id="14221" w:name="_Toc101244644"/>
      <w:bookmarkStart w:id="14222" w:name="_Toc148522905"/>
      <w:bookmarkStart w:id="14223" w:name="_Toc145705988"/>
      <w:bookmarkStart w:id="14224" w:name="_Toc138754493"/>
      <w:bookmarkStart w:id="14225" w:name="_Toc85557259"/>
      <w:bookmarkStart w:id="14226" w:name="_Toc164921093"/>
      <w:bookmarkStart w:id="14227" w:name="_Toc170120635"/>
      <w:bookmarkStart w:id="14228" w:name="_Toc175858880"/>
      <w:bookmarkStart w:id="14229" w:name="_Toc175859953"/>
      <w:bookmarkStart w:id="14230" w:name="_Toc180606243"/>
      <w:bookmarkStart w:id="14231" w:name="_Toc185517504"/>
      <w:bookmarkStart w:id="14232" w:name="_Toc191576556"/>
      <w:bookmarkStart w:id="14233" w:name="_Toc191577296"/>
      <w:bookmarkStart w:id="14234" w:name="_Toc192880366"/>
      <w:bookmarkStart w:id="14235" w:name="_Toc195815255"/>
      <w:bookmarkStart w:id="14236" w:name="_Toc199453222"/>
      <w:r>
        <w:t>5.4.7.3</w:t>
      </w:r>
      <w:r>
        <w:tab/>
        <w:t>Application Errors</w:t>
      </w:r>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62B6D07F" w14:textId="77777777" w:rsidR="00A10B25" w:rsidRDefault="00A10B25">
      <w:pPr>
        <w:rPr>
          <w:rFonts w:eastAsia="Batang"/>
        </w:rPr>
      </w:pPr>
      <w:r>
        <w:rPr>
          <w:rFonts w:eastAsia="Batang"/>
        </w:rPr>
        <w:t>The application errors defined for the Nnwdaf_</w:t>
      </w:r>
      <w:r>
        <w:rPr>
          <w:lang w:eastAsia="ja-JP"/>
        </w:rPr>
        <w:t>MLModelProvision</w:t>
      </w:r>
      <w:r>
        <w:rPr>
          <w:rFonts w:eastAsia="Batang"/>
        </w:rPr>
        <w:t xml:space="preserve"> API are listed in table 5.4.7.3-1. </w:t>
      </w:r>
    </w:p>
    <w:p w14:paraId="1A697281" w14:textId="77777777" w:rsidR="00A10B25" w:rsidRDefault="00A10B25">
      <w:pPr>
        <w:pStyle w:val="TH"/>
      </w:pPr>
      <w:r>
        <w:lastRenderedPageBreak/>
        <w:t>Table 5.4.7.3-1: Application errors</w:t>
      </w:r>
    </w:p>
    <w:tbl>
      <w:tblPr>
        <w:tblW w:w="9747"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A10B25" w14:paraId="7127FC50" w14:textId="77777777">
        <w:trPr>
          <w:cantSplit/>
          <w:jc w:val="center"/>
        </w:trPr>
        <w:tc>
          <w:tcPr>
            <w:tcW w:w="3834" w:type="dxa"/>
            <w:shd w:val="clear" w:color="auto" w:fill="C0C0C0"/>
          </w:tcPr>
          <w:p w14:paraId="5A5A82F9" w14:textId="77777777" w:rsidR="00A10B25" w:rsidRDefault="00A10B25">
            <w:pPr>
              <w:pStyle w:val="TAH"/>
            </w:pPr>
            <w:r>
              <w:t>Application Error</w:t>
            </w:r>
          </w:p>
        </w:tc>
        <w:tc>
          <w:tcPr>
            <w:tcW w:w="1980" w:type="dxa"/>
            <w:shd w:val="clear" w:color="auto" w:fill="C0C0C0"/>
          </w:tcPr>
          <w:p w14:paraId="5D5F6891" w14:textId="77777777" w:rsidR="00A10B25" w:rsidRDefault="00A10B25">
            <w:pPr>
              <w:pStyle w:val="TAH"/>
            </w:pPr>
            <w:r>
              <w:t>HTTP status code</w:t>
            </w:r>
          </w:p>
        </w:tc>
        <w:tc>
          <w:tcPr>
            <w:tcW w:w="3933" w:type="dxa"/>
            <w:shd w:val="clear" w:color="auto" w:fill="C0C0C0"/>
          </w:tcPr>
          <w:p w14:paraId="303B61E9" w14:textId="77777777" w:rsidR="00A10B25" w:rsidRDefault="00A10B25">
            <w:pPr>
              <w:pStyle w:val="TAH"/>
            </w:pPr>
            <w:r>
              <w:t>Description</w:t>
            </w:r>
          </w:p>
        </w:tc>
      </w:tr>
      <w:tr w:rsidR="00A10B25" w14:paraId="4D02C65D" w14:textId="77777777">
        <w:trPr>
          <w:cantSplit/>
          <w:jc w:val="center"/>
        </w:trPr>
        <w:tc>
          <w:tcPr>
            <w:tcW w:w="3834" w:type="dxa"/>
          </w:tcPr>
          <w:p w14:paraId="26076CA5" w14:textId="77777777" w:rsidR="00A10B25" w:rsidRDefault="00A10B25">
            <w:pPr>
              <w:pStyle w:val="TAL"/>
            </w:pPr>
            <w:r>
              <w:rPr>
                <w:lang w:eastAsia="zh-CN"/>
              </w:rPr>
              <w:t>UNAVAILABLE_ML_MODEL_FOR_ALLEVENTS</w:t>
            </w:r>
          </w:p>
        </w:tc>
        <w:tc>
          <w:tcPr>
            <w:tcW w:w="1980" w:type="dxa"/>
          </w:tcPr>
          <w:p w14:paraId="05DFB8DB" w14:textId="77777777" w:rsidR="00A10B25" w:rsidRDefault="00A10B25">
            <w:pPr>
              <w:pStyle w:val="TAL"/>
            </w:pPr>
            <w:r>
              <w:rPr>
                <w:rFonts w:hint="eastAsia"/>
                <w:lang w:eastAsia="zh-CN"/>
              </w:rPr>
              <w:t>5</w:t>
            </w:r>
            <w:r>
              <w:rPr>
                <w:lang w:eastAsia="zh-CN"/>
              </w:rPr>
              <w:t>0</w:t>
            </w:r>
            <w:r>
              <w:t>0 Internal Server Error</w:t>
            </w:r>
          </w:p>
        </w:tc>
        <w:tc>
          <w:tcPr>
            <w:tcW w:w="3933" w:type="dxa"/>
          </w:tcPr>
          <w:p w14:paraId="72C364E6" w14:textId="77777777" w:rsidR="00A10B25" w:rsidRDefault="00A10B25">
            <w:pPr>
              <w:pStyle w:val="TAL"/>
            </w:pPr>
            <w:r>
              <w:rPr>
                <w:rFonts w:hint="eastAsia"/>
                <w:lang w:eastAsia="zh-CN"/>
              </w:rPr>
              <w:t>I</w:t>
            </w:r>
            <w:r>
              <w:rPr>
                <w:lang w:eastAsia="zh-CN"/>
              </w:rPr>
              <w:t>ndicates the requested all events ML model is unavailable.</w:t>
            </w:r>
          </w:p>
        </w:tc>
      </w:tr>
      <w:tr w:rsidR="00A10B25" w14:paraId="2967D9F0" w14:textId="77777777">
        <w:trPr>
          <w:cantSplit/>
          <w:jc w:val="center"/>
        </w:trPr>
        <w:tc>
          <w:tcPr>
            <w:tcW w:w="9747" w:type="dxa"/>
            <w:gridSpan w:val="3"/>
          </w:tcPr>
          <w:p w14:paraId="7E80AC88" w14:textId="77777777" w:rsidR="00A10B25" w:rsidRDefault="00A10B25">
            <w:pPr>
              <w:pStyle w:val="TAN"/>
            </w:pPr>
            <w:r>
              <w:t>NOTE:</w:t>
            </w:r>
            <w:r>
              <w:tab/>
              <w:t>Including a "ProblemDetails" data structure with the "cause" attribute in the HTTP response is optional unless explicitly mandated in the service operation clauses.</w:t>
            </w:r>
          </w:p>
        </w:tc>
      </w:tr>
    </w:tbl>
    <w:p w14:paraId="1020A1D5" w14:textId="77777777" w:rsidR="00A10B25" w:rsidRDefault="00A10B25">
      <w:pPr>
        <w:rPr>
          <w:lang w:val="en-US" w:eastAsia="zh-CN"/>
        </w:rPr>
      </w:pPr>
    </w:p>
    <w:p w14:paraId="4EED3375" w14:textId="77777777" w:rsidR="00A10B25" w:rsidRDefault="00A10B25">
      <w:pPr>
        <w:pStyle w:val="3"/>
        <w:rPr>
          <w:lang w:eastAsia="zh-CN"/>
        </w:rPr>
      </w:pPr>
      <w:bookmarkStart w:id="14237" w:name="_Toc83233232"/>
      <w:bookmarkStart w:id="14238" w:name="_Toc98233864"/>
      <w:bookmarkStart w:id="14239" w:name="_Toc88667770"/>
      <w:bookmarkStart w:id="14240" w:name="_Toc145705989"/>
      <w:bookmarkStart w:id="14241" w:name="_Toc120702554"/>
      <w:bookmarkStart w:id="14242" w:name="_Toc90656055"/>
      <w:bookmarkStart w:id="14243" w:name="_Toc85557260"/>
      <w:bookmarkStart w:id="14244" w:name="_Toc136562660"/>
      <w:bookmarkStart w:id="14245" w:name="_Toc138754494"/>
      <w:bookmarkStart w:id="14246" w:name="_Toc94064462"/>
      <w:bookmarkStart w:id="14247" w:name="_Toc148522906"/>
      <w:bookmarkStart w:id="14248" w:name="_Toc85553161"/>
      <w:bookmarkStart w:id="14249" w:name="_Toc113031914"/>
      <w:bookmarkStart w:id="14250" w:name="_Toc112951374"/>
      <w:bookmarkStart w:id="14251" w:name="_Toc104539251"/>
      <w:bookmarkStart w:id="14252" w:name="_Toc101244645"/>
      <w:bookmarkStart w:id="14253" w:name="_Toc114134053"/>
      <w:bookmarkStart w:id="14254" w:name="_Toc70550748"/>
      <w:bookmarkStart w:id="14255" w:name="_Toc164921094"/>
      <w:bookmarkStart w:id="14256" w:name="_Toc170120636"/>
      <w:bookmarkStart w:id="14257" w:name="_Toc175858881"/>
      <w:bookmarkStart w:id="14258" w:name="_Toc175859954"/>
      <w:bookmarkStart w:id="14259" w:name="_Toc180606244"/>
      <w:bookmarkStart w:id="14260" w:name="_Toc185517505"/>
      <w:bookmarkStart w:id="14261" w:name="_Toc191576557"/>
      <w:bookmarkStart w:id="14262" w:name="_Toc191577297"/>
      <w:bookmarkStart w:id="14263" w:name="_Toc192880367"/>
      <w:bookmarkStart w:id="14264" w:name="_Toc195815256"/>
      <w:bookmarkStart w:id="14265" w:name="_Toc199453223"/>
      <w:r>
        <w:rPr>
          <w:lang w:val="en-US"/>
        </w:rPr>
        <w:t>5.4</w:t>
      </w:r>
      <w:r>
        <w:rPr>
          <w:rFonts w:hint="eastAsia"/>
          <w:lang w:val="en-US"/>
        </w:rPr>
        <w:t>.</w:t>
      </w:r>
      <w:r>
        <w:rPr>
          <w:lang w:val="en-US"/>
        </w:rPr>
        <w:t>8</w:t>
      </w:r>
      <w:r>
        <w:rPr>
          <w:rFonts w:hint="eastAsia"/>
          <w:lang w:val="en-US"/>
        </w:rPr>
        <w:tab/>
      </w:r>
      <w:r>
        <w:rPr>
          <w:lang w:val="en-US"/>
        </w:rPr>
        <w:t>Feature negotiation</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p>
    <w:p w14:paraId="7CDBE97D" w14:textId="77777777" w:rsidR="00A10B25" w:rsidRDefault="00A10B25">
      <w:pPr>
        <w:rPr>
          <w:rFonts w:eastAsia="Batang"/>
        </w:rPr>
      </w:pPr>
      <w:r>
        <w:rPr>
          <w:rFonts w:eastAsia="Batang"/>
        </w:rPr>
        <w:t xml:space="preserve">The optional features in table 5.4.8-1 are defined for the </w:t>
      </w:r>
      <w:r>
        <w:rPr>
          <w:lang w:eastAsia="ja-JP"/>
        </w:rPr>
        <w:t>Nnwdaf_MLModelProvision</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1B996662" w14:textId="77777777" w:rsidR="00A10B25" w:rsidRDefault="00A10B25">
      <w:pPr>
        <w:pStyle w:val="TH"/>
      </w:pPr>
      <w:bookmarkStart w:id="14266" w:name="_Toc88667771"/>
      <w:bookmarkStart w:id="14267" w:name="_Toc70550749"/>
      <w:bookmarkStart w:id="14268" w:name="_Toc90656056"/>
      <w:bookmarkStart w:id="14269" w:name="_Toc113031915"/>
      <w:bookmarkStart w:id="14270" w:name="_Toc120702555"/>
      <w:bookmarkStart w:id="14271" w:name="_Toc112951375"/>
      <w:bookmarkStart w:id="14272" w:name="_Toc104539252"/>
      <w:bookmarkStart w:id="14273" w:name="_Toc85553162"/>
      <w:bookmarkStart w:id="14274" w:name="_Toc83233233"/>
      <w:bookmarkStart w:id="14275" w:name="_Toc114134054"/>
      <w:bookmarkStart w:id="14276" w:name="_Toc85557261"/>
      <w:bookmarkStart w:id="14277" w:name="_Toc136562661"/>
      <w:bookmarkStart w:id="14278" w:name="_Toc98233865"/>
      <w:bookmarkStart w:id="14279" w:name="_Toc101244646"/>
      <w:bookmarkStart w:id="14280" w:name="_Toc94064463"/>
      <w:bookmarkStart w:id="14281" w:name="_Toc138754495"/>
      <w:r>
        <w:t>Table 5.4.8-1: Supported Features</w:t>
      </w:r>
    </w:p>
    <w:tbl>
      <w:tblPr>
        <w:tblW w:w="949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9"/>
        <w:gridCol w:w="2207"/>
        <w:gridCol w:w="5758"/>
      </w:tblGrid>
      <w:tr w:rsidR="00A10B25" w14:paraId="76EC2149" w14:textId="7777777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66F98EBF" w14:textId="77777777" w:rsidR="00A10B25" w:rsidRDefault="00A10B25">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EE62ABA" w14:textId="77777777" w:rsidR="00A10B25" w:rsidRDefault="00A10B25">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2F01E648" w14:textId="77777777" w:rsidR="00A10B25" w:rsidRDefault="00A10B25">
            <w:pPr>
              <w:pStyle w:val="TAH"/>
            </w:pPr>
            <w:r>
              <w:t>Description</w:t>
            </w:r>
          </w:p>
        </w:tc>
      </w:tr>
      <w:tr w:rsidR="00A10B25" w14:paraId="0ED1877D"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5BC5D226" w14:textId="77777777" w:rsidR="00A10B25" w:rsidRDefault="00A10B25">
            <w:pPr>
              <w:pStyle w:val="TAL"/>
            </w:pPr>
            <w:r>
              <w:t>1</w:t>
            </w:r>
          </w:p>
        </w:tc>
        <w:tc>
          <w:tcPr>
            <w:tcW w:w="2207" w:type="dxa"/>
            <w:tcBorders>
              <w:top w:val="single" w:sz="6" w:space="0" w:color="auto"/>
              <w:left w:val="single" w:sz="6" w:space="0" w:color="auto"/>
              <w:bottom w:val="single" w:sz="6" w:space="0" w:color="auto"/>
              <w:right w:val="single" w:sz="6" w:space="0" w:color="auto"/>
            </w:tcBorders>
          </w:tcPr>
          <w:p w14:paraId="4F1BD38C" w14:textId="77777777" w:rsidR="00A10B25" w:rsidRDefault="00A10B25">
            <w:pPr>
              <w:pStyle w:val="TAL"/>
            </w:pPr>
            <w:r>
              <w:t>FederatedLearning</w:t>
            </w:r>
          </w:p>
        </w:tc>
        <w:tc>
          <w:tcPr>
            <w:tcW w:w="5758" w:type="dxa"/>
            <w:tcBorders>
              <w:top w:val="single" w:sz="6" w:space="0" w:color="auto"/>
              <w:left w:val="single" w:sz="6" w:space="0" w:color="auto"/>
              <w:bottom w:val="single" w:sz="6" w:space="0" w:color="auto"/>
              <w:right w:val="single" w:sz="6" w:space="0" w:color="auto"/>
            </w:tcBorders>
          </w:tcPr>
          <w:p w14:paraId="798F703B" w14:textId="77777777" w:rsidR="00A10B25" w:rsidRDefault="00A10B25">
            <w:pPr>
              <w:pStyle w:val="TAL"/>
              <w:rPr>
                <w:rFonts w:cs="Arial"/>
                <w:szCs w:val="18"/>
              </w:rPr>
            </w:pPr>
            <w:r>
              <w:rPr>
                <w:rFonts w:cs="Arial"/>
                <w:szCs w:val="18"/>
              </w:rPr>
              <w:t>Indicates the support of Federated Learning.</w:t>
            </w:r>
          </w:p>
        </w:tc>
      </w:tr>
      <w:tr w:rsidR="00A10B25" w14:paraId="0AE1413E" w14:textId="77777777">
        <w:trPr>
          <w:trHeight w:val="90"/>
          <w:jc w:val="center"/>
        </w:trPr>
        <w:tc>
          <w:tcPr>
            <w:tcW w:w="1529" w:type="dxa"/>
            <w:tcBorders>
              <w:top w:val="single" w:sz="6" w:space="0" w:color="auto"/>
              <w:left w:val="single" w:sz="6" w:space="0" w:color="auto"/>
              <w:bottom w:val="single" w:sz="6" w:space="0" w:color="auto"/>
              <w:right w:val="single" w:sz="6" w:space="0" w:color="auto"/>
            </w:tcBorders>
          </w:tcPr>
          <w:p w14:paraId="17478A39" w14:textId="77777777" w:rsidR="00A10B25" w:rsidRDefault="00A10B2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2E8E6EF2" w14:textId="77777777" w:rsidR="00A10B25" w:rsidRDefault="00A10B25">
            <w:pPr>
              <w:pStyle w:val="TAL"/>
            </w:pPr>
            <w:r>
              <w:rPr>
                <w:rFonts w:cs="Arial"/>
                <w:szCs w:val="18"/>
              </w:rPr>
              <w:t>ModelSharing</w:t>
            </w:r>
          </w:p>
        </w:tc>
        <w:tc>
          <w:tcPr>
            <w:tcW w:w="5758" w:type="dxa"/>
            <w:tcBorders>
              <w:top w:val="single" w:sz="6" w:space="0" w:color="auto"/>
              <w:left w:val="single" w:sz="6" w:space="0" w:color="auto"/>
              <w:bottom w:val="single" w:sz="6" w:space="0" w:color="auto"/>
              <w:right w:val="single" w:sz="6" w:space="0" w:color="auto"/>
            </w:tcBorders>
          </w:tcPr>
          <w:p w14:paraId="29430345" w14:textId="77777777" w:rsidR="00A10B25" w:rsidRDefault="00A10B25">
            <w:pPr>
              <w:pStyle w:val="TAL"/>
              <w:rPr>
                <w:rFonts w:cs="Arial"/>
                <w:szCs w:val="18"/>
              </w:rPr>
            </w:pPr>
            <w:r>
              <w:t>This feature indicates the support of ML model sharing.</w:t>
            </w:r>
          </w:p>
        </w:tc>
      </w:tr>
      <w:tr w:rsidR="00216973" w14:paraId="09437B44"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7E908C76" w14:textId="77777777" w:rsidR="00216973" w:rsidRDefault="00216973" w:rsidP="00216973">
            <w:pPr>
              <w:pStyle w:val="TAL"/>
              <w:rPr>
                <w:rFonts w:ascii="Arial Regular" w:hAnsi="Arial Regular" w:cs="Arial Regular"/>
                <w:szCs w:val="18"/>
              </w:rPr>
            </w:pPr>
            <w:r>
              <w:rPr>
                <w:rFonts w:ascii="Arial Regular" w:hAnsi="Arial Regular" w:cs="Arial Regular"/>
                <w:szCs w:val="18"/>
              </w:rPr>
              <w:t>3</w:t>
            </w:r>
          </w:p>
        </w:tc>
        <w:tc>
          <w:tcPr>
            <w:tcW w:w="2207" w:type="dxa"/>
            <w:tcBorders>
              <w:top w:val="single" w:sz="6" w:space="0" w:color="auto"/>
              <w:left w:val="single" w:sz="6" w:space="0" w:color="auto"/>
              <w:bottom w:val="single" w:sz="6" w:space="0" w:color="auto"/>
              <w:right w:val="single" w:sz="6" w:space="0" w:color="auto"/>
            </w:tcBorders>
          </w:tcPr>
          <w:p w14:paraId="0A6979C4" w14:textId="77777777" w:rsidR="00216973" w:rsidRDefault="00216973" w:rsidP="00216973">
            <w:pPr>
              <w:pStyle w:val="TAL"/>
              <w:rPr>
                <w:rFonts w:ascii="Arial Regular" w:hAnsi="Arial Regular" w:cs="Arial Regular"/>
                <w:szCs w:val="18"/>
              </w:rPr>
            </w:pPr>
            <w:r>
              <w:t>ENAExt</w:t>
            </w:r>
          </w:p>
        </w:tc>
        <w:tc>
          <w:tcPr>
            <w:tcW w:w="5758" w:type="dxa"/>
            <w:tcBorders>
              <w:top w:val="single" w:sz="6" w:space="0" w:color="auto"/>
              <w:left w:val="single" w:sz="6" w:space="0" w:color="auto"/>
              <w:bottom w:val="single" w:sz="6" w:space="0" w:color="auto"/>
              <w:right w:val="single" w:sz="6" w:space="0" w:color="auto"/>
            </w:tcBorders>
          </w:tcPr>
          <w:p w14:paraId="0B710117" w14:textId="77777777" w:rsidR="00216973" w:rsidRDefault="00216973" w:rsidP="00216973">
            <w:pPr>
              <w:pStyle w:val="TAL"/>
              <w:rPr>
                <w:rFonts w:ascii="Arial Regular" w:hAnsi="Arial Regular" w:cs="Arial Regular"/>
                <w:szCs w:val="18"/>
              </w:rPr>
            </w:pPr>
            <w:r>
              <w:rPr>
                <w:rFonts w:cs="Arial"/>
                <w:szCs w:val="18"/>
              </w:rPr>
              <w:t>This feature indicates support for the general enhancements of network data analytics requirements, including support for use case context sent by the NF service consumer to the NWDAF.</w:t>
            </w:r>
          </w:p>
        </w:tc>
      </w:tr>
      <w:tr w:rsidR="00216973" w14:paraId="79C0D952"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7CDCA41C" w14:textId="77777777" w:rsidR="00216973" w:rsidRDefault="00216973" w:rsidP="00216973">
            <w:pPr>
              <w:keepNext/>
              <w:keepLines/>
              <w:spacing w:after="0"/>
              <w:rPr>
                <w:rFonts w:ascii="Arial" w:hAnsi="Arial" w:cs="Arial"/>
                <w:sz w:val="18"/>
                <w:szCs w:val="18"/>
              </w:rPr>
            </w:pPr>
            <w:r>
              <w:rPr>
                <w:rFonts w:ascii="Arial" w:hAnsi="Arial" w:cs="Arial"/>
                <w:sz w:val="18"/>
                <w:szCs w:val="18"/>
              </w:rPr>
              <w:t>4</w:t>
            </w:r>
          </w:p>
        </w:tc>
        <w:tc>
          <w:tcPr>
            <w:tcW w:w="2207" w:type="dxa"/>
            <w:tcBorders>
              <w:top w:val="single" w:sz="6" w:space="0" w:color="auto"/>
              <w:left w:val="single" w:sz="6" w:space="0" w:color="auto"/>
              <w:bottom w:val="single" w:sz="6" w:space="0" w:color="auto"/>
              <w:right w:val="single" w:sz="6" w:space="0" w:color="auto"/>
            </w:tcBorders>
          </w:tcPr>
          <w:p w14:paraId="3790C028" w14:textId="77777777" w:rsidR="00216973" w:rsidRDefault="00216973" w:rsidP="00216973">
            <w:pPr>
              <w:keepNext/>
              <w:keepLines/>
              <w:spacing w:after="0"/>
              <w:rPr>
                <w:rFonts w:ascii="Arial" w:hAnsi="Arial" w:cs="Arial"/>
                <w:sz w:val="18"/>
                <w:szCs w:val="18"/>
              </w:rPr>
            </w:pPr>
            <w:r>
              <w:rPr>
                <w:rFonts w:ascii="Arial" w:hAnsi="Arial" w:cs="Arial"/>
                <w:sz w:val="18"/>
                <w:szCs w:val="18"/>
              </w:rPr>
              <w:t>ModelProvisionExt</w:t>
            </w:r>
          </w:p>
        </w:tc>
        <w:tc>
          <w:tcPr>
            <w:tcW w:w="5758" w:type="dxa"/>
            <w:tcBorders>
              <w:top w:val="single" w:sz="6" w:space="0" w:color="auto"/>
              <w:left w:val="single" w:sz="6" w:space="0" w:color="auto"/>
              <w:bottom w:val="single" w:sz="6" w:space="0" w:color="auto"/>
              <w:right w:val="single" w:sz="6" w:space="0" w:color="auto"/>
            </w:tcBorders>
          </w:tcPr>
          <w:p w14:paraId="47288D48" w14:textId="77777777" w:rsidR="00216973" w:rsidRDefault="00216973" w:rsidP="00216973">
            <w:pPr>
              <w:keepNext/>
              <w:keepLines/>
              <w:spacing w:after="0"/>
              <w:rPr>
                <w:rFonts w:ascii="Arial" w:hAnsi="Arial" w:cs="Arial"/>
                <w:sz w:val="18"/>
                <w:szCs w:val="18"/>
              </w:rPr>
            </w:pPr>
            <w:r>
              <w:rPr>
                <w:rFonts w:ascii="Arial" w:hAnsi="Arial" w:cs="Arial"/>
                <w:sz w:val="18"/>
                <w:szCs w:val="18"/>
              </w:rPr>
              <w:t>This feature indicates support for the Model Provision Extension, including support for provisioning the ML model file address (e.g. URL or FQDN) or ADRF (Set) ID and additional ML Model Information</w:t>
            </w:r>
            <w:r>
              <w:rPr>
                <w:lang w:eastAsia="zh-CN"/>
              </w:rPr>
              <w:t xml:space="preserve"> </w:t>
            </w:r>
            <w:r>
              <w:rPr>
                <w:rFonts w:ascii="Arial" w:hAnsi="Arial" w:cs="Arial"/>
                <w:sz w:val="18"/>
                <w:szCs w:val="18"/>
              </w:rPr>
              <w:t>to the NF service consumer.</w:t>
            </w:r>
          </w:p>
        </w:tc>
      </w:tr>
      <w:tr w:rsidR="004D166F" w14:paraId="42A72D27" w14:textId="77777777">
        <w:trPr>
          <w:jc w:val="center"/>
        </w:trPr>
        <w:tc>
          <w:tcPr>
            <w:tcW w:w="1529" w:type="dxa"/>
            <w:tcBorders>
              <w:top w:val="single" w:sz="6" w:space="0" w:color="auto"/>
              <w:left w:val="single" w:sz="6" w:space="0" w:color="auto"/>
              <w:bottom w:val="single" w:sz="6" w:space="0" w:color="auto"/>
              <w:right w:val="single" w:sz="6" w:space="0" w:color="auto"/>
            </w:tcBorders>
          </w:tcPr>
          <w:p w14:paraId="765E1AA4" w14:textId="77777777" w:rsidR="004D166F" w:rsidRDefault="004D166F" w:rsidP="004D166F">
            <w:pPr>
              <w:keepNext/>
              <w:keepLines/>
              <w:spacing w:after="0"/>
              <w:rPr>
                <w:rFonts w:ascii="Arial" w:hAnsi="Arial" w:cs="Arial"/>
                <w:sz w:val="18"/>
                <w:szCs w:val="18"/>
              </w:rPr>
            </w:pPr>
            <w:r>
              <w:rPr>
                <w:rFonts w:ascii="Arial" w:hAnsi="Arial" w:cs="Arial" w:hint="eastAsia"/>
                <w:sz w:val="18"/>
                <w:szCs w:val="18"/>
                <w:lang w:eastAsia="zh-CN"/>
              </w:rPr>
              <w:t>5</w:t>
            </w:r>
          </w:p>
        </w:tc>
        <w:tc>
          <w:tcPr>
            <w:tcW w:w="2207" w:type="dxa"/>
            <w:tcBorders>
              <w:top w:val="single" w:sz="6" w:space="0" w:color="auto"/>
              <w:left w:val="single" w:sz="6" w:space="0" w:color="auto"/>
              <w:bottom w:val="single" w:sz="6" w:space="0" w:color="auto"/>
              <w:right w:val="single" w:sz="6" w:space="0" w:color="auto"/>
            </w:tcBorders>
          </w:tcPr>
          <w:p w14:paraId="13310F86" w14:textId="77777777" w:rsidR="004D166F" w:rsidRDefault="004D166F" w:rsidP="004D166F">
            <w:pPr>
              <w:keepNext/>
              <w:keepLines/>
              <w:spacing w:after="0"/>
              <w:rPr>
                <w:rFonts w:ascii="Arial" w:hAnsi="Arial" w:cs="Arial"/>
                <w:sz w:val="18"/>
                <w:szCs w:val="18"/>
              </w:rPr>
            </w:pPr>
            <w:r w:rsidRPr="002A0FAA">
              <w:rPr>
                <w:rFonts w:ascii="Arial" w:hAnsi="Arial" w:cs="Arial" w:hint="eastAsia"/>
                <w:sz w:val="18"/>
                <w:szCs w:val="18"/>
              </w:rPr>
              <w:t>E</w:t>
            </w:r>
            <w:r w:rsidRPr="002A0FAA">
              <w:rPr>
                <w:rFonts w:ascii="Arial" w:hAnsi="Arial" w:cs="Arial"/>
                <w:sz w:val="18"/>
                <w:szCs w:val="18"/>
              </w:rPr>
              <w:t>nModelProvision</w:t>
            </w:r>
          </w:p>
        </w:tc>
        <w:tc>
          <w:tcPr>
            <w:tcW w:w="5758" w:type="dxa"/>
            <w:tcBorders>
              <w:top w:val="single" w:sz="6" w:space="0" w:color="auto"/>
              <w:left w:val="single" w:sz="6" w:space="0" w:color="auto"/>
              <w:bottom w:val="single" w:sz="6" w:space="0" w:color="auto"/>
              <w:right w:val="single" w:sz="6" w:space="0" w:color="auto"/>
            </w:tcBorders>
          </w:tcPr>
          <w:p w14:paraId="5C2D4A97" w14:textId="77777777" w:rsidR="004D166F" w:rsidRPr="006F5F63" w:rsidRDefault="004D166F" w:rsidP="004D166F">
            <w:pPr>
              <w:keepNext/>
              <w:keepLines/>
              <w:spacing w:after="0"/>
              <w:rPr>
                <w:rFonts w:ascii="Arial" w:hAnsi="Arial" w:cs="Arial"/>
                <w:sz w:val="18"/>
                <w:szCs w:val="18"/>
              </w:rPr>
            </w:pPr>
            <w:r w:rsidRPr="006F5F63">
              <w:rPr>
                <w:rFonts w:ascii="Arial" w:hAnsi="Arial" w:cs="Arial"/>
                <w:sz w:val="18"/>
                <w:szCs w:val="18"/>
              </w:rPr>
              <w:t>This feature indicates the enhancements on the ML model provisioning</w:t>
            </w:r>
            <w:r>
              <w:rPr>
                <w:rFonts w:ascii="Arial" w:hAnsi="Arial" w:cs="Arial"/>
                <w:sz w:val="18"/>
                <w:szCs w:val="18"/>
              </w:rPr>
              <w:t xml:space="preserve"> service</w:t>
            </w:r>
            <w:r w:rsidRPr="006F5F63">
              <w:rPr>
                <w:rFonts w:ascii="Arial" w:hAnsi="Arial" w:cs="Arial"/>
                <w:sz w:val="18"/>
                <w:szCs w:val="18"/>
              </w:rPr>
              <w:t>, including:</w:t>
            </w:r>
          </w:p>
          <w:p w14:paraId="50936490" w14:textId="77777777" w:rsidR="004D166F" w:rsidRDefault="004D166F" w:rsidP="004D166F">
            <w:pPr>
              <w:pStyle w:val="affff9"/>
              <w:keepNext/>
              <w:keepLines/>
              <w:numPr>
                <w:ilvl w:val="0"/>
                <w:numId w:val="33"/>
              </w:numPr>
              <w:spacing w:after="0"/>
              <w:rPr>
                <w:rFonts w:ascii="Arial" w:hAnsi="Arial" w:cs="Arial"/>
                <w:sz w:val="18"/>
                <w:szCs w:val="18"/>
              </w:rPr>
            </w:pPr>
            <w:r w:rsidRPr="00AA270F">
              <w:rPr>
                <w:rFonts w:ascii="Arial" w:hAnsi="Arial" w:cs="Arial"/>
                <w:sz w:val="18"/>
                <w:szCs w:val="18"/>
              </w:rPr>
              <w:t xml:space="preserve">provisioning the ML Model </w:t>
            </w:r>
            <w:r>
              <w:rPr>
                <w:rFonts w:ascii="Arial" w:hAnsi="Arial" w:cs="Arial"/>
                <w:sz w:val="18"/>
                <w:szCs w:val="18"/>
              </w:rPr>
              <w:t>update</w:t>
            </w:r>
            <w:r w:rsidRPr="00AA270F">
              <w:rPr>
                <w:rFonts w:ascii="Arial" w:hAnsi="Arial" w:cs="Arial"/>
                <w:sz w:val="18"/>
                <w:szCs w:val="18"/>
              </w:rPr>
              <w:t xml:space="preserve"> indicator in the notification</w:t>
            </w:r>
            <w:r>
              <w:rPr>
                <w:rFonts w:ascii="Arial" w:hAnsi="Arial" w:cs="Arial"/>
                <w:sz w:val="18"/>
                <w:szCs w:val="18"/>
              </w:rPr>
              <w:t>;</w:t>
            </w:r>
          </w:p>
          <w:p w14:paraId="4185BCC2" w14:textId="77777777" w:rsidR="004D166F" w:rsidRDefault="004D166F" w:rsidP="004D166F">
            <w:pPr>
              <w:keepNext/>
              <w:keepLines/>
              <w:spacing w:after="0"/>
              <w:rPr>
                <w:rFonts w:ascii="Arial" w:hAnsi="Arial" w:cs="Arial"/>
                <w:sz w:val="18"/>
                <w:szCs w:val="18"/>
              </w:rPr>
            </w:pPr>
            <w:r w:rsidRPr="00AA270F">
              <w:rPr>
                <w:rFonts w:ascii="Arial" w:hAnsi="Arial" w:cs="Arial"/>
                <w:sz w:val="18"/>
                <w:szCs w:val="18"/>
              </w:rPr>
              <w:t xml:space="preserve">provisioning </w:t>
            </w:r>
            <w:r>
              <w:rPr>
                <w:rFonts w:ascii="Arial" w:hAnsi="Arial" w:cs="Arial"/>
                <w:sz w:val="18"/>
                <w:szCs w:val="18"/>
              </w:rPr>
              <w:t xml:space="preserve">the </w:t>
            </w:r>
            <w:r w:rsidRPr="00AA270F">
              <w:rPr>
                <w:rFonts w:ascii="Arial" w:hAnsi="Arial" w:cs="Arial"/>
                <w:sz w:val="18"/>
                <w:szCs w:val="18"/>
              </w:rPr>
              <w:t xml:space="preserve">NF Instance </w:t>
            </w:r>
            <w:r>
              <w:rPr>
                <w:rFonts w:ascii="Arial" w:hAnsi="Arial" w:cs="Arial"/>
                <w:sz w:val="18"/>
                <w:szCs w:val="18"/>
              </w:rPr>
              <w:t>i</w:t>
            </w:r>
            <w:r w:rsidRPr="00AA270F">
              <w:rPr>
                <w:rFonts w:ascii="Arial" w:hAnsi="Arial" w:cs="Arial"/>
                <w:sz w:val="18"/>
                <w:szCs w:val="18"/>
              </w:rPr>
              <w:t>dentif</w:t>
            </w:r>
            <w:r>
              <w:rPr>
                <w:rFonts w:ascii="Arial" w:hAnsi="Arial" w:cs="Arial"/>
                <w:sz w:val="18"/>
                <w:szCs w:val="18"/>
              </w:rPr>
              <w:t>i</w:t>
            </w:r>
            <w:r w:rsidRPr="00AA270F">
              <w:rPr>
                <w:rFonts w:ascii="Arial" w:hAnsi="Arial" w:cs="Arial"/>
                <w:sz w:val="18"/>
                <w:szCs w:val="18"/>
              </w:rPr>
              <w:t>er of the ML Model provider.</w:t>
            </w:r>
          </w:p>
        </w:tc>
      </w:tr>
    </w:tbl>
    <w:p w14:paraId="227C005F" w14:textId="77777777" w:rsidR="00A10B25" w:rsidRDefault="00A10B25">
      <w:pPr>
        <w:rPr>
          <w:rFonts w:eastAsia="MS Mincho"/>
          <w:lang w:val="en-US" w:eastAsia="zh-CN"/>
        </w:rPr>
      </w:pPr>
    </w:p>
    <w:p w14:paraId="0A26EFC4" w14:textId="77777777" w:rsidR="00A10B25" w:rsidRDefault="00A10B25">
      <w:pPr>
        <w:pStyle w:val="3"/>
        <w:rPr>
          <w:lang w:val="en-US" w:eastAsia="zh-CN"/>
        </w:rPr>
      </w:pPr>
      <w:bookmarkStart w:id="14282" w:name="_Toc148522907"/>
      <w:bookmarkStart w:id="14283" w:name="_Toc145705990"/>
      <w:bookmarkStart w:id="14284" w:name="_Toc164921095"/>
      <w:bookmarkStart w:id="14285" w:name="_Toc170120637"/>
      <w:bookmarkStart w:id="14286" w:name="_Toc175858882"/>
      <w:bookmarkStart w:id="14287" w:name="_Toc175859955"/>
      <w:bookmarkStart w:id="14288" w:name="_Toc180606245"/>
      <w:bookmarkStart w:id="14289" w:name="_Toc185517506"/>
      <w:bookmarkStart w:id="14290" w:name="_Toc191576558"/>
      <w:bookmarkStart w:id="14291" w:name="_Toc191577298"/>
      <w:bookmarkStart w:id="14292" w:name="_Toc192880368"/>
      <w:bookmarkStart w:id="14293" w:name="_Toc195815257"/>
      <w:bookmarkStart w:id="14294" w:name="_Toc199453224"/>
      <w:r>
        <w:rPr>
          <w:lang w:val="en-US"/>
        </w:rPr>
        <w:t>5.4.9</w:t>
      </w:r>
      <w:r>
        <w:rPr>
          <w:lang w:val="en-US"/>
        </w:rPr>
        <w:tab/>
        <w:t>Security</w:t>
      </w:r>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p>
    <w:p w14:paraId="12C8EEF9" w14:textId="77777777" w:rsidR="00A10B25" w:rsidRDefault="00A10B25">
      <w:pPr>
        <w:rPr>
          <w:rFonts w:eastAsia="等线"/>
        </w:rPr>
      </w:pPr>
      <w:r>
        <w:rPr>
          <w:rFonts w:eastAsia="等线"/>
        </w:rPr>
        <w:t xml:space="preserve">As indicated in 3GPP TS 33.501 [13] and 3GPP TS 29.500 [6], the access to the </w:t>
      </w:r>
      <w:r>
        <w:rPr>
          <w:lang w:eastAsia="ja-JP"/>
        </w:rPr>
        <w:t>Nnwdaf_MLModelProvision</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3GPP TS 29.510 [12]) plays the role of the authorization server.</w:t>
      </w:r>
    </w:p>
    <w:p w14:paraId="418485D9" w14:textId="77777777" w:rsidR="00A10B25" w:rsidRDefault="00A10B25">
      <w:pPr>
        <w:rPr>
          <w:rFonts w:eastAsia="等线"/>
        </w:rPr>
      </w:pPr>
      <w:r>
        <w:rPr>
          <w:rFonts w:eastAsia="等线"/>
        </w:rPr>
        <w:t xml:space="preserve">If OAuth2 is used, a n NF Service Consumer, prior to consuming services offered by the </w:t>
      </w:r>
      <w:r>
        <w:rPr>
          <w:lang w:eastAsia="ja-JP"/>
        </w:rPr>
        <w:t>Nnwdaf_MLModelProvision</w:t>
      </w:r>
      <w:r>
        <w:rPr>
          <w:rFonts w:eastAsia="等线"/>
          <w:lang w:val="en-US" w:eastAsia="zh-CN"/>
        </w:rPr>
        <w:t xml:space="preserve"> </w:t>
      </w:r>
      <w:r>
        <w:rPr>
          <w:rFonts w:eastAsia="等线"/>
        </w:rPr>
        <w:t>API, shall obtain a "token" from the authorization server, by invoking the Access Token Request service, as described in 3GPP TS 29.510 [12], clause 5.4.2.2.</w:t>
      </w:r>
    </w:p>
    <w:p w14:paraId="140FA2F0"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Nnwdaf_MLModelProvision</w:t>
      </w:r>
      <w:r>
        <w:t xml:space="preserve"> service.</w:t>
      </w:r>
    </w:p>
    <w:p w14:paraId="36EA8124" w14:textId="77777777" w:rsidR="00A10B25" w:rsidRDefault="00A10B25">
      <w:pPr>
        <w:rPr>
          <w:rFonts w:eastAsia="等线"/>
          <w:lang w:val="en-US"/>
        </w:rPr>
      </w:pPr>
      <w:r>
        <w:rPr>
          <w:rFonts w:eastAsia="等线"/>
          <w:lang w:val="en-US"/>
        </w:rPr>
        <w:t xml:space="preserve">The </w:t>
      </w:r>
      <w:r>
        <w:rPr>
          <w:lang w:eastAsia="ja-JP"/>
        </w:rPr>
        <w:t>Nnwdaf_MLModelProvision</w:t>
      </w:r>
      <w:r>
        <w:rPr>
          <w:rFonts w:eastAsia="等线"/>
          <w:lang w:val="en-US" w:eastAsia="zh-CN"/>
        </w:rPr>
        <w:t xml:space="preserve"> </w:t>
      </w:r>
      <w:r>
        <w:rPr>
          <w:rFonts w:eastAsia="等线"/>
          <w:lang w:val="en-US"/>
        </w:rPr>
        <w:t>API defines a single scope "nnwdaf-mlmodelprovision" for the entire service, and it does not define any additional scopes at resource or operation level.</w:t>
      </w:r>
    </w:p>
    <w:p w14:paraId="5D692582" w14:textId="77777777" w:rsidR="00A10B25" w:rsidRDefault="00A10B25">
      <w:pPr>
        <w:pStyle w:val="2"/>
      </w:pPr>
      <w:bookmarkStart w:id="14295" w:name="_Toc145705991"/>
      <w:bookmarkStart w:id="14296" w:name="_Toc138754496"/>
      <w:bookmarkStart w:id="14297" w:name="_Toc148522908"/>
      <w:bookmarkStart w:id="14298" w:name="_Toc136562662"/>
      <w:bookmarkStart w:id="14299" w:name="_Toc164921096"/>
      <w:bookmarkStart w:id="14300" w:name="_Toc170120638"/>
      <w:bookmarkStart w:id="14301" w:name="_Toc175858883"/>
      <w:bookmarkStart w:id="14302" w:name="_Toc175859956"/>
      <w:bookmarkStart w:id="14303" w:name="_Toc180606246"/>
      <w:bookmarkStart w:id="14304" w:name="_Toc185517507"/>
      <w:bookmarkStart w:id="14305" w:name="_Toc191576559"/>
      <w:bookmarkStart w:id="14306" w:name="_Toc191577299"/>
      <w:bookmarkStart w:id="14307" w:name="_Toc192880369"/>
      <w:bookmarkStart w:id="14308" w:name="_Toc195815258"/>
      <w:bookmarkStart w:id="14309" w:name="_Toc199453225"/>
      <w:r>
        <w:rPr>
          <w:lang w:eastAsia="zh-CN"/>
        </w:rPr>
        <w:t>5.5</w:t>
      </w:r>
      <w:r>
        <w:tab/>
      </w:r>
      <w:r>
        <w:rPr>
          <w:lang w:eastAsia="ja-JP"/>
        </w:rPr>
        <w:t>Nnwdaf_MLModelTraining</w:t>
      </w:r>
      <w:r>
        <w:t xml:space="preserve"> Service API</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p>
    <w:p w14:paraId="25D0C77E" w14:textId="77777777" w:rsidR="00A10B25" w:rsidRDefault="00A10B25">
      <w:pPr>
        <w:pStyle w:val="3"/>
        <w:rPr>
          <w:lang w:val="en-US"/>
        </w:rPr>
      </w:pPr>
      <w:bookmarkStart w:id="14310" w:name="_Toc148522909"/>
      <w:bookmarkStart w:id="14311" w:name="_Toc145705992"/>
      <w:bookmarkStart w:id="14312" w:name="_Toc138754497"/>
      <w:bookmarkStart w:id="14313" w:name="_Toc136562663"/>
      <w:bookmarkStart w:id="14314" w:name="_Toc164921097"/>
      <w:bookmarkStart w:id="14315" w:name="_Toc170120639"/>
      <w:bookmarkStart w:id="14316" w:name="_Toc175858884"/>
      <w:bookmarkStart w:id="14317" w:name="_Toc175859957"/>
      <w:bookmarkStart w:id="14318" w:name="_Toc180606247"/>
      <w:bookmarkStart w:id="14319" w:name="_Toc185517508"/>
      <w:bookmarkStart w:id="14320" w:name="_Toc191576560"/>
      <w:bookmarkStart w:id="14321" w:name="_Toc191577300"/>
      <w:bookmarkStart w:id="14322" w:name="_Toc192880370"/>
      <w:bookmarkStart w:id="14323" w:name="_Toc195815259"/>
      <w:bookmarkStart w:id="14324" w:name="_Toc199453226"/>
      <w:r>
        <w:rPr>
          <w:lang w:val="en-US"/>
        </w:rPr>
        <w:t>5.5</w:t>
      </w:r>
      <w:r>
        <w:rPr>
          <w:rFonts w:hint="eastAsia"/>
          <w:lang w:val="en-US"/>
        </w:rPr>
        <w:t>.</w:t>
      </w:r>
      <w:r>
        <w:rPr>
          <w:lang w:val="en-US"/>
        </w:rPr>
        <w:t>1</w:t>
      </w:r>
      <w:r>
        <w:rPr>
          <w:lang w:val="en-US"/>
        </w:rPr>
        <w:tab/>
        <w:t>Introduction</w:t>
      </w:r>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p>
    <w:p w14:paraId="5581E964" w14:textId="77777777" w:rsidR="00A10B25" w:rsidRDefault="00A10B25">
      <w:pPr>
        <w:rPr>
          <w:lang w:eastAsia="zh-CN"/>
        </w:rPr>
      </w:pPr>
      <w:r>
        <w:t>The</w:t>
      </w:r>
      <w:r>
        <w:rPr>
          <w:rFonts w:eastAsia="Times New Roman"/>
        </w:rPr>
        <w:t xml:space="preserve"> </w:t>
      </w:r>
      <w:r>
        <w:rPr>
          <w:lang w:eastAsia="ja-JP"/>
        </w:rPr>
        <w:t>Nnwdaf_MLModelTraining</w:t>
      </w:r>
      <w:r>
        <w:rPr>
          <w:rFonts w:eastAsia="Times New Roman"/>
        </w:rPr>
        <w:t xml:space="preserve"> service </w:t>
      </w:r>
      <w:r>
        <w:t xml:space="preserve">shall use the </w:t>
      </w:r>
      <w:r>
        <w:rPr>
          <w:lang w:eastAsia="ja-JP"/>
        </w:rPr>
        <w:t>Nnwdaf_MLModelTraining</w:t>
      </w:r>
      <w:r>
        <w:t xml:space="preserve"> </w:t>
      </w:r>
      <w:r>
        <w:rPr>
          <w:lang w:eastAsia="zh-CN"/>
        </w:rPr>
        <w:t>API.</w:t>
      </w:r>
    </w:p>
    <w:p w14:paraId="73E37924" w14:textId="77777777" w:rsidR="00A10B25" w:rsidRDefault="00A10B25">
      <w:r>
        <w:t xml:space="preserve">The API URI of the </w:t>
      </w:r>
      <w:r>
        <w:rPr>
          <w:lang w:eastAsia="ja-JP"/>
        </w:rPr>
        <w:t>Nnwdaf_MLModelTraining</w:t>
      </w:r>
      <w:r>
        <w:rPr>
          <w:lang w:val="en-US" w:eastAsia="zh-CN"/>
        </w:rPr>
        <w:t xml:space="preserve"> </w:t>
      </w:r>
      <w:r>
        <w:rPr>
          <w:lang w:val="en-US" w:eastAsia="zh-CN"/>
        </w:rPr>
        <w:t xml:space="preserve">API shall be: </w:t>
      </w:r>
    </w:p>
    <w:p w14:paraId="78AB55C8" w14:textId="77777777" w:rsidR="00A10B25" w:rsidRDefault="00A10B25">
      <w:pPr>
        <w:pStyle w:val="B1"/>
        <w:rPr>
          <w:lang w:eastAsia="zh-CN"/>
        </w:rPr>
      </w:pPr>
      <w:r>
        <w:rPr>
          <w:b/>
          <w:lang w:val="en-US" w:eastAsia="zh-CN"/>
        </w:rPr>
        <w:t>{apiRoot}/&lt;apiName&gt;/&lt;apiVersion&gt;</w:t>
      </w:r>
    </w:p>
    <w:p w14:paraId="6006D5A9" w14:textId="77777777" w:rsidR="00A10B25" w:rsidRDefault="00A10B25">
      <w:pPr>
        <w:rPr>
          <w:lang w:eastAsia="zh-CN"/>
        </w:rPr>
      </w:pPr>
      <w:r>
        <w:rPr>
          <w:lang w:eastAsia="zh-CN"/>
        </w:rPr>
        <w:t>The request URIs used in each HTTP requests from the NF service consumer towards the NWDAF shall have the Resource URI structure defined in clause 4.4.1 of 3GPP TS 29.501 [7], i.e.:</w:t>
      </w:r>
    </w:p>
    <w:p w14:paraId="013FA5EA" w14:textId="77777777" w:rsidR="00A10B25" w:rsidRDefault="00A10B25">
      <w:pPr>
        <w:ind w:left="568" w:hanging="284"/>
        <w:rPr>
          <w:b/>
        </w:rPr>
      </w:pPr>
      <w:r>
        <w:rPr>
          <w:b/>
        </w:rPr>
        <w:lastRenderedPageBreak/>
        <w:t>{apiRoot}/&lt;apiName&gt;/&lt;apiVersion&gt;/&lt;apiSpecificResourceUriPart&gt;</w:t>
      </w:r>
    </w:p>
    <w:p w14:paraId="01CCBC9B" w14:textId="77777777" w:rsidR="00A10B25" w:rsidRDefault="00A10B25">
      <w:pPr>
        <w:rPr>
          <w:lang w:eastAsia="zh-CN"/>
        </w:rPr>
      </w:pPr>
      <w:r>
        <w:rPr>
          <w:lang w:eastAsia="zh-CN"/>
        </w:rPr>
        <w:t>with the following components:</w:t>
      </w:r>
    </w:p>
    <w:p w14:paraId="266C3B70" w14:textId="77777777" w:rsidR="00A10B25" w:rsidRDefault="00A10B25">
      <w:pPr>
        <w:pStyle w:val="B1"/>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2130EE59" w14:textId="77777777" w:rsidR="00A10B25" w:rsidRDefault="00A10B25">
      <w:pPr>
        <w:pStyle w:val="B1"/>
        <w:rPr>
          <w:lang w:val="en-US"/>
        </w:rPr>
      </w:pPr>
      <w:r>
        <w:rPr>
          <w:lang w:eastAsia="zh-CN"/>
        </w:rPr>
        <w:t>-</w:t>
      </w:r>
      <w:r>
        <w:rPr>
          <w:lang w:eastAsia="zh-CN"/>
        </w:rPr>
        <w:tab/>
        <w:t>The</w:t>
      </w:r>
      <w:r>
        <w:t>&lt;apiName&gt;</w:t>
      </w:r>
      <w:r>
        <w:rPr>
          <w:b/>
        </w:rPr>
        <w:t xml:space="preserve"> </w:t>
      </w:r>
      <w:r>
        <w:t>shall be "nnwdaf-mlmodeltraining</w:t>
      </w:r>
      <w:r>
        <w:rPr>
          <w:lang w:val="en-US"/>
        </w:rPr>
        <w:t>".</w:t>
      </w:r>
    </w:p>
    <w:p w14:paraId="6D348F6E" w14:textId="77777777" w:rsidR="00A10B25" w:rsidRDefault="00A10B25">
      <w:pPr>
        <w:pStyle w:val="B1"/>
        <w:rPr>
          <w:lang w:val="en-US"/>
        </w:rPr>
      </w:pPr>
      <w:r>
        <w:rPr>
          <w:lang w:val="en-US"/>
        </w:rPr>
        <w:t>-</w:t>
      </w:r>
      <w:r>
        <w:rPr>
          <w:lang w:val="en-US"/>
        </w:rPr>
        <w:tab/>
        <w:t>The &lt;apiVersion&gt; shall be "v1".</w:t>
      </w:r>
    </w:p>
    <w:p w14:paraId="146F4EE9" w14:textId="77777777" w:rsidR="00A10B25" w:rsidRDefault="00A10B25">
      <w:pPr>
        <w:pStyle w:val="B1"/>
      </w:pPr>
      <w:r>
        <w:rPr>
          <w:lang w:val="en-US"/>
        </w:rPr>
        <w:t>-</w:t>
      </w:r>
      <w:r>
        <w:rPr>
          <w:lang w:val="en-US"/>
        </w:rPr>
        <w:tab/>
        <w:t>The &lt;apiSpecificResourceUriPart&gt; shall be set as described in clause</w:t>
      </w:r>
      <w:r>
        <w:rPr>
          <w:lang w:eastAsia="zh-CN"/>
        </w:rPr>
        <w:t> </w:t>
      </w:r>
      <w:r>
        <w:rPr>
          <w:lang w:val="en-US"/>
        </w:rPr>
        <w:t>5.5.3.</w:t>
      </w:r>
    </w:p>
    <w:p w14:paraId="0D32F7B8" w14:textId="77777777" w:rsidR="00A10B25" w:rsidRDefault="00A10B25">
      <w:pPr>
        <w:pStyle w:val="3"/>
        <w:rPr>
          <w:lang w:val="en-US"/>
        </w:rPr>
      </w:pPr>
      <w:bookmarkStart w:id="14325" w:name="_Toc136562664"/>
      <w:bookmarkStart w:id="14326" w:name="_Toc138754498"/>
      <w:bookmarkStart w:id="14327" w:name="_Toc148522910"/>
      <w:bookmarkStart w:id="14328" w:name="_Toc145705993"/>
      <w:bookmarkStart w:id="14329" w:name="_Toc164921098"/>
      <w:bookmarkStart w:id="14330" w:name="_Toc170120640"/>
      <w:bookmarkStart w:id="14331" w:name="_Toc175858885"/>
      <w:bookmarkStart w:id="14332" w:name="_Toc175859958"/>
      <w:bookmarkStart w:id="14333" w:name="_Toc180606248"/>
      <w:bookmarkStart w:id="14334" w:name="_Toc185517509"/>
      <w:bookmarkStart w:id="14335" w:name="_Toc191576561"/>
      <w:bookmarkStart w:id="14336" w:name="_Toc191577301"/>
      <w:bookmarkStart w:id="14337" w:name="_Toc192880371"/>
      <w:bookmarkStart w:id="14338" w:name="_Toc195815260"/>
      <w:bookmarkStart w:id="14339" w:name="_Toc199453227"/>
      <w:r>
        <w:rPr>
          <w:lang w:val="en-US"/>
        </w:rPr>
        <w:t>5.5.2</w:t>
      </w:r>
      <w:r>
        <w:rPr>
          <w:lang w:val="en-US"/>
        </w:rPr>
        <w:tab/>
        <w:t>Usage of HTTP</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p>
    <w:p w14:paraId="775614B9" w14:textId="77777777" w:rsidR="00A10B25" w:rsidRDefault="00A10B25">
      <w:pPr>
        <w:pStyle w:val="4"/>
      </w:pPr>
      <w:bookmarkStart w:id="14340" w:name="_Toc138754499"/>
      <w:bookmarkStart w:id="14341" w:name="_Toc145705994"/>
      <w:bookmarkStart w:id="14342" w:name="_Toc136562665"/>
      <w:bookmarkStart w:id="14343" w:name="_Toc148522911"/>
      <w:bookmarkStart w:id="14344" w:name="_Toc164921099"/>
      <w:bookmarkStart w:id="14345" w:name="_Toc170120641"/>
      <w:bookmarkStart w:id="14346" w:name="_Toc175858886"/>
      <w:bookmarkStart w:id="14347" w:name="_Toc175859959"/>
      <w:bookmarkStart w:id="14348" w:name="_Toc180606249"/>
      <w:bookmarkStart w:id="14349" w:name="_Toc185517510"/>
      <w:bookmarkStart w:id="14350" w:name="_Toc191576562"/>
      <w:bookmarkStart w:id="14351" w:name="_Toc191577302"/>
      <w:bookmarkStart w:id="14352" w:name="_Toc192880372"/>
      <w:bookmarkStart w:id="14353" w:name="_Toc195815261"/>
      <w:bookmarkStart w:id="14354" w:name="_Toc199453228"/>
      <w:r>
        <w:t>5.5.2.1</w:t>
      </w:r>
      <w:r>
        <w:tab/>
        <w:t>General</w:t>
      </w:r>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p>
    <w:p w14:paraId="3C65F6F7" w14:textId="77777777" w:rsidR="00A10B25" w:rsidRDefault="00A10B25">
      <w:r>
        <w:t>HTTP</w:t>
      </w:r>
      <w:r>
        <w:rPr>
          <w:lang w:eastAsia="zh-CN"/>
        </w:rPr>
        <w:t xml:space="preserve">/2, IETF RFC 9113 [9], </w:t>
      </w:r>
      <w:r>
        <w:t>shall be used as specified in clause 5 of 3GPP TS 29.500 [6].</w:t>
      </w:r>
    </w:p>
    <w:p w14:paraId="2EC04204" w14:textId="77777777" w:rsidR="00A10B25" w:rsidRDefault="00A10B25">
      <w:r>
        <w:t>HTTP/2 shall be transported as specified in clause 5.3 of 3GPP TS 29.500 [6].</w:t>
      </w:r>
    </w:p>
    <w:p w14:paraId="20B15697" w14:textId="77777777" w:rsidR="00A10B25" w:rsidRDefault="00A10B25">
      <w:r>
        <w:t xml:space="preserve">The OpenAPI [11] specification of HTTP messages and content bodies for the </w:t>
      </w:r>
      <w:r>
        <w:rPr>
          <w:lang w:eastAsia="ja-JP"/>
        </w:rPr>
        <w:t>Nnwdaf_MLModelTraining</w:t>
      </w:r>
      <w:r>
        <w:t xml:space="preserve"> is contained in Annex A.</w:t>
      </w:r>
    </w:p>
    <w:p w14:paraId="4E53AF1A" w14:textId="77777777" w:rsidR="00A10B25" w:rsidRDefault="00A10B25">
      <w:pPr>
        <w:pStyle w:val="4"/>
      </w:pPr>
      <w:bookmarkStart w:id="14355" w:name="_Toc136562666"/>
      <w:bookmarkStart w:id="14356" w:name="_Toc148522912"/>
      <w:bookmarkStart w:id="14357" w:name="_Toc145705995"/>
      <w:bookmarkStart w:id="14358" w:name="_Toc138754500"/>
      <w:bookmarkStart w:id="14359" w:name="_Toc164921100"/>
      <w:bookmarkStart w:id="14360" w:name="_Toc170120642"/>
      <w:bookmarkStart w:id="14361" w:name="_Toc175858887"/>
      <w:bookmarkStart w:id="14362" w:name="_Toc175859960"/>
      <w:bookmarkStart w:id="14363" w:name="_Toc180606250"/>
      <w:bookmarkStart w:id="14364" w:name="_Toc185517511"/>
      <w:bookmarkStart w:id="14365" w:name="_Toc191576563"/>
      <w:bookmarkStart w:id="14366" w:name="_Toc191577303"/>
      <w:bookmarkStart w:id="14367" w:name="_Toc192880373"/>
      <w:bookmarkStart w:id="14368" w:name="_Toc195815262"/>
      <w:bookmarkStart w:id="14369" w:name="_Toc199453229"/>
      <w:r>
        <w:t>5.5.2.2</w:t>
      </w:r>
      <w:r>
        <w:tab/>
        <w:t>HTTP standard headers</w:t>
      </w:r>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p>
    <w:p w14:paraId="7B7166E3" w14:textId="77777777" w:rsidR="00A10B25" w:rsidRDefault="00A10B25">
      <w:pPr>
        <w:pStyle w:val="5"/>
      </w:pPr>
      <w:bookmarkStart w:id="14370" w:name="_Toc148522913"/>
      <w:bookmarkStart w:id="14371" w:name="_Toc136562667"/>
      <w:bookmarkStart w:id="14372" w:name="_Toc138754501"/>
      <w:bookmarkStart w:id="14373" w:name="_Toc145705996"/>
      <w:bookmarkStart w:id="14374" w:name="_Toc164921101"/>
      <w:bookmarkStart w:id="14375" w:name="_Toc170120643"/>
      <w:bookmarkStart w:id="14376" w:name="_Toc175858888"/>
      <w:bookmarkStart w:id="14377" w:name="_Toc175859961"/>
      <w:bookmarkStart w:id="14378" w:name="_Toc180606251"/>
      <w:bookmarkStart w:id="14379" w:name="_Toc185517512"/>
      <w:bookmarkStart w:id="14380" w:name="_Toc191576564"/>
      <w:bookmarkStart w:id="14381" w:name="_Toc191577304"/>
      <w:bookmarkStart w:id="14382" w:name="_Toc192880374"/>
      <w:bookmarkStart w:id="14383" w:name="_Toc195815263"/>
      <w:bookmarkStart w:id="14384" w:name="_Toc199453230"/>
      <w:r>
        <w:t>5.5.2.2.1</w:t>
      </w:r>
      <w:r>
        <w:tab/>
        <w:t>General</w:t>
      </w:r>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p>
    <w:p w14:paraId="488508A0" w14:textId="77777777" w:rsidR="00A10B25" w:rsidRDefault="00A10B25">
      <w:r>
        <w:t>See clause 5.2.2 of 3GPP TS 29.500 [6] for the usage of HTTP standard headers.</w:t>
      </w:r>
    </w:p>
    <w:p w14:paraId="32A8CD33" w14:textId="77777777" w:rsidR="00A10B25" w:rsidRDefault="00A10B25">
      <w:pPr>
        <w:pStyle w:val="5"/>
      </w:pPr>
      <w:bookmarkStart w:id="14385" w:name="_Toc136562668"/>
      <w:bookmarkStart w:id="14386" w:name="_Toc138754502"/>
      <w:bookmarkStart w:id="14387" w:name="_Toc148522914"/>
      <w:bookmarkStart w:id="14388" w:name="_Toc145705997"/>
      <w:bookmarkStart w:id="14389" w:name="_Toc164921102"/>
      <w:bookmarkStart w:id="14390" w:name="_Toc170120644"/>
      <w:bookmarkStart w:id="14391" w:name="_Toc175858889"/>
      <w:bookmarkStart w:id="14392" w:name="_Toc175859962"/>
      <w:bookmarkStart w:id="14393" w:name="_Toc180606252"/>
      <w:bookmarkStart w:id="14394" w:name="_Toc185517513"/>
      <w:bookmarkStart w:id="14395" w:name="_Toc191576565"/>
      <w:bookmarkStart w:id="14396" w:name="_Toc191577305"/>
      <w:bookmarkStart w:id="14397" w:name="_Toc192880375"/>
      <w:bookmarkStart w:id="14398" w:name="_Toc195815264"/>
      <w:bookmarkStart w:id="14399" w:name="_Toc199453231"/>
      <w:r>
        <w:t>5.5.2.2.2</w:t>
      </w:r>
      <w:r>
        <w:tab/>
        <w:t>Content type</w:t>
      </w:r>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10D4E6A9" w14:textId="77777777" w:rsidR="00A10B25" w:rsidRDefault="00A10B25">
      <w:bookmarkStart w:id="14400" w:name="_Toc145705998"/>
      <w:bookmarkStart w:id="14401" w:name="_Toc136562669"/>
      <w:bookmarkStart w:id="14402" w:name="_Toc138754503"/>
      <w:bookmarkStart w:id="14403" w:name="_Toc148522915"/>
      <w:r>
        <w:t>JSON, IETF RFC 8259 [10], shall be used as content type of the HTTP bodies specified in the present specification as specified in clause 5.4 of 3GPP TS 29.500 [6]. The use of the JSON format shall be signalled by the content type "application/json".</w:t>
      </w:r>
    </w:p>
    <w:p w14:paraId="52A19FA9" w14:textId="77777777" w:rsidR="00A10B25" w:rsidRDefault="00A10B25">
      <w:pPr>
        <w:rPr>
          <w:i/>
        </w:rPr>
      </w:pPr>
      <w:r>
        <w:t>"Problem Details" JSON object shall be used to indicate additional details of the error in a HTTP response body and shall be signalled by the content type "application/problem+json", as defined in IETF RFC 9457 [15].</w:t>
      </w:r>
    </w:p>
    <w:p w14:paraId="1D76EE10" w14:textId="77777777" w:rsidR="00A10B25" w:rsidRDefault="00A10B25">
      <w:pPr>
        <w:pStyle w:val="4"/>
      </w:pPr>
      <w:bookmarkStart w:id="14404" w:name="_Toc164921103"/>
      <w:bookmarkStart w:id="14405" w:name="_Toc170120645"/>
      <w:bookmarkStart w:id="14406" w:name="_Toc175858890"/>
      <w:bookmarkStart w:id="14407" w:name="_Toc175859963"/>
      <w:bookmarkStart w:id="14408" w:name="_Toc180606253"/>
      <w:bookmarkStart w:id="14409" w:name="_Toc185517514"/>
      <w:bookmarkStart w:id="14410" w:name="_Toc191576566"/>
      <w:bookmarkStart w:id="14411" w:name="_Toc191577306"/>
      <w:bookmarkStart w:id="14412" w:name="_Toc192880376"/>
      <w:bookmarkStart w:id="14413" w:name="_Toc195815265"/>
      <w:bookmarkStart w:id="14414" w:name="_Toc199453232"/>
      <w:r>
        <w:t>5.5.2.3</w:t>
      </w:r>
      <w:r>
        <w:tab/>
        <w:t>HTTP custom headers</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p>
    <w:p w14:paraId="7697A337" w14:textId="77777777" w:rsidR="00A10B25" w:rsidRDefault="00A10B25">
      <w:pPr>
        <w:rPr>
          <w:rFonts w:eastAsia="Batang"/>
        </w:rPr>
      </w:pPr>
      <w:r>
        <w:rPr>
          <w:rFonts w:eastAsia="Batang"/>
        </w:rPr>
        <w:t xml:space="preserve">The </w:t>
      </w:r>
      <w:r>
        <w:rPr>
          <w:lang w:eastAsia="ja-JP"/>
        </w:rPr>
        <w:t>Nnwdaf_MLModelTraining</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325D7928"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Nnwdaf_MLModelTraining</w:t>
      </w:r>
      <w:r>
        <w:rPr>
          <w:rFonts w:eastAsia="Batang"/>
        </w:rPr>
        <w:t xml:space="preserve"> service API.</w:t>
      </w:r>
    </w:p>
    <w:p w14:paraId="46FDB6E4" w14:textId="77777777" w:rsidR="00A10B25" w:rsidRDefault="00A10B25">
      <w:pPr>
        <w:pStyle w:val="3"/>
      </w:pPr>
      <w:bookmarkStart w:id="14415" w:name="_Toc145705999"/>
      <w:bookmarkStart w:id="14416" w:name="_Toc148522916"/>
      <w:bookmarkStart w:id="14417" w:name="_Toc136562670"/>
      <w:bookmarkStart w:id="14418" w:name="_Toc138754504"/>
      <w:bookmarkStart w:id="14419" w:name="_Toc164921104"/>
      <w:bookmarkStart w:id="14420" w:name="_Toc170120646"/>
      <w:bookmarkStart w:id="14421" w:name="_Toc175858891"/>
      <w:bookmarkStart w:id="14422" w:name="_Toc175859964"/>
      <w:bookmarkStart w:id="14423" w:name="_Toc180606254"/>
      <w:bookmarkStart w:id="14424" w:name="_Toc185517515"/>
      <w:bookmarkStart w:id="14425" w:name="_Toc191576567"/>
      <w:bookmarkStart w:id="14426" w:name="_Toc191577307"/>
      <w:bookmarkStart w:id="14427" w:name="_Toc192880377"/>
      <w:bookmarkStart w:id="14428" w:name="_Toc195815266"/>
      <w:bookmarkStart w:id="14429" w:name="_Toc199453233"/>
      <w:r>
        <w:t>5.5.3</w:t>
      </w:r>
      <w:r>
        <w:tab/>
        <w:t>Resources</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p>
    <w:p w14:paraId="0E5E2DFC" w14:textId="77777777" w:rsidR="00A10B25" w:rsidRDefault="00A10B25">
      <w:pPr>
        <w:pStyle w:val="4"/>
      </w:pPr>
      <w:bookmarkStart w:id="14430" w:name="_Toc136562671"/>
      <w:bookmarkStart w:id="14431" w:name="_Toc138754505"/>
      <w:bookmarkStart w:id="14432" w:name="_Toc145706000"/>
      <w:bookmarkStart w:id="14433" w:name="_Toc148522917"/>
      <w:bookmarkStart w:id="14434" w:name="_Toc164921105"/>
      <w:bookmarkStart w:id="14435" w:name="_Toc170120647"/>
      <w:bookmarkStart w:id="14436" w:name="_Toc175858892"/>
      <w:bookmarkStart w:id="14437" w:name="_Toc175859965"/>
      <w:bookmarkStart w:id="14438" w:name="_Toc180606255"/>
      <w:bookmarkStart w:id="14439" w:name="_Toc185517516"/>
      <w:bookmarkStart w:id="14440" w:name="_Toc191576568"/>
      <w:bookmarkStart w:id="14441" w:name="_Toc191577308"/>
      <w:bookmarkStart w:id="14442" w:name="_Toc192880378"/>
      <w:bookmarkStart w:id="14443" w:name="_Toc195815267"/>
      <w:bookmarkStart w:id="14444" w:name="_Toc199453234"/>
      <w:r>
        <w:t>5.5.3.1</w:t>
      </w:r>
      <w:r>
        <w:tab/>
        <w:t>Resource Structure</w:t>
      </w:r>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p>
    <w:p w14:paraId="4E16D844" w14:textId="77777777" w:rsidR="00A10B25" w:rsidRDefault="00A10B25">
      <w:r>
        <w:t>This clause describes the structure for the Resource URIs and the resources and methods used for the service.</w:t>
      </w:r>
    </w:p>
    <w:p w14:paraId="5D7379A0" w14:textId="77777777" w:rsidR="00A10B25" w:rsidRDefault="00A10B25">
      <w:r>
        <w:t xml:space="preserve">Figure 5.5.3.1-1 depicts the resource URIs structure for the </w:t>
      </w:r>
      <w:r>
        <w:rPr>
          <w:lang w:eastAsia="ja-JP"/>
        </w:rPr>
        <w:t>Nnwdaf_MLModelTraining</w:t>
      </w:r>
      <w:r>
        <w:t xml:space="preserve"> API.</w:t>
      </w:r>
    </w:p>
    <w:p w14:paraId="320DCF8F" w14:textId="77777777" w:rsidR="00A10B25" w:rsidRDefault="00A10B25">
      <w:pPr>
        <w:pStyle w:val="TH"/>
        <w:rPr>
          <w:lang w:val="en-US"/>
        </w:rPr>
      </w:pPr>
      <w:r>
        <w:rPr>
          <w:lang w:val="en-US" w:eastAsia="zh-CN"/>
        </w:rPr>
        <w:object w:dxaOrig="6264" w:dyaOrig="2451" w14:anchorId="540AE8A4">
          <v:shape id="Object 61" o:spid="_x0000_i1098" type="#_x0000_t75" style="width:340.6pt;height:132.1pt;mso-position-horizontal-relative:page;mso-position-vertical-relative:page" o:ole="">
            <v:imagedata r:id="rId132" o:title=""/>
          </v:shape>
          <o:OLEObject Type="Embed" ProgID="Visio.Drawing.15" ShapeID="Object 61" DrawAspect="Content" ObjectID="_1810066042" r:id="rId133"/>
        </w:object>
      </w:r>
    </w:p>
    <w:p w14:paraId="56E07205" w14:textId="77777777" w:rsidR="00A10B25" w:rsidRDefault="00A10B25">
      <w:pPr>
        <w:pStyle w:val="TF"/>
      </w:pPr>
      <w:r>
        <w:t>Figure 5.5.3.1-</w:t>
      </w:r>
      <w:r>
        <w:rPr>
          <w:rFonts w:hint="eastAsia"/>
          <w:lang w:eastAsia="zh-CN"/>
        </w:rPr>
        <w:t>1</w:t>
      </w:r>
      <w:r>
        <w:t xml:space="preserve">: Resource URI structure of the </w:t>
      </w:r>
      <w:r>
        <w:rPr>
          <w:lang w:eastAsia="ja-JP"/>
        </w:rPr>
        <w:t>Nnwdaf_MLModelTraining</w:t>
      </w:r>
      <w:r>
        <w:t xml:space="preserve"> API</w:t>
      </w:r>
    </w:p>
    <w:p w14:paraId="7B83182F" w14:textId="77777777" w:rsidR="00A10B25" w:rsidRDefault="00A10B25">
      <w:r>
        <w:t>Table 5.5.3.1-1 provides an overview of the resources and applicable HTTP methods.</w:t>
      </w:r>
    </w:p>
    <w:p w14:paraId="6F43B244" w14:textId="77777777" w:rsidR="00A10B25" w:rsidRDefault="00A10B25">
      <w:pPr>
        <w:pStyle w:val="TH"/>
        <w:overflowPunct w:val="0"/>
        <w:autoSpaceDE w:val="0"/>
        <w:autoSpaceDN w:val="0"/>
        <w:adjustRightInd w:val="0"/>
        <w:textAlignment w:val="baseline"/>
        <w:rPr>
          <w:rFonts w:eastAsia="MS Mincho"/>
        </w:rPr>
      </w:pPr>
      <w:r>
        <w:rPr>
          <w:rFonts w:eastAsia="MS Mincho"/>
        </w:rPr>
        <w:t>Table 5.5.3.1-1: Resources and methods overview</w:t>
      </w:r>
    </w:p>
    <w:tbl>
      <w:tblPr>
        <w:tblW w:w="49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7"/>
        <w:gridCol w:w="2844"/>
        <w:gridCol w:w="958"/>
        <w:gridCol w:w="3142"/>
      </w:tblGrid>
      <w:tr w:rsidR="00A10B25" w14:paraId="3460DE2D" w14:textId="77777777">
        <w:trPr>
          <w:jc w:val="center"/>
        </w:trPr>
        <w:tc>
          <w:tcPr>
            <w:tcW w:w="1338" w:type="pct"/>
            <w:shd w:val="clear" w:color="auto" w:fill="C0C0C0"/>
            <w:vAlign w:val="center"/>
          </w:tcPr>
          <w:p w14:paraId="131AC9D3" w14:textId="77777777" w:rsidR="00A10B25" w:rsidRDefault="00A10B25">
            <w:pPr>
              <w:pStyle w:val="TAH"/>
              <w:rPr>
                <w:szCs w:val="18"/>
              </w:rPr>
            </w:pPr>
            <w:r>
              <w:rPr>
                <w:szCs w:val="18"/>
              </w:rPr>
              <w:t>Resource name</w:t>
            </w:r>
          </w:p>
        </w:tc>
        <w:tc>
          <w:tcPr>
            <w:tcW w:w="1500" w:type="pct"/>
            <w:shd w:val="clear" w:color="auto" w:fill="C0C0C0"/>
            <w:vAlign w:val="center"/>
          </w:tcPr>
          <w:p w14:paraId="05BD6585" w14:textId="77777777" w:rsidR="00A10B25" w:rsidRDefault="00A10B25">
            <w:pPr>
              <w:pStyle w:val="TAH"/>
              <w:rPr>
                <w:szCs w:val="18"/>
              </w:rPr>
            </w:pPr>
            <w:r>
              <w:rPr>
                <w:szCs w:val="18"/>
              </w:rPr>
              <w:t>Resource URI</w:t>
            </w:r>
          </w:p>
        </w:tc>
        <w:tc>
          <w:tcPr>
            <w:tcW w:w="505" w:type="pct"/>
            <w:shd w:val="clear" w:color="auto" w:fill="C0C0C0"/>
            <w:vAlign w:val="center"/>
          </w:tcPr>
          <w:p w14:paraId="4DEC45D4" w14:textId="77777777" w:rsidR="00A10B25" w:rsidRDefault="00A10B25">
            <w:pPr>
              <w:pStyle w:val="TAH"/>
              <w:rPr>
                <w:szCs w:val="18"/>
              </w:rPr>
            </w:pPr>
            <w:r>
              <w:rPr>
                <w:szCs w:val="18"/>
              </w:rPr>
              <w:t>HTTP method or custom operation</w:t>
            </w:r>
          </w:p>
        </w:tc>
        <w:tc>
          <w:tcPr>
            <w:tcW w:w="1657" w:type="pct"/>
            <w:shd w:val="clear" w:color="auto" w:fill="C0C0C0"/>
            <w:vAlign w:val="center"/>
          </w:tcPr>
          <w:p w14:paraId="7C3FBDCA" w14:textId="77777777" w:rsidR="00A10B25" w:rsidRDefault="00A10B25">
            <w:pPr>
              <w:pStyle w:val="TAH"/>
              <w:rPr>
                <w:szCs w:val="18"/>
              </w:rPr>
            </w:pPr>
            <w:r>
              <w:rPr>
                <w:szCs w:val="18"/>
              </w:rPr>
              <w:t>Description</w:t>
            </w:r>
          </w:p>
        </w:tc>
      </w:tr>
      <w:tr w:rsidR="00A10B25" w14:paraId="5E3A39BB" w14:textId="77777777">
        <w:trPr>
          <w:jc w:val="center"/>
        </w:trPr>
        <w:tc>
          <w:tcPr>
            <w:tcW w:w="0" w:type="auto"/>
            <w:vAlign w:val="center"/>
          </w:tcPr>
          <w:p w14:paraId="03383E7E" w14:textId="77777777" w:rsidR="00A10B25" w:rsidRDefault="00A10B25">
            <w:pPr>
              <w:pStyle w:val="TF"/>
              <w:keepNext/>
              <w:spacing w:after="0"/>
              <w:jc w:val="left"/>
              <w:rPr>
                <w:sz w:val="18"/>
                <w:szCs w:val="18"/>
              </w:rPr>
            </w:pPr>
            <w:r>
              <w:rPr>
                <w:b w:val="0"/>
                <w:sz w:val="18"/>
                <w:szCs w:val="18"/>
              </w:rPr>
              <w:t>NWDAF ML Model Training Subscriptions</w:t>
            </w:r>
          </w:p>
        </w:tc>
        <w:tc>
          <w:tcPr>
            <w:tcW w:w="0" w:type="auto"/>
            <w:vAlign w:val="center"/>
          </w:tcPr>
          <w:p w14:paraId="1FC20898" w14:textId="77777777" w:rsidR="00A10B25" w:rsidRDefault="00A10B25">
            <w:pPr>
              <w:pStyle w:val="TAL"/>
              <w:rPr>
                <w:szCs w:val="18"/>
              </w:rPr>
            </w:pPr>
            <w:r>
              <w:rPr>
                <w:szCs w:val="18"/>
              </w:rPr>
              <w:t>/subscriptions</w:t>
            </w:r>
          </w:p>
        </w:tc>
        <w:tc>
          <w:tcPr>
            <w:tcW w:w="505" w:type="pct"/>
          </w:tcPr>
          <w:p w14:paraId="71D07820" w14:textId="77777777" w:rsidR="00A10B25" w:rsidRDefault="00A10B25">
            <w:pPr>
              <w:pStyle w:val="TAL"/>
              <w:rPr>
                <w:szCs w:val="18"/>
              </w:rPr>
            </w:pPr>
            <w:r>
              <w:rPr>
                <w:szCs w:val="18"/>
              </w:rPr>
              <w:t>POST</w:t>
            </w:r>
          </w:p>
        </w:tc>
        <w:tc>
          <w:tcPr>
            <w:tcW w:w="1657" w:type="pct"/>
          </w:tcPr>
          <w:p w14:paraId="659D4A5A" w14:textId="77777777" w:rsidR="00A10B25" w:rsidRDefault="00A10B25">
            <w:pPr>
              <w:pStyle w:val="TAL"/>
              <w:rPr>
                <w:szCs w:val="18"/>
              </w:rPr>
            </w:pPr>
            <w:r>
              <w:rPr>
                <w:szCs w:val="18"/>
              </w:rPr>
              <w:t>Creates a new Individual NWDAF ML Model Training Subscription resource.</w:t>
            </w:r>
          </w:p>
        </w:tc>
      </w:tr>
      <w:tr w:rsidR="00A10B25" w14:paraId="058F803C" w14:textId="77777777">
        <w:trPr>
          <w:jc w:val="center"/>
        </w:trPr>
        <w:tc>
          <w:tcPr>
            <w:tcW w:w="0" w:type="auto"/>
            <w:vMerge w:val="restart"/>
            <w:vAlign w:val="center"/>
          </w:tcPr>
          <w:p w14:paraId="7AC5AF5E" w14:textId="77777777" w:rsidR="00A10B25" w:rsidRDefault="00A10B25">
            <w:pPr>
              <w:pStyle w:val="TF"/>
              <w:keepNext/>
              <w:spacing w:after="0"/>
              <w:jc w:val="left"/>
              <w:rPr>
                <w:sz w:val="18"/>
                <w:szCs w:val="18"/>
              </w:rPr>
            </w:pPr>
            <w:r>
              <w:rPr>
                <w:b w:val="0"/>
                <w:sz w:val="18"/>
                <w:szCs w:val="18"/>
              </w:rPr>
              <w:t>Individual NWDAF ML Model Training Subscription</w:t>
            </w:r>
          </w:p>
        </w:tc>
        <w:tc>
          <w:tcPr>
            <w:tcW w:w="0" w:type="auto"/>
            <w:vMerge w:val="restart"/>
            <w:vAlign w:val="center"/>
          </w:tcPr>
          <w:p w14:paraId="0CE5B3B2" w14:textId="77777777" w:rsidR="00A10B25" w:rsidRDefault="00A10B25">
            <w:pPr>
              <w:pStyle w:val="TAL"/>
              <w:rPr>
                <w:szCs w:val="18"/>
              </w:rPr>
            </w:pPr>
            <w:r>
              <w:rPr>
                <w:szCs w:val="18"/>
              </w:rPr>
              <w:t>/subscriptions/{subscriptionId}</w:t>
            </w:r>
          </w:p>
        </w:tc>
        <w:tc>
          <w:tcPr>
            <w:tcW w:w="505" w:type="pct"/>
          </w:tcPr>
          <w:p w14:paraId="632B6198" w14:textId="77777777" w:rsidR="00A10B25" w:rsidRDefault="00A10B25">
            <w:pPr>
              <w:pStyle w:val="TAL"/>
              <w:rPr>
                <w:szCs w:val="18"/>
              </w:rPr>
            </w:pPr>
            <w:r>
              <w:rPr>
                <w:szCs w:val="18"/>
              </w:rPr>
              <w:t>DELETE</w:t>
            </w:r>
          </w:p>
        </w:tc>
        <w:tc>
          <w:tcPr>
            <w:tcW w:w="1657" w:type="pct"/>
          </w:tcPr>
          <w:p w14:paraId="124BEB53" w14:textId="77777777" w:rsidR="00A10B25" w:rsidRDefault="00A10B25">
            <w:pPr>
              <w:pStyle w:val="TF"/>
              <w:keepNext/>
              <w:spacing w:after="0"/>
              <w:jc w:val="left"/>
              <w:rPr>
                <w:b w:val="0"/>
                <w:sz w:val="18"/>
                <w:szCs w:val="18"/>
              </w:rPr>
            </w:pPr>
            <w:r>
              <w:rPr>
                <w:b w:val="0"/>
                <w:sz w:val="18"/>
                <w:szCs w:val="18"/>
              </w:rPr>
              <w:t>Deletes an Individual NWDAF ML Model Training Subscription identified by subresource {subscriptionId}.</w:t>
            </w:r>
          </w:p>
        </w:tc>
      </w:tr>
      <w:tr w:rsidR="007605E0" w14:paraId="73150CCF" w14:textId="77777777">
        <w:trPr>
          <w:jc w:val="center"/>
        </w:trPr>
        <w:tc>
          <w:tcPr>
            <w:tcW w:w="0" w:type="auto"/>
            <w:vMerge/>
            <w:vAlign w:val="center"/>
          </w:tcPr>
          <w:p w14:paraId="6D37304C" w14:textId="77777777" w:rsidR="007605E0" w:rsidRDefault="007605E0" w:rsidP="007605E0">
            <w:pPr>
              <w:pStyle w:val="TAL"/>
              <w:rPr>
                <w:szCs w:val="18"/>
              </w:rPr>
            </w:pPr>
          </w:p>
        </w:tc>
        <w:tc>
          <w:tcPr>
            <w:tcW w:w="0" w:type="auto"/>
            <w:vMerge/>
            <w:vAlign w:val="center"/>
          </w:tcPr>
          <w:p w14:paraId="7944BDC8" w14:textId="77777777" w:rsidR="007605E0" w:rsidRDefault="007605E0" w:rsidP="007605E0">
            <w:pPr>
              <w:pStyle w:val="TAL"/>
              <w:rPr>
                <w:szCs w:val="18"/>
              </w:rPr>
            </w:pPr>
          </w:p>
        </w:tc>
        <w:tc>
          <w:tcPr>
            <w:tcW w:w="505" w:type="pct"/>
          </w:tcPr>
          <w:p w14:paraId="5D318A54" w14:textId="77777777" w:rsidR="007605E0" w:rsidRDefault="007605E0" w:rsidP="007605E0">
            <w:pPr>
              <w:pStyle w:val="TAL"/>
              <w:rPr>
                <w:szCs w:val="18"/>
              </w:rPr>
            </w:pPr>
            <w:r>
              <w:rPr>
                <w:szCs w:val="18"/>
              </w:rPr>
              <w:t>PUT</w:t>
            </w:r>
          </w:p>
        </w:tc>
        <w:tc>
          <w:tcPr>
            <w:tcW w:w="1657" w:type="pct"/>
          </w:tcPr>
          <w:p w14:paraId="5094AF47" w14:textId="77777777" w:rsidR="007605E0" w:rsidRDefault="007605E0" w:rsidP="007605E0">
            <w:pPr>
              <w:pStyle w:val="TAL"/>
              <w:rPr>
                <w:szCs w:val="18"/>
              </w:rPr>
            </w:pPr>
            <w:r>
              <w:rPr>
                <w:szCs w:val="18"/>
              </w:rPr>
              <w:t>Updates an existing Individual NWDAF ML Model Training Subscription identified by subresource {subscriptionId}.</w:t>
            </w:r>
          </w:p>
        </w:tc>
      </w:tr>
      <w:tr w:rsidR="007605E0" w14:paraId="671C4EF4" w14:textId="77777777">
        <w:trPr>
          <w:jc w:val="center"/>
        </w:trPr>
        <w:tc>
          <w:tcPr>
            <w:tcW w:w="0" w:type="auto"/>
            <w:vMerge/>
            <w:vAlign w:val="center"/>
          </w:tcPr>
          <w:p w14:paraId="09994F1F" w14:textId="77777777" w:rsidR="007605E0" w:rsidRDefault="007605E0" w:rsidP="007605E0">
            <w:pPr>
              <w:pStyle w:val="TAL"/>
              <w:rPr>
                <w:szCs w:val="18"/>
              </w:rPr>
            </w:pPr>
          </w:p>
        </w:tc>
        <w:tc>
          <w:tcPr>
            <w:tcW w:w="0" w:type="auto"/>
            <w:vMerge/>
            <w:vAlign w:val="center"/>
          </w:tcPr>
          <w:p w14:paraId="597D1DB8" w14:textId="77777777" w:rsidR="007605E0" w:rsidRDefault="007605E0" w:rsidP="007605E0">
            <w:pPr>
              <w:pStyle w:val="TAL"/>
              <w:rPr>
                <w:szCs w:val="18"/>
              </w:rPr>
            </w:pPr>
          </w:p>
        </w:tc>
        <w:tc>
          <w:tcPr>
            <w:tcW w:w="505" w:type="pct"/>
          </w:tcPr>
          <w:p w14:paraId="2FEA044C" w14:textId="77777777" w:rsidR="007605E0" w:rsidRDefault="007605E0" w:rsidP="007605E0">
            <w:pPr>
              <w:pStyle w:val="TAL"/>
              <w:rPr>
                <w:szCs w:val="18"/>
              </w:rPr>
            </w:pPr>
            <w:r>
              <w:rPr>
                <w:szCs w:val="18"/>
              </w:rPr>
              <w:t>PATCH</w:t>
            </w:r>
          </w:p>
        </w:tc>
        <w:tc>
          <w:tcPr>
            <w:tcW w:w="1657" w:type="pct"/>
          </w:tcPr>
          <w:p w14:paraId="3FB39307" w14:textId="77777777" w:rsidR="007605E0" w:rsidRDefault="007605E0" w:rsidP="007605E0">
            <w:pPr>
              <w:pStyle w:val="TAL"/>
              <w:rPr>
                <w:szCs w:val="18"/>
              </w:rPr>
            </w:pPr>
            <w:r>
              <w:rPr>
                <w:szCs w:val="18"/>
              </w:rPr>
              <w:t>Modifies an existing Individual NWDAF ML Model Training Subscription identified by subresource {subscriptionId}.</w:t>
            </w:r>
          </w:p>
        </w:tc>
      </w:tr>
    </w:tbl>
    <w:p w14:paraId="440DD78F" w14:textId="77777777" w:rsidR="00A10B25" w:rsidRDefault="00A10B25"/>
    <w:p w14:paraId="62135885" w14:textId="77777777" w:rsidR="00A10B25" w:rsidRDefault="00A10B25">
      <w:pPr>
        <w:pStyle w:val="4"/>
      </w:pPr>
      <w:bookmarkStart w:id="14445" w:name="_Toc145706001"/>
      <w:bookmarkStart w:id="14446" w:name="_Toc148522918"/>
      <w:bookmarkStart w:id="14447" w:name="_Toc136562672"/>
      <w:bookmarkStart w:id="14448" w:name="_Toc138754506"/>
      <w:bookmarkStart w:id="14449" w:name="_Toc164921106"/>
      <w:bookmarkStart w:id="14450" w:name="_Toc170120648"/>
      <w:bookmarkStart w:id="14451" w:name="_Toc175858893"/>
      <w:bookmarkStart w:id="14452" w:name="_Toc175859966"/>
      <w:bookmarkStart w:id="14453" w:name="_Toc180606256"/>
      <w:bookmarkStart w:id="14454" w:name="_Toc185517517"/>
      <w:bookmarkStart w:id="14455" w:name="_Toc191576569"/>
      <w:bookmarkStart w:id="14456" w:name="_Toc191577309"/>
      <w:bookmarkStart w:id="14457" w:name="_Toc192880379"/>
      <w:bookmarkStart w:id="14458" w:name="_Toc195815268"/>
      <w:bookmarkStart w:id="14459" w:name="_Toc199453235"/>
      <w:r>
        <w:t>5.5.3.2</w:t>
      </w:r>
      <w:r>
        <w:tab/>
        <w:t>Resource: NWDAF ML Model Training Subscriptions</w:t>
      </w:r>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p>
    <w:p w14:paraId="1B37E2C6" w14:textId="77777777" w:rsidR="00A10B25" w:rsidRDefault="00A10B25">
      <w:pPr>
        <w:pStyle w:val="5"/>
      </w:pPr>
      <w:bookmarkStart w:id="14460" w:name="_Toc136562673"/>
      <w:bookmarkStart w:id="14461" w:name="_Toc138754507"/>
      <w:bookmarkStart w:id="14462" w:name="_Toc148522919"/>
      <w:bookmarkStart w:id="14463" w:name="_Toc145706002"/>
      <w:bookmarkStart w:id="14464" w:name="_Toc164921107"/>
      <w:bookmarkStart w:id="14465" w:name="_Toc170120649"/>
      <w:bookmarkStart w:id="14466" w:name="_Toc175858894"/>
      <w:bookmarkStart w:id="14467" w:name="_Toc175859967"/>
      <w:bookmarkStart w:id="14468" w:name="_Toc180606257"/>
      <w:bookmarkStart w:id="14469" w:name="_Toc185517518"/>
      <w:bookmarkStart w:id="14470" w:name="_Toc191576570"/>
      <w:bookmarkStart w:id="14471" w:name="_Toc191577310"/>
      <w:bookmarkStart w:id="14472" w:name="_Toc192880380"/>
      <w:bookmarkStart w:id="14473" w:name="_Toc195815269"/>
      <w:bookmarkStart w:id="14474" w:name="_Toc199453236"/>
      <w:r>
        <w:t>5.5.3.2.1</w:t>
      </w:r>
      <w:r>
        <w:tab/>
        <w:t>Description</w:t>
      </w:r>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p>
    <w:p w14:paraId="4A039474" w14:textId="77777777" w:rsidR="00A10B25" w:rsidRDefault="00A10B25">
      <w:r>
        <w:t>The NWDAF ML Model Training Subscriptions resource represents all subscriptions to the Nnwdaf_MLModelTraining service at a given NWDAF. The resource allows an NF service consumer to create a new Individual NWDAF ML Model Training Subscription resource.</w:t>
      </w:r>
    </w:p>
    <w:p w14:paraId="06630DC5" w14:textId="77777777" w:rsidR="00A10B25" w:rsidRDefault="00A10B25">
      <w:pPr>
        <w:pStyle w:val="5"/>
      </w:pPr>
      <w:bookmarkStart w:id="14475" w:name="_Toc138754508"/>
      <w:bookmarkStart w:id="14476" w:name="_Toc136562674"/>
      <w:bookmarkStart w:id="14477" w:name="_Toc148522920"/>
      <w:bookmarkStart w:id="14478" w:name="_Toc145706003"/>
      <w:bookmarkStart w:id="14479" w:name="_Toc164921108"/>
      <w:bookmarkStart w:id="14480" w:name="_Toc170120650"/>
      <w:bookmarkStart w:id="14481" w:name="_Toc175858895"/>
      <w:bookmarkStart w:id="14482" w:name="_Toc175859968"/>
      <w:bookmarkStart w:id="14483" w:name="_Toc180606258"/>
      <w:bookmarkStart w:id="14484" w:name="_Toc185517519"/>
      <w:bookmarkStart w:id="14485" w:name="_Toc191576571"/>
      <w:bookmarkStart w:id="14486" w:name="_Toc191577311"/>
      <w:bookmarkStart w:id="14487" w:name="_Toc192880381"/>
      <w:bookmarkStart w:id="14488" w:name="_Toc195815270"/>
      <w:bookmarkStart w:id="14489" w:name="_Toc199453237"/>
      <w:r>
        <w:t>5.5.3.2.2</w:t>
      </w:r>
      <w:r>
        <w:tab/>
        <w:t>Resource definition</w:t>
      </w:r>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p>
    <w:p w14:paraId="2113FA10" w14:textId="77777777" w:rsidR="00A10B25" w:rsidRDefault="00A10B25">
      <w:r>
        <w:t xml:space="preserve">Resource URI: </w:t>
      </w:r>
      <w:r>
        <w:rPr>
          <w:b/>
        </w:rPr>
        <w:t>{apiRoot}/nnwdaf-mlmodeltraining/&lt;apiVersion&gt;/subscriptions</w:t>
      </w:r>
    </w:p>
    <w:p w14:paraId="166CF3D5" w14:textId="77777777" w:rsidR="00A10B25" w:rsidRDefault="00A10B25">
      <w:pPr>
        <w:rPr>
          <w:rFonts w:ascii="Arial" w:hAnsi="Arial" w:cs="Arial"/>
        </w:rPr>
      </w:pPr>
      <w:r>
        <w:t>This resource shall support the resource URI variables defined in table 5.5.3.2.2-1</w:t>
      </w:r>
      <w:r>
        <w:rPr>
          <w:rFonts w:ascii="Arial" w:hAnsi="Arial" w:cs="Arial"/>
        </w:rPr>
        <w:t>.</w:t>
      </w:r>
    </w:p>
    <w:p w14:paraId="6CD2F8CF" w14:textId="77777777" w:rsidR="00A10B25" w:rsidRDefault="00A10B25">
      <w:pPr>
        <w:pStyle w:val="TH"/>
        <w:overflowPunct w:val="0"/>
        <w:autoSpaceDE w:val="0"/>
        <w:autoSpaceDN w:val="0"/>
        <w:adjustRightInd w:val="0"/>
        <w:textAlignment w:val="baseline"/>
        <w:rPr>
          <w:rFonts w:eastAsia="MS Mincho"/>
        </w:rPr>
      </w:pPr>
      <w:r>
        <w:rPr>
          <w:rFonts w:eastAsia="MS Mincho"/>
        </w:rPr>
        <w:t>Table 5.5.3.2.2-1: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7F1B359B" w14:textId="77777777">
        <w:trPr>
          <w:jc w:val="center"/>
        </w:trPr>
        <w:tc>
          <w:tcPr>
            <w:tcW w:w="559" w:type="pct"/>
            <w:shd w:val="clear" w:color="000000" w:fill="C0C0C0"/>
          </w:tcPr>
          <w:p w14:paraId="74A01382" w14:textId="77777777" w:rsidR="00A10B25" w:rsidRDefault="00A10B25">
            <w:pPr>
              <w:pStyle w:val="TAH"/>
            </w:pPr>
            <w:r>
              <w:t>Name</w:t>
            </w:r>
          </w:p>
        </w:tc>
        <w:tc>
          <w:tcPr>
            <w:tcW w:w="636" w:type="pct"/>
            <w:shd w:val="clear" w:color="000000" w:fill="C0C0C0"/>
          </w:tcPr>
          <w:p w14:paraId="3C195B3C" w14:textId="77777777" w:rsidR="00A10B25" w:rsidRDefault="00A10B25">
            <w:pPr>
              <w:pStyle w:val="TAH"/>
            </w:pPr>
            <w:r>
              <w:rPr>
                <w:rFonts w:hint="eastAsia"/>
                <w:lang w:eastAsia="zh-CN"/>
              </w:rPr>
              <w:t>D</w:t>
            </w:r>
            <w:r>
              <w:rPr>
                <w:lang w:eastAsia="zh-CN"/>
              </w:rPr>
              <w:t>ata type</w:t>
            </w:r>
          </w:p>
        </w:tc>
        <w:tc>
          <w:tcPr>
            <w:tcW w:w="3805" w:type="pct"/>
            <w:shd w:val="clear" w:color="000000" w:fill="C0C0C0"/>
            <w:vAlign w:val="center"/>
          </w:tcPr>
          <w:p w14:paraId="33CDF420" w14:textId="77777777" w:rsidR="00A10B25" w:rsidRDefault="00A10B25">
            <w:pPr>
              <w:pStyle w:val="TAH"/>
            </w:pPr>
            <w:r>
              <w:t>Definition</w:t>
            </w:r>
          </w:p>
        </w:tc>
      </w:tr>
      <w:tr w:rsidR="00A10B25" w14:paraId="0451A2F6" w14:textId="77777777">
        <w:trPr>
          <w:jc w:val="center"/>
        </w:trPr>
        <w:tc>
          <w:tcPr>
            <w:tcW w:w="559" w:type="pct"/>
          </w:tcPr>
          <w:p w14:paraId="51E46E2C" w14:textId="77777777" w:rsidR="00A10B25" w:rsidRDefault="00A10B25">
            <w:pPr>
              <w:pStyle w:val="TAL"/>
            </w:pPr>
            <w:r>
              <w:t>apiRoot</w:t>
            </w:r>
          </w:p>
        </w:tc>
        <w:tc>
          <w:tcPr>
            <w:tcW w:w="636" w:type="pct"/>
          </w:tcPr>
          <w:p w14:paraId="4363795B" w14:textId="77777777" w:rsidR="00A10B25" w:rsidRDefault="00A10B25">
            <w:pPr>
              <w:pStyle w:val="TAL"/>
            </w:pPr>
            <w:r>
              <w:t>string</w:t>
            </w:r>
          </w:p>
        </w:tc>
        <w:tc>
          <w:tcPr>
            <w:tcW w:w="3805" w:type="pct"/>
            <w:vAlign w:val="center"/>
          </w:tcPr>
          <w:p w14:paraId="5A337D10" w14:textId="77777777" w:rsidR="00A10B25" w:rsidRDefault="00A10B25">
            <w:pPr>
              <w:pStyle w:val="TAL"/>
            </w:pPr>
            <w:r>
              <w:t>See clause</w:t>
            </w:r>
            <w:r>
              <w:rPr>
                <w:lang w:val="en-US" w:eastAsia="zh-CN"/>
              </w:rPr>
              <w:t> </w:t>
            </w:r>
            <w:r>
              <w:t>5.5.1</w:t>
            </w:r>
          </w:p>
        </w:tc>
      </w:tr>
    </w:tbl>
    <w:p w14:paraId="4AE56A2B" w14:textId="77777777" w:rsidR="00A10B25" w:rsidRDefault="00A10B25"/>
    <w:p w14:paraId="5E26D34E" w14:textId="77777777" w:rsidR="00A10B25" w:rsidRDefault="00A10B25">
      <w:pPr>
        <w:pStyle w:val="5"/>
      </w:pPr>
      <w:bookmarkStart w:id="14490" w:name="_Toc148522921"/>
      <w:bookmarkStart w:id="14491" w:name="_Toc136562675"/>
      <w:bookmarkStart w:id="14492" w:name="_Toc145706004"/>
      <w:bookmarkStart w:id="14493" w:name="_Toc138754509"/>
      <w:bookmarkStart w:id="14494" w:name="_Toc164921109"/>
      <w:bookmarkStart w:id="14495" w:name="_Toc170120651"/>
      <w:bookmarkStart w:id="14496" w:name="_Toc175858896"/>
      <w:bookmarkStart w:id="14497" w:name="_Toc175859969"/>
      <w:bookmarkStart w:id="14498" w:name="_Toc180606259"/>
      <w:bookmarkStart w:id="14499" w:name="_Toc185517520"/>
      <w:bookmarkStart w:id="14500" w:name="_Toc191576572"/>
      <w:bookmarkStart w:id="14501" w:name="_Toc191577312"/>
      <w:bookmarkStart w:id="14502" w:name="_Toc192880382"/>
      <w:bookmarkStart w:id="14503" w:name="_Toc195815271"/>
      <w:bookmarkStart w:id="14504" w:name="_Toc199453238"/>
      <w:r>
        <w:lastRenderedPageBreak/>
        <w:t>5.5.3.2.3</w:t>
      </w:r>
      <w:r>
        <w:tab/>
        <w:t>Resource Standard Methods</w:t>
      </w:r>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p>
    <w:p w14:paraId="12852F74" w14:textId="77777777" w:rsidR="00A10B25" w:rsidRDefault="00A10B25">
      <w:pPr>
        <w:pStyle w:val="6"/>
      </w:pPr>
      <w:bookmarkStart w:id="14505" w:name="_Toc136562676"/>
      <w:bookmarkStart w:id="14506" w:name="_Toc138754510"/>
      <w:bookmarkStart w:id="14507" w:name="_Toc145706005"/>
      <w:bookmarkStart w:id="14508" w:name="_Toc148522922"/>
      <w:bookmarkStart w:id="14509" w:name="_Toc164921110"/>
      <w:bookmarkStart w:id="14510" w:name="_Toc170120652"/>
      <w:bookmarkStart w:id="14511" w:name="_Toc175858897"/>
      <w:bookmarkStart w:id="14512" w:name="_Toc175859970"/>
      <w:bookmarkStart w:id="14513" w:name="_Toc180606260"/>
      <w:bookmarkStart w:id="14514" w:name="_Toc185517521"/>
      <w:bookmarkStart w:id="14515" w:name="_Toc191576573"/>
      <w:bookmarkStart w:id="14516" w:name="_Toc191577313"/>
      <w:bookmarkStart w:id="14517" w:name="_Toc192880383"/>
      <w:bookmarkStart w:id="14518" w:name="_Toc195815272"/>
      <w:bookmarkStart w:id="14519" w:name="_Toc199453239"/>
      <w:r>
        <w:t>5.5.3.2.3.1</w:t>
      </w:r>
      <w:r>
        <w:tab/>
        <w:t>POST</w:t>
      </w:r>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p>
    <w:p w14:paraId="1A7A3FFF" w14:textId="77777777" w:rsidR="00A10B25" w:rsidRDefault="00A10B25">
      <w:r>
        <w:t>This method shall support the URI query parameters specified in table 5.5.3.2.3.1-1.</w:t>
      </w:r>
    </w:p>
    <w:p w14:paraId="5EF5DEB8" w14:textId="77777777" w:rsidR="00A10B25" w:rsidRDefault="00A10B25">
      <w:pPr>
        <w:pStyle w:val="TH"/>
        <w:overflowPunct w:val="0"/>
        <w:autoSpaceDE w:val="0"/>
        <w:autoSpaceDN w:val="0"/>
        <w:adjustRightInd w:val="0"/>
        <w:textAlignment w:val="baseline"/>
        <w:rPr>
          <w:rFonts w:eastAsia="MS Mincho"/>
        </w:rPr>
      </w:pPr>
      <w:r>
        <w:rPr>
          <w:rFonts w:eastAsia="MS Mincho"/>
        </w:rPr>
        <w:t>Table 5.5.3.2.3.1-1: URI query parameters supported by the POST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0990460" w14:textId="77777777">
        <w:trPr>
          <w:jc w:val="center"/>
        </w:trPr>
        <w:tc>
          <w:tcPr>
            <w:tcW w:w="825" w:type="pct"/>
            <w:tcBorders>
              <w:bottom w:val="single" w:sz="6" w:space="0" w:color="auto"/>
            </w:tcBorders>
            <w:shd w:val="clear" w:color="auto" w:fill="C0C0C0"/>
          </w:tcPr>
          <w:p w14:paraId="196E24D1" w14:textId="77777777" w:rsidR="00A10B25" w:rsidRDefault="00A10B25">
            <w:pPr>
              <w:pStyle w:val="TAH"/>
            </w:pPr>
            <w:r>
              <w:t>Name</w:t>
            </w:r>
          </w:p>
        </w:tc>
        <w:tc>
          <w:tcPr>
            <w:tcW w:w="732" w:type="pct"/>
            <w:tcBorders>
              <w:bottom w:val="single" w:sz="6" w:space="0" w:color="auto"/>
            </w:tcBorders>
            <w:shd w:val="clear" w:color="auto" w:fill="C0C0C0"/>
          </w:tcPr>
          <w:p w14:paraId="318735F3" w14:textId="77777777" w:rsidR="00A10B25" w:rsidRDefault="00A10B25">
            <w:pPr>
              <w:pStyle w:val="TAH"/>
            </w:pPr>
            <w:r>
              <w:t>Data type</w:t>
            </w:r>
          </w:p>
        </w:tc>
        <w:tc>
          <w:tcPr>
            <w:tcW w:w="217" w:type="pct"/>
            <w:tcBorders>
              <w:bottom w:val="single" w:sz="6" w:space="0" w:color="auto"/>
            </w:tcBorders>
            <w:shd w:val="clear" w:color="auto" w:fill="C0C0C0"/>
          </w:tcPr>
          <w:p w14:paraId="2B2D84D1" w14:textId="77777777" w:rsidR="00A10B25" w:rsidRDefault="00A10B25">
            <w:pPr>
              <w:pStyle w:val="TAH"/>
            </w:pPr>
            <w:r>
              <w:t>P</w:t>
            </w:r>
          </w:p>
        </w:tc>
        <w:tc>
          <w:tcPr>
            <w:tcW w:w="581" w:type="pct"/>
            <w:tcBorders>
              <w:bottom w:val="single" w:sz="6" w:space="0" w:color="auto"/>
            </w:tcBorders>
            <w:shd w:val="clear" w:color="auto" w:fill="C0C0C0"/>
          </w:tcPr>
          <w:p w14:paraId="0C4D2217"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06218FDF" w14:textId="77777777" w:rsidR="00A10B25" w:rsidRDefault="00A10B25">
            <w:pPr>
              <w:pStyle w:val="TAH"/>
            </w:pPr>
            <w:r>
              <w:t>Description</w:t>
            </w:r>
          </w:p>
        </w:tc>
      </w:tr>
      <w:tr w:rsidR="00A10B25" w14:paraId="77BCF26B" w14:textId="77777777">
        <w:trPr>
          <w:jc w:val="center"/>
        </w:trPr>
        <w:tc>
          <w:tcPr>
            <w:tcW w:w="825" w:type="pct"/>
            <w:tcBorders>
              <w:top w:val="single" w:sz="6" w:space="0" w:color="auto"/>
            </w:tcBorders>
          </w:tcPr>
          <w:p w14:paraId="1949B0B7" w14:textId="77777777" w:rsidR="00A10B25" w:rsidRDefault="00A10B25">
            <w:pPr>
              <w:pStyle w:val="TAL"/>
            </w:pPr>
            <w:r>
              <w:t>n/a</w:t>
            </w:r>
          </w:p>
        </w:tc>
        <w:tc>
          <w:tcPr>
            <w:tcW w:w="732" w:type="pct"/>
            <w:tcBorders>
              <w:top w:val="single" w:sz="6" w:space="0" w:color="auto"/>
            </w:tcBorders>
          </w:tcPr>
          <w:p w14:paraId="3B0D2E27" w14:textId="77777777" w:rsidR="00A10B25" w:rsidRDefault="00A10B25">
            <w:pPr>
              <w:pStyle w:val="TAL"/>
            </w:pPr>
          </w:p>
        </w:tc>
        <w:tc>
          <w:tcPr>
            <w:tcW w:w="217" w:type="pct"/>
            <w:tcBorders>
              <w:top w:val="single" w:sz="6" w:space="0" w:color="auto"/>
            </w:tcBorders>
          </w:tcPr>
          <w:p w14:paraId="03B06790" w14:textId="77777777" w:rsidR="00A10B25" w:rsidRDefault="00A10B25">
            <w:pPr>
              <w:pStyle w:val="TAC"/>
            </w:pPr>
          </w:p>
        </w:tc>
        <w:tc>
          <w:tcPr>
            <w:tcW w:w="581" w:type="pct"/>
            <w:tcBorders>
              <w:top w:val="single" w:sz="6" w:space="0" w:color="auto"/>
            </w:tcBorders>
          </w:tcPr>
          <w:p w14:paraId="2181A72D" w14:textId="77777777" w:rsidR="00A10B25" w:rsidRDefault="00A10B25">
            <w:pPr>
              <w:pStyle w:val="TAL"/>
            </w:pPr>
          </w:p>
        </w:tc>
        <w:tc>
          <w:tcPr>
            <w:tcW w:w="2646" w:type="pct"/>
            <w:tcBorders>
              <w:top w:val="single" w:sz="6" w:space="0" w:color="auto"/>
            </w:tcBorders>
            <w:vAlign w:val="center"/>
          </w:tcPr>
          <w:p w14:paraId="05F7351B" w14:textId="77777777" w:rsidR="00A10B25" w:rsidRDefault="00A10B25">
            <w:pPr>
              <w:pStyle w:val="TAL"/>
            </w:pPr>
          </w:p>
        </w:tc>
      </w:tr>
    </w:tbl>
    <w:p w14:paraId="26ACFA1E" w14:textId="77777777" w:rsidR="00A10B25" w:rsidRDefault="00A10B25"/>
    <w:p w14:paraId="5504257E" w14:textId="77777777" w:rsidR="00A10B25" w:rsidRDefault="00A10B25">
      <w:r>
        <w:t>This method shall support the request data structures specified in table 5.5.3.2.3.1-2 and the response data structures and response codes specified in table 5.5.3.2.3.1-3.</w:t>
      </w:r>
    </w:p>
    <w:p w14:paraId="1B1F2F63" w14:textId="77777777" w:rsidR="00A10B25" w:rsidRDefault="00A10B25">
      <w:pPr>
        <w:pStyle w:val="TH"/>
        <w:overflowPunct w:val="0"/>
        <w:autoSpaceDE w:val="0"/>
        <w:autoSpaceDN w:val="0"/>
        <w:adjustRightInd w:val="0"/>
        <w:textAlignment w:val="baseline"/>
        <w:rPr>
          <w:rFonts w:eastAsia="MS Mincho"/>
        </w:rPr>
      </w:pPr>
      <w:r>
        <w:rPr>
          <w:rFonts w:eastAsia="MS Mincho"/>
        </w:rPr>
        <w:t>Table 5.5.3.2.3.1-2: Data structures supported by the POST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047C19C4" w14:textId="77777777">
        <w:trPr>
          <w:jc w:val="center"/>
        </w:trPr>
        <w:tc>
          <w:tcPr>
            <w:tcW w:w="1612" w:type="dxa"/>
            <w:tcBorders>
              <w:bottom w:val="single" w:sz="6" w:space="0" w:color="auto"/>
            </w:tcBorders>
            <w:shd w:val="clear" w:color="auto" w:fill="C0C0C0"/>
          </w:tcPr>
          <w:p w14:paraId="1669AFED" w14:textId="77777777" w:rsidR="00A10B25" w:rsidRDefault="00A10B25">
            <w:pPr>
              <w:pStyle w:val="TAH"/>
            </w:pPr>
            <w:r>
              <w:t>Data type</w:t>
            </w:r>
          </w:p>
        </w:tc>
        <w:tc>
          <w:tcPr>
            <w:tcW w:w="422" w:type="dxa"/>
            <w:tcBorders>
              <w:bottom w:val="single" w:sz="6" w:space="0" w:color="auto"/>
            </w:tcBorders>
            <w:shd w:val="clear" w:color="auto" w:fill="C0C0C0"/>
          </w:tcPr>
          <w:p w14:paraId="6F8ECB18" w14:textId="77777777" w:rsidR="00A10B25" w:rsidRDefault="00A10B25">
            <w:pPr>
              <w:pStyle w:val="TAH"/>
            </w:pPr>
            <w:r>
              <w:t>P</w:t>
            </w:r>
          </w:p>
        </w:tc>
        <w:tc>
          <w:tcPr>
            <w:tcW w:w="1264" w:type="dxa"/>
            <w:tcBorders>
              <w:bottom w:val="single" w:sz="6" w:space="0" w:color="auto"/>
            </w:tcBorders>
            <w:shd w:val="clear" w:color="auto" w:fill="C0C0C0"/>
          </w:tcPr>
          <w:p w14:paraId="54125A2B" w14:textId="77777777" w:rsidR="00A10B25" w:rsidRDefault="00A10B25">
            <w:pPr>
              <w:pStyle w:val="TAH"/>
            </w:pPr>
            <w:r>
              <w:t>Cardinality</w:t>
            </w:r>
          </w:p>
        </w:tc>
        <w:tc>
          <w:tcPr>
            <w:tcW w:w="6381" w:type="dxa"/>
            <w:tcBorders>
              <w:bottom w:val="single" w:sz="6" w:space="0" w:color="auto"/>
            </w:tcBorders>
            <w:shd w:val="clear" w:color="auto" w:fill="C0C0C0"/>
            <w:vAlign w:val="center"/>
          </w:tcPr>
          <w:p w14:paraId="5F1A069A" w14:textId="77777777" w:rsidR="00A10B25" w:rsidRDefault="00A10B25">
            <w:pPr>
              <w:pStyle w:val="TAH"/>
            </w:pPr>
            <w:r>
              <w:t>Description</w:t>
            </w:r>
          </w:p>
        </w:tc>
      </w:tr>
      <w:tr w:rsidR="00A10B25" w14:paraId="717E529D" w14:textId="77777777">
        <w:trPr>
          <w:jc w:val="center"/>
        </w:trPr>
        <w:tc>
          <w:tcPr>
            <w:tcW w:w="1612" w:type="dxa"/>
            <w:tcBorders>
              <w:top w:val="single" w:sz="6" w:space="0" w:color="auto"/>
            </w:tcBorders>
          </w:tcPr>
          <w:p w14:paraId="27F5232F" w14:textId="77777777" w:rsidR="00A10B25" w:rsidRDefault="00A10B25">
            <w:pPr>
              <w:pStyle w:val="TAL"/>
            </w:pPr>
            <w:r>
              <w:rPr>
                <w:rFonts w:eastAsia="等线"/>
              </w:rPr>
              <w:t>NwdafMLModelTrainSubsc</w:t>
            </w:r>
          </w:p>
        </w:tc>
        <w:tc>
          <w:tcPr>
            <w:tcW w:w="422" w:type="dxa"/>
            <w:tcBorders>
              <w:top w:val="single" w:sz="6" w:space="0" w:color="auto"/>
            </w:tcBorders>
          </w:tcPr>
          <w:p w14:paraId="025397A5" w14:textId="77777777" w:rsidR="00A10B25" w:rsidRDefault="00A10B25">
            <w:pPr>
              <w:pStyle w:val="TAC"/>
            </w:pPr>
            <w:r>
              <w:t>M</w:t>
            </w:r>
          </w:p>
        </w:tc>
        <w:tc>
          <w:tcPr>
            <w:tcW w:w="1264" w:type="dxa"/>
            <w:tcBorders>
              <w:top w:val="single" w:sz="6" w:space="0" w:color="auto"/>
            </w:tcBorders>
          </w:tcPr>
          <w:p w14:paraId="5BED590D" w14:textId="77777777" w:rsidR="00A10B25" w:rsidRDefault="00A10B25">
            <w:pPr>
              <w:pStyle w:val="TAL"/>
            </w:pPr>
            <w:r>
              <w:t>1</w:t>
            </w:r>
          </w:p>
        </w:tc>
        <w:tc>
          <w:tcPr>
            <w:tcW w:w="6381" w:type="dxa"/>
            <w:tcBorders>
              <w:top w:val="single" w:sz="6" w:space="0" w:color="auto"/>
            </w:tcBorders>
          </w:tcPr>
          <w:p w14:paraId="3B7E25D6" w14:textId="77777777" w:rsidR="00A10B25" w:rsidRDefault="00A10B25">
            <w:pPr>
              <w:pStyle w:val="TAL"/>
            </w:pPr>
            <w:r>
              <w:t>Creates a new Individual NWDAF ML Model Training Subscription resource.</w:t>
            </w:r>
          </w:p>
        </w:tc>
      </w:tr>
    </w:tbl>
    <w:p w14:paraId="16344301" w14:textId="77777777" w:rsidR="00A10B25" w:rsidRDefault="00A10B25"/>
    <w:p w14:paraId="6DFB3B7A" w14:textId="77777777" w:rsidR="003E1F9F" w:rsidRPr="00B1632D" w:rsidRDefault="003E1F9F" w:rsidP="003E1F9F">
      <w:pPr>
        <w:keepNext/>
        <w:keepLines/>
        <w:overflowPunct w:val="0"/>
        <w:autoSpaceDE w:val="0"/>
        <w:autoSpaceDN w:val="0"/>
        <w:adjustRightInd w:val="0"/>
        <w:spacing w:before="60"/>
        <w:jc w:val="center"/>
        <w:textAlignment w:val="baseline"/>
        <w:rPr>
          <w:rFonts w:ascii="Arial" w:eastAsia="MS Mincho" w:hAnsi="Arial"/>
          <w:b/>
        </w:rPr>
      </w:pPr>
      <w:r w:rsidRPr="00B1632D">
        <w:rPr>
          <w:rFonts w:ascii="Arial" w:eastAsia="MS Mincho" w:hAnsi="Arial"/>
          <w:b/>
        </w:rPr>
        <w:t>Table 5.5.3.2.3.1-3: Data structures supported by the POST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352"/>
        <w:gridCol w:w="435"/>
        <w:gridCol w:w="1236"/>
        <w:gridCol w:w="1110"/>
        <w:gridCol w:w="4407"/>
      </w:tblGrid>
      <w:tr w:rsidR="003E1F9F" w:rsidRPr="00B1632D" w14:paraId="67681387" w14:textId="77777777" w:rsidTr="005A20DD">
        <w:trPr>
          <w:jc w:val="center"/>
        </w:trPr>
        <w:tc>
          <w:tcPr>
            <w:tcW w:w="1232" w:type="pct"/>
            <w:tcBorders>
              <w:bottom w:val="single" w:sz="6" w:space="0" w:color="auto"/>
            </w:tcBorders>
            <w:shd w:val="clear" w:color="auto" w:fill="C0C0C0"/>
          </w:tcPr>
          <w:p w14:paraId="5A25A769"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Data type</w:t>
            </w:r>
          </w:p>
        </w:tc>
        <w:tc>
          <w:tcPr>
            <w:tcW w:w="228" w:type="pct"/>
            <w:tcBorders>
              <w:bottom w:val="single" w:sz="6" w:space="0" w:color="auto"/>
            </w:tcBorders>
            <w:shd w:val="clear" w:color="auto" w:fill="C0C0C0"/>
          </w:tcPr>
          <w:p w14:paraId="71945D27"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P</w:t>
            </w:r>
          </w:p>
        </w:tc>
        <w:tc>
          <w:tcPr>
            <w:tcW w:w="648" w:type="pct"/>
            <w:tcBorders>
              <w:bottom w:val="single" w:sz="6" w:space="0" w:color="auto"/>
            </w:tcBorders>
            <w:shd w:val="clear" w:color="auto" w:fill="C0C0C0"/>
          </w:tcPr>
          <w:p w14:paraId="63C6A497"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Cardinality</w:t>
            </w:r>
          </w:p>
        </w:tc>
        <w:tc>
          <w:tcPr>
            <w:tcW w:w="582" w:type="pct"/>
            <w:tcBorders>
              <w:bottom w:val="single" w:sz="6" w:space="0" w:color="auto"/>
            </w:tcBorders>
            <w:shd w:val="clear" w:color="auto" w:fill="C0C0C0"/>
          </w:tcPr>
          <w:p w14:paraId="56A525C5"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Response</w:t>
            </w:r>
          </w:p>
          <w:p w14:paraId="18A6EC82"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codes</w:t>
            </w:r>
          </w:p>
        </w:tc>
        <w:tc>
          <w:tcPr>
            <w:tcW w:w="2310" w:type="pct"/>
            <w:tcBorders>
              <w:bottom w:val="single" w:sz="6" w:space="0" w:color="auto"/>
            </w:tcBorders>
            <w:shd w:val="clear" w:color="auto" w:fill="C0C0C0"/>
          </w:tcPr>
          <w:p w14:paraId="56CBE6F4" w14:textId="77777777" w:rsidR="003E1F9F" w:rsidRPr="00B1632D" w:rsidRDefault="003E1F9F" w:rsidP="005A20DD">
            <w:pPr>
              <w:keepNext/>
              <w:keepLines/>
              <w:spacing w:after="0"/>
              <w:jc w:val="center"/>
              <w:rPr>
                <w:rFonts w:ascii="Arial" w:hAnsi="Arial"/>
                <w:b/>
                <w:sz w:val="18"/>
              </w:rPr>
            </w:pPr>
            <w:r w:rsidRPr="00B1632D">
              <w:rPr>
                <w:rFonts w:ascii="Arial" w:hAnsi="Arial"/>
                <w:b/>
                <w:sz w:val="18"/>
              </w:rPr>
              <w:t>Description</w:t>
            </w:r>
          </w:p>
        </w:tc>
      </w:tr>
      <w:tr w:rsidR="003E1F9F" w:rsidRPr="00B1632D" w14:paraId="6B083404" w14:textId="77777777" w:rsidTr="005A20DD">
        <w:trPr>
          <w:jc w:val="center"/>
        </w:trPr>
        <w:tc>
          <w:tcPr>
            <w:tcW w:w="1232" w:type="pct"/>
            <w:tcBorders>
              <w:top w:val="single" w:sz="6" w:space="0" w:color="auto"/>
            </w:tcBorders>
          </w:tcPr>
          <w:p w14:paraId="1EC209AC" w14:textId="77777777" w:rsidR="003E1F9F" w:rsidRPr="00B1632D" w:rsidRDefault="003E1F9F" w:rsidP="005A20DD">
            <w:pPr>
              <w:keepNext/>
              <w:keepLines/>
              <w:spacing w:after="0"/>
              <w:rPr>
                <w:rFonts w:ascii="Arial" w:hAnsi="Arial"/>
                <w:sz w:val="18"/>
              </w:rPr>
            </w:pPr>
            <w:r w:rsidRPr="00B1632D">
              <w:rPr>
                <w:rFonts w:ascii="Arial" w:eastAsia="等线" w:hAnsi="Arial"/>
                <w:sz w:val="18"/>
              </w:rPr>
              <w:t>NwdafMLModelTrainSubsc</w:t>
            </w:r>
          </w:p>
        </w:tc>
        <w:tc>
          <w:tcPr>
            <w:tcW w:w="228" w:type="pct"/>
            <w:tcBorders>
              <w:top w:val="single" w:sz="6" w:space="0" w:color="auto"/>
            </w:tcBorders>
          </w:tcPr>
          <w:p w14:paraId="14F9C6FB" w14:textId="77777777" w:rsidR="003E1F9F" w:rsidRPr="00B1632D" w:rsidRDefault="003E1F9F" w:rsidP="005A20DD">
            <w:pPr>
              <w:keepNext/>
              <w:keepLines/>
              <w:spacing w:after="0"/>
              <w:jc w:val="center"/>
              <w:rPr>
                <w:rFonts w:ascii="Arial" w:hAnsi="Arial"/>
                <w:sz w:val="18"/>
              </w:rPr>
            </w:pPr>
            <w:r w:rsidRPr="00B1632D">
              <w:rPr>
                <w:rFonts w:ascii="Arial" w:hAnsi="Arial"/>
                <w:sz w:val="18"/>
              </w:rPr>
              <w:t>M</w:t>
            </w:r>
          </w:p>
        </w:tc>
        <w:tc>
          <w:tcPr>
            <w:tcW w:w="648" w:type="pct"/>
            <w:tcBorders>
              <w:top w:val="single" w:sz="6" w:space="0" w:color="auto"/>
            </w:tcBorders>
          </w:tcPr>
          <w:p w14:paraId="4D534733" w14:textId="77777777" w:rsidR="003E1F9F" w:rsidRPr="00B1632D" w:rsidRDefault="003E1F9F" w:rsidP="005A20DD">
            <w:pPr>
              <w:keepNext/>
              <w:keepLines/>
              <w:spacing w:after="0"/>
              <w:rPr>
                <w:rFonts w:ascii="Arial" w:hAnsi="Arial"/>
                <w:sz w:val="18"/>
              </w:rPr>
            </w:pPr>
            <w:r w:rsidRPr="00B1632D">
              <w:rPr>
                <w:rFonts w:ascii="Arial" w:hAnsi="Arial"/>
                <w:sz w:val="18"/>
              </w:rPr>
              <w:t>1</w:t>
            </w:r>
          </w:p>
        </w:tc>
        <w:tc>
          <w:tcPr>
            <w:tcW w:w="582" w:type="pct"/>
            <w:tcBorders>
              <w:top w:val="single" w:sz="6" w:space="0" w:color="auto"/>
            </w:tcBorders>
          </w:tcPr>
          <w:p w14:paraId="0EDF5C54" w14:textId="77777777" w:rsidR="003E1F9F" w:rsidRPr="00B1632D" w:rsidRDefault="003E1F9F" w:rsidP="005A20DD">
            <w:pPr>
              <w:keepNext/>
              <w:keepLines/>
              <w:spacing w:after="0"/>
              <w:rPr>
                <w:rFonts w:ascii="Arial" w:hAnsi="Arial"/>
                <w:sz w:val="18"/>
              </w:rPr>
            </w:pPr>
            <w:r w:rsidRPr="00B1632D">
              <w:rPr>
                <w:rFonts w:ascii="Arial" w:hAnsi="Arial"/>
                <w:sz w:val="18"/>
              </w:rPr>
              <w:t>201 Created</w:t>
            </w:r>
          </w:p>
        </w:tc>
        <w:tc>
          <w:tcPr>
            <w:tcW w:w="2310" w:type="pct"/>
            <w:tcBorders>
              <w:top w:val="single" w:sz="6" w:space="0" w:color="auto"/>
            </w:tcBorders>
          </w:tcPr>
          <w:p w14:paraId="29E5AC1A" w14:textId="77777777" w:rsidR="003E1F9F" w:rsidRPr="00B1632D" w:rsidRDefault="003E1F9F" w:rsidP="005A20DD">
            <w:pPr>
              <w:keepNext/>
              <w:keepLines/>
              <w:spacing w:after="0"/>
              <w:rPr>
                <w:rFonts w:ascii="Arial" w:hAnsi="Arial"/>
                <w:sz w:val="18"/>
              </w:rPr>
            </w:pPr>
            <w:r w:rsidRPr="00B1632D">
              <w:rPr>
                <w:rFonts w:ascii="Arial" w:hAnsi="Arial"/>
                <w:sz w:val="18"/>
              </w:rPr>
              <w:t>The creation of an Individual NWDAF ML Model Training Subscription resource is confirmed and a representation of that resource is returned.</w:t>
            </w:r>
          </w:p>
        </w:tc>
      </w:tr>
      <w:tr w:rsidR="003E1F9F" w:rsidRPr="00B1632D" w14:paraId="2C7D2AC3" w14:textId="77777777" w:rsidTr="005A20DD">
        <w:trPr>
          <w:jc w:val="center"/>
        </w:trPr>
        <w:tc>
          <w:tcPr>
            <w:tcW w:w="1232" w:type="pct"/>
            <w:tcBorders>
              <w:top w:val="single" w:sz="6" w:space="0" w:color="auto"/>
            </w:tcBorders>
          </w:tcPr>
          <w:p w14:paraId="34C05DBD" w14:textId="77777777" w:rsidR="003E1F9F" w:rsidRPr="00B1632D" w:rsidRDefault="003E1F9F" w:rsidP="005A20DD">
            <w:pPr>
              <w:keepNext/>
              <w:keepLines/>
              <w:spacing w:after="0"/>
              <w:rPr>
                <w:rFonts w:ascii="Arial" w:eastAsia="等线" w:hAnsi="Arial"/>
                <w:sz w:val="18"/>
              </w:rPr>
            </w:pPr>
            <w:r w:rsidRPr="00B1632D">
              <w:rPr>
                <w:rFonts w:ascii="Arial" w:hAnsi="Arial"/>
                <w:sz w:val="18"/>
                <w:lang w:eastAsia="zh-CN"/>
              </w:rPr>
              <w:t>ProblemDetails</w:t>
            </w:r>
          </w:p>
        </w:tc>
        <w:tc>
          <w:tcPr>
            <w:tcW w:w="228" w:type="pct"/>
            <w:tcBorders>
              <w:top w:val="single" w:sz="6" w:space="0" w:color="auto"/>
            </w:tcBorders>
          </w:tcPr>
          <w:p w14:paraId="52D8DEDF" w14:textId="77777777" w:rsidR="003E1F9F" w:rsidRPr="00B1632D" w:rsidRDefault="003E1F9F" w:rsidP="005A20DD">
            <w:pPr>
              <w:keepNext/>
              <w:keepLines/>
              <w:spacing w:after="0"/>
              <w:jc w:val="center"/>
              <w:rPr>
                <w:rFonts w:ascii="Arial" w:hAnsi="Arial"/>
                <w:sz w:val="18"/>
              </w:rPr>
            </w:pPr>
            <w:r w:rsidRPr="00B1632D">
              <w:rPr>
                <w:rFonts w:ascii="Arial" w:hAnsi="Arial"/>
                <w:sz w:val="18"/>
                <w:lang w:eastAsia="zh-CN"/>
              </w:rPr>
              <w:t>O</w:t>
            </w:r>
          </w:p>
        </w:tc>
        <w:tc>
          <w:tcPr>
            <w:tcW w:w="648" w:type="pct"/>
            <w:tcBorders>
              <w:top w:val="single" w:sz="6" w:space="0" w:color="auto"/>
            </w:tcBorders>
          </w:tcPr>
          <w:p w14:paraId="64EAE83A" w14:textId="77777777" w:rsidR="003E1F9F" w:rsidRPr="00B1632D" w:rsidRDefault="003E1F9F" w:rsidP="005A20DD">
            <w:pPr>
              <w:keepNext/>
              <w:keepLines/>
              <w:spacing w:after="0"/>
              <w:rPr>
                <w:rFonts w:ascii="Arial" w:hAnsi="Arial"/>
                <w:sz w:val="18"/>
              </w:rPr>
            </w:pPr>
            <w:r w:rsidRPr="00B1632D">
              <w:rPr>
                <w:rFonts w:ascii="Arial" w:hAnsi="Arial"/>
                <w:sz w:val="18"/>
                <w:lang w:eastAsia="zh-CN"/>
              </w:rPr>
              <w:t>0..1</w:t>
            </w:r>
          </w:p>
        </w:tc>
        <w:tc>
          <w:tcPr>
            <w:tcW w:w="582" w:type="pct"/>
            <w:tcBorders>
              <w:top w:val="single" w:sz="6" w:space="0" w:color="auto"/>
            </w:tcBorders>
          </w:tcPr>
          <w:p w14:paraId="22DBE365" w14:textId="77777777" w:rsidR="003E1F9F" w:rsidRPr="00B1632D" w:rsidRDefault="003E1F9F" w:rsidP="005A20DD">
            <w:pPr>
              <w:keepNext/>
              <w:keepLines/>
              <w:spacing w:after="0"/>
              <w:rPr>
                <w:rFonts w:ascii="Arial" w:hAnsi="Arial"/>
                <w:sz w:val="18"/>
              </w:rPr>
            </w:pPr>
            <w:r>
              <w:rPr>
                <w:rFonts w:ascii="Arial" w:hAnsi="Arial"/>
                <w:sz w:val="18"/>
                <w:lang w:eastAsia="zh-CN"/>
              </w:rPr>
              <w:t>403</w:t>
            </w:r>
            <w:r w:rsidRPr="00B1632D">
              <w:rPr>
                <w:rFonts w:ascii="Arial" w:hAnsi="Arial"/>
                <w:sz w:val="18"/>
              </w:rPr>
              <w:t xml:space="preserve"> </w:t>
            </w:r>
            <w:r>
              <w:rPr>
                <w:rFonts w:ascii="Arial" w:hAnsi="Arial"/>
                <w:sz w:val="18"/>
              </w:rPr>
              <w:t>Forbidden</w:t>
            </w:r>
          </w:p>
        </w:tc>
        <w:tc>
          <w:tcPr>
            <w:tcW w:w="2310" w:type="pct"/>
            <w:tcBorders>
              <w:top w:val="single" w:sz="6" w:space="0" w:color="auto"/>
            </w:tcBorders>
          </w:tcPr>
          <w:p w14:paraId="68AF69DD" w14:textId="77777777" w:rsidR="003E1F9F" w:rsidRPr="00B1632D" w:rsidRDefault="003E1F9F" w:rsidP="005A20DD">
            <w:pPr>
              <w:keepNext/>
              <w:keepLines/>
              <w:spacing w:after="0"/>
              <w:rPr>
                <w:rFonts w:ascii="Arial" w:hAnsi="Arial"/>
                <w:sz w:val="18"/>
              </w:rPr>
            </w:pPr>
            <w:r w:rsidRPr="00B1632D">
              <w:rPr>
                <w:rFonts w:ascii="Arial" w:hAnsi="Arial"/>
                <w:sz w:val="18"/>
              </w:rPr>
              <w:t>(NOTE 2)</w:t>
            </w:r>
          </w:p>
        </w:tc>
      </w:tr>
      <w:tr w:rsidR="003E1F9F" w:rsidRPr="00B1632D" w14:paraId="4E157C7B" w14:textId="77777777" w:rsidTr="005A20DD">
        <w:trPr>
          <w:jc w:val="center"/>
        </w:trPr>
        <w:tc>
          <w:tcPr>
            <w:tcW w:w="1232" w:type="pct"/>
            <w:tcBorders>
              <w:top w:val="single" w:sz="6" w:space="0" w:color="auto"/>
            </w:tcBorders>
          </w:tcPr>
          <w:p w14:paraId="58DE4EC2" w14:textId="77777777" w:rsidR="003E1F9F" w:rsidRPr="00B1632D" w:rsidRDefault="003E1F9F" w:rsidP="005A20DD">
            <w:pPr>
              <w:keepNext/>
              <w:keepLines/>
              <w:spacing w:after="0"/>
              <w:rPr>
                <w:rFonts w:ascii="Arial" w:eastAsia="等线" w:hAnsi="Arial"/>
                <w:sz w:val="18"/>
              </w:rPr>
            </w:pPr>
            <w:r w:rsidRPr="00B1632D">
              <w:rPr>
                <w:rFonts w:ascii="Arial" w:hAnsi="Arial"/>
                <w:sz w:val="18"/>
                <w:lang w:eastAsia="zh-CN"/>
              </w:rPr>
              <w:t>ProblemDetails</w:t>
            </w:r>
          </w:p>
        </w:tc>
        <w:tc>
          <w:tcPr>
            <w:tcW w:w="228" w:type="pct"/>
            <w:tcBorders>
              <w:top w:val="single" w:sz="6" w:space="0" w:color="auto"/>
            </w:tcBorders>
          </w:tcPr>
          <w:p w14:paraId="63805319" w14:textId="77777777" w:rsidR="003E1F9F" w:rsidRPr="00B1632D" w:rsidRDefault="003E1F9F" w:rsidP="005A20DD">
            <w:pPr>
              <w:keepNext/>
              <w:keepLines/>
              <w:spacing w:after="0"/>
              <w:jc w:val="center"/>
              <w:rPr>
                <w:rFonts w:ascii="Arial" w:hAnsi="Arial"/>
                <w:sz w:val="18"/>
              </w:rPr>
            </w:pPr>
            <w:r w:rsidRPr="00B1632D">
              <w:rPr>
                <w:rFonts w:ascii="Arial" w:hAnsi="Arial"/>
                <w:sz w:val="18"/>
                <w:lang w:eastAsia="zh-CN"/>
              </w:rPr>
              <w:t>O</w:t>
            </w:r>
          </w:p>
        </w:tc>
        <w:tc>
          <w:tcPr>
            <w:tcW w:w="648" w:type="pct"/>
            <w:tcBorders>
              <w:top w:val="single" w:sz="6" w:space="0" w:color="auto"/>
            </w:tcBorders>
          </w:tcPr>
          <w:p w14:paraId="4D00D221" w14:textId="77777777" w:rsidR="003E1F9F" w:rsidRPr="00B1632D" w:rsidRDefault="003E1F9F" w:rsidP="005A20DD">
            <w:pPr>
              <w:keepNext/>
              <w:keepLines/>
              <w:spacing w:after="0"/>
              <w:rPr>
                <w:rFonts w:ascii="Arial" w:hAnsi="Arial"/>
                <w:sz w:val="18"/>
              </w:rPr>
            </w:pPr>
            <w:r w:rsidRPr="00B1632D">
              <w:rPr>
                <w:rFonts w:ascii="Arial" w:hAnsi="Arial"/>
                <w:sz w:val="18"/>
                <w:lang w:eastAsia="zh-CN"/>
              </w:rPr>
              <w:t>0..1</w:t>
            </w:r>
          </w:p>
        </w:tc>
        <w:tc>
          <w:tcPr>
            <w:tcW w:w="582" w:type="pct"/>
            <w:tcBorders>
              <w:top w:val="single" w:sz="6" w:space="0" w:color="auto"/>
            </w:tcBorders>
          </w:tcPr>
          <w:p w14:paraId="338A12FB" w14:textId="77777777" w:rsidR="003E1F9F" w:rsidRPr="00B1632D" w:rsidRDefault="003E1F9F" w:rsidP="005A20DD">
            <w:pPr>
              <w:keepNext/>
              <w:keepLines/>
              <w:spacing w:after="0"/>
              <w:rPr>
                <w:rFonts w:ascii="Arial" w:hAnsi="Arial"/>
                <w:sz w:val="18"/>
              </w:rPr>
            </w:pPr>
            <w:r w:rsidRPr="00B1632D">
              <w:rPr>
                <w:rFonts w:ascii="Arial" w:hAnsi="Arial" w:hint="eastAsia"/>
                <w:sz w:val="18"/>
                <w:lang w:eastAsia="zh-CN"/>
              </w:rPr>
              <w:t>5</w:t>
            </w:r>
            <w:r w:rsidRPr="00B1632D">
              <w:rPr>
                <w:rFonts w:ascii="Arial" w:hAnsi="Arial"/>
                <w:sz w:val="18"/>
                <w:lang w:eastAsia="zh-CN"/>
              </w:rPr>
              <w:t>0</w:t>
            </w:r>
            <w:r w:rsidRPr="00B1632D">
              <w:rPr>
                <w:rFonts w:ascii="Arial" w:hAnsi="Arial"/>
                <w:sz w:val="18"/>
              </w:rPr>
              <w:t>0 Internal Server Error</w:t>
            </w:r>
          </w:p>
        </w:tc>
        <w:tc>
          <w:tcPr>
            <w:tcW w:w="2310" w:type="pct"/>
            <w:tcBorders>
              <w:top w:val="single" w:sz="6" w:space="0" w:color="auto"/>
            </w:tcBorders>
          </w:tcPr>
          <w:p w14:paraId="5306FC9A" w14:textId="77777777" w:rsidR="003E1F9F" w:rsidRPr="00B1632D" w:rsidRDefault="003E1F9F" w:rsidP="005A20DD">
            <w:pPr>
              <w:keepNext/>
              <w:keepLines/>
              <w:spacing w:after="0"/>
              <w:rPr>
                <w:rFonts w:ascii="Arial" w:hAnsi="Arial"/>
                <w:sz w:val="18"/>
              </w:rPr>
            </w:pPr>
            <w:r w:rsidRPr="00B1632D">
              <w:rPr>
                <w:rFonts w:ascii="Arial" w:hAnsi="Arial"/>
                <w:sz w:val="18"/>
              </w:rPr>
              <w:t>(NOTE 2)</w:t>
            </w:r>
          </w:p>
        </w:tc>
      </w:tr>
      <w:tr w:rsidR="003E1F9F" w:rsidRPr="00B1632D" w14:paraId="6723EBD3" w14:textId="77777777" w:rsidTr="005A20DD">
        <w:tblPrEx>
          <w:tblCellMar>
            <w:right w:w="115" w:type="dxa"/>
          </w:tblCellMar>
        </w:tblPrEx>
        <w:trPr>
          <w:jc w:val="center"/>
        </w:trPr>
        <w:tc>
          <w:tcPr>
            <w:tcW w:w="5000" w:type="pct"/>
            <w:gridSpan w:val="5"/>
          </w:tcPr>
          <w:p w14:paraId="2955610A" w14:textId="77777777" w:rsidR="003E1F9F" w:rsidRPr="00B1632D" w:rsidRDefault="003E1F9F" w:rsidP="005A20DD">
            <w:pPr>
              <w:keepNext/>
              <w:keepLines/>
              <w:spacing w:after="0"/>
              <w:ind w:left="851" w:hanging="851"/>
              <w:rPr>
                <w:rFonts w:ascii="Arial" w:hAnsi="Arial"/>
                <w:sz w:val="18"/>
              </w:rPr>
            </w:pPr>
            <w:r w:rsidRPr="00B1632D">
              <w:rPr>
                <w:rFonts w:ascii="Arial" w:hAnsi="Arial"/>
                <w:sz w:val="18"/>
              </w:rPr>
              <w:t>NOTE 1:</w:t>
            </w:r>
            <w:r w:rsidRPr="00B1632D">
              <w:rPr>
                <w:rFonts w:ascii="Arial" w:hAnsi="Arial"/>
                <w:sz w:val="18"/>
                <w:lang w:eastAsia="en-GB"/>
              </w:rPr>
              <w:tab/>
              <w:t xml:space="preserve">The mandatory </w:t>
            </w:r>
            <w:r w:rsidRPr="00B1632D">
              <w:rPr>
                <w:rFonts w:ascii="Arial" w:hAnsi="Arial"/>
                <w:sz w:val="18"/>
              </w:rPr>
              <w:t>HTTP error status codes for the POST method listed in table 5.2.7.1-1 of 3GPP TS 29.500 [6] also apply.</w:t>
            </w:r>
          </w:p>
          <w:p w14:paraId="4B7874C1" w14:textId="77777777" w:rsidR="003E1F9F" w:rsidRPr="00B1632D" w:rsidRDefault="003E1F9F" w:rsidP="005A20DD">
            <w:pPr>
              <w:keepNext/>
              <w:keepLines/>
              <w:spacing w:after="0"/>
              <w:ind w:left="851" w:hanging="851"/>
              <w:rPr>
                <w:rFonts w:ascii="Arial" w:hAnsi="Arial"/>
                <w:sz w:val="18"/>
                <w:lang w:eastAsia="en-GB"/>
              </w:rPr>
            </w:pPr>
            <w:r w:rsidRPr="00B1632D">
              <w:rPr>
                <w:rFonts w:ascii="Arial" w:hAnsi="Arial"/>
                <w:sz w:val="18"/>
              </w:rPr>
              <w:t>NOTE 2:</w:t>
            </w:r>
            <w:r w:rsidRPr="00B1632D">
              <w:rPr>
                <w:rFonts w:ascii="Arial" w:hAnsi="Arial"/>
                <w:sz w:val="18"/>
              </w:rPr>
              <w:tab/>
              <w:t>Failure causes are described in subclause 5.5.7.3.</w:t>
            </w:r>
          </w:p>
        </w:tc>
      </w:tr>
    </w:tbl>
    <w:p w14:paraId="681AE414" w14:textId="77777777" w:rsidR="003E1F9F" w:rsidRPr="00B1632D" w:rsidRDefault="003E1F9F" w:rsidP="003E1F9F"/>
    <w:p w14:paraId="6AACB8B7" w14:textId="77777777" w:rsidR="00A10B25" w:rsidRDefault="00A10B25">
      <w:pPr>
        <w:pStyle w:val="TH"/>
      </w:pPr>
      <w:r>
        <w:t>Table</w:t>
      </w:r>
      <w:r>
        <w:rPr>
          <w:lang w:val="en-US" w:eastAsia="zh-CN"/>
        </w:rPr>
        <w:t> </w:t>
      </w:r>
      <w:r>
        <w:rPr>
          <w:rFonts w:eastAsia="MS Mincho"/>
        </w:rPr>
        <w:t>5.5.3.2.3.1</w:t>
      </w:r>
      <w:r>
        <w:t xml:space="preserve">-4: Headers supported by the 201 Response Code on this resource </w:t>
      </w:r>
    </w:p>
    <w:tbl>
      <w:tblPr>
        <w:tblW w:w="0" w:type="auto"/>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5BED37E6" w14:textId="77777777">
        <w:trPr>
          <w:jc w:val="center"/>
        </w:trPr>
        <w:tc>
          <w:tcPr>
            <w:tcW w:w="1832" w:type="dxa"/>
            <w:tcBorders>
              <w:bottom w:val="single" w:sz="6" w:space="0" w:color="auto"/>
            </w:tcBorders>
            <w:shd w:val="clear" w:color="auto" w:fill="C0C0C0"/>
          </w:tcPr>
          <w:p w14:paraId="7F37426E" w14:textId="77777777" w:rsidR="00A10B25" w:rsidRDefault="00A10B25">
            <w:pPr>
              <w:pStyle w:val="TAH"/>
            </w:pPr>
            <w:r>
              <w:t>Name</w:t>
            </w:r>
          </w:p>
        </w:tc>
        <w:tc>
          <w:tcPr>
            <w:tcW w:w="1559" w:type="dxa"/>
            <w:tcBorders>
              <w:bottom w:val="single" w:sz="6" w:space="0" w:color="auto"/>
            </w:tcBorders>
            <w:shd w:val="clear" w:color="auto" w:fill="C0C0C0"/>
          </w:tcPr>
          <w:p w14:paraId="05FC8321" w14:textId="77777777" w:rsidR="00A10B25" w:rsidRDefault="00A10B25">
            <w:pPr>
              <w:pStyle w:val="TAH"/>
            </w:pPr>
            <w:r>
              <w:t>Data type</w:t>
            </w:r>
          </w:p>
        </w:tc>
        <w:tc>
          <w:tcPr>
            <w:tcW w:w="426" w:type="dxa"/>
            <w:tcBorders>
              <w:bottom w:val="single" w:sz="6" w:space="0" w:color="auto"/>
            </w:tcBorders>
            <w:shd w:val="clear" w:color="auto" w:fill="C0C0C0"/>
          </w:tcPr>
          <w:p w14:paraId="433F448E" w14:textId="77777777" w:rsidR="00A10B25" w:rsidRDefault="00A10B25">
            <w:pPr>
              <w:pStyle w:val="TAH"/>
            </w:pPr>
            <w:r>
              <w:t>P</w:t>
            </w:r>
          </w:p>
        </w:tc>
        <w:tc>
          <w:tcPr>
            <w:tcW w:w="1275" w:type="dxa"/>
            <w:tcBorders>
              <w:bottom w:val="single" w:sz="6" w:space="0" w:color="auto"/>
            </w:tcBorders>
            <w:shd w:val="clear" w:color="auto" w:fill="C0C0C0"/>
          </w:tcPr>
          <w:p w14:paraId="6D35E4EF" w14:textId="77777777" w:rsidR="00A10B25" w:rsidRDefault="00A10B25">
            <w:pPr>
              <w:pStyle w:val="TAH"/>
            </w:pPr>
            <w:r>
              <w:t>Cardinality</w:t>
            </w:r>
          </w:p>
        </w:tc>
        <w:tc>
          <w:tcPr>
            <w:tcW w:w="4524" w:type="dxa"/>
            <w:tcBorders>
              <w:bottom w:val="single" w:sz="6" w:space="0" w:color="auto"/>
            </w:tcBorders>
            <w:shd w:val="clear" w:color="auto" w:fill="C0C0C0"/>
            <w:vAlign w:val="center"/>
          </w:tcPr>
          <w:p w14:paraId="479C8D80" w14:textId="77777777" w:rsidR="00A10B25" w:rsidRDefault="00A10B25">
            <w:pPr>
              <w:pStyle w:val="TAH"/>
            </w:pPr>
            <w:r>
              <w:t>Description</w:t>
            </w:r>
          </w:p>
        </w:tc>
      </w:tr>
      <w:tr w:rsidR="00A10B25" w14:paraId="1D118648" w14:textId="77777777">
        <w:trPr>
          <w:jc w:val="center"/>
        </w:trPr>
        <w:tc>
          <w:tcPr>
            <w:tcW w:w="1832" w:type="dxa"/>
            <w:tcBorders>
              <w:top w:val="single" w:sz="6" w:space="0" w:color="auto"/>
            </w:tcBorders>
          </w:tcPr>
          <w:p w14:paraId="36864893" w14:textId="77777777" w:rsidR="00A10B25" w:rsidRDefault="00A10B25">
            <w:pPr>
              <w:pStyle w:val="TAL"/>
            </w:pPr>
            <w:r>
              <w:t>Location</w:t>
            </w:r>
          </w:p>
        </w:tc>
        <w:tc>
          <w:tcPr>
            <w:tcW w:w="1559" w:type="dxa"/>
            <w:tcBorders>
              <w:top w:val="single" w:sz="6" w:space="0" w:color="auto"/>
            </w:tcBorders>
          </w:tcPr>
          <w:p w14:paraId="589AF6F5" w14:textId="77777777" w:rsidR="00A10B25" w:rsidRDefault="00A10B25">
            <w:pPr>
              <w:pStyle w:val="TAL"/>
            </w:pPr>
            <w:r>
              <w:t>string</w:t>
            </w:r>
          </w:p>
        </w:tc>
        <w:tc>
          <w:tcPr>
            <w:tcW w:w="426" w:type="dxa"/>
            <w:tcBorders>
              <w:top w:val="single" w:sz="6" w:space="0" w:color="auto"/>
            </w:tcBorders>
          </w:tcPr>
          <w:p w14:paraId="4C0100C0" w14:textId="77777777" w:rsidR="00A10B25" w:rsidRDefault="00A10B25">
            <w:pPr>
              <w:pStyle w:val="TAC"/>
            </w:pPr>
            <w:r>
              <w:t>M</w:t>
            </w:r>
          </w:p>
        </w:tc>
        <w:tc>
          <w:tcPr>
            <w:tcW w:w="1275" w:type="dxa"/>
            <w:tcBorders>
              <w:top w:val="single" w:sz="6" w:space="0" w:color="auto"/>
            </w:tcBorders>
          </w:tcPr>
          <w:p w14:paraId="5D86A73B" w14:textId="77777777" w:rsidR="00A10B25" w:rsidRDefault="00A10B25">
            <w:pPr>
              <w:pStyle w:val="TAL"/>
            </w:pPr>
            <w:r>
              <w:t>1</w:t>
            </w:r>
          </w:p>
        </w:tc>
        <w:tc>
          <w:tcPr>
            <w:tcW w:w="4524" w:type="dxa"/>
            <w:tcBorders>
              <w:top w:val="single" w:sz="6" w:space="0" w:color="auto"/>
            </w:tcBorders>
            <w:vAlign w:val="center"/>
          </w:tcPr>
          <w:p w14:paraId="11CA6857" w14:textId="77777777" w:rsidR="00A10B25" w:rsidRDefault="00A10B25">
            <w:pPr>
              <w:pStyle w:val="TAL"/>
            </w:pPr>
            <w:r>
              <w:t>Contains the URI of the newly created resource, according to the structure: {apiRoot}/nnwdaf-mlmodeltraining/&lt;apiVersion&gt;/subscriptions/{subscriptionId}</w:t>
            </w:r>
          </w:p>
        </w:tc>
      </w:tr>
    </w:tbl>
    <w:p w14:paraId="4459463B" w14:textId="77777777" w:rsidR="00A10B25" w:rsidRDefault="00A10B25"/>
    <w:p w14:paraId="2FE8299D" w14:textId="77777777" w:rsidR="00A10B25" w:rsidRDefault="00A10B25">
      <w:pPr>
        <w:pStyle w:val="5"/>
      </w:pPr>
      <w:bookmarkStart w:id="14520" w:name="_Toc145706006"/>
      <w:bookmarkStart w:id="14521" w:name="_Toc136562677"/>
      <w:bookmarkStart w:id="14522" w:name="_Toc148522923"/>
      <w:bookmarkStart w:id="14523" w:name="_Toc138754511"/>
      <w:bookmarkStart w:id="14524" w:name="_Toc164921111"/>
      <w:bookmarkStart w:id="14525" w:name="_Toc170120653"/>
      <w:bookmarkStart w:id="14526" w:name="_Toc175858898"/>
      <w:bookmarkStart w:id="14527" w:name="_Toc175859971"/>
      <w:bookmarkStart w:id="14528" w:name="_Toc180606261"/>
      <w:bookmarkStart w:id="14529" w:name="_Toc185517522"/>
      <w:bookmarkStart w:id="14530" w:name="_Toc191576574"/>
      <w:bookmarkStart w:id="14531" w:name="_Toc191577314"/>
      <w:bookmarkStart w:id="14532" w:name="_Toc192880384"/>
      <w:bookmarkStart w:id="14533" w:name="_Toc195815273"/>
      <w:bookmarkStart w:id="14534" w:name="_Toc199453240"/>
      <w:r>
        <w:t>5.5.3.2.4</w:t>
      </w:r>
      <w:r>
        <w:tab/>
        <w:t>Resource Custom Operations</w:t>
      </w:r>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78914040" w14:textId="77777777" w:rsidR="00A10B25" w:rsidRDefault="00A10B25">
      <w:pPr>
        <w:rPr>
          <w:lang w:val="en-US" w:eastAsia="zh-CN"/>
        </w:rPr>
      </w:pPr>
      <w:r>
        <w:t>None in this release of the specification.</w:t>
      </w:r>
    </w:p>
    <w:p w14:paraId="775ADDBE" w14:textId="77777777" w:rsidR="00A10B25" w:rsidRDefault="00A10B25">
      <w:pPr>
        <w:pStyle w:val="4"/>
      </w:pPr>
      <w:bookmarkStart w:id="14535" w:name="_Toc145706007"/>
      <w:bookmarkStart w:id="14536" w:name="_Toc148522924"/>
      <w:bookmarkStart w:id="14537" w:name="_Toc138754512"/>
      <w:bookmarkStart w:id="14538" w:name="_Toc136562678"/>
      <w:bookmarkStart w:id="14539" w:name="_Toc164921112"/>
      <w:bookmarkStart w:id="14540" w:name="_Toc170120654"/>
      <w:bookmarkStart w:id="14541" w:name="_Toc175858899"/>
      <w:bookmarkStart w:id="14542" w:name="_Toc175859972"/>
      <w:bookmarkStart w:id="14543" w:name="_Toc180606262"/>
      <w:bookmarkStart w:id="14544" w:name="_Toc185517523"/>
      <w:bookmarkStart w:id="14545" w:name="_Toc191576575"/>
      <w:bookmarkStart w:id="14546" w:name="_Toc191577315"/>
      <w:bookmarkStart w:id="14547" w:name="_Toc192880385"/>
      <w:bookmarkStart w:id="14548" w:name="_Toc195815274"/>
      <w:bookmarkStart w:id="14549" w:name="_Toc199453241"/>
      <w:r>
        <w:t>5.5.3.3</w:t>
      </w:r>
      <w:r>
        <w:tab/>
        <w:t>Resource: Individual NWDAF ML Model Training Subscription</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p>
    <w:p w14:paraId="73F9C405" w14:textId="77777777" w:rsidR="00A10B25" w:rsidRDefault="00A10B25">
      <w:pPr>
        <w:pStyle w:val="5"/>
      </w:pPr>
      <w:bookmarkStart w:id="14550" w:name="_Toc145706008"/>
      <w:bookmarkStart w:id="14551" w:name="_Toc136562679"/>
      <w:bookmarkStart w:id="14552" w:name="_Toc138754513"/>
      <w:bookmarkStart w:id="14553" w:name="_Toc148522925"/>
      <w:bookmarkStart w:id="14554" w:name="_Toc164921113"/>
      <w:bookmarkStart w:id="14555" w:name="_Toc170120655"/>
      <w:bookmarkStart w:id="14556" w:name="_Toc175858900"/>
      <w:bookmarkStart w:id="14557" w:name="_Toc175859973"/>
      <w:bookmarkStart w:id="14558" w:name="_Toc180606263"/>
      <w:bookmarkStart w:id="14559" w:name="_Toc185517524"/>
      <w:bookmarkStart w:id="14560" w:name="_Toc191576576"/>
      <w:bookmarkStart w:id="14561" w:name="_Toc191577316"/>
      <w:bookmarkStart w:id="14562" w:name="_Toc192880386"/>
      <w:bookmarkStart w:id="14563" w:name="_Toc195815275"/>
      <w:bookmarkStart w:id="14564" w:name="_Toc199453242"/>
      <w:r>
        <w:t>5.5.3.3.1</w:t>
      </w:r>
      <w:r>
        <w:tab/>
        <w:t>Description</w:t>
      </w:r>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p>
    <w:p w14:paraId="4FE1F9B6" w14:textId="77777777" w:rsidR="00A10B25" w:rsidRDefault="00A10B25">
      <w:r>
        <w:t>The Individual NWDAF ML Model Training Subscription resource represents a single subscription to the Nnwdaf_MLModelTraining service at a given NWDAF.</w:t>
      </w:r>
    </w:p>
    <w:p w14:paraId="2B35ABBC" w14:textId="77777777" w:rsidR="00A10B25" w:rsidRDefault="00A10B25">
      <w:pPr>
        <w:pStyle w:val="5"/>
      </w:pPr>
      <w:bookmarkStart w:id="14565" w:name="_Toc138754514"/>
      <w:bookmarkStart w:id="14566" w:name="_Toc148522926"/>
      <w:bookmarkStart w:id="14567" w:name="_Toc145706009"/>
      <w:bookmarkStart w:id="14568" w:name="_Toc136562680"/>
      <w:bookmarkStart w:id="14569" w:name="_Toc164921114"/>
      <w:bookmarkStart w:id="14570" w:name="_Toc170120656"/>
      <w:bookmarkStart w:id="14571" w:name="_Toc175858901"/>
      <w:bookmarkStart w:id="14572" w:name="_Toc175859974"/>
      <w:bookmarkStart w:id="14573" w:name="_Toc180606264"/>
      <w:bookmarkStart w:id="14574" w:name="_Toc185517525"/>
      <w:bookmarkStart w:id="14575" w:name="_Toc191576577"/>
      <w:bookmarkStart w:id="14576" w:name="_Toc191577317"/>
      <w:bookmarkStart w:id="14577" w:name="_Toc192880387"/>
      <w:bookmarkStart w:id="14578" w:name="_Toc195815276"/>
      <w:bookmarkStart w:id="14579" w:name="_Toc199453243"/>
      <w:r>
        <w:t>5.5.3.3.2</w:t>
      </w:r>
      <w:r>
        <w:tab/>
        <w:t>Resource definition</w:t>
      </w:r>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p>
    <w:p w14:paraId="450A255C" w14:textId="77777777" w:rsidR="00A10B25" w:rsidRDefault="00A10B25">
      <w:r>
        <w:t xml:space="preserve">Resource URI: </w:t>
      </w:r>
      <w:r>
        <w:rPr>
          <w:b/>
        </w:rPr>
        <w:t>{apiRoot}/nnwdaf-mlmodeltraining/&lt;apiVersion&gt;/subscriptions/{subscriptionId}</w:t>
      </w:r>
    </w:p>
    <w:p w14:paraId="31482100" w14:textId="77777777" w:rsidR="00A10B25" w:rsidRDefault="00A10B25">
      <w:pPr>
        <w:rPr>
          <w:lang w:val="en-US"/>
        </w:rPr>
      </w:pPr>
      <w:r>
        <w:rPr>
          <w:lang w:val="en-US" w:eastAsia="zh-CN"/>
        </w:rPr>
        <w:lastRenderedPageBreak/>
        <w:t>The &lt;apiVersion&gt; shall be set as described in clause</w:t>
      </w:r>
      <w:r>
        <w:rPr>
          <w:lang w:val="en-US" w:eastAsia="zh-CN"/>
        </w:rPr>
        <w:t> 5.5</w:t>
      </w:r>
      <w:r>
        <w:rPr>
          <w:lang w:val="en-US" w:eastAsia="zh-CN"/>
        </w:rPr>
        <w:t>.1</w:t>
      </w:r>
      <w:r>
        <w:rPr>
          <w:lang w:val="en-US" w:eastAsia="zh-CN"/>
        </w:rPr>
        <w:t>.</w:t>
      </w:r>
    </w:p>
    <w:p w14:paraId="3726CA07" w14:textId="77777777" w:rsidR="00A10B25" w:rsidRDefault="00A10B25">
      <w:r>
        <w:t>This resource shall support the resource URI variables defined in table 5.5.3.3.2-1</w:t>
      </w:r>
      <w:r>
        <w:rPr>
          <w:rFonts w:ascii="Arial" w:hAnsi="Arial" w:cs="Arial"/>
        </w:rPr>
        <w:t>.</w:t>
      </w:r>
    </w:p>
    <w:p w14:paraId="66213DE4" w14:textId="77777777" w:rsidR="00A10B25" w:rsidRDefault="00A10B25">
      <w:pPr>
        <w:pStyle w:val="TH"/>
      </w:pPr>
      <w:r>
        <w:t>Table 5.5.3.3.2-1: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32EA0D0C" w14:textId="77777777">
        <w:trPr>
          <w:jc w:val="center"/>
        </w:trPr>
        <w:tc>
          <w:tcPr>
            <w:tcW w:w="639" w:type="pct"/>
            <w:shd w:val="clear" w:color="000000" w:fill="C0C0C0"/>
          </w:tcPr>
          <w:p w14:paraId="24503B62" w14:textId="77777777" w:rsidR="00A10B25" w:rsidRDefault="00A10B25">
            <w:pPr>
              <w:pStyle w:val="TAH"/>
            </w:pPr>
            <w:r>
              <w:t>Name</w:t>
            </w:r>
          </w:p>
        </w:tc>
        <w:tc>
          <w:tcPr>
            <w:tcW w:w="846" w:type="pct"/>
            <w:shd w:val="clear" w:color="000000" w:fill="C0C0C0"/>
          </w:tcPr>
          <w:p w14:paraId="3502D321" w14:textId="77777777" w:rsidR="00A10B25" w:rsidRDefault="00A10B25">
            <w:pPr>
              <w:pStyle w:val="TAH"/>
            </w:pPr>
            <w:r>
              <w:rPr>
                <w:rFonts w:hint="eastAsia"/>
                <w:lang w:eastAsia="zh-CN"/>
              </w:rPr>
              <w:t>D</w:t>
            </w:r>
            <w:r>
              <w:rPr>
                <w:lang w:eastAsia="zh-CN"/>
              </w:rPr>
              <w:t>ata type</w:t>
            </w:r>
          </w:p>
        </w:tc>
        <w:tc>
          <w:tcPr>
            <w:tcW w:w="3515" w:type="pct"/>
            <w:shd w:val="clear" w:color="000000" w:fill="C0C0C0"/>
            <w:vAlign w:val="center"/>
          </w:tcPr>
          <w:p w14:paraId="486A5920" w14:textId="77777777" w:rsidR="00A10B25" w:rsidRDefault="00A10B25">
            <w:pPr>
              <w:pStyle w:val="TAH"/>
            </w:pPr>
            <w:r>
              <w:t>Definition</w:t>
            </w:r>
          </w:p>
        </w:tc>
      </w:tr>
      <w:tr w:rsidR="00A10B25" w14:paraId="73504E5C" w14:textId="77777777">
        <w:trPr>
          <w:jc w:val="center"/>
        </w:trPr>
        <w:tc>
          <w:tcPr>
            <w:tcW w:w="639" w:type="pct"/>
          </w:tcPr>
          <w:p w14:paraId="580358D4" w14:textId="77777777" w:rsidR="00A10B25" w:rsidRDefault="00A10B25">
            <w:pPr>
              <w:pStyle w:val="TAL"/>
            </w:pPr>
            <w:r>
              <w:t>apiRoot</w:t>
            </w:r>
          </w:p>
        </w:tc>
        <w:tc>
          <w:tcPr>
            <w:tcW w:w="846" w:type="pct"/>
          </w:tcPr>
          <w:p w14:paraId="1373A432" w14:textId="77777777" w:rsidR="00A10B25" w:rsidRDefault="00A10B25">
            <w:pPr>
              <w:pStyle w:val="TAL"/>
            </w:pPr>
            <w:r>
              <w:t>string</w:t>
            </w:r>
          </w:p>
        </w:tc>
        <w:tc>
          <w:tcPr>
            <w:tcW w:w="3515" w:type="pct"/>
            <w:vAlign w:val="center"/>
          </w:tcPr>
          <w:p w14:paraId="566ECA36" w14:textId="77777777" w:rsidR="00A10B25" w:rsidRDefault="00A10B25">
            <w:pPr>
              <w:pStyle w:val="TAL"/>
            </w:pPr>
            <w:r>
              <w:t>See clause</w:t>
            </w:r>
            <w:r>
              <w:rPr>
                <w:lang w:val="en-US" w:eastAsia="zh-CN"/>
              </w:rPr>
              <w:t> </w:t>
            </w:r>
            <w:r>
              <w:t>5.5.1.</w:t>
            </w:r>
          </w:p>
        </w:tc>
      </w:tr>
      <w:tr w:rsidR="00A10B25" w14:paraId="517302DA" w14:textId="77777777">
        <w:trPr>
          <w:jc w:val="center"/>
        </w:trPr>
        <w:tc>
          <w:tcPr>
            <w:tcW w:w="639" w:type="pct"/>
          </w:tcPr>
          <w:p w14:paraId="6ADB09F8" w14:textId="77777777" w:rsidR="00A10B25" w:rsidRDefault="00A10B25">
            <w:pPr>
              <w:pStyle w:val="TAL"/>
            </w:pPr>
            <w:r>
              <w:t>subscriptionId</w:t>
            </w:r>
          </w:p>
        </w:tc>
        <w:tc>
          <w:tcPr>
            <w:tcW w:w="846" w:type="pct"/>
          </w:tcPr>
          <w:p w14:paraId="701A5452" w14:textId="77777777" w:rsidR="00A10B25" w:rsidRDefault="00A10B25">
            <w:pPr>
              <w:pStyle w:val="TAL"/>
              <w:rPr>
                <w:rFonts w:eastAsia="Batang"/>
              </w:rPr>
            </w:pPr>
            <w:r>
              <w:t>string</w:t>
            </w:r>
          </w:p>
        </w:tc>
        <w:tc>
          <w:tcPr>
            <w:tcW w:w="3515" w:type="pct"/>
            <w:vAlign w:val="center"/>
          </w:tcPr>
          <w:p w14:paraId="3D21B6EA" w14:textId="77777777" w:rsidR="00A10B25" w:rsidRDefault="00A10B25">
            <w:pPr>
              <w:pStyle w:val="TAL"/>
            </w:pPr>
            <w:r>
              <w:rPr>
                <w:rFonts w:eastAsia="Batang"/>
              </w:rPr>
              <w:t>Identifies a subscription to the Nnwdaf_</w:t>
            </w:r>
            <w:r>
              <w:t>MLModelTraining</w:t>
            </w:r>
            <w:r>
              <w:rPr>
                <w:rFonts w:eastAsia="Batang"/>
              </w:rPr>
              <w:t xml:space="preserve"> service.</w:t>
            </w:r>
          </w:p>
        </w:tc>
      </w:tr>
    </w:tbl>
    <w:p w14:paraId="444148DA" w14:textId="77777777" w:rsidR="00A10B25" w:rsidRDefault="00A10B25"/>
    <w:p w14:paraId="17949D01" w14:textId="77777777" w:rsidR="00A10B25" w:rsidRDefault="00A10B25">
      <w:pPr>
        <w:pStyle w:val="5"/>
      </w:pPr>
      <w:bookmarkStart w:id="14580" w:name="_Toc136562681"/>
      <w:bookmarkStart w:id="14581" w:name="_Toc145706010"/>
      <w:bookmarkStart w:id="14582" w:name="_Toc138754515"/>
      <w:bookmarkStart w:id="14583" w:name="_Toc148522927"/>
      <w:bookmarkStart w:id="14584" w:name="_Toc164921115"/>
      <w:bookmarkStart w:id="14585" w:name="_Toc170120657"/>
      <w:bookmarkStart w:id="14586" w:name="_Toc175858902"/>
      <w:bookmarkStart w:id="14587" w:name="_Toc175859975"/>
      <w:bookmarkStart w:id="14588" w:name="_Toc180606265"/>
      <w:bookmarkStart w:id="14589" w:name="_Toc185517526"/>
      <w:bookmarkStart w:id="14590" w:name="_Toc191576578"/>
      <w:bookmarkStart w:id="14591" w:name="_Toc191577318"/>
      <w:bookmarkStart w:id="14592" w:name="_Toc192880388"/>
      <w:bookmarkStart w:id="14593" w:name="_Toc195815277"/>
      <w:bookmarkStart w:id="14594" w:name="_Toc199453244"/>
      <w:r>
        <w:t>5.5.3.3.3</w:t>
      </w:r>
      <w:r>
        <w:tab/>
        <w:t>Resource Standard Methods</w:t>
      </w:r>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p>
    <w:p w14:paraId="3B57DF9E" w14:textId="77777777" w:rsidR="00A10B25" w:rsidRDefault="00A10B25">
      <w:pPr>
        <w:pStyle w:val="6"/>
      </w:pPr>
      <w:bookmarkStart w:id="14595" w:name="_Toc148522928"/>
      <w:bookmarkStart w:id="14596" w:name="_Toc136562682"/>
      <w:bookmarkStart w:id="14597" w:name="_Toc138754516"/>
      <w:bookmarkStart w:id="14598" w:name="_Toc145706011"/>
      <w:bookmarkStart w:id="14599" w:name="_Toc164921116"/>
      <w:bookmarkStart w:id="14600" w:name="_Toc170120658"/>
      <w:bookmarkStart w:id="14601" w:name="_Toc175858903"/>
      <w:bookmarkStart w:id="14602" w:name="_Toc175859976"/>
      <w:bookmarkStart w:id="14603" w:name="_Toc180606266"/>
      <w:bookmarkStart w:id="14604" w:name="_Toc185517527"/>
      <w:bookmarkStart w:id="14605" w:name="_Toc191576579"/>
      <w:bookmarkStart w:id="14606" w:name="_Toc191577319"/>
      <w:bookmarkStart w:id="14607" w:name="_Toc192880389"/>
      <w:bookmarkStart w:id="14608" w:name="_Toc195815278"/>
      <w:bookmarkStart w:id="14609" w:name="_Toc199453245"/>
      <w:r>
        <w:t>5.5.3.3.3.1</w:t>
      </w:r>
      <w:r>
        <w:tab/>
        <w:t>PUT</w:t>
      </w:r>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352A8957" w14:textId="77777777" w:rsidR="00A10B25" w:rsidRDefault="00A10B25">
      <w:pPr>
        <w:rPr>
          <w:rFonts w:eastAsia="等线"/>
        </w:rPr>
      </w:pPr>
      <w:r>
        <w:rPr>
          <w:rFonts w:eastAsia="等线"/>
        </w:rPr>
        <w:t>This method shall support the URI query parameters specified in table 5.5.3.3.3.1-1.</w:t>
      </w:r>
    </w:p>
    <w:p w14:paraId="3BE39962" w14:textId="77777777" w:rsidR="00A10B25" w:rsidRDefault="00A10B25">
      <w:pPr>
        <w:pStyle w:val="TH"/>
        <w:rPr>
          <w:rFonts w:cs="Arial"/>
        </w:rPr>
      </w:pPr>
      <w:r>
        <w:t>Table 5.5.3.3.3.1-1: URI query parameters supported by the PUT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5DFFC13" w14:textId="77777777">
        <w:trPr>
          <w:jc w:val="center"/>
        </w:trPr>
        <w:tc>
          <w:tcPr>
            <w:tcW w:w="825" w:type="pct"/>
            <w:tcBorders>
              <w:bottom w:val="single" w:sz="6" w:space="0" w:color="auto"/>
            </w:tcBorders>
            <w:shd w:val="clear" w:color="auto" w:fill="C0C0C0"/>
          </w:tcPr>
          <w:p w14:paraId="25802915" w14:textId="77777777" w:rsidR="00A10B25" w:rsidRDefault="00A10B25">
            <w:pPr>
              <w:pStyle w:val="TAH"/>
            </w:pPr>
            <w:r>
              <w:t>Name</w:t>
            </w:r>
          </w:p>
        </w:tc>
        <w:tc>
          <w:tcPr>
            <w:tcW w:w="732" w:type="pct"/>
            <w:tcBorders>
              <w:bottom w:val="single" w:sz="6" w:space="0" w:color="auto"/>
            </w:tcBorders>
            <w:shd w:val="clear" w:color="auto" w:fill="C0C0C0"/>
          </w:tcPr>
          <w:p w14:paraId="40B4D45C" w14:textId="77777777" w:rsidR="00A10B25" w:rsidRDefault="00A10B25">
            <w:pPr>
              <w:pStyle w:val="TAH"/>
            </w:pPr>
            <w:r>
              <w:t>Data type</w:t>
            </w:r>
          </w:p>
        </w:tc>
        <w:tc>
          <w:tcPr>
            <w:tcW w:w="217" w:type="pct"/>
            <w:tcBorders>
              <w:bottom w:val="single" w:sz="6" w:space="0" w:color="auto"/>
            </w:tcBorders>
            <w:shd w:val="clear" w:color="auto" w:fill="C0C0C0"/>
          </w:tcPr>
          <w:p w14:paraId="74439D11" w14:textId="77777777" w:rsidR="00A10B25" w:rsidRDefault="00A10B25">
            <w:pPr>
              <w:pStyle w:val="TAH"/>
            </w:pPr>
            <w:r>
              <w:t>P</w:t>
            </w:r>
          </w:p>
        </w:tc>
        <w:tc>
          <w:tcPr>
            <w:tcW w:w="581" w:type="pct"/>
            <w:tcBorders>
              <w:bottom w:val="single" w:sz="6" w:space="0" w:color="auto"/>
            </w:tcBorders>
            <w:shd w:val="clear" w:color="auto" w:fill="C0C0C0"/>
          </w:tcPr>
          <w:p w14:paraId="60ED9899"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16041680" w14:textId="77777777" w:rsidR="00A10B25" w:rsidRDefault="00A10B25">
            <w:pPr>
              <w:pStyle w:val="TAH"/>
            </w:pPr>
            <w:r>
              <w:t>Description</w:t>
            </w:r>
          </w:p>
        </w:tc>
      </w:tr>
      <w:tr w:rsidR="00A10B25" w14:paraId="233BCB58" w14:textId="77777777">
        <w:trPr>
          <w:jc w:val="center"/>
        </w:trPr>
        <w:tc>
          <w:tcPr>
            <w:tcW w:w="825" w:type="pct"/>
            <w:tcBorders>
              <w:top w:val="single" w:sz="6" w:space="0" w:color="auto"/>
            </w:tcBorders>
          </w:tcPr>
          <w:p w14:paraId="6CD63AFE" w14:textId="77777777" w:rsidR="00A10B25" w:rsidRDefault="00A10B25">
            <w:pPr>
              <w:pStyle w:val="TAL"/>
            </w:pPr>
            <w:r>
              <w:t>n/a</w:t>
            </w:r>
          </w:p>
        </w:tc>
        <w:tc>
          <w:tcPr>
            <w:tcW w:w="732" w:type="pct"/>
            <w:tcBorders>
              <w:top w:val="single" w:sz="6" w:space="0" w:color="auto"/>
            </w:tcBorders>
          </w:tcPr>
          <w:p w14:paraId="71A21729" w14:textId="77777777" w:rsidR="00A10B25" w:rsidRDefault="00A10B25">
            <w:pPr>
              <w:pStyle w:val="TAL"/>
            </w:pPr>
          </w:p>
        </w:tc>
        <w:tc>
          <w:tcPr>
            <w:tcW w:w="217" w:type="pct"/>
            <w:tcBorders>
              <w:top w:val="single" w:sz="6" w:space="0" w:color="auto"/>
            </w:tcBorders>
          </w:tcPr>
          <w:p w14:paraId="725F6785" w14:textId="77777777" w:rsidR="00A10B25" w:rsidRDefault="00A10B25">
            <w:pPr>
              <w:pStyle w:val="TAC"/>
            </w:pPr>
          </w:p>
        </w:tc>
        <w:tc>
          <w:tcPr>
            <w:tcW w:w="581" w:type="pct"/>
            <w:tcBorders>
              <w:top w:val="single" w:sz="6" w:space="0" w:color="auto"/>
            </w:tcBorders>
          </w:tcPr>
          <w:p w14:paraId="51133B3F" w14:textId="77777777" w:rsidR="00A10B25" w:rsidRDefault="00A10B25">
            <w:pPr>
              <w:pStyle w:val="TAL"/>
            </w:pPr>
          </w:p>
        </w:tc>
        <w:tc>
          <w:tcPr>
            <w:tcW w:w="2646" w:type="pct"/>
            <w:tcBorders>
              <w:top w:val="single" w:sz="6" w:space="0" w:color="auto"/>
            </w:tcBorders>
            <w:vAlign w:val="center"/>
          </w:tcPr>
          <w:p w14:paraId="69D4C94F" w14:textId="77777777" w:rsidR="00A10B25" w:rsidRDefault="00A10B25">
            <w:pPr>
              <w:pStyle w:val="TAL"/>
            </w:pPr>
          </w:p>
        </w:tc>
      </w:tr>
    </w:tbl>
    <w:p w14:paraId="47F4BB2C" w14:textId="77777777" w:rsidR="00A10B25" w:rsidRDefault="00A10B25">
      <w:pPr>
        <w:rPr>
          <w:rFonts w:eastAsia="等线"/>
        </w:rPr>
      </w:pPr>
    </w:p>
    <w:p w14:paraId="12BD5669" w14:textId="77777777" w:rsidR="00A10B25" w:rsidRDefault="00A10B25">
      <w:pPr>
        <w:rPr>
          <w:rFonts w:eastAsia="等线"/>
        </w:rPr>
      </w:pPr>
      <w:r>
        <w:rPr>
          <w:rFonts w:eastAsia="等线"/>
        </w:rPr>
        <w:t>This method shall support the request data structures specified in table 5.5.3.3.3.1-2 and the response data structures and response codes specified in table 5.5.3.3.3.1-3.</w:t>
      </w:r>
    </w:p>
    <w:p w14:paraId="04A8C24E" w14:textId="77777777" w:rsidR="00A10B25" w:rsidRDefault="00A10B25">
      <w:pPr>
        <w:pStyle w:val="TH"/>
      </w:pPr>
      <w:r>
        <w:t>Table 5.5.3.3.3.1-2: Data structures supported by the PUT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7C579761" w14:textId="77777777">
        <w:trPr>
          <w:jc w:val="center"/>
        </w:trPr>
        <w:tc>
          <w:tcPr>
            <w:tcW w:w="2539" w:type="dxa"/>
            <w:tcBorders>
              <w:bottom w:val="single" w:sz="6" w:space="0" w:color="auto"/>
            </w:tcBorders>
            <w:shd w:val="clear" w:color="auto" w:fill="C0C0C0"/>
          </w:tcPr>
          <w:p w14:paraId="5932DABD" w14:textId="77777777" w:rsidR="00A10B25" w:rsidRDefault="00A10B25">
            <w:pPr>
              <w:pStyle w:val="TAH"/>
            </w:pPr>
            <w:r>
              <w:t>Data type</w:t>
            </w:r>
          </w:p>
        </w:tc>
        <w:tc>
          <w:tcPr>
            <w:tcW w:w="450" w:type="dxa"/>
            <w:tcBorders>
              <w:bottom w:val="single" w:sz="6" w:space="0" w:color="auto"/>
            </w:tcBorders>
            <w:shd w:val="clear" w:color="auto" w:fill="C0C0C0"/>
          </w:tcPr>
          <w:p w14:paraId="0EFE6B8A" w14:textId="77777777" w:rsidR="00A10B25" w:rsidRDefault="00A10B25">
            <w:pPr>
              <w:pStyle w:val="TAH"/>
            </w:pPr>
            <w:r>
              <w:t>P</w:t>
            </w:r>
          </w:p>
        </w:tc>
        <w:tc>
          <w:tcPr>
            <w:tcW w:w="1170" w:type="dxa"/>
            <w:tcBorders>
              <w:bottom w:val="single" w:sz="6" w:space="0" w:color="auto"/>
            </w:tcBorders>
            <w:shd w:val="clear" w:color="auto" w:fill="C0C0C0"/>
          </w:tcPr>
          <w:p w14:paraId="51704FAB"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5CAD3859" w14:textId="77777777" w:rsidR="00A10B25" w:rsidRDefault="00A10B25">
            <w:pPr>
              <w:pStyle w:val="TAH"/>
            </w:pPr>
            <w:r>
              <w:t>Description</w:t>
            </w:r>
          </w:p>
        </w:tc>
      </w:tr>
      <w:tr w:rsidR="00A10B25" w14:paraId="68B0B3F2" w14:textId="77777777">
        <w:trPr>
          <w:jc w:val="center"/>
        </w:trPr>
        <w:tc>
          <w:tcPr>
            <w:tcW w:w="2539" w:type="dxa"/>
            <w:tcBorders>
              <w:top w:val="single" w:sz="6" w:space="0" w:color="auto"/>
            </w:tcBorders>
          </w:tcPr>
          <w:p w14:paraId="47575767" w14:textId="77777777" w:rsidR="00A10B25" w:rsidRDefault="00A10B25">
            <w:pPr>
              <w:pStyle w:val="TAL"/>
            </w:pPr>
            <w:r>
              <w:rPr>
                <w:rFonts w:eastAsia="等线"/>
              </w:rPr>
              <w:t>NwdafMLModelTrainSubsc</w:t>
            </w:r>
          </w:p>
        </w:tc>
        <w:tc>
          <w:tcPr>
            <w:tcW w:w="450" w:type="dxa"/>
            <w:tcBorders>
              <w:top w:val="single" w:sz="6" w:space="0" w:color="auto"/>
            </w:tcBorders>
          </w:tcPr>
          <w:p w14:paraId="7CC0EB4C" w14:textId="77777777" w:rsidR="00A10B25" w:rsidRDefault="00A10B25">
            <w:pPr>
              <w:pStyle w:val="TAC"/>
            </w:pPr>
            <w:r>
              <w:rPr>
                <w:rFonts w:hint="eastAsia"/>
              </w:rPr>
              <w:t>M</w:t>
            </w:r>
          </w:p>
        </w:tc>
        <w:tc>
          <w:tcPr>
            <w:tcW w:w="1170" w:type="dxa"/>
            <w:tcBorders>
              <w:top w:val="single" w:sz="6" w:space="0" w:color="auto"/>
            </w:tcBorders>
          </w:tcPr>
          <w:p w14:paraId="100FBD7F" w14:textId="77777777" w:rsidR="00A10B25" w:rsidRDefault="00A10B25">
            <w:pPr>
              <w:pStyle w:val="TAC"/>
            </w:pPr>
            <w:r>
              <w:rPr>
                <w:rFonts w:hint="eastAsia"/>
              </w:rPr>
              <w:t>1</w:t>
            </w:r>
          </w:p>
        </w:tc>
        <w:tc>
          <w:tcPr>
            <w:tcW w:w="5518" w:type="dxa"/>
            <w:tcBorders>
              <w:top w:val="single" w:sz="6" w:space="0" w:color="auto"/>
            </w:tcBorders>
          </w:tcPr>
          <w:p w14:paraId="46E5606B" w14:textId="77777777" w:rsidR="00A10B25" w:rsidRDefault="00A10B25">
            <w:pPr>
              <w:pStyle w:val="TAL"/>
            </w:pPr>
            <w:r>
              <w:t>Parameters to replace a subscription to NWDAF ML Model Training Subscription resource.</w:t>
            </w:r>
          </w:p>
        </w:tc>
      </w:tr>
    </w:tbl>
    <w:p w14:paraId="5DF44B44" w14:textId="77777777" w:rsidR="00A10B25" w:rsidRDefault="00A10B25">
      <w:pPr>
        <w:rPr>
          <w:rFonts w:eastAsia="等线"/>
        </w:rPr>
      </w:pPr>
    </w:p>
    <w:p w14:paraId="7FF84F4F" w14:textId="77777777" w:rsidR="007605E0" w:rsidRPr="00B1632D" w:rsidRDefault="007605E0" w:rsidP="007605E0">
      <w:pPr>
        <w:keepNext/>
        <w:keepLines/>
        <w:spacing w:before="60"/>
        <w:jc w:val="center"/>
        <w:rPr>
          <w:rFonts w:ascii="Arial" w:hAnsi="Arial"/>
          <w:b/>
        </w:rPr>
      </w:pPr>
      <w:bookmarkStart w:id="14610" w:name="_Toc145706012"/>
      <w:bookmarkStart w:id="14611" w:name="_Toc148522929"/>
      <w:bookmarkStart w:id="14612" w:name="_Toc138754517"/>
      <w:bookmarkStart w:id="14613" w:name="_Toc136562683"/>
      <w:bookmarkStart w:id="14614" w:name="_Toc164921117"/>
      <w:bookmarkStart w:id="14615" w:name="_Toc170120659"/>
      <w:bookmarkStart w:id="14616" w:name="_Toc175858904"/>
      <w:bookmarkStart w:id="14617" w:name="_Toc175859977"/>
      <w:bookmarkStart w:id="14618" w:name="_Toc180606267"/>
      <w:bookmarkStart w:id="14619" w:name="_Toc185517528"/>
      <w:r w:rsidRPr="00B1632D">
        <w:rPr>
          <w:rFonts w:ascii="Arial" w:hAnsi="Arial"/>
          <w:b/>
        </w:rPr>
        <w:t>Table 5.5.3.3.3.1-3: Data structures supported by the PUT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4"/>
        <w:gridCol w:w="442"/>
        <w:gridCol w:w="1243"/>
        <w:gridCol w:w="1685"/>
        <w:gridCol w:w="3655"/>
      </w:tblGrid>
      <w:tr w:rsidR="007605E0" w:rsidRPr="00B1632D" w14:paraId="6F3ADA19" w14:textId="77777777" w:rsidTr="009E7F73">
        <w:trPr>
          <w:jc w:val="center"/>
        </w:trPr>
        <w:tc>
          <w:tcPr>
            <w:tcW w:w="1314" w:type="pct"/>
            <w:tcBorders>
              <w:bottom w:val="single" w:sz="6" w:space="0" w:color="auto"/>
            </w:tcBorders>
            <w:shd w:val="clear" w:color="auto" w:fill="C0C0C0"/>
          </w:tcPr>
          <w:p w14:paraId="74078135"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Data type</w:t>
            </w:r>
          </w:p>
        </w:tc>
        <w:tc>
          <w:tcPr>
            <w:tcW w:w="232" w:type="pct"/>
            <w:tcBorders>
              <w:bottom w:val="single" w:sz="6" w:space="0" w:color="auto"/>
            </w:tcBorders>
            <w:shd w:val="clear" w:color="auto" w:fill="C0C0C0"/>
          </w:tcPr>
          <w:p w14:paraId="5EF4C3AA"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P</w:t>
            </w:r>
          </w:p>
        </w:tc>
        <w:tc>
          <w:tcPr>
            <w:tcW w:w="652" w:type="pct"/>
            <w:tcBorders>
              <w:bottom w:val="single" w:sz="6" w:space="0" w:color="auto"/>
            </w:tcBorders>
            <w:shd w:val="clear" w:color="auto" w:fill="C0C0C0"/>
          </w:tcPr>
          <w:p w14:paraId="6F0342DF"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Cardinality</w:t>
            </w:r>
          </w:p>
        </w:tc>
        <w:tc>
          <w:tcPr>
            <w:tcW w:w="884" w:type="pct"/>
            <w:tcBorders>
              <w:bottom w:val="single" w:sz="6" w:space="0" w:color="auto"/>
            </w:tcBorders>
            <w:shd w:val="clear" w:color="auto" w:fill="C0C0C0"/>
          </w:tcPr>
          <w:p w14:paraId="6B29575A"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Response codes</w:t>
            </w:r>
          </w:p>
        </w:tc>
        <w:tc>
          <w:tcPr>
            <w:tcW w:w="1919" w:type="pct"/>
            <w:tcBorders>
              <w:bottom w:val="single" w:sz="6" w:space="0" w:color="auto"/>
            </w:tcBorders>
            <w:shd w:val="clear" w:color="auto" w:fill="C0C0C0"/>
          </w:tcPr>
          <w:p w14:paraId="2C08F8BB"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Description</w:t>
            </w:r>
          </w:p>
        </w:tc>
      </w:tr>
      <w:tr w:rsidR="007605E0" w:rsidRPr="00B1632D" w14:paraId="1CEF6C07" w14:textId="77777777" w:rsidTr="009E7F73">
        <w:trPr>
          <w:jc w:val="center"/>
        </w:trPr>
        <w:tc>
          <w:tcPr>
            <w:tcW w:w="1314" w:type="pct"/>
            <w:tcBorders>
              <w:top w:val="single" w:sz="6" w:space="0" w:color="auto"/>
            </w:tcBorders>
          </w:tcPr>
          <w:p w14:paraId="3FCDEBD1" w14:textId="77777777" w:rsidR="007605E0" w:rsidRPr="00B1632D" w:rsidRDefault="007605E0" w:rsidP="009E7F73">
            <w:pPr>
              <w:keepNext/>
              <w:keepLines/>
              <w:spacing w:after="0"/>
              <w:rPr>
                <w:rFonts w:ascii="Arial" w:hAnsi="Arial"/>
                <w:sz w:val="18"/>
              </w:rPr>
            </w:pPr>
            <w:r w:rsidRPr="00B1632D">
              <w:rPr>
                <w:rFonts w:ascii="Arial" w:eastAsia="等线" w:hAnsi="Arial"/>
                <w:sz w:val="18"/>
              </w:rPr>
              <w:t>NwdafMLModelTrainSubsc</w:t>
            </w:r>
          </w:p>
        </w:tc>
        <w:tc>
          <w:tcPr>
            <w:tcW w:w="232" w:type="pct"/>
            <w:tcBorders>
              <w:top w:val="single" w:sz="6" w:space="0" w:color="auto"/>
            </w:tcBorders>
          </w:tcPr>
          <w:p w14:paraId="59DC78C8" w14:textId="77777777" w:rsidR="007605E0" w:rsidRPr="00B1632D" w:rsidRDefault="007605E0" w:rsidP="009E7F73">
            <w:pPr>
              <w:keepNext/>
              <w:keepLines/>
              <w:spacing w:after="0"/>
              <w:jc w:val="center"/>
              <w:rPr>
                <w:rFonts w:ascii="Arial" w:hAnsi="Arial"/>
                <w:sz w:val="18"/>
              </w:rPr>
            </w:pPr>
            <w:r w:rsidRPr="00B1632D">
              <w:rPr>
                <w:rFonts w:ascii="Arial" w:hAnsi="Arial"/>
                <w:sz w:val="18"/>
              </w:rPr>
              <w:t>M</w:t>
            </w:r>
          </w:p>
        </w:tc>
        <w:tc>
          <w:tcPr>
            <w:tcW w:w="652" w:type="pct"/>
            <w:tcBorders>
              <w:top w:val="single" w:sz="6" w:space="0" w:color="auto"/>
            </w:tcBorders>
          </w:tcPr>
          <w:p w14:paraId="7A1271E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1</w:t>
            </w:r>
          </w:p>
        </w:tc>
        <w:tc>
          <w:tcPr>
            <w:tcW w:w="884" w:type="pct"/>
            <w:tcBorders>
              <w:top w:val="single" w:sz="6" w:space="0" w:color="auto"/>
            </w:tcBorders>
          </w:tcPr>
          <w:p w14:paraId="30A8EF02" w14:textId="77777777" w:rsidR="007605E0" w:rsidRPr="00B1632D" w:rsidRDefault="007605E0" w:rsidP="009E7F73">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1919" w:type="pct"/>
            <w:tcBorders>
              <w:top w:val="single" w:sz="6" w:space="0" w:color="auto"/>
            </w:tcBorders>
          </w:tcPr>
          <w:p w14:paraId="5BE5E0D6"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modified successfully, and a representation of that resource is returned.</w:t>
            </w:r>
          </w:p>
        </w:tc>
      </w:tr>
      <w:tr w:rsidR="007605E0" w:rsidRPr="00B1632D" w14:paraId="1B1C7CC1" w14:textId="77777777" w:rsidTr="009E7F73">
        <w:trPr>
          <w:jc w:val="center"/>
        </w:trPr>
        <w:tc>
          <w:tcPr>
            <w:tcW w:w="1314" w:type="pct"/>
          </w:tcPr>
          <w:p w14:paraId="28100CCE" w14:textId="77777777" w:rsidR="007605E0" w:rsidRPr="00B1632D" w:rsidRDefault="007605E0" w:rsidP="009E7F73">
            <w:pPr>
              <w:keepNext/>
              <w:keepLines/>
              <w:spacing w:after="0"/>
              <w:rPr>
                <w:rFonts w:ascii="Arial" w:eastAsia="等线" w:hAnsi="Arial"/>
                <w:sz w:val="18"/>
                <w:lang w:eastAsia="zh-CN"/>
              </w:rPr>
            </w:pPr>
            <w:r w:rsidRPr="00B1632D">
              <w:rPr>
                <w:rFonts w:ascii="Arial" w:eastAsia="等线" w:hAnsi="Arial" w:hint="eastAsia"/>
                <w:sz w:val="18"/>
                <w:lang w:eastAsia="zh-CN"/>
              </w:rPr>
              <w:t>n</w:t>
            </w:r>
            <w:r w:rsidRPr="00B1632D">
              <w:rPr>
                <w:rFonts w:ascii="Arial" w:eastAsia="等线" w:hAnsi="Arial"/>
                <w:sz w:val="18"/>
                <w:lang w:eastAsia="zh-CN"/>
              </w:rPr>
              <w:t>/a</w:t>
            </w:r>
          </w:p>
        </w:tc>
        <w:tc>
          <w:tcPr>
            <w:tcW w:w="232" w:type="pct"/>
          </w:tcPr>
          <w:p w14:paraId="0AC80086" w14:textId="77777777" w:rsidR="007605E0" w:rsidRPr="00B1632D" w:rsidRDefault="007605E0" w:rsidP="009E7F73">
            <w:pPr>
              <w:keepNext/>
              <w:keepLines/>
              <w:spacing w:after="0"/>
              <w:jc w:val="center"/>
              <w:rPr>
                <w:rFonts w:ascii="Arial" w:hAnsi="Arial"/>
                <w:sz w:val="18"/>
              </w:rPr>
            </w:pPr>
          </w:p>
        </w:tc>
        <w:tc>
          <w:tcPr>
            <w:tcW w:w="652" w:type="pct"/>
          </w:tcPr>
          <w:p w14:paraId="35C8C54F" w14:textId="77777777" w:rsidR="007605E0" w:rsidRPr="00B1632D" w:rsidRDefault="007605E0" w:rsidP="009E7F73">
            <w:pPr>
              <w:keepNext/>
              <w:keepLines/>
              <w:spacing w:after="0"/>
              <w:jc w:val="center"/>
              <w:rPr>
                <w:rFonts w:ascii="Arial" w:hAnsi="Arial"/>
                <w:sz w:val="18"/>
              </w:rPr>
            </w:pPr>
          </w:p>
        </w:tc>
        <w:tc>
          <w:tcPr>
            <w:tcW w:w="884" w:type="pct"/>
          </w:tcPr>
          <w:p w14:paraId="72463D1D" w14:textId="77777777" w:rsidR="007605E0" w:rsidRPr="00B1632D" w:rsidRDefault="007605E0" w:rsidP="009E7F73">
            <w:pPr>
              <w:keepNext/>
              <w:keepLines/>
              <w:spacing w:after="0"/>
              <w:rPr>
                <w:rFonts w:ascii="Arial" w:hAnsi="Arial"/>
                <w:sz w:val="18"/>
              </w:rPr>
            </w:pPr>
            <w:r w:rsidRPr="00B1632D">
              <w:rPr>
                <w:rFonts w:ascii="Arial" w:hAnsi="Arial"/>
                <w:sz w:val="18"/>
              </w:rPr>
              <w:t>204 No Content</w:t>
            </w:r>
          </w:p>
        </w:tc>
        <w:tc>
          <w:tcPr>
            <w:tcW w:w="1919" w:type="pct"/>
          </w:tcPr>
          <w:p w14:paraId="0BA38470"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modified successfully.</w:t>
            </w:r>
          </w:p>
        </w:tc>
      </w:tr>
      <w:tr w:rsidR="007605E0" w:rsidRPr="00B1632D" w14:paraId="0B218CE1" w14:textId="77777777" w:rsidTr="009E7F73">
        <w:trPr>
          <w:jc w:val="center"/>
        </w:trPr>
        <w:tc>
          <w:tcPr>
            <w:tcW w:w="1314" w:type="pct"/>
          </w:tcPr>
          <w:p w14:paraId="2EEAB734" w14:textId="77777777" w:rsidR="007605E0" w:rsidRPr="00B1632D" w:rsidRDefault="007605E0" w:rsidP="009E7F73">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7D831D7A"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2A0EDE7D"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177A1CFB" w14:textId="77777777" w:rsidR="007605E0" w:rsidRPr="00B1632D" w:rsidRDefault="007605E0" w:rsidP="009E7F73">
            <w:pPr>
              <w:keepNext/>
              <w:keepLines/>
              <w:spacing w:after="0"/>
              <w:rPr>
                <w:rFonts w:ascii="Arial" w:hAnsi="Arial"/>
                <w:sz w:val="18"/>
              </w:rPr>
            </w:pPr>
            <w:r w:rsidRPr="00B1632D">
              <w:rPr>
                <w:rFonts w:ascii="Arial" w:hAnsi="Arial"/>
                <w:sz w:val="18"/>
              </w:rPr>
              <w:t>307 Temporary Redirect</w:t>
            </w:r>
          </w:p>
        </w:tc>
        <w:tc>
          <w:tcPr>
            <w:tcW w:w="1919" w:type="pct"/>
          </w:tcPr>
          <w:p w14:paraId="42B68C2B" w14:textId="77777777" w:rsidR="007605E0" w:rsidRDefault="007605E0" w:rsidP="009E7F73">
            <w:pPr>
              <w:pStyle w:val="TAL"/>
            </w:pPr>
            <w:r w:rsidRPr="00B1632D">
              <w:t>Temporary redirection.</w:t>
            </w:r>
          </w:p>
          <w:p w14:paraId="702C364B" w14:textId="77777777" w:rsidR="007605E0" w:rsidRDefault="007605E0" w:rsidP="009E7F73">
            <w:pPr>
              <w:pStyle w:val="TAL"/>
            </w:pPr>
          </w:p>
          <w:p w14:paraId="6B2BD1EE" w14:textId="77777777" w:rsidR="007605E0" w:rsidRPr="00B1632D" w:rsidRDefault="007605E0" w:rsidP="0040274B">
            <w:pPr>
              <w:pStyle w:val="TAL"/>
            </w:pPr>
            <w:r>
              <w:t>(NOTE 3)</w:t>
            </w:r>
          </w:p>
        </w:tc>
      </w:tr>
      <w:tr w:rsidR="007605E0" w:rsidRPr="00B1632D" w14:paraId="2D0B0060" w14:textId="77777777" w:rsidTr="009E7F73">
        <w:trPr>
          <w:jc w:val="center"/>
        </w:trPr>
        <w:tc>
          <w:tcPr>
            <w:tcW w:w="1314" w:type="pct"/>
          </w:tcPr>
          <w:p w14:paraId="21263921" w14:textId="77777777" w:rsidR="007605E0" w:rsidRPr="00B1632D" w:rsidRDefault="007605E0" w:rsidP="009E7F73">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526A72F7"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58C94E9D"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3DD9B18E" w14:textId="77777777" w:rsidR="007605E0" w:rsidRPr="00B1632D" w:rsidRDefault="007605E0" w:rsidP="009E7F73">
            <w:pPr>
              <w:keepNext/>
              <w:keepLines/>
              <w:spacing w:after="0"/>
              <w:rPr>
                <w:rFonts w:ascii="Arial" w:hAnsi="Arial"/>
                <w:sz w:val="18"/>
              </w:rPr>
            </w:pPr>
            <w:r w:rsidRPr="00B1632D">
              <w:rPr>
                <w:rFonts w:ascii="Arial" w:hAnsi="Arial"/>
                <w:sz w:val="18"/>
              </w:rPr>
              <w:t>308 Permanent Redirect</w:t>
            </w:r>
          </w:p>
        </w:tc>
        <w:tc>
          <w:tcPr>
            <w:tcW w:w="1919" w:type="pct"/>
          </w:tcPr>
          <w:p w14:paraId="637D6A3A" w14:textId="77777777" w:rsidR="007605E0" w:rsidRDefault="007605E0" w:rsidP="009E7F73">
            <w:pPr>
              <w:pStyle w:val="TAL"/>
            </w:pPr>
            <w:r w:rsidRPr="00B1632D">
              <w:t>Permanent redirection.</w:t>
            </w:r>
            <w:r>
              <w:t xml:space="preserve"> </w:t>
            </w:r>
          </w:p>
          <w:p w14:paraId="5D612483" w14:textId="77777777" w:rsidR="007605E0" w:rsidRDefault="007605E0" w:rsidP="009E7F73">
            <w:pPr>
              <w:pStyle w:val="TAL"/>
            </w:pPr>
          </w:p>
          <w:p w14:paraId="72C28F93" w14:textId="77777777" w:rsidR="007605E0" w:rsidRPr="00B1632D" w:rsidRDefault="007605E0" w:rsidP="0040274B">
            <w:pPr>
              <w:pStyle w:val="TAL"/>
            </w:pPr>
            <w:r>
              <w:t>(NOTE 3)</w:t>
            </w:r>
          </w:p>
        </w:tc>
      </w:tr>
      <w:tr w:rsidR="007605E0" w:rsidRPr="00B1632D" w14:paraId="278EA72B" w14:textId="77777777" w:rsidTr="009E7F73">
        <w:trPr>
          <w:jc w:val="center"/>
        </w:trPr>
        <w:tc>
          <w:tcPr>
            <w:tcW w:w="1314" w:type="pct"/>
          </w:tcPr>
          <w:p w14:paraId="1A1A3406"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7A4A9927"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1AE2583E"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78600BBA" w14:textId="77777777" w:rsidR="007605E0" w:rsidRPr="00B1632D" w:rsidRDefault="007605E0" w:rsidP="009E7F73">
            <w:pPr>
              <w:keepNext/>
              <w:keepLines/>
              <w:spacing w:after="0"/>
              <w:rPr>
                <w:rFonts w:ascii="Arial" w:hAnsi="Arial"/>
                <w:sz w:val="18"/>
              </w:rPr>
            </w:pPr>
            <w:r>
              <w:rPr>
                <w:rFonts w:ascii="Arial" w:hAnsi="Arial"/>
                <w:sz w:val="18"/>
                <w:lang w:eastAsia="zh-CN"/>
              </w:rPr>
              <w:t>403</w:t>
            </w:r>
            <w:r w:rsidRPr="00B1632D">
              <w:rPr>
                <w:rFonts w:ascii="Arial" w:hAnsi="Arial"/>
                <w:sz w:val="18"/>
              </w:rPr>
              <w:t xml:space="preserve"> </w:t>
            </w:r>
            <w:r>
              <w:rPr>
                <w:rFonts w:ascii="Arial" w:hAnsi="Arial"/>
                <w:sz w:val="18"/>
              </w:rPr>
              <w:t>Forbidden</w:t>
            </w:r>
          </w:p>
        </w:tc>
        <w:tc>
          <w:tcPr>
            <w:tcW w:w="1919" w:type="pct"/>
          </w:tcPr>
          <w:p w14:paraId="17AECA2C"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3933ABAB" w14:textId="77777777" w:rsidTr="009E7F73">
        <w:trPr>
          <w:jc w:val="center"/>
        </w:trPr>
        <w:tc>
          <w:tcPr>
            <w:tcW w:w="1314" w:type="pct"/>
          </w:tcPr>
          <w:p w14:paraId="26AFE467"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44DA1DB5"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7EB27DDE"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2093BB0A" w14:textId="77777777" w:rsidR="007605E0" w:rsidRPr="00B1632D" w:rsidRDefault="007605E0" w:rsidP="009E7F73">
            <w:pPr>
              <w:keepNext/>
              <w:keepLines/>
              <w:spacing w:after="0"/>
              <w:rPr>
                <w:rFonts w:ascii="Arial" w:hAnsi="Arial"/>
                <w:sz w:val="18"/>
              </w:rPr>
            </w:pPr>
            <w:r w:rsidRPr="00B1632D">
              <w:rPr>
                <w:rFonts w:ascii="Arial" w:hAnsi="Arial" w:hint="eastAsia"/>
                <w:sz w:val="18"/>
                <w:lang w:eastAsia="zh-CN"/>
              </w:rPr>
              <w:t>5</w:t>
            </w:r>
            <w:r w:rsidRPr="00B1632D">
              <w:rPr>
                <w:rFonts w:ascii="Arial" w:hAnsi="Arial"/>
                <w:sz w:val="18"/>
                <w:lang w:eastAsia="zh-CN"/>
              </w:rPr>
              <w:t>0</w:t>
            </w:r>
            <w:r w:rsidRPr="00B1632D">
              <w:rPr>
                <w:rFonts w:ascii="Arial" w:hAnsi="Arial"/>
                <w:sz w:val="18"/>
              </w:rPr>
              <w:t>0 Internal Server Error</w:t>
            </w:r>
          </w:p>
        </w:tc>
        <w:tc>
          <w:tcPr>
            <w:tcW w:w="1919" w:type="pct"/>
          </w:tcPr>
          <w:p w14:paraId="5E7B3F2E"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486C80A0" w14:textId="77777777" w:rsidTr="009E7F73">
        <w:trPr>
          <w:jc w:val="center"/>
        </w:trPr>
        <w:tc>
          <w:tcPr>
            <w:tcW w:w="5000" w:type="pct"/>
            <w:gridSpan w:val="5"/>
          </w:tcPr>
          <w:p w14:paraId="0E4D7E70" w14:textId="77777777" w:rsidR="007605E0" w:rsidRPr="00B1632D" w:rsidRDefault="007605E0" w:rsidP="0040274B">
            <w:pPr>
              <w:pStyle w:val="TAN"/>
            </w:pPr>
            <w:r w:rsidRPr="00B1632D">
              <w:t>NOTE 1:</w:t>
            </w:r>
            <w:r w:rsidRPr="00B1632D">
              <w:tab/>
              <w:t>The mandatory HTTP error status codes for the PUT method listed in table 5.2.7.1-1 of 3GPP TS 29.500 [6] also apply.</w:t>
            </w:r>
          </w:p>
          <w:p w14:paraId="4DF854D2" w14:textId="77777777" w:rsidR="007605E0" w:rsidRDefault="007605E0" w:rsidP="0040274B">
            <w:pPr>
              <w:pStyle w:val="TAN"/>
            </w:pPr>
            <w:r w:rsidRPr="00B1632D">
              <w:t>NOTE 2:</w:t>
            </w:r>
            <w:r w:rsidRPr="00B1632D">
              <w:tab/>
              <w:t>Failure causes are described in subclause 5.5.7.3.</w:t>
            </w:r>
          </w:p>
          <w:p w14:paraId="4ADAD6BA" w14:textId="77777777" w:rsidR="007605E0" w:rsidRPr="00B1632D" w:rsidRDefault="007605E0" w:rsidP="0040274B">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058F58EA" w14:textId="77777777" w:rsidR="007605E0" w:rsidRPr="00B1632D" w:rsidRDefault="007605E0" w:rsidP="007605E0">
      <w:pPr>
        <w:rPr>
          <w:lang w:eastAsia="en-GB"/>
        </w:rPr>
      </w:pPr>
    </w:p>
    <w:p w14:paraId="6752B3DD" w14:textId="77777777" w:rsidR="007605E0" w:rsidRDefault="007605E0" w:rsidP="007605E0">
      <w:pPr>
        <w:pStyle w:val="TH"/>
      </w:pPr>
      <w:r>
        <w:lastRenderedPageBreak/>
        <w:t>Table 5.5.3.3.3.1-4: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74BE7EFF" w14:textId="77777777" w:rsidTr="0040274B">
        <w:trPr>
          <w:jc w:val="center"/>
        </w:trPr>
        <w:tc>
          <w:tcPr>
            <w:tcW w:w="1027" w:type="pct"/>
            <w:tcBorders>
              <w:bottom w:val="single" w:sz="6" w:space="0" w:color="auto"/>
            </w:tcBorders>
            <w:shd w:val="clear" w:color="auto" w:fill="C0C0C0"/>
          </w:tcPr>
          <w:p w14:paraId="6ACB2197" w14:textId="77777777" w:rsidR="007605E0" w:rsidRDefault="007605E0" w:rsidP="009E7F73">
            <w:pPr>
              <w:pStyle w:val="TAH"/>
            </w:pPr>
            <w:r>
              <w:t>Name</w:t>
            </w:r>
          </w:p>
        </w:tc>
        <w:tc>
          <w:tcPr>
            <w:tcW w:w="529" w:type="pct"/>
            <w:tcBorders>
              <w:bottom w:val="single" w:sz="6" w:space="0" w:color="auto"/>
            </w:tcBorders>
            <w:shd w:val="clear" w:color="auto" w:fill="C0C0C0"/>
          </w:tcPr>
          <w:p w14:paraId="0DD484CF" w14:textId="77777777" w:rsidR="007605E0" w:rsidRDefault="007605E0" w:rsidP="009E7F73">
            <w:pPr>
              <w:pStyle w:val="TAH"/>
            </w:pPr>
            <w:r>
              <w:t>Data type</w:t>
            </w:r>
          </w:p>
        </w:tc>
        <w:tc>
          <w:tcPr>
            <w:tcW w:w="217" w:type="pct"/>
            <w:tcBorders>
              <w:bottom w:val="single" w:sz="6" w:space="0" w:color="auto"/>
            </w:tcBorders>
            <w:shd w:val="clear" w:color="auto" w:fill="C0C0C0"/>
          </w:tcPr>
          <w:p w14:paraId="2CF7C2DB" w14:textId="77777777" w:rsidR="007605E0" w:rsidRDefault="007605E0" w:rsidP="009E7F73">
            <w:pPr>
              <w:pStyle w:val="TAH"/>
            </w:pPr>
            <w:r>
              <w:t>P</w:t>
            </w:r>
          </w:p>
        </w:tc>
        <w:tc>
          <w:tcPr>
            <w:tcW w:w="581" w:type="pct"/>
            <w:tcBorders>
              <w:bottom w:val="single" w:sz="6" w:space="0" w:color="auto"/>
            </w:tcBorders>
            <w:shd w:val="clear" w:color="auto" w:fill="C0C0C0"/>
          </w:tcPr>
          <w:p w14:paraId="37FB143D"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36444958" w14:textId="77777777" w:rsidR="007605E0" w:rsidRDefault="007605E0" w:rsidP="009E7F73">
            <w:pPr>
              <w:pStyle w:val="TAH"/>
            </w:pPr>
            <w:r>
              <w:t>Description</w:t>
            </w:r>
          </w:p>
        </w:tc>
      </w:tr>
      <w:tr w:rsidR="007605E0" w14:paraId="3FDB956C" w14:textId="77777777" w:rsidTr="0040274B">
        <w:trPr>
          <w:jc w:val="center"/>
        </w:trPr>
        <w:tc>
          <w:tcPr>
            <w:tcW w:w="1027" w:type="pct"/>
            <w:tcBorders>
              <w:top w:val="single" w:sz="6" w:space="0" w:color="auto"/>
            </w:tcBorders>
          </w:tcPr>
          <w:p w14:paraId="4B1AE829" w14:textId="77777777" w:rsidR="007605E0" w:rsidRDefault="007605E0" w:rsidP="009E7F73">
            <w:pPr>
              <w:pStyle w:val="TAL"/>
            </w:pPr>
            <w:r>
              <w:t>Location</w:t>
            </w:r>
          </w:p>
        </w:tc>
        <w:tc>
          <w:tcPr>
            <w:tcW w:w="529" w:type="pct"/>
            <w:tcBorders>
              <w:top w:val="single" w:sz="6" w:space="0" w:color="auto"/>
            </w:tcBorders>
          </w:tcPr>
          <w:p w14:paraId="6249398B" w14:textId="77777777" w:rsidR="007605E0" w:rsidRDefault="007605E0" w:rsidP="009E7F73">
            <w:pPr>
              <w:pStyle w:val="TAL"/>
            </w:pPr>
            <w:r>
              <w:t>string</w:t>
            </w:r>
          </w:p>
        </w:tc>
        <w:tc>
          <w:tcPr>
            <w:tcW w:w="217" w:type="pct"/>
            <w:tcBorders>
              <w:top w:val="single" w:sz="6" w:space="0" w:color="auto"/>
            </w:tcBorders>
          </w:tcPr>
          <w:p w14:paraId="2E3182BB" w14:textId="77777777" w:rsidR="007605E0" w:rsidRDefault="007605E0" w:rsidP="009E7F73">
            <w:pPr>
              <w:pStyle w:val="TAC"/>
            </w:pPr>
            <w:r>
              <w:t>M</w:t>
            </w:r>
          </w:p>
        </w:tc>
        <w:tc>
          <w:tcPr>
            <w:tcW w:w="581" w:type="pct"/>
            <w:tcBorders>
              <w:top w:val="single" w:sz="6" w:space="0" w:color="auto"/>
            </w:tcBorders>
          </w:tcPr>
          <w:p w14:paraId="3C7115BA" w14:textId="77777777" w:rsidR="007605E0" w:rsidRDefault="007605E0" w:rsidP="009E7F73">
            <w:pPr>
              <w:pStyle w:val="TAL"/>
            </w:pPr>
            <w:r>
              <w:t>1</w:t>
            </w:r>
          </w:p>
        </w:tc>
        <w:tc>
          <w:tcPr>
            <w:tcW w:w="2645" w:type="pct"/>
            <w:tcBorders>
              <w:top w:val="single" w:sz="6" w:space="0" w:color="auto"/>
            </w:tcBorders>
            <w:vAlign w:val="center"/>
          </w:tcPr>
          <w:p w14:paraId="595B5995"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2088A13E" w14:textId="77777777" w:rsidR="007605E0" w:rsidRDefault="007605E0" w:rsidP="009E7F73">
            <w:pPr>
              <w:pStyle w:val="TAL"/>
            </w:pPr>
          </w:p>
          <w:p w14:paraId="349E8185"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153BE897" w14:textId="77777777" w:rsidTr="0040274B">
        <w:trPr>
          <w:jc w:val="center"/>
        </w:trPr>
        <w:tc>
          <w:tcPr>
            <w:tcW w:w="1027" w:type="pct"/>
          </w:tcPr>
          <w:p w14:paraId="66001C5C" w14:textId="77777777" w:rsidR="007605E0" w:rsidRDefault="007605E0" w:rsidP="009E7F73">
            <w:pPr>
              <w:pStyle w:val="TAL"/>
            </w:pPr>
            <w:r>
              <w:rPr>
                <w:lang w:eastAsia="zh-CN"/>
              </w:rPr>
              <w:t>3gpp-Sbi-Target-Nf-Id</w:t>
            </w:r>
          </w:p>
        </w:tc>
        <w:tc>
          <w:tcPr>
            <w:tcW w:w="529" w:type="pct"/>
          </w:tcPr>
          <w:p w14:paraId="2D4CE43E" w14:textId="77777777" w:rsidR="007605E0" w:rsidRDefault="007605E0" w:rsidP="009E7F73">
            <w:pPr>
              <w:pStyle w:val="TAL"/>
            </w:pPr>
            <w:r>
              <w:rPr>
                <w:lang w:eastAsia="fr-FR"/>
              </w:rPr>
              <w:t>string</w:t>
            </w:r>
          </w:p>
        </w:tc>
        <w:tc>
          <w:tcPr>
            <w:tcW w:w="217" w:type="pct"/>
          </w:tcPr>
          <w:p w14:paraId="79DCEACC" w14:textId="77777777" w:rsidR="007605E0" w:rsidRDefault="007605E0" w:rsidP="009E7F73">
            <w:pPr>
              <w:pStyle w:val="TAC"/>
            </w:pPr>
            <w:r>
              <w:rPr>
                <w:lang w:eastAsia="fr-FR"/>
              </w:rPr>
              <w:t>O</w:t>
            </w:r>
          </w:p>
        </w:tc>
        <w:tc>
          <w:tcPr>
            <w:tcW w:w="581" w:type="pct"/>
          </w:tcPr>
          <w:p w14:paraId="2B2890DE" w14:textId="77777777" w:rsidR="007605E0" w:rsidRDefault="007605E0" w:rsidP="009E7F73">
            <w:pPr>
              <w:pStyle w:val="TAL"/>
            </w:pPr>
            <w:r>
              <w:rPr>
                <w:lang w:eastAsia="fr-FR"/>
              </w:rPr>
              <w:t>0..1</w:t>
            </w:r>
          </w:p>
        </w:tc>
        <w:tc>
          <w:tcPr>
            <w:tcW w:w="2645" w:type="pct"/>
            <w:vAlign w:val="center"/>
          </w:tcPr>
          <w:p w14:paraId="4E4A58C2" w14:textId="77777777" w:rsidR="007605E0" w:rsidRDefault="007605E0" w:rsidP="009E7F73">
            <w:pPr>
              <w:pStyle w:val="TAL"/>
            </w:pPr>
            <w:r>
              <w:rPr>
                <w:lang w:eastAsia="fr-FR"/>
              </w:rPr>
              <w:t>Contains the identifier of the target NF (service) instance towards which the request is redirected</w:t>
            </w:r>
          </w:p>
        </w:tc>
      </w:tr>
    </w:tbl>
    <w:p w14:paraId="3656A1BA" w14:textId="77777777" w:rsidR="007605E0" w:rsidRDefault="007605E0" w:rsidP="007605E0"/>
    <w:p w14:paraId="3487313E" w14:textId="77777777" w:rsidR="007605E0" w:rsidRDefault="007605E0" w:rsidP="007605E0">
      <w:pPr>
        <w:pStyle w:val="TH"/>
      </w:pPr>
      <w:r>
        <w:t>Table 5.5.3.3.3.1-5: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6D31DDEA" w14:textId="77777777" w:rsidTr="0040274B">
        <w:trPr>
          <w:jc w:val="center"/>
        </w:trPr>
        <w:tc>
          <w:tcPr>
            <w:tcW w:w="1027" w:type="pct"/>
            <w:tcBorders>
              <w:bottom w:val="single" w:sz="6" w:space="0" w:color="auto"/>
            </w:tcBorders>
            <w:shd w:val="clear" w:color="auto" w:fill="C0C0C0"/>
          </w:tcPr>
          <w:p w14:paraId="4178D4BD" w14:textId="77777777" w:rsidR="007605E0" w:rsidRDefault="007605E0" w:rsidP="009E7F73">
            <w:pPr>
              <w:pStyle w:val="TAH"/>
            </w:pPr>
            <w:r>
              <w:t>Name</w:t>
            </w:r>
          </w:p>
        </w:tc>
        <w:tc>
          <w:tcPr>
            <w:tcW w:w="529" w:type="pct"/>
            <w:tcBorders>
              <w:bottom w:val="single" w:sz="6" w:space="0" w:color="auto"/>
            </w:tcBorders>
            <w:shd w:val="clear" w:color="auto" w:fill="C0C0C0"/>
          </w:tcPr>
          <w:p w14:paraId="53863FDC" w14:textId="77777777" w:rsidR="007605E0" w:rsidRDefault="007605E0" w:rsidP="009E7F73">
            <w:pPr>
              <w:pStyle w:val="TAH"/>
            </w:pPr>
            <w:r>
              <w:t>Data type</w:t>
            </w:r>
          </w:p>
        </w:tc>
        <w:tc>
          <w:tcPr>
            <w:tcW w:w="217" w:type="pct"/>
            <w:tcBorders>
              <w:bottom w:val="single" w:sz="6" w:space="0" w:color="auto"/>
            </w:tcBorders>
            <w:shd w:val="clear" w:color="auto" w:fill="C0C0C0"/>
          </w:tcPr>
          <w:p w14:paraId="604CB5A9" w14:textId="77777777" w:rsidR="007605E0" w:rsidRDefault="007605E0" w:rsidP="009E7F73">
            <w:pPr>
              <w:pStyle w:val="TAH"/>
            </w:pPr>
            <w:r>
              <w:t>P</w:t>
            </w:r>
          </w:p>
        </w:tc>
        <w:tc>
          <w:tcPr>
            <w:tcW w:w="581" w:type="pct"/>
            <w:tcBorders>
              <w:bottom w:val="single" w:sz="6" w:space="0" w:color="auto"/>
            </w:tcBorders>
            <w:shd w:val="clear" w:color="auto" w:fill="C0C0C0"/>
          </w:tcPr>
          <w:p w14:paraId="79E1ECF5" w14:textId="77777777" w:rsidR="007605E0" w:rsidRDefault="007605E0" w:rsidP="009E7F73">
            <w:pPr>
              <w:pStyle w:val="TAH"/>
            </w:pPr>
            <w:r>
              <w:t>Cardinality</w:t>
            </w:r>
          </w:p>
        </w:tc>
        <w:tc>
          <w:tcPr>
            <w:tcW w:w="2646" w:type="pct"/>
            <w:tcBorders>
              <w:bottom w:val="single" w:sz="6" w:space="0" w:color="auto"/>
            </w:tcBorders>
            <w:shd w:val="clear" w:color="auto" w:fill="C0C0C0"/>
            <w:vAlign w:val="center"/>
          </w:tcPr>
          <w:p w14:paraId="6B4C67AA" w14:textId="77777777" w:rsidR="007605E0" w:rsidRDefault="007605E0" w:rsidP="009E7F73">
            <w:pPr>
              <w:pStyle w:val="TAH"/>
            </w:pPr>
            <w:r>
              <w:t>Description</w:t>
            </w:r>
          </w:p>
        </w:tc>
      </w:tr>
      <w:tr w:rsidR="007605E0" w14:paraId="6B295F37" w14:textId="77777777" w:rsidTr="0040274B">
        <w:trPr>
          <w:jc w:val="center"/>
        </w:trPr>
        <w:tc>
          <w:tcPr>
            <w:tcW w:w="1027" w:type="pct"/>
            <w:tcBorders>
              <w:top w:val="single" w:sz="6" w:space="0" w:color="auto"/>
            </w:tcBorders>
          </w:tcPr>
          <w:p w14:paraId="2D1B4F46" w14:textId="77777777" w:rsidR="007605E0" w:rsidRDefault="007605E0" w:rsidP="009E7F73">
            <w:pPr>
              <w:pStyle w:val="TAL"/>
            </w:pPr>
            <w:r>
              <w:t>Location</w:t>
            </w:r>
          </w:p>
        </w:tc>
        <w:tc>
          <w:tcPr>
            <w:tcW w:w="529" w:type="pct"/>
            <w:tcBorders>
              <w:top w:val="single" w:sz="6" w:space="0" w:color="auto"/>
            </w:tcBorders>
          </w:tcPr>
          <w:p w14:paraId="0BBCEE40" w14:textId="77777777" w:rsidR="007605E0" w:rsidRDefault="007605E0" w:rsidP="009E7F73">
            <w:pPr>
              <w:pStyle w:val="TAL"/>
            </w:pPr>
            <w:r>
              <w:t>string</w:t>
            </w:r>
          </w:p>
        </w:tc>
        <w:tc>
          <w:tcPr>
            <w:tcW w:w="217" w:type="pct"/>
            <w:tcBorders>
              <w:top w:val="single" w:sz="6" w:space="0" w:color="auto"/>
            </w:tcBorders>
          </w:tcPr>
          <w:p w14:paraId="6A0CBB1B" w14:textId="77777777" w:rsidR="007605E0" w:rsidRDefault="007605E0" w:rsidP="009E7F73">
            <w:pPr>
              <w:pStyle w:val="TAC"/>
            </w:pPr>
            <w:r>
              <w:t>M</w:t>
            </w:r>
          </w:p>
        </w:tc>
        <w:tc>
          <w:tcPr>
            <w:tcW w:w="581" w:type="pct"/>
            <w:tcBorders>
              <w:top w:val="single" w:sz="6" w:space="0" w:color="auto"/>
            </w:tcBorders>
          </w:tcPr>
          <w:p w14:paraId="0572DAF2" w14:textId="77777777" w:rsidR="007605E0" w:rsidRDefault="007605E0" w:rsidP="009E7F73">
            <w:pPr>
              <w:pStyle w:val="TAL"/>
            </w:pPr>
            <w:r>
              <w:t>1</w:t>
            </w:r>
          </w:p>
        </w:tc>
        <w:tc>
          <w:tcPr>
            <w:tcW w:w="2646" w:type="pct"/>
            <w:tcBorders>
              <w:top w:val="single" w:sz="6" w:space="0" w:color="auto"/>
            </w:tcBorders>
            <w:vAlign w:val="center"/>
          </w:tcPr>
          <w:p w14:paraId="22462B1E"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78F0D006" w14:textId="77777777" w:rsidR="007605E0" w:rsidRDefault="007605E0" w:rsidP="009E7F73">
            <w:pPr>
              <w:pStyle w:val="TAL"/>
            </w:pPr>
          </w:p>
          <w:p w14:paraId="496963E0"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6F40F82C" w14:textId="77777777" w:rsidTr="0040274B">
        <w:trPr>
          <w:jc w:val="center"/>
        </w:trPr>
        <w:tc>
          <w:tcPr>
            <w:tcW w:w="1027" w:type="pct"/>
          </w:tcPr>
          <w:p w14:paraId="2D36AED4" w14:textId="77777777" w:rsidR="007605E0" w:rsidRDefault="007605E0" w:rsidP="009E7F73">
            <w:pPr>
              <w:pStyle w:val="TAL"/>
            </w:pPr>
            <w:r>
              <w:rPr>
                <w:lang w:eastAsia="zh-CN"/>
              </w:rPr>
              <w:t>3gpp-Sbi-Target-Nf-Id</w:t>
            </w:r>
          </w:p>
        </w:tc>
        <w:tc>
          <w:tcPr>
            <w:tcW w:w="529" w:type="pct"/>
          </w:tcPr>
          <w:p w14:paraId="25DDB995" w14:textId="77777777" w:rsidR="007605E0" w:rsidRDefault="007605E0" w:rsidP="009E7F73">
            <w:pPr>
              <w:pStyle w:val="TAL"/>
            </w:pPr>
            <w:r>
              <w:rPr>
                <w:lang w:eastAsia="fr-FR"/>
              </w:rPr>
              <w:t>string</w:t>
            </w:r>
          </w:p>
        </w:tc>
        <w:tc>
          <w:tcPr>
            <w:tcW w:w="217" w:type="pct"/>
          </w:tcPr>
          <w:p w14:paraId="4625564E" w14:textId="77777777" w:rsidR="007605E0" w:rsidRDefault="007605E0" w:rsidP="009E7F73">
            <w:pPr>
              <w:pStyle w:val="TAC"/>
            </w:pPr>
            <w:r>
              <w:rPr>
                <w:lang w:eastAsia="fr-FR"/>
              </w:rPr>
              <w:t>O</w:t>
            </w:r>
          </w:p>
        </w:tc>
        <w:tc>
          <w:tcPr>
            <w:tcW w:w="581" w:type="pct"/>
          </w:tcPr>
          <w:p w14:paraId="216CCBA0" w14:textId="77777777" w:rsidR="007605E0" w:rsidRDefault="007605E0" w:rsidP="009E7F73">
            <w:pPr>
              <w:pStyle w:val="TAL"/>
            </w:pPr>
            <w:r>
              <w:rPr>
                <w:lang w:eastAsia="fr-FR"/>
              </w:rPr>
              <w:t>0..1</w:t>
            </w:r>
          </w:p>
        </w:tc>
        <w:tc>
          <w:tcPr>
            <w:tcW w:w="2646" w:type="pct"/>
            <w:vAlign w:val="center"/>
          </w:tcPr>
          <w:p w14:paraId="65CC7212" w14:textId="77777777" w:rsidR="007605E0" w:rsidRDefault="007605E0" w:rsidP="009E7F73">
            <w:pPr>
              <w:pStyle w:val="TAL"/>
            </w:pPr>
            <w:r>
              <w:rPr>
                <w:lang w:eastAsia="fr-FR"/>
              </w:rPr>
              <w:t>Contains the identifier of the target NF (service) instance towards which the request is redirected</w:t>
            </w:r>
          </w:p>
        </w:tc>
      </w:tr>
    </w:tbl>
    <w:p w14:paraId="2A7DB5CF" w14:textId="77777777" w:rsidR="007605E0" w:rsidRDefault="007605E0" w:rsidP="007605E0">
      <w:pPr>
        <w:rPr>
          <w:rFonts w:eastAsia="等线"/>
        </w:rPr>
      </w:pPr>
    </w:p>
    <w:p w14:paraId="33B48990" w14:textId="77777777" w:rsidR="00A10B25" w:rsidRDefault="00A10B25">
      <w:pPr>
        <w:pStyle w:val="6"/>
      </w:pPr>
      <w:bookmarkStart w:id="14620" w:name="_Toc191576580"/>
      <w:bookmarkStart w:id="14621" w:name="_Toc191577320"/>
      <w:bookmarkStart w:id="14622" w:name="_Toc192880390"/>
      <w:bookmarkStart w:id="14623" w:name="_Toc195815279"/>
      <w:bookmarkStart w:id="14624" w:name="_Toc199453246"/>
      <w:r>
        <w:t>5.5.3.3.3.2</w:t>
      </w:r>
      <w:r>
        <w:tab/>
        <w:t>PATCH</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p>
    <w:p w14:paraId="300E181B" w14:textId="77777777" w:rsidR="00A10B25" w:rsidRDefault="00A10B25">
      <w:pPr>
        <w:rPr>
          <w:rFonts w:eastAsia="等线"/>
        </w:rPr>
      </w:pPr>
      <w:r>
        <w:rPr>
          <w:rFonts w:eastAsia="等线"/>
        </w:rPr>
        <w:t>This method shall support the URI query parameters specified in table 5.5.3.3.3.2-1.</w:t>
      </w:r>
    </w:p>
    <w:p w14:paraId="27BF7F87" w14:textId="77777777" w:rsidR="00A10B25" w:rsidRDefault="00A10B25">
      <w:pPr>
        <w:pStyle w:val="TH"/>
        <w:rPr>
          <w:rFonts w:cs="Arial"/>
        </w:rPr>
      </w:pPr>
      <w:r>
        <w:t>Table 5.5.3.3.3.2-1: URI query parameters supported by the PATCH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994DF92" w14:textId="77777777">
        <w:trPr>
          <w:jc w:val="center"/>
        </w:trPr>
        <w:tc>
          <w:tcPr>
            <w:tcW w:w="825" w:type="pct"/>
            <w:tcBorders>
              <w:bottom w:val="single" w:sz="6" w:space="0" w:color="auto"/>
            </w:tcBorders>
            <w:shd w:val="clear" w:color="auto" w:fill="C0C0C0"/>
          </w:tcPr>
          <w:p w14:paraId="788C2EF6" w14:textId="77777777" w:rsidR="00A10B25" w:rsidRDefault="00A10B25">
            <w:pPr>
              <w:pStyle w:val="TAH"/>
            </w:pPr>
            <w:r>
              <w:t>Name</w:t>
            </w:r>
          </w:p>
        </w:tc>
        <w:tc>
          <w:tcPr>
            <w:tcW w:w="732" w:type="pct"/>
            <w:tcBorders>
              <w:bottom w:val="single" w:sz="6" w:space="0" w:color="auto"/>
            </w:tcBorders>
            <w:shd w:val="clear" w:color="auto" w:fill="C0C0C0"/>
          </w:tcPr>
          <w:p w14:paraId="34F29A2A" w14:textId="77777777" w:rsidR="00A10B25" w:rsidRDefault="00A10B25">
            <w:pPr>
              <w:pStyle w:val="TAH"/>
            </w:pPr>
            <w:r>
              <w:t>Data type</w:t>
            </w:r>
          </w:p>
        </w:tc>
        <w:tc>
          <w:tcPr>
            <w:tcW w:w="217" w:type="pct"/>
            <w:tcBorders>
              <w:bottom w:val="single" w:sz="6" w:space="0" w:color="auto"/>
            </w:tcBorders>
            <w:shd w:val="clear" w:color="auto" w:fill="C0C0C0"/>
          </w:tcPr>
          <w:p w14:paraId="5A110E67" w14:textId="77777777" w:rsidR="00A10B25" w:rsidRDefault="00A10B25">
            <w:pPr>
              <w:pStyle w:val="TAH"/>
            </w:pPr>
            <w:r>
              <w:t>P</w:t>
            </w:r>
          </w:p>
        </w:tc>
        <w:tc>
          <w:tcPr>
            <w:tcW w:w="581" w:type="pct"/>
            <w:tcBorders>
              <w:bottom w:val="single" w:sz="6" w:space="0" w:color="auto"/>
            </w:tcBorders>
            <w:shd w:val="clear" w:color="auto" w:fill="C0C0C0"/>
          </w:tcPr>
          <w:p w14:paraId="5B627AC1"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6C0C292F" w14:textId="77777777" w:rsidR="00A10B25" w:rsidRDefault="00A10B25">
            <w:pPr>
              <w:pStyle w:val="TAH"/>
            </w:pPr>
            <w:r>
              <w:t>Description</w:t>
            </w:r>
          </w:p>
        </w:tc>
      </w:tr>
      <w:tr w:rsidR="00A10B25" w14:paraId="7067D83C" w14:textId="77777777">
        <w:trPr>
          <w:jc w:val="center"/>
        </w:trPr>
        <w:tc>
          <w:tcPr>
            <w:tcW w:w="825" w:type="pct"/>
            <w:tcBorders>
              <w:top w:val="single" w:sz="6" w:space="0" w:color="auto"/>
            </w:tcBorders>
          </w:tcPr>
          <w:p w14:paraId="4F51A24E" w14:textId="77777777" w:rsidR="00A10B25" w:rsidRDefault="00A10B25">
            <w:pPr>
              <w:pStyle w:val="TAL"/>
            </w:pPr>
            <w:r>
              <w:t>n/a</w:t>
            </w:r>
          </w:p>
        </w:tc>
        <w:tc>
          <w:tcPr>
            <w:tcW w:w="732" w:type="pct"/>
            <w:tcBorders>
              <w:top w:val="single" w:sz="6" w:space="0" w:color="auto"/>
            </w:tcBorders>
          </w:tcPr>
          <w:p w14:paraId="09CC6201" w14:textId="77777777" w:rsidR="00A10B25" w:rsidRDefault="00A10B25">
            <w:pPr>
              <w:pStyle w:val="TAL"/>
            </w:pPr>
          </w:p>
        </w:tc>
        <w:tc>
          <w:tcPr>
            <w:tcW w:w="217" w:type="pct"/>
            <w:tcBorders>
              <w:top w:val="single" w:sz="6" w:space="0" w:color="auto"/>
            </w:tcBorders>
          </w:tcPr>
          <w:p w14:paraId="00D887C6" w14:textId="77777777" w:rsidR="00A10B25" w:rsidRDefault="00A10B25">
            <w:pPr>
              <w:pStyle w:val="TAC"/>
            </w:pPr>
          </w:p>
        </w:tc>
        <w:tc>
          <w:tcPr>
            <w:tcW w:w="581" w:type="pct"/>
            <w:tcBorders>
              <w:top w:val="single" w:sz="6" w:space="0" w:color="auto"/>
            </w:tcBorders>
          </w:tcPr>
          <w:p w14:paraId="0DDD6E61" w14:textId="77777777" w:rsidR="00A10B25" w:rsidRDefault="00A10B25">
            <w:pPr>
              <w:pStyle w:val="TAL"/>
            </w:pPr>
          </w:p>
        </w:tc>
        <w:tc>
          <w:tcPr>
            <w:tcW w:w="2646" w:type="pct"/>
            <w:tcBorders>
              <w:top w:val="single" w:sz="6" w:space="0" w:color="auto"/>
            </w:tcBorders>
            <w:vAlign w:val="center"/>
          </w:tcPr>
          <w:p w14:paraId="02E0429B" w14:textId="77777777" w:rsidR="00A10B25" w:rsidRDefault="00A10B25">
            <w:pPr>
              <w:pStyle w:val="TAL"/>
            </w:pPr>
          </w:p>
        </w:tc>
      </w:tr>
    </w:tbl>
    <w:p w14:paraId="5ADF6687" w14:textId="77777777" w:rsidR="00A10B25" w:rsidRDefault="00A10B25">
      <w:pPr>
        <w:rPr>
          <w:rFonts w:eastAsia="等线"/>
        </w:rPr>
      </w:pPr>
    </w:p>
    <w:p w14:paraId="476D316B" w14:textId="77777777" w:rsidR="00A10B25" w:rsidRDefault="00A10B25">
      <w:pPr>
        <w:rPr>
          <w:rFonts w:eastAsia="等线"/>
        </w:rPr>
      </w:pPr>
      <w:r>
        <w:rPr>
          <w:rFonts w:eastAsia="等线"/>
        </w:rPr>
        <w:t>This method shall support the request data structures specified in table 5.5.3.3.3.2-2 and the response data structures and response codes specified in table 5.5.3.3.3.2-3.</w:t>
      </w:r>
    </w:p>
    <w:p w14:paraId="430DB0AF" w14:textId="77777777" w:rsidR="00A10B25" w:rsidRDefault="00A10B25">
      <w:pPr>
        <w:pStyle w:val="TH"/>
      </w:pPr>
      <w:r>
        <w:t>Table 5.5.3.3.3.2-2: Data structures supported by the PATCH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2B838210" w14:textId="77777777">
        <w:trPr>
          <w:jc w:val="center"/>
        </w:trPr>
        <w:tc>
          <w:tcPr>
            <w:tcW w:w="2539" w:type="dxa"/>
            <w:tcBorders>
              <w:bottom w:val="single" w:sz="6" w:space="0" w:color="auto"/>
            </w:tcBorders>
            <w:shd w:val="clear" w:color="auto" w:fill="C0C0C0"/>
          </w:tcPr>
          <w:p w14:paraId="7F40091B" w14:textId="77777777" w:rsidR="00A10B25" w:rsidRDefault="00A10B25">
            <w:pPr>
              <w:pStyle w:val="TAH"/>
            </w:pPr>
            <w:r>
              <w:t>Data type</w:t>
            </w:r>
          </w:p>
        </w:tc>
        <w:tc>
          <w:tcPr>
            <w:tcW w:w="450" w:type="dxa"/>
            <w:tcBorders>
              <w:bottom w:val="single" w:sz="6" w:space="0" w:color="auto"/>
            </w:tcBorders>
            <w:shd w:val="clear" w:color="auto" w:fill="C0C0C0"/>
          </w:tcPr>
          <w:p w14:paraId="56AA415A" w14:textId="77777777" w:rsidR="00A10B25" w:rsidRDefault="00A10B25">
            <w:pPr>
              <w:pStyle w:val="TAH"/>
            </w:pPr>
            <w:r>
              <w:t>P</w:t>
            </w:r>
          </w:p>
        </w:tc>
        <w:tc>
          <w:tcPr>
            <w:tcW w:w="1170" w:type="dxa"/>
            <w:tcBorders>
              <w:bottom w:val="single" w:sz="6" w:space="0" w:color="auto"/>
            </w:tcBorders>
            <w:shd w:val="clear" w:color="auto" w:fill="C0C0C0"/>
          </w:tcPr>
          <w:p w14:paraId="5C99ECF0" w14:textId="77777777" w:rsidR="00A10B25" w:rsidRDefault="00A10B25">
            <w:pPr>
              <w:pStyle w:val="TAH"/>
            </w:pPr>
            <w:r>
              <w:t>Cardinality</w:t>
            </w:r>
          </w:p>
        </w:tc>
        <w:tc>
          <w:tcPr>
            <w:tcW w:w="5518" w:type="dxa"/>
            <w:tcBorders>
              <w:bottom w:val="single" w:sz="6" w:space="0" w:color="auto"/>
            </w:tcBorders>
            <w:shd w:val="clear" w:color="auto" w:fill="C0C0C0"/>
            <w:vAlign w:val="center"/>
          </w:tcPr>
          <w:p w14:paraId="1823ABD3" w14:textId="77777777" w:rsidR="00A10B25" w:rsidRDefault="00A10B25">
            <w:pPr>
              <w:pStyle w:val="TAH"/>
            </w:pPr>
            <w:r>
              <w:t>Description</w:t>
            </w:r>
          </w:p>
        </w:tc>
      </w:tr>
      <w:tr w:rsidR="00A10B25" w14:paraId="4B1E472C" w14:textId="77777777">
        <w:trPr>
          <w:jc w:val="center"/>
        </w:trPr>
        <w:tc>
          <w:tcPr>
            <w:tcW w:w="2539" w:type="dxa"/>
            <w:tcBorders>
              <w:top w:val="single" w:sz="6" w:space="0" w:color="auto"/>
            </w:tcBorders>
          </w:tcPr>
          <w:p w14:paraId="6F21736E" w14:textId="77777777" w:rsidR="00A10B25" w:rsidRDefault="00A10B25">
            <w:pPr>
              <w:pStyle w:val="TAL"/>
            </w:pPr>
            <w:r>
              <w:rPr>
                <w:rFonts w:eastAsia="等线"/>
              </w:rPr>
              <w:t>NwdafMLModelTrainSubscPatch</w:t>
            </w:r>
          </w:p>
        </w:tc>
        <w:tc>
          <w:tcPr>
            <w:tcW w:w="450" w:type="dxa"/>
            <w:tcBorders>
              <w:top w:val="single" w:sz="6" w:space="0" w:color="auto"/>
            </w:tcBorders>
          </w:tcPr>
          <w:p w14:paraId="71563812" w14:textId="77777777" w:rsidR="00A10B25" w:rsidRDefault="00A10B25">
            <w:pPr>
              <w:pStyle w:val="TAC"/>
            </w:pPr>
            <w:r>
              <w:rPr>
                <w:rFonts w:hint="eastAsia"/>
              </w:rPr>
              <w:t>M</w:t>
            </w:r>
          </w:p>
        </w:tc>
        <w:tc>
          <w:tcPr>
            <w:tcW w:w="1170" w:type="dxa"/>
            <w:tcBorders>
              <w:top w:val="single" w:sz="6" w:space="0" w:color="auto"/>
            </w:tcBorders>
          </w:tcPr>
          <w:p w14:paraId="13B20726" w14:textId="77777777" w:rsidR="00A10B25" w:rsidRDefault="00A10B25">
            <w:pPr>
              <w:pStyle w:val="TAC"/>
            </w:pPr>
            <w:r>
              <w:rPr>
                <w:rFonts w:hint="eastAsia"/>
              </w:rPr>
              <w:t>1</w:t>
            </w:r>
          </w:p>
        </w:tc>
        <w:tc>
          <w:tcPr>
            <w:tcW w:w="5518" w:type="dxa"/>
            <w:tcBorders>
              <w:top w:val="single" w:sz="6" w:space="0" w:color="auto"/>
            </w:tcBorders>
          </w:tcPr>
          <w:p w14:paraId="2FC8F2FB" w14:textId="77777777" w:rsidR="00A10B25" w:rsidRDefault="00A10B25">
            <w:pPr>
              <w:pStyle w:val="TAL"/>
            </w:pPr>
            <w:r>
              <w:t>Partial update of parameters to a subscription to NWDAF ML Model Training Subscription resource.</w:t>
            </w:r>
          </w:p>
        </w:tc>
      </w:tr>
    </w:tbl>
    <w:p w14:paraId="639D4178" w14:textId="77777777" w:rsidR="00A10B25" w:rsidRDefault="00A10B25">
      <w:pPr>
        <w:rPr>
          <w:rFonts w:eastAsia="等线"/>
        </w:rPr>
      </w:pPr>
    </w:p>
    <w:p w14:paraId="22E5744F" w14:textId="77777777" w:rsidR="007605E0" w:rsidRPr="00B1632D" w:rsidRDefault="007605E0" w:rsidP="007605E0">
      <w:pPr>
        <w:keepNext/>
        <w:keepLines/>
        <w:spacing w:before="60"/>
        <w:jc w:val="center"/>
        <w:rPr>
          <w:rFonts w:ascii="Arial" w:hAnsi="Arial"/>
          <w:b/>
        </w:rPr>
      </w:pPr>
      <w:r w:rsidRPr="00B1632D">
        <w:rPr>
          <w:rFonts w:ascii="Arial" w:hAnsi="Arial"/>
          <w:b/>
        </w:rPr>
        <w:lastRenderedPageBreak/>
        <w:t>Table 5.5.3.3.3.2-3: Data structures supported by the PATCH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04"/>
        <w:gridCol w:w="442"/>
        <w:gridCol w:w="1243"/>
        <w:gridCol w:w="1685"/>
        <w:gridCol w:w="3655"/>
      </w:tblGrid>
      <w:tr w:rsidR="007605E0" w:rsidRPr="00B1632D" w14:paraId="5C2D92D7" w14:textId="77777777" w:rsidTr="009E7F73">
        <w:trPr>
          <w:jc w:val="center"/>
        </w:trPr>
        <w:tc>
          <w:tcPr>
            <w:tcW w:w="1314" w:type="pct"/>
            <w:tcBorders>
              <w:bottom w:val="single" w:sz="6" w:space="0" w:color="auto"/>
            </w:tcBorders>
            <w:shd w:val="clear" w:color="auto" w:fill="C0C0C0"/>
          </w:tcPr>
          <w:p w14:paraId="57ABBAC3"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Data type</w:t>
            </w:r>
          </w:p>
        </w:tc>
        <w:tc>
          <w:tcPr>
            <w:tcW w:w="232" w:type="pct"/>
            <w:tcBorders>
              <w:bottom w:val="single" w:sz="6" w:space="0" w:color="auto"/>
            </w:tcBorders>
            <w:shd w:val="clear" w:color="auto" w:fill="C0C0C0"/>
          </w:tcPr>
          <w:p w14:paraId="7228B04A"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P</w:t>
            </w:r>
          </w:p>
        </w:tc>
        <w:tc>
          <w:tcPr>
            <w:tcW w:w="652" w:type="pct"/>
            <w:tcBorders>
              <w:bottom w:val="single" w:sz="6" w:space="0" w:color="auto"/>
            </w:tcBorders>
            <w:shd w:val="clear" w:color="auto" w:fill="C0C0C0"/>
          </w:tcPr>
          <w:p w14:paraId="1E0004D7"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Cardinality</w:t>
            </w:r>
          </w:p>
        </w:tc>
        <w:tc>
          <w:tcPr>
            <w:tcW w:w="884" w:type="pct"/>
            <w:tcBorders>
              <w:bottom w:val="single" w:sz="6" w:space="0" w:color="auto"/>
            </w:tcBorders>
            <w:shd w:val="clear" w:color="auto" w:fill="C0C0C0"/>
          </w:tcPr>
          <w:p w14:paraId="01C66C9F"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Response codes</w:t>
            </w:r>
          </w:p>
        </w:tc>
        <w:tc>
          <w:tcPr>
            <w:tcW w:w="1919" w:type="pct"/>
            <w:tcBorders>
              <w:bottom w:val="single" w:sz="6" w:space="0" w:color="auto"/>
            </w:tcBorders>
            <w:shd w:val="clear" w:color="auto" w:fill="C0C0C0"/>
          </w:tcPr>
          <w:p w14:paraId="3441D24D"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Description</w:t>
            </w:r>
          </w:p>
        </w:tc>
      </w:tr>
      <w:tr w:rsidR="007605E0" w:rsidRPr="00B1632D" w14:paraId="140BC5FA" w14:textId="77777777" w:rsidTr="009E7F73">
        <w:trPr>
          <w:jc w:val="center"/>
        </w:trPr>
        <w:tc>
          <w:tcPr>
            <w:tcW w:w="1314" w:type="pct"/>
            <w:tcBorders>
              <w:top w:val="single" w:sz="6" w:space="0" w:color="auto"/>
            </w:tcBorders>
          </w:tcPr>
          <w:p w14:paraId="5B671BCB" w14:textId="77777777" w:rsidR="007605E0" w:rsidRPr="00B1632D" w:rsidRDefault="007605E0" w:rsidP="009E7F73">
            <w:pPr>
              <w:keepNext/>
              <w:keepLines/>
              <w:spacing w:after="0"/>
              <w:rPr>
                <w:rFonts w:ascii="Arial" w:hAnsi="Arial"/>
                <w:sz w:val="18"/>
              </w:rPr>
            </w:pPr>
            <w:r w:rsidRPr="00B1632D">
              <w:rPr>
                <w:rFonts w:ascii="Arial" w:eastAsia="等线" w:hAnsi="Arial"/>
                <w:sz w:val="18"/>
              </w:rPr>
              <w:t>NwdafMLModelTrainSubsc</w:t>
            </w:r>
          </w:p>
        </w:tc>
        <w:tc>
          <w:tcPr>
            <w:tcW w:w="232" w:type="pct"/>
            <w:tcBorders>
              <w:top w:val="single" w:sz="6" w:space="0" w:color="auto"/>
            </w:tcBorders>
          </w:tcPr>
          <w:p w14:paraId="1DA224D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M</w:t>
            </w:r>
          </w:p>
        </w:tc>
        <w:tc>
          <w:tcPr>
            <w:tcW w:w="652" w:type="pct"/>
            <w:tcBorders>
              <w:top w:val="single" w:sz="6" w:space="0" w:color="auto"/>
            </w:tcBorders>
          </w:tcPr>
          <w:p w14:paraId="706C541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1</w:t>
            </w:r>
          </w:p>
        </w:tc>
        <w:tc>
          <w:tcPr>
            <w:tcW w:w="884" w:type="pct"/>
            <w:tcBorders>
              <w:top w:val="single" w:sz="6" w:space="0" w:color="auto"/>
            </w:tcBorders>
          </w:tcPr>
          <w:p w14:paraId="06E336ED" w14:textId="77777777" w:rsidR="007605E0" w:rsidRPr="00B1632D" w:rsidRDefault="007605E0" w:rsidP="009E7F73">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1919" w:type="pct"/>
            <w:tcBorders>
              <w:top w:val="single" w:sz="6" w:space="0" w:color="auto"/>
            </w:tcBorders>
          </w:tcPr>
          <w:p w14:paraId="55BECEAE"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partial modified successfully and a representation of that resource is returned.</w:t>
            </w:r>
          </w:p>
        </w:tc>
      </w:tr>
      <w:tr w:rsidR="007605E0" w:rsidRPr="00B1632D" w14:paraId="215DEA8B" w14:textId="77777777" w:rsidTr="009E7F73">
        <w:trPr>
          <w:jc w:val="center"/>
        </w:trPr>
        <w:tc>
          <w:tcPr>
            <w:tcW w:w="1314" w:type="pct"/>
          </w:tcPr>
          <w:p w14:paraId="22B6B65A" w14:textId="77777777" w:rsidR="007605E0" w:rsidRPr="00B1632D" w:rsidRDefault="007605E0" w:rsidP="009E7F73">
            <w:pPr>
              <w:keepNext/>
              <w:keepLines/>
              <w:spacing w:after="0"/>
              <w:rPr>
                <w:rFonts w:ascii="Arial" w:eastAsia="等线" w:hAnsi="Arial"/>
                <w:sz w:val="18"/>
                <w:lang w:eastAsia="zh-CN"/>
              </w:rPr>
            </w:pPr>
            <w:r w:rsidRPr="00B1632D">
              <w:rPr>
                <w:rFonts w:ascii="Arial" w:eastAsia="等线" w:hAnsi="Arial" w:hint="eastAsia"/>
                <w:sz w:val="18"/>
                <w:lang w:eastAsia="zh-CN"/>
              </w:rPr>
              <w:t>n</w:t>
            </w:r>
            <w:r w:rsidRPr="00B1632D">
              <w:rPr>
                <w:rFonts w:ascii="Arial" w:eastAsia="等线" w:hAnsi="Arial"/>
                <w:sz w:val="18"/>
                <w:lang w:eastAsia="zh-CN"/>
              </w:rPr>
              <w:t>/a</w:t>
            </w:r>
          </w:p>
        </w:tc>
        <w:tc>
          <w:tcPr>
            <w:tcW w:w="232" w:type="pct"/>
          </w:tcPr>
          <w:p w14:paraId="567E6CD1" w14:textId="77777777" w:rsidR="007605E0" w:rsidRPr="00B1632D" w:rsidRDefault="007605E0" w:rsidP="009E7F73">
            <w:pPr>
              <w:keepNext/>
              <w:keepLines/>
              <w:spacing w:after="0"/>
              <w:jc w:val="center"/>
              <w:rPr>
                <w:rFonts w:ascii="Arial" w:hAnsi="Arial"/>
                <w:sz w:val="18"/>
              </w:rPr>
            </w:pPr>
          </w:p>
        </w:tc>
        <w:tc>
          <w:tcPr>
            <w:tcW w:w="652" w:type="pct"/>
          </w:tcPr>
          <w:p w14:paraId="4B216AC3" w14:textId="77777777" w:rsidR="007605E0" w:rsidRPr="00B1632D" w:rsidRDefault="007605E0" w:rsidP="009E7F73">
            <w:pPr>
              <w:keepNext/>
              <w:keepLines/>
              <w:spacing w:after="0"/>
              <w:jc w:val="center"/>
              <w:rPr>
                <w:rFonts w:ascii="Arial" w:hAnsi="Arial"/>
                <w:sz w:val="18"/>
              </w:rPr>
            </w:pPr>
          </w:p>
        </w:tc>
        <w:tc>
          <w:tcPr>
            <w:tcW w:w="884" w:type="pct"/>
          </w:tcPr>
          <w:p w14:paraId="5C0996B3" w14:textId="77777777" w:rsidR="007605E0" w:rsidRPr="00B1632D" w:rsidRDefault="007605E0" w:rsidP="009E7F73">
            <w:pPr>
              <w:keepNext/>
              <w:keepLines/>
              <w:spacing w:after="0"/>
              <w:rPr>
                <w:rFonts w:ascii="Arial" w:hAnsi="Arial"/>
                <w:sz w:val="18"/>
              </w:rPr>
            </w:pPr>
            <w:r w:rsidRPr="00B1632D">
              <w:rPr>
                <w:rFonts w:ascii="Arial" w:hAnsi="Arial"/>
                <w:sz w:val="18"/>
              </w:rPr>
              <w:t>204 No Content</w:t>
            </w:r>
          </w:p>
        </w:tc>
        <w:tc>
          <w:tcPr>
            <w:tcW w:w="1919" w:type="pct"/>
          </w:tcPr>
          <w:p w14:paraId="76E74563" w14:textId="77777777" w:rsidR="007605E0" w:rsidRPr="00B1632D" w:rsidRDefault="007605E0" w:rsidP="009E7F73">
            <w:pPr>
              <w:keepNext/>
              <w:keepLines/>
              <w:spacing w:after="0"/>
              <w:rPr>
                <w:rFonts w:ascii="Arial" w:hAnsi="Arial"/>
                <w:sz w:val="18"/>
              </w:rPr>
            </w:pPr>
            <w:r w:rsidRPr="00B1632D">
              <w:rPr>
                <w:rFonts w:ascii="Arial" w:hAnsi="Arial"/>
                <w:sz w:val="18"/>
              </w:rPr>
              <w:t>The Individual NWDAF ML Model Training Subscription resource was partial modified successfully.</w:t>
            </w:r>
          </w:p>
        </w:tc>
      </w:tr>
      <w:tr w:rsidR="007605E0" w:rsidRPr="00B1632D" w14:paraId="0072931D" w14:textId="77777777" w:rsidTr="009E7F73">
        <w:trPr>
          <w:jc w:val="center"/>
        </w:trPr>
        <w:tc>
          <w:tcPr>
            <w:tcW w:w="1314" w:type="pct"/>
          </w:tcPr>
          <w:p w14:paraId="2AFB887A" w14:textId="77777777" w:rsidR="007605E0" w:rsidRPr="00B1632D" w:rsidRDefault="007605E0" w:rsidP="009E7F73">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0EAF69B8"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7A777090"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53263168" w14:textId="77777777" w:rsidR="007605E0" w:rsidRPr="00B1632D" w:rsidRDefault="007605E0" w:rsidP="009E7F73">
            <w:pPr>
              <w:keepNext/>
              <w:keepLines/>
              <w:spacing w:after="0"/>
              <w:rPr>
                <w:rFonts w:ascii="Arial" w:hAnsi="Arial"/>
                <w:sz w:val="18"/>
              </w:rPr>
            </w:pPr>
            <w:r w:rsidRPr="00B1632D">
              <w:rPr>
                <w:rFonts w:ascii="Arial" w:hAnsi="Arial"/>
                <w:sz w:val="18"/>
              </w:rPr>
              <w:t>307 Temporary Redirect</w:t>
            </w:r>
          </w:p>
        </w:tc>
        <w:tc>
          <w:tcPr>
            <w:tcW w:w="1919" w:type="pct"/>
          </w:tcPr>
          <w:p w14:paraId="7B424E9A" w14:textId="77777777" w:rsidR="007605E0" w:rsidRDefault="007605E0" w:rsidP="009E7F73">
            <w:pPr>
              <w:pStyle w:val="TAL"/>
            </w:pPr>
            <w:r w:rsidRPr="00B1632D">
              <w:t>Temporary redirection.</w:t>
            </w:r>
          </w:p>
          <w:p w14:paraId="39CE5265" w14:textId="77777777" w:rsidR="007605E0" w:rsidRDefault="007605E0" w:rsidP="009E7F73">
            <w:pPr>
              <w:pStyle w:val="TAL"/>
            </w:pPr>
          </w:p>
          <w:p w14:paraId="3B3BCEA0" w14:textId="77777777" w:rsidR="007605E0" w:rsidRPr="00B1632D" w:rsidRDefault="007605E0" w:rsidP="0040274B">
            <w:pPr>
              <w:pStyle w:val="TAL"/>
            </w:pPr>
            <w:r>
              <w:t>(NOTE 3)</w:t>
            </w:r>
          </w:p>
        </w:tc>
      </w:tr>
      <w:tr w:rsidR="007605E0" w:rsidRPr="00B1632D" w14:paraId="33DF451D" w14:textId="77777777" w:rsidTr="009E7F73">
        <w:trPr>
          <w:jc w:val="center"/>
        </w:trPr>
        <w:tc>
          <w:tcPr>
            <w:tcW w:w="1314" w:type="pct"/>
          </w:tcPr>
          <w:p w14:paraId="468281D9" w14:textId="77777777" w:rsidR="007605E0" w:rsidRPr="00B1632D" w:rsidRDefault="007605E0" w:rsidP="009E7F73">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17BC322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52" w:type="pct"/>
          </w:tcPr>
          <w:p w14:paraId="29DD030C"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884" w:type="pct"/>
          </w:tcPr>
          <w:p w14:paraId="1ECAA706" w14:textId="77777777" w:rsidR="007605E0" w:rsidRPr="00B1632D" w:rsidRDefault="007605E0" w:rsidP="009E7F73">
            <w:pPr>
              <w:keepNext/>
              <w:keepLines/>
              <w:spacing w:after="0"/>
              <w:rPr>
                <w:rFonts w:ascii="Arial" w:hAnsi="Arial"/>
                <w:sz w:val="18"/>
              </w:rPr>
            </w:pPr>
            <w:r w:rsidRPr="00B1632D">
              <w:rPr>
                <w:rFonts w:ascii="Arial" w:hAnsi="Arial"/>
                <w:sz w:val="18"/>
              </w:rPr>
              <w:t>308 Permanent Redirect</w:t>
            </w:r>
          </w:p>
        </w:tc>
        <w:tc>
          <w:tcPr>
            <w:tcW w:w="1919" w:type="pct"/>
          </w:tcPr>
          <w:p w14:paraId="5F76457A" w14:textId="77777777" w:rsidR="007605E0" w:rsidRDefault="007605E0" w:rsidP="009E7F73">
            <w:pPr>
              <w:pStyle w:val="TAL"/>
            </w:pPr>
            <w:r w:rsidRPr="00B1632D">
              <w:t>Permanent redirection.</w:t>
            </w:r>
          </w:p>
          <w:p w14:paraId="57545148" w14:textId="77777777" w:rsidR="007605E0" w:rsidRDefault="007605E0" w:rsidP="009E7F73">
            <w:pPr>
              <w:pStyle w:val="TAL"/>
            </w:pPr>
          </w:p>
          <w:p w14:paraId="58BF0994" w14:textId="77777777" w:rsidR="007605E0" w:rsidRPr="00B1632D" w:rsidRDefault="007605E0" w:rsidP="0040274B">
            <w:pPr>
              <w:pStyle w:val="TAL"/>
            </w:pPr>
            <w:r>
              <w:t>(NOTE 3)</w:t>
            </w:r>
          </w:p>
        </w:tc>
      </w:tr>
      <w:tr w:rsidR="007605E0" w:rsidRPr="00B1632D" w14:paraId="674E43CE" w14:textId="77777777" w:rsidTr="009E7F73">
        <w:trPr>
          <w:jc w:val="center"/>
        </w:trPr>
        <w:tc>
          <w:tcPr>
            <w:tcW w:w="1314" w:type="pct"/>
          </w:tcPr>
          <w:p w14:paraId="176B34EA"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06D9C483"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6B547E59"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23801558" w14:textId="77777777" w:rsidR="007605E0" w:rsidRPr="00B1632D" w:rsidRDefault="007605E0" w:rsidP="009E7F73">
            <w:pPr>
              <w:keepNext/>
              <w:keepLines/>
              <w:spacing w:after="0"/>
              <w:rPr>
                <w:rFonts w:ascii="Arial" w:hAnsi="Arial"/>
                <w:sz w:val="18"/>
              </w:rPr>
            </w:pPr>
            <w:r>
              <w:rPr>
                <w:rFonts w:ascii="Arial" w:hAnsi="Arial"/>
                <w:sz w:val="18"/>
                <w:lang w:eastAsia="zh-CN"/>
              </w:rPr>
              <w:t>403</w:t>
            </w:r>
            <w:r w:rsidRPr="00B1632D">
              <w:rPr>
                <w:rFonts w:ascii="Arial" w:hAnsi="Arial"/>
                <w:sz w:val="18"/>
              </w:rPr>
              <w:t xml:space="preserve"> </w:t>
            </w:r>
            <w:r>
              <w:rPr>
                <w:rFonts w:ascii="Arial" w:hAnsi="Arial"/>
                <w:sz w:val="18"/>
              </w:rPr>
              <w:t>Forbidden</w:t>
            </w:r>
          </w:p>
        </w:tc>
        <w:tc>
          <w:tcPr>
            <w:tcW w:w="1919" w:type="pct"/>
          </w:tcPr>
          <w:p w14:paraId="03BF91F0"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048ACEEC" w14:textId="77777777" w:rsidTr="009E7F73">
        <w:trPr>
          <w:jc w:val="center"/>
        </w:trPr>
        <w:tc>
          <w:tcPr>
            <w:tcW w:w="1314" w:type="pct"/>
          </w:tcPr>
          <w:p w14:paraId="408C28B4" w14:textId="77777777" w:rsidR="007605E0" w:rsidRPr="00B1632D" w:rsidRDefault="007605E0" w:rsidP="009E7F73">
            <w:pPr>
              <w:keepNext/>
              <w:keepLines/>
              <w:spacing w:after="0"/>
              <w:rPr>
                <w:rFonts w:ascii="Arial" w:hAnsi="Arial"/>
                <w:sz w:val="18"/>
              </w:rPr>
            </w:pPr>
            <w:r w:rsidRPr="00B1632D">
              <w:rPr>
                <w:rFonts w:ascii="Arial" w:hAnsi="Arial"/>
                <w:sz w:val="18"/>
                <w:lang w:eastAsia="zh-CN"/>
              </w:rPr>
              <w:t>ProblemDetails</w:t>
            </w:r>
          </w:p>
        </w:tc>
        <w:tc>
          <w:tcPr>
            <w:tcW w:w="232" w:type="pct"/>
          </w:tcPr>
          <w:p w14:paraId="5C024653"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O</w:t>
            </w:r>
          </w:p>
        </w:tc>
        <w:tc>
          <w:tcPr>
            <w:tcW w:w="652" w:type="pct"/>
          </w:tcPr>
          <w:p w14:paraId="5E50BC30" w14:textId="77777777" w:rsidR="007605E0" w:rsidRPr="00B1632D" w:rsidRDefault="007605E0" w:rsidP="009E7F73">
            <w:pPr>
              <w:keepNext/>
              <w:keepLines/>
              <w:spacing w:after="0"/>
              <w:jc w:val="center"/>
              <w:rPr>
                <w:rFonts w:ascii="Arial" w:hAnsi="Arial"/>
                <w:sz w:val="18"/>
              </w:rPr>
            </w:pPr>
            <w:r w:rsidRPr="00B1632D">
              <w:rPr>
                <w:rFonts w:ascii="Arial" w:hAnsi="Arial"/>
                <w:sz w:val="18"/>
                <w:lang w:eastAsia="zh-CN"/>
              </w:rPr>
              <w:t>0..1</w:t>
            </w:r>
          </w:p>
        </w:tc>
        <w:tc>
          <w:tcPr>
            <w:tcW w:w="884" w:type="pct"/>
          </w:tcPr>
          <w:p w14:paraId="5A5055B4" w14:textId="77777777" w:rsidR="007605E0" w:rsidRPr="00B1632D" w:rsidRDefault="007605E0" w:rsidP="009E7F73">
            <w:pPr>
              <w:keepNext/>
              <w:keepLines/>
              <w:spacing w:after="0"/>
              <w:rPr>
                <w:rFonts w:ascii="Arial" w:hAnsi="Arial"/>
                <w:sz w:val="18"/>
              </w:rPr>
            </w:pPr>
            <w:r w:rsidRPr="00B1632D">
              <w:rPr>
                <w:rFonts w:ascii="Arial" w:hAnsi="Arial" w:hint="eastAsia"/>
                <w:sz w:val="18"/>
                <w:lang w:eastAsia="zh-CN"/>
              </w:rPr>
              <w:t>5</w:t>
            </w:r>
            <w:r w:rsidRPr="00B1632D">
              <w:rPr>
                <w:rFonts w:ascii="Arial" w:hAnsi="Arial"/>
                <w:sz w:val="18"/>
                <w:lang w:eastAsia="zh-CN"/>
              </w:rPr>
              <w:t>0</w:t>
            </w:r>
            <w:r w:rsidRPr="00B1632D">
              <w:rPr>
                <w:rFonts w:ascii="Arial" w:hAnsi="Arial"/>
                <w:sz w:val="18"/>
              </w:rPr>
              <w:t>0 Internal Server Error</w:t>
            </w:r>
          </w:p>
        </w:tc>
        <w:tc>
          <w:tcPr>
            <w:tcW w:w="1919" w:type="pct"/>
          </w:tcPr>
          <w:p w14:paraId="56F4B32E" w14:textId="77777777" w:rsidR="007605E0" w:rsidRPr="00B1632D" w:rsidRDefault="007605E0" w:rsidP="009E7F73">
            <w:pPr>
              <w:keepNext/>
              <w:keepLines/>
              <w:spacing w:after="0"/>
              <w:rPr>
                <w:rFonts w:ascii="Arial" w:hAnsi="Arial"/>
                <w:sz w:val="18"/>
              </w:rPr>
            </w:pPr>
            <w:r w:rsidRPr="00B1632D">
              <w:rPr>
                <w:rFonts w:ascii="Arial" w:hAnsi="Arial"/>
                <w:sz w:val="18"/>
              </w:rPr>
              <w:t>(NOTE 2)</w:t>
            </w:r>
          </w:p>
        </w:tc>
      </w:tr>
      <w:tr w:rsidR="007605E0" w:rsidRPr="00B1632D" w14:paraId="17C47AF0" w14:textId="77777777" w:rsidTr="009E7F73">
        <w:trPr>
          <w:jc w:val="center"/>
        </w:trPr>
        <w:tc>
          <w:tcPr>
            <w:tcW w:w="5000" w:type="pct"/>
            <w:gridSpan w:val="5"/>
          </w:tcPr>
          <w:p w14:paraId="5C30D3BA" w14:textId="77777777" w:rsidR="007605E0" w:rsidRPr="00B1632D" w:rsidRDefault="007605E0" w:rsidP="0040274B">
            <w:pPr>
              <w:pStyle w:val="TAN"/>
            </w:pPr>
            <w:r w:rsidRPr="00B1632D">
              <w:t>NOTE 1:</w:t>
            </w:r>
            <w:r w:rsidRPr="00B1632D">
              <w:tab/>
              <w:t xml:space="preserve">The mandatory HTTP error status codes for the </w:t>
            </w:r>
            <w:r w:rsidRPr="003F1954">
              <w:t xml:space="preserve">PATCH </w:t>
            </w:r>
            <w:r w:rsidRPr="00B1632D">
              <w:t>method listed in table 5.2.7.1-1 of 3GPP TS 29.500 [6] also apply.</w:t>
            </w:r>
          </w:p>
          <w:p w14:paraId="583775EA" w14:textId="77777777" w:rsidR="007605E0" w:rsidRDefault="007605E0" w:rsidP="0040274B">
            <w:pPr>
              <w:pStyle w:val="TAN"/>
            </w:pPr>
            <w:r w:rsidRPr="00B1632D">
              <w:t>NOTE 2:</w:t>
            </w:r>
            <w:r w:rsidRPr="00B1632D">
              <w:tab/>
              <w:t>Failure causes are described in subclause 5.5.7.3.</w:t>
            </w:r>
          </w:p>
          <w:p w14:paraId="62B368B3" w14:textId="77777777" w:rsidR="007605E0" w:rsidRPr="00B1632D" w:rsidRDefault="007605E0" w:rsidP="0040274B">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67AD0FD8" w14:textId="77777777" w:rsidR="007605E0" w:rsidRPr="00B1632D" w:rsidRDefault="007605E0" w:rsidP="007605E0">
      <w:pPr>
        <w:rPr>
          <w:lang w:eastAsia="en-GB"/>
        </w:rPr>
      </w:pPr>
    </w:p>
    <w:p w14:paraId="7545B652" w14:textId="77777777" w:rsidR="007605E0" w:rsidRDefault="007605E0" w:rsidP="007605E0">
      <w:pPr>
        <w:pStyle w:val="TH"/>
      </w:pPr>
      <w:r>
        <w:t>Table 5.5.3.3.3.2-4: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62672108" w14:textId="77777777" w:rsidTr="0040274B">
        <w:trPr>
          <w:jc w:val="center"/>
        </w:trPr>
        <w:tc>
          <w:tcPr>
            <w:tcW w:w="1027" w:type="pct"/>
            <w:tcBorders>
              <w:bottom w:val="single" w:sz="6" w:space="0" w:color="auto"/>
            </w:tcBorders>
            <w:shd w:val="clear" w:color="auto" w:fill="C0C0C0"/>
          </w:tcPr>
          <w:p w14:paraId="0E70545D" w14:textId="77777777" w:rsidR="007605E0" w:rsidRDefault="007605E0" w:rsidP="009E7F73">
            <w:pPr>
              <w:pStyle w:val="TAH"/>
            </w:pPr>
            <w:r>
              <w:t>Name</w:t>
            </w:r>
          </w:p>
        </w:tc>
        <w:tc>
          <w:tcPr>
            <w:tcW w:w="529" w:type="pct"/>
            <w:tcBorders>
              <w:bottom w:val="single" w:sz="6" w:space="0" w:color="auto"/>
            </w:tcBorders>
            <w:shd w:val="clear" w:color="auto" w:fill="C0C0C0"/>
          </w:tcPr>
          <w:p w14:paraId="06612EE8" w14:textId="77777777" w:rsidR="007605E0" w:rsidRDefault="007605E0" w:rsidP="009E7F73">
            <w:pPr>
              <w:pStyle w:val="TAH"/>
            </w:pPr>
            <w:r>
              <w:t>Data type</w:t>
            </w:r>
          </w:p>
        </w:tc>
        <w:tc>
          <w:tcPr>
            <w:tcW w:w="217" w:type="pct"/>
            <w:tcBorders>
              <w:bottom w:val="single" w:sz="6" w:space="0" w:color="auto"/>
            </w:tcBorders>
            <w:shd w:val="clear" w:color="auto" w:fill="C0C0C0"/>
          </w:tcPr>
          <w:p w14:paraId="595139D2" w14:textId="77777777" w:rsidR="007605E0" w:rsidRDefault="007605E0" w:rsidP="009E7F73">
            <w:pPr>
              <w:pStyle w:val="TAH"/>
            </w:pPr>
            <w:r>
              <w:t>P</w:t>
            </w:r>
          </w:p>
        </w:tc>
        <w:tc>
          <w:tcPr>
            <w:tcW w:w="581" w:type="pct"/>
            <w:tcBorders>
              <w:bottom w:val="single" w:sz="6" w:space="0" w:color="auto"/>
            </w:tcBorders>
            <w:shd w:val="clear" w:color="auto" w:fill="C0C0C0"/>
          </w:tcPr>
          <w:p w14:paraId="1C240854"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2D604C98" w14:textId="77777777" w:rsidR="007605E0" w:rsidRDefault="007605E0" w:rsidP="009E7F73">
            <w:pPr>
              <w:pStyle w:val="TAH"/>
            </w:pPr>
            <w:r>
              <w:t>Description</w:t>
            </w:r>
          </w:p>
        </w:tc>
      </w:tr>
      <w:tr w:rsidR="007605E0" w14:paraId="5FFC1A78" w14:textId="77777777" w:rsidTr="0040274B">
        <w:trPr>
          <w:jc w:val="center"/>
        </w:trPr>
        <w:tc>
          <w:tcPr>
            <w:tcW w:w="1027" w:type="pct"/>
            <w:tcBorders>
              <w:top w:val="single" w:sz="6" w:space="0" w:color="auto"/>
            </w:tcBorders>
          </w:tcPr>
          <w:p w14:paraId="296B2A7E" w14:textId="77777777" w:rsidR="007605E0" w:rsidRDefault="007605E0" w:rsidP="009E7F73">
            <w:pPr>
              <w:pStyle w:val="TAL"/>
            </w:pPr>
            <w:r>
              <w:t>Location</w:t>
            </w:r>
          </w:p>
        </w:tc>
        <w:tc>
          <w:tcPr>
            <w:tcW w:w="529" w:type="pct"/>
            <w:tcBorders>
              <w:top w:val="single" w:sz="6" w:space="0" w:color="auto"/>
            </w:tcBorders>
          </w:tcPr>
          <w:p w14:paraId="0F49DD8C" w14:textId="77777777" w:rsidR="007605E0" w:rsidRDefault="007605E0" w:rsidP="009E7F73">
            <w:pPr>
              <w:pStyle w:val="TAL"/>
            </w:pPr>
            <w:r>
              <w:t>string</w:t>
            </w:r>
          </w:p>
        </w:tc>
        <w:tc>
          <w:tcPr>
            <w:tcW w:w="217" w:type="pct"/>
            <w:tcBorders>
              <w:top w:val="single" w:sz="6" w:space="0" w:color="auto"/>
            </w:tcBorders>
          </w:tcPr>
          <w:p w14:paraId="1FC4F910" w14:textId="77777777" w:rsidR="007605E0" w:rsidRDefault="007605E0" w:rsidP="009E7F73">
            <w:pPr>
              <w:pStyle w:val="TAC"/>
            </w:pPr>
            <w:r>
              <w:t>M</w:t>
            </w:r>
          </w:p>
        </w:tc>
        <w:tc>
          <w:tcPr>
            <w:tcW w:w="581" w:type="pct"/>
            <w:tcBorders>
              <w:top w:val="single" w:sz="6" w:space="0" w:color="auto"/>
            </w:tcBorders>
          </w:tcPr>
          <w:p w14:paraId="62938CF0" w14:textId="77777777" w:rsidR="007605E0" w:rsidRDefault="007605E0" w:rsidP="009E7F73">
            <w:pPr>
              <w:pStyle w:val="TAL"/>
            </w:pPr>
            <w:r>
              <w:t>1</w:t>
            </w:r>
          </w:p>
        </w:tc>
        <w:tc>
          <w:tcPr>
            <w:tcW w:w="2645" w:type="pct"/>
            <w:tcBorders>
              <w:top w:val="single" w:sz="6" w:space="0" w:color="auto"/>
            </w:tcBorders>
            <w:vAlign w:val="center"/>
          </w:tcPr>
          <w:p w14:paraId="5192C0E2"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05FE74F3" w14:textId="77777777" w:rsidR="007605E0" w:rsidRDefault="007605E0" w:rsidP="009E7F73">
            <w:pPr>
              <w:pStyle w:val="TAL"/>
            </w:pPr>
          </w:p>
          <w:p w14:paraId="0DD92F66"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581976DC" w14:textId="77777777" w:rsidTr="0040274B">
        <w:trPr>
          <w:jc w:val="center"/>
        </w:trPr>
        <w:tc>
          <w:tcPr>
            <w:tcW w:w="1027" w:type="pct"/>
          </w:tcPr>
          <w:p w14:paraId="65905332" w14:textId="77777777" w:rsidR="007605E0" w:rsidRDefault="007605E0" w:rsidP="009E7F73">
            <w:pPr>
              <w:pStyle w:val="TAL"/>
            </w:pPr>
            <w:r>
              <w:rPr>
                <w:lang w:eastAsia="zh-CN"/>
              </w:rPr>
              <w:t>3gpp-Sbi-Target-Nf-Id</w:t>
            </w:r>
          </w:p>
        </w:tc>
        <w:tc>
          <w:tcPr>
            <w:tcW w:w="529" w:type="pct"/>
          </w:tcPr>
          <w:p w14:paraId="6CD48AB1" w14:textId="77777777" w:rsidR="007605E0" w:rsidRDefault="007605E0" w:rsidP="009E7F73">
            <w:pPr>
              <w:pStyle w:val="TAL"/>
            </w:pPr>
            <w:r>
              <w:rPr>
                <w:lang w:eastAsia="fr-FR"/>
              </w:rPr>
              <w:t>string</w:t>
            </w:r>
          </w:p>
        </w:tc>
        <w:tc>
          <w:tcPr>
            <w:tcW w:w="217" w:type="pct"/>
          </w:tcPr>
          <w:p w14:paraId="30D986DD" w14:textId="77777777" w:rsidR="007605E0" w:rsidRDefault="007605E0" w:rsidP="009E7F73">
            <w:pPr>
              <w:pStyle w:val="TAC"/>
            </w:pPr>
            <w:r>
              <w:rPr>
                <w:lang w:eastAsia="fr-FR"/>
              </w:rPr>
              <w:t>O</w:t>
            </w:r>
          </w:p>
        </w:tc>
        <w:tc>
          <w:tcPr>
            <w:tcW w:w="581" w:type="pct"/>
          </w:tcPr>
          <w:p w14:paraId="241788C1" w14:textId="77777777" w:rsidR="007605E0" w:rsidRDefault="007605E0" w:rsidP="009E7F73">
            <w:pPr>
              <w:pStyle w:val="TAL"/>
            </w:pPr>
            <w:r>
              <w:rPr>
                <w:lang w:eastAsia="fr-FR"/>
              </w:rPr>
              <w:t>0..1</w:t>
            </w:r>
          </w:p>
        </w:tc>
        <w:tc>
          <w:tcPr>
            <w:tcW w:w="2645" w:type="pct"/>
            <w:vAlign w:val="center"/>
          </w:tcPr>
          <w:p w14:paraId="35E61DFE" w14:textId="77777777" w:rsidR="007605E0" w:rsidRDefault="007605E0" w:rsidP="009E7F73">
            <w:pPr>
              <w:pStyle w:val="TAL"/>
            </w:pPr>
            <w:r>
              <w:rPr>
                <w:lang w:eastAsia="fr-FR"/>
              </w:rPr>
              <w:t>Contains the identifier of the target NF (service) instance towards which the request is redirected</w:t>
            </w:r>
          </w:p>
        </w:tc>
      </w:tr>
    </w:tbl>
    <w:p w14:paraId="63F1AABD" w14:textId="77777777" w:rsidR="007605E0" w:rsidRDefault="007605E0" w:rsidP="007605E0"/>
    <w:p w14:paraId="4930062D" w14:textId="77777777" w:rsidR="007605E0" w:rsidRDefault="007605E0" w:rsidP="007605E0">
      <w:pPr>
        <w:pStyle w:val="TH"/>
      </w:pPr>
      <w:r>
        <w:t>Table 5.5.3.3.3.2-5: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1966838F" w14:textId="77777777" w:rsidTr="0040274B">
        <w:trPr>
          <w:jc w:val="center"/>
        </w:trPr>
        <w:tc>
          <w:tcPr>
            <w:tcW w:w="1027" w:type="pct"/>
            <w:tcBorders>
              <w:bottom w:val="single" w:sz="6" w:space="0" w:color="auto"/>
            </w:tcBorders>
            <w:shd w:val="clear" w:color="auto" w:fill="C0C0C0"/>
          </w:tcPr>
          <w:p w14:paraId="5269CD4E" w14:textId="77777777" w:rsidR="007605E0" w:rsidRDefault="007605E0" w:rsidP="009E7F73">
            <w:pPr>
              <w:pStyle w:val="TAH"/>
            </w:pPr>
            <w:r>
              <w:t>Name</w:t>
            </w:r>
          </w:p>
        </w:tc>
        <w:tc>
          <w:tcPr>
            <w:tcW w:w="529" w:type="pct"/>
            <w:tcBorders>
              <w:bottom w:val="single" w:sz="6" w:space="0" w:color="auto"/>
            </w:tcBorders>
            <w:shd w:val="clear" w:color="auto" w:fill="C0C0C0"/>
          </w:tcPr>
          <w:p w14:paraId="3FF604D3" w14:textId="77777777" w:rsidR="007605E0" w:rsidRDefault="007605E0" w:rsidP="009E7F73">
            <w:pPr>
              <w:pStyle w:val="TAH"/>
            </w:pPr>
            <w:r>
              <w:t>Data type</w:t>
            </w:r>
          </w:p>
        </w:tc>
        <w:tc>
          <w:tcPr>
            <w:tcW w:w="217" w:type="pct"/>
            <w:tcBorders>
              <w:bottom w:val="single" w:sz="6" w:space="0" w:color="auto"/>
            </w:tcBorders>
            <w:shd w:val="clear" w:color="auto" w:fill="C0C0C0"/>
          </w:tcPr>
          <w:p w14:paraId="5C23E42C" w14:textId="77777777" w:rsidR="007605E0" w:rsidRDefault="007605E0" w:rsidP="009E7F73">
            <w:pPr>
              <w:pStyle w:val="TAH"/>
            </w:pPr>
            <w:r>
              <w:t>P</w:t>
            </w:r>
          </w:p>
        </w:tc>
        <w:tc>
          <w:tcPr>
            <w:tcW w:w="581" w:type="pct"/>
            <w:tcBorders>
              <w:bottom w:val="single" w:sz="6" w:space="0" w:color="auto"/>
            </w:tcBorders>
            <w:shd w:val="clear" w:color="auto" w:fill="C0C0C0"/>
          </w:tcPr>
          <w:p w14:paraId="67F55DCC"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4B1C57F1" w14:textId="77777777" w:rsidR="007605E0" w:rsidRDefault="007605E0" w:rsidP="009E7F73">
            <w:pPr>
              <w:pStyle w:val="TAH"/>
            </w:pPr>
            <w:r>
              <w:t>Description</w:t>
            </w:r>
          </w:p>
        </w:tc>
      </w:tr>
      <w:tr w:rsidR="007605E0" w14:paraId="1BFB7959" w14:textId="77777777" w:rsidTr="0040274B">
        <w:trPr>
          <w:jc w:val="center"/>
        </w:trPr>
        <w:tc>
          <w:tcPr>
            <w:tcW w:w="1027" w:type="pct"/>
            <w:tcBorders>
              <w:top w:val="single" w:sz="6" w:space="0" w:color="auto"/>
            </w:tcBorders>
          </w:tcPr>
          <w:p w14:paraId="0CD1B19C" w14:textId="77777777" w:rsidR="007605E0" w:rsidRDefault="007605E0" w:rsidP="009E7F73">
            <w:pPr>
              <w:pStyle w:val="TAL"/>
            </w:pPr>
            <w:r>
              <w:t>Location</w:t>
            </w:r>
          </w:p>
        </w:tc>
        <w:tc>
          <w:tcPr>
            <w:tcW w:w="529" w:type="pct"/>
            <w:tcBorders>
              <w:top w:val="single" w:sz="6" w:space="0" w:color="auto"/>
            </w:tcBorders>
          </w:tcPr>
          <w:p w14:paraId="63976B09" w14:textId="77777777" w:rsidR="007605E0" w:rsidRDefault="007605E0" w:rsidP="009E7F73">
            <w:pPr>
              <w:pStyle w:val="TAL"/>
            </w:pPr>
            <w:r>
              <w:t>string</w:t>
            </w:r>
          </w:p>
        </w:tc>
        <w:tc>
          <w:tcPr>
            <w:tcW w:w="217" w:type="pct"/>
            <w:tcBorders>
              <w:top w:val="single" w:sz="6" w:space="0" w:color="auto"/>
            </w:tcBorders>
          </w:tcPr>
          <w:p w14:paraId="42F22F68" w14:textId="77777777" w:rsidR="007605E0" w:rsidRDefault="007605E0" w:rsidP="009E7F73">
            <w:pPr>
              <w:pStyle w:val="TAC"/>
            </w:pPr>
            <w:r>
              <w:t>M</w:t>
            </w:r>
          </w:p>
        </w:tc>
        <w:tc>
          <w:tcPr>
            <w:tcW w:w="581" w:type="pct"/>
            <w:tcBorders>
              <w:top w:val="single" w:sz="6" w:space="0" w:color="auto"/>
            </w:tcBorders>
          </w:tcPr>
          <w:p w14:paraId="60117B47" w14:textId="77777777" w:rsidR="007605E0" w:rsidRDefault="007605E0" w:rsidP="009E7F73">
            <w:pPr>
              <w:pStyle w:val="TAL"/>
            </w:pPr>
            <w:r>
              <w:t>1</w:t>
            </w:r>
          </w:p>
        </w:tc>
        <w:tc>
          <w:tcPr>
            <w:tcW w:w="2645" w:type="pct"/>
            <w:tcBorders>
              <w:top w:val="single" w:sz="6" w:space="0" w:color="auto"/>
            </w:tcBorders>
            <w:vAlign w:val="center"/>
          </w:tcPr>
          <w:p w14:paraId="19B32C1C"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09AFF56F" w14:textId="77777777" w:rsidR="007605E0" w:rsidRDefault="007605E0" w:rsidP="009E7F73">
            <w:pPr>
              <w:pStyle w:val="TAL"/>
            </w:pPr>
          </w:p>
          <w:p w14:paraId="3E674CD6"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188EB874" w14:textId="77777777" w:rsidTr="0040274B">
        <w:trPr>
          <w:jc w:val="center"/>
        </w:trPr>
        <w:tc>
          <w:tcPr>
            <w:tcW w:w="1027" w:type="pct"/>
          </w:tcPr>
          <w:p w14:paraId="196B0960" w14:textId="77777777" w:rsidR="007605E0" w:rsidRDefault="007605E0" w:rsidP="009E7F73">
            <w:pPr>
              <w:pStyle w:val="TAL"/>
            </w:pPr>
            <w:r>
              <w:rPr>
                <w:lang w:eastAsia="zh-CN"/>
              </w:rPr>
              <w:t>3gpp-Sbi-Target-Nf-Id</w:t>
            </w:r>
          </w:p>
        </w:tc>
        <w:tc>
          <w:tcPr>
            <w:tcW w:w="529" w:type="pct"/>
          </w:tcPr>
          <w:p w14:paraId="3A536AA3" w14:textId="77777777" w:rsidR="007605E0" w:rsidRDefault="007605E0" w:rsidP="009E7F73">
            <w:pPr>
              <w:pStyle w:val="TAL"/>
            </w:pPr>
            <w:r>
              <w:rPr>
                <w:lang w:eastAsia="fr-FR"/>
              </w:rPr>
              <w:t>string</w:t>
            </w:r>
          </w:p>
        </w:tc>
        <w:tc>
          <w:tcPr>
            <w:tcW w:w="217" w:type="pct"/>
          </w:tcPr>
          <w:p w14:paraId="2D2EC2FC" w14:textId="77777777" w:rsidR="007605E0" w:rsidRDefault="007605E0" w:rsidP="009E7F73">
            <w:pPr>
              <w:pStyle w:val="TAC"/>
            </w:pPr>
            <w:r>
              <w:rPr>
                <w:lang w:eastAsia="fr-FR"/>
              </w:rPr>
              <w:t>O</w:t>
            </w:r>
          </w:p>
        </w:tc>
        <w:tc>
          <w:tcPr>
            <w:tcW w:w="581" w:type="pct"/>
          </w:tcPr>
          <w:p w14:paraId="75FB1A3B" w14:textId="77777777" w:rsidR="007605E0" w:rsidRDefault="007605E0" w:rsidP="009E7F73">
            <w:pPr>
              <w:pStyle w:val="TAL"/>
            </w:pPr>
            <w:r>
              <w:rPr>
                <w:lang w:eastAsia="fr-FR"/>
              </w:rPr>
              <w:t>0..1</w:t>
            </w:r>
          </w:p>
        </w:tc>
        <w:tc>
          <w:tcPr>
            <w:tcW w:w="2645" w:type="pct"/>
            <w:vAlign w:val="center"/>
          </w:tcPr>
          <w:p w14:paraId="3D2A3DB9" w14:textId="77777777" w:rsidR="007605E0" w:rsidRDefault="007605E0" w:rsidP="009E7F73">
            <w:pPr>
              <w:pStyle w:val="TAL"/>
            </w:pPr>
            <w:r>
              <w:rPr>
                <w:lang w:eastAsia="fr-FR"/>
              </w:rPr>
              <w:t>Contains the identifier of the target NF (service) instance towards which the request is redirected</w:t>
            </w:r>
          </w:p>
        </w:tc>
      </w:tr>
    </w:tbl>
    <w:p w14:paraId="3646F03D" w14:textId="77777777" w:rsidR="00A10B25" w:rsidRPr="007605E0" w:rsidRDefault="00A10B25">
      <w:pPr>
        <w:rPr>
          <w:rFonts w:eastAsia="MS Mincho"/>
          <w:lang w:eastAsia="ja-JP"/>
        </w:rPr>
      </w:pPr>
    </w:p>
    <w:p w14:paraId="5A7B338B" w14:textId="77777777" w:rsidR="00A10B25" w:rsidRDefault="00A10B25">
      <w:pPr>
        <w:pStyle w:val="6"/>
      </w:pPr>
      <w:bookmarkStart w:id="14625" w:name="_Toc148522930"/>
      <w:bookmarkStart w:id="14626" w:name="_Toc138754518"/>
      <w:bookmarkStart w:id="14627" w:name="_Toc145706013"/>
      <w:bookmarkStart w:id="14628" w:name="_Toc136562684"/>
      <w:bookmarkStart w:id="14629" w:name="_Toc164921118"/>
      <w:bookmarkStart w:id="14630" w:name="_Toc170120660"/>
      <w:bookmarkStart w:id="14631" w:name="_Toc175858905"/>
      <w:bookmarkStart w:id="14632" w:name="_Toc175859978"/>
      <w:bookmarkStart w:id="14633" w:name="_Toc180606268"/>
      <w:bookmarkStart w:id="14634" w:name="_Toc185517529"/>
      <w:bookmarkStart w:id="14635" w:name="_Toc191576581"/>
      <w:bookmarkStart w:id="14636" w:name="_Toc191577321"/>
      <w:bookmarkStart w:id="14637" w:name="_Toc192880391"/>
      <w:bookmarkStart w:id="14638" w:name="_Toc195815280"/>
      <w:bookmarkStart w:id="14639" w:name="_Toc199453247"/>
      <w:r>
        <w:t>5.5.3.3.3.3</w:t>
      </w:r>
      <w:r>
        <w:tab/>
        <w:t>DELETE</w:t>
      </w:r>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p>
    <w:p w14:paraId="43753E1A" w14:textId="77777777" w:rsidR="00A10B25" w:rsidRDefault="00A10B25">
      <w:r>
        <w:t>This method shall support the URI query parameters specified in table 5.5.3.3.3.3-1.</w:t>
      </w:r>
    </w:p>
    <w:p w14:paraId="03DC46C9" w14:textId="77777777" w:rsidR="00A10B25" w:rsidRDefault="00A10B25">
      <w:pPr>
        <w:pStyle w:val="TH"/>
      </w:pPr>
      <w:r>
        <w:t>Table 5.5.3.3.3.3-1: URI query parameters supported by the DELETE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D2D1F77" w14:textId="77777777">
        <w:trPr>
          <w:jc w:val="center"/>
        </w:trPr>
        <w:tc>
          <w:tcPr>
            <w:tcW w:w="825" w:type="pct"/>
            <w:tcBorders>
              <w:bottom w:val="single" w:sz="6" w:space="0" w:color="auto"/>
            </w:tcBorders>
            <w:shd w:val="clear" w:color="auto" w:fill="C0C0C0"/>
          </w:tcPr>
          <w:p w14:paraId="3494509B" w14:textId="77777777" w:rsidR="00A10B25" w:rsidRDefault="00A10B25">
            <w:pPr>
              <w:pStyle w:val="TAH"/>
            </w:pPr>
            <w:r>
              <w:t>Name</w:t>
            </w:r>
          </w:p>
        </w:tc>
        <w:tc>
          <w:tcPr>
            <w:tcW w:w="732" w:type="pct"/>
            <w:tcBorders>
              <w:bottom w:val="single" w:sz="6" w:space="0" w:color="auto"/>
            </w:tcBorders>
            <w:shd w:val="clear" w:color="auto" w:fill="C0C0C0"/>
          </w:tcPr>
          <w:p w14:paraId="38E51E01" w14:textId="77777777" w:rsidR="00A10B25" w:rsidRDefault="00A10B25">
            <w:pPr>
              <w:pStyle w:val="TAH"/>
            </w:pPr>
            <w:r>
              <w:t>Data type</w:t>
            </w:r>
          </w:p>
        </w:tc>
        <w:tc>
          <w:tcPr>
            <w:tcW w:w="217" w:type="pct"/>
            <w:tcBorders>
              <w:bottom w:val="single" w:sz="6" w:space="0" w:color="auto"/>
            </w:tcBorders>
            <w:shd w:val="clear" w:color="auto" w:fill="C0C0C0"/>
          </w:tcPr>
          <w:p w14:paraId="48BCE215" w14:textId="77777777" w:rsidR="00A10B25" w:rsidRDefault="00A10B25">
            <w:pPr>
              <w:pStyle w:val="TAH"/>
            </w:pPr>
            <w:r>
              <w:t>P</w:t>
            </w:r>
          </w:p>
        </w:tc>
        <w:tc>
          <w:tcPr>
            <w:tcW w:w="581" w:type="pct"/>
            <w:tcBorders>
              <w:bottom w:val="single" w:sz="6" w:space="0" w:color="auto"/>
            </w:tcBorders>
            <w:shd w:val="clear" w:color="auto" w:fill="C0C0C0"/>
          </w:tcPr>
          <w:p w14:paraId="113A11AE" w14:textId="77777777" w:rsidR="00A10B25" w:rsidRDefault="00A10B25">
            <w:pPr>
              <w:pStyle w:val="TAH"/>
            </w:pPr>
            <w:r>
              <w:t>Cardinality</w:t>
            </w:r>
          </w:p>
        </w:tc>
        <w:tc>
          <w:tcPr>
            <w:tcW w:w="2646" w:type="pct"/>
            <w:tcBorders>
              <w:bottom w:val="single" w:sz="6" w:space="0" w:color="auto"/>
            </w:tcBorders>
            <w:shd w:val="clear" w:color="auto" w:fill="C0C0C0"/>
            <w:vAlign w:val="center"/>
          </w:tcPr>
          <w:p w14:paraId="7BC4EFB6" w14:textId="77777777" w:rsidR="00A10B25" w:rsidRDefault="00A10B25">
            <w:pPr>
              <w:pStyle w:val="TAH"/>
            </w:pPr>
            <w:r>
              <w:t>Description</w:t>
            </w:r>
          </w:p>
        </w:tc>
      </w:tr>
      <w:tr w:rsidR="00A10B25" w14:paraId="0E72F0E7" w14:textId="77777777">
        <w:trPr>
          <w:jc w:val="center"/>
        </w:trPr>
        <w:tc>
          <w:tcPr>
            <w:tcW w:w="825" w:type="pct"/>
            <w:tcBorders>
              <w:top w:val="single" w:sz="6" w:space="0" w:color="auto"/>
            </w:tcBorders>
          </w:tcPr>
          <w:p w14:paraId="571CE5EE" w14:textId="77777777" w:rsidR="00A10B25" w:rsidRDefault="00A10B25">
            <w:pPr>
              <w:pStyle w:val="TAL"/>
            </w:pPr>
            <w:r>
              <w:t>n/a</w:t>
            </w:r>
          </w:p>
        </w:tc>
        <w:tc>
          <w:tcPr>
            <w:tcW w:w="732" w:type="pct"/>
            <w:tcBorders>
              <w:top w:val="single" w:sz="6" w:space="0" w:color="auto"/>
            </w:tcBorders>
          </w:tcPr>
          <w:p w14:paraId="0AADC32A" w14:textId="77777777" w:rsidR="00A10B25" w:rsidRDefault="00A10B25">
            <w:pPr>
              <w:pStyle w:val="TAL"/>
            </w:pPr>
          </w:p>
        </w:tc>
        <w:tc>
          <w:tcPr>
            <w:tcW w:w="217" w:type="pct"/>
            <w:tcBorders>
              <w:top w:val="single" w:sz="6" w:space="0" w:color="auto"/>
            </w:tcBorders>
          </w:tcPr>
          <w:p w14:paraId="4724E4B8" w14:textId="77777777" w:rsidR="00A10B25" w:rsidRDefault="00A10B25">
            <w:pPr>
              <w:pStyle w:val="TAC"/>
            </w:pPr>
          </w:p>
        </w:tc>
        <w:tc>
          <w:tcPr>
            <w:tcW w:w="581" w:type="pct"/>
            <w:tcBorders>
              <w:top w:val="single" w:sz="6" w:space="0" w:color="auto"/>
            </w:tcBorders>
          </w:tcPr>
          <w:p w14:paraId="6D67451A" w14:textId="77777777" w:rsidR="00A10B25" w:rsidRDefault="00A10B25">
            <w:pPr>
              <w:pStyle w:val="TAL"/>
            </w:pPr>
          </w:p>
        </w:tc>
        <w:tc>
          <w:tcPr>
            <w:tcW w:w="2646" w:type="pct"/>
            <w:tcBorders>
              <w:top w:val="single" w:sz="6" w:space="0" w:color="auto"/>
            </w:tcBorders>
            <w:vAlign w:val="center"/>
          </w:tcPr>
          <w:p w14:paraId="2DD2E39E" w14:textId="77777777" w:rsidR="00A10B25" w:rsidRDefault="00A10B25">
            <w:pPr>
              <w:pStyle w:val="TAL"/>
            </w:pPr>
          </w:p>
        </w:tc>
      </w:tr>
    </w:tbl>
    <w:p w14:paraId="6A9092DA" w14:textId="77777777" w:rsidR="00A10B25" w:rsidRDefault="00A10B25"/>
    <w:p w14:paraId="475E933B" w14:textId="77777777" w:rsidR="00A10B25" w:rsidRDefault="00A10B25">
      <w:r>
        <w:t>This method shall support the request data structures specified in table 5.5.3.3.3.3-2 and the response data structures and response codes specified in table 5.5.3.3.3.3-3.</w:t>
      </w:r>
    </w:p>
    <w:p w14:paraId="124316B4" w14:textId="77777777" w:rsidR="00A10B25" w:rsidRDefault="00A10B25">
      <w:pPr>
        <w:pStyle w:val="TH"/>
      </w:pPr>
      <w:r>
        <w:lastRenderedPageBreak/>
        <w:t>Table 5.5.3.3.3.2-2: Data structures supported by the DELETE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607D58C6" w14:textId="77777777">
        <w:trPr>
          <w:jc w:val="center"/>
        </w:trPr>
        <w:tc>
          <w:tcPr>
            <w:tcW w:w="1586" w:type="dxa"/>
            <w:tcBorders>
              <w:bottom w:val="single" w:sz="6" w:space="0" w:color="auto"/>
            </w:tcBorders>
            <w:shd w:val="clear" w:color="auto" w:fill="C0C0C0"/>
          </w:tcPr>
          <w:p w14:paraId="32CAA9D2" w14:textId="77777777" w:rsidR="00A10B25" w:rsidRDefault="00A10B25">
            <w:pPr>
              <w:pStyle w:val="TAH"/>
            </w:pPr>
            <w:r>
              <w:t>Data type</w:t>
            </w:r>
          </w:p>
        </w:tc>
        <w:tc>
          <w:tcPr>
            <w:tcW w:w="418" w:type="dxa"/>
            <w:tcBorders>
              <w:bottom w:val="single" w:sz="6" w:space="0" w:color="auto"/>
            </w:tcBorders>
            <w:shd w:val="clear" w:color="auto" w:fill="C0C0C0"/>
          </w:tcPr>
          <w:p w14:paraId="23E19A22" w14:textId="77777777" w:rsidR="00A10B25" w:rsidRDefault="00A10B25">
            <w:pPr>
              <w:pStyle w:val="TAH"/>
            </w:pPr>
            <w:r>
              <w:t>P</w:t>
            </w:r>
          </w:p>
        </w:tc>
        <w:tc>
          <w:tcPr>
            <w:tcW w:w="1246" w:type="dxa"/>
            <w:tcBorders>
              <w:bottom w:val="single" w:sz="6" w:space="0" w:color="auto"/>
            </w:tcBorders>
            <w:shd w:val="clear" w:color="auto" w:fill="C0C0C0"/>
          </w:tcPr>
          <w:p w14:paraId="20E2D0B6" w14:textId="77777777" w:rsidR="00A10B25" w:rsidRDefault="00A10B25">
            <w:pPr>
              <w:pStyle w:val="TAH"/>
            </w:pPr>
            <w:r>
              <w:t>Cardinality</w:t>
            </w:r>
          </w:p>
        </w:tc>
        <w:tc>
          <w:tcPr>
            <w:tcW w:w="6277" w:type="dxa"/>
            <w:tcBorders>
              <w:bottom w:val="single" w:sz="6" w:space="0" w:color="auto"/>
            </w:tcBorders>
            <w:shd w:val="clear" w:color="auto" w:fill="C0C0C0"/>
            <w:vAlign w:val="center"/>
          </w:tcPr>
          <w:p w14:paraId="386D9F19" w14:textId="77777777" w:rsidR="00A10B25" w:rsidRDefault="00A10B25">
            <w:pPr>
              <w:pStyle w:val="TAH"/>
            </w:pPr>
            <w:r>
              <w:t>Description</w:t>
            </w:r>
          </w:p>
        </w:tc>
      </w:tr>
      <w:tr w:rsidR="00A10B25" w14:paraId="468C647E" w14:textId="77777777">
        <w:trPr>
          <w:jc w:val="center"/>
        </w:trPr>
        <w:tc>
          <w:tcPr>
            <w:tcW w:w="1586" w:type="dxa"/>
            <w:tcBorders>
              <w:top w:val="single" w:sz="6" w:space="0" w:color="auto"/>
            </w:tcBorders>
          </w:tcPr>
          <w:p w14:paraId="43C383D7" w14:textId="77777777" w:rsidR="00A10B25" w:rsidRDefault="00A10B25">
            <w:pPr>
              <w:pStyle w:val="TAL"/>
            </w:pPr>
          </w:p>
        </w:tc>
        <w:tc>
          <w:tcPr>
            <w:tcW w:w="418" w:type="dxa"/>
            <w:tcBorders>
              <w:top w:val="single" w:sz="6" w:space="0" w:color="auto"/>
            </w:tcBorders>
          </w:tcPr>
          <w:p w14:paraId="3EA595C3" w14:textId="77777777" w:rsidR="00A10B25" w:rsidRDefault="00A10B25">
            <w:pPr>
              <w:pStyle w:val="TAC"/>
            </w:pPr>
          </w:p>
        </w:tc>
        <w:tc>
          <w:tcPr>
            <w:tcW w:w="1246" w:type="dxa"/>
            <w:tcBorders>
              <w:top w:val="single" w:sz="6" w:space="0" w:color="auto"/>
            </w:tcBorders>
          </w:tcPr>
          <w:p w14:paraId="716F3EB1" w14:textId="77777777" w:rsidR="00A10B25" w:rsidRDefault="00A10B25">
            <w:pPr>
              <w:pStyle w:val="TAL"/>
            </w:pPr>
          </w:p>
        </w:tc>
        <w:tc>
          <w:tcPr>
            <w:tcW w:w="6277" w:type="dxa"/>
            <w:tcBorders>
              <w:top w:val="single" w:sz="6" w:space="0" w:color="auto"/>
            </w:tcBorders>
          </w:tcPr>
          <w:p w14:paraId="53C4F8DF" w14:textId="77777777" w:rsidR="00A10B25" w:rsidRDefault="00A10B25">
            <w:pPr>
              <w:pStyle w:val="TAL"/>
            </w:pPr>
          </w:p>
        </w:tc>
      </w:tr>
    </w:tbl>
    <w:p w14:paraId="12F81BAE" w14:textId="77777777" w:rsidR="00A10B25" w:rsidRDefault="00A10B25"/>
    <w:p w14:paraId="534A96E2" w14:textId="77777777" w:rsidR="007605E0" w:rsidRDefault="007605E0" w:rsidP="007605E0">
      <w:pPr>
        <w:pStyle w:val="TH"/>
      </w:pPr>
      <w:r>
        <w:t>Table 5.5.3.3.3.3-3: Data structures supported by the DELETE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7605E0" w14:paraId="72DB6AFB" w14:textId="77777777" w:rsidTr="009E7F73">
        <w:trPr>
          <w:jc w:val="center"/>
        </w:trPr>
        <w:tc>
          <w:tcPr>
            <w:tcW w:w="848" w:type="pct"/>
            <w:tcBorders>
              <w:bottom w:val="single" w:sz="6" w:space="0" w:color="auto"/>
            </w:tcBorders>
            <w:shd w:val="clear" w:color="auto" w:fill="C0C0C0"/>
          </w:tcPr>
          <w:p w14:paraId="6F8B508A" w14:textId="77777777" w:rsidR="007605E0" w:rsidRDefault="007605E0" w:rsidP="009E7F73">
            <w:pPr>
              <w:pStyle w:val="TAH"/>
            </w:pPr>
            <w:r>
              <w:t>Data type</w:t>
            </w:r>
          </w:p>
        </w:tc>
        <w:tc>
          <w:tcPr>
            <w:tcW w:w="223" w:type="pct"/>
            <w:tcBorders>
              <w:bottom w:val="single" w:sz="6" w:space="0" w:color="auto"/>
            </w:tcBorders>
            <w:shd w:val="clear" w:color="auto" w:fill="C0C0C0"/>
          </w:tcPr>
          <w:p w14:paraId="4E9DA250" w14:textId="77777777" w:rsidR="007605E0" w:rsidRDefault="007605E0" w:rsidP="009E7F73">
            <w:pPr>
              <w:pStyle w:val="TAH"/>
            </w:pPr>
            <w:r>
              <w:t>P</w:t>
            </w:r>
          </w:p>
        </w:tc>
        <w:tc>
          <w:tcPr>
            <w:tcW w:w="643" w:type="pct"/>
            <w:tcBorders>
              <w:bottom w:val="single" w:sz="6" w:space="0" w:color="auto"/>
            </w:tcBorders>
            <w:shd w:val="clear" w:color="auto" w:fill="C0C0C0"/>
          </w:tcPr>
          <w:p w14:paraId="1068AB5C" w14:textId="77777777" w:rsidR="007605E0" w:rsidRDefault="007605E0" w:rsidP="009E7F73">
            <w:pPr>
              <w:pStyle w:val="TAH"/>
            </w:pPr>
            <w:r>
              <w:t>Cardinality</w:t>
            </w:r>
          </w:p>
        </w:tc>
        <w:tc>
          <w:tcPr>
            <w:tcW w:w="577" w:type="pct"/>
            <w:tcBorders>
              <w:bottom w:val="single" w:sz="6" w:space="0" w:color="auto"/>
            </w:tcBorders>
            <w:shd w:val="clear" w:color="auto" w:fill="C0C0C0"/>
          </w:tcPr>
          <w:p w14:paraId="1A82A92A" w14:textId="77777777" w:rsidR="007605E0" w:rsidRDefault="007605E0" w:rsidP="009E7F73">
            <w:pPr>
              <w:pStyle w:val="TAH"/>
            </w:pPr>
            <w:r>
              <w:t>Response</w:t>
            </w:r>
          </w:p>
          <w:p w14:paraId="21A06157" w14:textId="77777777" w:rsidR="007605E0" w:rsidRDefault="007605E0" w:rsidP="009E7F73">
            <w:pPr>
              <w:pStyle w:val="TAH"/>
            </w:pPr>
            <w:r>
              <w:t>codes</w:t>
            </w:r>
          </w:p>
        </w:tc>
        <w:tc>
          <w:tcPr>
            <w:tcW w:w="2708" w:type="pct"/>
            <w:tcBorders>
              <w:bottom w:val="single" w:sz="6" w:space="0" w:color="auto"/>
            </w:tcBorders>
            <w:shd w:val="clear" w:color="auto" w:fill="C0C0C0"/>
          </w:tcPr>
          <w:p w14:paraId="20C2F91C" w14:textId="77777777" w:rsidR="007605E0" w:rsidRDefault="007605E0" w:rsidP="009E7F73">
            <w:pPr>
              <w:pStyle w:val="TAH"/>
            </w:pPr>
            <w:r>
              <w:t>Description</w:t>
            </w:r>
          </w:p>
        </w:tc>
      </w:tr>
      <w:tr w:rsidR="007605E0" w14:paraId="4CCF6421" w14:textId="77777777" w:rsidTr="009E7F73">
        <w:trPr>
          <w:jc w:val="center"/>
        </w:trPr>
        <w:tc>
          <w:tcPr>
            <w:tcW w:w="848" w:type="pct"/>
            <w:tcBorders>
              <w:top w:val="single" w:sz="6" w:space="0" w:color="auto"/>
            </w:tcBorders>
          </w:tcPr>
          <w:p w14:paraId="66A407C8" w14:textId="77777777" w:rsidR="007605E0" w:rsidRDefault="007605E0" w:rsidP="009E7F73">
            <w:pPr>
              <w:pStyle w:val="TAL"/>
            </w:pPr>
            <w:r>
              <w:t>n/a</w:t>
            </w:r>
          </w:p>
        </w:tc>
        <w:tc>
          <w:tcPr>
            <w:tcW w:w="223" w:type="pct"/>
            <w:tcBorders>
              <w:top w:val="single" w:sz="6" w:space="0" w:color="auto"/>
            </w:tcBorders>
          </w:tcPr>
          <w:p w14:paraId="3DCB7360" w14:textId="77777777" w:rsidR="007605E0" w:rsidRDefault="007605E0" w:rsidP="009E7F73">
            <w:pPr>
              <w:pStyle w:val="TAC"/>
            </w:pPr>
          </w:p>
        </w:tc>
        <w:tc>
          <w:tcPr>
            <w:tcW w:w="643" w:type="pct"/>
            <w:tcBorders>
              <w:top w:val="single" w:sz="6" w:space="0" w:color="auto"/>
            </w:tcBorders>
          </w:tcPr>
          <w:p w14:paraId="4115FD0C" w14:textId="77777777" w:rsidR="007605E0" w:rsidRDefault="007605E0" w:rsidP="009E7F73">
            <w:pPr>
              <w:pStyle w:val="TAC"/>
            </w:pPr>
          </w:p>
        </w:tc>
        <w:tc>
          <w:tcPr>
            <w:tcW w:w="577" w:type="pct"/>
            <w:tcBorders>
              <w:top w:val="single" w:sz="6" w:space="0" w:color="auto"/>
            </w:tcBorders>
          </w:tcPr>
          <w:p w14:paraId="039980AB" w14:textId="77777777" w:rsidR="007605E0" w:rsidRDefault="007605E0" w:rsidP="009E7F73">
            <w:pPr>
              <w:pStyle w:val="TAL"/>
            </w:pPr>
            <w:r>
              <w:t>204 No Content</w:t>
            </w:r>
          </w:p>
        </w:tc>
        <w:tc>
          <w:tcPr>
            <w:tcW w:w="2708" w:type="pct"/>
            <w:tcBorders>
              <w:top w:val="single" w:sz="6" w:space="0" w:color="auto"/>
            </w:tcBorders>
          </w:tcPr>
          <w:p w14:paraId="32E9C24A" w14:textId="77777777" w:rsidR="007605E0" w:rsidRDefault="007605E0" w:rsidP="009E7F73">
            <w:pPr>
              <w:pStyle w:val="TAL"/>
            </w:pPr>
            <w:r>
              <w:t>Successful case: The Individual NWDAF ML Model Training Subscription resource matching the subscriptionId was deleted.</w:t>
            </w:r>
          </w:p>
        </w:tc>
      </w:tr>
      <w:tr w:rsidR="007605E0" w14:paraId="5FEDDC6F" w14:textId="77777777" w:rsidTr="009E7F73">
        <w:trPr>
          <w:trHeight w:val="1086"/>
          <w:jc w:val="center"/>
        </w:trPr>
        <w:tc>
          <w:tcPr>
            <w:tcW w:w="848" w:type="pct"/>
          </w:tcPr>
          <w:p w14:paraId="4B411842" w14:textId="77777777" w:rsidR="007605E0" w:rsidRDefault="007605E0" w:rsidP="009E7F73">
            <w:pPr>
              <w:pStyle w:val="TAL"/>
            </w:pPr>
            <w:r>
              <w:t>RedirectResponse</w:t>
            </w:r>
          </w:p>
        </w:tc>
        <w:tc>
          <w:tcPr>
            <w:tcW w:w="223" w:type="pct"/>
          </w:tcPr>
          <w:p w14:paraId="1B4C86C0" w14:textId="77777777" w:rsidR="007605E0" w:rsidRDefault="007605E0" w:rsidP="009E7F73">
            <w:pPr>
              <w:pStyle w:val="TAC"/>
            </w:pPr>
            <w:r>
              <w:t>O</w:t>
            </w:r>
          </w:p>
        </w:tc>
        <w:tc>
          <w:tcPr>
            <w:tcW w:w="643" w:type="pct"/>
          </w:tcPr>
          <w:p w14:paraId="61DA475E" w14:textId="77777777" w:rsidR="007605E0" w:rsidRDefault="007605E0" w:rsidP="009E7F73">
            <w:pPr>
              <w:pStyle w:val="TAC"/>
            </w:pPr>
            <w:r>
              <w:t>0..1</w:t>
            </w:r>
          </w:p>
        </w:tc>
        <w:tc>
          <w:tcPr>
            <w:tcW w:w="577" w:type="pct"/>
          </w:tcPr>
          <w:p w14:paraId="0DF0D644" w14:textId="77777777" w:rsidR="007605E0" w:rsidRDefault="007605E0" w:rsidP="009E7F73">
            <w:pPr>
              <w:pStyle w:val="TAL"/>
            </w:pPr>
            <w:r>
              <w:t>307 Temporary Redirect</w:t>
            </w:r>
          </w:p>
        </w:tc>
        <w:tc>
          <w:tcPr>
            <w:tcW w:w="2708" w:type="pct"/>
          </w:tcPr>
          <w:p w14:paraId="6B589E81" w14:textId="77777777" w:rsidR="007605E0" w:rsidRDefault="007605E0" w:rsidP="009E7F73">
            <w:pPr>
              <w:pStyle w:val="TAL"/>
            </w:pPr>
            <w:r>
              <w:t>Temporary redirection.</w:t>
            </w:r>
          </w:p>
          <w:p w14:paraId="41C5B6B8" w14:textId="77777777" w:rsidR="007605E0" w:rsidRDefault="007605E0" w:rsidP="009E7F73">
            <w:pPr>
              <w:pStyle w:val="TAL"/>
            </w:pPr>
          </w:p>
          <w:p w14:paraId="58FF946C" w14:textId="77777777" w:rsidR="007605E0" w:rsidRDefault="007605E0" w:rsidP="009E7F73">
            <w:pPr>
              <w:pStyle w:val="TAL"/>
            </w:pPr>
            <w:r>
              <w:t>(NOTE 2)</w:t>
            </w:r>
          </w:p>
        </w:tc>
      </w:tr>
      <w:tr w:rsidR="007605E0" w14:paraId="02A589C0" w14:textId="77777777" w:rsidTr="009E7F73">
        <w:trPr>
          <w:jc w:val="center"/>
        </w:trPr>
        <w:tc>
          <w:tcPr>
            <w:tcW w:w="848" w:type="pct"/>
          </w:tcPr>
          <w:p w14:paraId="432E6910" w14:textId="77777777" w:rsidR="007605E0" w:rsidRDefault="007605E0" w:rsidP="009E7F73">
            <w:pPr>
              <w:pStyle w:val="TAL"/>
            </w:pPr>
            <w:r>
              <w:t>RedirectResponse</w:t>
            </w:r>
          </w:p>
        </w:tc>
        <w:tc>
          <w:tcPr>
            <w:tcW w:w="223" w:type="pct"/>
          </w:tcPr>
          <w:p w14:paraId="66816360" w14:textId="77777777" w:rsidR="007605E0" w:rsidRDefault="007605E0" w:rsidP="009E7F73">
            <w:pPr>
              <w:pStyle w:val="TAC"/>
            </w:pPr>
            <w:r>
              <w:t>O</w:t>
            </w:r>
          </w:p>
        </w:tc>
        <w:tc>
          <w:tcPr>
            <w:tcW w:w="643" w:type="pct"/>
          </w:tcPr>
          <w:p w14:paraId="0CCE4E8B" w14:textId="77777777" w:rsidR="007605E0" w:rsidRDefault="007605E0" w:rsidP="009E7F73">
            <w:pPr>
              <w:pStyle w:val="TAC"/>
            </w:pPr>
            <w:r>
              <w:t>0..1</w:t>
            </w:r>
          </w:p>
        </w:tc>
        <w:tc>
          <w:tcPr>
            <w:tcW w:w="577" w:type="pct"/>
          </w:tcPr>
          <w:p w14:paraId="61A7D6DA" w14:textId="77777777" w:rsidR="007605E0" w:rsidRDefault="007605E0" w:rsidP="009E7F73">
            <w:pPr>
              <w:pStyle w:val="TAL"/>
            </w:pPr>
            <w:r>
              <w:t>308 Permanent Redirect</w:t>
            </w:r>
          </w:p>
        </w:tc>
        <w:tc>
          <w:tcPr>
            <w:tcW w:w="2708" w:type="pct"/>
          </w:tcPr>
          <w:p w14:paraId="7EEA5769" w14:textId="77777777" w:rsidR="007605E0" w:rsidRDefault="007605E0" w:rsidP="009E7F73">
            <w:pPr>
              <w:pStyle w:val="TAL"/>
            </w:pPr>
            <w:r>
              <w:t>Permanent redirection.</w:t>
            </w:r>
          </w:p>
          <w:p w14:paraId="7F285EC3" w14:textId="77777777" w:rsidR="007605E0" w:rsidRDefault="007605E0" w:rsidP="009E7F73">
            <w:pPr>
              <w:pStyle w:val="TAL"/>
            </w:pPr>
          </w:p>
          <w:p w14:paraId="4AC8565A" w14:textId="77777777" w:rsidR="007605E0" w:rsidRDefault="007605E0" w:rsidP="009E7F73">
            <w:pPr>
              <w:pStyle w:val="TAL"/>
            </w:pPr>
            <w:r>
              <w:t>(NOTE 2)</w:t>
            </w:r>
          </w:p>
        </w:tc>
      </w:tr>
      <w:tr w:rsidR="007605E0" w14:paraId="3D722415" w14:textId="77777777" w:rsidTr="009E7F73">
        <w:trPr>
          <w:jc w:val="center"/>
        </w:trPr>
        <w:tc>
          <w:tcPr>
            <w:tcW w:w="5000" w:type="pct"/>
            <w:gridSpan w:val="5"/>
          </w:tcPr>
          <w:p w14:paraId="23A23011" w14:textId="77777777" w:rsidR="007605E0" w:rsidRDefault="007605E0" w:rsidP="009E7F73">
            <w:pPr>
              <w:pStyle w:val="TAN"/>
            </w:pPr>
            <w:r>
              <w:t>NOTE 1:</w:t>
            </w:r>
            <w:r>
              <w:tab/>
              <w:t>The mandatory HTTP error status codes for the DELETE method listed in table 5.2.7.1-1 of 3GPP TS 29.500 [6] also apply.</w:t>
            </w:r>
          </w:p>
          <w:p w14:paraId="201AC130" w14:textId="77777777" w:rsidR="007605E0" w:rsidRDefault="007605E0" w:rsidP="009E7F73">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5EDF04B5" w14:textId="77777777" w:rsidR="007605E0" w:rsidRDefault="007605E0" w:rsidP="007605E0">
      <w:pPr>
        <w:rPr>
          <w:lang w:val="en-US"/>
        </w:rPr>
      </w:pPr>
    </w:p>
    <w:p w14:paraId="2CC46DBF" w14:textId="77777777" w:rsidR="007605E0" w:rsidRDefault="007605E0" w:rsidP="007605E0">
      <w:pPr>
        <w:pStyle w:val="TH"/>
      </w:pPr>
      <w:r>
        <w:t>Table 5.5.3.3.3.3-4: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2A2EBC67" w14:textId="77777777" w:rsidTr="0040274B">
        <w:trPr>
          <w:jc w:val="center"/>
        </w:trPr>
        <w:tc>
          <w:tcPr>
            <w:tcW w:w="1027" w:type="pct"/>
            <w:tcBorders>
              <w:bottom w:val="single" w:sz="6" w:space="0" w:color="auto"/>
            </w:tcBorders>
            <w:shd w:val="clear" w:color="auto" w:fill="C0C0C0"/>
          </w:tcPr>
          <w:p w14:paraId="06B2F1A3" w14:textId="77777777" w:rsidR="007605E0" w:rsidRDefault="007605E0" w:rsidP="009E7F73">
            <w:pPr>
              <w:pStyle w:val="TAH"/>
            </w:pPr>
            <w:r>
              <w:t>Name</w:t>
            </w:r>
          </w:p>
        </w:tc>
        <w:tc>
          <w:tcPr>
            <w:tcW w:w="529" w:type="pct"/>
            <w:tcBorders>
              <w:bottom w:val="single" w:sz="6" w:space="0" w:color="auto"/>
            </w:tcBorders>
            <w:shd w:val="clear" w:color="auto" w:fill="C0C0C0"/>
          </w:tcPr>
          <w:p w14:paraId="19ECA500" w14:textId="77777777" w:rsidR="007605E0" w:rsidRDefault="007605E0" w:rsidP="009E7F73">
            <w:pPr>
              <w:pStyle w:val="TAH"/>
            </w:pPr>
            <w:r>
              <w:t>Data type</w:t>
            </w:r>
          </w:p>
        </w:tc>
        <w:tc>
          <w:tcPr>
            <w:tcW w:w="217" w:type="pct"/>
            <w:tcBorders>
              <w:bottom w:val="single" w:sz="6" w:space="0" w:color="auto"/>
            </w:tcBorders>
            <w:shd w:val="clear" w:color="auto" w:fill="C0C0C0"/>
          </w:tcPr>
          <w:p w14:paraId="2682BFFA" w14:textId="77777777" w:rsidR="007605E0" w:rsidRDefault="007605E0" w:rsidP="009E7F73">
            <w:pPr>
              <w:pStyle w:val="TAH"/>
            </w:pPr>
            <w:r>
              <w:t>P</w:t>
            </w:r>
          </w:p>
        </w:tc>
        <w:tc>
          <w:tcPr>
            <w:tcW w:w="581" w:type="pct"/>
            <w:tcBorders>
              <w:bottom w:val="single" w:sz="6" w:space="0" w:color="auto"/>
            </w:tcBorders>
            <w:shd w:val="clear" w:color="auto" w:fill="C0C0C0"/>
          </w:tcPr>
          <w:p w14:paraId="010B9E89"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35CD908A" w14:textId="77777777" w:rsidR="007605E0" w:rsidRDefault="007605E0" w:rsidP="009E7F73">
            <w:pPr>
              <w:pStyle w:val="TAH"/>
            </w:pPr>
            <w:r>
              <w:t>Description</w:t>
            </w:r>
          </w:p>
        </w:tc>
      </w:tr>
      <w:tr w:rsidR="007605E0" w14:paraId="0F1FB3A9" w14:textId="77777777" w:rsidTr="0040274B">
        <w:trPr>
          <w:jc w:val="center"/>
        </w:trPr>
        <w:tc>
          <w:tcPr>
            <w:tcW w:w="1027" w:type="pct"/>
            <w:tcBorders>
              <w:top w:val="single" w:sz="6" w:space="0" w:color="auto"/>
            </w:tcBorders>
          </w:tcPr>
          <w:p w14:paraId="5DFE782F" w14:textId="77777777" w:rsidR="007605E0" w:rsidRDefault="007605E0" w:rsidP="009E7F73">
            <w:pPr>
              <w:pStyle w:val="TAL"/>
            </w:pPr>
            <w:r>
              <w:t>Location</w:t>
            </w:r>
          </w:p>
        </w:tc>
        <w:tc>
          <w:tcPr>
            <w:tcW w:w="529" w:type="pct"/>
            <w:tcBorders>
              <w:top w:val="single" w:sz="6" w:space="0" w:color="auto"/>
            </w:tcBorders>
          </w:tcPr>
          <w:p w14:paraId="065588D5" w14:textId="77777777" w:rsidR="007605E0" w:rsidRDefault="007605E0" w:rsidP="009E7F73">
            <w:pPr>
              <w:pStyle w:val="TAL"/>
            </w:pPr>
            <w:r>
              <w:t>string</w:t>
            </w:r>
          </w:p>
        </w:tc>
        <w:tc>
          <w:tcPr>
            <w:tcW w:w="217" w:type="pct"/>
            <w:tcBorders>
              <w:top w:val="single" w:sz="6" w:space="0" w:color="auto"/>
            </w:tcBorders>
          </w:tcPr>
          <w:p w14:paraId="1A6EFA1F" w14:textId="77777777" w:rsidR="007605E0" w:rsidRDefault="007605E0" w:rsidP="009E7F73">
            <w:pPr>
              <w:pStyle w:val="TAC"/>
            </w:pPr>
            <w:r>
              <w:t>M</w:t>
            </w:r>
          </w:p>
        </w:tc>
        <w:tc>
          <w:tcPr>
            <w:tcW w:w="581" w:type="pct"/>
            <w:tcBorders>
              <w:top w:val="single" w:sz="6" w:space="0" w:color="auto"/>
            </w:tcBorders>
          </w:tcPr>
          <w:p w14:paraId="2E7E2738" w14:textId="77777777" w:rsidR="007605E0" w:rsidRDefault="007605E0" w:rsidP="009E7F73">
            <w:pPr>
              <w:pStyle w:val="TAL"/>
            </w:pPr>
            <w:r>
              <w:t>1</w:t>
            </w:r>
          </w:p>
        </w:tc>
        <w:tc>
          <w:tcPr>
            <w:tcW w:w="2645" w:type="pct"/>
            <w:tcBorders>
              <w:top w:val="single" w:sz="6" w:space="0" w:color="auto"/>
            </w:tcBorders>
            <w:vAlign w:val="center"/>
          </w:tcPr>
          <w:p w14:paraId="38B34C69"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51873368" w14:textId="77777777" w:rsidR="007605E0" w:rsidRDefault="007605E0" w:rsidP="009E7F73">
            <w:pPr>
              <w:pStyle w:val="TAL"/>
            </w:pPr>
          </w:p>
          <w:p w14:paraId="4ACBFFC3"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68082BD4" w14:textId="77777777" w:rsidTr="0040274B">
        <w:trPr>
          <w:jc w:val="center"/>
        </w:trPr>
        <w:tc>
          <w:tcPr>
            <w:tcW w:w="1027" w:type="pct"/>
          </w:tcPr>
          <w:p w14:paraId="4E3C0960" w14:textId="77777777" w:rsidR="007605E0" w:rsidRDefault="007605E0" w:rsidP="009E7F73">
            <w:pPr>
              <w:pStyle w:val="TAL"/>
            </w:pPr>
            <w:r>
              <w:rPr>
                <w:lang w:eastAsia="zh-CN"/>
              </w:rPr>
              <w:t>3gpp-Sbi-Target-Nf-Id</w:t>
            </w:r>
          </w:p>
        </w:tc>
        <w:tc>
          <w:tcPr>
            <w:tcW w:w="529" w:type="pct"/>
          </w:tcPr>
          <w:p w14:paraId="70407D71" w14:textId="77777777" w:rsidR="007605E0" w:rsidRDefault="007605E0" w:rsidP="009E7F73">
            <w:pPr>
              <w:pStyle w:val="TAL"/>
            </w:pPr>
            <w:r>
              <w:rPr>
                <w:lang w:eastAsia="fr-FR"/>
              </w:rPr>
              <w:t>string</w:t>
            </w:r>
          </w:p>
        </w:tc>
        <w:tc>
          <w:tcPr>
            <w:tcW w:w="217" w:type="pct"/>
          </w:tcPr>
          <w:p w14:paraId="75194285" w14:textId="77777777" w:rsidR="007605E0" w:rsidRDefault="007605E0" w:rsidP="009E7F73">
            <w:pPr>
              <w:pStyle w:val="TAC"/>
            </w:pPr>
            <w:r>
              <w:rPr>
                <w:lang w:eastAsia="fr-FR"/>
              </w:rPr>
              <w:t>O</w:t>
            </w:r>
          </w:p>
        </w:tc>
        <w:tc>
          <w:tcPr>
            <w:tcW w:w="581" w:type="pct"/>
          </w:tcPr>
          <w:p w14:paraId="6519ECDD" w14:textId="77777777" w:rsidR="007605E0" w:rsidRDefault="007605E0" w:rsidP="009E7F73">
            <w:pPr>
              <w:pStyle w:val="TAL"/>
            </w:pPr>
            <w:r>
              <w:rPr>
                <w:lang w:eastAsia="fr-FR"/>
              </w:rPr>
              <w:t>0..1</w:t>
            </w:r>
          </w:p>
        </w:tc>
        <w:tc>
          <w:tcPr>
            <w:tcW w:w="2645" w:type="pct"/>
            <w:vAlign w:val="center"/>
          </w:tcPr>
          <w:p w14:paraId="2EA0C090" w14:textId="77777777" w:rsidR="007605E0" w:rsidRDefault="007605E0" w:rsidP="009E7F73">
            <w:pPr>
              <w:pStyle w:val="TAL"/>
            </w:pPr>
            <w:r>
              <w:rPr>
                <w:lang w:eastAsia="fr-FR"/>
              </w:rPr>
              <w:t>Contains the identifier of the target NF (service) instance towards which the request is redirected.</w:t>
            </w:r>
          </w:p>
        </w:tc>
      </w:tr>
    </w:tbl>
    <w:p w14:paraId="1C8643DA" w14:textId="77777777" w:rsidR="007605E0" w:rsidRDefault="007605E0" w:rsidP="007605E0"/>
    <w:p w14:paraId="65E5C1E2" w14:textId="77777777" w:rsidR="007605E0" w:rsidRDefault="007605E0" w:rsidP="007605E0">
      <w:pPr>
        <w:pStyle w:val="TH"/>
      </w:pPr>
      <w:r>
        <w:t>Table 5.5.3.3.3.3-5: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136FDF39" w14:textId="77777777" w:rsidTr="0040274B">
        <w:trPr>
          <w:jc w:val="center"/>
        </w:trPr>
        <w:tc>
          <w:tcPr>
            <w:tcW w:w="1027" w:type="pct"/>
            <w:tcBorders>
              <w:bottom w:val="single" w:sz="6" w:space="0" w:color="auto"/>
            </w:tcBorders>
            <w:shd w:val="clear" w:color="auto" w:fill="C0C0C0"/>
          </w:tcPr>
          <w:p w14:paraId="3A4BE414" w14:textId="77777777" w:rsidR="007605E0" w:rsidRDefault="007605E0" w:rsidP="009E7F73">
            <w:pPr>
              <w:pStyle w:val="TAH"/>
            </w:pPr>
            <w:r>
              <w:t>Name</w:t>
            </w:r>
          </w:p>
        </w:tc>
        <w:tc>
          <w:tcPr>
            <w:tcW w:w="529" w:type="pct"/>
            <w:tcBorders>
              <w:bottom w:val="single" w:sz="6" w:space="0" w:color="auto"/>
            </w:tcBorders>
            <w:shd w:val="clear" w:color="auto" w:fill="C0C0C0"/>
          </w:tcPr>
          <w:p w14:paraId="0C79991A" w14:textId="77777777" w:rsidR="007605E0" w:rsidRDefault="007605E0" w:rsidP="009E7F73">
            <w:pPr>
              <w:pStyle w:val="TAH"/>
            </w:pPr>
            <w:r>
              <w:t>Data type</w:t>
            </w:r>
          </w:p>
        </w:tc>
        <w:tc>
          <w:tcPr>
            <w:tcW w:w="217" w:type="pct"/>
            <w:tcBorders>
              <w:bottom w:val="single" w:sz="6" w:space="0" w:color="auto"/>
            </w:tcBorders>
            <w:shd w:val="clear" w:color="auto" w:fill="C0C0C0"/>
          </w:tcPr>
          <w:p w14:paraId="2FF33903" w14:textId="77777777" w:rsidR="007605E0" w:rsidRDefault="007605E0" w:rsidP="009E7F73">
            <w:pPr>
              <w:pStyle w:val="TAH"/>
            </w:pPr>
            <w:r>
              <w:t>P</w:t>
            </w:r>
          </w:p>
        </w:tc>
        <w:tc>
          <w:tcPr>
            <w:tcW w:w="581" w:type="pct"/>
            <w:tcBorders>
              <w:bottom w:val="single" w:sz="6" w:space="0" w:color="auto"/>
            </w:tcBorders>
            <w:shd w:val="clear" w:color="auto" w:fill="C0C0C0"/>
          </w:tcPr>
          <w:p w14:paraId="20DEF545" w14:textId="77777777" w:rsidR="007605E0" w:rsidRDefault="007605E0" w:rsidP="009E7F73">
            <w:pPr>
              <w:pStyle w:val="TAH"/>
            </w:pPr>
            <w:r>
              <w:t>Cardinality</w:t>
            </w:r>
          </w:p>
        </w:tc>
        <w:tc>
          <w:tcPr>
            <w:tcW w:w="2646" w:type="pct"/>
            <w:tcBorders>
              <w:bottom w:val="single" w:sz="6" w:space="0" w:color="auto"/>
            </w:tcBorders>
            <w:shd w:val="clear" w:color="auto" w:fill="C0C0C0"/>
            <w:vAlign w:val="center"/>
          </w:tcPr>
          <w:p w14:paraId="24740EFE" w14:textId="77777777" w:rsidR="007605E0" w:rsidRDefault="007605E0" w:rsidP="009E7F73">
            <w:pPr>
              <w:pStyle w:val="TAH"/>
            </w:pPr>
            <w:r>
              <w:t>Description</w:t>
            </w:r>
          </w:p>
        </w:tc>
      </w:tr>
      <w:tr w:rsidR="007605E0" w14:paraId="5BA0A74E" w14:textId="77777777" w:rsidTr="0040274B">
        <w:trPr>
          <w:jc w:val="center"/>
        </w:trPr>
        <w:tc>
          <w:tcPr>
            <w:tcW w:w="1027" w:type="pct"/>
            <w:tcBorders>
              <w:top w:val="single" w:sz="6" w:space="0" w:color="auto"/>
            </w:tcBorders>
          </w:tcPr>
          <w:p w14:paraId="45D342FB" w14:textId="77777777" w:rsidR="007605E0" w:rsidRDefault="007605E0" w:rsidP="009E7F73">
            <w:pPr>
              <w:pStyle w:val="TAL"/>
            </w:pPr>
            <w:r>
              <w:t>Location</w:t>
            </w:r>
          </w:p>
        </w:tc>
        <w:tc>
          <w:tcPr>
            <w:tcW w:w="529" w:type="pct"/>
            <w:tcBorders>
              <w:top w:val="single" w:sz="6" w:space="0" w:color="auto"/>
            </w:tcBorders>
          </w:tcPr>
          <w:p w14:paraId="54BD76A4" w14:textId="77777777" w:rsidR="007605E0" w:rsidRDefault="007605E0" w:rsidP="009E7F73">
            <w:pPr>
              <w:pStyle w:val="TAL"/>
            </w:pPr>
            <w:r>
              <w:t>string</w:t>
            </w:r>
          </w:p>
        </w:tc>
        <w:tc>
          <w:tcPr>
            <w:tcW w:w="217" w:type="pct"/>
            <w:tcBorders>
              <w:top w:val="single" w:sz="6" w:space="0" w:color="auto"/>
            </w:tcBorders>
          </w:tcPr>
          <w:p w14:paraId="037D5B28" w14:textId="77777777" w:rsidR="007605E0" w:rsidRDefault="007605E0" w:rsidP="009E7F73">
            <w:pPr>
              <w:pStyle w:val="TAC"/>
            </w:pPr>
            <w:r>
              <w:t>M</w:t>
            </w:r>
          </w:p>
        </w:tc>
        <w:tc>
          <w:tcPr>
            <w:tcW w:w="581" w:type="pct"/>
            <w:tcBorders>
              <w:top w:val="single" w:sz="6" w:space="0" w:color="auto"/>
            </w:tcBorders>
          </w:tcPr>
          <w:p w14:paraId="7B1EBE62" w14:textId="77777777" w:rsidR="007605E0" w:rsidRDefault="007605E0" w:rsidP="009E7F73">
            <w:pPr>
              <w:pStyle w:val="TAL"/>
            </w:pPr>
            <w:r>
              <w:t>1</w:t>
            </w:r>
          </w:p>
        </w:tc>
        <w:tc>
          <w:tcPr>
            <w:tcW w:w="2646" w:type="pct"/>
            <w:tcBorders>
              <w:top w:val="single" w:sz="6" w:space="0" w:color="auto"/>
            </w:tcBorders>
            <w:vAlign w:val="center"/>
          </w:tcPr>
          <w:p w14:paraId="657A9FEC" w14:textId="77777777" w:rsidR="007605E0" w:rsidRDefault="007605E0" w:rsidP="009E7F73">
            <w:pPr>
              <w:pStyle w:val="TAL"/>
            </w:pPr>
            <w:r>
              <w:t>Contains an alternative URI of the resource located in an alternative NWDAF (service) instance</w:t>
            </w:r>
            <w:r>
              <w:rPr>
                <w:lang w:eastAsia="fr-FR"/>
              </w:rPr>
              <w:t xml:space="preserve"> towards which the request is redirected</w:t>
            </w:r>
            <w:r>
              <w:t>.</w:t>
            </w:r>
          </w:p>
          <w:p w14:paraId="2C561759" w14:textId="77777777" w:rsidR="007605E0" w:rsidRDefault="007605E0" w:rsidP="009E7F73">
            <w:pPr>
              <w:pStyle w:val="TAL"/>
            </w:pPr>
          </w:p>
          <w:p w14:paraId="7DCA7969"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19635826" w14:textId="77777777" w:rsidTr="0040274B">
        <w:trPr>
          <w:jc w:val="center"/>
        </w:trPr>
        <w:tc>
          <w:tcPr>
            <w:tcW w:w="1027" w:type="pct"/>
          </w:tcPr>
          <w:p w14:paraId="3D3F4669" w14:textId="77777777" w:rsidR="007605E0" w:rsidRDefault="007605E0" w:rsidP="009E7F73">
            <w:pPr>
              <w:pStyle w:val="TAL"/>
            </w:pPr>
            <w:r>
              <w:rPr>
                <w:lang w:eastAsia="zh-CN"/>
              </w:rPr>
              <w:t>3gpp-Sbi-Target-Nf-Id</w:t>
            </w:r>
          </w:p>
        </w:tc>
        <w:tc>
          <w:tcPr>
            <w:tcW w:w="529" w:type="pct"/>
          </w:tcPr>
          <w:p w14:paraId="3F7CF346" w14:textId="77777777" w:rsidR="007605E0" w:rsidRDefault="007605E0" w:rsidP="009E7F73">
            <w:pPr>
              <w:pStyle w:val="TAL"/>
            </w:pPr>
            <w:r>
              <w:rPr>
                <w:lang w:eastAsia="fr-FR"/>
              </w:rPr>
              <w:t>string</w:t>
            </w:r>
          </w:p>
        </w:tc>
        <w:tc>
          <w:tcPr>
            <w:tcW w:w="217" w:type="pct"/>
          </w:tcPr>
          <w:p w14:paraId="378DA90F" w14:textId="77777777" w:rsidR="007605E0" w:rsidRDefault="007605E0" w:rsidP="009E7F73">
            <w:pPr>
              <w:pStyle w:val="TAC"/>
            </w:pPr>
            <w:r>
              <w:rPr>
                <w:lang w:eastAsia="fr-FR"/>
              </w:rPr>
              <w:t>O</w:t>
            </w:r>
          </w:p>
        </w:tc>
        <w:tc>
          <w:tcPr>
            <w:tcW w:w="581" w:type="pct"/>
          </w:tcPr>
          <w:p w14:paraId="509B7C1D" w14:textId="77777777" w:rsidR="007605E0" w:rsidRDefault="007605E0" w:rsidP="009E7F73">
            <w:pPr>
              <w:pStyle w:val="TAL"/>
            </w:pPr>
            <w:r>
              <w:rPr>
                <w:lang w:eastAsia="fr-FR"/>
              </w:rPr>
              <w:t>0..1</w:t>
            </w:r>
          </w:p>
        </w:tc>
        <w:tc>
          <w:tcPr>
            <w:tcW w:w="2646" w:type="pct"/>
            <w:vAlign w:val="center"/>
          </w:tcPr>
          <w:p w14:paraId="77F5524D" w14:textId="77777777" w:rsidR="007605E0" w:rsidRDefault="007605E0" w:rsidP="009E7F73">
            <w:pPr>
              <w:pStyle w:val="TAL"/>
            </w:pPr>
            <w:r>
              <w:rPr>
                <w:lang w:eastAsia="fr-FR"/>
              </w:rPr>
              <w:t>Contains the identifier of the target NF (service) instance towards which the request is redirected.</w:t>
            </w:r>
          </w:p>
        </w:tc>
      </w:tr>
    </w:tbl>
    <w:p w14:paraId="13396D2B" w14:textId="77777777" w:rsidR="00A10B25" w:rsidRPr="007605E0" w:rsidRDefault="00A10B25">
      <w:pPr>
        <w:rPr>
          <w:rFonts w:eastAsia="MS Mincho"/>
          <w:lang w:eastAsia="ja-JP"/>
        </w:rPr>
      </w:pPr>
    </w:p>
    <w:p w14:paraId="1D1DC96A" w14:textId="77777777" w:rsidR="00A10B25" w:rsidRDefault="00A10B25">
      <w:pPr>
        <w:pStyle w:val="5"/>
      </w:pPr>
      <w:bookmarkStart w:id="14640" w:name="_Toc136562685"/>
      <w:bookmarkStart w:id="14641" w:name="_Toc145706014"/>
      <w:bookmarkStart w:id="14642" w:name="_Toc148522931"/>
      <w:bookmarkStart w:id="14643" w:name="_Toc138754519"/>
      <w:bookmarkStart w:id="14644" w:name="_Toc164921119"/>
      <w:bookmarkStart w:id="14645" w:name="_Toc170120661"/>
      <w:bookmarkStart w:id="14646" w:name="_Toc175858906"/>
      <w:bookmarkStart w:id="14647" w:name="_Toc175859979"/>
      <w:bookmarkStart w:id="14648" w:name="_Toc180606269"/>
      <w:bookmarkStart w:id="14649" w:name="_Toc185517530"/>
      <w:bookmarkStart w:id="14650" w:name="_Toc191576582"/>
      <w:bookmarkStart w:id="14651" w:name="_Toc191577322"/>
      <w:bookmarkStart w:id="14652" w:name="_Toc192880392"/>
      <w:bookmarkStart w:id="14653" w:name="_Toc195815281"/>
      <w:bookmarkStart w:id="14654" w:name="_Toc199453248"/>
      <w:r>
        <w:t>5.5.3.3.4</w:t>
      </w:r>
      <w:r>
        <w:tab/>
        <w:t>Resource Custom Operations</w:t>
      </w:r>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p>
    <w:p w14:paraId="1AC4A33A" w14:textId="77777777" w:rsidR="00A10B25" w:rsidRDefault="00A10B25">
      <w:pPr>
        <w:rPr>
          <w:lang w:val="en-US" w:eastAsia="zh-CN"/>
        </w:rPr>
      </w:pPr>
      <w:r>
        <w:t>None in this release of the specification.</w:t>
      </w:r>
    </w:p>
    <w:p w14:paraId="04B6B8FF" w14:textId="77777777" w:rsidR="00A10B25" w:rsidRDefault="00A10B25">
      <w:pPr>
        <w:pStyle w:val="3"/>
      </w:pPr>
      <w:bookmarkStart w:id="14655" w:name="_Toc136562686"/>
      <w:bookmarkStart w:id="14656" w:name="_Toc145706015"/>
      <w:bookmarkStart w:id="14657" w:name="_Toc138754520"/>
      <w:bookmarkStart w:id="14658" w:name="_Toc148522932"/>
      <w:bookmarkStart w:id="14659" w:name="_Toc164921120"/>
      <w:bookmarkStart w:id="14660" w:name="_Toc170120662"/>
      <w:bookmarkStart w:id="14661" w:name="_Toc175858907"/>
      <w:bookmarkStart w:id="14662" w:name="_Toc175859980"/>
      <w:bookmarkStart w:id="14663" w:name="_Toc180606270"/>
      <w:bookmarkStart w:id="14664" w:name="_Toc185517531"/>
      <w:bookmarkStart w:id="14665" w:name="_Toc191576583"/>
      <w:bookmarkStart w:id="14666" w:name="_Toc191577323"/>
      <w:bookmarkStart w:id="14667" w:name="_Toc192880393"/>
      <w:bookmarkStart w:id="14668" w:name="_Toc195815282"/>
      <w:bookmarkStart w:id="14669" w:name="_Toc199453249"/>
      <w:r>
        <w:rPr>
          <w:lang w:val="en-US"/>
        </w:rPr>
        <w:t>5.5.4</w:t>
      </w:r>
      <w:r>
        <w:rPr>
          <w:lang w:val="en-US"/>
        </w:rPr>
        <w:tab/>
        <w:t>Custom Operations without associated resources</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p>
    <w:p w14:paraId="70E3C8B4" w14:textId="77777777" w:rsidR="00A10B25" w:rsidRDefault="00A10B25">
      <w:pPr>
        <w:rPr>
          <w:rFonts w:eastAsia="Batang"/>
        </w:rPr>
      </w:pPr>
      <w:r>
        <w:rPr>
          <w:rFonts w:eastAsia="Batang"/>
        </w:rPr>
        <w:t>None in this release of the specification.</w:t>
      </w:r>
    </w:p>
    <w:p w14:paraId="6D9798D3" w14:textId="77777777" w:rsidR="00A10B25" w:rsidRDefault="00A10B25">
      <w:pPr>
        <w:rPr>
          <w:lang w:val="en-US" w:eastAsia="zh-CN"/>
        </w:rPr>
      </w:pPr>
    </w:p>
    <w:p w14:paraId="6BCEC52B" w14:textId="77777777" w:rsidR="00A10B25" w:rsidRDefault="00A10B25">
      <w:pPr>
        <w:pStyle w:val="3"/>
        <w:rPr>
          <w:lang w:val="en-US"/>
        </w:rPr>
      </w:pPr>
      <w:bookmarkStart w:id="14670" w:name="_Toc145706016"/>
      <w:bookmarkStart w:id="14671" w:name="_Toc136562687"/>
      <w:bookmarkStart w:id="14672" w:name="_Toc148522933"/>
      <w:bookmarkStart w:id="14673" w:name="_Toc138754521"/>
      <w:bookmarkStart w:id="14674" w:name="_Toc164921121"/>
      <w:bookmarkStart w:id="14675" w:name="_Toc170120663"/>
      <w:bookmarkStart w:id="14676" w:name="_Toc175858908"/>
      <w:bookmarkStart w:id="14677" w:name="_Toc175859981"/>
      <w:bookmarkStart w:id="14678" w:name="_Toc180606271"/>
      <w:bookmarkStart w:id="14679" w:name="_Toc185517532"/>
      <w:bookmarkStart w:id="14680" w:name="_Toc191576584"/>
      <w:bookmarkStart w:id="14681" w:name="_Toc191577324"/>
      <w:bookmarkStart w:id="14682" w:name="_Toc192880394"/>
      <w:bookmarkStart w:id="14683" w:name="_Toc195815283"/>
      <w:bookmarkStart w:id="14684" w:name="_Toc199453250"/>
      <w:r>
        <w:rPr>
          <w:lang w:val="en-US"/>
        </w:rPr>
        <w:lastRenderedPageBreak/>
        <w:t>5.5.5</w:t>
      </w:r>
      <w:r>
        <w:rPr>
          <w:lang w:val="en-US"/>
        </w:rPr>
        <w:tab/>
        <w:t>Notifications</w:t>
      </w:r>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p>
    <w:p w14:paraId="766EFFD3" w14:textId="77777777" w:rsidR="00A10B25" w:rsidRDefault="00A10B25">
      <w:pPr>
        <w:pStyle w:val="4"/>
      </w:pPr>
      <w:bookmarkStart w:id="14685" w:name="_Toc145706017"/>
      <w:bookmarkStart w:id="14686" w:name="_Toc138754522"/>
      <w:bookmarkStart w:id="14687" w:name="_Toc136562688"/>
      <w:bookmarkStart w:id="14688" w:name="_Toc148522934"/>
      <w:bookmarkStart w:id="14689" w:name="_Toc164921122"/>
      <w:bookmarkStart w:id="14690" w:name="_Toc170120664"/>
      <w:bookmarkStart w:id="14691" w:name="_Toc175858909"/>
      <w:bookmarkStart w:id="14692" w:name="_Toc175859982"/>
      <w:bookmarkStart w:id="14693" w:name="_Toc180606272"/>
      <w:bookmarkStart w:id="14694" w:name="_Toc185517533"/>
      <w:bookmarkStart w:id="14695" w:name="_Toc191576585"/>
      <w:bookmarkStart w:id="14696" w:name="_Toc191577325"/>
      <w:bookmarkStart w:id="14697" w:name="_Toc192880395"/>
      <w:bookmarkStart w:id="14698" w:name="_Toc195815284"/>
      <w:bookmarkStart w:id="14699" w:name="_Toc199453251"/>
      <w:r>
        <w:t>5.5.5.1</w:t>
      </w:r>
      <w:r>
        <w:tab/>
        <w:t>General</w:t>
      </w:r>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p>
    <w:p w14:paraId="1B592F93" w14:textId="77777777" w:rsidR="00A10B25" w:rsidRDefault="00A10B25">
      <w:r>
        <w:t>Notifications shall comply with clause 6.2 of 3GPP TS 29.500 [6] and clause 4.6.2.3 of 3GPP TS 29.501 [7].</w:t>
      </w:r>
    </w:p>
    <w:p w14:paraId="4782DFDC" w14:textId="77777777" w:rsidR="00A10B25" w:rsidRDefault="00A10B25">
      <w:pPr>
        <w:pStyle w:val="TH"/>
      </w:pPr>
      <w:r>
        <w:t>Table 5.5.3.4.1-1: Notifications overview</w:t>
      </w:r>
    </w:p>
    <w:tbl>
      <w:tblPr>
        <w:tblW w:w="4999"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421"/>
        <w:gridCol w:w="2421"/>
        <w:gridCol w:w="1282"/>
        <w:gridCol w:w="3499"/>
      </w:tblGrid>
      <w:tr w:rsidR="00A10B25" w14:paraId="13E7DC06" w14:textId="77777777">
        <w:trPr>
          <w:jc w:val="center"/>
        </w:trPr>
        <w:tc>
          <w:tcPr>
            <w:tcW w:w="1258" w:type="pct"/>
            <w:shd w:val="clear" w:color="auto" w:fill="C0C0C0"/>
          </w:tcPr>
          <w:p w14:paraId="02D2E360" w14:textId="77777777" w:rsidR="00A10B25" w:rsidRDefault="00A10B25">
            <w:pPr>
              <w:pStyle w:val="TAH"/>
            </w:pPr>
            <w:r>
              <w:t>Notification</w:t>
            </w:r>
          </w:p>
        </w:tc>
        <w:tc>
          <w:tcPr>
            <w:tcW w:w="1258" w:type="pct"/>
            <w:shd w:val="clear" w:color="auto" w:fill="C0C0C0"/>
            <w:vAlign w:val="center"/>
          </w:tcPr>
          <w:p w14:paraId="6F69954A" w14:textId="77777777" w:rsidR="00A10B25" w:rsidRDefault="00A10B25">
            <w:pPr>
              <w:pStyle w:val="TAH"/>
            </w:pPr>
            <w:r>
              <w:t>Callback URI</w:t>
            </w:r>
          </w:p>
        </w:tc>
        <w:tc>
          <w:tcPr>
            <w:tcW w:w="666" w:type="pct"/>
            <w:shd w:val="clear" w:color="auto" w:fill="C0C0C0"/>
            <w:vAlign w:val="center"/>
          </w:tcPr>
          <w:p w14:paraId="409139A9" w14:textId="77777777" w:rsidR="00A10B25" w:rsidRDefault="00A10B25">
            <w:pPr>
              <w:pStyle w:val="TAH"/>
            </w:pPr>
            <w:r>
              <w:t>HTTP method or custom operation</w:t>
            </w:r>
          </w:p>
        </w:tc>
        <w:tc>
          <w:tcPr>
            <w:tcW w:w="1818" w:type="pct"/>
            <w:shd w:val="clear" w:color="auto" w:fill="C0C0C0"/>
            <w:vAlign w:val="center"/>
          </w:tcPr>
          <w:p w14:paraId="1E5DEA07" w14:textId="77777777" w:rsidR="00A10B25" w:rsidRDefault="00A10B25">
            <w:pPr>
              <w:pStyle w:val="TAH"/>
            </w:pPr>
            <w:r>
              <w:t>Description (service operation)</w:t>
            </w:r>
          </w:p>
        </w:tc>
      </w:tr>
      <w:tr w:rsidR="00A10B25" w14:paraId="4468F02B" w14:textId="77777777">
        <w:trPr>
          <w:jc w:val="center"/>
        </w:trPr>
        <w:tc>
          <w:tcPr>
            <w:tcW w:w="1258" w:type="pct"/>
          </w:tcPr>
          <w:p w14:paraId="40F07E9D" w14:textId="77777777" w:rsidR="00A10B25" w:rsidRDefault="00A10B25">
            <w:pPr>
              <w:pStyle w:val="TAL"/>
              <w:rPr>
                <w:lang w:val="en-US" w:eastAsia="zh-CN"/>
              </w:rPr>
            </w:pPr>
            <w:r>
              <w:rPr>
                <w:rFonts w:cs="Arial"/>
                <w:szCs w:val="18"/>
                <w:lang w:val="en-US"/>
              </w:rPr>
              <w:t>Event Notification</w:t>
            </w:r>
          </w:p>
        </w:tc>
        <w:tc>
          <w:tcPr>
            <w:tcW w:w="1258" w:type="pct"/>
          </w:tcPr>
          <w:p w14:paraId="65361BDC" w14:textId="77777777" w:rsidR="00A10B25" w:rsidRDefault="00A10B25">
            <w:pPr>
              <w:pStyle w:val="TAL"/>
            </w:pPr>
            <w:r>
              <w:rPr>
                <w:lang w:val="en-US" w:eastAsia="zh-CN"/>
              </w:rPr>
              <w:t>{</w:t>
            </w:r>
            <w:r>
              <w:rPr>
                <w:rFonts w:eastAsia="Batang"/>
              </w:rPr>
              <w:t>notifUri</w:t>
            </w:r>
            <w:r>
              <w:rPr>
                <w:lang w:val="en-US" w:eastAsia="zh-CN"/>
              </w:rPr>
              <w:t>}</w:t>
            </w:r>
          </w:p>
        </w:tc>
        <w:tc>
          <w:tcPr>
            <w:tcW w:w="666" w:type="pct"/>
          </w:tcPr>
          <w:p w14:paraId="67D7A40E" w14:textId="77777777" w:rsidR="00A10B25" w:rsidRDefault="00A10B25">
            <w:pPr>
              <w:pStyle w:val="TAL"/>
            </w:pPr>
            <w:r>
              <w:t>POST</w:t>
            </w:r>
          </w:p>
        </w:tc>
        <w:tc>
          <w:tcPr>
            <w:tcW w:w="1818" w:type="pct"/>
          </w:tcPr>
          <w:p w14:paraId="56BDA4D2" w14:textId="77777777" w:rsidR="00A10B25" w:rsidRDefault="00A10B25">
            <w:pPr>
              <w:pStyle w:val="TAL"/>
            </w:pPr>
            <w:r>
              <w:t>Report one or several observed Events.</w:t>
            </w:r>
          </w:p>
        </w:tc>
      </w:tr>
    </w:tbl>
    <w:p w14:paraId="08D28056" w14:textId="77777777" w:rsidR="00A10B25" w:rsidRDefault="00A10B25"/>
    <w:p w14:paraId="0E920723" w14:textId="77777777" w:rsidR="00A10B25" w:rsidRDefault="00A10B25">
      <w:pPr>
        <w:pStyle w:val="4"/>
      </w:pPr>
      <w:bookmarkStart w:id="14700" w:name="_Toc138754523"/>
      <w:bookmarkStart w:id="14701" w:name="_Toc145706018"/>
      <w:bookmarkStart w:id="14702" w:name="_Toc148522935"/>
      <w:bookmarkStart w:id="14703" w:name="_Toc136562689"/>
      <w:bookmarkStart w:id="14704" w:name="_Toc164921123"/>
      <w:bookmarkStart w:id="14705" w:name="_Toc170120665"/>
      <w:bookmarkStart w:id="14706" w:name="_Toc175858910"/>
      <w:bookmarkStart w:id="14707" w:name="_Toc175859983"/>
      <w:bookmarkStart w:id="14708" w:name="_Toc180606273"/>
      <w:bookmarkStart w:id="14709" w:name="_Toc185517534"/>
      <w:bookmarkStart w:id="14710" w:name="_Toc191576586"/>
      <w:bookmarkStart w:id="14711" w:name="_Toc191577326"/>
      <w:bookmarkStart w:id="14712" w:name="_Toc192880396"/>
      <w:bookmarkStart w:id="14713" w:name="_Toc195815285"/>
      <w:bookmarkStart w:id="14714" w:name="_Toc199453252"/>
      <w:r>
        <w:t>5.5.5.2</w:t>
      </w:r>
      <w:r>
        <w:tab/>
        <w:t>Event Notification</w:t>
      </w:r>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13287D6B" w14:textId="77777777" w:rsidR="00A10B25" w:rsidRDefault="00A10B25">
      <w:pPr>
        <w:pStyle w:val="5"/>
      </w:pPr>
      <w:bookmarkStart w:id="14715" w:name="_Toc145706019"/>
      <w:bookmarkStart w:id="14716" w:name="_Toc136562690"/>
      <w:bookmarkStart w:id="14717" w:name="_Toc138754524"/>
      <w:bookmarkStart w:id="14718" w:name="_Toc148522936"/>
      <w:bookmarkStart w:id="14719" w:name="_Toc164921124"/>
      <w:bookmarkStart w:id="14720" w:name="_Toc170120666"/>
      <w:bookmarkStart w:id="14721" w:name="_Toc175858911"/>
      <w:bookmarkStart w:id="14722" w:name="_Toc175859984"/>
      <w:bookmarkStart w:id="14723" w:name="_Toc180606274"/>
      <w:bookmarkStart w:id="14724" w:name="_Toc185517535"/>
      <w:bookmarkStart w:id="14725" w:name="_Toc191576587"/>
      <w:bookmarkStart w:id="14726" w:name="_Toc191577327"/>
      <w:bookmarkStart w:id="14727" w:name="_Toc192880397"/>
      <w:bookmarkStart w:id="14728" w:name="_Toc195815286"/>
      <w:bookmarkStart w:id="14729" w:name="_Toc199453253"/>
      <w:r>
        <w:t>5.5.5.2.1</w:t>
      </w:r>
      <w:r>
        <w:tab/>
        <w:t>Description</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p>
    <w:p w14:paraId="13603216" w14:textId="77777777" w:rsidR="00A10B25" w:rsidRDefault="00A10B25">
      <w:r>
        <w:t>The Event Notification is used by the NWDAF to report one or several observed Events to a NF service consumer that has subscribed to such Notifications via the Individual NWDAF ML Model Training Subscription Resource.</w:t>
      </w:r>
    </w:p>
    <w:p w14:paraId="6C6E4304" w14:textId="77777777" w:rsidR="00A10B25" w:rsidRDefault="00A10B25">
      <w:pPr>
        <w:pStyle w:val="5"/>
      </w:pPr>
      <w:bookmarkStart w:id="14730" w:name="_Toc145706020"/>
      <w:bookmarkStart w:id="14731" w:name="_Toc148522937"/>
      <w:bookmarkStart w:id="14732" w:name="_Toc136562691"/>
      <w:bookmarkStart w:id="14733" w:name="_Toc138754525"/>
      <w:bookmarkStart w:id="14734" w:name="_Toc164921125"/>
      <w:bookmarkStart w:id="14735" w:name="_Toc170120667"/>
      <w:bookmarkStart w:id="14736" w:name="_Toc175858912"/>
      <w:bookmarkStart w:id="14737" w:name="_Toc175859985"/>
      <w:bookmarkStart w:id="14738" w:name="_Toc180606275"/>
      <w:bookmarkStart w:id="14739" w:name="_Toc185517536"/>
      <w:bookmarkStart w:id="14740" w:name="_Toc191576588"/>
      <w:bookmarkStart w:id="14741" w:name="_Toc191577328"/>
      <w:bookmarkStart w:id="14742" w:name="_Toc192880398"/>
      <w:bookmarkStart w:id="14743" w:name="_Toc195815287"/>
      <w:bookmarkStart w:id="14744" w:name="_Toc199453254"/>
      <w:r>
        <w:t>5.5.5.2.2</w:t>
      </w:r>
      <w:r>
        <w:tab/>
        <w:t>Operation Definition</w:t>
      </w:r>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p>
    <w:p w14:paraId="5D0DE62A" w14:textId="77777777" w:rsidR="00A10B25" w:rsidRDefault="00A10B25">
      <w:pPr>
        <w:rPr>
          <w:rFonts w:eastAsia="Batang"/>
        </w:rPr>
      </w:pPr>
      <w:r>
        <w:rPr>
          <w:rFonts w:eastAsia="Batang"/>
        </w:rPr>
        <w:t>Callback URI:</w:t>
      </w:r>
      <w:r>
        <w:rPr>
          <w:rFonts w:ascii="Arial" w:eastAsia="Batang" w:hAnsi="Arial"/>
          <w:b/>
          <w:sz w:val="18"/>
        </w:rPr>
        <w:t xml:space="preserve"> {notifUri}</w:t>
      </w:r>
    </w:p>
    <w:p w14:paraId="7943C0E1"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5.5.5.2.2-1</w:t>
      </w:r>
      <w:r>
        <w:rPr>
          <w:rFonts w:ascii="Arial" w:eastAsia="Batang" w:hAnsi="Arial" w:cs="Arial"/>
        </w:rPr>
        <w:t xml:space="preserve">, </w:t>
      </w:r>
      <w:r>
        <w:rPr>
          <w:rFonts w:eastAsia="Batang"/>
        </w:rPr>
        <w:t>the request data structures specified in table 5.5.5.2.2-2 and the response data structure and response codes specified in table 5.5.5.2.2-3.</w:t>
      </w:r>
    </w:p>
    <w:p w14:paraId="374B7FF5" w14:textId="77777777" w:rsidR="00A10B25" w:rsidRDefault="00A10B25">
      <w:pPr>
        <w:pStyle w:val="TH"/>
        <w:rPr>
          <w:rFonts w:cs="Arial"/>
        </w:rPr>
      </w:pPr>
      <w:r>
        <w:t>Table 5.5.5.2.2-1: Callback URI variables</w:t>
      </w:r>
    </w:p>
    <w:tbl>
      <w:tblPr>
        <w:tblW w:w="4928"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7CA5D656" w14:textId="77777777">
        <w:trPr>
          <w:jc w:val="center"/>
        </w:trPr>
        <w:tc>
          <w:tcPr>
            <w:tcW w:w="765" w:type="pct"/>
            <w:shd w:val="clear" w:color="000000" w:fill="C0C0C0"/>
          </w:tcPr>
          <w:p w14:paraId="6678BC88" w14:textId="77777777" w:rsidR="00A10B25" w:rsidRDefault="00A10B25">
            <w:pPr>
              <w:pStyle w:val="TAH"/>
            </w:pPr>
            <w:r>
              <w:t>Name</w:t>
            </w:r>
          </w:p>
        </w:tc>
        <w:tc>
          <w:tcPr>
            <w:tcW w:w="647" w:type="pct"/>
            <w:shd w:val="clear" w:color="000000" w:fill="C0C0C0"/>
          </w:tcPr>
          <w:p w14:paraId="40E5A824" w14:textId="77777777" w:rsidR="00A10B25" w:rsidRDefault="00A10B25">
            <w:pPr>
              <w:pStyle w:val="TAH"/>
            </w:pPr>
            <w:r>
              <w:t>Data type</w:t>
            </w:r>
          </w:p>
        </w:tc>
        <w:tc>
          <w:tcPr>
            <w:tcW w:w="3588" w:type="pct"/>
            <w:shd w:val="clear" w:color="000000" w:fill="C0C0C0"/>
            <w:vAlign w:val="center"/>
          </w:tcPr>
          <w:p w14:paraId="457034C9" w14:textId="77777777" w:rsidR="00A10B25" w:rsidRDefault="00A10B25">
            <w:pPr>
              <w:pStyle w:val="TAH"/>
            </w:pPr>
            <w:r>
              <w:t>Definition</w:t>
            </w:r>
          </w:p>
        </w:tc>
      </w:tr>
      <w:tr w:rsidR="00A10B25" w14:paraId="76B7668E" w14:textId="77777777">
        <w:trPr>
          <w:jc w:val="center"/>
        </w:trPr>
        <w:tc>
          <w:tcPr>
            <w:tcW w:w="765" w:type="pct"/>
          </w:tcPr>
          <w:p w14:paraId="011CA0D9" w14:textId="77777777" w:rsidR="00A10B25" w:rsidRDefault="00A10B25">
            <w:pPr>
              <w:pStyle w:val="TAL"/>
            </w:pPr>
            <w:r>
              <w:t>notifUri</w:t>
            </w:r>
          </w:p>
        </w:tc>
        <w:tc>
          <w:tcPr>
            <w:tcW w:w="647" w:type="pct"/>
          </w:tcPr>
          <w:p w14:paraId="42536532" w14:textId="77777777" w:rsidR="00A10B25" w:rsidRDefault="00A10B25">
            <w:pPr>
              <w:pStyle w:val="TAL"/>
            </w:pPr>
            <w:r>
              <w:t>Uri</w:t>
            </w:r>
          </w:p>
        </w:tc>
        <w:tc>
          <w:tcPr>
            <w:tcW w:w="3588" w:type="pct"/>
            <w:vAlign w:val="center"/>
          </w:tcPr>
          <w:p w14:paraId="145E0A22" w14:textId="77777777" w:rsidR="00A10B25" w:rsidRDefault="00640768">
            <w:pPr>
              <w:pStyle w:val="TAL"/>
            </w:pPr>
            <w:r>
              <w:t xml:space="preserve">The Notification Uri as assigned within the Individual NWDAF ML Model Training Subscription and described within the </w:t>
            </w:r>
            <w:r>
              <w:rPr>
                <w:rFonts w:eastAsia="等线"/>
              </w:rPr>
              <w:t>NwdafMLModelTrainSubsc/NwdafMLModelTrainSubscPatch</w:t>
            </w:r>
            <w:r>
              <w:rPr>
                <w:lang w:val="en-US" w:eastAsia="zh-CN"/>
              </w:rPr>
              <w:t xml:space="preserve"> data types (see t</w:t>
            </w:r>
            <w:r>
              <w:t>ables 5.5.6.2.2-1 and 5.5.6.2.3-1).</w:t>
            </w:r>
          </w:p>
        </w:tc>
      </w:tr>
    </w:tbl>
    <w:p w14:paraId="74E65C3B" w14:textId="77777777" w:rsidR="00A10B25" w:rsidRDefault="00A10B25"/>
    <w:p w14:paraId="446D2D02" w14:textId="77777777" w:rsidR="00A10B25" w:rsidRDefault="00A10B25">
      <w:pPr>
        <w:pStyle w:val="TH"/>
      </w:pPr>
      <w:r>
        <w:t>Table 5.5.5.2.2-2: Data structures supported by the POST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6DF730AE" w14:textId="77777777">
        <w:trPr>
          <w:jc w:val="center"/>
        </w:trPr>
        <w:tc>
          <w:tcPr>
            <w:tcW w:w="2989" w:type="dxa"/>
            <w:tcBorders>
              <w:bottom w:val="single" w:sz="6" w:space="0" w:color="auto"/>
            </w:tcBorders>
            <w:shd w:val="clear" w:color="auto" w:fill="C0C0C0"/>
          </w:tcPr>
          <w:p w14:paraId="2B647D05" w14:textId="77777777" w:rsidR="00A10B25" w:rsidRDefault="00A10B25">
            <w:pPr>
              <w:pStyle w:val="TAH"/>
            </w:pPr>
            <w:r>
              <w:t>Data type</w:t>
            </w:r>
          </w:p>
        </w:tc>
        <w:tc>
          <w:tcPr>
            <w:tcW w:w="360" w:type="dxa"/>
            <w:tcBorders>
              <w:bottom w:val="single" w:sz="6" w:space="0" w:color="auto"/>
            </w:tcBorders>
            <w:shd w:val="clear" w:color="auto" w:fill="C0C0C0"/>
          </w:tcPr>
          <w:p w14:paraId="491CF3BF" w14:textId="77777777" w:rsidR="00A10B25" w:rsidRDefault="00A10B25">
            <w:pPr>
              <w:pStyle w:val="TAH"/>
            </w:pPr>
            <w:r>
              <w:t>P</w:t>
            </w:r>
          </w:p>
        </w:tc>
        <w:tc>
          <w:tcPr>
            <w:tcW w:w="1350" w:type="dxa"/>
            <w:tcBorders>
              <w:bottom w:val="single" w:sz="6" w:space="0" w:color="auto"/>
            </w:tcBorders>
            <w:shd w:val="clear" w:color="auto" w:fill="C0C0C0"/>
          </w:tcPr>
          <w:p w14:paraId="76BFB270" w14:textId="77777777" w:rsidR="00A10B25" w:rsidRDefault="00A10B25">
            <w:pPr>
              <w:pStyle w:val="TAH"/>
            </w:pPr>
            <w:r>
              <w:t>Cardinality</w:t>
            </w:r>
          </w:p>
        </w:tc>
        <w:tc>
          <w:tcPr>
            <w:tcW w:w="4980" w:type="dxa"/>
            <w:tcBorders>
              <w:bottom w:val="single" w:sz="6" w:space="0" w:color="auto"/>
            </w:tcBorders>
            <w:shd w:val="clear" w:color="auto" w:fill="C0C0C0"/>
            <w:vAlign w:val="center"/>
          </w:tcPr>
          <w:p w14:paraId="332D5A8A" w14:textId="77777777" w:rsidR="00A10B25" w:rsidRDefault="00A10B25">
            <w:pPr>
              <w:pStyle w:val="TAH"/>
            </w:pPr>
            <w:r>
              <w:t>Description</w:t>
            </w:r>
          </w:p>
        </w:tc>
      </w:tr>
      <w:tr w:rsidR="00640768" w14:paraId="4F1DB49B" w14:textId="77777777">
        <w:trPr>
          <w:jc w:val="center"/>
        </w:trPr>
        <w:tc>
          <w:tcPr>
            <w:tcW w:w="2989" w:type="dxa"/>
            <w:tcBorders>
              <w:top w:val="single" w:sz="6" w:space="0" w:color="auto"/>
            </w:tcBorders>
          </w:tcPr>
          <w:p w14:paraId="3F13672A" w14:textId="77777777" w:rsidR="00640768" w:rsidRDefault="00640768" w:rsidP="00640768">
            <w:pPr>
              <w:pStyle w:val="TAL"/>
            </w:pPr>
            <w:r>
              <w:rPr>
                <w:rFonts w:eastAsia="等线"/>
              </w:rPr>
              <w:t>NwdafMLModelTrainNotif</w:t>
            </w:r>
          </w:p>
        </w:tc>
        <w:tc>
          <w:tcPr>
            <w:tcW w:w="360" w:type="dxa"/>
            <w:tcBorders>
              <w:top w:val="single" w:sz="6" w:space="0" w:color="auto"/>
            </w:tcBorders>
          </w:tcPr>
          <w:p w14:paraId="66699C15" w14:textId="77777777" w:rsidR="00640768" w:rsidRDefault="00640768" w:rsidP="00640768">
            <w:pPr>
              <w:pStyle w:val="TAC"/>
            </w:pPr>
            <w:r>
              <w:t>M</w:t>
            </w:r>
          </w:p>
        </w:tc>
        <w:tc>
          <w:tcPr>
            <w:tcW w:w="1350" w:type="dxa"/>
            <w:tcBorders>
              <w:top w:val="single" w:sz="6" w:space="0" w:color="auto"/>
            </w:tcBorders>
          </w:tcPr>
          <w:p w14:paraId="7C95CC0F" w14:textId="77777777" w:rsidR="00640768" w:rsidRDefault="00640768" w:rsidP="00640768">
            <w:pPr>
              <w:pStyle w:val="TAC"/>
            </w:pPr>
            <w:r>
              <w:t>1</w:t>
            </w:r>
          </w:p>
        </w:tc>
        <w:tc>
          <w:tcPr>
            <w:tcW w:w="4980" w:type="dxa"/>
            <w:tcBorders>
              <w:top w:val="single" w:sz="6" w:space="0" w:color="auto"/>
            </w:tcBorders>
          </w:tcPr>
          <w:p w14:paraId="19C25403" w14:textId="77777777" w:rsidR="00640768" w:rsidRDefault="00640768" w:rsidP="00640768">
            <w:pPr>
              <w:pStyle w:val="TAL"/>
            </w:pPr>
            <w:r>
              <w:t>Provides Information about observed events.</w:t>
            </w:r>
          </w:p>
        </w:tc>
      </w:tr>
    </w:tbl>
    <w:p w14:paraId="41A67D05" w14:textId="77777777" w:rsidR="00A10B25" w:rsidRDefault="00A10B25"/>
    <w:p w14:paraId="2B16F312" w14:textId="77777777" w:rsidR="007605E0" w:rsidRPr="00B1632D" w:rsidRDefault="007605E0" w:rsidP="007605E0">
      <w:pPr>
        <w:keepNext/>
        <w:keepLines/>
        <w:spacing w:before="60"/>
        <w:jc w:val="center"/>
        <w:rPr>
          <w:rFonts w:ascii="Arial" w:hAnsi="Arial"/>
          <w:b/>
        </w:rPr>
      </w:pPr>
      <w:r w:rsidRPr="00B1632D">
        <w:rPr>
          <w:rFonts w:ascii="Arial" w:hAnsi="Arial"/>
          <w:b/>
        </w:rPr>
        <w:t>Table 5.5.5.2.2-3: Data structures supported by the POST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08"/>
        <w:gridCol w:w="410"/>
        <w:gridCol w:w="1151"/>
        <w:gridCol w:w="1507"/>
        <w:gridCol w:w="4547"/>
        <w:gridCol w:w="17"/>
      </w:tblGrid>
      <w:tr w:rsidR="007605E0" w:rsidRPr="00B1632D" w14:paraId="53A6AA86" w14:textId="77777777" w:rsidTr="009E7F73">
        <w:trPr>
          <w:gridAfter w:val="1"/>
          <w:wAfter w:w="9" w:type="pct"/>
          <w:jc w:val="center"/>
        </w:trPr>
        <w:tc>
          <w:tcPr>
            <w:tcW w:w="1000" w:type="pct"/>
            <w:tcBorders>
              <w:bottom w:val="single" w:sz="6" w:space="0" w:color="auto"/>
            </w:tcBorders>
            <w:shd w:val="clear" w:color="auto" w:fill="C0C0C0"/>
          </w:tcPr>
          <w:p w14:paraId="2A77D39B"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Data type</w:t>
            </w:r>
          </w:p>
        </w:tc>
        <w:tc>
          <w:tcPr>
            <w:tcW w:w="215" w:type="pct"/>
            <w:tcBorders>
              <w:bottom w:val="single" w:sz="6" w:space="0" w:color="auto"/>
            </w:tcBorders>
            <w:shd w:val="clear" w:color="auto" w:fill="C0C0C0"/>
          </w:tcPr>
          <w:p w14:paraId="51FDA185"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P</w:t>
            </w:r>
          </w:p>
        </w:tc>
        <w:tc>
          <w:tcPr>
            <w:tcW w:w="603" w:type="pct"/>
            <w:tcBorders>
              <w:bottom w:val="single" w:sz="6" w:space="0" w:color="auto"/>
            </w:tcBorders>
            <w:shd w:val="clear" w:color="auto" w:fill="C0C0C0"/>
          </w:tcPr>
          <w:p w14:paraId="0A2A5EB6"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Cardinality</w:t>
            </w:r>
          </w:p>
        </w:tc>
        <w:tc>
          <w:tcPr>
            <w:tcW w:w="790" w:type="pct"/>
            <w:tcBorders>
              <w:bottom w:val="single" w:sz="6" w:space="0" w:color="auto"/>
            </w:tcBorders>
            <w:shd w:val="clear" w:color="auto" w:fill="C0C0C0"/>
          </w:tcPr>
          <w:p w14:paraId="1680151B"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Response codes</w:t>
            </w:r>
          </w:p>
        </w:tc>
        <w:tc>
          <w:tcPr>
            <w:tcW w:w="2383" w:type="pct"/>
            <w:tcBorders>
              <w:bottom w:val="single" w:sz="6" w:space="0" w:color="auto"/>
            </w:tcBorders>
            <w:shd w:val="clear" w:color="auto" w:fill="C0C0C0"/>
          </w:tcPr>
          <w:p w14:paraId="4AB66DFF" w14:textId="77777777" w:rsidR="007605E0" w:rsidRPr="00B1632D" w:rsidRDefault="007605E0" w:rsidP="009E7F73">
            <w:pPr>
              <w:keepNext/>
              <w:keepLines/>
              <w:spacing w:after="0"/>
              <w:jc w:val="center"/>
              <w:rPr>
                <w:rFonts w:ascii="Arial" w:hAnsi="Arial"/>
                <w:b/>
                <w:sz w:val="18"/>
              </w:rPr>
            </w:pPr>
            <w:r w:rsidRPr="00B1632D">
              <w:rPr>
                <w:rFonts w:ascii="Arial" w:hAnsi="Arial"/>
                <w:b/>
                <w:sz w:val="18"/>
              </w:rPr>
              <w:t>Description</w:t>
            </w:r>
          </w:p>
        </w:tc>
      </w:tr>
      <w:tr w:rsidR="007605E0" w:rsidRPr="00B1632D" w14:paraId="40513753" w14:textId="77777777" w:rsidTr="009E7F73">
        <w:trPr>
          <w:gridAfter w:val="1"/>
          <w:wAfter w:w="9" w:type="pct"/>
          <w:jc w:val="center"/>
        </w:trPr>
        <w:tc>
          <w:tcPr>
            <w:tcW w:w="1000" w:type="pct"/>
            <w:tcBorders>
              <w:top w:val="single" w:sz="6" w:space="0" w:color="auto"/>
            </w:tcBorders>
          </w:tcPr>
          <w:p w14:paraId="3BE8BD2F" w14:textId="77777777" w:rsidR="007605E0" w:rsidRPr="00B1632D" w:rsidRDefault="007605E0" w:rsidP="009E7F73">
            <w:pPr>
              <w:keepNext/>
              <w:keepLines/>
              <w:spacing w:after="0"/>
              <w:rPr>
                <w:rFonts w:ascii="Arial" w:hAnsi="Arial"/>
                <w:sz w:val="18"/>
              </w:rPr>
            </w:pPr>
            <w:r w:rsidRPr="00B1632D">
              <w:rPr>
                <w:rFonts w:ascii="Arial" w:hAnsi="Arial"/>
                <w:sz w:val="18"/>
              </w:rPr>
              <w:t>n/a</w:t>
            </w:r>
          </w:p>
        </w:tc>
        <w:tc>
          <w:tcPr>
            <w:tcW w:w="215" w:type="pct"/>
            <w:tcBorders>
              <w:top w:val="single" w:sz="6" w:space="0" w:color="auto"/>
            </w:tcBorders>
          </w:tcPr>
          <w:p w14:paraId="6AAE7A21" w14:textId="77777777" w:rsidR="007605E0" w:rsidRPr="00B1632D" w:rsidRDefault="007605E0" w:rsidP="009E7F73">
            <w:pPr>
              <w:keepNext/>
              <w:keepLines/>
              <w:spacing w:after="0"/>
              <w:jc w:val="center"/>
              <w:rPr>
                <w:rFonts w:ascii="Arial" w:hAnsi="Arial"/>
                <w:sz w:val="18"/>
              </w:rPr>
            </w:pPr>
          </w:p>
        </w:tc>
        <w:tc>
          <w:tcPr>
            <w:tcW w:w="603" w:type="pct"/>
            <w:tcBorders>
              <w:top w:val="single" w:sz="6" w:space="0" w:color="auto"/>
            </w:tcBorders>
          </w:tcPr>
          <w:p w14:paraId="42903DD2" w14:textId="77777777" w:rsidR="007605E0" w:rsidRPr="00B1632D" w:rsidRDefault="007605E0" w:rsidP="009E7F73">
            <w:pPr>
              <w:keepNext/>
              <w:keepLines/>
              <w:spacing w:after="0"/>
              <w:jc w:val="center"/>
              <w:rPr>
                <w:rFonts w:ascii="Arial" w:hAnsi="Arial"/>
                <w:sz w:val="18"/>
              </w:rPr>
            </w:pPr>
          </w:p>
        </w:tc>
        <w:tc>
          <w:tcPr>
            <w:tcW w:w="790" w:type="pct"/>
            <w:tcBorders>
              <w:top w:val="single" w:sz="6" w:space="0" w:color="auto"/>
            </w:tcBorders>
          </w:tcPr>
          <w:p w14:paraId="32A08877" w14:textId="77777777" w:rsidR="007605E0" w:rsidRPr="00B1632D" w:rsidRDefault="007605E0" w:rsidP="009E7F73">
            <w:pPr>
              <w:keepNext/>
              <w:keepLines/>
              <w:spacing w:after="0"/>
              <w:rPr>
                <w:rFonts w:ascii="Arial" w:hAnsi="Arial"/>
                <w:sz w:val="18"/>
              </w:rPr>
            </w:pPr>
            <w:r w:rsidRPr="00B1632D">
              <w:rPr>
                <w:rFonts w:ascii="Arial" w:hAnsi="Arial"/>
                <w:sz w:val="18"/>
              </w:rPr>
              <w:t>204 No Content</w:t>
            </w:r>
          </w:p>
        </w:tc>
        <w:tc>
          <w:tcPr>
            <w:tcW w:w="2383" w:type="pct"/>
            <w:tcBorders>
              <w:top w:val="single" w:sz="6" w:space="0" w:color="auto"/>
            </w:tcBorders>
          </w:tcPr>
          <w:p w14:paraId="53A01BA4" w14:textId="77777777" w:rsidR="007605E0" w:rsidRPr="00B1632D" w:rsidRDefault="007605E0" w:rsidP="009E7F73">
            <w:pPr>
              <w:keepNext/>
              <w:keepLines/>
              <w:spacing w:after="0"/>
              <w:rPr>
                <w:rFonts w:ascii="Arial" w:hAnsi="Arial"/>
                <w:sz w:val="18"/>
              </w:rPr>
            </w:pPr>
            <w:r w:rsidRPr="00B1632D">
              <w:rPr>
                <w:rFonts w:ascii="Arial" w:hAnsi="Arial"/>
                <w:sz w:val="18"/>
              </w:rPr>
              <w:t>The receipt of the Notification is acknowledged.</w:t>
            </w:r>
          </w:p>
        </w:tc>
      </w:tr>
      <w:tr w:rsidR="007605E0" w:rsidRPr="00B1632D" w14:paraId="6CEE51BD" w14:textId="77777777" w:rsidTr="009E7F73">
        <w:trPr>
          <w:gridAfter w:val="1"/>
          <w:wAfter w:w="9" w:type="pct"/>
          <w:jc w:val="center"/>
        </w:trPr>
        <w:tc>
          <w:tcPr>
            <w:tcW w:w="1000" w:type="pct"/>
          </w:tcPr>
          <w:p w14:paraId="06C42F57" w14:textId="77777777" w:rsidR="007605E0" w:rsidRPr="00B1632D" w:rsidRDefault="007605E0" w:rsidP="009E7F73">
            <w:pPr>
              <w:keepNext/>
              <w:keepLines/>
              <w:spacing w:after="0"/>
              <w:rPr>
                <w:rFonts w:ascii="Arial" w:hAnsi="Arial"/>
                <w:sz w:val="18"/>
              </w:rPr>
            </w:pPr>
            <w:r w:rsidRPr="00B1632D">
              <w:rPr>
                <w:rFonts w:ascii="Arial" w:hAnsi="Arial"/>
                <w:sz w:val="18"/>
              </w:rPr>
              <w:t>RedirectResponse</w:t>
            </w:r>
          </w:p>
        </w:tc>
        <w:tc>
          <w:tcPr>
            <w:tcW w:w="215" w:type="pct"/>
          </w:tcPr>
          <w:p w14:paraId="2F58DB52"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03" w:type="pct"/>
          </w:tcPr>
          <w:p w14:paraId="7EE2B3E6"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790" w:type="pct"/>
          </w:tcPr>
          <w:p w14:paraId="5A1C79F6" w14:textId="77777777" w:rsidR="007605E0" w:rsidRPr="00B1632D" w:rsidRDefault="007605E0" w:rsidP="009E7F73">
            <w:pPr>
              <w:keepNext/>
              <w:keepLines/>
              <w:spacing w:after="0"/>
              <w:rPr>
                <w:rFonts w:ascii="Arial" w:hAnsi="Arial"/>
                <w:sz w:val="18"/>
              </w:rPr>
            </w:pPr>
            <w:r w:rsidRPr="00B1632D">
              <w:rPr>
                <w:rFonts w:ascii="Arial" w:hAnsi="Arial"/>
                <w:sz w:val="18"/>
              </w:rPr>
              <w:t>307 Temporary Redirect</w:t>
            </w:r>
          </w:p>
        </w:tc>
        <w:tc>
          <w:tcPr>
            <w:tcW w:w="2383" w:type="pct"/>
          </w:tcPr>
          <w:p w14:paraId="117FB281" w14:textId="77777777" w:rsidR="007605E0" w:rsidRDefault="007605E0" w:rsidP="009E7F73">
            <w:pPr>
              <w:pStyle w:val="TAL"/>
            </w:pPr>
            <w:r w:rsidRPr="00B1632D">
              <w:t>Temporary redirection.</w:t>
            </w:r>
          </w:p>
          <w:p w14:paraId="6AEFB40F" w14:textId="77777777" w:rsidR="007605E0" w:rsidRDefault="007605E0" w:rsidP="009E7F73">
            <w:pPr>
              <w:pStyle w:val="TAL"/>
            </w:pPr>
          </w:p>
          <w:p w14:paraId="08DBA24E" w14:textId="77777777" w:rsidR="007605E0" w:rsidRPr="00B1632D" w:rsidRDefault="007605E0" w:rsidP="0040274B">
            <w:pPr>
              <w:pStyle w:val="TAL"/>
            </w:pPr>
            <w:r>
              <w:t>(NOTE 2)</w:t>
            </w:r>
          </w:p>
        </w:tc>
      </w:tr>
      <w:tr w:rsidR="007605E0" w:rsidRPr="00B1632D" w14:paraId="71DDEA75" w14:textId="77777777" w:rsidTr="009E7F73">
        <w:trPr>
          <w:gridAfter w:val="1"/>
          <w:wAfter w:w="9" w:type="pct"/>
          <w:jc w:val="center"/>
        </w:trPr>
        <w:tc>
          <w:tcPr>
            <w:tcW w:w="1000" w:type="pct"/>
          </w:tcPr>
          <w:p w14:paraId="0DC2C3D6" w14:textId="77777777" w:rsidR="007605E0" w:rsidRPr="00B1632D" w:rsidRDefault="007605E0" w:rsidP="009E7F73">
            <w:pPr>
              <w:keepNext/>
              <w:keepLines/>
              <w:spacing w:after="0"/>
              <w:rPr>
                <w:rFonts w:ascii="Arial" w:hAnsi="Arial"/>
                <w:sz w:val="18"/>
              </w:rPr>
            </w:pPr>
            <w:r w:rsidRPr="00B1632D">
              <w:rPr>
                <w:rFonts w:ascii="Arial" w:hAnsi="Arial"/>
                <w:sz w:val="18"/>
              </w:rPr>
              <w:t>RedirectResponse</w:t>
            </w:r>
          </w:p>
        </w:tc>
        <w:tc>
          <w:tcPr>
            <w:tcW w:w="215" w:type="pct"/>
          </w:tcPr>
          <w:p w14:paraId="03DFAC1B" w14:textId="77777777" w:rsidR="007605E0" w:rsidRPr="00B1632D" w:rsidRDefault="007605E0" w:rsidP="009E7F73">
            <w:pPr>
              <w:keepNext/>
              <w:keepLines/>
              <w:spacing w:after="0"/>
              <w:jc w:val="center"/>
              <w:rPr>
                <w:rFonts w:ascii="Arial" w:hAnsi="Arial"/>
                <w:sz w:val="18"/>
              </w:rPr>
            </w:pPr>
            <w:r w:rsidRPr="00B1632D">
              <w:rPr>
                <w:rFonts w:ascii="Arial" w:hAnsi="Arial"/>
                <w:sz w:val="18"/>
              </w:rPr>
              <w:t>O</w:t>
            </w:r>
          </w:p>
        </w:tc>
        <w:tc>
          <w:tcPr>
            <w:tcW w:w="603" w:type="pct"/>
          </w:tcPr>
          <w:p w14:paraId="36DA4699" w14:textId="77777777" w:rsidR="007605E0" w:rsidRPr="00B1632D" w:rsidRDefault="007605E0" w:rsidP="009E7F73">
            <w:pPr>
              <w:keepNext/>
              <w:keepLines/>
              <w:spacing w:after="0"/>
              <w:jc w:val="center"/>
              <w:rPr>
                <w:rFonts w:ascii="Arial" w:hAnsi="Arial"/>
                <w:sz w:val="18"/>
              </w:rPr>
            </w:pPr>
            <w:r w:rsidRPr="00B1632D">
              <w:rPr>
                <w:rFonts w:ascii="Arial" w:hAnsi="Arial"/>
                <w:sz w:val="18"/>
              </w:rPr>
              <w:t>0..1</w:t>
            </w:r>
          </w:p>
        </w:tc>
        <w:tc>
          <w:tcPr>
            <w:tcW w:w="790" w:type="pct"/>
          </w:tcPr>
          <w:p w14:paraId="6ED33DA9" w14:textId="77777777" w:rsidR="007605E0" w:rsidRPr="00B1632D" w:rsidRDefault="007605E0" w:rsidP="009E7F73">
            <w:pPr>
              <w:keepNext/>
              <w:keepLines/>
              <w:spacing w:after="0"/>
              <w:rPr>
                <w:rFonts w:ascii="Arial" w:hAnsi="Arial"/>
                <w:sz w:val="18"/>
              </w:rPr>
            </w:pPr>
            <w:r w:rsidRPr="00B1632D">
              <w:rPr>
                <w:rFonts w:ascii="Arial" w:hAnsi="Arial"/>
                <w:sz w:val="18"/>
              </w:rPr>
              <w:t>308 Permanent Redirect</w:t>
            </w:r>
          </w:p>
        </w:tc>
        <w:tc>
          <w:tcPr>
            <w:tcW w:w="2383" w:type="pct"/>
          </w:tcPr>
          <w:p w14:paraId="38F173AE" w14:textId="77777777" w:rsidR="007605E0" w:rsidRDefault="007605E0" w:rsidP="009E7F73">
            <w:pPr>
              <w:pStyle w:val="TAL"/>
            </w:pPr>
            <w:r w:rsidRPr="00B1632D">
              <w:t>Permanent redirection.</w:t>
            </w:r>
            <w:r>
              <w:t xml:space="preserve"> </w:t>
            </w:r>
          </w:p>
          <w:p w14:paraId="21EFBAA5" w14:textId="77777777" w:rsidR="007605E0" w:rsidRDefault="007605E0" w:rsidP="009E7F73">
            <w:pPr>
              <w:pStyle w:val="TAL"/>
            </w:pPr>
          </w:p>
          <w:p w14:paraId="04D81D05" w14:textId="77777777" w:rsidR="007605E0" w:rsidRPr="00B1632D" w:rsidRDefault="007605E0" w:rsidP="0040274B">
            <w:pPr>
              <w:pStyle w:val="TAL"/>
            </w:pPr>
            <w:r>
              <w:t>(NOTE 2)</w:t>
            </w:r>
          </w:p>
        </w:tc>
      </w:tr>
      <w:tr w:rsidR="007605E0" w:rsidRPr="00B1632D" w14:paraId="617C30CE" w14:textId="77777777" w:rsidTr="009E7F73">
        <w:tblPrEx>
          <w:tblCellMar>
            <w:right w:w="115" w:type="dxa"/>
          </w:tblCellMar>
        </w:tblPrEx>
        <w:trPr>
          <w:jc w:val="center"/>
        </w:trPr>
        <w:tc>
          <w:tcPr>
            <w:tcW w:w="5000" w:type="pct"/>
            <w:gridSpan w:val="6"/>
          </w:tcPr>
          <w:p w14:paraId="697879B2" w14:textId="77777777" w:rsidR="007605E0" w:rsidRDefault="007605E0" w:rsidP="0040274B">
            <w:pPr>
              <w:pStyle w:val="TAN"/>
            </w:pPr>
            <w:r w:rsidRPr="00B1632D">
              <w:t>NOTE</w:t>
            </w:r>
            <w:r>
              <w:t> 1</w:t>
            </w:r>
            <w:r w:rsidRPr="00B1632D">
              <w:t>:</w:t>
            </w:r>
            <w:r w:rsidRPr="00B1632D">
              <w:rPr>
                <w:lang w:eastAsia="zh-CN"/>
              </w:rPr>
              <w:tab/>
              <w:t xml:space="preserve">The mandatory </w:t>
            </w:r>
            <w:r w:rsidRPr="00B1632D">
              <w:t>HTTP error status codes for the POST method listed in table 5.2.7.1-1 of 3GPP TS 29.500 [6] also apply.</w:t>
            </w:r>
          </w:p>
          <w:p w14:paraId="4DE190C8" w14:textId="77777777" w:rsidR="007605E0" w:rsidRPr="00B1632D" w:rsidRDefault="007605E0" w:rsidP="0040274B">
            <w:pPr>
              <w:pStyle w:val="TAN"/>
              <w:rPr>
                <w:lang w:eastAsia="en-GB"/>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74693B1B" w14:textId="77777777" w:rsidR="007605E0" w:rsidRPr="00B1632D" w:rsidRDefault="007605E0" w:rsidP="007605E0">
      <w:pPr>
        <w:rPr>
          <w:lang w:val="en-US"/>
        </w:rPr>
      </w:pPr>
    </w:p>
    <w:p w14:paraId="040D66B6" w14:textId="77777777" w:rsidR="007605E0" w:rsidRDefault="007605E0" w:rsidP="007605E0">
      <w:pPr>
        <w:pStyle w:val="TH"/>
      </w:pPr>
      <w:r>
        <w:lastRenderedPageBreak/>
        <w:t>Table 5.5.5.2.2-4: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06AE11B0" w14:textId="77777777" w:rsidTr="0040274B">
        <w:trPr>
          <w:jc w:val="center"/>
        </w:trPr>
        <w:tc>
          <w:tcPr>
            <w:tcW w:w="1027" w:type="pct"/>
            <w:tcBorders>
              <w:bottom w:val="single" w:sz="6" w:space="0" w:color="auto"/>
            </w:tcBorders>
            <w:shd w:val="clear" w:color="auto" w:fill="C0C0C0"/>
          </w:tcPr>
          <w:p w14:paraId="1129F6D0" w14:textId="77777777" w:rsidR="007605E0" w:rsidRDefault="007605E0" w:rsidP="009E7F73">
            <w:pPr>
              <w:pStyle w:val="TAH"/>
            </w:pPr>
            <w:r>
              <w:t>Name</w:t>
            </w:r>
          </w:p>
        </w:tc>
        <w:tc>
          <w:tcPr>
            <w:tcW w:w="529" w:type="pct"/>
            <w:tcBorders>
              <w:bottom w:val="single" w:sz="6" w:space="0" w:color="auto"/>
            </w:tcBorders>
            <w:shd w:val="clear" w:color="auto" w:fill="C0C0C0"/>
          </w:tcPr>
          <w:p w14:paraId="11EE40DD" w14:textId="77777777" w:rsidR="007605E0" w:rsidRDefault="007605E0" w:rsidP="009E7F73">
            <w:pPr>
              <w:pStyle w:val="TAH"/>
            </w:pPr>
            <w:r>
              <w:t>Data type</w:t>
            </w:r>
          </w:p>
        </w:tc>
        <w:tc>
          <w:tcPr>
            <w:tcW w:w="217" w:type="pct"/>
            <w:tcBorders>
              <w:bottom w:val="single" w:sz="6" w:space="0" w:color="auto"/>
            </w:tcBorders>
            <w:shd w:val="clear" w:color="auto" w:fill="C0C0C0"/>
          </w:tcPr>
          <w:p w14:paraId="7C3B13B5" w14:textId="77777777" w:rsidR="007605E0" w:rsidRDefault="007605E0" w:rsidP="009E7F73">
            <w:pPr>
              <w:pStyle w:val="TAH"/>
            </w:pPr>
            <w:r>
              <w:t>P</w:t>
            </w:r>
          </w:p>
        </w:tc>
        <w:tc>
          <w:tcPr>
            <w:tcW w:w="581" w:type="pct"/>
            <w:tcBorders>
              <w:bottom w:val="single" w:sz="6" w:space="0" w:color="auto"/>
            </w:tcBorders>
            <w:shd w:val="clear" w:color="auto" w:fill="C0C0C0"/>
          </w:tcPr>
          <w:p w14:paraId="016FF427"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3EF63723" w14:textId="77777777" w:rsidR="007605E0" w:rsidRDefault="007605E0" w:rsidP="009E7F73">
            <w:pPr>
              <w:pStyle w:val="TAH"/>
            </w:pPr>
            <w:r>
              <w:t>Description</w:t>
            </w:r>
          </w:p>
        </w:tc>
      </w:tr>
      <w:tr w:rsidR="007605E0" w14:paraId="583B9CCC" w14:textId="77777777" w:rsidTr="0040274B">
        <w:trPr>
          <w:jc w:val="center"/>
        </w:trPr>
        <w:tc>
          <w:tcPr>
            <w:tcW w:w="1027" w:type="pct"/>
            <w:tcBorders>
              <w:top w:val="single" w:sz="6" w:space="0" w:color="auto"/>
            </w:tcBorders>
          </w:tcPr>
          <w:p w14:paraId="5EE92EF4" w14:textId="77777777" w:rsidR="007605E0" w:rsidRDefault="007605E0" w:rsidP="009E7F73">
            <w:pPr>
              <w:pStyle w:val="TAL"/>
            </w:pPr>
            <w:r>
              <w:t>Location</w:t>
            </w:r>
          </w:p>
        </w:tc>
        <w:tc>
          <w:tcPr>
            <w:tcW w:w="529" w:type="pct"/>
            <w:tcBorders>
              <w:top w:val="single" w:sz="6" w:space="0" w:color="auto"/>
            </w:tcBorders>
          </w:tcPr>
          <w:p w14:paraId="32BB3250" w14:textId="77777777" w:rsidR="007605E0" w:rsidRDefault="007605E0" w:rsidP="009E7F73">
            <w:pPr>
              <w:pStyle w:val="TAL"/>
            </w:pPr>
            <w:r>
              <w:t>string</w:t>
            </w:r>
          </w:p>
        </w:tc>
        <w:tc>
          <w:tcPr>
            <w:tcW w:w="217" w:type="pct"/>
            <w:tcBorders>
              <w:top w:val="single" w:sz="6" w:space="0" w:color="auto"/>
            </w:tcBorders>
          </w:tcPr>
          <w:p w14:paraId="52860193" w14:textId="77777777" w:rsidR="007605E0" w:rsidRDefault="007605E0" w:rsidP="009E7F73">
            <w:pPr>
              <w:pStyle w:val="TAC"/>
            </w:pPr>
            <w:r>
              <w:t>M</w:t>
            </w:r>
          </w:p>
        </w:tc>
        <w:tc>
          <w:tcPr>
            <w:tcW w:w="581" w:type="pct"/>
            <w:tcBorders>
              <w:top w:val="single" w:sz="6" w:space="0" w:color="auto"/>
            </w:tcBorders>
          </w:tcPr>
          <w:p w14:paraId="79F74E6C" w14:textId="77777777" w:rsidR="007605E0" w:rsidRDefault="007605E0" w:rsidP="009E7F73">
            <w:pPr>
              <w:pStyle w:val="TAL"/>
            </w:pPr>
            <w:r>
              <w:t>1</w:t>
            </w:r>
          </w:p>
        </w:tc>
        <w:tc>
          <w:tcPr>
            <w:tcW w:w="2645" w:type="pct"/>
            <w:tcBorders>
              <w:top w:val="single" w:sz="6" w:space="0" w:color="auto"/>
            </w:tcBorders>
            <w:vAlign w:val="center"/>
          </w:tcPr>
          <w:p w14:paraId="1F888643" w14:textId="77777777" w:rsidR="007605E0" w:rsidRDefault="007605E0" w:rsidP="009E7F73">
            <w:pPr>
              <w:pStyle w:val="TAL"/>
            </w:pPr>
            <w:r>
              <w:t>Contains an alternative URI representing the end point of an alternative NF consumer (service) instance towards which the notification should be redirected.</w:t>
            </w:r>
          </w:p>
          <w:p w14:paraId="53938A16" w14:textId="77777777" w:rsidR="007605E0" w:rsidRDefault="007605E0" w:rsidP="009E7F73">
            <w:pPr>
              <w:pStyle w:val="TAL"/>
            </w:pPr>
          </w:p>
          <w:p w14:paraId="5E254E59"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5C6E8D9F" w14:textId="77777777" w:rsidTr="0040274B">
        <w:trPr>
          <w:jc w:val="center"/>
        </w:trPr>
        <w:tc>
          <w:tcPr>
            <w:tcW w:w="1027" w:type="pct"/>
          </w:tcPr>
          <w:p w14:paraId="01FB309B" w14:textId="77777777" w:rsidR="007605E0" w:rsidRDefault="007605E0" w:rsidP="009E7F73">
            <w:pPr>
              <w:pStyle w:val="TAL"/>
            </w:pPr>
            <w:r>
              <w:rPr>
                <w:lang w:eastAsia="zh-CN"/>
              </w:rPr>
              <w:t>3gpp-Sbi-Target-Nf-Id</w:t>
            </w:r>
          </w:p>
        </w:tc>
        <w:tc>
          <w:tcPr>
            <w:tcW w:w="529" w:type="pct"/>
          </w:tcPr>
          <w:p w14:paraId="1C844C67" w14:textId="77777777" w:rsidR="007605E0" w:rsidRDefault="007605E0" w:rsidP="009E7F73">
            <w:pPr>
              <w:pStyle w:val="TAL"/>
            </w:pPr>
            <w:r>
              <w:rPr>
                <w:lang w:eastAsia="fr-FR"/>
              </w:rPr>
              <w:t>string</w:t>
            </w:r>
          </w:p>
        </w:tc>
        <w:tc>
          <w:tcPr>
            <w:tcW w:w="217" w:type="pct"/>
          </w:tcPr>
          <w:p w14:paraId="1A73D7B3" w14:textId="77777777" w:rsidR="007605E0" w:rsidRDefault="007605E0" w:rsidP="009E7F73">
            <w:pPr>
              <w:pStyle w:val="TAC"/>
            </w:pPr>
            <w:r>
              <w:rPr>
                <w:lang w:eastAsia="fr-FR"/>
              </w:rPr>
              <w:t>O</w:t>
            </w:r>
          </w:p>
        </w:tc>
        <w:tc>
          <w:tcPr>
            <w:tcW w:w="581" w:type="pct"/>
          </w:tcPr>
          <w:p w14:paraId="6926B50F" w14:textId="77777777" w:rsidR="007605E0" w:rsidRDefault="007605E0" w:rsidP="009E7F73">
            <w:pPr>
              <w:pStyle w:val="TAL"/>
            </w:pPr>
            <w:r>
              <w:rPr>
                <w:lang w:eastAsia="fr-FR"/>
              </w:rPr>
              <w:t>0..1</w:t>
            </w:r>
          </w:p>
        </w:tc>
        <w:tc>
          <w:tcPr>
            <w:tcW w:w="2645" w:type="pct"/>
            <w:vAlign w:val="center"/>
          </w:tcPr>
          <w:p w14:paraId="0CFCE1C9" w14:textId="77777777" w:rsidR="007605E0" w:rsidRDefault="007605E0" w:rsidP="009E7F73">
            <w:pPr>
              <w:pStyle w:val="TAL"/>
            </w:pPr>
            <w:r>
              <w:rPr>
                <w:lang w:eastAsia="fr-FR"/>
              </w:rPr>
              <w:t>Contains the identifier of the target NF (service) instance towards which the notification request is redirected.</w:t>
            </w:r>
          </w:p>
        </w:tc>
      </w:tr>
    </w:tbl>
    <w:p w14:paraId="183BF00B" w14:textId="77777777" w:rsidR="007605E0" w:rsidRDefault="007605E0" w:rsidP="007605E0"/>
    <w:p w14:paraId="4E74A352" w14:textId="77777777" w:rsidR="007605E0" w:rsidRDefault="007605E0" w:rsidP="007605E0">
      <w:pPr>
        <w:pStyle w:val="TH"/>
      </w:pPr>
      <w:r>
        <w:t>Table 5.5.5.2.2-5: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1018"/>
        <w:gridCol w:w="418"/>
        <w:gridCol w:w="1118"/>
        <w:gridCol w:w="5092"/>
      </w:tblGrid>
      <w:tr w:rsidR="007605E0" w14:paraId="42535AC1" w14:textId="77777777" w:rsidTr="0040274B">
        <w:trPr>
          <w:jc w:val="center"/>
        </w:trPr>
        <w:tc>
          <w:tcPr>
            <w:tcW w:w="1027" w:type="pct"/>
            <w:tcBorders>
              <w:bottom w:val="single" w:sz="6" w:space="0" w:color="auto"/>
            </w:tcBorders>
            <w:shd w:val="clear" w:color="auto" w:fill="C0C0C0"/>
          </w:tcPr>
          <w:p w14:paraId="6BAA6C02" w14:textId="77777777" w:rsidR="007605E0" w:rsidRDefault="007605E0" w:rsidP="009E7F73">
            <w:pPr>
              <w:pStyle w:val="TAH"/>
            </w:pPr>
            <w:r>
              <w:t>Name</w:t>
            </w:r>
          </w:p>
        </w:tc>
        <w:tc>
          <w:tcPr>
            <w:tcW w:w="529" w:type="pct"/>
            <w:tcBorders>
              <w:bottom w:val="single" w:sz="6" w:space="0" w:color="auto"/>
            </w:tcBorders>
            <w:shd w:val="clear" w:color="auto" w:fill="C0C0C0"/>
          </w:tcPr>
          <w:p w14:paraId="03FE8629" w14:textId="77777777" w:rsidR="007605E0" w:rsidRDefault="007605E0" w:rsidP="009E7F73">
            <w:pPr>
              <w:pStyle w:val="TAH"/>
            </w:pPr>
            <w:r>
              <w:t>Data type</w:t>
            </w:r>
          </w:p>
        </w:tc>
        <w:tc>
          <w:tcPr>
            <w:tcW w:w="217" w:type="pct"/>
            <w:tcBorders>
              <w:bottom w:val="single" w:sz="6" w:space="0" w:color="auto"/>
            </w:tcBorders>
            <w:shd w:val="clear" w:color="auto" w:fill="C0C0C0"/>
          </w:tcPr>
          <w:p w14:paraId="566D8911" w14:textId="77777777" w:rsidR="007605E0" w:rsidRDefault="007605E0" w:rsidP="009E7F73">
            <w:pPr>
              <w:pStyle w:val="TAH"/>
            </w:pPr>
            <w:r>
              <w:t>P</w:t>
            </w:r>
          </w:p>
        </w:tc>
        <w:tc>
          <w:tcPr>
            <w:tcW w:w="581" w:type="pct"/>
            <w:tcBorders>
              <w:bottom w:val="single" w:sz="6" w:space="0" w:color="auto"/>
            </w:tcBorders>
            <w:shd w:val="clear" w:color="auto" w:fill="C0C0C0"/>
          </w:tcPr>
          <w:p w14:paraId="43303787" w14:textId="77777777" w:rsidR="007605E0" w:rsidRDefault="007605E0" w:rsidP="009E7F73">
            <w:pPr>
              <w:pStyle w:val="TAH"/>
            </w:pPr>
            <w:r>
              <w:t>Cardinality</w:t>
            </w:r>
          </w:p>
        </w:tc>
        <w:tc>
          <w:tcPr>
            <w:tcW w:w="2645" w:type="pct"/>
            <w:tcBorders>
              <w:bottom w:val="single" w:sz="6" w:space="0" w:color="auto"/>
            </w:tcBorders>
            <w:shd w:val="clear" w:color="auto" w:fill="C0C0C0"/>
            <w:vAlign w:val="center"/>
          </w:tcPr>
          <w:p w14:paraId="2BCF1487" w14:textId="77777777" w:rsidR="007605E0" w:rsidRDefault="007605E0" w:rsidP="009E7F73">
            <w:pPr>
              <w:pStyle w:val="TAH"/>
            </w:pPr>
            <w:r>
              <w:t>Description</w:t>
            </w:r>
          </w:p>
        </w:tc>
      </w:tr>
      <w:tr w:rsidR="007605E0" w14:paraId="2705F314" w14:textId="77777777" w:rsidTr="0040274B">
        <w:trPr>
          <w:jc w:val="center"/>
        </w:trPr>
        <w:tc>
          <w:tcPr>
            <w:tcW w:w="1027" w:type="pct"/>
            <w:tcBorders>
              <w:top w:val="single" w:sz="6" w:space="0" w:color="auto"/>
            </w:tcBorders>
          </w:tcPr>
          <w:p w14:paraId="12CD848B" w14:textId="77777777" w:rsidR="007605E0" w:rsidRDefault="007605E0" w:rsidP="009E7F73">
            <w:pPr>
              <w:pStyle w:val="TAL"/>
            </w:pPr>
            <w:r>
              <w:t>Location</w:t>
            </w:r>
          </w:p>
        </w:tc>
        <w:tc>
          <w:tcPr>
            <w:tcW w:w="529" w:type="pct"/>
            <w:tcBorders>
              <w:top w:val="single" w:sz="6" w:space="0" w:color="auto"/>
            </w:tcBorders>
          </w:tcPr>
          <w:p w14:paraId="71628795" w14:textId="77777777" w:rsidR="007605E0" w:rsidRDefault="007605E0" w:rsidP="009E7F73">
            <w:pPr>
              <w:pStyle w:val="TAL"/>
            </w:pPr>
            <w:r>
              <w:t>string</w:t>
            </w:r>
          </w:p>
        </w:tc>
        <w:tc>
          <w:tcPr>
            <w:tcW w:w="217" w:type="pct"/>
            <w:tcBorders>
              <w:top w:val="single" w:sz="6" w:space="0" w:color="auto"/>
            </w:tcBorders>
          </w:tcPr>
          <w:p w14:paraId="6BF85D15" w14:textId="77777777" w:rsidR="007605E0" w:rsidRDefault="007605E0" w:rsidP="009E7F73">
            <w:pPr>
              <w:pStyle w:val="TAC"/>
            </w:pPr>
            <w:r>
              <w:t>M</w:t>
            </w:r>
          </w:p>
        </w:tc>
        <w:tc>
          <w:tcPr>
            <w:tcW w:w="581" w:type="pct"/>
            <w:tcBorders>
              <w:top w:val="single" w:sz="6" w:space="0" w:color="auto"/>
            </w:tcBorders>
          </w:tcPr>
          <w:p w14:paraId="3217D582" w14:textId="77777777" w:rsidR="007605E0" w:rsidRDefault="007605E0" w:rsidP="009E7F73">
            <w:pPr>
              <w:pStyle w:val="TAL"/>
            </w:pPr>
            <w:r>
              <w:t>1</w:t>
            </w:r>
          </w:p>
        </w:tc>
        <w:tc>
          <w:tcPr>
            <w:tcW w:w="2645" w:type="pct"/>
            <w:tcBorders>
              <w:top w:val="single" w:sz="6" w:space="0" w:color="auto"/>
            </w:tcBorders>
            <w:vAlign w:val="center"/>
          </w:tcPr>
          <w:p w14:paraId="57669ED6" w14:textId="77777777" w:rsidR="007605E0" w:rsidRDefault="007605E0" w:rsidP="009E7F73">
            <w:pPr>
              <w:pStyle w:val="TAL"/>
            </w:pPr>
            <w:r>
              <w:t>Contains an alternative URI representing the end point of an alternative NF consumer (service) instance towards which the notification should be redirected.</w:t>
            </w:r>
          </w:p>
          <w:p w14:paraId="16E863F1" w14:textId="77777777" w:rsidR="007605E0" w:rsidRDefault="007605E0" w:rsidP="009E7F73">
            <w:pPr>
              <w:pStyle w:val="TAL"/>
            </w:pPr>
          </w:p>
          <w:p w14:paraId="6C4ED31D" w14:textId="77777777" w:rsidR="007605E0" w:rsidRDefault="007605E0" w:rsidP="009E7F73">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7605E0" w14:paraId="247D3D6A" w14:textId="77777777" w:rsidTr="0040274B">
        <w:trPr>
          <w:jc w:val="center"/>
        </w:trPr>
        <w:tc>
          <w:tcPr>
            <w:tcW w:w="1027" w:type="pct"/>
          </w:tcPr>
          <w:p w14:paraId="2A4AFD57" w14:textId="77777777" w:rsidR="007605E0" w:rsidRDefault="007605E0" w:rsidP="009E7F73">
            <w:pPr>
              <w:pStyle w:val="TAL"/>
            </w:pPr>
            <w:r>
              <w:rPr>
                <w:lang w:eastAsia="zh-CN"/>
              </w:rPr>
              <w:t>3gpp-Sbi-Target-Nf-Id</w:t>
            </w:r>
          </w:p>
        </w:tc>
        <w:tc>
          <w:tcPr>
            <w:tcW w:w="529" w:type="pct"/>
          </w:tcPr>
          <w:p w14:paraId="19E5B97E" w14:textId="77777777" w:rsidR="007605E0" w:rsidRDefault="007605E0" w:rsidP="009E7F73">
            <w:pPr>
              <w:pStyle w:val="TAL"/>
            </w:pPr>
            <w:r>
              <w:rPr>
                <w:lang w:eastAsia="fr-FR"/>
              </w:rPr>
              <w:t>string</w:t>
            </w:r>
          </w:p>
        </w:tc>
        <w:tc>
          <w:tcPr>
            <w:tcW w:w="217" w:type="pct"/>
          </w:tcPr>
          <w:p w14:paraId="1D09C3CF" w14:textId="77777777" w:rsidR="007605E0" w:rsidRDefault="007605E0" w:rsidP="009E7F73">
            <w:pPr>
              <w:pStyle w:val="TAC"/>
            </w:pPr>
            <w:r>
              <w:rPr>
                <w:lang w:eastAsia="fr-FR"/>
              </w:rPr>
              <w:t>O</w:t>
            </w:r>
          </w:p>
        </w:tc>
        <w:tc>
          <w:tcPr>
            <w:tcW w:w="581" w:type="pct"/>
          </w:tcPr>
          <w:p w14:paraId="1AA9960C" w14:textId="77777777" w:rsidR="007605E0" w:rsidRDefault="007605E0" w:rsidP="009E7F73">
            <w:pPr>
              <w:pStyle w:val="TAL"/>
            </w:pPr>
            <w:r>
              <w:rPr>
                <w:lang w:eastAsia="fr-FR"/>
              </w:rPr>
              <w:t>0..1</w:t>
            </w:r>
          </w:p>
        </w:tc>
        <w:tc>
          <w:tcPr>
            <w:tcW w:w="2645" w:type="pct"/>
            <w:vAlign w:val="center"/>
          </w:tcPr>
          <w:p w14:paraId="76EE0686" w14:textId="77777777" w:rsidR="007605E0" w:rsidRDefault="007605E0" w:rsidP="009E7F73">
            <w:pPr>
              <w:pStyle w:val="TAL"/>
            </w:pPr>
            <w:r>
              <w:rPr>
                <w:lang w:eastAsia="fr-FR"/>
              </w:rPr>
              <w:t>Containe the identifier of the target NF (service) instance towards which the notification request is redirected</w:t>
            </w:r>
          </w:p>
        </w:tc>
      </w:tr>
    </w:tbl>
    <w:p w14:paraId="73A9D35C" w14:textId="77777777" w:rsidR="00A10B25" w:rsidRPr="007605E0" w:rsidRDefault="00A10B25">
      <w:pPr>
        <w:rPr>
          <w:lang w:eastAsia="zh-CN"/>
        </w:rPr>
      </w:pPr>
    </w:p>
    <w:p w14:paraId="551E780B" w14:textId="77777777" w:rsidR="00A10B25" w:rsidRDefault="00A10B25">
      <w:pPr>
        <w:pStyle w:val="3"/>
        <w:rPr>
          <w:lang w:val="en-US"/>
        </w:rPr>
      </w:pPr>
      <w:bookmarkStart w:id="14745" w:name="_Toc145706021"/>
      <w:bookmarkStart w:id="14746" w:name="_Toc138754526"/>
      <w:bookmarkStart w:id="14747" w:name="_Toc148522938"/>
      <w:bookmarkStart w:id="14748" w:name="_Toc136562692"/>
      <w:bookmarkStart w:id="14749" w:name="_Toc164921126"/>
      <w:bookmarkStart w:id="14750" w:name="_Toc170120668"/>
      <w:bookmarkStart w:id="14751" w:name="_Toc175858913"/>
      <w:bookmarkStart w:id="14752" w:name="_Toc175859986"/>
      <w:bookmarkStart w:id="14753" w:name="_Toc180606276"/>
      <w:bookmarkStart w:id="14754" w:name="_Toc185517537"/>
      <w:bookmarkStart w:id="14755" w:name="_Toc191576589"/>
      <w:bookmarkStart w:id="14756" w:name="_Toc191577329"/>
      <w:bookmarkStart w:id="14757" w:name="_Toc192880399"/>
      <w:bookmarkStart w:id="14758" w:name="_Toc195815288"/>
      <w:bookmarkStart w:id="14759" w:name="_Toc199453255"/>
      <w:r>
        <w:rPr>
          <w:lang w:val="en-US"/>
        </w:rPr>
        <w:t>5.5.6</w:t>
      </w:r>
      <w:r>
        <w:rPr>
          <w:lang w:val="en-US"/>
        </w:rPr>
        <w:tab/>
        <w:t>Data Model</w:t>
      </w:r>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p>
    <w:p w14:paraId="0CF00F26" w14:textId="77777777" w:rsidR="00A10B25" w:rsidRDefault="00A10B25">
      <w:pPr>
        <w:pStyle w:val="4"/>
      </w:pPr>
      <w:bookmarkStart w:id="14760" w:name="_Toc136562693"/>
      <w:bookmarkStart w:id="14761" w:name="_Toc138754527"/>
      <w:bookmarkStart w:id="14762" w:name="_Toc148522939"/>
      <w:bookmarkStart w:id="14763" w:name="_Toc145706022"/>
      <w:bookmarkStart w:id="14764" w:name="_Toc164921127"/>
      <w:bookmarkStart w:id="14765" w:name="_Toc170120669"/>
      <w:bookmarkStart w:id="14766" w:name="_Toc175858914"/>
      <w:bookmarkStart w:id="14767" w:name="_Toc175859987"/>
      <w:bookmarkStart w:id="14768" w:name="_Toc180606277"/>
      <w:bookmarkStart w:id="14769" w:name="_Toc185517538"/>
      <w:bookmarkStart w:id="14770" w:name="_Toc191576590"/>
      <w:bookmarkStart w:id="14771" w:name="_Toc191577330"/>
      <w:bookmarkStart w:id="14772" w:name="_Toc192880400"/>
      <w:bookmarkStart w:id="14773" w:name="_Toc195815289"/>
      <w:bookmarkStart w:id="14774" w:name="_Toc199453256"/>
      <w:r>
        <w:t>5.5.6.1</w:t>
      </w:r>
      <w:r>
        <w:tab/>
        <w:t>General</w:t>
      </w:r>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p>
    <w:p w14:paraId="7081CD6A" w14:textId="77777777" w:rsidR="00A10B25" w:rsidRDefault="00A10B25">
      <w:r>
        <w:t>This clause specifies the application data model supported by the API.</w:t>
      </w:r>
    </w:p>
    <w:p w14:paraId="3EB24695" w14:textId="77777777" w:rsidR="00A10B25" w:rsidRDefault="00A10B25">
      <w:r>
        <w:t xml:space="preserve">Table 5.5.6.1-1 specifies the data types defined for the </w:t>
      </w:r>
      <w:r>
        <w:rPr>
          <w:rFonts w:eastAsia="MS Mincho"/>
        </w:rPr>
        <w:t>Nnwdaf_</w:t>
      </w:r>
      <w:r>
        <w:rPr>
          <w:lang w:eastAsia="ja-JP"/>
        </w:rPr>
        <w:t>MLModelTraining</w:t>
      </w:r>
      <w:r>
        <w:t xml:space="preserve"> service-based interface protocol.</w:t>
      </w:r>
    </w:p>
    <w:p w14:paraId="584A8B55" w14:textId="77777777" w:rsidR="00640768" w:rsidRDefault="00640768" w:rsidP="00640768">
      <w:pPr>
        <w:pStyle w:val="TH"/>
        <w:overflowPunct w:val="0"/>
        <w:autoSpaceDE w:val="0"/>
        <w:autoSpaceDN w:val="0"/>
        <w:adjustRightInd w:val="0"/>
        <w:textAlignment w:val="baseline"/>
        <w:rPr>
          <w:rFonts w:eastAsia="MS Mincho"/>
        </w:rPr>
      </w:pPr>
      <w:r>
        <w:rPr>
          <w:rFonts w:eastAsia="MS Mincho"/>
        </w:rPr>
        <w:lastRenderedPageBreak/>
        <w:t>Table 5.5.6.1-1: Nnwdaf_</w:t>
      </w:r>
      <w:r>
        <w:rPr>
          <w:lang w:eastAsia="ja-JP"/>
        </w:rPr>
        <w:t>MLModelTraining</w:t>
      </w:r>
      <w:r>
        <w:rPr>
          <w:rFonts w:eastAsia="MS Mincho"/>
        </w:rPr>
        <w:t xml:space="preserve"> specific Data Types</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200"/>
        <w:gridCol w:w="1848"/>
        <w:gridCol w:w="2549"/>
        <w:gridCol w:w="1751"/>
      </w:tblGrid>
      <w:tr w:rsidR="00640768" w14:paraId="16DA745F"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shd w:val="clear" w:color="auto" w:fill="C0C0C0"/>
          </w:tcPr>
          <w:p w14:paraId="3ED0277A" w14:textId="77777777" w:rsidR="00640768" w:rsidRDefault="00640768" w:rsidP="002A71FE">
            <w:pPr>
              <w:pStyle w:val="TAH"/>
            </w:pPr>
            <w: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tcPr>
          <w:p w14:paraId="528746DD" w14:textId="77777777" w:rsidR="00640768" w:rsidRDefault="00640768" w:rsidP="002A71FE">
            <w:pPr>
              <w:pStyle w:val="TAH"/>
            </w:pPr>
            <w:r>
              <w:t>Section defined</w:t>
            </w:r>
          </w:p>
        </w:tc>
        <w:tc>
          <w:tcPr>
            <w:tcW w:w="2549" w:type="dxa"/>
            <w:tcBorders>
              <w:top w:val="single" w:sz="6" w:space="0" w:color="auto"/>
              <w:left w:val="single" w:sz="6" w:space="0" w:color="auto"/>
              <w:bottom w:val="single" w:sz="6" w:space="0" w:color="auto"/>
              <w:right w:val="single" w:sz="6" w:space="0" w:color="auto"/>
            </w:tcBorders>
            <w:shd w:val="clear" w:color="auto" w:fill="C0C0C0"/>
          </w:tcPr>
          <w:p w14:paraId="2AB67A6E" w14:textId="77777777" w:rsidR="00640768" w:rsidRDefault="00640768" w:rsidP="002A71FE">
            <w:pPr>
              <w:pStyle w:val="TAH"/>
            </w:pPr>
            <w:r>
              <w:t>Description</w:t>
            </w:r>
          </w:p>
        </w:tc>
        <w:tc>
          <w:tcPr>
            <w:tcW w:w="1751" w:type="dxa"/>
            <w:tcBorders>
              <w:top w:val="single" w:sz="6" w:space="0" w:color="auto"/>
              <w:left w:val="single" w:sz="6" w:space="0" w:color="auto"/>
              <w:bottom w:val="single" w:sz="6" w:space="0" w:color="auto"/>
              <w:right w:val="single" w:sz="6" w:space="0" w:color="auto"/>
            </w:tcBorders>
            <w:shd w:val="clear" w:color="auto" w:fill="C0C0C0"/>
          </w:tcPr>
          <w:p w14:paraId="3583A840" w14:textId="77777777" w:rsidR="00640768" w:rsidRDefault="00640768" w:rsidP="002A71FE">
            <w:pPr>
              <w:pStyle w:val="TAH"/>
            </w:pPr>
            <w:r>
              <w:t>Applicability</w:t>
            </w:r>
          </w:p>
        </w:tc>
      </w:tr>
      <w:tr w:rsidR="00640768" w14:paraId="4A027C31"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5AF212D" w14:textId="77777777" w:rsidR="00640768" w:rsidRDefault="00640768" w:rsidP="002A71FE">
            <w:pPr>
              <w:pStyle w:val="TAL"/>
              <w:rPr>
                <w:lang w:eastAsia="zh-CN"/>
              </w:rPr>
            </w:pPr>
            <w:r>
              <w:rPr>
                <w:lang w:eastAsia="zh-CN"/>
              </w:rPr>
              <w:t>DataAvReq</w:t>
            </w:r>
          </w:p>
        </w:tc>
        <w:tc>
          <w:tcPr>
            <w:tcW w:w="1848" w:type="dxa"/>
            <w:tcBorders>
              <w:top w:val="single" w:sz="6" w:space="0" w:color="auto"/>
              <w:left w:val="single" w:sz="6" w:space="0" w:color="auto"/>
              <w:bottom w:val="single" w:sz="6" w:space="0" w:color="auto"/>
              <w:right w:val="single" w:sz="6" w:space="0" w:color="auto"/>
            </w:tcBorders>
          </w:tcPr>
          <w:p w14:paraId="3A988BD2" w14:textId="77777777" w:rsidR="00640768" w:rsidRDefault="00640768" w:rsidP="002A71FE">
            <w:pPr>
              <w:pStyle w:val="TAL"/>
            </w:pPr>
            <w:r>
              <w:t>5.5.6.2.10</w:t>
            </w:r>
          </w:p>
        </w:tc>
        <w:tc>
          <w:tcPr>
            <w:tcW w:w="2549" w:type="dxa"/>
            <w:tcBorders>
              <w:top w:val="single" w:sz="6" w:space="0" w:color="auto"/>
              <w:left w:val="single" w:sz="6" w:space="0" w:color="auto"/>
              <w:bottom w:val="single" w:sz="6" w:space="0" w:color="auto"/>
              <w:right w:val="single" w:sz="6" w:space="0" w:color="auto"/>
            </w:tcBorders>
          </w:tcPr>
          <w:p w14:paraId="0938D447" w14:textId="77777777" w:rsidR="00640768" w:rsidRDefault="00640768" w:rsidP="002A71FE">
            <w:pPr>
              <w:pStyle w:val="TAL"/>
            </w:pPr>
            <w:r>
              <w:t>Represents the requirement on available data for the ML model training.</w:t>
            </w:r>
          </w:p>
        </w:tc>
        <w:tc>
          <w:tcPr>
            <w:tcW w:w="1751" w:type="dxa"/>
            <w:tcBorders>
              <w:top w:val="single" w:sz="6" w:space="0" w:color="auto"/>
              <w:left w:val="single" w:sz="6" w:space="0" w:color="auto"/>
              <w:bottom w:val="single" w:sz="6" w:space="0" w:color="auto"/>
              <w:right w:val="single" w:sz="6" w:space="0" w:color="auto"/>
            </w:tcBorders>
          </w:tcPr>
          <w:p w14:paraId="64346B3A" w14:textId="77777777" w:rsidR="00640768" w:rsidRDefault="00640768" w:rsidP="002A71FE">
            <w:pPr>
              <w:pStyle w:val="TAL"/>
              <w:rPr>
                <w:rFonts w:cs="Arial"/>
                <w:szCs w:val="18"/>
              </w:rPr>
            </w:pPr>
          </w:p>
        </w:tc>
      </w:tr>
      <w:tr w:rsidR="00542337" w14:paraId="4E34E2E2"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C6341C2" w14:textId="77777777" w:rsidR="00542337" w:rsidRDefault="00542337" w:rsidP="00542337">
            <w:pPr>
              <w:pStyle w:val="TAL"/>
              <w:rPr>
                <w:lang w:eastAsia="zh-CN"/>
              </w:rPr>
            </w:pPr>
            <w:r>
              <w:rPr>
                <w:lang w:eastAsia="zh-CN"/>
              </w:rPr>
              <w:t>DelayCause</w:t>
            </w:r>
          </w:p>
        </w:tc>
        <w:tc>
          <w:tcPr>
            <w:tcW w:w="1848" w:type="dxa"/>
            <w:tcBorders>
              <w:top w:val="single" w:sz="6" w:space="0" w:color="auto"/>
              <w:left w:val="single" w:sz="6" w:space="0" w:color="auto"/>
              <w:bottom w:val="single" w:sz="6" w:space="0" w:color="auto"/>
              <w:right w:val="single" w:sz="6" w:space="0" w:color="auto"/>
            </w:tcBorders>
          </w:tcPr>
          <w:p w14:paraId="66DEA723" w14:textId="77777777" w:rsidR="00542337" w:rsidRDefault="00542337" w:rsidP="00542337">
            <w:pPr>
              <w:pStyle w:val="TAL"/>
            </w:pPr>
            <w:r>
              <w:t>5.5.6.3.5</w:t>
            </w:r>
          </w:p>
        </w:tc>
        <w:tc>
          <w:tcPr>
            <w:tcW w:w="2549" w:type="dxa"/>
            <w:tcBorders>
              <w:top w:val="single" w:sz="6" w:space="0" w:color="auto"/>
              <w:left w:val="single" w:sz="6" w:space="0" w:color="auto"/>
              <w:bottom w:val="single" w:sz="6" w:space="0" w:color="auto"/>
              <w:right w:val="single" w:sz="6" w:space="0" w:color="auto"/>
            </w:tcBorders>
          </w:tcPr>
          <w:p w14:paraId="06BEC6A1" w14:textId="77777777" w:rsidR="00542337" w:rsidRDefault="00542337" w:rsidP="00542337">
            <w:pPr>
              <w:pStyle w:val="TAL"/>
            </w:pPr>
            <w:r>
              <w:t>Represents the reasons for the ML Model training delay.</w:t>
            </w:r>
          </w:p>
        </w:tc>
        <w:tc>
          <w:tcPr>
            <w:tcW w:w="1751" w:type="dxa"/>
            <w:tcBorders>
              <w:top w:val="single" w:sz="6" w:space="0" w:color="auto"/>
              <w:left w:val="single" w:sz="6" w:space="0" w:color="auto"/>
              <w:bottom w:val="single" w:sz="6" w:space="0" w:color="auto"/>
              <w:right w:val="single" w:sz="6" w:space="0" w:color="auto"/>
            </w:tcBorders>
          </w:tcPr>
          <w:p w14:paraId="5FD6CAF4" w14:textId="77777777" w:rsidR="00542337" w:rsidRDefault="00542337" w:rsidP="00542337">
            <w:pPr>
              <w:pStyle w:val="TAL"/>
              <w:rPr>
                <w:rFonts w:cs="Arial"/>
                <w:szCs w:val="18"/>
              </w:rPr>
            </w:pPr>
          </w:p>
        </w:tc>
      </w:tr>
      <w:tr w:rsidR="00640768" w14:paraId="50749BC6"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DF0D5AF" w14:textId="77777777" w:rsidR="00640768" w:rsidRDefault="00640768" w:rsidP="002A71FE">
            <w:pPr>
              <w:pStyle w:val="TAL"/>
              <w:rPr>
                <w:lang w:eastAsia="zh-CN"/>
              </w:rPr>
            </w:pPr>
            <w:r>
              <w:rPr>
                <w:lang w:eastAsia="zh-CN"/>
              </w:rPr>
              <w:t>DelayEventNotif</w:t>
            </w:r>
          </w:p>
        </w:tc>
        <w:tc>
          <w:tcPr>
            <w:tcW w:w="1848" w:type="dxa"/>
            <w:tcBorders>
              <w:top w:val="single" w:sz="6" w:space="0" w:color="auto"/>
              <w:left w:val="single" w:sz="6" w:space="0" w:color="auto"/>
              <w:bottom w:val="single" w:sz="6" w:space="0" w:color="auto"/>
              <w:right w:val="single" w:sz="6" w:space="0" w:color="auto"/>
            </w:tcBorders>
          </w:tcPr>
          <w:p w14:paraId="7B4295C1" w14:textId="77777777" w:rsidR="00640768" w:rsidRDefault="00640768" w:rsidP="002A71FE">
            <w:pPr>
              <w:pStyle w:val="TAL"/>
            </w:pPr>
            <w:r>
              <w:t>5.5.6.2.11</w:t>
            </w:r>
          </w:p>
        </w:tc>
        <w:tc>
          <w:tcPr>
            <w:tcW w:w="2549" w:type="dxa"/>
            <w:tcBorders>
              <w:top w:val="single" w:sz="6" w:space="0" w:color="auto"/>
              <w:left w:val="single" w:sz="6" w:space="0" w:color="auto"/>
              <w:bottom w:val="single" w:sz="6" w:space="0" w:color="auto"/>
              <w:right w:val="single" w:sz="6" w:space="0" w:color="auto"/>
            </w:tcBorders>
          </w:tcPr>
          <w:p w14:paraId="4477FEA1" w14:textId="77777777" w:rsidR="00640768" w:rsidRDefault="00640768" w:rsidP="002A71FE">
            <w:pPr>
              <w:pStyle w:val="TAL"/>
            </w:pPr>
            <w:r>
              <w:t>Indicates that the NWDAF containing MTLF is not able to complete the training of ML model within the maximum response time, the cause code, and the expected time complete the training.</w:t>
            </w:r>
          </w:p>
        </w:tc>
        <w:tc>
          <w:tcPr>
            <w:tcW w:w="1751" w:type="dxa"/>
            <w:tcBorders>
              <w:top w:val="single" w:sz="6" w:space="0" w:color="auto"/>
              <w:left w:val="single" w:sz="6" w:space="0" w:color="auto"/>
              <w:bottom w:val="single" w:sz="6" w:space="0" w:color="auto"/>
              <w:right w:val="single" w:sz="6" w:space="0" w:color="auto"/>
            </w:tcBorders>
          </w:tcPr>
          <w:p w14:paraId="4A704785" w14:textId="77777777" w:rsidR="00640768" w:rsidRDefault="00640768" w:rsidP="002A71FE">
            <w:pPr>
              <w:pStyle w:val="TAL"/>
              <w:rPr>
                <w:rFonts w:cs="Arial"/>
                <w:szCs w:val="18"/>
              </w:rPr>
            </w:pPr>
          </w:p>
        </w:tc>
      </w:tr>
      <w:tr w:rsidR="00640768" w14:paraId="28799F47"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2488C855" w14:textId="77777777" w:rsidR="00640768" w:rsidRDefault="00640768" w:rsidP="002A71FE">
            <w:pPr>
              <w:pStyle w:val="TAL"/>
              <w:rPr>
                <w:lang w:eastAsia="zh-CN"/>
              </w:rPr>
            </w:pPr>
            <w:r>
              <w:rPr>
                <w:lang w:eastAsia="zh-CN"/>
              </w:rPr>
              <w:t>FailureCodeTrain</w:t>
            </w:r>
          </w:p>
        </w:tc>
        <w:tc>
          <w:tcPr>
            <w:tcW w:w="1848" w:type="dxa"/>
            <w:tcBorders>
              <w:top w:val="single" w:sz="6" w:space="0" w:color="auto"/>
              <w:left w:val="single" w:sz="6" w:space="0" w:color="auto"/>
              <w:bottom w:val="single" w:sz="6" w:space="0" w:color="auto"/>
              <w:right w:val="single" w:sz="6" w:space="0" w:color="auto"/>
            </w:tcBorders>
          </w:tcPr>
          <w:p w14:paraId="2E7A30B5" w14:textId="77777777" w:rsidR="00640768" w:rsidRDefault="00640768" w:rsidP="002A71FE">
            <w:pPr>
              <w:pStyle w:val="TAL"/>
            </w:pPr>
            <w:r>
              <w:t>5.5.6.3.3</w:t>
            </w:r>
          </w:p>
        </w:tc>
        <w:tc>
          <w:tcPr>
            <w:tcW w:w="2549" w:type="dxa"/>
            <w:tcBorders>
              <w:top w:val="single" w:sz="6" w:space="0" w:color="auto"/>
              <w:left w:val="single" w:sz="6" w:space="0" w:color="auto"/>
              <w:bottom w:val="single" w:sz="6" w:space="0" w:color="auto"/>
              <w:right w:val="single" w:sz="6" w:space="0" w:color="auto"/>
            </w:tcBorders>
          </w:tcPr>
          <w:p w14:paraId="20AB62B4" w14:textId="77777777" w:rsidR="00640768" w:rsidRDefault="00640768" w:rsidP="002A71FE">
            <w:pPr>
              <w:pStyle w:val="TAL"/>
            </w:pPr>
            <w:r>
              <w:t>Identifies the failure reason.</w:t>
            </w:r>
          </w:p>
        </w:tc>
        <w:tc>
          <w:tcPr>
            <w:tcW w:w="1751" w:type="dxa"/>
            <w:tcBorders>
              <w:top w:val="single" w:sz="6" w:space="0" w:color="auto"/>
              <w:left w:val="single" w:sz="6" w:space="0" w:color="auto"/>
              <w:bottom w:val="single" w:sz="6" w:space="0" w:color="auto"/>
              <w:right w:val="single" w:sz="6" w:space="0" w:color="auto"/>
            </w:tcBorders>
          </w:tcPr>
          <w:p w14:paraId="69F649C9" w14:textId="77777777" w:rsidR="00640768" w:rsidRDefault="00640768" w:rsidP="002A71FE">
            <w:pPr>
              <w:pStyle w:val="TAL"/>
              <w:rPr>
                <w:rFonts w:cs="Arial"/>
                <w:szCs w:val="18"/>
              </w:rPr>
            </w:pPr>
          </w:p>
        </w:tc>
      </w:tr>
      <w:tr w:rsidR="00640768" w14:paraId="17F399F4"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CE038EA" w14:textId="77777777" w:rsidR="00640768" w:rsidRDefault="00640768" w:rsidP="002A71FE">
            <w:pPr>
              <w:pStyle w:val="TAL"/>
              <w:rPr>
                <w:rFonts w:eastAsia="等线"/>
              </w:rPr>
            </w:pPr>
            <w:r>
              <w:rPr>
                <w:lang w:eastAsia="zh-CN"/>
              </w:rPr>
              <w:t>FailureEventInfoForMLModelTrain</w:t>
            </w:r>
          </w:p>
        </w:tc>
        <w:tc>
          <w:tcPr>
            <w:tcW w:w="1848" w:type="dxa"/>
            <w:tcBorders>
              <w:top w:val="single" w:sz="6" w:space="0" w:color="auto"/>
              <w:left w:val="single" w:sz="6" w:space="0" w:color="auto"/>
              <w:bottom w:val="single" w:sz="6" w:space="0" w:color="auto"/>
              <w:right w:val="single" w:sz="6" w:space="0" w:color="auto"/>
            </w:tcBorders>
          </w:tcPr>
          <w:p w14:paraId="20F445D9" w14:textId="77777777" w:rsidR="00640768" w:rsidRDefault="00640768" w:rsidP="002A71FE">
            <w:pPr>
              <w:pStyle w:val="TAL"/>
            </w:pPr>
            <w:r>
              <w:t>5.5.6.2.7</w:t>
            </w:r>
          </w:p>
        </w:tc>
        <w:tc>
          <w:tcPr>
            <w:tcW w:w="2549" w:type="dxa"/>
            <w:tcBorders>
              <w:top w:val="single" w:sz="6" w:space="0" w:color="auto"/>
              <w:left w:val="single" w:sz="6" w:space="0" w:color="auto"/>
              <w:bottom w:val="single" w:sz="6" w:space="0" w:color="auto"/>
              <w:right w:val="single" w:sz="6" w:space="0" w:color="auto"/>
            </w:tcBorders>
          </w:tcPr>
          <w:p w14:paraId="56284B54" w14:textId="77777777" w:rsidR="00640768" w:rsidRDefault="00640768" w:rsidP="002A71FE">
            <w:pPr>
              <w:pStyle w:val="TAL"/>
            </w:pPr>
            <w:r>
              <w:t>Represents the failure event information for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62DEC9E1" w14:textId="77777777" w:rsidR="00640768" w:rsidRDefault="00640768" w:rsidP="002A71FE">
            <w:pPr>
              <w:pStyle w:val="TAL"/>
              <w:rPr>
                <w:rFonts w:cs="Arial"/>
                <w:szCs w:val="18"/>
              </w:rPr>
            </w:pPr>
          </w:p>
        </w:tc>
      </w:tr>
      <w:tr w:rsidR="00640768" w14:paraId="6F91A297"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7765D79D" w14:textId="77777777" w:rsidR="00640768" w:rsidRDefault="00640768" w:rsidP="002A71FE">
            <w:pPr>
              <w:pStyle w:val="TAL"/>
            </w:pPr>
            <w:r>
              <w:rPr>
                <w:rFonts w:eastAsia="等线"/>
              </w:rPr>
              <w:t>NwdafMLModelTrainSubsc</w:t>
            </w:r>
          </w:p>
        </w:tc>
        <w:tc>
          <w:tcPr>
            <w:tcW w:w="1848" w:type="dxa"/>
            <w:tcBorders>
              <w:top w:val="single" w:sz="6" w:space="0" w:color="auto"/>
              <w:left w:val="single" w:sz="6" w:space="0" w:color="auto"/>
              <w:bottom w:val="single" w:sz="6" w:space="0" w:color="auto"/>
              <w:right w:val="single" w:sz="6" w:space="0" w:color="auto"/>
            </w:tcBorders>
          </w:tcPr>
          <w:p w14:paraId="190DA829" w14:textId="77777777" w:rsidR="00640768" w:rsidRDefault="00640768" w:rsidP="002A71FE">
            <w:pPr>
              <w:pStyle w:val="TAL"/>
            </w:pPr>
            <w:r>
              <w:t>5.5.6.2.2</w:t>
            </w:r>
          </w:p>
        </w:tc>
        <w:tc>
          <w:tcPr>
            <w:tcW w:w="2549" w:type="dxa"/>
            <w:tcBorders>
              <w:top w:val="single" w:sz="6" w:space="0" w:color="auto"/>
              <w:left w:val="single" w:sz="6" w:space="0" w:color="auto"/>
              <w:bottom w:val="single" w:sz="6" w:space="0" w:color="auto"/>
              <w:right w:val="single" w:sz="6" w:space="0" w:color="auto"/>
            </w:tcBorders>
          </w:tcPr>
          <w:p w14:paraId="3BF8E5C4" w14:textId="77777777" w:rsidR="00640768" w:rsidRDefault="00640768" w:rsidP="002A71FE">
            <w:pPr>
              <w:pStyle w:val="TAL"/>
            </w:pPr>
            <w:r>
              <w:t>Represents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569364DF" w14:textId="77777777" w:rsidR="00640768" w:rsidRDefault="00640768" w:rsidP="002A71FE">
            <w:pPr>
              <w:pStyle w:val="TAL"/>
              <w:rPr>
                <w:rFonts w:cs="Arial"/>
                <w:szCs w:val="18"/>
              </w:rPr>
            </w:pPr>
          </w:p>
        </w:tc>
      </w:tr>
      <w:tr w:rsidR="00640768" w14:paraId="158088AA"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4117640E" w14:textId="77777777" w:rsidR="00640768" w:rsidRDefault="00640768" w:rsidP="002A71FE">
            <w:pPr>
              <w:pStyle w:val="TAL"/>
              <w:rPr>
                <w:rFonts w:eastAsia="等线"/>
              </w:rPr>
            </w:pPr>
            <w:r>
              <w:rPr>
                <w:rFonts w:eastAsia="等线"/>
              </w:rPr>
              <w:t>NwdafMLModelTrainSubscPatch</w:t>
            </w:r>
          </w:p>
        </w:tc>
        <w:tc>
          <w:tcPr>
            <w:tcW w:w="1848" w:type="dxa"/>
            <w:tcBorders>
              <w:top w:val="single" w:sz="6" w:space="0" w:color="auto"/>
              <w:left w:val="single" w:sz="6" w:space="0" w:color="auto"/>
              <w:bottom w:val="single" w:sz="6" w:space="0" w:color="auto"/>
              <w:right w:val="single" w:sz="6" w:space="0" w:color="auto"/>
            </w:tcBorders>
          </w:tcPr>
          <w:p w14:paraId="396647D3" w14:textId="77777777" w:rsidR="00640768" w:rsidRDefault="00640768" w:rsidP="002A71FE">
            <w:pPr>
              <w:pStyle w:val="TAL"/>
            </w:pPr>
            <w:r>
              <w:t>5.5.6.2.3</w:t>
            </w:r>
          </w:p>
        </w:tc>
        <w:tc>
          <w:tcPr>
            <w:tcW w:w="2549" w:type="dxa"/>
            <w:tcBorders>
              <w:top w:val="single" w:sz="6" w:space="0" w:color="auto"/>
              <w:left w:val="single" w:sz="6" w:space="0" w:color="auto"/>
              <w:bottom w:val="single" w:sz="6" w:space="0" w:color="auto"/>
              <w:right w:val="single" w:sz="6" w:space="0" w:color="auto"/>
            </w:tcBorders>
          </w:tcPr>
          <w:p w14:paraId="23DE4238" w14:textId="77777777" w:rsidR="00640768" w:rsidRDefault="00640768" w:rsidP="002A71FE">
            <w:pPr>
              <w:pStyle w:val="TAL"/>
            </w:pPr>
            <w:r>
              <w:t>Represents parameters to request the modification of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209F2CA5" w14:textId="77777777" w:rsidR="00640768" w:rsidRDefault="00640768" w:rsidP="002A71FE">
            <w:pPr>
              <w:pStyle w:val="TAL"/>
              <w:rPr>
                <w:rFonts w:cs="Arial"/>
                <w:szCs w:val="18"/>
              </w:rPr>
            </w:pPr>
          </w:p>
        </w:tc>
      </w:tr>
      <w:tr w:rsidR="00640768" w14:paraId="2F81F0D5"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7F07A99C" w14:textId="77777777" w:rsidR="00640768" w:rsidRDefault="00640768" w:rsidP="002A71FE">
            <w:pPr>
              <w:pStyle w:val="TAL"/>
            </w:pPr>
            <w:r>
              <w:t>MLModelTrainInfo</w:t>
            </w:r>
          </w:p>
        </w:tc>
        <w:tc>
          <w:tcPr>
            <w:tcW w:w="1848" w:type="dxa"/>
            <w:tcBorders>
              <w:top w:val="single" w:sz="6" w:space="0" w:color="auto"/>
              <w:left w:val="single" w:sz="6" w:space="0" w:color="auto"/>
              <w:bottom w:val="single" w:sz="6" w:space="0" w:color="auto"/>
              <w:right w:val="single" w:sz="6" w:space="0" w:color="auto"/>
            </w:tcBorders>
          </w:tcPr>
          <w:p w14:paraId="6402CD4A" w14:textId="77777777" w:rsidR="00640768" w:rsidRDefault="00640768" w:rsidP="002A71FE">
            <w:pPr>
              <w:pStyle w:val="TAL"/>
              <w:rPr>
                <w:lang w:eastAsia="zh-CN"/>
              </w:rPr>
            </w:pPr>
            <w:r>
              <w:t>5.5.6.2.5</w:t>
            </w:r>
          </w:p>
        </w:tc>
        <w:tc>
          <w:tcPr>
            <w:tcW w:w="2549" w:type="dxa"/>
            <w:tcBorders>
              <w:top w:val="single" w:sz="6" w:space="0" w:color="auto"/>
              <w:left w:val="single" w:sz="6" w:space="0" w:color="auto"/>
              <w:bottom w:val="single" w:sz="6" w:space="0" w:color="auto"/>
              <w:right w:val="single" w:sz="6" w:space="0" w:color="auto"/>
            </w:tcBorders>
          </w:tcPr>
          <w:p w14:paraId="5A8A8764" w14:textId="77777777" w:rsidR="00640768" w:rsidRDefault="00640768" w:rsidP="002A71FE">
            <w:pPr>
              <w:pStyle w:val="TAL"/>
            </w:pPr>
            <w:r>
              <w:t>Represents the ML Model training information, include requirement on data availability and time availability, training filter information.</w:t>
            </w:r>
          </w:p>
        </w:tc>
        <w:tc>
          <w:tcPr>
            <w:tcW w:w="1751" w:type="dxa"/>
            <w:tcBorders>
              <w:top w:val="single" w:sz="6" w:space="0" w:color="auto"/>
              <w:left w:val="single" w:sz="6" w:space="0" w:color="auto"/>
              <w:bottom w:val="single" w:sz="6" w:space="0" w:color="auto"/>
              <w:right w:val="single" w:sz="6" w:space="0" w:color="auto"/>
            </w:tcBorders>
          </w:tcPr>
          <w:p w14:paraId="0F78FCAB" w14:textId="77777777" w:rsidR="00640768" w:rsidRDefault="00640768" w:rsidP="002A71FE">
            <w:pPr>
              <w:pStyle w:val="TAL"/>
            </w:pPr>
          </w:p>
        </w:tc>
      </w:tr>
      <w:tr w:rsidR="00E06B31" w14:paraId="17AA6E22"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2700E483" w14:textId="77777777" w:rsidR="00E06B31" w:rsidRDefault="00E06B31" w:rsidP="00E06B31">
            <w:pPr>
              <w:pStyle w:val="TAL"/>
            </w:pPr>
            <w:r>
              <w:t>NetworkAreaInfo</w:t>
            </w:r>
          </w:p>
        </w:tc>
        <w:tc>
          <w:tcPr>
            <w:tcW w:w="1848" w:type="dxa"/>
            <w:tcBorders>
              <w:top w:val="single" w:sz="6" w:space="0" w:color="auto"/>
              <w:left w:val="single" w:sz="6" w:space="0" w:color="auto"/>
              <w:bottom w:val="single" w:sz="6" w:space="0" w:color="auto"/>
              <w:right w:val="single" w:sz="6" w:space="0" w:color="auto"/>
            </w:tcBorders>
          </w:tcPr>
          <w:p w14:paraId="684B33DA" w14:textId="77777777" w:rsidR="00E06B31" w:rsidRDefault="00E06B31" w:rsidP="00E06B31">
            <w:pPr>
              <w:pStyle w:val="TAL"/>
            </w:pPr>
            <w:r>
              <w:rPr>
                <w:rFonts w:cs="Arial"/>
              </w:rPr>
              <w:t>3GPP TS 29.554 [18]</w:t>
            </w:r>
          </w:p>
        </w:tc>
        <w:tc>
          <w:tcPr>
            <w:tcW w:w="2549" w:type="dxa"/>
            <w:tcBorders>
              <w:top w:val="single" w:sz="6" w:space="0" w:color="auto"/>
              <w:left w:val="single" w:sz="6" w:space="0" w:color="auto"/>
              <w:bottom w:val="single" w:sz="6" w:space="0" w:color="auto"/>
              <w:right w:val="single" w:sz="6" w:space="0" w:color="auto"/>
            </w:tcBorders>
          </w:tcPr>
          <w:p w14:paraId="2811303A" w14:textId="77777777" w:rsidR="00E06B31" w:rsidRDefault="00E06B31" w:rsidP="00E06B31">
            <w:pPr>
              <w:pStyle w:val="TAL"/>
            </w:pPr>
            <w:r>
              <w:rPr>
                <w:rFonts w:cs="Arial"/>
                <w:szCs w:val="18"/>
                <w:lang w:eastAsia="zh-CN"/>
              </w:rPr>
              <w:t>Identifies the network area.</w:t>
            </w:r>
          </w:p>
        </w:tc>
        <w:tc>
          <w:tcPr>
            <w:tcW w:w="1751" w:type="dxa"/>
            <w:tcBorders>
              <w:top w:val="single" w:sz="6" w:space="0" w:color="auto"/>
              <w:left w:val="single" w:sz="6" w:space="0" w:color="auto"/>
              <w:bottom w:val="single" w:sz="6" w:space="0" w:color="auto"/>
              <w:right w:val="single" w:sz="6" w:space="0" w:color="auto"/>
            </w:tcBorders>
          </w:tcPr>
          <w:p w14:paraId="3673E87A" w14:textId="77777777" w:rsidR="00E06B31" w:rsidRDefault="00E06B31" w:rsidP="00E06B31">
            <w:pPr>
              <w:pStyle w:val="TAL"/>
            </w:pPr>
          </w:p>
        </w:tc>
      </w:tr>
      <w:tr w:rsidR="00640768" w14:paraId="7C476234"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004FD1B7" w14:textId="77777777" w:rsidR="00640768" w:rsidRDefault="00640768" w:rsidP="002A71FE">
            <w:pPr>
              <w:pStyle w:val="TAL"/>
            </w:pPr>
            <w:r>
              <w:rPr>
                <w:rFonts w:eastAsia="等线"/>
              </w:rPr>
              <w:t>NwdafMLModelTrainNotif</w:t>
            </w:r>
          </w:p>
        </w:tc>
        <w:tc>
          <w:tcPr>
            <w:tcW w:w="1848" w:type="dxa"/>
            <w:tcBorders>
              <w:top w:val="single" w:sz="6" w:space="0" w:color="auto"/>
              <w:left w:val="single" w:sz="6" w:space="0" w:color="auto"/>
              <w:bottom w:val="single" w:sz="6" w:space="0" w:color="auto"/>
              <w:right w:val="single" w:sz="6" w:space="0" w:color="auto"/>
            </w:tcBorders>
          </w:tcPr>
          <w:p w14:paraId="112D1846" w14:textId="77777777" w:rsidR="00640768" w:rsidRDefault="00640768" w:rsidP="002A71FE">
            <w:pPr>
              <w:pStyle w:val="TAL"/>
            </w:pPr>
            <w:r>
              <w:t>5.5.6.2.8</w:t>
            </w:r>
          </w:p>
        </w:tc>
        <w:tc>
          <w:tcPr>
            <w:tcW w:w="2549" w:type="dxa"/>
            <w:tcBorders>
              <w:top w:val="single" w:sz="6" w:space="0" w:color="auto"/>
              <w:left w:val="single" w:sz="6" w:space="0" w:color="auto"/>
              <w:bottom w:val="single" w:sz="6" w:space="0" w:color="auto"/>
              <w:right w:val="single" w:sz="6" w:space="0" w:color="auto"/>
            </w:tcBorders>
          </w:tcPr>
          <w:p w14:paraId="0A08F127" w14:textId="77777777" w:rsidR="00640768" w:rsidRDefault="00640768" w:rsidP="002A71FE">
            <w:pPr>
              <w:pStyle w:val="TAL"/>
            </w:pPr>
            <w:r>
              <w:t>Represents notification of a ML Model Training subscription.</w:t>
            </w:r>
          </w:p>
        </w:tc>
        <w:tc>
          <w:tcPr>
            <w:tcW w:w="1751" w:type="dxa"/>
            <w:tcBorders>
              <w:top w:val="single" w:sz="6" w:space="0" w:color="auto"/>
              <w:left w:val="single" w:sz="6" w:space="0" w:color="auto"/>
              <w:bottom w:val="single" w:sz="6" w:space="0" w:color="auto"/>
              <w:right w:val="single" w:sz="6" w:space="0" w:color="auto"/>
            </w:tcBorders>
          </w:tcPr>
          <w:p w14:paraId="14181E19" w14:textId="77777777" w:rsidR="00640768" w:rsidRDefault="00640768" w:rsidP="002A71FE">
            <w:pPr>
              <w:pStyle w:val="TAL"/>
              <w:rPr>
                <w:rFonts w:cs="Arial"/>
                <w:szCs w:val="18"/>
              </w:rPr>
            </w:pPr>
          </w:p>
        </w:tc>
      </w:tr>
      <w:tr w:rsidR="00640768" w14:paraId="1E317FDA"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98F4EF8" w14:textId="77777777" w:rsidR="00640768" w:rsidRDefault="00640768" w:rsidP="002A71FE">
            <w:pPr>
              <w:pStyle w:val="TAL"/>
              <w:rPr>
                <w:rFonts w:eastAsia="等线"/>
              </w:rPr>
            </w:pPr>
            <w:r>
              <w:t>MLTrainReportInfo</w:t>
            </w:r>
          </w:p>
        </w:tc>
        <w:tc>
          <w:tcPr>
            <w:tcW w:w="1848" w:type="dxa"/>
            <w:tcBorders>
              <w:top w:val="single" w:sz="6" w:space="0" w:color="auto"/>
              <w:left w:val="single" w:sz="6" w:space="0" w:color="auto"/>
              <w:bottom w:val="single" w:sz="6" w:space="0" w:color="auto"/>
              <w:right w:val="single" w:sz="6" w:space="0" w:color="auto"/>
            </w:tcBorders>
          </w:tcPr>
          <w:p w14:paraId="69D569AA" w14:textId="77777777" w:rsidR="00640768" w:rsidRDefault="00640768" w:rsidP="002A71FE">
            <w:pPr>
              <w:pStyle w:val="TAL"/>
            </w:pPr>
            <w:r>
              <w:t>5.5.6.2.6</w:t>
            </w:r>
          </w:p>
        </w:tc>
        <w:tc>
          <w:tcPr>
            <w:tcW w:w="2549" w:type="dxa"/>
            <w:tcBorders>
              <w:top w:val="single" w:sz="6" w:space="0" w:color="auto"/>
              <w:left w:val="single" w:sz="6" w:space="0" w:color="auto"/>
              <w:bottom w:val="single" w:sz="6" w:space="0" w:color="auto"/>
              <w:right w:val="single" w:sz="6" w:space="0" w:color="auto"/>
            </w:tcBorders>
          </w:tcPr>
          <w:p w14:paraId="3B439C57" w14:textId="77777777" w:rsidR="00640768" w:rsidRDefault="00640768" w:rsidP="002A71FE">
            <w:pPr>
              <w:pStyle w:val="TAL"/>
            </w:pPr>
            <w:r>
              <w:t>Indicates the training reporting information.</w:t>
            </w:r>
          </w:p>
        </w:tc>
        <w:tc>
          <w:tcPr>
            <w:tcW w:w="1751" w:type="dxa"/>
            <w:tcBorders>
              <w:top w:val="single" w:sz="6" w:space="0" w:color="auto"/>
              <w:left w:val="single" w:sz="6" w:space="0" w:color="auto"/>
              <w:bottom w:val="single" w:sz="6" w:space="0" w:color="auto"/>
              <w:right w:val="single" w:sz="6" w:space="0" w:color="auto"/>
            </w:tcBorders>
          </w:tcPr>
          <w:p w14:paraId="2BD17991" w14:textId="77777777" w:rsidR="00640768" w:rsidRDefault="00640768" w:rsidP="002A71FE">
            <w:pPr>
              <w:pStyle w:val="TAL"/>
              <w:rPr>
                <w:rFonts w:cs="Arial"/>
                <w:szCs w:val="18"/>
              </w:rPr>
            </w:pPr>
          </w:p>
        </w:tc>
      </w:tr>
      <w:tr w:rsidR="00640768" w14:paraId="32657D6E"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6C028F4E" w14:textId="77777777" w:rsidR="00640768" w:rsidRDefault="00640768" w:rsidP="002A71FE">
            <w:pPr>
              <w:pStyle w:val="TAL"/>
            </w:pPr>
            <w:r>
              <w:t>StatusReportInfo</w:t>
            </w:r>
          </w:p>
        </w:tc>
        <w:tc>
          <w:tcPr>
            <w:tcW w:w="1848" w:type="dxa"/>
            <w:tcBorders>
              <w:top w:val="single" w:sz="6" w:space="0" w:color="auto"/>
              <w:left w:val="single" w:sz="6" w:space="0" w:color="auto"/>
              <w:bottom w:val="single" w:sz="6" w:space="0" w:color="auto"/>
              <w:right w:val="single" w:sz="6" w:space="0" w:color="auto"/>
            </w:tcBorders>
          </w:tcPr>
          <w:p w14:paraId="39409D9F" w14:textId="77777777" w:rsidR="00640768" w:rsidRDefault="00640768" w:rsidP="002A71FE">
            <w:pPr>
              <w:pStyle w:val="TAL"/>
            </w:pPr>
            <w:r>
              <w:t>5.5.6.2.12</w:t>
            </w:r>
          </w:p>
        </w:tc>
        <w:tc>
          <w:tcPr>
            <w:tcW w:w="2549" w:type="dxa"/>
            <w:tcBorders>
              <w:top w:val="single" w:sz="6" w:space="0" w:color="auto"/>
              <w:left w:val="single" w:sz="6" w:space="0" w:color="auto"/>
              <w:bottom w:val="single" w:sz="6" w:space="0" w:color="auto"/>
              <w:right w:val="single" w:sz="6" w:space="0" w:color="auto"/>
            </w:tcBorders>
          </w:tcPr>
          <w:p w14:paraId="7EEBA105" w14:textId="77777777" w:rsidR="00640768" w:rsidRDefault="00640768" w:rsidP="002A71FE">
            <w:pPr>
              <w:pStyle w:val="TAL"/>
            </w:pPr>
            <w:r>
              <w:t>Indicates status information generated by the NWDAF containing MTLF during ML model training.</w:t>
            </w:r>
          </w:p>
        </w:tc>
        <w:tc>
          <w:tcPr>
            <w:tcW w:w="1751" w:type="dxa"/>
            <w:tcBorders>
              <w:top w:val="single" w:sz="6" w:space="0" w:color="auto"/>
              <w:left w:val="single" w:sz="6" w:space="0" w:color="auto"/>
              <w:bottom w:val="single" w:sz="6" w:space="0" w:color="auto"/>
              <w:right w:val="single" w:sz="6" w:space="0" w:color="auto"/>
            </w:tcBorders>
          </w:tcPr>
          <w:p w14:paraId="308D28DD" w14:textId="77777777" w:rsidR="00640768" w:rsidRDefault="00640768" w:rsidP="002A71FE">
            <w:pPr>
              <w:pStyle w:val="TAL"/>
              <w:rPr>
                <w:rFonts w:cs="Arial"/>
                <w:szCs w:val="18"/>
              </w:rPr>
            </w:pPr>
          </w:p>
        </w:tc>
      </w:tr>
      <w:tr w:rsidR="00640768" w14:paraId="051013E4"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7A89A1F3" w14:textId="77777777" w:rsidR="00640768" w:rsidRDefault="00640768" w:rsidP="002A71FE">
            <w:pPr>
              <w:pStyle w:val="TAL"/>
            </w:pPr>
            <w:r>
              <w:t>TermTrainCause</w:t>
            </w:r>
          </w:p>
        </w:tc>
        <w:tc>
          <w:tcPr>
            <w:tcW w:w="1848" w:type="dxa"/>
            <w:tcBorders>
              <w:top w:val="single" w:sz="6" w:space="0" w:color="auto"/>
              <w:left w:val="single" w:sz="6" w:space="0" w:color="auto"/>
              <w:bottom w:val="single" w:sz="6" w:space="0" w:color="auto"/>
              <w:right w:val="single" w:sz="6" w:space="0" w:color="auto"/>
            </w:tcBorders>
          </w:tcPr>
          <w:p w14:paraId="0D16E1F0" w14:textId="77777777" w:rsidR="00640768" w:rsidRDefault="00640768" w:rsidP="002A71FE">
            <w:pPr>
              <w:pStyle w:val="TAL"/>
            </w:pPr>
            <w:r>
              <w:t>5.5.6.3.4</w:t>
            </w:r>
          </w:p>
        </w:tc>
        <w:tc>
          <w:tcPr>
            <w:tcW w:w="2549" w:type="dxa"/>
            <w:tcBorders>
              <w:top w:val="single" w:sz="6" w:space="0" w:color="auto"/>
              <w:left w:val="single" w:sz="6" w:space="0" w:color="auto"/>
              <w:bottom w:val="single" w:sz="6" w:space="0" w:color="auto"/>
              <w:right w:val="single" w:sz="6" w:space="0" w:color="auto"/>
            </w:tcBorders>
          </w:tcPr>
          <w:p w14:paraId="41E67500" w14:textId="77777777" w:rsidR="00640768" w:rsidRDefault="00640768" w:rsidP="002A71FE">
            <w:pPr>
              <w:pStyle w:val="TAL"/>
              <w:rPr>
                <w:lang w:eastAsia="zh-CN"/>
              </w:rPr>
            </w:pPr>
            <w:r>
              <w:t>Represents the reasons that the ML Model Training to be terminated.</w:t>
            </w:r>
          </w:p>
        </w:tc>
        <w:tc>
          <w:tcPr>
            <w:tcW w:w="1751" w:type="dxa"/>
            <w:tcBorders>
              <w:top w:val="single" w:sz="6" w:space="0" w:color="auto"/>
              <w:left w:val="single" w:sz="6" w:space="0" w:color="auto"/>
              <w:bottom w:val="single" w:sz="6" w:space="0" w:color="auto"/>
              <w:right w:val="single" w:sz="6" w:space="0" w:color="auto"/>
            </w:tcBorders>
          </w:tcPr>
          <w:p w14:paraId="41235F69" w14:textId="77777777" w:rsidR="00640768" w:rsidRDefault="00640768" w:rsidP="002A71FE">
            <w:pPr>
              <w:pStyle w:val="TAL"/>
              <w:rPr>
                <w:rFonts w:cs="Arial"/>
                <w:szCs w:val="18"/>
              </w:rPr>
            </w:pPr>
          </w:p>
        </w:tc>
      </w:tr>
      <w:tr w:rsidR="00640768" w14:paraId="1BBA60AB" w14:textId="77777777" w:rsidTr="009D2E37">
        <w:trPr>
          <w:jc w:val="center"/>
        </w:trPr>
        <w:tc>
          <w:tcPr>
            <w:tcW w:w="3200" w:type="dxa"/>
            <w:tcBorders>
              <w:top w:val="single" w:sz="6" w:space="0" w:color="auto"/>
              <w:left w:val="single" w:sz="6" w:space="0" w:color="auto"/>
              <w:bottom w:val="single" w:sz="6" w:space="0" w:color="auto"/>
              <w:right w:val="single" w:sz="6" w:space="0" w:color="auto"/>
            </w:tcBorders>
          </w:tcPr>
          <w:p w14:paraId="54D7D603" w14:textId="77777777" w:rsidR="00640768" w:rsidRDefault="00640768" w:rsidP="002A71FE">
            <w:pPr>
              <w:pStyle w:val="TAL"/>
            </w:pPr>
            <w:r>
              <w:t>TrainDataInfo</w:t>
            </w:r>
          </w:p>
        </w:tc>
        <w:tc>
          <w:tcPr>
            <w:tcW w:w="1848" w:type="dxa"/>
            <w:tcBorders>
              <w:top w:val="single" w:sz="6" w:space="0" w:color="auto"/>
              <w:left w:val="single" w:sz="6" w:space="0" w:color="auto"/>
              <w:bottom w:val="single" w:sz="6" w:space="0" w:color="auto"/>
              <w:right w:val="single" w:sz="6" w:space="0" w:color="auto"/>
            </w:tcBorders>
          </w:tcPr>
          <w:p w14:paraId="773A162A" w14:textId="77777777" w:rsidR="00640768" w:rsidRDefault="00640768" w:rsidP="002A71FE">
            <w:pPr>
              <w:pStyle w:val="TAL"/>
            </w:pPr>
            <w:r>
              <w:t>5.5.6.2.13</w:t>
            </w:r>
          </w:p>
        </w:tc>
        <w:tc>
          <w:tcPr>
            <w:tcW w:w="2549" w:type="dxa"/>
            <w:tcBorders>
              <w:top w:val="single" w:sz="6" w:space="0" w:color="auto"/>
              <w:left w:val="single" w:sz="6" w:space="0" w:color="auto"/>
              <w:bottom w:val="single" w:sz="6" w:space="0" w:color="auto"/>
              <w:right w:val="single" w:sz="6" w:space="0" w:color="auto"/>
            </w:tcBorders>
          </w:tcPr>
          <w:p w14:paraId="0A714ABD" w14:textId="77777777" w:rsidR="00640768" w:rsidRDefault="00640768" w:rsidP="002A71FE">
            <w:pPr>
              <w:pStyle w:val="TAL"/>
            </w:pPr>
            <w:r>
              <w:t>Represents the training input data information.</w:t>
            </w:r>
          </w:p>
        </w:tc>
        <w:tc>
          <w:tcPr>
            <w:tcW w:w="1751" w:type="dxa"/>
            <w:tcBorders>
              <w:top w:val="single" w:sz="6" w:space="0" w:color="auto"/>
              <w:left w:val="single" w:sz="6" w:space="0" w:color="auto"/>
              <w:bottom w:val="single" w:sz="6" w:space="0" w:color="auto"/>
              <w:right w:val="single" w:sz="6" w:space="0" w:color="auto"/>
            </w:tcBorders>
          </w:tcPr>
          <w:p w14:paraId="374CE357" w14:textId="77777777" w:rsidR="00640768" w:rsidRDefault="00640768" w:rsidP="002A71FE">
            <w:pPr>
              <w:pStyle w:val="TAL"/>
              <w:rPr>
                <w:rFonts w:cs="Arial"/>
                <w:szCs w:val="18"/>
              </w:rPr>
            </w:pPr>
          </w:p>
        </w:tc>
      </w:tr>
    </w:tbl>
    <w:p w14:paraId="581B2E5A" w14:textId="77777777" w:rsidR="00640768" w:rsidRDefault="00640768" w:rsidP="00640768"/>
    <w:p w14:paraId="25CE0F4F" w14:textId="77777777" w:rsidR="00A10B25" w:rsidRDefault="00A10B25">
      <w:r>
        <w:t>Table 5.5.6.1-2 specifies data types re-used by the Nnwdaf_</w:t>
      </w:r>
      <w:r>
        <w:rPr>
          <w:lang w:eastAsia="ja-JP"/>
        </w:rPr>
        <w:t>MLModelTraining</w:t>
      </w:r>
      <w:r>
        <w:t xml:space="preserve"> service-based interface protocol from other specifications, including a reference to their respective specifications and when needed, a short description of their use within the </w:t>
      </w:r>
      <w:r>
        <w:rPr>
          <w:rFonts w:eastAsia="MS Mincho"/>
        </w:rPr>
        <w:t>Nnwdaf_</w:t>
      </w:r>
      <w:r>
        <w:rPr>
          <w:lang w:eastAsia="ja-JP"/>
        </w:rPr>
        <w:t xml:space="preserve">MLModelTraining </w:t>
      </w:r>
      <w:r>
        <w:t xml:space="preserve">service-based interface. </w:t>
      </w:r>
    </w:p>
    <w:p w14:paraId="6D2E10A7" w14:textId="77777777" w:rsidR="00A10B25" w:rsidRDefault="00A10B25">
      <w:pPr>
        <w:pStyle w:val="TH"/>
        <w:overflowPunct w:val="0"/>
        <w:autoSpaceDE w:val="0"/>
        <w:autoSpaceDN w:val="0"/>
        <w:adjustRightInd w:val="0"/>
        <w:textAlignment w:val="baseline"/>
        <w:rPr>
          <w:rFonts w:eastAsia="MS Mincho"/>
        </w:rPr>
      </w:pPr>
      <w:bookmarkStart w:id="14775" w:name="_Toc136562694"/>
      <w:bookmarkStart w:id="14776" w:name="_Toc138754528"/>
      <w:r>
        <w:rPr>
          <w:rFonts w:eastAsia="MS Mincho"/>
        </w:rPr>
        <w:lastRenderedPageBreak/>
        <w:t>Table 5.5.6.1-2: Nnwdaf_</w:t>
      </w:r>
      <w:r>
        <w:rPr>
          <w:lang w:eastAsia="ja-JP"/>
        </w:rPr>
        <w:t>MLModelTraining</w:t>
      </w:r>
      <w:r>
        <w:rPr>
          <w:rFonts w:eastAsia="MS Mincho"/>
        </w:rPr>
        <w:t xml:space="preserve"> re-used Data Types</w:t>
      </w:r>
    </w:p>
    <w:tbl>
      <w:tblPr>
        <w:tblW w:w="9503"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4"/>
        <w:gridCol w:w="2469"/>
        <w:gridCol w:w="2492"/>
        <w:gridCol w:w="1998"/>
      </w:tblGrid>
      <w:tr w:rsidR="00542337" w14:paraId="46E6F7BF"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tcPr>
          <w:p w14:paraId="1B41D766" w14:textId="77777777" w:rsidR="00542337" w:rsidRDefault="00542337" w:rsidP="009B329F">
            <w:pPr>
              <w:pStyle w:val="TAH"/>
            </w:pPr>
            <w:r>
              <w:t>Data type</w:t>
            </w:r>
          </w:p>
        </w:tc>
        <w:tc>
          <w:tcPr>
            <w:tcW w:w="2469" w:type="dxa"/>
            <w:tcBorders>
              <w:top w:val="single" w:sz="6" w:space="0" w:color="auto"/>
              <w:left w:val="single" w:sz="6" w:space="0" w:color="auto"/>
              <w:bottom w:val="single" w:sz="6" w:space="0" w:color="auto"/>
              <w:right w:val="single" w:sz="6" w:space="0" w:color="auto"/>
            </w:tcBorders>
            <w:shd w:val="clear" w:color="auto" w:fill="C0C0C0"/>
          </w:tcPr>
          <w:p w14:paraId="47F119EE" w14:textId="77777777" w:rsidR="00542337" w:rsidRDefault="00542337" w:rsidP="009B329F">
            <w:pPr>
              <w:pStyle w:val="TAH"/>
            </w:pPr>
            <w:r>
              <w:t>Reference</w:t>
            </w:r>
          </w:p>
        </w:tc>
        <w:tc>
          <w:tcPr>
            <w:tcW w:w="2492" w:type="dxa"/>
            <w:tcBorders>
              <w:top w:val="single" w:sz="6" w:space="0" w:color="auto"/>
              <w:left w:val="single" w:sz="6" w:space="0" w:color="auto"/>
              <w:bottom w:val="single" w:sz="6" w:space="0" w:color="auto"/>
              <w:right w:val="single" w:sz="6" w:space="0" w:color="auto"/>
            </w:tcBorders>
            <w:shd w:val="clear" w:color="auto" w:fill="C0C0C0"/>
          </w:tcPr>
          <w:p w14:paraId="077C89F2" w14:textId="77777777" w:rsidR="00542337" w:rsidRDefault="00542337" w:rsidP="009B329F">
            <w:pPr>
              <w:pStyle w:val="TAH"/>
            </w:pPr>
            <w:r>
              <w:t>Comments</w:t>
            </w:r>
          </w:p>
        </w:tc>
        <w:tc>
          <w:tcPr>
            <w:tcW w:w="1998" w:type="dxa"/>
            <w:tcBorders>
              <w:top w:val="single" w:sz="6" w:space="0" w:color="auto"/>
              <w:left w:val="single" w:sz="6" w:space="0" w:color="auto"/>
              <w:bottom w:val="single" w:sz="6" w:space="0" w:color="auto"/>
              <w:right w:val="single" w:sz="6" w:space="0" w:color="auto"/>
            </w:tcBorders>
            <w:shd w:val="clear" w:color="auto" w:fill="C0C0C0"/>
          </w:tcPr>
          <w:p w14:paraId="4FC4AB28" w14:textId="77777777" w:rsidR="00542337" w:rsidRDefault="00542337" w:rsidP="009B329F">
            <w:pPr>
              <w:pStyle w:val="TAH"/>
            </w:pPr>
            <w:r>
              <w:t>Applicability</w:t>
            </w:r>
          </w:p>
        </w:tc>
      </w:tr>
      <w:tr w:rsidR="00542337" w14:paraId="3B96AAD5"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6121214B" w14:textId="77777777" w:rsidR="00542337" w:rsidRDefault="00542337" w:rsidP="009B329F">
            <w:pPr>
              <w:pStyle w:val="TAL"/>
            </w:pPr>
            <w:r>
              <w:t>DatasetStatisticalProperty</w:t>
            </w:r>
          </w:p>
        </w:tc>
        <w:tc>
          <w:tcPr>
            <w:tcW w:w="2469" w:type="dxa"/>
            <w:tcBorders>
              <w:top w:val="single" w:sz="6" w:space="0" w:color="auto"/>
              <w:left w:val="single" w:sz="6" w:space="0" w:color="auto"/>
              <w:bottom w:val="single" w:sz="6" w:space="0" w:color="auto"/>
              <w:right w:val="single" w:sz="6" w:space="0" w:color="auto"/>
            </w:tcBorders>
          </w:tcPr>
          <w:p w14:paraId="4F0729D0" w14:textId="77777777" w:rsidR="00542337" w:rsidRDefault="00542337" w:rsidP="009B329F">
            <w:pPr>
              <w:pStyle w:val="TAL"/>
              <w:rPr>
                <w:rFonts w:cs="Arial"/>
              </w:rPr>
            </w:pPr>
            <w:r>
              <w:rPr>
                <w:rFonts w:cs="Arial"/>
              </w:rPr>
              <w:t>5.1.6.3.15</w:t>
            </w:r>
          </w:p>
        </w:tc>
        <w:tc>
          <w:tcPr>
            <w:tcW w:w="2492" w:type="dxa"/>
            <w:tcBorders>
              <w:top w:val="single" w:sz="6" w:space="0" w:color="auto"/>
              <w:left w:val="single" w:sz="6" w:space="0" w:color="auto"/>
              <w:bottom w:val="single" w:sz="6" w:space="0" w:color="auto"/>
              <w:right w:val="single" w:sz="6" w:space="0" w:color="auto"/>
            </w:tcBorders>
          </w:tcPr>
          <w:p w14:paraId="60DBFC28" w14:textId="77777777" w:rsidR="00542337" w:rsidRDefault="00542337" w:rsidP="009B329F">
            <w:pPr>
              <w:pStyle w:val="TAL"/>
              <w:rPr>
                <w:rFonts w:cs="Arial"/>
                <w:szCs w:val="18"/>
                <w:lang w:eastAsia="zh-CN"/>
              </w:rPr>
            </w:pPr>
            <w:r>
              <w:rPr>
                <w:lang w:eastAsia="ko-KR"/>
              </w:rPr>
              <w:t>Dataset statistical properties of the data used for ML model training.</w:t>
            </w:r>
          </w:p>
        </w:tc>
        <w:tc>
          <w:tcPr>
            <w:tcW w:w="1998" w:type="dxa"/>
            <w:tcBorders>
              <w:top w:val="single" w:sz="6" w:space="0" w:color="auto"/>
              <w:left w:val="single" w:sz="6" w:space="0" w:color="auto"/>
              <w:bottom w:val="single" w:sz="6" w:space="0" w:color="auto"/>
              <w:right w:val="single" w:sz="6" w:space="0" w:color="auto"/>
            </w:tcBorders>
          </w:tcPr>
          <w:p w14:paraId="72658470" w14:textId="77777777" w:rsidR="00542337" w:rsidRDefault="00542337" w:rsidP="009B329F">
            <w:pPr>
              <w:keepNext/>
              <w:keepLines/>
              <w:spacing w:after="0"/>
              <w:rPr>
                <w:rFonts w:ascii="Arial" w:eastAsia="Batang" w:hAnsi="Arial"/>
                <w:sz w:val="18"/>
              </w:rPr>
            </w:pPr>
          </w:p>
        </w:tc>
      </w:tr>
      <w:tr w:rsidR="00542337" w14:paraId="6697D63D"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1E2487D2" w14:textId="77777777" w:rsidR="00542337" w:rsidRDefault="00542337" w:rsidP="009B329F">
            <w:pPr>
              <w:pStyle w:val="TAL"/>
            </w:pPr>
            <w:r>
              <w:t>DccfEvent</w:t>
            </w:r>
          </w:p>
        </w:tc>
        <w:tc>
          <w:tcPr>
            <w:tcW w:w="2469" w:type="dxa"/>
            <w:tcBorders>
              <w:top w:val="single" w:sz="6" w:space="0" w:color="auto"/>
              <w:left w:val="single" w:sz="6" w:space="0" w:color="auto"/>
              <w:bottom w:val="single" w:sz="6" w:space="0" w:color="auto"/>
              <w:right w:val="single" w:sz="6" w:space="0" w:color="auto"/>
            </w:tcBorders>
          </w:tcPr>
          <w:p w14:paraId="7A7B3FFA" w14:textId="77777777" w:rsidR="00542337" w:rsidRDefault="00542337" w:rsidP="009B329F">
            <w:pPr>
              <w:pStyle w:val="TAL"/>
              <w:rPr>
                <w:rFonts w:cs="Arial"/>
              </w:rPr>
            </w:pPr>
            <w:r>
              <w:rPr>
                <w:rFonts w:cs="Arial"/>
              </w:rPr>
              <w:t>3GPP</w:t>
            </w:r>
            <w:r>
              <w:t> </w:t>
            </w:r>
            <w:r>
              <w:rPr>
                <w:rFonts w:cs="Arial"/>
              </w:rPr>
              <w:t>TS</w:t>
            </w:r>
            <w:r>
              <w:t> </w:t>
            </w:r>
            <w:r>
              <w:rPr>
                <w:rFonts w:cs="Arial"/>
              </w:rPr>
              <w:t>29.574</w:t>
            </w:r>
            <w:r>
              <w:t> </w:t>
            </w:r>
            <w:r>
              <w:rPr>
                <w:rFonts w:cs="Arial"/>
              </w:rPr>
              <w:t>[26]</w:t>
            </w:r>
          </w:p>
        </w:tc>
        <w:tc>
          <w:tcPr>
            <w:tcW w:w="2492" w:type="dxa"/>
            <w:tcBorders>
              <w:top w:val="single" w:sz="6" w:space="0" w:color="auto"/>
              <w:left w:val="single" w:sz="6" w:space="0" w:color="auto"/>
              <w:bottom w:val="single" w:sz="6" w:space="0" w:color="auto"/>
              <w:right w:val="single" w:sz="6" w:space="0" w:color="auto"/>
            </w:tcBorders>
          </w:tcPr>
          <w:p w14:paraId="65525EF7" w14:textId="77777777" w:rsidR="00542337" w:rsidRDefault="00542337" w:rsidP="009B329F">
            <w:pPr>
              <w:pStyle w:val="TAL"/>
              <w:rPr>
                <w:lang w:eastAsia="ko-KR"/>
              </w:rPr>
            </w:pPr>
            <w:r>
              <w:t>Identifies the input data event.</w:t>
            </w:r>
          </w:p>
        </w:tc>
        <w:tc>
          <w:tcPr>
            <w:tcW w:w="1998" w:type="dxa"/>
            <w:tcBorders>
              <w:top w:val="single" w:sz="6" w:space="0" w:color="auto"/>
              <w:left w:val="single" w:sz="6" w:space="0" w:color="auto"/>
              <w:bottom w:val="single" w:sz="6" w:space="0" w:color="auto"/>
              <w:right w:val="single" w:sz="6" w:space="0" w:color="auto"/>
            </w:tcBorders>
          </w:tcPr>
          <w:p w14:paraId="24122165" w14:textId="77777777" w:rsidR="00542337" w:rsidRDefault="00542337" w:rsidP="009B329F">
            <w:pPr>
              <w:keepNext/>
              <w:keepLines/>
              <w:spacing w:after="0"/>
              <w:rPr>
                <w:rFonts w:ascii="Arial" w:eastAsia="Batang" w:hAnsi="Arial"/>
                <w:sz w:val="18"/>
              </w:rPr>
            </w:pPr>
          </w:p>
        </w:tc>
      </w:tr>
      <w:tr w:rsidR="00542337" w14:paraId="6198BEFA"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6A02C4FD" w14:textId="77777777" w:rsidR="00542337" w:rsidRDefault="00542337" w:rsidP="009B329F">
            <w:pPr>
              <w:pStyle w:val="TAL"/>
            </w:pPr>
            <w:r>
              <w:t>Dnn</w:t>
            </w:r>
          </w:p>
        </w:tc>
        <w:tc>
          <w:tcPr>
            <w:tcW w:w="2469" w:type="dxa"/>
            <w:tcBorders>
              <w:top w:val="single" w:sz="6" w:space="0" w:color="auto"/>
              <w:left w:val="single" w:sz="6" w:space="0" w:color="auto"/>
              <w:bottom w:val="single" w:sz="6" w:space="0" w:color="auto"/>
              <w:right w:val="single" w:sz="6" w:space="0" w:color="auto"/>
            </w:tcBorders>
          </w:tcPr>
          <w:p w14:paraId="074C0E28" w14:textId="77777777" w:rsidR="00542337" w:rsidRDefault="00542337" w:rsidP="009B329F">
            <w:pPr>
              <w:pStyle w:val="TAL"/>
            </w:pPr>
            <w:r>
              <w:rPr>
                <w:rFonts w:cs="Arial"/>
              </w:rPr>
              <w:t>3GPP TS 29.571 [8]</w:t>
            </w:r>
          </w:p>
        </w:tc>
        <w:tc>
          <w:tcPr>
            <w:tcW w:w="2492" w:type="dxa"/>
            <w:tcBorders>
              <w:top w:val="single" w:sz="6" w:space="0" w:color="auto"/>
              <w:left w:val="single" w:sz="6" w:space="0" w:color="auto"/>
              <w:bottom w:val="single" w:sz="6" w:space="0" w:color="auto"/>
              <w:right w:val="single" w:sz="6" w:space="0" w:color="auto"/>
            </w:tcBorders>
          </w:tcPr>
          <w:p w14:paraId="0BC7CBC2" w14:textId="77777777" w:rsidR="00542337" w:rsidRDefault="00542337" w:rsidP="009B329F">
            <w:pPr>
              <w:pStyle w:val="TAL"/>
            </w:pPr>
            <w:r>
              <w:rPr>
                <w:rFonts w:cs="Arial"/>
                <w:szCs w:val="18"/>
                <w:lang w:eastAsia="zh-CN"/>
              </w:rPr>
              <w:t>Identifies the DNN.</w:t>
            </w:r>
          </w:p>
        </w:tc>
        <w:tc>
          <w:tcPr>
            <w:tcW w:w="1998" w:type="dxa"/>
            <w:tcBorders>
              <w:top w:val="single" w:sz="6" w:space="0" w:color="auto"/>
              <w:left w:val="single" w:sz="6" w:space="0" w:color="auto"/>
              <w:bottom w:val="single" w:sz="6" w:space="0" w:color="auto"/>
              <w:right w:val="single" w:sz="6" w:space="0" w:color="auto"/>
            </w:tcBorders>
          </w:tcPr>
          <w:p w14:paraId="0AE07FF0" w14:textId="77777777" w:rsidR="00542337" w:rsidRDefault="00542337" w:rsidP="009B329F">
            <w:pPr>
              <w:keepNext/>
              <w:keepLines/>
              <w:spacing w:after="0"/>
              <w:rPr>
                <w:rFonts w:ascii="Arial" w:eastAsia="Batang" w:hAnsi="Arial"/>
                <w:sz w:val="18"/>
              </w:rPr>
            </w:pPr>
          </w:p>
        </w:tc>
      </w:tr>
      <w:tr w:rsidR="00542337" w14:paraId="741BF9B9"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3BE35DC7" w14:textId="77777777" w:rsidR="00542337" w:rsidRDefault="00542337" w:rsidP="009B329F">
            <w:pPr>
              <w:pStyle w:val="TAL"/>
            </w:pPr>
            <w:r>
              <w:t>DurationSec</w:t>
            </w:r>
          </w:p>
        </w:tc>
        <w:tc>
          <w:tcPr>
            <w:tcW w:w="2469" w:type="dxa"/>
            <w:tcBorders>
              <w:top w:val="single" w:sz="6" w:space="0" w:color="auto"/>
              <w:left w:val="single" w:sz="6" w:space="0" w:color="auto"/>
              <w:bottom w:val="single" w:sz="6" w:space="0" w:color="auto"/>
              <w:right w:val="single" w:sz="6" w:space="0" w:color="auto"/>
            </w:tcBorders>
          </w:tcPr>
          <w:p w14:paraId="1C9176C8" w14:textId="77777777" w:rsidR="00542337" w:rsidRDefault="00542337" w:rsidP="009B329F">
            <w:pPr>
              <w:pStyle w:val="TAL"/>
              <w:rPr>
                <w:rFonts w:cs="Arial"/>
              </w:rPr>
            </w:pPr>
            <w:r>
              <w:rPr>
                <w:rFonts w:cs="Arial"/>
              </w:rPr>
              <w:t>3GPP TS 29.571 [8]</w:t>
            </w:r>
          </w:p>
        </w:tc>
        <w:tc>
          <w:tcPr>
            <w:tcW w:w="2492" w:type="dxa"/>
            <w:tcBorders>
              <w:top w:val="single" w:sz="6" w:space="0" w:color="auto"/>
              <w:left w:val="single" w:sz="6" w:space="0" w:color="auto"/>
              <w:bottom w:val="single" w:sz="6" w:space="0" w:color="auto"/>
              <w:right w:val="single" w:sz="6" w:space="0" w:color="auto"/>
            </w:tcBorders>
          </w:tcPr>
          <w:p w14:paraId="1386A82E" w14:textId="77777777" w:rsidR="00542337" w:rsidRDefault="00542337" w:rsidP="009B329F">
            <w:pPr>
              <w:pStyle w:val="TAL"/>
              <w:rPr>
                <w:rFonts w:cs="Arial"/>
                <w:szCs w:val="18"/>
                <w:lang w:eastAsia="zh-CN"/>
              </w:rPr>
            </w:pPr>
            <w:r>
              <w:rPr>
                <w:rFonts w:cs="Arial"/>
                <w:szCs w:val="18"/>
                <w:lang w:eastAsia="zh-CN"/>
              </w:rPr>
              <w:t>Represents the duration time in second(s).</w:t>
            </w:r>
          </w:p>
        </w:tc>
        <w:tc>
          <w:tcPr>
            <w:tcW w:w="1998" w:type="dxa"/>
            <w:tcBorders>
              <w:top w:val="single" w:sz="6" w:space="0" w:color="auto"/>
              <w:left w:val="single" w:sz="6" w:space="0" w:color="auto"/>
              <w:bottom w:val="single" w:sz="6" w:space="0" w:color="auto"/>
              <w:right w:val="single" w:sz="6" w:space="0" w:color="auto"/>
            </w:tcBorders>
          </w:tcPr>
          <w:p w14:paraId="2FEEB82A" w14:textId="77777777" w:rsidR="00542337" w:rsidRDefault="00542337" w:rsidP="009B329F">
            <w:pPr>
              <w:rPr>
                <w:rFonts w:ascii="Arial" w:eastAsia="Batang" w:hAnsi="Arial"/>
                <w:sz w:val="18"/>
              </w:rPr>
            </w:pPr>
          </w:p>
        </w:tc>
      </w:tr>
      <w:tr w:rsidR="00542337" w14:paraId="00BA9875"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70481F92" w14:textId="77777777" w:rsidR="00542337" w:rsidRDefault="00542337" w:rsidP="009B329F">
            <w:pPr>
              <w:pStyle w:val="TAL"/>
              <w:rPr>
                <w:lang w:eastAsia="zh-CN"/>
              </w:rPr>
            </w:pPr>
            <w:r>
              <w:t>Float</w:t>
            </w:r>
          </w:p>
        </w:tc>
        <w:tc>
          <w:tcPr>
            <w:tcW w:w="2469" w:type="dxa"/>
            <w:tcBorders>
              <w:top w:val="single" w:sz="6" w:space="0" w:color="auto"/>
              <w:left w:val="single" w:sz="6" w:space="0" w:color="auto"/>
              <w:bottom w:val="single" w:sz="6" w:space="0" w:color="auto"/>
              <w:right w:val="single" w:sz="6" w:space="0" w:color="auto"/>
            </w:tcBorders>
          </w:tcPr>
          <w:p w14:paraId="19F01D80" w14:textId="77777777" w:rsidR="00542337" w:rsidRDefault="00542337" w:rsidP="009B329F">
            <w:pPr>
              <w:pStyle w:val="TAL"/>
            </w:pPr>
            <w:r>
              <w:t>3GPP TS 29.571 [8]</w:t>
            </w:r>
          </w:p>
        </w:tc>
        <w:tc>
          <w:tcPr>
            <w:tcW w:w="2492" w:type="dxa"/>
            <w:tcBorders>
              <w:top w:val="single" w:sz="6" w:space="0" w:color="auto"/>
              <w:left w:val="single" w:sz="6" w:space="0" w:color="auto"/>
              <w:bottom w:val="single" w:sz="6" w:space="0" w:color="auto"/>
              <w:right w:val="single" w:sz="6" w:space="0" w:color="auto"/>
            </w:tcBorders>
          </w:tcPr>
          <w:p w14:paraId="2BA87BE9" w14:textId="77777777" w:rsidR="00542337" w:rsidRDefault="00542337" w:rsidP="009B329F">
            <w:pPr>
              <w:pStyle w:val="TAL"/>
              <w:rPr>
                <w:rFonts w:cs="Arial"/>
                <w:szCs w:val="18"/>
                <w:lang w:eastAsia="zh-CN"/>
              </w:rPr>
            </w:pPr>
            <w:r>
              <w:rPr>
                <w:rFonts w:cs="Arial"/>
                <w:szCs w:val="18"/>
                <w:lang w:eastAsia="zh-CN"/>
              </w:rPr>
              <w:t>Represents a float.</w:t>
            </w:r>
          </w:p>
        </w:tc>
        <w:tc>
          <w:tcPr>
            <w:tcW w:w="1998" w:type="dxa"/>
            <w:tcBorders>
              <w:top w:val="single" w:sz="6" w:space="0" w:color="auto"/>
              <w:left w:val="single" w:sz="6" w:space="0" w:color="auto"/>
              <w:bottom w:val="single" w:sz="6" w:space="0" w:color="auto"/>
              <w:right w:val="single" w:sz="6" w:space="0" w:color="auto"/>
            </w:tcBorders>
          </w:tcPr>
          <w:p w14:paraId="79A66D43" w14:textId="77777777" w:rsidR="00542337" w:rsidRDefault="00542337" w:rsidP="009B329F">
            <w:pPr>
              <w:keepNext/>
              <w:keepLines/>
              <w:spacing w:after="0"/>
              <w:rPr>
                <w:rFonts w:ascii="Arial" w:eastAsia="Batang" w:hAnsi="Arial"/>
                <w:sz w:val="18"/>
              </w:rPr>
            </w:pPr>
          </w:p>
        </w:tc>
      </w:tr>
      <w:tr w:rsidR="00542337" w14:paraId="58741828"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11777063" w14:textId="77777777" w:rsidR="00542337" w:rsidRDefault="00542337" w:rsidP="009B329F">
            <w:pPr>
              <w:pStyle w:val="TAL"/>
            </w:pPr>
            <w:r>
              <w:rPr>
                <w:lang w:eastAsia="zh-CN"/>
              </w:rPr>
              <w:t>MLEventSubscription</w:t>
            </w:r>
          </w:p>
        </w:tc>
        <w:tc>
          <w:tcPr>
            <w:tcW w:w="2469" w:type="dxa"/>
            <w:tcBorders>
              <w:top w:val="single" w:sz="6" w:space="0" w:color="auto"/>
              <w:left w:val="single" w:sz="6" w:space="0" w:color="auto"/>
              <w:bottom w:val="single" w:sz="6" w:space="0" w:color="auto"/>
              <w:right w:val="single" w:sz="6" w:space="0" w:color="auto"/>
            </w:tcBorders>
          </w:tcPr>
          <w:p w14:paraId="2E1F3C11" w14:textId="77777777" w:rsidR="00542337" w:rsidRDefault="00542337" w:rsidP="009B329F">
            <w:pPr>
              <w:pStyle w:val="TAL"/>
              <w:rPr>
                <w:rFonts w:cs="Arial"/>
              </w:rPr>
            </w:pPr>
            <w:r>
              <w:t>5.4.6.2.3</w:t>
            </w:r>
          </w:p>
        </w:tc>
        <w:tc>
          <w:tcPr>
            <w:tcW w:w="2492" w:type="dxa"/>
            <w:tcBorders>
              <w:top w:val="single" w:sz="6" w:space="0" w:color="auto"/>
              <w:left w:val="single" w:sz="6" w:space="0" w:color="auto"/>
              <w:bottom w:val="single" w:sz="6" w:space="0" w:color="auto"/>
              <w:right w:val="single" w:sz="6" w:space="0" w:color="auto"/>
            </w:tcBorders>
          </w:tcPr>
          <w:p w14:paraId="7F501CB2" w14:textId="77777777" w:rsidR="00542337" w:rsidRDefault="00542337" w:rsidP="009B329F">
            <w:pPr>
              <w:pStyle w:val="TAL"/>
              <w:rPr>
                <w:rFonts w:cs="Arial"/>
                <w:szCs w:val="18"/>
                <w:lang w:eastAsia="zh-CN"/>
              </w:rPr>
            </w:pPr>
            <w:r>
              <w:rPr>
                <w:rFonts w:cs="Arial"/>
                <w:szCs w:val="18"/>
                <w:lang w:eastAsia="zh-CN"/>
              </w:rPr>
              <w:t>Represents an Individual NWDAF Event Subscription resource.</w:t>
            </w:r>
          </w:p>
        </w:tc>
        <w:tc>
          <w:tcPr>
            <w:tcW w:w="1998" w:type="dxa"/>
            <w:tcBorders>
              <w:top w:val="single" w:sz="6" w:space="0" w:color="auto"/>
              <w:left w:val="single" w:sz="6" w:space="0" w:color="auto"/>
              <w:bottom w:val="single" w:sz="6" w:space="0" w:color="auto"/>
              <w:right w:val="single" w:sz="6" w:space="0" w:color="auto"/>
            </w:tcBorders>
          </w:tcPr>
          <w:p w14:paraId="3F69C9EB" w14:textId="77777777" w:rsidR="00542337" w:rsidRDefault="00542337" w:rsidP="009B329F">
            <w:pPr>
              <w:keepNext/>
              <w:keepLines/>
              <w:spacing w:after="0"/>
              <w:rPr>
                <w:rFonts w:ascii="Arial" w:eastAsia="Batang" w:hAnsi="Arial"/>
                <w:sz w:val="18"/>
              </w:rPr>
            </w:pPr>
          </w:p>
        </w:tc>
      </w:tr>
      <w:tr w:rsidR="00542337" w14:paraId="1881629C"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78CFA3EC" w14:textId="77777777" w:rsidR="00542337" w:rsidRDefault="00542337" w:rsidP="009B329F">
            <w:pPr>
              <w:pStyle w:val="TAL"/>
            </w:pPr>
            <w:r>
              <w:t>MLEventNotif</w:t>
            </w:r>
          </w:p>
        </w:tc>
        <w:tc>
          <w:tcPr>
            <w:tcW w:w="2469" w:type="dxa"/>
            <w:tcBorders>
              <w:top w:val="single" w:sz="6" w:space="0" w:color="auto"/>
              <w:left w:val="single" w:sz="6" w:space="0" w:color="auto"/>
              <w:bottom w:val="single" w:sz="6" w:space="0" w:color="auto"/>
              <w:right w:val="single" w:sz="6" w:space="0" w:color="auto"/>
            </w:tcBorders>
          </w:tcPr>
          <w:p w14:paraId="50D09C6E" w14:textId="77777777" w:rsidR="00542337" w:rsidRDefault="00542337" w:rsidP="009B329F">
            <w:pPr>
              <w:pStyle w:val="TAL"/>
              <w:rPr>
                <w:rFonts w:cs="Arial"/>
              </w:rPr>
            </w:pPr>
            <w:r>
              <w:t>5.4.6.2.6</w:t>
            </w:r>
          </w:p>
        </w:tc>
        <w:tc>
          <w:tcPr>
            <w:tcW w:w="2492" w:type="dxa"/>
            <w:tcBorders>
              <w:top w:val="single" w:sz="6" w:space="0" w:color="auto"/>
              <w:left w:val="single" w:sz="6" w:space="0" w:color="auto"/>
              <w:bottom w:val="single" w:sz="6" w:space="0" w:color="auto"/>
              <w:right w:val="single" w:sz="6" w:space="0" w:color="auto"/>
            </w:tcBorders>
          </w:tcPr>
          <w:p w14:paraId="6E0E0000" w14:textId="77777777" w:rsidR="00542337" w:rsidRDefault="00542337" w:rsidP="009B329F">
            <w:pPr>
              <w:pStyle w:val="TAL"/>
              <w:rPr>
                <w:rFonts w:cs="Arial"/>
                <w:szCs w:val="18"/>
                <w:lang w:eastAsia="zh-CN"/>
              </w:rPr>
            </w:pPr>
            <w:r>
              <w:rPr>
                <w:rFonts w:cs="Arial"/>
                <w:szCs w:val="18"/>
                <w:lang w:eastAsia="zh-CN"/>
              </w:rPr>
              <w:t>Represents notifications about Individual Events.</w:t>
            </w:r>
          </w:p>
        </w:tc>
        <w:tc>
          <w:tcPr>
            <w:tcW w:w="1998" w:type="dxa"/>
            <w:tcBorders>
              <w:top w:val="single" w:sz="6" w:space="0" w:color="auto"/>
              <w:left w:val="single" w:sz="6" w:space="0" w:color="auto"/>
              <w:bottom w:val="single" w:sz="6" w:space="0" w:color="auto"/>
              <w:right w:val="single" w:sz="6" w:space="0" w:color="auto"/>
            </w:tcBorders>
          </w:tcPr>
          <w:p w14:paraId="2A22EA40" w14:textId="77777777" w:rsidR="00542337" w:rsidRDefault="00542337" w:rsidP="009B329F">
            <w:pPr>
              <w:keepNext/>
              <w:keepLines/>
              <w:spacing w:after="0"/>
              <w:rPr>
                <w:rFonts w:ascii="Arial" w:eastAsia="Batang" w:hAnsi="Arial"/>
                <w:sz w:val="18"/>
              </w:rPr>
            </w:pPr>
          </w:p>
        </w:tc>
      </w:tr>
      <w:tr w:rsidR="00542337" w14:paraId="7678E5E1"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36B0A77B" w14:textId="77777777" w:rsidR="00542337" w:rsidRDefault="00542337" w:rsidP="009B329F">
            <w:pPr>
              <w:pStyle w:val="TAL"/>
            </w:pPr>
            <w:r>
              <w:t>NwdafEvent</w:t>
            </w:r>
          </w:p>
        </w:tc>
        <w:tc>
          <w:tcPr>
            <w:tcW w:w="2469" w:type="dxa"/>
            <w:tcBorders>
              <w:top w:val="single" w:sz="6" w:space="0" w:color="auto"/>
              <w:left w:val="single" w:sz="6" w:space="0" w:color="auto"/>
              <w:bottom w:val="single" w:sz="6" w:space="0" w:color="auto"/>
              <w:right w:val="single" w:sz="6" w:space="0" w:color="auto"/>
            </w:tcBorders>
          </w:tcPr>
          <w:p w14:paraId="3215E4FD" w14:textId="77777777" w:rsidR="00542337" w:rsidRDefault="00542337" w:rsidP="009B329F">
            <w:pPr>
              <w:pStyle w:val="TAL"/>
            </w:pPr>
            <w:r>
              <w:rPr>
                <w:rFonts w:cs="Arial"/>
              </w:rPr>
              <w:t>5.1.6.3.4</w:t>
            </w:r>
          </w:p>
        </w:tc>
        <w:tc>
          <w:tcPr>
            <w:tcW w:w="2492" w:type="dxa"/>
            <w:tcBorders>
              <w:top w:val="single" w:sz="6" w:space="0" w:color="auto"/>
              <w:left w:val="single" w:sz="6" w:space="0" w:color="auto"/>
              <w:bottom w:val="single" w:sz="6" w:space="0" w:color="auto"/>
              <w:right w:val="single" w:sz="6" w:space="0" w:color="auto"/>
            </w:tcBorders>
          </w:tcPr>
          <w:p w14:paraId="0CFE8672" w14:textId="77777777" w:rsidR="00542337" w:rsidRDefault="00542337" w:rsidP="009B329F">
            <w:pPr>
              <w:pStyle w:val="TAL"/>
              <w:rPr>
                <w:rFonts w:cs="Arial"/>
                <w:szCs w:val="18"/>
                <w:lang w:eastAsia="zh-CN"/>
              </w:rPr>
            </w:pPr>
            <w:r>
              <w:rPr>
                <w:rFonts w:cs="Arial"/>
                <w:szCs w:val="18"/>
                <w:lang w:eastAsia="zh-CN"/>
              </w:rPr>
              <w:t>Describes the NWDAF Events.</w:t>
            </w:r>
          </w:p>
        </w:tc>
        <w:tc>
          <w:tcPr>
            <w:tcW w:w="1998" w:type="dxa"/>
            <w:tcBorders>
              <w:top w:val="single" w:sz="6" w:space="0" w:color="auto"/>
              <w:left w:val="single" w:sz="6" w:space="0" w:color="auto"/>
              <w:bottom w:val="single" w:sz="6" w:space="0" w:color="auto"/>
              <w:right w:val="single" w:sz="6" w:space="0" w:color="auto"/>
            </w:tcBorders>
          </w:tcPr>
          <w:p w14:paraId="1B78704C" w14:textId="77777777" w:rsidR="00542337" w:rsidRDefault="00542337" w:rsidP="009B329F">
            <w:pPr>
              <w:keepNext/>
              <w:keepLines/>
              <w:spacing w:after="0"/>
              <w:rPr>
                <w:rFonts w:ascii="Arial" w:eastAsia="Batang" w:hAnsi="Arial"/>
                <w:sz w:val="18"/>
              </w:rPr>
            </w:pPr>
          </w:p>
        </w:tc>
      </w:tr>
      <w:tr w:rsidR="00542337" w14:paraId="63CE2732"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1717D384" w14:textId="77777777" w:rsidR="00542337" w:rsidRDefault="00542337" w:rsidP="009B329F">
            <w:pPr>
              <w:pStyle w:val="TAL"/>
            </w:pPr>
            <w:r>
              <w:rPr>
                <w:rFonts w:eastAsia="等线"/>
              </w:rPr>
              <w:t>RedirectResponse</w:t>
            </w:r>
          </w:p>
        </w:tc>
        <w:tc>
          <w:tcPr>
            <w:tcW w:w="2469" w:type="dxa"/>
            <w:tcBorders>
              <w:top w:val="single" w:sz="6" w:space="0" w:color="auto"/>
              <w:left w:val="single" w:sz="6" w:space="0" w:color="auto"/>
              <w:bottom w:val="single" w:sz="6" w:space="0" w:color="auto"/>
              <w:right w:val="single" w:sz="6" w:space="0" w:color="auto"/>
            </w:tcBorders>
          </w:tcPr>
          <w:p w14:paraId="081A1C4A" w14:textId="77777777" w:rsidR="00542337" w:rsidRDefault="00542337" w:rsidP="009B329F">
            <w:pPr>
              <w:pStyle w:val="TAL"/>
              <w:rPr>
                <w:rFonts w:cs="Arial"/>
              </w:rPr>
            </w:pPr>
            <w:r>
              <w:t>3GPP TS 29.571 [8]</w:t>
            </w:r>
          </w:p>
        </w:tc>
        <w:tc>
          <w:tcPr>
            <w:tcW w:w="2492" w:type="dxa"/>
            <w:tcBorders>
              <w:top w:val="single" w:sz="6" w:space="0" w:color="auto"/>
              <w:left w:val="single" w:sz="6" w:space="0" w:color="auto"/>
              <w:bottom w:val="single" w:sz="6" w:space="0" w:color="auto"/>
              <w:right w:val="single" w:sz="6" w:space="0" w:color="auto"/>
            </w:tcBorders>
          </w:tcPr>
          <w:p w14:paraId="6CBBF23C" w14:textId="77777777" w:rsidR="00542337" w:rsidRDefault="00542337" w:rsidP="009B329F">
            <w:pPr>
              <w:pStyle w:val="TAL"/>
              <w:rPr>
                <w:rFonts w:cs="Arial"/>
                <w:szCs w:val="18"/>
                <w:lang w:eastAsia="zh-CN"/>
              </w:rPr>
            </w:pPr>
            <w:r w:rsidRPr="00B265EE">
              <w:rPr>
                <w:rFonts w:cs="Arial"/>
                <w:szCs w:val="18"/>
                <w:lang w:eastAsia="zh-CN"/>
              </w:rPr>
              <w:t>Represents redirection related information.</w:t>
            </w:r>
          </w:p>
        </w:tc>
        <w:tc>
          <w:tcPr>
            <w:tcW w:w="1998" w:type="dxa"/>
            <w:tcBorders>
              <w:top w:val="single" w:sz="6" w:space="0" w:color="auto"/>
              <w:left w:val="single" w:sz="6" w:space="0" w:color="auto"/>
              <w:bottom w:val="single" w:sz="6" w:space="0" w:color="auto"/>
              <w:right w:val="single" w:sz="6" w:space="0" w:color="auto"/>
            </w:tcBorders>
          </w:tcPr>
          <w:p w14:paraId="0148E036" w14:textId="77777777" w:rsidR="00542337" w:rsidRDefault="00542337" w:rsidP="009B329F">
            <w:pPr>
              <w:keepNext/>
              <w:keepLines/>
              <w:spacing w:after="0"/>
              <w:rPr>
                <w:rFonts w:ascii="Arial" w:eastAsia="Batang" w:hAnsi="Arial"/>
                <w:sz w:val="18"/>
              </w:rPr>
            </w:pPr>
          </w:p>
        </w:tc>
      </w:tr>
      <w:tr w:rsidR="00542337" w14:paraId="2D92A5E5"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76C2901D" w14:textId="77777777" w:rsidR="00542337" w:rsidRDefault="00542337" w:rsidP="009B329F">
            <w:pPr>
              <w:pStyle w:val="TAL"/>
            </w:pPr>
            <w:r>
              <w:t>ReportingInformation</w:t>
            </w:r>
          </w:p>
        </w:tc>
        <w:tc>
          <w:tcPr>
            <w:tcW w:w="2469" w:type="dxa"/>
            <w:tcBorders>
              <w:top w:val="single" w:sz="6" w:space="0" w:color="auto"/>
              <w:left w:val="single" w:sz="6" w:space="0" w:color="auto"/>
              <w:bottom w:val="single" w:sz="6" w:space="0" w:color="auto"/>
              <w:right w:val="single" w:sz="6" w:space="0" w:color="auto"/>
            </w:tcBorders>
          </w:tcPr>
          <w:p w14:paraId="211FA3DF" w14:textId="77777777" w:rsidR="00542337" w:rsidRDefault="00542337" w:rsidP="009B329F">
            <w:pPr>
              <w:pStyle w:val="TAL"/>
            </w:pPr>
            <w:r>
              <w:t>3GPP TS 29.523 [20]</w:t>
            </w:r>
          </w:p>
        </w:tc>
        <w:tc>
          <w:tcPr>
            <w:tcW w:w="2492" w:type="dxa"/>
            <w:tcBorders>
              <w:top w:val="single" w:sz="6" w:space="0" w:color="auto"/>
              <w:left w:val="single" w:sz="6" w:space="0" w:color="auto"/>
              <w:bottom w:val="single" w:sz="6" w:space="0" w:color="auto"/>
              <w:right w:val="single" w:sz="6" w:space="0" w:color="auto"/>
            </w:tcBorders>
          </w:tcPr>
          <w:p w14:paraId="55DE54E3" w14:textId="77777777" w:rsidR="00542337" w:rsidRDefault="00542337" w:rsidP="009B329F">
            <w:pPr>
              <w:pStyle w:val="TAL"/>
            </w:pPr>
            <w:r>
              <w:rPr>
                <w:rFonts w:cs="Arial"/>
                <w:szCs w:val="18"/>
                <w:lang w:eastAsia="zh-CN"/>
              </w:rPr>
              <w:t>Represents the requirements of reporting the subscription.</w:t>
            </w:r>
          </w:p>
        </w:tc>
        <w:tc>
          <w:tcPr>
            <w:tcW w:w="1998" w:type="dxa"/>
            <w:tcBorders>
              <w:top w:val="single" w:sz="6" w:space="0" w:color="auto"/>
              <w:left w:val="single" w:sz="6" w:space="0" w:color="auto"/>
              <w:bottom w:val="single" w:sz="6" w:space="0" w:color="auto"/>
              <w:right w:val="single" w:sz="6" w:space="0" w:color="auto"/>
            </w:tcBorders>
          </w:tcPr>
          <w:p w14:paraId="4D6B6F1E" w14:textId="77777777" w:rsidR="00542337" w:rsidRDefault="00542337" w:rsidP="009B329F">
            <w:pPr>
              <w:keepNext/>
              <w:keepLines/>
              <w:spacing w:after="0"/>
              <w:rPr>
                <w:rFonts w:ascii="Arial" w:hAnsi="Arial" w:cs="Arial"/>
                <w:sz w:val="18"/>
                <w:szCs w:val="18"/>
              </w:rPr>
            </w:pPr>
          </w:p>
        </w:tc>
      </w:tr>
      <w:tr w:rsidR="00542337" w14:paraId="3372B0CD"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22DA21DC" w14:textId="77777777" w:rsidR="00542337" w:rsidRDefault="00542337" w:rsidP="009B329F">
            <w:pPr>
              <w:pStyle w:val="TAL"/>
              <w:rPr>
                <w:rFonts w:eastAsia="等线"/>
              </w:rPr>
            </w:pPr>
            <w:r>
              <w:t>SupportedFeatures</w:t>
            </w:r>
          </w:p>
        </w:tc>
        <w:tc>
          <w:tcPr>
            <w:tcW w:w="2469" w:type="dxa"/>
            <w:tcBorders>
              <w:top w:val="single" w:sz="6" w:space="0" w:color="auto"/>
              <w:left w:val="single" w:sz="6" w:space="0" w:color="auto"/>
              <w:bottom w:val="single" w:sz="6" w:space="0" w:color="auto"/>
              <w:right w:val="single" w:sz="6" w:space="0" w:color="auto"/>
            </w:tcBorders>
          </w:tcPr>
          <w:p w14:paraId="2551BE47" w14:textId="77777777" w:rsidR="00542337" w:rsidRDefault="00542337" w:rsidP="009B329F">
            <w:pPr>
              <w:pStyle w:val="TAL"/>
            </w:pPr>
            <w:r>
              <w:t>3GPP TS 29.571 [8]</w:t>
            </w:r>
          </w:p>
        </w:tc>
        <w:tc>
          <w:tcPr>
            <w:tcW w:w="2492" w:type="dxa"/>
            <w:tcBorders>
              <w:top w:val="single" w:sz="6" w:space="0" w:color="auto"/>
              <w:left w:val="single" w:sz="6" w:space="0" w:color="auto"/>
              <w:bottom w:val="single" w:sz="6" w:space="0" w:color="auto"/>
              <w:right w:val="single" w:sz="6" w:space="0" w:color="auto"/>
            </w:tcBorders>
          </w:tcPr>
          <w:p w14:paraId="4BFD7CF7" w14:textId="77777777" w:rsidR="00542337" w:rsidRDefault="00542337" w:rsidP="009B329F">
            <w:pPr>
              <w:pStyle w:val="TAL"/>
            </w:pPr>
            <w:r>
              <w:rPr>
                <w:rFonts w:cs="Arial"/>
                <w:szCs w:val="18"/>
                <w:lang w:eastAsia="zh-CN"/>
              </w:rPr>
              <w:t>Represents the list of supported features.</w:t>
            </w:r>
          </w:p>
        </w:tc>
        <w:tc>
          <w:tcPr>
            <w:tcW w:w="1998" w:type="dxa"/>
            <w:tcBorders>
              <w:top w:val="single" w:sz="6" w:space="0" w:color="auto"/>
              <w:left w:val="single" w:sz="6" w:space="0" w:color="auto"/>
              <w:bottom w:val="single" w:sz="6" w:space="0" w:color="auto"/>
              <w:right w:val="single" w:sz="6" w:space="0" w:color="auto"/>
            </w:tcBorders>
          </w:tcPr>
          <w:p w14:paraId="56AFDB08" w14:textId="77777777" w:rsidR="00542337" w:rsidRDefault="00542337" w:rsidP="009B329F">
            <w:pPr>
              <w:keepNext/>
              <w:keepLines/>
              <w:spacing w:after="0"/>
              <w:rPr>
                <w:rFonts w:ascii="Arial" w:hAnsi="Arial" w:cs="Arial"/>
                <w:sz w:val="18"/>
                <w:szCs w:val="18"/>
              </w:rPr>
            </w:pPr>
          </w:p>
        </w:tc>
      </w:tr>
      <w:tr w:rsidR="00542337" w14:paraId="7BE7D989" w14:textId="77777777" w:rsidTr="009B329F">
        <w:trPr>
          <w:jc w:val="center"/>
        </w:trPr>
        <w:tc>
          <w:tcPr>
            <w:tcW w:w="2544" w:type="dxa"/>
            <w:tcBorders>
              <w:top w:val="single" w:sz="6" w:space="0" w:color="auto"/>
              <w:left w:val="single" w:sz="6" w:space="0" w:color="auto"/>
              <w:bottom w:val="single" w:sz="6" w:space="0" w:color="auto"/>
              <w:right w:val="single" w:sz="6" w:space="0" w:color="auto"/>
            </w:tcBorders>
          </w:tcPr>
          <w:p w14:paraId="51F57BB8" w14:textId="77777777" w:rsidR="00542337" w:rsidRDefault="00542337" w:rsidP="009B329F">
            <w:pPr>
              <w:pStyle w:val="TAL"/>
            </w:pPr>
            <w:r>
              <w:rPr>
                <w:lang w:eastAsia="zh-CN"/>
              </w:rPr>
              <w:t>TargetUeInformation</w:t>
            </w:r>
          </w:p>
        </w:tc>
        <w:tc>
          <w:tcPr>
            <w:tcW w:w="2469" w:type="dxa"/>
            <w:tcBorders>
              <w:top w:val="single" w:sz="6" w:space="0" w:color="auto"/>
              <w:left w:val="single" w:sz="6" w:space="0" w:color="auto"/>
              <w:bottom w:val="single" w:sz="6" w:space="0" w:color="auto"/>
              <w:right w:val="single" w:sz="6" w:space="0" w:color="auto"/>
            </w:tcBorders>
          </w:tcPr>
          <w:p w14:paraId="5198141D" w14:textId="77777777" w:rsidR="00542337" w:rsidRDefault="00542337" w:rsidP="009B329F">
            <w:pPr>
              <w:pStyle w:val="TAL"/>
            </w:pPr>
            <w:r>
              <w:t>5.1.6.2.8</w:t>
            </w:r>
          </w:p>
        </w:tc>
        <w:tc>
          <w:tcPr>
            <w:tcW w:w="2492" w:type="dxa"/>
            <w:tcBorders>
              <w:top w:val="single" w:sz="6" w:space="0" w:color="auto"/>
              <w:left w:val="single" w:sz="6" w:space="0" w:color="auto"/>
              <w:bottom w:val="single" w:sz="6" w:space="0" w:color="auto"/>
              <w:right w:val="single" w:sz="6" w:space="0" w:color="auto"/>
            </w:tcBorders>
          </w:tcPr>
          <w:p w14:paraId="5248874F" w14:textId="77777777" w:rsidR="00542337" w:rsidRDefault="00542337" w:rsidP="009B329F">
            <w:pPr>
              <w:pStyle w:val="TAL"/>
            </w:pPr>
            <w:r>
              <w:t>Identifies the target UE information.</w:t>
            </w:r>
          </w:p>
        </w:tc>
        <w:tc>
          <w:tcPr>
            <w:tcW w:w="1998" w:type="dxa"/>
            <w:tcBorders>
              <w:top w:val="single" w:sz="6" w:space="0" w:color="auto"/>
              <w:left w:val="single" w:sz="6" w:space="0" w:color="auto"/>
              <w:bottom w:val="single" w:sz="6" w:space="0" w:color="auto"/>
              <w:right w:val="single" w:sz="6" w:space="0" w:color="auto"/>
            </w:tcBorders>
          </w:tcPr>
          <w:p w14:paraId="437BB552" w14:textId="77777777" w:rsidR="00542337" w:rsidRDefault="00542337" w:rsidP="009B329F">
            <w:pPr>
              <w:keepNext/>
              <w:keepLines/>
              <w:spacing w:after="0"/>
              <w:rPr>
                <w:rFonts w:ascii="Arial" w:hAnsi="Arial" w:cs="Arial"/>
                <w:sz w:val="18"/>
                <w:szCs w:val="18"/>
              </w:rPr>
            </w:pPr>
          </w:p>
        </w:tc>
      </w:tr>
      <w:tr w:rsidR="00542337" w14:paraId="50D8CC4F" w14:textId="77777777" w:rsidTr="009B329F">
        <w:trPr>
          <w:trHeight w:val="45"/>
          <w:jc w:val="center"/>
        </w:trPr>
        <w:tc>
          <w:tcPr>
            <w:tcW w:w="2544" w:type="dxa"/>
            <w:tcBorders>
              <w:top w:val="single" w:sz="6" w:space="0" w:color="auto"/>
              <w:left w:val="single" w:sz="6" w:space="0" w:color="auto"/>
              <w:bottom w:val="single" w:sz="6" w:space="0" w:color="auto"/>
              <w:right w:val="single" w:sz="6" w:space="0" w:color="auto"/>
            </w:tcBorders>
          </w:tcPr>
          <w:p w14:paraId="0891594E" w14:textId="77777777" w:rsidR="00542337" w:rsidRDefault="00542337" w:rsidP="009B329F">
            <w:pPr>
              <w:pStyle w:val="TAL"/>
            </w:pPr>
            <w:r>
              <w:rPr>
                <w:rFonts w:eastAsia="等线"/>
                <w:szCs w:val="18"/>
                <w:lang w:eastAsia="zh-CN"/>
              </w:rPr>
              <w:t>TimeWindow</w:t>
            </w:r>
          </w:p>
        </w:tc>
        <w:tc>
          <w:tcPr>
            <w:tcW w:w="2469" w:type="dxa"/>
            <w:tcBorders>
              <w:top w:val="single" w:sz="6" w:space="0" w:color="auto"/>
              <w:left w:val="single" w:sz="6" w:space="0" w:color="auto"/>
              <w:bottom w:val="single" w:sz="6" w:space="0" w:color="auto"/>
              <w:right w:val="single" w:sz="6" w:space="0" w:color="auto"/>
            </w:tcBorders>
          </w:tcPr>
          <w:p w14:paraId="4B1BB49E" w14:textId="77777777" w:rsidR="00542337" w:rsidRDefault="00542337" w:rsidP="009B329F">
            <w:pPr>
              <w:pStyle w:val="TAL"/>
            </w:pPr>
            <w:r>
              <w:t>3GPP TS 29.122 [19]</w:t>
            </w:r>
          </w:p>
        </w:tc>
        <w:tc>
          <w:tcPr>
            <w:tcW w:w="2492" w:type="dxa"/>
            <w:tcBorders>
              <w:top w:val="single" w:sz="6" w:space="0" w:color="auto"/>
              <w:left w:val="single" w:sz="6" w:space="0" w:color="auto"/>
              <w:bottom w:val="single" w:sz="6" w:space="0" w:color="auto"/>
              <w:right w:val="single" w:sz="6" w:space="0" w:color="auto"/>
            </w:tcBorders>
          </w:tcPr>
          <w:p w14:paraId="00ECDC7B" w14:textId="77777777" w:rsidR="00542337" w:rsidRDefault="00542337" w:rsidP="009B329F">
            <w:pPr>
              <w:pStyle w:val="TAL"/>
              <w:rPr>
                <w:rFonts w:cs="Arial"/>
                <w:szCs w:val="18"/>
                <w:lang w:eastAsia="zh-CN"/>
              </w:rPr>
            </w:pPr>
            <w:r>
              <w:t>Represents a time window.</w:t>
            </w:r>
          </w:p>
        </w:tc>
        <w:tc>
          <w:tcPr>
            <w:tcW w:w="1998" w:type="dxa"/>
            <w:tcBorders>
              <w:top w:val="single" w:sz="6" w:space="0" w:color="auto"/>
              <w:left w:val="single" w:sz="6" w:space="0" w:color="auto"/>
              <w:bottom w:val="single" w:sz="6" w:space="0" w:color="auto"/>
              <w:right w:val="single" w:sz="6" w:space="0" w:color="auto"/>
            </w:tcBorders>
          </w:tcPr>
          <w:p w14:paraId="19D30E50" w14:textId="77777777" w:rsidR="00542337" w:rsidRDefault="00542337" w:rsidP="009B329F">
            <w:pPr>
              <w:pStyle w:val="TAL"/>
              <w:rPr>
                <w:rFonts w:eastAsia="Batang"/>
              </w:rPr>
            </w:pPr>
          </w:p>
        </w:tc>
      </w:tr>
      <w:tr w:rsidR="00542337" w14:paraId="657E85CC" w14:textId="77777777" w:rsidTr="009B329F">
        <w:trPr>
          <w:trHeight w:val="45"/>
          <w:jc w:val="center"/>
        </w:trPr>
        <w:tc>
          <w:tcPr>
            <w:tcW w:w="2544" w:type="dxa"/>
            <w:tcBorders>
              <w:top w:val="single" w:sz="6" w:space="0" w:color="auto"/>
              <w:left w:val="single" w:sz="6" w:space="0" w:color="auto"/>
              <w:bottom w:val="single" w:sz="6" w:space="0" w:color="auto"/>
              <w:right w:val="single" w:sz="6" w:space="0" w:color="auto"/>
            </w:tcBorders>
          </w:tcPr>
          <w:p w14:paraId="2822CF5A" w14:textId="77777777" w:rsidR="00542337" w:rsidRDefault="00542337" w:rsidP="009B329F">
            <w:pPr>
              <w:pStyle w:val="TAL"/>
              <w:rPr>
                <w:rFonts w:eastAsia="等线"/>
                <w:szCs w:val="18"/>
                <w:lang w:eastAsia="zh-CN"/>
              </w:rPr>
            </w:pPr>
            <w:r>
              <w:rPr>
                <w:rFonts w:eastAsia="等线"/>
                <w:szCs w:val="18"/>
                <w:lang w:eastAsia="zh-CN"/>
              </w:rPr>
              <w:t>Uinteger</w:t>
            </w:r>
          </w:p>
        </w:tc>
        <w:tc>
          <w:tcPr>
            <w:tcW w:w="2469" w:type="dxa"/>
            <w:tcBorders>
              <w:top w:val="single" w:sz="6" w:space="0" w:color="auto"/>
              <w:left w:val="single" w:sz="6" w:space="0" w:color="auto"/>
              <w:bottom w:val="single" w:sz="6" w:space="0" w:color="auto"/>
              <w:right w:val="single" w:sz="6" w:space="0" w:color="auto"/>
            </w:tcBorders>
          </w:tcPr>
          <w:p w14:paraId="5A7966FE" w14:textId="77777777" w:rsidR="00542337" w:rsidRDefault="00542337" w:rsidP="009B329F">
            <w:pPr>
              <w:pStyle w:val="TAL"/>
            </w:pPr>
            <w:r>
              <w:t>3GPP TS 29.571 [8]</w:t>
            </w:r>
          </w:p>
        </w:tc>
        <w:tc>
          <w:tcPr>
            <w:tcW w:w="2492" w:type="dxa"/>
            <w:tcBorders>
              <w:top w:val="single" w:sz="6" w:space="0" w:color="auto"/>
              <w:left w:val="single" w:sz="6" w:space="0" w:color="auto"/>
              <w:bottom w:val="single" w:sz="6" w:space="0" w:color="auto"/>
              <w:right w:val="single" w:sz="6" w:space="0" w:color="auto"/>
            </w:tcBorders>
          </w:tcPr>
          <w:p w14:paraId="7E70FA0F" w14:textId="77777777" w:rsidR="00542337" w:rsidRPr="00B265EE" w:rsidRDefault="00542337" w:rsidP="009B329F">
            <w:pPr>
              <w:pStyle w:val="TAL"/>
            </w:pPr>
            <w:r>
              <w:t>Unsigned Integer, i.e. only value 0 and integers above 0 are permissible.</w:t>
            </w:r>
          </w:p>
        </w:tc>
        <w:tc>
          <w:tcPr>
            <w:tcW w:w="1998" w:type="dxa"/>
            <w:tcBorders>
              <w:top w:val="single" w:sz="6" w:space="0" w:color="auto"/>
              <w:left w:val="single" w:sz="6" w:space="0" w:color="auto"/>
              <w:bottom w:val="single" w:sz="6" w:space="0" w:color="auto"/>
              <w:right w:val="single" w:sz="6" w:space="0" w:color="auto"/>
            </w:tcBorders>
          </w:tcPr>
          <w:p w14:paraId="4F35FED8" w14:textId="77777777" w:rsidR="00542337" w:rsidRDefault="00542337" w:rsidP="009B329F">
            <w:pPr>
              <w:pStyle w:val="TAL"/>
              <w:rPr>
                <w:rFonts w:eastAsia="Batang"/>
              </w:rPr>
            </w:pPr>
          </w:p>
        </w:tc>
      </w:tr>
      <w:tr w:rsidR="00542337" w14:paraId="68DD0AC9" w14:textId="77777777" w:rsidTr="009B329F">
        <w:trPr>
          <w:trHeight w:val="45"/>
          <w:jc w:val="center"/>
        </w:trPr>
        <w:tc>
          <w:tcPr>
            <w:tcW w:w="2544" w:type="dxa"/>
            <w:tcBorders>
              <w:top w:val="single" w:sz="6" w:space="0" w:color="auto"/>
              <w:left w:val="single" w:sz="6" w:space="0" w:color="auto"/>
              <w:bottom w:val="single" w:sz="6" w:space="0" w:color="auto"/>
              <w:right w:val="single" w:sz="6" w:space="0" w:color="auto"/>
            </w:tcBorders>
          </w:tcPr>
          <w:p w14:paraId="41DFE170" w14:textId="77777777" w:rsidR="00542337" w:rsidRDefault="00542337" w:rsidP="009B329F">
            <w:pPr>
              <w:pStyle w:val="TAL"/>
            </w:pPr>
            <w:r>
              <w:t>Uri</w:t>
            </w:r>
          </w:p>
        </w:tc>
        <w:tc>
          <w:tcPr>
            <w:tcW w:w="2469" w:type="dxa"/>
            <w:tcBorders>
              <w:top w:val="single" w:sz="6" w:space="0" w:color="auto"/>
              <w:left w:val="single" w:sz="6" w:space="0" w:color="auto"/>
              <w:bottom w:val="single" w:sz="6" w:space="0" w:color="auto"/>
              <w:right w:val="single" w:sz="6" w:space="0" w:color="auto"/>
            </w:tcBorders>
          </w:tcPr>
          <w:p w14:paraId="44D868F8" w14:textId="77777777" w:rsidR="00542337" w:rsidRDefault="00542337" w:rsidP="009B329F">
            <w:pPr>
              <w:pStyle w:val="TAL"/>
              <w:rPr>
                <w:rFonts w:cs="Arial"/>
              </w:rPr>
            </w:pPr>
            <w:r>
              <w:t>3GPP TS 29.571 [8]</w:t>
            </w:r>
          </w:p>
        </w:tc>
        <w:tc>
          <w:tcPr>
            <w:tcW w:w="2492" w:type="dxa"/>
            <w:tcBorders>
              <w:top w:val="single" w:sz="6" w:space="0" w:color="auto"/>
              <w:left w:val="single" w:sz="6" w:space="0" w:color="auto"/>
              <w:bottom w:val="single" w:sz="6" w:space="0" w:color="auto"/>
              <w:right w:val="single" w:sz="6" w:space="0" w:color="auto"/>
            </w:tcBorders>
          </w:tcPr>
          <w:p w14:paraId="3D3FBF6C" w14:textId="77777777" w:rsidR="00542337" w:rsidRDefault="00542337" w:rsidP="009B329F">
            <w:pPr>
              <w:pStyle w:val="TAL"/>
              <w:rPr>
                <w:rFonts w:cs="Arial"/>
                <w:szCs w:val="18"/>
                <w:lang w:eastAsia="zh-CN"/>
              </w:rPr>
            </w:pPr>
            <w:r>
              <w:rPr>
                <w:rFonts w:cs="Arial"/>
                <w:szCs w:val="18"/>
                <w:lang w:eastAsia="zh-CN"/>
              </w:rPr>
              <w:t>Represents a URI.</w:t>
            </w:r>
          </w:p>
        </w:tc>
        <w:tc>
          <w:tcPr>
            <w:tcW w:w="1998" w:type="dxa"/>
            <w:tcBorders>
              <w:top w:val="single" w:sz="6" w:space="0" w:color="auto"/>
              <w:left w:val="single" w:sz="6" w:space="0" w:color="auto"/>
              <w:bottom w:val="single" w:sz="6" w:space="0" w:color="auto"/>
              <w:right w:val="single" w:sz="6" w:space="0" w:color="auto"/>
            </w:tcBorders>
          </w:tcPr>
          <w:p w14:paraId="519F5718" w14:textId="77777777" w:rsidR="00542337" w:rsidRDefault="00542337" w:rsidP="009B329F">
            <w:pPr>
              <w:pStyle w:val="TAL"/>
              <w:rPr>
                <w:rFonts w:eastAsia="Batang"/>
              </w:rPr>
            </w:pPr>
          </w:p>
        </w:tc>
      </w:tr>
    </w:tbl>
    <w:p w14:paraId="02F39D69" w14:textId="77777777" w:rsidR="00A10B25" w:rsidRDefault="00A10B25"/>
    <w:p w14:paraId="56EA7732" w14:textId="77777777" w:rsidR="00A10B25" w:rsidRDefault="00A10B25">
      <w:pPr>
        <w:pStyle w:val="4"/>
      </w:pPr>
      <w:bookmarkStart w:id="14777" w:name="_Toc145706023"/>
      <w:bookmarkStart w:id="14778" w:name="_Toc148522940"/>
      <w:bookmarkStart w:id="14779" w:name="_Toc164921128"/>
      <w:bookmarkStart w:id="14780" w:name="_Toc170120670"/>
      <w:bookmarkStart w:id="14781" w:name="_Toc175858915"/>
      <w:bookmarkStart w:id="14782" w:name="_Toc175859988"/>
      <w:bookmarkStart w:id="14783" w:name="_Toc180606278"/>
      <w:bookmarkStart w:id="14784" w:name="_Toc185517539"/>
      <w:bookmarkStart w:id="14785" w:name="_Toc191576591"/>
      <w:bookmarkStart w:id="14786" w:name="_Toc191577331"/>
      <w:bookmarkStart w:id="14787" w:name="_Toc192880401"/>
      <w:bookmarkStart w:id="14788" w:name="_Toc195815290"/>
      <w:bookmarkStart w:id="14789" w:name="_Toc199453257"/>
      <w:r>
        <w:t>5.5.6.2</w:t>
      </w:r>
      <w:r>
        <w:tab/>
        <w:t>Structured data types</w:t>
      </w:r>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p>
    <w:p w14:paraId="7BEB9FE4" w14:textId="77777777" w:rsidR="00A10B25" w:rsidRDefault="00A10B25">
      <w:pPr>
        <w:pStyle w:val="5"/>
      </w:pPr>
      <w:bookmarkStart w:id="14790" w:name="_Toc138754529"/>
      <w:bookmarkStart w:id="14791" w:name="_Toc136562695"/>
      <w:bookmarkStart w:id="14792" w:name="_Toc148522941"/>
      <w:bookmarkStart w:id="14793" w:name="_Toc145706024"/>
      <w:bookmarkStart w:id="14794" w:name="_Toc164921129"/>
      <w:bookmarkStart w:id="14795" w:name="_Toc170120671"/>
      <w:bookmarkStart w:id="14796" w:name="_Toc175858916"/>
      <w:bookmarkStart w:id="14797" w:name="_Toc175859989"/>
      <w:bookmarkStart w:id="14798" w:name="_Toc180606279"/>
      <w:bookmarkStart w:id="14799" w:name="_Toc185517540"/>
      <w:bookmarkStart w:id="14800" w:name="_Toc191576592"/>
      <w:bookmarkStart w:id="14801" w:name="_Toc191577332"/>
      <w:bookmarkStart w:id="14802" w:name="_Toc192880402"/>
      <w:bookmarkStart w:id="14803" w:name="_Toc195815291"/>
      <w:bookmarkStart w:id="14804" w:name="_Toc199453258"/>
      <w:r>
        <w:t>5.5.6.2.1</w:t>
      </w:r>
      <w:r>
        <w:tab/>
        <w:t>Introduction</w:t>
      </w:r>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p>
    <w:p w14:paraId="1961DFCC" w14:textId="77777777" w:rsidR="00A10B25" w:rsidRDefault="00A10B25">
      <w:r>
        <w:t xml:space="preserve">This clause defines the structures to be used in resource representations. </w:t>
      </w:r>
    </w:p>
    <w:p w14:paraId="5AD35339" w14:textId="77777777" w:rsidR="00A10B25" w:rsidRDefault="00A10B25">
      <w:pPr>
        <w:pStyle w:val="5"/>
      </w:pPr>
      <w:bookmarkStart w:id="14805" w:name="_Toc145706025"/>
      <w:bookmarkStart w:id="14806" w:name="_Toc136562696"/>
      <w:bookmarkStart w:id="14807" w:name="_Toc138754530"/>
      <w:bookmarkStart w:id="14808" w:name="_Toc148522942"/>
      <w:bookmarkStart w:id="14809" w:name="_Toc164921130"/>
      <w:bookmarkStart w:id="14810" w:name="_Toc170120672"/>
      <w:bookmarkStart w:id="14811" w:name="_Toc175858917"/>
      <w:bookmarkStart w:id="14812" w:name="_Toc175859990"/>
      <w:bookmarkStart w:id="14813" w:name="_Toc180606280"/>
      <w:bookmarkStart w:id="14814" w:name="_Toc185517541"/>
      <w:bookmarkStart w:id="14815" w:name="_Toc191576593"/>
      <w:bookmarkStart w:id="14816" w:name="_Toc191577333"/>
      <w:bookmarkStart w:id="14817" w:name="_Toc192880403"/>
      <w:bookmarkStart w:id="14818" w:name="_Toc195815292"/>
      <w:bookmarkStart w:id="14819" w:name="_Toc199453259"/>
      <w:r>
        <w:lastRenderedPageBreak/>
        <w:t>5.5.6.2.2</w:t>
      </w:r>
      <w:r>
        <w:tab/>
        <w:t xml:space="preserve">Type </w:t>
      </w:r>
      <w:r>
        <w:rPr>
          <w:rFonts w:eastAsia="等线"/>
        </w:rPr>
        <w:t>NwdafMLModelTrainSubsc</w:t>
      </w:r>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p w14:paraId="782CA1CC" w14:textId="77777777" w:rsidR="00640768" w:rsidRDefault="00640768" w:rsidP="00640768">
      <w:pPr>
        <w:pStyle w:val="TH"/>
        <w:overflowPunct w:val="0"/>
        <w:autoSpaceDE w:val="0"/>
        <w:autoSpaceDN w:val="0"/>
        <w:adjustRightInd w:val="0"/>
        <w:textAlignment w:val="baseline"/>
        <w:rPr>
          <w:rFonts w:eastAsia="MS Mincho"/>
        </w:rPr>
      </w:pPr>
      <w:r>
        <w:rPr>
          <w:rFonts w:eastAsia="MS Mincho"/>
        </w:rPr>
        <w:t xml:space="preserve">Table 5.5.6.2.2-1: Definition of type </w:t>
      </w:r>
      <w:r>
        <w:rPr>
          <w:rFonts w:eastAsia="等线"/>
        </w:rPr>
        <w:t>NwdafMLModelTrainSubsc</w:t>
      </w:r>
    </w:p>
    <w:tbl>
      <w:tblPr>
        <w:tblW w:w="963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657"/>
        <w:gridCol w:w="36"/>
        <w:gridCol w:w="2458"/>
        <w:gridCol w:w="36"/>
        <w:gridCol w:w="451"/>
        <w:gridCol w:w="36"/>
        <w:gridCol w:w="1031"/>
        <w:gridCol w:w="36"/>
        <w:gridCol w:w="2476"/>
        <w:gridCol w:w="36"/>
        <w:gridCol w:w="1313"/>
        <w:gridCol w:w="36"/>
        <w:tblGridChange w:id="14820">
          <w:tblGrid>
            <w:gridCol w:w="36"/>
            <w:gridCol w:w="1657"/>
            <w:gridCol w:w="36"/>
            <w:gridCol w:w="2458"/>
            <w:gridCol w:w="36"/>
            <w:gridCol w:w="451"/>
            <w:gridCol w:w="36"/>
            <w:gridCol w:w="1031"/>
            <w:gridCol w:w="36"/>
            <w:gridCol w:w="2476"/>
            <w:gridCol w:w="36"/>
            <w:gridCol w:w="1313"/>
            <w:gridCol w:w="36"/>
          </w:tblGrid>
        </w:tblGridChange>
      </w:tblGrid>
      <w:tr w:rsidR="00640768" w14:paraId="043DB4F6" w14:textId="77777777" w:rsidTr="00635E7C">
        <w:trPr>
          <w:gridAfter w:val="1"/>
          <w:wAfter w:w="36" w:type="dxa"/>
          <w:trHeight w:val="139"/>
          <w:jc w:val="center"/>
        </w:trPr>
        <w:tc>
          <w:tcPr>
            <w:tcW w:w="1693" w:type="dxa"/>
            <w:gridSpan w:val="2"/>
            <w:shd w:val="clear" w:color="auto" w:fill="D0CECE"/>
          </w:tcPr>
          <w:p w14:paraId="6348051F" w14:textId="77777777" w:rsidR="00640768" w:rsidRDefault="00640768" w:rsidP="002A71FE">
            <w:pPr>
              <w:pStyle w:val="TAH"/>
            </w:pPr>
            <w:r>
              <w:lastRenderedPageBreak/>
              <w:t>Attribute name</w:t>
            </w:r>
          </w:p>
        </w:tc>
        <w:tc>
          <w:tcPr>
            <w:tcW w:w="2494" w:type="dxa"/>
            <w:gridSpan w:val="2"/>
            <w:shd w:val="clear" w:color="auto" w:fill="D0CECE"/>
          </w:tcPr>
          <w:p w14:paraId="5CF95365" w14:textId="77777777" w:rsidR="00640768" w:rsidRDefault="00640768" w:rsidP="002A71FE">
            <w:pPr>
              <w:pStyle w:val="TAH"/>
            </w:pPr>
            <w:r>
              <w:t>Data type</w:t>
            </w:r>
          </w:p>
        </w:tc>
        <w:tc>
          <w:tcPr>
            <w:tcW w:w="487" w:type="dxa"/>
            <w:gridSpan w:val="2"/>
            <w:shd w:val="clear" w:color="auto" w:fill="D0CECE"/>
          </w:tcPr>
          <w:p w14:paraId="6401416D" w14:textId="77777777" w:rsidR="00640768" w:rsidRDefault="00640768" w:rsidP="002A71FE">
            <w:pPr>
              <w:pStyle w:val="TAH"/>
            </w:pPr>
            <w:r>
              <w:t>P</w:t>
            </w:r>
          </w:p>
        </w:tc>
        <w:tc>
          <w:tcPr>
            <w:tcW w:w="1067" w:type="dxa"/>
            <w:gridSpan w:val="2"/>
            <w:shd w:val="clear" w:color="auto" w:fill="D0CECE"/>
          </w:tcPr>
          <w:p w14:paraId="1F37D67B" w14:textId="77777777" w:rsidR="00640768" w:rsidRDefault="00640768" w:rsidP="002A71FE">
            <w:pPr>
              <w:pStyle w:val="TAH"/>
            </w:pPr>
            <w:r>
              <w:t>Cardinality</w:t>
            </w:r>
          </w:p>
        </w:tc>
        <w:tc>
          <w:tcPr>
            <w:tcW w:w="2512" w:type="dxa"/>
            <w:gridSpan w:val="2"/>
            <w:shd w:val="clear" w:color="auto" w:fill="D0CECE"/>
          </w:tcPr>
          <w:p w14:paraId="3C2BE508" w14:textId="77777777" w:rsidR="00640768" w:rsidRDefault="00640768" w:rsidP="002A71FE">
            <w:pPr>
              <w:pStyle w:val="TAH"/>
            </w:pPr>
            <w:r>
              <w:rPr>
                <w:rFonts w:cs="Arial"/>
                <w:szCs w:val="18"/>
              </w:rPr>
              <w:t>Description</w:t>
            </w:r>
          </w:p>
        </w:tc>
        <w:tc>
          <w:tcPr>
            <w:tcW w:w="1349" w:type="dxa"/>
            <w:gridSpan w:val="2"/>
            <w:shd w:val="clear" w:color="auto" w:fill="D0CECE"/>
          </w:tcPr>
          <w:p w14:paraId="7AFE2E28" w14:textId="77777777" w:rsidR="00640768" w:rsidRDefault="00640768" w:rsidP="002A71FE">
            <w:pPr>
              <w:pStyle w:val="TAH"/>
            </w:pPr>
            <w:r>
              <w:rPr>
                <w:rFonts w:cs="Arial"/>
                <w:szCs w:val="18"/>
              </w:rPr>
              <w:t>Applicability</w:t>
            </w:r>
          </w:p>
        </w:tc>
      </w:tr>
      <w:tr w:rsidR="00640768" w14:paraId="21EA19FA" w14:textId="77777777" w:rsidTr="00635E7C">
        <w:trPr>
          <w:gridAfter w:val="1"/>
          <w:wAfter w:w="36" w:type="dxa"/>
          <w:trHeight w:val="420"/>
          <w:jc w:val="center"/>
        </w:trPr>
        <w:tc>
          <w:tcPr>
            <w:tcW w:w="1693" w:type="dxa"/>
            <w:gridSpan w:val="2"/>
          </w:tcPr>
          <w:p w14:paraId="4E5401BB" w14:textId="77777777" w:rsidR="00640768" w:rsidRDefault="00640768" w:rsidP="002A71FE">
            <w:pPr>
              <w:pStyle w:val="TAL"/>
            </w:pPr>
            <w:r>
              <w:t>eventReq</w:t>
            </w:r>
          </w:p>
        </w:tc>
        <w:tc>
          <w:tcPr>
            <w:tcW w:w="2494" w:type="dxa"/>
            <w:gridSpan w:val="2"/>
          </w:tcPr>
          <w:p w14:paraId="07D33DE6" w14:textId="77777777" w:rsidR="00640768" w:rsidRDefault="00640768" w:rsidP="002A71FE">
            <w:pPr>
              <w:pStyle w:val="TAL"/>
              <w:rPr>
                <w:lang w:eastAsia="zh-CN"/>
              </w:rPr>
            </w:pPr>
            <w:r>
              <w:t>ReportingInformation</w:t>
            </w:r>
          </w:p>
        </w:tc>
        <w:tc>
          <w:tcPr>
            <w:tcW w:w="487" w:type="dxa"/>
            <w:gridSpan w:val="2"/>
          </w:tcPr>
          <w:p w14:paraId="4DFA67A9" w14:textId="77777777" w:rsidR="00640768" w:rsidRDefault="00640768" w:rsidP="002A71FE">
            <w:pPr>
              <w:pStyle w:val="TAL"/>
              <w:rPr>
                <w:lang w:eastAsia="zh-CN"/>
              </w:rPr>
            </w:pPr>
            <w:r>
              <w:t>O</w:t>
            </w:r>
          </w:p>
        </w:tc>
        <w:tc>
          <w:tcPr>
            <w:tcW w:w="1067" w:type="dxa"/>
            <w:gridSpan w:val="2"/>
          </w:tcPr>
          <w:p w14:paraId="1A67A6B3" w14:textId="77777777" w:rsidR="00640768" w:rsidRDefault="00640768" w:rsidP="002A71FE">
            <w:pPr>
              <w:pStyle w:val="TAL"/>
              <w:rPr>
                <w:lang w:eastAsia="zh-CN"/>
              </w:rPr>
            </w:pPr>
            <w:r>
              <w:t>0..1</w:t>
            </w:r>
          </w:p>
        </w:tc>
        <w:tc>
          <w:tcPr>
            <w:tcW w:w="2512" w:type="dxa"/>
            <w:gridSpan w:val="2"/>
          </w:tcPr>
          <w:p w14:paraId="1572CE83" w14:textId="77777777" w:rsidR="00640768" w:rsidRDefault="00640768" w:rsidP="002A71FE">
            <w:pPr>
              <w:pStyle w:val="TAL"/>
            </w:pPr>
            <w:r>
              <w:t>Reporting requirement information of the subscription.</w:t>
            </w:r>
          </w:p>
          <w:p w14:paraId="706934E1" w14:textId="77777777" w:rsidR="00640768" w:rsidRDefault="00640768" w:rsidP="002A71FE">
            <w:pPr>
              <w:pStyle w:val="TAL"/>
              <w:rPr>
                <w:rFonts w:cs="Arial"/>
                <w:szCs w:val="18"/>
                <w:lang w:eastAsia="zh-CN"/>
              </w:rPr>
            </w:pPr>
            <w:r>
              <w:t>If omitted, the default values within the ReportingInformation data type apply.</w:t>
            </w:r>
          </w:p>
        </w:tc>
        <w:tc>
          <w:tcPr>
            <w:tcW w:w="1349" w:type="dxa"/>
            <w:gridSpan w:val="2"/>
          </w:tcPr>
          <w:p w14:paraId="0F1E8BE9" w14:textId="77777777" w:rsidR="00640768" w:rsidRDefault="00640768" w:rsidP="002A71FE">
            <w:pPr>
              <w:pStyle w:val="TAL"/>
              <w:rPr>
                <w:rFonts w:cs="Arial"/>
                <w:szCs w:val="18"/>
              </w:rPr>
            </w:pPr>
          </w:p>
        </w:tc>
      </w:tr>
      <w:tr w:rsidR="00640768" w14:paraId="170EC342" w14:textId="77777777" w:rsidTr="00635E7C">
        <w:trPr>
          <w:gridAfter w:val="1"/>
          <w:wAfter w:w="36" w:type="dxa"/>
          <w:trHeight w:val="420"/>
          <w:jc w:val="center"/>
        </w:trPr>
        <w:tc>
          <w:tcPr>
            <w:tcW w:w="1693" w:type="dxa"/>
            <w:gridSpan w:val="2"/>
          </w:tcPr>
          <w:p w14:paraId="2CF3455E" w14:textId="77777777" w:rsidR="00640768" w:rsidRDefault="00640768" w:rsidP="002A71FE">
            <w:pPr>
              <w:pStyle w:val="TAL"/>
            </w:pPr>
            <w:r>
              <w:t>failEventReports</w:t>
            </w:r>
          </w:p>
        </w:tc>
        <w:tc>
          <w:tcPr>
            <w:tcW w:w="2494" w:type="dxa"/>
            <w:gridSpan w:val="2"/>
          </w:tcPr>
          <w:p w14:paraId="0BB8EDCF" w14:textId="77777777" w:rsidR="00640768" w:rsidRDefault="00640768" w:rsidP="002A71FE">
            <w:pPr>
              <w:pStyle w:val="TAL"/>
            </w:pPr>
            <w:r>
              <w:t>array(</w:t>
            </w:r>
            <w:r>
              <w:rPr>
                <w:lang w:eastAsia="zh-CN"/>
              </w:rPr>
              <w:t>FailureEventInfoForMLModelTrain</w:t>
            </w:r>
            <w:r>
              <w:t>)</w:t>
            </w:r>
          </w:p>
        </w:tc>
        <w:tc>
          <w:tcPr>
            <w:tcW w:w="487" w:type="dxa"/>
            <w:gridSpan w:val="2"/>
          </w:tcPr>
          <w:p w14:paraId="5087DCB0" w14:textId="77777777" w:rsidR="00640768" w:rsidRDefault="00640768" w:rsidP="002A71FE">
            <w:pPr>
              <w:pStyle w:val="TAL"/>
            </w:pPr>
            <w:r>
              <w:t>O</w:t>
            </w:r>
          </w:p>
        </w:tc>
        <w:tc>
          <w:tcPr>
            <w:tcW w:w="1067" w:type="dxa"/>
            <w:gridSpan w:val="2"/>
          </w:tcPr>
          <w:p w14:paraId="072A3883" w14:textId="77777777" w:rsidR="00640768" w:rsidRDefault="00640768" w:rsidP="002A71FE">
            <w:pPr>
              <w:pStyle w:val="TAL"/>
            </w:pPr>
            <w:r>
              <w:t>1..N</w:t>
            </w:r>
          </w:p>
        </w:tc>
        <w:tc>
          <w:tcPr>
            <w:tcW w:w="2512" w:type="dxa"/>
            <w:gridSpan w:val="2"/>
          </w:tcPr>
          <w:p w14:paraId="79C6B4A1" w14:textId="77777777" w:rsidR="00640768" w:rsidRDefault="00640768" w:rsidP="002A71FE">
            <w:pPr>
              <w:pStyle w:val="TAL"/>
            </w:pPr>
            <w:r>
              <w:t>Supplied by the NWDAF containing MTLF when available, shall contain the event(s) that the subscription is not successful including the failure reason(s).</w:t>
            </w:r>
          </w:p>
        </w:tc>
        <w:tc>
          <w:tcPr>
            <w:tcW w:w="1349" w:type="dxa"/>
            <w:gridSpan w:val="2"/>
          </w:tcPr>
          <w:p w14:paraId="570C89C9" w14:textId="77777777" w:rsidR="00640768" w:rsidRDefault="00640768" w:rsidP="002A71FE">
            <w:pPr>
              <w:pStyle w:val="TAL"/>
              <w:rPr>
                <w:rFonts w:cs="Arial"/>
                <w:szCs w:val="18"/>
              </w:rPr>
            </w:pPr>
          </w:p>
        </w:tc>
      </w:tr>
      <w:tr w:rsidR="00640768" w14:paraId="5E1E6D3A" w14:textId="77777777" w:rsidTr="00635E7C">
        <w:trPr>
          <w:gridBefore w:val="1"/>
          <w:wBefore w:w="36" w:type="dxa"/>
          <w:trHeight w:val="420"/>
          <w:jc w:val="center"/>
        </w:trPr>
        <w:tc>
          <w:tcPr>
            <w:tcW w:w="1693" w:type="dxa"/>
            <w:gridSpan w:val="2"/>
          </w:tcPr>
          <w:p w14:paraId="2C656949" w14:textId="77777777" w:rsidR="00640768" w:rsidRDefault="00640768" w:rsidP="002A71FE">
            <w:pPr>
              <w:pStyle w:val="TAL"/>
            </w:pPr>
            <w:r>
              <w:t>mlCorreId</w:t>
            </w:r>
          </w:p>
        </w:tc>
        <w:tc>
          <w:tcPr>
            <w:tcW w:w="2494" w:type="dxa"/>
            <w:gridSpan w:val="2"/>
          </w:tcPr>
          <w:p w14:paraId="4984D2BC" w14:textId="77777777" w:rsidR="00640768" w:rsidRDefault="00640768" w:rsidP="002A71FE">
            <w:pPr>
              <w:pStyle w:val="TAL"/>
              <w:rPr>
                <w:lang w:eastAsia="zh-CN"/>
              </w:rPr>
            </w:pPr>
            <w:r>
              <w:rPr>
                <w:lang w:eastAsia="zh-CN"/>
              </w:rPr>
              <w:t>string</w:t>
            </w:r>
          </w:p>
        </w:tc>
        <w:tc>
          <w:tcPr>
            <w:tcW w:w="487" w:type="dxa"/>
            <w:gridSpan w:val="2"/>
          </w:tcPr>
          <w:p w14:paraId="07955F80" w14:textId="77777777" w:rsidR="00640768" w:rsidRDefault="00640768" w:rsidP="002A71FE">
            <w:pPr>
              <w:pStyle w:val="TAL"/>
              <w:rPr>
                <w:lang w:eastAsia="zh-CN"/>
              </w:rPr>
            </w:pPr>
            <w:r>
              <w:t>C</w:t>
            </w:r>
          </w:p>
        </w:tc>
        <w:tc>
          <w:tcPr>
            <w:tcW w:w="1067" w:type="dxa"/>
            <w:gridSpan w:val="2"/>
          </w:tcPr>
          <w:p w14:paraId="087D65E1" w14:textId="77777777" w:rsidR="00640768" w:rsidRDefault="00640768" w:rsidP="002A71FE">
            <w:pPr>
              <w:pStyle w:val="TAL"/>
              <w:rPr>
                <w:lang w:eastAsia="zh-CN"/>
              </w:rPr>
            </w:pPr>
            <w:r>
              <w:rPr>
                <w:rFonts w:eastAsia="Yu Mincho"/>
                <w:lang w:eastAsia="ja-JP"/>
              </w:rPr>
              <w:t>0..1</w:t>
            </w:r>
          </w:p>
        </w:tc>
        <w:tc>
          <w:tcPr>
            <w:tcW w:w="2512" w:type="dxa"/>
            <w:gridSpan w:val="2"/>
          </w:tcPr>
          <w:p w14:paraId="4DBA1AF1" w14:textId="77777777" w:rsidR="00640768" w:rsidRDefault="00640768" w:rsidP="002A71FE">
            <w:pPr>
              <w:pStyle w:val="TAL"/>
            </w:pPr>
            <w:r>
              <w:t>Identifies the Machine Learning procedure for training the ML model.</w:t>
            </w:r>
          </w:p>
          <w:p w14:paraId="77A85DD9" w14:textId="77777777" w:rsidR="00640768" w:rsidRDefault="00640768" w:rsidP="002A71FE">
            <w:pPr>
              <w:pStyle w:val="TAL"/>
              <w:rPr>
                <w:lang w:eastAsia="zh-CN"/>
              </w:rPr>
            </w:pPr>
            <w:r>
              <w:t>It shall be present when the service is for Federated Learning</w:t>
            </w:r>
            <w:r>
              <w:rPr>
                <w:rFonts w:eastAsia="等线"/>
              </w:rPr>
              <w:t>.</w:t>
            </w:r>
          </w:p>
        </w:tc>
        <w:tc>
          <w:tcPr>
            <w:tcW w:w="1349" w:type="dxa"/>
            <w:gridSpan w:val="2"/>
          </w:tcPr>
          <w:p w14:paraId="112546EB" w14:textId="77777777" w:rsidR="00640768" w:rsidRDefault="00640768" w:rsidP="002A71FE">
            <w:pPr>
              <w:pStyle w:val="TAL"/>
              <w:rPr>
                <w:rFonts w:cs="Arial"/>
                <w:szCs w:val="18"/>
              </w:rPr>
            </w:pPr>
          </w:p>
        </w:tc>
      </w:tr>
      <w:tr w:rsidR="00640768" w14:paraId="5E00294A" w14:textId="77777777" w:rsidTr="00635E7C">
        <w:trPr>
          <w:gridAfter w:val="1"/>
          <w:wAfter w:w="36" w:type="dxa"/>
          <w:trHeight w:val="420"/>
          <w:jc w:val="center"/>
        </w:trPr>
        <w:tc>
          <w:tcPr>
            <w:tcW w:w="1693" w:type="dxa"/>
            <w:gridSpan w:val="2"/>
          </w:tcPr>
          <w:p w14:paraId="50512B54" w14:textId="77777777" w:rsidR="00640768" w:rsidRDefault="00640768" w:rsidP="002A71FE">
            <w:pPr>
              <w:pStyle w:val="TAL"/>
            </w:pPr>
            <w:r>
              <w:t>mLE</w:t>
            </w:r>
            <w:r>
              <w:rPr>
                <w:lang w:eastAsia="en-GB"/>
              </w:rPr>
              <w:t>ventSubscs</w:t>
            </w:r>
          </w:p>
        </w:tc>
        <w:tc>
          <w:tcPr>
            <w:tcW w:w="2494" w:type="dxa"/>
            <w:gridSpan w:val="2"/>
          </w:tcPr>
          <w:p w14:paraId="54F80683" w14:textId="77777777" w:rsidR="00640768" w:rsidRDefault="00640768" w:rsidP="002A71FE">
            <w:pPr>
              <w:pStyle w:val="TAL"/>
              <w:rPr>
                <w:lang w:eastAsia="zh-CN"/>
              </w:rPr>
            </w:pPr>
            <w:r>
              <w:rPr>
                <w:lang w:eastAsia="zh-CN"/>
              </w:rPr>
              <w:t>array(</w:t>
            </w:r>
            <w:r>
              <w:rPr>
                <w:lang w:eastAsia="en-GB"/>
              </w:rPr>
              <w:t>MLEventSubscription</w:t>
            </w:r>
            <w:r>
              <w:rPr>
                <w:lang w:eastAsia="zh-CN"/>
              </w:rPr>
              <w:t>)</w:t>
            </w:r>
          </w:p>
        </w:tc>
        <w:tc>
          <w:tcPr>
            <w:tcW w:w="487" w:type="dxa"/>
            <w:gridSpan w:val="2"/>
          </w:tcPr>
          <w:p w14:paraId="4A1EB6FE" w14:textId="77777777" w:rsidR="00640768" w:rsidRDefault="00640768" w:rsidP="002A71FE">
            <w:pPr>
              <w:pStyle w:val="TAL"/>
            </w:pPr>
            <w:r>
              <w:rPr>
                <w:lang w:eastAsia="zh-CN"/>
              </w:rPr>
              <w:t>M</w:t>
            </w:r>
          </w:p>
        </w:tc>
        <w:tc>
          <w:tcPr>
            <w:tcW w:w="1067" w:type="dxa"/>
            <w:gridSpan w:val="2"/>
          </w:tcPr>
          <w:p w14:paraId="175EFB3A" w14:textId="77777777" w:rsidR="00640768" w:rsidRDefault="00640768" w:rsidP="002A71FE">
            <w:pPr>
              <w:pStyle w:val="TAL"/>
            </w:pPr>
            <w:r>
              <w:rPr>
                <w:lang w:eastAsia="zh-CN"/>
              </w:rPr>
              <w:t>1..N</w:t>
            </w:r>
          </w:p>
        </w:tc>
        <w:tc>
          <w:tcPr>
            <w:tcW w:w="2512" w:type="dxa"/>
            <w:gridSpan w:val="2"/>
          </w:tcPr>
          <w:p w14:paraId="31D8A874" w14:textId="77777777" w:rsidR="00640768" w:rsidRDefault="00640768" w:rsidP="002A71FE">
            <w:pPr>
              <w:pStyle w:val="TAL"/>
            </w:pPr>
            <w:r>
              <w:rPr>
                <w:rFonts w:cs="Arial"/>
                <w:szCs w:val="18"/>
                <w:lang w:eastAsia="zh-CN"/>
              </w:rPr>
              <w:t>Each element identifies the subscription for each event. The "modelInterInfo" attribute within the MLEventSubscription data type shall be provided.</w:t>
            </w:r>
            <w:r>
              <w:rPr>
                <w:rFonts w:eastAsia="等线"/>
              </w:rPr>
              <w:t xml:space="preserve"> (NOTE</w:t>
            </w:r>
            <w:r>
              <w:rPr>
                <w:lang w:eastAsia="zh-CN"/>
              </w:rPr>
              <w:t> </w:t>
            </w:r>
            <w:r>
              <w:rPr>
                <w:lang w:val="en-US" w:eastAsia="zh-CN"/>
              </w:rPr>
              <w:t>3</w:t>
            </w:r>
            <w:r>
              <w:rPr>
                <w:rFonts w:eastAsia="等线"/>
              </w:rPr>
              <w:t>)</w:t>
            </w:r>
          </w:p>
        </w:tc>
        <w:tc>
          <w:tcPr>
            <w:tcW w:w="1349" w:type="dxa"/>
            <w:gridSpan w:val="2"/>
          </w:tcPr>
          <w:p w14:paraId="5FC32F73" w14:textId="77777777" w:rsidR="00640768" w:rsidRDefault="00640768" w:rsidP="002A71FE">
            <w:pPr>
              <w:pStyle w:val="TAL"/>
              <w:rPr>
                <w:rFonts w:cs="Arial"/>
                <w:szCs w:val="18"/>
              </w:rPr>
            </w:pPr>
          </w:p>
        </w:tc>
      </w:tr>
      <w:tr w:rsidR="00640768" w14:paraId="5D0958AC" w14:textId="77777777" w:rsidTr="00635E7C">
        <w:trPr>
          <w:gridAfter w:val="1"/>
          <w:wAfter w:w="36" w:type="dxa"/>
          <w:trHeight w:val="420"/>
          <w:jc w:val="center"/>
        </w:trPr>
        <w:tc>
          <w:tcPr>
            <w:tcW w:w="1693" w:type="dxa"/>
            <w:gridSpan w:val="2"/>
          </w:tcPr>
          <w:p w14:paraId="473CE5E8" w14:textId="77777777" w:rsidR="00640768" w:rsidRDefault="00640768" w:rsidP="002A71FE">
            <w:pPr>
              <w:pStyle w:val="TAL"/>
            </w:pPr>
            <w:r>
              <w:t>mLModelInfos</w:t>
            </w:r>
          </w:p>
        </w:tc>
        <w:tc>
          <w:tcPr>
            <w:tcW w:w="2494" w:type="dxa"/>
            <w:gridSpan w:val="2"/>
          </w:tcPr>
          <w:p w14:paraId="064CCFF3" w14:textId="77777777" w:rsidR="00640768" w:rsidRDefault="00640768" w:rsidP="002A71FE">
            <w:pPr>
              <w:pStyle w:val="TAL"/>
            </w:pPr>
            <w:r>
              <w:t>array(MLEventNotif)</w:t>
            </w:r>
          </w:p>
        </w:tc>
        <w:tc>
          <w:tcPr>
            <w:tcW w:w="487" w:type="dxa"/>
            <w:gridSpan w:val="2"/>
          </w:tcPr>
          <w:p w14:paraId="4BD24883" w14:textId="77777777" w:rsidR="00640768" w:rsidRDefault="00640768" w:rsidP="002A71FE">
            <w:pPr>
              <w:pStyle w:val="TAL"/>
            </w:pPr>
            <w:r>
              <w:t>O</w:t>
            </w:r>
          </w:p>
        </w:tc>
        <w:tc>
          <w:tcPr>
            <w:tcW w:w="1067" w:type="dxa"/>
            <w:gridSpan w:val="2"/>
          </w:tcPr>
          <w:p w14:paraId="5D349C02" w14:textId="77777777" w:rsidR="00640768" w:rsidRDefault="00640768" w:rsidP="002A71FE">
            <w:pPr>
              <w:pStyle w:val="TAL"/>
            </w:pPr>
            <w:r>
              <w:t>1..N</w:t>
            </w:r>
          </w:p>
        </w:tc>
        <w:tc>
          <w:tcPr>
            <w:tcW w:w="2512" w:type="dxa"/>
            <w:gridSpan w:val="2"/>
          </w:tcPr>
          <w:p w14:paraId="4651F170" w14:textId="77777777" w:rsidR="00640768" w:rsidRDefault="00640768" w:rsidP="002A71FE">
            <w:pPr>
              <w:pStyle w:val="TAL"/>
            </w:pPr>
            <w:r>
              <w:t>Each element contains ML Model information for a specific analytics type.</w:t>
            </w:r>
            <w:r>
              <w:rPr>
                <w:lang w:eastAsia="zh-CN"/>
              </w:rPr>
              <w:t> (NOTE </w:t>
            </w:r>
            <w:r>
              <w:rPr>
                <w:lang w:val="en-US" w:eastAsia="zh-CN"/>
              </w:rPr>
              <w:t>1</w:t>
            </w:r>
            <w:r>
              <w:rPr>
                <w:lang w:eastAsia="zh-CN"/>
              </w:rPr>
              <w:t>)</w:t>
            </w:r>
            <w:r>
              <w:rPr>
                <w:rFonts w:eastAsia="等线"/>
              </w:rPr>
              <w:t xml:space="preserve"> (NOTE</w:t>
            </w:r>
            <w:r>
              <w:rPr>
                <w:lang w:eastAsia="zh-CN"/>
              </w:rPr>
              <w:t> </w:t>
            </w:r>
            <w:r>
              <w:rPr>
                <w:lang w:val="en-US" w:eastAsia="zh-CN"/>
              </w:rPr>
              <w:t>2</w:t>
            </w:r>
            <w:r>
              <w:rPr>
                <w:rFonts w:eastAsia="等线"/>
              </w:rPr>
              <w:t>)</w:t>
            </w:r>
          </w:p>
        </w:tc>
        <w:tc>
          <w:tcPr>
            <w:tcW w:w="1349" w:type="dxa"/>
            <w:gridSpan w:val="2"/>
          </w:tcPr>
          <w:p w14:paraId="50A82111" w14:textId="77777777" w:rsidR="00640768" w:rsidRDefault="00640768" w:rsidP="002A71FE">
            <w:pPr>
              <w:pStyle w:val="TAL"/>
              <w:rPr>
                <w:rFonts w:cs="Arial"/>
                <w:szCs w:val="18"/>
              </w:rPr>
            </w:pPr>
          </w:p>
        </w:tc>
      </w:tr>
      <w:tr w:rsidR="00640768" w14:paraId="14426DAC" w14:textId="77777777" w:rsidTr="00635E7C">
        <w:trPr>
          <w:gridAfter w:val="1"/>
          <w:wAfter w:w="36" w:type="dxa"/>
          <w:trHeight w:val="420"/>
          <w:jc w:val="center"/>
        </w:trPr>
        <w:tc>
          <w:tcPr>
            <w:tcW w:w="1693" w:type="dxa"/>
            <w:gridSpan w:val="2"/>
          </w:tcPr>
          <w:p w14:paraId="4A9BB3F9" w14:textId="77777777" w:rsidR="00640768" w:rsidRDefault="00640768" w:rsidP="00640768">
            <w:pPr>
              <w:pStyle w:val="TAL"/>
            </w:pPr>
            <w:r>
              <w:t>immReport</w:t>
            </w:r>
          </w:p>
        </w:tc>
        <w:tc>
          <w:tcPr>
            <w:tcW w:w="2494" w:type="dxa"/>
            <w:gridSpan w:val="2"/>
          </w:tcPr>
          <w:p w14:paraId="52542A1A" w14:textId="77777777" w:rsidR="00640768" w:rsidRDefault="00640768" w:rsidP="00640768">
            <w:pPr>
              <w:pStyle w:val="TAL"/>
            </w:pPr>
            <w:r>
              <w:t>NwdafMLModelTrainNotif</w:t>
            </w:r>
          </w:p>
        </w:tc>
        <w:tc>
          <w:tcPr>
            <w:tcW w:w="487" w:type="dxa"/>
            <w:gridSpan w:val="2"/>
          </w:tcPr>
          <w:p w14:paraId="01E00EB3" w14:textId="77777777" w:rsidR="00640768" w:rsidRDefault="00640768" w:rsidP="00640768">
            <w:pPr>
              <w:pStyle w:val="TAL"/>
            </w:pPr>
            <w:r>
              <w:t>O</w:t>
            </w:r>
          </w:p>
        </w:tc>
        <w:tc>
          <w:tcPr>
            <w:tcW w:w="1067" w:type="dxa"/>
            <w:gridSpan w:val="2"/>
          </w:tcPr>
          <w:p w14:paraId="0BA0A80C" w14:textId="77777777" w:rsidR="00640768" w:rsidRDefault="00640768" w:rsidP="00640768">
            <w:pPr>
              <w:pStyle w:val="TAL"/>
            </w:pPr>
            <w:r>
              <w:rPr>
                <w:rFonts w:eastAsia="Yu Mincho"/>
                <w:lang w:eastAsia="ja-JP"/>
              </w:rPr>
              <w:t>0..1</w:t>
            </w:r>
          </w:p>
        </w:tc>
        <w:tc>
          <w:tcPr>
            <w:tcW w:w="2512" w:type="dxa"/>
            <w:gridSpan w:val="2"/>
          </w:tcPr>
          <w:p w14:paraId="2D5B7E9F" w14:textId="77777777" w:rsidR="00640768" w:rsidRDefault="00640768" w:rsidP="00640768">
            <w:pPr>
              <w:pStyle w:val="TAL"/>
            </w:pPr>
            <w:r>
              <w:t>Immediately reported ML Model Training notifications. It may only be provided in the response of a subscription creation/update and only if the immediate reporting flag was set to "true" in the corresponding request.</w:t>
            </w:r>
          </w:p>
        </w:tc>
        <w:tc>
          <w:tcPr>
            <w:tcW w:w="1349" w:type="dxa"/>
            <w:gridSpan w:val="2"/>
          </w:tcPr>
          <w:p w14:paraId="2A157551" w14:textId="77777777" w:rsidR="00640768" w:rsidRDefault="00640768" w:rsidP="00640768">
            <w:pPr>
              <w:pStyle w:val="TAL"/>
              <w:rPr>
                <w:rFonts w:cs="Arial"/>
                <w:szCs w:val="18"/>
              </w:rPr>
            </w:pPr>
          </w:p>
        </w:tc>
      </w:tr>
      <w:tr w:rsidR="00640768" w14:paraId="5900BA92" w14:textId="77777777" w:rsidTr="00635E7C">
        <w:trPr>
          <w:gridAfter w:val="1"/>
          <w:wAfter w:w="36" w:type="dxa"/>
          <w:trHeight w:val="420"/>
          <w:jc w:val="center"/>
        </w:trPr>
        <w:tc>
          <w:tcPr>
            <w:tcW w:w="1693" w:type="dxa"/>
            <w:gridSpan w:val="2"/>
          </w:tcPr>
          <w:p w14:paraId="53761505" w14:textId="77777777" w:rsidR="00640768" w:rsidRDefault="00640768" w:rsidP="002A71FE">
            <w:pPr>
              <w:pStyle w:val="TAL"/>
            </w:pPr>
            <w:r>
              <w:t>mLModelTrainInfos</w:t>
            </w:r>
          </w:p>
        </w:tc>
        <w:tc>
          <w:tcPr>
            <w:tcW w:w="2494" w:type="dxa"/>
            <w:gridSpan w:val="2"/>
          </w:tcPr>
          <w:p w14:paraId="7411457B" w14:textId="77777777" w:rsidR="00640768" w:rsidRDefault="00640768" w:rsidP="002A71FE">
            <w:pPr>
              <w:pStyle w:val="TAL"/>
            </w:pPr>
            <w:r>
              <w:t>array(MLModelTrainInfo)</w:t>
            </w:r>
          </w:p>
        </w:tc>
        <w:tc>
          <w:tcPr>
            <w:tcW w:w="487" w:type="dxa"/>
            <w:gridSpan w:val="2"/>
          </w:tcPr>
          <w:p w14:paraId="55A36DFA" w14:textId="77777777" w:rsidR="00640768" w:rsidRDefault="00640768" w:rsidP="002A71FE">
            <w:pPr>
              <w:pStyle w:val="TAL"/>
            </w:pPr>
            <w:r>
              <w:t>O</w:t>
            </w:r>
          </w:p>
        </w:tc>
        <w:tc>
          <w:tcPr>
            <w:tcW w:w="1067" w:type="dxa"/>
            <w:gridSpan w:val="2"/>
          </w:tcPr>
          <w:p w14:paraId="79BEF80B" w14:textId="77777777" w:rsidR="00640768" w:rsidRDefault="00640768" w:rsidP="002A71FE">
            <w:pPr>
              <w:pStyle w:val="TAL"/>
            </w:pPr>
            <w:r>
              <w:t>1..N</w:t>
            </w:r>
          </w:p>
        </w:tc>
        <w:tc>
          <w:tcPr>
            <w:tcW w:w="2512" w:type="dxa"/>
            <w:gridSpan w:val="2"/>
          </w:tcPr>
          <w:p w14:paraId="2E3EB13D" w14:textId="77777777" w:rsidR="00640768" w:rsidRDefault="00640768" w:rsidP="002A71FE">
            <w:pPr>
              <w:pStyle w:val="TAL"/>
            </w:pPr>
            <w:r>
              <w:t>Each element represents the ML Model training information for each event, include requirement on data availability and time availability.</w:t>
            </w:r>
          </w:p>
        </w:tc>
        <w:tc>
          <w:tcPr>
            <w:tcW w:w="1349" w:type="dxa"/>
            <w:gridSpan w:val="2"/>
          </w:tcPr>
          <w:p w14:paraId="362232B9" w14:textId="77777777" w:rsidR="00640768" w:rsidRDefault="00640768" w:rsidP="002A71FE">
            <w:pPr>
              <w:pStyle w:val="TAL"/>
              <w:rPr>
                <w:rFonts w:cs="Arial"/>
                <w:szCs w:val="18"/>
              </w:rPr>
            </w:pPr>
          </w:p>
        </w:tc>
      </w:tr>
      <w:tr w:rsidR="00640768" w14:paraId="407473B0" w14:textId="77777777" w:rsidTr="00635E7C">
        <w:trPr>
          <w:gridAfter w:val="1"/>
          <w:wAfter w:w="36" w:type="dxa"/>
          <w:trHeight w:val="420"/>
          <w:jc w:val="center"/>
        </w:trPr>
        <w:tc>
          <w:tcPr>
            <w:tcW w:w="1693" w:type="dxa"/>
            <w:gridSpan w:val="2"/>
          </w:tcPr>
          <w:p w14:paraId="0C026B4D" w14:textId="77777777" w:rsidR="00640768" w:rsidRDefault="00640768" w:rsidP="002A71FE">
            <w:pPr>
              <w:pStyle w:val="TAL"/>
            </w:pPr>
            <w:r>
              <w:t>mLPreFlag</w:t>
            </w:r>
          </w:p>
        </w:tc>
        <w:tc>
          <w:tcPr>
            <w:tcW w:w="2494" w:type="dxa"/>
            <w:gridSpan w:val="2"/>
          </w:tcPr>
          <w:p w14:paraId="53DB30E7" w14:textId="77777777" w:rsidR="00640768" w:rsidRDefault="00640768" w:rsidP="002A71FE">
            <w:pPr>
              <w:pStyle w:val="TAL"/>
            </w:pPr>
            <w:r>
              <w:t>boolean</w:t>
            </w:r>
          </w:p>
        </w:tc>
        <w:tc>
          <w:tcPr>
            <w:tcW w:w="487" w:type="dxa"/>
            <w:gridSpan w:val="2"/>
          </w:tcPr>
          <w:p w14:paraId="1AEFF625" w14:textId="77777777" w:rsidR="00640768" w:rsidRDefault="00640768" w:rsidP="002A71FE">
            <w:pPr>
              <w:pStyle w:val="TAL"/>
            </w:pPr>
            <w:r>
              <w:t>C</w:t>
            </w:r>
          </w:p>
        </w:tc>
        <w:tc>
          <w:tcPr>
            <w:tcW w:w="1067" w:type="dxa"/>
            <w:gridSpan w:val="2"/>
          </w:tcPr>
          <w:p w14:paraId="02C2B652" w14:textId="77777777" w:rsidR="00640768" w:rsidRDefault="00640768" w:rsidP="002A71FE">
            <w:pPr>
              <w:pStyle w:val="TAL"/>
            </w:pPr>
            <w:r>
              <w:t>0..1</w:t>
            </w:r>
          </w:p>
        </w:tc>
        <w:tc>
          <w:tcPr>
            <w:tcW w:w="2512" w:type="dxa"/>
            <w:gridSpan w:val="2"/>
          </w:tcPr>
          <w:p w14:paraId="02D92935" w14:textId="77777777" w:rsidR="00640768" w:rsidRDefault="00640768" w:rsidP="002A71FE">
            <w:pPr>
              <w:pStyle w:val="TAL"/>
            </w:pPr>
            <w:r>
              <w:t>Indicates whether the subscription is for preparation of ML Model training. Set to "true" if it is for ML training preparation, otherwise set to "false".</w:t>
            </w:r>
          </w:p>
          <w:p w14:paraId="600E7952" w14:textId="77777777" w:rsidR="00640768" w:rsidRDefault="00640768" w:rsidP="002A71FE">
            <w:pPr>
              <w:pStyle w:val="TAL"/>
            </w:pPr>
            <w:r>
              <w:t>Default value is "false" if omitted.</w:t>
            </w:r>
          </w:p>
          <w:p w14:paraId="26512FEE" w14:textId="77777777" w:rsidR="00640768" w:rsidRDefault="00640768" w:rsidP="002A71FE">
            <w:pPr>
              <w:pStyle w:val="TAL"/>
            </w:pPr>
            <w:r>
              <w:t>It shall be present when the service is for preparation of Federated Learning</w:t>
            </w:r>
            <w:r>
              <w:rPr>
                <w:rFonts w:eastAsia="等线"/>
              </w:rPr>
              <w:t>.</w:t>
            </w:r>
          </w:p>
        </w:tc>
        <w:tc>
          <w:tcPr>
            <w:tcW w:w="1349" w:type="dxa"/>
            <w:gridSpan w:val="2"/>
          </w:tcPr>
          <w:p w14:paraId="13A873F0" w14:textId="77777777" w:rsidR="00640768" w:rsidRDefault="00640768" w:rsidP="002A71FE">
            <w:pPr>
              <w:pStyle w:val="TAL"/>
              <w:rPr>
                <w:rFonts w:cs="Arial"/>
                <w:szCs w:val="18"/>
              </w:rPr>
            </w:pPr>
          </w:p>
        </w:tc>
      </w:tr>
      <w:tr w:rsidR="00640768" w14:paraId="6313ECE1" w14:textId="77777777" w:rsidTr="00635E7C">
        <w:trPr>
          <w:gridAfter w:val="1"/>
          <w:wAfter w:w="36" w:type="dxa"/>
          <w:trHeight w:val="420"/>
          <w:jc w:val="center"/>
        </w:trPr>
        <w:tc>
          <w:tcPr>
            <w:tcW w:w="1693" w:type="dxa"/>
            <w:gridSpan w:val="2"/>
          </w:tcPr>
          <w:p w14:paraId="4E86F4F0" w14:textId="77777777" w:rsidR="00640768" w:rsidRDefault="00640768" w:rsidP="002A71FE">
            <w:pPr>
              <w:pStyle w:val="TAL"/>
            </w:pPr>
            <w:r>
              <w:rPr>
                <w:color w:val="000000"/>
                <w:lang w:val="en-US" w:eastAsia="zh-CN"/>
              </w:rPr>
              <w:t>mLAccChkFlg</w:t>
            </w:r>
          </w:p>
        </w:tc>
        <w:tc>
          <w:tcPr>
            <w:tcW w:w="2494" w:type="dxa"/>
            <w:gridSpan w:val="2"/>
          </w:tcPr>
          <w:p w14:paraId="2A6F7866" w14:textId="77777777" w:rsidR="00640768" w:rsidRDefault="00640768" w:rsidP="002A71FE">
            <w:pPr>
              <w:pStyle w:val="TAL"/>
            </w:pPr>
            <w:r>
              <w:t>boolean</w:t>
            </w:r>
          </w:p>
        </w:tc>
        <w:tc>
          <w:tcPr>
            <w:tcW w:w="487" w:type="dxa"/>
            <w:gridSpan w:val="2"/>
          </w:tcPr>
          <w:p w14:paraId="116AB966" w14:textId="77777777" w:rsidR="00640768" w:rsidRDefault="00640768" w:rsidP="002A71FE">
            <w:pPr>
              <w:pStyle w:val="TAL"/>
            </w:pPr>
            <w:r>
              <w:t>O</w:t>
            </w:r>
          </w:p>
        </w:tc>
        <w:tc>
          <w:tcPr>
            <w:tcW w:w="1067" w:type="dxa"/>
            <w:gridSpan w:val="2"/>
          </w:tcPr>
          <w:p w14:paraId="46573773" w14:textId="77777777" w:rsidR="00640768" w:rsidRDefault="00640768" w:rsidP="002A71FE">
            <w:pPr>
              <w:pStyle w:val="TAL"/>
            </w:pPr>
            <w:r>
              <w:t>0..1</w:t>
            </w:r>
          </w:p>
        </w:tc>
        <w:tc>
          <w:tcPr>
            <w:tcW w:w="2512" w:type="dxa"/>
            <w:gridSpan w:val="2"/>
          </w:tcPr>
          <w:p w14:paraId="1AF715DD" w14:textId="77777777" w:rsidR="00640768" w:rsidRDefault="00640768" w:rsidP="002A71FE">
            <w:pPr>
              <w:pStyle w:val="TAL"/>
            </w:pPr>
            <w:r>
              <w:t>Indicates whether request using the local training data as the testing dataset to calculate the Model Accuracy of the global ML model provided by the consumer. Set to "true" if it is requested, otherwise set to "false".</w:t>
            </w:r>
          </w:p>
          <w:p w14:paraId="140E8605" w14:textId="77777777" w:rsidR="00640768" w:rsidRDefault="00640768" w:rsidP="002A71FE">
            <w:pPr>
              <w:pStyle w:val="TAL"/>
            </w:pPr>
            <w:r>
              <w:t>Default value is "false" if omitted.</w:t>
            </w:r>
          </w:p>
        </w:tc>
        <w:tc>
          <w:tcPr>
            <w:tcW w:w="1349" w:type="dxa"/>
            <w:gridSpan w:val="2"/>
          </w:tcPr>
          <w:p w14:paraId="0C383347" w14:textId="77777777" w:rsidR="00640768" w:rsidRDefault="00640768" w:rsidP="002A71FE">
            <w:pPr>
              <w:pStyle w:val="TAL"/>
              <w:rPr>
                <w:rFonts w:cs="Arial"/>
                <w:szCs w:val="18"/>
              </w:rPr>
            </w:pPr>
          </w:p>
        </w:tc>
      </w:tr>
      <w:tr w:rsidR="00640768" w14:paraId="14045B6B" w14:textId="77777777" w:rsidTr="00635E7C">
        <w:trPr>
          <w:gridAfter w:val="1"/>
          <w:wAfter w:w="36" w:type="dxa"/>
          <w:trHeight w:val="420"/>
          <w:jc w:val="center"/>
        </w:trPr>
        <w:tc>
          <w:tcPr>
            <w:tcW w:w="1693" w:type="dxa"/>
            <w:gridSpan w:val="2"/>
          </w:tcPr>
          <w:p w14:paraId="0E735586" w14:textId="77777777" w:rsidR="00640768" w:rsidRDefault="00640768" w:rsidP="002A71FE">
            <w:pPr>
              <w:pStyle w:val="TAL"/>
            </w:pPr>
            <w:r>
              <w:lastRenderedPageBreak/>
              <w:t>mLTrainRepInfo</w:t>
            </w:r>
          </w:p>
        </w:tc>
        <w:tc>
          <w:tcPr>
            <w:tcW w:w="2494" w:type="dxa"/>
            <w:gridSpan w:val="2"/>
          </w:tcPr>
          <w:p w14:paraId="79A4AABA" w14:textId="77777777" w:rsidR="00640768" w:rsidRDefault="00640768" w:rsidP="002A71FE">
            <w:pPr>
              <w:pStyle w:val="TAL"/>
            </w:pPr>
            <w:r>
              <w:t>MLTrainReportInfo</w:t>
            </w:r>
          </w:p>
        </w:tc>
        <w:tc>
          <w:tcPr>
            <w:tcW w:w="487" w:type="dxa"/>
            <w:gridSpan w:val="2"/>
          </w:tcPr>
          <w:p w14:paraId="3D36927D" w14:textId="77777777" w:rsidR="00640768" w:rsidRDefault="00640768" w:rsidP="002A71FE">
            <w:pPr>
              <w:pStyle w:val="TAL"/>
            </w:pPr>
            <w:r>
              <w:rPr>
                <w:rFonts w:cs="Arial"/>
                <w:szCs w:val="18"/>
                <w:lang w:eastAsia="zh-CN"/>
              </w:rPr>
              <w:t>O</w:t>
            </w:r>
          </w:p>
        </w:tc>
        <w:tc>
          <w:tcPr>
            <w:tcW w:w="1067" w:type="dxa"/>
            <w:gridSpan w:val="2"/>
          </w:tcPr>
          <w:p w14:paraId="719E950E" w14:textId="77777777" w:rsidR="00640768" w:rsidRDefault="00640768" w:rsidP="002A71FE">
            <w:pPr>
              <w:pStyle w:val="TAL"/>
            </w:pPr>
            <w:r>
              <w:rPr>
                <w:rFonts w:cs="Arial"/>
                <w:szCs w:val="18"/>
                <w:lang w:eastAsia="zh-CN"/>
              </w:rPr>
              <w:t>0..1</w:t>
            </w:r>
          </w:p>
        </w:tc>
        <w:tc>
          <w:tcPr>
            <w:tcW w:w="2512" w:type="dxa"/>
            <w:gridSpan w:val="2"/>
          </w:tcPr>
          <w:p w14:paraId="6BC93D82" w14:textId="77777777" w:rsidR="00640768" w:rsidRDefault="00640768" w:rsidP="002A71FE">
            <w:pPr>
              <w:pStyle w:val="TAL"/>
              <w:rPr>
                <w:rFonts w:cs="Arial"/>
                <w:szCs w:val="18"/>
              </w:rPr>
            </w:pPr>
            <w:r>
              <w:rPr>
                <w:rFonts w:cs="Arial"/>
                <w:szCs w:val="18"/>
              </w:rPr>
              <w:t>Indicates the training reporting information.</w:t>
            </w:r>
          </w:p>
          <w:p w14:paraId="22499525" w14:textId="77777777" w:rsidR="00640768" w:rsidRDefault="00640768" w:rsidP="002A71FE">
            <w:pPr>
              <w:pStyle w:val="TAL"/>
            </w:pPr>
            <w:r>
              <w:rPr>
                <w:lang w:eastAsia="ko-KR"/>
              </w:rPr>
              <w:t xml:space="preserve">This attribute can be provided when the </w:t>
            </w:r>
            <w:r>
              <w:t>"notifMethod" attribute within the ReportingInformation structure is set to "ON_EVENT_DETECTION" in the "eventReq" attribute.</w:t>
            </w:r>
          </w:p>
        </w:tc>
        <w:tc>
          <w:tcPr>
            <w:tcW w:w="1349" w:type="dxa"/>
            <w:gridSpan w:val="2"/>
          </w:tcPr>
          <w:p w14:paraId="7BEB7C16" w14:textId="77777777" w:rsidR="00640768" w:rsidRDefault="00640768" w:rsidP="002A71FE">
            <w:pPr>
              <w:pStyle w:val="TAL"/>
              <w:rPr>
                <w:rFonts w:cs="Arial"/>
                <w:szCs w:val="18"/>
              </w:rPr>
            </w:pPr>
          </w:p>
        </w:tc>
      </w:tr>
      <w:tr w:rsidR="00640768" w14:paraId="024E63AA" w14:textId="77777777" w:rsidTr="00635E7C">
        <w:trPr>
          <w:gridAfter w:val="1"/>
          <w:wAfter w:w="36" w:type="dxa"/>
          <w:trHeight w:val="420"/>
          <w:jc w:val="center"/>
        </w:trPr>
        <w:tc>
          <w:tcPr>
            <w:tcW w:w="1693" w:type="dxa"/>
            <w:gridSpan w:val="2"/>
          </w:tcPr>
          <w:p w14:paraId="0633E26E" w14:textId="77777777" w:rsidR="00640768" w:rsidRDefault="00640768" w:rsidP="002A71FE">
            <w:pPr>
              <w:pStyle w:val="TAL"/>
            </w:pPr>
            <w:r>
              <w:t>notifCorreId</w:t>
            </w:r>
          </w:p>
        </w:tc>
        <w:tc>
          <w:tcPr>
            <w:tcW w:w="2494" w:type="dxa"/>
            <w:gridSpan w:val="2"/>
          </w:tcPr>
          <w:p w14:paraId="0F823F2D" w14:textId="77777777" w:rsidR="00640768" w:rsidRDefault="00640768" w:rsidP="002A71FE">
            <w:pPr>
              <w:pStyle w:val="TAL"/>
            </w:pPr>
            <w:r>
              <w:t>string</w:t>
            </w:r>
          </w:p>
        </w:tc>
        <w:tc>
          <w:tcPr>
            <w:tcW w:w="487" w:type="dxa"/>
            <w:gridSpan w:val="2"/>
          </w:tcPr>
          <w:p w14:paraId="12BE5114" w14:textId="77777777" w:rsidR="00640768" w:rsidRDefault="00640768" w:rsidP="002A71FE">
            <w:pPr>
              <w:pStyle w:val="TAL"/>
            </w:pPr>
            <w:r>
              <w:t>M</w:t>
            </w:r>
          </w:p>
        </w:tc>
        <w:tc>
          <w:tcPr>
            <w:tcW w:w="1067" w:type="dxa"/>
            <w:gridSpan w:val="2"/>
          </w:tcPr>
          <w:p w14:paraId="2A393ACB" w14:textId="77777777" w:rsidR="00640768" w:rsidRDefault="00640768" w:rsidP="002A71FE">
            <w:pPr>
              <w:pStyle w:val="TAL"/>
            </w:pPr>
            <w:r>
              <w:t>1</w:t>
            </w:r>
          </w:p>
        </w:tc>
        <w:tc>
          <w:tcPr>
            <w:tcW w:w="2512" w:type="dxa"/>
            <w:gridSpan w:val="2"/>
          </w:tcPr>
          <w:p w14:paraId="70913F02" w14:textId="77777777" w:rsidR="00640768" w:rsidRDefault="00640768" w:rsidP="002A71FE">
            <w:pPr>
              <w:pStyle w:val="TAL"/>
            </w:pPr>
            <w:r>
              <w:t>The value of Notification Correlation ID in the corresponding notification.</w:t>
            </w:r>
          </w:p>
        </w:tc>
        <w:tc>
          <w:tcPr>
            <w:tcW w:w="1349" w:type="dxa"/>
            <w:gridSpan w:val="2"/>
          </w:tcPr>
          <w:p w14:paraId="0F2B1196" w14:textId="77777777" w:rsidR="00640768" w:rsidRDefault="00640768" w:rsidP="002A71FE">
            <w:pPr>
              <w:pStyle w:val="TAL"/>
              <w:rPr>
                <w:rFonts w:cs="Arial"/>
                <w:szCs w:val="18"/>
              </w:rPr>
            </w:pPr>
          </w:p>
        </w:tc>
      </w:tr>
      <w:tr w:rsidR="00640768" w14:paraId="626CCD1C" w14:textId="77777777" w:rsidTr="00635E7C">
        <w:trPr>
          <w:gridAfter w:val="1"/>
          <w:wAfter w:w="36" w:type="dxa"/>
          <w:trHeight w:val="420"/>
          <w:jc w:val="center"/>
        </w:trPr>
        <w:tc>
          <w:tcPr>
            <w:tcW w:w="1693" w:type="dxa"/>
            <w:gridSpan w:val="2"/>
          </w:tcPr>
          <w:p w14:paraId="14521EC4" w14:textId="77777777" w:rsidR="00640768" w:rsidRDefault="00640768" w:rsidP="002A71FE">
            <w:pPr>
              <w:pStyle w:val="TAL"/>
            </w:pPr>
            <w:r>
              <w:t>notifUri</w:t>
            </w:r>
          </w:p>
        </w:tc>
        <w:tc>
          <w:tcPr>
            <w:tcW w:w="2494" w:type="dxa"/>
            <w:gridSpan w:val="2"/>
          </w:tcPr>
          <w:p w14:paraId="2D730CEA" w14:textId="77777777" w:rsidR="00640768" w:rsidRDefault="00640768" w:rsidP="002A71FE">
            <w:pPr>
              <w:pStyle w:val="TAL"/>
            </w:pPr>
            <w:r>
              <w:t>Uri</w:t>
            </w:r>
          </w:p>
        </w:tc>
        <w:tc>
          <w:tcPr>
            <w:tcW w:w="487" w:type="dxa"/>
            <w:gridSpan w:val="2"/>
          </w:tcPr>
          <w:p w14:paraId="31C330F8" w14:textId="77777777" w:rsidR="00640768" w:rsidRDefault="00640768" w:rsidP="002A71FE">
            <w:pPr>
              <w:pStyle w:val="TAL"/>
            </w:pPr>
            <w:r>
              <w:t>M</w:t>
            </w:r>
          </w:p>
        </w:tc>
        <w:tc>
          <w:tcPr>
            <w:tcW w:w="1067" w:type="dxa"/>
            <w:gridSpan w:val="2"/>
          </w:tcPr>
          <w:p w14:paraId="283A6A45" w14:textId="77777777" w:rsidR="00640768" w:rsidRDefault="00640768" w:rsidP="002A71FE">
            <w:pPr>
              <w:pStyle w:val="TAL"/>
            </w:pPr>
            <w:r>
              <w:t>1</w:t>
            </w:r>
          </w:p>
        </w:tc>
        <w:tc>
          <w:tcPr>
            <w:tcW w:w="2512" w:type="dxa"/>
            <w:gridSpan w:val="2"/>
          </w:tcPr>
          <w:p w14:paraId="640B9A2D" w14:textId="77777777" w:rsidR="00640768" w:rsidRDefault="00640768" w:rsidP="002A71FE">
            <w:pPr>
              <w:pStyle w:val="TAL"/>
            </w:pPr>
            <w:r>
              <w:rPr>
                <w:lang w:val="en-US" w:eastAsia="ja-JP"/>
              </w:rPr>
              <w:t>URI at which the NF service consumer requests to receive notifications.</w:t>
            </w:r>
          </w:p>
        </w:tc>
        <w:tc>
          <w:tcPr>
            <w:tcW w:w="1349" w:type="dxa"/>
            <w:gridSpan w:val="2"/>
          </w:tcPr>
          <w:p w14:paraId="2C26AAA2" w14:textId="77777777" w:rsidR="00640768" w:rsidRDefault="00640768" w:rsidP="002A71FE">
            <w:pPr>
              <w:pStyle w:val="TAL"/>
              <w:rPr>
                <w:rFonts w:cs="Arial"/>
                <w:szCs w:val="18"/>
              </w:rPr>
            </w:pPr>
          </w:p>
        </w:tc>
      </w:tr>
      <w:tr w:rsidR="00640768" w14:paraId="41711796" w14:textId="77777777" w:rsidTr="00635E7C">
        <w:trPr>
          <w:gridAfter w:val="1"/>
          <w:wAfter w:w="36" w:type="dxa"/>
          <w:trHeight w:val="420"/>
          <w:jc w:val="center"/>
        </w:trPr>
        <w:tc>
          <w:tcPr>
            <w:tcW w:w="1693" w:type="dxa"/>
            <w:gridSpan w:val="2"/>
          </w:tcPr>
          <w:p w14:paraId="03059739" w14:textId="77777777" w:rsidR="00640768" w:rsidRDefault="00640768" w:rsidP="002A71FE">
            <w:pPr>
              <w:pStyle w:val="TAL"/>
            </w:pPr>
            <w:r>
              <w:t>roundInd</w:t>
            </w:r>
          </w:p>
        </w:tc>
        <w:tc>
          <w:tcPr>
            <w:tcW w:w="2494" w:type="dxa"/>
            <w:gridSpan w:val="2"/>
          </w:tcPr>
          <w:p w14:paraId="08871657" w14:textId="77777777" w:rsidR="00640768" w:rsidRDefault="00640768" w:rsidP="002A71FE">
            <w:pPr>
              <w:pStyle w:val="TAL"/>
            </w:pPr>
            <w:r>
              <w:t>Uinteger</w:t>
            </w:r>
          </w:p>
        </w:tc>
        <w:tc>
          <w:tcPr>
            <w:tcW w:w="487" w:type="dxa"/>
            <w:gridSpan w:val="2"/>
          </w:tcPr>
          <w:p w14:paraId="4170B6AA" w14:textId="77777777" w:rsidR="00640768" w:rsidRDefault="00640768" w:rsidP="002A71FE">
            <w:pPr>
              <w:pStyle w:val="TAL"/>
            </w:pPr>
            <w:r>
              <w:t>O</w:t>
            </w:r>
          </w:p>
        </w:tc>
        <w:tc>
          <w:tcPr>
            <w:tcW w:w="1067" w:type="dxa"/>
            <w:gridSpan w:val="2"/>
          </w:tcPr>
          <w:p w14:paraId="1C1C64ED" w14:textId="77777777" w:rsidR="00640768" w:rsidRDefault="00640768" w:rsidP="002A71FE">
            <w:pPr>
              <w:pStyle w:val="TAL"/>
            </w:pPr>
            <w:r>
              <w:t>0..1</w:t>
            </w:r>
          </w:p>
        </w:tc>
        <w:tc>
          <w:tcPr>
            <w:tcW w:w="2512" w:type="dxa"/>
            <w:gridSpan w:val="2"/>
            <w:vAlign w:val="center"/>
          </w:tcPr>
          <w:p w14:paraId="0858A61A" w14:textId="77777777" w:rsidR="00640768" w:rsidRDefault="00640768" w:rsidP="002A71FE">
            <w:pPr>
              <w:pStyle w:val="TAL"/>
            </w:pPr>
            <w:r>
              <w:t>Indicates the round number of the training in a multi-round training process.</w:t>
            </w:r>
          </w:p>
        </w:tc>
        <w:tc>
          <w:tcPr>
            <w:tcW w:w="1349" w:type="dxa"/>
            <w:gridSpan w:val="2"/>
          </w:tcPr>
          <w:p w14:paraId="4BE8EA4B" w14:textId="77777777" w:rsidR="00640768" w:rsidRDefault="00640768" w:rsidP="002A71FE">
            <w:pPr>
              <w:pStyle w:val="TAL"/>
              <w:rPr>
                <w:rFonts w:cs="Arial"/>
                <w:szCs w:val="18"/>
              </w:rPr>
            </w:pPr>
          </w:p>
        </w:tc>
      </w:tr>
      <w:tr w:rsidR="00640768" w14:paraId="020C3740" w14:textId="77777777" w:rsidTr="00635E7C">
        <w:trPr>
          <w:gridAfter w:val="1"/>
          <w:wAfter w:w="36" w:type="dxa"/>
          <w:trHeight w:val="420"/>
          <w:jc w:val="center"/>
        </w:trPr>
        <w:tc>
          <w:tcPr>
            <w:tcW w:w="1693" w:type="dxa"/>
            <w:gridSpan w:val="2"/>
          </w:tcPr>
          <w:p w14:paraId="2AA2B541" w14:textId="77777777" w:rsidR="00640768" w:rsidRDefault="00640768" w:rsidP="002A71FE">
            <w:pPr>
              <w:pStyle w:val="TAL"/>
            </w:pPr>
            <w:r>
              <w:t>suppFeats</w:t>
            </w:r>
          </w:p>
        </w:tc>
        <w:tc>
          <w:tcPr>
            <w:tcW w:w="2494" w:type="dxa"/>
            <w:gridSpan w:val="2"/>
          </w:tcPr>
          <w:p w14:paraId="3F103756" w14:textId="77777777" w:rsidR="00640768" w:rsidRDefault="00640768" w:rsidP="002A71FE">
            <w:pPr>
              <w:pStyle w:val="TAL"/>
            </w:pPr>
            <w:r>
              <w:t>SupportedFeatures</w:t>
            </w:r>
          </w:p>
        </w:tc>
        <w:tc>
          <w:tcPr>
            <w:tcW w:w="487" w:type="dxa"/>
            <w:gridSpan w:val="2"/>
          </w:tcPr>
          <w:p w14:paraId="6C27A4F9" w14:textId="77777777" w:rsidR="00640768" w:rsidRDefault="00640768" w:rsidP="002A71FE">
            <w:pPr>
              <w:pStyle w:val="TAL"/>
            </w:pPr>
            <w:r>
              <w:t>C</w:t>
            </w:r>
          </w:p>
        </w:tc>
        <w:tc>
          <w:tcPr>
            <w:tcW w:w="1067" w:type="dxa"/>
            <w:gridSpan w:val="2"/>
          </w:tcPr>
          <w:p w14:paraId="47F0D047" w14:textId="77777777" w:rsidR="00640768" w:rsidRDefault="00640768" w:rsidP="002A71FE">
            <w:pPr>
              <w:pStyle w:val="TAL"/>
            </w:pPr>
            <w:r>
              <w:t>0..1</w:t>
            </w:r>
          </w:p>
        </w:tc>
        <w:tc>
          <w:tcPr>
            <w:tcW w:w="2512" w:type="dxa"/>
            <w:gridSpan w:val="2"/>
          </w:tcPr>
          <w:p w14:paraId="7C731C51" w14:textId="77777777" w:rsidR="00640768" w:rsidRDefault="00640768" w:rsidP="002A71FE">
            <w:pPr>
              <w:pStyle w:val="TAL"/>
            </w:pPr>
            <w:r>
              <w:t>List of Supported features used as described in clause 5.5.8.</w:t>
            </w:r>
          </w:p>
          <w:p w14:paraId="6712382C" w14:textId="77777777" w:rsidR="00640768" w:rsidRDefault="00640768" w:rsidP="002A71FE">
            <w:pPr>
              <w:pStyle w:val="TAL"/>
            </w:pPr>
            <w:r>
              <w:t>It shall be supplied by NF service consumer in the POST requests that request the creation of an NWDAF ML Model Training Subscriptions resource and shall be supplied by the NWDAF in the reply of corresponding request.</w:t>
            </w:r>
          </w:p>
        </w:tc>
        <w:tc>
          <w:tcPr>
            <w:tcW w:w="1349" w:type="dxa"/>
            <w:gridSpan w:val="2"/>
          </w:tcPr>
          <w:p w14:paraId="4101EDCA" w14:textId="77777777" w:rsidR="00640768" w:rsidRDefault="00640768" w:rsidP="002A71FE">
            <w:pPr>
              <w:pStyle w:val="TAL"/>
              <w:rPr>
                <w:rFonts w:cs="Arial"/>
                <w:szCs w:val="18"/>
              </w:rPr>
            </w:pPr>
          </w:p>
        </w:tc>
      </w:tr>
      <w:tr w:rsidR="00640768" w14:paraId="31797FD8" w14:textId="77777777" w:rsidTr="00635E7C">
        <w:trPr>
          <w:gridAfter w:val="1"/>
          <w:wAfter w:w="36" w:type="dxa"/>
          <w:trHeight w:val="420"/>
          <w:jc w:val="center"/>
        </w:trPr>
        <w:tc>
          <w:tcPr>
            <w:tcW w:w="1693" w:type="dxa"/>
            <w:gridSpan w:val="2"/>
          </w:tcPr>
          <w:p w14:paraId="29B05610" w14:textId="77777777" w:rsidR="00640768" w:rsidRDefault="00640768" w:rsidP="002A71FE">
            <w:pPr>
              <w:pStyle w:val="TAL"/>
            </w:pPr>
            <w:r>
              <w:t>tgtRepUe</w:t>
            </w:r>
          </w:p>
        </w:tc>
        <w:tc>
          <w:tcPr>
            <w:tcW w:w="2494" w:type="dxa"/>
            <w:gridSpan w:val="2"/>
          </w:tcPr>
          <w:p w14:paraId="6CE2660D" w14:textId="77777777" w:rsidR="00640768" w:rsidRDefault="00640768" w:rsidP="002A71FE">
            <w:pPr>
              <w:pStyle w:val="TAL"/>
            </w:pPr>
            <w:r>
              <w:t>TargetUeInformation</w:t>
            </w:r>
          </w:p>
        </w:tc>
        <w:tc>
          <w:tcPr>
            <w:tcW w:w="487" w:type="dxa"/>
            <w:gridSpan w:val="2"/>
          </w:tcPr>
          <w:p w14:paraId="4471E115" w14:textId="77777777" w:rsidR="00640768" w:rsidRDefault="00640768" w:rsidP="002A71FE">
            <w:pPr>
              <w:pStyle w:val="TAL"/>
            </w:pPr>
            <w:r>
              <w:rPr>
                <w:rFonts w:cs="Arial"/>
                <w:szCs w:val="18"/>
                <w:lang w:eastAsia="zh-CN"/>
              </w:rPr>
              <w:t>O</w:t>
            </w:r>
          </w:p>
        </w:tc>
        <w:tc>
          <w:tcPr>
            <w:tcW w:w="1067" w:type="dxa"/>
            <w:gridSpan w:val="2"/>
          </w:tcPr>
          <w:p w14:paraId="5FD4ACE2" w14:textId="77777777" w:rsidR="00640768" w:rsidRDefault="00640768" w:rsidP="002A71FE">
            <w:pPr>
              <w:pStyle w:val="TAL"/>
            </w:pPr>
            <w:r>
              <w:rPr>
                <w:rFonts w:cs="Arial"/>
                <w:szCs w:val="18"/>
                <w:lang w:eastAsia="zh-CN"/>
              </w:rPr>
              <w:t>0..1</w:t>
            </w:r>
          </w:p>
        </w:tc>
        <w:tc>
          <w:tcPr>
            <w:tcW w:w="2512" w:type="dxa"/>
            <w:gridSpan w:val="2"/>
          </w:tcPr>
          <w:p w14:paraId="7CF93429" w14:textId="77777777" w:rsidR="00640768" w:rsidRDefault="00640768" w:rsidP="002A71FE">
            <w:pPr>
              <w:pStyle w:val="TAL"/>
            </w:pPr>
            <w:r>
              <w:t>Indicates the UE(s) information for which data for ML model training is requested.</w:t>
            </w:r>
          </w:p>
        </w:tc>
        <w:tc>
          <w:tcPr>
            <w:tcW w:w="1349" w:type="dxa"/>
            <w:gridSpan w:val="2"/>
          </w:tcPr>
          <w:p w14:paraId="7F5315D5" w14:textId="77777777" w:rsidR="00640768" w:rsidRDefault="00640768" w:rsidP="002A71FE">
            <w:pPr>
              <w:pStyle w:val="TAL"/>
              <w:rPr>
                <w:rFonts w:cs="Arial"/>
                <w:szCs w:val="18"/>
              </w:rPr>
            </w:pPr>
          </w:p>
        </w:tc>
      </w:tr>
      <w:tr w:rsidR="00E06B31" w:rsidDel="004F4286" w14:paraId="1DB14CD6" w14:textId="77777777" w:rsidTr="002A71FE">
        <w:trPr>
          <w:gridAfter w:val="1"/>
          <w:wAfter w:w="36" w:type="dxa"/>
          <w:trHeight w:val="420"/>
          <w:jc w:val="center"/>
        </w:trPr>
        <w:tc>
          <w:tcPr>
            <w:tcW w:w="1693" w:type="dxa"/>
            <w:gridSpan w:val="2"/>
          </w:tcPr>
          <w:p w14:paraId="1D2A57DD" w14:textId="77777777" w:rsidR="00E06B31" w:rsidDel="004F4286" w:rsidRDefault="00E06B31" w:rsidP="00E06B31">
            <w:pPr>
              <w:pStyle w:val="TAL"/>
            </w:pPr>
            <w:r>
              <w:rPr>
                <w:lang w:eastAsia="zh-CN"/>
              </w:rPr>
              <w:t>skipFlInd</w:t>
            </w:r>
          </w:p>
        </w:tc>
        <w:tc>
          <w:tcPr>
            <w:tcW w:w="2494" w:type="dxa"/>
            <w:gridSpan w:val="2"/>
          </w:tcPr>
          <w:p w14:paraId="7C797D51" w14:textId="77777777" w:rsidR="00E06B31" w:rsidDel="004F4286" w:rsidRDefault="00E06B31" w:rsidP="00E06B31">
            <w:pPr>
              <w:pStyle w:val="TAL"/>
            </w:pPr>
            <w:r>
              <w:rPr>
                <w:rFonts w:hint="eastAsia"/>
                <w:lang w:eastAsia="zh-CN"/>
              </w:rPr>
              <w:t>b</w:t>
            </w:r>
            <w:r>
              <w:rPr>
                <w:lang w:eastAsia="zh-CN"/>
              </w:rPr>
              <w:t>oolean</w:t>
            </w:r>
          </w:p>
        </w:tc>
        <w:tc>
          <w:tcPr>
            <w:tcW w:w="487" w:type="dxa"/>
            <w:gridSpan w:val="2"/>
          </w:tcPr>
          <w:p w14:paraId="5BC989EE" w14:textId="77777777" w:rsidR="00E06B31" w:rsidDel="004F4286" w:rsidRDefault="00E06B31" w:rsidP="00E06B31">
            <w:pPr>
              <w:pStyle w:val="TAL"/>
              <w:rPr>
                <w:rFonts w:cs="Arial"/>
                <w:szCs w:val="18"/>
                <w:lang w:eastAsia="zh-CN"/>
              </w:rPr>
            </w:pPr>
            <w:r>
              <w:rPr>
                <w:rFonts w:cs="Arial" w:hint="eastAsia"/>
                <w:szCs w:val="18"/>
                <w:lang w:eastAsia="zh-CN"/>
              </w:rPr>
              <w:t>O</w:t>
            </w:r>
          </w:p>
        </w:tc>
        <w:tc>
          <w:tcPr>
            <w:tcW w:w="1067" w:type="dxa"/>
            <w:gridSpan w:val="2"/>
          </w:tcPr>
          <w:p w14:paraId="5DBD52E4" w14:textId="77777777" w:rsidR="00E06B31" w:rsidDel="004F4286" w:rsidRDefault="00E06B31" w:rsidP="00E06B31">
            <w:pPr>
              <w:pStyle w:val="TAL"/>
              <w:rPr>
                <w:rFonts w:cs="Arial"/>
                <w:szCs w:val="18"/>
                <w:lang w:eastAsia="zh-CN"/>
              </w:rPr>
            </w:pPr>
            <w:r>
              <w:rPr>
                <w:rFonts w:cs="Arial" w:hint="eastAsia"/>
                <w:szCs w:val="18"/>
                <w:lang w:eastAsia="zh-CN"/>
              </w:rPr>
              <w:t>0</w:t>
            </w:r>
            <w:r>
              <w:rPr>
                <w:rFonts w:cs="Arial"/>
                <w:szCs w:val="18"/>
                <w:lang w:eastAsia="zh-CN"/>
              </w:rPr>
              <w:t>..1</w:t>
            </w:r>
          </w:p>
        </w:tc>
        <w:tc>
          <w:tcPr>
            <w:tcW w:w="2512" w:type="dxa"/>
            <w:gridSpan w:val="2"/>
          </w:tcPr>
          <w:p w14:paraId="4321D017" w14:textId="77777777" w:rsidR="00E06B31" w:rsidRDefault="00E06B31" w:rsidP="00E06B31">
            <w:pPr>
              <w:pStyle w:val="TAL"/>
              <w:rPr>
                <w:lang w:eastAsia="zh-CN"/>
              </w:rPr>
            </w:pPr>
            <w:r>
              <w:rPr>
                <w:rFonts w:hint="eastAsia"/>
                <w:lang w:eastAsia="zh-CN"/>
              </w:rPr>
              <w:t>I</w:t>
            </w:r>
            <w:r>
              <w:rPr>
                <w:lang w:eastAsia="zh-CN"/>
              </w:rPr>
              <w:t>ndicates whether to skip the current FL round or not.</w:t>
            </w:r>
          </w:p>
          <w:p w14:paraId="0338E557" w14:textId="77777777" w:rsidR="00E06B31" w:rsidRDefault="00E06B31" w:rsidP="00E06B31">
            <w:pPr>
              <w:pStyle w:val="TAL"/>
            </w:pPr>
            <w:r>
              <w:t>Set to "true": Skipping the current FL round.</w:t>
            </w:r>
          </w:p>
          <w:p w14:paraId="38C2EC0F" w14:textId="77777777" w:rsidR="00E06B31" w:rsidRDefault="00E06B31" w:rsidP="00E06B31">
            <w:pPr>
              <w:pStyle w:val="TAL"/>
            </w:pPr>
            <w:r>
              <w:t>Set to "false": Not skipping the current FL round.</w:t>
            </w:r>
          </w:p>
          <w:p w14:paraId="28E6D0CC" w14:textId="77777777" w:rsidR="00E06B31" w:rsidDel="004F4286" w:rsidRDefault="00E06B31" w:rsidP="00E06B31">
            <w:pPr>
              <w:pStyle w:val="TAL"/>
            </w:pPr>
            <w:r>
              <w:t>Default value is "false" if omitted.</w:t>
            </w:r>
          </w:p>
        </w:tc>
        <w:tc>
          <w:tcPr>
            <w:tcW w:w="1349" w:type="dxa"/>
            <w:gridSpan w:val="2"/>
          </w:tcPr>
          <w:p w14:paraId="39E4E851" w14:textId="77777777" w:rsidR="00E06B31" w:rsidDel="004F4286" w:rsidRDefault="00E06B31" w:rsidP="00E06B31">
            <w:pPr>
              <w:pStyle w:val="TAL"/>
              <w:rPr>
                <w:rFonts w:cs="Arial"/>
                <w:szCs w:val="18"/>
              </w:rPr>
            </w:pPr>
          </w:p>
        </w:tc>
      </w:tr>
      <w:tr w:rsidR="00640768" w14:paraId="78E12F7B" w14:textId="77777777" w:rsidTr="00635E7C">
        <w:trPr>
          <w:gridAfter w:val="1"/>
          <w:wAfter w:w="36" w:type="dxa"/>
          <w:trHeight w:val="420"/>
          <w:jc w:val="center"/>
        </w:trPr>
        <w:tc>
          <w:tcPr>
            <w:tcW w:w="9602" w:type="dxa"/>
            <w:gridSpan w:val="12"/>
          </w:tcPr>
          <w:p w14:paraId="35DD6650" w14:textId="77777777" w:rsidR="00640768" w:rsidRDefault="00640768" w:rsidP="002A71FE">
            <w:pPr>
              <w:pStyle w:val="TAN"/>
            </w:pPr>
            <w:r w:rsidRPr="008F0F17">
              <w:t>NOTE</w:t>
            </w:r>
            <w:r>
              <w:rPr>
                <w:lang w:eastAsia="zh-CN"/>
              </w:rPr>
              <w:t> </w:t>
            </w:r>
            <w:r>
              <w:rPr>
                <w:lang w:val="en-US" w:eastAsia="zh-CN"/>
              </w:rPr>
              <w:t>1</w:t>
            </w:r>
            <w:r w:rsidRPr="008F0F17">
              <w:t>:</w:t>
            </w:r>
            <w:r w:rsidRPr="008F0F17">
              <w:tab/>
              <w:t>It is up to implementation to determine whether to include the "mlFile" arttribute in the "</w:t>
            </w:r>
            <w:r>
              <w:t>MLEventNotif</w:t>
            </w:r>
            <w:r w:rsidRPr="00D654A6">
              <w:t>" data structure considering ML Model file size, etc.</w:t>
            </w:r>
          </w:p>
          <w:p w14:paraId="09AAEA3A" w14:textId="77777777" w:rsidR="00640768" w:rsidRDefault="00640768" w:rsidP="002A71FE">
            <w:pPr>
              <w:pStyle w:val="TAN"/>
            </w:pPr>
            <w:r>
              <w:rPr>
                <w:rFonts w:eastAsia="等线"/>
              </w:rPr>
              <w:t>NOTE</w:t>
            </w:r>
            <w:r>
              <w:rPr>
                <w:lang w:eastAsia="zh-CN"/>
              </w:rPr>
              <w:t> </w:t>
            </w:r>
            <w:r>
              <w:rPr>
                <w:lang w:val="en-US" w:eastAsia="zh-CN"/>
              </w:rPr>
              <w:t>2</w:t>
            </w:r>
            <w:r w:rsidRPr="008F0F17">
              <w:t>:</w:t>
            </w:r>
            <w:r w:rsidRPr="008F0F17">
              <w:tab/>
            </w:r>
            <w:r w:rsidRPr="00620353">
              <w:t>Only the "</w:t>
            </w:r>
            <w:r>
              <w:t>e</w:t>
            </w:r>
            <w:r>
              <w:rPr>
                <w:rFonts w:hint="eastAsia"/>
              </w:rPr>
              <w:t>vent</w:t>
            </w:r>
            <w:r w:rsidRPr="00620353">
              <w:t>"</w:t>
            </w:r>
            <w:r>
              <w:t>,</w:t>
            </w:r>
            <w:r w:rsidRPr="00620353">
              <w:t xml:space="preserve"> "</w:t>
            </w:r>
            <w:r>
              <w:t>mlFile</w:t>
            </w:r>
            <w:r w:rsidRPr="00620353">
              <w:t>"</w:t>
            </w:r>
            <w:r>
              <w:rPr>
                <w:rFonts w:hint="eastAsia"/>
                <w:lang w:eastAsia="zh-CN"/>
              </w:rPr>
              <w:t>,</w:t>
            </w:r>
            <w:r w:rsidRPr="00620353">
              <w:t xml:space="preserve"> "</w:t>
            </w:r>
            <w:r>
              <w:t>mLFileAddr</w:t>
            </w:r>
            <w:r w:rsidRPr="00620353">
              <w:t>"</w:t>
            </w:r>
            <w:r>
              <w:t>,</w:t>
            </w:r>
            <w:r w:rsidRPr="00620353">
              <w:t xml:space="preserve"> "</w:t>
            </w:r>
            <w:r>
              <w:t>mLModelAdrf</w:t>
            </w:r>
            <w:r w:rsidRPr="00620353">
              <w:t>"</w:t>
            </w:r>
            <w:r>
              <w:t xml:space="preserve">, </w:t>
            </w:r>
            <w:r w:rsidRPr="00620353">
              <w:t>"</w:t>
            </w:r>
            <w:r>
              <w:rPr>
                <w:lang w:eastAsia="zh-CN"/>
              </w:rPr>
              <w:t>modelUniqueId</w:t>
            </w:r>
            <w:r w:rsidRPr="00620353">
              <w:t xml:space="preserve">" </w:t>
            </w:r>
            <w:r>
              <w:t xml:space="preserve">and </w:t>
            </w:r>
            <w:r w:rsidRPr="00620353">
              <w:t>"</w:t>
            </w:r>
            <w:r>
              <w:rPr>
                <w:lang w:eastAsia="ja-JP"/>
              </w:rPr>
              <w:t>useCaseCxt</w:t>
            </w:r>
            <w:r w:rsidRPr="00620353">
              <w:t>"</w:t>
            </w:r>
            <w:r>
              <w:t xml:space="preserve"> </w:t>
            </w:r>
            <w:r w:rsidRPr="00620353">
              <w:t xml:space="preserve">attributes contained in </w:t>
            </w:r>
            <w:r>
              <w:t>MLEventNotif data type are applicable</w:t>
            </w:r>
            <w:r w:rsidRPr="00D654A6">
              <w:t>.</w:t>
            </w:r>
          </w:p>
          <w:p w14:paraId="7CE85A67" w14:textId="77777777" w:rsidR="00640768" w:rsidRDefault="00640768" w:rsidP="002A71FE">
            <w:pPr>
              <w:pStyle w:val="TAN"/>
            </w:pPr>
            <w:r>
              <w:rPr>
                <w:rFonts w:eastAsia="等线"/>
              </w:rPr>
              <w:t>NOTE</w:t>
            </w:r>
            <w:r>
              <w:rPr>
                <w:lang w:eastAsia="zh-CN"/>
              </w:rPr>
              <w:t> </w:t>
            </w:r>
            <w:r>
              <w:rPr>
                <w:lang w:val="en-US" w:eastAsia="zh-CN"/>
              </w:rPr>
              <w:t>3</w:t>
            </w:r>
            <w:r w:rsidRPr="008F0F17">
              <w:t>:</w:t>
            </w:r>
            <w:r w:rsidRPr="008F0F17">
              <w:tab/>
            </w:r>
            <w:r>
              <w:t xml:space="preserve">The </w:t>
            </w:r>
            <w:r w:rsidRPr="00620353">
              <w:t>"</w:t>
            </w:r>
            <w:r>
              <w:rPr>
                <w:lang w:eastAsia="ja-JP"/>
              </w:rPr>
              <w:t>useCaseCxt</w:t>
            </w:r>
            <w:r w:rsidRPr="00620353">
              <w:t>"</w:t>
            </w:r>
            <w:r>
              <w:t xml:space="preserve"> attribute</w:t>
            </w:r>
            <w:r w:rsidRPr="00620353">
              <w:t xml:space="preserve"> contained in </w:t>
            </w:r>
            <w:r>
              <w:rPr>
                <w:lang w:eastAsia="en-GB"/>
              </w:rPr>
              <w:t>MLEventSubscription</w:t>
            </w:r>
            <w:r>
              <w:t xml:space="preserve"> data type is not applicable</w:t>
            </w:r>
            <w:r w:rsidRPr="00D654A6">
              <w:t>.</w:t>
            </w:r>
          </w:p>
        </w:tc>
      </w:tr>
    </w:tbl>
    <w:p w14:paraId="71E76A81" w14:textId="77777777" w:rsidR="00640768" w:rsidRDefault="00640768" w:rsidP="00640768"/>
    <w:p w14:paraId="55EDDB8F" w14:textId="77777777" w:rsidR="00D654A6" w:rsidRDefault="00D654A6" w:rsidP="00D654A6">
      <w:pPr>
        <w:pStyle w:val="5"/>
      </w:pPr>
      <w:bookmarkStart w:id="14821" w:name="_Toc136562698"/>
      <w:bookmarkStart w:id="14822" w:name="_Toc136687413"/>
      <w:bookmarkStart w:id="14823" w:name="_Hlk138766357"/>
      <w:bookmarkStart w:id="14824" w:name="_Toc136562699"/>
      <w:bookmarkStart w:id="14825" w:name="_Toc138754533"/>
      <w:bookmarkStart w:id="14826" w:name="_Toc145706026"/>
      <w:bookmarkStart w:id="14827" w:name="_Toc148522943"/>
      <w:bookmarkStart w:id="14828" w:name="_Toc138754531"/>
      <w:bookmarkStart w:id="14829" w:name="_Toc136562697"/>
      <w:bookmarkStart w:id="14830" w:name="_Toc164921131"/>
      <w:bookmarkStart w:id="14831" w:name="_Toc170120673"/>
      <w:bookmarkStart w:id="14832" w:name="_Toc175858918"/>
      <w:bookmarkStart w:id="14833" w:name="_Toc175859991"/>
      <w:bookmarkStart w:id="14834" w:name="_Toc180606281"/>
      <w:bookmarkStart w:id="14835" w:name="_Toc185517542"/>
      <w:bookmarkStart w:id="14836" w:name="_Toc191576594"/>
      <w:bookmarkStart w:id="14837" w:name="_Toc191577334"/>
      <w:bookmarkStart w:id="14838" w:name="_Toc192880404"/>
      <w:bookmarkStart w:id="14839" w:name="_Toc195815293"/>
      <w:bookmarkStart w:id="14840" w:name="_Toc199453260"/>
      <w:r>
        <w:lastRenderedPageBreak/>
        <w:t>5.5.6.2.3</w:t>
      </w:r>
      <w:r>
        <w:tab/>
        <w:t xml:space="preserve">Type </w:t>
      </w:r>
      <w:r>
        <w:rPr>
          <w:rFonts w:eastAsia="等线"/>
        </w:rPr>
        <w:t>NwdafMLModelTrainSubscPatch</w:t>
      </w:r>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p>
    <w:p w14:paraId="210CF12A" w14:textId="77777777" w:rsidR="00640768" w:rsidRDefault="00640768" w:rsidP="00640768">
      <w:pPr>
        <w:pStyle w:val="TH"/>
        <w:overflowPunct w:val="0"/>
        <w:autoSpaceDE w:val="0"/>
        <w:autoSpaceDN w:val="0"/>
        <w:adjustRightInd w:val="0"/>
        <w:textAlignment w:val="baseline"/>
        <w:rPr>
          <w:rFonts w:eastAsia="MS Mincho"/>
        </w:rPr>
      </w:pPr>
      <w:r>
        <w:rPr>
          <w:rFonts w:eastAsia="MS Mincho"/>
        </w:rPr>
        <w:t xml:space="preserve">Table 5.5.6.2.3-1: Definition of type </w:t>
      </w:r>
      <w:r>
        <w:rPr>
          <w:rFonts w:eastAsia="等线"/>
        </w:rPr>
        <w:t>NwdafMLModelTrainSubscPatch</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640768" w14:paraId="7AD3E6E8" w14:textId="77777777" w:rsidTr="002A71FE">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088CA789" w14:textId="77777777" w:rsidR="00640768" w:rsidRDefault="00640768" w:rsidP="002A71FE">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1703ECFE" w14:textId="77777777" w:rsidR="00640768" w:rsidRDefault="00640768" w:rsidP="002A71FE">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0CA784EC" w14:textId="77777777" w:rsidR="00640768" w:rsidRDefault="00640768" w:rsidP="002A71FE">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11A31180" w14:textId="77777777" w:rsidR="00640768" w:rsidRDefault="00640768" w:rsidP="002A71FE">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37E32515" w14:textId="77777777" w:rsidR="00640768" w:rsidRDefault="00640768" w:rsidP="002A71FE">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20125858" w14:textId="77777777" w:rsidR="00640768" w:rsidRDefault="00640768" w:rsidP="002A71FE">
            <w:pPr>
              <w:pStyle w:val="TAH"/>
              <w:rPr>
                <w:rFonts w:cs="Arial"/>
                <w:szCs w:val="18"/>
              </w:rPr>
            </w:pPr>
            <w:r>
              <w:rPr>
                <w:rFonts w:cs="Arial"/>
                <w:szCs w:val="18"/>
              </w:rPr>
              <w:t>Applicability</w:t>
            </w:r>
          </w:p>
        </w:tc>
      </w:tr>
      <w:tr w:rsidR="00640768" w14:paraId="14F85E8C"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E4E424D" w14:textId="77777777" w:rsidR="00640768" w:rsidRDefault="00640768" w:rsidP="002A71FE">
            <w:pPr>
              <w:pStyle w:val="TAL"/>
            </w:pPr>
            <w:r>
              <w:t>eventReq</w:t>
            </w:r>
          </w:p>
        </w:tc>
        <w:tc>
          <w:tcPr>
            <w:tcW w:w="2494" w:type="dxa"/>
            <w:tcBorders>
              <w:top w:val="single" w:sz="6" w:space="0" w:color="auto"/>
              <w:left w:val="single" w:sz="6" w:space="0" w:color="auto"/>
              <w:bottom w:val="single" w:sz="6" w:space="0" w:color="auto"/>
              <w:right w:val="single" w:sz="6" w:space="0" w:color="auto"/>
            </w:tcBorders>
          </w:tcPr>
          <w:p w14:paraId="0B524CBB" w14:textId="77777777" w:rsidR="00640768" w:rsidRDefault="00640768" w:rsidP="002A71FE">
            <w:pPr>
              <w:pStyle w:val="TAL"/>
              <w:rPr>
                <w:lang w:eastAsia="zh-CN"/>
              </w:rPr>
            </w:pPr>
            <w:r>
              <w:t>ReportingInformation</w:t>
            </w:r>
          </w:p>
        </w:tc>
        <w:tc>
          <w:tcPr>
            <w:tcW w:w="487" w:type="dxa"/>
            <w:tcBorders>
              <w:top w:val="single" w:sz="6" w:space="0" w:color="auto"/>
              <w:left w:val="single" w:sz="6" w:space="0" w:color="auto"/>
              <w:bottom w:val="single" w:sz="6" w:space="0" w:color="auto"/>
              <w:right w:val="single" w:sz="6" w:space="0" w:color="auto"/>
            </w:tcBorders>
          </w:tcPr>
          <w:p w14:paraId="6F5663B8" w14:textId="77777777" w:rsidR="00640768" w:rsidRDefault="00640768" w:rsidP="002A71FE">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603C761D" w14:textId="77777777" w:rsidR="00640768" w:rsidRDefault="00640768" w:rsidP="002A71FE">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0A8C2283" w14:textId="77777777" w:rsidR="00640768" w:rsidRDefault="00640768" w:rsidP="002A71FE">
            <w:pPr>
              <w:pStyle w:val="TAL"/>
            </w:pPr>
            <w:r>
              <w:t>Reporting requirement information of the subscription.</w:t>
            </w:r>
          </w:p>
          <w:p w14:paraId="3D14A540" w14:textId="77777777" w:rsidR="00640768" w:rsidRDefault="00640768" w:rsidP="002A71FE">
            <w:pPr>
              <w:pStyle w:val="TAL"/>
              <w:rPr>
                <w:rFonts w:cs="Arial"/>
                <w:szCs w:val="18"/>
                <w:lang w:eastAsia="zh-CN"/>
              </w:rPr>
            </w:pPr>
            <w:r>
              <w:t>If omitted, the default values within the ReportingInformation data type apply.</w:t>
            </w:r>
          </w:p>
        </w:tc>
        <w:tc>
          <w:tcPr>
            <w:tcW w:w="1349" w:type="dxa"/>
            <w:tcBorders>
              <w:top w:val="single" w:sz="6" w:space="0" w:color="auto"/>
              <w:left w:val="single" w:sz="6" w:space="0" w:color="auto"/>
              <w:bottom w:val="single" w:sz="6" w:space="0" w:color="auto"/>
              <w:right w:val="single" w:sz="6" w:space="0" w:color="auto"/>
            </w:tcBorders>
          </w:tcPr>
          <w:p w14:paraId="5C1461CA" w14:textId="77777777" w:rsidR="00640768" w:rsidRDefault="00640768" w:rsidP="002A71FE">
            <w:pPr>
              <w:pStyle w:val="TAL"/>
              <w:rPr>
                <w:rFonts w:cs="Arial"/>
                <w:szCs w:val="18"/>
              </w:rPr>
            </w:pPr>
          </w:p>
        </w:tc>
      </w:tr>
      <w:tr w:rsidR="00640768" w14:paraId="0E7D55A5"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74FE45F" w14:textId="77777777" w:rsidR="00640768" w:rsidRDefault="00640768" w:rsidP="002A71FE">
            <w:pPr>
              <w:pStyle w:val="TAL"/>
            </w:pPr>
            <w:r>
              <w:t>mLModelInfos</w:t>
            </w:r>
          </w:p>
        </w:tc>
        <w:tc>
          <w:tcPr>
            <w:tcW w:w="2494" w:type="dxa"/>
            <w:tcBorders>
              <w:top w:val="single" w:sz="6" w:space="0" w:color="auto"/>
              <w:left w:val="single" w:sz="6" w:space="0" w:color="auto"/>
              <w:bottom w:val="single" w:sz="6" w:space="0" w:color="auto"/>
              <w:right w:val="single" w:sz="6" w:space="0" w:color="auto"/>
            </w:tcBorders>
          </w:tcPr>
          <w:p w14:paraId="6EF8DD3C" w14:textId="77777777" w:rsidR="00640768" w:rsidRDefault="00640768" w:rsidP="002A71FE">
            <w:pPr>
              <w:pStyle w:val="TAL"/>
            </w:pPr>
            <w:r>
              <w:t>array(MLEventNotif)</w:t>
            </w:r>
          </w:p>
        </w:tc>
        <w:tc>
          <w:tcPr>
            <w:tcW w:w="487" w:type="dxa"/>
            <w:tcBorders>
              <w:top w:val="single" w:sz="6" w:space="0" w:color="auto"/>
              <w:left w:val="single" w:sz="6" w:space="0" w:color="auto"/>
              <w:bottom w:val="single" w:sz="6" w:space="0" w:color="auto"/>
              <w:right w:val="single" w:sz="6" w:space="0" w:color="auto"/>
            </w:tcBorders>
          </w:tcPr>
          <w:p w14:paraId="5C4C46FF"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54C9CBE" w14:textId="77777777" w:rsidR="00640768" w:rsidRDefault="00640768" w:rsidP="002A71FE">
            <w:pPr>
              <w:pStyle w:val="TAL"/>
            </w:pPr>
            <w:r>
              <w:t>1..N</w:t>
            </w:r>
          </w:p>
        </w:tc>
        <w:tc>
          <w:tcPr>
            <w:tcW w:w="2512" w:type="dxa"/>
            <w:tcBorders>
              <w:top w:val="single" w:sz="6" w:space="0" w:color="auto"/>
              <w:left w:val="single" w:sz="6" w:space="0" w:color="auto"/>
              <w:bottom w:val="single" w:sz="6" w:space="0" w:color="auto"/>
              <w:right w:val="single" w:sz="6" w:space="0" w:color="auto"/>
            </w:tcBorders>
          </w:tcPr>
          <w:p w14:paraId="17262BBF" w14:textId="77777777" w:rsidR="00640768" w:rsidRDefault="00640768" w:rsidP="002A71FE">
            <w:pPr>
              <w:pStyle w:val="TAL"/>
            </w:pPr>
            <w:r>
              <w:t>Each element contains ML Model information for a specific analytics type.</w:t>
            </w:r>
            <w:r>
              <w:rPr>
                <w:lang w:eastAsia="zh-CN"/>
              </w:rPr>
              <w:t xml:space="preserve"> (NOTE </w:t>
            </w:r>
            <w:r>
              <w:rPr>
                <w:lang w:val="en-US" w:eastAsia="zh-CN"/>
              </w:rPr>
              <w:t>1</w:t>
            </w:r>
            <w:r>
              <w:rPr>
                <w:lang w:eastAsia="zh-CN"/>
              </w:rPr>
              <w:t>)</w:t>
            </w:r>
            <w:r>
              <w:rPr>
                <w:rFonts w:eastAsia="等线"/>
              </w:rPr>
              <w:t xml:space="preserve"> (NOTE</w:t>
            </w:r>
            <w:r>
              <w:rPr>
                <w:lang w:eastAsia="zh-CN"/>
              </w:rPr>
              <w:t> </w:t>
            </w:r>
            <w:r>
              <w:rPr>
                <w:lang w:val="en-US" w:eastAsia="zh-CN"/>
              </w:rPr>
              <w:t>2</w:t>
            </w:r>
            <w:r>
              <w:rPr>
                <w:rFonts w:eastAsia="等线"/>
              </w:rPr>
              <w:t>)</w:t>
            </w:r>
          </w:p>
        </w:tc>
        <w:tc>
          <w:tcPr>
            <w:tcW w:w="1349" w:type="dxa"/>
            <w:tcBorders>
              <w:top w:val="single" w:sz="6" w:space="0" w:color="auto"/>
              <w:left w:val="single" w:sz="6" w:space="0" w:color="auto"/>
              <w:bottom w:val="single" w:sz="6" w:space="0" w:color="auto"/>
              <w:right w:val="single" w:sz="6" w:space="0" w:color="auto"/>
            </w:tcBorders>
          </w:tcPr>
          <w:p w14:paraId="2E6908A4" w14:textId="77777777" w:rsidR="00640768" w:rsidRDefault="00640768" w:rsidP="002A71FE">
            <w:pPr>
              <w:pStyle w:val="TAL"/>
              <w:rPr>
                <w:rFonts w:cs="Arial"/>
                <w:szCs w:val="18"/>
              </w:rPr>
            </w:pPr>
          </w:p>
        </w:tc>
      </w:tr>
      <w:tr w:rsidR="00640768" w14:paraId="4DD00EBC"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94B5B27" w14:textId="77777777" w:rsidR="00640768" w:rsidRDefault="00640768" w:rsidP="002A71FE">
            <w:pPr>
              <w:pStyle w:val="TAL"/>
            </w:pPr>
            <w:r>
              <w:t>mLModelTrainInfos</w:t>
            </w:r>
          </w:p>
        </w:tc>
        <w:tc>
          <w:tcPr>
            <w:tcW w:w="2494" w:type="dxa"/>
            <w:tcBorders>
              <w:top w:val="single" w:sz="6" w:space="0" w:color="auto"/>
              <w:left w:val="single" w:sz="6" w:space="0" w:color="auto"/>
              <w:bottom w:val="single" w:sz="6" w:space="0" w:color="auto"/>
              <w:right w:val="single" w:sz="6" w:space="0" w:color="auto"/>
            </w:tcBorders>
          </w:tcPr>
          <w:p w14:paraId="5AF4DA8E" w14:textId="77777777" w:rsidR="00640768" w:rsidRDefault="00640768" w:rsidP="002A71FE">
            <w:pPr>
              <w:pStyle w:val="TAL"/>
            </w:pPr>
            <w:r>
              <w:t>array(MLModelTrainInfo)</w:t>
            </w:r>
          </w:p>
        </w:tc>
        <w:tc>
          <w:tcPr>
            <w:tcW w:w="487" w:type="dxa"/>
            <w:tcBorders>
              <w:top w:val="single" w:sz="6" w:space="0" w:color="auto"/>
              <w:left w:val="single" w:sz="6" w:space="0" w:color="auto"/>
              <w:bottom w:val="single" w:sz="6" w:space="0" w:color="auto"/>
              <w:right w:val="single" w:sz="6" w:space="0" w:color="auto"/>
            </w:tcBorders>
          </w:tcPr>
          <w:p w14:paraId="7E716F4B"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0C79E29" w14:textId="77777777" w:rsidR="00640768" w:rsidRDefault="00640768" w:rsidP="002A71FE">
            <w:pPr>
              <w:pStyle w:val="TAL"/>
            </w:pPr>
            <w:r>
              <w:t>1..N</w:t>
            </w:r>
          </w:p>
        </w:tc>
        <w:tc>
          <w:tcPr>
            <w:tcW w:w="2512" w:type="dxa"/>
            <w:tcBorders>
              <w:top w:val="single" w:sz="6" w:space="0" w:color="auto"/>
              <w:left w:val="single" w:sz="6" w:space="0" w:color="auto"/>
              <w:bottom w:val="single" w:sz="6" w:space="0" w:color="auto"/>
              <w:right w:val="single" w:sz="6" w:space="0" w:color="auto"/>
            </w:tcBorders>
          </w:tcPr>
          <w:p w14:paraId="650B65EE" w14:textId="77777777" w:rsidR="00640768" w:rsidRDefault="00640768" w:rsidP="002A71FE">
            <w:pPr>
              <w:pStyle w:val="TAL"/>
            </w:pPr>
            <w:r>
              <w:t>Each element represents the ML Model training information, include requirement on data availability and time availability, training filter information.</w:t>
            </w:r>
          </w:p>
        </w:tc>
        <w:tc>
          <w:tcPr>
            <w:tcW w:w="1349" w:type="dxa"/>
            <w:tcBorders>
              <w:top w:val="single" w:sz="6" w:space="0" w:color="auto"/>
              <w:left w:val="single" w:sz="6" w:space="0" w:color="auto"/>
              <w:bottom w:val="single" w:sz="6" w:space="0" w:color="auto"/>
              <w:right w:val="single" w:sz="6" w:space="0" w:color="auto"/>
            </w:tcBorders>
          </w:tcPr>
          <w:p w14:paraId="01524FE7" w14:textId="77777777" w:rsidR="00640768" w:rsidRDefault="00640768" w:rsidP="002A71FE">
            <w:pPr>
              <w:pStyle w:val="TAL"/>
              <w:rPr>
                <w:rFonts w:cs="Arial"/>
                <w:szCs w:val="18"/>
              </w:rPr>
            </w:pPr>
          </w:p>
        </w:tc>
      </w:tr>
      <w:tr w:rsidR="00640768" w14:paraId="0BDF050E"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1D21685" w14:textId="77777777" w:rsidR="00640768" w:rsidRDefault="00640768" w:rsidP="002A71FE">
            <w:pPr>
              <w:pStyle w:val="TAL"/>
            </w:pPr>
            <w:r>
              <w:t>mLPreFlag</w:t>
            </w:r>
          </w:p>
        </w:tc>
        <w:tc>
          <w:tcPr>
            <w:tcW w:w="2494" w:type="dxa"/>
            <w:tcBorders>
              <w:top w:val="single" w:sz="6" w:space="0" w:color="auto"/>
              <w:left w:val="single" w:sz="6" w:space="0" w:color="auto"/>
              <w:bottom w:val="single" w:sz="6" w:space="0" w:color="auto"/>
              <w:right w:val="single" w:sz="6" w:space="0" w:color="auto"/>
            </w:tcBorders>
          </w:tcPr>
          <w:p w14:paraId="33B6B18D" w14:textId="77777777" w:rsidR="00640768" w:rsidRDefault="00640768" w:rsidP="002A71FE">
            <w:pPr>
              <w:pStyle w:val="TAL"/>
            </w:pPr>
            <w:r>
              <w:t>boolean</w:t>
            </w:r>
          </w:p>
        </w:tc>
        <w:tc>
          <w:tcPr>
            <w:tcW w:w="487" w:type="dxa"/>
            <w:tcBorders>
              <w:top w:val="single" w:sz="6" w:space="0" w:color="auto"/>
              <w:left w:val="single" w:sz="6" w:space="0" w:color="auto"/>
              <w:bottom w:val="single" w:sz="6" w:space="0" w:color="auto"/>
              <w:right w:val="single" w:sz="6" w:space="0" w:color="auto"/>
            </w:tcBorders>
          </w:tcPr>
          <w:p w14:paraId="02C641C6"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0AD5EA5A" w14:textId="77777777" w:rsidR="00640768" w:rsidRDefault="00640768" w:rsidP="002A71FE">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4B8C329F" w14:textId="77777777" w:rsidR="00640768" w:rsidRDefault="00640768" w:rsidP="002A71FE">
            <w:pPr>
              <w:pStyle w:val="TAL"/>
            </w:pPr>
            <w:r>
              <w:t>Indicates whether the subscription is for preparation of ML Model training. Set to "true" if it is for ML training preparation, otherwise set to "false".</w:t>
            </w:r>
          </w:p>
        </w:tc>
        <w:tc>
          <w:tcPr>
            <w:tcW w:w="1349" w:type="dxa"/>
            <w:tcBorders>
              <w:top w:val="single" w:sz="6" w:space="0" w:color="auto"/>
              <w:left w:val="single" w:sz="6" w:space="0" w:color="auto"/>
              <w:bottom w:val="single" w:sz="6" w:space="0" w:color="auto"/>
              <w:right w:val="single" w:sz="6" w:space="0" w:color="auto"/>
            </w:tcBorders>
          </w:tcPr>
          <w:p w14:paraId="5C7EE9DF" w14:textId="77777777" w:rsidR="00640768" w:rsidRDefault="00640768" w:rsidP="002A71FE">
            <w:pPr>
              <w:pStyle w:val="TAL"/>
              <w:rPr>
                <w:rFonts w:cs="Arial"/>
                <w:szCs w:val="18"/>
              </w:rPr>
            </w:pPr>
          </w:p>
        </w:tc>
      </w:tr>
      <w:tr w:rsidR="00640768" w14:paraId="63A0B53E"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5D192ED" w14:textId="77777777" w:rsidR="00640768" w:rsidRDefault="00640768" w:rsidP="002A71FE">
            <w:pPr>
              <w:pStyle w:val="TAL"/>
            </w:pPr>
            <w:r>
              <w:rPr>
                <w:color w:val="000000"/>
                <w:lang w:val="en-US" w:eastAsia="zh-CN"/>
              </w:rPr>
              <w:t>mLAccChkFlg</w:t>
            </w:r>
          </w:p>
        </w:tc>
        <w:tc>
          <w:tcPr>
            <w:tcW w:w="2494" w:type="dxa"/>
            <w:tcBorders>
              <w:top w:val="single" w:sz="6" w:space="0" w:color="auto"/>
              <w:left w:val="single" w:sz="6" w:space="0" w:color="auto"/>
              <w:bottom w:val="single" w:sz="6" w:space="0" w:color="auto"/>
              <w:right w:val="single" w:sz="6" w:space="0" w:color="auto"/>
            </w:tcBorders>
          </w:tcPr>
          <w:p w14:paraId="53FE4159" w14:textId="77777777" w:rsidR="00640768" w:rsidRDefault="00640768" w:rsidP="002A71FE">
            <w:pPr>
              <w:pStyle w:val="TAL"/>
            </w:pPr>
            <w:r>
              <w:t>boolean</w:t>
            </w:r>
          </w:p>
        </w:tc>
        <w:tc>
          <w:tcPr>
            <w:tcW w:w="487" w:type="dxa"/>
            <w:tcBorders>
              <w:top w:val="single" w:sz="6" w:space="0" w:color="auto"/>
              <w:left w:val="single" w:sz="6" w:space="0" w:color="auto"/>
              <w:bottom w:val="single" w:sz="6" w:space="0" w:color="auto"/>
              <w:right w:val="single" w:sz="6" w:space="0" w:color="auto"/>
            </w:tcBorders>
          </w:tcPr>
          <w:p w14:paraId="5C1DD676"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FB9529E" w14:textId="77777777" w:rsidR="00640768" w:rsidRDefault="00640768" w:rsidP="002A71FE">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03A36ADE" w14:textId="77777777" w:rsidR="00640768" w:rsidRDefault="00640768" w:rsidP="002A71FE">
            <w:pPr>
              <w:pStyle w:val="TAL"/>
            </w:pPr>
            <w:r>
              <w:t>Indicates whether request using the local training data as the testing dataset to calculate the Model Accuracy of the global ML model provided by the consumer. Set to "true" if it is requested, otherwise set to "false".</w:t>
            </w:r>
          </w:p>
        </w:tc>
        <w:tc>
          <w:tcPr>
            <w:tcW w:w="1349" w:type="dxa"/>
            <w:tcBorders>
              <w:top w:val="single" w:sz="6" w:space="0" w:color="auto"/>
              <w:left w:val="single" w:sz="6" w:space="0" w:color="auto"/>
              <w:bottom w:val="single" w:sz="6" w:space="0" w:color="auto"/>
              <w:right w:val="single" w:sz="6" w:space="0" w:color="auto"/>
            </w:tcBorders>
          </w:tcPr>
          <w:p w14:paraId="2F4776AE" w14:textId="77777777" w:rsidR="00640768" w:rsidRDefault="00640768" w:rsidP="002A71FE">
            <w:pPr>
              <w:pStyle w:val="TAL"/>
              <w:rPr>
                <w:rFonts w:cs="Arial"/>
                <w:szCs w:val="18"/>
              </w:rPr>
            </w:pPr>
          </w:p>
        </w:tc>
      </w:tr>
      <w:tr w:rsidR="00640768" w14:paraId="3A693882"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7560908" w14:textId="77777777" w:rsidR="00640768" w:rsidRDefault="00640768" w:rsidP="002A71FE">
            <w:pPr>
              <w:pStyle w:val="TAL"/>
            </w:pPr>
            <w:r>
              <w:t>mLTrainRepInfo</w:t>
            </w:r>
          </w:p>
        </w:tc>
        <w:tc>
          <w:tcPr>
            <w:tcW w:w="2494" w:type="dxa"/>
            <w:tcBorders>
              <w:top w:val="single" w:sz="6" w:space="0" w:color="auto"/>
              <w:left w:val="single" w:sz="6" w:space="0" w:color="auto"/>
              <w:bottom w:val="single" w:sz="6" w:space="0" w:color="auto"/>
              <w:right w:val="single" w:sz="6" w:space="0" w:color="auto"/>
            </w:tcBorders>
          </w:tcPr>
          <w:p w14:paraId="2AA534E6" w14:textId="77777777" w:rsidR="00640768" w:rsidRDefault="00640768" w:rsidP="002A71FE">
            <w:pPr>
              <w:pStyle w:val="TAL"/>
            </w:pPr>
            <w:r>
              <w:t>MLTrainReportInfo</w:t>
            </w:r>
          </w:p>
        </w:tc>
        <w:tc>
          <w:tcPr>
            <w:tcW w:w="487" w:type="dxa"/>
            <w:tcBorders>
              <w:top w:val="single" w:sz="6" w:space="0" w:color="auto"/>
              <w:left w:val="single" w:sz="6" w:space="0" w:color="auto"/>
              <w:bottom w:val="single" w:sz="6" w:space="0" w:color="auto"/>
              <w:right w:val="single" w:sz="6" w:space="0" w:color="auto"/>
            </w:tcBorders>
          </w:tcPr>
          <w:p w14:paraId="1EEB2FDA" w14:textId="77777777" w:rsidR="00640768" w:rsidRDefault="00640768" w:rsidP="002A71FE">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3F977EEF" w14:textId="77777777" w:rsidR="00640768" w:rsidRDefault="00640768" w:rsidP="002A71FE">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31ED6E44" w14:textId="77777777" w:rsidR="00640768" w:rsidRDefault="00640768" w:rsidP="002A71FE">
            <w:pPr>
              <w:pStyle w:val="TAL"/>
              <w:rPr>
                <w:rFonts w:cs="Arial"/>
                <w:szCs w:val="18"/>
              </w:rPr>
            </w:pPr>
            <w:r>
              <w:rPr>
                <w:rFonts w:cs="Arial"/>
                <w:szCs w:val="18"/>
              </w:rPr>
              <w:t>Indicates the training reporting information.</w:t>
            </w:r>
          </w:p>
          <w:p w14:paraId="7CABFF91" w14:textId="77777777" w:rsidR="00640768" w:rsidRDefault="00640768" w:rsidP="002A71FE">
            <w:pPr>
              <w:pStyle w:val="TAL"/>
            </w:pPr>
            <w:r>
              <w:rPr>
                <w:lang w:eastAsia="ko-KR"/>
              </w:rPr>
              <w:t xml:space="preserve">This attribute can be provided when the </w:t>
            </w:r>
            <w:r>
              <w:t>"notifMethod" attribute within the ReportingInformation structure is set to "ON_EVENT_DETECTION" in the "eventReq" attribute.</w:t>
            </w:r>
          </w:p>
        </w:tc>
        <w:tc>
          <w:tcPr>
            <w:tcW w:w="1349" w:type="dxa"/>
            <w:tcBorders>
              <w:top w:val="single" w:sz="6" w:space="0" w:color="auto"/>
              <w:left w:val="single" w:sz="6" w:space="0" w:color="auto"/>
              <w:bottom w:val="single" w:sz="6" w:space="0" w:color="auto"/>
              <w:right w:val="single" w:sz="6" w:space="0" w:color="auto"/>
            </w:tcBorders>
          </w:tcPr>
          <w:p w14:paraId="6D7847D9" w14:textId="77777777" w:rsidR="00640768" w:rsidRDefault="00640768" w:rsidP="002A71FE">
            <w:pPr>
              <w:pStyle w:val="TAL"/>
              <w:rPr>
                <w:rFonts w:cs="Arial"/>
                <w:szCs w:val="18"/>
              </w:rPr>
            </w:pPr>
          </w:p>
        </w:tc>
      </w:tr>
      <w:tr w:rsidR="007862A2" w14:paraId="03A40B52"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1A9A39F" w14:textId="77777777" w:rsidR="007862A2" w:rsidRDefault="007862A2" w:rsidP="007862A2">
            <w:pPr>
              <w:pStyle w:val="TAL"/>
            </w:pPr>
            <w:r>
              <w:t>notifUri</w:t>
            </w:r>
          </w:p>
        </w:tc>
        <w:tc>
          <w:tcPr>
            <w:tcW w:w="2494" w:type="dxa"/>
            <w:tcBorders>
              <w:top w:val="single" w:sz="6" w:space="0" w:color="auto"/>
              <w:left w:val="single" w:sz="6" w:space="0" w:color="auto"/>
              <w:bottom w:val="single" w:sz="6" w:space="0" w:color="auto"/>
              <w:right w:val="single" w:sz="6" w:space="0" w:color="auto"/>
            </w:tcBorders>
          </w:tcPr>
          <w:p w14:paraId="13F70725" w14:textId="77777777" w:rsidR="007862A2" w:rsidRDefault="007862A2" w:rsidP="007862A2">
            <w:pPr>
              <w:pStyle w:val="TAL"/>
            </w:pPr>
            <w:r>
              <w:t>Uri</w:t>
            </w:r>
          </w:p>
        </w:tc>
        <w:tc>
          <w:tcPr>
            <w:tcW w:w="487" w:type="dxa"/>
            <w:tcBorders>
              <w:top w:val="single" w:sz="6" w:space="0" w:color="auto"/>
              <w:left w:val="single" w:sz="6" w:space="0" w:color="auto"/>
              <w:bottom w:val="single" w:sz="6" w:space="0" w:color="auto"/>
              <w:right w:val="single" w:sz="6" w:space="0" w:color="auto"/>
            </w:tcBorders>
          </w:tcPr>
          <w:p w14:paraId="06D9DE00" w14:textId="77777777" w:rsidR="007862A2" w:rsidRDefault="007862A2" w:rsidP="007862A2">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F266B62" w14:textId="77777777" w:rsidR="007862A2" w:rsidRDefault="007862A2" w:rsidP="007862A2">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2FF27016" w14:textId="77777777" w:rsidR="007862A2" w:rsidRDefault="007862A2" w:rsidP="007862A2">
            <w:pPr>
              <w:pStyle w:val="TAL"/>
            </w:pPr>
            <w:r>
              <w:rPr>
                <w:lang w:val="en-US" w:eastAsia="ja-JP"/>
              </w:rPr>
              <w:t>URI at which the NF service consumer requests to receive notifications.</w:t>
            </w:r>
          </w:p>
        </w:tc>
        <w:tc>
          <w:tcPr>
            <w:tcW w:w="1349" w:type="dxa"/>
            <w:tcBorders>
              <w:top w:val="single" w:sz="6" w:space="0" w:color="auto"/>
              <w:left w:val="single" w:sz="6" w:space="0" w:color="auto"/>
              <w:bottom w:val="single" w:sz="6" w:space="0" w:color="auto"/>
              <w:right w:val="single" w:sz="6" w:space="0" w:color="auto"/>
            </w:tcBorders>
          </w:tcPr>
          <w:p w14:paraId="02C2BB9C" w14:textId="77777777" w:rsidR="007862A2" w:rsidRDefault="007862A2" w:rsidP="007862A2">
            <w:pPr>
              <w:pStyle w:val="TAL"/>
              <w:rPr>
                <w:rFonts w:cs="Arial"/>
                <w:szCs w:val="18"/>
              </w:rPr>
            </w:pPr>
          </w:p>
        </w:tc>
      </w:tr>
      <w:tr w:rsidR="00640768" w14:paraId="6922ED4A"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752EC62" w14:textId="77777777" w:rsidR="00640768" w:rsidRDefault="00640768" w:rsidP="002A71FE">
            <w:pPr>
              <w:pStyle w:val="TAL"/>
            </w:pPr>
            <w:r>
              <w:t>roundInd</w:t>
            </w:r>
          </w:p>
        </w:tc>
        <w:tc>
          <w:tcPr>
            <w:tcW w:w="2494" w:type="dxa"/>
            <w:tcBorders>
              <w:top w:val="single" w:sz="6" w:space="0" w:color="auto"/>
              <w:left w:val="single" w:sz="6" w:space="0" w:color="auto"/>
              <w:bottom w:val="single" w:sz="6" w:space="0" w:color="auto"/>
              <w:right w:val="single" w:sz="6" w:space="0" w:color="auto"/>
            </w:tcBorders>
          </w:tcPr>
          <w:p w14:paraId="534340C9" w14:textId="77777777" w:rsidR="00640768" w:rsidRDefault="00640768" w:rsidP="002A71FE">
            <w:pPr>
              <w:pStyle w:val="TAL"/>
            </w:pPr>
            <w:r>
              <w:t>Uinteger</w:t>
            </w:r>
          </w:p>
        </w:tc>
        <w:tc>
          <w:tcPr>
            <w:tcW w:w="487" w:type="dxa"/>
            <w:tcBorders>
              <w:top w:val="single" w:sz="6" w:space="0" w:color="auto"/>
              <w:left w:val="single" w:sz="6" w:space="0" w:color="auto"/>
              <w:bottom w:val="single" w:sz="6" w:space="0" w:color="auto"/>
              <w:right w:val="single" w:sz="6" w:space="0" w:color="auto"/>
            </w:tcBorders>
          </w:tcPr>
          <w:p w14:paraId="56193DBA" w14:textId="77777777" w:rsidR="00640768" w:rsidRDefault="00640768" w:rsidP="002A71FE">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161F931" w14:textId="77777777" w:rsidR="00640768" w:rsidRDefault="00640768" w:rsidP="002A71FE">
            <w:pPr>
              <w:pStyle w:val="TAL"/>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46A18080" w14:textId="77777777" w:rsidR="00640768" w:rsidRDefault="00640768" w:rsidP="002A71FE">
            <w:pPr>
              <w:pStyle w:val="TAL"/>
            </w:pPr>
            <w:r>
              <w:t>Indicates the round number of the training in a multi-round training process.</w:t>
            </w:r>
          </w:p>
        </w:tc>
        <w:tc>
          <w:tcPr>
            <w:tcW w:w="1349" w:type="dxa"/>
            <w:tcBorders>
              <w:top w:val="single" w:sz="6" w:space="0" w:color="auto"/>
              <w:left w:val="single" w:sz="6" w:space="0" w:color="auto"/>
              <w:bottom w:val="single" w:sz="6" w:space="0" w:color="auto"/>
              <w:right w:val="single" w:sz="6" w:space="0" w:color="auto"/>
            </w:tcBorders>
          </w:tcPr>
          <w:p w14:paraId="3CCB9514" w14:textId="77777777" w:rsidR="00640768" w:rsidRDefault="00640768" w:rsidP="002A71FE">
            <w:pPr>
              <w:pStyle w:val="TAL"/>
              <w:rPr>
                <w:rFonts w:cs="Arial"/>
                <w:szCs w:val="18"/>
              </w:rPr>
            </w:pPr>
          </w:p>
        </w:tc>
      </w:tr>
      <w:tr w:rsidR="00640768" w14:paraId="6BD5E728"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BF62598" w14:textId="77777777" w:rsidR="00640768" w:rsidRDefault="00640768" w:rsidP="002A71FE">
            <w:pPr>
              <w:pStyle w:val="TAL"/>
            </w:pPr>
            <w:r>
              <w:t>tgtRepUe</w:t>
            </w:r>
          </w:p>
        </w:tc>
        <w:tc>
          <w:tcPr>
            <w:tcW w:w="2494" w:type="dxa"/>
            <w:tcBorders>
              <w:top w:val="single" w:sz="6" w:space="0" w:color="auto"/>
              <w:left w:val="single" w:sz="6" w:space="0" w:color="auto"/>
              <w:bottom w:val="single" w:sz="6" w:space="0" w:color="auto"/>
              <w:right w:val="single" w:sz="6" w:space="0" w:color="auto"/>
            </w:tcBorders>
          </w:tcPr>
          <w:p w14:paraId="2D0D1FC5" w14:textId="77777777" w:rsidR="00640768" w:rsidRDefault="00640768" w:rsidP="002A71FE">
            <w:pPr>
              <w:pStyle w:val="TAL"/>
            </w:pPr>
            <w:r>
              <w:t>TargetUeInformation</w:t>
            </w:r>
          </w:p>
        </w:tc>
        <w:tc>
          <w:tcPr>
            <w:tcW w:w="487" w:type="dxa"/>
            <w:tcBorders>
              <w:top w:val="single" w:sz="6" w:space="0" w:color="auto"/>
              <w:left w:val="single" w:sz="6" w:space="0" w:color="auto"/>
              <w:bottom w:val="single" w:sz="6" w:space="0" w:color="auto"/>
              <w:right w:val="single" w:sz="6" w:space="0" w:color="auto"/>
            </w:tcBorders>
          </w:tcPr>
          <w:p w14:paraId="6B88A39A" w14:textId="77777777" w:rsidR="00640768" w:rsidRDefault="00640768" w:rsidP="002A71FE">
            <w:pPr>
              <w:pStyle w:val="TAL"/>
            </w:pPr>
            <w:r>
              <w:rPr>
                <w:rFonts w:cs="Arial"/>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73F93F62" w14:textId="77777777" w:rsidR="00640768" w:rsidRDefault="00640768" w:rsidP="002A71FE">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3C0176EE" w14:textId="77777777" w:rsidR="00640768" w:rsidRDefault="00640768" w:rsidP="002A71FE">
            <w:pPr>
              <w:pStyle w:val="TAL"/>
              <w:rPr>
                <w:rFonts w:cs="Arial"/>
                <w:szCs w:val="18"/>
              </w:rPr>
            </w:pPr>
            <w:r>
              <w:rPr>
                <w:rFonts w:cs="Arial"/>
                <w:szCs w:val="18"/>
              </w:rPr>
              <w:t>Indicates the UE(s) information for which data for ML model training is requested.</w:t>
            </w:r>
          </w:p>
        </w:tc>
        <w:tc>
          <w:tcPr>
            <w:tcW w:w="1349" w:type="dxa"/>
            <w:tcBorders>
              <w:top w:val="single" w:sz="6" w:space="0" w:color="auto"/>
              <w:left w:val="single" w:sz="6" w:space="0" w:color="auto"/>
              <w:bottom w:val="single" w:sz="6" w:space="0" w:color="auto"/>
              <w:right w:val="single" w:sz="6" w:space="0" w:color="auto"/>
            </w:tcBorders>
          </w:tcPr>
          <w:p w14:paraId="1F3C6AB2" w14:textId="77777777" w:rsidR="00640768" w:rsidRDefault="00640768" w:rsidP="002A71FE">
            <w:pPr>
              <w:pStyle w:val="TAL"/>
              <w:rPr>
                <w:rFonts w:cs="Arial"/>
                <w:szCs w:val="18"/>
              </w:rPr>
            </w:pPr>
          </w:p>
        </w:tc>
      </w:tr>
      <w:tr w:rsidR="00E06B31" w:rsidDel="004F4286" w14:paraId="5E962866"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811E817" w14:textId="77777777" w:rsidR="00E06B31" w:rsidDel="004F4286" w:rsidRDefault="00E06B31" w:rsidP="00E06B31">
            <w:pPr>
              <w:pStyle w:val="TAL"/>
            </w:pPr>
            <w:r>
              <w:rPr>
                <w:lang w:eastAsia="zh-CN"/>
              </w:rPr>
              <w:t>skipFlInd</w:t>
            </w:r>
          </w:p>
        </w:tc>
        <w:tc>
          <w:tcPr>
            <w:tcW w:w="2494" w:type="dxa"/>
            <w:tcBorders>
              <w:top w:val="single" w:sz="6" w:space="0" w:color="auto"/>
              <w:left w:val="single" w:sz="6" w:space="0" w:color="auto"/>
              <w:bottom w:val="single" w:sz="6" w:space="0" w:color="auto"/>
              <w:right w:val="single" w:sz="6" w:space="0" w:color="auto"/>
            </w:tcBorders>
          </w:tcPr>
          <w:p w14:paraId="320165E4" w14:textId="77777777" w:rsidR="00E06B31" w:rsidDel="004F4286" w:rsidRDefault="00E06B31" w:rsidP="00E06B31">
            <w:pPr>
              <w:pStyle w:val="TAL"/>
            </w:pPr>
            <w:r>
              <w:rPr>
                <w:rFonts w:hint="eastAsia"/>
                <w:lang w:eastAsia="zh-CN"/>
              </w:rPr>
              <w:t>b</w:t>
            </w:r>
            <w:r>
              <w:rPr>
                <w:lang w:eastAsia="zh-CN"/>
              </w:rPr>
              <w:t>oolean</w:t>
            </w:r>
          </w:p>
        </w:tc>
        <w:tc>
          <w:tcPr>
            <w:tcW w:w="487" w:type="dxa"/>
            <w:tcBorders>
              <w:top w:val="single" w:sz="6" w:space="0" w:color="auto"/>
              <w:left w:val="single" w:sz="6" w:space="0" w:color="auto"/>
              <w:bottom w:val="single" w:sz="6" w:space="0" w:color="auto"/>
              <w:right w:val="single" w:sz="6" w:space="0" w:color="auto"/>
            </w:tcBorders>
          </w:tcPr>
          <w:p w14:paraId="7AAEA3C2" w14:textId="77777777" w:rsidR="00E06B31" w:rsidDel="004F4286" w:rsidRDefault="00E06B31" w:rsidP="00E06B31">
            <w:pPr>
              <w:pStyle w:val="TAL"/>
              <w:rPr>
                <w:rFonts w:cs="Arial"/>
                <w:szCs w:val="18"/>
                <w:lang w:eastAsia="zh-CN"/>
              </w:rPr>
            </w:pPr>
            <w:r>
              <w:rPr>
                <w:rFonts w:cs="Arial" w:hint="eastAsia"/>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18CD31B4" w14:textId="77777777" w:rsidR="00E06B31" w:rsidDel="004F4286" w:rsidRDefault="00E06B31" w:rsidP="00E06B31">
            <w:pPr>
              <w:pStyle w:val="TAL"/>
              <w:rPr>
                <w:rFonts w:cs="Arial"/>
                <w:szCs w:val="18"/>
                <w:lang w:eastAsia="zh-CN"/>
              </w:rPr>
            </w:pPr>
            <w:r>
              <w:rPr>
                <w:rFonts w:cs="Arial" w:hint="eastAsia"/>
                <w:szCs w:val="18"/>
                <w:lang w:eastAsia="zh-CN"/>
              </w:rPr>
              <w:t>0</w:t>
            </w:r>
            <w:r>
              <w:rPr>
                <w:rFonts w:cs="Arial"/>
                <w:szCs w:val="18"/>
                <w:lang w:eastAsia="zh-CN"/>
              </w:rPr>
              <w:t>..1</w:t>
            </w:r>
          </w:p>
        </w:tc>
        <w:tc>
          <w:tcPr>
            <w:tcW w:w="2512" w:type="dxa"/>
            <w:tcBorders>
              <w:top w:val="single" w:sz="6" w:space="0" w:color="auto"/>
              <w:left w:val="single" w:sz="6" w:space="0" w:color="auto"/>
              <w:bottom w:val="single" w:sz="6" w:space="0" w:color="auto"/>
              <w:right w:val="single" w:sz="6" w:space="0" w:color="auto"/>
            </w:tcBorders>
          </w:tcPr>
          <w:p w14:paraId="12F89358" w14:textId="77777777" w:rsidR="00E06B31" w:rsidRDefault="00E06B31" w:rsidP="00E06B31">
            <w:pPr>
              <w:pStyle w:val="TAL"/>
              <w:rPr>
                <w:lang w:eastAsia="zh-CN"/>
              </w:rPr>
            </w:pPr>
            <w:r>
              <w:rPr>
                <w:rFonts w:hint="eastAsia"/>
                <w:lang w:eastAsia="zh-CN"/>
              </w:rPr>
              <w:t>I</w:t>
            </w:r>
            <w:r>
              <w:rPr>
                <w:lang w:eastAsia="zh-CN"/>
              </w:rPr>
              <w:t>ndicates whether to skip the current FL round or not.</w:t>
            </w:r>
          </w:p>
          <w:p w14:paraId="65395F59" w14:textId="77777777" w:rsidR="00E06B31" w:rsidRDefault="00E06B31" w:rsidP="00E06B31">
            <w:pPr>
              <w:pStyle w:val="TAL"/>
            </w:pPr>
            <w:r>
              <w:t>Set to "true": Skipping the current FL round.</w:t>
            </w:r>
          </w:p>
          <w:p w14:paraId="650BC501" w14:textId="77777777" w:rsidR="00E06B31" w:rsidDel="004F4286" w:rsidRDefault="00E06B31" w:rsidP="00E06B31">
            <w:pPr>
              <w:pStyle w:val="TAL"/>
            </w:pPr>
            <w:r>
              <w:t>Set to "false": Not skipping the current FL round.</w:t>
            </w:r>
          </w:p>
        </w:tc>
        <w:tc>
          <w:tcPr>
            <w:tcW w:w="1349" w:type="dxa"/>
            <w:tcBorders>
              <w:top w:val="single" w:sz="6" w:space="0" w:color="auto"/>
              <w:left w:val="single" w:sz="6" w:space="0" w:color="auto"/>
              <w:bottom w:val="single" w:sz="6" w:space="0" w:color="auto"/>
              <w:right w:val="single" w:sz="6" w:space="0" w:color="auto"/>
            </w:tcBorders>
          </w:tcPr>
          <w:p w14:paraId="0F9191E1" w14:textId="77777777" w:rsidR="00E06B31" w:rsidDel="004F4286" w:rsidRDefault="00E06B31" w:rsidP="00E06B31">
            <w:pPr>
              <w:pStyle w:val="TAL"/>
              <w:rPr>
                <w:rFonts w:cs="Arial"/>
                <w:szCs w:val="18"/>
              </w:rPr>
            </w:pPr>
          </w:p>
        </w:tc>
      </w:tr>
      <w:tr w:rsidR="00640768" w14:paraId="43BF5879" w14:textId="77777777" w:rsidTr="002A71FE">
        <w:trPr>
          <w:trHeight w:val="420"/>
          <w:jc w:val="center"/>
        </w:trPr>
        <w:tc>
          <w:tcPr>
            <w:tcW w:w="9610" w:type="dxa"/>
            <w:gridSpan w:val="6"/>
            <w:tcBorders>
              <w:top w:val="single" w:sz="6" w:space="0" w:color="auto"/>
              <w:left w:val="single" w:sz="6" w:space="0" w:color="auto"/>
              <w:bottom w:val="single" w:sz="6" w:space="0" w:color="auto"/>
              <w:right w:val="single" w:sz="6" w:space="0" w:color="auto"/>
            </w:tcBorders>
          </w:tcPr>
          <w:p w14:paraId="4198ABB8" w14:textId="77777777" w:rsidR="00640768" w:rsidRDefault="00640768" w:rsidP="002A71FE">
            <w:pPr>
              <w:pStyle w:val="TAN"/>
              <w:rPr>
                <w:rFonts w:cs="Arial"/>
                <w:szCs w:val="18"/>
              </w:rPr>
            </w:pPr>
            <w:r w:rsidRPr="008F0F17">
              <w:rPr>
                <w:rFonts w:cs="Arial"/>
                <w:szCs w:val="18"/>
              </w:rPr>
              <w:t>NOTE</w:t>
            </w:r>
            <w:r>
              <w:rPr>
                <w:lang w:eastAsia="zh-CN"/>
              </w:rPr>
              <w:t> </w:t>
            </w:r>
            <w:r>
              <w:rPr>
                <w:lang w:val="en-US" w:eastAsia="zh-CN"/>
              </w:rPr>
              <w:t>1</w:t>
            </w:r>
            <w:r w:rsidRPr="008F0F17">
              <w:rPr>
                <w:rFonts w:cs="Arial"/>
                <w:szCs w:val="18"/>
              </w:rPr>
              <w:t>:</w:t>
            </w:r>
            <w:r w:rsidRPr="008F0F17">
              <w:rPr>
                <w:rFonts w:cs="Arial"/>
                <w:szCs w:val="18"/>
              </w:rPr>
              <w:tab/>
              <w:t>It is up to implementation to determine whether to include the "mlFile" arttribute in the "</w:t>
            </w:r>
            <w:r>
              <w:t>MLEventNotif</w:t>
            </w:r>
            <w:r w:rsidRPr="00235324">
              <w:rPr>
                <w:rFonts w:cs="Arial"/>
                <w:szCs w:val="18"/>
              </w:rPr>
              <w:t>" data structure considering ML Model file size, etc.</w:t>
            </w:r>
          </w:p>
          <w:p w14:paraId="19008372" w14:textId="77777777" w:rsidR="00640768" w:rsidRDefault="00640768" w:rsidP="002A71FE">
            <w:pPr>
              <w:pStyle w:val="TAN"/>
              <w:rPr>
                <w:rFonts w:cs="Arial"/>
                <w:szCs w:val="18"/>
              </w:rPr>
            </w:pPr>
            <w:r>
              <w:rPr>
                <w:rFonts w:eastAsia="等线"/>
              </w:rPr>
              <w:t>NOTE</w:t>
            </w:r>
            <w:r>
              <w:rPr>
                <w:lang w:eastAsia="zh-CN"/>
              </w:rPr>
              <w:t> </w:t>
            </w:r>
            <w:r>
              <w:rPr>
                <w:lang w:val="en-US" w:eastAsia="zh-CN"/>
              </w:rPr>
              <w:t>2</w:t>
            </w:r>
            <w:r w:rsidRPr="008F0F17">
              <w:t>:</w:t>
            </w:r>
            <w:r w:rsidRPr="008F0F17">
              <w:tab/>
            </w:r>
            <w:r w:rsidRPr="00620353">
              <w:t>Only the "</w:t>
            </w:r>
            <w:r>
              <w:t>e</w:t>
            </w:r>
            <w:r>
              <w:rPr>
                <w:rFonts w:hint="eastAsia"/>
              </w:rPr>
              <w:t>vent</w:t>
            </w:r>
            <w:r w:rsidRPr="00620353">
              <w:t>"</w:t>
            </w:r>
            <w:r>
              <w:t>,</w:t>
            </w:r>
            <w:r w:rsidRPr="00620353">
              <w:t xml:space="preserve"> "</w:t>
            </w:r>
            <w:r>
              <w:t>mlFile</w:t>
            </w:r>
            <w:r w:rsidRPr="00620353">
              <w:t>"</w:t>
            </w:r>
            <w:r>
              <w:rPr>
                <w:rFonts w:hint="eastAsia"/>
                <w:lang w:eastAsia="zh-CN"/>
              </w:rPr>
              <w:t>,</w:t>
            </w:r>
            <w:r w:rsidRPr="00620353">
              <w:t xml:space="preserve"> "</w:t>
            </w:r>
            <w:r>
              <w:t>mLFileAddr</w:t>
            </w:r>
            <w:r w:rsidRPr="00620353">
              <w:t>"</w:t>
            </w:r>
            <w:r>
              <w:t>,</w:t>
            </w:r>
            <w:r w:rsidRPr="00620353">
              <w:t xml:space="preserve"> "</w:t>
            </w:r>
            <w:r>
              <w:t>mLModelAdrf</w:t>
            </w:r>
            <w:r w:rsidRPr="00620353">
              <w:t>"</w:t>
            </w:r>
            <w:r>
              <w:t>,</w:t>
            </w:r>
            <w:r w:rsidRPr="00620353">
              <w:t xml:space="preserve"> "</w:t>
            </w:r>
            <w:r>
              <w:rPr>
                <w:lang w:eastAsia="zh-CN"/>
              </w:rPr>
              <w:t>modelUniqueId</w:t>
            </w:r>
            <w:r w:rsidRPr="00620353">
              <w:t xml:space="preserve">" </w:t>
            </w:r>
            <w:r>
              <w:t xml:space="preserve">and </w:t>
            </w:r>
            <w:r w:rsidRPr="00620353">
              <w:t>"</w:t>
            </w:r>
            <w:r>
              <w:rPr>
                <w:lang w:eastAsia="ja-JP"/>
              </w:rPr>
              <w:t>useCaseCxt</w:t>
            </w:r>
            <w:r w:rsidRPr="00620353">
              <w:t>"</w:t>
            </w:r>
            <w:r>
              <w:t xml:space="preserve"> </w:t>
            </w:r>
            <w:r w:rsidRPr="00620353">
              <w:t xml:space="preserve">attributes contained in </w:t>
            </w:r>
            <w:r>
              <w:t>MLEventNotif data type are applicable</w:t>
            </w:r>
            <w:r w:rsidRPr="00D654A6">
              <w:t>.</w:t>
            </w:r>
          </w:p>
        </w:tc>
      </w:tr>
    </w:tbl>
    <w:p w14:paraId="1EB1EC4E" w14:textId="77777777" w:rsidR="00640768" w:rsidRDefault="00640768" w:rsidP="00640768">
      <w:pPr>
        <w:rPr>
          <w:rFonts w:eastAsia="等线"/>
        </w:rPr>
      </w:pPr>
    </w:p>
    <w:p w14:paraId="2AC337B7" w14:textId="77777777" w:rsidR="00A10B25" w:rsidRDefault="00A10B25" w:rsidP="0076721C">
      <w:pPr>
        <w:keepNext/>
        <w:keepLines/>
        <w:spacing w:before="120"/>
        <w:ind w:left="1701" w:hanging="1701"/>
        <w:outlineLvl w:val="4"/>
        <w:rPr>
          <w:lang w:val="en-US" w:eastAsia="zh-CN"/>
        </w:rPr>
      </w:pPr>
      <w:r>
        <w:rPr>
          <w:rFonts w:ascii="Arial" w:hAnsi="Arial"/>
          <w:sz w:val="22"/>
        </w:rPr>
        <w:lastRenderedPageBreak/>
        <w:t>5.5.6.2.4</w:t>
      </w:r>
      <w:r>
        <w:rPr>
          <w:rFonts w:ascii="Arial" w:hAnsi="Arial"/>
          <w:sz w:val="22"/>
        </w:rPr>
        <w:tab/>
      </w:r>
      <w:bookmarkEnd w:id="14821"/>
      <w:bookmarkEnd w:id="14822"/>
      <w:r>
        <w:rPr>
          <w:rFonts w:ascii="Arial" w:hAnsi="Arial"/>
          <w:sz w:val="22"/>
        </w:rPr>
        <w:t>Void</w:t>
      </w:r>
      <w:bookmarkEnd w:id="14823"/>
    </w:p>
    <w:p w14:paraId="1E3D36FB" w14:textId="77777777" w:rsidR="00A10B25" w:rsidRDefault="00A10B25">
      <w:pPr>
        <w:pStyle w:val="5"/>
      </w:pPr>
      <w:bookmarkStart w:id="14841" w:name="_Toc145706027"/>
      <w:bookmarkStart w:id="14842" w:name="_Toc148522944"/>
      <w:bookmarkStart w:id="14843" w:name="_Toc164921132"/>
      <w:bookmarkStart w:id="14844" w:name="_Toc170120674"/>
      <w:bookmarkStart w:id="14845" w:name="_Toc175858919"/>
      <w:bookmarkStart w:id="14846" w:name="_Toc175859992"/>
      <w:bookmarkStart w:id="14847" w:name="_Toc180606282"/>
      <w:bookmarkStart w:id="14848" w:name="_Toc185517543"/>
      <w:bookmarkStart w:id="14849" w:name="_Toc191576595"/>
      <w:bookmarkStart w:id="14850" w:name="_Toc191577335"/>
      <w:bookmarkStart w:id="14851" w:name="_Toc192880405"/>
      <w:bookmarkStart w:id="14852" w:name="_Toc195815294"/>
      <w:bookmarkStart w:id="14853" w:name="_Toc199453261"/>
      <w:r>
        <w:t>5.5.6.2.5</w:t>
      </w:r>
      <w:r>
        <w:tab/>
        <w:t xml:space="preserve">Type </w:t>
      </w:r>
      <w:r>
        <w:rPr>
          <w:rFonts w:eastAsia="等线"/>
        </w:rPr>
        <w:t>MLModelTrainInfo</w:t>
      </w:r>
      <w:bookmarkEnd w:id="14824"/>
      <w:bookmarkEnd w:id="14825"/>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p>
    <w:p w14:paraId="2D730A4F" w14:textId="77777777" w:rsidR="00640768" w:rsidRDefault="00640768" w:rsidP="00640768">
      <w:pPr>
        <w:pStyle w:val="TH"/>
        <w:overflowPunct w:val="0"/>
        <w:autoSpaceDE w:val="0"/>
        <w:autoSpaceDN w:val="0"/>
        <w:adjustRightInd w:val="0"/>
        <w:textAlignment w:val="baseline"/>
        <w:rPr>
          <w:rFonts w:eastAsia="MS Mincho"/>
        </w:rPr>
      </w:pPr>
      <w:bookmarkStart w:id="14854" w:name="_Toc138754534"/>
      <w:bookmarkStart w:id="14855" w:name="_Toc136562700"/>
      <w:bookmarkStart w:id="14856" w:name="_Toc148522945"/>
      <w:bookmarkStart w:id="14857" w:name="_Toc145706028"/>
      <w:r>
        <w:rPr>
          <w:rFonts w:eastAsia="MS Mincho"/>
        </w:rPr>
        <w:t>Table 5.5.6.2.5-1: Definition of type MLModelTrainInfo</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640768" w14:paraId="231C28E5" w14:textId="77777777" w:rsidTr="002A71FE">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315F4B59" w14:textId="77777777" w:rsidR="00640768" w:rsidRDefault="00640768" w:rsidP="002A71FE">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2FDA5639" w14:textId="77777777" w:rsidR="00640768" w:rsidRDefault="00640768" w:rsidP="002A71FE">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662A87B8" w14:textId="77777777" w:rsidR="00640768" w:rsidRDefault="00640768" w:rsidP="002A71FE">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08A594D5" w14:textId="77777777" w:rsidR="00640768" w:rsidRDefault="00640768" w:rsidP="002A71FE">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534B73F0" w14:textId="77777777" w:rsidR="00640768" w:rsidRDefault="00640768" w:rsidP="002A71FE">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10AB9FBF" w14:textId="77777777" w:rsidR="00640768" w:rsidRDefault="00640768" w:rsidP="002A71FE">
            <w:pPr>
              <w:pStyle w:val="TAH"/>
              <w:rPr>
                <w:rFonts w:cs="Arial"/>
                <w:szCs w:val="18"/>
              </w:rPr>
            </w:pPr>
            <w:r>
              <w:rPr>
                <w:rFonts w:cs="Arial"/>
                <w:szCs w:val="18"/>
              </w:rPr>
              <w:t>Applicability</w:t>
            </w:r>
          </w:p>
        </w:tc>
      </w:tr>
      <w:tr w:rsidR="00640768" w14:paraId="3E27FD10"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A59B01D" w14:textId="77777777" w:rsidR="00640768" w:rsidRDefault="00640768" w:rsidP="002A71FE">
            <w:pPr>
              <w:pStyle w:val="TAL"/>
            </w:pPr>
            <w:r>
              <w:t>dataAvReq</w:t>
            </w:r>
          </w:p>
        </w:tc>
        <w:tc>
          <w:tcPr>
            <w:tcW w:w="2494" w:type="dxa"/>
            <w:tcBorders>
              <w:top w:val="single" w:sz="6" w:space="0" w:color="auto"/>
              <w:left w:val="single" w:sz="6" w:space="0" w:color="auto"/>
              <w:bottom w:val="single" w:sz="6" w:space="0" w:color="auto"/>
              <w:right w:val="single" w:sz="6" w:space="0" w:color="auto"/>
            </w:tcBorders>
          </w:tcPr>
          <w:p w14:paraId="2DC5F0A0" w14:textId="77777777" w:rsidR="00640768" w:rsidRDefault="00640768" w:rsidP="002A71FE">
            <w:pPr>
              <w:pStyle w:val="TAL"/>
              <w:rPr>
                <w:lang w:eastAsia="zh-CN"/>
              </w:rPr>
            </w:pPr>
            <w:r>
              <w:t>DataAvReq</w:t>
            </w:r>
          </w:p>
        </w:tc>
        <w:tc>
          <w:tcPr>
            <w:tcW w:w="487" w:type="dxa"/>
            <w:tcBorders>
              <w:top w:val="single" w:sz="6" w:space="0" w:color="auto"/>
              <w:left w:val="single" w:sz="6" w:space="0" w:color="auto"/>
              <w:bottom w:val="single" w:sz="6" w:space="0" w:color="auto"/>
              <w:right w:val="single" w:sz="6" w:space="0" w:color="auto"/>
            </w:tcBorders>
          </w:tcPr>
          <w:p w14:paraId="1DACE46C" w14:textId="77777777" w:rsidR="00640768" w:rsidRDefault="00640768" w:rsidP="002A71FE">
            <w:pPr>
              <w:pStyle w:val="TAL"/>
              <w:rPr>
                <w:lang w:eastAsia="zh-CN"/>
              </w:rPr>
            </w:pPr>
            <w:r>
              <w:t>C</w:t>
            </w:r>
          </w:p>
        </w:tc>
        <w:tc>
          <w:tcPr>
            <w:tcW w:w="1067" w:type="dxa"/>
            <w:tcBorders>
              <w:top w:val="single" w:sz="6" w:space="0" w:color="auto"/>
              <w:left w:val="single" w:sz="6" w:space="0" w:color="auto"/>
              <w:bottom w:val="single" w:sz="6" w:space="0" w:color="auto"/>
              <w:right w:val="single" w:sz="6" w:space="0" w:color="auto"/>
            </w:tcBorders>
          </w:tcPr>
          <w:p w14:paraId="0CC3C2DA" w14:textId="77777777" w:rsidR="00640768" w:rsidRDefault="00640768" w:rsidP="002A71FE">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4D16E0D6" w14:textId="77777777" w:rsidR="00640768" w:rsidRDefault="00640768" w:rsidP="002A71FE">
            <w:pPr>
              <w:pStyle w:val="TAL"/>
            </w:pPr>
            <w:r>
              <w:t>Represents the requirement on available data for the ML model training.</w:t>
            </w:r>
          </w:p>
          <w:p w14:paraId="01BC6210" w14:textId="77777777" w:rsidR="00640768" w:rsidRDefault="00640768" w:rsidP="002A71FE">
            <w:pPr>
              <w:pStyle w:val="TAL"/>
              <w:rPr>
                <w:rFonts w:cs="Arial"/>
                <w:szCs w:val="18"/>
                <w:lang w:eastAsia="zh-CN"/>
              </w:rPr>
            </w:pPr>
            <w:r>
              <w:t>Shall be provided when the "mLPreFlag" attribute in data type "</w:t>
            </w:r>
            <w:r>
              <w:rPr>
                <w:rFonts w:eastAsia="等线"/>
              </w:rPr>
              <w:t>NwdafMLModelTrainSubsc</w:t>
            </w:r>
            <w:r>
              <w:t>"/"</w:t>
            </w:r>
            <w:r>
              <w:rPr>
                <w:rFonts w:eastAsia="等线"/>
              </w:rPr>
              <w:t>NwdafMLModelTrainSubscPatch</w:t>
            </w:r>
            <w:r>
              <w:t>" is set to "true".</w:t>
            </w:r>
          </w:p>
        </w:tc>
        <w:tc>
          <w:tcPr>
            <w:tcW w:w="1349" w:type="dxa"/>
            <w:tcBorders>
              <w:top w:val="single" w:sz="6" w:space="0" w:color="auto"/>
              <w:left w:val="single" w:sz="6" w:space="0" w:color="auto"/>
              <w:bottom w:val="single" w:sz="6" w:space="0" w:color="auto"/>
              <w:right w:val="single" w:sz="6" w:space="0" w:color="auto"/>
            </w:tcBorders>
          </w:tcPr>
          <w:p w14:paraId="330ABE01" w14:textId="77777777" w:rsidR="00640768" w:rsidRDefault="00640768" w:rsidP="002A71FE">
            <w:pPr>
              <w:pStyle w:val="TAL"/>
              <w:rPr>
                <w:rFonts w:cs="Arial"/>
                <w:szCs w:val="18"/>
              </w:rPr>
            </w:pPr>
          </w:p>
        </w:tc>
      </w:tr>
      <w:tr w:rsidR="00640768" w14:paraId="260D6730" w14:textId="77777777" w:rsidTr="002A71FE">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F243158" w14:textId="77777777" w:rsidR="00640768" w:rsidRDefault="00640768" w:rsidP="002A71FE">
            <w:pPr>
              <w:pStyle w:val="TAL"/>
            </w:pPr>
            <w:r>
              <w:t>timeAvReq</w:t>
            </w:r>
          </w:p>
        </w:tc>
        <w:tc>
          <w:tcPr>
            <w:tcW w:w="2494" w:type="dxa"/>
            <w:tcBorders>
              <w:top w:val="single" w:sz="6" w:space="0" w:color="auto"/>
              <w:left w:val="single" w:sz="6" w:space="0" w:color="auto"/>
              <w:bottom w:val="single" w:sz="6" w:space="0" w:color="auto"/>
              <w:right w:val="single" w:sz="6" w:space="0" w:color="auto"/>
            </w:tcBorders>
          </w:tcPr>
          <w:p w14:paraId="4A85D156" w14:textId="77777777" w:rsidR="00640768" w:rsidRDefault="00640768" w:rsidP="002A71FE">
            <w:pPr>
              <w:pStyle w:val="TAL"/>
              <w:rPr>
                <w:lang w:eastAsia="zh-CN"/>
              </w:rPr>
            </w:pPr>
            <w:r>
              <w:t>string</w:t>
            </w:r>
          </w:p>
        </w:tc>
        <w:tc>
          <w:tcPr>
            <w:tcW w:w="487" w:type="dxa"/>
            <w:tcBorders>
              <w:top w:val="single" w:sz="6" w:space="0" w:color="auto"/>
              <w:left w:val="single" w:sz="6" w:space="0" w:color="auto"/>
              <w:bottom w:val="single" w:sz="6" w:space="0" w:color="auto"/>
              <w:right w:val="single" w:sz="6" w:space="0" w:color="auto"/>
            </w:tcBorders>
          </w:tcPr>
          <w:p w14:paraId="0ABCBE51" w14:textId="77777777" w:rsidR="00640768" w:rsidRDefault="00640768" w:rsidP="002A71FE">
            <w:pPr>
              <w:pStyle w:val="TAL"/>
              <w:rPr>
                <w:lang w:eastAsia="zh-CN"/>
              </w:rPr>
            </w:pPr>
            <w:r>
              <w:t>C</w:t>
            </w:r>
          </w:p>
        </w:tc>
        <w:tc>
          <w:tcPr>
            <w:tcW w:w="1067" w:type="dxa"/>
            <w:tcBorders>
              <w:top w:val="single" w:sz="6" w:space="0" w:color="auto"/>
              <w:left w:val="single" w:sz="6" w:space="0" w:color="auto"/>
              <w:bottom w:val="single" w:sz="6" w:space="0" w:color="auto"/>
              <w:right w:val="single" w:sz="6" w:space="0" w:color="auto"/>
            </w:tcBorders>
          </w:tcPr>
          <w:p w14:paraId="05DDD663" w14:textId="77777777" w:rsidR="00640768" w:rsidRDefault="00640768" w:rsidP="002A71FE">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2A7646D8" w14:textId="77777777" w:rsidR="00640768" w:rsidRDefault="00640768" w:rsidP="002A71FE">
            <w:pPr>
              <w:pStyle w:val="TAL"/>
            </w:pPr>
            <w:r>
              <w:t>Represents the requirement on available time for the ML model training.</w:t>
            </w:r>
          </w:p>
          <w:p w14:paraId="16888CC3" w14:textId="77777777" w:rsidR="00640768" w:rsidRDefault="00640768" w:rsidP="002A71FE">
            <w:pPr>
              <w:pStyle w:val="TAL"/>
              <w:rPr>
                <w:rFonts w:cs="Arial"/>
                <w:szCs w:val="18"/>
                <w:lang w:eastAsia="zh-CN"/>
              </w:rPr>
            </w:pPr>
            <w:r>
              <w:t>Shall be provided when the "mLPreFlag" attribute in data type "</w:t>
            </w:r>
            <w:r>
              <w:rPr>
                <w:rFonts w:eastAsia="等线"/>
              </w:rPr>
              <w:t>NwdafMLModelTrainSubsc</w:t>
            </w:r>
            <w:r>
              <w:t>"/"</w:t>
            </w:r>
            <w:r>
              <w:rPr>
                <w:rFonts w:eastAsia="等线"/>
              </w:rPr>
              <w:t>NwdafMLModelTrainSubscPatch</w:t>
            </w:r>
            <w:r>
              <w:t>" is set to "true".</w:t>
            </w:r>
          </w:p>
        </w:tc>
        <w:tc>
          <w:tcPr>
            <w:tcW w:w="1349" w:type="dxa"/>
            <w:tcBorders>
              <w:top w:val="single" w:sz="6" w:space="0" w:color="auto"/>
              <w:left w:val="single" w:sz="6" w:space="0" w:color="auto"/>
              <w:bottom w:val="single" w:sz="6" w:space="0" w:color="auto"/>
              <w:right w:val="single" w:sz="6" w:space="0" w:color="auto"/>
            </w:tcBorders>
          </w:tcPr>
          <w:p w14:paraId="0F8CC279" w14:textId="77777777" w:rsidR="00640768" w:rsidRDefault="00640768" w:rsidP="002A71FE">
            <w:pPr>
              <w:pStyle w:val="TAL"/>
              <w:rPr>
                <w:rFonts w:cs="Arial"/>
                <w:szCs w:val="18"/>
              </w:rPr>
            </w:pPr>
          </w:p>
        </w:tc>
      </w:tr>
    </w:tbl>
    <w:p w14:paraId="6B3C5DFF" w14:textId="77777777" w:rsidR="00640768" w:rsidRPr="001917EC" w:rsidRDefault="00640768" w:rsidP="00640768"/>
    <w:p w14:paraId="05EEFD5F" w14:textId="77777777" w:rsidR="00A10B25" w:rsidRDefault="00A10B25">
      <w:pPr>
        <w:pStyle w:val="5"/>
      </w:pPr>
      <w:bookmarkStart w:id="14858" w:name="_Toc164921133"/>
      <w:bookmarkStart w:id="14859" w:name="_Toc170120675"/>
      <w:bookmarkStart w:id="14860" w:name="_Toc175858920"/>
      <w:bookmarkStart w:id="14861" w:name="_Toc175859993"/>
      <w:bookmarkStart w:id="14862" w:name="_Toc180606283"/>
      <w:bookmarkStart w:id="14863" w:name="_Toc185517544"/>
      <w:bookmarkStart w:id="14864" w:name="_Toc191576596"/>
      <w:bookmarkStart w:id="14865" w:name="_Toc191577336"/>
      <w:bookmarkStart w:id="14866" w:name="_Toc192880406"/>
      <w:bookmarkStart w:id="14867" w:name="_Toc195815295"/>
      <w:bookmarkStart w:id="14868" w:name="_Toc199453262"/>
      <w:r>
        <w:t>5.5.6.2.6</w:t>
      </w:r>
      <w:r>
        <w:tab/>
        <w:t>Type MLTrainReportInfo</w:t>
      </w:r>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p>
    <w:p w14:paraId="3C7AD132"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5.5.6.2.6-1: Definition of type </w:t>
      </w:r>
      <w:r>
        <w:t>MLTrainReportInfo</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
        <w:gridCol w:w="1713"/>
        <w:gridCol w:w="2494"/>
        <w:gridCol w:w="487"/>
        <w:gridCol w:w="1067"/>
        <w:gridCol w:w="2512"/>
        <w:gridCol w:w="1349"/>
      </w:tblGrid>
      <w:tr w:rsidR="00A10B25" w14:paraId="3E1BCD28" w14:textId="77777777" w:rsidTr="0076721C">
        <w:trPr>
          <w:gridBefore w:val="1"/>
          <w:wBefore w:w="9" w:type="dxa"/>
          <w:trHeight w:val="209"/>
          <w:jc w:val="center"/>
        </w:trPr>
        <w:tc>
          <w:tcPr>
            <w:tcW w:w="1713" w:type="dxa"/>
            <w:shd w:val="clear" w:color="auto" w:fill="C0C0C0"/>
          </w:tcPr>
          <w:p w14:paraId="4EB84108" w14:textId="77777777" w:rsidR="00A10B25" w:rsidRDefault="00A10B25">
            <w:pPr>
              <w:pStyle w:val="TAH"/>
            </w:pPr>
            <w:r>
              <w:t>Attribute name</w:t>
            </w:r>
          </w:p>
        </w:tc>
        <w:tc>
          <w:tcPr>
            <w:tcW w:w="2494" w:type="dxa"/>
            <w:shd w:val="clear" w:color="auto" w:fill="C0C0C0"/>
          </w:tcPr>
          <w:p w14:paraId="0DA3AFE5" w14:textId="77777777" w:rsidR="00A10B25" w:rsidRDefault="00A10B25">
            <w:pPr>
              <w:pStyle w:val="TAH"/>
            </w:pPr>
            <w:r>
              <w:t>Data type</w:t>
            </w:r>
          </w:p>
        </w:tc>
        <w:tc>
          <w:tcPr>
            <w:tcW w:w="487" w:type="dxa"/>
            <w:shd w:val="clear" w:color="auto" w:fill="C0C0C0"/>
          </w:tcPr>
          <w:p w14:paraId="5B9F8B74" w14:textId="77777777" w:rsidR="00A10B25" w:rsidRDefault="00A10B25">
            <w:pPr>
              <w:pStyle w:val="TAH"/>
            </w:pPr>
            <w:r>
              <w:t>P</w:t>
            </w:r>
          </w:p>
        </w:tc>
        <w:tc>
          <w:tcPr>
            <w:tcW w:w="1067" w:type="dxa"/>
            <w:shd w:val="clear" w:color="auto" w:fill="C0C0C0"/>
          </w:tcPr>
          <w:p w14:paraId="12B5C1E0" w14:textId="77777777" w:rsidR="00A10B25" w:rsidRDefault="00A10B25">
            <w:pPr>
              <w:pStyle w:val="TAH"/>
            </w:pPr>
            <w:r>
              <w:t>Cardinality</w:t>
            </w:r>
          </w:p>
        </w:tc>
        <w:tc>
          <w:tcPr>
            <w:tcW w:w="2512" w:type="dxa"/>
            <w:shd w:val="clear" w:color="auto" w:fill="C0C0C0"/>
          </w:tcPr>
          <w:p w14:paraId="61DB74F5" w14:textId="77777777" w:rsidR="00A10B25" w:rsidRDefault="00A10B25">
            <w:pPr>
              <w:pStyle w:val="TAH"/>
              <w:rPr>
                <w:rFonts w:cs="Arial"/>
                <w:szCs w:val="18"/>
              </w:rPr>
            </w:pPr>
            <w:r>
              <w:rPr>
                <w:rFonts w:cs="Arial"/>
                <w:szCs w:val="18"/>
              </w:rPr>
              <w:t>Description</w:t>
            </w:r>
          </w:p>
        </w:tc>
        <w:tc>
          <w:tcPr>
            <w:tcW w:w="1349" w:type="dxa"/>
            <w:shd w:val="clear" w:color="auto" w:fill="C0C0C0"/>
          </w:tcPr>
          <w:p w14:paraId="3B22B8E4" w14:textId="77777777" w:rsidR="00A10B25" w:rsidRDefault="00A10B25">
            <w:pPr>
              <w:pStyle w:val="TAH"/>
              <w:rPr>
                <w:rFonts w:cs="Arial"/>
                <w:szCs w:val="18"/>
              </w:rPr>
            </w:pPr>
            <w:r>
              <w:rPr>
                <w:rFonts w:cs="Arial"/>
                <w:szCs w:val="18"/>
              </w:rPr>
              <w:t>Applicability</w:t>
            </w:r>
          </w:p>
        </w:tc>
      </w:tr>
      <w:tr w:rsidR="00A10B25" w14:paraId="1571898E" w14:textId="77777777" w:rsidTr="0076721C">
        <w:trPr>
          <w:trHeight w:val="420"/>
          <w:jc w:val="center"/>
        </w:trPr>
        <w:tc>
          <w:tcPr>
            <w:tcW w:w="1722" w:type="dxa"/>
            <w:gridSpan w:val="2"/>
          </w:tcPr>
          <w:p w14:paraId="4B9A5890" w14:textId="77777777" w:rsidR="00A10B25" w:rsidRDefault="00A10B25">
            <w:pPr>
              <w:pStyle w:val="TAL"/>
            </w:pPr>
            <w:r>
              <w:t>maxResTime</w:t>
            </w:r>
          </w:p>
        </w:tc>
        <w:tc>
          <w:tcPr>
            <w:tcW w:w="2494" w:type="dxa"/>
          </w:tcPr>
          <w:p w14:paraId="7B446EC4" w14:textId="77777777" w:rsidR="00A10B25" w:rsidRDefault="00A10B25">
            <w:pPr>
              <w:pStyle w:val="TAL"/>
              <w:rPr>
                <w:lang w:val="en-US" w:eastAsia="zh-CN"/>
              </w:rPr>
            </w:pPr>
            <w:r>
              <w:t>DurationSec</w:t>
            </w:r>
          </w:p>
        </w:tc>
        <w:tc>
          <w:tcPr>
            <w:tcW w:w="487" w:type="dxa"/>
          </w:tcPr>
          <w:p w14:paraId="0B5A48F9" w14:textId="77777777" w:rsidR="00A10B25" w:rsidRDefault="00A10B25">
            <w:pPr>
              <w:pStyle w:val="TAL"/>
              <w:rPr>
                <w:lang w:eastAsia="zh-CN"/>
              </w:rPr>
            </w:pPr>
            <w:r>
              <w:t>O</w:t>
            </w:r>
          </w:p>
        </w:tc>
        <w:tc>
          <w:tcPr>
            <w:tcW w:w="1067" w:type="dxa"/>
          </w:tcPr>
          <w:p w14:paraId="21AE1E00" w14:textId="77777777" w:rsidR="00A10B25" w:rsidRDefault="00A10B25">
            <w:pPr>
              <w:pStyle w:val="TAL"/>
              <w:rPr>
                <w:lang w:eastAsia="zh-CN"/>
              </w:rPr>
            </w:pPr>
            <w:r>
              <w:t>0..1</w:t>
            </w:r>
          </w:p>
        </w:tc>
        <w:tc>
          <w:tcPr>
            <w:tcW w:w="2512" w:type="dxa"/>
          </w:tcPr>
          <w:p w14:paraId="2FC1998D" w14:textId="77777777" w:rsidR="00A10B25" w:rsidRDefault="00A10B25">
            <w:pPr>
              <w:pStyle w:val="TAL"/>
              <w:rPr>
                <w:rFonts w:cs="Arial"/>
                <w:szCs w:val="18"/>
                <w:lang w:eastAsia="zh-CN"/>
              </w:rPr>
            </w:pPr>
            <w:r>
              <w:t>Indicates the maximum time for waiting notifications.</w:t>
            </w:r>
          </w:p>
        </w:tc>
        <w:tc>
          <w:tcPr>
            <w:tcW w:w="1349" w:type="dxa"/>
          </w:tcPr>
          <w:p w14:paraId="312C8EDD" w14:textId="77777777" w:rsidR="00A10B25" w:rsidRDefault="00A10B25">
            <w:pPr>
              <w:pStyle w:val="TAL"/>
              <w:rPr>
                <w:rFonts w:cs="Arial"/>
                <w:szCs w:val="18"/>
              </w:rPr>
            </w:pPr>
          </w:p>
        </w:tc>
      </w:tr>
    </w:tbl>
    <w:p w14:paraId="3FB6DB30" w14:textId="77777777" w:rsidR="00A10B25" w:rsidRDefault="00A10B25">
      <w:pPr>
        <w:rPr>
          <w:lang w:eastAsia="zh-CN"/>
        </w:rPr>
      </w:pPr>
    </w:p>
    <w:p w14:paraId="650388AB" w14:textId="77777777" w:rsidR="00A10B25" w:rsidRDefault="00A10B25">
      <w:pPr>
        <w:pStyle w:val="5"/>
      </w:pPr>
      <w:bookmarkStart w:id="14869" w:name="_Toc136562701"/>
      <w:bookmarkStart w:id="14870" w:name="_Toc145706029"/>
      <w:bookmarkStart w:id="14871" w:name="_Toc148522946"/>
      <w:bookmarkStart w:id="14872" w:name="_Toc138754535"/>
      <w:bookmarkStart w:id="14873" w:name="_Toc164921134"/>
      <w:bookmarkStart w:id="14874" w:name="_Toc170120676"/>
      <w:bookmarkStart w:id="14875" w:name="_Toc175858921"/>
      <w:bookmarkStart w:id="14876" w:name="_Toc175859994"/>
      <w:bookmarkStart w:id="14877" w:name="_Toc180606284"/>
      <w:bookmarkStart w:id="14878" w:name="_Toc185517545"/>
      <w:bookmarkStart w:id="14879" w:name="_Toc191576597"/>
      <w:bookmarkStart w:id="14880" w:name="_Toc191577337"/>
      <w:bookmarkStart w:id="14881" w:name="_Toc192880407"/>
      <w:bookmarkStart w:id="14882" w:name="_Toc195815296"/>
      <w:bookmarkStart w:id="14883" w:name="_Toc199453263"/>
      <w:r>
        <w:t>5.5.6.2.7</w:t>
      </w:r>
      <w:r>
        <w:tab/>
        <w:t>Type FailureEventInfoForMLModelTrain</w:t>
      </w:r>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p>
    <w:p w14:paraId="539EE5DB" w14:textId="77777777" w:rsidR="00E06B31" w:rsidRDefault="00E06B31" w:rsidP="00E06B31">
      <w:pPr>
        <w:pStyle w:val="TH"/>
        <w:overflowPunct w:val="0"/>
        <w:autoSpaceDE w:val="0"/>
        <w:autoSpaceDN w:val="0"/>
        <w:adjustRightInd w:val="0"/>
        <w:textAlignment w:val="baseline"/>
        <w:rPr>
          <w:rFonts w:eastAsia="MS Mincho"/>
        </w:rPr>
      </w:pPr>
      <w:bookmarkStart w:id="14884" w:name="_Toc136687418"/>
      <w:bookmarkStart w:id="14885" w:name="_Hlk138768153"/>
      <w:bookmarkStart w:id="14886" w:name="_Toc136562702"/>
      <w:bookmarkStart w:id="14887" w:name="_Toc145706030"/>
      <w:bookmarkStart w:id="14888" w:name="_Toc138754536"/>
      <w:bookmarkStart w:id="14889" w:name="_Toc148522947"/>
      <w:r>
        <w:rPr>
          <w:rFonts w:eastAsia="MS Mincho"/>
        </w:rPr>
        <w:t xml:space="preserve">Table 5.5.6.2.7-1: Definition of type </w:t>
      </w:r>
      <w:r>
        <w:t>FailureEventInfoForMLModelTrain</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2494"/>
        <w:gridCol w:w="487"/>
        <w:gridCol w:w="1067"/>
        <w:gridCol w:w="2512"/>
        <w:gridCol w:w="1349"/>
      </w:tblGrid>
      <w:tr w:rsidR="00E06B31" w14:paraId="5DE88054" w14:textId="77777777" w:rsidTr="008867D9">
        <w:trPr>
          <w:trHeight w:val="113"/>
          <w:jc w:val="center"/>
        </w:trPr>
        <w:tc>
          <w:tcPr>
            <w:tcW w:w="1693" w:type="dxa"/>
            <w:shd w:val="clear" w:color="auto" w:fill="D0CECE"/>
          </w:tcPr>
          <w:p w14:paraId="11E4E551" w14:textId="77777777" w:rsidR="00E06B31" w:rsidRDefault="00E06B31" w:rsidP="008867D9">
            <w:pPr>
              <w:pStyle w:val="TAH"/>
            </w:pPr>
            <w:r>
              <w:t>Attribute name</w:t>
            </w:r>
          </w:p>
        </w:tc>
        <w:tc>
          <w:tcPr>
            <w:tcW w:w="2494" w:type="dxa"/>
            <w:shd w:val="clear" w:color="auto" w:fill="D0CECE"/>
          </w:tcPr>
          <w:p w14:paraId="153E1757" w14:textId="77777777" w:rsidR="00E06B31" w:rsidRDefault="00E06B31" w:rsidP="008867D9">
            <w:pPr>
              <w:pStyle w:val="TAH"/>
            </w:pPr>
            <w:r>
              <w:t>Data type</w:t>
            </w:r>
          </w:p>
        </w:tc>
        <w:tc>
          <w:tcPr>
            <w:tcW w:w="487" w:type="dxa"/>
            <w:shd w:val="clear" w:color="auto" w:fill="D0CECE"/>
          </w:tcPr>
          <w:p w14:paraId="0A121FF4" w14:textId="77777777" w:rsidR="00E06B31" w:rsidRDefault="00E06B31" w:rsidP="008867D9">
            <w:pPr>
              <w:pStyle w:val="TAH"/>
            </w:pPr>
            <w:r>
              <w:t>P</w:t>
            </w:r>
          </w:p>
        </w:tc>
        <w:tc>
          <w:tcPr>
            <w:tcW w:w="1067" w:type="dxa"/>
            <w:shd w:val="clear" w:color="auto" w:fill="D0CECE"/>
          </w:tcPr>
          <w:p w14:paraId="746081B8" w14:textId="77777777" w:rsidR="00E06B31" w:rsidRDefault="00E06B31" w:rsidP="008867D9">
            <w:pPr>
              <w:pStyle w:val="TAH"/>
            </w:pPr>
            <w:r>
              <w:t>Cardinality</w:t>
            </w:r>
          </w:p>
        </w:tc>
        <w:tc>
          <w:tcPr>
            <w:tcW w:w="2512" w:type="dxa"/>
            <w:shd w:val="clear" w:color="auto" w:fill="D0CECE"/>
          </w:tcPr>
          <w:p w14:paraId="355D64E2" w14:textId="77777777" w:rsidR="00E06B31" w:rsidRDefault="00E06B31" w:rsidP="008867D9">
            <w:pPr>
              <w:pStyle w:val="TAH"/>
            </w:pPr>
            <w:r>
              <w:rPr>
                <w:rFonts w:cs="Arial"/>
                <w:szCs w:val="18"/>
              </w:rPr>
              <w:t>Description</w:t>
            </w:r>
          </w:p>
        </w:tc>
        <w:tc>
          <w:tcPr>
            <w:tcW w:w="1349" w:type="dxa"/>
            <w:shd w:val="clear" w:color="auto" w:fill="D0CECE"/>
          </w:tcPr>
          <w:p w14:paraId="5AF40173" w14:textId="77777777" w:rsidR="00E06B31" w:rsidRDefault="00E06B31" w:rsidP="008867D9">
            <w:pPr>
              <w:pStyle w:val="TAH"/>
            </w:pPr>
            <w:r>
              <w:rPr>
                <w:rFonts w:cs="Arial"/>
                <w:szCs w:val="18"/>
              </w:rPr>
              <w:t>Applicability</w:t>
            </w:r>
          </w:p>
        </w:tc>
      </w:tr>
      <w:tr w:rsidR="00E06B31" w14:paraId="104E187B" w14:textId="77777777" w:rsidTr="008867D9">
        <w:trPr>
          <w:trHeight w:val="420"/>
          <w:jc w:val="center"/>
        </w:trPr>
        <w:tc>
          <w:tcPr>
            <w:tcW w:w="1693" w:type="dxa"/>
          </w:tcPr>
          <w:p w14:paraId="3B8FF167" w14:textId="77777777" w:rsidR="00E06B31" w:rsidRDefault="00E06B31" w:rsidP="008867D9">
            <w:pPr>
              <w:pStyle w:val="TAL"/>
            </w:pPr>
            <w:r>
              <w:t>mLTrainE</w:t>
            </w:r>
            <w:r>
              <w:rPr>
                <w:rFonts w:hint="eastAsia"/>
              </w:rPr>
              <w:t>vent</w:t>
            </w:r>
          </w:p>
        </w:tc>
        <w:tc>
          <w:tcPr>
            <w:tcW w:w="2494" w:type="dxa"/>
          </w:tcPr>
          <w:p w14:paraId="1C2CE2EC" w14:textId="77777777" w:rsidR="00E06B31" w:rsidRDefault="00E06B31" w:rsidP="008867D9">
            <w:pPr>
              <w:pStyle w:val="TAL"/>
              <w:rPr>
                <w:lang w:val="en-US" w:eastAsia="zh-CN"/>
              </w:rPr>
            </w:pPr>
            <w:r>
              <w:rPr>
                <w:rFonts w:hint="eastAsia"/>
              </w:rPr>
              <w:t>NwdafEvent</w:t>
            </w:r>
          </w:p>
        </w:tc>
        <w:tc>
          <w:tcPr>
            <w:tcW w:w="487" w:type="dxa"/>
          </w:tcPr>
          <w:p w14:paraId="010A3DCC" w14:textId="77777777" w:rsidR="00E06B31" w:rsidRDefault="00E06B31" w:rsidP="008867D9">
            <w:pPr>
              <w:pStyle w:val="TAL"/>
              <w:rPr>
                <w:lang w:eastAsia="zh-CN"/>
              </w:rPr>
            </w:pPr>
            <w:r>
              <w:rPr>
                <w:rFonts w:hint="eastAsia"/>
              </w:rPr>
              <w:t>M</w:t>
            </w:r>
          </w:p>
        </w:tc>
        <w:tc>
          <w:tcPr>
            <w:tcW w:w="1067" w:type="dxa"/>
          </w:tcPr>
          <w:p w14:paraId="00F16838" w14:textId="77777777" w:rsidR="00E06B31" w:rsidRDefault="00E06B31" w:rsidP="008867D9">
            <w:pPr>
              <w:pStyle w:val="TAL"/>
              <w:rPr>
                <w:lang w:eastAsia="zh-CN"/>
              </w:rPr>
            </w:pPr>
            <w:r>
              <w:rPr>
                <w:rFonts w:hint="eastAsia"/>
              </w:rPr>
              <w:t>1</w:t>
            </w:r>
          </w:p>
        </w:tc>
        <w:tc>
          <w:tcPr>
            <w:tcW w:w="2512" w:type="dxa"/>
          </w:tcPr>
          <w:p w14:paraId="4837ED28" w14:textId="77777777" w:rsidR="00E06B31" w:rsidRDefault="00E06B31" w:rsidP="008867D9">
            <w:pPr>
              <w:pStyle w:val="TAL"/>
              <w:rPr>
                <w:rFonts w:cs="Arial"/>
                <w:szCs w:val="18"/>
                <w:lang w:eastAsia="zh-CN"/>
              </w:rPr>
            </w:pPr>
            <w:r>
              <w:t>Event that is subscribed.</w:t>
            </w:r>
          </w:p>
        </w:tc>
        <w:tc>
          <w:tcPr>
            <w:tcW w:w="1349" w:type="dxa"/>
          </w:tcPr>
          <w:p w14:paraId="24920171" w14:textId="77777777" w:rsidR="00E06B31" w:rsidRDefault="00E06B31" w:rsidP="008867D9">
            <w:pPr>
              <w:pStyle w:val="TAL"/>
              <w:rPr>
                <w:rFonts w:cs="Arial"/>
                <w:szCs w:val="18"/>
              </w:rPr>
            </w:pPr>
          </w:p>
        </w:tc>
      </w:tr>
      <w:tr w:rsidR="00E06B31" w14:paraId="4B610C13" w14:textId="77777777" w:rsidTr="008867D9">
        <w:trPr>
          <w:trHeight w:val="420"/>
          <w:jc w:val="center"/>
        </w:trPr>
        <w:tc>
          <w:tcPr>
            <w:tcW w:w="1693" w:type="dxa"/>
          </w:tcPr>
          <w:p w14:paraId="1F0DE4A7" w14:textId="77777777" w:rsidR="00E06B31" w:rsidRDefault="00E06B31" w:rsidP="008867D9">
            <w:pPr>
              <w:pStyle w:val="TAL"/>
            </w:pPr>
            <w:r>
              <w:rPr>
                <w:lang w:eastAsia="zh-CN"/>
              </w:rPr>
              <w:t>failureCodeTrain</w:t>
            </w:r>
          </w:p>
        </w:tc>
        <w:tc>
          <w:tcPr>
            <w:tcW w:w="2494" w:type="dxa"/>
          </w:tcPr>
          <w:p w14:paraId="73099675" w14:textId="77777777" w:rsidR="00E06B31" w:rsidRDefault="00E06B31" w:rsidP="008867D9">
            <w:pPr>
              <w:pStyle w:val="TAL"/>
            </w:pPr>
            <w:r>
              <w:rPr>
                <w:lang w:eastAsia="zh-CN"/>
              </w:rPr>
              <w:t>FailureCodeTrain</w:t>
            </w:r>
          </w:p>
        </w:tc>
        <w:tc>
          <w:tcPr>
            <w:tcW w:w="487" w:type="dxa"/>
          </w:tcPr>
          <w:p w14:paraId="51DE04C2" w14:textId="77777777" w:rsidR="00E06B31" w:rsidRDefault="00E06B31" w:rsidP="008867D9">
            <w:pPr>
              <w:pStyle w:val="TAL"/>
            </w:pPr>
            <w:r>
              <w:rPr>
                <w:rFonts w:hint="eastAsia"/>
                <w:lang w:eastAsia="zh-CN"/>
              </w:rPr>
              <w:t>M</w:t>
            </w:r>
          </w:p>
        </w:tc>
        <w:tc>
          <w:tcPr>
            <w:tcW w:w="1067" w:type="dxa"/>
          </w:tcPr>
          <w:p w14:paraId="4D6962DD" w14:textId="77777777" w:rsidR="00E06B31" w:rsidRDefault="00E06B31" w:rsidP="008867D9">
            <w:pPr>
              <w:pStyle w:val="TAL"/>
            </w:pPr>
            <w:r>
              <w:rPr>
                <w:rFonts w:cs="Arial"/>
                <w:szCs w:val="18"/>
                <w:lang w:eastAsia="zh-CN"/>
              </w:rPr>
              <w:t>1</w:t>
            </w:r>
          </w:p>
        </w:tc>
        <w:tc>
          <w:tcPr>
            <w:tcW w:w="2512" w:type="dxa"/>
          </w:tcPr>
          <w:p w14:paraId="5F0290B3" w14:textId="77777777" w:rsidR="00E06B31" w:rsidRDefault="00E06B31" w:rsidP="008867D9">
            <w:pPr>
              <w:pStyle w:val="TAL"/>
            </w:pPr>
            <w:r>
              <w:rPr>
                <w:rFonts w:eastAsia="Times New Roman" w:cs="Arial"/>
                <w:szCs w:val="18"/>
              </w:rPr>
              <w:t>Identifies the failure reason.</w:t>
            </w:r>
          </w:p>
        </w:tc>
        <w:tc>
          <w:tcPr>
            <w:tcW w:w="1349" w:type="dxa"/>
          </w:tcPr>
          <w:p w14:paraId="007609C2" w14:textId="77777777" w:rsidR="00E06B31" w:rsidRDefault="00E06B31" w:rsidP="008867D9">
            <w:pPr>
              <w:pStyle w:val="TAL"/>
              <w:rPr>
                <w:rFonts w:cs="Arial"/>
                <w:szCs w:val="18"/>
              </w:rPr>
            </w:pPr>
          </w:p>
        </w:tc>
      </w:tr>
    </w:tbl>
    <w:p w14:paraId="6519225F" w14:textId="77777777" w:rsidR="00E06B31" w:rsidRPr="00535952" w:rsidRDefault="00E06B31" w:rsidP="00E06B31">
      <w:pPr>
        <w:rPr>
          <w:noProof/>
        </w:rPr>
      </w:pPr>
    </w:p>
    <w:p w14:paraId="10488A47" w14:textId="77777777" w:rsidR="00D654A6" w:rsidRDefault="00D654A6" w:rsidP="00D654A6">
      <w:pPr>
        <w:pStyle w:val="5"/>
      </w:pPr>
      <w:bookmarkStart w:id="14890" w:name="_Toc164921135"/>
      <w:bookmarkStart w:id="14891" w:name="_Toc170120677"/>
      <w:bookmarkStart w:id="14892" w:name="_Toc175858922"/>
      <w:bookmarkStart w:id="14893" w:name="_Toc175859995"/>
      <w:bookmarkStart w:id="14894" w:name="_Toc180606285"/>
      <w:bookmarkStart w:id="14895" w:name="_Toc185517546"/>
      <w:bookmarkStart w:id="14896" w:name="_Toc191576598"/>
      <w:bookmarkStart w:id="14897" w:name="_Toc191577338"/>
      <w:bookmarkStart w:id="14898" w:name="_Toc192880408"/>
      <w:bookmarkStart w:id="14899" w:name="_Toc195815297"/>
      <w:bookmarkStart w:id="14900" w:name="_Toc199453264"/>
      <w:r>
        <w:lastRenderedPageBreak/>
        <w:t>5.5.6.2.8</w:t>
      </w:r>
      <w:r>
        <w:tab/>
        <w:t xml:space="preserve">Type </w:t>
      </w:r>
      <w:r>
        <w:rPr>
          <w:rFonts w:eastAsia="等线"/>
        </w:rPr>
        <w:t>NwdafMLModelTrainNotif</w:t>
      </w:r>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49ED919F" w14:textId="77777777" w:rsidR="00640768" w:rsidRDefault="00640768" w:rsidP="00640768">
      <w:pPr>
        <w:pStyle w:val="TH"/>
        <w:overflowPunct w:val="0"/>
        <w:autoSpaceDE w:val="0"/>
        <w:autoSpaceDN w:val="0"/>
        <w:adjustRightInd w:val="0"/>
        <w:textAlignment w:val="baseline"/>
        <w:rPr>
          <w:rFonts w:eastAsia="MS Mincho"/>
        </w:rPr>
      </w:pPr>
      <w:bookmarkStart w:id="14901" w:name="_Toc136562703"/>
      <w:bookmarkStart w:id="14902" w:name="_Toc138754537"/>
      <w:r>
        <w:rPr>
          <w:rFonts w:eastAsia="MS Mincho"/>
        </w:rPr>
        <w:t xml:space="preserve">Table 5.5.6.2.8-1: Definition of type </w:t>
      </w:r>
      <w:r>
        <w:rPr>
          <w:rFonts w:eastAsia="等线"/>
        </w:rPr>
        <w:t>NwdafMLModelTrainNotif</w:t>
      </w:r>
    </w:p>
    <w:tbl>
      <w:tblPr>
        <w:tblW w:w="949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9"/>
        <w:gridCol w:w="1701"/>
        <w:gridCol w:w="426"/>
        <w:gridCol w:w="1134"/>
        <w:gridCol w:w="2977"/>
        <w:gridCol w:w="1628"/>
      </w:tblGrid>
      <w:tr w:rsidR="00640768" w14:paraId="2D3DF313"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shd w:val="clear" w:color="auto" w:fill="C0C0C0"/>
          </w:tcPr>
          <w:p w14:paraId="39F853B5" w14:textId="77777777" w:rsidR="00640768" w:rsidRDefault="00640768" w:rsidP="002A71FE">
            <w:pPr>
              <w:pStyle w:val="TAH"/>
            </w:pPr>
            <w:r>
              <w:t>Attribute name</w:t>
            </w:r>
          </w:p>
        </w:tc>
        <w:tc>
          <w:tcPr>
            <w:tcW w:w="1701" w:type="dxa"/>
            <w:tcBorders>
              <w:top w:val="single" w:sz="6" w:space="0" w:color="auto"/>
              <w:left w:val="single" w:sz="6" w:space="0" w:color="auto"/>
              <w:bottom w:val="single" w:sz="6" w:space="0" w:color="auto"/>
              <w:right w:val="single" w:sz="6" w:space="0" w:color="auto"/>
            </w:tcBorders>
            <w:shd w:val="clear" w:color="auto" w:fill="C0C0C0"/>
          </w:tcPr>
          <w:p w14:paraId="06B02385" w14:textId="77777777" w:rsidR="00640768" w:rsidRDefault="00640768" w:rsidP="002A71FE">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2E4F53D9" w14:textId="77777777" w:rsidR="00640768" w:rsidRDefault="00640768" w:rsidP="002A71FE">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34507DF4" w14:textId="77777777" w:rsidR="00640768" w:rsidRDefault="00640768" w:rsidP="002A71FE">
            <w:pPr>
              <w:pStyle w:val="TAH"/>
            </w:pPr>
            <w:r>
              <w:t>Cardinality</w:t>
            </w:r>
          </w:p>
        </w:tc>
        <w:tc>
          <w:tcPr>
            <w:tcW w:w="2977" w:type="dxa"/>
            <w:tcBorders>
              <w:top w:val="single" w:sz="6" w:space="0" w:color="auto"/>
              <w:left w:val="single" w:sz="6" w:space="0" w:color="auto"/>
              <w:bottom w:val="single" w:sz="6" w:space="0" w:color="auto"/>
              <w:right w:val="single" w:sz="6" w:space="0" w:color="auto"/>
            </w:tcBorders>
            <w:shd w:val="clear" w:color="auto" w:fill="C0C0C0"/>
          </w:tcPr>
          <w:p w14:paraId="0EFCD67B" w14:textId="77777777" w:rsidR="00640768" w:rsidRDefault="00640768" w:rsidP="002A71FE">
            <w:pPr>
              <w:pStyle w:val="TAH"/>
              <w:rPr>
                <w:rFonts w:cs="Arial"/>
                <w:szCs w:val="18"/>
              </w:rPr>
            </w:pPr>
            <w:r>
              <w:rPr>
                <w:rFonts w:cs="Arial"/>
                <w:szCs w:val="18"/>
              </w:rPr>
              <w:t>Description</w:t>
            </w:r>
          </w:p>
        </w:tc>
        <w:tc>
          <w:tcPr>
            <w:tcW w:w="1628" w:type="dxa"/>
            <w:tcBorders>
              <w:top w:val="single" w:sz="6" w:space="0" w:color="auto"/>
              <w:left w:val="single" w:sz="6" w:space="0" w:color="auto"/>
              <w:bottom w:val="single" w:sz="6" w:space="0" w:color="auto"/>
              <w:right w:val="single" w:sz="6" w:space="0" w:color="auto"/>
            </w:tcBorders>
            <w:shd w:val="clear" w:color="auto" w:fill="C0C0C0"/>
          </w:tcPr>
          <w:p w14:paraId="14BCE22F" w14:textId="77777777" w:rsidR="00640768" w:rsidRDefault="00640768" w:rsidP="002A71FE">
            <w:pPr>
              <w:pStyle w:val="TAH"/>
              <w:rPr>
                <w:rFonts w:cs="Arial"/>
                <w:szCs w:val="18"/>
              </w:rPr>
            </w:pPr>
            <w:r>
              <w:rPr>
                <w:rFonts w:cs="Arial"/>
                <w:szCs w:val="18"/>
              </w:rPr>
              <w:t>Applicability</w:t>
            </w:r>
          </w:p>
        </w:tc>
      </w:tr>
      <w:tr w:rsidR="00640768" w14:paraId="30A489D2"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3CA2FD1D" w14:textId="77777777" w:rsidR="00640768" w:rsidRDefault="00640768" w:rsidP="002A71FE">
            <w:pPr>
              <w:pStyle w:val="TAL"/>
            </w:pPr>
            <w:r>
              <w:t>delayEventNotif</w:t>
            </w:r>
          </w:p>
        </w:tc>
        <w:tc>
          <w:tcPr>
            <w:tcW w:w="1701" w:type="dxa"/>
            <w:tcBorders>
              <w:top w:val="single" w:sz="6" w:space="0" w:color="auto"/>
              <w:left w:val="single" w:sz="6" w:space="0" w:color="auto"/>
              <w:bottom w:val="single" w:sz="6" w:space="0" w:color="auto"/>
              <w:right w:val="single" w:sz="6" w:space="0" w:color="auto"/>
            </w:tcBorders>
          </w:tcPr>
          <w:p w14:paraId="53D519E0" w14:textId="77777777" w:rsidR="00640768" w:rsidRDefault="00640768" w:rsidP="002A71FE">
            <w:pPr>
              <w:pStyle w:val="TAL"/>
            </w:pPr>
            <w:r>
              <w:rPr>
                <w:lang w:val="en-US" w:eastAsia="zh-CN"/>
              </w:rPr>
              <w:t>DelayEventNotif</w:t>
            </w:r>
          </w:p>
        </w:tc>
        <w:tc>
          <w:tcPr>
            <w:tcW w:w="426" w:type="dxa"/>
            <w:tcBorders>
              <w:top w:val="single" w:sz="6" w:space="0" w:color="auto"/>
              <w:left w:val="single" w:sz="6" w:space="0" w:color="auto"/>
              <w:bottom w:val="single" w:sz="6" w:space="0" w:color="auto"/>
              <w:right w:val="single" w:sz="6" w:space="0" w:color="auto"/>
            </w:tcBorders>
          </w:tcPr>
          <w:p w14:paraId="314E8622"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2C7CA570" w14:textId="77777777" w:rsidR="00640768" w:rsidRDefault="00640768" w:rsidP="002A71FE">
            <w:pPr>
              <w:pStyle w:val="TAL"/>
            </w:pPr>
            <w:r>
              <w:rPr>
                <w:rFonts w:eastAsia="Yu Mincho"/>
                <w:lang w:eastAsia="ja-JP"/>
              </w:rPr>
              <w:t>0..1</w:t>
            </w:r>
          </w:p>
        </w:tc>
        <w:tc>
          <w:tcPr>
            <w:tcW w:w="2977" w:type="dxa"/>
            <w:tcBorders>
              <w:top w:val="single" w:sz="6" w:space="0" w:color="auto"/>
              <w:left w:val="single" w:sz="6" w:space="0" w:color="auto"/>
              <w:bottom w:val="single" w:sz="6" w:space="0" w:color="auto"/>
              <w:right w:val="single" w:sz="6" w:space="0" w:color="auto"/>
            </w:tcBorders>
          </w:tcPr>
          <w:p w14:paraId="44E3806B" w14:textId="77777777" w:rsidR="00640768" w:rsidRDefault="00640768" w:rsidP="002A71FE">
            <w:pPr>
              <w:pStyle w:val="TAL"/>
            </w:pPr>
            <w:r>
              <w:t>Indicates that the NWDAF containing MTLF is not able to complete the training of ML model within the maximum response time, the cause code, and the expected time complete the training.</w:t>
            </w:r>
          </w:p>
          <w:p w14:paraId="66C274B1" w14:textId="77777777" w:rsidR="00640768" w:rsidRDefault="00640768" w:rsidP="002A71FE">
            <w:pPr>
              <w:pStyle w:val="TAL"/>
            </w:pPr>
            <w:r>
              <w:t>May be provided for Federated Learning training.</w:t>
            </w:r>
          </w:p>
          <w:p w14:paraId="4D0392C0" w14:textId="77777777" w:rsidR="00640768" w:rsidRDefault="00640768" w:rsidP="002A71FE">
            <w:pPr>
              <w:pStyle w:val="TAL"/>
              <w:rPr>
                <w:rFonts w:cs="Arial"/>
                <w:szCs w:val="18"/>
              </w:rPr>
            </w:pPr>
            <w:r>
              <w:t>(NOTE</w:t>
            </w:r>
            <w:r>
              <w:rPr>
                <w:lang w:eastAsia="zh-CN"/>
              </w:rPr>
              <w:t> </w:t>
            </w:r>
            <w:r>
              <w:rPr>
                <w:lang w:val="en-US" w:eastAsia="zh-CN"/>
              </w:rPr>
              <w:t>1</w:t>
            </w:r>
            <w:r>
              <w:t>)</w:t>
            </w:r>
          </w:p>
        </w:tc>
        <w:tc>
          <w:tcPr>
            <w:tcW w:w="1628" w:type="dxa"/>
            <w:tcBorders>
              <w:top w:val="single" w:sz="6" w:space="0" w:color="auto"/>
              <w:left w:val="single" w:sz="6" w:space="0" w:color="auto"/>
              <w:bottom w:val="single" w:sz="6" w:space="0" w:color="auto"/>
              <w:right w:val="single" w:sz="6" w:space="0" w:color="auto"/>
            </w:tcBorders>
          </w:tcPr>
          <w:p w14:paraId="1D21B189" w14:textId="77777777" w:rsidR="00640768" w:rsidRDefault="00640768" w:rsidP="002A71FE">
            <w:pPr>
              <w:pStyle w:val="TAL"/>
              <w:rPr>
                <w:rFonts w:cs="Arial"/>
                <w:szCs w:val="18"/>
              </w:rPr>
            </w:pPr>
          </w:p>
        </w:tc>
      </w:tr>
      <w:tr w:rsidR="00640768" w14:paraId="5DA04D2B"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334807D8" w14:textId="77777777" w:rsidR="00640768" w:rsidRDefault="00640768" w:rsidP="002A71FE">
            <w:pPr>
              <w:pStyle w:val="TAL"/>
            </w:pPr>
            <w:r>
              <w:t>mlCorreId</w:t>
            </w:r>
          </w:p>
        </w:tc>
        <w:tc>
          <w:tcPr>
            <w:tcW w:w="1701" w:type="dxa"/>
            <w:tcBorders>
              <w:top w:val="single" w:sz="6" w:space="0" w:color="auto"/>
              <w:left w:val="single" w:sz="6" w:space="0" w:color="auto"/>
              <w:bottom w:val="single" w:sz="6" w:space="0" w:color="auto"/>
              <w:right w:val="single" w:sz="6" w:space="0" w:color="auto"/>
            </w:tcBorders>
          </w:tcPr>
          <w:p w14:paraId="6D61B90A" w14:textId="77777777" w:rsidR="00640768" w:rsidRDefault="00640768" w:rsidP="002A71FE">
            <w:pPr>
              <w:pStyle w:val="TAL"/>
              <w:rPr>
                <w:lang w:val="en-US" w:eastAsia="zh-CN"/>
              </w:rPr>
            </w:pPr>
            <w:r>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5904B116"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240A8DF5" w14:textId="77777777" w:rsidR="00640768" w:rsidRDefault="00640768" w:rsidP="002A71FE">
            <w:pPr>
              <w:pStyle w:val="TAL"/>
              <w:rPr>
                <w:rFonts w:eastAsia="Yu Mincho"/>
                <w:lang w:eastAsia="ja-JP"/>
              </w:rPr>
            </w:pPr>
            <w:r>
              <w:rPr>
                <w:rFonts w:eastAsia="Yu Mincho"/>
                <w:lang w:eastAsia="ja-JP"/>
              </w:rPr>
              <w:t>0..1</w:t>
            </w:r>
          </w:p>
        </w:tc>
        <w:tc>
          <w:tcPr>
            <w:tcW w:w="2977" w:type="dxa"/>
            <w:tcBorders>
              <w:top w:val="single" w:sz="6" w:space="0" w:color="auto"/>
              <w:left w:val="single" w:sz="6" w:space="0" w:color="auto"/>
              <w:bottom w:val="single" w:sz="6" w:space="0" w:color="auto"/>
              <w:right w:val="single" w:sz="6" w:space="0" w:color="auto"/>
            </w:tcBorders>
          </w:tcPr>
          <w:p w14:paraId="43F4B83C" w14:textId="77777777" w:rsidR="00640768" w:rsidRDefault="00640768" w:rsidP="002A71FE">
            <w:pPr>
              <w:pStyle w:val="TAL"/>
            </w:pPr>
            <w:r>
              <w:t>Identifies the Machine Learning procedure for training the ML model.</w:t>
            </w:r>
          </w:p>
          <w:p w14:paraId="1E4CB389" w14:textId="77777777" w:rsidR="00640768" w:rsidRDefault="00640768" w:rsidP="002A71FE">
            <w:pPr>
              <w:pStyle w:val="TAL"/>
            </w:pPr>
            <w:r>
              <w:t>It shall be present when the service is for Federated Learning</w:t>
            </w:r>
            <w:r>
              <w:rPr>
                <w:rFonts w:eastAsia="等线"/>
              </w:rPr>
              <w:t>.</w:t>
            </w:r>
          </w:p>
        </w:tc>
        <w:tc>
          <w:tcPr>
            <w:tcW w:w="1628" w:type="dxa"/>
            <w:tcBorders>
              <w:top w:val="single" w:sz="6" w:space="0" w:color="auto"/>
              <w:left w:val="single" w:sz="6" w:space="0" w:color="auto"/>
              <w:bottom w:val="single" w:sz="6" w:space="0" w:color="auto"/>
              <w:right w:val="single" w:sz="6" w:space="0" w:color="auto"/>
            </w:tcBorders>
          </w:tcPr>
          <w:p w14:paraId="7F904B28" w14:textId="77777777" w:rsidR="00640768" w:rsidRDefault="00640768" w:rsidP="002A71FE">
            <w:pPr>
              <w:pStyle w:val="TAL"/>
              <w:rPr>
                <w:rFonts w:cs="Arial"/>
                <w:szCs w:val="18"/>
              </w:rPr>
            </w:pPr>
          </w:p>
        </w:tc>
      </w:tr>
      <w:tr w:rsidR="00640768" w14:paraId="56D42824"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69BD4C66" w14:textId="77777777" w:rsidR="00640768" w:rsidRDefault="00640768" w:rsidP="002A71FE">
            <w:pPr>
              <w:pStyle w:val="TAL"/>
            </w:pPr>
            <w:r>
              <w:t>mLModelInfos</w:t>
            </w:r>
          </w:p>
        </w:tc>
        <w:tc>
          <w:tcPr>
            <w:tcW w:w="1701" w:type="dxa"/>
            <w:tcBorders>
              <w:top w:val="single" w:sz="6" w:space="0" w:color="auto"/>
              <w:left w:val="single" w:sz="6" w:space="0" w:color="auto"/>
              <w:bottom w:val="single" w:sz="6" w:space="0" w:color="auto"/>
              <w:right w:val="single" w:sz="6" w:space="0" w:color="auto"/>
            </w:tcBorders>
          </w:tcPr>
          <w:p w14:paraId="1E28E6D5" w14:textId="77777777" w:rsidR="00640768" w:rsidRDefault="00640768" w:rsidP="002A71FE">
            <w:pPr>
              <w:pStyle w:val="TAL"/>
            </w:pPr>
            <w:r>
              <w:t>array(MLEventNotif)</w:t>
            </w:r>
          </w:p>
        </w:tc>
        <w:tc>
          <w:tcPr>
            <w:tcW w:w="426" w:type="dxa"/>
            <w:tcBorders>
              <w:top w:val="single" w:sz="6" w:space="0" w:color="auto"/>
              <w:left w:val="single" w:sz="6" w:space="0" w:color="auto"/>
              <w:bottom w:val="single" w:sz="6" w:space="0" w:color="auto"/>
              <w:right w:val="single" w:sz="6" w:space="0" w:color="auto"/>
            </w:tcBorders>
          </w:tcPr>
          <w:p w14:paraId="222C43EF"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1736F767" w14:textId="77777777" w:rsidR="00640768" w:rsidRDefault="00640768" w:rsidP="002A71FE">
            <w:pPr>
              <w:pStyle w:val="TAL"/>
            </w:pPr>
            <w:r>
              <w:rPr>
                <w:rFonts w:eastAsia="Yu Mincho"/>
                <w:lang w:eastAsia="ja-JP"/>
              </w:rPr>
              <w:t>1..N</w:t>
            </w:r>
          </w:p>
        </w:tc>
        <w:tc>
          <w:tcPr>
            <w:tcW w:w="2977" w:type="dxa"/>
            <w:tcBorders>
              <w:top w:val="single" w:sz="6" w:space="0" w:color="auto"/>
              <w:left w:val="single" w:sz="6" w:space="0" w:color="auto"/>
              <w:bottom w:val="single" w:sz="6" w:space="0" w:color="auto"/>
              <w:right w:val="single" w:sz="6" w:space="0" w:color="auto"/>
            </w:tcBorders>
          </w:tcPr>
          <w:p w14:paraId="32BDDA26" w14:textId="77777777" w:rsidR="00640768" w:rsidRDefault="00640768" w:rsidP="002A71FE">
            <w:pPr>
              <w:pStyle w:val="TAL"/>
            </w:pPr>
            <w:r w:rsidRPr="00F3114C">
              <w:t>Represents the</w:t>
            </w:r>
            <w:r>
              <w:t xml:space="preserve"> ML Model information</w:t>
            </w:r>
            <w:r>
              <w:rPr>
                <w:rFonts w:cs="Arial"/>
                <w:szCs w:val="18"/>
                <w:lang w:eastAsia="zh-CN"/>
              </w:rPr>
              <w:t>.</w:t>
            </w:r>
            <w:r w:rsidDel="008F0F17">
              <w:t xml:space="preserve"> </w:t>
            </w:r>
            <w:r>
              <w:rPr>
                <w:rFonts w:eastAsia="等线"/>
              </w:rPr>
              <w:t>(NOTE</w:t>
            </w:r>
            <w:r>
              <w:rPr>
                <w:lang w:eastAsia="zh-CN"/>
              </w:rPr>
              <w:t> </w:t>
            </w:r>
            <w:r>
              <w:rPr>
                <w:lang w:val="en-US" w:eastAsia="zh-CN"/>
              </w:rPr>
              <w:t>1</w:t>
            </w:r>
            <w:r>
              <w:rPr>
                <w:rFonts w:eastAsia="等线"/>
              </w:rPr>
              <w:t>) (NOTE</w:t>
            </w:r>
            <w:r>
              <w:rPr>
                <w:lang w:eastAsia="zh-CN"/>
              </w:rPr>
              <w:t> </w:t>
            </w:r>
            <w:r>
              <w:rPr>
                <w:lang w:val="en-US" w:eastAsia="zh-CN"/>
              </w:rPr>
              <w:t>2</w:t>
            </w:r>
            <w:r>
              <w:rPr>
                <w:rFonts w:eastAsia="等线"/>
              </w:rPr>
              <w:t>)</w:t>
            </w:r>
          </w:p>
        </w:tc>
        <w:tc>
          <w:tcPr>
            <w:tcW w:w="1628" w:type="dxa"/>
            <w:tcBorders>
              <w:top w:val="single" w:sz="6" w:space="0" w:color="auto"/>
              <w:left w:val="single" w:sz="6" w:space="0" w:color="auto"/>
              <w:bottom w:val="single" w:sz="6" w:space="0" w:color="auto"/>
              <w:right w:val="single" w:sz="6" w:space="0" w:color="auto"/>
            </w:tcBorders>
          </w:tcPr>
          <w:p w14:paraId="3866B255" w14:textId="77777777" w:rsidR="00640768" w:rsidRDefault="00640768" w:rsidP="002A71FE">
            <w:pPr>
              <w:pStyle w:val="TAL"/>
              <w:rPr>
                <w:rFonts w:cs="Arial"/>
                <w:szCs w:val="18"/>
              </w:rPr>
            </w:pPr>
          </w:p>
        </w:tc>
      </w:tr>
      <w:tr w:rsidR="00640768" w14:paraId="213CB5B9"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2414CEF0" w14:textId="77777777" w:rsidR="00640768" w:rsidRDefault="00640768" w:rsidP="002A71FE">
            <w:pPr>
              <w:pStyle w:val="TAL"/>
            </w:pPr>
            <w:r>
              <w:rPr>
                <w:lang w:eastAsia="zh-CN"/>
              </w:rPr>
              <w:t>notifCorreId</w:t>
            </w:r>
          </w:p>
        </w:tc>
        <w:tc>
          <w:tcPr>
            <w:tcW w:w="1701" w:type="dxa"/>
            <w:tcBorders>
              <w:top w:val="single" w:sz="6" w:space="0" w:color="auto"/>
              <w:left w:val="single" w:sz="6" w:space="0" w:color="auto"/>
              <w:bottom w:val="single" w:sz="6" w:space="0" w:color="auto"/>
              <w:right w:val="single" w:sz="6" w:space="0" w:color="auto"/>
            </w:tcBorders>
          </w:tcPr>
          <w:p w14:paraId="4D538934" w14:textId="77777777" w:rsidR="00640768" w:rsidRDefault="00640768" w:rsidP="002A71FE">
            <w:pPr>
              <w:pStyle w:val="TAL"/>
            </w:pPr>
            <w:r>
              <w:rPr>
                <w:lang w:eastAsia="zh-CN"/>
              </w:rPr>
              <w:t>string</w:t>
            </w:r>
          </w:p>
        </w:tc>
        <w:tc>
          <w:tcPr>
            <w:tcW w:w="426" w:type="dxa"/>
            <w:tcBorders>
              <w:top w:val="single" w:sz="6" w:space="0" w:color="auto"/>
              <w:left w:val="single" w:sz="6" w:space="0" w:color="auto"/>
              <w:bottom w:val="single" w:sz="6" w:space="0" w:color="auto"/>
              <w:right w:val="single" w:sz="6" w:space="0" w:color="auto"/>
            </w:tcBorders>
          </w:tcPr>
          <w:p w14:paraId="18C37CB0" w14:textId="77777777" w:rsidR="00640768" w:rsidRDefault="00640768" w:rsidP="002A71FE">
            <w:pPr>
              <w:pStyle w:val="TAL"/>
              <w:jc w:val="center"/>
            </w:pPr>
            <w:r>
              <w:t>M</w:t>
            </w:r>
          </w:p>
        </w:tc>
        <w:tc>
          <w:tcPr>
            <w:tcW w:w="1134" w:type="dxa"/>
            <w:tcBorders>
              <w:top w:val="single" w:sz="6" w:space="0" w:color="auto"/>
              <w:left w:val="single" w:sz="6" w:space="0" w:color="auto"/>
              <w:bottom w:val="single" w:sz="6" w:space="0" w:color="auto"/>
              <w:right w:val="single" w:sz="6" w:space="0" w:color="auto"/>
            </w:tcBorders>
          </w:tcPr>
          <w:p w14:paraId="1E933BE3" w14:textId="77777777" w:rsidR="00640768" w:rsidRDefault="00640768" w:rsidP="002A71FE">
            <w:pPr>
              <w:pStyle w:val="TAL"/>
            </w:pPr>
            <w:r>
              <w:rPr>
                <w:rFonts w:eastAsia="Yu Mincho"/>
                <w:lang w:eastAsia="ja-JP"/>
              </w:rPr>
              <w:t>1</w:t>
            </w:r>
          </w:p>
        </w:tc>
        <w:tc>
          <w:tcPr>
            <w:tcW w:w="2977" w:type="dxa"/>
            <w:tcBorders>
              <w:top w:val="single" w:sz="6" w:space="0" w:color="auto"/>
              <w:left w:val="single" w:sz="6" w:space="0" w:color="auto"/>
              <w:bottom w:val="single" w:sz="6" w:space="0" w:color="auto"/>
              <w:right w:val="single" w:sz="6" w:space="0" w:color="auto"/>
            </w:tcBorders>
          </w:tcPr>
          <w:p w14:paraId="116D460A" w14:textId="77777777" w:rsidR="00640768" w:rsidRDefault="00640768" w:rsidP="002A71FE">
            <w:pPr>
              <w:pStyle w:val="TAL"/>
            </w:pPr>
            <w:r>
              <w:rPr>
                <w:lang w:eastAsia="zh-CN"/>
              </w:rPr>
              <w:t>Notification correlation ID used to identify the subscription to which the notification relates. It shall be set to the same value as the "</w:t>
            </w:r>
            <w:r>
              <w:rPr>
                <w:lang w:eastAsia="zh-CN"/>
              </w:rPr>
              <w:t>notifCorreId"</w:t>
            </w:r>
            <w:r>
              <w:rPr>
                <w:lang w:eastAsia="zh-CN"/>
              </w:rPr>
              <w:t xml:space="preserve"> attribute of </w:t>
            </w:r>
            <w:r>
              <w:rPr>
                <w:rFonts w:eastAsia="等线"/>
              </w:rPr>
              <w:t>NwdafMLModelTrainSubsc</w:t>
            </w:r>
            <w:r>
              <w:rPr>
                <w:lang w:eastAsia="zh-CN"/>
              </w:rPr>
              <w:t xml:space="preserve"> data type</w:t>
            </w:r>
            <w:r>
              <w:rPr>
                <w:rFonts w:eastAsia="等线"/>
              </w:rPr>
              <w:t>.</w:t>
            </w:r>
          </w:p>
        </w:tc>
        <w:tc>
          <w:tcPr>
            <w:tcW w:w="1628" w:type="dxa"/>
            <w:tcBorders>
              <w:top w:val="single" w:sz="6" w:space="0" w:color="auto"/>
              <w:left w:val="single" w:sz="6" w:space="0" w:color="auto"/>
              <w:bottom w:val="single" w:sz="6" w:space="0" w:color="auto"/>
              <w:right w:val="single" w:sz="6" w:space="0" w:color="auto"/>
            </w:tcBorders>
          </w:tcPr>
          <w:p w14:paraId="2824A78E" w14:textId="77777777" w:rsidR="00640768" w:rsidRDefault="00640768" w:rsidP="002A71FE">
            <w:pPr>
              <w:pStyle w:val="TAL"/>
              <w:rPr>
                <w:rFonts w:cs="Arial"/>
                <w:szCs w:val="18"/>
              </w:rPr>
            </w:pPr>
          </w:p>
        </w:tc>
      </w:tr>
      <w:tr w:rsidR="00640768" w14:paraId="2E4139DA"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31144A75" w14:textId="77777777" w:rsidR="00640768" w:rsidRDefault="00640768" w:rsidP="002A71FE">
            <w:pPr>
              <w:pStyle w:val="TAL"/>
            </w:pPr>
            <w:r>
              <w:t>roundInd</w:t>
            </w:r>
          </w:p>
        </w:tc>
        <w:tc>
          <w:tcPr>
            <w:tcW w:w="1701" w:type="dxa"/>
            <w:tcBorders>
              <w:top w:val="single" w:sz="6" w:space="0" w:color="auto"/>
              <w:left w:val="single" w:sz="6" w:space="0" w:color="auto"/>
              <w:bottom w:val="single" w:sz="6" w:space="0" w:color="auto"/>
              <w:right w:val="single" w:sz="6" w:space="0" w:color="auto"/>
            </w:tcBorders>
          </w:tcPr>
          <w:p w14:paraId="72793295" w14:textId="77777777" w:rsidR="00640768" w:rsidRDefault="00640768" w:rsidP="002A71FE">
            <w:pPr>
              <w:pStyle w:val="TAL"/>
            </w:pPr>
            <w:r>
              <w:t>Uinteger</w:t>
            </w:r>
          </w:p>
        </w:tc>
        <w:tc>
          <w:tcPr>
            <w:tcW w:w="426" w:type="dxa"/>
            <w:tcBorders>
              <w:top w:val="single" w:sz="6" w:space="0" w:color="auto"/>
              <w:left w:val="single" w:sz="6" w:space="0" w:color="auto"/>
              <w:bottom w:val="single" w:sz="6" w:space="0" w:color="auto"/>
              <w:right w:val="single" w:sz="6" w:space="0" w:color="auto"/>
            </w:tcBorders>
          </w:tcPr>
          <w:p w14:paraId="2E96744B" w14:textId="77777777" w:rsidR="00640768" w:rsidRDefault="00640768" w:rsidP="002A71FE">
            <w:pPr>
              <w:pStyle w:val="TAL"/>
              <w:jc w:val="center"/>
            </w:pPr>
            <w:r>
              <w:t>O</w:t>
            </w:r>
          </w:p>
        </w:tc>
        <w:tc>
          <w:tcPr>
            <w:tcW w:w="1134" w:type="dxa"/>
            <w:tcBorders>
              <w:top w:val="single" w:sz="6" w:space="0" w:color="auto"/>
              <w:left w:val="single" w:sz="6" w:space="0" w:color="auto"/>
              <w:bottom w:val="single" w:sz="6" w:space="0" w:color="auto"/>
              <w:right w:val="single" w:sz="6" w:space="0" w:color="auto"/>
            </w:tcBorders>
          </w:tcPr>
          <w:p w14:paraId="5CF825F4" w14:textId="77777777" w:rsidR="00640768" w:rsidRDefault="00640768" w:rsidP="002A71FE">
            <w:pPr>
              <w:pStyle w:val="TAL"/>
            </w:pPr>
            <w:r>
              <w:t>0..1</w:t>
            </w:r>
          </w:p>
        </w:tc>
        <w:tc>
          <w:tcPr>
            <w:tcW w:w="2977" w:type="dxa"/>
            <w:tcBorders>
              <w:top w:val="single" w:sz="6" w:space="0" w:color="auto"/>
              <w:left w:val="single" w:sz="6" w:space="0" w:color="auto"/>
              <w:bottom w:val="single" w:sz="6" w:space="0" w:color="auto"/>
              <w:right w:val="single" w:sz="6" w:space="0" w:color="auto"/>
            </w:tcBorders>
            <w:vAlign w:val="center"/>
          </w:tcPr>
          <w:p w14:paraId="36D4F123" w14:textId="77777777" w:rsidR="00640768" w:rsidRDefault="00640768" w:rsidP="002A71FE">
            <w:pPr>
              <w:pStyle w:val="TAL"/>
            </w:pPr>
            <w:r>
              <w:t>Indicates the round number of the training in a multi-round training process.</w:t>
            </w:r>
          </w:p>
        </w:tc>
        <w:tc>
          <w:tcPr>
            <w:tcW w:w="1628" w:type="dxa"/>
            <w:tcBorders>
              <w:top w:val="single" w:sz="6" w:space="0" w:color="auto"/>
              <w:left w:val="single" w:sz="6" w:space="0" w:color="auto"/>
              <w:bottom w:val="single" w:sz="6" w:space="0" w:color="auto"/>
              <w:right w:val="single" w:sz="6" w:space="0" w:color="auto"/>
            </w:tcBorders>
          </w:tcPr>
          <w:p w14:paraId="223389FB" w14:textId="77777777" w:rsidR="00640768" w:rsidRDefault="00640768" w:rsidP="002A71FE">
            <w:pPr>
              <w:pStyle w:val="TAL"/>
              <w:rPr>
                <w:rFonts w:cs="Arial"/>
                <w:szCs w:val="18"/>
              </w:rPr>
            </w:pPr>
          </w:p>
        </w:tc>
      </w:tr>
      <w:tr w:rsidR="00640768" w14:paraId="538CF5F3"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1755279B" w14:textId="77777777" w:rsidR="00640768" w:rsidRDefault="00640768" w:rsidP="002A71FE">
            <w:pPr>
              <w:pStyle w:val="TAL"/>
            </w:pPr>
            <w:r>
              <w:t>statusReport</w:t>
            </w:r>
          </w:p>
        </w:tc>
        <w:tc>
          <w:tcPr>
            <w:tcW w:w="1701" w:type="dxa"/>
            <w:tcBorders>
              <w:top w:val="single" w:sz="6" w:space="0" w:color="auto"/>
              <w:left w:val="single" w:sz="6" w:space="0" w:color="auto"/>
              <w:bottom w:val="single" w:sz="6" w:space="0" w:color="auto"/>
              <w:right w:val="single" w:sz="6" w:space="0" w:color="auto"/>
            </w:tcBorders>
          </w:tcPr>
          <w:p w14:paraId="38DD1CC2" w14:textId="77777777" w:rsidR="00640768" w:rsidRDefault="00640768" w:rsidP="002A71FE">
            <w:pPr>
              <w:pStyle w:val="TAL"/>
            </w:pPr>
            <w:r>
              <w:t>StatusReportInfo</w:t>
            </w:r>
          </w:p>
        </w:tc>
        <w:tc>
          <w:tcPr>
            <w:tcW w:w="426" w:type="dxa"/>
            <w:tcBorders>
              <w:top w:val="single" w:sz="6" w:space="0" w:color="auto"/>
              <w:left w:val="single" w:sz="6" w:space="0" w:color="auto"/>
              <w:bottom w:val="single" w:sz="6" w:space="0" w:color="auto"/>
              <w:right w:val="single" w:sz="6" w:space="0" w:color="auto"/>
            </w:tcBorders>
          </w:tcPr>
          <w:p w14:paraId="15A501D7" w14:textId="77777777" w:rsidR="00640768" w:rsidRDefault="00640768" w:rsidP="002A71FE">
            <w:pPr>
              <w:pStyle w:val="TAL"/>
              <w:jc w:val="center"/>
            </w:pPr>
            <w:r>
              <w:t>O</w:t>
            </w:r>
          </w:p>
        </w:tc>
        <w:tc>
          <w:tcPr>
            <w:tcW w:w="1134" w:type="dxa"/>
            <w:tcBorders>
              <w:top w:val="single" w:sz="6" w:space="0" w:color="auto"/>
              <w:left w:val="single" w:sz="6" w:space="0" w:color="auto"/>
              <w:bottom w:val="single" w:sz="6" w:space="0" w:color="auto"/>
              <w:right w:val="single" w:sz="6" w:space="0" w:color="auto"/>
            </w:tcBorders>
          </w:tcPr>
          <w:p w14:paraId="764453E4" w14:textId="77777777" w:rsidR="00640768" w:rsidRDefault="00640768" w:rsidP="002A71FE">
            <w:pPr>
              <w:pStyle w:val="TAL"/>
            </w:pPr>
            <w:r>
              <w:t>0..1</w:t>
            </w:r>
          </w:p>
        </w:tc>
        <w:tc>
          <w:tcPr>
            <w:tcW w:w="2977" w:type="dxa"/>
            <w:tcBorders>
              <w:top w:val="single" w:sz="6" w:space="0" w:color="auto"/>
              <w:left w:val="single" w:sz="6" w:space="0" w:color="auto"/>
              <w:bottom w:val="single" w:sz="6" w:space="0" w:color="auto"/>
              <w:right w:val="single" w:sz="6" w:space="0" w:color="auto"/>
            </w:tcBorders>
            <w:vAlign w:val="center"/>
          </w:tcPr>
          <w:p w14:paraId="36535A46" w14:textId="77777777" w:rsidR="00640768" w:rsidRDefault="00640768" w:rsidP="002A71FE">
            <w:pPr>
              <w:pStyle w:val="TAL"/>
            </w:pPr>
            <w:r>
              <w:t>Indicates status information generated by the NWDAF containing MTLF during ML model training.</w:t>
            </w:r>
          </w:p>
          <w:p w14:paraId="36BB006E" w14:textId="77777777" w:rsidR="00640768" w:rsidRDefault="00640768" w:rsidP="002A71FE">
            <w:pPr>
              <w:pStyle w:val="TAL"/>
            </w:pPr>
            <w:r>
              <w:t>May be provided for Federated Learning training.</w:t>
            </w:r>
          </w:p>
        </w:tc>
        <w:tc>
          <w:tcPr>
            <w:tcW w:w="1628" w:type="dxa"/>
            <w:tcBorders>
              <w:top w:val="single" w:sz="6" w:space="0" w:color="auto"/>
              <w:left w:val="single" w:sz="6" w:space="0" w:color="auto"/>
              <w:bottom w:val="single" w:sz="6" w:space="0" w:color="auto"/>
              <w:right w:val="single" w:sz="6" w:space="0" w:color="auto"/>
            </w:tcBorders>
          </w:tcPr>
          <w:p w14:paraId="3F0C3D00" w14:textId="77777777" w:rsidR="00640768" w:rsidRDefault="00640768" w:rsidP="002A71FE">
            <w:pPr>
              <w:pStyle w:val="TAL"/>
              <w:rPr>
                <w:rFonts w:cs="Arial"/>
                <w:szCs w:val="18"/>
              </w:rPr>
            </w:pPr>
          </w:p>
        </w:tc>
      </w:tr>
      <w:tr w:rsidR="00640768" w14:paraId="1B73906B" w14:textId="77777777" w:rsidTr="002A71FE">
        <w:trPr>
          <w:jc w:val="center"/>
        </w:trPr>
        <w:tc>
          <w:tcPr>
            <w:tcW w:w="1629" w:type="dxa"/>
            <w:tcBorders>
              <w:top w:val="single" w:sz="6" w:space="0" w:color="auto"/>
              <w:left w:val="single" w:sz="6" w:space="0" w:color="auto"/>
              <w:bottom w:val="single" w:sz="6" w:space="0" w:color="auto"/>
              <w:right w:val="single" w:sz="6" w:space="0" w:color="auto"/>
            </w:tcBorders>
          </w:tcPr>
          <w:p w14:paraId="61C45A05" w14:textId="77777777" w:rsidR="00640768" w:rsidRDefault="00640768" w:rsidP="002A71FE">
            <w:pPr>
              <w:pStyle w:val="TAL"/>
            </w:pPr>
            <w:r>
              <w:t>termTrainReq</w:t>
            </w:r>
          </w:p>
        </w:tc>
        <w:tc>
          <w:tcPr>
            <w:tcW w:w="1701" w:type="dxa"/>
            <w:tcBorders>
              <w:top w:val="single" w:sz="6" w:space="0" w:color="auto"/>
              <w:left w:val="single" w:sz="6" w:space="0" w:color="auto"/>
              <w:bottom w:val="single" w:sz="6" w:space="0" w:color="auto"/>
              <w:right w:val="single" w:sz="6" w:space="0" w:color="auto"/>
            </w:tcBorders>
          </w:tcPr>
          <w:p w14:paraId="44BE5D7D" w14:textId="77777777" w:rsidR="00640768" w:rsidRDefault="00640768" w:rsidP="002A71FE">
            <w:pPr>
              <w:pStyle w:val="TAL"/>
            </w:pPr>
            <w:r>
              <w:rPr>
                <w:lang w:eastAsia="zh-CN"/>
              </w:rPr>
              <w:t>TermTrainCause</w:t>
            </w:r>
          </w:p>
        </w:tc>
        <w:tc>
          <w:tcPr>
            <w:tcW w:w="426" w:type="dxa"/>
            <w:tcBorders>
              <w:top w:val="single" w:sz="6" w:space="0" w:color="auto"/>
              <w:left w:val="single" w:sz="6" w:space="0" w:color="auto"/>
              <w:bottom w:val="single" w:sz="6" w:space="0" w:color="auto"/>
              <w:right w:val="single" w:sz="6" w:space="0" w:color="auto"/>
            </w:tcBorders>
          </w:tcPr>
          <w:p w14:paraId="56155EEC" w14:textId="77777777" w:rsidR="00640768" w:rsidRDefault="00640768" w:rsidP="002A71FE">
            <w:pPr>
              <w:pStyle w:val="TAL"/>
              <w:jc w:val="center"/>
            </w:pPr>
            <w:r>
              <w:t>C</w:t>
            </w:r>
          </w:p>
        </w:tc>
        <w:tc>
          <w:tcPr>
            <w:tcW w:w="1134" w:type="dxa"/>
            <w:tcBorders>
              <w:top w:val="single" w:sz="6" w:space="0" w:color="auto"/>
              <w:left w:val="single" w:sz="6" w:space="0" w:color="auto"/>
              <w:bottom w:val="single" w:sz="6" w:space="0" w:color="auto"/>
              <w:right w:val="single" w:sz="6" w:space="0" w:color="auto"/>
            </w:tcBorders>
          </w:tcPr>
          <w:p w14:paraId="0CE76DC3" w14:textId="77777777" w:rsidR="00640768" w:rsidRDefault="00640768" w:rsidP="002A71FE">
            <w:pPr>
              <w:pStyle w:val="TAL"/>
            </w:pPr>
            <w:r>
              <w:t>0..1</w:t>
            </w:r>
          </w:p>
        </w:tc>
        <w:tc>
          <w:tcPr>
            <w:tcW w:w="2977" w:type="dxa"/>
            <w:tcBorders>
              <w:top w:val="single" w:sz="6" w:space="0" w:color="auto"/>
              <w:left w:val="single" w:sz="6" w:space="0" w:color="auto"/>
              <w:bottom w:val="single" w:sz="6" w:space="0" w:color="auto"/>
              <w:right w:val="single" w:sz="6" w:space="0" w:color="auto"/>
            </w:tcBorders>
          </w:tcPr>
          <w:p w14:paraId="256A8624" w14:textId="77777777" w:rsidR="00640768" w:rsidRDefault="00640768" w:rsidP="002A71FE">
            <w:pPr>
              <w:pStyle w:val="TAL"/>
            </w:pPr>
            <w:r>
              <w:rPr>
                <w:lang w:eastAsia="zh-CN"/>
              </w:rPr>
              <w:t>If provided, it indicates that the subscription is requested to be terminated (i.e. no further notifications related to this subscription will be provided) and it</w:t>
            </w:r>
            <w:r>
              <w:t>contains the reason why the subscription is requested to be terminated.</w:t>
            </w:r>
          </w:p>
          <w:p w14:paraId="02A8E4AE" w14:textId="77777777" w:rsidR="00640768" w:rsidRDefault="00640768" w:rsidP="002A71FE">
            <w:pPr>
              <w:pStyle w:val="TAL"/>
            </w:pPr>
            <w:r>
              <w:t>(NOTE</w:t>
            </w:r>
            <w:r>
              <w:rPr>
                <w:lang w:eastAsia="zh-CN"/>
              </w:rPr>
              <w:t> </w:t>
            </w:r>
            <w:r>
              <w:rPr>
                <w:lang w:val="en-US" w:eastAsia="zh-CN"/>
              </w:rPr>
              <w:t>1</w:t>
            </w:r>
            <w:r>
              <w:t>)</w:t>
            </w:r>
          </w:p>
        </w:tc>
        <w:tc>
          <w:tcPr>
            <w:tcW w:w="1628" w:type="dxa"/>
            <w:tcBorders>
              <w:top w:val="single" w:sz="6" w:space="0" w:color="auto"/>
              <w:left w:val="single" w:sz="6" w:space="0" w:color="auto"/>
              <w:bottom w:val="single" w:sz="6" w:space="0" w:color="auto"/>
              <w:right w:val="single" w:sz="6" w:space="0" w:color="auto"/>
            </w:tcBorders>
          </w:tcPr>
          <w:p w14:paraId="24599345" w14:textId="77777777" w:rsidR="00640768" w:rsidRDefault="00640768" w:rsidP="002A71FE">
            <w:pPr>
              <w:pStyle w:val="TAL"/>
              <w:rPr>
                <w:rFonts w:cs="Arial"/>
                <w:szCs w:val="18"/>
              </w:rPr>
            </w:pPr>
          </w:p>
        </w:tc>
      </w:tr>
      <w:tr w:rsidR="00640768" w14:paraId="36F61B4A" w14:textId="77777777" w:rsidTr="002A71FE">
        <w:trPr>
          <w:jc w:val="center"/>
        </w:trPr>
        <w:tc>
          <w:tcPr>
            <w:tcW w:w="9495" w:type="dxa"/>
            <w:gridSpan w:val="6"/>
            <w:tcBorders>
              <w:top w:val="single" w:sz="6" w:space="0" w:color="auto"/>
              <w:left w:val="single" w:sz="6" w:space="0" w:color="auto"/>
              <w:bottom w:val="single" w:sz="6" w:space="0" w:color="auto"/>
              <w:right w:val="single" w:sz="6" w:space="0" w:color="auto"/>
            </w:tcBorders>
          </w:tcPr>
          <w:p w14:paraId="3B7814E4" w14:textId="77777777" w:rsidR="00640768" w:rsidRDefault="00640768" w:rsidP="002A71FE">
            <w:pPr>
              <w:pStyle w:val="TAN"/>
            </w:pPr>
            <w:r>
              <w:rPr>
                <w:rFonts w:cs="Arial"/>
                <w:szCs w:val="18"/>
              </w:rPr>
              <w:t>NOTE</w:t>
            </w:r>
            <w:r>
              <w:rPr>
                <w:lang w:eastAsia="zh-CN"/>
              </w:rPr>
              <w:t> </w:t>
            </w:r>
            <w:r>
              <w:rPr>
                <w:lang w:val="en-US" w:eastAsia="zh-CN"/>
              </w:rPr>
              <w:t>1</w:t>
            </w:r>
            <w:r>
              <w:rPr>
                <w:rFonts w:cs="Arial"/>
                <w:szCs w:val="18"/>
              </w:rPr>
              <w:t>:</w:t>
            </w:r>
            <w:r>
              <w:tab/>
              <w:t>At least one of the "delayEventNotif", "mLModelInfos" or "termTrainReq" attribute shall be provided. The "delayEventNotif" attribute and "mLModelInfos" attribute are mutually exclusive. The "delayEventNotif" attribute and "termTrainReq" attribute are mutually exclusive.</w:t>
            </w:r>
          </w:p>
          <w:p w14:paraId="08C63544" w14:textId="77777777" w:rsidR="00640768" w:rsidRDefault="00640768" w:rsidP="002A71FE">
            <w:pPr>
              <w:pStyle w:val="TAN"/>
            </w:pPr>
            <w:r>
              <w:rPr>
                <w:rFonts w:eastAsia="等线"/>
              </w:rPr>
              <w:t>NOTE</w:t>
            </w:r>
            <w:r>
              <w:rPr>
                <w:lang w:eastAsia="zh-CN"/>
              </w:rPr>
              <w:t> </w:t>
            </w:r>
            <w:r>
              <w:rPr>
                <w:lang w:val="en-US" w:eastAsia="zh-CN"/>
              </w:rPr>
              <w:t>2</w:t>
            </w:r>
            <w:r>
              <w:rPr>
                <w:rFonts w:cs="Arial"/>
                <w:szCs w:val="18"/>
              </w:rPr>
              <w:t>:</w:t>
            </w:r>
            <w:r>
              <w:tab/>
            </w:r>
            <w:r w:rsidRPr="00620353">
              <w:t>Only the "</w:t>
            </w:r>
            <w:r>
              <w:t>e</w:t>
            </w:r>
            <w:r>
              <w:rPr>
                <w:rFonts w:hint="eastAsia"/>
              </w:rPr>
              <w:t>vent</w:t>
            </w:r>
            <w:r w:rsidRPr="00620353">
              <w:t>"</w:t>
            </w:r>
            <w:r>
              <w:t>,</w:t>
            </w:r>
            <w:r w:rsidRPr="00620353">
              <w:t xml:space="preserve"> "</w:t>
            </w:r>
            <w:r>
              <w:t>mLFileAddr</w:t>
            </w:r>
            <w:r w:rsidRPr="00620353">
              <w:t>"</w:t>
            </w:r>
            <w:r>
              <w:t>,</w:t>
            </w:r>
            <w:r w:rsidRPr="00620353">
              <w:t xml:space="preserve"> "</w:t>
            </w:r>
            <w:r>
              <w:t>mLModelAdrf</w:t>
            </w:r>
            <w:r w:rsidRPr="00620353">
              <w:t>"</w:t>
            </w:r>
            <w:r>
              <w:t>,</w:t>
            </w:r>
            <w:r w:rsidRPr="00620353">
              <w:t xml:space="preserve"> "</w:t>
            </w:r>
            <w:r>
              <w:rPr>
                <w:lang w:eastAsia="zh-CN"/>
              </w:rPr>
              <w:t>modelUniqueId</w:t>
            </w:r>
            <w:r w:rsidRPr="00620353">
              <w:t>" and "</w:t>
            </w:r>
            <w:r>
              <w:rPr>
                <w:lang w:eastAsia="ja-JP"/>
              </w:rPr>
              <w:t>useCaseCxt</w:t>
            </w:r>
            <w:r w:rsidRPr="00620353">
              <w:t xml:space="preserve">" attributes contained in </w:t>
            </w:r>
            <w:r>
              <w:t>MLEventNotif</w:t>
            </w:r>
            <w:r w:rsidRPr="00620353">
              <w:t xml:space="preserve"> data type are applicable.</w:t>
            </w:r>
          </w:p>
        </w:tc>
      </w:tr>
      <w:bookmarkEnd w:id="14901"/>
      <w:bookmarkEnd w:id="14902"/>
    </w:tbl>
    <w:p w14:paraId="1A81B875" w14:textId="77777777" w:rsidR="00640768" w:rsidRDefault="00640768" w:rsidP="00640768"/>
    <w:p w14:paraId="7D8E1A6C" w14:textId="77777777" w:rsidR="00A10B25" w:rsidRDefault="00A10B25" w:rsidP="0076721C">
      <w:pPr>
        <w:pStyle w:val="5"/>
        <w:rPr>
          <w:lang w:val="en-US" w:eastAsia="zh-CN"/>
        </w:rPr>
      </w:pPr>
      <w:bookmarkStart w:id="14903" w:name="_Toc164921136"/>
      <w:bookmarkStart w:id="14904" w:name="_Toc170120678"/>
      <w:bookmarkStart w:id="14905" w:name="_Toc175858923"/>
      <w:bookmarkStart w:id="14906" w:name="_Toc175859996"/>
      <w:bookmarkStart w:id="14907" w:name="_Toc180606286"/>
      <w:bookmarkStart w:id="14908" w:name="_Toc185517547"/>
      <w:bookmarkStart w:id="14909" w:name="_Toc191576599"/>
      <w:bookmarkStart w:id="14910" w:name="_Toc191577339"/>
      <w:bookmarkStart w:id="14911" w:name="_Toc192880409"/>
      <w:bookmarkStart w:id="14912" w:name="_Toc195815298"/>
      <w:bookmarkStart w:id="14913" w:name="_Toc199453265"/>
      <w:r>
        <w:lastRenderedPageBreak/>
        <w:t>5.5.6.2.9</w:t>
      </w:r>
      <w:r>
        <w:tab/>
        <w:t>Void</w:t>
      </w:r>
      <w:bookmarkEnd w:id="14884"/>
      <w:bookmarkEnd w:id="14885"/>
      <w:bookmarkEnd w:id="14903"/>
      <w:bookmarkEnd w:id="14904"/>
      <w:bookmarkEnd w:id="14905"/>
      <w:bookmarkEnd w:id="14906"/>
      <w:bookmarkEnd w:id="14907"/>
      <w:bookmarkEnd w:id="14908"/>
      <w:bookmarkEnd w:id="14909"/>
      <w:bookmarkEnd w:id="14910"/>
      <w:bookmarkEnd w:id="14911"/>
      <w:bookmarkEnd w:id="14912"/>
      <w:bookmarkEnd w:id="14913"/>
    </w:p>
    <w:p w14:paraId="4F988ABC" w14:textId="77777777" w:rsidR="00A10B25" w:rsidRDefault="00A10B25">
      <w:pPr>
        <w:pStyle w:val="5"/>
      </w:pPr>
      <w:bookmarkStart w:id="14914" w:name="_Toc145706031"/>
      <w:bookmarkStart w:id="14915" w:name="_Toc148522948"/>
      <w:bookmarkStart w:id="14916" w:name="_Toc164921137"/>
      <w:bookmarkStart w:id="14917" w:name="_Toc170120679"/>
      <w:bookmarkStart w:id="14918" w:name="_Toc175858924"/>
      <w:bookmarkStart w:id="14919" w:name="_Toc175859997"/>
      <w:bookmarkStart w:id="14920" w:name="_Toc180606287"/>
      <w:bookmarkStart w:id="14921" w:name="_Toc185517548"/>
      <w:bookmarkStart w:id="14922" w:name="_Toc191576600"/>
      <w:bookmarkStart w:id="14923" w:name="_Toc191577340"/>
      <w:bookmarkStart w:id="14924" w:name="_Toc192880410"/>
      <w:bookmarkStart w:id="14925" w:name="_Toc195815299"/>
      <w:bookmarkStart w:id="14926" w:name="_Toc199453266"/>
      <w:r>
        <w:t>5.5.6.2.10</w:t>
      </w:r>
      <w:r>
        <w:tab/>
        <w:t xml:space="preserve">Type </w:t>
      </w:r>
      <w:r>
        <w:rPr>
          <w:lang w:val="en-US" w:eastAsia="zh-CN"/>
        </w:rPr>
        <w:t>DataAvReq</w:t>
      </w:r>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p>
    <w:p w14:paraId="2A0F1E8C"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5.5.6.2.10-1: Definition of type </w:t>
      </w:r>
      <w:r>
        <w:rPr>
          <w:lang w:val="en-US" w:eastAsia="zh-CN"/>
        </w:rPr>
        <w:t>DataAvReq</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1F3ACF1F" w14:textId="77777777">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113A8F1" w14:textId="77777777" w:rsidR="00A10B25" w:rsidRDefault="00A10B25">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0A44F55A"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12854255"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1D4E790B" w14:textId="77777777" w:rsidR="00A10B25" w:rsidRDefault="00A10B25">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66865D61" w14:textId="77777777" w:rsidR="00A10B25" w:rsidRDefault="00A10B25">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4BB94FE5" w14:textId="77777777" w:rsidR="00A10B25" w:rsidRDefault="00A10B25">
            <w:pPr>
              <w:pStyle w:val="TAH"/>
              <w:rPr>
                <w:rFonts w:cs="Arial"/>
                <w:szCs w:val="18"/>
              </w:rPr>
            </w:pPr>
            <w:r>
              <w:rPr>
                <w:rFonts w:cs="Arial"/>
                <w:szCs w:val="18"/>
              </w:rPr>
              <w:t>Applicability</w:t>
            </w:r>
          </w:p>
        </w:tc>
      </w:tr>
      <w:tr w:rsidR="00A10B25" w14:paraId="0719705E"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E28A451" w14:textId="77777777" w:rsidR="00A10B25" w:rsidRDefault="00A10B25">
            <w:pPr>
              <w:pStyle w:val="TAL"/>
              <w:rPr>
                <w:szCs w:val="18"/>
              </w:rPr>
            </w:pPr>
            <w:r>
              <w:rPr>
                <w:szCs w:val="18"/>
              </w:rPr>
              <w:t>dataStatProps</w:t>
            </w:r>
          </w:p>
        </w:tc>
        <w:tc>
          <w:tcPr>
            <w:tcW w:w="2494" w:type="dxa"/>
            <w:tcBorders>
              <w:top w:val="single" w:sz="6" w:space="0" w:color="auto"/>
              <w:left w:val="single" w:sz="6" w:space="0" w:color="auto"/>
              <w:bottom w:val="single" w:sz="6" w:space="0" w:color="auto"/>
              <w:right w:val="single" w:sz="6" w:space="0" w:color="auto"/>
            </w:tcBorders>
          </w:tcPr>
          <w:p w14:paraId="683478E9" w14:textId="77777777" w:rsidR="00A10B25" w:rsidRDefault="00A10B25">
            <w:pPr>
              <w:pStyle w:val="TAL"/>
              <w:rPr>
                <w:szCs w:val="18"/>
                <w:lang w:eastAsia="zh-CN"/>
              </w:rPr>
            </w:pPr>
            <w:r>
              <w:rPr>
                <w:szCs w:val="18"/>
              </w:rPr>
              <w:t>array(DatasetStatisticalProperty)</w:t>
            </w:r>
          </w:p>
        </w:tc>
        <w:tc>
          <w:tcPr>
            <w:tcW w:w="487" w:type="dxa"/>
            <w:tcBorders>
              <w:top w:val="single" w:sz="6" w:space="0" w:color="auto"/>
              <w:left w:val="single" w:sz="6" w:space="0" w:color="auto"/>
              <w:bottom w:val="single" w:sz="6" w:space="0" w:color="auto"/>
              <w:right w:val="single" w:sz="6" w:space="0" w:color="auto"/>
            </w:tcBorders>
          </w:tcPr>
          <w:p w14:paraId="400F7968" w14:textId="77777777" w:rsidR="00A10B25" w:rsidRDefault="00A10B25">
            <w:pPr>
              <w:pStyle w:val="TAL"/>
              <w:rPr>
                <w:szCs w:val="18"/>
                <w:lang w:eastAsia="zh-CN"/>
              </w:rPr>
            </w:pPr>
            <w:r>
              <w:rPr>
                <w:szCs w:val="18"/>
                <w:lang w:eastAsia="zh-CN"/>
              </w:rPr>
              <w:t>O</w:t>
            </w:r>
          </w:p>
        </w:tc>
        <w:tc>
          <w:tcPr>
            <w:tcW w:w="1067" w:type="dxa"/>
            <w:tcBorders>
              <w:top w:val="single" w:sz="6" w:space="0" w:color="auto"/>
              <w:left w:val="single" w:sz="6" w:space="0" w:color="auto"/>
              <w:bottom w:val="single" w:sz="6" w:space="0" w:color="auto"/>
              <w:right w:val="single" w:sz="6" w:space="0" w:color="auto"/>
            </w:tcBorders>
          </w:tcPr>
          <w:p w14:paraId="2CB160CD" w14:textId="77777777" w:rsidR="00A10B25" w:rsidRDefault="00A10B25">
            <w:pPr>
              <w:pStyle w:val="TAL"/>
              <w:rPr>
                <w:szCs w:val="18"/>
                <w:lang w:eastAsia="zh-CN"/>
              </w:rPr>
            </w:pPr>
            <w:r>
              <w:rPr>
                <w:szCs w:val="18"/>
              </w:rPr>
              <w:t>1..N</w:t>
            </w:r>
          </w:p>
        </w:tc>
        <w:tc>
          <w:tcPr>
            <w:tcW w:w="2512" w:type="dxa"/>
            <w:tcBorders>
              <w:top w:val="single" w:sz="6" w:space="0" w:color="auto"/>
              <w:left w:val="single" w:sz="6" w:space="0" w:color="auto"/>
              <w:bottom w:val="single" w:sz="6" w:space="0" w:color="auto"/>
              <w:right w:val="single" w:sz="6" w:space="0" w:color="auto"/>
            </w:tcBorders>
          </w:tcPr>
          <w:p w14:paraId="2BDB6008" w14:textId="77777777" w:rsidR="00A10B25" w:rsidRDefault="00A10B25">
            <w:pPr>
              <w:pStyle w:val="TAL"/>
              <w:rPr>
                <w:rFonts w:cs="Arial"/>
                <w:szCs w:val="18"/>
                <w:lang w:eastAsia="zh-CN"/>
              </w:rPr>
            </w:pPr>
            <w:r>
              <w:rPr>
                <w:szCs w:val="18"/>
                <w:lang w:eastAsia="ko-KR"/>
              </w:rPr>
              <w:t>List of dataset statistical properties of the data to be used for ML model training.</w:t>
            </w:r>
          </w:p>
        </w:tc>
        <w:tc>
          <w:tcPr>
            <w:tcW w:w="1349" w:type="dxa"/>
            <w:tcBorders>
              <w:top w:val="single" w:sz="6" w:space="0" w:color="auto"/>
              <w:left w:val="single" w:sz="6" w:space="0" w:color="auto"/>
              <w:bottom w:val="single" w:sz="6" w:space="0" w:color="auto"/>
              <w:right w:val="single" w:sz="6" w:space="0" w:color="auto"/>
            </w:tcBorders>
          </w:tcPr>
          <w:p w14:paraId="19FFD84B" w14:textId="77777777" w:rsidR="00A10B25" w:rsidRDefault="00A10B25">
            <w:pPr>
              <w:pStyle w:val="TAL"/>
              <w:rPr>
                <w:rFonts w:cs="Arial"/>
                <w:szCs w:val="18"/>
              </w:rPr>
            </w:pPr>
          </w:p>
        </w:tc>
      </w:tr>
      <w:tr w:rsidR="00A10B25" w14:paraId="32B6991C"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5F885AF" w14:textId="77777777" w:rsidR="00A10B25" w:rsidRDefault="00A10B25">
            <w:pPr>
              <w:pStyle w:val="TAL"/>
              <w:rPr>
                <w:szCs w:val="18"/>
              </w:rPr>
            </w:pPr>
            <w:r>
              <w:rPr>
                <w:szCs w:val="18"/>
              </w:rPr>
              <w:t>inpEvents</w:t>
            </w:r>
          </w:p>
        </w:tc>
        <w:tc>
          <w:tcPr>
            <w:tcW w:w="2494" w:type="dxa"/>
            <w:tcBorders>
              <w:top w:val="single" w:sz="6" w:space="0" w:color="auto"/>
              <w:left w:val="single" w:sz="6" w:space="0" w:color="auto"/>
              <w:bottom w:val="single" w:sz="6" w:space="0" w:color="auto"/>
              <w:right w:val="single" w:sz="6" w:space="0" w:color="auto"/>
            </w:tcBorders>
          </w:tcPr>
          <w:p w14:paraId="5A2D8BF9" w14:textId="77777777" w:rsidR="00A10B25" w:rsidRDefault="00A10B25">
            <w:pPr>
              <w:pStyle w:val="TAL"/>
              <w:rPr>
                <w:szCs w:val="18"/>
              </w:rPr>
            </w:pPr>
            <w:r>
              <w:rPr>
                <w:szCs w:val="18"/>
              </w:rPr>
              <w:t>array(DccfEvent)</w:t>
            </w:r>
          </w:p>
        </w:tc>
        <w:tc>
          <w:tcPr>
            <w:tcW w:w="487" w:type="dxa"/>
            <w:tcBorders>
              <w:top w:val="single" w:sz="6" w:space="0" w:color="auto"/>
              <w:left w:val="single" w:sz="6" w:space="0" w:color="auto"/>
              <w:bottom w:val="single" w:sz="6" w:space="0" w:color="auto"/>
              <w:right w:val="single" w:sz="6" w:space="0" w:color="auto"/>
            </w:tcBorders>
          </w:tcPr>
          <w:p w14:paraId="205FC3F9" w14:textId="77777777" w:rsidR="00A10B25" w:rsidRDefault="00A10B25">
            <w:pPr>
              <w:pStyle w:val="TAL"/>
              <w:rPr>
                <w:szCs w:val="18"/>
              </w:rPr>
            </w:pPr>
            <w:r>
              <w:rPr>
                <w:szCs w:val="18"/>
              </w:rPr>
              <w:t>M</w:t>
            </w:r>
          </w:p>
        </w:tc>
        <w:tc>
          <w:tcPr>
            <w:tcW w:w="1067" w:type="dxa"/>
            <w:tcBorders>
              <w:top w:val="single" w:sz="6" w:space="0" w:color="auto"/>
              <w:left w:val="single" w:sz="6" w:space="0" w:color="auto"/>
              <w:bottom w:val="single" w:sz="6" w:space="0" w:color="auto"/>
              <w:right w:val="single" w:sz="6" w:space="0" w:color="auto"/>
            </w:tcBorders>
          </w:tcPr>
          <w:p w14:paraId="14EDEC3F" w14:textId="77777777" w:rsidR="00A10B25" w:rsidRDefault="00A10B25">
            <w:pPr>
              <w:pStyle w:val="TAL"/>
              <w:rPr>
                <w:szCs w:val="18"/>
              </w:rPr>
            </w:pPr>
            <w:r>
              <w:rPr>
                <w:szCs w:val="18"/>
              </w:rPr>
              <w:t>1..N</w:t>
            </w:r>
          </w:p>
        </w:tc>
        <w:tc>
          <w:tcPr>
            <w:tcW w:w="2512" w:type="dxa"/>
            <w:tcBorders>
              <w:top w:val="single" w:sz="6" w:space="0" w:color="auto"/>
              <w:left w:val="single" w:sz="6" w:space="0" w:color="auto"/>
              <w:bottom w:val="single" w:sz="6" w:space="0" w:color="auto"/>
              <w:right w:val="single" w:sz="6" w:space="0" w:color="auto"/>
            </w:tcBorders>
          </w:tcPr>
          <w:p w14:paraId="068CD6A0" w14:textId="77777777" w:rsidR="00A10B25" w:rsidRDefault="00A10B25">
            <w:pPr>
              <w:pStyle w:val="TAL"/>
              <w:rPr>
                <w:szCs w:val="18"/>
              </w:rPr>
            </w:pPr>
            <w:r>
              <w:rPr>
                <w:szCs w:val="18"/>
              </w:rPr>
              <w:t>Event ID list of the data to be collected for ML model training.</w:t>
            </w:r>
          </w:p>
        </w:tc>
        <w:tc>
          <w:tcPr>
            <w:tcW w:w="1349" w:type="dxa"/>
            <w:tcBorders>
              <w:top w:val="single" w:sz="6" w:space="0" w:color="auto"/>
              <w:left w:val="single" w:sz="6" w:space="0" w:color="auto"/>
              <w:bottom w:val="single" w:sz="6" w:space="0" w:color="auto"/>
              <w:right w:val="single" w:sz="6" w:space="0" w:color="auto"/>
            </w:tcBorders>
          </w:tcPr>
          <w:p w14:paraId="64127244" w14:textId="77777777" w:rsidR="00A10B25" w:rsidRDefault="00A10B25">
            <w:pPr>
              <w:pStyle w:val="TAL"/>
              <w:rPr>
                <w:rFonts w:cs="Arial"/>
                <w:szCs w:val="18"/>
              </w:rPr>
            </w:pPr>
          </w:p>
        </w:tc>
      </w:tr>
      <w:tr w:rsidR="00A10B25" w14:paraId="6F460405"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21C8B0F" w14:textId="77777777" w:rsidR="00A10B25" w:rsidRDefault="00A10B25">
            <w:pPr>
              <w:pStyle w:val="TAL"/>
              <w:rPr>
                <w:szCs w:val="18"/>
              </w:rPr>
            </w:pPr>
            <w:r>
              <w:rPr>
                <w:szCs w:val="18"/>
              </w:rPr>
              <w:t>minNumSamples</w:t>
            </w:r>
          </w:p>
        </w:tc>
        <w:tc>
          <w:tcPr>
            <w:tcW w:w="2494" w:type="dxa"/>
            <w:tcBorders>
              <w:top w:val="single" w:sz="6" w:space="0" w:color="auto"/>
              <w:left w:val="single" w:sz="6" w:space="0" w:color="auto"/>
              <w:bottom w:val="single" w:sz="6" w:space="0" w:color="auto"/>
              <w:right w:val="single" w:sz="6" w:space="0" w:color="auto"/>
            </w:tcBorders>
          </w:tcPr>
          <w:p w14:paraId="3C0F87A8" w14:textId="77777777" w:rsidR="00A10B25" w:rsidRDefault="00A10B25">
            <w:pPr>
              <w:pStyle w:val="TAL"/>
              <w:rPr>
                <w:rFonts w:eastAsia="等线"/>
                <w:szCs w:val="18"/>
                <w:lang w:eastAsia="zh-CN"/>
              </w:rPr>
            </w:pPr>
            <w:r>
              <w:rPr>
                <w:szCs w:val="18"/>
              </w:rPr>
              <w:t>Uinteger</w:t>
            </w:r>
          </w:p>
        </w:tc>
        <w:tc>
          <w:tcPr>
            <w:tcW w:w="487" w:type="dxa"/>
            <w:tcBorders>
              <w:top w:val="single" w:sz="6" w:space="0" w:color="auto"/>
              <w:left w:val="single" w:sz="6" w:space="0" w:color="auto"/>
              <w:bottom w:val="single" w:sz="6" w:space="0" w:color="auto"/>
              <w:right w:val="single" w:sz="6" w:space="0" w:color="auto"/>
            </w:tcBorders>
          </w:tcPr>
          <w:p w14:paraId="3AD3FD44" w14:textId="77777777" w:rsidR="00A10B25" w:rsidRDefault="00A10B25">
            <w:pPr>
              <w:pStyle w:val="TAL"/>
              <w:rPr>
                <w:szCs w:val="18"/>
              </w:rPr>
            </w:pPr>
            <w:r>
              <w:rPr>
                <w:szCs w:val="18"/>
              </w:rPr>
              <w:t>O</w:t>
            </w:r>
          </w:p>
        </w:tc>
        <w:tc>
          <w:tcPr>
            <w:tcW w:w="1067" w:type="dxa"/>
            <w:tcBorders>
              <w:top w:val="single" w:sz="6" w:space="0" w:color="auto"/>
              <w:left w:val="single" w:sz="6" w:space="0" w:color="auto"/>
              <w:bottom w:val="single" w:sz="6" w:space="0" w:color="auto"/>
              <w:right w:val="single" w:sz="6" w:space="0" w:color="auto"/>
            </w:tcBorders>
          </w:tcPr>
          <w:p w14:paraId="71A7ED3F" w14:textId="77777777" w:rsidR="00A10B25" w:rsidRDefault="00A10B25">
            <w:pPr>
              <w:pStyle w:val="TAL"/>
              <w:rPr>
                <w:rFonts w:eastAsia="Yu Mincho"/>
                <w:szCs w:val="18"/>
                <w:lang w:eastAsia="ja-JP"/>
              </w:rPr>
            </w:pPr>
            <w:r>
              <w:rPr>
                <w:rFonts w:eastAsia="Yu Mincho"/>
                <w:szCs w:val="18"/>
                <w:lang w:eastAsia="ja-JP"/>
              </w:rPr>
              <w:t>0..1</w:t>
            </w:r>
          </w:p>
        </w:tc>
        <w:tc>
          <w:tcPr>
            <w:tcW w:w="2512" w:type="dxa"/>
            <w:tcBorders>
              <w:top w:val="single" w:sz="6" w:space="0" w:color="auto"/>
              <w:left w:val="single" w:sz="6" w:space="0" w:color="auto"/>
              <w:bottom w:val="single" w:sz="6" w:space="0" w:color="auto"/>
              <w:right w:val="single" w:sz="6" w:space="0" w:color="auto"/>
            </w:tcBorders>
          </w:tcPr>
          <w:p w14:paraId="52457808" w14:textId="77777777" w:rsidR="00A10B25" w:rsidRDefault="00A10B25">
            <w:pPr>
              <w:pStyle w:val="TAL"/>
              <w:rPr>
                <w:szCs w:val="18"/>
              </w:rPr>
            </w:pPr>
            <w:r>
              <w:rPr>
                <w:szCs w:val="18"/>
                <w:lang w:eastAsia="zh-CN"/>
              </w:rPr>
              <w:t>Minimum number of samples that be taken to train an ML model.</w:t>
            </w:r>
          </w:p>
        </w:tc>
        <w:tc>
          <w:tcPr>
            <w:tcW w:w="1349" w:type="dxa"/>
            <w:tcBorders>
              <w:top w:val="single" w:sz="6" w:space="0" w:color="auto"/>
              <w:left w:val="single" w:sz="6" w:space="0" w:color="auto"/>
              <w:bottom w:val="single" w:sz="6" w:space="0" w:color="auto"/>
              <w:right w:val="single" w:sz="6" w:space="0" w:color="auto"/>
            </w:tcBorders>
          </w:tcPr>
          <w:p w14:paraId="4E1AA558" w14:textId="77777777" w:rsidR="00A10B25" w:rsidRDefault="00A10B25">
            <w:pPr>
              <w:pStyle w:val="TAL"/>
              <w:rPr>
                <w:rFonts w:cs="Arial"/>
                <w:szCs w:val="18"/>
              </w:rPr>
            </w:pPr>
          </w:p>
        </w:tc>
      </w:tr>
      <w:tr w:rsidR="00A10B25" w14:paraId="0122D135"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6C1538F6" w14:textId="77777777" w:rsidR="00A10B25" w:rsidRDefault="00A10B25">
            <w:pPr>
              <w:pStyle w:val="TAL"/>
              <w:rPr>
                <w:szCs w:val="18"/>
              </w:rPr>
            </w:pPr>
            <w:r>
              <w:rPr>
                <w:szCs w:val="18"/>
              </w:rPr>
              <w:t>timeWindows</w:t>
            </w:r>
          </w:p>
        </w:tc>
        <w:tc>
          <w:tcPr>
            <w:tcW w:w="2494" w:type="dxa"/>
            <w:tcBorders>
              <w:top w:val="single" w:sz="6" w:space="0" w:color="auto"/>
              <w:left w:val="single" w:sz="6" w:space="0" w:color="auto"/>
              <w:bottom w:val="single" w:sz="6" w:space="0" w:color="auto"/>
              <w:right w:val="single" w:sz="6" w:space="0" w:color="auto"/>
            </w:tcBorders>
          </w:tcPr>
          <w:p w14:paraId="05372D08" w14:textId="77777777" w:rsidR="00A10B25" w:rsidRDefault="00A10B25">
            <w:pPr>
              <w:pStyle w:val="TAL"/>
              <w:rPr>
                <w:szCs w:val="18"/>
              </w:rPr>
            </w:pPr>
            <w:r>
              <w:rPr>
                <w:rFonts w:eastAsia="等线"/>
                <w:szCs w:val="18"/>
                <w:lang w:eastAsia="zh-CN"/>
              </w:rPr>
              <w:t>array(TimeWindow)</w:t>
            </w:r>
          </w:p>
        </w:tc>
        <w:tc>
          <w:tcPr>
            <w:tcW w:w="487" w:type="dxa"/>
            <w:tcBorders>
              <w:top w:val="single" w:sz="6" w:space="0" w:color="auto"/>
              <w:left w:val="single" w:sz="6" w:space="0" w:color="auto"/>
              <w:bottom w:val="single" w:sz="6" w:space="0" w:color="auto"/>
              <w:right w:val="single" w:sz="6" w:space="0" w:color="auto"/>
            </w:tcBorders>
          </w:tcPr>
          <w:p w14:paraId="30C74288" w14:textId="77777777" w:rsidR="00A10B25" w:rsidRDefault="00A10B25">
            <w:pPr>
              <w:pStyle w:val="TAL"/>
              <w:rPr>
                <w:szCs w:val="18"/>
              </w:rPr>
            </w:pPr>
            <w:r>
              <w:rPr>
                <w:szCs w:val="18"/>
              </w:rPr>
              <w:t>O</w:t>
            </w:r>
          </w:p>
        </w:tc>
        <w:tc>
          <w:tcPr>
            <w:tcW w:w="1067" w:type="dxa"/>
            <w:tcBorders>
              <w:top w:val="single" w:sz="6" w:space="0" w:color="auto"/>
              <w:left w:val="single" w:sz="6" w:space="0" w:color="auto"/>
              <w:bottom w:val="single" w:sz="6" w:space="0" w:color="auto"/>
              <w:right w:val="single" w:sz="6" w:space="0" w:color="auto"/>
            </w:tcBorders>
          </w:tcPr>
          <w:p w14:paraId="67501ED7" w14:textId="77777777" w:rsidR="00A10B25" w:rsidRDefault="00A10B25">
            <w:pPr>
              <w:pStyle w:val="TAL"/>
              <w:rPr>
                <w:szCs w:val="18"/>
              </w:rPr>
            </w:pPr>
            <w:r>
              <w:rPr>
                <w:rFonts w:eastAsia="Yu Mincho"/>
                <w:szCs w:val="18"/>
                <w:lang w:eastAsia="ja-JP"/>
              </w:rPr>
              <w:t>1..N</w:t>
            </w:r>
          </w:p>
        </w:tc>
        <w:tc>
          <w:tcPr>
            <w:tcW w:w="2512" w:type="dxa"/>
            <w:tcBorders>
              <w:top w:val="single" w:sz="6" w:space="0" w:color="auto"/>
              <w:left w:val="single" w:sz="6" w:space="0" w:color="auto"/>
              <w:bottom w:val="single" w:sz="6" w:space="0" w:color="auto"/>
              <w:right w:val="single" w:sz="6" w:space="0" w:color="auto"/>
            </w:tcBorders>
          </w:tcPr>
          <w:p w14:paraId="07BC0A3B" w14:textId="77777777" w:rsidR="00A10B25" w:rsidRDefault="00A10B25">
            <w:pPr>
              <w:pStyle w:val="TAL"/>
              <w:rPr>
                <w:szCs w:val="18"/>
              </w:rPr>
            </w:pPr>
            <w:r>
              <w:rPr>
                <w:szCs w:val="18"/>
              </w:rPr>
              <w:t>The time periods of the data samples</w:t>
            </w:r>
            <w:r>
              <w:rPr>
                <w:szCs w:val="18"/>
                <w:lang w:eastAsia="zh-CN"/>
              </w:rPr>
              <w:t>.</w:t>
            </w:r>
          </w:p>
        </w:tc>
        <w:tc>
          <w:tcPr>
            <w:tcW w:w="1349" w:type="dxa"/>
            <w:tcBorders>
              <w:top w:val="single" w:sz="6" w:space="0" w:color="auto"/>
              <w:left w:val="single" w:sz="6" w:space="0" w:color="auto"/>
              <w:bottom w:val="single" w:sz="6" w:space="0" w:color="auto"/>
              <w:right w:val="single" w:sz="6" w:space="0" w:color="auto"/>
            </w:tcBorders>
          </w:tcPr>
          <w:p w14:paraId="53E13108" w14:textId="77777777" w:rsidR="00A10B25" w:rsidRDefault="00A10B25">
            <w:pPr>
              <w:pStyle w:val="TAL"/>
              <w:rPr>
                <w:rFonts w:cs="Arial"/>
                <w:szCs w:val="18"/>
              </w:rPr>
            </w:pPr>
          </w:p>
        </w:tc>
      </w:tr>
    </w:tbl>
    <w:p w14:paraId="2FC094CE" w14:textId="77777777" w:rsidR="00A10B25" w:rsidRDefault="00A10B25">
      <w:pPr>
        <w:rPr>
          <w:rFonts w:eastAsia="等线"/>
        </w:rPr>
      </w:pPr>
    </w:p>
    <w:p w14:paraId="0A195F4F" w14:textId="77777777" w:rsidR="00A10B25" w:rsidRDefault="00A10B25">
      <w:pPr>
        <w:pStyle w:val="5"/>
      </w:pPr>
      <w:bookmarkStart w:id="14927" w:name="_Toc136687414"/>
      <w:bookmarkStart w:id="14928" w:name="_Toc145706032"/>
      <w:bookmarkStart w:id="14929" w:name="_Toc148522949"/>
      <w:bookmarkStart w:id="14930" w:name="_Toc164921138"/>
      <w:bookmarkStart w:id="14931" w:name="_Toc170120680"/>
      <w:bookmarkStart w:id="14932" w:name="_Toc175858925"/>
      <w:bookmarkStart w:id="14933" w:name="_Toc175859998"/>
      <w:bookmarkStart w:id="14934" w:name="_Toc180606288"/>
      <w:bookmarkStart w:id="14935" w:name="_Toc185517549"/>
      <w:bookmarkStart w:id="14936" w:name="_Toc191576601"/>
      <w:bookmarkStart w:id="14937" w:name="_Toc191577341"/>
      <w:bookmarkStart w:id="14938" w:name="_Toc192880411"/>
      <w:bookmarkStart w:id="14939" w:name="_Toc195815300"/>
      <w:bookmarkStart w:id="14940" w:name="_Toc199453267"/>
      <w:r>
        <w:t>5.5.6.2.11</w:t>
      </w:r>
      <w:r>
        <w:tab/>
        <w:t xml:space="preserve">Type </w:t>
      </w:r>
      <w:bookmarkEnd w:id="14927"/>
      <w:r>
        <w:rPr>
          <w:lang w:val="en-US" w:eastAsia="zh-CN"/>
        </w:rPr>
        <w:t>DelayEventNotif</w:t>
      </w:r>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p>
    <w:p w14:paraId="0A6A08B8"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5.5.6.2.11-1: Definition of type </w:t>
      </w:r>
      <w:r>
        <w:rPr>
          <w:lang w:val="en-US" w:eastAsia="zh-CN"/>
        </w:rPr>
        <w:t>DelayEventNotif</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49B59C6C" w14:textId="77777777">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0DD40B7" w14:textId="77777777" w:rsidR="00A10B25" w:rsidRDefault="00A10B25">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30881B6"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5865016A"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35F41D05" w14:textId="77777777" w:rsidR="00A10B25" w:rsidRDefault="00A10B25">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710A16AA" w14:textId="77777777" w:rsidR="00A10B25" w:rsidRDefault="00A10B25">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2B146D66" w14:textId="77777777" w:rsidR="00A10B25" w:rsidRDefault="00A10B25">
            <w:pPr>
              <w:pStyle w:val="TAH"/>
              <w:rPr>
                <w:rFonts w:cs="Arial"/>
                <w:szCs w:val="18"/>
              </w:rPr>
            </w:pPr>
            <w:r>
              <w:rPr>
                <w:rFonts w:cs="Arial"/>
                <w:szCs w:val="18"/>
              </w:rPr>
              <w:t>Applicability</w:t>
            </w:r>
          </w:p>
        </w:tc>
      </w:tr>
      <w:tr w:rsidR="00A10B25" w14:paraId="26A5DE73"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573EC82E" w14:textId="77777777" w:rsidR="00A10B25" w:rsidRDefault="00A10B25">
            <w:pPr>
              <w:pStyle w:val="TAL"/>
            </w:pPr>
            <w:r>
              <w:t>delayEventInd</w:t>
            </w:r>
          </w:p>
        </w:tc>
        <w:tc>
          <w:tcPr>
            <w:tcW w:w="2494" w:type="dxa"/>
            <w:tcBorders>
              <w:top w:val="single" w:sz="6" w:space="0" w:color="auto"/>
              <w:left w:val="single" w:sz="6" w:space="0" w:color="auto"/>
              <w:bottom w:val="single" w:sz="6" w:space="0" w:color="auto"/>
              <w:right w:val="single" w:sz="6" w:space="0" w:color="auto"/>
            </w:tcBorders>
          </w:tcPr>
          <w:p w14:paraId="1E926A99" w14:textId="77777777" w:rsidR="00A10B25" w:rsidRDefault="00A10B25">
            <w:pPr>
              <w:pStyle w:val="TAL"/>
              <w:rPr>
                <w:lang w:eastAsia="zh-CN"/>
              </w:rPr>
            </w:pPr>
            <w:r>
              <w:t>boolean</w:t>
            </w:r>
          </w:p>
        </w:tc>
        <w:tc>
          <w:tcPr>
            <w:tcW w:w="487" w:type="dxa"/>
            <w:tcBorders>
              <w:top w:val="single" w:sz="6" w:space="0" w:color="auto"/>
              <w:left w:val="single" w:sz="6" w:space="0" w:color="auto"/>
              <w:bottom w:val="single" w:sz="6" w:space="0" w:color="auto"/>
              <w:right w:val="single" w:sz="6" w:space="0" w:color="auto"/>
            </w:tcBorders>
          </w:tcPr>
          <w:p w14:paraId="721039E8" w14:textId="77777777" w:rsidR="00A10B25" w:rsidRDefault="00A10B25">
            <w:pPr>
              <w:pStyle w:val="TAL"/>
              <w:rPr>
                <w:lang w:eastAsia="zh-CN"/>
              </w:rPr>
            </w:pPr>
            <w:r>
              <w:t>M</w:t>
            </w:r>
          </w:p>
        </w:tc>
        <w:tc>
          <w:tcPr>
            <w:tcW w:w="1067" w:type="dxa"/>
            <w:tcBorders>
              <w:top w:val="single" w:sz="6" w:space="0" w:color="auto"/>
              <w:left w:val="single" w:sz="6" w:space="0" w:color="auto"/>
              <w:bottom w:val="single" w:sz="6" w:space="0" w:color="auto"/>
              <w:right w:val="single" w:sz="6" w:space="0" w:color="auto"/>
            </w:tcBorders>
          </w:tcPr>
          <w:p w14:paraId="738A80AD" w14:textId="77777777" w:rsidR="00A10B25" w:rsidRDefault="00A10B25">
            <w:pPr>
              <w:pStyle w:val="TAL"/>
              <w:rPr>
                <w:lang w:eastAsia="zh-CN"/>
              </w:rPr>
            </w:pPr>
            <w:r>
              <w:t>1</w:t>
            </w:r>
          </w:p>
        </w:tc>
        <w:tc>
          <w:tcPr>
            <w:tcW w:w="2512" w:type="dxa"/>
            <w:tcBorders>
              <w:top w:val="single" w:sz="6" w:space="0" w:color="auto"/>
              <w:left w:val="single" w:sz="6" w:space="0" w:color="auto"/>
              <w:bottom w:val="single" w:sz="6" w:space="0" w:color="auto"/>
              <w:right w:val="single" w:sz="6" w:space="0" w:color="auto"/>
            </w:tcBorders>
          </w:tcPr>
          <w:p w14:paraId="23774F61" w14:textId="77777777" w:rsidR="00A10B25" w:rsidRDefault="00A10B25">
            <w:pPr>
              <w:pStyle w:val="TAL"/>
            </w:pPr>
            <w:r>
              <w:t>Indicates the NWDAF containing MTLF is not able to complete the training of the ML model within the maximum response time provided by the "maxResTime" attribute in the "MLTrainReportInfo" data type.</w:t>
            </w:r>
          </w:p>
          <w:p w14:paraId="332D10AF" w14:textId="77777777" w:rsidR="00A10B25" w:rsidRDefault="00A10B25">
            <w:pPr>
              <w:pStyle w:val="TAL"/>
            </w:pPr>
            <w:r>
              <w:t>Set to "true" if not able to complete the ML model training on time, otherwise set to "false".</w:t>
            </w:r>
          </w:p>
        </w:tc>
        <w:tc>
          <w:tcPr>
            <w:tcW w:w="1349" w:type="dxa"/>
            <w:tcBorders>
              <w:top w:val="single" w:sz="6" w:space="0" w:color="auto"/>
              <w:left w:val="single" w:sz="6" w:space="0" w:color="auto"/>
              <w:bottom w:val="single" w:sz="6" w:space="0" w:color="auto"/>
              <w:right w:val="single" w:sz="6" w:space="0" w:color="auto"/>
            </w:tcBorders>
          </w:tcPr>
          <w:p w14:paraId="62E5D83F" w14:textId="77777777" w:rsidR="00A10B25" w:rsidRDefault="00A10B25">
            <w:pPr>
              <w:pStyle w:val="TAL"/>
              <w:rPr>
                <w:rFonts w:cs="Arial"/>
                <w:szCs w:val="18"/>
              </w:rPr>
            </w:pPr>
          </w:p>
        </w:tc>
      </w:tr>
      <w:tr w:rsidR="00A10B25" w14:paraId="50487A36"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4453BB64" w14:textId="77777777" w:rsidR="00A10B25" w:rsidRDefault="00A10B25">
            <w:pPr>
              <w:pStyle w:val="TAL"/>
            </w:pPr>
            <w:r>
              <w:t>delayCause</w:t>
            </w:r>
          </w:p>
        </w:tc>
        <w:tc>
          <w:tcPr>
            <w:tcW w:w="2494" w:type="dxa"/>
            <w:tcBorders>
              <w:top w:val="single" w:sz="6" w:space="0" w:color="auto"/>
              <w:left w:val="single" w:sz="6" w:space="0" w:color="auto"/>
              <w:bottom w:val="single" w:sz="6" w:space="0" w:color="auto"/>
              <w:right w:val="single" w:sz="6" w:space="0" w:color="auto"/>
            </w:tcBorders>
          </w:tcPr>
          <w:p w14:paraId="5B48CE75" w14:textId="77777777" w:rsidR="00A10B25" w:rsidRDefault="00A10B25">
            <w:pPr>
              <w:pStyle w:val="TAL"/>
              <w:rPr>
                <w:lang w:eastAsia="zh-CN"/>
              </w:rPr>
            </w:pPr>
            <w:r>
              <w:t>DelayCause</w:t>
            </w:r>
          </w:p>
        </w:tc>
        <w:tc>
          <w:tcPr>
            <w:tcW w:w="487" w:type="dxa"/>
            <w:tcBorders>
              <w:top w:val="single" w:sz="6" w:space="0" w:color="auto"/>
              <w:left w:val="single" w:sz="6" w:space="0" w:color="auto"/>
              <w:bottom w:val="single" w:sz="6" w:space="0" w:color="auto"/>
              <w:right w:val="single" w:sz="6" w:space="0" w:color="auto"/>
            </w:tcBorders>
          </w:tcPr>
          <w:p w14:paraId="13254442" w14:textId="77777777" w:rsidR="00A10B25" w:rsidRDefault="00A10B25">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17B86515" w14:textId="77777777" w:rsidR="00A10B25" w:rsidRDefault="00A10B25">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180A8696" w14:textId="77777777" w:rsidR="00A10B25" w:rsidRDefault="00A10B25">
            <w:pPr>
              <w:pStyle w:val="TAL"/>
              <w:rPr>
                <w:rFonts w:cs="Arial"/>
                <w:szCs w:val="18"/>
                <w:lang w:eastAsia="zh-CN"/>
              </w:rPr>
            </w:pPr>
            <w:r>
              <w:t>Represents the reasons for the ML Model training delay.</w:t>
            </w:r>
          </w:p>
        </w:tc>
        <w:tc>
          <w:tcPr>
            <w:tcW w:w="1349" w:type="dxa"/>
            <w:tcBorders>
              <w:top w:val="single" w:sz="6" w:space="0" w:color="auto"/>
              <w:left w:val="single" w:sz="6" w:space="0" w:color="auto"/>
              <w:bottom w:val="single" w:sz="6" w:space="0" w:color="auto"/>
              <w:right w:val="single" w:sz="6" w:space="0" w:color="auto"/>
            </w:tcBorders>
          </w:tcPr>
          <w:p w14:paraId="66D9E58F" w14:textId="77777777" w:rsidR="00A10B25" w:rsidRDefault="00A10B25">
            <w:pPr>
              <w:pStyle w:val="TAL"/>
              <w:rPr>
                <w:rFonts w:cs="Arial"/>
                <w:szCs w:val="18"/>
              </w:rPr>
            </w:pPr>
          </w:p>
        </w:tc>
      </w:tr>
      <w:tr w:rsidR="00A10B25" w14:paraId="1E524184"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7854C9A" w14:textId="77777777" w:rsidR="00A10B25" w:rsidRDefault="00A10B25">
            <w:pPr>
              <w:pStyle w:val="TAL"/>
            </w:pPr>
            <w:r>
              <w:t>expCompTime</w:t>
            </w:r>
          </w:p>
        </w:tc>
        <w:tc>
          <w:tcPr>
            <w:tcW w:w="2494" w:type="dxa"/>
            <w:tcBorders>
              <w:top w:val="single" w:sz="6" w:space="0" w:color="auto"/>
              <w:left w:val="single" w:sz="6" w:space="0" w:color="auto"/>
              <w:bottom w:val="single" w:sz="6" w:space="0" w:color="auto"/>
              <w:right w:val="single" w:sz="6" w:space="0" w:color="auto"/>
            </w:tcBorders>
          </w:tcPr>
          <w:p w14:paraId="1FD86166" w14:textId="77777777" w:rsidR="00A10B25" w:rsidRDefault="00A10B25">
            <w:pPr>
              <w:pStyle w:val="TAL"/>
            </w:pPr>
            <w:r>
              <w:t>DurationSec</w:t>
            </w:r>
          </w:p>
        </w:tc>
        <w:tc>
          <w:tcPr>
            <w:tcW w:w="487" w:type="dxa"/>
            <w:tcBorders>
              <w:top w:val="single" w:sz="6" w:space="0" w:color="auto"/>
              <w:left w:val="single" w:sz="6" w:space="0" w:color="auto"/>
              <w:bottom w:val="single" w:sz="6" w:space="0" w:color="auto"/>
              <w:right w:val="single" w:sz="6" w:space="0" w:color="auto"/>
            </w:tcBorders>
          </w:tcPr>
          <w:p w14:paraId="4B1D5B66" w14:textId="77777777" w:rsidR="00A10B25" w:rsidRDefault="00A10B25">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40482DA0" w14:textId="77777777" w:rsidR="00A10B25" w:rsidRDefault="00A10B25">
            <w:pPr>
              <w:pStyle w:val="TAL"/>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2C0B173D" w14:textId="77777777" w:rsidR="00A10B25" w:rsidRDefault="00A10B25">
            <w:pPr>
              <w:pStyle w:val="TAL"/>
            </w:pPr>
            <w:r>
              <w:t>Indicates the expected remaining training time.</w:t>
            </w:r>
          </w:p>
        </w:tc>
        <w:tc>
          <w:tcPr>
            <w:tcW w:w="1349" w:type="dxa"/>
            <w:tcBorders>
              <w:top w:val="single" w:sz="6" w:space="0" w:color="auto"/>
              <w:left w:val="single" w:sz="6" w:space="0" w:color="auto"/>
              <w:bottom w:val="single" w:sz="6" w:space="0" w:color="auto"/>
              <w:right w:val="single" w:sz="6" w:space="0" w:color="auto"/>
            </w:tcBorders>
          </w:tcPr>
          <w:p w14:paraId="408736E8" w14:textId="77777777" w:rsidR="00A10B25" w:rsidRDefault="00A10B25">
            <w:pPr>
              <w:pStyle w:val="TAL"/>
              <w:rPr>
                <w:rFonts w:cs="Arial"/>
                <w:szCs w:val="18"/>
              </w:rPr>
            </w:pPr>
          </w:p>
        </w:tc>
      </w:tr>
    </w:tbl>
    <w:p w14:paraId="54A8399F" w14:textId="77777777" w:rsidR="00A10B25" w:rsidRDefault="00A10B25">
      <w:pPr>
        <w:rPr>
          <w:rFonts w:eastAsia="等线"/>
        </w:rPr>
      </w:pPr>
    </w:p>
    <w:p w14:paraId="54B76C57" w14:textId="77777777" w:rsidR="00A10B25" w:rsidRDefault="00A10B25">
      <w:pPr>
        <w:pStyle w:val="5"/>
      </w:pPr>
      <w:bookmarkStart w:id="14941" w:name="_Toc145706033"/>
      <w:bookmarkStart w:id="14942" w:name="_Toc148522950"/>
      <w:bookmarkStart w:id="14943" w:name="_Toc164921139"/>
      <w:bookmarkStart w:id="14944" w:name="_Toc170120681"/>
      <w:bookmarkStart w:id="14945" w:name="_Toc175858926"/>
      <w:bookmarkStart w:id="14946" w:name="_Toc175859999"/>
      <w:bookmarkStart w:id="14947" w:name="_Toc180606289"/>
      <w:bookmarkStart w:id="14948" w:name="_Toc185517550"/>
      <w:bookmarkStart w:id="14949" w:name="_Toc191576602"/>
      <w:bookmarkStart w:id="14950" w:name="_Toc191577342"/>
      <w:bookmarkStart w:id="14951" w:name="_Toc192880412"/>
      <w:bookmarkStart w:id="14952" w:name="_Toc195815301"/>
      <w:bookmarkStart w:id="14953" w:name="_Toc199453268"/>
      <w:r>
        <w:t>5.5.6.2.12</w:t>
      </w:r>
      <w:r>
        <w:tab/>
        <w:t>Type StatusReportInfo</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p>
    <w:p w14:paraId="1BC42ECF"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5.5.6.2.12-1: Definition of type </w:t>
      </w:r>
      <w:r>
        <w:t>StatusReportInfo</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A10B25" w14:paraId="424C8569" w14:textId="77777777">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50446F93" w14:textId="77777777" w:rsidR="00A10B25" w:rsidRDefault="00A10B25">
            <w:pPr>
              <w:pStyle w:val="TAH"/>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C7932F7" w14:textId="77777777" w:rsidR="00A10B25" w:rsidRDefault="00A10B25">
            <w:pPr>
              <w:pStyle w:val="TAH"/>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00A52266" w14:textId="77777777" w:rsidR="00A10B25" w:rsidRDefault="00A10B25">
            <w:pPr>
              <w:pStyle w:val="TAH"/>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5A254F7C" w14:textId="77777777" w:rsidR="00A10B25" w:rsidRDefault="00A10B25">
            <w:pPr>
              <w:pStyle w:val="TAH"/>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64673D3C" w14:textId="77777777" w:rsidR="00A10B25" w:rsidRDefault="00A10B25">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67A50F65" w14:textId="77777777" w:rsidR="00A10B25" w:rsidRDefault="00A10B25">
            <w:pPr>
              <w:pStyle w:val="TAH"/>
              <w:rPr>
                <w:rFonts w:cs="Arial"/>
                <w:szCs w:val="18"/>
              </w:rPr>
            </w:pPr>
            <w:r>
              <w:rPr>
                <w:rFonts w:cs="Arial"/>
                <w:szCs w:val="18"/>
              </w:rPr>
              <w:t>Applicability</w:t>
            </w:r>
          </w:p>
        </w:tc>
      </w:tr>
      <w:tr w:rsidR="00A10B25" w14:paraId="2675C5EC"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CA6E052" w14:textId="77777777" w:rsidR="00A10B25" w:rsidRDefault="00A10B25">
            <w:pPr>
              <w:pStyle w:val="TAL"/>
            </w:pPr>
            <w:r>
              <w:t>mlModelAcc</w:t>
            </w:r>
          </w:p>
        </w:tc>
        <w:tc>
          <w:tcPr>
            <w:tcW w:w="2494" w:type="dxa"/>
            <w:tcBorders>
              <w:top w:val="single" w:sz="6" w:space="0" w:color="auto"/>
              <w:left w:val="single" w:sz="6" w:space="0" w:color="auto"/>
              <w:bottom w:val="single" w:sz="6" w:space="0" w:color="auto"/>
              <w:right w:val="single" w:sz="6" w:space="0" w:color="auto"/>
            </w:tcBorders>
          </w:tcPr>
          <w:p w14:paraId="78F84EBA" w14:textId="77777777" w:rsidR="00A10B25" w:rsidRDefault="00A10B25">
            <w:pPr>
              <w:pStyle w:val="TAL"/>
              <w:rPr>
                <w:lang w:eastAsia="zh-CN"/>
              </w:rPr>
            </w:pPr>
            <w:r>
              <w:t>Uinteger</w:t>
            </w:r>
          </w:p>
        </w:tc>
        <w:tc>
          <w:tcPr>
            <w:tcW w:w="487" w:type="dxa"/>
            <w:tcBorders>
              <w:top w:val="single" w:sz="6" w:space="0" w:color="auto"/>
              <w:left w:val="single" w:sz="6" w:space="0" w:color="auto"/>
              <w:bottom w:val="single" w:sz="6" w:space="0" w:color="auto"/>
              <w:right w:val="single" w:sz="6" w:space="0" w:color="auto"/>
            </w:tcBorders>
          </w:tcPr>
          <w:p w14:paraId="68F12476" w14:textId="77777777" w:rsidR="00A10B25" w:rsidRDefault="00A10B25">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0610BC7B" w14:textId="77777777" w:rsidR="00A10B25" w:rsidRDefault="00A10B25">
            <w:pPr>
              <w:pStyle w:val="TAL"/>
              <w:rPr>
                <w:lang w:eastAsia="zh-CN"/>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4B1B6697" w14:textId="77777777" w:rsidR="00A10B25" w:rsidRDefault="00A10B25">
            <w:pPr>
              <w:pStyle w:val="TAL"/>
            </w:pPr>
            <w:r>
              <w:t>Indicates the accuracy of the ML model in percent.</w:t>
            </w:r>
          </w:p>
          <w:p w14:paraId="753B99A0" w14:textId="77777777" w:rsidR="00A10B25" w:rsidRDefault="00A10B25">
            <w:pPr>
              <w:pStyle w:val="TAL"/>
              <w:rPr>
                <w:rFonts w:cs="Arial"/>
                <w:szCs w:val="18"/>
                <w:lang w:eastAsia="zh-CN"/>
              </w:rPr>
            </w:pPr>
            <w:r>
              <w:rPr>
                <w:rFonts w:cs="Arial"/>
                <w:szCs w:val="18"/>
                <w:lang w:eastAsia="zh-CN"/>
              </w:rPr>
              <w:t>Minimum = 0. Maximum = 100.</w:t>
            </w:r>
          </w:p>
        </w:tc>
        <w:tc>
          <w:tcPr>
            <w:tcW w:w="1349" w:type="dxa"/>
            <w:tcBorders>
              <w:top w:val="single" w:sz="6" w:space="0" w:color="auto"/>
              <w:left w:val="single" w:sz="6" w:space="0" w:color="auto"/>
              <w:bottom w:val="single" w:sz="6" w:space="0" w:color="auto"/>
              <w:right w:val="single" w:sz="6" w:space="0" w:color="auto"/>
            </w:tcBorders>
          </w:tcPr>
          <w:p w14:paraId="0A81891D" w14:textId="77777777" w:rsidR="00A10B25" w:rsidRDefault="00A10B25">
            <w:pPr>
              <w:pStyle w:val="TAL"/>
              <w:rPr>
                <w:rFonts w:cs="Arial"/>
                <w:szCs w:val="18"/>
              </w:rPr>
            </w:pPr>
          </w:p>
        </w:tc>
      </w:tr>
      <w:tr w:rsidR="00A10B25" w14:paraId="748A5E08" w14:textId="77777777">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F36C4E8" w14:textId="77777777" w:rsidR="00A10B25" w:rsidRDefault="00A10B25">
            <w:pPr>
              <w:pStyle w:val="TAL"/>
            </w:pPr>
            <w:r>
              <w:t>trainInDataInfo</w:t>
            </w:r>
          </w:p>
        </w:tc>
        <w:tc>
          <w:tcPr>
            <w:tcW w:w="2494" w:type="dxa"/>
            <w:tcBorders>
              <w:top w:val="single" w:sz="6" w:space="0" w:color="auto"/>
              <w:left w:val="single" w:sz="6" w:space="0" w:color="auto"/>
              <w:bottom w:val="single" w:sz="6" w:space="0" w:color="auto"/>
              <w:right w:val="single" w:sz="6" w:space="0" w:color="auto"/>
            </w:tcBorders>
          </w:tcPr>
          <w:p w14:paraId="432CA769" w14:textId="77777777" w:rsidR="00A10B25" w:rsidRDefault="00A10B25">
            <w:pPr>
              <w:pStyle w:val="TAL"/>
              <w:rPr>
                <w:lang w:eastAsia="zh-CN"/>
              </w:rPr>
            </w:pPr>
            <w:r>
              <w:t>TrainDataInfo</w:t>
            </w:r>
          </w:p>
        </w:tc>
        <w:tc>
          <w:tcPr>
            <w:tcW w:w="487" w:type="dxa"/>
            <w:tcBorders>
              <w:top w:val="single" w:sz="6" w:space="0" w:color="auto"/>
              <w:left w:val="single" w:sz="6" w:space="0" w:color="auto"/>
              <w:bottom w:val="single" w:sz="6" w:space="0" w:color="auto"/>
              <w:right w:val="single" w:sz="6" w:space="0" w:color="auto"/>
            </w:tcBorders>
          </w:tcPr>
          <w:p w14:paraId="231F4AA7" w14:textId="77777777" w:rsidR="00A10B25" w:rsidRDefault="00A10B25">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027FA48A" w14:textId="77777777" w:rsidR="00A10B25" w:rsidRDefault="00A10B25">
            <w:pPr>
              <w:pStyle w:val="TAL"/>
              <w:rPr>
                <w:lang w:eastAsia="zh-CN"/>
              </w:rPr>
            </w:pPr>
            <w:r>
              <w:t>0..1</w:t>
            </w:r>
          </w:p>
        </w:tc>
        <w:tc>
          <w:tcPr>
            <w:tcW w:w="2512" w:type="dxa"/>
            <w:tcBorders>
              <w:top w:val="single" w:sz="6" w:space="0" w:color="auto"/>
              <w:left w:val="single" w:sz="6" w:space="0" w:color="auto"/>
              <w:bottom w:val="single" w:sz="6" w:space="0" w:color="auto"/>
              <w:right w:val="single" w:sz="6" w:space="0" w:color="auto"/>
            </w:tcBorders>
            <w:vAlign w:val="center"/>
          </w:tcPr>
          <w:p w14:paraId="75D7FAA0" w14:textId="77777777" w:rsidR="00A10B25" w:rsidRDefault="00A10B25">
            <w:pPr>
              <w:pStyle w:val="TAL"/>
              <w:rPr>
                <w:rFonts w:cs="Arial"/>
                <w:szCs w:val="18"/>
                <w:lang w:eastAsia="zh-CN"/>
              </w:rPr>
            </w:pPr>
            <w:r>
              <w:t>Represents the training input data information.</w:t>
            </w:r>
          </w:p>
        </w:tc>
        <w:tc>
          <w:tcPr>
            <w:tcW w:w="1349" w:type="dxa"/>
            <w:tcBorders>
              <w:top w:val="single" w:sz="6" w:space="0" w:color="auto"/>
              <w:left w:val="single" w:sz="6" w:space="0" w:color="auto"/>
              <w:bottom w:val="single" w:sz="6" w:space="0" w:color="auto"/>
              <w:right w:val="single" w:sz="6" w:space="0" w:color="auto"/>
            </w:tcBorders>
          </w:tcPr>
          <w:p w14:paraId="79B6CAAE" w14:textId="77777777" w:rsidR="00A10B25" w:rsidRDefault="00A10B25">
            <w:pPr>
              <w:pStyle w:val="TAL"/>
              <w:rPr>
                <w:rFonts w:cs="Arial"/>
                <w:szCs w:val="18"/>
              </w:rPr>
            </w:pPr>
          </w:p>
        </w:tc>
      </w:tr>
    </w:tbl>
    <w:p w14:paraId="7B465D9A" w14:textId="77777777" w:rsidR="00A10B25" w:rsidRDefault="00A10B25">
      <w:pPr>
        <w:rPr>
          <w:rFonts w:eastAsia="等线"/>
        </w:rPr>
      </w:pPr>
    </w:p>
    <w:p w14:paraId="5581D128" w14:textId="77777777" w:rsidR="00A10B25" w:rsidRDefault="00A10B25">
      <w:pPr>
        <w:pStyle w:val="5"/>
      </w:pPr>
      <w:bookmarkStart w:id="14954" w:name="_Toc145706034"/>
      <w:bookmarkStart w:id="14955" w:name="_Toc148522951"/>
      <w:bookmarkStart w:id="14956" w:name="_Toc164921140"/>
      <w:bookmarkStart w:id="14957" w:name="_Toc170120682"/>
      <w:bookmarkStart w:id="14958" w:name="_Toc175858927"/>
      <w:bookmarkStart w:id="14959" w:name="_Toc175860000"/>
      <w:bookmarkStart w:id="14960" w:name="_Toc180606290"/>
      <w:bookmarkStart w:id="14961" w:name="_Toc185517551"/>
      <w:bookmarkStart w:id="14962" w:name="_Toc191576603"/>
      <w:bookmarkStart w:id="14963" w:name="_Toc191577343"/>
      <w:bookmarkStart w:id="14964" w:name="_Toc192880413"/>
      <w:bookmarkStart w:id="14965" w:name="_Toc195815302"/>
      <w:bookmarkStart w:id="14966" w:name="_Toc199453269"/>
      <w:r>
        <w:lastRenderedPageBreak/>
        <w:t>5.5.6.2.13</w:t>
      </w:r>
      <w:r>
        <w:tab/>
        <w:t>Type TrainDataInfo</w:t>
      </w:r>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7041E13E" w14:textId="77777777" w:rsidR="007862A2" w:rsidRDefault="007862A2" w:rsidP="007862A2">
      <w:pPr>
        <w:pStyle w:val="TH"/>
        <w:overflowPunct w:val="0"/>
        <w:autoSpaceDE w:val="0"/>
        <w:autoSpaceDN w:val="0"/>
        <w:adjustRightInd w:val="0"/>
        <w:textAlignment w:val="baseline"/>
        <w:rPr>
          <w:rFonts w:eastAsia="MS Mincho"/>
        </w:rPr>
      </w:pPr>
      <w:bookmarkStart w:id="14967" w:name="_Toc136562704"/>
      <w:bookmarkStart w:id="14968" w:name="_Toc138754538"/>
      <w:bookmarkStart w:id="14969" w:name="_Toc145706035"/>
      <w:bookmarkStart w:id="14970" w:name="_Toc148522952"/>
      <w:bookmarkStart w:id="14971" w:name="_Toc164921141"/>
      <w:bookmarkStart w:id="14972" w:name="_Toc170120683"/>
      <w:r>
        <w:rPr>
          <w:rFonts w:eastAsia="MS Mincho"/>
        </w:rPr>
        <w:t xml:space="preserve">Table 5.5.6.2.13-1: Definition of type </w:t>
      </w:r>
      <w:r>
        <w:t>TrainDataInfo</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2494"/>
        <w:gridCol w:w="487"/>
        <w:gridCol w:w="1067"/>
        <w:gridCol w:w="2512"/>
        <w:gridCol w:w="1349"/>
      </w:tblGrid>
      <w:tr w:rsidR="007862A2" w14:paraId="65517C67" w14:textId="77777777" w:rsidTr="00531D1A">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2A6AEF13" w14:textId="77777777" w:rsidR="007862A2" w:rsidRDefault="007862A2" w:rsidP="00531D1A">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36286F0" w14:textId="77777777" w:rsidR="007862A2" w:rsidRDefault="007862A2" w:rsidP="00531D1A">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55DF99A0" w14:textId="77777777" w:rsidR="007862A2" w:rsidRDefault="007862A2" w:rsidP="00531D1A">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7E15734D" w14:textId="77777777" w:rsidR="007862A2" w:rsidRDefault="007862A2" w:rsidP="00531D1A">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17F54B8F" w14:textId="77777777" w:rsidR="007862A2" w:rsidRDefault="007862A2" w:rsidP="00531D1A">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386066B8" w14:textId="77777777" w:rsidR="007862A2" w:rsidRDefault="007862A2" w:rsidP="00531D1A">
            <w:pPr>
              <w:pStyle w:val="TAH"/>
              <w:ind w:left="400" w:hanging="400"/>
              <w:rPr>
                <w:rFonts w:cs="Arial"/>
                <w:szCs w:val="18"/>
              </w:rPr>
            </w:pPr>
            <w:r>
              <w:rPr>
                <w:rFonts w:cs="Arial"/>
                <w:szCs w:val="18"/>
              </w:rPr>
              <w:t>Applicability</w:t>
            </w:r>
          </w:p>
        </w:tc>
      </w:tr>
      <w:tr w:rsidR="007862A2" w14:paraId="5FE7F63E"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021E7A47" w14:textId="77777777" w:rsidR="007862A2" w:rsidRDefault="007862A2" w:rsidP="00531D1A">
            <w:pPr>
              <w:pStyle w:val="TAL"/>
            </w:pPr>
            <w:r>
              <w:t>area</w:t>
            </w:r>
            <w:r>
              <w:rPr>
                <w:rFonts w:hint="eastAsia"/>
                <w:lang w:eastAsia="zh-CN"/>
              </w:rPr>
              <w:t>Info</w:t>
            </w:r>
          </w:p>
        </w:tc>
        <w:tc>
          <w:tcPr>
            <w:tcW w:w="2494" w:type="dxa"/>
            <w:tcBorders>
              <w:top w:val="single" w:sz="6" w:space="0" w:color="auto"/>
              <w:left w:val="single" w:sz="6" w:space="0" w:color="auto"/>
              <w:bottom w:val="single" w:sz="6" w:space="0" w:color="auto"/>
              <w:right w:val="single" w:sz="6" w:space="0" w:color="auto"/>
            </w:tcBorders>
          </w:tcPr>
          <w:p w14:paraId="664596C2" w14:textId="77777777" w:rsidR="007862A2" w:rsidRDefault="007862A2" w:rsidP="00531D1A">
            <w:pPr>
              <w:pStyle w:val="TAL"/>
              <w:rPr>
                <w:lang w:eastAsia="zh-CN"/>
              </w:rPr>
            </w:pPr>
            <w:r>
              <w:t>NetworkAreaInfo</w:t>
            </w:r>
          </w:p>
        </w:tc>
        <w:tc>
          <w:tcPr>
            <w:tcW w:w="487" w:type="dxa"/>
            <w:tcBorders>
              <w:top w:val="single" w:sz="6" w:space="0" w:color="auto"/>
              <w:left w:val="single" w:sz="6" w:space="0" w:color="auto"/>
              <w:bottom w:val="single" w:sz="6" w:space="0" w:color="auto"/>
              <w:right w:val="single" w:sz="6" w:space="0" w:color="auto"/>
            </w:tcBorders>
          </w:tcPr>
          <w:p w14:paraId="16B58DB0" w14:textId="77777777" w:rsidR="007862A2" w:rsidRDefault="007862A2" w:rsidP="00531D1A">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4E09510F" w14:textId="77777777" w:rsidR="007862A2" w:rsidRDefault="007862A2" w:rsidP="00531D1A">
            <w:pPr>
              <w:pStyle w:val="TAL"/>
              <w:rPr>
                <w:lang w:eastAsia="zh-CN"/>
              </w:rPr>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56778829" w14:textId="77777777" w:rsidR="007862A2" w:rsidRDefault="007862A2" w:rsidP="00531D1A">
            <w:pPr>
              <w:pStyle w:val="TAL"/>
              <w:rPr>
                <w:rFonts w:cs="Arial"/>
                <w:szCs w:val="18"/>
                <w:lang w:eastAsia="zh-CN"/>
              </w:rPr>
            </w:pPr>
            <w:r>
              <w:t>Indicates the areas covered by the data set.</w:t>
            </w:r>
          </w:p>
        </w:tc>
        <w:tc>
          <w:tcPr>
            <w:tcW w:w="1349" w:type="dxa"/>
            <w:tcBorders>
              <w:top w:val="single" w:sz="6" w:space="0" w:color="auto"/>
              <w:left w:val="single" w:sz="6" w:space="0" w:color="auto"/>
              <w:bottom w:val="single" w:sz="6" w:space="0" w:color="auto"/>
              <w:right w:val="single" w:sz="6" w:space="0" w:color="auto"/>
            </w:tcBorders>
          </w:tcPr>
          <w:p w14:paraId="42AF7352" w14:textId="77777777" w:rsidR="007862A2" w:rsidRDefault="007862A2" w:rsidP="00531D1A">
            <w:pPr>
              <w:pStyle w:val="TAL"/>
              <w:rPr>
                <w:rFonts w:cs="Arial"/>
                <w:szCs w:val="18"/>
              </w:rPr>
            </w:pPr>
          </w:p>
        </w:tc>
      </w:tr>
      <w:tr w:rsidR="007862A2" w14:paraId="2C5BB83C"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60DE801D" w14:textId="77777777" w:rsidR="007862A2" w:rsidRDefault="007862A2" w:rsidP="00531D1A">
            <w:pPr>
              <w:pStyle w:val="TAL"/>
            </w:pPr>
            <w:r>
              <w:t>maxValues</w:t>
            </w:r>
          </w:p>
        </w:tc>
        <w:tc>
          <w:tcPr>
            <w:tcW w:w="2494" w:type="dxa"/>
            <w:tcBorders>
              <w:top w:val="single" w:sz="6" w:space="0" w:color="auto"/>
              <w:left w:val="single" w:sz="6" w:space="0" w:color="auto"/>
              <w:bottom w:val="single" w:sz="6" w:space="0" w:color="auto"/>
              <w:right w:val="single" w:sz="6" w:space="0" w:color="auto"/>
            </w:tcBorders>
          </w:tcPr>
          <w:p w14:paraId="52E5BF56" w14:textId="77777777" w:rsidR="007862A2" w:rsidRDefault="007862A2" w:rsidP="00531D1A">
            <w:pPr>
              <w:pStyle w:val="TAL"/>
            </w:pPr>
            <w:r>
              <w:t>array(string)</w:t>
            </w:r>
          </w:p>
        </w:tc>
        <w:tc>
          <w:tcPr>
            <w:tcW w:w="487" w:type="dxa"/>
            <w:tcBorders>
              <w:top w:val="single" w:sz="6" w:space="0" w:color="auto"/>
              <w:left w:val="single" w:sz="6" w:space="0" w:color="auto"/>
              <w:bottom w:val="single" w:sz="6" w:space="0" w:color="auto"/>
              <w:right w:val="single" w:sz="6" w:space="0" w:color="auto"/>
            </w:tcBorders>
          </w:tcPr>
          <w:p w14:paraId="52EA282C" w14:textId="77777777" w:rsidR="007862A2" w:rsidRDefault="007862A2" w:rsidP="00531D1A">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7C140955" w14:textId="77777777" w:rsidR="007862A2" w:rsidRDefault="007862A2" w:rsidP="00531D1A">
            <w:pPr>
              <w:pStyle w:val="TAL"/>
            </w:pPr>
            <w:r>
              <w:t>1..N</w:t>
            </w:r>
          </w:p>
        </w:tc>
        <w:tc>
          <w:tcPr>
            <w:tcW w:w="2512" w:type="dxa"/>
            <w:tcBorders>
              <w:top w:val="single" w:sz="6" w:space="0" w:color="auto"/>
              <w:left w:val="single" w:sz="6" w:space="0" w:color="auto"/>
              <w:bottom w:val="single" w:sz="6" w:space="0" w:color="auto"/>
              <w:right w:val="single" w:sz="6" w:space="0" w:color="auto"/>
            </w:tcBorders>
            <w:vAlign w:val="center"/>
          </w:tcPr>
          <w:p w14:paraId="27B6EA8E" w14:textId="77777777" w:rsidR="007862A2" w:rsidRDefault="007862A2" w:rsidP="00531D1A">
            <w:pPr>
              <w:pStyle w:val="TAL"/>
            </w:pPr>
            <w:r>
              <w:t>Each element represents the maximum value of one dimension of data.</w:t>
            </w:r>
          </w:p>
          <w:p w14:paraId="2F5119FC" w14:textId="77777777" w:rsidR="007862A2" w:rsidRDefault="007862A2" w:rsidP="00531D1A">
            <w:pPr>
              <w:pStyle w:val="TAL"/>
              <w:rPr>
                <w:lang w:eastAsia="zh-CN"/>
              </w:rPr>
            </w:pPr>
            <w:r w:rsidRPr="00A47B42">
              <w:rPr>
                <w:lang w:val="en-US" w:eastAsia="zh-CN"/>
              </w:rPr>
              <w:t xml:space="preserve">The format of </w:t>
            </w:r>
            <w:r>
              <w:rPr>
                <w:lang w:val="en-US" w:eastAsia="zh-CN"/>
              </w:rPr>
              <w:t xml:space="preserve">its </w:t>
            </w:r>
            <w:r w:rsidRPr="00A47B42">
              <w:rPr>
                <w:lang w:val="en-US" w:eastAsia="zh-CN"/>
              </w:rPr>
              <w:t>value is out of 3GPP</w:t>
            </w:r>
            <w:r>
              <w:rPr>
                <w:lang w:val="en-US" w:eastAsia="zh-CN"/>
              </w:rPr>
              <w:t xml:space="preserve"> scope</w:t>
            </w:r>
            <w:r w:rsidRPr="00A47B42">
              <w:rPr>
                <w:lang w:val="en-US" w:eastAsia="zh-CN"/>
              </w:rPr>
              <w:t>.</w:t>
            </w:r>
          </w:p>
        </w:tc>
        <w:tc>
          <w:tcPr>
            <w:tcW w:w="1349" w:type="dxa"/>
            <w:tcBorders>
              <w:top w:val="single" w:sz="6" w:space="0" w:color="auto"/>
              <w:left w:val="single" w:sz="6" w:space="0" w:color="auto"/>
              <w:bottom w:val="single" w:sz="6" w:space="0" w:color="auto"/>
              <w:right w:val="single" w:sz="6" w:space="0" w:color="auto"/>
            </w:tcBorders>
          </w:tcPr>
          <w:p w14:paraId="555EAE90" w14:textId="77777777" w:rsidR="007862A2" w:rsidRDefault="007862A2" w:rsidP="00531D1A">
            <w:pPr>
              <w:pStyle w:val="TAL"/>
              <w:rPr>
                <w:rFonts w:cs="Arial"/>
                <w:szCs w:val="18"/>
              </w:rPr>
            </w:pPr>
          </w:p>
        </w:tc>
      </w:tr>
      <w:tr w:rsidR="007862A2" w14:paraId="72005AA3"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55B79B2E" w14:textId="77777777" w:rsidR="007862A2" w:rsidRDefault="007862A2" w:rsidP="00531D1A">
            <w:pPr>
              <w:pStyle w:val="TAL"/>
            </w:pPr>
            <w:r>
              <w:t>minValues</w:t>
            </w:r>
          </w:p>
        </w:tc>
        <w:tc>
          <w:tcPr>
            <w:tcW w:w="2494" w:type="dxa"/>
            <w:tcBorders>
              <w:top w:val="single" w:sz="6" w:space="0" w:color="auto"/>
              <w:left w:val="single" w:sz="6" w:space="0" w:color="auto"/>
              <w:bottom w:val="single" w:sz="6" w:space="0" w:color="auto"/>
              <w:right w:val="single" w:sz="6" w:space="0" w:color="auto"/>
            </w:tcBorders>
          </w:tcPr>
          <w:p w14:paraId="7FC91530" w14:textId="77777777" w:rsidR="007862A2" w:rsidRDefault="007862A2" w:rsidP="00531D1A">
            <w:pPr>
              <w:pStyle w:val="TAL"/>
            </w:pPr>
            <w:r>
              <w:t>array(string)</w:t>
            </w:r>
          </w:p>
        </w:tc>
        <w:tc>
          <w:tcPr>
            <w:tcW w:w="487" w:type="dxa"/>
            <w:tcBorders>
              <w:top w:val="single" w:sz="6" w:space="0" w:color="auto"/>
              <w:left w:val="single" w:sz="6" w:space="0" w:color="auto"/>
              <w:bottom w:val="single" w:sz="6" w:space="0" w:color="auto"/>
              <w:right w:val="single" w:sz="6" w:space="0" w:color="auto"/>
            </w:tcBorders>
          </w:tcPr>
          <w:p w14:paraId="603EDEB4" w14:textId="77777777" w:rsidR="007862A2" w:rsidRDefault="007862A2" w:rsidP="00531D1A">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66F27A6D" w14:textId="77777777" w:rsidR="007862A2" w:rsidRDefault="007862A2" w:rsidP="00531D1A">
            <w:pPr>
              <w:pStyle w:val="TAL"/>
            </w:pPr>
            <w:r>
              <w:t>1..N</w:t>
            </w:r>
          </w:p>
        </w:tc>
        <w:tc>
          <w:tcPr>
            <w:tcW w:w="2512" w:type="dxa"/>
            <w:tcBorders>
              <w:top w:val="single" w:sz="6" w:space="0" w:color="auto"/>
              <w:left w:val="single" w:sz="6" w:space="0" w:color="auto"/>
              <w:bottom w:val="single" w:sz="6" w:space="0" w:color="auto"/>
              <w:right w:val="single" w:sz="6" w:space="0" w:color="auto"/>
            </w:tcBorders>
            <w:vAlign w:val="center"/>
          </w:tcPr>
          <w:p w14:paraId="7F4F9C08" w14:textId="77777777" w:rsidR="007862A2" w:rsidRDefault="007862A2" w:rsidP="00531D1A">
            <w:pPr>
              <w:pStyle w:val="TAL"/>
            </w:pPr>
            <w:r>
              <w:t>Each element represents the minimum value of one dimension of data.</w:t>
            </w:r>
          </w:p>
          <w:p w14:paraId="2C21E973" w14:textId="77777777" w:rsidR="007862A2" w:rsidRDefault="007862A2" w:rsidP="00531D1A">
            <w:pPr>
              <w:pStyle w:val="TAL"/>
            </w:pPr>
            <w:r w:rsidRPr="00A47B42">
              <w:rPr>
                <w:lang w:val="en-US" w:eastAsia="zh-CN"/>
              </w:rPr>
              <w:t xml:space="preserve">The format of </w:t>
            </w:r>
            <w:r>
              <w:rPr>
                <w:lang w:val="en-US" w:eastAsia="zh-CN"/>
              </w:rPr>
              <w:t xml:space="preserve">its </w:t>
            </w:r>
            <w:r w:rsidRPr="00A47B42">
              <w:rPr>
                <w:lang w:val="en-US" w:eastAsia="zh-CN"/>
              </w:rPr>
              <w:t>value is out of 3GPP</w:t>
            </w:r>
            <w:r>
              <w:rPr>
                <w:lang w:val="en-US" w:eastAsia="zh-CN"/>
              </w:rPr>
              <w:t xml:space="preserve"> scope</w:t>
            </w:r>
            <w:r w:rsidRPr="00A47B42">
              <w:rPr>
                <w:lang w:val="en-US" w:eastAsia="zh-CN"/>
              </w:rPr>
              <w:t>.</w:t>
            </w:r>
          </w:p>
        </w:tc>
        <w:tc>
          <w:tcPr>
            <w:tcW w:w="1349" w:type="dxa"/>
            <w:tcBorders>
              <w:top w:val="single" w:sz="6" w:space="0" w:color="auto"/>
              <w:left w:val="single" w:sz="6" w:space="0" w:color="auto"/>
              <w:bottom w:val="single" w:sz="6" w:space="0" w:color="auto"/>
              <w:right w:val="single" w:sz="6" w:space="0" w:color="auto"/>
            </w:tcBorders>
          </w:tcPr>
          <w:p w14:paraId="2C05B513" w14:textId="77777777" w:rsidR="007862A2" w:rsidRPr="00164F4A" w:rsidRDefault="007862A2" w:rsidP="00531D1A">
            <w:pPr>
              <w:pStyle w:val="TAL"/>
              <w:rPr>
                <w:rFonts w:cs="Arial"/>
                <w:szCs w:val="18"/>
              </w:rPr>
            </w:pPr>
          </w:p>
        </w:tc>
      </w:tr>
      <w:tr w:rsidR="007862A2" w14:paraId="67D27768" w14:textId="77777777" w:rsidTr="00531D1A">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12A21D06" w14:textId="77777777" w:rsidR="007862A2" w:rsidRDefault="007862A2" w:rsidP="00531D1A">
            <w:pPr>
              <w:pStyle w:val="TAL"/>
            </w:pPr>
            <w:r>
              <w:t>samplRatio</w:t>
            </w:r>
          </w:p>
        </w:tc>
        <w:tc>
          <w:tcPr>
            <w:tcW w:w="2494" w:type="dxa"/>
            <w:tcBorders>
              <w:top w:val="single" w:sz="6" w:space="0" w:color="auto"/>
              <w:left w:val="single" w:sz="6" w:space="0" w:color="auto"/>
              <w:bottom w:val="single" w:sz="6" w:space="0" w:color="auto"/>
              <w:right w:val="single" w:sz="6" w:space="0" w:color="auto"/>
            </w:tcBorders>
          </w:tcPr>
          <w:p w14:paraId="704021C1" w14:textId="77777777" w:rsidR="007862A2" w:rsidRDefault="007862A2" w:rsidP="00531D1A">
            <w:pPr>
              <w:pStyle w:val="TAL"/>
            </w:pPr>
            <w:r>
              <w:rPr>
                <w:lang w:eastAsia="zh-CN"/>
              </w:rPr>
              <w:t>Uinteger</w:t>
            </w:r>
          </w:p>
        </w:tc>
        <w:tc>
          <w:tcPr>
            <w:tcW w:w="487" w:type="dxa"/>
            <w:tcBorders>
              <w:top w:val="single" w:sz="6" w:space="0" w:color="auto"/>
              <w:left w:val="single" w:sz="6" w:space="0" w:color="auto"/>
              <w:bottom w:val="single" w:sz="6" w:space="0" w:color="auto"/>
              <w:right w:val="single" w:sz="6" w:space="0" w:color="auto"/>
            </w:tcBorders>
          </w:tcPr>
          <w:p w14:paraId="675BDA41" w14:textId="77777777" w:rsidR="007862A2" w:rsidRDefault="007862A2" w:rsidP="00531D1A">
            <w:pPr>
              <w:pStyle w:val="TAL"/>
            </w:pPr>
            <w:r>
              <w:rPr>
                <w:lang w:eastAsia="zh-CN"/>
              </w:rPr>
              <w:t>O</w:t>
            </w:r>
          </w:p>
        </w:tc>
        <w:tc>
          <w:tcPr>
            <w:tcW w:w="1067" w:type="dxa"/>
            <w:tcBorders>
              <w:top w:val="single" w:sz="6" w:space="0" w:color="auto"/>
              <w:left w:val="single" w:sz="6" w:space="0" w:color="auto"/>
              <w:bottom w:val="single" w:sz="6" w:space="0" w:color="auto"/>
              <w:right w:val="single" w:sz="6" w:space="0" w:color="auto"/>
            </w:tcBorders>
          </w:tcPr>
          <w:p w14:paraId="49D0D43E" w14:textId="77777777" w:rsidR="007862A2" w:rsidRDefault="007862A2" w:rsidP="00531D1A">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6B6B2630" w14:textId="77777777" w:rsidR="007862A2" w:rsidRDefault="007862A2" w:rsidP="00531D1A">
            <w:pPr>
              <w:pStyle w:val="TAL"/>
              <w:rPr>
                <w:lang w:eastAsia="zh-CN"/>
              </w:rPr>
            </w:pPr>
            <w:r>
              <w:rPr>
                <w:lang w:eastAsia="zh-CN"/>
              </w:rPr>
              <w:t xml:space="preserve">Sampling ratio, indicates the percentage of the available data that are </w:t>
            </w:r>
            <w:r>
              <w:rPr>
                <w:rFonts w:cs="Arial"/>
                <w:szCs w:val="18"/>
                <w:lang w:eastAsia="zh-CN"/>
              </w:rPr>
              <w:t xml:space="preserve">taken to train an </w:t>
            </w:r>
            <w:r>
              <w:rPr>
                <w:lang w:eastAsia="zh-CN"/>
              </w:rPr>
              <w:t>ML model.</w:t>
            </w:r>
          </w:p>
          <w:p w14:paraId="08A4ED36" w14:textId="77777777" w:rsidR="007862A2" w:rsidRDefault="007862A2" w:rsidP="00531D1A">
            <w:pPr>
              <w:pStyle w:val="TAL"/>
              <w:rPr>
                <w:lang w:eastAsia="zh-CN"/>
              </w:rPr>
            </w:pPr>
            <w:r>
              <w:rPr>
                <w:lang w:eastAsia="zh-CN"/>
              </w:rPr>
              <w:t>Minimum = 0. Maximum = 100.</w:t>
            </w:r>
          </w:p>
        </w:tc>
        <w:tc>
          <w:tcPr>
            <w:tcW w:w="1349" w:type="dxa"/>
            <w:tcBorders>
              <w:top w:val="single" w:sz="6" w:space="0" w:color="auto"/>
              <w:left w:val="single" w:sz="6" w:space="0" w:color="auto"/>
              <w:bottom w:val="single" w:sz="6" w:space="0" w:color="auto"/>
              <w:right w:val="single" w:sz="6" w:space="0" w:color="auto"/>
            </w:tcBorders>
          </w:tcPr>
          <w:p w14:paraId="3A2CE824" w14:textId="77777777" w:rsidR="007862A2" w:rsidRDefault="007862A2" w:rsidP="00531D1A">
            <w:pPr>
              <w:pStyle w:val="TAL"/>
              <w:rPr>
                <w:rFonts w:cs="Arial"/>
                <w:szCs w:val="18"/>
              </w:rPr>
            </w:pPr>
          </w:p>
        </w:tc>
      </w:tr>
    </w:tbl>
    <w:p w14:paraId="103BB1D1" w14:textId="77777777" w:rsidR="007862A2" w:rsidRPr="00E81BC4" w:rsidRDefault="007862A2" w:rsidP="007862A2"/>
    <w:p w14:paraId="5D215B04" w14:textId="77777777" w:rsidR="007862A2" w:rsidRDefault="007862A2" w:rsidP="007862A2">
      <w:pPr>
        <w:pStyle w:val="EditorsNote"/>
      </w:pPr>
    </w:p>
    <w:p w14:paraId="63AD9C37" w14:textId="77777777" w:rsidR="00A10B25" w:rsidRDefault="00A10B25">
      <w:pPr>
        <w:pStyle w:val="4"/>
        <w:rPr>
          <w:lang w:val="en-US"/>
        </w:rPr>
      </w:pPr>
      <w:bookmarkStart w:id="14973" w:name="_Toc175858928"/>
      <w:bookmarkStart w:id="14974" w:name="_Toc175860001"/>
      <w:bookmarkStart w:id="14975" w:name="_Toc180606291"/>
      <w:bookmarkStart w:id="14976" w:name="_Toc185517552"/>
      <w:bookmarkStart w:id="14977" w:name="_Toc191576604"/>
      <w:bookmarkStart w:id="14978" w:name="_Toc191577344"/>
      <w:bookmarkStart w:id="14979" w:name="_Toc192880414"/>
      <w:bookmarkStart w:id="14980" w:name="_Toc195815303"/>
      <w:bookmarkStart w:id="14981" w:name="_Toc199453270"/>
      <w:r>
        <w:t>5.5.6.3</w:t>
      </w:r>
      <w:r>
        <w:tab/>
        <w:t>Simple data types and enumerations</w:t>
      </w:r>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p>
    <w:p w14:paraId="164EDC2D" w14:textId="77777777" w:rsidR="00A10B25" w:rsidRDefault="00A10B25">
      <w:pPr>
        <w:pStyle w:val="5"/>
      </w:pPr>
      <w:bookmarkStart w:id="14982" w:name="_Toc148522953"/>
      <w:bookmarkStart w:id="14983" w:name="_Toc145706036"/>
      <w:bookmarkStart w:id="14984" w:name="_Toc138754539"/>
      <w:bookmarkStart w:id="14985" w:name="_Toc136562705"/>
      <w:bookmarkStart w:id="14986" w:name="_Toc164921142"/>
      <w:bookmarkStart w:id="14987" w:name="_Toc170120684"/>
      <w:bookmarkStart w:id="14988" w:name="_Toc175858929"/>
      <w:bookmarkStart w:id="14989" w:name="_Toc175860002"/>
      <w:bookmarkStart w:id="14990" w:name="_Toc180606292"/>
      <w:bookmarkStart w:id="14991" w:name="_Toc185517553"/>
      <w:bookmarkStart w:id="14992" w:name="_Toc191576605"/>
      <w:bookmarkStart w:id="14993" w:name="_Toc191577345"/>
      <w:bookmarkStart w:id="14994" w:name="_Toc192880415"/>
      <w:bookmarkStart w:id="14995" w:name="_Toc195815304"/>
      <w:bookmarkStart w:id="14996" w:name="_Toc199453271"/>
      <w:r>
        <w:t>5.5.6.3.1</w:t>
      </w:r>
      <w:r>
        <w:tab/>
        <w:t>Introduction</w:t>
      </w:r>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p>
    <w:p w14:paraId="6A6156ED" w14:textId="77777777" w:rsidR="00A10B25" w:rsidRDefault="00A10B25">
      <w:r>
        <w:t>This clause defines simple data types and enumerations that can be referenced from data structures defined in the previous clauses.</w:t>
      </w:r>
    </w:p>
    <w:p w14:paraId="3350C539" w14:textId="77777777" w:rsidR="00A10B25" w:rsidRDefault="00A10B25">
      <w:pPr>
        <w:pStyle w:val="5"/>
      </w:pPr>
      <w:bookmarkStart w:id="14997" w:name="_Toc136562706"/>
      <w:bookmarkStart w:id="14998" w:name="_Toc145706037"/>
      <w:bookmarkStart w:id="14999" w:name="_Toc148522954"/>
      <w:bookmarkStart w:id="15000" w:name="_Toc138754540"/>
      <w:bookmarkStart w:id="15001" w:name="_Toc164921143"/>
      <w:bookmarkStart w:id="15002" w:name="_Toc170120685"/>
      <w:bookmarkStart w:id="15003" w:name="_Toc175858930"/>
      <w:bookmarkStart w:id="15004" w:name="_Toc175860003"/>
      <w:bookmarkStart w:id="15005" w:name="_Toc180606293"/>
      <w:bookmarkStart w:id="15006" w:name="_Toc185517554"/>
      <w:bookmarkStart w:id="15007" w:name="_Toc191576606"/>
      <w:bookmarkStart w:id="15008" w:name="_Toc191577346"/>
      <w:bookmarkStart w:id="15009" w:name="_Toc192880416"/>
      <w:bookmarkStart w:id="15010" w:name="_Toc195815305"/>
      <w:bookmarkStart w:id="15011" w:name="_Toc199453272"/>
      <w:r>
        <w:t>5.5.6.3.2</w:t>
      </w:r>
      <w:r>
        <w:tab/>
        <w:t>Simple data types</w:t>
      </w:r>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p>
    <w:p w14:paraId="1DD57221" w14:textId="1CBB8136" w:rsidR="00183EFC" w:rsidRPr="00131F29" w:rsidRDefault="00183EFC" w:rsidP="00183EFC">
      <w:r w:rsidRPr="00131F29">
        <w:t>The simple data types defined in table 5.</w:t>
      </w:r>
      <w:r>
        <w:t>5</w:t>
      </w:r>
      <w:r w:rsidRPr="00131F29">
        <w:t>.6.3.2-1 shall be supported.</w:t>
      </w:r>
    </w:p>
    <w:p w14:paraId="20880FFE" w14:textId="77777777" w:rsidR="00183EFC" w:rsidRPr="00131F29"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131F29">
        <w:rPr>
          <w:rFonts w:ascii="Arial" w:eastAsia="MS Mincho" w:hAnsi="Arial"/>
          <w:b/>
        </w:rPr>
        <w:t>Table 5.5.6.3.2-1: Simple data types</w:t>
      </w:r>
    </w:p>
    <w:tbl>
      <w:tblPr>
        <w:tblW w:w="48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201"/>
        <w:gridCol w:w="2289"/>
        <w:gridCol w:w="3477"/>
        <w:gridCol w:w="1321"/>
      </w:tblGrid>
      <w:tr w:rsidR="00183EFC" w:rsidRPr="00131F29" w14:paraId="1B5B7E85" w14:textId="77777777" w:rsidTr="00902260">
        <w:trPr>
          <w:jc w:val="center"/>
        </w:trPr>
        <w:tc>
          <w:tcPr>
            <w:tcW w:w="1185" w:type="pct"/>
            <w:shd w:val="clear" w:color="000000" w:fill="C0C0C0"/>
            <w:tcMar>
              <w:top w:w="0" w:type="dxa"/>
              <w:left w:w="108" w:type="dxa"/>
              <w:bottom w:w="0" w:type="dxa"/>
              <w:right w:w="108" w:type="dxa"/>
            </w:tcMar>
          </w:tcPr>
          <w:p w14:paraId="1EDA3900"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Name</w:t>
            </w:r>
          </w:p>
        </w:tc>
        <w:tc>
          <w:tcPr>
            <w:tcW w:w="1232" w:type="pct"/>
            <w:shd w:val="clear" w:color="000000" w:fill="C0C0C0"/>
            <w:tcMar>
              <w:top w:w="0" w:type="dxa"/>
              <w:left w:w="108" w:type="dxa"/>
              <w:bottom w:w="0" w:type="dxa"/>
              <w:right w:w="108" w:type="dxa"/>
            </w:tcMar>
          </w:tcPr>
          <w:p w14:paraId="34C9718B"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Type Definition</w:t>
            </w:r>
          </w:p>
        </w:tc>
        <w:tc>
          <w:tcPr>
            <w:tcW w:w="1872" w:type="pct"/>
            <w:shd w:val="clear" w:color="000000" w:fill="C0C0C0"/>
          </w:tcPr>
          <w:p w14:paraId="2F15B258"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Description</w:t>
            </w:r>
          </w:p>
        </w:tc>
        <w:tc>
          <w:tcPr>
            <w:tcW w:w="711" w:type="pct"/>
            <w:shd w:val="clear" w:color="000000" w:fill="C0C0C0"/>
          </w:tcPr>
          <w:p w14:paraId="6E67B36E" w14:textId="77777777" w:rsidR="00183EFC" w:rsidRPr="00131F29" w:rsidRDefault="00183EFC" w:rsidP="00902260">
            <w:pPr>
              <w:keepNext/>
              <w:keepLines/>
              <w:spacing w:after="0"/>
              <w:jc w:val="center"/>
              <w:rPr>
                <w:rFonts w:ascii="Arial" w:hAnsi="Arial"/>
                <w:b/>
                <w:sz w:val="18"/>
              </w:rPr>
            </w:pPr>
            <w:r w:rsidRPr="00131F29">
              <w:rPr>
                <w:rFonts w:ascii="Arial" w:hAnsi="Arial"/>
                <w:b/>
                <w:sz w:val="18"/>
              </w:rPr>
              <w:t>Applicability</w:t>
            </w:r>
          </w:p>
        </w:tc>
      </w:tr>
      <w:tr w:rsidR="00183EFC" w:rsidRPr="00131F29" w14:paraId="33CFDE0F" w14:textId="77777777" w:rsidTr="00902260">
        <w:trPr>
          <w:jc w:val="center"/>
        </w:trPr>
        <w:tc>
          <w:tcPr>
            <w:tcW w:w="1185" w:type="pct"/>
            <w:tcMar>
              <w:top w:w="0" w:type="dxa"/>
              <w:left w:w="108" w:type="dxa"/>
              <w:bottom w:w="0" w:type="dxa"/>
              <w:right w:w="108" w:type="dxa"/>
            </w:tcMar>
          </w:tcPr>
          <w:p w14:paraId="20117C06" w14:textId="77777777" w:rsidR="00183EFC" w:rsidRPr="00131F29" w:rsidRDefault="00183EFC" w:rsidP="00902260">
            <w:pPr>
              <w:keepNext/>
              <w:keepLines/>
              <w:spacing w:after="0"/>
              <w:rPr>
                <w:rFonts w:ascii="Arial" w:hAnsi="Arial"/>
                <w:sz w:val="18"/>
              </w:rPr>
            </w:pPr>
          </w:p>
        </w:tc>
        <w:tc>
          <w:tcPr>
            <w:tcW w:w="1232" w:type="pct"/>
            <w:tcMar>
              <w:top w:w="0" w:type="dxa"/>
              <w:left w:w="108" w:type="dxa"/>
              <w:bottom w:w="0" w:type="dxa"/>
              <w:right w:w="108" w:type="dxa"/>
            </w:tcMar>
          </w:tcPr>
          <w:p w14:paraId="59CFC580" w14:textId="77777777" w:rsidR="00183EFC" w:rsidRPr="00131F29" w:rsidRDefault="00183EFC" w:rsidP="00902260">
            <w:pPr>
              <w:keepNext/>
              <w:keepLines/>
              <w:spacing w:after="0"/>
              <w:rPr>
                <w:rFonts w:ascii="Arial" w:hAnsi="Arial"/>
                <w:sz w:val="18"/>
              </w:rPr>
            </w:pPr>
          </w:p>
        </w:tc>
        <w:tc>
          <w:tcPr>
            <w:tcW w:w="1872" w:type="pct"/>
          </w:tcPr>
          <w:p w14:paraId="12D898BE" w14:textId="77777777" w:rsidR="00183EFC" w:rsidRPr="00131F29" w:rsidRDefault="00183EFC" w:rsidP="00902260">
            <w:pPr>
              <w:keepNext/>
              <w:keepLines/>
              <w:spacing w:after="0"/>
              <w:rPr>
                <w:rFonts w:ascii="Arial" w:hAnsi="Arial"/>
                <w:sz w:val="18"/>
              </w:rPr>
            </w:pPr>
          </w:p>
        </w:tc>
        <w:tc>
          <w:tcPr>
            <w:tcW w:w="711" w:type="pct"/>
          </w:tcPr>
          <w:p w14:paraId="1A687151" w14:textId="77777777" w:rsidR="00183EFC" w:rsidRPr="00131F29" w:rsidRDefault="00183EFC" w:rsidP="00902260">
            <w:pPr>
              <w:keepNext/>
              <w:keepLines/>
              <w:spacing w:after="0"/>
              <w:rPr>
                <w:rFonts w:ascii="Arial" w:hAnsi="Arial"/>
                <w:sz w:val="18"/>
              </w:rPr>
            </w:pPr>
          </w:p>
        </w:tc>
      </w:tr>
    </w:tbl>
    <w:p w14:paraId="3CB254ED" w14:textId="77777777" w:rsidR="00A10B25" w:rsidRDefault="00A10B25" w:rsidP="0076721C">
      <w:pPr>
        <w:rPr>
          <w:lang w:eastAsia="zh-CN"/>
        </w:rPr>
      </w:pPr>
    </w:p>
    <w:p w14:paraId="2070DFFE" w14:textId="77777777" w:rsidR="00A10B25" w:rsidRDefault="00A10B25">
      <w:pPr>
        <w:pStyle w:val="5"/>
        <w:spacing w:before="240" w:after="240"/>
        <w:rPr>
          <w:rFonts w:eastAsia="等线"/>
        </w:rPr>
      </w:pPr>
      <w:bookmarkStart w:id="15012" w:name="_Toc136562707"/>
      <w:bookmarkStart w:id="15013" w:name="_Toc148522955"/>
      <w:bookmarkStart w:id="15014" w:name="_Toc145706038"/>
      <w:bookmarkStart w:id="15015" w:name="_Toc138754541"/>
      <w:bookmarkStart w:id="15016" w:name="_Toc164921144"/>
      <w:bookmarkStart w:id="15017" w:name="_Toc170120686"/>
      <w:bookmarkStart w:id="15018" w:name="_Toc175858931"/>
      <w:bookmarkStart w:id="15019" w:name="_Toc175860004"/>
      <w:bookmarkStart w:id="15020" w:name="_Toc180606294"/>
      <w:bookmarkStart w:id="15021" w:name="_Toc185517555"/>
      <w:bookmarkStart w:id="15022" w:name="_Toc191576607"/>
      <w:bookmarkStart w:id="15023" w:name="_Toc191577347"/>
      <w:bookmarkStart w:id="15024" w:name="_Toc192880417"/>
      <w:bookmarkStart w:id="15025" w:name="_Toc195815306"/>
      <w:bookmarkStart w:id="15026" w:name="_Toc199453273"/>
      <w:r>
        <w:rPr>
          <w:rFonts w:eastAsia="等线"/>
        </w:rPr>
        <w:t>5.5.6.3.3</w:t>
      </w:r>
      <w:r>
        <w:rPr>
          <w:rFonts w:eastAsia="等线"/>
        </w:rPr>
        <w:tab/>
        <w:t xml:space="preserve">Enumeration: </w:t>
      </w:r>
      <w:r>
        <w:rPr>
          <w:lang w:eastAsia="zh-CN"/>
        </w:rPr>
        <w:t>FailureCodeTrain</w:t>
      </w:r>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p>
    <w:p w14:paraId="254DC939" w14:textId="77777777" w:rsidR="00A10B25" w:rsidRDefault="00A10B25">
      <w:pPr>
        <w:pStyle w:val="TH"/>
        <w:rPr>
          <w:rFonts w:eastAsia="等线"/>
        </w:rPr>
      </w:pPr>
      <w:r>
        <w:t xml:space="preserve">Table 5.5.6.3.3-1: Enumeration </w:t>
      </w:r>
      <w:r>
        <w:rPr>
          <w:lang w:eastAsia="zh-CN"/>
        </w:rPr>
        <w:t>FailureCodeTrain</w:t>
      </w:r>
    </w:p>
    <w:tbl>
      <w:tblPr>
        <w:tblW w:w="9639"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7286949F" w14:textId="77777777">
        <w:tc>
          <w:tcPr>
            <w:tcW w:w="1178" w:type="pct"/>
            <w:shd w:val="clear" w:color="auto" w:fill="C0C0C0"/>
            <w:tcMar>
              <w:top w:w="0" w:type="dxa"/>
              <w:left w:w="108" w:type="dxa"/>
              <w:bottom w:w="0" w:type="dxa"/>
              <w:right w:w="108" w:type="dxa"/>
            </w:tcMar>
          </w:tcPr>
          <w:p w14:paraId="342D6128"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4BF50004" w14:textId="77777777" w:rsidR="00A10B25" w:rsidRDefault="00A10B25">
            <w:pPr>
              <w:pStyle w:val="TAH"/>
            </w:pPr>
            <w:r>
              <w:t>Description</w:t>
            </w:r>
          </w:p>
        </w:tc>
        <w:tc>
          <w:tcPr>
            <w:tcW w:w="736" w:type="pct"/>
            <w:shd w:val="clear" w:color="auto" w:fill="C0C0C0"/>
          </w:tcPr>
          <w:p w14:paraId="110E740B" w14:textId="77777777" w:rsidR="00A10B25" w:rsidRDefault="00A10B25">
            <w:pPr>
              <w:pStyle w:val="TAH"/>
            </w:pPr>
            <w:r>
              <w:t>Applicability</w:t>
            </w:r>
          </w:p>
        </w:tc>
      </w:tr>
      <w:tr w:rsidR="00A10B25" w14:paraId="6EA6CC64" w14:textId="77777777">
        <w:tc>
          <w:tcPr>
            <w:tcW w:w="1178" w:type="pct"/>
            <w:tcMar>
              <w:top w:w="0" w:type="dxa"/>
              <w:left w:w="108" w:type="dxa"/>
              <w:bottom w:w="0" w:type="dxa"/>
              <w:right w:w="108" w:type="dxa"/>
            </w:tcMar>
          </w:tcPr>
          <w:p w14:paraId="300094AB" w14:textId="77777777" w:rsidR="00A10B25" w:rsidRDefault="00A10B25">
            <w:pPr>
              <w:pStyle w:val="TAL"/>
            </w:pPr>
            <w:r>
              <w:rPr>
                <w:lang w:eastAsia="zh-CN"/>
              </w:rPr>
              <w:t>UNAVAILABLE_ML_MODEL_TRAIN</w:t>
            </w:r>
          </w:p>
        </w:tc>
        <w:tc>
          <w:tcPr>
            <w:tcW w:w="3086" w:type="pct"/>
            <w:tcMar>
              <w:top w:w="0" w:type="dxa"/>
              <w:left w:w="108" w:type="dxa"/>
              <w:bottom w:w="0" w:type="dxa"/>
              <w:right w:w="108" w:type="dxa"/>
            </w:tcMar>
          </w:tcPr>
          <w:p w14:paraId="2154362B" w14:textId="77777777" w:rsidR="00A10B25" w:rsidRDefault="00A10B25">
            <w:pPr>
              <w:pStyle w:val="TAL"/>
            </w:pPr>
            <w:r>
              <w:rPr>
                <w:rFonts w:hint="eastAsia"/>
                <w:lang w:eastAsia="zh-CN"/>
              </w:rPr>
              <w:t>I</w:t>
            </w:r>
            <w:r>
              <w:rPr>
                <w:lang w:eastAsia="zh-CN"/>
              </w:rPr>
              <w:t>ndicates the requested ML model training is unavailable.</w:t>
            </w:r>
          </w:p>
        </w:tc>
        <w:tc>
          <w:tcPr>
            <w:tcW w:w="736" w:type="pct"/>
          </w:tcPr>
          <w:p w14:paraId="36AEE57D" w14:textId="77777777" w:rsidR="00A10B25" w:rsidRDefault="00A10B25">
            <w:pPr>
              <w:pStyle w:val="TAL"/>
              <w:rPr>
                <w:lang w:eastAsia="zh-CN"/>
              </w:rPr>
            </w:pPr>
          </w:p>
        </w:tc>
      </w:tr>
    </w:tbl>
    <w:p w14:paraId="0FFC0C52" w14:textId="77777777" w:rsidR="00A10B25" w:rsidRDefault="00A10B25" w:rsidP="0076721C">
      <w:pPr>
        <w:rPr>
          <w:lang w:eastAsia="zh-CN"/>
        </w:rPr>
      </w:pPr>
    </w:p>
    <w:p w14:paraId="53716028" w14:textId="77777777" w:rsidR="00A10B25" w:rsidRDefault="00A10B25">
      <w:pPr>
        <w:pStyle w:val="5"/>
        <w:spacing w:before="240" w:after="240"/>
        <w:rPr>
          <w:rFonts w:eastAsia="等线"/>
        </w:rPr>
      </w:pPr>
      <w:bookmarkStart w:id="15027" w:name="_Toc136562708"/>
      <w:bookmarkStart w:id="15028" w:name="_Toc138754542"/>
      <w:bookmarkStart w:id="15029" w:name="_Toc145706039"/>
      <w:bookmarkStart w:id="15030" w:name="_Toc148522956"/>
      <w:bookmarkStart w:id="15031" w:name="_Toc164921145"/>
      <w:bookmarkStart w:id="15032" w:name="_Toc170120687"/>
      <w:bookmarkStart w:id="15033" w:name="_Toc175858932"/>
      <w:bookmarkStart w:id="15034" w:name="_Toc175860005"/>
      <w:bookmarkStart w:id="15035" w:name="_Toc180606295"/>
      <w:bookmarkStart w:id="15036" w:name="_Toc185517556"/>
      <w:bookmarkStart w:id="15037" w:name="_Toc191576608"/>
      <w:bookmarkStart w:id="15038" w:name="_Toc191577348"/>
      <w:bookmarkStart w:id="15039" w:name="_Toc192880418"/>
      <w:bookmarkStart w:id="15040" w:name="_Toc195815307"/>
      <w:bookmarkStart w:id="15041" w:name="_Toc199453274"/>
      <w:r>
        <w:rPr>
          <w:rFonts w:eastAsia="等线"/>
        </w:rPr>
        <w:lastRenderedPageBreak/>
        <w:t>5.5.6.3.4</w:t>
      </w:r>
      <w:r>
        <w:rPr>
          <w:rFonts w:eastAsia="等线"/>
        </w:rPr>
        <w:tab/>
        <w:t xml:space="preserve">Enumeration: </w:t>
      </w:r>
      <w:r>
        <w:rPr>
          <w:lang w:eastAsia="zh-CN"/>
        </w:rPr>
        <w:t>TermTrainCause</w:t>
      </w:r>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p>
    <w:p w14:paraId="3F82CB7A" w14:textId="77777777" w:rsidR="00A10B25" w:rsidRDefault="00A10B25">
      <w:pPr>
        <w:pStyle w:val="TH"/>
        <w:rPr>
          <w:rFonts w:eastAsia="等线"/>
        </w:rPr>
      </w:pPr>
      <w:r>
        <w:t>Table 5.5.6.3.4-1: Enumeration TermTrainCause</w:t>
      </w:r>
    </w:p>
    <w:tbl>
      <w:tblPr>
        <w:tblW w:w="9639"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1"/>
        <w:gridCol w:w="5949"/>
        <w:gridCol w:w="1419"/>
      </w:tblGrid>
      <w:tr w:rsidR="00A10B25" w14:paraId="4FD1946D" w14:textId="77777777">
        <w:tc>
          <w:tcPr>
            <w:tcW w:w="1178" w:type="pct"/>
            <w:shd w:val="clear" w:color="auto" w:fill="C0C0C0"/>
            <w:tcMar>
              <w:top w:w="0" w:type="dxa"/>
              <w:left w:w="108" w:type="dxa"/>
              <w:bottom w:w="0" w:type="dxa"/>
              <w:right w:w="108" w:type="dxa"/>
            </w:tcMar>
          </w:tcPr>
          <w:p w14:paraId="17C4E535" w14:textId="77777777" w:rsidR="00A10B25" w:rsidRDefault="00A10B25">
            <w:pPr>
              <w:pStyle w:val="TAH"/>
            </w:pPr>
            <w:r>
              <w:t>Enumeration value</w:t>
            </w:r>
          </w:p>
        </w:tc>
        <w:tc>
          <w:tcPr>
            <w:tcW w:w="3086" w:type="pct"/>
            <w:shd w:val="clear" w:color="auto" w:fill="C0C0C0"/>
            <w:tcMar>
              <w:top w:w="0" w:type="dxa"/>
              <w:left w:w="108" w:type="dxa"/>
              <w:bottom w:w="0" w:type="dxa"/>
              <w:right w:w="108" w:type="dxa"/>
            </w:tcMar>
          </w:tcPr>
          <w:p w14:paraId="7799EC94" w14:textId="77777777" w:rsidR="00A10B25" w:rsidRDefault="00A10B25">
            <w:pPr>
              <w:pStyle w:val="TAH"/>
            </w:pPr>
            <w:r>
              <w:t>Description</w:t>
            </w:r>
          </w:p>
        </w:tc>
        <w:tc>
          <w:tcPr>
            <w:tcW w:w="736" w:type="pct"/>
            <w:shd w:val="clear" w:color="auto" w:fill="C0C0C0"/>
          </w:tcPr>
          <w:p w14:paraId="6715F129" w14:textId="77777777" w:rsidR="00A10B25" w:rsidRDefault="00A10B25">
            <w:pPr>
              <w:pStyle w:val="TAH"/>
            </w:pPr>
            <w:r>
              <w:t>Applicability</w:t>
            </w:r>
          </w:p>
        </w:tc>
      </w:tr>
      <w:tr w:rsidR="00A10B25" w14:paraId="10019DFD" w14:textId="77777777">
        <w:tc>
          <w:tcPr>
            <w:tcW w:w="1178" w:type="pct"/>
            <w:tcMar>
              <w:top w:w="0" w:type="dxa"/>
              <w:left w:w="108" w:type="dxa"/>
              <w:bottom w:w="0" w:type="dxa"/>
              <w:right w:w="108" w:type="dxa"/>
            </w:tcMar>
          </w:tcPr>
          <w:p w14:paraId="3637EDF8" w14:textId="77777777" w:rsidR="00A10B25" w:rsidRDefault="00A10B25">
            <w:pPr>
              <w:pStyle w:val="TAL"/>
            </w:pPr>
            <w:r>
              <w:rPr>
                <w:lang w:eastAsia="zh-CN"/>
              </w:rPr>
              <w:t>NWDAF_OVERLOAD</w:t>
            </w:r>
          </w:p>
        </w:tc>
        <w:tc>
          <w:tcPr>
            <w:tcW w:w="3086" w:type="pct"/>
            <w:tcMar>
              <w:top w:w="0" w:type="dxa"/>
              <w:left w:w="108" w:type="dxa"/>
              <w:bottom w:w="0" w:type="dxa"/>
              <w:right w:w="108" w:type="dxa"/>
            </w:tcMar>
          </w:tcPr>
          <w:p w14:paraId="1AB10ACD" w14:textId="77777777" w:rsidR="00A10B25" w:rsidRDefault="00A10B25">
            <w:pPr>
              <w:pStyle w:val="TAL"/>
            </w:pPr>
            <w:r>
              <w:rPr>
                <w:rFonts w:hint="eastAsia"/>
                <w:lang w:eastAsia="zh-CN"/>
              </w:rPr>
              <w:t>I</w:t>
            </w:r>
            <w:r>
              <w:rPr>
                <w:lang w:eastAsia="zh-CN"/>
              </w:rPr>
              <w:t>ndicates the NWDAF is overload, e.g. in compuatation and/or communication capability, for the ML model training.</w:t>
            </w:r>
          </w:p>
        </w:tc>
        <w:tc>
          <w:tcPr>
            <w:tcW w:w="736" w:type="pct"/>
          </w:tcPr>
          <w:p w14:paraId="14F82DCC" w14:textId="77777777" w:rsidR="00A10B25" w:rsidRDefault="00A10B25">
            <w:pPr>
              <w:pStyle w:val="TAL"/>
              <w:rPr>
                <w:lang w:eastAsia="zh-CN"/>
              </w:rPr>
            </w:pPr>
          </w:p>
        </w:tc>
      </w:tr>
      <w:tr w:rsidR="00A10B25" w14:paraId="512E6635" w14:textId="77777777">
        <w:tc>
          <w:tcPr>
            <w:tcW w:w="1178" w:type="pct"/>
            <w:tcMar>
              <w:top w:w="0" w:type="dxa"/>
              <w:left w:w="108" w:type="dxa"/>
              <w:bottom w:w="0" w:type="dxa"/>
              <w:right w:w="108" w:type="dxa"/>
            </w:tcMar>
          </w:tcPr>
          <w:p w14:paraId="2916B333" w14:textId="77777777" w:rsidR="00A10B25" w:rsidRDefault="00A10B25">
            <w:pPr>
              <w:pStyle w:val="TAL"/>
              <w:rPr>
                <w:lang w:eastAsia="zh-CN"/>
              </w:rPr>
            </w:pPr>
            <w:r>
              <w:rPr>
                <w:lang w:eastAsia="zh-CN"/>
              </w:rPr>
              <w:t>NOT_AVAILABLE_ML_TRAIN</w:t>
            </w:r>
          </w:p>
        </w:tc>
        <w:tc>
          <w:tcPr>
            <w:tcW w:w="3086" w:type="pct"/>
            <w:tcMar>
              <w:top w:w="0" w:type="dxa"/>
              <w:left w:w="108" w:type="dxa"/>
              <w:bottom w:w="0" w:type="dxa"/>
              <w:right w:w="108" w:type="dxa"/>
            </w:tcMar>
          </w:tcPr>
          <w:p w14:paraId="66E57F85" w14:textId="77777777" w:rsidR="00A10B25" w:rsidRDefault="00A10B25">
            <w:pPr>
              <w:pStyle w:val="TAL"/>
              <w:rPr>
                <w:lang w:eastAsia="zh-CN"/>
              </w:rPr>
            </w:pPr>
            <w:r>
              <w:rPr>
                <w:lang w:eastAsia="zh-CN"/>
              </w:rPr>
              <w:t>Indicates the ML model training process is not available anymore.</w:t>
            </w:r>
          </w:p>
        </w:tc>
        <w:tc>
          <w:tcPr>
            <w:tcW w:w="736" w:type="pct"/>
          </w:tcPr>
          <w:p w14:paraId="0D5A02E9" w14:textId="77777777" w:rsidR="00A10B25" w:rsidRDefault="00A10B25">
            <w:pPr>
              <w:pStyle w:val="TAL"/>
              <w:rPr>
                <w:lang w:eastAsia="zh-CN"/>
              </w:rPr>
            </w:pPr>
          </w:p>
        </w:tc>
      </w:tr>
      <w:tr w:rsidR="00A10B25" w14:paraId="661FC23F" w14:textId="77777777">
        <w:tc>
          <w:tcPr>
            <w:tcW w:w="1178" w:type="pct"/>
            <w:tcMar>
              <w:top w:w="0" w:type="dxa"/>
              <w:left w:w="108" w:type="dxa"/>
              <w:bottom w:w="0" w:type="dxa"/>
              <w:right w:w="108" w:type="dxa"/>
            </w:tcMar>
          </w:tcPr>
          <w:p w14:paraId="7C13D69E" w14:textId="77777777" w:rsidR="00A10B25" w:rsidRDefault="00A10B25">
            <w:pPr>
              <w:pStyle w:val="TAL"/>
              <w:rPr>
                <w:lang w:eastAsia="zh-CN"/>
              </w:rPr>
            </w:pPr>
            <w:r>
              <w:rPr>
                <w:lang w:eastAsia="zh-CN"/>
              </w:rPr>
              <w:t>OTHERS</w:t>
            </w:r>
          </w:p>
        </w:tc>
        <w:tc>
          <w:tcPr>
            <w:tcW w:w="3086" w:type="pct"/>
            <w:tcMar>
              <w:top w:w="0" w:type="dxa"/>
              <w:left w:w="108" w:type="dxa"/>
              <w:bottom w:w="0" w:type="dxa"/>
              <w:right w:w="108" w:type="dxa"/>
            </w:tcMar>
          </w:tcPr>
          <w:p w14:paraId="201D63A9" w14:textId="77777777" w:rsidR="00A10B25" w:rsidRDefault="00A10B25">
            <w:pPr>
              <w:pStyle w:val="TAL"/>
              <w:rPr>
                <w:lang w:eastAsia="zh-CN"/>
              </w:rPr>
            </w:pPr>
            <w:r>
              <w:rPr>
                <w:lang w:eastAsia="zh-CN"/>
              </w:rPr>
              <w:t>Indicates other cause.</w:t>
            </w:r>
          </w:p>
        </w:tc>
        <w:tc>
          <w:tcPr>
            <w:tcW w:w="736" w:type="pct"/>
          </w:tcPr>
          <w:p w14:paraId="22851267" w14:textId="77777777" w:rsidR="00A10B25" w:rsidRDefault="00A10B25">
            <w:pPr>
              <w:pStyle w:val="TAL"/>
              <w:rPr>
                <w:lang w:eastAsia="zh-CN"/>
              </w:rPr>
            </w:pPr>
          </w:p>
        </w:tc>
      </w:tr>
    </w:tbl>
    <w:p w14:paraId="6B6BDA01" w14:textId="77777777" w:rsidR="00A10B25" w:rsidRDefault="00A10B25" w:rsidP="0076721C">
      <w:pPr>
        <w:rPr>
          <w:lang w:eastAsia="zh-CN"/>
        </w:rPr>
      </w:pPr>
    </w:p>
    <w:p w14:paraId="23974084" w14:textId="77777777" w:rsidR="00A10B25" w:rsidRDefault="00A10B25">
      <w:pPr>
        <w:pStyle w:val="5"/>
        <w:spacing w:before="240" w:after="240"/>
        <w:rPr>
          <w:rFonts w:eastAsia="等线"/>
        </w:rPr>
      </w:pPr>
      <w:bookmarkStart w:id="15042" w:name="_Toc136687423"/>
      <w:bookmarkStart w:id="15043" w:name="_Toc145706040"/>
      <w:bookmarkStart w:id="15044" w:name="_Toc148522957"/>
      <w:bookmarkStart w:id="15045" w:name="_Toc164921146"/>
      <w:bookmarkStart w:id="15046" w:name="_Toc170120688"/>
      <w:bookmarkStart w:id="15047" w:name="_Toc175858933"/>
      <w:bookmarkStart w:id="15048" w:name="_Toc175860006"/>
      <w:bookmarkStart w:id="15049" w:name="_Toc180606296"/>
      <w:bookmarkStart w:id="15050" w:name="_Toc185517557"/>
      <w:bookmarkStart w:id="15051" w:name="_Toc191576609"/>
      <w:bookmarkStart w:id="15052" w:name="_Toc191577349"/>
      <w:bookmarkStart w:id="15053" w:name="_Toc192880419"/>
      <w:bookmarkStart w:id="15054" w:name="_Toc195815308"/>
      <w:bookmarkStart w:id="15055" w:name="_Toc199453275"/>
      <w:r>
        <w:rPr>
          <w:rFonts w:eastAsia="等线"/>
        </w:rPr>
        <w:t>5.5.6.3.5</w:t>
      </w:r>
      <w:r>
        <w:rPr>
          <w:rFonts w:eastAsia="等线"/>
        </w:rPr>
        <w:tab/>
        <w:t xml:space="preserve">Enumeration: </w:t>
      </w:r>
      <w:bookmarkEnd w:id="15042"/>
      <w:r>
        <w:t>DelayCause</w:t>
      </w:r>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p>
    <w:p w14:paraId="7C92CE02" w14:textId="77777777" w:rsidR="00A10B25" w:rsidRDefault="00A10B25">
      <w:pPr>
        <w:pStyle w:val="TH"/>
        <w:rPr>
          <w:rFonts w:eastAsia="等线"/>
        </w:rPr>
      </w:pPr>
      <w:r>
        <w:t>Table 5.5.6.3.5-1: Enumeration DelayCause</w:t>
      </w:r>
    </w:p>
    <w:tbl>
      <w:tblPr>
        <w:tblW w:w="9645"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72"/>
        <w:gridCol w:w="5953"/>
        <w:gridCol w:w="1420"/>
      </w:tblGrid>
      <w:tr w:rsidR="00A10B25" w14:paraId="1AA60CCC" w14:textId="77777777">
        <w:tc>
          <w:tcPr>
            <w:tcW w:w="1178"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26F61C90" w14:textId="77777777" w:rsidR="00A10B25" w:rsidRDefault="00A10B25">
            <w:pPr>
              <w:pStyle w:val="TAH"/>
            </w:pPr>
            <w:r>
              <w:t>Enumeration value</w:t>
            </w:r>
          </w:p>
        </w:tc>
        <w:tc>
          <w:tcPr>
            <w:tcW w:w="308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4AB28146" w14:textId="77777777" w:rsidR="00A10B25" w:rsidRDefault="00A10B25">
            <w:pPr>
              <w:pStyle w:val="TAH"/>
            </w:pPr>
            <w:r>
              <w:t>Description</w:t>
            </w:r>
          </w:p>
        </w:tc>
        <w:tc>
          <w:tcPr>
            <w:tcW w:w="736" w:type="pct"/>
            <w:tcBorders>
              <w:top w:val="single" w:sz="6" w:space="0" w:color="auto"/>
              <w:left w:val="single" w:sz="6" w:space="0" w:color="auto"/>
              <w:bottom w:val="single" w:sz="6" w:space="0" w:color="auto"/>
              <w:right w:val="single" w:sz="6" w:space="0" w:color="auto"/>
            </w:tcBorders>
            <w:shd w:val="clear" w:color="auto" w:fill="C0C0C0"/>
          </w:tcPr>
          <w:p w14:paraId="3D1646C7" w14:textId="77777777" w:rsidR="00A10B25" w:rsidRDefault="00A10B25">
            <w:pPr>
              <w:pStyle w:val="TAH"/>
            </w:pPr>
            <w:r>
              <w:t>Applicability</w:t>
            </w:r>
          </w:p>
        </w:tc>
      </w:tr>
      <w:tr w:rsidR="00A10B25" w14:paraId="1FE072A6" w14:textId="77777777">
        <w:tc>
          <w:tcPr>
            <w:tcW w:w="117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45B30A" w14:textId="77777777" w:rsidR="00A10B25" w:rsidRDefault="00A10B25">
            <w:pPr>
              <w:pStyle w:val="TAL"/>
            </w:pPr>
            <w:r>
              <w:rPr>
                <w:lang w:eastAsia="zh-CN"/>
              </w:rPr>
              <w:t>ML_MODEL_TRAIN_FAILURE</w:t>
            </w:r>
          </w:p>
        </w:tc>
        <w:tc>
          <w:tcPr>
            <w:tcW w:w="308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F28B08" w14:textId="77777777" w:rsidR="00A10B25" w:rsidRDefault="00A10B25">
            <w:pPr>
              <w:pStyle w:val="TAL"/>
            </w:pPr>
            <w:r>
              <w:rPr>
                <w:lang w:eastAsia="zh-CN"/>
              </w:rPr>
              <w:t>Indicates the ML model training is failed.</w:t>
            </w:r>
          </w:p>
        </w:tc>
        <w:tc>
          <w:tcPr>
            <w:tcW w:w="736" w:type="pct"/>
            <w:tcBorders>
              <w:top w:val="single" w:sz="6" w:space="0" w:color="auto"/>
              <w:left w:val="single" w:sz="6" w:space="0" w:color="auto"/>
              <w:bottom w:val="single" w:sz="6" w:space="0" w:color="auto"/>
              <w:right w:val="single" w:sz="6" w:space="0" w:color="auto"/>
            </w:tcBorders>
          </w:tcPr>
          <w:p w14:paraId="76CC8A3E" w14:textId="77777777" w:rsidR="00A10B25" w:rsidRDefault="00A10B25">
            <w:pPr>
              <w:pStyle w:val="TAL"/>
              <w:rPr>
                <w:lang w:eastAsia="zh-CN"/>
              </w:rPr>
            </w:pPr>
          </w:p>
        </w:tc>
      </w:tr>
      <w:tr w:rsidR="00A10B25" w14:paraId="68C70A91" w14:textId="77777777">
        <w:tc>
          <w:tcPr>
            <w:tcW w:w="117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9B032E" w14:textId="77777777" w:rsidR="00A10B25" w:rsidRDefault="00A10B25">
            <w:pPr>
              <w:pStyle w:val="TAL"/>
              <w:rPr>
                <w:lang w:eastAsia="zh-CN"/>
              </w:rPr>
            </w:pPr>
            <w:r>
              <w:rPr>
                <w:lang w:eastAsia="zh-CN"/>
              </w:rPr>
              <w:t>NEED_MORE_TIME</w:t>
            </w:r>
          </w:p>
        </w:tc>
        <w:tc>
          <w:tcPr>
            <w:tcW w:w="308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D5AA04" w14:textId="77777777" w:rsidR="00A10B25" w:rsidRDefault="00A10B25">
            <w:pPr>
              <w:pStyle w:val="TAL"/>
              <w:rPr>
                <w:lang w:eastAsia="zh-CN"/>
              </w:rPr>
            </w:pPr>
            <w:r>
              <w:rPr>
                <w:lang w:eastAsia="zh-CN"/>
              </w:rPr>
              <w:t>Indicates that more time is needed for the ML model training.</w:t>
            </w:r>
          </w:p>
        </w:tc>
        <w:tc>
          <w:tcPr>
            <w:tcW w:w="736" w:type="pct"/>
            <w:tcBorders>
              <w:top w:val="single" w:sz="6" w:space="0" w:color="auto"/>
              <w:left w:val="single" w:sz="6" w:space="0" w:color="auto"/>
              <w:bottom w:val="single" w:sz="6" w:space="0" w:color="auto"/>
              <w:right w:val="single" w:sz="6" w:space="0" w:color="auto"/>
            </w:tcBorders>
          </w:tcPr>
          <w:p w14:paraId="00E83F0A" w14:textId="77777777" w:rsidR="00A10B25" w:rsidRDefault="00A10B25">
            <w:pPr>
              <w:pStyle w:val="TAL"/>
              <w:rPr>
                <w:lang w:eastAsia="zh-CN"/>
              </w:rPr>
            </w:pPr>
          </w:p>
        </w:tc>
      </w:tr>
      <w:tr w:rsidR="00A10B25" w14:paraId="21965A01" w14:textId="77777777">
        <w:tc>
          <w:tcPr>
            <w:tcW w:w="117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ED55C3" w14:textId="77777777" w:rsidR="00A10B25" w:rsidRDefault="00A10B25">
            <w:pPr>
              <w:pStyle w:val="TAL"/>
              <w:rPr>
                <w:lang w:eastAsia="zh-CN"/>
              </w:rPr>
            </w:pPr>
            <w:r>
              <w:rPr>
                <w:lang w:eastAsia="zh-CN"/>
              </w:rPr>
              <w:t>OTHERS</w:t>
            </w:r>
          </w:p>
        </w:tc>
        <w:tc>
          <w:tcPr>
            <w:tcW w:w="308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FED29" w14:textId="77777777" w:rsidR="00A10B25" w:rsidRDefault="00A10B25">
            <w:pPr>
              <w:pStyle w:val="TAL"/>
              <w:rPr>
                <w:lang w:eastAsia="zh-CN"/>
              </w:rPr>
            </w:pPr>
            <w:r>
              <w:rPr>
                <w:lang w:eastAsia="zh-CN"/>
              </w:rPr>
              <w:t>Indicates other cause.</w:t>
            </w:r>
          </w:p>
        </w:tc>
        <w:tc>
          <w:tcPr>
            <w:tcW w:w="736" w:type="pct"/>
            <w:tcBorders>
              <w:top w:val="single" w:sz="6" w:space="0" w:color="auto"/>
              <w:left w:val="single" w:sz="6" w:space="0" w:color="auto"/>
              <w:bottom w:val="single" w:sz="6" w:space="0" w:color="auto"/>
              <w:right w:val="single" w:sz="6" w:space="0" w:color="auto"/>
            </w:tcBorders>
          </w:tcPr>
          <w:p w14:paraId="7A3A1722" w14:textId="77777777" w:rsidR="00A10B25" w:rsidRDefault="00A10B25">
            <w:pPr>
              <w:pStyle w:val="TAL"/>
              <w:rPr>
                <w:lang w:eastAsia="zh-CN"/>
              </w:rPr>
            </w:pPr>
          </w:p>
        </w:tc>
      </w:tr>
    </w:tbl>
    <w:p w14:paraId="2007AC83" w14:textId="77777777" w:rsidR="00A10B25" w:rsidRDefault="00A10B25">
      <w:pPr>
        <w:rPr>
          <w:rFonts w:eastAsia="等线"/>
        </w:rPr>
      </w:pPr>
    </w:p>
    <w:p w14:paraId="6171D064" w14:textId="77777777" w:rsidR="00A10B25" w:rsidRDefault="00A10B25">
      <w:pPr>
        <w:pStyle w:val="3"/>
        <w:rPr>
          <w:lang w:val="en-US"/>
        </w:rPr>
      </w:pPr>
      <w:bookmarkStart w:id="15056" w:name="_Toc138754543"/>
      <w:bookmarkStart w:id="15057" w:name="_Toc136562709"/>
      <w:bookmarkStart w:id="15058" w:name="_Toc145706041"/>
      <w:bookmarkStart w:id="15059" w:name="_Toc148522958"/>
      <w:bookmarkStart w:id="15060" w:name="_Toc164921147"/>
      <w:bookmarkStart w:id="15061" w:name="_Toc170120689"/>
      <w:bookmarkStart w:id="15062" w:name="_Toc175858934"/>
      <w:bookmarkStart w:id="15063" w:name="_Toc175860007"/>
      <w:bookmarkStart w:id="15064" w:name="_Toc180606297"/>
      <w:bookmarkStart w:id="15065" w:name="_Toc185517558"/>
      <w:bookmarkStart w:id="15066" w:name="_Toc191576610"/>
      <w:bookmarkStart w:id="15067" w:name="_Toc191577350"/>
      <w:bookmarkStart w:id="15068" w:name="_Toc192880420"/>
      <w:bookmarkStart w:id="15069" w:name="_Toc195815309"/>
      <w:bookmarkStart w:id="15070" w:name="_Toc199453276"/>
      <w:r>
        <w:rPr>
          <w:lang w:val="en-US"/>
        </w:rPr>
        <w:t>5.5.7</w:t>
      </w:r>
      <w:r>
        <w:rPr>
          <w:lang w:val="en-US"/>
        </w:rPr>
        <w:tab/>
        <w:t>Error handling</w:t>
      </w:r>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p>
    <w:p w14:paraId="66546C02" w14:textId="77777777" w:rsidR="00A10B25" w:rsidRDefault="00A10B25">
      <w:pPr>
        <w:pStyle w:val="4"/>
      </w:pPr>
      <w:bookmarkStart w:id="15071" w:name="_Toc148522959"/>
      <w:bookmarkStart w:id="15072" w:name="_Toc138754544"/>
      <w:bookmarkStart w:id="15073" w:name="_Toc136562710"/>
      <w:bookmarkStart w:id="15074" w:name="_Toc145706042"/>
      <w:bookmarkStart w:id="15075" w:name="_Toc164921148"/>
      <w:bookmarkStart w:id="15076" w:name="_Toc170120690"/>
      <w:bookmarkStart w:id="15077" w:name="_Toc175858935"/>
      <w:bookmarkStart w:id="15078" w:name="_Toc175860008"/>
      <w:bookmarkStart w:id="15079" w:name="_Toc180606298"/>
      <w:bookmarkStart w:id="15080" w:name="_Toc185517559"/>
      <w:bookmarkStart w:id="15081" w:name="_Toc191576611"/>
      <w:bookmarkStart w:id="15082" w:name="_Toc191577351"/>
      <w:bookmarkStart w:id="15083" w:name="_Toc192880421"/>
      <w:bookmarkStart w:id="15084" w:name="_Toc195815310"/>
      <w:bookmarkStart w:id="15085" w:name="_Toc199453277"/>
      <w:r>
        <w:t>5.5.7.1</w:t>
      </w:r>
      <w:r>
        <w:tab/>
        <w:t>General</w:t>
      </w:r>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p>
    <w:p w14:paraId="4FC08734" w14:textId="77777777" w:rsidR="00A10B25" w:rsidRDefault="00A10B25">
      <w:pPr>
        <w:rPr>
          <w:rFonts w:eastAsia="Batang"/>
        </w:rPr>
      </w:pPr>
      <w:r>
        <w:rPr>
          <w:rFonts w:eastAsia="Batang"/>
        </w:rPr>
        <w:t>HTTP error handling shall be supported as specified in clause 5.2.4 of 3GPP TS 29.500 [6].</w:t>
      </w:r>
    </w:p>
    <w:p w14:paraId="280FC71C" w14:textId="77777777" w:rsidR="00A10B25" w:rsidRDefault="00A10B25">
      <w:pPr>
        <w:rPr>
          <w:rFonts w:eastAsia="Batang"/>
        </w:rPr>
      </w:pPr>
      <w:r>
        <w:rPr>
          <w:rFonts w:eastAsia="Batang"/>
        </w:rPr>
        <w:t>For the Nnwdaf_</w:t>
      </w:r>
      <w:r>
        <w:rPr>
          <w:lang w:eastAsia="ja-JP"/>
        </w:rPr>
        <w:t>MLModelTraining</w:t>
      </w:r>
      <w:r>
        <w:rPr>
          <w:rFonts w:eastAsia="Batang"/>
        </w:rPr>
        <w:t xml:space="preserve"> API, HTTP error responses shall be supported as specified in clause 4.8 of 3GPP TS 29.501 [7]. </w:t>
      </w:r>
    </w:p>
    <w:p w14:paraId="00564243" w14:textId="77777777" w:rsidR="00A10B25" w:rsidRDefault="00A10B25">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0838A397" w14:textId="77777777" w:rsidR="00A10B25" w:rsidRDefault="00A10B25">
      <w:pPr>
        <w:rPr>
          <w:rFonts w:eastAsia="Batang"/>
        </w:rPr>
      </w:pPr>
      <w:r>
        <w:t>Protocol errors and application errors specified in table 5.2.7.2-1 of 3GPP TS 29.500 [6] for HTTP redirections shall be supported.</w:t>
      </w:r>
    </w:p>
    <w:p w14:paraId="7FE88183" w14:textId="77777777" w:rsidR="00A10B25" w:rsidRDefault="00A10B25">
      <w:pPr>
        <w:rPr>
          <w:rFonts w:eastAsia="Batang"/>
        </w:rPr>
      </w:pPr>
      <w:r>
        <w:rPr>
          <w:rFonts w:eastAsia="Batang"/>
        </w:rPr>
        <w:t>In addition, the requirements in the following clauses shall apply.</w:t>
      </w:r>
    </w:p>
    <w:p w14:paraId="15BD8CDF" w14:textId="77777777" w:rsidR="00A10B25" w:rsidRDefault="00A10B25">
      <w:pPr>
        <w:pStyle w:val="4"/>
      </w:pPr>
      <w:bookmarkStart w:id="15086" w:name="_Toc138754545"/>
      <w:bookmarkStart w:id="15087" w:name="_Toc145706043"/>
      <w:bookmarkStart w:id="15088" w:name="_Toc148522960"/>
      <w:bookmarkStart w:id="15089" w:name="_Toc136562711"/>
      <w:bookmarkStart w:id="15090" w:name="_Toc164921149"/>
      <w:bookmarkStart w:id="15091" w:name="_Toc170120691"/>
      <w:bookmarkStart w:id="15092" w:name="_Toc175858936"/>
      <w:bookmarkStart w:id="15093" w:name="_Toc175860009"/>
      <w:bookmarkStart w:id="15094" w:name="_Toc180606299"/>
      <w:bookmarkStart w:id="15095" w:name="_Toc185517560"/>
      <w:bookmarkStart w:id="15096" w:name="_Toc191576612"/>
      <w:bookmarkStart w:id="15097" w:name="_Toc191577352"/>
      <w:bookmarkStart w:id="15098" w:name="_Toc192880422"/>
      <w:bookmarkStart w:id="15099" w:name="_Toc195815311"/>
      <w:bookmarkStart w:id="15100" w:name="_Toc199453278"/>
      <w:r>
        <w:t>5.5.7.2</w:t>
      </w:r>
      <w:r>
        <w:tab/>
        <w:t>Protocol Errors</w:t>
      </w:r>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p>
    <w:p w14:paraId="23D20F2B" w14:textId="77777777" w:rsidR="00A10B25" w:rsidRDefault="00A10B25">
      <w:pPr>
        <w:rPr>
          <w:rFonts w:eastAsia="Batang"/>
        </w:rPr>
      </w:pPr>
      <w:r>
        <w:rPr>
          <w:rFonts w:eastAsia="Batang"/>
          <w:lang w:eastAsia="zh-CN"/>
        </w:rPr>
        <w:t xml:space="preserve">In this Release </w:t>
      </w:r>
      <w:r>
        <w:rPr>
          <w:rFonts w:eastAsia="Batang"/>
        </w:rPr>
        <w:t>of the specification, there are no additional protocol errors applicable for the Nnwdaf_</w:t>
      </w:r>
      <w:r>
        <w:rPr>
          <w:lang w:eastAsia="ja-JP"/>
        </w:rPr>
        <w:t>MLModelTraining</w:t>
      </w:r>
      <w:r>
        <w:rPr>
          <w:rFonts w:eastAsia="Batang"/>
        </w:rPr>
        <w:t xml:space="preserve"> API.</w:t>
      </w:r>
    </w:p>
    <w:p w14:paraId="4C9CBB63" w14:textId="77777777" w:rsidR="00A10B25" w:rsidRDefault="00A10B25">
      <w:pPr>
        <w:pStyle w:val="4"/>
        <w:rPr>
          <w:rFonts w:eastAsia="Batang"/>
          <w:sz w:val="28"/>
        </w:rPr>
      </w:pPr>
      <w:bookmarkStart w:id="15101" w:name="_Toc138754546"/>
      <w:bookmarkStart w:id="15102" w:name="_Toc148522961"/>
      <w:bookmarkStart w:id="15103" w:name="_Toc136562712"/>
      <w:bookmarkStart w:id="15104" w:name="_Toc145706044"/>
      <w:bookmarkStart w:id="15105" w:name="_Toc164921150"/>
      <w:bookmarkStart w:id="15106" w:name="_Toc170120692"/>
      <w:bookmarkStart w:id="15107" w:name="_Toc175858937"/>
      <w:bookmarkStart w:id="15108" w:name="_Toc175860010"/>
      <w:bookmarkStart w:id="15109" w:name="_Toc180606300"/>
      <w:bookmarkStart w:id="15110" w:name="_Toc185517561"/>
      <w:bookmarkStart w:id="15111" w:name="_Toc191576613"/>
      <w:bookmarkStart w:id="15112" w:name="_Toc191577353"/>
      <w:bookmarkStart w:id="15113" w:name="_Toc192880423"/>
      <w:bookmarkStart w:id="15114" w:name="_Toc195815312"/>
      <w:bookmarkStart w:id="15115" w:name="_Toc199453279"/>
      <w:r>
        <w:t>5.5.7.3</w:t>
      </w:r>
      <w:r>
        <w:tab/>
        <w:t>Application Errors</w:t>
      </w:r>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p>
    <w:p w14:paraId="33CDABD8" w14:textId="77777777" w:rsidR="00A10B25" w:rsidRDefault="00A10B25">
      <w:pPr>
        <w:rPr>
          <w:rFonts w:eastAsia="Batang"/>
        </w:rPr>
      </w:pPr>
      <w:r>
        <w:rPr>
          <w:rFonts w:eastAsia="Batang"/>
        </w:rPr>
        <w:t>The application errors defined for the Nnwdaf_</w:t>
      </w:r>
      <w:r>
        <w:rPr>
          <w:lang w:eastAsia="ja-JP"/>
        </w:rPr>
        <w:t>MLModelTraining</w:t>
      </w:r>
      <w:r>
        <w:rPr>
          <w:rFonts w:eastAsia="Batang"/>
        </w:rPr>
        <w:t xml:space="preserve"> API are listed in table 5.5.7.3-1. </w:t>
      </w:r>
    </w:p>
    <w:p w14:paraId="74464001" w14:textId="77777777" w:rsidR="00A10B25" w:rsidRDefault="00A10B25">
      <w:pPr>
        <w:pStyle w:val="TH"/>
      </w:pPr>
      <w:bookmarkStart w:id="15116" w:name="_Toc138754547"/>
      <w:bookmarkStart w:id="15117" w:name="_Toc136562713"/>
      <w:r>
        <w:lastRenderedPageBreak/>
        <w:t>Table 5.5.7.3-1: Application errors</w:t>
      </w:r>
    </w:p>
    <w:tbl>
      <w:tblPr>
        <w:tblW w:w="975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5"/>
        <w:gridCol w:w="1981"/>
        <w:gridCol w:w="3934"/>
      </w:tblGrid>
      <w:tr w:rsidR="00A10B25" w14:paraId="35232554" w14:textId="77777777">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tcPr>
          <w:p w14:paraId="46124B97" w14:textId="77777777" w:rsidR="00A10B25" w:rsidRDefault="00A10B25">
            <w:pPr>
              <w:pStyle w:val="TAH"/>
            </w:pPr>
            <w:r>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tcPr>
          <w:p w14:paraId="46EAC8FB" w14:textId="77777777" w:rsidR="00A10B25" w:rsidRDefault="00A10B25">
            <w:pPr>
              <w:pStyle w:val="TAH"/>
            </w:pPr>
            <w:r>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tcPr>
          <w:p w14:paraId="382D18F4" w14:textId="77777777" w:rsidR="00A10B25" w:rsidRDefault="00A10B25">
            <w:pPr>
              <w:pStyle w:val="TAH"/>
            </w:pPr>
            <w:r>
              <w:t>Description</w:t>
            </w:r>
          </w:p>
        </w:tc>
      </w:tr>
      <w:tr w:rsidR="00A10B25" w14:paraId="35A2EA4A"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205BD571" w14:textId="77777777" w:rsidR="00A10B25" w:rsidRDefault="00A10B25">
            <w:pPr>
              <w:pStyle w:val="TAL"/>
            </w:pPr>
            <w:r>
              <w:rPr>
                <w:lang w:eastAsia="zh-CN"/>
              </w:rPr>
              <w:t>UNAVAILABLE_ML_MODEL_TRAINING_FOR_ALLEVENTS</w:t>
            </w:r>
          </w:p>
        </w:tc>
        <w:tc>
          <w:tcPr>
            <w:tcW w:w="1980" w:type="dxa"/>
            <w:tcBorders>
              <w:top w:val="single" w:sz="6" w:space="0" w:color="auto"/>
              <w:left w:val="single" w:sz="6" w:space="0" w:color="auto"/>
              <w:bottom w:val="single" w:sz="6" w:space="0" w:color="auto"/>
              <w:right w:val="single" w:sz="6" w:space="0" w:color="auto"/>
            </w:tcBorders>
          </w:tcPr>
          <w:p w14:paraId="7E18264A" w14:textId="77777777" w:rsidR="00A10B25" w:rsidRDefault="00A10B25">
            <w:pPr>
              <w:pStyle w:val="TAL"/>
            </w:pPr>
            <w:r>
              <w:rPr>
                <w:lang w:eastAsia="zh-CN"/>
              </w:rPr>
              <w:t>50</w:t>
            </w:r>
            <w:r>
              <w:t>0 Internal Server Error</w:t>
            </w:r>
          </w:p>
        </w:tc>
        <w:tc>
          <w:tcPr>
            <w:tcW w:w="3933" w:type="dxa"/>
            <w:tcBorders>
              <w:top w:val="single" w:sz="6" w:space="0" w:color="auto"/>
              <w:left w:val="single" w:sz="6" w:space="0" w:color="auto"/>
              <w:bottom w:val="single" w:sz="6" w:space="0" w:color="auto"/>
              <w:right w:val="single" w:sz="6" w:space="0" w:color="auto"/>
            </w:tcBorders>
          </w:tcPr>
          <w:p w14:paraId="7F81E7B4" w14:textId="77777777" w:rsidR="00A10B25" w:rsidRDefault="00A10B25">
            <w:pPr>
              <w:pStyle w:val="TAL"/>
            </w:pPr>
            <w:r>
              <w:rPr>
                <w:lang w:eastAsia="zh-CN"/>
              </w:rPr>
              <w:t>Indicates the requested all events ML model training is unavailable.</w:t>
            </w:r>
          </w:p>
        </w:tc>
      </w:tr>
      <w:tr w:rsidR="00A10B25" w14:paraId="0E56571E"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4602E323" w14:textId="77777777" w:rsidR="00A10B25" w:rsidRDefault="00A10B25">
            <w:pPr>
              <w:pStyle w:val="TAL"/>
              <w:tabs>
                <w:tab w:val="left" w:pos="1124"/>
              </w:tabs>
              <w:rPr>
                <w:lang w:eastAsia="zh-CN"/>
              </w:rPr>
            </w:pPr>
            <w:r>
              <w:rPr>
                <w:lang w:eastAsia="zh-CN"/>
              </w:rPr>
              <w:t>ML_MODEL_TRAINING_REQS_NOT_MET</w:t>
            </w:r>
          </w:p>
        </w:tc>
        <w:tc>
          <w:tcPr>
            <w:tcW w:w="1980" w:type="dxa"/>
            <w:tcBorders>
              <w:top w:val="single" w:sz="6" w:space="0" w:color="auto"/>
              <w:left w:val="single" w:sz="6" w:space="0" w:color="auto"/>
              <w:bottom w:val="single" w:sz="6" w:space="0" w:color="auto"/>
              <w:right w:val="single" w:sz="6" w:space="0" w:color="auto"/>
            </w:tcBorders>
          </w:tcPr>
          <w:p w14:paraId="77D08FC7"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1728ABDF" w14:textId="77777777" w:rsidR="00A10B25" w:rsidRDefault="00A10B25">
            <w:pPr>
              <w:pStyle w:val="TAL"/>
              <w:rPr>
                <w:lang w:eastAsia="zh-CN"/>
              </w:rPr>
            </w:pPr>
            <w:r>
              <w:rPr>
                <w:lang w:eastAsia="zh-CN"/>
              </w:rPr>
              <w:t xml:space="preserve">Indicates the ML model training requirements are not met. The "ProblemDetails" data structure </w:t>
            </w:r>
            <w:r>
              <w:rPr>
                <w:rStyle w:val="ui-provider"/>
              </w:rPr>
              <w:t>shall contain the attribute(s) that do not meet the ML model training requirements within the "invalidParams" attribute.</w:t>
            </w:r>
          </w:p>
        </w:tc>
      </w:tr>
      <w:tr w:rsidR="00A10B25" w14:paraId="087984F3"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2158C9DB" w14:textId="77777777" w:rsidR="00A10B25" w:rsidRDefault="00A10B25">
            <w:pPr>
              <w:pStyle w:val="TAL"/>
              <w:tabs>
                <w:tab w:val="left" w:pos="1124"/>
              </w:tabs>
              <w:rPr>
                <w:lang w:eastAsia="zh-CN"/>
              </w:rPr>
            </w:pPr>
            <w:r>
              <w:rPr>
                <w:lang w:eastAsia="zh-CN"/>
              </w:rPr>
              <w:t>ML_TRAINING_NOT_COMPLETE</w:t>
            </w:r>
          </w:p>
        </w:tc>
        <w:tc>
          <w:tcPr>
            <w:tcW w:w="1980" w:type="dxa"/>
            <w:tcBorders>
              <w:top w:val="single" w:sz="6" w:space="0" w:color="auto"/>
              <w:left w:val="single" w:sz="6" w:space="0" w:color="auto"/>
              <w:bottom w:val="single" w:sz="6" w:space="0" w:color="auto"/>
              <w:right w:val="single" w:sz="6" w:space="0" w:color="auto"/>
            </w:tcBorders>
          </w:tcPr>
          <w:p w14:paraId="664493A0"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6FE03C63" w14:textId="77777777" w:rsidR="00A10B25" w:rsidRDefault="00A10B25">
            <w:pPr>
              <w:pStyle w:val="TAL"/>
              <w:rPr>
                <w:lang w:eastAsia="zh-CN"/>
              </w:rPr>
            </w:pPr>
            <w:r>
              <w:rPr>
                <w:lang w:eastAsia="zh-CN"/>
              </w:rPr>
              <w:t xml:space="preserve">Indicates the ML training is not complete. </w:t>
            </w:r>
          </w:p>
        </w:tc>
      </w:tr>
      <w:tr w:rsidR="00A10B25" w14:paraId="49053719"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38EE0FCE" w14:textId="77777777" w:rsidR="00A10B25" w:rsidRDefault="00A10B25">
            <w:pPr>
              <w:pStyle w:val="TAL"/>
              <w:tabs>
                <w:tab w:val="left" w:pos="1124"/>
              </w:tabs>
              <w:rPr>
                <w:lang w:eastAsia="zh-CN"/>
              </w:rPr>
            </w:pPr>
            <w:r>
              <w:rPr>
                <w:lang w:eastAsia="zh-CN"/>
              </w:rPr>
              <w:t>OVERLOAD</w:t>
            </w:r>
          </w:p>
        </w:tc>
        <w:tc>
          <w:tcPr>
            <w:tcW w:w="1980" w:type="dxa"/>
            <w:tcBorders>
              <w:top w:val="single" w:sz="6" w:space="0" w:color="auto"/>
              <w:left w:val="single" w:sz="6" w:space="0" w:color="auto"/>
              <w:bottom w:val="single" w:sz="6" w:space="0" w:color="auto"/>
              <w:right w:val="single" w:sz="6" w:space="0" w:color="auto"/>
            </w:tcBorders>
          </w:tcPr>
          <w:p w14:paraId="1FE12E26"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1CB43941" w14:textId="77777777" w:rsidR="00A10B25" w:rsidRDefault="00A10B25">
            <w:pPr>
              <w:pStyle w:val="TAL"/>
              <w:rPr>
                <w:lang w:eastAsia="zh-CN"/>
              </w:rPr>
            </w:pPr>
            <w:r>
              <w:rPr>
                <w:lang w:eastAsia="zh-CN"/>
              </w:rPr>
              <w:t>Indicates the NWDAF is overload</w:t>
            </w:r>
            <w:r>
              <w:rPr>
                <w:rStyle w:val="ui-provider"/>
              </w:rPr>
              <w:t>.</w:t>
            </w:r>
          </w:p>
        </w:tc>
      </w:tr>
      <w:tr w:rsidR="00A10B25" w14:paraId="26DAA13D" w14:textId="77777777">
        <w:trPr>
          <w:cantSplit/>
          <w:jc w:val="center"/>
        </w:trPr>
        <w:tc>
          <w:tcPr>
            <w:tcW w:w="3834" w:type="dxa"/>
            <w:tcBorders>
              <w:top w:val="single" w:sz="6" w:space="0" w:color="auto"/>
              <w:left w:val="single" w:sz="6" w:space="0" w:color="auto"/>
              <w:bottom w:val="single" w:sz="6" w:space="0" w:color="auto"/>
              <w:right w:val="single" w:sz="6" w:space="0" w:color="auto"/>
            </w:tcBorders>
          </w:tcPr>
          <w:p w14:paraId="681F94AB" w14:textId="77777777" w:rsidR="00A10B25" w:rsidRDefault="00A10B25">
            <w:pPr>
              <w:pStyle w:val="TAL"/>
              <w:tabs>
                <w:tab w:val="left" w:pos="1124"/>
              </w:tabs>
              <w:rPr>
                <w:lang w:eastAsia="zh-CN"/>
              </w:rPr>
            </w:pPr>
            <w:r>
              <w:rPr>
                <w:lang w:eastAsia="zh-CN"/>
              </w:rPr>
              <w:t>NOT_AVAILABLE_FOR_FL_PROCESS_ANYMORE</w:t>
            </w:r>
          </w:p>
        </w:tc>
        <w:tc>
          <w:tcPr>
            <w:tcW w:w="1980" w:type="dxa"/>
            <w:tcBorders>
              <w:top w:val="single" w:sz="6" w:space="0" w:color="auto"/>
              <w:left w:val="single" w:sz="6" w:space="0" w:color="auto"/>
              <w:bottom w:val="single" w:sz="6" w:space="0" w:color="auto"/>
              <w:right w:val="single" w:sz="6" w:space="0" w:color="auto"/>
            </w:tcBorders>
          </w:tcPr>
          <w:p w14:paraId="1E97551E" w14:textId="77777777" w:rsidR="00A10B25" w:rsidRDefault="00A10B25">
            <w:pPr>
              <w:pStyle w:val="TAL"/>
              <w:rPr>
                <w:lang w:eastAsia="zh-CN"/>
              </w:rPr>
            </w:pPr>
            <w:r>
              <w:rPr>
                <w:lang w:eastAsia="zh-CN"/>
              </w:rPr>
              <w:t>403 Forbidden</w:t>
            </w:r>
          </w:p>
        </w:tc>
        <w:tc>
          <w:tcPr>
            <w:tcW w:w="3933" w:type="dxa"/>
            <w:tcBorders>
              <w:top w:val="single" w:sz="6" w:space="0" w:color="auto"/>
              <w:left w:val="single" w:sz="6" w:space="0" w:color="auto"/>
              <w:bottom w:val="single" w:sz="6" w:space="0" w:color="auto"/>
              <w:right w:val="single" w:sz="6" w:space="0" w:color="auto"/>
            </w:tcBorders>
          </w:tcPr>
          <w:p w14:paraId="2EA91014" w14:textId="77777777" w:rsidR="00A10B25" w:rsidRDefault="00A10B25">
            <w:pPr>
              <w:pStyle w:val="TAL"/>
              <w:rPr>
                <w:lang w:eastAsia="zh-CN"/>
              </w:rPr>
            </w:pPr>
            <w:r>
              <w:rPr>
                <w:lang w:eastAsia="zh-CN"/>
              </w:rPr>
              <w:t>Indicates the NWDAF is not available for the FL process anymore</w:t>
            </w:r>
            <w:r>
              <w:rPr>
                <w:rStyle w:val="ui-provider"/>
              </w:rPr>
              <w:t>.</w:t>
            </w:r>
          </w:p>
        </w:tc>
      </w:tr>
      <w:tr w:rsidR="00A10B25" w14:paraId="3D9FD38E" w14:textId="77777777">
        <w:trPr>
          <w:cantSplit/>
          <w:jc w:val="center"/>
        </w:trPr>
        <w:tc>
          <w:tcPr>
            <w:tcW w:w="9747" w:type="dxa"/>
            <w:gridSpan w:val="3"/>
            <w:tcBorders>
              <w:top w:val="single" w:sz="6" w:space="0" w:color="auto"/>
              <w:left w:val="single" w:sz="6" w:space="0" w:color="auto"/>
              <w:bottom w:val="single" w:sz="6" w:space="0" w:color="auto"/>
              <w:right w:val="single" w:sz="6" w:space="0" w:color="auto"/>
            </w:tcBorders>
          </w:tcPr>
          <w:p w14:paraId="2C687010" w14:textId="77777777" w:rsidR="00A10B25" w:rsidRDefault="00A10B25">
            <w:pPr>
              <w:pStyle w:val="TAN"/>
            </w:pPr>
            <w:r>
              <w:t>NOTE:</w:t>
            </w:r>
            <w:r>
              <w:tab/>
              <w:t>Including a "ProblemDetails" data structure with the "cause" attribute in the HTTP response is optional unless explicitly mandated in the service operation clauses.</w:t>
            </w:r>
          </w:p>
        </w:tc>
      </w:tr>
    </w:tbl>
    <w:p w14:paraId="3783BBD6" w14:textId="77777777" w:rsidR="00A10B25" w:rsidRDefault="00A10B25"/>
    <w:p w14:paraId="53C9E4FF" w14:textId="77777777" w:rsidR="00A10B25" w:rsidRDefault="00A10B25">
      <w:pPr>
        <w:pStyle w:val="3"/>
        <w:rPr>
          <w:lang w:eastAsia="zh-CN"/>
        </w:rPr>
      </w:pPr>
      <w:bookmarkStart w:id="15118" w:name="_Toc145706045"/>
      <w:bookmarkStart w:id="15119" w:name="_Toc148522962"/>
      <w:bookmarkStart w:id="15120" w:name="_Toc164921151"/>
      <w:bookmarkStart w:id="15121" w:name="_Toc170120693"/>
      <w:bookmarkStart w:id="15122" w:name="_Toc175858938"/>
      <w:bookmarkStart w:id="15123" w:name="_Toc175860011"/>
      <w:bookmarkStart w:id="15124" w:name="_Toc180606301"/>
      <w:bookmarkStart w:id="15125" w:name="_Toc185517562"/>
      <w:bookmarkStart w:id="15126" w:name="_Toc191576614"/>
      <w:bookmarkStart w:id="15127" w:name="_Toc191577354"/>
      <w:bookmarkStart w:id="15128" w:name="_Toc192880424"/>
      <w:bookmarkStart w:id="15129" w:name="_Toc195815313"/>
      <w:bookmarkStart w:id="15130" w:name="_Toc199453280"/>
      <w:r>
        <w:rPr>
          <w:lang w:val="en-US"/>
        </w:rPr>
        <w:t>5.5</w:t>
      </w:r>
      <w:r>
        <w:rPr>
          <w:rFonts w:hint="eastAsia"/>
          <w:lang w:val="en-US"/>
        </w:rPr>
        <w:t>.</w:t>
      </w:r>
      <w:r>
        <w:rPr>
          <w:lang w:val="en-US"/>
        </w:rPr>
        <w:t>8</w:t>
      </w:r>
      <w:r>
        <w:rPr>
          <w:rFonts w:hint="eastAsia"/>
          <w:lang w:val="en-US"/>
        </w:rPr>
        <w:tab/>
      </w:r>
      <w:r>
        <w:rPr>
          <w:lang w:val="en-US"/>
        </w:rPr>
        <w:t>Feature negotiation</w:t>
      </w:r>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p>
    <w:p w14:paraId="0362E5D4" w14:textId="77777777" w:rsidR="00A10B25" w:rsidRDefault="00A10B25">
      <w:pPr>
        <w:rPr>
          <w:rFonts w:eastAsia="Batang"/>
        </w:rPr>
      </w:pPr>
      <w:r>
        <w:rPr>
          <w:rFonts w:eastAsia="Batang"/>
        </w:rPr>
        <w:t xml:space="preserve">The optional features in table 5.5.8-1 are defined for the </w:t>
      </w:r>
      <w:r>
        <w:rPr>
          <w:lang w:eastAsia="ja-JP"/>
        </w:rPr>
        <w:t>Nnwdaf_MLModelTraining</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0417ABAB" w14:textId="77777777" w:rsidR="00A10B25" w:rsidRDefault="00A10B25">
      <w:pPr>
        <w:pStyle w:val="TH"/>
      </w:pPr>
      <w:r>
        <w:t>Table 5.5.8-1: Supported Features</w:t>
      </w:r>
    </w:p>
    <w:tbl>
      <w:tblPr>
        <w:tblW w:w="949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9"/>
        <w:gridCol w:w="2207"/>
        <w:gridCol w:w="5758"/>
      </w:tblGrid>
      <w:tr w:rsidR="00A10B25" w14:paraId="7BCFC656" w14:textId="77777777">
        <w:trPr>
          <w:jc w:val="center"/>
        </w:trPr>
        <w:tc>
          <w:tcPr>
            <w:tcW w:w="1529" w:type="dxa"/>
            <w:shd w:val="clear" w:color="auto" w:fill="C0C0C0"/>
          </w:tcPr>
          <w:p w14:paraId="1B2174B3" w14:textId="77777777" w:rsidR="00A10B25" w:rsidRDefault="00A10B25">
            <w:pPr>
              <w:pStyle w:val="TAH"/>
            </w:pPr>
            <w:r>
              <w:t>Feature number</w:t>
            </w:r>
          </w:p>
        </w:tc>
        <w:tc>
          <w:tcPr>
            <w:tcW w:w="2207" w:type="dxa"/>
            <w:shd w:val="clear" w:color="auto" w:fill="C0C0C0"/>
          </w:tcPr>
          <w:p w14:paraId="6D86A5A1" w14:textId="77777777" w:rsidR="00A10B25" w:rsidRDefault="00A10B25">
            <w:pPr>
              <w:pStyle w:val="TAH"/>
            </w:pPr>
            <w:r>
              <w:t>Feature Name</w:t>
            </w:r>
          </w:p>
        </w:tc>
        <w:tc>
          <w:tcPr>
            <w:tcW w:w="5758" w:type="dxa"/>
            <w:shd w:val="clear" w:color="auto" w:fill="C0C0C0"/>
          </w:tcPr>
          <w:p w14:paraId="618D10F1" w14:textId="77777777" w:rsidR="00A10B25" w:rsidRDefault="00A10B25">
            <w:pPr>
              <w:pStyle w:val="TAH"/>
            </w:pPr>
            <w:r>
              <w:t>Description</w:t>
            </w:r>
          </w:p>
        </w:tc>
      </w:tr>
      <w:tr w:rsidR="00A10B25" w14:paraId="6FE66C0A" w14:textId="77777777">
        <w:trPr>
          <w:jc w:val="center"/>
        </w:trPr>
        <w:tc>
          <w:tcPr>
            <w:tcW w:w="1529" w:type="dxa"/>
          </w:tcPr>
          <w:p w14:paraId="6CF8DACF" w14:textId="77777777" w:rsidR="00A10B25" w:rsidRDefault="00A10B25">
            <w:pPr>
              <w:pStyle w:val="TAL"/>
            </w:pPr>
          </w:p>
        </w:tc>
        <w:tc>
          <w:tcPr>
            <w:tcW w:w="2207" w:type="dxa"/>
          </w:tcPr>
          <w:p w14:paraId="21EF23EC" w14:textId="77777777" w:rsidR="00A10B25" w:rsidRDefault="00A10B25">
            <w:pPr>
              <w:pStyle w:val="TAL"/>
              <w:rPr>
                <w:rFonts w:cs="Arial"/>
                <w:szCs w:val="18"/>
              </w:rPr>
            </w:pPr>
          </w:p>
        </w:tc>
        <w:tc>
          <w:tcPr>
            <w:tcW w:w="5758" w:type="dxa"/>
          </w:tcPr>
          <w:p w14:paraId="6E41DDC9" w14:textId="77777777" w:rsidR="00A10B25" w:rsidRDefault="00A10B25">
            <w:pPr>
              <w:pStyle w:val="TAL"/>
            </w:pPr>
          </w:p>
        </w:tc>
      </w:tr>
    </w:tbl>
    <w:p w14:paraId="75CBBDEE" w14:textId="77777777" w:rsidR="00A10B25" w:rsidRDefault="00A10B25">
      <w:pPr>
        <w:rPr>
          <w:lang w:val="en-US" w:eastAsia="zh-CN"/>
        </w:rPr>
      </w:pPr>
    </w:p>
    <w:p w14:paraId="24424EDF" w14:textId="77777777" w:rsidR="00A10B25" w:rsidRDefault="00A10B25">
      <w:pPr>
        <w:pStyle w:val="3"/>
        <w:rPr>
          <w:lang w:val="en-US" w:eastAsia="zh-CN"/>
        </w:rPr>
      </w:pPr>
      <w:bookmarkStart w:id="15131" w:name="_Toc145706046"/>
      <w:bookmarkStart w:id="15132" w:name="_Toc136562714"/>
      <w:bookmarkStart w:id="15133" w:name="_Toc148522963"/>
      <w:bookmarkStart w:id="15134" w:name="_Toc138754548"/>
      <w:bookmarkStart w:id="15135" w:name="_Toc164921152"/>
      <w:bookmarkStart w:id="15136" w:name="_Toc170120694"/>
      <w:bookmarkStart w:id="15137" w:name="_Toc175858939"/>
      <w:bookmarkStart w:id="15138" w:name="_Toc175860012"/>
      <w:bookmarkStart w:id="15139" w:name="_Toc180606302"/>
      <w:bookmarkStart w:id="15140" w:name="_Toc185517563"/>
      <w:bookmarkStart w:id="15141" w:name="_Toc191576615"/>
      <w:bookmarkStart w:id="15142" w:name="_Toc191577355"/>
      <w:bookmarkStart w:id="15143" w:name="_Toc192880425"/>
      <w:bookmarkStart w:id="15144" w:name="_Toc195815314"/>
      <w:bookmarkStart w:id="15145" w:name="_Toc199453281"/>
      <w:r>
        <w:rPr>
          <w:lang w:val="en-US"/>
        </w:rPr>
        <w:t>5.5.9</w:t>
      </w:r>
      <w:r>
        <w:rPr>
          <w:lang w:val="en-US"/>
        </w:rPr>
        <w:tab/>
        <w:t>Security</w:t>
      </w:r>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14:paraId="1ED87AC9" w14:textId="77777777" w:rsidR="00A10B25" w:rsidRDefault="00A10B25">
      <w:pPr>
        <w:rPr>
          <w:rFonts w:eastAsia="等线"/>
        </w:rPr>
      </w:pPr>
      <w:r>
        <w:rPr>
          <w:rFonts w:eastAsia="等线"/>
        </w:rPr>
        <w:t xml:space="preserve">As indicated in 3GPP TS 33.501 [13] and 3GPP TS 29.500 [6], the access to the </w:t>
      </w:r>
      <w:r>
        <w:rPr>
          <w:lang w:eastAsia="ja-JP"/>
        </w:rPr>
        <w:t>Nnwdaf_MLModelTraining</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3GPP TS 29.510 [12]) plays the role of the authorization server.</w:t>
      </w:r>
    </w:p>
    <w:p w14:paraId="71EB2637" w14:textId="77777777" w:rsidR="00A10B25" w:rsidRDefault="00A10B25">
      <w:pPr>
        <w:rPr>
          <w:rFonts w:eastAsia="等线"/>
        </w:rPr>
      </w:pPr>
      <w:r>
        <w:rPr>
          <w:rFonts w:eastAsia="等线"/>
        </w:rPr>
        <w:t xml:space="preserve">If OAuth2 is used, a n NF Service Consumer, prior to consuming services offered by the </w:t>
      </w:r>
      <w:r>
        <w:rPr>
          <w:lang w:eastAsia="ja-JP"/>
        </w:rPr>
        <w:t>Nnwdaf_MLModelTraining</w:t>
      </w:r>
      <w:r>
        <w:rPr>
          <w:rFonts w:eastAsia="等线"/>
          <w:lang w:val="en-US" w:eastAsia="zh-CN"/>
        </w:rPr>
        <w:t xml:space="preserve"> </w:t>
      </w:r>
      <w:r>
        <w:rPr>
          <w:rFonts w:eastAsia="等线"/>
        </w:rPr>
        <w:t>API, shall obtain a "token" from the authorization server, by invoking the Access Token Request service, as described in 3GPP TS 29.510 [12], clause 5.4.2.2.</w:t>
      </w:r>
    </w:p>
    <w:p w14:paraId="65260AD5"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Nnwdaf_MLModelTraining</w:t>
      </w:r>
      <w:r>
        <w:t xml:space="preserve"> service.</w:t>
      </w:r>
    </w:p>
    <w:p w14:paraId="7F7A7B25" w14:textId="77777777" w:rsidR="00A10B25" w:rsidRDefault="00A10B25">
      <w:pPr>
        <w:rPr>
          <w:rFonts w:eastAsia="等线"/>
          <w:lang w:val="en-US"/>
        </w:rPr>
      </w:pPr>
      <w:r>
        <w:rPr>
          <w:rFonts w:eastAsia="等线"/>
          <w:lang w:val="en-US"/>
        </w:rPr>
        <w:t xml:space="preserve">The </w:t>
      </w:r>
      <w:r>
        <w:rPr>
          <w:lang w:eastAsia="ja-JP"/>
        </w:rPr>
        <w:t>Nnwdaf_MLModelTraining</w:t>
      </w:r>
      <w:r>
        <w:rPr>
          <w:rFonts w:eastAsia="等线"/>
          <w:lang w:val="en-US" w:eastAsia="zh-CN"/>
        </w:rPr>
        <w:t xml:space="preserve"> </w:t>
      </w:r>
      <w:r>
        <w:rPr>
          <w:rFonts w:eastAsia="等线"/>
          <w:lang w:val="en-US"/>
        </w:rPr>
        <w:t>API defines a single scope "nnwdaf-mlmodeltraining" for the entire service, and it does not define any additional scopes at resource or operation level.</w:t>
      </w:r>
    </w:p>
    <w:p w14:paraId="18D33E9E" w14:textId="77777777" w:rsidR="00A10B25" w:rsidRDefault="00A10B25">
      <w:pPr>
        <w:rPr>
          <w:rFonts w:eastAsia="等线"/>
          <w:lang w:val="en-US"/>
        </w:rPr>
      </w:pPr>
    </w:p>
    <w:p w14:paraId="7B15F6C1" w14:textId="77777777" w:rsidR="00A10B25" w:rsidRDefault="00A10B25">
      <w:pPr>
        <w:pStyle w:val="2"/>
      </w:pPr>
      <w:bookmarkStart w:id="15146" w:name="_Toc148522964"/>
      <w:bookmarkStart w:id="15147" w:name="_Toc164921153"/>
      <w:bookmarkStart w:id="15148" w:name="_Toc170120695"/>
      <w:bookmarkStart w:id="15149" w:name="_Toc175858940"/>
      <w:bookmarkStart w:id="15150" w:name="_Toc175860013"/>
      <w:bookmarkStart w:id="15151" w:name="_Toc180606303"/>
      <w:bookmarkStart w:id="15152" w:name="_Toc185517564"/>
      <w:bookmarkStart w:id="15153" w:name="_Toc191576616"/>
      <w:bookmarkStart w:id="15154" w:name="_Toc191577356"/>
      <w:bookmarkStart w:id="15155" w:name="_Toc192880426"/>
      <w:bookmarkStart w:id="15156" w:name="_Toc195815315"/>
      <w:bookmarkStart w:id="15157" w:name="_Toc199453282"/>
      <w:r>
        <w:rPr>
          <w:lang w:eastAsia="zh-CN"/>
        </w:rPr>
        <w:t>5.6</w:t>
      </w:r>
      <w:r>
        <w:tab/>
      </w:r>
      <w:r>
        <w:rPr>
          <w:lang w:eastAsia="ja-JP"/>
        </w:rPr>
        <w:t xml:space="preserve">Nnwdaf_MLModelMonitor </w:t>
      </w:r>
      <w:r>
        <w:t>Service API</w:t>
      </w:r>
      <w:bookmarkEnd w:id="15146"/>
      <w:bookmarkEnd w:id="15147"/>
      <w:bookmarkEnd w:id="15148"/>
      <w:bookmarkEnd w:id="15149"/>
      <w:bookmarkEnd w:id="15150"/>
      <w:bookmarkEnd w:id="15151"/>
      <w:bookmarkEnd w:id="15152"/>
      <w:bookmarkEnd w:id="15153"/>
      <w:bookmarkEnd w:id="15154"/>
      <w:bookmarkEnd w:id="15155"/>
      <w:bookmarkEnd w:id="15156"/>
      <w:bookmarkEnd w:id="15157"/>
    </w:p>
    <w:p w14:paraId="14A855A2" w14:textId="77777777" w:rsidR="00A10B25" w:rsidRDefault="00A10B25">
      <w:pPr>
        <w:pStyle w:val="3"/>
        <w:rPr>
          <w:lang w:val="en-US"/>
        </w:rPr>
      </w:pPr>
      <w:bookmarkStart w:id="15158" w:name="_Toc148522965"/>
      <w:bookmarkStart w:id="15159" w:name="_Toc164921154"/>
      <w:bookmarkStart w:id="15160" w:name="_Toc170120696"/>
      <w:bookmarkStart w:id="15161" w:name="_Toc175858941"/>
      <w:bookmarkStart w:id="15162" w:name="_Toc175860014"/>
      <w:bookmarkStart w:id="15163" w:name="_Toc180606304"/>
      <w:bookmarkStart w:id="15164" w:name="_Toc185517565"/>
      <w:bookmarkStart w:id="15165" w:name="_Toc191576617"/>
      <w:bookmarkStart w:id="15166" w:name="_Toc191577357"/>
      <w:bookmarkStart w:id="15167" w:name="_Toc192880427"/>
      <w:bookmarkStart w:id="15168" w:name="_Toc195815316"/>
      <w:bookmarkStart w:id="15169" w:name="_Toc199453283"/>
      <w:r>
        <w:rPr>
          <w:lang w:val="en-US"/>
        </w:rPr>
        <w:t>5.6</w:t>
      </w:r>
      <w:r>
        <w:rPr>
          <w:rFonts w:hint="eastAsia"/>
          <w:lang w:val="en-US"/>
        </w:rPr>
        <w:t>.</w:t>
      </w:r>
      <w:r>
        <w:rPr>
          <w:lang w:val="en-US"/>
        </w:rPr>
        <w:t>1</w:t>
      </w:r>
      <w:r>
        <w:rPr>
          <w:lang w:val="en-US"/>
        </w:rPr>
        <w:tab/>
        <w:t>Introduction</w:t>
      </w:r>
      <w:bookmarkEnd w:id="15158"/>
      <w:bookmarkEnd w:id="15159"/>
      <w:bookmarkEnd w:id="15160"/>
      <w:bookmarkEnd w:id="15161"/>
      <w:bookmarkEnd w:id="15162"/>
      <w:bookmarkEnd w:id="15163"/>
      <w:bookmarkEnd w:id="15164"/>
      <w:bookmarkEnd w:id="15165"/>
      <w:bookmarkEnd w:id="15166"/>
      <w:bookmarkEnd w:id="15167"/>
      <w:bookmarkEnd w:id="15168"/>
      <w:bookmarkEnd w:id="15169"/>
    </w:p>
    <w:p w14:paraId="18E9E3B9" w14:textId="77777777" w:rsidR="00A10B25" w:rsidRDefault="00A10B25">
      <w:pPr>
        <w:rPr>
          <w:lang w:eastAsia="zh-CN"/>
        </w:rPr>
      </w:pPr>
      <w:r>
        <w:t>The</w:t>
      </w:r>
      <w:r>
        <w:rPr>
          <w:rFonts w:eastAsia="Times New Roman"/>
        </w:rPr>
        <w:t xml:space="preserve"> </w:t>
      </w:r>
      <w:r>
        <w:rPr>
          <w:lang w:eastAsia="ja-JP"/>
        </w:rPr>
        <w:t>Nnwdaf_MLModelMonitor</w:t>
      </w:r>
      <w:r>
        <w:rPr>
          <w:rFonts w:eastAsia="Times New Roman"/>
        </w:rPr>
        <w:t xml:space="preserve"> service </w:t>
      </w:r>
      <w:r>
        <w:t xml:space="preserve">shall use the </w:t>
      </w:r>
      <w:r>
        <w:rPr>
          <w:lang w:eastAsia="ja-JP"/>
        </w:rPr>
        <w:t>Nnwdaf_MLModelMonitor</w:t>
      </w:r>
      <w:r>
        <w:t xml:space="preserve"> </w:t>
      </w:r>
      <w:r>
        <w:rPr>
          <w:lang w:eastAsia="zh-CN"/>
        </w:rPr>
        <w:t>API.</w:t>
      </w:r>
    </w:p>
    <w:p w14:paraId="5FD1E8B4" w14:textId="77777777" w:rsidR="00A10B25" w:rsidRDefault="00A10B25">
      <w:r>
        <w:t xml:space="preserve">The API URI of the </w:t>
      </w:r>
      <w:r>
        <w:rPr>
          <w:lang w:eastAsia="ja-JP"/>
        </w:rPr>
        <w:t>Nnwdaf_MLModelMonitor</w:t>
      </w:r>
      <w:r>
        <w:rPr>
          <w:lang w:val="en-US" w:eastAsia="zh-CN"/>
        </w:rPr>
        <w:t xml:space="preserve"> API shall be: </w:t>
      </w:r>
    </w:p>
    <w:p w14:paraId="12D91996" w14:textId="77777777" w:rsidR="00A10B25" w:rsidRDefault="00A10B25">
      <w:pPr>
        <w:pStyle w:val="B1"/>
        <w:rPr>
          <w:lang w:eastAsia="zh-CN"/>
        </w:rPr>
      </w:pPr>
      <w:r>
        <w:rPr>
          <w:lang w:val="en-US" w:eastAsia="zh-CN"/>
        </w:rPr>
        <w:t>{apiRoot}/&lt;apiName&gt;/&lt;apiVersion&gt;</w:t>
      </w:r>
    </w:p>
    <w:p w14:paraId="2DB73AF4" w14:textId="77777777" w:rsidR="00A10B25" w:rsidRDefault="00A10B25">
      <w:pPr>
        <w:rPr>
          <w:lang w:eastAsia="zh-CN"/>
        </w:rPr>
      </w:pPr>
      <w:r>
        <w:rPr>
          <w:lang w:eastAsia="zh-CN"/>
        </w:rPr>
        <w:t>The request URIs used in each HTTP requests from the NF service consumer towards the NWDAF shall have the Resource URI structure defined in clause 4.4.1 of 3GPP TS 29.501 [7], i.e.:</w:t>
      </w:r>
    </w:p>
    <w:p w14:paraId="695D639A" w14:textId="77777777" w:rsidR="00A10B25" w:rsidRDefault="00A10B25">
      <w:pPr>
        <w:ind w:left="568" w:hanging="284"/>
        <w:rPr>
          <w:b/>
        </w:rPr>
      </w:pPr>
      <w:r>
        <w:rPr>
          <w:b/>
        </w:rPr>
        <w:t>{apiRoot}/&lt;apiName&gt;/&lt;apiVersion&gt;/&lt;apiSpecificResourceUriPart&gt;</w:t>
      </w:r>
    </w:p>
    <w:p w14:paraId="3EC2F74B" w14:textId="77777777" w:rsidR="00A10B25" w:rsidRDefault="00A10B25">
      <w:pPr>
        <w:rPr>
          <w:lang w:eastAsia="zh-CN"/>
        </w:rPr>
      </w:pPr>
      <w:r>
        <w:rPr>
          <w:lang w:eastAsia="zh-CN"/>
        </w:rPr>
        <w:lastRenderedPageBreak/>
        <w:t>with the following components:</w:t>
      </w:r>
    </w:p>
    <w:p w14:paraId="5895C4BF" w14:textId="77777777" w:rsidR="00A10B25" w:rsidRDefault="00A10B25">
      <w:pPr>
        <w:pStyle w:val="B1"/>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04A9BEB0" w14:textId="77777777" w:rsidR="00A10B25" w:rsidRDefault="00A10B25">
      <w:pPr>
        <w:pStyle w:val="B1"/>
        <w:rPr>
          <w:lang w:val="en-US"/>
        </w:rPr>
      </w:pPr>
      <w:r>
        <w:rPr>
          <w:lang w:eastAsia="zh-CN"/>
        </w:rPr>
        <w:t>-</w:t>
      </w:r>
      <w:r>
        <w:rPr>
          <w:lang w:eastAsia="zh-CN"/>
        </w:rPr>
        <w:tab/>
        <w:t>The</w:t>
      </w:r>
      <w:r>
        <w:t>&lt;apiName&gt;</w:t>
      </w:r>
      <w:r>
        <w:rPr>
          <w:b/>
        </w:rPr>
        <w:t xml:space="preserve"> </w:t>
      </w:r>
      <w:r>
        <w:t>shall be "nnwdaf-mlmodelmonitor</w:t>
      </w:r>
      <w:r>
        <w:rPr>
          <w:lang w:val="en-US"/>
        </w:rPr>
        <w:t>".</w:t>
      </w:r>
    </w:p>
    <w:p w14:paraId="7F051D9B" w14:textId="77777777" w:rsidR="00A10B25" w:rsidRDefault="00A10B25">
      <w:pPr>
        <w:pStyle w:val="B1"/>
        <w:rPr>
          <w:lang w:val="en-US"/>
        </w:rPr>
      </w:pPr>
      <w:r>
        <w:rPr>
          <w:lang w:val="en-US"/>
        </w:rPr>
        <w:t>-</w:t>
      </w:r>
      <w:r>
        <w:rPr>
          <w:lang w:val="en-US"/>
        </w:rPr>
        <w:tab/>
        <w:t>The &lt;apiVersion&gt; shall be "v1".</w:t>
      </w:r>
    </w:p>
    <w:p w14:paraId="024DC1F1" w14:textId="77777777" w:rsidR="00A10B25" w:rsidRDefault="00A10B25">
      <w:pPr>
        <w:pStyle w:val="B1"/>
      </w:pPr>
      <w:r>
        <w:rPr>
          <w:lang w:val="en-US"/>
        </w:rPr>
        <w:t>-</w:t>
      </w:r>
      <w:r>
        <w:rPr>
          <w:lang w:val="en-US"/>
        </w:rPr>
        <w:tab/>
        <w:t>The &lt;apiSpecificResourceUriPart&gt; shall be set as described in clause</w:t>
      </w:r>
      <w:r>
        <w:rPr>
          <w:lang w:eastAsia="zh-CN"/>
        </w:rPr>
        <w:t> </w:t>
      </w:r>
      <w:r>
        <w:rPr>
          <w:lang w:val="en-US"/>
        </w:rPr>
        <w:t>5.6.3.</w:t>
      </w:r>
    </w:p>
    <w:p w14:paraId="7C15ED20" w14:textId="77777777" w:rsidR="00A10B25" w:rsidRDefault="00A10B25">
      <w:pPr>
        <w:pStyle w:val="3"/>
        <w:rPr>
          <w:lang w:val="en-US"/>
        </w:rPr>
      </w:pPr>
      <w:bookmarkStart w:id="15170" w:name="_Toc148522966"/>
      <w:bookmarkStart w:id="15171" w:name="_Toc164921155"/>
      <w:bookmarkStart w:id="15172" w:name="_Toc170120697"/>
      <w:bookmarkStart w:id="15173" w:name="_Toc175858942"/>
      <w:bookmarkStart w:id="15174" w:name="_Toc175860015"/>
      <w:bookmarkStart w:id="15175" w:name="_Toc180606305"/>
      <w:bookmarkStart w:id="15176" w:name="_Toc185517566"/>
      <w:bookmarkStart w:id="15177" w:name="_Toc191576618"/>
      <w:bookmarkStart w:id="15178" w:name="_Toc191577358"/>
      <w:bookmarkStart w:id="15179" w:name="_Toc192880428"/>
      <w:bookmarkStart w:id="15180" w:name="_Toc195815317"/>
      <w:bookmarkStart w:id="15181" w:name="_Toc199453284"/>
      <w:r>
        <w:rPr>
          <w:lang w:val="en-US"/>
        </w:rPr>
        <w:t>5.6.2</w:t>
      </w:r>
      <w:r>
        <w:rPr>
          <w:lang w:val="en-US"/>
        </w:rPr>
        <w:tab/>
        <w:t>Usage of HTTP</w:t>
      </w:r>
      <w:bookmarkEnd w:id="15170"/>
      <w:bookmarkEnd w:id="15171"/>
      <w:bookmarkEnd w:id="15172"/>
      <w:bookmarkEnd w:id="15173"/>
      <w:bookmarkEnd w:id="15174"/>
      <w:bookmarkEnd w:id="15175"/>
      <w:bookmarkEnd w:id="15176"/>
      <w:bookmarkEnd w:id="15177"/>
      <w:bookmarkEnd w:id="15178"/>
      <w:bookmarkEnd w:id="15179"/>
      <w:bookmarkEnd w:id="15180"/>
      <w:bookmarkEnd w:id="15181"/>
    </w:p>
    <w:p w14:paraId="7036D5C4" w14:textId="77777777" w:rsidR="00A10B25" w:rsidRDefault="00A10B25">
      <w:pPr>
        <w:pStyle w:val="4"/>
      </w:pPr>
      <w:bookmarkStart w:id="15182" w:name="_Toc148522967"/>
      <w:bookmarkStart w:id="15183" w:name="_Toc164921156"/>
      <w:bookmarkStart w:id="15184" w:name="_Toc170120698"/>
      <w:bookmarkStart w:id="15185" w:name="_Toc175858943"/>
      <w:bookmarkStart w:id="15186" w:name="_Toc175860016"/>
      <w:bookmarkStart w:id="15187" w:name="_Toc180606306"/>
      <w:bookmarkStart w:id="15188" w:name="_Toc185517567"/>
      <w:bookmarkStart w:id="15189" w:name="_Toc191576619"/>
      <w:bookmarkStart w:id="15190" w:name="_Toc191577359"/>
      <w:bookmarkStart w:id="15191" w:name="_Toc192880429"/>
      <w:bookmarkStart w:id="15192" w:name="_Toc195815318"/>
      <w:bookmarkStart w:id="15193" w:name="_Toc199453285"/>
      <w:r>
        <w:t>5.6.2.1</w:t>
      </w:r>
      <w:r>
        <w:tab/>
        <w:t>General</w:t>
      </w:r>
      <w:bookmarkEnd w:id="15182"/>
      <w:bookmarkEnd w:id="15183"/>
      <w:bookmarkEnd w:id="15184"/>
      <w:bookmarkEnd w:id="15185"/>
      <w:bookmarkEnd w:id="15186"/>
      <w:bookmarkEnd w:id="15187"/>
      <w:bookmarkEnd w:id="15188"/>
      <w:bookmarkEnd w:id="15189"/>
      <w:bookmarkEnd w:id="15190"/>
      <w:bookmarkEnd w:id="15191"/>
      <w:bookmarkEnd w:id="15192"/>
      <w:bookmarkEnd w:id="15193"/>
    </w:p>
    <w:p w14:paraId="02B3BBC4" w14:textId="77777777" w:rsidR="00A10B25" w:rsidRDefault="00A10B25">
      <w:r>
        <w:t>HTTP</w:t>
      </w:r>
      <w:r>
        <w:rPr>
          <w:lang w:eastAsia="zh-CN"/>
        </w:rPr>
        <w:t xml:space="preserve">/2, IETF RFC 9113 [9], </w:t>
      </w:r>
      <w:r>
        <w:t>shall be used as specified in clause 5 of 3GPP TS 29.500 [6].</w:t>
      </w:r>
    </w:p>
    <w:p w14:paraId="4436EF8C" w14:textId="77777777" w:rsidR="00A10B25" w:rsidRDefault="00A10B25">
      <w:r>
        <w:t>HTTP/2 shall be transported as specified in clause 5.3 of 3GPP TS 29.500 [6].</w:t>
      </w:r>
    </w:p>
    <w:p w14:paraId="0A90A130" w14:textId="77777777" w:rsidR="00A10B25" w:rsidRDefault="00A10B25">
      <w:r>
        <w:t xml:space="preserve">The OpenAPI [11] specification of HTTP messages and content bodies for the </w:t>
      </w:r>
      <w:r>
        <w:rPr>
          <w:lang w:eastAsia="ja-JP"/>
        </w:rPr>
        <w:t>Nnwdaf_MLModelMonitor</w:t>
      </w:r>
      <w:r>
        <w:t xml:space="preserve"> is contained in Annex </w:t>
      </w:r>
      <w:r w:rsidRPr="00750AC2">
        <w:t>A</w:t>
      </w:r>
      <w:r>
        <w:t>.</w:t>
      </w:r>
    </w:p>
    <w:p w14:paraId="698451F4" w14:textId="77777777" w:rsidR="00A10B25" w:rsidRDefault="00A10B25">
      <w:pPr>
        <w:pStyle w:val="4"/>
      </w:pPr>
      <w:bookmarkStart w:id="15194" w:name="_Toc148522968"/>
      <w:bookmarkStart w:id="15195" w:name="_Toc164921157"/>
      <w:bookmarkStart w:id="15196" w:name="_Toc170120699"/>
      <w:bookmarkStart w:id="15197" w:name="_Toc175858944"/>
      <w:bookmarkStart w:id="15198" w:name="_Toc175860017"/>
      <w:bookmarkStart w:id="15199" w:name="_Toc180606307"/>
      <w:bookmarkStart w:id="15200" w:name="_Toc185517568"/>
      <w:bookmarkStart w:id="15201" w:name="_Toc191576620"/>
      <w:bookmarkStart w:id="15202" w:name="_Toc191577360"/>
      <w:bookmarkStart w:id="15203" w:name="_Toc192880430"/>
      <w:bookmarkStart w:id="15204" w:name="_Toc195815319"/>
      <w:bookmarkStart w:id="15205" w:name="_Toc199453286"/>
      <w:r>
        <w:t>5.6.2.2</w:t>
      </w:r>
      <w:r>
        <w:tab/>
        <w:t>HTTP standard headers</w:t>
      </w:r>
      <w:bookmarkEnd w:id="15194"/>
      <w:bookmarkEnd w:id="15195"/>
      <w:bookmarkEnd w:id="15196"/>
      <w:bookmarkEnd w:id="15197"/>
      <w:bookmarkEnd w:id="15198"/>
      <w:bookmarkEnd w:id="15199"/>
      <w:bookmarkEnd w:id="15200"/>
      <w:bookmarkEnd w:id="15201"/>
      <w:bookmarkEnd w:id="15202"/>
      <w:bookmarkEnd w:id="15203"/>
      <w:bookmarkEnd w:id="15204"/>
      <w:bookmarkEnd w:id="15205"/>
    </w:p>
    <w:p w14:paraId="1448DB3B" w14:textId="77777777" w:rsidR="00A10B25" w:rsidRDefault="00A10B25">
      <w:pPr>
        <w:pStyle w:val="5"/>
      </w:pPr>
      <w:bookmarkStart w:id="15206" w:name="_Toc148522969"/>
      <w:bookmarkStart w:id="15207" w:name="_Toc164921158"/>
      <w:bookmarkStart w:id="15208" w:name="_Toc170120700"/>
      <w:bookmarkStart w:id="15209" w:name="_Toc175858945"/>
      <w:bookmarkStart w:id="15210" w:name="_Toc175860018"/>
      <w:bookmarkStart w:id="15211" w:name="_Toc180606308"/>
      <w:bookmarkStart w:id="15212" w:name="_Toc185517569"/>
      <w:bookmarkStart w:id="15213" w:name="_Toc191576621"/>
      <w:bookmarkStart w:id="15214" w:name="_Toc191577361"/>
      <w:bookmarkStart w:id="15215" w:name="_Toc192880431"/>
      <w:bookmarkStart w:id="15216" w:name="_Toc195815320"/>
      <w:bookmarkStart w:id="15217" w:name="_Toc199453287"/>
      <w:r>
        <w:t>5.6.2.2.1</w:t>
      </w:r>
      <w:r>
        <w:tab/>
        <w:t>General</w:t>
      </w:r>
      <w:bookmarkEnd w:id="15206"/>
      <w:bookmarkEnd w:id="15207"/>
      <w:bookmarkEnd w:id="15208"/>
      <w:bookmarkEnd w:id="15209"/>
      <w:bookmarkEnd w:id="15210"/>
      <w:bookmarkEnd w:id="15211"/>
      <w:bookmarkEnd w:id="15212"/>
      <w:bookmarkEnd w:id="15213"/>
      <w:bookmarkEnd w:id="15214"/>
      <w:bookmarkEnd w:id="15215"/>
      <w:bookmarkEnd w:id="15216"/>
      <w:bookmarkEnd w:id="15217"/>
    </w:p>
    <w:p w14:paraId="4A0F14E4" w14:textId="77777777" w:rsidR="00A10B25" w:rsidRDefault="00A10B25">
      <w:r>
        <w:t>See clause 5.2.2 of 3GPP TS 29.500 [6] for the usage of HTTP standard headers.</w:t>
      </w:r>
    </w:p>
    <w:p w14:paraId="3FA139FB" w14:textId="77777777" w:rsidR="00A10B25" w:rsidRDefault="00A10B25">
      <w:pPr>
        <w:pStyle w:val="5"/>
      </w:pPr>
      <w:bookmarkStart w:id="15218" w:name="_Toc148522970"/>
      <w:bookmarkStart w:id="15219" w:name="_Toc164921159"/>
      <w:bookmarkStart w:id="15220" w:name="_Toc170120701"/>
      <w:bookmarkStart w:id="15221" w:name="_Toc175858946"/>
      <w:bookmarkStart w:id="15222" w:name="_Toc175860019"/>
      <w:bookmarkStart w:id="15223" w:name="_Toc180606309"/>
      <w:bookmarkStart w:id="15224" w:name="_Toc185517570"/>
      <w:bookmarkStart w:id="15225" w:name="_Toc191576622"/>
      <w:bookmarkStart w:id="15226" w:name="_Toc191577362"/>
      <w:bookmarkStart w:id="15227" w:name="_Toc192880432"/>
      <w:bookmarkStart w:id="15228" w:name="_Toc195815321"/>
      <w:bookmarkStart w:id="15229" w:name="_Toc199453288"/>
      <w:r>
        <w:t>5.6.2.2.2</w:t>
      </w:r>
      <w:r>
        <w:tab/>
        <w:t>Content type</w:t>
      </w:r>
      <w:bookmarkEnd w:id="15218"/>
      <w:bookmarkEnd w:id="15219"/>
      <w:bookmarkEnd w:id="15220"/>
      <w:bookmarkEnd w:id="15221"/>
      <w:bookmarkEnd w:id="15222"/>
      <w:bookmarkEnd w:id="15223"/>
      <w:bookmarkEnd w:id="15224"/>
      <w:bookmarkEnd w:id="15225"/>
      <w:bookmarkEnd w:id="15226"/>
      <w:bookmarkEnd w:id="15227"/>
      <w:bookmarkEnd w:id="15228"/>
      <w:bookmarkEnd w:id="15229"/>
    </w:p>
    <w:p w14:paraId="273A3325" w14:textId="77777777" w:rsidR="00A10B25" w:rsidRDefault="00A10B25">
      <w:r>
        <w:t>JSON, IETF RFC 8259 [10], shall be used as content type of the HTTP bodies specified in the present specification as specified in clause 5.4 of 3GPP TS 29.500 [6]. The use of the JSON format shall be signalled by the content type "application/json".</w:t>
      </w:r>
    </w:p>
    <w:p w14:paraId="7EC8C790" w14:textId="77777777" w:rsidR="00A10B25" w:rsidRDefault="00A10B25">
      <w:pPr>
        <w:rPr>
          <w:i/>
        </w:rPr>
      </w:pPr>
      <w:r>
        <w:t xml:space="preserve">"Problem Details" JSON object shall be used to indicate additional details of the error in a HTTP response body and shall be signalled by the content type "application/problem+json", as defined in </w:t>
      </w:r>
      <w:r w:rsidR="00640768">
        <w:t>IETF RFC 9457 [</w:t>
      </w:r>
      <w:r>
        <w:t>15].</w:t>
      </w:r>
    </w:p>
    <w:p w14:paraId="779CD732" w14:textId="77777777" w:rsidR="00A10B25" w:rsidRDefault="00A10B25">
      <w:pPr>
        <w:pStyle w:val="4"/>
      </w:pPr>
      <w:bookmarkStart w:id="15230" w:name="_Toc148522971"/>
      <w:bookmarkStart w:id="15231" w:name="_Toc164921160"/>
      <w:bookmarkStart w:id="15232" w:name="_Toc170120702"/>
      <w:bookmarkStart w:id="15233" w:name="_Toc175858947"/>
      <w:bookmarkStart w:id="15234" w:name="_Toc175860020"/>
      <w:bookmarkStart w:id="15235" w:name="_Toc180606310"/>
      <w:bookmarkStart w:id="15236" w:name="_Toc185517571"/>
      <w:bookmarkStart w:id="15237" w:name="_Toc191576623"/>
      <w:bookmarkStart w:id="15238" w:name="_Toc191577363"/>
      <w:bookmarkStart w:id="15239" w:name="_Toc192880433"/>
      <w:bookmarkStart w:id="15240" w:name="_Toc195815322"/>
      <w:bookmarkStart w:id="15241" w:name="_Toc199453289"/>
      <w:r>
        <w:t>5.6.2.3</w:t>
      </w:r>
      <w:r>
        <w:tab/>
        <w:t>HTTP custom headers</w:t>
      </w:r>
      <w:bookmarkEnd w:id="15230"/>
      <w:bookmarkEnd w:id="15231"/>
      <w:bookmarkEnd w:id="15232"/>
      <w:bookmarkEnd w:id="15233"/>
      <w:bookmarkEnd w:id="15234"/>
      <w:bookmarkEnd w:id="15235"/>
      <w:bookmarkEnd w:id="15236"/>
      <w:bookmarkEnd w:id="15237"/>
      <w:bookmarkEnd w:id="15238"/>
      <w:bookmarkEnd w:id="15239"/>
      <w:bookmarkEnd w:id="15240"/>
      <w:bookmarkEnd w:id="15241"/>
    </w:p>
    <w:p w14:paraId="56F88AFB" w14:textId="77777777" w:rsidR="00A10B25" w:rsidRDefault="00A10B25">
      <w:pPr>
        <w:rPr>
          <w:rFonts w:eastAsia="Batang"/>
        </w:rPr>
      </w:pPr>
      <w:r>
        <w:rPr>
          <w:rFonts w:eastAsia="Batang"/>
        </w:rPr>
        <w:t xml:space="preserve">The </w:t>
      </w:r>
      <w:r>
        <w:rPr>
          <w:lang w:eastAsia="ja-JP"/>
        </w:rPr>
        <w:t>Nnwdaf_MLModelMonitor</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17F895BB"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Nnwdaf_MLModelMonitor</w:t>
      </w:r>
      <w:r>
        <w:rPr>
          <w:rFonts w:eastAsia="Batang"/>
        </w:rPr>
        <w:t xml:space="preserve"> service API.</w:t>
      </w:r>
    </w:p>
    <w:p w14:paraId="3694D28B" w14:textId="77777777" w:rsidR="00A10B25" w:rsidRDefault="00A10B25">
      <w:pPr>
        <w:pStyle w:val="3"/>
      </w:pPr>
      <w:bookmarkStart w:id="15242" w:name="_Toc148522972"/>
      <w:bookmarkStart w:id="15243" w:name="_Toc164921161"/>
      <w:bookmarkStart w:id="15244" w:name="_Toc170120703"/>
      <w:bookmarkStart w:id="15245" w:name="_Toc175858948"/>
      <w:bookmarkStart w:id="15246" w:name="_Toc175860021"/>
      <w:bookmarkStart w:id="15247" w:name="_Toc180606311"/>
      <w:bookmarkStart w:id="15248" w:name="_Toc185517572"/>
      <w:bookmarkStart w:id="15249" w:name="_Toc191576624"/>
      <w:bookmarkStart w:id="15250" w:name="_Toc191577364"/>
      <w:bookmarkStart w:id="15251" w:name="_Toc192880434"/>
      <w:bookmarkStart w:id="15252" w:name="_Toc195815323"/>
      <w:bookmarkStart w:id="15253" w:name="_Toc199453290"/>
      <w:r>
        <w:t>5.6.3</w:t>
      </w:r>
      <w:r>
        <w:tab/>
        <w:t>Resources</w:t>
      </w:r>
      <w:bookmarkEnd w:id="15242"/>
      <w:bookmarkEnd w:id="15243"/>
      <w:bookmarkEnd w:id="15244"/>
      <w:bookmarkEnd w:id="15245"/>
      <w:bookmarkEnd w:id="15246"/>
      <w:bookmarkEnd w:id="15247"/>
      <w:bookmarkEnd w:id="15248"/>
      <w:bookmarkEnd w:id="15249"/>
      <w:bookmarkEnd w:id="15250"/>
      <w:bookmarkEnd w:id="15251"/>
      <w:bookmarkEnd w:id="15252"/>
      <w:bookmarkEnd w:id="15253"/>
    </w:p>
    <w:p w14:paraId="065DED66" w14:textId="77777777" w:rsidR="00A10B25" w:rsidRDefault="00A10B25">
      <w:pPr>
        <w:pStyle w:val="4"/>
      </w:pPr>
      <w:bookmarkStart w:id="15254" w:name="_Toc148522973"/>
      <w:bookmarkStart w:id="15255" w:name="_Toc164921162"/>
      <w:bookmarkStart w:id="15256" w:name="_Toc170120704"/>
      <w:bookmarkStart w:id="15257" w:name="_Toc175858949"/>
      <w:bookmarkStart w:id="15258" w:name="_Toc175860022"/>
      <w:bookmarkStart w:id="15259" w:name="_Toc180606312"/>
      <w:bookmarkStart w:id="15260" w:name="_Toc185517573"/>
      <w:bookmarkStart w:id="15261" w:name="_Toc191576625"/>
      <w:bookmarkStart w:id="15262" w:name="_Toc191577365"/>
      <w:bookmarkStart w:id="15263" w:name="_Toc192880435"/>
      <w:bookmarkStart w:id="15264" w:name="_Toc195815324"/>
      <w:bookmarkStart w:id="15265" w:name="_Toc199453291"/>
      <w:r>
        <w:t>5.6.3.1</w:t>
      </w:r>
      <w:r>
        <w:tab/>
        <w:t>Resource Structure</w:t>
      </w:r>
      <w:bookmarkEnd w:id="15254"/>
      <w:bookmarkEnd w:id="15255"/>
      <w:bookmarkEnd w:id="15256"/>
      <w:bookmarkEnd w:id="15257"/>
      <w:bookmarkEnd w:id="15258"/>
      <w:bookmarkEnd w:id="15259"/>
      <w:bookmarkEnd w:id="15260"/>
      <w:bookmarkEnd w:id="15261"/>
      <w:bookmarkEnd w:id="15262"/>
      <w:bookmarkEnd w:id="15263"/>
      <w:bookmarkEnd w:id="15264"/>
      <w:bookmarkEnd w:id="15265"/>
    </w:p>
    <w:p w14:paraId="5C691FCB" w14:textId="77777777" w:rsidR="00A10B25" w:rsidRDefault="00A10B25">
      <w:r>
        <w:t>This clause describes the structure for the Resource URIs, the resources and methods used for the service.</w:t>
      </w:r>
    </w:p>
    <w:p w14:paraId="47F5A25C" w14:textId="77777777" w:rsidR="00A10B25" w:rsidRDefault="00A10B25">
      <w:r>
        <w:t xml:space="preserve">Figure 5.6.3.1-1 depicts the resource URIs structure for the </w:t>
      </w:r>
      <w:r>
        <w:rPr>
          <w:lang w:eastAsia="ja-JP"/>
        </w:rPr>
        <w:t>Nnwdaf_MLModelMonitor</w:t>
      </w:r>
      <w:r>
        <w:t xml:space="preserve"> API.</w:t>
      </w:r>
    </w:p>
    <w:p w14:paraId="356287AD" w14:textId="77777777" w:rsidR="00A10B25" w:rsidRDefault="00A10B25">
      <w:pPr>
        <w:pStyle w:val="TH"/>
        <w:rPr>
          <w:lang w:val="en-US"/>
        </w:rPr>
      </w:pPr>
      <w:r>
        <w:rPr>
          <w:lang w:val="en-US" w:eastAsia="zh-CN"/>
        </w:rPr>
        <w:object w:dxaOrig="6258" w:dyaOrig="3144" w14:anchorId="418BBD96">
          <v:shape id="_x0000_i1099" type="#_x0000_t75" style="width:303.05pt;height:150.25pt;mso-position-horizontal-relative:page;mso-position-vertical-relative:page" o:ole="">
            <v:imagedata r:id="rId134" o:title=""/>
          </v:shape>
          <o:OLEObject Type="Embed" ProgID="Visio.Drawing.15" ShapeID="_x0000_i1099" DrawAspect="Content" ObjectID="_1810066043" r:id="rId135"/>
        </w:object>
      </w:r>
    </w:p>
    <w:p w14:paraId="1FFBD30A" w14:textId="77777777" w:rsidR="00A10B25" w:rsidRDefault="00A10B25">
      <w:pPr>
        <w:pStyle w:val="TF"/>
      </w:pPr>
      <w:r>
        <w:t>Figure 5.6.3.1-</w:t>
      </w:r>
      <w:r>
        <w:rPr>
          <w:rFonts w:hint="eastAsia"/>
          <w:lang w:eastAsia="zh-CN"/>
        </w:rPr>
        <w:t>1</w:t>
      </w:r>
      <w:r>
        <w:t xml:space="preserve">: Resource URI structure of the </w:t>
      </w:r>
      <w:r>
        <w:rPr>
          <w:lang w:eastAsia="ja-JP"/>
        </w:rPr>
        <w:t>Nnwdaf_MLModelMonitor</w:t>
      </w:r>
      <w:r>
        <w:t xml:space="preserve"> API</w:t>
      </w:r>
    </w:p>
    <w:p w14:paraId="1ADBDC49" w14:textId="77777777" w:rsidR="00A10B25" w:rsidRDefault="00A10B25">
      <w:r>
        <w:t>Table 5.6.3.1-1 provides an overview of the resources and applicable HTTP methods.</w:t>
      </w:r>
    </w:p>
    <w:p w14:paraId="7F9E9217" w14:textId="77777777" w:rsidR="00A10B25" w:rsidRDefault="00A10B25">
      <w:pPr>
        <w:pStyle w:val="TH"/>
        <w:overflowPunct w:val="0"/>
        <w:autoSpaceDE w:val="0"/>
        <w:autoSpaceDN w:val="0"/>
        <w:adjustRightInd w:val="0"/>
        <w:textAlignment w:val="baseline"/>
        <w:rPr>
          <w:rFonts w:eastAsia="MS Mincho"/>
        </w:rPr>
      </w:pPr>
      <w:r>
        <w:rPr>
          <w:rFonts w:eastAsia="MS Mincho"/>
        </w:rPr>
        <w:t>Table 5.6.3.1-1: Resources and methods overview</w:t>
      </w:r>
    </w:p>
    <w:tbl>
      <w:tblPr>
        <w:tblW w:w="49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06"/>
        <w:gridCol w:w="2713"/>
        <w:gridCol w:w="1357"/>
        <w:gridCol w:w="3005"/>
      </w:tblGrid>
      <w:tr w:rsidR="00A10B25" w14:paraId="06B9B604" w14:textId="77777777">
        <w:trPr>
          <w:jc w:val="center"/>
        </w:trPr>
        <w:tc>
          <w:tcPr>
            <w:tcW w:w="1339" w:type="pct"/>
            <w:shd w:val="clear" w:color="auto" w:fill="C0C0C0"/>
            <w:vAlign w:val="center"/>
          </w:tcPr>
          <w:p w14:paraId="015777B1" w14:textId="77777777" w:rsidR="00A10B25" w:rsidRDefault="00A10B25">
            <w:pPr>
              <w:pStyle w:val="TAH"/>
              <w:ind w:left="400" w:hanging="400"/>
            </w:pPr>
            <w:r>
              <w:t>Resource name</w:t>
            </w:r>
          </w:p>
        </w:tc>
        <w:tc>
          <w:tcPr>
            <w:tcW w:w="1501" w:type="pct"/>
            <w:shd w:val="clear" w:color="auto" w:fill="C0C0C0"/>
            <w:vAlign w:val="center"/>
          </w:tcPr>
          <w:p w14:paraId="1397742E" w14:textId="77777777" w:rsidR="00A10B25" w:rsidRDefault="00A10B25">
            <w:pPr>
              <w:pStyle w:val="TAH"/>
              <w:ind w:left="400" w:hanging="400"/>
            </w:pPr>
            <w:r>
              <w:t>Resource URI</w:t>
            </w:r>
          </w:p>
        </w:tc>
        <w:tc>
          <w:tcPr>
            <w:tcW w:w="505" w:type="pct"/>
            <w:shd w:val="clear" w:color="auto" w:fill="C0C0C0"/>
            <w:vAlign w:val="center"/>
          </w:tcPr>
          <w:p w14:paraId="3450C900" w14:textId="77777777" w:rsidR="00A10B25" w:rsidRDefault="00A10B25">
            <w:pPr>
              <w:pStyle w:val="TAH"/>
              <w:ind w:left="400" w:hanging="400"/>
            </w:pPr>
            <w:r>
              <w:t>HTTP method or custom operation</w:t>
            </w:r>
          </w:p>
        </w:tc>
        <w:tc>
          <w:tcPr>
            <w:tcW w:w="1655" w:type="pct"/>
            <w:shd w:val="clear" w:color="auto" w:fill="C0C0C0"/>
            <w:vAlign w:val="center"/>
          </w:tcPr>
          <w:p w14:paraId="1A3BE480" w14:textId="77777777" w:rsidR="00A10B25" w:rsidRDefault="00A10B25">
            <w:pPr>
              <w:pStyle w:val="TAH"/>
              <w:ind w:left="400" w:hanging="400"/>
            </w:pPr>
            <w:r>
              <w:t>Description</w:t>
            </w:r>
          </w:p>
        </w:tc>
      </w:tr>
      <w:tr w:rsidR="00A10B25" w14:paraId="470C26E7" w14:textId="77777777">
        <w:trPr>
          <w:trHeight w:val="636"/>
          <w:jc w:val="center"/>
        </w:trPr>
        <w:tc>
          <w:tcPr>
            <w:tcW w:w="1339" w:type="pct"/>
          </w:tcPr>
          <w:p w14:paraId="1D88796E" w14:textId="77777777" w:rsidR="00A10B25" w:rsidRDefault="00A10B25">
            <w:pPr>
              <w:pStyle w:val="TAL"/>
            </w:pPr>
            <w:r>
              <w:t>NWDAF ML model monitoring registrations</w:t>
            </w:r>
          </w:p>
        </w:tc>
        <w:tc>
          <w:tcPr>
            <w:tcW w:w="1501" w:type="pct"/>
          </w:tcPr>
          <w:p w14:paraId="17A7351C" w14:textId="77777777" w:rsidR="00A10B25" w:rsidRDefault="00A10B25">
            <w:pPr>
              <w:pStyle w:val="TAL"/>
            </w:pPr>
            <w:r>
              <w:t>/registrations</w:t>
            </w:r>
          </w:p>
        </w:tc>
        <w:tc>
          <w:tcPr>
            <w:tcW w:w="505" w:type="pct"/>
          </w:tcPr>
          <w:p w14:paraId="04AD4197" w14:textId="77777777" w:rsidR="00A10B25" w:rsidRDefault="00A10B25">
            <w:pPr>
              <w:pStyle w:val="TAL"/>
            </w:pPr>
            <w:r>
              <w:t>POST</w:t>
            </w:r>
          </w:p>
        </w:tc>
        <w:tc>
          <w:tcPr>
            <w:tcW w:w="1655" w:type="pct"/>
          </w:tcPr>
          <w:p w14:paraId="05B9E17D" w14:textId="77777777" w:rsidR="00A10B25" w:rsidRDefault="00A10B25">
            <w:pPr>
              <w:pStyle w:val="TAL"/>
            </w:pPr>
            <w:r>
              <w:t>Create a new Individual ML model monitoring registration resource on the NWDAF containing MTLF.</w:t>
            </w:r>
          </w:p>
        </w:tc>
      </w:tr>
      <w:tr w:rsidR="00A10B25" w14:paraId="7AEEC0C6" w14:textId="77777777">
        <w:trPr>
          <w:jc w:val="center"/>
        </w:trPr>
        <w:tc>
          <w:tcPr>
            <w:tcW w:w="0" w:type="auto"/>
          </w:tcPr>
          <w:p w14:paraId="383D4DBD" w14:textId="77777777" w:rsidR="00A10B25" w:rsidRDefault="00A10B25">
            <w:pPr>
              <w:pStyle w:val="TAL"/>
            </w:pPr>
            <w:r>
              <w:t>Individual NWDAF ML model monitoring registration</w:t>
            </w:r>
          </w:p>
        </w:tc>
        <w:tc>
          <w:tcPr>
            <w:tcW w:w="0" w:type="auto"/>
          </w:tcPr>
          <w:p w14:paraId="22DC1757" w14:textId="77777777" w:rsidR="00A10B25" w:rsidRDefault="00A10B25">
            <w:pPr>
              <w:pStyle w:val="TAL"/>
            </w:pPr>
            <w:r>
              <w:t>/registrations/{registrationsId}</w:t>
            </w:r>
          </w:p>
        </w:tc>
        <w:tc>
          <w:tcPr>
            <w:tcW w:w="505" w:type="pct"/>
          </w:tcPr>
          <w:p w14:paraId="7078299D" w14:textId="77777777" w:rsidR="00A10B25" w:rsidRDefault="00A10B25">
            <w:pPr>
              <w:pStyle w:val="TAL"/>
            </w:pPr>
            <w:r>
              <w:t>DELETE</w:t>
            </w:r>
          </w:p>
        </w:tc>
        <w:tc>
          <w:tcPr>
            <w:tcW w:w="1655" w:type="pct"/>
          </w:tcPr>
          <w:p w14:paraId="4CE1510A" w14:textId="77777777" w:rsidR="00A10B25" w:rsidRDefault="00A10B25">
            <w:pPr>
              <w:pStyle w:val="TAL"/>
            </w:pPr>
            <w:r>
              <w:t>Delete an Individual ML model monitoring registration resource by {registrationsId} on the NWDAF containing MTLF.</w:t>
            </w:r>
          </w:p>
        </w:tc>
      </w:tr>
      <w:tr w:rsidR="00A10B25" w14:paraId="2DA5528B" w14:textId="77777777">
        <w:trPr>
          <w:jc w:val="center"/>
        </w:trPr>
        <w:tc>
          <w:tcPr>
            <w:tcW w:w="0" w:type="auto"/>
            <w:vAlign w:val="center"/>
          </w:tcPr>
          <w:p w14:paraId="34666B75" w14:textId="77777777" w:rsidR="00A10B25" w:rsidRDefault="00A10B25">
            <w:pPr>
              <w:pStyle w:val="TAL"/>
            </w:pPr>
            <w:r>
              <w:t>NWDAF ML model monitoring Subscriptions</w:t>
            </w:r>
          </w:p>
        </w:tc>
        <w:tc>
          <w:tcPr>
            <w:tcW w:w="0" w:type="auto"/>
            <w:vAlign w:val="center"/>
          </w:tcPr>
          <w:p w14:paraId="58354756" w14:textId="77777777" w:rsidR="00A10B25" w:rsidRDefault="00A10B25">
            <w:pPr>
              <w:pStyle w:val="TAL"/>
            </w:pPr>
            <w:r>
              <w:t>/subscriptions</w:t>
            </w:r>
          </w:p>
        </w:tc>
        <w:tc>
          <w:tcPr>
            <w:tcW w:w="505" w:type="pct"/>
          </w:tcPr>
          <w:p w14:paraId="0EFE944C" w14:textId="77777777" w:rsidR="00A10B25" w:rsidRDefault="00A10B25">
            <w:pPr>
              <w:pStyle w:val="TAL"/>
            </w:pPr>
            <w:r>
              <w:t>POST</w:t>
            </w:r>
          </w:p>
        </w:tc>
        <w:tc>
          <w:tcPr>
            <w:tcW w:w="1655" w:type="pct"/>
          </w:tcPr>
          <w:p w14:paraId="578BEA38" w14:textId="77777777" w:rsidR="00A10B25" w:rsidRDefault="00A10B25">
            <w:pPr>
              <w:pStyle w:val="TAL"/>
            </w:pPr>
            <w:r>
              <w:t>Create a new Individual ML model monitoring Subscription resource on the NWDAF containing AnLF.</w:t>
            </w:r>
          </w:p>
        </w:tc>
      </w:tr>
      <w:tr w:rsidR="00A10B25" w14:paraId="534AEC98" w14:textId="77777777">
        <w:trPr>
          <w:trHeight w:val="308"/>
          <w:jc w:val="center"/>
        </w:trPr>
        <w:tc>
          <w:tcPr>
            <w:tcW w:w="0" w:type="auto"/>
            <w:vMerge w:val="restart"/>
            <w:vAlign w:val="center"/>
          </w:tcPr>
          <w:p w14:paraId="3A5C5D10" w14:textId="77777777" w:rsidR="00A10B25" w:rsidRDefault="00A10B25">
            <w:pPr>
              <w:pStyle w:val="TAL"/>
            </w:pPr>
            <w:r>
              <w:t>Individual NWDAF ML model monitoring Subscription</w:t>
            </w:r>
          </w:p>
        </w:tc>
        <w:tc>
          <w:tcPr>
            <w:tcW w:w="0" w:type="auto"/>
            <w:vMerge w:val="restart"/>
            <w:vAlign w:val="center"/>
          </w:tcPr>
          <w:p w14:paraId="046AFBFE" w14:textId="77777777" w:rsidR="00A10B25" w:rsidRDefault="00A10B25">
            <w:pPr>
              <w:pStyle w:val="TAL"/>
            </w:pPr>
            <w:r>
              <w:t>/subscriptions/{subscriptionId}</w:t>
            </w:r>
          </w:p>
        </w:tc>
        <w:tc>
          <w:tcPr>
            <w:tcW w:w="505" w:type="pct"/>
          </w:tcPr>
          <w:p w14:paraId="1751F633" w14:textId="77777777" w:rsidR="00A10B25" w:rsidRDefault="00A10B25">
            <w:pPr>
              <w:pStyle w:val="TAL"/>
            </w:pPr>
            <w:r>
              <w:t>PUT</w:t>
            </w:r>
          </w:p>
        </w:tc>
        <w:tc>
          <w:tcPr>
            <w:tcW w:w="1655" w:type="pct"/>
          </w:tcPr>
          <w:p w14:paraId="3E5EBB79" w14:textId="77777777" w:rsidR="00A10B25" w:rsidRDefault="00A10B25">
            <w:pPr>
              <w:pStyle w:val="TAL"/>
            </w:pPr>
            <w:r>
              <w:t>Modifies an existing ML model monitoring Subscription resource on the NWDAF containing AnLF.</w:t>
            </w:r>
          </w:p>
        </w:tc>
      </w:tr>
      <w:tr w:rsidR="00A10B25" w14:paraId="18A9D383" w14:textId="77777777">
        <w:trPr>
          <w:trHeight w:val="307"/>
          <w:jc w:val="center"/>
        </w:trPr>
        <w:tc>
          <w:tcPr>
            <w:tcW w:w="0" w:type="auto"/>
            <w:vMerge/>
            <w:vAlign w:val="center"/>
          </w:tcPr>
          <w:p w14:paraId="7C6362AD" w14:textId="77777777" w:rsidR="00A10B25" w:rsidRDefault="00A10B25">
            <w:pPr>
              <w:pStyle w:val="TAL"/>
            </w:pPr>
          </w:p>
        </w:tc>
        <w:tc>
          <w:tcPr>
            <w:tcW w:w="0" w:type="auto"/>
            <w:vMerge/>
            <w:vAlign w:val="center"/>
          </w:tcPr>
          <w:p w14:paraId="0BCD706D" w14:textId="77777777" w:rsidR="00A10B25" w:rsidRDefault="00A10B25">
            <w:pPr>
              <w:pStyle w:val="TAL"/>
            </w:pPr>
          </w:p>
        </w:tc>
        <w:tc>
          <w:tcPr>
            <w:tcW w:w="505" w:type="pct"/>
          </w:tcPr>
          <w:p w14:paraId="635EB686" w14:textId="77777777" w:rsidR="00A10B25" w:rsidRDefault="00A10B25">
            <w:pPr>
              <w:pStyle w:val="TAL"/>
            </w:pPr>
            <w:r>
              <w:t>DELETE</w:t>
            </w:r>
          </w:p>
        </w:tc>
        <w:tc>
          <w:tcPr>
            <w:tcW w:w="1655" w:type="pct"/>
          </w:tcPr>
          <w:p w14:paraId="438D23F9" w14:textId="77777777" w:rsidR="00A10B25" w:rsidRDefault="00A10B25">
            <w:pPr>
              <w:pStyle w:val="TAL"/>
            </w:pPr>
            <w:r>
              <w:t>Delete an individual ML model monitoring Subscription identified by {subscriptionId} on the NWDAF containing AnLF.</w:t>
            </w:r>
          </w:p>
        </w:tc>
      </w:tr>
    </w:tbl>
    <w:p w14:paraId="46240A14" w14:textId="77777777" w:rsidR="00A10B25" w:rsidRDefault="00A10B25"/>
    <w:p w14:paraId="6FA371A9" w14:textId="77777777" w:rsidR="00A10B25" w:rsidRDefault="00A10B25">
      <w:pPr>
        <w:pStyle w:val="4"/>
      </w:pPr>
      <w:bookmarkStart w:id="15266" w:name="_Toc148522974"/>
      <w:bookmarkStart w:id="15267" w:name="_Toc164921163"/>
      <w:bookmarkStart w:id="15268" w:name="_Toc170120705"/>
      <w:bookmarkStart w:id="15269" w:name="_Toc175858950"/>
      <w:bookmarkStart w:id="15270" w:name="_Toc175860023"/>
      <w:bookmarkStart w:id="15271" w:name="_Toc180606313"/>
      <w:bookmarkStart w:id="15272" w:name="_Toc185517574"/>
      <w:bookmarkStart w:id="15273" w:name="_Toc191576626"/>
      <w:bookmarkStart w:id="15274" w:name="_Toc191577366"/>
      <w:bookmarkStart w:id="15275" w:name="_Toc192880436"/>
      <w:bookmarkStart w:id="15276" w:name="_Toc195815325"/>
      <w:bookmarkStart w:id="15277" w:name="_Toc199453292"/>
      <w:r>
        <w:t>5.6.3.2</w:t>
      </w:r>
      <w:r>
        <w:tab/>
        <w:t>Resource: NWDAF ML model monitoring registrations</w:t>
      </w:r>
      <w:bookmarkEnd w:id="15266"/>
      <w:bookmarkEnd w:id="15267"/>
      <w:bookmarkEnd w:id="15268"/>
      <w:bookmarkEnd w:id="15269"/>
      <w:bookmarkEnd w:id="15270"/>
      <w:bookmarkEnd w:id="15271"/>
      <w:bookmarkEnd w:id="15272"/>
      <w:bookmarkEnd w:id="15273"/>
      <w:bookmarkEnd w:id="15274"/>
      <w:bookmarkEnd w:id="15275"/>
      <w:bookmarkEnd w:id="15276"/>
      <w:bookmarkEnd w:id="15277"/>
    </w:p>
    <w:p w14:paraId="6C4C5CC6" w14:textId="77777777" w:rsidR="00A10B25" w:rsidRDefault="00A10B25">
      <w:pPr>
        <w:pStyle w:val="5"/>
      </w:pPr>
      <w:bookmarkStart w:id="15278" w:name="_Toc148522975"/>
      <w:bookmarkStart w:id="15279" w:name="_Toc164921164"/>
      <w:bookmarkStart w:id="15280" w:name="_Toc170120706"/>
      <w:bookmarkStart w:id="15281" w:name="_Toc175858951"/>
      <w:bookmarkStart w:id="15282" w:name="_Toc175860024"/>
      <w:bookmarkStart w:id="15283" w:name="_Toc180606314"/>
      <w:bookmarkStart w:id="15284" w:name="_Toc185517575"/>
      <w:bookmarkStart w:id="15285" w:name="_Toc191576627"/>
      <w:bookmarkStart w:id="15286" w:name="_Toc191577367"/>
      <w:bookmarkStart w:id="15287" w:name="_Toc192880437"/>
      <w:bookmarkStart w:id="15288" w:name="_Toc195815326"/>
      <w:bookmarkStart w:id="15289" w:name="_Toc199453293"/>
      <w:r>
        <w:t>5.6.3.2.1</w:t>
      </w:r>
      <w:r>
        <w:tab/>
        <w:t>Description</w:t>
      </w:r>
      <w:bookmarkEnd w:id="15278"/>
      <w:bookmarkEnd w:id="15279"/>
      <w:bookmarkEnd w:id="15280"/>
      <w:bookmarkEnd w:id="15281"/>
      <w:bookmarkEnd w:id="15282"/>
      <w:bookmarkEnd w:id="15283"/>
      <w:bookmarkEnd w:id="15284"/>
      <w:bookmarkEnd w:id="15285"/>
      <w:bookmarkEnd w:id="15286"/>
      <w:bookmarkEnd w:id="15287"/>
      <w:bookmarkEnd w:id="15288"/>
      <w:bookmarkEnd w:id="15289"/>
    </w:p>
    <w:p w14:paraId="489005D9" w14:textId="77777777" w:rsidR="00A10B25" w:rsidRDefault="00A10B25">
      <w:r>
        <w:t>The NWDAF ML model monitoring registrations resource represents all registrations to the Nnwdaf_MLModelMonitor Service at a given NWDAF containing MTLF. The resource allows an NF service consumer to create a new Individual NWDAF ML model monitoring registration resource.</w:t>
      </w:r>
    </w:p>
    <w:p w14:paraId="583D41A7" w14:textId="77777777" w:rsidR="00A10B25" w:rsidRDefault="00A10B25">
      <w:pPr>
        <w:pStyle w:val="5"/>
      </w:pPr>
      <w:bookmarkStart w:id="15290" w:name="_Toc148522976"/>
      <w:bookmarkStart w:id="15291" w:name="_Toc164921165"/>
      <w:bookmarkStart w:id="15292" w:name="_Toc170120707"/>
      <w:bookmarkStart w:id="15293" w:name="_Toc175858952"/>
      <w:bookmarkStart w:id="15294" w:name="_Toc175860025"/>
      <w:bookmarkStart w:id="15295" w:name="_Toc180606315"/>
      <w:bookmarkStart w:id="15296" w:name="_Toc185517576"/>
      <w:bookmarkStart w:id="15297" w:name="_Toc191576628"/>
      <w:bookmarkStart w:id="15298" w:name="_Toc191577368"/>
      <w:bookmarkStart w:id="15299" w:name="_Toc192880438"/>
      <w:bookmarkStart w:id="15300" w:name="_Toc195815327"/>
      <w:bookmarkStart w:id="15301" w:name="_Toc199453294"/>
      <w:r>
        <w:t>5.6.3.2.2</w:t>
      </w:r>
      <w:r>
        <w:tab/>
        <w:t>Resource Definition</w:t>
      </w:r>
      <w:bookmarkEnd w:id="15290"/>
      <w:bookmarkEnd w:id="15291"/>
      <w:bookmarkEnd w:id="15292"/>
      <w:bookmarkEnd w:id="15293"/>
      <w:bookmarkEnd w:id="15294"/>
      <w:bookmarkEnd w:id="15295"/>
      <w:bookmarkEnd w:id="15296"/>
      <w:bookmarkEnd w:id="15297"/>
      <w:bookmarkEnd w:id="15298"/>
      <w:bookmarkEnd w:id="15299"/>
      <w:bookmarkEnd w:id="15300"/>
      <w:bookmarkEnd w:id="15301"/>
    </w:p>
    <w:p w14:paraId="410C8C1E" w14:textId="77777777" w:rsidR="00A10B25" w:rsidRDefault="00A10B25">
      <w:r>
        <w:t xml:space="preserve">Resource URI: </w:t>
      </w:r>
      <w:r>
        <w:rPr>
          <w:b/>
        </w:rPr>
        <w:t>{apiRoot}/nnwdaf-mlmodelmonitor/&lt;apiVersion&gt;/registrations</w:t>
      </w:r>
    </w:p>
    <w:p w14:paraId="19683CAF" w14:textId="77777777" w:rsidR="00A10B25" w:rsidRDefault="00A10B25">
      <w:pPr>
        <w:rPr>
          <w:lang w:val="en-US"/>
        </w:rPr>
      </w:pPr>
      <w:r>
        <w:rPr>
          <w:lang w:val="en-US" w:eastAsia="zh-CN"/>
        </w:rPr>
        <w:t>The &lt;apiVersion&gt; shall be set as described in clause 5.6.1.</w:t>
      </w:r>
    </w:p>
    <w:p w14:paraId="4EECBA9F" w14:textId="77777777" w:rsidR="00A10B25" w:rsidRDefault="00A10B25">
      <w:pPr>
        <w:rPr>
          <w:rFonts w:ascii="Arial" w:hAnsi="Arial" w:cs="Arial"/>
        </w:rPr>
      </w:pPr>
      <w:r>
        <w:t>This resource shall support the resource URI variables defined in table 5.6.3.2.2-1</w:t>
      </w:r>
      <w:r>
        <w:rPr>
          <w:rFonts w:ascii="Arial" w:hAnsi="Arial" w:cs="Arial"/>
        </w:rPr>
        <w:t>.</w:t>
      </w:r>
    </w:p>
    <w:p w14:paraId="6AC056AD"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5.6.3.2.2-1: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4AA52EF2" w14:textId="77777777">
        <w:trPr>
          <w:jc w:val="center"/>
        </w:trPr>
        <w:tc>
          <w:tcPr>
            <w:tcW w:w="559" w:type="pct"/>
            <w:shd w:val="clear" w:color="000000" w:fill="C0C0C0"/>
          </w:tcPr>
          <w:p w14:paraId="6FCA20C8" w14:textId="77777777" w:rsidR="00A10B25" w:rsidRDefault="00A10B25">
            <w:pPr>
              <w:pStyle w:val="TAH"/>
              <w:ind w:left="400" w:hanging="400"/>
            </w:pPr>
            <w:r>
              <w:t>Name</w:t>
            </w:r>
          </w:p>
        </w:tc>
        <w:tc>
          <w:tcPr>
            <w:tcW w:w="636" w:type="pct"/>
            <w:shd w:val="clear" w:color="000000" w:fill="C0C0C0"/>
          </w:tcPr>
          <w:p w14:paraId="3858951D" w14:textId="77777777" w:rsidR="00A10B25" w:rsidRDefault="00A10B25">
            <w:pPr>
              <w:pStyle w:val="TAH"/>
              <w:ind w:left="400" w:hanging="400"/>
            </w:pPr>
            <w:r>
              <w:rPr>
                <w:lang w:eastAsia="zh-CN"/>
              </w:rPr>
              <w:t>Data type</w:t>
            </w:r>
          </w:p>
        </w:tc>
        <w:tc>
          <w:tcPr>
            <w:tcW w:w="3805" w:type="pct"/>
            <w:shd w:val="clear" w:color="000000" w:fill="C0C0C0"/>
            <w:vAlign w:val="center"/>
          </w:tcPr>
          <w:p w14:paraId="395D4823" w14:textId="77777777" w:rsidR="00A10B25" w:rsidRDefault="00A10B25">
            <w:pPr>
              <w:pStyle w:val="TAH"/>
              <w:ind w:left="400" w:hanging="400"/>
            </w:pPr>
            <w:r>
              <w:t>Definition</w:t>
            </w:r>
          </w:p>
        </w:tc>
      </w:tr>
      <w:tr w:rsidR="00A10B25" w14:paraId="215170EA" w14:textId="77777777">
        <w:trPr>
          <w:jc w:val="center"/>
        </w:trPr>
        <w:tc>
          <w:tcPr>
            <w:tcW w:w="559" w:type="pct"/>
          </w:tcPr>
          <w:p w14:paraId="3E06D7A6" w14:textId="77777777" w:rsidR="00A10B25" w:rsidRDefault="00A10B25">
            <w:pPr>
              <w:pStyle w:val="TAL"/>
            </w:pPr>
            <w:r>
              <w:t>apiRoot</w:t>
            </w:r>
          </w:p>
        </w:tc>
        <w:tc>
          <w:tcPr>
            <w:tcW w:w="636" w:type="pct"/>
          </w:tcPr>
          <w:p w14:paraId="278BDE10" w14:textId="77777777" w:rsidR="00A10B25" w:rsidRDefault="00A10B25">
            <w:pPr>
              <w:pStyle w:val="TAL"/>
            </w:pPr>
            <w:r>
              <w:t>string</w:t>
            </w:r>
          </w:p>
        </w:tc>
        <w:tc>
          <w:tcPr>
            <w:tcW w:w="3805" w:type="pct"/>
            <w:vAlign w:val="center"/>
          </w:tcPr>
          <w:p w14:paraId="3BD2CEB9" w14:textId="77777777" w:rsidR="00A10B25" w:rsidRDefault="00A10B25">
            <w:pPr>
              <w:pStyle w:val="TAL"/>
            </w:pPr>
            <w:r>
              <w:t>See clause</w:t>
            </w:r>
            <w:r>
              <w:rPr>
                <w:lang w:val="en-US" w:eastAsia="zh-CN"/>
              </w:rPr>
              <w:t> </w:t>
            </w:r>
            <w:r>
              <w:t>5.6.1</w:t>
            </w:r>
          </w:p>
        </w:tc>
      </w:tr>
    </w:tbl>
    <w:p w14:paraId="4C659574" w14:textId="77777777" w:rsidR="00A10B25" w:rsidRDefault="00A10B25"/>
    <w:p w14:paraId="702351D0" w14:textId="77777777" w:rsidR="00A10B25" w:rsidRDefault="00A10B25">
      <w:pPr>
        <w:pStyle w:val="5"/>
      </w:pPr>
      <w:bookmarkStart w:id="15302" w:name="_Toc148522977"/>
      <w:bookmarkStart w:id="15303" w:name="_Toc164921166"/>
      <w:bookmarkStart w:id="15304" w:name="_Toc170120708"/>
      <w:bookmarkStart w:id="15305" w:name="_Toc175858953"/>
      <w:bookmarkStart w:id="15306" w:name="_Toc175860026"/>
      <w:bookmarkStart w:id="15307" w:name="_Toc180606316"/>
      <w:bookmarkStart w:id="15308" w:name="_Toc185517577"/>
      <w:bookmarkStart w:id="15309" w:name="_Toc191576629"/>
      <w:bookmarkStart w:id="15310" w:name="_Toc191577369"/>
      <w:bookmarkStart w:id="15311" w:name="_Toc192880439"/>
      <w:bookmarkStart w:id="15312" w:name="_Toc195815328"/>
      <w:bookmarkStart w:id="15313" w:name="_Toc199453295"/>
      <w:r>
        <w:t>5.6.3.2.3</w:t>
      </w:r>
      <w:r>
        <w:tab/>
        <w:t>Resource Standard Methods</w:t>
      </w:r>
      <w:bookmarkEnd w:id="15302"/>
      <w:bookmarkEnd w:id="15303"/>
      <w:bookmarkEnd w:id="15304"/>
      <w:bookmarkEnd w:id="15305"/>
      <w:bookmarkEnd w:id="15306"/>
      <w:bookmarkEnd w:id="15307"/>
      <w:bookmarkEnd w:id="15308"/>
      <w:bookmarkEnd w:id="15309"/>
      <w:bookmarkEnd w:id="15310"/>
      <w:bookmarkEnd w:id="15311"/>
      <w:bookmarkEnd w:id="15312"/>
      <w:bookmarkEnd w:id="15313"/>
    </w:p>
    <w:p w14:paraId="16068E21" w14:textId="77777777" w:rsidR="00A10B25" w:rsidRDefault="00A10B25">
      <w:pPr>
        <w:pStyle w:val="6"/>
      </w:pPr>
      <w:bookmarkStart w:id="15314" w:name="_Toc148522978"/>
      <w:bookmarkStart w:id="15315" w:name="_Toc164921167"/>
      <w:bookmarkStart w:id="15316" w:name="_Toc170120709"/>
      <w:bookmarkStart w:id="15317" w:name="_Toc175858954"/>
      <w:bookmarkStart w:id="15318" w:name="_Toc175860027"/>
      <w:bookmarkStart w:id="15319" w:name="_Toc180606317"/>
      <w:bookmarkStart w:id="15320" w:name="_Toc185517578"/>
      <w:bookmarkStart w:id="15321" w:name="_Toc191576630"/>
      <w:bookmarkStart w:id="15322" w:name="_Toc191577370"/>
      <w:bookmarkStart w:id="15323" w:name="_Toc192880440"/>
      <w:bookmarkStart w:id="15324" w:name="_Toc195815329"/>
      <w:bookmarkStart w:id="15325" w:name="_Toc199453296"/>
      <w:r>
        <w:t>5.6.3.2.3.1</w:t>
      </w:r>
      <w:r>
        <w:tab/>
        <w:t>POST</w:t>
      </w:r>
      <w:bookmarkEnd w:id="15314"/>
      <w:bookmarkEnd w:id="15315"/>
      <w:bookmarkEnd w:id="15316"/>
      <w:bookmarkEnd w:id="15317"/>
      <w:bookmarkEnd w:id="15318"/>
      <w:bookmarkEnd w:id="15319"/>
      <w:bookmarkEnd w:id="15320"/>
      <w:bookmarkEnd w:id="15321"/>
      <w:bookmarkEnd w:id="15322"/>
      <w:bookmarkEnd w:id="15323"/>
      <w:bookmarkEnd w:id="15324"/>
      <w:bookmarkEnd w:id="15325"/>
    </w:p>
    <w:p w14:paraId="14873B51" w14:textId="77777777" w:rsidR="00A10B25" w:rsidRDefault="00A10B25">
      <w:r>
        <w:t>This method shall support the URI query parameters specified in table 5.6.3.2.3.1-1.</w:t>
      </w:r>
    </w:p>
    <w:p w14:paraId="22FB562A" w14:textId="77777777" w:rsidR="00A10B25" w:rsidRDefault="00A10B25">
      <w:pPr>
        <w:pStyle w:val="TH"/>
        <w:overflowPunct w:val="0"/>
        <w:autoSpaceDE w:val="0"/>
        <w:autoSpaceDN w:val="0"/>
        <w:adjustRightInd w:val="0"/>
        <w:textAlignment w:val="baseline"/>
        <w:rPr>
          <w:rFonts w:eastAsia="MS Mincho"/>
        </w:rPr>
      </w:pPr>
      <w:r>
        <w:rPr>
          <w:rFonts w:eastAsia="MS Mincho"/>
        </w:rPr>
        <w:t>Table 5.6.3.2.3.1-1: URI query parameters supported by the POST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708D736" w14:textId="77777777">
        <w:trPr>
          <w:jc w:val="center"/>
        </w:trPr>
        <w:tc>
          <w:tcPr>
            <w:tcW w:w="825" w:type="pct"/>
            <w:tcBorders>
              <w:bottom w:val="single" w:sz="6" w:space="0" w:color="auto"/>
            </w:tcBorders>
            <w:shd w:val="clear" w:color="auto" w:fill="C0C0C0"/>
          </w:tcPr>
          <w:p w14:paraId="1F254487"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73C2BC84"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10C70D1E" w14:textId="77777777" w:rsidR="00A10B25" w:rsidRDefault="00A10B25">
            <w:pPr>
              <w:pStyle w:val="TAH"/>
              <w:ind w:left="400" w:hanging="400"/>
            </w:pPr>
            <w:r>
              <w:t>P</w:t>
            </w:r>
          </w:p>
        </w:tc>
        <w:tc>
          <w:tcPr>
            <w:tcW w:w="581" w:type="pct"/>
            <w:tcBorders>
              <w:bottom w:val="single" w:sz="6" w:space="0" w:color="auto"/>
            </w:tcBorders>
            <w:shd w:val="clear" w:color="auto" w:fill="C0C0C0"/>
          </w:tcPr>
          <w:p w14:paraId="3F4EE06F"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5004E66E" w14:textId="77777777" w:rsidR="00A10B25" w:rsidRDefault="00A10B25">
            <w:pPr>
              <w:pStyle w:val="TAH"/>
              <w:ind w:left="400" w:hanging="400"/>
            </w:pPr>
            <w:r>
              <w:t>Description</w:t>
            </w:r>
          </w:p>
        </w:tc>
      </w:tr>
      <w:tr w:rsidR="00A10B25" w14:paraId="64AD9D2F" w14:textId="77777777">
        <w:trPr>
          <w:jc w:val="center"/>
        </w:trPr>
        <w:tc>
          <w:tcPr>
            <w:tcW w:w="825" w:type="pct"/>
            <w:tcBorders>
              <w:top w:val="single" w:sz="6" w:space="0" w:color="auto"/>
            </w:tcBorders>
          </w:tcPr>
          <w:p w14:paraId="593516DF" w14:textId="77777777" w:rsidR="00A10B25" w:rsidRDefault="00A10B25">
            <w:pPr>
              <w:pStyle w:val="TAL"/>
            </w:pPr>
            <w:r>
              <w:t>n/a</w:t>
            </w:r>
          </w:p>
        </w:tc>
        <w:tc>
          <w:tcPr>
            <w:tcW w:w="732" w:type="pct"/>
            <w:tcBorders>
              <w:top w:val="single" w:sz="6" w:space="0" w:color="auto"/>
            </w:tcBorders>
          </w:tcPr>
          <w:p w14:paraId="64BB4433" w14:textId="77777777" w:rsidR="00A10B25" w:rsidRDefault="00A10B25">
            <w:pPr>
              <w:pStyle w:val="TAL"/>
            </w:pPr>
          </w:p>
        </w:tc>
        <w:tc>
          <w:tcPr>
            <w:tcW w:w="217" w:type="pct"/>
            <w:tcBorders>
              <w:top w:val="single" w:sz="6" w:space="0" w:color="auto"/>
            </w:tcBorders>
          </w:tcPr>
          <w:p w14:paraId="7F343489" w14:textId="77777777" w:rsidR="00A10B25" w:rsidRDefault="00A10B25">
            <w:pPr>
              <w:pStyle w:val="TAC"/>
            </w:pPr>
          </w:p>
        </w:tc>
        <w:tc>
          <w:tcPr>
            <w:tcW w:w="581" w:type="pct"/>
            <w:tcBorders>
              <w:top w:val="single" w:sz="6" w:space="0" w:color="auto"/>
            </w:tcBorders>
          </w:tcPr>
          <w:p w14:paraId="10D06E13" w14:textId="77777777" w:rsidR="00A10B25" w:rsidRDefault="00A10B25">
            <w:pPr>
              <w:pStyle w:val="TAL"/>
            </w:pPr>
          </w:p>
        </w:tc>
        <w:tc>
          <w:tcPr>
            <w:tcW w:w="2646" w:type="pct"/>
            <w:tcBorders>
              <w:top w:val="single" w:sz="6" w:space="0" w:color="auto"/>
            </w:tcBorders>
            <w:vAlign w:val="center"/>
          </w:tcPr>
          <w:p w14:paraId="271B7D96" w14:textId="77777777" w:rsidR="00A10B25" w:rsidRDefault="00A10B25">
            <w:pPr>
              <w:pStyle w:val="TAL"/>
            </w:pPr>
          </w:p>
        </w:tc>
      </w:tr>
    </w:tbl>
    <w:p w14:paraId="73740F07" w14:textId="77777777" w:rsidR="00A10B25" w:rsidRDefault="00A10B25"/>
    <w:p w14:paraId="46718284" w14:textId="77777777" w:rsidR="00A10B25" w:rsidRDefault="00A10B25">
      <w:r>
        <w:t>This method shall support the request data structures specified in table 5.6.3.2.3.1-2 and the response data structures and response codes specified in table 5.6.3.2.3.1-3.</w:t>
      </w:r>
    </w:p>
    <w:p w14:paraId="0BA8EF47" w14:textId="77777777" w:rsidR="00A10B25" w:rsidRDefault="00A10B25">
      <w:pPr>
        <w:pStyle w:val="TH"/>
        <w:overflowPunct w:val="0"/>
        <w:autoSpaceDE w:val="0"/>
        <w:autoSpaceDN w:val="0"/>
        <w:adjustRightInd w:val="0"/>
        <w:textAlignment w:val="baseline"/>
        <w:rPr>
          <w:rFonts w:eastAsia="MS Mincho"/>
        </w:rPr>
      </w:pPr>
      <w:r>
        <w:rPr>
          <w:rFonts w:eastAsia="MS Mincho"/>
        </w:rPr>
        <w:t>Table 5.6.3.2.3.1-2: Data structures supported by the POST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0F34E182" w14:textId="77777777">
        <w:trPr>
          <w:jc w:val="center"/>
        </w:trPr>
        <w:tc>
          <w:tcPr>
            <w:tcW w:w="1612" w:type="dxa"/>
            <w:tcBorders>
              <w:bottom w:val="single" w:sz="6" w:space="0" w:color="auto"/>
            </w:tcBorders>
            <w:shd w:val="clear" w:color="auto" w:fill="C0C0C0"/>
          </w:tcPr>
          <w:p w14:paraId="6AF02ACA" w14:textId="77777777" w:rsidR="00A10B25" w:rsidRDefault="00A10B25">
            <w:pPr>
              <w:pStyle w:val="TAH"/>
              <w:ind w:left="400" w:hanging="400"/>
            </w:pPr>
            <w:r>
              <w:t>Data type</w:t>
            </w:r>
          </w:p>
        </w:tc>
        <w:tc>
          <w:tcPr>
            <w:tcW w:w="422" w:type="dxa"/>
            <w:tcBorders>
              <w:bottom w:val="single" w:sz="6" w:space="0" w:color="auto"/>
            </w:tcBorders>
            <w:shd w:val="clear" w:color="auto" w:fill="C0C0C0"/>
          </w:tcPr>
          <w:p w14:paraId="1AA689D6" w14:textId="77777777" w:rsidR="00A10B25" w:rsidRDefault="00A10B25">
            <w:pPr>
              <w:pStyle w:val="TAH"/>
              <w:ind w:left="400" w:hanging="400"/>
            </w:pPr>
            <w:r>
              <w:t>P</w:t>
            </w:r>
          </w:p>
        </w:tc>
        <w:tc>
          <w:tcPr>
            <w:tcW w:w="1264" w:type="dxa"/>
            <w:tcBorders>
              <w:bottom w:val="single" w:sz="6" w:space="0" w:color="auto"/>
            </w:tcBorders>
            <w:shd w:val="clear" w:color="auto" w:fill="C0C0C0"/>
          </w:tcPr>
          <w:p w14:paraId="0202935D" w14:textId="77777777" w:rsidR="00A10B25" w:rsidRDefault="00A10B25">
            <w:pPr>
              <w:pStyle w:val="TAH"/>
              <w:ind w:left="400" w:hanging="400"/>
            </w:pPr>
            <w:r>
              <w:t>Cardinality</w:t>
            </w:r>
          </w:p>
        </w:tc>
        <w:tc>
          <w:tcPr>
            <w:tcW w:w="6381" w:type="dxa"/>
            <w:tcBorders>
              <w:bottom w:val="single" w:sz="6" w:space="0" w:color="auto"/>
            </w:tcBorders>
            <w:shd w:val="clear" w:color="auto" w:fill="C0C0C0"/>
            <w:vAlign w:val="center"/>
          </w:tcPr>
          <w:p w14:paraId="37DC083D" w14:textId="77777777" w:rsidR="00A10B25" w:rsidRDefault="00A10B25">
            <w:pPr>
              <w:pStyle w:val="TAH"/>
              <w:ind w:left="400" w:hanging="400"/>
            </w:pPr>
            <w:r>
              <w:t>Description</w:t>
            </w:r>
          </w:p>
        </w:tc>
      </w:tr>
      <w:tr w:rsidR="00A10B25" w14:paraId="19277AE7" w14:textId="77777777">
        <w:trPr>
          <w:jc w:val="center"/>
        </w:trPr>
        <w:tc>
          <w:tcPr>
            <w:tcW w:w="1612" w:type="dxa"/>
            <w:tcBorders>
              <w:top w:val="single" w:sz="6" w:space="0" w:color="auto"/>
            </w:tcBorders>
          </w:tcPr>
          <w:p w14:paraId="7ABBFE6E" w14:textId="77777777" w:rsidR="00A10B25" w:rsidRDefault="00A10B25">
            <w:pPr>
              <w:pStyle w:val="TAL"/>
            </w:pPr>
            <w:r>
              <w:rPr>
                <w:rFonts w:eastAsia="等线"/>
              </w:rPr>
              <w:t>MLModelMonitorReg</w:t>
            </w:r>
          </w:p>
        </w:tc>
        <w:tc>
          <w:tcPr>
            <w:tcW w:w="422" w:type="dxa"/>
            <w:tcBorders>
              <w:top w:val="single" w:sz="6" w:space="0" w:color="auto"/>
            </w:tcBorders>
          </w:tcPr>
          <w:p w14:paraId="191CC9BC" w14:textId="77777777" w:rsidR="00A10B25" w:rsidRDefault="00A10B25">
            <w:pPr>
              <w:pStyle w:val="TAC"/>
            </w:pPr>
            <w:r>
              <w:t>M</w:t>
            </w:r>
          </w:p>
        </w:tc>
        <w:tc>
          <w:tcPr>
            <w:tcW w:w="1264" w:type="dxa"/>
            <w:tcBorders>
              <w:top w:val="single" w:sz="6" w:space="0" w:color="auto"/>
            </w:tcBorders>
          </w:tcPr>
          <w:p w14:paraId="0073E9DF" w14:textId="77777777" w:rsidR="00A10B25" w:rsidRDefault="00A10B25">
            <w:pPr>
              <w:pStyle w:val="TAL"/>
            </w:pPr>
            <w:r>
              <w:t>1</w:t>
            </w:r>
          </w:p>
        </w:tc>
        <w:tc>
          <w:tcPr>
            <w:tcW w:w="6381" w:type="dxa"/>
            <w:tcBorders>
              <w:top w:val="single" w:sz="6" w:space="0" w:color="auto"/>
            </w:tcBorders>
          </w:tcPr>
          <w:p w14:paraId="79DFC8CE" w14:textId="77777777" w:rsidR="00A10B25" w:rsidRDefault="00A10B25">
            <w:pPr>
              <w:pStyle w:val="TAL"/>
            </w:pPr>
            <w:r>
              <w:t>Create a new Individual NWDAF ML model monitoring registration resource.</w:t>
            </w:r>
          </w:p>
        </w:tc>
      </w:tr>
    </w:tbl>
    <w:p w14:paraId="1AA2BCDF" w14:textId="77777777" w:rsidR="00A10B25" w:rsidRDefault="00A10B25"/>
    <w:p w14:paraId="70347F64" w14:textId="77777777" w:rsidR="00A10B25" w:rsidRDefault="00A10B25">
      <w:pPr>
        <w:pStyle w:val="TH"/>
        <w:overflowPunct w:val="0"/>
        <w:autoSpaceDE w:val="0"/>
        <w:autoSpaceDN w:val="0"/>
        <w:adjustRightInd w:val="0"/>
        <w:textAlignment w:val="baseline"/>
        <w:rPr>
          <w:rFonts w:eastAsia="MS Mincho"/>
        </w:rPr>
      </w:pPr>
      <w:r>
        <w:rPr>
          <w:rFonts w:eastAsia="MS Mincho"/>
        </w:rPr>
        <w:t>Table 5.6.3.2.3.1-3: Data structures supported by the POST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A10B25" w14:paraId="1515351D" w14:textId="77777777">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29080B00" w14:textId="77777777" w:rsidR="00A10B25" w:rsidRDefault="00A10B25">
            <w:pPr>
              <w:pStyle w:val="TAH"/>
              <w:ind w:left="400" w:hanging="400"/>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49AD997" w14:textId="77777777" w:rsidR="00A10B25" w:rsidRDefault="00A10B25">
            <w:pPr>
              <w:pStyle w:val="TAH"/>
              <w:ind w:left="400" w:hanging="400"/>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339A407C" w14:textId="77777777" w:rsidR="00A10B25" w:rsidRDefault="00A10B25">
            <w:pPr>
              <w:pStyle w:val="TAH"/>
              <w:ind w:left="400" w:hanging="400"/>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3FA8AB97" w14:textId="77777777" w:rsidR="00A10B25" w:rsidRDefault="00A10B25">
            <w:pPr>
              <w:pStyle w:val="TAH"/>
              <w:ind w:left="400" w:hanging="400"/>
            </w:pPr>
            <w:r>
              <w:t>Response</w:t>
            </w:r>
          </w:p>
          <w:p w14:paraId="44CB91D4" w14:textId="77777777" w:rsidR="00A10B25" w:rsidRDefault="00A10B25">
            <w:pPr>
              <w:pStyle w:val="TAH"/>
              <w:ind w:left="400" w:hanging="400"/>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50A640EA" w14:textId="77777777" w:rsidR="00A10B25" w:rsidRDefault="00A10B25">
            <w:pPr>
              <w:pStyle w:val="TAH"/>
              <w:ind w:left="400" w:hanging="400"/>
            </w:pPr>
            <w:r>
              <w:t>Description</w:t>
            </w:r>
          </w:p>
        </w:tc>
      </w:tr>
      <w:tr w:rsidR="00A10B25" w14:paraId="7A8C5C98"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69A366C9" w14:textId="77777777" w:rsidR="00A10B25" w:rsidRDefault="00A10B25">
            <w:pPr>
              <w:pStyle w:val="TAL"/>
            </w:pPr>
            <w:r>
              <w:rPr>
                <w:rFonts w:eastAsia="等线"/>
              </w:rPr>
              <w:t>MLModelMonitorReg</w:t>
            </w:r>
          </w:p>
        </w:tc>
        <w:tc>
          <w:tcPr>
            <w:tcW w:w="185" w:type="pct"/>
            <w:tcBorders>
              <w:top w:val="single" w:sz="6" w:space="0" w:color="auto"/>
              <w:left w:val="single" w:sz="6" w:space="0" w:color="auto"/>
              <w:bottom w:val="single" w:sz="6" w:space="0" w:color="auto"/>
              <w:right w:val="single" w:sz="6" w:space="0" w:color="auto"/>
            </w:tcBorders>
          </w:tcPr>
          <w:p w14:paraId="3CAB1146" w14:textId="77777777" w:rsidR="00A10B25" w:rsidRDefault="00A10B25">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09C2859F" w14:textId="77777777" w:rsidR="00A10B25" w:rsidRDefault="00A10B25">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068CDA6A" w14:textId="77777777" w:rsidR="00A10B25" w:rsidRDefault="00A10B25">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64A3CA14" w14:textId="77777777" w:rsidR="00A10B25" w:rsidRDefault="00A10B25">
            <w:pPr>
              <w:pStyle w:val="TAL"/>
            </w:pPr>
            <w:r>
              <w:t>The creation of an Individual NWDAF ML model monitoring registration resource is confirmed and a representation of that resource is returned.</w:t>
            </w:r>
          </w:p>
        </w:tc>
      </w:tr>
      <w:tr w:rsidR="00A10B25" w14:paraId="069B65B7"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75C932AB"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42A9C946" w14:textId="77777777" w:rsidR="00A10B25" w:rsidRDefault="00A10B25">
            <w:pPr>
              <w:pStyle w:val="TAN"/>
              <w:rPr>
                <w:lang w:val="en-US" w:eastAsia="zh-CN"/>
              </w:rPr>
            </w:pPr>
            <w:r>
              <w:t>NOTE 2:</w:t>
            </w:r>
            <w:r>
              <w:rPr>
                <w:lang w:val="en-US" w:eastAsia="zh-CN"/>
              </w:rPr>
              <w:tab/>
            </w:r>
            <w:r>
              <w:t>Failure cases are described in clause 5.6.7.</w:t>
            </w:r>
          </w:p>
        </w:tc>
      </w:tr>
    </w:tbl>
    <w:p w14:paraId="1299C472" w14:textId="77777777" w:rsidR="00A10B25" w:rsidRDefault="00A10B25"/>
    <w:p w14:paraId="30120E46" w14:textId="77777777" w:rsidR="00A10B25" w:rsidRDefault="00A10B25">
      <w:pPr>
        <w:pStyle w:val="TH"/>
      </w:pPr>
      <w:r>
        <w:t>Table</w:t>
      </w:r>
      <w:r>
        <w:rPr>
          <w:lang w:val="en-US" w:eastAsia="zh-CN"/>
        </w:rPr>
        <w:t> </w:t>
      </w:r>
      <w:r>
        <w:rPr>
          <w:rFonts w:eastAsia="MS Mincho"/>
        </w:rPr>
        <w:t>5.6.3.2.3.1</w:t>
      </w:r>
      <w:r>
        <w:t xml:space="preserve">-4: Headers supported by the 201 Response Code on this resource </w:t>
      </w:r>
    </w:p>
    <w:tbl>
      <w:tblPr>
        <w:tblW w:w="0" w:type="auto"/>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1852FE38" w14:textId="77777777">
        <w:trPr>
          <w:jc w:val="center"/>
        </w:trPr>
        <w:tc>
          <w:tcPr>
            <w:tcW w:w="1832" w:type="dxa"/>
            <w:tcBorders>
              <w:bottom w:val="single" w:sz="6" w:space="0" w:color="auto"/>
            </w:tcBorders>
            <w:shd w:val="clear" w:color="auto" w:fill="C0C0C0"/>
          </w:tcPr>
          <w:p w14:paraId="3FBA6A7F" w14:textId="77777777" w:rsidR="00A10B25" w:rsidRDefault="00A10B25">
            <w:pPr>
              <w:pStyle w:val="TAH"/>
              <w:ind w:left="400" w:hanging="400"/>
            </w:pPr>
            <w:r>
              <w:t>Name</w:t>
            </w:r>
          </w:p>
        </w:tc>
        <w:tc>
          <w:tcPr>
            <w:tcW w:w="1559" w:type="dxa"/>
            <w:tcBorders>
              <w:bottom w:val="single" w:sz="6" w:space="0" w:color="auto"/>
            </w:tcBorders>
            <w:shd w:val="clear" w:color="auto" w:fill="C0C0C0"/>
          </w:tcPr>
          <w:p w14:paraId="6D946685" w14:textId="77777777" w:rsidR="00A10B25" w:rsidRDefault="00A10B25">
            <w:pPr>
              <w:pStyle w:val="TAH"/>
              <w:ind w:left="400" w:hanging="400"/>
            </w:pPr>
            <w:r>
              <w:t>Data type</w:t>
            </w:r>
          </w:p>
        </w:tc>
        <w:tc>
          <w:tcPr>
            <w:tcW w:w="426" w:type="dxa"/>
            <w:tcBorders>
              <w:bottom w:val="single" w:sz="6" w:space="0" w:color="auto"/>
            </w:tcBorders>
            <w:shd w:val="clear" w:color="auto" w:fill="C0C0C0"/>
          </w:tcPr>
          <w:p w14:paraId="712DFB18" w14:textId="77777777" w:rsidR="00A10B25" w:rsidRDefault="00A10B25">
            <w:pPr>
              <w:pStyle w:val="TAH"/>
              <w:ind w:left="400" w:hanging="400"/>
            </w:pPr>
            <w:r>
              <w:t>P</w:t>
            </w:r>
          </w:p>
        </w:tc>
        <w:tc>
          <w:tcPr>
            <w:tcW w:w="1275" w:type="dxa"/>
            <w:tcBorders>
              <w:bottom w:val="single" w:sz="6" w:space="0" w:color="auto"/>
            </w:tcBorders>
            <w:shd w:val="clear" w:color="auto" w:fill="C0C0C0"/>
          </w:tcPr>
          <w:p w14:paraId="0C06AE73" w14:textId="77777777" w:rsidR="00A10B25" w:rsidRDefault="00A10B25">
            <w:pPr>
              <w:pStyle w:val="TAH"/>
              <w:ind w:left="400" w:hanging="400"/>
            </w:pPr>
            <w:r>
              <w:t>Cardinality</w:t>
            </w:r>
          </w:p>
        </w:tc>
        <w:tc>
          <w:tcPr>
            <w:tcW w:w="4524" w:type="dxa"/>
            <w:tcBorders>
              <w:bottom w:val="single" w:sz="6" w:space="0" w:color="auto"/>
            </w:tcBorders>
            <w:shd w:val="clear" w:color="auto" w:fill="C0C0C0"/>
            <w:vAlign w:val="center"/>
          </w:tcPr>
          <w:p w14:paraId="775F2673" w14:textId="77777777" w:rsidR="00A10B25" w:rsidRDefault="00A10B25">
            <w:pPr>
              <w:pStyle w:val="TAH"/>
              <w:ind w:left="400" w:hanging="400"/>
            </w:pPr>
            <w:r>
              <w:t>Description</w:t>
            </w:r>
          </w:p>
        </w:tc>
      </w:tr>
      <w:tr w:rsidR="00A10B25" w14:paraId="3ACB0936" w14:textId="77777777">
        <w:trPr>
          <w:jc w:val="center"/>
        </w:trPr>
        <w:tc>
          <w:tcPr>
            <w:tcW w:w="1832" w:type="dxa"/>
            <w:tcBorders>
              <w:top w:val="single" w:sz="6" w:space="0" w:color="auto"/>
            </w:tcBorders>
          </w:tcPr>
          <w:p w14:paraId="42EF684F" w14:textId="77777777" w:rsidR="00A10B25" w:rsidRDefault="00A10B25">
            <w:pPr>
              <w:pStyle w:val="TAL"/>
            </w:pPr>
            <w:r>
              <w:t>Location</w:t>
            </w:r>
          </w:p>
        </w:tc>
        <w:tc>
          <w:tcPr>
            <w:tcW w:w="1559" w:type="dxa"/>
            <w:tcBorders>
              <w:top w:val="single" w:sz="6" w:space="0" w:color="auto"/>
            </w:tcBorders>
          </w:tcPr>
          <w:p w14:paraId="758180DA" w14:textId="77777777" w:rsidR="00A10B25" w:rsidRDefault="00A10B25">
            <w:pPr>
              <w:pStyle w:val="TAL"/>
            </w:pPr>
            <w:r>
              <w:t>string</w:t>
            </w:r>
          </w:p>
        </w:tc>
        <w:tc>
          <w:tcPr>
            <w:tcW w:w="426" w:type="dxa"/>
            <w:tcBorders>
              <w:top w:val="single" w:sz="6" w:space="0" w:color="auto"/>
            </w:tcBorders>
          </w:tcPr>
          <w:p w14:paraId="04392974" w14:textId="77777777" w:rsidR="00A10B25" w:rsidRDefault="00A10B25">
            <w:pPr>
              <w:pStyle w:val="TAC"/>
            </w:pPr>
            <w:r>
              <w:t>M</w:t>
            </w:r>
          </w:p>
        </w:tc>
        <w:tc>
          <w:tcPr>
            <w:tcW w:w="1275" w:type="dxa"/>
            <w:tcBorders>
              <w:top w:val="single" w:sz="6" w:space="0" w:color="auto"/>
            </w:tcBorders>
          </w:tcPr>
          <w:p w14:paraId="1FF7FD2B" w14:textId="77777777" w:rsidR="00A10B25" w:rsidRDefault="00A10B25">
            <w:pPr>
              <w:pStyle w:val="TAL"/>
            </w:pPr>
            <w:r>
              <w:t>1</w:t>
            </w:r>
          </w:p>
        </w:tc>
        <w:tc>
          <w:tcPr>
            <w:tcW w:w="4524" w:type="dxa"/>
            <w:tcBorders>
              <w:top w:val="single" w:sz="6" w:space="0" w:color="auto"/>
            </w:tcBorders>
            <w:vAlign w:val="center"/>
          </w:tcPr>
          <w:p w14:paraId="07B80CAD" w14:textId="77777777" w:rsidR="00A10B25" w:rsidRDefault="00A10B25">
            <w:pPr>
              <w:pStyle w:val="TAL"/>
            </w:pPr>
            <w:r>
              <w:t>Contains the URI of the newly created resource, according to the structure: {apiRoot}/nnwdaf-mlmodelmonitor/&lt;apiVersion&gt;/registrations/{registrationId}</w:t>
            </w:r>
          </w:p>
        </w:tc>
      </w:tr>
    </w:tbl>
    <w:p w14:paraId="1A2D3795" w14:textId="77777777" w:rsidR="00A10B25" w:rsidRDefault="00A10B25"/>
    <w:p w14:paraId="53BA163C" w14:textId="77777777" w:rsidR="00A10B25" w:rsidRDefault="00A10B25">
      <w:pPr>
        <w:pStyle w:val="5"/>
      </w:pPr>
      <w:bookmarkStart w:id="15326" w:name="_Toc148522979"/>
      <w:bookmarkStart w:id="15327" w:name="_Toc164921168"/>
      <w:bookmarkStart w:id="15328" w:name="_Toc170120710"/>
      <w:bookmarkStart w:id="15329" w:name="_Toc175858955"/>
      <w:bookmarkStart w:id="15330" w:name="_Toc175860028"/>
      <w:bookmarkStart w:id="15331" w:name="_Toc180606318"/>
      <w:bookmarkStart w:id="15332" w:name="_Toc185517579"/>
      <w:bookmarkStart w:id="15333" w:name="_Toc191576631"/>
      <w:bookmarkStart w:id="15334" w:name="_Toc191577371"/>
      <w:bookmarkStart w:id="15335" w:name="_Toc192880441"/>
      <w:bookmarkStart w:id="15336" w:name="_Toc195815330"/>
      <w:bookmarkStart w:id="15337" w:name="_Toc199453297"/>
      <w:r>
        <w:t>5.6.3.2.4</w:t>
      </w:r>
      <w:r>
        <w:tab/>
        <w:t>Resource Custom Operations</w:t>
      </w:r>
      <w:bookmarkEnd w:id="15326"/>
      <w:bookmarkEnd w:id="15327"/>
      <w:bookmarkEnd w:id="15328"/>
      <w:bookmarkEnd w:id="15329"/>
      <w:bookmarkEnd w:id="15330"/>
      <w:bookmarkEnd w:id="15331"/>
      <w:bookmarkEnd w:id="15332"/>
      <w:bookmarkEnd w:id="15333"/>
      <w:bookmarkEnd w:id="15334"/>
      <w:bookmarkEnd w:id="15335"/>
      <w:bookmarkEnd w:id="15336"/>
      <w:bookmarkEnd w:id="15337"/>
    </w:p>
    <w:p w14:paraId="24F3E419" w14:textId="77777777" w:rsidR="00A10B25" w:rsidRDefault="00A10B25">
      <w:pPr>
        <w:rPr>
          <w:lang w:val="en-US" w:eastAsia="zh-CN"/>
        </w:rPr>
      </w:pPr>
      <w:r>
        <w:t>None in this release of the specification.</w:t>
      </w:r>
    </w:p>
    <w:p w14:paraId="3B8266ED" w14:textId="77777777" w:rsidR="00A10B25" w:rsidRDefault="00A10B25">
      <w:pPr>
        <w:pStyle w:val="4"/>
      </w:pPr>
      <w:bookmarkStart w:id="15338" w:name="_Toc148522980"/>
      <w:bookmarkStart w:id="15339" w:name="_Toc164921169"/>
      <w:bookmarkStart w:id="15340" w:name="_Toc170120711"/>
      <w:bookmarkStart w:id="15341" w:name="_Toc175858956"/>
      <w:bookmarkStart w:id="15342" w:name="_Toc175860029"/>
      <w:bookmarkStart w:id="15343" w:name="_Toc180606319"/>
      <w:bookmarkStart w:id="15344" w:name="_Toc185517580"/>
      <w:bookmarkStart w:id="15345" w:name="_Toc191576632"/>
      <w:bookmarkStart w:id="15346" w:name="_Toc191577372"/>
      <w:bookmarkStart w:id="15347" w:name="_Toc192880442"/>
      <w:bookmarkStart w:id="15348" w:name="_Toc195815331"/>
      <w:bookmarkStart w:id="15349" w:name="_Toc199453298"/>
      <w:r>
        <w:t>5.6.3.3</w:t>
      </w:r>
      <w:r>
        <w:tab/>
        <w:t>Resource: Individual NWDAF ML model monitoring registration</w:t>
      </w:r>
      <w:bookmarkEnd w:id="15338"/>
      <w:bookmarkEnd w:id="15339"/>
      <w:bookmarkEnd w:id="15340"/>
      <w:bookmarkEnd w:id="15341"/>
      <w:bookmarkEnd w:id="15342"/>
      <w:bookmarkEnd w:id="15343"/>
      <w:bookmarkEnd w:id="15344"/>
      <w:bookmarkEnd w:id="15345"/>
      <w:bookmarkEnd w:id="15346"/>
      <w:bookmarkEnd w:id="15347"/>
      <w:bookmarkEnd w:id="15348"/>
      <w:bookmarkEnd w:id="15349"/>
    </w:p>
    <w:p w14:paraId="14B375C1" w14:textId="77777777" w:rsidR="00A10B25" w:rsidRDefault="00A10B25">
      <w:pPr>
        <w:pStyle w:val="5"/>
      </w:pPr>
      <w:bookmarkStart w:id="15350" w:name="_Toc148522981"/>
      <w:bookmarkStart w:id="15351" w:name="_Toc164921170"/>
      <w:bookmarkStart w:id="15352" w:name="_Toc170120712"/>
      <w:bookmarkStart w:id="15353" w:name="_Toc175858957"/>
      <w:bookmarkStart w:id="15354" w:name="_Toc175860030"/>
      <w:bookmarkStart w:id="15355" w:name="_Toc180606320"/>
      <w:bookmarkStart w:id="15356" w:name="_Toc185517581"/>
      <w:bookmarkStart w:id="15357" w:name="_Toc191576633"/>
      <w:bookmarkStart w:id="15358" w:name="_Toc191577373"/>
      <w:bookmarkStart w:id="15359" w:name="_Toc192880443"/>
      <w:bookmarkStart w:id="15360" w:name="_Toc195815332"/>
      <w:bookmarkStart w:id="15361" w:name="_Toc199453299"/>
      <w:r>
        <w:t>5.6.3.3.1</w:t>
      </w:r>
      <w:r>
        <w:tab/>
        <w:t>Description</w:t>
      </w:r>
      <w:bookmarkEnd w:id="15350"/>
      <w:bookmarkEnd w:id="15351"/>
      <w:bookmarkEnd w:id="15352"/>
      <w:bookmarkEnd w:id="15353"/>
      <w:bookmarkEnd w:id="15354"/>
      <w:bookmarkEnd w:id="15355"/>
      <w:bookmarkEnd w:id="15356"/>
      <w:bookmarkEnd w:id="15357"/>
      <w:bookmarkEnd w:id="15358"/>
      <w:bookmarkEnd w:id="15359"/>
      <w:bookmarkEnd w:id="15360"/>
      <w:bookmarkEnd w:id="15361"/>
    </w:p>
    <w:p w14:paraId="43B936EB" w14:textId="77777777" w:rsidR="00A10B25" w:rsidRDefault="00A10B25">
      <w:r>
        <w:t>The Individual NWDAF ML model monitoring registration resource represents a single registration to the Nnwdaf_MLModelMonitor Service at a given NWDAF containing MTLF.</w:t>
      </w:r>
    </w:p>
    <w:p w14:paraId="337CABFD" w14:textId="77777777" w:rsidR="00A10B25" w:rsidRDefault="00A10B25">
      <w:pPr>
        <w:pStyle w:val="5"/>
      </w:pPr>
      <w:bookmarkStart w:id="15362" w:name="_Toc148522982"/>
      <w:bookmarkStart w:id="15363" w:name="_Toc164921171"/>
      <w:bookmarkStart w:id="15364" w:name="_Toc170120713"/>
      <w:bookmarkStart w:id="15365" w:name="_Toc175858958"/>
      <w:bookmarkStart w:id="15366" w:name="_Toc175860031"/>
      <w:bookmarkStart w:id="15367" w:name="_Toc180606321"/>
      <w:bookmarkStart w:id="15368" w:name="_Toc185517582"/>
      <w:bookmarkStart w:id="15369" w:name="_Toc191576634"/>
      <w:bookmarkStart w:id="15370" w:name="_Toc191577374"/>
      <w:bookmarkStart w:id="15371" w:name="_Toc192880444"/>
      <w:bookmarkStart w:id="15372" w:name="_Toc195815333"/>
      <w:bookmarkStart w:id="15373" w:name="_Toc199453300"/>
      <w:r>
        <w:lastRenderedPageBreak/>
        <w:t>5.6.3.3.2</w:t>
      </w:r>
      <w:r>
        <w:tab/>
        <w:t>Resource definition</w:t>
      </w:r>
      <w:bookmarkEnd w:id="15362"/>
      <w:bookmarkEnd w:id="15363"/>
      <w:bookmarkEnd w:id="15364"/>
      <w:bookmarkEnd w:id="15365"/>
      <w:bookmarkEnd w:id="15366"/>
      <w:bookmarkEnd w:id="15367"/>
      <w:bookmarkEnd w:id="15368"/>
      <w:bookmarkEnd w:id="15369"/>
      <w:bookmarkEnd w:id="15370"/>
      <w:bookmarkEnd w:id="15371"/>
      <w:bookmarkEnd w:id="15372"/>
      <w:bookmarkEnd w:id="15373"/>
    </w:p>
    <w:p w14:paraId="50DEE1D9" w14:textId="77777777" w:rsidR="00A10B25" w:rsidRDefault="00A10B25">
      <w:r>
        <w:t xml:space="preserve">Resource URI: </w:t>
      </w:r>
      <w:r>
        <w:rPr>
          <w:b/>
        </w:rPr>
        <w:t>{apiRoot}/nnwdaf-mlmodelmonitor/&lt;apiVersion&gt;/registrations/{registrationId}</w:t>
      </w:r>
    </w:p>
    <w:p w14:paraId="118B32FA" w14:textId="77777777" w:rsidR="00A10B25" w:rsidRDefault="00A10B25">
      <w:pPr>
        <w:rPr>
          <w:lang w:val="en-US"/>
        </w:rPr>
      </w:pPr>
      <w:r>
        <w:rPr>
          <w:lang w:val="en-US" w:eastAsia="zh-CN"/>
        </w:rPr>
        <w:t>The &lt;apiVersion&gt; shall be set as described in clause 5.6.1.</w:t>
      </w:r>
    </w:p>
    <w:p w14:paraId="242F5EF0" w14:textId="77777777" w:rsidR="00A10B25" w:rsidRDefault="00A10B25">
      <w:r>
        <w:t>This resource shall support the resource URI variables defined in table 5.6.3.3.2-1</w:t>
      </w:r>
      <w:r>
        <w:rPr>
          <w:rFonts w:ascii="Arial" w:hAnsi="Arial" w:cs="Arial"/>
        </w:rPr>
        <w:t>.</w:t>
      </w:r>
    </w:p>
    <w:p w14:paraId="4859E6EB" w14:textId="77777777" w:rsidR="00A10B25" w:rsidRDefault="00A10B25">
      <w:pPr>
        <w:pStyle w:val="TH"/>
      </w:pPr>
      <w:r>
        <w:t>Table 5.6.3.3.2-1: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30"/>
        <w:gridCol w:w="1629"/>
        <w:gridCol w:w="6768"/>
      </w:tblGrid>
      <w:tr w:rsidR="00A10B25" w14:paraId="5F75EC14" w14:textId="77777777">
        <w:trPr>
          <w:jc w:val="center"/>
        </w:trPr>
        <w:tc>
          <w:tcPr>
            <w:tcW w:w="639" w:type="pct"/>
            <w:shd w:val="clear" w:color="000000" w:fill="C0C0C0"/>
          </w:tcPr>
          <w:p w14:paraId="3BFC9505" w14:textId="77777777" w:rsidR="00A10B25" w:rsidRDefault="00A10B25">
            <w:pPr>
              <w:pStyle w:val="TAH"/>
              <w:ind w:left="400" w:hanging="400"/>
            </w:pPr>
            <w:r>
              <w:t>Name</w:t>
            </w:r>
          </w:p>
        </w:tc>
        <w:tc>
          <w:tcPr>
            <w:tcW w:w="846" w:type="pct"/>
            <w:shd w:val="clear" w:color="000000" w:fill="C0C0C0"/>
          </w:tcPr>
          <w:p w14:paraId="63EDBDE0" w14:textId="77777777" w:rsidR="00A10B25" w:rsidRDefault="00A10B25">
            <w:pPr>
              <w:pStyle w:val="TAH"/>
              <w:ind w:left="400" w:hanging="400"/>
            </w:pPr>
            <w:r>
              <w:rPr>
                <w:lang w:eastAsia="zh-CN"/>
              </w:rPr>
              <w:t>Data type</w:t>
            </w:r>
          </w:p>
        </w:tc>
        <w:tc>
          <w:tcPr>
            <w:tcW w:w="3515" w:type="pct"/>
            <w:shd w:val="clear" w:color="000000" w:fill="C0C0C0"/>
            <w:vAlign w:val="center"/>
          </w:tcPr>
          <w:p w14:paraId="329A2B25" w14:textId="77777777" w:rsidR="00A10B25" w:rsidRDefault="00A10B25">
            <w:pPr>
              <w:pStyle w:val="TAH"/>
              <w:ind w:left="400" w:hanging="400"/>
            </w:pPr>
            <w:r>
              <w:t>Definition</w:t>
            </w:r>
          </w:p>
        </w:tc>
      </w:tr>
      <w:tr w:rsidR="00A10B25" w14:paraId="1B77094C" w14:textId="77777777">
        <w:trPr>
          <w:jc w:val="center"/>
        </w:trPr>
        <w:tc>
          <w:tcPr>
            <w:tcW w:w="639" w:type="pct"/>
          </w:tcPr>
          <w:p w14:paraId="49EE999A" w14:textId="77777777" w:rsidR="00A10B25" w:rsidRDefault="00A10B25">
            <w:pPr>
              <w:pStyle w:val="TAL"/>
            </w:pPr>
            <w:r>
              <w:t>apiRoot</w:t>
            </w:r>
          </w:p>
        </w:tc>
        <w:tc>
          <w:tcPr>
            <w:tcW w:w="846" w:type="pct"/>
          </w:tcPr>
          <w:p w14:paraId="618776B8" w14:textId="77777777" w:rsidR="00A10B25" w:rsidRDefault="00A10B25">
            <w:pPr>
              <w:pStyle w:val="TAL"/>
            </w:pPr>
            <w:r>
              <w:t>string</w:t>
            </w:r>
          </w:p>
        </w:tc>
        <w:tc>
          <w:tcPr>
            <w:tcW w:w="3515" w:type="pct"/>
            <w:vAlign w:val="center"/>
          </w:tcPr>
          <w:p w14:paraId="24E25F84" w14:textId="77777777" w:rsidR="00A10B25" w:rsidRDefault="00A10B25">
            <w:pPr>
              <w:pStyle w:val="TAL"/>
            </w:pPr>
            <w:r>
              <w:t>See clause</w:t>
            </w:r>
            <w:r>
              <w:rPr>
                <w:lang w:val="en-US" w:eastAsia="zh-CN"/>
              </w:rPr>
              <w:t> </w:t>
            </w:r>
            <w:r>
              <w:t>5.6.1.</w:t>
            </w:r>
          </w:p>
        </w:tc>
      </w:tr>
      <w:tr w:rsidR="00A10B25" w14:paraId="02B24503" w14:textId="77777777">
        <w:trPr>
          <w:jc w:val="center"/>
        </w:trPr>
        <w:tc>
          <w:tcPr>
            <w:tcW w:w="639" w:type="pct"/>
          </w:tcPr>
          <w:p w14:paraId="40AC60E1" w14:textId="77777777" w:rsidR="00A10B25" w:rsidRDefault="00A10B25">
            <w:pPr>
              <w:pStyle w:val="TAL"/>
            </w:pPr>
            <w:r>
              <w:t>registrationId</w:t>
            </w:r>
          </w:p>
        </w:tc>
        <w:tc>
          <w:tcPr>
            <w:tcW w:w="846" w:type="pct"/>
          </w:tcPr>
          <w:p w14:paraId="300D8163" w14:textId="77777777" w:rsidR="00A10B25" w:rsidRDefault="00A10B25">
            <w:pPr>
              <w:pStyle w:val="TAL"/>
            </w:pPr>
            <w:r>
              <w:t>string</w:t>
            </w:r>
          </w:p>
        </w:tc>
        <w:tc>
          <w:tcPr>
            <w:tcW w:w="3515" w:type="pct"/>
            <w:vAlign w:val="center"/>
          </w:tcPr>
          <w:p w14:paraId="11299127" w14:textId="77777777" w:rsidR="00A10B25" w:rsidRDefault="00A10B25">
            <w:pPr>
              <w:pStyle w:val="TAL"/>
            </w:pPr>
            <w:r>
              <w:t>Identifies a registration to the Nnwdaf_MLModelMonitor Service.</w:t>
            </w:r>
          </w:p>
        </w:tc>
      </w:tr>
    </w:tbl>
    <w:p w14:paraId="0C0E2E47" w14:textId="77777777" w:rsidR="00A10B25" w:rsidRDefault="00A10B25"/>
    <w:p w14:paraId="17121764" w14:textId="77777777" w:rsidR="00A10B25" w:rsidRDefault="00A10B25">
      <w:pPr>
        <w:pStyle w:val="5"/>
      </w:pPr>
      <w:bookmarkStart w:id="15374" w:name="_Toc148522983"/>
      <w:bookmarkStart w:id="15375" w:name="_Toc164921172"/>
      <w:bookmarkStart w:id="15376" w:name="_Toc170120714"/>
      <w:bookmarkStart w:id="15377" w:name="_Toc175858959"/>
      <w:bookmarkStart w:id="15378" w:name="_Toc175860032"/>
      <w:bookmarkStart w:id="15379" w:name="_Toc180606322"/>
      <w:bookmarkStart w:id="15380" w:name="_Toc185517583"/>
      <w:bookmarkStart w:id="15381" w:name="_Toc191576635"/>
      <w:bookmarkStart w:id="15382" w:name="_Toc191577375"/>
      <w:bookmarkStart w:id="15383" w:name="_Toc192880445"/>
      <w:bookmarkStart w:id="15384" w:name="_Toc195815334"/>
      <w:bookmarkStart w:id="15385" w:name="_Toc199453301"/>
      <w:r>
        <w:t>5.6.3.3.3</w:t>
      </w:r>
      <w:r>
        <w:tab/>
        <w:t>Resource Standard Methods</w:t>
      </w:r>
      <w:bookmarkEnd w:id="15374"/>
      <w:bookmarkEnd w:id="15375"/>
      <w:bookmarkEnd w:id="15376"/>
      <w:bookmarkEnd w:id="15377"/>
      <w:bookmarkEnd w:id="15378"/>
      <w:bookmarkEnd w:id="15379"/>
      <w:bookmarkEnd w:id="15380"/>
      <w:bookmarkEnd w:id="15381"/>
      <w:bookmarkEnd w:id="15382"/>
      <w:bookmarkEnd w:id="15383"/>
      <w:bookmarkEnd w:id="15384"/>
      <w:bookmarkEnd w:id="15385"/>
    </w:p>
    <w:p w14:paraId="2C180746" w14:textId="77777777" w:rsidR="00A10B25" w:rsidRDefault="00A10B25">
      <w:pPr>
        <w:pStyle w:val="6"/>
      </w:pPr>
      <w:bookmarkStart w:id="15386" w:name="_Toc148522984"/>
      <w:bookmarkStart w:id="15387" w:name="_Toc164921173"/>
      <w:bookmarkStart w:id="15388" w:name="_Toc170120715"/>
      <w:bookmarkStart w:id="15389" w:name="_Toc175858960"/>
      <w:bookmarkStart w:id="15390" w:name="_Toc175860033"/>
      <w:bookmarkStart w:id="15391" w:name="_Toc180606323"/>
      <w:bookmarkStart w:id="15392" w:name="_Toc185517584"/>
      <w:bookmarkStart w:id="15393" w:name="_Toc191576636"/>
      <w:bookmarkStart w:id="15394" w:name="_Toc191577376"/>
      <w:bookmarkStart w:id="15395" w:name="_Toc192880446"/>
      <w:bookmarkStart w:id="15396" w:name="_Toc195815335"/>
      <w:bookmarkStart w:id="15397" w:name="_Toc199453302"/>
      <w:r>
        <w:t>5.6.3.3.3.1</w:t>
      </w:r>
      <w:r>
        <w:tab/>
        <w:t>DELETE</w:t>
      </w:r>
      <w:bookmarkEnd w:id="15386"/>
      <w:bookmarkEnd w:id="15387"/>
      <w:bookmarkEnd w:id="15388"/>
      <w:bookmarkEnd w:id="15389"/>
      <w:bookmarkEnd w:id="15390"/>
      <w:bookmarkEnd w:id="15391"/>
      <w:bookmarkEnd w:id="15392"/>
      <w:bookmarkEnd w:id="15393"/>
      <w:bookmarkEnd w:id="15394"/>
      <w:bookmarkEnd w:id="15395"/>
      <w:bookmarkEnd w:id="15396"/>
      <w:bookmarkEnd w:id="15397"/>
    </w:p>
    <w:p w14:paraId="30DBDC9D" w14:textId="77777777" w:rsidR="00A10B25" w:rsidRDefault="00A10B25">
      <w:r>
        <w:t>This method shall support the URI query parameters specified in table 5.6.3.3.3.1-1.</w:t>
      </w:r>
    </w:p>
    <w:p w14:paraId="7DAB3C80" w14:textId="77777777" w:rsidR="00A10B25" w:rsidRDefault="00A10B25">
      <w:pPr>
        <w:pStyle w:val="TH"/>
      </w:pPr>
      <w:r>
        <w:t>Table 5.6.3.3.3.1-1: URI query parameters supported by the DELETE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67DF40F" w14:textId="77777777">
        <w:trPr>
          <w:jc w:val="center"/>
        </w:trPr>
        <w:tc>
          <w:tcPr>
            <w:tcW w:w="825" w:type="pct"/>
            <w:tcBorders>
              <w:bottom w:val="single" w:sz="6" w:space="0" w:color="auto"/>
            </w:tcBorders>
            <w:shd w:val="clear" w:color="auto" w:fill="C0C0C0"/>
          </w:tcPr>
          <w:p w14:paraId="2D3CEB4E"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51BE7AE"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6A93B79B" w14:textId="77777777" w:rsidR="00A10B25" w:rsidRDefault="00A10B25">
            <w:pPr>
              <w:pStyle w:val="TAH"/>
              <w:ind w:left="400" w:hanging="400"/>
            </w:pPr>
            <w:r>
              <w:t>P</w:t>
            </w:r>
          </w:p>
        </w:tc>
        <w:tc>
          <w:tcPr>
            <w:tcW w:w="581" w:type="pct"/>
            <w:tcBorders>
              <w:bottom w:val="single" w:sz="6" w:space="0" w:color="auto"/>
            </w:tcBorders>
            <w:shd w:val="clear" w:color="auto" w:fill="C0C0C0"/>
          </w:tcPr>
          <w:p w14:paraId="3FF79465"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1804AD6D" w14:textId="77777777" w:rsidR="00A10B25" w:rsidRDefault="00A10B25">
            <w:pPr>
              <w:pStyle w:val="TAH"/>
              <w:ind w:left="400" w:hanging="400"/>
            </w:pPr>
            <w:r>
              <w:t>Description</w:t>
            </w:r>
          </w:p>
        </w:tc>
      </w:tr>
      <w:tr w:rsidR="00A10B25" w14:paraId="1120B12D" w14:textId="77777777">
        <w:trPr>
          <w:jc w:val="center"/>
        </w:trPr>
        <w:tc>
          <w:tcPr>
            <w:tcW w:w="825" w:type="pct"/>
            <w:tcBorders>
              <w:top w:val="single" w:sz="6" w:space="0" w:color="auto"/>
            </w:tcBorders>
          </w:tcPr>
          <w:p w14:paraId="2908A58A" w14:textId="77777777" w:rsidR="00A10B25" w:rsidRDefault="00A10B25">
            <w:pPr>
              <w:pStyle w:val="TAL"/>
            </w:pPr>
            <w:r>
              <w:t>n/a</w:t>
            </w:r>
          </w:p>
        </w:tc>
        <w:tc>
          <w:tcPr>
            <w:tcW w:w="732" w:type="pct"/>
            <w:tcBorders>
              <w:top w:val="single" w:sz="6" w:space="0" w:color="auto"/>
            </w:tcBorders>
          </w:tcPr>
          <w:p w14:paraId="4BC35A8D" w14:textId="77777777" w:rsidR="00A10B25" w:rsidRDefault="00A10B25">
            <w:pPr>
              <w:pStyle w:val="TAL"/>
            </w:pPr>
          </w:p>
        </w:tc>
        <w:tc>
          <w:tcPr>
            <w:tcW w:w="217" w:type="pct"/>
            <w:tcBorders>
              <w:top w:val="single" w:sz="6" w:space="0" w:color="auto"/>
            </w:tcBorders>
          </w:tcPr>
          <w:p w14:paraId="2075AEA3" w14:textId="77777777" w:rsidR="00A10B25" w:rsidRDefault="00A10B25">
            <w:pPr>
              <w:pStyle w:val="TAC"/>
            </w:pPr>
          </w:p>
        </w:tc>
        <w:tc>
          <w:tcPr>
            <w:tcW w:w="581" w:type="pct"/>
            <w:tcBorders>
              <w:top w:val="single" w:sz="6" w:space="0" w:color="auto"/>
            </w:tcBorders>
          </w:tcPr>
          <w:p w14:paraId="5DB96DC4" w14:textId="77777777" w:rsidR="00A10B25" w:rsidRDefault="00A10B25">
            <w:pPr>
              <w:pStyle w:val="TAL"/>
            </w:pPr>
          </w:p>
        </w:tc>
        <w:tc>
          <w:tcPr>
            <w:tcW w:w="2646" w:type="pct"/>
            <w:tcBorders>
              <w:top w:val="single" w:sz="6" w:space="0" w:color="auto"/>
            </w:tcBorders>
            <w:vAlign w:val="center"/>
          </w:tcPr>
          <w:p w14:paraId="2DB4EE24" w14:textId="77777777" w:rsidR="00A10B25" w:rsidRDefault="00A10B25">
            <w:pPr>
              <w:pStyle w:val="TAL"/>
            </w:pPr>
          </w:p>
        </w:tc>
      </w:tr>
    </w:tbl>
    <w:p w14:paraId="2E39B383" w14:textId="77777777" w:rsidR="00A10B25" w:rsidRDefault="00A10B25"/>
    <w:p w14:paraId="76A869D9" w14:textId="77777777" w:rsidR="00A10B25" w:rsidRDefault="00A10B25">
      <w:r>
        <w:t>This method shall support the request data structures specified in table 5.6.3.3.3.1-2 and the response data structures and response codes specified in table 5.6.3.3.3.1-3.</w:t>
      </w:r>
    </w:p>
    <w:p w14:paraId="35F1B20D" w14:textId="77777777" w:rsidR="00A10B25" w:rsidRDefault="00A10B25">
      <w:pPr>
        <w:pStyle w:val="TH"/>
      </w:pPr>
      <w:r>
        <w:t>Table 5.6.3.3.3.1-2: Data structures supported by the DELETE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7212A110" w14:textId="77777777">
        <w:trPr>
          <w:jc w:val="center"/>
        </w:trPr>
        <w:tc>
          <w:tcPr>
            <w:tcW w:w="1627" w:type="dxa"/>
            <w:tcBorders>
              <w:bottom w:val="single" w:sz="6" w:space="0" w:color="auto"/>
            </w:tcBorders>
            <w:shd w:val="clear" w:color="auto" w:fill="C0C0C0"/>
          </w:tcPr>
          <w:p w14:paraId="14487F42" w14:textId="77777777" w:rsidR="00A10B25" w:rsidRDefault="00A10B25">
            <w:pPr>
              <w:pStyle w:val="TAH"/>
              <w:ind w:left="400" w:hanging="400"/>
            </w:pPr>
            <w:r>
              <w:t>Data type</w:t>
            </w:r>
          </w:p>
        </w:tc>
        <w:tc>
          <w:tcPr>
            <w:tcW w:w="425" w:type="dxa"/>
            <w:tcBorders>
              <w:bottom w:val="single" w:sz="6" w:space="0" w:color="auto"/>
            </w:tcBorders>
            <w:shd w:val="clear" w:color="auto" w:fill="C0C0C0"/>
          </w:tcPr>
          <w:p w14:paraId="3C46B4FC" w14:textId="77777777" w:rsidR="00A10B25" w:rsidRDefault="00A10B25">
            <w:pPr>
              <w:pStyle w:val="TAH"/>
              <w:ind w:left="400" w:hanging="400"/>
            </w:pPr>
            <w:r>
              <w:t>P</w:t>
            </w:r>
          </w:p>
        </w:tc>
        <w:tc>
          <w:tcPr>
            <w:tcW w:w="1276" w:type="dxa"/>
            <w:tcBorders>
              <w:bottom w:val="single" w:sz="6" w:space="0" w:color="auto"/>
            </w:tcBorders>
            <w:shd w:val="clear" w:color="auto" w:fill="C0C0C0"/>
          </w:tcPr>
          <w:p w14:paraId="7F99EF40" w14:textId="77777777" w:rsidR="00A10B25" w:rsidRDefault="00A10B25">
            <w:pPr>
              <w:pStyle w:val="TAH"/>
              <w:ind w:left="400" w:hanging="400"/>
            </w:pPr>
            <w:r>
              <w:t>Cardinality</w:t>
            </w:r>
          </w:p>
        </w:tc>
        <w:tc>
          <w:tcPr>
            <w:tcW w:w="6447" w:type="dxa"/>
            <w:tcBorders>
              <w:bottom w:val="single" w:sz="6" w:space="0" w:color="auto"/>
            </w:tcBorders>
            <w:shd w:val="clear" w:color="auto" w:fill="C0C0C0"/>
            <w:vAlign w:val="center"/>
          </w:tcPr>
          <w:p w14:paraId="4F7C63EF" w14:textId="77777777" w:rsidR="00A10B25" w:rsidRDefault="00A10B25">
            <w:pPr>
              <w:pStyle w:val="TAH"/>
              <w:ind w:left="400" w:hanging="400"/>
            </w:pPr>
            <w:r>
              <w:t>Description</w:t>
            </w:r>
          </w:p>
        </w:tc>
      </w:tr>
      <w:tr w:rsidR="00A10B25" w14:paraId="7647008A" w14:textId="77777777">
        <w:trPr>
          <w:jc w:val="center"/>
        </w:trPr>
        <w:tc>
          <w:tcPr>
            <w:tcW w:w="1627" w:type="dxa"/>
            <w:tcBorders>
              <w:top w:val="single" w:sz="6" w:space="0" w:color="auto"/>
            </w:tcBorders>
          </w:tcPr>
          <w:p w14:paraId="4FB9C977" w14:textId="77777777" w:rsidR="00A10B25" w:rsidRDefault="00A10B25">
            <w:pPr>
              <w:pStyle w:val="TAL"/>
            </w:pPr>
            <w:r>
              <w:t>n/a</w:t>
            </w:r>
          </w:p>
        </w:tc>
        <w:tc>
          <w:tcPr>
            <w:tcW w:w="425" w:type="dxa"/>
            <w:tcBorders>
              <w:top w:val="single" w:sz="6" w:space="0" w:color="auto"/>
            </w:tcBorders>
          </w:tcPr>
          <w:p w14:paraId="2572AE60" w14:textId="77777777" w:rsidR="00A10B25" w:rsidRDefault="00A10B25">
            <w:pPr>
              <w:pStyle w:val="TAC"/>
            </w:pPr>
          </w:p>
        </w:tc>
        <w:tc>
          <w:tcPr>
            <w:tcW w:w="1276" w:type="dxa"/>
            <w:tcBorders>
              <w:top w:val="single" w:sz="6" w:space="0" w:color="auto"/>
            </w:tcBorders>
          </w:tcPr>
          <w:p w14:paraId="3B98720A" w14:textId="77777777" w:rsidR="00A10B25" w:rsidRDefault="00A10B25">
            <w:pPr>
              <w:pStyle w:val="TAL"/>
            </w:pPr>
          </w:p>
        </w:tc>
        <w:tc>
          <w:tcPr>
            <w:tcW w:w="6447" w:type="dxa"/>
            <w:tcBorders>
              <w:top w:val="single" w:sz="6" w:space="0" w:color="auto"/>
            </w:tcBorders>
          </w:tcPr>
          <w:p w14:paraId="625BC951" w14:textId="77777777" w:rsidR="00A10B25" w:rsidRDefault="00A10B25">
            <w:pPr>
              <w:pStyle w:val="TAL"/>
            </w:pPr>
          </w:p>
        </w:tc>
      </w:tr>
    </w:tbl>
    <w:p w14:paraId="1CEC9F5A" w14:textId="77777777" w:rsidR="00A10B25" w:rsidRDefault="00A10B25"/>
    <w:p w14:paraId="3CAA04DB" w14:textId="77777777" w:rsidR="00A10B25" w:rsidRDefault="00A10B25">
      <w:pPr>
        <w:pStyle w:val="TH"/>
      </w:pPr>
      <w:r>
        <w:t>Table 5.6.3.3.3.1-3: Data structures supported by the DELETE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1A5F1DDF" w14:textId="77777777">
        <w:trPr>
          <w:jc w:val="center"/>
        </w:trPr>
        <w:tc>
          <w:tcPr>
            <w:tcW w:w="848" w:type="pct"/>
            <w:tcBorders>
              <w:bottom w:val="single" w:sz="6" w:space="0" w:color="auto"/>
            </w:tcBorders>
            <w:shd w:val="clear" w:color="auto" w:fill="C0C0C0"/>
          </w:tcPr>
          <w:p w14:paraId="61891222" w14:textId="77777777" w:rsidR="00A10B25" w:rsidRDefault="00A10B25">
            <w:pPr>
              <w:pStyle w:val="TAH"/>
              <w:ind w:left="400" w:hanging="400"/>
            </w:pPr>
            <w:r>
              <w:t>Data type</w:t>
            </w:r>
          </w:p>
        </w:tc>
        <w:tc>
          <w:tcPr>
            <w:tcW w:w="223" w:type="pct"/>
            <w:tcBorders>
              <w:bottom w:val="single" w:sz="6" w:space="0" w:color="auto"/>
            </w:tcBorders>
            <w:shd w:val="clear" w:color="auto" w:fill="C0C0C0"/>
          </w:tcPr>
          <w:p w14:paraId="6289949E" w14:textId="77777777" w:rsidR="00A10B25" w:rsidRDefault="00A10B25">
            <w:pPr>
              <w:pStyle w:val="TAH"/>
              <w:ind w:left="400" w:hanging="400"/>
            </w:pPr>
            <w:r>
              <w:t>P</w:t>
            </w:r>
          </w:p>
        </w:tc>
        <w:tc>
          <w:tcPr>
            <w:tcW w:w="643" w:type="pct"/>
            <w:tcBorders>
              <w:bottom w:val="single" w:sz="6" w:space="0" w:color="auto"/>
            </w:tcBorders>
            <w:shd w:val="clear" w:color="auto" w:fill="C0C0C0"/>
          </w:tcPr>
          <w:p w14:paraId="53174B50" w14:textId="77777777" w:rsidR="00A10B25" w:rsidRDefault="00A10B25">
            <w:pPr>
              <w:pStyle w:val="TAH"/>
              <w:ind w:left="400" w:hanging="400"/>
            </w:pPr>
            <w:r>
              <w:t>Cardinality</w:t>
            </w:r>
          </w:p>
        </w:tc>
        <w:tc>
          <w:tcPr>
            <w:tcW w:w="577" w:type="pct"/>
            <w:tcBorders>
              <w:bottom w:val="single" w:sz="6" w:space="0" w:color="auto"/>
            </w:tcBorders>
            <w:shd w:val="clear" w:color="auto" w:fill="C0C0C0"/>
          </w:tcPr>
          <w:p w14:paraId="3FB114B4" w14:textId="77777777" w:rsidR="00A10B25" w:rsidRDefault="00A10B25">
            <w:pPr>
              <w:pStyle w:val="TAH"/>
              <w:ind w:left="400" w:hanging="400"/>
            </w:pPr>
            <w:r>
              <w:t>Response</w:t>
            </w:r>
          </w:p>
          <w:p w14:paraId="077412AA" w14:textId="77777777" w:rsidR="00A10B25" w:rsidRDefault="00A10B25">
            <w:pPr>
              <w:pStyle w:val="TAH"/>
              <w:ind w:left="400" w:hanging="400"/>
            </w:pPr>
            <w:r>
              <w:t>codes</w:t>
            </w:r>
          </w:p>
        </w:tc>
        <w:tc>
          <w:tcPr>
            <w:tcW w:w="2708" w:type="pct"/>
            <w:tcBorders>
              <w:bottom w:val="single" w:sz="6" w:space="0" w:color="auto"/>
            </w:tcBorders>
            <w:shd w:val="clear" w:color="auto" w:fill="C0C0C0"/>
          </w:tcPr>
          <w:p w14:paraId="0AFCABFF" w14:textId="77777777" w:rsidR="00A10B25" w:rsidRDefault="00A10B25">
            <w:pPr>
              <w:pStyle w:val="TAH"/>
              <w:ind w:left="400" w:hanging="400"/>
            </w:pPr>
            <w:r>
              <w:t>Description</w:t>
            </w:r>
          </w:p>
        </w:tc>
      </w:tr>
      <w:tr w:rsidR="00A10B25" w14:paraId="7C0766EF" w14:textId="77777777">
        <w:trPr>
          <w:jc w:val="center"/>
        </w:trPr>
        <w:tc>
          <w:tcPr>
            <w:tcW w:w="848" w:type="pct"/>
            <w:tcBorders>
              <w:top w:val="single" w:sz="6" w:space="0" w:color="auto"/>
            </w:tcBorders>
          </w:tcPr>
          <w:p w14:paraId="4E09AB62" w14:textId="77777777" w:rsidR="00A10B25" w:rsidRDefault="00A10B25">
            <w:pPr>
              <w:pStyle w:val="TAL"/>
            </w:pPr>
            <w:r>
              <w:t>n/a</w:t>
            </w:r>
          </w:p>
        </w:tc>
        <w:tc>
          <w:tcPr>
            <w:tcW w:w="223" w:type="pct"/>
            <w:tcBorders>
              <w:top w:val="single" w:sz="6" w:space="0" w:color="auto"/>
            </w:tcBorders>
          </w:tcPr>
          <w:p w14:paraId="6400B15B" w14:textId="77777777" w:rsidR="00A10B25" w:rsidRDefault="00A10B25"/>
        </w:tc>
        <w:tc>
          <w:tcPr>
            <w:tcW w:w="643" w:type="pct"/>
            <w:tcBorders>
              <w:top w:val="single" w:sz="6" w:space="0" w:color="auto"/>
            </w:tcBorders>
          </w:tcPr>
          <w:p w14:paraId="09A0D956" w14:textId="77777777" w:rsidR="00A10B25" w:rsidRDefault="00A10B25">
            <w:pPr>
              <w:spacing w:after="0"/>
              <w:rPr>
                <w:lang w:val="en-US" w:eastAsia="zh-CN"/>
              </w:rPr>
            </w:pPr>
          </w:p>
        </w:tc>
        <w:tc>
          <w:tcPr>
            <w:tcW w:w="577" w:type="pct"/>
            <w:tcBorders>
              <w:top w:val="single" w:sz="6" w:space="0" w:color="auto"/>
            </w:tcBorders>
          </w:tcPr>
          <w:p w14:paraId="7ABE7395" w14:textId="77777777" w:rsidR="00A10B25" w:rsidRDefault="00A10B25">
            <w:pPr>
              <w:pStyle w:val="TAL"/>
            </w:pPr>
            <w:r>
              <w:t>204 No Content</w:t>
            </w:r>
          </w:p>
        </w:tc>
        <w:tc>
          <w:tcPr>
            <w:tcW w:w="2708" w:type="pct"/>
            <w:tcBorders>
              <w:top w:val="single" w:sz="6" w:space="0" w:color="auto"/>
            </w:tcBorders>
          </w:tcPr>
          <w:p w14:paraId="776515EF" w14:textId="77777777" w:rsidR="00A10B25" w:rsidRDefault="00A10B25">
            <w:pPr>
              <w:pStyle w:val="TAL"/>
            </w:pPr>
            <w:r>
              <w:t>Successful case: The Individual NWDAF ML model monitoring registration resource matching the registrationId was deleted.</w:t>
            </w:r>
          </w:p>
        </w:tc>
      </w:tr>
      <w:tr w:rsidR="00A10B25" w14:paraId="64CDF5D3" w14:textId="77777777">
        <w:trPr>
          <w:trHeight w:val="1086"/>
          <w:jc w:val="center"/>
        </w:trPr>
        <w:tc>
          <w:tcPr>
            <w:tcW w:w="848" w:type="pct"/>
          </w:tcPr>
          <w:p w14:paraId="4304DB6E" w14:textId="77777777" w:rsidR="00A10B25" w:rsidRDefault="00A10B25">
            <w:pPr>
              <w:pStyle w:val="TAL"/>
            </w:pPr>
            <w:r>
              <w:t>RedirectResponse</w:t>
            </w:r>
          </w:p>
        </w:tc>
        <w:tc>
          <w:tcPr>
            <w:tcW w:w="223" w:type="pct"/>
          </w:tcPr>
          <w:p w14:paraId="2C62E780" w14:textId="77777777" w:rsidR="00A10B25" w:rsidRDefault="00A10B25">
            <w:pPr>
              <w:pStyle w:val="TAC"/>
            </w:pPr>
            <w:r>
              <w:t>O</w:t>
            </w:r>
          </w:p>
        </w:tc>
        <w:tc>
          <w:tcPr>
            <w:tcW w:w="643" w:type="pct"/>
          </w:tcPr>
          <w:p w14:paraId="6957D97D" w14:textId="77777777" w:rsidR="00A10B25" w:rsidRDefault="00A10B25">
            <w:pPr>
              <w:pStyle w:val="TAC"/>
            </w:pPr>
            <w:r>
              <w:t>0..1</w:t>
            </w:r>
          </w:p>
        </w:tc>
        <w:tc>
          <w:tcPr>
            <w:tcW w:w="577" w:type="pct"/>
          </w:tcPr>
          <w:p w14:paraId="6A3F6EE4" w14:textId="77777777" w:rsidR="00A10B25" w:rsidRDefault="00A10B25">
            <w:pPr>
              <w:pStyle w:val="TAL"/>
            </w:pPr>
            <w:r>
              <w:t>307 Temporary Redirect</w:t>
            </w:r>
          </w:p>
        </w:tc>
        <w:tc>
          <w:tcPr>
            <w:tcW w:w="2708" w:type="pct"/>
          </w:tcPr>
          <w:p w14:paraId="1E8E22E8" w14:textId="77777777" w:rsidR="00A10B25" w:rsidRDefault="00A10B25">
            <w:pPr>
              <w:pStyle w:val="TAL"/>
            </w:pPr>
            <w:r>
              <w:t>Temporary redirection, during Individual ML model monitoring registration deletion.</w:t>
            </w:r>
          </w:p>
          <w:p w14:paraId="4DDDDE58" w14:textId="77777777" w:rsidR="00A10B25" w:rsidRDefault="00A10B25">
            <w:pPr>
              <w:pStyle w:val="TAL"/>
            </w:pPr>
          </w:p>
          <w:p w14:paraId="53A7BB6C" w14:textId="77777777" w:rsidR="00A10B25" w:rsidRDefault="00A10B25">
            <w:pPr>
              <w:pStyle w:val="TAL"/>
            </w:pPr>
            <w:r>
              <w:t>(NOTE 2)</w:t>
            </w:r>
          </w:p>
        </w:tc>
      </w:tr>
      <w:tr w:rsidR="00A10B25" w14:paraId="4D9BE297" w14:textId="77777777">
        <w:trPr>
          <w:jc w:val="center"/>
        </w:trPr>
        <w:tc>
          <w:tcPr>
            <w:tcW w:w="848" w:type="pct"/>
          </w:tcPr>
          <w:p w14:paraId="4C5C8674" w14:textId="77777777" w:rsidR="00A10B25" w:rsidRDefault="00A10B25">
            <w:pPr>
              <w:pStyle w:val="TAL"/>
            </w:pPr>
            <w:r>
              <w:t>RedirectResponse</w:t>
            </w:r>
          </w:p>
        </w:tc>
        <w:tc>
          <w:tcPr>
            <w:tcW w:w="223" w:type="pct"/>
          </w:tcPr>
          <w:p w14:paraId="149EF213" w14:textId="77777777" w:rsidR="00A10B25" w:rsidRDefault="00A10B25">
            <w:pPr>
              <w:pStyle w:val="TAC"/>
            </w:pPr>
            <w:r>
              <w:t>O</w:t>
            </w:r>
          </w:p>
        </w:tc>
        <w:tc>
          <w:tcPr>
            <w:tcW w:w="643" w:type="pct"/>
          </w:tcPr>
          <w:p w14:paraId="30B985E4" w14:textId="77777777" w:rsidR="00A10B25" w:rsidRDefault="00A10B25">
            <w:pPr>
              <w:pStyle w:val="TAC"/>
            </w:pPr>
            <w:r>
              <w:t>0..1</w:t>
            </w:r>
          </w:p>
        </w:tc>
        <w:tc>
          <w:tcPr>
            <w:tcW w:w="577" w:type="pct"/>
          </w:tcPr>
          <w:p w14:paraId="58523E23" w14:textId="77777777" w:rsidR="00A10B25" w:rsidRDefault="00A10B25">
            <w:pPr>
              <w:pStyle w:val="TAL"/>
            </w:pPr>
            <w:r>
              <w:t>308 Permanent Redirect</w:t>
            </w:r>
          </w:p>
        </w:tc>
        <w:tc>
          <w:tcPr>
            <w:tcW w:w="2708" w:type="pct"/>
          </w:tcPr>
          <w:p w14:paraId="6626BB66" w14:textId="77777777" w:rsidR="00A10B25" w:rsidRDefault="00A10B25">
            <w:pPr>
              <w:pStyle w:val="TAL"/>
            </w:pPr>
            <w:r>
              <w:t>Permanent redirection, during Individual ML model monitoring registration deletion.</w:t>
            </w:r>
          </w:p>
          <w:p w14:paraId="76F02D77" w14:textId="77777777" w:rsidR="00A10B25" w:rsidRDefault="00A10B25">
            <w:pPr>
              <w:pStyle w:val="TAL"/>
            </w:pPr>
          </w:p>
          <w:p w14:paraId="770D2045" w14:textId="77777777" w:rsidR="00A10B25" w:rsidRDefault="00A10B25">
            <w:pPr>
              <w:pStyle w:val="TAL"/>
            </w:pPr>
            <w:r>
              <w:t>(NOTE 2)</w:t>
            </w:r>
          </w:p>
        </w:tc>
      </w:tr>
      <w:tr w:rsidR="00A10B25" w14:paraId="1D45EA07" w14:textId="77777777">
        <w:trPr>
          <w:jc w:val="center"/>
        </w:trPr>
        <w:tc>
          <w:tcPr>
            <w:tcW w:w="5000" w:type="pct"/>
            <w:gridSpan w:val="5"/>
          </w:tcPr>
          <w:p w14:paraId="70508781" w14:textId="77777777" w:rsidR="00A10B25" w:rsidRDefault="00A10B25">
            <w:pPr>
              <w:pStyle w:val="TAN"/>
            </w:pPr>
            <w:r>
              <w:t>NOTE 1:</w:t>
            </w:r>
            <w:r>
              <w:tab/>
              <w:t>The mandatory HTTP error status codes for the DELETE method listed in table 5.2.7.1-1 of 3GPP TS 29.500 [6] also apply.</w:t>
            </w:r>
          </w:p>
          <w:p w14:paraId="5C6B5919" w14:textId="77777777" w:rsidR="00A10B25" w:rsidRDefault="00A10B25">
            <w:pPr>
              <w:pStyle w:val="TAN"/>
            </w:pPr>
            <w:r>
              <w:t>NOTE 2:</w:t>
            </w:r>
            <w:r>
              <w:tab/>
              <w:t>The RedirectResponse data structure may be provided by an SCP (cf. clause 6.10.9.1 of 3GPP TS 29.500 [6]).</w:t>
            </w:r>
          </w:p>
        </w:tc>
      </w:tr>
    </w:tbl>
    <w:p w14:paraId="1E2FCF22" w14:textId="77777777" w:rsidR="00A10B25" w:rsidRDefault="00A10B25">
      <w:pPr>
        <w:rPr>
          <w:lang w:val="en-US" w:eastAsia="zh-CN"/>
        </w:rPr>
      </w:pPr>
    </w:p>
    <w:p w14:paraId="2B2A14DC" w14:textId="77777777" w:rsidR="00A10B25" w:rsidRDefault="00A10B25">
      <w:pPr>
        <w:pStyle w:val="TH"/>
      </w:pPr>
      <w:r>
        <w:lastRenderedPageBreak/>
        <w:t>Table 5.6.3.3.3.1-4: Headers supported by the 307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FF1D85C" w14:textId="77777777">
        <w:trPr>
          <w:jc w:val="center"/>
        </w:trPr>
        <w:tc>
          <w:tcPr>
            <w:tcW w:w="825" w:type="pct"/>
            <w:tcBorders>
              <w:bottom w:val="single" w:sz="6" w:space="0" w:color="auto"/>
            </w:tcBorders>
            <w:shd w:val="clear" w:color="auto" w:fill="C0C0C0"/>
          </w:tcPr>
          <w:p w14:paraId="086EF6AB"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23F9C12F"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F74F15B" w14:textId="77777777" w:rsidR="00A10B25" w:rsidRDefault="00A10B25">
            <w:pPr>
              <w:pStyle w:val="TAH"/>
              <w:ind w:left="400" w:hanging="400"/>
            </w:pPr>
            <w:r>
              <w:t>P</w:t>
            </w:r>
          </w:p>
        </w:tc>
        <w:tc>
          <w:tcPr>
            <w:tcW w:w="581" w:type="pct"/>
            <w:tcBorders>
              <w:bottom w:val="single" w:sz="6" w:space="0" w:color="auto"/>
            </w:tcBorders>
            <w:shd w:val="clear" w:color="auto" w:fill="C0C0C0"/>
          </w:tcPr>
          <w:p w14:paraId="045BFC44"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57E965C3" w14:textId="77777777" w:rsidR="00A10B25" w:rsidRDefault="00A10B25">
            <w:pPr>
              <w:pStyle w:val="TAH"/>
              <w:ind w:left="400" w:hanging="400"/>
            </w:pPr>
            <w:r>
              <w:t>Description</w:t>
            </w:r>
          </w:p>
        </w:tc>
      </w:tr>
      <w:tr w:rsidR="00A10B25" w14:paraId="384367B4" w14:textId="77777777">
        <w:trPr>
          <w:jc w:val="center"/>
        </w:trPr>
        <w:tc>
          <w:tcPr>
            <w:tcW w:w="825" w:type="pct"/>
            <w:tcBorders>
              <w:top w:val="single" w:sz="6" w:space="0" w:color="auto"/>
            </w:tcBorders>
          </w:tcPr>
          <w:p w14:paraId="6C061830" w14:textId="77777777" w:rsidR="00A10B25" w:rsidRDefault="00A10B25">
            <w:pPr>
              <w:pStyle w:val="TAL"/>
            </w:pPr>
            <w:r>
              <w:t>Location</w:t>
            </w:r>
          </w:p>
        </w:tc>
        <w:tc>
          <w:tcPr>
            <w:tcW w:w="732" w:type="pct"/>
            <w:tcBorders>
              <w:top w:val="single" w:sz="6" w:space="0" w:color="auto"/>
            </w:tcBorders>
          </w:tcPr>
          <w:p w14:paraId="40DAD050" w14:textId="77777777" w:rsidR="00A10B25" w:rsidRDefault="00A10B25">
            <w:pPr>
              <w:pStyle w:val="TAL"/>
            </w:pPr>
            <w:r>
              <w:t>string</w:t>
            </w:r>
          </w:p>
        </w:tc>
        <w:tc>
          <w:tcPr>
            <w:tcW w:w="217" w:type="pct"/>
            <w:tcBorders>
              <w:top w:val="single" w:sz="6" w:space="0" w:color="auto"/>
            </w:tcBorders>
          </w:tcPr>
          <w:p w14:paraId="2576760A" w14:textId="77777777" w:rsidR="00A10B25" w:rsidRDefault="00A10B25">
            <w:pPr>
              <w:pStyle w:val="TAC"/>
            </w:pPr>
            <w:r>
              <w:t>M</w:t>
            </w:r>
          </w:p>
        </w:tc>
        <w:tc>
          <w:tcPr>
            <w:tcW w:w="581" w:type="pct"/>
            <w:tcBorders>
              <w:top w:val="single" w:sz="6" w:space="0" w:color="auto"/>
            </w:tcBorders>
          </w:tcPr>
          <w:p w14:paraId="4C9B2377" w14:textId="77777777" w:rsidR="00A10B25" w:rsidRDefault="00A10B25">
            <w:pPr>
              <w:pStyle w:val="TAL"/>
            </w:pPr>
            <w:r>
              <w:t>1</w:t>
            </w:r>
          </w:p>
        </w:tc>
        <w:tc>
          <w:tcPr>
            <w:tcW w:w="2645" w:type="pct"/>
            <w:tcBorders>
              <w:top w:val="single" w:sz="6" w:space="0" w:color="auto"/>
            </w:tcBorders>
            <w:vAlign w:val="center"/>
          </w:tcPr>
          <w:p w14:paraId="76AC7128"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507DFF12" w14:textId="77777777" w:rsidR="00A10B25" w:rsidRDefault="00A10B25">
            <w:pPr>
              <w:pStyle w:val="TAL"/>
            </w:pPr>
          </w:p>
          <w:p w14:paraId="0CAF32FA" w14:textId="77777777" w:rsidR="00A10B25" w:rsidRDefault="00A10B25">
            <w:pPr>
              <w:pStyle w:val="TAL"/>
            </w:pPr>
            <w:r>
              <w:t>For the case where the request is redirected to the same target via a different SCP, refer to clause 6.10.9.1 of 3GPP TS 29.500 [6].</w:t>
            </w:r>
          </w:p>
        </w:tc>
      </w:tr>
      <w:tr w:rsidR="00A10B25" w14:paraId="405E6BAC" w14:textId="77777777">
        <w:trPr>
          <w:jc w:val="center"/>
        </w:trPr>
        <w:tc>
          <w:tcPr>
            <w:tcW w:w="825" w:type="pct"/>
          </w:tcPr>
          <w:p w14:paraId="0CEE37CA" w14:textId="77777777" w:rsidR="00A10B25" w:rsidRDefault="00A10B25">
            <w:pPr>
              <w:pStyle w:val="TAL"/>
            </w:pPr>
            <w:r>
              <w:rPr>
                <w:lang w:eastAsia="zh-CN"/>
              </w:rPr>
              <w:t>3gpp-Sbi-Target-Nf-Id</w:t>
            </w:r>
          </w:p>
        </w:tc>
        <w:tc>
          <w:tcPr>
            <w:tcW w:w="732" w:type="pct"/>
          </w:tcPr>
          <w:p w14:paraId="29DEFA3B" w14:textId="77777777" w:rsidR="00A10B25" w:rsidRDefault="00A10B25">
            <w:pPr>
              <w:pStyle w:val="TAL"/>
            </w:pPr>
            <w:r>
              <w:rPr>
                <w:lang w:eastAsia="fr-FR"/>
              </w:rPr>
              <w:t>string</w:t>
            </w:r>
          </w:p>
        </w:tc>
        <w:tc>
          <w:tcPr>
            <w:tcW w:w="217" w:type="pct"/>
          </w:tcPr>
          <w:p w14:paraId="6A326599" w14:textId="77777777" w:rsidR="00A10B25" w:rsidRDefault="00A10B25">
            <w:pPr>
              <w:pStyle w:val="TAC"/>
            </w:pPr>
            <w:r>
              <w:rPr>
                <w:lang w:eastAsia="fr-FR"/>
              </w:rPr>
              <w:t>O</w:t>
            </w:r>
          </w:p>
        </w:tc>
        <w:tc>
          <w:tcPr>
            <w:tcW w:w="581" w:type="pct"/>
          </w:tcPr>
          <w:p w14:paraId="2A709951" w14:textId="77777777" w:rsidR="00A10B25" w:rsidRDefault="00A10B25">
            <w:pPr>
              <w:pStyle w:val="TAL"/>
            </w:pPr>
            <w:r>
              <w:rPr>
                <w:lang w:eastAsia="fr-FR"/>
              </w:rPr>
              <w:t>0..1</w:t>
            </w:r>
          </w:p>
        </w:tc>
        <w:tc>
          <w:tcPr>
            <w:tcW w:w="2645" w:type="pct"/>
            <w:vAlign w:val="center"/>
          </w:tcPr>
          <w:p w14:paraId="3CB68022" w14:textId="77777777" w:rsidR="00A10B25" w:rsidRDefault="00A10B25">
            <w:pPr>
              <w:pStyle w:val="TAL"/>
            </w:pPr>
            <w:r>
              <w:rPr>
                <w:lang w:eastAsia="fr-FR"/>
              </w:rPr>
              <w:t>Identifier of the target NWDAF (service) instance towards which the request is redirected.</w:t>
            </w:r>
          </w:p>
        </w:tc>
      </w:tr>
    </w:tbl>
    <w:p w14:paraId="01557EBA" w14:textId="77777777" w:rsidR="00A10B25" w:rsidRDefault="00A10B25"/>
    <w:p w14:paraId="47EB65DC" w14:textId="77777777" w:rsidR="00A10B25" w:rsidRDefault="00A10B25">
      <w:pPr>
        <w:pStyle w:val="TH"/>
      </w:pPr>
      <w:r>
        <w:t>Table 5.6.3.3.3.1-5: Headers supported by the 308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A618C49" w14:textId="77777777">
        <w:trPr>
          <w:jc w:val="center"/>
        </w:trPr>
        <w:tc>
          <w:tcPr>
            <w:tcW w:w="825" w:type="pct"/>
            <w:tcBorders>
              <w:bottom w:val="single" w:sz="6" w:space="0" w:color="auto"/>
            </w:tcBorders>
            <w:shd w:val="clear" w:color="auto" w:fill="C0C0C0"/>
          </w:tcPr>
          <w:p w14:paraId="2CAF7CEB"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63581A10"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45ECB7B8" w14:textId="77777777" w:rsidR="00A10B25" w:rsidRDefault="00A10B25">
            <w:pPr>
              <w:pStyle w:val="TAH"/>
              <w:ind w:left="400" w:hanging="400"/>
            </w:pPr>
            <w:r>
              <w:t>P</w:t>
            </w:r>
          </w:p>
        </w:tc>
        <w:tc>
          <w:tcPr>
            <w:tcW w:w="581" w:type="pct"/>
            <w:tcBorders>
              <w:bottom w:val="single" w:sz="6" w:space="0" w:color="auto"/>
            </w:tcBorders>
            <w:shd w:val="clear" w:color="auto" w:fill="C0C0C0"/>
          </w:tcPr>
          <w:p w14:paraId="2550FADE"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2EB4D524" w14:textId="77777777" w:rsidR="00A10B25" w:rsidRDefault="00A10B25">
            <w:pPr>
              <w:pStyle w:val="TAH"/>
              <w:ind w:left="400" w:hanging="400"/>
            </w:pPr>
            <w:r>
              <w:t>Description</w:t>
            </w:r>
          </w:p>
        </w:tc>
      </w:tr>
      <w:tr w:rsidR="00A10B25" w14:paraId="3CCCF2B5" w14:textId="77777777">
        <w:trPr>
          <w:jc w:val="center"/>
        </w:trPr>
        <w:tc>
          <w:tcPr>
            <w:tcW w:w="825" w:type="pct"/>
            <w:tcBorders>
              <w:top w:val="single" w:sz="6" w:space="0" w:color="auto"/>
            </w:tcBorders>
          </w:tcPr>
          <w:p w14:paraId="3B4FADED" w14:textId="77777777" w:rsidR="00A10B25" w:rsidRDefault="00A10B25">
            <w:pPr>
              <w:pStyle w:val="TAL"/>
            </w:pPr>
            <w:r>
              <w:t>Location</w:t>
            </w:r>
          </w:p>
        </w:tc>
        <w:tc>
          <w:tcPr>
            <w:tcW w:w="732" w:type="pct"/>
            <w:tcBorders>
              <w:top w:val="single" w:sz="6" w:space="0" w:color="auto"/>
            </w:tcBorders>
          </w:tcPr>
          <w:p w14:paraId="7AD03C07" w14:textId="77777777" w:rsidR="00A10B25" w:rsidRDefault="00A10B25">
            <w:pPr>
              <w:pStyle w:val="TAL"/>
            </w:pPr>
            <w:r>
              <w:t>string</w:t>
            </w:r>
          </w:p>
        </w:tc>
        <w:tc>
          <w:tcPr>
            <w:tcW w:w="217" w:type="pct"/>
            <w:tcBorders>
              <w:top w:val="single" w:sz="6" w:space="0" w:color="auto"/>
            </w:tcBorders>
          </w:tcPr>
          <w:p w14:paraId="219BDE11" w14:textId="77777777" w:rsidR="00A10B25" w:rsidRDefault="00A10B25">
            <w:pPr>
              <w:pStyle w:val="TAC"/>
            </w:pPr>
            <w:r>
              <w:t>M</w:t>
            </w:r>
          </w:p>
        </w:tc>
        <w:tc>
          <w:tcPr>
            <w:tcW w:w="581" w:type="pct"/>
            <w:tcBorders>
              <w:top w:val="single" w:sz="6" w:space="0" w:color="auto"/>
            </w:tcBorders>
          </w:tcPr>
          <w:p w14:paraId="73A30006" w14:textId="77777777" w:rsidR="00A10B25" w:rsidRDefault="00A10B25">
            <w:pPr>
              <w:pStyle w:val="TAL"/>
            </w:pPr>
            <w:r>
              <w:t>1</w:t>
            </w:r>
          </w:p>
        </w:tc>
        <w:tc>
          <w:tcPr>
            <w:tcW w:w="2645" w:type="pct"/>
            <w:tcBorders>
              <w:top w:val="single" w:sz="6" w:space="0" w:color="auto"/>
            </w:tcBorders>
            <w:vAlign w:val="center"/>
          </w:tcPr>
          <w:p w14:paraId="4F44DBD1"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1FB1C1A9" w14:textId="77777777" w:rsidR="00A10B25" w:rsidRDefault="00A10B25">
            <w:pPr>
              <w:pStyle w:val="TAL"/>
            </w:pPr>
          </w:p>
          <w:p w14:paraId="015F36FB" w14:textId="77777777" w:rsidR="00A10B25" w:rsidRDefault="00A10B25">
            <w:pPr>
              <w:pStyle w:val="TAL"/>
            </w:pPr>
            <w:r>
              <w:t>For the case where the request is redirected to the same target via a different SCP, refer to clause 6.10.9.1 of 3GPP TS 29.500 [6].</w:t>
            </w:r>
          </w:p>
        </w:tc>
      </w:tr>
      <w:tr w:rsidR="00A10B25" w14:paraId="2257304F" w14:textId="77777777">
        <w:trPr>
          <w:jc w:val="center"/>
        </w:trPr>
        <w:tc>
          <w:tcPr>
            <w:tcW w:w="825" w:type="pct"/>
          </w:tcPr>
          <w:p w14:paraId="1D87D416" w14:textId="77777777" w:rsidR="00A10B25" w:rsidRDefault="00A10B25">
            <w:pPr>
              <w:pStyle w:val="TAL"/>
            </w:pPr>
            <w:r>
              <w:rPr>
                <w:lang w:eastAsia="zh-CN"/>
              </w:rPr>
              <w:t>3gpp-Sbi-Target-Nf-Id</w:t>
            </w:r>
          </w:p>
        </w:tc>
        <w:tc>
          <w:tcPr>
            <w:tcW w:w="732" w:type="pct"/>
          </w:tcPr>
          <w:p w14:paraId="7EE0161F" w14:textId="77777777" w:rsidR="00A10B25" w:rsidRDefault="00A10B25">
            <w:pPr>
              <w:pStyle w:val="TAL"/>
            </w:pPr>
            <w:r>
              <w:rPr>
                <w:lang w:eastAsia="fr-FR"/>
              </w:rPr>
              <w:t>string</w:t>
            </w:r>
          </w:p>
        </w:tc>
        <w:tc>
          <w:tcPr>
            <w:tcW w:w="217" w:type="pct"/>
          </w:tcPr>
          <w:p w14:paraId="75BDA40F" w14:textId="77777777" w:rsidR="00A10B25" w:rsidRDefault="00A10B25">
            <w:pPr>
              <w:pStyle w:val="TAC"/>
            </w:pPr>
            <w:r>
              <w:rPr>
                <w:lang w:eastAsia="fr-FR"/>
              </w:rPr>
              <w:t>O</w:t>
            </w:r>
          </w:p>
        </w:tc>
        <w:tc>
          <w:tcPr>
            <w:tcW w:w="581" w:type="pct"/>
          </w:tcPr>
          <w:p w14:paraId="074BDCF2" w14:textId="77777777" w:rsidR="00A10B25" w:rsidRDefault="00A10B25">
            <w:pPr>
              <w:pStyle w:val="TAL"/>
            </w:pPr>
            <w:r>
              <w:rPr>
                <w:lang w:eastAsia="fr-FR"/>
              </w:rPr>
              <w:t>0..1</w:t>
            </w:r>
          </w:p>
        </w:tc>
        <w:tc>
          <w:tcPr>
            <w:tcW w:w="2645" w:type="pct"/>
            <w:vAlign w:val="center"/>
          </w:tcPr>
          <w:p w14:paraId="0467EF62" w14:textId="77777777" w:rsidR="00A10B25" w:rsidRDefault="00A10B25">
            <w:pPr>
              <w:pStyle w:val="TAL"/>
            </w:pPr>
            <w:r>
              <w:rPr>
                <w:lang w:eastAsia="fr-FR"/>
              </w:rPr>
              <w:t>Identifier of the target NWDAF (service) instance towards which the request is redirected.</w:t>
            </w:r>
          </w:p>
        </w:tc>
      </w:tr>
    </w:tbl>
    <w:p w14:paraId="05E518E6" w14:textId="77777777" w:rsidR="00A10B25" w:rsidRDefault="00A10B25">
      <w:pPr>
        <w:rPr>
          <w:rFonts w:eastAsia="MS Mincho"/>
          <w:lang w:eastAsia="ja-JP"/>
        </w:rPr>
      </w:pPr>
    </w:p>
    <w:p w14:paraId="40F8ECFF" w14:textId="77777777" w:rsidR="00A10B25" w:rsidRDefault="00A10B25">
      <w:pPr>
        <w:pStyle w:val="5"/>
      </w:pPr>
      <w:bookmarkStart w:id="15398" w:name="_Toc148522985"/>
      <w:bookmarkStart w:id="15399" w:name="_Toc164921174"/>
      <w:bookmarkStart w:id="15400" w:name="_Toc170120716"/>
      <w:bookmarkStart w:id="15401" w:name="_Toc175858961"/>
      <w:bookmarkStart w:id="15402" w:name="_Toc175860034"/>
      <w:bookmarkStart w:id="15403" w:name="_Toc180606324"/>
      <w:bookmarkStart w:id="15404" w:name="_Toc185517585"/>
      <w:bookmarkStart w:id="15405" w:name="_Toc191576637"/>
      <w:bookmarkStart w:id="15406" w:name="_Toc191577377"/>
      <w:bookmarkStart w:id="15407" w:name="_Toc192880447"/>
      <w:bookmarkStart w:id="15408" w:name="_Toc195815336"/>
      <w:bookmarkStart w:id="15409" w:name="_Toc199453303"/>
      <w:r>
        <w:t>5.6.3.3.4</w:t>
      </w:r>
      <w:r>
        <w:tab/>
        <w:t>Resource Custom Operations</w:t>
      </w:r>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28A8CA61" w14:textId="77777777" w:rsidR="00A10B25" w:rsidRDefault="00A10B25">
      <w:r>
        <w:t>None in this release of the specification.</w:t>
      </w:r>
    </w:p>
    <w:p w14:paraId="6E68B99C" w14:textId="77777777" w:rsidR="00A10B25" w:rsidRDefault="00A10B25">
      <w:pPr>
        <w:pStyle w:val="4"/>
      </w:pPr>
      <w:bookmarkStart w:id="15410" w:name="_Toc148522986"/>
      <w:bookmarkStart w:id="15411" w:name="_Toc164921175"/>
      <w:bookmarkStart w:id="15412" w:name="_Toc170120717"/>
      <w:bookmarkStart w:id="15413" w:name="_Toc175858962"/>
      <w:bookmarkStart w:id="15414" w:name="_Toc175860035"/>
      <w:bookmarkStart w:id="15415" w:name="_Toc180606325"/>
      <w:bookmarkStart w:id="15416" w:name="_Toc185517586"/>
      <w:bookmarkStart w:id="15417" w:name="_Toc191576638"/>
      <w:bookmarkStart w:id="15418" w:name="_Toc191577378"/>
      <w:bookmarkStart w:id="15419" w:name="_Toc192880448"/>
      <w:bookmarkStart w:id="15420" w:name="_Toc195815337"/>
      <w:bookmarkStart w:id="15421" w:name="_Toc199453304"/>
      <w:r>
        <w:t>5.6.3.4</w:t>
      </w:r>
      <w:r>
        <w:tab/>
        <w:t>Resource: NWDAF ML model monitoring Subscriptions</w:t>
      </w:r>
      <w:bookmarkEnd w:id="15410"/>
      <w:bookmarkEnd w:id="15411"/>
      <w:bookmarkEnd w:id="15412"/>
      <w:bookmarkEnd w:id="15413"/>
      <w:bookmarkEnd w:id="15414"/>
      <w:bookmarkEnd w:id="15415"/>
      <w:bookmarkEnd w:id="15416"/>
      <w:bookmarkEnd w:id="15417"/>
      <w:bookmarkEnd w:id="15418"/>
      <w:bookmarkEnd w:id="15419"/>
      <w:bookmarkEnd w:id="15420"/>
      <w:bookmarkEnd w:id="15421"/>
    </w:p>
    <w:p w14:paraId="42A595B9" w14:textId="77777777" w:rsidR="00A10B25" w:rsidRDefault="00A10B25">
      <w:pPr>
        <w:pStyle w:val="5"/>
      </w:pPr>
      <w:bookmarkStart w:id="15422" w:name="_Toc148522987"/>
      <w:bookmarkStart w:id="15423" w:name="_Toc164921176"/>
      <w:bookmarkStart w:id="15424" w:name="_Toc170120718"/>
      <w:bookmarkStart w:id="15425" w:name="_Toc175858963"/>
      <w:bookmarkStart w:id="15426" w:name="_Toc175860036"/>
      <w:bookmarkStart w:id="15427" w:name="_Toc180606326"/>
      <w:bookmarkStart w:id="15428" w:name="_Toc185517587"/>
      <w:bookmarkStart w:id="15429" w:name="_Toc191576639"/>
      <w:bookmarkStart w:id="15430" w:name="_Toc191577379"/>
      <w:bookmarkStart w:id="15431" w:name="_Toc192880449"/>
      <w:bookmarkStart w:id="15432" w:name="_Toc195815338"/>
      <w:bookmarkStart w:id="15433" w:name="_Toc199453305"/>
      <w:r>
        <w:t>5.6.3.4.1</w:t>
      </w:r>
      <w:r>
        <w:tab/>
        <w:t>Description</w:t>
      </w:r>
      <w:bookmarkEnd w:id="15422"/>
      <w:bookmarkEnd w:id="15423"/>
      <w:bookmarkEnd w:id="15424"/>
      <w:bookmarkEnd w:id="15425"/>
      <w:bookmarkEnd w:id="15426"/>
      <w:bookmarkEnd w:id="15427"/>
      <w:bookmarkEnd w:id="15428"/>
      <w:bookmarkEnd w:id="15429"/>
      <w:bookmarkEnd w:id="15430"/>
      <w:bookmarkEnd w:id="15431"/>
      <w:bookmarkEnd w:id="15432"/>
      <w:bookmarkEnd w:id="15433"/>
    </w:p>
    <w:p w14:paraId="656DC461" w14:textId="77777777" w:rsidR="00A10B25" w:rsidRDefault="00A10B25">
      <w:r>
        <w:t>The NWDAF ML model monitoring Subscriptions resource represents all subscriptions to the Nnwdaf_MLModelMonitor Service at a given NWDAF containing AnLF. The resource allows an NF service consumer to create a new Individual NWDAF ML model monitoring subscription resource.</w:t>
      </w:r>
    </w:p>
    <w:p w14:paraId="3F13A5D7" w14:textId="77777777" w:rsidR="00A10B25" w:rsidRDefault="00A10B25">
      <w:pPr>
        <w:pStyle w:val="5"/>
      </w:pPr>
      <w:bookmarkStart w:id="15434" w:name="_Toc148522988"/>
      <w:bookmarkStart w:id="15435" w:name="_Toc164921177"/>
      <w:bookmarkStart w:id="15436" w:name="_Toc170120719"/>
      <w:bookmarkStart w:id="15437" w:name="_Toc175858964"/>
      <w:bookmarkStart w:id="15438" w:name="_Toc175860037"/>
      <w:bookmarkStart w:id="15439" w:name="_Toc180606327"/>
      <w:bookmarkStart w:id="15440" w:name="_Toc185517588"/>
      <w:bookmarkStart w:id="15441" w:name="_Toc191576640"/>
      <w:bookmarkStart w:id="15442" w:name="_Toc191577380"/>
      <w:bookmarkStart w:id="15443" w:name="_Toc192880450"/>
      <w:bookmarkStart w:id="15444" w:name="_Toc195815339"/>
      <w:bookmarkStart w:id="15445" w:name="_Toc199453306"/>
      <w:r>
        <w:t>5.6.3.4.2</w:t>
      </w:r>
      <w:r>
        <w:tab/>
        <w:t>Resource Definition</w:t>
      </w:r>
      <w:bookmarkEnd w:id="15434"/>
      <w:bookmarkEnd w:id="15435"/>
      <w:bookmarkEnd w:id="15436"/>
      <w:bookmarkEnd w:id="15437"/>
      <w:bookmarkEnd w:id="15438"/>
      <w:bookmarkEnd w:id="15439"/>
      <w:bookmarkEnd w:id="15440"/>
      <w:bookmarkEnd w:id="15441"/>
      <w:bookmarkEnd w:id="15442"/>
      <w:bookmarkEnd w:id="15443"/>
      <w:bookmarkEnd w:id="15444"/>
      <w:bookmarkEnd w:id="15445"/>
    </w:p>
    <w:p w14:paraId="6FCDF275" w14:textId="77777777" w:rsidR="00A10B25" w:rsidRDefault="00A10B25">
      <w:r>
        <w:t xml:space="preserve">Resource URI: </w:t>
      </w:r>
      <w:r>
        <w:rPr>
          <w:b/>
        </w:rPr>
        <w:t>{apiRoot}/nnwdaf-mlmodelmonitor/&lt;apiVersion&gt;/subscriptions</w:t>
      </w:r>
    </w:p>
    <w:p w14:paraId="4ADB6C0A" w14:textId="77777777" w:rsidR="00A10B25" w:rsidRDefault="00A10B25">
      <w:pPr>
        <w:rPr>
          <w:lang w:val="en-US"/>
        </w:rPr>
      </w:pPr>
      <w:r>
        <w:rPr>
          <w:lang w:val="en-US" w:eastAsia="zh-CN"/>
        </w:rPr>
        <w:t>The &lt;apiVersion&gt; shall be set as described in clause 5.6.1.</w:t>
      </w:r>
    </w:p>
    <w:p w14:paraId="5ECC8716" w14:textId="77777777" w:rsidR="00A10B25" w:rsidRDefault="00A10B25">
      <w:pPr>
        <w:rPr>
          <w:rFonts w:ascii="Arial" w:hAnsi="Arial" w:cs="Arial"/>
        </w:rPr>
      </w:pPr>
      <w:r>
        <w:t>This resource shall support the resource URI variables defined in table 5.6.3.4.2-1</w:t>
      </w:r>
      <w:r>
        <w:rPr>
          <w:rFonts w:ascii="Arial" w:hAnsi="Arial" w:cs="Arial"/>
        </w:rPr>
        <w:t>.</w:t>
      </w:r>
    </w:p>
    <w:p w14:paraId="67672D75" w14:textId="77777777" w:rsidR="00A10B25" w:rsidRDefault="00A10B25">
      <w:pPr>
        <w:pStyle w:val="TH"/>
        <w:overflowPunct w:val="0"/>
        <w:autoSpaceDE w:val="0"/>
        <w:autoSpaceDN w:val="0"/>
        <w:adjustRightInd w:val="0"/>
        <w:textAlignment w:val="baseline"/>
        <w:rPr>
          <w:rFonts w:eastAsia="MS Mincho"/>
        </w:rPr>
      </w:pPr>
      <w:r>
        <w:rPr>
          <w:rFonts w:eastAsia="MS Mincho"/>
        </w:rPr>
        <w:t>Table 5.6.3.4.2-1: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631303FC" w14:textId="77777777">
        <w:trPr>
          <w:jc w:val="center"/>
        </w:trPr>
        <w:tc>
          <w:tcPr>
            <w:tcW w:w="559" w:type="pct"/>
            <w:shd w:val="clear" w:color="000000" w:fill="C0C0C0"/>
          </w:tcPr>
          <w:p w14:paraId="7C47D2DE" w14:textId="77777777" w:rsidR="00A10B25" w:rsidRDefault="00A10B25">
            <w:pPr>
              <w:pStyle w:val="TAH"/>
              <w:ind w:left="400" w:hanging="400"/>
            </w:pPr>
            <w:r>
              <w:t>Name</w:t>
            </w:r>
          </w:p>
        </w:tc>
        <w:tc>
          <w:tcPr>
            <w:tcW w:w="636" w:type="pct"/>
            <w:shd w:val="clear" w:color="000000" w:fill="C0C0C0"/>
          </w:tcPr>
          <w:p w14:paraId="6A718808" w14:textId="77777777" w:rsidR="00A10B25" w:rsidRDefault="00A10B25">
            <w:pPr>
              <w:pStyle w:val="TAH"/>
              <w:ind w:left="400" w:hanging="400"/>
            </w:pPr>
            <w:r>
              <w:rPr>
                <w:lang w:eastAsia="zh-CN"/>
              </w:rPr>
              <w:t>Data type</w:t>
            </w:r>
          </w:p>
        </w:tc>
        <w:tc>
          <w:tcPr>
            <w:tcW w:w="3805" w:type="pct"/>
            <w:shd w:val="clear" w:color="000000" w:fill="C0C0C0"/>
            <w:vAlign w:val="center"/>
          </w:tcPr>
          <w:p w14:paraId="207C7EA3" w14:textId="77777777" w:rsidR="00A10B25" w:rsidRDefault="00A10B25">
            <w:pPr>
              <w:pStyle w:val="TAH"/>
              <w:ind w:left="400" w:hanging="400"/>
            </w:pPr>
            <w:r>
              <w:t>Definition</w:t>
            </w:r>
          </w:p>
        </w:tc>
      </w:tr>
      <w:tr w:rsidR="00A10B25" w14:paraId="03DCCD7C" w14:textId="77777777">
        <w:trPr>
          <w:jc w:val="center"/>
        </w:trPr>
        <w:tc>
          <w:tcPr>
            <w:tcW w:w="559" w:type="pct"/>
          </w:tcPr>
          <w:p w14:paraId="6B8CD367" w14:textId="77777777" w:rsidR="00A10B25" w:rsidRDefault="00A10B25">
            <w:pPr>
              <w:pStyle w:val="TAL"/>
            </w:pPr>
            <w:r>
              <w:t>apiRoot</w:t>
            </w:r>
          </w:p>
        </w:tc>
        <w:tc>
          <w:tcPr>
            <w:tcW w:w="636" w:type="pct"/>
          </w:tcPr>
          <w:p w14:paraId="14971619" w14:textId="77777777" w:rsidR="00A10B25" w:rsidRDefault="00A10B25">
            <w:pPr>
              <w:pStyle w:val="TAL"/>
            </w:pPr>
            <w:r>
              <w:t>string</w:t>
            </w:r>
          </w:p>
        </w:tc>
        <w:tc>
          <w:tcPr>
            <w:tcW w:w="3805" w:type="pct"/>
            <w:vAlign w:val="center"/>
          </w:tcPr>
          <w:p w14:paraId="03378458" w14:textId="77777777" w:rsidR="00A10B25" w:rsidRDefault="00A10B25">
            <w:pPr>
              <w:pStyle w:val="TAL"/>
            </w:pPr>
            <w:r>
              <w:t>See clause</w:t>
            </w:r>
            <w:r>
              <w:rPr>
                <w:lang w:val="en-US" w:eastAsia="zh-CN"/>
              </w:rPr>
              <w:t> </w:t>
            </w:r>
            <w:r>
              <w:t>5.6.1</w:t>
            </w:r>
          </w:p>
        </w:tc>
      </w:tr>
    </w:tbl>
    <w:p w14:paraId="48C3B34A" w14:textId="77777777" w:rsidR="00A10B25" w:rsidRDefault="00A10B25"/>
    <w:p w14:paraId="16C1F2EB" w14:textId="77777777" w:rsidR="00A10B25" w:rsidRDefault="00A10B25">
      <w:pPr>
        <w:pStyle w:val="5"/>
      </w:pPr>
      <w:bookmarkStart w:id="15446" w:name="_Toc148522989"/>
      <w:bookmarkStart w:id="15447" w:name="_Toc164921178"/>
      <w:bookmarkStart w:id="15448" w:name="_Toc170120720"/>
      <w:bookmarkStart w:id="15449" w:name="_Toc175858965"/>
      <w:bookmarkStart w:id="15450" w:name="_Toc175860038"/>
      <w:bookmarkStart w:id="15451" w:name="_Toc180606328"/>
      <w:bookmarkStart w:id="15452" w:name="_Toc185517589"/>
      <w:bookmarkStart w:id="15453" w:name="_Toc191576641"/>
      <w:bookmarkStart w:id="15454" w:name="_Toc191577381"/>
      <w:bookmarkStart w:id="15455" w:name="_Toc192880451"/>
      <w:bookmarkStart w:id="15456" w:name="_Toc195815340"/>
      <w:bookmarkStart w:id="15457" w:name="_Toc199453307"/>
      <w:r>
        <w:t>5.6.3.4.3</w:t>
      </w:r>
      <w:r>
        <w:tab/>
        <w:t>Resource Standard Methods</w:t>
      </w:r>
      <w:bookmarkEnd w:id="15446"/>
      <w:bookmarkEnd w:id="15447"/>
      <w:bookmarkEnd w:id="15448"/>
      <w:bookmarkEnd w:id="15449"/>
      <w:bookmarkEnd w:id="15450"/>
      <w:bookmarkEnd w:id="15451"/>
      <w:bookmarkEnd w:id="15452"/>
      <w:bookmarkEnd w:id="15453"/>
      <w:bookmarkEnd w:id="15454"/>
      <w:bookmarkEnd w:id="15455"/>
      <w:bookmarkEnd w:id="15456"/>
      <w:bookmarkEnd w:id="15457"/>
    </w:p>
    <w:p w14:paraId="2990F225" w14:textId="77777777" w:rsidR="00A10B25" w:rsidRDefault="00A10B25">
      <w:pPr>
        <w:pStyle w:val="6"/>
      </w:pPr>
      <w:bookmarkStart w:id="15458" w:name="_Toc148522990"/>
      <w:bookmarkStart w:id="15459" w:name="_Toc164921179"/>
      <w:bookmarkStart w:id="15460" w:name="_Toc170120721"/>
      <w:bookmarkStart w:id="15461" w:name="_Toc175858966"/>
      <w:bookmarkStart w:id="15462" w:name="_Toc175860039"/>
      <w:bookmarkStart w:id="15463" w:name="_Toc180606329"/>
      <w:bookmarkStart w:id="15464" w:name="_Toc185517590"/>
      <w:bookmarkStart w:id="15465" w:name="_Toc191576642"/>
      <w:bookmarkStart w:id="15466" w:name="_Toc191577382"/>
      <w:bookmarkStart w:id="15467" w:name="_Toc192880452"/>
      <w:bookmarkStart w:id="15468" w:name="_Toc195815341"/>
      <w:bookmarkStart w:id="15469" w:name="_Toc199453308"/>
      <w:r>
        <w:t>5.6.3.4.3.1</w:t>
      </w:r>
      <w:r>
        <w:tab/>
        <w:t>POST</w:t>
      </w:r>
      <w:bookmarkEnd w:id="15458"/>
      <w:bookmarkEnd w:id="15459"/>
      <w:bookmarkEnd w:id="15460"/>
      <w:bookmarkEnd w:id="15461"/>
      <w:bookmarkEnd w:id="15462"/>
      <w:bookmarkEnd w:id="15463"/>
      <w:bookmarkEnd w:id="15464"/>
      <w:bookmarkEnd w:id="15465"/>
      <w:bookmarkEnd w:id="15466"/>
      <w:bookmarkEnd w:id="15467"/>
      <w:bookmarkEnd w:id="15468"/>
      <w:bookmarkEnd w:id="15469"/>
    </w:p>
    <w:p w14:paraId="38A647F0" w14:textId="77777777" w:rsidR="00A10B25" w:rsidRDefault="00A10B25">
      <w:r>
        <w:t>This method shall support the URI query parameters specified in table 5.6.3.4.3.1-1.</w:t>
      </w:r>
    </w:p>
    <w:p w14:paraId="5E229B80"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5.6.3.4.3.1-1: URI query parameters supported by the POST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8A45441" w14:textId="77777777">
        <w:trPr>
          <w:jc w:val="center"/>
        </w:trPr>
        <w:tc>
          <w:tcPr>
            <w:tcW w:w="825" w:type="pct"/>
            <w:tcBorders>
              <w:bottom w:val="single" w:sz="6" w:space="0" w:color="auto"/>
            </w:tcBorders>
            <w:shd w:val="clear" w:color="auto" w:fill="C0C0C0"/>
          </w:tcPr>
          <w:p w14:paraId="70B46B1E"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47E5422"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0D6E8E79" w14:textId="77777777" w:rsidR="00A10B25" w:rsidRDefault="00A10B25">
            <w:pPr>
              <w:pStyle w:val="TAH"/>
              <w:ind w:left="400" w:hanging="400"/>
            </w:pPr>
            <w:r>
              <w:t>P</w:t>
            </w:r>
          </w:p>
        </w:tc>
        <w:tc>
          <w:tcPr>
            <w:tcW w:w="581" w:type="pct"/>
            <w:tcBorders>
              <w:bottom w:val="single" w:sz="6" w:space="0" w:color="auto"/>
            </w:tcBorders>
            <w:shd w:val="clear" w:color="auto" w:fill="C0C0C0"/>
          </w:tcPr>
          <w:p w14:paraId="655C5D92"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237E8AEC" w14:textId="77777777" w:rsidR="00A10B25" w:rsidRDefault="00A10B25">
            <w:pPr>
              <w:pStyle w:val="TAH"/>
              <w:ind w:left="400" w:hanging="400"/>
            </w:pPr>
            <w:r>
              <w:t>Description</w:t>
            </w:r>
          </w:p>
        </w:tc>
      </w:tr>
      <w:tr w:rsidR="00A10B25" w14:paraId="5744ECB5" w14:textId="77777777">
        <w:trPr>
          <w:jc w:val="center"/>
        </w:trPr>
        <w:tc>
          <w:tcPr>
            <w:tcW w:w="825" w:type="pct"/>
            <w:tcBorders>
              <w:top w:val="single" w:sz="6" w:space="0" w:color="auto"/>
            </w:tcBorders>
          </w:tcPr>
          <w:p w14:paraId="63411741" w14:textId="77777777" w:rsidR="00A10B25" w:rsidRDefault="00A10B25">
            <w:pPr>
              <w:pStyle w:val="TAL"/>
            </w:pPr>
            <w:r>
              <w:t>n/a</w:t>
            </w:r>
          </w:p>
        </w:tc>
        <w:tc>
          <w:tcPr>
            <w:tcW w:w="732" w:type="pct"/>
            <w:tcBorders>
              <w:top w:val="single" w:sz="6" w:space="0" w:color="auto"/>
            </w:tcBorders>
          </w:tcPr>
          <w:p w14:paraId="53260A0E" w14:textId="77777777" w:rsidR="00A10B25" w:rsidRDefault="00A10B25">
            <w:pPr>
              <w:pStyle w:val="TAL"/>
            </w:pPr>
          </w:p>
        </w:tc>
        <w:tc>
          <w:tcPr>
            <w:tcW w:w="217" w:type="pct"/>
            <w:tcBorders>
              <w:top w:val="single" w:sz="6" w:space="0" w:color="auto"/>
            </w:tcBorders>
          </w:tcPr>
          <w:p w14:paraId="755C9512" w14:textId="77777777" w:rsidR="00A10B25" w:rsidRDefault="00A10B25">
            <w:pPr>
              <w:pStyle w:val="TAC"/>
            </w:pPr>
          </w:p>
        </w:tc>
        <w:tc>
          <w:tcPr>
            <w:tcW w:w="581" w:type="pct"/>
            <w:tcBorders>
              <w:top w:val="single" w:sz="6" w:space="0" w:color="auto"/>
            </w:tcBorders>
          </w:tcPr>
          <w:p w14:paraId="7BCFD982" w14:textId="77777777" w:rsidR="00A10B25" w:rsidRDefault="00A10B25">
            <w:pPr>
              <w:pStyle w:val="TAL"/>
            </w:pPr>
          </w:p>
        </w:tc>
        <w:tc>
          <w:tcPr>
            <w:tcW w:w="2646" w:type="pct"/>
            <w:tcBorders>
              <w:top w:val="single" w:sz="6" w:space="0" w:color="auto"/>
            </w:tcBorders>
            <w:vAlign w:val="center"/>
          </w:tcPr>
          <w:p w14:paraId="6FD847BC" w14:textId="77777777" w:rsidR="00A10B25" w:rsidRDefault="00A10B25">
            <w:pPr>
              <w:pStyle w:val="TAL"/>
            </w:pPr>
          </w:p>
        </w:tc>
      </w:tr>
    </w:tbl>
    <w:p w14:paraId="0A39CDE0" w14:textId="77777777" w:rsidR="00A10B25" w:rsidRDefault="00A10B25"/>
    <w:p w14:paraId="669BAFFD" w14:textId="77777777" w:rsidR="00A10B25" w:rsidRDefault="00A10B25">
      <w:r>
        <w:t>This method shall support the request data structures specified in table 5.6.3.4.3.1-2 and the response data structures and response codes specified in table 5.6.3.4.3.1-3.</w:t>
      </w:r>
    </w:p>
    <w:p w14:paraId="7DBB5DCA" w14:textId="77777777" w:rsidR="00A10B25" w:rsidRDefault="00A10B25">
      <w:pPr>
        <w:pStyle w:val="TH"/>
        <w:overflowPunct w:val="0"/>
        <w:autoSpaceDE w:val="0"/>
        <w:autoSpaceDN w:val="0"/>
        <w:adjustRightInd w:val="0"/>
        <w:textAlignment w:val="baseline"/>
        <w:rPr>
          <w:rFonts w:eastAsia="MS Mincho"/>
        </w:rPr>
      </w:pPr>
      <w:r>
        <w:rPr>
          <w:rFonts w:eastAsia="MS Mincho"/>
        </w:rPr>
        <w:t>Table 5.6.3.4.3.1-2: Data structures supported by the POST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38CD5F6" w14:textId="77777777">
        <w:trPr>
          <w:jc w:val="center"/>
        </w:trPr>
        <w:tc>
          <w:tcPr>
            <w:tcW w:w="1612" w:type="dxa"/>
            <w:tcBorders>
              <w:bottom w:val="single" w:sz="6" w:space="0" w:color="auto"/>
            </w:tcBorders>
            <w:shd w:val="clear" w:color="auto" w:fill="C0C0C0"/>
          </w:tcPr>
          <w:p w14:paraId="180A0945" w14:textId="77777777" w:rsidR="00A10B25" w:rsidRDefault="00A10B25">
            <w:pPr>
              <w:pStyle w:val="TAH"/>
              <w:ind w:left="400" w:hanging="400"/>
            </w:pPr>
            <w:r>
              <w:t>Data type</w:t>
            </w:r>
          </w:p>
        </w:tc>
        <w:tc>
          <w:tcPr>
            <w:tcW w:w="422" w:type="dxa"/>
            <w:tcBorders>
              <w:bottom w:val="single" w:sz="6" w:space="0" w:color="auto"/>
            </w:tcBorders>
            <w:shd w:val="clear" w:color="auto" w:fill="C0C0C0"/>
          </w:tcPr>
          <w:p w14:paraId="54124B58" w14:textId="77777777" w:rsidR="00A10B25" w:rsidRDefault="00A10B25">
            <w:pPr>
              <w:pStyle w:val="TAH"/>
              <w:ind w:left="400" w:hanging="400"/>
            </w:pPr>
            <w:r>
              <w:t>P</w:t>
            </w:r>
          </w:p>
        </w:tc>
        <w:tc>
          <w:tcPr>
            <w:tcW w:w="1264" w:type="dxa"/>
            <w:tcBorders>
              <w:bottom w:val="single" w:sz="6" w:space="0" w:color="auto"/>
            </w:tcBorders>
            <w:shd w:val="clear" w:color="auto" w:fill="C0C0C0"/>
          </w:tcPr>
          <w:p w14:paraId="5CE16069" w14:textId="77777777" w:rsidR="00A10B25" w:rsidRDefault="00A10B25">
            <w:pPr>
              <w:pStyle w:val="TAH"/>
              <w:ind w:left="400" w:hanging="400"/>
            </w:pPr>
            <w:r>
              <w:t>Cardinality</w:t>
            </w:r>
          </w:p>
        </w:tc>
        <w:tc>
          <w:tcPr>
            <w:tcW w:w="6381" w:type="dxa"/>
            <w:tcBorders>
              <w:bottom w:val="single" w:sz="6" w:space="0" w:color="auto"/>
            </w:tcBorders>
            <w:shd w:val="clear" w:color="auto" w:fill="C0C0C0"/>
            <w:vAlign w:val="center"/>
          </w:tcPr>
          <w:p w14:paraId="4D3C7622" w14:textId="77777777" w:rsidR="00A10B25" w:rsidRDefault="00A10B25">
            <w:pPr>
              <w:pStyle w:val="TAH"/>
              <w:ind w:left="400" w:hanging="400"/>
            </w:pPr>
            <w:r>
              <w:t>Description</w:t>
            </w:r>
          </w:p>
        </w:tc>
      </w:tr>
      <w:tr w:rsidR="00A10B25" w14:paraId="4539A218" w14:textId="77777777">
        <w:trPr>
          <w:jc w:val="center"/>
        </w:trPr>
        <w:tc>
          <w:tcPr>
            <w:tcW w:w="1612" w:type="dxa"/>
            <w:tcBorders>
              <w:top w:val="single" w:sz="6" w:space="0" w:color="auto"/>
            </w:tcBorders>
          </w:tcPr>
          <w:p w14:paraId="6CF90F83" w14:textId="77777777" w:rsidR="00A10B25" w:rsidRDefault="00A10B25">
            <w:pPr>
              <w:pStyle w:val="TAL"/>
            </w:pPr>
            <w:r>
              <w:rPr>
                <w:rFonts w:eastAsia="等线"/>
              </w:rPr>
              <w:t>MLModelMonitorSub</w:t>
            </w:r>
          </w:p>
        </w:tc>
        <w:tc>
          <w:tcPr>
            <w:tcW w:w="422" w:type="dxa"/>
            <w:tcBorders>
              <w:top w:val="single" w:sz="6" w:space="0" w:color="auto"/>
            </w:tcBorders>
          </w:tcPr>
          <w:p w14:paraId="29D509EE" w14:textId="77777777" w:rsidR="00A10B25" w:rsidRDefault="00A10B25">
            <w:pPr>
              <w:pStyle w:val="TAC"/>
            </w:pPr>
            <w:r>
              <w:t>M</w:t>
            </w:r>
          </w:p>
        </w:tc>
        <w:tc>
          <w:tcPr>
            <w:tcW w:w="1264" w:type="dxa"/>
            <w:tcBorders>
              <w:top w:val="single" w:sz="6" w:space="0" w:color="auto"/>
            </w:tcBorders>
          </w:tcPr>
          <w:p w14:paraId="6CEAB451" w14:textId="77777777" w:rsidR="00A10B25" w:rsidRDefault="00A10B25">
            <w:pPr>
              <w:pStyle w:val="TAL"/>
            </w:pPr>
            <w:r>
              <w:t>1</w:t>
            </w:r>
          </w:p>
        </w:tc>
        <w:tc>
          <w:tcPr>
            <w:tcW w:w="6381" w:type="dxa"/>
            <w:tcBorders>
              <w:top w:val="single" w:sz="6" w:space="0" w:color="auto"/>
            </w:tcBorders>
          </w:tcPr>
          <w:p w14:paraId="031484DC" w14:textId="77777777" w:rsidR="00A10B25" w:rsidRDefault="00A10B25">
            <w:pPr>
              <w:pStyle w:val="TAL"/>
            </w:pPr>
            <w:r>
              <w:t xml:space="preserve">Create a new Individual NWDAF ML model monitoring </w:t>
            </w:r>
            <w:r>
              <w:rPr>
                <w:lang w:eastAsia="ko-KR"/>
              </w:rPr>
              <w:t xml:space="preserve">subscription </w:t>
            </w:r>
            <w:r>
              <w:t>resource.</w:t>
            </w:r>
          </w:p>
        </w:tc>
      </w:tr>
    </w:tbl>
    <w:p w14:paraId="4F0C5913" w14:textId="77777777" w:rsidR="00A10B25" w:rsidRDefault="00A10B25"/>
    <w:p w14:paraId="27C1FD07" w14:textId="77777777" w:rsidR="00A10B25" w:rsidRDefault="00A10B25">
      <w:pPr>
        <w:pStyle w:val="TH"/>
        <w:overflowPunct w:val="0"/>
        <w:autoSpaceDE w:val="0"/>
        <w:autoSpaceDN w:val="0"/>
        <w:adjustRightInd w:val="0"/>
        <w:textAlignment w:val="baseline"/>
        <w:rPr>
          <w:rFonts w:eastAsia="MS Mincho"/>
        </w:rPr>
      </w:pPr>
      <w:r>
        <w:rPr>
          <w:rFonts w:eastAsia="MS Mincho"/>
        </w:rPr>
        <w:t>Table 5.6.3.4.3.1-3: Data structures supported by the POST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A10B25" w14:paraId="5C7CD9FD" w14:textId="77777777">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5814C830" w14:textId="77777777" w:rsidR="00A10B25" w:rsidRDefault="00A10B25">
            <w:pPr>
              <w:pStyle w:val="TAH"/>
              <w:ind w:left="400" w:hanging="400"/>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050C0B1" w14:textId="77777777" w:rsidR="00A10B25" w:rsidRDefault="00A10B25">
            <w:pPr>
              <w:pStyle w:val="TAH"/>
              <w:ind w:left="400" w:hanging="400"/>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24FD0551" w14:textId="77777777" w:rsidR="00A10B25" w:rsidRDefault="00A10B25">
            <w:pPr>
              <w:pStyle w:val="TAH"/>
              <w:ind w:left="400" w:hanging="400"/>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19C1C50D" w14:textId="77777777" w:rsidR="00A10B25" w:rsidRDefault="00A10B25">
            <w:pPr>
              <w:pStyle w:val="TAH"/>
              <w:ind w:left="400" w:hanging="400"/>
            </w:pPr>
            <w:r>
              <w:t>Response</w:t>
            </w:r>
          </w:p>
          <w:p w14:paraId="39B14848" w14:textId="77777777" w:rsidR="00A10B25" w:rsidRDefault="00A10B25">
            <w:pPr>
              <w:pStyle w:val="TAH"/>
              <w:ind w:left="400" w:hanging="400"/>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612ED3B6" w14:textId="77777777" w:rsidR="00A10B25" w:rsidRDefault="00A10B25">
            <w:pPr>
              <w:pStyle w:val="TAH"/>
              <w:ind w:left="400" w:hanging="400"/>
            </w:pPr>
            <w:r>
              <w:t>Description</w:t>
            </w:r>
          </w:p>
        </w:tc>
      </w:tr>
      <w:tr w:rsidR="00A10B25" w14:paraId="4D892D67" w14:textId="77777777">
        <w:trPr>
          <w:jc w:val="center"/>
        </w:trPr>
        <w:tc>
          <w:tcPr>
            <w:tcW w:w="1404" w:type="pct"/>
            <w:tcBorders>
              <w:top w:val="single" w:sz="6" w:space="0" w:color="auto"/>
              <w:left w:val="single" w:sz="6" w:space="0" w:color="auto"/>
              <w:bottom w:val="single" w:sz="6" w:space="0" w:color="auto"/>
              <w:right w:val="single" w:sz="6" w:space="0" w:color="auto"/>
            </w:tcBorders>
          </w:tcPr>
          <w:p w14:paraId="3CC395D4" w14:textId="77777777" w:rsidR="00A10B25" w:rsidRDefault="00A10B25">
            <w:pPr>
              <w:pStyle w:val="TAL"/>
            </w:pPr>
            <w:r>
              <w:rPr>
                <w:rFonts w:eastAsia="等线"/>
              </w:rPr>
              <w:t>MLModelMonitorSub</w:t>
            </w:r>
          </w:p>
        </w:tc>
        <w:tc>
          <w:tcPr>
            <w:tcW w:w="185" w:type="pct"/>
            <w:tcBorders>
              <w:top w:val="single" w:sz="6" w:space="0" w:color="auto"/>
              <w:left w:val="single" w:sz="6" w:space="0" w:color="auto"/>
              <w:bottom w:val="single" w:sz="6" w:space="0" w:color="auto"/>
              <w:right w:val="single" w:sz="6" w:space="0" w:color="auto"/>
            </w:tcBorders>
          </w:tcPr>
          <w:p w14:paraId="3657B477" w14:textId="77777777" w:rsidR="00A10B25" w:rsidRDefault="00A10B25">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5DB319E3" w14:textId="77777777" w:rsidR="00A10B25" w:rsidRDefault="00A10B25">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3AF4FF71" w14:textId="77777777" w:rsidR="00A10B25" w:rsidRDefault="00A10B25">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63F8740E" w14:textId="77777777" w:rsidR="00A10B25" w:rsidRDefault="00A10B25">
            <w:pPr>
              <w:pStyle w:val="TAL"/>
            </w:pPr>
            <w:r>
              <w:t xml:space="preserve">The creation of an Individual NWDAF ML model monitoring </w:t>
            </w:r>
            <w:r>
              <w:rPr>
                <w:lang w:eastAsia="ko-KR"/>
              </w:rPr>
              <w:t xml:space="preserve">subscription </w:t>
            </w:r>
            <w:r>
              <w:t>resource is confirmed and a representation of that resource is returned.</w:t>
            </w:r>
          </w:p>
        </w:tc>
      </w:tr>
      <w:tr w:rsidR="00A10B25" w14:paraId="5288D30F"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229FACF9"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62BB9D27" w14:textId="77777777" w:rsidR="00A10B25" w:rsidRDefault="00A10B25">
            <w:pPr>
              <w:pStyle w:val="TAN"/>
              <w:rPr>
                <w:lang w:val="en-US" w:eastAsia="zh-CN"/>
              </w:rPr>
            </w:pPr>
            <w:r>
              <w:t>NOTE 2:</w:t>
            </w:r>
            <w:r>
              <w:rPr>
                <w:lang w:val="en-US" w:eastAsia="zh-CN"/>
              </w:rPr>
              <w:tab/>
            </w:r>
            <w:r>
              <w:t>Failure cases are described in clause 5.6.7.</w:t>
            </w:r>
          </w:p>
        </w:tc>
      </w:tr>
    </w:tbl>
    <w:p w14:paraId="6615C3E2" w14:textId="77777777" w:rsidR="00A10B25" w:rsidRDefault="00A10B25"/>
    <w:p w14:paraId="6C08A258" w14:textId="77777777" w:rsidR="00A10B25" w:rsidRDefault="00A10B25">
      <w:pPr>
        <w:pStyle w:val="TH"/>
      </w:pPr>
      <w:r>
        <w:t>Table</w:t>
      </w:r>
      <w:r>
        <w:rPr>
          <w:lang w:val="en-US" w:eastAsia="zh-CN"/>
        </w:rPr>
        <w:t> </w:t>
      </w:r>
      <w:r>
        <w:rPr>
          <w:rFonts w:eastAsia="MS Mincho"/>
        </w:rPr>
        <w:t>5.6.3.4.3.1</w:t>
      </w:r>
      <w:r>
        <w:t xml:space="preserve">-4: Headers supported by the 201 Response Code on this resource </w:t>
      </w:r>
    </w:p>
    <w:tbl>
      <w:tblPr>
        <w:tblW w:w="0" w:type="auto"/>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08A10D28" w14:textId="77777777">
        <w:trPr>
          <w:jc w:val="center"/>
        </w:trPr>
        <w:tc>
          <w:tcPr>
            <w:tcW w:w="1832" w:type="dxa"/>
            <w:tcBorders>
              <w:bottom w:val="single" w:sz="6" w:space="0" w:color="auto"/>
            </w:tcBorders>
            <w:shd w:val="clear" w:color="auto" w:fill="C0C0C0"/>
          </w:tcPr>
          <w:p w14:paraId="224903BB" w14:textId="77777777" w:rsidR="00A10B25" w:rsidRDefault="00A10B25">
            <w:pPr>
              <w:pStyle w:val="TAH"/>
              <w:ind w:left="400" w:hanging="400"/>
            </w:pPr>
            <w:r>
              <w:t>Name</w:t>
            </w:r>
          </w:p>
        </w:tc>
        <w:tc>
          <w:tcPr>
            <w:tcW w:w="1559" w:type="dxa"/>
            <w:tcBorders>
              <w:bottom w:val="single" w:sz="6" w:space="0" w:color="auto"/>
            </w:tcBorders>
            <w:shd w:val="clear" w:color="auto" w:fill="C0C0C0"/>
          </w:tcPr>
          <w:p w14:paraId="6620D6DA" w14:textId="77777777" w:rsidR="00A10B25" w:rsidRDefault="00A10B25">
            <w:pPr>
              <w:pStyle w:val="TAH"/>
              <w:ind w:left="400" w:hanging="400"/>
            </w:pPr>
            <w:r>
              <w:t>Data type</w:t>
            </w:r>
          </w:p>
        </w:tc>
        <w:tc>
          <w:tcPr>
            <w:tcW w:w="426" w:type="dxa"/>
            <w:tcBorders>
              <w:bottom w:val="single" w:sz="6" w:space="0" w:color="auto"/>
            </w:tcBorders>
            <w:shd w:val="clear" w:color="auto" w:fill="C0C0C0"/>
          </w:tcPr>
          <w:p w14:paraId="14DF52B3" w14:textId="77777777" w:rsidR="00A10B25" w:rsidRDefault="00A10B25">
            <w:pPr>
              <w:pStyle w:val="TAH"/>
              <w:ind w:left="400" w:hanging="400"/>
            </w:pPr>
            <w:r>
              <w:t>P</w:t>
            </w:r>
          </w:p>
        </w:tc>
        <w:tc>
          <w:tcPr>
            <w:tcW w:w="1275" w:type="dxa"/>
            <w:tcBorders>
              <w:bottom w:val="single" w:sz="6" w:space="0" w:color="auto"/>
            </w:tcBorders>
            <w:shd w:val="clear" w:color="auto" w:fill="C0C0C0"/>
          </w:tcPr>
          <w:p w14:paraId="567446E9" w14:textId="77777777" w:rsidR="00A10B25" w:rsidRDefault="00A10B25">
            <w:pPr>
              <w:pStyle w:val="TAH"/>
              <w:ind w:left="400" w:hanging="400"/>
            </w:pPr>
            <w:r>
              <w:t>Cardinality</w:t>
            </w:r>
          </w:p>
        </w:tc>
        <w:tc>
          <w:tcPr>
            <w:tcW w:w="4524" w:type="dxa"/>
            <w:tcBorders>
              <w:bottom w:val="single" w:sz="6" w:space="0" w:color="auto"/>
            </w:tcBorders>
            <w:shd w:val="clear" w:color="auto" w:fill="C0C0C0"/>
            <w:vAlign w:val="center"/>
          </w:tcPr>
          <w:p w14:paraId="45D14717" w14:textId="77777777" w:rsidR="00A10B25" w:rsidRDefault="00A10B25">
            <w:pPr>
              <w:pStyle w:val="TAH"/>
              <w:ind w:left="400" w:hanging="400"/>
            </w:pPr>
            <w:r>
              <w:t>Description</w:t>
            </w:r>
          </w:p>
        </w:tc>
      </w:tr>
      <w:tr w:rsidR="00A10B25" w14:paraId="5E84576E" w14:textId="77777777">
        <w:trPr>
          <w:jc w:val="center"/>
        </w:trPr>
        <w:tc>
          <w:tcPr>
            <w:tcW w:w="1832" w:type="dxa"/>
            <w:tcBorders>
              <w:top w:val="single" w:sz="6" w:space="0" w:color="auto"/>
            </w:tcBorders>
          </w:tcPr>
          <w:p w14:paraId="25827C2B" w14:textId="77777777" w:rsidR="00A10B25" w:rsidRDefault="00A10B25">
            <w:pPr>
              <w:pStyle w:val="TAL"/>
            </w:pPr>
            <w:r>
              <w:t>Location</w:t>
            </w:r>
          </w:p>
        </w:tc>
        <w:tc>
          <w:tcPr>
            <w:tcW w:w="1559" w:type="dxa"/>
            <w:tcBorders>
              <w:top w:val="single" w:sz="6" w:space="0" w:color="auto"/>
            </w:tcBorders>
          </w:tcPr>
          <w:p w14:paraId="19E23FC9" w14:textId="77777777" w:rsidR="00A10B25" w:rsidRDefault="00A10B25">
            <w:pPr>
              <w:pStyle w:val="TAL"/>
            </w:pPr>
            <w:r>
              <w:t>string</w:t>
            </w:r>
          </w:p>
        </w:tc>
        <w:tc>
          <w:tcPr>
            <w:tcW w:w="426" w:type="dxa"/>
            <w:tcBorders>
              <w:top w:val="single" w:sz="6" w:space="0" w:color="auto"/>
            </w:tcBorders>
          </w:tcPr>
          <w:p w14:paraId="17B5C469" w14:textId="77777777" w:rsidR="00A10B25" w:rsidRDefault="00A10B25">
            <w:pPr>
              <w:pStyle w:val="TAC"/>
            </w:pPr>
            <w:r>
              <w:t>M</w:t>
            </w:r>
          </w:p>
        </w:tc>
        <w:tc>
          <w:tcPr>
            <w:tcW w:w="1275" w:type="dxa"/>
            <w:tcBorders>
              <w:top w:val="single" w:sz="6" w:space="0" w:color="auto"/>
            </w:tcBorders>
          </w:tcPr>
          <w:p w14:paraId="333CA113" w14:textId="77777777" w:rsidR="00A10B25" w:rsidRDefault="00A10B25">
            <w:pPr>
              <w:pStyle w:val="TAL"/>
            </w:pPr>
            <w:r>
              <w:t>1</w:t>
            </w:r>
          </w:p>
        </w:tc>
        <w:tc>
          <w:tcPr>
            <w:tcW w:w="4524" w:type="dxa"/>
            <w:tcBorders>
              <w:top w:val="single" w:sz="6" w:space="0" w:color="auto"/>
            </w:tcBorders>
            <w:vAlign w:val="center"/>
          </w:tcPr>
          <w:p w14:paraId="37FC20D5" w14:textId="77777777" w:rsidR="00A10B25" w:rsidRDefault="00A10B25">
            <w:pPr>
              <w:pStyle w:val="TAL"/>
            </w:pPr>
            <w:r>
              <w:t>Contains the URI of the newly created resource, according to the structure: {apiRoot}/nnwdaf-mlmodelmonitor/&lt;apiVersion&gt;/subscriptions/{</w:t>
            </w:r>
            <w:r>
              <w:rPr>
                <w:lang w:eastAsia="ko-KR"/>
              </w:rPr>
              <w:t>subscription</w:t>
            </w:r>
            <w:r>
              <w:t>Id}</w:t>
            </w:r>
          </w:p>
        </w:tc>
      </w:tr>
    </w:tbl>
    <w:p w14:paraId="161AFED0" w14:textId="77777777" w:rsidR="00A10B25" w:rsidRDefault="00A10B25"/>
    <w:p w14:paraId="24AE41F6" w14:textId="77777777" w:rsidR="00A10B25" w:rsidRDefault="00A10B25">
      <w:pPr>
        <w:pStyle w:val="5"/>
      </w:pPr>
      <w:bookmarkStart w:id="15470" w:name="_Toc148522991"/>
      <w:bookmarkStart w:id="15471" w:name="_Toc164921180"/>
      <w:bookmarkStart w:id="15472" w:name="_Toc170120722"/>
      <w:bookmarkStart w:id="15473" w:name="_Toc175858967"/>
      <w:bookmarkStart w:id="15474" w:name="_Toc175860040"/>
      <w:bookmarkStart w:id="15475" w:name="_Toc180606330"/>
      <w:bookmarkStart w:id="15476" w:name="_Toc185517591"/>
      <w:bookmarkStart w:id="15477" w:name="_Toc191576643"/>
      <w:bookmarkStart w:id="15478" w:name="_Toc191577383"/>
      <w:bookmarkStart w:id="15479" w:name="_Toc192880453"/>
      <w:bookmarkStart w:id="15480" w:name="_Toc195815342"/>
      <w:bookmarkStart w:id="15481" w:name="_Toc199453309"/>
      <w:r>
        <w:t>5.6.3.4.4</w:t>
      </w:r>
      <w:r>
        <w:tab/>
        <w:t>Resource Custom Operations</w:t>
      </w:r>
      <w:bookmarkEnd w:id="15470"/>
      <w:bookmarkEnd w:id="15471"/>
      <w:bookmarkEnd w:id="15472"/>
      <w:bookmarkEnd w:id="15473"/>
      <w:bookmarkEnd w:id="15474"/>
      <w:bookmarkEnd w:id="15475"/>
      <w:bookmarkEnd w:id="15476"/>
      <w:bookmarkEnd w:id="15477"/>
      <w:bookmarkEnd w:id="15478"/>
      <w:bookmarkEnd w:id="15479"/>
      <w:bookmarkEnd w:id="15480"/>
      <w:bookmarkEnd w:id="15481"/>
    </w:p>
    <w:p w14:paraId="4C255062" w14:textId="77777777" w:rsidR="00A10B25" w:rsidRDefault="00A10B25">
      <w:pPr>
        <w:rPr>
          <w:lang w:val="en-US" w:eastAsia="zh-CN"/>
        </w:rPr>
      </w:pPr>
      <w:r>
        <w:t>None in this release of the specification.</w:t>
      </w:r>
    </w:p>
    <w:p w14:paraId="4E89AD85" w14:textId="77777777" w:rsidR="00A10B25" w:rsidRDefault="00A10B25">
      <w:pPr>
        <w:pStyle w:val="4"/>
      </w:pPr>
      <w:bookmarkStart w:id="15482" w:name="_Toc148522992"/>
      <w:bookmarkStart w:id="15483" w:name="_Toc164921181"/>
      <w:bookmarkStart w:id="15484" w:name="_Toc170120723"/>
      <w:bookmarkStart w:id="15485" w:name="_Toc175858968"/>
      <w:bookmarkStart w:id="15486" w:name="_Toc175860041"/>
      <w:bookmarkStart w:id="15487" w:name="_Toc180606331"/>
      <w:bookmarkStart w:id="15488" w:name="_Toc185517592"/>
      <w:bookmarkStart w:id="15489" w:name="_Toc191576644"/>
      <w:bookmarkStart w:id="15490" w:name="_Toc191577384"/>
      <w:bookmarkStart w:id="15491" w:name="_Toc192880454"/>
      <w:bookmarkStart w:id="15492" w:name="_Toc195815343"/>
      <w:bookmarkStart w:id="15493" w:name="_Toc199453310"/>
      <w:r>
        <w:t>5.6.3.5</w:t>
      </w:r>
      <w:r>
        <w:tab/>
        <w:t>Resource: Individual NWDAF ML model monitoring Subscription</w:t>
      </w:r>
      <w:bookmarkEnd w:id="15482"/>
      <w:bookmarkEnd w:id="15483"/>
      <w:bookmarkEnd w:id="15484"/>
      <w:bookmarkEnd w:id="15485"/>
      <w:bookmarkEnd w:id="15486"/>
      <w:bookmarkEnd w:id="15487"/>
      <w:bookmarkEnd w:id="15488"/>
      <w:bookmarkEnd w:id="15489"/>
      <w:bookmarkEnd w:id="15490"/>
      <w:bookmarkEnd w:id="15491"/>
      <w:bookmarkEnd w:id="15492"/>
      <w:bookmarkEnd w:id="15493"/>
    </w:p>
    <w:p w14:paraId="12D2B311" w14:textId="77777777" w:rsidR="00A10B25" w:rsidRDefault="00A10B25">
      <w:pPr>
        <w:pStyle w:val="5"/>
      </w:pPr>
      <w:bookmarkStart w:id="15494" w:name="_Toc148522993"/>
      <w:bookmarkStart w:id="15495" w:name="_Toc164921182"/>
      <w:bookmarkStart w:id="15496" w:name="_Toc170120724"/>
      <w:bookmarkStart w:id="15497" w:name="_Toc175858969"/>
      <w:bookmarkStart w:id="15498" w:name="_Toc175860042"/>
      <w:bookmarkStart w:id="15499" w:name="_Toc180606332"/>
      <w:bookmarkStart w:id="15500" w:name="_Toc185517593"/>
      <w:bookmarkStart w:id="15501" w:name="_Toc191576645"/>
      <w:bookmarkStart w:id="15502" w:name="_Toc191577385"/>
      <w:bookmarkStart w:id="15503" w:name="_Toc192880455"/>
      <w:bookmarkStart w:id="15504" w:name="_Toc195815344"/>
      <w:bookmarkStart w:id="15505" w:name="_Toc199453311"/>
      <w:r>
        <w:t>5.6.3.5.1</w:t>
      </w:r>
      <w:r>
        <w:tab/>
        <w:t>Description</w:t>
      </w:r>
      <w:bookmarkEnd w:id="15494"/>
      <w:bookmarkEnd w:id="15495"/>
      <w:bookmarkEnd w:id="15496"/>
      <w:bookmarkEnd w:id="15497"/>
      <w:bookmarkEnd w:id="15498"/>
      <w:bookmarkEnd w:id="15499"/>
      <w:bookmarkEnd w:id="15500"/>
      <w:bookmarkEnd w:id="15501"/>
      <w:bookmarkEnd w:id="15502"/>
      <w:bookmarkEnd w:id="15503"/>
      <w:bookmarkEnd w:id="15504"/>
      <w:bookmarkEnd w:id="15505"/>
    </w:p>
    <w:p w14:paraId="382C4E4C" w14:textId="77777777" w:rsidR="00A10B25" w:rsidRDefault="00A10B25">
      <w:r>
        <w:t>The Individual NWDAF ML model monitoring Subscription resource represents a single subscription to the Nnwdaf_MLModelMonitor Service at a given NWDAF containing AnLF.</w:t>
      </w:r>
    </w:p>
    <w:p w14:paraId="16C47927" w14:textId="77777777" w:rsidR="00A10B25" w:rsidRDefault="00A10B25">
      <w:pPr>
        <w:pStyle w:val="5"/>
      </w:pPr>
      <w:bookmarkStart w:id="15506" w:name="_Toc148522994"/>
      <w:bookmarkStart w:id="15507" w:name="_Toc164921183"/>
      <w:bookmarkStart w:id="15508" w:name="_Toc170120725"/>
      <w:bookmarkStart w:id="15509" w:name="_Toc175858970"/>
      <w:bookmarkStart w:id="15510" w:name="_Toc175860043"/>
      <w:bookmarkStart w:id="15511" w:name="_Toc180606333"/>
      <w:bookmarkStart w:id="15512" w:name="_Toc185517594"/>
      <w:bookmarkStart w:id="15513" w:name="_Toc191576646"/>
      <w:bookmarkStart w:id="15514" w:name="_Toc191577386"/>
      <w:bookmarkStart w:id="15515" w:name="_Toc192880456"/>
      <w:bookmarkStart w:id="15516" w:name="_Toc195815345"/>
      <w:bookmarkStart w:id="15517" w:name="_Toc199453312"/>
      <w:r>
        <w:t>5.6.3.5.2</w:t>
      </w:r>
      <w:r>
        <w:tab/>
        <w:t>Resource definition</w:t>
      </w:r>
      <w:bookmarkEnd w:id="15506"/>
      <w:bookmarkEnd w:id="15507"/>
      <w:bookmarkEnd w:id="15508"/>
      <w:bookmarkEnd w:id="15509"/>
      <w:bookmarkEnd w:id="15510"/>
      <w:bookmarkEnd w:id="15511"/>
      <w:bookmarkEnd w:id="15512"/>
      <w:bookmarkEnd w:id="15513"/>
      <w:bookmarkEnd w:id="15514"/>
      <w:bookmarkEnd w:id="15515"/>
      <w:bookmarkEnd w:id="15516"/>
      <w:bookmarkEnd w:id="15517"/>
    </w:p>
    <w:p w14:paraId="0A6881D9" w14:textId="77777777" w:rsidR="00A10B25" w:rsidRDefault="00A10B25">
      <w:r>
        <w:t xml:space="preserve">Resource URI: </w:t>
      </w:r>
      <w:r>
        <w:rPr>
          <w:b/>
        </w:rPr>
        <w:t>{apiRoot}/nnwdaf-mlmodelmonitor/&lt;apiVersion&gt;/subscriptions/{subscriptionId}</w:t>
      </w:r>
    </w:p>
    <w:p w14:paraId="664A098B" w14:textId="77777777" w:rsidR="00A10B25" w:rsidRDefault="00A10B25">
      <w:pPr>
        <w:rPr>
          <w:lang w:val="en-US"/>
        </w:rPr>
      </w:pPr>
      <w:r>
        <w:rPr>
          <w:lang w:val="en-US" w:eastAsia="zh-CN"/>
        </w:rPr>
        <w:t>The &lt;apiVersion&gt; shall be set as described in clause 5.6.1.</w:t>
      </w:r>
    </w:p>
    <w:p w14:paraId="415CFDAD" w14:textId="77777777" w:rsidR="00A10B25" w:rsidRDefault="00A10B25">
      <w:r>
        <w:t>This resource shall support the resource URI variables defined in table 5.6.3.5.2-1</w:t>
      </w:r>
      <w:r>
        <w:rPr>
          <w:rFonts w:ascii="Arial" w:hAnsi="Arial" w:cs="Arial"/>
        </w:rPr>
        <w:t>.</w:t>
      </w:r>
    </w:p>
    <w:p w14:paraId="277CAA12" w14:textId="77777777" w:rsidR="00A10B25" w:rsidRDefault="00A10B25">
      <w:pPr>
        <w:pStyle w:val="TH"/>
      </w:pPr>
      <w:r>
        <w:t>Table 5.6.3.5.2-1: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64B63473" w14:textId="77777777">
        <w:trPr>
          <w:jc w:val="center"/>
        </w:trPr>
        <w:tc>
          <w:tcPr>
            <w:tcW w:w="639" w:type="pct"/>
            <w:shd w:val="clear" w:color="000000" w:fill="C0C0C0"/>
          </w:tcPr>
          <w:p w14:paraId="74952E4E" w14:textId="77777777" w:rsidR="00A10B25" w:rsidRDefault="00A10B25">
            <w:pPr>
              <w:pStyle w:val="TAH"/>
              <w:ind w:left="400" w:hanging="400"/>
            </w:pPr>
            <w:r>
              <w:t>Name</w:t>
            </w:r>
          </w:p>
        </w:tc>
        <w:tc>
          <w:tcPr>
            <w:tcW w:w="846" w:type="pct"/>
            <w:shd w:val="clear" w:color="000000" w:fill="C0C0C0"/>
          </w:tcPr>
          <w:p w14:paraId="1A1E6844" w14:textId="77777777" w:rsidR="00A10B25" w:rsidRDefault="00A10B25">
            <w:pPr>
              <w:pStyle w:val="TAH"/>
              <w:ind w:left="400" w:hanging="400"/>
            </w:pPr>
            <w:r>
              <w:rPr>
                <w:lang w:eastAsia="zh-CN"/>
              </w:rPr>
              <w:t>Data type</w:t>
            </w:r>
          </w:p>
        </w:tc>
        <w:tc>
          <w:tcPr>
            <w:tcW w:w="3515" w:type="pct"/>
            <w:shd w:val="clear" w:color="000000" w:fill="C0C0C0"/>
            <w:vAlign w:val="center"/>
          </w:tcPr>
          <w:p w14:paraId="1B92AAFC" w14:textId="77777777" w:rsidR="00A10B25" w:rsidRDefault="00A10B25">
            <w:pPr>
              <w:pStyle w:val="TAH"/>
              <w:ind w:left="400" w:hanging="400"/>
            </w:pPr>
            <w:r>
              <w:t>Definition</w:t>
            </w:r>
          </w:p>
        </w:tc>
      </w:tr>
      <w:tr w:rsidR="00A10B25" w14:paraId="4976F516" w14:textId="77777777">
        <w:trPr>
          <w:jc w:val="center"/>
        </w:trPr>
        <w:tc>
          <w:tcPr>
            <w:tcW w:w="639" w:type="pct"/>
          </w:tcPr>
          <w:p w14:paraId="3D0714BE" w14:textId="77777777" w:rsidR="00A10B25" w:rsidRDefault="00A10B25">
            <w:pPr>
              <w:pStyle w:val="TAL"/>
            </w:pPr>
            <w:r>
              <w:t>apiRoot</w:t>
            </w:r>
          </w:p>
        </w:tc>
        <w:tc>
          <w:tcPr>
            <w:tcW w:w="846" w:type="pct"/>
          </w:tcPr>
          <w:p w14:paraId="53B38541" w14:textId="77777777" w:rsidR="00A10B25" w:rsidRDefault="00A10B25">
            <w:pPr>
              <w:pStyle w:val="TAL"/>
            </w:pPr>
            <w:r>
              <w:t>string</w:t>
            </w:r>
          </w:p>
        </w:tc>
        <w:tc>
          <w:tcPr>
            <w:tcW w:w="3515" w:type="pct"/>
            <w:vAlign w:val="center"/>
          </w:tcPr>
          <w:p w14:paraId="290BEC5A" w14:textId="77777777" w:rsidR="00A10B25" w:rsidRDefault="00A10B25">
            <w:pPr>
              <w:pStyle w:val="TAL"/>
            </w:pPr>
            <w:r>
              <w:t>See clause</w:t>
            </w:r>
            <w:r>
              <w:rPr>
                <w:lang w:val="en-US" w:eastAsia="zh-CN"/>
              </w:rPr>
              <w:t> </w:t>
            </w:r>
            <w:r>
              <w:t>5.6.1.</w:t>
            </w:r>
          </w:p>
        </w:tc>
      </w:tr>
      <w:tr w:rsidR="00A10B25" w14:paraId="43B4EF88" w14:textId="77777777">
        <w:trPr>
          <w:jc w:val="center"/>
        </w:trPr>
        <w:tc>
          <w:tcPr>
            <w:tcW w:w="639" w:type="pct"/>
          </w:tcPr>
          <w:p w14:paraId="73A53643" w14:textId="77777777" w:rsidR="00A10B25" w:rsidRDefault="00A10B25">
            <w:pPr>
              <w:pStyle w:val="TAL"/>
            </w:pPr>
            <w:r>
              <w:t>subscriptionId</w:t>
            </w:r>
          </w:p>
        </w:tc>
        <w:tc>
          <w:tcPr>
            <w:tcW w:w="846" w:type="pct"/>
          </w:tcPr>
          <w:p w14:paraId="241FB069" w14:textId="77777777" w:rsidR="00A10B25" w:rsidRDefault="00A10B25">
            <w:pPr>
              <w:pStyle w:val="TAL"/>
            </w:pPr>
            <w:r>
              <w:t>string</w:t>
            </w:r>
          </w:p>
        </w:tc>
        <w:tc>
          <w:tcPr>
            <w:tcW w:w="3515" w:type="pct"/>
            <w:vAlign w:val="center"/>
          </w:tcPr>
          <w:p w14:paraId="6EBF8096" w14:textId="77777777" w:rsidR="00A10B25" w:rsidRDefault="00A10B25">
            <w:pPr>
              <w:pStyle w:val="TAL"/>
            </w:pPr>
            <w:r>
              <w:t>Identifies a subscription to the Nnwdaf_MLModelMonitor Service.</w:t>
            </w:r>
          </w:p>
        </w:tc>
      </w:tr>
    </w:tbl>
    <w:p w14:paraId="0F5603C2" w14:textId="77777777" w:rsidR="00A10B25" w:rsidRDefault="00A10B25"/>
    <w:p w14:paraId="71DAEAA9" w14:textId="77777777" w:rsidR="00A10B25" w:rsidRDefault="00A10B25">
      <w:pPr>
        <w:pStyle w:val="5"/>
      </w:pPr>
      <w:bookmarkStart w:id="15518" w:name="_Toc148522995"/>
      <w:bookmarkStart w:id="15519" w:name="_Toc164921184"/>
      <w:bookmarkStart w:id="15520" w:name="_Toc170120726"/>
      <w:bookmarkStart w:id="15521" w:name="_Toc175858971"/>
      <w:bookmarkStart w:id="15522" w:name="_Toc175860044"/>
      <w:bookmarkStart w:id="15523" w:name="_Toc180606334"/>
      <w:bookmarkStart w:id="15524" w:name="_Toc185517595"/>
      <w:bookmarkStart w:id="15525" w:name="_Toc191576647"/>
      <w:bookmarkStart w:id="15526" w:name="_Toc191577387"/>
      <w:bookmarkStart w:id="15527" w:name="_Toc192880457"/>
      <w:bookmarkStart w:id="15528" w:name="_Toc195815346"/>
      <w:bookmarkStart w:id="15529" w:name="_Toc199453313"/>
      <w:r>
        <w:lastRenderedPageBreak/>
        <w:t>5.6.3.5.3</w:t>
      </w:r>
      <w:r>
        <w:tab/>
        <w:t>Resource Standard Methods</w:t>
      </w:r>
      <w:bookmarkEnd w:id="15518"/>
      <w:bookmarkEnd w:id="15519"/>
      <w:bookmarkEnd w:id="15520"/>
      <w:bookmarkEnd w:id="15521"/>
      <w:bookmarkEnd w:id="15522"/>
      <w:bookmarkEnd w:id="15523"/>
      <w:bookmarkEnd w:id="15524"/>
      <w:bookmarkEnd w:id="15525"/>
      <w:bookmarkEnd w:id="15526"/>
      <w:bookmarkEnd w:id="15527"/>
      <w:bookmarkEnd w:id="15528"/>
      <w:bookmarkEnd w:id="15529"/>
    </w:p>
    <w:p w14:paraId="766956A5" w14:textId="77777777" w:rsidR="00A10B25" w:rsidRDefault="00A10B25">
      <w:pPr>
        <w:pStyle w:val="6"/>
      </w:pPr>
      <w:bookmarkStart w:id="15530" w:name="_Toc148522996"/>
      <w:bookmarkStart w:id="15531" w:name="_Toc164921185"/>
      <w:bookmarkStart w:id="15532" w:name="_Toc170120727"/>
      <w:bookmarkStart w:id="15533" w:name="_Toc175858972"/>
      <w:bookmarkStart w:id="15534" w:name="_Toc175860045"/>
      <w:bookmarkStart w:id="15535" w:name="_Toc180606335"/>
      <w:bookmarkStart w:id="15536" w:name="_Toc185517596"/>
      <w:bookmarkStart w:id="15537" w:name="_Toc191576648"/>
      <w:bookmarkStart w:id="15538" w:name="_Toc191577388"/>
      <w:bookmarkStart w:id="15539" w:name="_Toc192880458"/>
      <w:bookmarkStart w:id="15540" w:name="_Toc195815347"/>
      <w:bookmarkStart w:id="15541" w:name="_Toc199453314"/>
      <w:r>
        <w:t>5.6.3.5.3.1</w:t>
      </w:r>
      <w:r>
        <w:tab/>
        <w:t>PUT</w:t>
      </w:r>
      <w:bookmarkEnd w:id="15530"/>
      <w:bookmarkEnd w:id="15531"/>
      <w:bookmarkEnd w:id="15532"/>
      <w:bookmarkEnd w:id="15533"/>
      <w:bookmarkEnd w:id="15534"/>
      <w:bookmarkEnd w:id="15535"/>
      <w:bookmarkEnd w:id="15536"/>
      <w:bookmarkEnd w:id="15537"/>
      <w:bookmarkEnd w:id="15538"/>
      <w:bookmarkEnd w:id="15539"/>
      <w:bookmarkEnd w:id="15540"/>
      <w:bookmarkEnd w:id="15541"/>
    </w:p>
    <w:p w14:paraId="422DDE85" w14:textId="77777777" w:rsidR="00A10B25" w:rsidRDefault="00A10B25">
      <w:pPr>
        <w:rPr>
          <w:rFonts w:eastAsia="等线"/>
        </w:rPr>
      </w:pPr>
      <w:r>
        <w:rPr>
          <w:rFonts w:eastAsia="等线"/>
        </w:rPr>
        <w:t>This method shall support the URI query parameters specified in table 5.6.3.5.3.1-1.</w:t>
      </w:r>
    </w:p>
    <w:p w14:paraId="74BE616A" w14:textId="77777777" w:rsidR="00A10B25" w:rsidRDefault="00A10B25">
      <w:pPr>
        <w:pStyle w:val="TH"/>
        <w:rPr>
          <w:rFonts w:cs="Arial"/>
        </w:rPr>
      </w:pPr>
      <w:r>
        <w:t>Table 5.6.3.5.3.1-1: URI query parameters supported by the PUT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AECAFE5" w14:textId="77777777">
        <w:trPr>
          <w:jc w:val="center"/>
        </w:trPr>
        <w:tc>
          <w:tcPr>
            <w:tcW w:w="825" w:type="pct"/>
            <w:tcBorders>
              <w:bottom w:val="single" w:sz="6" w:space="0" w:color="auto"/>
            </w:tcBorders>
            <w:shd w:val="clear" w:color="auto" w:fill="C0C0C0"/>
          </w:tcPr>
          <w:p w14:paraId="46AC1C30"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3C240DE"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5E3F5FE9" w14:textId="77777777" w:rsidR="00A10B25" w:rsidRDefault="00A10B25">
            <w:pPr>
              <w:pStyle w:val="TAH"/>
              <w:ind w:left="400" w:hanging="400"/>
            </w:pPr>
            <w:r>
              <w:t>P</w:t>
            </w:r>
          </w:p>
        </w:tc>
        <w:tc>
          <w:tcPr>
            <w:tcW w:w="581" w:type="pct"/>
            <w:tcBorders>
              <w:bottom w:val="single" w:sz="6" w:space="0" w:color="auto"/>
            </w:tcBorders>
            <w:shd w:val="clear" w:color="auto" w:fill="C0C0C0"/>
          </w:tcPr>
          <w:p w14:paraId="404F50A0"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3DD4E1F1" w14:textId="77777777" w:rsidR="00A10B25" w:rsidRDefault="00A10B25">
            <w:pPr>
              <w:pStyle w:val="TAH"/>
              <w:ind w:left="400" w:hanging="400"/>
            </w:pPr>
            <w:r>
              <w:t>Description</w:t>
            </w:r>
          </w:p>
        </w:tc>
      </w:tr>
      <w:tr w:rsidR="00A10B25" w14:paraId="3E98DCE5" w14:textId="77777777">
        <w:trPr>
          <w:jc w:val="center"/>
        </w:trPr>
        <w:tc>
          <w:tcPr>
            <w:tcW w:w="825" w:type="pct"/>
            <w:tcBorders>
              <w:top w:val="single" w:sz="6" w:space="0" w:color="auto"/>
            </w:tcBorders>
          </w:tcPr>
          <w:p w14:paraId="5524B9C2" w14:textId="77777777" w:rsidR="00A10B25" w:rsidRDefault="00A10B25">
            <w:pPr>
              <w:pStyle w:val="TAL"/>
            </w:pPr>
            <w:r>
              <w:t>n/a</w:t>
            </w:r>
          </w:p>
        </w:tc>
        <w:tc>
          <w:tcPr>
            <w:tcW w:w="732" w:type="pct"/>
            <w:tcBorders>
              <w:top w:val="single" w:sz="6" w:space="0" w:color="auto"/>
            </w:tcBorders>
          </w:tcPr>
          <w:p w14:paraId="7CF731F2" w14:textId="77777777" w:rsidR="00A10B25" w:rsidRDefault="00A10B25">
            <w:pPr>
              <w:pStyle w:val="TAL"/>
            </w:pPr>
          </w:p>
        </w:tc>
        <w:tc>
          <w:tcPr>
            <w:tcW w:w="217" w:type="pct"/>
            <w:tcBorders>
              <w:top w:val="single" w:sz="6" w:space="0" w:color="auto"/>
            </w:tcBorders>
          </w:tcPr>
          <w:p w14:paraId="32441563" w14:textId="77777777" w:rsidR="00A10B25" w:rsidRDefault="00A10B25">
            <w:pPr>
              <w:pStyle w:val="TAC"/>
            </w:pPr>
          </w:p>
        </w:tc>
        <w:tc>
          <w:tcPr>
            <w:tcW w:w="581" w:type="pct"/>
            <w:tcBorders>
              <w:top w:val="single" w:sz="6" w:space="0" w:color="auto"/>
            </w:tcBorders>
          </w:tcPr>
          <w:p w14:paraId="78F55632" w14:textId="77777777" w:rsidR="00A10B25" w:rsidRDefault="00A10B25">
            <w:pPr>
              <w:pStyle w:val="TAL"/>
            </w:pPr>
          </w:p>
        </w:tc>
        <w:tc>
          <w:tcPr>
            <w:tcW w:w="2646" w:type="pct"/>
            <w:tcBorders>
              <w:top w:val="single" w:sz="6" w:space="0" w:color="auto"/>
            </w:tcBorders>
            <w:vAlign w:val="center"/>
          </w:tcPr>
          <w:p w14:paraId="76F8B731" w14:textId="77777777" w:rsidR="00A10B25" w:rsidRDefault="00A10B25">
            <w:pPr>
              <w:pStyle w:val="TAL"/>
            </w:pPr>
          </w:p>
        </w:tc>
      </w:tr>
    </w:tbl>
    <w:p w14:paraId="095F0E0B" w14:textId="77777777" w:rsidR="00A10B25" w:rsidRDefault="00A10B25">
      <w:pPr>
        <w:rPr>
          <w:rFonts w:eastAsia="等线"/>
        </w:rPr>
      </w:pPr>
    </w:p>
    <w:p w14:paraId="1EAA6F19" w14:textId="77777777" w:rsidR="00A10B25" w:rsidRDefault="00A10B25">
      <w:pPr>
        <w:rPr>
          <w:rFonts w:eastAsia="等线"/>
        </w:rPr>
      </w:pPr>
      <w:r>
        <w:rPr>
          <w:rFonts w:eastAsia="等线"/>
        </w:rPr>
        <w:t>This method shall support the request data structures specified in table 5.6.3.5.3.1-2 and the response data structures and response codes specified in table 5.6.3.5.3.1-3.</w:t>
      </w:r>
    </w:p>
    <w:p w14:paraId="0B74E747" w14:textId="77777777" w:rsidR="00A10B25" w:rsidRDefault="00A10B25">
      <w:pPr>
        <w:pStyle w:val="TH"/>
      </w:pPr>
      <w:r>
        <w:t>Table 5.6.3.5.3.1-2: Data structures supported by the PUT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137F7A4B" w14:textId="77777777">
        <w:trPr>
          <w:jc w:val="center"/>
        </w:trPr>
        <w:tc>
          <w:tcPr>
            <w:tcW w:w="2539" w:type="dxa"/>
            <w:tcBorders>
              <w:bottom w:val="single" w:sz="6" w:space="0" w:color="auto"/>
            </w:tcBorders>
            <w:shd w:val="clear" w:color="auto" w:fill="C0C0C0"/>
          </w:tcPr>
          <w:p w14:paraId="1ED9566D" w14:textId="77777777" w:rsidR="00A10B25" w:rsidRDefault="00A10B25">
            <w:pPr>
              <w:pStyle w:val="TAH"/>
              <w:ind w:left="400" w:hanging="400"/>
            </w:pPr>
            <w:r>
              <w:t>Data type</w:t>
            </w:r>
          </w:p>
        </w:tc>
        <w:tc>
          <w:tcPr>
            <w:tcW w:w="450" w:type="dxa"/>
            <w:tcBorders>
              <w:bottom w:val="single" w:sz="6" w:space="0" w:color="auto"/>
            </w:tcBorders>
            <w:shd w:val="clear" w:color="auto" w:fill="C0C0C0"/>
          </w:tcPr>
          <w:p w14:paraId="12D55FF4" w14:textId="77777777" w:rsidR="00A10B25" w:rsidRDefault="00A10B25">
            <w:pPr>
              <w:pStyle w:val="TAH"/>
              <w:ind w:left="400" w:hanging="400"/>
            </w:pPr>
            <w:r>
              <w:t>P</w:t>
            </w:r>
          </w:p>
        </w:tc>
        <w:tc>
          <w:tcPr>
            <w:tcW w:w="1170" w:type="dxa"/>
            <w:tcBorders>
              <w:bottom w:val="single" w:sz="6" w:space="0" w:color="auto"/>
            </w:tcBorders>
            <w:shd w:val="clear" w:color="auto" w:fill="C0C0C0"/>
          </w:tcPr>
          <w:p w14:paraId="1ECECAA4" w14:textId="77777777" w:rsidR="00A10B25" w:rsidRDefault="00A10B25">
            <w:pPr>
              <w:pStyle w:val="TAH"/>
              <w:ind w:left="400" w:hanging="400"/>
            </w:pPr>
            <w:r>
              <w:t>Cardinality</w:t>
            </w:r>
          </w:p>
        </w:tc>
        <w:tc>
          <w:tcPr>
            <w:tcW w:w="5518" w:type="dxa"/>
            <w:tcBorders>
              <w:bottom w:val="single" w:sz="6" w:space="0" w:color="auto"/>
            </w:tcBorders>
            <w:shd w:val="clear" w:color="auto" w:fill="C0C0C0"/>
            <w:vAlign w:val="center"/>
          </w:tcPr>
          <w:p w14:paraId="7E40B57D" w14:textId="77777777" w:rsidR="00A10B25" w:rsidRDefault="00A10B25">
            <w:pPr>
              <w:pStyle w:val="TAH"/>
              <w:ind w:left="400" w:hanging="400"/>
            </w:pPr>
            <w:r>
              <w:t>Description</w:t>
            </w:r>
          </w:p>
        </w:tc>
      </w:tr>
      <w:tr w:rsidR="00A10B25" w14:paraId="553C6432" w14:textId="77777777">
        <w:trPr>
          <w:jc w:val="center"/>
        </w:trPr>
        <w:tc>
          <w:tcPr>
            <w:tcW w:w="2539" w:type="dxa"/>
            <w:tcBorders>
              <w:top w:val="single" w:sz="6" w:space="0" w:color="auto"/>
            </w:tcBorders>
          </w:tcPr>
          <w:p w14:paraId="1C8348B8" w14:textId="77777777" w:rsidR="00A10B25" w:rsidRDefault="00A10B25">
            <w:pPr>
              <w:pStyle w:val="TAL"/>
            </w:pPr>
            <w:r>
              <w:rPr>
                <w:rFonts w:eastAsia="等线"/>
              </w:rPr>
              <w:t>MLModelMonitor</w:t>
            </w:r>
            <w:r>
              <w:rPr>
                <w:rFonts w:eastAsia="等线" w:hint="eastAsia"/>
                <w:lang w:eastAsia="zh-CN"/>
              </w:rPr>
              <w:t>Sub</w:t>
            </w:r>
          </w:p>
        </w:tc>
        <w:tc>
          <w:tcPr>
            <w:tcW w:w="450" w:type="dxa"/>
            <w:tcBorders>
              <w:top w:val="single" w:sz="6" w:space="0" w:color="auto"/>
            </w:tcBorders>
          </w:tcPr>
          <w:p w14:paraId="73897A88" w14:textId="77777777" w:rsidR="00A10B25" w:rsidRDefault="00A10B25">
            <w:pPr>
              <w:pStyle w:val="TAC"/>
            </w:pPr>
            <w:r>
              <w:t>M</w:t>
            </w:r>
          </w:p>
        </w:tc>
        <w:tc>
          <w:tcPr>
            <w:tcW w:w="1170" w:type="dxa"/>
            <w:tcBorders>
              <w:top w:val="single" w:sz="6" w:space="0" w:color="auto"/>
            </w:tcBorders>
          </w:tcPr>
          <w:p w14:paraId="7C2E9C61" w14:textId="77777777" w:rsidR="00A10B25" w:rsidRDefault="00A10B25">
            <w:pPr>
              <w:pStyle w:val="TAC"/>
            </w:pPr>
            <w:r>
              <w:t>1</w:t>
            </w:r>
          </w:p>
        </w:tc>
        <w:tc>
          <w:tcPr>
            <w:tcW w:w="5518" w:type="dxa"/>
            <w:tcBorders>
              <w:top w:val="single" w:sz="6" w:space="0" w:color="auto"/>
            </w:tcBorders>
          </w:tcPr>
          <w:p w14:paraId="23322183" w14:textId="77777777" w:rsidR="00A10B25" w:rsidRDefault="00A10B25">
            <w:pPr>
              <w:pStyle w:val="TAL"/>
            </w:pPr>
            <w:r>
              <w:t>Parameters to replace a subscription to NWDAF ML model monitoring subscription resource.</w:t>
            </w:r>
          </w:p>
        </w:tc>
      </w:tr>
    </w:tbl>
    <w:p w14:paraId="08DCC88E" w14:textId="77777777" w:rsidR="00A10B25" w:rsidRDefault="00A10B25">
      <w:pPr>
        <w:rPr>
          <w:rFonts w:eastAsia="等线"/>
        </w:rPr>
      </w:pPr>
    </w:p>
    <w:p w14:paraId="1906A2C4" w14:textId="77777777" w:rsidR="00A10B25" w:rsidRDefault="00A10B25">
      <w:pPr>
        <w:pStyle w:val="TH"/>
      </w:pPr>
      <w:r>
        <w:t>Table 5.6.3.5.3.1-3: Data structures supported by the PUT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6"/>
        <w:gridCol w:w="1199"/>
        <w:gridCol w:w="1641"/>
        <w:gridCol w:w="3615"/>
      </w:tblGrid>
      <w:tr w:rsidR="00A10B25" w14:paraId="0CF2F432" w14:textId="77777777">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2E9EEF01" w14:textId="77777777" w:rsidR="00A10B25" w:rsidRDefault="00A10B25">
            <w:pPr>
              <w:pStyle w:val="TAH"/>
              <w:ind w:left="400" w:hanging="400"/>
            </w:pPr>
            <w:r>
              <w:t>Data type</w:t>
            </w:r>
          </w:p>
        </w:tc>
        <w:tc>
          <w:tcPr>
            <w:tcW w:w="208" w:type="pct"/>
            <w:tcBorders>
              <w:top w:val="single" w:sz="6" w:space="0" w:color="auto"/>
              <w:left w:val="single" w:sz="6" w:space="0" w:color="auto"/>
              <w:bottom w:val="single" w:sz="6" w:space="0" w:color="auto"/>
              <w:right w:val="single" w:sz="6" w:space="0" w:color="auto"/>
            </w:tcBorders>
            <w:shd w:val="clear" w:color="auto" w:fill="C0C0C0"/>
          </w:tcPr>
          <w:p w14:paraId="2243BCE0" w14:textId="77777777" w:rsidR="00A10B25" w:rsidRDefault="00A10B25">
            <w:pPr>
              <w:pStyle w:val="TAH"/>
              <w:ind w:left="400" w:hanging="400"/>
            </w:pPr>
            <w: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1BB1AA1B" w14:textId="77777777" w:rsidR="00A10B25" w:rsidRDefault="00A10B25">
            <w:pPr>
              <w:pStyle w:val="TAH"/>
              <w:ind w:left="400" w:hanging="400"/>
            </w:pPr>
            <w: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09D7814A" w14:textId="77777777" w:rsidR="00A10B25" w:rsidRDefault="00A10B25">
            <w:pPr>
              <w:pStyle w:val="TAH"/>
              <w:ind w:left="400" w:hanging="400"/>
            </w:pPr>
            <w: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2B879F31" w14:textId="77777777" w:rsidR="00A10B25" w:rsidRDefault="00A10B25">
            <w:pPr>
              <w:pStyle w:val="TAH"/>
              <w:ind w:left="400" w:hanging="400"/>
            </w:pPr>
            <w:r>
              <w:t>Description</w:t>
            </w:r>
          </w:p>
        </w:tc>
      </w:tr>
      <w:tr w:rsidR="00A10B25" w14:paraId="3D09AB56"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5F8ECA06" w14:textId="77777777" w:rsidR="00A10B25" w:rsidRDefault="00A10B25">
            <w:pPr>
              <w:pStyle w:val="TAL"/>
            </w:pPr>
            <w:r>
              <w:rPr>
                <w:rFonts w:eastAsia="等线"/>
              </w:rPr>
              <w:t>MLModelMonitor</w:t>
            </w:r>
            <w:r>
              <w:rPr>
                <w:rFonts w:eastAsia="等线" w:hint="eastAsia"/>
                <w:lang w:eastAsia="zh-CN"/>
              </w:rPr>
              <w:t>Sub</w:t>
            </w:r>
          </w:p>
        </w:tc>
        <w:tc>
          <w:tcPr>
            <w:tcW w:w="208" w:type="pct"/>
            <w:tcBorders>
              <w:top w:val="single" w:sz="6" w:space="0" w:color="auto"/>
              <w:left w:val="single" w:sz="6" w:space="0" w:color="auto"/>
              <w:bottom w:val="single" w:sz="6" w:space="0" w:color="auto"/>
              <w:right w:val="single" w:sz="6" w:space="0" w:color="auto"/>
            </w:tcBorders>
          </w:tcPr>
          <w:p w14:paraId="03E93A4D" w14:textId="77777777" w:rsidR="00A10B25" w:rsidRDefault="00A10B25">
            <w:pPr>
              <w:pStyle w:val="TAC"/>
            </w:pPr>
            <w:r>
              <w:t>M</w:t>
            </w:r>
          </w:p>
        </w:tc>
        <w:tc>
          <w:tcPr>
            <w:tcW w:w="629" w:type="pct"/>
            <w:tcBorders>
              <w:top w:val="single" w:sz="6" w:space="0" w:color="auto"/>
              <w:left w:val="single" w:sz="6" w:space="0" w:color="auto"/>
              <w:bottom w:val="single" w:sz="6" w:space="0" w:color="auto"/>
              <w:right w:val="single" w:sz="6" w:space="0" w:color="auto"/>
            </w:tcBorders>
          </w:tcPr>
          <w:p w14:paraId="256E4197" w14:textId="77777777" w:rsidR="00A10B25" w:rsidRDefault="00A10B25">
            <w:pPr>
              <w:pStyle w:val="TAC"/>
            </w:pPr>
            <w:r>
              <w:t>1</w:t>
            </w:r>
          </w:p>
        </w:tc>
        <w:tc>
          <w:tcPr>
            <w:tcW w:w="861" w:type="pct"/>
            <w:tcBorders>
              <w:top w:val="single" w:sz="6" w:space="0" w:color="auto"/>
              <w:left w:val="single" w:sz="6" w:space="0" w:color="auto"/>
              <w:bottom w:val="single" w:sz="6" w:space="0" w:color="auto"/>
              <w:right w:val="single" w:sz="6" w:space="0" w:color="auto"/>
            </w:tcBorders>
          </w:tcPr>
          <w:p w14:paraId="11D6F861" w14:textId="77777777" w:rsidR="00A10B25" w:rsidRDefault="00A10B25">
            <w:pPr>
              <w:pStyle w:val="TAL"/>
            </w:pPr>
            <w:r>
              <w:t>200 OK</w:t>
            </w:r>
          </w:p>
        </w:tc>
        <w:tc>
          <w:tcPr>
            <w:tcW w:w="1897" w:type="pct"/>
            <w:tcBorders>
              <w:top w:val="single" w:sz="6" w:space="0" w:color="auto"/>
              <w:left w:val="single" w:sz="6" w:space="0" w:color="auto"/>
              <w:bottom w:val="single" w:sz="6" w:space="0" w:color="auto"/>
              <w:right w:val="single" w:sz="6" w:space="0" w:color="auto"/>
            </w:tcBorders>
          </w:tcPr>
          <w:p w14:paraId="7F034F64" w14:textId="77777777" w:rsidR="00A10B25" w:rsidRDefault="00A10B25">
            <w:pPr>
              <w:pStyle w:val="TAL"/>
            </w:pPr>
            <w:r>
              <w:t>The Individual NWDAF ML model monitoring subscription resource was modified successfully and a representation of that resource is returned.</w:t>
            </w:r>
          </w:p>
        </w:tc>
      </w:tr>
      <w:tr w:rsidR="00A10B25" w14:paraId="6DE7E6C8"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36FECD65" w14:textId="77777777" w:rsidR="00A10B25" w:rsidRDefault="00A10B25">
            <w:pPr>
              <w:pStyle w:val="TAL"/>
              <w:rPr>
                <w:rFonts w:eastAsia="等线"/>
                <w:lang w:eastAsia="zh-CN"/>
              </w:rPr>
            </w:pPr>
            <w:r>
              <w:rPr>
                <w:rFonts w:eastAsia="等线"/>
                <w:lang w:eastAsia="zh-CN"/>
              </w:rPr>
              <w:t>n/a</w:t>
            </w:r>
          </w:p>
        </w:tc>
        <w:tc>
          <w:tcPr>
            <w:tcW w:w="208" w:type="pct"/>
            <w:tcBorders>
              <w:top w:val="single" w:sz="6" w:space="0" w:color="auto"/>
              <w:left w:val="single" w:sz="6" w:space="0" w:color="auto"/>
              <w:bottom w:val="single" w:sz="6" w:space="0" w:color="auto"/>
              <w:right w:val="single" w:sz="6" w:space="0" w:color="auto"/>
            </w:tcBorders>
          </w:tcPr>
          <w:p w14:paraId="681A7CA6" w14:textId="77777777" w:rsidR="00A10B25" w:rsidRDefault="00A10B25">
            <w:pPr>
              <w:pStyle w:val="TAC"/>
              <w:rPr>
                <w:rFonts w:eastAsia="等线"/>
              </w:rPr>
            </w:pPr>
          </w:p>
        </w:tc>
        <w:tc>
          <w:tcPr>
            <w:tcW w:w="629" w:type="pct"/>
            <w:tcBorders>
              <w:top w:val="single" w:sz="6" w:space="0" w:color="auto"/>
              <w:left w:val="single" w:sz="6" w:space="0" w:color="auto"/>
              <w:bottom w:val="single" w:sz="6" w:space="0" w:color="auto"/>
              <w:right w:val="single" w:sz="6" w:space="0" w:color="auto"/>
            </w:tcBorders>
          </w:tcPr>
          <w:p w14:paraId="5B2CC7CA" w14:textId="77777777" w:rsidR="00A10B25" w:rsidRDefault="00A10B25">
            <w:pPr>
              <w:pStyle w:val="TAC"/>
            </w:pPr>
          </w:p>
        </w:tc>
        <w:tc>
          <w:tcPr>
            <w:tcW w:w="861" w:type="pct"/>
            <w:tcBorders>
              <w:top w:val="single" w:sz="6" w:space="0" w:color="auto"/>
              <w:left w:val="single" w:sz="6" w:space="0" w:color="auto"/>
              <w:bottom w:val="single" w:sz="6" w:space="0" w:color="auto"/>
              <w:right w:val="single" w:sz="6" w:space="0" w:color="auto"/>
            </w:tcBorders>
          </w:tcPr>
          <w:p w14:paraId="5FF98844" w14:textId="77777777" w:rsidR="00A10B25" w:rsidRDefault="00A10B25">
            <w:pPr>
              <w:pStyle w:val="TAL"/>
            </w:pPr>
            <w:r>
              <w:t>204 No Content</w:t>
            </w:r>
          </w:p>
        </w:tc>
        <w:tc>
          <w:tcPr>
            <w:tcW w:w="1897" w:type="pct"/>
            <w:tcBorders>
              <w:top w:val="single" w:sz="6" w:space="0" w:color="auto"/>
              <w:left w:val="single" w:sz="6" w:space="0" w:color="auto"/>
              <w:bottom w:val="single" w:sz="6" w:space="0" w:color="auto"/>
              <w:right w:val="single" w:sz="6" w:space="0" w:color="auto"/>
            </w:tcBorders>
          </w:tcPr>
          <w:p w14:paraId="02ED8A86" w14:textId="77777777" w:rsidR="00A10B25" w:rsidRDefault="00A10B25">
            <w:pPr>
              <w:pStyle w:val="TAL"/>
            </w:pPr>
            <w:r>
              <w:t>The Individual NWDAF ML model monitoring subscription resource was modified successfully.</w:t>
            </w:r>
          </w:p>
        </w:tc>
      </w:tr>
      <w:tr w:rsidR="00A10B25" w14:paraId="1E403C94"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748D7806" w14:textId="77777777" w:rsidR="00A10B25" w:rsidRDefault="00A10B25">
            <w:pPr>
              <w:pStyle w:val="TAL"/>
              <w:rPr>
                <w:rFonts w:eastAsia="等线"/>
                <w:lang w:eastAsia="zh-CN"/>
              </w:rPr>
            </w:pPr>
            <w:r>
              <w:t>RedirectResponse</w:t>
            </w:r>
          </w:p>
        </w:tc>
        <w:tc>
          <w:tcPr>
            <w:tcW w:w="208" w:type="pct"/>
            <w:tcBorders>
              <w:top w:val="single" w:sz="6" w:space="0" w:color="auto"/>
              <w:left w:val="single" w:sz="6" w:space="0" w:color="auto"/>
              <w:bottom w:val="single" w:sz="6" w:space="0" w:color="auto"/>
              <w:right w:val="single" w:sz="6" w:space="0" w:color="auto"/>
            </w:tcBorders>
          </w:tcPr>
          <w:p w14:paraId="72426833" w14:textId="77777777" w:rsidR="00A10B25" w:rsidRDefault="00A10B25">
            <w:pPr>
              <w:pStyle w:val="TAC"/>
              <w:rPr>
                <w:rFonts w:eastAsia="等线"/>
              </w:rPr>
            </w:pPr>
            <w:r>
              <w:t>O</w:t>
            </w:r>
          </w:p>
        </w:tc>
        <w:tc>
          <w:tcPr>
            <w:tcW w:w="629" w:type="pct"/>
            <w:tcBorders>
              <w:top w:val="single" w:sz="6" w:space="0" w:color="auto"/>
              <w:left w:val="single" w:sz="6" w:space="0" w:color="auto"/>
              <w:bottom w:val="single" w:sz="6" w:space="0" w:color="auto"/>
              <w:right w:val="single" w:sz="6" w:space="0" w:color="auto"/>
            </w:tcBorders>
          </w:tcPr>
          <w:p w14:paraId="78A46DA0" w14:textId="77777777" w:rsidR="00A10B25" w:rsidRDefault="00A10B25">
            <w:pPr>
              <w:pStyle w:val="TAC"/>
            </w:pPr>
            <w:r>
              <w:t>0..1</w:t>
            </w:r>
          </w:p>
        </w:tc>
        <w:tc>
          <w:tcPr>
            <w:tcW w:w="861" w:type="pct"/>
            <w:tcBorders>
              <w:top w:val="single" w:sz="6" w:space="0" w:color="auto"/>
              <w:left w:val="single" w:sz="6" w:space="0" w:color="auto"/>
              <w:bottom w:val="single" w:sz="6" w:space="0" w:color="auto"/>
              <w:right w:val="single" w:sz="6" w:space="0" w:color="auto"/>
            </w:tcBorders>
          </w:tcPr>
          <w:p w14:paraId="570E9221" w14:textId="77777777" w:rsidR="00A10B25" w:rsidRDefault="00A10B25">
            <w:pPr>
              <w:pStyle w:val="TAL"/>
            </w:pPr>
            <w:r>
              <w:t>307 Temporary Redirect</w:t>
            </w:r>
          </w:p>
        </w:tc>
        <w:tc>
          <w:tcPr>
            <w:tcW w:w="1897" w:type="pct"/>
            <w:tcBorders>
              <w:top w:val="single" w:sz="6" w:space="0" w:color="auto"/>
              <w:left w:val="single" w:sz="6" w:space="0" w:color="auto"/>
              <w:bottom w:val="single" w:sz="6" w:space="0" w:color="auto"/>
              <w:right w:val="single" w:sz="6" w:space="0" w:color="auto"/>
            </w:tcBorders>
          </w:tcPr>
          <w:p w14:paraId="6508D154" w14:textId="77777777" w:rsidR="00A10B25" w:rsidRDefault="00A10B25">
            <w:pPr>
              <w:pStyle w:val="TAL"/>
            </w:pPr>
            <w:r>
              <w:t>Temporary redirection, during Individual NWDAF ML model monitoring subscription modification.</w:t>
            </w:r>
          </w:p>
          <w:p w14:paraId="1E537F73" w14:textId="77777777" w:rsidR="00A10B25" w:rsidRDefault="00A10B25">
            <w:pPr>
              <w:pStyle w:val="TAL"/>
            </w:pPr>
          </w:p>
          <w:p w14:paraId="044D22E4" w14:textId="77777777" w:rsidR="00A10B25" w:rsidRDefault="00A10B25">
            <w:pPr>
              <w:pStyle w:val="TAL"/>
            </w:pPr>
            <w:r>
              <w:t>(NOTE 3)</w:t>
            </w:r>
          </w:p>
        </w:tc>
      </w:tr>
      <w:tr w:rsidR="00A10B25" w14:paraId="15BD27F5" w14:textId="77777777">
        <w:trPr>
          <w:jc w:val="center"/>
        </w:trPr>
        <w:tc>
          <w:tcPr>
            <w:tcW w:w="1405" w:type="pct"/>
            <w:tcBorders>
              <w:top w:val="single" w:sz="6" w:space="0" w:color="auto"/>
              <w:left w:val="single" w:sz="6" w:space="0" w:color="auto"/>
              <w:bottom w:val="single" w:sz="6" w:space="0" w:color="auto"/>
              <w:right w:val="single" w:sz="6" w:space="0" w:color="auto"/>
            </w:tcBorders>
          </w:tcPr>
          <w:p w14:paraId="2160B2A3" w14:textId="77777777" w:rsidR="00A10B25" w:rsidRDefault="00A10B25">
            <w:pPr>
              <w:pStyle w:val="TAL"/>
              <w:rPr>
                <w:rFonts w:eastAsia="等线"/>
                <w:lang w:eastAsia="zh-CN"/>
              </w:rPr>
            </w:pPr>
            <w:r>
              <w:t>RedirectResponse</w:t>
            </w:r>
          </w:p>
        </w:tc>
        <w:tc>
          <w:tcPr>
            <w:tcW w:w="208" w:type="pct"/>
            <w:tcBorders>
              <w:top w:val="single" w:sz="6" w:space="0" w:color="auto"/>
              <w:left w:val="single" w:sz="6" w:space="0" w:color="auto"/>
              <w:bottom w:val="single" w:sz="6" w:space="0" w:color="auto"/>
              <w:right w:val="single" w:sz="6" w:space="0" w:color="auto"/>
            </w:tcBorders>
          </w:tcPr>
          <w:p w14:paraId="15B1EBE3" w14:textId="77777777" w:rsidR="00A10B25" w:rsidRDefault="00A10B25">
            <w:pPr>
              <w:pStyle w:val="TAC"/>
              <w:rPr>
                <w:rFonts w:eastAsia="等线"/>
              </w:rPr>
            </w:pPr>
            <w:r>
              <w:t>O</w:t>
            </w:r>
          </w:p>
        </w:tc>
        <w:tc>
          <w:tcPr>
            <w:tcW w:w="629" w:type="pct"/>
            <w:tcBorders>
              <w:top w:val="single" w:sz="6" w:space="0" w:color="auto"/>
              <w:left w:val="single" w:sz="6" w:space="0" w:color="auto"/>
              <w:bottom w:val="single" w:sz="6" w:space="0" w:color="auto"/>
              <w:right w:val="single" w:sz="6" w:space="0" w:color="auto"/>
            </w:tcBorders>
          </w:tcPr>
          <w:p w14:paraId="65B320AE" w14:textId="77777777" w:rsidR="00A10B25" w:rsidRDefault="00A10B25">
            <w:pPr>
              <w:pStyle w:val="TAC"/>
            </w:pPr>
            <w:r>
              <w:t>0..1</w:t>
            </w:r>
          </w:p>
        </w:tc>
        <w:tc>
          <w:tcPr>
            <w:tcW w:w="861" w:type="pct"/>
            <w:tcBorders>
              <w:top w:val="single" w:sz="6" w:space="0" w:color="auto"/>
              <w:left w:val="single" w:sz="6" w:space="0" w:color="auto"/>
              <w:bottom w:val="single" w:sz="6" w:space="0" w:color="auto"/>
              <w:right w:val="single" w:sz="6" w:space="0" w:color="auto"/>
            </w:tcBorders>
          </w:tcPr>
          <w:p w14:paraId="23F99C6A" w14:textId="77777777" w:rsidR="00A10B25" w:rsidRDefault="00A10B25">
            <w:pPr>
              <w:pStyle w:val="TAL"/>
            </w:pPr>
            <w:r>
              <w:t>308 Permanent Redirect</w:t>
            </w:r>
          </w:p>
        </w:tc>
        <w:tc>
          <w:tcPr>
            <w:tcW w:w="1897" w:type="pct"/>
            <w:tcBorders>
              <w:top w:val="single" w:sz="6" w:space="0" w:color="auto"/>
              <w:left w:val="single" w:sz="6" w:space="0" w:color="auto"/>
              <w:bottom w:val="single" w:sz="6" w:space="0" w:color="auto"/>
              <w:right w:val="single" w:sz="6" w:space="0" w:color="auto"/>
            </w:tcBorders>
          </w:tcPr>
          <w:p w14:paraId="39F242E2" w14:textId="77777777" w:rsidR="00A10B25" w:rsidRDefault="00A10B25">
            <w:pPr>
              <w:pStyle w:val="TAL"/>
            </w:pPr>
            <w:r>
              <w:t>Permanent redirection, during Individual NWDAF ML model monitoring subscription modification.</w:t>
            </w:r>
          </w:p>
          <w:p w14:paraId="1DFCB0AB" w14:textId="77777777" w:rsidR="00A10B25" w:rsidRDefault="00A10B25">
            <w:pPr>
              <w:pStyle w:val="TAL"/>
            </w:pPr>
          </w:p>
          <w:p w14:paraId="02125E6D" w14:textId="77777777" w:rsidR="00A10B25" w:rsidRDefault="00A10B25">
            <w:pPr>
              <w:pStyle w:val="TAL"/>
            </w:pPr>
            <w:r>
              <w:t>(NOTE 3)</w:t>
            </w:r>
          </w:p>
        </w:tc>
      </w:tr>
      <w:tr w:rsidR="00A10B25" w14:paraId="7A597296" w14:textId="77777777">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14B2A9DE" w14:textId="77777777" w:rsidR="00A10B25" w:rsidRDefault="00A10B25">
            <w:pPr>
              <w:pStyle w:val="TAN"/>
            </w:pPr>
            <w:r>
              <w:t>NOTE 1:</w:t>
            </w:r>
            <w:r>
              <w:tab/>
              <w:t>The mandatory HTTP error status codes for the PUT method listed in table 5.2.7.1-1 of 3GPP TS 29.500 [6] also apply.</w:t>
            </w:r>
          </w:p>
          <w:p w14:paraId="252B552F" w14:textId="77777777" w:rsidR="00A10B25" w:rsidRDefault="00A10B25">
            <w:pPr>
              <w:pStyle w:val="TAN"/>
            </w:pPr>
            <w:r>
              <w:t>NOTE 2:</w:t>
            </w:r>
            <w:r>
              <w:rPr>
                <w:lang w:val="en-US" w:eastAsia="zh-CN"/>
              </w:rPr>
              <w:tab/>
            </w:r>
            <w:r>
              <w:t>Failure cases are described in clause 5.6.7.</w:t>
            </w:r>
          </w:p>
          <w:p w14:paraId="0A6FB402" w14:textId="77777777" w:rsidR="00A10B25" w:rsidRDefault="00A10B25">
            <w:pPr>
              <w:pStyle w:val="TAN"/>
            </w:pPr>
            <w:r>
              <w:t>NOTE 3:</w:t>
            </w:r>
            <w:r>
              <w:tab/>
              <w:t>The RedirectResponse data structure may be provided by an SCP (cf. clause 6.10.9.1 of 3GPP TS 29.500 [6]).</w:t>
            </w:r>
          </w:p>
        </w:tc>
      </w:tr>
    </w:tbl>
    <w:p w14:paraId="548DD7BB" w14:textId="77777777" w:rsidR="00A10B25" w:rsidRDefault="00A10B25">
      <w:pPr>
        <w:rPr>
          <w:lang w:val="en-US" w:eastAsia="zh-CN"/>
        </w:rPr>
      </w:pPr>
    </w:p>
    <w:p w14:paraId="609A08DC" w14:textId="77777777" w:rsidR="00A10B25" w:rsidRDefault="00A10B25">
      <w:pPr>
        <w:pStyle w:val="TH"/>
      </w:pPr>
      <w:r>
        <w:t>Table 5.6.3.5.3.1-4: Headers supported by the 307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AB8829F" w14:textId="77777777">
        <w:trPr>
          <w:jc w:val="center"/>
        </w:trPr>
        <w:tc>
          <w:tcPr>
            <w:tcW w:w="825" w:type="pct"/>
            <w:tcBorders>
              <w:bottom w:val="single" w:sz="6" w:space="0" w:color="auto"/>
            </w:tcBorders>
            <w:shd w:val="clear" w:color="auto" w:fill="C0C0C0"/>
          </w:tcPr>
          <w:p w14:paraId="1052B74B"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04E63C7"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6A56B796" w14:textId="77777777" w:rsidR="00A10B25" w:rsidRDefault="00A10B25">
            <w:pPr>
              <w:pStyle w:val="TAH"/>
              <w:ind w:left="400" w:hanging="400"/>
            </w:pPr>
            <w:r>
              <w:t>P</w:t>
            </w:r>
          </w:p>
        </w:tc>
        <w:tc>
          <w:tcPr>
            <w:tcW w:w="581" w:type="pct"/>
            <w:tcBorders>
              <w:bottom w:val="single" w:sz="6" w:space="0" w:color="auto"/>
            </w:tcBorders>
            <w:shd w:val="clear" w:color="auto" w:fill="C0C0C0"/>
          </w:tcPr>
          <w:p w14:paraId="1BCDDDB8"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43BFA8B8" w14:textId="77777777" w:rsidR="00A10B25" w:rsidRDefault="00A10B25">
            <w:pPr>
              <w:pStyle w:val="TAH"/>
              <w:ind w:left="400" w:hanging="400"/>
            </w:pPr>
            <w:r>
              <w:t>Description</w:t>
            </w:r>
          </w:p>
        </w:tc>
      </w:tr>
      <w:tr w:rsidR="00A10B25" w14:paraId="63D5C4E1" w14:textId="77777777">
        <w:trPr>
          <w:jc w:val="center"/>
        </w:trPr>
        <w:tc>
          <w:tcPr>
            <w:tcW w:w="825" w:type="pct"/>
            <w:tcBorders>
              <w:top w:val="single" w:sz="6" w:space="0" w:color="auto"/>
            </w:tcBorders>
          </w:tcPr>
          <w:p w14:paraId="0377D732" w14:textId="77777777" w:rsidR="00A10B25" w:rsidRDefault="00A10B25">
            <w:pPr>
              <w:pStyle w:val="TAL"/>
            </w:pPr>
            <w:r>
              <w:t>Location</w:t>
            </w:r>
          </w:p>
        </w:tc>
        <w:tc>
          <w:tcPr>
            <w:tcW w:w="732" w:type="pct"/>
            <w:tcBorders>
              <w:top w:val="single" w:sz="6" w:space="0" w:color="auto"/>
            </w:tcBorders>
          </w:tcPr>
          <w:p w14:paraId="27874CF1" w14:textId="77777777" w:rsidR="00A10B25" w:rsidRDefault="00A10B25">
            <w:pPr>
              <w:pStyle w:val="TAL"/>
            </w:pPr>
            <w:r>
              <w:t>string</w:t>
            </w:r>
          </w:p>
        </w:tc>
        <w:tc>
          <w:tcPr>
            <w:tcW w:w="217" w:type="pct"/>
            <w:tcBorders>
              <w:top w:val="single" w:sz="6" w:space="0" w:color="auto"/>
            </w:tcBorders>
          </w:tcPr>
          <w:p w14:paraId="0C9F80BC" w14:textId="77777777" w:rsidR="00A10B25" w:rsidRDefault="00A10B25">
            <w:pPr>
              <w:pStyle w:val="TAC"/>
            </w:pPr>
            <w:r>
              <w:t>M</w:t>
            </w:r>
          </w:p>
        </w:tc>
        <w:tc>
          <w:tcPr>
            <w:tcW w:w="581" w:type="pct"/>
            <w:tcBorders>
              <w:top w:val="single" w:sz="6" w:space="0" w:color="auto"/>
            </w:tcBorders>
          </w:tcPr>
          <w:p w14:paraId="5E1A7533" w14:textId="77777777" w:rsidR="00A10B25" w:rsidRDefault="00A10B25">
            <w:pPr>
              <w:pStyle w:val="TAL"/>
            </w:pPr>
            <w:r>
              <w:t>1</w:t>
            </w:r>
          </w:p>
        </w:tc>
        <w:tc>
          <w:tcPr>
            <w:tcW w:w="2645" w:type="pct"/>
            <w:tcBorders>
              <w:top w:val="single" w:sz="6" w:space="0" w:color="auto"/>
            </w:tcBorders>
            <w:vAlign w:val="center"/>
          </w:tcPr>
          <w:p w14:paraId="380F1B9D"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6A33A11" w14:textId="77777777" w:rsidR="00A10B25" w:rsidRDefault="00A10B25">
            <w:pPr>
              <w:pStyle w:val="TAL"/>
            </w:pPr>
          </w:p>
          <w:p w14:paraId="2EF76476" w14:textId="77777777" w:rsidR="00A10B25" w:rsidRDefault="00A10B25">
            <w:pPr>
              <w:pStyle w:val="TAL"/>
            </w:pPr>
            <w:r>
              <w:t>For the case where the request is redirected to the same target via a different SCP, refer to clause 6.10.9.1 of 3GPP TS 29.500 [6].</w:t>
            </w:r>
          </w:p>
        </w:tc>
      </w:tr>
      <w:tr w:rsidR="00A10B25" w14:paraId="314AF4CE" w14:textId="77777777">
        <w:trPr>
          <w:jc w:val="center"/>
        </w:trPr>
        <w:tc>
          <w:tcPr>
            <w:tcW w:w="825" w:type="pct"/>
          </w:tcPr>
          <w:p w14:paraId="1AEEC68E" w14:textId="77777777" w:rsidR="00A10B25" w:rsidRDefault="00A10B25">
            <w:pPr>
              <w:pStyle w:val="TAL"/>
            </w:pPr>
            <w:r>
              <w:rPr>
                <w:lang w:eastAsia="zh-CN"/>
              </w:rPr>
              <w:t>3gpp-Sbi-Target-Nf-Id</w:t>
            </w:r>
          </w:p>
        </w:tc>
        <w:tc>
          <w:tcPr>
            <w:tcW w:w="732" w:type="pct"/>
          </w:tcPr>
          <w:p w14:paraId="5543EEC1" w14:textId="77777777" w:rsidR="00A10B25" w:rsidRDefault="00A10B25">
            <w:pPr>
              <w:pStyle w:val="TAL"/>
            </w:pPr>
            <w:r>
              <w:rPr>
                <w:lang w:eastAsia="fr-FR"/>
              </w:rPr>
              <w:t>string</w:t>
            </w:r>
          </w:p>
        </w:tc>
        <w:tc>
          <w:tcPr>
            <w:tcW w:w="217" w:type="pct"/>
          </w:tcPr>
          <w:p w14:paraId="2A2B52A8" w14:textId="77777777" w:rsidR="00A10B25" w:rsidRDefault="00A10B25">
            <w:pPr>
              <w:pStyle w:val="TAC"/>
            </w:pPr>
            <w:r>
              <w:rPr>
                <w:lang w:eastAsia="fr-FR"/>
              </w:rPr>
              <w:t>O</w:t>
            </w:r>
          </w:p>
        </w:tc>
        <w:tc>
          <w:tcPr>
            <w:tcW w:w="581" w:type="pct"/>
          </w:tcPr>
          <w:p w14:paraId="5B0ECA20" w14:textId="77777777" w:rsidR="00A10B25" w:rsidRDefault="00A10B25">
            <w:pPr>
              <w:pStyle w:val="TAL"/>
            </w:pPr>
            <w:r>
              <w:rPr>
                <w:lang w:eastAsia="fr-FR"/>
              </w:rPr>
              <w:t>0..1</w:t>
            </w:r>
          </w:p>
        </w:tc>
        <w:tc>
          <w:tcPr>
            <w:tcW w:w="2645" w:type="pct"/>
            <w:vAlign w:val="center"/>
          </w:tcPr>
          <w:p w14:paraId="616D1852" w14:textId="77777777" w:rsidR="00A10B25" w:rsidRDefault="00A10B25">
            <w:pPr>
              <w:pStyle w:val="TAL"/>
            </w:pPr>
            <w:r>
              <w:rPr>
                <w:lang w:eastAsia="fr-FR"/>
              </w:rPr>
              <w:t>Identifier of the target NWDAF (service) instance towards which the request is redirected.</w:t>
            </w:r>
          </w:p>
        </w:tc>
      </w:tr>
    </w:tbl>
    <w:p w14:paraId="239E55B5" w14:textId="77777777" w:rsidR="00A10B25" w:rsidRDefault="00A10B25"/>
    <w:p w14:paraId="0C4AD68D" w14:textId="77777777" w:rsidR="00A10B25" w:rsidRDefault="00A10B25">
      <w:pPr>
        <w:pStyle w:val="TH"/>
      </w:pPr>
      <w:r>
        <w:lastRenderedPageBreak/>
        <w:t>Table 5.6.3.5.3.1-5: Headers supported by the 308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B5558BF" w14:textId="77777777">
        <w:trPr>
          <w:jc w:val="center"/>
        </w:trPr>
        <w:tc>
          <w:tcPr>
            <w:tcW w:w="825" w:type="pct"/>
            <w:tcBorders>
              <w:bottom w:val="single" w:sz="6" w:space="0" w:color="auto"/>
            </w:tcBorders>
            <w:shd w:val="clear" w:color="auto" w:fill="C0C0C0"/>
          </w:tcPr>
          <w:p w14:paraId="2E1591E0"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0C8A1020"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2799559F" w14:textId="77777777" w:rsidR="00A10B25" w:rsidRDefault="00A10B25">
            <w:pPr>
              <w:pStyle w:val="TAH"/>
              <w:ind w:left="400" w:hanging="400"/>
            </w:pPr>
            <w:r>
              <w:t>P</w:t>
            </w:r>
          </w:p>
        </w:tc>
        <w:tc>
          <w:tcPr>
            <w:tcW w:w="581" w:type="pct"/>
            <w:tcBorders>
              <w:bottom w:val="single" w:sz="6" w:space="0" w:color="auto"/>
            </w:tcBorders>
            <w:shd w:val="clear" w:color="auto" w:fill="C0C0C0"/>
          </w:tcPr>
          <w:p w14:paraId="40767EDE"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1CEDD6C7" w14:textId="77777777" w:rsidR="00A10B25" w:rsidRDefault="00A10B25">
            <w:pPr>
              <w:pStyle w:val="TAH"/>
              <w:ind w:left="400" w:hanging="400"/>
            </w:pPr>
            <w:r>
              <w:t>Description</w:t>
            </w:r>
          </w:p>
        </w:tc>
      </w:tr>
      <w:tr w:rsidR="00A10B25" w14:paraId="661A7305" w14:textId="77777777">
        <w:trPr>
          <w:jc w:val="center"/>
        </w:trPr>
        <w:tc>
          <w:tcPr>
            <w:tcW w:w="825" w:type="pct"/>
            <w:tcBorders>
              <w:top w:val="single" w:sz="6" w:space="0" w:color="auto"/>
            </w:tcBorders>
          </w:tcPr>
          <w:p w14:paraId="443A8A07" w14:textId="77777777" w:rsidR="00A10B25" w:rsidRDefault="00A10B25">
            <w:pPr>
              <w:pStyle w:val="TAL"/>
            </w:pPr>
            <w:r>
              <w:t>Location</w:t>
            </w:r>
          </w:p>
        </w:tc>
        <w:tc>
          <w:tcPr>
            <w:tcW w:w="732" w:type="pct"/>
            <w:tcBorders>
              <w:top w:val="single" w:sz="6" w:space="0" w:color="auto"/>
            </w:tcBorders>
          </w:tcPr>
          <w:p w14:paraId="14CE0517" w14:textId="77777777" w:rsidR="00A10B25" w:rsidRDefault="00A10B25">
            <w:pPr>
              <w:pStyle w:val="TAL"/>
            </w:pPr>
            <w:r>
              <w:t>string</w:t>
            </w:r>
          </w:p>
        </w:tc>
        <w:tc>
          <w:tcPr>
            <w:tcW w:w="217" w:type="pct"/>
            <w:tcBorders>
              <w:top w:val="single" w:sz="6" w:space="0" w:color="auto"/>
            </w:tcBorders>
          </w:tcPr>
          <w:p w14:paraId="3EA5EEF7" w14:textId="77777777" w:rsidR="00A10B25" w:rsidRDefault="00A10B25">
            <w:pPr>
              <w:pStyle w:val="TAC"/>
            </w:pPr>
            <w:r>
              <w:t>M</w:t>
            </w:r>
          </w:p>
        </w:tc>
        <w:tc>
          <w:tcPr>
            <w:tcW w:w="581" w:type="pct"/>
            <w:tcBorders>
              <w:top w:val="single" w:sz="6" w:space="0" w:color="auto"/>
            </w:tcBorders>
          </w:tcPr>
          <w:p w14:paraId="7ECD48A0" w14:textId="77777777" w:rsidR="00A10B25" w:rsidRDefault="00A10B25">
            <w:pPr>
              <w:pStyle w:val="TAL"/>
            </w:pPr>
            <w:r>
              <w:t>1</w:t>
            </w:r>
          </w:p>
        </w:tc>
        <w:tc>
          <w:tcPr>
            <w:tcW w:w="2645" w:type="pct"/>
            <w:tcBorders>
              <w:top w:val="single" w:sz="6" w:space="0" w:color="auto"/>
            </w:tcBorders>
            <w:vAlign w:val="center"/>
          </w:tcPr>
          <w:p w14:paraId="24682C98"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4B839078" w14:textId="77777777" w:rsidR="00A10B25" w:rsidRDefault="00A10B25">
            <w:pPr>
              <w:pStyle w:val="TAL"/>
            </w:pPr>
          </w:p>
          <w:p w14:paraId="114A2FDA" w14:textId="77777777" w:rsidR="00A10B25" w:rsidRDefault="00A10B25">
            <w:pPr>
              <w:pStyle w:val="TAL"/>
            </w:pPr>
            <w:r>
              <w:t>For the case where the request is redirected to the same target via a different SCP, refer to clause 6.10.9.1 of 3GPP TS 29.500 [6].</w:t>
            </w:r>
          </w:p>
        </w:tc>
      </w:tr>
      <w:tr w:rsidR="00A10B25" w14:paraId="4325187A" w14:textId="77777777">
        <w:trPr>
          <w:jc w:val="center"/>
        </w:trPr>
        <w:tc>
          <w:tcPr>
            <w:tcW w:w="825" w:type="pct"/>
          </w:tcPr>
          <w:p w14:paraId="1FBB62D5" w14:textId="77777777" w:rsidR="00A10B25" w:rsidRDefault="00A10B25">
            <w:pPr>
              <w:pStyle w:val="TAL"/>
            </w:pPr>
            <w:r>
              <w:rPr>
                <w:lang w:eastAsia="zh-CN"/>
              </w:rPr>
              <w:t>3gpp-Sbi-Target-Nf-Id</w:t>
            </w:r>
          </w:p>
        </w:tc>
        <w:tc>
          <w:tcPr>
            <w:tcW w:w="732" w:type="pct"/>
          </w:tcPr>
          <w:p w14:paraId="72CB3AF3" w14:textId="77777777" w:rsidR="00A10B25" w:rsidRDefault="00A10B25">
            <w:pPr>
              <w:pStyle w:val="TAL"/>
            </w:pPr>
            <w:r>
              <w:rPr>
                <w:lang w:eastAsia="fr-FR"/>
              </w:rPr>
              <w:t>string</w:t>
            </w:r>
          </w:p>
        </w:tc>
        <w:tc>
          <w:tcPr>
            <w:tcW w:w="217" w:type="pct"/>
          </w:tcPr>
          <w:p w14:paraId="79A1779B" w14:textId="77777777" w:rsidR="00A10B25" w:rsidRDefault="00A10B25">
            <w:pPr>
              <w:pStyle w:val="TAC"/>
            </w:pPr>
            <w:r>
              <w:rPr>
                <w:lang w:eastAsia="fr-FR"/>
              </w:rPr>
              <w:t>O</w:t>
            </w:r>
          </w:p>
        </w:tc>
        <w:tc>
          <w:tcPr>
            <w:tcW w:w="581" w:type="pct"/>
          </w:tcPr>
          <w:p w14:paraId="427674E9" w14:textId="77777777" w:rsidR="00A10B25" w:rsidRDefault="00A10B25">
            <w:pPr>
              <w:pStyle w:val="TAL"/>
            </w:pPr>
            <w:r>
              <w:rPr>
                <w:lang w:eastAsia="fr-FR"/>
              </w:rPr>
              <w:t>0..1</w:t>
            </w:r>
          </w:p>
        </w:tc>
        <w:tc>
          <w:tcPr>
            <w:tcW w:w="2645" w:type="pct"/>
            <w:vAlign w:val="center"/>
          </w:tcPr>
          <w:p w14:paraId="556FF55F" w14:textId="77777777" w:rsidR="00A10B25" w:rsidRDefault="00A10B25">
            <w:pPr>
              <w:pStyle w:val="TAL"/>
            </w:pPr>
            <w:r>
              <w:rPr>
                <w:lang w:eastAsia="fr-FR"/>
              </w:rPr>
              <w:t>Identifier of the target NWDAF (service) instance towards which the request is redirected.</w:t>
            </w:r>
          </w:p>
        </w:tc>
      </w:tr>
    </w:tbl>
    <w:p w14:paraId="0128C76E" w14:textId="77777777" w:rsidR="00A10B25" w:rsidRDefault="00A10B25">
      <w:pPr>
        <w:rPr>
          <w:rFonts w:eastAsia="MS Mincho"/>
          <w:lang w:eastAsia="ja-JP"/>
        </w:rPr>
      </w:pPr>
    </w:p>
    <w:p w14:paraId="147788E7" w14:textId="77777777" w:rsidR="00A10B25" w:rsidRDefault="00A10B25">
      <w:pPr>
        <w:pStyle w:val="6"/>
      </w:pPr>
      <w:bookmarkStart w:id="15542" w:name="_Toc148522997"/>
      <w:bookmarkStart w:id="15543" w:name="_Toc164921186"/>
      <w:bookmarkStart w:id="15544" w:name="_Toc170120728"/>
      <w:bookmarkStart w:id="15545" w:name="_Toc175858973"/>
      <w:bookmarkStart w:id="15546" w:name="_Toc175860046"/>
      <w:bookmarkStart w:id="15547" w:name="_Toc180606336"/>
      <w:bookmarkStart w:id="15548" w:name="_Toc185517597"/>
      <w:bookmarkStart w:id="15549" w:name="_Toc191576649"/>
      <w:bookmarkStart w:id="15550" w:name="_Toc191577389"/>
      <w:bookmarkStart w:id="15551" w:name="_Toc192880459"/>
      <w:bookmarkStart w:id="15552" w:name="_Toc195815348"/>
      <w:bookmarkStart w:id="15553" w:name="_Toc199453315"/>
      <w:r>
        <w:t>5.6.3.5.3.2</w:t>
      </w:r>
      <w:r>
        <w:tab/>
        <w:t>DELETE</w:t>
      </w:r>
      <w:bookmarkEnd w:id="15542"/>
      <w:bookmarkEnd w:id="15543"/>
      <w:bookmarkEnd w:id="15544"/>
      <w:bookmarkEnd w:id="15545"/>
      <w:bookmarkEnd w:id="15546"/>
      <w:bookmarkEnd w:id="15547"/>
      <w:bookmarkEnd w:id="15548"/>
      <w:bookmarkEnd w:id="15549"/>
      <w:bookmarkEnd w:id="15550"/>
      <w:bookmarkEnd w:id="15551"/>
      <w:bookmarkEnd w:id="15552"/>
      <w:bookmarkEnd w:id="15553"/>
    </w:p>
    <w:p w14:paraId="48CBB367" w14:textId="77777777" w:rsidR="00A10B25" w:rsidRDefault="00A10B25">
      <w:r>
        <w:t>This method shall support the URI query parameters specified in table 5.6.3.5.3.2-1.</w:t>
      </w:r>
    </w:p>
    <w:p w14:paraId="49AE3F36" w14:textId="77777777" w:rsidR="00A10B25" w:rsidRDefault="00A10B25">
      <w:pPr>
        <w:pStyle w:val="TH"/>
      </w:pPr>
      <w:r>
        <w:t>Table 5.6.3.5.3.2-1: URI query parameters supported by the DELETE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4349A19" w14:textId="77777777">
        <w:trPr>
          <w:jc w:val="center"/>
        </w:trPr>
        <w:tc>
          <w:tcPr>
            <w:tcW w:w="825" w:type="pct"/>
            <w:tcBorders>
              <w:bottom w:val="single" w:sz="6" w:space="0" w:color="auto"/>
            </w:tcBorders>
            <w:shd w:val="clear" w:color="auto" w:fill="C0C0C0"/>
          </w:tcPr>
          <w:p w14:paraId="3CBBD308"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0C9BC0A3"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4E39E1D0" w14:textId="77777777" w:rsidR="00A10B25" w:rsidRDefault="00A10B25">
            <w:pPr>
              <w:pStyle w:val="TAH"/>
              <w:ind w:left="400" w:hanging="400"/>
            </w:pPr>
            <w:r>
              <w:t>P</w:t>
            </w:r>
          </w:p>
        </w:tc>
        <w:tc>
          <w:tcPr>
            <w:tcW w:w="581" w:type="pct"/>
            <w:tcBorders>
              <w:bottom w:val="single" w:sz="6" w:space="0" w:color="auto"/>
            </w:tcBorders>
            <w:shd w:val="clear" w:color="auto" w:fill="C0C0C0"/>
          </w:tcPr>
          <w:p w14:paraId="1D98D609"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0B57D936" w14:textId="77777777" w:rsidR="00A10B25" w:rsidRDefault="00A10B25">
            <w:pPr>
              <w:pStyle w:val="TAH"/>
              <w:ind w:left="400" w:hanging="400"/>
            </w:pPr>
            <w:r>
              <w:t>Description</w:t>
            </w:r>
          </w:p>
        </w:tc>
      </w:tr>
      <w:tr w:rsidR="00A10B25" w14:paraId="6D061E3B" w14:textId="77777777">
        <w:trPr>
          <w:jc w:val="center"/>
        </w:trPr>
        <w:tc>
          <w:tcPr>
            <w:tcW w:w="825" w:type="pct"/>
            <w:tcBorders>
              <w:top w:val="single" w:sz="6" w:space="0" w:color="auto"/>
            </w:tcBorders>
          </w:tcPr>
          <w:p w14:paraId="310894BD" w14:textId="77777777" w:rsidR="00A10B25" w:rsidRDefault="00A10B25">
            <w:pPr>
              <w:pStyle w:val="TAL"/>
            </w:pPr>
            <w:r>
              <w:t>n/a</w:t>
            </w:r>
          </w:p>
        </w:tc>
        <w:tc>
          <w:tcPr>
            <w:tcW w:w="732" w:type="pct"/>
            <w:tcBorders>
              <w:top w:val="single" w:sz="6" w:space="0" w:color="auto"/>
            </w:tcBorders>
          </w:tcPr>
          <w:p w14:paraId="313EE077" w14:textId="77777777" w:rsidR="00A10B25" w:rsidRDefault="00A10B25">
            <w:pPr>
              <w:pStyle w:val="TAL"/>
            </w:pPr>
          </w:p>
        </w:tc>
        <w:tc>
          <w:tcPr>
            <w:tcW w:w="217" w:type="pct"/>
            <w:tcBorders>
              <w:top w:val="single" w:sz="6" w:space="0" w:color="auto"/>
            </w:tcBorders>
          </w:tcPr>
          <w:p w14:paraId="54360BD9" w14:textId="77777777" w:rsidR="00A10B25" w:rsidRDefault="00A10B25">
            <w:pPr>
              <w:pStyle w:val="TAC"/>
            </w:pPr>
          </w:p>
        </w:tc>
        <w:tc>
          <w:tcPr>
            <w:tcW w:w="581" w:type="pct"/>
            <w:tcBorders>
              <w:top w:val="single" w:sz="6" w:space="0" w:color="auto"/>
            </w:tcBorders>
          </w:tcPr>
          <w:p w14:paraId="38715CC6" w14:textId="77777777" w:rsidR="00A10B25" w:rsidRDefault="00A10B25">
            <w:pPr>
              <w:pStyle w:val="TAL"/>
            </w:pPr>
          </w:p>
        </w:tc>
        <w:tc>
          <w:tcPr>
            <w:tcW w:w="2646" w:type="pct"/>
            <w:tcBorders>
              <w:top w:val="single" w:sz="6" w:space="0" w:color="auto"/>
            </w:tcBorders>
            <w:vAlign w:val="center"/>
          </w:tcPr>
          <w:p w14:paraId="7000E2B5" w14:textId="77777777" w:rsidR="00A10B25" w:rsidRDefault="00A10B25">
            <w:pPr>
              <w:pStyle w:val="TAL"/>
            </w:pPr>
          </w:p>
        </w:tc>
      </w:tr>
    </w:tbl>
    <w:p w14:paraId="1EC2AD9B" w14:textId="77777777" w:rsidR="00A10B25" w:rsidRDefault="00A10B25"/>
    <w:p w14:paraId="2D8AC3A4" w14:textId="77777777" w:rsidR="00A10B25" w:rsidRDefault="00A10B25">
      <w:r>
        <w:t>This method shall support the request data structures specified in table 5.6.3.5.3.2-2 and the response data structures and response codes specified in table 5.6.3.5.3.2-3.</w:t>
      </w:r>
    </w:p>
    <w:p w14:paraId="3F802420" w14:textId="77777777" w:rsidR="00A10B25" w:rsidRDefault="00A10B25">
      <w:pPr>
        <w:pStyle w:val="TH"/>
      </w:pPr>
      <w:r>
        <w:t>Table 5.6.3.5.3.2-2: Data structures supported by the DELETE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0E93B64" w14:textId="77777777">
        <w:trPr>
          <w:jc w:val="center"/>
        </w:trPr>
        <w:tc>
          <w:tcPr>
            <w:tcW w:w="1627" w:type="dxa"/>
            <w:tcBorders>
              <w:bottom w:val="single" w:sz="6" w:space="0" w:color="auto"/>
            </w:tcBorders>
            <w:shd w:val="clear" w:color="auto" w:fill="C0C0C0"/>
          </w:tcPr>
          <w:p w14:paraId="31F6A649" w14:textId="77777777" w:rsidR="00A10B25" w:rsidRDefault="00A10B25">
            <w:pPr>
              <w:pStyle w:val="TAH"/>
              <w:ind w:left="400" w:hanging="400"/>
            </w:pPr>
            <w:r>
              <w:t>Data type</w:t>
            </w:r>
          </w:p>
        </w:tc>
        <w:tc>
          <w:tcPr>
            <w:tcW w:w="425" w:type="dxa"/>
            <w:tcBorders>
              <w:bottom w:val="single" w:sz="6" w:space="0" w:color="auto"/>
            </w:tcBorders>
            <w:shd w:val="clear" w:color="auto" w:fill="C0C0C0"/>
          </w:tcPr>
          <w:p w14:paraId="5E55FD02" w14:textId="77777777" w:rsidR="00A10B25" w:rsidRDefault="00A10B25">
            <w:pPr>
              <w:pStyle w:val="TAH"/>
              <w:ind w:left="400" w:hanging="400"/>
            </w:pPr>
            <w:r>
              <w:t>P</w:t>
            </w:r>
          </w:p>
        </w:tc>
        <w:tc>
          <w:tcPr>
            <w:tcW w:w="1276" w:type="dxa"/>
            <w:tcBorders>
              <w:bottom w:val="single" w:sz="6" w:space="0" w:color="auto"/>
            </w:tcBorders>
            <w:shd w:val="clear" w:color="auto" w:fill="C0C0C0"/>
          </w:tcPr>
          <w:p w14:paraId="23D8224D" w14:textId="77777777" w:rsidR="00A10B25" w:rsidRDefault="00A10B25">
            <w:pPr>
              <w:pStyle w:val="TAH"/>
              <w:ind w:left="400" w:hanging="400"/>
            </w:pPr>
            <w:r>
              <w:t>Cardinality</w:t>
            </w:r>
          </w:p>
        </w:tc>
        <w:tc>
          <w:tcPr>
            <w:tcW w:w="6447" w:type="dxa"/>
            <w:tcBorders>
              <w:bottom w:val="single" w:sz="6" w:space="0" w:color="auto"/>
            </w:tcBorders>
            <w:shd w:val="clear" w:color="auto" w:fill="C0C0C0"/>
            <w:vAlign w:val="center"/>
          </w:tcPr>
          <w:p w14:paraId="35A89F04" w14:textId="77777777" w:rsidR="00A10B25" w:rsidRDefault="00A10B25">
            <w:pPr>
              <w:pStyle w:val="TAH"/>
              <w:ind w:left="400" w:hanging="400"/>
            </w:pPr>
            <w:r>
              <w:t>Description</w:t>
            </w:r>
          </w:p>
        </w:tc>
      </w:tr>
      <w:tr w:rsidR="00A10B25" w14:paraId="46461213" w14:textId="77777777">
        <w:trPr>
          <w:jc w:val="center"/>
        </w:trPr>
        <w:tc>
          <w:tcPr>
            <w:tcW w:w="1627" w:type="dxa"/>
            <w:tcBorders>
              <w:top w:val="single" w:sz="6" w:space="0" w:color="auto"/>
            </w:tcBorders>
          </w:tcPr>
          <w:p w14:paraId="2E982420" w14:textId="77777777" w:rsidR="00A10B25" w:rsidRDefault="00A10B25">
            <w:pPr>
              <w:pStyle w:val="TAL"/>
            </w:pPr>
            <w:r>
              <w:t>n/a</w:t>
            </w:r>
          </w:p>
        </w:tc>
        <w:tc>
          <w:tcPr>
            <w:tcW w:w="425" w:type="dxa"/>
            <w:tcBorders>
              <w:top w:val="single" w:sz="6" w:space="0" w:color="auto"/>
            </w:tcBorders>
          </w:tcPr>
          <w:p w14:paraId="1DAEAD54" w14:textId="77777777" w:rsidR="00A10B25" w:rsidRDefault="00A10B25">
            <w:pPr>
              <w:pStyle w:val="TAC"/>
            </w:pPr>
          </w:p>
        </w:tc>
        <w:tc>
          <w:tcPr>
            <w:tcW w:w="1276" w:type="dxa"/>
            <w:tcBorders>
              <w:top w:val="single" w:sz="6" w:space="0" w:color="auto"/>
            </w:tcBorders>
          </w:tcPr>
          <w:p w14:paraId="513C30DA" w14:textId="77777777" w:rsidR="00A10B25" w:rsidRDefault="00A10B25">
            <w:pPr>
              <w:pStyle w:val="TAL"/>
            </w:pPr>
          </w:p>
        </w:tc>
        <w:tc>
          <w:tcPr>
            <w:tcW w:w="6447" w:type="dxa"/>
            <w:tcBorders>
              <w:top w:val="single" w:sz="6" w:space="0" w:color="auto"/>
            </w:tcBorders>
          </w:tcPr>
          <w:p w14:paraId="0D2B0406" w14:textId="77777777" w:rsidR="00A10B25" w:rsidRDefault="00A10B25">
            <w:pPr>
              <w:pStyle w:val="TAL"/>
            </w:pPr>
          </w:p>
        </w:tc>
      </w:tr>
    </w:tbl>
    <w:p w14:paraId="09305014" w14:textId="77777777" w:rsidR="00A10B25" w:rsidRDefault="00A10B25"/>
    <w:p w14:paraId="1D7CB555" w14:textId="77777777" w:rsidR="00A10B25" w:rsidRDefault="00A10B25">
      <w:pPr>
        <w:pStyle w:val="TH"/>
      </w:pPr>
      <w:r>
        <w:t>Table 5.6.3.5.3.2-3: Data structures supported by the DELETE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07E199DA" w14:textId="77777777">
        <w:trPr>
          <w:jc w:val="center"/>
        </w:trPr>
        <w:tc>
          <w:tcPr>
            <w:tcW w:w="848" w:type="pct"/>
            <w:tcBorders>
              <w:bottom w:val="single" w:sz="6" w:space="0" w:color="auto"/>
            </w:tcBorders>
            <w:shd w:val="clear" w:color="auto" w:fill="C0C0C0"/>
          </w:tcPr>
          <w:p w14:paraId="54453BD8" w14:textId="77777777" w:rsidR="00A10B25" w:rsidRDefault="00A10B25">
            <w:pPr>
              <w:pStyle w:val="TAH"/>
              <w:ind w:left="400" w:hanging="400"/>
            </w:pPr>
            <w:r>
              <w:t>Data type</w:t>
            </w:r>
          </w:p>
        </w:tc>
        <w:tc>
          <w:tcPr>
            <w:tcW w:w="223" w:type="pct"/>
            <w:tcBorders>
              <w:bottom w:val="single" w:sz="6" w:space="0" w:color="auto"/>
            </w:tcBorders>
            <w:shd w:val="clear" w:color="auto" w:fill="C0C0C0"/>
          </w:tcPr>
          <w:p w14:paraId="7F15AF9F" w14:textId="77777777" w:rsidR="00A10B25" w:rsidRDefault="00A10B25">
            <w:pPr>
              <w:pStyle w:val="TAH"/>
              <w:ind w:left="400" w:hanging="400"/>
            </w:pPr>
            <w:r>
              <w:t>P</w:t>
            </w:r>
          </w:p>
        </w:tc>
        <w:tc>
          <w:tcPr>
            <w:tcW w:w="643" w:type="pct"/>
            <w:tcBorders>
              <w:bottom w:val="single" w:sz="6" w:space="0" w:color="auto"/>
            </w:tcBorders>
            <w:shd w:val="clear" w:color="auto" w:fill="C0C0C0"/>
          </w:tcPr>
          <w:p w14:paraId="7DFF6503" w14:textId="77777777" w:rsidR="00A10B25" w:rsidRDefault="00A10B25">
            <w:pPr>
              <w:pStyle w:val="TAH"/>
              <w:ind w:left="400" w:hanging="400"/>
            </w:pPr>
            <w:r>
              <w:t>Cardinality</w:t>
            </w:r>
          </w:p>
        </w:tc>
        <w:tc>
          <w:tcPr>
            <w:tcW w:w="577" w:type="pct"/>
            <w:tcBorders>
              <w:bottom w:val="single" w:sz="6" w:space="0" w:color="auto"/>
            </w:tcBorders>
            <w:shd w:val="clear" w:color="auto" w:fill="C0C0C0"/>
          </w:tcPr>
          <w:p w14:paraId="49D326D7" w14:textId="77777777" w:rsidR="00A10B25" w:rsidRDefault="00A10B25">
            <w:pPr>
              <w:pStyle w:val="TAH"/>
              <w:ind w:left="400" w:hanging="400"/>
            </w:pPr>
            <w:r>
              <w:t>Response</w:t>
            </w:r>
          </w:p>
          <w:p w14:paraId="4485DE99" w14:textId="77777777" w:rsidR="00A10B25" w:rsidRDefault="00A10B25">
            <w:pPr>
              <w:pStyle w:val="TAH"/>
              <w:ind w:left="400" w:hanging="400"/>
            </w:pPr>
            <w:r>
              <w:t>codes</w:t>
            </w:r>
          </w:p>
        </w:tc>
        <w:tc>
          <w:tcPr>
            <w:tcW w:w="2708" w:type="pct"/>
            <w:tcBorders>
              <w:bottom w:val="single" w:sz="6" w:space="0" w:color="auto"/>
            </w:tcBorders>
            <w:shd w:val="clear" w:color="auto" w:fill="C0C0C0"/>
          </w:tcPr>
          <w:p w14:paraId="5EB95AEA" w14:textId="77777777" w:rsidR="00A10B25" w:rsidRDefault="00A10B25">
            <w:pPr>
              <w:pStyle w:val="TAH"/>
              <w:ind w:left="400" w:hanging="400"/>
            </w:pPr>
            <w:r>
              <w:t>Description</w:t>
            </w:r>
          </w:p>
        </w:tc>
      </w:tr>
      <w:tr w:rsidR="00A10B25" w14:paraId="7116F375" w14:textId="77777777">
        <w:trPr>
          <w:jc w:val="center"/>
        </w:trPr>
        <w:tc>
          <w:tcPr>
            <w:tcW w:w="848" w:type="pct"/>
            <w:tcBorders>
              <w:top w:val="single" w:sz="6" w:space="0" w:color="auto"/>
            </w:tcBorders>
          </w:tcPr>
          <w:p w14:paraId="74D807AD" w14:textId="77777777" w:rsidR="00A10B25" w:rsidRDefault="00A10B25">
            <w:pPr>
              <w:pStyle w:val="TAL"/>
            </w:pPr>
            <w:r>
              <w:t>n/a</w:t>
            </w:r>
          </w:p>
        </w:tc>
        <w:tc>
          <w:tcPr>
            <w:tcW w:w="223" w:type="pct"/>
            <w:tcBorders>
              <w:top w:val="single" w:sz="6" w:space="0" w:color="auto"/>
            </w:tcBorders>
          </w:tcPr>
          <w:p w14:paraId="1EAB5CA1" w14:textId="77777777" w:rsidR="00A10B25" w:rsidRDefault="00A10B25"/>
        </w:tc>
        <w:tc>
          <w:tcPr>
            <w:tcW w:w="643" w:type="pct"/>
            <w:tcBorders>
              <w:top w:val="single" w:sz="6" w:space="0" w:color="auto"/>
            </w:tcBorders>
          </w:tcPr>
          <w:p w14:paraId="2F0D4BCE" w14:textId="77777777" w:rsidR="00A10B25" w:rsidRDefault="00A10B25">
            <w:pPr>
              <w:spacing w:after="0"/>
              <w:rPr>
                <w:lang w:val="en-US" w:eastAsia="zh-CN"/>
              </w:rPr>
            </w:pPr>
          </w:p>
        </w:tc>
        <w:tc>
          <w:tcPr>
            <w:tcW w:w="577" w:type="pct"/>
            <w:tcBorders>
              <w:top w:val="single" w:sz="6" w:space="0" w:color="auto"/>
            </w:tcBorders>
          </w:tcPr>
          <w:p w14:paraId="2C21E3F8" w14:textId="77777777" w:rsidR="00A10B25" w:rsidRDefault="00A10B25">
            <w:pPr>
              <w:pStyle w:val="TAL"/>
            </w:pPr>
            <w:r>
              <w:t>204 No Content</w:t>
            </w:r>
          </w:p>
        </w:tc>
        <w:tc>
          <w:tcPr>
            <w:tcW w:w="2708" w:type="pct"/>
            <w:tcBorders>
              <w:top w:val="single" w:sz="6" w:space="0" w:color="auto"/>
            </w:tcBorders>
          </w:tcPr>
          <w:p w14:paraId="2B337B89" w14:textId="77777777" w:rsidR="00A10B25" w:rsidRDefault="00A10B25">
            <w:pPr>
              <w:pStyle w:val="TAL"/>
            </w:pPr>
            <w:r>
              <w:t>Successful case: The Individual NWDAF ML model monitoring subscription resource matching the subscriptionId was deleted.</w:t>
            </w:r>
          </w:p>
        </w:tc>
      </w:tr>
      <w:tr w:rsidR="00A10B25" w14:paraId="23B76756" w14:textId="77777777">
        <w:trPr>
          <w:trHeight w:val="961"/>
          <w:jc w:val="center"/>
        </w:trPr>
        <w:tc>
          <w:tcPr>
            <w:tcW w:w="848" w:type="pct"/>
          </w:tcPr>
          <w:p w14:paraId="1886D4A7" w14:textId="77777777" w:rsidR="00A10B25" w:rsidRDefault="00A10B25">
            <w:pPr>
              <w:pStyle w:val="TAL"/>
            </w:pPr>
            <w:r>
              <w:t>RedirectResponse</w:t>
            </w:r>
          </w:p>
        </w:tc>
        <w:tc>
          <w:tcPr>
            <w:tcW w:w="223" w:type="pct"/>
          </w:tcPr>
          <w:p w14:paraId="0798DBF8" w14:textId="77777777" w:rsidR="00A10B25" w:rsidRDefault="00A10B25">
            <w:pPr>
              <w:pStyle w:val="TAC"/>
            </w:pPr>
            <w:r>
              <w:t>O</w:t>
            </w:r>
          </w:p>
        </w:tc>
        <w:tc>
          <w:tcPr>
            <w:tcW w:w="643" w:type="pct"/>
          </w:tcPr>
          <w:p w14:paraId="0E3B6FA5" w14:textId="77777777" w:rsidR="00A10B25" w:rsidRDefault="00A10B25">
            <w:pPr>
              <w:pStyle w:val="TAC"/>
            </w:pPr>
            <w:r>
              <w:t>0..1</w:t>
            </w:r>
          </w:p>
        </w:tc>
        <w:tc>
          <w:tcPr>
            <w:tcW w:w="577" w:type="pct"/>
          </w:tcPr>
          <w:p w14:paraId="1936C969" w14:textId="77777777" w:rsidR="00A10B25" w:rsidRDefault="00A10B25">
            <w:pPr>
              <w:pStyle w:val="TAL"/>
            </w:pPr>
            <w:r>
              <w:t>307 Temporary Redirect</w:t>
            </w:r>
          </w:p>
        </w:tc>
        <w:tc>
          <w:tcPr>
            <w:tcW w:w="2708" w:type="pct"/>
          </w:tcPr>
          <w:p w14:paraId="65D98B06" w14:textId="77777777" w:rsidR="00A10B25" w:rsidRDefault="00A10B25">
            <w:pPr>
              <w:pStyle w:val="TAL"/>
            </w:pPr>
            <w:r>
              <w:t>Temporary redirection, during Individual ML model monitoring subscription deletion.</w:t>
            </w:r>
          </w:p>
          <w:p w14:paraId="65B742C3" w14:textId="77777777" w:rsidR="00A10B25" w:rsidRDefault="00A10B25">
            <w:pPr>
              <w:pStyle w:val="TAL"/>
            </w:pPr>
          </w:p>
          <w:p w14:paraId="42892E06" w14:textId="77777777" w:rsidR="00A10B25" w:rsidRDefault="00A10B25">
            <w:pPr>
              <w:pStyle w:val="TAL"/>
            </w:pPr>
            <w:r>
              <w:t>(NOTE 2)</w:t>
            </w:r>
          </w:p>
        </w:tc>
      </w:tr>
      <w:tr w:rsidR="00A10B25" w14:paraId="2B9D4532" w14:textId="77777777">
        <w:trPr>
          <w:jc w:val="center"/>
        </w:trPr>
        <w:tc>
          <w:tcPr>
            <w:tcW w:w="848" w:type="pct"/>
          </w:tcPr>
          <w:p w14:paraId="4E0408D6" w14:textId="77777777" w:rsidR="00A10B25" w:rsidRDefault="00A10B25">
            <w:pPr>
              <w:pStyle w:val="TAL"/>
            </w:pPr>
            <w:r>
              <w:t>RedirectResponse</w:t>
            </w:r>
          </w:p>
        </w:tc>
        <w:tc>
          <w:tcPr>
            <w:tcW w:w="223" w:type="pct"/>
          </w:tcPr>
          <w:p w14:paraId="0BD3D53C" w14:textId="77777777" w:rsidR="00A10B25" w:rsidRDefault="00A10B25">
            <w:pPr>
              <w:pStyle w:val="TAC"/>
            </w:pPr>
            <w:r>
              <w:t>O</w:t>
            </w:r>
          </w:p>
        </w:tc>
        <w:tc>
          <w:tcPr>
            <w:tcW w:w="643" w:type="pct"/>
          </w:tcPr>
          <w:p w14:paraId="58A809F4" w14:textId="77777777" w:rsidR="00A10B25" w:rsidRDefault="00A10B25">
            <w:pPr>
              <w:pStyle w:val="TAC"/>
            </w:pPr>
            <w:r>
              <w:t>0..1</w:t>
            </w:r>
          </w:p>
        </w:tc>
        <w:tc>
          <w:tcPr>
            <w:tcW w:w="577" w:type="pct"/>
          </w:tcPr>
          <w:p w14:paraId="4192C775" w14:textId="77777777" w:rsidR="00A10B25" w:rsidRDefault="00A10B25">
            <w:pPr>
              <w:pStyle w:val="TAL"/>
            </w:pPr>
            <w:r>
              <w:t>308 Permanent Redirect</w:t>
            </w:r>
          </w:p>
        </w:tc>
        <w:tc>
          <w:tcPr>
            <w:tcW w:w="2708" w:type="pct"/>
          </w:tcPr>
          <w:p w14:paraId="36FAA9F9" w14:textId="77777777" w:rsidR="00A10B25" w:rsidRDefault="00A10B25">
            <w:pPr>
              <w:pStyle w:val="TAL"/>
            </w:pPr>
            <w:r>
              <w:t>Permanent redirection, during Individual ML model monitoring subscription deletion.</w:t>
            </w:r>
          </w:p>
          <w:p w14:paraId="49578076" w14:textId="77777777" w:rsidR="00A10B25" w:rsidRDefault="00A10B25">
            <w:pPr>
              <w:pStyle w:val="TAL"/>
            </w:pPr>
          </w:p>
          <w:p w14:paraId="3CE801E3" w14:textId="77777777" w:rsidR="00A10B25" w:rsidRDefault="00A10B25">
            <w:pPr>
              <w:pStyle w:val="TAL"/>
            </w:pPr>
            <w:r>
              <w:t>(NOTE 2)</w:t>
            </w:r>
          </w:p>
        </w:tc>
      </w:tr>
      <w:tr w:rsidR="00A10B25" w14:paraId="4337AEE4" w14:textId="77777777">
        <w:trPr>
          <w:jc w:val="center"/>
        </w:trPr>
        <w:tc>
          <w:tcPr>
            <w:tcW w:w="5000" w:type="pct"/>
            <w:gridSpan w:val="5"/>
          </w:tcPr>
          <w:p w14:paraId="4B745FF0" w14:textId="77777777" w:rsidR="00A10B25" w:rsidRDefault="00A10B25">
            <w:pPr>
              <w:pStyle w:val="TAN"/>
            </w:pPr>
            <w:r>
              <w:t>NOTE 1:</w:t>
            </w:r>
            <w:r>
              <w:tab/>
              <w:t>The mandatory HTTP error status codes for the DELETE method listed in table 5.2.7.1-1 of 3GPP TS 29.500 [6] also apply.</w:t>
            </w:r>
          </w:p>
          <w:p w14:paraId="4A914CAF" w14:textId="77777777" w:rsidR="00A10B25" w:rsidRDefault="00A10B25">
            <w:pPr>
              <w:pStyle w:val="TAN"/>
            </w:pPr>
            <w:r>
              <w:t>NOTE 2:</w:t>
            </w:r>
            <w:r>
              <w:tab/>
              <w:t>The RedirectResponse data structure may be provided by an SCP (cf. clause 6.10.9.1 of 3GPP TS 29.500 [6]).</w:t>
            </w:r>
          </w:p>
        </w:tc>
      </w:tr>
    </w:tbl>
    <w:p w14:paraId="4A3D2816" w14:textId="77777777" w:rsidR="00A10B25" w:rsidRDefault="00A10B25">
      <w:pPr>
        <w:rPr>
          <w:lang w:val="en-US" w:eastAsia="zh-CN"/>
        </w:rPr>
      </w:pPr>
    </w:p>
    <w:p w14:paraId="2737A3DE" w14:textId="77777777" w:rsidR="00A10B25" w:rsidRDefault="00A10B25">
      <w:pPr>
        <w:pStyle w:val="TH"/>
      </w:pPr>
      <w:r>
        <w:lastRenderedPageBreak/>
        <w:t>Table 5.6.3.5.3.2-4: Headers supported by the 307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7613D81" w14:textId="77777777">
        <w:trPr>
          <w:jc w:val="center"/>
        </w:trPr>
        <w:tc>
          <w:tcPr>
            <w:tcW w:w="825" w:type="pct"/>
            <w:tcBorders>
              <w:bottom w:val="single" w:sz="6" w:space="0" w:color="auto"/>
            </w:tcBorders>
            <w:shd w:val="clear" w:color="auto" w:fill="C0C0C0"/>
          </w:tcPr>
          <w:p w14:paraId="1C964741"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4C3846A7"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25FB5DCB" w14:textId="77777777" w:rsidR="00A10B25" w:rsidRDefault="00A10B25">
            <w:pPr>
              <w:pStyle w:val="TAH"/>
              <w:ind w:left="400" w:hanging="400"/>
            </w:pPr>
            <w:r>
              <w:t>P</w:t>
            </w:r>
          </w:p>
        </w:tc>
        <w:tc>
          <w:tcPr>
            <w:tcW w:w="581" w:type="pct"/>
            <w:tcBorders>
              <w:bottom w:val="single" w:sz="6" w:space="0" w:color="auto"/>
            </w:tcBorders>
            <w:shd w:val="clear" w:color="auto" w:fill="C0C0C0"/>
          </w:tcPr>
          <w:p w14:paraId="374A0884"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2E358CA4" w14:textId="77777777" w:rsidR="00A10B25" w:rsidRDefault="00A10B25">
            <w:pPr>
              <w:pStyle w:val="TAH"/>
              <w:ind w:left="400" w:hanging="400"/>
            </w:pPr>
            <w:r>
              <w:t>Description</w:t>
            </w:r>
          </w:p>
        </w:tc>
      </w:tr>
      <w:tr w:rsidR="00A10B25" w14:paraId="51AC7EDD" w14:textId="77777777">
        <w:trPr>
          <w:jc w:val="center"/>
        </w:trPr>
        <w:tc>
          <w:tcPr>
            <w:tcW w:w="825" w:type="pct"/>
            <w:tcBorders>
              <w:top w:val="single" w:sz="6" w:space="0" w:color="auto"/>
            </w:tcBorders>
          </w:tcPr>
          <w:p w14:paraId="4881541B" w14:textId="77777777" w:rsidR="00A10B25" w:rsidRDefault="00A10B25">
            <w:pPr>
              <w:pStyle w:val="TAL"/>
            </w:pPr>
            <w:r>
              <w:t>Location</w:t>
            </w:r>
          </w:p>
        </w:tc>
        <w:tc>
          <w:tcPr>
            <w:tcW w:w="732" w:type="pct"/>
            <w:tcBorders>
              <w:top w:val="single" w:sz="6" w:space="0" w:color="auto"/>
            </w:tcBorders>
          </w:tcPr>
          <w:p w14:paraId="24846C46" w14:textId="77777777" w:rsidR="00A10B25" w:rsidRDefault="00A10B25">
            <w:pPr>
              <w:pStyle w:val="TAL"/>
            </w:pPr>
            <w:r>
              <w:t>string</w:t>
            </w:r>
          </w:p>
        </w:tc>
        <w:tc>
          <w:tcPr>
            <w:tcW w:w="217" w:type="pct"/>
            <w:tcBorders>
              <w:top w:val="single" w:sz="6" w:space="0" w:color="auto"/>
            </w:tcBorders>
          </w:tcPr>
          <w:p w14:paraId="073A7274" w14:textId="77777777" w:rsidR="00A10B25" w:rsidRDefault="00A10B25">
            <w:pPr>
              <w:pStyle w:val="TAC"/>
            </w:pPr>
            <w:r>
              <w:t>M</w:t>
            </w:r>
          </w:p>
        </w:tc>
        <w:tc>
          <w:tcPr>
            <w:tcW w:w="581" w:type="pct"/>
            <w:tcBorders>
              <w:top w:val="single" w:sz="6" w:space="0" w:color="auto"/>
            </w:tcBorders>
          </w:tcPr>
          <w:p w14:paraId="68458861" w14:textId="77777777" w:rsidR="00A10B25" w:rsidRDefault="00A10B25">
            <w:pPr>
              <w:pStyle w:val="TAL"/>
            </w:pPr>
            <w:r>
              <w:t>1</w:t>
            </w:r>
          </w:p>
        </w:tc>
        <w:tc>
          <w:tcPr>
            <w:tcW w:w="2645" w:type="pct"/>
            <w:tcBorders>
              <w:top w:val="single" w:sz="6" w:space="0" w:color="auto"/>
            </w:tcBorders>
            <w:vAlign w:val="center"/>
          </w:tcPr>
          <w:p w14:paraId="4E8DF2F0"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36ADCB23" w14:textId="77777777" w:rsidR="00A10B25" w:rsidRDefault="00A10B25">
            <w:pPr>
              <w:pStyle w:val="TAL"/>
            </w:pPr>
          </w:p>
          <w:p w14:paraId="4456D169" w14:textId="77777777" w:rsidR="00A10B25" w:rsidRDefault="00A10B25">
            <w:pPr>
              <w:pStyle w:val="TAL"/>
            </w:pPr>
            <w:r>
              <w:t>For the case where the request is redirected to the same target via a different SCP, refer to clause 6.10.9.1 of 3GPP TS 29.500 [6].</w:t>
            </w:r>
          </w:p>
        </w:tc>
      </w:tr>
      <w:tr w:rsidR="00A10B25" w14:paraId="3B8F4A5C" w14:textId="77777777">
        <w:trPr>
          <w:jc w:val="center"/>
        </w:trPr>
        <w:tc>
          <w:tcPr>
            <w:tcW w:w="825" w:type="pct"/>
          </w:tcPr>
          <w:p w14:paraId="618BB654" w14:textId="77777777" w:rsidR="00A10B25" w:rsidRDefault="00A10B25">
            <w:pPr>
              <w:pStyle w:val="TAL"/>
            </w:pPr>
            <w:r>
              <w:rPr>
                <w:lang w:eastAsia="zh-CN"/>
              </w:rPr>
              <w:t>3gpp-Sbi-Target-Nf-Id</w:t>
            </w:r>
          </w:p>
        </w:tc>
        <w:tc>
          <w:tcPr>
            <w:tcW w:w="732" w:type="pct"/>
          </w:tcPr>
          <w:p w14:paraId="47DEB0BF" w14:textId="77777777" w:rsidR="00A10B25" w:rsidRDefault="00A10B25">
            <w:pPr>
              <w:pStyle w:val="TAL"/>
            </w:pPr>
            <w:r>
              <w:rPr>
                <w:lang w:eastAsia="fr-FR"/>
              </w:rPr>
              <w:t>string</w:t>
            </w:r>
          </w:p>
        </w:tc>
        <w:tc>
          <w:tcPr>
            <w:tcW w:w="217" w:type="pct"/>
          </w:tcPr>
          <w:p w14:paraId="452F6F5F" w14:textId="77777777" w:rsidR="00A10B25" w:rsidRDefault="00A10B25">
            <w:pPr>
              <w:pStyle w:val="TAC"/>
            </w:pPr>
            <w:r>
              <w:rPr>
                <w:lang w:eastAsia="fr-FR"/>
              </w:rPr>
              <w:t>O</w:t>
            </w:r>
          </w:p>
        </w:tc>
        <w:tc>
          <w:tcPr>
            <w:tcW w:w="581" w:type="pct"/>
          </w:tcPr>
          <w:p w14:paraId="47D05D23" w14:textId="77777777" w:rsidR="00A10B25" w:rsidRDefault="00A10B25">
            <w:pPr>
              <w:pStyle w:val="TAL"/>
            </w:pPr>
            <w:r>
              <w:rPr>
                <w:lang w:eastAsia="fr-FR"/>
              </w:rPr>
              <w:t>0..1</w:t>
            </w:r>
          </w:p>
        </w:tc>
        <w:tc>
          <w:tcPr>
            <w:tcW w:w="2645" w:type="pct"/>
            <w:vAlign w:val="center"/>
          </w:tcPr>
          <w:p w14:paraId="1F91E873" w14:textId="77777777" w:rsidR="00A10B25" w:rsidRDefault="00A10B25">
            <w:pPr>
              <w:pStyle w:val="TAL"/>
            </w:pPr>
            <w:r>
              <w:rPr>
                <w:lang w:eastAsia="fr-FR"/>
              </w:rPr>
              <w:t>Identifier of the target NWDAF (service) instance towards which the request is redirected.</w:t>
            </w:r>
          </w:p>
        </w:tc>
      </w:tr>
    </w:tbl>
    <w:p w14:paraId="03248950" w14:textId="77777777" w:rsidR="00A10B25" w:rsidRDefault="00A10B25"/>
    <w:p w14:paraId="2BB46608" w14:textId="77777777" w:rsidR="00A10B25" w:rsidRDefault="00A10B25">
      <w:pPr>
        <w:pStyle w:val="TH"/>
      </w:pPr>
      <w:r>
        <w:t>Table 5.6.3.5.3.2-5: Headers supported by the 308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5BF8909" w14:textId="77777777">
        <w:trPr>
          <w:jc w:val="center"/>
        </w:trPr>
        <w:tc>
          <w:tcPr>
            <w:tcW w:w="825" w:type="pct"/>
            <w:tcBorders>
              <w:bottom w:val="single" w:sz="6" w:space="0" w:color="auto"/>
            </w:tcBorders>
            <w:shd w:val="clear" w:color="auto" w:fill="C0C0C0"/>
          </w:tcPr>
          <w:p w14:paraId="42BAFB94"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A522FDD"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5E02F59E" w14:textId="77777777" w:rsidR="00A10B25" w:rsidRDefault="00A10B25">
            <w:pPr>
              <w:pStyle w:val="TAH"/>
              <w:ind w:left="400" w:hanging="400"/>
            </w:pPr>
            <w:r>
              <w:t>P</w:t>
            </w:r>
          </w:p>
        </w:tc>
        <w:tc>
          <w:tcPr>
            <w:tcW w:w="581" w:type="pct"/>
            <w:tcBorders>
              <w:bottom w:val="single" w:sz="6" w:space="0" w:color="auto"/>
            </w:tcBorders>
            <w:shd w:val="clear" w:color="auto" w:fill="C0C0C0"/>
          </w:tcPr>
          <w:p w14:paraId="3295A16A"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315E3261" w14:textId="77777777" w:rsidR="00A10B25" w:rsidRDefault="00A10B25">
            <w:pPr>
              <w:pStyle w:val="TAH"/>
              <w:ind w:left="400" w:hanging="400"/>
            </w:pPr>
            <w:r>
              <w:t>Description</w:t>
            </w:r>
          </w:p>
        </w:tc>
      </w:tr>
      <w:tr w:rsidR="00A10B25" w14:paraId="7EE6E4EB" w14:textId="77777777">
        <w:trPr>
          <w:jc w:val="center"/>
        </w:trPr>
        <w:tc>
          <w:tcPr>
            <w:tcW w:w="825" w:type="pct"/>
            <w:tcBorders>
              <w:top w:val="single" w:sz="6" w:space="0" w:color="auto"/>
            </w:tcBorders>
          </w:tcPr>
          <w:p w14:paraId="1FF8D0EC" w14:textId="77777777" w:rsidR="00A10B25" w:rsidRDefault="00A10B25">
            <w:pPr>
              <w:pStyle w:val="TAL"/>
            </w:pPr>
            <w:r>
              <w:t>Location</w:t>
            </w:r>
          </w:p>
        </w:tc>
        <w:tc>
          <w:tcPr>
            <w:tcW w:w="732" w:type="pct"/>
            <w:tcBorders>
              <w:top w:val="single" w:sz="6" w:space="0" w:color="auto"/>
            </w:tcBorders>
          </w:tcPr>
          <w:p w14:paraId="2773BF7C" w14:textId="77777777" w:rsidR="00A10B25" w:rsidRDefault="00A10B25">
            <w:pPr>
              <w:pStyle w:val="TAL"/>
            </w:pPr>
            <w:r>
              <w:t>string</w:t>
            </w:r>
          </w:p>
        </w:tc>
        <w:tc>
          <w:tcPr>
            <w:tcW w:w="217" w:type="pct"/>
            <w:tcBorders>
              <w:top w:val="single" w:sz="6" w:space="0" w:color="auto"/>
            </w:tcBorders>
          </w:tcPr>
          <w:p w14:paraId="1E85B20B" w14:textId="77777777" w:rsidR="00A10B25" w:rsidRDefault="00A10B25">
            <w:pPr>
              <w:pStyle w:val="TAC"/>
            </w:pPr>
            <w:r>
              <w:t>M</w:t>
            </w:r>
          </w:p>
        </w:tc>
        <w:tc>
          <w:tcPr>
            <w:tcW w:w="581" w:type="pct"/>
            <w:tcBorders>
              <w:top w:val="single" w:sz="6" w:space="0" w:color="auto"/>
            </w:tcBorders>
          </w:tcPr>
          <w:p w14:paraId="0A0C1A1B" w14:textId="77777777" w:rsidR="00A10B25" w:rsidRDefault="00A10B25">
            <w:pPr>
              <w:pStyle w:val="TAL"/>
            </w:pPr>
            <w:r>
              <w:t>1</w:t>
            </w:r>
          </w:p>
        </w:tc>
        <w:tc>
          <w:tcPr>
            <w:tcW w:w="2645" w:type="pct"/>
            <w:tcBorders>
              <w:top w:val="single" w:sz="6" w:space="0" w:color="auto"/>
            </w:tcBorders>
            <w:vAlign w:val="center"/>
          </w:tcPr>
          <w:p w14:paraId="0D522393" w14:textId="77777777" w:rsidR="00A10B25" w:rsidRDefault="00A10B25">
            <w:pPr>
              <w:pStyle w:val="TAL"/>
            </w:pPr>
            <w:r>
              <w:t xml:space="preserve">Contains an alternative URI of the resource located in an alternative NWDAF (service) instance </w:t>
            </w:r>
            <w:r>
              <w:rPr>
                <w:lang w:eastAsia="fr-FR"/>
              </w:rPr>
              <w:t>towards which the request is redirected</w:t>
            </w:r>
          </w:p>
          <w:p w14:paraId="232B86DC" w14:textId="77777777" w:rsidR="00A10B25" w:rsidRDefault="00A10B25">
            <w:pPr>
              <w:pStyle w:val="TAL"/>
            </w:pPr>
          </w:p>
          <w:p w14:paraId="57E17233" w14:textId="77777777" w:rsidR="00A10B25" w:rsidRDefault="00A10B25">
            <w:pPr>
              <w:pStyle w:val="TAL"/>
            </w:pPr>
            <w:r>
              <w:t>For the case where the request is redirected to the same target via a different SCP, refer to clause 6.10.9.1 of 3GPP TS 29.500 [6].</w:t>
            </w:r>
          </w:p>
        </w:tc>
      </w:tr>
      <w:tr w:rsidR="00A10B25" w14:paraId="3393E299" w14:textId="77777777">
        <w:trPr>
          <w:jc w:val="center"/>
        </w:trPr>
        <w:tc>
          <w:tcPr>
            <w:tcW w:w="825" w:type="pct"/>
          </w:tcPr>
          <w:p w14:paraId="7AE8F5C4" w14:textId="77777777" w:rsidR="00A10B25" w:rsidRDefault="00A10B25">
            <w:pPr>
              <w:pStyle w:val="TAL"/>
            </w:pPr>
            <w:r>
              <w:rPr>
                <w:lang w:eastAsia="zh-CN"/>
              </w:rPr>
              <w:t>3gpp-Sbi-Target-Nf-Id</w:t>
            </w:r>
          </w:p>
        </w:tc>
        <w:tc>
          <w:tcPr>
            <w:tcW w:w="732" w:type="pct"/>
          </w:tcPr>
          <w:p w14:paraId="56295DB5" w14:textId="77777777" w:rsidR="00A10B25" w:rsidRDefault="00A10B25">
            <w:pPr>
              <w:pStyle w:val="TAL"/>
            </w:pPr>
            <w:r>
              <w:rPr>
                <w:lang w:eastAsia="fr-FR"/>
              </w:rPr>
              <w:t>string</w:t>
            </w:r>
          </w:p>
        </w:tc>
        <w:tc>
          <w:tcPr>
            <w:tcW w:w="217" w:type="pct"/>
          </w:tcPr>
          <w:p w14:paraId="0BFCCC30" w14:textId="77777777" w:rsidR="00A10B25" w:rsidRDefault="00A10B25">
            <w:pPr>
              <w:pStyle w:val="TAC"/>
            </w:pPr>
            <w:r>
              <w:rPr>
                <w:lang w:eastAsia="fr-FR"/>
              </w:rPr>
              <w:t>O</w:t>
            </w:r>
          </w:p>
        </w:tc>
        <w:tc>
          <w:tcPr>
            <w:tcW w:w="581" w:type="pct"/>
          </w:tcPr>
          <w:p w14:paraId="7C320255" w14:textId="77777777" w:rsidR="00A10B25" w:rsidRDefault="00A10B25">
            <w:pPr>
              <w:pStyle w:val="TAL"/>
            </w:pPr>
            <w:r>
              <w:rPr>
                <w:lang w:eastAsia="fr-FR"/>
              </w:rPr>
              <w:t>0..1</w:t>
            </w:r>
          </w:p>
        </w:tc>
        <w:tc>
          <w:tcPr>
            <w:tcW w:w="2645" w:type="pct"/>
            <w:vAlign w:val="center"/>
          </w:tcPr>
          <w:p w14:paraId="25908039" w14:textId="77777777" w:rsidR="00A10B25" w:rsidRDefault="00A10B25">
            <w:pPr>
              <w:pStyle w:val="TAL"/>
            </w:pPr>
            <w:r>
              <w:rPr>
                <w:lang w:eastAsia="fr-FR"/>
              </w:rPr>
              <w:t>Identifier of the target NWDAF (service) instance towards which the request is redirected.</w:t>
            </w:r>
          </w:p>
        </w:tc>
      </w:tr>
    </w:tbl>
    <w:p w14:paraId="4B68E3E5" w14:textId="77777777" w:rsidR="00A10B25" w:rsidRDefault="00A10B25">
      <w:pPr>
        <w:rPr>
          <w:rFonts w:eastAsia="MS Mincho"/>
          <w:lang w:eastAsia="ja-JP"/>
        </w:rPr>
      </w:pPr>
    </w:p>
    <w:p w14:paraId="11FB99A4" w14:textId="77777777" w:rsidR="00A10B25" w:rsidRDefault="00A10B25">
      <w:pPr>
        <w:pStyle w:val="5"/>
      </w:pPr>
      <w:bookmarkStart w:id="15554" w:name="_Toc148522998"/>
      <w:bookmarkStart w:id="15555" w:name="_Toc164921187"/>
      <w:bookmarkStart w:id="15556" w:name="_Toc170120729"/>
      <w:bookmarkStart w:id="15557" w:name="_Toc175858974"/>
      <w:bookmarkStart w:id="15558" w:name="_Toc175860047"/>
      <w:bookmarkStart w:id="15559" w:name="_Toc180606337"/>
      <w:bookmarkStart w:id="15560" w:name="_Toc185517598"/>
      <w:bookmarkStart w:id="15561" w:name="_Toc191576650"/>
      <w:bookmarkStart w:id="15562" w:name="_Toc191577390"/>
      <w:bookmarkStart w:id="15563" w:name="_Toc192880460"/>
      <w:bookmarkStart w:id="15564" w:name="_Toc195815349"/>
      <w:bookmarkStart w:id="15565" w:name="_Toc199453316"/>
      <w:r>
        <w:t>5.6.3.5.4</w:t>
      </w:r>
      <w:r>
        <w:tab/>
        <w:t>Resource Custom Operations</w:t>
      </w:r>
      <w:bookmarkEnd w:id="15554"/>
      <w:bookmarkEnd w:id="15555"/>
      <w:bookmarkEnd w:id="15556"/>
      <w:bookmarkEnd w:id="15557"/>
      <w:bookmarkEnd w:id="15558"/>
      <w:bookmarkEnd w:id="15559"/>
      <w:bookmarkEnd w:id="15560"/>
      <w:bookmarkEnd w:id="15561"/>
      <w:bookmarkEnd w:id="15562"/>
      <w:bookmarkEnd w:id="15563"/>
      <w:bookmarkEnd w:id="15564"/>
      <w:bookmarkEnd w:id="15565"/>
    </w:p>
    <w:p w14:paraId="7C41ED0F" w14:textId="77777777" w:rsidR="00A10B25" w:rsidRDefault="00A10B25">
      <w:pPr>
        <w:rPr>
          <w:lang w:val="en-US" w:eastAsia="zh-CN"/>
        </w:rPr>
      </w:pPr>
      <w:r>
        <w:t>None in this release of the specification.</w:t>
      </w:r>
    </w:p>
    <w:p w14:paraId="08305968" w14:textId="77777777" w:rsidR="00A10B25" w:rsidRDefault="00A10B25">
      <w:pPr>
        <w:pStyle w:val="3"/>
      </w:pPr>
      <w:bookmarkStart w:id="15566" w:name="_Toc148522999"/>
      <w:bookmarkStart w:id="15567" w:name="_Toc164921188"/>
      <w:bookmarkStart w:id="15568" w:name="_Toc170120730"/>
      <w:bookmarkStart w:id="15569" w:name="_Toc175858975"/>
      <w:bookmarkStart w:id="15570" w:name="_Toc175860048"/>
      <w:bookmarkStart w:id="15571" w:name="_Toc180606338"/>
      <w:bookmarkStart w:id="15572" w:name="_Toc185517599"/>
      <w:bookmarkStart w:id="15573" w:name="_Toc191576651"/>
      <w:bookmarkStart w:id="15574" w:name="_Toc191577391"/>
      <w:bookmarkStart w:id="15575" w:name="_Toc192880461"/>
      <w:bookmarkStart w:id="15576" w:name="_Toc195815350"/>
      <w:bookmarkStart w:id="15577" w:name="_Toc199453317"/>
      <w:r>
        <w:rPr>
          <w:lang w:val="en-US"/>
        </w:rPr>
        <w:t>5.6.4</w:t>
      </w:r>
      <w:r>
        <w:rPr>
          <w:lang w:val="en-US"/>
        </w:rPr>
        <w:tab/>
        <w:t>Custom Operations without associated resources</w:t>
      </w:r>
      <w:bookmarkEnd w:id="15566"/>
      <w:bookmarkEnd w:id="15567"/>
      <w:bookmarkEnd w:id="15568"/>
      <w:bookmarkEnd w:id="15569"/>
      <w:bookmarkEnd w:id="15570"/>
      <w:bookmarkEnd w:id="15571"/>
      <w:bookmarkEnd w:id="15572"/>
      <w:bookmarkEnd w:id="15573"/>
      <w:bookmarkEnd w:id="15574"/>
      <w:bookmarkEnd w:id="15575"/>
      <w:bookmarkEnd w:id="15576"/>
      <w:bookmarkEnd w:id="15577"/>
    </w:p>
    <w:p w14:paraId="41E28F1F" w14:textId="77777777" w:rsidR="00A10B25" w:rsidRDefault="00A10B25">
      <w:pPr>
        <w:rPr>
          <w:lang w:val="en-US" w:eastAsia="zh-CN"/>
        </w:rPr>
      </w:pPr>
      <w:r>
        <w:rPr>
          <w:rFonts w:eastAsia="Batang"/>
          <w:lang w:val="en-US"/>
        </w:rPr>
        <w:t>None in this release of the specification.</w:t>
      </w:r>
    </w:p>
    <w:p w14:paraId="2B9975C6" w14:textId="77777777" w:rsidR="00A10B25" w:rsidRDefault="00A10B25">
      <w:pPr>
        <w:pStyle w:val="3"/>
        <w:rPr>
          <w:lang w:val="en-US"/>
        </w:rPr>
      </w:pPr>
      <w:bookmarkStart w:id="15578" w:name="_Toc148523000"/>
      <w:bookmarkStart w:id="15579" w:name="_Toc164921189"/>
      <w:bookmarkStart w:id="15580" w:name="_Toc170120731"/>
      <w:bookmarkStart w:id="15581" w:name="_Toc175858976"/>
      <w:bookmarkStart w:id="15582" w:name="_Toc175860049"/>
      <w:bookmarkStart w:id="15583" w:name="_Toc180606339"/>
      <w:bookmarkStart w:id="15584" w:name="_Toc185517600"/>
      <w:bookmarkStart w:id="15585" w:name="_Toc191576652"/>
      <w:bookmarkStart w:id="15586" w:name="_Toc191577392"/>
      <w:bookmarkStart w:id="15587" w:name="_Toc192880462"/>
      <w:bookmarkStart w:id="15588" w:name="_Toc195815351"/>
      <w:bookmarkStart w:id="15589" w:name="_Toc199453318"/>
      <w:r>
        <w:rPr>
          <w:lang w:val="en-US"/>
        </w:rPr>
        <w:t>5.6.5</w:t>
      </w:r>
      <w:r>
        <w:rPr>
          <w:lang w:val="en-US"/>
        </w:rPr>
        <w:tab/>
        <w:t>Notifications</w:t>
      </w:r>
      <w:bookmarkEnd w:id="15578"/>
      <w:bookmarkEnd w:id="15579"/>
      <w:bookmarkEnd w:id="15580"/>
      <w:bookmarkEnd w:id="15581"/>
      <w:bookmarkEnd w:id="15582"/>
      <w:bookmarkEnd w:id="15583"/>
      <w:bookmarkEnd w:id="15584"/>
      <w:bookmarkEnd w:id="15585"/>
      <w:bookmarkEnd w:id="15586"/>
      <w:bookmarkEnd w:id="15587"/>
      <w:bookmarkEnd w:id="15588"/>
      <w:bookmarkEnd w:id="15589"/>
    </w:p>
    <w:p w14:paraId="3947FAC8" w14:textId="77777777" w:rsidR="00A10B25" w:rsidRDefault="00A10B25">
      <w:pPr>
        <w:pStyle w:val="4"/>
      </w:pPr>
      <w:bookmarkStart w:id="15590" w:name="_Toc148523001"/>
      <w:bookmarkStart w:id="15591" w:name="_Toc164921190"/>
      <w:bookmarkStart w:id="15592" w:name="_Toc170120732"/>
      <w:bookmarkStart w:id="15593" w:name="_Toc175858977"/>
      <w:bookmarkStart w:id="15594" w:name="_Toc175860050"/>
      <w:bookmarkStart w:id="15595" w:name="_Toc180606340"/>
      <w:bookmarkStart w:id="15596" w:name="_Toc185517601"/>
      <w:bookmarkStart w:id="15597" w:name="_Toc191576653"/>
      <w:bookmarkStart w:id="15598" w:name="_Toc191577393"/>
      <w:bookmarkStart w:id="15599" w:name="_Toc192880463"/>
      <w:bookmarkStart w:id="15600" w:name="_Toc195815352"/>
      <w:bookmarkStart w:id="15601" w:name="_Toc199453319"/>
      <w:r>
        <w:t>5.6.5.1</w:t>
      </w:r>
      <w:r>
        <w:tab/>
        <w:t>General</w:t>
      </w:r>
      <w:bookmarkEnd w:id="15590"/>
      <w:bookmarkEnd w:id="15591"/>
      <w:bookmarkEnd w:id="15592"/>
      <w:bookmarkEnd w:id="15593"/>
      <w:bookmarkEnd w:id="15594"/>
      <w:bookmarkEnd w:id="15595"/>
      <w:bookmarkEnd w:id="15596"/>
      <w:bookmarkEnd w:id="15597"/>
      <w:bookmarkEnd w:id="15598"/>
      <w:bookmarkEnd w:id="15599"/>
      <w:bookmarkEnd w:id="15600"/>
      <w:bookmarkEnd w:id="15601"/>
    </w:p>
    <w:p w14:paraId="196C99EF" w14:textId="77777777" w:rsidR="00A10B25" w:rsidRDefault="00A10B25">
      <w:r>
        <w:t>Notifications shall comply with clause 6.2 of 3GPP TS 29.500 [6] and clause 4.6.2.3 of 3GPP TS 29.501 [7].</w:t>
      </w:r>
    </w:p>
    <w:p w14:paraId="765A200A" w14:textId="77777777" w:rsidR="00A10B25" w:rsidRDefault="00A10B25">
      <w:pPr>
        <w:pStyle w:val="TH"/>
      </w:pPr>
      <w:r>
        <w:t>Table 5.6.5.1-1: Notifications overview</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1835"/>
        <w:gridCol w:w="1843"/>
        <w:gridCol w:w="2386"/>
        <w:gridCol w:w="3465"/>
      </w:tblGrid>
      <w:tr w:rsidR="00A10B25" w14:paraId="3AECBCA2" w14:textId="77777777">
        <w:trPr>
          <w:jc w:val="center"/>
        </w:trPr>
        <w:tc>
          <w:tcPr>
            <w:tcW w:w="963" w:type="pct"/>
            <w:shd w:val="clear" w:color="auto" w:fill="C0C0C0"/>
            <w:vAlign w:val="center"/>
          </w:tcPr>
          <w:p w14:paraId="7A8C2500" w14:textId="77777777" w:rsidR="00A10B25" w:rsidRDefault="00A10B25">
            <w:pPr>
              <w:pStyle w:val="TAH"/>
              <w:ind w:left="400" w:hanging="400"/>
            </w:pPr>
            <w:r>
              <w:t>Notification</w:t>
            </w:r>
          </w:p>
        </w:tc>
        <w:tc>
          <w:tcPr>
            <w:tcW w:w="967" w:type="pct"/>
            <w:shd w:val="clear" w:color="auto" w:fill="C0C0C0"/>
            <w:vAlign w:val="center"/>
          </w:tcPr>
          <w:p w14:paraId="6D747D7D" w14:textId="77777777" w:rsidR="00A10B25" w:rsidRDefault="00A10B25">
            <w:pPr>
              <w:pStyle w:val="TAH"/>
              <w:ind w:left="400" w:hanging="400"/>
            </w:pPr>
            <w:r>
              <w:t>Callback URI</w:t>
            </w:r>
          </w:p>
        </w:tc>
        <w:tc>
          <w:tcPr>
            <w:tcW w:w="1252" w:type="pct"/>
            <w:shd w:val="clear" w:color="auto" w:fill="C0C0C0"/>
            <w:vAlign w:val="center"/>
          </w:tcPr>
          <w:p w14:paraId="28FF146E" w14:textId="77777777" w:rsidR="00A10B25" w:rsidRDefault="00A10B25">
            <w:pPr>
              <w:pStyle w:val="TAH"/>
              <w:ind w:left="400" w:hanging="400"/>
            </w:pPr>
            <w:r>
              <w:t>HTTP method or custom operation</w:t>
            </w:r>
          </w:p>
        </w:tc>
        <w:tc>
          <w:tcPr>
            <w:tcW w:w="1818" w:type="pct"/>
            <w:shd w:val="clear" w:color="auto" w:fill="C0C0C0"/>
            <w:vAlign w:val="center"/>
          </w:tcPr>
          <w:p w14:paraId="5CBF88B7" w14:textId="77777777" w:rsidR="00A10B25" w:rsidRDefault="00A10B25">
            <w:pPr>
              <w:pStyle w:val="TAH"/>
              <w:ind w:left="400" w:hanging="400"/>
            </w:pPr>
            <w:r>
              <w:t>Description (service operation)</w:t>
            </w:r>
          </w:p>
        </w:tc>
      </w:tr>
      <w:tr w:rsidR="00A10B25" w14:paraId="0C857A0D" w14:textId="77777777">
        <w:trPr>
          <w:jc w:val="center"/>
        </w:trPr>
        <w:tc>
          <w:tcPr>
            <w:tcW w:w="963" w:type="pct"/>
          </w:tcPr>
          <w:p w14:paraId="270D58C3" w14:textId="77777777" w:rsidR="00A10B25" w:rsidRDefault="00A10B25">
            <w:pPr>
              <w:pStyle w:val="TAL"/>
              <w:rPr>
                <w:lang w:val="en-US" w:eastAsia="zh-CN"/>
              </w:rPr>
            </w:pPr>
            <w:r>
              <w:rPr>
                <w:rFonts w:cs="Arial"/>
                <w:szCs w:val="18"/>
                <w:lang w:val="en-US"/>
              </w:rPr>
              <w:t>Event Notification</w:t>
            </w:r>
          </w:p>
        </w:tc>
        <w:tc>
          <w:tcPr>
            <w:tcW w:w="967" w:type="pct"/>
          </w:tcPr>
          <w:p w14:paraId="4612F660" w14:textId="77777777" w:rsidR="00A10B25" w:rsidRDefault="00A10B25">
            <w:pPr>
              <w:pStyle w:val="af0"/>
              <w:keepNext/>
              <w:keepLines/>
              <w:spacing w:after="0"/>
            </w:pPr>
            <w:r>
              <w:rPr>
                <w:lang w:val="en-US" w:eastAsia="zh-CN"/>
              </w:rPr>
              <w:t>{notificationUri}</w:t>
            </w:r>
          </w:p>
        </w:tc>
        <w:tc>
          <w:tcPr>
            <w:tcW w:w="1252" w:type="pct"/>
          </w:tcPr>
          <w:p w14:paraId="608289EE" w14:textId="77777777" w:rsidR="00A10B25" w:rsidRDefault="00A10B25">
            <w:pPr>
              <w:pStyle w:val="TAL"/>
            </w:pPr>
            <w:r>
              <w:t>POST</w:t>
            </w:r>
          </w:p>
        </w:tc>
        <w:tc>
          <w:tcPr>
            <w:tcW w:w="1818" w:type="pct"/>
          </w:tcPr>
          <w:p w14:paraId="0AF24D20" w14:textId="77777777" w:rsidR="00A10B25" w:rsidRDefault="00A10B25">
            <w:pPr>
              <w:pStyle w:val="TAL"/>
            </w:pPr>
            <w:r>
              <w:t>Report analytics feedback information.</w:t>
            </w:r>
          </w:p>
        </w:tc>
      </w:tr>
    </w:tbl>
    <w:p w14:paraId="77A80BC0" w14:textId="77777777" w:rsidR="00A10B25" w:rsidRDefault="00A10B25"/>
    <w:p w14:paraId="04D7CC73" w14:textId="77777777" w:rsidR="00A10B25" w:rsidRDefault="00A10B25">
      <w:pPr>
        <w:pStyle w:val="4"/>
      </w:pPr>
      <w:bookmarkStart w:id="15602" w:name="_Toc148523002"/>
      <w:bookmarkStart w:id="15603" w:name="_Toc164921191"/>
      <w:bookmarkStart w:id="15604" w:name="_Toc170120733"/>
      <w:bookmarkStart w:id="15605" w:name="_Toc175858978"/>
      <w:bookmarkStart w:id="15606" w:name="_Toc175860051"/>
      <w:bookmarkStart w:id="15607" w:name="_Toc180606341"/>
      <w:bookmarkStart w:id="15608" w:name="_Toc185517602"/>
      <w:bookmarkStart w:id="15609" w:name="_Toc191576654"/>
      <w:bookmarkStart w:id="15610" w:name="_Toc191577394"/>
      <w:bookmarkStart w:id="15611" w:name="_Toc192880464"/>
      <w:bookmarkStart w:id="15612" w:name="_Toc195815353"/>
      <w:bookmarkStart w:id="15613" w:name="_Toc199453320"/>
      <w:r>
        <w:t>5.6.5.2</w:t>
      </w:r>
      <w:r>
        <w:tab/>
        <w:t>Event Notification</w:t>
      </w:r>
      <w:bookmarkEnd w:id="15602"/>
      <w:bookmarkEnd w:id="15603"/>
      <w:bookmarkEnd w:id="15604"/>
      <w:bookmarkEnd w:id="15605"/>
      <w:bookmarkEnd w:id="15606"/>
      <w:bookmarkEnd w:id="15607"/>
      <w:bookmarkEnd w:id="15608"/>
      <w:bookmarkEnd w:id="15609"/>
      <w:bookmarkEnd w:id="15610"/>
      <w:bookmarkEnd w:id="15611"/>
      <w:bookmarkEnd w:id="15612"/>
      <w:bookmarkEnd w:id="15613"/>
    </w:p>
    <w:p w14:paraId="65CB0974" w14:textId="77777777" w:rsidR="00A10B25" w:rsidRDefault="00A10B25">
      <w:pPr>
        <w:pStyle w:val="5"/>
      </w:pPr>
      <w:bookmarkStart w:id="15614" w:name="_Toc148523003"/>
      <w:bookmarkStart w:id="15615" w:name="_Toc164921192"/>
      <w:bookmarkStart w:id="15616" w:name="_Toc170120734"/>
      <w:bookmarkStart w:id="15617" w:name="_Toc175858979"/>
      <w:bookmarkStart w:id="15618" w:name="_Toc175860052"/>
      <w:bookmarkStart w:id="15619" w:name="_Toc180606342"/>
      <w:bookmarkStart w:id="15620" w:name="_Toc185517603"/>
      <w:bookmarkStart w:id="15621" w:name="_Toc191576655"/>
      <w:bookmarkStart w:id="15622" w:name="_Toc191577395"/>
      <w:bookmarkStart w:id="15623" w:name="_Toc192880465"/>
      <w:bookmarkStart w:id="15624" w:name="_Toc195815354"/>
      <w:bookmarkStart w:id="15625" w:name="_Toc199453321"/>
      <w:r>
        <w:t>5.6.5.2.1</w:t>
      </w:r>
      <w:r>
        <w:tab/>
        <w:t>Description</w:t>
      </w:r>
      <w:bookmarkEnd w:id="15614"/>
      <w:bookmarkEnd w:id="15615"/>
      <w:bookmarkEnd w:id="15616"/>
      <w:bookmarkEnd w:id="15617"/>
      <w:bookmarkEnd w:id="15618"/>
      <w:bookmarkEnd w:id="15619"/>
      <w:bookmarkEnd w:id="15620"/>
      <w:bookmarkEnd w:id="15621"/>
      <w:bookmarkEnd w:id="15622"/>
      <w:bookmarkEnd w:id="15623"/>
      <w:bookmarkEnd w:id="15624"/>
      <w:bookmarkEnd w:id="15625"/>
    </w:p>
    <w:p w14:paraId="39369164" w14:textId="77777777" w:rsidR="00A10B25" w:rsidRDefault="00A10B25">
      <w:r>
        <w:t xml:space="preserve">The Event Notification is used by the NWDAF containing AnLF to report analytics feedback information to the </w:t>
      </w:r>
      <w:r>
        <w:rPr>
          <w:lang w:eastAsia="ja-JP"/>
        </w:rPr>
        <w:t>NF service consumer</w:t>
      </w:r>
      <w:r>
        <w:t xml:space="preserve"> that has subscribed to such Notifications.</w:t>
      </w:r>
    </w:p>
    <w:p w14:paraId="7D747288" w14:textId="77777777" w:rsidR="00A10B25" w:rsidRDefault="00A10B25">
      <w:pPr>
        <w:pStyle w:val="5"/>
      </w:pPr>
      <w:bookmarkStart w:id="15626" w:name="_Toc148523004"/>
      <w:bookmarkStart w:id="15627" w:name="_Toc164921193"/>
      <w:bookmarkStart w:id="15628" w:name="_Toc170120735"/>
      <w:bookmarkStart w:id="15629" w:name="_Toc175858980"/>
      <w:bookmarkStart w:id="15630" w:name="_Toc175860053"/>
      <w:bookmarkStart w:id="15631" w:name="_Toc180606343"/>
      <w:bookmarkStart w:id="15632" w:name="_Toc185517604"/>
      <w:bookmarkStart w:id="15633" w:name="_Toc191576656"/>
      <w:bookmarkStart w:id="15634" w:name="_Toc191577396"/>
      <w:bookmarkStart w:id="15635" w:name="_Toc192880466"/>
      <w:bookmarkStart w:id="15636" w:name="_Toc195815355"/>
      <w:bookmarkStart w:id="15637" w:name="_Toc199453322"/>
      <w:r>
        <w:t>5.6.5.2.2</w:t>
      </w:r>
      <w:r>
        <w:tab/>
      </w:r>
      <w:r>
        <w:rPr>
          <w:lang w:val="en-US" w:eastAsia="zh-CN"/>
        </w:rPr>
        <w:t>Operation Definition</w:t>
      </w:r>
      <w:bookmarkEnd w:id="15626"/>
      <w:bookmarkEnd w:id="15627"/>
      <w:bookmarkEnd w:id="15628"/>
      <w:bookmarkEnd w:id="15629"/>
      <w:bookmarkEnd w:id="15630"/>
      <w:bookmarkEnd w:id="15631"/>
      <w:bookmarkEnd w:id="15632"/>
      <w:bookmarkEnd w:id="15633"/>
      <w:bookmarkEnd w:id="15634"/>
      <w:bookmarkEnd w:id="15635"/>
      <w:bookmarkEnd w:id="15636"/>
      <w:bookmarkEnd w:id="15637"/>
    </w:p>
    <w:p w14:paraId="775AB700" w14:textId="77777777" w:rsidR="00A10B25" w:rsidRDefault="00A10B25">
      <w:pPr>
        <w:rPr>
          <w:rFonts w:eastAsia="Batang"/>
        </w:rPr>
      </w:pPr>
      <w:r>
        <w:rPr>
          <w:rFonts w:eastAsia="Batang"/>
        </w:rPr>
        <w:t>Callback URI:</w:t>
      </w:r>
      <w:r>
        <w:rPr>
          <w:rFonts w:ascii="Arial" w:eastAsia="Batang" w:hAnsi="Arial"/>
          <w:b/>
          <w:sz w:val="18"/>
        </w:rPr>
        <w:t xml:space="preserve"> {</w:t>
      </w:r>
      <w:r>
        <w:rPr>
          <w:b/>
          <w:lang w:val="en-US" w:eastAsia="zh-CN"/>
        </w:rPr>
        <w:t>notificationUri</w:t>
      </w:r>
      <w:r>
        <w:rPr>
          <w:rFonts w:ascii="Arial" w:eastAsia="Batang" w:hAnsi="Arial"/>
          <w:b/>
          <w:sz w:val="18"/>
        </w:rPr>
        <w:t>}</w:t>
      </w:r>
    </w:p>
    <w:p w14:paraId="6E2B74E8" w14:textId="77777777" w:rsidR="00A10B25" w:rsidRDefault="00A10B25">
      <w:pPr>
        <w:rPr>
          <w:rFonts w:ascii="Arial" w:hAnsi="Arial" w:cs="Arial"/>
        </w:rPr>
      </w:pPr>
      <w:r>
        <w:rPr>
          <w:rFonts w:eastAsia="Batang"/>
        </w:rPr>
        <w:lastRenderedPageBreak/>
        <w:t>The operation shall support the</w:t>
      </w:r>
      <w:r>
        <w:t xml:space="preserve"> c</w:t>
      </w:r>
      <w:r>
        <w:rPr>
          <w:rFonts w:eastAsia="Batang"/>
        </w:rPr>
        <w:t>allback URI variables defined in Table 5.6.5.2.2-1</w:t>
      </w:r>
      <w:r>
        <w:rPr>
          <w:rFonts w:ascii="Arial" w:eastAsia="Batang" w:hAnsi="Arial" w:cs="Arial"/>
        </w:rPr>
        <w:t xml:space="preserve">, </w:t>
      </w:r>
      <w:r>
        <w:rPr>
          <w:rFonts w:eastAsia="Batang"/>
        </w:rPr>
        <w:t>the request data structures specified in table </w:t>
      </w:r>
      <w:r>
        <w:t>5.6.5.2.2</w:t>
      </w:r>
      <w:r>
        <w:rPr>
          <w:rFonts w:eastAsia="Batang"/>
        </w:rPr>
        <w:t>-2 and the response data structure and response codes specified in Table 5.6.5.2.2-3.</w:t>
      </w:r>
    </w:p>
    <w:p w14:paraId="1430D681" w14:textId="77777777" w:rsidR="00A10B25" w:rsidRDefault="00A10B25">
      <w:pPr>
        <w:pStyle w:val="TH"/>
        <w:rPr>
          <w:rFonts w:cs="Arial"/>
        </w:rPr>
      </w:pPr>
      <w:r>
        <w:t>Table 5.6.5.2.2-1: Callback URI variables</w:t>
      </w:r>
    </w:p>
    <w:tbl>
      <w:tblPr>
        <w:tblW w:w="4928" w:type="pct"/>
        <w:jc w:val="center"/>
        <w:tblInd w:w="0" w:type="dxa"/>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03CE6794" w14:textId="77777777">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30A1CDD5" w14:textId="77777777" w:rsidR="00A10B25" w:rsidRDefault="00A10B25">
            <w:pPr>
              <w:pStyle w:val="TAH"/>
              <w:ind w:left="400" w:hanging="400"/>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4A623C58" w14:textId="77777777" w:rsidR="00A10B25" w:rsidRDefault="00A10B25">
            <w:pPr>
              <w:pStyle w:val="TAH"/>
              <w:ind w:left="400" w:hanging="400"/>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5B1DF40" w14:textId="77777777" w:rsidR="00A10B25" w:rsidRDefault="00A10B25">
            <w:pPr>
              <w:pStyle w:val="TAH"/>
              <w:ind w:left="400" w:hanging="400"/>
            </w:pPr>
            <w:r>
              <w:t>Definition</w:t>
            </w:r>
          </w:p>
        </w:tc>
      </w:tr>
      <w:tr w:rsidR="00A10B25" w14:paraId="3009D7DB" w14:textId="77777777">
        <w:trPr>
          <w:jc w:val="center"/>
        </w:trPr>
        <w:tc>
          <w:tcPr>
            <w:tcW w:w="765" w:type="pct"/>
            <w:tcBorders>
              <w:top w:val="single" w:sz="6" w:space="0" w:color="000000"/>
              <w:left w:val="single" w:sz="6" w:space="0" w:color="000000"/>
              <w:bottom w:val="single" w:sz="6" w:space="0" w:color="000000"/>
              <w:right w:val="single" w:sz="6" w:space="0" w:color="000000"/>
            </w:tcBorders>
          </w:tcPr>
          <w:p w14:paraId="20685DA1" w14:textId="77777777" w:rsidR="00A10B25" w:rsidRDefault="00A10B25">
            <w:pPr>
              <w:pStyle w:val="TAL"/>
            </w:pPr>
            <w:r>
              <w:t>notificationUri</w:t>
            </w:r>
          </w:p>
        </w:tc>
        <w:tc>
          <w:tcPr>
            <w:tcW w:w="647" w:type="pct"/>
            <w:tcBorders>
              <w:top w:val="single" w:sz="6" w:space="0" w:color="000000"/>
              <w:left w:val="single" w:sz="6" w:space="0" w:color="000000"/>
              <w:bottom w:val="single" w:sz="6" w:space="0" w:color="000000"/>
              <w:right w:val="single" w:sz="6" w:space="0" w:color="000000"/>
            </w:tcBorders>
          </w:tcPr>
          <w:p w14:paraId="5EDC9A31" w14:textId="77777777" w:rsidR="00A10B25" w:rsidRDefault="00A10B25">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50142630" w14:textId="77777777" w:rsidR="00A10B25" w:rsidRDefault="00A10B25">
            <w:pPr>
              <w:pStyle w:val="TAL"/>
            </w:pPr>
            <w:r>
              <w:t xml:space="preserve">The Notification Uri is assigned within the Individual NWDAF ML model monitoring Subscription Resource and described within the </w:t>
            </w:r>
            <w:r>
              <w:rPr>
                <w:rFonts w:eastAsia="等线"/>
              </w:rPr>
              <w:t>MLModelMonitor</w:t>
            </w:r>
            <w:r>
              <w:rPr>
                <w:rFonts w:eastAsia="等线" w:hint="eastAsia"/>
                <w:lang w:eastAsia="zh-CN"/>
              </w:rPr>
              <w:t>Sub</w:t>
            </w:r>
            <w:r>
              <w:rPr>
                <w:lang w:val="en-US" w:eastAsia="zh-CN"/>
              </w:rPr>
              <w:t xml:space="preserve"> data type (see t</w:t>
            </w:r>
            <w:r>
              <w:t>able 5.6.6.2.3-1).</w:t>
            </w:r>
          </w:p>
        </w:tc>
      </w:tr>
    </w:tbl>
    <w:p w14:paraId="04AAACED" w14:textId="77777777" w:rsidR="00A10B25" w:rsidRDefault="00A10B25"/>
    <w:p w14:paraId="22B8B4B3" w14:textId="77777777" w:rsidR="00A10B25" w:rsidRDefault="00A10B25">
      <w:pPr>
        <w:pStyle w:val="TH"/>
      </w:pPr>
      <w:r>
        <w:t>Table 5.6.5.2.2-2: Data structures supported by the POST Request Body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452213B1" w14:textId="77777777">
        <w:trPr>
          <w:jc w:val="center"/>
        </w:trPr>
        <w:tc>
          <w:tcPr>
            <w:tcW w:w="2989" w:type="dxa"/>
            <w:shd w:val="clear" w:color="auto" w:fill="C0C0C0"/>
          </w:tcPr>
          <w:p w14:paraId="22F8FE23" w14:textId="77777777" w:rsidR="00A10B25" w:rsidRDefault="00A10B25">
            <w:pPr>
              <w:pStyle w:val="TAH"/>
              <w:ind w:left="400" w:hanging="400"/>
            </w:pPr>
            <w:r>
              <w:t>Data type</w:t>
            </w:r>
          </w:p>
        </w:tc>
        <w:tc>
          <w:tcPr>
            <w:tcW w:w="360" w:type="dxa"/>
            <w:shd w:val="clear" w:color="auto" w:fill="C0C0C0"/>
          </w:tcPr>
          <w:p w14:paraId="453A46A7" w14:textId="77777777" w:rsidR="00A10B25" w:rsidRDefault="00A10B25">
            <w:pPr>
              <w:pStyle w:val="TAH"/>
              <w:ind w:left="400" w:hanging="400"/>
            </w:pPr>
            <w:r>
              <w:t>P</w:t>
            </w:r>
          </w:p>
        </w:tc>
        <w:tc>
          <w:tcPr>
            <w:tcW w:w="1350" w:type="dxa"/>
            <w:shd w:val="clear" w:color="auto" w:fill="C0C0C0"/>
          </w:tcPr>
          <w:p w14:paraId="67B54883" w14:textId="77777777" w:rsidR="00A10B25" w:rsidRDefault="00A10B25">
            <w:pPr>
              <w:pStyle w:val="TAH"/>
              <w:ind w:left="400" w:hanging="400"/>
            </w:pPr>
            <w:r>
              <w:t>Cardinality</w:t>
            </w:r>
          </w:p>
        </w:tc>
        <w:tc>
          <w:tcPr>
            <w:tcW w:w="4980" w:type="dxa"/>
            <w:shd w:val="clear" w:color="auto" w:fill="C0C0C0"/>
            <w:vAlign w:val="center"/>
          </w:tcPr>
          <w:p w14:paraId="30ABAD3F" w14:textId="77777777" w:rsidR="00A10B25" w:rsidRDefault="00A10B25">
            <w:pPr>
              <w:pStyle w:val="TAH"/>
              <w:ind w:left="400" w:hanging="400"/>
            </w:pPr>
            <w:r>
              <w:t>Description</w:t>
            </w:r>
          </w:p>
        </w:tc>
      </w:tr>
      <w:tr w:rsidR="00A10B25" w14:paraId="6D2971F6" w14:textId="77777777">
        <w:trPr>
          <w:jc w:val="center"/>
        </w:trPr>
        <w:tc>
          <w:tcPr>
            <w:tcW w:w="2989" w:type="dxa"/>
          </w:tcPr>
          <w:p w14:paraId="475A43EB" w14:textId="77777777" w:rsidR="00A10B25" w:rsidRDefault="00A10B25">
            <w:pPr>
              <w:pStyle w:val="TAL"/>
            </w:pPr>
            <w:r>
              <w:rPr>
                <w:rFonts w:eastAsia="等线"/>
              </w:rPr>
              <w:t>MLModelMonitor</w:t>
            </w:r>
            <w:r>
              <w:rPr>
                <w:rFonts w:eastAsia="等线"/>
                <w:lang w:eastAsia="zh-CN"/>
              </w:rPr>
              <w:t>Notify</w:t>
            </w:r>
          </w:p>
        </w:tc>
        <w:tc>
          <w:tcPr>
            <w:tcW w:w="360" w:type="dxa"/>
          </w:tcPr>
          <w:p w14:paraId="6CEC674F" w14:textId="77777777" w:rsidR="00A10B25" w:rsidRDefault="00A10B25">
            <w:pPr>
              <w:pStyle w:val="TAC"/>
            </w:pPr>
            <w:r>
              <w:t>M</w:t>
            </w:r>
          </w:p>
        </w:tc>
        <w:tc>
          <w:tcPr>
            <w:tcW w:w="1350" w:type="dxa"/>
          </w:tcPr>
          <w:p w14:paraId="444432D7" w14:textId="77777777" w:rsidR="00A10B25" w:rsidRDefault="00A10B25">
            <w:pPr>
              <w:pStyle w:val="TAC"/>
            </w:pPr>
            <w:r>
              <w:t>1</w:t>
            </w:r>
          </w:p>
        </w:tc>
        <w:tc>
          <w:tcPr>
            <w:tcW w:w="4980" w:type="dxa"/>
          </w:tcPr>
          <w:p w14:paraId="075F46BD" w14:textId="77777777" w:rsidR="00A10B25" w:rsidRDefault="00A10B25">
            <w:pPr>
              <w:pStyle w:val="TAL"/>
            </w:pPr>
            <w:r>
              <w:t>Provides analytics feedback information.</w:t>
            </w:r>
          </w:p>
        </w:tc>
      </w:tr>
    </w:tbl>
    <w:p w14:paraId="6A05D823" w14:textId="77777777" w:rsidR="00A10B25" w:rsidRDefault="00A10B25"/>
    <w:p w14:paraId="7D419499" w14:textId="77777777" w:rsidR="00A10B25" w:rsidRDefault="00A10B25">
      <w:pPr>
        <w:pStyle w:val="TH"/>
      </w:pPr>
      <w:r>
        <w:t>Table 5.6.5.2.2-3: Data structures supported by the POST Response Body on this resource</w:t>
      </w:r>
    </w:p>
    <w:tbl>
      <w:tblPr>
        <w:tblW w:w="4956" w:type="pct"/>
        <w:jc w:val="center"/>
        <w:tblInd w:w="0" w:type="dxa"/>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64"/>
      </w:tblGrid>
      <w:tr w:rsidR="00A10B25" w14:paraId="4160EDB3" w14:textId="77777777">
        <w:trPr>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57EEA246" w14:textId="77777777" w:rsidR="00A10B25" w:rsidRDefault="00A10B25">
            <w:pPr>
              <w:pStyle w:val="TAH"/>
              <w:ind w:left="400" w:hanging="400"/>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78D43875" w14:textId="77777777" w:rsidR="00A10B25" w:rsidRDefault="00A10B25">
            <w:pPr>
              <w:pStyle w:val="TAH"/>
              <w:ind w:left="400" w:hanging="400"/>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0086E954" w14:textId="77777777" w:rsidR="00A10B25" w:rsidRDefault="00A10B25">
            <w:pPr>
              <w:pStyle w:val="TAH"/>
              <w:ind w:left="400" w:hanging="400"/>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2B1E2B4" w14:textId="77777777" w:rsidR="00A10B25" w:rsidRDefault="00A10B25">
            <w:pPr>
              <w:pStyle w:val="TAH"/>
              <w:ind w:left="400" w:hanging="400"/>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0D52ED29" w14:textId="77777777" w:rsidR="00A10B25" w:rsidRDefault="00A10B25">
            <w:pPr>
              <w:pStyle w:val="TAH"/>
              <w:ind w:left="400" w:hanging="400"/>
            </w:pPr>
            <w:r>
              <w:t>Description</w:t>
            </w:r>
          </w:p>
        </w:tc>
      </w:tr>
      <w:tr w:rsidR="00A10B25" w14:paraId="5DCA02F4" w14:textId="77777777">
        <w:trPr>
          <w:jc w:val="center"/>
        </w:trPr>
        <w:tc>
          <w:tcPr>
            <w:tcW w:w="1000" w:type="pct"/>
            <w:tcBorders>
              <w:top w:val="single" w:sz="6" w:space="0" w:color="auto"/>
              <w:left w:val="single" w:sz="6" w:space="0" w:color="auto"/>
              <w:bottom w:val="single" w:sz="6" w:space="0" w:color="auto"/>
              <w:right w:val="single" w:sz="6" w:space="0" w:color="auto"/>
            </w:tcBorders>
          </w:tcPr>
          <w:p w14:paraId="3E8BC185" w14:textId="77777777" w:rsidR="00A10B25" w:rsidRDefault="00A10B25">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28BEED3" w14:textId="77777777" w:rsidR="00A10B25" w:rsidRDefault="00A10B25">
            <w:pPr>
              <w:pStyle w:val="TAC"/>
            </w:pPr>
          </w:p>
        </w:tc>
        <w:tc>
          <w:tcPr>
            <w:tcW w:w="603" w:type="pct"/>
            <w:tcBorders>
              <w:top w:val="single" w:sz="6" w:space="0" w:color="auto"/>
              <w:left w:val="single" w:sz="6" w:space="0" w:color="auto"/>
              <w:bottom w:val="single" w:sz="6" w:space="0" w:color="auto"/>
              <w:right w:val="single" w:sz="6" w:space="0" w:color="auto"/>
            </w:tcBorders>
          </w:tcPr>
          <w:p w14:paraId="1D55D086" w14:textId="77777777" w:rsidR="00A10B25" w:rsidRDefault="00A10B25">
            <w:pPr>
              <w:pStyle w:val="TAC"/>
            </w:pPr>
          </w:p>
        </w:tc>
        <w:tc>
          <w:tcPr>
            <w:tcW w:w="790" w:type="pct"/>
            <w:tcBorders>
              <w:top w:val="single" w:sz="6" w:space="0" w:color="auto"/>
              <w:left w:val="single" w:sz="6" w:space="0" w:color="auto"/>
              <w:bottom w:val="single" w:sz="6" w:space="0" w:color="auto"/>
              <w:right w:val="single" w:sz="6" w:space="0" w:color="auto"/>
            </w:tcBorders>
          </w:tcPr>
          <w:p w14:paraId="002D5D2E" w14:textId="77777777" w:rsidR="00A10B25" w:rsidRDefault="00A10B25">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675C5F89" w14:textId="77777777" w:rsidR="00A10B25" w:rsidRDefault="00A10B25">
            <w:pPr>
              <w:pStyle w:val="TAL"/>
            </w:pPr>
            <w:r>
              <w:t>The receipt of the Notification is acknowledged.</w:t>
            </w:r>
          </w:p>
        </w:tc>
      </w:tr>
      <w:tr w:rsidR="00A10B25" w14:paraId="77E227B4" w14:textId="77777777">
        <w:trPr>
          <w:jc w:val="center"/>
        </w:trPr>
        <w:tc>
          <w:tcPr>
            <w:tcW w:w="1000" w:type="pct"/>
            <w:tcBorders>
              <w:top w:val="single" w:sz="6" w:space="0" w:color="auto"/>
              <w:left w:val="single" w:sz="6" w:space="0" w:color="auto"/>
              <w:bottom w:val="single" w:sz="6" w:space="0" w:color="auto"/>
              <w:right w:val="single" w:sz="6" w:space="0" w:color="auto"/>
            </w:tcBorders>
          </w:tcPr>
          <w:p w14:paraId="29E0405B"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B11A440"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0ED6DFC7"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6453956E" w14:textId="77777777" w:rsidR="00A10B25" w:rsidRDefault="00A10B25">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tcPr>
          <w:p w14:paraId="75988961" w14:textId="77777777" w:rsidR="00A10B25" w:rsidRDefault="00A10B25">
            <w:pPr>
              <w:pStyle w:val="TAL"/>
            </w:pPr>
            <w:r>
              <w:t>Temporary redirection, during the event notification.</w:t>
            </w:r>
          </w:p>
          <w:p w14:paraId="77DB4812" w14:textId="77777777" w:rsidR="00A10B25" w:rsidRDefault="00A10B25">
            <w:pPr>
              <w:pStyle w:val="TAL"/>
            </w:pPr>
          </w:p>
          <w:p w14:paraId="3268C1DE" w14:textId="77777777" w:rsidR="00A10B25" w:rsidRDefault="00A10B25">
            <w:pPr>
              <w:pStyle w:val="TAL"/>
            </w:pPr>
            <w:r>
              <w:t>(NOTE 2)</w:t>
            </w:r>
          </w:p>
        </w:tc>
      </w:tr>
      <w:tr w:rsidR="00A10B25" w14:paraId="5D552BB8" w14:textId="77777777">
        <w:trPr>
          <w:jc w:val="center"/>
        </w:trPr>
        <w:tc>
          <w:tcPr>
            <w:tcW w:w="1000" w:type="pct"/>
            <w:tcBorders>
              <w:top w:val="single" w:sz="6" w:space="0" w:color="auto"/>
              <w:left w:val="single" w:sz="6" w:space="0" w:color="auto"/>
              <w:bottom w:val="single" w:sz="6" w:space="0" w:color="auto"/>
              <w:right w:val="single" w:sz="6" w:space="0" w:color="auto"/>
            </w:tcBorders>
          </w:tcPr>
          <w:p w14:paraId="3A1A1E3A"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7065809"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696C1740"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72C4E51D" w14:textId="77777777" w:rsidR="00A10B25" w:rsidRDefault="00A10B25">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tcPr>
          <w:p w14:paraId="069674D6" w14:textId="77777777" w:rsidR="00A10B25" w:rsidRDefault="00A10B25">
            <w:pPr>
              <w:pStyle w:val="TAL"/>
            </w:pPr>
            <w:r>
              <w:t>Permanent redirection, during the event notification.</w:t>
            </w:r>
          </w:p>
          <w:p w14:paraId="550CED6A" w14:textId="77777777" w:rsidR="00A10B25" w:rsidRDefault="00A10B25">
            <w:pPr>
              <w:pStyle w:val="TAL"/>
            </w:pPr>
          </w:p>
          <w:p w14:paraId="6BFCD3C5" w14:textId="77777777" w:rsidR="00A10B25" w:rsidRDefault="00A10B25">
            <w:pPr>
              <w:pStyle w:val="TAL"/>
            </w:pPr>
            <w:r>
              <w:t>(NOTE 2)</w:t>
            </w:r>
          </w:p>
        </w:tc>
      </w:tr>
      <w:tr w:rsidR="00A10B25" w14:paraId="164A0A81" w14:textId="77777777">
        <w:trPr>
          <w:jc w:val="center"/>
        </w:trPr>
        <w:tc>
          <w:tcPr>
            <w:tcW w:w="5000" w:type="pct"/>
            <w:gridSpan w:val="5"/>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77B1520"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37E639F4" w14:textId="77777777" w:rsidR="00A10B25" w:rsidRDefault="00A10B25">
            <w:pPr>
              <w:pStyle w:val="TAN"/>
              <w:rPr>
                <w:lang w:val="en-US" w:eastAsia="zh-CN"/>
              </w:rPr>
            </w:pPr>
            <w:r>
              <w:t>NOTE 2:</w:t>
            </w:r>
            <w:r>
              <w:tab/>
              <w:t>The RedirectResponse data structure may be provided by an SCP (cf. clause 6.10.9.1 of 3GPP TS 29.500 [6]).</w:t>
            </w:r>
          </w:p>
        </w:tc>
      </w:tr>
    </w:tbl>
    <w:p w14:paraId="3181A791" w14:textId="77777777" w:rsidR="00A10B25" w:rsidRDefault="00A10B25">
      <w:pPr>
        <w:rPr>
          <w:lang w:val="en-US"/>
        </w:rPr>
      </w:pPr>
    </w:p>
    <w:p w14:paraId="56064210" w14:textId="77777777" w:rsidR="00A10B25" w:rsidRDefault="00A10B25">
      <w:pPr>
        <w:pStyle w:val="TH"/>
      </w:pPr>
      <w:r>
        <w:t>Table 5.6.5.2.2-4: Headers supported by the 307 Response Code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E600164" w14:textId="77777777">
        <w:trPr>
          <w:jc w:val="center"/>
        </w:trPr>
        <w:tc>
          <w:tcPr>
            <w:tcW w:w="825" w:type="pct"/>
            <w:shd w:val="clear" w:color="auto" w:fill="C0C0C0"/>
          </w:tcPr>
          <w:p w14:paraId="4921383A" w14:textId="77777777" w:rsidR="00A10B25" w:rsidRDefault="00A10B25">
            <w:pPr>
              <w:pStyle w:val="TAH"/>
              <w:ind w:left="400" w:hanging="400"/>
            </w:pPr>
            <w:r>
              <w:t>Name</w:t>
            </w:r>
          </w:p>
        </w:tc>
        <w:tc>
          <w:tcPr>
            <w:tcW w:w="732" w:type="pct"/>
            <w:shd w:val="clear" w:color="auto" w:fill="C0C0C0"/>
          </w:tcPr>
          <w:p w14:paraId="1A76EFCD" w14:textId="77777777" w:rsidR="00A10B25" w:rsidRDefault="00A10B25">
            <w:pPr>
              <w:pStyle w:val="TAH"/>
              <w:ind w:left="400" w:hanging="400"/>
            </w:pPr>
            <w:r>
              <w:t>Data type</w:t>
            </w:r>
          </w:p>
        </w:tc>
        <w:tc>
          <w:tcPr>
            <w:tcW w:w="217" w:type="pct"/>
            <w:shd w:val="clear" w:color="auto" w:fill="C0C0C0"/>
          </w:tcPr>
          <w:p w14:paraId="5FDA4012" w14:textId="77777777" w:rsidR="00A10B25" w:rsidRDefault="00A10B25">
            <w:pPr>
              <w:pStyle w:val="TAH"/>
              <w:ind w:left="400" w:hanging="400"/>
            </w:pPr>
            <w:r>
              <w:t>P</w:t>
            </w:r>
          </w:p>
        </w:tc>
        <w:tc>
          <w:tcPr>
            <w:tcW w:w="581" w:type="pct"/>
            <w:shd w:val="clear" w:color="auto" w:fill="C0C0C0"/>
          </w:tcPr>
          <w:p w14:paraId="52D8E002" w14:textId="77777777" w:rsidR="00A10B25" w:rsidRDefault="00A10B25">
            <w:pPr>
              <w:pStyle w:val="TAH"/>
              <w:ind w:left="400" w:hanging="400"/>
            </w:pPr>
            <w:r>
              <w:t>Cardinality</w:t>
            </w:r>
          </w:p>
        </w:tc>
        <w:tc>
          <w:tcPr>
            <w:tcW w:w="2645" w:type="pct"/>
            <w:shd w:val="clear" w:color="auto" w:fill="C0C0C0"/>
            <w:vAlign w:val="center"/>
          </w:tcPr>
          <w:p w14:paraId="65169506" w14:textId="77777777" w:rsidR="00A10B25" w:rsidRDefault="00A10B25">
            <w:pPr>
              <w:pStyle w:val="TAH"/>
              <w:ind w:left="400" w:hanging="400"/>
            </w:pPr>
            <w:r>
              <w:t>Description</w:t>
            </w:r>
          </w:p>
        </w:tc>
      </w:tr>
      <w:tr w:rsidR="00A10B25" w14:paraId="70B4493A" w14:textId="77777777">
        <w:trPr>
          <w:jc w:val="center"/>
        </w:trPr>
        <w:tc>
          <w:tcPr>
            <w:tcW w:w="825" w:type="pct"/>
          </w:tcPr>
          <w:p w14:paraId="3422169F" w14:textId="77777777" w:rsidR="00A10B25" w:rsidRDefault="00A10B25">
            <w:pPr>
              <w:pStyle w:val="TAL"/>
            </w:pPr>
            <w:r>
              <w:t>Location</w:t>
            </w:r>
          </w:p>
        </w:tc>
        <w:tc>
          <w:tcPr>
            <w:tcW w:w="732" w:type="pct"/>
          </w:tcPr>
          <w:p w14:paraId="1ACA9B92" w14:textId="77777777" w:rsidR="00A10B25" w:rsidRDefault="00A10B25">
            <w:pPr>
              <w:pStyle w:val="TAL"/>
            </w:pPr>
            <w:r>
              <w:t>string</w:t>
            </w:r>
          </w:p>
        </w:tc>
        <w:tc>
          <w:tcPr>
            <w:tcW w:w="217" w:type="pct"/>
          </w:tcPr>
          <w:p w14:paraId="69BEE04A" w14:textId="77777777" w:rsidR="00A10B25" w:rsidRDefault="00A10B25">
            <w:pPr>
              <w:pStyle w:val="TAC"/>
            </w:pPr>
            <w:r>
              <w:t>M</w:t>
            </w:r>
          </w:p>
        </w:tc>
        <w:tc>
          <w:tcPr>
            <w:tcW w:w="581" w:type="pct"/>
          </w:tcPr>
          <w:p w14:paraId="5AAF762F" w14:textId="77777777" w:rsidR="00A10B25" w:rsidRDefault="00A10B25">
            <w:pPr>
              <w:pStyle w:val="TAL"/>
            </w:pPr>
            <w:r>
              <w:t>1</w:t>
            </w:r>
          </w:p>
        </w:tc>
        <w:tc>
          <w:tcPr>
            <w:tcW w:w="2645" w:type="pct"/>
            <w:vAlign w:val="center"/>
          </w:tcPr>
          <w:p w14:paraId="1855DA38" w14:textId="77777777" w:rsidR="00A10B25" w:rsidRDefault="00A10B25">
            <w:pPr>
              <w:pStyle w:val="TAL"/>
            </w:pPr>
            <w:r>
              <w:t xml:space="preserve">Contains </w:t>
            </w:r>
            <w:r>
              <w:rPr>
                <w:lang w:eastAsia="fr-FR"/>
              </w:rPr>
              <w:t>an alternative URI representing the end point of an alternative NF consumer (service) instance towards which the notification is redirected</w:t>
            </w:r>
            <w:r>
              <w:t>.</w:t>
            </w:r>
          </w:p>
          <w:p w14:paraId="30A15476" w14:textId="77777777" w:rsidR="00A10B25" w:rsidRDefault="00A10B25">
            <w:pPr>
              <w:pStyle w:val="TAL"/>
            </w:pPr>
          </w:p>
          <w:p w14:paraId="3831FC99" w14:textId="77777777" w:rsidR="00A10B25" w:rsidRDefault="00A10B25">
            <w:pPr>
              <w:pStyle w:val="TAL"/>
            </w:pPr>
            <w:r>
              <w:t>For the case where the notification is redirected to the same target via a different SCP, refer to clause 6.10.9.1 of 3GPP TS 29.500 [6].</w:t>
            </w:r>
          </w:p>
        </w:tc>
      </w:tr>
      <w:tr w:rsidR="00A10B25" w14:paraId="42916765" w14:textId="77777777">
        <w:trPr>
          <w:jc w:val="center"/>
        </w:trPr>
        <w:tc>
          <w:tcPr>
            <w:tcW w:w="825" w:type="pct"/>
          </w:tcPr>
          <w:p w14:paraId="4F6A397E" w14:textId="77777777" w:rsidR="00A10B25" w:rsidRDefault="00A10B25">
            <w:pPr>
              <w:pStyle w:val="TAL"/>
            </w:pPr>
            <w:r>
              <w:rPr>
                <w:lang w:eastAsia="zh-CN"/>
              </w:rPr>
              <w:t>3gpp-Sbi-Target-Nf-Id</w:t>
            </w:r>
          </w:p>
        </w:tc>
        <w:tc>
          <w:tcPr>
            <w:tcW w:w="732" w:type="pct"/>
          </w:tcPr>
          <w:p w14:paraId="392C87B1" w14:textId="77777777" w:rsidR="00A10B25" w:rsidRDefault="00A10B25">
            <w:pPr>
              <w:pStyle w:val="TAL"/>
            </w:pPr>
            <w:r>
              <w:rPr>
                <w:lang w:eastAsia="fr-FR"/>
              </w:rPr>
              <w:t>string</w:t>
            </w:r>
          </w:p>
        </w:tc>
        <w:tc>
          <w:tcPr>
            <w:tcW w:w="217" w:type="pct"/>
          </w:tcPr>
          <w:p w14:paraId="7C5E60DF" w14:textId="77777777" w:rsidR="00A10B25" w:rsidRDefault="00A10B25">
            <w:pPr>
              <w:pStyle w:val="TAC"/>
            </w:pPr>
            <w:r>
              <w:rPr>
                <w:lang w:eastAsia="fr-FR"/>
              </w:rPr>
              <w:t>O</w:t>
            </w:r>
          </w:p>
        </w:tc>
        <w:tc>
          <w:tcPr>
            <w:tcW w:w="581" w:type="pct"/>
          </w:tcPr>
          <w:p w14:paraId="4BB74778" w14:textId="77777777" w:rsidR="00A10B25" w:rsidRDefault="00A10B25">
            <w:pPr>
              <w:pStyle w:val="TAL"/>
            </w:pPr>
            <w:r>
              <w:rPr>
                <w:lang w:eastAsia="fr-FR"/>
              </w:rPr>
              <w:t>0..1</w:t>
            </w:r>
          </w:p>
        </w:tc>
        <w:tc>
          <w:tcPr>
            <w:tcW w:w="2645" w:type="pct"/>
            <w:vAlign w:val="center"/>
          </w:tcPr>
          <w:p w14:paraId="513D9531" w14:textId="77777777" w:rsidR="00A10B25" w:rsidRDefault="00A10B25">
            <w:pPr>
              <w:pStyle w:val="TAL"/>
            </w:pPr>
            <w:r>
              <w:rPr>
                <w:lang w:eastAsia="fr-FR"/>
              </w:rPr>
              <w:t>Identifier of the target NF (service) instance towards which the notification request is redirected.</w:t>
            </w:r>
          </w:p>
        </w:tc>
      </w:tr>
    </w:tbl>
    <w:p w14:paraId="5F386B6D" w14:textId="77777777" w:rsidR="00A10B25" w:rsidRDefault="00A10B25"/>
    <w:p w14:paraId="127E175B" w14:textId="77777777" w:rsidR="00A10B25" w:rsidRDefault="00A10B25">
      <w:pPr>
        <w:pStyle w:val="TH"/>
      </w:pPr>
      <w:r>
        <w:t>Table 5.6.5.2.2-5: Headers supported by the 308 Response Code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CB2C390" w14:textId="77777777">
        <w:trPr>
          <w:jc w:val="center"/>
        </w:trPr>
        <w:tc>
          <w:tcPr>
            <w:tcW w:w="825" w:type="pct"/>
            <w:shd w:val="clear" w:color="auto" w:fill="C0C0C0"/>
          </w:tcPr>
          <w:p w14:paraId="0A52C0F9" w14:textId="77777777" w:rsidR="00A10B25" w:rsidRDefault="00A10B25">
            <w:pPr>
              <w:pStyle w:val="TAH"/>
              <w:ind w:left="400" w:hanging="400"/>
            </w:pPr>
            <w:r>
              <w:t>Name</w:t>
            </w:r>
          </w:p>
        </w:tc>
        <w:tc>
          <w:tcPr>
            <w:tcW w:w="732" w:type="pct"/>
            <w:shd w:val="clear" w:color="auto" w:fill="C0C0C0"/>
          </w:tcPr>
          <w:p w14:paraId="23C1CBCD" w14:textId="77777777" w:rsidR="00A10B25" w:rsidRDefault="00A10B25">
            <w:pPr>
              <w:pStyle w:val="TAH"/>
              <w:ind w:left="400" w:hanging="400"/>
            </w:pPr>
            <w:r>
              <w:t>Data type</w:t>
            </w:r>
          </w:p>
        </w:tc>
        <w:tc>
          <w:tcPr>
            <w:tcW w:w="217" w:type="pct"/>
            <w:shd w:val="clear" w:color="auto" w:fill="C0C0C0"/>
          </w:tcPr>
          <w:p w14:paraId="5CB44BEA" w14:textId="77777777" w:rsidR="00A10B25" w:rsidRDefault="00A10B25">
            <w:pPr>
              <w:pStyle w:val="TAH"/>
              <w:ind w:left="400" w:hanging="400"/>
            </w:pPr>
            <w:r>
              <w:t>P</w:t>
            </w:r>
          </w:p>
        </w:tc>
        <w:tc>
          <w:tcPr>
            <w:tcW w:w="581" w:type="pct"/>
            <w:shd w:val="clear" w:color="auto" w:fill="C0C0C0"/>
          </w:tcPr>
          <w:p w14:paraId="0BD1450D" w14:textId="77777777" w:rsidR="00A10B25" w:rsidRDefault="00A10B25">
            <w:pPr>
              <w:pStyle w:val="TAH"/>
              <w:ind w:left="400" w:hanging="400"/>
            </w:pPr>
            <w:r>
              <w:t>Cardinality</w:t>
            </w:r>
          </w:p>
        </w:tc>
        <w:tc>
          <w:tcPr>
            <w:tcW w:w="2645" w:type="pct"/>
            <w:shd w:val="clear" w:color="auto" w:fill="C0C0C0"/>
            <w:vAlign w:val="center"/>
          </w:tcPr>
          <w:p w14:paraId="7652AC8E" w14:textId="77777777" w:rsidR="00A10B25" w:rsidRDefault="00A10B25">
            <w:pPr>
              <w:pStyle w:val="TAH"/>
              <w:ind w:left="400" w:hanging="400"/>
            </w:pPr>
            <w:r>
              <w:t>Description</w:t>
            </w:r>
          </w:p>
        </w:tc>
      </w:tr>
      <w:tr w:rsidR="00A10B25" w14:paraId="3C16EED5" w14:textId="77777777">
        <w:trPr>
          <w:jc w:val="center"/>
        </w:trPr>
        <w:tc>
          <w:tcPr>
            <w:tcW w:w="825" w:type="pct"/>
          </w:tcPr>
          <w:p w14:paraId="51054E71" w14:textId="77777777" w:rsidR="00A10B25" w:rsidRDefault="00A10B25">
            <w:pPr>
              <w:pStyle w:val="TAL"/>
            </w:pPr>
            <w:r>
              <w:t>Location</w:t>
            </w:r>
          </w:p>
        </w:tc>
        <w:tc>
          <w:tcPr>
            <w:tcW w:w="732" w:type="pct"/>
          </w:tcPr>
          <w:p w14:paraId="539F2ACD" w14:textId="77777777" w:rsidR="00A10B25" w:rsidRDefault="00A10B25">
            <w:pPr>
              <w:pStyle w:val="TAL"/>
            </w:pPr>
            <w:r>
              <w:t>string</w:t>
            </w:r>
          </w:p>
        </w:tc>
        <w:tc>
          <w:tcPr>
            <w:tcW w:w="217" w:type="pct"/>
          </w:tcPr>
          <w:p w14:paraId="1C39EDF1" w14:textId="77777777" w:rsidR="00A10B25" w:rsidRDefault="00A10B25">
            <w:pPr>
              <w:pStyle w:val="TAC"/>
            </w:pPr>
            <w:r>
              <w:t>M</w:t>
            </w:r>
          </w:p>
        </w:tc>
        <w:tc>
          <w:tcPr>
            <w:tcW w:w="581" w:type="pct"/>
          </w:tcPr>
          <w:p w14:paraId="7569E681" w14:textId="77777777" w:rsidR="00A10B25" w:rsidRDefault="00A10B25">
            <w:pPr>
              <w:pStyle w:val="TAL"/>
            </w:pPr>
            <w:r>
              <w:t>1</w:t>
            </w:r>
          </w:p>
        </w:tc>
        <w:tc>
          <w:tcPr>
            <w:tcW w:w="2645" w:type="pct"/>
            <w:vAlign w:val="center"/>
          </w:tcPr>
          <w:p w14:paraId="7ABCC64A" w14:textId="77777777" w:rsidR="00A10B25" w:rsidRDefault="00A10B25">
            <w:pPr>
              <w:pStyle w:val="TAL"/>
            </w:pPr>
            <w:r>
              <w:t xml:space="preserve">Contains an alternative URI </w:t>
            </w:r>
            <w:r>
              <w:rPr>
                <w:lang w:eastAsia="fr-FR"/>
              </w:rPr>
              <w:t>representing the end point of an alternative NF consumer (service) instance towards which the notification is redirected</w:t>
            </w:r>
            <w:r>
              <w:t>.</w:t>
            </w:r>
          </w:p>
          <w:p w14:paraId="37100696" w14:textId="77777777" w:rsidR="00A10B25" w:rsidRDefault="00A10B25">
            <w:pPr>
              <w:pStyle w:val="TAL"/>
            </w:pPr>
          </w:p>
          <w:p w14:paraId="7CD96C26" w14:textId="77777777" w:rsidR="00A10B25" w:rsidRDefault="00A10B25">
            <w:pPr>
              <w:pStyle w:val="TAL"/>
            </w:pPr>
            <w:r>
              <w:t>For the case where the notification is redirected to the same target via a different SCP, refer to clause 6.10.9.1 of 3GPP TS 29.500 [6].</w:t>
            </w:r>
          </w:p>
        </w:tc>
      </w:tr>
      <w:tr w:rsidR="00A10B25" w14:paraId="452CADF4" w14:textId="77777777">
        <w:trPr>
          <w:jc w:val="center"/>
        </w:trPr>
        <w:tc>
          <w:tcPr>
            <w:tcW w:w="825" w:type="pct"/>
          </w:tcPr>
          <w:p w14:paraId="56D53320" w14:textId="77777777" w:rsidR="00A10B25" w:rsidRDefault="00A10B25">
            <w:pPr>
              <w:pStyle w:val="TAL"/>
            </w:pPr>
            <w:r>
              <w:rPr>
                <w:lang w:eastAsia="zh-CN"/>
              </w:rPr>
              <w:t>3gpp-Sbi-Target-Nf-Id</w:t>
            </w:r>
          </w:p>
        </w:tc>
        <w:tc>
          <w:tcPr>
            <w:tcW w:w="732" w:type="pct"/>
          </w:tcPr>
          <w:p w14:paraId="4C1732FB" w14:textId="77777777" w:rsidR="00A10B25" w:rsidRDefault="00A10B25">
            <w:pPr>
              <w:pStyle w:val="TAL"/>
            </w:pPr>
            <w:r>
              <w:rPr>
                <w:lang w:eastAsia="fr-FR"/>
              </w:rPr>
              <w:t>string</w:t>
            </w:r>
          </w:p>
        </w:tc>
        <w:tc>
          <w:tcPr>
            <w:tcW w:w="217" w:type="pct"/>
          </w:tcPr>
          <w:p w14:paraId="310BB7A7" w14:textId="77777777" w:rsidR="00A10B25" w:rsidRDefault="00A10B25">
            <w:pPr>
              <w:pStyle w:val="TAC"/>
            </w:pPr>
            <w:r>
              <w:rPr>
                <w:lang w:eastAsia="fr-FR"/>
              </w:rPr>
              <w:t>O</w:t>
            </w:r>
          </w:p>
        </w:tc>
        <w:tc>
          <w:tcPr>
            <w:tcW w:w="581" w:type="pct"/>
          </w:tcPr>
          <w:p w14:paraId="29914DCC" w14:textId="77777777" w:rsidR="00A10B25" w:rsidRDefault="00A10B25">
            <w:pPr>
              <w:pStyle w:val="TAL"/>
            </w:pPr>
            <w:r>
              <w:rPr>
                <w:lang w:eastAsia="fr-FR"/>
              </w:rPr>
              <w:t>0..1</w:t>
            </w:r>
          </w:p>
        </w:tc>
        <w:tc>
          <w:tcPr>
            <w:tcW w:w="2645" w:type="pct"/>
            <w:vAlign w:val="center"/>
          </w:tcPr>
          <w:p w14:paraId="46625391" w14:textId="77777777" w:rsidR="00A10B25" w:rsidRDefault="00A10B25">
            <w:pPr>
              <w:pStyle w:val="TAL"/>
            </w:pPr>
            <w:r>
              <w:rPr>
                <w:lang w:eastAsia="fr-FR"/>
              </w:rPr>
              <w:t>Identifier of the target NF (service) instance towards which the notification request is redirected.</w:t>
            </w:r>
          </w:p>
        </w:tc>
      </w:tr>
    </w:tbl>
    <w:p w14:paraId="5E1A4008" w14:textId="77777777" w:rsidR="00A10B25" w:rsidRDefault="00A10B25">
      <w:pPr>
        <w:rPr>
          <w:lang w:val="en-US" w:eastAsia="zh-CN"/>
        </w:rPr>
      </w:pPr>
    </w:p>
    <w:p w14:paraId="30175D4E" w14:textId="77777777" w:rsidR="00A10B25" w:rsidRDefault="00A10B25">
      <w:pPr>
        <w:pStyle w:val="3"/>
        <w:rPr>
          <w:lang w:val="en-US"/>
        </w:rPr>
      </w:pPr>
      <w:bookmarkStart w:id="15638" w:name="_Toc148523005"/>
      <w:bookmarkStart w:id="15639" w:name="_Toc164921194"/>
      <w:bookmarkStart w:id="15640" w:name="_Toc170120736"/>
      <w:bookmarkStart w:id="15641" w:name="_Toc175858981"/>
      <w:bookmarkStart w:id="15642" w:name="_Toc175860054"/>
      <w:bookmarkStart w:id="15643" w:name="_Toc180606344"/>
      <w:bookmarkStart w:id="15644" w:name="_Toc185517605"/>
      <w:bookmarkStart w:id="15645" w:name="_Toc191576657"/>
      <w:bookmarkStart w:id="15646" w:name="_Toc191577397"/>
      <w:bookmarkStart w:id="15647" w:name="_Toc192880467"/>
      <w:bookmarkStart w:id="15648" w:name="_Toc195815356"/>
      <w:bookmarkStart w:id="15649" w:name="_Toc199453323"/>
      <w:r>
        <w:rPr>
          <w:lang w:val="en-US"/>
        </w:rPr>
        <w:lastRenderedPageBreak/>
        <w:t>5.6.6</w:t>
      </w:r>
      <w:r>
        <w:rPr>
          <w:lang w:val="en-US"/>
        </w:rPr>
        <w:tab/>
        <w:t>Data Model</w:t>
      </w:r>
      <w:bookmarkEnd w:id="15638"/>
      <w:bookmarkEnd w:id="15639"/>
      <w:bookmarkEnd w:id="15640"/>
      <w:bookmarkEnd w:id="15641"/>
      <w:bookmarkEnd w:id="15642"/>
      <w:bookmarkEnd w:id="15643"/>
      <w:bookmarkEnd w:id="15644"/>
      <w:bookmarkEnd w:id="15645"/>
      <w:bookmarkEnd w:id="15646"/>
      <w:bookmarkEnd w:id="15647"/>
      <w:bookmarkEnd w:id="15648"/>
      <w:bookmarkEnd w:id="15649"/>
    </w:p>
    <w:p w14:paraId="0B63507B" w14:textId="77777777" w:rsidR="00A10B25" w:rsidRDefault="00A10B25">
      <w:pPr>
        <w:pStyle w:val="4"/>
      </w:pPr>
      <w:bookmarkStart w:id="15650" w:name="_Toc148523006"/>
      <w:bookmarkStart w:id="15651" w:name="_Toc164921195"/>
      <w:bookmarkStart w:id="15652" w:name="_Toc170120737"/>
      <w:bookmarkStart w:id="15653" w:name="_Toc175858982"/>
      <w:bookmarkStart w:id="15654" w:name="_Toc175860055"/>
      <w:bookmarkStart w:id="15655" w:name="_Toc180606345"/>
      <w:bookmarkStart w:id="15656" w:name="_Toc185517606"/>
      <w:bookmarkStart w:id="15657" w:name="_Toc191576658"/>
      <w:bookmarkStart w:id="15658" w:name="_Toc191577398"/>
      <w:bookmarkStart w:id="15659" w:name="_Toc192880468"/>
      <w:bookmarkStart w:id="15660" w:name="_Toc195815357"/>
      <w:bookmarkStart w:id="15661" w:name="_Toc199453324"/>
      <w:r>
        <w:t>5.6.6.1</w:t>
      </w:r>
      <w:r>
        <w:tab/>
        <w:t>General</w:t>
      </w:r>
      <w:bookmarkEnd w:id="15650"/>
      <w:bookmarkEnd w:id="15651"/>
      <w:bookmarkEnd w:id="15652"/>
      <w:bookmarkEnd w:id="15653"/>
      <w:bookmarkEnd w:id="15654"/>
      <w:bookmarkEnd w:id="15655"/>
      <w:bookmarkEnd w:id="15656"/>
      <w:bookmarkEnd w:id="15657"/>
      <w:bookmarkEnd w:id="15658"/>
      <w:bookmarkEnd w:id="15659"/>
      <w:bookmarkEnd w:id="15660"/>
      <w:bookmarkEnd w:id="15661"/>
    </w:p>
    <w:p w14:paraId="7C133BAC" w14:textId="77777777" w:rsidR="00A10B25" w:rsidRDefault="00A10B25">
      <w:r>
        <w:t>This clause specifies the application data model supported by the API.</w:t>
      </w:r>
    </w:p>
    <w:p w14:paraId="08E53025" w14:textId="77777777" w:rsidR="00A10B25" w:rsidRDefault="00A10B25">
      <w:r>
        <w:t>Table 5.6.6.1-1 specifies the data types defined for the Nnwdaf_MLModelMonitor service based interface protocol.</w:t>
      </w:r>
    </w:p>
    <w:p w14:paraId="5B74BC41" w14:textId="77777777" w:rsidR="00A10B25" w:rsidRDefault="00A10B25">
      <w:pPr>
        <w:pStyle w:val="TH"/>
        <w:overflowPunct w:val="0"/>
        <w:autoSpaceDE w:val="0"/>
        <w:autoSpaceDN w:val="0"/>
        <w:adjustRightInd w:val="0"/>
        <w:textAlignment w:val="baseline"/>
        <w:rPr>
          <w:rFonts w:eastAsia="MS Mincho"/>
        </w:rPr>
      </w:pPr>
      <w:r>
        <w:rPr>
          <w:rFonts w:eastAsia="MS Mincho"/>
        </w:rPr>
        <w:t>Table 5.6.6.1-1: Nnwdaf_</w:t>
      </w:r>
      <w:r>
        <w:rPr>
          <w:lang w:eastAsia="ja-JP"/>
        </w:rPr>
        <w:t>MLModelMonitor</w:t>
      </w:r>
      <w:r>
        <w:rPr>
          <w:rFonts w:eastAsia="MS Mincho"/>
        </w:rPr>
        <w:t xml:space="preserve"> specific Data Types</w:t>
      </w:r>
    </w:p>
    <w:tbl>
      <w:tblPr>
        <w:tblW w:w="942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1EAAFDE9" w14:textId="77777777">
        <w:trPr>
          <w:jc w:val="center"/>
        </w:trPr>
        <w:tc>
          <w:tcPr>
            <w:tcW w:w="3198" w:type="dxa"/>
            <w:shd w:val="clear" w:color="auto" w:fill="C0C0C0"/>
          </w:tcPr>
          <w:p w14:paraId="2866E806" w14:textId="77777777" w:rsidR="00A10B25" w:rsidRDefault="00A10B25">
            <w:pPr>
              <w:pStyle w:val="TAH"/>
              <w:ind w:left="400" w:hanging="400"/>
            </w:pPr>
            <w:r>
              <w:t>Data type</w:t>
            </w:r>
          </w:p>
        </w:tc>
        <w:tc>
          <w:tcPr>
            <w:tcW w:w="1324" w:type="dxa"/>
            <w:shd w:val="clear" w:color="auto" w:fill="C0C0C0"/>
          </w:tcPr>
          <w:p w14:paraId="0EE002ED" w14:textId="77777777" w:rsidR="00A10B25" w:rsidRDefault="00A10B25">
            <w:pPr>
              <w:pStyle w:val="TAH"/>
              <w:ind w:left="400" w:hanging="400"/>
            </w:pPr>
            <w:r>
              <w:t>Clause defined</w:t>
            </w:r>
          </w:p>
        </w:tc>
        <w:tc>
          <w:tcPr>
            <w:tcW w:w="2955" w:type="dxa"/>
            <w:shd w:val="clear" w:color="auto" w:fill="C0C0C0"/>
          </w:tcPr>
          <w:p w14:paraId="42DD0248" w14:textId="77777777" w:rsidR="00A10B25" w:rsidRDefault="00A10B25">
            <w:pPr>
              <w:pStyle w:val="TAH"/>
              <w:ind w:left="400" w:hanging="400"/>
            </w:pPr>
            <w:r>
              <w:t>Description</w:t>
            </w:r>
          </w:p>
        </w:tc>
        <w:tc>
          <w:tcPr>
            <w:tcW w:w="1947" w:type="dxa"/>
            <w:shd w:val="clear" w:color="auto" w:fill="C0C0C0"/>
          </w:tcPr>
          <w:p w14:paraId="33AD693C" w14:textId="77777777" w:rsidR="00A10B25" w:rsidRDefault="00A10B25">
            <w:pPr>
              <w:pStyle w:val="TAH"/>
              <w:ind w:left="400" w:hanging="400"/>
            </w:pPr>
            <w:r>
              <w:t>Applicability</w:t>
            </w:r>
          </w:p>
        </w:tc>
      </w:tr>
      <w:tr w:rsidR="00542337" w14:paraId="3BC3FD51" w14:textId="77777777">
        <w:trPr>
          <w:jc w:val="center"/>
        </w:trPr>
        <w:tc>
          <w:tcPr>
            <w:tcW w:w="3198" w:type="dxa"/>
          </w:tcPr>
          <w:p w14:paraId="20DBA8B1" w14:textId="77777777" w:rsidR="00542337" w:rsidRDefault="00542337" w:rsidP="00542337">
            <w:pPr>
              <w:pStyle w:val="TAL"/>
              <w:rPr>
                <w:rFonts w:eastAsia="等线"/>
              </w:rPr>
            </w:pPr>
            <w:r>
              <w:rPr>
                <w:rFonts w:eastAsia="等线"/>
              </w:rPr>
              <w:t>AnalyticsFeedback</w:t>
            </w:r>
          </w:p>
        </w:tc>
        <w:tc>
          <w:tcPr>
            <w:tcW w:w="1324" w:type="dxa"/>
          </w:tcPr>
          <w:p w14:paraId="25E347FF" w14:textId="77777777" w:rsidR="00542337" w:rsidRDefault="00542337" w:rsidP="00542337">
            <w:pPr>
              <w:pStyle w:val="TAL"/>
            </w:pPr>
            <w:r>
              <w:t>5.6.6.2.6</w:t>
            </w:r>
          </w:p>
        </w:tc>
        <w:tc>
          <w:tcPr>
            <w:tcW w:w="2955" w:type="dxa"/>
          </w:tcPr>
          <w:p w14:paraId="1B4DD63C" w14:textId="77777777" w:rsidR="00542337" w:rsidRDefault="00542337" w:rsidP="00542337">
            <w:pPr>
              <w:pStyle w:val="TAL"/>
              <w:rPr>
                <w:lang w:eastAsia="zh-CN"/>
              </w:rPr>
            </w:pPr>
            <w:r>
              <w:rPr>
                <w:lang w:eastAsia="zh-CN"/>
              </w:rPr>
              <w:t>Represents the analytics feedback.</w:t>
            </w:r>
          </w:p>
        </w:tc>
        <w:tc>
          <w:tcPr>
            <w:tcW w:w="1947" w:type="dxa"/>
          </w:tcPr>
          <w:p w14:paraId="1420720C" w14:textId="77777777" w:rsidR="00542337" w:rsidRDefault="00542337" w:rsidP="00542337">
            <w:pPr>
              <w:pStyle w:val="TAL"/>
              <w:rPr>
                <w:rFonts w:cs="Arial"/>
                <w:szCs w:val="18"/>
              </w:rPr>
            </w:pPr>
          </w:p>
        </w:tc>
      </w:tr>
      <w:tr w:rsidR="00542337" w14:paraId="5EC48BCB" w14:textId="77777777">
        <w:trPr>
          <w:jc w:val="center"/>
        </w:trPr>
        <w:tc>
          <w:tcPr>
            <w:tcW w:w="3198" w:type="dxa"/>
          </w:tcPr>
          <w:p w14:paraId="68D9E6CA" w14:textId="77777777" w:rsidR="00542337" w:rsidRDefault="00542337" w:rsidP="00542337">
            <w:pPr>
              <w:pStyle w:val="TAL"/>
              <w:rPr>
                <w:rFonts w:eastAsia="等线"/>
              </w:rPr>
            </w:pPr>
            <w:r>
              <w:rPr>
                <w:rFonts w:eastAsia="等线"/>
              </w:rPr>
              <w:t>MLModelAccuracyInfo</w:t>
            </w:r>
          </w:p>
        </w:tc>
        <w:tc>
          <w:tcPr>
            <w:tcW w:w="1324" w:type="dxa"/>
          </w:tcPr>
          <w:p w14:paraId="0A77AF79" w14:textId="77777777" w:rsidR="00542337" w:rsidRDefault="00542337" w:rsidP="00542337">
            <w:pPr>
              <w:pStyle w:val="TAL"/>
            </w:pPr>
            <w:r>
              <w:t>5.6.6.2.5</w:t>
            </w:r>
          </w:p>
        </w:tc>
        <w:tc>
          <w:tcPr>
            <w:tcW w:w="2955" w:type="dxa"/>
          </w:tcPr>
          <w:p w14:paraId="2C937180" w14:textId="77777777" w:rsidR="00542337" w:rsidRDefault="00542337" w:rsidP="00542337">
            <w:pPr>
              <w:pStyle w:val="TAL"/>
              <w:rPr>
                <w:lang w:eastAsia="zh-CN"/>
              </w:rPr>
            </w:pPr>
            <w:r>
              <w:rPr>
                <w:lang w:eastAsia="zh-CN"/>
              </w:rPr>
              <w:t>Represents the ML Model accuracy information.</w:t>
            </w:r>
          </w:p>
        </w:tc>
        <w:tc>
          <w:tcPr>
            <w:tcW w:w="1947" w:type="dxa"/>
          </w:tcPr>
          <w:p w14:paraId="2F760C59" w14:textId="77777777" w:rsidR="00542337" w:rsidRDefault="00542337" w:rsidP="00542337">
            <w:pPr>
              <w:pStyle w:val="TAL"/>
              <w:rPr>
                <w:rFonts w:cs="Arial"/>
                <w:szCs w:val="18"/>
              </w:rPr>
            </w:pPr>
          </w:p>
        </w:tc>
      </w:tr>
      <w:tr w:rsidR="00542337" w14:paraId="782ABB34" w14:textId="77777777">
        <w:trPr>
          <w:jc w:val="center"/>
        </w:trPr>
        <w:tc>
          <w:tcPr>
            <w:tcW w:w="3198" w:type="dxa"/>
          </w:tcPr>
          <w:p w14:paraId="3533E64E" w14:textId="77777777" w:rsidR="00542337" w:rsidRDefault="00542337" w:rsidP="00542337">
            <w:pPr>
              <w:pStyle w:val="TAL"/>
            </w:pPr>
            <w:r>
              <w:rPr>
                <w:rFonts w:eastAsia="等线"/>
              </w:rPr>
              <w:t>MLModelMonitor</w:t>
            </w:r>
            <w:r>
              <w:rPr>
                <w:rFonts w:eastAsia="等线"/>
                <w:lang w:eastAsia="zh-CN"/>
              </w:rPr>
              <w:t>Notify</w:t>
            </w:r>
          </w:p>
        </w:tc>
        <w:tc>
          <w:tcPr>
            <w:tcW w:w="1324" w:type="dxa"/>
          </w:tcPr>
          <w:p w14:paraId="231705F8" w14:textId="77777777" w:rsidR="00542337" w:rsidRDefault="00542337" w:rsidP="00542337">
            <w:pPr>
              <w:pStyle w:val="TAL"/>
            </w:pPr>
            <w:r>
              <w:t>5.6.6.2.4</w:t>
            </w:r>
          </w:p>
        </w:tc>
        <w:tc>
          <w:tcPr>
            <w:tcW w:w="2955" w:type="dxa"/>
          </w:tcPr>
          <w:p w14:paraId="454CC772" w14:textId="77777777" w:rsidR="00542337" w:rsidRDefault="00542337" w:rsidP="00542337">
            <w:pPr>
              <w:pStyle w:val="TAL"/>
              <w:rPr>
                <w:lang w:eastAsia="zh-CN"/>
              </w:rPr>
            </w:pPr>
            <w:r>
              <w:rPr>
                <w:lang w:eastAsia="zh-CN"/>
              </w:rPr>
              <w:t>Represents notifications on ML Model event(s) that occurred.</w:t>
            </w:r>
          </w:p>
        </w:tc>
        <w:tc>
          <w:tcPr>
            <w:tcW w:w="1947" w:type="dxa"/>
          </w:tcPr>
          <w:p w14:paraId="2D8C3DC7" w14:textId="77777777" w:rsidR="00542337" w:rsidRDefault="00542337" w:rsidP="00542337">
            <w:pPr>
              <w:pStyle w:val="TAL"/>
              <w:rPr>
                <w:rFonts w:cs="Arial"/>
                <w:szCs w:val="18"/>
              </w:rPr>
            </w:pPr>
          </w:p>
        </w:tc>
      </w:tr>
      <w:tr w:rsidR="00542337" w14:paraId="36738FAB" w14:textId="77777777">
        <w:trPr>
          <w:jc w:val="center"/>
        </w:trPr>
        <w:tc>
          <w:tcPr>
            <w:tcW w:w="3198" w:type="dxa"/>
          </w:tcPr>
          <w:p w14:paraId="1A5CB7C6" w14:textId="77777777" w:rsidR="00542337" w:rsidRDefault="00542337" w:rsidP="00542337">
            <w:pPr>
              <w:pStyle w:val="TAL"/>
              <w:rPr>
                <w:rFonts w:eastAsia="等线"/>
              </w:rPr>
            </w:pPr>
            <w:r>
              <w:rPr>
                <w:rFonts w:eastAsia="等线"/>
              </w:rPr>
              <w:t>MLModelMonitorReg</w:t>
            </w:r>
          </w:p>
        </w:tc>
        <w:tc>
          <w:tcPr>
            <w:tcW w:w="1324" w:type="dxa"/>
          </w:tcPr>
          <w:p w14:paraId="7202E066" w14:textId="77777777" w:rsidR="00542337" w:rsidRDefault="00542337" w:rsidP="00542337">
            <w:pPr>
              <w:pStyle w:val="TAL"/>
            </w:pPr>
            <w:r>
              <w:t>5.6.6.2.2</w:t>
            </w:r>
          </w:p>
        </w:tc>
        <w:tc>
          <w:tcPr>
            <w:tcW w:w="2955" w:type="dxa"/>
          </w:tcPr>
          <w:p w14:paraId="73678F1B" w14:textId="77777777" w:rsidR="00542337" w:rsidRDefault="00542337" w:rsidP="00542337">
            <w:pPr>
              <w:pStyle w:val="TAL"/>
              <w:rPr>
                <w:lang w:eastAsia="zh-CN"/>
              </w:rPr>
            </w:pPr>
            <w:r>
              <w:rPr>
                <w:lang w:eastAsia="zh-CN"/>
              </w:rPr>
              <w:t>Represents ML Model monitoring registration.</w:t>
            </w:r>
          </w:p>
        </w:tc>
        <w:tc>
          <w:tcPr>
            <w:tcW w:w="1947" w:type="dxa"/>
          </w:tcPr>
          <w:p w14:paraId="66E9E7EE" w14:textId="77777777" w:rsidR="00542337" w:rsidRDefault="00542337" w:rsidP="00542337">
            <w:pPr>
              <w:pStyle w:val="TAL"/>
              <w:rPr>
                <w:rFonts w:cs="Arial"/>
                <w:szCs w:val="18"/>
              </w:rPr>
            </w:pPr>
          </w:p>
        </w:tc>
      </w:tr>
      <w:tr w:rsidR="00542337" w14:paraId="6BDD72F2" w14:textId="77777777">
        <w:trPr>
          <w:jc w:val="center"/>
        </w:trPr>
        <w:tc>
          <w:tcPr>
            <w:tcW w:w="3198" w:type="dxa"/>
          </w:tcPr>
          <w:p w14:paraId="0A5B76C8" w14:textId="77777777" w:rsidR="00542337" w:rsidRDefault="00542337" w:rsidP="00542337">
            <w:pPr>
              <w:pStyle w:val="TAL"/>
              <w:rPr>
                <w:rFonts w:eastAsia="等线"/>
              </w:rPr>
            </w:pPr>
            <w:r>
              <w:rPr>
                <w:rFonts w:eastAsia="等线"/>
              </w:rPr>
              <w:t>MLModelMonitor</w:t>
            </w:r>
            <w:r>
              <w:rPr>
                <w:rFonts w:eastAsia="等线" w:hint="eastAsia"/>
                <w:lang w:eastAsia="zh-CN"/>
              </w:rPr>
              <w:t>Sub</w:t>
            </w:r>
          </w:p>
        </w:tc>
        <w:tc>
          <w:tcPr>
            <w:tcW w:w="1324" w:type="dxa"/>
          </w:tcPr>
          <w:p w14:paraId="71E87A18" w14:textId="77777777" w:rsidR="00542337" w:rsidRDefault="00542337" w:rsidP="00542337">
            <w:pPr>
              <w:pStyle w:val="TAL"/>
            </w:pPr>
            <w:r>
              <w:t>5.6.6.2.3</w:t>
            </w:r>
          </w:p>
        </w:tc>
        <w:tc>
          <w:tcPr>
            <w:tcW w:w="2955" w:type="dxa"/>
          </w:tcPr>
          <w:p w14:paraId="7EA0E7B2" w14:textId="77777777" w:rsidR="00542337" w:rsidRDefault="00542337" w:rsidP="00542337">
            <w:pPr>
              <w:pStyle w:val="TAL"/>
              <w:rPr>
                <w:lang w:eastAsia="zh-CN"/>
              </w:rPr>
            </w:pPr>
            <w:r>
              <w:rPr>
                <w:lang w:eastAsia="zh-CN"/>
              </w:rPr>
              <w:t>Represents ML Model monitoring subscription.</w:t>
            </w:r>
          </w:p>
        </w:tc>
        <w:tc>
          <w:tcPr>
            <w:tcW w:w="1947" w:type="dxa"/>
          </w:tcPr>
          <w:p w14:paraId="7DE596F7" w14:textId="77777777" w:rsidR="00542337" w:rsidRDefault="00542337" w:rsidP="00542337">
            <w:pPr>
              <w:pStyle w:val="TAL"/>
              <w:rPr>
                <w:rFonts w:cs="Arial"/>
                <w:szCs w:val="18"/>
              </w:rPr>
            </w:pPr>
          </w:p>
        </w:tc>
      </w:tr>
    </w:tbl>
    <w:p w14:paraId="298F9970" w14:textId="77777777" w:rsidR="00A10B25" w:rsidRDefault="00A10B25"/>
    <w:p w14:paraId="04FE2A58" w14:textId="77777777" w:rsidR="00A10B25" w:rsidRDefault="00A10B25">
      <w:r>
        <w:t>Table 5.6.6.1-2 specifies data types re-used by the Nnwdaf_</w:t>
      </w:r>
      <w:r>
        <w:rPr>
          <w:lang w:eastAsia="ja-JP"/>
        </w:rPr>
        <w:t>MLModelMonitor</w:t>
      </w:r>
      <w:r>
        <w:t xml:space="preserve"> service based interface protocol from other specifications, including a reference to their respective specifications and when needed, a short description of their use within the Nnwdaf_MLModelMonitor service based interface. </w:t>
      </w:r>
    </w:p>
    <w:p w14:paraId="25AB1E7A" w14:textId="77777777" w:rsidR="00640768" w:rsidRDefault="00640768" w:rsidP="00640768">
      <w:pPr>
        <w:pStyle w:val="TH"/>
        <w:overflowPunct w:val="0"/>
        <w:autoSpaceDE w:val="0"/>
        <w:autoSpaceDN w:val="0"/>
        <w:adjustRightInd w:val="0"/>
        <w:textAlignment w:val="baseline"/>
        <w:rPr>
          <w:rFonts w:eastAsia="MS Mincho"/>
        </w:rPr>
      </w:pPr>
      <w:bookmarkStart w:id="15662" w:name="_Toc148523007"/>
      <w:r>
        <w:rPr>
          <w:rFonts w:eastAsia="MS Mincho"/>
        </w:rPr>
        <w:t>Table 5.6.6.1-2: Nnwdaf_</w:t>
      </w:r>
      <w:r>
        <w:rPr>
          <w:lang w:eastAsia="ja-JP"/>
        </w:rPr>
        <w:t>MLModelMonitor</w:t>
      </w:r>
      <w:r>
        <w:rPr>
          <w:rFonts w:eastAsia="MS Mincho"/>
        </w:rPr>
        <w:t xml:space="preserve"> re-used Data Types</w:t>
      </w:r>
    </w:p>
    <w:tbl>
      <w:tblPr>
        <w:tblW w:w="942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640768" w14:paraId="04A30940" w14:textId="77777777" w:rsidTr="002A71FE">
        <w:trPr>
          <w:jc w:val="center"/>
        </w:trPr>
        <w:tc>
          <w:tcPr>
            <w:tcW w:w="3178" w:type="dxa"/>
            <w:shd w:val="clear" w:color="auto" w:fill="C0C0C0"/>
          </w:tcPr>
          <w:p w14:paraId="30BD041D" w14:textId="77777777" w:rsidR="00640768" w:rsidRDefault="00640768" w:rsidP="002A71FE">
            <w:pPr>
              <w:pStyle w:val="TAH"/>
              <w:ind w:left="400" w:hanging="400"/>
            </w:pPr>
            <w:r>
              <w:t>Data type</w:t>
            </w:r>
          </w:p>
        </w:tc>
        <w:tc>
          <w:tcPr>
            <w:tcW w:w="2058" w:type="dxa"/>
            <w:shd w:val="clear" w:color="auto" w:fill="C0C0C0"/>
          </w:tcPr>
          <w:p w14:paraId="5E53A58C" w14:textId="77777777" w:rsidR="00640768" w:rsidRDefault="00640768" w:rsidP="002A71FE">
            <w:pPr>
              <w:pStyle w:val="TAH"/>
              <w:ind w:left="400" w:hanging="400"/>
            </w:pPr>
            <w:r>
              <w:t>Reference</w:t>
            </w:r>
          </w:p>
        </w:tc>
        <w:tc>
          <w:tcPr>
            <w:tcW w:w="2449" w:type="dxa"/>
            <w:shd w:val="clear" w:color="auto" w:fill="C0C0C0"/>
          </w:tcPr>
          <w:p w14:paraId="4A02E3F8" w14:textId="77777777" w:rsidR="00640768" w:rsidRDefault="00640768" w:rsidP="002A71FE">
            <w:pPr>
              <w:pStyle w:val="TAH"/>
              <w:ind w:left="400" w:hanging="400"/>
            </w:pPr>
            <w:r>
              <w:t>Comments</w:t>
            </w:r>
          </w:p>
        </w:tc>
        <w:tc>
          <w:tcPr>
            <w:tcW w:w="1739" w:type="dxa"/>
            <w:shd w:val="clear" w:color="auto" w:fill="C0C0C0"/>
          </w:tcPr>
          <w:p w14:paraId="6BF08173" w14:textId="77777777" w:rsidR="00640768" w:rsidRDefault="00640768" w:rsidP="002A71FE">
            <w:pPr>
              <w:pStyle w:val="TAH"/>
              <w:ind w:left="400" w:hanging="400"/>
            </w:pPr>
            <w:r>
              <w:t>Applicability</w:t>
            </w:r>
          </w:p>
        </w:tc>
      </w:tr>
      <w:tr w:rsidR="00640768" w14:paraId="470D3E56" w14:textId="77777777" w:rsidTr="002A71FE">
        <w:trPr>
          <w:jc w:val="center"/>
        </w:trPr>
        <w:tc>
          <w:tcPr>
            <w:tcW w:w="3178" w:type="dxa"/>
          </w:tcPr>
          <w:p w14:paraId="7DA68216" w14:textId="77777777" w:rsidR="00640768" w:rsidRDefault="00640768" w:rsidP="002A71FE">
            <w:pPr>
              <w:pStyle w:val="TAL"/>
            </w:pPr>
            <w:r>
              <w:t>DataSetTag</w:t>
            </w:r>
          </w:p>
        </w:tc>
        <w:tc>
          <w:tcPr>
            <w:tcW w:w="2058" w:type="dxa"/>
          </w:tcPr>
          <w:p w14:paraId="77D97BC7" w14:textId="77777777" w:rsidR="00640768" w:rsidRDefault="00640768" w:rsidP="002A71FE">
            <w:pPr>
              <w:pStyle w:val="TAL"/>
              <w:rPr>
                <w:rFonts w:cs="Arial"/>
              </w:rPr>
            </w:pPr>
            <w:r>
              <w:rPr>
                <w:rFonts w:cs="Arial"/>
              </w:rPr>
              <w:t>3GPP TS 29.575 [27]</w:t>
            </w:r>
          </w:p>
        </w:tc>
        <w:tc>
          <w:tcPr>
            <w:tcW w:w="2449" w:type="dxa"/>
          </w:tcPr>
          <w:p w14:paraId="6D6E6FCF" w14:textId="77777777" w:rsidR="00640768" w:rsidRDefault="00640768" w:rsidP="002A71FE">
            <w:pPr>
              <w:pStyle w:val="TAL"/>
            </w:pPr>
            <w:r>
              <w:rPr>
                <w:lang w:eastAsia="zh-CN"/>
              </w:rPr>
              <w:t>Contains an identifier and a description of associated data or analytics records.</w:t>
            </w:r>
          </w:p>
        </w:tc>
        <w:tc>
          <w:tcPr>
            <w:tcW w:w="1739" w:type="dxa"/>
          </w:tcPr>
          <w:p w14:paraId="40C45568" w14:textId="77777777" w:rsidR="00640768" w:rsidRDefault="00640768" w:rsidP="002A71FE">
            <w:pPr>
              <w:pStyle w:val="TAL"/>
              <w:rPr>
                <w:rFonts w:cs="Arial"/>
                <w:szCs w:val="18"/>
              </w:rPr>
            </w:pPr>
          </w:p>
        </w:tc>
      </w:tr>
      <w:tr w:rsidR="00640768" w14:paraId="157E9709" w14:textId="77777777" w:rsidTr="002A71FE">
        <w:trPr>
          <w:jc w:val="center"/>
        </w:trPr>
        <w:tc>
          <w:tcPr>
            <w:tcW w:w="3178" w:type="dxa"/>
          </w:tcPr>
          <w:p w14:paraId="621D54FD" w14:textId="77777777" w:rsidR="00640768" w:rsidRDefault="00640768" w:rsidP="002A71FE">
            <w:pPr>
              <w:pStyle w:val="TAL"/>
            </w:pPr>
            <w:r>
              <w:t>DateTime</w:t>
            </w:r>
          </w:p>
        </w:tc>
        <w:tc>
          <w:tcPr>
            <w:tcW w:w="2058" w:type="dxa"/>
          </w:tcPr>
          <w:p w14:paraId="1A524F65" w14:textId="77777777" w:rsidR="00640768" w:rsidRDefault="00640768" w:rsidP="002A71FE">
            <w:pPr>
              <w:pStyle w:val="TAL"/>
              <w:rPr>
                <w:rFonts w:cs="Arial"/>
              </w:rPr>
            </w:pPr>
            <w:r>
              <w:t>3GPP TS 29.571 [8]</w:t>
            </w:r>
          </w:p>
        </w:tc>
        <w:tc>
          <w:tcPr>
            <w:tcW w:w="2449" w:type="dxa"/>
          </w:tcPr>
          <w:p w14:paraId="62BC953B" w14:textId="77777777" w:rsidR="00640768" w:rsidRDefault="00640768" w:rsidP="002A71FE">
            <w:pPr>
              <w:pStyle w:val="TAL"/>
              <w:rPr>
                <w:lang w:eastAsia="zh-CN"/>
              </w:rPr>
            </w:pPr>
            <w:r>
              <w:t>Identifies the time.</w:t>
            </w:r>
          </w:p>
        </w:tc>
        <w:tc>
          <w:tcPr>
            <w:tcW w:w="1739" w:type="dxa"/>
          </w:tcPr>
          <w:p w14:paraId="77B5D378" w14:textId="77777777" w:rsidR="00640768" w:rsidRDefault="00640768" w:rsidP="002A71FE">
            <w:pPr>
              <w:pStyle w:val="TAL"/>
              <w:rPr>
                <w:rFonts w:cs="Arial"/>
                <w:szCs w:val="18"/>
              </w:rPr>
            </w:pPr>
          </w:p>
        </w:tc>
      </w:tr>
      <w:tr w:rsidR="00640768" w14:paraId="5C59224A" w14:textId="77777777" w:rsidTr="002A71FE">
        <w:trPr>
          <w:jc w:val="center"/>
        </w:trPr>
        <w:tc>
          <w:tcPr>
            <w:tcW w:w="3178" w:type="dxa"/>
          </w:tcPr>
          <w:p w14:paraId="3474F23C" w14:textId="77777777" w:rsidR="00640768" w:rsidRDefault="00640768" w:rsidP="002A71FE">
            <w:pPr>
              <w:pStyle w:val="TAL"/>
            </w:pPr>
            <w:r>
              <w:rPr>
                <w:rFonts w:eastAsia="等线"/>
                <w:lang w:eastAsia="zh-CN"/>
              </w:rPr>
              <w:t>EventFilter</w:t>
            </w:r>
          </w:p>
        </w:tc>
        <w:tc>
          <w:tcPr>
            <w:tcW w:w="2058" w:type="dxa"/>
          </w:tcPr>
          <w:p w14:paraId="057DC9F5" w14:textId="77777777" w:rsidR="00640768" w:rsidRDefault="00640768" w:rsidP="002A71FE">
            <w:pPr>
              <w:pStyle w:val="TAL"/>
            </w:pPr>
            <w:r>
              <w:t>5.2.6.2.3</w:t>
            </w:r>
          </w:p>
        </w:tc>
        <w:tc>
          <w:tcPr>
            <w:tcW w:w="2449" w:type="dxa"/>
          </w:tcPr>
          <w:p w14:paraId="45B96D88" w14:textId="77777777" w:rsidR="00640768" w:rsidRDefault="00640768" w:rsidP="002A71FE">
            <w:pPr>
              <w:pStyle w:val="TAL"/>
            </w:pPr>
            <w:r>
              <w:rPr>
                <w:lang w:eastAsia="zh-CN"/>
              </w:rPr>
              <w:t>Represents the event filters used to identify the requested analytics.</w:t>
            </w:r>
          </w:p>
        </w:tc>
        <w:tc>
          <w:tcPr>
            <w:tcW w:w="1739" w:type="dxa"/>
          </w:tcPr>
          <w:p w14:paraId="75ABD6B7" w14:textId="77777777" w:rsidR="00640768" w:rsidRDefault="00640768" w:rsidP="002A71FE">
            <w:pPr>
              <w:pStyle w:val="TAL"/>
              <w:rPr>
                <w:rFonts w:cs="Arial"/>
                <w:szCs w:val="18"/>
              </w:rPr>
            </w:pPr>
          </w:p>
        </w:tc>
      </w:tr>
      <w:tr w:rsidR="00640768" w14:paraId="23168EDE" w14:textId="77777777" w:rsidTr="002A71FE">
        <w:trPr>
          <w:jc w:val="center"/>
        </w:trPr>
        <w:tc>
          <w:tcPr>
            <w:tcW w:w="3178" w:type="dxa"/>
          </w:tcPr>
          <w:p w14:paraId="62855BCE" w14:textId="77777777" w:rsidR="00640768" w:rsidRDefault="00640768" w:rsidP="002A71FE">
            <w:pPr>
              <w:pStyle w:val="TAL"/>
            </w:pPr>
            <w:r>
              <w:t>Float</w:t>
            </w:r>
          </w:p>
        </w:tc>
        <w:tc>
          <w:tcPr>
            <w:tcW w:w="2058" w:type="dxa"/>
          </w:tcPr>
          <w:p w14:paraId="311FCF65" w14:textId="77777777" w:rsidR="00640768" w:rsidRDefault="00640768" w:rsidP="002A71FE">
            <w:pPr>
              <w:pStyle w:val="TAL"/>
              <w:rPr>
                <w:rFonts w:cs="Arial"/>
              </w:rPr>
            </w:pPr>
            <w:r>
              <w:t>3GPP TS 29.571 [8]</w:t>
            </w:r>
          </w:p>
        </w:tc>
        <w:tc>
          <w:tcPr>
            <w:tcW w:w="2449" w:type="dxa"/>
          </w:tcPr>
          <w:p w14:paraId="2C641C33" w14:textId="77777777" w:rsidR="00640768" w:rsidRDefault="00640768" w:rsidP="002A71FE">
            <w:pPr>
              <w:pStyle w:val="TAL"/>
            </w:pPr>
            <w:r>
              <w:t>Number with format "float" as defined in OpenAPI Specification [11].</w:t>
            </w:r>
          </w:p>
        </w:tc>
        <w:tc>
          <w:tcPr>
            <w:tcW w:w="1739" w:type="dxa"/>
          </w:tcPr>
          <w:p w14:paraId="179AA772" w14:textId="77777777" w:rsidR="00640768" w:rsidRDefault="00640768" w:rsidP="002A71FE">
            <w:pPr>
              <w:pStyle w:val="TAL"/>
              <w:rPr>
                <w:rFonts w:cs="Arial"/>
                <w:szCs w:val="18"/>
              </w:rPr>
            </w:pPr>
          </w:p>
        </w:tc>
      </w:tr>
      <w:tr w:rsidR="00640768" w14:paraId="4F06C567" w14:textId="77777777" w:rsidTr="002A71FE">
        <w:trPr>
          <w:jc w:val="center"/>
        </w:trPr>
        <w:tc>
          <w:tcPr>
            <w:tcW w:w="3178" w:type="dxa"/>
          </w:tcPr>
          <w:p w14:paraId="337394F2" w14:textId="77777777" w:rsidR="00640768" w:rsidRDefault="00640768" w:rsidP="002A71FE">
            <w:pPr>
              <w:pStyle w:val="TAL"/>
            </w:pPr>
            <w:r>
              <w:t>MLModelMetric</w:t>
            </w:r>
          </w:p>
        </w:tc>
        <w:tc>
          <w:tcPr>
            <w:tcW w:w="2058" w:type="dxa"/>
          </w:tcPr>
          <w:p w14:paraId="7425C786" w14:textId="77777777" w:rsidR="00640768" w:rsidRDefault="00640768" w:rsidP="002A71FE">
            <w:pPr>
              <w:pStyle w:val="TAL"/>
              <w:rPr>
                <w:rFonts w:cs="Arial"/>
              </w:rPr>
            </w:pPr>
            <w:r>
              <w:rPr>
                <w:rFonts w:cs="Arial" w:hint="eastAsia"/>
                <w:lang w:eastAsia="zh-CN"/>
              </w:rPr>
              <w:t>5</w:t>
            </w:r>
            <w:r>
              <w:rPr>
                <w:rFonts w:cs="Arial"/>
                <w:lang w:eastAsia="zh-CN"/>
              </w:rPr>
              <w:t>.4.6.3.4</w:t>
            </w:r>
          </w:p>
        </w:tc>
        <w:tc>
          <w:tcPr>
            <w:tcW w:w="2449" w:type="dxa"/>
          </w:tcPr>
          <w:p w14:paraId="6864680C" w14:textId="77777777" w:rsidR="00640768" w:rsidRDefault="00640768" w:rsidP="002A71FE">
            <w:pPr>
              <w:pStyle w:val="TAL"/>
              <w:rPr>
                <w:lang w:eastAsia="zh-CN"/>
              </w:rPr>
            </w:pPr>
            <w:r>
              <w:rPr>
                <w:rFonts w:hint="eastAsia"/>
                <w:lang w:eastAsia="zh-CN"/>
              </w:rPr>
              <w:t>I</w:t>
            </w:r>
            <w:r>
              <w:rPr>
                <w:lang w:eastAsia="zh-CN"/>
              </w:rPr>
              <w:t xml:space="preserve">ndicates the </w:t>
            </w:r>
            <w:r>
              <w:t>ML Model Metric.</w:t>
            </w:r>
          </w:p>
        </w:tc>
        <w:tc>
          <w:tcPr>
            <w:tcW w:w="1739" w:type="dxa"/>
          </w:tcPr>
          <w:p w14:paraId="6EF884AD" w14:textId="77777777" w:rsidR="00640768" w:rsidRDefault="00640768" w:rsidP="002A71FE">
            <w:pPr>
              <w:pStyle w:val="TAL"/>
              <w:rPr>
                <w:rFonts w:cs="Arial"/>
                <w:szCs w:val="18"/>
              </w:rPr>
            </w:pPr>
          </w:p>
        </w:tc>
      </w:tr>
      <w:tr w:rsidR="00640768" w14:paraId="09B1184E" w14:textId="77777777" w:rsidTr="002A71FE">
        <w:trPr>
          <w:jc w:val="center"/>
        </w:trPr>
        <w:tc>
          <w:tcPr>
            <w:tcW w:w="3178" w:type="dxa"/>
          </w:tcPr>
          <w:p w14:paraId="51CFD144" w14:textId="77777777" w:rsidR="00640768" w:rsidRDefault="00640768" w:rsidP="002A71FE">
            <w:pPr>
              <w:pStyle w:val="TAL"/>
              <w:rPr>
                <w:lang w:eastAsia="zh-CN"/>
              </w:rPr>
            </w:pPr>
            <w:r>
              <w:t>NfInstanceId</w:t>
            </w:r>
          </w:p>
        </w:tc>
        <w:tc>
          <w:tcPr>
            <w:tcW w:w="2058" w:type="dxa"/>
          </w:tcPr>
          <w:p w14:paraId="2C9BF72B" w14:textId="77777777" w:rsidR="00640768" w:rsidRDefault="00640768" w:rsidP="002A71FE">
            <w:pPr>
              <w:pStyle w:val="TAL"/>
            </w:pPr>
            <w:r>
              <w:rPr>
                <w:rFonts w:cs="Arial"/>
              </w:rPr>
              <w:t>3GPP TS </w:t>
            </w:r>
            <w:r>
              <w:t>29.571 [8]</w:t>
            </w:r>
          </w:p>
        </w:tc>
        <w:tc>
          <w:tcPr>
            <w:tcW w:w="2449" w:type="dxa"/>
          </w:tcPr>
          <w:p w14:paraId="766601D0" w14:textId="77777777" w:rsidR="00640768" w:rsidRDefault="00640768" w:rsidP="002A71FE">
            <w:pPr>
              <w:pStyle w:val="TAL"/>
              <w:rPr>
                <w:rFonts w:cs="Arial"/>
                <w:szCs w:val="18"/>
                <w:lang w:eastAsia="zh-CN"/>
              </w:rPr>
            </w:pPr>
            <w:r>
              <w:t>Identifies an NF instance</w:t>
            </w:r>
          </w:p>
        </w:tc>
        <w:tc>
          <w:tcPr>
            <w:tcW w:w="1739" w:type="dxa"/>
          </w:tcPr>
          <w:p w14:paraId="4260768F" w14:textId="77777777" w:rsidR="00640768" w:rsidRDefault="00640768" w:rsidP="002A71FE">
            <w:pPr>
              <w:pStyle w:val="TAL"/>
              <w:rPr>
                <w:rFonts w:cs="Arial"/>
                <w:szCs w:val="18"/>
              </w:rPr>
            </w:pPr>
          </w:p>
        </w:tc>
      </w:tr>
      <w:tr w:rsidR="00640768" w14:paraId="7F813DD9" w14:textId="77777777" w:rsidTr="002A71FE">
        <w:trPr>
          <w:jc w:val="center"/>
        </w:trPr>
        <w:tc>
          <w:tcPr>
            <w:tcW w:w="3178" w:type="dxa"/>
          </w:tcPr>
          <w:p w14:paraId="69FE1F55" w14:textId="77777777" w:rsidR="00640768" w:rsidRDefault="00640768" w:rsidP="002A71FE">
            <w:pPr>
              <w:pStyle w:val="TAL"/>
              <w:rPr>
                <w:lang w:eastAsia="zh-CN"/>
              </w:rPr>
            </w:pPr>
            <w:r>
              <w:t>NfSetId</w:t>
            </w:r>
          </w:p>
        </w:tc>
        <w:tc>
          <w:tcPr>
            <w:tcW w:w="2058" w:type="dxa"/>
          </w:tcPr>
          <w:p w14:paraId="5504E628" w14:textId="77777777" w:rsidR="00640768" w:rsidRDefault="00640768" w:rsidP="002A71FE">
            <w:pPr>
              <w:pStyle w:val="TAL"/>
            </w:pPr>
            <w:r>
              <w:rPr>
                <w:rFonts w:cs="Arial"/>
              </w:rPr>
              <w:t>3GPP TS </w:t>
            </w:r>
            <w:r>
              <w:t>29.571 [8]</w:t>
            </w:r>
          </w:p>
        </w:tc>
        <w:tc>
          <w:tcPr>
            <w:tcW w:w="2449" w:type="dxa"/>
          </w:tcPr>
          <w:p w14:paraId="37FE640C" w14:textId="77777777" w:rsidR="00640768" w:rsidRDefault="00640768" w:rsidP="002A71FE">
            <w:pPr>
              <w:pStyle w:val="TAL"/>
              <w:rPr>
                <w:rFonts w:cs="Arial"/>
                <w:szCs w:val="18"/>
                <w:lang w:eastAsia="zh-CN"/>
              </w:rPr>
            </w:pPr>
            <w:r>
              <w:t>Identifies an NF Set instance.</w:t>
            </w:r>
          </w:p>
        </w:tc>
        <w:tc>
          <w:tcPr>
            <w:tcW w:w="1739" w:type="dxa"/>
          </w:tcPr>
          <w:p w14:paraId="35510032" w14:textId="77777777" w:rsidR="00640768" w:rsidRDefault="00640768" w:rsidP="002A71FE">
            <w:pPr>
              <w:pStyle w:val="TAL"/>
              <w:rPr>
                <w:rFonts w:cs="Arial"/>
                <w:szCs w:val="18"/>
              </w:rPr>
            </w:pPr>
          </w:p>
        </w:tc>
      </w:tr>
      <w:tr w:rsidR="00640768" w14:paraId="464C43DC" w14:textId="77777777" w:rsidTr="002A71FE">
        <w:trPr>
          <w:jc w:val="center"/>
        </w:trPr>
        <w:tc>
          <w:tcPr>
            <w:tcW w:w="3178" w:type="dxa"/>
          </w:tcPr>
          <w:p w14:paraId="1C2EBD2C" w14:textId="77777777" w:rsidR="00640768" w:rsidRDefault="00640768" w:rsidP="002A71FE">
            <w:pPr>
              <w:pStyle w:val="TAL"/>
            </w:pPr>
            <w:r>
              <w:t>NwdafEvent</w:t>
            </w:r>
          </w:p>
        </w:tc>
        <w:tc>
          <w:tcPr>
            <w:tcW w:w="2058" w:type="dxa"/>
          </w:tcPr>
          <w:p w14:paraId="481C06E4" w14:textId="77777777" w:rsidR="00640768" w:rsidRDefault="00640768" w:rsidP="002A71FE">
            <w:pPr>
              <w:pStyle w:val="TAL"/>
              <w:rPr>
                <w:rFonts w:cs="Arial"/>
              </w:rPr>
            </w:pPr>
            <w:r>
              <w:rPr>
                <w:rFonts w:cs="Arial"/>
              </w:rPr>
              <w:t>5.1.6.3.4</w:t>
            </w:r>
          </w:p>
        </w:tc>
        <w:tc>
          <w:tcPr>
            <w:tcW w:w="2449" w:type="dxa"/>
          </w:tcPr>
          <w:p w14:paraId="764144B9" w14:textId="77777777" w:rsidR="00640768" w:rsidRDefault="00640768" w:rsidP="002A71FE">
            <w:pPr>
              <w:pStyle w:val="TAL"/>
              <w:rPr>
                <w:lang w:eastAsia="zh-CN"/>
              </w:rPr>
            </w:pPr>
            <w:r>
              <w:rPr>
                <w:rFonts w:hint="eastAsia"/>
                <w:lang w:eastAsia="zh-CN"/>
              </w:rPr>
              <w:t>I</w:t>
            </w:r>
            <w:r>
              <w:rPr>
                <w:lang w:eastAsia="zh-CN"/>
              </w:rPr>
              <w:t>ndicates the NWDAF events.</w:t>
            </w:r>
          </w:p>
        </w:tc>
        <w:tc>
          <w:tcPr>
            <w:tcW w:w="1739" w:type="dxa"/>
          </w:tcPr>
          <w:p w14:paraId="40F65CA0" w14:textId="77777777" w:rsidR="00640768" w:rsidRDefault="00640768" w:rsidP="002A71FE">
            <w:pPr>
              <w:pStyle w:val="TAL"/>
              <w:rPr>
                <w:rFonts w:cs="Arial"/>
                <w:szCs w:val="18"/>
              </w:rPr>
            </w:pPr>
          </w:p>
        </w:tc>
      </w:tr>
      <w:tr w:rsidR="00640768" w14:paraId="44DA91B3" w14:textId="77777777" w:rsidTr="002A71FE">
        <w:trPr>
          <w:jc w:val="center"/>
        </w:trPr>
        <w:tc>
          <w:tcPr>
            <w:tcW w:w="3178" w:type="dxa"/>
          </w:tcPr>
          <w:p w14:paraId="76D431AD" w14:textId="77777777" w:rsidR="00640768" w:rsidRDefault="00640768" w:rsidP="002A71FE">
            <w:pPr>
              <w:pStyle w:val="TAL"/>
            </w:pPr>
            <w:r>
              <w:t>ReportingInformation</w:t>
            </w:r>
          </w:p>
        </w:tc>
        <w:tc>
          <w:tcPr>
            <w:tcW w:w="2058" w:type="dxa"/>
          </w:tcPr>
          <w:p w14:paraId="4582A31F" w14:textId="77777777" w:rsidR="00640768" w:rsidRDefault="00640768" w:rsidP="002A71FE">
            <w:pPr>
              <w:pStyle w:val="TAL"/>
              <w:rPr>
                <w:rFonts w:cs="Arial"/>
              </w:rPr>
            </w:pPr>
            <w:r>
              <w:t>3GPP TS 29.523 [20]</w:t>
            </w:r>
          </w:p>
        </w:tc>
        <w:tc>
          <w:tcPr>
            <w:tcW w:w="2449" w:type="dxa"/>
          </w:tcPr>
          <w:p w14:paraId="3FB8BE0B" w14:textId="77777777" w:rsidR="00640768" w:rsidRDefault="00640768" w:rsidP="002A71FE">
            <w:pPr>
              <w:pStyle w:val="TAL"/>
            </w:pPr>
            <w:r>
              <w:t>Represents the type of reporting the subscription requires.</w:t>
            </w:r>
          </w:p>
        </w:tc>
        <w:tc>
          <w:tcPr>
            <w:tcW w:w="1739" w:type="dxa"/>
          </w:tcPr>
          <w:p w14:paraId="2D5F8769" w14:textId="77777777" w:rsidR="00640768" w:rsidRDefault="00640768" w:rsidP="002A71FE">
            <w:pPr>
              <w:pStyle w:val="TAL"/>
              <w:rPr>
                <w:rFonts w:cs="Arial"/>
                <w:szCs w:val="18"/>
              </w:rPr>
            </w:pPr>
          </w:p>
        </w:tc>
      </w:tr>
      <w:tr w:rsidR="009B01A5" w14:paraId="5FC6BD63" w14:textId="77777777" w:rsidTr="002A71FE">
        <w:trPr>
          <w:jc w:val="center"/>
        </w:trPr>
        <w:tc>
          <w:tcPr>
            <w:tcW w:w="3178" w:type="dxa"/>
          </w:tcPr>
          <w:p w14:paraId="10144F9B" w14:textId="77777777" w:rsidR="009B01A5" w:rsidRDefault="009B01A5" w:rsidP="009B01A5">
            <w:pPr>
              <w:pStyle w:val="TAL"/>
            </w:pPr>
            <w:r>
              <w:t>SupportedFeatures</w:t>
            </w:r>
          </w:p>
        </w:tc>
        <w:tc>
          <w:tcPr>
            <w:tcW w:w="2058" w:type="dxa"/>
          </w:tcPr>
          <w:p w14:paraId="763E9D09" w14:textId="77777777" w:rsidR="009B01A5" w:rsidRDefault="009B01A5" w:rsidP="009B01A5">
            <w:pPr>
              <w:pStyle w:val="TAL"/>
            </w:pPr>
            <w:r>
              <w:t>3GPP TS 29.571 [8]</w:t>
            </w:r>
          </w:p>
        </w:tc>
        <w:tc>
          <w:tcPr>
            <w:tcW w:w="2449" w:type="dxa"/>
          </w:tcPr>
          <w:p w14:paraId="5B1B5728" w14:textId="77777777" w:rsidR="009B01A5" w:rsidRDefault="009B01A5" w:rsidP="009B01A5">
            <w:pPr>
              <w:pStyle w:val="TAL"/>
            </w:pPr>
            <w:r>
              <w:t>Used to negotiate the applicability of the optional features defined in table 5.6.8-1.</w:t>
            </w:r>
          </w:p>
        </w:tc>
        <w:tc>
          <w:tcPr>
            <w:tcW w:w="1739" w:type="dxa"/>
          </w:tcPr>
          <w:p w14:paraId="42EB8128" w14:textId="77777777" w:rsidR="009B01A5" w:rsidRDefault="009B01A5" w:rsidP="009B01A5">
            <w:pPr>
              <w:pStyle w:val="TAL"/>
              <w:rPr>
                <w:rFonts w:cs="Arial"/>
                <w:szCs w:val="18"/>
              </w:rPr>
            </w:pPr>
          </w:p>
        </w:tc>
      </w:tr>
      <w:tr w:rsidR="00640768" w14:paraId="1DD3A469" w14:textId="77777777" w:rsidTr="002A71FE">
        <w:trPr>
          <w:jc w:val="center"/>
        </w:trPr>
        <w:tc>
          <w:tcPr>
            <w:tcW w:w="3178" w:type="dxa"/>
          </w:tcPr>
          <w:p w14:paraId="665C6158" w14:textId="77777777" w:rsidR="00640768" w:rsidRDefault="00640768" w:rsidP="002A71FE">
            <w:pPr>
              <w:pStyle w:val="TAL"/>
            </w:pPr>
            <w:r>
              <w:rPr>
                <w:rFonts w:eastAsia="等线"/>
                <w:lang w:eastAsia="zh-CN"/>
              </w:rPr>
              <w:t>TargetUeInformation</w:t>
            </w:r>
          </w:p>
        </w:tc>
        <w:tc>
          <w:tcPr>
            <w:tcW w:w="2058" w:type="dxa"/>
          </w:tcPr>
          <w:p w14:paraId="010F59C5" w14:textId="77777777" w:rsidR="00640768" w:rsidRDefault="00640768" w:rsidP="002A71FE">
            <w:pPr>
              <w:pStyle w:val="TAL"/>
            </w:pPr>
            <w:r>
              <w:t>5.1.6.2.8</w:t>
            </w:r>
          </w:p>
        </w:tc>
        <w:tc>
          <w:tcPr>
            <w:tcW w:w="2449" w:type="dxa"/>
          </w:tcPr>
          <w:p w14:paraId="44F38427" w14:textId="77777777" w:rsidR="00640768" w:rsidRDefault="00640768" w:rsidP="002A71FE">
            <w:pPr>
              <w:pStyle w:val="TAL"/>
            </w:pPr>
            <w:r>
              <w:t>Identifies the target UE information.</w:t>
            </w:r>
          </w:p>
        </w:tc>
        <w:tc>
          <w:tcPr>
            <w:tcW w:w="1739" w:type="dxa"/>
          </w:tcPr>
          <w:p w14:paraId="4D219EBD" w14:textId="77777777" w:rsidR="00640768" w:rsidRDefault="00640768" w:rsidP="002A71FE">
            <w:pPr>
              <w:pStyle w:val="TAL"/>
              <w:rPr>
                <w:rFonts w:cs="Arial"/>
                <w:szCs w:val="18"/>
              </w:rPr>
            </w:pPr>
          </w:p>
        </w:tc>
      </w:tr>
      <w:tr w:rsidR="00542337" w14:paraId="04490C26" w14:textId="77777777" w:rsidTr="002A71FE">
        <w:trPr>
          <w:jc w:val="center"/>
        </w:trPr>
        <w:tc>
          <w:tcPr>
            <w:tcW w:w="3178" w:type="dxa"/>
          </w:tcPr>
          <w:p w14:paraId="5B570B43" w14:textId="77777777" w:rsidR="00542337" w:rsidRDefault="00542337" w:rsidP="00542337">
            <w:pPr>
              <w:pStyle w:val="TAL"/>
              <w:rPr>
                <w:rFonts w:eastAsia="等线"/>
                <w:lang w:eastAsia="zh-CN"/>
              </w:rPr>
            </w:pPr>
            <w:r>
              <w:rPr>
                <w:rFonts w:eastAsia="等线"/>
                <w:lang w:eastAsia="zh-CN"/>
              </w:rPr>
              <w:t>TimeWindow</w:t>
            </w:r>
          </w:p>
        </w:tc>
        <w:tc>
          <w:tcPr>
            <w:tcW w:w="2058" w:type="dxa"/>
          </w:tcPr>
          <w:p w14:paraId="3557EF3E" w14:textId="77777777" w:rsidR="00542337" w:rsidRDefault="00542337" w:rsidP="00542337">
            <w:pPr>
              <w:pStyle w:val="TAL"/>
            </w:pPr>
            <w:r>
              <w:t>3GPP TS 29.122 [19]</w:t>
            </w:r>
          </w:p>
        </w:tc>
        <w:tc>
          <w:tcPr>
            <w:tcW w:w="2449" w:type="dxa"/>
          </w:tcPr>
          <w:p w14:paraId="0981F891" w14:textId="77777777" w:rsidR="00542337" w:rsidRDefault="00542337" w:rsidP="00542337">
            <w:pPr>
              <w:pStyle w:val="TAL"/>
            </w:pPr>
            <w:r>
              <w:t>Represents a time window.</w:t>
            </w:r>
          </w:p>
        </w:tc>
        <w:tc>
          <w:tcPr>
            <w:tcW w:w="1739" w:type="dxa"/>
          </w:tcPr>
          <w:p w14:paraId="5A297A63" w14:textId="77777777" w:rsidR="00542337" w:rsidRDefault="00542337" w:rsidP="00542337">
            <w:pPr>
              <w:pStyle w:val="TAL"/>
              <w:rPr>
                <w:rFonts w:cs="Arial"/>
                <w:szCs w:val="18"/>
              </w:rPr>
            </w:pPr>
          </w:p>
        </w:tc>
      </w:tr>
      <w:tr w:rsidR="00640768" w14:paraId="0321C606" w14:textId="77777777" w:rsidTr="002A71FE">
        <w:trPr>
          <w:jc w:val="center"/>
        </w:trPr>
        <w:tc>
          <w:tcPr>
            <w:tcW w:w="3178" w:type="dxa"/>
          </w:tcPr>
          <w:p w14:paraId="0163BBAA" w14:textId="77777777" w:rsidR="00640768" w:rsidRDefault="00640768" w:rsidP="002A71FE">
            <w:pPr>
              <w:pStyle w:val="TAL"/>
            </w:pPr>
            <w:r>
              <w:t>Uinteger</w:t>
            </w:r>
          </w:p>
        </w:tc>
        <w:tc>
          <w:tcPr>
            <w:tcW w:w="2058" w:type="dxa"/>
          </w:tcPr>
          <w:p w14:paraId="6A232286" w14:textId="77777777" w:rsidR="00640768" w:rsidRDefault="00640768" w:rsidP="002A71FE">
            <w:pPr>
              <w:pStyle w:val="TAL"/>
              <w:rPr>
                <w:rFonts w:cs="Arial"/>
              </w:rPr>
            </w:pPr>
            <w:r>
              <w:t>3GPP TS 29.571 [8]</w:t>
            </w:r>
          </w:p>
        </w:tc>
        <w:tc>
          <w:tcPr>
            <w:tcW w:w="2449" w:type="dxa"/>
          </w:tcPr>
          <w:p w14:paraId="60F0709B" w14:textId="77777777" w:rsidR="00640768" w:rsidRDefault="00640768" w:rsidP="002A71FE">
            <w:pPr>
              <w:pStyle w:val="TAL"/>
            </w:pPr>
            <w:r>
              <w:t>Unsigned Integer, i.e. only value 0 and integers above 0 are permissible.</w:t>
            </w:r>
          </w:p>
        </w:tc>
        <w:tc>
          <w:tcPr>
            <w:tcW w:w="1739" w:type="dxa"/>
          </w:tcPr>
          <w:p w14:paraId="031CCE44" w14:textId="77777777" w:rsidR="00640768" w:rsidRDefault="00640768" w:rsidP="002A71FE">
            <w:pPr>
              <w:pStyle w:val="TAL"/>
              <w:rPr>
                <w:rFonts w:cs="Arial"/>
                <w:szCs w:val="18"/>
              </w:rPr>
            </w:pPr>
          </w:p>
        </w:tc>
      </w:tr>
      <w:tr w:rsidR="00640768" w14:paraId="68529A30" w14:textId="77777777" w:rsidTr="002A71FE">
        <w:trPr>
          <w:jc w:val="center"/>
        </w:trPr>
        <w:tc>
          <w:tcPr>
            <w:tcW w:w="3178" w:type="dxa"/>
          </w:tcPr>
          <w:p w14:paraId="41B673F4" w14:textId="77777777" w:rsidR="00640768" w:rsidRDefault="00640768" w:rsidP="002A71FE">
            <w:pPr>
              <w:pStyle w:val="TAL"/>
            </w:pPr>
            <w:r>
              <w:t>Uri</w:t>
            </w:r>
          </w:p>
        </w:tc>
        <w:tc>
          <w:tcPr>
            <w:tcW w:w="2058" w:type="dxa"/>
          </w:tcPr>
          <w:p w14:paraId="0F8B22B8" w14:textId="77777777" w:rsidR="00640768" w:rsidRDefault="00640768" w:rsidP="002A71FE">
            <w:pPr>
              <w:pStyle w:val="TAL"/>
              <w:rPr>
                <w:rFonts w:cs="Arial"/>
              </w:rPr>
            </w:pPr>
            <w:r>
              <w:t>3GPP TS 29.571 [8]</w:t>
            </w:r>
          </w:p>
        </w:tc>
        <w:tc>
          <w:tcPr>
            <w:tcW w:w="2449" w:type="dxa"/>
          </w:tcPr>
          <w:p w14:paraId="67BF98D3" w14:textId="77777777" w:rsidR="00640768" w:rsidRDefault="00640768" w:rsidP="002A71FE">
            <w:pPr>
              <w:pStyle w:val="TAL"/>
              <w:rPr>
                <w:lang w:eastAsia="zh-CN"/>
              </w:rPr>
            </w:pPr>
            <w:r>
              <w:rPr>
                <w:rFonts w:hint="eastAsia"/>
                <w:lang w:eastAsia="zh-CN"/>
              </w:rPr>
              <w:t>I</w:t>
            </w:r>
            <w:r>
              <w:rPr>
                <w:lang w:eastAsia="zh-CN"/>
              </w:rPr>
              <w:t xml:space="preserve">ndicates the </w:t>
            </w:r>
            <w:r>
              <w:rPr>
                <w:rFonts w:cs="Arial"/>
                <w:szCs w:val="18"/>
              </w:rPr>
              <w:t>URI.</w:t>
            </w:r>
          </w:p>
        </w:tc>
        <w:tc>
          <w:tcPr>
            <w:tcW w:w="1739" w:type="dxa"/>
          </w:tcPr>
          <w:p w14:paraId="3C56C865" w14:textId="77777777" w:rsidR="00640768" w:rsidRDefault="00640768" w:rsidP="002A71FE">
            <w:pPr>
              <w:pStyle w:val="TAL"/>
              <w:rPr>
                <w:rFonts w:cs="Arial"/>
                <w:szCs w:val="18"/>
              </w:rPr>
            </w:pPr>
          </w:p>
        </w:tc>
      </w:tr>
    </w:tbl>
    <w:p w14:paraId="43F218ED" w14:textId="77777777" w:rsidR="00640768" w:rsidRPr="001F007D" w:rsidRDefault="00640768" w:rsidP="00640768"/>
    <w:p w14:paraId="39B30EBF" w14:textId="77777777" w:rsidR="00A10B25" w:rsidRDefault="00A10B25">
      <w:pPr>
        <w:pStyle w:val="4"/>
      </w:pPr>
      <w:bookmarkStart w:id="15663" w:name="_Toc164921196"/>
      <w:bookmarkStart w:id="15664" w:name="_Toc170120738"/>
      <w:bookmarkStart w:id="15665" w:name="_Toc175858983"/>
      <w:bookmarkStart w:id="15666" w:name="_Toc175860056"/>
      <w:bookmarkStart w:id="15667" w:name="_Toc180606346"/>
      <w:bookmarkStart w:id="15668" w:name="_Toc185517607"/>
      <w:bookmarkStart w:id="15669" w:name="_Toc191576659"/>
      <w:bookmarkStart w:id="15670" w:name="_Toc191577399"/>
      <w:bookmarkStart w:id="15671" w:name="_Toc192880469"/>
      <w:bookmarkStart w:id="15672" w:name="_Toc195815358"/>
      <w:bookmarkStart w:id="15673" w:name="_Toc199453325"/>
      <w:r>
        <w:lastRenderedPageBreak/>
        <w:t>5.6.6.2</w:t>
      </w:r>
      <w:r>
        <w:tab/>
        <w:t>Structured data types</w:t>
      </w:r>
      <w:bookmarkEnd w:id="15662"/>
      <w:bookmarkEnd w:id="15663"/>
      <w:bookmarkEnd w:id="15664"/>
      <w:bookmarkEnd w:id="15665"/>
      <w:bookmarkEnd w:id="15666"/>
      <w:bookmarkEnd w:id="15667"/>
      <w:bookmarkEnd w:id="15668"/>
      <w:bookmarkEnd w:id="15669"/>
      <w:bookmarkEnd w:id="15670"/>
      <w:bookmarkEnd w:id="15671"/>
      <w:bookmarkEnd w:id="15672"/>
      <w:bookmarkEnd w:id="15673"/>
    </w:p>
    <w:p w14:paraId="25497647" w14:textId="77777777" w:rsidR="00A10B25" w:rsidRDefault="00A10B25">
      <w:pPr>
        <w:pStyle w:val="5"/>
      </w:pPr>
      <w:bookmarkStart w:id="15674" w:name="_Toc148523008"/>
      <w:bookmarkStart w:id="15675" w:name="_Toc164921197"/>
      <w:bookmarkStart w:id="15676" w:name="_Toc170120739"/>
      <w:bookmarkStart w:id="15677" w:name="_Toc175858984"/>
      <w:bookmarkStart w:id="15678" w:name="_Toc175860057"/>
      <w:bookmarkStart w:id="15679" w:name="_Toc180606347"/>
      <w:bookmarkStart w:id="15680" w:name="_Toc185517608"/>
      <w:bookmarkStart w:id="15681" w:name="_Toc191576660"/>
      <w:bookmarkStart w:id="15682" w:name="_Toc191577400"/>
      <w:bookmarkStart w:id="15683" w:name="_Toc192880470"/>
      <w:bookmarkStart w:id="15684" w:name="_Toc195815359"/>
      <w:bookmarkStart w:id="15685" w:name="_Toc199453326"/>
      <w:r>
        <w:t>5.6.6.2.1</w:t>
      </w:r>
      <w:r>
        <w:tab/>
        <w:t>Introduction</w:t>
      </w:r>
      <w:bookmarkEnd w:id="15674"/>
      <w:bookmarkEnd w:id="15675"/>
      <w:bookmarkEnd w:id="15676"/>
      <w:bookmarkEnd w:id="15677"/>
      <w:bookmarkEnd w:id="15678"/>
      <w:bookmarkEnd w:id="15679"/>
      <w:bookmarkEnd w:id="15680"/>
      <w:bookmarkEnd w:id="15681"/>
      <w:bookmarkEnd w:id="15682"/>
      <w:bookmarkEnd w:id="15683"/>
      <w:bookmarkEnd w:id="15684"/>
      <w:bookmarkEnd w:id="15685"/>
    </w:p>
    <w:p w14:paraId="0E4B40D0" w14:textId="77777777" w:rsidR="00A10B25" w:rsidRDefault="00A10B25">
      <w:r>
        <w:t xml:space="preserve">This clause defines the structures to be used in resource representations. </w:t>
      </w:r>
    </w:p>
    <w:p w14:paraId="780215D2" w14:textId="77777777" w:rsidR="00A10B25" w:rsidRDefault="00A10B25">
      <w:pPr>
        <w:pStyle w:val="5"/>
      </w:pPr>
      <w:bookmarkStart w:id="15686" w:name="_Toc148523009"/>
      <w:bookmarkStart w:id="15687" w:name="_Toc164921198"/>
      <w:bookmarkStart w:id="15688" w:name="_Toc170120740"/>
      <w:bookmarkStart w:id="15689" w:name="_Toc175858985"/>
      <w:bookmarkStart w:id="15690" w:name="_Toc175860058"/>
      <w:bookmarkStart w:id="15691" w:name="_Toc180606348"/>
      <w:bookmarkStart w:id="15692" w:name="_Toc185517609"/>
      <w:bookmarkStart w:id="15693" w:name="_Toc191576661"/>
      <w:bookmarkStart w:id="15694" w:name="_Toc191577401"/>
      <w:bookmarkStart w:id="15695" w:name="_Toc192880471"/>
      <w:bookmarkStart w:id="15696" w:name="_Toc195815360"/>
      <w:bookmarkStart w:id="15697" w:name="_Toc199453327"/>
      <w:r>
        <w:t>5.6.6.2.2</w:t>
      </w:r>
      <w:r>
        <w:tab/>
        <w:t xml:space="preserve">Type </w:t>
      </w:r>
      <w:r>
        <w:rPr>
          <w:rFonts w:eastAsia="等线"/>
        </w:rPr>
        <w:t>MLModelMonitorReg</w:t>
      </w:r>
      <w:bookmarkEnd w:id="15686"/>
      <w:bookmarkEnd w:id="15687"/>
      <w:bookmarkEnd w:id="15688"/>
      <w:bookmarkEnd w:id="15689"/>
      <w:bookmarkEnd w:id="15690"/>
      <w:bookmarkEnd w:id="15691"/>
      <w:bookmarkEnd w:id="15692"/>
      <w:bookmarkEnd w:id="15693"/>
      <w:bookmarkEnd w:id="15694"/>
      <w:bookmarkEnd w:id="15695"/>
      <w:bookmarkEnd w:id="15696"/>
      <w:bookmarkEnd w:id="15697"/>
    </w:p>
    <w:p w14:paraId="030C0437" w14:textId="77777777" w:rsidR="00640768" w:rsidRDefault="00640768" w:rsidP="00640768">
      <w:pPr>
        <w:pStyle w:val="TH"/>
        <w:overflowPunct w:val="0"/>
        <w:autoSpaceDE w:val="0"/>
        <w:autoSpaceDN w:val="0"/>
        <w:adjustRightInd w:val="0"/>
        <w:textAlignment w:val="baseline"/>
        <w:rPr>
          <w:rFonts w:eastAsia="MS Mincho"/>
        </w:rPr>
      </w:pPr>
      <w:bookmarkStart w:id="15698" w:name="_Toc148523010"/>
      <w:r>
        <w:rPr>
          <w:rFonts w:eastAsia="MS Mincho"/>
        </w:rPr>
        <w:t xml:space="preserve">Table 5.6.6.2.2-1: Definition of type </w:t>
      </w:r>
      <w:r>
        <w:rPr>
          <w:rFonts w:eastAsia="等线"/>
        </w:rPr>
        <w:t>MLModelMonitorReg</w:t>
      </w:r>
    </w:p>
    <w:tbl>
      <w:tblPr>
        <w:tblW w:w="952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640768" w14:paraId="72002E62" w14:textId="77777777" w:rsidTr="002A71FE">
        <w:trPr>
          <w:jc w:val="center"/>
        </w:trPr>
        <w:tc>
          <w:tcPr>
            <w:tcW w:w="1702" w:type="dxa"/>
            <w:shd w:val="clear" w:color="auto" w:fill="C0C0C0"/>
          </w:tcPr>
          <w:p w14:paraId="7F0A6D3F" w14:textId="77777777" w:rsidR="00640768" w:rsidRDefault="00640768" w:rsidP="002A71FE">
            <w:pPr>
              <w:pStyle w:val="TAH"/>
              <w:ind w:left="400" w:hanging="400"/>
            </w:pPr>
            <w:r>
              <w:t>Attribute name</w:t>
            </w:r>
          </w:p>
        </w:tc>
        <w:tc>
          <w:tcPr>
            <w:tcW w:w="1444" w:type="dxa"/>
            <w:shd w:val="clear" w:color="auto" w:fill="C0C0C0"/>
          </w:tcPr>
          <w:p w14:paraId="4E0DFDBA" w14:textId="77777777" w:rsidR="00640768" w:rsidRDefault="00640768" w:rsidP="002A71FE">
            <w:pPr>
              <w:pStyle w:val="TAH"/>
              <w:ind w:left="400" w:hanging="400"/>
            </w:pPr>
            <w:r>
              <w:t>Data type</w:t>
            </w:r>
          </w:p>
        </w:tc>
        <w:tc>
          <w:tcPr>
            <w:tcW w:w="425" w:type="dxa"/>
            <w:shd w:val="clear" w:color="auto" w:fill="C0C0C0"/>
          </w:tcPr>
          <w:p w14:paraId="09CBB273" w14:textId="77777777" w:rsidR="00640768" w:rsidRDefault="00640768" w:rsidP="002A71FE">
            <w:pPr>
              <w:pStyle w:val="TAH"/>
              <w:ind w:left="400" w:hanging="400"/>
            </w:pPr>
            <w:r>
              <w:t>P</w:t>
            </w:r>
          </w:p>
        </w:tc>
        <w:tc>
          <w:tcPr>
            <w:tcW w:w="1134" w:type="dxa"/>
            <w:shd w:val="clear" w:color="auto" w:fill="C0C0C0"/>
          </w:tcPr>
          <w:p w14:paraId="66898C23" w14:textId="77777777" w:rsidR="00640768" w:rsidRDefault="00640768" w:rsidP="002A71FE">
            <w:pPr>
              <w:pStyle w:val="TAH"/>
              <w:ind w:left="400" w:hanging="400"/>
              <w:jc w:val="left"/>
            </w:pPr>
            <w:r>
              <w:t>Cardinality</w:t>
            </w:r>
          </w:p>
        </w:tc>
        <w:tc>
          <w:tcPr>
            <w:tcW w:w="2410" w:type="dxa"/>
            <w:shd w:val="clear" w:color="auto" w:fill="C0C0C0"/>
          </w:tcPr>
          <w:p w14:paraId="45D21AEB" w14:textId="77777777" w:rsidR="00640768" w:rsidRDefault="00640768" w:rsidP="002A71FE">
            <w:pPr>
              <w:pStyle w:val="TAH"/>
              <w:ind w:left="400" w:hanging="400"/>
              <w:rPr>
                <w:rFonts w:cs="Arial"/>
                <w:szCs w:val="18"/>
              </w:rPr>
            </w:pPr>
            <w:r>
              <w:rPr>
                <w:rFonts w:cs="Arial"/>
                <w:szCs w:val="18"/>
              </w:rPr>
              <w:t>Description</w:t>
            </w:r>
          </w:p>
        </w:tc>
        <w:tc>
          <w:tcPr>
            <w:tcW w:w="2410" w:type="dxa"/>
            <w:shd w:val="clear" w:color="auto" w:fill="C0C0C0"/>
          </w:tcPr>
          <w:p w14:paraId="285F7B0B" w14:textId="77777777" w:rsidR="00640768" w:rsidRDefault="00640768" w:rsidP="002A71FE">
            <w:pPr>
              <w:pStyle w:val="TAH"/>
              <w:ind w:left="400" w:hanging="400"/>
              <w:rPr>
                <w:rFonts w:cs="Arial"/>
                <w:szCs w:val="18"/>
              </w:rPr>
            </w:pPr>
            <w:r>
              <w:rPr>
                <w:rFonts w:cs="Arial"/>
                <w:szCs w:val="18"/>
              </w:rPr>
              <w:t>Applicability</w:t>
            </w:r>
          </w:p>
        </w:tc>
      </w:tr>
      <w:tr w:rsidR="00640768" w14:paraId="67E57D4D" w14:textId="77777777" w:rsidTr="002A71FE">
        <w:trPr>
          <w:jc w:val="center"/>
        </w:trPr>
        <w:tc>
          <w:tcPr>
            <w:tcW w:w="1702" w:type="dxa"/>
          </w:tcPr>
          <w:p w14:paraId="0C005A32" w14:textId="77777777" w:rsidR="00640768" w:rsidRDefault="00640768" w:rsidP="002A71FE">
            <w:pPr>
              <w:pStyle w:val="TAL"/>
            </w:pPr>
            <w:r>
              <w:t>consumerId</w:t>
            </w:r>
          </w:p>
        </w:tc>
        <w:tc>
          <w:tcPr>
            <w:tcW w:w="1444" w:type="dxa"/>
          </w:tcPr>
          <w:p w14:paraId="0490D58F" w14:textId="77777777" w:rsidR="00640768" w:rsidRDefault="00640768" w:rsidP="002A71FE">
            <w:pPr>
              <w:pStyle w:val="TAL"/>
            </w:pPr>
            <w:r>
              <w:t>NfInstanceId</w:t>
            </w:r>
          </w:p>
        </w:tc>
        <w:tc>
          <w:tcPr>
            <w:tcW w:w="425" w:type="dxa"/>
          </w:tcPr>
          <w:p w14:paraId="435D7490" w14:textId="77777777" w:rsidR="00640768" w:rsidRDefault="00640768" w:rsidP="002A71FE">
            <w:pPr>
              <w:pStyle w:val="TAC"/>
              <w:rPr>
                <w:lang w:eastAsia="zh-CN"/>
              </w:rPr>
            </w:pPr>
            <w:r>
              <w:t>C</w:t>
            </w:r>
          </w:p>
        </w:tc>
        <w:tc>
          <w:tcPr>
            <w:tcW w:w="1134" w:type="dxa"/>
          </w:tcPr>
          <w:p w14:paraId="734D9931" w14:textId="77777777" w:rsidR="00640768" w:rsidRDefault="00640768" w:rsidP="002A71FE">
            <w:pPr>
              <w:pStyle w:val="TAL"/>
            </w:pPr>
            <w:r>
              <w:t>0..1</w:t>
            </w:r>
          </w:p>
        </w:tc>
        <w:tc>
          <w:tcPr>
            <w:tcW w:w="2410" w:type="dxa"/>
          </w:tcPr>
          <w:p w14:paraId="02FAE7B0" w14:textId="77777777" w:rsidR="00640768" w:rsidRDefault="00640768" w:rsidP="002A71FE">
            <w:pPr>
              <w:pStyle w:val="TAL"/>
            </w:pPr>
            <w:r>
              <w:t>Indicates the NF instance ID of the consumer.</w:t>
            </w:r>
          </w:p>
          <w:p w14:paraId="6E96FA37" w14:textId="77777777" w:rsidR="00640768" w:rsidRDefault="00640768" w:rsidP="002A71FE">
            <w:pPr>
              <w:pStyle w:val="TAL"/>
            </w:pPr>
            <w:r>
              <w:t>(NOTE)</w:t>
            </w:r>
          </w:p>
        </w:tc>
        <w:tc>
          <w:tcPr>
            <w:tcW w:w="2410" w:type="dxa"/>
          </w:tcPr>
          <w:p w14:paraId="310A016D" w14:textId="77777777" w:rsidR="00640768" w:rsidRDefault="00640768" w:rsidP="002A71FE">
            <w:pPr>
              <w:pStyle w:val="TAL"/>
              <w:rPr>
                <w:rFonts w:cs="Arial"/>
                <w:szCs w:val="18"/>
              </w:rPr>
            </w:pPr>
          </w:p>
        </w:tc>
      </w:tr>
      <w:tr w:rsidR="00640768" w14:paraId="1D8943DA" w14:textId="77777777" w:rsidTr="002A71FE">
        <w:trPr>
          <w:jc w:val="center"/>
        </w:trPr>
        <w:tc>
          <w:tcPr>
            <w:tcW w:w="1702" w:type="dxa"/>
          </w:tcPr>
          <w:p w14:paraId="6A04D07B" w14:textId="77777777" w:rsidR="00640768" w:rsidRDefault="00640768" w:rsidP="002A71FE">
            <w:pPr>
              <w:pStyle w:val="TAL"/>
            </w:pPr>
            <w:r>
              <w:t>consumerSetId</w:t>
            </w:r>
          </w:p>
        </w:tc>
        <w:tc>
          <w:tcPr>
            <w:tcW w:w="1444" w:type="dxa"/>
          </w:tcPr>
          <w:p w14:paraId="55BEF2E5" w14:textId="77777777" w:rsidR="00640768" w:rsidRDefault="00640768" w:rsidP="002A71FE">
            <w:pPr>
              <w:pStyle w:val="TAL"/>
            </w:pPr>
            <w:r>
              <w:t>NfSetId</w:t>
            </w:r>
          </w:p>
        </w:tc>
        <w:tc>
          <w:tcPr>
            <w:tcW w:w="425" w:type="dxa"/>
          </w:tcPr>
          <w:p w14:paraId="197930D5" w14:textId="77777777" w:rsidR="00640768" w:rsidRDefault="00640768" w:rsidP="002A71FE">
            <w:pPr>
              <w:pStyle w:val="TAC"/>
              <w:rPr>
                <w:lang w:eastAsia="zh-CN"/>
              </w:rPr>
            </w:pPr>
            <w:r>
              <w:rPr>
                <w:rFonts w:hint="eastAsia"/>
                <w:lang w:eastAsia="zh-CN"/>
              </w:rPr>
              <w:t>C</w:t>
            </w:r>
          </w:p>
        </w:tc>
        <w:tc>
          <w:tcPr>
            <w:tcW w:w="1134" w:type="dxa"/>
          </w:tcPr>
          <w:p w14:paraId="59531599" w14:textId="77777777" w:rsidR="00640768" w:rsidRDefault="00640768" w:rsidP="002A71FE">
            <w:pPr>
              <w:pStyle w:val="TAL"/>
            </w:pPr>
            <w:r>
              <w:t>0..1</w:t>
            </w:r>
          </w:p>
        </w:tc>
        <w:tc>
          <w:tcPr>
            <w:tcW w:w="2410" w:type="dxa"/>
          </w:tcPr>
          <w:p w14:paraId="63706D97" w14:textId="77777777" w:rsidR="00640768" w:rsidRDefault="00640768" w:rsidP="002A71FE">
            <w:pPr>
              <w:pStyle w:val="TAL"/>
            </w:pPr>
            <w:r>
              <w:t>Indicates the NF set ID of the consumer.</w:t>
            </w:r>
          </w:p>
          <w:p w14:paraId="6B291FFB" w14:textId="77777777" w:rsidR="00640768" w:rsidRDefault="00640768" w:rsidP="002A71FE">
            <w:pPr>
              <w:pStyle w:val="TAL"/>
            </w:pPr>
            <w:r>
              <w:t>(NOTE)</w:t>
            </w:r>
          </w:p>
        </w:tc>
        <w:tc>
          <w:tcPr>
            <w:tcW w:w="2410" w:type="dxa"/>
          </w:tcPr>
          <w:p w14:paraId="23BCD021" w14:textId="77777777" w:rsidR="00640768" w:rsidRDefault="00640768" w:rsidP="002A71FE">
            <w:pPr>
              <w:pStyle w:val="TAL"/>
              <w:rPr>
                <w:rFonts w:cs="Arial"/>
                <w:szCs w:val="18"/>
              </w:rPr>
            </w:pPr>
          </w:p>
        </w:tc>
      </w:tr>
      <w:tr w:rsidR="00640768" w14:paraId="33F8BA25" w14:textId="77777777" w:rsidTr="002A71FE">
        <w:trPr>
          <w:jc w:val="center"/>
        </w:trPr>
        <w:tc>
          <w:tcPr>
            <w:tcW w:w="1702" w:type="dxa"/>
          </w:tcPr>
          <w:p w14:paraId="35FCCF13" w14:textId="77777777" w:rsidR="00640768" w:rsidRDefault="00640768" w:rsidP="002A71FE">
            <w:pPr>
              <w:pStyle w:val="TAL"/>
            </w:pPr>
            <w:r>
              <w:t>modelId</w:t>
            </w:r>
          </w:p>
        </w:tc>
        <w:tc>
          <w:tcPr>
            <w:tcW w:w="1444" w:type="dxa"/>
          </w:tcPr>
          <w:p w14:paraId="3EA0CD51" w14:textId="77777777" w:rsidR="00640768" w:rsidRDefault="00640768" w:rsidP="002A71FE">
            <w:pPr>
              <w:pStyle w:val="TAL"/>
            </w:pPr>
            <w:r>
              <w:rPr>
                <w:rFonts w:eastAsia="等线"/>
              </w:rPr>
              <w:t>Uinteger</w:t>
            </w:r>
          </w:p>
        </w:tc>
        <w:tc>
          <w:tcPr>
            <w:tcW w:w="425" w:type="dxa"/>
          </w:tcPr>
          <w:p w14:paraId="39F165DB" w14:textId="77777777" w:rsidR="00640768" w:rsidRDefault="00640768" w:rsidP="002A71FE">
            <w:pPr>
              <w:pStyle w:val="TAC"/>
              <w:rPr>
                <w:lang w:eastAsia="zh-CN"/>
              </w:rPr>
            </w:pPr>
            <w:r>
              <w:t>M</w:t>
            </w:r>
          </w:p>
        </w:tc>
        <w:tc>
          <w:tcPr>
            <w:tcW w:w="1134" w:type="dxa"/>
          </w:tcPr>
          <w:p w14:paraId="7CDD5CB2" w14:textId="77777777" w:rsidR="00640768" w:rsidRDefault="00640768" w:rsidP="002A71FE">
            <w:pPr>
              <w:pStyle w:val="TAL"/>
            </w:pPr>
            <w:r>
              <w:t>1</w:t>
            </w:r>
          </w:p>
        </w:tc>
        <w:tc>
          <w:tcPr>
            <w:tcW w:w="2410" w:type="dxa"/>
          </w:tcPr>
          <w:p w14:paraId="533A0635" w14:textId="77777777" w:rsidR="00640768" w:rsidRDefault="00640768" w:rsidP="002A71FE">
            <w:pPr>
              <w:pStyle w:val="TAL"/>
              <w:rPr>
                <w:lang w:eastAsia="zh-CN"/>
              </w:rPr>
            </w:pPr>
            <w:r>
              <w:rPr>
                <w:lang w:eastAsia="zh-CN"/>
              </w:rPr>
              <w:t>The ML model ID.</w:t>
            </w:r>
          </w:p>
        </w:tc>
        <w:tc>
          <w:tcPr>
            <w:tcW w:w="2410" w:type="dxa"/>
          </w:tcPr>
          <w:p w14:paraId="740D0EAB" w14:textId="77777777" w:rsidR="00640768" w:rsidRDefault="00640768" w:rsidP="002A71FE">
            <w:pPr>
              <w:pStyle w:val="TAL"/>
              <w:rPr>
                <w:rFonts w:cs="Arial"/>
                <w:szCs w:val="18"/>
              </w:rPr>
            </w:pPr>
          </w:p>
        </w:tc>
      </w:tr>
      <w:tr w:rsidR="00E06B31" w14:paraId="6FF13024" w14:textId="77777777" w:rsidTr="002A71FE">
        <w:trPr>
          <w:jc w:val="center"/>
        </w:trPr>
        <w:tc>
          <w:tcPr>
            <w:tcW w:w="1702" w:type="dxa"/>
          </w:tcPr>
          <w:p w14:paraId="6809F960" w14:textId="77777777" w:rsidR="00E06B31" w:rsidRDefault="00E06B31" w:rsidP="00E06B31">
            <w:pPr>
              <w:pStyle w:val="TAL"/>
              <w:rPr>
                <w:lang w:eastAsia="zh-CN"/>
              </w:rPr>
            </w:pPr>
            <w:r>
              <w:rPr>
                <w:lang w:eastAsia="zh-CN"/>
              </w:rPr>
              <w:t>modelAccuInd</w:t>
            </w:r>
          </w:p>
        </w:tc>
        <w:tc>
          <w:tcPr>
            <w:tcW w:w="1444" w:type="dxa"/>
          </w:tcPr>
          <w:p w14:paraId="61B0D335" w14:textId="77777777" w:rsidR="00E06B31" w:rsidRDefault="00E06B31" w:rsidP="00E06B31">
            <w:pPr>
              <w:pStyle w:val="TAL"/>
              <w:rPr>
                <w:rFonts w:eastAsia="等线"/>
                <w:lang w:eastAsia="zh-CN"/>
              </w:rPr>
            </w:pPr>
            <w:r>
              <w:rPr>
                <w:rFonts w:eastAsia="等线" w:hint="eastAsia"/>
                <w:lang w:eastAsia="zh-CN"/>
              </w:rPr>
              <w:t>b</w:t>
            </w:r>
            <w:r>
              <w:rPr>
                <w:rFonts w:eastAsia="等线"/>
                <w:lang w:eastAsia="zh-CN"/>
              </w:rPr>
              <w:t>oolean</w:t>
            </w:r>
          </w:p>
        </w:tc>
        <w:tc>
          <w:tcPr>
            <w:tcW w:w="425" w:type="dxa"/>
          </w:tcPr>
          <w:p w14:paraId="57A37158" w14:textId="77777777" w:rsidR="00E06B31" w:rsidRDefault="00E06B31" w:rsidP="00E06B31">
            <w:pPr>
              <w:pStyle w:val="TAC"/>
              <w:rPr>
                <w:lang w:eastAsia="zh-CN"/>
              </w:rPr>
            </w:pPr>
            <w:r>
              <w:rPr>
                <w:rFonts w:hint="eastAsia"/>
                <w:lang w:eastAsia="zh-CN"/>
              </w:rPr>
              <w:t>O</w:t>
            </w:r>
          </w:p>
        </w:tc>
        <w:tc>
          <w:tcPr>
            <w:tcW w:w="1134" w:type="dxa"/>
          </w:tcPr>
          <w:p w14:paraId="344015AF" w14:textId="77777777" w:rsidR="00E06B31" w:rsidRDefault="00E06B31" w:rsidP="00E06B31">
            <w:pPr>
              <w:pStyle w:val="TAL"/>
            </w:pPr>
            <w:r>
              <w:t>0..1</w:t>
            </w:r>
          </w:p>
        </w:tc>
        <w:tc>
          <w:tcPr>
            <w:tcW w:w="2410" w:type="dxa"/>
          </w:tcPr>
          <w:p w14:paraId="198CB6D0" w14:textId="77777777" w:rsidR="00E06B31" w:rsidRDefault="00E06B31" w:rsidP="00E06B31">
            <w:pPr>
              <w:pStyle w:val="TAL"/>
              <w:rPr>
                <w:lang w:eastAsia="ja-JP"/>
              </w:rPr>
            </w:pPr>
            <w:r>
              <w:rPr>
                <w:rFonts w:hint="eastAsia"/>
                <w:lang w:eastAsia="zh-CN"/>
              </w:rPr>
              <w:t>I</w:t>
            </w:r>
            <w:r>
              <w:rPr>
                <w:lang w:eastAsia="zh-CN"/>
              </w:rPr>
              <w:t xml:space="preserve">ndicates the </w:t>
            </w:r>
            <w:r>
              <w:rPr>
                <w:lang w:eastAsia="ja-JP"/>
              </w:rPr>
              <w:t>ML Model accuracy transfer indication.</w:t>
            </w:r>
          </w:p>
          <w:p w14:paraId="464E140B" w14:textId="77777777" w:rsidR="00E06B31" w:rsidRDefault="00E06B31" w:rsidP="00E06B31">
            <w:pPr>
              <w:pStyle w:val="TAL"/>
            </w:pPr>
            <w:r>
              <w:rPr>
                <w:rFonts w:hint="eastAsia"/>
                <w:lang w:eastAsia="zh-CN"/>
              </w:rPr>
              <w:t>S</w:t>
            </w:r>
            <w:r>
              <w:rPr>
                <w:lang w:eastAsia="zh-CN"/>
              </w:rPr>
              <w:t xml:space="preserve">et to </w:t>
            </w:r>
            <w:r>
              <w:t>"</w:t>
            </w:r>
            <w:r>
              <w:rPr>
                <w:lang w:eastAsia="zh-CN"/>
              </w:rPr>
              <w:t>true</w:t>
            </w:r>
            <w:r>
              <w:t>"</w:t>
            </w:r>
            <w:r>
              <w:rPr>
                <w:rFonts w:hint="eastAsia"/>
                <w:lang w:eastAsia="zh-CN"/>
              </w:rPr>
              <w:t>:</w:t>
            </w:r>
            <w:r>
              <w:rPr>
                <w:lang w:eastAsia="zh-CN"/>
              </w:rPr>
              <w:t xml:space="preserve"> The </w:t>
            </w:r>
            <w:r>
              <w:t xml:space="preserve">monitoring of the accuracy of the ML model shall be transfered. </w:t>
            </w:r>
          </w:p>
          <w:p w14:paraId="3C63B29A" w14:textId="77777777" w:rsidR="00E06B31" w:rsidRDefault="00E06B31" w:rsidP="00E06B31">
            <w:pPr>
              <w:pStyle w:val="TAL"/>
              <w:rPr>
                <w:lang w:eastAsia="zh-CN"/>
              </w:rPr>
            </w:pPr>
            <w:r>
              <w:rPr>
                <w:rFonts w:hint="eastAsia"/>
                <w:lang w:eastAsia="zh-CN"/>
              </w:rPr>
              <w:t>S</w:t>
            </w:r>
            <w:r>
              <w:rPr>
                <w:lang w:eastAsia="zh-CN"/>
              </w:rPr>
              <w:t xml:space="preserve">et to </w:t>
            </w:r>
            <w:r>
              <w:t>"</w:t>
            </w:r>
            <w:r>
              <w:rPr>
                <w:lang w:eastAsia="zh-CN"/>
              </w:rPr>
              <w:t>false</w:t>
            </w:r>
            <w:r>
              <w:t>"</w:t>
            </w:r>
            <w:r>
              <w:rPr>
                <w:rFonts w:hint="eastAsia"/>
                <w:lang w:eastAsia="zh-CN"/>
              </w:rPr>
              <w:t>:</w:t>
            </w:r>
            <w:r>
              <w:rPr>
                <w:lang w:eastAsia="zh-CN"/>
              </w:rPr>
              <w:t xml:space="preserve"> The monitoring of the accuracy of the ML model shall not be transfered.</w:t>
            </w:r>
          </w:p>
          <w:p w14:paraId="57C79828" w14:textId="77777777" w:rsidR="00E06B31" w:rsidRDefault="00E06B31" w:rsidP="00E06B31">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2410" w:type="dxa"/>
          </w:tcPr>
          <w:p w14:paraId="1F252B0C" w14:textId="77777777" w:rsidR="00E06B31" w:rsidRDefault="00E06B31" w:rsidP="00E06B31">
            <w:pPr>
              <w:pStyle w:val="TAL"/>
              <w:rPr>
                <w:rFonts w:cs="Arial"/>
                <w:szCs w:val="18"/>
              </w:rPr>
            </w:pPr>
          </w:p>
        </w:tc>
      </w:tr>
      <w:tr w:rsidR="00640768" w14:paraId="25C70B1B" w14:textId="77777777" w:rsidTr="002A71FE">
        <w:trPr>
          <w:jc w:val="center"/>
        </w:trPr>
        <w:tc>
          <w:tcPr>
            <w:tcW w:w="1702" w:type="dxa"/>
          </w:tcPr>
          <w:p w14:paraId="12D0CB8B" w14:textId="77777777" w:rsidR="00640768" w:rsidRDefault="00640768" w:rsidP="002A71FE">
            <w:pPr>
              <w:pStyle w:val="TAL"/>
              <w:rPr>
                <w:lang w:eastAsia="zh-CN"/>
              </w:rPr>
            </w:pPr>
            <w:r>
              <w:rPr>
                <w:lang w:eastAsia="zh-CN"/>
              </w:rPr>
              <w:t>mLEvent</w:t>
            </w:r>
          </w:p>
        </w:tc>
        <w:tc>
          <w:tcPr>
            <w:tcW w:w="1444" w:type="dxa"/>
          </w:tcPr>
          <w:p w14:paraId="6F1D4DB6" w14:textId="77777777" w:rsidR="00640768" w:rsidRDefault="00640768" w:rsidP="002A71FE">
            <w:pPr>
              <w:pStyle w:val="TAL"/>
              <w:rPr>
                <w:rFonts w:eastAsia="等线"/>
                <w:lang w:eastAsia="zh-CN"/>
              </w:rPr>
            </w:pPr>
            <w:r>
              <w:rPr>
                <w:rFonts w:eastAsia="等线"/>
                <w:lang w:eastAsia="zh-CN"/>
              </w:rPr>
              <w:t>NwdafEvent</w:t>
            </w:r>
          </w:p>
        </w:tc>
        <w:tc>
          <w:tcPr>
            <w:tcW w:w="425" w:type="dxa"/>
          </w:tcPr>
          <w:p w14:paraId="523B447D" w14:textId="77777777" w:rsidR="00640768" w:rsidRDefault="00640768" w:rsidP="002A71FE">
            <w:pPr>
              <w:pStyle w:val="TAC"/>
              <w:rPr>
                <w:lang w:eastAsia="zh-CN"/>
              </w:rPr>
            </w:pPr>
            <w:r>
              <w:rPr>
                <w:lang w:eastAsia="zh-CN"/>
              </w:rPr>
              <w:t>O</w:t>
            </w:r>
          </w:p>
        </w:tc>
        <w:tc>
          <w:tcPr>
            <w:tcW w:w="1134" w:type="dxa"/>
          </w:tcPr>
          <w:p w14:paraId="46BF558A" w14:textId="77777777" w:rsidR="00640768" w:rsidRDefault="00640768" w:rsidP="002A71FE">
            <w:pPr>
              <w:pStyle w:val="TAL"/>
            </w:pPr>
            <w:r>
              <w:t>0..1</w:t>
            </w:r>
          </w:p>
        </w:tc>
        <w:tc>
          <w:tcPr>
            <w:tcW w:w="2410" w:type="dxa"/>
          </w:tcPr>
          <w:p w14:paraId="354158B7" w14:textId="77777777" w:rsidR="00640768" w:rsidRDefault="00640768" w:rsidP="002A71FE">
            <w:pPr>
              <w:pStyle w:val="TAL"/>
              <w:rPr>
                <w:lang w:eastAsia="zh-CN"/>
              </w:rPr>
            </w:pPr>
            <w:r>
              <w:rPr>
                <w:lang w:eastAsia="zh-CN"/>
              </w:rPr>
              <w:t>Identifies the analytics for which this ML model is used.</w:t>
            </w:r>
          </w:p>
        </w:tc>
        <w:tc>
          <w:tcPr>
            <w:tcW w:w="2410" w:type="dxa"/>
          </w:tcPr>
          <w:p w14:paraId="26F52632" w14:textId="77777777" w:rsidR="00640768" w:rsidRDefault="00640768" w:rsidP="002A71FE">
            <w:pPr>
              <w:pStyle w:val="TAL"/>
              <w:rPr>
                <w:rFonts w:cs="Arial"/>
                <w:szCs w:val="18"/>
              </w:rPr>
            </w:pPr>
          </w:p>
        </w:tc>
      </w:tr>
      <w:tr w:rsidR="00640768" w14:paraId="4E851B18" w14:textId="77777777" w:rsidTr="002A71FE">
        <w:trPr>
          <w:jc w:val="center"/>
        </w:trPr>
        <w:tc>
          <w:tcPr>
            <w:tcW w:w="1702" w:type="dxa"/>
          </w:tcPr>
          <w:p w14:paraId="6001D476" w14:textId="77777777" w:rsidR="00640768" w:rsidRDefault="00640768" w:rsidP="002A71FE">
            <w:pPr>
              <w:pStyle w:val="TAL"/>
              <w:rPr>
                <w:lang w:eastAsia="zh-CN"/>
              </w:rPr>
            </w:pPr>
            <w:r>
              <w:rPr>
                <w:lang w:eastAsia="zh-CN"/>
              </w:rPr>
              <w:t>mLEventFilter</w:t>
            </w:r>
          </w:p>
        </w:tc>
        <w:tc>
          <w:tcPr>
            <w:tcW w:w="1444" w:type="dxa"/>
          </w:tcPr>
          <w:p w14:paraId="4140A1E9" w14:textId="77777777" w:rsidR="00640768" w:rsidRDefault="00640768" w:rsidP="002A71FE">
            <w:pPr>
              <w:pStyle w:val="TAL"/>
              <w:rPr>
                <w:rFonts w:eastAsia="等线"/>
                <w:lang w:eastAsia="zh-CN"/>
              </w:rPr>
            </w:pPr>
            <w:r>
              <w:rPr>
                <w:rFonts w:eastAsia="等线"/>
                <w:lang w:eastAsia="zh-CN"/>
              </w:rPr>
              <w:t>EventFilter</w:t>
            </w:r>
          </w:p>
        </w:tc>
        <w:tc>
          <w:tcPr>
            <w:tcW w:w="425" w:type="dxa"/>
          </w:tcPr>
          <w:p w14:paraId="679048D3" w14:textId="77777777" w:rsidR="00640768" w:rsidRDefault="00640768" w:rsidP="002A71FE">
            <w:pPr>
              <w:pStyle w:val="TAC"/>
              <w:rPr>
                <w:lang w:eastAsia="zh-CN"/>
              </w:rPr>
            </w:pPr>
            <w:r>
              <w:rPr>
                <w:lang w:eastAsia="zh-CN"/>
              </w:rPr>
              <w:t>O</w:t>
            </w:r>
          </w:p>
        </w:tc>
        <w:tc>
          <w:tcPr>
            <w:tcW w:w="1134" w:type="dxa"/>
          </w:tcPr>
          <w:p w14:paraId="2546B70C" w14:textId="77777777" w:rsidR="00640768" w:rsidRDefault="00640768" w:rsidP="002A71FE">
            <w:pPr>
              <w:pStyle w:val="TAL"/>
            </w:pPr>
            <w:r>
              <w:t>0..1</w:t>
            </w:r>
          </w:p>
        </w:tc>
        <w:tc>
          <w:tcPr>
            <w:tcW w:w="2410" w:type="dxa"/>
          </w:tcPr>
          <w:p w14:paraId="24E90C85" w14:textId="77777777" w:rsidR="00640768" w:rsidRDefault="00640768" w:rsidP="002A71FE">
            <w:pPr>
              <w:pStyle w:val="TAL"/>
              <w:rPr>
                <w:lang w:eastAsia="zh-CN"/>
              </w:rPr>
            </w:pPr>
            <w:r>
              <w:rPr>
                <w:lang w:eastAsia="zh-CN"/>
              </w:rPr>
              <w:t>Identifies the analytics filter for the subscribed event.</w:t>
            </w:r>
          </w:p>
        </w:tc>
        <w:tc>
          <w:tcPr>
            <w:tcW w:w="2410" w:type="dxa"/>
          </w:tcPr>
          <w:p w14:paraId="1B9216E5" w14:textId="77777777" w:rsidR="00640768" w:rsidRDefault="00640768" w:rsidP="002A71FE">
            <w:pPr>
              <w:pStyle w:val="TAL"/>
              <w:rPr>
                <w:rFonts w:cs="Arial"/>
                <w:szCs w:val="18"/>
              </w:rPr>
            </w:pPr>
          </w:p>
        </w:tc>
      </w:tr>
      <w:tr w:rsidR="00E06B31" w14:paraId="3FF30ACC" w14:textId="77777777" w:rsidTr="002A71FE">
        <w:trPr>
          <w:jc w:val="center"/>
        </w:trPr>
        <w:tc>
          <w:tcPr>
            <w:tcW w:w="1702" w:type="dxa"/>
          </w:tcPr>
          <w:p w14:paraId="636D41A2" w14:textId="77777777" w:rsidR="00E06B31" w:rsidRDefault="00E06B31" w:rsidP="00E06B31">
            <w:pPr>
              <w:pStyle w:val="TAL"/>
              <w:rPr>
                <w:lang w:eastAsia="zh-CN"/>
              </w:rPr>
            </w:pPr>
            <w:r>
              <w:t>suppFeat</w:t>
            </w:r>
          </w:p>
        </w:tc>
        <w:tc>
          <w:tcPr>
            <w:tcW w:w="1444" w:type="dxa"/>
          </w:tcPr>
          <w:p w14:paraId="717BBC7D" w14:textId="77777777" w:rsidR="00E06B31" w:rsidRDefault="00E06B31" w:rsidP="00E06B31">
            <w:pPr>
              <w:pStyle w:val="TAL"/>
              <w:rPr>
                <w:rFonts w:eastAsia="等线"/>
                <w:lang w:eastAsia="zh-CN"/>
              </w:rPr>
            </w:pPr>
            <w:r>
              <w:t>SupportedFeatures</w:t>
            </w:r>
          </w:p>
        </w:tc>
        <w:tc>
          <w:tcPr>
            <w:tcW w:w="425" w:type="dxa"/>
          </w:tcPr>
          <w:p w14:paraId="32FB030B" w14:textId="77777777" w:rsidR="00E06B31" w:rsidRDefault="00E06B31" w:rsidP="00E06B31">
            <w:pPr>
              <w:pStyle w:val="TAC"/>
              <w:rPr>
                <w:lang w:eastAsia="zh-CN"/>
              </w:rPr>
            </w:pPr>
            <w:r>
              <w:t>C</w:t>
            </w:r>
          </w:p>
        </w:tc>
        <w:tc>
          <w:tcPr>
            <w:tcW w:w="1134" w:type="dxa"/>
          </w:tcPr>
          <w:p w14:paraId="62B08BBE" w14:textId="77777777" w:rsidR="00E06B31" w:rsidRDefault="00E06B31" w:rsidP="00E06B31">
            <w:pPr>
              <w:pStyle w:val="TAL"/>
            </w:pPr>
            <w:r>
              <w:t>0..1</w:t>
            </w:r>
          </w:p>
        </w:tc>
        <w:tc>
          <w:tcPr>
            <w:tcW w:w="2410" w:type="dxa"/>
          </w:tcPr>
          <w:p w14:paraId="29EDF48E" w14:textId="77777777" w:rsidR="00E06B31" w:rsidRDefault="00E06B31" w:rsidP="00E06B31">
            <w:pPr>
              <w:pStyle w:val="TAL"/>
            </w:pPr>
            <w:r>
              <w:t>List of Supported features used as described in clause 5.6.8.</w:t>
            </w:r>
          </w:p>
          <w:p w14:paraId="28CBC115" w14:textId="77777777" w:rsidR="00E06B31" w:rsidRDefault="00E06B31" w:rsidP="00E06B31">
            <w:pPr>
              <w:pStyle w:val="TAL"/>
              <w:rPr>
                <w:rFonts w:cs="Arial"/>
                <w:szCs w:val="18"/>
              </w:rPr>
            </w:pPr>
            <w:r>
              <w:t>It shall be present in the POST request if at least one feature defined in clause 5.6.8 is supported, and it shall be present in the POST response if the NF service consumer included the"suppFeat" attribute in the POST request.</w:t>
            </w:r>
          </w:p>
        </w:tc>
        <w:tc>
          <w:tcPr>
            <w:tcW w:w="2410" w:type="dxa"/>
          </w:tcPr>
          <w:p w14:paraId="2BBAFFC6" w14:textId="77777777" w:rsidR="00E06B31" w:rsidRDefault="00E06B31" w:rsidP="00E06B31">
            <w:pPr>
              <w:pStyle w:val="TAL"/>
              <w:rPr>
                <w:rFonts w:cs="Arial"/>
                <w:szCs w:val="18"/>
              </w:rPr>
            </w:pPr>
          </w:p>
        </w:tc>
      </w:tr>
      <w:tr w:rsidR="00640768" w14:paraId="49791F53" w14:textId="77777777" w:rsidTr="002A71FE">
        <w:trPr>
          <w:jc w:val="center"/>
        </w:trPr>
        <w:tc>
          <w:tcPr>
            <w:tcW w:w="1702" w:type="dxa"/>
          </w:tcPr>
          <w:p w14:paraId="69F212F7" w14:textId="77777777" w:rsidR="00640768" w:rsidRDefault="00640768" w:rsidP="002A71FE">
            <w:pPr>
              <w:pStyle w:val="TAL"/>
              <w:rPr>
                <w:lang w:eastAsia="zh-CN"/>
              </w:rPr>
            </w:pPr>
            <w:r>
              <w:rPr>
                <w:lang w:eastAsia="zh-CN"/>
              </w:rPr>
              <w:t>tgtUe</w:t>
            </w:r>
          </w:p>
        </w:tc>
        <w:tc>
          <w:tcPr>
            <w:tcW w:w="1444" w:type="dxa"/>
          </w:tcPr>
          <w:p w14:paraId="06CE8C4A" w14:textId="77777777" w:rsidR="00640768" w:rsidRDefault="00640768" w:rsidP="002A71FE">
            <w:pPr>
              <w:pStyle w:val="TAL"/>
              <w:rPr>
                <w:rFonts w:eastAsia="等线"/>
                <w:lang w:eastAsia="zh-CN"/>
              </w:rPr>
            </w:pPr>
            <w:r>
              <w:rPr>
                <w:rFonts w:eastAsia="等线"/>
                <w:lang w:eastAsia="zh-CN"/>
              </w:rPr>
              <w:t>TargetUeInformation</w:t>
            </w:r>
          </w:p>
        </w:tc>
        <w:tc>
          <w:tcPr>
            <w:tcW w:w="425" w:type="dxa"/>
          </w:tcPr>
          <w:p w14:paraId="3CE89E57" w14:textId="77777777" w:rsidR="00640768" w:rsidRDefault="00640768" w:rsidP="002A71FE">
            <w:pPr>
              <w:pStyle w:val="TAC"/>
              <w:rPr>
                <w:lang w:eastAsia="zh-CN"/>
              </w:rPr>
            </w:pPr>
            <w:r>
              <w:rPr>
                <w:lang w:eastAsia="zh-CN"/>
              </w:rPr>
              <w:t>O</w:t>
            </w:r>
          </w:p>
        </w:tc>
        <w:tc>
          <w:tcPr>
            <w:tcW w:w="1134" w:type="dxa"/>
          </w:tcPr>
          <w:p w14:paraId="430F56EF" w14:textId="77777777" w:rsidR="00640768" w:rsidRDefault="00640768" w:rsidP="002A71FE">
            <w:pPr>
              <w:pStyle w:val="TAL"/>
            </w:pPr>
            <w:r>
              <w:t>0..1</w:t>
            </w:r>
          </w:p>
        </w:tc>
        <w:tc>
          <w:tcPr>
            <w:tcW w:w="2410" w:type="dxa"/>
          </w:tcPr>
          <w:p w14:paraId="3E86D4CF" w14:textId="77777777" w:rsidR="00640768" w:rsidRDefault="00640768" w:rsidP="002A71FE">
            <w:pPr>
              <w:pStyle w:val="TAL"/>
              <w:rPr>
                <w:lang w:eastAsia="zh-CN"/>
              </w:rPr>
            </w:pPr>
            <w:r>
              <w:rPr>
                <w:rFonts w:cs="Arial"/>
                <w:szCs w:val="18"/>
              </w:rPr>
              <w:t>Identifies target UE information.</w:t>
            </w:r>
          </w:p>
        </w:tc>
        <w:tc>
          <w:tcPr>
            <w:tcW w:w="2410" w:type="dxa"/>
          </w:tcPr>
          <w:p w14:paraId="559ED5B3" w14:textId="77777777" w:rsidR="00640768" w:rsidRDefault="00640768" w:rsidP="002A71FE">
            <w:pPr>
              <w:pStyle w:val="TAL"/>
              <w:rPr>
                <w:rFonts w:cs="Arial"/>
                <w:szCs w:val="18"/>
              </w:rPr>
            </w:pPr>
          </w:p>
        </w:tc>
      </w:tr>
      <w:tr w:rsidR="00640768" w14:paraId="71D5B6B3" w14:textId="77777777" w:rsidTr="002A71FE">
        <w:trPr>
          <w:jc w:val="center"/>
        </w:trPr>
        <w:tc>
          <w:tcPr>
            <w:tcW w:w="9525" w:type="dxa"/>
            <w:gridSpan w:val="6"/>
          </w:tcPr>
          <w:p w14:paraId="46B39130" w14:textId="77777777" w:rsidR="00640768" w:rsidRDefault="00640768" w:rsidP="002A71FE">
            <w:pPr>
              <w:pStyle w:val="TAN"/>
            </w:pPr>
            <w:r>
              <w:rPr>
                <w:rFonts w:cs="Arial"/>
                <w:szCs w:val="18"/>
              </w:rPr>
              <w:t>NOTE:</w:t>
            </w:r>
            <w:r>
              <w:rPr>
                <w:rFonts w:cs="Arial"/>
                <w:szCs w:val="18"/>
              </w:rPr>
              <w:tab/>
              <w:t>One of "</w:t>
            </w:r>
            <w:r>
              <w:t>consumerId</w:t>
            </w:r>
            <w:r>
              <w:rPr>
                <w:rFonts w:cs="Arial"/>
                <w:szCs w:val="18"/>
              </w:rPr>
              <w:t>" and "</w:t>
            </w:r>
            <w:r>
              <w:t>consumerSetId</w:t>
            </w:r>
            <w:r>
              <w:rPr>
                <w:rFonts w:cs="Arial"/>
                <w:szCs w:val="18"/>
              </w:rPr>
              <w:t>" attributes shall be provided.</w:t>
            </w:r>
          </w:p>
        </w:tc>
      </w:tr>
    </w:tbl>
    <w:p w14:paraId="2ECEF02F" w14:textId="77777777" w:rsidR="00640768" w:rsidRPr="001F007D" w:rsidRDefault="00640768" w:rsidP="00640768"/>
    <w:p w14:paraId="53E0F7FD" w14:textId="77777777" w:rsidR="00A10B25" w:rsidRDefault="00A10B25">
      <w:pPr>
        <w:pStyle w:val="5"/>
      </w:pPr>
      <w:bookmarkStart w:id="15699" w:name="_Toc164921199"/>
      <w:bookmarkStart w:id="15700" w:name="_Toc170120741"/>
      <w:bookmarkStart w:id="15701" w:name="_Toc175858986"/>
      <w:bookmarkStart w:id="15702" w:name="_Toc175860059"/>
      <w:bookmarkStart w:id="15703" w:name="_Toc180606349"/>
      <w:bookmarkStart w:id="15704" w:name="_Toc185517610"/>
      <w:bookmarkStart w:id="15705" w:name="_Toc191576662"/>
      <w:bookmarkStart w:id="15706" w:name="_Toc191577402"/>
      <w:bookmarkStart w:id="15707" w:name="_Toc192880472"/>
      <w:bookmarkStart w:id="15708" w:name="_Toc195815361"/>
      <w:bookmarkStart w:id="15709" w:name="_Toc199453328"/>
      <w:r>
        <w:lastRenderedPageBreak/>
        <w:t>5.6.6.2.3</w:t>
      </w:r>
      <w:r>
        <w:tab/>
        <w:t xml:space="preserve">Type </w:t>
      </w:r>
      <w:r>
        <w:rPr>
          <w:rFonts w:eastAsia="等线"/>
        </w:rPr>
        <w:t>MLModelMonitor</w:t>
      </w:r>
      <w:r>
        <w:rPr>
          <w:rFonts w:eastAsia="等线" w:hint="eastAsia"/>
          <w:lang w:eastAsia="zh-CN"/>
        </w:rPr>
        <w:t>Sub</w:t>
      </w:r>
      <w:bookmarkEnd w:id="15698"/>
      <w:bookmarkEnd w:id="15699"/>
      <w:bookmarkEnd w:id="15700"/>
      <w:bookmarkEnd w:id="15701"/>
      <w:bookmarkEnd w:id="15702"/>
      <w:bookmarkEnd w:id="15703"/>
      <w:bookmarkEnd w:id="15704"/>
      <w:bookmarkEnd w:id="15705"/>
      <w:bookmarkEnd w:id="15706"/>
      <w:bookmarkEnd w:id="15707"/>
      <w:bookmarkEnd w:id="15708"/>
      <w:bookmarkEnd w:id="15709"/>
    </w:p>
    <w:p w14:paraId="78969899" w14:textId="77777777" w:rsidR="00AD5F95" w:rsidRDefault="00AD5F95" w:rsidP="00AD5F95">
      <w:pPr>
        <w:pStyle w:val="TH"/>
        <w:overflowPunct w:val="0"/>
        <w:autoSpaceDE w:val="0"/>
        <w:autoSpaceDN w:val="0"/>
        <w:adjustRightInd w:val="0"/>
        <w:textAlignment w:val="baseline"/>
        <w:rPr>
          <w:rFonts w:eastAsia="MS Mincho"/>
        </w:rPr>
      </w:pPr>
      <w:bookmarkStart w:id="15710" w:name="_Toc148523012"/>
      <w:bookmarkStart w:id="15711" w:name="_Toc164921200"/>
      <w:bookmarkStart w:id="15712" w:name="_Toc170120742"/>
      <w:bookmarkStart w:id="15713" w:name="_Toc175858987"/>
      <w:bookmarkStart w:id="15714" w:name="_Toc175860060"/>
      <w:bookmarkStart w:id="15715" w:name="_Toc180606350"/>
      <w:bookmarkStart w:id="15716" w:name="_Toc185517611"/>
      <w:r>
        <w:rPr>
          <w:rFonts w:eastAsia="MS Mincho"/>
        </w:rPr>
        <w:t xml:space="preserve">Table 5.6.6.2.3-1: Definition of type </w:t>
      </w:r>
      <w:r>
        <w:rPr>
          <w:rFonts w:eastAsia="等线"/>
        </w:rPr>
        <w:t>MLModelMonitor</w:t>
      </w:r>
      <w:r>
        <w:rPr>
          <w:rFonts w:eastAsia="等线" w:hint="eastAsia"/>
          <w:lang w:eastAsia="zh-CN"/>
        </w:rPr>
        <w:t>Sub</w:t>
      </w:r>
    </w:p>
    <w:tbl>
      <w:tblPr>
        <w:tblW w:w="952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D5F95" w14:paraId="3FEC2089" w14:textId="77777777" w:rsidTr="009E7F73">
        <w:trPr>
          <w:jc w:val="center"/>
        </w:trPr>
        <w:tc>
          <w:tcPr>
            <w:tcW w:w="1702" w:type="dxa"/>
            <w:shd w:val="clear" w:color="auto" w:fill="C0C0C0"/>
          </w:tcPr>
          <w:p w14:paraId="446910CE" w14:textId="77777777" w:rsidR="00AD5F95" w:rsidRDefault="00AD5F95" w:rsidP="009E7F73">
            <w:pPr>
              <w:pStyle w:val="TAH"/>
              <w:ind w:left="400" w:hanging="400"/>
            </w:pPr>
            <w:r>
              <w:t>Attribute name</w:t>
            </w:r>
          </w:p>
        </w:tc>
        <w:tc>
          <w:tcPr>
            <w:tcW w:w="1444" w:type="dxa"/>
            <w:shd w:val="clear" w:color="auto" w:fill="C0C0C0"/>
          </w:tcPr>
          <w:p w14:paraId="0DB685FB" w14:textId="77777777" w:rsidR="00AD5F95" w:rsidRDefault="00AD5F95" w:rsidP="009E7F73">
            <w:pPr>
              <w:pStyle w:val="TAH"/>
              <w:ind w:left="400" w:hanging="400"/>
            </w:pPr>
            <w:r>
              <w:t>Data type</w:t>
            </w:r>
          </w:p>
        </w:tc>
        <w:tc>
          <w:tcPr>
            <w:tcW w:w="425" w:type="dxa"/>
            <w:shd w:val="clear" w:color="auto" w:fill="C0C0C0"/>
          </w:tcPr>
          <w:p w14:paraId="2E3EAB2D" w14:textId="77777777" w:rsidR="00AD5F95" w:rsidRDefault="00AD5F95" w:rsidP="009E7F73">
            <w:pPr>
              <w:pStyle w:val="TAH"/>
              <w:ind w:left="400" w:hanging="400"/>
            </w:pPr>
            <w:r>
              <w:t>P</w:t>
            </w:r>
          </w:p>
        </w:tc>
        <w:tc>
          <w:tcPr>
            <w:tcW w:w="1134" w:type="dxa"/>
            <w:shd w:val="clear" w:color="auto" w:fill="C0C0C0"/>
          </w:tcPr>
          <w:p w14:paraId="3539B1A5" w14:textId="77777777" w:rsidR="00AD5F95" w:rsidRDefault="00AD5F95" w:rsidP="009E7F73">
            <w:pPr>
              <w:pStyle w:val="TAH"/>
              <w:ind w:left="400" w:hanging="400"/>
              <w:jc w:val="left"/>
            </w:pPr>
            <w:r>
              <w:t>Cardinality</w:t>
            </w:r>
          </w:p>
        </w:tc>
        <w:tc>
          <w:tcPr>
            <w:tcW w:w="2410" w:type="dxa"/>
            <w:shd w:val="clear" w:color="auto" w:fill="C0C0C0"/>
          </w:tcPr>
          <w:p w14:paraId="0160C7AF" w14:textId="77777777" w:rsidR="00AD5F95" w:rsidRDefault="00AD5F95" w:rsidP="009E7F73">
            <w:pPr>
              <w:pStyle w:val="TAH"/>
              <w:ind w:left="400" w:hanging="400"/>
              <w:rPr>
                <w:rFonts w:cs="Arial"/>
                <w:szCs w:val="18"/>
              </w:rPr>
            </w:pPr>
            <w:r>
              <w:rPr>
                <w:rFonts w:cs="Arial"/>
                <w:szCs w:val="18"/>
              </w:rPr>
              <w:t>Description</w:t>
            </w:r>
          </w:p>
        </w:tc>
        <w:tc>
          <w:tcPr>
            <w:tcW w:w="2410" w:type="dxa"/>
            <w:shd w:val="clear" w:color="auto" w:fill="C0C0C0"/>
          </w:tcPr>
          <w:p w14:paraId="78D935A6" w14:textId="77777777" w:rsidR="00AD5F95" w:rsidRDefault="00AD5F95" w:rsidP="009E7F73">
            <w:pPr>
              <w:pStyle w:val="TAH"/>
              <w:ind w:left="400" w:hanging="400"/>
              <w:rPr>
                <w:rFonts w:cs="Arial"/>
                <w:szCs w:val="18"/>
              </w:rPr>
            </w:pPr>
            <w:r>
              <w:rPr>
                <w:rFonts w:cs="Arial"/>
                <w:szCs w:val="18"/>
              </w:rPr>
              <w:t>Applicability</w:t>
            </w:r>
          </w:p>
        </w:tc>
      </w:tr>
      <w:tr w:rsidR="00AD5F95" w14:paraId="4455DADB" w14:textId="77777777" w:rsidTr="009E7F73">
        <w:trPr>
          <w:jc w:val="center"/>
        </w:trPr>
        <w:tc>
          <w:tcPr>
            <w:tcW w:w="1702" w:type="dxa"/>
          </w:tcPr>
          <w:p w14:paraId="60A8F71E" w14:textId="77777777" w:rsidR="00AD5F95" w:rsidRDefault="00AD5F95" w:rsidP="009E7F73">
            <w:pPr>
              <w:pStyle w:val="TAL"/>
            </w:pPr>
            <w:r>
              <w:t>modelIds</w:t>
            </w:r>
          </w:p>
        </w:tc>
        <w:tc>
          <w:tcPr>
            <w:tcW w:w="1444" w:type="dxa"/>
          </w:tcPr>
          <w:p w14:paraId="4D1D2173" w14:textId="77777777" w:rsidR="00AD5F95" w:rsidRDefault="00AD5F95" w:rsidP="009E7F73">
            <w:pPr>
              <w:pStyle w:val="TAL"/>
            </w:pPr>
            <w:r>
              <w:rPr>
                <w:lang w:eastAsia="zh-CN"/>
              </w:rPr>
              <w:t>array(</w:t>
            </w:r>
            <w:r>
              <w:rPr>
                <w:rFonts w:eastAsia="等线"/>
              </w:rPr>
              <w:t>Uinteger</w:t>
            </w:r>
            <w:r>
              <w:rPr>
                <w:lang w:eastAsia="zh-CN"/>
              </w:rPr>
              <w:t>)</w:t>
            </w:r>
          </w:p>
        </w:tc>
        <w:tc>
          <w:tcPr>
            <w:tcW w:w="425" w:type="dxa"/>
          </w:tcPr>
          <w:p w14:paraId="719913AA" w14:textId="77777777" w:rsidR="00AD5F95" w:rsidRDefault="00AD5F95" w:rsidP="009E7F73">
            <w:pPr>
              <w:pStyle w:val="TAC"/>
              <w:rPr>
                <w:lang w:eastAsia="zh-CN"/>
              </w:rPr>
            </w:pPr>
            <w:r>
              <w:t>M</w:t>
            </w:r>
          </w:p>
        </w:tc>
        <w:tc>
          <w:tcPr>
            <w:tcW w:w="1134" w:type="dxa"/>
          </w:tcPr>
          <w:p w14:paraId="18944743" w14:textId="77777777" w:rsidR="00AD5F95" w:rsidRDefault="00AD5F95" w:rsidP="009E7F73">
            <w:pPr>
              <w:pStyle w:val="TAL"/>
            </w:pPr>
            <w:r>
              <w:t>1..N</w:t>
            </w:r>
          </w:p>
        </w:tc>
        <w:tc>
          <w:tcPr>
            <w:tcW w:w="2410" w:type="dxa"/>
          </w:tcPr>
          <w:p w14:paraId="0B7E9B67" w14:textId="77777777" w:rsidR="00AD5F95" w:rsidRDefault="00AD5F95" w:rsidP="009E7F73">
            <w:pPr>
              <w:pStyle w:val="TAL"/>
            </w:pPr>
            <w:r>
              <w:rPr>
                <w:lang w:eastAsia="zh-CN"/>
              </w:rPr>
              <w:t>The ML model IDs.</w:t>
            </w:r>
          </w:p>
        </w:tc>
        <w:tc>
          <w:tcPr>
            <w:tcW w:w="2410" w:type="dxa"/>
          </w:tcPr>
          <w:p w14:paraId="131C6B87" w14:textId="77777777" w:rsidR="00AD5F95" w:rsidRDefault="00AD5F95" w:rsidP="009E7F73">
            <w:pPr>
              <w:pStyle w:val="TAL"/>
              <w:rPr>
                <w:rFonts w:cs="Arial"/>
                <w:szCs w:val="18"/>
              </w:rPr>
            </w:pPr>
          </w:p>
        </w:tc>
      </w:tr>
      <w:tr w:rsidR="00AD5F95" w14:paraId="366AB0DA" w14:textId="77777777" w:rsidTr="009E7F73">
        <w:trPr>
          <w:jc w:val="center"/>
        </w:trPr>
        <w:tc>
          <w:tcPr>
            <w:tcW w:w="1702" w:type="dxa"/>
          </w:tcPr>
          <w:p w14:paraId="2CB9E1F8" w14:textId="77777777" w:rsidR="00AD5F95" w:rsidRDefault="00AD5F95" w:rsidP="009E7F73">
            <w:pPr>
              <w:pStyle w:val="TAL"/>
            </w:pPr>
            <w:r>
              <w:t>notificationUri</w:t>
            </w:r>
          </w:p>
        </w:tc>
        <w:tc>
          <w:tcPr>
            <w:tcW w:w="1444" w:type="dxa"/>
          </w:tcPr>
          <w:p w14:paraId="721EBBD6" w14:textId="77777777" w:rsidR="00AD5F95" w:rsidRDefault="00AD5F95" w:rsidP="009E7F73">
            <w:pPr>
              <w:pStyle w:val="TAL"/>
              <w:rPr>
                <w:lang w:eastAsia="zh-CN"/>
              </w:rPr>
            </w:pPr>
            <w:r>
              <w:t>Uri</w:t>
            </w:r>
          </w:p>
        </w:tc>
        <w:tc>
          <w:tcPr>
            <w:tcW w:w="425" w:type="dxa"/>
          </w:tcPr>
          <w:p w14:paraId="2018EB4B" w14:textId="77777777" w:rsidR="00AD5F95" w:rsidRDefault="00AD5F95" w:rsidP="009E7F73">
            <w:pPr>
              <w:pStyle w:val="TAC"/>
            </w:pPr>
            <w:r>
              <w:t>M</w:t>
            </w:r>
          </w:p>
        </w:tc>
        <w:tc>
          <w:tcPr>
            <w:tcW w:w="1134" w:type="dxa"/>
          </w:tcPr>
          <w:p w14:paraId="77075B1C" w14:textId="77777777" w:rsidR="00AD5F95" w:rsidRDefault="00AD5F95" w:rsidP="009E7F73">
            <w:pPr>
              <w:pStyle w:val="TAL"/>
            </w:pPr>
            <w:r>
              <w:t>1</w:t>
            </w:r>
          </w:p>
        </w:tc>
        <w:tc>
          <w:tcPr>
            <w:tcW w:w="2410" w:type="dxa"/>
          </w:tcPr>
          <w:p w14:paraId="703F2A38" w14:textId="77777777" w:rsidR="00AD5F95" w:rsidRDefault="00AD5F95" w:rsidP="009E7F73">
            <w:pPr>
              <w:pStyle w:val="TAL"/>
              <w:rPr>
                <w:lang w:eastAsia="zh-CN"/>
              </w:rPr>
            </w:pPr>
            <w:r>
              <w:rPr>
                <w:lang w:eastAsia="ja-JP"/>
              </w:rPr>
              <w:t>Notification target address.</w:t>
            </w:r>
          </w:p>
        </w:tc>
        <w:tc>
          <w:tcPr>
            <w:tcW w:w="2410" w:type="dxa"/>
          </w:tcPr>
          <w:p w14:paraId="424399A9" w14:textId="77777777" w:rsidR="00AD5F95" w:rsidRDefault="00AD5F95" w:rsidP="009E7F73">
            <w:pPr>
              <w:pStyle w:val="TAL"/>
              <w:rPr>
                <w:rFonts w:cs="Arial"/>
                <w:szCs w:val="18"/>
              </w:rPr>
            </w:pPr>
          </w:p>
        </w:tc>
      </w:tr>
      <w:tr w:rsidR="00AD5F95" w14:paraId="766DEA2A" w14:textId="77777777" w:rsidTr="009E7F73">
        <w:trPr>
          <w:jc w:val="center"/>
        </w:trPr>
        <w:tc>
          <w:tcPr>
            <w:tcW w:w="1702" w:type="dxa"/>
          </w:tcPr>
          <w:p w14:paraId="360F6779" w14:textId="77777777" w:rsidR="00AD5F95" w:rsidRDefault="00AD5F95" w:rsidP="009E7F73">
            <w:pPr>
              <w:pStyle w:val="TAL"/>
            </w:pPr>
            <w:r>
              <w:t>notifCorrId</w:t>
            </w:r>
          </w:p>
        </w:tc>
        <w:tc>
          <w:tcPr>
            <w:tcW w:w="1444" w:type="dxa"/>
          </w:tcPr>
          <w:p w14:paraId="0801635A" w14:textId="77777777" w:rsidR="00AD5F95" w:rsidRDefault="00AD5F95" w:rsidP="009E7F73">
            <w:pPr>
              <w:pStyle w:val="TAL"/>
            </w:pPr>
            <w:r>
              <w:t>string</w:t>
            </w:r>
          </w:p>
        </w:tc>
        <w:tc>
          <w:tcPr>
            <w:tcW w:w="425" w:type="dxa"/>
          </w:tcPr>
          <w:p w14:paraId="384D37BB" w14:textId="77777777" w:rsidR="00AD5F95" w:rsidRDefault="00AD5F95" w:rsidP="009E7F73">
            <w:pPr>
              <w:pStyle w:val="TAC"/>
            </w:pPr>
            <w:r>
              <w:t>M</w:t>
            </w:r>
          </w:p>
        </w:tc>
        <w:tc>
          <w:tcPr>
            <w:tcW w:w="1134" w:type="dxa"/>
          </w:tcPr>
          <w:p w14:paraId="055FD814" w14:textId="77777777" w:rsidR="00AD5F95" w:rsidRDefault="00AD5F95" w:rsidP="009E7F73">
            <w:pPr>
              <w:pStyle w:val="TAL"/>
            </w:pPr>
            <w:r>
              <w:t>1</w:t>
            </w:r>
          </w:p>
        </w:tc>
        <w:tc>
          <w:tcPr>
            <w:tcW w:w="2410" w:type="dxa"/>
          </w:tcPr>
          <w:p w14:paraId="48F13442" w14:textId="77777777" w:rsidR="00AD5F95" w:rsidRDefault="00AD5F95" w:rsidP="009E7F73">
            <w:pPr>
              <w:pStyle w:val="TAL"/>
            </w:pPr>
            <w:r>
              <w:t>Notification correlation identifier.</w:t>
            </w:r>
          </w:p>
        </w:tc>
        <w:tc>
          <w:tcPr>
            <w:tcW w:w="2410" w:type="dxa"/>
          </w:tcPr>
          <w:p w14:paraId="686E9C45" w14:textId="77777777" w:rsidR="00AD5F95" w:rsidRDefault="00AD5F95" w:rsidP="009E7F73">
            <w:pPr>
              <w:pStyle w:val="TAL"/>
            </w:pPr>
          </w:p>
        </w:tc>
      </w:tr>
      <w:tr w:rsidR="00AD5F95" w14:paraId="48FC8E1A" w14:textId="77777777" w:rsidTr="009E7F73">
        <w:trPr>
          <w:jc w:val="center"/>
        </w:trPr>
        <w:tc>
          <w:tcPr>
            <w:tcW w:w="1702" w:type="dxa"/>
          </w:tcPr>
          <w:p w14:paraId="71BD4B0F" w14:textId="77777777" w:rsidR="00AD5F95" w:rsidRDefault="00AD5F95" w:rsidP="009E7F73">
            <w:pPr>
              <w:pStyle w:val="TAL"/>
            </w:pPr>
            <w:r>
              <w:t>modelMetric</w:t>
            </w:r>
          </w:p>
        </w:tc>
        <w:tc>
          <w:tcPr>
            <w:tcW w:w="1444" w:type="dxa"/>
          </w:tcPr>
          <w:p w14:paraId="05F57DC2" w14:textId="77777777" w:rsidR="00AD5F95" w:rsidRDefault="00AD5F95" w:rsidP="009E7F73">
            <w:pPr>
              <w:pStyle w:val="TAL"/>
            </w:pPr>
            <w:r>
              <w:t>MLModelMetric</w:t>
            </w:r>
          </w:p>
        </w:tc>
        <w:tc>
          <w:tcPr>
            <w:tcW w:w="425" w:type="dxa"/>
          </w:tcPr>
          <w:p w14:paraId="35E61FF8" w14:textId="77777777" w:rsidR="00AD5F95" w:rsidRDefault="00AD5F95" w:rsidP="009E7F73">
            <w:pPr>
              <w:pStyle w:val="TAC"/>
            </w:pPr>
            <w:r>
              <w:t>O</w:t>
            </w:r>
          </w:p>
        </w:tc>
        <w:tc>
          <w:tcPr>
            <w:tcW w:w="1134" w:type="dxa"/>
          </w:tcPr>
          <w:p w14:paraId="5865322D" w14:textId="77777777" w:rsidR="00AD5F95" w:rsidRDefault="00AD5F95" w:rsidP="009E7F73">
            <w:pPr>
              <w:pStyle w:val="TAL"/>
            </w:pPr>
            <w:r>
              <w:t>0..1</w:t>
            </w:r>
          </w:p>
        </w:tc>
        <w:tc>
          <w:tcPr>
            <w:tcW w:w="2410" w:type="dxa"/>
          </w:tcPr>
          <w:p w14:paraId="3D42D452" w14:textId="77777777" w:rsidR="00AD5F95" w:rsidRDefault="00AD5F95" w:rsidP="009E7F73">
            <w:pPr>
              <w:pStyle w:val="TAL"/>
            </w:pPr>
            <w:r>
              <w:rPr>
                <w:lang w:eastAsia="ja-JP"/>
              </w:rPr>
              <w:t>The ML model metrics to calculate the accuracy information.</w:t>
            </w:r>
          </w:p>
        </w:tc>
        <w:tc>
          <w:tcPr>
            <w:tcW w:w="2410" w:type="dxa"/>
          </w:tcPr>
          <w:p w14:paraId="47D81DD0" w14:textId="77777777" w:rsidR="00AD5F95" w:rsidRDefault="00AD5F95" w:rsidP="009E7F73">
            <w:pPr>
              <w:pStyle w:val="TAL"/>
            </w:pPr>
          </w:p>
        </w:tc>
      </w:tr>
      <w:tr w:rsidR="00183EFC" w14:paraId="4CDAF12A" w14:textId="77777777" w:rsidTr="009E7F73">
        <w:trPr>
          <w:jc w:val="center"/>
        </w:trPr>
        <w:tc>
          <w:tcPr>
            <w:tcW w:w="1702" w:type="dxa"/>
          </w:tcPr>
          <w:p w14:paraId="1BE4579C" w14:textId="35BE6988" w:rsidR="00183EFC" w:rsidRDefault="00183EFC" w:rsidP="00183EFC">
            <w:pPr>
              <w:pStyle w:val="TAL"/>
            </w:pPr>
            <w:r>
              <w:t>accuThreshold</w:t>
            </w:r>
          </w:p>
        </w:tc>
        <w:tc>
          <w:tcPr>
            <w:tcW w:w="1444" w:type="dxa"/>
          </w:tcPr>
          <w:p w14:paraId="2201BF2F" w14:textId="7F4CA0F2" w:rsidR="00183EFC" w:rsidRDefault="00183EFC" w:rsidP="00183EFC">
            <w:pPr>
              <w:pStyle w:val="TAL"/>
            </w:pPr>
            <w:r>
              <w:t>Uinteger</w:t>
            </w:r>
          </w:p>
        </w:tc>
        <w:tc>
          <w:tcPr>
            <w:tcW w:w="425" w:type="dxa"/>
          </w:tcPr>
          <w:p w14:paraId="38103ACD" w14:textId="32AEB555" w:rsidR="00183EFC" w:rsidRDefault="00183EFC" w:rsidP="00183EFC">
            <w:pPr>
              <w:pStyle w:val="TAC"/>
            </w:pPr>
            <w:r>
              <w:t>O</w:t>
            </w:r>
          </w:p>
        </w:tc>
        <w:tc>
          <w:tcPr>
            <w:tcW w:w="1134" w:type="dxa"/>
          </w:tcPr>
          <w:p w14:paraId="61ACA44F" w14:textId="0F09BC1A" w:rsidR="00183EFC" w:rsidRDefault="00183EFC" w:rsidP="00183EFC">
            <w:pPr>
              <w:pStyle w:val="TAL"/>
            </w:pPr>
            <w:r>
              <w:t>0..1</w:t>
            </w:r>
          </w:p>
        </w:tc>
        <w:tc>
          <w:tcPr>
            <w:tcW w:w="2410" w:type="dxa"/>
          </w:tcPr>
          <w:p w14:paraId="27AB5541" w14:textId="77777777" w:rsidR="00183EFC" w:rsidRDefault="00183EFC" w:rsidP="00183EFC">
            <w:pPr>
              <w:keepNext/>
              <w:keepLines/>
              <w:spacing w:after="0"/>
              <w:rPr>
                <w:rFonts w:ascii="Arial" w:hAnsi="Arial"/>
                <w:sz w:val="18"/>
              </w:rPr>
            </w:pPr>
            <w:r>
              <w:rPr>
                <w:rFonts w:ascii="Arial" w:hAnsi="Arial"/>
                <w:sz w:val="18"/>
              </w:rPr>
              <w:t>Accuracy reporting threshold</w:t>
            </w:r>
            <w:r>
              <w:rPr>
                <w:rFonts w:ascii="Arial" w:hAnsi="Arial" w:hint="eastAsia"/>
                <w:sz w:val="18"/>
              </w:rPr>
              <w:t>.</w:t>
            </w:r>
            <w:r>
              <w:rPr>
                <w:rFonts w:ascii="Arial" w:hAnsi="Arial"/>
                <w:sz w:val="18"/>
              </w:rPr>
              <w:t xml:space="preserve"> Indicates the threshold upon the crossing of which (in either ascending or descending direction) the accuracy information needs to be reported.</w:t>
            </w:r>
          </w:p>
          <w:p w14:paraId="372862BC" w14:textId="72F27142" w:rsidR="00183EFC" w:rsidRDefault="00183EFC" w:rsidP="00183EFC">
            <w:pPr>
              <w:keepNext/>
              <w:keepLines/>
              <w:spacing w:after="0"/>
              <w:rPr>
                <w:rFonts w:ascii="Arial" w:hAnsi="Arial"/>
                <w:sz w:val="18"/>
              </w:rPr>
            </w:pPr>
            <w:r w:rsidRPr="00A73A05">
              <w:rPr>
                <w:rFonts w:ascii="Arial" w:hAnsi="Arial"/>
                <w:sz w:val="18"/>
              </w:rPr>
              <w:t>Minimum = 0. Maximum = 100.</w:t>
            </w:r>
          </w:p>
        </w:tc>
        <w:tc>
          <w:tcPr>
            <w:tcW w:w="2410" w:type="dxa"/>
          </w:tcPr>
          <w:p w14:paraId="23609FB0" w14:textId="77777777" w:rsidR="00183EFC" w:rsidRDefault="00183EFC" w:rsidP="00183EFC">
            <w:pPr>
              <w:pStyle w:val="TAL"/>
            </w:pPr>
          </w:p>
        </w:tc>
      </w:tr>
      <w:tr w:rsidR="00AD5F95" w14:paraId="42FB82FD" w14:textId="77777777" w:rsidTr="009E7F73">
        <w:trPr>
          <w:jc w:val="center"/>
        </w:trPr>
        <w:tc>
          <w:tcPr>
            <w:tcW w:w="1702" w:type="dxa"/>
          </w:tcPr>
          <w:p w14:paraId="0662A404" w14:textId="77777777" w:rsidR="00AD5F95" w:rsidRDefault="00AD5F95" w:rsidP="009E7F73">
            <w:pPr>
              <w:pStyle w:val="TAL"/>
            </w:pPr>
            <w:r>
              <w:t>eventReportReq</w:t>
            </w:r>
          </w:p>
        </w:tc>
        <w:tc>
          <w:tcPr>
            <w:tcW w:w="1444" w:type="dxa"/>
          </w:tcPr>
          <w:p w14:paraId="113AD312" w14:textId="77777777" w:rsidR="00AD5F95" w:rsidRDefault="00AD5F95" w:rsidP="009E7F73">
            <w:pPr>
              <w:pStyle w:val="TAL"/>
            </w:pPr>
            <w:r>
              <w:t>ReportingInformation</w:t>
            </w:r>
          </w:p>
        </w:tc>
        <w:tc>
          <w:tcPr>
            <w:tcW w:w="425" w:type="dxa"/>
          </w:tcPr>
          <w:p w14:paraId="18C01410" w14:textId="77777777" w:rsidR="00AD5F95" w:rsidRDefault="00AD5F95" w:rsidP="009E7F73">
            <w:pPr>
              <w:pStyle w:val="TAC"/>
            </w:pPr>
            <w:r>
              <w:t>O</w:t>
            </w:r>
          </w:p>
        </w:tc>
        <w:tc>
          <w:tcPr>
            <w:tcW w:w="1134" w:type="dxa"/>
          </w:tcPr>
          <w:p w14:paraId="1BCE57F9" w14:textId="77777777" w:rsidR="00AD5F95" w:rsidRDefault="00AD5F95" w:rsidP="009E7F73">
            <w:pPr>
              <w:pStyle w:val="TAL"/>
            </w:pPr>
            <w:r>
              <w:t>0..1</w:t>
            </w:r>
          </w:p>
        </w:tc>
        <w:tc>
          <w:tcPr>
            <w:tcW w:w="2410" w:type="dxa"/>
          </w:tcPr>
          <w:p w14:paraId="56119ABC" w14:textId="77777777" w:rsidR="00AD5F95" w:rsidRDefault="00AD5F95" w:rsidP="009E7F73">
            <w:pPr>
              <w:keepNext/>
              <w:keepLines/>
              <w:spacing w:after="0"/>
              <w:rPr>
                <w:rFonts w:ascii="Arial" w:hAnsi="Arial"/>
                <w:sz w:val="18"/>
              </w:rPr>
            </w:pPr>
            <w:r>
              <w:rPr>
                <w:rFonts w:ascii="Arial" w:hAnsi="Arial"/>
                <w:sz w:val="18"/>
              </w:rPr>
              <w:t>Represents the reporting requirements of the event subscription.</w:t>
            </w:r>
          </w:p>
          <w:p w14:paraId="7C6A0FBC" w14:textId="77777777" w:rsidR="00AD5F95" w:rsidRDefault="00AD5F95" w:rsidP="009E7F73">
            <w:pPr>
              <w:pStyle w:val="TAL"/>
            </w:pPr>
            <w:r>
              <w:t>If omitted, the default values within the Reporting Information data type apply.</w:t>
            </w:r>
          </w:p>
        </w:tc>
        <w:tc>
          <w:tcPr>
            <w:tcW w:w="2410" w:type="dxa"/>
          </w:tcPr>
          <w:p w14:paraId="0BEA9FA7" w14:textId="77777777" w:rsidR="00AD5F95" w:rsidRDefault="00AD5F95" w:rsidP="009E7F73">
            <w:pPr>
              <w:pStyle w:val="TAL"/>
            </w:pPr>
          </w:p>
        </w:tc>
      </w:tr>
      <w:tr w:rsidR="00AD5F95" w14:paraId="542FC897" w14:textId="77777777" w:rsidTr="009E7F73">
        <w:trPr>
          <w:jc w:val="center"/>
        </w:trPr>
        <w:tc>
          <w:tcPr>
            <w:tcW w:w="1702" w:type="dxa"/>
          </w:tcPr>
          <w:p w14:paraId="45DCFC07" w14:textId="77777777" w:rsidR="00AD5F95" w:rsidRDefault="00AD5F95" w:rsidP="009E7F73">
            <w:pPr>
              <w:pStyle w:val="TAL"/>
            </w:pPr>
            <w:r>
              <w:t>immReport</w:t>
            </w:r>
          </w:p>
        </w:tc>
        <w:tc>
          <w:tcPr>
            <w:tcW w:w="1444" w:type="dxa"/>
          </w:tcPr>
          <w:p w14:paraId="49BD6365" w14:textId="77777777" w:rsidR="00AD5F95" w:rsidRDefault="00AD5F95" w:rsidP="009E7F73">
            <w:pPr>
              <w:pStyle w:val="TAL"/>
            </w:pPr>
            <w:r>
              <w:t>MLModelMonitorNotify</w:t>
            </w:r>
          </w:p>
        </w:tc>
        <w:tc>
          <w:tcPr>
            <w:tcW w:w="425" w:type="dxa"/>
          </w:tcPr>
          <w:p w14:paraId="019B0525" w14:textId="77777777" w:rsidR="00AD5F95" w:rsidRDefault="00AD5F95" w:rsidP="009E7F73">
            <w:pPr>
              <w:pStyle w:val="TAC"/>
            </w:pPr>
            <w:r>
              <w:t>O</w:t>
            </w:r>
          </w:p>
        </w:tc>
        <w:tc>
          <w:tcPr>
            <w:tcW w:w="1134" w:type="dxa"/>
          </w:tcPr>
          <w:p w14:paraId="3320FBB0" w14:textId="77777777" w:rsidR="00AD5F95" w:rsidRDefault="00AD5F95" w:rsidP="009E7F73">
            <w:pPr>
              <w:pStyle w:val="TAL"/>
            </w:pPr>
            <w:r>
              <w:t>0..1</w:t>
            </w:r>
          </w:p>
        </w:tc>
        <w:tc>
          <w:tcPr>
            <w:tcW w:w="2410" w:type="dxa"/>
          </w:tcPr>
          <w:p w14:paraId="13645EF7" w14:textId="77777777" w:rsidR="00AD5F95" w:rsidRDefault="00AD5F95" w:rsidP="009E7F73">
            <w:pPr>
              <w:keepNext/>
              <w:keepLines/>
              <w:spacing w:after="0"/>
              <w:rPr>
                <w:rFonts w:ascii="Arial" w:hAnsi="Arial"/>
                <w:sz w:val="18"/>
              </w:rPr>
            </w:pPr>
            <w:r>
              <w:rPr>
                <w:rFonts w:ascii="Arial" w:hAnsi="Arial"/>
                <w:sz w:val="18"/>
              </w:rPr>
              <w:t>Immediately reported ML model Monitoring notifications. It may only be provided in the response of a subscription creation/update and only if the immediate reporting flag was set to "true" in the correspondingrequest.</w:t>
            </w:r>
          </w:p>
        </w:tc>
        <w:tc>
          <w:tcPr>
            <w:tcW w:w="2410" w:type="dxa"/>
          </w:tcPr>
          <w:p w14:paraId="0C9BE869" w14:textId="77777777" w:rsidR="00AD5F95" w:rsidRDefault="00AD5F95" w:rsidP="009E7F73">
            <w:pPr>
              <w:pStyle w:val="TAL"/>
            </w:pPr>
          </w:p>
        </w:tc>
      </w:tr>
      <w:tr w:rsidR="00AD5F95" w14:paraId="05FE18B6" w14:textId="77777777" w:rsidTr="009E7F73">
        <w:trPr>
          <w:jc w:val="center"/>
        </w:trPr>
        <w:tc>
          <w:tcPr>
            <w:tcW w:w="1702" w:type="dxa"/>
            <w:tcBorders>
              <w:top w:val="single" w:sz="6" w:space="0" w:color="auto"/>
              <w:left w:val="single" w:sz="6" w:space="0" w:color="auto"/>
              <w:bottom w:val="single" w:sz="6" w:space="0" w:color="auto"/>
              <w:right w:val="single" w:sz="6" w:space="0" w:color="auto"/>
            </w:tcBorders>
          </w:tcPr>
          <w:p w14:paraId="482F3324" w14:textId="77777777" w:rsidR="00AD5F95" w:rsidRDefault="00AD5F95" w:rsidP="009E7F73">
            <w:pPr>
              <w:pStyle w:val="TAL"/>
            </w:pPr>
            <w:r>
              <w:t>mLEvent</w:t>
            </w:r>
          </w:p>
        </w:tc>
        <w:tc>
          <w:tcPr>
            <w:tcW w:w="1444" w:type="dxa"/>
            <w:tcBorders>
              <w:top w:val="single" w:sz="6" w:space="0" w:color="auto"/>
              <w:left w:val="single" w:sz="6" w:space="0" w:color="auto"/>
              <w:bottom w:val="single" w:sz="6" w:space="0" w:color="auto"/>
              <w:right w:val="single" w:sz="6" w:space="0" w:color="auto"/>
            </w:tcBorders>
          </w:tcPr>
          <w:p w14:paraId="55C9CBFC" w14:textId="77777777" w:rsidR="00AD5F95" w:rsidRDefault="00AD5F95" w:rsidP="009E7F73">
            <w:pPr>
              <w:pStyle w:val="TAL"/>
            </w:pPr>
            <w:r>
              <w:t>NwdafEvent</w:t>
            </w:r>
          </w:p>
        </w:tc>
        <w:tc>
          <w:tcPr>
            <w:tcW w:w="425" w:type="dxa"/>
            <w:tcBorders>
              <w:top w:val="single" w:sz="6" w:space="0" w:color="auto"/>
              <w:left w:val="single" w:sz="6" w:space="0" w:color="auto"/>
              <w:bottom w:val="single" w:sz="6" w:space="0" w:color="auto"/>
              <w:right w:val="single" w:sz="6" w:space="0" w:color="auto"/>
            </w:tcBorders>
          </w:tcPr>
          <w:p w14:paraId="39A36F91" w14:textId="77777777" w:rsidR="00AD5F95" w:rsidRDefault="00AD5F95" w:rsidP="009E7F73">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4DFBF287" w14:textId="77777777" w:rsidR="00AD5F95" w:rsidRDefault="00AD5F95" w:rsidP="009E7F73">
            <w:pPr>
              <w:pStyle w:val="TAL"/>
            </w:pPr>
            <w:r>
              <w:t>0..1</w:t>
            </w:r>
          </w:p>
        </w:tc>
        <w:tc>
          <w:tcPr>
            <w:tcW w:w="2410" w:type="dxa"/>
            <w:tcBorders>
              <w:top w:val="single" w:sz="6" w:space="0" w:color="auto"/>
              <w:left w:val="single" w:sz="6" w:space="0" w:color="auto"/>
              <w:bottom w:val="single" w:sz="6" w:space="0" w:color="auto"/>
              <w:right w:val="single" w:sz="6" w:space="0" w:color="auto"/>
            </w:tcBorders>
          </w:tcPr>
          <w:p w14:paraId="5594119D" w14:textId="77777777" w:rsidR="00AD5F95" w:rsidRDefault="00AD5F95" w:rsidP="009E7F73">
            <w:pPr>
              <w:keepNext/>
              <w:keepLines/>
              <w:spacing w:after="0"/>
              <w:rPr>
                <w:rFonts w:ascii="Arial" w:hAnsi="Arial"/>
                <w:sz w:val="18"/>
              </w:rPr>
            </w:pPr>
            <w:r w:rsidRPr="00DA2B25">
              <w:rPr>
                <w:rFonts w:ascii="Arial" w:hAnsi="Arial"/>
                <w:sz w:val="18"/>
              </w:rPr>
              <w:t>Identifies the monitored event.</w:t>
            </w:r>
          </w:p>
          <w:p w14:paraId="2C749572" w14:textId="77777777" w:rsidR="00AD5F95" w:rsidRPr="00DA2B25" w:rsidRDefault="00AD5F95" w:rsidP="009E7F73">
            <w:pPr>
              <w:keepNext/>
              <w:keepLines/>
              <w:spacing w:after="0"/>
              <w:rPr>
                <w:rFonts w:ascii="Arial" w:hAnsi="Arial"/>
                <w:sz w:val="18"/>
              </w:rPr>
            </w:pPr>
            <w:r>
              <w:rPr>
                <w:rFonts w:ascii="Arial" w:hAnsi="Arial"/>
                <w:sz w:val="18"/>
              </w:rPr>
              <w:t>(NOTE)</w:t>
            </w:r>
          </w:p>
        </w:tc>
        <w:tc>
          <w:tcPr>
            <w:tcW w:w="2410" w:type="dxa"/>
            <w:tcBorders>
              <w:top w:val="single" w:sz="6" w:space="0" w:color="auto"/>
              <w:left w:val="single" w:sz="6" w:space="0" w:color="auto"/>
              <w:bottom w:val="single" w:sz="6" w:space="0" w:color="auto"/>
              <w:right w:val="single" w:sz="6" w:space="0" w:color="auto"/>
            </w:tcBorders>
          </w:tcPr>
          <w:p w14:paraId="0F95EEFD" w14:textId="77777777" w:rsidR="00AD5F95" w:rsidRDefault="00AD5F95" w:rsidP="009E7F73">
            <w:pPr>
              <w:pStyle w:val="TAL"/>
            </w:pPr>
          </w:p>
        </w:tc>
      </w:tr>
      <w:tr w:rsidR="00AD5F95" w14:paraId="5820325F" w14:textId="77777777" w:rsidTr="009E7F73">
        <w:trPr>
          <w:jc w:val="center"/>
        </w:trPr>
        <w:tc>
          <w:tcPr>
            <w:tcW w:w="1702" w:type="dxa"/>
            <w:tcBorders>
              <w:top w:val="single" w:sz="6" w:space="0" w:color="auto"/>
              <w:left w:val="single" w:sz="6" w:space="0" w:color="auto"/>
              <w:bottom w:val="single" w:sz="6" w:space="0" w:color="auto"/>
              <w:right w:val="single" w:sz="6" w:space="0" w:color="auto"/>
            </w:tcBorders>
          </w:tcPr>
          <w:p w14:paraId="0006A575" w14:textId="77777777" w:rsidR="00AD5F95" w:rsidRDefault="00AD5F95" w:rsidP="009E7F73">
            <w:pPr>
              <w:pStyle w:val="TAL"/>
            </w:pPr>
            <w:r>
              <w:t>mLEventFilter</w:t>
            </w:r>
          </w:p>
        </w:tc>
        <w:tc>
          <w:tcPr>
            <w:tcW w:w="1444" w:type="dxa"/>
            <w:tcBorders>
              <w:top w:val="single" w:sz="6" w:space="0" w:color="auto"/>
              <w:left w:val="single" w:sz="6" w:space="0" w:color="auto"/>
              <w:bottom w:val="single" w:sz="6" w:space="0" w:color="auto"/>
              <w:right w:val="single" w:sz="6" w:space="0" w:color="auto"/>
            </w:tcBorders>
          </w:tcPr>
          <w:p w14:paraId="1A063AD8" w14:textId="77777777" w:rsidR="00AD5F95" w:rsidRDefault="00AD5F95" w:rsidP="009E7F73">
            <w:pPr>
              <w:pStyle w:val="TAL"/>
            </w:pPr>
            <w:r>
              <w:t>EventFilter</w:t>
            </w:r>
          </w:p>
        </w:tc>
        <w:tc>
          <w:tcPr>
            <w:tcW w:w="425" w:type="dxa"/>
            <w:tcBorders>
              <w:top w:val="single" w:sz="6" w:space="0" w:color="auto"/>
              <w:left w:val="single" w:sz="6" w:space="0" w:color="auto"/>
              <w:bottom w:val="single" w:sz="6" w:space="0" w:color="auto"/>
              <w:right w:val="single" w:sz="6" w:space="0" w:color="auto"/>
            </w:tcBorders>
          </w:tcPr>
          <w:p w14:paraId="7C0C32EE" w14:textId="77777777" w:rsidR="00AD5F95" w:rsidRDefault="00AD5F95" w:rsidP="009E7F73">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B0AC060" w14:textId="77777777" w:rsidR="00AD5F95" w:rsidRDefault="00AD5F95" w:rsidP="009E7F73">
            <w:pPr>
              <w:pStyle w:val="TAL"/>
            </w:pPr>
            <w:r>
              <w:t>0..1</w:t>
            </w:r>
          </w:p>
        </w:tc>
        <w:tc>
          <w:tcPr>
            <w:tcW w:w="2410" w:type="dxa"/>
            <w:tcBorders>
              <w:top w:val="single" w:sz="6" w:space="0" w:color="auto"/>
              <w:left w:val="single" w:sz="6" w:space="0" w:color="auto"/>
              <w:bottom w:val="single" w:sz="6" w:space="0" w:color="auto"/>
              <w:right w:val="single" w:sz="6" w:space="0" w:color="auto"/>
            </w:tcBorders>
          </w:tcPr>
          <w:p w14:paraId="66830A80" w14:textId="77777777" w:rsidR="00AD5F95" w:rsidRDefault="00AD5F95" w:rsidP="009E7F73">
            <w:pPr>
              <w:keepNext/>
              <w:keepLines/>
              <w:spacing w:after="0"/>
              <w:rPr>
                <w:rFonts w:ascii="Arial" w:hAnsi="Arial"/>
                <w:sz w:val="18"/>
              </w:rPr>
            </w:pPr>
            <w:r w:rsidRPr="00DA2B25">
              <w:rPr>
                <w:rFonts w:ascii="Arial" w:hAnsi="Arial"/>
                <w:sz w:val="18"/>
              </w:rPr>
              <w:t>Identifies the analytics filter for the monitored event.</w:t>
            </w:r>
          </w:p>
          <w:p w14:paraId="4C36B26E" w14:textId="77777777" w:rsidR="00AD5F95" w:rsidRPr="00DA2B25" w:rsidRDefault="00AD5F95" w:rsidP="009E7F73">
            <w:pPr>
              <w:keepNext/>
              <w:keepLines/>
              <w:spacing w:after="0"/>
              <w:rPr>
                <w:rFonts w:ascii="Arial" w:hAnsi="Arial"/>
                <w:sz w:val="18"/>
              </w:rPr>
            </w:pPr>
            <w:r>
              <w:rPr>
                <w:rFonts w:ascii="Arial" w:hAnsi="Arial"/>
                <w:sz w:val="18"/>
              </w:rPr>
              <w:t>(NOTE)</w:t>
            </w:r>
          </w:p>
        </w:tc>
        <w:tc>
          <w:tcPr>
            <w:tcW w:w="2410" w:type="dxa"/>
            <w:tcBorders>
              <w:top w:val="single" w:sz="6" w:space="0" w:color="auto"/>
              <w:left w:val="single" w:sz="6" w:space="0" w:color="auto"/>
              <w:bottom w:val="single" w:sz="6" w:space="0" w:color="auto"/>
              <w:right w:val="single" w:sz="6" w:space="0" w:color="auto"/>
            </w:tcBorders>
          </w:tcPr>
          <w:p w14:paraId="69680F4F" w14:textId="77777777" w:rsidR="00AD5F95" w:rsidRDefault="00AD5F95" w:rsidP="009E7F73">
            <w:pPr>
              <w:pStyle w:val="TAL"/>
            </w:pPr>
          </w:p>
        </w:tc>
      </w:tr>
      <w:tr w:rsidR="00AD5F95" w14:paraId="645D9A62" w14:textId="77777777" w:rsidTr="009E7F73">
        <w:trPr>
          <w:jc w:val="center"/>
        </w:trPr>
        <w:tc>
          <w:tcPr>
            <w:tcW w:w="1702" w:type="dxa"/>
            <w:tcBorders>
              <w:top w:val="single" w:sz="6" w:space="0" w:color="auto"/>
              <w:left w:val="single" w:sz="6" w:space="0" w:color="auto"/>
              <w:bottom w:val="single" w:sz="6" w:space="0" w:color="auto"/>
              <w:right w:val="single" w:sz="6" w:space="0" w:color="auto"/>
            </w:tcBorders>
          </w:tcPr>
          <w:p w14:paraId="66395D32" w14:textId="77777777" w:rsidR="00AD5F95" w:rsidRDefault="00AD5F95" w:rsidP="009E7F73">
            <w:pPr>
              <w:pStyle w:val="TAL"/>
            </w:pPr>
            <w:r>
              <w:t>tgtUe</w:t>
            </w:r>
          </w:p>
        </w:tc>
        <w:tc>
          <w:tcPr>
            <w:tcW w:w="1444" w:type="dxa"/>
            <w:tcBorders>
              <w:top w:val="single" w:sz="6" w:space="0" w:color="auto"/>
              <w:left w:val="single" w:sz="6" w:space="0" w:color="auto"/>
              <w:bottom w:val="single" w:sz="6" w:space="0" w:color="auto"/>
              <w:right w:val="single" w:sz="6" w:space="0" w:color="auto"/>
            </w:tcBorders>
          </w:tcPr>
          <w:p w14:paraId="41B93C94" w14:textId="77777777" w:rsidR="00AD5F95" w:rsidRDefault="00AD5F95" w:rsidP="009E7F73">
            <w:pPr>
              <w:pStyle w:val="TAL"/>
            </w:pPr>
            <w:r>
              <w:t>TargetUeInformation</w:t>
            </w:r>
          </w:p>
        </w:tc>
        <w:tc>
          <w:tcPr>
            <w:tcW w:w="425" w:type="dxa"/>
            <w:tcBorders>
              <w:top w:val="single" w:sz="6" w:space="0" w:color="auto"/>
              <w:left w:val="single" w:sz="6" w:space="0" w:color="auto"/>
              <w:bottom w:val="single" w:sz="6" w:space="0" w:color="auto"/>
              <w:right w:val="single" w:sz="6" w:space="0" w:color="auto"/>
            </w:tcBorders>
          </w:tcPr>
          <w:p w14:paraId="7A55C571" w14:textId="77777777" w:rsidR="00AD5F95" w:rsidRDefault="00AD5F95" w:rsidP="009E7F73">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47846B6C" w14:textId="77777777" w:rsidR="00AD5F95" w:rsidRDefault="00AD5F95" w:rsidP="009E7F73">
            <w:pPr>
              <w:pStyle w:val="TAL"/>
            </w:pPr>
            <w:r>
              <w:t>0..1</w:t>
            </w:r>
          </w:p>
        </w:tc>
        <w:tc>
          <w:tcPr>
            <w:tcW w:w="2410" w:type="dxa"/>
            <w:tcBorders>
              <w:top w:val="single" w:sz="6" w:space="0" w:color="auto"/>
              <w:left w:val="single" w:sz="6" w:space="0" w:color="auto"/>
              <w:bottom w:val="single" w:sz="6" w:space="0" w:color="auto"/>
              <w:right w:val="single" w:sz="6" w:space="0" w:color="auto"/>
            </w:tcBorders>
          </w:tcPr>
          <w:p w14:paraId="3E19F350" w14:textId="77777777" w:rsidR="00AD5F95" w:rsidRDefault="00AD5F95" w:rsidP="009E7F73">
            <w:pPr>
              <w:keepNext/>
              <w:keepLines/>
              <w:spacing w:after="0"/>
              <w:rPr>
                <w:rFonts w:ascii="Arial" w:hAnsi="Arial"/>
                <w:sz w:val="18"/>
              </w:rPr>
            </w:pPr>
            <w:r w:rsidRPr="00DA2B25">
              <w:rPr>
                <w:rFonts w:ascii="Arial" w:hAnsi="Arial"/>
                <w:sz w:val="18"/>
              </w:rPr>
              <w:t>Identifies target UE information</w:t>
            </w:r>
            <w:r>
              <w:rPr>
                <w:rFonts w:ascii="Arial" w:hAnsi="Arial"/>
                <w:sz w:val="18"/>
              </w:rPr>
              <w:t>.</w:t>
            </w:r>
          </w:p>
          <w:p w14:paraId="04981F2E" w14:textId="77777777" w:rsidR="00AD5F95" w:rsidRPr="00DA2B25" w:rsidRDefault="00AD5F95" w:rsidP="009E7F73">
            <w:pPr>
              <w:keepNext/>
              <w:keepLines/>
              <w:spacing w:after="0"/>
              <w:rPr>
                <w:rFonts w:ascii="Arial" w:hAnsi="Arial"/>
                <w:sz w:val="18"/>
              </w:rPr>
            </w:pPr>
            <w:r>
              <w:rPr>
                <w:rFonts w:ascii="Arial" w:hAnsi="Arial"/>
                <w:sz w:val="18"/>
              </w:rPr>
              <w:t>(NOTE)</w:t>
            </w:r>
          </w:p>
        </w:tc>
        <w:tc>
          <w:tcPr>
            <w:tcW w:w="2410" w:type="dxa"/>
            <w:tcBorders>
              <w:top w:val="single" w:sz="6" w:space="0" w:color="auto"/>
              <w:left w:val="single" w:sz="6" w:space="0" w:color="auto"/>
              <w:bottom w:val="single" w:sz="6" w:space="0" w:color="auto"/>
              <w:right w:val="single" w:sz="6" w:space="0" w:color="auto"/>
            </w:tcBorders>
          </w:tcPr>
          <w:p w14:paraId="5AF0D664" w14:textId="77777777" w:rsidR="00AD5F95" w:rsidRDefault="00AD5F95" w:rsidP="009E7F73">
            <w:pPr>
              <w:pStyle w:val="TAL"/>
            </w:pPr>
          </w:p>
        </w:tc>
      </w:tr>
      <w:tr w:rsidR="00AD5F95" w14:paraId="2221EBE9" w14:textId="77777777" w:rsidTr="009E7F73">
        <w:trPr>
          <w:jc w:val="center"/>
        </w:trPr>
        <w:tc>
          <w:tcPr>
            <w:tcW w:w="1702" w:type="dxa"/>
          </w:tcPr>
          <w:p w14:paraId="75F89C8E" w14:textId="77777777" w:rsidR="00AD5F95" w:rsidRDefault="00AD5F95" w:rsidP="009E7F73">
            <w:pPr>
              <w:pStyle w:val="TAL"/>
            </w:pPr>
            <w:r>
              <w:t>suppFeat</w:t>
            </w:r>
          </w:p>
        </w:tc>
        <w:tc>
          <w:tcPr>
            <w:tcW w:w="1444" w:type="dxa"/>
          </w:tcPr>
          <w:p w14:paraId="5D9AF68F" w14:textId="77777777" w:rsidR="00AD5F95" w:rsidRDefault="00AD5F95" w:rsidP="009E7F73">
            <w:pPr>
              <w:pStyle w:val="TAL"/>
            </w:pPr>
            <w:r>
              <w:t>SupportedFeatures</w:t>
            </w:r>
          </w:p>
        </w:tc>
        <w:tc>
          <w:tcPr>
            <w:tcW w:w="425" w:type="dxa"/>
          </w:tcPr>
          <w:p w14:paraId="1CF1B946" w14:textId="77777777" w:rsidR="00AD5F95" w:rsidRDefault="00AD5F95" w:rsidP="009E7F73">
            <w:pPr>
              <w:pStyle w:val="TAC"/>
            </w:pPr>
            <w:r>
              <w:t>C</w:t>
            </w:r>
          </w:p>
        </w:tc>
        <w:tc>
          <w:tcPr>
            <w:tcW w:w="1134" w:type="dxa"/>
          </w:tcPr>
          <w:p w14:paraId="005D666F" w14:textId="77777777" w:rsidR="00AD5F95" w:rsidRDefault="00AD5F95" w:rsidP="009E7F73">
            <w:pPr>
              <w:pStyle w:val="TAL"/>
            </w:pPr>
            <w:r>
              <w:t>0..1</w:t>
            </w:r>
          </w:p>
        </w:tc>
        <w:tc>
          <w:tcPr>
            <w:tcW w:w="2410" w:type="dxa"/>
          </w:tcPr>
          <w:p w14:paraId="1A2F660D" w14:textId="77777777" w:rsidR="00AD5F95" w:rsidRDefault="00AD5F95" w:rsidP="009E7F73">
            <w:pPr>
              <w:pStyle w:val="TAL"/>
            </w:pPr>
            <w:r>
              <w:t>List of supported features used as described in clause 5.6.8.</w:t>
            </w:r>
          </w:p>
          <w:p w14:paraId="276ABD45" w14:textId="77777777" w:rsidR="00AD5F95" w:rsidRDefault="00AD5F95" w:rsidP="009E7F73">
            <w:pPr>
              <w:keepNext/>
              <w:keepLines/>
              <w:spacing w:after="0"/>
              <w:rPr>
                <w:rFonts w:ascii="Arial" w:hAnsi="Arial"/>
                <w:sz w:val="18"/>
              </w:rPr>
            </w:pPr>
            <w:r>
              <w:rPr>
                <w:rFonts w:ascii="Arial" w:hAnsi="Arial"/>
                <w:sz w:val="18"/>
              </w:rPr>
              <w:t>This attribute shall be present when feature negotiation needs to take place.</w:t>
            </w:r>
          </w:p>
        </w:tc>
        <w:tc>
          <w:tcPr>
            <w:tcW w:w="2410" w:type="dxa"/>
          </w:tcPr>
          <w:p w14:paraId="44EBB8EB" w14:textId="77777777" w:rsidR="00AD5F95" w:rsidRDefault="00AD5F95" w:rsidP="009E7F73">
            <w:pPr>
              <w:pStyle w:val="TAL"/>
            </w:pPr>
          </w:p>
        </w:tc>
      </w:tr>
      <w:tr w:rsidR="00AD5F95" w14:paraId="3AD26A56" w14:textId="77777777" w:rsidTr="009E7F73">
        <w:trPr>
          <w:jc w:val="center"/>
        </w:trPr>
        <w:tc>
          <w:tcPr>
            <w:tcW w:w="9525" w:type="dxa"/>
            <w:gridSpan w:val="6"/>
          </w:tcPr>
          <w:p w14:paraId="0A6409A3" w14:textId="77777777" w:rsidR="00AD5F95" w:rsidRDefault="00AD5F95" w:rsidP="009E7F73">
            <w:pPr>
              <w:pStyle w:val="TAN"/>
            </w:pPr>
            <w:r>
              <w:t>NOTE:</w:t>
            </w:r>
            <w:r>
              <w:tab/>
              <w:t xml:space="preserve">The values of the attributes </w:t>
            </w:r>
            <w:r w:rsidRPr="008E3200">
              <w:t>"</w:t>
            </w:r>
            <w:r>
              <w:t>mLEvent</w:t>
            </w:r>
            <w:r w:rsidRPr="008E3200">
              <w:t>"</w:t>
            </w:r>
            <w:r>
              <w:t xml:space="preserve">, </w:t>
            </w:r>
            <w:r w:rsidRPr="008E3200">
              <w:t>"</w:t>
            </w:r>
            <w:r>
              <w:t>mLEventFilter</w:t>
            </w:r>
            <w:r w:rsidRPr="008E3200">
              <w:t>"</w:t>
            </w:r>
            <w:r>
              <w:t xml:space="preserve"> and </w:t>
            </w:r>
            <w:r w:rsidRPr="008E3200">
              <w:t>"</w:t>
            </w:r>
            <w:r>
              <w:t>tgtUe</w:t>
            </w:r>
            <w:r w:rsidRPr="008E3200">
              <w:t>"</w:t>
            </w:r>
            <w:r>
              <w:t xml:space="preserve"> should match </w:t>
            </w:r>
            <w:r w:rsidRPr="008E3200">
              <w:t xml:space="preserve">the information </w:t>
            </w:r>
            <w:r>
              <w:t>that was provided by</w:t>
            </w:r>
            <w:r w:rsidRPr="008E3200">
              <w:t xml:space="preserve"> the NWDAF containing AnLF </w:t>
            </w:r>
            <w:r>
              <w:t>upon registering its capability of monitoring the ML model accuracy.</w:t>
            </w:r>
          </w:p>
        </w:tc>
      </w:tr>
    </w:tbl>
    <w:p w14:paraId="354640F5" w14:textId="77777777" w:rsidR="00AD5F95" w:rsidRDefault="00AD5F95" w:rsidP="00AD5F95">
      <w:pPr>
        <w:rPr>
          <w:lang w:val="en-US" w:eastAsia="zh-CN"/>
        </w:rPr>
      </w:pPr>
    </w:p>
    <w:p w14:paraId="6336B711" w14:textId="77777777" w:rsidR="003E1F9F" w:rsidRDefault="003E1F9F" w:rsidP="003E1F9F">
      <w:pPr>
        <w:pStyle w:val="5"/>
      </w:pPr>
      <w:bookmarkStart w:id="15717" w:name="_Toc191576663"/>
      <w:bookmarkStart w:id="15718" w:name="_Toc191577403"/>
      <w:bookmarkStart w:id="15719" w:name="_Toc192880473"/>
      <w:bookmarkStart w:id="15720" w:name="_Toc195815362"/>
      <w:bookmarkStart w:id="15721" w:name="_Toc199453329"/>
      <w:r>
        <w:lastRenderedPageBreak/>
        <w:t>5.6.6.2.4</w:t>
      </w:r>
      <w:r>
        <w:tab/>
        <w:t xml:space="preserve">Type </w:t>
      </w:r>
      <w:r>
        <w:rPr>
          <w:rFonts w:eastAsia="等线"/>
        </w:rPr>
        <w:t>MLModelMonitor</w:t>
      </w:r>
      <w:r>
        <w:rPr>
          <w:rFonts w:eastAsia="等线"/>
          <w:lang w:eastAsia="zh-CN"/>
        </w:rPr>
        <w:t>Notify</w:t>
      </w:r>
      <w:bookmarkEnd w:id="15711"/>
      <w:bookmarkEnd w:id="15712"/>
      <w:bookmarkEnd w:id="15713"/>
      <w:bookmarkEnd w:id="15714"/>
      <w:bookmarkEnd w:id="15715"/>
      <w:bookmarkEnd w:id="15716"/>
      <w:bookmarkEnd w:id="15717"/>
      <w:bookmarkEnd w:id="15718"/>
      <w:bookmarkEnd w:id="15719"/>
      <w:bookmarkEnd w:id="15720"/>
      <w:bookmarkEnd w:id="15721"/>
    </w:p>
    <w:p w14:paraId="4519ECA1" w14:textId="77777777" w:rsidR="00640768" w:rsidRDefault="00640768" w:rsidP="00640768">
      <w:pPr>
        <w:pStyle w:val="TH"/>
        <w:overflowPunct w:val="0"/>
        <w:autoSpaceDE w:val="0"/>
        <w:autoSpaceDN w:val="0"/>
        <w:adjustRightInd w:val="0"/>
        <w:textAlignment w:val="baseline"/>
        <w:rPr>
          <w:rFonts w:eastAsia="MS Mincho"/>
        </w:rPr>
      </w:pPr>
      <w:bookmarkStart w:id="15722" w:name="_Toc148523013"/>
      <w:bookmarkEnd w:id="15710"/>
      <w:r>
        <w:rPr>
          <w:rFonts w:eastAsia="MS Mincho"/>
        </w:rPr>
        <w:t xml:space="preserve">Table 5.6.6.2.4-1: Definition of type </w:t>
      </w:r>
      <w:r>
        <w:rPr>
          <w:rFonts w:eastAsia="等线"/>
        </w:rPr>
        <w:t>MLModelMonitor</w:t>
      </w:r>
      <w:r>
        <w:rPr>
          <w:rFonts w:eastAsia="等线"/>
          <w:lang w:eastAsia="zh-CN"/>
        </w:rPr>
        <w:t>Notify</w:t>
      </w:r>
    </w:p>
    <w:tbl>
      <w:tblPr>
        <w:tblW w:w="952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640768" w14:paraId="1D4FA1C3" w14:textId="77777777" w:rsidTr="002A71FE">
        <w:trPr>
          <w:jc w:val="center"/>
        </w:trPr>
        <w:tc>
          <w:tcPr>
            <w:tcW w:w="1702" w:type="dxa"/>
            <w:shd w:val="clear" w:color="auto" w:fill="C0C0C0"/>
          </w:tcPr>
          <w:p w14:paraId="0E97B415" w14:textId="77777777" w:rsidR="00640768" w:rsidRDefault="00640768" w:rsidP="002A71FE">
            <w:pPr>
              <w:pStyle w:val="TAH"/>
              <w:ind w:left="400" w:hanging="400"/>
            </w:pPr>
            <w:r>
              <w:t>Attribute name</w:t>
            </w:r>
          </w:p>
        </w:tc>
        <w:tc>
          <w:tcPr>
            <w:tcW w:w="1444" w:type="dxa"/>
            <w:shd w:val="clear" w:color="auto" w:fill="C0C0C0"/>
          </w:tcPr>
          <w:p w14:paraId="6CE44A11" w14:textId="77777777" w:rsidR="00640768" w:rsidRDefault="00640768" w:rsidP="002A71FE">
            <w:pPr>
              <w:pStyle w:val="TAH"/>
              <w:ind w:left="400" w:hanging="400"/>
            </w:pPr>
            <w:r>
              <w:t>Data type</w:t>
            </w:r>
          </w:p>
        </w:tc>
        <w:tc>
          <w:tcPr>
            <w:tcW w:w="425" w:type="dxa"/>
            <w:shd w:val="clear" w:color="auto" w:fill="C0C0C0"/>
          </w:tcPr>
          <w:p w14:paraId="0CFA501C" w14:textId="77777777" w:rsidR="00640768" w:rsidRDefault="00640768" w:rsidP="002A71FE">
            <w:pPr>
              <w:pStyle w:val="TAH"/>
              <w:ind w:left="400" w:hanging="400"/>
            </w:pPr>
            <w:r>
              <w:t>P</w:t>
            </w:r>
          </w:p>
        </w:tc>
        <w:tc>
          <w:tcPr>
            <w:tcW w:w="1134" w:type="dxa"/>
            <w:shd w:val="clear" w:color="auto" w:fill="C0C0C0"/>
          </w:tcPr>
          <w:p w14:paraId="79E0053B" w14:textId="77777777" w:rsidR="00640768" w:rsidRDefault="00640768" w:rsidP="002A71FE">
            <w:pPr>
              <w:pStyle w:val="TAH"/>
              <w:ind w:left="400" w:hanging="400"/>
              <w:jc w:val="left"/>
            </w:pPr>
            <w:r>
              <w:t>Cardinality</w:t>
            </w:r>
          </w:p>
        </w:tc>
        <w:tc>
          <w:tcPr>
            <w:tcW w:w="2410" w:type="dxa"/>
            <w:shd w:val="clear" w:color="auto" w:fill="C0C0C0"/>
          </w:tcPr>
          <w:p w14:paraId="22359814" w14:textId="77777777" w:rsidR="00640768" w:rsidRDefault="00640768" w:rsidP="002A71FE">
            <w:pPr>
              <w:pStyle w:val="TAH"/>
              <w:ind w:left="400" w:hanging="400"/>
              <w:rPr>
                <w:rFonts w:cs="Arial"/>
                <w:szCs w:val="18"/>
              </w:rPr>
            </w:pPr>
            <w:r>
              <w:rPr>
                <w:rFonts w:cs="Arial"/>
                <w:szCs w:val="18"/>
              </w:rPr>
              <w:t>Description</w:t>
            </w:r>
          </w:p>
        </w:tc>
        <w:tc>
          <w:tcPr>
            <w:tcW w:w="2410" w:type="dxa"/>
            <w:shd w:val="clear" w:color="auto" w:fill="C0C0C0"/>
          </w:tcPr>
          <w:p w14:paraId="7D18039D" w14:textId="77777777" w:rsidR="00640768" w:rsidRDefault="00640768" w:rsidP="002A71FE">
            <w:pPr>
              <w:pStyle w:val="TAH"/>
              <w:ind w:left="400" w:hanging="400"/>
              <w:rPr>
                <w:rFonts w:cs="Arial"/>
                <w:szCs w:val="18"/>
              </w:rPr>
            </w:pPr>
            <w:r>
              <w:rPr>
                <w:rFonts w:cs="Arial"/>
                <w:szCs w:val="18"/>
              </w:rPr>
              <w:t>Applicability</w:t>
            </w:r>
          </w:p>
        </w:tc>
      </w:tr>
      <w:tr w:rsidR="00640768" w14:paraId="74DA1AF9" w14:textId="77777777" w:rsidTr="002A71FE">
        <w:trPr>
          <w:jc w:val="center"/>
        </w:trPr>
        <w:tc>
          <w:tcPr>
            <w:tcW w:w="1702" w:type="dxa"/>
          </w:tcPr>
          <w:p w14:paraId="12FD75E8" w14:textId="77777777" w:rsidR="00640768" w:rsidRDefault="00640768" w:rsidP="002A71FE">
            <w:pPr>
              <w:pStyle w:val="TAL"/>
            </w:pPr>
            <w:r>
              <w:t>notifCorrId</w:t>
            </w:r>
          </w:p>
        </w:tc>
        <w:tc>
          <w:tcPr>
            <w:tcW w:w="1444" w:type="dxa"/>
          </w:tcPr>
          <w:p w14:paraId="20A10460" w14:textId="77777777" w:rsidR="00640768" w:rsidRDefault="00640768" w:rsidP="002A71FE">
            <w:pPr>
              <w:pStyle w:val="TAL"/>
            </w:pPr>
            <w:r>
              <w:t>string</w:t>
            </w:r>
          </w:p>
        </w:tc>
        <w:tc>
          <w:tcPr>
            <w:tcW w:w="425" w:type="dxa"/>
          </w:tcPr>
          <w:p w14:paraId="5C31881A" w14:textId="77777777" w:rsidR="00640768" w:rsidRDefault="00640768" w:rsidP="002A71FE">
            <w:pPr>
              <w:pStyle w:val="TAC"/>
              <w:rPr>
                <w:lang w:eastAsia="zh-CN"/>
              </w:rPr>
            </w:pPr>
            <w:r>
              <w:t>M</w:t>
            </w:r>
          </w:p>
        </w:tc>
        <w:tc>
          <w:tcPr>
            <w:tcW w:w="1134" w:type="dxa"/>
          </w:tcPr>
          <w:p w14:paraId="733F343E" w14:textId="77777777" w:rsidR="00640768" w:rsidRDefault="00640768" w:rsidP="002A71FE">
            <w:pPr>
              <w:pStyle w:val="TAL"/>
            </w:pPr>
            <w:r>
              <w:t>1</w:t>
            </w:r>
          </w:p>
        </w:tc>
        <w:tc>
          <w:tcPr>
            <w:tcW w:w="2410" w:type="dxa"/>
          </w:tcPr>
          <w:p w14:paraId="5AC436D1" w14:textId="77777777" w:rsidR="00640768" w:rsidRDefault="00640768" w:rsidP="002A71FE">
            <w:pPr>
              <w:pStyle w:val="TAL"/>
            </w:pPr>
            <w:r>
              <w:t>Notification correlation identifier.</w:t>
            </w:r>
          </w:p>
        </w:tc>
        <w:tc>
          <w:tcPr>
            <w:tcW w:w="2410" w:type="dxa"/>
          </w:tcPr>
          <w:p w14:paraId="3477D95A" w14:textId="77777777" w:rsidR="00640768" w:rsidRDefault="00640768" w:rsidP="002A71FE">
            <w:pPr>
              <w:pStyle w:val="TAL"/>
              <w:rPr>
                <w:rFonts w:cs="Arial"/>
                <w:szCs w:val="18"/>
              </w:rPr>
            </w:pPr>
          </w:p>
        </w:tc>
      </w:tr>
      <w:tr w:rsidR="00640768" w14:paraId="74E55F66" w14:textId="77777777" w:rsidTr="002A71FE">
        <w:trPr>
          <w:jc w:val="center"/>
        </w:trPr>
        <w:tc>
          <w:tcPr>
            <w:tcW w:w="1702" w:type="dxa"/>
          </w:tcPr>
          <w:p w14:paraId="6E49B505" w14:textId="77777777" w:rsidR="00640768" w:rsidRDefault="00640768" w:rsidP="002A71FE">
            <w:pPr>
              <w:pStyle w:val="TAL"/>
              <w:rPr>
                <w:lang w:eastAsia="zh-CN"/>
              </w:rPr>
            </w:pPr>
            <w:r>
              <w:rPr>
                <w:rFonts w:hint="eastAsia"/>
                <w:lang w:eastAsia="zh-CN"/>
              </w:rPr>
              <w:t>m</w:t>
            </w:r>
            <w:r>
              <w:rPr>
                <w:lang w:eastAsia="zh-CN"/>
              </w:rPr>
              <w:t>odelAccuInfos</w:t>
            </w:r>
          </w:p>
        </w:tc>
        <w:tc>
          <w:tcPr>
            <w:tcW w:w="1444" w:type="dxa"/>
          </w:tcPr>
          <w:p w14:paraId="1CB276AE" w14:textId="77777777" w:rsidR="00640768" w:rsidRDefault="00640768" w:rsidP="002A71FE">
            <w:pPr>
              <w:pStyle w:val="TAL"/>
            </w:pPr>
            <w:r>
              <w:rPr>
                <w:rFonts w:eastAsia="等线"/>
              </w:rPr>
              <w:t>array(MLModelAccuracyInfo)</w:t>
            </w:r>
          </w:p>
        </w:tc>
        <w:tc>
          <w:tcPr>
            <w:tcW w:w="425" w:type="dxa"/>
          </w:tcPr>
          <w:p w14:paraId="057FC06A" w14:textId="77777777" w:rsidR="00640768" w:rsidRDefault="00640768" w:rsidP="002A71FE">
            <w:pPr>
              <w:pStyle w:val="TAC"/>
              <w:rPr>
                <w:lang w:eastAsia="zh-CN"/>
              </w:rPr>
            </w:pPr>
            <w:r>
              <w:rPr>
                <w:rFonts w:hint="eastAsia"/>
                <w:lang w:eastAsia="zh-CN"/>
              </w:rPr>
              <w:t>C</w:t>
            </w:r>
          </w:p>
        </w:tc>
        <w:tc>
          <w:tcPr>
            <w:tcW w:w="1134" w:type="dxa"/>
          </w:tcPr>
          <w:p w14:paraId="110555C3" w14:textId="77777777" w:rsidR="00640768" w:rsidRDefault="00640768" w:rsidP="002A71FE">
            <w:pPr>
              <w:pStyle w:val="TAL"/>
              <w:rPr>
                <w:lang w:eastAsia="zh-CN"/>
              </w:rPr>
            </w:pPr>
            <w:r>
              <w:rPr>
                <w:lang w:eastAsia="zh-CN"/>
              </w:rPr>
              <w:t>1..N</w:t>
            </w:r>
          </w:p>
        </w:tc>
        <w:tc>
          <w:tcPr>
            <w:tcW w:w="2410" w:type="dxa"/>
          </w:tcPr>
          <w:p w14:paraId="14B7D69C" w14:textId="77777777" w:rsidR="00640768" w:rsidRDefault="00640768" w:rsidP="002A71FE">
            <w:pPr>
              <w:pStyle w:val="TAL"/>
            </w:pPr>
            <w:r>
              <w:t>The monitored accuracy information of the ML model.</w:t>
            </w:r>
          </w:p>
          <w:p w14:paraId="6BB0DE0F" w14:textId="77777777" w:rsidR="00640768" w:rsidRDefault="00640768" w:rsidP="002A71FE">
            <w:pPr>
              <w:pStyle w:val="TAL"/>
            </w:pPr>
            <w:r>
              <w:t>(NOTE)</w:t>
            </w:r>
          </w:p>
        </w:tc>
        <w:tc>
          <w:tcPr>
            <w:tcW w:w="2410" w:type="dxa"/>
          </w:tcPr>
          <w:p w14:paraId="7B43D8E9" w14:textId="77777777" w:rsidR="00640768" w:rsidRDefault="00640768" w:rsidP="002A71FE">
            <w:pPr>
              <w:pStyle w:val="TAL"/>
              <w:rPr>
                <w:rFonts w:cs="Arial"/>
                <w:szCs w:val="18"/>
              </w:rPr>
            </w:pPr>
          </w:p>
        </w:tc>
      </w:tr>
      <w:tr w:rsidR="00640768" w14:paraId="07992947" w14:textId="77777777" w:rsidTr="002A71FE">
        <w:trPr>
          <w:jc w:val="center"/>
        </w:trPr>
        <w:tc>
          <w:tcPr>
            <w:tcW w:w="1702" w:type="dxa"/>
          </w:tcPr>
          <w:p w14:paraId="1E89B688" w14:textId="77777777" w:rsidR="00640768" w:rsidRDefault="00640768" w:rsidP="002A71FE">
            <w:pPr>
              <w:pStyle w:val="TAL"/>
              <w:rPr>
                <w:lang w:eastAsia="zh-CN"/>
              </w:rPr>
            </w:pPr>
            <w:r>
              <w:rPr>
                <w:lang w:eastAsia="zh-CN"/>
              </w:rPr>
              <w:t>anaFeedbacks</w:t>
            </w:r>
          </w:p>
        </w:tc>
        <w:tc>
          <w:tcPr>
            <w:tcW w:w="1444" w:type="dxa"/>
          </w:tcPr>
          <w:p w14:paraId="242C373B" w14:textId="77777777" w:rsidR="00640768" w:rsidRDefault="00640768" w:rsidP="002A71FE">
            <w:pPr>
              <w:pStyle w:val="TAL"/>
            </w:pPr>
            <w:r>
              <w:rPr>
                <w:rFonts w:eastAsia="等线"/>
              </w:rPr>
              <w:t>array(AnalyticsFeedback)</w:t>
            </w:r>
          </w:p>
        </w:tc>
        <w:tc>
          <w:tcPr>
            <w:tcW w:w="425" w:type="dxa"/>
          </w:tcPr>
          <w:p w14:paraId="4F4F9246" w14:textId="77777777" w:rsidR="00640768" w:rsidRDefault="00640768" w:rsidP="002A71FE">
            <w:pPr>
              <w:pStyle w:val="TAC"/>
            </w:pPr>
            <w:r>
              <w:rPr>
                <w:rFonts w:hint="eastAsia"/>
                <w:lang w:eastAsia="zh-CN"/>
              </w:rPr>
              <w:t>C</w:t>
            </w:r>
          </w:p>
        </w:tc>
        <w:tc>
          <w:tcPr>
            <w:tcW w:w="1134" w:type="dxa"/>
          </w:tcPr>
          <w:p w14:paraId="3AAB57FA" w14:textId="77777777" w:rsidR="00640768" w:rsidRDefault="00640768" w:rsidP="002A71FE">
            <w:pPr>
              <w:pStyle w:val="TAL"/>
            </w:pPr>
            <w:r>
              <w:rPr>
                <w:lang w:eastAsia="zh-CN"/>
              </w:rPr>
              <w:t>1..N</w:t>
            </w:r>
          </w:p>
        </w:tc>
        <w:tc>
          <w:tcPr>
            <w:tcW w:w="2410" w:type="dxa"/>
          </w:tcPr>
          <w:p w14:paraId="5A5AF5C6" w14:textId="77777777" w:rsidR="00640768" w:rsidRDefault="00640768" w:rsidP="002A71FE">
            <w:pPr>
              <w:pStyle w:val="TAL"/>
            </w:pPr>
            <w:r>
              <w:t>The analytics feedback information.</w:t>
            </w:r>
          </w:p>
          <w:p w14:paraId="6E93929B" w14:textId="77777777" w:rsidR="00640768" w:rsidRDefault="00640768" w:rsidP="002A71FE">
            <w:pPr>
              <w:pStyle w:val="TAL"/>
            </w:pPr>
            <w:r>
              <w:t>(NOTE)</w:t>
            </w:r>
          </w:p>
        </w:tc>
        <w:tc>
          <w:tcPr>
            <w:tcW w:w="2410" w:type="dxa"/>
          </w:tcPr>
          <w:p w14:paraId="2E6C30CE" w14:textId="77777777" w:rsidR="00640768" w:rsidRDefault="00640768" w:rsidP="002A71FE">
            <w:pPr>
              <w:pStyle w:val="TAL"/>
              <w:rPr>
                <w:rFonts w:cs="Arial"/>
                <w:szCs w:val="18"/>
              </w:rPr>
            </w:pPr>
          </w:p>
        </w:tc>
      </w:tr>
      <w:tr w:rsidR="00640768" w:rsidDel="0030724C" w14:paraId="210B4DFC" w14:textId="77777777" w:rsidTr="002A71FE">
        <w:trPr>
          <w:jc w:val="center"/>
        </w:trPr>
        <w:tc>
          <w:tcPr>
            <w:tcW w:w="1702" w:type="dxa"/>
          </w:tcPr>
          <w:p w14:paraId="19D1457D" w14:textId="77777777" w:rsidR="00640768" w:rsidDel="0030724C" w:rsidRDefault="00640768" w:rsidP="002A71FE">
            <w:pPr>
              <w:pStyle w:val="TAL"/>
              <w:rPr>
                <w:lang w:eastAsia="zh-CN"/>
              </w:rPr>
            </w:pPr>
            <w:r>
              <w:rPr>
                <w:rFonts w:hint="eastAsia"/>
                <w:lang w:eastAsia="zh-CN"/>
              </w:rPr>
              <w:t>a</w:t>
            </w:r>
            <w:r>
              <w:rPr>
                <w:lang w:eastAsia="zh-CN"/>
              </w:rPr>
              <w:t>ccuMeetInd</w:t>
            </w:r>
          </w:p>
        </w:tc>
        <w:tc>
          <w:tcPr>
            <w:tcW w:w="1444" w:type="dxa"/>
          </w:tcPr>
          <w:p w14:paraId="0C6384D6" w14:textId="77777777" w:rsidR="00640768" w:rsidDel="0030724C" w:rsidRDefault="00640768" w:rsidP="002A71FE">
            <w:pPr>
              <w:pStyle w:val="TAL"/>
              <w:rPr>
                <w:rFonts w:eastAsia="等线"/>
                <w:lang w:eastAsia="zh-CN"/>
              </w:rPr>
            </w:pPr>
            <w:r>
              <w:rPr>
                <w:rFonts w:eastAsia="等线" w:hint="eastAsia"/>
                <w:lang w:eastAsia="zh-CN"/>
              </w:rPr>
              <w:t>b</w:t>
            </w:r>
            <w:r>
              <w:rPr>
                <w:rFonts w:eastAsia="等线"/>
                <w:lang w:eastAsia="zh-CN"/>
              </w:rPr>
              <w:t>oolean</w:t>
            </w:r>
          </w:p>
        </w:tc>
        <w:tc>
          <w:tcPr>
            <w:tcW w:w="425" w:type="dxa"/>
          </w:tcPr>
          <w:p w14:paraId="60EBB099" w14:textId="77777777" w:rsidR="00640768" w:rsidDel="0030724C" w:rsidRDefault="00640768" w:rsidP="002A71FE">
            <w:pPr>
              <w:pStyle w:val="TAC"/>
              <w:rPr>
                <w:lang w:eastAsia="zh-CN"/>
              </w:rPr>
            </w:pPr>
            <w:r>
              <w:rPr>
                <w:rFonts w:hint="eastAsia"/>
                <w:lang w:eastAsia="zh-CN"/>
              </w:rPr>
              <w:t>O</w:t>
            </w:r>
          </w:p>
        </w:tc>
        <w:tc>
          <w:tcPr>
            <w:tcW w:w="1134" w:type="dxa"/>
          </w:tcPr>
          <w:p w14:paraId="4CE2D9E3" w14:textId="77777777" w:rsidR="00640768" w:rsidDel="0030724C" w:rsidRDefault="00640768" w:rsidP="002A71FE">
            <w:pPr>
              <w:pStyle w:val="TAL"/>
            </w:pPr>
            <w:r>
              <w:t>0..1</w:t>
            </w:r>
          </w:p>
        </w:tc>
        <w:tc>
          <w:tcPr>
            <w:tcW w:w="2410" w:type="dxa"/>
          </w:tcPr>
          <w:p w14:paraId="35CDC06B" w14:textId="77777777" w:rsidR="00640768" w:rsidDel="0030724C" w:rsidRDefault="00640768" w:rsidP="002A71FE">
            <w:pPr>
              <w:pStyle w:val="TAL"/>
              <w:rPr>
                <w:lang w:eastAsia="zh-CN"/>
              </w:rPr>
            </w:pPr>
            <w:r>
              <w:rPr>
                <w:rFonts w:hint="eastAsia"/>
                <w:lang w:eastAsia="zh-CN"/>
              </w:rPr>
              <w:t>S</w:t>
            </w:r>
            <w:r>
              <w:rPr>
                <w:lang w:eastAsia="zh-CN"/>
              </w:rPr>
              <w:t xml:space="preserve">et to </w:t>
            </w:r>
            <w:r>
              <w:t>"</w:t>
            </w:r>
            <w:r>
              <w:rPr>
                <w:lang w:eastAsia="zh-CN"/>
              </w:rPr>
              <w:t>true</w:t>
            </w:r>
            <w:r>
              <w:t>"</w:t>
            </w:r>
            <w:r>
              <w:rPr>
                <w:lang w:eastAsia="zh-CN"/>
              </w:rPr>
              <w:t xml:space="preserve"> to indicate that</w:t>
            </w:r>
            <w:r>
              <w:t xml:space="preserve"> the analytics accuracy of the ML model meet the requirement of accuracy for the ML model</w:t>
            </w:r>
            <w:r>
              <w:rPr>
                <w:lang w:eastAsia="ja-JP"/>
              </w:rPr>
              <w:t>.</w:t>
            </w:r>
            <w:r>
              <w:t xml:space="preserve"> Otherwise, default value is </w:t>
            </w:r>
            <w:r>
              <w:rPr>
                <w:rFonts w:cs="Arial"/>
                <w:szCs w:val="18"/>
                <w:lang w:eastAsia="zh-CN"/>
              </w:rPr>
              <w:t>"</w:t>
            </w:r>
            <w:r>
              <w:t>false</w:t>
            </w:r>
            <w:r>
              <w:rPr>
                <w:rFonts w:cs="Arial"/>
                <w:szCs w:val="18"/>
                <w:lang w:eastAsia="zh-CN"/>
              </w:rPr>
              <w:t>"</w:t>
            </w:r>
            <w:r>
              <w:t xml:space="preserve"> if omitted.</w:t>
            </w:r>
          </w:p>
        </w:tc>
        <w:tc>
          <w:tcPr>
            <w:tcW w:w="2410" w:type="dxa"/>
          </w:tcPr>
          <w:p w14:paraId="315B9261" w14:textId="77777777" w:rsidR="00640768" w:rsidDel="0030724C" w:rsidRDefault="00640768" w:rsidP="002A71FE">
            <w:pPr>
              <w:pStyle w:val="TAL"/>
              <w:rPr>
                <w:rFonts w:cs="Arial"/>
                <w:szCs w:val="18"/>
              </w:rPr>
            </w:pPr>
          </w:p>
        </w:tc>
      </w:tr>
      <w:tr w:rsidR="00640768" w:rsidDel="0030724C" w14:paraId="26200476" w14:textId="77777777" w:rsidTr="002A71FE">
        <w:trPr>
          <w:jc w:val="center"/>
        </w:trPr>
        <w:tc>
          <w:tcPr>
            <w:tcW w:w="1702" w:type="dxa"/>
          </w:tcPr>
          <w:p w14:paraId="49BB7F9C" w14:textId="77777777" w:rsidR="00640768" w:rsidRDefault="00640768" w:rsidP="002A71FE">
            <w:pPr>
              <w:pStyle w:val="TAL"/>
              <w:rPr>
                <w:lang w:eastAsia="zh-CN"/>
              </w:rPr>
            </w:pPr>
            <w:r>
              <w:rPr>
                <w:lang w:eastAsia="zh-CN"/>
              </w:rPr>
              <w:t>mLEvent</w:t>
            </w:r>
          </w:p>
        </w:tc>
        <w:tc>
          <w:tcPr>
            <w:tcW w:w="1444" w:type="dxa"/>
          </w:tcPr>
          <w:p w14:paraId="391B4CF4" w14:textId="77777777" w:rsidR="00640768" w:rsidRDefault="00640768" w:rsidP="002A71FE">
            <w:pPr>
              <w:pStyle w:val="TAL"/>
              <w:rPr>
                <w:rFonts w:eastAsia="等线"/>
                <w:lang w:eastAsia="zh-CN"/>
              </w:rPr>
            </w:pPr>
            <w:r>
              <w:rPr>
                <w:rFonts w:eastAsia="等线"/>
                <w:lang w:eastAsia="zh-CN"/>
              </w:rPr>
              <w:t>NwdafEvent</w:t>
            </w:r>
          </w:p>
        </w:tc>
        <w:tc>
          <w:tcPr>
            <w:tcW w:w="425" w:type="dxa"/>
          </w:tcPr>
          <w:p w14:paraId="6763F8D7" w14:textId="77777777" w:rsidR="00640768" w:rsidRDefault="00640768" w:rsidP="002A71FE">
            <w:pPr>
              <w:pStyle w:val="TAC"/>
              <w:rPr>
                <w:lang w:eastAsia="zh-CN"/>
              </w:rPr>
            </w:pPr>
            <w:r>
              <w:rPr>
                <w:lang w:eastAsia="zh-CN"/>
              </w:rPr>
              <w:t>O</w:t>
            </w:r>
          </w:p>
        </w:tc>
        <w:tc>
          <w:tcPr>
            <w:tcW w:w="1134" w:type="dxa"/>
          </w:tcPr>
          <w:p w14:paraId="014E45E6" w14:textId="77777777" w:rsidR="00640768" w:rsidRDefault="00640768" w:rsidP="002A71FE">
            <w:pPr>
              <w:pStyle w:val="TAL"/>
            </w:pPr>
            <w:r>
              <w:t>0..1</w:t>
            </w:r>
          </w:p>
        </w:tc>
        <w:tc>
          <w:tcPr>
            <w:tcW w:w="2410" w:type="dxa"/>
          </w:tcPr>
          <w:p w14:paraId="32DC2A59" w14:textId="77777777" w:rsidR="00640768" w:rsidRDefault="00640768" w:rsidP="002A71FE">
            <w:pPr>
              <w:pStyle w:val="TAL"/>
              <w:rPr>
                <w:lang w:eastAsia="zh-CN"/>
              </w:rPr>
            </w:pPr>
            <w:r>
              <w:rPr>
                <w:lang w:eastAsia="zh-CN"/>
              </w:rPr>
              <w:t>Identifies the analytics for which this ML model is used.</w:t>
            </w:r>
          </w:p>
        </w:tc>
        <w:tc>
          <w:tcPr>
            <w:tcW w:w="2410" w:type="dxa"/>
          </w:tcPr>
          <w:p w14:paraId="43516F1A" w14:textId="77777777" w:rsidR="00640768" w:rsidDel="0030724C" w:rsidRDefault="00640768" w:rsidP="002A71FE">
            <w:pPr>
              <w:pStyle w:val="TAL"/>
              <w:rPr>
                <w:rFonts w:cs="Arial"/>
                <w:szCs w:val="18"/>
              </w:rPr>
            </w:pPr>
          </w:p>
        </w:tc>
      </w:tr>
      <w:tr w:rsidR="00640768" w:rsidDel="0030724C" w14:paraId="1A74742A" w14:textId="77777777" w:rsidTr="002A71FE">
        <w:trPr>
          <w:jc w:val="center"/>
        </w:trPr>
        <w:tc>
          <w:tcPr>
            <w:tcW w:w="1702" w:type="dxa"/>
          </w:tcPr>
          <w:p w14:paraId="3557F417" w14:textId="77777777" w:rsidR="00640768" w:rsidRDefault="00640768" w:rsidP="002A71FE">
            <w:pPr>
              <w:pStyle w:val="TAL"/>
              <w:rPr>
                <w:lang w:eastAsia="zh-CN"/>
              </w:rPr>
            </w:pPr>
            <w:r>
              <w:rPr>
                <w:lang w:eastAsia="zh-CN"/>
              </w:rPr>
              <w:t>mLEventFilter</w:t>
            </w:r>
          </w:p>
        </w:tc>
        <w:tc>
          <w:tcPr>
            <w:tcW w:w="1444" w:type="dxa"/>
          </w:tcPr>
          <w:p w14:paraId="0A3BEC4D" w14:textId="77777777" w:rsidR="00640768" w:rsidRDefault="00640768" w:rsidP="002A71FE">
            <w:pPr>
              <w:pStyle w:val="TAL"/>
              <w:rPr>
                <w:rFonts w:eastAsia="等线"/>
                <w:lang w:eastAsia="zh-CN"/>
              </w:rPr>
            </w:pPr>
            <w:r>
              <w:rPr>
                <w:rFonts w:eastAsia="等线"/>
                <w:lang w:eastAsia="zh-CN"/>
              </w:rPr>
              <w:t>EventFilter</w:t>
            </w:r>
          </w:p>
        </w:tc>
        <w:tc>
          <w:tcPr>
            <w:tcW w:w="425" w:type="dxa"/>
          </w:tcPr>
          <w:p w14:paraId="37E50690" w14:textId="77777777" w:rsidR="00640768" w:rsidRDefault="00640768" w:rsidP="002A71FE">
            <w:pPr>
              <w:pStyle w:val="TAC"/>
              <w:rPr>
                <w:lang w:eastAsia="zh-CN"/>
              </w:rPr>
            </w:pPr>
            <w:r>
              <w:rPr>
                <w:lang w:eastAsia="zh-CN"/>
              </w:rPr>
              <w:t>O</w:t>
            </w:r>
          </w:p>
        </w:tc>
        <w:tc>
          <w:tcPr>
            <w:tcW w:w="1134" w:type="dxa"/>
          </w:tcPr>
          <w:p w14:paraId="68398BD1" w14:textId="77777777" w:rsidR="00640768" w:rsidRDefault="00640768" w:rsidP="002A71FE">
            <w:pPr>
              <w:pStyle w:val="TAL"/>
            </w:pPr>
            <w:r>
              <w:t>0..1</w:t>
            </w:r>
          </w:p>
        </w:tc>
        <w:tc>
          <w:tcPr>
            <w:tcW w:w="2410" w:type="dxa"/>
          </w:tcPr>
          <w:p w14:paraId="02B5B209" w14:textId="77777777" w:rsidR="00640768" w:rsidRDefault="00640768" w:rsidP="002A71FE">
            <w:pPr>
              <w:pStyle w:val="TAL"/>
              <w:rPr>
                <w:lang w:eastAsia="zh-CN"/>
              </w:rPr>
            </w:pPr>
            <w:r>
              <w:rPr>
                <w:lang w:eastAsia="zh-CN"/>
              </w:rPr>
              <w:t>Identifies the analytics filter for the subscribed event.</w:t>
            </w:r>
          </w:p>
        </w:tc>
        <w:tc>
          <w:tcPr>
            <w:tcW w:w="2410" w:type="dxa"/>
          </w:tcPr>
          <w:p w14:paraId="0F7BC655" w14:textId="77777777" w:rsidR="00640768" w:rsidDel="0030724C" w:rsidRDefault="00640768" w:rsidP="002A71FE">
            <w:pPr>
              <w:pStyle w:val="TAL"/>
              <w:rPr>
                <w:rFonts w:cs="Arial"/>
                <w:szCs w:val="18"/>
              </w:rPr>
            </w:pPr>
          </w:p>
        </w:tc>
      </w:tr>
      <w:tr w:rsidR="00640768" w:rsidDel="0030724C" w14:paraId="0D334BFC" w14:textId="77777777" w:rsidTr="002A71FE">
        <w:trPr>
          <w:jc w:val="center"/>
        </w:trPr>
        <w:tc>
          <w:tcPr>
            <w:tcW w:w="1702" w:type="dxa"/>
          </w:tcPr>
          <w:p w14:paraId="00992C1B" w14:textId="77777777" w:rsidR="00640768" w:rsidRDefault="00640768" w:rsidP="002A71FE">
            <w:pPr>
              <w:pStyle w:val="TAL"/>
              <w:rPr>
                <w:lang w:eastAsia="zh-CN"/>
              </w:rPr>
            </w:pPr>
            <w:r>
              <w:rPr>
                <w:lang w:eastAsia="zh-CN"/>
              </w:rPr>
              <w:t>tgtUe</w:t>
            </w:r>
          </w:p>
        </w:tc>
        <w:tc>
          <w:tcPr>
            <w:tcW w:w="1444" w:type="dxa"/>
          </w:tcPr>
          <w:p w14:paraId="0F3DA7CE" w14:textId="77777777" w:rsidR="00640768" w:rsidRDefault="00640768" w:rsidP="002A71FE">
            <w:pPr>
              <w:pStyle w:val="TAL"/>
              <w:rPr>
                <w:rFonts w:eastAsia="等线"/>
                <w:lang w:eastAsia="zh-CN"/>
              </w:rPr>
            </w:pPr>
            <w:r>
              <w:rPr>
                <w:rFonts w:eastAsia="等线"/>
                <w:lang w:eastAsia="zh-CN"/>
              </w:rPr>
              <w:t>TargetUeInformation</w:t>
            </w:r>
          </w:p>
        </w:tc>
        <w:tc>
          <w:tcPr>
            <w:tcW w:w="425" w:type="dxa"/>
          </w:tcPr>
          <w:p w14:paraId="4B5B52D1" w14:textId="77777777" w:rsidR="00640768" w:rsidRDefault="00640768" w:rsidP="002A71FE">
            <w:pPr>
              <w:pStyle w:val="TAC"/>
              <w:rPr>
                <w:lang w:eastAsia="zh-CN"/>
              </w:rPr>
            </w:pPr>
            <w:r>
              <w:rPr>
                <w:lang w:eastAsia="zh-CN"/>
              </w:rPr>
              <w:t>O</w:t>
            </w:r>
          </w:p>
        </w:tc>
        <w:tc>
          <w:tcPr>
            <w:tcW w:w="1134" w:type="dxa"/>
          </w:tcPr>
          <w:p w14:paraId="0984FE1F" w14:textId="77777777" w:rsidR="00640768" w:rsidRDefault="00640768" w:rsidP="002A71FE">
            <w:pPr>
              <w:pStyle w:val="TAL"/>
            </w:pPr>
            <w:r>
              <w:t>0..1</w:t>
            </w:r>
          </w:p>
        </w:tc>
        <w:tc>
          <w:tcPr>
            <w:tcW w:w="2410" w:type="dxa"/>
          </w:tcPr>
          <w:p w14:paraId="4E15B37E" w14:textId="77777777" w:rsidR="00640768" w:rsidRDefault="00640768" w:rsidP="002A71FE">
            <w:pPr>
              <w:pStyle w:val="TAL"/>
              <w:rPr>
                <w:lang w:eastAsia="zh-CN"/>
              </w:rPr>
            </w:pPr>
            <w:r>
              <w:rPr>
                <w:rFonts w:cs="Arial"/>
                <w:szCs w:val="18"/>
              </w:rPr>
              <w:t>Identifies target UE information.</w:t>
            </w:r>
          </w:p>
        </w:tc>
        <w:tc>
          <w:tcPr>
            <w:tcW w:w="2410" w:type="dxa"/>
          </w:tcPr>
          <w:p w14:paraId="3193C683" w14:textId="77777777" w:rsidR="00640768" w:rsidDel="0030724C" w:rsidRDefault="00640768" w:rsidP="002A71FE">
            <w:pPr>
              <w:pStyle w:val="TAL"/>
              <w:rPr>
                <w:rFonts w:cs="Arial"/>
                <w:szCs w:val="18"/>
              </w:rPr>
            </w:pPr>
          </w:p>
        </w:tc>
      </w:tr>
      <w:tr w:rsidR="00640768" w14:paraId="2D01FB36" w14:textId="77777777" w:rsidTr="002A71FE">
        <w:trPr>
          <w:jc w:val="center"/>
        </w:trPr>
        <w:tc>
          <w:tcPr>
            <w:tcW w:w="9525" w:type="dxa"/>
            <w:gridSpan w:val="6"/>
          </w:tcPr>
          <w:p w14:paraId="03F6C576" w14:textId="77777777" w:rsidR="00640768" w:rsidRDefault="00640768" w:rsidP="002A71FE">
            <w:pPr>
              <w:pStyle w:val="TAN"/>
            </w:pPr>
            <w:r>
              <w:rPr>
                <w:rFonts w:cs="Arial"/>
                <w:szCs w:val="18"/>
              </w:rPr>
              <w:t>NOTE:</w:t>
            </w:r>
            <w:r>
              <w:rPr>
                <w:rFonts w:cs="Arial"/>
                <w:szCs w:val="18"/>
              </w:rPr>
              <w:tab/>
              <w:t>At least one of "</w:t>
            </w:r>
            <w:r>
              <w:rPr>
                <w:rFonts w:hint="eastAsia"/>
                <w:lang w:eastAsia="zh-CN"/>
              </w:rPr>
              <w:t>m</w:t>
            </w:r>
            <w:r>
              <w:rPr>
                <w:lang w:eastAsia="zh-CN"/>
              </w:rPr>
              <w:t>odelAccuInfos</w:t>
            </w:r>
            <w:r>
              <w:rPr>
                <w:rFonts w:cs="Arial"/>
                <w:szCs w:val="18"/>
              </w:rPr>
              <w:t>" and "anaFeedbacks" attributes shall be provided.</w:t>
            </w:r>
            <w:r w:rsidDel="008A5774">
              <w:rPr>
                <w:rFonts w:cs="Arial"/>
                <w:szCs w:val="18"/>
              </w:rPr>
              <w:t xml:space="preserve"> </w:t>
            </w:r>
          </w:p>
        </w:tc>
      </w:tr>
    </w:tbl>
    <w:p w14:paraId="400F1B10" w14:textId="77777777" w:rsidR="00640768" w:rsidRPr="001F007D" w:rsidRDefault="00640768" w:rsidP="00640768"/>
    <w:p w14:paraId="1E8E037D" w14:textId="77777777" w:rsidR="003E1F9F" w:rsidRDefault="003E1F9F" w:rsidP="003E1F9F">
      <w:pPr>
        <w:pStyle w:val="5"/>
      </w:pPr>
      <w:bookmarkStart w:id="15723" w:name="_Toc164921201"/>
      <w:bookmarkStart w:id="15724" w:name="_Toc170120743"/>
      <w:bookmarkStart w:id="15725" w:name="_Toc175858988"/>
      <w:bookmarkStart w:id="15726" w:name="_Toc175860061"/>
      <w:bookmarkStart w:id="15727" w:name="_Toc180606351"/>
      <w:bookmarkStart w:id="15728" w:name="_Toc185517612"/>
      <w:bookmarkStart w:id="15729" w:name="_Toc191576664"/>
      <w:bookmarkStart w:id="15730" w:name="_Toc191577404"/>
      <w:bookmarkStart w:id="15731" w:name="_Toc192880474"/>
      <w:bookmarkStart w:id="15732" w:name="_Toc195815363"/>
      <w:bookmarkStart w:id="15733" w:name="_Toc199453330"/>
      <w:r>
        <w:lastRenderedPageBreak/>
        <w:t>5.6.6.2.5</w:t>
      </w:r>
      <w:r>
        <w:tab/>
        <w:t xml:space="preserve">Type </w:t>
      </w:r>
      <w:r>
        <w:rPr>
          <w:rFonts w:eastAsia="等线"/>
        </w:rPr>
        <w:t>MLModelAccuracyInfo</w:t>
      </w:r>
      <w:bookmarkEnd w:id="15723"/>
      <w:bookmarkEnd w:id="15724"/>
      <w:bookmarkEnd w:id="15725"/>
      <w:bookmarkEnd w:id="15726"/>
      <w:bookmarkEnd w:id="15727"/>
      <w:bookmarkEnd w:id="15728"/>
      <w:bookmarkEnd w:id="15729"/>
      <w:bookmarkEnd w:id="15730"/>
      <w:bookmarkEnd w:id="15731"/>
      <w:bookmarkEnd w:id="15732"/>
      <w:bookmarkEnd w:id="15733"/>
    </w:p>
    <w:p w14:paraId="4928A19C" w14:textId="77777777" w:rsidR="003E1F9F" w:rsidRDefault="003E1F9F" w:rsidP="003E1F9F">
      <w:pPr>
        <w:pStyle w:val="TH"/>
        <w:overflowPunct w:val="0"/>
        <w:autoSpaceDE w:val="0"/>
        <w:autoSpaceDN w:val="0"/>
        <w:adjustRightInd w:val="0"/>
        <w:textAlignment w:val="baseline"/>
        <w:rPr>
          <w:rFonts w:eastAsia="MS Mincho"/>
        </w:rPr>
      </w:pPr>
      <w:r>
        <w:rPr>
          <w:rFonts w:eastAsia="MS Mincho"/>
        </w:rPr>
        <w:t xml:space="preserve">Table 5.6.6.2.5-1: Definition of type </w:t>
      </w:r>
      <w:r>
        <w:rPr>
          <w:rFonts w:eastAsia="等线"/>
        </w:rPr>
        <w:t>MLModelAccuracyInfo</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494"/>
        <w:gridCol w:w="487"/>
        <w:gridCol w:w="1067"/>
        <w:gridCol w:w="2512"/>
        <w:gridCol w:w="1349"/>
      </w:tblGrid>
      <w:tr w:rsidR="003E1F9F" w14:paraId="24BC2394" w14:textId="77777777" w:rsidTr="005A20DD">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tcPr>
          <w:p w14:paraId="36CCB749" w14:textId="77777777" w:rsidR="003E1F9F" w:rsidRDefault="003E1F9F" w:rsidP="005A20DD">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tcPr>
          <w:p w14:paraId="66A04EA6" w14:textId="77777777" w:rsidR="003E1F9F" w:rsidRDefault="003E1F9F" w:rsidP="005A20DD">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tcPr>
          <w:p w14:paraId="2EF61C0F" w14:textId="77777777" w:rsidR="003E1F9F" w:rsidRDefault="003E1F9F" w:rsidP="005A20DD">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tcPr>
          <w:p w14:paraId="329F388D" w14:textId="77777777" w:rsidR="003E1F9F" w:rsidRDefault="003E1F9F" w:rsidP="005A20DD">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tcPr>
          <w:p w14:paraId="21494F8B" w14:textId="77777777" w:rsidR="003E1F9F" w:rsidRDefault="003E1F9F" w:rsidP="005A20DD">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147D4491" w14:textId="77777777" w:rsidR="003E1F9F" w:rsidRDefault="003E1F9F" w:rsidP="005A20DD">
            <w:pPr>
              <w:pStyle w:val="TAH"/>
              <w:ind w:left="400" w:hanging="400"/>
              <w:rPr>
                <w:rFonts w:cs="Arial"/>
                <w:szCs w:val="18"/>
              </w:rPr>
            </w:pPr>
            <w:r>
              <w:rPr>
                <w:rFonts w:cs="Arial"/>
                <w:szCs w:val="18"/>
              </w:rPr>
              <w:t>Applicability</w:t>
            </w:r>
          </w:p>
        </w:tc>
      </w:tr>
      <w:tr w:rsidR="003E1F9F" w14:paraId="36A2213F" w14:textId="77777777" w:rsidTr="005A20DD">
        <w:trPr>
          <w:trHeight w:val="201"/>
          <w:jc w:val="center"/>
        </w:trPr>
        <w:tc>
          <w:tcPr>
            <w:tcW w:w="1657" w:type="dxa"/>
            <w:tcBorders>
              <w:top w:val="single" w:sz="6" w:space="0" w:color="auto"/>
              <w:left w:val="single" w:sz="6" w:space="0" w:color="auto"/>
              <w:bottom w:val="single" w:sz="6" w:space="0" w:color="auto"/>
              <w:right w:val="single" w:sz="6" w:space="0" w:color="auto"/>
            </w:tcBorders>
          </w:tcPr>
          <w:p w14:paraId="60ADA162" w14:textId="77777777" w:rsidR="003E1F9F" w:rsidRDefault="003E1F9F" w:rsidP="005A20DD">
            <w:pPr>
              <w:pStyle w:val="TAL"/>
              <w:rPr>
                <w:lang w:eastAsia="ja-JP"/>
              </w:rPr>
            </w:pPr>
            <w:r>
              <w:t>modelId</w:t>
            </w:r>
          </w:p>
        </w:tc>
        <w:tc>
          <w:tcPr>
            <w:tcW w:w="2494" w:type="dxa"/>
            <w:tcBorders>
              <w:top w:val="single" w:sz="6" w:space="0" w:color="auto"/>
              <w:left w:val="single" w:sz="6" w:space="0" w:color="auto"/>
              <w:bottom w:val="single" w:sz="6" w:space="0" w:color="auto"/>
              <w:right w:val="single" w:sz="6" w:space="0" w:color="auto"/>
            </w:tcBorders>
          </w:tcPr>
          <w:p w14:paraId="0015046C" w14:textId="77777777" w:rsidR="003E1F9F" w:rsidRDefault="003E1F9F" w:rsidP="005A20DD">
            <w:pPr>
              <w:pStyle w:val="TAL"/>
            </w:pPr>
            <w:r>
              <w:rPr>
                <w:rFonts w:eastAsia="等线"/>
              </w:rPr>
              <w:t>Uinteger</w:t>
            </w:r>
          </w:p>
        </w:tc>
        <w:tc>
          <w:tcPr>
            <w:tcW w:w="487" w:type="dxa"/>
            <w:tcBorders>
              <w:top w:val="single" w:sz="6" w:space="0" w:color="auto"/>
              <w:left w:val="single" w:sz="6" w:space="0" w:color="auto"/>
              <w:bottom w:val="single" w:sz="6" w:space="0" w:color="auto"/>
              <w:right w:val="single" w:sz="6" w:space="0" w:color="auto"/>
            </w:tcBorders>
          </w:tcPr>
          <w:p w14:paraId="41575237" w14:textId="77777777" w:rsidR="003E1F9F" w:rsidRDefault="003E1F9F" w:rsidP="005A20DD">
            <w:pPr>
              <w:pStyle w:val="TAL"/>
            </w:pPr>
            <w:r>
              <w:t>M</w:t>
            </w:r>
          </w:p>
        </w:tc>
        <w:tc>
          <w:tcPr>
            <w:tcW w:w="1067" w:type="dxa"/>
            <w:tcBorders>
              <w:top w:val="single" w:sz="6" w:space="0" w:color="auto"/>
              <w:left w:val="single" w:sz="6" w:space="0" w:color="auto"/>
              <w:bottom w:val="single" w:sz="6" w:space="0" w:color="auto"/>
              <w:right w:val="single" w:sz="6" w:space="0" w:color="auto"/>
            </w:tcBorders>
          </w:tcPr>
          <w:p w14:paraId="4DF9DD8D" w14:textId="77777777" w:rsidR="003E1F9F" w:rsidRDefault="003E1F9F" w:rsidP="005A20DD">
            <w:pPr>
              <w:pStyle w:val="TAL"/>
              <w:rPr>
                <w:rFonts w:eastAsia="Yu Mincho"/>
                <w:lang w:eastAsia="ja-JP"/>
              </w:rPr>
            </w:pPr>
            <w:r>
              <w:t>1</w:t>
            </w:r>
          </w:p>
        </w:tc>
        <w:tc>
          <w:tcPr>
            <w:tcW w:w="2512" w:type="dxa"/>
            <w:tcBorders>
              <w:top w:val="single" w:sz="6" w:space="0" w:color="auto"/>
              <w:left w:val="single" w:sz="6" w:space="0" w:color="auto"/>
              <w:bottom w:val="single" w:sz="6" w:space="0" w:color="auto"/>
              <w:right w:val="single" w:sz="6" w:space="0" w:color="auto"/>
            </w:tcBorders>
          </w:tcPr>
          <w:p w14:paraId="05B53BF9" w14:textId="77777777" w:rsidR="003E1F9F" w:rsidRDefault="003E1F9F" w:rsidP="005A20DD">
            <w:pPr>
              <w:pStyle w:val="TAL"/>
            </w:pPr>
            <w:r>
              <w:rPr>
                <w:lang w:eastAsia="zh-CN"/>
              </w:rPr>
              <w:t>The ML model ID.</w:t>
            </w:r>
          </w:p>
        </w:tc>
        <w:tc>
          <w:tcPr>
            <w:tcW w:w="1349" w:type="dxa"/>
            <w:tcBorders>
              <w:top w:val="single" w:sz="6" w:space="0" w:color="auto"/>
              <w:left w:val="single" w:sz="6" w:space="0" w:color="auto"/>
              <w:bottom w:val="single" w:sz="6" w:space="0" w:color="auto"/>
              <w:right w:val="single" w:sz="6" w:space="0" w:color="auto"/>
            </w:tcBorders>
          </w:tcPr>
          <w:p w14:paraId="14CA7974" w14:textId="77777777" w:rsidR="003E1F9F" w:rsidRDefault="003E1F9F" w:rsidP="005A20DD">
            <w:pPr>
              <w:pStyle w:val="TAL"/>
              <w:rPr>
                <w:rFonts w:cs="Arial"/>
                <w:szCs w:val="18"/>
              </w:rPr>
            </w:pPr>
          </w:p>
        </w:tc>
      </w:tr>
      <w:tr w:rsidR="003E1F9F" w14:paraId="20AF877A" w14:textId="77777777" w:rsidTr="005A20DD">
        <w:trPr>
          <w:trHeight w:val="201"/>
          <w:jc w:val="center"/>
        </w:trPr>
        <w:tc>
          <w:tcPr>
            <w:tcW w:w="1657" w:type="dxa"/>
            <w:tcBorders>
              <w:top w:val="single" w:sz="6" w:space="0" w:color="auto"/>
              <w:left w:val="single" w:sz="6" w:space="0" w:color="auto"/>
              <w:bottom w:val="single" w:sz="6" w:space="0" w:color="auto"/>
              <w:right w:val="single" w:sz="6" w:space="0" w:color="auto"/>
            </w:tcBorders>
          </w:tcPr>
          <w:p w14:paraId="04E23A05" w14:textId="77777777" w:rsidR="003E1F9F" w:rsidRDefault="003E1F9F" w:rsidP="005A20DD">
            <w:pPr>
              <w:pStyle w:val="TAL"/>
              <w:rPr>
                <w:lang w:eastAsia="zh-CN"/>
              </w:rPr>
            </w:pPr>
            <w:r>
              <w:t>mlModelAcc</w:t>
            </w:r>
          </w:p>
        </w:tc>
        <w:tc>
          <w:tcPr>
            <w:tcW w:w="2494" w:type="dxa"/>
            <w:tcBorders>
              <w:top w:val="single" w:sz="6" w:space="0" w:color="auto"/>
              <w:left w:val="single" w:sz="6" w:space="0" w:color="auto"/>
              <w:bottom w:val="single" w:sz="6" w:space="0" w:color="auto"/>
              <w:right w:val="single" w:sz="6" w:space="0" w:color="auto"/>
            </w:tcBorders>
          </w:tcPr>
          <w:p w14:paraId="75D873E8" w14:textId="77777777" w:rsidR="003E1F9F" w:rsidRDefault="003E1F9F" w:rsidP="005A20DD">
            <w:pPr>
              <w:pStyle w:val="TAL"/>
              <w:rPr>
                <w:rFonts w:eastAsia="等线"/>
                <w:lang w:eastAsia="zh-CN"/>
              </w:rPr>
            </w:pPr>
            <w:r>
              <w:t>Uinteger</w:t>
            </w:r>
          </w:p>
        </w:tc>
        <w:tc>
          <w:tcPr>
            <w:tcW w:w="487" w:type="dxa"/>
            <w:tcBorders>
              <w:top w:val="single" w:sz="6" w:space="0" w:color="auto"/>
              <w:left w:val="single" w:sz="6" w:space="0" w:color="auto"/>
              <w:bottom w:val="single" w:sz="6" w:space="0" w:color="auto"/>
              <w:right w:val="single" w:sz="6" w:space="0" w:color="auto"/>
            </w:tcBorders>
          </w:tcPr>
          <w:p w14:paraId="0BE37DED" w14:textId="77777777" w:rsidR="003E1F9F" w:rsidRDefault="003E1F9F" w:rsidP="005A20DD">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31629D47" w14:textId="77777777" w:rsidR="003E1F9F" w:rsidRDefault="003E1F9F" w:rsidP="005A20DD">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2F387EC4" w14:textId="77777777" w:rsidR="003E1F9F" w:rsidRDefault="003E1F9F" w:rsidP="005A20DD">
            <w:pPr>
              <w:pStyle w:val="TAL"/>
            </w:pPr>
            <w:r>
              <w:t>Indicates the accuracy of the ML model in percent.</w:t>
            </w:r>
          </w:p>
          <w:p w14:paraId="2563F41B" w14:textId="77777777" w:rsidR="003E1F9F" w:rsidRDefault="003E1F9F" w:rsidP="005A20DD">
            <w:pPr>
              <w:pStyle w:val="TAL"/>
              <w:rPr>
                <w:lang w:eastAsia="zh-CN"/>
              </w:rPr>
            </w:pPr>
            <w:r>
              <w:rPr>
                <w:rFonts w:cs="Arial"/>
                <w:szCs w:val="18"/>
                <w:lang w:eastAsia="zh-CN"/>
              </w:rPr>
              <w:t>Minimum = 0. Maximum = 100.</w:t>
            </w:r>
          </w:p>
        </w:tc>
        <w:tc>
          <w:tcPr>
            <w:tcW w:w="1349" w:type="dxa"/>
            <w:tcBorders>
              <w:top w:val="single" w:sz="6" w:space="0" w:color="auto"/>
              <w:left w:val="single" w:sz="6" w:space="0" w:color="auto"/>
              <w:bottom w:val="single" w:sz="6" w:space="0" w:color="auto"/>
              <w:right w:val="single" w:sz="6" w:space="0" w:color="auto"/>
            </w:tcBorders>
          </w:tcPr>
          <w:p w14:paraId="06986D8E" w14:textId="77777777" w:rsidR="003E1F9F" w:rsidRDefault="003E1F9F" w:rsidP="005A20DD">
            <w:pPr>
              <w:pStyle w:val="TAL"/>
              <w:rPr>
                <w:rFonts w:cs="Arial"/>
                <w:szCs w:val="18"/>
              </w:rPr>
            </w:pPr>
          </w:p>
        </w:tc>
      </w:tr>
      <w:tr w:rsidR="003E1F9F" w14:paraId="0CBEC7A4"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8ED1137" w14:textId="77777777" w:rsidR="003E1F9F" w:rsidRDefault="003E1F9F" w:rsidP="005A20DD">
            <w:pPr>
              <w:pStyle w:val="TAL"/>
              <w:rPr>
                <w:lang w:eastAsia="ja-JP"/>
              </w:rPr>
            </w:pPr>
            <w:r>
              <w:rPr>
                <w:rFonts w:hint="eastAsia"/>
                <w:lang w:eastAsia="zh-CN"/>
              </w:rPr>
              <w:t>d</w:t>
            </w:r>
            <w:r>
              <w:rPr>
                <w:lang w:eastAsia="zh-CN"/>
              </w:rPr>
              <w:t>eviation</w:t>
            </w:r>
          </w:p>
        </w:tc>
        <w:tc>
          <w:tcPr>
            <w:tcW w:w="2494" w:type="dxa"/>
            <w:tcBorders>
              <w:top w:val="single" w:sz="6" w:space="0" w:color="auto"/>
              <w:left w:val="single" w:sz="6" w:space="0" w:color="auto"/>
              <w:bottom w:val="single" w:sz="6" w:space="0" w:color="auto"/>
              <w:right w:val="single" w:sz="6" w:space="0" w:color="auto"/>
            </w:tcBorders>
          </w:tcPr>
          <w:p w14:paraId="09BA1FCF" w14:textId="77777777" w:rsidR="003E1F9F" w:rsidRDefault="003E1F9F" w:rsidP="005A20DD">
            <w:pPr>
              <w:pStyle w:val="TAL"/>
            </w:pPr>
            <w:r>
              <w:rPr>
                <w:rFonts w:hint="eastAsia"/>
                <w:lang w:eastAsia="zh-CN"/>
              </w:rPr>
              <w:t>F</w:t>
            </w:r>
            <w:r>
              <w:rPr>
                <w:lang w:eastAsia="zh-CN"/>
              </w:rPr>
              <w:t>loat</w:t>
            </w:r>
          </w:p>
        </w:tc>
        <w:tc>
          <w:tcPr>
            <w:tcW w:w="487" w:type="dxa"/>
            <w:tcBorders>
              <w:top w:val="single" w:sz="6" w:space="0" w:color="auto"/>
              <w:left w:val="single" w:sz="6" w:space="0" w:color="auto"/>
              <w:bottom w:val="single" w:sz="6" w:space="0" w:color="auto"/>
              <w:right w:val="single" w:sz="6" w:space="0" w:color="auto"/>
            </w:tcBorders>
          </w:tcPr>
          <w:p w14:paraId="4462FDD9" w14:textId="77777777" w:rsidR="003E1F9F" w:rsidRDefault="003E1F9F" w:rsidP="005A20DD">
            <w:pPr>
              <w:pStyle w:val="TAL"/>
            </w:pPr>
            <w:r>
              <w:rPr>
                <w:rFonts w:hint="eastAsia"/>
                <w:lang w:eastAsia="zh-CN"/>
              </w:rPr>
              <w:t>O</w:t>
            </w:r>
          </w:p>
        </w:tc>
        <w:tc>
          <w:tcPr>
            <w:tcW w:w="1067" w:type="dxa"/>
            <w:tcBorders>
              <w:top w:val="single" w:sz="6" w:space="0" w:color="auto"/>
              <w:left w:val="single" w:sz="6" w:space="0" w:color="auto"/>
              <w:bottom w:val="single" w:sz="6" w:space="0" w:color="auto"/>
              <w:right w:val="single" w:sz="6" w:space="0" w:color="auto"/>
            </w:tcBorders>
          </w:tcPr>
          <w:p w14:paraId="24B149C5" w14:textId="77777777" w:rsidR="003E1F9F" w:rsidRDefault="003E1F9F" w:rsidP="005A20DD">
            <w:pPr>
              <w:pStyle w:val="TAL"/>
              <w:rPr>
                <w:rFonts w:eastAsia="Yu Mincho"/>
                <w:lang w:eastAsia="ja-JP"/>
              </w:rPr>
            </w:pPr>
            <w:r>
              <w:rPr>
                <w:rFonts w:hint="eastAsia"/>
                <w:lang w:eastAsia="zh-CN"/>
              </w:rPr>
              <w:t>0</w:t>
            </w: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4067DF89" w14:textId="77777777" w:rsidR="003E1F9F" w:rsidRDefault="003E1F9F" w:rsidP="005A20DD">
            <w:pPr>
              <w:pStyle w:val="TAL"/>
            </w:pPr>
            <w:r>
              <w:rPr>
                <w:lang w:eastAsia="zh-CN"/>
              </w:rPr>
              <w:t xml:space="preserve">Indicates the </w:t>
            </w:r>
            <w:r>
              <w:t>deviation value of the predictions generated using the ML model from the ground truth data.</w:t>
            </w:r>
          </w:p>
        </w:tc>
        <w:tc>
          <w:tcPr>
            <w:tcW w:w="1349" w:type="dxa"/>
            <w:tcBorders>
              <w:top w:val="single" w:sz="6" w:space="0" w:color="auto"/>
              <w:left w:val="single" w:sz="6" w:space="0" w:color="auto"/>
              <w:bottom w:val="single" w:sz="6" w:space="0" w:color="auto"/>
              <w:right w:val="single" w:sz="6" w:space="0" w:color="auto"/>
            </w:tcBorders>
          </w:tcPr>
          <w:p w14:paraId="6BF763DB" w14:textId="77777777" w:rsidR="003E1F9F" w:rsidRDefault="003E1F9F" w:rsidP="005A20DD">
            <w:pPr>
              <w:pStyle w:val="TAL"/>
              <w:rPr>
                <w:rFonts w:cs="Arial"/>
                <w:szCs w:val="18"/>
              </w:rPr>
            </w:pPr>
          </w:p>
        </w:tc>
      </w:tr>
      <w:tr w:rsidR="003E1F9F" w14:paraId="7C1FB0B4"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0DFD9474" w14:textId="77777777" w:rsidR="003E1F9F" w:rsidRDefault="003E1F9F" w:rsidP="005A20DD">
            <w:pPr>
              <w:pStyle w:val="TAL"/>
              <w:rPr>
                <w:lang w:eastAsia="ja-JP"/>
              </w:rPr>
            </w:pPr>
            <w:r>
              <w:rPr>
                <w:lang w:eastAsia="zh-CN"/>
              </w:rPr>
              <w:t>inferenceNum</w:t>
            </w:r>
          </w:p>
        </w:tc>
        <w:tc>
          <w:tcPr>
            <w:tcW w:w="2494" w:type="dxa"/>
            <w:tcBorders>
              <w:top w:val="single" w:sz="6" w:space="0" w:color="auto"/>
              <w:left w:val="single" w:sz="6" w:space="0" w:color="auto"/>
              <w:bottom w:val="single" w:sz="6" w:space="0" w:color="auto"/>
              <w:right w:val="single" w:sz="6" w:space="0" w:color="auto"/>
            </w:tcBorders>
          </w:tcPr>
          <w:p w14:paraId="5434F09E" w14:textId="77777777" w:rsidR="003E1F9F" w:rsidRDefault="003E1F9F" w:rsidP="005A20DD">
            <w:pPr>
              <w:pStyle w:val="TAL"/>
            </w:pPr>
            <w:r>
              <w:rPr>
                <w:rFonts w:eastAsia="等线"/>
              </w:rPr>
              <w:t>Uinteger</w:t>
            </w:r>
          </w:p>
        </w:tc>
        <w:tc>
          <w:tcPr>
            <w:tcW w:w="487" w:type="dxa"/>
            <w:tcBorders>
              <w:top w:val="single" w:sz="6" w:space="0" w:color="auto"/>
              <w:left w:val="single" w:sz="6" w:space="0" w:color="auto"/>
              <w:bottom w:val="single" w:sz="6" w:space="0" w:color="auto"/>
              <w:right w:val="single" w:sz="6" w:space="0" w:color="auto"/>
            </w:tcBorders>
          </w:tcPr>
          <w:p w14:paraId="0DFFCC5F" w14:textId="77777777" w:rsidR="003E1F9F" w:rsidRDefault="003E1F9F" w:rsidP="005A20DD">
            <w:pPr>
              <w:pStyle w:val="TAL"/>
            </w:pPr>
            <w:r>
              <w:rPr>
                <w:rFonts w:hint="eastAsia"/>
                <w:lang w:eastAsia="zh-CN"/>
              </w:rPr>
              <w:t>O</w:t>
            </w:r>
          </w:p>
        </w:tc>
        <w:tc>
          <w:tcPr>
            <w:tcW w:w="1067" w:type="dxa"/>
            <w:tcBorders>
              <w:top w:val="single" w:sz="6" w:space="0" w:color="auto"/>
              <w:left w:val="single" w:sz="6" w:space="0" w:color="auto"/>
              <w:bottom w:val="single" w:sz="6" w:space="0" w:color="auto"/>
              <w:right w:val="single" w:sz="6" w:space="0" w:color="auto"/>
            </w:tcBorders>
          </w:tcPr>
          <w:p w14:paraId="29500C5D" w14:textId="77777777" w:rsidR="003E1F9F" w:rsidRDefault="003E1F9F" w:rsidP="005A20DD">
            <w:pPr>
              <w:pStyle w:val="TAL"/>
              <w:rPr>
                <w:rFonts w:eastAsia="Yu Mincho"/>
                <w:lang w:eastAsia="ja-JP"/>
              </w:rPr>
            </w:pPr>
            <w:r>
              <w:rPr>
                <w:rFonts w:hint="eastAsia"/>
                <w:lang w:eastAsia="zh-CN"/>
              </w:rPr>
              <w:t>0</w:t>
            </w:r>
            <w:r>
              <w:rPr>
                <w:lang w:eastAsia="zh-CN"/>
              </w:rPr>
              <w:t>..1</w:t>
            </w:r>
          </w:p>
        </w:tc>
        <w:tc>
          <w:tcPr>
            <w:tcW w:w="2512" w:type="dxa"/>
            <w:tcBorders>
              <w:top w:val="single" w:sz="6" w:space="0" w:color="auto"/>
              <w:left w:val="single" w:sz="6" w:space="0" w:color="auto"/>
              <w:bottom w:val="single" w:sz="6" w:space="0" w:color="auto"/>
              <w:right w:val="single" w:sz="6" w:space="0" w:color="auto"/>
            </w:tcBorders>
          </w:tcPr>
          <w:p w14:paraId="7EF719EF" w14:textId="77777777" w:rsidR="003E1F9F" w:rsidRDefault="003E1F9F" w:rsidP="005A20DD">
            <w:pPr>
              <w:pStyle w:val="TAL"/>
              <w:rPr>
                <w:rFonts w:cs="Arial"/>
                <w:szCs w:val="18"/>
                <w:lang w:eastAsia="zh-CN"/>
              </w:rPr>
            </w:pPr>
            <w:r>
              <w:t>The number of inferences that were performed during the time interval between Nnwdaf_MLModelMonitor_Register request and the Notify request or between the time of last Notification message and the time of the current Notification message.</w:t>
            </w:r>
          </w:p>
        </w:tc>
        <w:tc>
          <w:tcPr>
            <w:tcW w:w="1349" w:type="dxa"/>
            <w:tcBorders>
              <w:top w:val="single" w:sz="6" w:space="0" w:color="auto"/>
              <w:left w:val="single" w:sz="6" w:space="0" w:color="auto"/>
              <w:bottom w:val="single" w:sz="6" w:space="0" w:color="auto"/>
              <w:right w:val="single" w:sz="6" w:space="0" w:color="auto"/>
            </w:tcBorders>
          </w:tcPr>
          <w:p w14:paraId="68AAD0F8" w14:textId="77777777" w:rsidR="003E1F9F" w:rsidRDefault="003E1F9F" w:rsidP="005A20DD">
            <w:pPr>
              <w:pStyle w:val="TAL"/>
              <w:rPr>
                <w:rFonts w:cs="Arial"/>
                <w:szCs w:val="18"/>
              </w:rPr>
            </w:pPr>
          </w:p>
        </w:tc>
      </w:tr>
      <w:tr w:rsidR="003E1F9F" w14:paraId="41C2A4EB" w14:textId="77777777" w:rsidTr="005A20DD">
        <w:trPr>
          <w:trHeight w:val="176"/>
          <w:jc w:val="center"/>
        </w:trPr>
        <w:tc>
          <w:tcPr>
            <w:tcW w:w="1657" w:type="dxa"/>
            <w:tcBorders>
              <w:top w:val="single" w:sz="6" w:space="0" w:color="auto"/>
              <w:left w:val="single" w:sz="6" w:space="0" w:color="auto"/>
              <w:bottom w:val="single" w:sz="6" w:space="0" w:color="auto"/>
              <w:right w:val="single" w:sz="6" w:space="0" w:color="auto"/>
            </w:tcBorders>
          </w:tcPr>
          <w:p w14:paraId="66CAD7D5" w14:textId="77777777" w:rsidR="003E1F9F" w:rsidRDefault="003E1F9F" w:rsidP="005A20DD">
            <w:pPr>
              <w:pStyle w:val="TAL"/>
            </w:pPr>
            <w:r>
              <w:t>adrfId</w:t>
            </w:r>
          </w:p>
        </w:tc>
        <w:tc>
          <w:tcPr>
            <w:tcW w:w="2494" w:type="dxa"/>
            <w:tcBorders>
              <w:top w:val="single" w:sz="6" w:space="0" w:color="auto"/>
              <w:left w:val="single" w:sz="6" w:space="0" w:color="auto"/>
              <w:bottom w:val="single" w:sz="6" w:space="0" w:color="auto"/>
              <w:right w:val="single" w:sz="6" w:space="0" w:color="auto"/>
            </w:tcBorders>
          </w:tcPr>
          <w:p w14:paraId="0EC6FCB2" w14:textId="77777777" w:rsidR="003E1F9F" w:rsidRDefault="003E1F9F" w:rsidP="005A20DD">
            <w:pPr>
              <w:pStyle w:val="TAL"/>
            </w:pPr>
            <w:r>
              <w:t>NfInstanceId</w:t>
            </w:r>
          </w:p>
        </w:tc>
        <w:tc>
          <w:tcPr>
            <w:tcW w:w="487" w:type="dxa"/>
            <w:tcBorders>
              <w:top w:val="single" w:sz="6" w:space="0" w:color="auto"/>
              <w:left w:val="single" w:sz="6" w:space="0" w:color="auto"/>
              <w:bottom w:val="single" w:sz="6" w:space="0" w:color="auto"/>
              <w:right w:val="single" w:sz="6" w:space="0" w:color="auto"/>
            </w:tcBorders>
          </w:tcPr>
          <w:p w14:paraId="02D8E4E0" w14:textId="77777777" w:rsidR="003E1F9F" w:rsidRDefault="003E1F9F" w:rsidP="005A20DD">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55D11F4B" w14:textId="77777777" w:rsidR="003E1F9F" w:rsidRDefault="003E1F9F" w:rsidP="005A20DD">
            <w:pPr>
              <w:pStyle w:val="TAL"/>
            </w:pPr>
            <w:r>
              <w:rPr>
                <w:rFonts w:cs="Arial"/>
                <w:szCs w:val="18"/>
                <w:lang w:eastAsia="zh-CN"/>
              </w:rPr>
              <w:t>0..1</w:t>
            </w:r>
          </w:p>
        </w:tc>
        <w:tc>
          <w:tcPr>
            <w:tcW w:w="2512" w:type="dxa"/>
            <w:tcBorders>
              <w:top w:val="single" w:sz="6" w:space="0" w:color="auto"/>
              <w:left w:val="single" w:sz="6" w:space="0" w:color="auto"/>
              <w:bottom w:val="single" w:sz="6" w:space="0" w:color="auto"/>
              <w:right w:val="single" w:sz="6" w:space="0" w:color="auto"/>
            </w:tcBorders>
          </w:tcPr>
          <w:p w14:paraId="52AA69BF" w14:textId="77777777" w:rsidR="003E1F9F" w:rsidRDefault="003E1F9F" w:rsidP="005A20DD">
            <w:pPr>
              <w:pStyle w:val="TAL"/>
            </w:pPr>
            <w:r>
              <w:t>Identifier of the ADRF.</w:t>
            </w:r>
          </w:p>
          <w:p w14:paraId="6EA7ABA3" w14:textId="77777777" w:rsidR="003E1F9F" w:rsidRDefault="003E1F9F" w:rsidP="005A20DD">
            <w:pPr>
              <w:pStyle w:val="TAL"/>
              <w:rPr>
                <w:lang w:eastAsia="zh-CN"/>
              </w:rPr>
            </w:pPr>
            <w:r>
              <w:rPr>
                <w:rFonts w:hint="eastAsia"/>
                <w:lang w:eastAsia="zh-CN"/>
              </w:rPr>
              <w:t>(</w:t>
            </w:r>
            <w:r>
              <w:rPr>
                <w:lang w:eastAsia="zh-CN"/>
              </w:rPr>
              <w:t>NOTE)</w:t>
            </w:r>
          </w:p>
        </w:tc>
        <w:tc>
          <w:tcPr>
            <w:tcW w:w="1349" w:type="dxa"/>
            <w:tcBorders>
              <w:top w:val="single" w:sz="6" w:space="0" w:color="auto"/>
              <w:left w:val="single" w:sz="6" w:space="0" w:color="auto"/>
              <w:bottom w:val="single" w:sz="6" w:space="0" w:color="auto"/>
              <w:right w:val="single" w:sz="6" w:space="0" w:color="auto"/>
            </w:tcBorders>
          </w:tcPr>
          <w:p w14:paraId="31707198" w14:textId="77777777" w:rsidR="003E1F9F" w:rsidRDefault="003E1F9F" w:rsidP="005A20DD">
            <w:pPr>
              <w:pStyle w:val="TAL"/>
            </w:pPr>
          </w:p>
        </w:tc>
      </w:tr>
      <w:tr w:rsidR="003E1F9F" w14:paraId="444860AC" w14:textId="77777777" w:rsidTr="005A20DD">
        <w:trPr>
          <w:trHeight w:val="236"/>
          <w:jc w:val="center"/>
        </w:trPr>
        <w:tc>
          <w:tcPr>
            <w:tcW w:w="1657" w:type="dxa"/>
            <w:tcBorders>
              <w:top w:val="single" w:sz="6" w:space="0" w:color="auto"/>
              <w:left w:val="single" w:sz="6" w:space="0" w:color="auto"/>
              <w:bottom w:val="single" w:sz="6" w:space="0" w:color="auto"/>
              <w:right w:val="single" w:sz="6" w:space="0" w:color="auto"/>
            </w:tcBorders>
          </w:tcPr>
          <w:p w14:paraId="633D96E6" w14:textId="77777777" w:rsidR="003E1F9F" w:rsidRDefault="003E1F9F" w:rsidP="005A20DD">
            <w:pPr>
              <w:pStyle w:val="TAL"/>
            </w:pPr>
            <w:r>
              <w:t>adrfSetId</w:t>
            </w:r>
          </w:p>
        </w:tc>
        <w:tc>
          <w:tcPr>
            <w:tcW w:w="2494" w:type="dxa"/>
            <w:tcBorders>
              <w:top w:val="single" w:sz="6" w:space="0" w:color="auto"/>
              <w:left w:val="single" w:sz="6" w:space="0" w:color="auto"/>
              <w:bottom w:val="single" w:sz="6" w:space="0" w:color="auto"/>
              <w:right w:val="single" w:sz="6" w:space="0" w:color="auto"/>
            </w:tcBorders>
          </w:tcPr>
          <w:p w14:paraId="4CD2D2FD" w14:textId="77777777" w:rsidR="003E1F9F" w:rsidRDefault="003E1F9F" w:rsidP="005A20DD">
            <w:pPr>
              <w:pStyle w:val="TAL"/>
            </w:pPr>
            <w:r>
              <w:t>NfSetId</w:t>
            </w:r>
          </w:p>
        </w:tc>
        <w:tc>
          <w:tcPr>
            <w:tcW w:w="487" w:type="dxa"/>
            <w:tcBorders>
              <w:top w:val="single" w:sz="6" w:space="0" w:color="auto"/>
              <w:left w:val="single" w:sz="6" w:space="0" w:color="auto"/>
              <w:bottom w:val="single" w:sz="6" w:space="0" w:color="auto"/>
              <w:right w:val="single" w:sz="6" w:space="0" w:color="auto"/>
            </w:tcBorders>
          </w:tcPr>
          <w:p w14:paraId="4EF52128" w14:textId="77777777" w:rsidR="003E1F9F" w:rsidRDefault="003E1F9F" w:rsidP="005A20DD">
            <w:pPr>
              <w:pStyle w:val="TAL"/>
            </w:pPr>
            <w:r>
              <w:t>O</w:t>
            </w:r>
          </w:p>
        </w:tc>
        <w:tc>
          <w:tcPr>
            <w:tcW w:w="1067" w:type="dxa"/>
            <w:tcBorders>
              <w:top w:val="single" w:sz="6" w:space="0" w:color="auto"/>
              <w:left w:val="single" w:sz="6" w:space="0" w:color="auto"/>
              <w:bottom w:val="single" w:sz="6" w:space="0" w:color="auto"/>
              <w:right w:val="single" w:sz="6" w:space="0" w:color="auto"/>
            </w:tcBorders>
          </w:tcPr>
          <w:p w14:paraId="2D05CEEE" w14:textId="77777777" w:rsidR="003E1F9F" w:rsidRDefault="003E1F9F" w:rsidP="005A20DD">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52E03A4E" w14:textId="77777777" w:rsidR="003E1F9F" w:rsidRDefault="003E1F9F" w:rsidP="005A20DD">
            <w:pPr>
              <w:pStyle w:val="TAL"/>
            </w:pPr>
            <w:r>
              <w:t>Identifier of the ADRF Set.</w:t>
            </w:r>
          </w:p>
          <w:p w14:paraId="7F29A4DD" w14:textId="77777777" w:rsidR="003E1F9F" w:rsidRDefault="003E1F9F" w:rsidP="005A20DD">
            <w:pPr>
              <w:pStyle w:val="TAL"/>
              <w:rPr>
                <w:lang w:eastAsia="zh-CN"/>
              </w:rPr>
            </w:pPr>
            <w:r>
              <w:rPr>
                <w:rFonts w:hint="eastAsia"/>
                <w:lang w:eastAsia="zh-CN"/>
              </w:rPr>
              <w:t>(</w:t>
            </w:r>
            <w:r>
              <w:rPr>
                <w:lang w:eastAsia="zh-CN"/>
              </w:rPr>
              <w:t>NOTE)</w:t>
            </w:r>
          </w:p>
        </w:tc>
        <w:tc>
          <w:tcPr>
            <w:tcW w:w="1349" w:type="dxa"/>
            <w:tcBorders>
              <w:top w:val="single" w:sz="6" w:space="0" w:color="auto"/>
              <w:left w:val="single" w:sz="6" w:space="0" w:color="auto"/>
              <w:bottom w:val="single" w:sz="6" w:space="0" w:color="auto"/>
              <w:right w:val="single" w:sz="6" w:space="0" w:color="auto"/>
            </w:tcBorders>
          </w:tcPr>
          <w:p w14:paraId="7BA6AD04" w14:textId="77777777" w:rsidR="003E1F9F" w:rsidRDefault="003E1F9F" w:rsidP="005A20DD">
            <w:pPr>
              <w:pStyle w:val="TAL"/>
            </w:pPr>
          </w:p>
        </w:tc>
      </w:tr>
      <w:tr w:rsidR="003E1F9F" w14:paraId="27A60FCC"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7B187D1" w14:textId="77777777" w:rsidR="003E1F9F" w:rsidRDefault="003E1F9F" w:rsidP="005A20DD">
            <w:pPr>
              <w:pStyle w:val="TAL"/>
              <w:rPr>
                <w:lang w:eastAsia="zh-CN"/>
              </w:rPr>
            </w:pPr>
            <w:r>
              <w:t>dataSetTag</w:t>
            </w:r>
          </w:p>
        </w:tc>
        <w:tc>
          <w:tcPr>
            <w:tcW w:w="2494" w:type="dxa"/>
            <w:tcBorders>
              <w:top w:val="single" w:sz="6" w:space="0" w:color="auto"/>
              <w:left w:val="single" w:sz="6" w:space="0" w:color="auto"/>
              <w:bottom w:val="single" w:sz="6" w:space="0" w:color="auto"/>
              <w:right w:val="single" w:sz="6" w:space="0" w:color="auto"/>
            </w:tcBorders>
          </w:tcPr>
          <w:p w14:paraId="60B434E4" w14:textId="77777777" w:rsidR="003E1F9F" w:rsidRDefault="003E1F9F" w:rsidP="005A20DD">
            <w:pPr>
              <w:pStyle w:val="TAL"/>
            </w:pPr>
            <w:r>
              <w:t>DataSetTag</w:t>
            </w:r>
          </w:p>
        </w:tc>
        <w:tc>
          <w:tcPr>
            <w:tcW w:w="487" w:type="dxa"/>
            <w:tcBorders>
              <w:top w:val="single" w:sz="6" w:space="0" w:color="auto"/>
              <w:left w:val="single" w:sz="6" w:space="0" w:color="auto"/>
              <w:bottom w:val="single" w:sz="6" w:space="0" w:color="auto"/>
              <w:right w:val="single" w:sz="6" w:space="0" w:color="auto"/>
            </w:tcBorders>
          </w:tcPr>
          <w:p w14:paraId="7C5DF21B" w14:textId="77777777" w:rsidR="003E1F9F" w:rsidRDefault="003E1F9F" w:rsidP="005A20DD">
            <w:pPr>
              <w:pStyle w:val="TAL"/>
              <w:rPr>
                <w:rFonts w:cs="Arial"/>
                <w:szCs w:val="18"/>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3B1DE980" w14:textId="77777777" w:rsidR="003E1F9F" w:rsidRDefault="003E1F9F" w:rsidP="005A20DD">
            <w:pPr>
              <w:pStyle w:val="TAL"/>
              <w:rPr>
                <w:rFonts w:cs="Arial"/>
                <w:szCs w:val="18"/>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0593985D" w14:textId="77777777" w:rsidR="003E1F9F" w:rsidRDefault="003E1F9F" w:rsidP="005A20DD">
            <w:pPr>
              <w:pStyle w:val="TAL"/>
            </w:pPr>
            <w:r>
              <w:t xml:space="preserve">Data set tag of the data stored in ADRF which can be used by MTLF. This attribute may be present if the </w:t>
            </w:r>
            <w:r>
              <w:rPr>
                <w:rFonts w:cs="Arial"/>
                <w:szCs w:val="18"/>
              </w:rPr>
              <w:t>"</w:t>
            </w:r>
            <w:r>
              <w:t>adrfId</w:t>
            </w:r>
            <w:r>
              <w:rPr>
                <w:rFonts w:cs="Arial"/>
                <w:szCs w:val="18"/>
              </w:rPr>
              <w:t>"</w:t>
            </w:r>
            <w:r>
              <w:t xml:space="preserve"> or </w:t>
            </w:r>
            <w:r>
              <w:rPr>
                <w:rFonts w:cs="Arial"/>
                <w:szCs w:val="18"/>
              </w:rPr>
              <w:t>"</w:t>
            </w:r>
            <w:r>
              <w:t>adrfSetId</w:t>
            </w:r>
            <w:r>
              <w:rPr>
                <w:rFonts w:cs="Arial"/>
                <w:szCs w:val="18"/>
              </w:rPr>
              <w:t>"</w:t>
            </w:r>
            <w:r>
              <w:t xml:space="preserve"> attribute is present.</w:t>
            </w:r>
          </w:p>
        </w:tc>
        <w:tc>
          <w:tcPr>
            <w:tcW w:w="1349" w:type="dxa"/>
            <w:tcBorders>
              <w:top w:val="single" w:sz="6" w:space="0" w:color="auto"/>
              <w:left w:val="single" w:sz="6" w:space="0" w:color="auto"/>
              <w:bottom w:val="single" w:sz="6" w:space="0" w:color="auto"/>
              <w:right w:val="single" w:sz="6" w:space="0" w:color="auto"/>
            </w:tcBorders>
          </w:tcPr>
          <w:p w14:paraId="0A48D87E" w14:textId="77777777" w:rsidR="003E1F9F" w:rsidRDefault="003E1F9F" w:rsidP="005A20DD">
            <w:pPr>
              <w:pStyle w:val="TAL"/>
              <w:rPr>
                <w:rFonts w:cs="Arial"/>
                <w:szCs w:val="18"/>
              </w:rPr>
            </w:pPr>
          </w:p>
        </w:tc>
      </w:tr>
      <w:tr w:rsidR="003E1F9F" w14:paraId="30BAFB0B"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28B8DD87" w14:textId="77777777" w:rsidR="003E1F9F" w:rsidRDefault="003E1F9F" w:rsidP="005A20DD">
            <w:pPr>
              <w:pStyle w:val="TAL"/>
              <w:rPr>
                <w:lang w:eastAsia="zh-CN"/>
              </w:rPr>
            </w:pPr>
            <w:r>
              <w:t>modelMetric</w:t>
            </w:r>
          </w:p>
        </w:tc>
        <w:tc>
          <w:tcPr>
            <w:tcW w:w="2494" w:type="dxa"/>
            <w:tcBorders>
              <w:top w:val="single" w:sz="6" w:space="0" w:color="auto"/>
              <w:left w:val="single" w:sz="6" w:space="0" w:color="auto"/>
              <w:bottom w:val="single" w:sz="6" w:space="0" w:color="auto"/>
              <w:right w:val="single" w:sz="6" w:space="0" w:color="auto"/>
            </w:tcBorders>
          </w:tcPr>
          <w:p w14:paraId="57174468" w14:textId="77777777" w:rsidR="003E1F9F" w:rsidRDefault="003E1F9F" w:rsidP="005A20DD">
            <w:pPr>
              <w:pStyle w:val="TAL"/>
            </w:pPr>
            <w:r>
              <w:t>MLModelMetric</w:t>
            </w:r>
          </w:p>
        </w:tc>
        <w:tc>
          <w:tcPr>
            <w:tcW w:w="487" w:type="dxa"/>
            <w:tcBorders>
              <w:top w:val="single" w:sz="6" w:space="0" w:color="auto"/>
              <w:left w:val="single" w:sz="6" w:space="0" w:color="auto"/>
              <w:bottom w:val="single" w:sz="6" w:space="0" w:color="auto"/>
              <w:right w:val="single" w:sz="6" w:space="0" w:color="auto"/>
            </w:tcBorders>
          </w:tcPr>
          <w:p w14:paraId="32A824BF" w14:textId="77777777" w:rsidR="003E1F9F" w:rsidRDefault="003E1F9F" w:rsidP="005A20DD">
            <w:pPr>
              <w:pStyle w:val="TAL"/>
              <w:rPr>
                <w:rFonts w:cs="Arial"/>
                <w:szCs w:val="18"/>
                <w:lang w:eastAsia="zh-CN"/>
              </w:rPr>
            </w:pPr>
            <w:r>
              <w:t>O</w:t>
            </w:r>
          </w:p>
        </w:tc>
        <w:tc>
          <w:tcPr>
            <w:tcW w:w="1067" w:type="dxa"/>
            <w:tcBorders>
              <w:top w:val="single" w:sz="6" w:space="0" w:color="auto"/>
              <w:left w:val="single" w:sz="6" w:space="0" w:color="auto"/>
              <w:bottom w:val="single" w:sz="6" w:space="0" w:color="auto"/>
              <w:right w:val="single" w:sz="6" w:space="0" w:color="auto"/>
            </w:tcBorders>
          </w:tcPr>
          <w:p w14:paraId="77967A7E" w14:textId="77777777" w:rsidR="003E1F9F" w:rsidRDefault="003E1F9F" w:rsidP="005A20DD">
            <w:pPr>
              <w:pStyle w:val="TAL"/>
              <w:rPr>
                <w:rFonts w:cs="Arial"/>
                <w:szCs w:val="18"/>
                <w:lang w:eastAsia="zh-CN"/>
              </w:rPr>
            </w:pPr>
            <w:r>
              <w:t>0..1</w:t>
            </w:r>
          </w:p>
        </w:tc>
        <w:tc>
          <w:tcPr>
            <w:tcW w:w="2512" w:type="dxa"/>
            <w:tcBorders>
              <w:top w:val="single" w:sz="6" w:space="0" w:color="auto"/>
              <w:left w:val="single" w:sz="6" w:space="0" w:color="auto"/>
              <w:bottom w:val="single" w:sz="6" w:space="0" w:color="auto"/>
              <w:right w:val="single" w:sz="6" w:space="0" w:color="auto"/>
            </w:tcBorders>
          </w:tcPr>
          <w:p w14:paraId="62E61C12" w14:textId="77777777" w:rsidR="003E1F9F" w:rsidRDefault="003E1F9F" w:rsidP="005A20DD">
            <w:pPr>
              <w:pStyle w:val="TAL"/>
            </w:pPr>
            <w:r>
              <w:rPr>
                <w:lang w:eastAsia="ja-JP"/>
              </w:rPr>
              <w:t>The ML model metrics to calculate the accuracy information.</w:t>
            </w:r>
          </w:p>
        </w:tc>
        <w:tc>
          <w:tcPr>
            <w:tcW w:w="1349" w:type="dxa"/>
            <w:tcBorders>
              <w:top w:val="single" w:sz="6" w:space="0" w:color="auto"/>
              <w:left w:val="single" w:sz="6" w:space="0" w:color="auto"/>
              <w:bottom w:val="single" w:sz="6" w:space="0" w:color="auto"/>
              <w:right w:val="single" w:sz="6" w:space="0" w:color="auto"/>
            </w:tcBorders>
          </w:tcPr>
          <w:p w14:paraId="30CFD8C0" w14:textId="77777777" w:rsidR="003E1F9F" w:rsidRDefault="003E1F9F" w:rsidP="005A20DD">
            <w:pPr>
              <w:pStyle w:val="TAL"/>
              <w:rPr>
                <w:rFonts w:cs="Arial"/>
                <w:szCs w:val="18"/>
              </w:rPr>
            </w:pPr>
          </w:p>
        </w:tc>
      </w:tr>
      <w:tr w:rsidR="003E1F9F" w14:paraId="59BC5A17" w14:textId="77777777" w:rsidTr="005A20DD">
        <w:trPr>
          <w:trHeight w:val="420"/>
          <w:jc w:val="center"/>
        </w:trPr>
        <w:tc>
          <w:tcPr>
            <w:tcW w:w="1657" w:type="dxa"/>
            <w:tcBorders>
              <w:top w:val="single" w:sz="6" w:space="0" w:color="auto"/>
              <w:left w:val="single" w:sz="6" w:space="0" w:color="auto"/>
              <w:bottom w:val="single" w:sz="6" w:space="0" w:color="auto"/>
              <w:right w:val="single" w:sz="6" w:space="0" w:color="auto"/>
            </w:tcBorders>
          </w:tcPr>
          <w:p w14:paraId="103D9ECE" w14:textId="77777777" w:rsidR="003E1F9F" w:rsidRDefault="003E1F9F" w:rsidP="005A20DD">
            <w:pPr>
              <w:pStyle w:val="TAL"/>
            </w:pPr>
            <w:r>
              <w:rPr>
                <w:lang w:eastAsia="zh-CN"/>
              </w:rPr>
              <w:t>monitorInterval</w:t>
            </w:r>
          </w:p>
        </w:tc>
        <w:tc>
          <w:tcPr>
            <w:tcW w:w="2494" w:type="dxa"/>
            <w:tcBorders>
              <w:top w:val="single" w:sz="6" w:space="0" w:color="auto"/>
              <w:left w:val="single" w:sz="6" w:space="0" w:color="auto"/>
              <w:bottom w:val="single" w:sz="6" w:space="0" w:color="auto"/>
              <w:right w:val="single" w:sz="6" w:space="0" w:color="auto"/>
            </w:tcBorders>
          </w:tcPr>
          <w:p w14:paraId="2701F517" w14:textId="77777777" w:rsidR="003E1F9F" w:rsidRDefault="003E1F9F" w:rsidP="005A20DD">
            <w:pPr>
              <w:pStyle w:val="TAL"/>
            </w:pPr>
            <w:r>
              <w:rPr>
                <w:rFonts w:eastAsia="等线"/>
                <w:lang w:eastAsia="zh-CN"/>
              </w:rPr>
              <w:t>TimeWindow</w:t>
            </w:r>
          </w:p>
        </w:tc>
        <w:tc>
          <w:tcPr>
            <w:tcW w:w="487" w:type="dxa"/>
            <w:tcBorders>
              <w:top w:val="single" w:sz="6" w:space="0" w:color="auto"/>
              <w:left w:val="single" w:sz="6" w:space="0" w:color="auto"/>
              <w:bottom w:val="single" w:sz="6" w:space="0" w:color="auto"/>
              <w:right w:val="single" w:sz="6" w:space="0" w:color="auto"/>
            </w:tcBorders>
          </w:tcPr>
          <w:p w14:paraId="11244C4C" w14:textId="77777777" w:rsidR="003E1F9F" w:rsidRDefault="003E1F9F" w:rsidP="005A20DD">
            <w:pPr>
              <w:pStyle w:val="TAL"/>
            </w:pPr>
            <w:r>
              <w:rPr>
                <w:lang w:eastAsia="zh-CN"/>
              </w:rPr>
              <w:t>O</w:t>
            </w:r>
          </w:p>
        </w:tc>
        <w:tc>
          <w:tcPr>
            <w:tcW w:w="1067" w:type="dxa"/>
            <w:tcBorders>
              <w:top w:val="single" w:sz="6" w:space="0" w:color="auto"/>
              <w:left w:val="single" w:sz="6" w:space="0" w:color="auto"/>
              <w:bottom w:val="single" w:sz="6" w:space="0" w:color="auto"/>
              <w:right w:val="single" w:sz="6" w:space="0" w:color="auto"/>
            </w:tcBorders>
          </w:tcPr>
          <w:p w14:paraId="388FCA63" w14:textId="77777777" w:rsidR="003E1F9F" w:rsidRDefault="003E1F9F" w:rsidP="005A20DD">
            <w:pPr>
              <w:pStyle w:val="TAL"/>
            </w:pPr>
            <w:r>
              <w:t>0..1</w:t>
            </w:r>
          </w:p>
        </w:tc>
        <w:tc>
          <w:tcPr>
            <w:tcW w:w="2512" w:type="dxa"/>
            <w:tcBorders>
              <w:top w:val="single" w:sz="6" w:space="0" w:color="auto"/>
              <w:left w:val="single" w:sz="6" w:space="0" w:color="auto"/>
              <w:bottom w:val="single" w:sz="6" w:space="0" w:color="auto"/>
              <w:right w:val="single" w:sz="6" w:space="0" w:color="auto"/>
            </w:tcBorders>
          </w:tcPr>
          <w:p w14:paraId="7F541C71" w14:textId="77777777" w:rsidR="003E1F9F" w:rsidRDefault="003E1F9F" w:rsidP="005A20DD">
            <w:pPr>
              <w:pStyle w:val="TAL"/>
              <w:rPr>
                <w:lang w:eastAsia="ja-JP"/>
              </w:rPr>
            </w:pPr>
            <w:r>
              <w:rPr>
                <w:lang w:eastAsia="zh-CN"/>
              </w:rPr>
              <w:t>Repres</w:t>
            </w:r>
            <w:r>
              <w:t>ents the time interval during which the ML model accuracy monitoring was conducted.</w:t>
            </w:r>
          </w:p>
        </w:tc>
        <w:tc>
          <w:tcPr>
            <w:tcW w:w="1349" w:type="dxa"/>
            <w:tcBorders>
              <w:top w:val="single" w:sz="6" w:space="0" w:color="auto"/>
              <w:left w:val="single" w:sz="6" w:space="0" w:color="auto"/>
              <w:bottom w:val="single" w:sz="6" w:space="0" w:color="auto"/>
              <w:right w:val="single" w:sz="6" w:space="0" w:color="auto"/>
            </w:tcBorders>
          </w:tcPr>
          <w:p w14:paraId="58D40B24" w14:textId="77777777" w:rsidR="003E1F9F" w:rsidRDefault="003E1F9F" w:rsidP="005A20DD">
            <w:pPr>
              <w:pStyle w:val="TAL"/>
              <w:rPr>
                <w:rFonts w:cs="Arial"/>
                <w:szCs w:val="18"/>
              </w:rPr>
            </w:pPr>
          </w:p>
        </w:tc>
      </w:tr>
      <w:tr w:rsidR="003E1F9F" w14:paraId="05183047" w14:textId="77777777" w:rsidTr="005A20DD">
        <w:trPr>
          <w:trHeight w:val="210"/>
          <w:jc w:val="center"/>
        </w:trPr>
        <w:tc>
          <w:tcPr>
            <w:tcW w:w="9566" w:type="dxa"/>
            <w:gridSpan w:val="6"/>
            <w:tcBorders>
              <w:top w:val="single" w:sz="6" w:space="0" w:color="auto"/>
              <w:left w:val="single" w:sz="6" w:space="0" w:color="auto"/>
              <w:bottom w:val="single" w:sz="6" w:space="0" w:color="auto"/>
              <w:right w:val="single" w:sz="6" w:space="0" w:color="auto"/>
            </w:tcBorders>
          </w:tcPr>
          <w:p w14:paraId="29D9016B" w14:textId="77777777" w:rsidR="003E1F9F" w:rsidRDefault="003E1F9F" w:rsidP="005A20DD">
            <w:pPr>
              <w:pStyle w:val="TAN"/>
              <w:rPr>
                <w:rFonts w:cs="Arial"/>
                <w:szCs w:val="18"/>
              </w:rPr>
            </w:pPr>
            <w:r>
              <w:rPr>
                <w:rFonts w:eastAsia="等线"/>
              </w:rPr>
              <w:t>NOTE:</w:t>
            </w:r>
            <w:r>
              <w:rPr>
                <w:rFonts w:eastAsia="等线"/>
              </w:rPr>
              <w:tab/>
              <w:t>"adrfId" and "adrfSetId" are mutually exclusive.</w:t>
            </w:r>
          </w:p>
        </w:tc>
      </w:tr>
    </w:tbl>
    <w:p w14:paraId="0C00D56F" w14:textId="77777777" w:rsidR="003E1F9F" w:rsidRPr="008A5774" w:rsidRDefault="003E1F9F" w:rsidP="003E1F9F">
      <w:pPr>
        <w:rPr>
          <w:noProof/>
        </w:rPr>
      </w:pPr>
    </w:p>
    <w:p w14:paraId="1708BB4C" w14:textId="77777777" w:rsidR="00A10B25" w:rsidRDefault="00A10B25">
      <w:pPr>
        <w:pStyle w:val="5"/>
      </w:pPr>
      <w:bookmarkStart w:id="15734" w:name="_Toc164921202"/>
      <w:bookmarkStart w:id="15735" w:name="_Toc170120744"/>
      <w:bookmarkStart w:id="15736" w:name="_Toc175858989"/>
      <w:bookmarkStart w:id="15737" w:name="_Toc175860062"/>
      <w:bookmarkStart w:id="15738" w:name="_Toc180606352"/>
      <w:bookmarkStart w:id="15739" w:name="_Toc185517613"/>
      <w:bookmarkStart w:id="15740" w:name="_Toc191576665"/>
      <w:bookmarkStart w:id="15741" w:name="_Toc191577405"/>
      <w:bookmarkStart w:id="15742" w:name="_Toc192880475"/>
      <w:bookmarkStart w:id="15743" w:name="_Toc195815364"/>
      <w:bookmarkStart w:id="15744" w:name="_Toc199453331"/>
      <w:r>
        <w:t>5.6.6.2.6</w:t>
      </w:r>
      <w:r>
        <w:tab/>
        <w:t xml:space="preserve">Type </w:t>
      </w:r>
      <w:r>
        <w:rPr>
          <w:rFonts w:eastAsia="等线"/>
        </w:rPr>
        <w:t>AnalyticsFeedback</w:t>
      </w:r>
      <w:bookmarkEnd w:id="15722"/>
      <w:bookmarkEnd w:id="15734"/>
      <w:bookmarkEnd w:id="15735"/>
      <w:bookmarkEnd w:id="15736"/>
      <w:bookmarkEnd w:id="15737"/>
      <w:bookmarkEnd w:id="15738"/>
      <w:bookmarkEnd w:id="15739"/>
      <w:bookmarkEnd w:id="15740"/>
      <w:bookmarkEnd w:id="15741"/>
      <w:bookmarkEnd w:id="15742"/>
      <w:bookmarkEnd w:id="15743"/>
      <w:bookmarkEnd w:id="15744"/>
    </w:p>
    <w:p w14:paraId="45062063" w14:textId="77777777" w:rsidR="00164A54" w:rsidRDefault="00164A54" w:rsidP="00164A54">
      <w:pPr>
        <w:pStyle w:val="TH"/>
        <w:overflowPunct w:val="0"/>
        <w:autoSpaceDE w:val="0"/>
        <w:autoSpaceDN w:val="0"/>
        <w:adjustRightInd w:val="0"/>
        <w:textAlignment w:val="baseline"/>
        <w:rPr>
          <w:rFonts w:eastAsia="MS Mincho"/>
        </w:rPr>
      </w:pPr>
      <w:bookmarkStart w:id="15745" w:name="_Toc148523014"/>
      <w:bookmarkStart w:id="15746" w:name="_Toc164921203"/>
      <w:bookmarkStart w:id="15747" w:name="_Toc170120745"/>
      <w:bookmarkStart w:id="15748" w:name="_Toc175858990"/>
      <w:bookmarkStart w:id="15749" w:name="_Toc175860063"/>
      <w:bookmarkStart w:id="15750" w:name="_Toc180606353"/>
      <w:r>
        <w:rPr>
          <w:rFonts w:eastAsia="MS Mincho"/>
        </w:rPr>
        <w:t xml:space="preserve">Table 5.6.6.2.6-1: Definition of type </w:t>
      </w:r>
      <w:r>
        <w:rPr>
          <w:rFonts w:eastAsia="等线"/>
        </w:rPr>
        <w:t>AnalyticsFeedback</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7"/>
        <w:gridCol w:w="2494"/>
        <w:gridCol w:w="487"/>
        <w:gridCol w:w="1067"/>
        <w:gridCol w:w="2512"/>
        <w:gridCol w:w="1349"/>
      </w:tblGrid>
      <w:tr w:rsidR="00164A54" w14:paraId="375A6301" w14:textId="77777777" w:rsidTr="00164A54">
        <w:trPr>
          <w:trHeight w:val="209"/>
          <w:jc w:val="center"/>
        </w:trPr>
        <w:tc>
          <w:tcPr>
            <w:tcW w:w="1657" w:type="dxa"/>
            <w:tcBorders>
              <w:top w:val="single" w:sz="6" w:space="0" w:color="auto"/>
              <w:left w:val="single" w:sz="6" w:space="0" w:color="auto"/>
              <w:bottom w:val="single" w:sz="6" w:space="0" w:color="auto"/>
              <w:right w:val="single" w:sz="6" w:space="0" w:color="auto"/>
            </w:tcBorders>
            <w:shd w:val="clear" w:color="auto" w:fill="C0C0C0"/>
            <w:hideMark/>
          </w:tcPr>
          <w:p w14:paraId="17153E46" w14:textId="77777777" w:rsidR="00164A54" w:rsidRDefault="00164A54">
            <w:pPr>
              <w:pStyle w:val="TAH"/>
              <w:ind w:left="400" w:hanging="400"/>
            </w:pPr>
            <w:r>
              <w:t>Attribute name</w:t>
            </w:r>
          </w:p>
        </w:tc>
        <w:tc>
          <w:tcPr>
            <w:tcW w:w="2494" w:type="dxa"/>
            <w:tcBorders>
              <w:top w:val="single" w:sz="6" w:space="0" w:color="auto"/>
              <w:left w:val="single" w:sz="6" w:space="0" w:color="auto"/>
              <w:bottom w:val="single" w:sz="6" w:space="0" w:color="auto"/>
              <w:right w:val="single" w:sz="6" w:space="0" w:color="auto"/>
            </w:tcBorders>
            <w:shd w:val="clear" w:color="auto" w:fill="C0C0C0"/>
            <w:hideMark/>
          </w:tcPr>
          <w:p w14:paraId="2502C1C6" w14:textId="77777777" w:rsidR="00164A54" w:rsidRDefault="00164A54">
            <w:pPr>
              <w:pStyle w:val="TAH"/>
              <w:ind w:left="400" w:hanging="400"/>
            </w:pPr>
            <w:r>
              <w:t>Data type</w:t>
            </w:r>
          </w:p>
        </w:tc>
        <w:tc>
          <w:tcPr>
            <w:tcW w:w="487" w:type="dxa"/>
            <w:tcBorders>
              <w:top w:val="single" w:sz="6" w:space="0" w:color="auto"/>
              <w:left w:val="single" w:sz="6" w:space="0" w:color="auto"/>
              <w:bottom w:val="single" w:sz="6" w:space="0" w:color="auto"/>
              <w:right w:val="single" w:sz="6" w:space="0" w:color="auto"/>
            </w:tcBorders>
            <w:shd w:val="clear" w:color="auto" w:fill="C0C0C0"/>
            <w:hideMark/>
          </w:tcPr>
          <w:p w14:paraId="75D08133" w14:textId="77777777" w:rsidR="00164A54" w:rsidRDefault="00164A54">
            <w:pPr>
              <w:pStyle w:val="TAH"/>
              <w:ind w:left="400" w:hanging="400"/>
            </w:pPr>
            <w:r>
              <w:t>P</w:t>
            </w:r>
          </w:p>
        </w:tc>
        <w:tc>
          <w:tcPr>
            <w:tcW w:w="1067" w:type="dxa"/>
            <w:tcBorders>
              <w:top w:val="single" w:sz="6" w:space="0" w:color="auto"/>
              <w:left w:val="single" w:sz="6" w:space="0" w:color="auto"/>
              <w:bottom w:val="single" w:sz="6" w:space="0" w:color="auto"/>
              <w:right w:val="single" w:sz="6" w:space="0" w:color="auto"/>
            </w:tcBorders>
            <w:shd w:val="clear" w:color="auto" w:fill="C0C0C0"/>
            <w:hideMark/>
          </w:tcPr>
          <w:p w14:paraId="5AF96B2D" w14:textId="77777777" w:rsidR="00164A54" w:rsidRDefault="00164A54">
            <w:pPr>
              <w:pStyle w:val="TAH"/>
              <w:ind w:left="400" w:hanging="400"/>
            </w:pPr>
            <w:r>
              <w:t>Cardinality</w:t>
            </w:r>
          </w:p>
        </w:tc>
        <w:tc>
          <w:tcPr>
            <w:tcW w:w="2512" w:type="dxa"/>
            <w:tcBorders>
              <w:top w:val="single" w:sz="6" w:space="0" w:color="auto"/>
              <w:left w:val="single" w:sz="6" w:space="0" w:color="auto"/>
              <w:bottom w:val="single" w:sz="6" w:space="0" w:color="auto"/>
              <w:right w:val="single" w:sz="6" w:space="0" w:color="auto"/>
            </w:tcBorders>
            <w:shd w:val="clear" w:color="auto" w:fill="C0C0C0"/>
            <w:hideMark/>
          </w:tcPr>
          <w:p w14:paraId="2D917BAF" w14:textId="77777777" w:rsidR="00164A54" w:rsidRDefault="00164A54">
            <w:pPr>
              <w:pStyle w:val="TAH"/>
              <w:ind w:left="400" w:hanging="400"/>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4142B65A" w14:textId="77777777" w:rsidR="00164A54" w:rsidRDefault="00164A54">
            <w:pPr>
              <w:pStyle w:val="TAH"/>
              <w:ind w:left="400" w:hanging="400"/>
              <w:rPr>
                <w:rFonts w:cs="Arial"/>
                <w:szCs w:val="18"/>
              </w:rPr>
            </w:pPr>
            <w:r>
              <w:rPr>
                <w:rFonts w:cs="Arial"/>
                <w:szCs w:val="18"/>
              </w:rPr>
              <w:t>Applicability</w:t>
            </w:r>
          </w:p>
        </w:tc>
      </w:tr>
      <w:tr w:rsidR="00164A54" w14:paraId="677DF3A3" w14:textId="77777777" w:rsidTr="00164A54">
        <w:trPr>
          <w:trHeight w:val="201"/>
          <w:jc w:val="center"/>
        </w:trPr>
        <w:tc>
          <w:tcPr>
            <w:tcW w:w="1657" w:type="dxa"/>
            <w:tcBorders>
              <w:top w:val="single" w:sz="6" w:space="0" w:color="auto"/>
              <w:left w:val="single" w:sz="6" w:space="0" w:color="auto"/>
              <w:bottom w:val="single" w:sz="6" w:space="0" w:color="auto"/>
              <w:right w:val="single" w:sz="6" w:space="0" w:color="auto"/>
            </w:tcBorders>
            <w:hideMark/>
          </w:tcPr>
          <w:p w14:paraId="2194DBB5" w14:textId="77777777" w:rsidR="00164A54" w:rsidRDefault="00164A54">
            <w:pPr>
              <w:pStyle w:val="TAL"/>
              <w:rPr>
                <w:lang w:eastAsia="ja-JP"/>
              </w:rPr>
            </w:pPr>
            <w:r>
              <w:t>events</w:t>
            </w:r>
          </w:p>
        </w:tc>
        <w:tc>
          <w:tcPr>
            <w:tcW w:w="2494" w:type="dxa"/>
            <w:tcBorders>
              <w:top w:val="single" w:sz="6" w:space="0" w:color="auto"/>
              <w:left w:val="single" w:sz="6" w:space="0" w:color="auto"/>
              <w:bottom w:val="single" w:sz="6" w:space="0" w:color="auto"/>
              <w:right w:val="single" w:sz="6" w:space="0" w:color="auto"/>
            </w:tcBorders>
            <w:hideMark/>
          </w:tcPr>
          <w:p w14:paraId="66BD6706" w14:textId="77777777" w:rsidR="00164A54" w:rsidRDefault="00164A54">
            <w:pPr>
              <w:pStyle w:val="TAL"/>
            </w:pPr>
            <w:r>
              <w:t>array(NwdafEvent)</w:t>
            </w:r>
          </w:p>
        </w:tc>
        <w:tc>
          <w:tcPr>
            <w:tcW w:w="487" w:type="dxa"/>
            <w:tcBorders>
              <w:top w:val="single" w:sz="6" w:space="0" w:color="auto"/>
              <w:left w:val="single" w:sz="6" w:space="0" w:color="auto"/>
              <w:bottom w:val="single" w:sz="6" w:space="0" w:color="auto"/>
              <w:right w:val="single" w:sz="6" w:space="0" w:color="auto"/>
            </w:tcBorders>
            <w:hideMark/>
          </w:tcPr>
          <w:p w14:paraId="0B263AD5" w14:textId="77777777" w:rsidR="00164A54" w:rsidRDefault="00164A54">
            <w:pPr>
              <w:pStyle w:val="TAL"/>
            </w:pPr>
            <w:r>
              <w:t>M</w:t>
            </w:r>
          </w:p>
        </w:tc>
        <w:tc>
          <w:tcPr>
            <w:tcW w:w="1067" w:type="dxa"/>
            <w:tcBorders>
              <w:top w:val="single" w:sz="6" w:space="0" w:color="auto"/>
              <w:left w:val="single" w:sz="6" w:space="0" w:color="auto"/>
              <w:bottom w:val="single" w:sz="6" w:space="0" w:color="auto"/>
              <w:right w:val="single" w:sz="6" w:space="0" w:color="auto"/>
            </w:tcBorders>
            <w:hideMark/>
          </w:tcPr>
          <w:p w14:paraId="54ABB533" w14:textId="77777777" w:rsidR="00164A54" w:rsidRDefault="00164A54">
            <w:pPr>
              <w:pStyle w:val="TAL"/>
              <w:rPr>
                <w:rFonts w:eastAsia="Yu Mincho"/>
                <w:lang w:eastAsia="ja-JP"/>
              </w:rPr>
            </w:pPr>
            <w:r>
              <w:t>1</w:t>
            </w:r>
            <w:r>
              <w:rPr>
                <w:lang w:eastAsia="zh-CN"/>
              </w:rPr>
              <w:t>..N</w:t>
            </w:r>
          </w:p>
        </w:tc>
        <w:tc>
          <w:tcPr>
            <w:tcW w:w="2512" w:type="dxa"/>
            <w:tcBorders>
              <w:top w:val="single" w:sz="6" w:space="0" w:color="auto"/>
              <w:left w:val="single" w:sz="6" w:space="0" w:color="auto"/>
              <w:bottom w:val="single" w:sz="6" w:space="0" w:color="auto"/>
              <w:right w:val="single" w:sz="6" w:space="0" w:color="auto"/>
            </w:tcBorders>
            <w:hideMark/>
          </w:tcPr>
          <w:p w14:paraId="5A534BBA" w14:textId="77777777" w:rsidR="00164A54" w:rsidRDefault="00164A54">
            <w:pPr>
              <w:pStyle w:val="TAL"/>
            </w:pPr>
            <w:r>
              <w:t>Each element indicates the Analytics ID that has been used for taking action(s).</w:t>
            </w:r>
          </w:p>
        </w:tc>
        <w:tc>
          <w:tcPr>
            <w:tcW w:w="1349" w:type="dxa"/>
            <w:tcBorders>
              <w:top w:val="single" w:sz="6" w:space="0" w:color="auto"/>
              <w:left w:val="single" w:sz="6" w:space="0" w:color="auto"/>
              <w:bottom w:val="single" w:sz="6" w:space="0" w:color="auto"/>
              <w:right w:val="single" w:sz="6" w:space="0" w:color="auto"/>
            </w:tcBorders>
          </w:tcPr>
          <w:p w14:paraId="488D157B" w14:textId="77777777" w:rsidR="00164A54" w:rsidRDefault="00164A54">
            <w:pPr>
              <w:pStyle w:val="TAL"/>
              <w:rPr>
                <w:rFonts w:cs="Arial"/>
                <w:szCs w:val="18"/>
              </w:rPr>
            </w:pPr>
          </w:p>
        </w:tc>
      </w:tr>
      <w:tr w:rsidR="00164A54" w14:paraId="0098E005" w14:textId="77777777" w:rsidTr="00164A54">
        <w:trPr>
          <w:trHeight w:val="420"/>
          <w:jc w:val="center"/>
        </w:trPr>
        <w:tc>
          <w:tcPr>
            <w:tcW w:w="1657" w:type="dxa"/>
            <w:tcBorders>
              <w:top w:val="single" w:sz="6" w:space="0" w:color="auto"/>
              <w:left w:val="single" w:sz="6" w:space="0" w:color="auto"/>
              <w:bottom w:val="single" w:sz="6" w:space="0" w:color="auto"/>
              <w:right w:val="single" w:sz="6" w:space="0" w:color="auto"/>
            </w:tcBorders>
            <w:hideMark/>
          </w:tcPr>
          <w:p w14:paraId="65F899E4" w14:textId="77777777" w:rsidR="00164A54" w:rsidRDefault="00164A54">
            <w:pPr>
              <w:pStyle w:val="TAL"/>
              <w:rPr>
                <w:lang w:eastAsia="ja-JP"/>
              </w:rPr>
            </w:pPr>
            <w:r>
              <w:t>modelIds</w:t>
            </w:r>
          </w:p>
        </w:tc>
        <w:tc>
          <w:tcPr>
            <w:tcW w:w="2494" w:type="dxa"/>
            <w:tcBorders>
              <w:top w:val="single" w:sz="6" w:space="0" w:color="auto"/>
              <w:left w:val="single" w:sz="6" w:space="0" w:color="auto"/>
              <w:bottom w:val="single" w:sz="6" w:space="0" w:color="auto"/>
              <w:right w:val="single" w:sz="6" w:space="0" w:color="auto"/>
            </w:tcBorders>
            <w:hideMark/>
          </w:tcPr>
          <w:p w14:paraId="0D34AC54" w14:textId="77777777" w:rsidR="00164A54" w:rsidRDefault="00164A54">
            <w:pPr>
              <w:pStyle w:val="TAL"/>
            </w:pPr>
            <w:r>
              <w:t>array(</w:t>
            </w:r>
            <w:r>
              <w:rPr>
                <w:rFonts w:eastAsia="等线"/>
              </w:rPr>
              <w:t>Uinteger</w:t>
            </w:r>
            <w:r>
              <w:t>)</w:t>
            </w:r>
          </w:p>
        </w:tc>
        <w:tc>
          <w:tcPr>
            <w:tcW w:w="487" w:type="dxa"/>
            <w:tcBorders>
              <w:top w:val="single" w:sz="6" w:space="0" w:color="auto"/>
              <w:left w:val="single" w:sz="6" w:space="0" w:color="auto"/>
              <w:bottom w:val="single" w:sz="6" w:space="0" w:color="auto"/>
              <w:right w:val="single" w:sz="6" w:space="0" w:color="auto"/>
            </w:tcBorders>
            <w:hideMark/>
          </w:tcPr>
          <w:p w14:paraId="38C3C697" w14:textId="77777777" w:rsidR="00164A54" w:rsidRDefault="00164A54">
            <w:pPr>
              <w:pStyle w:val="TAL"/>
            </w:pPr>
            <w:r>
              <w:t>M</w:t>
            </w:r>
          </w:p>
        </w:tc>
        <w:tc>
          <w:tcPr>
            <w:tcW w:w="1067" w:type="dxa"/>
            <w:tcBorders>
              <w:top w:val="single" w:sz="6" w:space="0" w:color="auto"/>
              <w:left w:val="single" w:sz="6" w:space="0" w:color="auto"/>
              <w:bottom w:val="single" w:sz="6" w:space="0" w:color="auto"/>
              <w:right w:val="single" w:sz="6" w:space="0" w:color="auto"/>
            </w:tcBorders>
            <w:hideMark/>
          </w:tcPr>
          <w:p w14:paraId="49A671E9" w14:textId="77777777" w:rsidR="00164A54" w:rsidRDefault="00164A54">
            <w:pPr>
              <w:pStyle w:val="TAL"/>
              <w:rPr>
                <w:rFonts w:eastAsia="Yu Mincho"/>
                <w:lang w:eastAsia="ja-JP"/>
              </w:rPr>
            </w:pPr>
            <w:r>
              <w:t>1..N</w:t>
            </w:r>
          </w:p>
        </w:tc>
        <w:tc>
          <w:tcPr>
            <w:tcW w:w="2512" w:type="dxa"/>
            <w:tcBorders>
              <w:top w:val="single" w:sz="6" w:space="0" w:color="auto"/>
              <w:left w:val="single" w:sz="6" w:space="0" w:color="auto"/>
              <w:bottom w:val="single" w:sz="6" w:space="0" w:color="auto"/>
              <w:right w:val="single" w:sz="6" w:space="0" w:color="auto"/>
            </w:tcBorders>
            <w:hideMark/>
          </w:tcPr>
          <w:p w14:paraId="116CD66F" w14:textId="77777777" w:rsidR="00164A54" w:rsidRDefault="00164A54">
            <w:pPr>
              <w:pStyle w:val="TAL"/>
            </w:pPr>
            <w:r>
              <w:t>Each element indicate the ML Model identifier that has been used for taking action(s).</w:t>
            </w:r>
          </w:p>
        </w:tc>
        <w:tc>
          <w:tcPr>
            <w:tcW w:w="1349" w:type="dxa"/>
            <w:tcBorders>
              <w:top w:val="single" w:sz="6" w:space="0" w:color="auto"/>
              <w:left w:val="single" w:sz="6" w:space="0" w:color="auto"/>
              <w:bottom w:val="single" w:sz="6" w:space="0" w:color="auto"/>
              <w:right w:val="single" w:sz="6" w:space="0" w:color="auto"/>
            </w:tcBorders>
          </w:tcPr>
          <w:p w14:paraId="176B0B30" w14:textId="77777777" w:rsidR="00164A54" w:rsidRDefault="00164A54">
            <w:pPr>
              <w:pStyle w:val="TAL"/>
              <w:rPr>
                <w:rFonts w:cs="Arial"/>
                <w:szCs w:val="18"/>
              </w:rPr>
            </w:pPr>
          </w:p>
        </w:tc>
      </w:tr>
      <w:tr w:rsidR="00164A54" w14:paraId="78242A90" w14:textId="77777777" w:rsidTr="00164A54">
        <w:trPr>
          <w:trHeight w:val="420"/>
          <w:jc w:val="center"/>
        </w:trPr>
        <w:tc>
          <w:tcPr>
            <w:tcW w:w="1657" w:type="dxa"/>
            <w:tcBorders>
              <w:top w:val="single" w:sz="6" w:space="0" w:color="auto"/>
              <w:left w:val="single" w:sz="6" w:space="0" w:color="auto"/>
              <w:bottom w:val="single" w:sz="6" w:space="0" w:color="auto"/>
              <w:right w:val="single" w:sz="6" w:space="0" w:color="auto"/>
            </w:tcBorders>
            <w:hideMark/>
          </w:tcPr>
          <w:p w14:paraId="03D6E069" w14:textId="77777777" w:rsidR="00164A54" w:rsidRDefault="00164A54">
            <w:pPr>
              <w:pStyle w:val="TAL"/>
              <w:rPr>
                <w:lang w:eastAsia="ja-JP"/>
              </w:rPr>
            </w:pPr>
            <w:r>
              <w:rPr>
                <w:lang w:eastAsia="zh-CN"/>
              </w:rPr>
              <w:t>groundDataImpactInd</w:t>
            </w:r>
          </w:p>
        </w:tc>
        <w:tc>
          <w:tcPr>
            <w:tcW w:w="2494" w:type="dxa"/>
            <w:tcBorders>
              <w:top w:val="single" w:sz="6" w:space="0" w:color="auto"/>
              <w:left w:val="single" w:sz="6" w:space="0" w:color="auto"/>
              <w:bottom w:val="single" w:sz="6" w:space="0" w:color="auto"/>
              <w:right w:val="single" w:sz="6" w:space="0" w:color="auto"/>
            </w:tcBorders>
            <w:hideMark/>
          </w:tcPr>
          <w:p w14:paraId="656BBF49" w14:textId="77777777" w:rsidR="00164A54" w:rsidRDefault="00164A54">
            <w:pPr>
              <w:pStyle w:val="TAL"/>
            </w:pPr>
            <w:r>
              <w:rPr>
                <w:rFonts w:eastAsia="等线"/>
                <w:lang w:eastAsia="zh-CN"/>
              </w:rPr>
              <w:t>boolean</w:t>
            </w:r>
          </w:p>
        </w:tc>
        <w:tc>
          <w:tcPr>
            <w:tcW w:w="487" w:type="dxa"/>
            <w:tcBorders>
              <w:top w:val="single" w:sz="6" w:space="0" w:color="auto"/>
              <w:left w:val="single" w:sz="6" w:space="0" w:color="auto"/>
              <w:bottom w:val="single" w:sz="6" w:space="0" w:color="auto"/>
              <w:right w:val="single" w:sz="6" w:space="0" w:color="auto"/>
            </w:tcBorders>
            <w:hideMark/>
          </w:tcPr>
          <w:p w14:paraId="7196401F" w14:textId="77777777" w:rsidR="00164A54" w:rsidRDefault="00164A54">
            <w:pPr>
              <w:pStyle w:val="TAL"/>
            </w:pPr>
            <w:r>
              <w:rPr>
                <w:lang w:eastAsia="zh-CN"/>
              </w:rPr>
              <w:t>O</w:t>
            </w:r>
          </w:p>
        </w:tc>
        <w:tc>
          <w:tcPr>
            <w:tcW w:w="1067" w:type="dxa"/>
            <w:tcBorders>
              <w:top w:val="single" w:sz="6" w:space="0" w:color="auto"/>
              <w:left w:val="single" w:sz="6" w:space="0" w:color="auto"/>
              <w:bottom w:val="single" w:sz="6" w:space="0" w:color="auto"/>
              <w:right w:val="single" w:sz="6" w:space="0" w:color="auto"/>
            </w:tcBorders>
            <w:hideMark/>
          </w:tcPr>
          <w:p w14:paraId="2C26D5BB" w14:textId="77777777" w:rsidR="00164A54" w:rsidRDefault="00164A54">
            <w:pPr>
              <w:pStyle w:val="TAL"/>
              <w:rPr>
                <w:rFonts w:eastAsia="Yu Mincho"/>
                <w:lang w:eastAsia="ja-JP"/>
              </w:rPr>
            </w:pPr>
            <w:r>
              <w:t>0..1</w:t>
            </w:r>
          </w:p>
        </w:tc>
        <w:tc>
          <w:tcPr>
            <w:tcW w:w="2512" w:type="dxa"/>
            <w:tcBorders>
              <w:top w:val="single" w:sz="6" w:space="0" w:color="auto"/>
              <w:left w:val="single" w:sz="6" w:space="0" w:color="auto"/>
              <w:bottom w:val="single" w:sz="6" w:space="0" w:color="auto"/>
              <w:right w:val="single" w:sz="6" w:space="0" w:color="auto"/>
            </w:tcBorders>
            <w:hideMark/>
          </w:tcPr>
          <w:p w14:paraId="68E23322" w14:textId="77777777" w:rsidR="00164A54" w:rsidRDefault="00164A54">
            <w:pPr>
              <w:pStyle w:val="TAL"/>
              <w:rPr>
                <w:lang w:eastAsia="ja-JP"/>
              </w:rPr>
            </w:pPr>
            <w:r>
              <w:t>Indication whether the action will affect on ground truth data</w:t>
            </w:r>
            <w:r>
              <w:rPr>
                <w:lang w:eastAsia="ja-JP"/>
              </w:rPr>
              <w:t>.</w:t>
            </w:r>
          </w:p>
          <w:p w14:paraId="48D09523" w14:textId="77777777" w:rsidR="00164A54" w:rsidRDefault="00164A54">
            <w:pPr>
              <w:pStyle w:val="TAL"/>
              <w:rPr>
                <w:rFonts w:cs="Arial"/>
                <w:szCs w:val="18"/>
                <w:lang w:eastAsia="zh-CN"/>
              </w:rPr>
            </w:pPr>
            <w:r>
              <w:rPr>
                <w:lang w:eastAsia="zh-CN"/>
              </w:rPr>
              <w:t xml:space="preserve">Set to </w:t>
            </w:r>
            <w:r>
              <w:t>"</w:t>
            </w:r>
            <w:r>
              <w:rPr>
                <w:lang w:eastAsia="zh-CN"/>
              </w:rPr>
              <w:t>true</w:t>
            </w:r>
            <w:r>
              <w:t>"</w:t>
            </w:r>
            <w:r>
              <w:rPr>
                <w:lang w:eastAsia="zh-CN"/>
              </w:rPr>
              <w:t xml:space="preserve"> to indicate that </w:t>
            </w:r>
            <w:r>
              <w:t xml:space="preserve">the action will affect on ground truth data. Otherwise, default value is </w:t>
            </w:r>
            <w:r>
              <w:rPr>
                <w:rFonts w:cs="Arial"/>
                <w:szCs w:val="18"/>
                <w:lang w:eastAsia="zh-CN"/>
              </w:rPr>
              <w:t>"</w:t>
            </w:r>
            <w:r>
              <w:t>false</w:t>
            </w:r>
            <w:r>
              <w:rPr>
                <w:rFonts w:cs="Arial"/>
                <w:szCs w:val="18"/>
                <w:lang w:eastAsia="zh-CN"/>
              </w:rPr>
              <w:t>"</w:t>
            </w:r>
            <w:r>
              <w:t xml:space="preserve"> if omitted.</w:t>
            </w:r>
          </w:p>
        </w:tc>
        <w:tc>
          <w:tcPr>
            <w:tcW w:w="1349" w:type="dxa"/>
            <w:tcBorders>
              <w:top w:val="single" w:sz="6" w:space="0" w:color="auto"/>
              <w:left w:val="single" w:sz="6" w:space="0" w:color="auto"/>
              <w:bottom w:val="single" w:sz="6" w:space="0" w:color="auto"/>
              <w:right w:val="single" w:sz="6" w:space="0" w:color="auto"/>
            </w:tcBorders>
          </w:tcPr>
          <w:p w14:paraId="04F64E3D" w14:textId="77777777" w:rsidR="00164A54" w:rsidRDefault="00164A54">
            <w:pPr>
              <w:pStyle w:val="TAL"/>
              <w:rPr>
                <w:rFonts w:cs="Arial"/>
                <w:szCs w:val="18"/>
              </w:rPr>
            </w:pPr>
          </w:p>
        </w:tc>
      </w:tr>
      <w:tr w:rsidR="00164A54" w14:paraId="0E6689A8" w14:textId="77777777" w:rsidTr="00164A54">
        <w:trPr>
          <w:trHeight w:val="420"/>
          <w:jc w:val="center"/>
        </w:trPr>
        <w:tc>
          <w:tcPr>
            <w:tcW w:w="1657" w:type="dxa"/>
            <w:tcBorders>
              <w:top w:val="single" w:sz="6" w:space="0" w:color="auto"/>
              <w:left w:val="single" w:sz="6" w:space="0" w:color="auto"/>
              <w:bottom w:val="single" w:sz="6" w:space="0" w:color="auto"/>
              <w:right w:val="single" w:sz="6" w:space="0" w:color="auto"/>
            </w:tcBorders>
            <w:hideMark/>
          </w:tcPr>
          <w:p w14:paraId="1E81BD31" w14:textId="77777777" w:rsidR="00164A54" w:rsidRDefault="00164A54">
            <w:pPr>
              <w:pStyle w:val="TAL"/>
              <w:rPr>
                <w:lang w:eastAsia="zh-CN"/>
              </w:rPr>
            </w:pPr>
            <w:r>
              <w:rPr>
                <w:lang w:eastAsia="zh-CN"/>
              </w:rPr>
              <w:t>timeStamp</w:t>
            </w:r>
          </w:p>
        </w:tc>
        <w:tc>
          <w:tcPr>
            <w:tcW w:w="2494" w:type="dxa"/>
            <w:tcBorders>
              <w:top w:val="single" w:sz="6" w:space="0" w:color="auto"/>
              <w:left w:val="single" w:sz="6" w:space="0" w:color="auto"/>
              <w:bottom w:val="single" w:sz="6" w:space="0" w:color="auto"/>
              <w:right w:val="single" w:sz="6" w:space="0" w:color="auto"/>
            </w:tcBorders>
            <w:hideMark/>
          </w:tcPr>
          <w:p w14:paraId="7243C369" w14:textId="77777777" w:rsidR="00164A54" w:rsidRDefault="00164A54">
            <w:pPr>
              <w:pStyle w:val="TAL"/>
              <w:rPr>
                <w:rFonts w:eastAsia="等线"/>
                <w:lang w:eastAsia="zh-CN"/>
              </w:rPr>
            </w:pPr>
            <w:r>
              <w:t>DateTime</w:t>
            </w:r>
          </w:p>
        </w:tc>
        <w:tc>
          <w:tcPr>
            <w:tcW w:w="487" w:type="dxa"/>
            <w:tcBorders>
              <w:top w:val="single" w:sz="6" w:space="0" w:color="auto"/>
              <w:left w:val="single" w:sz="6" w:space="0" w:color="auto"/>
              <w:bottom w:val="single" w:sz="6" w:space="0" w:color="auto"/>
              <w:right w:val="single" w:sz="6" w:space="0" w:color="auto"/>
            </w:tcBorders>
            <w:hideMark/>
          </w:tcPr>
          <w:p w14:paraId="2CAC7F58" w14:textId="77777777" w:rsidR="00164A54" w:rsidRDefault="00164A54">
            <w:pPr>
              <w:pStyle w:val="TAL"/>
              <w:rPr>
                <w:lang w:eastAsia="zh-CN"/>
              </w:rPr>
            </w:pPr>
            <w:r>
              <w:t>O</w:t>
            </w:r>
          </w:p>
        </w:tc>
        <w:tc>
          <w:tcPr>
            <w:tcW w:w="1067" w:type="dxa"/>
            <w:tcBorders>
              <w:top w:val="single" w:sz="6" w:space="0" w:color="auto"/>
              <w:left w:val="single" w:sz="6" w:space="0" w:color="auto"/>
              <w:bottom w:val="single" w:sz="6" w:space="0" w:color="auto"/>
              <w:right w:val="single" w:sz="6" w:space="0" w:color="auto"/>
            </w:tcBorders>
            <w:hideMark/>
          </w:tcPr>
          <w:p w14:paraId="709E1188" w14:textId="77777777" w:rsidR="00164A54" w:rsidRDefault="00164A54">
            <w:pPr>
              <w:pStyle w:val="TAL"/>
            </w:pPr>
            <w:r>
              <w:t>0..1</w:t>
            </w:r>
          </w:p>
        </w:tc>
        <w:tc>
          <w:tcPr>
            <w:tcW w:w="2512" w:type="dxa"/>
            <w:tcBorders>
              <w:top w:val="single" w:sz="6" w:space="0" w:color="auto"/>
              <w:left w:val="single" w:sz="6" w:space="0" w:color="auto"/>
              <w:bottom w:val="single" w:sz="6" w:space="0" w:color="auto"/>
              <w:right w:val="single" w:sz="6" w:space="0" w:color="auto"/>
            </w:tcBorders>
            <w:hideMark/>
          </w:tcPr>
          <w:p w14:paraId="7B1381F1" w14:textId="77777777" w:rsidR="00164A54" w:rsidRDefault="00164A54">
            <w:pPr>
              <w:pStyle w:val="TAL"/>
            </w:pPr>
            <w:r>
              <w:t>Time stamp when the action was taken.</w:t>
            </w:r>
          </w:p>
        </w:tc>
        <w:tc>
          <w:tcPr>
            <w:tcW w:w="1349" w:type="dxa"/>
            <w:tcBorders>
              <w:top w:val="single" w:sz="6" w:space="0" w:color="auto"/>
              <w:left w:val="single" w:sz="6" w:space="0" w:color="auto"/>
              <w:bottom w:val="single" w:sz="6" w:space="0" w:color="auto"/>
              <w:right w:val="single" w:sz="6" w:space="0" w:color="auto"/>
            </w:tcBorders>
          </w:tcPr>
          <w:p w14:paraId="366CFE5A" w14:textId="77777777" w:rsidR="00164A54" w:rsidRDefault="00164A54">
            <w:pPr>
              <w:pStyle w:val="TAL"/>
              <w:rPr>
                <w:rFonts w:cs="Arial"/>
                <w:szCs w:val="18"/>
              </w:rPr>
            </w:pPr>
          </w:p>
        </w:tc>
      </w:tr>
    </w:tbl>
    <w:p w14:paraId="0EBBA609" w14:textId="77777777" w:rsidR="00164A54" w:rsidRDefault="00164A54" w:rsidP="00164A54">
      <w:pPr>
        <w:rPr>
          <w:lang w:eastAsia="zh-CN"/>
        </w:rPr>
      </w:pPr>
    </w:p>
    <w:p w14:paraId="4FDD5CFE" w14:textId="77777777" w:rsidR="00A10B25" w:rsidRDefault="00A10B25">
      <w:pPr>
        <w:pStyle w:val="3"/>
        <w:rPr>
          <w:lang w:val="en-US"/>
        </w:rPr>
      </w:pPr>
      <w:bookmarkStart w:id="15751" w:name="_Toc185517614"/>
      <w:bookmarkStart w:id="15752" w:name="_Toc191576666"/>
      <w:bookmarkStart w:id="15753" w:name="_Toc191577406"/>
      <w:bookmarkStart w:id="15754" w:name="_Toc192880476"/>
      <w:bookmarkStart w:id="15755" w:name="_Toc195815365"/>
      <w:bookmarkStart w:id="15756" w:name="_Toc199453332"/>
      <w:r>
        <w:rPr>
          <w:lang w:val="en-US"/>
        </w:rPr>
        <w:lastRenderedPageBreak/>
        <w:t>5.6.7</w:t>
      </w:r>
      <w:r>
        <w:rPr>
          <w:lang w:val="en-US"/>
        </w:rPr>
        <w:tab/>
        <w:t>Error handling</w:t>
      </w:r>
      <w:bookmarkEnd w:id="15745"/>
      <w:bookmarkEnd w:id="15746"/>
      <w:bookmarkEnd w:id="15747"/>
      <w:bookmarkEnd w:id="15748"/>
      <w:bookmarkEnd w:id="15749"/>
      <w:bookmarkEnd w:id="15750"/>
      <w:bookmarkEnd w:id="15751"/>
      <w:bookmarkEnd w:id="15752"/>
      <w:bookmarkEnd w:id="15753"/>
      <w:bookmarkEnd w:id="15754"/>
      <w:bookmarkEnd w:id="15755"/>
      <w:bookmarkEnd w:id="15756"/>
    </w:p>
    <w:p w14:paraId="7A455F2D" w14:textId="77777777" w:rsidR="00A10B25" w:rsidRDefault="00A10B25">
      <w:pPr>
        <w:pStyle w:val="4"/>
      </w:pPr>
      <w:bookmarkStart w:id="15757" w:name="_Toc148523015"/>
      <w:bookmarkStart w:id="15758" w:name="_Toc164921204"/>
      <w:bookmarkStart w:id="15759" w:name="_Toc170120746"/>
      <w:bookmarkStart w:id="15760" w:name="_Toc175858991"/>
      <w:bookmarkStart w:id="15761" w:name="_Toc175860064"/>
      <w:bookmarkStart w:id="15762" w:name="_Toc180606354"/>
      <w:bookmarkStart w:id="15763" w:name="_Toc185517615"/>
      <w:bookmarkStart w:id="15764" w:name="_Toc191576667"/>
      <w:bookmarkStart w:id="15765" w:name="_Toc191577407"/>
      <w:bookmarkStart w:id="15766" w:name="_Toc192880477"/>
      <w:bookmarkStart w:id="15767" w:name="_Toc195815366"/>
      <w:bookmarkStart w:id="15768" w:name="_Toc199453333"/>
      <w:r>
        <w:t>5.6.7.1</w:t>
      </w:r>
      <w:r>
        <w:tab/>
        <w:t>General</w:t>
      </w:r>
      <w:bookmarkEnd w:id="15757"/>
      <w:bookmarkEnd w:id="15758"/>
      <w:bookmarkEnd w:id="15759"/>
      <w:bookmarkEnd w:id="15760"/>
      <w:bookmarkEnd w:id="15761"/>
      <w:bookmarkEnd w:id="15762"/>
      <w:bookmarkEnd w:id="15763"/>
      <w:bookmarkEnd w:id="15764"/>
      <w:bookmarkEnd w:id="15765"/>
      <w:bookmarkEnd w:id="15766"/>
      <w:bookmarkEnd w:id="15767"/>
      <w:bookmarkEnd w:id="15768"/>
    </w:p>
    <w:p w14:paraId="5261388F" w14:textId="77777777" w:rsidR="00A10B25" w:rsidRDefault="00A10B25">
      <w:pPr>
        <w:rPr>
          <w:rFonts w:eastAsia="Batang"/>
        </w:rPr>
      </w:pPr>
      <w:r>
        <w:rPr>
          <w:rFonts w:eastAsia="Batang"/>
        </w:rPr>
        <w:t>HTTP error handling shall be supported as specified in clause 5.2.4 of TS 29.500 [6].</w:t>
      </w:r>
    </w:p>
    <w:p w14:paraId="76C39F7C" w14:textId="77777777" w:rsidR="00A10B25" w:rsidRDefault="00A10B25">
      <w:pPr>
        <w:rPr>
          <w:rFonts w:eastAsia="Batang"/>
        </w:rPr>
      </w:pPr>
      <w:r>
        <w:rPr>
          <w:rFonts w:eastAsia="Batang"/>
        </w:rPr>
        <w:t xml:space="preserve">For the </w:t>
      </w:r>
      <w:r>
        <w:rPr>
          <w:lang w:eastAsia="ja-JP"/>
        </w:rPr>
        <w:t>Nnwdaf_MLModelMonitor</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49CA5A92" w14:textId="77777777" w:rsidR="00A10B25" w:rsidRDefault="00A10B25">
      <w:pPr>
        <w:pStyle w:val="4"/>
      </w:pPr>
      <w:bookmarkStart w:id="15769" w:name="_Toc148523016"/>
      <w:bookmarkStart w:id="15770" w:name="_Toc164921205"/>
      <w:bookmarkStart w:id="15771" w:name="_Toc170120747"/>
      <w:bookmarkStart w:id="15772" w:name="_Toc175858992"/>
      <w:bookmarkStart w:id="15773" w:name="_Toc175860065"/>
      <w:bookmarkStart w:id="15774" w:name="_Toc180606355"/>
      <w:bookmarkStart w:id="15775" w:name="_Toc185517616"/>
      <w:bookmarkStart w:id="15776" w:name="_Toc191576668"/>
      <w:bookmarkStart w:id="15777" w:name="_Toc191577408"/>
      <w:bookmarkStart w:id="15778" w:name="_Toc192880478"/>
      <w:bookmarkStart w:id="15779" w:name="_Toc195815367"/>
      <w:bookmarkStart w:id="15780" w:name="_Toc199453334"/>
      <w:r>
        <w:t>5.6.7.2</w:t>
      </w:r>
      <w:r>
        <w:tab/>
        <w:t>Protocol Errors</w:t>
      </w:r>
      <w:bookmarkEnd w:id="15769"/>
      <w:bookmarkEnd w:id="15770"/>
      <w:bookmarkEnd w:id="15771"/>
      <w:bookmarkEnd w:id="15772"/>
      <w:bookmarkEnd w:id="15773"/>
      <w:bookmarkEnd w:id="15774"/>
      <w:bookmarkEnd w:id="15775"/>
      <w:bookmarkEnd w:id="15776"/>
      <w:bookmarkEnd w:id="15777"/>
      <w:bookmarkEnd w:id="15778"/>
      <w:bookmarkEnd w:id="15779"/>
      <w:bookmarkEnd w:id="15780"/>
    </w:p>
    <w:p w14:paraId="73017D0F"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Nnwdaf_MLModelMonitor</w:t>
      </w:r>
      <w:r>
        <w:rPr>
          <w:rFonts w:eastAsia="Batang"/>
        </w:rPr>
        <w:t xml:space="preserve"> API.</w:t>
      </w:r>
    </w:p>
    <w:p w14:paraId="1B27A97A" w14:textId="77777777" w:rsidR="00A10B25" w:rsidRDefault="00A10B25">
      <w:pPr>
        <w:pStyle w:val="4"/>
        <w:rPr>
          <w:rFonts w:eastAsia="Batang"/>
          <w:sz w:val="28"/>
        </w:rPr>
      </w:pPr>
      <w:bookmarkStart w:id="15781" w:name="_Toc148523017"/>
      <w:bookmarkStart w:id="15782" w:name="_Toc164921206"/>
      <w:bookmarkStart w:id="15783" w:name="_Toc170120748"/>
      <w:bookmarkStart w:id="15784" w:name="_Toc175858993"/>
      <w:bookmarkStart w:id="15785" w:name="_Toc175860066"/>
      <w:bookmarkStart w:id="15786" w:name="_Toc180606356"/>
      <w:bookmarkStart w:id="15787" w:name="_Toc185517617"/>
      <w:bookmarkStart w:id="15788" w:name="_Toc191576669"/>
      <w:bookmarkStart w:id="15789" w:name="_Toc191577409"/>
      <w:bookmarkStart w:id="15790" w:name="_Toc192880479"/>
      <w:bookmarkStart w:id="15791" w:name="_Toc195815368"/>
      <w:bookmarkStart w:id="15792" w:name="_Toc199453335"/>
      <w:r>
        <w:t>5.6.7.3</w:t>
      </w:r>
      <w:r>
        <w:tab/>
        <w:t>Application Errors</w:t>
      </w:r>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5B9D7F11" w14:textId="77777777" w:rsidR="00A10B25" w:rsidRDefault="00A10B25">
      <w:pPr>
        <w:rPr>
          <w:rFonts w:eastAsia="Batang"/>
        </w:rPr>
      </w:pPr>
      <w:r>
        <w:rPr>
          <w:rFonts w:eastAsia="Batang"/>
        </w:rPr>
        <w:t xml:space="preserve">The application errors defined for the </w:t>
      </w:r>
      <w:r>
        <w:rPr>
          <w:lang w:eastAsia="ja-JP"/>
        </w:rPr>
        <w:t>Nnwdaf_MLModelMonitor</w:t>
      </w:r>
      <w:r>
        <w:rPr>
          <w:rFonts w:eastAsia="Batang"/>
        </w:rPr>
        <w:t xml:space="preserve"> API are listed in table 5.6.7.3-1.</w:t>
      </w:r>
    </w:p>
    <w:p w14:paraId="44208F89" w14:textId="77777777" w:rsidR="00A10B25" w:rsidRDefault="00A10B25">
      <w:pPr>
        <w:pStyle w:val="TH"/>
      </w:pPr>
      <w:r>
        <w:t>Table 5.6.7.3-1: Application errors</w:t>
      </w:r>
    </w:p>
    <w:tbl>
      <w:tblPr>
        <w:tblW w:w="9747"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A10B25" w14:paraId="192DF812" w14:textId="77777777">
        <w:trPr>
          <w:cantSplit/>
          <w:jc w:val="center"/>
        </w:trPr>
        <w:tc>
          <w:tcPr>
            <w:tcW w:w="3834" w:type="dxa"/>
            <w:shd w:val="clear" w:color="auto" w:fill="C0C0C0"/>
          </w:tcPr>
          <w:p w14:paraId="302F44E0" w14:textId="77777777" w:rsidR="00A10B25" w:rsidRDefault="00A10B25">
            <w:pPr>
              <w:pStyle w:val="TAH"/>
              <w:ind w:left="400" w:hanging="400"/>
            </w:pPr>
            <w:r>
              <w:t>Application Error</w:t>
            </w:r>
          </w:p>
        </w:tc>
        <w:tc>
          <w:tcPr>
            <w:tcW w:w="1980" w:type="dxa"/>
            <w:shd w:val="clear" w:color="auto" w:fill="C0C0C0"/>
          </w:tcPr>
          <w:p w14:paraId="20721181" w14:textId="77777777" w:rsidR="00A10B25" w:rsidRDefault="00A10B25">
            <w:pPr>
              <w:pStyle w:val="TAH"/>
              <w:ind w:left="400" w:hanging="400"/>
            </w:pPr>
            <w:r>
              <w:t>HTTP status code</w:t>
            </w:r>
          </w:p>
        </w:tc>
        <w:tc>
          <w:tcPr>
            <w:tcW w:w="3933" w:type="dxa"/>
            <w:shd w:val="clear" w:color="auto" w:fill="C0C0C0"/>
          </w:tcPr>
          <w:p w14:paraId="53164A51" w14:textId="77777777" w:rsidR="00A10B25" w:rsidRDefault="00A10B25">
            <w:pPr>
              <w:pStyle w:val="TAH"/>
              <w:ind w:left="400" w:hanging="400"/>
            </w:pPr>
            <w:r>
              <w:t>Description</w:t>
            </w:r>
          </w:p>
        </w:tc>
      </w:tr>
      <w:tr w:rsidR="00A10B25" w14:paraId="2012686E" w14:textId="77777777">
        <w:trPr>
          <w:cantSplit/>
          <w:jc w:val="center"/>
        </w:trPr>
        <w:tc>
          <w:tcPr>
            <w:tcW w:w="3834" w:type="dxa"/>
          </w:tcPr>
          <w:p w14:paraId="13927A92" w14:textId="77777777" w:rsidR="00A10B25" w:rsidRDefault="00A10B25">
            <w:pPr>
              <w:pStyle w:val="TAL"/>
            </w:pPr>
          </w:p>
        </w:tc>
        <w:tc>
          <w:tcPr>
            <w:tcW w:w="1980" w:type="dxa"/>
          </w:tcPr>
          <w:p w14:paraId="7574F712" w14:textId="77777777" w:rsidR="00A10B25" w:rsidRDefault="00A10B25">
            <w:pPr>
              <w:pStyle w:val="TAL"/>
            </w:pPr>
          </w:p>
        </w:tc>
        <w:tc>
          <w:tcPr>
            <w:tcW w:w="3933" w:type="dxa"/>
          </w:tcPr>
          <w:p w14:paraId="23376B0C" w14:textId="77777777" w:rsidR="00A10B25" w:rsidRDefault="00A10B25">
            <w:pPr>
              <w:pStyle w:val="TAL"/>
            </w:pPr>
          </w:p>
        </w:tc>
      </w:tr>
    </w:tbl>
    <w:p w14:paraId="7D3CF8DB" w14:textId="77777777" w:rsidR="00A10B25" w:rsidRDefault="00A10B25">
      <w:pPr>
        <w:rPr>
          <w:lang w:val="en-US" w:eastAsia="zh-CN"/>
        </w:rPr>
      </w:pPr>
    </w:p>
    <w:p w14:paraId="2723F2E7" w14:textId="77777777" w:rsidR="00A10B25" w:rsidRDefault="00A10B25">
      <w:pPr>
        <w:pStyle w:val="3"/>
        <w:rPr>
          <w:lang w:eastAsia="zh-CN"/>
        </w:rPr>
      </w:pPr>
      <w:bookmarkStart w:id="15793" w:name="_Toc148523018"/>
      <w:bookmarkStart w:id="15794" w:name="_Toc164921207"/>
      <w:bookmarkStart w:id="15795" w:name="_Toc170120749"/>
      <w:bookmarkStart w:id="15796" w:name="_Toc175858994"/>
      <w:bookmarkStart w:id="15797" w:name="_Toc175860067"/>
      <w:bookmarkStart w:id="15798" w:name="_Toc180606357"/>
      <w:bookmarkStart w:id="15799" w:name="_Toc185517618"/>
      <w:bookmarkStart w:id="15800" w:name="_Toc191576670"/>
      <w:bookmarkStart w:id="15801" w:name="_Toc191577410"/>
      <w:bookmarkStart w:id="15802" w:name="_Toc192880480"/>
      <w:bookmarkStart w:id="15803" w:name="_Toc195815369"/>
      <w:bookmarkStart w:id="15804" w:name="_Toc199453336"/>
      <w:r>
        <w:rPr>
          <w:lang w:val="en-US"/>
        </w:rPr>
        <w:t>5.6</w:t>
      </w:r>
      <w:r>
        <w:rPr>
          <w:rFonts w:hint="eastAsia"/>
          <w:lang w:val="en-US"/>
        </w:rPr>
        <w:t>.</w:t>
      </w:r>
      <w:r>
        <w:rPr>
          <w:lang w:val="en-US"/>
        </w:rPr>
        <w:t>8</w:t>
      </w:r>
      <w:r>
        <w:rPr>
          <w:rFonts w:hint="eastAsia"/>
          <w:lang w:val="en-US"/>
        </w:rPr>
        <w:tab/>
      </w:r>
      <w:r>
        <w:rPr>
          <w:lang w:val="en-US"/>
        </w:rPr>
        <w:t>Feature negotiation</w:t>
      </w:r>
      <w:bookmarkEnd w:id="15793"/>
      <w:bookmarkEnd w:id="15794"/>
      <w:bookmarkEnd w:id="15795"/>
      <w:bookmarkEnd w:id="15796"/>
      <w:bookmarkEnd w:id="15797"/>
      <w:bookmarkEnd w:id="15798"/>
      <w:bookmarkEnd w:id="15799"/>
      <w:bookmarkEnd w:id="15800"/>
      <w:bookmarkEnd w:id="15801"/>
      <w:bookmarkEnd w:id="15802"/>
      <w:bookmarkEnd w:id="15803"/>
      <w:bookmarkEnd w:id="15804"/>
    </w:p>
    <w:p w14:paraId="292A5FD0" w14:textId="77777777" w:rsidR="00A10B25" w:rsidRDefault="00A10B25">
      <w:pPr>
        <w:rPr>
          <w:rFonts w:eastAsia="Batang"/>
        </w:rPr>
      </w:pPr>
      <w:r>
        <w:rPr>
          <w:rFonts w:eastAsia="Batang"/>
        </w:rPr>
        <w:t xml:space="preserve">The optional features in table 5.6.8-1 are defined for the </w:t>
      </w:r>
      <w:r>
        <w:rPr>
          <w:lang w:eastAsia="ja-JP"/>
        </w:rPr>
        <w:t>Nnwdaf_MLModelMonitor</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59AA6482" w14:textId="77777777" w:rsidR="00A10B25" w:rsidRDefault="00A10B25">
      <w:pPr>
        <w:pStyle w:val="TH"/>
      </w:pPr>
      <w:r>
        <w:t>Table 5.6.8-1: Supported Features</w:t>
      </w:r>
    </w:p>
    <w:tbl>
      <w:tblPr>
        <w:tblW w:w="949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72E1E1C7" w14:textId="77777777">
        <w:trPr>
          <w:jc w:val="center"/>
        </w:trPr>
        <w:tc>
          <w:tcPr>
            <w:tcW w:w="1525" w:type="dxa"/>
            <w:shd w:val="clear" w:color="auto" w:fill="C0C0C0"/>
          </w:tcPr>
          <w:p w14:paraId="78DEC709" w14:textId="77777777" w:rsidR="00A10B25" w:rsidRDefault="00A10B25">
            <w:pPr>
              <w:pStyle w:val="TAH"/>
              <w:ind w:left="400" w:hanging="400"/>
            </w:pPr>
            <w:r>
              <w:t>Feature number</w:t>
            </w:r>
          </w:p>
        </w:tc>
        <w:tc>
          <w:tcPr>
            <w:tcW w:w="2237" w:type="dxa"/>
            <w:shd w:val="clear" w:color="auto" w:fill="C0C0C0"/>
          </w:tcPr>
          <w:p w14:paraId="15868F1F" w14:textId="77777777" w:rsidR="00A10B25" w:rsidRDefault="00A10B25">
            <w:pPr>
              <w:pStyle w:val="TAH"/>
              <w:ind w:left="400" w:hanging="400"/>
            </w:pPr>
            <w:r>
              <w:t>Feature Name</w:t>
            </w:r>
          </w:p>
        </w:tc>
        <w:tc>
          <w:tcPr>
            <w:tcW w:w="5732" w:type="dxa"/>
            <w:shd w:val="clear" w:color="auto" w:fill="C0C0C0"/>
          </w:tcPr>
          <w:p w14:paraId="662D4CA2" w14:textId="77777777" w:rsidR="00A10B25" w:rsidRDefault="00A10B25">
            <w:pPr>
              <w:pStyle w:val="TAH"/>
              <w:ind w:left="400" w:hanging="400"/>
            </w:pPr>
            <w:r>
              <w:t>Description</w:t>
            </w:r>
          </w:p>
        </w:tc>
      </w:tr>
      <w:tr w:rsidR="00A10B25" w14:paraId="03716BC0" w14:textId="77777777">
        <w:trPr>
          <w:jc w:val="center"/>
        </w:trPr>
        <w:tc>
          <w:tcPr>
            <w:tcW w:w="1525" w:type="dxa"/>
          </w:tcPr>
          <w:p w14:paraId="5E9F83F4" w14:textId="77777777" w:rsidR="00A10B25" w:rsidRDefault="00A10B25">
            <w:pPr>
              <w:pStyle w:val="TAL"/>
            </w:pPr>
          </w:p>
        </w:tc>
        <w:tc>
          <w:tcPr>
            <w:tcW w:w="2237" w:type="dxa"/>
          </w:tcPr>
          <w:p w14:paraId="289620CD" w14:textId="77777777" w:rsidR="00A10B25" w:rsidRDefault="00A10B25">
            <w:pPr>
              <w:pStyle w:val="TAL"/>
            </w:pPr>
          </w:p>
        </w:tc>
        <w:tc>
          <w:tcPr>
            <w:tcW w:w="5732" w:type="dxa"/>
          </w:tcPr>
          <w:p w14:paraId="2275274D" w14:textId="77777777" w:rsidR="00A10B25" w:rsidRDefault="00A10B25">
            <w:pPr>
              <w:pStyle w:val="TAL"/>
              <w:rPr>
                <w:rFonts w:cs="Arial"/>
                <w:szCs w:val="18"/>
              </w:rPr>
            </w:pPr>
          </w:p>
        </w:tc>
      </w:tr>
    </w:tbl>
    <w:p w14:paraId="313F4FC3" w14:textId="77777777" w:rsidR="00A10B25" w:rsidRDefault="00A10B25">
      <w:pPr>
        <w:rPr>
          <w:lang w:val="en-US" w:eastAsia="zh-CN"/>
        </w:rPr>
      </w:pPr>
    </w:p>
    <w:p w14:paraId="64E3A95B" w14:textId="77777777" w:rsidR="00A10B25" w:rsidRDefault="00A10B25">
      <w:pPr>
        <w:pStyle w:val="3"/>
        <w:rPr>
          <w:lang w:val="en-US"/>
        </w:rPr>
      </w:pPr>
      <w:bookmarkStart w:id="15805" w:name="_Toc148523019"/>
      <w:bookmarkStart w:id="15806" w:name="_Toc164921208"/>
      <w:bookmarkStart w:id="15807" w:name="_Toc170120750"/>
      <w:bookmarkStart w:id="15808" w:name="_Toc175858995"/>
      <w:bookmarkStart w:id="15809" w:name="_Toc175860068"/>
      <w:bookmarkStart w:id="15810" w:name="_Toc180606358"/>
      <w:bookmarkStart w:id="15811" w:name="_Toc185517619"/>
      <w:bookmarkStart w:id="15812" w:name="_Toc191576671"/>
      <w:bookmarkStart w:id="15813" w:name="_Toc191577411"/>
      <w:bookmarkStart w:id="15814" w:name="_Toc192880481"/>
      <w:bookmarkStart w:id="15815" w:name="_Toc195815370"/>
      <w:bookmarkStart w:id="15816" w:name="_Toc199453337"/>
      <w:r>
        <w:rPr>
          <w:lang w:val="en-US"/>
        </w:rPr>
        <w:t>5.6.9</w:t>
      </w:r>
      <w:r>
        <w:rPr>
          <w:lang w:val="en-US"/>
        </w:rPr>
        <w:tab/>
        <w:t>Security</w:t>
      </w:r>
      <w:bookmarkEnd w:id="15805"/>
      <w:bookmarkEnd w:id="15806"/>
      <w:bookmarkEnd w:id="15807"/>
      <w:bookmarkEnd w:id="15808"/>
      <w:bookmarkEnd w:id="15809"/>
      <w:bookmarkEnd w:id="15810"/>
      <w:bookmarkEnd w:id="15811"/>
      <w:bookmarkEnd w:id="15812"/>
      <w:bookmarkEnd w:id="15813"/>
      <w:bookmarkEnd w:id="15814"/>
      <w:bookmarkEnd w:id="15815"/>
      <w:bookmarkEnd w:id="15816"/>
    </w:p>
    <w:p w14:paraId="0CE4E6C5" w14:textId="77777777" w:rsidR="00A10B25" w:rsidRDefault="00A10B25">
      <w:pPr>
        <w:rPr>
          <w:rFonts w:eastAsia="等线"/>
        </w:rPr>
      </w:pPr>
      <w:r>
        <w:rPr>
          <w:rFonts w:eastAsia="等线"/>
        </w:rPr>
        <w:t xml:space="preserve">As indicated in TS 33.501 [13] and TS 29.500 [6], the access to the </w:t>
      </w:r>
      <w:r>
        <w:rPr>
          <w:lang w:eastAsia="ja-JP"/>
        </w:rPr>
        <w:t>Nnwdaf_MLModelMonitor</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4475DDD2" w14:textId="77777777" w:rsidR="00A10B25" w:rsidRDefault="00A10B25">
      <w:pPr>
        <w:rPr>
          <w:rFonts w:eastAsia="等线"/>
        </w:rPr>
      </w:pPr>
      <w:r>
        <w:rPr>
          <w:rFonts w:eastAsia="等线"/>
        </w:rPr>
        <w:t xml:space="preserve">If OAuth2 is used, an NF service consumer, prior to consuming services offered by the </w:t>
      </w:r>
      <w:r>
        <w:rPr>
          <w:lang w:eastAsia="ja-JP"/>
        </w:rPr>
        <w:t>Nnwdaf_MLModelMonitor</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78CB9B5A"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Nnwdaf_MLModelMonitor</w:t>
      </w:r>
      <w:r>
        <w:t xml:space="preserve"> service.</w:t>
      </w:r>
    </w:p>
    <w:p w14:paraId="3613B246" w14:textId="77777777" w:rsidR="00A10B25" w:rsidRDefault="00A10B25">
      <w:pPr>
        <w:rPr>
          <w:rFonts w:eastAsia="等线"/>
          <w:lang w:val="en-US"/>
        </w:rPr>
      </w:pPr>
      <w:r>
        <w:rPr>
          <w:rFonts w:eastAsia="等线"/>
          <w:lang w:val="en-US"/>
        </w:rPr>
        <w:t xml:space="preserve">The </w:t>
      </w:r>
      <w:r>
        <w:rPr>
          <w:lang w:eastAsia="ja-JP"/>
        </w:rPr>
        <w:t>Nnwdaf_MLModelMonitor</w:t>
      </w:r>
      <w:r>
        <w:rPr>
          <w:rFonts w:eastAsia="等线"/>
          <w:lang w:val="en-US" w:eastAsia="zh-CN"/>
        </w:rPr>
        <w:t xml:space="preserve"> </w:t>
      </w:r>
      <w:r>
        <w:rPr>
          <w:rFonts w:eastAsia="等线"/>
          <w:lang w:val="en-US"/>
        </w:rPr>
        <w:t>API defines a single scope "nnwdaf-mlmodelmonitor" for the entire service, and it does not define any additional scopes at resource or operation level.</w:t>
      </w:r>
    </w:p>
    <w:p w14:paraId="2CAAF488" w14:textId="77777777" w:rsidR="00A10B25" w:rsidRDefault="00A10B25">
      <w:pPr>
        <w:pStyle w:val="2"/>
      </w:pPr>
      <w:bookmarkStart w:id="15817" w:name="_Toc164921209"/>
      <w:bookmarkStart w:id="15818" w:name="_Toc170120751"/>
      <w:bookmarkStart w:id="15819" w:name="_Toc175858996"/>
      <w:bookmarkStart w:id="15820" w:name="_Toc175860069"/>
      <w:bookmarkStart w:id="15821" w:name="_Toc180606359"/>
      <w:bookmarkStart w:id="15822" w:name="_Toc185517620"/>
      <w:bookmarkStart w:id="15823" w:name="_Toc191576672"/>
      <w:bookmarkStart w:id="15824" w:name="_Toc191577412"/>
      <w:bookmarkStart w:id="15825" w:name="_Toc192880482"/>
      <w:bookmarkStart w:id="15826" w:name="_Toc195815371"/>
      <w:bookmarkStart w:id="15827" w:name="_Toc199453338"/>
      <w:r>
        <w:rPr>
          <w:lang w:eastAsia="zh-CN"/>
        </w:rPr>
        <w:t>5.7</w:t>
      </w:r>
      <w:r>
        <w:tab/>
      </w:r>
      <w:r>
        <w:rPr>
          <w:lang w:eastAsia="ja-JP"/>
        </w:rPr>
        <w:t xml:space="preserve">Nnwdaf_RoamingData </w:t>
      </w:r>
      <w:r>
        <w:t>Service API</w:t>
      </w:r>
      <w:bookmarkEnd w:id="15817"/>
      <w:bookmarkEnd w:id="15818"/>
      <w:bookmarkEnd w:id="15819"/>
      <w:bookmarkEnd w:id="15820"/>
      <w:bookmarkEnd w:id="15821"/>
      <w:bookmarkEnd w:id="15822"/>
      <w:bookmarkEnd w:id="15823"/>
      <w:bookmarkEnd w:id="15824"/>
      <w:bookmarkEnd w:id="15825"/>
      <w:bookmarkEnd w:id="15826"/>
      <w:bookmarkEnd w:id="15827"/>
    </w:p>
    <w:p w14:paraId="3573DBBA" w14:textId="77777777" w:rsidR="00A10B25" w:rsidRDefault="00A10B25">
      <w:pPr>
        <w:pStyle w:val="3"/>
        <w:rPr>
          <w:lang w:val="en-US"/>
        </w:rPr>
      </w:pPr>
      <w:bookmarkStart w:id="15828" w:name="_Toc164921210"/>
      <w:bookmarkStart w:id="15829" w:name="_Toc170120752"/>
      <w:bookmarkStart w:id="15830" w:name="_Toc175858997"/>
      <w:bookmarkStart w:id="15831" w:name="_Toc175860070"/>
      <w:bookmarkStart w:id="15832" w:name="_Toc180606360"/>
      <w:bookmarkStart w:id="15833" w:name="_Toc185517621"/>
      <w:bookmarkStart w:id="15834" w:name="_Toc191576673"/>
      <w:bookmarkStart w:id="15835" w:name="_Toc191577413"/>
      <w:bookmarkStart w:id="15836" w:name="_Toc192880483"/>
      <w:bookmarkStart w:id="15837" w:name="_Toc195815372"/>
      <w:bookmarkStart w:id="15838" w:name="_Toc199453339"/>
      <w:r>
        <w:rPr>
          <w:lang w:val="en-US"/>
        </w:rPr>
        <w:t>5.7</w:t>
      </w:r>
      <w:r>
        <w:rPr>
          <w:rFonts w:hint="eastAsia"/>
          <w:lang w:val="en-US"/>
        </w:rPr>
        <w:t>.</w:t>
      </w:r>
      <w:r>
        <w:rPr>
          <w:lang w:val="en-US"/>
        </w:rPr>
        <w:t>1</w:t>
      </w:r>
      <w:r>
        <w:rPr>
          <w:lang w:val="en-US"/>
        </w:rPr>
        <w:tab/>
        <w:t>Introduction</w:t>
      </w:r>
      <w:bookmarkEnd w:id="15828"/>
      <w:bookmarkEnd w:id="15829"/>
      <w:bookmarkEnd w:id="15830"/>
      <w:bookmarkEnd w:id="15831"/>
      <w:bookmarkEnd w:id="15832"/>
      <w:bookmarkEnd w:id="15833"/>
      <w:bookmarkEnd w:id="15834"/>
      <w:bookmarkEnd w:id="15835"/>
      <w:bookmarkEnd w:id="15836"/>
      <w:bookmarkEnd w:id="15837"/>
      <w:bookmarkEnd w:id="15838"/>
    </w:p>
    <w:p w14:paraId="38C12BA3" w14:textId="77777777" w:rsidR="00A10B25" w:rsidRDefault="00A10B25">
      <w:pPr>
        <w:rPr>
          <w:lang w:eastAsia="zh-CN"/>
        </w:rPr>
      </w:pPr>
      <w:r>
        <w:t>The</w:t>
      </w:r>
      <w:r>
        <w:rPr>
          <w:rFonts w:eastAsia="Times New Roman"/>
        </w:rPr>
        <w:t xml:space="preserve"> </w:t>
      </w:r>
      <w:r>
        <w:rPr>
          <w:lang w:eastAsia="ja-JP"/>
        </w:rPr>
        <w:t>Nnwdaf_RoamingData</w:t>
      </w:r>
      <w:r>
        <w:rPr>
          <w:rFonts w:eastAsia="Times New Roman"/>
        </w:rPr>
        <w:t xml:space="preserve"> service </w:t>
      </w:r>
      <w:r>
        <w:t xml:space="preserve">shall use the </w:t>
      </w:r>
      <w:r>
        <w:rPr>
          <w:lang w:eastAsia="ja-JP"/>
        </w:rPr>
        <w:t>Nnwdaf_RoamingData</w:t>
      </w:r>
      <w:r>
        <w:t xml:space="preserve"> </w:t>
      </w:r>
      <w:r>
        <w:rPr>
          <w:lang w:eastAsia="zh-CN"/>
        </w:rPr>
        <w:t>API.</w:t>
      </w:r>
    </w:p>
    <w:p w14:paraId="65B3E77A" w14:textId="77777777" w:rsidR="00A10B25" w:rsidRDefault="00A10B25">
      <w:r>
        <w:lastRenderedPageBreak/>
        <w:t xml:space="preserve">The API URI of the </w:t>
      </w:r>
      <w:r>
        <w:rPr>
          <w:lang w:eastAsia="ja-JP"/>
        </w:rPr>
        <w:t>Nnwdaf_RoamingData</w:t>
      </w:r>
      <w:r>
        <w:rPr>
          <w:lang w:val="en-US" w:eastAsia="zh-CN"/>
        </w:rPr>
        <w:t xml:space="preserve"> API shall be: </w:t>
      </w:r>
    </w:p>
    <w:p w14:paraId="41C4164D" w14:textId="77777777" w:rsidR="00A10B25" w:rsidRDefault="00A10B25">
      <w:pPr>
        <w:pStyle w:val="B1"/>
        <w:rPr>
          <w:lang w:eastAsia="zh-CN"/>
        </w:rPr>
      </w:pPr>
      <w:r>
        <w:rPr>
          <w:lang w:val="en-US" w:eastAsia="zh-CN"/>
        </w:rPr>
        <w:t>{apiRoot}/&lt;apiName&gt;/&lt;apiVersion&gt;</w:t>
      </w:r>
    </w:p>
    <w:p w14:paraId="1A985FCB" w14:textId="77777777" w:rsidR="00A10B25" w:rsidRDefault="00A10B25">
      <w:pPr>
        <w:rPr>
          <w:lang w:eastAsia="zh-CN"/>
        </w:rPr>
      </w:pPr>
      <w:r>
        <w:rPr>
          <w:lang w:eastAsia="zh-CN"/>
        </w:rPr>
        <w:t>The request URIs used in each HTTP requests from the NF service consumer towards the RE-NWDAF shall have the Resource URI structure defined in clause 4.4.1 of 3GPP TS 29.501 [7], i.e.:</w:t>
      </w:r>
    </w:p>
    <w:p w14:paraId="629F9DB9" w14:textId="77777777" w:rsidR="00A10B25" w:rsidRDefault="00A10B25">
      <w:pPr>
        <w:ind w:left="568" w:hanging="284"/>
        <w:rPr>
          <w:b/>
        </w:rPr>
      </w:pPr>
      <w:r>
        <w:rPr>
          <w:b/>
        </w:rPr>
        <w:t>{apiRoot}/&lt;apiName&gt;/&lt;apiVersion&gt;/&lt;apiSpecificResourceUriPart&gt;</w:t>
      </w:r>
    </w:p>
    <w:p w14:paraId="2072BE24" w14:textId="77777777" w:rsidR="00A10B25" w:rsidRDefault="00A10B25">
      <w:pPr>
        <w:rPr>
          <w:lang w:eastAsia="zh-CN"/>
        </w:rPr>
      </w:pPr>
      <w:r>
        <w:rPr>
          <w:lang w:eastAsia="zh-CN"/>
        </w:rPr>
        <w:t>with the following components:</w:t>
      </w:r>
    </w:p>
    <w:p w14:paraId="6CF52F2F" w14:textId="77777777" w:rsidR="00A10B25" w:rsidRDefault="00A10B25">
      <w:pPr>
        <w:pStyle w:val="B1"/>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1520228D" w14:textId="77777777" w:rsidR="00A10B25" w:rsidRDefault="00A10B25">
      <w:pPr>
        <w:pStyle w:val="B1"/>
        <w:rPr>
          <w:lang w:val="en-US"/>
        </w:rPr>
      </w:pPr>
      <w:r>
        <w:rPr>
          <w:lang w:eastAsia="zh-CN"/>
        </w:rPr>
        <w:t>-</w:t>
      </w:r>
      <w:r>
        <w:rPr>
          <w:lang w:eastAsia="zh-CN"/>
        </w:rPr>
        <w:tab/>
        <w:t>The</w:t>
      </w:r>
      <w:r>
        <w:t>&lt;apiName&gt;</w:t>
      </w:r>
      <w:r>
        <w:rPr>
          <w:b/>
        </w:rPr>
        <w:t xml:space="preserve"> </w:t>
      </w:r>
      <w:r>
        <w:t>shall be "nnwdaf-roamingdata</w:t>
      </w:r>
      <w:r>
        <w:rPr>
          <w:lang w:val="en-US"/>
        </w:rPr>
        <w:t>".</w:t>
      </w:r>
    </w:p>
    <w:p w14:paraId="0CDA3419" w14:textId="77777777" w:rsidR="00A10B25" w:rsidRDefault="00A10B25">
      <w:pPr>
        <w:pStyle w:val="B1"/>
        <w:rPr>
          <w:lang w:val="en-US"/>
        </w:rPr>
      </w:pPr>
      <w:r>
        <w:rPr>
          <w:lang w:val="en-US"/>
        </w:rPr>
        <w:t>-</w:t>
      </w:r>
      <w:r>
        <w:rPr>
          <w:lang w:val="en-US"/>
        </w:rPr>
        <w:tab/>
        <w:t>The &lt;apiVersion&gt; shall be "v1".</w:t>
      </w:r>
    </w:p>
    <w:p w14:paraId="2A0D5164" w14:textId="77777777" w:rsidR="00A10B25" w:rsidRDefault="00A10B25">
      <w:pPr>
        <w:pStyle w:val="B1"/>
      </w:pPr>
      <w:r>
        <w:rPr>
          <w:lang w:val="en-US"/>
        </w:rPr>
        <w:t>-</w:t>
      </w:r>
      <w:r>
        <w:rPr>
          <w:lang w:val="en-US"/>
        </w:rPr>
        <w:tab/>
        <w:t>The &lt;apiSpecificResourceUriPart&gt; shall be set as described in clause</w:t>
      </w:r>
      <w:r>
        <w:rPr>
          <w:lang w:eastAsia="zh-CN"/>
        </w:rPr>
        <w:t> </w:t>
      </w:r>
      <w:r>
        <w:rPr>
          <w:lang w:val="en-US"/>
        </w:rPr>
        <w:t>5.7.3.</w:t>
      </w:r>
    </w:p>
    <w:p w14:paraId="5BF8268B" w14:textId="77777777" w:rsidR="00A10B25" w:rsidRDefault="00A10B25">
      <w:pPr>
        <w:pStyle w:val="3"/>
        <w:rPr>
          <w:lang w:val="en-US"/>
        </w:rPr>
      </w:pPr>
      <w:bookmarkStart w:id="15839" w:name="_Toc164921211"/>
      <w:bookmarkStart w:id="15840" w:name="_Toc170120753"/>
      <w:bookmarkStart w:id="15841" w:name="_Toc175858998"/>
      <w:bookmarkStart w:id="15842" w:name="_Toc175860071"/>
      <w:bookmarkStart w:id="15843" w:name="_Toc180606361"/>
      <w:bookmarkStart w:id="15844" w:name="_Toc185517622"/>
      <w:bookmarkStart w:id="15845" w:name="_Toc191576674"/>
      <w:bookmarkStart w:id="15846" w:name="_Toc191577414"/>
      <w:bookmarkStart w:id="15847" w:name="_Toc192880484"/>
      <w:bookmarkStart w:id="15848" w:name="_Toc195815373"/>
      <w:bookmarkStart w:id="15849" w:name="_Toc199453340"/>
      <w:r>
        <w:rPr>
          <w:lang w:val="en-US"/>
        </w:rPr>
        <w:t>5.7.2</w:t>
      </w:r>
      <w:r>
        <w:rPr>
          <w:lang w:val="en-US"/>
        </w:rPr>
        <w:tab/>
        <w:t>Usage of HTTP</w:t>
      </w:r>
      <w:bookmarkEnd w:id="15839"/>
      <w:bookmarkEnd w:id="15840"/>
      <w:bookmarkEnd w:id="15841"/>
      <w:bookmarkEnd w:id="15842"/>
      <w:bookmarkEnd w:id="15843"/>
      <w:bookmarkEnd w:id="15844"/>
      <w:bookmarkEnd w:id="15845"/>
      <w:bookmarkEnd w:id="15846"/>
      <w:bookmarkEnd w:id="15847"/>
      <w:bookmarkEnd w:id="15848"/>
      <w:bookmarkEnd w:id="15849"/>
    </w:p>
    <w:p w14:paraId="59EB8BB2" w14:textId="77777777" w:rsidR="00A10B25" w:rsidRDefault="00A10B25">
      <w:pPr>
        <w:pStyle w:val="4"/>
      </w:pPr>
      <w:bookmarkStart w:id="15850" w:name="_Toc164921212"/>
      <w:bookmarkStart w:id="15851" w:name="_Toc170120754"/>
      <w:bookmarkStart w:id="15852" w:name="_Toc175858999"/>
      <w:bookmarkStart w:id="15853" w:name="_Toc175860072"/>
      <w:bookmarkStart w:id="15854" w:name="_Toc180606362"/>
      <w:bookmarkStart w:id="15855" w:name="_Toc185517623"/>
      <w:bookmarkStart w:id="15856" w:name="_Toc191576675"/>
      <w:bookmarkStart w:id="15857" w:name="_Toc191577415"/>
      <w:bookmarkStart w:id="15858" w:name="_Toc192880485"/>
      <w:bookmarkStart w:id="15859" w:name="_Toc195815374"/>
      <w:bookmarkStart w:id="15860" w:name="_Toc199453341"/>
      <w:r>
        <w:t>5.7.2.1</w:t>
      </w:r>
      <w:r>
        <w:tab/>
        <w:t>General</w:t>
      </w:r>
      <w:bookmarkEnd w:id="15850"/>
      <w:bookmarkEnd w:id="15851"/>
      <w:bookmarkEnd w:id="15852"/>
      <w:bookmarkEnd w:id="15853"/>
      <w:bookmarkEnd w:id="15854"/>
      <w:bookmarkEnd w:id="15855"/>
      <w:bookmarkEnd w:id="15856"/>
      <w:bookmarkEnd w:id="15857"/>
      <w:bookmarkEnd w:id="15858"/>
      <w:bookmarkEnd w:id="15859"/>
      <w:bookmarkEnd w:id="15860"/>
    </w:p>
    <w:p w14:paraId="3C5B0667" w14:textId="77777777" w:rsidR="00A10B25" w:rsidRDefault="00A10B25">
      <w:r>
        <w:t>HTTP</w:t>
      </w:r>
      <w:r>
        <w:rPr>
          <w:lang w:eastAsia="zh-CN"/>
        </w:rPr>
        <w:t xml:space="preserve">/2, IETF RFC 9113 [9], </w:t>
      </w:r>
      <w:r>
        <w:t>shall be used as specified in clause 5 of 3GPP TS 29.500 [6].</w:t>
      </w:r>
    </w:p>
    <w:p w14:paraId="0B1175FD" w14:textId="77777777" w:rsidR="00A10B25" w:rsidRDefault="00A10B25">
      <w:r>
        <w:t>HTTP/2 shall be transported as specified in clause 5.3 of 3GPP TS 29.500 [6].</w:t>
      </w:r>
    </w:p>
    <w:p w14:paraId="37E812D9" w14:textId="77777777" w:rsidR="00A10B25" w:rsidRDefault="00A10B25">
      <w:r>
        <w:t xml:space="preserve">The OpenAPI [11] specification of HTTP messages and content bodies for the </w:t>
      </w:r>
      <w:r>
        <w:rPr>
          <w:lang w:eastAsia="ja-JP"/>
        </w:rPr>
        <w:t>Nnwdaf_RoamingData</w:t>
      </w:r>
      <w:r>
        <w:t xml:space="preserve"> is contained in Annex A.</w:t>
      </w:r>
    </w:p>
    <w:p w14:paraId="5D27E18D" w14:textId="77777777" w:rsidR="00A10B25" w:rsidRDefault="00A10B25">
      <w:pPr>
        <w:pStyle w:val="4"/>
      </w:pPr>
      <w:bookmarkStart w:id="15861" w:name="_Toc164921213"/>
      <w:bookmarkStart w:id="15862" w:name="_Toc170120755"/>
      <w:bookmarkStart w:id="15863" w:name="_Toc175859000"/>
      <w:bookmarkStart w:id="15864" w:name="_Toc175860073"/>
      <w:bookmarkStart w:id="15865" w:name="_Toc180606363"/>
      <w:bookmarkStart w:id="15866" w:name="_Toc185517624"/>
      <w:bookmarkStart w:id="15867" w:name="_Toc191576676"/>
      <w:bookmarkStart w:id="15868" w:name="_Toc191577416"/>
      <w:bookmarkStart w:id="15869" w:name="_Toc192880486"/>
      <w:bookmarkStart w:id="15870" w:name="_Toc195815375"/>
      <w:bookmarkStart w:id="15871" w:name="_Toc199453342"/>
      <w:r>
        <w:t>5.7.2.2</w:t>
      </w:r>
      <w:r>
        <w:tab/>
        <w:t>HTTP standard headers</w:t>
      </w:r>
      <w:bookmarkEnd w:id="15861"/>
      <w:bookmarkEnd w:id="15862"/>
      <w:bookmarkEnd w:id="15863"/>
      <w:bookmarkEnd w:id="15864"/>
      <w:bookmarkEnd w:id="15865"/>
      <w:bookmarkEnd w:id="15866"/>
      <w:bookmarkEnd w:id="15867"/>
      <w:bookmarkEnd w:id="15868"/>
      <w:bookmarkEnd w:id="15869"/>
      <w:bookmarkEnd w:id="15870"/>
      <w:bookmarkEnd w:id="15871"/>
    </w:p>
    <w:p w14:paraId="5E04CC71" w14:textId="77777777" w:rsidR="00A10B25" w:rsidRDefault="00A10B25">
      <w:pPr>
        <w:pStyle w:val="5"/>
      </w:pPr>
      <w:bookmarkStart w:id="15872" w:name="_Toc164921214"/>
      <w:bookmarkStart w:id="15873" w:name="_Toc170120756"/>
      <w:bookmarkStart w:id="15874" w:name="_Toc175859001"/>
      <w:bookmarkStart w:id="15875" w:name="_Toc175860074"/>
      <w:bookmarkStart w:id="15876" w:name="_Toc180606364"/>
      <w:bookmarkStart w:id="15877" w:name="_Toc185517625"/>
      <w:bookmarkStart w:id="15878" w:name="_Toc191576677"/>
      <w:bookmarkStart w:id="15879" w:name="_Toc191577417"/>
      <w:bookmarkStart w:id="15880" w:name="_Toc192880487"/>
      <w:bookmarkStart w:id="15881" w:name="_Toc195815376"/>
      <w:bookmarkStart w:id="15882" w:name="_Toc199453343"/>
      <w:r>
        <w:t>5.7.2.2.1</w:t>
      </w:r>
      <w:r>
        <w:tab/>
        <w:t>General</w:t>
      </w:r>
      <w:bookmarkEnd w:id="15872"/>
      <w:bookmarkEnd w:id="15873"/>
      <w:bookmarkEnd w:id="15874"/>
      <w:bookmarkEnd w:id="15875"/>
      <w:bookmarkEnd w:id="15876"/>
      <w:bookmarkEnd w:id="15877"/>
      <w:bookmarkEnd w:id="15878"/>
      <w:bookmarkEnd w:id="15879"/>
      <w:bookmarkEnd w:id="15880"/>
      <w:bookmarkEnd w:id="15881"/>
      <w:bookmarkEnd w:id="15882"/>
    </w:p>
    <w:p w14:paraId="7923EC4E" w14:textId="77777777" w:rsidR="00A10B25" w:rsidRDefault="00A10B25">
      <w:r>
        <w:t>See clause 5.2.2 of 3GPP TS 29.500 [6] for the usage of HTTP standard headers.</w:t>
      </w:r>
    </w:p>
    <w:p w14:paraId="722D63B2" w14:textId="77777777" w:rsidR="00A10B25" w:rsidRDefault="00A10B25">
      <w:pPr>
        <w:pStyle w:val="5"/>
      </w:pPr>
      <w:bookmarkStart w:id="15883" w:name="_Toc164921215"/>
      <w:bookmarkStart w:id="15884" w:name="_Toc170120757"/>
      <w:bookmarkStart w:id="15885" w:name="_Toc175859002"/>
      <w:bookmarkStart w:id="15886" w:name="_Toc175860075"/>
      <w:bookmarkStart w:id="15887" w:name="_Toc180606365"/>
      <w:bookmarkStart w:id="15888" w:name="_Toc185517626"/>
      <w:bookmarkStart w:id="15889" w:name="_Toc191576678"/>
      <w:bookmarkStart w:id="15890" w:name="_Toc191577418"/>
      <w:bookmarkStart w:id="15891" w:name="_Toc192880488"/>
      <w:bookmarkStart w:id="15892" w:name="_Toc195815377"/>
      <w:bookmarkStart w:id="15893" w:name="_Toc199453344"/>
      <w:r>
        <w:t>5.7.2.2.2</w:t>
      </w:r>
      <w:r>
        <w:tab/>
        <w:t>Content type</w:t>
      </w:r>
      <w:bookmarkEnd w:id="15883"/>
      <w:bookmarkEnd w:id="15884"/>
      <w:bookmarkEnd w:id="15885"/>
      <w:bookmarkEnd w:id="15886"/>
      <w:bookmarkEnd w:id="15887"/>
      <w:bookmarkEnd w:id="15888"/>
      <w:bookmarkEnd w:id="15889"/>
      <w:bookmarkEnd w:id="15890"/>
      <w:bookmarkEnd w:id="15891"/>
      <w:bookmarkEnd w:id="15892"/>
      <w:bookmarkEnd w:id="15893"/>
    </w:p>
    <w:p w14:paraId="52568B24" w14:textId="77777777" w:rsidR="00A10B25" w:rsidRDefault="00A10B25">
      <w:r>
        <w:t>JSON, IETF RFC 8259 [10], shall be used as content type of the HTTP bodies specified in the present specification as specified in clause 5.4 of 3GPP TS 29.500 [6]. The use of the JSON format shall be signalled by the content type "application/json".</w:t>
      </w:r>
    </w:p>
    <w:p w14:paraId="5D24B812" w14:textId="77777777" w:rsidR="00A10B25" w:rsidRDefault="00A10B25">
      <w:pPr>
        <w:rPr>
          <w:i/>
        </w:rPr>
      </w:pPr>
      <w:r>
        <w:t xml:space="preserve">"Problem Details" JSON object shall be used to indicate additional details of the error in a HTTP response body and shall be signalled by the content type "application/problem+json", as defined in </w:t>
      </w:r>
      <w:r w:rsidR="00640768">
        <w:t>IETF RFC 9457 [</w:t>
      </w:r>
      <w:r>
        <w:t>15].</w:t>
      </w:r>
    </w:p>
    <w:p w14:paraId="64B67C21" w14:textId="77777777" w:rsidR="00A10B25" w:rsidRDefault="00A10B25">
      <w:pPr>
        <w:pStyle w:val="4"/>
      </w:pPr>
      <w:bookmarkStart w:id="15894" w:name="_Toc164921216"/>
      <w:bookmarkStart w:id="15895" w:name="_Toc170120758"/>
      <w:bookmarkStart w:id="15896" w:name="_Toc175859003"/>
      <w:bookmarkStart w:id="15897" w:name="_Toc175860076"/>
      <w:bookmarkStart w:id="15898" w:name="_Toc180606366"/>
      <w:bookmarkStart w:id="15899" w:name="_Toc185517627"/>
      <w:bookmarkStart w:id="15900" w:name="_Toc191576679"/>
      <w:bookmarkStart w:id="15901" w:name="_Toc191577419"/>
      <w:bookmarkStart w:id="15902" w:name="_Toc192880489"/>
      <w:bookmarkStart w:id="15903" w:name="_Toc195815378"/>
      <w:bookmarkStart w:id="15904" w:name="_Toc199453345"/>
      <w:r>
        <w:t>5.7.2.3</w:t>
      </w:r>
      <w:r>
        <w:tab/>
        <w:t>HTTP custom headers</w:t>
      </w:r>
      <w:bookmarkEnd w:id="15894"/>
      <w:bookmarkEnd w:id="15895"/>
      <w:bookmarkEnd w:id="15896"/>
      <w:bookmarkEnd w:id="15897"/>
      <w:bookmarkEnd w:id="15898"/>
      <w:bookmarkEnd w:id="15899"/>
      <w:bookmarkEnd w:id="15900"/>
      <w:bookmarkEnd w:id="15901"/>
      <w:bookmarkEnd w:id="15902"/>
      <w:bookmarkEnd w:id="15903"/>
      <w:bookmarkEnd w:id="15904"/>
    </w:p>
    <w:p w14:paraId="47C4E5EA" w14:textId="77777777" w:rsidR="00A10B25" w:rsidRDefault="00A10B25">
      <w:pPr>
        <w:rPr>
          <w:rFonts w:eastAsia="Batang"/>
        </w:rPr>
      </w:pPr>
      <w:r>
        <w:rPr>
          <w:rFonts w:eastAsia="Batang"/>
        </w:rPr>
        <w:t xml:space="preserve">The </w:t>
      </w:r>
      <w:r>
        <w:rPr>
          <w:lang w:eastAsia="ja-JP"/>
        </w:rPr>
        <w:t>Nnwdaf_RoamingData</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67B5195F"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Nnwdaf_RoamingData</w:t>
      </w:r>
      <w:r>
        <w:rPr>
          <w:rFonts w:eastAsia="Batang"/>
        </w:rPr>
        <w:t xml:space="preserve"> service API.</w:t>
      </w:r>
    </w:p>
    <w:p w14:paraId="299B49C6" w14:textId="77777777" w:rsidR="00A10B25" w:rsidRDefault="00A10B25">
      <w:pPr>
        <w:pStyle w:val="3"/>
      </w:pPr>
      <w:bookmarkStart w:id="15905" w:name="_Toc164921217"/>
      <w:bookmarkStart w:id="15906" w:name="_Toc170120759"/>
      <w:bookmarkStart w:id="15907" w:name="_Toc175859004"/>
      <w:bookmarkStart w:id="15908" w:name="_Toc175860077"/>
      <w:bookmarkStart w:id="15909" w:name="_Toc180606367"/>
      <w:bookmarkStart w:id="15910" w:name="_Toc185517628"/>
      <w:bookmarkStart w:id="15911" w:name="_Toc191576680"/>
      <w:bookmarkStart w:id="15912" w:name="_Toc191577420"/>
      <w:bookmarkStart w:id="15913" w:name="_Toc192880490"/>
      <w:bookmarkStart w:id="15914" w:name="_Toc195815379"/>
      <w:bookmarkStart w:id="15915" w:name="_Toc199453346"/>
      <w:r>
        <w:t>5.7.3</w:t>
      </w:r>
      <w:r>
        <w:tab/>
        <w:t>Resources</w:t>
      </w:r>
      <w:bookmarkEnd w:id="15905"/>
      <w:bookmarkEnd w:id="15906"/>
      <w:bookmarkEnd w:id="15907"/>
      <w:bookmarkEnd w:id="15908"/>
      <w:bookmarkEnd w:id="15909"/>
      <w:bookmarkEnd w:id="15910"/>
      <w:bookmarkEnd w:id="15911"/>
      <w:bookmarkEnd w:id="15912"/>
      <w:bookmarkEnd w:id="15913"/>
      <w:bookmarkEnd w:id="15914"/>
      <w:bookmarkEnd w:id="15915"/>
    </w:p>
    <w:p w14:paraId="4569F8DC" w14:textId="77777777" w:rsidR="00A10B25" w:rsidRDefault="00A10B25">
      <w:pPr>
        <w:pStyle w:val="4"/>
      </w:pPr>
      <w:bookmarkStart w:id="15916" w:name="_Toc164921218"/>
      <w:bookmarkStart w:id="15917" w:name="_Toc170120760"/>
      <w:bookmarkStart w:id="15918" w:name="_Toc175859005"/>
      <w:bookmarkStart w:id="15919" w:name="_Toc175860078"/>
      <w:bookmarkStart w:id="15920" w:name="_Toc180606368"/>
      <w:bookmarkStart w:id="15921" w:name="_Toc185517629"/>
      <w:bookmarkStart w:id="15922" w:name="_Toc191576681"/>
      <w:bookmarkStart w:id="15923" w:name="_Toc191577421"/>
      <w:bookmarkStart w:id="15924" w:name="_Toc192880491"/>
      <w:bookmarkStart w:id="15925" w:name="_Toc195815380"/>
      <w:bookmarkStart w:id="15926" w:name="_Toc199453347"/>
      <w:r>
        <w:t>5.7.3.1</w:t>
      </w:r>
      <w:r>
        <w:tab/>
        <w:t>Resource Structure</w:t>
      </w:r>
      <w:bookmarkEnd w:id="15916"/>
      <w:bookmarkEnd w:id="15917"/>
      <w:bookmarkEnd w:id="15918"/>
      <w:bookmarkEnd w:id="15919"/>
      <w:bookmarkEnd w:id="15920"/>
      <w:bookmarkEnd w:id="15921"/>
      <w:bookmarkEnd w:id="15922"/>
      <w:bookmarkEnd w:id="15923"/>
      <w:bookmarkEnd w:id="15924"/>
      <w:bookmarkEnd w:id="15925"/>
      <w:bookmarkEnd w:id="15926"/>
    </w:p>
    <w:p w14:paraId="0D7CF827" w14:textId="77777777" w:rsidR="00A10B25" w:rsidRDefault="00A10B25">
      <w:r>
        <w:t>This clause describes the structure for the Resource URIs, the resources and methods used for the service.</w:t>
      </w:r>
    </w:p>
    <w:p w14:paraId="0E4896AF" w14:textId="77777777" w:rsidR="00A10B25" w:rsidRDefault="00A10B25">
      <w:r>
        <w:t xml:space="preserve">Figure 5.7.3.1-1 depicts the resource URIs structure for the </w:t>
      </w:r>
      <w:r>
        <w:rPr>
          <w:lang w:eastAsia="ja-JP"/>
        </w:rPr>
        <w:t>Nnwdaf_RoamingData</w:t>
      </w:r>
      <w:r>
        <w:t xml:space="preserve"> API.</w:t>
      </w:r>
    </w:p>
    <w:p w14:paraId="11C978FD" w14:textId="77777777" w:rsidR="00A10B25" w:rsidRDefault="00A10B25">
      <w:pPr>
        <w:pStyle w:val="TH"/>
        <w:rPr>
          <w:lang w:val="en-US"/>
        </w:rPr>
      </w:pPr>
      <w:r>
        <w:rPr>
          <w:lang w:val="en-US" w:eastAsia="zh-CN"/>
        </w:rPr>
        <w:object w:dxaOrig="6134" w:dyaOrig="2369" w14:anchorId="28F4ED73">
          <v:shape id="Object 62" o:spid="_x0000_i1100" type="#_x0000_t75" style="width:296.75pt;height:113.95pt;mso-position-horizontal-relative:page;mso-position-vertical-relative:page" o:ole="">
            <v:imagedata r:id="rId136" o:title=""/>
          </v:shape>
          <o:OLEObject Type="Embed" ProgID="Visio.Drawing.15" ShapeID="Object 62" DrawAspect="Content" ObjectID="_1810066044" r:id="rId137"/>
        </w:object>
      </w:r>
    </w:p>
    <w:p w14:paraId="79334B56" w14:textId="77777777" w:rsidR="00A10B25" w:rsidRDefault="00A10B25">
      <w:pPr>
        <w:pStyle w:val="TF"/>
      </w:pPr>
      <w:r>
        <w:t>Figure 5.7.3.1-</w:t>
      </w:r>
      <w:r>
        <w:rPr>
          <w:rFonts w:hint="eastAsia"/>
          <w:lang w:eastAsia="zh-CN"/>
        </w:rPr>
        <w:t>1</w:t>
      </w:r>
      <w:r>
        <w:t xml:space="preserve">: Resource URI structure of the </w:t>
      </w:r>
      <w:r>
        <w:rPr>
          <w:lang w:eastAsia="ja-JP"/>
        </w:rPr>
        <w:t>Nnwdaf_RoamingData</w:t>
      </w:r>
      <w:r>
        <w:t xml:space="preserve"> API</w:t>
      </w:r>
    </w:p>
    <w:p w14:paraId="3FDE22BF" w14:textId="77777777" w:rsidR="00A10B25" w:rsidRDefault="00A10B25">
      <w:r>
        <w:t>Table 5.7.3.1-1 provides an overview of the resources and applicable HTTP methods.</w:t>
      </w:r>
    </w:p>
    <w:p w14:paraId="47E7C0A5" w14:textId="77777777" w:rsidR="00A10B25" w:rsidRDefault="00A10B25">
      <w:pPr>
        <w:pStyle w:val="TH"/>
        <w:overflowPunct w:val="0"/>
        <w:autoSpaceDE w:val="0"/>
        <w:autoSpaceDN w:val="0"/>
        <w:adjustRightInd w:val="0"/>
        <w:textAlignment w:val="baseline"/>
        <w:rPr>
          <w:rFonts w:eastAsia="MS Mincho"/>
        </w:rPr>
      </w:pPr>
      <w:r>
        <w:rPr>
          <w:rFonts w:eastAsia="MS Mincho"/>
        </w:rPr>
        <w:t>Table 5.7.3.1-1: Resources and methods overview</w:t>
      </w:r>
    </w:p>
    <w:tbl>
      <w:tblPr>
        <w:tblW w:w="49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06"/>
        <w:gridCol w:w="2713"/>
        <w:gridCol w:w="1357"/>
        <w:gridCol w:w="3005"/>
      </w:tblGrid>
      <w:tr w:rsidR="00A10B25" w14:paraId="567448FA" w14:textId="77777777">
        <w:trPr>
          <w:jc w:val="center"/>
        </w:trPr>
        <w:tc>
          <w:tcPr>
            <w:tcW w:w="1339" w:type="pct"/>
            <w:shd w:val="clear" w:color="auto" w:fill="C0C0C0"/>
            <w:vAlign w:val="center"/>
          </w:tcPr>
          <w:p w14:paraId="20D649D1" w14:textId="77777777" w:rsidR="00A10B25" w:rsidRDefault="00A10B25">
            <w:pPr>
              <w:pStyle w:val="TAH"/>
              <w:ind w:left="400" w:hanging="400"/>
            </w:pPr>
            <w:r>
              <w:t>Resource name</w:t>
            </w:r>
          </w:p>
        </w:tc>
        <w:tc>
          <w:tcPr>
            <w:tcW w:w="1501" w:type="pct"/>
            <w:shd w:val="clear" w:color="auto" w:fill="C0C0C0"/>
            <w:vAlign w:val="center"/>
          </w:tcPr>
          <w:p w14:paraId="57DAA287" w14:textId="77777777" w:rsidR="00A10B25" w:rsidRDefault="00A10B25">
            <w:pPr>
              <w:pStyle w:val="TAH"/>
              <w:ind w:left="400" w:hanging="400"/>
            </w:pPr>
            <w:r>
              <w:t>Resource URI</w:t>
            </w:r>
          </w:p>
        </w:tc>
        <w:tc>
          <w:tcPr>
            <w:tcW w:w="505" w:type="pct"/>
            <w:shd w:val="clear" w:color="auto" w:fill="C0C0C0"/>
            <w:vAlign w:val="center"/>
          </w:tcPr>
          <w:p w14:paraId="7999F972" w14:textId="77777777" w:rsidR="00A10B25" w:rsidRDefault="00A10B25">
            <w:pPr>
              <w:pStyle w:val="TAH"/>
              <w:ind w:left="400" w:hanging="400"/>
            </w:pPr>
            <w:r>
              <w:t>HTTP method or custom operation</w:t>
            </w:r>
          </w:p>
        </w:tc>
        <w:tc>
          <w:tcPr>
            <w:tcW w:w="1655" w:type="pct"/>
            <w:shd w:val="clear" w:color="auto" w:fill="C0C0C0"/>
            <w:vAlign w:val="center"/>
          </w:tcPr>
          <w:p w14:paraId="2303738A" w14:textId="77777777" w:rsidR="00A10B25" w:rsidRDefault="00A10B25">
            <w:pPr>
              <w:pStyle w:val="TAH"/>
              <w:ind w:left="400" w:hanging="400"/>
            </w:pPr>
            <w:r>
              <w:t>Description</w:t>
            </w:r>
          </w:p>
        </w:tc>
      </w:tr>
      <w:tr w:rsidR="00A10B25" w14:paraId="17510503" w14:textId="77777777">
        <w:trPr>
          <w:jc w:val="center"/>
        </w:trPr>
        <w:tc>
          <w:tcPr>
            <w:tcW w:w="0" w:type="auto"/>
            <w:vAlign w:val="center"/>
          </w:tcPr>
          <w:p w14:paraId="4620827A" w14:textId="77777777" w:rsidR="00A10B25" w:rsidRDefault="00A10B25">
            <w:pPr>
              <w:pStyle w:val="TAL"/>
            </w:pPr>
            <w:r>
              <w:t>NWDAF Roaming Data Subscriptions</w:t>
            </w:r>
          </w:p>
        </w:tc>
        <w:tc>
          <w:tcPr>
            <w:tcW w:w="0" w:type="auto"/>
            <w:vAlign w:val="center"/>
          </w:tcPr>
          <w:p w14:paraId="683A4C1F" w14:textId="77777777" w:rsidR="00A10B25" w:rsidRDefault="00A10B25">
            <w:pPr>
              <w:pStyle w:val="TAL"/>
            </w:pPr>
            <w:r>
              <w:t>/subscriptions</w:t>
            </w:r>
          </w:p>
        </w:tc>
        <w:tc>
          <w:tcPr>
            <w:tcW w:w="505" w:type="pct"/>
          </w:tcPr>
          <w:p w14:paraId="1F873E3F" w14:textId="77777777" w:rsidR="00A10B25" w:rsidRDefault="00A10B25">
            <w:pPr>
              <w:pStyle w:val="TAL"/>
            </w:pPr>
            <w:r>
              <w:t>POST</w:t>
            </w:r>
          </w:p>
        </w:tc>
        <w:tc>
          <w:tcPr>
            <w:tcW w:w="1655" w:type="pct"/>
          </w:tcPr>
          <w:p w14:paraId="226BA977" w14:textId="77777777" w:rsidR="00A10B25" w:rsidRDefault="00A10B25">
            <w:pPr>
              <w:pStyle w:val="TAL"/>
            </w:pPr>
            <w:r>
              <w:t>Create a new Individual NWDAF Roaming Data Subscription resource on the NWDAF.</w:t>
            </w:r>
          </w:p>
        </w:tc>
      </w:tr>
      <w:tr w:rsidR="00A10B25" w14:paraId="5C1A399F" w14:textId="77777777">
        <w:trPr>
          <w:trHeight w:val="308"/>
          <w:jc w:val="center"/>
        </w:trPr>
        <w:tc>
          <w:tcPr>
            <w:tcW w:w="0" w:type="auto"/>
            <w:vMerge w:val="restart"/>
            <w:vAlign w:val="center"/>
          </w:tcPr>
          <w:p w14:paraId="1A3A0235" w14:textId="77777777" w:rsidR="00A10B25" w:rsidRDefault="00A10B25">
            <w:pPr>
              <w:pStyle w:val="TAL"/>
            </w:pPr>
            <w:r>
              <w:t>Individual NWDAF Roaming Data Subscription</w:t>
            </w:r>
          </w:p>
        </w:tc>
        <w:tc>
          <w:tcPr>
            <w:tcW w:w="0" w:type="auto"/>
            <w:vMerge w:val="restart"/>
            <w:vAlign w:val="center"/>
          </w:tcPr>
          <w:p w14:paraId="3E7374FC" w14:textId="77777777" w:rsidR="00A10B25" w:rsidRDefault="00A10B25">
            <w:pPr>
              <w:pStyle w:val="TAL"/>
            </w:pPr>
            <w:r>
              <w:t>/subscriptions/{subscriptionId}</w:t>
            </w:r>
          </w:p>
        </w:tc>
        <w:tc>
          <w:tcPr>
            <w:tcW w:w="505" w:type="pct"/>
          </w:tcPr>
          <w:p w14:paraId="6E5BB731" w14:textId="77777777" w:rsidR="00A10B25" w:rsidRDefault="00A10B25">
            <w:pPr>
              <w:pStyle w:val="TAL"/>
            </w:pPr>
            <w:r>
              <w:t>PUT</w:t>
            </w:r>
          </w:p>
        </w:tc>
        <w:tc>
          <w:tcPr>
            <w:tcW w:w="1655" w:type="pct"/>
          </w:tcPr>
          <w:p w14:paraId="4F8FD639" w14:textId="77777777" w:rsidR="00A10B25" w:rsidRDefault="00A10B25">
            <w:pPr>
              <w:pStyle w:val="TAL"/>
            </w:pPr>
            <w:r>
              <w:t>Modifies an existing Roaming Data Subscription resource on the NWDAF.</w:t>
            </w:r>
          </w:p>
        </w:tc>
      </w:tr>
      <w:tr w:rsidR="00A10B25" w14:paraId="6363A9B0" w14:textId="77777777">
        <w:trPr>
          <w:trHeight w:val="307"/>
          <w:jc w:val="center"/>
        </w:trPr>
        <w:tc>
          <w:tcPr>
            <w:tcW w:w="0" w:type="auto"/>
            <w:vMerge/>
            <w:vAlign w:val="center"/>
          </w:tcPr>
          <w:p w14:paraId="75217EB2" w14:textId="77777777" w:rsidR="00A10B25" w:rsidRDefault="00A10B25">
            <w:pPr>
              <w:pStyle w:val="TAL"/>
            </w:pPr>
          </w:p>
        </w:tc>
        <w:tc>
          <w:tcPr>
            <w:tcW w:w="0" w:type="auto"/>
            <w:vMerge/>
            <w:vAlign w:val="center"/>
          </w:tcPr>
          <w:p w14:paraId="21066F1F" w14:textId="77777777" w:rsidR="00A10B25" w:rsidRDefault="00A10B25">
            <w:pPr>
              <w:pStyle w:val="TAL"/>
            </w:pPr>
          </w:p>
        </w:tc>
        <w:tc>
          <w:tcPr>
            <w:tcW w:w="505" w:type="pct"/>
          </w:tcPr>
          <w:p w14:paraId="0EE1C6DD" w14:textId="77777777" w:rsidR="00A10B25" w:rsidRDefault="00A10B25">
            <w:pPr>
              <w:pStyle w:val="TAL"/>
            </w:pPr>
            <w:r>
              <w:t>DELETE</w:t>
            </w:r>
          </w:p>
        </w:tc>
        <w:tc>
          <w:tcPr>
            <w:tcW w:w="1655" w:type="pct"/>
          </w:tcPr>
          <w:p w14:paraId="0696D485" w14:textId="77777777" w:rsidR="00A10B25" w:rsidRDefault="00A10B25">
            <w:pPr>
              <w:pStyle w:val="TAL"/>
            </w:pPr>
            <w:r>
              <w:t>Delete an Individual NWDAF Roaming Data Subscription identified by {subscriptionId} on the NWDAF.</w:t>
            </w:r>
          </w:p>
        </w:tc>
      </w:tr>
    </w:tbl>
    <w:p w14:paraId="0171A7B2" w14:textId="77777777" w:rsidR="00A10B25" w:rsidRDefault="00A10B25"/>
    <w:p w14:paraId="003B1A94" w14:textId="77777777" w:rsidR="00A10B25" w:rsidRDefault="00A10B25">
      <w:pPr>
        <w:pStyle w:val="4"/>
      </w:pPr>
      <w:bookmarkStart w:id="15927" w:name="_Toc164921219"/>
      <w:bookmarkStart w:id="15928" w:name="_Toc170120761"/>
      <w:bookmarkStart w:id="15929" w:name="_Toc175859006"/>
      <w:bookmarkStart w:id="15930" w:name="_Toc175860079"/>
      <w:bookmarkStart w:id="15931" w:name="_Toc180606369"/>
      <w:bookmarkStart w:id="15932" w:name="_Toc185517630"/>
      <w:bookmarkStart w:id="15933" w:name="_Toc191576682"/>
      <w:bookmarkStart w:id="15934" w:name="_Toc191577422"/>
      <w:bookmarkStart w:id="15935" w:name="_Toc192880492"/>
      <w:bookmarkStart w:id="15936" w:name="_Toc195815381"/>
      <w:bookmarkStart w:id="15937" w:name="_Toc199453348"/>
      <w:r>
        <w:t>5.7.3.2</w:t>
      </w:r>
      <w:r>
        <w:tab/>
        <w:t>Resource: NWDAF Roaming Data Subscriptions</w:t>
      </w:r>
      <w:bookmarkEnd w:id="15927"/>
      <w:bookmarkEnd w:id="15928"/>
      <w:bookmarkEnd w:id="15929"/>
      <w:bookmarkEnd w:id="15930"/>
      <w:bookmarkEnd w:id="15931"/>
      <w:bookmarkEnd w:id="15932"/>
      <w:bookmarkEnd w:id="15933"/>
      <w:bookmarkEnd w:id="15934"/>
      <w:bookmarkEnd w:id="15935"/>
      <w:bookmarkEnd w:id="15936"/>
      <w:bookmarkEnd w:id="15937"/>
    </w:p>
    <w:p w14:paraId="76775B1B" w14:textId="77777777" w:rsidR="00A10B25" w:rsidRDefault="00A10B25">
      <w:pPr>
        <w:pStyle w:val="5"/>
      </w:pPr>
      <w:bookmarkStart w:id="15938" w:name="_Toc164921220"/>
      <w:bookmarkStart w:id="15939" w:name="_Toc170120762"/>
      <w:bookmarkStart w:id="15940" w:name="_Toc175859007"/>
      <w:bookmarkStart w:id="15941" w:name="_Toc175860080"/>
      <w:bookmarkStart w:id="15942" w:name="_Toc180606370"/>
      <w:bookmarkStart w:id="15943" w:name="_Toc185517631"/>
      <w:bookmarkStart w:id="15944" w:name="_Toc191576683"/>
      <w:bookmarkStart w:id="15945" w:name="_Toc191577423"/>
      <w:bookmarkStart w:id="15946" w:name="_Toc192880493"/>
      <w:bookmarkStart w:id="15947" w:name="_Toc195815382"/>
      <w:bookmarkStart w:id="15948" w:name="_Toc199453349"/>
      <w:r>
        <w:t>5.7.3.2.1</w:t>
      </w:r>
      <w:r>
        <w:tab/>
        <w:t>Description</w:t>
      </w:r>
      <w:bookmarkEnd w:id="15938"/>
      <w:bookmarkEnd w:id="15939"/>
      <w:bookmarkEnd w:id="15940"/>
      <w:bookmarkEnd w:id="15941"/>
      <w:bookmarkEnd w:id="15942"/>
      <w:bookmarkEnd w:id="15943"/>
      <w:bookmarkEnd w:id="15944"/>
      <w:bookmarkEnd w:id="15945"/>
      <w:bookmarkEnd w:id="15946"/>
      <w:bookmarkEnd w:id="15947"/>
      <w:bookmarkEnd w:id="15948"/>
    </w:p>
    <w:p w14:paraId="5BEF211D" w14:textId="77777777" w:rsidR="00A10B25" w:rsidRDefault="00A10B25">
      <w:r>
        <w:t>The NWDAF Roaming Data Subscriptions resource represents all subscriptions to the Nnwdaf_RoamingData Service at a given RE-NWDAF. The resource allows an NF service consumer to create a new Individual NWDAF Roaming Data Subscription resource.</w:t>
      </w:r>
    </w:p>
    <w:p w14:paraId="7FD6451A" w14:textId="77777777" w:rsidR="00A10B25" w:rsidRDefault="00A10B25">
      <w:pPr>
        <w:pStyle w:val="5"/>
      </w:pPr>
      <w:bookmarkStart w:id="15949" w:name="_Toc164921221"/>
      <w:bookmarkStart w:id="15950" w:name="_Toc170120763"/>
      <w:bookmarkStart w:id="15951" w:name="_Toc175859008"/>
      <w:bookmarkStart w:id="15952" w:name="_Toc175860081"/>
      <w:bookmarkStart w:id="15953" w:name="_Toc180606371"/>
      <w:bookmarkStart w:id="15954" w:name="_Toc185517632"/>
      <w:bookmarkStart w:id="15955" w:name="_Toc191576684"/>
      <w:bookmarkStart w:id="15956" w:name="_Toc191577424"/>
      <w:bookmarkStart w:id="15957" w:name="_Toc192880494"/>
      <w:bookmarkStart w:id="15958" w:name="_Toc195815383"/>
      <w:bookmarkStart w:id="15959" w:name="_Toc199453350"/>
      <w:r>
        <w:t>5.7.3.2.2</w:t>
      </w:r>
      <w:r>
        <w:tab/>
        <w:t>Resource Definition</w:t>
      </w:r>
      <w:bookmarkEnd w:id="15949"/>
      <w:bookmarkEnd w:id="15950"/>
      <w:bookmarkEnd w:id="15951"/>
      <w:bookmarkEnd w:id="15952"/>
      <w:bookmarkEnd w:id="15953"/>
      <w:bookmarkEnd w:id="15954"/>
      <w:bookmarkEnd w:id="15955"/>
      <w:bookmarkEnd w:id="15956"/>
      <w:bookmarkEnd w:id="15957"/>
      <w:bookmarkEnd w:id="15958"/>
      <w:bookmarkEnd w:id="15959"/>
    </w:p>
    <w:p w14:paraId="5A25E20B" w14:textId="77777777" w:rsidR="00A10B25" w:rsidRDefault="00A10B25">
      <w:r>
        <w:t xml:space="preserve">Resource URI: </w:t>
      </w:r>
      <w:r>
        <w:rPr>
          <w:b/>
        </w:rPr>
        <w:t>{apiRoot}/nnwdaf-roamingdata/&lt;apiVersion&gt;/subscriptions</w:t>
      </w:r>
    </w:p>
    <w:p w14:paraId="7A5D938A" w14:textId="77777777" w:rsidR="00A10B25" w:rsidRDefault="00A10B25">
      <w:pPr>
        <w:rPr>
          <w:lang w:val="en-US"/>
        </w:rPr>
      </w:pPr>
      <w:r>
        <w:rPr>
          <w:lang w:val="en-US" w:eastAsia="zh-CN"/>
        </w:rPr>
        <w:t>The &lt;apiVersion&gt; shall be set as described in clause 5.7.1.</w:t>
      </w:r>
    </w:p>
    <w:p w14:paraId="72F20346" w14:textId="77777777" w:rsidR="00A10B25" w:rsidRDefault="00A10B25">
      <w:pPr>
        <w:rPr>
          <w:rFonts w:ascii="Arial" w:hAnsi="Arial" w:cs="Arial"/>
        </w:rPr>
      </w:pPr>
      <w:r>
        <w:t>This resource shall support the resource URI variables defined in table 5.7.3.2.2-1</w:t>
      </w:r>
      <w:r>
        <w:rPr>
          <w:rFonts w:ascii="Arial" w:hAnsi="Arial" w:cs="Arial"/>
        </w:rPr>
        <w:t>.</w:t>
      </w:r>
    </w:p>
    <w:p w14:paraId="4974953B" w14:textId="77777777" w:rsidR="00A10B25" w:rsidRDefault="00A10B25">
      <w:pPr>
        <w:pStyle w:val="TH"/>
        <w:overflowPunct w:val="0"/>
        <w:autoSpaceDE w:val="0"/>
        <w:autoSpaceDN w:val="0"/>
        <w:adjustRightInd w:val="0"/>
        <w:textAlignment w:val="baseline"/>
        <w:rPr>
          <w:rFonts w:eastAsia="MS Mincho"/>
        </w:rPr>
      </w:pPr>
      <w:r>
        <w:rPr>
          <w:rFonts w:eastAsia="MS Mincho"/>
        </w:rPr>
        <w:t>Table 5.7.3.2.2-1: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4DE1E01C" w14:textId="77777777">
        <w:trPr>
          <w:jc w:val="center"/>
        </w:trPr>
        <w:tc>
          <w:tcPr>
            <w:tcW w:w="559" w:type="pct"/>
            <w:shd w:val="clear" w:color="000000" w:fill="C0C0C0"/>
          </w:tcPr>
          <w:p w14:paraId="188DDB91" w14:textId="77777777" w:rsidR="00A10B25" w:rsidRDefault="00A10B25">
            <w:pPr>
              <w:pStyle w:val="TAH"/>
              <w:ind w:left="400" w:hanging="400"/>
            </w:pPr>
            <w:r>
              <w:t>Name</w:t>
            </w:r>
          </w:p>
        </w:tc>
        <w:tc>
          <w:tcPr>
            <w:tcW w:w="636" w:type="pct"/>
            <w:shd w:val="clear" w:color="000000" w:fill="C0C0C0"/>
          </w:tcPr>
          <w:p w14:paraId="152D0911" w14:textId="77777777" w:rsidR="00A10B25" w:rsidRDefault="00A10B25">
            <w:pPr>
              <w:pStyle w:val="TAH"/>
              <w:ind w:left="400" w:hanging="400"/>
            </w:pPr>
            <w:r>
              <w:rPr>
                <w:lang w:eastAsia="zh-CN"/>
              </w:rPr>
              <w:t>Data type</w:t>
            </w:r>
          </w:p>
        </w:tc>
        <w:tc>
          <w:tcPr>
            <w:tcW w:w="3805" w:type="pct"/>
            <w:shd w:val="clear" w:color="000000" w:fill="C0C0C0"/>
            <w:vAlign w:val="center"/>
          </w:tcPr>
          <w:p w14:paraId="7BC19E46" w14:textId="77777777" w:rsidR="00A10B25" w:rsidRDefault="00A10B25">
            <w:pPr>
              <w:pStyle w:val="TAH"/>
              <w:ind w:left="400" w:hanging="400"/>
            </w:pPr>
            <w:r>
              <w:t>Definition</w:t>
            </w:r>
          </w:p>
        </w:tc>
      </w:tr>
      <w:tr w:rsidR="00A10B25" w14:paraId="5613895B" w14:textId="77777777">
        <w:trPr>
          <w:jc w:val="center"/>
        </w:trPr>
        <w:tc>
          <w:tcPr>
            <w:tcW w:w="559" w:type="pct"/>
          </w:tcPr>
          <w:p w14:paraId="6D5F7599" w14:textId="77777777" w:rsidR="00A10B25" w:rsidRDefault="00A10B25">
            <w:pPr>
              <w:pStyle w:val="TAL"/>
            </w:pPr>
            <w:r>
              <w:t>apiRoot</w:t>
            </w:r>
          </w:p>
        </w:tc>
        <w:tc>
          <w:tcPr>
            <w:tcW w:w="636" w:type="pct"/>
          </w:tcPr>
          <w:p w14:paraId="022F7036" w14:textId="77777777" w:rsidR="00A10B25" w:rsidRDefault="00A10B25">
            <w:pPr>
              <w:pStyle w:val="TAL"/>
            </w:pPr>
            <w:r>
              <w:t>string</w:t>
            </w:r>
          </w:p>
        </w:tc>
        <w:tc>
          <w:tcPr>
            <w:tcW w:w="3805" w:type="pct"/>
            <w:vAlign w:val="center"/>
          </w:tcPr>
          <w:p w14:paraId="70F08462" w14:textId="77777777" w:rsidR="00A10B25" w:rsidRDefault="00A10B25">
            <w:pPr>
              <w:pStyle w:val="TAL"/>
            </w:pPr>
            <w:r>
              <w:t>See clause</w:t>
            </w:r>
            <w:r>
              <w:rPr>
                <w:lang w:val="en-US" w:eastAsia="zh-CN"/>
              </w:rPr>
              <w:t> </w:t>
            </w:r>
            <w:r>
              <w:t>5.7.1</w:t>
            </w:r>
          </w:p>
        </w:tc>
      </w:tr>
    </w:tbl>
    <w:p w14:paraId="46894C3D" w14:textId="77777777" w:rsidR="00A10B25" w:rsidRDefault="00A10B25"/>
    <w:p w14:paraId="1C3E9462" w14:textId="77777777" w:rsidR="00A10B25" w:rsidRDefault="00A10B25">
      <w:pPr>
        <w:pStyle w:val="5"/>
      </w:pPr>
      <w:bookmarkStart w:id="15960" w:name="_Toc164921222"/>
      <w:bookmarkStart w:id="15961" w:name="_Toc170120764"/>
      <w:bookmarkStart w:id="15962" w:name="_Toc175859009"/>
      <w:bookmarkStart w:id="15963" w:name="_Toc175860082"/>
      <w:bookmarkStart w:id="15964" w:name="_Toc180606372"/>
      <w:bookmarkStart w:id="15965" w:name="_Toc185517633"/>
      <w:bookmarkStart w:id="15966" w:name="_Toc191576685"/>
      <w:bookmarkStart w:id="15967" w:name="_Toc191577425"/>
      <w:bookmarkStart w:id="15968" w:name="_Toc192880495"/>
      <w:bookmarkStart w:id="15969" w:name="_Toc195815384"/>
      <w:bookmarkStart w:id="15970" w:name="_Toc199453351"/>
      <w:r>
        <w:t>5.7.3.2.3</w:t>
      </w:r>
      <w:r>
        <w:tab/>
        <w:t>Resource Standard Methods</w:t>
      </w:r>
      <w:bookmarkEnd w:id="15960"/>
      <w:bookmarkEnd w:id="15961"/>
      <w:bookmarkEnd w:id="15962"/>
      <w:bookmarkEnd w:id="15963"/>
      <w:bookmarkEnd w:id="15964"/>
      <w:bookmarkEnd w:id="15965"/>
      <w:bookmarkEnd w:id="15966"/>
      <w:bookmarkEnd w:id="15967"/>
      <w:bookmarkEnd w:id="15968"/>
      <w:bookmarkEnd w:id="15969"/>
      <w:bookmarkEnd w:id="15970"/>
    </w:p>
    <w:p w14:paraId="27CF2D60" w14:textId="77777777" w:rsidR="00A10B25" w:rsidRDefault="00A10B25">
      <w:pPr>
        <w:pStyle w:val="6"/>
      </w:pPr>
      <w:bookmarkStart w:id="15971" w:name="_Toc164921223"/>
      <w:bookmarkStart w:id="15972" w:name="_Toc170120765"/>
      <w:bookmarkStart w:id="15973" w:name="_Toc175859010"/>
      <w:bookmarkStart w:id="15974" w:name="_Toc175860083"/>
      <w:bookmarkStart w:id="15975" w:name="_Toc180606373"/>
      <w:bookmarkStart w:id="15976" w:name="_Toc185517634"/>
      <w:bookmarkStart w:id="15977" w:name="_Toc191576686"/>
      <w:bookmarkStart w:id="15978" w:name="_Toc191577426"/>
      <w:bookmarkStart w:id="15979" w:name="_Toc192880496"/>
      <w:bookmarkStart w:id="15980" w:name="_Toc195815385"/>
      <w:bookmarkStart w:id="15981" w:name="_Toc199453352"/>
      <w:r>
        <w:t>5.7.3.2.3.1</w:t>
      </w:r>
      <w:r>
        <w:tab/>
        <w:t>POST</w:t>
      </w:r>
      <w:bookmarkEnd w:id="15971"/>
      <w:bookmarkEnd w:id="15972"/>
      <w:bookmarkEnd w:id="15973"/>
      <w:bookmarkEnd w:id="15974"/>
      <w:bookmarkEnd w:id="15975"/>
      <w:bookmarkEnd w:id="15976"/>
      <w:bookmarkEnd w:id="15977"/>
      <w:bookmarkEnd w:id="15978"/>
      <w:bookmarkEnd w:id="15979"/>
      <w:bookmarkEnd w:id="15980"/>
      <w:bookmarkEnd w:id="15981"/>
    </w:p>
    <w:p w14:paraId="520C7113" w14:textId="77777777" w:rsidR="00A10B25" w:rsidRDefault="00A10B25">
      <w:r>
        <w:t>This method shall support the URI query parameters specified in table 5.7.3.2.3.1-1.</w:t>
      </w:r>
    </w:p>
    <w:p w14:paraId="425ABE65" w14:textId="77777777" w:rsidR="00A10B25" w:rsidRDefault="00A10B25">
      <w:pPr>
        <w:pStyle w:val="TH"/>
        <w:overflowPunct w:val="0"/>
        <w:autoSpaceDE w:val="0"/>
        <w:autoSpaceDN w:val="0"/>
        <w:adjustRightInd w:val="0"/>
        <w:textAlignment w:val="baseline"/>
        <w:rPr>
          <w:rFonts w:eastAsia="MS Mincho"/>
        </w:rPr>
      </w:pPr>
      <w:r>
        <w:rPr>
          <w:rFonts w:eastAsia="MS Mincho"/>
        </w:rPr>
        <w:lastRenderedPageBreak/>
        <w:t>Table 5.7.3.2.3.1-1: URI query parameters supported by the POST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D4772F4" w14:textId="77777777">
        <w:trPr>
          <w:jc w:val="center"/>
        </w:trPr>
        <w:tc>
          <w:tcPr>
            <w:tcW w:w="825" w:type="pct"/>
            <w:tcBorders>
              <w:bottom w:val="single" w:sz="6" w:space="0" w:color="auto"/>
            </w:tcBorders>
            <w:shd w:val="clear" w:color="auto" w:fill="C0C0C0"/>
          </w:tcPr>
          <w:p w14:paraId="2E46F006"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7272ED05"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DFBC6A9" w14:textId="77777777" w:rsidR="00A10B25" w:rsidRDefault="00A10B25">
            <w:pPr>
              <w:pStyle w:val="TAH"/>
              <w:ind w:left="400" w:hanging="400"/>
            </w:pPr>
            <w:r>
              <w:t>P</w:t>
            </w:r>
          </w:p>
        </w:tc>
        <w:tc>
          <w:tcPr>
            <w:tcW w:w="581" w:type="pct"/>
            <w:tcBorders>
              <w:bottom w:val="single" w:sz="6" w:space="0" w:color="auto"/>
            </w:tcBorders>
            <w:shd w:val="clear" w:color="auto" w:fill="C0C0C0"/>
          </w:tcPr>
          <w:p w14:paraId="7F012652"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6A280B54" w14:textId="77777777" w:rsidR="00A10B25" w:rsidRDefault="00A10B25">
            <w:pPr>
              <w:pStyle w:val="TAH"/>
              <w:ind w:left="400" w:hanging="400"/>
            </w:pPr>
            <w:r>
              <w:t>Description</w:t>
            </w:r>
          </w:p>
        </w:tc>
      </w:tr>
      <w:tr w:rsidR="00A10B25" w14:paraId="0471DF8D" w14:textId="77777777">
        <w:trPr>
          <w:jc w:val="center"/>
        </w:trPr>
        <w:tc>
          <w:tcPr>
            <w:tcW w:w="825" w:type="pct"/>
            <w:tcBorders>
              <w:top w:val="single" w:sz="6" w:space="0" w:color="auto"/>
            </w:tcBorders>
          </w:tcPr>
          <w:p w14:paraId="5911C186" w14:textId="77777777" w:rsidR="00A10B25" w:rsidRDefault="00A10B25">
            <w:pPr>
              <w:pStyle w:val="TAL"/>
            </w:pPr>
            <w:r>
              <w:t>n/a</w:t>
            </w:r>
          </w:p>
        </w:tc>
        <w:tc>
          <w:tcPr>
            <w:tcW w:w="732" w:type="pct"/>
            <w:tcBorders>
              <w:top w:val="single" w:sz="6" w:space="0" w:color="auto"/>
            </w:tcBorders>
          </w:tcPr>
          <w:p w14:paraId="193A0514" w14:textId="77777777" w:rsidR="00A10B25" w:rsidRDefault="00A10B25">
            <w:pPr>
              <w:pStyle w:val="TAL"/>
            </w:pPr>
          </w:p>
        </w:tc>
        <w:tc>
          <w:tcPr>
            <w:tcW w:w="217" w:type="pct"/>
            <w:tcBorders>
              <w:top w:val="single" w:sz="6" w:space="0" w:color="auto"/>
            </w:tcBorders>
          </w:tcPr>
          <w:p w14:paraId="61E18A1C" w14:textId="77777777" w:rsidR="00A10B25" w:rsidRDefault="00A10B25">
            <w:pPr>
              <w:pStyle w:val="TAC"/>
            </w:pPr>
          </w:p>
        </w:tc>
        <w:tc>
          <w:tcPr>
            <w:tcW w:w="581" w:type="pct"/>
            <w:tcBorders>
              <w:top w:val="single" w:sz="6" w:space="0" w:color="auto"/>
            </w:tcBorders>
          </w:tcPr>
          <w:p w14:paraId="247C36B4" w14:textId="77777777" w:rsidR="00A10B25" w:rsidRDefault="00A10B25">
            <w:pPr>
              <w:pStyle w:val="TAL"/>
            </w:pPr>
          </w:p>
        </w:tc>
        <w:tc>
          <w:tcPr>
            <w:tcW w:w="2646" w:type="pct"/>
            <w:tcBorders>
              <w:top w:val="single" w:sz="6" w:space="0" w:color="auto"/>
            </w:tcBorders>
            <w:vAlign w:val="center"/>
          </w:tcPr>
          <w:p w14:paraId="4C4B6BC2" w14:textId="77777777" w:rsidR="00A10B25" w:rsidRDefault="00A10B25">
            <w:pPr>
              <w:pStyle w:val="TAL"/>
            </w:pPr>
          </w:p>
        </w:tc>
      </w:tr>
    </w:tbl>
    <w:p w14:paraId="1F99D12F" w14:textId="77777777" w:rsidR="00A10B25" w:rsidRDefault="00A10B25"/>
    <w:p w14:paraId="6AFAAAF3" w14:textId="77777777" w:rsidR="00A10B25" w:rsidRDefault="00A10B25">
      <w:r>
        <w:t>This method shall support the request data structures specified in table 5.7.3.2.3.1-2 and the response data structures and response codes specified in table 5.7.3.2.3.1-3.</w:t>
      </w:r>
    </w:p>
    <w:p w14:paraId="2D7D12EE" w14:textId="77777777" w:rsidR="00A10B25" w:rsidRDefault="00A10B25">
      <w:pPr>
        <w:pStyle w:val="TH"/>
        <w:overflowPunct w:val="0"/>
        <w:autoSpaceDE w:val="0"/>
        <w:autoSpaceDN w:val="0"/>
        <w:adjustRightInd w:val="0"/>
        <w:textAlignment w:val="baseline"/>
        <w:rPr>
          <w:rFonts w:eastAsia="MS Mincho"/>
        </w:rPr>
      </w:pPr>
      <w:r>
        <w:rPr>
          <w:rFonts w:eastAsia="MS Mincho"/>
        </w:rPr>
        <w:t>Table 5.7.3.2.3.1-2: Data structures supported by the POST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7A8D0684" w14:textId="77777777">
        <w:trPr>
          <w:jc w:val="center"/>
        </w:trPr>
        <w:tc>
          <w:tcPr>
            <w:tcW w:w="1612" w:type="dxa"/>
            <w:tcBorders>
              <w:bottom w:val="single" w:sz="6" w:space="0" w:color="auto"/>
            </w:tcBorders>
            <w:shd w:val="clear" w:color="auto" w:fill="C0C0C0"/>
          </w:tcPr>
          <w:p w14:paraId="324C089B" w14:textId="77777777" w:rsidR="00A10B25" w:rsidRDefault="00A10B25">
            <w:pPr>
              <w:pStyle w:val="TAH"/>
              <w:ind w:left="400" w:hanging="400"/>
            </w:pPr>
            <w:r>
              <w:t>Data type</w:t>
            </w:r>
          </w:p>
        </w:tc>
        <w:tc>
          <w:tcPr>
            <w:tcW w:w="422" w:type="dxa"/>
            <w:tcBorders>
              <w:bottom w:val="single" w:sz="6" w:space="0" w:color="auto"/>
            </w:tcBorders>
            <w:shd w:val="clear" w:color="auto" w:fill="C0C0C0"/>
          </w:tcPr>
          <w:p w14:paraId="29F2FB7A" w14:textId="77777777" w:rsidR="00A10B25" w:rsidRDefault="00A10B25">
            <w:pPr>
              <w:pStyle w:val="TAH"/>
              <w:ind w:left="400" w:hanging="400"/>
            </w:pPr>
            <w:r>
              <w:t>P</w:t>
            </w:r>
          </w:p>
        </w:tc>
        <w:tc>
          <w:tcPr>
            <w:tcW w:w="1264" w:type="dxa"/>
            <w:tcBorders>
              <w:bottom w:val="single" w:sz="6" w:space="0" w:color="auto"/>
            </w:tcBorders>
            <w:shd w:val="clear" w:color="auto" w:fill="C0C0C0"/>
          </w:tcPr>
          <w:p w14:paraId="69A630A3" w14:textId="77777777" w:rsidR="00A10B25" w:rsidRDefault="00A10B25">
            <w:pPr>
              <w:pStyle w:val="TAH"/>
              <w:ind w:left="400" w:hanging="400"/>
            </w:pPr>
            <w:r>
              <w:t>Cardinality</w:t>
            </w:r>
          </w:p>
        </w:tc>
        <w:tc>
          <w:tcPr>
            <w:tcW w:w="6381" w:type="dxa"/>
            <w:tcBorders>
              <w:bottom w:val="single" w:sz="6" w:space="0" w:color="auto"/>
            </w:tcBorders>
            <w:shd w:val="clear" w:color="auto" w:fill="C0C0C0"/>
            <w:vAlign w:val="center"/>
          </w:tcPr>
          <w:p w14:paraId="27A4DBB2" w14:textId="77777777" w:rsidR="00A10B25" w:rsidRDefault="00A10B25">
            <w:pPr>
              <w:pStyle w:val="TAH"/>
              <w:ind w:left="400" w:hanging="400"/>
            </w:pPr>
            <w:r>
              <w:t>Description</w:t>
            </w:r>
          </w:p>
        </w:tc>
      </w:tr>
      <w:tr w:rsidR="00A10B25" w14:paraId="4325F48C" w14:textId="77777777">
        <w:trPr>
          <w:jc w:val="center"/>
        </w:trPr>
        <w:tc>
          <w:tcPr>
            <w:tcW w:w="1612" w:type="dxa"/>
            <w:tcBorders>
              <w:top w:val="single" w:sz="6" w:space="0" w:color="auto"/>
            </w:tcBorders>
          </w:tcPr>
          <w:p w14:paraId="0F3FE167" w14:textId="77777777" w:rsidR="00A10B25" w:rsidRDefault="00A10B25">
            <w:pPr>
              <w:pStyle w:val="TAL"/>
            </w:pPr>
            <w:r>
              <w:rPr>
                <w:lang w:eastAsia="ja-JP"/>
              </w:rPr>
              <w:t>RoamingData</w:t>
            </w:r>
            <w:r>
              <w:rPr>
                <w:rFonts w:eastAsia="等线" w:hint="eastAsia"/>
                <w:lang w:eastAsia="zh-CN"/>
              </w:rPr>
              <w:t>Sub</w:t>
            </w:r>
          </w:p>
        </w:tc>
        <w:tc>
          <w:tcPr>
            <w:tcW w:w="422" w:type="dxa"/>
            <w:tcBorders>
              <w:top w:val="single" w:sz="6" w:space="0" w:color="auto"/>
            </w:tcBorders>
          </w:tcPr>
          <w:p w14:paraId="20B6F22E" w14:textId="77777777" w:rsidR="00A10B25" w:rsidRDefault="00A10B25">
            <w:pPr>
              <w:pStyle w:val="TAC"/>
            </w:pPr>
            <w:r>
              <w:t>M</w:t>
            </w:r>
          </w:p>
        </w:tc>
        <w:tc>
          <w:tcPr>
            <w:tcW w:w="1264" w:type="dxa"/>
            <w:tcBorders>
              <w:top w:val="single" w:sz="6" w:space="0" w:color="auto"/>
            </w:tcBorders>
          </w:tcPr>
          <w:p w14:paraId="2575864F" w14:textId="77777777" w:rsidR="00A10B25" w:rsidRDefault="00A10B25">
            <w:pPr>
              <w:pStyle w:val="TAL"/>
            </w:pPr>
            <w:r>
              <w:t>1</w:t>
            </w:r>
          </w:p>
        </w:tc>
        <w:tc>
          <w:tcPr>
            <w:tcW w:w="6381" w:type="dxa"/>
            <w:tcBorders>
              <w:top w:val="single" w:sz="6" w:space="0" w:color="auto"/>
            </w:tcBorders>
          </w:tcPr>
          <w:p w14:paraId="28AE5600" w14:textId="77777777" w:rsidR="00A10B25" w:rsidRDefault="00A10B25">
            <w:pPr>
              <w:pStyle w:val="TAL"/>
            </w:pPr>
            <w:r>
              <w:t xml:space="preserve">Create a new Individual NWDAF Roaming Data </w:t>
            </w:r>
            <w:r>
              <w:rPr>
                <w:lang w:eastAsia="ko-KR"/>
              </w:rPr>
              <w:t xml:space="preserve">Subscription </w:t>
            </w:r>
            <w:r>
              <w:t>resource.</w:t>
            </w:r>
          </w:p>
        </w:tc>
      </w:tr>
    </w:tbl>
    <w:p w14:paraId="222381B1" w14:textId="77777777" w:rsidR="00A10B25" w:rsidRDefault="00A10B25"/>
    <w:p w14:paraId="47332D2E" w14:textId="77777777" w:rsidR="003E1F9F" w:rsidRPr="00F710E9" w:rsidRDefault="003E1F9F" w:rsidP="003E1F9F">
      <w:pPr>
        <w:keepNext/>
        <w:keepLines/>
        <w:overflowPunct w:val="0"/>
        <w:autoSpaceDE w:val="0"/>
        <w:autoSpaceDN w:val="0"/>
        <w:adjustRightInd w:val="0"/>
        <w:spacing w:before="60"/>
        <w:jc w:val="center"/>
        <w:textAlignment w:val="baseline"/>
        <w:rPr>
          <w:rFonts w:ascii="Arial" w:eastAsia="MS Mincho" w:hAnsi="Arial"/>
          <w:b/>
        </w:rPr>
      </w:pPr>
      <w:r w:rsidRPr="00F710E9">
        <w:rPr>
          <w:rFonts w:ascii="Arial" w:eastAsia="MS Mincho" w:hAnsi="Arial"/>
          <w:b/>
        </w:rPr>
        <w:t>Table 5.7.3.2.3.1-3: Data structures supported by the POST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3E1F9F" w:rsidRPr="00F710E9" w14:paraId="62FA4C9B"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1591B4D"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2279076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181ED21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716F837D"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Response</w:t>
            </w:r>
          </w:p>
          <w:p w14:paraId="5E145442"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CF15FF0"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Description</w:t>
            </w:r>
          </w:p>
        </w:tc>
      </w:tr>
      <w:tr w:rsidR="003E1F9F" w:rsidRPr="00F710E9" w14:paraId="5D279DA3"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3759CF05" w14:textId="77777777" w:rsidR="003E1F9F" w:rsidRPr="00F710E9" w:rsidRDefault="003E1F9F" w:rsidP="005A20DD">
            <w:pPr>
              <w:keepNext/>
              <w:keepLines/>
              <w:spacing w:after="0"/>
              <w:rPr>
                <w:rFonts w:ascii="Arial" w:hAnsi="Arial"/>
                <w:sz w:val="18"/>
              </w:rPr>
            </w:pPr>
            <w:r w:rsidRPr="00F710E9">
              <w:rPr>
                <w:rFonts w:ascii="Arial" w:hAnsi="Arial"/>
                <w:sz w:val="18"/>
                <w:lang w:eastAsia="ja-JP"/>
              </w:rPr>
              <w:t>RoamingData</w:t>
            </w:r>
            <w:r w:rsidRPr="00F710E9">
              <w:rPr>
                <w:rFonts w:ascii="Arial" w:eastAsia="等线" w:hAnsi="Arial" w:hint="eastAsia"/>
                <w:sz w:val="18"/>
                <w:lang w:eastAsia="zh-CN"/>
              </w:rPr>
              <w:t>Sub</w:t>
            </w:r>
          </w:p>
        </w:tc>
        <w:tc>
          <w:tcPr>
            <w:tcW w:w="185" w:type="pct"/>
            <w:tcBorders>
              <w:top w:val="single" w:sz="6" w:space="0" w:color="auto"/>
              <w:left w:val="single" w:sz="6" w:space="0" w:color="auto"/>
              <w:bottom w:val="single" w:sz="6" w:space="0" w:color="auto"/>
              <w:right w:val="single" w:sz="6" w:space="0" w:color="auto"/>
            </w:tcBorders>
          </w:tcPr>
          <w:p w14:paraId="0B67BE33"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05" w:type="pct"/>
            <w:tcBorders>
              <w:top w:val="single" w:sz="6" w:space="0" w:color="auto"/>
              <w:left w:val="single" w:sz="6" w:space="0" w:color="auto"/>
              <w:bottom w:val="single" w:sz="6" w:space="0" w:color="auto"/>
              <w:right w:val="single" w:sz="6" w:space="0" w:color="auto"/>
            </w:tcBorders>
          </w:tcPr>
          <w:p w14:paraId="25F853AA" w14:textId="77777777" w:rsidR="003E1F9F" w:rsidRPr="00F710E9" w:rsidRDefault="003E1F9F" w:rsidP="005A20DD">
            <w:pPr>
              <w:keepNext/>
              <w:keepLines/>
              <w:spacing w:after="0"/>
              <w:rPr>
                <w:rFonts w:ascii="Arial" w:hAnsi="Arial"/>
                <w:sz w:val="18"/>
              </w:rPr>
            </w:pPr>
            <w:r w:rsidRPr="00F710E9">
              <w:rPr>
                <w:rFonts w:ascii="Arial" w:hAnsi="Arial"/>
                <w:sz w:val="18"/>
              </w:rPr>
              <w:t>1</w:t>
            </w:r>
          </w:p>
        </w:tc>
        <w:tc>
          <w:tcPr>
            <w:tcW w:w="539" w:type="pct"/>
            <w:tcBorders>
              <w:top w:val="single" w:sz="6" w:space="0" w:color="auto"/>
              <w:left w:val="single" w:sz="6" w:space="0" w:color="auto"/>
              <w:bottom w:val="single" w:sz="6" w:space="0" w:color="auto"/>
              <w:right w:val="single" w:sz="6" w:space="0" w:color="auto"/>
            </w:tcBorders>
          </w:tcPr>
          <w:p w14:paraId="42AE6FE2" w14:textId="77777777" w:rsidR="003E1F9F" w:rsidRPr="00F710E9" w:rsidRDefault="003E1F9F" w:rsidP="005A20DD">
            <w:pPr>
              <w:keepNext/>
              <w:keepLines/>
              <w:spacing w:after="0"/>
              <w:rPr>
                <w:rFonts w:ascii="Arial" w:hAnsi="Arial"/>
                <w:sz w:val="18"/>
              </w:rPr>
            </w:pPr>
            <w:r w:rsidRPr="00F710E9">
              <w:rPr>
                <w:rFonts w:ascii="Arial" w:hAnsi="Arial"/>
                <w:sz w:val="18"/>
              </w:rPr>
              <w:t>201 Created</w:t>
            </w:r>
          </w:p>
        </w:tc>
        <w:tc>
          <w:tcPr>
            <w:tcW w:w="2267" w:type="pct"/>
            <w:tcBorders>
              <w:top w:val="single" w:sz="6" w:space="0" w:color="auto"/>
              <w:left w:val="single" w:sz="6" w:space="0" w:color="auto"/>
              <w:bottom w:val="single" w:sz="6" w:space="0" w:color="auto"/>
              <w:right w:val="single" w:sz="6" w:space="0" w:color="auto"/>
            </w:tcBorders>
          </w:tcPr>
          <w:p w14:paraId="390703C0" w14:textId="77777777" w:rsidR="003E1F9F" w:rsidRPr="00F710E9" w:rsidRDefault="003E1F9F" w:rsidP="005A20DD">
            <w:pPr>
              <w:keepNext/>
              <w:keepLines/>
              <w:spacing w:after="0"/>
              <w:rPr>
                <w:rFonts w:ascii="Arial" w:hAnsi="Arial"/>
                <w:sz w:val="18"/>
              </w:rPr>
            </w:pPr>
            <w:r w:rsidRPr="00F710E9">
              <w:rPr>
                <w:rFonts w:ascii="Arial" w:hAnsi="Arial"/>
                <w:sz w:val="18"/>
              </w:rPr>
              <w:t>The creation of an Individual NWDAF Roaming Data S</w:t>
            </w:r>
            <w:r w:rsidRPr="00F710E9">
              <w:rPr>
                <w:rFonts w:ascii="Arial" w:hAnsi="Arial"/>
                <w:sz w:val="18"/>
                <w:lang w:eastAsia="ko-KR"/>
              </w:rPr>
              <w:t xml:space="preserve">ubscription </w:t>
            </w:r>
            <w:r w:rsidRPr="00F710E9">
              <w:rPr>
                <w:rFonts w:ascii="Arial" w:hAnsi="Arial"/>
                <w:sz w:val="18"/>
              </w:rPr>
              <w:t>resource is confirmed and a representation of that resource is returned.</w:t>
            </w:r>
          </w:p>
        </w:tc>
      </w:tr>
      <w:tr w:rsidR="003E1F9F" w:rsidRPr="00F710E9" w14:paraId="1F89594D"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53D75B98" w14:textId="77777777" w:rsidR="003E1F9F" w:rsidRPr="00F710E9" w:rsidRDefault="003E1F9F" w:rsidP="005A20DD">
            <w:pPr>
              <w:keepNext/>
              <w:keepLines/>
              <w:spacing w:after="0"/>
              <w:rPr>
                <w:rFonts w:ascii="Arial" w:hAnsi="Arial"/>
                <w:sz w:val="18"/>
                <w:lang w:eastAsia="ja-JP"/>
              </w:rPr>
            </w:pPr>
            <w:r w:rsidRPr="00F710E9">
              <w:rPr>
                <w:rFonts w:ascii="Arial" w:eastAsia="等线"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07E1A6D8" w14:textId="77777777" w:rsidR="003E1F9F" w:rsidRPr="00F710E9" w:rsidRDefault="003E1F9F" w:rsidP="005A20DD">
            <w:pPr>
              <w:keepNext/>
              <w:keepLines/>
              <w:spacing w:after="0"/>
              <w:jc w:val="center"/>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76CA7106"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4F5EFB19"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2267" w:type="pct"/>
            <w:tcBorders>
              <w:top w:val="single" w:sz="6" w:space="0" w:color="auto"/>
              <w:left w:val="single" w:sz="6" w:space="0" w:color="auto"/>
              <w:bottom w:val="single" w:sz="6" w:space="0" w:color="auto"/>
              <w:right w:val="single" w:sz="6" w:space="0" w:color="auto"/>
            </w:tcBorders>
          </w:tcPr>
          <w:p w14:paraId="09D3DB1B"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1001D8D6"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7333A52D"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lang w:val="en-US" w:eastAsia="zh-CN"/>
              </w:rPr>
              <w:tab/>
              <w:t xml:space="preserve">The mandatory </w:t>
            </w:r>
            <w:r w:rsidRPr="00F710E9">
              <w:rPr>
                <w:rFonts w:ascii="Arial" w:hAnsi="Arial"/>
                <w:sz w:val="18"/>
              </w:rPr>
              <w:t>HTTP error status codes for the POST method listed in table 5.2.7.1-1 of 3GPP TS 29.500 [6] also apply.</w:t>
            </w:r>
          </w:p>
          <w:p w14:paraId="1F54B71F" w14:textId="77777777" w:rsidR="003E1F9F" w:rsidRPr="00F710E9" w:rsidRDefault="003E1F9F" w:rsidP="005A20DD">
            <w:pPr>
              <w:keepNext/>
              <w:keepLines/>
              <w:spacing w:after="0"/>
              <w:ind w:left="851" w:hanging="851"/>
              <w:rPr>
                <w:rFonts w:ascii="Arial" w:hAnsi="Arial"/>
                <w:sz w:val="18"/>
                <w:lang w:val="en-US" w:eastAsia="zh-CN"/>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5.7.7.</w:t>
            </w:r>
          </w:p>
        </w:tc>
      </w:tr>
    </w:tbl>
    <w:p w14:paraId="31E8428A" w14:textId="77777777" w:rsidR="003E1F9F" w:rsidRPr="00F710E9" w:rsidRDefault="003E1F9F" w:rsidP="003E1F9F"/>
    <w:p w14:paraId="364D75D6" w14:textId="77777777" w:rsidR="00A10B25" w:rsidRDefault="00A10B25">
      <w:pPr>
        <w:pStyle w:val="TH"/>
      </w:pPr>
      <w:r>
        <w:t>Table</w:t>
      </w:r>
      <w:r>
        <w:rPr>
          <w:lang w:val="en-US" w:eastAsia="zh-CN"/>
        </w:rPr>
        <w:t> </w:t>
      </w:r>
      <w:r>
        <w:rPr>
          <w:rFonts w:eastAsia="MS Mincho"/>
        </w:rPr>
        <w:t>5.7.3.2.3.1</w:t>
      </w:r>
      <w:r>
        <w:t xml:space="preserve">-4: Headers supported by the 201 Response Code on this resource </w:t>
      </w:r>
    </w:p>
    <w:tbl>
      <w:tblPr>
        <w:tblW w:w="0" w:type="auto"/>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023A708B" w14:textId="77777777">
        <w:trPr>
          <w:jc w:val="center"/>
        </w:trPr>
        <w:tc>
          <w:tcPr>
            <w:tcW w:w="1832" w:type="dxa"/>
            <w:tcBorders>
              <w:bottom w:val="single" w:sz="6" w:space="0" w:color="auto"/>
            </w:tcBorders>
            <w:shd w:val="clear" w:color="auto" w:fill="C0C0C0"/>
          </w:tcPr>
          <w:p w14:paraId="54AE5414" w14:textId="77777777" w:rsidR="00A10B25" w:rsidRDefault="00A10B25">
            <w:pPr>
              <w:pStyle w:val="TAH"/>
              <w:ind w:left="400" w:hanging="400"/>
            </w:pPr>
            <w:r>
              <w:t>Name</w:t>
            </w:r>
          </w:p>
        </w:tc>
        <w:tc>
          <w:tcPr>
            <w:tcW w:w="1559" w:type="dxa"/>
            <w:tcBorders>
              <w:bottom w:val="single" w:sz="6" w:space="0" w:color="auto"/>
            </w:tcBorders>
            <w:shd w:val="clear" w:color="auto" w:fill="C0C0C0"/>
          </w:tcPr>
          <w:p w14:paraId="3EDC6C17" w14:textId="77777777" w:rsidR="00A10B25" w:rsidRDefault="00A10B25">
            <w:pPr>
              <w:pStyle w:val="TAH"/>
              <w:ind w:left="400" w:hanging="400"/>
            </w:pPr>
            <w:r>
              <w:t>Data type</w:t>
            </w:r>
          </w:p>
        </w:tc>
        <w:tc>
          <w:tcPr>
            <w:tcW w:w="426" w:type="dxa"/>
            <w:tcBorders>
              <w:bottom w:val="single" w:sz="6" w:space="0" w:color="auto"/>
            </w:tcBorders>
            <w:shd w:val="clear" w:color="auto" w:fill="C0C0C0"/>
          </w:tcPr>
          <w:p w14:paraId="292B8C9E" w14:textId="77777777" w:rsidR="00A10B25" w:rsidRDefault="00A10B25">
            <w:pPr>
              <w:pStyle w:val="TAH"/>
              <w:ind w:left="400" w:hanging="400"/>
            </w:pPr>
            <w:r>
              <w:t>P</w:t>
            </w:r>
          </w:p>
        </w:tc>
        <w:tc>
          <w:tcPr>
            <w:tcW w:w="1275" w:type="dxa"/>
            <w:tcBorders>
              <w:bottom w:val="single" w:sz="6" w:space="0" w:color="auto"/>
            </w:tcBorders>
            <w:shd w:val="clear" w:color="auto" w:fill="C0C0C0"/>
          </w:tcPr>
          <w:p w14:paraId="06BE5036" w14:textId="77777777" w:rsidR="00A10B25" w:rsidRDefault="00A10B25">
            <w:pPr>
              <w:pStyle w:val="TAH"/>
              <w:ind w:left="400" w:hanging="400"/>
            </w:pPr>
            <w:r>
              <w:t>Cardinality</w:t>
            </w:r>
          </w:p>
        </w:tc>
        <w:tc>
          <w:tcPr>
            <w:tcW w:w="4524" w:type="dxa"/>
            <w:tcBorders>
              <w:bottom w:val="single" w:sz="6" w:space="0" w:color="auto"/>
            </w:tcBorders>
            <w:shd w:val="clear" w:color="auto" w:fill="C0C0C0"/>
            <w:vAlign w:val="center"/>
          </w:tcPr>
          <w:p w14:paraId="4E17CDAE" w14:textId="77777777" w:rsidR="00A10B25" w:rsidRDefault="00A10B25">
            <w:pPr>
              <w:pStyle w:val="TAH"/>
              <w:ind w:left="400" w:hanging="400"/>
            </w:pPr>
            <w:r>
              <w:t>Description</w:t>
            </w:r>
          </w:p>
        </w:tc>
      </w:tr>
      <w:tr w:rsidR="00A10B25" w14:paraId="7B0FD363" w14:textId="77777777">
        <w:trPr>
          <w:jc w:val="center"/>
        </w:trPr>
        <w:tc>
          <w:tcPr>
            <w:tcW w:w="1832" w:type="dxa"/>
            <w:tcBorders>
              <w:top w:val="single" w:sz="6" w:space="0" w:color="auto"/>
            </w:tcBorders>
          </w:tcPr>
          <w:p w14:paraId="16FC404B" w14:textId="77777777" w:rsidR="00A10B25" w:rsidRDefault="00A10B25">
            <w:pPr>
              <w:pStyle w:val="TAL"/>
            </w:pPr>
            <w:r>
              <w:t>Location</w:t>
            </w:r>
          </w:p>
        </w:tc>
        <w:tc>
          <w:tcPr>
            <w:tcW w:w="1559" w:type="dxa"/>
            <w:tcBorders>
              <w:top w:val="single" w:sz="6" w:space="0" w:color="auto"/>
            </w:tcBorders>
          </w:tcPr>
          <w:p w14:paraId="663B2EC6" w14:textId="77777777" w:rsidR="00A10B25" w:rsidRDefault="00A10B25">
            <w:pPr>
              <w:pStyle w:val="TAL"/>
            </w:pPr>
            <w:r>
              <w:t>string</w:t>
            </w:r>
          </w:p>
        </w:tc>
        <w:tc>
          <w:tcPr>
            <w:tcW w:w="426" w:type="dxa"/>
            <w:tcBorders>
              <w:top w:val="single" w:sz="6" w:space="0" w:color="auto"/>
            </w:tcBorders>
          </w:tcPr>
          <w:p w14:paraId="077E5540" w14:textId="77777777" w:rsidR="00A10B25" w:rsidRDefault="00A10B25">
            <w:pPr>
              <w:pStyle w:val="TAC"/>
            </w:pPr>
            <w:r>
              <w:t>M</w:t>
            </w:r>
          </w:p>
        </w:tc>
        <w:tc>
          <w:tcPr>
            <w:tcW w:w="1275" w:type="dxa"/>
            <w:tcBorders>
              <w:top w:val="single" w:sz="6" w:space="0" w:color="auto"/>
            </w:tcBorders>
          </w:tcPr>
          <w:p w14:paraId="14991A45" w14:textId="77777777" w:rsidR="00A10B25" w:rsidRDefault="00A10B25">
            <w:pPr>
              <w:pStyle w:val="TAL"/>
            </w:pPr>
            <w:r>
              <w:t>1</w:t>
            </w:r>
          </w:p>
        </w:tc>
        <w:tc>
          <w:tcPr>
            <w:tcW w:w="4524" w:type="dxa"/>
            <w:tcBorders>
              <w:top w:val="single" w:sz="6" w:space="0" w:color="auto"/>
            </w:tcBorders>
            <w:vAlign w:val="center"/>
          </w:tcPr>
          <w:p w14:paraId="50918E60" w14:textId="77777777" w:rsidR="00A10B25" w:rsidRDefault="00A10B25">
            <w:pPr>
              <w:pStyle w:val="TAL"/>
            </w:pPr>
            <w:r>
              <w:t>Contains the URI of the newly created resource, according to the structure: {apiRoot}/nnwdaf-roamingdata/&lt;apiVersion&gt;/subscriptions/{</w:t>
            </w:r>
            <w:r>
              <w:rPr>
                <w:lang w:eastAsia="ko-KR"/>
              </w:rPr>
              <w:t>subscription</w:t>
            </w:r>
            <w:r>
              <w:t>Id}</w:t>
            </w:r>
          </w:p>
        </w:tc>
      </w:tr>
    </w:tbl>
    <w:p w14:paraId="292D66FD" w14:textId="77777777" w:rsidR="00A10B25" w:rsidRDefault="00A10B25"/>
    <w:p w14:paraId="4DD4D2A6" w14:textId="77777777" w:rsidR="00A10B25" w:rsidRDefault="00A10B25">
      <w:pPr>
        <w:pStyle w:val="5"/>
      </w:pPr>
      <w:bookmarkStart w:id="15982" w:name="_Toc164921224"/>
      <w:bookmarkStart w:id="15983" w:name="_Toc170120766"/>
      <w:bookmarkStart w:id="15984" w:name="_Toc175859011"/>
      <w:bookmarkStart w:id="15985" w:name="_Toc175860084"/>
      <w:bookmarkStart w:id="15986" w:name="_Toc180606374"/>
      <w:bookmarkStart w:id="15987" w:name="_Toc185517635"/>
      <w:bookmarkStart w:id="15988" w:name="_Toc191576687"/>
      <w:bookmarkStart w:id="15989" w:name="_Toc191577427"/>
      <w:bookmarkStart w:id="15990" w:name="_Toc192880497"/>
      <w:bookmarkStart w:id="15991" w:name="_Toc195815386"/>
      <w:bookmarkStart w:id="15992" w:name="_Toc199453353"/>
      <w:r>
        <w:t>5.7.3.2.4</w:t>
      </w:r>
      <w:r>
        <w:tab/>
        <w:t>Resource Custom Operations</w:t>
      </w:r>
      <w:bookmarkEnd w:id="15982"/>
      <w:bookmarkEnd w:id="15983"/>
      <w:bookmarkEnd w:id="15984"/>
      <w:bookmarkEnd w:id="15985"/>
      <w:bookmarkEnd w:id="15986"/>
      <w:bookmarkEnd w:id="15987"/>
      <w:bookmarkEnd w:id="15988"/>
      <w:bookmarkEnd w:id="15989"/>
      <w:bookmarkEnd w:id="15990"/>
      <w:bookmarkEnd w:id="15991"/>
      <w:bookmarkEnd w:id="15992"/>
    </w:p>
    <w:p w14:paraId="78A202DE" w14:textId="77777777" w:rsidR="00A10B25" w:rsidRDefault="00A10B25">
      <w:pPr>
        <w:rPr>
          <w:lang w:val="en-US" w:eastAsia="zh-CN"/>
        </w:rPr>
      </w:pPr>
      <w:r>
        <w:t>None in this release of the specification.</w:t>
      </w:r>
    </w:p>
    <w:p w14:paraId="7A54F34F" w14:textId="77777777" w:rsidR="00A10B25" w:rsidRDefault="00A10B25">
      <w:pPr>
        <w:pStyle w:val="4"/>
      </w:pPr>
      <w:bookmarkStart w:id="15993" w:name="_Toc164921225"/>
      <w:bookmarkStart w:id="15994" w:name="_Toc170120767"/>
      <w:bookmarkStart w:id="15995" w:name="_Toc175859012"/>
      <w:bookmarkStart w:id="15996" w:name="_Toc175860085"/>
      <w:bookmarkStart w:id="15997" w:name="_Toc180606375"/>
      <w:bookmarkStart w:id="15998" w:name="_Toc185517636"/>
      <w:bookmarkStart w:id="15999" w:name="_Toc191576688"/>
      <w:bookmarkStart w:id="16000" w:name="_Toc191577428"/>
      <w:bookmarkStart w:id="16001" w:name="_Toc192880498"/>
      <w:bookmarkStart w:id="16002" w:name="_Toc195815387"/>
      <w:bookmarkStart w:id="16003" w:name="_Toc199453354"/>
      <w:r>
        <w:t>5.7.3.3</w:t>
      </w:r>
      <w:r>
        <w:tab/>
        <w:t>Resource: Individual NWDAF Roaming Data Subscription</w:t>
      </w:r>
      <w:bookmarkEnd w:id="15993"/>
      <w:bookmarkEnd w:id="15994"/>
      <w:bookmarkEnd w:id="15995"/>
      <w:bookmarkEnd w:id="15996"/>
      <w:bookmarkEnd w:id="15997"/>
      <w:bookmarkEnd w:id="15998"/>
      <w:bookmarkEnd w:id="15999"/>
      <w:bookmarkEnd w:id="16000"/>
      <w:bookmarkEnd w:id="16001"/>
      <w:bookmarkEnd w:id="16002"/>
      <w:bookmarkEnd w:id="16003"/>
    </w:p>
    <w:p w14:paraId="280716DC" w14:textId="77777777" w:rsidR="00A10B25" w:rsidRDefault="00A10B25">
      <w:pPr>
        <w:pStyle w:val="5"/>
      </w:pPr>
      <w:bookmarkStart w:id="16004" w:name="_Toc164921226"/>
      <w:bookmarkStart w:id="16005" w:name="_Toc170120768"/>
      <w:bookmarkStart w:id="16006" w:name="_Toc175859013"/>
      <w:bookmarkStart w:id="16007" w:name="_Toc175860086"/>
      <w:bookmarkStart w:id="16008" w:name="_Toc180606376"/>
      <w:bookmarkStart w:id="16009" w:name="_Toc185517637"/>
      <w:bookmarkStart w:id="16010" w:name="_Toc191576689"/>
      <w:bookmarkStart w:id="16011" w:name="_Toc191577429"/>
      <w:bookmarkStart w:id="16012" w:name="_Toc192880499"/>
      <w:bookmarkStart w:id="16013" w:name="_Toc195815388"/>
      <w:bookmarkStart w:id="16014" w:name="_Toc199453355"/>
      <w:r>
        <w:t>5.7.3.3.1</w:t>
      </w:r>
      <w:r>
        <w:tab/>
        <w:t>Description</w:t>
      </w:r>
      <w:bookmarkEnd w:id="16004"/>
      <w:bookmarkEnd w:id="16005"/>
      <w:bookmarkEnd w:id="16006"/>
      <w:bookmarkEnd w:id="16007"/>
      <w:bookmarkEnd w:id="16008"/>
      <w:bookmarkEnd w:id="16009"/>
      <w:bookmarkEnd w:id="16010"/>
      <w:bookmarkEnd w:id="16011"/>
      <w:bookmarkEnd w:id="16012"/>
      <w:bookmarkEnd w:id="16013"/>
      <w:bookmarkEnd w:id="16014"/>
    </w:p>
    <w:p w14:paraId="3304C4D3" w14:textId="77777777" w:rsidR="00A10B25" w:rsidRDefault="00A10B25">
      <w:r>
        <w:t>The Individual NWDAF Roaming Data Subscription resource represents a single subscription to the Nnwdaf_RoamingData Service at a given RE-NWDAF.</w:t>
      </w:r>
    </w:p>
    <w:p w14:paraId="58FF9064" w14:textId="77777777" w:rsidR="00A10B25" w:rsidRDefault="00A10B25">
      <w:pPr>
        <w:pStyle w:val="5"/>
      </w:pPr>
      <w:bookmarkStart w:id="16015" w:name="_Toc164921227"/>
      <w:bookmarkStart w:id="16016" w:name="_Toc170120769"/>
      <w:bookmarkStart w:id="16017" w:name="_Toc175859014"/>
      <w:bookmarkStart w:id="16018" w:name="_Toc175860087"/>
      <w:bookmarkStart w:id="16019" w:name="_Toc180606377"/>
      <w:bookmarkStart w:id="16020" w:name="_Toc185517638"/>
      <w:bookmarkStart w:id="16021" w:name="_Toc191576690"/>
      <w:bookmarkStart w:id="16022" w:name="_Toc191577430"/>
      <w:bookmarkStart w:id="16023" w:name="_Toc192880500"/>
      <w:bookmarkStart w:id="16024" w:name="_Toc195815389"/>
      <w:bookmarkStart w:id="16025" w:name="_Toc199453356"/>
      <w:r>
        <w:t>5.7.3.3.2</w:t>
      </w:r>
      <w:r>
        <w:tab/>
        <w:t>Resource definition</w:t>
      </w:r>
      <w:bookmarkEnd w:id="16015"/>
      <w:bookmarkEnd w:id="16016"/>
      <w:bookmarkEnd w:id="16017"/>
      <w:bookmarkEnd w:id="16018"/>
      <w:bookmarkEnd w:id="16019"/>
      <w:bookmarkEnd w:id="16020"/>
      <w:bookmarkEnd w:id="16021"/>
      <w:bookmarkEnd w:id="16022"/>
      <w:bookmarkEnd w:id="16023"/>
      <w:bookmarkEnd w:id="16024"/>
      <w:bookmarkEnd w:id="16025"/>
    </w:p>
    <w:p w14:paraId="5F533FF1" w14:textId="77777777" w:rsidR="00A10B25" w:rsidRDefault="00A10B25">
      <w:r>
        <w:t xml:space="preserve">Resource URI: </w:t>
      </w:r>
      <w:r>
        <w:rPr>
          <w:b/>
        </w:rPr>
        <w:t>{apiRoot}/nnwdaf-roamingdata/&lt;apiVersion&gt;/subscriptions/{subscriptionId}</w:t>
      </w:r>
    </w:p>
    <w:p w14:paraId="17C8E4CF" w14:textId="77777777" w:rsidR="00A10B25" w:rsidRDefault="00A10B25">
      <w:pPr>
        <w:rPr>
          <w:lang w:val="en-US"/>
        </w:rPr>
      </w:pPr>
      <w:r>
        <w:rPr>
          <w:lang w:val="en-US" w:eastAsia="zh-CN"/>
        </w:rPr>
        <w:t>The &lt;apiVersion&gt; shall be set as described in clause 5.7.1.</w:t>
      </w:r>
    </w:p>
    <w:p w14:paraId="10FE8E07" w14:textId="77777777" w:rsidR="00A10B25" w:rsidRDefault="00A10B25">
      <w:r>
        <w:t>This resource shall support the resource URI variables defined in table 5.7.3.3.2-1</w:t>
      </w:r>
      <w:r>
        <w:rPr>
          <w:rFonts w:ascii="Arial" w:hAnsi="Arial" w:cs="Arial"/>
        </w:rPr>
        <w:t>.</w:t>
      </w:r>
    </w:p>
    <w:p w14:paraId="109B5832" w14:textId="77777777" w:rsidR="00A10B25" w:rsidRDefault="00A10B25">
      <w:pPr>
        <w:pStyle w:val="TH"/>
      </w:pPr>
      <w:r>
        <w:t>Table 5.7.3.3.2-1: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2A19F17B" w14:textId="77777777">
        <w:trPr>
          <w:jc w:val="center"/>
        </w:trPr>
        <w:tc>
          <w:tcPr>
            <w:tcW w:w="639" w:type="pct"/>
            <w:shd w:val="clear" w:color="000000" w:fill="C0C0C0"/>
          </w:tcPr>
          <w:p w14:paraId="32932BBD" w14:textId="77777777" w:rsidR="00A10B25" w:rsidRDefault="00A10B25">
            <w:pPr>
              <w:pStyle w:val="TAH"/>
              <w:ind w:left="400" w:hanging="400"/>
            </w:pPr>
            <w:r>
              <w:t>Name</w:t>
            </w:r>
          </w:p>
        </w:tc>
        <w:tc>
          <w:tcPr>
            <w:tcW w:w="846" w:type="pct"/>
            <w:shd w:val="clear" w:color="000000" w:fill="C0C0C0"/>
          </w:tcPr>
          <w:p w14:paraId="5301C6A1" w14:textId="77777777" w:rsidR="00A10B25" w:rsidRDefault="00A10B25">
            <w:pPr>
              <w:pStyle w:val="TAH"/>
              <w:ind w:left="400" w:hanging="400"/>
            </w:pPr>
            <w:r>
              <w:rPr>
                <w:lang w:eastAsia="zh-CN"/>
              </w:rPr>
              <w:t>Data type</w:t>
            </w:r>
          </w:p>
        </w:tc>
        <w:tc>
          <w:tcPr>
            <w:tcW w:w="3515" w:type="pct"/>
            <w:shd w:val="clear" w:color="000000" w:fill="C0C0C0"/>
            <w:vAlign w:val="center"/>
          </w:tcPr>
          <w:p w14:paraId="062DE795" w14:textId="77777777" w:rsidR="00A10B25" w:rsidRDefault="00A10B25">
            <w:pPr>
              <w:pStyle w:val="TAH"/>
              <w:ind w:left="400" w:hanging="400"/>
            </w:pPr>
            <w:r>
              <w:t>Definition</w:t>
            </w:r>
          </w:p>
        </w:tc>
      </w:tr>
      <w:tr w:rsidR="00A10B25" w14:paraId="35931DB5" w14:textId="77777777">
        <w:trPr>
          <w:jc w:val="center"/>
        </w:trPr>
        <w:tc>
          <w:tcPr>
            <w:tcW w:w="639" w:type="pct"/>
          </w:tcPr>
          <w:p w14:paraId="4051D7EC" w14:textId="77777777" w:rsidR="00A10B25" w:rsidRDefault="00A10B25">
            <w:pPr>
              <w:pStyle w:val="TAL"/>
            </w:pPr>
            <w:r>
              <w:t>apiRoot</w:t>
            </w:r>
          </w:p>
        </w:tc>
        <w:tc>
          <w:tcPr>
            <w:tcW w:w="846" w:type="pct"/>
          </w:tcPr>
          <w:p w14:paraId="1ED54337" w14:textId="77777777" w:rsidR="00A10B25" w:rsidRDefault="00A10B25">
            <w:pPr>
              <w:pStyle w:val="TAL"/>
            </w:pPr>
            <w:r>
              <w:t>string</w:t>
            </w:r>
          </w:p>
        </w:tc>
        <w:tc>
          <w:tcPr>
            <w:tcW w:w="3515" w:type="pct"/>
            <w:vAlign w:val="center"/>
          </w:tcPr>
          <w:p w14:paraId="76805D95" w14:textId="77777777" w:rsidR="00A10B25" w:rsidRDefault="00A10B25">
            <w:pPr>
              <w:pStyle w:val="TAL"/>
            </w:pPr>
            <w:r>
              <w:t>See clause</w:t>
            </w:r>
            <w:r>
              <w:rPr>
                <w:lang w:val="en-US" w:eastAsia="zh-CN"/>
              </w:rPr>
              <w:t> </w:t>
            </w:r>
            <w:r>
              <w:t>5.7.1.</w:t>
            </w:r>
          </w:p>
        </w:tc>
      </w:tr>
      <w:tr w:rsidR="00A10B25" w14:paraId="7C80A8EF" w14:textId="77777777">
        <w:trPr>
          <w:jc w:val="center"/>
        </w:trPr>
        <w:tc>
          <w:tcPr>
            <w:tcW w:w="639" w:type="pct"/>
          </w:tcPr>
          <w:p w14:paraId="67E776E7" w14:textId="77777777" w:rsidR="00A10B25" w:rsidRDefault="00A10B25">
            <w:pPr>
              <w:pStyle w:val="TAL"/>
            </w:pPr>
            <w:r>
              <w:t>subscriptionId</w:t>
            </w:r>
          </w:p>
        </w:tc>
        <w:tc>
          <w:tcPr>
            <w:tcW w:w="846" w:type="pct"/>
          </w:tcPr>
          <w:p w14:paraId="35C96711" w14:textId="77777777" w:rsidR="00A10B25" w:rsidRDefault="00A10B25">
            <w:pPr>
              <w:pStyle w:val="TAL"/>
            </w:pPr>
            <w:r>
              <w:t>string</w:t>
            </w:r>
          </w:p>
        </w:tc>
        <w:tc>
          <w:tcPr>
            <w:tcW w:w="3515" w:type="pct"/>
            <w:vAlign w:val="center"/>
          </w:tcPr>
          <w:p w14:paraId="0A83C747" w14:textId="77777777" w:rsidR="00A10B25" w:rsidRDefault="00A10B25">
            <w:pPr>
              <w:pStyle w:val="TAL"/>
            </w:pPr>
            <w:r>
              <w:t>Identifies a subscription to the Nnwdaf_RoamingData Service.</w:t>
            </w:r>
          </w:p>
        </w:tc>
      </w:tr>
    </w:tbl>
    <w:p w14:paraId="6EDDD73A" w14:textId="77777777" w:rsidR="00A10B25" w:rsidRDefault="00A10B25"/>
    <w:p w14:paraId="4F96B665" w14:textId="77777777" w:rsidR="00A10B25" w:rsidRDefault="00A10B25">
      <w:pPr>
        <w:pStyle w:val="5"/>
      </w:pPr>
      <w:bookmarkStart w:id="16026" w:name="_Toc164921228"/>
      <w:bookmarkStart w:id="16027" w:name="_Toc170120770"/>
      <w:bookmarkStart w:id="16028" w:name="_Toc175859015"/>
      <w:bookmarkStart w:id="16029" w:name="_Toc175860088"/>
      <w:bookmarkStart w:id="16030" w:name="_Toc180606378"/>
      <w:bookmarkStart w:id="16031" w:name="_Toc185517639"/>
      <w:bookmarkStart w:id="16032" w:name="_Toc191576691"/>
      <w:bookmarkStart w:id="16033" w:name="_Toc191577431"/>
      <w:bookmarkStart w:id="16034" w:name="_Toc192880501"/>
      <w:bookmarkStart w:id="16035" w:name="_Toc195815390"/>
      <w:bookmarkStart w:id="16036" w:name="_Toc199453357"/>
      <w:r>
        <w:lastRenderedPageBreak/>
        <w:t>5.7.3.3.3</w:t>
      </w:r>
      <w:r>
        <w:tab/>
        <w:t>Resource Standard Methods</w:t>
      </w:r>
      <w:bookmarkEnd w:id="16026"/>
      <w:bookmarkEnd w:id="16027"/>
      <w:bookmarkEnd w:id="16028"/>
      <w:bookmarkEnd w:id="16029"/>
      <w:bookmarkEnd w:id="16030"/>
      <w:bookmarkEnd w:id="16031"/>
      <w:bookmarkEnd w:id="16032"/>
      <w:bookmarkEnd w:id="16033"/>
      <w:bookmarkEnd w:id="16034"/>
      <w:bookmarkEnd w:id="16035"/>
      <w:bookmarkEnd w:id="16036"/>
    </w:p>
    <w:p w14:paraId="63E010F0" w14:textId="77777777" w:rsidR="00A10B25" w:rsidRDefault="00A10B25">
      <w:pPr>
        <w:pStyle w:val="6"/>
      </w:pPr>
      <w:bookmarkStart w:id="16037" w:name="_Toc164921229"/>
      <w:bookmarkStart w:id="16038" w:name="_Toc170120771"/>
      <w:bookmarkStart w:id="16039" w:name="_Toc175859016"/>
      <w:bookmarkStart w:id="16040" w:name="_Toc175860089"/>
      <w:bookmarkStart w:id="16041" w:name="_Toc180606379"/>
      <w:bookmarkStart w:id="16042" w:name="_Toc185517640"/>
      <w:bookmarkStart w:id="16043" w:name="_Toc191576692"/>
      <w:bookmarkStart w:id="16044" w:name="_Toc191577432"/>
      <w:bookmarkStart w:id="16045" w:name="_Toc192880502"/>
      <w:bookmarkStart w:id="16046" w:name="_Toc195815391"/>
      <w:bookmarkStart w:id="16047" w:name="_Toc199453358"/>
      <w:r>
        <w:t>5.7.3.3.3.1</w:t>
      </w:r>
      <w:r>
        <w:tab/>
        <w:t>PUT</w:t>
      </w:r>
      <w:bookmarkEnd w:id="16037"/>
      <w:bookmarkEnd w:id="16038"/>
      <w:bookmarkEnd w:id="16039"/>
      <w:bookmarkEnd w:id="16040"/>
      <w:bookmarkEnd w:id="16041"/>
      <w:bookmarkEnd w:id="16042"/>
      <w:bookmarkEnd w:id="16043"/>
      <w:bookmarkEnd w:id="16044"/>
      <w:bookmarkEnd w:id="16045"/>
      <w:bookmarkEnd w:id="16046"/>
      <w:bookmarkEnd w:id="16047"/>
    </w:p>
    <w:p w14:paraId="25F6B5A2" w14:textId="77777777" w:rsidR="00A10B25" w:rsidRDefault="00A10B25">
      <w:pPr>
        <w:rPr>
          <w:rFonts w:eastAsia="等线"/>
        </w:rPr>
      </w:pPr>
      <w:r>
        <w:rPr>
          <w:rFonts w:eastAsia="等线"/>
        </w:rPr>
        <w:t>This method shall support the URI query parameters specified in table 5.7.3.3.3.1-1.</w:t>
      </w:r>
    </w:p>
    <w:p w14:paraId="04A2D7A7" w14:textId="77777777" w:rsidR="00A10B25" w:rsidRDefault="00A10B25">
      <w:pPr>
        <w:pStyle w:val="TH"/>
        <w:rPr>
          <w:rFonts w:cs="Arial"/>
        </w:rPr>
      </w:pPr>
      <w:r>
        <w:t>Table 5.7.3.3.3.1-1: URI query parameters supported by the PUT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A7F9E09" w14:textId="77777777">
        <w:trPr>
          <w:jc w:val="center"/>
        </w:trPr>
        <w:tc>
          <w:tcPr>
            <w:tcW w:w="825" w:type="pct"/>
            <w:tcBorders>
              <w:bottom w:val="single" w:sz="6" w:space="0" w:color="auto"/>
            </w:tcBorders>
            <w:shd w:val="clear" w:color="auto" w:fill="C0C0C0"/>
          </w:tcPr>
          <w:p w14:paraId="7637E64D"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598B007F"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449EF0F6" w14:textId="77777777" w:rsidR="00A10B25" w:rsidRDefault="00A10B25">
            <w:pPr>
              <w:pStyle w:val="TAH"/>
              <w:ind w:left="400" w:hanging="400"/>
            </w:pPr>
            <w:r>
              <w:t>P</w:t>
            </w:r>
          </w:p>
        </w:tc>
        <w:tc>
          <w:tcPr>
            <w:tcW w:w="581" w:type="pct"/>
            <w:tcBorders>
              <w:bottom w:val="single" w:sz="6" w:space="0" w:color="auto"/>
            </w:tcBorders>
            <w:shd w:val="clear" w:color="auto" w:fill="C0C0C0"/>
          </w:tcPr>
          <w:p w14:paraId="208EEBA1"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25F2464C" w14:textId="77777777" w:rsidR="00A10B25" w:rsidRDefault="00A10B25">
            <w:pPr>
              <w:pStyle w:val="TAH"/>
              <w:ind w:left="400" w:hanging="400"/>
            </w:pPr>
            <w:r>
              <w:t>Description</w:t>
            </w:r>
          </w:p>
        </w:tc>
      </w:tr>
      <w:tr w:rsidR="00A10B25" w14:paraId="6B6D7B3B" w14:textId="77777777">
        <w:trPr>
          <w:jc w:val="center"/>
        </w:trPr>
        <w:tc>
          <w:tcPr>
            <w:tcW w:w="825" w:type="pct"/>
            <w:tcBorders>
              <w:top w:val="single" w:sz="6" w:space="0" w:color="auto"/>
            </w:tcBorders>
          </w:tcPr>
          <w:p w14:paraId="6CDEA399" w14:textId="77777777" w:rsidR="00A10B25" w:rsidRDefault="00A10B25">
            <w:pPr>
              <w:pStyle w:val="TAL"/>
            </w:pPr>
            <w:r>
              <w:t>n/a</w:t>
            </w:r>
          </w:p>
        </w:tc>
        <w:tc>
          <w:tcPr>
            <w:tcW w:w="732" w:type="pct"/>
            <w:tcBorders>
              <w:top w:val="single" w:sz="6" w:space="0" w:color="auto"/>
            </w:tcBorders>
          </w:tcPr>
          <w:p w14:paraId="343706BD" w14:textId="77777777" w:rsidR="00A10B25" w:rsidRDefault="00A10B25">
            <w:pPr>
              <w:pStyle w:val="TAL"/>
            </w:pPr>
          </w:p>
        </w:tc>
        <w:tc>
          <w:tcPr>
            <w:tcW w:w="217" w:type="pct"/>
            <w:tcBorders>
              <w:top w:val="single" w:sz="6" w:space="0" w:color="auto"/>
            </w:tcBorders>
          </w:tcPr>
          <w:p w14:paraId="3E0A58B4" w14:textId="77777777" w:rsidR="00A10B25" w:rsidRDefault="00A10B25">
            <w:pPr>
              <w:pStyle w:val="TAC"/>
            </w:pPr>
          </w:p>
        </w:tc>
        <w:tc>
          <w:tcPr>
            <w:tcW w:w="581" w:type="pct"/>
            <w:tcBorders>
              <w:top w:val="single" w:sz="6" w:space="0" w:color="auto"/>
            </w:tcBorders>
          </w:tcPr>
          <w:p w14:paraId="2DF9B547" w14:textId="77777777" w:rsidR="00A10B25" w:rsidRDefault="00A10B25">
            <w:pPr>
              <w:pStyle w:val="TAL"/>
            </w:pPr>
          </w:p>
        </w:tc>
        <w:tc>
          <w:tcPr>
            <w:tcW w:w="2646" w:type="pct"/>
            <w:tcBorders>
              <w:top w:val="single" w:sz="6" w:space="0" w:color="auto"/>
            </w:tcBorders>
            <w:vAlign w:val="center"/>
          </w:tcPr>
          <w:p w14:paraId="5FAC2DFF" w14:textId="77777777" w:rsidR="00A10B25" w:rsidRDefault="00A10B25">
            <w:pPr>
              <w:pStyle w:val="TAL"/>
            </w:pPr>
          </w:p>
        </w:tc>
      </w:tr>
    </w:tbl>
    <w:p w14:paraId="621D8057" w14:textId="77777777" w:rsidR="00A10B25" w:rsidRDefault="00A10B25">
      <w:pPr>
        <w:rPr>
          <w:rFonts w:eastAsia="等线"/>
        </w:rPr>
      </w:pPr>
    </w:p>
    <w:p w14:paraId="20D177D4" w14:textId="77777777" w:rsidR="00A10B25" w:rsidRDefault="00A10B25">
      <w:pPr>
        <w:rPr>
          <w:rFonts w:eastAsia="等线"/>
        </w:rPr>
      </w:pPr>
      <w:r>
        <w:rPr>
          <w:rFonts w:eastAsia="等线"/>
        </w:rPr>
        <w:t>This method shall support the request data structures specified in table 5.7.3.3.3.1-2 and the response data structures and response codes specified in table 5.7.3.3.3.1-3.</w:t>
      </w:r>
    </w:p>
    <w:p w14:paraId="1EEEBAE9" w14:textId="77777777" w:rsidR="00A10B25" w:rsidRDefault="00A10B25">
      <w:pPr>
        <w:pStyle w:val="TH"/>
      </w:pPr>
      <w:r>
        <w:t>Table 5.7.3.3.3.1-2: Data structures supported by the PUT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49588864" w14:textId="77777777">
        <w:trPr>
          <w:jc w:val="center"/>
        </w:trPr>
        <w:tc>
          <w:tcPr>
            <w:tcW w:w="2539" w:type="dxa"/>
            <w:tcBorders>
              <w:bottom w:val="single" w:sz="6" w:space="0" w:color="auto"/>
            </w:tcBorders>
            <w:shd w:val="clear" w:color="auto" w:fill="C0C0C0"/>
          </w:tcPr>
          <w:p w14:paraId="47854DA4" w14:textId="77777777" w:rsidR="00A10B25" w:rsidRDefault="00A10B25">
            <w:pPr>
              <w:pStyle w:val="TAH"/>
              <w:ind w:left="400" w:hanging="400"/>
            </w:pPr>
            <w:r>
              <w:t>Data type</w:t>
            </w:r>
          </w:p>
        </w:tc>
        <w:tc>
          <w:tcPr>
            <w:tcW w:w="450" w:type="dxa"/>
            <w:tcBorders>
              <w:bottom w:val="single" w:sz="6" w:space="0" w:color="auto"/>
            </w:tcBorders>
            <w:shd w:val="clear" w:color="auto" w:fill="C0C0C0"/>
          </w:tcPr>
          <w:p w14:paraId="600073FA" w14:textId="77777777" w:rsidR="00A10B25" w:rsidRDefault="00A10B25">
            <w:pPr>
              <w:pStyle w:val="TAH"/>
              <w:ind w:left="400" w:hanging="400"/>
            </w:pPr>
            <w:r>
              <w:t>P</w:t>
            </w:r>
          </w:p>
        </w:tc>
        <w:tc>
          <w:tcPr>
            <w:tcW w:w="1170" w:type="dxa"/>
            <w:tcBorders>
              <w:bottom w:val="single" w:sz="6" w:space="0" w:color="auto"/>
            </w:tcBorders>
            <w:shd w:val="clear" w:color="auto" w:fill="C0C0C0"/>
          </w:tcPr>
          <w:p w14:paraId="0C6E3123" w14:textId="77777777" w:rsidR="00A10B25" w:rsidRDefault="00A10B25">
            <w:pPr>
              <w:pStyle w:val="TAH"/>
              <w:ind w:left="400" w:hanging="400"/>
            </w:pPr>
            <w:r>
              <w:t>Cardinality</w:t>
            </w:r>
          </w:p>
        </w:tc>
        <w:tc>
          <w:tcPr>
            <w:tcW w:w="5518" w:type="dxa"/>
            <w:tcBorders>
              <w:bottom w:val="single" w:sz="6" w:space="0" w:color="auto"/>
            </w:tcBorders>
            <w:shd w:val="clear" w:color="auto" w:fill="C0C0C0"/>
            <w:vAlign w:val="center"/>
          </w:tcPr>
          <w:p w14:paraId="7A5FD418" w14:textId="77777777" w:rsidR="00A10B25" w:rsidRDefault="00A10B25">
            <w:pPr>
              <w:pStyle w:val="TAH"/>
              <w:ind w:left="400" w:hanging="400"/>
            </w:pPr>
            <w:r>
              <w:t>Description</w:t>
            </w:r>
          </w:p>
        </w:tc>
      </w:tr>
      <w:tr w:rsidR="00A10B25" w14:paraId="7537D1F4" w14:textId="77777777">
        <w:trPr>
          <w:jc w:val="center"/>
        </w:trPr>
        <w:tc>
          <w:tcPr>
            <w:tcW w:w="2539" w:type="dxa"/>
            <w:tcBorders>
              <w:top w:val="single" w:sz="6" w:space="0" w:color="auto"/>
            </w:tcBorders>
          </w:tcPr>
          <w:p w14:paraId="64753EEA" w14:textId="77777777" w:rsidR="00A10B25" w:rsidRDefault="00A10B25">
            <w:pPr>
              <w:pStyle w:val="TAL"/>
            </w:pPr>
            <w:r>
              <w:rPr>
                <w:lang w:eastAsia="ja-JP"/>
              </w:rPr>
              <w:t>RoamingData</w:t>
            </w:r>
            <w:r>
              <w:rPr>
                <w:rFonts w:eastAsia="等线" w:hint="eastAsia"/>
                <w:lang w:eastAsia="zh-CN"/>
              </w:rPr>
              <w:t>Sub</w:t>
            </w:r>
          </w:p>
        </w:tc>
        <w:tc>
          <w:tcPr>
            <w:tcW w:w="450" w:type="dxa"/>
            <w:tcBorders>
              <w:top w:val="single" w:sz="6" w:space="0" w:color="auto"/>
            </w:tcBorders>
          </w:tcPr>
          <w:p w14:paraId="00FB8801" w14:textId="77777777" w:rsidR="00A10B25" w:rsidRDefault="00A10B25">
            <w:pPr>
              <w:pStyle w:val="TAC"/>
            </w:pPr>
            <w:r>
              <w:t>M</w:t>
            </w:r>
          </w:p>
        </w:tc>
        <w:tc>
          <w:tcPr>
            <w:tcW w:w="1170" w:type="dxa"/>
            <w:tcBorders>
              <w:top w:val="single" w:sz="6" w:space="0" w:color="auto"/>
            </w:tcBorders>
          </w:tcPr>
          <w:p w14:paraId="4C9D3E8B" w14:textId="77777777" w:rsidR="00A10B25" w:rsidRDefault="00A10B25">
            <w:pPr>
              <w:pStyle w:val="TAC"/>
            </w:pPr>
            <w:r>
              <w:t>1</w:t>
            </w:r>
          </w:p>
        </w:tc>
        <w:tc>
          <w:tcPr>
            <w:tcW w:w="5518" w:type="dxa"/>
            <w:tcBorders>
              <w:top w:val="single" w:sz="6" w:space="0" w:color="auto"/>
            </w:tcBorders>
          </w:tcPr>
          <w:p w14:paraId="47752C78" w14:textId="77777777" w:rsidR="00A10B25" w:rsidRDefault="00A10B25">
            <w:pPr>
              <w:pStyle w:val="TAL"/>
            </w:pPr>
            <w:r>
              <w:t>Parameters to replace a subscription to NWDAF Roaming Data Subscription resource.</w:t>
            </w:r>
          </w:p>
        </w:tc>
      </w:tr>
    </w:tbl>
    <w:p w14:paraId="797E8016" w14:textId="77777777" w:rsidR="00A10B25" w:rsidRDefault="00A10B25">
      <w:pPr>
        <w:rPr>
          <w:rFonts w:eastAsia="等线"/>
        </w:rPr>
      </w:pPr>
    </w:p>
    <w:p w14:paraId="0504D557" w14:textId="77777777" w:rsidR="003E1F9F" w:rsidRPr="00F710E9" w:rsidRDefault="003E1F9F" w:rsidP="003E1F9F">
      <w:pPr>
        <w:keepNext/>
        <w:keepLines/>
        <w:spacing w:before="60"/>
        <w:jc w:val="center"/>
        <w:rPr>
          <w:rFonts w:ascii="Arial" w:hAnsi="Arial"/>
          <w:b/>
        </w:rPr>
      </w:pPr>
      <w:r w:rsidRPr="00F710E9">
        <w:rPr>
          <w:rFonts w:ascii="Arial" w:hAnsi="Arial"/>
          <w:b/>
        </w:rPr>
        <w:t>Table 5.7.3.3.3.1-3: Data structures supported by the PUT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6"/>
        <w:gridCol w:w="1199"/>
        <w:gridCol w:w="1641"/>
        <w:gridCol w:w="3615"/>
      </w:tblGrid>
      <w:tr w:rsidR="003E1F9F" w:rsidRPr="00F710E9" w14:paraId="6D776EE0"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25791C23"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Data type</w:t>
            </w:r>
          </w:p>
        </w:tc>
        <w:tc>
          <w:tcPr>
            <w:tcW w:w="208" w:type="pct"/>
            <w:tcBorders>
              <w:top w:val="single" w:sz="6" w:space="0" w:color="auto"/>
              <w:left w:val="single" w:sz="6" w:space="0" w:color="auto"/>
              <w:bottom w:val="single" w:sz="6" w:space="0" w:color="auto"/>
              <w:right w:val="single" w:sz="6" w:space="0" w:color="auto"/>
            </w:tcBorders>
            <w:shd w:val="clear" w:color="auto" w:fill="C0C0C0"/>
          </w:tcPr>
          <w:p w14:paraId="323920AA"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54A6EB34"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229A14B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0C1A7141"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Description</w:t>
            </w:r>
          </w:p>
        </w:tc>
      </w:tr>
      <w:tr w:rsidR="003E1F9F" w:rsidRPr="00F710E9" w14:paraId="36108082"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9E58448" w14:textId="77777777" w:rsidR="003E1F9F" w:rsidRPr="00F710E9" w:rsidRDefault="003E1F9F" w:rsidP="005A20DD">
            <w:pPr>
              <w:keepNext/>
              <w:keepLines/>
              <w:spacing w:after="0"/>
              <w:rPr>
                <w:rFonts w:ascii="Arial" w:hAnsi="Arial"/>
                <w:sz w:val="18"/>
              </w:rPr>
            </w:pPr>
            <w:r w:rsidRPr="00F710E9">
              <w:rPr>
                <w:rFonts w:ascii="Arial" w:hAnsi="Arial"/>
                <w:sz w:val="18"/>
                <w:lang w:eastAsia="ja-JP"/>
              </w:rPr>
              <w:t>RoamingData</w:t>
            </w:r>
            <w:r w:rsidRPr="00F710E9">
              <w:rPr>
                <w:rFonts w:ascii="Arial" w:eastAsia="等线" w:hAnsi="Arial" w:hint="eastAsia"/>
                <w:sz w:val="18"/>
                <w:lang w:eastAsia="zh-CN"/>
              </w:rPr>
              <w:t>Sub</w:t>
            </w:r>
          </w:p>
        </w:tc>
        <w:tc>
          <w:tcPr>
            <w:tcW w:w="208" w:type="pct"/>
            <w:tcBorders>
              <w:top w:val="single" w:sz="6" w:space="0" w:color="auto"/>
              <w:left w:val="single" w:sz="6" w:space="0" w:color="auto"/>
              <w:bottom w:val="single" w:sz="6" w:space="0" w:color="auto"/>
              <w:right w:val="single" w:sz="6" w:space="0" w:color="auto"/>
            </w:tcBorders>
          </w:tcPr>
          <w:p w14:paraId="15109035"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29" w:type="pct"/>
            <w:tcBorders>
              <w:top w:val="single" w:sz="6" w:space="0" w:color="auto"/>
              <w:left w:val="single" w:sz="6" w:space="0" w:color="auto"/>
              <w:bottom w:val="single" w:sz="6" w:space="0" w:color="auto"/>
              <w:right w:val="single" w:sz="6" w:space="0" w:color="auto"/>
            </w:tcBorders>
          </w:tcPr>
          <w:p w14:paraId="3778F0C2" w14:textId="77777777" w:rsidR="003E1F9F" w:rsidRPr="00F710E9" w:rsidRDefault="003E1F9F" w:rsidP="005A20DD">
            <w:pPr>
              <w:keepNext/>
              <w:keepLines/>
              <w:spacing w:after="0"/>
              <w:jc w:val="center"/>
              <w:rPr>
                <w:rFonts w:ascii="Arial" w:hAnsi="Arial"/>
                <w:sz w:val="18"/>
              </w:rPr>
            </w:pPr>
            <w:r w:rsidRPr="00F710E9">
              <w:rPr>
                <w:rFonts w:ascii="Arial" w:hAnsi="Arial"/>
                <w:sz w:val="18"/>
              </w:rPr>
              <w:t>1</w:t>
            </w:r>
          </w:p>
        </w:tc>
        <w:tc>
          <w:tcPr>
            <w:tcW w:w="861" w:type="pct"/>
            <w:tcBorders>
              <w:top w:val="single" w:sz="6" w:space="0" w:color="auto"/>
              <w:left w:val="single" w:sz="6" w:space="0" w:color="auto"/>
              <w:bottom w:val="single" w:sz="6" w:space="0" w:color="auto"/>
              <w:right w:val="single" w:sz="6" w:space="0" w:color="auto"/>
            </w:tcBorders>
          </w:tcPr>
          <w:p w14:paraId="35B92276" w14:textId="77777777" w:rsidR="003E1F9F" w:rsidRPr="00F710E9" w:rsidRDefault="003E1F9F" w:rsidP="005A20DD">
            <w:pPr>
              <w:keepNext/>
              <w:keepLines/>
              <w:spacing w:after="0"/>
              <w:rPr>
                <w:rFonts w:ascii="Arial" w:hAnsi="Arial"/>
                <w:sz w:val="18"/>
              </w:rPr>
            </w:pPr>
            <w:r w:rsidRPr="00F710E9">
              <w:rPr>
                <w:rFonts w:ascii="Arial" w:hAnsi="Arial"/>
                <w:sz w:val="18"/>
              </w:rPr>
              <w:t>200 OK</w:t>
            </w:r>
          </w:p>
        </w:tc>
        <w:tc>
          <w:tcPr>
            <w:tcW w:w="1897" w:type="pct"/>
            <w:tcBorders>
              <w:top w:val="single" w:sz="6" w:space="0" w:color="auto"/>
              <w:left w:val="single" w:sz="6" w:space="0" w:color="auto"/>
              <w:bottom w:val="single" w:sz="6" w:space="0" w:color="auto"/>
              <w:right w:val="single" w:sz="6" w:space="0" w:color="auto"/>
            </w:tcBorders>
          </w:tcPr>
          <w:p w14:paraId="1A6BD67F" w14:textId="77777777" w:rsidR="003E1F9F" w:rsidRPr="00F710E9" w:rsidRDefault="003E1F9F" w:rsidP="005A20DD">
            <w:pPr>
              <w:keepNext/>
              <w:keepLines/>
              <w:spacing w:after="0"/>
              <w:rPr>
                <w:rFonts w:ascii="Arial" w:hAnsi="Arial"/>
                <w:sz w:val="18"/>
              </w:rPr>
            </w:pPr>
            <w:r w:rsidRPr="00F710E9">
              <w:rPr>
                <w:rFonts w:ascii="Arial" w:hAnsi="Arial"/>
                <w:sz w:val="18"/>
              </w:rPr>
              <w:t>The Individual NWDAF Roaming Data Subscription resource was modified successfully and a representation of that resource is returned.</w:t>
            </w:r>
          </w:p>
        </w:tc>
      </w:tr>
      <w:tr w:rsidR="003E1F9F" w:rsidRPr="00F710E9" w14:paraId="5C4486CA"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321EC1CF" w14:textId="77777777" w:rsidR="003E1F9F" w:rsidRPr="00F710E9" w:rsidRDefault="003E1F9F" w:rsidP="005A20DD">
            <w:pPr>
              <w:keepNext/>
              <w:keepLines/>
              <w:spacing w:after="0"/>
              <w:rPr>
                <w:rFonts w:ascii="Arial" w:eastAsia="等线" w:hAnsi="Arial"/>
                <w:sz w:val="18"/>
                <w:lang w:eastAsia="zh-CN"/>
              </w:rPr>
            </w:pPr>
            <w:r w:rsidRPr="00F710E9">
              <w:rPr>
                <w:rFonts w:ascii="Arial" w:eastAsia="等线" w:hAnsi="Arial"/>
                <w:sz w:val="18"/>
                <w:lang w:eastAsia="zh-CN"/>
              </w:rPr>
              <w:t>n/a</w:t>
            </w:r>
          </w:p>
        </w:tc>
        <w:tc>
          <w:tcPr>
            <w:tcW w:w="208" w:type="pct"/>
            <w:tcBorders>
              <w:top w:val="single" w:sz="6" w:space="0" w:color="auto"/>
              <w:left w:val="single" w:sz="6" w:space="0" w:color="auto"/>
              <w:bottom w:val="single" w:sz="6" w:space="0" w:color="auto"/>
              <w:right w:val="single" w:sz="6" w:space="0" w:color="auto"/>
            </w:tcBorders>
          </w:tcPr>
          <w:p w14:paraId="60FE0015" w14:textId="77777777" w:rsidR="003E1F9F" w:rsidRPr="00F710E9" w:rsidRDefault="003E1F9F" w:rsidP="005A20DD">
            <w:pPr>
              <w:keepNext/>
              <w:keepLines/>
              <w:spacing w:after="0"/>
              <w:jc w:val="center"/>
              <w:rPr>
                <w:rFonts w:ascii="Arial" w:eastAsia="等线" w:hAnsi="Arial"/>
                <w:sz w:val="18"/>
              </w:rPr>
            </w:pPr>
          </w:p>
        </w:tc>
        <w:tc>
          <w:tcPr>
            <w:tcW w:w="629" w:type="pct"/>
            <w:tcBorders>
              <w:top w:val="single" w:sz="6" w:space="0" w:color="auto"/>
              <w:left w:val="single" w:sz="6" w:space="0" w:color="auto"/>
              <w:bottom w:val="single" w:sz="6" w:space="0" w:color="auto"/>
              <w:right w:val="single" w:sz="6" w:space="0" w:color="auto"/>
            </w:tcBorders>
          </w:tcPr>
          <w:p w14:paraId="0B561653" w14:textId="77777777" w:rsidR="003E1F9F" w:rsidRPr="00F710E9" w:rsidRDefault="003E1F9F" w:rsidP="005A20DD">
            <w:pPr>
              <w:keepNext/>
              <w:keepLines/>
              <w:spacing w:after="0"/>
              <w:jc w:val="center"/>
              <w:rPr>
                <w:rFonts w:ascii="Arial" w:hAnsi="Arial"/>
                <w:sz w:val="18"/>
              </w:rPr>
            </w:pPr>
          </w:p>
        </w:tc>
        <w:tc>
          <w:tcPr>
            <w:tcW w:w="861" w:type="pct"/>
            <w:tcBorders>
              <w:top w:val="single" w:sz="6" w:space="0" w:color="auto"/>
              <w:left w:val="single" w:sz="6" w:space="0" w:color="auto"/>
              <w:bottom w:val="single" w:sz="6" w:space="0" w:color="auto"/>
              <w:right w:val="single" w:sz="6" w:space="0" w:color="auto"/>
            </w:tcBorders>
          </w:tcPr>
          <w:p w14:paraId="00A328D3" w14:textId="77777777" w:rsidR="003E1F9F" w:rsidRPr="00F710E9" w:rsidRDefault="003E1F9F" w:rsidP="005A20DD">
            <w:pPr>
              <w:keepNext/>
              <w:keepLines/>
              <w:spacing w:after="0"/>
              <w:rPr>
                <w:rFonts w:ascii="Arial" w:hAnsi="Arial"/>
                <w:sz w:val="18"/>
              </w:rPr>
            </w:pPr>
            <w:r w:rsidRPr="00F710E9">
              <w:rPr>
                <w:rFonts w:ascii="Arial" w:hAnsi="Arial"/>
                <w:sz w:val="18"/>
              </w:rPr>
              <w:t>204 No Content</w:t>
            </w:r>
          </w:p>
        </w:tc>
        <w:tc>
          <w:tcPr>
            <w:tcW w:w="1897" w:type="pct"/>
            <w:tcBorders>
              <w:top w:val="single" w:sz="6" w:space="0" w:color="auto"/>
              <w:left w:val="single" w:sz="6" w:space="0" w:color="auto"/>
              <w:bottom w:val="single" w:sz="6" w:space="0" w:color="auto"/>
              <w:right w:val="single" w:sz="6" w:space="0" w:color="auto"/>
            </w:tcBorders>
          </w:tcPr>
          <w:p w14:paraId="0E61E2C0" w14:textId="77777777" w:rsidR="003E1F9F" w:rsidRPr="00F710E9" w:rsidRDefault="003E1F9F" w:rsidP="005A20DD">
            <w:pPr>
              <w:keepNext/>
              <w:keepLines/>
              <w:spacing w:after="0"/>
              <w:rPr>
                <w:rFonts w:ascii="Arial" w:hAnsi="Arial"/>
                <w:sz w:val="18"/>
              </w:rPr>
            </w:pPr>
            <w:r w:rsidRPr="00F710E9">
              <w:rPr>
                <w:rFonts w:ascii="Arial" w:hAnsi="Arial"/>
                <w:sz w:val="18"/>
              </w:rPr>
              <w:t>The Individual NWDAF Roaming Data Subscription resource was modified successfully.</w:t>
            </w:r>
          </w:p>
        </w:tc>
      </w:tr>
      <w:tr w:rsidR="003E1F9F" w:rsidRPr="00F710E9" w14:paraId="3EAD1915"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4BF3CAB6" w14:textId="77777777" w:rsidR="003E1F9F" w:rsidRPr="00F710E9" w:rsidRDefault="003E1F9F" w:rsidP="005A20DD">
            <w:pPr>
              <w:keepNext/>
              <w:keepLines/>
              <w:spacing w:after="0"/>
              <w:rPr>
                <w:rFonts w:ascii="Arial" w:eastAsia="等线"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62B489AC" w14:textId="77777777" w:rsidR="003E1F9F" w:rsidRPr="00F710E9" w:rsidRDefault="003E1F9F" w:rsidP="005A20DD">
            <w:pPr>
              <w:keepNext/>
              <w:keepLines/>
              <w:spacing w:after="0"/>
              <w:jc w:val="center"/>
              <w:rPr>
                <w:rFonts w:ascii="Arial" w:eastAsia="等线"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4312785B"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36A011FA" w14:textId="77777777" w:rsidR="003E1F9F" w:rsidRPr="00F710E9" w:rsidRDefault="003E1F9F" w:rsidP="005A20DD">
            <w:pPr>
              <w:keepNext/>
              <w:keepLines/>
              <w:spacing w:after="0"/>
              <w:rPr>
                <w:rFonts w:ascii="Arial" w:hAnsi="Arial"/>
                <w:sz w:val="18"/>
              </w:rPr>
            </w:pPr>
            <w:r w:rsidRPr="00F710E9">
              <w:rPr>
                <w:rFonts w:ascii="Arial" w:hAnsi="Arial"/>
                <w:sz w:val="18"/>
              </w:rPr>
              <w:t>307 Temporary Redirect</w:t>
            </w:r>
          </w:p>
        </w:tc>
        <w:tc>
          <w:tcPr>
            <w:tcW w:w="1897" w:type="pct"/>
            <w:tcBorders>
              <w:top w:val="single" w:sz="6" w:space="0" w:color="auto"/>
              <w:left w:val="single" w:sz="6" w:space="0" w:color="auto"/>
              <w:bottom w:val="single" w:sz="6" w:space="0" w:color="auto"/>
              <w:right w:val="single" w:sz="6" w:space="0" w:color="auto"/>
            </w:tcBorders>
          </w:tcPr>
          <w:p w14:paraId="35DE7245" w14:textId="77777777" w:rsidR="003E1F9F" w:rsidRPr="00F710E9" w:rsidRDefault="003E1F9F" w:rsidP="005A20DD">
            <w:pPr>
              <w:keepNext/>
              <w:keepLines/>
              <w:spacing w:after="0"/>
              <w:rPr>
                <w:rFonts w:ascii="Arial" w:hAnsi="Arial"/>
                <w:sz w:val="18"/>
              </w:rPr>
            </w:pPr>
            <w:r w:rsidRPr="00F710E9">
              <w:rPr>
                <w:rFonts w:ascii="Arial" w:hAnsi="Arial"/>
                <w:sz w:val="18"/>
              </w:rPr>
              <w:t>Temporary redirection, during Individual NWDAF Roaming Data Subscription modification.</w:t>
            </w:r>
          </w:p>
          <w:p w14:paraId="31D2A1BA" w14:textId="77777777" w:rsidR="003E1F9F" w:rsidRPr="00F710E9" w:rsidRDefault="003E1F9F" w:rsidP="005A20DD">
            <w:pPr>
              <w:keepNext/>
              <w:keepLines/>
              <w:spacing w:after="0"/>
              <w:rPr>
                <w:rFonts w:ascii="Arial" w:hAnsi="Arial"/>
                <w:sz w:val="18"/>
              </w:rPr>
            </w:pPr>
          </w:p>
          <w:p w14:paraId="78931C2E"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7CB086EB"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1A80496" w14:textId="77777777" w:rsidR="003E1F9F" w:rsidRPr="00F710E9" w:rsidRDefault="003E1F9F" w:rsidP="005A20DD">
            <w:pPr>
              <w:keepNext/>
              <w:keepLines/>
              <w:spacing w:after="0"/>
              <w:rPr>
                <w:rFonts w:ascii="Arial" w:eastAsia="等线"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75C4ACAE" w14:textId="77777777" w:rsidR="003E1F9F" w:rsidRPr="00F710E9" w:rsidRDefault="003E1F9F" w:rsidP="005A20DD">
            <w:pPr>
              <w:keepNext/>
              <w:keepLines/>
              <w:spacing w:after="0"/>
              <w:jc w:val="center"/>
              <w:rPr>
                <w:rFonts w:ascii="Arial" w:eastAsia="等线"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15218646"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4228F708" w14:textId="77777777" w:rsidR="003E1F9F" w:rsidRPr="00F710E9" w:rsidRDefault="003E1F9F" w:rsidP="005A20DD">
            <w:pPr>
              <w:keepNext/>
              <w:keepLines/>
              <w:spacing w:after="0"/>
              <w:rPr>
                <w:rFonts w:ascii="Arial" w:hAnsi="Arial"/>
                <w:sz w:val="18"/>
              </w:rPr>
            </w:pPr>
            <w:r w:rsidRPr="00F710E9">
              <w:rPr>
                <w:rFonts w:ascii="Arial" w:hAnsi="Arial"/>
                <w:sz w:val="18"/>
              </w:rPr>
              <w:t>308 Permanent Redirect</w:t>
            </w:r>
          </w:p>
        </w:tc>
        <w:tc>
          <w:tcPr>
            <w:tcW w:w="1897" w:type="pct"/>
            <w:tcBorders>
              <w:top w:val="single" w:sz="6" w:space="0" w:color="auto"/>
              <w:left w:val="single" w:sz="6" w:space="0" w:color="auto"/>
              <w:bottom w:val="single" w:sz="6" w:space="0" w:color="auto"/>
              <w:right w:val="single" w:sz="6" w:space="0" w:color="auto"/>
            </w:tcBorders>
          </w:tcPr>
          <w:p w14:paraId="3899D250" w14:textId="77777777" w:rsidR="003E1F9F" w:rsidRPr="00F710E9" w:rsidRDefault="003E1F9F" w:rsidP="005A20DD">
            <w:pPr>
              <w:keepNext/>
              <w:keepLines/>
              <w:spacing w:after="0"/>
              <w:rPr>
                <w:rFonts w:ascii="Arial" w:hAnsi="Arial"/>
                <w:sz w:val="18"/>
              </w:rPr>
            </w:pPr>
            <w:r w:rsidRPr="00F710E9">
              <w:rPr>
                <w:rFonts w:ascii="Arial" w:hAnsi="Arial"/>
                <w:sz w:val="18"/>
              </w:rPr>
              <w:t>Permanent redirection, during Individual NWDAF Roaming Data subscription modification.</w:t>
            </w:r>
          </w:p>
          <w:p w14:paraId="002609D4" w14:textId="77777777" w:rsidR="003E1F9F" w:rsidRPr="00F710E9" w:rsidRDefault="003E1F9F" w:rsidP="005A20DD">
            <w:pPr>
              <w:keepNext/>
              <w:keepLines/>
              <w:spacing w:after="0"/>
              <w:rPr>
                <w:rFonts w:ascii="Arial" w:hAnsi="Arial"/>
                <w:sz w:val="18"/>
              </w:rPr>
            </w:pPr>
          </w:p>
          <w:p w14:paraId="4E53B76C"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18051203"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B34E80C"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57B6E5CE" w14:textId="77777777" w:rsidR="003E1F9F" w:rsidRPr="00F710E9" w:rsidRDefault="003E1F9F" w:rsidP="005A20DD">
            <w:pPr>
              <w:keepNext/>
              <w:keepLines/>
              <w:spacing w:after="0"/>
              <w:jc w:val="center"/>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1E9AFAB0"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3A8FE62A"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1897" w:type="pct"/>
            <w:tcBorders>
              <w:top w:val="single" w:sz="6" w:space="0" w:color="auto"/>
              <w:left w:val="single" w:sz="6" w:space="0" w:color="auto"/>
              <w:bottom w:val="single" w:sz="6" w:space="0" w:color="auto"/>
              <w:right w:val="single" w:sz="6" w:space="0" w:color="auto"/>
            </w:tcBorders>
          </w:tcPr>
          <w:p w14:paraId="3D7DA3E3"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45281124"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1590A8B3"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rPr>
              <w:tab/>
              <w:t>The mandatory HTTP error status codes for the PUT method listed in table 5.2.7.1-1 of 3GPP TS 29.500 [6] also apply.</w:t>
            </w:r>
          </w:p>
          <w:p w14:paraId="69A4A9ED"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5.7.7.</w:t>
            </w:r>
          </w:p>
          <w:p w14:paraId="6D17CD33"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3:</w:t>
            </w:r>
            <w:r w:rsidRPr="00F710E9">
              <w:rPr>
                <w:rFonts w:ascii="Arial" w:hAnsi="Arial"/>
                <w:sz w:val="18"/>
              </w:rPr>
              <w:tab/>
              <w:t>The RedirectResponse data structure may be provided by an SEPP or SCP (cf. clause 6.10.9.1 of 3GPP TS 29.500 [6]).</w:t>
            </w:r>
          </w:p>
        </w:tc>
      </w:tr>
    </w:tbl>
    <w:p w14:paraId="2D267669" w14:textId="77777777" w:rsidR="003E1F9F" w:rsidRPr="00F710E9" w:rsidRDefault="003E1F9F" w:rsidP="003E1F9F">
      <w:pPr>
        <w:rPr>
          <w:lang w:val="en-US" w:eastAsia="zh-CN"/>
        </w:rPr>
      </w:pPr>
    </w:p>
    <w:p w14:paraId="379955F0" w14:textId="77777777" w:rsidR="00A10B25" w:rsidRDefault="00A10B25">
      <w:pPr>
        <w:pStyle w:val="TH"/>
      </w:pPr>
      <w:r>
        <w:t>Table 5.7.3.3.3.1-4: Headers supported by the 307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0305A2F" w14:textId="77777777">
        <w:trPr>
          <w:jc w:val="center"/>
        </w:trPr>
        <w:tc>
          <w:tcPr>
            <w:tcW w:w="825" w:type="pct"/>
            <w:tcBorders>
              <w:bottom w:val="single" w:sz="6" w:space="0" w:color="auto"/>
            </w:tcBorders>
            <w:shd w:val="clear" w:color="auto" w:fill="C0C0C0"/>
          </w:tcPr>
          <w:p w14:paraId="1082B015"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00A9CB95"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0CF3BE37" w14:textId="77777777" w:rsidR="00A10B25" w:rsidRDefault="00A10B25">
            <w:pPr>
              <w:pStyle w:val="TAH"/>
              <w:ind w:left="400" w:hanging="400"/>
            </w:pPr>
            <w:r>
              <w:t>P</w:t>
            </w:r>
          </w:p>
        </w:tc>
        <w:tc>
          <w:tcPr>
            <w:tcW w:w="581" w:type="pct"/>
            <w:tcBorders>
              <w:bottom w:val="single" w:sz="6" w:space="0" w:color="auto"/>
            </w:tcBorders>
            <w:shd w:val="clear" w:color="auto" w:fill="C0C0C0"/>
          </w:tcPr>
          <w:p w14:paraId="7DD50876"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70B2A351" w14:textId="77777777" w:rsidR="00A10B25" w:rsidRDefault="00A10B25">
            <w:pPr>
              <w:pStyle w:val="TAH"/>
              <w:ind w:left="400" w:hanging="400"/>
            </w:pPr>
            <w:r>
              <w:t>Description</w:t>
            </w:r>
          </w:p>
        </w:tc>
      </w:tr>
      <w:tr w:rsidR="00A10B25" w14:paraId="2967BD2F" w14:textId="77777777">
        <w:trPr>
          <w:jc w:val="center"/>
        </w:trPr>
        <w:tc>
          <w:tcPr>
            <w:tcW w:w="825" w:type="pct"/>
            <w:tcBorders>
              <w:top w:val="single" w:sz="6" w:space="0" w:color="auto"/>
            </w:tcBorders>
          </w:tcPr>
          <w:p w14:paraId="2A006503" w14:textId="77777777" w:rsidR="00A10B25" w:rsidRDefault="00A10B25">
            <w:pPr>
              <w:pStyle w:val="TAL"/>
            </w:pPr>
            <w:r>
              <w:t>Location</w:t>
            </w:r>
          </w:p>
        </w:tc>
        <w:tc>
          <w:tcPr>
            <w:tcW w:w="732" w:type="pct"/>
            <w:tcBorders>
              <w:top w:val="single" w:sz="6" w:space="0" w:color="auto"/>
            </w:tcBorders>
          </w:tcPr>
          <w:p w14:paraId="6C2FF6CF" w14:textId="77777777" w:rsidR="00A10B25" w:rsidRDefault="00A10B25">
            <w:pPr>
              <w:pStyle w:val="TAL"/>
            </w:pPr>
            <w:r>
              <w:t>string</w:t>
            </w:r>
          </w:p>
        </w:tc>
        <w:tc>
          <w:tcPr>
            <w:tcW w:w="217" w:type="pct"/>
            <w:tcBorders>
              <w:top w:val="single" w:sz="6" w:space="0" w:color="auto"/>
            </w:tcBorders>
          </w:tcPr>
          <w:p w14:paraId="071C516C" w14:textId="77777777" w:rsidR="00A10B25" w:rsidRDefault="00A10B25">
            <w:pPr>
              <w:pStyle w:val="TAC"/>
            </w:pPr>
            <w:r>
              <w:t>M</w:t>
            </w:r>
          </w:p>
        </w:tc>
        <w:tc>
          <w:tcPr>
            <w:tcW w:w="581" w:type="pct"/>
            <w:tcBorders>
              <w:top w:val="single" w:sz="6" w:space="0" w:color="auto"/>
            </w:tcBorders>
          </w:tcPr>
          <w:p w14:paraId="646C5733" w14:textId="77777777" w:rsidR="00A10B25" w:rsidRDefault="00A10B25">
            <w:pPr>
              <w:pStyle w:val="TAL"/>
            </w:pPr>
            <w:r>
              <w:t>1</w:t>
            </w:r>
          </w:p>
        </w:tc>
        <w:tc>
          <w:tcPr>
            <w:tcW w:w="2645" w:type="pct"/>
            <w:tcBorders>
              <w:top w:val="single" w:sz="6" w:space="0" w:color="auto"/>
            </w:tcBorders>
            <w:vAlign w:val="center"/>
          </w:tcPr>
          <w:p w14:paraId="2B5A3DDC"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4003DDD7" w14:textId="77777777" w:rsidR="00A10B25" w:rsidRDefault="00A10B25">
            <w:pPr>
              <w:pStyle w:val="TAL"/>
            </w:pPr>
          </w:p>
          <w:p w14:paraId="6F624E6E" w14:textId="77777777" w:rsidR="00A10B25" w:rsidRDefault="00A10B25">
            <w:pPr>
              <w:pStyle w:val="TAL"/>
            </w:pPr>
            <w:r>
              <w:t>For the case where the request is redirected to the same target via a different SEPP or SCP, refer to clause 6.10.9.1 of 3GPP TS 29.500 [6].</w:t>
            </w:r>
          </w:p>
        </w:tc>
      </w:tr>
      <w:tr w:rsidR="00A10B25" w14:paraId="64F69237" w14:textId="77777777">
        <w:trPr>
          <w:jc w:val="center"/>
        </w:trPr>
        <w:tc>
          <w:tcPr>
            <w:tcW w:w="825" w:type="pct"/>
          </w:tcPr>
          <w:p w14:paraId="0BD18B38" w14:textId="77777777" w:rsidR="00A10B25" w:rsidRDefault="00A10B25">
            <w:pPr>
              <w:pStyle w:val="TAL"/>
            </w:pPr>
            <w:r>
              <w:rPr>
                <w:lang w:eastAsia="zh-CN"/>
              </w:rPr>
              <w:t>3gpp-Sbi-Target-Nf-Id</w:t>
            </w:r>
          </w:p>
        </w:tc>
        <w:tc>
          <w:tcPr>
            <w:tcW w:w="732" w:type="pct"/>
          </w:tcPr>
          <w:p w14:paraId="00D6A057" w14:textId="77777777" w:rsidR="00A10B25" w:rsidRDefault="00A10B25">
            <w:pPr>
              <w:pStyle w:val="TAL"/>
            </w:pPr>
            <w:r>
              <w:rPr>
                <w:lang w:eastAsia="fr-FR"/>
              </w:rPr>
              <w:t>string</w:t>
            </w:r>
          </w:p>
        </w:tc>
        <w:tc>
          <w:tcPr>
            <w:tcW w:w="217" w:type="pct"/>
          </w:tcPr>
          <w:p w14:paraId="44D1D789" w14:textId="77777777" w:rsidR="00A10B25" w:rsidRDefault="00A10B25">
            <w:pPr>
              <w:pStyle w:val="TAC"/>
            </w:pPr>
            <w:r>
              <w:rPr>
                <w:lang w:eastAsia="fr-FR"/>
              </w:rPr>
              <w:t>O</w:t>
            </w:r>
          </w:p>
        </w:tc>
        <w:tc>
          <w:tcPr>
            <w:tcW w:w="581" w:type="pct"/>
          </w:tcPr>
          <w:p w14:paraId="414689DF" w14:textId="77777777" w:rsidR="00A10B25" w:rsidRDefault="00A10B25">
            <w:pPr>
              <w:pStyle w:val="TAL"/>
            </w:pPr>
            <w:r>
              <w:rPr>
                <w:lang w:eastAsia="fr-FR"/>
              </w:rPr>
              <w:t>0..1</w:t>
            </w:r>
          </w:p>
        </w:tc>
        <w:tc>
          <w:tcPr>
            <w:tcW w:w="2645" w:type="pct"/>
            <w:vAlign w:val="center"/>
          </w:tcPr>
          <w:p w14:paraId="4A2412EB" w14:textId="77777777" w:rsidR="00A10B25" w:rsidRDefault="00A10B25">
            <w:pPr>
              <w:pStyle w:val="TAL"/>
            </w:pPr>
            <w:r>
              <w:rPr>
                <w:lang w:eastAsia="fr-FR"/>
              </w:rPr>
              <w:t>Identifier of the target NWDAF (service) instance towards which the request is redirected.</w:t>
            </w:r>
          </w:p>
        </w:tc>
      </w:tr>
    </w:tbl>
    <w:p w14:paraId="625447CE" w14:textId="77777777" w:rsidR="00A10B25" w:rsidRDefault="00A10B25"/>
    <w:p w14:paraId="5653A564" w14:textId="77777777" w:rsidR="00A10B25" w:rsidRDefault="00A10B25">
      <w:pPr>
        <w:pStyle w:val="TH"/>
      </w:pPr>
      <w:r>
        <w:lastRenderedPageBreak/>
        <w:t>Table 5.7.3.3.3.1-5: Headers supported by the 308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45239A6" w14:textId="77777777">
        <w:trPr>
          <w:jc w:val="center"/>
        </w:trPr>
        <w:tc>
          <w:tcPr>
            <w:tcW w:w="825" w:type="pct"/>
            <w:tcBorders>
              <w:bottom w:val="single" w:sz="6" w:space="0" w:color="auto"/>
            </w:tcBorders>
            <w:shd w:val="clear" w:color="auto" w:fill="C0C0C0"/>
          </w:tcPr>
          <w:p w14:paraId="61FCDB52"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3C76CB81"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469F13A" w14:textId="77777777" w:rsidR="00A10B25" w:rsidRDefault="00A10B25">
            <w:pPr>
              <w:pStyle w:val="TAH"/>
              <w:ind w:left="400" w:hanging="400"/>
            </w:pPr>
            <w:r>
              <w:t>P</w:t>
            </w:r>
          </w:p>
        </w:tc>
        <w:tc>
          <w:tcPr>
            <w:tcW w:w="581" w:type="pct"/>
            <w:tcBorders>
              <w:bottom w:val="single" w:sz="6" w:space="0" w:color="auto"/>
            </w:tcBorders>
            <w:shd w:val="clear" w:color="auto" w:fill="C0C0C0"/>
          </w:tcPr>
          <w:p w14:paraId="5F57FDFC"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4DB78410" w14:textId="77777777" w:rsidR="00A10B25" w:rsidRDefault="00A10B25">
            <w:pPr>
              <w:pStyle w:val="TAH"/>
              <w:ind w:left="400" w:hanging="400"/>
            </w:pPr>
            <w:r>
              <w:t>Description</w:t>
            </w:r>
          </w:p>
        </w:tc>
      </w:tr>
      <w:tr w:rsidR="00A10B25" w14:paraId="5C68F847" w14:textId="77777777">
        <w:trPr>
          <w:jc w:val="center"/>
        </w:trPr>
        <w:tc>
          <w:tcPr>
            <w:tcW w:w="825" w:type="pct"/>
            <w:tcBorders>
              <w:top w:val="single" w:sz="6" w:space="0" w:color="auto"/>
            </w:tcBorders>
          </w:tcPr>
          <w:p w14:paraId="317A54FF" w14:textId="77777777" w:rsidR="00A10B25" w:rsidRDefault="00A10B25">
            <w:pPr>
              <w:pStyle w:val="TAL"/>
            </w:pPr>
            <w:r>
              <w:t>Location</w:t>
            </w:r>
          </w:p>
        </w:tc>
        <w:tc>
          <w:tcPr>
            <w:tcW w:w="732" w:type="pct"/>
            <w:tcBorders>
              <w:top w:val="single" w:sz="6" w:space="0" w:color="auto"/>
            </w:tcBorders>
          </w:tcPr>
          <w:p w14:paraId="3D1B7D40" w14:textId="77777777" w:rsidR="00A10B25" w:rsidRDefault="00A10B25">
            <w:pPr>
              <w:pStyle w:val="TAL"/>
            </w:pPr>
            <w:r>
              <w:t>string</w:t>
            </w:r>
          </w:p>
        </w:tc>
        <w:tc>
          <w:tcPr>
            <w:tcW w:w="217" w:type="pct"/>
            <w:tcBorders>
              <w:top w:val="single" w:sz="6" w:space="0" w:color="auto"/>
            </w:tcBorders>
          </w:tcPr>
          <w:p w14:paraId="62A0C615" w14:textId="77777777" w:rsidR="00A10B25" w:rsidRDefault="00A10B25">
            <w:pPr>
              <w:pStyle w:val="TAC"/>
            </w:pPr>
            <w:r>
              <w:t>M</w:t>
            </w:r>
          </w:p>
        </w:tc>
        <w:tc>
          <w:tcPr>
            <w:tcW w:w="581" w:type="pct"/>
            <w:tcBorders>
              <w:top w:val="single" w:sz="6" w:space="0" w:color="auto"/>
            </w:tcBorders>
          </w:tcPr>
          <w:p w14:paraId="4CDBF88F" w14:textId="77777777" w:rsidR="00A10B25" w:rsidRDefault="00A10B25">
            <w:pPr>
              <w:pStyle w:val="TAL"/>
            </w:pPr>
            <w:r>
              <w:t>1</w:t>
            </w:r>
          </w:p>
        </w:tc>
        <w:tc>
          <w:tcPr>
            <w:tcW w:w="2645" w:type="pct"/>
            <w:tcBorders>
              <w:top w:val="single" w:sz="6" w:space="0" w:color="auto"/>
            </w:tcBorders>
            <w:vAlign w:val="center"/>
          </w:tcPr>
          <w:p w14:paraId="2DDB5320"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5210CFE9" w14:textId="77777777" w:rsidR="00A10B25" w:rsidRDefault="00A10B25">
            <w:pPr>
              <w:pStyle w:val="TAL"/>
            </w:pPr>
          </w:p>
          <w:p w14:paraId="6A04FCF3" w14:textId="77777777" w:rsidR="00A10B25" w:rsidRDefault="00A10B25">
            <w:pPr>
              <w:pStyle w:val="TAL"/>
            </w:pPr>
            <w:r>
              <w:t>For the case where the request is redirected to the same target via a different SEPP or SCP, refer to clause 6.10.9.1 of 3GPP TS 29.500 [6].</w:t>
            </w:r>
          </w:p>
        </w:tc>
      </w:tr>
      <w:tr w:rsidR="00A10B25" w14:paraId="16300DF8" w14:textId="77777777">
        <w:trPr>
          <w:jc w:val="center"/>
        </w:trPr>
        <w:tc>
          <w:tcPr>
            <w:tcW w:w="825" w:type="pct"/>
          </w:tcPr>
          <w:p w14:paraId="42099B40" w14:textId="77777777" w:rsidR="00A10B25" w:rsidRDefault="00A10B25">
            <w:pPr>
              <w:pStyle w:val="TAL"/>
            </w:pPr>
            <w:r>
              <w:rPr>
                <w:lang w:eastAsia="zh-CN"/>
              </w:rPr>
              <w:t>3gpp-Sbi-Target-Nf-Id</w:t>
            </w:r>
          </w:p>
        </w:tc>
        <w:tc>
          <w:tcPr>
            <w:tcW w:w="732" w:type="pct"/>
          </w:tcPr>
          <w:p w14:paraId="0595CFD4" w14:textId="77777777" w:rsidR="00A10B25" w:rsidRDefault="00A10B25">
            <w:pPr>
              <w:pStyle w:val="TAL"/>
            </w:pPr>
            <w:r>
              <w:rPr>
                <w:lang w:eastAsia="fr-FR"/>
              </w:rPr>
              <w:t>string</w:t>
            </w:r>
          </w:p>
        </w:tc>
        <w:tc>
          <w:tcPr>
            <w:tcW w:w="217" w:type="pct"/>
          </w:tcPr>
          <w:p w14:paraId="5F52A8DE" w14:textId="77777777" w:rsidR="00A10B25" w:rsidRDefault="00A10B25">
            <w:pPr>
              <w:pStyle w:val="TAC"/>
            </w:pPr>
            <w:r>
              <w:rPr>
                <w:lang w:eastAsia="fr-FR"/>
              </w:rPr>
              <w:t>O</w:t>
            </w:r>
          </w:p>
        </w:tc>
        <w:tc>
          <w:tcPr>
            <w:tcW w:w="581" w:type="pct"/>
          </w:tcPr>
          <w:p w14:paraId="012536FA" w14:textId="77777777" w:rsidR="00A10B25" w:rsidRDefault="00A10B25">
            <w:pPr>
              <w:pStyle w:val="TAL"/>
            </w:pPr>
            <w:r>
              <w:rPr>
                <w:lang w:eastAsia="fr-FR"/>
              </w:rPr>
              <w:t>0..1</w:t>
            </w:r>
          </w:p>
        </w:tc>
        <w:tc>
          <w:tcPr>
            <w:tcW w:w="2645" w:type="pct"/>
            <w:vAlign w:val="center"/>
          </w:tcPr>
          <w:p w14:paraId="0BBABEA2" w14:textId="77777777" w:rsidR="00A10B25" w:rsidRDefault="00A10B25">
            <w:pPr>
              <w:pStyle w:val="TAL"/>
            </w:pPr>
            <w:r>
              <w:rPr>
                <w:lang w:eastAsia="fr-FR"/>
              </w:rPr>
              <w:t>Identifier of the target RE-NWDAF (service) instance towards which the request is redirected.</w:t>
            </w:r>
          </w:p>
        </w:tc>
      </w:tr>
    </w:tbl>
    <w:p w14:paraId="4C949C27" w14:textId="77777777" w:rsidR="00A10B25" w:rsidRDefault="00A10B25">
      <w:pPr>
        <w:rPr>
          <w:rFonts w:eastAsia="MS Mincho"/>
          <w:lang w:eastAsia="ja-JP"/>
        </w:rPr>
      </w:pPr>
    </w:p>
    <w:p w14:paraId="7C375713" w14:textId="77777777" w:rsidR="00A10B25" w:rsidRDefault="00A10B25">
      <w:pPr>
        <w:pStyle w:val="6"/>
      </w:pPr>
      <w:bookmarkStart w:id="16048" w:name="_Toc164921230"/>
      <w:bookmarkStart w:id="16049" w:name="_Toc170120772"/>
      <w:bookmarkStart w:id="16050" w:name="_Toc175859017"/>
      <w:bookmarkStart w:id="16051" w:name="_Toc175860090"/>
      <w:bookmarkStart w:id="16052" w:name="_Toc180606380"/>
      <w:bookmarkStart w:id="16053" w:name="_Toc185517641"/>
      <w:bookmarkStart w:id="16054" w:name="_Toc191576693"/>
      <w:bookmarkStart w:id="16055" w:name="_Toc191577433"/>
      <w:bookmarkStart w:id="16056" w:name="_Toc192880503"/>
      <w:bookmarkStart w:id="16057" w:name="_Toc195815392"/>
      <w:bookmarkStart w:id="16058" w:name="_Toc199453359"/>
      <w:r>
        <w:t>5.7.3.3.3.2</w:t>
      </w:r>
      <w:r>
        <w:tab/>
        <w:t>DELETE</w:t>
      </w:r>
      <w:bookmarkEnd w:id="16048"/>
      <w:bookmarkEnd w:id="16049"/>
      <w:bookmarkEnd w:id="16050"/>
      <w:bookmarkEnd w:id="16051"/>
      <w:bookmarkEnd w:id="16052"/>
      <w:bookmarkEnd w:id="16053"/>
      <w:bookmarkEnd w:id="16054"/>
      <w:bookmarkEnd w:id="16055"/>
      <w:bookmarkEnd w:id="16056"/>
      <w:bookmarkEnd w:id="16057"/>
      <w:bookmarkEnd w:id="16058"/>
    </w:p>
    <w:p w14:paraId="72146065" w14:textId="77777777" w:rsidR="00A10B25" w:rsidRDefault="00A10B25">
      <w:r>
        <w:t>This method shall support the URI query parameters specified in table 5.7.3.3.3.2-1.</w:t>
      </w:r>
    </w:p>
    <w:p w14:paraId="12C3037F" w14:textId="77777777" w:rsidR="00A10B25" w:rsidRDefault="00A10B25">
      <w:pPr>
        <w:pStyle w:val="TH"/>
      </w:pPr>
      <w:r>
        <w:t>Table 5.7.3.3.3.2-1: URI query parameters supported by the DELETE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13DA4C1" w14:textId="77777777">
        <w:trPr>
          <w:jc w:val="center"/>
        </w:trPr>
        <w:tc>
          <w:tcPr>
            <w:tcW w:w="825" w:type="pct"/>
            <w:tcBorders>
              <w:bottom w:val="single" w:sz="6" w:space="0" w:color="auto"/>
            </w:tcBorders>
            <w:shd w:val="clear" w:color="auto" w:fill="C0C0C0"/>
          </w:tcPr>
          <w:p w14:paraId="5E69DBE7"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E2612AC"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35A71D96" w14:textId="77777777" w:rsidR="00A10B25" w:rsidRDefault="00A10B25">
            <w:pPr>
              <w:pStyle w:val="TAH"/>
              <w:ind w:left="400" w:hanging="400"/>
            </w:pPr>
            <w:r>
              <w:t>P</w:t>
            </w:r>
          </w:p>
        </w:tc>
        <w:tc>
          <w:tcPr>
            <w:tcW w:w="581" w:type="pct"/>
            <w:tcBorders>
              <w:bottom w:val="single" w:sz="6" w:space="0" w:color="auto"/>
            </w:tcBorders>
            <w:shd w:val="clear" w:color="auto" w:fill="C0C0C0"/>
          </w:tcPr>
          <w:p w14:paraId="6726D9CF" w14:textId="77777777" w:rsidR="00A10B25" w:rsidRDefault="00A10B25">
            <w:pPr>
              <w:pStyle w:val="TAH"/>
              <w:ind w:left="400" w:hanging="400"/>
            </w:pPr>
            <w:r>
              <w:t>Cardinality</w:t>
            </w:r>
          </w:p>
        </w:tc>
        <w:tc>
          <w:tcPr>
            <w:tcW w:w="2646" w:type="pct"/>
            <w:tcBorders>
              <w:bottom w:val="single" w:sz="6" w:space="0" w:color="auto"/>
            </w:tcBorders>
            <w:shd w:val="clear" w:color="auto" w:fill="C0C0C0"/>
            <w:vAlign w:val="center"/>
          </w:tcPr>
          <w:p w14:paraId="587EBDA1" w14:textId="77777777" w:rsidR="00A10B25" w:rsidRDefault="00A10B25">
            <w:pPr>
              <w:pStyle w:val="TAH"/>
              <w:ind w:left="400" w:hanging="400"/>
            </w:pPr>
            <w:r>
              <w:t>Description</w:t>
            </w:r>
          </w:p>
        </w:tc>
      </w:tr>
      <w:tr w:rsidR="00A10B25" w14:paraId="5CBA7E75" w14:textId="77777777">
        <w:trPr>
          <w:jc w:val="center"/>
        </w:trPr>
        <w:tc>
          <w:tcPr>
            <w:tcW w:w="825" w:type="pct"/>
            <w:tcBorders>
              <w:top w:val="single" w:sz="6" w:space="0" w:color="auto"/>
            </w:tcBorders>
          </w:tcPr>
          <w:p w14:paraId="04E63CBC" w14:textId="77777777" w:rsidR="00A10B25" w:rsidRDefault="00A10B25">
            <w:pPr>
              <w:pStyle w:val="TAL"/>
            </w:pPr>
            <w:r>
              <w:t>n/a</w:t>
            </w:r>
          </w:p>
        </w:tc>
        <w:tc>
          <w:tcPr>
            <w:tcW w:w="732" w:type="pct"/>
            <w:tcBorders>
              <w:top w:val="single" w:sz="6" w:space="0" w:color="auto"/>
            </w:tcBorders>
          </w:tcPr>
          <w:p w14:paraId="0FB4A9C1" w14:textId="77777777" w:rsidR="00A10B25" w:rsidRDefault="00A10B25">
            <w:pPr>
              <w:pStyle w:val="TAL"/>
            </w:pPr>
          </w:p>
        </w:tc>
        <w:tc>
          <w:tcPr>
            <w:tcW w:w="217" w:type="pct"/>
            <w:tcBorders>
              <w:top w:val="single" w:sz="6" w:space="0" w:color="auto"/>
            </w:tcBorders>
          </w:tcPr>
          <w:p w14:paraId="20E10018" w14:textId="77777777" w:rsidR="00A10B25" w:rsidRDefault="00A10B25">
            <w:pPr>
              <w:pStyle w:val="TAC"/>
            </w:pPr>
          </w:p>
        </w:tc>
        <w:tc>
          <w:tcPr>
            <w:tcW w:w="581" w:type="pct"/>
            <w:tcBorders>
              <w:top w:val="single" w:sz="6" w:space="0" w:color="auto"/>
            </w:tcBorders>
          </w:tcPr>
          <w:p w14:paraId="72CD6E49" w14:textId="77777777" w:rsidR="00A10B25" w:rsidRDefault="00A10B25">
            <w:pPr>
              <w:pStyle w:val="TAL"/>
            </w:pPr>
          </w:p>
        </w:tc>
        <w:tc>
          <w:tcPr>
            <w:tcW w:w="2646" w:type="pct"/>
            <w:tcBorders>
              <w:top w:val="single" w:sz="6" w:space="0" w:color="auto"/>
            </w:tcBorders>
            <w:vAlign w:val="center"/>
          </w:tcPr>
          <w:p w14:paraId="4E0CD0FE" w14:textId="77777777" w:rsidR="00A10B25" w:rsidRDefault="00A10B25">
            <w:pPr>
              <w:pStyle w:val="TAL"/>
            </w:pPr>
          </w:p>
        </w:tc>
      </w:tr>
    </w:tbl>
    <w:p w14:paraId="799234B4" w14:textId="77777777" w:rsidR="00A10B25" w:rsidRDefault="00A10B25"/>
    <w:p w14:paraId="78FCD44C" w14:textId="77777777" w:rsidR="00A10B25" w:rsidRDefault="00A10B25">
      <w:r>
        <w:t>This method shall support the request data structures specified in table 5.7.3.3.3.2-2 and the response data structures and response codes specified in table 5.7.3.3.3.2-3.</w:t>
      </w:r>
    </w:p>
    <w:p w14:paraId="16697201" w14:textId="77777777" w:rsidR="00A10B25" w:rsidRDefault="00A10B25">
      <w:pPr>
        <w:pStyle w:val="TH"/>
      </w:pPr>
      <w:r>
        <w:t>Table 5.7.3.3.3.2-2: Data structures supported by the DELETE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61823336" w14:textId="77777777">
        <w:trPr>
          <w:jc w:val="center"/>
        </w:trPr>
        <w:tc>
          <w:tcPr>
            <w:tcW w:w="1627" w:type="dxa"/>
            <w:tcBorders>
              <w:bottom w:val="single" w:sz="6" w:space="0" w:color="auto"/>
            </w:tcBorders>
            <w:shd w:val="clear" w:color="auto" w:fill="C0C0C0"/>
          </w:tcPr>
          <w:p w14:paraId="664756B8" w14:textId="77777777" w:rsidR="00A10B25" w:rsidRDefault="00A10B25">
            <w:pPr>
              <w:pStyle w:val="TAH"/>
              <w:ind w:left="400" w:hanging="400"/>
            </w:pPr>
            <w:r>
              <w:t>Data type</w:t>
            </w:r>
          </w:p>
        </w:tc>
        <w:tc>
          <w:tcPr>
            <w:tcW w:w="425" w:type="dxa"/>
            <w:tcBorders>
              <w:bottom w:val="single" w:sz="6" w:space="0" w:color="auto"/>
            </w:tcBorders>
            <w:shd w:val="clear" w:color="auto" w:fill="C0C0C0"/>
          </w:tcPr>
          <w:p w14:paraId="59D6C030" w14:textId="77777777" w:rsidR="00A10B25" w:rsidRDefault="00A10B25">
            <w:pPr>
              <w:pStyle w:val="TAH"/>
              <w:ind w:left="400" w:hanging="400"/>
            </w:pPr>
            <w:r>
              <w:t>P</w:t>
            </w:r>
          </w:p>
        </w:tc>
        <w:tc>
          <w:tcPr>
            <w:tcW w:w="1276" w:type="dxa"/>
            <w:tcBorders>
              <w:bottom w:val="single" w:sz="6" w:space="0" w:color="auto"/>
            </w:tcBorders>
            <w:shd w:val="clear" w:color="auto" w:fill="C0C0C0"/>
          </w:tcPr>
          <w:p w14:paraId="1E97C822" w14:textId="77777777" w:rsidR="00A10B25" w:rsidRDefault="00A10B25">
            <w:pPr>
              <w:pStyle w:val="TAH"/>
              <w:ind w:left="400" w:hanging="400"/>
            </w:pPr>
            <w:r>
              <w:t>Cardinality</w:t>
            </w:r>
          </w:p>
        </w:tc>
        <w:tc>
          <w:tcPr>
            <w:tcW w:w="6447" w:type="dxa"/>
            <w:tcBorders>
              <w:bottom w:val="single" w:sz="6" w:space="0" w:color="auto"/>
            </w:tcBorders>
            <w:shd w:val="clear" w:color="auto" w:fill="C0C0C0"/>
            <w:vAlign w:val="center"/>
          </w:tcPr>
          <w:p w14:paraId="3FE579E6" w14:textId="77777777" w:rsidR="00A10B25" w:rsidRDefault="00A10B25">
            <w:pPr>
              <w:pStyle w:val="TAH"/>
              <w:ind w:left="400" w:hanging="400"/>
            </w:pPr>
            <w:r>
              <w:t>Description</w:t>
            </w:r>
          </w:p>
        </w:tc>
      </w:tr>
      <w:tr w:rsidR="00A10B25" w14:paraId="660C6488" w14:textId="77777777">
        <w:trPr>
          <w:jc w:val="center"/>
        </w:trPr>
        <w:tc>
          <w:tcPr>
            <w:tcW w:w="1627" w:type="dxa"/>
            <w:tcBorders>
              <w:top w:val="single" w:sz="6" w:space="0" w:color="auto"/>
            </w:tcBorders>
          </w:tcPr>
          <w:p w14:paraId="5AF38378" w14:textId="77777777" w:rsidR="00A10B25" w:rsidRDefault="00A10B25">
            <w:pPr>
              <w:pStyle w:val="TAL"/>
            </w:pPr>
            <w:r>
              <w:t>n/a</w:t>
            </w:r>
          </w:p>
        </w:tc>
        <w:tc>
          <w:tcPr>
            <w:tcW w:w="425" w:type="dxa"/>
            <w:tcBorders>
              <w:top w:val="single" w:sz="6" w:space="0" w:color="auto"/>
            </w:tcBorders>
          </w:tcPr>
          <w:p w14:paraId="4B077F2A" w14:textId="77777777" w:rsidR="00A10B25" w:rsidRDefault="00A10B25">
            <w:pPr>
              <w:pStyle w:val="TAC"/>
            </w:pPr>
          </w:p>
        </w:tc>
        <w:tc>
          <w:tcPr>
            <w:tcW w:w="1276" w:type="dxa"/>
            <w:tcBorders>
              <w:top w:val="single" w:sz="6" w:space="0" w:color="auto"/>
            </w:tcBorders>
          </w:tcPr>
          <w:p w14:paraId="79A64FA9" w14:textId="77777777" w:rsidR="00A10B25" w:rsidRDefault="00A10B25">
            <w:pPr>
              <w:pStyle w:val="TAL"/>
            </w:pPr>
          </w:p>
        </w:tc>
        <w:tc>
          <w:tcPr>
            <w:tcW w:w="6447" w:type="dxa"/>
            <w:tcBorders>
              <w:top w:val="single" w:sz="6" w:space="0" w:color="auto"/>
            </w:tcBorders>
          </w:tcPr>
          <w:p w14:paraId="7C4B0BB0" w14:textId="77777777" w:rsidR="00A10B25" w:rsidRDefault="00A10B25">
            <w:pPr>
              <w:pStyle w:val="TAL"/>
            </w:pPr>
          </w:p>
        </w:tc>
      </w:tr>
    </w:tbl>
    <w:p w14:paraId="0479B084" w14:textId="77777777" w:rsidR="00A10B25" w:rsidRDefault="00A10B25"/>
    <w:p w14:paraId="4B757C23" w14:textId="77777777" w:rsidR="00A10B25" w:rsidRDefault="00A10B25">
      <w:pPr>
        <w:pStyle w:val="TH"/>
      </w:pPr>
      <w:r>
        <w:t>Table 5.7.3.3.3.2-3: Data structures supported by the DELETE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7E609147" w14:textId="77777777">
        <w:trPr>
          <w:jc w:val="center"/>
        </w:trPr>
        <w:tc>
          <w:tcPr>
            <w:tcW w:w="848" w:type="pct"/>
            <w:tcBorders>
              <w:bottom w:val="single" w:sz="6" w:space="0" w:color="auto"/>
            </w:tcBorders>
            <w:shd w:val="clear" w:color="auto" w:fill="C0C0C0"/>
          </w:tcPr>
          <w:p w14:paraId="75282FCA" w14:textId="77777777" w:rsidR="00A10B25" w:rsidRDefault="00A10B25">
            <w:pPr>
              <w:pStyle w:val="TAH"/>
              <w:ind w:left="400" w:hanging="400"/>
            </w:pPr>
            <w:r>
              <w:t>Data type</w:t>
            </w:r>
          </w:p>
        </w:tc>
        <w:tc>
          <w:tcPr>
            <w:tcW w:w="223" w:type="pct"/>
            <w:tcBorders>
              <w:bottom w:val="single" w:sz="6" w:space="0" w:color="auto"/>
            </w:tcBorders>
            <w:shd w:val="clear" w:color="auto" w:fill="C0C0C0"/>
          </w:tcPr>
          <w:p w14:paraId="21BE59DC" w14:textId="77777777" w:rsidR="00A10B25" w:rsidRDefault="00A10B25">
            <w:pPr>
              <w:pStyle w:val="TAH"/>
              <w:ind w:left="400" w:hanging="400"/>
            </w:pPr>
            <w:r>
              <w:t>P</w:t>
            </w:r>
          </w:p>
        </w:tc>
        <w:tc>
          <w:tcPr>
            <w:tcW w:w="643" w:type="pct"/>
            <w:tcBorders>
              <w:bottom w:val="single" w:sz="6" w:space="0" w:color="auto"/>
            </w:tcBorders>
            <w:shd w:val="clear" w:color="auto" w:fill="C0C0C0"/>
          </w:tcPr>
          <w:p w14:paraId="1E8A21F8" w14:textId="77777777" w:rsidR="00A10B25" w:rsidRDefault="00A10B25">
            <w:pPr>
              <w:pStyle w:val="TAH"/>
              <w:ind w:left="400" w:hanging="400"/>
            </w:pPr>
            <w:r>
              <w:t>Cardinality</w:t>
            </w:r>
          </w:p>
        </w:tc>
        <w:tc>
          <w:tcPr>
            <w:tcW w:w="577" w:type="pct"/>
            <w:tcBorders>
              <w:bottom w:val="single" w:sz="6" w:space="0" w:color="auto"/>
            </w:tcBorders>
            <w:shd w:val="clear" w:color="auto" w:fill="C0C0C0"/>
          </w:tcPr>
          <w:p w14:paraId="3445E0CA" w14:textId="77777777" w:rsidR="00A10B25" w:rsidRDefault="00A10B25">
            <w:pPr>
              <w:pStyle w:val="TAH"/>
              <w:ind w:left="400" w:hanging="400"/>
            </w:pPr>
            <w:r>
              <w:t>Response</w:t>
            </w:r>
          </w:p>
          <w:p w14:paraId="77CD79F9" w14:textId="77777777" w:rsidR="00A10B25" w:rsidRDefault="00A10B25">
            <w:pPr>
              <w:pStyle w:val="TAH"/>
              <w:ind w:left="400" w:hanging="400"/>
            </w:pPr>
            <w:r>
              <w:t>codes</w:t>
            </w:r>
          </w:p>
        </w:tc>
        <w:tc>
          <w:tcPr>
            <w:tcW w:w="2708" w:type="pct"/>
            <w:tcBorders>
              <w:bottom w:val="single" w:sz="6" w:space="0" w:color="auto"/>
            </w:tcBorders>
            <w:shd w:val="clear" w:color="auto" w:fill="C0C0C0"/>
          </w:tcPr>
          <w:p w14:paraId="20CD486F" w14:textId="77777777" w:rsidR="00A10B25" w:rsidRDefault="00A10B25">
            <w:pPr>
              <w:pStyle w:val="TAH"/>
              <w:ind w:left="400" w:hanging="400"/>
            </w:pPr>
            <w:r>
              <w:t>Description</w:t>
            </w:r>
          </w:p>
        </w:tc>
      </w:tr>
      <w:tr w:rsidR="00A10B25" w14:paraId="2F4BB82A" w14:textId="77777777">
        <w:trPr>
          <w:jc w:val="center"/>
        </w:trPr>
        <w:tc>
          <w:tcPr>
            <w:tcW w:w="848" w:type="pct"/>
            <w:tcBorders>
              <w:top w:val="single" w:sz="6" w:space="0" w:color="auto"/>
            </w:tcBorders>
          </w:tcPr>
          <w:p w14:paraId="59B25185" w14:textId="77777777" w:rsidR="00A10B25" w:rsidRDefault="00A10B25">
            <w:pPr>
              <w:pStyle w:val="TAL"/>
            </w:pPr>
            <w:r>
              <w:t>n/a</w:t>
            </w:r>
          </w:p>
        </w:tc>
        <w:tc>
          <w:tcPr>
            <w:tcW w:w="223" w:type="pct"/>
            <w:tcBorders>
              <w:top w:val="single" w:sz="6" w:space="0" w:color="auto"/>
            </w:tcBorders>
          </w:tcPr>
          <w:p w14:paraId="28EE378E" w14:textId="77777777" w:rsidR="00A10B25" w:rsidRDefault="00A10B25"/>
        </w:tc>
        <w:tc>
          <w:tcPr>
            <w:tcW w:w="643" w:type="pct"/>
            <w:tcBorders>
              <w:top w:val="single" w:sz="6" w:space="0" w:color="auto"/>
            </w:tcBorders>
          </w:tcPr>
          <w:p w14:paraId="55D60D10" w14:textId="77777777" w:rsidR="00A10B25" w:rsidRDefault="00A10B25">
            <w:pPr>
              <w:spacing w:after="0"/>
              <w:rPr>
                <w:lang w:val="en-US" w:eastAsia="zh-CN"/>
              </w:rPr>
            </w:pPr>
          </w:p>
        </w:tc>
        <w:tc>
          <w:tcPr>
            <w:tcW w:w="577" w:type="pct"/>
            <w:tcBorders>
              <w:top w:val="single" w:sz="6" w:space="0" w:color="auto"/>
            </w:tcBorders>
          </w:tcPr>
          <w:p w14:paraId="0FC00DC9" w14:textId="77777777" w:rsidR="00A10B25" w:rsidRDefault="00A10B25">
            <w:pPr>
              <w:pStyle w:val="TAL"/>
            </w:pPr>
            <w:r>
              <w:t>204 No Content</w:t>
            </w:r>
          </w:p>
        </w:tc>
        <w:tc>
          <w:tcPr>
            <w:tcW w:w="2708" w:type="pct"/>
            <w:tcBorders>
              <w:top w:val="single" w:sz="6" w:space="0" w:color="auto"/>
            </w:tcBorders>
          </w:tcPr>
          <w:p w14:paraId="55DD8BDE" w14:textId="77777777" w:rsidR="00A10B25" w:rsidRDefault="00A10B25">
            <w:pPr>
              <w:pStyle w:val="TAL"/>
            </w:pPr>
            <w:r>
              <w:t>Successful case: The Individual NWDAF Roaming Data Subscription resource matching the subscriptionId was deleted.</w:t>
            </w:r>
          </w:p>
        </w:tc>
      </w:tr>
      <w:tr w:rsidR="00A10B25" w14:paraId="3E1ED811" w14:textId="77777777">
        <w:trPr>
          <w:trHeight w:val="839"/>
          <w:jc w:val="center"/>
        </w:trPr>
        <w:tc>
          <w:tcPr>
            <w:tcW w:w="848" w:type="pct"/>
          </w:tcPr>
          <w:p w14:paraId="06E4E80C" w14:textId="77777777" w:rsidR="00A10B25" w:rsidRDefault="00A10B25">
            <w:pPr>
              <w:pStyle w:val="TAL"/>
            </w:pPr>
            <w:r>
              <w:t>RedirectResponse</w:t>
            </w:r>
          </w:p>
        </w:tc>
        <w:tc>
          <w:tcPr>
            <w:tcW w:w="223" w:type="pct"/>
          </w:tcPr>
          <w:p w14:paraId="16A6BE19" w14:textId="77777777" w:rsidR="00A10B25" w:rsidRDefault="00A10B25">
            <w:pPr>
              <w:pStyle w:val="TAC"/>
            </w:pPr>
            <w:r>
              <w:t>O</w:t>
            </w:r>
          </w:p>
        </w:tc>
        <w:tc>
          <w:tcPr>
            <w:tcW w:w="643" w:type="pct"/>
          </w:tcPr>
          <w:p w14:paraId="15D77F3B" w14:textId="77777777" w:rsidR="00A10B25" w:rsidRDefault="00A10B25">
            <w:pPr>
              <w:pStyle w:val="TAC"/>
            </w:pPr>
            <w:r>
              <w:t>0..1</w:t>
            </w:r>
          </w:p>
        </w:tc>
        <w:tc>
          <w:tcPr>
            <w:tcW w:w="577" w:type="pct"/>
          </w:tcPr>
          <w:p w14:paraId="0738AC1D" w14:textId="77777777" w:rsidR="00A10B25" w:rsidRDefault="00A10B25">
            <w:pPr>
              <w:pStyle w:val="TAL"/>
            </w:pPr>
            <w:r>
              <w:t>307 Temporary Redirect</w:t>
            </w:r>
          </w:p>
        </w:tc>
        <w:tc>
          <w:tcPr>
            <w:tcW w:w="2708" w:type="pct"/>
          </w:tcPr>
          <w:p w14:paraId="242F986C" w14:textId="77777777" w:rsidR="00A10B25" w:rsidRDefault="00A10B25">
            <w:pPr>
              <w:pStyle w:val="TAL"/>
            </w:pPr>
            <w:r>
              <w:t>Temporary redirection, during Individual Roaming Data Subscription deletion.</w:t>
            </w:r>
          </w:p>
          <w:p w14:paraId="50F73070" w14:textId="77777777" w:rsidR="00A10B25" w:rsidRDefault="00A10B25">
            <w:pPr>
              <w:pStyle w:val="TAL"/>
            </w:pPr>
          </w:p>
          <w:p w14:paraId="360A2449" w14:textId="77777777" w:rsidR="00A10B25" w:rsidRDefault="00A10B25">
            <w:pPr>
              <w:pStyle w:val="TAL"/>
            </w:pPr>
            <w:r>
              <w:t>(NOTE 2)</w:t>
            </w:r>
          </w:p>
        </w:tc>
      </w:tr>
      <w:tr w:rsidR="00A10B25" w14:paraId="7E92D543" w14:textId="77777777">
        <w:trPr>
          <w:jc w:val="center"/>
        </w:trPr>
        <w:tc>
          <w:tcPr>
            <w:tcW w:w="848" w:type="pct"/>
          </w:tcPr>
          <w:p w14:paraId="4053CBF5" w14:textId="77777777" w:rsidR="00A10B25" w:rsidRDefault="00A10B25">
            <w:pPr>
              <w:pStyle w:val="TAL"/>
            </w:pPr>
            <w:r>
              <w:t>RedirectResponse</w:t>
            </w:r>
          </w:p>
        </w:tc>
        <w:tc>
          <w:tcPr>
            <w:tcW w:w="223" w:type="pct"/>
          </w:tcPr>
          <w:p w14:paraId="69C4504A" w14:textId="77777777" w:rsidR="00A10B25" w:rsidRDefault="00A10B25">
            <w:pPr>
              <w:pStyle w:val="TAC"/>
            </w:pPr>
            <w:r>
              <w:t>O</w:t>
            </w:r>
          </w:p>
        </w:tc>
        <w:tc>
          <w:tcPr>
            <w:tcW w:w="643" w:type="pct"/>
          </w:tcPr>
          <w:p w14:paraId="2B49225E" w14:textId="77777777" w:rsidR="00A10B25" w:rsidRDefault="00A10B25">
            <w:pPr>
              <w:pStyle w:val="TAC"/>
            </w:pPr>
            <w:r>
              <w:t>0..1</w:t>
            </w:r>
          </w:p>
        </w:tc>
        <w:tc>
          <w:tcPr>
            <w:tcW w:w="577" w:type="pct"/>
          </w:tcPr>
          <w:p w14:paraId="2FB830D0" w14:textId="77777777" w:rsidR="00A10B25" w:rsidRDefault="00A10B25">
            <w:pPr>
              <w:pStyle w:val="TAL"/>
            </w:pPr>
            <w:r>
              <w:t>308 Permanent Redirect</w:t>
            </w:r>
          </w:p>
        </w:tc>
        <w:tc>
          <w:tcPr>
            <w:tcW w:w="2708" w:type="pct"/>
          </w:tcPr>
          <w:p w14:paraId="48356C09" w14:textId="77777777" w:rsidR="00A10B25" w:rsidRDefault="00A10B25">
            <w:pPr>
              <w:pStyle w:val="TAL"/>
            </w:pPr>
            <w:r>
              <w:t>Permanent redirection, during Individual Roaming Data Subscription deletion.</w:t>
            </w:r>
          </w:p>
          <w:p w14:paraId="447E7241" w14:textId="77777777" w:rsidR="00A10B25" w:rsidRDefault="00A10B25">
            <w:pPr>
              <w:pStyle w:val="TAL"/>
            </w:pPr>
          </w:p>
          <w:p w14:paraId="41F2116A" w14:textId="77777777" w:rsidR="00A10B25" w:rsidRDefault="00A10B25">
            <w:pPr>
              <w:pStyle w:val="TAL"/>
            </w:pPr>
            <w:r>
              <w:t>(NOTE 2)</w:t>
            </w:r>
          </w:p>
        </w:tc>
      </w:tr>
      <w:tr w:rsidR="00A10B25" w14:paraId="21D61BBE" w14:textId="77777777">
        <w:trPr>
          <w:jc w:val="center"/>
        </w:trPr>
        <w:tc>
          <w:tcPr>
            <w:tcW w:w="5000" w:type="pct"/>
            <w:gridSpan w:val="5"/>
          </w:tcPr>
          <w:p w14:paraId="620C6FA9" w14:textId="77777777" w:rsidR="00A10B25" w:rsidRDefault="00A10B25">
            <w:pPr>
              <w:pStyle w:val="TAN"/>
            </w:pPr>
            <w:r>
              <w:t>NOTE 1:</w:t>
            </w:r>
            <w:r>
              <w:tab/>
              <w:t>The mandatory HTTP error status codes for the DELETE method listed in table 5.2.7.1-1 of 3GPP TS 29.500 [6] also apply.</w:t>
            </w:r>
          </w:p>
          <w:p w14:paraId="12249E35" w14:textId="77777777" w:rsidR="00A10B25" w:rsidRDefault="00A10B25">
            <w:pPr>
              <w:pStyle w:val="TAN"/>
            </w:pPr>
            <w:r>
              <w:t>NOTE 2:</w:t>
            </w:r>
            <w:r>
              <w:tab/>
              <w:t>The RedirectResponse data structure may be provided by an SEPP or SCP (cf. clause 6.10.9.1 of 3GPP TS 29.500 [6]).</w:t>
            </w:r>
          </w:p>
        </w:tc>
      </w:tr>
    </w:tbl>
    <w:p w14:paraId="2DF2FC40" w14:textId="77777777" w:rsidR="00A10B25" w:rsidRDefault="00A10B25">
      <w:pPr>
        <w:rPr>
          <w:lang w:val="en-US" w:eastAsia="zh-CN"/>
        </w:rPr>
      </w:pPr>
    </w:p>
    <w:p w14:paraId="5DC3EDE1" w14:textId="77777777" w:rsidR="00A10B25" w:rsidRDefault="00A10B25">
      <w:pPr>
        <w:pStyle w:val="TH"/>
      </w:pPr>
      <w:r>
        <w:lastRenderedPageBreak/>
        <w:t>Table 5.7.3.3.3.2-4: Headers supported by the 307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75E7A07" w14:textId="77777777">
        <w:trPr>
          <w:jc w:val="center"/>
        </w:trPr>
        <w:tc>
          <w:tcPr>
            <w:tcW w:w="825" w:type="pct"/>
            <w:tcBorders>
              <w:bottom w:val="single" w:sz="6" w:space="0" w:color="auto"/>
            </w:tcBorders>
            <w:shd w:val="clear" w:color="auto" w:fill="C0C0C0"/>
          </w:tcPr>
          <w:p w14:paraId="4089A748"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7BE34720"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592C8BE3" w14:textId="77777777" w:rsidR="00A10B25" w:rsidRDefault="00A10B25">
            <w:pPr>
              <w:pStyle w:val="TAH"/>
              <w:ind w:left="400" w:hanging="400"/>
            </w:pPr>
            <w:r>
              <w:t>P</w:t>
            </w:r>
          </w:p>
        </w:tc>
        <w:tc>
          <w:tcPr>
            <w:tcW w:w="581" w:type="pct"/>
            <w:tcBorders>
              <w:bottom w:val="single" w:sz="6" w:space="0" w:color="auto"/>
            </w:tcBorders>
            <w:shd w:val="clear" w:color="auto" w:fill="C0C0C0"/>
          </w:tcPr>
          <w:p w14:paraId="1CFF67A5"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0D37F92A" w14:textId="77777777" w:rsidR="00A10B25" w:rsidRDefault="00A10B25">
            <w:pPr>
              <w:pStyle w:val="TAH"/>
              <w:ind w:left="400" w:hanging="400"/>
            </w:pPr>
            <w:r>
              <w:t>Description</w:t>
            </w:r>
          </w:p>
        </w:tc>
      </w:tr>
      <w:tr w:rsidR="00A10B25" w14:paraId="62824EC5" w14:textId="77777777">
        <w:trPr>
          <w:jc w:val="center"/>
        </w:trPr>
        <w:tc>
          <w:tcPr>
            <w:tcW w:w="825" w:type="pct"/>
            <w:tcBorders>
              <w:top w:val="single" w:sz="6" w:space="0" w:color="auto"/>
            </w:tcBorders>
          </w:tcPr>
          <w:p w14:paraId="3E7C3A1B" w14:textId="77777777" w:rsidR="00A10B25" w:rsidRDefault="00A10B25">
            <w:pPr>
              <w:pStyle w:val="TAL"/>
            </w:pPr>
            <w:r>
              <w:t>Location</w:t>
            </w:r>
          </w:p>
        </w:tc>
        <w:tc>
          <w:tcPr>
            <w:tcW w:w="732" w:type="pct"/>
            <w:tcBorders>
              <w:top w:val="single" w:sz="6" w:space="0" w:color="auto"/>
            </w:tcBorders>
          </w:tcPr>
          <w:p w14:paraId="3ECDF64D" w14:textId="77777777" w:rsidR="00A10B25" w:rsidRDefault="00A10B25">
            <w:pPr>
              <w:pStyle w:val="TAL"/>
            </w:pPr>
            <w:r>
              <w:t>string</w:t>
            </w:r>
          </w:p>
        </w:tc>
        <w:tc>
          <w:tcPr>
            <w:tcW w:w="217" w:type="pct"/>
            <w:tcBorders>
              <w:top w:val="single" w:sz="6" w:space="0" w:color="auto"/>
            </w:tcBorders>
          </w:tcPr>
          <w:p w14:paraId="7E6EAF4D" w14:textId="77777777" w:rsidR="00A10B25" w:rsidRDefault="00A10B25">
            <w:pPr>
              <w:pStyle w:val="TAC"/>
            </w:pPr>
            <w:r>
              <w:t>M</w:t>
            </w:r>
          </w:p>
        </w:tc>
        <w:tc>
          <w:tcPr>
            <w:tcW w:w="581" w:type="pct"/>
            <w:tcBorders>
              <w:top w:val="single" w:sz="6" w:space="0" w:color="auto"/>
            </w:tcBorders>
          </w:tcPr>
          <w:p w14:paraId="77481A2D" w14:textId="77777777" w:rsidR="00A10B25" w:rsidRDefault="00A10B25">
            <w:pPr>
              <w:pStyle w:val="TAL"/>
            </w:pPr>
            <w:r>
              <w:t>1</w:t>
            </w:r>
          </w:p>
        </w:tc>
        <w:tc>
          <w:tcPr>
            <w:tcW w:w="2645" w:type="pct"/>
            <w:tcBorders>
              <w:top w:val="single" w:sz="6" w:space="0" w:color="auto"/>
            </w:tcBorders>
            <w:vAlign w:val="center"/>
          </w:tcPr>
          <w:p w14:paraId="24211E45"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25930287" w14:textId="77777777" w:rsidR="00A10B25" w:rsidRDefault="00A10B25">
            <w:pPr>
              <w:pStyle w:val="TAL"/>
            </w:pPr>
          </w:p>
          <w:p w14:paraId="13D4B722" w14:textId="77777777" w:rsidR="00A10B25" w:rsidRDefault="00A10B25">
            <w:pPr>
              <w:pStyle w:val="TAL"/>
            </w:pPr>
            <w:r>
              <w:t>For the case where the request is redirected to the same target via a different SEPP or SCP, refer to clause 6.10.9.1 of 3GPP TS 29.500 [6].</w:t>
            </w:r>
          </w:p>
        </w:tc>
      </w:tr>
      <w:tr w:rsidR="00A10B25" w14:paraId="5A463B9E" w14:textId="77777777">
        <w:trPr>
          <w:jc w:val="center"/>
        </w:trPr>
        <w:tc>
          <w:tcPr>
            <w:tcW w:w="825" w:type="pct"/>
          </w:tcPr>
          <w:p w14:paraId="3C14B6FB" w14:textId="77777777" w:rsidR="00A10B25" w:rsidRDefault="00A10B25">
            <w:pPr>
              <w:pStyle w:val="TAL"/>
            </w:pPr>
            <w:r>
              <w:rPr>
                <w:lang w:eastAsia="zh-CN"/>
              </w:rPr>
              <w:t>3gpp-Sbi-Target-Nf-Id</w:t>
            </w:r>
          </w:p>
        </w:tc>
        <w:tc>
          <w:tcPr>
            <w:tcW w:w="732" w:type="pct"/>
          </w:tcPr>
          <w:p w14:paraId="01BC85BE" w14:textId="77777777" w:rsidR="00A10B25" w:rsidRDefault="00A10B25">
            <w:pPr>
              <w:pStyle w:val="TAL"/>
            </w:pPr>
            <w:r>
              <w:rPr>
                <w:lang w:eastAsia="fr-FR"/>
              </w:rPr>
              <w:t>string</w:t>
            </w:r>
          </w:p>
        </w:tc>
        <w:tc>
          <w:tcPr>
            <w:tcW w:w="217" w:type="pct"/>
          </w:tcPr>
          <w:p w14:paraId="3863733C" w14:textId="77777777" w:rsidR="00A10B25" w:rsidRDefault="00A10B25">
            <w:pPr>
              <w:pStyle w:val="TAC"/>
            </w:pPr>
            <w:r>
              <w:rPr>
                <w:lang w:eastAsia="fr-FR"/>
              </w:rPr>
              <w:t>O</w:t>
            </w:r>
          </w:p>
        </w:tc>
        <w:tc>
          <w:tcPr>
            <w:tcW w:w="581" w:type="pct"/>
          </w:tcPr>
          <w:p w14:paraId="5A489AE4" w14:textId="77777777" w:rsidR="00A10B25" w:rsidRDefault="00A10B25">
            <w:pPr>
              <w:pStyle w:val="TAL"/>
            </w:pPr>
            <w:r>
              <w:rPr>
                <w:lang w:eastAsia="fr-FR"/>
              </w:rPr>
              <w:t>0..1</w:t>
            </w:r>
          </w:p>
        </w:tc>
        <w:tc>
          <w:tcPr>
            <w:tcW w:w="2645" w:type="pct"/>
            <w:vAlign w:val="center"/>
          </w:tcPr>
          <w:p w14:paraId="2E6B025B" w14:textId="77777777" w:rsidR="00A10B25" w:rsidRDefault="00A10B25">
            <w:pPr>
              <w:pStyle w:val="TAL"/>
            </w:pPr>
            <w:r>
              <w:rPr>
                <w:lang w:eastAsia="fr-FR"/>
              </w:rPr>
              <w:t>Identifier of the target RE-NWDAF (service) instance towards which the request is redirected.</w:t>
            </w:r>
          </w:p>
        </w:tc>
      </w:tr>
    </w:tbl>
    <w:p w14:paraId="5369FF14" w14:textId="77777777" w:rsidR="00A10B25" w:rsidRDefault="00A10B25"/>
    <w:p w14:paraId="246B8493" w14:textId="77777777" w:rsidR="00A10B25" w:rsidRDefault="00A10B25">
      <w:pPr>
        <w:pStyle w:val="TH"/>
      </w:pPr>
      <w:r>
        <w:t>Table 5.7.3.3.3.2-5: Headers supported by the 308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157E856" w14:textId="77777777">
        <w:trPr>
          <w:jc w:val="center"/>
        </w:trPr>
        <w:tc>
          <w:tcPr>
            <w:tcW w:w="825" w:type="pct"/>
            <w:tcBorders>
              <w:bottom w:val="single" w:sz="6" w:space="0" w:color="auto"/>
            </w:tcBorders>
            <w:shd w:val="clear" w:color="auto" w:fill="C0C0C0"/>
          </w:tcPr>
          <w:p w14:paraId="4BC9BADE" w14:textId="77777777" w:rsidR="00A10B25" w:rsidRDefault="00A10B25">
            <w:pPr>
              <w:pStyle w:val="TAH"/>
              <w:ind w:left="400" w:hanging="400"/>
            </w:pPr>
            <w:r>
              <w:t>Name</w:t>
            </w:r>
          </w:p>
        </w:tc>
        <w:tc>
          <w:tcPr>
            <w:tcW w:w="732" w:type="pct"/>
            <w:tcBorders>
              <w:bottom w:val="single" w:sz="6" w:space="0" w:color="auto"/>
            </w:tcBorders>
            <w:shd w:val="clear" w:color="auto" w:fill="C0C0C0"/>
          </w:tcPr>
          <w:p w14:paraId="1512AAB9" w14:textId="77777777" w:rsidR="00A10B25" w:rsidRDefault="00A10B25">
            <w:pPr>
              <w:pStyle w:val="TAH"/>
              <w:ind w:left="400" w:hanging="400"/>
            </w:pPr>
            <w:r>
              <w:t>Data type</w:t>
            </w:r>
          </w:p>
        </w:tc>
        <w:tc>
          <w:tcPr>
            <w:tcW w:w="217" w:type="pct"/>
            <w:tcBorders>
              <w:bottom w:val="single" w:sz="6" w:space="0" w:color="auto"/>
            </w:tcBorders>
            <w:shd w:val="clear" w:color="auto" w:fill="C0C0C0"/>
          </w:tcPr>
          <w:p w14:paraId="082C270B" w14:textId="77777777" w:rsidR="00A10B25" w:rsidRDefault="00A10B25">
            <w:pPr>
              <w:pStyle w:val="TAH"/>
              <w:ind w:left="400" w:hanging="400"/>
            </w:pPr>
            <w:r>
              <w:t>P</w:t>
            </w:r>
          </w:p>
        </w:tc>
        <w:tc>
          <w:tcPr>
            <w:tcW w:w="581" w:type="pct"/>
            <w:tcBorders>
              <w:bottom w:val="single" w:sz="6" w:space="0" w:color="auto"/>
            </w:tcBorders>
            <w:shd w:val="clear" w:color="auto" w:fill="C0C0C0"/>
          </w:tcPr>
          <w:p w14:paraId="20E28E71" w14:textId="77777777" w:rsidR="00A10B25" w:rsidRDefault="00A10B25">
            <w:pPr>
              <w:pStyle w:val="TAH"/>
              <w:ind w:left="400" w:hanging="400"/>
            </w:pPr>
            <w:r>
              <w:t>Cardinality</w:t>
            </w:r>
          </w:p>
        </w:tc>
        <w:tc>
          <w:tcPr>
            <w:tcW w:w="2645" w:type="pct"/>
            <w:tcBorders>
              <w:bottom w:val="single" w:sz="6" w:space="0" w:color="auto"/>
            </w:tcBorders>
            <w:shd w:val="clear" w:color="auto" w:fill="C0C0C0"/>
            <w:vAlign w:val="center"/>
          </w:tcPr>
          <w:p w14:paraId="2E7F366E" w14:textId="77777777" w:rsidR="00A10B25" w:rsidRDefault="00A10B25">
            <w:pPr>
              <w:pStyle w:val="TAH"/>
              <w:ind w:left="400" w:hanging="400"/>
            </w:pPr>
            <w:r>
              <w:t>Description</w:t>
            </w:r>
          </w:p>
        </w:tc>
      </w:tr>
      <w:tr w:rsidR="00A10B25" w14:paraId="61CFB948" w14:textId="77777777">
        <w:trPr>
          <w:jc w:val="center"/>
        </w:trPr>
        <w:tc>
          <w:tcPr>
            <w:tcW w:w="825" w:type="pct"/>
            <w:tcBorders>
              <w:top w:val="single" w:sz="6" w:space="0" w:color="auto"/>
            </w:tcBorders>
          </w:tcPr>
          <w:p w14:paraId="047904EF" w14:textId="77777777" w:rsidR="00A10B25" w:rsidRDefault="00A10B25">
            <w:pPr>
              <w:pStyle w:val="TAL"/>
            </w:pPr>
            <w:r>
              <w:t>Location</w:t>
            </w:r>
          </w:p>
        </w:tc>
        <w:tc>
          <w:tcPr>
            <w:tcW w:w="732" w:type="pct"/>
            <w:tcBorders>
              <w:top w:val="single" w:sz="6" w:space="0" w:color="auto"/>
            </w:tcBorders>
          </w:tcPr>
          <w:p w14:paraId="31BF0890" w14:textId="77777777" w:rsidR="00A10B25" w:rsidRDefault="00A10B25">
            <w:pPr>
              <w:pStyle w:val="TAL"/>
            </w:pPr>
            <w:r>
              <w:t>string</w:t>
            </w:r>
          </w:p>
        </w:tc>
        <w:tc>
          <w:tcPr>
            <w:tcW w:w="217" w:type="pct"/>
            <w:tcBorders>
              <w:top w:val="single" w:sz="6" w:space="0" w:color="auto"/>
            </w:tcBorders>
          </w:tcPr>
          <w:p w14:paraId="08B83796" w14:textId="77777777" w:rsidR="00A10B25" w:rsidRDefault="00A10B25">
            <w:pPr>
              <w:pStyle w:val="TAC"/>
            </w:pPr>
            <w:r>
              <w:t>M</w:t>
            </w:r>
          </w:p>
        </w:tc>
        <w:tc>
          <w:tcPr>
            <w:tcW w:w="581" w:type="pct"/>
            <w:tcBorders>
              <w:top w:val="single" w:sz="6" w:space="0" w:color="auto"/>
            </w:tcBorders>
          </w:tcPr>
          <w:p w14:paraId="1E391C9B" w14:textId="77777777" w:rsidR="00A10B25" w:rsidRDefault="00A10B25">
            <w:pPr>
              <w:pStyle w:val="TAL"/>
            </w:pPr>
            <w:r>
              <w:t>1</w:t>
            </w:r>
          </w:p>
        </w:tc>
        <w:tc>
          <w:tcPr>
            <w:tcW w:w="2645" w:type="pct"/>
            <w:tcBorders>
              <w:top w:val="single" w:sz="6" w:space="0" w:color="auto"/>
            </w:tcBorders>
            <w:vAlign w:val="center"/>
          </w:tcPr>
          <w:p w14:paraId="100B391C" w14:textId="77777777" w:rsidR="00A10B25" w:rsidRDefault="00A10B25">
            <w:pPr>
              <w:pStyle w:val="TAL"/>
            </w:pPr>
            <w:r>
              <w:t xml:space="preserve">Contains an alternative URI of the resource located in an alternative RE-NWDAF (service) instance </w:t>
            </w:r>
            <w:r>
              <w:rPr>
                <w:lang w:eastAsia="fr-FR"/>
              </w:rPr>
              <w:t>towards which the request is redirected</w:t>
            </w:r>
          </w:p>
          <w:p w14:paraId="199A8FA3" w14:textId="77777777" w:rsidR="00A10B25" w:rsidRDefault="00A10B25">
            <w:pPr>
              <w:pStyle w:val="TAL"/>
            </w:pPr>
          </w:p>
          <w:p w14:paraId="598516FC" w14:textId="77777777" w:rsidR="00A10B25" w:rsidRDefault="00A10B25">
            <w:pPr>
              <w:pStyle w:val="TAL"/>
            </w:pPr>
            <w:r>
              <w:t>For the case where the request is redirected to the same target via a different SEPP or SCP, refer to clause 6.10.9.1 of 3GPP TS 29.500 [6].</w:t>
            </w:r>
          </w:p>
        </w:tc>
      </w:tr>
      <w:tr w:rsidR="00A10B25" w14:paraId="5B20228A" w14:textId="77777777">
        <w:trPr>
          <w:jc w:val="center"/>
        </w:trPr>
        <w:tc>
          <w:tcPr>
            <w:tcW w:w="825" w:type="pct"/>
          </w:tcPr>
          <w:p w14:paraId="7903E308" w14:textId="77777777" w:rsidR="00A10B25" w:rsidRDefault="00A10B25">
            <w:pPr>
              <w:pStyle w:val="TAL"/>
            </w:pPr>
            <w:r>
              <w:rPr>
                <w:lang w:eastAsia="zh-CN"/>
              </w:rPr>
              <w:t>3gpp-Sbi-Target-Nf-Id</w:t>
            </w:r>
          </w:p>
        </w:tc>
        <w:tc>
          <w:tcPr>
            <w:tcW w:w="732" w:type="pct"/>
          </w:tcPr>
          <w:p w14:paraId="2529AEFB" w14:textId="77777777" w:rsidR="00A10B25" w:rsidRDefault="00A10B25">
            <w:pPr>
              <w:pStyle w:val="TAL"/>
            </w:pPr>
            <w:r>
              <w:rPr>
                <w:lang w:eastAsia="fr-FR"/>
              </w:rPr>
              <w:t>string</w:t>
            </w:r>
          </w:p>
        </w:tc>
        <w:tc>
          <w:tcPr>
            <w:tcW w:w="217" w:type="pct"/>
          </w:tcPr>
          <w:p w14:paraId="4B2A9D70" w14:textId="77777777" w:rsidR="00A10B25" w:rsidRDefault="00A10B25">
            <w:pPr>
              <w:pStyle w:val="TAC"/>
            </w:pPr>
            <w:r>
              <w:rPr>
                <w:lang w:eastAsia="fr-FR"/>
              </w:rPr>
              <w:t>O</w:t>
            </w:r>
          </w:p>
        </w:tc>
        <w:tc>
          <w:tcPr>
            <w:tcW w:w="581" w:type="pct"/>
          </w:tcPr>
          <w:p w14:paraId="3CE6ABC0" w14:textId="77777777" w:rsidR="00A10B25" w:rsidRDefault="00A10B25">
            <w:pPr>
              <w:pStyle w:val="TAL"/>
            </w:pPr>
            <w:r>
              <w:rPr>
                <w:lang w:eastAsia="fr-FR"/>
              </w:rPr>
              <w:t>0..1</w:t>
            </w:r>
          </w:p>
        </w:tc>
        <w:tc>
          <w:tcPr>
            <w:tcW w:w="2645" w:type="pct"/>
            <w:vAlign w:val="center"/>
          </w:tcPr>
          <w:p w14:paraId="7857CB53" w14:textId="77777777" w:rsidR="00A10B25" w:rsidRDefault="00A10B25">
            <w:pPr>
              <w:pStyle w:val="TAL"/>
            </w:pPr>
            <w:r>
              <w:rPr>
                <w:lang w:eastAsia="fr-FR"/>
              </w:rPr>
              <w:t>Identifier of the target RE-NWDAF (service) instance towards which the request is redirected.</w:t>
            </w:r>
          </w:p>
        </w:tc>
      </w:tr>
    </w:tbl>
    <w:p w14:paraId="7AD9FDD8" w14:textId="77777777" w:rsidR="00A10B25" w:rsidRDefault="00A10B25">
      <w:pPr>
        <w:rPr>
          <w:rFonts w:eastAsia="MS Mincho"/>
          <w:lang w:eastAsia="ja-JP"/>
        </w:rPr>
      </w:pPr>
    </w:p>
    <w:p w14:paraId="17EC2F06" w14:textId="77777777" w:rsidR="00A10B25" w:rsidRDefault="00A10B25">
      <w:pPr>
        <w:pStyle w:val="5"/>
      </w:pPr>
      <w:bookmarkStart w:id="16059" w:name="_Toc164921231"/>
      <w:bookmarkStart w:id="16060" w:name="_Toc170120773"/>
      <w:bookmarkStart w:id="16061" w:name="_Toc175859018"/>
      <w:bookmarkStart w:id="16062" w:name="_Toc175860091"/>
      <w:bookmarkStart w:id="16063" w:name="_Toc180606381"/>
      <w:bookmarkStart w:id="16064" w:name="_Toc185517642"/>
      <w:bookmarkStart w:id="16065" w:name="_Toc191576694"/>
      <w:bookmarkStart w:id="16066" w:name="_Toc191577434"/>
      <w:bookmarkStart w:id="16067" w:name="_Toc192880504"/>
      <w:bookmarkStart w:id="16068" w:name="_Toc195815393"/>
      <w:bookmarkStart w:id="16069" w:name="_Toc199453360"/>
      <w:r>
        <w:t>5.7.3.3.4</w:t>
      </w:r>
      <w:r>
        <w:tab/>
        <w:t>Resource Custom Operations</w:t>
      </w:r>
      <w:bookmarkEnd w:id="16059"/>
      <w:bookmarkEnd w:id="16060"/>
      <w:bookmarkEnd w:id="16061"/>
      <w:bookmarkEnd w:id="16062"/>
      <w:bookmarkEnd w:id="16063"/>
      <w:bookmarkEnd w:id="16064"/>
      <w:bookmarkEnd w:id="16065"/>
      <w:bookmarkEnd w:id="16066"/>
      <w:bookmarkEnd w:id="16067"/>
      <w:bookmarkEnd w:id="16068"/>
      <w:bookmarkEnd w:id="16069"/>
    </w:p>
    <w:p w14:paraId="5AD4ADDA" w14:textId="77777777" w:rsidR="00A10B25" w:rsidRDefault="00A10B25">
      <w:pPr>
        <w:rPr>
          <w:lang w:val="en-US" w:eastAsia="zh-CN"/>
        </w:rPr>
      </w:pPr>
      <w:r>
        <w:t>None in this release of the specification.</w:t>
      </w:r>
    </w:p>
    <w:p w14:paraId="2C1E78A3" w14:textId="77777777" w:rsidR="00A10B25" w:rsidRDefault="00A10B25">
      <w:pPr>
        <w:pStyle w:val="3"/>
      </w:pPr>
      <w:bookmarkStart w:id="16070" w:name="_Toc164921232"/>
      <w:bookmarkStart w:id="16071" w:name="_Toc170120774"/>
      <w:bookmarkStart w:id="16072" w:name="_Toc175859019"/>
      <w:bookmarkStart w:id="16073" w:name="_Toc175860092"/>
      <w:bookmarkStart w:id="16074" w:name="_Toc180606382"/>
      <w:bookmarkStart w:id="16075" w:name="_Toc185517643"/>
      <w:bookmarkStart w:id="16076" w:name="_Toc191576695"/>
      <w:bookmarkStart w:id="16077" w:name="_Toc191577435"/>
      <w:bookmarkStart w:id="16078" w:name="_Toc192880505"/>
      <w:bookmarkStart w:id="16079" w:name="_Toc195815394"/>
      <w:bookmarkStart w:id="16080" w:name="_Toc199453361"/>
      <w:r>
        <w:rPr>
          <w:lang w:val="en-US"/>
        </w:rPr>
        <w:t>5.7.4</w:t>
      </w:r>
      <w:r>
        <w:rPr>
          <w:lang w:val="en-US"/>
        </w:rPr>
        <w:tab/>
        <w:t>Custom Operations without associated resources</w:t>
      </w:r>
      <w:bookmarkEnd w:id="16070"/>
      <w:bookmarkEnd w:id="16071"/>
      <w:bookmarkEnd w:id="16072"/>
      <w:bookmarkEnd w:id="16073"/>
      <w:bookmarkEnd w:id="16074"/>
      <w:bookmarkEnd w:id="16075"/>
      <w:bookmarkEnd w:id="16076"/>
      <w:bookmarkEnd w:id="16077"/>
      <w:bookmarkEnd w:id="16078"/>
      <w:bookmarkEnd w:id="16079"/>
      <w:bookmarkEnd w:id="16080"/>
    </w:p>
    <w:p w14:paraId="2806C308" w14:textId="77777777" w:rsidR="00A10B25" w:rsidRDefault="00A10B25">
      <w:pPr>
        <w:rPr>
          <w:lang w:val="en-US" w:eastAsia="zh-CN"/>
        </w:rPr>
      </w:pPr>
      <w:r>
        <w:rPr>
          <w:rFonts w:eastAsia="Batang"/>
          <w:lang w:val="en-US"/>
        </w:rPr>
        <w:t>None in this release of the specification.</w:t>
      </w:r>
    </w:p>
    <w:p w14:paraId="2674DE21" w14:textId="77777777" w:rsidR="00A10B25" w:rsidRDefault="00A10B25">
      <w:pPr>
        <w:pStyle w:val="3"/>
        <w:rPr>
          <w:lang w:val="en-US"/>
        </w:rPr>
      </w:pPr>
      <w:bookmarkStart w:id="16081" w:name="_Toc164921233"/>
      <w:bookmarkStart w:id="16082" w:name="_Toc170120775"/>
      <w:bookmarkStart w:id="16083" w:name="_Toc175859020"/>
      <w:bookmarkStart w:id="16084" w:name="_Toc175860093"/>
      <w:bookmarkStart w:id="16085" w:name="_Toc180606383"/>
      <w:bookmarkStart w:id="16086" w:name="_Toc185517644"/>
      <w:bookmarkStart w:id="16087" w:name="_Toc191576696"/>
      <w:bookmarkStart w:id="16088" w:name="_Toc191577436"/>
      <w:bookmarkStart w:id="16089" w:name="_Toc192880506"/>
      <w:bookmarkStart w:id="16090" w:name="_Toc195815395"/>
      <w:bookmarkStart w:id="16091" w:name="_Toc199453362"/>
      <w:r>
        <w:rPr>
          <w:lang w:val="en-US"/>
        </w:rPr>
        <w:t>5.7.5</w:t>
      </w:r>
      <w:r>
        <w:rPr>
          <w:lang w:val="en-US"/>
        </w:rPr>
        <w:tab/>
        <w:t>Notifications</w:t>
      </w:r>
      <w:bookmarkEnd w:id="16081"/>
      <w:bookmarkEnd w:id="16082"/>
      <w:bookmarkEnd w:id="16083"/>
      <w:bookmarkEnd w:id="16084"/>
      <w:bookmarkEnd w:id="16085"/>
      <w:bookmarkEnd w:id="16086"/>
      <w:bookmarkEnd w:id="16087"/>
      <w:bookmarkEnd w:id="16088"/>
      <w:bookmarkEnd w:id="16089"/>
      <w:bookmarkEnd w:id="16090"/>
      <w:bookmarkEnd w:id="16091"/>
    </w:p>
    <w:p w14:paraId="6C7A51C1" w14:textId="77777777" w:rsidR="00A10B25" w:rsidRDefault="00A10B25">
      <w:pPr>
        <w:pStyle w:val="4"/>
      </w:pPr>
      <w:bookmarkStart w:id="16092" w:name="_Toc164921234"/>
      <w:bookmarkStart w:id="16093" w:name="_Toc170120776"/>
      <w:bookmarkStart w:id="16094" w:name="_Toc175859021"/>
      <w:bookmarkStart w:id="16095" w:name="_Toc175860094"/>
      <w:bookmarkStart w:id="16096" w:name="_Toc180606384"/>
      <w:bookmarkStart w:id="16097" w:name="_Toc185517645"/>
      <w:bookmarkStart w:id="16098" w:name="_Toc191576697"/>
      <w:bookmarkStart w:id="16099" w:name="_Toc191577437"/>
      <w:bookmarkStart w:id="16100" w:name="_Toc192880507"/>
      <w:bookmarkStart w:id="16101" w:name="_Toc195815396"/>
      <w:bookmarkStart w:id="16102" w:name="_Toc199453363"/>
      <w:r>
        <w:t>5.7.5.1</w:t>
      </w:r>
      <w:r>
        <w:tab/>
        <w:t>General</w:t>
      </w:r>
      <w:bookmarkEnd w:id="16092"/>
      <w:bookmarkEnd w:id="16093"/>
      <w:bookmarkEnd w:id="16094"/>
      <w:bookmarkEnd w:id="16095"/>
      <w:bookmarkEnd w:id="16096"/>
      <w:bookmarkEnd w:id="16097"/>
      <w:bookmarkEnd w:id="16098"/>
      <w:bookmarkEnd w:id="16099"/>
      <w:bookmarkEnd w:id="16100"/>
      <w:bookmarkEnd w:id="16101"/>
      <w:bookmarkEnd w:id="16102"/>
    </w:p>
    <w:p w14:paraId="2B9F5B0A" w14:textId="77777777" w:rsidR="00A10B25" w:rsidRDefault="00A10B25">
      <w:r>
        <w:t>Notifications shall comply with clause 6.2 of 3GPP TS 29.500 [6] and clause 4.6.2.3 of 3GPP TS 29.501 [7].</w:t>
      </w:r>
    </w:p>
    <w:p w14:paraId="1B746747" w14:textId="77777777" w:rsidR="00A10B25" w:rsidRDefault="00A10B25">
      <w:pPr>
        <w:pStyle w:val="TH"/>
      </w:pPr>
      <w:r>
        <w:t>Table 5.7.5.1-1: Notifications overview</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1835"/>
        <w:gridCol w:w="1843"/>
        <w:gridCol w:w="2386"/>
        <w:gridCol w:w="3465"/>
      </w:tblGrid>
      <w:tr w:rsidR="00A10B25" w14:paraId="79B35A85" w14:textId="77777777">
        <w:trPr>
          <w:jc w:val="center"/>
        </w:trPr>
        <w:tc>
          <w:tcPr>
            <w:tcW w:w="963" w:type="pct"/>
            <w:shd w:val="clear" w:color="auto" w:fill="C0C0C0"/>
            <w:vAlign w:val="center"/>
          </w:tcPr>
          <w:p w14:paraId="5BAABDB2" w14:textId="77777777" w:rsidR="00A10B25" w:rsidRDefault="00A10B25">
            <w:pPr>
              <w:pStyle w:val="TAH"/>
              <w:ind w:left="400" w:hanging="400"/>
            </w:pPr>
            <w:r>
              <w:t>Notification</w:t>
            </w:r>
          </w:p>
        </w:tc>
        <w:tc>
          <w:tcPr>
            <w:tcW w:w="967" w:type="pct"/>
            <w:shd w:val="clear" w:color="auto" w:fill="C0C0C0"/>
            <w:vAlign w:val="center"/>
          </w:tcPr>
          <w:p w14:paraId="403C4AA1" w14:textId="77777777" w:rsidR="00A10B25" w:rsidRDefault="00A10B25">
            <w:pPr>
              <w:pStyle w:val="TAH"/>
              <w:ind w:left="400" w:hanging="400"/>
            </w:pPr>
            <w:r>
              <w:t>Callback URI</w:t>
            </w:r>
          </w:p>
        </w:tc>
        <w:tc>
          <w:tcPr>
            <w:tcW w:w="1252" w:type="pct"/>
            <w:shd w:val="clear" w:color="auto" w:fill="C0C0C0"/>
            <w:vAlign w:val="center"/>
          </w:tcPr>
          <w:p w14:paraId="6407CAB8" w14:textId="77777777" w:rsidR="00A10B25" w:rsidRDefault="00A10B25">
            <w:pPr>
              <w:pStyle w:val="TAH"/>
              <w:ind w:left="400" w:hanging="400"/>
            </w:pPr>
            <w:r>
              <w:t>HTTP method or custom operation</w:t>
            </w:r>
          </w:p>
        </w:tc>
        <w:tc>
          <w:tcPr>
            <w:tcW w:w="1818" w:type="pct"/>
            <w:shd w:val="clear" w:color="auto" w:fill="C0C0C0"/>
            <w:vAlign w:val="center"/>
          </w:tcPr>
          <w:p w14:paraId="19F8D295" w14:textId="77777777" w:rsidR="00A10B25" w:rsidRDefault="00A10B25">
            <w:pPr>
              <w:pStyle w:val="TAH"/>
              <w:ind w:left="400" w:hanging="400"/>
            </w:pPr>
            <w:r>
              <w:t>Description (service operation)</w:t>
            </w:r>
          </w:p>
        </w:tc>
      </w:tr>
      <w:tr w:rsidR="00A10B25" w14:paraId="23C50955" w14:textId="77777777">
        <w:trPr>
          <w:jc w:val="center"/>
        </w:trPr>
        <w:tc>
          <w:tcPr>
            <w:tcW w:w="963" w:type="pct"/>
          </w:tcPr>
          <w:p w14:paraId="70A48997" w14:textId="77777777" w:rsidR="00A10B25" w:rsidRDefault="00A10B25">
            <w:pPr>
              <w:pStyle w:val="TAL"/>
              <w:rPr>
                <w:rFonts w:cs="Arial"/>
                <w:szCs w:val="18"/>
                <w:lang w:val="en-US"/>
              </w:rPr>
            </w:pPr>
            <w:r>
              <w:rPr>
                <w:rFonts w:cs="Arial"/>
                <w:szCs w:val="18"/>
                <w:lang w:val="en-US"/>
              </w:rPr>
              <w:t>Event Notification</w:t>
            </w:r>
          </w:p>
        </w:tc>
        <w:tc>
          <w:tcPr>
            <w:tcW w:w="967" w:type="pct"/>
          </w:tcPr>
          <w:p w14:paraId="733F47A2" w14:textId="77777777" w:rsidR="00A10B25" w:rsidRDefault="00A10B25">
            <w:pPr>
              <w:pStyle w:val="af0"/>
              <w:keepNext/>
              <w:keepLines/>
              <w:spacing w:after="0"/>
              <w:rPr>
                <w:rFonts w:ascii="Arial" w:hAnsi="Arial" w:cs="Arial"/>
                <w:lang w:val="en-US"/>
              </w:rPr>
            </w:pPr>
            <w:r>
              <w:rPr>
                <w:rFonts w:ascii="Arial" w:hAnsi="Arial" w:cs="Arial"/>
                <w:lang w:val="en-US"/>
              </w:rPr>
              <w:t>{notificationUri}</w:t>
            </w:r>
          </w:p>
        </w:tc>
        <w:tc>
          <w:tcPr>
            <w:tcW w:w="1252" w:type="pct"/>
          </w:tcPr>
          <w:p w14:paraId="5DAC13B3" w14:textId="77777777" w:rsidR="00A10B25" w:rsidRDefault="00A10B25">
            <w:pPr>
              <w:pStyle w:val="TAL"/>
            </w:pPr>
            <w:r>
              <w:t>POST</w:t>
            </w:r>
          </w:p>
        </w:tc>
        <w:tc>
          <w:tcPr>
            <w:tcW w:w="1818" w:type="pct"/>
          </w:tcPr>
          <w:p w14:paraId="2D7CB1FD" w14:textId="77777777" w:rsidR="00A10B25" w:rsidRDefault="00A10B25">
            <w:pPr>
              <w:pStyle w:val="TAL"/>
            </w:pPr>
            <w:r>
              <w:t>Report data information related to roaming UE(s).</w:t>
            </w:r>
          </w:p>
        </w:tc>
      </w:tr>
    </w:tbl>
    <w:p w14:paraId="5903D439" w14:textId="77777777" w:rsidR="00A10B25" w:rsidRDefault="00A10B25"/>
    <w:p w14:paraId="02F18074" w14:textId="77777777" w:rsidR="00A10B25" w:rsidRDefault="00A10B25">
      <w:pPr>
        <w:pStyle w:val="4"/>
      </w:pPr>
      <w:bookmarkStart w:id="16103" w:name="_Toc164921235"/>
      <w:bookmarkStart w:id="16104" w:name="_Toc170120777"/>
      <w:bookmarkStart w:id="16105" w:name="_Toc175859022"/>
      <w:bookmarkStart w:id="16106" w:name="_Toc175860095"/>
      <w:bookmarkStart w:id="16107" w:name="_Toc180606385"/>
      <w:bookmarkStart w:id="16108" w:name="_Toc185517646"/>
      <w:bookmarkStart w:id="16109" w:name="_Toc191576698"/>
      <w:bookmarkStart w:id="16110" w:name="_Toc191577438"/>
      <w:bookmarkStart w:id="16111" w:name="_Toc192880508"/>
      <w:bookmarkStart w:id="16112" w:name="_Toc195815397"/>
      <w:bookmarkStart w:id="16113" w:name="_Toc199453364"/>
      <w:r>
        <w:t>5.7.5.2</w:t>
      </w:r>
      <w:r>
        <w:tab/>
        <w:t>Event Notification</w:t>
      </w:r>
      <w:bookmarkEnd w:id="16103"/>
      <w:bookmarkEnd w:id="16104"/>
      <w:bookmarkEnd w:id="16105"/>
      <w:bookmarkEnd w:id="16106"/>
      <w:bookmarkEnd w:id="16107"/>
      <w:bookmarkEnd w:id="16108"/>
      <w:bookmarkEnd w:id="16109"/>
      <w:bookmarkEnd w:id="16110"/>
      <w:bookmarkEnd w:id="16111"/>
      <w:bookmarkEnd w:id="16112"/>
      <w:bookmarkEnd w:id="16113"/>
    </w:p>
    <w:p w14:paraId="05D98B48" w14:textId="77777777" w:rsidR="00A10B25" w:rsidRDefault="00A10B25">
      <w:pPr>
        <w:pStyle w:val="5"/>
      </w:pPr>
      <w:bookmarkStart w:id="16114" w:name="_Toc164921236"/>
      <w:bookmarkStart w:id="16115" w:name="_Toc170120778"/>
      <w:bookmarkStart w:id="16116" w:name="_Toc175859023"/>
      <w:bookmarkStart w:id="16117" w:name="_Toc175860096"/>
      <w:bookmarkStart w:id="16118" w:name="_Toc180606386"/>
      <w:bookmarkStart w:id="16119" w:name="_Toc185517647"/>
      <w:bookmarkStart w:id="16120" w:name="_Toc191576699"/>
      <w:bookmarkStart w:id="16121" w:name="_Toc191577439"/>
      <w:bookmarkStart w:id="16122" w:name="_Toc192880509"/>
      <w:bookmarkStart w:id="16123" w:name="_Toc195815398"/>
      <w:bookmarkStart w:id="16124" w:name="_Toc199453365"/>
      <w:r>
        <w:t>5.7.5.2.1</w:t>
      </w:r>
      <w:r>
        <w:tab/>
        <w:t>Description</w:t>
      </w:r>
      <w:bookmarkEnd w:id="16114"/>
      <w:bookmarkEnd w:id="16115"/>
      <w:bookmarkEnd w:id="16116"/>
      <w:bookmarkEnd w:id="16117"/>
      <w:bookmarkEnd w:id="16118"/>
      <w:bookmarkEnd w:id="16119"/>
      <w:bookmarkEnd w:id="16120"/>
      <w:bookmarkEnd w:id="16121"/>
      <w:bookmarkEnd w:id="16122"/>
      <w:bookmarkEnd w:id="16123"/>
      <w:bookmarkEnd w:id="16124"/>
    </w:p>
    <w:p w14:paraId="05C0F1EC" w14:textId="77777777" w:rsidR="00A10B25" w:rsidRDefault="00A10B25">
      <w:r>
        <w:t xml:space="preserve">The Event Notification is used by the RE-NWDAF to report data information to the </w:t>
      </w:r>
      <w:r>
        <w:rPr>
          <w:lang w:eastAsia="ja-JP"/>
        </w:rPr>
        <w:t>NF service consumer</w:t>
      </w:r>
      <w:r>
        <w:t xml:space="preserve"> that has subscribed to such Notifications.</w:t>
      </w:r>
    </w:p>
    <w:p w14:paraId="560DAE02" w14:textId="77777777" w:rsidR="00A10B25" w:rsidRDefault="00A10B25">
      <w:pPr>
        <w:pStyle w:val="5"/>
      </w:pPr>
      <w:bookmarkStart w:id="16125" w:name="_Toc164921237"/>
      <w:bookmarkStart w:id="16126" w:name="_Toc170120779"/>
      <w:bookmarkStart w:id="16127" w:name="_Toc175859024"/>
      <w:bookmarkStart w:id="16128" w:name="_Toc175860097"/>
      <w:bookmarkStart w:id="16129" w:name="_Toc180606387"/>
      <w:bookmarkStart w:id="16130" w:name="_Toc185517648"/>
      <w:bookmarkStart w:id="16131" w:name="_Toc191576700"/>
      <w:bookmarkStart w:id="16132" w:name="_Toc191577440"/>
      <w:bookmarkStart w:id="16133" w:name="_Toc192880510"/>
      <w:bookmarkStart w:id="16134" w:name="_Toc195815399"/>
      <w:bookmarkStart w:id="16135" w:name="_Toc199453366"/>
      <w:r>
        <w:t>5.7.5.2.2</w:t>
      </w:r>
      <w:r>
        <w:tab/>
      </w:r>
      <w:r>
        <w:rPr>
          <w:lang w:val="en-US" w:eastAsia="zh-CN"/>
        </w:rPr>
        <w:t>Operation Definition</w:t>
      </w:r>
      <w:bookmarkEnd w:id="16125"/>
      <w:bookmarkEnd w:id="16126"/>
      <w:bookmarkEnd w:id="16127"/>
      <w:bookmarkEnd w:id="16128"/>
      <w:bookmarkEnd w:id="16129"/>
      <w:bookmarkEnd w:id="16130"/>
      <w:bookmarkEnd w:id="16131"/>
      <w:bookmarkEnd w:id="16132"/>
      <w:bookmarkEnd w:id="16133"/>
      <w:bookmarkEnd w:id="16134"/>
      <w:bookmarkEnd w:id="16135"/>
    </w:p>
    <w:p w14:paraId="65D97804" w14:textId="77777777" w:rsidR="00A10B25" w:rsidRDefault="00A10B25">
      <w:pPr>
        <w:rPr>
          <w:rFonts w:eastAsia="Batang"/>
        </w:rPr>
      </w:pPr>
      <w:r>
        <w:rPr>
          <w:rFonts w:eastAsia="Batang"/>
        </w:rPr>
        <w:t>Callback URI:</w:t>
      </w:r>
      <w:r>
        <w:rPr>
          <w:rFonts w:ascii="Arial" w:eastAsia="Batang" w:hAnsi="Arial"/>
          <w:b/>
          <w:sz w:val="18"/>
        </w:rPr>
        <w:t xml:space="preserve"> {</w:t>
      </w:r>
      <w:r>
        <w:rPr>
          <w:b/>
          <w:lang w:val="en-US" w:eastAsia="zh-CN"/>
        </w:rPr>
        <w:t>notificationUri</w:t>
      </w:r>
      <w:r>
        <w:rPr>
          <w:rFonts w:ascii="Arial" w:eastAsia="Batang" w:hAnsi="Arial"/>
          <w:b/>
          <w:sz w:val="18"/>
        </w:rPr>
        <w:t>}</w:t>
      </w:r>
    </w:p>
    <w:p w14:paraId="62DE1CF9" w14:textId="77777777" w:rsidR="00A10B25" w:rsidRDefault="00A10B25">
      <w:pPr>
        <w:rPr>
          <w:rFonts w:ascii="Arial" w:hAnsi="Arial" w:cs="Arial"/>
        </w:rPr>
      </w:pPr>
      <w:r>
        <w:rPr>
          <w:rFonts w:eastAsia="Batang"/>
        </w:rPr>
        <w:lastRenderedPageBreak/>
        <w:t>The operation shall support the</w:t>
      </w:r>
      <w:r>
        <w:t xml:space="preserve"> c</w:t>
      </w:r>
      <w:r>
        <w:rPr>
          <w:rFonts w:eastAsia="Batang"/>
        </w:rPr>
        <w:t>allback URI variables defined in Table 5.7.5.2.2-1</w:t>
      </w:r>
      <w:r>
        <w:rPr>
          <w:rFonts w:ascii="Arial" w:eastAsia="Batang" w:hAnsi="Arial" w:cs="Arial"/>
        </w:rPr>
        <w:t xml:space="preserve">, </w:t>
      </w:r>
      <w:r>
        <w:rPr>
          <w:rFonts w:eastAsia="Batang"/>
        </w:rPr>
        <w:t>the request data structures specified in table </w:t>
      </w:r>
      <w:r>
        <w:t>5.7.5.2.2</w:t>
      </w:r>
      <w:r>
        <w:rPr>
          <w:rFonts w:eastAsia="Batang"/>
        </w:rPr>
        <w:t>-2 and the response data structure and response codes specified in Table 5.7.5.2.2-3.</w:t>
      </w:r>
    </w:p>
    <w:p w14:paraId="7E0A6F65" w14:textId="77777777" w:rsidR="00A10B25" w:rsidRDefault="00A10B25">
      <w:pPr>
        <w:pStyle w:val="TH"/>
        <w:rPr>
          <w:rFonts w:cs="Arial"/>
        </w:rPr>
      </w:pPr>
      <w:r>
        <w:t>Table 5.7.5.2.2-1: Callback URI variables</w:t>
      </w:r>
    </w:p>
    <w:tbl>
      <w:tblPr>
        <w:tblW w:w="4928" w:type="pct"/>
        <w:jc w:val="center"/>
        <w:tblInd w:w="0" w:type="dxa"/>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59C0751E" w14:textId="77777777">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716067F4" w14:textId="77777777" w:rsidR="00A10B25" w:rsidRDefault="00A10B25">
            <w:pPr>
              <w:pStyle w:val="TAH"/>
              <w:ind w:left="400" w:hanging="400"/>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1A80FBFF" w14:textId="77777777" w:rsidR="00A10B25" w:rsidRDefault="00A10B25">
            <w:pPr>
              <w:pStyle w:val="TAH"/>
              <w:ind w:left="400" w:hanging="400"/>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1501EF5" w14:textId="77777777" w:rsidR="00A10B25" w:rsidRDefault="00A10B25">
            <w:pPr>
              <w:pStyle w:val="TAH"/>
              <w:ind w:left="400" w:hanging="400"/>
            </w:pPr>
            <w:r>
              <w:t>Definition</w:t>
            </w:r>
          </w:p>
        </w:tc>
      </w:tr>
      <w:tr w:rsidR="00A10B25" w14:paraId="44D2E38E" w14:textId="77777777">
        <w:trPr>
          <w:jc w:val="center"/>
        </w:trPr>
        <w:tc>
          <w:tcPr>
            <w:tcW w:w="765" w:type="pct"/>
            <w:tcBorders>
              <w:top w:val="single" w:sz="6" w:space="0" w:color="000000"/>
              <w:left w:val="single" w:sz="6" w:space="0" w:color="000000"/>
              <w:bottom w:val="single" w:sz="6" w:space="0" w:color="000000"/>
              <w:right w:val="single" w:sz="6" w:space="0" w:color="000000"/>
            </w:tcBorders>
          </w:tcPr>
          <w:p w14:paraId="4759F11D" w14:textId="77777777" w:rsidR="00A10B25" w:rsidRDefault="00A10B25">
            <w:pPr>
              <w:pStyle w:val="TAL"/>
            </w:pPr>
            <w:r>
              <w:t>notificationUri</w:t>
            </w:r>
          </w:p>
        </w:tc>
        <w:tc>
          <w:tcPr>
            <w:tcW w:w="647" w:type="pct"/>
            <w:tcBorders>
              <w:top w:val="single" w:sz="6" w:space="0" w:color="000000"/>
              <w:left w:val="single" w:sz="6" w:space="0" w:color="000000"/>
              <w:bottom w:val="single" w:sz="6" w:space="0" w:color="000000"/>
              <w:right w:val="single" w:sz="6" w:space="0" w:color="000000"/>
            </w:tcBorders>
          </w:tcPr>
          <w:p w14:paraId="6083D0FB" w14:textId="77777777" w:rsidR="00A10B25" w:rsidRDefault="00A10B25">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3BF51928" w14:textId="77777777" w:rsidR="00A10B25" w:rsidRDefault="00A10B25">
            <w:pPr>
              <w:pStyle w:val="TAL"/>
            </w:pPr>
            <w:r>
              <w:t>The Notification Uri is assigned within the Individual NWDAF Roaming Data Subscription Resource and described within the RoamingData</w:t>
            </w:r>
            <w:r>
              <w:rPr>
                <w:rFonts w:hint="eastAsia"/>
              </w:rPr>
              <w:t>Sub</w:t>
            </w:r>
            <w:r>
              <w:t xml:space="preserve"> data type </w:t>
            </w:r>
            <w:r w:rsidR="00607DB3">
              <w:t>(see table 5.7.6.2.2-1).</w:t>
            </w:r>
          </w:p>
        </w:tc>
      </w:tr>
    </w:tbl>
    <w:p w14:paraId="6970981F" w14:textId="77777777" w:rsidR="00A10B25" w:rsidRDefault="00A10B25"/>
    <w:p w14:paraId="1F88DFCA" w14:textId="77777777" w:rsidR="00A10B25" w:rsidRDefault="00A10B25">
      <w:pPr>
        <w:pStyle w:val="TH"/>
      </w:pPr>
      <w:r>
        <w:t>Table 5.7.5.2.2-2: Data structures supported by the POST Request Body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13F87A46" w14:textId="77777777">
        <w:trPr>
          <w:jc w:val="center"/>
        </w:trPr>
        <w:tc>
          <w:tcPr>
            <w:tcW w:w="2989" w:type="dxa"/>
            <w:shd w:val="clear" w:color="auto" w:fill="C0C0C0"/>
          </w:tcPr>
          <w:p w14:paraId="60FE0BE4" w14:textId="77777777" w:rsidR="00A10B25" w:rsidRDefault="00A10B25">
            <w:pPr>
              <w:pStyle w:val="TAH"/>
              <w:ind w:left="400" w:hanging="400"/>
            </w:pPr>
            <w:r>
              <w:t>Data type</w:t>
            </w:r>
          </w:p>
        </w:tc>
        <w:tc>
          <w:tcPr>
            <w:tcW w:w="360" w:type="dxa"/>
            <w:shd w:val="clear" w:color="auto" w:fill="C0C0C0"/>
          </w:tcPr>
          <w:p w14:paraId="0D1B1CEC" w14:textId="77777777" w:rsidR="00A10B25" w:rsidRDefault="00A10B25">
            <w:pPr>
              <w:pStyle w:val="TAH"/>
              <w:ind w:left="400" w:hanging="400"/>
            </w:pPr>
            <w:r>
              <w:t>P</w:t>
            </w:r>
          </w:p>
        </w:tc>
        <w:tc>
          <w:tcPr>
            <w:tcW w:w="1350" w:type="dxa"/>
            <w:shd w:val="clear" w:color="auto" w:fill="C0C0C0"/>
          </w:tcPr>
          <w:p w14:paraId="64313D35" w14:textId="77777777" w:rsidR="00A10B25" w:rsidRDefault="00A10B25">
            <w:pPr>
              <w:pStyle w:val="TAH"/>
              <w:ind w:left="400" w:hanging="400"/>
            </w:pPr>
            <w:r>
              <w:t>Cardinality</w:t>
            </w:r>
          </w:p>
        </w:tc>
        <w:tc>
          <w:tcPr>
            <w:tcW w:w="4980" w:type="dxa"/>
            <w:shd w:val="clear" w:color="auto" w:fill="C0C0C0"/>
            <w:vAlign w:val="center"/>
          </w:tcPr>
          <w:p w14:paraId="5006124A" w14:textId="77777777" w:rsidR="00A10B25" w:rsidRDefault="00A10B25">
            <w:pPr>
              <w:pStyle w:val="TAH"/>
              <w:ind w:left="400" w:hanging="400"/>
            </w:pPr>
            <w:r>
              <w:t>Description</w:t>
            </w:r>
          </w:p>
        </w:tc>
      </w:tr>
      <w:tr w:rsidR="00A10B25" w14:paraId="04DDDCD7" w14:textId="77777777">
        <w:trPr>
          <w:jc w:val="center"/>
        </w:trPr>
        <w:tc>
          <w:tcPr>
            <w:tcW w:w="2989" w:type="dxa"/>
          </w:tcPr>
          <w:p w14:paraId="3E779DA8" w14:textId="77777777" w:rsidR="00A10B25" w:rsidRDefault="00A10B25">
            <w:pPr>
              <w:pStyle w:val="TAL"/>
            </w:pPr>
            <w:r>
              <w:rPr>
                <w:rFonts w:eastAsia="等线"/>
              </w:rPr>
              <w:t>NnwdafDataManagementNotif</w:t>
            </w:r>
          </w:p>
        </w:tc>
        <w:tc>
          <w:tcPr>
            <w:tcW w:w="360" w:type="dxa"/>
          </w:tcPr>
          <w:p w14:paraId="0DE801CA" w14:textId="77777777" w:rsidR="00A10B25" w:rsidRDefault="00A10B25">
            <w:pPr>
              <w:pStyle w:val="TAC"/>
            </w:pPr>
            <w:r>
              <w:t>M</w:t>
            </w:r>
          </w:p>
        </w:tc>
        <w:tc>
          <w:tcPr>
            <w:tcW w:w="1350" w:type="dxa"/>
          </w:tcPr>
          <w:p w14:paraId="18994800" w14:textId="77777777" w:rsidR="00A10B25" w:rsidRDefault="00A10B25">
            <w:pPr>
              <w:pStyle w:val="TAC"/>
            </w:pPr>
            <w:r>
              <w:t>1</w:t>
            </w:r>
          </w:p>
        </w:tc>
        <w:tc>
          <w:tcPr>
            <w:tcW w:w="4980" w:type="dxa"/>
          </w:tcPr>
          <w:p w14:paraId="4B6BE285" w14:textId="77777777" w:rsidR="00A10B25" w:rsidRDefault="00A10B25">
            <w:pPr>
              <w:pStyle w:val="TAL"/>
            </w:pPr>
            <w:r>
              <w:t>Provides data related to roaming UE(s).</w:t>
            </w:r>
          </w:p>
        </w:tc>
      </w:tr>
    </w:tbl>
    <w:p w14:paraId="4E6DD362" w14:textId="77777777" w:rsidR="00A10B25" w:rsidRDefault="00A10B25"/>
    <w:p w14:paraId="6653480A" w14:textId="77777777" w:rsidR="00A10B25" w:rsidRDefault="00A10B25">
      <w:pPr>
        <w:pStyle w:val="TH"/>
      </w:pPr>
      <w:r>
        <w:t>Table 5.7.5.2.2-3: Data structures supported by the POST Response Body on this resource</w:t>
      </w:r>
    </w:p>
    <w:tbl>
      <w:tblPr>
        <w:tblW w:w="4956" w:type="pct"/>
        <w:jc w:val="center"/>
        <w:tblInd w:w="0" w:type="dxa"/>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A10B25" w14:paraId="6A8C03EF"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3FFA7FD" w14:textId="77777777" w:rsidR="00A10B25" w:rsidRDefault="00A10B25">
            <w:pPr>
              <w:pStyle w:val="TAH"/>
              <w:ind w:left="400" w:hanging="400"/>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21DC4E28" w14:textId="77777777" w:rsidR="00A10B25" w:rsidRDefault="00A10B25">
            <w:pPr>
              <w:pStyle w:val="TAH"/>
              <w:ind w:left="400" w:hanging="400"/>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1BAF25AE" w14:textId="77777777" w:rsidR="00A10B25" w:rsidRDefault="00A10B25">
            <w:pPr>
              <w:pStyle w:val="TAH"/>
              <w:ind w:left="400" w:hanging="400"/>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29455330" w14:textId="77777777" w:rsidR="00A10B25" w:rsidRDefault="00A10B25">
            <w:pPr>
              <w:pStyle w:val="TAH"/>
              <w:ind w:left="400" w:hanging="400"/>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63951D25" w14:textId="77777777" w:rsidR="00A10B25" w:rsidRDefault="00A10B25">
            <w:pPr>
              <w:pStyle w:val="TAH"/>
              <w:ind w:left="400" w:hanging="400"/>
            </w:pPr>
            <w:r>
              <w:t>Description</w:t>
            </w:r>
          </w:p>
        </w:tc>
      </w:tr>
      <w:tr w:rsidR="00A10B25" w14:paraId="513323CE"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187FCC75" w14:textId="77777777" w:rsidR="00A10B25" w:rsidRDefault="00A10B25">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79D355CE" w14:textId="77777777" w:rsidR="00A10B25" w:rsidRDefault="00A10B25">
            <w:pPr>
              <w:pStyle w:val="TAC"/>
            </w:pPr>
          </w:p>
        </w:tc>
        <w:tc>
          <w:tcPr>
            <w:tcW w:w="603" w:type="pct"/>
            <w:tcBorders>
              <w:top w:val="single" w:sz="6" w:space="0" w:color="auto"/>
              <w:left w:val="single" w:sz="6" w:space="0" w:color="auto"/>
              <w:bottom w:val="single" w:sz="6" w:space="0" w:color="auto"/>
              <w:right w:val="single" w:sz="6" w:space="0" w:color="auto"/>
            </w:tcBorders>
          </w:tcPr>
          <w:p w14:paraId="3B8FAD9B" w14:textId="77777777" w:rsidR="00A10B25" w:rsidRDefault="00A10B25">
            <w:pPr>
              <w:pStyle w:val="TAC"/>
            </w:pPr>
          </w:p>
        </w:tc>
        <w:tc>
          <w:tcPr>
            <w:tcW w:w="790" w:type="pct"/>
            <w:tcBorders>
              <w:top w:val="single" w:sz="6" w:space="0" w:color="auto"/>
              <w:left w:val="single" w:sz="6" w:space="0" w:color="auto"/>
              <w:bottom w:val="single" w:sz="6" w:space="0" w:color="auto"/>
              <w:right w:val="single" w:sz="6" w:space="0" w:color="auto"/>
            </w:tcBorders>
          </w:tcPr>
          <w:p w14:paraId="1203F132" w14:textId="77777777" w:rsidR="00A10B25" w:rsidRDefault="00A10B25">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3C48D57E" w14:textId="77777777" w:rsidR="00A10B25" w:rsidRDefault="00A10B25">
            <w:pPr>
              <w:pStyle w:val="TAL"/>
            </w:pPr>
            <w:r>
              <w:t>The receipt of the Notification is acknowledged.</w:t>
            </w:r>
          </w:p>
        </w:tc>
      </w:tr>
      <w:tr w:rsidR="00A10B25" w14:paraId="37BF67C1"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31F1784B"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7A0A2A6"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088C8623"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1202994D" w14:textId="77777777" w:rsidR="00A10B25" w:rsidRDefault="00A10B25">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tcPr>
          <w:p w14:paraId="08BFD560" w14:textId="77777777" w:rsidR="00A10B25" w:rsidRDefault="00A10B25">
            <w:pPr>
              <w:pStyle w:val="TAL"/>
            </w:pPr>
            <w:r>
              <w:t>Temporary redirection, during the event notification.</w:t>
            </w:r>
          </w:p>
          <w:p w14:paraId="42697268" w14:textId="77777777" w:rsidR="00A10B25" w:rsidRDefault="00A10B25">
            <w:pPr>
              <w:pStyle w:val="TAL"/>
            </w:pPr>
          </w:p>
          <w:p w14:paraId="6256D1E7" w14:textId="77777777" w:rsidR="00A10B25" w:rsidRDefault="00A10B25">
            <w:pPr>
              <w:pStyle w:val="TAL"/>
            </w:pPr>
            <w:r>
              <w:t>(NOTE 2)</w:t>
            </w:r>
          </w:p>
        </w:tc>
      </w:tr>
      <w:tr w:rsidR="00A10B25" w14:paraId="4E62BA58"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44FC32FA" w14:textId="77777777" w:rsidR="00A10B25" w:rsidRDefault="00A10B25">
            <w:pPr>
              <w:pStyle w:val="TAL"/>
            </w:pPr>
            <w:r>
              <w:t>RedirectResponse</w:t>
            </w:r>
          </w:p>
        </w:tc>
        <w:tc>
          <w:tcPr>
            <w:tcW w:w="215" w:type="pct"/>
            <w:tcBorders>
              <w:top w:val="single" w:sz="6" w:space="0" w:color="auto"/>
              <w:left w:val="single" w:sz="6" w:space="0" w:color="auto"/>
              <w:bottom w:val="single" w:sz="6" w:space="0" w:color="auto"/>
              <w:right w:val="single" w:sz="6" w:space="0" w:color="auto"/>
            </w:tcBorders>
          </w:tcPr>
          <w:p w14:paraId="1A3C6ED3" w14:textId="77777777" w:rsidR="00A10B25" w:rsidRDefault="00A10B25">
            <w:pPr>
              <w:pStyle w:val="TAC"/>
            </w:pPr>
            <w:r>
              <w:t>O</w:t>
            </w:r>
          </w:p>
        </w:tc>
        <w:tc>
          <w:tcPr>
            <w:tcW w:w="603" w:type="pct"/>
            <w:tcBorders>
              <w:top w:val="single" w:sz="6" w:space="0" w:color="auto"/>
              <w:left w:val="single" w:sz="6" w:space="0" w:color="auto"/>
              <w:bottom w:val="single" w:sz="6" w:space="0" w:color="auto"/>
              <w:right w:val="single" w:sz="6" w:space="0" w:color="auto"/>
            </w:tcBorders>
          </w:tcPr>
          <w:p w14:paraId="1B744B81" w14:textId="77777777" w:rsidR="00A10B25" w:rsidRDefault="00A10B25">
            <w:pPr>
              <w:pStyle w:val="TAC"/>
            </w:pPr>
            <w:r>
              <w:t>0..1</w:t>
            </w:r>
          </w:p>
        </w:tc>
        <w:tc>
          <w:tcPr>
            <w:tcW w:w="790" w:type="pct"/>
            <w:tcBorders>
              <w:top w:val="single" w:sz="6" w:space="0" w:color="auto"/>
              <w:left w:val="single" w:sz="6" w:space="0" w:color="auto"/>
              <w:bottom w:val="single" w:sz="6" w:space="0" w:color="auto"/>
              <w:right w:val="single" w:sz="6" w:space="0" w:color="auto"/>
            </w:tcBorders>
          </w:tcPr>
          <w:p w14:paraId="578145D7" w14:textId="77777777" w:rsidR="00A10B25" w:rsidRDefault="00A10B25">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tcPr>
          <w:p w14:paraId="156128DE" w14:textId="77777777" w:rsidR="00A10B25" w:rsidRDefault="00A10B25">
            <w:pPr>
              <w:pStyle w:val="TAL"/>
            </w:pPr>
            <w:r>
              <w:t>Permanent redirection, during the event notification.</w:t>
            </w:r>
          </w:p>
          <w:p w14:paraId="4B69855E" w14:textId="77777777" w:rsidR="00A10B25" w:rsidRDefault="00A10B25">
            <w:pPr>
              <w:pStyle w:val="TAL"/>
            </w:pPr>
          </w:p>
          <w:p w14:paraId="2A2E543F" w14:textId="77777777" w:rsidR="00A10B25" w:rsidRDefault="00A10B25">
            <w:pPr>
              <w:pStyle w:val="TAL"/>
            </w:pPr>
            <w:r>
              <w:t>(NOTE 2)</w:t>
            </w:r>
          </w:p>
        </w:tc>
      </w:tr>
      <w:tr w:rsidR="00A10B25" w14:paraId="29D55E15" w14:textId="77777777">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3C93AA6B" w14:textId="77777777" w:rsidR="00A10B25" w:rsidRDefault="00A10B25">
            <w:pPr>
              <w:pStyle w:val="TAN"/>
            </w:pPr>
            <w:r>
              <w:t>NOTE 1:</w:t>
            </w:r>
            <w:r>
              <w:rPr>
                <w:lang w:val="en-US" w:eastAsia="zh-CN"/>
              </w:rPr>
              <w:tab/>
              <w:t xml:space="preserve">The mandatory </w:t>
            </w:r>
            <w:r>
              <w:t>HTTP error status codes for the POST method listed in table 5.2.7.1-1 of 3GPP TS 29.500 [6] also apply.</w:t>
            </w:r>
          </w:p>
          <w:p w14:paraId="07FDACA8" w14:textId="77777777" w:rsidR="00A10B25" w:rsidRDefault="00A10B25">
            <w:pPr>
              <w:pStyle w:val="TAN"/>
              <w:rPr>
                <w:lang w:val="en-US" w:eastAsia="zh-CN"/>
              </w:rPr>
            </w:pPr>
            <w:r>
              <w:t>NOTE 2:</w:t>
            </w:r>
            <w:r>
              <w:tab/>
              <w:t>The RedirectResponse data structure may be provided by an SEPP or SCP (cf. clause 6.10.9.1 of 3GPP TS 29.500 [6]).</w:t>
            </w:r>
          </w:p>
        </w:tc>
      </w:tr>
    </w:tbl>
    <w:p w14:paraId="7987162E" w14:textId="77777777" w:rsidR="00A10B25" w:rsidRDefault="00A10B25">
      <w:pPr>
        <w:rPr>
          <w:lang w:val="en-US"/>
        </w:rPr>
      </w:pPr>
    </w:p>
    <w:p w14:paraId="4E6AD8A6" w14:textId="77777777" w:rsidR="00A10B25" w:rsidRDefault="00A10B25">
      <w:pPr>
        <w:pStyle w:val="TH"/>
      </w:pPr>
      <w:r>
        <w:t>Table 5.7.5.2.2-4: Headers supported by the 307 Response Code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418361E6" w14:textId="77777777">
        <w:trPr>
          <w:jc w:val="center"/>
        </w:trPr>
        <w:tc>
          <w:tcPr>
            <w:tcW w:w="825" w:type="pct"/>
            <w:shd w:val="clear" w:color="auto" w:fill="C0C0C0"/>
          </w:tcPr>
          <w:p w14:paraId="74062E8B" w14:textId="77777777" w:rsidR="00A10B25" w:rsidRDefault="00A10B25">
            <w:pPr>
              <w:pStyle w:val="TAH"/>
              <w:ind w:left="400" w:hanging="400"/>
            </w:pPr>
            <w:r>
              <w:t>Name</w:t>
            </w:r>
          </w:p>
        </w:tc>
        <w:tc>
          <w:tcPr>
            <w:tcW w:w="732" w:type="pct"/>
            <w:shd w:val="clear" w:color="auto" w:fill="C0C0C0"/>
          </w:tcPr>
          <w:p w14:paraId="2C348D53" w14:textId="77777777" w:rsidR="00A10B25" w:rsidRDefault="00A10B25">
            <w:pPr>
              <w:pStyle w:val="TAH"/>
              <w:ind w:left="400" w:hanging="400"/>
            </w:pPr>
            <w:r>
              <w:t>Data type</w:t>
            </w:r>
          </w:p>
        </w:tc>
        <w:tc>
          <w:tcPr>
            <w:tcW w:w="217" w:type="pct"/>
            <w:shd w:val="clear" w:color="auto" w:fill="C0C0C0"/>
          </w:tcPr>
          <w:p w14:paraId="771E6252" w14:textId="77777777" w:rsidR="00A10B25" w:rsidRDefault="00A10B25">
            <w:pPr>
              <w:pStyle w:val="TAH"/>
              <w:ind w:left="400" w:hanging="400"/>
            </w:pPr>
            <w:r>
              <w:t>P</w:t>
            </w:r>
          </w:p>
        </w:tc>
        <w:tc>
          <w:tcPr>
            <w:tcW w:w="581" w:type="pct"/>
            <w:shd w:val="clear" w:color="auto" w:fill="C0C0C0"/>
          </w:tcPr>
          <w:p w14:paraId="63AED454" w14:textId="77777777" w:rsidR="00A10B25" w:rsidRDefault="00A10B25">
            <w:pPr>
              <w:pStyle w:val="TAH"/>
              <w:ind w:left="400" w:hanging="400"/>
            </w:pPr>
            <w:r>
              <w:t>Cardinality</w:t>
            </w:r>
          </w:p>
        </w:tc>
        <w:tc>
          <w:tcPr>
            <w:tcW w:w="2645" w:type="pct"/>
            <w:shd w:val="clear" w:color="auto" w:fill="C0C0C0"/>
            <w:vAlign w:val="center"/>
          </w:tcPr>
          <w:p w14:paraId="45149420" w14:textId="77777777" w:rsidR="00A10B25" w:rsidRDefault="00A10B25">
            <w:pPr>
              <w:pStyle w:val="TAH"/>
              <w:ind w:left="400" w:hanging="400"/>
            </w:pPr>
            <w:r>
              <w:t>Description</w:t>
            </w:r>
          </w:p>
        </w:tc>
      </w:tr>
      <w:tr w:rsidR="00A10B25" w14:paraId="6E43E0FA" w14:textId="77777777">
        <w:trPr>
          <w:jc w:val="center"/>
        </w:trPr>
        <w:tc>
          <w:tcPr>
            <w:tcW w:w="825" w:type="pct"/>
          </w:tcPr>
          <w:p w14:paraId="684F78F6" w14:textId="77777777" w:rsidR="00A10B25" w:rsidRDefault="00A10B25">
            <w:pPr>
              <w:pStyle w:val="TAL"/>
            </w:pPr>
            <w:r>
              <w:t>Location</w:t>
            </w:r>
          </w:p>
        </w:tc>
        <w:tc>
          <w:tcPr>
            <w:tcW w:w="732" w:type="pct"/>
          </w:tcPr>
          <w:p w14:paraId="4BE06F5A" w14:textId="77777777" w:rsidR="00A10B25" w:rsidRDefault="00A10B25">
            <w:pPr>
              <w:pStyle w:val="TAL"/>
            </w:pPr>
            <w:r>
              <w:t>string</w:t>
            </w:r>
          </w:p>
        </w:tc>
        <w:tc>
          <w:tcPr>
            <w:tcW w:w="217" w:type="pct"/>
          </w:tcPr>
          <w:p w14:paraId="7C1C9E71" w14:textId="77777777" w:rsidR="00A10B25" w:rsidRDefault="00A10B25">
            <w:pPr>
              <w:pStyle w:val="TAC"/>
            </w:pPr>
            <w:r>
              <w:t>M</w:t>
            </w:r>
          </w:p>
        </w:tc>
        <w:tc>
          <w:tcPr>
            <w:tcW w:w="581" w:type="pct"/>
          </w:tcPr>
          <w:p w14:paraId="70F75194" w14:textId="77777777" w:rsidR="00A10B25" w:rsidRDefault="00A10B25">
            <w:pPr>
              <w:pStyle w:val="TAL"/>
            </w:pPr>
            <w:r>
              <w:t>1</w:t>
            </w:r>
          </w:p>
        </w:tc>
        <w:tc>
          <w:tcPr>
            <w:tcW w:w="2645" w:type="pct"/>
            <w:vAlign w:val="center"/>
          </w:tcPr>
          <w:p w14:paraId="5B0196C5" w14:textId="77777777" w:rsidR="00A10B25" w:rsidRDefault="00A10B25">
            <w:pPr>
              <w:pStyle w:val="TAL"/>
            </w:pPr>
            <w:r>
              <w:t xml:space="preserve">Contains </w:t>
            </w:r>
            <w:r>
              <w:rPr>
                <w:lang w:eastAsia="fr-FR"/>
              </w:rPr>
              <w:t>an alternative URI representing the end point of an alternative NF consumer (service) instance towards which the notification is redirected</w:t>
            </w:r>
            <w:r>
              <w:t>.</w:t>
            </w:r>
          </w:p>
          <w:p w14:paraId="6701F515" w14:textId="77777777" w:rsidR="00A10B25" w:rsidRDefault="00A10B25">
            <w:pPr>
              <w:pStyle w:val="TAL"/>
            </w:pPr>
          </w:p>
          <w:p w14:paraId="51240796" w14:textId="77777777" w:rsidR="00A10B25" w:rsidRDefault="00A10B25">
            <w:pPr>
              <w:pStyle w:val="TAL"/>
            </w:pPr>
            <w:r>
              <w:t>For the case where the notification is redirected to the same target via a different SEPP or SCP, refer to clause 6.10.9.1 of 3GPP TS 29.500 [6].</w:t>
            </w:r>
          </w:p>
        </w:tc>
      </w:tr>
      <w:tr w:rsidR="00A10B25" w14:paraId="6CDA6AF1" w14:textId="77777777">
        <w:trPr>
          <w:jc w:val="center"/>
        </w:trPr>
        <w:tc>
          <w:tcPr>
            <w:tcW w:w="825" w:type="pct"/>
          </w:tcPr>
          <w:p w14:paraId="3D1ACEB5" w14:textId="77777777" w:rsidR="00A10B25" w:rsidRDefault="00A10B25">
            <w:pPr>
              <w:pStyle w:val="TAL"/>
            </w:pPr>
            <w:r>
              <w:rPr>
                <w:lang w:eastAsia="zh-CN"/>
              </w:rPr>
              <w:t>3gpp-Sbi-Target-Nf-Id</w:t>
            </w:r>
          </w:p>
        </w:tc>
        <w:tc>
          <w:tcPr>
            <w:tcW w:w="732" w:type="pct"/>
          </w:tcPr>
          <w:p w14:paraId="4878C135" w14:textId="77777777" w:rsidR="00A10B25" w:rsidRDefault="00A10B25">
            <w:pPr>
              <w:pStyle w:val="TAL"/>
            </w:pPr>
            <w:r>
              <w:rPr>
                <w:lang w:eastAsia="fr-FR"/>
              </w:rPr>
              <w:t>string</w:t>
            </w:r>
          </w:p>
        </w:tc>
        <w:tc>
          <w:tcPr>
            <w:tcW w:w="217" w:type="pct"/>
          </w:tcPr>
          <w:p w14:paraId="5B98E4B8" w14:textId="77777777" w:rsidR="00A10B25" w:rsidRDefault="00A10B25">
            <w:pPr>
              <w:pStyle w:val="TAC"/>
            </w:pPr>
            <w:r>
              <w:rPr>
                <w:lang w:eastAsia="fr-FR"/>
              </w:rPr>
              <w:t>O</w:t>
            </w:r>
          </w:p>
        </w:tc>
        <w:tc>
          <w:tcPr>
            <w:tcW w:w="581" w:type="pct"/>
          </w:tcPr>
          <w:p w14:paraId="138B5837" w14:textId="77777777" w:rsidR="00A10B25" w:rsidRDefault="00A10B25">
            <w:pPr>
              <w:pStyle w:val="TAL"/>
            </w:pPr>
            <w:r>
              <w:rPr>
                <w:lang w:eastAsia="fr-FR"/>
              </w:rPr>
              <w:t>0..1</w:t>
            </w:r>
          </w:p>
        </w:tc>
        <w:tc>
          <w:tcPr>
            <w:tcW w:w="2645" w:type="pct"/>
            <w:vAlign w:val="center"/>
          </w:tcPr>
          <w:p w14:paraId="63C3E2A3" w14:textId="77777777" w:rsidR="00A10B25" w:rsidRDefault="00A10B25">
            <w:pPr>
              <w:pStyle w:val="TAL"/>
            </w:pPr>
            <w:r>
              <w:rPr>
                <w:lang w:eastAsia="fr-FR"/>
              </w:rPr>
              <w:t>Identifier of the target NF (service) instance towards which the notification request is redirected.</w:t>
            </w:r>
          </w:p>
        </w:tc>
      </w:tr>
    </w:tbl>
    <w:p w14:paraId="124596B1" w14:textId="77777777" w:rsidR="00A10B25" w:rsidRDefault="00A10B25"/>
    <w:p w14:paraId="12B2B096" w14:textId="77777777" w:rsidR="00A10B25" w:rsidRDefault="00A10B25">
      <w:pPr>
        <w:pStyle w:val="TH"/>
      </w:pPr>
      <w:r>
        <w:t>Table 5.7.5.2.2-5: Headers supported by the 308 Response Code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1E7FEC0E" w14:textId="77777777">
        <w:trPr>
          <w:jc w:val="center"/>
        </w:trPr>
        <w:tc>
          <w:tcPr>
            <w:tcW w:w="825" w:type="pct"/>
            <w:shd w:val="clear" w:color="auto" w:fill="C0C0C0"/>
          </w:tcPr>
          <w:p w14:paraId="6C2D2B61" w14:textId="77777777" w:rsidR="00A10B25" w:rsidRDefault="00A10B25">
            <w:pPr>
              <w:pStyle w:val="TAH"/>
              <w:ind w:left="400" w:hanging="400"/>
            </w:pPr>
            <w:r>
              <w:t>Name</w:t>
            </w:r>
          </w:p>
        </w:tc>
        <w:tc>
          <w:tcPr>
            <w:tcW w:w="732" w:type="pct"/>
            <w:shd w:val="clear" w:color="auto" w:fill="C0C0C0"/>
          </w:tcPr>
          <w:p w14:paraId="1BE60D9E" w14:textId="77777777" w:rsidR="00A10B25" w:rsidRDefault="00A10B25">
            <w:pPr>
              <w:pStyle w:val="TAH"/>
              <w:ind w:left="400" w:hanging="400"/>
            </w:pPr>
            <w:r>
              <w:t>Data type</w:t>
            </w:r>
          </w:p>
        </w:tc>
        <w:tc>
          <w:tcPr>
            <w:tcW w:w="217" w:type="pct"/>
            <w:shd w:val="clear" w:color="auto" w:fill="C0C0C0"/>
          </w:tcPr>
          <w:p w14:paraId="63A53718" w14:textId="77777777" w:rsidR="00A10B25" w:rsidRDefault="00A10B25">
            <w:pPr>
              <w:pStyle w:val="TAH"/>
              <w:ind w:left="400" w:hanging="400"/>
            </w:pPr>
            <w:r>
              <w:t>P</w:t>
            </w:r>
          </w:p>
        </w:tc>
        <w:tc>
          <w:tcPr>
            <w:tcW w:w="581" w:type="pct"/>
            <w:shd w:val="clear" w:color="auto" w:fill="C0C0C0"/>
          </w:tcPr>
          <w:p w14:paraId="543F859C" w14:textId="77777777" w:rsidR="00A10B25" w:rsidRDefault="00A10B25">
            <w:pPr>
              <w:pStyle w:val="TAH"/>
              <w:ind w:left="400" w:hanging="400"/>
            </w:pPr>
            <w:r>
              <w:t>Cardinality</w:t>
            </w:r>
          </w:p>
        </w:tc>
        <w:tc>
          <w:tcPr>
            <w:tcW w:w="2645" w:type="pct"/>
            <w:shd w:val="clear" w:color="auto" w:fill="C0C0C0"/>
            <w:vAlign w:val="center"/>
          </w:tcPr>
          <w:p w14:paraId="23F58F1C" w14:textId="77777777" w:rsidR="00A10B25" w:rsidRDefault="00A10B25">
            <w:pPr>
              <w:pStyle w:val="TAH"/>
              <w:ind w:left="400" w:hanging="400"/>
            </w:pPr>
            <w:r>
              <w:t>Description</w:t>
            </w:r>
          </w:p>
        </w:tc>
      </w:tr>
      <w:tr w:rsidR="00A10B25" w14:paraId="138932DE" w14:textId="77777777">
        <w:trPr>
          <w:jc w:val="center"/>
        </w:trPr>
        <w:tc>
          <w:tcPr>
            <w:tcW w:w="825" w:type="pct"/>
          </w:tcPr>
          <w:p w14:paraId="2C8FA87C" w14:textId="77777777" w:rsidR="00A10B25" w:rsidRDefault="00A10B25">
            <w:pPr>
              <w:pStyle w:val="TAL"/>
            </w:pPr>
            <w:r>
              <w:t>Location</w:t>
            </w:r>
          </w:p>
        </w:tc>
        <w:tc>
          <w:tcPr>
            <w:tcW w:w="732" w:type="pct"/>
          </w:tcPr>
          <w:p w14:paraId="1E3F56E5" w14:textId="77777777" w:rsidR="00A10B25" w:rsidRDefault="00A10B25">
            <w:pPr>
              <w:pStyle w:val="TAL"/>
            </w:pPr>
            <w:r>
              <w:t>string</w:t>
            </w:r>
          </w:p>
        </w:tc>
        <w:tc>
          <w:tcPr>
            <w:tcW w:w="217" w:type="pct"/>
          </w:tcPr>
          <w:p w14:paraId="7EF54B5B" w14:textId="77777777" w:rsidR="00A10B25" w:rsidRDefault="00A10B25">
            <w:pPr>
              <w:pStyle w:val="TAC"/>
            </w:pPr>
            <w:r>
              <w:t>M</w:t>
            </w:r>
          </w:p>
        </w:tc>
        <w:tc>
          <w:tcPr>
            <w:tcW w:w="581" w:type="pct"/>
          </w:tcPr>
          <w:p w14:paraId="2358DCCB" w14:textId="77777777" w:rsidR="00A10B25" w:rsidRDefault="00A10B25">
            <w:pPr>
              <w:pStyle w:val="TAL"/>
            </w:pPr>
            <w:r>
              <w:t>1</w:t>
            </w:r>
          </w:p>
        </w:tc>
        <w:tc>
          <w:tcPr>
            <w:tcW w:w="2645" w:type="pct"/>
            <w:vAlign w:val="center"/>
          </w:tcPr>
          <w:p w14:paraId="231B1F9B" w14:textId="77777777" w:rsidR="00A10B25" w:rsidRDefault="00A10B25">
            <w:pPr>
              <w:pStyle w:val="TAL"/>
            </w:pPr>
            <w:r>
              <w:t xml:space="preserve">Contains an alternative URI </w:t>
            </w:r>
            <w:r>
              <w:rPr>
                <w:lang w:eastAsia="fr-FR"/>
              </w:rPr>
              <w:t>representing the end point of an alternative NF consumer (service) instance towards which the notification is redirected</w:t>
            </w:r>
            <w:r>
              <w:t>.</w:t>
            </w:r>
          </w:p>
          <w:p w14:paraId="62983833" w14:textId="77777777" w:rsidR="00A10B25" w:rsidRDefault="00A10B25">
            <w:pPr>
              <w:pStyle w:val="TAL"/>
            </w:pPr>
          </w:p>
          <w:p w14:paraId="04B0F3E4" w14:textId="77777777" w:rsidR="00A10B25" w:rsidRDefault="00A10B25">
            <w:pPr>
              <w:pStyle w:val="TAL"/>
            </w:pPr>
            <w:r>
              <w:t>For the case where the notification is redirected to the same target via a different SEPP or SCP, refer to clause 6.10.9.1 of 3GPP TS 29.500 [6].</w:t>
            </w:r>
          </w:p>
        </w:tc>
      </w:tr>
      <w:tr w:rsidR="00A10B25" w14:paraId="11B8E8D3" w14:textId="77777777">
        <w:trPr>
          <w:jc w:val="center"/>
        </w:trPr>
        <w:tc>
          <w:tcPr>
            <w:tcW w:w="825" w:type="pct"/>
          </w:tcPr>
          <w:p w14:paraId="11713B9A" w14:textId="77777777" w:rsidR="00A10B25" w:rsidRDefault="00A10B25">
            <w:pPr>
              <w:pStyle w:val="TAL"/>
            </w:pPr>
            <w:r>
              <w:rPr>
                <w:lang w:eastAsia="zh-CN"/>
              </w:rPr>
              <w:t>3gpp-Sbi-Target-Nf-Id</w:t>
            </w:r>
          </w:p>
        </w:tc>
        <w:tc>
          <w:tcPr>
            <w:tcW w:w="732" w:type="pct"/>
          </w:tcPr>
          <w:p w14:paraId="40084B54" w14:textId="77777777" w:rsidR="00A10B25" w:rsidRDefault="00A10B25">
            <w:pPr>
              <w:pStyle w:val="TAL"/>
            </w:pPr>
            <w:r>
              <w:rPr>
                <w:lang w:eastAsia="fr-FR"/>
              </w:rPr>
              <w:t>string</w:t>
            </w:r>
          </w:p>
        </w:tc>
        <w:tc>
          <w:tcPr>
            <w:tcW w:w="217" w:type="pct"/>
          </w:tcPr>
          <w:p w14:paraId="193E9AD4" w14:textId="77777777" w:rsidR="00A10B25" w:rsidRDefault="00A10B25">
            <w:pPr>
              <w:pStyle w:val="TAC"/>
            </w:pPr>
            <w:r>
              <w:rPr>
                <w:lang w:eastAsia="fr-FR"/>
              </w:rPr>
              <w:t>O</w:t>
            </w:r>
          </w:p>
        </w:tc>
        <w:tc>
          <w:tcPr>
            <w:tcW w:w="581" w:type="pct"/>
          </w:tcPr>
          <w:p w14:paraId="11C66B2B" w14:textId="77777777" w:rsidR="00A10B25" w:rsidRDefault="00A10B25">
            <w:pPr>
              <w:pStyle w:val="TAL"/>
            </w:pPr>
            <w:r>
              <w:rPr>
                <w:lang w:eastAsia="fr-FR"/>
              </w:rPr>
              <w:t>0..1</w:t>
            </w:r>
          </w:p>
        </w:tc>
        <w:tc>
          <w:tcPr>
            <w:tcW w:w="2645" w:type="pct"/>
            <w:vAlign w:val="center"/>
          </w:tcPr>
          <w:p w14:paraId="040A1449" w14:textId="77777777" w:rsidR="00A10B25" w:rsidRDefault="00A10B25">
            <w:pPr>
              <w:pStyle w:val="TAL"/>
            </w:pPr>
            <w:r>
              <w:rPr>
                <w:lang w:eastAsia="fr-FR"/>
              </w:rPr>
              <w:t>Identifier of the target NF (service) instance towards which the notification request is redirected.</w:t>
            </w:r>
          </w:p>
        </w:tc>
      </w:tr>
    </w:tbl>
    <w:p w14:paraId="7DC891E2" w14:textId="77777777" w:rsidR="00A10B25" w:rsidRDefault="00A10B25">
      <w:pPr>
        <w:rPr>
          <w:lang w:val="en-US" w:eastAsia="zh-CN"/>
        </w:rPr>
      </w:pPr>
    </w:p>
    <w:p w14:paraId="129183E4" w14:textId="77777777" w:rsidR="00A10B25" w:rsidRDefault="00A10B25">
      <w:pPr>
        <w:pStyle w:val="3"/>
        <w:rPr>
          <w:lang w:val="en-US"/>
        </w:rPr>
      </w:pPr>
      <w:bookmarkStart w:id="16136" w:name="_Toc164921238"/>
      <w:bookmarkStart w:id="16137" w:name="_Toc170120780"/>
      <w:bookmarkStart w:id="16138" w:name="_Toc175859025"/>
      <w:bookmarkStart w:id="16139" w:name="_Toc175860098"/>
      <w:bookmarkStart w:id="16140" w:name="_Toc180606388"/>
      <w:bookmarkStart w:id="16141" w:name="_Toc185517649"/>
      <w:bookmarkStart w:id="16142" w:name="_Toc191576701"/>
      <w:bookmarkStart w:id="16143" w:name="_Toc191577441"/>
      <w:bookmarkStart w:id="16144" w:name="_Toc192880511"/>
      <w:bookmarkStart w:id="16145" w:name="_Toc195815400"/>
      <w:bookmarkStart w:id="16146" w:name="_Toc199453367"/>
      <w:r>
        <w:rPr>
          <w:lang w:val="en-US"/>
        </w:rPr>
        <w:lastRenderedPageBreak/>
        <w:t>5.7.6</w:t>
      </w:r>
      <w:r>
        <w:rPr>
          <w:lang w:val="en-US"/>
        </w:rPr>
        <w:tab/>
        <w:t>Data Model</w:t>
      </w:r>
      <w:bookmarkEnd w:id="16136"/>
      <w:bookmarkEnd w:id="16137"/>
      <w:bookmarkEnd w:id="16138"/>
      <w:bookmarkEnd w:id="16139"/>
      <w:bookmarkEnd w:id="16140"/>
      <w:bookmarkEnd w:id="16141"/>
      <w:bookmarkEnd w:id="16142"/>
      <w:bookmarkEnd w:id="16143"/>
      <w:bookmarkEnd w:id="16144"/>
      <w:bookmarkEnd w:id="16145"/>
      <w:bookmarkEnd w:id="16146"/>
    </w:p>
    <w:p w14:paraId="737D6DCF" w14:textId="77777777" w:rsidR="00A10B25" w:rsidRDefault="00A10B25">
      <w:pPr>
        <w:pStyle w:val="4"/>
      </w:pPr>
      <w:bookmarkStart w:id="16147" w:name="_Toc164921239"/>
      <w:bookmarkStart w:id="16148" w:name="_Toc170120781"/>
      <w:bookmarkStart w:id="16149" w:name="_Toc175859026"/>
      <w:bookmarkStart w:id="16150" w:name="_Toc175860099"/>
      <w:bookmarkStart w:id="16151" w:name="_Toc180606389"/>
      <w:bookmarkStart w:id="16152" w:name="_Toc185517650"/>
      <w:bookmarkStart w:id="16153" w:name="_Toc191576702"/>
      <w:bookmarkStart w:id="16154" w:name="_Toc191577442"/>
      <w:bookmarkStart w:id="16155" w:name="_Toc192880512"/>
      <w:bookmarkStart w:id="16156" w:name="_Toc195815401"/>
      <w:bookmarkStart w:id="16157" w:name="_Toc199453368"/>
      <w:r>
        <w:t>5.7.6.1</w:t>
      </w:r>
      <w:r>
        <w:tab/>
        <w:t>General</w:t>
      </w:r>
      <w:bookmarkEnd w:id="16147"/>
      <w:bookmarkEnd w:id="16148"/>
      <w:bookmarkEnd w:id="16149"/>
      <w:bookmarkEnd w:id="16150"/>
      <w:bookmarkEnd w:id="16151"/>
      <w:bookmarkEnd w:id="16152"/>
      <w:bookmarkEnd w:id="16153"/>
      <w:bookmarkEnd w:id="16154"/>
      <w:bookmarkEnd w:id="16155"/>
      <w:bookmarkEnd w:id="16156"/>
      <w:bookmarkEnd w:id="16157"/>
    </w:p>
    <w:p w14:paraId="2DEA8FF1" w14:textId="77777777" w:rsidR="00A10B25" w:rsidRDefault="00A10B25">
      <w:r>
        <w:t>This clause specifies the application data model supported by the API.</w:t>
      </w:r>
    </w:p>
    <w:p w14:paraId="1AA0E034" w14:textId="77777777" w:rsidR="00A10B25" w:rsidRDefault="00A10B25">
      <w:r>
        <w:t>Table 5.7.6.1-1 specifies the data types defined for the Nnwdaf_RoamingData service based interface protocol.</w:t>
      </w:r>
    </w:p>
    <w:p w14:paraId="28C5E197" w14:textId="77777777" w:rsidR="00A10B25" w:rsidRDefault="00A10B25">
      <w:pPr>
        <w:pStyle w:val="TH"/>
        <w:overflowPunct w:val="0"/>
        <w:autoSpaceDE w:val="0"/>
        <w:autoSpaceDN w:val="0"/>
        <w:adjustRightInd w:val="0"/>
        <w:textAlignment w:val="baseline"/>
        <w:rPr>
          <w:rFonts w:eastAsia="MS Mincho"/>
        </w:rPr>
      </w:pPr>
      <w:r>
        <w:rPr>
          <w:rFonts w:eastAsia="MS Mincho"/>
        </w:rPr>
        <w:t>Table 5.7.6.1-1: Nnwdaf_RoamingData specific Data Types</w:t>
      </w:r>
    </w:p>
    <w:tbl>
      <w:tblPr>
        <w:tblW w:w="942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16E91728" w14:textId="77777777">
        <w:trPr>
          <w:jc w:val="center"/>
        </w:trPr>
        <w:tc>
          <w:tcPr>
            <w:tcW w:w="3198" w:type="dxa"/>
            <w:shd w:val="clear" w:color="auto" w:fill="C0C0C0"/>
          </w:tcPr>
          <w:p w14:paraId="4A6C2842" w14:textId="77777777" w:rsidR="00A10B25" w:rsidRDefault="00A10B25">
            <w:pPr>
              <w:pStyle w:val="TAH"/>
              <w:ind w:left="400" w:hanging="400"/>
            </w:pPr>
            <w:r>
              <w:t>Data type</w:t>
            </w:r>
          </w:p>
        </w:tc>
        <w:tc>
          <w:tcPr>
            <w:tcW w:w="1324" w:type="dxa"/>
            <w:shd w:val="clear" w:color="auto" w:fill="C0C0C0"/>
          </w:tcPr>
          <w:p w14:paraId="325153FA" w14:textId="77777777" w:rsidR="00A10B25" w:rsidRDefault="00A10B25">
            <w:pPr>
              <w:pStyle w:val="TAH"/>
              <w:ind w:left="400" w:hanging="400"/>
            </w:pPr>
            <w:r>
              <w:t>Clause defined</w:t>
            </w:r>
          </w:p>
        </w:tc>
        <w:tc>
          <w:tcPr>
            <w:tcW w:w="2955" w:type="dxa"/>
            <w:shd w:val="clear" w:color="auto" w:fill="C0C0C0"/>
          </w:tcPr>
          <w:p w14:paraId="750F7C27" w14:textId="77777777" w:rsidR="00A10B25" w:rsidRDefault="00A10B25">
            <w:pPr>
              <w:pStyle w:val="TAH"/>
              <w:ind w:left="400" w:hanging="400"/>
            </w:pPr>
            <w:r>
              <w:t>Description</w:t>
            </w:r>
          </w:p>
        </w:tc>
        <w:tc>
          <w:tcPr>
            <w:tcW w:w="1947" w:type="dxa"/>
            <w:shd w:val="clear" w:color="auto" w:fill="C0C0C0"/>
          </w:tcPr>
          <w:p w14:paraId="6E1AD84E" w14:textId="77777777" w:rsidR="00A10B25" w:rsidRDefault="00A10B25">
            <w:pPr>
              <w:pStyle w:val="TAH"/>
              <w:ind w:left="400" w:hanging="400"/>
            </w:pPr>
            <w:r>
              <w:t>Applicability</w:t>
            </w:r>
          </w:p>
        </w:tc>
      </w:tr>
      <w:tr w:rsidR="00A10B25" w14:paraId="4EBEE9B5" w14:textId="77777777">
        <w:trPr>
          <w:jc w:val="center"/>
        </w:trPr>
        <w:tc>
          <w:tcPr>
            <w:tcW w:w="3198" w:type="dxa"/>
          </w:tcPr>
          <w:p w14:paraId="072A25E3" w14:textId="77777777" w:rsidR="00A10B25" w:rsidRDefault="00A10B25">
            <w:pPr>
              <w:pStyle w:val="TAL"/>
              <w:rPr>
                <w:rFonts w:eastAsia="等线"/>
              </w:rPr>
            </w:pPr>
            <w:r>
              <w:rPr>
                <w:lang w:eastAsia="ja-JP"/>
              </w:rPr>
              <w:t>RoamingData</w:t>
            </w:r>
            <w:r>
              <w:rPr>
                <w:rFonts w:eastAsia="等线" w:hint="eastAsia"/>
                <w:lang w:eastAsia="zh-CN"/>
              </w:rPr>
              <w:t>Sub</w:t>
            </w:r>
          </w:p>
        </w:tc>
        <w:tc>
          <w:tcPr>
            <w:tcW w:w="1324" w:type="dxa"/>
          </w:tcPr>
          <w:p w14:paraId="76FC2C76" w14:textId="77777777" w:rsidR="00A10B25" w:rsidRDefault="00A10B25">
            <w:pPr>
              <w:pStyle w:val="TAL"/>
              <w:rPr>
                <w:lang w:eastAsia="zh-CN"/>
              </w:rPr>
            </w:pPr>
            <w:r>
              <w:rPr>
                <w:rFonts w:hint="eastAsia"/>
                <w:lang w:eastAsia="zh-CN"/>
              </w:rPr>
              <w:t>5</w:t>
            </w:r>
            <w:r>
              <w:rPr>
                <w:lang w:eastAsia="zh-CN"/>
              </w:rPr>
              <w:t>.7.6.2.2</w:t>
            </w:r>
          </w:p>
        </w:tc>
        <w:tc>
          <w:tcPr>
            <w:tcW w:w="2955" w:type="dxa"/>
          </w:tcPr>
          <w:p w14:paraId="43429125" w14:textId="77777777" w:rsidR="00A10B25" w:rsidRDefault="00A10B25">
            <w:pPr>
              <w:pStyle w:val="TAL"/>
              <w:rPr>
                <w:lang w:eastAsia="zh-CN"/>
              </w:rPr>
            </w:pPr>
            <w:r>
              <w:rPr>
                <w:lang w:eastAsia="zh-CN"/>
              </w:rPr>
              <w:t>Represents roaming data subscription information.</w:t>
            </w:r>
          </w:p>
        </w:tc>
        <w:tc>
          <w:tcPr>
            <w:tcW w:w="1947" w:type="dxa"/>
          </w:tcPr>
          <w:p w14:paraId="6BC71008" w14:textId="77777777" w:rsidR="00A10B25" w:rsidRDefault="00A10B25">
            <w:pPr>
              <w:pStyle w:val="TAL"/>
              <w:rPr>
                <w:rFonts w:cs="Arial"/>
                <w:szCs w:val="18"/>
              </w:rPr>
            </w:pPr>
          </w:p>
        </w:tc>
      </w:tr>
    </w:tbl>
    <w:p w14:paraId="0D18A6B0" w14:textId="77777777" w:rsidR="00A10B25" w:rsidRDefault="00A10B25"/>
    <w:p w14:paraId="05BF70ED" w14:textId="77777777" w:rsidR="00A10B25" w:rsidRDefault="00A10B25">
      <w:r>
        <w:t xml:space="preserve">Table 5.7.6.1-2 specifies data types re-used by the Nnwdaf_RoamingData service based interface protocol from other specifications, including a reference to their respective specifications and when needed, a short description of their use within the Nnwdaf_RoamingData service based interface. </w:t>
      </w:r>
    </w:p>
    <w:p w14:paraId="1C5BF669" w14:textId="77777777" w:rsidR="00A10B25" w:rsidRDefault="00A10B25">
      <w:pPr>
        <w:pStyle w:val="TH"/>
        <w:overflowPunct w:val="0"/>
        <w:autoSpaceDE w:val="0"/>
        <w:autoSpaceDN w:val="0"/>
        <w:adjustRightInd w:val="0"/>
        <w:textAlignment w:val="baseline"/>
        <w:rPr>
          <w:rFonts w:eastAsia="MS Mincho"/>
        </w:rPr>
      </w:pPr>
      <w:r>
        <w:rPr>
          <w:rFonts w:eastAsia="MS Mincho"/>
        </w:rPr>
        <w:t>Table 5.7.6.1-2: Nnwdaf_RoamingData re-used Data Types</w:t>
      </w:r>
    </w:p>
    <w:tbl>
      <w:tblPr>
        <w:tblW w:w="942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A10B25" w14:paraId="54830B92" w14:textId="77777777">
        <w:trPr>
          <w:jc w:val="center"/>
        </w:trPr>
        <w:tc>
          <w:tcPr>
            <w:tcW w:w="3178" w:type="dxa"/>
            <w:shd w:val="clear" w:color="auto" w:fill="C0C0C0"/>
          </w:tcPr>
          <w:p w14:paraId="0F08EA79" w14:textId="77777777" w:rsidR="00A10B25" w:rsidRDefault="00A10B25">
            <w:pPr>
              <w:pStyle w:val="TAH"/>
              <w:ind w:left="400" w:hanging="400"/>
            </w:pPr>
            <w:r>
              <w:t>Data type</w:t>
            </w:r>
          </w:p>
        </w:tc>
        <w:tc>
          <w:tcPr>
            <w:tcW w:w="2058" w:type="dxa"/>
            <w:shd w:val="clear" w:color="auto" w:fill="C0C0C0"/>
          </w:tcPr>
          <w:p w14:paraId="6417CCA4" w14:textId="77777777" w:rsidR="00A10B25" w:rsidRDefault="00A10B25">
            <w:pPr>
              <w:pStyle w:val="TAH"/>
              <w:ind w:left="400" w:hanging="400"/>
            </w:pPr>
            <w:r>
              <w:t>Reference</w:t>
            </w:r>
          </w:p>
        </w:tc>
        <w:tc>
          <w:tcPr>
            <w:tcW w:w="2449" w:type="dxa"/>
            <w:shd w:val="clear" w:color="auto" w:fill="C0C0C0"/>
          </w:tcPr>
          <w:p w14:paraId="0012A1A0" w14:textId="77777777" w:rsidR="00A10B25" w:rsidRDefault="00A10B25">
            <w:pPr>
              <w:pStyle w:val="TAH"/>
              <w:ind w:left="400" w:hanging="400"/>
            </w:pPr>
            <w:r>
              <w:t>Comments</w:t>
            </w:r>
          </w:p>
        </w:tc>
        <w:tc>
          <w:tcPr>
            <w:tcW w:w="1739" w:type="dxa"/>
            <w:shd w:val="clear" w:color="auto" w:fill="C0C0C0"/>
          </w:tcPr>
          <w:p w14:paraId="65CF15C5" w14:textId="77777777" w:rsidR="00A10B25" w:rsidRDefault="00A10B25">
            <w:pPr>
              <w:pStyle w:val="TAH"/>
              <w:ind w:left="400" w:hanging="400"/>
            </w:pPr>
            <w:r>
              <w:t>Applicability</w:t>
            </w:r>
          </w:p>
        </w:tc>
      </w:tr>
      <w:tr w:rsidR="00A10B25" w14:paraId="5780A35F" w14:textId="77777777">
        <w:trPr>
          <w:jc w:val="center"/>
        </w:trPr>
        <w:tc>
          <w:tcPr>
            <w:tcW w:w="3178" w:type="dxa"/>
          </w:tcPr>
          <w:p w14:paraId="425FC1D2" w14:textId="77777777" w:rsidR="00A10B25" w:rsidRDefault="00A10B25">
            <w:pPr>
              <w:pStyle w:val="TAL"/>
            </w:pPr>
            <w:r>
              <w:rPr>
                <w:rFonts w:hint="eastAsia"/>
                <w:lang w:eastAsia="zh-CN"/>
              </w:rPr>
              <w:t>D</w:t>
            </w:r>
            <w:r>
              <w:rPr>
                <w:lang w:eastAsia="zh-CN"/>
              </w:rPr>
              <w:t>ataSubscription</w:t>
            </w:r>
          </w:p>
        </w:tc>
        <w:tc>
          <w:tcPr>
            <w:tcW w:w="2058" w:type="dxa"/>
          </w:tcPr>
          <w:p w14:paraId="6E9B70B3" w14:textId="77777777" w:rsidR="00A10B25" w:rsidRDefault="00A10B25">
            <w:pPr>
              <w:pStyle w:val="TAL"/>
            </w:pPr>
            <w:r>
              <w:t>3GPP TS 29.575 [27]</w:t>
            </w:r>
          </w:p>
        </w:tc>
        <w:tc>
          <w:tcPr>
            <w:tcW w:w="2449" w:type="dxa"/>
          </w:tcPr>
          <w:p w14:paraId="5C3F73F1" w14:textId="77777777" w:rsidR="00A10B25" w:rsidRDefault="00A10B25">
            <w:pPr>
              <w:pStyle w:val="TAL"/>
            </w:pPr>
            <w:r>
              <w:rPr>
                <w:lang w:eastAsia="zh-CN"/>
              </w:rPr>
              <w:t>Subscription information for data retrieval from data source.</w:t>
            </w:r>
          </w:p>
        </w:tc>
        <w:tc>
          <w:tcPr>
            <w:tcW w:w="1739" w:type="dxa"/>
          </w:tcPr>
          <w:p w14:paraId="094FDA91" w14:textId="77777777" w:rsidR="00A10B25" w:rsidRDefault="00A10B25">
            <w:pPr>
              <w:pStyle w:val="TAL"/>
              <w:rPr>
                <w:rFonts w:cs="Arial"/>
                <w:szCs w:val="18"/>
              </w:rPr>
            </w:pPr>
          </w:p>
        </w:tc>
      </w:tr>
      <w:tr w:rsidR="00A10B25" w14:paraId="76FE78E9" w14:textId="77777777">
        <w:trPr>
          <w:jc w:val="center"/>
        </w:trPr>
        <w:tc>
          <w:tcPr>
            <w:tcW w:w="3178" w:type="dxa"/>
          </w:tcPr>
          <w:p w14:paraId="2E476270" w14:textId="77777777" w:rsidR="00A10B25" w:rsidRDefault="00A10B25">
            <w:pPr>
              <w:pStyle w:val="TAL"/>
            </w:pPr>
            <w:r>
              <w:t>FormattingInstruction</w:t>
            </w:r>
          </w:p>
        </w:tc>
        <w:tc>
          <w:tcPr>
            <w:tcW w:w="2058" w:type="dxa"/>
          </w:tcPr>
          <w:p w14:paraId="03983915" w14:textId="77777777" w:rsidR="00A10B25" w:rsidRDefault="00A10B25">
            <w:pPr>
              <w:pStyle w:val="TAL"/>
            </w:pPr>
            <w:r>
              <w:t>3GPP TS 29.574 [26]</w:t>
            </w:r>
          </w:p>
        </w:tc>
        <w:tc>
          <w:tcPr>
            <w:tcW w:w="2449" w:type="dxa"/>
          </w:tcPr>
          <w:p w14:paraId="01D29EAB" w14:textId="77777777" w:rsidR="00A10B25" w:rsidRDefault="00A10B25">
            <w:pPr>
              <w:pStyle w:val="TAL"/>
            </w:pPr>
            <w:r>
              <w:rPr>
                <w:lang w:eastAsia="zh-CN"/>
              </w:rPr>
              <w:t>DCCF formatting Instructions.</w:t>
            </w:r>
          </w:p>
        </w:tc>
        <w:tc>
          <w:tcPr>
            <w:tcW w:w="1739" w:type="dxa"/>
          </w:tcPr>
          <w:p w14:paraId="081DB6E7" w14:textId="77777777" w:rsidR="00A10B25" w:rsidRDefault="00A10B25">
            <w:pPr>
              <w:pStyle w:val="TAL"/>
              <w:rPr>
                <w:rFonts w:cs="Arial"/>
                <w:szCs w:val="18"/>
              </w:rPr>
            </w:pPr>
          </w:p>
        </w:tc>
      </w:tr>
      <w:tr w:rsidR="00A10B25" w14:paraId="4E82A051" w14:textId="77777777">
        <w:trPr>
          <w:jc w:val="center"/>
        </w:trPr>
        <w:tc>
          <w:tcPr>
            <w:tcW w:w="3178" w:type="dxa"/>
          </w:tcPr>
          <w:p w14:paraId="1B716DEF" w14:textId="77777777" w:rsidR="00A10B25" w:rsidRDefault="00A10B25">
            <w:pPr>
              <w:pStyle w:val="TAL"/>
              <w:rPr>
                <w:lang w:eastAsia="zh-CN"/>
              </w:rPr>
            </w:pPr>
            <w:r>
              <w:t>NfInstanceId</w:t>
            </w:r>
          </w:p>
        </w:tc>
        <w:tc>
          <w:tcPr>
            <w:tcW w:w="2058" w:type="dxa"/>
          </w:tcPr>
          <w:p w14:paraId="699338B9" w14:textId="77777777" w:rsidR="00A10B25" w:rsidRDefault="00A10B25">
            <w:pPr>
              <w:pStyle w:val="TAL"/>
            </w:pPr>
            <w:r>
              <w:rPr>
                <w:rFonts w:cs="Arial"/>
              </w:rPr>
              <w:t>3GPP TS </w:t>
            </w:r>
            <w:r>
              <w:t>29.571 [8]</w:t>
            </w:r>
          </w:p>
        </w:tc>
        <w:tc>
          <w:tcPr>
            <w:tcW w:w="2449" w:type="dxa"/>
          </w:tcPr>
          <w:p w14:paraId="4FF3F550" w14:textId="77777777" w:rsidR="00A10B25" w:rsidRDefault="00A10B25">
            <w:pPr>
              <w:pStyle w:val="TAL"/>
              <w:rPr>
                <w:rFonts w:cs="Arial"/>
                <w:szCs w:val="18"/>
                <w:lang w:eastAsia="zh-CN"/>
              </w:rPr>
            </w:pPr>
            <w:r>
              <w:t>Identifies an NF instance</w:t>
            </w:r>
          </w:p>
        </w:tc>
        <w:tc>
          <w:tcPr>
            <w:tcW w:w="1739" w:type="dxa"/>
          </w:tcPr>
          <w:p w14:paraId="5D16CB50" w14:textId="77777777" w:rsidR="00A10B25" w:rsidRDefault="00A10B25">
            <w:pPr>
              <w:pStyle w:val="TAL"/>
              <w:rPr>
                <w:rFonts w:cs="Arial"/>
                <w:szCs w:val="18"/>
              </w:rPr>
            </w:pPr>
          </w:p>
        </w:tc>
      </w:tr>
      <w:tr w:rsidR="00A10B25" w14:paraId="4BDEB3DB" w14:textId="77777777">
        <w:trPr>
          <w:jc w:val="center"/>
        </w:trPr>
        <w:tc>
          <w:tcPr>
            <w:tcW w:w="3178" w:type="dxa"/>
          </w:tcPr>
          <w:p w14:paraId="044D1E9E" w14:textId="77777777" w:rsidR="00A10B25" w:rsidRDefault="00A10B25">
            <w:pPr>
              <w:pStyle w:val="TAL"/>
              <w:rPr>
                <w:lang w:eastAsia="zh-CN"/>
              </w:rPr>
            </w:pPr>
            <w:r>
              <w:t>NfSetId</w:t>
            </w:r>
          </w:p>
        </w:tc>
        <w:tc>
          <w:tcPr>
            <w:tcW w:w="2058" w:type="dxa"/>
          </w:tcPr>
          <w:p w14:paraId="1D9C490D" w14:textId="77777777" w:rsidR="00A10B25" w:rsidRDefault="00A10B25">
            <w:pPr>
              <w:pStyle w:val="TAL"/>
            </w:pPr>
            <w:r>
              <w:rPr>
                <w:rFonts w:cs="Arial"/>
              </w:rPr>
              <w:t>3GPP TS </w:t>
            </w:r>
            <w:r>
              <w:t>29.571 [8]</w:t>
            </w:r>
          </w:p>
        </w:tc>
        <w:tc>
          <w:tcPr>
            <w:tcW w:w="2449" w:type="dxa"/>
          </w:tcPr>
          <w:p w14:paraId="0FAB2D4D" w14:textId="77777777" w:rsidR="00A10B25" w:rsidRDefault="00A10B25">
            <w:pPr>
              <w:pStyle w:val="TAL"/>
              <w:rPr>
                <w:rFonts w:cs="Arial"/>
                <w:szCs w:val="18"/>
                <w:lang w:eastAsia="zh-CN"/>
              </w:rPr>
            </w:pPr>
            <w:r>
              <w:t>Identifies an NF Set instance.</w:t>
            </w:r>
          </w:p>
        </w:tc>
        <w:tc>
          <w:tcPr>
            <w:tcW w:w="1739" w:type="dxa"/>
          </w:tcPr>
          <w:p w14:paraId="34F59194" w14:textId="77777777" w:rsidR="00A10B25" w:rsidRDefault="00A10B25">
            <w:pPr>
              <w:pStyle w:val="TAL"/>
              <w:rPr>
                <w:rFonts w:cs="Arial"/>
                <w:szCs w:val="18"/>
              </w:rPr>
            </w:pPr>
          </w:p>
        </w:tc>
      </w:tr>
      <w:tr w:rsidR="00A10B25" w14:paraId="6F865F6F" w14:textId="77777777">
        <w:trPr>
          <w:jc w:val="center"/>
        </w:trPr>
        <w:tc>
          <w:tcPr>
            <w:tcW w:w="3178" w:type="dxa"/>
          </w:tcPr>
          <w:p w14:paraId="39A6B146" w14:textId="77777777" w:rsidR="00A10B25" w:rsidRDefault="00A10B25">
            <w:pPr>
              <w:pStyle w:val="TAL"/>
            </w:pPr>
            <w:r>
              <w:rPr>
                <w:rFonts w:eastAsia="等线"/>
              </w:rPr>
              <w:t>NnwdafDataManagementNotif</w:t>
            </w:r>
          </w:p>
        </w:tc>
        <w:tc>
          <w:tcPr>
            <w:tcW w:w="2058" w:type="dxa"/>
          </w:tcPr>
          <w:p w14:paraId="4AEBA6AB" w14:textId="77777777" w:rsidR="00A10B25" w:rsidRDefault="00A10B25">
            <w:pPr>
              <w:pStyle w:val="TAL"/>
              <w:rPr>
                <w:rFonts w:cs="Arial"/>
              </w:rPr>
            </w:pPr>
            <w:r>
              <w:t>5.3.6.2.3</w:t>
            </w:r>
          </w:p>
        </w:tc>
        <w:tc>
          <w:tcPr>
            <w:tcW w:w="2449" w:type="dxa"/>
          </w:tcPr>
          <w:p w14:paraId="4D65B899" w14:textId="77777777" w:rsidR="00A10B25" w:rsidRDefault="00A10B25">
            <w:pPr>
              <w:pStyle w:val="TAL"/>
              <w:rPr>
                <w:lang w:eastAsia="zh-CN"/>
              </w:rPr>
            </w:pPr>
            <w:r>
              <w:rPr>
                <w:lang w:eastAsia="zh-CN"/>
              </w:rPr>
              <w:t>The data notification.</w:t>
            </w:r>
          </w:p>
        </w:tc>
        <w:tc>
          <w:tcPr>
            <w:tcW w:w="1739" w:type="dxa"/>
          </w:tcPr>
          <w:p w14:paraId="5267B48D" w14:textId="77777777" w:rsidR="00A10B25" w:rsidRDefault="00A10B25">
            <w:pPr>
              <w:pStyle w:val="TAL"/>
              <w:rPr>
                <w:rFonts w:cs="Arial"/>
                <w:szCs w:val="18"/>
              </w:rPr>
            </w:pPr>
          </w:p>
        </w:tc>
      </w:tr>
      <w:tr w:rsidR="00A10B25" w14:paraId="5B039BAF" w14:textId="77777777">
        <w:trPr>
          <w:jc w:val="center"/>
        </w:trPr>
        <w:tc>
          <w:tcPr>
            <w:tcW w:w="3178" w:type="dxa"/>
          </w:tcPr>
          <w:p w14:paraId="2B14BCBB" w14:textId="77777777" w:rsidR="00A10B25" w:rsidRDefault="00A10B25">
            <w:pPr>
              <w:pStyle w:val="TAL"/>
            </w:pPr>
            <w:r>
              <w:t>NnwdafEventsSubscription</w:t>
            </w:r>
          </w:p>
        </w:tc>
        <w:tc>
          <w:tcPr>
            <w:tcW w:w="2058" w:type="dxa"/>
          </w:tcPr>
          <w:p w14:paraId="55992DA5" w14:textId="77777777" w:rsidR="00A10B25" w:rsidRDefault="00A10B25">
            <w:pPr>
              <w:pStyle w:val="TAL"/>
              <w:rPr>
                <w:rFonts w:cs="Arial"/>
              </w:rPr>
            </w:pPr>
            <w:r>
              <w:t>5.1.6.2.2</w:t>
            </w:r>
          </w:p>
        </w:tc>
        <w:tc>
          <w:tcPr>
            <w:tcW w:w="2449" w:type="dxa"/>
          </w:tcPr>
          <w:p w14:paraId="7078F95E" w14:textId="77777777" w:rsidR="00A10B25" w:rsidRDefault="00A10B25">
            <w:pPr>
              <w:pStyle w:val="TAL"/>
              <w:rPr>
                <w:lang w:eastAsia="zh-CN"/>
              </w:rPr>
            </w:pPr>
            <w:r>
              <w:rPr>
                <w:rFonts w:cs="Arial"/>
                <w:szCs w:val="18"/>
              </w:rPr>
              <w:t>Represents an NWDAF analytics subscription</w:t>
            </w:r>
            <w:r>
              <w:rPr>
                <w:lang w:eastAsia="zh-CN"/>
              </w:rPr>
              <w:t xml:space="preserve"> information</w:t>
            </w:r>
            <w:r>
              <w:rPr>
                <w:rFonts w:cs="Arial"/>
                <w:szCs w:val="18"/>
              </w:rPr>
              <w:t>.</w:t>
            </w:r>
          </w:p>
        </w:tc>
        <w:tc>
          <w:tcPr>
            <w:tcW w:w="1739" w:type="dxa"/>
          </w:tcPr>
          <w:p w14:paraId="6C037099" w14:textId="77777777" w:rsidR="00A10B25" w:rsidRDefault="00A10B25">
            <w:pPr>
              <w:pStyle w:val="TAL"/>
              <w:rPr>
                <w:rFonts w:cs="Arial"/>
                <w:szCs w:val="18"/>
              </w:rPr>
            </w:pPr>
          </w:p>
        </w:tc>
      </w:tr>
      <w:tr w:rsidR="00A10B25" w14:paraId="2AA42A14" w14:textId="77777777">
        <w:trPr>
          <w:jc w:val="center"/>
        </w:trPr>
        <w:tc>
          <w:tcPr>
            <w:tcW w:w="3178" w:type="dxa"/>
          </w:tcPr>
          <w:p w14:paraId="34787D63" w14:textId="77777777" w:rsidR="00A10B25" w:rsidRDefault="00A10B25">
            <w:pPr>
              <w:pStyle w:val="TAL"/>
            </w:pPr>
            <w:r>
              <w:t>PlmnId</w:t>
            </w:r>
          </w:p>
        </w:tc>
        <w:tc>
          <w:tcPr>
            <w:tcW w:w="2058" w:type="dxa"/>
            <w:vAlign w:val="center"/>
          </w:tcPr>
          <w:p w14:paraId="0D6F1FA0" w14:textId="77777777" w:rsidR="00A10B25" w:rsidRDefault="00A10B2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449" w:type="dxa"/>
            <w:vAlign w:val="center"/>
          </w:tcPr>
          <w:p w14:paraId="7B1CFCBC" w14:textId="77777777" w:rsidR="00A10B25" w:rsidRDefault="00A10B25">
            <w:pPr>
              <w:pStyle w:val="TAL"/>
              <w:rPr>
                <w:lang w:eastAsia="zh-CN"/>
              </w:rPr>
            </w:pPr>
            <w:r>
              <w:rPr>
                <w:rFonts w:cs="Arial"/>
                <w:szCs w:val="18"/>
                <w:lang w:eastAsia="zh-CN"/>
              </w:rPr>
              <w:t>Identifies a PLMN Identifier.</w:t>
            </w:r>
          </w:p>
        </w:tc>
        <w:tc>
          <w:tcPr>
            <w:tcW w:w="1739" w:type="dxa"/>
          </w:tcPr>
          <w:p w14:paraId="2218C0AB" w14:textId="77777777" w:rsidR="00A10B25" w:rsidRDefault="00A10B25">
            <w:pPr>
              <w:pStyle w:val="TAL"/>
              <w:rPr>
                <w:rFonts w:cs="Arial"/>
                <w:szCs w:val="18"/>
              </w:rPr>
            </w:pPr>
          </w:p>
        </w:tc>
      </w:tr>
      <w:tr w:rsidR="00A10B25" w14:paraId="46C14779" w14:textId="77777777">
        <w:trPr>
          <w:jc w:val="center"/>
        </w:trPr>
        <w:tc>
          <w:tcPr>
            <w:tcW w:w="3178" w:type="dxa"/>
          </w:tcPr>
          <w:p w14:paraId="76EEFF74" w14:textId="77777777" w:rsidR="00A10B25" w:rsidRDefault="00A10B25">
            <w:pPr>
              <w:pStyle w:val="TAL"/>
            </w:pPr>
            <w:r>
              <w:t>ProcessingInstruction</w:t>
            </w:r>
          </w:p>
        </w:tc>
        <w:tc>
          <w:tcPr>
            <w:tcW w:w="2058" w:type="dxa"/>
          </w:tcPr>
          <w:p w14:paraId="49CAFC34" w14:textId="77777777" w:rsidR="00A10B25" w:rsidRDefault="00A10B25">
            <w:pPr>
              <w:pStyle w:val="TAL"/>
              <w:rPr>
                <w:rFonts w:cs="Arial"/>
              </w:rPr>
            </w:pPr>
            <w:r>
              <w:t>3GPP TS 29.574 [26]</w:t>
            </w:r>
          </w:p>
        </w:tc>
        <w:tc>
          <w:tcPr>
            <w:tcW w:w="2449" w:type="dxa"/>
          </w:tcPr>
          <w:p w14:paraId="0B3A227F" w14:textId="77777777" w:rsidR="00A10B25" w:rsidRDefault="00A10B25">
            <w:pPr>
              <w:pStyle w:val="TAL"/>
              <w:rPr>
                <w:lang w:eastAsia="zh-CN"/>
              </w:rPr>
            </w:pPr>
            <w:r>
              <w:rPr>
                <w:lang w:eastAsia="zh-CN"/>
              </w:rPr>
              <w:t>DCCF processing Instructions.</w:t>
            </w:r>
          </w:p>
        </w:tc>
        <w:tc>
          <w:tcPr>
            <w:tcW w:w="1739" w:type="dxa"/>
          </w:tcPr>
          <w:p w14:paraId="504A202D" w14:textId="77777777" w:rsidR="00A10B25" w:rsidRDefault="00A10B25">
            <w:pPr>
              <w:pStyle w:val="TAL"/>
              <w:rPr>
                <w:rFonts w:cs="Arial"/>
                <w:szCs w:val="18"/>
              </w:rPr>
            </w:pPr>
          </w:p>
        </w:tc>
      </w:tr>
      <w:tr w:rsidR="00A10B25" w14:paraId="43E3F43F" w14:textId="77777777">
        <w:trPr>
          <w:jc w:val="center"/>
        </w:trPr>
        <w:tc>
          <w:tcPr>
            <w:tcW w:w="3178" w:type="dxa"/>
          </w:tcPr>
          <w:p w14:paraId="7FDFC0B9" w14:textId="77777777" w:rsidR="00A10B25" w:rsidRDefault="00A10B25">
            <w:pPr>
              <w:pStyle w:val="TAL"/>
            </w:pPr>
            <w:r>
              <w:t>SupportedFeatures</w:t>
            </w:r>
          </w:p>
        </w:tc>
        <w:tc>
          <w:tcPr>
            <w:tcW w:w="2058" w:type="dxa"/>
          </w:tcPr>
          <w:p w14:paraId="45F17C42" w14:textId="77777777" w:rsidR="00A10B25" w:rsidRDefault="00A10B25">
            <w:pPr>
              <w:pStyle w:val="TAL"/>
            </w:pPr>
            <w:r>
              <w:t>3GPP TS 29.571 [8]</w:t>
            </w:r>
          </w:p>
        </w:tc>
        <w:tc>
          <w:tcPr>
            <w:tcW w:w="2449" w:type="dxa"/>
          </w:tcPr>
          <w:p w14:paraId="5C38BDFA" w14:textId="77777777" w:rsidR="00A10B25" w:rsidRDefault="00A10B25">
            <w:pPr>
              <w:pStyle w:val="TAL"/>
            </w:pPr>
            <w:r>
              <w:t>Used to negotiate the applicability of the optional features defined in table 5.7.8-1.</w:t>
            </w:r>
          </w:p>
        </w:tc>
        <w:tc>
          <w:tcPr>
            <w:tcW w:w="1739" w:type="dxa"/>
          </w:tcPr>
          <w:p w14:paraId="07DCFD09" w14:textId="77777777" w:rsidR="00A10B25" w:rsidRDefault="00A10B25">
            <w:pPr>
              <w:pStyle w:val="TAL"/>
              <w:rPr>
                <w:rFonts w:cs="Arial"/>
                <w:szCs w:val="18"/>
              </w:rPr>
            </w:pPr>
          </w:p>
        </w:tc>
      </w:tr>
      <w:tr w:rsidR="00A10B25" w14:paraId="7EB380B3" w14:textId="77777777">
        <w:trPr>
          <w:jc w:val="center"/>
        </w:trPr>
        <w:tc>
          <w:tcPr>
            <w:tcW w:w="3178" w:type="dxa"/>
          </w:tcPr>
          <w:p w14:paraId="1B1DF4A6" w14:textId="77777777" w:rsidR="00A10B25" w:rsidRDefault="00A10B25">
            <w:pPr>
              <w:pStyle w:val="TAL"/>
            </w:pPr>
            <w:r>
              <w:rPr>
                <w:rFonts w:hint="eastAsia"/>
                <w:lang w:eastAsia="zh-CN"/>
              </w:rPr>
              <w:t>T</w:t>
            </w:r>
            <w:r>
              <w:rPr>
                <w:lang w:eastAsia="zh-CN"/>
              </w:rPr>
              <w:t>imeWindow</w:t>
            </w:r>
          </w:p>
        </w:tc>
        <w:tc>
          <w:tcPr>
            <w:tcW w:w="2058" w:type="dxa"/>
          </w:tcPr>
          <w:p w14:paraId="673F3D06" w14:textId="77777777" w:rsidR="00A10B25" w:rsidRDefault="00A10B25">
            <w:pPr>
              <w:pStyle w:val="TAL"/>
            </w:pPr>
            <w:r>
              <w:t>3GPP TS 29.122 [19]</w:t>
            </w:r>
          </w:p>
        </w:tc>
        <w:tc>
          <w:tcPr>
            <w:tcW w:w="2449" w:type="dxa"/>
          </w:tcPr>
          <w:p w14:paraId="0014FC48" w14:textId="77777777" w:rsidR="00A10B25" w:rsidRDefault="00A10B25">
            <w:pPr>
              <w:pStyle w:val="TAL"/>
            </w:pPr>
            <w:r>
              <w:rPr>
                <w:lang w:eastAsia="zh-CN"/>
              </w:rPr>
              <w:t>Represents a time window.</w:t>
            </w:r>
          </w:p>
        </w:tc>
        <w:tc>
          <w:tcPr>
            <w:tcW w:w="1739" w:type="dxa"/>
          </w:tcPr>
          <w:p w14:paraId="401EF540" w14:textId="77777777" w:rsidR="00A10B25" w:rsidRDefault="00A10B25">
            <w:pPr>
              <w:pStyle w:val="TAL"/>
              <w:rPr>
                <w:rFonts w:cs="Arial"/>
                <w:szCs w:val="18"/>
              </w:rPr>
            </w:pPr>
          </w:p>
        </w:tc>
      </w:tr>
      <w:tr w:rsidR="00A10B25" w14:paraId="4AEDFBCA" w14:textId="77777777">
        <w:trPr>
          <w:jc w:val="center"/>
        </w:trPr>
        <w:tc>
          <w:tcPr>
            <w:tcW w:w="3178" w:type="dxa"/>
          </w:tcPr>
          <w:p w14:paraId="3221A2F4" w14:textId="77777777" w:rsidR="00A10B25" w:rsidRDefault="00A10B25">
            <w:pPr>
              <w:pStyle w:val="TAL"/>
            </w:pPr>
            <w:r>
              <w:t>Uri</w:t>
            </w:r>
          </w:p>
        </w:tc>
        <w:tc>
          <w:tcPr>
            <w:tcW w:w="2058" w:type="dxa"/>
          </w:tcPr>
          <w:p w14:paraId="4F753951" w14:textId="77777777" w:rsidR="00A10B25" w:rsidRDefault="00A10B25">
            <w:pPr>
              <w:pStyle w:val="TAL"/>
              <w:rPr>
                <w:rFonts w:cs="Arial"/>
              </w:rPr>
            </w:pPr>
            <w:r>
              <w:t>3GPP TS 29.571 [8]</w:t>
            </w:r>
          </w:p>
        </w:tc>
        <w:tc>
          <w:tcPr>
            <w:tcW w:w="2449" w:type="dxa"/>
          </w:tcPr>
          <w:p w14:paraId="5F24A7A0" w14:textId="77777777" w:rsidR="00A10B25" w:rsidRDefault="00A10B25">
            <w:pPr>
              <w:pStyle w:val="TAL"/>
              <w:rPr>
                <w:lang w:eastAsia="zh-CN"/>
              </w:rPr>
            </w:pPr>
            <w:r>
              <w:rPr>
                <w:rFonts w:hint="eastAsia"/>
                <w:lang w:eastAsia="zh-CN"/>
              </w:rPr>
              <w:t>I</w:t>
            </w:r>
            <w:r>
              <w:rPr>
                <w:lang w:eastAsia="zh-CN"/>
              </w:rPr>
              <w:t xml:space="preserve">ndicates the </w:t>
            </w:r>
            <w:r>
              <w:rPr>
                <w:rFonts w:cs="Arial"/>
                <w:szCs w:val="18"/>
              </w:rPr>
              <w:t>URI.</w:t>
            </w:r>
          </w:p>
        </w:tc>
        <w:tc>
          <w:tcPr>
            <w:tcW w:w="1739" w:type="dxa"/>
          </w:tcPr>
          <w:p w14:paraId="1C3F7EBE" w14:textId="77777777" w:rsidR="00A10B25" w:rsidRDefault="00A10B25">
            <w:pPr>
              <w:pStyle w:val="TAL"/>
              <w:rPr>
                <w:rFonts w:cs="Arial"/>
                <w:szCs w:val="18"/>
              </w:rPr>
            </w:pPr>
          </w:p>
        </w:tc>
      </w:tr>
    </w:tbl>
    <w:p w14:paraId="26E15A23" w14:textId="77777777" w:rsidR="00A10B25" w:rsidRDefault="00A10B25"/>
    <w:p w14:paraId="2E4BBDD1" w14:textId="77777777" w:rsidR="00A10B25" w:rsidRDefault="00A10B25">
      <w:pPr>
        <w:pStyle w:val="4"/>
      </w:pPr>
      <w:bookmarkStart w:id="16158" w:name="_Toc164921240"/>
      <w:bookmarkStart w:id="16159" w:name="_Toc170120782"/>
      <w:bookmarkStart w:id="16160" w:name="_Toc175859027"/>
      <w:bookmarkStart w:id="16161" w:name="_Toc175860100"/>
      <w:bookmarkStart w:id="16162" w:name="_Toc180606390"/>
      <w:bookmarkStart w:id="16163" w:name="_Toc185517651"/>
      <w:bookmarkStart w:id="16164" w:name="_Toc191576703"/>
      <w:bookmarkStart w:id="16165" w:name="_Toc191577443"/>
      <w:bookmarkStart w:id="16166" w:name="_Toc192880513"/>
      <w:bookmarkStart w:id="16167" w:name="_Toc195815402"/>
      <w:bookmarkStart w:id="16168" w:name="_Toc199453369"/>
      <w:r>
        <w:t>5.7.6.2</w:t>
      </w:r>
      <w:r>
        <w:tab/>
        <w:t>Structured data types</w:t>
      </w:r>
      <w:bookmarkEnd w:id="16158"/>
      <w:bookmarkEnd w:id="16159"/>
      <w:bookmarkEnd w:id="16160"/>
      <w:bookmarkEnd w:id="16161"/>
      <w:bookmarkEnd w:id="16162"/>
      <w:bookmarkEnd w:id="16163"/>
      <w:bookmarkEnd w:id="16164"/>
      <w:bookmarkEnd w:id="16165"/>
      <w:bookmarkEnd w:id="16166"/>
      <w:bookmarkEnd w:id="16167"/>
      <w:bookmarkEnd w:id="16168"/>
    </w:p>
    <w:p w14:paraId="2ABDD13F" w14:textId="77777777" w:rsidR="00A10B25" w:rsidRDefault="00A10B25">
      <w:pPr>
        <w:pStyle w:val="5"/>
      </w:pPr>
      <w:bookmarkStart w:id="16169" w:name="_Toc164921241"/>
      <w:bookmarkStart w:id="16170" w:name="_Toc170120783"/>
      <w:bookmarkStart w:id="16171" w:name="_Toc175859028"/>
      <w:bookmarkStart w:id="16172" w:name="_Toc175860101"/>
      <w:bookmarkStart w:id="16173" w:name="_Toc180606391"/>
      <w:bookmarkStart w:id="16174" w:name="_Toc185517652"/>
      <w:bookmarkStart w:id="16175" w:name="_Toc191576704"/>
      <w:bookmarkStart w:id="16176" w:name="_Toc191577444"/>
      <w:bookmarkStart w:id="16177" w:name="_Toc192880514"/>
      <w:bookmarkStart w:id="16178" w:name="_Toc195815403"/>
      <w:bookmarkStart w:id="16179" w:name="_Toc199453370"/>
      <w:r>
        <w:t>5.7.6.2.1</w:t>
      </w:r>
      <w:r>
        <w:tab/>
        <w:t>Introduction</w:t>
      </w:r>
      <w:bookmarkEnd w:id="16169"/>
      <w:bookmarkEnd w:id="16170"/>
      <w:bookmarkEnd w:id="16171"/>
      <w:bookmarkEnd w:id="16172"/>
      <w:bookmarkEnd w:id="16173"/>
      <w:bookmarkEnd w:id="16174"/>
      <w:bookmarkEnd w:id="16175"/>
      <w:bookmarkEnd w:id="16176"/>
      <w:bookmarkEnd w:id="16177"/>
      <w:bookmarkEnd w:id="16178"/>
      <w:bookmarkEnd w:id="16179"/>
    </w:p>
    <w:p w14:paraId="4F111AF4" w14:textId="77777777" w:rsidR="00A10B25" w:rsidRDefault="00A10B25">
      <w:r>
        <w:t xml:space="preserve">This clause defines the structures to be used in resource representations. </w:t>
      </w:r>
    </w:p>
    <w:p w14:paraId="5E43DDE7" w14:textId="77777777" w:rsidR="00A10B25" w:rsidRDefault="00A10B25">
      <w:pPr>
        <w:pStyle w:val="5"/>
      </w:pPr>
      <w:bookmarkStart w:id="16180" w:name="_Toc164921242"/>
      <w:bookmarkStart w:id="16181" w:name="_Toc170120784"/>
      <w:bookmarkStart w:id="16182" w:name="_Toc175859029"/>
      <w:bookmarkStart w:id="16183" w:name="_Toc175860102"/>
      <w:bookmarkStart w:id="16184" w:name="_Toc180606392"/>
      <w:bookmarkStart w:id="16185" w:name="_Toc185517653"/>
      <w:bookmarkStart w:id="16186" w:name="_Toc191576705"/>
      <w:bookmarkStart w:id="16187" w:name="_Toc191577445"/>
      <w:bookmarkStart w:id="16188" w:name="_Toc192880515"/>
      <w:bookmarkStart w:id="16189" w:name="_Toc195815404"/>
      <w:bookmarkStart w:id="16190" w:name="_Toc199453371"/>
      <w:r>
        <w:lastRenderedPageBreak/>
        <w:t>5.7.6.2.2</w:t>
      </w:r>
      <w:r>
        <w:tab/>
        <w:t xml:space="preserve">Type </w:t>
      </w:r>
      <w:r>
        <w:rPr>
          <w:lang w:eastAsia="ja-JP"/>
        </w:rPr>
        <w:t>RoamingData</w:t>
      </w:r>
      <w:r>
        <w:rPr>
          <w:rFonts w:eastAsia="等线" w:hint="eastAsia"/>
          <w:lang w:eastAsia="zh-CN"/>
        </w:rPr>
        <w:t>Sub</w:t>
      </w:r>
      <w:bookmarkEnd w:id="16180"/>
      <w:bookmarkEnd w:id="16181"/>
      <w:bookmarkEnd w:id="16182"/>
      <w:bookmarkEnd w:id="16183"/>
      <w:bookmarkEnd w:id="16184"/>
      <w:bookmarkEnd w:id="16185"/>
      <w:bookmarkEnd w:id="16186"/>
      <w:bookmarkEnd w:id="16187"/>
      <w:bookmarkEnd w:id="16188"/>
      <w:bookmarkEnd w:id="16189"/>
      <w:bookmarkEnd w:id="16190"/>
    </w:p>
    <w:p w14:paraId="6CA4C9E5" w14:textId="77777777" w:rsidR="00A10B25" w:rsidRDefault="00A10B25">
      <w:pPr>
        <w:pStyle w:val="TH"/>
        <w:overflowPunct w:val="0"/>
        <w:autoSpaceDE w:val="0"/>
        <w:autoSpaceDN w:val="0"/>
        <w:adjustRightInd w:val="0"/>
        <w:textAlignment w:val="baseline"/>
        <w:rPr>
          <w:rFonts w:eastAsia="MS Mincho"/>
        </w:rPr>
      </w:pPr>
      <w:r>
        <w:rPr>
          <w:rFonts w:eastAsia="MS Mincho"/>
        </w:rPr>
        <w:t xml:space="preserve">Table 5.7.6.2.2-1: Definition of type </w:t>
      </w:r>
      <w:r>
        <w:rPr>
          <w:lang w:eastAsia="ja-JP"/>
        </w:rPr>
        <w:t>RoamingData</w:t>
      </w:r>
      <w:r>
        <w:rPr>
          <w:rFonts w:eastAsia="等线" w:hint="eastAsia"/>
          <w:lang w:eastAsia="zh-CN"/>
        </w:rPr>
        <w:t>Sub</w:t>
      </w:r>
    </w:p>
    <w:tbl>
      <w:tblPr>
        <w:tblW w:w="952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10B25" w14:paraId="5A06A416" w14:textId="77777777">
        <w:trPr>
          <w:jc w:val="center"/>
        </w:trPr>
        <w:tc>
          <w:tcPr>
            <w:tcW w:w="1702" w:type="dxa"/>
            <w:shd w:val="clear" w:color="auto" w:fill="C0C0C0"/>
          </w:tcPr>
          <w:p w14:paraId="08E25460" w14:textId="77777777" w:rsidR="00A10B25" w:rsidRDefault="00A10B25">
            <w:pPr>
              <w:pStyle w:val="TAH"/>
              <w:ind w:left="400" w:hanging="400"/>
            </w:pPr>
            <w:r>
              <w:lastRenderedPageBreak/>
              <w:t>Attribute name</w:t>
            </w:r>
          </w:p>
        </w:tc>
        <w:tc>
          <w:tcPr>
            <w:tcW w:w="1444" w:type="dxa"/>
            <w:shd w:val="clear" w:color="auto" w:fill="C0C0C0"/>
          </w:tcPr>
          <w:p w14:paraId="6DCB95DA" w14:textId="77777777" w:rsidR="00A10B25" w:rsidRDefault="00A10B25">
            <w:pPr>
              <w:pStyle w:val="TAH"/>
              <w:ind w:left="400" w:hanging="400"/>
            </w:pPr>
            <w:r>
              <w:t>Data type</w:t>
            </w:r>
          </w:p>
        </w:tc>
        <w:tc>
          <w:tcPr>
            <w:tcW w:w="425" w:type="dxa"/>
            <w:shd w:val="clear" w:color="auto" w:fill="C0C0C0"/>
          </w:tcPr>
          <w:p w14:paraId="3640C821" w14:textId="77777777" w:rsidR="00A10B25" w:rsidRDefault="00A10B25">
            <w:pPr>
              <w:pStyle w:val="TAH"/>
              <w:ind w:left="400" w:hanging="400"/>
            </w:pPr>
            <w:r>
              <w:t>P</w:t>
            </w:r>
          </w:p>
        </w:tc>
        <w:tc>
          <w:tcPr>
            <w:tcW w:w="1134" w:type="dxa"/>
            <w:shd w:val="clear" w:color="auto" w:fill="C0C0C0"/>
          </w:tcPr>
          <w:p w14:paraId="6E4A5E3F" w14:textId="77777777" w:rsidR="00A10B25" w:rsidRDefault="00A10B25">
            <w:pPr>
              <w:pStyle w:val="TAH"/>
              <w:ind w:left="400" w:hanging="400"/>
              <w:jc w:val="left"/>
            </w:pPr>
            <w:r>
              <w:t>Cardinality</w:t>
            </w:r>
          </w:p>
        </w:tc>
        <w:tc>
          <w:tcPr>
            <w:tcW w:w="2410" w:type="dxa"/>
            <w:shd w:val="clear" w:color="auto" w:fill="C0C0C0"/>
          </w:tcPr>
          <w:p w14:paraId="360E82EF" w14:textId="77777777" w:rsidR="00A10B25" w:rsidRDefault="00A10B25">
            <w:pPr>
              <w:pStyle w:val="TAH"/>
              <w:ind w:left="400" w:hanging="400"/>
              <w:rPr>
                <w:rFonts w:cs="Arial"/>
                <w:szCs w:val="18"/>
              </w:rPr>
            </w:pPr>
            <w:r>
              <w:rPr>
                <w:rFonts w:cs="Arial"/>
                <w:szCs w:val="18"/>
              </w:rPr>
              <w:t>Description</w:t>
            </w:r>
          </w:p>
        </w:tc>
        <w:tc>
          <w:tcPr>
            <w:tcW w:w="2410" w:type="dxa"/>
            <w:shd w:val="clear" w:color="auto" w:fill="C0C0C0"/>
          </w:tcPr>
          <w:p w14:paraId="65C1E1F7" w14:textId="77777777" w:rsidR="00A10B25" w:rsidRDefault="00A10B25">
            <w:pPr>
              <w:pStyle w:val="TAH"/>
              <w:ind w:left="400" w:hanging="400"/>
              <w:rPr>
                <w:rFonts w:cs="Arial"/>
                <w:szCs w:val="18"/>
              </w:rPr>
            </w:pPr>
            <w:r>
              <w:rPr>
                <w:rFonts w:cs="Arial"/>
                <w:szCs w:val="18"/>
              </w:rPr>
              <w:t>Applicability</w:t>
            </w:r>
          </w:p>
        </w:tc>
      </w:tr>
      <w:tr w:rsidR="00A10B25" w14:paraId="2DF4B29E" w14:textId="77777777">
        <w:trPr>
          <w:jc w:val="center"/>
        </w:trPr>
        <w:tc>
          <w:tcPr>
            <w:tcW w:w="1702" w:type="dxa"/>
          </w:tcPr>
          <w:p w14:paraId="4BD1B449" w14:textId="77777777" w:rsidR="00A10B25" w:rsidRDefault="00A10B25">
            <w:pPr>
              <w:pStyle w:val="TAL"/>
            </w:pPr>
            <w:r>
              <w:t>notificationUri</w:t>
            </w:r>
          </w:p>
        </w:tc>
        <w:tc>
          <w:tcPr>
            <w:tcW w:w="1444" w:type="dxa"/>
          </w:tcPr>
          <w:p w14:paraId="46FE3B9F" w14:textId="77777777" w:rsidR="00A10B25" w:rsidRDefault="00A10B25">
            <w:pPr>
              <w:pStyle w:val="TAL"/>
              <w:rPr>
                <w:lang w:eastAsia="zh-CN"/>
              </w:rPr>
            </w:pPr>
            <w:r>
              <w:t>Uri</w:t>
            </w:r>
          </w:p>
        </w:tc>
        <w:tc>
          <w:tcPr>
            <w:tcW w:w="425" w:type="dxa"/>
          </w:tcPr>
          <w:p w14:paraId="22421A35" w14:textId="77777777" w:rsidR="00A10B25" w:rsidRDefault="00A10B25">
            <w:pPr>
              <w:pStyle w:val="TAC"/>
            </w:pPr>
            <w:r>
              <w:t>M</w:t>
            </w:r>
          </w:p>
        </w:tc>
        <w:tc>
          <w:tcPr>
            <w:tcW w:w="1134" w:type="dxa"/>
          </w:tcPr>
          <w:p w14:paraId="5CF415C1" w14:textId="77777777" w:rsidR="00A10B25" w:rsidRDefault="00A10B25">
            <w:pPr>
              <w:pStyle w:val="TAL"/>
            </w:pPr>
            <w:r>
              <w:t>1</w:t>
            </w:r>
          </w:p>
        </w:tc>
        <w:tc>
          <w:tcPr>
            <w:tcW w:w="2410" w:type="dxa"/>
          </w:tcPr>
          <w:p w14:paraId="1AF3774A" w14:textId="77777777" w:rsidR="00A10B25" w:rsidRDefault="00A10B25">
            <w:pPr>
              <w:pStyle w:val="TAL"/>
              <w:rPr>
                <w:lang w:eastAsia="zh-CN"/>
              </w:rPr>
            </w:pPr>
            <w:r>
              <w:rPr>
                <w:lang w:eastAsia="ja-JP"/>
              </w:rPr>
              <w:t>Notification target address.</w:t>
            </w:r>
          </w:p>
        </w:tc>
        <w:tc>
          <w:tcPr>
            <w:tcW w:w="2410" w:type="dxa"/>
          </w:tcPr>
          <w:p w14:paraId="09341420" w14:textId="77777777" w:rsidR="00A10B25" w:rsidRDefault="00A10B25">
            <w:pPr>
              <w:pStyle w:val="TAL"/>
              <w:rPr>
                <w:rFonts w:cs="Arial"/>
                <w:szCs w:val="18"/>
              </w:rPr>
            </w:pPr>
          </w:p>
        </w:tc>
      </w:tr>
      <w:tr w:rsidR="00A10B25" w14:paraId="5CC09974" w14:textId="77777777">
        <w:trPr>
          <w:jc w:val="center"/>
        </w:trPr>
        <w:tc>
          <w:tcPr>
            <w:tcW w:w="1702" w:type="dxa"/>
          </w:tcPr>
          <w:p w14:paraId="1F752A92" w14:textId="77777777" w:rsidR="00A10B25" w:rsidRDefault="00A10B25">
            <w:pPr>
              <w:pStyle w:val="TAL"/>
            </w:pPr>
            <w:r>
              <w:t>notifCorrId</w:t>
            </w:r>
          </w:p>
        </w:tc>
        <w:tc>
          <w:tcPr>
            <w:tcW w:w="1444" w:type="dxa"/>
          </w:tcPr>
          <w:p w14:paraId="6CEEEE57" w14:textId="77777777" w:rsidR="00A10B25" w:rsidRDefault="00A10B25">
            <w:pPr>
              <w:pStyle w:val="TAL"/>
            </w:pPr>
            <w:r>
              <w:t>string</w:t>
            </w:r>
          </w:p>
        </w:tc>
        <w:tc>
          <w:tcPr>
            <w:tcW w:w="425" w:type="dxa"/>
          </w:tcPr>
          <w:p w14:paraId="253A6E80" w14:textId="77777777" w:rsidR="00A10B25" w:rsidRDefault="00A10B25">
            <w:pPr>
              <w:pStyle w:val="TAC"/>
            </w:pPr>
            <w:r>
              <w:t>M</w:t>
            </w:r>
          </w:p>
        </w:tc>
        <w:tc>
          <w:tcPr>
            <w:tcW w:w="1134" w:type="dxa"/>
          </w:tcPr>
          <w:p w14:paraId="4DADF7BF" w14:textId="77777777" w:rsidR="00A10B25" w:rsidRDefault="00A10B25">
            <w:pPr>
              <w:pStyle w:val="TAL"/>
            </w:pPr>
            <w:r>
              <w:t>1</w:t>
            </w:r>
          </w:p>
        </w:tc>
        <w:tc>
          <w:tcPr>
            <w:tcW w:w="2410" w:type="dxa"/>
          </w:tcPr>
          <w:p w14:paraId="26062CA9" w14:textId="77777777" w:rsidR="00A10B25" w:rsidRDefault="00A10B25">
            <w:pPr>
              <w:pStyle w:val="TAL"/>
            </w:pPr>
            <w:r>
              <w:t>Notification correlation identifier.</w:t>
            </w:r>
          </w:p>
        </w:tc>
        <w:tc>
          <w:tcPr>
            <w:tcW w:w="2410" w:type="dxa"/>
          </w:tcPr>
          <w:p w14:paraId="55EC13CE" w14:textId="77777777" w:rsidR="00A10B25" w:rsidRDefault="00A10B25">
            <w:pPr>
              <w:pStyle w:val="TAL"/>
            </w:pPr>
          </w:p>
        </w:tc>
      </w:tr>
      <w:tr w:rsidR="00A10B25" w14:paraId="1C6E98FB" w14:textId="77777777">
        <w:trPr>
          <w:jc w:val="center"/>
        </w:trPr>
        <w:tc>
          <w:tcPr>
            <w:tcW w:w="1702" w:type="dxa"/>
          </w:tcPr>
          <w:p w14:paraId="63CBEC40" w14:textId="77777777" w:rsidR="00A10B25" w:rsidRDefault="00A10B25">
            <w:pPr>
              <w:pStyle w:val="TAL"/>
              <w:rPr>
                <w:lang w:eastAsia="zh-CN"/>
              </w:rPr>
            </w:pPr>
            <w:r>
              <w:rPr>
                <w:lang w:eastAsia="zh-CN"/>
              </w:rPr>
              <w:t>p</w:t>
            </w:r>
            <w:r>
              <w:rPr>
                <w:rFonts w:hint="eastAsia"/>
                <w:lang w:eastAsia="zh-CN"/>
              </w:rPr>
              <w:t>lmn</w:t>
            </w:r>
            <w:r>
              <w:rPr>
                <w:lang w:eastAsia="zh-CN"/>
              </w:rPr>
              <w:t>Id</w:t>
            </w:r>
          </w:p>
        </w:tc>
        <w:tc>
          <w:tcPr>
            <w:tcW w:w="1444" w:type="dxa"/>
          </w:tcPr>
          <w:p w14:paraId="21334FC8" w14:textId="77777777" w:rsidR="00A10B25" w:rsidRDefault="00A10B25">
            <w:pPr>
              <w:pStyle w:val="TAL"/>
            </w:pPr>
            <w:r>
              <w:t>PlmnId</w:t>
            </w:r>
          </w:p>
        </w:tc>
        <w:tc>
          <w:tcPr>
            <w:tcW w:w="425" w:type="dxa"/>
          </w:tcPr>
          <w:p w14:paraId="48888126" w14:textId="77777777" w:rsidR="00A10B25" w:rsidRDefault="00A10B25">
            <w:pPr>
              <w:pStyle w:val="TAC"/>
            </w:pPr>
            <w:r>
              <w:t>M</w:t>
            </w:r>
          </w:p>
        </w:tc>
        <w:tc>
          <w:tcPr>
            <w:tcW w:w="1134" w:type="dxa"/>
          </w:tcPr>
          <w:p w14:paraId="37CF724F" w14:textId="77777777" w:rsidR="00A10B25" w:rsidRDefault="00A10B25">
            <w:pPr>
              <w:pStyle w:val="TAL"/>
            </w:pPr>
            <w:r>
              <w:t>1</w:t>
            </w:r>
          </w:p>
        </w:tc>
        <w:tc>
          <w:tcPr>
            <w:tcW w:w="2410" w:type="dxa"/>
          </w:tcPr>
          <w:p w14:paraId="2C6122EF" w14:textId="77777777" w:rsidR="00A10B25" w:rsidRDefault="00A10B25">
            <w:pPr>
              <w:pStyle w:val="TAL"/>
            </w:pPr>
            <w:r>
              <w:t>PLMN ID of the consumer.</w:t>
            </w:r>
          </w:p>
        </w:tc>
        <w:tc>
          <w:tcPr>
            <w:tcW w:w="2410" w:type="dxa"/>
          </w:tcPr>
          <w:p w14:paraId="2585E352" w14:textId="77777777" w:rsidR="00A10B25" w:rsidRDefault="00A10B25">
            <w:pPr>
              <w:pStyle w:val="TAL"/>
            </w:pPr>
          </w:p>
        </w:tc>
      </w:tr>
      <w:tr w:rsidR="00A10B25" w14:paraId="00E1EBC9" w14:textId="77777777">
        <w:trPr>
          <w:jc w:val="center"/>
        </w:trPr>
        <w:tc>
          <w:tcPr>
            <w:tcW w:w="1702" w:type="dxa"/>
          </w:tcPr>
          <w:p w14:paraId="59EFA701" w14:textId="77777777" w:rsidR="00A10B25" w:rsidRDefault="00A10B25">
            <w:pPr>
              <w:pStyle w:val="TAL"/>
            </w:pPr>
            <w:r>
              <w:rPr>
                <w:lang w:eastAsia="zh-CN"/>
              </w:rPr>
              <w:t>dataSub</w:t>
            </w:r>
          </w:p>
        </w:tc>
        <w:tc>
          <w:tcPr>
            <w:tcW w:w="1444" w:type="dxa"/>
          </w:tcPr>
          <w:p w14:paraId="59E6B8B0" w14:textId="77777777" w:rsidR="00A10B25" w:rsidRDefault="00A10B25">
            <w:pPr>
              <w:pStyle w:val="TAL"/>
            </w:pPr>
            <w:r>
              <w:rPr>
                <w:rFonts w:hint="eastAsia"/>
                <w:lang w:eastAsia="zh-CN"/>
              </w:rPr>
              <w:t>D</w:t>
            </w:r>
            <w:r>
              <w:rPr>
                <w:lang w:eastAsia="zh-CN"/>
              </w:rPr>
              <w:t>ataSubscription</w:t>
            </w:r>
          </w:p>
        </w:tc>
        <w:tc>
          <w:tcPr>
            <w:tcW w:w="425" w:type="dxa"/>
          </w:tcPr>
          <w:p w14:paraId="0348244A" w14:textId="77777777" w:rsidR="00A10B25" w:rsidRDefault="00A10B25">
            <w:pPr>
              <w:pStyle w:val="TAC"/>
            </w:pPr>
            <w:r>
              <w:rPr>
                <w:rFonts w:hint="eastAsia"/>
                <w:lang w:eastAsia="zh-CN"/>
              </w:rPr>
              <w:t>C</w:t>
            </w:r>
          </w:p>
        </w:tc>
        <w:tc>
          <w:tcPr>
            <w:tcW w:w="1134" w:type="dxa"/>
          </w:tcPr>
          <w:p w14:paraId="01A4D107" w14:textId="77777777" w:rsidR="00A10B25" w:rsidRDefault="00A10B25">
            <w:pPr>
              <w:pStyle w:val="TAL"/>
            </w:pPr>
            <w:r>
              <w:rPr>
                <w:rFonts w:hint="eastAsia"/>
                <w:lang w:eastAsia="zh-CN"/>
              </w:rPr>
              <w:t>0</w:t>
            </w:r>
            <w:r>
              <w:rPr>
                <w:lang w:eastAsia="zh-CN"/>
              </w:rPr>
              <w:t>..1</w:t>
            </w:r>
          </w:p>
        </w:tc>
        <w:tc>
          <w:tcPr>
            <w:tcW w:w="2410" w:type="dxa"/>
          </w:tcPr>
          <w:p w14:paraId="2AF3981E" w14:textId="77777777" w:rsidR="00A10B25" w:rsidRDefault="00A10B25">
            <w:pPr>
              <w:pStyle w:val="TAL"/>
              <w:rPr>
                <w:lang w:eastAsia="zh-CN"/>
              </w:rPr>
            </w:pPr>
            <w:r>
              <w:rPr>
                <w:rFonts w:hint="eastAsia"/>
                <w:lang w:eastAsia="zh-CN"/>
              </w:rPr>
              <w:t>S</w:t>
            </w:r>
            <w:r>
              <w:rPr>
                <w:lang w:eastAsia="zh-CN"/>
              </w:rPr>
              <w:t>ubscribed data events.</w:t>
            </w:r>
          </w:p>
          <w:p w14:paraId="5E1F8591" w14:textId="77777777" w:rsidR="00A10B25" w:rsidRDefault="00A10B25">
            <w:pPr>
              <w:pStyle w:val="TAL"/>
              <w:rPr>
                <w:lang w:eastAsia="zh-CN"/>
              </w:rPr>
            </w:pPr>
            <w:r>
              <w:t>(NOTE 1)</w:t>
            </w:r>
          </w:p>
        </w:tc>
        <w:tc>
          <w:tcPr>
            <w:tcW w:w="2410" w:type="dxa"/>
          </w:tcPr>
          <w:p w14:paraId="7A53EE17" w14:textId="77777777" w:rsidR="00A10B25" w:rsidRDefault="00A10B25">
            <w:pPr>
              <w:pStyle w:val="TAL"/>
            </w:pPr>
          </w:p>
        </w:tc>
      </w:tr>
      <w:tr w:rsidR="00A10B25" w14:paraId="7E4BF81A" w14:textId="77777777">
        <w:trPr>
          <w:jc w:val="center"/>
        </w:trPr>
        <w:tc>
          <w:tcPr>
            <w:tcW w:w="1702" w:type="dxa"/>
          </w:tcPr>
          <w:p w14:paraId="761F2235" w14:textId="77777777" w:rsidR="00A10B25" w:rsidRDefault="00A10B25">
            <w:pPr>
              <w:pStyle w:val="TAL"/>
              <w:rPr>
                <w:lang w:eastAsia="zh-CN"/>
              </w:rPr>
            </w:pPr>
            <w:r>
              <w:t>anaSub</w:t>
            </w:r>
          </w:p>
        </w:tc>
        <w:tc>
          <w:tcPr>
            <w:tcW w:w="1444" w:type="dxa"/>
          </w:tcPr>
          <w:p w14:paraId="23704132" w14:textId="77777777" w:rsidR="00A10B25" w:rsidRDefault="00A10B25">
            <w:pPr>
              <w:pStyle w:val="TAL"/>
              <w:rPr>
                <w:lang w:eastAsia="zh-CN"/>
              </w:rPr>
            </w:pPr>
            <w:r>
              <w:rPr>
                <w:lang w:eastAsia="zh-CN"/>
              </w:rPr>
              <w:t>NnwdafEventsSubscription</w:t>
            </w:r>
          </w:p>
        </w:tc>
        <w:tc>
          <w:tcPr>
            <w:tcW w:w="425" w:type="dxa"/>
          </w:tcPr>
          <w:p w14:paraId="2481D66F" w14:textId="77777777" w:rsidR="00A10B25" w:rsidRDefault="00A10B25">
            <w:pPr>
              <w:pStyle w:val="TAC"/>
              <w:rPr>
                <w:lang w:eastAsia="zh-CN"/>
              </w:rPr>
            </w:pPr>
            <w:r>
              <w:t>C</w:t>
            </w:r>
          </w:p>
        </w:tc>
        <w:tc>
          <w:tcPr>
            <w:tcW w:w="1134" w:type="dxa"/>
          </w:tcPr>
          <w:p w14:paraId="240C2DCD" w14:textId="77777777" w:rsidR="00A10B25" w:rsidRDefault="00A10B25">
            <w:pPr>
              <w:pStyle w:val="TAL"/>
              <w:rPr>
                <w:lang w:eastAsia="zh-CN"/>
              </w:rPr>
            </w:pPr>
            <w:r>
              <w:t>0..1</w:t>
            </w:r>
          </w:p>
        </w:tc>
        <w:tc>
          <w:tcPr>
            <w:tcW w:w="2410" w:type="dxa"/>
          </w:tcPr>
          <w:p w14:paraId="0245E446" w14:textId="77777777" w:rsidR="00A10B25" w:rsidRDefault="00A10B25">
            <w:pPr>
              <w:pStyle w:val="TAL"/>
            </w:pPr>
            <w:r>
              <w:t xml:space="preserve">Analytics subscription information to be used by the NWDAF to determine the data that can be used to generate these analytics, </w:t>
            </w:r>
            <w:r>
              <w:rPr>
                <w:rFonts w:cs="Arial"/>
              </w:rPr>
              <w:t>specified by</w:t>
            </w:r>
            <w:r>
              <w:t xml:space="preserve"> the </w:t>
            </w:r>
            <w:r>
              <w:rPr>
                <w:rFonts w:cs="Arial"/>
                <w:szCs w:val="18"/>
              </w:rPr>
              <w:t>"</w:t>
            </w:r>
            <w:r>
              <w:t>anaSub</w:t>
            </w:r>
            <w:r>
              <w:rPr>
                <w:rFonts w:cs="Arial"/>
                <w:szCs w:val="18"/>
              </w:rPr>
              <w:t>"</w:t>
            </w:r>
            <w:r>
              <w:t xml:space="preserve"> attribute</w:t>
            </w:r>
            <w:r>
              <w:rPr>
                <w:rFonts w:cs="Arial"/>
              </w:rPr>
              <w:t>.</w:t>
            </w:r>
          </w:p>
          <w:p w14:paraId="4E52F9E4" w14:textId="77777777" w:rsidR="00A10B25" w:rsidRDefault="00A10B25">
            <w:pPr>
              <w:pStyle w:val="TAL"/>
              <w:rPr>
                <w:lang w:eastAsia="zh-CN"/>
              </w:rPr>
            </w:pPr>
            <w:r>
              <w:t>(NOTE 1)</w:t>
            </w:r>
          </w:p>
        </w:tc>
        <w:tc>
          <w:tcPr>
            <w:tcW w:w="2410" w:type="dxa"/>
          </w:tcPr>
          <w:p w14:paraId="60497CF7" w14:textId="77777777" w:rsidR="00A10B25" w:rsidRDefault="00A10B25">
            <w:pPr>
              <w:pStyle w:val="TAL"/>
            </w:pPr>
          </w:p>
        </w:tc>
      </w:tr>
      <w:tr w:rsidR="00A10B25" w14:paraId="1E68B93A" w14:textId="77777777">
        <w:trPr>
          <w:jc w:val="center"/>
        </w:trPr>
        <w:tc>
          <w:tcPr>
            <w:tcW w:w="1702" w:type="dxa"/>
          </w:tcPr>
          <w:p w14:paraId="4379FE9F" w14:textId="77777777" w:rsidR="00A10B25" w:rsidRDefault="00A10B25">
            <w:pPr>
              <w:pStyle w:val="TAL"/>
            </w:pPr>
            <w:r>
              <w:rPr>
                <w:lang w:val="en-US" w:eastAsia="zh-CN"/>
              </w:rPr>
              <w:t>formatInstruct</w:t>
            </w:r>
          </w:p>
        </w:tc>
        <w:tc>
          <w:tcPr>
            <w:tcW w:w="1444" w:type="dxa"/>
          </w:tcPr>
          <w:p w14:paraId="3A29F94C" w14:textId="77777777" w:rsidR="00A10B25" w:rsidRDefault="00A10B25">
            <w:pPr>
              <w:pStyle w:val="TAL"/>
              <w:rPr>
                <w:lang w:eastAsia="zh-CN"/>
              </w:rPr>
            </w:pPr>
            <w:r>
              <w:rPr>
                <w:lang w:val="en-US" w:eastAsia="zh-CN"/>
              </w:rPr>
              <w:t>FormattingInstruction</w:t>
            </w:r>
          </w:p>
        </w:tc>
        <w:tc>
          <w:tcPr>
            <w:tcW w:w="425" w:type="dxa"/>
          </w:tcPr>
          <w:p w14:paraId="774DA2C9" w14:textId="77777777" w:rsidR="00A10B25" w:rsidRDefault="00A10B25">
            <w:pPr>
              <w:pStyle w:val="TAC"/>
            </w:pPr>
            <w:r>
              <w:rPr>
                <w:rFonts w:hint="eastAsia"/>
                <w:lang w:eastAsia="zh-CN"/>
              </w:rPr>
              <w:t>O</w:t>
            </w:r>
          </w:p>
        </w:tc>
        <w:tc>
          <w:tcPr>
            <w:tcW w:w="1134" w:type="dxa"/>
          </w:tcPr>
          <w:p w14:paraId="786AF27A" w14:textId="77777777" w:rsidR="00A10B25" w:rsidRDefault="00A10B25">
            <w:pPr>
              <w:pStyle w:val="TAL"/>
            </w:pPr>
            <w:r>
              <w:rPr>
                <w:rFonts w:hint="eastAsia"/>
                <w:lang w:eastAsia="zh-CN"/>
              </w:rPr>
              <w:t>0</w:t>
            </w:r>
            <w:r>
              <w:rPr>
                <w:lang w:eastAsia="zh-CN"/>
              </w:rPr>
              <w:t>..1</w:t>
            </w:r>
          </w:p>
        </w:tc>
        <w:tc>
          <w:tcPr>
            <w:tcW w:w="2410" w:type="dxa"/>
          </w:tcPr>
          <w:p w14:paraId="39E51D18" w14:textId="77777777" w:rsidR="00A10B25" w:rsidRDefault="00A10B25">
            <w:pPr>
              <w:pStyle w:val="TAL"/>
            </w:pPr>
            <w:r>
              <w:rPr>
                <w:lang w:eastAsia="ja-JP"/>
              </w:rPr>
              <w:t>Formatting instructions to be used for sending event notifications.</w:t>
            </w:r>
            <w:r>
              <w:rPr>
                <w:rFonts w:eastAsia="等线"/>
                <w:lang w:eastAsia="ja-JP"/>
              </w:rPr>
              <w:t xml:space="preserve"> If provided, they take precedence over any potentially conflicting event reporting requirements provided within the "dataSub" attribute.</w:t>
            </w:r>
          </w:p>
        </w:tc>
        <w:tc>
          <w:tcPr>
            <w:tcW w:w="2410" w:type="dxa"/>
          </w:tcPr>
          <w:p w14:paraId="2599F56A" w14:textId="77777777" w:rsidR="00A10B25" w:rsidRDefault="00A10B25">
            <w:pPr>
              <w:pStyle w:val="TAL"/>
            </w:pPr>
          </w:p>
        </w:tc>
      </w:tr>
      <w:tr w:rsidR="00A10B25" w14:paraId="781805EF" w14:textId="77777777">
        <w:trPr>
          <w:jc w:val="center"/>
        </w:trPr>
        <w:tc>
          <w:tcPr>
            <w:tcW w:w="1702" w:type="dxa"/>
          </w:tcPr>
          <w:p w14:paraId="3296B81E" w14:textId="77777777" w:rsidR="00A10B25" w:rsidRDefault="00A10B25">
            <w:pPr>
              <w:pStyle w:val="TAL"/>
              <w:rPr>
                <w:lang w:val="en-US" w:eastAsia="zh-CN"/>
              </w:rPr>
            </w:pPr>
            <w:r>
              <w:rPr>
                <w:lang w:val="en-US" w:eastAsia="zh-CN"/>
              </w:rPr>
              <w:t>procInstructs</w:t>
            </w:r>
          </w:p>
        </w:tc>
        <w:tc>
          <w:tcPr>
            <w:tcW w:w="1444" w:type="dxa"/>
          </w:tcPr>
          <w:p w14:paraId="5B222CC4" w14:textId="77777777" w:rsidR="00A10B25" w:rsidRDefault="00A10B25">
            <w:pPr>
              <w:pStyle w:val="TAL"/>
              <w:rPr>
                <w:lang w:val="en-US" w:eastAsia="zh-CN"/>
              </w:rPr>
            </w:pPr>
            <w:r>
              <w:rPr>
                <w:lang w:val="en-US" w:eastAsia="zh-CN"/>
              </w:rPr>
              <w:t>array(ProcessingInstruction)</w:t>
            </w:r>
          </w:p>
        </w:tc>
        <w:tc>
          <w:tcPr>
            <w:tcW w:w="425" w:type="dxa"/>
          </w:tcPr>
          <w:p w14:paraId="491C3B30" w14:textId="77777777" w:rsidR="00A10B25" w:rsidRDefault="00A10B25">
            <w:pPr>
              <w:pStyle w:val="TAC"/>
              <w:rPr>
                <w:lang w:eastAsia="zh-CN"/>
              </w:rPr>
            </w:pPr>
            <w:r>
              <w:t>O</w:t>
            </w:r>
          </w:p>
        </w:tc>
        <w:tc>
          <w:tcPr>
            <w:tcW w:w="1134" w:type="dxa"/>
          </w:tcPr>
          <w:p w14:paraId="5B176E10" w14:textId="77777777" w:rsidR="00A10B25" w:rsidRDefault="00A10B25">
            <w:pPr>
              <w:pStyle w:val="TAL"/>
              <w:rPr>
                <w:lang w:eastAsia="zh-CN"/>
              </w:rPr>
            </w:pPr>
            <w:r>
              <w:t>1..N</w:t>
            </w:r>
          </w:p>
        </w:tc>
        <w:tc>
          <w:tcPr>
            <w:tcW w:w="2410" w:type="dxa"/>
          </w:tcPr>
          <w:p w14:paraId="2CE63C8C" w14:textId="77777777" w:rsidR="00A10B25" w:rsidRDefault="00A10B25">
            <w:pPr>
              <w:pStyle w:val="TAL"/>
              <w:rPr>
                <w:lang w:eastAsia="ja-JP"/>
              </w:rPr>
            </w:pPr>
            <w:r>
              <w:rPr>
                <w:lang w:eastAsia="ja-JP"/>
              </w:rPr>
              <w:t>Processing instructions to be used for sending event notifications.</w:t>
            </w:r>
          </w:p>
        </w:tc>
        <w:tc>
          <w:tcPr>
            <w:tcW w:w="2410" w:type="dxa"/>
          </w:tcPr>
          <w:p w14:paraId="17AD8D72" w14:textId="77777777" w:rsidR="00A10B25" w:rsidRDefault="00A10B25">
            <w:pPr>
              <w:pStyle w:val="TAL"/>
            </w:pPr>
          </w:p>
        </w:tc>
      </w:tr>
      <w:tr w:rsidR="00A10B25" w14:paraId="77EC4890" w14:textId="77777777">
        <w:trPr>
          <w:jc w:val="center"/>
        </w:trPr>
        <w:tc>
          <w:tcPr>
            <w:tcW w:w="1702" w:type="dxa"/>
          </w:tcPr>
          <w:p w14:paraId="4CA89284" w14:textId="77777777" w:rsidR="00A10B25" w:rsidRDefault="00A10B25">
            <w:pPr>
              <w:pStyle w:val="TAL"/>
            </w:pPr>
            <w:r>
              <w:rPr>
                <w:rFonts w:hint="eastAsia"/>
                <w:lang w:eastAsia="zh-CN"/>
              </w:rPr>
              <w:t>t</w:t>
            </w:r>
            <w:r>
              <w:rPr>
                <w:lang w:eastAsia="zh-CN"/>
              </w:rPr>
              <w:t>imePeriod</w:t>
            </w:r>
          </w:p>
        </w:tc>
        <w:tc>
          <w:tcPr>
            <w:tcW w:w="1444" w:type="dxa"/>
          </w:tcPr>
          <w:p w14:paraId="7A09B2FB" w14:textId="77777777" w:rsidR="00A10B25" w:rsidRDefault="00A10B25">
            <w:pPr>
              <w:pStyle w:val="TAL"/>
              <w:rPr>
                <w:lang w:eastAsia="zh-CN"/>
              </w:rPr>
            </w:pPr>
            <w:r>
              <w:rPr>
                <w:rFonts w:hint="eastAsia"/>
                <w:lang w:eastAsia="zh-CN"/>
              </w:rPr>
              <w:t>T</w:t>
            </w:r>
            <w:r>
              <w:rPr>
                <w:lang w:eastAsia="zh-CN"/>
              </w:rPr>
              <w:t>imeWindow</w:t>
            </w:r>
          </w:p>
        </w:tc>
        <w:tc>
          <w:tcPr>
            <w:tcW w:w="425" w:type="dxa"/>
          </w:tcPr>
          <w:p w14:paraId="61245000" w14:textId="77777777" w:rsidR="00A10B25" w:rsidRDefault="00A10B25">
            <w:pPr>
              <w:pStyle w:val="TAC"/>
            </w:pPr>
            <w:r>
              <w:rPr>
                <w:rFonts w:hint="eastAsia"/>
                <w:lang w:eastAsia="zh-CN"/>
              </w:rPr>
              <w:t>O</w:t>
            </w:r>
          </w:p>
        </w:tc>
        <w:tc>
          <w:tcPr>
            <w:tcW w:w="1134" w:type="dxa"/>
          </w:tcPr>
          <w:p w14:paraId="491E03EA" w14:textId="77777777" w:rsidR="00A10B25" w:rsidRDefault="00A10B25">
            <w:pPr>
              <w:pStyle w:val="TAL"/>
            </w:pPr>
            <w:r>
              <w:rPr>
                <w:rFonts w:hint="eastAsia"/>
                <w:lang w:val="el-GR" w:eastAsia="zh-CN"/>
              </w:rPr>
              <w:t>0</w:t>
            </w:r>
            <w:r>
              <w:rPr>
                <w:lang w:val="el-GR" w:eastAsia="zh-CN"/>
              </w:rPr>
              <w:t>..1</w:t>
            </w:r>
          </w:p>
        </w:tc>
        <w:tc>
          <w:tcPr>
            <w:tcW w:w="2410" w:type="dxa"/>
          </w:tcPr>
          <w:p w14:paraId="1F8901C6" w14:textId="77777777" w:rsidR="00A10B25" w:rsidRDefault="00A10B25">
            <w:pPr>
              <w:pStyle w:val="TAL"/>
            </w:pPr>
            <w:r>
              <w:rPr>
                <w:lang w:eastAsia="zh-CN"/>
              </w:rPr>
              <w:t>Represents a start time and a stop time during which the data was collected or is requested</w:t>
            </w:r>
            <w:r>
              <w:rPr>
                <w:lang w:val="fr-FR" w:eastAsia="zh-CN"/>
              </w:rPr>
              <w:t xml:space="preserve"> </w:t>
            </w:r>
            <w:r>
              <w:rPr>
                <w:lang w:eastAsia="zh-CN"/>
              </w:rPr>
              <w:t>to be collected.</w:t>
            </w:r>
          </w:p>
          <w:p w14:paraId="6615D3A2" w14:textId="77777777" w:rsidR="00A10B25" w:rsidRDefault="00A10B25">
            <w:pPr>
              <w:pStyle w:val="TAL"/>
              <w:rPr>
                <w:lang w:eastAsia="zh-CN"/>
              </w:rPr>
            </w:pPr>
            <w:r>
              <w:t>If</w:t>
            </w:r>
            <w:r>
              <w:rPr>
                <w:rFonts w:eastAsia="等线"/>
                <w:lang w:eastAsia="ja-JP"/>
              </w:rPr>
              <w:t xml:space="preserve"> provided</w:t>
            </w:r>
            <w:r>
              <w:t>, the time period related attributes contained in</w:t>
            </w:r>
            <w:r>
              <w:rPr>
                <w:lang w:eastAsia="zh-CN"/>
              </w:rPr>
              <w:t xml:space="preserve"> </w:t>
            </w:r>
            <w:r>
              <w:rPr>
                <w:rFonts w:eastAsia="等线"/>
                <w:lang w:eastAsia="ja-JP"/>
              </w:rPr>
              <w:t>"</w:t>
            </w:r>
            <w:r>
              <w:rPr>
                <w:lang w:eastAsia="zh-CN"/>
              </w:rPr>
              <w:t>dataSub</w:t>
            </w:r>
            <w:r>
              <w:rPr>
                <w:rFonts w:eastAsia="等线"/>
                <w:lang w:eastAsia="ja-JP"/>
              </w:rPr>
              <w:t>"</w:t>
            </w:r>
            <w:r>
              <w:rPr>
                <w:lang w:eastAsia="zh-CN"/>
              </w:rPr>
              <w:t xml:space="preserve"> attribute</w:t>
            </w:r>
            <w:r>
              <w:t xml:space="preserve"> shall be ignored.</w:t>
            </w:r>
          </w:p>
          <w:p w14:paraId="6E64CB5C" w14:textId="77777777" w:rsidR="00A10B25" w:rsidRDefault="00A10B25">
            <w:pPr>
              <w:pStyle w:val="TAL"/>
            </w:pPr>
            <w:r>
              <w:t>(NOTE 2)</w:t>
            </w:r>
          </w:p>
        </w:tc>
        <w:tc>
          <w:tcPr>
            <w:tcW w:w="2410" w:type="dxa"/>
          </w:tcPr>
          <w:p w14:paraId="2BDA7CA3" w14:textId="77777777" w:rsidR="00A10B25" w:rsidRDefault="00A10B25">
            <w:pPr>
              <w:pStyle w:val="TAL"/>
            </w:pPr>
          </w:p>
        </w:tc>
      </w:tr>
      <w:tr w:rsidR="00A10B25" w14:paraId="74F8A4FD" w14:textId="77777777">
        <w:trPr>
          <w:jc w:val="center"/>
        </w:trPr>
        <w:tc>
          <w:tcPr>
            <w:tcW w:w="1702" w:type="dxa"/>
          </w:tcPr>
          <w:p w14:paraId="3EA8A3DD" w14:textId="77777777" w:rsidR="00A10B25" w:rsidRDefault="00A10B25">
            <w:pPr>
              <w:pStyle w:val="TAL"/>
              <w:rPr>
                <w:lang w:eastAsia="zh-CN"/>
              </w:rPr>
            </w:pPr>
            <w:r>
              <w:t>targetNfId</w:t>
            </w:r>
          </w:p>
        </w:tc>
        <w:tc>
          <w:tcPr>
            <w:tcW w:w="1444" w:type="dxa"/>
          </w:tcPr>
          <w:p w14:paraId="66A33052" w14:textId="77777777" w:rsidR="00A10B25" w:rsidRDefault="00A10B25">
            <w:pPr>
              <w:pStyle w:val="TAL"/>
              <w:rPr>
                <w:lang w:eastAsia="zh-CN"/>
              </w:rPr>
            </w:pPr>
            <w:r>
              <w:t>NfInstanceId</w:t>
            </w:r>
          </w:p>
        </w:tc>
        <w:tc>
          <w:tcPr>
            <w:tcW w:w="425" w:type="dxa"/>
          </w:tcPr>
          <w:p w14:paraId="1D81AE3B" w14:textId="77777777" w:rsidR="00A10B25" w:rsidRDefault="00A10B25">
            <w:pPr>
              <w:pStyle w:val="TAC"/>
              <w:rPr>
                <w:lang w:eastAsia="zh-CN"/>
              </w:rPr>
            </w:pPr>
            <w:r>
              <w:t>O</w:t>
            </w:r>
          </w:p>
        </w:tc>
        <w:tc>
          <w:tcPr>
            <w:tcW w:w="1134" w:type="dxa"/>
          </w:tcPr>
          <w:p w14:paraId="1305CB41" w14:textId="77777777" w:rsidR="00A10B25" w:rsidRDefault="00A10B25">
            <w:pPr>
              <w:pStyle w:val="TAL"/>
              <w:rPr>
                <w:lang w:val="el-GR" w:eastAsia="zh-CN"/>
              </w:rPr>
            </w:pPr>
            <w:r>
              <w:rPr>
                <w:lang w:val="el-GR"/>
              </w:rPr>
              <w:t>0..</w:t>
            </w:r>
            <w:r>
              <w:t>1</w:t>
            </w:r>
          </w:p>
        </w:tc>
        <w:tc>
          <w:tcPr>
            <w:tcW w:w="2410" w:type="dxa"/>
          </w:tcPr>
          <w:p w14:paraId="60532A78" w14:textId="77777777" w:rsidR="00A10B25" w:rsidRDefault="00A10B25">
            <w:pPr>
              <w:pStyle w:val="TAL"/>
            </w:pPr>
            <w:r>
              <w:rPr>
                <w:lang w:val="el-GR"/>
              </w:rPr>
              <w:t xml:space="preserve">The </w:t>
            </w:r>
            <w:r>
              <w:t>NF instance identifier from which the NWDAF may collect the requested data.</w:t>
            </w:r>
          </w:p>
          <w:p w14:paraId="71911DB9" w14:textId="77777777" w:rsidR="00A10B25" w:rsidRDefault="00A10B25">
            <w:pPr>
              <w:pStyle w:val="TAL"/>
              <w:rPr>
                <w:lang w:eastAsia="zh-CN"/>
              </w:rPr>
            </w:pPr>
            <w:r>
              <w:t>(NOTE 3)</w:t>
            </w:r>
          </w:p>
        </w:tc>
        <w:tc>
          <w:tcPr>
            <w:tcW w:w="2410" w:type="dxa"/>
          </w:tcPr>
          <w:p w14:paraId="672E4421" w14:textId="77777777" w:rsidR="00A10B25" w:rsidRDefault="00A10B25">
            <w:pPr>
              <w:pStyle w:val="TAL"/>
            </w:pPr>
          </w:p>
        </w:tc>
      </w:tr>
      <w:tr w:rsidR="00A10B25" w14:paraId="63EB0B10" w14:textId="77777777">
        <w:trPr>
          <w:jc w:val="center"/>
        </w:trPr>
        <w:tc>
          <w:tcPr>
            <w:tcW w:w="1702" w:type="dxa"/>
          </w:tcPr>
          <w:p w14:paraId="01DE798C" w14:textId="77777777" w:rsidR="00A10B25" w:rsidRDefault="00A10B25">
            <w:pPr>
              <w:pStyle w:val="TAL"/>
              <w:rPr>
                <w:lang w:eastAsia="zh-CN"/>
              </w:rPr>
            </w:pPr>
            <w:r>
              <w:t>targetNfSetId</w:t>
            </w:r>
          </w:p>
        </w:tc>
        <w:tc>
          <w:tcPr>
            <w:tcW w:w="1444" w:type="dxa"/>
          </w:tcPr>
          <w:p w14:paraId="4EE9983F" w14:textId="77777777" w:rsidR="00A10B25" w:rsidRDefault="00A10B25">
            <w:pPr>
              <w:pStyle w:val="TAL"/>
              <w:rPr>
                <w:lang w:eastAsia="zh-CN"/>
              </w:rPr>
            </w:pPr>
            <w:r>
              <w:t>NfSetId</w:t>
            </w:r>
          </w:p>
        </w:tc>
        <w:tc>
          <w:tcPr>
            <w:tcW w:w="425" w:type="dxa"/>
          </w:tcPr>
          <w:p w14:paraId="72827F0E" w14:textId="77777777" w:rsidR="00A10B25" w:rsidRDefault="00A10B25">
            <w:pPr>
              <w:pStyle w:val="TAC"/>
              <w:rPr>
                <w:lang w:eastAsia="zh-CN"/>
              </w:rPr>
            </w:pPr>
            <w:r>
              <w:t>O</w:t>
            </w:r>
          </w:p>
        </w:tc>
        <w:tc>
          <w:tcPr>
            <w:tcW w:w="1134" w:type="dxa"/>
          </w:tcPr>
          <w:p w14:paraId="13512896" w14:textId="77777777" w:rsidR="00A10B25" w:rsidRDefault="00A10B25">
            <w:pPr>
              <w:pStyle w:val="TAL"/>
              <w:rPr>
                <w:lang w:val="el-GR" w:eastAsia="zh-CN"/>
              </w:rPr>
            </w:pPr>
            <w:r>
              <w:rPr>
                <w:lang w:val="el-GR"/>
              </w:rPr>
              <w:t>0..</w:t>
            </w:r>
            <w:r>
              <w:t>1</w:t>
            </w:r>
          </w:p>
        </w:tc>
        <w:tc>
          <w:tcPr>
            <w:tcW w:w="2410" w:type="dxa"/>
          </w:tcPr>
          <w:p w14:paraId="2B8EB692" w14:textId="77777777" w:rsidR="00A10B25" w:rsidRDefault="00A10B25">
            <w:pPr>
              <w:pStyle w:val="TAL"/>
            </w:pPr>
            <w:r>
              <w:t>NF set identifier from which the NWDAF may collect the requested data.</w:t>
            </w:r>
          </w:p>
          <w:p w14:paraId="1CFEBBBC" w14:textId="77777777" w:rsidR="00A10B25" w:rsidRDefault="00A10B25">
            <w:pPr>
              <w:pStyle w:val="TAL"/>
              <w:rPr>
                <w:lang w:eastAsia="zh-CN"/>
              </w:rPr>
            </w:pPr>
            <w:r>
              <w:t>(NOTE 3)</w:t>
            </w:r>
          </w:p>
        </w:tc>
        <w:tc>
          <w:tcPr>
            <w:tcW w:w="2410" w:type="dxa"/>
          </w:tcPr>
          <w:p w14:paraId="7374D3B7" w14:textId="77777777" w:rsidR="00A10B25" w:rsidRDefault="00A10B25">
            <w:pPr>
              <w:pStyle w:val="TAL"/>
            </w:pPr>
          </w:p>
        </w:tc>
      </w:tr>
      <w:tr w:rsidR="00AC4D38" w14:paraId="3DC1349C" w14:textId="77777777">
        <w:trPr>
          <w:jc w:val="center"/>
        </w:trPr>
        <w:tc>
          <w:tcPr>
            <w:tcW w:w="1702" w:type="dxa"/>
          </w:tcPr>
          <w:p w14:paraId="4B14611E" w14:textId="77777777" w:rsidR="00AC4D38" w:rsidRDefault="00AC4D38" w:rsidP="00AC4D38">
            <w:pPr>
              <w:pStyle w:val="TAL"/>
            </w:pPr>
            <w:r w:rsidRPr="00616BE9">
              <w:t>immReport</w:t>
            </w:r>
          </w:p>
        </w:tc>
        <w:tc>
          <w:tcPr>
            <w:tcW w:w="1444" w:type="dxa"/>
          </w:tcPr>
          <w:p w14:paraId="67DEA2D9" w14:textId="77777777" w:rsidR="00AC4D38" w:rsidRDefault="00AC4D38" w:rsidP="00AC4D38">
            <w:pPr>
              <w:pStyle w:val="TAL"/>
            </w:pPr>
            <w:r w:rsidRPr="00616BE9">
              <w:rPr>
                <w:rFonts w:eastAsia="等线"/>
              </w:rPr>
              <w:t>NnwdafDataManagementNotif</w:t>
            </w:r>
          </w:p>
        </w:tc>
        <w:tc>
          <w:tcPr>
            <w:tcW w:w="425" w:type="dxa"/>
          </w:tcPr>
          <w:p w14:paraId="631A4EB3" w14:textId="77777777" w:rsidR="00AC4D38" w:rsidRDefault="00AC4D38" w:rsidP="00AC4D38">
            <w:pPr>
              <w:pStyle w:val="TAC"/>
            </w:pPr>
            <w:r w:rsidRPr="00616BE9">
              <w:t>O</w:t>
            </w:r>
          </w:p>
        </w:tc>
        <w:tc>
          <w:tcPr>
            <w:tcW w:w="1134" w:type="dxa"/>
          </w:tcPr>
          <w:p w14:paraId="034A0A23" w14:textId="77777777" w:rsidR="00AC4D38" w:rsidRDefault="00AC4D38" w:rsidP="00AC4D38">
            <w:pPr>
              <w:pStyle w:val="TAL"/>
            </w:pPr>
            <w:r>
              <w:t>0..1</w:t>
            </w:r>
          </w:p>
        </w:tc>
        <w:tc>
          <w:tcPr>
            <w:tcW w:w="2410" w:type="dxa"/>
          </w:tcPr>
          <w:p w14:paraId="4A73A3C6" w14:textId="77777777" w:rsidR="00AC4D38" w:rsidRDefault="00AC4D38" w:rsidP="00AC4D38">
            <w:pPr>
              <w:keepNext/>
              <w:keepLines/>
              <w:spacing w:after="0"/>
              <w:rPr>
                <w:rFonts w:ascii="Arial" w:hAnsi="Arial"/>
                <w:sz w:val="18"/>
              </w:rPr>
            </w:pPr>
            <w:r>
              <w:rPr>
                <w:rFonts w:ascii="Arial" w:hAnsi="Arial"/>
                <w:sz w:val="18"/>
              </w:rPr>
              <w:t>Immediately reported roaming data notifications. It may only be provided in the HTTP response of a subscription creation/update and only if the immediate reporting flag was set to "true" in the HTTP request.</w:t>
            </w:r>
          </w:p>
        </w:tc>
        <w:tc>
          <w:tcPr>
            <w:tcW w:w="2410" w:type="dxa"/>
          </w:tcPr>
          <w:p w14:paraId="515ED293" w14:textId="77777777" w:rsidR="00AC4D38" w:rsidRDefault="00AC4D38" w:rsidP="00AC4D38">
            <w:pPr>
              <w:pStyle w:val="TAL"/>
            </w:pPr>
          </w:p>
        </w:tc>
      </w:tr>
      <w:tr w:rsidR="00164A54" w14:paraId="219A1961" w14:textId="77777777">
        <w:trPr>
          <w:jc w:val="center"/>
        </w:trPr>
        <w:tc>
          <w:tcPr>
            <w:tcW w:w="1702" w:type="dxa"/>
          </w:tcPr>
          <w:p w14:paraId="380C0B08" w14:textId="77777777" w:rsidR="00164A54" w:rsidRDefault="00164A54" w:rsidP="00164A54">
            <w:pPr>
              <w:pStyle w:val="TAL"/>
            </w:pPr>
            <w:r>
              <w:t>suppFeat</w:t>
            </w:r>
          </w:p>
        </w:tc>
        <w:tc>
          <w:tcPr>
            <w:tcW w:w="1444" w:type="dxa"/>
          </w:tcPr>
          <w:p w14:paraId="410FFAE3" w14:textId="77777777" w:rsidR="00164A54" w:rsidRDefault="00164A54" w:rsidP="00164A54">
            <w:pPr>
              <w:pStyle w:val="TAL"/>
            </w:pPr>
            <w:r>
              <w:t>SupportedFeatures</w:t>
            </w:r>
          </w:p>
        </w:tc>
        <w:tc>
          <w:tcPr>
            <w:tcW w:w="425" w:type="dxa"/>
          </w:tcPr>
          <w:p w14:paraId="1D18AD29" w14:textId="77777777" w:rsidR="00164A54" w:rsidRDefault="00164A54" w:rsidP="00164A54">
            <w:pPr>
              <w:pStyle w:val="TAC"/>
            </w:pPr>
            <w:r>
              <w:t>C</w:t>
            </w:r>
          </w:p>
        </w:tc>
        <w:tc>
          <w:tcPr>
            <w:tcW w:w="1134" w:type="dxa"/>
          </w:tcPr>
          <w:p w14:paraId="56B7B770" w14:textId="77777777" w:rsidR="00164A54" w:rsidRDefault="00164A54" w:rsidP="00164A54">
            <w:pPr>
              <w:pStyle w:val="TAL"/>
            </w:pPr>
            <w:r>
              <w:t>0..1</w:t>
            </w:r>
          </w:p>
        </w:tc>
        <w:tc>
          <w:tcPr>
            <w:tcW w:w="2410" w:type="dxa"/>
          </w:tcPr>
          <w:p w14:paraId="610530B5" w14:textId="77777777" w:rsidR="00164A54" w:rsidRDefault="00164A54" w:rsidP="00164A54">
            <w:pPr>
              <w:pStyle w:val="TAL"/>
            </w:pPr>
            <w:r>
              <w:t>List of supported features used as described in clause 5.7.8.</w:t>
            </w:r>
          </w:p>
          <w:p w14:paraId="1F2A749C" w14:textId="77777777" w:rsidR="00164A54" w:rsidRDefault="00164A54" w:rsidP="00164A54">
            <w:pPr>
              <w:pStyle w:val="TAL"/>
            </w:pPr>
            <w:r>
              <w:t xml:space="preserve"> </w:t>
            </w:r>
          </w:p>
          <w:p w14:paraId="3AC84AE1" w14:textId="77777777" w:rsidR="00164A54" w:rsidRDefault="00164A54" w:rsidP="00164A54">
            <w:pPr>
              <w:keepNext/>
              <w:keepLines/>
              <w:spacing w:after="0"/>
              <w:rPr>
                <w:rFonts w:ascii="Arial" w:hAnsi="Arial"/>
                <w:sz w:val="18"/>
              </w:rPr>
            </w:pPr>
            <w:r>
              <w:rPr>
                <w:rFonts w:ascii="Arial" w:hAnsi="Arial"/>
                <w:sz w:val="18"/>
              </w:rPr>
              <w:t>This attribute shall be present when feature negotiation needs to take place.</w:t>
            </w:r>
          </w:p>
        </w:tc>
        <w:tc>
          <w:tcPr>
            <w:tcW w:w="2410" w:type="dxa"/>
          </w:tcPr>
          <w:p w14:paraId="30ED7B25" w14:textId="77777777" w:rsidR="00164A54" w:rsidRDefault="00164A54" w:rsidP="00164A54">
            <w:pPr>
              <w:pStyle w:val="TAL"/>
            </w:pPr>
          </w:p>
        </w:tc>
      </w:tr>
      <w:tr w:rsidR="00A10B25" w14:paraId="3D010A92" w14:textId="77777777">
        <w:trPr>
          <w:jc w:val="center"/>
        </w:trPr>
        <w:tc>
          <w:tcPr>
            <w:tcW w:w="9525" w:type="dxa"/>
            <w:gridSpan w:val="6"/>
          </w:tcPr>
          <w:p w14:paraId="2FCC5709" w14:textId="77777777" w:rsidR="00A10B25" w:rsidRDefault="00A10B25">
            <w:pPr>
              <w:pStyle w:val="TAL"/>
            </w:pPr>
            <w:r>
              <w:t>NOTE 1:</w:t>
            </w:r>
            <w:r>
              <w:tab/>
              <w:t>One of these attributes shall be provided.</w:t>
            </w:r>
          </w:p>
          <w:p w14:paraId="4D33C1F8" w14:textId="77777777" w:rsidR="00A10B25" w:rsidRDefault="00A10B25">
            <w:pPr>
              <w:pStyle w:val="TAN"/>
            </w:pPr>
            <w:r>
              <w:t>NOTE 2:</w:t>
            </w:r>
            <w:r>
              <w:tab/>
              <w:t>It includes the time period either in the past or in the future (i.e., start time as past time and stop time as future time is not allowed).</w:t>
            </w:r>
          </w:p>
          <w:p w14:paraId="55A52ECB" w14:textId="77777777" w:rsidR="00A10B25" w:rsidRDefault="00A10B25">
            <w:pPr>
              <w:pStyle w:val="TAL"/>
            </w:pPr>
            <w:r>
              <w:t>NOTE 3:</w:t>
            </w:r>
            <w:r>
              <w:tab/>
              <w:t>The "targetNfId" and "targetNfSetId" attributes are mutually exclusive.</w:t>
            </w:r>
          </w:p>
        </w:tc>
      </w:tr>
    </w:tbl>
    <w:p w14:paraId="6BFF614C" w14:textId="77777777" w:rsidR="00A10B25" w:rsidRDefault="00A10B25">
      <w:pPr>
        <w:rPr>
          <w:lang w:eastAsia="zh-CN"/>
        </w:rPr>
      </w:pPr>
    </w:p>
    <w:p w14:paraId="3F448DC8" w14:textId="77777777" w:rsidR="00A10B25" w:rsidRDefault="00A10B25">
      <w:pPr>
        <w:pStyle w:val="3"/>
        <w:rPr>
          <w:lang w:val="en-US"/>
        </w:rPr>
      </w:pPr>
      <w:bookmarkStart w:id="16191" w:name="_Toc164921243"/>
      <w:bookmarkStart w:id="16192" w:name="_Toc170120785"/>
      <w:bookmarkStart w:id="16193" w:name="_Toc175859030"/>
      <w:bookmarkStart w:id="16194" w:name="_Toc175860103"/>
      <w:bookmarkStart w:id="16195" w:name="_Toc180606393"/>
      <w:bookmarkStart w:id="16196" w:name="_Toc185517654"/>
      <w:bookmarkStart w:id="16197" w:name="_Toc191576706"/>
      <w:bookmarkStart w:id="16198" w:name="_Toc191577446"/>
      <w:bookmarkStart w:id="16199" w:name="_Toc192880516"/>
      <w:bookmarkStart w:id="16200" w:name="_Toc195815405"/>
      <w:bookmarkStart w:id="16201" w:name="_Toc199453372"/>
      <w:r>
        <w:rPr>
          <w:lang w:val="en-US"/>
        </w:rPr>
        <w:lastRenderedPageBreak/>
        <w:t>5.7.7</w:t>
      </w:r>
      <w:r>
        <w:rPr>
          <w:lang w:val="en-US"/>
        </w:rPr>
        <w:tab/>
        <w:t>Error handling</w:t>
      </w:r>
      <w:bookmarkEnd w:id="16191"/>
      <w:bookmarkEnd w:id="16192"/>
      <w:bookmarkEnd w:id="16193"/>
      <w:bookmarkEnd w:id="16194"/>
      <w:bookmarkEnd w:id="16195"/>
      <w:bookmarkEnd w:id="16196"/>
      <w:bookmarkEnd w:id="16197"/>
      <w:bookmarkEnd w:id="16198"/>
      <w:bookmarkEnd w:id="16199"/>
      <w:bookmarkEnd w:id="16200"/>
      <w:bookmarkEnd w:id="16201"/>
    </w:p>
    <w:p w14:paraId="43FFFE28" w14:textId="77777777" w:rsidR="00A10B25" w:rsidRDefault="00A10B25">
      <w:pPr>
        <w:pStyle w:val="4"/>
      </w:pPr>
      <w:bookmarkStart w:id="16202" w:name="_Toc164921244"/>
      <w:bookmarkStart w:id="16203" w:name="_Toc170120786"/>
      <w:bookmarkStart w:id="16204" w:name="_Toc175859031"/>
      <w:bookmarkStart w:id="16205" w:name="_Toc175860104"/>
      <w:bookmarkStart w:id="16206" w:name="_Toc180606394"/>
      <w:bookmarkStart w:id="16207" w:name="_Toc185517655"/>
      <w:bookmarkStart w:id="16208" w:name="_Toc191576707"/>
      <w:bookmarkStart w:id="16209" w:name="_Toc191577447"/>
      <w:bookmarkStart w:id="16210" w:name="_Toc192880517"/>
      <w:bookmarkStart w:id="16211" w:name="_Toc195815406"/>
      <w:bookmarkStart w:id="16212" w:name="_Toc199453373"/>
      <w:r>
        <w:t>5.7.7.1</w:t>
      </w:r>
      <w:r>
        <w:tab/>
        <w:t>General</w:t>
      </w:r>
      <w:bookmarkEnd w:id="16202"/>
      <w:bookmarkEnd w:id="16203"/>
      <w:bookmarkEnd w:id="16204"/>
      <w:bookmarkEnd w:id="16205"/>
      <w:bookmarkEnd w:id="16206"/>
      <w:bookmarkEnd w:id="16207"/>
      <w:bookmarkEnd w:id="16208"/>
      <w:bookmarkEnd w:id="16209"/>
      <w:bookmarkEnd w:id="16210"/>
      <w:bookmarkEnd w:id="16211"/>
      <w:bookmarkEnd w:id="16212"/>
    </w:p>
    <w:p w14:paraId="4EC62FD4" w14:textId="77777777" w:rsidR="00A10B25" w:rsidRDefault="00A10B25">
      <w:pPr>
        <w:rPr>
          <w:rFonts w:eastAsia="Batang"/>
        </w:rPr>
      </w:pPr>
      <w:r>
        <w:rPr>
          <w:rFonts w:eastAsia="Batang"/>
        </w:rPr>
        <w:t>HTTP error handling shall be supported as specified in clause 5.2.4 of TS 29.500 [6].</w:t>
      </w:r>
    </w:p>
    <w:p w14:paraId="2425B60D" w14:textId="77777777" w:rsidR="00A10B25" w:rsidRDefault="00A10B25">
      <w:pPr>
        <w:rPr>
          <w:rFonts w:eastAsia="Batang"/>
        </w:rPr>
      </w:pPr>
      <w:r>
        <w:rPr>
          <w:rFonts w:eastAsia="Batang"/>
        </w:rPr>
        <w:t xml:space="preserve">For the </w:t>
      </w:r>
      <w:r>
        <w:rPr>
          <w:lang w:eastAsia="ja-JP"/>
        </w:rPr>
        <w:t>Nnwdaf_RoamingData</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55C5E8FD" w14:textId="77777777" w:rsidR="00A10B25" w:rsidRDefault="00A10B25">
      <w:pPr>
        <w:pStyle w:val="4"/>
      </w:pPr>
      <w:bookmarkStart w:id="16213" w:name="_Toc164921245"/>
      <w:bookmarkStart w:id="16214" w:name="_Toc170120787"/>
      <w:bookmarkStart w:id="16215" w:name="_Toc175859032"/>
      <w:bookmarkStart w:id="16216" w:name="_Toc175860105"/>
      <w:bookmarkStart w:id="16217" w:name="_Toc180606395"/>
      <w:bookmarkStart w:id="16218" w:name="_Toc185517656"/>
      <w:bookmarkStart w:id="16219" w:name="_Toc191576708"/>
      <w:bookmarkStart w:id="16220" w:name="_Toc191577448"/>
      <w:bookmarkStart w:id="16221" w:name="_Toc192880518"/>
      <w:bookmarkStart w:id="16222" w:name="_Toc195815407"/>
      <w:bookmarkStart w:id="16223" w:name="_Toc199453374"/>
      <w:r>
        <w:t>5.7.7.2</w:t>
      </w:r>
      <w:r>
        <w:tab/>
        <w:t>Protocol Errors</w:t>
      </w:r>
      <w:bookmarkEnd w:id="16213"/>
      <w:bookmarkEnd w:id="16214"/>
      <w:bookmarkEnd w:id="16215"/>
      <w:bookmarkEnd w:id="16216"/>
      <w:bookmarkEnd w:id="16217"/>
      <w:bookmarkEnd w:id="16218"/>
      <w:bookmarkEnd w:id="16219"/>
      <w:bookmarkEnd w:id="16220"/>
      <w:bookmarkEnd w:id="16221"/>
      <w:bookmarkEnd w:id="16222"/>
      <w:bookmarkEnd w:id="16223"/>
    </w:p>
    <w:p w14:paraId="24880AB4"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Nnwdaf_RoamingData</w:t>
      </w:r>
      <w:r>
        <w:rPr>
          <w:rFonts w:eastAsia="Batang"/>
        </w:rPr>
        <w:t xml:space="preserve"> API.</w:t>
      </w:r>
    </w:p>
    <w:p w14:paraId="120F583C" w14:textId="77777777" w:rsidR="003E1F9F" w:rsidRPr="00F710E9" w:rsidRDefault="003E1F9F" w:rsidP="003E1F9F">
      <w:pPr>
        <w:keepNext/>
        <w:keepLines/>
        <w:spacing w:before="120"/>
        <w:ind w:left="1418" w:hanging="1418"/>
        <w:outlineLvl w:val="3"/>
        <w:rPr>
          <w:rFonts w:ascii="Arial" w:eastAsia="Batang" w:hAnsi="Arial"/>
          <w:sz w:val="28"/>
        </w:rPr>
      </w:pPr>
      <w:r w:rsidRPr="00F710E9">
        <w:rPr>
          <w:rFonts w:ascii="Arial" w:hAnsi="Arial"/>
          <w:sz w:val="24"/>
        </w:rPr>
        <w:t>5.7.7.3</w:t>
      </w:r>
      <w:r w:rsidRPr="00F710E9">
        <w:rPr>
          <w:rFonts w:ascii="Arial" w:hAnsi="Arial"/>
          <w:sz w:val="24"/>
        </w:rPr>
        <w:tab/>
        <w:t>Application Errors</w:t>
      </w:r>
    </w:p>
    <w:p w14:paraId="71B8BC27" w14:textId="77777777" w:rsidR="003E1F9F" w:rsidRPr="00F710E9" w:rsidRDefault="003E1F9F" w:rsidP="003E1F9F">
      <w:pPr>
        <w:rPr>
          <w:rFonts w:eastAsia="Batang"/>
        </w:rPr>
      </w:pPr>
      <w:r w:rsidRPr="00F710E9">
        <w:rPr>
          <w:rFonts w:eastAsia="Batang"/>
        </w:rPr>
        <w:t xml:space="preserve">The application errors defined for the </w:t>
      </w:r>
      <w:r w:rsidRPr="00F710E9">
        <w:rPr>
          <w:lang w:eastAsia="ja-JP"/>
        </w:rPr>
        <w:t>Nnwdaf_RoamingData</w:t>
      </w:r>
      <w:r w:rsidRPr="00F710E9">
        <w:rPr>
          <w:rFonts w:eastAsia="Batang"/>
        </w:rPr>
        <w:t xml:space="preserve"> API are listed in table 5.7.7.3-1.</w:t>
      </w:r>
    </w:p>
    <w:p w14:paraId="57171383" w14:textId="77777777" w:rsidR="003E1F9F" w:rsidRPr="00F710E9" w:rsidRDefault="003E1F9F" w:rsidP="003E1F9F">
      <w:pPr>
        <w:keepNext/>
        <w:keepLines/>
        <w:spacing w:before="60"/>
        <w:jc w:val="center"/>
        <w:rPr>
          <w:rFonts w:ascii="Arial" w:hAnsi="Arial"/>
          <w:b/>
        </w:rPr>
      </w:pPr>
      <w:r w:rsidRPr="00F710E9">
        <w:rPr>
          <w:rFonts w:ascii="Arial" w:hAnsi="Arial"/>
          <w:b/>
        </w:rPr>
        <w:t>Table 5.7.7.3-1: Application errors</w:t>
      </w:r>
    </w:p>
    <w:tbl>
      <w:tblPr>
        <w:tblW w:w="9639"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49"/>
        <w:gridCol w:w="1828"/>
        <w:gridCol w:w="2552"/>
        <w:gridCol w:w="2410"/>
      </w:tblGrid>
      <w:tr w:rsidR="003E1F9F" w:rsidRPr="00F710E9" w14:paraId="3F7145BF" w14:textId="77777777" w:rsidTr="005A20DD">
        <w:trPr>
          <w:cantSplit/>
          <w:jc w:val="center"/>
        </w:trPr>
        <w:tc>
          <w:tcPr>
            <w:tcW w:w="2849" w:type="dxa"/>
            <w:shd w:val="clear" w:color="auto" w:fill="C0C0C0"/>
          </w:tcPr>
          <w:p w14:paraId="2B545F6F"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Application Error</w:t>
            </w:r>
          </w:p>
        </w:tc>
        <w:tc>
          <w:tcPr>
            <w:tcW w:w="1828" w:type="dxa"/>
            <w:shd w:val="clear" w:color="auto" w:fill="C0C0C0"/>
          </w:tcPr>
          <w:p w14:paraId="5EDDECC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HTTP status code</w:t>
            </w:r>
          </w:p>
        </w:tc>
        <w:tc>
          <w:tcPr>
            <w:tcW w:w="2552" w:type="dxa"/>
            <w:shd w:val="clear" w:color="auto" w:fill="C0C0C0"/>
          </w:tcPr>
          <w:p w14:paraId="02D27F9E" w14:textId="77777777" w:rsidR="003E1F9F" w:rsidRPr="00F710E9" w:rsidRDefault="003E1F9F" w:rsidP="005A20DD">
            <w:pPr>
              <w:keepNext/>
              <w:keepLines/>
              <w:spacing w:after="0"/>
              <w:ind w:left="400" w:hanging="400"/>
              <w:jc w:val="center"/>
              <w:rPr>
                <w:rFonts w:ascii="Arial" w:hAnsi="Arial"/>
                <w:b/>
                <w:sz w:val="18"/>
              </w:rPr>
            </w:pPr>
            <w:r w:rsidRPr="00F710E9">
              <w:rPr>
                <w:rFonts w:ascii="Arial" w:hAnsi="Arial"/>
                <w:b/>
                <w:sz w:val="18"/>
              </w:rPr>
              <w:t>Description</w:t>
            </w:r>
          </w:p>
        </w:tc>
        <w:tc>
          <w:tcPr>
            <w:tcW w:w="2410" w:type="dxa"/>
            <w:shd w:val="clear" w:color="auto" w:fill="C0C0C0"/>
          </w:tcPr>
          <w:p w14:paraId="60768FA3" w14:textId="77777777" w:rsidR="003E1F9F" w:rsidRPr="00F710E9" w:rsidRDefault="003E1F9F" w:rsidP="005A20DD">
            <w:pPr>
              <w:keepNext/>
              <w:keepLines/>
              <w:spacing w:after="0"/>
              <w:ind w:left="400" w:hanging="400"/>
              <w:jc w:val="center"/>
              <w:rPr>
                <w:rFonts w:ascii="Arial" w:hAnsi="Arial"/>
                <w:b/>
                <w:sz w:val="18"/>
              </w:rPr>
            </w:pPr>
            <w:r>
              <w:rPr>
                <w:rFonts w:ascii="Arial" w:hAnsi="Arial"/>
                <w:b/>
                <w:sz w:val="18"/>
              </w:rPr>
              <w:t>Applicability</w:t>
            </w:r>
          </w:p>
        </w:tc>
      </w:tr>
      <w:tr w:rsidR="003E1F9F" w:rsidRPr="00F710E9" w14:paraId="548807A7" w14:textId="77777777" w:rsidTr="005A20DD">
        <w:trPr>
          <w:cantSplit/>
          <w:jc w:val="center"/>
        </w:trPr>
        <w:tc>
          <w:tcPr>
            <w:tcW w:w="2849" w:type="dxa"/>
          </w:tcPr>
          <w:p w14:paraId="778D7F95" w14:textId="77777777" w:rsidR="003E1F9F" w:rsidRPr="00F710E9" w:rsidRDefault="003E1F9F" w:rsidP="005A20DD">
            <w:pPr>
              <w:keepNext/>
              <w:keepLines/>
              <w:spacing w:after="0"/>
              <w:rPr>
                <w:rFonts w:ascii="Arial" w:hAnsi="Arial"/>
                <w:sz w:val="18"/>
              </w:rPr>
            </w:pPr>
            <w:r>
              <w:rPr>
                <w:rFonts w:ascii="Arial" w:hAnsi="Arial"/>
                <w:sz w:val="18"/>
              </w:rPr>
              <w:t>MISSING_ROAMING_AGREEMENT</w:t>
            </w:r>
          </w:p>
        </w:tc>
        <w:tc>
          <w:tcPr>
            <w:tcW w:w="1828" w:type="dxa"/>
          </w:tcPr>
          <w:p w14:paraId="0A64771C" w14:textId="77777777" w:rsidR="003E1F9F" w:rsidRPr="00F710E9" w:rsidRDefault="003E1F9F" w:rsidP="005A20DD">
            <w:pPr>
              <w:keepNext/>
              <w:keepLines/>
              <w:spacing w:after="0"/>
              <w:rPr>
                <w:rFonts w:ascii="Arial" w:hAnsi="Arial"/>
                <w:sz w:val="18"/>
              </w:rPr>
            </w:pPr>
            <w:r>
              <w:rPr>
                <w:rFonts w:ascii="Arial" w:hAnsi="Arial"/>
                <w:sz w:val="18"/>
              </w:rPr>
              <w:t>403 Forbidden</w:t>
            </w:r>
          </w:p>
        </w:tc>
        <w:tc>
          <w:tcPr>
            <w:tcW w:w="2552" w:type="dxa"/>
          </w:tcPr>
          <w:p w14:paraId="4B3A29F0" w14:textId="77777777" w:rsidR="003E1F9F" w:rsidRPr="00F710E9" w:rsidRDefault="003E1F9F" w:rsidP="005A20DD">
            <w:pPr>
              <w:keepNext/>
              <w:keepLines/>
              <w:spacing w:after="0"/>
              <w:rPr>
                <w:rFonts w:ascii="Arial" w:hAnsi="Arial"/>
                <w:sz w:val="18"/>
              </w:rPr>
            </w:pPr>
            <w:r>
              <w:rPr>
                <w:rFonts w:ascii="Arial" w:hAnsi="Arial"/>
                <w:sz w:val="18"/>
              </w:rPr>
              <w:t>Missing the corresponding roaming agreement to satisfy the request.</w:t>
            </w:r>
          </w:p>
        </w:tc>
        <w:tc>
          <w:tcPr>
            <w:tcW w:w="2410" w:type="dxa"/>
          </w:tcPr>
          <w:p w14:paraId="1167C1F1" w14:textId="77777777" w:rsidR="003E1F9F" w:rsidRDefault="003E1F9F" w:rsidP="005A20DD">
            <w:pPr>
              <w:keepNext/>
              <w:keepLines/>
              <w:spacing w:after="0"/>
              <w:rPr>
                <w:rFonts w:ascii="Arial" w:hAnsi="Arial"/>
                <w:sz w:val="18"/>
              </w:rPr>
            </w:pPr>
          </w:p>
        </w:tc>
      </w:tr>
    </w:tbl>
    <w:p w14:paraId="019A67FD" w14:textId="77777777" w:rsidR="00A10B25" w:rsidRPr="003E1F9F" w:rsidRDefault="00A10B25">
      <w:pPr>
        <w:rPr>
          <w:lang w:eastAsia="zh-CN"/>
        </w:rPr>
      </w:pPr>
    </w:p>
    <w:p w14:paraId="1B9411FB" w14:textId="77777777" w:rsidR="00A10B25" w:rsidRDefault="00A10B25">
      <w:pPr>
        <w:pStyle w:val="3"/>
        <w:rPr>
          <w:lang w:eastAsia="zh-CN"/>
        </w:rPr>
      </w:pPr>
      <w:bookmarkStart w:id="16224" w:name="_Toc164921246"/>
      <w:bookmarkStart w:id="16225" w:name="_Toc170120788"/>
      <w:bookmarkStart w:id="16226" w:name="_Toc175859033"/>
      <w:bookmarkStart w:id="16227" w:name="_Toc175860106"/>
      <w:bookmarkStart w:id="16228" w:name="_Toc180606396"/>
      <w:bookmarkStart w:id="16229" w:name="_Toc185517657"/>
      <w:bookmarkStart w:id="16230" w:name="_Toc191576709"/>
      <w:bookmarkStart w:id="16231" w:name="_Toc191577449"/>
      <w:bookmarkStart w:id="16232" w:name="_Toc192880519"/>
      <w:bookmarkStart w:id="16233" w:name="_Toc195815408"/>
      <w:bookmarkStart w:id="16234" w:name="_Toc199453375"/>
      <w:r>
        <w:rPr>
          <w:lang w:val="en-US"/>
        </w:rPr>
        <w:t>5.7</w:t>
      </w:r>
      <w:r>
        <w:rPr>
          <w:rFonts w:hint="eastAsia"/>
          <w:lang w:val="en-US"/>
        </w:rPr>
        <w:t>.</w:t>
      </w:r>
      <w:r>
        <w:rPr>
          <w:lang w:val="en-US"/>
        </w:rPr>
        <w:t>8</w:t>
      </w:r>
      <w:r>
        <w:rPr>
          <w:rFonts w:hint="eastAsia"/>
          <w:lang w:val="en-US"/>
        </w:rPr>
        <w:tab/>
      </w:r>
      <w:r>
        <w:rPr>
          <w:lang w:val="en-US"/>
        </w:rPr>
        <w:t>Feature negotiation</w:t>
      </w:r>
      <w:bookmarkEnd w:id="16224"/>
      <w:bookmarkEnd w:id="16225"/>
      <w:bookmarkEnd w:id="16226"/>
      <w:bookmarkEnd w:id="16227"/>
      <w:bookmarkEnd w:id="16228"/>
      <w:bookmarkEnd w:id="16229"/>
      <w:bookmarkEnd w:id="16230"/>
      <w:bookmarkEnd w:id="16231"/>
      <w:bookmarkEnd w:id="16232"/>
      <w:bookmarkEnd w:id="16233"/>
      <w:bookmarkEnd w:id="16234"/>
    </w:p>
    <w:p w14:paraId="1A827F16" w14:textId="77777777" w:rsidR="00A10B25" w:rsidRDefault="00A10B25">
      <w:pPr>
        <w:rPr>
          <w:rFonts w:eastAsia="Batang"/>
        </w:rPr>
      </w:pPr>
      <w:r>
        <w:rPr>
          <w:rFonts w:eastAsia="Batang"/>
        </w:rPr>
        <w:t xml:space="preserve">The optional features in table 5.7.8-1 are defined for the </w:t>
      </w:r>
      <w:r>
        <w:rPr>
          <w:lang w:eastAsia="ja-JP"/>
        </w:rPr>
        <w:t>Nnwdaf_RoamingData</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1B52371D" w14:textId="77777777" w:rsidR="00A10B25" w:rsidRDefault="00A10B25">
      <w:pPr>
        <w:pStyle w:val="TH"/>
      </w:pPr>
      <w:r>
        <w:t>Table 5.7.8-1: Supported Features</w:t>
      </w:r>
    </w:p>
    <w:tbl>
      <w:tblPr>
        <w:tblW w:w="949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6759F0C2" w14:textId="77777777">
        <w:trPr>
          <w:jc w:val="center"/>
        </w:trPr>
        <w:tc>
          <w:tcPr>
            <w:tcW w:w="1525" w:type="dxa"/>
            <w:shd w:val="clear" w:color="auto" w:fill="C0C0C0"/>
          </w:tcPr>
          <w:p w14:paraId="3C1913A3" w14:textId="77777777" w:rsidR="00A10B25" w:rsidRDefault="00A10B25">
            <w:pPr>
              <w:pStyle w:val="TAH"/>
              <w:ind w:left="400" w:hanging="400"/>
            </w:pPr>
            <w:r>
              <w:t>Feature number</w:t>
            </w:r>
          </w:p>
        </w:tc>
        <w:tc>
          <w:tcPr>
            <w:tcW w:w="2237" w:type="dxa"/>
            <w:shd w:val="clear" w:color="auto" w:fill="C0C0C0"/>
          </w:tcPr>
          <w:p w14:paraId="291329F9" w14:textId="77777777" w:rsidR="00A10B25" w:rsidRDefault="00A10B25">
            <w:pPr>
              <w:pStyle w:val="TAH"/>
              <w:ind w:left="400" w:hanging="400"/>
            </w:pPr>
            <w:r>
              <w:t>Feature Name</w:t>
            </w:r>
          </w:p>
        </w:tc>
        <w:tc>
          <w:tcPr>
            <w:tcW w:w="5732" w:type="dxa"/>
            <w:shd w:val="clear" w:color="auto" w:fill="C0C0C0"/>
          </w:tcPr>
          <w:p w14:paraId="5F3DF7D8" w14:textId="77777777" w:rsidR="00A10B25" w:rsidRDefault="00A10B25">
            <w:pPr>
              <w:pStyle w:val="TAH"/>
              <w:ind w:left="400" w:hanging="400"/>
            </w:pPr>
            <w:r>
              <w:t>Description</w:t>
            </w:r>
          </w:p>
        </w:tc>
      </w:tr>
      <w:tr w:rsidR="00A10B25" w14:paraId="49AC2C1D" w14:textId="77777777">
        <w:trPr>
          <w:jc w:val="center"/>
        </w:trPr>
        <w:tc>
          <w:tcPr>
            <w:tcW w:w="1525" w:type="dxa"/>
          </w:tcPr>
          <w:p w14:paraId="007633C6" w14:textId="77777777" w:rsidR="00A10B25" w:rsidRDefault="00A10B25">
            <w:pPr>
              <w:pStyle w:val="TAL"/>
            </w:pPr>
          </w:p>
        </w:tc>
        <w:tc>
          <w:tcPr>
            <w:tcW w:w="2237" w:type="dxa"/>
          </w:tcPr>
          <w:p w14:paraId="51ACD89E" w14:textId="77777777" w:rsidR="00A10B25" w:rsidRDefault="00A10B25">
            <w:pPr>
              <w:pStyle w:val="TAL"/>
            </w:pPr>
          </w:p>
        </w:tc>
        <w:tc>
          <w:tcPr>
            <w:tcW w:w="5732" w:type="dxa"/>
          </w:tcPr>
          <w:p w14:paraId="6EFF0D3F" w14:textId="77777777" w:rsidR="00A10B25" w:rsidRDefault="00A10B25">
            <w:pPr>
              <w:pStyle w:val="TAL"/>
              <w:rPr>
                <w:rFonts w:cs="Arial"/>
                <w:szCs w:val="18"/>
              </w:rPr>
            </w:pPr>
          </w:p>
        </w:tc>
      </w:tr>
    </w:tbl>
    <w:p w14:paraId="6D2522AF" w14:textId="77777777" w:rsidR="00A10B25" w:rsidRDefault="00A10B25">
      <w:pPr>
        <w:rPr>
          <w:lang w:val="en-US" w:eastAsia="zh-CN"/>
        </w:rPr>
      </w:pPr>
    </w:p>
    <w:p w14:paraId="44B07EB9" w14:textId="77777777" w:rsidR="00A10B25" w:rsidRDefault="00A10B25">
      <w:pPr>
        <w:pStyle w:val="3"/>
        <w:rPr>
          <w:lang w:val="en-US"/>
        </w:rPr>
      </w:pPr>
      <w:bookmarkStart w:id="16235" w:name="_Toc164921247"/>
      <w:bookmarkStart w:id="16236" w:name="_Toc170120789"/>
      <w:bookmarkStart w:id="16237" w:name="_Toc175859034"/>
      <w:bookmarkStart w:id="16238" w:name="_Toc175860107"/>
      <w:bookmarkStart w:id="16239" w:name="_Toc180606397"/>
      <w:bookmarkStart w:id="16240" w:name="_Toc185517658"/>
      <w:bookmarkStart w:id="16241" w:name="_Toc191576710"/>
      <w:bookmarkStart w:id="16242" w:name="_Toc191577450"/>
      <w:bookmarkStart w:id="16243" w:name="_Toc192880520"/>
      <w:bookmarkStart w:id="16244" w:name="_Toc195815409"/>
      <w:bookmarkStart w:id="16245" w:name="_Toc199453376"/>
      <w:r>
        <w:rPr>
          <w:lang w:val="en-US"/>
        </w:rPr>
        <w:t>5.7.9</w:t>
      </w:r>
      <w:r>
        <w:rPr>
          <w:lang w:val="en-US"/>
        </w:rPr>
        <w:tab/>
        <w:t>Security</w:t>
      </w:r>
      <w:bookmarkEnd w:id="16235"/>
      <w:bookmarkEnd w:id="16236"/>
      <w:bookmarkEnd w:id="16237"/>
      <w:bookmarkEnd w:id="16238"/>
      <w:bookmarkEnd w:id="16239"/>
      <w:bookmarkEnd w:id="16240"/>
      <w:bookmarkEnd w:id="16241"/>
      <w:bookmarkEnd w:id="16242"/>
      <w:bookmarkEnd w:id="16243"/>
      <w:bookmarkEnd w:id="16244"/>
      <w:bookmarkEnd w:id="16245"/>
    </w:p>
    <w:p w14:paraId="41FA4F75" w14:textId="77777777" w:rsidR="00A10B25" w:rsidRDefault="00A10B25">
      <w:pPr>
        <w:rPr>
          <w:rFonts w:eastAsia="等线"/>
        </w:rPr>
      </w:pPr>
      <w:r>
        <w:rPr>
          <w:rFonts w:eastAsia="等线"/>
        </w:rPr>
        <w:t xml:space="preserve">As indicated in TS 33.501 [13] and TS 29.500 [6], the access to the </w:t>
      </w:r>
      <w:r>
        <w:rPr>
          <w:lang w:eastAsia="ja-JP"/>
        </w:rPr>
        <w:t>Nnwdaf_RoamingData</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3AC70396" w14:textId="77777777" w:rsidR="00A10B25" w:rsidRDefault="00A10B25">
      <w:pPr>
        <w:rPr>
          <w:rFonts w:eastAsia="等线"/>
        </w:rPr>
      </w:pPr>
      <w:r>
        <w:rPr>
          <w:rFonts w:eastAsia="等线"/>
        </w:rPr>
        <w:t xml:space="preserve">If OAuth2 is used, an NF service consumer, prior to consuming services offered by the </w:t>
      </w:r>
      <w:r>
        <w:rPr>
          <w:lang w:eastAsia="ja-JP"/>
        </w:rPr>
        <w:t>Nnwdaf_RoamingData</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7FE1614A" w14:textId="77777777" w:rsidR="00A10B25" w:rsidRDefault="00A10B25">
      <w:pPr>
        <w:pStyle w:val="NO"/>
      </w:pPr>
      <w:r>
        <w:t>NOTE:</w:t>
      </w:r>
      <w:r>
        <w:tab/>
        <w:t xml:space="preserve">When multiple NRFs are deployed in a network, the NRF used as authorization server is the same NRF that the NF service consumer used for discovering the </w:t>
      </w:r>
      <w:r>
        <w:rPr>
          <w:lang w:eastAsia="ja-JP"/>
        </w:rPr>
        <w:t>Nnwdaf_RoamingData</w:t>
      </w:r>
      <w:r>
        <w:t xml:space="preserve"> service.</w:t>
      </w:r>
    </w:p>
    <w:p w14:paraId="045E3EE2" w14:textId="77777777" w:rsidR="00A10B25" w:rsidRDefault="00A10B25">
      <w:pPr>
        <w:rPr>
          <w:rFonts w:eastAsia="等线"/>
          <w:lang w:val="en-US"/>
        </w:rPr>
      </w:pPr>
      <w:r>
        <w:rPr>
          <w:rFonts w:eastAsia="等线"/>
          <w:lang w:val="en-US"/>
        </w:rPr>
        <w:t xml:space="preserve">The </w:t>
      </w:r>
      <w:r>
        <w:rPr>
          <w:lang w:eastAsia="ja-JP"/>
        </w:rPr>
        <w:t>Nnwdaf_RoamingData</w:t>
      </w:r>
      <w:r>
        <w:rPr>
          <w:rFonts w:eastAsia="等线"/>
          <w:lang w:val="en-US" w:eastAsia="zh-CN"/>
        </w:rPr>
        <w:t xml:space="preserve"> </w:t>
      </w:r>
      <w:r>
        <w:rPr>
          <w:rFonts w:eastAsia="等线"/>
          <w:lang w:val="en-US"/>
        </w:rPr>
        <w:t>API defines a single scope "nnwdaf-roamingdata" for the entire service, and it does not define any additional scopes at resource or operation level.</w:t>
      </w:r>
    </w:p>
    <w:p w14:paraId="2E9F2644" w14:textId="77777777" w:rsidR="00A10B25" w:rsidRDefault="00A10B25">
      <w:pPr>
        <w:pStyle w:val="2"/>
      </w:pPr>
      <w:bookmarkStart w:id="16246" w:name="_Toc164921248"/>
      <w:bookmarkStart w:id="16247" w:name="_Toc170120790"/>
      <w:bookmarkStart w:id="16248" w:name="_Toc175859035"/>
      <w:bookmarkStart w:id="16249" w:name="_Toc175860108"/>
      <w:bookmarkStart w:id="16250" w:name="_Toc180606398"/>
      <w:bookmarkStart w:id="16251" w:name="_Toc185517659"/>
      <w:bookmarkStart w:id="16252" w:name="_Toc191576711"/>
      <w:bookmarkStart w:id="16253" w:name="_Toc191577451"/>
      <w:bookmarkStart w:id="16254" w:name="_Toc192880521"/>
      <w:bookmarkStart w:id="16255" w:name="_Toc195815410"/>
      <w:bookmarkStart w:id="16256" w:name="_Toc199453377"/>
      <w:r>
        <w:rPr>
          <w:lang w:eastAsia="zh-CN"/>
        </w:rPr>
        <w:lastRenderedPageBreak/>
        <w:t>5.8</w:t>
      </w:r>
      <w:r>
        <w:tab/>
      </w:r>
      <w:r>
        <w:rPr>
          <w:lang w:eastAsia="ja-JP"/>
        </w:rPr>
        <w:t xml:space="preserve">Nnwdaf_RoamingAnalytics </w:t>
      </w:r>
      <w:r>
        <w:t>Service API</w:t>
      </w:r>
      <w:bookmarkEnd w:id="16246"/>
      <w:bookmarkEnd w:id="16247"/>
      <w:bookmarkEnd w:id="16248"/>
      <w:bookmarkEnd w:id="16249"/>
      <w:bookmarkEnd w:id="16250"/>
      <w:bookmarkEnd w:id="16251"/>
      <w:bookmarkEnd w:id="16252"/>
      <w:bookmarkEnd w:id="16253"/>
      <w:bookmarkEnd w:id="16254"/>
      <w:bookmarkEnd w:id="16255"/>
      <w:bookmarkEnd w:id="16256"/>
    </w:p>
    <w:p w14:paraId="2A8BC117" w14:textId="77777777" w:rsidR="00A10B25" w:rsidRDefault="00A10B25">
      <w:pPr>
        <w:pStyle w:val="3"/>
        <w:rPr>
          <w:lang w:val="en-US"/>
        </w:rPr>
      </w:pPr>
      <w:bookmarkStart w:id="16257" w:name="_Toc164921249"/>
      <w:bookmarkStart w:id="16258" w:name="_Toc170120791"/>
      <w:bookmarkStart w:id="16259" w:name="_Toc175859036"/>
      <w:bookmarkStart w:id="16260" w:name="_Toc175860109"/>
      <w:bookmarkStart w:id="16261" w:name="_Toc180606399"/>
      <w:bookmarkStart w:id="16262" w:name="_Toc185517660"/>
      <w:bookmarkStart w:id="16263" w:name="_Toc191576712"/>
      <w:bookmarkStart w:id="16264" w:name="_Toc191577452"/>
      <w:bookmarkStart w:id="16265" w:name="_Toc192880522"/>
      <w:bookmarkStart w:id="16266" w:name="_Toc195815411"/>
      <w:bookmarkStart w:id="16267" w:name="_Toc199453378"/>
      <w:r>
        <w:rPr>
          <w:lang w:val="en-US"/>
        </w:rPr>
        <w:t>5.8</w:t>
      </w:r>
      <w:r>
        <w:rPr>
          <w:rFonts w:hint="eastAsia"/>
          <w:lang w:val="en-US"/>
        </w:rPr>
        <w:t>.</w:t>
      </w:r>
      <w:r>
        <w:rPr>
          <w:lang w:val="en-US"/>
        </w:rPr>
        <w:t>1</w:t>
      </w:r>
      <w:r>
        <w:rPr>
          <w:lang w:val="en-US"/>
        </w:rPr>
        <w:tab/>
        <w:t>Introduction</w:t>
      </w:r>
      <w:bookmarkEnd w:id="16257"/>
      <w:bookmarkEnd w:id="16258"/>
      <w:bookmarkEnd w:id="16259"/>
      <w:bookmarkEnd w:id="16260"/>
      <w:bookmarkEnd w:id="16261"/>
      <w:bookmarkEnd w:id="16262"/>
      <w:bookmarkEnd w:id="16263"/>
      <w:bookmarkEnd w:id="16264"/>
      <w:bookmarkEnd w:id="16265"/>
      <w:bookmarkEnd w:id="16266"/>
      <w:bookmarkEnd w:id="16267"/>
    </w:p>
    <w:p w14:paraId="4E7B66A5" w14:textId="77777777" w:rsidR="00A10B25" w:rsidRDefault="00A10B25">
      <w:pPr>
        <w:rPr>
          <w:lang w:eastAsia="zh-CN"/>
        </w:rPr>
      </w:pPr>
      <w:r>
        <w:t xml:space="preserve">The </w:t>
      </w:r>
      <w:r>
        <w:rPr>
          <w:lang w:eastAsia="ja-JP"/>
        </w:rPr>
        <w:t>Nnwdaf_RoamingAnalytics</w:t>
      </w:r>
      <w:r>
        <w:t xml:space="preserve"> service shall use the </w:t>
      </w:r>
      <w:r>
        <w:rPr>
          <w:lang w:eastAsia="ja-JP"/>
        </w:rPr>
        <w:t>Nnwdaf_RoamingAnalytics</w:t>
      </w:r>
      <w:r>
        <w:t xml:space="preserve"> </w:t>
      </w:r>
      <w:r>
        <w:rPr>
          <w:lang w:eastAsia="zh-CN"/>
        </w:rPr>
        <w:t>API.</w:t>
      </w:r>
    </w:p>
    <w:p w14:paraId="6F1DB93B" w14:textId="77777777" w:rsidR="00A10B25" w:rsidRDefault="00A10B25">
      <w:r>
        <w:t xml:space="preserve">The API URI of the </w:t>
      </w:r>
      <w:r>
        <w:rPr>
          <w:lang w:eastAsia="ja-JP"/>
        </w:rPr>
        <w:t>Nnwdaf_RoamingAnalytics</w:t>
      </w:r>
      <w:r>
        <w:rPr>
          <w:lang w:val="en-US" w:eastAsia="zh-CN"/>
        </w:rPr>
        <w:t xml:space="preserve"> API shall be: </w:t>
      </w:r>
    </w:p>
    <w:p w14:paraId="6257FED9" w14:textId="77777777" w:rsidR="00A10B25" w:rsidRDefault="00A10B25">
      <w:pPr>
        <w:ind w:left="568" w:hanging="284"/>
        <w:rPr>
          <w:lang w:eastAsia="zh-CN"/>
        </w:rPr>
      </w:pPr>
      <w:r>
        <w:rPr>
          <w:lang w:val="en-US" w:eastAsia="zh-CN"/>
        </w:rPr>
        <w:t>{apiRoot}/&lt;apiName&gt;/&lt;apiVersion&gt;</w:t>
      </w:r>
    </w:p>
    <w:p w14:paraId="64D8B2C1" w14:textId="77777777" w:rsidR="00A10B25" w:rsidRDefault="00A10B25">
      <w:pPr>
        <w:rPr>
          <w:lang w:eastAsia="zh-CN"/>
        </w:rPr>
      </w:pPr>
      <w:r>
        <w:rPr>
          <w:lang w:eastAsia="zh-CN"/>
        </w:rPr>
        <w:t>The request URIs used in each HTTP requests from the NF service consumer towards the RE-NWDAF shall have the Resource URI structure defined in clause 4.4.1 of 3GPP TS 29.501 [7], i.e.:</w:t>
      </w:r>
    </w:p>
    <w:p w14:paraId="684E93D7" w14:textId="77777777" w:rsidR="00A10B25" w:rsidRDefault="00A10B25">
      <w:pPr>
        <w:ind w:left="568" w:hanging="284"/>
        <w:rPr>
          <w:b/>
        </w:rPr>
      </w:pPr>
      <w:r>
        <w:rPr>
          <w:b/>
        </w:rPr>
        <w:t>{apiRoot}/&lt;apiName&gt;/&lt;apiVersion&gt;/&lt;apiSpecificResourceUriPart&gt;</w:t>
      </w:r>
    </w:p>
    <w:p w14:paraId="298A975E" w14:textId="77777777" w:rsidR="00A10B25" w:rsidRDefault="00A10B25">
      <w:pPr>
        <w:rPr>
          <w:lang w:eastAsia="zh-CN"/>
        </w:rPr>
      </w:pPr>
      <w:r>
        <w:rPr>
          <w:lang w:eastAsia="zh-CN"/>
        </w:rPr>
        <w:t>with the following components:</w:t>
      </w:r>
    </w:p>
    <w:p w14:paraId="44DDB914" w14:textId="77777777" w:rsidR="00A10B25" w:rsidRDefault="00A10B25">
      <w:pPr>
        <w:pStyle w:val="B1"/>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09121C7F" w14:textId="77777777" w:rsidR="00A10B25" w:rsidRDefault="00A10B25">
      <w:pPr>
        <w:pStyle w:val="B1"/>
        <w:rPr>
          <w:lang w:val="en-US"/>
        </w:rPr>
      </w:pPr>
      <w:r>
        <w:rPr>
          <w:lang w:eastAsia="zh-CN"/>
        </w:rPr>
        <w:t>-</w:t>
      </w:r>
      <w:r>
        <w:rPr>
          <w:lang w:eastAsia="zh-CN"/>
        </w:rPr>
        <w:tab/>
        <w:t>The</w:t>
      </w:r>
      <w:r>
        <w:t>&lt;apiName&gt;</w:t>
      </w:r>
      <w:r>
        <w:rPr>
          <w:b/>
        </w:rPr>
        <w:t xml:space="preserve"> </w:t>
      </w:r>
      <w:r>
        <w:t>shall be "nnwdaf-</w:t>
      </w:r>
      <w:r>
        <w:rPr>
          <w:lang w:eastAsia="ja-JP"/>
        </w:rPr>
        <w:t>roaminganalytics</w:t>
      </w:r>
      <w:r>
        <w:rPr>
          <w:lang w:val="en-US"/>
        </w:rPr>
        <w:t>".</w:t>
      </w:r>
    </w:p>
    <w:p w14:paraId="16DBDAA7" w14:textId="77777777" w:rsidR="00A10B25" w:rsidRDefault="00A10B25">
      <w:pPr>
        <w:pStyle w:val="B1"/>
        <w:rPr>
          <w:lang w:val="en-US"/>
        </w:rPr>
      </w:pPr>
      <w:r>
        <w:rPr>
          <w:lang w:val="en-US"/>
        </w:rPr>
        <w:t>-</w:t>
      </w:r>
      <w:r>
        <w:rPr>
          <w:lang w:val="en-US"/>
        </w:rPr>
        <w:tab/>
        <w:t>The &lt;apiVersion&gt; shall be "v1".</w:t>
      </w:r>
    </w:p>
    <w:p w14:paraId="0B5FFA15" w14:textId="77777777" w:rsidR="00A10B25" w:rsidRDefault="00A10B25">
      <w:pPr>
        <w:pStyle w:val="B1"/>
      </w:pPr>
      <w:r>
        <w:rPr>
          <w:lang w:val="en-US"/>
        </w:rPr>
        <w:t>-</w:t>
      </w:r>
      <w:r>
        <w:rPr>
          <w:lang w:val="en-US"/>
        </w:rPr>
        <w:tab/>
        <w:t>The &lt;apiSpecificResourceUriPart&gt; shall be set as described in clause</w:t>
      </w:r>
      <w:r>
        <w:rPr>
          <w:lang w:eastAsia="zh-CN"/>
        </w:rPr>
        <w:t> </w:t>
      </w:r>
      <w:r>
        <w:rPr>
          <w:lang w:val="en-US"/>
        </w:rPr>
        <w:t>5.8.3.</w:t>
      </w:r>
    </w:p>
    <w:p w14:paraId="7C09C10E" w14:textId="77777777" w:rsidR="00A10B25" w:rsidRDefault="00A10B25">
      <w:pPr>
        <w:pStyle w:val="3"/>
        <w:rPr>
          <w:lang w:val="en-US"/>
        </w:rPr>
      </w:pPr>
      <w:bookmarkStart w:id="16268" w:name="_Toc164921250"/>
      <w:bookmarkStart w:id="16269" w:name="_Toc170120792"/>
      <w:bookmarkStart w:id="16270" w:name="_Toc175859037"/>
      <w:bookmarkStart w:id="16271" w:name="_Toc175860110"/>
      <w:bookmarkStart w:id="16272" w:name="_Toc180606400"/>
      <w:bookmarkStart w:id="16273" w:name="_Toc185517661"/>
      <w:bookmarkStart w:id="16274" w:name="_Toc191576713"/>
      <w:bookmarkStart w:id="16275" w:name="_Toc191577453"/>
      <w:bookmarkStart w:id="16276" w:name="_Toc192880523"/>
      <w:bookmarkStart w:id="16277" w:name="_Toc195815412"/>
      <w:bookmarkStart w:id="16278" w:name="_Toc199453379"/>
      <w:r>
        <w:rPr>
          <w:lang w:val="en-US"/>
        </w:rPr>
        <w:t>5.8.2</w:t>
      </w:r>
      <w:r>
        <w:rPr>
          <w:lang w:val="en-US"/>
        </w:rPr>
        <w:tab/>
        <w:t>Usage of HTTP</w:t>
      </w:r>
      <w:bookmarkEnd w:id="16268"/>
      <w:bookmarkEnd w:id="16269"/>
      <w:bookmarkEnd w:id="16270"/>
      <w:bookmarkEnd w:id="16271"/>
      <w:bookmarkEnd w:id="16272"/>
      <w:bookmarkEnd w:id="16273"/>
      <w:bookmarkEnd w:id="16274"/>
      <w:bookmarkEnd w:id="16275"/>
      <w:bookmarkEnd w:id="16276"/>
      <w:bookmarkEnd w:id="16277"/>
      <w:bookmarkEnd w:id="16278"/>
    </w:p>
    <w:p w14:paraId="1D403697" w14:textId="77777777" w:rsidR="00A10B25" w:rsidRDefault="00A10B25" w:rsidP="0076721C">
      <w:pPr>
        <w:pStyle w:val="4"/>
      </w:pPr>
      <w:bookmarkStart w:id="16279" w:name="_Toc164921251"/>
      <w:bookmarkStart w:id="16280" w:name="_Toc170120793"/>
      <w:bookmarkStart w:id="16281" w:name="_Toc175859038"/>
      <w:bookmarkStart w:id="16282" w:name="_Toc175860111"/>
      <w:bookmarkStart w:id="16283" w:name="_Toc180606401"/>
      <w:bookmarkStart w:id="16284" w:name="_Toc185517662"/>
      <w:bookmarkStart w:id="16285" w:name="_Toc191576714"/>
      <w:bookmarkStart w:id="16286" w:name="_Toc191577454"/>
      <w:bookmarkStart w:id="16287" w:name="_Toc192880524"/>
      <w:bookmarkStart w:id="16288" w:name="_Toc195815413"/>
      <w:bookmarkStart w:id="16289" w:name="_Toc199453380"/>
      <w:r>
        <w:t>5.8.2.1</w:t>
      </w:r>
      <w:r>
        <w:tab/>
        <w:t>General</w:t>
      </w:r>
      <w:bookmarkEnd w:id="16279"/>
      <w:bookmarkEnd w:id="16280"/>
      <w:bookmarkEnd w:id="16281"/>
      <w:bookmarkEnd w:id="16282"/>
      <w:bookmarkEnd w:id="16283"/>
      <w:bookmarkEnd w:id="16284"/>
      <w:bookmarkEnd w:id="16285"/>
      <w:bookmarkEnd w:id="16286"/>
      <w:bookmarkEnd w:id="16287"/>
      <w:bookmarkEnd w:id="16288"/>
      <w:bookmarkEnd w:id="16289"/>
    </w:p>
    <w:p w14:paraId="437B061D" w14:textId="77777777" w:rsidR="00A10B25" w:rsidRDefault="00A10B25">
      <w:r>
        <w:t>HTTP</w:t>
      </w:r>
      <w:r>
        <w:rPr>
          <w:lang w:eastAsia="zh-CN"/>
        </w:rPr>
        <w:t xml:space="preserve">/2, IETF RFC 9113 [9], </w:t>
      </w:r>
      <w:r>
        <w:t>shall be used as specified in clause 5 of 3GPP TS 29.500 [6].</w:t>
      </w:r>
    </w:p>
    <w:p w14:paraId="61A65668" w14:textId="77777777" w:rsidR="00A10B25" w:rsidRDefault="00A10B25">
      <w:r>
        <w:t>HTTP/2 shall be transported as specified in clause 5.3 of 3GPP TS 29.500 [6].</w:t>
      </w:r>
    </w:p>
    <w:p w14:paraId="454DC5BF" w14:textId="77777777" w:rsidR="00A10B25" w:rsidRDefault="00A10B25">
      <w:r>
        <w:t xml:space="preserve">The OpenAPI [11] specification of HTTP messages and content bodies for the </w:t>
      </w:r>
      <w:r>
        <w:rPr>
          <w:lang w:eastAsia="ja-JP"/>
        </w:rPr>
        <w:t>Nnwdaf_RoamingAnalytics API</w:t>
      </w:r>
      <w:r>
        <w:t xml:space="preserve"> is contained in Annex A.9.</w:t>
      </w:r>
    </w:p>
    <w:p w14:paraId="53A814CA" w14:textId="77777777" w:rsidR="00A10B25" w:rsidRDefault="00A10B25">
      <w:pPr>
        <w:pStyle w:val="4"/>
      </w:pPr>
      <w:bookmarkStart w:id="16290" w:name="_Toc164921252"/>
      <w:bookmarkStart w:id="16291" w:name="_Toc170120794"/>
      <w:bookmarkStart w:id="16292" w:name="_Toc175859039"/>
      <w:bookmarkStart w:id="16293" w:name="_Toc175860112"/>
      <w:bookmarkStart w:id="16294" w:name="_Toc180606402"/>
      <w:bookmarkStart w:id="16295" w:name="_Toc185517663"/>
      <w:bookmarkStart w:id="16296" w:name="_Toc191576715"/>
      <w:bookmarkStart w:id="16297" w:name="_Toc191577455"/>
      <w:bookmarkStart w:id="16298" w:name="_Toc192880525"/>
      <w:bookmarkStart w:id="16299" w:name="_Toc195815414"/>
      <w:bookmarkStart w:id="16300" w:name="_Toc199453381"/>
      <w:r>
        <w:t>5.8.2.2</w:t>
      </w:r>
      <w:r>
        <w:tab/>
        <w:t>HTTP standard headers</w:t>
      </w:r>
      <w:bookmarkEnd w:id="16290"/>
      <w:bookmarkEnd w:id="16291"/>
      <w:bookmarkEnd w:id="16292"/>
      <w:bookmarkEnd w:id="16293"/>
      <w:bookmarkEnd w:id="16294"/>
      <w:bookmarkEnd w:id="16295"/>
      <w:bookmarkEnd w:id="16296"/>
      <w:bookmarkEnd w:id="16297"/>
      <w:bookmarkEnd w:id="16298"/>
      <w:bookmarkEnd w:id="16299"/>
      <w:bookmarkEnd w:id="16300"/>
    </w:p>
    <w:p w14:paraId="72327281" w14:textId="77777777" w:rsidR="00A10B25" w:rsidRDefault="00A10B25">
      <w:pPr>
        <w:pStyle w:val="5"/>
      </w:pPr>
      <w:bookmarkStart w:id="16301" w:name="_Toc164921253"/>
      <w:bookmarkStart w:id="16302" w:name="_Toc170120795"/>
      <w:bookmarkStart w:id="16303" w:name="_Toc175859040"/>
      <w:bookmarkStart w:id="16304" w:name="_Toc175860113"/>
      <w:bookmarkStart w:id="16305" w:name="_Toc180606403"/>
      <w:bookmarkStart w:id="16306" w:name="_Toc185517664"/>
      <w:bookmarkStart w:id="16307" w:name="_Toc191576716"/>
      <w:bookmarkStart w:id="16308" w:name="_Toc191577456"/>
      <w:bookmarkStart w:id="16309" w:name="_Toc192880526"/>
      <w:bookmarkStart w:id="16310" w:name="_Toc195815415"/>
      <w:bookmarkStart w:id="16311" w:name="_Toc199453382"/>
      <w:r>
        <w:t>5.8.2.2.1</w:t>
      </w:r>
      <w:r>
        <w:tab/>
        <w:t>General</w:t>
      </w:r>
      <w:bookmarkEnd w:id="16301"/>
      <w:bookmarkEnd w:id="16302"/>
      <w:bookmarkEnd w:id="16303"/>
      <w:bookmarkEnd w:id="16304"/>
      <w:bookmarkEnd w:id="16305"/>
      <w:bookmarkEnd w:id="16306"/>
      <w:bookmarkEnd w:id="16307"/>
      <w:bookmarkEnd w:id="16308"/>
      <w:bookmarkEnd w:id="16309"/>
      <w:bookmarkEnd w:id="16310"/>
      <w:bookmarkEnd w:id="16311"/>
    </w:p>
    <w:p w14:paraId="145FB900" w14:textId="77777777" w:rsidR="00A10B25" w:rsidRDefault="00A10B25">
      <w:r>
        <w:t>See clause 5.2.2 of 3GPP TS 29.500 [6] for the usage of HTTP standard headers.</w:t>
      </w:r>
    </w:p>
    <w:p w14:paraId="3748EB79" w14:textId="77777777" w:rsidR="00A10B25" w:rsidRDefault="00A10B25">
      <w:pPr>
        <w:pStyle w:val="5"/>
      </w:pPr>
      <w:bookmarkStart w:id="16312" w:name="_Toc164921254"/>
      <w:bookmarkStart w:id="16313" w:name="_Toc170120796"/>
      <w:bookmarkStart w:id="16314" w:name="_Toc175859041"/>
      <w:bookmarkStart w:id="16315" w:name="_Toc175860114"/>
      <w:bookmarkStart w:id="16316" w:name="_Toc180606404"/>
      <w:bookmarkStart w:id="16317" w:name="_Toc185517665"/>
      <w:bookmarkStart w:id="16318" w:name="_Toc191576717"/>
      <w:bookmarkStart w:id="16319" w:name="_Toc191577457"/>
      <w:bookmarkStart w:id="16320" w:name="_Toc192880527"/>
      <w:bookmarkStart w:id="16321" w:name="_Toc195815416"/>
      <w:bookmarkStart w:id="16322" w:name="_Toc199453383"/>
      <w:r>
        <w:t>5.8.2.2.2</w:t>
      </w:r>
      <w:r>
        <w:tab/>
        <w:t>Content type</w:t>
      </w:r>
      <w:bookmarkEnd w:id="16312"/>
      <w:bookmarkEnd w:id="16313"/>
      <w:bookmarkEnd w:id="16314"/>
      <w:bookmarkEnd w:id="16315"/>
      <w:bookmarkEnd w:id="16316"/>
      <w:bookmarkEnd w:id="16317"/>
      <w:bookmarkEnd w:id="16318"/>
      <w:bookmarkEnd w:id="16319"/>
      <w:bookmarkEnd w:id="16320"/>
      <w:bookmarkEnd w:id="16321"/>
      <w:bookmarkEnd w:id="16322"/>
    </w:p>
    <w:p w14:paraId="037E5CD3" w14:textId="77777777" w:rsidR="00A10B25" w:rsidRDefault="00A10B25">
      <w:r>
        <w:t>JSON, IETF RFC 8259 [10], shall be used as content type of the HTTP bodies specified in the present specification as specified in clause 5.4 of 3GPP TS 29.500 [6]. The use of the JSON format shall be signalled by the content type "application/json".</w:t>
      </w:r>
    </w:p>
    <w:p w14:paraId="21BBB24B" w14:textId="77777777" w:rsidR="00A10B25" w:rsidRDefault="00A10B25">
      <w:pPr>
        <w:rPr>
          <w:i/>
        </w:rPr>
      </w:pPr>
      <w:r>
        <w:t>"Problem Details" JSON object shall be used to indicate additional details of the error in an HTTP response body and shall be signalled by the content type "application/problem+json", as defined in IETF RFC 9457 [15].</w:t>
      </w:r>
    </w:p>
    <w:p w14:paraId="38B39E18" w14:textId="77777777" w:rsidR="00A10B25" w:rsidRDefault="00A10B25">
      <w:pPr>
        <w:pStyle w:val="4"/>
      </w:pPr>
      <w:bookmarkStart w:id="16323" w:name="_Toc164921255"/>
      <w:bookmarkStart w:id="16324" w:name="_Toc170120797"/>
      <w:bookmarkStart w:id="16325" w:name="_Toc175859042"/>
      <w:bookmarkStart w:id="16326" w:name="_Toc175860115"/>
      <w:bookmarkStart w:id="16327" w:name="_Toc180606405"/>
      <w:bookmarkStart w:id="16328" w:name="_Toc185517666"/>
      <w:bookmarkStart w:id="16329" w:name="_Toc191576718"/>
      <w:bookmarkStart w:id="16330" w:name="_Toc191577458"/>
      <w:bookmarkStart w:id="16331" w:name="_Toc192880528"/>
      <w:bookmarkStart w:id="16332" w:name="_Toc195815417"/>
      <w:bookmarkStart w:id="16333" w:name="_Toc199453384"/>
      <w:r>
        <w:t>5.8.2.3</w:t>
      </w:r>
      <w:r>
        <w:tab/>
        <w:t>HTTP custom headers</w:t>
      </w:r>
      <w:bookmarkEnd w:id="16323"/>
      <w:bookmarkEnd w:id="16324"/>
      <w:bookmarkEnd w:id="16325"/>
      <w:bookmarkEnd w:id="16326"/>
      <w:bookmarkEnd w:id="16327"/>
      <w:bookmarkEnd w:id="16328"/>
      <w:bookmarkEnd w:id="16329"/>
      <w:bookmarkEnd w:id="16330"/>
      <w:bookmarkEnd w:id="16331"/>
      <w:bookmarkEnd w:id="16332"/>
      <w:bookmarkEnd w:id="16333"/>
    </w:p>
    <w:p w14:paraId="5DC4D70F" w14:textId="77777777" w:rsidR="00A10B25" w:rsidRDefault="00A10B25">
      <w:pPr>
        <w:rPr>
          <w:rFonts w:eastAsia="Batang"/>
        </w:rPr>
      </w:pPr>
      <w:r>
        <w:rPr>
          <w:rFonts w:eastAsia="Batang"/>
        </w:rPr>
        <w:t xml:space="preserve">The </w:t>
      </w:r>
      <w:r>
        <w:rPr>
          <w:lang w:eastAsia="ja-JP"/>
        </w:rPr>
        <w:t>Nnwdaf_RoamingAnalytics</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637B3A35" w14:textId="77777777" w:rsidR="00A10B25" w:rsidRDefault="00A10B25">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Nnwdaf_RoamingAnalytics</w:t>
      </w:r>
      <w:r>
        <w:rPr>
          <w:rFonts w:eastAsia="Batang"/>
        </w:rPr>
        <w:t xml:space="preserve"> service API.</w:t>
      </w:r>
    </w:p>
    <w:p w14:paraId="0974E257" w14:textId="77777777" w:rsidR="00A10B25" w:rsidRDefault="00A10B25">
      <w:pPr>
        <w:pStyle w:val="3"/>
      </w:pPr>
      <w:bookmarkStart w:id="16334" w:name="_Toc164921256"/>
      <w:bookmarkStart w:id="16335" w:name="_Toc170120798"/>
      <w:bookmarkStart w:id="16336" w:name="_Toc175859043"/>
      <w:bookmarkStart w:id="16337" w:name="_Toc175860116"/>
      <w:bookmarkStart w:id="16338" w:name="_Toc180606406"/>
      <w:bookmarkStart w:id="16339" w:name="_Toc185517667"/>
      <w:bookmarkStart w:id="16340" w:name="_Toc191576719"/>
      <w:bookmarkStart w:id="16341" w:name="_Toc191577459"/>
      <w:bookmarkStart w:id="16342" w:name="_Toc192880529"/>
      <w:bookmarkStart w:id="16343" w:name="_Toc195815418"/>
      <w:bookmarkStart w:id="16344" w:name="_Toc199453385"/>
      <w:r>
        <w:lastRenderedPageBreak/>
        <w:t>5.8.3</w:t>
      </w:r>
      <w:r>
        <w:tab/>
        <w:t>Resources</w:t>
      </w:r>
      <w:bookmarkEnd w:id="16334"/>
      <w:bookmarkEnd w:id="16335"/>
      <w:bookmarkEnd w:id="16336"/>
      <w:bookmarkEnd w:id="16337"/>
      <w:bookmarkEnd w:id="16338"/>
      <w:bookmarkEnd w:id="16339"/>
      <w:bookmarkEnd w:id="16340"/>
      <w:bookmarkEnd w:id="16341"/>
      <w:bookmarkEnd w:id="16342"/>
      <w:bookmarkEnd w:id="16343"/>
      <w:bookmarkEnd w:id="16344"/>
    </w:p>
    <w:p w14:paraId="641BEA56" w14:textId="77777777" w:rsidR="00A10B25" w:rsidRDefault="00A10B25">
      <w:pPr>
        <w:pStyle w:val="4"/>
      </w:pPr>
      <w:bookmarkStart w:id="16345" w:name="_Toc164921257"/>
      <w:bookmarkStart w:id="16346" w:name="_Toc170120799"/>
      <w:bookmarkStart w:id="16347" w:name="_Toc175859044"/>
      <w:bookmarkStart w:id="16348" w:name="_Toc175860117"/>
      <w:bookmarkStart w:id="16349" w:name="_Toc180606407"/>
      <w:bookmarkStart w:id="16350" w:name="_Toc185517668"/>
      <w:bookmarkStart w:id="16351" w:name="_Toc191576720"/>
      <w:bookmarkStart w:id="16352" w:name="_Toc191577460"/>
      <w:bookmarkStart w:id="16353" w:name="_Toc192880530"/>
      <w:bookmarkStart w:id="16354" w:name="_Toc195815419"/>
      <w:bookmarkStart w:id="16355" w:name="_Toc199453386"/>
      <w:r>
        <w:t>5.8.3.1</w:t>
      </w:r>
      <w:r>
        <w:tab/>
        <w:t>Resource Structure</w:t>
      </w:r>
      <w:bookmarkEnd w:id="16345"/>
      <w:bookmarkEnd w:id="16346"/>
      <w:bookmarkEnd w:id="16347"/>
      <w:bookmarkEnd w:id="16348"/>
      <w:bookmarkEnd w:id="16349"/>
      <w:bookmarkEnd w:id="16350"/>
      <w:bookmarkEnd w:id="16351"/>
      <w:bookmarkEnd w:id="16352"/>
      <w:bookmarkEnd w:id="16353"/>
      <w:bookmarkEnd w:id="16354"/>
      <w:bookmarkEnd w:id="16355"/>
    </w:p>
    <w:p w14:paraId="1DF9D111" w14:textId="77777777" w:rsidR="00A10B25" w:rsidRDefault="00A10B25">
      <w:r>
        <w:t>This clause describes the structure for the Resource URIs, the resources and methods used for the service.</w:t>
      </w:r>
    </w:p>
    <w:p w14:paraId="13D63B44" w14:textId="77777777" w:rsidR="00A10B25" w:rsidRDefault="00A10B25">
      <w:r>
        <w:t xml:space="preserve">Figure 5.8.3.1-1 depicts the resource URIs structure for the </w:t>
      </w:r>
      <w:r>
        <w:rPr>
          <w:lang w:eastAsia="ja-JP"/>
        </w:rPr>
        <w:t>Nnwdaf_RoamingAnalytics</w:t>
      </w:r>
      <w:r>
        <w:t xml:space="preserve"> API.</w:t>
      </w:r>
    </w:p>
    <w:p w14:paraId="1CAC5B20" w14:textId="77777777" w:rsidR="00A10B25" w:rsidRDefault="00A10B25" w:rsidP="0076721C">
      <w:pPr>
        <w:pStyle w:val="TH"/>
        <w:rPr>
          <w:lang w:val="en-US"/>
        </w:rPr>
      </w:pPr>
      <w:r>
        <w:rPr>
          <w:lang w:val="en-US" w:eastAsia="zh-CN"/>
        </w:rPr>
        <w:object w:dxaOrig="5540" w:dyaOrig="2005" w14:anchorId="574612F7">
          <v:shape id="Object 63" o:spid="_x0000_i1101" type="#_x0000_t75" style="width:304.3pt;height:109.55pt;mso-position-horizontal-relative:page;mso-position-vertical-relative:page" o:ole="">
            <v:imagedata r:id="rId138" o:title=""/>
          </v:shape>
          <o:OLEObject Type="Embed" ProgID="Visio.Drawing.15" ShapeID="Object 63" DrawAspect="Content" ObjectID="_1810066045" r:id="rId139"/>
        </w:object>
      </w:r>
    </w:p>
    <w:p w14:paraId="1B308FAD" w14:textId="77777777" w:rsidR="00A10B25" w:rsidRDefault="00A10B25" w:rsidP="0076721C">
      <w:pPr>
        <w:pStyle w:val="TF"/>
      </w:pPr>
      <w:r>
        <w:t>Figure 5.8.3.1-</w:t>
      </w:r>
      <w:r>
        <w:rPr>
          <w:rFonts w:hint="eastAsia"/>
          <w:lang w:eastAsia="zh-CN"/>
        </w:rPr>
        <w:t>1</w:t>
      </w:r>
      <w:r>
        <w:t xml:space="preserve">: Resource URI structure of the </w:t>
      </w:r>
      <w:r>
        <w:rPr>
          <w:lang w:eastAsia="ja-JP"/>
        </w:rPr>
        <w:t>Nnwdaf_RoamingAnalytics</w:t>
      </w:r>
      <w:r>
        <w:t xml:space="preserve"> API</w:t>
      </w:r>
    </w:p>
    <w:p w14:paraId="3104AA67" w14:textId="77777777" w:rsidR="00A10B25" w:rsidRDefault="00A10B25">
      <w:r>
        <w:t>Table 5.8.3.1-1 provides an overview of the resources and applicable HTTP methods.</w:t>
      </w:r>
    </w:p>
    <w:p w14:paraId="1B0A00FF" w14:textId="77777777" w:rsidR="00A10B25" w:rsidRDefault="00A10B25">
      <w:pPr>
        <w:pStyle w:val="TH"/>
        <w:rPr>
          <w:rFonts w:eastAsia="MS Mincho"/>
        </w:rPr>
      </w:pPr>
      <w:r>
        <w:rPr>
          <w:rFonts w:eastAsia="MS Mincho"/>
        </w:rPr>
        <w:t>Table 5.8.3.1-1: Resources and methods overview</w:t>
      </w:r>
    </w:p>
    <w:tbl>
      <w:tblPr>
        <w:tblW w:w="49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39"/>
        <w:gridCol w:w="2846"/>
        <w:gridCol w:w="958"/>
        <w:gridCol w:w="3138"/>
      </w:tblGrid>
      <w:tr w:rsidR="00A10B25" w14:paraId="700F0AEC" w14:textId="77777777">
        <w:trPr>
          <w:jc w:val="center"/>
        </w:trPr>
        <w:tc>
          <w:tcPr>
            <w:tcW w:w="1339" w:type="pct"/>
            <w:shd w:val="clear" w:color="auto" w:fill="C0C0C0"/>
            <w:vAlign w:val="center"/>
          </w:tcPr>
          <w:p w14:paraId="69D4E65D" w14:textId="77777777" w:rsidR="00A10B25" w:rsidRDefault="00A10B25">
            <w:pPr>
              <w:keepNext/>
              <w:keepLines/>
              <w:spacing w:after="0"/>
              <w:jc w:val="center"/>
              <w:rPr>
                <w:rFonts w:ascii="Arial" w:hAnsi="Arial"/>
                <w:b/>
                <w:sz w:val="18"/>
              </w:rPr>
            </w:pPr>
            <w:r>
              <w:rPr>
                <w:rFonts w:ascii="Arial" w:hAnsi="Arial"/>
                <w:b/>
                <w:sz w:val="18"/>
              </w:rPr>
              <w:t>Resource name</w:t>
            </w:r>
          </w:p>
        </w:tc>
        <w:tc>
          <w:tcPr>
            <w:tcW w:w="1501" w:type="pct"/>
            <w:shd w:val="clear" w:color="auto" w:fill="C0C0C0"/>
            <w:vAlign w:val="center"/>
          </w:tcPr>
          <w:p w14:paraId="279672AD" w14:textId="77777777" w:rsidR="00A10B25" w:rsidRDefault="00A10B25">
            <w:pPr>
              <w:keepNext/>
              <w:keepLines/>
              <w:spacing w:after="0"/>
              <w:jc w:val="center"/>
              <w:rPr>
                <w:rFonts w:ascii="Arial" w:hAnsi="Arial"/>
                <w:b/>
                <w:sz w:val="18"/>
              </w:rPr>
            </w:pPr>
            <w:r>
              <w:rPr>
                <w:rFonts w:ascii="Arial" w:hAnsi="Arial"/>
                <w:b/>
                <w:sz w:val="18"/>
              </w:rPr>
              <w:t>Resource URI</w:t>
            </w:r>
          </w:p>
        </w:tc>
        <w:tc>
          <w:tcPr>
            <w:tcW w:w="505" w:type="pct"/>
            <w:shd w:val="clear" w:color="auto" w:fill="C0C0C0"/>
            <w:vAlign w:val="center"/>
          </w:tcPr>
          <w:p w14:paraId="51BA181C" w14:textId="77777777" w:rsidR="00A10B25" w:rsidRDefault="00A10B25">
            <w:pPr>
              <w:keepNext/>
              <w:keepLines/>
              <w:spacing w:after="0"/>
              <w:jc w:val="center"/>
              <w:rPr>
                <w:rFonts w:ascii="Arial" w:hAnsi="Arial"/>
                <w:b/>
                <w:sz w:val="18"/>
              </w:rPr>
            </w:pPr>
            <w:r>
              <w:rPr>
                <w:rFonts w:ascii="Arial" w:hAnsi="Arial"/>
                <w:b/>
                <w:sz w:val="18"/>
              </w:rPr>
              <w:t>HTTP method or custom operation</w:t>
            </w:r>
          </w:p>
        </w:tc>
        <w:tc>
          <w:tcPr>
            <w:tcW w:w="1655" w:type="pct"/>
            <w:shd w:val="clear" w:color="auto" w:fill="C0C0C0"/>
            <w:vAlign w:val="center"/>
          </w:tcPr>
          <w:p w14:paraId="6B3BCC07"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691414A3" w14:textId="77777777">
        <w:trPr>
          <w:jc w:val="center"/>
        </w:trPr>
        <w:tc>
          <w:tcPr>
            <w:tcW w:w="0" w:type="auto"/>
            <w:vAlign w:val="center"/>
          </w:tcPr>
          <w:p w14:paraId="0C22EC9C" w14:textId="77777777" w:rsidR="00A10B25" w:rsidRDefault="00A10B25">
            <w:pPr>
              <w:keepNext/>
              <w:keepLines/>
              <w:spacing w:after="0"/>
              <w:rPr>
                <w:rFonts w:ascii="Arial" w:hAnsi="Arial"/>
                <w:sz w:val="18"/>
              </w:rPr>
            </w:pPr>
            <w:r>
              <w:rPr>
                <w:rFonts w:ascii="Arial" w:hAnsi="Arial"/>
                <w:sz w:val="18"/>
              </w:rPr>
              <w:t>NWDAF Roaming Analytics Subscriptions</w:t>
            </w:r>
          </w:p>
        </w:tc>
        <w:tc>
          <w:tcPr>
            <w:tcW w:w="0" w:type="auto"/>
            <w:vAlign w:val="center"/>
          </w:tcPr>
          <w:p w14:paraId="32DBCD4D" w14:textId="77777777" w:rsidR="00A10B25" w:rsidRDefault="00A10B25">
            <w:pPr>
              <w:keepNext/>
              <w:keepLines/>
              <w:spacing w:after="0"/>
              <w:rPr>
                <w:rFonts w:ascii="Arial" w:hAnsi="Arial"/>
                <w:sz w:val="18"/>
              </w:rPr>
            </w:pPr>
            <w:r>
              <w:rPr>
                <w:rFonts w:ascii="Arial" w:hAnsi="Arial"/>
                <w:sz w:val="18"/>
              </w:rPr>
              <w:t>/subscriptions</w:t>
            </w:r>
          </w:p>
        </w:tc>
        <w:tc>
          <w:tcPr>
            <w:tcW w:w="505" w:type="pct"/>
          </w:tcPr>
          <w:p w14:paraId="355FD864" w14:textId="77777777" w:rsidR="00A10B25" w:rsidRDefault="00A10B25">
            <w:pPr>
              <w:keepNext/>
              <w:keepLines/>
              <w:spacing w:after="0"/>
              <w:rPr>
                <w:rFonts w:ascii="Arial" w:hAnsi="Arial"/>
                <w:sz w:val="18"/>
              </w:rPr>
            </w:pPr>
            <w:r>
              <w:rPr>
                <w:rFonts w:ascii="Arial" w:hAnsi="Arial"/>
                <w:sz w:val="18"/>
              </w:rPr>
              <w:t>POST</w:t>
            </w:r>
          </w:p>
        </w:tc>
        <w:tc>
          <w:tcPr>
            <w:tcW w:w="1655" w:type="pct"/>
          </w:tcPr>
          <w:p w14:paraId="38FD50DE" w14:textId="77777777" w:rsidR="00A10B25" w:rsidRDefault="00A10B25">
            <w:pPr>
              <w:keepNext/>
              <w:keepLines/>
              <w:spacing w:after="0"/>
              <w:rPr>
                <w:rFonts w:ascii="Arial" w:hAnsi="Arial"/>
                <w:sz w:val="18"/>
              </w:rPr>
            </w:pPr>
            <w:r>
              <w:rPr>
                <w:rFonts w:ascii="Arial" w:hAnsi="Arial"/>
                <w:sz w:val="18"/>
              </w:rPr>
              <w:t>Create a new Individual NWDAF Roaming Analytics Subscription resource on the NWDAF with roaming exchange capability.</w:t>
            </w:r>
          </w:p>
        </w:tc>
      </w:tr>
      <w:tr w:rsidR="00A10B25" w14:paraId="3B54A001" w14:textId="77777777">
        <w:trPr>
          <w:trHeight w:val="308"/>
          <w:jc w:val="center"/>
        </w:trPr>
        <w:tc>
          <w:tcPr>
            <w:tcW w:w="0" w:type="auto"/>
            <w:vMerge w:val="restart"/>
            <w:vAlign w:val="center"/>
          </w:tcPr>
          <w:p w14:paraId="42688FB3" w14:textId="77777777" w:rsidR="00A10B25" w:rsidRDefault="00A10B25">
            <w:pPr>
              <w:keepNext/>
              <w:keepLines/>
              <w:spacing w:after="0"/>
              <w:rPr>
                <w:rFonts w:ascii="Arial" w:hAnsi="Arial"/>
                <w:sz w:val="18"/>
              </w:rPr>
            </w:pPr>
            <w:r>
              <w:rPr>
                <w:rFonts w:ascii="Arial" w:hAnsi="Arial"/>
                <w:sz w:val="18"/>
              </w:rPr>
              <w:t>Individual NWDAF Roaming Analytics Subscription</w:t>
            </w:r>
          </w:p>
        </w:tc>
        <w:tc>
          <w:tcPr>
            <w:tcW w:w="0" w:type="auto"/>
            <w:vMerge w:val="restart"/>
            <w:vAlign w:val="center"/>
          </w:tcPr>
          <w:p w14:paraId="405DA1BD" w14:textId="77777777" w:rsidR="00A10B25" w:rsidRDefault="00A10B25">
            <w:pPr>
              <w:keepNext/>
              <w:keepLines/>
              <w:spacing w:after="0"/>
              <w:rPr>
                <w:rFonts w:ascii="Arial" w:hAnsi="Arial"/>
                <w:sz w:val="18"/>
              </w:rPr>
            </w:pPr>
            <w:r>
              <w:rPr>
                <w:rFonts w:ascii="Arial" w:hAnsi="Arial"/>
                <w:sz w:val="18"/>
              </w:rPr>
              <w:t>/subscriptions/{subscriptionId}</w:t>
            </w:r>
          </w:p>
        </w:tc>
        <w:tc>
          <w:tcPr>
            <w:tcW w:w="505" w:type="pct"/>
          </w:tcPr>
          <w:p w14:paraId="6312B616" w14:textId="77777777" w:rsidR="00A10B25" w:rsidRDefault="00A10B25">
            <w:pPr>
              <w:keepNext/>
              <w:keepLines/>
              <w:spacing w:after="0"/>
              <w:rPr>
                <w:rFonts w:ascii="Arial" w:hAnsi="Arial"/>
                <w:sz w:val="18"/>
              </w:rPr>
            </w:pPr>
            <w:r>
              <w:rPr>
                <w:rFonts w:ascii="Arial" w:hAnsi="Arial"/>
                <w:sz w:val="18"/>
              </w:rPr>
              <w:t>PUT</w:t>
            </w:r>
          </w:p>
        </w:tc>
        <w:tc>
          <w:tcPr>
            <w:tcW w:w="1655" w:type="pct"/>
          </w:tcPr>
          <w:p w14:paraId="5FE04F72" w14:textId="77777777" w:rsidR="00A10B25" w:rsidRDefault="00A10B25">
            <w:pPr>
              <w:keepNext/>
              <w:keepLines/>
              <w:spacing w:after="0"/>
              <w:rPr>
                <w:rFonts w:ascii="Arial" w:hAnsi="Arial"/>
                <w:sz w:val="18"/>
              </w:rPr>
            </w:pPr>
            <w:r>
              <w:rPr>
                <w:rFonts w:ascii="Arial" w:hAnsi="Arial"/>
                <w:sz w:val="18"/>
              </w:rPr>
              <w:t>Modifies an existing Individual NWDAF Roaming Analytics Subscription resource on the NWDAF with roaming exchange capability.</w:t>
            </w:r>
          </w:p>
        </w:tc>
      </w:tr>
      <w:tr w:rsidR="00A10B25" w14:paraId="3F100FFD" w14:textId="77777777">
        <w:trPr>
          <w:trHeight w:val="307"/>
          <w:jc w:val="center"/>
        </w:trPr>
        <w:tc>
          <w:tcPr>
            <w:tcW w:w="0" w:type="auto"/>
            <w:vMerge/>
            <w:vAlign w:val="center"/>
          </w:tcPr>
          <w:p w14:paraId="388B2D2A" w14:textId="77777777" w:rsidR="00A10B25" w:rsidRDefault="00A10B25">
            <w:pPr>
              <w:keepNext/>
              <w:keepLines/>
              <w:spacing w:after="0"/>
              <w:rPr>
                <w:rFonts w:ascii="Arial" w:hAnsi="Arial"/>
                <w:sz w:val="18"/>
              </w:rPr>
            </w:pPr>
          </w:p>
        </w:tc>
        <w:tc>
          <w:tcPr>
            <w:tcW w:w="0" w:type="auto"/>
            <w:vMerge/>
            <w:vAlign w:val="center"/>
          </w:tcPr>
          <w:p w14:paraId="4E508630" w14:textId="77777777" w:rsidR="00A10B25" w:rsidRDefault="00A10B25">
            <w:pPr>
              <w:keepNext/>
              <w:keepLines/>
              <w:spacing w:after="0"/>
              <w:rPr>
                <w:rFonts w:ascii="Arial" w:hAnsi="Arial"/>
                <w:sz w:val="18"/>
              </w:rPr>
            </w:pPr>
          </w:p>
        </w:tc>
        <w:tc>
          <w:tcPr>
            <w:tcW w:w="505" w:type="pct"/>
          </w:tcPr>
          <w:p w14:paraId="0238C8CA" w14:textId="77777777" w:rsidR="00A10B25" w:rsidRDefault="00A10B25">
            <w:pPr>
              <w:keepNext/>
              <w:keepLines/>
              <w:spacing w:after="0"/>
              <w:rPr>
                <w:rFonts w:ascii="Arial" w:hAnsi="Arial"/>
                <w:sz w:val="18"/>
              </w:rPr>
            </w:pPr>
            <w:r>
              <w:rPr>
                <w:rFonts w:ascii="Arial" w:hAnsi="Arial"/>
                <w:sz w:val="18"/>
              </w:rPr>
              <w:t>DELETE</w:t>
            </w:r>
          </w:p>
        </w:tc>
        <w:tc>
          <w:tcPr>
            <w:tcW w:w="1655" w:type="pct"/>
          </w:tcPr>
          <w:p w14:paraId="577BAFB1" w14:textId="77777777" w:rsidR="00A10B25" w:rsidRDefault="00A10B25">
            <w:pPr>
              <w:keepNext/>
              <w:keepLines/>
              <w:spacing w:after="0"/>
              <w:rPr>
                <w:rFonts w:ascii="Arial" w:hAnsi="Arial"/>
                <w:sz w:val="18"/>
              </w:rPr>
            </w:pPr>
            <w:r>
              <w:rPr>
                <w:rFonts w:ascii="Arial" w:hAnsi="Arial"/>
                <w:sz w:val="18"/>
              </w:rPr>
              <w:t>Delete the Individual NWDAF Roaming Analytics Subscription resource identified by {subscriptionId} on the NWDAF with roaming exchange capability.</w:t>
            </w:r>
          </w:p>
        </w:tc>
      </w:tr>
    </w:tbl>
    <w:p w14:paraId="664242F6" w14:textId="77777777" w:rsidR="00A10B25" w:rsidRDefault="00A10B25"/>
    <w:p w14:paraId="170FC058" w14:textId="77777777" w:rsidR="00A10B25" w:rsidRDefault="00A10B25">
      <w:pPr>
        <w:pStyle w:val="4"/>
      </w:pPr>
      <w:bookmarkStart w:id="16356" w:name="_Toc164921258"/>
      <w:bookmarkStart w:id="16357" w:name="_Toc170120800"/>
      <w:bookmarkStart w:id="16358" w:name="_Toc175859045"/>
      <w:bookmarkStart w:id="16359" w:name="_Toc175860118"/>
      <w:bookmarkStart w:id="16360" w:name="_Toc180606408"/>
      <w:bookmarkStart w:id="16361" w:name="_Toc185517669"/>
      <w:bookmarkStart w:id="16362" w:name="_Toc191576721"/>
      <w:bookmarkStart w:id="16363" w:name="_Toc191577461"/>
      <w:bookmarkStart w:id="16364" w:name="_Toc192880531"/>
      <w:bookmarkStart w:id="16365" w:name="_Toc195815420"/>
      <w:bookmarkStart w:id="16366" w:name="_Toc199453387"/>
      <w:r>
        <w:t>5.8.3.2</w:t>
      </w:r>
      <w:r>
        <w:tab/>
        <w:t>Resource: NWDAF Roaming Analytics Subscriptions</w:t>
      </w:r>
      <w:bookmarkEnd w:id="16356"/>
      <w:bookmarkEnd w:id="16357"/>
      <w:bookmarkEnd w:id="16358"/>
      <w:bookmarkEnd w:id="16359"/>
      <w:bookmarkEnd w:id="16360"/>
      <w:bookmarkEnd w:id="16361"/>
      <w:bookmarkEnd w:id="16362"/>
      <w:bookmarkEnd w:id="16363"/>
      <w:bookmarkEnd w:id="16364"/>
      <w:bookmarkEnd w:id="16365"/>
      <w:bookmarkEnd w:id="16366"/>
    </w:p>
    <w:p w14:paraId="5252B5CD" w14:textId="77777777" w:rsidR="00A10B25" w:rsidRDefault="00A10B25">
      <w:pPr>
        <w:pStyle w:val="5"/>
      </w:pPr>
      <w:bookmarkStart w:id="16367" w:name="_Toc164921259"/>
      <w:bookmarkStart w:id="16368" w:name="_Toc170120801"/>
      <w:bookmarkStart w:id="16369" w:name="_Toc175859046"/>
      <w:bookmarkStart w:id="16370" w:name="_Toc175860119"/>
      <w:bookmarkStart w:id="16371" w:name="_Toc180606409"/>
      <w:bookmarkStart w:id="16372" w:name="_Toc185517670"/>
      <w:bookmarkStart w:id="16373" w:name="_Toc191576722"/>
      <w:bookmarkStart w:id="16374" w:name="_Toc191577462"/>
      <w:bookmarkStart w:id="16375" w:name="_Toc192880532"/>
      <w:bookmarkStart w:id="16376" w:name="_Toc195815421"/>
      <w:bookmarkStart w:id="16377" w:name="_Toc199453388"/>
      <w:r>
        <w:t>5.8.3.2.1</w:t>
      </w:r>
      <w:r>
        <w:tab/>
        <w:t>Description</w:t>
      </w:r>
      <w:bookmarkEnd w:id="16367"/>
      <w:bookmarkEnd w:id="16368"/>
      <w:bookmarkEnd w:id="16369"/>
      <w:bookmarkEnd w:id="16370"/>
      <w:bookmarkEnd w:id="16371"/>
      <w:bookmarkEnd w:id="16372"/>
      <w:bookmarkEnd w:id="16373"/>
      <w:bookmarkEnd w:id="16374"/>
      <w:bookmarkEnd w:id="16375"/>
      <w:bookmarkEnd w:id="16376"/>
      <w:bookmarkEnd w:id="16377"/>
    </w:p>
    <w:p w14:paraId="4A155E67" w14:textId="77777777" w:rsidR="00A10B25" w:rsidRDefault="00A10B25">
      <w:r>
        <w:t>The NWDAF Roaming Analytics Subscriptions resource represents all subscriptions to the Nnwdaf_RoamingAnalytics Service at a given RE-NWDAF. The resource allows an NF service consumer to create a new Individual NWDAF Roaming Analytics Subscription resource.</w:t>
      </w:r>
    </w:p>
    <w:p w14:paraId="30D36298" w14:textId="77777777" w:rsidR="00A10B25" w:rsidRDefault="00A10B25">
      <w:pPr>
        <w:pStyle w:val="5"/>
      </w:pPr>
      <w:bookmarkStart w:id="16378" w:name="_Toc164921260"/>
      <w:bookmarkStart w:id="16379" w:name="_Toc170120802"/>
      <w:bookmarkStart w:id="16380" w:name="_Toc175859047"/>
      <w:bookmarkStart w:id="16381" w:name="_Toc175860120"/>
      <w:bookmarkStart w:id="16382" w:name="_Toc180606410"/>
      <w:bookmarkStart w:id="16383" w:name="_Toc185517671"/>
      <w:bookmarkStart w:id="16384" w:name="_Toc191576723"/>
      <w:bookmarkStart w:id="16385" w:name="_Toc191577463"/>
      <w:bookmarkStart w:id="16386" w:name="_Toc192880533"/>
      <w:bookmarkStart w:id="16387" w:name="_Toc195815422"/>
      <w:bookmarkStart w:id="16388" w:name="_Toc199453389"/>
      <w:r>
        <w:t>5.8.3.2.2</w:t>
      </w:r>
      <w:r>
        <w:tab/>
        <w:t>Resource Definition</w:t>
      </w:r>
      <w:bookmarkEnd w:id="16378"/>
      <w:bookmarkEnd w:id="16379"/>
      <w:bookmarkEnd w:id="16380"/>
      <w:bookmarkEnd w:id="16381"/>
      <w:bookmarkEnd w:id="16382"/>
      <w:bookmarkEnd w:id="16383"/>
      <w:bookmarkEnd w:id="16384"/>
      <w:bookmarkEnd w:id="16385"/>
      <w:bookmarkEnd w:id="16386"/>
      <w:bookmarkEnd w:id="16387"/>
      <w:bookmarkEnd w:id="16388"/>
    </w:p>
    <w:p w14:paraId="387A3E81" w14:textId="77777777" w:rsidR="00A10B25" w:rsidRDefault="00A10B25">
      <w:r>
        <w:t xml:space="preserve">Resource URI: </w:t>
      </w:r>
      <w:r>
        <w:rPr>
          <w:b/>
        </w:rPr>
        <w:t>{apiRoot}/nnwdaf-roaminganalytics/&lt;apiVersion&gt;/subscriptions</w:t>
      </w:r>
    </w:p>
    <w:p w14:paraId="44BCBA2C" w14:textId="77777777" w:rsidR="00A10B25" w:rsidRDefault="00A10B25">
      <w:pPr>
        <w:rPr>
          <w:lang w:val="en-US" w:eastAsia="zh-CN"/>
        </w:rPr>
      </w:pPr>
      <w:r>
        <w:rPr>
          <w:lang w:val="en-US" w:eastAsia="zh-CN"/>
        </w:rPr>
        <w:t>The &lt;apiVersion&gt; shall be set as described in clause 5.8.1.</w:t>
      </w:r>
    </w:p>
    <w:p w14:paraId="173F05A0" w14:textId="77777777" w:rsidR="00A10B25" w:rsidRDefault="00A10B25">
      <w:pPr>
        <w:rPr>
          <w:rFonts w:ascii="Arial" w:hAnsi="Arial" w:cs="Arial"/>
        </w:rPr>
      </w:pPr>
      <w:r>
        <w:t>This resource shall support the resource URI variables defined in table 5.8.3.2.2-1</w:t>
      </w:r>
      <w:r>
        <w:rPr>
          <w:rFonts w:ascii="Arial" w:hAnsi="Arial" w:cs="Arial"/>
        </w:rPr>
        <w:t>.</w:t>
      </w:r>
    </w:p>
    <w:p w14:paraId="67C78438" w14:textId="77777777" w:rsidR="00A10B25" w:rsidRDefault="00A10B25">
      <w:pPr>
        <w:keepNext/>
        <w:keepLines/>
        <w:overflowPunct w:val="0"/>
        <w:autoSpaceDE w:val="0"/>
        <w:autoSpaceDN w:val="0"/>
        <w:adjustRightInd w:val="0"/>
        <w:spacing w:before="60"/>
        <w:jc w:val="center"/>
        <w:textAlignment w:val="baseline"/>
        <w:rPr>
          <w:rFonts w:ascii="Arial" w:eastAsia="MS Mincho" w:hAnsi="Arial"/>
          <w:b/>
        </w:rPr>
      </w:pPr>
      <w:r>
        <w:rPr>
          <w:rFonts w:ascii="Arial" w:eastAsia="MS Mincho" w:hAnsi="Arial"/>
          <w:b/>
        </w:rPr>
        <w:lastRenderedPageBreak/>
        <w:t>Table 5.8.3.2.2-1: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76"/>
        <w:gridCol w:w="1225"/>
        <w:gridCol w:w="7326"/>
      </w:tblGrid>
      <w:tr w:rsidR="00A10B25" w14:paraId="1F81B91A" w14:textId="77777777">
        <w:trPr>
          <w:jc w:val="center"/>
        </w:trPr>
        <w:tc>
          <w:tcPr>
            <w:tcW w:w="559" w:type="pct"/>
            <w:shd w:val="clear" w:color="000000" w:fill="C0C0C0"/>
          </w:tcPr>
          <w:p w14:paraId="6C2841EA" w14:textId="77777777" w:rsidR="00A10B25" w:rsidRDefault="00A10B25">
            <w:pPr>
              <w:keepNext/>
              <w:keepLines/>
              <w:spacing w:after="0"/>
              <w:jc w:val="center"/>
              <w:rPr>
                <w:rFonts w:ascii="Arial" w:hAnsi="Arial"/>
                <w:b/>
                <w:sz w:val="18"/>
              </w:rPr>
            </w:pPr>
            <w:r>
              <w:rPr>
                <w:rFonts w:ascii="Arial" w:hAnsi="Arial"/>
                <w:b/>
                <w:sz w:val="18"/>
              </w:rPr>
              <w:t>Name</w:t>
            </w:r>
          </w:p>
        </w:tc>
        <w:tc>
          <w:tcPr>
            <w:tcW w:w="636" w:type="pct"/>
            <w:shd w:val="clear" w:color="000000" w:fill="C0C0C0"/>
          </w:tcPr>
          <w:p w14:paraId="5F75AB96" w14:textId="77777777" w:rsidR="00A10B25" w:rsidRDefault="00A10B25">
            <w:pPr>
              <w:keepNext/>
              <w:keepLines/>
              <w:spacing w:after="0"/>
              <w:jc w:val="center"/>
              <w:rPr>
                <w:rFonts w:ascii="Arial" w:hAnsi="Arial"/>
                <w:b/>
                <w:sz w:val="18"/>
              </w:rPr>
            </w:pPr>
            <w:r>
              <w:rPr>
                <w:rFonts w:ascii="Arial" w:hAnsi="Arial"/>
                <w:b/>
                <w:sz w:val="18"/>
                <w:lang w:eastAsia="zh-CN"/>
              </w:rPr>
              <w:t>Data type</w:t>
            </w:r>
          </w:p>
        </w:tc>
        <w:tc>
          <w:tcPr>
            <w:tcW w:w="3805" w:type="pct"/>
            <w:shd w:val="clear" w:color="000000" w:fill="C0C0C0"/>
            <w:vAlign w:val="center"/>
          </w:tcPr>
          <w:p w14:paraId="404483D1" w14:textId="77777777" w:rsidR="00A10B25" w:rsidRDefault="00A10B25">
            <w:pPr>
              <w:keepNext/>
              <w:keepLines/>
              <w:spacing w:after="0"/>
              <w:jc w:val="center"/>
              <w:rPr>
                <w:rFonts w:ascii="Arial" w:hAnsi="Arial"/>
                <w:b/>
                <w:sz w:val="18"/>
              </w:rPr>
            </w:pPr>
            <w:r>
              <w:rPr>
                <w:rFonts w:ascii="Arial" w:hAnsi="Arial"/>
                <w:b/>
                <w:sz w:val="18"/>
              </w:rPr>
              <w:t>Definition</w:t>
            </w:r>
          </w:p>
        </w:tc>
      </w:tr>
      <w:tr w:rsidR="00A10B25" w14:paraId="5214A630" w14:textId="77777777">
        <w:trPr>
          <w:jc w:val="center"/>
        </w:trPr>
        <w:tc>
          <w:tcPr>
            <w:tcW w:w="559" w:type="pct"/>
          </w:tcPr>
          <w:p w14:paraId="4EA6DB8F" w14:textId="77777777" w:rsidR="00A10B25" w:rsidRDefault="00A10B25">
            <w:pPr>
              <w:keepNext/>
              <w:keepLines/>
              <w:spacing w:after="0"/>
              <w:rPr>
                <w:rFonts w:ascii="Arial" w:hAnsi="Arial"/>
                <w:sz w:val="18"/>
              </w:rPr>
            </w:pPr>
            <w:r>
              <w:rPr>
                <w:rFonts w:ascii="Arial" w:hAnsi="Arial"/>
                <w:sz w:val="18"/>
              </w:rPr>
              <w:t>apiRoot</w:t>
            </w:r>
          </w:p>
        </w:tc>
        <w:tc>
          <w:tcPr>
            <w:tcW w:w="636" w:type="pct"/>
          </w:tcPr>
          <w:p w14:paraId="7241D0DE" w14:textId="77777777" w:rsidR="00A10B25" w:rsidRDefault="00A10B25">
            <w:pPr>
              <w:keepNext/>
              <w:keepLines/>
              <w:spacing w:after="0"/>
              <w:rPr>
                <w:rFonts w:ascii="Arial" w:hAnsi="Arial"/>
                <w:sz w:val="18"/>
              </w:rPr>
            </w:pPr>
            <w:r>
              <w:rPr>
                <w:rFonts w:ascii="Arial" w:hAnsi="Arial"/>
                <w:sz w:val="18"/>
              </w:rPr>
              <w:t>string</w:t>
            </w:r>
          </w:p>
        </w:tc>
        <w:tc>
          <w:tcPr>
            <w:tcW w:w="3805" w:type="pct"/>
            <w:vAlign w:val="center"/>
          </w:tcPr>
          <w:p w14:paraId="61F6BF45" w14:textId="77777777" w:rsidR="00A10B25" w:rsidRDefault="00A10B25">
            <w:pPr>
              <w:keepNext/>
              <w:keepLines/>
              <w:spacing w:after="0"/>
              <w:rPr>
                <w:rFonts w:ascii="Arial" w:hAnsi="Arial"/>
                <w:sz w:val="18"/>
              </w:rPr>
            </w:pPr>
            <w:r>
              <w:rPr>
                <w:rFonts w:ascii="Arial" w:hAnsi="Arial"/>
                <w:sz w:val="18"/>
              </w:rPr>
              <w:t>See clause</w:t>
            </w:r>
            <w:r>
              <w:rPr>
                <w:rFonts w:ascii="Arial" w:hAnsi="Arial"/>
                <w:sz w:val="18"/>
                <w:lang w:val="en-US" w:eastAsia="zh-CN"/>
              </w:rPr>
              <w:t> </w:t>
            </w:r>
            <w:r>
              <w:rPr>
                <w:rFonts w:ascii="Arial" w:hAnsi="Arial"/>
                <w:sz w:val="18"/>
              </w:rPr>
              <w:t>5.8.1</w:t>
            </w:r>
          </w:p>
        </w:tc>
      </w:tr>
    </w:tbl>
    <w:p w14:paraId="7D385D65" w14:textId="77777777" w:rsidR="00A10B25" w:rsidRDefault="00A10B25"/>
    <w:p w14:paraId="7663E359" w14:textId="77777777" w:rsidR="00A10B25" w:rsidRDefault="00A10B25" w:rsidP="0076721C">
      <w:pPr>
        <w:pStyle w:val="5"/>
      </w:pPr>
      <w:bookmarkStart w:id="16389" w:name="_Toc164921261"/>
      <w:bookmarkStart w:id="16390" w:name="_Toc170120803"/>
      <w:bookmarkStart w:id="16391" w:name="_Toc175859048"/>
      <w:bookmarkStart w:id="16392" w:name="_Toc175860121"/>
      <w:bookmarkStart w:id="16393" w:name="_Toc180606411"/>
      <w:bookmarkStart w:id="16394" w:name="_Toc185517672"/>
      <w:bookmarkStart w:id="16395" w:name="_Toc191576724"/>
      <w:bookmarkStart w:id="16396" w:name="_Toc191577464"/>
      <w:bookmarkStart w:id="16397" w:name="_Toc192880534"/>
      <w:bookmarkStart w:id="16398" w:name="_Toc195815423"/>
      <w:bookmarkStart w:id="16399" w:name="_Toc199453390"/>
      <w:r>
        <w:t>5.8.3.2.3</w:t>
      </w:r>
      <w:r>
        <w:tab/>
        <w:t>Resource Standard Methods</w:t>
      </w:r>
      <w:bookmarkEnd w:id="16389"/>
      <w:bookmarkEnd w:id="16390"/>
      <w:bookmarkEnd w:id="16391"/>
      <w:bookmarkEnd w:id="16392"/>
      <w:bookmarkEnd w:id="16393"/>
      <w:bookmarkEnd w:id="16394"/>
      <w:bookmarkEnd w:id="16395"/>
      <w:bookmarkEnd w:id="16396"/>
      <w:bookmarkEnd w:id="16397"/>
      <w:bookmarkEnd w:id="16398"/>
      <w:bookmarkEnd w:id="16399"/>
    </w:p>
    <w:p w14:paraId="7115D0AE" w14:textId="77777777" w:rsidR="00AC4D38" w:rsidRDefault="00AC4D38" w:rsidP="00680A1F">
      <w:pPr>
        <w:pStyle w:val="6"/>
      </w:pPr>
      <w:bookmarkStart w:id="16400" w:name="_Toc175860122"/>
      <w:bookmarkStart w:id="16401" w:name="_Toc180606412"/>
      <w:bookmarkStart w:id="16402" w:name="_Toc185517673"/>
      <w:bookmarkStart w:id="16403" w:name="_Toc191576725"/>
      <w:bookmarkStart w:id="16404" w:name="_Toc191577465"/>
      <w:bookmarkStart w:id="16405" w:name="_Toc192880535"/>
      <w:bookmarkStart w:id="16406" w:name="_Toc195815424"/>
      <w:bookmarkStart w:id="16407" w:name="_Toc199453391"/>
      <w:r>
        <w:t>5.8.3.2.3.1</w:t>
      </w:r>
      <w:r>
        <w:tab/>
        <w:t>POST</w:t>
      </w:r>
      <w:bookmarkEnd w:id="16400"/>
      <w:bookmarkEnd w:id="16401"/>
      <w:bookmarkEnd w:id="16402"/>
      <w:bookmarkEnd w:id="16403"/>
      <w:bookmarkEnd w:id="16404"/>
      <w:bookmarkEnd w:id="16405"/>
      <w:bookmarkEnd w:id="16406"/>
      <w:bookmarkEnd w:id="16407"/>
    </w:p>
    <w:p w14:paraId="6CF38D15" w14:textId="77777777" w:rsidR="00A10B25" w:rsidRDefault="00A10B25">
      <w:r>
        <w:t>This method shall support the URI query parameters specified in table 5.8.3.2.3.1-1.</w:t>
      </w:r>
    </w:p>
    <w:p w14:paraId="567851CB" w14:textId="77777777" w:rsidR="00A10B25" w:rsidRDefault="00A10B25" w:rsidP="0076721C">
      <w:pPr>
        <w:pStyle w:val="TH"/>
      </w:pPr>
      <w:r>
        <w:t>Table 5.8.3.2.3.1-1: URI query parameters supported by the POST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B960315" w14:textId="77777777">
        <w:trPr>
          <w:jc w:val="center"/>
        </w:trPr>
        <w:tc>
          <w:tcPr>
            <w:tcW w:w="825" w:type="pct"/>
            <w:tcBorders>
              <w:bottom w:val="single" w:sz="6" w:space="0" w:color="auto"/>
            </w:tcBorders>
            <w:shd w:val="clear" w:color="auto" w:fill="C0C0C0"/>
          </w:tcPr>
          <w:p w14:paraId="60E6B9A0"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0E6C2A03"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6694645E"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65DB5B9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6" w:type="pct"/>
            <w:tcBorders>
              <w:bottom w:val="single" w:sz="6" w:space="0" w:color="auto"/>
            </w:tcBorders>
            <w:shd w:val="clear" w:color="auto" w:fill="C0C0C0"/>
            <w:vAlign w:val="center"/>
          </w:tcPr>
          <w:p w14:paraId="2B5589D9"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E91C0DB" w14:textId="77777777">
        <w:trPr>
          <w:jc w:val="center"/>
        </w:trPr>
        <w:tc>
          <w:tcPr>
            <w:tcW w:w="825" w:type="pct"/>
            <w:tcBorders>
              <w:top w:val="single" w:sz="6" w:space="0" w:color="auto"/>
            </w:tcBorders>
          </w:tcPr>
          <w:p w14:paraId="1500E76A" w14:textId="77777777" w:rsidR="00A10B25" w:rsidRDefault="00A10B25">
            <w:pPr>
              <w:keepNext/>
              <w:keepLines/>
              <w:spacing w:after="0"/>
              <w:rPr>
                <w:rFonts w:ascii="Arial" w:hAnsi="Arial"/>
                <w:sz w:val="18"/>
              </w:rPr>
            </w:pPr>
            <w:r>
              <w:rPr>
                <w:rFonts w:ascii="Arial" w:hAnsi="Arial"/>
                <w:sz w:val="18"/>
              </w:rPr>
              <w:t>n/a</w:t>
            </w:r>
          </w:p>
        </w:tc>
        <w:tc>
          <w:tcPr>
            <w:tcW w:w="732" w:type="pct"/>
            <w:tcBorders>
              <w:top w:val="single" w:sz="6" w:space="0" w:color="auto"/>
            </w:tcBorders>
          </w:tcPr>
          <w:p w14:paraId="5EBA9C7B" w14:textId="77777777" w:rsidR="00A10B25" w:rsidRDefault="00A10B25">
            <w:pPr>
              <w:keepNext/>
              <w:keepLines/>
              <w:spacing w:after="0"/>
              <w:rPr>
                <w:rFonts w:ascii="Arial" w:hAnsi="Arial"/>
                <w:sz w:val="18"/>
              </w:rPr>
            </w:pPr>
          </w:p>
        </w:tc>
        <w:tc>
          <w:tcPr>
            <w:tcW w:w="217" w:type="pct"/>
            <w:tcBorders>
              <w:top w:val="single" w:sz="6" w:space="0" w:color="auto"/>
            </w:tcBorders>
          </w:tcPr>
          <w:p w14:paraId="381205C2" w14:textId="77777777" w:rsidR="00A10B25" w:rsidRDefault="00A10B25">
            <w:pPr>
              <w:keepNext/>
              <w:keepLines/>
              <w:spacing w:after="0"/>
              <w:jc w:val="center"/>
              <w:rPr>
                <w:rFonts w:ascii="Arial" w:hAnsi="Arial"/>
                <w:sz w:val="18"/>
              </w:rPr>
            </w:pPr>
          </w:p>
        </w:tc>
        <w:tc>
          <w:tcPr>
            <w:tcW w:w="581" w:type="pct"/>
            <w:tcBorders>
              <w:top w:val="single" w:sz="6" w:space="0" w:color="auto"/>
            </w:tcBorders>
          </w:tcPr>
          <w:p w14:paraId="2673AC9C" w14:textId="77777777" w:rsidR="00A10B25" w:rsidRDefault="00A10B25">
            <w:pPr>
              <w:keepNext/>
              <w:keepLines/>
              <w:spacing w:after="0"/>
              <w:rPr>
                <w:rFonts w:ascii="Arial" w:hAnsi="Arial"/>
                <w:sz w:val="18"/>
              </w:rPr>
            </w:pPr>
          </w:p>
        </w:tc>
        <w:tc>
          <w:tcPr>
            <w:tcW w:w="2646" w:type="pct"/>
            <w:tcBorders>
              <w:top w:val="single" w:sz="6" w:space="0" w:color="auto"/>
            </w:tcBorders>
            <w:vAlign w:val="center"/>
          </w:tcPr>
          <w:p w14:paraId="3EB19AF0" w14:textId="77777777" w:rsidR="00A10B25" w:rsidRDefault="00A10B25">
            <w:pPr>
              <w:keepNext/>
              <w:keepLines/>
              <w:spacing w:after="0"/>
              <w:rPr>
                <w:rFonts w:ascii="Arial" w:hAnsi="Arial"/>
                <w:sz w:val="18"/>
              </w:rPr>
            </w:pPr>
          </w:p>
        </w:tc>
      </w:tr>
    </w:tbl>
    <w:p w14:paraId="78A058F6" w14:textId="77777777" w:rsidR="00A10B25" w:rsidRDefault="00A10B25"/>
    <w:p w14:paraId="3A81D98B" w14:textId="77777777" w:rsidR="00A10B25" w:rsidRDefault="00A10B25">
      <w:r>
        <w:t>This method shall support the request data structures specified in table 5.8.3.2.3.1-2 and the response data structures and response codes specified in table 5.8.3.2.3.1-3.</w:t>
      </w:r>
    </w:p>
    <w:p w14:paraId="22836CDC" w14:textId="77777777" w:rsidR="00A10B25" w:rsidRDefault="00A10B25" w:rsidP="0076721C">
      <w:pPr>
        <w:pStyle w:val="TH"/>
      </w:pPr>
      <w:r>
        <w:t>Table 5.8.3.2.3.1-2: Data structures supported by the POST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282D4BB1" w14:textId="77777777">
        <w:trPr>
          <w:jc w:val="center"/>
        </w:trPr>
        <w:tc>
          <w:tcPr>
            <w:tcW w:w="1612" w:type="dxa"/>
            <w:tcBorders>
              <w:bottom w:val="single" w:sz="6" w:space="0" w:color="auto"/>
            </w:tcBorders>
            <w:shd w:val="clear" w:color="auto" w:fill="C0C0C0"/>
          </w:tcPr>
          <w:p w14:paraId="26F3F2B7" w14:textId="77777777" w:rsidR="00A10B25" w:rsidRDefault="00A10B25">
            <w:pPr>
              <w:keepNext/>
              <w:keepLines/>
              <w:spacing w:after="0"/>
              <w:jc w:val="center"/>
              <w:rPr>
                <w:rFonts w:ascii="Arial" w:hAnsi="Arial"/>
                <w:b/>
                <w:sz w:val="18"/>
              </w:rPr>
            </w:pPr>
            <w:r>
              <w:rPr>
                <w:rFonts w:ascii="Arial" w:hAnsi="Arial"/>
                <w:b/>
                <w:sz w:val="18"/>
              </w:rPr>
              <w:t>Data type</w:t>
            </w:r>
          </w:p>
        </w:tc>
        <w:tc>
          <w:tcPr>
            <w:tcW w:w="422" w:type="dxa"/>
            <w:tcBorders>
              <w:bottom w:val="single" w:sz="6" w:space="0" w:color="auto"/>
            </w:tcBorders>
            <w:shd w:val="clear" w:color="auto" w:fill="C0C0C0"/>
          </w:tcPr>
          <w:p w14:paraId="77B31232" w14:textId="77777777" w:rsidR="00A10B25" w:rsidRDefault="00A10B25">
            <w:pPr>
              <w:keepNext/>
              <w:keepLines/>
              <w:spacing w:after="0"/>
              <w:jc w:val="center"/>
              <w:rPr>
                <w:rFonts w:ascii="Arial" w:hAnsi="Arial"/>
                <w:b/>
                <w:sz w:val="18"/>
              </w:rPr>
            </w:pPr>
            <w:r>
              <w:rPr>
                <w:rFonts w:ascii="Arial" w:hAnsi="Arial"/>
                <w:b/>
                <w:sz w:val="18"/>
              </w:rPr>
              <w:t>P</w:t>
            </w:r>
          </w:p>
        </w:tc>
        <w:tc>
          <w:tcPr>
            <w:tcW w:w="1264" w:type="dxa"/>
            <w:tcBorders>
              <w:bottom w:val="single" w:sz="6" w:space="0" w:color="auto"/>
            </w:tcBorders>
            <w:shd w:val="clear" w:color="auto" w:fill="C0C0C0"/>
          </w:tcPr>
          <w:p w14:paraId="2BCDFF74" w14:textId="77777777" w:rsidR="00A10B25" w:rsidRDefault="00A10B25">
            <w:pPr>
              <w:keepNext/>
              <w:keepLines/>
              <w:spacing w:after="0"/>
              <w:jc w:val="center"/>
              <w:rPr>
                <w:rFonts w:ascii="Arial" w:hAnsi="Arial"/>
                <w:b/>
                <w:sz w:val="18"/>
              </w:rPr>
            </w:pPr>
            <w:r>
              <w:rPr>
                <w:rFonts w:ascii="Arial" w:hAnsi="Arial"/>
                <w:b/>
                <w:sz w:val="18"/>
              </w:rPr>
              <w:t>Cardinality</w:t>
            </w:r>
          </w:p>
        </w:tc>
        <w:tc>
          <w:tcPr>
            <w:tcW w:w="6381" w:type="dxa"/>
            <w:tcBorders>
              <w:bottom w:val="single" w:sz="6" w:space="0" w:color="auto"/>
            </w:tcBorders>
            <w:shd w:val="clear" w:color="auto" w:fill="C0C0C0"/>
            <w:vAlign w:val="center"/>
          </w:tcPr>
          <w:p w14:paraId="18CDBF36"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5F227D44" w14:textId="77777777">
        <w:trPr>
          <w:jc w:val="center"/>
        </w:trPr>
        <w:tc>
          <w:tcPr>
            <w:tcW w:w="1612" w:type="dxa"/>
            <w:tcBorders>
              <w:top w:val="single" w:sz="6" w:space="0" w:color="auto"/>
            </w:tcBorders>
          </w:tcPr>
          <w:p w14:paraId="6CBD8D4E" w14:textId="77777777" w:rsidR="00A10B25" w:rsidRDefault="00A10B25">
            <w:pPr>
              <w:keepNext/>
              <w:keepLines/>
              <w:spacing w:after="0"/>
              <w:rPr>
                <w:rFonts w:ascii="Arial" w:hAnsi="Arial"/>
                <w:sz w:val="18"/>
              </w:rPr>
            </w:pPr>
            <w:r>
              <w:rPr>
                <w:rFonts w:ascii="Arial" w:eastAsia="等线" w:hAnsi="Arial"/>
                <w:sz w:val="18"/>
              </w:rPr>
              <w:t>RoamingAnalyticsSubscription</w:t>
            </w:r>
          </w:p>
        </w:tc>
        <w:tc>
          <w:tcPr>
            <w:tcW w:w="422" w:type="dxa"/>
            <w:tcBorders>
              <w:top w:val="single" w:sz="6" w:space="0" w:color="auto"/>
            </w:tcBorders>
          </w:tcPr>
          <w:p w14:paraId="3EE2D888" w14:textId="77777777" w:rsidR="00A10B25" w:rsidRDefault="00A10B25">
            <w:pPr>
              <w:keepNext/>
              <w:keepLines/>
              <w:spacing w:after="0"/>
              <w:jc w:val="center"/>
              <w:rPr>
                <w:rFonts w:ascii="Arial" w:hAnsi="Arial"/>
                <w:sz w:val="18"/>
              </w:rPr>
            </w:pPr>
            <w:r>
              <w:rPr>
                <w:rFonts w:ascii="Arial" w:hAnsi="Arial"/>
                <w:sz w:val="18"/>
              </w:rPr>
              <w:t>M</w:t>
            </w:r>
          </w:p>
        </w:tc>
        <w:tc>
          <w:tcPr>
            <w:tcW w:w="1264" w:type="dxa"/>
            <w:tcBorders>
              <w:top w:val="single" w:sz="6" w:space="0" w:color="auto"/>
            </w:tcBorders>
          </w:tcPr>
          <w:p w14:paraId="1F99A22A" w14:textId="77777777" w:rsidR="00A10B25" w:rsidRDefault="00A10B25">
            <w:pPr>
              <w:keepNext/>
              <w:keepLines/>
              <w:spacing w:after="0"/>
              <w:rPr>
                <w:rFonts w:ascii="Arial" w:hAnsi="Arial"/>
                <w:sz w:val="18"/>
              </w:rPr>
            </w:pPr>
            <w:r>
              <w:rPr>
                <w:rFonts w:ascii="Arial" w:hAnsi="Arial"/>
                <w:sz w:val="18"/>
              </w:rPr>
              <w:t>1</w:t>
            </w:r>
          </w:p>
        </w:tc>
        <w:tc>
          <w:tcPr>
            <w:tcW w:w="6381" w:type="dxa"/>
            <w:tcBorders>
              <w:top w:val="single" w:sz="6" w:space="0" w:color="auto"/>
            </w:tcBorders>
          </w:tcPr>
          <w:p w14:paraId="63EEE70B" w14:textId="77777777" w:rsidR="00A10B25" w:rsidRDefault="00A10B25">
            <w:pPr>
              <w:keepNext/>
              <w:keepLines/>
              <w:spacing w:after="0"/>
              <w:rPr>
                <w:rFonts w:ascii="Arial" w:hAnsi="Arial"/>
                <w:sz w:val="18"/>
              </w:rPr>
            </w:pPr>
            <w:r>
              <w:rPr>
                <w:rFonts w:ascii="Arial" w:hAnsi="Arial"/>
                <w:sz w:val="18"/>
              </w:rPr>
              <w:t xml:space="preserve">Create a new Individual NWDAF Roaming Analytics </w:t>
            </w:r>
            <w:r>
              <w:rPr>
                <w:rFonts w:ascii="Arial" w:hAnsi="Arial"/>
                <w:sz w:val="18"/>
                <w:lang w:eastAsia="ko-KR"/>
              </w:rPr>
              <w:t xml:space="preserve">subscription </w:t>
            </w:r>
            <w:r>
              <w:rPr>
                <w:rFonts w:ascii="Arial" w:hAnsi="Arial"/>
                <w:sz w:val="18"/>
              </w:rPr>
              <w:t>resource.</w:t>
            </w:r>
          </w:p>
        </w:tc>
      </w:tr>
    </w:tbl>
    <w:p w14:paraId="492C859A" w14:textId="77777777" w:rsidR="00A10B25" w:rsidRDefault="00A10B25"/>
    <w:p w14:paraId="4C0E2E00" w14:textId="77777777" w:rsidR="003E1F9F" w:rsidRPr="00F710E9" w:rsidRDefault="003E1F9F" w:rsidP="003E1F9F">
      <w:pPr>
        <w:keepNext/>
        <w:keepLines/>
        <w:spacing w:before="60"/>
        <w:jc w:val="center"/>
        <w:rPr>
          <w:rFonts w:ascii="Arial" w:hAnsi="Arial"/>
          <w:b/>
        </w:rPr>
      </w:pPr>
      <w:r w:rsidRPr="00F710E9">
        <w:rPr>
          <w:rFonts w:ascii="Arial" w:hAnsi="Arial"/>
          <w:b/>
        </w:rPr>
        <w:t>Table 5.8.3.2.3.1-3: Data structures supported by the POST Response Body on this resource</w:t>
      </w:r>
    </w:p>
    <w:tbl>
      <w:tblPr>
        <w:tblW w:w="4956"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3E1F9F" w:rsidRPr="00F710E9" w14:paraId="64440C1E"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570793A9"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58B8962E"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3C66501B"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3C1BFD24"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Response</w:t>
            </w:r>
          </w:p>
          <w:p w14:paraId="18CB260C"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47F5747"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Description</w:t>
            </w:r>
          </w:p>
        </w:tc>
      </w:tr>
      <w:tr w:rsidR="003E1F9F" w:rsidRPr="00F710E9" w14:paraId="52642029"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2191C61F"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RoamingAnalyticsSubscription</w:t>
            </w:r>
          </w:p>
        </w:tc>
        <w:tc>
          <w:tcPr>
            <w:tcW w:w="185" w:type="pct"/>
            <w:tcBorders>
              <w:top w:val="single" w:sz="6" w:space="0" w:color="auto"/>
              <w:left w:val="single" w:sz="6" w:space="0" w:color="auto"/>
              <w:bottom w:val="single" w:sz="6" w:space="0" w:color="auto"/>
              <w:right w:val="single" w:sz="6" w:space="0" w:color="auto"/>
            </w:tcBorders>
          </w:tcPr>
          <w:p w14:paraId="706A6A53"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05" w:type="pct"/>
            <w:tcBorders>
              <w:top w:val="single" w:sz="6" w:space="0" w:color="auto"/>
              <w:left w:val="single" w:sz="6" w:space="0" w:color="auto"/>
              <w:bottom w:val="single" w:sz="6" w:space="0" w:color="auto"/>
              <w:right w:val="single" w:sz="6" w:space="0" w:color="auto"/>
            </w:tcBorders>
          </w:tcPr>
          <w:p w14:paraId="3D7DF4E7" w14:textId="77777777" w:rsidR="003E1F9F" w:rsidRPr="00F710E9" w:rsidRDefault="003E1F9F" w:rsidP="005A20DD">
            <w:pPr>
              <w:keepNext/>
              <w:keepLines/>
              <w:spacing w:after="0"/>
              <w:rPr>
                <w:rFonts w:ascii="Arial" w:hAnsi="Arial"/>
                <w:sz w:val="18"/>
              </w:rPr>
            </w:pPr>
            <w:r w:rsidRPr="00F710E9">
              <w:rPr>
                <w:rFonts w:ascii="Arial" w:hAnsi="Arial"/>
                <w:sz w:val="18"/>
              </w:rPr>
              <w:t>1</w:t>
            </w:r>
          </w:p>
        </w:tc>
        <w:tc>
          <w:tcPr>
            <w:tcW w:w="539" w:type="pct"/>
            <w:tcBorders>
              <w:top w:val="single" w:sz="6" w:space="0" w:color="auto"/>
              <w:left w:val="single" w:sz="6" w:space="0" w:color="auto"/>
              <w:bottom w:val="single" w:sz="6" w:space="0" w:color="auto"/>
              <w:right w:val="single" w:sz="6" w:space="0" w:color="auto"/>
            </w:tcBorders>
          </w:tcPr>
          <w:p w14:paraId="24291A69" w14:textId="77777777" w:rsidR="003E1F9F" w:rsidRPr="00F710E9" w:rsidRDefault="003E1F9F" w:rsidP="005A20DD">
            <w:pPr>
              <w:keepNext/>
              <w:keepLines/>
              <w:spacing w:after="0"/>
              <w:rPr>
                <w:rFonts w:ascii="Arial" w:hAnsi="Arial"/>
                <w:sz w:val="18"/>
              </w:rPr>
            </w:pPr>
            <w:r w:rsidRPr="00F710E9">
              <w:rPr>
                <w:rFonts w:ascii="Arial" w:hAnsi="Arial"/>
                <w:sz w:val="18"/>
              </w:rPr>
              <w:t>201 Created</w:t>
            </w:r>
          </w:p>
        </w:tc>
        <w:tc>
          <w:tcPr>
            <w:tcW w:w="2267" w:type="pct"/>
            <w:tcBorders>
              <w:top w:val="single" w:sz="6" w:space="0" w:color="auto"/>
              <w:left w:val="single" w:sz="6" w:space="0" w:color="auto"/>
              <w:bottom w:val="single" w:sz="6" w:space="0" w:color="auto"/>
              <w:right w:val="single" w:sz="6" w:space="0" w:color="auto"/>
            </w:tcBorders>
          </w:tcPr>
          <w:p w14:paraId="57E6F57A"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The creation of an Individual NWDAF </w:t>
            </w:r>
            <w:r w:rsidRPr="00F710E9">
              <w:rPr>
                <w:rFonts w:ascii="Arial" w:eastAsia="等线" w:hAnsi="Arial"/>
                <w:sz w:val="18"/>
              </w:rPr>
              <w:t>Roaming Analytics</w:t>
            </w:r>
            <w:r w:rsidRPr="00F710E9">
              <w:rPr>
                <w:rFonts w:ascii="Arial" w:hAnsi="Arial"/>
                <w:sz w:val="18"/>
              </w:rPr>
              <w:t xml:space="preserve"> </w:t>
            </w:r>
            <w:r w:rsidRPr="00F710E9">
              <w:rPr>
                <w:rFonts w:ascii="Arial" w:hAnsi="Arial"/>
                <w:sz w:val="18"/>
                <w:lang w:eastAsia="ko-KR"/>
              </w:rPr>
              <w:t xml:space="preserve">subscription </w:t>
            </w:r>
            <w:r w:rsidRPr="00F710E9">
              <w:rPr>
                <w:rFonts w:ascii="Arial" w:hAnsi="Arial"/>
                <w:sz w:val="18"/>
              </w:rPr>
              <w:t>resource is confirmed and a representation of that resource is returned.</w:t>
            </w:r>
          </w:p>
        </w:tc>
      </w:tr>
      <w:tr w:rsidR="003E1F9F" w:rsidRPr="00F710E9" w14:paraId="493AC139"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6632B2BD" w14:textId="77777777" w:rsidR="003E1F9F" w:rsidRPr="00F710E9" w:rsidRDefault="003E1F9F" w:rsidP="005A20DD">
            <w:pPr>
              <w:keepNext/>
              <w:keepLines/>
              <w:spacing w:after="0"/>
              <w:rPr>
                <w:rFonts w:ascii="Arial" w:eastAsia="等线" w:hAnsi="Arial"/>
                <w:sz w:val="18"/>
              </w:rPr>
            </w:pPr>
            <w:r w:rsidRPr="00F710E9">
              <w:rPr>
                <w:rFonts w:ascii="Arial" w:eastAsia="等线"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41FFE170"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10786B4B"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76B8DB68" w14:textId="77777777" w:rsidR="003E1F9F" w:rsidRPr="00F710E9" w:rsidRDefault="003E1F9F" w:rsidP="005A20DD">
            <w:pPr>
              <w:keepNext/>
              <w:keepLines/>
              <w:spacing w:after="0"/>
              <w:rPr>
                <w:rFonts w:ascii="Arial" w:hAnsi="Arial"/>
                <w:sz w:val="18"/>
              </w:rPr>
            </w:pPr>
            <w:r w:rsidRPr="00F710E9">
              <w:rPr>
                <w:rFonts w:ascii="Arial" w:hAnsi="Arial"/>
                <w:sz w:val="18"/>
              </w:rPr>
              <w:t>400 Bad Request</w:t>
            </w:r>
          </w:p>
        </w:tc>
        <w:tc>
          <w:tcPr>
            <w:tcW w:w="2267" w:type="pct"/>
            <w:tcBorders>
              <w:top w:val="single" w:sz="6" w:space="0" w:color="auto"/>
              <w:left w:val="single" w:sz="6" w:space="0" w:color="auto"/>
              <w:bottom w:val="single" w:sz="6" w:space="0" w:color="auto"/>
              <w:right w:val="single" w:sz="6" w:space="0" w:color="auto"/>
            </w:tcBorders>
          </w:tcPr>
          <w:p w14:paraId="2CC629B5"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6632C2A2"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6E137195" w14:textId="77777777" w:rsidR="003E1F9F" w:rsidRPr="00F710E9" w:rsidRDefault="003E1F9F" w:rsidP="005A20DD">
            <w:pPr>
              <w:keepNext/>
              <w:keepLines/>
              <w:spacing w:after="0"/>
              <w:rPr>
                <w:rFonts w:ascii="Arial" w:eastAsia="等线" w:hAnsi="Arial"/>
                <w:sz w:val="18"/>
              </w:rPr>
            </w:pPr>
            <w:r w:rsidRPr="00F710E9">
              <w:rPr>
                <w:rFonts w:ascii="Arial" w:eastAsia="等线"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7AF96513"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4CA78529"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51AC4817"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2267" w:type="pct"/>
            <w:tcBorders>
              <w:top w:val="single" w:sz="6" w:space="0" w:color="auto"/>
              <w:left w:val="single" w:sz="6" w:space="0" w:color="auto"/>
              <w:bottom w:val="single" w:sz="6" w:space="0" w:color="auto"/>
              <w:right w:val="single" w:sz="6" w:space="0" w:color="auto"/>
            </w:tcBorders>
          </w:tcPr>
          <w:p w14:paraId="59567E29"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7607FA47" w14:textId="77777777" w:rsidTr="005A20DD">
        <w:trPr>
          <w:jc w:val="center"/>
        </w:trPr>
        <w:tc>
          <w:tcPr>
            <w:tcW w:w="1404" w:type="pct"/>
            <w:tcBorders>
              <w:top w:val="single" w:sz="6" w:space="0" w:color="auto"/>
              <w:left w:val="single" w:sz="6" w:space="0" w:color="auto"/>
              <w:bottom w:val="single" w:sz="6" w:space="0" w:color="auto"/>
              <w:right w:val="single" w:sz="6" w:space="0" w:color="auto"/>
            </w:tcBorders>
          </w:tcPr>
          <w:p w14:paraId="4461B597" w14:textId="77777777" w:rsidR="003E1F9F" w:rsidRPr="00F710E9" w:rsidRDefault="003E1F9F" w:rsidP="005A20DD">
            <w:pPr>
              <w:keepNext/>
              <w:keepLines/>
              <w:spacing w:after="0"/>
              <w:rPr>
                <w:rFonts w:ascii="Arial" w:eastAsia="等线" w:hAnsi="Arial"/>
                <w:sz w:val="18"/>
              </w:rPr>
            </w:pPr>
            <w:r w:rsidRPr="00F710E9">
              <w:rPr>
                <w:rFonts w:ascii="Arial" w:eastAsia="等线" w:hAnsi="Arial"/>
                <w:sz w:val="18"/>
              </w:rPr>
              <w:t>ProblemDetails</w:t>
            </w:r>
          </w:p>
        </w:tc>
        <w:tc>
          <w:tcPr>
            <w:tcW w:w="185" w:type="pct"/>
            <w:tcBorders>
              <w:top w:val="single" w:sz="6" w:space="0" w:color="auto"/>
              <w:left w:val="single" w:sz="6" w:space="0" w:color="auto"/>
              <w:bottom w:val="single" w:sz="6" w:space="0" w:color="auto"/>
              <w:right w:val="single" w:sz="6" w:space="0" w:color="auto"/>
            </w:tcBorders>
          </w:tcPr>
          <w:p w14:paraId="73803B8B"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05" w:type="pct"/>
            <w:tcBorders>
              <w:top w:val="single" w:sz="6" w:space="0" w:color="auto"/>
              <w:left w:val="single" w:sz="6" w:space="0" w:color="auto"/>
              <w:bottom w:val="single" w:sz="6" w:space="0" w:color="auto"/>
              <w:right w:val="single" w:sz="6" w:space="0" w:color="auto"/>
            </w:tcBorders>
          </w:tcPr>
          <w:p w14:paraId="19792D99"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539" w:type="pct"/>
            <w:tcBorders>
              <w:top w:val="single" w:sz="6" w:space="0" w:color="auto"/>
              <w:left w:val="single" w:sz="6" w:space="0" w:color="auto"/>
              <w:bottom w:val="single" w:sz="6" w:space="0" w:color="auto"/>
              <w:right w:val="single" w:sz="6" w:space="0" w:color="auto"/>
            </w:tcBorders>
          </w:tcPr>
          <w:p w14:paraId="58D701D9" w14:textId="77777777" w:rsidR="003E1F9F" w:rsidRPr="00F710E9" w:rsidRDefault="003E1F9F" w:rsidP="005A20DD">
            <w:pPr>
              <w:keepNext/>
              <w:keepLines/>
              <w:spacing w:after="0"/>
              <w:rPr>
                <w:rFonts w:ascii="Arial" w:hAnsi="Arial"/>
                <w:sz w:val="18"/>
              </w:rPr>
            </w:pPr>
            <w:r w:rsidRPr="00F710E9">
              <w:rPr>
                <w:rFonts w:ascii="Arial" w:hAnsi="Arial"/>
                <w:sz w:val="18"/>
              </w:rPr>
              <w:t>500 Internal Server Error</w:t>
            </w:r>
          </w:p>
        </w:tc>
        <w:tc>
          <w:tcPr>
            <w:tcW w:w="2267" w:type="pct"/>
            <w:tcBorders>
              <w:top w:val="single" w:sz="6" w:space="0" w:color="auto"/>
              <w:left w:val="single" w:sz="6" w:space="0" w:color="auto"/>
              <w:bottom w:val="single" w:sz="6" w:space="0" w:color="auto"/>
              <w:right w:val="single" w:sz="6" w:space="0" w:color="auto"/>
            </w:tcBorders>
          </w:tcPr>
          <w:p w14:paraId="4B6ED5AC"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2AC1A72A"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2B196AFB"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lang w:val="en-US" w:eastAsia="zh-CN"/>
              </w:rPr>
              <w:tab/>
              <w:t xml:space="preserve">The mandatory </w:t>
            </w:r>
            <w:r w:rsidRPr="00F710E9">
              <w:rPr>
                <w:rFonts w:ascii="Arial" w:hAnsi="Arial"/>
                <w:sz w:val="18"/>
              </w:rPr>
              <w:t>HTTP error status codes for the POST method listed in table 5.2.7.1-1 of 3GPP TS 29.500 [6] also apply.</w:t>
            </w:r>
          </w:p>
          <w:p w14:paraId="0929FC53" w14:textId="77777777" w:rsidR="003E1F9F" w:rsidRPr="00F710E9" w:rsidRDefault="003E1F9F" w:rsidP="005A20DD">
            <w:pPr>
              <w:keepNext/>
              <w:keepLines/>
              <w:spacing w:after="0"/>
              <w:ind w:left="851" w:hanging="851"/>
              <w:rPr>
                <w:rFonts w:ascii="Arial" w:hAnsi="Arial"/>
                <w:sz w:val="18"/>
                <w:lang w:val="en-US" w:eastAsia="zh-CN"/>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5.8.7.</w:t>
            </w:r>
          </w:p>
        </w:tc>
      </w:tr>
    </w:tbl>
    <w:p w14:paraId="6236B3C6" w14:textId="77777777" w:rsidR="003E1F9F" w:rsidRPr="00F710E9" w:rsidRDefault="003E1F9F" w:rsidP="003E1F9F"/>
    <w:p w14:paraId="679B91A3" w14:textId="77777777" w:rsidR="00A10B25" w:rsidRDefault="00A10B25" w:rsidP="0076721C">
      <w:pPr>
        <w:pStyle w:val="TH"/>
      </w:pPr>
      <w:r>
        <w:t>Table</w:t>
      </w:r>
      <w:r>
        <w:rPr>
          <w:lang w:val="en-US" w:eastAsia="zh-CN"/>
        </w:rPr>
        <w:t> </w:t>
      </w:r>
      <w:r>
        <w:rPr>
          <w:rFonts w:eastAsia="MS Mincho"/>
        </w:rPr>
        <w:t>5.8.3.2.3.1</w:t>
      </w:r>
      <w:r>
        <w:t xml:space="preserve">-4: Headers supported by the 201 Response Code on this resource </w:t>
      </w:r>
    </w:p>
    <w:tbl>
      <w:tblPr>
        <w:tblW w:w="0" w:type="auto"/>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A10B25" w14:paraId="0B01A19A" w14:textId="77777777">
        <w:trPr>
          <w:jc w:val="center"/>
        </w:trPr>
        <w:tc>
          <w:tcPr>
            <w:tcW w:w="1832" w:type="dxa"/>
            <w:tcBorders>
              <w:bottom w:val="single" w:sz="6" w:space="0" w:color="auto"/>
            </w:tcBorders>
            <w:shd w:val="clear" w:color="auto" w:fill="C0C0C0"/>
          </w:tcPr>
          <w:p w14:paraId="562F0AD5" w14:textId="77777777" w:rsidR="00A10B25" w:rsidRDefault="00A10B25">
            <w:pPr>
              <w:keepNext/>
              <w:keepLines/>
              <w:spacing w:after="0"/>
              <w:jc w:val="center"/>
              <w:rPr>
                <w:rFonts w:ascii="Arial" w:hAnsi="Arial"/>
                <w:b/>
                <w:sz w:val="18"/>
              </w:rPr>
            </w:pPr>
            <w:r>
              <w:rPr>
                <w:rFonts w:ascii="Arial" w:hAnsi="Arial"/>
                <w:b/>
                <w:sz w:val="18"/>
              </w:rPr>
              <w:t>Name</w:t>
            </w:r>
          </w:p>
        </w:tc>
        <w:tc>
          <w:tcPr>
            <w:tcW w:w="1559" w:type="dxa"/>
            <w:tcBorders>
              <w:bottom w:val="single" w:sz="6" w:space="0" w:color="auto"/>
            </w:tcBorders>
            <w:shd w:val="clear" w:color="auto" w:fill="C0C0C0"/>
          </w:tcPr>
          <w:p w14:paraId="65BF6771" w14:textId="77777777" w:rsidR="00A10B25" w:rsidRDefault="00A10B25">
            <w:pPr>
              <w:keepNext/>
              <w:keepLines/>
              <w:spacing w:after="0"/>
              <w:jc w:val="center"/>
              <w:rPr>
                <w:rFonts w:ascii="Arial" w:hAnsi="Arial"/>
                <w:b/>
                <w:sz w:val="18"/>
              </w:rPr>
            </w:pPr>
            <w:r>
              <w:rPr>
                <w:rFonts w:ascii="Arial" w:hAnsi="Arial"/>
                <w:b/>
                <w:sz w:val="18"/>
              </w:rPr>
              <w:t>Data type</w:t>
            </w:r>
          </w:p>
        </w:tc>
        <w:tc>
          <w:tcPr>
            <w:tcW w:w="426" w:type="dxa"/>
            <w:tcBorders>
              <w:bottom w:val="single" w:sz="6" w:space="0" w:color="auto"/>
            </w:tcBorders>
            <w:shd w:val="clear" w:color="auto" w:fill="C0C0C0"/>
          </w:tcPr>
          <w:p w14:paraId="7AF040A0" w14:textId="77777777" w:rsidR="00A10B25" w:rsidRDefault="00A10B25">
            <w:pPr>
              <w:keepNext/>
              <w:keepLines/>
              <w:spacing w:after="0"/>
              <w:jc w:val="center"/>
              <w:rPr>
                <w:rFonts w:ascii="Arial" w:hAnsi="Arial"/>
                <w:b/>
                <w:sz w:val="18"/>
              </w:rPr>
            </w:pPr>
            <w:r>
              <w:rPr>
                <w:rFonts w:ascii="Arial" w:hAnsi="Arial"/>
                <w:b/>
                <w:sz w:val="18"/>
              </w:rPr>
              <w:t>P</w:t>
            </w:r>
          </w:p>
        </w:tc>
        <w:tc>
          <w:tcPr>
            <w:tcW w:w="1275" w:type="dxa"/>
            <w:tcBorders>
              <w:bottom w:val="single" w:sz="6" w:space="0" w:color="auto"/>
            </w:tcBorders>
            <w:shd w:val="clear" w:color="auto" w:fill="C0C0C0"/>
          </w:tcPr>
          <w:p w14:paraId="6DEC2D83" w14:textId="77777777" w:rsidR="00A10B25" w:rsidRDefault="00A10B25">
            <w:pPr>
              <w:keepNext/>
              <w:keepLines/>
              <w:spacing w:after="0"/>
              <w:jc w:val="center"/>
              <w:rPr>
                <w:rFonts w:ascii="Arial" w:hAnsi="Arial"/>
                <w:b/>
                <w:sz w:val="18"/>
              </w:rPr>
            </w:pPr>
            <w:r>
              <w:rPr>
                <w:rFonts w:ascii="Arial" w:hAnsi="Arial"/>
                <w:b/>
                <w:sz w:val="18"/>
              </w:rPr>
              <w:t>Cardinality</w:t>
            </w:r>
          </w:p>
        </w:tc>
        <w:tc>
          <w:tcPr>
            <w:tcW w:w="4524" w:type="dxa"/>
            <w:tcBorders>
              <w:bottom w:val="single" w:sz="6" w:space="0" w:color="auto"/>
            </w:tcBorders>
            <w:shd w:val="clear" w:color="auto" w:fill="C0C0C0"/>
            <w:vAlign w:val="center"/>
          </w:tcPr>
          <w:p w14:paraId="189AF04E"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090D93FB" w14:textId="77777777">
        <w:trPr>
          <w:jc w:val="center"/>
        </w:trPr>
        <w:tc>
          <w:tcPr>
            <w:tcW w:w="1832" w:type="dxa"/>
            <w:tcBorders>
              <w:top w:val="single" w:sz="6" w:space="0" w:color="auto"/>
            </w:tcBorders>
          </w:tcPr>
          <w:p w14:paraId="58A14C70" w14:textId="77777777" w:rsidR="00A10B25" w:rsidRDefault="00A10B25">
            <w:pPr>
              <w:keepNext/>
              <w:keepLines/>
              <w:spacing w:after="0"/>
              <w:rPr>
                <w:rFonts w:ascii="Arial" w:hAnsi="Arial"/>
                <w:sz w:val="18"/>
              </w:rPr>
            </w:pPr>
            <w:r>
              <w:rPr>
                <w:rFonts w:ascii="Arial" w:hAnsi="Arial"/>
                <w:sz w:val="18"/>
              </w:rPr>
              <w:t>Location</w:t>
            </w:r>
          </w:p>
        </w:tc>
        <w:tc>
          <w:tcPr>
            <w:tcW w:w="1559" w:type="dxa"/>
            <w:tcBorders>
              <w:top w:val="single" w:sz="6" w:space="0" w:color="auto"/>
            </w:tcBorders>
          </w:tcPr>
          <w:p w14:paraId="3EFE4712" w14:textId="77777777" w:rsidR="00A10B25" w:rsidRDefault="00A10B25">
            <w:pPr>
              <w:keepNext/>
              <w:keepLines/>
              <w:spacing w:after="0"/>
              <w:rPr>
                <w:rFonts w:ascii="Arial" w:hAnsi="Arial"/>
                <w:sz w:val="18"/>
              </w:rPr>
            </w:pPr>
            <w:r>
              <w:rPr>
                <w:rFonts w:ascii="Arial" w:hAnsi="Arial"/>
                <w:sz w:val="18"/>
              </w:rPr>
              <w:t>string</w:t>
            </w:r>
          </w:p>
        </w:tc>
        <w:tc>
          <w:tcPr>
            <w:tcW w:w="426" w:type="dxa"/>
            <w:tcBorders>
              <w:top w:val="single" w:sz="6" w:space="0" w:color="auto"/>
            </w:tcBorders>
          </w:tcPr>
          <w:p w14:paraId="3BF943F9" w14:textId="77777777" w:rsidR="00A10B25" w:rsidRDefault="00A10B25">
            <w:pPr>
              <w:keepNext/>
              <w:keepLines/>
              <w:spacing w:after="0"/>
              <w:jc w:val="center"/>
              <w:rPr>
                <w:rFonts w:ascii="Arial" w:hAnsi="Arial"/>
                <w:sz w:val="18"/>
              </w:rPr>
            </w:pPr>
            <w:r>
              <w:rPr>
                <w:rFonts w:ascii="Arial" w:hAnsi="Arial"/>
                <w:sz w:val="18"/>
              </w:rPr>
              <w:t>M</w:t>
            </w:r>
          </w:p>
        </w:tc>
        <w:tc>
          <w:tcPr>
            <w:tcW w:w="1275" w:type="dxa"/>
            <w:tcBorders>
              <w:top w:val="single" w:sz="6" w:space="0" w:color="auto"/>
            </w:tcBorders>
          </w:tcPr>
          <w:p w14:paraId="64B17767" w14:textId="77777777" w:rsidR="00A10B25" w:rsidRDefault="00A10B25">
            <w:pPr>
              <w:keepNext/>
              <w:keepLines/>
              <w:spacing w:after="0"/>
              <w:rPr>
                <w:rFonts w:ascii="Arial" w:hAnsi="Arial"/>
                <w:sz w:val="18"/>
              </w:rPr>
            </w:pPr>
            <w:r>
              <w:rPr>
                <w:rFonts w:ascii="Arial" w:hAnsi="Arial"/>
                <w:sz w:val="18"/>
              </w:rPr>
              <w:t>1</w:t>
            </w:r>
          </w:p>
        </w:tc>
        <w:tc>
          <w:tcPr>
            <w:tcW w:w="4524" w:type="dxa"/>
            <w:tcBorders>
              <w:top w:val="single" w:sz="6" w:space="0" w:color="auto"/>
            </w:tcBorders>
            <w:vAlign w:val="center"/>
          </w:tcPr>
          <w:p w14:paraId="073EA35B" w14:textId="77777777" w:rsidR="00A10B25" w:rsidRDefault="00A10B25">
            <w:pPr>
              <w:keepNext/>
              <w:keepLines/>
              <w:spacing w:after="0"/>
              <w:rPr>
                <w:rFonts w:ascii="Arial" w:hAnsi="Arial"/>
                <w:sz w:val="18"/>
              </w:rPr>
            </w:pPr>
            <w:r>
              <w:rPr>
                <w:rFonts w:ascii="Arial" w:hAnsi="Arial"/>
                <w:sz w:val="18"/>
              </w:rPr>
              <w:t>Contains the URI of the newly created resource, according to the structure: {apiRoot}/nnwdaf-</w:t>
            </w:r>
            <w:r>
              <w:rPr>
                <w:rFonts w:ascii="Arial" w:eastAsia="等线" w:hAnsi="Arial"/>
                <w:sz w:val="18"/>
              </w:rPr>
              <w:t>roaminganalytics</w:t>
            </w:r>
            <w:r>
              <w:rPr>
                <w:rFonts w:ascii="Arial" w:hAnsi="Arial"/>
                <w:sz w:val="18"/>
              </w:rPr>
              <w:t>/&lt;apiVersion&gt;/subscriptions/{</w:t>
            </w:r>
            <w:r>
              <w:rPr>
                <w:rFonts w:ascii="Arial" w:hAnsi="Arial"/>
                <w:sz w:val="18"/>
                <w:lang w:eastAsia="ko-KR"/>
              </w:rPr>
              <w:t>subscription</w:t>
            </w:r>
            <w:r>
              <w:rPr>
                <w:rFonts w:ascii="Arial" w:hAnsi="Arial"/>
                <w:sz w:val="18"/>
              </w:rPr>
              <w:t>Id}</w:t>
            </w:r>
          </w:p>
        </w:tc>
      </w:tr>
    </w:tbl>
    <w:p w14:paraId="68F2C751" w14:textId="77777777" w:rsidR="00A10B25" w:rsidRDefault="00A10B25"/>
    <w:p w14:paraId="44D5650A" w14:textId="77777777" w:rsidR="00A10B25" w:rsidRDefault="00A10B25" w:rsidP="0076721C">
      <w:pPr>
        <w:pStyle w:val="5"/>
      </w:pPr>
      <w:bookmarkStart w:id="16408" w:name="_Toc164921262"/>
      <w:bookmarkStart w:id="16409" w:name="_Toc170120804"/>
      <w:bookmarkStart w:id="16410" w:name="_Toc175859049"/>
      <w:bookmarkStart w:id="16411" w:name="_Toc175860123"/>
      <w:bookmarkStart w:id="16412" w:name="_Toc180606413"/>
      <w:bookmarkStart w:id="16413" w:name="_Toc185517674"/>
      <w:bookmarkStart w:id="16414" w:name="_Toc191576726"/>
      <w:bookmarkStart w:id="16415" w:name="_Toc191577466"/>
      <w:bookmarkStart w:id="16416" w:name="_Toc192880536"/>
      <w:bookmarkStart w:id="16417" w:name="_Toc195815425"/>
      <w:bookmarkStart w:id="16418" w:name="_Toc199453392"/>
      <w:r>
        <w:t>5.8.3.2.4</w:t>
      </w:r>
      <w:r>
        <w:tab/>
        <w:t>Resource Custom Operations</w:t>
      </w:r>
      <w:bookmarkEnd w:id="16408"/>
      <w:bookmarkEnd w:id="16409"/>
      <w:bookmarkEnd w:id="16410"/>
      <w:bookmarkEnd w:id="16411"/>
      <w:bookmarkEnd w:id="16412"/>
      <w:bookmarkEnd w:id="16413"/>
      <w:bookmarkEnd w:id="16414"/>
      <w:bookmarkEnd w:id="16415"/>
      <w:bookmarkEnd w:id="16416"/>
      <w:bookmarkEnd w:id="16417"/>
      <w:bookmarkEnd w:id="16418"/>
    </w:p>
    <w:p w14:paraId="4991F8B7" w14:textId="77777777" w:rsidR="00A10B25" w:rsidRDefault="00A10B25">
      <w:pPr>
        <w:rPr>
          <w:lang w:val="en-US" w:eastAsia="zh-CN"/>
        </w:rPr>
      </w:pPr>
      <w:r>
        <w:t>None in this release of the specification.</w:t>
      </w:r>
    </w:p>
    <w:p w14:paraId="7FFF5447" w14:textId="77777777" w:rsidR="00A10B25" w:rsidRDefault="00A10B25" w:rsidP="0076721C">
      <w:pPr>
        <w:pStyle w:val="4"/>
      </w:pPr>
      <w:bookmarkStart w:id="16419" w:name="_Toc164921263"/>
      <w:bookmarkStart w:id="16420" w:name="_Toc170120805"/>
      <w:bookmarkStart w:id="16421" w:name="_Toc175859050"/>
      <w:bookmarkStart w:id="16422" w:name="_Toc175860124"/>
      <w:bookmarkStart w:id="16423" w:name="_Toc180606414"/>
      <w:bookmarkStart w:id="16424" w:name="_Toc185517675"/>
      <w:bookmarkStart w:id="16425" w:name="_Toc191576727"/>
      <w:bookmarkStart w:id="16426" w:name="_Toc191577467"/>
      <w:bookmarkStart w:id="16427" w:name="_Toc192880537"/>
      <w:bookmarkStart w:id="16428" w:name="_Toc195815426"/>
      <w:bookmarkStart w:id="16429" w:name="_Toc199453393"/>
      <w:r>
        <w:lastRenderedPageBreak/>
        <w:t>5.8.3.3</w:t>
      </w:r>
      <w:r>
        <w:tab/>
        <w:t>Resource: Individual NWDAF Roaming Analytics Subscription</w:t>
      </w:r>
      <w:bookmarkEnd w:id="16419"/>
      <w:bookmarkEnd w:id="16420"/>
      <w:bookmarkEnd w:id="16421"/>
      <w:bookmarkEnd w:id="16422"/>
      <w:bookmarkEnd w:id="16423"/>
      <w:bookmarkEnd w:id="16424"/>
      <w:bookmarkEnd w:id="16425"/>
      <w:bookmarkEnd w:id="16426"/>
      <w:bookmarkEnd w:id="16427"/>
      <w:bookmarkEnd w:id="16428"/>
      <w:bookmarkEnd w:id="16429"/>
    </w:p>
    <w:p w14:paraId="015112CB" w14:textId="77777777" w:rsidR="00A10B25" w:rsidRDefault="00A10B25" w:rsidP="0076721C">
      <w:pPr>
        <w:pStyle w:val="5"/>
      </w:pPr>
      <w:bookmarkStart w:id="16430" w:name="_Toc164921264"/>
      <w:bookmarkStart w:id="16431" w:name="_Toc170120806"/>
      <w:bookmarkStart w:id="16432" w:name="_Toc175859051"/>
      <w:bookmarkStart w:id="16433" w:name="_Toc175860125"/>
      <w:bookmarkStart w:id="16434" w:name="_Toc180606415"/>
      <w:bookmarkStart w:id="16435" w:name="_Toc185517676"/>
      <w:bookmarkStart w:id="16436" w:name="_Toc191576728"/>
      <w:bookmarkStart w:id="16437" w:name="_Toc191577468"/>
      <w:bookmarkStart w:id="16438" w:name="_Toc192880538"/>
      <w:bookmarkStart w:id="16439" w:name="_Toc195815427"/>
      <w:bookmarkStart w:id="16440" w:name="_Toc199453394"/>
      <w:r>
        <w:t>5.8.3.3.1</w:t>
      </w:r>
      <w:r>
        <w:tab/>
        <w:t>Description</w:t>
      </w:r>
      <w:bookmarkEnd w:id="16430"/>
      <w:bookmarkEnd w:id="16431"/>
      <w:bookmarkEnd w:id="16432"/>
      <w:bookmarkEnd w:id="16433"/>
      <w:bookmarkEnd w:id="16434"/>
      <w:bookmarkEnd w:id="16435"/>
      <w:bookmarkEnd w:id="16436"/>
      <w:bookmarkEnd w:id="16437"/>
      <w:bookmarkEnd w:id="16438"/>
      <w:bookmarkEnd w:id="16439"/>
      <w:bookmarkEnd w:id="16440"/>
    </w:p>
    <w:p w14:paraId="1E4AB7E9" w14:textId="77777777" w:rsidR="00A10B25" w:rsidRDefault="00A10B25">
      <w:r>
        <w:t xml:space="preserve">The Individual NWDAF </w:t>
      </w:r>
      <w:r>
        <w:rPr>
          <w:rFonts w:eastAsia="等线"/>
        </w:rPr>
        <w:t>Roaming Analytics</w:t>
      </w:r>
      <w:r>
        <w:t xml:space="preserve"> Subscription resource represents a single subscription to the Nnwdaf_</w:t>
      </w:r>
      <w:r>
        <w:rPr>
          <w:rFonts w:eastAsia="等线"/>
        </w:rPr>
        <w:t>RoamingAnalytics</w:t>
      </w:r>
      <w:r>
        <w:t xml:space="preserve"> Service at a given RE-NWDAF.</w:t>
      </w:r>
    </w:p>
    <w:p w14:paraId="337E2809" w14:textId="77777777" w:rsidR="00A10B25" w:rsidRDefault="00A10B25" w:rsidP="0076721C">
      <w:pPr>
        <w:pStyle w:val="5"/>
      </w:pPr>
      <w:bookmarkStart w:id="16441" w:name="_Toc164921265"/>
      <w:bookmarkStart w:id="16442" w:name="_Toc170120807"/>
      <w:bookmarkStart w:id="16443" w:name="_Toc175859052"/>
      <w:bookmarkStart w:id="16444" w:name="_Toc175860126"/>
      <w:bookmarkStart w:id="16445" w:name="_Toc180606416"/>
      <w:bookmarkStart w:id="16446" w:name="_Toc185517677"/>
      <w:bookmarkStart w:id="16447" w:name="_Toc191576729"/>
      <w:bookmarkStart w:id="16448" w:name="_Toc191577469"/>
      <w:bookmarkStart w:id="16449" w:name="_Toc192880539"/>
      <w:bookmarkStart w:id="16450" w:name="_Toc195815428"/>
      <w:bookmarkStart w:id="16451" w:name="_Toc199453395"/>
      <w:r>
        <w:t>5.8.3.3.2</w:t>
      </w:r>
      <w:r>
        <w:tab/>
        <w:t>Resource definition</w:t>
      </w:r>
      <w:bookmarkEnd w:id="16441"/>
      <w:bookmarkEnd w:id="16442"/>
      <w:bookmarkEnd w:id="16443"/>
      <w:bookmarkEnd w:id="16444"/>
      <w:bookmarkEnd w:id="16445"/>
      <w:bookmarkEnd w:id="16446"/>
      <w:bookmarkEnd w:id="16447"/>
      <w:bookmarkEnd w:id="16448"/>
      <w:bookmarkEnd w:id="16449"/>
      <w:bookmarkEnd w:id="16450"/>
      <w:bookmarkEnd w:id="16451"/>
    </w:p>
    <w:p w14:paraId="09D29DB4" w14:textId="77777777" w:rsidR="00A10B25" w:rsidRDefault="00A10B25">
      <w:r>
        <w:t xml:space="preserve">Resource URI: </w:t>
      </w:r>
      <w:r>
        <w:rPr>
          <w:b/>
        </w:rPr>
        <w:t>{apiRoot}/nnwdaf-roaminganalytics/&lt;apiVersion&gt;/subscriptions/{subscriptionId}</w:t>
      </w:r>
    </w:p>
    <w:p w14:paraId="6FF8B59A" w14:textId="77777777" w:rsidR="00A10B25" w:rsidRDefault="00A10B25">
      <w:pPr>
        <w:rPr>
          <w:lang w:val="en-US"/>
        </w:rPr>
      </w:pPr>
      <w:r>
        <w:rPr>
          <w:lang w:val="en-US" w:eastAsia="zh-CN"/>
        </w:rPr>
        <w:t>The &lt;apiVersion&gt; shall be set as described in clause 5.8.1.</w:t>
      </w:r>
    </w:p>
    <w:p w14:paraId="335BC7C6" w14:textId="77777777" w:rsidR="00A10B25" w:rsidRDefault="00A10B25">
      <w:r>
        <w:t>This resource shall support the resource URI variables defined in table 5.8.3.3.2-1</w:t>
      </w:r>
      <w:r>
        <w:rPr>
          <w:rFonts w:ascii="Arial" w:hAnsi="Arial" w:cs="Arial"/>
        </w:rPr>
        <w:t>.</w:t>
      </w:r>
    </w:p>
    <w:p w14:paraId="630BCBAC" w14:textId="77777777" w:rsidR="00A10B25" w:rsidRDefault="00A10B25" w:rsidP="0076721C">
      <w:pPr>
        <w:pStyle w:val="TH"/>
      </w:pPr>
      <w:r>
        <w:t>Table 5.8.3.3.2-1: Resource URI variables for this resource</w:t>
      </w:r>
    </w:p>
    <w:tbl>
      <w:tblPr>
        <w:tblW w:w="5001"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A10B25" w14:paraId="6E5FCD70" w14:textId="77777777">
        <w:trPr>
          <w:jc w:val="center"/>
        </w:trPr>
        <w:tc>
          <w:tcPr>
            <w:tcW w:w="639" w:type="pct"/>
            <w:shd w:val="clear" w:color="000000" w:fill="C0C0C0"/>
          </w:tcPr>
          <w:p w14:paraId="56917008" w14:textId="77777777" w:rsidR="00A10B25" w:rsidRDefault="00A10B25">
            <w:pPr>
              <w:keepNext/>
              <w:keepLines/>
              <w:spacing w:after="0"/>
              <w:jc w:val="center"/>
              <w:rPr>
                <w:rFonts w:ascii="Arial" w:hAnsi="Arial"/>
                <w:b/>
                <w:sz w:val="18"/>
              </w:rPr>
            </w:pPr>
            <w:r>
              <w:rPr>
                <w:rFonts w:ascii="Arial" w:hAnsi="Arial"/>
                <w:b/>
                <w:sz w:val="18"/>
              </w:rPr>
              <w:t>Name</w:t>
            </w:r>
          </w:p>
        </w:tc>
        <w:tc>
          <w:tcPr>
            <w:tcW w:w="846" w:type="pct"/>
            <w:shd w:val="clear" w:color="000000" w:fill="C0C0C0"/>
          </w:tcPr>
          <w:p w14:paraId="2483C7FD" w14:textId="77777777" w:rsidR="00A10B25" w:rsidRDefault="00A10B25">
            <w:pPr>
              <w:keepNext/>
              <w:keepLines/>
              <w:spacing w:after="0"/>
              <w:jc w:val="center"/>
              <w:rPr>
                <w:rFonts w:ascii="Arial" w:hAnsi="Arial"/>
                <w:b/>
                <w:sz w:val="18"/>
              </w:rPr>
            </w:pPr>
            <w:r>
              <w:rPr>
                <w:rFonts w:ascii="Arial" w:hAnsi="Arial"/>
                <w:b/>
                <w:sz w:val="18"/>
                <w:lang w:eastAsia="zh-CN"/>
              </w:rPr>
              <w:t>Data type</w:t>
            </w:r>
          </w:p>
        </w:tc>
        <w:tc>
          <w:tcPr>
            <w:tcW w:w="3515" w:type="pct"/>
            <w:shd w:val="clear" w:color="000000" w:fill="C0C0C0"/>
            <w:vAlign w:val="center"/>
          </w:tcPr>
          <w:p w14:paraId="6E9BE9A8" w14:textId="77777777" w:rsidR="00A10B25" w:rsidRDefault="00A10B25">
            <w:pPr>
              <w:keepNext/>
              <w:keepLines/>
              <w:spacing w:after="0"/>
              <w:jc w:val="center"/>
              <w:rPr>
                <w:rFonts w:ascii="Arial" w:hAnsi="Arial"/>
                <w:b/>
                <w:sz w:val="18"/>
              </w:rPr>
            </w:pPr>
            <w:r>
              <w:rPr>
                <w:rFonts w:ascii="Arial" w:hAnsi="Arial"/>
                <w:b/>
                <w:sz w:val="18"/>
              </w:rPr>
              <w:t>Definition</w:t>
            </w:r>
          </w:p>
        </w:tc>
      </w:tr>
      <w:tr w:rsidR="00A10B25" w14:paraId="1904D809" w14:textId="77777777">
        <w:trPr>
          <w:jc w:val="center"/>
        </w:trPr>
        <w:tc>
          <w:tcPr>
            <w:tcW w:w="639" w:type="pct"/>
          </w:tcPr>
          <w:p w14:paraId="6C5921D1" w14:textId="77777777" w:rsidR="00A10B25" w:rsidRDefault="00A10B25">
            <w:pPr>
              <w:keepNext/>
              <w:keepLines/>
              <w:spacing w:after="0"/>
              <w:rPr>
                <w:rFonts w:ascii="Arial" w:hAnsi="Arial"/>
                <w:sz w:val="18"/>
              </w:rPr>
            </w:pPr>
            <w:r>
              <w:rPr>
                <w:rFonts w:ascii="Arial" w:hAnsi="Arial"/>
                <w:sz w:val="18"/>
              </w:rPr>
              <w:t>apiRoot</w:t>
            </w:r>
          </w:p>
        </w:tc>
        <w:tc>
          <w:tcPr>
            <w:tcW w:w="846" w:type="pct"/>
          </w:tcPr>
          <w:p w14:paraId="327350ED" w14:textId="77777777" w:rsidR="00A10B25" w:rsidRDefault="00A10B25">
            <w:pPr>
              <w:keepNext/>
              <w:keepLines/>
              <w:spacing w:after="0"/>
              <w:rPr>
                <w:rFonts w:ascii="Arial" w:hAnsi="Arial"/>
                <w:sz w:val="18"/>
              </w:rPr>
            </w:pPr>
            <w:r>
              <w:rPr>
                <w:rFonts w:ascii="Arial" w:hAnsi="Arial"/>
                <w:sz w:val="18"/>
              </w:rPr>
              <w:t>string</w:t>
            </w:r>
          </w:p>
        </w:tc>
        <w:tc>
          <w:tcPr>
            <w:tcW w:w="3515" w:type="pct"/>
            <w:vAlign w:val="center"/>
          </w:tcPr>
          <w:p w14:paraId="0CF473A2" w14:textId="77777777" w:rsidR="00A10B25" w:rsidRDefault="00A10B25">
            <w:pPr>
              <w:keepNext/>
              <w:keepLines/>
              <w:spacing w:after="0"/>
              <w:rPr>
                <w:rFonts w:ascii="Arial" w:hAnsi="Arial"/>
                <w:sz w:val="18"/>
              </w:rPr>
            </w:pPr>
            <w:r>
              <w:rPr>
                <w:rFonts w:ascii="Arial" w:hAnsi="Arial"/>
                <w:sz w:val="18"/>
              </w:rPr>
              <w:t>See clause</w:t>
            </w:r>
            <w:r>
              <w:rPr>
                <w:rFonts w:ascii="Arial" w:hAnsi="Arial"/>
                <w:sz w:val="18"/>
                <w:lang w:val="en-US" w:eastAsia="zh-CN"/>
              </w:rPr>
              <w:t> </w:t>
            </w:r>
            <w:r>
              <w:rPr>
                <w:rFonts w:ascii="Arial" w:hAnsi="Arial"/>
                <w:sz w:val="18"/>
              </w:rPr>
              <w:t>5.8.1.</w:t>
            </w:r>
          </w:p>
        </w:tc>
      </w:tr>
      <w:tr w:rsidR="00A10B25" w14:paraId="03DDD916" w14:textId="77777777">
        <w:trPr>
          <w:jc w:val="center"/>
        </w:trPr>
        <w:tc>
          <w:tcPr>
            <w:tcW w:w="639" w:type="pct"/>
          </w:tcPr>
          <w:p w14:paraId="69E07E00" w14:textId="77777777" w:rsidR="00A10B25" w:rsidRDefault="00A10B25">
            <w:pPr>
              <w:keepNext/>
              <w:keepLines/>
              <w:spacing w:after="0"/>
              <w:rPr>
                <w:rFonts w:ascii="Arial" w:hAnsi="Arial"/>
                <w:sz w:val="18"/>
              </w:rPr>
            </w:pPr>
            <w:r>
              <w:rPr>
                <w:rFonts w:ascii="Arial" w:hAnsi="Arial"/>
                <w:sz w:val="18"/>
              </w:rPr>
              <w:t>subscriptionId</w:t>
            </w:r>
          </w:p>
        </w:tc>
        <w:tc>
          <w:tcPr>
            <w:tcW w:w="846" w:type="pct"/>
          </w:tcPr>
          <w:p w14:paraId="644EB0B2" w14:textId="77777777" w:rsidR="00A10B25" w:rsidRDefault="00A10B25">
            <w:pPr>
              <w:keepNext/>
              <w:keepLines/>
              <w:spacing w:after="0"/>
              <w:rPr>
                <w:rFonts w:ascii="Arial" w:hAnsi="Arial"/>
                <w:sz w:val="18"/>
              </w:rPr>
            </w:pPr>
            <w:r>
              <w:rPr>
                <w:rFonts w:ascii="Arial" w:hAnsi="Arial"/>
                <w:sz w:val="18"/>
              </w:rPr>
              <w:t>string</w:t>
            </w:r>
          </w:p>
        </w:tc>
        <w:tc>
          <w:tcPr>
            <w:tcW w:w="3515" w:type="pct"/>
            <w:vAlign w:val="center"/>
          </w:tcPr>
          <w:p w14:paraId="39DD8FAE" w14:textId="77777777" w:rsidR="00A10B25" w:rsidRDefault="00A10B25">
            <w:pPr>
              <w:keepNext/>
              <w:keepLines/>
              <w:spacing w:after="0"/>
              <w:rPr>
                <w:rFonts w:ascii="Arial" w:hAnsi="Arial"/>
                <w:sz w:val="18"/>
              </w:rPr>
            </w:pPr>
            <w:r>
              <w:rPr>
                <w:rFonts w:ascii="Arial" w:hAnsi="Arial"/>
                <w:sz w:val="18"/>
              </w:rPr>
              <w:t>Identifies a subscription to the Nnwdaf_RoamingAnalytics Service.</w:t>
            </w:r>
          </w:p>
        </w:tc>
      </w:tr>
    </w:tbl>
    <w:p w14:paraId="70DDD06B" w14:textId="77777777" w:rsidR="00A10B25" w:rsidRDefault="00A10B25"/>
    <w:p w14:paraId="08919841" w14:textId="77777777" w:rsidR="00A10B25" w:rsidRDefault="00A10B25" w:rsidP="0076721C">
      <w:pPr>
        <w:pStyle w:val="5"/>
      </w:pPr>
      <w:bookmarkStart w:id="16452" w:name="_Toc164921266"/>
      <w:bookmarkStart w:id="16453" w:name="_Toc170120808"/>
      <w:bookmarkStart w:id="16454" w:name="_Toc175859053"/>
      <w:bookmarkStart w:id="16455" w:name="_Toc175860127"/>
      <w:bookmarkStart w:id="16456" w:name="_Toc180606417"/>
      <w:bookmarkStart w:id="16457" w:name="_Toc185517678"/>
      <w:bookmarkStart w:id="16458" w:name="_Toc191576730"/>
      <w:bookmarkStart w:id="16459" w:name="_Toc191577470"/>
      <w:bookmarkStart w:id="16460" w:name="_Toc192880540"/>
      <w:bookmarkStart w:id="16461" w:name="_Toc195815429"/>
      <w:bookmarkStart w:id="16462" w:name="_Toc199453396"/>
      <w:r>
        <w:t>5.8.3.3.3</w:t>
      </w:r>
      <w:r>
        <w:tab/>
        <w:t>Resource Standard Methods</w:t>
      </w:r>
      <w:bookmarkEnd w:id="16452"/>
      <w:bookmarkEnd w:id="16453"/>
      <w:bookmarkEnd w:id="16454"/>
      <w:bookmarkEnd w:id="16455"/>
      <w:bookmarkEnd w:id="16456"/>
      <w:bookmarkEnd w:id="16457"/>
      <w:bookmarkEnd w:id="16458"/>
      <w:bookmarkEnd w:id="16459"/>
      <w:bookmarkEnd w:id="16460"/>
      <w:bookmarkEnd w:id="16461"/>
      <w:bookmarkEnd w:id="16462"/>
    </w:p>
    <w:p w14:paraId="548AA0FF" w14:textId="77777777" w:rsidR="00AC4D38" w:rsidRDefault="00AC4D38" w:rsidP="00680A1F">
      <w:pPr>
        <w:pStyle w:val="6"/>
      </w:pPr>
      <w:bookmarkStart w:id="16463" w:name="_Toc175860128"/>
      <w:bookmarkStart w:id="16464" w:name="_Toc180606418"/>
      <w:bookmarkStart w:id="16465" w:name="_Toc185517679"/>
      <w:bookmarkStart w:id="16466" w:name="_Toc191576731"/>
      <w:bookmarkStart w:id="16467" w:name="_Toc191577471"/>
      <w:bookmarkStart w:id="16468" w:name="_Toc192880541"/>
      <w:bookmarkStart w:id="16469" w:name="_Toc195815430"/>
      <w:bookmarkStart w:id="16470" w:name="_Toc199453397"/>
      <w:r>
        <w:t>5.8.3.3.3.1</w:t>
      </w:r>
      <w:r>
        <w:tab/>
        <w:t>PUT</w:t>
      </w:r>
      <w:bookmarkEnd w:id="16463"/>
      <w:bookmarkEnd w:id="16464"/>
      <w:bookmarkEnd w:id="16465"/>
      <w:bookmarkEnd w:id="16466"/>
      <w:bookmarkEnd w:id="16467"/>
      <w:bookmarkEnd w:id="16468"/>
      <w:bookmarkEnd w:id="16469"/>
      <w:bookmarkEnd w:id="16470"/>
    </w:p>
    <w:p w14:paraId="654F36FE" w14:textId="77777777" w:rsidR="00A10B25" w:rsidRDefault="00A10B25">
      <w:pPr>
        <w:rPr>
          <w:rFonts w:eastAsia="等线"/>
        </w:rPr>
      </w:pPr>
      <w:r>
        <w:rPr>
          <w:rFonts w:eastAsia="等线"/>
        </w:rPr>
        <w:t>This method shall support the URI query parameters specified in table 5.8.3.3.3.1-1.</w:t>
      </w:r>
    </w:p>
    <w:p w14:paraId="2AFD9EBE" w14:textId="77777777" w:rsidR="00A10B25" w:rsidRDefault="00A10B25" w:rsidP="0076721C">
      <w:pPr>
        <w:pStyle w:val="TH"/>
        <w:rPr>
          <w:rFonts w:cs="Arial"/>
        </w:rPr>
      </w:pPr>
      <w:r>
        <w:t>Table 5.8.3.3.3.1-1: URI query parameters supported by the PUT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3F456581" w14:textId="77777777">
        <w:trPr>
          <w:jc w:val="center"/>
        </w:trPr>
        <w:tc>
          <w:tcPr>
            <w:tcW w:w="825" w:type="pct"/>
            <w:tcBorders>
              <w:bottom w:val="single" w:sz="6" w:space="0" w:color="auto"/>
            </w:tcBorders>
            <w:shd w:val="clear" w:color="auto" w:fill="C0C0C0"/>
          </w:tcPr>
          <w:p w14:paraId="5EBFAB26"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7A15BF9F"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2F652967"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56F22AF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6" w:type="pct"/>
            <w:tcBorders>
              <w:bottom w:val="single" w:sz="6" w:space="0" w:color="auto"/>
            </w:tcBorders>
            <w:shd w:val="clear" w:color="auto" w:fill="C0C0C0"/>
            <w:vAlign w:val="center"/>
          </w:tcPr>
          <w:p w14:paraId="2366F157"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59CE8520" w14:textId="77777777">
        <w:trPr>
          <w:jc w:val="center"/>
        </w:trPr>
        <w:tc>
          <w:tcPr>
            <w:tcW w:w="825" w:type="pct"/>
            <w:tcBorders>
              <w:top w:val="single" w:sz="6" w:space="0" w:color="auto"/>
            </w:tcBorders>
          </w:tcPr>
          <w:p w14:paraId="6453E9F7" w14:textId="77777777" w:rsidR="00A10B25" w:rsidRDefault="00A10B25">
            <w:pPr>
              <w:keepNext/>
              <w:keepLines/>
              <w:spacing w:after="0"/>
              <w:rPr>
                <w:rFonts w:ascii="Arial" w:hAnsi="Arial"/>
                <w:sz w:val="18"/>
              </w:rPr>
            </w:pPr>
            <w:r>
              <w:rPr>
                <w:rFonts w:ascii="Arial" w:hAnsi="Arial"/>
                <w:sz w:val="18"/>
              </w:rPr>
              <w:t>n/a</w:t>
            </w:r>
          </w:p>
        </w:tc>
        <w:tc>
          <w:tcPr>
            <w:tcW w:w="732" w:type="pct"/>
            <w:tcBorders>
              <w:top w:val="single" w:sz="6" w:space="0" w:color="auto"/>
            </w:tcBorders>
          </w:tcPr>
          <w:p w14:paraId="02439C59" w14:textId="77777777" w:rsidR="00A10B25" w:rsidRDefault="00A10B25">
            <w:pPr>
              <w:keepNext/>
              <w:keepLines/>
              <w:spacing w:after="0"/>
              <w:rPr>
                <w:rFonts w:ascii="Arial" w:hAnsi="Arial"/>
                <w:sz w:val="18"/>
              </w:rPr>
            </w:pPr>
          </w:p>
        </w:tc>
        <w:tc>
          <w:tcPr>
            <w:tcW w:w="217" w:type="pct"/>
            <w:tcBorders>
              <w:top w:val="single" w:sz="6" w:space="0" w:color="auto"/>
            </w:tcBorders>
          </w:tcPr>
          <w:p w14:paraId="76D1C038" w14:textId="77777777" w:rsidR="00A10B25" w:rsidRDefault="00A10B25">
            <w:pPr>
              <w:keepNext/>
              <w:keepLines/>
              <w:spacing w:after="0"/>
              <w:jc w:val="center"/>
              <w:rPr>
                <w:rFonts w:ascii="Arial" w:hAnsi="Arial"/>
                <w:sz w:val="18"/>
              </w:rPr>
            </w:pPr>
          </w:p>
        </w:tc>
        <w:tc>
          <w:tcPr>
            <w:tcW w:w="581" w:type="pct"/>
            <w:tcBorders>
              <w:top w:val="single" w:sz="6" w:space="0" w:color="auto"/>
            </w:tcBorders>
          </w:tcPr>
          <w:p w14:paraId="67C825E5" w14:textId="77777777" w:rsidR="00A10B25" w:rsidRDefault="00A10B25">
            <w:pPr>
              <w:keepNext/>
              <w:keepLines/>
              <w:spacing w:after="0"/>
              <w:rPr>
                <w:rFonts w:ascii="Arial" w:hAnsi="Arial"/>
                <w:sz w:val="18"/>
              </w:rPr>
            </w:pPr>
          </w:p>
        </w:tc>
        <w:tc>
          <w:tcPr>
            <w:tcW w:w="2646" w:type="pct"/>
            <w:tcBorders>
              <w:top w:val="single" w:sz="6" w:space="0" w:color="auto"/>
            </w:tcBorders>
            <w:vAlign w:val="center"/>
          </w:tcPr>
          <w:p w14:paraId="0462B536" w14:textId="77777777" w:rsidR="00A10B25" w:rsidRDefault="00A10B25">
            <w:pPr>
              <w:keepNext/>
              <w:keepLines/>
              <w:spacing w:after="0"/>
              <w:rPr>
                <w:rFonts w:ascii="Arial" w:hAnsi="Arial"/>
                <w:sz w:val="18"/>
              </w:rPr>
            </w:pPr>
          </w:p>
        </w:tc>
      </w:tr>
    </w:tbl>
    <w:p w14:paraId="62D5F26B" w14:textId="77777777" w:rsidR="00A10B25" w:rsidRDefault="00A10B25">
      <w:pPr>
        <w:rPr>
          <w:rFonts w:eastAsia="等线"/>
        </w:rPr>
      </w:pPr>
    </w:p>
    <w:p w14:paraId="44C1CBE3" w14:textId="77777777" w:rsidR="00A10B25" w:rsidRDefault="00A10B25">
      <w:pPr>
        <w:rPr>
          <w:rFonts w:eastAsia="等线"/>
        </w:rPr>
      </w:pPr>
      <w:r>
        <w:rPr>
          <w:rFonts w:eastAsia="等线"/>
        </w:rPr>
        <w:t>This method shall support the request data structures specified in table 5.8.3.3.3.1-2 and the response data structures and response codes specified in table 5.8.3.3.3.1-3.</w:t>
      </w:r>
    </w:p>
    <w:p w14:paraId="59B79536" w14:textId="77777777" w:rsidR="00A10B25" w:rsidRDefault="00A10B25" w:rsidP="0076721C">
      <w:pPr>
        <w:pStyle w:val="TH"/>
      </w:pPr>
      <w:r>
        <w:t>Table 5.8.3.3.3.1-2: Data structures supported by the PUT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01"/>
        <w:gridCol w:w="445"/>
        <w:gridCol w:w="1153"/>
        <w:gridCol w:w="5430"/>
      </w:tblGrid>
      <w:tr w:rsidR="00A10B25" w14:paraId="60040E36" w14:textId="77777777">
        <w:trPr>
          <w:jc w:val="center"/>
        </w:trPr>
        <w:tc>
          <w:tcPr>
            <w:tcW w:w="2539" w:type="dxa"/>
            <w:tcBorders>
              <w:bottom w:val="single" w:sz="6" w:space="0" w:color="auto"/>
            </w:tcBorders>
            <w:shd w:val="clear" w:color="auto" w:fill="C0C0C0"/>
          </w:tcPr>
          <w:p w14:paraId="72E418F9" w14:textId="77777777" w:rsidR="00A10B25" w:rsidRDefault="00A10B25">
            <w:pPr>
              <w:keepNext/>
              <w:keepLines/>
              <w:spacing w:after="0"/>
              <w:jc w:val="center"/>
              <w:rPr>
                <w:rFonts w:ascii="Arial" w:hAnsi="Arial"/>
                <w:b/>
                <w:sz w:val="18"/>
              </w:rPr>
            </w:pPr>
            <w:r>
              <w:rPr>
                <w:rFonts w:ascii="Arial" w:hAnsi="Arial"/>
                <w:b/>
                <w:sz w:val="18"/>
              </w:rPr>
              <w:t>Data type</w:t>
            </w:r>
          </w:p>
        </w:tc>
        <w:tc>
          <w:tcPr>
            <w:tcW w:w="450" w:type="dxa"/>
            <w:tcBorders>
              <w:bottom w:val="single" w:sz="6" w:space="0" w:color="auto"/>
            </w:tcBorders>
            <w:shd w:val="clear" w:color="auto" w:fill="C0C0C0"/>
          </w:tcPr>
          <w:p w14:paraId="339EF8ED" w14:textId="77777777" w:rsidR="00A10B25" w:rsidRDefault="00A10B25">
            <w:pPr>
              <w:keepNext/>
              <w:keepLines/>
              <w:spacing w:after="0"/>
              <w:jc w:val="center"/>
              <w:rPr>
                <w:rFonts w:ascii="Arial" w:hAnsi="Arial"/>
                <w:b/>
                <w:sz w:val="18"/>
              </w:rPr>
            </w:pPr>
            <w:r>
              <w:rPr>
                <w:rFonts w:ascii="Arial" w:hAnsi="Arial"/>
                <w:b/>
                <w:sz w:val="18"/>
              </w:rPr>
              <w:t>P</w:t>
            </w:r>
          </w:p>
        </w:tc>
        <w:tc>
          <w:tcPr>
            <w:tcW w:w="1170" w:type="dxa"/>
            <w:tcBorders>
              <w:bottom w:val="single" w:sz="6" w:space="0" w:color="auto"/>
            </w:tcBorders>
            <w:shd w:val="clear" w:color="auto" w:fill="C0C0C0"/>
          </w:tcPr>
          <w:p w14:paraId="74C0684C" w14:textId="77777777" w:rsidR="00A10B25" w:rsidRDefault="00A10B25">
            <w:pPr>
              <w:keepNext/>
              <w:keepLines/>
              <w:spacing w:after="0"/>
              <w:jc w:val="center"/>
              <w:rPr>
                <w:rFonts w:ascii="Arial" w:hAnsi="Arial"/>
                <w:b/>
                <w:sz w:val="18"/>
              </w:rPr>
            </w:pPr>
            <w:r>
              <w:rPr>
                <w:rFonts w:ascii="Arial" w:hAnsi="Arial"/>
                <w:b/>
                <w:sz w:val="18"/>
              </w:rPr>
              <w:t>Cardinality</w:t>
            </w:r>
          </w:p>
        </w:tc>
        <w:tc>
          <w:tcPr>
            <w:tcW w:w="5518" w:type="dxa"/>
            <w:tcBorders>
              <w:bottom w:val="single" w:sz="6" w:space="0" w:color="auto"/>
            </w:tcBorders>
            <w:shd w:val="clear" w:color="auto" w:fill="C0C0C0"/>
            <w:vAlign w:val="center"/>
          </w:tcPr>
          <w:p w14:paraId="146E2166"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5CF9FA16" w14:textId="77777777">
        <w:trPr>
          <w:jc w:val="center"/>
        </w:trPr>
        <w:tc>
          <w:tcPr>
            <w:tcW w:w="2539" w:type="dxa"/>
            <w:tcBorders>
              <w:top w:val="single" w:sz="6" w:space="0" w:color="auto"/>
            </w:tcBorders>
          </w:tcPr>
          <w:p w14:paraId="16A20463" w14:textId="77777777" w:rsidR="00A10B25" w:rsidRDefault="00A10B25">
            <w:pPr>
              <w:keepNext/>
              <w:keepLines/>
              <w:spacing w:after="0"/>
              <w:rPr>
                <w:rFonts w:ascii="Arial" w:hAnsi="Arial"/>
                <w:sz w:val="18"/>
              </w:rPr>
            </w:pPr>
            <w:r>
              <w:rPr>
                <w:rFonts w:ascii="Arial" w:eastAsia="等线" w:hAnsi="Arial"/>
                <w:sz w:val="18"/>
              </w:rPr>
              <w:t>RoamingAnalyticsSubscription</w:t>
            </w:r>
          </w:p>
        </w:tc>
        <w:tc>
          <w:tcPr>
            <w:tcW w:w="450" w:type="dxa"/>
            <w:tcBorders>
              <w:top w:val="single" w:sz="6" w:space="0" w:color="auto"/>
            </w:tcBorders>
          </w:tcPr>
          <w:p w14:paraId="608F0A7A" w14:textId="77777777" w:rsidR="00A10B25" w:rsidRDefault="00A10B25">
            <w:pPr>
              <w:keepNext/>
              <w:keepLines/>
              <w:spacing w:after="0"/>
              <w:jc w:val="center"/>
              <w:rPr>
                <w:rFonts w:ascii="Arial" w:hAnsi="Arial"/>
                <w:sz w:val="18"/>
              </w:rPr>
            </w:pPr>
            <w:r>
              <w:rPr>
                <w:rFonts w:ascii="Arial" w:hAnsi="Arial"/>
                <w:sz w:val="18"/>
              </w:rPr>
              <w:t>M</w:t>
            </w:r>
          </w:p>
        </w:tc>
        <w:tc>
          <w:tcPr>
            <w:tcW w:w="1170" w:type="dxa"/>
            <w:tcBorders>
              <w:top w:val="single" w:sz="6" w:space="0" w:color="auto"/>
            </w:tcBorders>
          </w:tcPr>
          <w:p w14:paraId="6A91D338" w14:textId="77777777" w:rsidR="00A10B25" w:rsidRDefault="00A10B25">
            <w:pPr>
              <w:keepNext/>
              <w:keepLines/>
              <w:spacing w:after="0"/>
              <w:jc w:val="center"/>
              <w:rPr>
                <w:rFonts w:ascii="Arial" w:hAnsi="Arial"/>
                <w:sz w:val="18"/>
              </w:rPr>
            </w:pPr>
            <w:r>
              <w:rPr>
                <w:rFonts w:ascii="Arial" w:hAnsi="Arial"/>
                <w:sz w:val="18"/>
              </w:rPr>
              <w:t>1</w:t>
            </w:r>
          </w:p>
        </w:tc>
        <w:tc>
          <w:tcPr>
            <w:tcW w:w="5518" w:type="dxa"/>
            <w:tcBorders>
              <w:top w:val="single" w:sz="6" w:space="0" w:color="auto"/>
            </w:tcBorders>
          </w:tcPr>
          <w:p w14:paraId="7760F092" w14:textId="77777777" w:rsidR="00A10B25" w:rsidRDefault="00A10B25">
            <w:pPr>
              <w:keepNext/>
              <w:keepLines/>
              <w:spacing w:after="0"/>
              <w:rPr>
                <w:rFonts w:ascii="Arial" w:hAnsi="Arial"/>
                <w:sz w:val="18"/>
              </w:rPr>
            </w:pPr>
            <w:r>
              <w:rPr>
                <w:rFonts w:ascii="Arial" w:hAnsi="Arial"/>
                <w:sz w:val="18"/>
              </w:rPr>
              <w:t>Parameters to replace a subscription to NWDAF Roaming Analytics.</w:t>
            </w:r>
          </w:p>
        </w:tc>
      </w:tr>
    </w:tbl>
    <w:p w14:paraId="7CFC114E" w14:textId="77777777" w:rsidR="00A10B25" w:rsidRDefault="00A10B25">
      <w:pPr>
        <w:rPr>
          <w:rFonts w:eastAsia="等线"/>
        </w:rPr>
      </w:pPr>
    </w:p>
    <w:p w14:paraId="6D30CC14" w14:textId="77777777" w:rsidR="003E1F9F" w:rsidRPr="00F710E9" w:rsidRDefault="003E1F9F" w:rsidP="003E1F9F">
      <w:pPr>
        <w:keepNext/>
        <w:keepLines/>
        <w:spacing w:before="60"/>
        <w:jc w:val="center"/>
        <w:rPr>
          <w:rFonts w:ascii="Arial" w:hAnsi="Arial"/>
          <w:b/>
        </w:rPr>
      </w:pPr>
      <w:r w:rsidRPr="00F710E9">
        <w:rPr>
          <w:rFonts w:ascii="Arial" w:hAnsi="Arial"/>
          <w:b/>
        </w:rPr>
        <w:lastRenderedPageBreak/>
        <w:t>Table 5.8.3.3.3.1-3: Data structures supported by the PUT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78"/>
        <w:gridCol w:w="396"/>
        <w:gridCol w:w="1199"/>
        <w:gridCol w:w="1641"/>
        <w:gridCol w:w="3615"/>
      </w:tblGrid>
      <w:tr w:rsidR="003E1F9F" w:rsidRPr="00F710E9" w14:paraId="2BD543EB"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shd w:val="clear" w:color="auto" w:fill="C0C0C0"/>
          </w:tcPr>
          <w:p w14:paraId="04120717"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Data type</w:t>
            </w:r>
          </w:p>
        </w:tc>
        <w:tc>
          <w:tcPr>
            <w:tcW w:w="208" w:type="pct"/>
            <w:tcBorders>
              <w:top w:val="single" w:sz="6" w:space="0" w:color="auto"/>
              <w:left w:val="single" w:sz="6" w:space="0" w:color="auto"/>
              <w:bottom w:val="single" w:sz="6" w:space="0" w:color="auto"/>
              <w:right w:val="single" w:sz="6" w:space="0" w:color="auto"/>
            </w:tcBorders>
            <w:shd w:val="clear" w:color="auto" w:fill="C0C0C0"/>
          </w:tcPr>
          <w:p w14:paraId="42A6BF84"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P</w:t>
            </w:r>
          </w:p>
        </w:tc>
        <w:tc>
          <w:tcPr>
            <w:tcW w:w="629" w:type="pct"/>
            <w:tcBorders>
              <w:top w:val="single" w:sz="6" w:space="0" w:color="auto"/>
              <w:left w:val="single" w:sz="6" w:space="0" w:color="auto"/>
              <w:bottom w:val="single" w:sz="6" w:space="0" w:color="auto"/>
              <w:right w:val="single" w:sz="6" w:space="0" w:color="auto"/>
            </w:tcBorders>
            <w:shd w:val="clear" w:color="auto" w:fill="C0C0C0"/>
          </w:tcPr>
          <w:p w14:paraId="120E13B5"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Cardinality</w:t>
            </w:r>
          </w:p>
        </w:tc>
        <w:tc>
          <w:tcPr>
            <w:tcW w:w="861" w:type="pct"/>
            <w:tcBorders>
              <w:top w:val="single" w:sz="6" w:space="0" w:color="auto"/>
              <w:left w:val="single" w:sz="6" w:space="0" w:color="auto"/>
              <w:bottom w:val="single" w:sz="6" w:space="0" w:color="auto"/>
              <w:right w:val="single" w:sz="6" w:space="0" w:color="auto"/>
            </w:tcBorders>
            <w:shd w:val="clear" w:color="auto" w:fill="C0C0C0"/>
          </w:tcPr>
          <w:p w14:paraId="4116B7AF"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Response codes</w:t>
            </w:r>
          </w:p>
        </w:tc>
        <w:tc>
          <w:tcPr>
            <w:tcW w:w="1897" w:type="pct"/>
            <w:tcBorders>
              <w:top w:val="single" w:sz="6" w:space="0" w:color="auto"/>
              <w:left w:val="single" w:sz="6" w:space="0" w:color="auto"/>
              <w:bottom w:val="single" w:sz="6" w:space="0" w:color="auto"/>
              <w:right w:val="single" w:sz="6" w:space="0" w:color="auto"/>
            </w:tcBorders>
            <w:shd w:val="clear" w:color="auto" w:fill="C0C0C0"/>
          </w:tcPr>
          <w:p w14:paraId="1F917F81"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Description</w:t>
            </w:r>
          </w:p>
        </w:tc>
      </w:tr>
      <w:tr w:rsidR="003E1F9F" w:rsidRPr="00F710E9" w14:paraId="31A42668"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2F9B4FDC"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RoamingAnalyticsSubscription</w:t>
            </w:r>
          </w:p>
        </w:tc>
        <w:tc>
          <w:tcPr>
            <w:tcW w:w="208" w:type="pct"/>
            <w:tcBorders>
              <w:top w:val="single" w:sz="6" w:space="0" w:color="auto"/>
              <w:left w:val="single" w:sz="6" w:space="0" w:color="auto"/>
              <w:bottom w:val="single" w:sz="6" w:space="0" w:color="auto"/>
              <w:right w:val="single" w:sz="6" w:space="0" w:color="auto"/>
            </w:tcBorders>
          </w:tcPr>
          <w:p w14:paraId="74537B51" w14:textId="77777777" w:rsidR="003E1F9F" w:rsidRPr="00F710E9" w:rsidRDefault="003E1F9F" w:rsidP="005A20DD">
            <w:pPr>
              <w:keepNext/>
              <w:keepLines/>
              <w:spacing w:after="0"/>
              <w:jc w:val="center"/>
              <w:rPr>
                <w:rFonts w:ascii="Arial" w:hAnsi="Arial"/>
                <w:sz w:val="18"/>
              </w:rPr>
            </w:pPr>
            <w:r w:rsidRPr="00F710E9">
              <w:rPr>
                <w:rFonts w:ascii="Arial" w:hAnsi="Arial"/>
                <w:sz w:val="18"/>
              </w:rPr>
              <w:t>M</w:t>
            </w:r>
          </w:p>
        </w:tc>
        <w:tc>
          <w:tcPr>
            <w:tcW w:w="629" w:type="pct"/>
            <w:tcBorders>
              <w:top w:val="single" w:sz="6" w:space="0" w:color="auto"/>
              <w:left w:val="single" w:sz="6" w:space="0" w:color="auto"/>
              <w:bottom w:val="single" w:sz="6" w:space="0" w:color="auto"/>
              <w:right w:val="single" w:sz="6" w:space="0" w:color="auto"/>
            </w:tcBorders>
          </w:tcPr>
          <w:p w14:paraId="41AECECF" w14:textId="77777777" w:rsidR="003E1F9F" w:rsidRPr="00F710E9" w:rsidRDefault="003E1F9F" w:rsidP="005A20DD">
            <w:pPr>
              <w:keepNext/>
              <w:keepLines/>
              <w:spacing w:after="0"/>
              <w:jc w:val="center"/>
              <w:rPr>
                <w:rFonts w:ascii="Arial" w:hAnsi="Arial"/>
                <w:sz w:val="18"/>
              </w:rPr>
            </w:pPr>
            <w:r w:rsidRPr="00F710E9">
              <w:rPr>
                <w:rFonts w:ascii="Arial" w:hAnsi="Arial"/>
                <w:sz w:val="18"/>
              </w:rPr>
              <w:t>1</w:t>
            </w:r>
          </w:p>
        </w:tc>
        <w:tc>
          <w:tcPr>
            <w:tcW w:w="861" w:type="pct"/>
            <w:tcBorders>
              <w:top w:val="single" w:sz="6" w:space="0" w:color="auto"/>
              <w:left w:val="single" w:sz="6" w:space="0" w:color="auto"/>
              <w:bottom w:val="single" w:sz="6" w:space="0" w:color="auto"/>
              <w:right w:val="single" w:sz="6" w:space="0" w:color="auto"/>
            </w:tcBorders>
          </w:tcPr>
          <w:p w14:paraId="6A40A2C1" w14:textId="77777777" w:rsidR="003E1F9F" w:rsidRPr="00F710E9" w:rsidRDefault="003E1F9F" w:rsidP="005A20DD">
            <w:pPr>
              <w:keepNext/>
              <w:keepLines/>
              <w:spacing w:after="0"/>
              <w:rPr>
                <w:rFonts w:ascii="Arial" w:hAnsi="Arial"/>
                <w:sz w:val="18"/>
              </w:rPr>
            </w:pPr>
            <w:r w:rsidRPr="00F710E9">
              <w:rPr>
                <w:rFonts w:ascii="Arial" w:hAnsi="Arial"/>
                <w:sz w:val="18"/>
              </w:rPr>
              <w:t>200 OK</w:t>
            </w:r>
          </w:p>
        </w:tc>
        <w:tc>
          <w:tcPr>
            <w:tcW w:w="1897" w:type="pct"/>
            <w:tcBorders>
              <w:top w:val="single" w:sz="6" w:space="0" w:color="auto"/>
              <w:left w:val="single" w:sz="6" w:space="0" w:color="auto"/>
              <w:bottom w:val="single" w:sz="6" w:space="0" w:color="auto"/>
              <w:right w:val="single" w:sz="6" w:space="0" w:color="auto"/>
            </w:tcBorders>
          </w:tcPr>
          <w:p w14:paraId="4CB0B1DC"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The Individual NWDAF </w:t>
            </w:r>
            <w:r w:rsidRPr="00F710E9">
              <w:rPr>
                <w:rFonts w:ascii="Arial" w:eastAsia="等线" w:hAnsi="Arial"/>
                <w:sz w:val="18"/>
              </w:rPr>
              <w:t>Roaming Analytics</w:t>
            </w:r>
            <w:r w:rsidRPr="00F710E9">
              <w:rPr>
                <w:rFonts w:ascii="Arial" w:hAnsi="Arial"/>
                <w:sz w:val="18"/>
              </w:rPr>
              <w:t xml:space="preserve"> subscription resource was modified successfully and a representation of that resource is returned.</w:t>
            </w:r>
          </w:p>
        </w:tc>
      </w:tr>
      <w:tr w:rsidR="003E1F9F" w:rsidRPr="00F710E9" w14:paraId="66A5F731"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01622353" w14:textId="77777777" w:rsidR="003E1F9F" w:rsidRPr="00F710E9" w:rsidRDefault="003E1F9F" w:rsidP="005A20DD">
            <w:pPr>
              <w:keepNext/>
              <w:keepLines/>
              <w:spacing w:after="0"/>
              <w:rPr>
                <w:rFonts w:ascii="Arial" w:eastAsia="等线" w:hAnsi="Arial"/>
                <w:sz w:val="18"/>
                <w:lang w:eastAsia="zh-CN"/>
              </w:rPr>
            </w:pPr>
            <w:r w:rsidRPr="00F710E9">
              <w:rPr>
                <w:rFonts w:ascii="Arial" w:eastAsia="等线" w:hAnsi="Arial"/>
                <w:sz w:val="18"/>
                <w:lang w:eastAsia="zh-CN"/>
              </w:rPr>
              <w:t>n/a</w:t>
            </w:r>
          </w:p>
        </w:tc>
        <w:tc>
          <w:tcPr>
            <w:tcW w:w="208" w:type="pct"/>
            <w:tcBorders>
              <w:top w:val="single" w:sz="6" w:space="0" w:color="auto"/>
              <w:left w:val="single" w:sz="6" w:space="0" w:color="auto"/>
              <w:bottom w:val="single" w:sz="6" w:space="0" w:color="auto"/>
              <w:right w:val="single" w:sz="6" w:space="0" w:color="auto"/>
            </w:tcBorders>
          </w:tcPr>
          <w:p w14:paraId="2CF1DBD4" w14:textId="77777777" w:rsidR="003E1F9F" w:rsidRPr="00F710E9" w:rsidRDefault="003E1F9F" w:rsidP="005A20DD">
            <w:pPr>
              <w:keepNext/>
              <w:keepLines/>
              <w:spacing w:after="0"/>
              <w:jc w:val="center"/>
              <w:rPr>
                <w:rFonts w:ascii="Arial" w:eastAsia="等线" w:hAnsi="Arial"/>
                <w:sz w:val="18"/>
              </w:rPr>
            </w:pPr>
          </w:p>
        </w:tc>
        <w:tc>
          <w:tcPr>
            <w:tcW w:w="629" w:type="pct"/>
            <w:tcBorders>
              <w:top w:val="single" w:sz="6" w:space="0" w:color="auto"/>
              <w:left w:val="single" w:sz="6" w:space="0" w:color="auto"/>
              <w:bottom w:val="single" w:sz="6" w:space="0" w:color="auto"/>
              <w:right w:val="single" w:sz="6" w:space="0" w:color="auto"/>
            </w:tcBorders>
          </w:tcPr>
          <w:p w14:paraId="558B2217" w14:textId="77777777" w:rsidR="003E1F9F" w:rsidRPr="00F710E9" w:rsidRDefault="003E1F9F" w:rsidP="005A20DD">
            <w:pPr>
              <w:keepNext/>
              <w:keepLines/>
              <w:spacing w:after="0"/>
              <w:jc w:val="center"/>
              <w:rPr>
                <w:rFonts w:ascii="Arial" w:hAnsi="Arial"/>
                <w:sz w:val="18"/>
              </w:rPr>
            </w:pPr>
          </w:p>
        </w:tc>
        <w:tc>
          <w:tcPr>
            <w:tcW w:w="861" w:type="pct"/>
            <w:tcBorders>
              <w:top w:val="single" w:sz="6" w:space="0" w:color="auto"/>
              <w:left w:val="single" w:sz="6" w:space="0" w:color="auto"/>
              <w:bottom w:val="single" w:sz="6" w:space="0" w:color="auto"/>
              <w:right w:val="single" w:sz="6" w:space="0" w:color="auto"/>
            </w:tcBorders>
          </w:tcPr>
          <w:p w14:paraId="55A7BC09" w14:textId="77777777" w:rsidR="003E1F9F" w:rsidRPr="00F710E9" w:rsidRDefault="003E1F9F" w:rsidP="005A20DD">
            <w:pPr>
              <w:keepNext/>
              <w:keepLines/>
              <w:spacing w:after="0"/>
              <w:rPr>
                <w:rFonts w:ascii="Arial" w:hAnsi="Arial"/>
                <w:sz w:val="18"/>
              </w:rPr>
            </w:pPr>
            <w:r w:rsidRPr="00F710E9">
              <w:rPr>
                <w:rFonts w:ascii="Arial" w:hAnsi="Arial"/>
                <w:sz w:val="18"/>
              </w:rPr>
              <w:t>204 No Content</w:t>
            </w:r>
          </w:p>
        </w:tc>
        <w:tc>
          <w:tcPr>
            <w:tcW w:w="1897" w:type="pct"/>
            <w:tcBorders>
              <w:top w:val="single" w:sz="6" w:space="0" w:color="auto"/>
              <w:left w:val="single" w:sz="6" w:space="0" w:color="auto"/>
              <w:bottom w:val="single" w:sz="6" w:space="0" w:color="auto"/>
              <w:right w:val="single" w:sz="6" w:space="0" w:color="auto"/>
            </w:tcBorders>
          </w:tcPr>
          <w:p w14:paraId="1EE5882D"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The Individual NWDAF </w:t>
            </w:r>
            <w:r w:rsidRPr="00F710E9">
              <w:rPr>
                <w:rFonts w:ascii="Arial" w:eastAsia="等线" w:hAnsi="Arial"/>
                <w:sz w:val="18"/>
              </w:rPr>
              <w:t>Roaming Analytics</w:t>
            </w:r>
            <w:r w:rsidRPr="00F710E9">
              <w:rPr>
                <w:rFonts w:ascii="Arial" w:hAnsi="Arial"/>
                <w:sz w:val="18"/>
              </w:rPr>
              <w:t xml:space="preserve"> subscription resource was modified successfully.</w:t>
            </w:r>
          </w:p>
        </w:tc>
      </w:tr>
      <w:tr w:rsidR="003E1F9F" w:rsidRPr="00F710E9" w14:paraId="01BDAAE0"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080912A2" w14:textId="77777777" w:rsidR="003E1F9F" w:rsidRPr="00F710E9" w:rsidRDefault="003E1F9F" w:rsidP="005A20DD">
            <w:pPr>
              <w:keepNext/>
              <w:keepLines/>
              <w:spacing w:after="0"/>
              <w:rPr>
                <w:rFonts w:ascii="Arial" w:eastAsia="等线"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5F1C7FAE" w14:textId="77777777" w:rsidR="003E1F9F" w:rsidRPr="00F710E9" w:rsidRDefault="003E1F9F" w:rsidP="005A20DD">
            <w:pPr>
              <w:keepNext/>
              <w:keepLines/>
              <w:spacing w:after="0"/>
              <w:jc w:val="center"/>
              <w:rPr>
                <w:rFonts w:ascii="Arial" w:eastAsia="等线"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35B2434"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3A88D19B" w14:textId="77777777" w:rsidR="003E1F9F" w:rsidRPr="00F710E9" w:rsidRDefault="003E1F9F" w:rsidP="005A20DD">
            <w:pPr>
              <w:keepNext/>
              <w:keepLines/>
              <w:spacing w:after="0"/>
              <w:rPr>
                <w:rFonts w:ascii="Arial" w:hAnsi="Arial"/>
                <w:sz w:val="18"/>
              </w:rPr>
            </w:pPr>
            <w:r w:rsidRPr="00F710E9">
              <w:rPr>
                <w:rFonts w:ascii="Arial" w:hAnsi="Arial"/>
                <w:sz w:val="18"/>
              </w:rPr>
              <w:t>307 Temporary Redirect</w:t>
            </w:r>
          </w:p>
        </w:tc>
        <w:tc>
          <w:tcPr>
            <w:tcW w:w="1897" w:type="pct"/>
            <w:tcBorders>
              <w:top w:val="single" w:sz="6" w:space="0" w:color="auto"/>
              <w:left w:val="single" w:sz="6" w:space="0" w:color="auto"/>
              <w:bottom w:val="single" w:sz="6" w:space="0" w:color="auto"/>
              <w:right w:val="single" w:sz="6" w:space="0" w:color="auto"/>
            </w:tcBorders>
          </w:tcPr>
          <w:p w14:paraId="2DDE04AC"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Temporary redirection, during Individual NWDAF </w:t>
            </w:r>
            <w:r w:rsidRPr="00F710E9">
              <w:rPr>
                <w:rFonts w:ascii="Arial" w:eastAsia="等线" w:hAnsi="Arial"/>
                <w:sz w:val="18"/>
              </w:rPr>
              <w:t>Roaming Analytics</w:t>
            </w:r>
            <w:r w:rsidRPr="00F710E9">
              <w:rPr>
                <w:rFonts w:ascii="Arial" w:hAnsi="Arial"/>
                <w:sz w:val="18"/>
              </w:rPr>
              <w:t xml:space="preserve"> subscription modification.</w:t>
            </w:r>
          </w:p>
          <w:p w14:paraId="3965FA66" w14:textId="77777777" w:rsidR="003E1F9F" w:rsidRPr="00F710E9" w:rsidRDefault="003E1F9F" w:rsidP="005A20DD">
            <w:pPr>
              <w:keepNext/>
              <w:keepLines/>
              <w:spacing w:after="0"/>
              <w:rPr>
                <w:rFonts w:ascii="Arial" w:hAnsi="Arial"/>
                <w:sz w:val="18"/>
              </w:rPr>
            </w:pPr>
          </w:p>
          <w:p w14:paraId="1843F293"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29876851"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64511310" w14:textId="77777777" w:rsidR="003E1F9F" w:rsidRPr="00F710E9" w:rsidRDefault="003E1F9F" w:rsidP="005A20DD">
            <w:pPr>
              <w:keepNext/>
              <w:keepLines/>
              <w:spacing w:after="0"/>
              <w:rPr>
                <w:rFonts w:ascii="Arial" w:eastAsia="等线" w:hAnsi="Arial"/>
                <w:sz w:val="18"/>
                <w:lang w:eastAsia="zh-CN"/>
              </w:rPr>
            </w:pPr>
            <w:r w:rsidRPr="00F710E9">
              <w:rPr>
                <w:rFonts w:ascii="Arial" w:hAnsi="Arial"/>
                <w:sz w:val="18"/>
              </w:rPr>
              <w:t>RedirectResponse</w:t>
            </w:r>
          </w:p>
        </w:tc>
        <w:tc>
          <w:tcPr>
            <w:tcW w:w="208" w:type="pct"/>
            <w:tcBorders>
              <w:top w:val="single" w:sz="6" w:space="0" w:color="auto"/>
              <w:left w:val="single" w:sz="6" w:space="0" w:color="auto"/>
              <w:bottom w:val="single" w:sz="6" w:space="0" w:color="auto"/>
              <w:right w:val="single" w:sz="6" w:space="0" w:color="auto"/>
            </w:tcBorders>
          </w:tcPr>
          <w:p w14:paraId="155535CB" w14:textId="77777777" w:rsidR="003E1F9F" w:rsidRPr="00F710E9" w:rsidRDefault="003E1F9F" w:rsidP="005A20DD">
            <w:pPr>
              <w:keepNext/>
              <w:keepLines/>
              <w:spacing w:after="0"/>
              <w:jc w:val="center"/>
              <w:rPr>
                <w:rFonts w:ascii="Arial" w:eastAsia="等线"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00FD6339" w14:textId="77777777" w:rsidR="003E1F9F" w:rsidRPr="00F710E9" w:rsidRDefault="003E1F9F" w:rsidP="005A20DD">
            <w:pPr>
              <w:keepNext/>
              <w:keepLines/>
              <w:spacing w:after="0"/>
              <w:jc w:val="center"/>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13D43735" w14:textId="77777777" w:rsidR="003E1F9F" w:rsidRPr="00F710E9" w:rsidRDefault="003E1F9F" w:rsidP="005A20DD">
            <w:pPr>
              <w:keepNext/>
              <w:keepLines/>
              <w:spacing w:after="0"/>
              <w:rPr>
                <w:rFonts w:ascii="Arial" w:hAnsi="Arial"/>
                <w:sz w:val="18"/>
              </w:rPr>
            </w:pPr>
            <w:r w:rsidRPr="00F710E9">
              <w:rPr>
                <w:rFonts w:ascii="Arial" w:hAnsi="Arial"/>
                <w:sz w:val="18"/>
              </w:rPr>
              <w:t>308 Permanent Redirect</w:t>
            </w:r>
          </w:p>
        </w:tc>
        <w:tc>
          <w:tcPr>
            <w:tcW w:w="1897" w:type="pct"/>
            <w:tcBorders>
              <w:top w:val="single" w:sz="6" w:space="0" w:color="auto"/>
              <w:left w:val="single" w:sz="6" w:space="0" w:color="auto"/>
              <w:bottom w:val="single" w:sz="6" w:space="0" w:color="auto"/>
              <w:right w:val="single" w:sz="6" w:space="0" w:color="auto"/>
            </w:tcBorders>
          </w:tcPr>
          <w:p w14:paraId="4F56BA41" w14:textId="77777777" w:rsidR="003E1F9F" w:rsidRPr="00F710E9" w:rsidRDefault="003E1F9F" w:rsidP="005A20DD">
            <w:pPr>
              <w:keepNext/>
              <w:keepLines/>
              <w:spacing w:after="0"/>
              <w:rPr>
                <w:rFonts w:ascii="Arial" w:hAnsi="Arial"/>
                <w:sz w:val="18"/>
              </w:rPr>
            </w:pPr>
            <w:r w:rsidRPr="00F710E9">
              <w:rPr>
                <w:rFonts w:ascii="Arial" w:hAnsi="Arial"/>
                <w:sz w:val="18"/>
              </w:rPr>
              <w:t xml:space="preserve">Permanent redirection, during Individual NWDAF </w:t>
            </w:r>
            <w:r w:rsidRPr="00F710E9">
              <w:rPr>
                <w:rFonts w:ascii="Arial" w:eastAsia="等线" w:hAnsi="Arial"/>
                <w:sz w:val="18"/>
              </w:rPr>
              <w:t>Roaming Analytics</w:t>
            </w:r>
            <w:r w:rsidRPr="00F710E9">
              <w:rPr>
                <w:rFonts w:ascii="Arial" w:hAnsi="Arial"/>
                <w:sz w:val="18"/>
              </w:rPr>
              <w:t xml:space="preserve"> subscription modification.</w:t>
            </w:r>
          </w:p>
          <w:p w14:paraId="4D343853" w14:textId="77777777" w:rsidR="003E1F9F" w:rsidRPr="00F710E9" w:rsidRDefault="003E1F9F" w:rsidP="005A20DD">
            <w:pPr>
              <w:keepNext/>
              <w:keepLines/>
              <w:spacing w:after="0"/>
              <w:rPr>
                <w:rFonts w:ascii="Arial" w:hAnsi="Arial"/>
                <w:sz w:val="18"/>
              </w:rPr>
            </w:pPr>
          </w:p>
          <w:p w14:paraId="6761AF1A" w14:textId="77777777" w:rsidR="003E1F9F" w:rsidRPr="00F710E9" w:rsidRDefault="003E1F9F" w:rsidP="005A20DD">
            <w:pPr>
              <w:keepNext/>
              <w:keepLines/>
              <w:spacing w:after="0"/>
              <w:rPr>
                <w:rFonts w:ascii="Arial" w:hAnsi="Arial"/>
                <w:sz w:val="18"/>
              </w:rPr>
            </w:pPr>
            <w:r w:rsidRPr="00F710E9">
              <w:rPr>
                <w:rFonts w:ascii="Arial" w:hAnsi="Arial"/>
                <w:sz w:val="18"/>
              </w:rPr>
              <w:t>(NOTE 3)</w:t>
            </w:r>
          </w:p>
        </w:tc>
      </w:tr>
      <w:tr w:rsidR="003E1F9F" w:rsidRPr="00F710E9" w14:paraId="72A70EC8"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4AB9A62B"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4F28A90B"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5E9FAA3"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5C4131C7" w14:textId="77777777" w:rsidR="003E1F9F" w:rsidRPr="00F710E9" w:rsidRDefault="003E1F9F" w:rsidP="005A20DD">
            <w:pPr>
              <w:keepNext/>
              <w:keepLines/>
              <w:spacing w:after="0"/>
              <w:rPr>
                <w:rFonts w:ascii="Arial" w:hAnsi="Arial"/>
                <w:sz w:val="18"/>
              </w:rPr>
            </w:pPr>
            <w:r w:rsidRPr="00F710E9">
              <w:rPr>
                <w:rFonts w:ascii="Arial" w:hAnsi="Arial"/>
                <w:sz w:val="18"/>
              </w:rPr>
              <w:t>400 Bad Request</w:t>
            </w:r>
          </w:p>
        </w:tc>
        <w:tc>
          <w:tcPr>
            <w:tcW w:w="1897" w:type="pct"/>
            <w:tcBorders>
              <w:top w:val="single" w:sz="6" w:space="0" w:color="auto"/>
              <w:left w:val="single" w:sz="6" w:space="0" w:color="auto"/>
              <w:bottom w:val="single" w:sz="6" w:space="0" w:color="auto"/>
              <w:right w:val="single" w:sz="6" w:space="0" w:color="auto"/>
            </w:tcBorders>
          </w:tcPr>
          <w:p w14:paraId="4C1F9514"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3D021E1F"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0DEF0BCA" w14:textId="77777777" w:rsidR="003E1F9F" w:rsidRPr="00F710E9" w:rsidRDefault="003E1F9F" w:rsidP="005A20DD">
            <w:pPr>
              <w:keepNext/>
              <w:keepLines/>
              <w:spacing w:after="0"/>
              <w:rPr>
                <w:rFonts w:ascii="Arial" w:eastAsia="等线" w:hAnsi="Arial"/>
                <w:sz w:val="18"/>
              </w:rPr>
            </w:pPr>
            <w:r w:rsidRPr="00F710E9">
              <w:rPr>
                <w:rFonts w:ascii="Arial" w:eastAsia="等线"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26A4050C"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7D626DD4"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441C615D" w14:textId="77777777" w:rsidR="003E1F9F" w:rsidRPr="00F710E9" w:rsidRDefault="003E1F9F" w:rsidP="005A20DD">
            <w:pPr>
              <w:keepNext/>
              <w:keepLines/>
              <w:spacing w:after="0"/>
              <w:rPr>
                <w:rFonts w:ascii="Arial" w:hAnsi="Arial"/>
                <w:sz w:val="18"/>
              </w:rPr>
            </w:pPr>
            <w:r w:rsidRPr="00F710E9">
              <w:rPr>
                <w:rFonts w:ascii="Arial" w:hAnsi="Arial"/>
                <w:sz w:val="18"/>
              </w:rPr>
              <w:t>40</w:t>
            </w:r>
            <w:r>
              <w:rPr>
                <w:rFonts w:ascii="Arial" w:hAnsi="Arial"/>
                <w:sz w:val="18"/>
              </w:rPr>
              <w:t>3</w:t>
            </w:r>
            <w:r w:rsidRPr="00F710E9">
              <w:rPr>
                <w:rFonts w:ascii="Arial" w:hAnsi="Arial"/>
                <w:sz w:val="18"/>
              </w:rPr>
              <w:t xml:space="preserve"> </w:t>
            </w:r>
            <w:r>
              <w:rPr>
                <w:rFonts w:ascii="Arial" w:hAnsi="Arial"/>
                <w:sz w:val="18"/>
              </w:rPr>
              <w:t>Forbidden</w:t>
            </w:r>
          </w:p>
        </w:tc>
        <w:tc>
          <w:tcPr>
            <w:tcW w:w="1897" w:type="pct"/>
            <w:tcBorders>
              <w:top w:val="single" w:sz="6" w:space="0" w:color="auto"/>
              <w:left w:val="single" w:sz="6" w:space="0" w:color="auto"/>
              <w:bottom w:val="single" w:sz="6" w:space="0" w:color="auto"/>
              <w:right w:val="single" w:sz="6" w:space="0" w:color="auto"/>
            </w:tcBorders>
          </w:tcPr>
          <w:p w14:paraId="0FD016A9"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0726A627" w14:textId="77777777" w:rsidTr="005A20DD">
        <w:trPr>
          <w:jc w:val="center"/>
        </w:trPr>
        <w:tc>
          <w:tcPr>
            <w:tcW w:w="1405" w:type="pct"/>
            <w:tcBorders>
              <w:top w:val="single" w:sz="6" w:space="0" w:color="auto"/>
              <w:left w:val="single" w:sz="6" w:space="0" w:color="auto"/>
              <w:bottom w:val="single" w:sz="6" w:space="0" w:color="auto"/>
              <w:right w:val="single" w:sz="6" w:space="0" w:color="auto"/>
            </w:tcBorders>
          </w:tcPr>
          <w:p w14:paraId="154A651B" w14:textId="77777777" w:rsidR="003E1F9F" w:rsidRPr="00F710E9" w:rsidRDefault="003E1F9F" w:rsidP="005A20DD">
            <w:pPr>
              <w:keepNext/>
              <w:keepLines/>
              <w:spacing w:after="0"/>
              <w:rPr>
                <w:rFonts w:ascii="Arial" w:hAnsi="Arial"/>
                <w:sz w:val="18"/>
              </w:rPr>
            </w:pPr>
            <w:r w:rsidRPr="00F710E9">
              <w:rPr>
                <w:rFonts w:ascii="Arial" w:eastAsia="等线" w:hAnsi="Arial"/>
                <w:sz w:val="18"/>
              </w:rPr>
              <w:t>ProblemDetails</w:t>
            </w:r>
          </w:p>
        </w:tc>
        <w:tc>
          <w:tcPr>
            <w:tcW w:w="208" w:type="pct"/>
            <w:tcBorders>
              <w:top w:val="single" w:sz="6" w:space="0" w:color="auto"/>
              <w:left w:val="single" w:sz="6" w:space="0" w:color="auto"/>
              <w:bottom w:val="single" w:sz="6" w:space="0" w:color="auto"/>
              <w:right w:val="single" w:sz="6" w:space="0" w:color="auto"/>
            </w:tcBorders>
          </w:tcPr>
          <w:p w14:paraId="6215681E" w14:textId="77777777" w:rsidR="003E1F9F" w:rsidRPr="00F710E9" w:rsidRDefault="003E1F9F" w:rsidP="005A20DD">
            <w:pPr>
              <w:keepNext/>
              <w:keepLines/>
              <w:spacing w:after="0"/>
              <w:rPr>
                <w:rFonts w:ascii="Arial" w:hAnsi="Arial"/>
                <w:sz w:val="18"/>
              </w:rPr>
            </w:pPr>
            <w:r w:rsidRPr="00F710E9">
              <w:rPr>
                <w:rFonts w:ascii="Arial" w:hAnsi="Arial"/>
                <w:sz w:val="18"/>
              </w:rPr>
              <w:t>O</w:t>
            </w:r>
          </w:p>
        </w:tc>
        <w:tc>
          <w:tcPr>
            <w:tcW w:w="629" w:type="pct"/>
            <w:tcBorders>
              <w:top w:val="single" w:sz="6" w:space="0" w:color="auto"/>
              <w:left w:val="single" w:sz="6" w:space="0" w:color="auto"/>
              <w:bottom w:val="single" w:sz="6" w:space="0" w:color="auto"/>
              <w:right w:val="single" w:sz="6" w:space="0" w:color="auto"/>
            </w:tcBorders>
          </w:tcPr>
          <w:p w14:paraId="6A482049" w14:textId="77777777" w:rsidR="003E1F9F" w:rsidRPr="00F710E9" w:rsidRDefault="003E1F9F" w:rsidP="005A20DD">
            <w:pPr>
              <w:keepNext/>
              <w:keepLines/>
              <w:spacing w:after="0"/>
              <w:rPr>
                <w:rFonts w:ascii="Arial" w:hAnsi="Arial"/>
                <w:sz w:val="18"/>
              </w:rPr>
            </w:pPr>
            <w:r w:rsidRPr="00F710E9">
              <w:rPr>
                <w:rFonts w:ascii="Arial" w:hAnsi="Arial"/>
                <w:sz w:val="18"/>
              </w:rPr>
              <w:t>0..1</w:t>
            </w:r>
          </w:p>
        </w:tc>
        <w:tc>
          <w:tcPr>
            <w:tcW w:w="861" w:type="pct"/>
            <w:tcBorders>
              <w:top w:val="single" w:sz="6" w:space="0" w:color="auto"/>
              <w:left w:val="single" w:sz="6" w:space="0" w:color="auto"/>
              <w:bottom w:val="single" w:sz="6" w:space="0" w:color="auto"/>
              <w:right w:val="single" w:sz="6" w:space="0" w:color="auto"/>
            </w:tcBorders>
          </w:tcPr>
          <w:p w14:paraId="6C0B851B" w14:textId="77777777" w:rsidR="003E1F9F" w:rsidRPr="00F710E9" w:rsidRDefault="003E1F9F" w:rsidP="005A20DD">
            <w:pPr>
              <w:keepNext/>
              <w:keepLines/>
              <w:spacing w:after="0"/>
              <w:rPr>
                <w:rFonts w:ascii="Arial" w:hAnsi="Arial"/>
                <w:sz w:val="18"/>
              </w:rPr>
            </w:pPr>
            <w:r w:rsidRPr="00F710E9">
              <w:rPr>
                <w:rFonts w:ascii="Arial" w:hAnsi="Arial"/>
                <w:sz w:val="18"/>
              </w:rPr>
              <w:t>500 Internal Server Error</w:t>
            </w:r>
          </w:p>
        </w:tc>
        <w:tc>
          <w:tcPr>
            <w:tcW w:w="1897" w:type="pct"/>
            <w:tcBorders>
              <w:top w:val="single" w:sz="6" w:space="0" w:color="auto"/>
              <w:left w:val="single" w:sz="6" w:space="0" w:color="auto"/>
              <w:bottom w:val="single" w:sz="6" w:space="0" w:color="auto"/>
              <w:right w:val="single" w:sz="6" w:space="0" w:color="auto"/>
            </w:tcBorders>
          </w:tcPr>
          <w:p w14:paraId="10FE4EED" w14:textId="77777777" w:rsidR="003E1F9F" w:rsidRPr="00F710E9" w:rsidRDefault="003E1F9F" w:rsidP="005A20DD">
            <w:pPr>
              <w:keepNext/>
              <w:keepLines/>
              <w:spacing w:after="0"/>
              <w:rPr>
                <w:rFonts w:ascii="Arial" w:hAnsi="Arial"/>
                <w:sz w:val="18"/>
              </w:rPr>
            </w:pPr>
            <w:r w:rsidRPr="00F710E9">
              <w:rPr>
                <w:rFonts w:ascii="Arial" w:hAnsi="Arial"/>
                <w:sz w:val="18"/>
              </w:rPr>
              <w:t>(NOTE 2)</w:t>
            </w:r>
          </w:p>
        </w:tc>
      </w:tr>
      <w:tr w:rsidR="003E1F9F" w:rsidRPr="00F710E9" w14:paraId="3BBAD99D" w14:textId="77777777" w:rsidTr="005A20DD">
        <w:trPr>
          <w:jc w:val="center"/>
        </w:trPr>
        <w:tc>
          <w:tcPr>
            <w:tcW w:w="5000" w:type="pct"/>
            <w:gridSpan w:val="5"/>
            <w:tcBorders>
              <w:top w:val="single" w:sz="6" w:space="0" w:color="auto"/>
              <w:left w:val="single" w:sz="6" w:space="0" w:color="auto"/>
              <w:bottom w:val="single" w:sz="6" w:space="0" w:color="000000"/>
              <w:right w:val="single" w:sz="6" w:space="0" w:color="auto"/>
            </w:tcBorders>
          </w:tcPr>
          <w:p w14:paraId="70C0E7A7"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rPr>
              <w:tab/>
              <w:t>The mandatory HTTP error status codes for the PUT method listed in table 5.2.7.1-1 of 3GPP TS 29.500 [6] also apply.</w:t>
            </w:r>
          </w:p>
          <w:p w14:paraId="3383E86E"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2:</w:t>
            </w:r>
            <w:r w:rsidRPr="00F710E9">
              <w:rPr>
                <w:rFonts w:ascii="Arial" w:hAnsi="Arial"/>
                <w:sz w:val="18"/>
                <w:lang w:val="en-US" w:eastAsia="zh-CN"/>
              </w:rPr>
              <w:tab/>
            </w:r>
            <w:r w:rsidRPr="00F710E9">
              <w:rPr>
                <w:rFonts w:ascii="Arial" w:hAnsi="Arial"/>
                <w:sz w:val="18"/>
              </w:rPr>
              <w:t>Failure cases are described in clause 5.8.7.</w:t>
            </w:r>
          </w:p>
          <w:p w14:paraId="66789A0D" w14:textId="77777777" w:rsidR="003E1F9F" w:rsidRPr="00F710E9" w:rsidRDefault="003E1F9F" w:rsidP="005A20DD">
            <w:pPr>
              <w:keepNext/>
              <w:keepLines/>
              <w:spacing w:after="0"/>
              <w:ind w:left="851" w:hanging="851"/>
              <w:rPr>
                <w:rFonts w:ascii="Arial" w:hAnsi="Arial"/>
                <w:sz w:val="18"/>
              </w:rPr>
            </w:pPr>
            <w:r w:rsidRPr="00F710E9">
              <w:rPr>
                <w:rFonts w:ascii="Arial" w:hAnsi="Arial"/>
                <w:sz w:val="18"/>
              </w:rPr>
              <w:t>NOTE 3:</w:t>
            </w:r>
            <w:r w:rsidRPr="00F710E9">
              <w:rPr>
                <w:rFonts w:ascii="Arial" w:hAnsi="Arial"/>
                <w:sz w:val="18"/>
              </w:rPr>
              <w:tab/>
              <w:t>The RedirectResponse data structure may be provided by an SCP or a SEPP (cf. clause 6.10.9.1 of 3GPP TS 29.500 [6]).</w:t>
            </w:r>
          </w:p>
        </w:tc>
      </w:tr>
    </w:tbl>
    <w:p w14:paraId="0A3B1D4D" w14:textId="77777777" w:rsidR="003E1F9F" w:rsidRPr="00F710E9" w:rsidRDefault="003E1F9F" w:rsidP="003E1F9F">
      <w:pPr>
        <w:rPr>
          <w:lang w:val="en-US" w:eastAsia="zh-CN"/>
        </w:rPr>
      </w:pPr>
    </w:p>
    <w:p w14:paraId="18DFCE78" w14:textId="77777777" w:rsidR="00A10B25" w:rsidRDefault="00A10B25" w:rsidP="0076721C">
      <w:pPr>
        <w:pStyle w:val="TH"/>
      </w:pPr>
      <w:r>
        <w:t>Table 5.8.3.3.3.1-4: Headers supported by the 307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089F73C5" w14:textId="77777777">
        <w:trPr>
          <w:jc w:val="center"/>
        </w:trPr>
        <w:tc>
          <w:tcPr>
            <w:tcW w:w="825" w:type="pct"/>
            <w:tcBorders>
              <w:bottom w:val="single" w:sz="6" w:space="0" w:color="auto"/>
            </w:tcBorders>
            <w:shd w:val="clear" w:color="auto" w:fill="C0C0C0"/>
          </w:tcPr>
          <w:p w14:paraId="5D008D9C"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79458677"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7B44798A"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0CF79C25"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122DF868"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2A82F767" w14:textId="77777777">
        <w:trPr>
          <w:jc w:val="center"/>
        </w:trPr>
        <w:tc>
          <w:tcPr>
            <w:tcW w:w="825" w:type="pct"/>
            <w:tcBorders>
              <w:top w:val="single" w:sz="6" w:space="0" w:color="auto"/>
            </w:tcBorders>
          </w:tcPr>
          <w:p w14:paraId="6828F2B4"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05F3CEB1"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754D13F8"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29040FB9"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1BDC0526"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62BE4D95" w14:textId="77777777" w:rsidR="00A10B25" w:rsidRDefault="00A10B25">
            <w:pPr>
              <w:keepNext/>
              <w:keepLines/>
              <w:spacing w:after="0"/>
              <w:rPr>
                <w:rFonts w:ascii="Arial" w:hAnsi="Arial"/>
                <w:sz w:val="18"/>
              </w:rPr>
            </w:pPr>
          </w:p>
          <w:p w14:paraId="39B3319C"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2A39DD47" w14:textId="77777777">
        <w:trPr>
          <w:jc w:val="center"/>
        </w:trPr>
        <w:tc>
          <w:tcPr>
            <w:tcW w:w="825" w:type="pct"/>
          </w:tcPr>
          <w:p w14:paraId="7D59FA10"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7FDB3B3C"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187C5DB7"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76240520"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5EE5A00C"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08EABC5F" w14:textId="77777777" w:rsidR="00A10B25" w:rsidRDefault="00A10B25"/>
    <w:p w14:paraId="3049383E" w14:textId="77777777" w:rsidR="00A10B25" w:rsidRDefault="00A10B25" w:rsidP="0076721C">
      <w:pPr>
        <w:pStyle w:val="TH"/>
      </w:pPr>
      <w:r>
        <w:t>Table 5.8.3.3.3.1-5: Headers supported by the 308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7CA7C028" w14:textId="77777777">
        <w:trPr>
          <w:jc w:val="center"/>
        </w:trPr>
        <w:tc>
          <w:tcPr>
            <w:tcW w:w="825" w:type="pct"/>
            <w:tcBorders>
              <w:bottom w:val="single" w:sz="6" w:space="0" w:color="auto"/>
            </w:tcBorders>
            <w:shd w:val="clear" w:color="auto" w:fill="C0C0C0"/>
          </w:tcPr>
          <w:p w14:paraId="03FF710D"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79A0C0FB"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27186568"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6DF702F2"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3838F8A6"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15D43687" w14:textId="77777777">
        <w:trPr>
          <w:jc w:val="center"/>
        </w:trPr>
        <w:tc>
          <w:tcPr>
            <w:tcW w:w="825" w:type="pct"/>
            <w:tcBorders>
              <w:top w:val="single" w:sz="6" w:space="0" w:color="auto"/>
            </w:tcBorders>
          </w:tcPr>
          <w:p w14:paraId="4A83C627"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3C559751"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3A9ACD67"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5FC6AD20"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63EC941E"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05FB2788" w14:textId="77777777" w:rsidR="00A10B25" w:rsidRDefault="00A10B25">
            <w:pPr>
              <w:keepNext/>
              <w:keepLines/>
              <w:spacing w:after="0"/>
              <w:rPr>
                <w:rFonts w:ascii="Arial" w:hAnsi="Arial"/>
                <w:sz w:val="18"/>
              </w:rPr>
            </w:pPr>
          </w:p>
          <w:p w14:paraId="0F283DB6"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02BA65F6" w14:textId="77777777">
        <w:trPr>
          <w:jc w:val="center"/>
        </w:trPr>
        <w:tc>
          <w:tcPr>
            <w:tcW w:w="825" w:type="pct"/>
          </w:tcPr>
          <w:p w14:paraId="093C907E"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737FF522"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0EEBFE82"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0E8F7D19"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31BEE094"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43E639D3" w14:textId="77777777" w:rsidR="00A10B25" w:rsidRDefault="00A10B25">
      <w:pPr>
        <w:rPr>
          <w:rFonts w:eastAsia="MS Mincho"/>
          <w:lang w:eastAsia="ja-JP"/>
        </w:rPr>
      </w:pPr>
    </w:p>
    <w:p w14:paraId="72453AFA" w14:textId="77777777" w:rsidR="00A10B25" w:rsidRDefault="00A10B25" w:rsidP="0076721C">
      <w:pPr>
        <w:pStyle w:val="H6"/>
      </w:pPr>
      <w:r>
        <w:t>5.8.3.3.3.2</w:t>
      </w:r>
      <w:r>
        <w:tab/>
        <w:t>DELETE</w:t>
      </w:r>
    </w:p>
    <w:p w14:paraId="64F48C2B" w14:textId="77777777" w:rsidR="00A10B25" w:rsidRDefault="00A10B25">
      <w:r>
        <w:t>This method shall support the URI query parameters specified in table 5.8.3.3.3.2-1.</w:t>
      </w:r>
    </w:p>
    <w:p w14:paraId="14B2377F" w14:textId="77777777" w:rsidR="00A10B25" w:rsidRDefault="00A10B25" w:rsidP="0076721C">
      <w:pPr>
        <w:pStyle w:val="TH"/>
      </w:pPr>
      <w:r>
        <w:lastRenderedPageBreak/>
        <w:t>Table 5.8.3.3.3.2-1: URI query parameters supported by the DELETE method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CEF63D2" w14:textId="77777777">
        <w:trPr>
          <w:jc w:val="center"/>
        </w:trPr>
        <w:tc>
          <w:tcPr>
            <w:tcW w:w="825" w:type="pct"/>
            <w:tcBorders>
              <w:bottom w:val="single" w:sz="6" w:space="0" w:color="auto"/>
            </w:tcBorders>
            <w:shd w:val="clear" w:color="auto" w:fill="C0C0C0"/>
          </w:tcPr>
          <w:p w14:paraId="1407CFDE"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0ABE2B21"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3C893C4C"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77DB08FF"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6" w:type="pct"/>
            <w:tcBorders>
              <w:bottom w:val="single" w:sz="6" w:space="0" w:color="auto"/>
            </w:tcBorders>
            <w:shd w:val="clear" w:color="auto" w:fill="C0C0C0"/>
            <w:vAlign w:val="center"/>
          </w:tcPr>
          <w:p w14:paraId="28F5133A"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42925AF7" w14:textId="77777777">
        <w:trPr>
          <w:jc w:val="center"/>
        </w:trPr>
        <w:tc>
          <w:tcPr>
            <w:tcW w:w="825" w:type="pct"/>
            <w:tcBorders>
              <w:top w:val="single" w:sz="6" w:space="0" w:color="auto"/>
            </w:tcBorders>
          </w:tcPr>
          <w:p w14:paraId="66D561A1" w14:textId="77777777" w:rsidR="00A10B25" w:rsidRDefault="00A10B25">
            <w:pPr>
              <w:keepNext/>
              <w:keepLines/>
              <w:spacing w:after="0"/>
              <w:rPr>
                <w:rFonts w:ascii="Arial" w:hAnsi="Arial"/>
                <w:sz w:val="18"/>
              </w:rPr>
            </w:pPr>
            <w:r>
              <w:rPr>
                <w:rFonts w:ascii="Arial" w:hAnsi="Arial"/>
                <w:sz w:val="18"/>
              </w:rPr>
              <w:t>n/a</w:t>
            </w:r>
          </w:p>
        </w:tc>
        <w:tc>
          <w:tcPr>
            <w:tcW w:w="732" w:type="pct"/>
            <w:tcBorders>
              <w:top w:val="single" w:sz="6" w:space="0" w:color="auto"/>
            </w:tcBorders>
          </w:tcPr>
          <w:p w14:paraId="230F3E5F" w14:textId="77777777" w:rsidR="00A10B25" w:rsidRDefault="00A10B25">
            <w:pPr>
              <w:keepNext/>
              <w:keepLines/>
              <w:spacing w:after="0"/>
              <w:rPr>
                <w:rFonts w:ascii="Arial" w:hAnsi="Arial"/>
                <w:sz w:val="18"/>
              </w:rPr>
            </w:pPr>
          </w:p>
        </w:tc>
        <w:tc>
          <w:tcPr>
            <w:tcW w:w="217" w:type="pct"/>
            <w:tcBorders>
              <w:top w:val="single" w:sz="6" w:space="0" w:color="auto"/>
            </w:tcBorders>
          </w:tcPr>
          <w:p w14:paraId="1AD89709" w14:textId="77777777" w:rsidR="00A10B25" w:rsidRDefault="00A10B25">
            <w:pPr>
              <w:keepNext/>
              <w:keepLines/>
              <w:spacing w:after="0"/>
              <w:jc w:val="center"/>
              <w:rPr>
                <w:rFonts w:ascii="Arial" w:hAnsi="Arial"/>
                <w:sz w:val="18"/>
              </w:rPr>
            </w:pPr>
          </w:p>
        </w:tc>
        <w:tc>
          <w:tcPr>
            <w:tcW w:w="581" w:type="pct"/>
            <w:tcBorders>
              <w:top w:val="single" w:sz="6" w:space="0" w:color="auto"/>
            </w:tcBorders>
          </w:tcPr>
          <w:p w14:paraId="0226E38E" w14:textId="77777777" w:rsidR="00A10B25" w:rsidRDefault="00A10B25">
            <w:pPr>
              <w:keepNext/>
              <w:keepLines/>
              <w:spacing w:after="0"/>
              <w:rPr>
                <w:rFonts w:ascii="Arial" w:hAnsi="Arial"/>
                <w:sz w:val="18"/>
              </w:rPr>
            </w:pPr>
          </w:p>
        </w:tc>
        <w:tc>
          <w:tcPr>
            <w:tcW w:w="2646" w:type="pct"/>
            <w:tcBorders>
              <w:top w:val="single" w:sz="6" w:space="0" w:color="auto"/>
            </w:tcBorders>
            <w:vAlign w:val="center"/>
          </w:tcPr>
          <w:p w14:paraId="28F4634D" w14:textId="77777777" w:rsidR="00A10B25" w:rsidRDefault="00A10B25">
            <w:pPr>
              <w:keepNext/>
              <w:keepLines/>
              <w:spacing w:after="0"/>
              <w:rPr>
                <w:rFonts w:ascii="Arial" w:hAnsi="Arial"/>
                <w:sz w:val="18"/>
              </w:rPr>
            </w:pPr>
          </w:p>
        </w:tc>
      </w:tr>
    </w:tbl>
    <w:p w14:paraId="03B885FC" w14:textId="77777777" w:rsidR="00A10B25" w:rsidRDefault="00A10B25"/>
    <w:p w14:paraId="58F8B643" w14:textId="77777777" w:rsidR="00A10B25" w:rsidRDefault="00A10B25">
      <w:r>
        <w:t>This method shall support the request data structures specified in table 5.8.3.3.3.2-2 and the response data structures and response codes specified in table 5.8.3.3.3.2-3.</w:t>
      </w:r>
    </w:p>
    <w:p w14:paraId="58751E80" w14:textId="77777777" w:rsidR="00A10B25" w:rsidRDefault="00A10B25" w:rsidP="0076721C">
      <w:pPr>
        <w:pStyle w:val="TH"/>
      </w:pPr>
      <w:r>
        <w:t>Table 5.8.3.3.3.2-2: Data structures supported by the DELETE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A10B25" w14:paraId="3F8B8C3A" w14:textId="77777777">
        <w:trPr>
          <w:jc w:val="center"/>
        </w:trPr>
        <w:tc>
          <w:tcPr>
            <w:tcW w:w="1627" w:type="dxa"/>
            <w:tcBorders>
              <w:bottom w:val="single" w:sz="6" w:space="0" w:color="auto"/>
            </w:tcBorders>
            <w:shd w:val="clear" w:color="auto" w:fill="C0C0C0"/>
          </w:tcPr>
          <w:p w14:paraId="201FFF80" w14:textId="77777777" w:rsidR="00A10B25" w:rsidRDefault="00A10B25">
            <w:pPr>
              <w:keepNext/>
              <w:keepLines/>
              <w:spacing w:after="0"/>
              <w:jc w:val="center"/>
              <w:rPr>
                <w:rFonts w:ascii="Arial" w:hAnsi="Arial"/>
                <w:b/>
                <w:sz w:val="18"/>
              </w:rPr>
            </w:pPr>
            <w:r>
              <w:rPr>
                <w:rFonts w:ascii="Arial" w:hAnsi="Arial"/>
                <w:b/>
                <w:sz w:val="18"/>
              </w:rPr>
              <w:t>Data type</w:t>
            </w:r>
          </w:p>
        </w:tc>
        <w:tc>
          <w:tcPr>
            <w:tcW w:w="425" w:type="dxa"/>
            <w:tcBorders>
              <w:bottom w:val="single" w:sz="6" w:space="0" w:color="auto"/>
            </w:tcBorders>
            <w:shd w:val="clear" w:color="auto" w:fill="C0C0C0"/>
          </w:tcPr>
          <w:p w14:paraId="069993AA" w14:textId="77777777" w:rsidR="00A10B25" w:rsidRDefault="00A10B25">
            <w:pPr>
              <w:keepNext/>
              <w:keepLines/>
              <w:spacing w:after="0"/>
              <w:jc w:val="center"/>
              <w:rPr>
                <w:rFonts w:ascii="Arial" w:hAnsi="Arial"/>
                <w:b/>
                <w:sz w:val="18"/>
              </w:rPr>
            </w:pPr>
            <w:r>
              <w:rPr>
                <w:rFonts w:ascii="Arial" w:hAnsi="Arial"/>
                <w:b/>
                <w:sz w:val="18"/>
              </w:rPr>
              <w:t>P</w:t>
            </w:r>
          </w:p>
        </w:tc>
        <w:tc>
          <w:tcPr>
            <w:tcW w:w="1276" w:type="dxa"/>
            <w:tcBorders>
              <w:bottom w:val="single" w:sz="6" w:space="0" w:color="auto"/>
            </w:tcBorders>
            <w:shd w:val="clear" w:color="auto" w:fill="C0C0C0"/>
          </w:tcPr>
          <w:p w14:paraId="4CC2A325" w14:textId="77777777" w:rsidR="00A10B25" w:rsidRDefault="00A10B25">
            <w:pPr>
              <w:keepNext/>
              <w:keepLines/>
              <w:spacing w:after="0"/>
              <w:jc w:val="center"/>
              <w:rPr>
                <w:rFonts w:ascii="Arial" w:hAnsi="Arial"/>
                <w:b/>
                <w:sz w:val="18"/>
              </w:rPr>
            </w:pPr>
            <w:r>
              <w:rPr>
                <w:rFonts w:ascii="Arial" w:hAnsi="Arial"/>
                <w:b/>
                <w:sz w:val="18"/>
              </w:rPr>
              <w:t>Cardinality</w:t>
            </w:r>
          </w:p>
        </w:tc>
        <w:tc>
          <w:tcPr>
            <w:tcW w:w="6447" w:type="dxa"/>
            <w:tcBorders>
              <w:bottom w:val="single" w:sz="6" w:space="0" w:color="auto"/>
            </w:tcBorders>
            <w:shd w:val="clear" w:color="auto" w:fill="C0C0C0"/>
            <w:vAlign w:val="center"/>
          </w:tcPr>
          <w:p w14:paraId="61F999BB"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44D45187" w14:textId="77777777">
        <w:trPr>
          <w:jc w:val="center"/>
        </w:trPr>
        <w:tc>
          <w:tcPr>
            <w:tcW w:w="1627" w:type="dxa"/>
            <w:tcBorders>
              <w:top w:val="single" w:sz="6" w:space="0" w:color="auto"/>
            </w:tcBorders>
          </w:tcPr>
          <w:p w14:paraId="678F591F" w14:textId="77777777" w:rsidR="00A10B25" w:rsidRDefault="00A10B25">
            <w:pPr>
              <w:keepNext/>
              <w:keepLines/>
              <w:spacing w:after="0"/>
              <w:rPr>
                <w:rFonts w:ascii="Arial" w:hAnsi="Arial"/>
                <w:sz w:val="18"/>
              </w:rPr>
            </w:pPr>
            <w:r>
              <w:rPr>
                <w:rFonts w:ascii="Arial" w:hAnsi="Arial"/>
                <w:sz w:val="18"/>
              </w:rPr>
              <w:t>n/a</w:t>
            </w:r>
          </w:p>
        </w:tc>
        <w:tc>
          <w:tcPr>
            <w:tcW w:w="425" w:type="dxa"/>
            <w:tcBorders>
              <w:top w:val="single" w:sz="6" w:space="0" w:color="auto"/>
            </w:tcBorders>
          </w:tcPr>
          <w:p w14:paraId="015AE21E" w14:textId="77777777" w:rsidR="00A10B25" w:rsidRDefault="00A10B25">
            <w:pPr>
              <w:keepNext/>
              <w:keepLines/>
              <w:spacing w:after="0"/>
              <w:jc w:val="center"/>
              <w:rPr>
                <w:rFonts w:ascii="Arial" w:hAnsi="Arial"/>
                <w:sz w:val="18"/>
              </w:rPr>
            </w:pPr>
          </w:p>
        </w:tc>
        <w:tc>
          <w:tcPr>
            <w:tcW w:w="1276" w:type="dxa"/>
            <w:tcBorders>
              <w:top w:val="single" w:sz="6" w:space="0" w:color="auto"/>
            </w:tcBorders>
          </w:tcPr>
          <w:p w14:paraId="16A142F0" w14:textId="77777777" w:rsidR="00A10B25" w:rsidRDefault="00A10B25">
            <w:pPr>
              <w:keepNext/>
              <w:keepLines/>
              <w:spacing w:after="0"/>
              <w:rPr>
                <w:rFonts w:ascii="Arial" w:hAnsi="Arial"/>
                <w:sz w:val="18"/>
              </w:rPr>
            </w:pPr>
          </w:p>
        </w:tc>
        <w:tc>
          <w:tcPr>
            <w:tcW w:w="6447" w:type="dxa"/>
            <w:tcBorders>
              <w:top w:val="single" w:sz="6" w:space="0" w:color="auto"/>
            </w:tcBorders>
          </w:tcPr>
          <w:p w14:paraId="4391A0D8" w14:textId="77777777" w:rsidR="00A10B25" w:rsidRDefault="00A10B25">
            <w:pPr>
              <w:keepNext/>
              <w:keepLines/>
              <w:spacing w:after="0"/>
              <w:rPr>
                <w:rFonts w:ascii="Arial" w:hAnsi="Arial"/>
                <w:sz w:val="18"/>
              </w:rPr>
            </w:pPr>
          </w:p>
        </w:tc>
      </w:tr>
    </w:tbl>
    <w:p w14:paraId="20487C1D" w14:textId="77777777" w:rsidR="00A10B25" w:rsidRDefault="00A10B25"/>
    <w:p w14:paraId="17CE36BC" w14:textId="77777777" w:rsidR="00A10B25" w:rsidRDefault="00A10B25" w:rsidP="0076721C">
      <w:pPr>
        <w:pStyle w:val="TH"/>
      </w:pPr>
      <w:r>
        <w:t>Table 5.8.3.3.3.2-3: Data structures supported by the DELETE Response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17"/>
        <w:gridCol w:w="424"/>
        <w:gridCol w:w="1225"/>
        <w:gridCol w:w="1100"/>
        <w:gridCol w:w="5163"/>
      </w:tblGrid>
      <w:tr w:rsidR="00A10B25" w14:paraId="1ADC0520" w14:textId="77777777">
        <w:trPr>
          <w:jc w:val="center"/>
        </w:trPr>
        <w:tc>
          <w:tcPr>
            <w:tcW w:w="848" w:type="pct"/>
            <w:tcBorders>
              <w:bottom w:val="single" w:sz="6" w:space="0" w:color="auto"/>
            </w:tcBorders>
            <w:shd w:val="clear" w:color="auto" w:fill="C0C0C0"/>
          </w:tcPr>
          <w:p w14:paraId="5D1687BD" w14:textId="77777777" w:rsidR="00A10B25" w:rsidRDefault="00A10B25">
            <w:pPr>
              <w:keepNext/>
              <w:keepLines/>
              <w:spacing w:after="0"/>
              <w:jc w:val="center"/>
              <w:rPr>
                <w:rFonts w:ascii="Arial" w:hAnsi="Arial"/>
                <w:b/>
                <w:sz w:val="18"/>
              </w:rPr>
            </w:pPr>
            <w:r>
              <w:rPr>
                <w:rFonts w:ascii="Arial" w:hAnsi="Arial"/>
                <w:b/>
                <w:sz w:val="18"/>
              </w:rPr>
              <w:t>Data type</w:t>
            </w:r>
          </w:p>
        </w:tc>
        <w:tc>
          <w:tcPr>
            <w:tcW w:w="223" w:type="pct"/>
            <w:tcBorders>
              <w:bottom w:val="single" w:sz="6" w:space="0" w:color="auto"/>
            </w:tcBorders>
            <w:shd w:val="clear" w:color="auto" w:fill="C0C0C0"/>
          </w:tcPr>
          <w:p w14:paraId="44623567" w14:textId="77777777" w:rsidR="00A10B25" w:rsidRDefault="00A10B25">
            <w:pPr>
              <w:keepNext/>
              <w:keepLines/>
              <w:spacing w:after="0"/>
              <w:jc w:val="center"/>
              <w:rPr>
                <w:rFonts w:ascii="Arial" w:hAnsi="Arial"/>
                <w:b/>
                <w:sz w:val="18"/>
              </w:rPr>
            </w:pPr>
            <w:r>
              <w:rPr>
                <w:rFonts w:ascii="Arial" w:hAnsi="Arial"/>
                <w:b/>
                <w:sz w:val="18"/>
              </w:rPr>
              <w:t>P</w:t>
            </w:r>
          </w:p>
        </w:tc>
        <w:tc>
          <w:tcPr>
            <w:tcW w:w="643" w:type="pct"/>
            <w:tcBorders>
              <w:bottom w:val="single" w:sz="6" w:space="0" w:color="auto"/>
            </w:tcBorders>
            <w:shd w:val="clear" w:color="auto" w:fill="C0C0C0"/>
          </w:tcPr>
          <w:p w14:paraId="06A77ECC" w14:textId="77777777" w:rsidR="00A10B25" w:rsidRDefault="00A10B25">
            <w:pPr>
              <w:keepNext/>
              <w:keepLines/>
              <w:spacing w:after="0"/>
              <w:jc w:val="center"/>
              <w:rPr>
                <w:rFonts w:ascii="Arial" w:hAnsi="Arial"/>
                <w:b/>
                <w:sz w:val="18"/>
              </w:rPr>
            </w:pPr>
            <w:r>
              <w:rPr>
                <w:rFonts w:ascii="Arial" w:hAnsi="Arial"/>
                <w:b/>
                <w:sz w:val="18"/>
              </w:rPr>
              <w:t>Cardinality</w:t>
            </w:r>
          </w:p>
        </w:tc>
        <w:tc>
          <w:tcPr>
            <w:tcW w:w="577" w:type="pct"/>
            <w:tcBorders>
              <w:bottom w:val="single" w:sz="6" w:space="0" w:color="auto"/>
            </w:tcBorders>
            <w:shd w:val="clear" w:color="auto" w:fill="C0C0C0"/>
          </w:tcPr>
          <w:p w14:paraId="62B80B6F" w14:textId="77777777" w:rsidR="00A10B25" w:rsidRDefault="00A10B25">
            <w:pPr>
              <w:keepNext/>
              <w:keepLines/>
              <w:spacing w:after="0"/>
              <w:jc w:val="center"/>
              <w:rPr>
                <w:rFonts w:ascii="Arial" w:hAnsi="Arial"/>
                <w:b/>
                <w:sz w:val="18"/>
              </w:rPr>
            </w:pPr>
            <w:r>
              <w:rPr>
                <w:rFonts w:ascii="Arial" w:hAnsi="Arial"/>
                <w:b/>
                <w:sz w:val="18"/>
              </w:rPr>
              <w:t>Response</w:t>
            </w:r>
          </w:p>
          <w:p w14:paraId="499B8B6C" w14:textId="77777777" w:rsidR="00A10B25" w:rsidRDefault="00A10B25">
            <w:pPr>
              <w:keepNext/>
              <w:keepLines/>
              <w:spacing w:after="0"/>
              <w:jc w:val="center"/>
              <w:rPr>
                <w:rFonts w:ascii="Arial" w:hAnsi="Arial"/>
                <w:b/>
                <w:sz w:val="18"/>
              </w:rPr>
            </w:pPr>
            <w:r>
              <w:rPr>
                <w:rFonts w:ascii="Arial" w:hAnsi="Arial"/>
                <w:b/>
                <w:sz w:val="18"/>
              </w:rPr>
              <w:t>codes</w:t>
            </w:r>
          </w:p>
        </w:tc>
        <w:tc>
          <w:tcPr>
            <w:tcW w:w="2708" w:type="pct"/>
            <w:tcBorders>
              <w:bottom w:val="single" w:sz="6" w:space="0" w:color="auto"/>
            </w:tcBorders>
            <w:shd w:val="clear" w:color="auto" w:fill="C0C0C0"/>
          </w:tcPr>
          <w:p w14:paraId="6F408FDD"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07E3F9C9" w14:textId="77777777">
        <w:trPr>
          <w:jc w:val="center"/>
        </w:trPr>
        <w:tc>
          <w:tcPr>
            <w:tcW w:w="848" w:type="pct"/>
            <w:tcBorders>
              <w:top w:val="single" w:sz="6" w:space="0" w:color="auto"/>
            </w:tcBorders>
          </w:tcPr>
          <w:p w14:paraId="05BD6F93" w14:textId="77777777" w:rsidR="00A10B25" w:rsidRDefault="00A10B25">
            <w:pPr>
              <w:keepNext/>
              <w:keepLines/>
              <w:spacing w:after="0"/>
              <w:rPr>
                <w:rFonts w:ascii="Arial" w:hAnsi="Arial"/>
                <w:sz w:val="18"/>
              </w:rPr>
            </w:pPr>
            <w:r>
              <w:rPr>
                <w:rFonts w:ascii="Arial" w:hAnsi="Arial"/>
                <w:sz w:val="18"/>
              </w:rPr>
              <w:t>n/a</w:t>
            </w:r>
          </w:p>
        </w:tc>
        <w:tc>
          <w:tcPr>
            <w:tcW w:w="223" w:type="pct"/>
            <w:tcBorders>
              <w:top w:val="single" w:sz="6" w:space="0" w:color="auto"/>
            </w:tcBorders>
          </w:tcPr>
          <w:p w14:paraId="4F6E10CD" w14:textId="77777777" w:rsidR="00A10B25" w:rsidRDefault="00A10B25"/>
        </w:tc>
        <w:tc>
          <w:tcPr>
            <w:tcW w:w="643" w:type="pct"/>
            <w:tcBorders>
              <w:top w:val="single" w:sz="6" w:space="0" w:color="auto"/>
            </w:tcBorders>
          </w:tcPr>
          <w:p w14:paraId="4C875D5E" w14:textId="77777777" w:rsidR="00A10B25" w:rsidRDefault="00A10B25">
            <w:pPr>
              <w:spacing w:after="0"/>
              <w:rPr>
                <w:lang w:val="en-US" w:eastAsia="zh-CN"/>
              </w:rPr>
            </w:pPr>
          </w:p>
        </w:tc>
        <w:tc>
          <w:tcPr>
            <w:tcW w:w="577" w:type="pct"/>
            <w:tcBorders>
              <w:top w:val="single" w:sz="6" w:space="0" w:color="auto"/>
            </w:tcBorders>
          </w:tcPr>
          <w:p w14:paraId="0015B146" w14:textId="77777777" w:rsidR="00A10B25" w:rsidRDefault="00A10B25">
            <w:pPr>
              <w:keepNext/>
              <w:keepLines/>
              <w:spacing w:after="0"/>
              <w:rPr>
                <w:rFonts w:ascii="Arial" w:hAnsi="Arial"/>
                <w:sz w:val="18"/>
              </w:rPr>
            </w:pPr>
            <w:r>
              <w:rPr>
                <w:rFonts w:ascii="Arial" w:hAnsi="Arial"/>
                <w:sz w:val="18"/>
              </w:rPr>
              <w:t>204 No Content</w:t>
            </w:r>
          </w:p>
        </w:tc>
        <w:tc>
          <w:tcPr>
            <w:tcW w:w="2708" w:type="pct"/>
            <w:tcBorders>
              <w:top w:val="single" w:sz="6" w:space="0" w:color="auto"/>
            </w:tcBorders>
          </w:tcPr>
          <w:p w14:paraId="5B3E80E7" w14:textId="77777777" w:rsidR="00A10B25" w:rsidRDefault="00A10B25">
            <w:pPr>
              <w:keepNext/>
              <w:keepLines/>
              <w:spacing w:after="0"/>
              <w:rPr>
                <w:rFonts w:ascii="Arial" w:hAnsi="Arial"/>
                <w:sz w:val="18"/>
              </w:rPr>
            </w:pPr>
            <w:r>
              <w:rPr>
                <w:rFonts w:ascii="Arial" w:hAnsi="Arial"/>
                <w:sz w:val="18"/>
              </w:rPr>
              <w:t xml:space="preserve">Successful case: The Individual NWDAF </w:t>
            </w:r>
            <w:r>
              <w:rPr>
                <w:rFonts w:ascii="Arial" w:eastAsia="等线" w:hAnsi="Arial"/>
                <w:sz w:val="18"/>
              </w:rPr>
              <w:t>Roaming Analytics</w:t>
            </w:r>
            <w:r>
              <w:rPr>
                <w:rFonts w:ascii="Arial" w:hAnsi="Arial"/>
                <w:sz w:val="18"/>
              </w:rPr>
              <w:t xml:space="preserve"> subscription resource matching the subscriptionId was deleted.</w:t>
            </w:r>
          </w:p>
        </w:tc>
      </w:tr>
      <w:tr w:rsidR="00A10B25" w14:paraId="4CD8720E" w14:textId="77777777">
        <w:trPr>
          <w:trHeight w:val="961"/>
          <w:jc w:val="center"/>
        </w:trPr>
        <w:tc>
          <w:tcPr>
            <w:tcW w:w="848" w:type="pct"/>
          </w:tcPr>
          <w:p w14:paraId="4FF2494B" w14:textId="77777777" w:rsidR="00A10B25" w:rsidRDefault="00A10B25">
            <w:pPr>
              <w:keepNext/>
              <w:keepLines/>
              <w:spacing w:after="0"/>
              <w:rPr>
                <w:rFonts w:ascii="Arial" w:hAnsi="Arial"/>
                <w:sz w:val="18"/>
              </w:rPr>
            </w:pPr>
            <w:r>
              <w:rPr>
                <w:rFonts w:ascii="Arial" w:hAnsi="Arial"/>
                <w:sz w:val="18"/>
              </w:rPr>
              <w:t>RedirectResponse</w:t>
            </w:r>
          </w:p>
        </w:tc>
        <w:tc>
          <w:tcPr>
            <w:tcW w:w="223" w:type="pct"/>
          </w:tcPr>
          <w:p w14:paraId="1CF2A1B5" w14:textId="77777777" w:rsidR="00A10B25" w:rsidRDefault="00A10B25">
            <w:pPr>
              <w:keepNext/>
              <w:keepLines/>
              <w:spacing w:after="0"/>
              <w:jc w:val="center"/>
              <w:rPr>
                <w:rFonts w:ascii="Arial" w:hAnsi="Arial"/>
                <w:sz w:val="18"/>
              </w:rPr>
            </w:pPr>
            <w:r>
              <w:rPr>
                <w:rFonts w:ascii="Arial" w:hAnsi="Arial"/>
                <w:sz w:val="18"/>
              </w:rPr>
              <w:t>O</w:t>
            </w:r>
          </w:p>
        </w:tc>
        <w:tc>
          <w:tcPr>
            <w:tcW w:w="643" w:type="pct"/>
          </w:tcPr>
          <w:p w14:paraId="23325FF7" w14:textId="77777777" w:rsidR="00A10B25" w:rsidRDefault="00A10B25">
            <w:pPr>
              <w:keepNext/>
              <w:keepLines/>
              <w:spacing w:after="0"/>
              <w:jc w:val="center"/>
              <w:rPr>
                <w:rFonts w:ascii="Arial" w:hAnsi="Arial"/>
                <w:sz w:val="18"/>
              </w:rPr>
            </w:pPr>
            <w:r>
              <w:rPr>
                <w:rFonts w:ascii="Arial" w:hAnsi="Arial"/>
                <w:sz w:val="18"/>
              </w:rPr>
              <w:t>0..1</w:t>
            </w:r>
          </w:p>
        </w:tc>
        <w:tc>
          <w:tcPr>
            <w:tcW w:w="577" w:type="pct"/>
          </w:tcPr>
          <w:p w14:paraId="5E985DF2" w14:textId="77777777" w:rsidR="00A10B25" w:rsidRDefault="00A10B25">
            <w:pPr>
              <w:keepNext/>
              <w:keepLines/>
              <w:spacing w:after="0"/>
              <w:rPr>
                <w:rFonts w:ascii="Arial" w:hAnsi="Arial"/>
                <w:sz w:val="18"/>
              </w:rPr>
            </w:pPr>
            <w:r>
              <w:rPr>
                <w:rFonts w:ascii="Arial" w:hAnsi="Arial"/>
                <w:sz w:val="18"/>
              </w:rPr>
              <w:t>307 Temporary Redirect</w:t>
            </w:r>
          </w:p>
        </w:tc>
        <w:tc>
          <w:tcPr>
            <w:tcW w:w="2708" w:type="pct"/>
          </w:tcPr>
          <w:p w14:paraId="1658F73D" w14:textId="77777777" w:rsidR="00A10B25" w:rsidRDefault="00A10B25">
            <w:pPr>
              <w:keepNext/>
              <w:keepLines/>
              <w:spacing w:after="0"/>
              <w:rPr>
                <w:rFonts w:ascii="Arial" w:hAnsi="Arial"/>
                <w:sz w:val="18"/>
              </w:rPr>
            </w:pPr>
            <w:r>
              <w:rPr>
                <w:rFonts w:ascii="Arial" w:hAnsi="Arial"/>
                <w:sz w:val="18"/>
              </w:rPr>
              <w:t xml:space="preserve">Temporary redirection, during Individual </w:t>
            </w:r>
            <w:r>
              <w:rPr>
                <w:rFonts w:ascii="Arial" w:eastAsia="等线" w:hAnsi="Arial"/>
                <w:sz w:val="18"/>
              </w:rPr>
              <w:t>Roaming Analytics</w:t>
            </w:r>
            <w:r>
              <w:rPr>
                <w:rFonts w:ascii="Arial" w:hAnsi="Arial"/>
                <w:sz w:val="18"/>
              </w:rPr>
              <w:t xml:space="preserve"> subscription deletion.</w:t>
            </w:r>
          </w:p>
          <w:p w14:paraId="6E11AF55" w14:textId="77777777" w:rsidR="00A10B25" w:rsidRDefault="00A10B25">
            <w:pPr>
              <w:keepNext/>
              <w:keepLines/>
              <w:spacing w:after="0"/>
              <w:rPr>
                <w:rFonts w:ascii="Arial" w:hAnsi="Arial"/>
                <w:sz w:val="18"/>
              </w:rPr>
            </w:pPr>
          </w:p>
          <w:p w14:paraId="3780375B" w14:textId="77777777" w:rsidR="00A10B25" w:rsidRDefault="00A10B25">
            <w:pPr>
              <w:keepNext/>
              <w:keepLines/>
              <w:spacing w:after="0"/>
              <w:rPr>
                <w:rFonts w:ascii="Arial" w:hAnsi="Arial"/>
                <w:sz w:val="18"/>
              </w:rPr>
            </w:pPr>
            <w:r>
              <w:rPr>
                <w:rFonts w:ascii="Arial" w:hAnsi="Arial"/>
                <w:sz w:val="18"/>
              </w:rPr>
              <w:t>(NOTE 2)</w:t>
            </w:r>
          </w:p>
        </w:tc>
      </w:tr>
      <w:tr w:rsidR="00A10B25" w14:paraId="040037D9" w14:textId="77777777">
        <w:trPr>
          <w:jc w:val="center"/>
        </w:trPr>
        <w:tc>
          <w:tcPr>
            <w:tcW w:w="848" w:type="pct"/>
          </w:tcPr>
          <w:p w14:paraId="269C4E51" w14:textId="77777777" w:rsidR="00A10B25" w:rsidRDefault="00A10B25">
            <w:pPr>
              <w:keepNext/>
              <w:keepLines/>
              <w:spacing w:after="0"/>
              <w:rPr>
                <w:rFonts w:ascii="Arial" w:hAnsi="Arial"/>
                <w:sz w:val="18"/>
              </w:rPr>
            </w:pPr>
            <w:r>
              <w:rPr>
                <w:rFonts w:ascii="Arial" w:hAnsi="Arial"/>
                <w:sz w:val="18"/>
              </w:rPr>
              <w:t>RedirectResponse</w:t>
            </w:r>
          </w:p>
        </w:tc>
        <w:tc>
          <w:tcPr>
            <w:tcW w:w="223" w:type="pct"/>
          </w:tcPr>
          <w:p w14:paraId="55753AFD" w14:textId="77777777" w:rsidR="00A10B25" w:rsidRDefault="00A10B25">
            <w:pPr>
              <w:keepNext/>
              <w:keepLines/>
              <w:spacing w:after="0"/>
              <w:jc w:val="center"/>
              <w:rPr>
                <w:rFonts w:ascii="Arial" w:hAnsi="Arial"/>
                <w:sz w:val="18"/>
              </w:rPr>
            </w:pPr>
            <w:r>
              <w:rPr>
                <w:rFonts w:ascii="Arial" w:hAnsi="Arial"/>
                <w:sz w:val="18"/>
              </w:rPr>
              <w:t>O</w:t>
            </w:r>
          </w:p>
        </w:tc>
        <w:tc>
          <w:tcPr>
            <w:tcW w:w="643" w:type="pct"/>
          </w:tcPr>
          <w:p w14:paraId="0D64D348" w14:textId="77777777" w:rsidR="00A10B25" w:rsidRDefault="00A10B25">
            <w:pPr>
              <w:keepNext/>
              <w:keepLines/>
              <w:spacing w:after="0"/>
              <w:jc w:val="center"/>
              <w:rPr>
                <w:rFonts w:ascii="Arial" w:hAnsi="Arial"/>
                <w:sz w:val="18"/>
              </w:rPr>
            </w:pPr>
            <w:r>
              <w:rPr>
                <w:rFonts w:ascii="Arial" w:hAnsi="Arial"/>
                <w:sz w:val="18"/>
              </w:rPr>
              <w:t>0..1</w:t>
            </w:r>
          </w:p>
        </w:tc>
        <w:tc>
          <w:tcPr>
            <w:tcW w:w="577" w:type="pct"/>
          </w:tcPr>
          <w:p w14:paraId="700A1CB0" w14:textId="77777777" w:rsidR="00A10B25" w:rsidRDefault="00A10B25">
            <w:pPr>
              <w:keepNext/>
              <w:keepLines/>
              <w:spacing w:after="0"/>
              <w:rPr>
                <w:rFonts w:ascii="Arial" w:hAnsi="Arial"/>
                <w:sz w:val="18"/>
              </w:rPr>
            </w:pPr>
            <w:r>
              <w:rPr>
                <w:rFonts w:ascii="Arial" w:hAnsi="Arial"/>
                <w:sz w:val="18"/>
              </w:rPr>
              <w:t>308 Permanent Redirect</w:t>
            </w:r>
          </w:p>
        </w:tc>
        <w:tc>
          <w:tcPr>
            <w:tcW w:w="2708" w:type="pct"/>
          </w:tcPr>
          <w:p w14:paraId="4EFB7A3B" w14:textId="77777777" w:rsidR="00A10B25" w:rsidRDefault="00A10B25">
            <w:pPr>
              <w:keepNext/>
              <w:keepLines/>
              <w:spacing w:after="0"/>
              <w:rPr>
                <w:rFonts w:ascii="Arial" w:hAnsi="Arial"/>
                <w:sz w:val="18"/>
              </w:rPr>
            </w:pPr>
            <w:r>
              <w:rPr>
                <w:rFonts w:ascii="Arial" w:hAnsi="Arial"/>
                <w:sz w:val="18"/>
              </w:rPr>
              <w:t xml:space="preserve">Permanent redirection, during Individual </w:t>
            </w:r>
            <w:r>
              <w:rPr>
                <w:rFonts w:ascii="Arial" w:eastAsia="等线" w:hAnsi="Arial"/>
                <w:sz w:val="18"/>
              </w:rPr>
              <w:t>Roaming Analytics</w:t>
            </w:r>
            <w:r>
              <w:rPr>
                <w:rFonts w:ascii="Arial" w:hAnsi="Arial"/>
                <w:sz w:val="18"/>
              </w:rPr>
              <w:t xml:space="preserve"> subscription deletion.</w:t>
            </w:r>
          </w:p>
          <w:p w14:paraId="208D11A9" w14:textId="77777777" w:rsidR="00A10B25" w:rsidRDefault="00A10B25">
            <w:pPr>
              <w:keepNext/>
              <w:keepLines/>
              <w:spacing w:after="0"/>
              <w:rPr>
                <w:rFonts w:ascii="Arial" w:hAnsi="Arial"/>
                <w:sz w:val="18"/>
              </w:rPr>
            </w:pPr>
          </w:p>
          <w:p w14:paraId="5EEB4D45" w14:textId="77777777" w:rsidR="00A10B25" w:rsidRDefault="00A10B25">
            <w:pPr>
              <w:keepNext/>
              <w:keepLines/>
              <w:spacing w:after="0"/>
              <w:rPr>
                <w:rFonts w:ascii="Arial" w:hAnsi="Arial"/>
                <w:sz w:val="18"/>
              </w:rPr>
            </w:pPr>
            <w:r>
              <w:rPr>
                <w:rFonts w:ascii="Arial" w:hAnsi="Arial"/>
                <w:sz w:val="18"/>
              </w:rPr>
              <w:t>(NOTE 2)</w:t>
            </w:r>
          </w:p>
        </w:tc>
      </w:tr>
      <w:tr w:rsidR="00A10B25" w14:paraId="5A9592D8" w14:textId="77777777">
        <w:trPr>
          <w:jc w:val="center"/>
        </w:trPr>
        <w:tc>
          <w:tcPr>
            <w:tcW w:w="5000" w:type="pct"/>
            <w:gridSpan w:val="5"/>
          </w:tcPr>
          <w:p w14:paraId="176B22E7" w14:textId="77777777" w:rsidR="00A10B25" w:rsidRDefault="00A10B25">
            <w:pPr>
              <w:keepNext/>
              <w:keepLines/>
              <w:spacing w:after="0"/>
              <w:ind w:left="851" w:hanging="851"/>
              <w:rPr>
                <w:rFonts w:ascii="Arial" w:hAnsi="Arial"/>
                <w:sz w:val="18"/>
              </w:rPr>
            </w:pPr>
            <w:r>
              <w:rPr>
                <w:rFonts w:ascii="Arial" w:hAnsi="Arial"/>
                <w:sz w:val="18"/>
              </w:rPr>
              <w:t>NOTE 1:</w:t>
            </w:r>
            <w:r>
              <w:rPr>
                <w:rFonts w:ascii="Arial" w:hAnsi="Arial"/>
                <w:sz w:val="18"/>
              </w:rPr>
              <w:tab/>
              <w:t>The mandatory HTTP error status codes for the DELETE method listed in table 5.2.7.1-1 of 3GPP TS 29.500 [6] also apply.</w:t>
            </w:r>
          </w:p>
          <w:p w14:paraId="0426ABB3" w14:textId="77777777" w:rsidR="00A10B25" w:rsidRDefault="00A10B25">
            <w:pPr>
              <w:keepNext/>
              <w:keepLines/>
              <w:spacing w:after="0"/>
              <w:ind w:left="851" w:hanging="851"/>
              <w:rPr>
                <w:rFonts w:ascii="Arial" w:hAnsi="Arial"/>
                <w:sz w:val="18"/>
              </w:rPr>
            </w:pPr>
            <w:r>
              <w:rPr>
                <w:rFonts w:ascii="Arial" w:hAnsi="Arial"/>
                <w:sz w:val="18"/>
              </w:rPr>
              <w:t>NOTE 2:</w:t>
            </w:r>
            <w:r>
              <w:rPr>
                <w:rFonts w:ascii="Arial" w:hAnsi="Arial"/>
                <w:sz w:val="18"/>
              </w:rPr>
              <w:tab/>
              <w:t>The RedirectResponse data structure may be provided by an SCP or a SEPP (cf. clause 6.10.9.1 of 3GPP TS 29.500 [6]).</w:t>
            </w:r>
          </w:p>
        </w:tc>
      </w:tr>
    </w:tbl>
    <w:p w14:paraId="372F57BD" w14:textId="77777777" w:rsidR="00A10B25" w:rsidRDefault="00A10B25">
      <w:pPr>
        <w:rPr>
          <w:lang w:val="en-US" w:eastAsia="zh-CN"/>
        </w:rPr>
      </w:pPr>
    </w:p>
    <w:p w14:paraId="2E45BD63" w14:textId="77777777" w:rsidR="00A10B25" w:rsidRDefault="00A10B25" w:rsidP="0076721C">
      <w:pPr>
        <w:pStyle w:val="TH"/>
      </w:pPr>
      <w:r>
        <w:t>Table 5.8.3.3.3.2-4: Headers supported by the 307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204A2EE5" w14:textId="77777777">
        <w:trPr>
          <w:jc w:val="center"/>
        </w:trPr>
        <w:tc>
          <w:tcPr>
            <w:tcW w:w="825" w:type="pct"/>
            <w:tcBorders>
              <w:bottom w:val="single" w:sz="6" w:space="0" w:color="auto"/>
            </w:tcBorders>
            <w:shd w:val="clear" w:color="auto" w:fill="C0C0C0"/>
          </w:tcPr>
          <w:p w14:paraId="447F3CA2"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6045D922"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72A7D5B9"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2BBF1B63"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5D8A5E22"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75A2F063" w14:textId="77777777">
        <w:trPr>
          <w:jc w:val="center"/>
        </w:trPr>
        <w:tc>
          <w:tcPr>
            <w:tcW w:w="825" w:type="pct"/>
            <w:tcBorders>
              <w:top w:val="single" w:sz="6" w:space="0" w:color="auto"/>
            </w:tcBorders>
          </w:tcPr>
          <w:p w14:paraId="58F5DA49"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6AC40D37"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7E3BE9FE"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5B8CAE82"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3F0F872B"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51C16392" w14:textId="77777777" w:rsidR="00A10B25" w:rsidRDefault="00A10B25">
            <w:pPr>
              <w:keepNext/>
              <w:keepLines/>
              <w:spacing w:after="0"/>
              <w:rPr>
                <w:rFonts w:ascii="Arial" w:hAnsi="Arial"/>
                <w:sz w:val="18"/>
              </w:rPr>
            </w:pPr>
          </w:p>
          <w:p w14:paraId="0315C7E9"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6CFF1189" w14:textId="77777777">
        <w:trPr>
          <w:jc w:val="center"/>
        </w:trPr>
        <w:tc>
          <w:tcPr>
            <w:tcW w:w="825" w:type="pct"/>
          </w:tcPr>
          <w:p w14:paraId="06ECEF65"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4AA8AF9C"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4465DD2C"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12E2B13C"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1DB612E1"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10509FC5" w14:textId="77777777" w:rsidR="00A10B25" w:rsidRDefault="00A10B25"/>
    <w:p w14:paraId="000E0ABB" w14:textId="77777777" w:rsidR="00A10B25" w:rsidRDefault="00A10B25" w:rsidP="0076721C">
      <w:pPr>
        <w:pStyle w:val="TH"/>
      </w:pPr>
      <w:r>
        <w:t>Table 5.8.3.3.3.2-5: Headers supported by the 308 Response Code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53D4B87F" w14:textId="77777777">
        <w:trPr>
          <w:jc w:val="center"/>
        </w:trPr>
        <w:tc>
          <w:tcPr>
            <w:tcW w:w="825" w:type="pct"/>
            <w:tcBorders>
              <w:bottom w:val="single" w:sz="6" w:space="0" w:color="auto"/>
            </w:tcBorders>
            <w:shd w:val="clear" w:color="auto" w:fill="C0C0C0"/>
          </w:tcPr>
          <w:p w14:paraId="35BE6A52"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tcBorders>
              <w:bottom w:val="single" w:sz="6" w:space="0" w:color="auto"/>
            </w:tcBorders>
            <w:shd w:val="clear" w:color="auto" w:fill="C0C0C0"/>
          </w:tcPr>
          <w:p w14:paraId="6501A314"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tcBorders>
              <w:bottom w:val="single" w:sz="6" w:space="0" w:color="auto"/>
            </w:tcBorders>
            <w:shd w:val="clear" w:color="auto" w:fill="C0C0C0"/>
          </w:tcPr>
          <w:p w14:paraId="0ADA3533"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tcBorders>
              <w:bottom w:val="single" w:sz="6" w:space="0" w:color="auto"/>
            </w:tcBorders>
            <w:shd w:val="clear" w:color="auto" w:fill="C0C0C0"/>
          </w:tcPr>
          <w:p w14:paraId="70378D7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tcBorders>
              <w:bottom w:val="single" w:sz="6" w:space="0" w:color="auto"/>
            </w:tcBorders>
            <w:shd w:val="clear" w:color="auto" w:fill="C0C0C0"/>
            <w:vAlign w:val="center"/>
          </w:tcPr>
          <w:p w14:paraId="1E3AE0F4"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2461744E" w14:textId="77777777">
        <w:trPr>
          <w:jc w:val="center"/>
        </w:trPr>
        <w:tc>
          <w:tcPr>
            <w:tcW w:w="825" w:type="pct"/>
            <w:tcBorders>
              <w:top w:val="single" w:sz="6" w:space="0" w:color="auto"/>
            </w:tcBorders>
          </w:tcPr>
          <w:p w14:paraId="22B6C165" w14:textId="77777777" w:rsidR="00A10B25" w:rsidRDefault="00A10B25">
            <w:pPr>
              <w:keepNext/>
              <w:keepLines/>
              <w:spacing w:after="0"/>
              <w:rPr>
                <w:rFonts w:ascii="Arial" w:hAnsi="Arial"/>
                <w:sz w:val="18"/>
              </w:rPr>
            </w:pPr>
            <w:r>
              <w:rPr>
                <w:rFonts w:ascii="Arial" w:hAnsi="Arial"/>
                <w:sz w:val="18"/>
              </w:rPr>
              <w:t>Location</w:t>
            </w:r>
          </w:p>
        </w:tc>
        <w:tc>
          <w:tcPr>
            <w:tcW w:w="732" w:type="pct"/>
            <w:tcBorders>
              <w:top w:val="single" w:sz="6" w:space="0" w:color="auto"/>
            </w:tcBorders>
          </w:tcPr>
          <w:p w14:paraId="582610B0" w14:textId="77777777" w:rsidR="00A10B25" w:rsidRDefault="00A10B25">
            <w:pPr>
              <w:keepNext/>
              <w:keepLines/>
              <w:spacing w:after="0"/>
              <w:rPr>
                <w:rFonts w:ascii="Arial" w:hAnsi="Arial"/>
                <w:sz w:val="18"/>
              </w:rPr>
            </w:pPr>
            <w:r>
              <w:rPr>
                <w:rFonts w:ascii="Arial" w:hAnsi="Arial"/>
                <w:sz w:val="18"/>
              </w:rPr>
              <w:t>string</w:t>
            </w:r>
          </w:p>
        </w:tc>
        <w:tc>
          <w:tcPr>
            <w:tcW w:w="217" w:type="pct"/>
            <w:tcBorders>
              <w:top w:val="single" w:sz="6" w:space="0" w:color="auto"/>
            </w:tcBorders>
          </w:tcPr>
          <w:p w14:paraId="475B1757" w14:textId="77777777" w:rsidR="00A10B25" w:rsidRDefault="00A10B25">
            <w:pPr>
              <w:keepNext/>
              <w:keepLines/>
              <w:spacing w:after="0"/>
              <w:jc w:val="center"/>
              <w:rPr>
                <w:rFonts w:ascii="Arial" w:hAnsi="Arial"/>
                <w:sz w:val="18"/>
              </w:rPr>
            </w:pPr>
            <w:r>
              <w:rPr>
                <w:rFonts w:ascii="Arial" w:hAnsi="Arial"/>
                <w:sz w:val="18"/>
              </w:rPr>
              <w:t>M</w:t>
            </w:r>
          </w:p>
        </w:tc>
        <w:tc>
          <w:tcPr>
            <w:tcW w:w="581" w:type="pct"/>
            <w:tcBorders>
              <w:top w:val="single" w:sz="6" w:space="0" w:color="auto"/>
            </w:tcBorders>
          </w:tcPr>
          <w:p w14:paraId="0C9B318F" w14:textId="77777777" w:rsidR="00A10B25" w:rsidRDefault="00A10B25">
            <w:pPr>
              <w:keepNext/>
              <w:keepLines/>
              <w:spacing w:after="0"/>
              <w:rPr>
                <w:rFonts w:ascii="Arial" w:hAnsi="Arial"/>
                <w:sz w:val="18"/>
              </w:rPr>
            </w:pPr>
            <w:r>
              <w:rPr>
                <w:rFonts w:ascii="Arial" w:hAnsi="Arial"/>
                <w:sz w:val="18"/>
              </w:rPr>
              <w:t>1</w:t>
            </w:r>
          </w:p>
        </w:tc>
        <w:tc>
          <w:tcPr>
            <w:tcW w:w="2645" w:type="pct"/>
            <w:tcBorders>
              <w:top w:val="single" w:sz="6" w:space="0" w:color="auto"/>
            </w:tcBorders>
            <w:vAlign w:val="center"/>
          </w:tcPr>
          <w:p w14:paraId="38C90355" w14:textId="77777777" w:rsidR="00A10B25" w:rsidRDefault="00A10B25">
            <w:pPr>
              <w:keepNext/>
              <w:keepLines/>
              <w:spacing w:after="0"/>
              <w:rPr>
                <w:rFonts w:ascii="Arial" w:hAnsi="Arial"/>
                <w:sz w:val="18"/>
              </w:rPr>
            </w:pPr>
            <w:r>
              <w:rPr>
                <w:rFonts w:ascii="Arial" w:hAnsi="Arial"/>
                <w:sz w:val="18"/>
              </w:rPr>
              <w:t xml:space="preserve">Contains an alternative URI of the resource located in an alternative RE-NWDAF (service) instance </w:t>
            </w:r>
            <w:r>
              <w:rPr>
                <w:rFonts w:ascii="Arial" w:hAnsi="Arial"/>
                <w:sz w:val="18"/>
                <w:lang w:eastAsia="fr-FR"/>
              </w:rPr>
              <w:t>towards which the request is redirected</w:t>
            </w:r>
          </w:p>
          <w:p w14:paraId="12919931" w14:textId="77777777" w:rsidR="00A10B25" w:rsidRDefault="00A10B25">
            <w:pPr>
              <w:keepNext/>
              <w:keepLines/>
              <w:spacing w:after="0"/>
              <w:rPr>
                <w:rFonts w:ascii="Arial" w:hAnsi="Arial"/>
                <w:sz w:val="18"/>
              </w:rPr>
            </w:pPr>
          </w:p>
          <w:p w14:paraId="76AEA0F3" w14:textId="77777777" w:rsidR="00A10B25" w:rsidRDefault="00A10B25">
            <w:pPr>
              <w:keepNext/>
              <w:keepLines/>
              <w:spacing w:after="0"/>
              <w:rPr>
                <w:rFonts w:ascii="Arial" w:hAnsi="Arial"/>
                <w:sz w:val="18"/>
              </w:rPr>
            </w:pPr>
            <w:r>
              <w:rPr>
                <w:rFonts w:ascii="Arial" w:hAnsi="Arial"/>
                <w:sz w:val="18"/>
              </w:rPr>
              <w:t>For the case where the request is redirected to the same target via a different SCP or SEPP, refer to clause 6.10.9.1 of 3GPP TS 29.500 [6].</w:t>
            </w:r>
          </w:p>
        </w:tc>
      </w:tr>
      <w:tr w:rsidR="00A10B25" w14:paraId="682C9372" w14:textId="77777777">
        <w:trPr>
          <w:jc w:val="center"/>
        </w:trPr>
        <w:tc>
          <w:tcPr>
            <w:tcW w:w="825" w:type="pct"/>
          </w:tcPr>
          <w:p w14:paraId="49B788B6"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210486AF"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45AFB5E0"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00E1251A"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5858F7F0" w14:textId="77777777" w:rsidR="00A10B25" w:rsidRDefault="00A10B25">
            <w:pPr>
              <w:keepNext/>
              <w:keepLines/>
              <w:spacing w:after="0"/>
              <w:rPr>
                <w:rFonts w:ascii="Arial" w:hAnsi="Arial"/>
                <w:sz w:val="18"/>
              </w:rPr>
            </w:pPr>
            <w:r>
              <w:rPr>
                <w:rFonts w:ascii="Arial" w:hAnsi="Arial"/>
                <w:sz w:val="18"/>
                <w:lang w:eastAsia="fr-FR"/>
              </w:rPr>
              <w:t>Identifier of the target RE-NWDAF (service) instance towards which the request is redirected.</w:t>
            </w:r>
          </w:p>
        </w:tc>
      </w:tr>
    </w:tbl>
    <w:p w14:paraId="112158E1" w14:textId="77777777" w:rsidR="00A10B25" w:rsidRDefault="00A10B25">
      <w:pPr>
        <w:rPr>
          <w:rFonts w:eastAsia="MS Mincho"/>
          <w:lang w:eastAsia="ja-JP"/>
        </w:rPr>
      </w:pPr>
    </w:p>
    <w:p w14:paraId="475B68C2" w14:textId="77777777" w:rsidR="00A10B25" w:rsidRDefault="00A10B25" w:rsidP="0076721C">
      <w:pPr>
        <w:pStyle w:val="5"/>
      </w:pPr>
      <w:bookmarkStart w:id="16471" w:name="_Toc164921267"/>
      <w:bookmarkStart w:id="16472" w:name="_Toc170120809"/>
      <w:bookmarkStart w:id="16473" w:name="_Toc175859054"/>
      <w:bookmarkStart w:id="16474" w:name="_Toc175860129"/>
      <w:bookmarkStart w:id="16475" w:name="_Toc180606419"/>
      <w:bookmarkStart w:id="16476" w:name="_Toc185517680"/>
      <w:bookmarkStart w:id="16477" w:name="_Toc191576732"/>
      <w:bookmarkStart w:id="16478" w:name="_Toc191577472"/>
      <w:bookmarkStart w:id="16479" w:name="_Toc192880542"/>
      <w:bookmarkStart w:id="16480" w:name="_Toc195815431"/>
      <w:bookmarkStart w:id="16481" w:name="_Toc199453398"/>
      <w:r>
        <w:lastRenderedPageBreak/>
        <w:t>5.8.3.3.4</w:t>
      </w:r>
      <w:r>
        <w:tab/>
        <w:t>Resource Custom Operations</w:t>
      </w:r>
      <w:bookmarkEnd w:id="16471"/>
      <w:bookmarkEnd w:id="16472"/>
      <w:bookmarkEnd w:id="16473"/>
      <w:bookmarkEnd w:id="16474"/>
      <w:bookmarkEnd w:id="16475"/>
      <w:bookmarkEnd w:id="16476"/>
      <w:bookmarkEnd w:id="16477"/>
      <w:bookmarkEnd w:id="16478"/>
      <w:bookmarkEnd w:id="16479"/>
      <w:bookmarkEnd w:id="16480"/>
      <w:bookmarkEnd w:id="16481"/>
    </w:p>
    <w:p w14:paraId="18CEBD16" w14:textId="77777777" w:rsidR="00A10B25" w:rsidRDefault="00A10B25">
      <w:pPr>
        <w:rPr>
          <w:lang w:val="en-US" w:eastAsia="zh-CN"/>
        </w:rPr>
      </w:pPr>
      <w:r>
        <w:t>None in this release of the specification.</w:t>
      </w:r>
    </w:p>
    <w:p w14:paraId="4E38A9F7" w14:textId="77777777" w:rsidR="00A10B25" w:rsidRDefault="00A10B25" w:rsidP="0076721C">
      <w:pPr>
        <w:pStyle w:val="3"/>
      </w:pPr>
      <w:bookmarkStart w:id="16482" w:name="_Toc164921268"/>
      <w:bookmarkStart w:id="16483" w:name="_Toc170120810"/>
      <w:bookmarkStart w:id="16484" w:name="_Toc175859055"/>
      <w:bookmarkStart w:id="16485" w:name="_Toc175860130"/>
      <w:bookmarkStart w:id="16486" w:name="_Toc180606420"/>
      <w:bookmarkStart w:id="16487" w:name="_Toc185517681"/>
      <w:bookmarkStart w:id="16488" w:name="_Toc191576733"/>
      <w:bookmarkStart w:id="16489" w:name="_Toc191577473"/>
      <w:bookmarkStart w:id="16490" w:name="_Toc192880543"/>
      <w:bookmarkStart w:id="16491" w:name="_Toc195815432"/>
      <w:bookmarkStart w:id="16492" w:name="_Toc199453399"/>
      <w:r>
        <w:rPr>
          <w:lang w:val="en-US"/>
        </w:rPr>
        <w:t>5.8.4</w:t>
      </w:r>
      <w:r>
        <w:rPr>
          <w:lang w:val="en-US"/>
        </w:rPr>
        <w:tab/>
        <w:t>Custom Operations without associated resources</w:t>
      </w:r>
      <w:bookmarkEnd w:id="16482"/>
      <w:bookmarkEnd w:id="16483"/>
      <w:bookmarkEnd w:id="16484"/>
      <w:bookmarkEnd w:id="16485"/>
      <w:bookmarkEnd w:id="16486"/>
      <w:bookmarkEnd w:id="16487"/>
      <w:bookmarkEnd w:id="16488"/>
      <w:bookmarkEnd w:id="16489"/>
      <w:bookmarkEnd w:id="16490"/>
      <w:bookmarkEnd w:id="16491"/>
      <w:bookmarkEnd w:id="16492"/>
    </w:p>
    <w:p w14:paraId="6EDD52AD" w14:textId="77777777" w:rsidR="00A10B25" w:rsidRDefault="00A10B25">
      <w:pPr>
        <w:rPr>
          <w:lang w:val="en-US" w:eastAsia="zh-CN"/>
        </w:rPr>
      </w:pPr>
      <w:r>
        <w:rPr>
          <w:rFonts w:eastAsia="Batang"/>
          <w:lang w:val="en-US"/>
        </w:rPr>
        <w:t>None in this release of the specification.</w:t>
      </w:r>
    </w:p>
    <w:p w14:paraId="3BB9B0E8" w14:textId="77777777" w:rsidR="00A10B25" w:rsidRDefault="00A10B25" w:rsidP="0076721C">
      <w:pPr>
        <w:pStyle w:val="3"/>
        <w:rPr>
          <w:lang w:val="en-US"/>
        </w:rPr>
      </w:pPr>
      <w:bookmarkStart w:id="16493" w:name="_Toc164921269"/>
      <w:bookmarkStart w:id="16494" w:name="_Toc170120811"/>
      <w:bookmarkStart w:id="16495" w:name="_Toc175859056"/>
      <w:bookmarkStart w:id="16496" w:name="_Toc175860131"/>
      <w:bookmarkStart w:id="16497" w:name="_Toc180606421"/>
      <w:bookmarkStart w:id="16498" w:name="_Toc185517682"/>
      <w:bookmarkStart w:id="16499" w:name="_Toc191576734"/>
      <w:bookmarkStart w:id="16500" w:name="_Toc191577474"/>
      <w:bookmarkStart w:id="16501" w:name="_Toc192880544"/>
      <w:bookmarkStart w:id="16502" w:name="_Toc195815433"/>
      <w:bookmarkStart w:id="16503" w:name="_Toc199453400"/>
      <w:r>
        <w:rPr>
          <w:lang w:val="en-US"/>
        </w:rPr>
        <w:t>5.8.5</w:t>
      </w:r>
      <w:r>
        <w:rPr>
          <w:lang w:val="en-US"/>
        </w:rPr>
        <w:tab/>
        <w:t>Notifications</w:t>
      </w:r>
      <w:bookmarkEnd w:id="16493"/>
      <w:bookmarkEnd w:id="16494"/>
      <w:bookmarkEnd w:id="16495"/>
      <w:bookmarkEnd w:id="16496"/>
      <w:bookmarkEnd w:id="16497"/>
      <w:bookmarkEnd w:id="16498"/>
      <w:bookmarkEnd w:id="16499"/>
      <w:bookmarkEnd w:id="16500"/>
      <w:bookmarkEnd w:id="16501"/>
      <w:bookmarkEnd w:id="16502"/>
      <w:bookmarkEnd w:id="16503"/>
    </w:p>
    <w:p w14:paraId="5DC48A13" w14:textId="77777777" w:rsidR="00A10B25" w:rsidRDefault="00A10B25" w:rsidP="0076721C">
      <w:pPr>
        <w:pStyle w:val="4"/>
      </w:pPr>
      <w:bookmarkStart w:id="16504" w:name="_Toc164921270"/>
      <w:bookmarkStart w:id="16505" w:name="_Toc170120812"/>
      <w:bookmarkStart w:id="16506" w:name="_Toc175859057"/>
      <w:bookmarkStart w:id="16507" w:name="_Toc175860132"/>
      <w:bookmarkStart w:id="16508" w:name="_Toc180606422"/>
      <w:bookmarkStart w:id="16509" w:name="_Toc185517683"/>
      <w:bookmarkStart w:id="16510" w:name="_Toc191576735"/>
      <w:bookmarkStart w:id="16511" w:name="_Toc191577475"/>
      <w:bookmarkStart w:id="16512" w:name="_Toc192880545"/>
      <w:bookmarkStart w:id="16513" w:name="_Toc195815434"/>
      <w:bookmarkStart w:id="16514" w:name="_Toc199453401"/>
      <w:r>
        <w:t>5.8.5.1</w:t>
      </w:r>
      <w:r>
        <w:tab/>
        <w:t>General</w:t>
      </w:r>
      <w:bookmarkEnd w:id="16504"/>
      <w:bookmarkEnd w:id="16505"/>
      <w:bookmarkEnd w:id="16506"/>
      <w:bookmarkEnd w:id="16507"/>
      <w:bookmarkEnd w:id="16508"/>
      <w:bookmarkEnd w:id="16509"/>
      <w:bookmarkEnd w:id="16510"/>
      <w:bookmarkEnd w:id="16511"/>
      <w:bookmarkEnd w:id="16512"/>
      <w:bookmarkEnd w:id="16513"/>
      <w:bookmarkEnd w:id="16514"/>
    </w:p>
    <w:p w14:paraId="57F1D3EB" w14:textId="77777777" w:rsidR="00A10B25" w:rsidRDefault="00A10B25">
      <w:r>
        <w:t>Notifications shall comply with clause 6.2 of 3GPP TS 29.500 [6] and clause 4.6.2.3 of 3GPP TS 29.501 [7].</w:t>
      </w:r>
    </w:p>
    <w:p w14:paraId="735BB01D" w14:textId="77777777" w:rsidR="00A10B25" w:rsidRDefault="00A10B25" w:rsidP="0076721C">
      <w:pPr>
        <w:pStyle w:val="TH"/>
      </w:pPr>
      <w:r>
        <w:t>Table 5.8.5.1-1: Notifications overview</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1835"/>
        <w:gridCol w:w="1843"/>
        <w:gridCol w:w="2386"/>
        <w:gridCol w:w="3465"/>
      </w:tblGrid>
      <w:tr w:rsidR="00A10B25" w14:paraId="6AB58D81" w14:textId="77777777">
        <w:trPr>
          <w:jc w:val="center"/>
        </w:trPr>
        <w:tc>
          <w:tcPr>
            <w:tcW w:w="963" w:type="pct"/>
            <w:shd w:val="clear" w:color="auto" w:fill="C0C0C0"/>
            <w:vAlign w:val="center"/>
          </w:tcPr>
          <w:p w14:paraId="1F804F42" w14:textId="77777777" w:rsidR="00A10B25" w:rsidRDefault="00A10B25">
            <w:pPr>
              <w:keepNext/>
              <w:keepLines/>
              <w:spacing w:after="0"/>
              <w:jc w:val="center"/>
              <w:rPr>
                <w:rFonts w:ascii="Arial" w:hAnsi="Arial"/>
                <w:b/>
                <w:sz w:val="18"/>
              </w:rPr>
            </w:pPr>
            <w:r>
              <w:rPr>
                <w:rFonts w:ascii="Arial" w:hAnsi="Arial"/>
                <w:b/>
                <w:sz w:val="18"/>
              </w:rPr>
              <w:t>Notification</w:t>
            </w:r>
          </w:p>
        </w:tc>
        <w:tc>
          <w:tcPr>
            <w:tcW w:w="967" w:type="pct"/>
            <w:shd w:val="clear" w:color="auto" w:fill="C0C0C0"/>
            <w:vAlign w:val="center"/>
          </w:tcPr>
          <w:p w14:paraId="186D613C" w14:textId="77777777" w:rsidR="00A10B25" w:rsidRDefault="00A10B25">
            <w:pPr>
              <w:keepNext/>
              <w:keepLines/>
              <w:spacing w:after="0"/>
              <w:jc w:val="center"/>
              <w:rPr>
                <w:rFonts w:ascii="Arial" w:hAnsi="Arial"/>
                <w:b/>
                <w:sz w:val="18"/>
              </w:rPr>
            </w:pPr>
            <w:r>
              <w:rPr>
                <w:rFonts w:ascii="Arial" w:hAnsi="Arial"/>
                <w:b/>
                <w:sz w:val="18"/>
              </w:rPr>
              <w:t>Callback URI</w:t>
            </w:r>
          </w:p>
        </w:tc>
        <w:tc>
          <w:tcPr>
            <w:tcW w:w="1252" w:type="pct"/>
            <w:shd w:val="clear" w:color="auto" w:fill="C0C0C0"/>
            <w:vAlign w:val="center"/>
          </w:tcPr>
          <w:p w14:paraId="3737EE80" w14:textId="77777777" w:rsidR="00A10B25" w:rsidRDefault="00A10B25">
            <w:pPr>
              <w:keepNext/>
              <w:keepLines/>
              <w:spacing w:after="0"/>
              <w:jc w:val="center"/>
              <w:rPr>
                <w:rFonts w:ascii="Arial" w:hAnsi="Arial"/>
                <w:b/>
                <w:sz w:val="18"/>
              </w:rPr>
            </w:pPr>
            <w:r>
              <w:rPr>
                <w:rFonts w:ascii="Arial" w:hAnsi="Arial"/>
                <w:b/>
                <w:sz w:val="18"/>
              </w:rPr>
              <w:t>HTTP method or custom operation</w:t>
            </w:r>
          </w:p>
        </w:tc>
        <w:tc>
          <w:tcPr>
            <w:tcW w:w="1818" w:type="pct"/>
            <w:shd w:val="clear" w:color="auto" w:fill="C0C0C0"/>
            <w:vAlign w:val="center"/>
          </w:tcPr>
          <w:p w14:paraId="77C564B6" w14:textId="77777777" w:rsidR="00A10B25" w:rsidRDefault="00A10B25">
            <w:pPr>
              <w:keepNext/>
              <w:keepLines/>
              <w:spacing w:after="0"/>
              <w:jc w:val="center"/>
              <w:rPr>
                <w:rFonts w:ascii="Arial" w:hAnsi="Arial"/>
                <w:b/>
                <w:sz w:val="18"/>
              </w:rPr>
            </w:pPr>
            <w:r>
              <w:rPr>
                <w:rFonts w:ascii="Arial" w:hAnsi="Arial"/>
                <w:b/>
                <w:sz w:val="18"/>
              </w:rPr>
              <w:t>Description (service operation)</w:t>
            </w:r>
          </w:p>
        </w:tc>
      </w:tr>
      <w:tr w:rsidR="00A10B25" w14:paraId="5E3D59EA" w14:textId="77777777">
        <w:trPr>
          <w:jc w:val="center"/>
        </w:trPr>
        <w:tc>
          <w:tcPr>
            <w:tcW w:w="963" w:type="pct"/>
          </w:tcPr>
          <w:p w14:paraId="52028393" w14:textId="77777777" w:rsidR="00A10B25" w:rsidRDefault="00A10B25">
            <w:pPr>
              <w:keepNext/>
              <w:keepLines/>
              <w:spacing w:after="0"/>
              <w:rPr>
                <w:rFonts w:ascii="Arial" w:hAnsi="Arial"/>
                <w:sz w:val="18"/>
                <w:lang w:val="en-US" w:eastAsia="zh-CN"/>
              </w:rPr>
            </w:pPr>
            <w:r>
              <w:rPr>
                <w:rFonts w:ascii="Arial" w:hAnsi="Arial" w:cs="Arial"/>
                <w:sz w:val="18"/>
                <w:szCs w:val="18"/>
                <w:lang w:val="en-US"/>
              </w:rPr>
              <w:t>Roaming Analytics Notification</w:t>
            </w:r>
          </w:p>
        </w:tc>
        <w:tc>
          <w:tcPr>
            <w:tcW w:w="967" w:type="pct"/>
          </w:tcPr>
          <w:p w14:paraId="457E85F4" w14:textId="77777777" w:rsidR="00A10B25" w:rsidRDefault="00A10B25">
            <w:pPr>
              <w:keepNext/>
              <w:keepLines/>
              <w:spacing w:after="0"/>
              <w:rPr>
                <w:rFonts w:ascii="Arial" w:hAnsi="Arial" w:cs="Arial"/>
                <w:sz w:val="18"/>
                <w:szCs w:val="18"/>
              </w:rPr>
            </w:pPr>
            <w:r>
              <w:rPr>
                <w:rFonts w:ascii="Arial" w:hAnsi="Arial" w:cs="Arial"/>
                <w:sz w:val="18"/>
                <w:szCs w:val="18"/>
                <w:lang w:val="en-US" w:eastAsia="zh-CN"/>
              </w:rPr>
              <w:t>{notifUri}</w:t>
            </w:r>
          </w:p>
        </w:tc>
        <w:tc>
          <w:tcPr>
            <w:tcW w:w="1252" w:type="pct"/>
          </w:tcPr>
          <w:p w14:paraId="21E5BC88" w14:textId="77777777" w:rsidR="00A10B25" w:rsidRDefault="00A10B25">
            <w:pPr>
              <w:keepNext/>
              <w:keepLines/>
              <w:spacing w:after="0"/>
              <w:rPr>
                <w:rFonts w:ascii="Arial" w:hAnsi="Arial"/>
                <w:sz w:val="18"/>
              </w:rPr>
            </w:pPr>
            <w:r>
              <w:rPr>
                <w:rFonts w:ascii="Arial" w:hAnsi="Arial"/>
                <w:sz w:val="18"/>
              </w:rPr>
              <w:t>POST</w:t>
            </w:r>
          </w:p>
        </w:tc>
        <w:tc>
          <w:tcPr>
            <w:tcW w:w="1818" w:type="pct"/>
          </w:tcPr>
          <w:p w14:paraId="057E6D8C" w14:textId="77777777" w:rsidR="00A10B25" w:rsidRDefault="00A10B25">
            <w:pPr>
              <w:keepNext/>
              <w:keepLines/>
              <w:spacing w:after="0"/>
              <w:rPr>
                <w:rFonts w:ascii="Arial" w:hAnsi="Arial"/>
                <w:sz w:val="18"/>
              </w:rPr>
            </w:pPr>
            <w:r>
              <w:rPr>
                <w:rFonts w:ascii="Arial" w:hAnsi="Arial"/>
                <w:sz w:val="18"/>
              </w:rPr>
              <w:t>Report analytics related to roaming UE(s).</w:t>
            </w:r>
          </w:p>
        </w:tc>
      </w:tr>
    </w:tbl>
    <w:p w14:paraId="72AF5FD7" w14:textId="77777777" w:rsidR="00A10B25" w:rsidRDefault="00A10B25"/>
    <w:p w14:paraId="4CFCA248" w14:textId="77777777" w:rsidR="00A10B25" w:rsidRDefault="00A10B25" w:rsidP="0076721C">
      <w:pPr>
        <w:pStyle w:val="4"/>
      </w:pPr>
      <w:bookmarkStart w:id="16515" w:name="_Toc164921271"/>
      <w:bookmarkStart w:id="16516" w:name="_Toc170120813"/>
      <w:bookmarkStart w:id="16517" w:name="_Toc175859058"/>
      <w:bookmarkStart w:id="16518" w:name="_Toc175860133"/>
      <w:bookmarkStart w:id="16519" w:name="_Toc180606423"/>
      <w:bookmarkStart w:id="16520" w:name="_Toc185517684"/>
      <w:bookmarkStart w:id="16521" w:name="_Toc191576736"/>
      <w:bookmarkStart w:id="16522" w:name="_Toc191577476"/>
      <w:bookmarkStart w:id="16523" w:name="_Toc192880546"/>
      <w:bookmarkStart w:id="16524" w:name="_Toc195815435"/>
      <w:bookmarkStart w:id="16525" w:name="_Toc199453402"/>
      <w:r>
        <w:t>5.8.5.2</w:t>
      </w:r>
      <w:r>
        <w:tab/>
        <w:t>Roaming Analytics Notification</w:t>
      </w:r>
      <w:bookmarkEnd w:id="16515"/>
      <w:bookmarkEnd w:id="16516"/>
      <w:bookmarkEnd w:id="16517"/>
      <w:bookmarkEnd w:id="16518"/>
      <w:bookmarkEnd w:id="16519"/>
      <w:bookmarkEnd w:id="16520"/>
      <w:bookmarkEnd w:id="16521"/>
      <w:bookmarkEnd w:id="16522"/>
      <w:bookmarkEnd w:id="16523"/>
      <w:bookmarkEnd w:id="16524"/>
      <w:bookmarkEnd w:id="16525"/>
    </w:p>
    <w:p w14:paraId="12EA82A5" w14:textId="77777777" w:rsidR="00A10B25" w:rsidRDefault="00A10B25" w:rsidP="0076721C">
      <w:pPr>
        <w:pStyle w:val="5"/>
      </w:pPr>
      <w:bookmarkStart w:id="16526" w:name="_Toc164921272"/>
      <w:bookmarkStart w:id="16527" w:name="_Toc170120814"/>
      <w:bookmarkStart w:id="16528" w:name="_Toc175859059"/>
      <w:bookmarkStart w:id="16529" w:name="_Toc175860134"/>
      <w:bookmarkStart w:id="16530" w:name="_Toc180606424"/>
      <w:bookmarkStart w:id="16531" w:name="_Toc185517685"/>
      <w:bookmarkStart w:id="16532" w:name="_Toc191576737"/>
      <w:bookmarkStart w:id="16533" w:name="_Toc191577477"/>
      <w:bookmarkStart w:id="16534" w:name="_Toc192880547"/>
      <w:bookmarkStart w:id="16535" w:name="_Toc195815436"/>
      <w:bookmarkStart w:id="16536" w:name="_Toc199453403"/>
      <w:r>
        <w:t>5.8.5.2.1</w:t>
      </w:r>
      <w:r>
        <w:tab/>
        <w:t>Description</w:t>
      </w:r>
      <w:bookmarkEnd w:id="16526"/>
      <w:bookmarkEnd w:id="16527"/>
      <w:bookmarkEnd w:id="16528"/>
      <w:bookmarkEnd w:id="16529"/>
      <w:bookmarkEnd w:id="16530"/>
      <w:bookmarkEnd w:id="16531"/>
      <w:bookmarkEnd w:id="16532"/>
      <w:bookmarkEnd w:id="16533"/>
      <w:bookmarkEnd w:id="16534"/>
      <w:bookmarkEnd w:id="16535"/>
      <w:bookmarkEnd w:id="16536"/>
    </w:p>
    <w:p w14:paraId="49A2A94A" w14:textId="77777777" w:rsidR="00A10B25" w:rsidRDefault="00A10B25">
      <w:r>
        <w:t xml:space="preserve">The Roaming Analytics Notification is used by the RE-NWDAF to report analytics related to roaming UE(s) to the </w:t>
      </w:r>
      <w:r>
        <w:rPr>
          <w:lang w:eastAsia="ja-JP"/>
        </w:rPr>
        <w:t>NF service consumer</w:t>
      </w:r>
      <w:r>
        <w:t xml:space="preserve"> that has subscribed to such notifications.</w:t>
      </w:r>
    </w:p>
    <w:p w14:paraId="00456250" w14:textId="77777777" w:rsidR="00A10B25" w:rsidRDefault="00A10B25" w:rsidP="0076721C">
      <w:pPr>
        <w:pStyle w:val="5"/>
      </w:pPr>
      <w:bookmarkStart w:id="16537" w:name="_Toc164921273"/>
      <w:bookmarkStart w:id="16538" w:name="_Toc170120815"/>
      <w:bookmarkStart w:id="16539" w:name="_Toc175859060"/>
      <w:bookmarkStart w:id="16540" w:name="_Toc175860135"/>
      <w:bookmarkStart w:id="16541" w:name="_Toc180606425"/>
      <w:bookmarkStart w:id="16542" w:name="_Toc185517686"/>
      <w:bookmarkStart w:id="16543" w:name="_Toc191576738"/>
      <w:bookmarkStart w:id="16544" w:name="_Toc191577478"/>
      <w:bookmarkStart w:id="16545" w:name="_Toc192880548"/>
      <w:bookmarkStart w:id="16546" w:name="_Toc195815437"/>
      <w:bookmarkStart w:id="16547" w:name="_Toc199453404"/>
      <w:r>
        <w:t>5.8.5.2.2</w:t>
      </w:r>
      <w:r>
        <w:tab/>
      </w:r>
      <w:r>
        <w:rPr>
          <w:lang w:val="en-US" w:eastAsia="zh-CN"/>
        </w:rPr>
        <w:t>Operation Definition</w:t>
      </w:r>
      <w:bookmarkEnd w:id="16537"/>
      <w:bookmarkEnd w:id="16538"/>
      <w:bookmarkEnd w:id="16539"/>
      <w:bookmarkEnd w:id="16540"/>
      <w:bookmarkEnd w:id="16541"/>
      <w:bookmarkEnd w:id="16542"/>
      <w:bookmarkEnd w:id="16543"/>
      <w:bookmarkEnd w:id="16544"/>
      <w:bookmarkEnd w:id="16545"/>
      <w:bookmarkEnd w:id="16546"/>
      <w:bookmarkEnd w:id="16547"/>
    </w:p>
    <w:p w14:paraId="00D95628" w14:textId="77777777" w:rsidR="00A10B25" w:rsidRDefault="00A10B25">
      <w:pPr>
        <w:rPr>
          <w:rFonts w:eastAsia="Batang"/>
        </w:rPr>
      </w:pPr>
      <w:r>
        <w:rPr>
          <w:rFonts w:eastAsia="Batang"/>
        </w:rPr>
        <w:t>Callback URI:</w:t>
      </w:r>
      <w:r>
        <w:rPr>
          <w:rFonts w:ascii="Arial" w:eastAsia="Batang" w:hAnsi="Arial"/>
          <w:b/>
          <w:sz w:val="18"/>
        </w:rPr>
        <w:t xml:space="preserve"> {</w:t>
      </w:r>
      <w:r>
        <w:rPr>
          <w:b/>
          <w:lang w:val="en-US" w:eastAsia="zh-CN"/>
        </w:rPr>
        <w:t>notifUri</w:t>
      </w:r>
      <w:r>
        <w:rPr>
          <w:rFonts w:ascii="Arial" w:eastAsia="Batang" w:hAnsi="Arial"/>
          <w:b/>
          <w:sz w:val="18"/>
        </w:rPr>
        <w:t>}</w:t>
      </w:r>
    </w:p>
    <w:p w14:paraId="2CCAEDC3" w14:textId="77777777" w:rsidR="00A10B25" w:rsidRDefault="00A10B25">
      <w:pPr>
        <w:rPr>
          <w:rFonts w:ascii="Arial" w:hAnsi="Arial" w:cs="Arial"/>
        </w:rPr>
      </w:pPr>
      <w:r>
        <w:rPr>
          <w:rFonts w:eastAsia="Batang"/>
        </w:rPr>
        <w:t>The operation shall support the</w:t>
      </w:r>
      <w:r>
        <w:t xml:space="preserve"> c</w:t>
      </w:r>
      <w:r>
        <w:rPr>
          <w:rFonts w:eastAsia="Batang"/>
        </w:rPr>
        <w:t>allback URI variables defined in Table 5.8.5.2.2-1</w:t>
      </w:r>
      <w:r>
        <w:rPr>
          <w:rFonts w:ascii="Arial" w:eastAsia="Batang" w:hAnsi="Arial" w:cs="Arial"/>
        </w:rPr>
        <w:t xml:space="preserve">, </w:t>
      </w:r>
      <w:r>
        <w:rPr>
          <w:rFonts w:eastAsia="Batang"/>
        </w:rPr>
        <w:t>the request data structures specified in table </w:t>
      </w:r>
      <w:r>
        <w:t>5.8.5.2.2</w:t>
      </w:r>
      <w:r>
        <w:rPr>
          <w:rFonts w:eastAsia="Batang"/>
        </w:rPr>
        <w:t>-2 and the response data structure and response codes specified in Table 5.8.5.2.2-3.</w:t>
      </w:r>
    </w:p>
    <w:p w14:paraId="001020A8" w14:textId="77777777" w:rsidR="00A10B25" w:rsidRDefault="00A10B25" w:rsidP="0076721C">
      <w:pPr>
        <w:pStyle w:val="TH"/>
        <w:rPr>
          <w:rFonts w:cs="Arial"/>
        </w:rPr>
      </w:pPr>
      <w:r>
        <w:t>Table 5.8.5.2.2-1: Callback URI variables</w:t>
      </w:r>
    </w:p>
    <w:tbl>
      <w:tblPr>
        <w:tblW w:w="4928" w:type="pct"/>
        <w:jc w:val="center"/>
        <w:tblInd w:w="0" w:type="dxa"/>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A10B25" w14:paraId="405A58A7" w14:textId="77777777">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5C1786B" w14:textId="77777777" w:rsidR="00A10B25" w:rsidRDefault="00A10B25">
            <w:pPr>
              <w:keepNext/>
              <w:keepLines/>
              <w:spacing w:after="0"/>
              <w:jc w:val="center"/>
              <w:rPr>
                <w:rFonts w:ascii="Arial" w:hAnsi="Arial"/>
                <w:b/>
                <w:sz w:val="18"/>
              </w:rPr>
            </w:pPr>
            <w:r>
              <w:rPr>
                <w:rFonts w:ascii="Arial" w:hAnsi="Arial"/>
                <w:b/>
                <w:sz w:val="18"/>
              </w:rP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6A355ADD" w14:textId="77777777" w:rsidR="00A10B25" w:rsidRDefault="00A10B25">
            <w:pPr>
              <w:keepNext/>
              <w:keepLines/>
              <w:spacing w:after="0"/>
              <w:jc w:val="center"/>
              <w:rPr>
                <w:rFonts w:ascii="Arial" w:hAnsi="Arial"/>
                <w:b/>
                <w:sz w:val="18"/>
              </w:rPr>
            </w:pPr>
            <w:r>
              <w:rPr>
                <w:rFonts w:ascii="Arial" w:hAnsi="Arial"/>
                <w:b/>
                <w:sz w:val="18"/>
              </w:rP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BEBCE69" w14:textId="77777777" w:rsidR="00A10B25" w:rsidRDefault="00A10B25">
            <w:pPr>
              <w:keepNext/>
              <w:keepLines/>
              <w:spacing w:after="0"/>
              <w:jc w:val="center"/>
              <w:rPr>
                <w:rFonts w:ascii="Arial" w:hAnsi="Arial"/>
                <w:b/>
                <w:sz w:val="18"/>
              </w:rPr>
            </w:pPr>
            <w:r>
              <w:rPr>
                <w:rFonts w:ascii="Arial" w:hAnsi="Arial"/>
                <w:b/>
                <w:sz w:val="18"/>
              </w:rPr>
              <w:t>Definition</w:t>
            </w:r>
          </w:p>
        </w:tc>
      </w:tr>
      <w:tr w:rsidR="00A10B25" w14:paraId="7AFFCE61" w14:textId="77777777">
        <w:trPr>
          <w:jc w:val="center"/>
        </w:trPr>
        <w:tc>
          <w:tcPr>
            <w:tcW w:w="765" w:type="pct"/>
            <w:tcBorders>
              <w:top w:val="single" w:sz="6" w:space="0" w:color="000000"/>
              <w:left w:val="single" w:sz="6" w:space="0" w:color="000000"/>
              <w:bottom w:val="single" w:sz="6" w:space="0" w:color="000000"/>
              <w:right w:val="single" w:sz="6" w:space="0" w:color="000000"/>
            </w:tcBorders>
          </w:tcPr>
          <w:p w14:paraId="6507D595" w14:textId="77777777" w:rsidR="00A10B25" w:rsidRDefault="00A10B25">
            <w:pPr>
              <w:keepNext/>
              <w:keepLines/>
              <w:spacing w:after="0"/>
              <w:rPr>
                <w:rFonts w:ascii="Arial" w:hAnsi="Arial"/>
                <w:sz w:val="18"/>
              </w:rPr>
            </w:pPr>
            <w:r>
              <w:rPr>
                <w:rFonts w:ascii="Arial" w:hAnsi="Arial"/>
                <w:sz w:val="18"/>
              </w:rPr>
              <w:t>notifUri</w:t>
            </w:r>
          </w:p>
        </w:tc>
        <w:tc>
          <w:tcPr>
            <w:tcW w:w="647" w:type="pct"/>
            <w:tcBorders>
              <w:top w:val="single" w:sz="6" w:space="0" w:color="000000"/>
              <w:left w:val="single" w:sz="6" w:space="0" w:color="000000"/>
              <w:bottom w:val="single" w:sz="6" w:space="0" w:color="000000"/>
              <w:right w:val="single" w:sz="6" w:space="0" w:color="000000"/>
            </w:tcBorders>
          </w:tcPr>
          <w:p w14:paraId="7899A9F0" w14:textId="77777777" w:rsidR="00A10B25" w:rsidRDefault="00A10B25">
            <w:pPr>
              <w:keepNext/>
              <w:keepLines/>
              <w:spacing w:after="0"/>
              <w:rPr>
                <w:rFonts w:ascii="Arial" w:hAnsi="Arial"/>
                <w:sz w:val="18"/>
              </w:rPr>
            </w:pPr>
            <w:r>
              <w:rPr>
                <w:rFonts w:ascii="Arial" w:hAnsi="Arial"/>
                <w:sz w:val="18"/>
              </w:rP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3A196335" w14:textId="77777777" w:rsidR="00A10B25" w:rsidRDefault="00A10B25">
            <w:pPr>
              <w:keepNext/>
              <w:keepLines/>
              <w:spacing w:after="0"/>
              <w:rPr>
                <w:rFonts w:ascii="Arial" w:hAnsi="Arial"/>
                <w:sz w:val="18"/>
              </w:rPr>
            </w:pPr>
            <w:r>
              <w:rPr>
                <w:rFonts w:ascii="Arial" w:hAnsi="Arial"/>
                <w:sz w:val="18"/>
              </w:rPr>
              <w:t xml:space="preserve">The Notification Uri is assigned within the Individual NWDAF Roaming Analytics Subscription Resource and described within the </w:t>
            </w:r>
            <w:r>
              <w:rPr>
                <w:rFonts w:ascii="Arial" w:eastAsia="等线" w:hAnsi="Arial"/>
                <w:sz w:val="18"/>
              </w:rPr>
              <w:t>RoamingAnalytics</w:t>
            </w:r>
            <w:r>
              <w:rPr>
                <w:rFonts w:ascii="Arial" w:eastAsia="等线" w:hAnsi="Arial" w:hint="eastAsia"/>
                <w:sz w:val="18"/>
                <w:lang w:eastAsia="zh-CN"/>
              </w:rPr>
              <w:t>Sub</w:t>
            </w:r>
            <w:r>
              <w:rPr>
                <w:rFonts w:ascii="Arial" w:eastAsia="等线" w:hAnsi="Arial"/>
                <w:sz w:val="18"/>
                <w:lang w:eastAsia="zh-CN"/>
              </w:rPr>
              <w:t>scription</w:t>
            </w:r>
            <w:r>
              <w:rPr>
                <w:rFonts w:ascii="Arial" w:hAnsi="Arial"/>
                <w:sz w:val="18"/>
                <w:lang w:val="en-US" w:eastAsia="zh-CN"/>
              </w:rPr>
              <w:t xml:space="preserve"> data type</w:t>
            </w:r>
            <w:r>
              <w:rPr>
                <w:rFonts w:ascii="Arial" w:hAnsi="Arial"/>
                <w:sz w:val="18"/>
              </w:rPr>
              <w:t>.</w:t>
            </w:r>
          </w:p>
        </w:tc>
      </w:tr>
    </w:tbl>
    <w:p w14:paraId="429D4F2E" w14:textId="77777777" w:rsidR="00A10B25" w:rsidRDefault="00A10B25"/>
    <w:p w14:paraId="27F37FF0" w14:textId="77777777" w:rsidR="00A10B25" w:rsidRDefault="00A10B25" w:rsidP="0076721C">
      <w:pPr>
        <w:pStyle w:val="TH"/>
      </w:pPr>
      <w:r>
        <w:t>Table 5.8.5.2.2-2: Data structures supported by the POST Request Body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A10B25" w14:paraId="68A7CEA6" w14:textId="77777777">
        <w:trPr>
          <w:jc w:val="center"/>
        </w:trPr>
        <w:tc>
          <w:tcPr>
            <w:tcW w:w="2989" w:type="dxa"/>
            <w:shd w:val="clear" w:color="auto" w:fill="C0C0C0"/>
          </w:tcPr>
          <w:p w14:paraId="437FE710" w14:textId="77777777" w:rsidR="00A10B25" w:rsidRDefault="00A10B25">
            <w:pPr>
              <w:keepNext/>
              <w:keepLines/>
              <w:spacing w:after="0"/>
              <w:jc w:val="center"/>
              <w:rPr>
                <w:rFonts w:ascii="Arial" w:hAnsi="Arial"/>
                <w:b/>
                <w:sz w:val="18"/>
              </w:rPr>
            </w:pPr>
            <w:r>
              <w:rPr>
                <w:rFonts w:ascii="Arial" w:hAnsi="Arial"/>
                <w:b/>
                <w:sz w:val="18"/>
              </w:rPr>
              <w:t>Data type</w:t>
            </w:r>
          </w:p>
        </w:tc>
        <w:tc>
          <w:tcPr>
            <w:tcW w:w="360" w:type="dxa"/>
            <w:shd w:val="clear" w:color="auto" w:fill="C0C0C0"/>
          </w:tcPr>
          <w:p w14:paraId="1CD03897" w14:textId="77777777" w:rsidR="00A10B25" w:rsidRDefault="00A10B25">
            <w:pPr>
              <w:keepNext/>
              <w:keepLines/>
              <w:spacing w:after="0"/>
              <w:jc w:val="center"/>
              <w:rPr>
                <w:rFonts w:ascii="Arial" w:hAnsi="Arial"/>
                <w:b/>
                <w:sz w:val="18"/>
              </w:rPr>
            </w:pPr>
            <w:r>
              <w:rPr>
                <w:rFonts w:ascii="Arial" w:hAnsi="Arial"/>
                <w:b/>
                <w:sz w:val="18"/>
              </w:rPr>
              <w:t>P</w:t>
            </w:r>
          </w:p>
        </w:tc>
        <w:tc>
          <w:tcPr>
            <w:tcW w:w="1350" w:type="dxa"/>
            <w:shd w:val="clear" w:color="auto" w:fill="C0C0C0"/>
          </w:tcPr>
          <w:p w14:paraId="7B17C248" w14:textId="77777777" w:rsidR="00A10B25" w:rsidRDefault="00A10B25">
            <w:pPr>
              <w:keepNext/>
              <w:keepLines/>
              <w:spacing w:after="0"/>
              <w:jc w:val="center"/>
              <w:rPr>
                <w:rFonts w:ascii="Arial" w:hAnsi="Arial"/>
                <w:b/>
                <w:sz w:val="18"/>
              </w:rPr>
            </w:pPr>
            <w:r>
              <w:rPr>
                <w:rFonts w:ascii="Arial" w:hAnsi="Arial"/>
                <w:b/>
                <w:sz w:val="18"/>
              </w:rPr>
              <w:t>Cardinality</w:t>
            </w:r>
          </w:p>
        </w:tc>
        <w:tc>
          <w:tcPr>
            <w:tcW w:w="4980" w:type="dxa"/>
            <w:shd w:val="clear" w:color="auto" w:fill="C0C0C0"/>
            <w:vAlign w:val="center"/>
          </w:tcPr>
          <w:p w14:paraId="598544A8"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9E6B8C1" w14:textId="77777777">
        <w:trPr>
          <w:jc w:val="center"/>
        </w:trPr>
        <w:tc>
          <w:tcPr>
            <w:tcW w:w="2989" w:type="dxa"/>
          </w:tcPr>
          <w:p w14:paraId="08AFAC8C" w14:textId="77777777" w:rsidR="00A10B25" w:rsidRDefault="00A10B25">
            <w:pPr>
              <w:keepNext/>
              <w:keepLines/>
              <w:spacing w:after="0"/>
              <w:rPr>
                <w:rFonts w:ascii="Arial" w:hAnsi="Arial"/>
                <w:sz w:val="18"/>
              </w:rPr>
            </w:pPr>
            <w:r>
              <w:rPr>
                <w:rFonts w:ascii="Arial" w:eastAsia="等线" w:hAnsi="Arial"/>
                <w:sz w:val="18"/>
              </w:rPr>
              <w:t>RoamingAnalytics</w:t>
            </w:r>
            <w:r>
              <w:rPr>
                <w:rFonts w:ascii="Arial" w:eastAsia="等线" w:hAnsi="Arial"/>
                <w:sz w:val="18"/>
                <w:lang w:eastAsia="zh-CN"/>
              </w:rPr>
              <w:t>Notification</w:t>
            </w:r>
          </w:p>
        </w:tc>
        <w:tc>
          <w:tcPr>
            <w:tcW w:w="360" w:type="dxa"/>
          </w:tcPr>
          <w:p w14:paraId="567B1C19" w14:textId="77777777" w:rsidR="00A10B25" w:rsidRDefault="00A10B25">
            <w:pPr>
              <w:keepNext/>
              <w:keepLines/>
              <w:spacing w:after="0"/>
              <w:jc w:val="center"/>
              <w:rPr>
                <w:rFonts w:ascii="Arial" w:hAnsi="Arial"/>
                <w:sz w:val="18"/>
              </w:rPr>
            </w:pPr>
            <w:r>
              <w:rPr>
                <w:rFonts w:ascii="Arial" w:hAnsi="Arial"/>
                <w:sz w:val="18"/>
              </w:rPr>
              <w:t>M</w:t>
            </w:r>
          </w:p>
        </w:tc>
        <w:tc>
          <w:tcPr>
            <w:tcW w:w="1350" w:type="dxa"/>
          </w:tcPr>
          <w:p w14:paraId="4BF1CF7C" w14:textId="77777777" w:rsidR="00A10B25" w:rsidRDefault="00A10B25">
            <w:pPr>
              <w:keepNext/>
              <w:keepLines/>
              <w:spacing w:after="0"/>
              <w:jc w:val="center"/>
              <w:rPr>
                <w:rFonts w:ascii="Arial" w:hAnsi="Arial"/>
                <w:sz w:val="18"/>
              </w:rPr>
            </w:pPr>
            <w:r>
              <w:rPr>
                <w:rFonts w:ascii="Arial" w:hAnsi="Arial"/>
                <w:sz w:val="18"/>
              </w:rPr>
              <w:t>1</w:t>
            </w:r>
          </w:p>
        </w:tc>
        <w:tc>
          <w:tcPr>
            <w:tcW w:w="4980" w:type="dxa"/>
          </w:tcPr>
          <w:p w14:paraId="16B1B12D" w14:textId="77777777" w:rsidR="00A10B25" w:rsidRDefault="00A10B25">
            <w:pPr>
              <w:keepNext/>
              <w:keepLines/>
              <w:spacing w:after="0"/>
              <w:rPr>
                <w:rFonts w:ascii="Arial" w:hAnsi="Arial"/>
                <w:sz w:val="18"/>
              </w:rPr>
            </w:pPr>
            <w:r>
              <w:rPr>
                <w:rFonts w:ascii="Arial" w:hAnsi="Arial"/>
                <w:sz w:val="18"/>
              </w:rPr>
              <w:t>Provides analytics related to roaming UE(s).</w:t>
            </w:r>
          </w:p>
        </w:tc>
      </w:tr>
    </w:tbl>
    <w:p w14:paraId="634AA0CC" w14:textId="77777777" w:rsidR="00A10B25" w:rsidRDefault="00A10B25"/>
    <w:p w14:paraId="4107A666" w14:textId="77777777" w:rsidR="00A10B25" w:rsidRDefault="00A10B25" w:rsidP="0076721C">
      <w:pPr>
        <w:pStyle w:val="TH"/>
      </w:pPr>
      <w:r>
        <w:lastRenderedPageBreak/>
        <w:t>Table 5.8.5.2.2-3: Data structures supported by the POST Response Body on this resource</w:t>
      </w:r>
    </w:p>
    <w:tbl>
      <w:tblPr>
        <w:tblW w:w="4956" w:type="pct"/>
        <w:jc w:val="center"/>
        <w:tblInd w:w="0" w:type="dxa"/>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A10B25" w14:paraId="38211980"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5D876D4C" w14:textId="77777777" w:rsidR="00A10B25" w:rsidRDefault="00A10B25">
            <w:pPr>
              <w:keepNext/>
              <w:keepLines/>
              <w:spacing w:after="0"/>
              <w:jc w:val="center"/>
              <w:rPr>
                <w:rFonts w:ascii="Arial" w:hAnsi="Arial"/>
                <w:b/>
                <w:sz w:val="18"/>
              </w:rPr>
            </w:pPr>
            <w:r>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2F78D912" w14:textId="77777777" w:rsidR="00A10B25" w:rsidRDefault="00A10B25">
            <w:pPr>
              <w:keepNext/>
              <w:keepLines/>
              <w:spacing w:after="0"/>
              <w:jc w:val="center"/>
              <w:rPr>
                <w:rFonts w:ascii="Arial" w:hAnsi="Arial"/>
                <w:b/>
                <w:sz w:val="18"/>
              </w:rPr>
            </w:pPr>
            <w:r>
              <w:rPr>
                <w:rFonts w:ascii="Arial" w:hAnsi="Arial"/>
                <w:b/>
                <w:sz w:val="18"/>
              </w:rP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4A2C66EC" w14:textId="77777777" w:rsidR="00A10B25" w:rsidRDefault="00A10B25">
            <w:pPr>
              <w:keepNext/>
              <w:keepLines/>
              <w:spacing w:after="0"/>
              <w:jc w:val="center"/>
              <w:rPr>
                <w:rFonts w:ascii="Arial" w:hAnsi="Arial"/>
                <w:b/>
                <w:sz w:val="18"/>
              </w:rPr>
            </w:pPr>
            <w:r>
              <w:rPr>
                <w:rFonts w:ascii="Arial" w:hAnsi="Arial"/>
                <w:b/>
                <w:sz w:val="18"/>
              </w:rP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24754E58" w14:textId="77777777" w:rsidR="00A10B25" w:rsidRDefault="00A10B25">
            <w:pPr>
              <w:keepNext/>
              <w:keepLines/>
              <w:spacing w:after="0"/>
              <w:jc w:val="center"/>
              <w:rPr>
                <w:rFonts w:ascii="Arial" w:hAnsi="Arial"/>
                <w:b/>
                <w:sz w:val="18"/>
              </w:rPr>
            </w:pPr>
            <w:r>
              <w:rPr>
                <w:rFonts w:ascii="Arial" w:hAnsi="Arial"/>
                <w:b/>
                <w:sz w:val="18"/>
              </w:rP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434B3AF1"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6E1553F5"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68DC1731" w14:textId="77777777" w:rsidR="00A10B25" w:rsidRDefault="00A10B25">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E72AEE1" w14:textId="77777777" w:rsidR="00A10B25" w:rsidRDefault="00A10B25">
            <w:pPr>
              <w:keepNext/>
              <w:keepLines/>
              <w:spacing w:after="0"/>
              <w:jc w:val="center"/>
              <w:rPr>
                <w:rFonts w:ascii="Arial" w:hAnsi="Arial"/>
                <w:sz w:val="18"/>
              </w:rPr>
            </w:pPr>
          </w:p>
        </w:tc>
        <w:tc>
          <w:tcPr>
            <w:tcW w:w="603" w:type="pct"/>
            <w:tcBorders>
              <w:top w:val="single" w:sz="6" w:space="0" w:color="auto"/>
              <w:left w:val="single" w:sz="6" w:space="0" w:color="auto"/>
              <w:bottom w:val="single" w:sz="6" w:space="0" w:color="auto"/>
              <w:right w:val="single" w:sz="6" w:space="0" w:color="auto"/>
            </w:tcBorders>
          </w:tcPr>
          <w:p w14:paraId="70ABE625" w14:textId="77777777" w:rsidR="00A10B25" w:rsidRDefault="00A10B25">
            <w:pPr>
              <w:keepNext/>
              <w:keepLines/>
              <w:spacing w:after="0"/>
              <w:jc w:val="center"/>
              <w:rPr>
                <w:rFonts w:ascii="Arial" w:hAnsi="Arial"/>
                <w:sz w:val="18"/>
              </w:rPr>
            </w:pPr>
          </w:p>
        </w:tc>
        <w:tc>
          <w:tcPr>
            <w:tcW w:w="790" w:type="pct"/>
            <w:tcBorders>
              <w:top w:val="single" w:sz="6" w:space="0" w:color="auto"/>
              <w:left w:val="single" w:sz="6" w:space="0" w:color="auto"/>
              <w:bottom w:val="single" w:sz="6" w:space="0" w:color="auto"/>
              <w:right w:val="single" w:sz="6" w:space="0" w:color="auto"/>
            </w:tcBorders>
          </w:tcPr>
          <w:p w14:paraId="0DA915AD" w14:textId="77777777" w:rsidR="00A10B25" w:rsidRDefault="00A10B25">
            <w:pPr>
              <w:keepNext/>
              <w:keepLines/>
              <w:spacing w:after="0"/>
              <w:rPr>
                <w:rFonts w:ascii="Arial" w:hAnsi="Arial"/>
                <w:sz w:val="18"/>
              </w:rPr>
            </w:pPr>
            <w:r>
              <w:rPr>
                <w:rFonts w:ascii="Arial" w:hAnsi="Arial"/>
                <w:sz w:val="18"/>
              </w:rPr>
              <w:t>204 No Content</w:t>
            </w:r>
          </w:p>
        </w:tc>
        <w:tc>
          <w:tcPr>
            <w:tcW w:w="2383" w:type="pct"/>
            <w:tcBorders>
              <w:top w:val="single" w:sz="6" w:space="0" w:color="auto"/>
              <w:left w:val="single" w:sz="6" w:space="0" w:color="auto"/>
              <w:bottom w:val="single" w:sz="6" w:space="0" w:color="auto"/>
              <w:right w:val="single" w:sz="6" w:space="0" w:color="auto"/>
            </w:tcBorders>
          </w:tcPr>
          <w:p w14:paraId="2AB1479E" w14:textId="77777777" w:rsidR="00A10B25" w:rsidRDefault="00A10B25">
            <w:pPr>
              <w:keepNext/>
              <w:keepLines/>
              <w:spacing w:after="0"/>
              <w:rPr>
                <w:rFonts w:ascii="Arial" w:hAnsi="Arial"/>
                <w:sz w:val="18"/>
              </w:rPr>
            </w:pPr>
            <w:r>
              <w:rPr>
                <w:rFonts w:ascii="Arial" w:hAnsi="Arial"/>
                <w:sz w:val="18"/>
              </w:rPr>
              <w:t>The receipt of the Notification is acknowledged.</w:t>
            </w:r>
          </w:p>
        </w:tc>
      </w:tr>
      <w:tr w:rsidR="00A10B25" w14:paraId="4C795A4B"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4342DCDC" w14:textId="77777777" w:rsidR="00A10B25" w:rsidRDefault="00A10B25">
            <w:pPr>
              <w:keepNext/>
              <w:keepLines/>
              <w:spacing w:after="0"/>
              <w:rPr>
                <w:rFonts w:ascii="Arial" w:hAnsi="Arial"/>
                <w:sz w:val="18"/>
              </w:rPr>
            </w:pPr>
            <w:r>
              <w:rPr>
                <w:rFonts w:ascii="Arial" w:hAnsi="Arial"/>
                <w:sz w:val="18"/>
              </w:rPr>
              <w:t>RedirectResponse</w:t>
            </w:r>
          </w:p>
        </w:tc>
        <w:tc>
          <w:tcPr>
            <w:tcW w:w="215" w:type="pct"/>
            <w:tcBorders>
              <w:top w:val="single" w:sz="6" w:space="0" w:color="auto"/>
              <w:left w:val="single" w:sz="6" w:space="0" w:color="auto"/>
              <w:bottom w:val="single" w:sz="6" w:space="0" w:color="auto"/>
              <w:right w:val="single" w:sz="6" w:space="0" w:color="auto"/>
            </w:tcBorders>
          </w:tcPr>
          <w:p w14:paraId="771FAB53" w14:textId="77777777" w:rsidR="00A10B25" w:rsidRDefault="00A10B25">
            <w:pPr>
              <w:keepNext/>
              <w:keepLines/>
              <w:spacing w:after="0"/>
              <w:jc w:val="center"/>
              <w:rPr>
                <w:rFonts w:ascii="Arial" w:hAnsi="Arial"/>
                <w:sz w:val="18"/>
              </w:rPr>
            </w:pPr>
            <w:r>
              <w:rPr>
                <w:rFonts w:ascii="Arial" w:hAnsi="Arial"/>
                <w:sz w:val="18"/>
              </w:rPr>
              <w:t>O</w:t>
            </w:r>
          </w:p>
        </w:tc>
        <w:tc>
          <w:tcPr>
            <w:tcW w:w="603" w:type="pct"/>
            <w:tcBorders>
              <w:top w:val="single" w:sz="6" w:space="0" w:color="auto"/>
              <w:left w:val="single" w:sz="6" w:space="0" w:color="auto"/>
              <w:bottom w:val="single" w:sz="6" w:space="0" w:color="auto"/>
              <w:right w:val="single" w:sz="6" w:space="0" w:color="auto"/>
            </w:tcBorders>
          </w:tcPr>
          <w:p w14:paraId="14FC9354" w14:textId="77777777" w:rsidR="00A10B25" w:rsidRDefault="00A10B25">
            <w:pPr>
              <w:keepNext/>
              <w:keepLines/>
              <w:spacing w:after="0"/>
              <w:jc w:val="center"/>
              <w:rPr>
                <w:rFonts w:ascii="Arial" w:hAnsi="Arial"/>
                <w:sz w:val="18"/>
              </w:rPr>
            </w:pPr>
            <w:r>
              <w:rPr>
                <w:rFonts w:ascii="Arial" w:hAnsi="Arial"/>
                <w:sz w:val="18"/>
              </w:rPr>
              <w:t>0..1</w:t>
            </w:r>
          </w:p>
        </w:tc>
        <w:tc>
          <w:tcPr>
            <w:tcW w:w="790" w:type="pct"/>
            <w:tcBorders>
              <w:top w:val="single" w:sz="6" w:space="0" w:color="auto"/>
              <w:left w:val="single" w:sz="6" w:space="0" w:color="auto"/>
              <w:bottom w:val="single" w:sz="6" w:space="0" w:color="auto"/>
              <w:right w:val="single" w:sz="6" w:space="0" w:color="auto"/>
            </w:tcBorders>
          </w:tcPr>
          <w:p w14:paraId="38ACC0E0" w14:textId="77777777" w:rsidR="00A10B25" w:rsidRDefault="00A10B25">
            <w:pPr>
              <w:keepNext/>
              <w:keepLines/>
              <w:spacing w:after="0"/>
              <w:rPr>
                <w:rFonts w:ascii="Arial" w:hAnsi="Arial"/>
                <w:sz w:val="18"/>
              </w:rPr>
            </w:pPr>
            <w:r>
              <w:rPr>
                <w:rFonts w:ascii="Arial" w:hAnsi="Arial"/>
                <w:sz w:val="18"/>
              </w:rPr>
              <w:t>307 Temporary Redirect</w:t>
            </w:r>
          </w:p>
        </w:tc>
        <w:tc>
          <w:tcPr>
            <w:tcW w:w="2383" w:type="pct"/>
            <w:tcBorders>
              <w:top w:val="single" w:sz="6" w:space="0" w:color="auto"/>
              <w:left w:val="single" w:sz="6" w:space="0" w:color="auto"/>
              <w:bottom w:val="single" w:sz="6" w:space="0" w:color="auto"/>
              <w:right w:val="single" w:sz="6" w:space="0" w:color="auto"/>
            </w:tcBorders>
          </w:tcPr>
          <w:p w14:paraId="56703687" w14:textId="77777777" w:rsidR="00A10B25" w:rsidRDefault="00A10B25">
            <w:pPr>
              <w:keepNext/>
              <w:keepLines/>
              <w:spacing w:after="0"/>
              <w:rPr>
                <w:rFonts w:ascii="Arial" w:hAnsi="Arial"/>
                <w:sz w:val="18"/>
              </w:rPr>
            </w:pPr>
            <w:r>
              <w:rPr>
                <w:rFonts w:ascii="Arial" w:hAnsi="Arial"/>
                <w:sz w:val="18"/>
              </w:rPr>
              <w:t>Temporary redirection, during the event notification.</w:t>
            </w:r>
          </w:p>
          <w:p w14:paraId="29E8BB20" w14:textId="77777777" w:rsidR="00A10B25" w:rsidRDefault="00A10B25">
            <w:pPr>
              <w:keepNext/>
              <w:keepLines/>
              <w:spacing w:after="0"/>
              <w:rPr>
                <w:rFonts w:ascii="Arial" w:hAnsi="Arial"/>
                <w:sz w:val="18"/>
              </w:rPr>
            </w:pPr>
          </w:p>
          <w:p w14:paraId="605F8B8C" w14:textId="77777777" w:rsidR="00A10B25" w:rsidRDefault="00A10B25">
            <w:pPr>
              <w:keepNext/>
              <w:keepLines/>
              <w:spacing w:after="0"/>
              <w:rPr>
                <w:rFonts w:ascii="Arial" w:hAnsi="Arial"/>
                <w:sz w:val="18"/>
              </w:rPr>
            </w:pPr>
            <w:r>
              <w:rPr>
                <w:rFonts w:ascii="Arial" w:hAnsi="Arial"/>
                <w:sz w:val="18"/>
              </w:rPr>
              <w:t>(NOTE 2)</w:t>
            </w:r>
          </w:p>
        </w:tc>
      </w:tr>
      <w:tr w:rsidR="00A10B25" w14:paraId="0B244E15" w14:textId="77777777">
        <w:trPr>
          <w:gridAfter w:val="1"/>
          <w:wAfter w:w="8" w:type="pct"/>
          <w:jc w:val="center"/>
        </w:trPr>
        <w:tc>
          <w:tcPr>
            <w:tcW w:w="1000" w:type="pct"/>
            <w:tcBorders>
              <w:top w:val="single" w:sz="6" w:space="0" w:color="auto"/>
              <w:left w:val="single" w:sz="6" w:space="0" w:color="auto"/>
              <w:bottom w:val="single" w:sz="6" w:space="0" w:color="auto"/>
              <w:right w:val="single" w:sz="6" w:space="0" w:color="auto"/>
            </w:tcBorders>
          </w:tcPr>
          <w:p w14:paraId="6689C051" w14:textId="77777777" w:rsidR="00A10B25" w:rsidRDefault="00A10B25">
            <w:pPr>
              <w:keepNext/>
              <w:keepLines/>
              <w:spacing w:after="0"/>
              <w:rPr>
                <w:rFonts w:ascii="Arial" w:hAnsi="Arial"/>
                <w:sz w:val="18"/>
              </w:rPr>
            </w:pPr>
            <w:r>
              <w:rPr>
                <w:rFonts w:ascii="Arial" w:hAnsi="Arial"/>
                <w:sz w:val="18"/>
              </w:rPr>
              <w:t>RedirectResponse</w:t>
            </w:r>
          </w:p>
        </w:tc>
        <w:tc>
          <w:tcPr>
            <w:tcW w:w="215" w:type="pct"/>
            <w:tcBorders>
              <w:top w:val="single" w:sz="6" w:space="0" w:color="auto"/>
              <w:left w:val="single" w:sz="6" w:space="0" w:color="auto"/>
              <w:bottom w:val="single" w:sz="6" w:space="0" w:color="auto"/>
              <w:right w:val="single" w:sz="6" w:space="0" w:color="auto"/>
            </w:tcBorders>
          </w:tcPr>
          <w:p w14:paraId="4DA3D1CB" w14:textId="77777777" w:rsidR="00A10B25" w:rsidRDefault="00A10B25">
            <w:pPr>
              <w:keepNext/>
              <w:keepLines/>
              <w:spacing w:after="0"/>
              <w:jc w:val="center"/>
              <w:rPr>
                <w:rFonts w:ascii="Arial" w:hAnsi="Arial"/>
                <w:sz w:val="18"/>
              </w:rPr>
            </w:pPr>
            <w:r>
              <w:rPr>
                <w:rFonts w:ascii="Arial" w:hAnsi="Arial"/>
                <w:sz w:val="18"/>
              </w:rPr>
              <w:t>O</w:t>
            </w:r>
          </w:p>
        </w:tc>
        <w:tc>
          <w:tcPr>
            <w:tcW w:w="603" w:type="pct"/>
            <w:tcBorders>
              <w:top w:val="single" w:sz="6" w:space="0" w:color="auto"/>
              <w:left w:val="single" w:sz="6" w:space="0" w:color="auto"/>
              <w:bottom w:val="single" w:sz="6" w:space="0" w:color="auto"/>
              <w:right w:val="single" w:sz="6" w:space="0" w:color="auto"/>
            </w:tcBorders>
          </w:tcPr>
          <w:p w14:paraId="20B447F1" w14:textId="77777777" w:rsidR="00A10B25" w:rsidRDefault="00A10B25">
            <w:pPr>
              <w:keepNext/>
              <w:keepLines/>
              <w:spacing w:after="0"/>
              <w:jc w:val="center"/>
              <w:rPr>
                <w:rFonts w:ascii="Arial" w:hAnsi="Arial"/>
                <w:sz w:val="18"/>
              </w:rPr>
            </w:pPr>
            <w:r>
              <w:rPr>
                <w:rFonts w:ascii="Arial" w:hAnsi="Arial"/>
                <w:sz w:val="18"/>
              </w:rPr>
              <w:t>0..1</w:t>
            </w:r>
          </w:p>
        </w:tc>
        <w:tc>
          <w:tcPr>
            <w:tcW w:w="790" w:type="pct"/>
            <w:tcBorders>
              <w:top w:val="single" w:sz="6" w:space="0" w:color="auto"/>
              <w:left w:val="single" w:sz="6" w:space="0" w:color="auto"/>
              <w:bottom w:val="single" w:sz="6" w:space="0" w:color="auto"/>
              <w:right w:val="single" w:sz="6" w:space="0" w:color="auto"/>
            </w:tcBorders>
          </w:tcPr>
          <w:p w14:paraId="3F38B14E" w14:textId="77777777" w:rsidR="00A10B25" w:rsidRDefault="00A10B25">
            <w:pPr>
              <w:keepNext/>
              <w:keepLines/>
              <w:spacing w:after="0"/>
              <w:rPr>
                <w:rFonts w:ascii="Arial" w:hAnsi="Arial"/>
                <w:sz w:val="18"/>
              </w:rPr>
            </w:pPr>
            <w:r>
              <w:rPr>
                <w:rFonts w:ascii="Arial" w:hAnsi="Arial"/>
                <w:sz w:val="18"/>
              </w:rPr>
              <w:t>308 Permanent Redirect</w:t>
            </w:r>
          </w:p>
        </w:tc>
        <w:tc>
          <w:tcPr>
            <w:tcW w:w="2383" w:type="pct"/>
            <w:tcBorders>
              <w:top w:val="single" w:sz="6" w:space="0" w:color="auto"/>
              <w:left w:val="single" w:sz="6" w:space="0" w:color="auto"/>
              <w:bottom w:val="single" w:sz="6" w:space="0" w:color="auto"/>
              <w:right w:val="single" w:sz="6" w:space="0" w:color="auto"/>
            </w:tcBorders>
          </w:tcPr>
          <w:p w14:paraId="7CF6E57C" w14:textId="77777777" w:rsidR="00A10B25" w:rsidRDefault="00A10B25">
            <w:pPr>
              <w:keepNext/>
              <w:keepLines/>
              <w:spacing w:after="0"/>
              <w:rPr>
                <w:rFonts w:ascii="Arial" w:hAnsi="Arial"/>
                <w:sz w:val="18"/>
              </w:rPr>
            </w:pPr>
            <w:r>
              <w:rPr>
                <w:rFonts w:ascii="Arial" w:hAnsi="Arial"/>
                <w:sz w:val="18"/>
              </w:rPr>
              <w:t>Permanent redirection, during the event notification.</w:t>
            </w:r>
          </w:p>
          <w:p w14:paraId="26CEB252" w14:textId="77777777" w:rsidR="00A10B25" w:rsidRDefault="00A10B25">
            <w:pPr>
              <w:keepNext/>
              <w:keepLines/>
              <w:spacing w:after="0"/>
              <w:rPr>
                <w:rFonts w:ascii="Arial" w:hAnsi="Arial"/>
                <w:sz w:val="18"/>
              </w:rPr>
            </w:pPr>
          </w:p>
          <w:p w14:paraId="629BB965" w14:textId="77777777" w:rsidR="00A10B25" w:rsidRDefault="00A10B25">
            <w:pPr>
              <w:keepNext/>
              <w:keepLines/>
              <w:spacing w:after="0"/>
              <w:rPr>
                <w:rFonts w:ascii="Arial" w:hAnsi="Arial"/>
                <w:sz w:val="18"/>
              </w:rPr>
            </w:pPr>
            <w:r>
              <w:rPr>
                <w:rFonts w:ascii="Arial" w:hAnsi="Arial"/>
                <w:sz w:val="18"/>
              </w:rPr>
              <w:t>(NOTE 2)</w:t>
            </w:r>
          </w:p>
        </w:tc>
      </w:tr>
      <w:tr w:rsidR="00A10B25" w14:paraId="703FD082" w14:textId="77777777">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0AD42ECF" w14:textId="77777777" w:rsidR="00A10B25" w:rsidRDefault="00A10B25">
            <w:pPr>
              <w:keepNext/>
              <w:keepLines/>
              <w:spacing w:after="0"/>
              <w:ind w:left="851" w:hanging="851"/>
              <w:rPr>
                <w:rFonts w:ascii="Arial" w:hAnsi="Arial"/>
                <w:sz w:val="18"/>
              </w:rPr>
            </w:pPr>
            <w:r>
              <w:rPr>
                <w:rFonts w:ascii="Arial" w:hAnsi="Arial"/>
                <w:sz w:val="18"/>
              </w:rPr>
              <w:t>NOTE 1:</w:t>
            </w:r>
            <w:r>
              <w:rPr>
                <w:rFonts w:ascii="Arial" w:hAnsi="Arial"/>
                <w:sz w:val="18"/>
                <w:lang w:val="en-US" w:eastAsia="zh-CN"/>
              </w:rPr>
              <w:tab/>
              <w:t xml:space="preserve">The mandatory </w:t>
            </w:r>
            <w:r>
              <w:rPr>
                <w:rFonts w:ascii="Arial" w:hAnsi="Arial"/>
                <w:sz w:val="18"/>
              </w:rPr>
              <w:t>HTTP error status codes for the POST method listed in table 5.2.7.1-1 of 3GPP TS 29.500 [6] also apply.</w:t>
            </w:r>
          </w:p>
          <w:p w14:paraId="09147100" w14:textId="77777777" w:rsidR="00A10B25" w:rsidRDefault="00A10B25">
            <w:pPr>
              <w:keepNext/>
              <w:keepLines/>
              <w:spacing w:after="0"/>
              <w:ind w:left="851" w:hanging="851"/>
              <w:rPr>
                <w:rFonts w:ascii="Arial" w:hAnsi="Arial"/>
                <w:sz w:val="18"/>
                <w:lang w:val="en-US" w:eastAsia="zh-CN"/>
              </w:rPr>
            </w:pPr>
            <w:r>
              <w:rPr>
                <w:rFonts w:ascii="Arial" w:hAnsi="Arial"/>
                <w:sz w:val="18"/>
              </w:rPr>
              <w:t>NOTE 2:</w:t>
            </w:r>
            <w:r>
              <w:rPr>
                <w:rFonts w:ascii="Arial" w:hAnsi="Arial"/>
                <w:sz w:val="18"/>
              </w:rPr>
              <w:tab/>
              <w:t>The RedirectResponse data structure may be provided by an SCP or a SEPP (cf. clause 6.10.9.1 of 3GPP TS 29.500 [6]).</w:t>
            </w:r>
          </w:p>
        </w:tc>
      </w:tr>
    </w:tbl>
    <w:p w14:paraId="5B2EFE51" w14:textId="77777777" w:rsidR="00A10B25" w:rsidRDefault="00A10B25">
      <w:pPr>
        <w:rPr>
          <w:lang w:val="en-US"/>
        </w:rPr>
      </w:pPr>
    </w:p>
    <w:p w14:paraId="34DF4344" w14:textId="77777777" w:rsidR="00A10B25" w:rsidRDefault="00A10B25" w:rsidP="0076721C">
      <w:pPr>
        <w:pStyle w:val="TH"/>
      </w:pPr>
      <w:r>
        <w:t>Table 5.8.5.2.2-4: Headers supported by the 307 Response Code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1E82A16" w14:textId="77777777">
        <w:trPr>
          <w:jc w:val="center"/>
        </w:trPr>
        <w:tc>
          <w:tcPr>
            <w:tcW w:w="825" w:type="pct"/>
            <w:shd w:val="clear" w:color="auto" w:fill="C0C0C0"/>
          </w:tcPr>
          <w:p w14:paraId="7424595F"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shd w:val="clear" w:color="auto" w:fill="C0C0C0"/>
          </w:tcPr>
          <w:p w14:paraId="31859144"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shd w:val="clear" w:color="auto" w:fill="C0C0C0"/>
          </w:tcPr>
          <w:p w14:paraId="6C22AC00"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shd w:val="clear" w:color="auto" w:fill="C0C0C0"/>
          </w:tcPr>
          <w:p w14:paraId="092D7516"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shd w:val="clear" w:color="auto" w:fill="C0C0C0"/>
            <w:vAlign w:val="center"/>
          </w:tcPr>
          <w:p w14:paraId="2FF194DA"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2A367F4" w14:textId="77777777">
        <w:trPr>
          <w:jc w:val="center"/>
        </w:trPr>
        <w:tc>
          <w:tcPr>
            <w:tcW w:w="825" w:type="pct"/>
          </w:tcPr>
          <w:p w14:paraId="22A3855B" w14:textId="77777777" w:rsidR="00A10B25" w:rsidRDefault="00A10B25">
            <w:pPr>
              <w:keepNext/>
              <w:keepLines/>
              <w:spacing w:after="0"/>
              <w:rPr>
                <w:rFonts w:ascii="Arial" w:hAnsi="Arial"/>
                <w:sz w:val="18"/>
              </w:rPr>
            </w:pPr>
            <w:r>
              <w:rPr>
                <w:rFonts w:ascii="Arial" w:hAnsi="Arial"/>
                <w:sz w:val="18"/>
              </w:rPr>
              <w:t>Location</w:t>
            </w:r>
          </w:p>
        </w:tc>
        <w:tc>
          <w:tcPr>
            <w:tcW w:w="732" w:type="pct"/>
          </w:tcPr>
          <w:p w14:paraId="763FB518" w14:textId="77777777" w:rsidR="00A10B25" w:rsidRDefault="00A10B25">
            <w:pPr>
              <w:keepNext/>
              <w:keepLines/>
              <w:spacing w:after="0"/>
              <w:rPr>
                <w:rFonts w:ascii="Arial" w:hAnsi="Arial"/>
                <w:sz w:val="18"/>
              </w:rPr>
            </w:pPr>
            <w:r>
              <w:rPr>
                <w:rFonts w:ascii="Arial" w:hAnsi="Arial"/>
                <w:sz w:val="18"/>
              </w:rPr>
              <w:t>string</w:t>
            </w:r>
          </w:p>
        </w:tc>
        <w:tc>
          <w:tcPr>
            <w:tcW w:w="217" w:type="pct"/>
          </w:tcPr>
          <w:p w14:paraId="05134D0A" w14:textId="77777777" w:rsidR="00A10B25" w:rsidRDefault="00A10B25">
            <w:pPr>
              <w:keepNext/>
              <w:keepLines/>
              <w:spacing w:after="0"/>
              <w:jc w:val="center"/>
              <w:rPr>
                <w:rFonts w:ascii="Arial" w:hAnsi="Arial"/>
                <w:sz w:val="18"/>
              </w:rPr>
            </w:pPr>
            <w:r>
              <w:rPr>
                <w:rFonts w:ascii="Arial" w:hAnsi="Arial"/>
                <w:sz w:val="18"/>
              </w:rPr>
              <w:t>M</w:t>
            </w:r>
          </w:p>
        </w:tc>
        <w:tc>
          <w:tcPr>
            <w:tcW w:w="581" w:type="pct"/>
          </w:tcPr>
          <w:p w14:paraId="507F1AB9" w14:textId="77777777" w:rsidR="00A10B25" w:rsidRDefault="00A10B25">
            <w:pPr>
              <w:keepNext/>
              <w:keepLines/>
              <w:spacing w:after="0"/>
              <w:rPr>
                <w:rFonts w:ascii="Arial" w:hAnsi="Arial"/>
                <w:sz w:val="18"/>
              </w:rPr>
            </w:pPr>
            <w:r>
              <w:rPr>
                <w:rFonts w:ascii="Arial" w:hAnsi="Arial"/>
                <w:sz w:val="18"/>
              </w:rPr>
              <w:t>1</w:t>
            </w:r>
          </w:p>
        </w:tc>
        <w:tc>
          <w:tcPr>
            <w:tcW w:w="2645" w:type="pct"/>
            <w:vAlign w:val="center"/>
          </w:tcPr>
          <w:p w14:paraId="37311DD9" w14:textId="77777777" w:rsidR="00A10B25" w:rsidRDefault="00A10B25">
            <w:pPr>
              <w:keepNext/>
              <w:keepLines/>
              <w:spacing w:after="0"/>
              <w:rPr>
                <w:rFonts w:ascii="Arial" w:hAnsi="Arial"/>
                <w:sz w:val="18"/>
              </w:rPr>
            </w:pPr>
            <w:r>
              <w:rPr>
                <w:rFonts w:ascii="Arial" w:hAnsi="Arial"/>
                <w:sz w:val="18"/>
              </w:rPr>
              <w:t xml:space="preserve">Contains </w:t>
            </w:r>
            <w:r>
              <w:rPr>
                <w:rFonts w:ascii="Arial" w:hAnsi="Arial"/>
                <w:sz w:val="18"/>
                <w:lang w:eastAsia="fr-FR"/>
              </w:rPr>
              <w:t>an alternative URI representing the end point of an alternative NF consumer (service) instance towards which the notification is redirected</w:t>
            </w:r>
            <w:r>
              <w:rPr>
                <w:rFonts w:ascii="Arial" w:hAnsi="Arial"/>
                <w:sz w:val="18"/>
              </w:rPr>
              <w:t>.</w:t>
            </w:r>
          </w:p>
          <w:p w14:paraId="7252E439" w14:textId="77777777" w:rsidR="00A10B25" w:rsidRDefault="00A10B25">
            <w:pPr>
              <w:keepNext/>
              <w:keepLines/>
              <w:spacing w:after="0"/>
              <w:rPr>
                <w:rFonts w:ascii="Arial" w:hAnsi="Arial"/>
                <w:sz w:val="18"/>
              </w:rPr>
            </w:pPr>
          </w:p>
          <w:p w14:paraId="710A491A" w14:textId="77777777" w:rsidR="00A10B25" w:rsidRDefault="00A10B25">
            <w:pPr>
              <w:keepNext/>
              <w:keepLines/>
              <w:spacing w:after="0"/>
              <w:rPr>
                <w:rFonts w:ascii="Arial" w:hAnsi="Arial"/>
                <w:sz w:val="18"/>
              </w:rPr>
            </w:pPr>
            <w:r>
              <w:rPr>
                <w:rFonts w:ascii="Arial" w:hAnsi="Arial"/>
                <w:sz w:val="18"/>
              </w:rPr>
              <w:t>For the case where the notification is redirected to the same target via a different SCP or SEPP, refer to clause 6.10.9.1 of 3GPP TS 29.500 [6].</w:t>
            </w:r>
          </w:p>
        </w:tc>
      </w:tr>
      <w:tr w:rsidR="00A10B25" w14:paraId="0E288FCE" w14:textId="77777777">
        <w:trPr>
          <w:jc w:val="center"/>
        </w:trPr>
        <w:tc>
          <w:tcPr>
            <w:tcW w:w="825" w:type="pct"/>
          </w:tcPr>
          <w:p w14:paraId="41D7B8B5"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0BD5D305"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250D236F"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04153125"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3C0B076C" w14:textId="77777777" w:rsidR="00A10B25" w:rsidRDefault="00A10B25">
            <w:pPr>
              <w:keepNext/>
              <w:keepLines/>
              <w:spacing w:after="0"/>
              <w:rPr>
                <w:rFonts w:ascii="Arial" w:hAnsi="Arial"/>
                <w:sz w:val="18"/>
              </w:rPr>
            </w:pPr>
            <w:r>
              <w:rPr>
                <w:rFonts w:ascii="Arial" w:hAnsi="Arial"/>
                <w:sz w:val="18"/>
                <w:lang w:eastAsia="fr-FR"/>
              </w:rPr>
              <w:t>Identifier of the target NF (service) instance towards which the notification request is redirected.</w:t>
            </w:r>
          </w:p>
        </w:tc>
      </w:tr>
    </w:tbl>
    <w:p w14:paraId="452195F2" w14:textId="77777777" w:rsidR="00A10B25" w:rsidRDefault="00A10B25"/>
    <w:p w14:paraId="34824306" w14:textId="77777777" w:rsidR="00A10B25" w:rsidRDefault="00A10B25" w:rsidP="0076721C">
      <w:pPr>
        <w:pStyle w:val="TH"/>
      </w:pPr>
      <w:r>
        <w:t>Table 5.8.5.2.2-5: Headers supported by the 308 Response Code on this resource</w:t>
      </w:r>
    </w:p>
    <w:tbl>
      <w:tblPr>
        <w:tblW w:w="49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A10B25" w14:paraId="6D6BC1E5" w14:textId="77777777">
        <w:trPr>
          <w:jc w:val="center"/>
        </w:trPr>
        <w:tc>
          <w:tcPr>
            <w:tcW w:w="825" w:type="pct"/>
            <w:shd w:val="clear" w:color="auto" w:fill="C0C0C0"/>
          </w:tcPr>
          <w:p w14:paraId="04521C6B" w14:textId="77777777" w:rsidR="00A10B25" w:rsidRDefault="00A10B25">
            <w:pPr>
              <w:keepNext/>
              <w:keepLines/>
              <w:spacing w:after="0"/>
              <w:jc w:val="center"/>
              <w:rPr>
                <w:rFonts w:ascii="Arial" w:hAnsi="Arial"/>
                <w:b/>
                <w:sz w:val="18"/>
              </w:rPr>
            </w:pPr>
            <w:r>
              <w:rPr>
                <w:rFonts w:ascii="Arial" w:hAnsi="Arial"/>
                <w:b/>
                <w:sz w:val="18"/>
              </w:rPr>
              <w:t>Name</w:t>
            </w:r>
          </w:p>
        </w:tc>
        <w:tc>
          <w:tcPr>
            <w:tcW w:w="732" w:type="pct"/>
            <w:shd w:val="clear" w:color="auto" w:fill="C0C0C0"/>
          </w:tcPr>
          <w:p w14:paraId="5D18E32D" w14:textId="77777777" w:rsidR="00A10B25" w:rsidRDefault="00A10B25">
            <w:pPr>
              <w:keepNext/>
              <w:keepLines/>
              <w:spacing w:after="0"/>
              <w:jc w:val="center"/>
              <w:rPr>
                <w:rFonts w:ascii="Arial" w:hAnsi="Arial"/>
                <w:b/>
                <w:sz w:val="18"/>
              </w:rPr>
            </w:pPr>
            <w:r>
              <w:rPr>
                <w:rFonts w:ascii="Arial" w:hAnsi="Arial"/>
                <w:b/>
                <w:sz w:val="18"/>
              </w:rPr>
              <w:t>Data type</w:t>
            </w:r>
          </w:p>
        </w:tc>
        <w:tc>
          <w:tcPr>
            <w:tcW w:w="217" w:type="pct"/>
            <w:shd w:val="clear" w:color="auto" w:fill="C0C0C0"/>
          </w:tcPr>
          <w:p w14:paraId="1ED018EE" w14:textId="77777777" w:rsidR="00A10B25" w:rsidRDefault="00A10B25">
            <w:pPr>
              <w:keepNext/>
              <w:keepLines/>
              <w:spacing w:after="0"/>
              <w:jc w:val="center"/>
              <w:rPr>
                <w:rFonts w:ascii="Arial" w:hAnsi="Arial"/>
                <w:b/>
                <w:sz w:val="18"/>
              </w:rPr>
            </w:pPr>
            <w:r>
              <w:rPr>
                <w:rFonts w:ascii="Arial" w:hAnsi="Arial"/>
                <w:b/>
                <w:sz w:val="18"/>
              </w:rPr>
              <w:t>P</w:t>
            </w:r>
          </w:p>
        </w:tc>
        <w:tc>
          <w:tcPr>
            <w:tcW w:w="581" w:type="pct"/>
            <w:shd w:val="clear" w:color="auto" w:fill="C0C0C0"/>
          </w:tcPr>
          <w:p w14:paraId="3059254C" w14:textId="77777777" w:rsidR="00A10B25" w:rsidRDefault="00A10B25">
            <w:pPr>
              <w:keepNext/>
              <w:keepLines/>
              <w:spacing w:after="0"/>
              <w:jc w:val="center"/>
              <w:rPr>
                <w:rFonts w:ascii="Arial" w:hAnsi="Arial"/>
                <w:b/>
                <w:sz w:val="18"/>
              </w:rPr>
            </w:pPr>
            <w:r>
              <w:rPr>
                <w:rFonts w:ascii="Arial" w:hAnsi="Arial"/>
                <w:b/>
                <w:sz w:val="18"/>
              </w:rPr>
              <w:t>Cardinality</w:t>
            </w:r>
          </w:p>
        </w:tc>
        <w:tc>
          <w:tcPr>
            <w:tcW w:w="2645" w:type="pct"/>
            <w:shd w:val="clear" w:color="auto" w:fill="C0C0C0"/>
            <w:vAlign w:val="center"/>
          </w:tcPr>
          <w:p w14:paraId="66F8AF58"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36B320B0" w14:textId="77777777">
        <w:trPr>
          <w:jc w:val="center"/>
        </w:trPr>
        <w:tc>
          <w:tcPr>
            <w:tcW w:w="825" w:type="pct"/>
          </w:tcPr>
          <w:p w14:paraId="59FA62DA" w14:textId="77777777" w:rsidR="00A10B25" w:rsidRDefault="00A10B25">
            <w:pPr>
              <w:keepNext/>
              <w:keepLines/>
              <w:spacing w:after="0"/>
              <w:rPr>
                <w:rFonts w:ascii="Arial" w:hAnsi="Arial"/>
                <w:sz w:val="18"/>
              </w:rPr>
            </w:pPr>
            <w:r>
              <w:rPr>
                <w:rFonts w:ascii="Arial" w:hAnsi="Arial"/>
                <w:sz w:val="18"/>
              </w:rPr>
              <w:t>Location</w:t>
            </w:r>
          </w:p>
        </w:tc>
        <w:tc>
          <w:tcPr>
            <w:tcW w:w="732" w:type="pct"/>
          </w:tcPr>
          <w:p w14:paraId="75AF3E5A" w14:textId="77777777" w:rsidR="00A10B25" w:rsidRDefault="00A10B25">
            <w:pPr>
              <w:keepNext/>
              <w:keepLines/>
              <w:spacing w:after="0"/>
              <w:rPr>
                <w:rFonts w:ascii="Arial" w:hAnsi="Arial"/>
                <w:sz w:val="18"/>
              </w:rPr>
            </w:pPr>
            <w:r>
              <w:rPr>
                <w:rFonts w:ascii="Arial" w:hAnsi="Arial"/>
                <w:sz w:val="18"/>
              </w:rPr>
              <w:t>string</w:t>
            </w:r>
          </w:p>
        </w:tc>
        <w:tc>
          <w:tcPr>
            <w:tcW w:w="217" w:type="pct"/>
          </w:tcPr>
          <w:p w14:paraId="5EF7F7E2" w14:textId="77777777" w:rsidR="00A10B25" w:rsidRDefault="00A10B25">
            <w:pPr>
              <w:keepNext/>
              <w:keepLines/>
              <w:spacing w:after="0"/>
              <w:jc w:val="center"/>
              <w:rPr>
                <w:rFonts w:ascii="Arial" w:hAnsi="Arial"/>
                <w:sz w:val="18"/>
              </w:rPr>
            </w:pPr>
            <w:r>
              <w:rPr>
                <w:rFonts w:ascii="Arial" w:hAnsi="Arial"/>
                <w:sz w:val="18"/>
              </w:rPr>
              <w:t>M</w:t>
            </w:r>
          </w:p>
        </w:tc>
        <w:tc>
          <w:tcPr>
            <w:tcW w:w="581" w:type="pct"/>
          </w:tcPr>
          <w:p w14:paraId="69ED763C" w14:textId="77777777" w:rsidR="00A10B25" w:rsidRDefault="00A10B25">
            <w:pPr>
              <w:keepNext/>
              <w:keepLines/>
              <w:spacing w:after="0"/>
              <w:rPr>
                <w:rFonts w:ascii="Arial" w:hAnsi="Arial"/>
                <w:sz w:val="18"/>
              </w:rPr>
            </w:pPr>
            <w:r>
              <w:rPr>
                <w:rFonts w:ascii="Arial" w:hAnsi="Arial"/>
                <w:sz w:val="18"/>
              </w:rPr>
              <w:t>1</w:t>
            </w:r>
          </w:p>
        </w:tc>
        <w:tc>
          <w:tcPr>
            <w:tcW w:w="2645" w:type="pct"/>
            <w:vAlign w:val="center"/>
          </w:tcPr>
          <w:p w14:paraId="55DDD388" w14:textId="77777777" w:rsidR="00A10B25" w:rsidRDefault="00A10B25">
            <w:pPr>
              <w:keepNext/>
              <w:keepLines/>
              <w:spacing w:after="0"/>
              <w:rPr>
                <w:rFonts w:ascii="Arial" w:hAnsi="Arial"/>
                <w:sz w:val="18"/>
              </w:rPr>
            </w:pPr>
            <w:r>
              <w:rPr>
                <w:rFonts w:ascii="Arial" w:hAnsi="Arial"/>
                <w:sz w:val="18"/>
              </w:rPr>
              <w:t xml:space="preserve">Contains an alternative URI </w:t>
            </w:r>
            <w:r>
              <w:rPr>
                <w:rFonts w:ascii="Arial" w:hAnsi="Arial"/>
                <w:sz w:val="18"/>
                <w:lang w:eastAsia="fr-FR"/>
              </w:rPr>
              <w:t>representing the end point of an alternative NF consumer (service) instance towards which the notification is redirected</w:t>
            </w:r>
            <w:r>
              <w:rPr>
                <w:rFonts w:ascii="Arial" w:hAnsi="Arial"/>
                <w:sz w:val="18"/>
              </w:rPr>
              <w:t>.</w:t>
            </w:r>
          </w:p>
          <w:p w14:paraId="3A08EC49" w14:textId="77777777" w:rsidR="00A10B25" w:rsidRDefault="00A10B25">
            <w:pPr>
              <w:keepNext/>
              <w:keepLines/>
              <w:spacing w:after="0"/>
              <w:rPr>
                <w:rFonts w:ascii="Arial" w:hAnsi="Arial"/>
                <w:sz w:val="18"/>
              </w:rPr>
            </w:pPr>
          </w:p>
          <w:p w14:paraId="035D8B3C" w14:textId="77777777" w:rsidR="00A10B25" w:rsidRDefault="00A10B25">
            <w:pPr>
              <w:keepNext/>
              <w:keepLines/>
              <w:spacing w:after="0"/>
              <w:rPr>
                <w:rFonts w:ascii="Arial" w:hAnsi="Arial"/>
                <w:sz w:val="18"/>
              </w:rPr>
            </w:pPr>
            <w:r>
              <w:rPr>
                <w:rFonts w:ascii="Arial" w:hAnsi="Arial"/>
                <w:sz w:val="18"/>
              </w:rPr>
              <w:t>For the case where the notification is redirected to the same target via a different SCP or SEPP, refer to clause 6.10.9.1 of 3GPP TS 29.500 [6].</w:t>
            </w:r>
          </w:p>
        </w:tc>
      </w:tr>
      <w:tr w:rsidR="00A10B25" w14:paraId="760D7EF4" w14:textId="77777777">
        <w:trPr>
          <w:jc w:val="center"/>
        </w:trPr>
        <w:tc>
          <w:tcPr>
            <w:tcW w:w="825" w:type="pct"/>
          </w:tcPr>
          <w:p w14:paraId="10F9DA01" w14:textId="77777777" w:rsidR="00A10B25" w:rsidRDefault="00A10B25">
            <w:pPr>
              <w:keepNext/>
              <w:keepLines/>
              <w:spacing w:after="0"/>
              <w:rPr>
                <w:rFonts w:ascii="Arial" w:hAnsi="Arial"/>
                <w:sz w:val="18"/>
              </w:rPr>
            </w:pPr>
            <w:r>
              <w:rPr>
                <w:rFonts w:ascii="Arial" w:hAnsi="Arial"/>
                <w:sz w:val="18"/>
                <w:lang w:eastAsia="zh-CN"/>
              </w:rPr>
              <w:t>3gpp-Sbi-Target-Nf-Id</w:t>
            </w:r>
          </w:p>
        </w:tc>
        <w:tc>
          <w:tcPr>
            <w:tcW w:w="732" w:type="pct"/>
          </w:tcPr>
          <w:p w14:paraId="5C2D1893" w14:textId="77777777" w:rsidR="00A10B25" w:rsidRDefault="00A10B25">
            <w:pPr>
              <w:keepNext/>
              <w:keepLines/>
              <w:spacing w:after="0"/>
              <w:rPr>
                <w:rFonts w:ascii="Arial" w:hAnsi="Arial"/>
                <w:sz w:val="18"/>
              </w:rPr>
            </w:pPr>
            <w:r>
              <w:rPr>
                <w:rFonts w:ascii="Arial" w:hAnsi="Arial"/>
                <w:sz w:val="18"/>
                <w:lang w:eastAsia="fr-FR"/>
              </w:rPr>
              <w:t>string</w:t>
            </w:r>
          </w:p>
        </w:tc>
        <w:tc>
          <w:tcPr>
            <w:tcW w:w="217" w:type="pct"/>
          </w:tcPr>
          <w:p w14:paraId="4914B2CB" w14:textId="77777777" w:rsidR="00A10B25" w:rsidRDefault="00A10B25">
            <w:pPr>
              <w:keepNext/>
              <w:keepLines/>
              <w:spacing w:after="0"/>
              <w:jc w:val="center"/>
              <w:rPr>
                <w:rFonts w:ascii="Arial" w:hAnsi="Arial"/>
                <w:sz w:val="18"/>
              </w:rPr>
            </w:pPr>
            <w:r>
              <w:rPr>
                <w:rFonts w:ascii="Arial" w:hAnsi="Arial"/>
                <w:sz w:val="18"/>
                <w:lang w:eastAsia="fr-FR"/>
              </w:rPr>
              <w:t>O</w:t>
            </w:r>
          </w:p>
        </w:tc>
        <w:tc>
          <w:tcPr>
            <w:tcW w:w="581" w:type="pct"/>
          </w:tcPr>
          <w:p w14:paraId="3A1BE519" w14:textId="77777777" w:rsidR="00A10B25" w:rsidRDefault="00A10B25">
            <w:pPr>
              <w:keepNext/>
              <w:keepLines/>
              <w:spacing w:after="0"/>
              <w:rPr>
                <w:rFonts w:ascii="Arial" w:hAnsi="Arial"/>
                <w:sz w:val="18"/>
              </w:rPr>
            </w:pPr>
            <w:r>
              <w:rPr>
                <w:rFonts w:ascii="Arial" w:hAnsi="Arial"/>
                <w:sz w:val="18"/>
                <w:lang w:eastAsia="fr-FR"/>
              </w:rPr>
              <w:t>0..1</w:t>
            </w:r>
          </w:p>
        </w:tc>
        <w:tc>
          <w:tcPr>
            <w:tcW w:w="2645" w:type="pct"/>
            <w:vAlign w:val="center"/>
          </w:tcPr>
          <w:p w14:paraId="5B30B145" w14:textId="77777777" w:rsidR="00A10B25" w:rsidRDefault="00A10B25">
            <w:pPr>
              <w:keepNext/>
              <w:keepLines/>
              <w:spacing w:after="0"/>
              <w:rPr>
                <w:rFonts w:ascii="Arial" w:hAnsi="Arial"/>
                <w:sz w:val="18"/>
              </w:rPr>
            </w:pPr>
            <w:r>
              <w:rPr>
                <w:rFonts w:ascii="Arial" w:hAnsi="Arial"/>
                <w:sz w:val="18"/>
                <w:lang w:eastAsia="fr-FR"/>
              </w:rPr>
              <w:t>Identifier of the target NF (service) instance towards which the notification request is redirected.</w:t>
            </w:r>
          </w:p>
        </w:tc>
      </w:tr>
    </w:tbl>
    <w:p w14:paraId="7ECC3D24" w14:textId="77777777" w:rsidR="00A10B25" w:rsidRDefault="00A10B25">
      <w:pPr>
        <w:rPr>
          <w:lang w:val="en-US" w:eastAsia="zh-CN"/>
        </w:rPr>
      </w:pPr>
    </w:p>
    <w:p w14:paraId="7C527A7F" w14:textId="77777777" w:rsidR="00A10B25" w:rsidRDefault="00A10B25" w:rsidP="0076721C">
      <w:pPr>
        <w:pStyle w:val="3"/>
        <w:rPr>
          <w:lang w:val="en-US"/>
        </w:rPr>
      </w:pPr>
      <w:bookmarkStart w:id="16548" w:name="_Toc164921274"/>
      <w:bookmarkStart w:id="16549" w:name="_Toc170120816"/>
      <w:bookmarkStart w:id="16550" w:name="_Toc175859061"/>
      <w:bookmarkStart w:id="16551" w:name="_Toc175860136"/>
      <w:bookmarkStart w:id="16552" w:name="_Toc180606426"/>
      <w:bookmarkStart w:id="16553" w:name="_Toc185517687"/>
      <w:bookmarkStart w:id="16554" w:name="_Toc191576739"/>
      <w:bookmarkStart w:id="16555" w:name="_Toc191577479"/>
      <w:bookmarkStart w:id="16556" w:name="_Toc192880549"/>
      <w:bookmarkStart w:id="16557" w:name="_Toc195815438"/>
      <w:bookmarkStart w:id="16558" w:name="_Toc199453405"/>
      <w:r>
        <w:rPr>
          <w:lang w:val="en-US"/>
        </w:rPr>
        <w:t>5.8.6</w:t>
      </w:r>
      <w:r>
        <w:rPr>
          <w:lang w:val="en-US"/>
        </w:rPr>
        <w:tab/>
        <w:t>Data Model</w:t>
      </w:r>
      <w:bookmarkEnd w:id="16548"/>
      <w:bookmarkEnd w:id="16549"/>
      <w:bookmarkEnd w:id="16550"/>
      <w:bookmarkEnd w:id="16551"/>
      <w:bookmarkEnd w:id="16552"/>
      <w:bookmarkEnd w:id="16553"/>
      <w:bookmarkEnd w:id="16554"/>
      <w:bookmarkEnd w:id="16555"/>
      <w:bookmarkEnd w:id="16556"/>
      <w:bookmarkEnd w:id="16557"/>
      <w:bookmarkEnd w:id="16558"/>
    </w:p>
    <w:p w14:paraId="0332540D" w14:textId="77777777" w:rsidR="00A10B25" w:rsidRDefault="00A10B25" w:rsidP="0076721C">
      <w:pPr>
        <w:pStyle w:val="4"/>
      </w:pPr>
      <w:bookmarkStart w:id="16559" w:name="_Toc164921275"/>
      <w:bookmarkStart w:id="16560" w:name="_Toc170120817"/>
      <w:bookmarkStart w:id="16561" w:name="_Toc175859062"/>
      <w:bookmarkStart w:id="16562" w:name="_Toc175860137"/>
      <w:bookmarkStart w:id="16563" w:name="_Toc180606427"/>
      <w:bookmarkStart w:id="16564" w:name="_Toc185517688"/>
      <w:bookmarkStart w:id="16565" w:name="_Toc191576740"/>
      <w:bookmarkStart w:id="16566" w:name="_Toc191577480"/>
      <w:bookmarkStart w:id="16567" w:name="_Toc192880550"/>
      <w:bookmarkStart w:id="16568" w:name="_Toc195815439"/>
      <w:bookmarkStart w:id="16569" w:name="_Toc199453406"/>
      <w:r>
        <w:t>5.8.6.1</w:t>
      </w:r>
      <w:r>
        <w:tab/>
        <w:t>General</w:t>
      </w:r>
      <w:bookmarkEnd w:id="16559"/>
      <w:bookmarkEnd w:id="16560"/>
      <w:bookmarkEnd w:id="16561"/>
      <w:bookmarkEnd w:id="16562"/>
      <w:bookmarkEnd w:id="16563"/>
      <w:bookmarkEnd w:id="16564"/>
      <w:bookmarkEnd w:id="16565"/>
      <w:bookmarkEnd w:id="16566"/>
      <w:bookmarkEnd w:id="16567"/>
      <w:bookmarkEnd w:id="16568"/>
      <w:bookmarkEnd w:id="16569"/>
    </w:p>
    <w:p w14:paraId="3CCF1837" w14:textId="77777777" w:rsidR="00A10B25" w:rsidRDefault="00A10B25">
      <w:r>
        <w:t>This clause specifies the application data model supported by the API.</w:t>
      </w:r>
    </w:p>
    <w:p w14:paraId="6FE0D73D" w14:textId="77777777" w:rsidR="00A10B25" w:rsidRDefault="00A10B25">
      <w:r>
        <w:t>Table 5.8.6.1-1 specifies the data types defined for the Nnwdaf_RoamingAnalytics service based interface protocol.</w:t>
      </w:r>
    </w:p>
    <w:p w14:paraId="1FAE272A" w14:textId="77777777" w:rsidR="00A10B25" w:rsidRDefault="00A10B25" w:rsidP="0076721C">
      <w:pPr>
        <w:pStyle w:val="TH"/>
      </w:pPr>
      <w:r>
        <w:t>Table 5.8.6.1-1: Nnwdaf_</w:t>
      </w:r>
      <w:r>
        <w:rPr>
          <w:lang w:eastAsia="ja-JP"/>
        </w:rPr>
        <w:t>RoamingAnalytics</w:t>
      </w:r>
      <w:r>
        <w:t xml:space="preserve"> specific Data Types</w:t>
      </w:r>
    </w:p>
    <w:tbl>
      <w:tblPr>
        <w:tblW w:w="942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98"/>
        <w:gridCol w:w="1324"/>
        <w:gridCol w:w="2955"/>
        <w:gridCol w:w="1947"/>
      </w:tblGrid>
      <w:tr w:rsidR="00A10B25" w14:paraId="59F1531B" w14:textId="77777777">
        <w:trPr>
          <w:jc w:val="center"/>
        </w:trPr>
        <w:tc>
          <w:tcPr>
            <w:tcW w:w="3198" w:type="dxa"/>
            <w:shd w:val="clear" w:color="auto" w:fill="C0C0C0"/>
          </w:tcPr>
          <w:p w14:paraId="77212E3A" w14:textId="77777777" w:rsidR="00A10B25" w:rsidRDefault="00A10B25">
            <w:pPr>
              <w:keepNext/>
              <w:keepLines/>
              <w:spacing w:after="0"/>
              <w:jc w:val="center"/>
              <w:rPr>
                <w:rFonts w:ascii="Arial" w:hAnsi="Arial"/>
                <w:b/>
                <w:sz w:val="18"/>
              </w:rPr>
            </w:pPr>
            <w:r>
              <w:rPr>
                <w:rFonts w:ascii="Arial" w:hAnsi="Arial"/>
                <w:b/>
                <w:sz w:val="18"/>
              </w:rPr>
              <w:t>Data type</w:t>
            </w:r>
          </w:p>
        </w:tc>
        <w:tc>
          <w:tcPr>
            <w:tcW w:w="1324" w:type="dxa"/>
            <w:shd w:val="clear" w:color="auto" w:fill="C0C0C0"/>
          </w:tcPr>
          <w:p w14:paraId="4EF75B35" w14:textId="77777777" w:rsidR="00A10B25" w:rsidRDefault="00A10B25">
            <w:pPr>
              <w:keepNext/>
              <w:keepLines/>
              <w:spacing w:after="0"/>
              <w:jc w:val="center"/>
              <w:rPr>
                <w:rFonts w:ascii="Arial" w:hAnsi="Arial"/>
                <w:b/>
                <w:sz w:val="18"/>
              </w:rPr>
            </w:pPr>
            <w:r>
              <w:rPr>
                <w:rFonts w:ascii="Arial" w:hAnsi="Arial"/>
                <w:b/>
                <w:sz w:val="18"/>
              </w:rPr>
              <w:t>Clause defined</w:t>
            </w:r>
          </w:p>
        </w:tc>
        <w:tc>
          <w:tcPr>
            <w:tcW w:w="2955" w:type="dxa"/>
            <w:shd w:val="clear" w:color="auto" w:fill="C0C0C0"/>
          </w:tcPr>
          <w:p w14:paraId="0272EF14" w14:textId="77777777" w:rsidR="00A10B25" w:rsidRDefault="00A10B25">
            <w:pPr>
              <w:keepNext/>
              <w:keepLines/>
              <w:spacing w:after="0"/>
              <w:jc w:val="center"/>
              <w:rPr>
                <w:rFonts w:ascii="Arial" w:hAnsi="Arial"/>
                <w:b/>
                <w:sz w:val="18"/>
              </w:rPr>
            </w:pPr>
            <w:r>
              <w:rPr>
                <w:rFonts w:ascii="Arial" w:hAnsi="Arial"/>
                <w:b/>
                <w:sz w:val="18"/>
              </w:rPr>
              <w:t>Description</w:t>
            </w:r>
          </w:p>
        </w:tc>
        <w:tc>
          <w:tcPr>
            <w:tcW w:w="1947" w:type="dxa"/>
            <w:shd w:val="clear" w:color="auto" w:fill="C0C0C0"/>
          </w:tcPr>
          <w:p w14:paraId="0E4A782F"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6EB0E21F" w14:textId="77777777">
        <w:trPr>
          <w:jc w:val="center"/>
        </w:trPr>
        <w:tc>
          <w:tcPr>
            <w:tcW w:w="3198" w:type="dxa"/>
          </w:tcPr>
          <w:p w14:paraId="1A0E0DD9" w14:textId="77777777" w:rsidR="00A10B25" w:rsidRDefault="00A10B25">
            <w:pPr>
              <w:keepNext/>
              <w:keepLines/>
              <w:spacing w:after="0"/>
              <w:rPr>
                <w:rFonts w:ascii="Arial" w:eastAsia="等线" w:hAnsi="Arial"/>
                <w:sz w:val="18"/>
              </w:rPr>
            </w:pPr>
            <w:r>
              <w:rPr>
                <w:rFonts w:ascii="Arial" w:eastAsia="等线" w:hAnsi="Arial"/>
                <w:sz w:val="18"/>
              </w:rPr>
              <w:t>RoamingAnalyticsSubscription</w:t>
            </w:r>
          </w:p>
        </w:tc>
        <w:tc>
          <w:tcPr>
            <w:tcW w:w="1324" w:type="dxa"/>
          </w:tcPr>
          <w:p w14:paraId="28360BE9" w14:textId="77777777" w:rsidR="00A10B25" w:rsidRDefault="00A10B25">
            <w:pPr>
              <w:keepNext/>
              <w:keepLines/>
              <w:spacing w:after="0"/>
              <w:rPr>
                <w:rFonts w:ascii="Arial" w:hAnsi="Arial"/>
                <w:sz w:val="18"/>
              </w:rPr>
            </w:pPr>
            <w:r>
              <w:rPr>
                <w:rFonts w:ascii="Arial" w:hAnsi="Arial"/>
                <w:sz w:val="18"/>
              </w:rPr>
              <w:t>5.8.6.2.2</w:t>
            </w:r>
          </w:p>
        </w:tc>
        <w:tc>
          <w:tcPr>
            <w:tcW w:w="2955" w:type="dxa"/>
          </w:tcPr>
          <w:p w14:paraId="3C73A776" w14:textId="77777777" w:rsidR="00A10B25" w:rsidRDefault="00A10B25">
            <w:pPr>
              <w:keepNext/>
              <w:keepLines/>
              <w:spacing w:after="0"/>
              <w:rPr>
                <w:rFonts w:ascii="Arial" w:hAnsi="Arial"/>
                <w:sz w:val="18"/>
                <w:lang w:eastAsia="zh-CN"/>
              </w:rPr>
            </w:pPr>
            <w:r>
              <w:rPr>
                <w:rFonts w:ascii="Arial" w:eastAsia="等线" w:hAnsi="Arial"/>
                <w:sz w:val="18"/>
              </w:rPr>
              <w:t>Roaming Analytics Subscription.</w:t>
            </w:r>
          </w:p>
        </w:tc>
        <w:tc>
          <w:tcPr>
            <w:tcW w:w="1947" w:type="dxa"/>
          </w:tcPr>
          <w:p w14:paraId="3BEC2E16" w14:textId="77777777" w:rsidR="00A10B25" w:rsidRDefault="00A10B25">
            <w:pPr>
              <w:keepNext/>
              <w:keepLines/>
              <w:spacing w:after="0"/>
              <w:rPr>
                <w:rFonts w:ascii="Arial" w:hAnsi="Arial" w:cs="Arial"/>
                <w:sz w:val="18"/>
                <w:szCs w:val="18"/>
              </w:rPr>
            </w:pPr>
          </w:p>
        </w:tc>
      </w:tr>
      <w:tr w:rsidR="00A10B25" w14:paraId="007479D2" w14:textId="77777777">
        <w:trPr>
          <w:jc w:val="center"/>
        </w:trPr>
        <w:tc>
          <w:tcPr>
            <w:tcW w:w="3198" w:type="dxa"/>
          </w:tcPr>
          <w:p w14:paraId="12DFC131" w14:textId="77777777" w:rsidR="00A10B25" w:rsidRDefault="00A10B25">
            <w:pPr>
              <w:keepNext/>
              <w:keepLines/>
              <w:spacing w:after="0"/>
              <w:rPr>
                <w:rFonts w:ascii="Arial" w:eastAsia="等线" w:hAnsi="Arial"/>
                <w:sz w:val="18"/>
              </w:rPr>
            </w:pPr>
            <w:r>
              <w:rPr>
                <w:rFonts w:ascii="Arial" w:eastAsia="等线" w:hAnsi="Arial"/>
                <w:sz w:val="18"/>
              </w:rPr>
              <w:t>RoamingAnalyticsNotification</w:t>
            </w:r>
          </w:p>
        </w:tc>
        <w:tc>
          <w:tcPr>
            <w:tcW w:w="1324" w:type="dxa"/>
          </w:tcPr>
          <w:p w14:paraId="2D032714" w14:textId="77777777" w:rsidR="00A10B25" w:rsidRDefault="00A10B25">
            <w:pPr>
              <w:keepNext/>
              <w:keepLines/>
              <w:spacing w:after="0"/>
              <w:rPr>
                <w:rFonts w:ascii="Arial" w:hAnsi="Arial"/>
                <w:sz w:val="18"/>
              </w:rPr>
            </w:pPr>
            <w:r>
              <w:rPr>
                <w:rFonts w:ascii="Arial" w:hAnsi="Arial"/>
                <w:sz w:val="18"/>
              </w:rPr>
              <w:t>5.8.6.2.3</w:t>
            </w:r>
          </w:p>
        </w:tc>
        <w:tc>
          <w:tcPr>
            <w:tcW w:w="2955" w:type="dxa"/>
          </w:tcPr>
          <w:p w14:paraId="6CFEFF88" w14:textId="77777777" w:rsidR="00A10B25" w:rsidRDefault="00A10B25">
            <w:pPr>
              <w:keepNext/>
              <w:keepLines/>
              <w:spacing w:after="0"/>
              <w:rPr>
                <w:rFonts w:ascii="Arial" w:hAnsi="Arial"/>
                <w:sz w:val="18"/>
                <w:lang w:eastAsia="zh-CN"/>
              </w:rPr>
            </w:pPr>
            <w:r>
              <w:rPr>
                <w:rFonts w:ascii="Arial" w:eastAsia="等线" w:hAnsi="Arial"/>
                <w:sz w:val="18"/>
              </w:rPr>
              <w:t>Roaming Analytics Notification.</w:t>
            </w:r>
          </w:p>
        </w:tc>
        <w:tc>
          <w:tcPr>
            <w:tcW w:w="1947" w:type="dxa"/>
          </w:tcPr>
          <w:p w14:paraId="0D9DF95F" w14:textId="77777777" w:rsidR="00A10B25" w:rsidRDefault="00A10B25">
            <w:pPr>
              <w:keepNext/>
              <w:keepLines/>
              <w:spacing w:after="0"/>
              <w:rPr>
                <w:rFonts w:ascii="Arial" w:hAnsi="Arial" w:cs="Arial"/>
                <w:sz w:val="18"/>
                <w:szCs w:val="18"/>
              </w:rPr>
            </w:pPr>
          </w:p>
        </w:tc>
      </w:tr>
    </w:tbl>
    <w:p w14:paraId="0F722BA2" w14:textId="77777777" w:rsidR="00A10B25" w:rsidRDefault="00A10B25"/>
    <w:p w14:paraId="2A009E20" w14:textId="77777777" w:rsidR="00A10B25" w:rsidRDefault="00A10B25">
      <w:r>
        <w:t xml:space="preserve">Table 5.8.6.1-2 specifies data types re-used by the Nnwdaf_RoamingAnalytics service based interface protocol from other specifications, including a reference to their respective specifications and when needed, a short description of their use within the Nnwdaf_RoamingAnalytics service based interface. </w:t>
      </w:r>
    </w:p>
    <w:p w14:paraId="74BF0069" w14:textId="77777777" w:rsidR="00A10B25" w:rsidRDefault="00A10B25" w:rsidP="0076721C">
      <w:pPr>
        <w:pStyle w:val="TH"/>
      </w:pPr>
      <w:r>
        <w:lastRenderedPageBreak/>
        <w:t>Table 5.8.6.1-2: Nnwdaf_</w:t>
      </w:r>
      <w:r>
        <w:rPr>
          <w:lang w:eastAsia="ja-JP"/>
        </w:rPr>
        <w:t>RoamingAnalytics</w:t>
      </w:r>
      <w:r>
        <w:t xml:space="preserve"> re-used Data Types</w:t>
      </w:r>
    </w:p>
    <w:tbl>
      <w:tblPr>
        <w:tblW w:w="942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178"/>
        <w:gridCol w:w="2058"/>
        <w:gridCol w:w="2449"/>
        <w:gridCol w:w="1739"/>
      </w:tblGrid>
      <w:tr w:rsidR="00A10B25" w14:paraId="4E8DE1C7" w14:textId="77777777">
        <w:trPr>
          <w:jc w:val="center"/>
        </w:trPr>
        <w:tc>
          <w:tcPr>
            <w:tcW w:w="3178" w:type="dxa"/>
            <w:shd w:val="clear" w:color="auto" w:fill="C0C0C0"/>
          </w:tcPr>
          <w:p w14:paraId="5E7FA8FA" w14:textId="77777777" w:rsidR="00A10B25" w:rsidRDefault="00A10B25">
            <w:pPr>
              <w:keepNext/>
              <w:keepLines/>
              <w:spacing w:after="0"/>
              <w:jc w:val="center"/>
              <w:rPr>
                <w:rFonts w:ascii="Arial" w:hAnsi="Arial"/>
                <w:b/>
                <w:sz w:val="18"/>
              </w:rPr>
            </w:pPr>
            <w:r>
              <w:rPr>
                <w:rFonts w:ascii="Arial" w:hAnsi="Arial"/>
                <w:b/>
                <w:sz w:val="18"/>
              </w:rPr>
              <w:t>Data type</w:t>
            </w:r>
          </w:p>
        </w:tc>
        <w:tc>
          <w:tcPr>
            <w:tcW w:w="2058" w:type="dxa"/>
            <w:shd w:val="clear" w:color="auto" w:fill="C0C0C0"/>
          </w:tcPr>
          <w:p w14:paraId="6282658C" w14:textId="77777777" w:rsidR="00A10B25" w:rsidRDefault="00A10B25">
            <w:pPr>
              <w:keepNext/>
              <w:keepLines/>
              <w:spacing w:after="0"/>
              <w:jc w:val="center"/>
              <w:rPr>
                <w:rFonts w:ascii="Arial" w:hAnsi="Arial"/>
                <w:b/>
                <w:sz w:val="18"/>
              </w:rPr>
            </w:pPr>
            <w:r>
              <w:rPr>
                <w:rFonts w:ascii="Arial" w:hAnsi="Arial"/>
                <w:b/>
                <w:sz w:val="18"/>
              </w:rPr>
              <w:t>Reference</w:t>
            </w:r>
          </w:p>
        </w:tc>
        <w:tc>
          <w:tcPr>
            <w:tcW w:w="2449" w:type="dxa"/>
            <w:shd w:val="clear" w:color="auto" w:fill="C0C0C0"/>
          </w:tcPr>
          <w:p w14:paraId="3F7E86D3" w14:textId="77777777" w:rsidR="00A10B25" w:rsidRDefault="00A10B25">
            <w:pPr>
              <w:keepNext/>
              <w:keepLines/>
              <w:spacing w:after="0"/>
              <w:jc w:val="center"/>
              <w:rPr>
                <w:rFonts w:ascii="Arial" w:hAnsi="Arial"/>
                <w:b/>
                <w:sz w:val="18"/>
              </w:rPr>
            </w:pPr>
            <w:r>
              <w:rPr>
                <w:rFonts w:ascii="Arial" w:hAnsi="Arial"/>
                <w:b/>
                <w:sz w:val="18"/>
              </w:rPr>
              <w:t>Comments</w:t>
            </w:r>
          </w:p>
        </w:tc>
        <w:tc>
          <w:tcPr>
            <w:tcW w:w="1739" w:type="dxa"/>
            <w:shd w:val="clear" w:color="auto" w:fill="C0C0C0"/>
          </w:tcPr>
          <w:p w14:paraId="740713C2" w14:textId="77777777" w:rsidR="00A10B25" w:rsidRDefault="00A10B25">
            <w:pPr>
              <w:keepNext/>
              <w:keepLines/>
              <w:spacing w:after="0"/>
              <w:jc w:val="center"/>
              <w:rPr>
                <w:rFonts w:ascii="Arial" w:hAnsi="Arial"/>
                <w:b/>
                <w:sz w:val="18"/>
              </w:rPr>
            </w:pPr>
            <w:r>
              <w:rPr>
                <w:rFonts w:ascii="Arial" w:hAnsi="Arial"/>
                <w:b/>
                <w:sz w:val="18"/>
              </w:rPr>
              <w:t>Applicability</w:t>
            </w:r>
          </w:p>
        </w:tc>
      </w:tr>
      <w:tr w:rsidR="00A10B25" w14:paraId="04FE83F1" w14:textId="77777777">
        <w:trPr>
          <w:jc w:val="center"/>
        </w:trPr>
        <w:tc>
          <w:tcPr>
            <w:tcW w:w="3178" w:type="dxa"/>
          </w:tcPr>
          <w:p w14:paraId="341B6324" w14:textId="77777777" w:rsidR="00A10B25" w:rsidRDefault="00A10B25">
            <w:pPr>
              <w:keepNext/>
              <w:keepLines/>
              <w:spacing w:after="0"/>
              <w:rPr>
                <w:rFonts w:ascii="Arial" w:hAnsi="Arial"/>
                <w:sz w:val="18"/>
              </w:rPr>
            </w:pPr>
            <w:r>
              <w:rPr>
                <w:rFonts w:ascii="Arial" w:hAnsi="Arial"/>
                <w:sz w:val="18"/>
              </w:rPr>
              <w:t>EventNotification</w:t>
            </w:r>
          </w:p>
        </w:tc>
        <w:tc>
          <w:tcPr>
            <w:tcW w:w="2058" w:type="dxa"/>
          </w:tcPr>
          <w:p w14:paraId="19B7195F" w14:textId="77777777" w:rsidR="00A10B25" w:rsidRDefault="00A10B25">
            <w:pPr>
              <w:keepNext/>
              <w:keepLines/>
              <w:spacing w:after="0"/>
              <w:rPr>
                <w:rFonts w:ascii="Arial" w:hAnsi="Arial" w:cs="Arial"/>
                <w:sz w:val="18"/>
              </w:rPr>
            </w:pPr>
            <w:r>
              <w:rPr>
                <w:rFonts w:ascii="Arial" w:hAnsi="Arial" w:cs="Arial"/>
                <w:sz w:val="18"/>
              </w:rPr>
              <w:t>5.1.6.2.5</w:t>
            </w:r>
          </w:p>
        </w:tc>
        <w:tc>
          <w:tcPr>
            <w:tcW w:w="2449" w:type="dxa"/>
          </w:tcPr>
          <w:p w14:paraId="20551B51" w14:textId="77777777" w:rsidR="00A10B25" w:rsidRDefault="00A10B25">
            <w:pPr>
              <w:keepNext/>
              <w:keepLines/>
              <w:spacing w:after="0"/>
              <w:rPr>
                <w:rFonts w:ascii="Arial" w:hAnsi="Arial"/>
                <w:sz w:val="18"/>
                <w:lang w:eastAsia="zh-CN"/>
              </w:rPr>
            </w:pPr>
            <w:r>
              <w:rPr>
                <w:rFonts w:ascii="Arial" w:hAnsi="Arial"/>
                <w:sz w:val="18"/>
                <w:lang w:eastAsia="zh-CN"/>
              </w:rPr>
              <w:t>Contains NWDAF events that are being notified.</w:t>
            </w:r>
          </w:p>
        </w:tc>
        <w:tc>
          <w:tcPr>
            <w:tcW w:w="1739" w:type="dxa"/>
          </w:tcPr>
          <w:p w14:paraId="7C05C90A" w14:textId="77777777" w:rsidR="00A10B25" w:rsidRDefault="00A10B25">
            <w:pPr>
              <w:keepNext/>
              <w:keepLines/>
              <w:spacing w:after="0"/>
              <w:rPr>
                <w:rFonts w:ascii="Arial" w:hAnsi="Arial" w:cs="Arial"/>
                <w:sz w:val="18"/>
                <w:szCs w:val="18"/>
              </w:rPr>
            </w:pPr>
          </w:p>
        </w:tc>
      </w:tr>
      <w:tr w:rsidR="00A10B25" w14:paraId="27D3CB9E" w14:textId="77777777">
        <w:trPr>
          <w:jc w:val="center"/>
        </w:trPr>
        <w:tc>
          <w:tcPr>
            <w:tcW w:w="3178" w:type="dxa"/>
          </w:tcPr>
          <w:p w14:paraId="3318590B" w14:textId="77777777" w:rsidR="00A10B25" w:rsidRDefault="00A10B25">
            <w:pPr>
              <w:keepNext/>
              <w:keepLines/>
              <w:spacing w:after="0"/>
              <w:rPr>
                <w:rFonts w:ascii="Arial" w:hAnsi="Arial"/>
                <w:sz w:val="18"/>
              </w:rPr>
            </w:pPr>
            <w:r>
              <w:rPr>
                <w:rFonts w:ascii="Arial" w:hAnsi="Arial"/>
                <w:sz w:val="18"/>
              </w:rPr>
              <w:t>EventSubscription</w:t>
            </w:r>
          </w:p>
        </w:tc>
        <w:tc>
          <w:tcPr>
            <w:tcW w:w="2058" w:type="dxa"/>
          </w:tcPr>
          <w:p w14:paraId="481CC014" w14:textId="77777777" w:rsidR="00A10B25" w:rsidRDefault="00A10B25">
            <w:pPr>
              <w:keepNext/>
              <w:keepLines/>
              <w:spacing w:after="0"/>
              <w:rPr>
                <w:rFonts w:ascii="Arial" w:hAnsi="Arial" w:cs="Arial"/>
                <w:sz w:val="18"/>
              </w:rPr>
            </w:pPr>
            <w:r>
              <w:rPr>
                <w:rFonts w:ascii="Arial" w:hAnsi="Arial" w:cs="Arial"/>
                <w:sz w:val="18"/>
              </w:rPr>
              <w:t>5.1.6.2.3</w:t>
            </w:r>
          </w:p>
        </w:tc>
        <w:tc>
          <w:tcPr>
            <w:tcW w:w="2449" w:type="dxa"/>
          </w:tcPr>
          <w:p w14:paraId="1201AB3E" w14:textId="77777777" w:rsidR="00A10B25" w:rsidRDefault="00A10B25">
            <w:pPr>
              <w:keepNext/>
              <w:keepLines/>
              <w:spacing w:after="0"/>
              <w:rPr>
                <w:rFonts w:ascii="Arial" w:hAnsi="Arial"/>
                <w:sz w:val="18"/>
                <w:lang w:eastAsia="zh-CN"/>
              </w:rPr>
            </w:pPr>
            <w:r>
              <w:rPr>
                <w:rFonts w:ascii="Arial" w:hAnsi="Arial"/>
                <w:sz w:val="18"/>
                <w:lang w:eastAsia="zh-CN"/>
              </w:rPr>
              <w:t>Contains NWDAF events to be subscribed.</w:t>
            </w:r>
          </w:p>
        </w:tc>
        <w:tc>
          <w:tcPr>
            <w:tcW w:w="1739" w:type="dxa"/>
          </w:tcPr>
          <w:p w14:paraId="6513132E" w14:textId="77777777" w:rsidR="00A10B25" w:rsidRDefault="00A10B25">
            <w:pPr>
              <w:keepNext/>
              <w:keepLines/>
              <w:spacing w:after="0"/>
              <w:rPr>
                <w:rFonts w:ascii="Arial" w:hAnsi="Arial" w:cs="Arial"/>
                <w:sz w:val="18"/>
                <w:szCs w:val="18"/>
              </w:rPr>
            </w:pPr>
          </w:p>
        </w:tc>
      </w:tr>
      <w:tr w:rsidR="00A10B25" w14:paraId="2B17E12E" w14:textId="77777777">
        <w:trPr>
          <w:jc w:val="center"/>
        </w:trPr>
        <w:tc>
          <w:tcPr>
            <w:tcW w:w="3178" w:type="dxa"/>
          </w:tcPr>
          <w:p w14:paraId="03372233" w14:textId="77777777" w:rsidR="00A10B25" w:rsidRDefault="00A10B25">
            <w:pPr>
              <w:keepNext/>
              <w:keepLines/>
              <w:spacing w:after="0"/>
              <w:rPr>
                <w:rFonts w:ascii="Arial" w:hAnsi="Arial"/>
                <w:sz w:val="18"/>
              </w:rPr>
            </w:pPr>
            <w:r>
              <w:rPr>
                <w:rFonts w:ascii="Arial" w:hAnsi="Arial"/>
                <w:sz w:val="18"/>
              </w:rPr>
              <w:t>FailureEventInfo</w:t>
            </w:r>
          </w:p>
        </w:tc>
        <w:tc>
          <w:tcPr>
            <w:tcW w:w="2058" w:type="dxa"/>
          </w:tcPr>
          <w:p w14:paraId="7527C209" w14:textId="77777777" w:rsidR="00A10B25" w:rsidRDefault="00A10B25">
            <w:pPr>
              <w:keepNext/>
              <w:keepLines/>
              <w:spacing w:after="0"/>
              <w:rPr>
                <w:rFonts w:ascii="Arial" w:hAnsi="Arial" w:cs="Arial"/>
                <w:sz w:val="18"/>
              </w:rPr>
            </w:pPr>
            <w:r>
              <w:rPr>
                <w:rFonts w:ascii="Arial" w:hAnsi="Arial" w:cs="Arial"/>
                <w:sz w:val="18"/>
              </w:rPr>
              <w:t>5.1.6.2.35</w:t>
            </w:r>
          </w:p>
        </w:tc>
        <w:tc>
          <w:tcPr>
            <w:tcW w:w="2449" w:type="dxa"/>
          </w:tcPr>
          <w:p w14:paraId="114BC65D" w14:textId="77777777" w:rsidR="00A10B25" w:rsidRDefault="00A10B25">
            <w:pPr>
              <w:keepNext/>
              <w:keepLines/>
              <w:spacing w:after="0"/>
              <w:rPr>
                <w:rFonts w:ascii="Arial" w:hAnsi="Arial"/>
                <w:sz w:val="18"/>
                <w:lang w:eastAsia="zh-CN"/>
              </w:rPr>
            </w:pPr>
            <w:r>
              <w:rPr>
                <w:rFonts w:ascii="Arial" w:hAnsi="Arial"/>
                <w:sz w:val="18"/>
                <w:lang w:eastAsia="zh-CN"/>
              </w:rPr>
              <w:t>Information about events for which the subscription failed.</w:t>
            </w:r>
          </w:p>
        </w:tc>
        <w:tc>
          <w:tcPr>
            <w:tcW w:w="1739" w:type="dxa"/>
          </w:tcPr>
          <w:p w14:paraId="2305A857" w14:textId="77777777" w:rsidR="00A10B25" w:rsidRDefault="00A10B25">
            <w:pPr>
              <w:keepNext/>
              <w:keepLines/>
              <w:spacing w:after="0"/>
              <w:rPr>
                <w:rFonts w:ascii="Arial" w:hAnsi="Arial" w:cs="Arial"/>
                <w:sz w:val="18"/>
                <w:szCs w:val="18"/>
              </w:rPr>
            </w:pPr>
          </w:p>
        </w:tc>
      </w:tr>
      <w:tr w:rsidR="00A10B25" w14:paraId="0E2AD75E" w14:textId="77777777">
        <w:trPr>
          <w:jc w:val="center"/>
        </w:trPr>
        <w:tc>
          <w:tcPr>
            <w:tcW w:w="3178" w:type="dxa"/>
          </w:tcPr>
          <w:p w14:paraId="4E2677CE" w14:textId="77777777" w:rsidR="00A10B25" w:rsidRDefault="00A10B25">
            <w:pPr>
              <w:keepNext/>
              <w:keepLines/>
              <w:spacing w:after="0"/>
              <w:rPr>
                <w:rFonts w:ascii="Arial" w:hAnsi="Arial"/>
                <w:sz w:val="18"/>
              </w:rPr>
            </w:pPr>
            <w:r>
              <w:rPr>
                <w:rFonts w:ascii="Arial" w:hAnsi="Arial"/>
                <w:sz w:val="18"/>
              </w:rPr>
              <w:t>PlmnId</w:t>
            </w:r>
          </w:p>
        </w:tc>
        <w:tc>
          <w:tcPr>
            <w:tcW w:w="2058" w:type="dxa"/>
          </w:tcPr>
          <w:p w14:paraId="34CEE85D" w14:textId="77777777" w:rsidR="00A10B25" w:rsidRDefault="00A10B25">
            <w:pPr>
              <w:keepNext/>
              <w:keepLines/>
              <w:spacing w:after="0"/>
              <w:rPr>
                <w:rFonts w:ascii="Arial" w:hAnsi="Arial" w:cs="Arial"/>
                <w:sz w:val="18"/>
              </w:rPr>
            </w:pPr>
            <w:r>
              <w:rPr>
                <w:rFonts w:ascii="Arial" w:hAnsi="Arial"/>
                <w:sz w:val="18"/>
              </w:rPr>
              <w:t>3GPP TS 29.571 [8]</w:t>
            </w:r>
          </w:p>
        </w:tc>
        <w:tc>
          <w:tcPr>
            <w:tcW w:w="2449" w:type="dxa"/>
          </w:tcPr>
          <w:p w14:paraId="00B4F90D" w14:textId="77777777" w:rsidR="00A10B25" w:rsidRDefault="00A10B25">
            <w:pPr>
              <w:keepNext/>
              <w:keepLines/>
              <w:spacing w:after="0"/>
              <w:rPr>
                <w:rFonts w:ascii="Arial" w:hAnsi="Arial"/>
                <w:sz w:val="18"/>
                <w:lang w:eastAsia="zh-CN"/>
              </w:rPr>
            </w:pPr>
            <w:r>
              <w:rPr>
                <w:rFonts w:ascii="Arial" w:hAnsi="Arial"/>
                <w:sz w:val="18"/>
                <w:lang w:eastAsia="zh-CN"/>
              </w:rPr>
              <w:t>PLMN identifier.</w:t>
            </w:r>
          </w:p>
        </w:tc>
        <w:tc>
          <w:tcPr>
            <w:tcW w:w="1739" w:type="dxa"/>
          </w:tcPr>
          <w:p w14:paraId="39C32337" w14:textId="77777777" w:rsidR="00A10B25" w:rsidRDefault="00A10B25">
            <w:pPr>
              <w:keepNext/>
              <w:keepLines/>
              <w:spacing w:after="0"/>
              <w:rPr>
                <w:rFonts w:ascii="Arial" w:hAnsi="Arial" w:cs="Arial"/>
                <w:sz w:val="18"/>
                <w:szCs w:val="18"/>
              </w:rPr>
            </w:pPr>
          </w:p>
        </w:tc>
      </w:tr>
      <w:tr w:rsidR="00A10B25" w14:paraId="03462837" w14:textId="77777777">
        <w:trPr>
          <w:jc w:val="center"/>
        </w:trPr>
        <w:tc>
          <w:tcPr>
            <w:tcW w:w="3178" w:type="dxa"/>
          </w:tcPr>
          <w:p w14:paraId="1C94DCAF" w14:textId="77777777" w:rsidR="00A10B25" w:rsidRDefault="00A10B25">
            <w:pPr>
              <w:keepNext/>
              <w:keepLines/>
              <w:spacing w:after="0"/>
              <w:rPr>
                <w:rFonts w:ascii="Arial" w:hAnsi="Arial"/>
                <w:sz w:val="18"/>
              </w:rPr>
            </w:pPr>
            <w:r>
              <w:rPr>
                <w:rFonts w:ascii="Arial" w:hAnsi="Arial"/>
                <w:sz w:val="18"/>
              </w:rPr>
              <w:t>ReportingInformation</w:t>
            </w:r>
          </w:p>
        </w:tc>
        <w:tc>
          <w:tcPr>
            <w:tcW w:w="2058" w:type="dxa"/>
          </w:tcPr>
          <w:p w14:paraId="15E2ED82" w14:textId="77777777" w:rsidR="00A10B25" w:rsidRDefault="00A10B25">
            <w:pPr>
              <w:keepNext/>
              <w:keepLines/>
              <w:spacing w:after="0"/>
              <w:rPr>
                <w:rFonts w:ascii="Arial" w:hAnsi="Arial" w:cs="Arial"/>
                <w:sz w:val="18"/>
              </w:rPr>
            </w:pPr>
            <w:r>
              <w:rPr>
                <w:rFonts w:ascii="Arial" w:hAnsi="Arial"/>
                <w:sz w:val="18"/>
              </w:rPr>
              <w:t>3GPP TS 29.523 [20]</w:t>
            </w:r>
          </w:p>
        </w:tc>
        <w:tc>
          <w:tcPr>
            <w:tcW w:w="2449" w:type="dxa"/>
          </w:tcPr>
          <w:p w14:paraId="3DBE5617" w14:textId="77777777" w:rsidR="00A10B25" w:rsidRDefault="00A10B25">
            <w:pPr>
              <w:keepNext/>
              <w:keepLines/>
              <w:spacing w:after="0"/>
              <w:rPr>
                <w:rFonts w:ascii="Arial" w:hAnsi="Arial"/>
                <w:sz w:val="18"/>
              </w:rPr>
            </w:pPr>
            <w:r>
              <w:rPr>
                <w:rFonts w:ascii="Arial" w:hAnsi="Arial"/>
                <w:sz w:val="18"/>
              </w:rPr>
              <w:t>Represents the type of reporting the subscription requires.</w:t>
            </w:r>
          </w:p>
        </w:tc>
        <w:tc>
          <w:tcPr>
            <w:tcW w:w="1739" w:type="dxa"/>
          </w:tcPr>
          <w:p w14:paraId="49F97D3B" w14:textId="77777777" w:rsidR="00A10B25" w:rsidRDefault="00A10B25">
            <w:pPr>
              <w:keepNext/>
              <w:keepLines/>
              <w:spacing w:after="0"/>
              <w:rPr>
                <w:rFonts w:ascii="Arial" w:hAnsi="Arial" w:cs="Arial"/>
                <w:sz w:val="18"/>
                <w:szCs w:val="18"/>
              </w:rPr>
            </w:pPr>
          </w:p>
        </w:tc>
      </w:tr>
      <w:tr w:rsidR="00A10B25" w14:paraId="5ADF48D7" w14:textId="77777777">
        <w:trPr>
          <w:jc w:val="center"/>
        </w:trPr>
        <w:tc>
          <w:tcPr>
            <w:tcW w:w="3178" w:type="dxa"/>
          </w:tcPr>
          <w:p w14:paraId="3581690C" w14:textId="77777777" w:rsidR="00A10B25" w:rsidRDefault="00A10B25">
            <w:pPr>
              <w:keepNext/>
              <w:keepLines/>
              <w:spacing w:after="0"/>
              <w:rPr>
                <w:rFonts w:ascii="Arial" w:hAnsi="Arial"/>
                <w:sz w:val="18"/>
              </w:rPr>
            </w:pPr>
            <w:r>
              <w:rPr>
                <w:rFonts w:ascii="Arial" w:hAnsi="Arial"/>
                <w:sz w:val="18"/>
              </w:rPr>
              <w:t>SupportedFeatures</w:t>
            </w:r>
          </w:p>
        </w:tc>
        <w:tc>
          <w:tcPr>
            <w:tcW w:w="2058" w:type="dxa"/>
          </w:tcPr>
          <w:p w14:paraId="40A7CB80" w14:textId="77777777" w:rsidR="00A10B25" w:rsidRDefault="00A10B25">
            <w:pPr>
              <w:keepNext/>
              <w:keepLines/>
              <w:spacing w:after="0"/>
              <w:rPr>
                <w:rFonts w:ascii="Arial" w:hAnsi="Arial"/>
                <w:sz w:val="18"/>
              </w:rPr>
            </w:pPr>
            <w:r>
              <w:rPr>
                <w:rFonts w:ascii="Arial" w:hAnsi="Arial"/>
                <w:sz w:val="18"/>
              </w:rPr>
              <w:t>3GPP TS 29.571 [8]</w:t>
            </w:r>
          </w:p>
        </w:tc>
        <w:tc>
          <w:tcPr>
            <w:tcW w:w="2449" w:type="dxa"/>
          </w:tcPr>
          <w:p w14:paraId="0036CBB0" w14:textId="77777777" w:rsidR="00A10B25" w:rsidRDefault="00A10B25">
            <w:pPr>
              <w:keepNext/>
              <w:keepLines/>
              <w:spacing w:after="0"/>
              <w:rPr>
                <w:rFonts w:ascii="Arial" w:hAnsi="Arial"/>
                <w:sz w:val="18"/>
              </w:rPr>
            </w:pPr>
            <w:r>
              <w:rPr>
                <w:rFonts w:ascii="Arial" w:hAnsi="Arial"/>
                <w:sz w:val="18"/>
              </w:rPr>
              <w:t xml:space="preserve">Used to negotiate the applicability of the optional features defined in </w:t>
            </w:r>
            <w:r w:rsidR="00607DB3">
              <w:rPr>
                <w:rFonts w:ascii="Arial" w:hAnsi="Arial"/>
                <w:sz w:val="18"/>
              </w:rPr>
              <w:t>table 5.8.8-1</w:t>
            </w:r>
            <w:r>
              <w:rPr>
                <w:rFonts w:ascii="Arial" w:hAnsi="Arial"/>
                <w:sz w:val="18"/>
              </w:rPr>
              <w:t>.</w:t>
            </w:r>
          </w:p>
        </w:tc>
        <w:tc>
          <w:tcPr>
            <w:tcW w:w="1739" w:type="dxa"/>
          </w:tcPr>
          <w:p w14:paraId="5130DEC7" w14:textId="77777777" w:rsidR="00A10B25" w:rsidRDefault="00A10B25">
            <w:pPr>
              <w:keepNext/>
              <w:keepLines/>
              <w:spacing w:after="0"/>
              <w:rPr>
                <w:rFonts w:ascii="Arial" w:hAnsi="Arial" w:cs="Arial"/>
                <w:sz w:val="18"/>
                <w:szCs w:val="18"/>
              </w:rPr>
            </w:pPr>
          </w:p>
        </w:tc>
      </w:tr>
      <w:tr w:rsidR="00A10B25" w14:paraId="5AA11501" w14:textId="77777777">
        <w:trPr>
          <w:jc w:val="center"/>
        </w:trPr>
        <w:tc>
          <w:tcPr>
            <w:tcW w:w="3178" w:type="dxa"/>
          </w:tcPr>
          <w:p w14:paraId="42FA5272" w14:textId="77777777" w:rsidR="00A10B25" w:rsidRDefault="00A10B25">
            <w:pPr>
              <w:keepNext/>
              <w:keepLines/>
              <w:spacing w:after="0"/>
              <w:rPr>
                <w:rFonts w:ascii="Arial" w:hAnsi="Arial"/>
                <w:sz w:val="18"/>
              </w:rPr>
            </w:pPr>
            <w:r>
              <w:rPr>
                <w:rFonts w:ascii="Arial" w:hAnsi="Arial"/>
                <w:sz w:val="18"/>
              </w:rPr>
              <w:t>TermCause</w:t>
            </w:r>
          </w:p>
        </w:tc>
        <w:tc>
          <w:tcPr>
            <w:tcW w:w="2058" w:type="dxa"/>
          </w:tcPr>
          <w:p w14:paraId="1839C04D" w14:textId="77777777" w:rsidR="00A10B25" w:rsidRDefault="00A10B25">
            <w:pPr>
              <w:keepNext/>
              <w:keepLines/>
              <w:spacing w:after="0"/>
              <w:rPr>
                <w:rFonts w:ascii="Arial" w:hAnsi="Arial"/>
                <w:sz w:val="18"/>
              </w:rPr>
            </w:pPr>
            <w:r>
              <w:rPr>
                <w:rFonts w:ascii="Arial" w:hAnsi="Arial"/>
                <w:sz w:val="18"/>
              </w:rPr>
              <w:t>5.1.6.3.26</w:t>
            </w:r>
          </w:p>
        </w:tc>
        <w:tc>
          <w:tcPr>
            <w:tcW w:w="2449" w:type="dxa"/>
          </w:tcPr>
          <w:p w14:paraId="7A92F820" w14:textId="77777777" w:rsidR="00A10B25" w:rsidRDefault="00A10B25">
            <w:pPr>
              <w:keepNext/>
              <w:keepLines/>
              <w:spacing w:after="0"/>
              <w:rPr>
                <w:rFonts w:ascii="Arial" w:hAnsi="Arial"/>
                <w:sz w:val="18"/>
              </w:rPr>
            </w:pPr>
            <w:r>
              <w:rPr>
                <w:rFonts w:ascii="Arial" w:hAnsi="Arial"/>
                <w:sz w:val="18"/>
              </w:rPr>
              <w:t>Cause of termination of an analytics subscription.</w:t>
            </w:r>
          </w:p>
        </w:tc>
        <w:tc>
          <w:tcPr>
            <w:tcW w:w="1739" w:type="dxa"/>
          </w:tcPr>
          <w:p w14:paraId="7345DFA1" w14:textId="77777777" w:rsidR="00A10B25" w:rsidRDefault="00A10B25">
            <w:pPr>
              <w:keepNext/>
              <w:keepLines/>
              <w:spacing w:after="0"/>
              <w:rPr>
                <w:rFonts w:ascii="Arial" w:hAnsi="Arial" w:cs="Arial"/>
                <w:sz w:val="18"/>
                <w:szCs w:val="18"/>
              </w:rPr>
            </w:pPr>
          </w:p>
        </w:tc>
      </w:tr>
      <w:tr w:rsidR="00A10B25" w14:paraId="42F06D5B" w14:textId="77777777">
        <w:trPr>
          <w:jc w:val="center"/>
        </w:trPr>
        <w:tc>
          <w:tcPr>
            <w:tcW w:w="3178" w:type="dxa"/>
          </w:tcPr>
          <w:p w14:paraId="70AFA865" w14:textId="77777777" w:rsidR="00A10B25" w:rsidRDefault="00A10B25">
            <w:pPr>
              <w:keepNext/>
              <w:keepLines/>
              <w:spacing w:after="0"/>
              <w:rPr>
                <w:rFonts w:ascii="Arial" w:hAnsi="Arial"/>
                <w:sz w:val="18"/>
              </w:rPr>
            </w:pPr>
            <w:r>
              <w:rPr>
                <w:rFonts w:ascii="Arial" w:hAnsi="Arial"/>
                <w:sz w:val="18"/>
              </w:rPr>
              <w:t>Uri</w:t>
            </w:r>
          </w:p>
        </w:tc>
        <w:tc>
          <w:tcPr>
            <w:tcW w:w="2058" w:type="dxa"/>
          </w:tcPr>
          <w:p w14:paraId="1DDC0D26" w14:textId="77777777" w:rsidR="00A10B25" w:rsidRDefault="00A10B25">
            <w:pPr>
              <w:keepNext/>
              <w:keepLines/>
              <w:spacing w:after="0"/>
              <w:rPr>
                <w:rFonts w:ascii="Arial" w:hAnsi="Arial" w:cs="Arial"/>
                <w:sz w:val="18"/>
              </w:rPr>
            </w:pPr>
            <w:r>
              <w:rPr>
                <w:rFonts w:ascii="Arial" w:hAnsi="Arial"/>
                <w:sz w:val="18"/>
              </w:rPr>
              <w:t>3GPP TS 29.571 [8]</w:t>
            </w:r>
          </w:p>
        </w:tc>
        <w:tc>
          <w:tcPr>
            <w:tcW w:w="2449" w:type="dxa"/>
          </w:tcPr>
          <w:p w14:paraId="1DF1385C" w14:textId="77777777" w:rsidR="00A10B25" w:rsidRDefault="00A10B25">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 xml:space="preserve">ndicates the </w:t>
            </w:r>
            <w:r>
              <w:rPr>
                <w:rFonts w:ascii="Arial" w:hAnsi="Arial" w:cs="Arial"/>
                <w:sz w:val="18"/>
                <w:szCs w:val="18"/>
              </w:rPr>
              <w:t>URI.</w:t>
            </w:r>
          </w:p>
        </w:tc>
        <w:tc>
          <w:tcPr>
            <w:tcW w:w="1739" w:type="dxa"/>
          </w:tcPr>
          <w:p w14:paraId="4A0BD4D3" w14:textId="77777777" w:rsidR="00A10B25" w:rsidRDefault="00A10B25">
            <w:pPr>
              <w:keepNext/>
              <w:keepLines/>
              <w:spacing w:after="0"/>
              <w:rPr>
                <w:rFonts w:ascii="Arial" w:hAnsi="Arial" w:cs="Arial"/>
                <w:sz w:val="18"/>
                <w:szCs w:val="18"/>
              </w:rPr>
            </w:pPr>
          </w:p>
        </w:tc>
      </w:tr>
    </w:tbl>
    <w:p w14:paraId="1CA01992" w14:textId="77777777" w:rsidR="00A10B25" w:rsidRDefault="00A10B25"/>
    <w:p w14:paraId="4501C3E4" w14:textId="77777777" w:rsidR="00A10B25" w:rsidRDefault="00A10B25" w:rsidP="0076721C">
      <w:pPr>
        <w:pStyle w:val="4"/>
      </w:pPr>
      <w:bookmarkStart w:id="16570" w:name="_Toc164921276"/>
      <w:bookmarkStart w:id="16571" w:name="_Toc170120818"/>
      <w:bookmarkStart w:id="16572" w:name="_Toc175859063"/>
      <w:bookmarkStart w:id="16573" w:name="_Toc175860138"/>
      <w:bookmarkStart w:id="16574" w:name="_Toc180606428"/>
      <w:bookmarkStart w:id="16575" w:name="_Toc185517689"/>
      <w:bookmarkStart w:id="16576" w:name="_Toc191576741"/>
      <w:bookmarkStart w:id="16577" w:name="_Toc191577481"/>
      <w:bookmarkStart w:id="16578" w:name="_Toc192880551"/>
      <w:bookmarkStart w:id="16579" w:name="_Toc195815440"/>
      <w:bookmarkStart w:id="16580" w:name="_Toc199453407"/>
      <w:r>
        <w:t>5.8.6.2</w:t>
      </w:r>
      <w:r>
        <w:tab/>
        <w:t>Structured data types</w:t>
      </w:r>
      <w:bookmarkEnd w:id="16570"/>
      <w:bookmarkEnd w:id="16571"/>
      <w:bookmarkEnd w:id="16572"/>
      <w:bookmarkEnd w:id="16573"/>
      <w:bookmarkEnd w:id="16574"/>
      <w:bookmarkEnd w:id="16575"/>
      <w:bookmarkEnd w:id="16576"/>
      <w:bookmarkEnd w:id="16577"/>
      <w:bookmarkEnd w:id="16578"/>
      <w:bookmarkEnd w:id="16579"/>
      <w:bookmarkEnd w:id="16580"/>
    </w:p>
    <w:p w14:paraId="6FC4D11A" w14:textId="77777777" w:rsidR="00A10B25" w:rsidRDefault="00A10B25" w:rsidP="0076721C">
      <w:pPr>
        <w:pStyle w:val="5"/>
      </w:pPr>
      <w:bookmarkStart w:id="16581" w:name="_Toc164921277"/>
      <w:bookmarkStart w:id="16582" w:name="_Toc170120819"/>
      <w:bookmarkStart w:id="16583" w:name="_Toc175859064"/>
      <w:bookmarkStart w:id="16584" w:name="_Toc175860139"/>
      <w:bookmarkStart w:id="16585" w:name="_Toc180606429"/>
      <w:bookmarkStart w:id="16586" w:name="_Toc185517690"/>
      <w:bookmarkStart w:id="16587" w:name="_Toc191576742"/>
      <w:bookmarkStart w:id="16588" w:name="_Toc191577482"/>
      <w:bookmarkStart w:id="16589" w:name="_Toc192880552"/>
      <w:bookmarkStart w:id="16590" w:name="_Toc195815441"/>
      <w:bookmarkStart w:id="16591" w:name="_Toc199453408"/>
      <w:r>
        <w:t>5.8.6.2.1</w:t>
      </w:r>
      <w:r>
        <w:tab/>
        <w:t>Introduction</w:t>
      </w:r>
      <w:bookmarkEnd w:id="16581"/>
      <w:bookmarkEnd w:id="16582"/>
      <w:bookmarkEnd w:id="16583"/>
      <w:bookmarkEnd w:id="16584"/>
      <w:bookmarkEnd w:id="16585"/>
      <w:bookmarkEnd w:id="16586"/>
      <w:bookmarkEnd w:id="16587"/>
      <w:bookmarkEnd w:id="16588"/>
      <w:bookmarkEnd w:id="16589"/>
      <w:bookmarkEnd w:id="16590"/>
      <w:bookmarkEnd w:id="16591"/>
    </w:p>
    <w:p w14:paraId="6C96B307" w14:textId="77777777" w:rsidR="00A10B25" w:rsidRDefault="00A10B25">
      <w:r>
        <w:t xml:space="preserve">This clause defines the structures to be used in resource representations. </w:t>
      </w:r>
    </w:p>
    <w:p w14:paraId="6C5EF2A0" w14:textId="77777777" w:rsidR="00A10B25" w:rsidRDefault="00A10B25" w:rsidP="0076721C">
      <w:pPr>
        <w:pStyle w:val="5"/>
      </w:pPr>
      <w:bookmarkStart w:id="16592" w:name="_Toc164921278"/>
      <w:bookmarkStart w:id="16593" w:name="_Toc170120820"/>
      <w:bookmarkStart w:id="16594" w:name="_Toc175859065"/>
      <w:bookmarkStart w:id="16595" w:name="_Toc175860140"/>
      <w:bookmarkStart w:id="16596" w:name="_Toc180606430"/>
      <w:bookmarkStart w:id="16597" w:name="_Toc185517691"/>
      <w:bookmarkStart w:id="16598" w:name="_Toc191576743"/>
      <w:bookmarkStart w:id="16599" w:name="_Toc191577483"/>
      <w:bookmarkStart w:id="16600" w:name="_Toc192880553"/>
      <w:bookmarkStart w:id="16601" w:name="_Toc195815442"/>
      <w:bookmarkStart w:id="16602" w:name="_Toc199453409"/>
      <w:r>
        <w:lastRenderedPageBreak/>
        <w:t>5.8.6.2.2</w:t>
      </w:r>
      <w:r>
        <w:tab/>
        <w:t>Type RoamingAnalyticsSubscription</w:t>
      </w:r>
      <w:bookmarkEnd w:id="16592"/>
      <w:bookmarkEnd w:id="16593"/>
      <w:bookmarkEnd w:id="16594"/>
      <w:bookmarkEnd w:id="16595"/>
      <w:bookmarkEnd w:id="16596"/>
      <w:bookmarkEnd w:id="16597"/>
      <w:bookmarkEnd w:id="16598"/>
      <w:bookmarkEnd w:id="16599"/>
      <w:bookmarkEnd w:id="16600"/>
      <w:bookmarkEnd w:id="16601"/>
      <w:bookmarkEnd w:id="16602"/>
    </w:p>
    <w:p w14:paraId="118ED14C" w14:textId="77777777" w:rsidR="00E06B31" w:rsidRDefault="00E06B31" w:rsidP="00E06B31">
      <w:pPr>
        <w:pStyle w:val="TH"/>
      </w:pPr>
      <w:r>
        <w:t xml:space="preserve">Table 5.8.6.2.2-1: Definition of type </w:t>
      </w:r>
      <w:r>
        <w:rPr>
          <w:rFonts w:eastAsia="等线"/>
        </w:rPr>
        <w:t>RoamingAnalyticsSubscription</w:t>
      </w:r>
    </w:p>
    <w:tbl>
      <w:tblPr>
        <w:tblW w:w="952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E06B31" w14:paraId="02A8E1DB" w14:textId="77777777" w:rsidTr="008867D9">
        <w:trPr>
          <w:jc w:val="center"/>
        </w:trPr>
        <w:tc>
          <w:tcPr>
            <w:tcW w:w="1702" w:type="dxa"/>
            <w:shd w:val="clear" w:color="auto" w:fill="C0C0C0"/>
          </w:tcPr>
          <w:p w14:paraId="2F001D1D" w14:textId="77777777" w:rsidR="00E06B31" w:rsidRDefault="00E06B31" w:rsidP="008867D9">
            <w:pPr>
              <w:keepNext/>
              <w:keepLines/>
              <w:spacing w:after="0"/>
              <w:jc w:val="center"/>
              <w:rPr>
                <w:rFonts w:ascii="Arial" w:hAnsi="Arial"/>
                <w:b/>
                <w:sz w:val="18"/>
              </w:rPr>
            </w:pPr>
            <w:r>
              <w:rPr>
                <w:rFonts w:ascii="Arial" w:hAnsi="Arial"/>
                <w:b/>
                <w:sz w:val="18"/>
              </w:rPr>
              <w:t>Attribute name</w:t>
            </w:r>
          </w:p>
        </w:tc>
        <w:tc>
          <w:tcPr>
            <w:tcW w:w="1444" w:type="dxa"/>
            <w:shd w:val="clear" w:color="auto" w:fill="C0C0C0"/>
          </w:tcPr>
          <w:p w14:paraId="3269A678" w14:textId="77777777" w:rsidR="00E06B31" w:rsidRDefault="00E06B31" w:rsidP="008867D9">
            <w:pPr>
              <w:keepNext/>
              <w:keepLines/>
              <w:spacing w:after="0"/>
              <w:jc w:val="center"/>
              <w:rPr>
                <w:rFonts w:ascii="Arial" w:hAnsi="Arial"/>
                <w:b/>
                <w:sz w:val="18"/>
              </w:rPr>
            </w:pPr>
            <w:r>
              <w:rPr>
                <w:rFonts w:ascii="Arial" w:hAnsi="Arial"/>
                <w:b/>
                <w:sz w:val="18"/>
              </w:rPr>
              <w:t>Data type</w:t>
            </w:r>
          </w:p>
        </w:tc>
        <w:tc>
          <w:tcPr>
            <w:tcW w:w="425" w:type="dxa"/>
            <w:shd w:val="clear" w:color="auto" w:fill="C0C0C0"/>
          </w:tcPr>
          <w:p w14:paraId="1A2427A2" w14:textId="77777777" w:rsidR="00E06B31" w:rsidRDefault="00E06B31" w:rsidP="008867D9">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781123C0" w14:textId="77777777" w:rsidR="00E06B31" w:rsidRDefault="00E06B31" w:rsidP="008867D9">
            <w:pPr>
              <w:keepNext/>
              <w:keepLines/>
              <w:spacing w:after="0"/>
              <w:rPr>
                <w:rFonts w:ascii="Arial" w:hAnsi="Arial"/>
                <w:b/>
                <w:sz w:val="18"/>
              </w:rPr>
            </w:pPr>
            <w:r>
              <w:rPr>
                <w:rFonts w:ascii="Arial" w:hAnsi="Arial"/>
                <w:b/>
                <w:sz w:val="18"/>
              </w:rPr>
              <w:t>Cardinality</w:t>
            </w:r>
          </w:p>
        </w:tc>
        <w:tc>
          <w:tcPr>
            <w:tcW w:w="2410" w:type="dxa"/>
            <w:shd w:val="clear" w:color="auto" w:fill="C0C0C0"/>
          </w:tcPr>
          <w:p w14:paraId="44957BE7" w14:textId="77777777" w:rsidR="00E06B31" w:rsidRDefault="00E06B31" w:rsidP="008867D9">
            <w:pPr>
              <w:keepNext/>
              <w:keepLines/>
              <w:spacing w:after="0"/>
              <w:jc w:val="center"/>
              <w:rPr>
                <w:rFonts w:ascii="Arial" w:hAnsi="Arial" w:cs="Arial"/>
                <w:b/>
                <w:sz w:val="18"/>
                <w:szCs w:val="18"/>
              </w:rPr>
            </w:pPr>
            <w:r>
              <w:rPr>
                <w:rFonts w:ascii="Arial" w:hAnsi="Arial" w:cs="Arial"/>
                <w:b/>
                <w:sz w:val="18"/>
                <w:szCs w:val="18"/>
              </w:rPr>
              <w:t>Description</w:t>
            </w:r>
          </w:p>
        </w:tc>
        <w:tc>
          <w:tcPr>
            <w:tcW w:w="2410" w:type="dxa"/>
            <w:shd w:val="clear" w:color="auto" w:fill="C0C0C0"/>
          </w:tcPr>
          <w:p w14:paraId="35BF3033" w14:textId="77777777" w:rsidR="00E06B31" w:rsidRDefault="00E06B31" w:rsidP="008867D9">
            <w:pPr>
              <w:keepNext/>
              <w:keepLines/>
              <w:spacing w:after="0"/>
              <w:jc w:val="center"/>
              <w:rPr>
                <w:rFonts w:ascii="Arial" w:hAnsi="Arial" w:cs="Arial"/>
                <w:b/>
                <w:sz w:val="18"/>
                <w:szCs w:val="18"/>
              </w:rPr>
            </w:pPr>
            <w:r>
              <w:rPr>
                <w:rFonts w:ascii="Arial" w:hAnsi="Arial" w:cs="Arial"/>
                <w:b/>
                <w:sz w:val="18"/>
                <w:szCs w:val="18"/>
              </w:rPr>
              <w:t>Applicability</w:t>
            </w:r>
          </w:p>
        </w:tc>
      </w:tr>
      <w:tr w:rsidR="00E06B31" w14:paraId="521E5195" w14:textId="77777777" w:rsidTr="008867D9">
        <w:trPr>
          <w:jc w:val="center"/>
        </w:trPr>
        <w:tc>
          <w:tcPr>
            <w:tcW w:w="1702" w:type="dxa"/>
          </w:tcPr>
          <w:p w14:paraId="23ED536B" w14:textId="77777777" w:rsidR="00E06B31" w:rsidRDefault="00E06B31" w:rsidP="008867D9">
            <w:pPr>
              <w:pStyle w:val="TAL"/>
            </w:pPr>
            <w:r>
              <w:t>roamEventSubs</w:t>
            </w:r>
          </w:p>
        </w:tc>
        <w:tc>
          <w:tcPr>
            <w:tcW w:w="1444" w:type="dxa"/>
          </w:tcPr>
          <w:p w14:paraId="62A606F0" w14:textId="77777777" w:rsidR="00E06B31" w:rsidRDefault="00E06B31" w:rsidP="008867D9">
            <w:pPr>
              <w:pStyle w:val="TAL"/>
            </w:pPr>
            <w:r>
              <w:t>array(EventSubscription)</w:t>
            </w:r>
          </w:p>
        </w:tc>
        <w:tc>
          <w:tcPr>
            <w:tcW w:w="425" w:type="dxa"/>
          </w:tcPr>
          <w:p w14:paraId="16651894" w14:textId="77777777" w:rsidR="00E06B31" w:rsidRDefault="00E06B31" w:rsidP="008867D9">
            <w:pPr>
              <w:pStyle w:val="TAL"/>
              <w:rPr>
                <w:lang w:eastAsia="zh-CN"/>
              </w:rPr>
            </w:pPr>
            <w:r>
              <w:t>M</w:t>
            </w:r>
          </w:p>
        </w:tc>
        <w:tc>
          <w:tcPr>
            <w:tcW w:w="1134" w:type="dxa"/>
          </w:tcPr>
          <w:p w14:paraId="3F6CB51D" w14:textId="77777777" w:rsidR="00E06B31" w:rsidRDefault="00E06B31" w:rsidP="008867D9">
            <w:pPr>
              <w:pStyle w:val="TAL"/>
            </w:pPr>
            <w:r>
              <w:t>1..N</w:t>
            </w:r>
          </w:p>
        </w:tc>
        <w:tc>
          <w:tcPr>
            <w:tcW w:w="2410" w:type="dxa"/>
          </w:tcPr>
          <w:p w14:paraId="486D0116" w14:textId="77777777" w:rsidR="00E06B31" w:rsidRDefault="00E06B31" w:rsidP="008867D9">
            <w:pPr>
              <w:pStyle w:val="TAL"/>
            </w:pPr>
            <w:r>
              <w:t>Subscribed events.</w:t>
            </w:r>
          </w:p>
          <w:p w14:paraId="18CF83E2" w14:textId="77777777" w:rsidR="00E06B31" w:rsidRDefault="00E06B31" w:rsidP="008867D9">
            <w:pPr>
              <w:pStyle w:val="TAL"/>
            </w:pPr>
            <w:r>
              <w:t>(NOTE 1)</w:t>
            </w:r>
          </w:p>
        </w:tc>
        <w:tc>
          <w:tcPr>
            <w:tcW w:w="2410" w:type="dxa"/>
          </w:tcPr>
          <w:p w14:paraId="6C03353D" w14:textId="77777777" w:rsidR="00E06B31" w:rsidRDefault="00E06B31" w:rsidP="008867D9">
            <w:pPr>
              <w:pStyle w:val="TAL"/>
              <w:rPr>
                <w:rFonts w:cs="Arial"/>
                <w:szCs w:val="18"/>
              </w:rPr>
            </w:pPr>
          </w:p>
        </w:tc>
      </w:tr>
      <w:tr w:rsidR="00E06B31" w14:paraId="336F205A" w14:textId="77777777" w:rsidTr="008867D9">
        <w:trPr>
          <w:jc w:val="center"/>
        </w:trPr>
        <w:tc>
          <w:tcPr>
            <w:tcW w:w="1702" w:type="dxa"/>
          </w:tcPr>
          <w:p w14:paraId="702C94AC" w14:textId="77777777" w:rsidR="00E06B31" w:rsidRDefault="00E06B31" w:rsidP="008867D9">
            <w:pPr>
              <w:pStyle w:val="TAL"/>
            </w:pPr>
            <w:r>
              <w:t>evtReq</w:t>
            </w:r>
          </w:p>
        </w:tc>
        <w:tc>
          <w:tcPr>
            <w:tcW w:w="1444" w:type="dxa"/>
          </w:tcPr>
          <w:p w14:paraId="795078A0" w14:textId="77777777" w:rsidR="00E06B31" w:rsidRDefault="00E06B31" w:rsidP="008867D9">
            <w:pPr>
              <w:pStyle w:val="TAL"/>
            </w:pPr>
            <w:r>
              <w:rPr>
                <w:rFonts w:eastAsia="等线"/>
              </w:rPr>
              <w:t>ReportingInformation</w:t>
            </w:r>
          </w:p>
        </w:tc>
        <w:tc>
          <w:tcPr>
            <w:tcW w:w="425" w:type="dxa"/>
          </w:tcPr>
          <w:p w14:paraId="1F3092EE" w14:textId="77777777" w:rsidR="00E06B31" w:rsidRDefault="00E06B31" w:rsidP="008867D9">
            <w:pPr>
              <w:pStyle w:val="TAL"/>
              <w:rPr>
                <w:lang w:eastAsia="zh-CN"/>
              </w:rPr>
            </w:pPr>
            <w:r>
              <w:t>O</w:t>
            </w:r>
          </w:p>
        </w:tc>
        <w:tc>
          <w:tcPr>
            <w:tcW w:w="1134" w:type="dxa"/>
          </w:tcPr>
          <w:p w14:paraId="2581713B" w14:textId="77777777" w:rsidR="00E06B31" w:rsidRDefault="00E06B31" w:rsidP="008867D9">
            <w:pPr>
              <w:pStyle w:val="TAL"/>
            </w:pPr>
            <w:r>
              <w:t>0..1</w:t>
            </w:r>
          </w:p>
        </w:tc>
        <w:tc>
          <w:tcPr>
            <w:tcW w:w="2410" w:type="dxa"/>
          </w:tcPr>
          <w:p w14:paraId="71E1A3D2" w14:textId="77777777" w:rsidR="00E06B31" w:rsidRDefault="00E06B31" w:rsidP="008867D9">
            <w:pPr>
              <w:pStyle w:val="TAL"/>
            </w:pPr>
            <w:r>
              <w:t>Represents the reporting requirements of the event subscription.</w:t>
            </w:r>
          </w:p>
          <w:p w14:paraId="7856A2C0" w14:textId="77777777" w:rsidR="00E06B31" w:rsidRDefault="00E06B31" w:rsidP="008867D9">
            <w:pPr>
              <w:pStyle w:val="TAL"/>
            </w:pPr>
            <w:r>
              <w:t>(NOTE 2</w:t>
            </w:r>
            <w:r>
              <w:rPr>
                <w:rFonts w:hint="eastAsia"/>
                <w:lang w:eastAsia="zh-CN"/>
              </w:rPr>
              <w:t>,</w:t>
            </w:r>
            <w:r>
              <w:rPr>
                <w:lang w:eastAsia="zh-CN"/>
              </w:rPr>
              <w:t xml:space="preserve"> </w:t>
            </w:r>
            <w:r>
              <w:t>NOTE 3)</w:t>
            </w:r>
          </w:p>
          <w:p w14:paraId="2EAE9C82" w14:textId="77777777" w:rsidR="00E06B31" w:rsidRDefault="00E06B31" w:rsidP="008867D9">
            <w:pPr>
              <w:pStyle w:val="TAL"/>
            </w:pPr>
            <w:r>
              <w:t>If omitted, the default values within the ReportingInformation data type apply.</w:t>
            </w:r>
          </w:p>
        </w:tc>
        <w:tc>
          <w:tcPr>
            <w:tcW w:w="2410" w:type="dxa"/>
          </w:tcPr>
          <w:p w14:paraId="7BB6EB55" w14:textId="77777777" w:rsidR="00E06B31" w:rsidRDefault="00E06B31" w:rsidP="008867D9">
            <w:pPr>
              <w:pStyle w:val="TAL"/>
              <w:rPr>
                <w:rFonts w:cs="Arial"/>
                <w:szCs w:val="18"/>
              </w:rPr>
            </w:pPr>
          </w:p>
        </w:tc>
      </w:tr>
      <w:tr w:rsidR="00E06B31" w14:paraId="7D27EF0A" w14:textId="77777777" w:rsidTr="008867D9">
        <w:trPr>
          <w:jc w:val="center"/>
        </w:trPr>
        <w:tc>
          <w:tcPr>
            <w:tcW w:w="1702" w:type="dxa"/>
          </w:tcPr>
          <w:p w14:paraId="4938FBEE" w14:textId="77777777" w:rsidR="00E06B31" w:rsidRDefault="00E06B31" w:rsidP="008867D9">
            <w:pPr>
              <w:pStyle w:val="TAL"/>
            </w:pPr>
            <w:r>
              <w:t>notifUri</w:t>
            </w:r>
          </w:p>
        </w:tc>
        <w:tc>
          <w:tcPr>
            <w:tcW w:w="1444" w:type="dxa"/>
          </w:tcPr>
          <w:p w14:paraId="2A25AE22" w14:textId="77777777" w:rsidR="00E06B31" w:rsidRDefault="00E06B31" w:rsidP="008867D9">
            <w:pPr>
              <w:pStyle w:val="TAL"/>
            </w:pPr>
            <w:r>
              <w:t>Uri</w:t>
            </w:r>
          </w:p>
        </w:tc>
        <w:tc>
          <w:tcPr>
            <w:tcW w:w="425" w:type="dxa"/>
          </w:tcPr>
          <w:p w14:paraId="02960B92" w14:textId="77777777" w:rsidR="00E06B31" w:rsidRDefault="00E06B31" w:rsidP="008867D9">
            <w:pPr>
              <w:pStyle w:val="TAL"/>
              <w:rPr>
                <w:lang w:eastAsia="zh-CN"/>
              </w:rPr>
            </w:pPr>
            <w:r>
              <w:t>M</w:t>
            </w:r>
          </w:p>
        </w:tc>
        <w:tc>
          <w:tcPr>
            <w:tcW w:w="1134" w:type="dxa"/>
          </w:tcPr>
          <w:p w14:paraId="5146A2E0" w14:textId="77777777" w:rsidR="00E06B31" w:rsidRDefault="00E06B31" w:rsidP="008867D9">
            <w:pPr>
              <w:pStyle w:val="TAL"/>
            </w:pPr>
            <w:r>
              <w:t>1</w:t>
            </w:r>
          </w:p>
        </w:tc>
        <w:tc>
          <w:tcPr>
            <w:tcW w:w="2410" w:type="dxa"/>
          </w:tcPr>
          <w:p w14:paraId="1DE3461E" w14:textId="77777777" w:rsidR="00E06B31" w:rsidRDefault="00E06B31" w:rsidP="008867D9">
            <w:pPr>
              <w:pStyle w:val="TAL"/>
              <w:rPr>
                <w:lang w:eastAsia="zh-CN"/>
              </w:rPr>
            </w:pPr>
            <w:r>
              <w:t>Identifies the recipient of Notifications sent by the NWDAF.</w:t>
            </w:r>
          </w:p>
        </w:tc>
        <w:tc>
          <w:tcPr>
            <w:tcW w:w="2410" w:type="dxa"/>
          </w:tcPr>
          <w:p w14:paraId="3305B61B" w14:textId="77777777" w:rsidR="00E06B31" w:rsidRDefault="00E06B31" w:rsidP="008867D9">
            <w:pPr>
              <w:pStyle w:val="TAL"/>
              <w:rPr>
                <w:rFonts w:cs="Arial"/>
                <w:szCs w:val="18"/>
              </w:rPr>
            </w:pPr>
          </w:p>
        </w:tc>
      </w:tr>
      <w:tr w:rsidR="00E06B31" w14:paraId="5F293A0E" w14:textId="77777777" w:rsidTr="008867D9">
        <w:trPr>
          <w:jc w:val="center"/>
        </w:trPr>
        <w:tc>
          <w:tcPr>
            <w:tcW w:w="1702" w:type="dxa"/>
          </w:tcPr>
          <w:p w14:paraId="000A4C8C" w14:textId="77777777" w:rsidR="00E06B31" w:rsidRDefault="00E06B31" w:rsidP="008867D9">
            <w:pPr>
              <w:pStyle w:val="TAL"/>
              <w:rPr>
                <w:lang w:eastAsia="zh-CN"/>
              </w:rPr>
            </w:pPr>
            <w:r>
              <w:t>notifCorrId</w:t>
            </w:r>
          </w:p>
        </w:tc>
        <w:tc>
          <w:tcPr>
            <w:tcW w:w="1444" w:type="dxa"/>
          </w:tcPr>
          <w:p w14:paraId="2627385B" w14:textId="77777777" w:rsidR="00E06B31" w:rsidRDefault="00E06B31" w:rsidP="008867D9">
            <w:pPr>
              <w:pStyle w:val="TAL"/>
              <w:rPr>
                <w:rFonts w:eastAsia="等线"/>
                <w:lang w:eastAsia="zh-CN"/>
              </w:rPr>
            </w:pPr>
            <w:r>
              <w:t>string</w:t>
            </w:r>
          </w:p>
        </w:tc>
        <w:tc>
          <w:tcPr>
            <w:tcW w:w="425" w:type="dxa"/>
          </w:tcPr>
          <w:p w14:paraId="49A9B5F4" w14:textId="77777777" w:rsidR="00E06B31" w:rsidRDefault="00E06B31" w:rsidP="008867D9">
            <w:pPr>
              <w:pStyle w:val="TAL"/>
              <w:rPr>
                <w:lang w:eastAsia="zh-CN"/>
              </w:rPr>
            </w:pPr>
            <w:r>
              <w:t>M</w:t>
            </w:r>
          </w:p>
        </w:tc>
        <w:tc>
          <w:tcPr>
            <w:tcW w:w="1134" w:type="dxa"/>
          </w:tcPr>
          <w:p w14:paraId="0EB63047" w14:textId="77777777" w:rsidR="00E06B31" w:rsidRDefault="00E06B31" w:rsidP="008867D9">
            <w:pPr>
              <w:pStyle w:val="TAL"/>
            </w:pPr>
            <w:r>
              <w:t>1</w:t>
            </w:r>
          </w:p>
        </w:tc>
        <w:tc>
          <w:tcPr>
            <w:tcW w:w="2410" w:type="dxa"/>
          </w:tcPr>
          <w:p w14:paraId="7E66D713" w14:textId="77777777" w:rsidR="00E06B31" w:rsidRDefault="00E06B31" w:rsidP="008867D9">
            <w:pPr>
              <w:pStyle w:val="TAL"/>
            </w:pPr>
            <w:r>
              <w:t>Notification correlation identifier.</w:t>
            </w:r>
          </w:p>
        </w:tc>
        <w:tc>
          <w:tcPr>
            <w:tcW w:w="2410" w:type="dxa"/>
          </w:tcPr>
          <w:p w14:paraId="4A55F873" w14:textId="77777777" w:rsidR="00E06B31" w:rsidRDefault="00E06B31" w:rsidP="008867D9">
            <w:pPr>
              <w:pStyle w:val="TAL"/>
              <w:rPr>
                <w:rFonts w:cs="Arial"/>
                <w:szCs w:val="18"/>
              </w:rPr>
            </w:pPr>
          </w:p>
        </w:tc>
      </w:tr>
      <w:tr w:rsidR="00E06B31" w14:paraId="2A010D6E" w14:textId="77777777" w:rsidTr="008867D9">
        <w:trPr>
          <w:jc w:val="center"/>
        </w:trPr>
        <w:tc>
          <w:tcPr>
            <w:tcW w:w="1702" w:type="dxa"/>
          </w:tcPr>
          <w:p w14:paraId="4BA5029A" w14:textId="77777777" w:rsidR="00E06B31" w:rsidRDefault="00E06B31" w:rsidP="008867D9">
            <w:pPr>
              <w:pStyle w:val="TAL"/>
            </w:pPr>
            <w:r>
              <w:t>consPlmnId</w:t>
            </w:r>
          </w:p>
        </w:tc>
        <w:tc>
          <w:tcPr>
            <w:tcW w:w="1444" w:type="dxa"/>
          </w:tcPr>
          <w:p w14:paraId="1461ADC8" w14:textId="77777777" w:rsidR="00E06B31" w:rsidRDefault="00E06B31" w:rsidP="008867D9">
            <w:pPr>
              <w:pStyle w:val="TAL"/>
            </w:pPr>
            <w:r>
              <w:t>PlmnId</w:t>
            </w:r>
          </w:p>
        </w:tc>
        <w:tc>
          <w:tcPr>
            <w:tcW w:w="425" w:type="dxa"/>
          </w:tcPr>
          <w:p w14:paraId="02549159" w14:textId="77777777" w:rsidR="00E06B31" w:rsidRDefault="00E06B31" w:rsidP="008867D9">
            <w:pPr>
              <w:pStyle w:val="TAL"/>
            </w:pPr>
            <w:r>
              <w:t>M</w:t>
            </w:r>
          </w:p>
        </w:tc>
        <w:tc>
          <w:tcPr>
            <w:tcW w:w="1134" w:type="dxa"/>
          </w:tcPr>
          <w:p w14:paraId="0158C5F3" w14:textId="77777777" w:rsidR="00E06B31" w:rsidRDefault="00E06B31" w:rsidP="008867D9">
            <w:pPr>
              <w:pStyle w:val="TAL"/>
            </w:pPr>
            <w:r>
              <w:t>1</w:t>
            </w:r>
          </w:p>
        </w:tc>
        <w:tc>
          <w:tcPr>
            <w:tcW w:w="2410" w:type="dxa"/>
          </w:tcPr>
          <w:p w14:paraId="45AE9AC0" w14:textId="77777777" w:rsidR="00E06B31" w:rsidRDefault="00E06B31" w:rsidP="008867D9">
            <w:pPr>
              <w:pStyle w:val="TAL"/>
            </w:pPr>
            <w:r>
              <w:t>The PLMN ID of the NF service consumer.</w:t>
            </w:r>
          </w:p>
        </w:tc>
        <w:tc>
          <w:tcPr>
            <w:tcW w:w="2410" w:type="dxa"/>
          </w:tcPr>
          <w:p w14:paraId="56738D50" w14:textId="77777777" w:rsidR="00E06B31" w:rsidRDefault="00E06B31" w:rsidP="008867D9">
            <w:pPr>
              <w:pStyle w:val="TAL"/>
              <w:rPr>
                <w:rFonts w:cs="Arial"/>
                <w:szCs w:val="18"/>
              </w:rPr>
            </w:pPr>
          </w:p>
        </w:tc>
      </w:tr>
      <w:tr w:rsidR="00E06B31" w14:paraId="4B2D9385" w14:textId="77777777" w:rsidTr="008867D9">
        <w:trPr>
          <w:jc w:val="center"/>
        </w:trPr>
        <w:tc>
          <w:tcPr>
            <w:tcW w:w="1702" w:type="dxa"/>
          </w:tcPr>
          <w:p w14:paraId="056D06DD" w14:textId="77777777" w:rsidR="00E06B31" w:rsidRDefault="00E06B31" w:rsidP="008867D9">
            <w:pPr>
              <w:pStyle w:val="TAL"/>
              <w:rPr>
                <w:lang w:eastAsia="zh-CN"/>
              </w:rPr>
            </w:pPr>
            <w:r>
              <w:t>roamEventNotifs</w:t>
            </w:r>
          </w:p>
        </w:tc>
        <w:tc>
          <w:tcPr>
            <w:tcW w:w="1444" w:type="dxa"/>
          </w:tcPr>
          <w:p w14:paraId="42ACEDDA" w14:textId="77777777" w:rsidR="00E06B31" w:rsidRDefault="00E06B31" w:rsidP="008867D9">
            <w:pPr>
              <w:pStyle w:val="TAL"/>
              <w:rPr>
                <w:rFonts w:eastAsia="等线"/>
                <w:lang w:eastAsia="zh-CN"/>
              </w:rPr>
            </w:pPr>
            <w:r>
              <w:t>array(EventNotification)</w:t>
            </w:r>
          </w:p>
        </w:tc>
        <w:tc>
          <w:tcPr>
            <w:tcW w:w="425" w:type="dxa"/>
          </w:tcPr>
          <w:p w14:paraId="7F2DAC6B" w14:textId="77777777" w:rsidR="00E06B31" w:rsidRDefault="00E06B31" w:rsidP="008867D9">
            <w:pPr>
              <w:pStyle w:val="TAL"/>
              <w:rPr>
                <w:lang w:eastAsia="zh-CN"/>
              </w:rPr>
            </w:pPr>
            <w:r>
              <w:t>C</w:t>
            </w:r>
          </w:p>
        </w:tc>
        <w:tc>
          <w:tcPr>
            <w:tcW w:w="1134" w:type="dxa"/>
          </w:tcPr>
          <w:p w14:paraId="163C781D" w14:textId="77777777" w:rsidR="00E06B31" w:rsidRDefault="00E06B31" w:rsidP="008867D9">
            <w:pPr>
              <w:pStyle w:val="TAL"/>
            </w:pPr>
            <w:r>
              <w:t>1..N</w:t>
            </w:r>
          </w:p>
        </w:tc>
        <w:tc>
          <w:tcPr>
            <w:tcW w:w="2410" w:type="dxa"/>
          </w:tcPr>
          <w:p w14:paraId="28D8B219" w14:textId="77777777" w:rsidR="00E06B31" w:rsidRDefault="00E06B31" w:rsidP="008867D9">
            <w:pPr>
              <w:pStyle w:val="TAL"/>
            </w:pPr>
            <w:r>
              <w:t>Notifications about Individual Events.</w:t>
            </w:r>
          </w:p>
          <w:p w14:paraId="1C354073" w14:textId="77777777" w:rsidR="00E06B31" w:rsidRDefault="00E06B31" w:rsidP="008867D9">
            <w:pPr>
              <w:pStyle w:val="TAL"/>
            </w:pPr>
            <w:r>
              <w:t>Shall only be present in the response to a subscription creation or modification if the immediate reporting indication in the "immRep" attribute within the "evtReq" attribute was set to true in the request and the reports are available.</w:t>
            </w:r>
          </w:p>
          <w:p w14:paraId="41F64DAD" w14:textId="77777777" w:rsidR="00E06B31" w:rsidRDefault="00E06B31" w:rsidP="008867D9">
            <w:pPr>
              <w:pStyle w:val="TAL"/>
            </w:pPr>
            <w:r>
              <w:t>(NOTE 4)</w:t>
            </w:r>
          </w:p>
        </w:tc>
        <w:tc>
          <w:tcPr>
            <w:tcW w:w="2410" w:type="dxa"/>
          </w:tcPr>
          <w:p w14:paraId="210EADC8" w14:textId="77777777" w:rsidR="00E06B31" w:rsidRDefault="00E06B31" w:rsidP="008867D9">
            <w:pPr>
              <w:pStyle w:val="TAL"/>
              <w:rPr>
                <w:rFonts w:cs="Arial"/>
                <w:szCs w:val="18"/>
              </w:rPr>
            </w:pPr>
          </w:p>
        </w:tc>
      </w:tr>
      <w:tr w:rsidR="00E06B31" w14:paraId="5F83486E" w14:textId="77777777" w:rsidTr="008867D9">
        <w:trPr>
          <w:jc w:val="center"/>
        </w:trPr>
        <w:tc>
          <w:tcPr>
            <w:tcW w:w="1702" w:type="dxa"/>
          </w:tcPr>
          <w:p w14:paraId="2E812232" w14:textId="77777777" w:rsidR="00E06B31" w:rsidRDefault="00E06B31" w:rsidP="008867D9">
            <w:pPr>
              <w:pStyle w:val="TAL"/>
              <w:rPr>
                <w:lang w:eastAsia="zh-CN"/>
              </w:rPr>
            </w:pPr>
            <w:r>
              <w:t>failEventReports</w:t>
            </w:r>
          </w:p>
        </w:tc>
        <w:tc>
          <w:tcPr>
            <w:tcW w:w="1444" w:type="dxa"/>
          </w:tcPr>
          <w:p w14:paraId="2B099994" w14:textId="77777777" w:rsidR="00E06B31" w:rsidRDefault="00E06B31" w:rsidP="008867D9">
            <w:pPr>
              <w:pStyle w:val="TAL"/>
              <w:rPr>
                <w:rFonts w:eastAsia="等线"/>
                <w:lang w:eastAsia="zh-CN"/>
              </w:rPr>
            </w:pPr>
            <w:r>
              <w:t>array(FailureEventInfo)</w:t>
            </w:r>
          </w:p>
        </w:tc>
        <w:tc>
          <w:tcPr>
            <w:tcW w:w="425" w:type="dxa"/>
          </w:tcPr>
          <w:p w14:paraId="2A558C32" w14:textId="77777777" w:rsidR="00E06B31" w:rsidRDefault="00E06B31" w:rsidP="008867D9">
            <w:pPr>
              <w:pStyle w:val="TAL"/>
              <w:rPr>
                <w:lang w:eastAsia="zh-CN"/>
              </w:rPr>
            </w:pPr>
            <w:r>
              <w:t>O</w:t>
            </w:r>
          </w:p>
        </w:tc>
        <w:tc>
          <w:tcPr>
            <w:tcW w:w="1134" w:type="dxa"/>
          </w:tcPr>
          <w:p w14:paraId="2EF0344E" w14:textId="77777777" w:rsidR="00E06B31" w:rsidRDefault="00E06B31" w:rsidP="008867D9">
            <w:pPr>
              <w:pStyle w:val="TAL"/>
            </w:pPr>
            <w:r>
              <w:t>1..N</w:t>
            </w:r>
          </w:p>
        </w:tc>
        <w:tc>
          <w:tcPr>
            <w:tcW w:w="2410" w:type="dxa"/>
          </w:tcPr>
          <w:p w14:paraId="50135B84" w14:textId="77777777" w:rsidR="00E06B31" w:rsidRDefault="00E06B31" w:rsidP="008867D9">
            <w:pPr>
              <w:pStyle w:val="TAL"/>
            </w:pPr>
            <w:r>
              <w:t xml:space="preserve">It may be supplied by the NWDAF in the response to a subscription creation or modification. When available, it contains the event(s) for which the subscription was not successful including the failure reason(s). </w:t>
            </w:r>
          </w:p>
        </w:tc>
        <w:tc>
          <w:tcPr>
            <w:tcW w:w="2410" w:type="dxa"/>
          </w:tcPr>
          <w:p w14:paraId="11AAC63A" w14:textId="77777777" w:rsidR="00E06B31" w:rsidRDefault="00E06B31" w:rsidP="008867D9">
            <w:pPr>
              <w:pStyle w:val="TAL"/>
              <w:rPr>
                <w:rFonts w:cs="Arial"/>
                <w:szCs w:val="18"/>
              </w:rPr>
            </w:pPr>
          </w:p>
        </w:tc>
      </w:tr>
      <w:tr w:rsidR="00E06B31" w14:paraId="21977723" w14:textId="77777777" w:rsidTr="008867D9">
        <w:trPr>
          <w:jc w:val="center"/>
        </w:trPr>
        <w:tc>
          <w:tcPr>
            <w:tcW w:w="1702" w:type="dxa"/>
          </w:tcPr>
          <w:p w14:paraId="4A7E87FD" w14:textId="77777777" w:rsidR="00E06B31" w:rsidRDefault="00E06B31" w:rsidP="008867D9">
            <w:pPr>
              <w:pStyle w:val="TAL"/>
              <w:rPr>
                <w:lang w:eastAsia="zh-CN"/>
              </w:rPr>
            </w:pPr>
            <w:r>
              <w:t>suppFeat</w:t>
            </w:r>
          </w:p>
        </w:tc>
        <w:tc>
          <w:tcPr>
            <w:tcW w:w="1444" w:type="dxa"/>
          </w:tcPr>
          <w:p w14:paraId="7333E18E" w14:textId="77777777" w:rsidR="00E06B31" w:rsidRDefault="00E06B31" w:rsidP="008867D9">
            <w:pPr>
              <w:pStyle w:val="TAL"/>
              <w:rPr>
                <w:rFonts w:eastAsia="等线"/>
                <w:lang w:eastAsia="zh-CN"/>
              </w:rPr>
            </w:pPr>
            <w:r>
              <w:t>SupportedFeatures</w:t>
            </w:r>
          </w:p>
        </w:tc>
        <w:tc>
          <w:tcPr>
            <w:tcW w:w="425" w:type="dxa"/>
          </w:tcPr>
          <w:p w14:paraId="2860ECF6" w14:textId="77777777" w:rsidR="00E06B31" w:rsidRDefault="00E06B31" w:rsidP="008867D9">
            <w:pPr>
              <w:pStyle w:val="TAL"/>
              <w:rPr>
                <w:lang w:eastAsia="zh-CN"/>
              </w:rPr>
            </w:pPr>
            <w:r>
              <w:t>C</w:t>
            </w:r>
          </w:p>
        </w:tc>
        <w:tc>
          <w:tcPr>
            <w:tcW w:w="1134" w:type="dxa"/>
          </w:tcPr>
          <w:p w14:paraId="296F7442" w14:textId="77777777" w:rsidR="00E06B31" w:rsidRDefault="00E06B31" w:rsidP="008867D9">
            <w:pPr>
              <w:pStyle w:val="TAL"/>
            </w:pPr>
            <w:r>
              <w:t>0..1</w:t>
            </w:r>
          </w:p>
        </w:tc>
        <w:tc>
          <w:tcPr>
            <w:tcW w:w="2410" w:type="dxa"/>
          </w:tcPr>
          <w:p w14:paraId="33CBC81E" w14:textId="77777777" w:rsidR="00E06B31" w:rsidRDefault="00E06B31" w:rsidP="008867D9">
            <w:pPr>
              <w:pStyle w:val="TAL"/>
            </w:pPr>
            <w:r>
              <w:t>List of Supported features used as described in clause 5.8.8.</w:t>
            </w:r>
          </w:p>
          <w:p w14:paraId="2BC8ECF5" w14:textId="77777777" w:rsidR="00E06B31" w:rsidRDefault="00E06B31" w:rsidP="008867D9">
            <w:pPr>
              <w:pStyle w:val="TAL"/>
            </w:pPr>
            <w:r>
              <w:t>This parameter shall be included in the response to the subscription creation or modification if it was included in the request.</w:t>
            </w:r>
          </w:p>
        </w:tc>
        <w:tc>
          <w:tcPr>
            <w:tcW w:w="2410" w:type="dxa"/>
          </w:tcPr>
          <w:p w14:paraId="56374679" w14:textId="77777777" w:rsidR="00E06B31" w:rsidRDefault="00E06B31" w:rsidP="008867D9">
            <w:pPr>
              <w:pStyle w:val="TAL"/>
              <w:rPr>
                <w:rFonts w:cs="Arial"/>
                <w:szCs w:val="18"/>
              </w:rPr>
            </w:pPr>
          </w:p>
        </w:tc>
      </w:tr>
      <w:tr w:rsidR="00E06B31" w14:paraId="33FD3C36" w14:textId="77777777" w:rsidTr="008867D9">
        <w:trPr>
          <w:jc w:val="center"/>
        </w:trPr>
        <w:tc>
          <w:tcPr>
            <w:tcW w:w="9525" w:type="dxa"/>
            <w:gridSpan w:val="6"/>
          </w:tcPr>
          <w:p w14:paraId="4AC231C3" w14:textId="77777777" w:rsidR="00E06B31" w:rsidRDefault="00E06B31" w:rsidP="008867D9">
            <w:pPr>
              <w:pStyle w:val="TAN"/>
            </w:pPr>
            <w:r>
              <w:t>NOTE 1:</w:t>
            </w:r>
            <w:r>
              <w:tab/>
              <w:t>The attributes "useCaseCxt", "accuReq", "pauseFlg", "resumeFlg", as well as the attributes "anaMeta" and "anaMetaInd" within the "extraReportReq" attribute, are not applicable here.</w:t>
            </w:r>
          </w:p>
          <w:p w14:paraId="16FBDA96" w14:textId="77777777" w:rsidR="00E06B31" w:rsidRDefault="00E06B31" w:rsidP="008867D9">
            <w:pPr>
              <w:pStyle w:val="TAN"/>
            </w:pPr>
            <w:r>
              <w:t>NOTE 2:</w:t>
            </w:r>
            <w:r>
              <w:tab/>
              <w:t>If the "evtReq" attribute (of data type ReportingInformation) is provided and contains the "notifMethod" attribute, the notification method indicated by the "notifMethod" attribute within the ReportingInformation data type takes precedence over the notification method indicated by the "notificationMethod" attribute within the EventSubscription data type.</w:t>
            </w:r>
            <w:r>
              <w:rPr>
                <w:rFonts w:hint="eastAsia"/>
              </w:rPr>
              <w:t xml:space="preserve"> </w:t>
            </w:r>
          </w:p>
          <w:p w14:paraId="56FD70AD" w14:textId="77777777" w:rsidR="00E06B31" w:rsidRDefault="00E06B31" w:rsidP="008867D9">
            <w:pPr>
              <w:pStyle w:val="TAN"/>
            </w:pPr>
            <w:r>
              <w:t>NOTE 3:</w:t>
            </w:r>
            <w:r>
              <w:tab/>
              <w:t>If the "evtReq" attribute (of data type ReportingInformation) is provided and contains the "repPeriod" attribute, the periodic reporting time indicated by the "repPeriod" attribute in the ReportingInformation data type takes precedence over the periodic reporting time indicated by the "repetitionPeriod" attribute in the EventSubscription data type.</w:t>
            </w:r>
          </w:p>
          <w:p w14:paraId="53D881ED" w14:textId="77777777" w:rsidR="00E06B31" w:rsidRDefault="00E06B31" w:rsidP="008867D9">
            <w:pPr>
              <w:pStyle w:val="TAN"/>
            </w:pPr>
            <w:r>
              <w:t>NOTE 4:</w:t>
            </w:r>
            <w:r>
              <w:tab/>
              <w:t>The attributes "anaMetaInfo", "accuInfo", "cancelAccuInd", "pauseInd", and "resumeInd" are not applicable here.</w:t>
            </w:r>
          </w:p>
        </w:tc>
      </w:tr>
    </w:tbl>
    <w:p w14:paraId="14FBB8AA" w14:textId="77777777" w:rsidR="00E06B31" w:rsidRDefault="00E06B31" w:rsidP="00E06B31">
      <w:pPr>
        <w:rPr>
          <w:noProof/>
          <w:lang w:eastAsia="zh-CN"/>
        </w:rPr>
      </w:pPr>
    </w:p>
    <w:p w14:paraId="17E80B75" w14:textId="77777777" w:rsidR="00A10B25" w:rsidRDefault="00A10B25" w:rsidP="0076721C">
      <w:pPr>
        <w:pStyle w:val="5"/>
      </w:pPr>
      <w:bookmarkStart w:id="16603" w:name="_Toc164921279"/>
      <w:bookmarkStart w:id="16604" w:name="_Toc170120821"/>
      <w:bookmarkStart w:id="16605" w:name="_Toc175859066"/>
      <w:bookmarkStart w:id="16606" w:name="_Toc175860141"/>
      <w:bookmarkStart w:id="16607" w:name="_Toc180606431"/>
      <w:bookmarkStart w:id="16608" w:name="_Toc185517692"/>
      <w:bookmarkStart w:id="16609" w:name="_Toc191576744"/>
      <w:bookmarkStart w:id="16610" w:name="_Toc191577484"/>
      <w:bookmarkStart w:id="16611" w:name="_Toc192880554"/>
      <w:bookmarkStart w:id="16612" w:name="_Toc195815443"/>
      <w:bookmarkStart w:id="16613" w:name="_Toc199453410"/>
      <w:r>
        <w:lastRenderedPageBreak/>
        <w:t>5.8.6.2.3</w:t>
      </w:r>
      <w:r>
        <w:tab/>
        <w:t>Type RoamingAnalyticsNotification</w:t>
      </w:r>
      <w:bookmarkEnd w:id="16603"/>
      <w:bookmarkEnd w:id="16604"/>
      <w:bookmarkEnd w:id="16605"/>
      <w:bookmarkEnd w:id="16606"/>
      <w:bookmarkEnd w:id="16607"/>
      <w:bookmarkEnd w:id="16608"/>
      <w:bookmarkEnd w:id="16609"/>
      <w:bookmarkEnd w:id="16610"/>
      <w:bookmarkEnd w:id="16611"/>
      <w:bookmarkEnd w:id="16612"/>
      <w:bookmarkEnd w:id="16613"/>
    </w:p>
    <w:p w14:paraId="3C0C35BC" w14:textId="77777777" w:rsidR="00A10B25" w:rsidRDefault="00A10B25" w:rsidP="0076721C">
      <w:pPr>
        <w:pStyle w:val="TH"/>
      </w:pPr>
      <w:r>
        <w:t xml:space="preserve">Table 5.8.6.2.3-1: Definition of type </w:t>
      </w:r>
      <w:r>
        <w:rPr>
          <w:rFonts w:eastAsia="等线"/>
        </w:rPr>
        <w:t>RoamingAnalyticsNotification</w:t>
      </w:r>
    </w:p>
    <w:tbl>
      <w:tblPr>
        <w:tblW w:w="952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2410"/>
        <w:gridCol w:w="2410"/>
      </w:tblGrid>
      <w:tr w:rsidR="00A10B25" w14:paraId="375B3074" w14:textId="77777777">
        <w:trPr>
          <w:jc w:val="center"/>
        </w:trPr>
        <w:tc>
          <w:tcPr>
            <w:tcW w:w="1702" w:type="dxa"/>
            <w:shd w:val="clear" w:color="auto" w:fill="C0C0C0"/>
          </w:tcPr>
          <w:p w14:paraId="3B7649E9" w14:textId="77777777" w:rsidR="00A10B25" w:rsidRDefault="00A10B25">
            <w:pPr>
              <w:keepNext/>
              <w:keepLines/>
              <w:spacing w:after="0"/>
              <w:jc w:val="center"/>
              <w:rPr>
                <w:rFonts w:ascii="Arial" w:hAnsi="Arial"/>
                <w:b/>
                <w:sz w:val="18"/>
              </w:rPr>
            </w:pPr>
            <w:r>
              <w:rPr>
                <w:rFonts w:ascii="Arial" w:hAnsi="Arial"/>
                <w:b/>
                <w:sz w:val="18"/>
              </w:rPr>
              <w:t>Attribute name</w:t>
            </w:r>
          </w:p>
        </w:tc>
        <w:tc>
          <w:tcPr>
            <w:tcW w:w="1444" w:type="dxa"/>
            <w:shd w:val="clear" w:color="auto" w:fill="C0C0C0"/>
          </w:tcPr>
          <w:p w14:paraId="43FE369A" w14:textId="77777777" w:rsidR="00A10B25" w:rsidRDefault="00A10B25">
            <w:pPr>
              <w:keepNext/>
              <w:keepLines/>
              <w:spacing w:after="0"/>
              <w:jc w:val="center"/>
              <w:rPr>
                <w:rFonts w:ascii="Arial" w:hAnsi="Arial"/>
                <w:b/>
                <w:sz w:val="18"/>
              </w:rPr>
            </w:pPr>
            <w:r>
              <w:rPr>
                <w:rFonts w:ascii="Arial" w:hAnsi="Arial"/>
                <w:b/>
                <w:sz w:val="18"/>
              </w:rPr>
              <w:t>Data type</w:t>
            </w:r>
          </w:p>
        </w:tc>
        <w:tc>
          <w:tcPr>
            <w:tcW w:w="425" w:type="dxa"/>
            <w:shd w:val="clear" w:color="auto" w:fill="C0C0C0"/>
          </w:tcPr>
          <w:p w14:paraId="0A818C50" w14:textId="77777777" w:rsidR="00A10B25" w:rsidRDefault="00A10B25">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26F08ECA" w14:textId="77777777" w:rsidR="00A10B25" w:rsidRDefault="00A10B25">
            <w:pPr>
              <w:keepNext/>
              <w:keepLines/>
              <w:spacing w:after="0"/>
              <w:rPr>
                <w:rFonts w:ascii="Arial" w:hAnsi="Arial"/>
                <w:b/>
                <w:sz w:val="18"/>
              </w:rPr>
            </w:pPr>
            <w:r>
              <w:rPr>
                <w:rFonts w:ascii="Arial" w:hAnsi="Arial"/>
                <w:b/>
                <w:sz w:val="18"/>
              </w:rPr>
              <w:t>Cardinality</w:t>
            </w:r>
          </w:p>
        </w:tc>
        <w:tc>
          <w:tcPr>
            <w:tcW w:w="2410" w:type="dxa"/>
            <w:shd w:val="clear" w:color="auto" w:fill="C0C0C0"/>
          </w:tcPr>
          <w:p w14:paraId="75A297EC" w14:textId="77777777" w:rsidR="00A10B25" w:rsidRDefault="00A10B25">
            <w:pPr>
              <w:keepNext/>
              <w:keepLines/>
              <w:spacing w:after="0"/>
              <w:jc w:val="center"/>
              <w:rPr>
                <w:rFonts w:ascii="Arial" w:hAnsi="Arial" w:cs="Arial"/>
                <w:b/>
                <w:sz w:val="18"/>
                <w:szCs w:val="18"/>
              </w:rPr>
            </w:pPr>
            <w:r>
              <w:rPr>
                <w:rFonts w:ascii="Arial" w:hAnsi="Arial" w:cs="Arial"/>
                <w:b/>
                <w:sz w:val="18"/>
                <w:szCs w:val="18"/>
              </w:rPr>
              <w:t>Description</w:t>
            </w:r>
          </w:p>
        </w:tc>
        <w:tc>
          <w:tcPr>
            <w:tcW w:w="2410" w:type="dxa"/>
            <w:shd w:val="clear" w:color="auto" w:fill="C0C0C0"/>
          </w:tcPr>
          <w:p w14:paraId="79AB2FF1" w14:textId="77777777" w:rsidR="00A10B25" w:rsidRDefault="00A10B25">
            <w:pPr>
              <w:keepNext/>
              <w:keepLines/>
              <w:spacing w:after="0"/>
              <w:jc w:val="center"/>
              <w:rPr>
                <w:rFonts w:ascii="Arial" w:hAnsi="Arial" w:cs="Arial"/>
                <w:b/>
                <w:sz w:val="18"/>
                <w:szCs w:val="18"/>
              </w:rPr>
            </w:pPr>
            <w:r>
              <w:rPr>
                <w:rFonts w:ascii="Arial" w:hAnsi="Arial" w:cs="Arial"/>
                <w:b/>
                <w:sz w:val="18"/>
                <w:szCs w:val="18"/>
              </w:rPr>
              <w:t>Applicability</w:t>
            </w:r>
          </w:p>
        </w:tc>
      </w:tr>
      <w:tr w:rsidR="00A10B25" w14:paraId="5982C56D" w14:textId="77777777">
        <w:trPr>
          <w:jc w:val="center"/>
        </w:trPr>
        <w:tc>
          <w:tcPr>
            <w:tcW w:w="1702" w:type="dxa"/>
          </w:tcPr>
          <w:p w14:paraId="405EAE61" w14:textId="77777777" w:rsidR="00A10B25" w:rsidRDefault="00A10B25">
            <w:pPr>
              <w:pStyle w:val="TAL"/>
            </w:pPr>
            <w:r>
              <w:t>roamEventNotifs</w:t>
            </w:r>
          </w:p>
        </w:tc>
        <w:tc>
          <w:tcPr>
            <w:tcW w:w="1444" w:type="dxa"/>
          </w:tcPr>
          <w:p w14:paraId="0B5489B8" w14:textId="77777777" w:rsidR="00A10B25" w:rsidRDefault="00A10B25">
            <w:pPr>
              <w:pStyle w:val="TAL"/>
            </w:pPr>
            <w:r>
              <w:t>array(EventNotification)</w:t>
            </w:r>
          </w:p>
        </w:tc>
        <w:tc>
          <w:tcPr>
            <w:tcW w:w="425" w:type="dxa"/>
          </w:tcPr>
          <w:p w14:paraId="45342073" w14:textId="77777777" w:rsidR="00A10B25" w:rsidRDefault="00A10B25">
            <w:pPr>
              <w:pStyle w:val="TAL"/>
              <w:rPr>
                <w:lang w:eastAsia="zh-CN"/>
              </w:rPr>
            </w:pPr>
            <w:r>
              <w:rPr>
                <w:lang w:eastAsia="zh-CN"/>
              </w:rPr>
              <w:t>M</w:t>
            </w:r>
          </w:p>
        </w:tc>
        <w:tc>
          <w:tcPr>
            <w:tcW w:w="1134" w:type="dxa"/>
          </w:tcPr>
          <w:p w14:paraId="7BCDB5FD" w14:textId="77777777" w:rsidR="00A10B25" w:rsidRDefault="00A10B25">
            <w:pPr>
              <w:pStyle w:val="TAL"/>
            </w:pPr>
            <w:r>
              <w:t>1..N</w:t>
            </w:r>
          </w:p>
        </w:tc>
        <w:tc>
          <w:tcPr>
            <w:tcW w:w="2410" w:type="dxa"/>
          </w:tcPr>
          <w:p w14:paraId="1DCB9F6D" w14:textId="77777777" w:rsidR="00A10B25" w:rsidRDefault="00A10B25">
            <w:pPr>
              <w:pStyle w:val="TAL"/>
            </w:pPr>
            <w:r>
              <w:t>Notifications about Individual Events.</w:t>
            </w:r>
          </w:p>
          <w:p w14:paraId="27AFDD75" w14:textId="77777777" w:rsidR="00A10B25" w:rsidRDefault="00A10B25">
            <w:pPr>
              <w:pStyle w:val="TAL"/>
            </w:pPr>
            <w:r>
              <w:rPr>
                <w:lang w:eastAsia="zh-CN"/>
              </w:rPr>
              <w:t>(NOTE)</w:t>
            </w:r>
          </w:p>
        </w:tc>
        <w:tc>
          <w:tcPr>
            <w:tcW w:w="2410" w:type="dxa"/>
          </w:tcPr>
          <w:p w14:paraId="20CFA893" w14:textId="77777777" w:rsidR="00A10B25" w:rsidRDefault="00A10B25">
            <w:pPr>
              <w:pStyle w:val="TAL"/>
              <w:rPr>
                <w:rFonts w:cs="Arial"/>
                <w:szCs w:val="18"/>
              </w:rPr>
            </w:pPr>
          </w:p>
        </w:tc>
      </w:tr>
      <w:tr w:rsidR="00A10B25" w14:paraId="7D629052" w14:textId="77777777">
        <w:trPr>
          <w:jc w:val="center"/>
        </w:trPr>
        <w:tc>
          <w:tcPr>
            <w:tcW w:w="1702" w:type="dxa"/>
          </w:tcPr>
          <w:p w14:paraId="08DCBF04" w14:textId="77777777" w:rsidR="00A10B25" w:rsidRDefault="00A10B25">
            <w:pPr>
              <w:pStyle w:val="TAL"/>
            </w:pPr>
            <w:r>
              <w:t>notifCorrId</w:t>
            </w:r>
          </w:p>
        </w:tc>
        <w:tc>
          <w:tcPr>
            <w:tcW w:w="1444" w:type="dxa"/>
          </w:tcPr>
          <w:p w14:paraId="1798BCD2" w14:textId="77777777" w:rsidR="00A10B25" w:rsidRDefault="00A10B25">
            <w:pPr>
              <w:pStyle w:val="TAL"/>
            </w:pPr>
            <w:r>
              <w:t>string</w:t>
            </w:r>
          </w:p>
        </w:tc>
        <w:tc>
          <w:tcPr>
            <w:tcW w:w="425" w:type="dxa"/>
          </w:tcPr>
          <w:p w14:paraId="599078E3" w14:textId="77777777" w:rsidR="00A10B25" w:rsidRDefault="00A10B25">
            <w:pPr>
              <w:pStyle w:val="TAL"/>
            </w:pPr>
            <w:r>
              <w:t>M</w:t>
            </w:r>
          </w:p>
        </w:tc>
        <w:tc>
          <w:tcPr>
            <w:tcW w:w="1134" w:type="dxa"/>
          </w:tcPr>
          <w:p w14:paraId="167A89F0" w14:textId="77777777" w:rsidR="00A10B25" w:rsidRDefault="00A10B25">
            <w:pPr>
              <w:pStyle w:val="TAL"/>
            </w:pPr>
            <w:r>
              <w:t>1</w:t>
            </w:r>
          </w:p>
        </w:tc>
        <w:tc>
          <w:tcPr>
            <w:tcW w:w="2410" w:type="dxa"/>
          </w:tcPr>
          <w:p w14:paraId="760A7E1F" w14:textId="77777777" w:rsidR="00A10B25" w:rsidRDefault="00A10B25">
            <w:pPr>
              <w:pStyle w:val="TAL"/>
            </w:pPr>
            <w:r>
              <w:t>Notification correlation identifier.</w:t>
            </w:r>
          </w:p>
        </w:tc>
        <w:tc>
          <w:tcPr>
            <w:tcW w:w="2410" w:type="dxa"/>
          </w:tcPr>
          <w:p w14:paraId="0B956579" w14:textId="77777777" w:rsidR="00A10B25" w:rsidRDefault="00A10B25">
            <w:pPr>
              <w:pStyle w:val="TAL"/>
            </w:pPr>
          </w:p>
        </w:tc>
      </w:tr>
      <w:tr w:rsidR="00A10B25" w14:paraId="3C298F11" w14:textId="77777777">
        <w:trPr>
          <w:jc w:val="center"/>
        </w:trPr>
        <w:tc>
          <w:tcPr>
            <w:tcW w:w="1702" w:type="dxa"/>
          </w:tcPr>
          <w:p w14:paraId="494790ED" w14:textId="77777777" w:rsidR="00A10B25" w:rsidRDefault="00A10B25">
            <w:pPr>
              <w:pStyle w:val="TAL"/>
            </w:pPr>
            <w:r>
              <w:t>termCause</w:t>
            </w:r>
          </w:p>
        </w:tc>
        <w:tc>
          <w:tcPr>
            <w:tcW w:w="1444" w:type="dxa"/>
          </w:tcPr>
          <w:p w14:paraId="598FA6BE" w14:textId="77777777" w:rsidR="00A10B25" w:rsidRDefault="00A10B25">
            <w:pPr>
              <w:pStyle w:val="TAL"/>
            </w:pPr>
            <w:r>
              <w:t>TermCause</w:t>
            </w:r>
          </w:p>
        </w:tc>
        <w:tc>
          <w:tcPr>
            <w:tcW w:w="425" w:type="dxa"/>
          </w:tcPr>
          <w:p w14:paraId="76FCAE46" w14:textId="77777777" w:rsidR="00A10B25" w:rsidRDefault="00A10B25">
            <w:pPr>
              <w:pStyle w:val="TAL"/>
            </w:pPr>
            <w:r>
              <w:t>O</w:t>
            </w:r>
          </w:p>
        </w:tc>
        <w:tc>
          <w:tcPr>
            <w:tcW w:w="1134" w:type="dxa"/>
          </w:tcPr>
          <w:p w14:paraId="56B698CE" w14:textId="77777777" w:rsidR="00A10B25" w:rsidRDefault="00A10B25">
            <w:pPr>
              <w:pStyle w:val="TAL"/>
            </w:pPr>
            <w:r>
              <w:t>0..1</w:t>
            </w:r>
          </w:p>
        </w:tc>
        <w:tc>
          <w:tcPr>
            <w:tcW w:w="2410" w:type="dxa"/>
            <w:vAlign w:val="center"/>
          </w:tcPr>
          <w:p w14:paraId="36110DE6" w14:textId="77777777" w:rsidR="00A10B25" w:rsidRDefault="00A10B25">
            <w:pPr>
              <w:pStyle w:val="TAL"/>
            </w:pPr>
            <w:r>
              <w:t>A cause for which the NWDAF will send no further notifications for this subscription. Its presence indicates that the NWDAF requests the termination of the subscription.</w:t>
            </w:r>
          </w:p>
        </w:tc>
        <w:tc>
          <w:tcPr>
            <w:tcW w:w="2410" w:type="dxa"/>
          </w:tcPr>
          <w:p w14:paraId="474EFC15" w14:textId="77777777" w:rsidR="00A10B25" w:rsidRDefault="00A10B25">
            <w:pPr>
              <w:pStyle w:val="TAL"/>
            </w:pPr>
          </w:p>
        </w:tc>
      </w:tr>
      <w:tr w:rsidR="00A10B25" w14:paraId="522680D8" w14:textId="77777777">
        <w:trPr>
          <w:jc w:val="center"/>
        </w:trPr>
        <w:tc>
          <w:tcPr>
            <w:tcW w:w="9525" w:type="dxa"/>
            <w:gridSpan w:val="6"/>
          </w:tcPr>
          <w:p w14:paraId="2162460F" w14:textId="77777777" w:rsidR="00A10B25" w:rsidRDefault="00A10B25">
            <w:pPr>
              <w:keepNext/>
              <w:keepLines/>
              <w:spacing w:after="0"/>
              <w:ind w:left="851" w:hanging="851"/>
              <w:rPr>
                <w:rFonts w:ascii="Arial" w:hAnsi="Arial"/>
                <w:sz w:val="18"/>
              </w:rPr>
            </w:pPr>
            <w:r>
              <w:rPr>
                <w:rFonts w:ascii="Arial" w:hAnsi="Arial"/>
                <w:sz w:val="18"/>
              </w:rPr>
              <w:t>NOTE:</w:t>
            </w:r>
            <w:r>
              <w:rPr>
                <w:rFonts w:ascii="Arial" w:hAnsi="Arial"/>
                <w:sz w:val="18"/>
              </w:rPr>
              <w:tab/>
              <w:t>The attributes "anaMetaInfo", "accuInfo", "cancelAccuInd", "pauseInd", and "resumeInd" are not applicable here.</w:t>
            </w:r>
          </w:p>
        </w:tc>
      </w:tr>
    </w:tbl>
    <w:p w14:paraId="2A29BEAE" w14:textId="77777777" w:rsidR="00A10B25" w:rsidRDefault="00A10B25">
      <w:pPr>
        <w:rPr>
          <w:lang w:eastAsia="zh-CN"/>
        </w:rPr>
      </w:pPr>
    </w:p>
    <w:p w14:paraId="1E84D561" w14:textId="77777777" w:rsidR="00A10B25" w:rsidRDefault="00A10B25" w:rsidP="0076721C">
      <w:pPr>
        <w:pStyle w:val="3"/>
        <w:rPr>
          <w:lang w:val="en-US"/>
        </w:rPr>
      </w:pPr>
      <w:bookmarkStart w:id="16614" w:name="_Toc164921280"/>
      <w:bookmarkStart w:id="16615" w:name="_Toc170120822"/>
      <w:bookmarkStart w:id="16616" w:name="_Toc175859067"/>
      <w:bookmarkStart w:id="16617" w:name="_Toc175860142"/>
      <w:bookmarkStart w:id="16618" w:name="_Toc180606432"/>
      <w:bookmarkStart w:id="16619" w:name="_Toc185517693"/>
      <w:bookmarkStart w:id="16620" w:name="_Toc191576745"/>
      <w:bookmarkStart w:id="16621" w:name="_Toc191577485"/>
      <w:bookmarkStart w:id="16622" w:name="_Toc192880555"/>
      <w:bookmarkStart w:id="16623" w:name="_Toc195815444"/>
      <w:bookmarkStart w:id="16624" w:name="_Toc199453411"/>
      <w:r>
        <w:rPr>
          <w:lang w:val="en-US"/>
        </w:rPr>
        <w:t>5.8.7</w:t>
      </w:r>
      <w:r>
        <w:rPr>
          <w:lang w:val="en-US"/>
        </w:rPr>
        <w:tab/>
        <w:t>Error handling</w:t>
      </w:r>
      <w:bookmarkEnd w:id="16614"/>
      <w:bookmarkEnd w:id="16615"/>
      <w:bookmarkEnd w:id="16616"/>
      <w:bookmarkEnd w:id="16617"/>
      <w:bookmarkEnd w:id="16618"/>
      <w:bookmarkEnd w:id="16619"/>
      <w:bookmarkEnd w:id="16620"/>
      <w:bookmarkEnd w:id="16621"/>
      <w:bookmarkEnd w:id="16622"/>
      <w:bookmarkEnd w:id="16623"/>
      <w:bookmarkEnd w:id="16624"/>
    </w:p>
    <w:p w14:paraId="68FABE9B" w14:textId="77777777" w:rsidR="00A10B25" w:rsidRDefault="00A10B25" w:rsidP="0076721C">
      <w:pPr>
        <w:pStyle w:val="4"/>
      </w:pPr>
      <w:bookmarkStart w:id="16625" w:name="_Toc164921281"/>
      <w:bookmarkStart w:id="16626" w:name="_Toc170120823"/>
      <w:bookmarkStart w:id="16627" w:name="_Toc175859068"/>
      <w:bookmarkStart w:id="16628" w:name="_Toc175860143"/>
      <w:bookmarkStart w:id="16629" w:name="_Toc180606433"/>
      <w:bookmarkStart w:id="16630" w:name="_Toc185517694"/>
      <w:bookmarkStart w:id="16631" w:name="_Toc191576746"/>
      <w:bookmarkStart w:id="16632" w:name="_Toc191577486"/>
      <w:bookmarkStart w:id="16633" w:name="_Toc192880556"/>
      <w:bookmarkStart w:id="16634" w:name="_Toc195815445"/>
      <w:bookmarkStart w:id="16635" w:name="_Toc199453412"/>
      <w:r>
        <w:t>5.8.7.1</w:t>
      </w:r>
      <w:r>
        <w:tab/>
        <w:t>General</w:t>
      </w:r>
      <w:bookmarkEnd w:id="16625"/>
      <w:bookmarkEnd w:id="16626"/>
      <w:bookmarkEnd w:id="16627"/>
      <w:bookmarkEnd w:id="16628"/>
      <w:bookmarkEnd w:id="16629"/>
      <w:bookmarkEnd w:id="16630"/>
      <w:bookmarkEnd w:id="16631"/>
      <w:bookmarkEnd w:id="16632"/>
      <w:bookmarkEnd w:id="16633"/>
      <w:bookmarkEnd w:id="16634"/>
      <w:bookmarkEnd w:id="16635"/>
    </w:p>
    <w:p w14:paraId="766F2E60" w14:textId="77777777" w:rsidR="00A10B25" w:rsidRDefault="00A10B25">
      <w:pPr>
        <w:rPr>
          <w:rFonts w:eastAsia="Batang"/>
        </w:rPr>
      </w:pPr>
      <w:r>
        <w:rPr>
          <w:rFonts w:eastAsia="Batang"/>
        </w:rPr>
        <w:t>HTTP error handling shall be supported as specified in clause 5.2.4 of TS 29.500 [6].</w:t>
      </w:r>
    </w:p>
    <w:p w14:paraId="22531290" w14:textId="77777777" w:rsidR="00A10B25" w:rsidRDefault="00A10B25">
      <w:pPr>
        <w:rPr>
          <w:rFonts w:eastAsia="Batang"/>
        </w:rPr>
      </w:pPr>
      <w:r>
        <w:rPr>
          <w:rFonts w:eastAsia="Batang"/>
        </w:rPr>
        <w:t xml:space="preserve">For the </w:t>
      </w:r>
      <w:r>
        <w:rPr>
          <w:lang w:eastAsia="ja-JP"/>
        </w:rPr>
        <w:t>Nnwdaf_RoamingAnalytics</w:t>
      </w:r>
      <w:r>
        <w:rPr>
          <w:rFonts w:eastAsia="Batang"/>
        </w:rPr>
        <w:t xml:space="preserve"> API, HTTP error responses shall be supported as specified in clause 4.8 of TS 29.501 [7]. Protocol errors and application errors specified in table 5.2.7.2-1 of TS 29.500 [6] shall be supported for an HTTP method if the corresponding HTTP status codes are specified as mandatory for that HTTP method in table 5.2.7.1-1 of TS 29.500 [6]. In addition, the requirements in the following clauses shall apply.</w:t>
      </w:r>
    </w:p>
    <w:p w14:paraId="67FBD130" w14:textId="77777777" w:rsidR="00A10B25" w:rsidRDefault="00A10B25" w:rsidP="0076721C">
      <w:pPr>
        <w:pStyle w:val="4"/>
      </w:pPr>
      <w:bookmarkStart w:id="16636" w:name="_Toc164921282"/>
      <w:bookmarkStart w:id="16637" w:name="_Toc170120824"/>
      <w:bookmarkStart w:id="16638" w:name="_Toc175859069"/>
      <w:bookmarkStart w:id="16639" w:name="_Toc175860144"/>
      <w:bookmarkStart w:id="16640" w:name="_Toc180606434"/>
      <w:bookmarkStart w:id="16641" w:name="_Toc185517695"/>
      <w:bookmarkStart w:id="16642" w:name="_Toc191576747"/>
      <w:bookmarkStart w:id="16643" w:name="_Toc191577487"/>
      <w:bookmarkStart w:id="16644" w:name="_Toc192880557"/>
      <w:bookmarkStart w:id="16645" w:name="_Toc195815446"/>
      <w:bookmarkStart w:id="16646" w:name="_Toc199453413"/>
      <w:r>
        <w:t>5.8.7.2</w:t>
      </w:r>
      <w:r>
        <w:tab/>
        <w:t>Protocol Errors</w:t>
      </w:r>
      <w:bookmarkEnd w:id="16636"/>
      <w:bookmarkEnd w:id="16637"/>
      <w:bookmarkEnd w:id="16638"/>
      <w:bookmarkEnd w:id="16639"/>
      <w:bookmarkEnd w:id="16640"/>
      <w:bookmarkEnd w:id="16641"/>
      <w:bookmarkEnd w:id="16642"/>
      <w:bookmarkEnd w:id="16643"/>
      <w:bookmarkEnd w:id="16644"/>
      <w:bookmarkEnd w:id="16645"/>
      <w:bookmarkEnd w:id="16646"/>
    </w:p>
    <w:p w14:paraId="42950517" w14:textId="77777777" w:rsidR="00A10B25" w:rsidRDefault="00A10B25">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r>
        <w:rPr>
          <w:lang w:eastAsia="ja-JP"/>
        </w:rPr>
        <w:t>Nnwdaf_RoamingAnalytics</w:t>
      </w:r>
      <w:r>
        <w:rPr>
          <w:rFonts w:eastAsia="Batang"/>
        </w:rPr>
        <w:t xml:space="preserve"> API.</w:t>
      </w:r>
    </w:p>
    <w:p w14:paraId="69F11759" w14:textId="77777777" w:rsidR="003E1F9F" w:rsidRPr="00F710E9" w:rsidRDefault="003E1F9F" w:rsidP="003E1F9F">
      <w:pPr>
        <w:keepNext/>
        <w:keepLines/>
        <w:spacing w:before="120"/>
        <w:ind w:left="1418" w:hanging="1418"/>
        <w:outlineLvl w:val="3"/>
        <w:rPr>
          <w:rFonts w:ascii="Arial" w:eastAsia="Batang" w:hAnsi="Arial"/>
          <w:sz w:val="28"/>
        </w:rPr>
      </w:pPr>
      <w:r w:rsidRPr="00F710E9">
        <w:rPr>
          <w:rFonts w:ascii="Arial" w:hAnsi="Arial"/>
          <w:sz w:val="24"/>
        </w:rPr>
        <w:t>5.8.7.3</w:t>
      </w:r>
      <w:r w:rsidRPr="00F710E9">
        <w:rPr>
          <w:rFonts w:ascii="Arial" w:hAnsi="Arial"/>
          <w:sz w:val="24"/>
        </w:rPr>
        <w:tab/>
        <w:t>Application Errors</w:t>
      </w:r>
    </w:p>
    <w:p w14:paraId="6119A2EC" w14:textId="77777777" w:rsidR="003E1F9F" w:rsidRPr="00F710E9" w:rsidRDefault="003E1F9F" w:rsidP="003E1F9F">
      <w:pPr>
        <w:rPr>
          <w:rFonts w:eastAsia="Batang"/>
        </w:rPr>
      </w:pPr>
      <w:r w:rsidRPr="00F710E9">
        <w:rPr>
          <w:rFonts w:eastAsia="Batang"/>
        </w:rPr>
        <w:t xml:space="preserve">The application errors defined for the </w:t>
      </w:r>
      <w:r w:rsidRPr="00F710E9">
        <w:rPr>
          <w:lang w:eastAsia="ja-JP"/>
        </w:rPr>
        <w:t>Nnwdaf_RoamingAnalytics</w:t>
      </w:r>
      <w:r w:rsidRPr="00F710E9">
        <w:rPr>
          <w:rFonts w:eastAsia="Batang"/>
        </w:rPr>
        <w:t xml:space="preserve"> API are listed in table 5.8.7.3-1.</w:t>
      </w:r>
    </w:p>
    <w:p w14:paraId="2F8C1FA9" w14:textId="77777777" w:rsidR="003E1F9F" w:rsidRPr="00F710E9" w:rsidRDefault="003E1F9F" w:rsidP="003E1F9F">
      <w:pPr>
        <w:keepNext/>
        <w:keepLines/>
        <w:spacing w:before="60"/>
        <w:jc w:val="center"/>
        <w:rPr>
          <w:rFonts w:ascii="Arial" w:hAnsi="Arial"/>
          <w:b/>
        </w:rPr>
      </w:pPr>
      <w:r w:rsidRPr="00F710E9">
        <w:rPr>
          <w:rFonts w:ascii="Arial" w:hAnsi="Arial"/>
          <w:b/>
        </w:rPr>
        <w:t>Table 5.8.7.3-1: Application errors</w:t>
      </w:r>
    </w:p>
    <w:tbl>
      <w:tblPr>
        <w:tblW w:w="9348"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2977"/>
        <w:gridCol w:w="1843"/>
      </w:tblGrid>
      <w:tr w:rsidR="003E1F9F" w:rsidRPr="00F710E9" w14:paraId="2EF35095" w14:textId="77777777" w:rsidTr="005A20DD">
        <w:trPr>
          <w:cantSplit/>
          <w:jc w:val="center"/>
        </w:trPr>
        <w:tc>
          <w:tcPr>
            <w:tcW w:w="2686" w:type="dxa"/>
            <w:shd w:val="clear" w:color="auto" w:fill="C0C0C0"/>
          </w:tcPr>
          <w:p w14:paraId="2DA76DC3"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Application Error</w:t>
            </w:r>
          </w:p>
        </w:tc>
        <w:tc>
          <w:tcPr>
            <w:tcW w:w="1842" w:type="dxa"/>
            <w:shd w:val="clear" w:color="auto" w:fill="C0C0C0"/>
          </w:tcPr>
          <w:p w14:paraId="0B2AA3BD"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HTTP status code</w:t>
            </w:r>
          </w:p>
        </w:tc>
        <w:tc>
          <w:tcPr>
            <w:tcW w:w="2977" w:type="dxa"/>
            <w:shd w:val="clear" w:color="auto" w:fill="C0C0C0"/>
          </w:tcPr>
          <w:p w14:paraId="7DD85196" w14:textId="77777777" w:rsidR="003E1F9F" w:rsidRPr="00F710E9" w:rsidRDefault="003E1F9F" w:rsidP="005A20DD">
            <w:pPr>
              <w:keepNext/>
              <w:keepLines/>
              <w:spacing w:after="0"/>
              <w:jc w:val="center"/>
              <w:rPr>
                <w:rFonts w:ascii="Arial" w:hAnsi="Arial"/>
                <w:b/>
                <w:sz w:val="18"/>
              </w:rPr>
            </w:pPr>
            <w:r w:rsidRPr="00F710E9">
              <w:rPr>
                <w:rFonts w:ascii="Arial" w:hAnsi="Arial"/>
                <w:b/>
                <w:sz w:val="18"/>
              </w:rPr>
              <w:t>Description</w:t>
            </w:r>
          </w:p>
        </w:tc>
        <w:tc>
          <w:tcPr>
            <w:tcW w:w="1843" w:type="dxa"/>
            <w:shd w:val="clear" w:color="auto" w:fill="C0C0C0"/>
          </w:tcPr>
          <w:p w14:paraId="6EBEF614" w14:textId="77777777" w:rsidR="003E1F9F" w:rsidRPr="00F710E9" w:rsidRDefault="003E1F9F" w:rsidP="005A20DD">
            <w:pPr>
              <w:keepNext/>
              <w:keepLines/>
              <w:spacing w:after="0"/>
              <w:jc w:val="center"/>
              <w:rPr>
                <w:rFonts w:ascii="Arial" w:hAnsi="Arial"/>
                <w:b/>
                <w:sz w:val="18"/>
              </w:rPr>
            </w:pPr>
            <w:r>
              <w:rPr>
                <w:rFonts w:ascii="Arial" w:hAnsi="Arial"/>
                <w:b/>
                <w:sz w:val="18"/>
              </w:rPr>
              <w:t>Applicability</w:t>
            </w:r>
          </w:p>
        </w:tc>
      </w:tr>
      <w:tr w:rsidR="003E1F9F" w:rsidRPr="00F710E9" w14:paraId="6EC9808F" w14:textId="77777777" w:rsidTr="005A20DD">
        <w:trPr>
          <w:cantSplit/>
          <w:jc w:val="center"/>
        </w:trPr>
        <w:tc>
          <w:tcPr>
            <w:tcW w:w="2686" w:type="dxa"/>
          </w:tcPr>
          <w:p w14:paraId="47672C96" w14:textId="77777777" w:rsidR="003E1F9F" w:rsidRPr="00F710E9" w:rsidRDefault="003E1F9F" w:rsidP="005A20DD">
            <w:pPr>
              <w:keepNext/>
              <w:keepLines/>
              <w:spacing w:after="0"/>
              <w:rPr>
                <w:rFonts w:ascii="Arial" w:hAnsi="Arial"/>
                <w:sz w:val="18"/>
              </w:rPr>
            </w:pPr>
            <w:r w:rsidRPr="00F710E9">
              <w:rPr>
                <w:rFonts w:ascii="Arial" w:hAnsi="Arial"/>
                <w:sz w:val="18"/>
              </w:rPr>
              <w:t>BOTH_STAT_PRED_NOT_ALLOWED</w:t>
            </w:r>
          </w:p>
        </w:tc>
        <w:tc>
          <w:tcPr>
            <w:tcW w:w="1842" w:type="dxa"/>
          </w:tcPr>
          <w:p w14:paraId="5C2642C5" w14:textId="77777777" w:rsidR="003E1F9F" w:rsidRPr="00F710E9" w:rsidRDefault="003E1F9F" w:rsidP="005A20DD">
            <w:pPr>
              <w:keepNext/>
              <w:keepLines/>
              <w:spacing w:after="0"/>
              <w:rPr>
                <w:rFonts w:ascii="Arial" w:hAnsi="Arial"/>
                <w:sz w:val="18"/>
              </w:rPr>
            </w:pPr>
            <w:r w:rsidRPr="00F710E9">
              <w:rPr>
                <w:rFonts w:ascii="Arial" w:hAnsi="Arial"/>
                <w:sz w:val="18"/>
              </w:rPr>
              <w:t>400 Bad Request</w:t>
            </w:r>
          </w:p>
        </w:tc>
        <w:tc>
          <w:tcPr>
            <w:tcW w:w="2977" w:type="dxa"/>
          </w:tcPr>
          <w:p w14:paraId="42DC55F5" w14:textId="77777777" w:rsidR="003E1F9F" w:rsidRPr="00F710E9" w:rsidRDefault="003E1F9F" w:rsidP="005A20DD">
            <w:pPr>
              <w:keepNext/>
              <w:keepLines/>
              <w:spacing w:after="0"/>
              <w:rPr>
                <w:rFonts w:ascii="Arial" w:hAnsi="Arial"/>
                <w:sz w:val="18"/>
              </w:rPr>
            </w:pPr>
            <w:r w:rsidRPr="00F710E9">
              <w:rPr>
                <w:rFonts w:ascii="Arial" w:hAnsi="Arial"/>
                <w:sz w:val="18"/>
              </w:rPr>
              <w:t>For the requested observation period, the start time is in the past and the end time is in the future, which means the NF service consumer requested both statistics and prediction for the analytics.</w:t>
            </w:r>
          </w:p>
        </w:tc>
        <w:tc>
          <w:tcPr>
            <w:tcW w:w="1843" w:type="dxa"/>
          </w:tcPr>
          <w:p w14:paraId="19DA8268" w14:textId="77777777" w:rsidR="003E1F9F" w:rsidRPr="00F710E9" w:rsidRDefault="003E1F9F" w:rsidP="005A20DD">
            <w:pPr>
              <w:keepNext/>
              <w:keepLines/>
              <w:spacing w:after="0"/>
              <w:rPr>
                <w:rFonts w:ascii="Arial" w:hAnsi="Arial"/>
                <w:sz w:val="18"/>
              </w:rPr>
            </w:pPr>
          </w:p>
        </w:tc>
      </w:tr>
      <w:tr w:rsidR="003E1F9F" w:rsidRPr="00F710E9" w14:paraId="3B6228E1" w14:textId="77777777" w:rsidTr="005A20DD">
        <w:trPr>
          <w:cantSplit/>
          <w:jc w:val="center"/>
        </w:trPr>
        <w:tc>
          <w:tcPr>
            <w:tcW w:w="2686" w:type="dxa"/>
          </w:tcPr>
          <w:p w14:paraId="4355D14E" w14:textId="77777777" w:rsidR="003E1F9F" w:rsidRPr="00F710E9" w:rsidRDefault="003E1F9F" w:rsidP="005A20DD">
            <w:pPr>
              <w:keepNext/>
              <w:keepLines/>
              <w:spacing w:after="0"/>
              <w:rPr>
                <w:rFonts w:ascii="Arial" w:hAnsi="Arial"/>
                <w:sz w:val="18"/>
              </w:rPr>
            </w:pPr>
            <w:r>
              <w:rPr>
                <w:rFonts w:ascii="Arial" w:hAnsi="Arial"/>
                <w:sz w:val="18"/>
              </w:rPr>
              <w:t>MISSING_ROAMING_AGREEMENT</w:t>
            </w:r>
          </w:p>
        </w:tc>
        <w:tc>
          <w:tcPr>
            <w:tcW w:w="1842" w:type="dxa"/>
          </w:tcPr>
          <w:p w14:paraId="4E4B71C8" w14:textId="77777777" w:rsidR="003E1F9F" w:rsidRPr="00F710E9" w:rsidRDefault="003E1F9F" w:rsidP="005A20DD">
            <w:pPr>
              <w:keepNext/>
              <w:keepLines/>
              <w:spacing w:after="0"/>
              <w:rPr>
                <w:rFonts w:ascii="Arial" w:hAnsi="Arial"/>
                <w:sz w:val="18"/>
              </w:rPr>
            </w:pPr>
            <w:r>
              <w:rPr>
                <w:rFonts w:ascii="Arial" w:hAnsi="Arial"/>
                <w:sz w:val="18"/>
              </w:rPr>
              <w:t>403 Forbidden</w:t>
            </w:r>
          </w:p>
        </w:tc>
        <w:tc>
          <w:tcPr>
            <w:tcW w:w="2977" w:type="dxa"/>
          </w:tcPr>
          <w:p w14:paraId="3F58D455" w14:textId="77777777" w:rsidR="003E1F9F" w:rsidRPr="00F710E9" w:rsidRDefault="003E1F9F" w:rsidP="005A20DD">
            <w:pPr>
              <w:keepNext/>
              <w:keepLines/>
              <w:spacing w:after="0"/>
              <w:rPr>
                <w:rFonts w:ascii="Arial" w:hAnsi="Arial"/>
                <w:sz w:val="18"/>
              </w:rPr>
            </w:pPr>
            <w:r>
              <w:rPr>
                <w:rFonts w:ascii="Arial" w:hAnsi="Arial"/>
                <w:sz w:val="18"/>
              </w:rPr>
              <w:t>Missing the corresponding roaming agreement to satisfy the request.</w:t>
            </w:r>
          </w:p>
        </w:tc>
        <w:tc>
          <w:tcPr>
            <w:tcW w:w="1843" w:type="dxa"/>
          </w:tcPr>
          <w:p w14:paraId="4DD69014" w14:textId="77777777" w:rsidR="003E1F9F" w:rsidRDefault="003E1F9F" w:rsidP="005A20DD">
            <w:pPr>
              <w:keepNext/>
              <w:keepLines/>
              <w:spacing w:after="0"/>
              <w:rPr>
                <w:rFonts w:ascii="Arial" w:hAnsi="Arial"/>
                <w:sz w:val="18"/>
              </w:rPr>
            </w:pPr>
          </w:p>
        </w:tc>
      </w:tr>
      <w:tr w:rsidR="003E1F9F" w:rsidRPr="00F710E9" w14:paraId="5F930E48" w14:textId="77777777" w:rsidTr="005A20DD">
        <w:trPr>
          <w:cantSplit/>
          <w:jc w:val="center"/>
        </w:trPr>
        <w:tc>
          <w:tcPr>
            <w:tcW w:w="2686" w:type="dxa"/>
          </w:tcPr>
          <w:p w14:paraId="3FC722DE" w14:textId="77777777" w:rsidR="003E1F9F" w:rsidRPr="00F710E9" w:rsidRDefault="003E1F9F" w:rsidP="005A20DD">
            <w:pPr>
              <w:keepNext/>
              <w:keepLines/>
              <w:spacing w:after="0"/>
              <w:rPr>
                <w:rFonts w:ascii="Arial" w:hAnsi="Arial"/>
                <w:sz w:val="18"/>
              </w:rPr>
            </w:pPr>
            <w:r w:rsidRPr="00F710E9">
              <w:rPr>
                <w:rFonts w:ascii="Arial" w:hAnsi="Arial"/>
                <w:sz w:val="18"/>
                <w:lang w:eastAsia="zh-CN"/>
              </w:rPr>
              <w:t>UNAVAILABLE_DATA</w:t>
            </w:r>
          </w:p>
        </w:tc>
        <w:tc>
          <w:tcPr>
            <w:tcW w:w="1842" w:type="dxa"/>
          </w:tcPr>
          <w:p w14:paraId="55918466" w14:textId="77777777" w:rsidR="003E1F9F" w:rsidRPr="00F710E9" w:rsidRDefault="003E1F9F" w:rsidP="005A20DD">
            <w:pPr>
              <w:keepNext/>
              <w:keepLines/>
              <w:spacing w:after="0"/>
              <w:rPr>
                <w:rFonts w:ascii="Arial" w:hAnsi="Arial"/>
                <w:sz w:val="18"/>
              </w:rPr>
            </w:pPr>
            <w:r w:rsidRPr="00F710E9">
              <w:rPr>
                <w:rFonts w:ascii="Arial" w:hAnsi="Arial" w:hint="eastAsia"/>
                <w:sz w:val="18"/>
                <w:lang w:eastAsia="zh-CN"/>
              </w:rPr>
              <w:t>5</w:t>
            </w:r>
            <w:r w:rsidRPr="00F710E9">
              <w:rPr>
                <w:rFonts w:ascii="Arial" w:hAnsi="Arial"/>
                <w:sz w:val="18"/>
                <w:lang w:eastAsia="zh-CN"/>
              </w:rPr>
              <w:t>0</w:t>
            </w:r>
            <w:r w:rsidRPr="00F710E9">
              <w:rPr>
                <w:rFonts w:ascii="Arial" w:hAnsi="Arial"/>
                <w:sz w:val="18"/>
              </w:rPr>
              <w:t>0 Internal Server Error</w:t>
            </w:r>
          </w:p>
        </w:tc>
        <w:tc>
          <w:tcPr>
            <w:tcW w:w="2977" w:type="dxa"/>
          </w:tcPr>
          <w:p w14:paraId="4A913085" w14:textId="77777777" w:rsidR="003E1F9F" w:rsidRPr="00F710E9" w:rsidRDefault="003E1F9F" w:rsidP="005A20DD">
            <w:pPr>
              <w:keepNext/>
              <w:keepLines/>
              <w:spacing w:after="0"/>
              <w:rPr>
                <w:rFonts w:ascii="Arial" w:hAnsi="Arial"/>
                <w:sz w:val="18"/>
              </w:rPr>
            </w:pPr>
            <w:r w:rsidRPr="00F710E9">
              <w:rPr>
                <w:rFonts w:ascii="Arial" w:hAnsi="Arial" w:hint="eastAsia"/>
                <w:sz w:val="18"/>
                <w:lang w:eastAsia="zh-CN"/>
              </w:rPr>
              <w:t>I</w:t>
            </w:r>
            <w:r w:rsidRPr="00F710E9">
              <w:rPr>
                <w:rFonts w:ascii="Arial" w:hAnsi="Arial"/>
                <w:sz w:val="18"/>
                <w:lang w:eastAsia="zh-CN"/>
              </w:rPr>
              <w:t>ndicates the requested statistics in the past is rejected since necessary data to perform the service is unavailable.</w:t>
            </w:r>
          </w:p>
        </w:tc>
        <w:tc>
          <w:tcPr>
            <w:tcW w:w="1843" w:type="dxa"/>
          </w:tcPr>
          <w:p w14:paraId="3EFF34A2" w14:textId="77777777" w:rsidR="003E1F9F" w:rsidRPr="00F710E9" w:rsidRDefault="003E1F9F" w:rsidP="005A20DD">
            <w:pPr>
              <w:keepNext/>
              <w:keepLines/>
              <w:spacing w:after="0"/>
              <w:rPr>
                <w:rFonts w:ascii="Arial" w:hAnsi="Arial"/>
                <w:sz w:val="18"/>
                <w:lang w:eastAsia="zh-CN"/>
              </w:rPr>
            </w:pPr>
          </w:p>
        </w:tc>
      </w:tr>
      <w:tr w:rsidR="003E1F9F" w:rsidRPr="00F710E9" w14:paraId="5FC1B502" w14:textId="77777777" w:rsidTr="005A20DD">
        <w:trPr>
          <w:cantSplit/>
          <w:jc w:val="center"/>
        </w:trPr>
        <w:tc>
          <w:tcPr>
            <w:tcW w:w="7505" w:type="dxa"/>
            <w:gridSpan w:val="3"/>
          </w:tcPr>
          <w:p w14:paraId="2797BB6C" w14:textId="77777777" w:rsidR="003E1F9F" w:rsidRPr="00F710E9" w:rsidRDefault="003E1F9F" w:rsidP="005A20DD">
            <w:pPr>
              <w:keepNext/>
              <w:keepLines/>
              <w:spacing w:after="0"/>
              <w:ind w:left="851" w:hanging="851"/>
              <w:rPr>
                <w:rFonts w:ascii="Arial" w:hAnsi="Arial"/>
                <w:sz w:val="18"/>
                <w:lang w:eastAsia="zh-CN"/>
              </w:rPr>
            </w:pPr>
            <w:r w:rsidRPr="00F710E9">
              <w:rPr>
                <w:rFonts w:ascii="Arial" w:hAnsi="Arial"/>
                <w:sz w:val="18"/>
                <w:lang w:eastAsia="zh-CN"/>
              </w:rPr>
              <w:t>NOTE:</w:t>
            </w:r>
            <w:r w:rsidRPr="00F710E9">
              <w:rPr>
                <w:rFonts w:ascii="Arial" w:hAnsi="Arial"/>
                <w:sz w:val="18"/>
                <w:lang w:eastAsia="zh-CN"/>
              </w:rPr>
              <w:tab/>
            </w:r>
            <w:r w:rsidRPr="00F710E9">
              <w:rPr>
                <w:rFonts w:ascii="Arial" w:hAnsi="Arial"/>
                <w:sz w:val="18"/>
              </w:rPr>
              <w:t>Including a "ProblemDetails" data structure with the "cause" attribute in the HTTP response is optional unless explicitly mandated in the service operation clauses.</w:t>
            </w:r>
          </w:p>
        </w:tc>
        <w:tc>
          <w:tcPr>
            <w:tcW w:w="1843" w:type="dxa"/>
          </w:tcPr>
          <w:p w14:paraId="02FDDADB" w14:textId="77777777" w:rsidR="003E1F9F" w:rsidRPr="00F710E9" w:rsidRDefault="003E1F9F" w:rsidP="005A20DD">
            <w:pPr>
              <w:keepNext/>
              <w:keepLines/>
              <w:spacing w:after="0"/>
              <w:ind w:left="851" w:hanging="851"/>
              <w:rPr>
                <w:rFonts w:ascii="Arial" w:hAnsi="Arial"/>
                <w:sz w:val="18"/>
                <w:lang w:eastAsia="zh-CN"/>
              </w:rPr>
            </w:pPr>
          </w:p>
        </w:tc>
      </w:tr>
    </w:tbl>
    <w:p w14:paraId="254A0970" w14:textId="77777777" w:rsidR="003E1F9F" w:rsidRPr="00F710E9" w:rsidRDefault="003E1F9F" w:rsidP="003E1F9F">
      <w:pPr>
        <w:rPr>
          <w:lang w:val="en-US" w:eastAsia="zh-CN"/>
        </w:rPr>
      </w:pPr>
    </w:p>
    <w:p w14:paraId="2458D3E6" w14:textId="77777777" w:rsidR="00A10B25" w:rsidRDefault="00A10B25" w:rsidP="0076721C">
      <w:pPr>
        <w:pStyle w:val="3"/>
        <w:rPr>
          <w:lang w:eastAsia="zh-CN"/>
        </w:rPr>
      </w:pPr>
      <w:bookmarkStart w:id="16647" w:name="_Toc164921283"/>
      <w:bookmarkStart w:id="16648" w:name="_Toc170120825"/>
      <w:bookmarkStart w:id="16649" w:name="_Toc175859070"/>
      <w:bookmarkStart w:id="16650" w:name="_Toc175860145"/>
      <w:bookmarkStart w:id="16651" w:name="_Toc180606435"/>
      <w:bookmarkStart w:id="16652" w:name="_Toc185517696"/>
      <w:bookmarkStart w:id="16653" w:name="_Toc191576748"/>
      <w:bookmarkStart w:id="16654" w:name="_Toc191577488"/>
      <w:bookmarkStart w:id="16655" w:name="_Toc192880558"/>
      <w:bookmarkStart w:id="16656" w:name="_Toc195815447"/>
      <w:bookmarkStart w:id="16657" w:name="_Toc199453414"/>
      <w:r>
        <w:rPr>
          <w:lang w:val="en-US"/>
        </w:rPr>
        <w:lastRenderedPageBreak/>
        <w:t>5.8</w:t>
      </w:r>
      <w:r>
        <w:rPr>
          <w:rFonts w:hint="eastAsia"/>
          <w:lang w:val="en-US"/>
        </w:rPr>
        <w:t>.</w:t>
      </w:r>
      <w:r>
        <w:rPr>
          <w:lang w:val="en-US"/>
        </w:rPr>
        <w:t>8</w:t>
      </w:r>
      <w:r>
        <w:rPr>
          <w:rFonts w:hint="eastAsia"/>
          <w:lang w:val="en-US"/>
        </w:rPr>
        <w:tab/>
      </w:r>
      <w:r>
        <w:rPr>
          <w:lang w:val="en-US"/>
        </w:rPr>
        <w:t>Feature negotiation</w:t>
      </w:r>
      <w:bookmarkEnd w:id="16647"/>
      <w:bookmarkEnd w:id="16648"/>
      <w:bookmarkEnd w:id="16649"/>
      <w:bookmarkEnd w:id="16650"/>
      <w:bookmarkEnd w:id="16651"/>
      <w:bookmarkEnd w:id="16652"/>
      <w:bookmarkEnd w:id="16653"/>
      <w:bookmarkEnd w:id="16654"/>
      <w:bookmarkEnd w:id="16655"/>
      <w:bookmarkEnd w:id="16656"/>
      <w:bookmarkEnd w:id="16657"/>
    </w:p>
    <w:p w14:paraId="7EC5D998" w14:textId="77777777" w:rsidR="00A10B25" w:rsidRDefault="00A10B25">
      <w:pPr>
        <w:rPr>
          <w:rFonts w:eastAsia="Batang"/>
        </w:rPr>
      </w:pPr>
      <w:r>
        <w:rPr>
          <w:rFonts w:eastAsia="Batang"/>
        </w:rPr>
        <w:t xml:space="preserve">The optional features in table 5.8.8-1 are defined for the </w:t>
      </w:r>
      <w:r>
        <w:rPr>
          <w:lang w:eastAsia="ja-JP"/>
        </w:rPr>
        <w:t>Nnwdaf_RoamingAnalytics</w:t>
      </w:r>
      <w:r>
        <w:rPr>
          <w:rFonts w:eastAsia="Batang"/>
        </w:rPr>
        <w:t xml:space="preserve"> </w:t>
      </w:r>
      <w:r>
        <w:rPr>
          <w:rFonts w:eastAsia="Batang"/>
          <w:lang w:eastAsia="zh-CN"/>
        </w:rPr>
        <w:t xml:space="preserve">API. They shall be negotiated using the </w:t>
      </w:r>
      <w:r>
        <w:rPr>
          <w:rFonts w:eastAsia="Batang"/>
        </w:rPr>
        <w:t>extensibility mechanism defined in clause 6.6 of 3GPP TS 29.500 [6].</w:t>
      </w:r>
    </w:p>
    <w:p w14:paraId="0739A185" w14:textId="77777777" w:rsidR="00A10B25" w:rsidRDefault="00A10B25" w:rsidP="0076721C">
      <w:pPr>
        <w:pStyle w:val="TH"/>
      </w:pPr>
      <w:r>
        <w:t>Table 5.8.8-1: Supported Features</w:t>
      </w:r>
    </w:p>
    <w:tbl>
      <w:tblPr>
        <w:tblW w:w="949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25"/>
        <w:gridCol w:w="2237"/>
        <w:gridCol w:w="5732"/>
      </w:tblGrid>
      <w:tr w:rsidR="00A10B25" w14:paraId="5DD1FC2A" w14:textId="77777777">
        <w:trPr>
          <w:jc w:val="center"/>
        </w:trPr>
        <w:tc>
          <w:tcPr>
            <w:tcW w:w="1525" w:type="dxa"/>
            <w:shd w:val="clear" w:color="auto" w:fill="C0C0C0"/>
          </w:tcPr>
          <w:p w14:paraId="48F62430" w14:textId="77777777" w:rsidR="00A10B25" w:rsidRDefault="00A10B25">
            <w:pPr>
              <w:keepNext/>
              <w:keepLines/>
              <w:spacing w:after="0"/>
              <w:jc w:val="center"/>
              <w:rPr>
                <w:rFonts w:ascii="Arial" w:hAnsi="Arial"/>
                <w:b/>
                <w:sz w:val="18"/>
              </w:rPr>
            </w:pPr>
            <w:r>
              <w:rPr>
                <w:rFonts w:ascii="Arial" w:hAnsi="Arial"/>
                <w:b/>
                <w:sz w:val="18"/>
              </w:rPr>
              <w:t>Feature number</w:t>
            </w:r>
          </w:p>
        </w:tc>
        <w:tc>
          <w:tcPr>
            <w:tcW w:w="2237" w:type="dxa"/>
            <w:shd w:val="clear" w:color="auto" w:fill="C0C0C0"/>
          </w:tcPr>
          <w:p w14:paraId="25D71A1C" w14:textId="77777777" w:rsidR="00A10B25" w:rsidRDefault="00A10B25">
            <w:pPr>
              <w:keepNext/>
              <w:keepLines/>
              <w:spacing w:after="0"/>
              <w:jc w:val="center"/>
              <w:rPr>
                <w:rFonts w:ascii="Arial" w:hAnsi="Arial"/>
                <w:b/>
                <w:sz w:val="18"/>
              </w:rPr>
            </w:pPr>
            <w:r>
              <w:rPr>
                <w:rFonts w:ascii="Arial" w:hAnsi="Arial"/>
                <w:b/>
                <w:sz w:val="18"/>
              </w:rPr>
              <w:t>Feature Name</w:t>
            </w:r>
          </w:p>
        </w:tc>
        <w:tc>
          <w:tcPr>
            <w:tcW w:w="5732" w:type="dxa"/>
            <w:shd w:val="clear" w:color="auto" w:fill="C0C0C0"/>
          </w:tcPr>
          <w:p w14:paraId="48116163" w14:textId="77777777" w:rsidR="00A10B25" w:rsidRDefault="00A10B25">
            <w:pPr>
              <w:keepNext/>
              <w:keepLines/>
              <w:spacing w:after="0"/>
              <w:jc w:val="center"/>
              <w:rPr>
                <w:rFonts w:ascii="Arial" w:hAnsi="Arial"/>
                <w:b/>
                <w:sz w:val="18"/>
              </w:rPr>
            </w:pPr>
            <w:r>
              <w:rPr>
                <w:rFonts w:ascii="Arial" w:hAnsi="Arial"/>
                <w:b/>
                <w:sz w:val="18"/>
              </w:rPr>
              <w:t>Description</w:t>
            </w:r>
          </w:p>
        </w:tc>
      </w:tr>
      <w:tr w:rsidR="00A10B25" w14:paraId="4E89FB99" w14:textId="77777777">
        <w:trPr>
          <w:jc w:val="center"/>
        </w:trPr>
        <w:tc>
          <w:tcPr>
            <w:tcW w:w="1525" w:type="dxa"/>
          </w:tcPr>
          <w:p w14:paraId="5BC3B1FF" w14:textId="77777777" w:rsidR="00A10B25" w:rsidRDefault="00A10B25">
            <w:pPr>
              <w:keepNext/>
              <w:keepLines/>
              <w:spacing w:after="0"/>
              <w:rPr>
                <w:rFonts w:ascii="Arial" w:hAnsi="Arial"/>
                <w:sz w:val="18"/>
              </w:rPr>
            </w:pPr>
          </w:p>
        </w:tc>
        <w:tc>
          <w:tcPr>
            <w:tcW w:w="2237" w:type="dxa"/>
          </w:tcPr>
          <w:p w14:paraId="7D905C33" w14:textId="77777777" w:rsidR="00A10B25" w:rsidRDefault="00A10B25">
            <w:pPr>
              <w:keepNext/>
              <w:keepLines/>
              <w:spacing w:after="0"/>
              <w:rPr>
                <w:rFonts w:ascii="Arial" w:hAnsi="Arial"/>
                <w:sz w:val="18"/>
              </w:rPr>
            </w:pPr>
          </w:p>
        </w:tc>
        <w:tc>
          <w:tcPr>
            <w:tcW w:w="5732" w:type="dxa"/>
          </w:tcPr>
          <w:p w14:paraId="262E0531" w14:textId="77777777" w:rsidR="00A10B25" w:rsidRDefault="00A10B25">
            <w:pPr>
              <w:keepNext/>
              <w:keepLines/>
              <w:spacing w:after="0"/>
              <w:rPr>
                <w:rFonts w:ascii="Arial" w:hAnsi="Arial" w:cs="Arial"/>
                <w:sz w:val="18"/>
                <w:szCs w:val="18"/>
              </w:rPr>
            </w:pPr>
          </w:p>
        </w:tc>
      </w:tr>
    </w:tbl>
    <w:p w14:paraId="1E85EB69" w14:textId="77777777" w:rsidR="00A10B25" w:rsidRDefault="00A10B25">
      <w:pPr>
        <w:rPr>
          <w:lang w:val="en-US" w:eastAsia="zh-CN"/>
        </w:rPr>
      </w:pPr>
    </w:p>
    <w:p w14:paraId="12A4D1EC" w14:textId="77777777" w:rsidR="00A10B25" w:rsidRDefault="00A10B25" w:rsidP="0076721C">
      <w:pPr>
        <w:pStyle w:val="3"/>
        <w:rPr>
          <w:lang w:val="en-US"/>
        </w:rPr>
      </w:pPr>
      <w:bookmarkStart w:id="16658" w:name="_Toc164921284"/>
      <w:bookmarkStart w:id="16659" w:name="_Toc170120826"/>
      <w:bookmarkStart w:id="16660" w:name="_Toc175859071"/>
      <w:bookmarkStart w:id="16661" w:name="_Toc175860146"/>
      <w:bookmarkStart w:id="16662" w:name="_Toc180606436"/>
      <w:bookmarkStart w:id="16663" w:name="_Toc185517697"/>
      <w:bookmarkStart w:id="16664" w:name="_Toc191576749"/>
      <w:bookmarkStart w:id="16665" w:name="_Toc191577489"/>
      <w:bookmarkStart w:id="16666" w:name="_Toc192880559"/>
      <w:bookmarkStart w:id="16667" w:name="_Toc195815448"/>
      <w:bookmarkStart w:id="16668" w:name="_Toc199453415"/>
      <w:r>
        <w:rPr>
          <w:lang w:val="en-US"/>
        </w:rPr>
        <w:t>5.8.9</w:t>
      </w:r>
      <w:r>
        <w:rPr>
          <w:lang w:val="en-US"/>
        </w:rPr>
        <w:tab/>
        <w:t>Security</w:t>
      </w:r>
      <w:bookmarkEnd w:id="16658"/>
      <w:bookmarkEnd w:id="16659"/>
      <w:bookmarkEnd w:id="16660"/>
      <w:bookmarkEnd w:id="16661"/>
      <w:bookmarkEnd w:id="16662"/>
      <w:bookmarkEnd w:id="16663"/>
      <w:bookmarkEnd w:id="16664"/>
      <w:bookmarkEnd w:id="16665"/>
      <w:bookmarkEnd w:id="16666"/>
      <w:bookmarkEnd w:id="16667"/>
      <w:bookmarkEnd w:id="16668"/>
    </w:p>
    <w:p w14:paraId="5815F5BE" w14:textId="77777777" w:rsidR="00A10B25" w:rsidRDefault="00A10B25">
      <w:pPr>
        <w:rPr>
          <w:rFonts w:eastAsia="等线"/>
        </w:rPr>
      </w:pPr>
      <w:r>
        <w:rPr>
          <w:rFonts w:eastAsia="等线"/>
        </w:rPr>
        <w:t xml:space="preserve">As indicated in TS 33.501 [13] and TS 29.500 [6], the access to the </w:t>
      </w:r>
      <w:r>
        <w:rPr>
          <w:lang w:eastAsia="ja-JP"/>
        </w:rPr>
        <w:t>Nnwdaf_RoamingAnalytics</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5D815DE7" w14:textId="77777777" w:rsidR="00A10B25" w:rsidRDefault="00A10B25">
      <w:pPr>
        <w:rPr>
          <w:rFonts w:eastAsia="等线"/>
        </w:rPr>
      </w:pPr>
      <w:r>
        <w:rPr>
          <w:rFonts w:eastAsia="等线"/>
        </w:rPr>
        <w:t xml:space="preserve">If OAuth2 is used, an NF service consumer, prior to consuming services offered by the </w:t>
      </w:r>
      <w:r>
        <w:rPr>
          <w:lang w:eastAsia="ja-JP"/>
        </w:rPr>
        <w:t>Nnwdaf_RoamingAnalytics</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46FC45A1" w14:textId="77777777" w:rsidR="00A10B25" w:rsidRDefault="00A10B25">
      <w:pPr>
        <w:keepLines/>
        <w:ind w:left="1135" w:hanging="851"/>
      </w:pPr>
      <w:r>
        <w:t>NOTE:</w:t>
      </w:r>
      <w:r>
        <w:tab/>
        <w:t xml:space="preserve">When multiple NRFs are deployed in a network, the NRF used as authorization server is the same NRF that the NF service consumer used for discovering the </w:t>
      </w:r>
      <w:r>
        <w:rPr>
          <w:lang w:eastAsia="ja-JP"/>
        </w:rPr>
        <w:t>Nnwdaf_RoamingAnalytics</w:t>
      </w:r>
      <w:r>
        <w:t xml:space="preserve"> service.</w:t>
      </w:r>
    </w:p>
    <w:p w14:paraId="5707FBBE" w14:textId="64504838" w:rsidR="00A10B25" w:rsidRDefault="00A10B25">
      <w:pPr>
        <w:rPr>
          <w:rFonts w:eastAsia="等线"/>
          <w:lang w:val="en-US"/>
        </w:rPr>
      </w:pPr>
      <w:r>
        <w:rPr>
          <w:rFonts w:eastAsia="等线"/>
          <w:lang w:val="en-US"/>
        </w:rPr>
        <w:t xml:space="preserve">The </w:t>
      </w:r>
      <w:r>
        <w:rPr>
          <w:lang w:eastAsia="ja-JP"/>
        </w:rPr>
        <w:t>Nnwdaf_RoamingAnalytics</w:t>
      </w:r>
      <w:r>
        <w:rPr>
          <w:rFonts w:eastAsia="等线"/>
          <w:lang w:val="en-US" w:eastAsia="zh-CN"/>
        </w:rPr>
        <w:t xml:space="preserve"> </w:t>
      </w:r>
      <w:r>
        <w:rPr>
          <w:rFonts w:eastAsia="等线"/>
          <w:lang w:val="en-US"/>
        </w:rPr>
        <w:t>API defines a single scope "nnwdaf-roaminganalytics" for the entire service, and it does not define any additional scopes at resource or operation level.</w:t>
      </w:r>
    </w:p>
    <w:p w14:paraId="4E48C39C" w14:textId="77777777" w:rsidR="00183EFC" w:rsidRDefault="00183EFC" w:rsidP="00183EFC">
      <w:pPr>
        <w:pStyle w:val="2"/>
      </w:pPr>
      <w:bookmarkStart w:id="16669" w:name="_Toc510696598"/>
      <w:bookmarkStart w:id="16670" w:name="_Toc35971390"/>
      <w:bookmarkStart w:id="16671" w:name="_Toc67903514"/>
      <w:bookmarkStart w:id="16672" w:name="_Toc73173246"/>
      <w:bookmarkStart w:id="16673" w:name="_Toc96959818"/>
      <w:bookmarkStart w:id="16674" w:name="_Toc129247525"/>
      <w:bookmarkStart w:id="16675" w:name="_Toc164863270"/>
      <w:bookmarkStart w:id="16676" w:name="_Toc192881200"/>
      <w:bookmarkStart w:id="16677" w:name="_Hlk199452043"/>
      <w:bookmarkStart w:id="16678" w:name="_Toc199453416"/>
      <w:r>
        <w:t>5.9</w:t>
      </w:r>
      <w:r>
        <w:tab/>
      </w:r>
      <w:r>
        <w:rPr>
          <w:lang w:eastAsia="ja-JP"/>
        </w:rPr>
        <w:t>Nnwdaf_VFLTraining</w:t>
      </w:r>
      <w:r>
        <w:t xml:space="preserve"> Service API</w:t>
      </w:r>
      <w:bookmarkEnd w:id="16669"/>
      <w:bookmarkEnd w:id="16670"/>
      <w:bookmarkEnd w:id="16671"/>
      <w:bookmarkEnd w:id="16672"/>
      <w:bookmarkEnd w:id="16673"/>
      <w:bookmarkEnd w:id="16674"/>
      <w:bookmarkEnd w:id="16675"/>
      <w:bookmarkEnd w:id="16676"/>
      <w:bookmarkEnd w:id="16678"/>
    </w:p>
    <w:p w14:paraId="58850585" w14:textId="77777777" w:rsidR="00183EFC" w:rsidRDefault="00183EFC" w:rsidP="00183EFC">
      <w:pPr>
        <w:pStyle w:val="3"/>
      </w:pPr>
      <w:bookmarkStart w:id="16679" w:name="_Toc510696599"/>
      <w:bookmarkStart w:id="16680" w:name="_Toc35971391"/>
      <w:bookmarkStart w:id="16681" w:name="_Toc67903515"/>
      <w:bookmarkStart w:id="16682" w:name="_Toc73173247"/>
      <w:bookmarkStart w:id="16683" w:name="_Toc96959819"/>
      <w:bookmarkStart w:id="16684" w:name="_Toc129247526"/>
      <w:bookmarkStart w:id="16685" w:name="_Toc164863271"/>
      <w:bookmarkStart w:id="16686" w:name="_Toc192881201"/>
      <w:bookmarkStart w:id="16687" w:name="_Toc199453417"/>
      <w:r>
        <w:t>5.9.1</w:t>
      </w:r>
      <w:r>
        <w:tab/>
        <w:t>Introduction</w:t>
      </w:r>
      <w:bookmarkEnd w:id="16679"/>
      <w:bookmarkEnd w:id="16680"/>
      <w:bookmarkEnd w:id="16681"/>
      <w:bookmarkEnd w:id="16682"/>
      <w:bookmarkEnd w:id="16683"/>
      <w:bookmarkEnd w:id="16684"/>
      <w:bookmarkEnd w:id="16685"/>
      <w:bookmarkEnd w:id="16686"/>
      <w:bookmarkEnd w:id="16687"/>
    </w:p>
    <w:p w14:paraId="0231B4F5" w14:textId="77777777" w:rsidR="00183EFC" w:rsidRDefault="00183EFC" w:rsidP="00183EFC">
      <w:pPr>
        <w:rPr>
          <w:noProof/>
          <w:lang w:eastAsia="zh-CN"/>
        </w:rPr>
      </w:pPr>
      <w:bookmarkStart w:id="16688" w:name="_Toc510696600"/>
      <w:r>
        <w:rPr>
          <w:noProof/>
        </w:rPr>
        <w:t xml:space="preserve">The </w:t>
      </w:r>
      <w:r>
        <w:rPr>
          <w:lang w:eastAsia="ja-JP"/>
        </w:rPr>
        <w:t>Nnwdaf_VFLTraining</w:t>
      </w:r>
      <w:r>
        <w:rPr>
          <w:noProof/>
        </w:rPr>
        <w:t xml:space="preserve"> shall use the </w:t>
      </w:r>
      <w:r>
        <w:rPr>
          <w:lang w:eastAsia="ja-JP"/>
        </w:rPr>
        <w:t>Nnwdaf_VFLTraining</w:t>
      </w:r>
      <w:r>
        <w:rPr>
          <w:noProof/>
        </w:rPr>
        <w:t xml:space="preserve"> </w:t>
      </w:r>
      <w:r>
        <w:rPr>
          <w:noProof/>
          <w:lang w:eastAsia="zh-CN"/>
        </w:rPr>
        <w:t>API.</w:t>
      </w:r>
    </w:p>
    <w:p w14:paraId="47F7D539" w14:textId="77777777" w:rsidR="00183EFC" w:rsidRDefault="00183EFC" w:rsidP="00183EFC">
      <w:pPr>
        <w:rPr>
          <w:noProof/>
          <w:lang w:eastAsia="zh-CN"/>
        </w:rPr>
      </w:pPr>
      <w:r>
        <w:rPr>
          <w:rFonts w:hint="eastAsia"/>
          <w:noProof/>
          <w:lang w:eastAsia="zh-CN"/>
        </w:rPr>
        <w:t xml:space="preserve">The API URI of the </w:t>
      </w:r>
      <w:r>
        <w:rPr>
          <w:lang w:eastAsia="ja-JP"/>
        </w:rPr>
        <w:t>Nnwdaf_VFLTraining</w:t>
      </w:r>
      <w:r>
        <w:rPr>
          <w:noProof/>
          <w:lang w:eastAsia="zh-CN"/>
        </w:rPr>
        <w:t xml:space="preserve"> API</w:t>
      </w:r>
      <w:r>
        <w:rPr>
          <w:rFonts w:hint="eastAsia"/>
          <w:noProof/>
          <w:lang w:eastAsia="zh-CN"/>
        </w:rPr>
        <w:t xml:space="preserve"> shall be:</w:t>
      </w:r>
    </w:p>
    <w:p w14:paraId="09BBCAB9" w14:textId="77777777" w:rsidR="00183EFC" w:rsidRDefault="00183EFC" w:rsidP="00183EFC">
      <w:pPr>
        <w:rPr>
          <w:noProof/>
          <w:lang w:eastAsia="zh-CN"/>
        </w:rPr>
      </w:pPr>
      <w:r>
        <w:rPr>
          <w:b/>
          <w:noProof/>
        </w:rPr>
        <w:t>{apiRoot}/&lt;apiName&gt;/&lt;apiVersion&gt;</w:t>
      </w:r>
    </w:p>
    <w:p w14:paraId="045CCB9D" w14:textId="77777777" w:rsidR="00183EFC" w:rsidRDefault="00183EFC" w:rsidP="00183EF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from the NF service consumer towards the NF service producer shall have the </w:t>
      </w:r>
      <w:r>
        <w:rPr>
          <w:rFonts w:hint="eastAsia"/>
          <w:noProof/>
          <w:lang w:eastAsia="zh-CN"/>
        </w:rPr>
        <w:t xml:space="preserve">Resource URI </w:t>
      </w:r>
      <w:r>
        <w:rPr>
          <w:noProof/>
          <w:lang w:eastAsia="zh-CN"/>
        </w:rPr>
        <w:t>structure defined in clause 4.4.1 of 3GPP TS 29.501 [7], i.e.:</w:t>
      </w:r>
    </w:p>
    <w:p w14:paraId="76FC068C" w14:textId="77777777" w:rsidR="00183EFC" w:rsidRDefault="00183EFC" w:rsidP="00183EFC">
      <w:pPr>
        <w:pStyle w:val="B1"/>
        <w:rPr>
          <w:b/>
          <w:noProof/>
        </w:rPr>
      </w:pPr>
      <w:r>
        <w:rPr>
          <w:b/>
          <w:noProof/>
        </w:rPr>
        <w:t>{apiRoot}/&lt;apiName&gt;/&lt;apiVersion&gt;/&lt;apiSpecificResourceUriPart&gt;</w:t>
      </w:r>
    </w:p>
    <w:p w14:paraId="3D9411C2" w14:textId="77777777" w:rsidR="00183EFC" w:rsidRDefault="00183EFC" w:rsidP="00183EFC">
      <w:pPr>
        <w:rPr>
          <w:noProof/>
          <w:lang w:eastAsia="zh-CN"/>
        </w:rPr>
      </w:pPr>
      <w:r>
        <w:rPr>
          <w:noProof/>
          <w:lang w:eastAsia="zh-CN"/>
        </w:rPr>
        <w:t>with the following components:</w:t>
      </w:r>
    </w:p>
    <w:p w14:paraId="747A24B4" w14:textId="77777777" w:rsidR="00183EFC" w:rsidRDefault="00183EFC" w:rsidP="00183EFC">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[7].</w:t>
      </w:r>
    </w:p>
    <w:p w14:paraId="0CDEF672" w14:textId="77777777" w:rsidR="00183EFC" w:rsidRDefault="00183EFC" w:rsidP="00183EFC">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"nnwdaf-vfltraining".</w:t>
      </w:r>
    </w:p>
    <w:p w14:paraId="60A11A00" w14:textId="77777777" w:rsidR="00183EFC" w:rsidRDefault="00183EFC" w:rsidP="00183EFC">
      <w:pPr>
        <w:pStyle w:val="B1"/>
        <w:rPr>
          <w:noProof/>
        </w:rPr>
      </w:pPr>
      <w:r>
        <w:rPr>
          <w:noProof/>
        </w:rPr>
        <w:t>-</w:t>
      </w:r>
      <w:r>
        <w:rPr>
          <w:noProof/>
        </w:rPr>
        <w:tab/>
        <w:t>The &lt;apiVersion&gt; shall be "v1".</w:t>
      </w:r>
    </w:p>
    <w:p w14:paraId="1F6F60BF" w14:textId="77777777" w:rsidR="00183EFC" w:rsidRDefault="00183EFC" w:rsidP="00183EFC">
      <w:pPr>
        <w:pStyle w:val="B1"/>
        <w:rPr>
          <w:noProof/>
          <w:lang w:eastAsia="zh-CN"/>
        </w:rPr>
      </w:pPr>
      <w:r>
        <w:rPr>
          <w:noProof/>
        </w:rPr>
        <w:t>-</w:t>
      </w:r>
      <w:r>
        <w:rPr>
          <w:noProof/>
        </w:rPr>
        <w:tab/>
        <w:t>The &lt;apiSpecificResourceUriPart&gt; shall be set as described in clause</w:t>
      </w:r>
      <w:r>
        <w:rPr>
          <w:noProof/>
          <w:lang w:eastAsia="zh-CN"/>
        </w:rPr>
        <w:t> </w:t>
      </w:r>
      <w:r>
        <w:rPr>
          <w:noProof/>
        </w:rPr>
        <w:t>5.9.3.</w:t>
      </w:r>
    </w:p>
    <w:p w14:paraId="0EDF44B3" w14:textId="77777777" w:rsidR="00183EFC" w:rsidRDefault="00183EFC" w:rsidP="00183EFC">
      <w:pPr>
        <w:pStyle w:val="3"/>
      </w:pPr>
      <w:bookmarkStart w:id="16689" w:name="_Toc35971392"/>
      <w:bookmarkStart w:id="16690" w:name="_Toc67903516"/>
      <w:bookmarkStart w:id="16691" w:name="_Toc73173248"/>
      <w:bookmarkStart w:id="16692" w:name="_Toc96959820"/>
      <w:bookmarkStart w:id="16693" w:name="_Toc129247527"/>
      <w:bookmarkStart w:id="16694" w:name="_Toc164863272"/>
      <w:bookmarkStart w:id="16695" w:name="_Toc192881202"/>
      <w:bookmarkStart w:id="16696" w:name="_Toc199453418"/>
      <w:r>
        <w:t>5.9.2</w:t>
      </w:r>
      <w:r>
        <w:tab/>
        <w:t>Usage of HTTP</w:t>
      </w:r>
      <w:bookmarkEnd w:id="16688"/>
      <w:bookmarkEnd w:id="16689"/>
      <w:bookmarkEnd w:id="16690"/>
      <w:bookmarkEnd w:id="16691"/>
      <w:bookmarkEnd w:id="16692"/>
      <w:bookmarkEnd w:id="16693"/>
      <w:bookmarkEnd w:id="16694"/>
      <w:bookmarkEnd w:id="16695"/>
      <w:bookmarkEnd w:id="16696"/>
    </w:p>
    <w:p w14:paraId="265B3B2E" w14:textId="77777777" w:rsidR="00183EFC" w:rsidRDefault="00183EFC" w:rsidP="00183EFC">
      <w:pPr>
        <w:pStyle w:val="4"/>
      </w:pPr>
      <w:bookmarkStart w:id="16697" w:name="_Toc510696601"/>
      <w:bookmarkStart w:id="16698" w:name="_Toc35971393"/>
      <w:bookmarkStart w:id="16699" w:name="_Toc67903517"/>
      <w:bookmarkStart w:id="16700" w:name="_Toc73173249"/>
      <w:bookmarkStart w:id="16701" w:name="_Toc96959821"/>
      <w:bookmarkStart w:id="16702" w:name="_Toc129247528"/>
      <w:bookmarkStart w:id="16703" w:name="_Toc164863273"/>
      <w:bookmarkStart w:id="16704" w:name="_Toc192881203"/>
      <w:bookmarkStart w:id="16705" w:name="_Toc199453419"/>
      <w:r>
        <w:t>5.9.2.1</w:t>
      </w:r>
      <w:r>
        <w:tab/>
        <w:t>General</w:t>
      </w:r>
      <w:bookmarkEnd w:id="16697"/>
      <w:bookmarkEnd w:id="16698"/>
      <w:bookmarkEnd w:id="16699"/>
      <w:bookmarkEnd w:id="16700"/>
      <w:bookmarkEnd w:id="16701"/>
      <w:bookmarkEnd w:id="16702"/>
      <w:bookmarkEnd w:id="16703"/>
      <w:bookmarkEnd w:id="16704"/>
      <w:bookmarkEnd w:id="16705"/>
    </w:p>
    <w:p w14:paraId="14FA1760" w14:textId="77777777" w:rsidR="00183EFC" w:rsidRDefault="00183EFC" w:rsidP="00183EFC">
      <w:bookmarkStart w:id="16706" w:name="_Toc510696602"/>
      <w:r>
        <w:t>HTTP</w:t>
      </w:r>
      <w:r>
        <w:rPr>
          <w:lang w:eastAsia="zh-CN"/>
        </w:rPr>
        <w:t xml:space="preserve">/2, IETF RFC 9113 [9], </w:t>
      </w:r>
      <w:r>
        <w:t>shall be used as specified in clause 5 of 3GPP TS 29.500 [6].</w:t>
      </w:r>
    </w:p>
    <w:p w14:paraId="595F722C" w14:textId="77777777" w:rsidR="00183EFC" w:rsidRDefault="00183EFC" w:rsidP="00183EFC">
      <w:r>
        <w:t>HTTP/2 shall be transported as specified in clause 5.3 of 3GPP TS 29.500 [6].</w:t>
      </w:r>
    </w:p>
    <w:p w14:paraId="3DABF9F2" w14:textId="77777777" w:rsidR="00183EFC" w:rsidRDefault="00183EFC" w:rsidP="00183EFC">
      <w:r>
        <w:t xml:space="preserve">The OpenAPI [11] specification of HTTP messages and content bodies for the </w:t>
      </w:r>
      <w:r>
        <w:rPr>
          <w:lang w:eastAsia="zh-CN"/>
        </w:rPr>
        <w:t>Nnwdaf_VFLTraining</w:t>
      </w:r>
      <w:r>
        <w:rPr>
          <w:noProof/>
        </w:rPr>
        <w:t xml:space="preserve"> API</w:t>
      </w:r>
      <w:r>
        <w:t xml:space="preserve"> is contained in Annex A.</w:t>
      </w:r>
    </w:p>
    <w:p w14:paraId="09A08B57" w14:textId="77777777" w:rsidR="00183EFC" w:rsidRDefault="00183EFC" w:rsidP="00183EFC">
      <w:pPr>
        <w:pStyle w:val="4"/>
      </w:pPr>
      <w:bookmarkStart w:id="16707" w:name="_Toc35971394"/>
      <w:bookmarkStart w:id="16708" w:name="_Toc67903518"/>
      <w:bookmarkStart w:id="16709" w:name="_Toc73173250"/>
      <w:bookmarkStart w:id="16710" w:name="_Toc96959822"/>
      <w:bookmarkStart w:id="16711" w:name="_Toc129247529"/>
      <w:bookmarkStart w:id="16712" w:name="_Toc164863274"/>
      <w:bookmarkStart w:id="16713" w:name="_Toc192881204"/>
      <w:bookmarkStart w:id="16714" w:name="_Toc199453420"/>
      <w:r>
        <w:lastRenderedPageBreak/>
        <w:t>5.9.2.2</w:t>
      </w:r>
      <w:r>
        <w:tab/>
        <w:t>HTTP standard headers</w:t>
      </w:r>
      <w:bookmarkEnd w:id="16706"/>
      <w:bookmarkEnd w:id="16707"/>
      <w:bookmarkEnd w:id="16708"/>
      <w:bookmarkEnd w:id="16709"/>
      <w:bookmarkEnd w:id="16710"/>
      <w:bookmarkEnd w:id="16711"/>
      <w:bookmarkEnd w:id="16712"/>
      <w:bookmarkEnd w:id="16713"/>
      <w:bookmarkEnd w:id="16714"/>
    </w:p>
    <w:p w14:paraId="6F0E3496" w14:textId="77777777" w:rsidR="00183EFC" w:rsidRDefault="00183EFC" w:rsidP="00183EFC">
      <w:pPr>
        <w:pStyle w:val="5"/>
        <w:rPr>
          <w:lang w:eastAsia="zh-CN"/>
        </w:rPr>
      </w:pPr>
      <w:bookmarkStart w:id="16715" w:name="_Toc510696603"/>
      <w:bookmarkStart w:id="16716" w:name="_Toc35971395"/>
      <w:bookmarkStart w:id="16717" w:name="_Toc67903519"/>
      <w:bookmarkStart w:id="16718" w:name="_Toc73173251"/>
      <w:bookmarkStart w:id="16719" w:name="_Toc96959823"/>
      <w:bookmarkStart w:id="16720" w:name="_Toc129247530"/>
      <w:bookmarkStart w:id="16721" w:name="_Toc164863275"/>
      <w:bookmarkStart w:id="16722" w:name="_Toc192881205"/>
      <w:bookmarkStart w:id="16723" w:name="_Toc199453421"/>
      <w:r>
        <w:t>5.9.2.2.1</w:t>
      </w:r>
      <w:r>
        <w:rPr>
          <w:rFonts w:hint="eastAsia"/>
          <w:lang w:eastAsia="zh-CN"/>
        </w:rPr>
        <w:tab/>
      </w:r>
      <w:r>
        <w:rPr>
          <w:lang w:eastAsia="zh-CN"/>
        </w:rPr>
        <w:t>General</w:t>
      </w:r>
      <w:bookmarkEnd w:id="16715"/>
      <w:bookmarkEnd w:id="16716"/>
      <w:bookmarkEnd w:id="16717"/>
      <w:bookmarkEnd w:id="16718"/>
      <w:bookmarkEnd w:id="16719"/>
      <w:bookmarkEnd w:id="16720"/>
      <w:bookmarkEnd w:id="16721"/>
      <w:bookmarkEnd w:id="16722"/>
      <w:bookmarkEnd w:id="16723"/>
    </w:p>
    <w:p w14:paraId="0F04503D" w14:textId="77777777" w:rsidR="00183EFC" w:rsidRDefault="00183EFC" w:rsidP="00183EFC">
      <w:bookmarkStart w:id="16724" w:name="_Toc510696604"/>
      <w:bookmarkStart w:id="16725" w:name="_Toc35971396"/>
      <w:bookmarkStart w:id="16726" w:name="_Toc67903520"/>
      <w:bookmarkStart w:id="16727" w:name="_Toc73173252"/>
      <w:bookmarkStart w:id="16728" w:name="_Toc96959824"/>
      <w:bookmarkStart w:id="16729" w:name="_Toc129247531"/>
      <w:bookmarkStart w:id="16730" w:name="_Toc164863276"/>
      <w:bookmarkStart w:id="16731" w:name="_Toc192881206"/>
      <w:r>
        <w:t>See clause 5.2.2 of 3GPP TS 29.500 [6] for the usage of HTTP standard headers.</w:t>
      </w:r>
    </w:p>
    <w:p w14:paraId="3386DD72" w14:textId="77777777" w:rsidR="00183EFC" w:rsidRDefault="00183EFC" w:rsidP="00183EFC">
      <w:pPr>
        <w:pStyle w:val="5"/>
      </w:pPr>
      <w:bookmarkStart w:id="16732" w:name="_Toc199453422"/>
      <w:r>
        <w:t>5.9.2.2.2</w:t>
      </w:r>
      <w:r>
        <w:tab/>
        <w:t>Content type</w:t>
      </w:r>
      <w:bookmarkEnd w:id="16724"/>
      <w:bookmarkEnd w:id="16725"/>
      <w:bookmarkEnd w:id="16726"/>
      <w:bookmarkEnd w:id="16727"/>
      <w:bookmarkEnd w:id="16728"/>
      <w:bookmarkEnd w:id="16729"/>
      <w:bookmarkEnd w:id="16730"/>
      <w:bookmarkEnd w:id="16731"/>
      <w:bookmarkEnd w:id="16732"/>
    </w:p>
    <w:p w14:paraId="57EA3B79" w14:textId="77777777" w:rsidR="00183EFC" w:rsidRDefault="00183EFC" w:rsidP="00183EFC">
      <w:bookmarkStart w:id="16733" w:name="_Toc510696605"/>
      <w:bookmarkStart w:id="16734" w:name="_Toc35971397"/>
      <w:bookmarkStart w:id="16735" w:name="_Toc67903521"/>
      <w:bookmarkStart w:id="16736" w:name="_Toc73173253"/>
      <w:bookmarkStart w:id="16737" w:name="_Toc96959825"/>
      <w:bookmarkStart w:id="16738" w:name="_Toc129247532"/>
      <w:bookmarkStart w:id="16739" w:name="_Toc164863277"/>
      <w:bookmarkStart w:id="16740" w:name="_Toc192881207"/>
      <w:r>
        <w:t>JSON, IETF RFC 8259 [10], shall be used as content type of the HTTP bodies specified in the present specification as specified in clause 5.4 of 3GPP TS 29.500 [6]. The use of the JSON format shall be signalled by the content type "application/json".</w:t>
      </w:r>
    </w:p>
    <w:p w14:paraId="4FF881B9" w14:textId="77777777" w:rsidR="00183EFC" w:rsidRDefault="00183EFC" w:rsidP="00183EFC">
      <w:pPr>
        <w:rPr>
          <w:i/>
        </w:rPr>
      </w:pPr>
      <w:r>
        <w:t>"Problem Details" JSON object shall be used to indicate additional details of the error in a HTTP response body and shall be signalled by the content type "application/problem+json", as defined in IETF RFC 9457 [15].</w:t>
      </w:r>
    </w:p>
    <w:p w14:paraId="0B957E36" w14:textId="77777777" w:rsidR="00183EFC" w:rsidRDefault="00183EFC" w:rsidP="00183EFC">
      <w:pPr>
        <w:pStyle w:val="4"/>
      </w:pPr>
      <w:bookmarkStart w:id="16741" w:name="_Toc199453423"/>
      <w:r>
        <w:t>5.9.2.3</w:t>
      </w:r>
      <w:r>
        <w:tab/>
        <w:t>HTTP custom headers</w:t>
      </w:r>
      <w:bookmarkEnd w:id="16733"/>
      <w:bookmarkEnd w:id="16734"/>
      <w:bookmarkEnd w:id="16735"/>
      <w:bookmarkEnd w:id="16736"/>
      <w:bookmarkEnd w:id="16737"/>
      <w:bookmarkEnd w:id="16738"/>
      <w:bookmarkEnd w:id="16739"/>
      <w:bookmarkEnd w:id="16740"/>
      <w:bookmarkEnd w:id="16741"/>
    </w:p>
    <w:p w14:paraId="01179598" w14:textId="77777777" w:rsidR="00183EFC" w:rsidRDefault="00183EFC" w:rsidP="00183EFC">
      <w:pPr>
        <w:rPr>
          <w:rFonts w:eastAsia="Batang"/>
        </w:rPr>
      </w:pPr>
      <w:bookmarkStart w:id="16742" w:name="_Toc510696607"/>
      <w:bookmarkStart w:id="16743" w:name="_Toc35971398"/>
      <w:bookmarkStart w:id="16744" w:name="_Toc67903522"/>
      <w:bookmarkStart w:id="16745" w:name="_Toc73173254"/>
      <w:bookmarkStart w:id="16746" w:name="_Toc96959826"/>
      <w:bookmarkStart w:id="16747" w:name="_Toc129247533"/>
      <w:bookmarkStart w:id="16748" w:name="_Toc164863278"/>
      <w:bookmarkStart w:id="16749" w:name="_Toc192881208"/>
      <w:r>
        <w:rPr>
          <w:rFonts w:eastAsia="Batang"/>
        </w:rPr>
        <w:t xml:space="preserve">The </w:t>
      </w:r>
      <w:r>
        <w:rPr>
          <w:lang w:eastAsia="zh-CN"/>
        </w:rPr>
        <w:t>Nnwdaf_VFLTraining</w:t>
      </w:r>
      <w:r>
        <w:rPr>
          <w:rFonts w:eastAsia="Batang"/>
        </w:rPr>
        <w:t xml:space="preserve"> service API</w:t>
      </w:r>
      <w:r>
        <w:rPr>
          <w:rFonts w:eastAsia="Batang"/>
          <w:lang w:eastAsia="zh-CN"/>
        </w:rPr>
        <w:t xml:space="preserve"> shall support </w:t>
      </w:r>
      <w:r>
        <w:rPr>
          <w:lang w:val="en-US" w:eastAsia="zh-CN"/>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00D28FA3" w14:textId="77777777" w:rsidR="00183EFC" w:rsidRDefault="00183EFC" w:rsidP="00183EFC">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zh-CN"/>
        </w:rPr>
        <w:t>Nnwdaf_VFLTraining</w:t>
      </w:r>
      <w:r>
        <w:rPr>
          <w:rFonts w:eastAsia="Batang"/>
        </w:rPr>
        <w:t xml:space="preserve"> service API.</w:t>
      </w:r>
    </w:p>
    <w:p w14:paraId="28DD0229" w14:textId="77777777" w:rsidR="00183EFC" w:rsidRDefault="00183EFC" w:rsidP="00183EFC">
      <w:pPr>
        <w:pStyle w:val="3"/>
      </w:pPr>
      <w:bookmarkStart w:id="16750" w:name="_Toc199453424"/>
      <w:r>
        <w:t>5.9.3</w:t>
      </w:r>
      <w:r>
        <w:tab/>
        <w:t>Resources</w:t>
      </w:r>
      <w:bookmarkEnd w:id="16742"/>
      <w:bookmarkEnd w:id="16743"/>
      <w:bookmarkEnd w:id="16744"/>
      <w:bookmarkEnd w:id="16745"/>
      <w:bookmarkEnd w:id="16746"/>
      <w:bookmarkEnd w:id="16747"/>
      <w:bookmarkEnd w:id="16748"/>
      <w:bookmarkEnd w:id="16749"/>
      <w:bookmarkEnd w:id="16750"/>
    </w:p>
    <w:p w14:paraId="41A8A8BC" w14:textId="77777777" w:rsidR="00183EFC" w:rsidRDefault="00183EFC" w:rsidP="00183EFC">
      <w:pPr>
        <w:pStyle w:val="4"/>
      </w:pPr>
      <w:bookmarkStart w:id="16751" w:name="_Toc510696608"/>
      <w:bookmarkStart w:id="16752" w:name="_Toc35971399"/>
      <w:bookmarkStart w:id="16753" w:name="_Toc67903523"/>
      <w:bookmarkStart w:id="16754" w:name="_Toc73173255"/>
      <w:bookmarkStart w:id="16755" w:name="_Toc96959827"/>
      <w:bookmarkStart w:id="16756" w:name="_Toc129247534"/>
      <w:bookmarkStart w:id="16757" w:name="_Toc164863279"/>
      <w:bookmarkStart w:id="16758" w:name="_Toc192881209"/>
      <w:bookmarkStart w:id="16759" w:name="_Toc199453425"/>
      <w:r>
        <w:t>5.9.3.1</w:t>
      </w:r>
      <w:r>
        <w:tab/>
        <w:t>Overview</w:t>
      </w:r>
      <w:bookmarkEnd w:id="16751"/>
      <w:bookmarkEnd w:id="16752"/>
      <w:bookmarkEnd w:id="16753"/>
      <w:bookmarkEnd w:id="16754"/>
      <w:bookmarkEnd w:id="16755"/>
      <w:bookmarkEnd w:id="16756"/>
      <w:bookmarkEnd w:id="16757"/>
      <w:bookmarkEnd w:id="16758"/>
      <w:bookmarkEnd w:id="16759"/>
    </w:p>
    <w:p w14:paraId="7E5E0A93" w14:textId="77777777" w:rsidR="00183EFC" w:rsidRDefault="00183EFC" w:rsidP="00183EFC">
      <w:r>
        <w:t>This clause describes the structure for the Resource URIs and the resources and methods used for the service.</w:t>
      </w:r>
    </w:p>
    <w:p w14:paraId="78C89C7D" w14:textId="77777777" w:rsidR="00183EFC" w:rsidRDefault="00183EFC" w:rsidP="00183EFC">
      <w:r>
        <w:t xml:space="preserve">Figure 5.9.3.1-1 depicts the resource URIs structure for the </w:t>
      </w:r>
      <w:r>
        <w:rPr>
          <w:lang w:eastAsia="ja-JP"/>
        </w:rPr>
        <w:t>Nnwdaf_VFLTraining</w:t>
      </w:r>
      <w:r>
        <w:t xml:space="preserve"> API.</w:t>
      </w:r>
    </w:p>
    <w:p w14:paraId="4328679D" w14:textId="77777777" w:rsidR="00183EFC" w:rsidRPr="003F00F3" w:rsidRDefault="00183EFC" w:rsidP="00183EFC">
      <w:pPr>
        <w:pStyle w:val="TH"/>
        <w:rPr>
          <w:lang w:val="en-US"/>
        </w:rPr>
      </w:pPr>
      <w:r w:rsidRPr="006D0184">
        <w:rPr>
          <w:lang w:eastAsia="en-GB"/>
        </w:rPr>
        <w:object w:dxaOrig="6790" w:dyaOrig="2680" w14:anchorId="14EFCAEE">
          <v:shape id="_x0000_i1346" type="#_x0000_t75" style="width:369.4pt;height:2in" o:ole="">
            <v:imagedata r:id="rId140" o:title=""/>
          </v:shape>
          <o:OLEObject Type="Embed" ProgID="Visio.Drawing.15" ShapeID="_x0000_i1346" DrawAspect="Content" ObjectID="_1810066046" r:id="rId141"/>
        </w:object>
      </w:r>
    </w:p>
    <w:p w14:paraId="001BC3C9" w14:textId="77777777" w:rsidR="00183EFC" w:rsidRDefault="00183EFC" w:rsidP="00183EFC">
      <w:pPr>
        <w:pStyle w:val="TF"/>
      </w:pPr>
      <w:r>
        <w:t xml:space="preserve">Figure 5.9.3.1-1: Resource URI structure of the </w:t>
      </w:r>
      <w:r>
        <w:rPr>
          <w:lang w:eastAsia="ja-JP"/>
        </w:rPr>
        <w:t>Nnwdaf_VFLTraining</w:t>
      </w:r>
      <w:r>
        <w:t xml:space="preserve"> API</w:t>
      </w:r>
    </w:p>
    <w:p w14:paraId="4432B004" w14:textId="77777777" w:rsidR="00183EFC" w:rsidRDefault="00183EFC" w:rsidP="00183EFC">
      <w:r>
        <w:t>Table 5.9.3.1-1 provides an overview of the resources and applicable HTTP methods.</w:t>
      </w:r>
    </w:p>
    <w:p w14:paraId="6797538E" w14:textId="77777777" w:rsidR="00183EFC" w:rsidRDefault="00183EFC" w:rsidP="00183EFC">
      <w:pPr>
        <w:pStyle w:val="TH"/>
      </w:pPr>
      <w:r>
        <w:lastRenderedPageBreak/>
        <w:t>Table 5.9.3.1-1: Resources and methods overview</w:t>
      </w:r>
    </w:p>
    <w:tbl>
      <w:tblPr>
        <w:tblW w:w="4925"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83"/>
        <w:gridCol w:w="2518"/>
        <w:gridCol w:w="1357"/>
        <w:gridCol w:w="3323"/>
      </w:tblGrid>
      <w:tr w:rsidR="00183EFC" w14:paraId="0E269A03" w14:textId="77777777" w:rsidTr="00902260">
        <w:trPr>
          <w:jc w:val="center"/>
        </w:trPr>
        <w:tc>
          <w:tcPr>
            <w:tcW w:w="1268" w:type="pct"/>
            <w:shd w:val="clear" w:color="auto" w:fill="C0C0C0"/>
            <w:vAlign w:val="center"/>
            <w:hideMark/>
          </w:tcPr>
          <w:p w14:paraId="336D6F77" w14:textId="77777777" w:rsidR="00183EFC" w:rsidRDefault="00183EFC" w:rsidP="00902260">
            <w:pPr>
              <w:pStyle w:val="TAH"/>
              <w:ind w:left="400" w:hanging="400"/>
            </w:pPr>
            <w:r>
              <w:t>Resource name</w:t>
            </w:r>
          </w:p>
        </w:tc>
        <w:tc>
          <w:tcPr>
            <w:tcW w:w="1345" w:type="pct"/>
            <w:shd w:val="clear" w:color="auto" w:fill="C0C0C0"/>
            <w:vAlign w:val="center"/>
            <w:hideMark/>
          </w:tcPr>
          <w:p w14:paraId="0859EBE5" w14:textId="77777777" w:rsidR="00183EFC" w:rsidRDefault="00183EFC" w:rsidP="00902260">
            <w:pPr>
              <w:pStyle w:val="TAH"/>
              <w:ind w:left="400" w:hanging="400"/>
            </w:pPr>
            <w:r>
              <w:t>Resource URI</w:t>
            </w:r>
          </w:p>
        </w:tc>
        <w:tc>
          <w:tcPr>
            <w:tcW w:w="524" w:type="pct"/>
            <w:shd w:val="clear" w:color="auto" w:fill="C0C0C0"/>
            <w:vAlign w:val="center"/>
            <w:hideMark/>
          </w:tcPr>
          <w:p w14:paraId="7CBB647D" w14:textId="77777777" w:rsidR="00183EFC" w:rsidRDefault="00183EFC" w:rsidP="00902260">
            <w:pPr>
              <w:pStyle w:val="TAH"/>
              <w:ind w:left="400" w:hanging="400"/>
            </w:pPr>
            <w:r>
              <w:t>HTTP method or custom operation</w:t>
            </w:r>
          </w:p>
        </w:tc>
        <w:tc>
          <w:tcPr>
            <w:tcW w:w="1863" w:type="pct"/>
            <w:shd w:val="clear" w:color="auto" w:fill="C0C0C0"/>
            <w:vAlign w:val="center"/>
            <w:hideMark/>
          </w:tcPr>
          <w:p w14:paraId="3C0B075F" w14:textId="77777777" w:rsidR="00183EFC" w:rsidRDefault="00183EFC" w:rsidP="00902260">
            <w:pPr>
              <w:pStyle w:val="TAH"/>
              <w:ind w:left="400" w:hanging="400"/>
            </w:pPr>
            <w:r>
              <w:t>Description</w:t>
            </w:r>
          </w:p>
        </w:tc>
      </w:tr>
      <w:tr w:rsidR="00183EFC" w14:paraId="11EA3A63" w14:textId="77777777" w:rsidTr="00902260">
        <w:trPr>
          <w:jc w:val="center"/>
        </w:trPr>
        <w:tc>
          <w:tcPr>
            <w:tcW w:w="1268" w:type="pct"/>
            <w:vAlign w:val="center"/>
            <w:hideMark/>
          </w:tcPr>
          <w:p w14:paraId="79EF180A" w14:textId="77777777" w:rsidR="00183EFC" w:rsidRDefault="00183EFC" w:rsidP="00902260">
            <w:pPr>
              <w:pStyle w:val="TAL"/>
            </w:pPr>
            <w:r>
              <w:t xml:space="preserve">VFL </w:t>
            </w:r>
            <w:r w:rsidRPr="00804553">
              <w:t>Training</w:t>
            </w:r>
            <w:r>
              <w:t xml:space="preserve"> Subscriptions</w:t>
            </w:r>
          </w:p>
        </w:tc>
        <w:tc>
          <w:tcPr>
            <w:tcW w:w="1345" w:type="pct"/>
            <w:vAlign w:val="center"/>
            <w:hideMark/>
          </w:tcPr>
          <w:p w14:paraId="647A2540" w14:textId="77777777" w:rsidR="00183EFC" w:rsidRDefault="00183EFC" w:rsidP="00902260">
            <w:pPr>
              <w:pStyle w:val="TAL"/>
            </w:pPr>
            <w:r>
              <w:t>/</w:t>
            </w:r>
            <w:r w:rsidRPr="00804553">
              <w:t>subscriptions</w:t>
            </w:r>
          </w:p>
        </w:tc>
        <w:tc>
          <w:tcPr>
            <w:tcW w:w="524" w:type="pct"/>
            <w:vAlign w:val="center"/>
            <w:hideMark/>
          </w:tcPr>
          <w:p w14:paraId="3CF3FE90" w14:textId="77777777" w:rsidR="00183EFC" w:rsidRDefault="00183EFC" w:rsidP="00902260">
            <w:pPr>
              <w:pStyle w:val="TAL"/>
            </w:pPr>
            <w:r>
              <w:t>POST</w:t>
            </w:r>
          </w:p>
        </w:tc>
        <w:tc>
          <w:tcPr>
            <w:tcW w:w="1863" w:type="pct"/>
            <w:hideMark/>
          </w:tcPr>
          <w:p w14:paraId="7779ACE1" w14:textId="77777777" w:rsidR="00183EFC" w:rsidRDefault="00183EFC" w:rsidP="00902260">
            <w:pPr>
              <w:pStyle w:val="TAL"/>
            </w:pPr>
            <w:r>
              <w:t xml:space="preserve">Creates a new Individual VFL </w:t>
            </w:r>
            <w:r w:rsidRPr="00804553">
              <w:t>Training</w:t>
            </w:r>
            <w:r>
              <w:t xml:space="preserve"> Subscription resource.</w:t>
            </w:r>
          </w:p>
        </w:tc>
      </w:tr>
      <w:tr w:rsidR="00183EFC" w14:paraId="491C5871" w14:textId="77777777" w:rsidTr="00902260">
        <w:trPr>
          <w:trHeight w:val="233"/>
          <w:jc w:val="center"/>
        </w:trPr>
        <w:tc>
          <w:tcPr>
            <w:tcW w:w="1268" w:type="pct"/>
            <w:vMerge w:val="restart"/>
            <w:vAlign w:val="center"/>
          </w:tcPr>
          <w:p w14:paraId="61CEAB2C" w14:textId="77777777" w:rsidR="00183EFC" w:rsidRDefault="00183EFC" w:rsidP="00902260">
            <w:pPr>
              <w:pStyle w:val="TAL"/>
            </w:pPr>
            <w:r>
              <w:t xml:space="preserve">Individual VFL </w:t>
            </w:r>
            <w:r w:rsidRPr="00804553">
              <w:t>Training</w:t>
            </w:r>
            <w:r>
              <w:t xml:space="preserve"> Subscription</w:t>
            </w:r>
          </w:p>
        </w:tc>
        <w:tc>
          <w:tcPr>
            <w:tcW w:w="1345" w:type="pct"/>
            <w:vMerge w:val="restart"/>
            <w:vAlign w:val="center"/>
          </w:tcPr>
          <w:p w14:paraId="5089B490" w14:textId="77777777" w:rsidR="00183EFC" w:rsidRDefault="00183EFC" w:rsidP="00902260">
            <w:pPr>
              <w:pStyle w:val="TAL"/>
            </w:pPr>
            <w:r>
              <w:t>/</w:t>
            </w:r>
            <w:r w:rsidRPr="00804553">
              <w:t>subscriptions</w:t>
            </w:r>
            <w:r>
              <w:t>/{subscriptionId}</w:t>
            </w:r>
          </w:p>
        </w:tc>
        <w:tc>
          <w:tcPr>
            <w:tcW w:w="524" w:type="pct"/>
            <w:vAlign w:val="center"/>
          </w:tcPr>
          <w:p w14:paraId="4DE0E2A3" w14:textId="77777777" w:rsidR="00183EFC" w:rsidRDefault="00183EFC" w:rsidP="00902260">
            <w:pPr>
              <w:pStyle w:val="TAL"/>
            </w:pPr>
            <w:r>
              <w:t>PUT</w:t>
            </w:r>
          </w:p>
        </w:tc>
        <w:tc>
          <w:tcPr>
            <w:tcW w:w="1863" w:type="pct"/>
          </w:tcPr>
          <w:p w14:paraId="47635763" w14:textId="77777777" w:rsidR="00183EFC" w:rsidRDefault="00183EFC" w:rsidP="00902260">
            <w:pPr>
              <w:pStyle w:val="TAL"/>
            </w:pPr>
            <w:r>
              <w:rPr>
                <w:szCs w:val="18"/>
              </w:rPr>
              <w:t>Updates an existing</w:t>
            </w:r>
            <w:r>
              <w:t xml:space="preserve"> Individual VFL </w:t>
            </w:r>
            <w:r w:rsidRPr="00804553">
              <w:t>Training</w:t>
            </w:r>
            <w:r>
              <w:t xml:space="preserve"> Subscription</w:t>
            </w:r>
            <w:r>
              <w:rPr>
                <w:szCs w:val="18"/>
              </w:rPr>
              <w:t xml:space="preserve"> identified by {subscriptionId}.</w:t>
            </w:r>
          </w:p>
        </w:tc>
      </w:tr>
      <w:tr w:rsidR="00183EFC" w14:paraId="72340EAF" w14:textId="77777777" w:rsidTr="00253BF3">
        <w:trPr>
          <w:trHeight w:val="394"/>
          <w:jc w:val="center"/>
        </w:trPr>
        <w:tc>
          <w:tcPr>
            <w:tcW w:w="1268" w:type="pct"/>
            <w:vMerge/>
            <w:vAlign w:val="center"/>
          </w:tcPr>
          <w:p w14:paraId="5F79BAF8" w14:textId="77777777" w:rsidR="00183EFC" w:rsidRDefault="00183EFC" w:rsidP="00902260">
            <w:pPr>
              <w:pStyle w:val="TAL"/>
            </w:pPr>
          </w:p>
        </w:tc>
        <w:tc>
          <w:tcPr>
            <w:tcW w:w="1345" w:type="pct"/>
            <w:vMerge/>
            <w:vAlign w:val="center"/>
          </w:tcPr>
          <w:p w14:paraId="5C06A6B7" w14:textId="77777777" w:rsidR="00183EFC" w:rsidRDefault="00183EFC" w:rsidP="00902260">
            <w:pPr>
              <w:pStyle w:val="TAL"/>
            </w:pPr>
          </w:p>
        </w:tc>
        <w:tc>
          <w:tcPr>
            <w:tcW w:w="524" w:type="pct"/>
            <w:vAlign w:val="center"/>
          </w:tcPr>
          <w:p w14:paraId="0636A688" w14:textId="77777777" w:rsidR="00183EFC" w:rsidRDefault="00183EFC" w:rsidP="00902260">
            <w:pPr>
              <w:pStyle w:val="TAL"/>
            </w:pPr>
            <w:r>
              <w:t>DELETE</w:t>
            </w:r>
          </w:p>
        </w:tc>
        <w:tc>
          <w:tcPr>
            <w:tcW w:w="1863" w:type="pct"/>
          </w:tcPr>
          <w:p w14:paraId="799F6008" w14:textId="77777777" w:rsidR="00183EFC" w:rsidRDefault="00183EFC" w:rsidP="00902260">
            <w:pPr>
              <w:pStyle w:val="TAL"/>
            </w:pPr>
            <w:r>
              <w:t xml:space="preserve">Deletes an Individual VFL </w:t>
            </w:r>
            <w:r w:rsidRPr="00804553">
              <w:t>Training</w:t>
            </w:r>
            <w:r>
              <w:t xml:space="preserve"> Subscription identified by {subscriptionId}.</w:t>
            </w:r>
          </w:p>
        </w:tc>
      </w:tr>
    </w:tbl>
    <w:p w14:paraId="52245279" w14:textId="77777777" w:rsidR="00183EFC" w:rsidRDefault="00183EFC" w:rsidP="00183EFC"/>
    <w:p w14:paraId="567CD262" w14:textId="77777777" w:rsidR="00183EFC" w:rsidRDefault="00183EFC" w:rsidP="00183EFC">
      <w:pPr>
        <w:pStyle w:val="EditorsNote"/>
        <w:rPr>
          <w:rStyle w:val="EditorsNoteCharChar"/>
        </w:rPr>
      </w:pPr>
      <w:r w:rsidRPr="00C528F2">
        <w:rPr>
          <w:rStyle w:val="EditorsNoteCharChar"/>
        </w:rPr>
        <w:t>Editor's Note:</w:t>
      </w:r>
      <w:r w:rsidRPr="00C528F2">
        <w:rPr>
          <w:rStyle w:val="EditorsNoteCharChar"/>
        </w:rPr>
        <w:tab/>
      </w:r>
      <w:r>
        <w:rPr>
          <w:rStyle w:val="EditorsNoteCharChar"/>
        </w:rPr>
        <w:t>Whether the GET and PATCH methods are needed is FFS</w:t>
      </w:r>
      <w:r w:rsidRPr="00C528F2">
        <w:rPr>
          <w:rStyle w:val="EditorsNoteCharChar"/>
        </w:rPr>
        <w:t>.</w:t>
      </w:r>
    </w:p>
    <w:p w14:paraId="0D9FDF0F" w14:textId="77777777" w:rsidR="00183EFC" w:rsidRPr="00DC6D5E" w:rsidRDefault="00183EFC" w:rsidP="00183EFC"/>
    <w:p w14:paraId="493CF3AD" w14:textId="77777777" w:rsidR="00183EFC" w:rsidRDefault="00183EFC" w:rsidP="00183EFC">
      <w:pPr>
        <w:pStyle w:val="4"/>
      </w:pPr>
      <w:bookmarkStart w:id="16760" w:name="_Toc510696609"/>
      <w:bookmarkStart w:id="16761" w:name="_Toc35971400"/>
      <w:bookmarkStart w:id="16762" w:name="_Toc67903524"/>
      <w:bookmarkStart w:id="16763" w:name="_Toc73173256"/>
      <w:bookmarkStart w:id="16764" w:name="_Toc96959828"/>
      <w:bookmarkStart w:id="16765" w:name="_Toc129247535"/>
      <w:bookmarkStart w:id="16766" w:name="_Toc164863280"/>
      <w:bookmarkStart w:id="16767" w:name="_Toc192881210"/>
      <w:bookmarkStart w:id="16768" w:name="_Toc199453426"/>
      <w:r>
        <w:t>5.9.3.2</w:t>
      </w:r>
      <w:r>
        <w:tab/>
        <w:t xml:space="preserve">Resource: </w:t>
      </w:r>
      <w:bookmarkEnd w:id="16760"/>
      <w:bookmarkEnd w:id="16761"/>
      <w:bookmarkEnd w:id="16762"/>
      <w:bookmarkEnd w:id="16763"/>
      <w:bookmarkEnd w:id="16764"/>
      <w:bookmarkEnd w:id="16765"/>
      <w:bookmarkEnd w:id="16766"/>
      <w:bookmarkEnd w:id="16767"/>
      <w:r>
        <w:t xml:space="preserve">VFL </w:t>
      </w:r>
      <w:r w:rsidRPr="00804553">
        <w:t>Training</w:t>
      </w:r>
      <w:r>
        <w:t xml:space="preserve"> Subscriptions</w:t>
      </w:r>
      <w:bookmarkEnd w:id="16768"/>
    </w:p>
    <w:p w14:paraId="425D1AA6" w14:textId="77777777" w:rsidR="00183EFC" w:rsidRDefault="00183EFC" w:rsidP="00183EFC">
      <w:pPr>
        <w:pStyle w:val="5"/>
      </w:pPr>
      <w:bookmarkStart w:id="16769" w:name="_Toc510696610"/>
      <w:bookmarkStart w:id="16770" w:name="_Toc35971401"/>
      <w:bookmarkStart w:id="16771" w:name="_Toc67903525"/>
      <w:bookmarkStart w:id="16772" w:name="_Toc73173257"/>
      <w:bookmarkStart w:id="16773" w:name="_Toc96959829"/>
      <w:bookmarkStart w:id="16774" w:name="_Toc129247536"/>
      <w:bookmarkStart w:id="16775" w:name="_Toc164863281"/>
      <w:bookmarkStart w:id="16776" w:name="_Toc192881211"/>
      <w:bookmarkStart w:id="16777" w:name="_Toc199453427"/>
      <w:r>
        <w:t>5.9.3.2.1</w:t>
      </w:r>
      <w:r>
        <w:tab/>
        <w:t>Description</w:t>
      </w:r>
      <w:bookmarkEnd w:id="16769"/>
      <w:bookmarkEnd w:id="16770"/>
      <w:bookmarkEnd w:id="16771"/>
      <w:bookmarkEnd w:id="16772"/>
      <w:bookmarkEnd w:id="16773"/>
      <w:bookmarkEnd w:id="16774"/>
      <w:bookmarkEnd w:id="16775"/>
      <w:bookmarkEnd w:id="16776"/>
      <w:bookmarkEnd w:id="16777"/>
    </w:p>
    <w:p w14:paraId="08D4343D" w14:textId="77777777" w:rsidR="00183EFC" w:rsidRDefault="00183EFC" w:rsidP="00183EFC">
      <w:r w:rsidRPr="007955BF">
        <w:t xml:space="preserve">The </w:t>
      </w:r>
      <w:r>
        <w:t xml:space="preserve">VFL </w:t>
      </w:r>
      <w:r w:rsidRPr="00804553">
        <w:t>Training</w:t>
      </w:r>
      <w:r>
        <w:t xml:space="preserve"> Subscriptions</w:t>
      </w:r>
      <w:r w:rsidRPr="007955BF">
        <w:t xml:space="preserve"> resource represents all </w:t>
      </w:r>
      <w:r>
        <w:t>VFL t</w:t>
      </w:r>
      <w:r w:rsidRPr="00804553">
        <w:t>raining</w:t>
      </w:r>
      <w:r>
        <w:t xml:space="preserve"> </w:t>
      </w:r>
      <w:r w:rsidRPr="007955BF">
        <w:t xml:space="preserve">subscriptions to the </w:t>
      </w:r>
      <w:r>
        <w:rPr>
          <w:lang w:eastAsia="ja-JP"/>
        </w:rPr>
        <w:t>Nnwdaf_VFLTraining</w:t>
      </w:r>
      <w:r w:rsidRPr="007955BF">
        <w:t xml:space="preserve"> Service at a given </w:t>
      </w:r>
      <w:r>
        <w:t>NWDAF</w:t>
      </w:r>
      <w:r w:rsidRPr="007955BF">
        <w:t xml:space="preserve">. The resource allows an NF service consumer to create a new </w:t>
      </w:r>
      <w:r>
        <w:t xml:space="preserve">Individual VFL </w:t>
      </w:r>
      <w:r w:rsidRPr="00804553">
        <w:t>Training</w:t>
      </w:r>
      <w:r>
        <w:t xml:space="preserve"> Subscription</w:t>
      </w:r>
      <w:r w:rsidRPr="007955BF">
        <w:t xml:space="preserve"> resource.</w:t>
      </w:r>
    </w:p>
    <w:p w14:paraId="4FE4CB25" w14:textId="77777777" w:rsidR="00183EFC" w:rsidRDefault="00183EFC" w:rsidP="00183EFC">
      <w:pPr>
        <w:pStyle w:val="5"/>
      </w:pPr>
      <w:bookmarkStart w:id="16778" w:name="_Toc35971402"/>
      <w:bookmarkStart w:id="16779" w:name="_Toc67903526"/>
      <w:bookmarkStart w:id="16780" w:name="_Toc73173258"/>
      <w:bookmarkStart w:id="16781" w:name="_Toc96959830"/>
      <w:bookmarkStart w:id="16782" w:name="_Toc129247537"/>
      <w:bookmarkStart w:id="16783" w:name="_Toc164863282"/>
      <w:bookmarkStart w:id="16784" w:name="_Toc192881212"/>
      <w:bookmarkStart w:id="16785" w:name="_Toc510696612"/>
      <w:bookmarkStart w:id="16786" w:name="_Toc199453428"/>
      <w:r>
        <w:t>5.9.3.2.2</w:t>
      </w:r>
      <w:r>
        <w:tab/>
        <w:t>Resource Definition</w:t>
      </w:r>
      <w:bookmarkEnd w:id="16778"/>
      <w:bookmarkEnd w:id="16779"/>
      <w:bookmarkEnd w:id="16780"/>
      <w:bookmarkEnd w:id="16781"/>
      <w:bookmarkEnd w:id="16782"/>
      <w:bookmarkEnd w:id="16783"/>
      <w:bookmarkEnd w:id="16784"/>
      <w:bookmarkEnd w:id="16786"/>
    </w:p>
    <w:p w14:paraId="1752331E" w14:textId="77777777" w:rsidR="00183EFC" w:rsidRDefault="00183EFC" w:rsidP="00183EFC">
      <w:r>
        <w:t xml:space="preserve">Resource URI: </w:t>
      </w:r>
      <w:r w:rsidRPr="008B6011">
        <w:rPr>
          <w:b/>
          <w:bCs/>
        </w:rPr>
        <w:t>{apiRoot}/</w:t>
      </w:r>
      <w:r w:rsidRPr="00AC3EBF">
        <w:rPr>
          <w:b/>
          <w:bCs/>
        </w:rPr>
        <w:t>nnwdaf-vfltraining</w:t>
      </w:r>
      <w:r w:rsidRPr="008B6011">
        <w:rPr>
          <w:b/>
          <w:bCs/>
        </w:rPr>
        <w:t>/</w:t>
      </w:r>
      <w:r w:rsidRPr="00D061BC">
        <w:rPr>
          <w:b/>
          <w:bCs/>
        </w:rPr>
        <w:t>&lt;apiVersion&gt;</w:t>
      </w:r>
      <w:r w:rsidRPr="008B6011">
        <w:rPr>
          <w:b/>
          <w:bCs/>
        </w:rPr>
        <w:t>/</w:t>
      </w:r>
      <w:r w:rsidRPr="00AC3EBF">
        <w:rPr>
          <w:b/>
          <w:bCs/>
        </w:rPr>
        <w:t>subscriptions</w:t>
      </w:r>
    </w:p>
    <w:p w14:paraId="477FD639" w14:textId="77777777" w:rsidR="00183EFC" w:rsidRDefault="00183EFC" w:rsidP="00183EFC">
      <w:pPr>
        <w:rPr>
          <w:rFonts w:ascii="Arial" w:hAnsi="Arial" w:cs="Arial"/>
        </w:rPr>
      </w:pPr>
      <w:r>
        <w:t>This resource shall support the resource URI variables defined in table 5.9.3.2.2-1</w:t>
      </w:r>
      <w:r>
        <w:rPr>
          <w:rFonts w:ascii="Arial" w:hAnsi="Arial" w:cs="Arial"/>
        </w:rPr>
        <w:t>.</w:t>
      </w:r>
    </w:p>
    <w:p w14:paraId="0E4A17C2" w14:textId="77777777" w:rsidR="00183EFC" w:rsidRDefault="00183EFC" w:rsidP="00183EFC">
      <w:pPr>
        <w:pStyle w:val="TH"/>
        <w:rPr>
          <w:rFonts w:cs="Arial"/>
        </w:rPr>
      </w:pPr>
      <w:r>
        <w:t>Table 5.9.3.2.2-1: Resource URI variables for this resource</w:t>
      </w:r>
    </w:p>
    <w:tbl>
      <w:tblPr>
        <w:tblW w:w="5000"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83EFC" w14:paraId="1BC7B1DD" w14:textId="77777777" w:rsidTr="00902260">
        <w:trPr>
          <w:jc w:val="center"/>
        </w:trPr>
        <w:tc>
          <w:tcPr>
            <w:tcW w:w="687" w:type="pct"/>
            <w:shd w:val="clear" w:color="000000" w:fill="C0C0C0"/>
            <w:hideMark/>
          </w:tcPr>
          <w:p w14:paraId="4B7E3927" w14:textId="77777777" w:rsidR="00183EFC" w:rsidRDefault="00183EFC" w:rsidP="00902260">
            <w:pPr>
              <w:pStyle w:val="TAH"/>
              <w:ind w:left="400" w:hanging="400"/>
            </w:pPr>
            <w:r>
              <w:t>Name</w:t>
            </w:r>
          </w:p>
        </w:tc>
        <w:tc>
          <w:tcPr>
            <w:tcW w:w="1039" w:type="pct"/>
            <w:shd w:val="clear" w:color="000000" w:fill="C0C0C0"/>
          </w:tcPr>
          <w:p w14:paraId="4463788A" w14:textId="77777777" w:rsidR="00183EFC" w:rsidRDefault="00183EFC" w:rsidP="00902260">
            <w:pPr>
              <w:pStyle w:val="TAH"/>
              <w:ind w:left="400" w:hanging="400"/>
            </w:pPr>
            <w:r>
              <w:t>Data type</w:t>
            </w:r>
          </w:p>
        </w:tc>
        <w:tc>
          <w:tcPr>
            <w:tcW w:w="3274" w:type="pct"/>
            <w:shd w:val="clear" w:color="000000" w:fill="C0C0C0"/>
            <w:vAlign w:val="center"/>
            <w:hideMark/>
          </w:tcPr>
          <w:p w14:paraId="37142B23" w14:textId="77777777" w:rsidR="00183EFC" w:rsidRDefault="00183EFC" w:rsidP="00902260">
            <w:pPr>
              <w:pStyle w:val="TAH"/>
              <w:ind w:left="400" w:hanging="400"/>
            </w:pPr>
            <w:r>
              <w:t>Definition</w:t>
            </w:r>
          </w:p>
        </w:tc>
      </w:tr>
      <w:tr w:rsidR="00183EFC" w14:paraId="3A3B5B96" w14:textId="77777777" w:rsidTr="00902260">
        <w:trPr>
          <w:jc w:val="center"/>
        </w:trPr>
        <w:tc>
          <w:tcPr>
            <w:tcW w:w="687" w:type="pct"/>
            <w:hideMark/>
          </w:tcPr>
          <w:p w14:paraId="56FF1E16" w14:textId="77777777" w:rsidR="00183EFC" w:rsidRDefault="00183EFC" w:rsidP="00902260">
            <w:pPr>
              <w:pStyle w:val="TAL"/>
            </w:pPr>
            <w:r>
              <w:t>apiRoot</w:t>
            </w:r>
          </w:p>
        </w:tc>
        <w:tc>
          <w:tcPr>
            <w:tcW w:w="1039" w:type="pct"/>
          </w:tcPr>
          <w:p w14:paraId="143211AE" w14:textId="77777777" w:rsidR="00183EFC" w:rsidRDefault="00183EFC" w:rsidP="00902260">
            <w:pPr>
              <w:pStyle w:val="TAL"/>
            </w:pPr>
            <w:r>
              <w:t>string</w:t>
            </w:r>
          </w:p>
        </w:tc>
        <w:tc>
          <w:tcPr>
            <w:tcW w:w="3274" w:type="pct"/>
            <w:vAlign w:val="center"/>
            <w:hideMark/>
          </w:tcPr>
          <w:p w14:paraId="5FDCF1F6" w14:textId="77777777" w:rsidR="00183EFC" w:rsidRDefault="00183EFC" w:rsidP="00902260">
            <w:pPr>
              <w:pStyle w:val="TAL"/>
            </w:pPr>
            <w:r>
              <w:t>See clause</w:t>
            </w:r>
            <w:r>
              <w:rPr>
                <w:lang w:val="en-US" w:eastAsia="zh-CN"/>
              </w:rPr>
              <w:t> </w:t>
            </w:r>
            <w:r>
              <w:t>5.9.1</w:t>
            </w:r>
          </w:p>
        </w:tc>
      </w:tr>
    </w:tbl>
    <w:p w14:paraId="12354E94" w14:textId="77777777" w:rsidR="00183EFC" w:rsidRDefault="00183EFC" w:rsidP="00183EFC"/>
    <w:p w14:paraId="22144960" w14:textId="77777777" w:rsidR="00183EFC" w:rsidRDefault="00183EFC" w:rsidP="00183EFC">
      <w:pPr>
        <w:pStyle w:val="5"/>
      </w:pPr>
      <w:bookmarkStart w:id="16787" w:name="_Toc35971403"/>
      <w:bookmarkStart w:id="16788" w:name="_Toc67903527"/>
      <w:bookmarkStart w:id="16789" w:name="_Toc73173259"/>
      <w:bookmarkStart w:id="16790" w:name="_Toc96959831"/>
      <w:bookmarkStart w:id="16791" w:name="_Toc129247538"/>
      <w:bookmarkStart w:id="16792" w:name="_Toc164863283"/>
      <w:bookmarkStart w:id="16793" w:name="_Toc192881213"/>
      <w:bookmarkStart w:id="16794" w:name="_Toc199453429"/>
      <w:r>
        <w:t>5.9.3.2.3</w:t>
      </w:r>
      <w:r>
        <w:tab/>
        <w:t>Resource Standard Methods</w:t>
      </w:r>
      <w:bookmarkEnd w:id="16785"/>
      <w:bookmarkEnd w:id="16787"/>
      <w:bookmarkEnd w:id="16788"/>
      <w:bookmarkEnd w:id="16789"/>
      <w:bookmarkEnd w:id="16790"/>
      <w:bookmarkEnd w:id="16791"/>
      <w:bookmarkEnd w:id="16792"/>
      <w:bookmarkEnd w:id="16793"/>
      <w:bookmarkEnd w:id="16794"/>
    </w:p>
    <w:p w14:paraId="7F4FB7E5" w14:textId="77777777" w:rsidR="00183EFC" w:rsidRPr="007565F0" w:rsidRDefault="00183EFC" w:rsidP="00183EFC">
      <w:pPr>
        <w:pStyle w:val="6"/>
      </w:pPr>
      <w:bookmarkStart w:id="16795" w:name="_Toc510696613"/>
      <w:bookmarkStart w:id="16796" w:name="_Toc35971404"/>
      <w:bookmarkStart w:id="16797" w:name="_Toc129247539"/>
      <w:bookmarkStart w:id="16798" w:name="_Toc164863284"/>
      <w:bookmarkStart w:id="16799" w:name="_Toc192881214"/>
      <w:bookmarkStart w:id="16800" w:name="_Toc199453430"/>
      <w:r>
        <w:t>5.9</w:t>
      </w:r>
      <w:r w:rsidRPr="007565F0">
        <w:t>.3.2.3.1</w:t>
      </w:r>
      <w:r w:rsidRPr="007565F0">
        <w:tab/>
        <w:t>POST</w:t>
      </w:r>
      <w:bookmarkEnd w:id="16795"/>
      <w:bookmarkEnd w:id="16796"/>
      <w:bookmarkEnd w:id="16797"/>
      <w:bookmarkEnd w:id="16798"/>
      <w:bookmarkEnd w:id="16799"/>
      <w:bookmarkEnd w:id="16800"/>
    </w:p>
    <w:p w14:paraId="304ECC18" w14:textId="77777777" w:rsidR="00183EFC" w:rsidRDefault="00183EFC" w:rsidP="00183EFC">
      <w:r>
        <w:t>This method shall support the URI query parameters specified in table 5.9.3.2.3.1-1.</w:t>
      </w:r>
    </w:p>
    <w:p w14:paraId="59F890F4" w14:textId="77777777" w:rsidR="00183EFC" w:rsidRDefault="00183EFC" w:rsidP="00183EFC">
      <w:pPr>
        <w:pStyle w:val="TH"/>
        <w:rPr>
          <w:rFonts w:cs="Arial"/>
        </w:rPr>
      </w:pPr>
      <w:r>
        <w:t>Table 5.9.3.2.3.1-1: URI query parameters supported by the POST method on this resource</w:t>
      </w:r>
    </w:p>
    <w:tbl>
      <w:tblPr>
        <w:tblW w:w="5008"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83EFC" w14:paraId="7FCD5D7D" w14:textId="77777777" w:rsidTr="00902260">
        <w:trPr>
          <w:jc w:val="center"/>
        </w:trPr>
        <w:tc>
          <w:tcPr>
            <w:tcW w:w="825" w:type="pct"/>
            <w:tcBorders>
              <w:bottom w:val="single" w:sz="6" w:space="0" w:color="auto"/>
            </w:tcBorders>
            <w:shd w:val="clear" w:color="auto" w:fill="C0C0C0"/>
          </w:tcPr>
          <w:p w14:paraId="2FDDD17C" w14:textId="77777777" w:rsidR="00183EFC" w:rsidRDefault="00183EFC" w:rsidP="00902260">
            <w:pPr>
              <w:pStyle w:val="TAH"/>
              <w:ind w:left="400" w:hanging="400"/>
            </w:pPr>
            <w:r>
              <w:t>Name</w:t>
            </w:r>
          </w:p>
        </w:tc>
        <w:tc>
          <w:tcPr>
            <w:tcW w:w="731" w:type="pct"/>
            <w:tcBorders>
              <w:bottom w:val="single" w:sz="6" w:space="0" w:color="auto"/>
            </w:tcBorders>
            <w:shd w:val="clear" w:color="auto" w:fill="C0C0C0"/>
          </w:tcPr>
          <w:p w14:paraId="6BBA4AA6" w14:textId="77777777" w:rsidR="00183EFC" w:rsidRDefault="00183EFC" w:rsidP="00902260">
            <w:pPr>
              <w:pStyle w:val="TAH"/>
              <w:ind w:left="400" w:hanging="400"/>
            </w:pPr>
            <w:r>
              <w:t>Data type</w:t>
            </w:r>
          </w:p>
        </w:tc>
        <w:tc>
          <w:tcPr>
            <w:tcW w:w="215" w:type="pct"/>
            <w:tcBorders>
              <w:bottom w:val="single" w:sz="6" w:space="0" w:color="auto"/>
            </w:tcBorders>
            <w:shd w:val="clear" w:color="auto" w:fill="C0C0C0"/>
          </w:tcPr>
          <w:p w14:paraId="64CEC2E1" w14:textId="77777777" w:rsidR="00183EFC" w:rsidRDefault="00183EFC" w:rsidP="00902260">
            <w:pPr>
              <w:pStyle w:val="TAH"/>
              <w:ind w:left="400" w:hanging="400"/>
            </w:pPr>
            <w:r>
              <w:t>P</w:t>
            </w:r>
          </w:p>
        </w:tc>
        <w:tc>
          <w:tcPr>
            <w:tcW w:w="580" w:type="pct"/>
            <w:tcBorders>
              <w:bottom w:val="single" w:sz="6" w:space="0" w:color="auto"/>
            </w:tcBorders>
            <w:shd w:val="clear" w:color="auto" w:fill="C0C0C0"/>
          </w:tcPr>
          <w:p w14:paraId="6B172640" w14:textId="77777777" w:rsidR="00183EFC" w:rsidRDefault="00183EFC" w:rsidP="00902260">
            <w:pPr>
              <w:pStyle w:val="TAH"/>
              <w:ind w:left="400" w:hanging="400"/>
            </w:pPr>
            <w:r>
              <w:t>Cardinality</w:t>
            </w:r>
          </w:p>
        </w:tc>
        <w:tc>
          <w:tcPr>
            <w:tcW w:w="1852" w:type="pct"/>
            <w:tcBorders>
              <w:bottom w:val="single" w:sz="6" w:space="0" w:color="auto"/>
            </w:tcBorders>
            <w:shd w:val="clear" w:color="auto" w:fill="C0C0C0"/>
            <w:vAlign w:val="center"/>
          </w:tcPr>
          <w:p w14:paraId="72235065" w14:textId="77777777" w:rsidR="00183EFC" w:rsidRDefault="00183EFC" w:rsidP="00902260">
            <w:pPr>
              <w:pStyle w:val="TAH"/>
              <w:ind w:left="400" w:hanging="400"/>
            </w:pPr>
            <w:r>
              <w:t>Description</w:t>
            </w:r>
          </w:p>
        </w:tc>
        <w:tc>
          <w:tcPr>
            <w:tcW w:w="796" w:type="pct"/>
            <w:tcBorders>
              <w:bottom w:val="single" w:sz="6" w:space="0" w:color="auto"/>
            </w:tcBorders>
            <w:shd w:val="clear" w:color="auto" w:fill="C0C0C0"/>
          </w:tcPr>
          <w:p w14:paraId="4FD0294D" w14:textId="77777777" w:rsidR="00183EFC" w:rsidRDefault="00183EFC" w:rsidP="00902260">
            <w:pPr>
              <w:pStyle w:val="TAH"/>
              <w:ind w:left="400" w:hanging="400"/>
            </w:pPr>
            <w:r>
              <w:t>Applicability</w:t>
            </w:r>
          </w:p>
        </w:tc>
      </w:tr>
      <w:tr w:rsidR="00183EFC" w14:paraId="64F24B0E" w14:textId="77777777" w:rsidTr="00902260">
        <w:trPr>
          <w:jc w:val="center"/>
        </w:trPr>
        <w:tc>
          <w:tcPr>
            <w:tcW w:w="825" w:type="pct"/>
            <w:tcBorders>
              <w:top w:val="single" w:sz="6" w:space="0" w:color="auto"/>
            </w:tcBorders>
            <w:shd w:val="clear" w:color="auto" w:fill="auto"/>
          </w:tcPr>
          <w:p w14:paraId="0488818B" w14:textId="77777777" w:rsidR="00183EFC" w:rsidRDefault="00183EFC" w:rsidP="00902260">
            <w:pPr>
              <w:pStyle w:val="TAL"/>
            </w:pPr>
            <w:r>
              <w:t>n/a</w:t>
            </w:r>
          </w:p>
        </w:tc>
        <w:tc>
          <w:tcPr>
            <w:tcW w:w="731" w:type="pct"/>
            <w:tcBorders>
              <w:top w:val="single" w:sz="6" w:space="0" w:color="auto"/>
            </w:tcBorders>
          </w:tcPr>
          <w:p w14:paraId="03DE722A" w14:textId="77777777" w:rsidR="00183EFC" w:rsidRDefault="00183EFC" w:rsidP="00902260">
            <w:pPr>
              <w:pStyle w:val="TAL"/>
            </w:pPr>
          </w:p>
        </w:tc>
        <w:tc>
          <w:tcPr>
            <w:tcW w:w="215" w:type="pct"/>
            <w:tcBorders>
              <w:top w:val="single" w:sz="6" w:space="0" w:color="auto"/>
            </w:tcBorders>
          </w:tcPr>
          <w:p w14:paraId="07CE5F5F" w14:textId="77777777" w:rsidR="00183EFC" w:rsidRDefault="00183EFC" w:rsidP="00902260">
            <w:pPr>
              <w:pStyle w:val="TAC"/>
            </w:pPr>
          </w:p>
        </w:tc>
        <w:tc>
          <w:tcPr>
            <w:tcW w:w="580" w:type="pct"/>
            <w:tcBorders>
              <w:top w:val="single" w:sz="6" w:space="0" w:color="auto"/>
            </w:tcBorders>
          </w:tcPr>
          <w:p w14:paraId="132D7623" w14:textId="77777777" w:rsidR="00183EFC" w:rsidRDefault="00183EFC" w:rsidP="00902260">
            <w:pPr>
              <w:pStyle w:val="TAL"/>
            </w:pPr>
          </w:p>
        </w:tc>
        <w:tc>
          <w:tcPr>
            <w:tcW w:w="1852" w:type="pct"/>
            <w:tcBorders>
              <w:top w:val="single" w:sz="6" w:space="0" w:color="auto"/>
            </w:tcBorders>
            <w:shd w:val="clear" w:color="auto" w:fill="auto"/>
            <w:vAlign w:val="center"/>
          </w:tcPr>
          <w:p w14:paraId="5219E026" w14:textId="77777777" w:rsidR="00183EFC" w:rsidRDefault="00183EFC" w:rsidP="00902260">
            <w:pPr>
              <w:pStyle w:val="TAL"/>
            </w:pPr>
          </w:p>
        </w:tc>
        <w:tc>
          <w:tcPr>
            <w:tcW w:w="796" w:type="pct"/>
            <w:tcBorders>
              <w:top w:val="single" w:sz="6" w:space="0" w:color="auto"/>
            </w:tcBorders>
          </w:tcPr>
          <w:p w14:paraId="45B8FDED" w14:textId="77777777" w:rsidR="00183EFC" w:rsidRDefault="00183EFC" w:rsidP="00902260">
            <w:pPr>
              <w:pStyle w:val="TAL"/>
            </w:pPr>
          </w:p>
        </w:tc>
      </w:tr>
    </w:tbl>
    <w:p w14:paraId="3E364FBF" w14:textId="77777777" w:rsidR="00183EFC" w:rsidRDefault="00183EFC" w:rsidP="00183EFC"/>
    <w:p w14:paraId="449E2F4C" w14:textId="77777777" w:rsidR="00183EFC" w:rsidRDefault="00183EFC" w:rsidP="00183EFC">
      <w:r>
        <w:t>This method shall support the request data structures specified in table 5.9.3.2.3.1-2 and the response data structures and response codes specified in table 5.9.3.2.3.1-3.</w:t>
      </w:r>
    </w:p>
    <w:p w14:paraId="03895972" w14:textId="77777777" w:rsidR="00183EFC" w:rsidRDefault="00183EFC" w:rsidP="00183EFC">
      <w:pPr>
        <w:pStyle w:val="TH"/>
      </w:pPr>
      <w:r>
        <w:t>Table 5.9.3.2.3.1-2: Data structures supported by the POST Request Body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83EFC" w14:paraId="4BA94051" w14:textId="77777777" w:rsidTr="00902260">
        <w:trPr>
          <w:jc w:val="center"/>
        </w:trPr>
        <w:tc>
          <w:tcPr>
            <w:tcW w:w="1627" w:type="dxa"/>
            <w:tcBorders>
              <w:bottom w:val="single" w:sz="6" w:space="0" w:color="auto"/>
            </w:tcBorders>
            <w:shd w:val="clear" w:color="auto" w:fill="C0C0C0"/>
          </w:tcPr>
          <w:p w14:paraId="47390DEE" w14:textId="77777777" w:rsidR="00183EFC" w:rsidRDefault="00183EFC" w:rsidP="00902260">
            <w:pPr>
              <w:pStyle w:val="TAH"/>
              <w:ind w:left="400" w:hanging="400"/>
            </w:pPr>
            <w:r>
              <w:t>Data type</w:t>
            </w:r>
          </w:p>
        </w:tc>
        <w:tc>
          <w:tcPr>
            <w:tcW w:w="425" w:type="dxa"/>
            <w:tcBorders>
              <w:bottom w:val="single" w:sz="6" w:space="0" w:color="auto"/>
            </w:tcBorders>
            <w:shd w:val="clear" w:color="auto" w:fill="C0C0C0"/>
          </w:tcPr>
          <w:p w14:paraId="72D8410B" w14:textId="77777777" w:rsidR="00183EFC" w:rsidRDefault="00183EFC" w:rsidP="00902260">
            <w:pPr>
              <w:pStyle w:val="TAH"/>
              <w:ind w:left="400" w:hanging="400"/>
            </w:pPr>
            <w:r>
              <w:t>P</w:t>
            </w:r>
          </w:p>
        </w:tc>
        <w:tc>
          <w:tcPr>
            <w:tcW w:w="1276" w:type="dxa"/>
            <w:tcBorders>
              <w:bottom w:val="single" w:sz="6" w:space="0" w:color="auto"/>
            </w:tcBorders>
            <w:shd w:val="clear" w:color="auto" w:fill="C0C0C0"/>
          </w:tcPr>
          <w:p w14:paraId="6D443E2D" w14:textId="77777777" w:rsidR="00183EFC" w:rsidRDefault="00183EFC" w:rsidP="00902260">
            <w:pPr>
              <w:pStyle w:val="TAH"/>
              <w:ind w:left="400" w:hanging="400"/>
            </w:pPr>
            <w:r>
              <w:t>Cardinality</w:t>
            </w:r>
          </w:p>
        </w:tc>
        <w:tc>
          <w:tcPr>
            <w:tcW w:w="6447" w:type="dxa"/>
            <w:tcBorders>
              <w:bottom w:val="single" w:sz="6" w:space="0" w:color="auto"/>
            </w:tcBorders>
            <w:shd w:val="clear" w:color="auto" w:fill="C0C0C0"/>
            <w:vAlign w:val="center"/>
          </w:tcPr>
          <w:p w14:paraId="6E1235DD" w14:textId="77777777" w:rsidR="00183EFC" w:rsidRDefault="00183EFC" w:rsidP="00902260">
            <w:pPr>
              <w:pStyle w:val="TAH"/>
              <w:ind w:left="400" w:hanging="400"/>
            </w:pPr>
            <w:r>
              <w:t>Description</w:t>
            </w:r>
          </w:p>
        </w:tc>
      </w:tr>
      <w:tr w:rsidR="00183EFC" w14:paraId="4FB34604" w14:textId="77777777" w:rsidTr="00902260">
        <w:trPr>
          <w:jc w:val="center"/>
        </w:trPr>
        <w:tc>
          <w:tcPr>
            <w:tcW w:w="1627" w:type="dxa"/>
            <w:tcBorders>
              <w:top w:val="single" w:sz="6" w:space="0" w:color="auto"/>
            </w:tcBorders>
            <w:shd w:val="clear" w:color="auto" w:fill="auto"/>
          </w:tcPr>
          <w:p w14:paraId="371545F5" w14:textId="77777777" w:rsidR="00183EFC" w:rsidRDefault="00183EFC" w:rsidP="00902260">
            <w:pPr>
              <w:pStyle w:val="TAL"/>
            </w:pPr>
            <w:r>
              <w:t>VFLTrainingSub</w:t>
            </w:r>
            <w:r>
              <w:rPr>
                <w:rFonts w:hint="eastAsia"/>
                <w:lang w:eastAsia="zh-CN"/>
              </w:rPr>
              <w:t>s</w:t>
            </w:r>
          </w:p>
        </w:tc>
        <w:tc>
          <w:tcPr>
            <w:tcW w:w="425" w:type="dxa"/>
            <w:tcBorders>
              <w:top w:val="single" w:sz="6" w:space="0" w:color="auto"/>
            </w:tcBorders>
          </w:tcPr>
          <w:p w14:paraId="46299C60" w14:textId="77777777" w:rsidR="00183EFC" w:rsidRDefault="00183EFC" w:rsidP="00902260">
            <w:pPr>
              <w:pStyle w:val="TAC"/>
            </w:pPr>
            <w:r>
              <w:t>M</w:t>
            </w:r>
          </w:p>
        </w:tc>
        <w:tc>
          <w:tcPr>
            <w:tcW w:w="1276" w:type="dxa"/>
            <w:tcBorders>
              <w:top w:val="single" w:sz="6" w:space="0" w:color="auto"/>
            </w:tcBorders>
          </w:tcPr>
          <w:p w14:paraId="4560D695" w14:textId="77777777" w:rsidR="00183EFC" w:rsidRDefault="00183EFC" w:rsidP="00902260">
            <w:pPr>
              <w:pStyle w:val="TAL"/>
            </w:pPr>
            <w:r>
              <w:t>1</w:t>
            </w:r>
          </w:p>
        </w:tc>
        <w:tc>
          <w:tcPr>
            <w:tcW w:w="6447" w:type="dxa"/>
            <w:tcBorders>
              <w:top w:val="single" w:sz="6" w:space="0" w:color="auto"/>
            </w:tcBorders>
            <w:shd w:val="clear" w:color="auto" w:fill="auto"/>
          </w:tcPr>
          <w:p w14:paraId="2F14E573" w14:textId="77777777" w:rsidR="00183EFC" w:rsidRDefault="00183EFC" w:rsidP="00902260">
            <w:pPr>
              <w:pStyle w:val="TAL"/>
            </w:pPr>
            <w:r>
              <w:t>New Individual VFL Training Subscription resource to be created.</w:t>
            </w:r>
          </w:p>
        </w:tc>
      </w:tr>
    </w:tbl>
    <w:p w14:paraId="2B91EE1B" w14:textId="77777777" w:rsidR="00183EFC" w:rsidRDefault="00183EFC" w:rsidP="00183EFC"/>
    <w:p w14:paraId="186855CE" w14:textId="77777777" w:rsidR="00183EFC" w:rsidRDefault="00183EFC" w:rsidP="00183EFC">
      <w:pPr>
        <w:pStyle w:val="TH"/>
      </w:pPr>
      <w:r>
        <w:lastRenderedPageBreak/>
        <w:t>Table 5.9.3.2.3.1-3: Data structures supported by the POST Response Body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83EFC" w14:paraId="1FA21364" w14:textId="77777777" w:rsidTr="00902260">
        <w:trPr>
          <w:jc w:val="center"/>
        </w:trPr>
        <w:tc>
          <w:tcPr>
            <w:tcW w:w="825" w:type="pct"/>
            <w:tcBorders>
              <w:bottom w:val="single" w:sz="6" w:space="0" w:color="auto"/>
            </w:tcBorders>
            <w:shd w:val="clear" w:color="auto" w:fill="C0C0C0"/>
          </w:tcPr>
          <w:p w14:paraId="75B08B10" w14:textId="77777777" w:rsidR="00183EFC" w:rsidRDefault="00183EFC" w:rsidP="00902260">
            <w:pPr>
              <w:pStyle w:val="TAH"/>
              <w:ind w:left="400" w:hanging="400"/>
            </w:pPr>
            <w:r>
              <w:t>Data type</w:t>
            </w:r>
          </w:p>
        </w:tc>
        <w:tc>
          <w:tcPr>
            <w:tcW w:w="225" w:type="pct"/>
            <w:tcBorders>
              <w:bottom w:val="single" w:sz="6" w:space="0" w:color="auto"/>
            </w:tcBorders>
            <w:shd w:val="clear" w:color="auto" w:fill="C0C0C0"/>
          </w:tcPr>
          <w:p w14:paraId="10D3CCBE" w14:textId="77777777" w:rsidR="00183EFC" w:rsidRDefault="00183EFC" w:rsidP="00902260">
            <w:pPr>
              <w:pStyle w:val="TAH"/>
              <w:ind w:left="400" w:hanging="400"/>
            </w:pPr>
            <w:r>
              <w:t>P</w:t>
            </w:r>
          </w:p>
        </w:tc>
        <w:tc>
          <w:tcPr>
            <w:tcW w:w="649" w:type="pct"/>
            <w:tcBorders>
              <w:bottom w:val="single" w:sz="6" w:space="0" w:color="auto"/>
            </w:tcBorders>
            <w:shd w:val="clear" w:color="auto" w:fill="C0C0C0"/>
          </w:tcPr>
          <w:p w14:paraId="2862461A" w14:textId="77777777" w:rsidR="00183EFC" w:rsidRDefault="00183EFC" w:rsidP="00902260">
            <w:pPr>
              <w:pStyle w:val="TAH"/>
              <w:ind w:left="400" w:hanging="400"/>
            </w:pPr>
            <w:r>
              <w:t>Cardinality</w:t>
            </w:r>
          </w:p>
        </w:tc>
        <w:tc>
          <w:tcPr>
            <w:tcW w:w="583" w:type="pct"/>
            <w:tcBorders>
              <w:bottom w:val="single" w:sz="6" w:space="0" w:color="auto"/>
            </w:tcBorders>
            <w:shd w:val="clear" w:color="auto" w:fill="C0C0C0"/>
          </w:tcPr>
          <w:p w14:paraId="5D282C4F" w14:textId="77777777" w:rsidR="00183EFC" w:rsidRDefault="00183EFC" w:rsidP="00902260">
            <w:pPr>
              <w:pStyle w:val="TAH"/>
              <w:ind w:left="400" w:hanging="400"/>
            </w:pPr>
            <w:r>
              <w:t>Response</w:t>
            </w:r>
          </w:p>
          <w:p w14:paraId="6938BCDF" w14:textId="77777777" w:rsidR="00183EFC" w:rsidRDefault="00183EFC" w:rsidP="00902260">
            <w:pPr>
              <w:pStyle w:val="TAH"/>
              <w:ind w:left="400" w:hanging="400"/>
            </w:pPr>
            <w:r>
              <w:t>codes</w:t>
            </w:r>
          </w:p>
        </w:tc>
        <w:tc>
          <w:tcPr>
            <w:tcW w:w="2718" w:type="pct"/>
            <w:tcBorders>
              <w:bottom w:val="single" w:sz="6" w:space="0" w:color="auto"/>
            </w:tcBorders>
            <w:shd w:val="clear" w:color="auto" w:fill="C0C0C0"/>
          </w:tcPr>
          <w:p w14:paraId="40B29F9D" w14:textId="77777777" w:rsidR="00183EFC" w:rsidRDefault="00183EFC" w:rsidP="00902260">
            <w:pPr>
              <w:pStyle w:val="TAH"/>
              <w:ind w:left="400" w:hanging="400"/>
            </w:pPr>
            <w:r>
              <w:t>Description</w:t>
            </w:r>
          </w:p>
        </w:tc>
      </w:tr>
      <w:tr w:rsidR="00183EFC" w14:paraId="5D596723" w14:textId="77777777" w:rsidTr="00902260">
        <w:trPr>
          <w:jc w:val="center"/>
        </w:trPr>
        <w:tc>
          <w:tcPr>
            <w:tcW w:w="825" w:type="pct"/>
            <w:tcBorders>
              <w:top w:val="single" w:sz="6" w:space="0" w:color="auto"/>
            </w:tcBorders>
            <w:shd w:val="clear" w:color="auto" w:fill="auto"/>
          </w:tcPr>
          <w:p w14:paraId="27CEB680" w14:textId="77777777" w:rsidR="00183EFC" w:rsidRDefault="00183EFC" w:rsidP="00902260">
            <w:pPr>
              <w:pStyle w:val="TAL"/>
            </w:pPr>
            <w:r>
              <w:t>VFLTrainingSub</w:t>
            </w:r>
            <w:r>
              <w:rPr>
                <w:rFonts w:hint="eastAsia"/>
                <w:lang w:eastAsia="zh-CN"/>
              </w:rPr>
              <w:t>s</w:t>
            </w:r>
          </w:p>
        </w:tc>
        <w:tc>
          <w:tcPr>
            <w:tcW w:w="225" w:type="pct"/>
            <w:tcBorders>
              <w:top w:val="single" w:sz="6" w:space="0" w:color="auto"/>
            </w:tcBorders>
          </w:tcPr>
          <w:p w14:paraId="403C17CE" w14:textId="77777777" w:rsidR="00183EFC" w:rsidRDefault="00183EFC" w:rsidP="00902260">
            <w:pPr>
              <w:pStyle w:val="TAC"/>
              <w:rPr>
                <w:lang w:eastAsia="zh-CN"/>
              </w:rPr>
            </w:pPr>
            <w:r>
              <w:rPr>
                <w:rFonts w:hint="eastAsia"/>
                <w:lang w:eastAsia="zh-CN"/>
              </w:rPr>
              <w:t>M</w:t>
            </w:r>
          </w:p>
        </w:tc>
        <w:tc>
          <w:tcPr>
            <w:tcW w:w="649" w:type="pct"/>
            <w:tcBorders>
              <w:top w:val="single" w:sz="6" w:space="0" w:color="auto"/>
            </w:tcBorders>
          </w:tcPr>
          <w:p w14:paraId="5C6A025D" w14:textId="77777777" w:rsidR="00183EFC" w:rsidRDefault="00183EFC" w:rsidP="00902260">
            <w:pPr>
              <w:pStyle w:val="TAL"/>
              <w:rPr>
                <w:lang w:eastAsia="zh-CN"/>
              </w:rPr>
            </w:pPr>
            <w:r>
              <w:rPr>
                <w:rFonts w:hint="eastAsia"/>
                <w:lang w:eastAsia="zh-CN"/>
              </w:rPr>
              <w:t>1</w:t>
            </w:r>
          </w:p>
        </w:tc>
        <w:tc>
          <w:tcPr>
            <w:tcW w:w="583" w:type="pct"/>
            <w:tcBorders>
              <w:top w:val="single" w:sz="6" w:space="0" w:color="auto"/>
            </w:tcBorders>
          </w:tcPr>
          <w:p w14:paraId="69E9A364" w14:textId="77777777" w:rsidR="00183EFC" w:rsidRDefault="00183EFC" w:rsidP="00902260">
            <w:pPr>
              <w:pStyle w:val="TAL"/>
            </w:pPr>
            <w:r>
              <w:t>201 Created</w:t>
            </w:r>
          </w:p>
        </w:tc>
        <w:tc>
          <w:tcPr>
            <w:tcW w:w="2718" w:type="pct"/>
            <w:tcBorders>
              <w:top w:val="single" w:sz="6" w:space="0" w:color="auto"/>
            </w:tcBorders>
            <w:shd w:val="clear" w:color="auto" w:fill="auto"/>
          </w:tcPr>
          <w:p w14:paraId="432E2BF6" w14:textId="77777777" w:rsidR="00183EFC" w:rsidRDefault="00183EFC" w:rsidP="00902260">
            <w:pPr>
              <w:pStyle w:val="TAL"/>
            </w:pPr>
            <w:r>
              <w:t>The creation of an Individual VFL Training Subscription resource is confirmed and a representation of that resource is returned.</w:t>
            </w:r>
          </w:p>
        </w:tc>
      </w:tr>
      <w:tr w:rsidR="00183EFC" w14:paraId="67532075" w14:textId="77777777" w:rsidTr="00902260">
        <w:trPr>
          <w:jc w:val="center"/>
        </w:trPr>
        <w:tc>
          <w:tcPr>
            <w:tcW w:w="5000" w:type="pct"/>
            <w:gridSpan w:val="5"/>
            <w:shd w:val="clear" w:color="auto" w:fill="auto"/>
          </w:tcPr>
          <w:p w14:paraId="49D6A3B3" w14:textId="77777777" w:rsidR="00183EFC" w:rsidRDefault="00183EFC" w:rsidP="00902260">
            <w:pPr>
              <w:pStyle w:val="TAN"/>
            </w:pPr>
            <w:r>
              <w:t>NOTE 1:</w:t>
            </w:r>
            <w:r>
              <w:rPr>
                <w:noProof/>
              </w:rPr>
              <w:tab/>
            </w:r>
            <w:r w:rsidRPr="00F710E9">
              <w:rPr>
                <w:lang w:val="en-US" w:eastAsia="zh-CN"/>
              </w:rPr>
              <w:t xml:space="preserve">The mandatory </w:t>
            </w:r>
            <w:r w:rsidRPr="00F710E9">
              <w:t>HTTP error status codes for the POST method listed in table 5.2.7.1-1 of 3GPP TS 29.500 [6] also apply</w:t>
            </w:r>
            <w:r>
              <w:t>.</w:t>
            </w:r>
          </w:p>
          <w:p w14:paraId="4A52D8C7" w14:textId="77777777" w:rsidR="00183EFC" w:rsidRDefault="00183EFC" w:rsidP="00902260">
            <w:pPr>
              <w:pStyle w:val="TAN"/>
            </w:pPr>
            <w:r w:rsidRPr="00D165ED">
              <w:t>NOTE </w:t>
            </w:r>
            <w:r>
              <w:t>2</w:t>
            </w:r>
            <w:r w:rsidRPr="00D165ED">
              <w:t>:</w:t>
            </w:r>
            <w:r w:rsidRPr="00D165ED">
              <w:tab/>
              <w:t xml:space="preserve">Failure cases are described in </w:t>
            </w:r>
            <w:r>
              <w:t>clause</w:t>
            </w:r>
            <w:r w:rsidRPr="00D165ED">
              <w:t> </w:t>
            </w:r>
            <w:r>
              <w:t>5.9</w:t>
            </w:r>
            <w:r w:rsidRPr="00D165ED">
              <w:t>.7.</w:t>
            </w:r>
          </w:p>
        </w:tc>
      </w:tr>
    </w:tbl>
    <w:p w14:paraId="7B11245B" w14:textId="77777777" w:rsidR="00183EFC" w:rsidRDefault="00183EFC" w:rsidP="00183EFC"/>
    <w:p w14:paraId="5BACC0ED" w14:textId="77777777" w:rsidR="00183EFC" w:rsidRDefault="00183EFC" w:rsidP="00183EFC">
      <w:pPr>
        <w:pStyle w:val="TH"/>
        <w:rPr>
          <w:rFonts w:cs="Arial"/>
        </w:rPr>
      </w:pPr>
      <w:r>
        <w:t>Table 5.9.3.2.3.1-4: Headers supported by the 201 response code on this resource</w:t>
      </w:r>
    </w:p>
    <w:tbl>
      <w:tblPr>
        <w:tblW w:w="500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11"/>
        <w:gridCol w:w="416"/>
        <w:gridCol w:w="1257"/>
        <w:gridCol w:w="4955"/>
      </w:tblGrid>
      <w:tr w:rsidR="00183EFC" w14:paraId="02219B9C" w14:textId="77777777" w:rsidTr="00902260">
        <w:trPr>
          <w:jc w:val="center"/>
        </w:trPr>
        <w:tc>
          <w:tcPr>
            <w:tcW w:w="824" w:type="pct"/>
            <w:tcBorders>
              <w:bottom w:val="single" w:sz="6" w:space="0" w:color="auto"/>
            </w:tcBorders>
            <w:shd w:val="clear" w:color="auto" w:fill="C0C0C0"/>
          </w:tcPr>
          <w:p w14:paraId="0D722655" w14:textId="77777777" w:rsidR="00183EFC" w:rsidRDefault="00183EFC" w:rsidP="00902260">
            <w:pPr>
              <w:pStyle w:val="TAH"/>
              <w:ind w:left="400" w:hanging="400"/>
            </w:pPr>
            <w:r>
              <w:t>Name</w:t>
            </w:r>
          </w:p>
        </w:tc>
        <w:tc>
          <w:tcPr>
            <w:tcW w:w="733" w:type="pct"/>
            <w:tcBorders>
              <w:bottom w:val="single" w:sz="6" w:space="0" w:color="auto"/>
            </w:tcBorders>
            <w:shd w:val="clear" w:color="auto" w:fill="C0C0C0"/>
          </w:tcPr>
          <w:p w14:paraId="6F35435F" w14:textId="77777777" w:rsidR="00183EFC" w:rsidRDefault="00183EFC" w:rsidP="00902260">
            <w:pPr>
              <w:pStyle w:val="TAH"/>
              <w:ind w:left="400" w:hanging="400"/>
            </w:pPr>
            <w:r>
              <w:t>Data type</w:t>
            </w:r>
          </w:p>
        </w:tc>
        <w:tc>
          <w:tcPr>
            <w:tcW w:w="216" w:type="pct"/>
            <w:tcBorders>
              <w:bottom w:val="single" w:sz="6" w:space="0" w:color="auto"/>
            </w:tcBorders>
            <w:shd w:val="clear" w:color="auto" w:fill="C0C0C0"/>
          </w:tcPr>
          <w:p w14:paraId="69669210" w14:textId="77777777" w:rsidR="00183EFC" w:rsidRDefault="00183EFC" w:rsidP="00902260">
            <w:pPr>
              <w:pStyle w:val="TAH"/>
              <w:ind w:left="400" w:hanging="400"/>
            </w:pPr>
            <w:r>
              <w:t>P</w:t>
            </w:r>
          </w:p>
        </w:tc>
        <w:tc>
          <w:tcPr>
            <w:tcW w:w="653" w:type="pct"/>
            <w:tcBorders>
              <w:bottom w:val="single" w:sz="6" w:space="0" w:color="auto"/>
            </w:tcBorders>
            <w:shd w:val="clear" w:color="auto" w:fill="C0C0C0"/>
          </w:tcPr>
          <w:p w14:paraId="1EFE6813" w14:textId="77777777" w:rsidR="00183EFC" w:rsidRDefault="00183EFC" w:rsidP="00902260">
            <w:pPr>
              <w:pStyle w:val="TAH"/>
              <w:ind w:left="400" w:hanging="400"/>
            </w:pPr>
            <w:r>
              <w:t>Cardinality</w:t>
            </w:r>
          </w:p>
        </w:tc>
        <w:tc>
          <w:tcPr>
            <w:tcW w:w="2573" w:type="pct"/>
            <w:tcBorders>
              <w:bottom w:val="single" w:sz="6" w:space="0" w:color="auto"/>
            </w:tcBorders>
            <w:shd w:val="clear" w:color="auto" w:fill="C0C0C0"/>
            <w:vAlign w:val="center"/>
          </w:tcPr>
          <w:p w14:paraId="20EB68D6" w14:textId="77777777" w:rsidR="00183EFC" w:rsidRDefault="00183EFC" w:rsidP="00902260">
            <w:pPr>
              <w:pStyle w:val="TAH"/>
              <w:ind w:left="400" w:hanging="400"/>
            </w:pPr>
            <w:r>
              <w:t>Description</w:t>
            </w:r>
          </w:p>
        </w:tc>
      </w:tr>
      <w:tr w:rsidR="00183EFC" w14:paraId="544A0882" w14:textId="77777777" w:rsidTr="00902260">
        <w:trPr>
          <w:jc w:val="center"/>
        </w:trPr>
        <w:tc>
          <w:tcPr>
            <w:tcW w:w="824" w:type="pct"/>
            <w:tcBorders>
              <w:top w:val="single" w:sz="6" w:space="0" w:color="auto"/>
            </w:tcBorders>
            <w:shd w:val="clear" w:color="auto" w:fill="auto"/>
          </w:tcPr>
          <w:p w14:paraId="5E5B562F" w14:textId="77777777" w:rsidR="00183EFC" w:rsidRDefault="00183EFC" w:rsidP="00902260">
            <w:pPr>
              <w:pStyle w:val="TAL"/>
            </w:pPr>
            <w:r>
              <w:t>Location</w:t>
            </w:r>
          </w:p>
        </w:tc>
        <w:tc>
          <w:tcPr>
            <w:tcW w:w="733" w:type="pct"/>
            <w:tcBorders>
              <w:top w:val="single" w:sz="6" w:space="0" w:color="auto"/>
            </w:tcBorders>
          </w:tcPr>
          <w:p w14:paraId="710630D9" w14:textId="77777777" w:rsidR="00183EFC" w:rsidRDefault="00183EFC" w:rsidP="00902260">
            <w:pPr>
              <w:pStyle w:val="TAL"/>
            </w:pPr>
            <w:r>
              <w:t>string</w:t>
            </w:r>
          </w:p>
        </w:tc>
        <w:tc>
          <w:tcPr>
            <w:tcW w:w="216" w:type="pct"/>
            <w:tcBorders>
              <w:top w:val="single" w:sz="6" w:space="0" w:color="auto"/>
            </w:tcBorders>
          </w:tcPr>
          <w:p w14:paraId="158CFBA2" w14:textId="77777777" w:rsidR="00183EFC" w:rsidRDefault="00183EFC" w:rsidP="00902260">
            <w:pPr>
              <w:pStyle w:val="TAC"/>
              <w:rPr>
                <w:lang w:eastAsia="zh-CN"/>
              </w:rPr>
            </w:pPr>
            <w:r>
              <w:rPr>
                <w:rFonts w:hint="eastAsia"/>
                <w:lang w:eastAsia="zh-CN"/>
              </w:rPr>
              <w:t>M</w:t>
            </w:r>
          </w:p>
        </w:tc>
        <w:tc>
          <w:tcPr>
            <w:tcW w:w="653" w:type="pct"/>
            <w:tcBorders>
              <w:top w:val="single" w:sz="6" w:space="0" w:color="auto"/>
            </w:tcBorders>
          </w:tcPr>
          <w:p w14:paraId="5C9E20A2" w14:textId="77777777" w:rsidR="00183EFC" w:rsidRDefault="00183EFC" w:rsidP="00902260">
            <w:pPr>
              <w:pStyle w:val="TAL"/>
              <w:rPr>
                <w:lang w:eastAsia="zh-CN"/>
              </w:rPr>
            </w:pPr>
            <w:r>
              <w:rPr>
                <w:rFonts w:hint="eastAsia"/>
                <w:lang w:eastAsia="zh-CN"/>
              </w:rPr>
              <w:t>1</w:t>
            </w:r>
          </w:p>
        </w:tc>
        <w:tc>
          <w:tcPr>
            <w:tcW w:w="2573" w:type="pct"/>
            <w:tcBorders>
              <w:top w:val="single" w:sz="6" w:space="0" w:color="auto"/>
            </w:tcBorders>
            <w:shd w:val="clear" w:color="auto" w:fill="auto"/>
            <w:vAlign w:val="center"/>
          </w:tcPr>
          <w:p w14:paraId="3956DC31" w14:textId="77777777" w:rsidR="00183EFC" w:rsidRDefault="00183EFC" w:rsidP="00902260">
            <w:pPr>
              <w:pStyle w:val="TAL"/>
            </w:pPr>
            <w:r>
              <w:t>Contains the URI of the newly created resource, according to the structure: {apiRoot}/</w:t>
            </w:r>
            <w:r w:rsidRPr="00725EEB">
              <w:t>nnwdaf-vfl</w:t>
            </w:r>
            <w:r w:rsidRPr="006B454D">
              <w:t>training</w:t>
            </w:r>
            <w:r>
              <w:t>/</w:t>
            </w:r>
            <w:r w:rsidRPr="0016155A">
              <w:t>&lt;apiVersion&gt;</w:t>
            </w:r>
            <w:r>
              <w:t>/</w:t>
            </w:r>
            <w:r w:rsidRPr="00725EEB">
              <w:t>subscriptions</w:t>
            </w:r>
            <w:r>
              <w:t>/{subscriptionId}.</w:t>
            </w:r>
          </w:p>
        </w:tc>
      </w:tr>
    </w:tbl>
    <w:p w14:paraId="373552B9" w14:textId="77777777" w:rsidR="00183EFC" w:rsidRDefault="00183EFC" w:rsidP="00183EFC"/>
    <w:p w14:paraId="13B3417A" w14:textId="77777777" w:rsidR="00183EFC" w:rsidRDefault="00183EFC" w:rsidP="00183EFC">
      <w:pPr>
        <w:pStyle w:val="5"/>
      </w:pPr>
      <w:bookmarkStart w:id="16801" w:name="_Toc510696615"/>
      <w:bookmarkStart w:id="16802" w:name="_Toc35971406"/>
      <w:bookmarkStart w:id="16803" w:name="_Toc67903528"/>
      <w:bookmarkStart w:id="16804" w:name="_Toc73173260"/>
      <w:bookmarkStart w:id="16805" w:name="_Toc96959832"/>
      <w:bookmarkStart w:id="16806" w:name="_Toc129247540"/>
      <w:bookmarkStart w:id="16807" w:name="_Toc164863285"/>
      <w:bookmarkStart w:id="16808" w:name="_Toc192881215"/>
      <w:bookmarkStart w:id="16809" w:name="_Toc199453431"/>
      <w:r>
        <w:t>5.9.3.2.4</w:t>
      </w:r>
      <w:r>
        <w:tab/>
        <w:t>Resource Custom Operations</w:t>
      </w:r>
      <w:bookmarkEnd w:id="16801"/>
      <w:bookmarkEnd w:id="16802"/>
      <w:bookmarkEnd w:id="16803"/>
      <w:bookmarkEnd w:id="16804"/>
      <w:bookmarkEnd w:id="16805"/>
      <w:bookmarkEnd w:id="16806"/>
      <w:bookmarkEnd w:id="16807"/>
      <w:bookmarkEnd w:id="16808"/>
      <w:bookmarkEnd w:id="16809"/>
    </w:p>
    <w:p w14:paraId="5EE3969F" w14:textId="77777777" w:rsidR="00183EFC" w:rsidRPr="009E4839" w:rsidRDefault="00183EFC" w:rsidP="00183EFC">
      <w:r>
        <w:t>None in this release of the specification.</w:t>
      </w:r>
    </w:p>
    <w:p w14:paraId="5C163F88" w14:textId="77777777" w:rsidR="00183EFC" w:rsidRDefault="00183EFC" w:rsidP="00183EFC">
      <w:pPr>
        <w:pStyle w:val="4"/>
      </w:pPr>
      <w:bookmarkStart w:id="16810" w:name="_Toc510696621"/>
      <w:bookmarkStart w:id="16811" w:name="_Toc35971412"/>
      <w:bookmarkStart w:id="16812" w:name="_Toc67903529"/>
      <w:bookmarkStart w:id="16813" w:name="_Toc73173261"/>
      <w:bookmarkStart w:id="16814" w:name="_Toc96959833"/>
      <w:bookmarkStart w:id="16815" w:name="_Toc129247541"/>
      <w:bookmarkStart w:id="16816" w:name="_Toc164863286"/>
      <w:bookmarkStart w:id="16817" w:name="_Toc192881216"/>
      <w:bookmarkStart w:id="16818" w:name="_Toc199453432"/>
      <w:r>
        <w:t>5.9.3.3</w:t>
      </w:r>
      <w:r>
        <w:tab/>
        <w:t xml:space="preserve">Resource: </w:t>
      </w:r>
      <w:bookmarkEnd w:id="16810"/>
      <w:bookmarkEnd w:id="16811"/>
      <w:bookmarkEnd w:id="16812"/>
      <w:bookmarkEnd w:id="16813"/>
      <w:bookmarkEnd w:id="16814"/>
      <w:bookmarkEnd w:id="16815"/>
      <w:bookmarkEnd w:id="16816"/>
      <w:bookmarkEnd w:id="16817"/>
      <w:r>
        <w:t xml:space="preserve">Individual VFL </w:t>
      </w:r>
      <w:r w:rsidRPr="00804553">
        <w:t>Training</w:t>
      </w:r>
      <w:r>
        <w:t xml:space="preserve"> Subscription</w:t>
      </w:r>
      <w:bookmarkEnd w:id="16818"/>
    </w:p>
    <w:p w14:paraId="5C902237" w14:textId="77777777" w:rsidR="00183EFC" w:rsidRDefault="00183EFC" w:rsidP="00183EFC">
      <w:pPr>
        <w:pStyle w:val="5"/>
      </w:pPr>
      <w:bookmarkStart w:id="16819" w:name="_Toc96959834"/>
      <w:bookmarkStart w:id="16820" w:name="_Toc129247542"/>
      <w:bookmarkStart w:id="16821" w:name="_Toc164863287"/>
      <w:bookmarkStart w:id="16822" w:name="_Toc192881217"/>
      <w:bookmarkStart w:id="16823" w:name="_Toc199453433"/>
      <w:r>
        <w:t>5.9.3.3.1</w:t>
      </w:r>
      <w:r>
        <w:tab/>
        <w:t>Description</w:t>
      </w:r>
      <w:bookmarkEnd w:id="16819"/>
      <w:bookmarkEnd w:id="16820"/>
      <w:bookmarkEnd w:id="16821"/>
      <w:bookmarkEnd w:id="16822"/>
      <w:bookmarkEnd w:id="16823"/>
    </w:p>
    <w:p w14:paraId="207D81B5" w14:textId="77777777" w:rsidR="00183EFC" w:rsidRDefault="00183EFC" w:rsidP="00183EFC">
      <w:r>
        <w:t xml:space="preserve">The Individual VFL </w:t>
      </w:r>
      <w:r w:rsidRPr="00804553">
        <w:t>Training</w:t>
      </w:r>
      <w:r>
        <w:t xml:space="preserve"> Subscription resource represents a single VFL </w:t>
      </w:r>
      <w:r w:rsidRPr="00804553">
        <w:t>Training</w:t>
      </w:r>
      <w:r>
        <w:t xml:space="preserve"> Subscription to the </w:t>
      </w:r>
      <w:r>
        <w:rPr>
          <w:lang w:eastAsia="ja-JP"/>
        </w:rPr>
        <w:t>Nnwdaf_VFLTraining</w:t>
      </w:r>
      <w:r>
        <w:t xml:space="preserve"> service at a given NWDAF.</w:t>
      </w:r>
    </w:p>
    <w:p w14:paraId="09E5BB8C" w14:textId="77777777" w:rsidR="00183EFC" w:rsidRDefault="00183EFC" w:rsidP="00183EFC">
      <w:pPr>
        <w:pStyle w:val="5"/>
      </w:pPr>
      <w:bookmarkStart w:id="16824" w:name="_Toc96959835"/>
      <w:bookmarkStart w:id="16825" w:name="_Toc129247543"/>
      <w:bookmarkStart w:id="16826" w:name="_Toc164863288"/>
      <w:bookmarkStart w:id="16827" w:name="_Toc192881218"/>
      <w:bookmarkStart w:id="16828" w:name="_Toc199453434"/>
      <w:r>
        <w:t>5.9.3.3.2</w:t>
      </w:r>
      <w:r>
        <w:tab/>
        <w:t>Resource Definition</w:t>
      </w:r>
      <w:bookmarkEnd w:id="16824"/>
      <w:bookmarkEnd w:id="16825"/>
      <w:bookmarkEnd w:id="16826"/>
      <w:bookmarkEnd w:id="16827"/>
      <w:bookmarkEnd w:id="16828"/>
    </w:p>
    <w:p w14:paraId="4D58A594" w14:textId="77777777" w:rsidR="00183EFC" w:rsidRDefault="00183EFC" w:rsidP="00183EFC">
      <w:r>
        <w:t xml:space="preserve">Resource URI: </w:t>
      </w:r>
      <w:r w:rsidRPr="008B6011">
        <w:rPr>
          <w:b/>
          <w:bCs/>
        </w:rPr>
        <w:t>{apiRoot}/</w:t>
      </w:r>
      <w:r w:rsidRPr="00AC3EBF">
        <w:rPr>
          <w:b/>
          <w:bCs/>
        </w:rPr>
        <w:t>nnwdaf-vfltraining</w:t>
      </w:r>
      <w:r w:rsidRPr="008B6011">
        <w:rPr>
          <w:b/>
          <w:bCs/>
        </w:rPr>
        <w:t>/</w:t>
      </w:r>
      <w:r w:rsidRPr="00D061BC">
        <w:rPr>
          <w:b/>
          <w:bCs/>
        </w:rPr>
        <w:t>&lt;apiVersion&gt;</w:t>
      </w:r>
      <w:r w:rsidRPr="008B6011">
        <w:rPr>
          <w:b/>
          <w:bCs/>
        </w:rPr>
        <w:t>/</w:t>
      </w:r>
      <w:r w:rsidRPr="00AC3EBF">
        <w:rPr>
          <w:b/>
          <w:bCs/>
        </w:rPr>
        <w:t>subscriptions</w:t>
      </w:r>
      <w:r w:rsidRPr="008B6011">
        <w:rPr>
          <w:b/>
          <w:bCs/>
        </w:rPr>
        <w:t>/{subscriptionId}</w:t>
      </w:r>
    </w:p>
    <w:p w14:paraId="5CD4EFB0" w14:textId="77777777" w:rsidR="00183EFC" w:rsidRDefault="00183EFC" w:rsidP="00183EFC">
      <w:pPr>
        <w:rPr>
          <w:rFonts w:ascii="Arial" w:hAnsi="Arial" w:cs="Arial"/>
        </w:rPr>
      </w:pPr>
      <w:r>
        <w:t>This resource shall support the resource URI variables defined in table 5.9.3.3.2-1</w:t>
      </w:r>
      <w:r>
        <w:rPr>
          <w:rFonts w:ascii="Arial" w:hAnsi="Arial" w:cs="Arial"/>
        </w:rPr>
        <w:t>.</w:t>
      </w:r>
    </w:p>
    <w:p w14:paraId="6FFC135E" w14:textId="77777777" w:rsidR="00183EFC" w:rsidRDefault="00183EFC" w:rsidP="00183EFC">
      <w:pPr>
        <w:pStyle w:val="TH"/>
        <w:rPr>
          <w:rFonts w:cs="Arial"/>
        </w:rPr>
      </w:pPr>
      <w:r>
        <w:t>Table 5.9.3.3.2-1: Resource URI variables for this resource</w:t>
      </w:r>
    </w:p>
    <w:tbl>
      <w:tblPr>
        <w:tblW w:w="5000"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83EFC" w14:paraId="3E75AA6B" w14:textId="77777777" w:rsidTr="00902260">
        <w:trPr>
          <w:jc w:val="center"/>
        </w:trPr>
        <w:tc>
          <w:tcPr>
            <w:tcW w:w="687" w:type="pct"/>
            <w:shd w:val="clear" w:color="000000" w:fill="C0C0C0"/>
            <w:hideMark/>
          </w:tcPr>
          <w:p w14:paraId="347FF496" w14:textId="77777777" w:rsidR="00183EFC" w:rsidRDefault="00183EFC" w:rsidP="00902260">
            <w:pPr>
              <w:pStyle w:val="TAH"/>
              <w:ind w:left="400" w:hanging="400"/>
            </w:pPr>
            <w:r>
              <w:t>Name</w:t>
            </w:r>
          </w:p>
        </w:tc>
        <w:tc>
          <w:tcPr>
            <w:tcW w:w="1039" w:type="pct"/>
            <w:shd w:val="clear" w:color="000000" w:fill="C0C0C0"/>
          </w:tcPr>
          <w:p w14:paraId="2BD6E6A6" w14:textId="77777777" w:rsidR="00183EFC" w:rsidRDefault="00183EFC" w:rsidP="00902260">
            <w:pPr>
              <w:pStyle w:val="TAH"/>
              <w:ind w:left="400" w:hanging="400"/>
            </w:pPr>
            <w:r>
              <w:t>Data type</w:t>
            </w:r>
          </w:p>
        </w:tc>
        <w:tc>
          <w:tcPr>
            <w:tcW w:w="3274" w:type="pct"/>
            <w:shd w:val="clear" w:color="000000" w:fill="C0C0C0"/>
            <w:vAlign w:val="center"/>
            <w:hideMark/>
          </w:tcPr>
          <w:p w14:paraId="6E5B4512" w14:textId="77777777" w:rsidR="00183EFC" w:rsidRDefault="00183EFC" w:rsidP="00902260">
            <w:pPr>
              <w:pStyle w:val="TAH"/>
              <w:ind w:left="400" w:hanging="400"/>
            </w:pPr>
            <w:r>
              <w:t>Definition</w:t>
            </w:r>
          </w:p>
        </w:tc>
      </w:tr>
      <w:tr w:rsidR="00183EFC" w14:paraId="69EA845F" w14:textId="77777777" w:rsidTr="00902260">
        <w:trPr>
          <w:jc w:val="center"/>
        </w:trPr>
        <w:tc>
          <w:tcPr>
            <w:tcW w:w="687" w:type="pct"/>
            <w:hideMark/>
          </w:tcPr>
          <w:p w14:paraId="43178D7C" w14:textId="77777777" w:rsidR="00183EFC" w:rsidRDefault="00183EFC" w:rsidP="00902260">
            <w:pPr>
              <w:pStyle w:val="TAL"/>
            </w:pPr>
            <w:r>
              <w:t>apiRoot</w:t>
            </w:r>
          </w:p>
        </w:tc>
        <w:tc>
          <w:tcPr>
            <w:tcW w:w="1039" w:type="pct"/>
          </w:tcPr>
          <w:p w14:paraId="799B93E0" w14:textId="77777777" w:rsidR="00183EFC" w:rsidRDefault="00183EFC" w:rsidP="00902260">
            <w:pPr>
              <w:pStyle w:val="TAL"/>
            </w:pPr>
            <w:r>
              <w:t>string</w:t>
            </w:r>
          </w:p>
        </w:tc>
        <w:tc>
          <w:tcPr>
            <w:tcW w:w="3274" w:type="pct"/>
            <w:vAlign w:val="center"/>
            <w:hideMark/>
          </w:tcPr>
          <w:p w14:paraId="608503AA" w14:textId="77777777" w:rsidR="00183EFC" w:rsidRDefault="00183EFC" w:rsidP="00902260">
            <w:pPr>
              <w:pStyle w:val="TAL"/>
            </w:pPr>
            <w:r>
              <w:t>See clause</w:t>
            </w:r>
            <w:r>
              <w:rPr>
                <w:lang w:val="en-US" w:eastAsia="zh-CN"/>
              </w:rPr>
              <w:t> </w:t>
            </w:r>
            <w:r>
              <w:t>5.9.1</w:t>
            </w:r>
          </w:p>
        </w:tc>
      </w:tr>
      <w:tr w:rsidR="00183EFC" w14:paraId="495A4B8B" w14:textId="77777777" w:rsidTr="00902260">
        <w:trPr>
          <w:jc w:val="center"/>
        </w:trPr>
        <w:tc>
          <w:tcPr>
            <w:tcW w:w="687" w:type="pct"/>
          </w:tcPr>
          <w:p w14:paraId="64E514C4" w14:textId="77777777" w:rsidR="00183EFC" w:rsidRDefault="00183EFC" w:rsidP="00902260">
            <w:pPr>
              <w:pStyle w:val="TAL"/>
            </w:pPr>
            <w:r>
              <w:t>subscriptionId</w:t>
            </w:r>
          </w:p>
        </w:tc>
        <w:tc>
          <w:tcPr>
            <w:tcW w:w="1039" w:type="pct"/>
          </w:tcPr>
          <w:p w14:paraId="435A7E64" w14:textId="77777777" w:rsidR="00183EFC" w:rsidRDefault="00183EFC" w:rsidP="00902260">
            <w:pPr>
              <w:pStyle w:val="TAL"/>
            </w:pPr>
            <w:r>
              <w:t>string</w:t>
            </w:r>
          </w:p>
        </w:tc>
        <w:tc>
          <w:tcPr>
            <w:tcW w:w="3274" w:type="pct"/>
            <w:vAlign w:val="center"/>
          </w:tcPr>
          <w:p w14:paraId="01AF9E58" w14:textId="77777777" w:rsidR="00183EFC" w:rsidRDefault="00183EFC" w:rsidP="00902260">
            <w:pPr>
              <w:pStyle w:val="TAL"/>
            </w:pPr>
            <w:r>
              <w:rPr>
                <w:rFonts w:eastAsia="Batang"/>
              </w:rPr>
              <w:t xml:space="preserve">Identifies an </w:t>
            </w:r>
            <w:r>
              <w:t xml:space="preserve">VFL </w:t>
            </w:r>
            <w:r w:rsidRPr="00804553">
              <w:t>Training</w:t>
            </w:r>
            <w:r>
              <w:t xml:space="preserve"> </w:t>
            </w:r>
            <w:r>
              <w:rPr>
                <w:rFonts w:eastAsia="Batang"/>
              </w:rPr>
              <w:t xml:space="preserve">Subscription to the </w:t>
            </w:r>
            <w:r>
              <w:rPr>
                <w:lang w:eastAsia="ja-JP"/>
              </w:rPr>
              <w:t>Nnwdaf_VFLTraining</w:t>
            </w:r>
            <w:r>
              <w:rPr>
                <w:rFonts w:eastAsia="Batang"/>
              </w:rPr>
              <w:t xml:space="preserve"> Service</w:t>
            </w:r>
          </w:p>
        </w:tc>
      </w:tr>
    </w:tbl>
    <w:p w14:paraId="2810E878" w14:textId="77777777" w:rsidR="00183EFC" w:rsidRPr="00952A07" w:rsidRDefault="00183EFC" w:rsidP="00183EFC"/>
    <w:p w14:paraId="2BB30D53" w14:textId="77777777" w:rsidR="00183EFC" w:rsidRDefault="00183EFC" w:rsidP="00183EFC">
      <w:pPr>
        <w:pStyle w:val="5"/>
      </w:pPr>
      <w:bookmarkStart w:id="16829" w:name="_Toc96959836"/>
      <w:bookmarkStart w:id="16830" w:name="_Toc129247544"/>
      <w:bookmarkStart w:id="16831" w:name="_Toc164863289"/>
      <w:bookmarkStart w:id="16832" w:name="_Toc192881219"/>
      <w:bookmarkStart w:id="16833" w:name="_Hlk199452069"/>
      <w:bookmarkStart w:id="16834" w:name="_Toc199453435"/>
      <w:bookmarkEnd w:id="16677"/>
      <w:r>
        <w:t>5.9.3.3.3</w:t>
      </w:r>
      <w:r>
        <w:tab/>
        <w:t>Resource Standard Methods</w:t>
      </w:r>
      <w:bookmarkEnd w:id="16829"/>
      <w:bookmarkEnd w:id="16830"/>
      <w:bookmarkEnd w:id="16831"/>
      <w:bookmarkEnd w:id="16832"/>
      <w:bookmarkEnd w:id="16834"/>
    </w:p>
    <w:p w14:paraId="0F12F8CE" w14:textId="77777777" w:rsidR="00183EFC" w:rsidRPr="007565F0" w:rsidRDefault="00183EFC" w:rsidP="00183EFC">
      <w:pPr>
        <w:pStyle w:val="6"/>
      </w:pPr>
      <w:bookmarkStart w:id="16835" w:name="_Toc129247545"/>
      <w:bookmarkStart w:id="16836" w:name="_Toc164863290"/>
      <w:bookmarkStart w:id="16837" w:name="_Toc192881220"/>
      <w:bookmarkStart w:id="16838" w:name="_Toc199453436"/>
      <w:r>
        <w:t>5.9</w:t>
      </w:r>
      <w:r w:rsidRPr="007565F0">
        <w:t>.3.3.3.1</w:t>
      </w:r>
      <w:r w:rsidRPr="007565F0">
        <w:tab/>
        <w:t>PUT</w:t>
      </w:r>
      <w:bookmarkEnd w:id="16835"/>
      <w:bookmarkEnd w:id="16836"/>
      <w:bookmarkEnd w:id="16837"/>
      <w:bookmarkEnd w:id="16838"/>
    </w:p>
    <w:p w14:paraId="65DFAD88" w14:textId="77777777" w:rsidR="00183EFC" w:rsidRDefault="00183EFC" w:rsidP="00183EFC">
      <w:r>
        <w:t>This method shall support the URI query parameters specified in table 5.9.3.3.3.1-1.</w:t>
      </w:r>
    </w:p>
    <w:p w14:paraId="51112B2C" w14:textId="77777777" w:rsidR="00183EFC" w:rsidRDefault="00183EFC" w:rsidP="00183EFC">
      <w:pPr>
        <w:pStyle w:val="TH"/>
        <w:rPr>
          <w:rFonts w:cs="Arial"/>
        </w:rPr>
      </w:pPr>
      <w:r>
        <w:t>Table 5.9.3.3.3.1-1: URI query parameters supported by the PUT method on this resource</w:t>
      </w:r>
    </w:p>
    <w:tbl>
      <w:tblPr>
        <w:tblW w:w="5008"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83EFC" w14:paraId="34D2FA0B" w14:textId="77777777" w:rsidTr="00902260">
        <w:trPr>
          <w:jc w:val="center"/>
        </w:trPr>
        <w:tc>
          <w:tcPr>
            <w:tcW w:w="825" w:type="pct"/>
            <w:tcBorders>
              <w:bottom w:val="single" w:sz="6" w:space="0" w:color="auto"/>
            </w:tcBorders>
            <w:shd w:val="clear" w:color="auto" w:fill="C0C0C0"/>
          </w:tcPr>
          <w:p w14:paraId="1AB21EFD" w14:textId="77777777" w:rsidR="00183EFC" w:rsidRDefault="00183EFC" w:rsidP="00902260">
            <w:pPr>
              <w:pStyle w:val="TAH"/>
              <w:ind w:left="400" w:hanging="400"/>
            </w:pPr>
            <w:r>
              <w:t>Name</w:t>
            </w:r>
          </w:p>
        </w:tc>
        <w:tc>
          <w:tcPr>
            <w:tcW w:w="731" w:type="pct"/>
            <w:tcBorders>
              <w:bottom w:val="single" w:sz="6" w:space="0" w:color="auto"/>
            </w:tcBorders>
            <w:shd w:val="clear" w:color="auto" w:fill="C0C0C0"/>
          </w:tcPr>
          <w:p w14:paraId="3E5B87E2" w14:textId="77777777" w:rsidR="00183EFC" w:rsidRDefault="00183EFC" w:rsidP="00902260">
            <w:pPr>
              <w:pStyle w:val="TAH"/>
              <w:ind w:left="400" w:hanging="400"/>
            </w:pPr>
            <w:r>
              <w:t>Data type</w:t>
            </w:r>
          </w:p>
        </w:tc>
        <w:tc>
          <w:tcPr>
            <w:tcW w:w="215" w:type="pct"/>
            <w:tcBorders>
              <w:bottom w:val="single" w:sz="6" w:space="0" w:color="auto"/>
            </w:tcBorders>
            <w:shd w:val="clear" w:color="auto" w:fill="C0C0C0"/>
          </w:tcPr>
          <w:p w14:paraId="5878B6E0" w14:textId="77777777" w:rsidR="00183EFC" w:rsidRDefault="00183EFC" w:rsidP="00902260">
            <w:pPr>
              <w:pStyle w:val="TAH"/>
              <w:ind w:left="400" w:hanging="400"/>
            </w:pPr>
            <w:r>
              <w:t>P</w:t>
            </w:r>
          </w:p>
        </w:tc>
        <w:tc>
          <w:tcPr>
            <w:tcW w:w="580" w:type="pct"/>
            <w:tcBorders>
              <w:bottom w:val="single" w:sz="6" w:space="0" w:color="auto"/>
            </w:tcBorders>
            <w:shd w:val="clear" w:color="auto" w:fill="C0C0C0"/>
          </w:tcPr>
          <w:p w14:paraId="2A0C9E0C" w14:textId="77777777" w:rsidR="00183EFC" w:rsidRDefault="00183EFC" w:rsidP="00902260">
            <w:pPr>
              <w:pStyle w:val="TAH"/>
              <w:ind w:left="400" w:hanging="400"/>
            </w:pPr>
            <w:r>
              <w:t>Cardinality</w:t>
            </w:r>
          </w:p>
        </w:tc>
        <w:tc>
          <w:tcPr>
            <w:tcW w:w="1852" w:type="pct"/>
            <w:tcBorders>
              <w:bottom w:val="single" w:sz="6" w:space="0" w:color="auto"/>
            </w:tcBorders>
            <w:shd w:val="clear" w:color="auto" w:fill="C0C0C0"/>
            <w:vAlign w:val="center"/>
          </w:tcPr>
          <w:p w14:paraId="4117F0B3" w14:textId="77777777" w:rsidR="00183EFC" w:rsidRDefault="00183EFC" w:rsidP="00902260">
            <w:pPr>
              <w:pStyle w:val="TAH"/>
              <w:ind w:left="400" w:hanging="400"/>
            </w:pPr>
            <w:r>
              <w:t>Description</w:t>
            </w:r>
          </w:p>
        </w:tc>
        <w:tc>
          <w:tcPr>
            <w:tcW w:w="796" w:type="pct"/>
            <w:tcBorders>
              <w:bottom w:val="single" w:sz="6" w:space="0" w:color="auto"/>
            </w:tcBorders>
            <w:shd w:val="clear" w:color="auto" w:fill="C0C0C0"/>
          </w:tcPr>
          <w:p w14:paraId="4E79E1A9" w14:textId="77777777" w:rsidR="00183EFC" w:rsidRDefault="00183EFC" w:rsidP="00902260">
            <w:pPr>
              <w:pStyle w:val="TAH"/>
              <w:ind w:left="400" w:hanging="400"/>
            </w:pPr>
            <w:r>
              <w:t>Applicability</w:t>
            </w:r>
          </w:p>
        </w:tc>
      </w:tr>
      <w:tr w:rsidR="00183EFC" w14:paraId="5D716F1A" w14:textId="77777777" w:rsidTr="00902260">
        <w:trPr>
          <w:jc w:val="center"/>
        </w:trPr>
        <w:tc>
          <w:tcPr>
            <w:tcW w:w="825" w:type="pct"/>
            <w:tcBorders>
              <w:top w:val="single" w:sz="6" w:space="0" w:color="auto"/>
            </w:tcBorders>
            <w:shd w:val="clear" w:color="auto" w:fill="auto"/>
          </w:tcPr>
          <w:p w14:paraId="1CCF562F" w14:textId="77777777" w:rsidR="00183EFC" w:rsidRDefault="00183EFC" w:rsidP="00902260">
            <w:pPr>
              <w:pStyle w:val="TAL"/>
            </w:pPr>
            <w:r>
              <w:t>n/a</w:t>
            </w:r>
          </w:p>
        </w:tc>
        <w:tc>
          <w:tcPr>
            <w:tcW w:w="731" w:type="pct"/>
            <w:tcBorders>
              <w:top w:val="single" w:sz="6" w:space="0" w:color="auto"/>
            </w:tcBorders>
          </w:tcPr>
          <w:p w14:paraId="592A08E9" w14:textId="77777777" w:rsidR="00183EFC" w:rsidRDefault="00183EFC" w:rsidP="00902260">
            <w:pPr>
              <w:pStyle w:val="TAL"/>
            </w:pPr>
          </w:p>
        </w:tc>
        <w:tc>
          <w:tcPr>
            <w:tcW w:w="215" w:type="pct"/>
            <w:tcBorders>
              <w:top w:val="single" w:sz="6" w:space="0" w:color="auto"/>
            </w:tcBorders>
          </w:tcPr>
          <w:p w14:paraId="3CA4C98E" w14:textId="77777777" w:rsidR="00183EFC" w:rsidRDefault="00183EFC" w:rsidP="00902260">
            <w:pPr>
              <w:pStyle w:val="TAC"/>
            </w:pPr>
          </w:p>
        </w:tc>
        <w:tc>
          <w:tcPr>
            <w:tcW w:w="580" w:type="pct"/>
            <w:tcBorders>
              <w:top w:val="single" w:sz="6" w:space="0" w:color="auto"/>
            </w:tcBorders>
          </w:tcPr>
          <w:p w14:paraId="18D5308B" w14:textId="77777777" w:rsidR="00183EFC" w:rsidRDefault="00183EFC" w:rsidP="00902260">
            <w:pPr>
              <w:pStyle w:val="TAL"/>
            </w:pPr>
          </w:p>
        </w:tc>
        <w:tc>
          <w:tcPr>
            <w:tcW w:w="1852" w:type="pct"/>
            <w:tcBorders>
              <w:top w:val="single" w:sz="6" w:space="0" w:color="auto"/>
            </w:tcBorders>
            <w:shd w:val="clear" w:color="auto" w:fill="auto"/>
            <w:vAlign w:val="center"/>
          </w:tcPr>
          <w:p w14:paraId="45B403CF" w14:textId="77777777" w:rsidR="00183EFC" w:rsidRDefault="00183EFC" w:rsidP="00902260">
            <w:pPr>
              <w:pStyle w:val="TAL"/>
            </w:pPr>
          </w:p>
        </w:tc>
        <w:tc>
          <w:tcPr>
            <w:tcW w:w="796" w:type="pct"/>
            <w:tcBorders>
              <w:top w:val="single" w:sz="6" w:space="0" w:color="auto"/>
            </w:tcBorders>
          </w:tcPr>
          <w:p w14:paraId="260308B3" w14:textId="77777777" w:rsidR="00183EFC" w:rsidRDefault="00183EFC" w:rsidP="00902260">
            <w:pPr>
              <w:pStyle w:val="TAL"/>
            </w:pPr>
          </w:p>
        </w:tc>
      </w:tr>
    </w:tbl>
    <w:p w14:paraId="63C01B80" w14:textId="77777777" w:rsidR="00183EFC" w:rsidRDefault="00183EFC" w:rsidP="00183EFC"/>
    <w:p w14:paraId="5BEBDC48" w14:textId="77777777" w:rsidR="00183EFC" w:rsidRDefault="00183EFC" w:rsidP="00183EFC">
      <w:r>
        <w:t>This method shall support the request data structures specified in table 5.9.3.3.3.1-2 and the response data structures and response codes specified in table 5.9.3.3.3.1-3.</w:t>
      </w:r>
    </w:p>
    <w:p w14:paraId="026EADBF" w14:textId="77777777" w:rsidR="00183EFC" w:rsidRDefault="00183EFC" w:rsidP="00183EFC">
      <w:pPr>
        <w:pStyle w:val="TH"/>
      </w:pPr>
      <w:r>
        <w:lastRenderedPageBreak/>
        <w:t>Table 5.9.3.3.3.1-2: Data structures supported by the PUT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83EFC" w14:paraId="6115B042" w14:textId="77777777" w:rsidTr="00902260">
        <w:trPr>
          <w:jc w:val="center"/>
        </w:trPr>
        <w:tc>
          <w:tcPr>
            <w:tcW w:w="1612" w:type="dxa"/>
            <w:tcBorders>
              <w:bottom w:val="single" w:sz="6" w:space="0" w:color="auto"/>
            </w:tcBorders>
            <w:shd w:val="clear" w:color="auto" w:fill="C0C0C0"/>
            <w:hideMark/>
          </w:tcPr>
          <w:p w14:paraId="6B0C27F7" w14:textId="77777777" w:rsidR="00183EFC" w:rsidRDefault="00183EFC" w:rsidP="00902260">
            <w:pPr>
              <w:pStyle w:val="TAH"/>
              <w:ind w:left="400" w:hanging="400"/>
            </w:pPr>
            <w:r>
              <w:t>Data type</w:t>
            </w:r>
          </w:p>
        </w:tc>
        <w:tc>
          <w:tcPr>
            <w:tcW w:w="422" w:type="dxa"/>
            <w:tcBorders>
              <w:bottom w:val="single" w:sz="6" w:space="0" w:color="auto"/>
            </w:tcBorders>
            <w:shd w:val="clear" w:color="auto" w:fill="C0C0C0"/>
            <w:hideMark/>
          </w:tcPr>
          <w:p w14:paraId="4C6615AF" w14:textId="77777777" w:rsidR="00183EFC" w:rsidRDefault="00183EFC" w:rsidP="00902260">
            <w:pPr>
              <w:pStyle w:val="TAH"/>
              <w:ind w:left="400" w:hanging="400"/>
            </w:pPr>
            <w:r>
              <w:t>P</w:t>
            </w:r>
          </w:p>
        </w:tc>
        <w:tc>
          <w:tcPr>
            <w:tcW w:w="1264" w:type="dxa"/>
            <w:tcBorders>
              <w:bottom w:val="single" w:sz="6" w:space="0" w:color="auto"/>
            </w:tcBorders>
            <w:shd w:val="clear" w:color="auto" w:fill="C0C0C0"/>
            <w:hideMark/>
          </w:tcPr>
          <w:p w14:paraId="035ABB29" w14:textId="77777777" w:rsidR="00183EFC" w:rsidRDefault="00183EFC" w:rsidP="00902260">
            <w:pPr>
              <w:pStyle w:val="TAH"/>
              <w:ind w:left="400" w:hanging="400"/>
            </w:pPr>
            <w:r>
              <w:t>Cardinality</w:t>
            </w:r>
          </w:p>
        </w:tc>
        <w:tc>
          <w:tcPr>
            <w:tcW w:w="6381" w:type="dxa"/>
            <w:tcBorders>
              <w:bottom w:val="single" w:sz="6" w:space="0" w:color="auto"/>
            </w:tcBorders>
            <w:shd w:val="clear" w:color="auto" w:fill="C0C0C0"/>
            <w:vAlign w:val="center"/>
            <w:hideMark/>
          </w:tcPr>
          <w:p w14:paraId="4ACACC8A" w14:textId="77777777" w:rsidR="00183EFC" w:rsidRDefault="00183EFC" w:rsidP="00902260">
            <w:pPr>
              <w:pStyle w:val="TAH"/>
              <w:ind w:left="400" w:hanging="400"/>
            </w:pPr>
            <w:r>
              <w:t>Description</w:t>
            </w:r>
          </w:p>
        </w:tc>
      </w:tr>
      <w:tr w:rsidR="00183EFC" w14:paraId="30907B2F" w14:textId="77777777" w:rsidTr="00902260">
        <w:trPr>
          <w:jc w:val="center"/>
        </w:trPr>
        <w:tc>
          <w:tcPr>
            <w:tcW w:w="1612" w:type="dxa"/>
            <w:tcBorders>
              <w:top w:val="single" w:sz="6" w:space="0" w:color="auto"/>
            </w:tcBorders>
            <w:hideMark/>
          </w:tcPr>
          <w:p w14:paraId="1817C3EC" w14:textId="77777777" w:rsidR="00183EFC" w:rsidRDefault="00183EFC" w:rsidP="00902260">
            <w:pPr>
              <w:pStyle w:val="TAL"/>
            </w:pPr>
            <w:r>
              <w:t>VflTrainingSub</w:t>
            </w:r>
            <w:r>
              <w:rPr>
                <w:rFonts w:hint="eastAsia"/>
                <w:lang w:eastAsia="zh-CN"/>
              </w:rPr>
              <w:t>s</w:t>
            </w:r>
          </w:p>
        </w:tc>
        <w:tc>
          <w:tcPr>
            <w:tcW w:w="422" w:type="dxa"/>
            <w:tcBorders>
              <w:top w:val="single" w:sz="6" w:space="0" w:color="auto"/>
            </w:tcBorders>
            <w:hideMark/>
          </w:tcPr>
          <w:p w14:paraId="62C3F672" w14:textId="77777777" w:rsidR="00183EFC" w:rsidRDefault="00183EFC" w:rsidP="00902260">
            <w:pPr>
              <w:pStyle w:val="TAC"/>
            </w:pPr>
            <w:r>
              <w:t>M</w:t>
            </w:r>
          </w:p>
        </w:tc>
        <w:tc>
          <w:tcPr>
            <w:tcW w:w="1264" w:type="dxa"/>
            <w:tcBorders>
              <w:top w:val="single" w:sz="6" w:space="0" w:color="auto"/>
            </w:tcBorders>
            <w:hideMark/>
          </w:tcPr>
          <w:p w14:paraId="12D258B8" w14:textId="77777777" w:rsidR="00183EFC" w:rsidRDefault="00183EFC" w:rsidP="00902260">
            <w:pPr>
              <w:pStyle w:val="TAL"/>
            </w:pPr>
            <w:r>
              <w:t>1</w:t>
            </w:r>
          </w:p>
        </w:tc>
        <w:tc>
          <w:tcPr>
            <w:tcW w:w="6381" w:type="dxa"/>
            <w:tcBorders>
              <w:top w:val="single" w:sz="6" w:space="0" w:color="auto"/>
            </w:tcBorders>
            <w:hideMark/>
          </w:tcPr>
          <w:p w14:paraId="2AA25480" w14:textId="77777777" w:rsidR="00183EFC" w:rsidRDefault="00183EFC" w:rsidP="00902260">
            <w:pPr>
              <w:pStyle w:val="TAL"/>
            </w:pPr>
            <w:r>
              <w:t>Parameters to replace a subscription to VFL Training Subscription resource.</w:t>
            </w:r>
          </w:p>
        </w:tc>
      </w:tr>
    </w:tbl>
    <w:p w14:paraId="31D274E5" w14:textId="77777777" w:rsidR="00183EFC" w:rsidRDefault="00183EFC" w:rsidP="00183EFC"/>
    <w:p w14:paraId="71DB3F38" w14:textId="77777777" w:rsidR="00183EFC" w:rsidRDefault="00183EFC" w:rsidP="00183EFC">
      <w:pPr>
        <w:pStyle w:val="TH"/>
      </w:pPr>
      <w:r>
        <w:t>Table 5.9.3.3.3.1-3: Data structures supported by the PUT Response Body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321"/>
        <w:gridCol w:w="1249"/>
        <w:gridCol w:w="1122"/>
        <w:gridCol w:w="5237"/>
      </w:tblGrid>
      <w:tr w:rsidR="00183EFC" w14:paraId="0952EB64" w14:textId="77777777" w:rsidTr="00902260">
        <w:trPr>
          <w:jc w:val="center"/>
        </w:trPr>
        <w:tc>
          <w:tcPr>
            <w:tcW w:w="880" w:type="pct"/>
            <w:tcBorders>
              <w:bottom w:val="single" w:sz="6" w:space="0" w:color="auto"/>
            </w:tcBorders>
            <w:shd w:val="clear" w:color="auto" w:fill="C0C0C0"/>
          </w:tcPr>
          <w:p w14:paraId="031532DF" w14:textId="77777777" w:rsidR="00183EFC" w:rsidRDefault="00183EFC" w:rsidP="00902260">
            <w:pPr>
              <w:pStyle w:val="TAH"/>
              <w:ind w:left="400" w:hanging="400"/>
            </w:pPr>
            <w:r>
              <w:t>Data type</w:t>
            </w:r>
          </w:p>
        </w:tc>
        <w:tc>
          <w:tcPr>
            <w:tcW w:w="167" w:type="pct"/>
            <w:tcBorders>
              <w:bottom w:val="single" w:sz="6" w:space="0" w:color="auto"/>
            </w:tcBorders>
            <w:shd w:val="clear" w:color="auto" w:fill="C0C0C0"/>
          </w:tcPr>
          <w:p w14:paraId="5F4D3B4C" w14:textId="77777777" w:rsidR="00183EFC" w:rsidRDefault="00183EFC" w:rsidP="00902260">
            <w:pPr>
              <w:pStyle w:val="TAH"/>
              <w:ind w:left="400" w:hanging="400"/>
            </w:pPr>
            <w:r>
              <w:t>P</w:t>
            </w:r>
          </w:p>
        </w:tc>
        <w:tc>
          <w:tcPr>
            <w:tcW w:w="649" w:type="pct"/>
            <w:tcBorders>
              <w:bottom w:val="single" w:sz="6" w:space="0" w:color="auto"/>
            </w:tcBorders>
            <w:shd w:val="clear" w:color="auto" w:fill="C0C0C0"/>
          </w:tcPr>
          <w:p w14:paraId="30E8CBD9" w14:textId="77777777" w:rsidR="00183EFC" w:rsidRDefault="00183EFC" w:rsidP="00902260">
            <w:pPr>
              <w:pStyle w:val="TAH"/>
              <w:ind w:left="400" w:hanging="400"/>
            </w:pPr>
            <w:r>
              <w:t>Cardinality</w:t>
            </w:r>
          </w:p>
        </w:tc>
        <w:tc>
          <w:tcPr>
            <w:tcW w:w="583" w:type="pct"/>
            <w:tcBorders>
              <w:bottom w:val="single" w:sz="6" w:space="0" w:color="auto"/>
            </w:tcBorders>
            <w:shd w:val="clear" w:color="auto" w:fill="C0C0C0"/>
          </w:tcPr>
          <w:p w14:paraId="6DE10A43" w14:textId="77777777" w:rsidR="00183EFC" w:rsidRDefault="00183EFC" w:rsidP="00902260">
            <w:pPr>
              <w:pStyle w:val="TAH"/>
              <w:ind w:left="400" w:hanging="400"/>
            </w:pPr>
            <w:r>
              <w:t>Response</w:t>
            </w:r>
          </w:p>
          <w:p w14:paraId="6D53A2A6" w14:textId="77777777" w:rsidR="00183EFC" w:rsidRDefault="00183EFC" w:rsidP="00902260">
            <w:pPr>
              <w:pStyle w:val="TAH"/>
              <w:ind w:left="400" w:hanging="400"/>
            </w:pPr>
            <w:r>
              <w:t>codes</w:t>
            </w:r>
          </w:p>
        </w:tc>
        <w:tc>
          <w:tcPr>
            <w:tcW w:w="2721" w:type="pct"/>
            <w:tcBorders>
              <w:bottom w:val="single" w:sz="6" w:space="0" w:color="auto"/>
            </w:tcBorders>
            <w:shd w:val="clear" w:color="auto" w:fill="C0C0C0"/>
          </w:tcPr>
          <w:p w14:paraId="3C93B350" w14:textId="77777777" w:rsidR="00183EFC" w:rsidRDefault="00183EFC" w:rsidP="00902260">
            <w:pPr>
              <w:pStyle w:val="TAH"/>
              <w:ind w:left="400" w:hanging="400"/>
            </w:pPr>
            <w:r>
              <w:t>Description</w:t>
            </w:r>
          </w:p>
        </w:tc>
      </w:tr>
      <w:tr w:rsidR="00183EFC" w14:paraId="50D07F9B" w14:textId="77777777" w:rsidTr="00902260">
        <w:trPr>
          <w:jc w:val="center"/>
        </w:trPr>
        <w:tc>
          <w:tcPr>
            <w:tcW w:w="880" w:type="pct"/>
            <w:tcBorders>
              <w:top w:val="single" w:sz="6" w:space="0" w:color="auto"/>
            </w:tcBorders>
            <w:shd w:val="clear" w:color="auto" w:fill="auto"/>
          </w:tcPr>
          <w:p w14:paraId="4D1D2150" w14:textId="77777777" w:rsidR="00183EFC" w:rsidRDefault="00183EFC" w:rsidP="00902260">
            <w:pPr>
              <w:pStyle w:val="TAL"/>
            </w:pPr>
            <w:r>
              <w:t>VflTrainingSub</w:t>
            </w:r>
            <w:r>
              <w:rPr>
                <w:rFonts w:hint="eastAsia"/>
                <w:lang w:eastAsia="zh-CN"/>
              </w:rPr>
              <w:t>s</w:t>
            </w:r>
          </w:p>
        </w:tc>
        <w:tc>
          <w:tcPr>
            <w:tcW w:w="167" w:type="pct"/>
            <w:tcBorders>
              <w:top w:val="single" w:sz="6" w:space="0" w:color="auto"/>
            </w:tcBorders>
          </w:tcPr>
          <w:p w14:paraId="7193C690" w14:textId="77777777" w:rsidR="00183EFC" w:rsidRDefault="00183EFC" w:rsidP="00902260">
            <w:pPr>
              <w:pStyle w:val="TAC"/>
            </w:pPr>
            <w:r>
              <w:t>M</w:t>
            </w:r>
          </w:p>
        </w:tc>
        <w:tc>
          <w:tcPr>
            <w:tcW w:w="649" w:type="pct"/>
            <w:tcBorders>
              <w:top w:val="single" w:sz="6" w:space="0" w:color="auto"/>
            </w:tcBorders>
          </w:tcPr>
          <w:p w14:paraId="4D356D9C" w14:textId="77777777" w:rsidR="00183EFC" w:rsidRDefault="00183EFC" w:rsidP="00902260">
            <w:pPr>
              <w:pStyle w:val="TAL"/>
            </w:pPr>
            <w:r>
              <w:t>1</w:t>
            </w:r>
          </w:p>
        </w:tc>
        <w:tc>
          <w:tcPr>
            <w:tcW w:w="583" w:type="pct"/>
            <w:tcBorders>
              <w:top w:val="single" w:sz="6" w:space="0" w:color="auto"/>
            </w:tcBorders>
          </w:tcPr>
          <w:p w14:paraId="15BAD7B6" w14:textId="77777777" w:rsidR="00183EFC" w:rsidRDefault="00183EFC" w:rsidP="00902260">
            <w:pPr>
              <w:pStyle w:val="TAL"/>
            </w:pPr>
            <w:r>
              <w:t>200 OK</w:t>
            </w:r>
          </w:p>
        </w:tc>
        <w:tc>
          <w:tcPr>
            <w:tcW w:w="2721" w:type="pct"/>
            <w:tcBorders>
              <w:top w:val="single" w:sz="6" w:space="0" w:color="auto"/>
            </w:tcBorders>
            <w:shd w:val="clear" w:color="auto" w:fill="auto"/>
          </w:tcPr>
          <w:p w14:paraId="3BF21305" w14:textId="77777777" w:rsidR="00183EFC" w:rsidRDefault="00183EFC" w:rsidP="00902260">
            <w:pPr>
              <w:pStyle w:val="TAL"/>
            </w:pPr>
            <w:r>
              <w:t>The Individual VFL Training Subscription resource was modified successfully and a representation of that resource is returned.</w:t>
            </w:r>
          </w:p>
        </w:tc>
      </w:tr>
      <w:tr w:rsidR="00183EFC" w14:paraId="516A6A45" w14:textId="77777777" w:rsidTr="00902260">
        <w:trPr>
          <w:jc w:val="center"/>
        </w:trPr>
        <w:tc>
          <w:tcPr>
            <w:tcW w:w="880" w:type="pct"/>
            <w:shd w:val="clear" w:color="auto" w:fill="auto"/>
          </w:tcPr>
          <w:p w14:paraId="69BC4083" w14:textId="77777777" w:rsidR="00183EFC" w:rsidRPr="00824EA2" w:rsidRDefault="00183EFC" w:rsidP="00902260">
            <w:pPr>
              <w:pStyle w:val="TAL"/>
            </w:pPr>
            <w:r>
              <w:t>n/a</w:t>
            </w:r>
          </w:p>
        </w:tc>
        <w:tc>
          <w:tcPr>
            <w:tcW w:w="167" w:type="pct"/>
          </w:tcPr>
          <w:p w14:paraId="7603CE4F" w14:textId="77777777" w:rsidR="00183EFC" w:rsidRDefault="00183EFC" w:rsidP="00902260">
            <w:pPr>
              <w:pStyle w:val="TAC"/>
            </w:pPr>
          </w:p>
        </w:tc>
        <w:tc>
          <w:tcPr>
            <w:tcW w:w="649" w:type="pct"/>
          </w:tcPr>
          <w:p w14:paraId="0B0E9C0C" w14:textId="77777777" w:rsidR="00183EFC" w:rsidRDefault="00183EFC" w:rsidP="00902260">
            <w:pPr>
              <w:pStyle w:val="TAL"/>
            </w:pPr>
          </w:p>
        </w:tc>
        <w:tc>
          <w:tcPr>
            <w:tcW w:w="583" w:type="pct"/>
          </w:tcPr>
          <w:p w14:paraId="4A8528D6" w14:textId="77777777" w:rsidR="00183EFC" w:rsidRDefault="00183EFC" w:rsidP="00902260">
            <w:pPr>
              <w:pStyle w:val="TAL"/>
            </w:pPr>
            <w:r>
              <w:t>204 No Content</w:t>
            </w:r>
          </w:p>
        </w:tc>
        <w:tc>
          <w:tcPr>
            <w:tcW w:w="2721" w:type="pct"/>
            <w:shd w:val="clear" w:color="auto" w:fill="auto"/>
          </w:tcPr>
          <w:p w14:paraId="717C8796" w14:textId="77777777" w:rsidR="00183EFC" w:rsidRDefault="00183EFC" w:rsidP="00902260">
            <w:pPr>
              <w:pStyle w:val="TAL"/>
            </w:pPr>
            <w:r>
              <w:t>The Individual VFL Training Subscription resource was modified successfully.</w:t>
            </w:r>
          </w:p>
        </w:tc>
      </w:tr>
      <w:tr w:rsidR="00183EFC" w14:paraId="089903A9" w14:textId="77777777" w:rsidTr="00902260">
        <w:trPr>
          <w:jc w:val="center"/>
        </w:trPr>
        <w:tc>
          <w:tcPr>
            <w:tcW w:w="880" w:type="pct"/>
            <w:shd w:val="clear" w:color="auto" w:fill="auto"/>
          </w:tcPr>
          <w:p w14:paraId="7A7BBEBE" w14:textId="77777777" w:rsidR="00183EFC" w:rsidRPr="00824EA2" w:rsidRDefault="00183EFC" w:rsidP="00902260">
            <w:pPr>
              <w:pStyle w:val="TAL"/>
            </w:pPr>
            <w:r>
              <w:t>RedirectResponse</w:t>
            </w:r>
          </w:p>
        </w:tc>
        <w:tc>
          <w:tcPr>
            <w:tcW w:w="167" w:type="pct"/>
          </w:tcPr>
          <w:p w14:paraId="78516B84" w14:textId="77777777" w:rsidR="00183EFC" w:rsidRDefault="00183EFC" w:rsidP="00902260">
            <w:pPr>
              <w:pStyle w:val="TAC"/>
            </w:pPr>
            <w:r>
              <w:t>O</w:t>
            </w:r>
          </w:p>
        </w:tc>
        <w:tc>
          <w:tcPr>
            <w:tcW w:w="649" w:type="pct"/>
          </w:tcPr>
          <w:p w14:paraId="6696A7C1" w14:textId="77777777" w:rsidR="00183EFC" w:rsidRDefault="00183EFC" w:rsidP="00902260">
            <w:pPr>
              <w:pStyle w:val="TAL"/>
            </w:pPr>
            <w:r>
              <w:t>0..1</w:t>
            </w:r>
          </w:p>
        </w:tc>
        <w:tc>
          <w:tcPr>
            <w:tcW w:w="583" w:type="pct"/>
          </w:tcPr>
          <w:p w14:paraId="3CAE7A3E" w14:textId="77777777" w:rsidR="00183EFC" w:rsidRDefault="00183EFC" w:rsidP="00902260">
            <w:pPr>
              <w:pStyle w:val="TAL"/>
            </w:pPr>
            <w:r>
              <w:t>307 Temporary Redirect</w:t>
            </w:r>
          </w:p>
        </w:tc>
        <w:tc>
          <w:tcPr>
            <w:tcW w:w="2721" w:type="pct"/>
            <w:shd w:val="clear" w:color="auto" w:fill="auto"/>
          </w:tcPr>
          <w:p w14:paraId="0C948248" w14:textId="77777777" w:rsidR="00183EFC" w:rsidRDefault="00183EFC" w:rsidP="00902260">
            <w:pPr>
              <w:pStyle w:val="TAL"/>
            </w:pPr>
            <w:r>
              <w:t>Temporary redirection, during Individual VFL Training Subscription modification. .</w:t>
            </w:r>
          </w:p>
          <w:p w14:paraId="3856AAE5" w14:textId="77777777" w:rsidR="00183EFC" w:rsidRDefault="00183EFC" w:rsidP="00902260">
            <w:pPr>
              <w:pStyle w:val="TAL"/>
              <w:rPr>
                <w:strike/>
              </w:rPr>
            </w:pPr>
          </w:p>
          <w:p w14:paraId="6FE6E982" w14:textId="77777777" w:rsidR="00183EFC" w:rsidRPr="002F33DB" w:rsidRDefault="00183EFC" w:rsidP="00902260">
            <w:pPr>
              <w:pStyle w:val="TAL"/>
              <w:rPr>
                <w:strike/>
              </w:rPr>
            </w:pPr>
            <w:r>
              <w:t>(NOTE 2)</w:t>
            </w:r>
          </w:p>
        </w:tc>
      </w:tr>
      <w:tr w:rsidR="00183EFC" w14:paraId="5A8BC33E" w14:textId="77777777" w:rsidTr="00902260">
        <w:trPr>
          <w:jc w:val="center"/>
        </w:trPr>
        <w:tc>
          <w:tcPr>
            <w:tcW w:w="880" w:type="pct"/>
            <w:shd w:val="clear" w:color="auto" w:fill="auto"/>
          </w:tcPr>
          <w:p w14:paraId="712E1F5E" w14:textId="77777777" w:rsidR="00183EFC" w:rsidRPr="00824EA2" w:rsidRDefault="00183EFC" w:rsidP="00902260">
            <w:pPr>
              <w:pStyle w:val="TAL"/>
            </w:pPr>
            <w:r>
              <w:t>RedirectResponse</w:t>
            </w:r>
          </w:p>
        </w:tc>
        <w:tc>
          <w:tcPr>
            <w:tcW w:w="167" w:type="pct"/>
          </w:tcPr>
          <w:p w14:paraId="1176431A" w14:textId="77777777" w:rsidR="00183EFC" w:rsidRDefault="00183EFC" w:rsidP="00902260">
            <w:pPr>
              <w:pStyle w:val="TAC"/>
            </w:pPr>
            <w:r>
              <w:t>O</w:t>
            </w:r>
          </w:p>
        </w:tc>
        <w:tc>
          <w:tcPr>
            <w:tcW w:w="649" w:type="pct"/>
          </w:tcPr>
          <w:p w14:paraId="00F8E9EE" w14:textId="77777777" w:rsidR="00183EFC" w:rsidRDefault="00183EFC" w:rsidP="00902260">
            <w:pPr>
              <w:pStyle w:val="TAL"/>
            </w:pPr>
            <w:r>
              <w:t>0..1</w:t>
            </w:r>
          </w:p>
        </w:tc>
        <w:tc>
          <w:tcPr>
            <w:tcW w:w="583" w:type="pct"/>
          </w:tcPr>
          <w:p w14:paraId="68330CC0" w14:textId="77777777" w:rsidR="00183EFC" w:rsidRDefault="00183EFC" w:rsidP="00902260">
            <w:pPr>
              <w:pStyle w:val="TAL"/>
            </w:pPr>
            <w:r>
              <w:t>308 Permanent Redirect</w:t>
            </w:r>
          </w:p>
        </w:tc>
        <w:tc>
          <w:tcPr>
            <w:tcW w:w="2721" w:type="pct"/>
            <w:shd w:val="clear" w:color="auto" w:fill="auto"/>
          </w:tcPr>
          <w:p w14:paraId="097D11EC" w14:textId="77777777" w:rsidR="00183EFC" w:rsidRDefault="00183EFC" w:rsidP="00902260">
            <w:pPr>
              <w:pStyle w:val="TAL"/>
            </w:pPr>
            <w:r>
              <w:t>Permanent redirection, during Individual VFL Training Subscription modification.</w:t>
            </w:r>
          </w:p>
          <w:p w14:paraId="1E254674" w14:textId="77777777" w:rsidR="00183EFC" w:rsidRDefault="00183EFC" w:rsidP="00902260">
            <w:pPr>
              <w:pStyle w:val="TAL"/>
              <w:rPr>
                <w:strike/>
              </w:rPr>
            </w:pPr>
          </w:p>
          <w:p w14:paraId="170CA111" w14:textId="77777777" w:rsidR="00183EFC" w:rsidRPr="002F33DB" w:rsidRDefault="00183EFC" w:rsidP="00902260">
            <w:pPr>
              <w:pStyle w:val="TAL"/>
              <w:rPr>
                <w:strike/>
              </w:rPr>
            </w:pPr>
            <w:r>
              <w:t>(NOTE 2)</w:t>
            </w:r>
          </w:p>
        </w:tc>
      </w:tr>
      <w:tr w:rsidR="00183EFC" w14:paraId="3A2AF4B5" w14:textId="77777777" w:rsidTr="00902260">
        <w:trPr>
          <w:jc w:val="center"/>
        </w:trPr>
        <w:tc>
          <w:tcPr>
            <w:tcW w:w="5000" w:type="pct"/>
            <w:gridSpan w:val="5"/>
            <w:shd w:val="clear" w:color="auto" w:fill="auto"/>
          </w:tcPr>
          <w:p w14:paraId="3ECE18F6" w14:textId="77777777" w:rsidR="00183EFC" w:rsidRPr="00F710E9" w:rsidRDefault="00183EFC" w:rsidP="00902260">
            <w:pPr>
              <w:keepNext/>
              <w:keepLines/>
              <w:spacing w:after="0"/>
              <w:ind w:left="851" w:hanging="851"/>
              <w:rPr>
                <w:rFonts w:ascii="Arial" w:hAnsi="Arial"/>
                <w:sz w:val="18"/>
              </w:rPr>
            </w:pPr>
            <w:r w:rsidRPr="00F710E9">
              <w:rPr>
                <w:rFonts w:ascii="Arial" w:hAnsi="Arial"/>
                <w:sz w:val="18"/>
              </w:rPr>
              <w:t>NOTE 1:</w:t>
            </w:r>
            <w:r w:rsidRPr="00F710E9">
              <w:rPr>
                <w:rFonts w:ascii="Arial" w:hAnsi="Arial"/>
                <w:sz w:val="18"/>
              </w:rPr>
              <w:tab/>
              <w:t>The mandatory HTTP error status codes for the PUT method listed in table 5.2.7.1-1 of 3GPP TS 29.500 [6] also apply.</w:t>
            </w:r>
          </w:p>
          <w:p w14:paraId="03A05D61" w14:textId="77777777" w:rsidR="00183EFC" w:rsidRDefault="00183EFC" w:rsidP="00902260">
            <w:pPr>
              <w:pStyle w:val="TAN"/>
            </w:pPr>
            <w:r w:rsidRPr="00F710E9">
              <w:t>NOTE </w:t>
            </w:r>
            <w:r>
              <w:t>2</w:t>
            </w:r>
            <w:r w:rsidRPr="00F710E9">
              <w:t>:</w:t>
            </w:r>
            <w:r w:rsidRPr="00F710E9">
              <w:tab/>
              <w:t>The RedirectResponse data structure may be provided by an SEPP or SCP (cf. clause 6.10.9.1 of 3GPP TS 29.500 [6]).</w:t>
            </w:r>
          </w:p>
        </w:tc>
      </w:tr>
    </w:tbl>
    <w:p w14:paraId="1CFA8C83" w14:textId="77777777" w:rsidR="00183EFC" w:rsidRDefault="00183EFC" w:rsidP="00183EFC"/>
    <w:p w14:paraId="52ED3F60" w14:textId="77777777" w:rsidR="00183EFC" w:rsidRDefault="00183EFC" w:rsidP="00183EFC">
      <w:pPr>
        <w:pStyle w:val="TH"/>
      </w:pPr>
      <w:r>
        <w:t>Table 5.9.3.3.3.1-4: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5B30C039" w14:textId="77777777" w:rsidTr="00902260">
        <w:trPr>
          <w:jc w:val="center"/>
        </w:trPr>
        <w:tc>
          <w:tcPr>
            <w:tcW w:w="825" w:type="pct"/>
            <w:tcBorders>
              <w:bottom w:val="single" w:sz="6" w:space="0" w:color="auto"/>
            </w:tcBorders>
            <w:shd w:val="clear" w:color="auto" w:fill="C0C0C0"/>
          </w:tcPr>
          <w:p w14:paraId="72A53225"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4681A157"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76174FA8"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7757E40D"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01D4C907" w14:textId="77777777" w:rsidR="00183EFC" w:rsidRDefault="00183EFC" w:rsidP="00902260">
            <w:pPr>
              <w:pStyle w:val="TAH"/>
              <w:ind w:left="400" w:hanging="400"/>
            </w:pPr>
            <w:r>
              <w:t>Description</w:t>
            </w:r>
          </w:p>
        </w:tc>
      </w:tr>
      <w:tr w:rsidR="00183EFC" w14:paraId="10F9B84C" w14:textId="77777777" w:rsidTr="00902260">
        <w:trPr>
          <w:jc w:val="center"/>
        </w:trPr>
        <w:tc>
          <w:tcPr>
            <w:tcW w:w="825" w:type="pct"/>
            <w:tcBorders>
              <w:top w:val="single" w:sz="6" w:space="0" w:color="auto"/>
            </w:tcBorders>
            <w:shd w:val="clear" w:color="auto" w:fill="auto"/>
          </w:tcPr>
          <w:p w14:paraId="784B2AC4" w14:textId="77777777" w:rsidR="00183EFC" w:rsidRDefault="00183EFC" w:rsidP="00902260">
            <w:pPr>
              <w:pStyle w:val="TAL"/>
            </w:pPr>
            <w:r>
              <w:t>Location</w:t>
            </w:r>
          </w:p>
        </w:tc>
        <w:tc>
          <w:tcPr>
            <w:tcW w:w="732" w:type="pct"/>
            <w:tcBorders>
              <w:top w:val="single" w:sz="6" w:space="0" w:color="auto"/>
            </w:tcBorders>
          </w:tcPr>
          <w:p w14:paraId="76B48CCC" w14:textId="77777777" w:rsidR="00183EFC" w:rsidRDefault="00183EFC" w:rsidP="00902260">
            <w:pPr>
              <w:pStyle w:val="TAL"/>
            </w:pPr>
            <w:r>
              <w:t>string</w:t>
            </w:r>
          </w:p>
        </w:tc>
        <w:tc>
          <w:tcPr>
            <w:tcW w:w="217" w:type="pct"/>
            <w:tcBorders>
              <w:top w:val="single" w:sz="6" w:space="0" w:color="auto"/>
            </w:tcBorders>
          </w:tcPr>
          <w:p w14:paraId="078A6805" w14:textId="77777777" w:rsidR="00183EFC" w:rsidRDefault="00183EFC" w:rsidP="00902260">
            <w:pPr>
              <w:pStyle w:val="TAC"/>
            </w:pPr>
            <w:r>
              <w:t>M</w:t>
            </w:r>
          </w:p>
        </w:tc>
        <w:tc>
          <w:tcPr>
            <w:tcW w:w="581" w:type="pct"/>
            <w:tcBorders>
              <w:top w:val="single" w:sz="6" w:space="0" w:color="auto"/>
            </w:tcBorders>
          </w:tcPr>
          <w:p w14:paraId="63C54FAC"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238E5ABE"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273BFC06" w14:textId="77777777" w:rsidR="00183EFC" w:rsidRDefault="00183EFC" w:rsidP="00902260">
            <w:pPr>
              <w:pStyle w:val="TAL"/>
            </w:pPr>
          </w:p>
          <w:p w14:paraId="43403338"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183EFC" w14:paraId="7B59D790" w14:textId="77777777" w:rsidTr="00902260">
        <w:trPr>
          <w:jc w:val="center"/>
        </w:trPr>
        <w:tc>
          <w:tcPr>
            <w:tcW w:w="825" w:type="pct"/>
            <w:shd w:val="clear" w:color="auto" w:fill="auto"/>
          </w:tcPr>
          <w:p w14:paraId="572003FD" w14:textId="77777777" w:rsidR="00183EFC" w:rsidRDefault="00183EFC" w:rsidP="00902260">
            <w:pPr>
              <w:pStyle w:val="TAL"/>
            </w:pPr>
            <w:r>
              <w:rPr>
                <w:lang w:eastAsia="zh-CN"/>
              </w:rPr>
              <w:t>3gpp-Sbi-Target-Nf-Id</w:t>
            </w:r>
          </w:p>
        </w:tc>
        <w:tc>
          <w:tcPr>
            <w:tcW w:w="732" w:type="pct"/>
          </w:tcPr>
          <w:p w14:paraId="0245EC96" w14:textId="77777777" w:rsidR="00183EFC" w:rsidRDefault="00183EFC" w:rsidP="00902260">
            <w:pPr>
              <w:pStyle w:val="TAL"/>
            </w:pPr>
            <w:r>
              <w:rPr>
                <w:lang w:eastAsia="fr-FR"/>
              </w:rPr>
              <w:t>string</w:t>
            </w:r>
          </w:p>
        </w:tc>
        <w:tc>
          <w:tcPr>
            <w:tcW w:w="217" w:type="pct"/>
          </w:tcPr>
          <w:p w14:paraId="4F91EAA4" w14:textId="77777777" w:rsidR="00183EFC" w:rsidRDefault="00183EFC" w:rsidP="00902260">
            <w:pPr>
              <w:pStyle w:val="TAC"/>
            </w:pPr>
            <w:r>
              <w:rPr>
                <w:lang w:eastAsia="fr-FR"/>
              </w:rPr>
              <w:t>O</w:t>
            </w:r>
          </w:p>
        </w:tc>
        <w:tc>
          <w:tcPr>
            <w:tcW w:w="581" w:type="pct"/>
          </w:tcPr>
          <w:p w14:paraId="2BE37F9B" w14:textId="77777777" w:rsidR="00183EFC" w:rsidRDefault="00183EFC" w:rsidP="00902260">
            <w:pPr>
              <w:pStyle w:val="TAL"/>
            </w:pPr>
            <w:r>
              <w:rPr>
                <w:lang w:eastAsia="fr-FR"/>
              </w:rPr>
              <w:t>0..1</w:t>
            </w:r>
          </w:p>
        </w:tc>
        <w:tc>
          <w:tcPr>
            <w:tcW w:w="2645" w:type="pct"/>
            <w:shd w:val="clear" w:color="auto" w:fill="auto"/>
            <w:vAlign w:val="center"/>
          </w:tcPr>
          <w:p w14:paraId="51A3289C" w14:textId="77777777" w:rsidR="00183EFC" w:rsidRDefault="00183EFC" w:rsidP="00902260">
            <w:pPr>
              <w:pStyle w:val="TAL"/>
            </w:pPr>
            <w:r>
              <w:rPr>
                <w:lang w:eastAsia="fr-FR"/>
              </w:rPr>
              <w:t>Identifier of the target NWDAF (service) instance towards which the request is redirected.</w:t>
            </w:r>
          </w:p>
        </w:tc>
      </w:tr>
    </w:tbl>
    <w:p w14:paraId="40AFA8EC" w14:textId="77777777" w:rsidR="00183EFC" w:rsidRDefault="00183EFC" w:rsidP="00183EFC"/>
    <w:p w14:paraId="2DF03815" w14:textId="77777777" w:rsidR="00183EFC" w:rsidRDefault="00183EFC" w:rsidP="00183EFC">
      <w:pPr>
        <w:pStyle w:val="TH"/>
      </w:pPr>
      <w:r>
        <w:t>Table 5.9.3.3.3.1-5: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783B9A70" w14:textId="77777777" w:rsidTr="00902260">
        <w:trPr>
          <w:jc w:val="center"/>
        </w:trPr>
        <w:tc>
          <w:tcPr>
            <w:tcW w:w="825" w:type="pct"/>
            <w:tcBorders>
              <w:bottom w:val="single" w:sz="6" w:space="0" w:color="auto"/>
            </w:tcBorders>
            <w:shd w:val="clear" w:color="auto" w:fill="C0C0C0"/>
          </w:tcPr>
          <w:p w14:paraId="73A44901"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0091A13B"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6DE2FD44"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381B19AF"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02B516E2" w14:textId="77777777" w:rsidR="00183EFC" w:rsidRDefault="00183EFC" w:rsidP="00902260">
            <w:pPr>
              <w:pStyle w:val="TAH"/>
              <w:ind w:left="400" w:hanging="400"/>
            </w:pPr>
            <w:r>
              <w:t>Description</w:t>
            </w:r>
          </w:p>
        </w:tc>
      </w:tr>
      <w:tr w:rsidR="00183EFC" w14:paraId="0999889C" w14:textId="77777777" w:rsidTr="00902260">
        <w:trPr>
          <w:jc w:val="center"/>
        </w:trPr>
        <w:tc>
          <w:tcPr>
            <w:tcW w:w="825" w:type="pct"/>
            <w:tcBorders>
              <w:top w:val="single" w:sz="6" w:space="0" w:color="auto"/>
            </w:tcBorders>
            <w:shd w:val="clear" w:color="auto" w:fill="auto"/>
          </w:tcPr>
          <w:p w14:paraId="21A0BFB1" w14:textId="77777777" w:rsidR="00183EFC" w:rsidRDefault="00183EFC" w:rsidP="00902260">
            <w:pPr>
              <w:pStyle w:val="TAL"/>
            </w:pPr>
            <w:r>
              <w:t>Location</w:t>
            </w:r>
          </w:p>
        </w:tc>
        <w:tc>
          <w:tcPr>
            <w:tcW w:w="732" w:type="pct"/>
            <w:tcBorders>
              <w:top w:val="single" w:sz="6" w:space="0" w:color="auto"/>
            </w:tcBorders>
          </w:tcPr>
          <w:p w14:paraId="2EE69D3A" w14:textId="77777777" w:rsidR="00183EFC" w:rsidRDefault="00183EFC" w:rsidP="00902260">
            <w:pPr>
              <w:pStyle w:val="TAL"/>
            </w:pPr>
            <w:r>
              <w:t>string</w:t>
            </w:r>
          </w:p>
        </w:tc>
        <w:tc>
          <w:tcPr>
            <w:tcW w:w="217" w:type="pct"/>
            <w:tcBorders>
              <w:top w:val="single" w:sz="6" w:space="0" w:color="auto"/>
            </w:tcBorders>
          </w:tcPr>
          <w:p w14:paraId="602A8F30" w14:textId="77777777" w:rsidR="00183EFC" w:rsidRDefault="00183EFC" w:rsidP="00902260">
            <w:pPr>
              <w:pStyle w:val="TAC"/>
            </w:pPr>
            <w:r>
              <w:t>M</w:t>
            </w:r>
          </w:p>
        </w:tc>
        <w:tc>
          <w:tcPr>
            <w:tcW w:w="581" w:type="pct"/>
            <w:tcBorders>
              <w:top w:val="single" w:sz="6" w:space="0" w:color="auto"/>
            </w:tcBorders>
          </w:tcPr>
          <w:p w14:paraId="5BC40B76"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0AF8A4B5"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7FD36A60" w14:textId="77777777" w:rsidR="00183EFC" w:rsidRDefault="00183EFC" w:rsidP="00902260">
            <w:pPr>
              <w:pStyle w:val="TAL"/>
            </w:pPr>
          </w:p>
          <w:p w14:paraId="6CA4CEAC"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p>
        </w:tc>
      </w:tr>
      <w:tr w:rsidR="00183EFC" w14:paraId="013F6EF3" w14:textId="77777777" w:rsidTr="00902260">
        <w:trPr>
          <w:jc w:val="center"/>
        </w:trPr>
        <w:tc>
          <w:tcPr>
            <w:tcW w:w="825" w:type="pct"/>
            <w:shd w:val="clear" w:color="auto" w:fill="auto"/>
          </w:tcPr>
          <w:p w14:paraId="621A8058" w14:textId="77777777" w:rsidR="00183EFC" w:rsidRDefault="00183EFC" w:rsidP="00902260">
            <w:pPr>
              <w:pStyle w:val="TAL"/>
            </w:pPr>
            <w:r>
              <w:rPr>
                <w:lang w:eastAsia="zh-CN"/>
              </w:rPr>
              <w:t>3gpp-Sbi-Target-Nf-Id</w:t>
            </w:r>
          </w:p>
        </w:tc>
        <w:tc>
          <w:tcPr>
            <w:tcW w:w="732" w:type="pct"/>
          </w:tcPr>
          <w:p w14:paraId="2DBA883C" w14:textId="77777777" w:rsidR="00183EFC" w:rsidRDefault="00183EFC" w:rsidP="00902260">
            <w:pPr>
              <w:pStyle w:val="TAL"/>
            </w:pPr>
            <w:r>
              <w:rPr>
                <w:lang w:eastAsia="fr-FR"/>
              </w:rPr>
              <w:t>string</w:t>
            </w:r>
          </w:p>
        </w:tc>
        <w:tc>
          <w:tcPr>
            <w:tcW w:w="217" w:type="pct"/>
          </w:tcPr>
          <w:p w14:paraId="68093E96" w14:textId="77777777" w:rsidR="00183EFC" w:rsidRDefault="00183EFC" w:rsidP="00902260">
            <w:pPr>
              <w:pStyle w:val="TAC"/>
            </w:pPr>
            <w:r>
              <w:rPr>
                <w:lang w:eastAsia="fr-FR"/>
              </w:rPr>
              <w:t>O</w:t>
            </w:r>
          </w:p>
        </w:tc>
        <w:tc>
          <w:tcPr>
            <w:tcW w:w="581" w:type="pct"/>
          </w:tcPr>
          <w:p w14:paraId="45B2E3B2" w14:textId="77777777" w:rsidR="00183EFC" w:rsidRDefault="00183EFC" w:rsidP="00902260">
            <w:pPr>
              <w:pStyle w:val="TAL"/>
            </w:pPr>
            <w:r>
              <w:rPr>
                <w:lang w:eastAsia="fr-FR"/>
              </w:rPr>
              <w:t>0..1</w:t>
            </w:r>
          </w:p>
        </w:tc>
        <w:tc>
          <w:tcPr>
            <w:tcW w:w="2645" w:type="pct"/>
            <w:shd w:val="clear" w:color="auto" w:fill="auto"/>
            <w:vAlign w:val="center"/>
          </w:tcPr>
          <w:p w14:paraId="7AD61062" w14:textId="77777777" w:rsidR="00183EFC" w:rsidRDefault="00183EFC" w:rsidP="00902260">
            <w:pPr>
              <w:pStyle w:val="TAL"/>
            </w:pPr>
            <w:r>
              <w:rPr>
                <w:lang w:eastAsia="fr-FR"/>
              </w:rPr>
              <w:t>Identifier of the target NWDAF (service) instance towards which the request is redirected.</w:t>
            </w:r>
          </w:p>
        </w:tc>
      </w:tr>
    </w:tbl>
    <w:p w14:paraId="799010C1" w14:textId="77777777" w:rsidR="00183EFC" w:rsidRDefault="00183EFC" w:rsidP="00183EFC"/>
    <w:p w14:paraId="26DFA9F6" w14:textId="77777777" w:rsidR="00183EFC" w:rsidRPr="007565F0" w:rsidRDefault="00183EFC" w:rsidP="00183EFC">
      <w:pPr>
        <w:pStyle w:val="6"/>
      </w:pPr>
      <w:bookmarkStart w:id="16839" w:name="_Toc129247546"/>
      <w:bookmarkStart w:id="16840" w:name="_Toc164863291"/>
      <w:bookmarkStart w:id="16841" w:name="_Toc192881221"/>
      <w:bookmarkStart w:id="16842" w:name="_Toc199453437"/>
      <w:r>
        <w:t>5.9</w:t>
      </w:r>
      <w:r w:rsidRPr="007565F0">
        <w:t>.3.3.3.2</w:t>
      </w:r>
      <w:r w:rsidRPr="007565F0">
        <w:tab/>
        <w:t>DELETE</w:t>
      </w:r>
      <w:bookmarkEnd w:id="16839"/>
      <w:bookmarkEnd w:id="16840"/>
      <w:bookmarkEnd w:id="16841"/>
      <w:bookmarkEnd w:id="16842"/>
    </w:p>
    <w:p w14:paraId="6D880C52" w14:textId="77777777" w:rsidR="00183EFC" w:rsidRDefault="00183EFC" w:rsidP="00183EFC">
      <w:r>
        <w:t>This method shall support the URI query parameters specified in table 5.9.3.3.3.2-1.</w:t>
      </w:r>
    </w:p>
    <w:p w14:paraId="174D8A58" w14:textId="77777777" w:rsidR="00183EFC" w:rsidRDefault="00183EFC" w:rsidP="00183EFC">
      <w:pPr>
        <w:pStyle w:val="TH"/>
        <w:rPr>
          <w:rFonts w:cs="Arial"/>
        </w:rPr>
      </w:pPr>
      <w:r>
        <w:t>Table 5.9.3.3.3.2-1: URI query parameters supported by the DELETE method on this resource</w:t>
      </w:r>
    </w:p>
    <w:tbl>
      <w:tblPr>
        <w:tblW w:w="5008"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83EFC" w14:paraId="2B1C4CDF" w14:textId="77777777" w:rsidTr="00902260">
        <w:trPr>
          <w:jc w:val="center"/>
        </w:trPr>
        <w:tc>
          <w:tcPr>
            <w:tcW w:w="825" w:type="pct"/>
            <w:tcBorders>
              <w:bottom w:val="single" w:sz="6" w:space="0" w:color="auto"/>
            </w:tcBorders>
            <w:shd w:val="clear" w:color="auto" w:fill="C0C0C0"/>
          </w:tcPr>
          <w:p w14:paraId="14C122D2" w14:textId="77777777" w:rsidR="00183EFC" w:rsidRDefault="00183EFC" w:rsidP="00902260">
            <w:pPr>
              <w:pStyle w:val="TAH"/>
              <w:ind w:left="400" w:hanging="400"/>
            </w:pPr>
            <w:r>
              <w:t>Name</w:t>
            </w:r>
          </w:p>
        </w:tc>
        <w:tc>
          <w:tcPr>
            <w:tcW w:w="731" w:type="pct"/>
            <w:tcBorders>
              <w:bottom w:val="single" w:sz="6" w:space="0" w:color="auto"/>
            </w:tcBorders>
            <w:shd w:val="clear" w:color="auto" w:fill="C0C0C0"/>
          </w:tcPr>
          <w:p w14:paraId="50618564" w14:textId="77777777" w:rsidR="00183EFC" w:rsidRDefault="00183EFC" w:rsidP="00902260">
            <w:pPr>
              <w:pStyle w:val="TAH"/>
              <w:ind w:left="400" w:hanging="400"/>
            </w:pPr>
            <w:r>
              <w:t>Data type</w:t>
            </w:r>
          </w:p>
        </w:tc>
        <w:tc>
          <w:tcPr>
            <w:tcW w:w="215" w:type="pct"/>
            <w:tcBorders>
              <w:bottom w:val="single" w:sz="6" w:space="0" w:color="auto"/>
            </w:tcBorders>
            <w:shd w:val="clear" w:color="auto" w:fill="C0C0C0"/>
          </w:tcPr>
          <w:p w14:paraId="48472285" w14:textId="77777777" w:rsidR="00183EFC" w:rsidRDefault="00183EFC" w:rsidP="00902260">
            <w:pPr>
              <w:pStyle w:val="TAH"/>
              <w:ind w:left="400" w:hanging="400"/>
            </w:pPr>
            <w:r>
              <w:t>P</w:t>
            </w:r>
          </w:p>
        </w:tc>
        <w:tc>
          <w:tcPr>
            <w:tcW w:w="580" w:type="pct"/>
            <w:tcBorders>
              <w:bottom w:val="single" w:sz="6" w:space="0" w:color="auto"/>
            </w:tcBorders>
            <w:shd w:val="clear" w:color="auto" w:fill="C0C0C0"/>
          </w:tcPr>
          <w:p w14:paraId="6C04364F" w14:textId="77777777" w:rsidR="00183EFC" w:rsidRDefault="00183EFC" w:rsidP="00902260">
            <w:pPr>
              <w:pStyle w:val="TAH"/>
              <w:ind w:left="400" w:hanging="400"/>
            </w:pPr>
            <w:r>
              <w:t>Cardinality</w:t>
            </w:r>
          </w:p>
        </w:tc>
        <w:tc>
          <w:tcPr>
            <w:tcW w:w="1852" w:type="pct"/>
            <w:tcBorders>
              <w:bottom w:val="single" w:sz="6" w:space="0" w:color="auto"/>
            </w:tcBorders>
            <w:shd w:val="clear" w:color="auto" w:fill="C0C0C0"/>
            <w:vAlign w:val="center"/>
          </w:tcPr>
          <w:p w14:paraId="78A46769" w14:textId="77777777" w:rsidR="00183EFC" w:rsidRDefault="00183EFC" w:rsidP="00902260">
            <w:pPr>
              <w:pStyle w:val="TAH"/>
              <w:ind w:left="400" w:hanging="400"/>
            </w:pPr>
            <w:r>
              <w:t>Description</w:t>
            </w:r>
          </w:p>
        </w:tc>
        <w:tc>
          <w:tcPr>
            <w:tcW w:w="796" w:type="pct"/>
            <w:tcBorders>
              <w:bottom w:val="single" w:sz="6" w:space="0" w:color="auto"/>
            </w:tcBorders>
            <w:shd w:val="clear" w:color="auto" w:fill="C0C0C0"/>
          </w:tcPr>
          <w:p w14:paraId="56202AF1" w14:textId="77777777" w:rsidR="00183EFC" w:rsidRDefault="00183EFC" w:rsidP="00902260">
            <w:pPr>
              <w:pStyle w:val="TAH"/>
              <w:ind w:left="400" w:hanging="400"/>
            </w:pPr>
            <w:r>
              <w:t>Applicability</w:t>
            </w:r>
          </w:p>
        </w:tc>
      </w:tr>
      <w:tr w:rsidR="00183EFC" w14:paraId="118335FD" w14:textId="77777777" w:rsidTr="00902260">
        <w:trPr>
          <w:jc w:val="center"/>
        </w:trPr>
        <w:tc>
          <w:tcPr>
            <w:tcW w:w="825" w:type="pct"/>
            <w:tcBorders>
              <w:top w:val="single" w:sz="6" w:space="0" w:color="auto"/>
            </w:tcBorders>
            <w:shd w:val="clear" w:color="auto" w:fill="auto"/>
          </w:tcPr>
          <w:p w14:paraId="77BDE15F" w14:textId="77777777" w:rsidR="00183EFC" w:rsidRDefault="00183EFC" w:rsidP="00902260">
            <w:pPr>
              <w:pStyle w:val="TAL"/>
            </w:pPr>
            <w:r>
              <w:t>n/a</w:t>
            </w:r>
          </w:p>
        </w:tc>
        <w:tc>
          <w:tcPr>
            <w:tcW w:w="731" w:type="pct"/>
            <w:tcBorders>
              <w:top w:val="single" w:sz="6" w:space="0" w:color="auto"/>
            </w:tcBorders>
          </w:tcPr>
          <w:p w14:paraId="4A7BFBF6" w14:textId="77777777" w:rsidR="00183EFC" w:rsidRDefault="00183EFC" w:rsidP="00902260">
            <w:pPr>
              <w:pStyle w:val="TAL"/>
            </w:pPr>
          </w:p>
        </w:tc>
        <w:tc>
          <w:tcPr>
            <w:tcW w:w="215" w:type="pct"/>
            <w:tcBorders>
              <w:top w:val="single" w:sz="6" w:space="0" w:color="auto"/>
            </w:tcBorders>
          </w:tcPr>
          <w:p w14:paraId="117DEF5A" w14:textId="77777777" w:rsidR="00183EFC" w:rsidRDefault="00183EFC" w:rsidP="00902260">
            <w:pPr>
              <w:pStyle w:val="TAC"/>
            </w:pPr>
          </w:p>
        </w:tc>
        <w:tc>
          <w:tcPr>
            <w:tcW w:w="580" w:type="pct"/>
            <w:tcBorders>
              <w:top w:val="single" w:sz="6" w:space="0" w:color="auto"/>
            </w:tcBorders>
          </w:tcPr>
          <w:p w14:paraId="27540126" w14:textId="77777777" w:rsidR="00183EFC" w:rsidRDefault="00183EFC" w:rsidP="00902260">
            <w:pPr>
              <w:pStyle w:val="TAL"/>
            </w:pPr>
          </w:p>
        </w:tc>
        <w:tc>
          <w:tcPr>
            <w:tcW w:w="1852" w:type="pct"/>
            <w:tcBorders>
              <w:top w:val="single" w:sz="6" w:space="0" w:color="auto"/>
            </w:tcBorders>
            <w:shd w:val="clear" w:color="auto" w:fill="auto"/>
            <w:vAlign w:val="center"/>
          </w:tcPr>
          <w:p w14:paraId="5CBCE426" w14:textId="77777777" w:rsidR="00183EFC" w:rsidRDefault="00183EFC" w:rsidP="00902260">
            <w:pPr>
              <w:pStyle w:val="TAL"/>
            </w:pPr>
          </w:p>
        </w:tc>
        <w:tc>
          <w:tcPr>
            <w:tcW w:w="796" w:type="pct"/>
            <w:tcBorders>
              <w:top w:val="single" w:sz="6" w:space="0" w:color="auto"/>
            </w:tcBorders>
          </w:tcPr>
          <w:p w14:paraId="55895B5F" w14:textId="77777777" w:rsidR="00183EFC" w:rsidRDefault="00183EFC" w:rsidP="00902260">
            <w:pPr>
              <w:pStyle w:val="TAL"/>
            </w:pPr>
          </w:p>
        </w:tc>
      </w:tr>
    </w:tbl>
    <w:p w14:paraId="71BAE2A7" w14:textId="77777777" w:rsidR="00183EFC" w:rsidRDefault="00183EFC" w:rsidP="00183EFC"/>
    <w:p w14:paraId="29962644" w14:textId="77777777" w:rsidR="00183EFC" w:rsidRDefault="00183EFC" w:rsidP="00183EFC">
      <w:r>
        <w:lastRenderedPageBreak/>
        <w:t>This method shall support the request data structures specified in table 5.9.3.3.3.2-2 and the response data structures and response codes specified in table 5.9.3.3.3.2-3.</w:t>
      </w:r>
    </w:p>
    <w:p w14:paraId="0046D374" w14:textId="77777777" w:rsidR="00183EFC" w:rsidRDefault="00183EFC" w:rsidP="00183EFC">
      <w:pPr>
        <w:pStyle w:val="TH"/>
      </w:pPr>
      <w:r>
        <w:t>Table 5.9.3.3.3.2-2: Data structures supported by the DELETE Request Body on this resource</w:t>
      </w:r>
    </w:p>
    <w:tbl>
      <w:tblPr>
        <w:tblW w:w="49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83EFC" w14:paraId="1918270F" w14:textId="77777777" w:rsidTr="00902260">
        <w:trPr>
          <w:jc w:val="center"/>
        </w:trPr>
        <w:tc>
          <w:tcPr>
            <w:tcW w:w="1612" w:type="dxa"/>
            <w:tcBorders>
              <w:bottom w:val="single" w:sz="6" w:space="0" w:color="auto"/>
            </w:tcBorders>
            <w:shd w:val="clear" w:color="auto" w:fill="C0C0C0"/>
            <w:hideMark/>
          </w:tcPr>
          <w:p w14:paraId="382AA6F7" w14:textId="77777777" w:rsidR="00183EFC" w:rsidRDefault="00183EFC" w:rsidP="00902260">
            <w:pPr>
              <w:pStyle w:val="TAH"/>
              <w:ind w:left="400" w:hanging="400"/>
            </w:pPr>
            <w:r>
              <w:t>Data type</w:t>
            </w:r>
          </w:p>
        </w:tc>
        <w:tc>
          <w:tcPr>
            <w:tcW w:w="422" w:type="dxa"/>
            <w:tcBorders>
              <w:bottom w:val="single" w:sz="6" w:space="0" w:color="auto"/>
            </w:tcBorders>
            <w:shd w:val="clear" w:color="auto" w:fill="C0C0C0"/>
            <w:hideMark/>
          </w:tcPr>
          <w:p w14:paraId="57541072" w14:textId="77777777" w:rsidR="00183EFC" w:rsidRDefault="00183EFC" w:rsidP="00902260">
            <w:pPr>
              <w:pStyle w:val="TAH"/>
              <w:ind w:left="400" w:hanging="400"/>
            </w:pPr>
            <w:r>
              <w:t>P</w:t>
            </w:r>
          </w:p>
        </w:tc>
        <w:tc>
          <w:tcPr>
            <w:tcW w:w="1264" w:type="dxa"/>
            <w:tcBorders>
              <w:bottom w:val="single" w:sz="6" w:space="0" w:color="auto"/>
            </w:tcBorders>
            <w:shd w:val="clear" w:color="auto" w:fill="C0C0C0"/>
            <w:hideMark/>
          </w:tcPr>
          <w:p w14:paraId="4F07CEEA" w14:textId="77777777" w:rsidR="00183EFC" w:rsidRDefault="00183EFC" w:rsidP="00902260">
            <w:pPr>
              <w:pStyle w:val="TAH"/>
              <w:ind w:left="400" w:hanging="400"/>
            </w:pPr>
            <w:r>
              <w:t>Cardinality</w:t>
            </w:r>
          </w:p>
        </w:tc>
        <w:tc>
          <w:tcPr>
            <w:tcW w:w="6381" w:type="dxa"/>
            <w:tcBorders>
              <w:bottom w:val="single" w:sz="6" w:space="0" w:color="auto"/>
            </w:tcBorders>
            <w:shd w:val="clear" w:color="auto" w:fill="C0C0C0"/>
            <w:vAlign w:val="center"/>
            <w:hideMark/>
          </w:tcPr>
          <w:p w14:paraId="7999B741" w14:textId="77777777" w:rsidR="00183EFC" w:rsidRDefault="00183EFC" w:rsidP="00902260">
            <w:pPr>
              <w:pStyle w:val="TAH"/>
              <w:ind w:left="400" w:hanging="400"/>
            </w:pPr>
            <w:r>
              <w:t>Description</w:t>
            </w:r>
          </w:p>
        </w:tc>
      </w:tr>
      <w:tr w:rsidR="00183EFC" w14:paraId="1825C868" w14:textId="77777777" w:rsidTr="00902260">
        <w:trPr>
          <w:jc w:val="center"/>
        </w:trPr>
        <w:tc>
          <w:tcPr>
            <w:tcW w:w="1612" w:type="dxa"/>
            <w:tcBorders>
              <w:top w:val="single" w:sz="6" w:space="0" w:color="auto"/>
            </w:tcBorders>
            <w:hideMark/>
          </w:tcPr>
          <w:p w14:paraId="4E9F3A66" w14:textId="77777777" w:rsidR="00183EFC" w:rsidRDefault="00183EFC" w:rsidP="00902260">
            <w:pPr>
              <w:pStyle w:val="TAL"/>
            </w:pPr>
            <w:r>
              <w:t>n/a</w:t>
            </w:r>
          </w:p>
        </w:tc>
        <w:tc>
          <w:tcPr>
            <w:tcW w:w="422" w:type="dxa"/>
            <w:tcBorders>
              <w:top w:val="single" w:sz="6" w:space="0" w:color="auto"/>
            </w:tcBorders>
            <w:hideMark/>
          </w:tcPr>
          <w:p w14:paraId="4D902DA0" w14:textId="77777777" w:rsidR="00183EFC" w:rsidRDefault="00183EFC" w:rsidP="00902260">
            <w:pPr>
              <w:pStyle w:val="TAC"/>
            </w:pPr>
          </w:p>
        </w:tc>
        <w:tc>
          <w:tcPr>
            <w:tcW w:w="1264" w:type="dxa"/>
            <w:tcBorders>
              <w:top w:val="single" w:sz="6" w:space="0" w:color="auto"/>
            </w:tcBorders>
            <w:hideMark/>
          </w:tcPr>
          <w:p w14:paraId="2F333369" w14:textId="77777777" w:rsidR="00183EFC" w:rsidRDefault="00183EFC" w:rsidP="00902260">
            <w:pPr>
              <w:pStyle w:val="TAL"/>
            </w:pPr>
          </w:p>
        </w:tc>
        <w:tc>
          <w:tcPr>
            <w:tcW w:w="6381" w:type="dxa"/>
            <w:tcBorders>
              <w:top w:val="single" w:sz="6" w:space="0" w:color="auto"/>
            </w:tcBorders>
            <w:hideMark/>
          </w:tcPr>
          <w:p w14:paraId="5A480647" w14:textId="77777777" w:rsidR="00183EFC" w:rsidRDefault="00183EFC" w:rsidP="00902260">
            <w:pPr>
              <w:pStyle w:val="TAL"/>
            </w:pPr>
          </w:p>
        </w:tc>
      </w:tr>
    </w:tbl>
    <w:p w14:paraId="7C8605DC" w14:textId="77777777" w:rsidR="00183EFC" w:rsidRDefault="00183EFC" w:rsidP="00183EFC"/>
    <w:p w14:paraId="3C9BBF16" w14:textId="77777777" w:rsidR="00183EFC" w:rsidRDefault="00183EFC" w:rsidP="00183EFC">
      <w:pPr>
        <w:pStyle w:val="TH"/>
      </w:pPr>
      <w:r>
        <w:t>Table 5.9.3.3.3.2-3: Data structures supported by the DELETE Response Body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321"/>
        <w:gridCol w:w="1249"/>
        <w:gridCol w:w="1122"/>
        <w:gridCol w:w="5237"/>
      </w:tblGrid>
      <w:tr w:rsidR="00183EFC" w14:paraId="46A8C97D" w14:textId="77777777" w:rsidTr="00902260">
        <w:trPr>
          <w:jc w:val="center"/>
        </w:trPr>
        <w:tc>
          <w:tcPr>
            <w:tcW w:w="880" w:type="pct"/>
            <w:tcBorders>
              <w:bottom w:val="single" w:sz="6" w:space="0" w:color="auto"/>
            </w:tcBorders>
            <w:shd w:val="clear" w:color="auto" w:fill="C0C0C0"/>
          </w:tcPr>
          <w:p w14:paraId="3DFE73B4" w14:textId="77777777" w:rsidR="00183EFC" w:rsidRDefault="00183EFC" w:rsidP="00902260">
            <w:pPr>
              <w:pStyle w:val="TAH"/>
              <w:ind w:left="400" w:hanging="400"/>
            </w:pPr>
            <w:r>
              <w:t>Data type</w:t>
            </w:r>
          </w:p>
        </w:tc>
        <w:tc>
          <w:tcPr>
            <w:tcW w:w="167" w:type="pct"/>
            <w:tcBorders>
              <w:bottom w:val="single" w:sz="6" w:space="0" w:color="auto"/>
            </w:tcBorders>
            <w:shd w:val="clear" w:color="auto" w:fill="C0C0C0"/>
          </w:tcPr>
          <w:p w14:paraId="65A98985" w14:textId="77777777" w:rsidR="00183EFC" w:rsidRDefault="00183EFC" w:rsidP="00902260">
            <w:pPr>
              <w:pStyle w:val="TAH"/>
              <w:ind w:left="400" w:hanging="400"/>
            </w:pPr>
            <w:r>
              <w:t>P</w:t>
            </w:r>
          </w:p>
        </w:tc>
        <w:tc>
          <w:tcPr>
            <w:tcW w:w="649" w:type="pct"/>
            <w:tcBorders>
              <w:bottom w:val="single" w:sz="6" w:space="0" w:color="auto"/>
            </w:tcBorders>
            <w:shd w:val="clear" w:color="auto" w:fill="C0C0C0"/>
          </w:tcPr>
          <w:p w14:paraId="340D97F2" w14:textId="77777777" w:rsidR="00183EFC" w:rsidRDefault="00183EFC" w:rsidP="00902260">
            <w:pPr>
              <w:pStyle w:val="TAH"/>
              <w:ind w:left="400" w:hanging="400"/>
            </w:pPr>
            <w:r>
              <w:t>Cardinality</w:t>
            </w:r>
          </w:p>
        </w:tc>
        <w:tc>
          <w:tcPr>
            <w:tcW w:w="583" w:type="pct"/>
            <w:tcBorders>
              <w:bottom w:val="single" w:sz="6" w:space="0" w:color="auto"/>
            </w:tcBorders>
            <w:shd w:val="clear" w:color="auto" w:fill="C0C0C0"/>
          </w:tcPr>
          <w:p w14:paraId="088AF695" w14:textId="77777777" w:rsidR="00183EFC" w:rsidRDefault="00183EFC" w:rsidP="00902260">
            <w:pPr>
              <w:pStyle w:val="TAH"/>
              <w:ind w:left="400" w:hanging="400"/>
            </w:pPr>
            <w:r>
              <w:t>Response</w:t>
            </w:r>
          </w:p>
          <w:p w14:paraId="56227989" w14:textId="77777777" w:rsidR="00183EFC" w:rsidRDefault="00183EFC" w:rsidP="00902260">
            <w:pPr>
              <w:pStyle w:val="TAH"/>
              <w:ind w:left="400" w:hanging="400"/>
            </w:pPr>
            <w:r>
              <w:t>codes</w:t>
            </w:r>
          </w:p>
        </w:tc>
        <w:tc>
          <w:tcPr>
            <w:tcW w:w="2721" w:type="pct"/>
            <w:tcBorders>
              <w:bottom w:val="single" w:sz="6" w:space="0" w:color="auto"/>
            </w:tcBorders>
            <w:shd w:val="clear" w:color="auto" w:fill="C0C0C0"/>
          </w:tcPr>
          <w:p w14:paraId="039D5A95" w14:textId="77777777" w:rsidR="00183EFC" w:rsidRDefault="00183EFC" w:rsidP="00902260">
            <w:pPr>
              <w:pStyle w:val="TAH"/>
              <w:ind w:left="400" w:hanging="400"/>
            </w:pPr>
            <w:r>
              <w:t>Description</w:t>
            </w:r>
          </w:p>
        </w:tc>
      </w:tr>
      <w:tr w:rsidR="00183EFC" w14:paraId="07D15022" w14:textId="77777777" w:rsidTr="00902260">
        <w:trPr>
          <w:jc w:val="center"/>
        </w:trPr>
        <w:tc>
          <w:tcPr>
            <w:tcW w:w="880" w:type="pct"/>
            <w:tcBorders>
              <w:top w:val="single" w:sz="6" w:space="0" w:color="auto"/>
            </w:tcBorders>
            <w:shd w:val="clear" w:color="auto" w:fill="auto"/>
          </w:tcPr>
          <w:p w14:paraId="5446A590" w14:textId="77777777" w:rsidR="00183EFC" w:rsidRPr="00824EA2" w:rsidRDefault="00183EFC" w:rsidP="00902260">
            <w:pPr>
              <w:pStyle w:val="TAL"/>
            </w:pPr>
            <w:r>
              <w:t>n/a</w:t>
            </w:r>
          </w:p>
        </w:tc>
        <w:tc>
          <w:tcPr>
            <w:tcW w:w="167" w:type="pct"/>
            <w:tcBorders>
              <w:top w:val="single" w:sz="6" w:space="0" w:color="auto"/>
            </w:tcBorders>
          </w:tcPr>
          <w:p w14:paraId="354A6765" w14:textId="77777777" w:rsidR="00183EFC" w:rsidRDefault="00183EFC" w:rsidP="00902260">
            <w:pPr>
              <w:pStyle w:val="TAC"/>
            </w:pPr>
          </w:p>
        </w:tc>
        <w:tc>
          <w:tcPr>
            <w:tcW w:w="649" w:type="pct"/>
            <w:tcBorders>
              <w:top w:val="single" w:sz="6" w:space="0" w:color="auto"/>
            </w:tcBorders>
          </w:tcPr>
          <w:p w14:paraId="026D5E9E" w14:textId="77777777" w:rsidR="00183EFC" w:rsidRDefault="00183EFC" w:rsidP="00902260">
            <w:pPr>
              <w:pStyle w:val="TAL"/>
            </w:pPr>
          </w:p>
        </w:tc>
        <w:tc>
          <w:tcPr>
            <w:tcW w:w="583" w:type="pct"/>
            <w:tcBorders>
              <w:top w:val="single" w:sz="6" w:space="0" w:color="auto"/>
            </w:tcBorders>
          </w:tcPr>
          <w:p w14:paraId="38D38D78" w14:textId="77777777" w:rsidR="00183EFC" w:rsidRDefault="00183EFC" w:rsidP="00902260">
            <w:pPr>
              <w:pStyle w:val="TAL"/>
            </w:pPr>
            <w:r>
              <w:t>204 No Content</w:t>
            </w:r>
          </w:p>
        </w:tc>
        <w:tc>
          <w:tcPr>
            <w:tcW w:w="2721" w:type="pct"/>
            <w:tcBorders>
              <w:top w:val="single" w:sz="6" w:space="0" w:color="auto"/>
            </w:tcBorders>
            <w:shd w:val="clear" w:color="auto" w:fill="auto"/>
          </w:tcPr>
          <w:p w14:paraId="26E705AC" w14:textId="77777777" w:rsidR="00183EFC" w:rsidRDefault="00183EFC" w:rsidP="00902260">
            <w:pPr>
              <w:pStyle w:val="TAL"/>
            </w:pPr>
            <w:r>
              <w:t>The Individual VFL Training Subscription resource was deleted successfully.</w:t>
            </w:r>
          </w:p>
        </w:tc>
      </w:tr>
      <w:tr w:rsidR="00183EFC" w14:paraId="611B408D" w14:textId="77777777" w:rsidTr="00902260">
        <w:trPr>
          <w:jc w:val="center"/>
        </w:trPr>
        <w:tc>
          <w:tcPr>
            <w:tcW w:w="880" w:type="pct"/>
            <w:shd w:val="clear" w:color="auto" w:fill="auto"/>
          </w:tcPr>
          <w:p w14:paraId="03FBE81F" w14:textId="77777777" w:rsidR="00183EFC" w:rsidRPr="00824EA2" w:rsidRDefault="00183EFC" w:rsidP="00902260">
            <w:pPr>
              <w:pStyle w:val="TAL"/>
            </w:pPr>
            <w:r>
              <w:t>RedirectResponse</w:t>
            </w:r>
          </w:p>
        </w:tc>
        <w:tc>
          <w:tcPr>
            <w:tcW w:w="167" w:type="pct"/>
          </w:tcPr>
          <w:p w14:paraId="7204907A" w14:textId="77777777" w:rsidR="00183EFC" w:rsidRDefault="00183EFC" w:rsidP="00902260">
            <w:pPr>
              <w:pStyle w:val="TAC"/>
            </w:pPr>
            <w:r>
              <w:t>O</w:t>
            </w:r>
          </w:p>
        </w:tc>
        <w:tc>
          <w:tcPr>
            <w:tcW w:w="649" w:type="pct"/>
          </w:tcPr>
          <w:p w14:paraId="34278066" w14:textId="77777777" w:rsidR="00183EFC" w:rsidRDefault="00183EFC" w:rsidP="00902260">
            <w:pPr>
              <w:pStyle w:val="TAL"/>
            </w:pPr>
            <w:r>
              <w:t>0..1</w:t>
            </w:r>
          </w:p>
        </w:tc>
        <w:tc>
          <w:tcPr>
            <w:tcW w:w="583" w:type="pct"/>
          </w:tcPr>
          <w:p w14:paraId="6A758811" w14:textId="77777777" w:rsidR="00183EFC" w:rsidRDefault="00183EFC" w:rsidP="00902260">
            <w:pPr>
              <w:pStyle w:val="TAL"/>
            </w:pPr>
            <w:r>
              <w:t>307 Temporary Redirect</w:t>
            </w:r>
          </w:p>
        </w:tc>
        <w:tc>
          <w:tcPr>
            <w:tcW w:w="2721" w:type="pct"/>
            <w:shd w:val="clear" w:color="auto" w:fill="auto"/>
          </w:tcPr>
          <w:p w14:paraId="39F1EB2A" w14:textId="77777777" w:rsidR="00183EFC" w:rsidRDefault="00183EFC" w:rsidP="00902260">
            <w:pPr>
              <w:pStyle w:val="TAL"/>
            </w:pPr>
            <w:r>
              <w:t>Temporary redirection, during Individual VFL Training Subscription deletion.</w:t>
            </w:r>
          </w:p>
          <w:p w14:paraId="10D76ED2" w14:textId="77777777" w:rsidR="00183EFC" w:rsidRDefault="00183EFC" w:rsidP="00902260">
            <w:pPr>
              <w:pStyle w:val="TAL"/>
            </w:pPr>
          </w:p>
          <w:p w14:paraId="33C3297C" w14:textId="77777777" w:rsidR="00183EFC" w:rsidRPr="00F164B4" w:rsidRDefault="00183EFC" w:rsidP="00902260">
            <w:pPr>
              <w:pStyle w:val="TAL"/>
            </w:pPr>
            <w:r>
              <w:t>(NOTE 2).</w:t>
            </w:r>
          </w:p>
        </w:tc>
      </w:tr>
      <w:tr w:rsidR="00183EFC" w14:paraId="5EFD0303" w14:textId="77777777" w:rsidTr="00902260">
        <w:trPr>
          <w:jc w:val="center"/>
        </w:trPr>
        <w:tc>
          <w:tcPr>
            <w:tcW w:w="880" w:type="pct"/>
            <w:shd w:val="clear" w:color="auto" w:fill="auto"/>
          </w:tcPr>
          <w:p w14:paraId="6D885E80" w14:textId="77777777" w:rsidR="00183EFC" w:rsidRPr="00824EA2" w:rsidRDefault="00183EFC" w:rsidP="00902260">
            <w:pPr>
              <w:pStyle w:val="TAL"/>
            </w:pPr>
            <w:r>
              <w:t>RedirectResponse</w:t>
            </w:r>
          </w:p>
        </w:tc>
        <w:tc>
          <w:tcPr>
            <w:tcW w:w="167" w:type="pct"/>
          </w:tcPr>
          <w:p w14:paraId="239E4951" w14:textId="77777777" w:rsidR="00183EFC" w:rsidRDefault="00183EFC" w:rsidP="00902260">
            <w:pPr>
              <w:pStyle w:val="TAC"/>
            </w:pPr>
            <w:r>
              <w:t>O</w:t>
            </w:r>
          </w:p>
        </w:tc>
        <w:tc>
          <w:tcPr>
            <w:tcW w:w="649" w:type="pct"/>
          </w:tcPr>
          <w:p w14:paraId="0A6F62CC" w14:textId="77777777" w:rsidR="00183EFC" w:rsidRDefault="00183EFC" w:rsidP="00902260">
            <w:pPr>
              <w:pStyle w:val="TAL"/>
            </w:pPr>
            <w:r>
              <w:t>0..1</w:t>
            </w:r>
          </w:p>
        </w:tc>
        <w:tc>
          <w:tcPr>
            <w:tcW w:w="583" w:type="pct"/>
          </w:tcPr>
          <w:p w14:paraId="6E2DF2B0" w14:textId="77777777" w:rsidR="00183EFC" w:rsidRDefault="00183EFC" w:rsidP="00902260">
            <w:pPr>
              <w:pStyle w:val="TAL"/>
            </w:pPr>
            <w:r>
              <w:t>308 Permanent Redirect</w:t>
            </w:r>
          </w:p>
        </w:tc>
        <w:tc>
          <w:tcPr>
            <w:tcW w:w="2721" w:type="pct"/>
            <w:shd w:val="clear" w:color="auto" w:fill="auto"/>
          </w:tcPr>
          <w:p w14:paraId="73C44E2F" w14:textId="77777777" w:rsidR="00183EFC" w:rsidRDefault="00183EFC" w:rsidP="00902260">
            <w:pPr>
              <w:pStyle w:val="TAL"/>
            </w:pPr>
            <w:r>
              <w:t>Permanent redirection, during Individual VFL Training Subscription deletion.</w:t>
            </w:r>
          </w:p>
          <w:p w14:paraId="4CF851D7" w14:textId="77777777" w:rsidR="00183EFC" w:rsidRDefault="00183EFC" w:rsidP="00902260">
            <w:pPr>
              <w:pStyle w:val="TAL"/>
            </w:pPr>
          </w:p>
          <w:p w14:paraId="6D688D2E" w14:textId="77777777" w:rsidR="00183EFC" w:rsidRPr="002F33DB" w:rsidRDefault="00183EFC" w:rsidP="00902260">
            <w:pPr>
              <w:pStyle w:val="TAL"/>
              <w:rPr>
                <w:strike/>
              </w:rPr>
            </w:pPr>
            <w:r>
              <w:t>(NOTE 2)</w:t>
            </w:r>
          </w:p>
        </w:tc>
      </w:tr>
      <w:tr w:rsidR="00183EFC" w14:paraId="70572860" w14:textId="77777777" w:rsidTr="00902260">
        <w:trPr>
          <w:jc w:val="center"/>
        </w:trPr>
        <w:tc>
          <w:tcPr>
            <w:tcW w:w="5000" w:type="pct"/>
            <w:gridSpan w:val="5"/>
            <w:shd w:val="clear" w:color="auto" w:fill="auto"/>
          </w:tcPr>
          <w:p w14:paraId="2B697A1C" w14:textId="77777777" w:rsidR="00183EFC" w:rsidRDefault="00183EFC" w:rsidP="00902260">
            <w:pPr>
              <w:pStyle w:val="TAN"/>
            </w:pPr>
            <w:r>
              <w:t>NOTE 1:</w:t>
            </w:r>
            <w:r>
              <w:rPr>
                <w:noProof/>
              </w:rPr>
              <w:tab/>
              <w:t xml:space="preserve">The mandatory </w:t>
            </w:r>
            <w:r>
              <w:t>HTTP error status code for the DELETE method listed in Table 5.2.7.1-1 of 3GPP TS 29.500 [6] also apply.</w:t>
            </w:r>
          </w:p>
          <w:p w14:paraId="087E4CDB" w14:textId="77777777" w:rsidR="00183EFC" w:rsidRDefault="00183EFC" w:rsidP="0090226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p>
        </w:tc>
      </w:tr>
    </w:tbl>
    <w:p w14:paraId="5AB4DB44" w14:textId="77777777" w:rsidR="00183EFC" w:rsidRDefault="00183EFC" w:rsidP="00183EFC"/>
    <w:p w14:paraId="674CAB39" w14:textId="77777777" w:rsidR="00183EFC" w:rsidRDefault="00183EFC" w:rsidP="00183EFC">
      <w:pPr>
        <w:pStyle w:val="TH"/>
      </w:pPr>
      <w:r>
        <w:t>Table 5.9.3.3.3.2-4: Headers supported by the 307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2C1E8199" w14:textId="77777777" w:rsidTr="00902260">
        <w:trPr>
          <w:jc w:val="center"/>
        </w:trPr>
        <w:tc>
          <w:tcPr>
            <w:tcW w:w="825" w:type="pct"/>
            <w:tcBorders>
              <w:bottom w:val="single" w:sz="6" w:space="0" w:color="auto"/>
            </w:tcBorders>
            <w:shd w:val="clear" w:color="auto" w:fill="C0C0C0"/>
          </w:tcPr>
          <w:p w14:paraId="03519CA7"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6CF35834"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4E8BC32B"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62CB3856"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293D34C7" w14:textId="77777777" w:rsidR="00183EFC" w:rsidRDefault="00183EFC" w:rsidP="00902260">
            <w:pPr>
              <w:pStyle w:val="TAH"/>
              <w:ind w:left="400" w:hanging="400"/>
            </w:pPr>
            <w:r>
              <w:t>Description</w:t>
            </w:r>
          </w:p>
        </w:tc>
      </w:tr>
      <w:tr w:rsidR="00183EFC" w14:paraId="3D98453B" w14:textId="77777777" w:rsidTr="00902260">
        <w:trPr>
          <w:jc w:val="center"/>
        </w:trPr>
        <w:tc>
          <w:tcPr>
            <w:tcW w:w="825" w:type="pct"/>
            <w:tcBorders>
              <w:top w:val="single" w:sz="6" w:space="0" w:color="auto"/>
            </w:tcBorders>
            <w:shd w:val="clear" w:color="auto" w:fill="auto"/>
          </w:tcPr>
          <w:p w14:paraId="295E931D" w14:textId="77777777" w:rsidR="00183EFC" w:rsidRDefault="00183EFC" w:rsidP="00902260">
            <w:pPr>
              <w:pStyle w:val="TAL"/>
            </w:pPr>
            <w:r>
              <w:t>Location</w:t>
            </w:r>
          </w:p>
        </w:tc>
        <w:tc>
          <w:tcPr>
            <w:tcW w:w="732" w:type="pct"/>
            <w:tcBorders>
              <w:top w:val="single" w:sz="6" w:space="0" w:color="auto"/>
            </w:tcBorders>
          </w:tcPr>
          <w:p w14:paraId="2C3E92C8" w14:textId="77777777" w:rsidR="00183EFC" w:rsidRDefault="00183EFC" w:rsidP="00902260">
            <w:pPr>
              <w:pStyle w:val="TAL"/>
            </w:pPr>
            <w:r>
              <w:t>string</w:t>
            </w:r>
          </w:p>
        </w:tc>
        <w:tc>
          <w:tcPr>
            <w:tcW w:w="217" w:type="pct"/>
            <w:tcBorders>
              <w:top w:val="single" w:sz="6" w:space="0" w:color="auto"/>
            </w:tcBorders>
          </w:tcPr>
          <w:p w14:paraId="7791D4ED" w14:textId="77777777" w:rsidR="00183EFC" w:rsidRDefault="00183EFC" w:rsidP="00902260">
            <w:pPr>
              <w:pStyle w:val="TAC"/>
            </w:pPr>
            <w:r>
              <w:t>M</w:t>
            </w:r>
          </w:p>
        </w:tc>
        <w:tc>
          <w:tcPr>
            <w:tcW w:w="581" w:type="pct"/>
            <w:tcBorders>
              <w:top w:val="single" w:sz="6" w:space="0" w:color="auto"/>
            </w:tcBorders>
          </w:tcPr>
          <w:p w14:paraId="30A272DF"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631DA8B4"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03DDFD7A" w14:textId="77777777" w:rsidR="00183EFC" w:rsidRDefault="00183EFC" w:rsidP="00902260">
            <w:pPr>
              <w:pStyle w:val="TAL"/>
            </w:pPr>
          </w:p>
          <w:p w14:paraId="7651DD00"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p>
        </w:tc>
      </w:tr>
      <w:tr w:rsidR="00183EFC" w14:paraId="66FA75C9" w14:textId="77777777" w:rsidTr="00902260">
        <w:trPr>
          <w:jc w:val="center"/>
        </w:trPr>
        <w:tc>
          <w:tcPr>
            <w:tcW w:w="825" w:type="pct"/>
            <w:shd w:val="clear" w:color="auto" w:fill="auto"/>
          </w:tcPr>
          <w:p w14:paraId="15A4C892" w14:textId="77777777" w:rsidR="00183EFC" w:rsidRDefault="00183EFC" w:rsidP="00902260">
            <w:pPr>
              <w:pStyle w:val="TAL"/>
            </w:pPr>
            <w:r>
              <w:rPr>
                <w:lang w:eastAsia="zh-CN"/>
              </w:rPr>
              <w:t>3gpp-Sbi-Target-Nf-Id</w:t>
            </w:r>
          </w:p>
        </w:tc>
        <w:tc>
          <w:tcPr>
            <w:tcW w:w="732" w:type="pct"/>
          </w:tcPr>
          <w:p w14:paraId="6DAF3E3C" w14:textId="77777777" w:rsidR="00183EFC" w:rsidRDefault="00183EFC" w:rsidP="00902260">
            <w:pPr>
              <w:pStyle w:val="TAL"/>
            </w:pPr>
            <w:r>
              <w:rPr>
                <w:lang w:eastAsia="fr-FR"/>
              </w:rPr>
              <w:t>string</w:t>
            </w:r>
          </w:p>
        </w:tc>
        <w:tc>
          <w:tcPr>
            <w:tcW w:w="217" w:type="pct"/>
          </w:tcPr>
          <w:p w14:paraId="76F382A6" w14:textId="77777777" w:rsidR="00183EFC" w:rsidRDefault="00183EFC" w:rsidP="00902260">
            <w:pPr>
              <w:pStyle w:val="TAC"/>
            </w:pPr>
            <w:r>
              <w:rPr>
                <w:lang w:eastAsia="fr-FR"/>
              </w:rPr>
              <w:t>O</w:t>
            </w:r>
          </w:p>
        </w:tc>
        <w:tc>
          <w:tcPr>
            <w:tcW w:w="581" w:type="pct"/>
          </w:tcPr>
          <w:p w14:paraId="76E80812" w14:textId="77777777" w:rsidR="00183EFC" w:rsidRDefault="00183EFC" w:rsidP="00902260">
            <w:pPr>
              <w:pStyle w:val="TAL"/>
            </w:pPr>
            <w:r>
              <w:rPr>
                <w:lang w:eastAsia="fr-FR"/>
              </w:rPr>
              <w:t>0..1</w:t>
            </w:r>
          </w:p>
        </w:tc>
        <w:tc>
          <w:tcPr>
            <w:tcW w:w="2645" w:type="pct"/>
            <w:shd w:val="clear" w:color="auto" w:fill="auto"/>
            <w:vAlign w:val="center"/>
          </w:tcPr>
          <w:p w14:paraId="3E8A9ECA" w14:textId="77777777" w:rsidR="00183EFC" w:rsidRDefault="00183EFC" w:rsidP="00902260">
            <w:pPr>
              <w:pStyle w:val="TAL"/>
            </w:pPr>
            <w:r>
              <w:rPr>
                <w:lang w:eastAsia="fr-FR"/>
              </w:rPr>
              <w:t>Identifier of the target NWDAF (service) instance towards which the request is redirected.</w:t>
            </w:r>
          </w:p>
        </w:tc>
      </w:tr>
    </w:tbl>
    <w:p w14:paraId="31858805" w14:textId="77777777" w:rsidR="00183EFC" w:rsidRDefault="00183EFC" w:rsidP="00183EFC"/>
    <w:p w14:paraId="6AC00626" w14:textId="77777777" w:rsidR="00183EFC" w:rsidRDefault="00183EFC" w:rsidP="00183EFC">
      <w:pPr>
        <w:pStyle w:val="TH"/>
      </w:pPr>
      <w:r>
        <w:t>Table 5.9.3.3.3.2-5: Headers supported by the 308 Response Code on this resource</w:t>
      </w:r>
    </w:p>
    <w:tbl>
      <w:tblPr>
        <w:tblW w:w="4999"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83EFC" w14:paraId="2F139ACB" w14:textId="77777777" w:rsidTr="00902260">
        <w:trPr>
          <w:jc w:val="center"/>
        </w:trPr>
        <w:tc>
          <w:tcPr>
            <w:tcW w:w="825" w:type="pct"/>
            <w:tcBorders>
              <w:bottom w:val="single" w:sz="6" w:space="0" w:color="auto"/>
            </w:tcBorders>
            <w:shd w:val="clear" w:color="auto" w:fill="C0C0C0"/>
          </w:tcPr>
          <w:p w14:paraId="63B8D3F1" w14:textId="77777777" w:rsidR="00183EFC" w:rsidRDefault="00183EFC" w:rsidP="00902260">
            <w:pPr>
              <w:pStyle w:val="TAH"/>
              <w:ind w:left="400" w:hanging="400"/>
            </w:pPr>
            <w:r>
              <w:t>Name</w:t>
            </w:r>
          </w:p>
        </w:tc>
        <w:tc>
          <w:tcPr>
            <w:tcW w:w="732" w:type="pct"/>
            <w:tcBorders>
              <w:bottom w:val="single" w:sz="6" w:space="0" w:color="auto"/>
            </w:tcBorders>
            <w:shd w:val="clear" w:color="auto" w:fill="C0C0C0"/>
          </w:tcPr>
          <w:p w14:paraId="44A7B338" w14:textId="77777777" w:rsidR="00183EFC" w:rsidRDefault="00183EFC" w:rsidP="00902260">
            <w:pPr>
              <w:pStyle w:val="TAH"/>
              <w:ind w:left="400" w:hanging="400"/>
            </w:pPr>
            <w:r>
              <w:t>Data type</w:t>
            </w:r>
          </w:p>
        </w:tc>
        <w:tc>
          <w:tcPr>
            <w:tcW w:w="217" w:type="pct"/>
            <w:tcBorders>
              <w:bottom w:val="single" w:sz="6" w:space="0" w:color="auto"/>
            </w:tcBorders>
            <w:shd w:val="clear" w:color="auto" w:fill="C0C0C0"/>
          </w:tcPr>
          <w:p w14:paraId="7093500B" w14:textId="77777777" w:rsidR="00183EFC" w:rsidRDefault="00183EFC" w:rsidP="00902260">
            <w:pPr>
              <w:pStyle w:val="TAH"/>
              <w:ind w:left="400" w:hanging="400"/>
            </w:pPr>
            <w:r>
              <w:t>P</w:t>
            </w:r>
          </w:p>
        </w:tc>
        <w:tc>
          <w:tcPr>
            <w:tcW w:w="581" w:type="pct"/>
            <w:tcBorders>
              <w:bottom w:val="single" w:sz="6" w:space="0" w:color="auto"/>
            </w:tcBorders>
            <w:shd w:val="clear" w:color="auto" w:fill="C0C0C0"/>
          </w:tcPr>
          <w:p w14:paraId="5E72BAFE" w14:textId="77777777" w:rsidR="00183EFC" w:rsidRDefault="00183EFC" w:rsidP="00902260">
            <w:pPr>
              <w:pStyle w:val="TAH"/>
              <w:ind w:left="400" w:hanging="400"/>
            </w:pPr>
            <w:r>
              <w:t>Cardinality</w:t>
            </w:r>
          </w:p>
        </w:tc>
        <w:tc>
          <w:tcPr>
            <w:tcW w:w="2645" w:type="pct"/>
            <w:tcBorders>
              <w:bottom w:val="single" w:sz="6" w:space="0" w:color="auto"/>
            </w:tcBorders>
            <w:shd w:val="clear" w:color="auto" w:fill="C0C0C0"/>
            <w:vAlign w:val="center"/>
          </w:tcPr>
          <w:p w14:paraId="727C8BFF" w14:textId="77777777" w:rsidR="00183EFC" w:rsidRDefault="00183EFC" w:rsidP="00902260">
            <w:pPr>
              <w:pStyle w:val="TAH"/>
              <w:ind w:left="400" w:hanging="400"/>
            </w:pPr>
            <w:r>
              <w:t>Description</w:t>
            </w:r>
          </w:p>
        </w:tc>
      </w:tr>
      <w:tr w:rsidR="00183EFC" w14:paraId="15023F5D" w14:textId="77777777" w:rsidTr="00902260">
        <w:trPr>
          <w:jc w:val="center"/>
        </w:trPr>
        <w:tc>
          <w:tcPr>
            <w:tcW w:w="825" w:type="pct"/>
            <w:tcBorders>
              <w:top w:val="single" w:sz="6" w:space="0" w:color="auto"/>
            </w:tcBorders>
            <w:shd w:val="clear" w:color="auto" w:fill="auto"/>
          </w:tcPr>
          <w:p w14:paraId="1E26199E" w14:textId="77777777" w:rsidR="00183EFC" w:rsidRDefault="00183EFC" w:rsidP="00902260">
            <w:pPr>
              <w:pStyle w:val="TAL"/>
            </w:pPr>
            <w:r>
              <w:t>Location</w:t>
            </w:r>
          </w:p>
        </w:tc>
        <w:tc>
          <w:tcPr>
            <w:tcW w:w="732" w:type="pct"/>
            <w:tcBorders>
              <w:top w:val="single" w:sz="6" w:space="0" w:color="auto"/>
            </w:tcBorders>
          </w:tcPr>
          <w:p w14:paraId="36B17AE5" w14:textId="77777777" w:rsidR="00183EFC" w:rsidRDefault="00183EFC" w:rsidP="00902260">
            <w:pPr>
              <w:pStyle w:val="TAL"/>
            </w:pPr>
            <w:r>
              <w:t>string</w:t>
            </w:r>
          </w:p>
        </w:tc>
        <w:tc>
          <w:tcPr>
            <w:tcW w:w="217" w:type="pct"/>
            <w:tcBorders>
              <w:top w:val="single" w:sz="6" w:space="0" w:color="auto"/>
            </w:tcBorders>
          </w:tcPr>
          <w:p w14:paraId="51C47B62" w14:textId="77777777" w:rsidR="00183EFC" w:rsidRDefault="00183EFC" w:rsidP="00902260">
            <w:pPr>
              <w:pStyle w:val="TAC"/>
            </w:pPr>
            <w:r>
              <w:t>M</w:t>
            </w:r>
          </w:p>
        </w:tc>
        <w:tc>
          <w:tcPr>
            <w:tcW w:w="581" w:type="pct"/>
            <w:tcBorders>
              <w:top w:val="single" w:sz="6" w:space="0" w:color="auto"/>
            </w:tcBorders>
          </w:tcPr>
          <w:p w14:paraId="79BE306C" w14:textId="77777777" w:rsidR="00183EFC" w:rsidRDefault="00183EFC" w:rsidP="00902260">
            <w:pPr>
              <w:pStyle w:val="TAL"/>
            </w:pPr>
            <w:r>
              <w:t>1</w:t>
            </w:r>
          </w:p>
        </w:tc>
        <w:tc>
          <w:tcPr>
            <w:tcW w:w="2645" w:type="pct"/>
            <w:tcBorders>
              <w:top w:val="single" w:sz="6" w:space="0" w:color="auto"/>
            </w:tcBorders>
            <w:shd w:val="clear" w:color="auto" w:fill="auto"/>
            <w:vAlign w:val="center"/>
          </w:tcPr>
          <w:p w14:paraId="10548690" w14:textId="77777777" w:rsidR="00183EFC" w:rsidRDefault="00183EFC" w:rsidP="00902260">
            <w:pPr>
              <w:pStyle w:val="TAL"/>
            </w:pPr>
            <w:r>
              <w:t>Contains an alternative URI of the resource located in an alternative NWDAF (service) instance</w:t>
            </w:r>
            <w:r>
              <w:rPr>
                <w:lang w:eastAsia="fr-FR"/>
              </w:rPr>
              <w:t xml:space="preserve"> towards which the request is redirected</w:t>
            </w:r>
            <w:r>
              <w:t>.</w:t>
            </w:r>
          </w:p>
          <w:p w14:paraId="15BB0860" w14:textId="77777777" w:rsidR="00183EFC" w:rsidRDefault="00183EFC" w:rsidP="00902260">
            <w:pPr>
              <w:pStyle w:val="TAL"/>
            </w:pPr>
          </w:p>
          <w:p w14:paraId="433CF7FB" w14:textId="77777777" w:rsidR="00183EFC" w:rsidRDefault="00183EFC" w:rsidP="00902260">
            <w:pPr>
              <w:pStyle w:val="TAL"/>
            </w:pPr>
            <w:r>
              <w:t xml:space="preserve">For the case where the request is redirected to the same target via a different SCP, refer to </w:t>
            </w:r>
            <w:r w:rsidRPr="00A0180C">
              <w:t>clause 6.10.9.1 of 3GPP TS 29.500 </w:t>
            </w:r>
            <w:r>
              <w:t>[6].</w:t>
            </w:r>
          </w:p>
        </w:tc>
      </w:tr>
      <w:tr w:rsidR="00183EFC" w14:paraId="5B3A6653" w14:textId="77777777" w:rsidTr="00902260">
        <w:trPr>
          <w:jc w:val="center"/>
        </w:trPr>
        <w:tc>
          <w:tcPr>
            <w:tcW w:w="825" w:type="pct"/>
            <w:shd w:val="clear" w:color="auto" w:fill="auto"/>
          </w:tcPr>
          <w:p w14:paraId="12458AD6" w14:textId="77777777" w:rsidR="00183EFC" w:rsidRDefault="00183EFC" w:rsidP="00902260">
            <w:pPr>
              <w:pStyle w:val="TAL"/>
            </w:pPr>
            <w:r>
              <w:rPr>
                <w:lang w:eastAsia="zh-CN"/>
              </w:rPr>
              <w:t>3gpp-Sbi-Target-Nf-Id</w:t>
            </w:r>
          </w:p>
        </w:tc>
        <w:tc>
          <w:tcPr>
            <w:tcW w:w="732" w:type="pct"/>
          </w:tcPr>
          <w:p w14:paraId="10EBE220" w14:textId="77777777" w:rsidR="00183EFC" w:rsidRDefault="00183EFC" w:rsidP="00902260">
            <w:pPr>
              <w:pStyle w:val="TAL"/>
            </w:pPr>
            <w:r>
              <w:rPr>
                <w:lang w:eastAsia="fr-FR"/>
              </w:rPr>
              <w:t>string</w:t>
            </w:r>
          </w:p>
        </w:tc>
        <w:tc>
          <w:tcPr>
            <w:tcW w:w="217" w:type="pct"/>
          </w:tcPr>
          <w:p w14:paraId="444EA9CF" w14:textId="77777777" w:rsidR="00183EFC" w:rsidRDefault="00183EFC" w:rsidP="00902260">
            <w:pPr>
              <w:pStyle w:val="TAC"/>
            </w:pPr>
            <w:r>
              <w:rPr>
                <w:lang w:eastAsia="fr-FR"/>
              </w:rPr>
              <w:t>O</w:t>
            </w:r>
          </w:p>
        </w:tc>
        <w:tc>
          <w:tcPr>
            <w:tcW w:w="581" w:type="pct"/>
          </w:tcPr>
          <w:p w14:paraId="18D54F48" w14:textId="77777777" w:rsidR="00183EFC" w:rsidRDefault="00183EFC" w:rsidP="00902260">
            <w:pPr>
              <w:pStyle w:val="TAL"/>
            </w:pPr>
            <w:r>
              <w:rPr>
                <w:lang w:eastAsia="fr-FR"/>
              </w:rPr>
              <w:t>0..1</w:t>
            </w:r>
          </w:p>
        </w:tc>
        <w:tc>
          <w:tcPr>
            <w:tcW w:w="2645" w:type="pct"/>
            <w:shd w:val="clear" w:color="auto" w:fill="auto"/>
            <w:vAlign w:val="center"/>
          </w:tcPr>
          <w:p w14:paraId="4A4F31E8" w14:textId="77777777" w:rsidR="00183EFC" w:rsidRDefault="00183EFC" w:rsidP="00902260">
            <w:pPr>
              <w:pStyle w:val="TAL"/>
            </w:pPr>
            <w:r>
              <w:rPr>
                <w:lang w:eastAsia="fr-FR"/>
              </w:rPr>
              <w:t>Identifier of the target NWDAF (service) instance towards which the request is redirected.</w:t>
            </w:r>
          </w:p>
        </w:tc>
      </w:tr>
    </w:tbl>
    <w:p w14:paraId="6A745E35" w14:textId="77777777" w:rsidR="00183EFC" w:rsidRDefault="00183EFC" w:rsidP="00183EFC"/>
    <w:p w14:paraId="0D4F1237" w14:textId="77777777" w:rsidR="00183EFC" w:rsidRDefault="00183EFC" w:rsidP="00183EFC">
      <w:pPr>
        <w:pStyle w:val="5"/>
      </w:pPr>
      <w:bookmarkStart w:id="16843" w:name="_Toc96959837"/>
      <w:bookmarkStart w:id="16844" w:name="_Toc129247547"/>
      <w:bookmarkStart w:id="16845" w:name="_Toc164863292"/>
      <w:bookmarkStart w:id="16846" w:name="_Toc192881222"/>
      <w:bookmarkStart w:id="16847" w:name="_Toc199453438"/>
      <w:r>
        <w:t>5.9.3.3.4</w:t>
      </w:r>
      <w:r>
        <w:tab/>
        <w:t>Resource Custom Operations</w:t>
      </w:r>
      <w:bookmarkEnd w:id="16843"/>
      <w:bookmarkEnd w:id="16844"/>
      <w:bookmarkEnd w:id="16845"/>
      <w:bookmarkEnd w:id="16846"/>
      <w:bookmarkEnd w:id="16847"/>
    </w:p>
    <w:p w14:paraId="2D7A7E3B" w14:textId="77777777" w:rsidR="00183EFC" w:rsidRDefault="00183EFC" w:rsidP="00183EFC">
      <w:r>
        <w:t>None in this release of the specification.</w:t>
      </w:r>
    </w:p>
    <w:p w14:paraId="4F496464" w14:textId="77777777" w:rsidR="00183EFC" w:rsidRDefault="00183EFC" w:rsidP="00183EFC">
      <w:pPr>
        <w:pStyle w:val="3"/>
      </w:pPr>
      <w:bookmarkStart w:id="16848" w:name="_Toc199453439"/>
      <w:r>
        <w:rPr>
          <w:lang w:val="en-US"/>
        </w:rPr>
        <w:t>5.9.4</w:t>
      </w:r>
      <w:r>
        <w:rPr>
          <w:lang w:val="en-US"/>
        </w:rPr>
        <w:tab/>
        <w:t>Custom Operations without associated resources</w:t>
      </w:r>
      <w:bookmarkEnd w:id="16848"/>
    </w:p>
    <w:p w14:paraId="4D9D2AB1" w14:textId="77777777" w:rsidR="00183EFC" w:rsidRPr="006B454D" w:rsidRDefault="00183EFC" w:rsidP="00183EFC">
      <w:pPr>
        <w:rPr>
          <w:rFonts w:eastAsia="Batang"/>
        </w:rPr>
      </w:pPr>
      <w:r>
        <w:rPr>
          <w:rFonts w:eastAsia="Batang"/>
        </w:rPr>
        <w:t>None in this release of the specification.</w:t>
      </w:r>
    </w:p>
    <w:p w14:paraId="217BA464" w14:textId="77777777" w:rsidR="00183EFC" w:rsidRDefault="00183EFC" w:rsidP="00183EFC">
      <w:pPr>
        <w:pStyle w:val="3"/>
      </w:pPr>
      <w:bookmarkStart w:id="16849" w:name="_Toc510696628"/>
      <w:bookmarkStart w:id="16850" w:name="_Toc35971419"/>
      <w:bookmarkStart w:id="16851" w:name="_Toc67903536"/>
      <w:bookmarkStart w:id="16852" w:name="_Toc73173268"/>
      <w:bookmarkStart w:id="16853" w:name="_Toc96959854"/>
      <w:bookmarkStart w:id="16854" w:name="_Toc129247562"/>
      <w:bookmarkStart w:id="16855" w:name="_Toc164863310"/>
      <w:bookmarkStart w:id="16856" w:name="_Toc192881243"/>
      <w:bookmarkStart w:id="16857" w:name="_Toc199453440"/>
      <w:r>
        <w:lastRenderedPageBreak/>
        <w:t>5.9.5</w:t>
      </w:r>
      <w:r>
        <w:tab/>
        <w:t>Notifications</w:t>
      </w:r>
      <w:bookmarkEnd w:id="16849"/>
      <w:bookmarkEnd w:id="16850"/>
      <w:bookmarkEnd w:id="16851"/>
      <w:bookmarkEnd w:id="16852"/>
      <w:bookmarkEnd w:id="16853"/>
      <w:bookmarkEnd w:id="16854"/>
      <w:bookmarkEnd w:id="16855"/>
      <w:bookmarkEnd w:id="16856"/>
      <w:bookmarkEnd w:id="16857"/>
    </w:p>
    <w:p w14:paraId="1F5E4CDF" w14:textId="77777777" w:rsidR="00183EFC" w:rsidRDefault="00183EFC" w:rsidP="00183EFC">
      <w:pPr>
        <w:pStyle w:val="4"/>
      </w:pPr>
      <w:bookmarkStart w:id="16858" w:name="_Toc510696629"/>
      <w:bookmarkStart w:id="16859" w:name="_Toc35971420"/>
      <w:bookmarkStart w:id="16860" w:name="_Toc67903537"/>
      <w:bookmarkStart w:id="16861" w:name="_Toc73173269"/>
      <w:bookmarkStart w:id="16862" w:name="_Toc96959855"/>
      <w:bookmarkStart w:id="16863" w:name="_Toc129247563"/>
      <w:bookmarkStart w:id="16864" w:name="_Toc164863311"/>
      <w:bookmarkStart w:id="16865" w:name="_Toc192881244"/>
      <w:bookmarkStart w:id="16866" w:name="_Toc199453441"/>
      <w:r>
        <w:t>5.9.5.1</w:t>
      </w:r>
      <w:r>
        <w:tab/>
        <w:t>General</w:t>
      </w:r>
      <w:bookmarkEnd w:id="16858"/>
      <w:bookmarkEnd w:id="16859"/>
      <w:bookmarkEnd w:id="16860"/>
      <w:bookmarkEnd w:id="16861"/>
      <w:bookmarkEnd w:id="16862"/>
      <w:bookmarkEnd w:id="16863"/>
      <w:bookmarkEnd w:id="16864"/>
      <w:bookmarkEnd w:id="16865"/>
      <w:bookmarkEnd w:id="16866"/>
    </w:p>
    <w:p w14:paraId="7FB7D7DB" w14:textId="77777777" w:rsidR="00183EFC" w:rsidRDefault="00183EFC" w:rsidP="00183EFC">
      <w:pPr>
        <w:rPr>
          <w:noProof/>
        </w:rPr>
      </w:pPr>
      <w:bookmarkStart w:id="16867" w:name="_Toc510696630"/>
      <w:bookmarkStart w:id="16868" w:name="_Toc510696632"/>
      <w:r>
        <w:rPr>
          <w:noProof/>
        </w:rPr>
        <w:t>Notifications shall comply to clause 6.2 of 3GPP TS 29.500 [6] and clause 4.6.2.3 of 3GPP TS 29.501 [7].</w:t>
      </w:r>
    </w:p>
    <w:p w14:paraId="4AE0EC63" w14:textId="77777777" w:rsidR="00183EFC" w:rsidRDefault="00183EFC" w:rsidP="00183EFC">
      <w:pPr>
        <w:pStyle w:val="TH"/>
      </w:pPr>
      <w:r>
        <w:t>Table 5.9.5.1-1: Notifications overview</w:t>
      </w:r>
    </w:p>
    <w:tbl>
      <w:tblPr>
        <w:tblW w:w="4933"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0"/>
        <w:gridCol w:w="1844"/>
        <w:gridCol w:w="1985"/>
        <w:gridCol w:w="3267"/>
      </w:tblGrid>
      <w:tr w:rsidR="00183EFC" w14:paraId="3922C638" w14:textId="77777777" w:rsidTr="00902260">
        <w:trPr>
          <w:jc w:val="center"/>
        </w:trPr>
        <w:tc>
          <w:tcPr>
            <w:tcW w:w="1264" w:type="pct"/>
            <w:shd w:val="clear" w:color="auto" w:fill="C0C0C0"/>
            <w:vAlign w:val="center"/>
            <w:hideMark/>
          </w:tcPr>
          <w:p w14:paraId="31D9674F" w14:textId="77777777" w:rsidR="00183EFC" w:rsidRDefault="00183EFC" w:rsidP="00902260">
            <w:pPr>
              <w:pStyle w:val="TAH"/>
              <w:ind w:left="400" w:hanging="400"/>
            </w:pPr>
            <w:r>
              <w:t>Notification</w:t>
            </w:r>
          </w:p>
        </w:tc>
        <w:tc>
          <w:tcPr>
            <w:tcW w:w="971" w:type="pct"/>
            <w:shd w:val="clear" w:color="auto" w:fill="C0C0C0"/>
            <w:vAlign w:val="center"/>
            <w:hideMark/>
          </w:tcPr>
          <w:p w14:paraId="7C5D1744" w14:textId="77777777" w:rsidR="00183EFC" w:rsidRDefault="00183EFC" w:rsidP="00902260">
            <w:pPr>
              <w:pStyle w:val="TAH"/>
              <w:ind w:left="400" w:hanging="400"/>
            </w:pPr>
            <w:r>
              <w:t>Callback URI</w:t>
            </w:r>
          </w:p>
        </w:tc>
        <w:tc>
          <w:tcPr>
            <w:tcW w:w="1045" w:type="pct"/>
            <w:shd w:val="clear" w:color="auto" w:fill="C0C0C0"/>
            <w:vAlign w:val="center"/>
            <w:hideMark/>
          </w:tcPr>
          <w:p w14:paraId="1A52762E" w14:textId="77777777" w:rsidR="00183EFC" w:rsidRDefault="00183EFC" w:rsidP="00902260">
            <w:pPr>
              <w:pStyle w:val="TAH"/>
              <w:ind w:left="400" w:hanging="400"/>
            </w:pPr>
            <w:r>
              <w:t>HTTP method or custom operation</w:t>
            </w:r>
          </w:p>
        </w:tc>
        <w:tc>
          <w:tcPr>
            <w:tcW w:w="1720" w:type="pct"/>
            <w:shd w:val="clear" w:color="auto" w:fill="C0C0C0"/>
            <w:vAlign w:val="center"/>
            <w:hideMark/>
          </w:tcPr>
          <w:p w14:paraId="688C7A88" w14:textId="77777777" w:rsidR="00183EFC" w:rsidRDefault="00183EFC" w:rsidP="00902260">
            <w:pPr>
              <w:pStyle w:val="TAH"/>
              <w:ind w:left="400" w:hanging="400"/>
            </w:pPr>
            <w:r>
              <w:t>Description</w:t>
            </w:r>
          </w:p>
          <w:p w14:paraId="7045999B" w14:textId="77777777" w:rsidR="00183EFC" w:rsidRDefault="00183EFC" w:rsidP="00902260">
            <w:pPr>
              <w:pStyle w:val="TAH"/>
              <w:ind w:left="400" w:hanging="400"/>
            </w:pPr>
            <w:r>
              <w:t>(service operation)</w:t>
            </w:r>
          </w:p>
        </w:tc>
      </w:tr>
      <w:tr w:rsidR="00183EFC" w14:paraId="161CB441" w14:textId="77777777" w:rsidTr="00902260">
        <w:trPr>
          <w:jc w:val="center"/>
        </w:trPr>
        <w:tc>
          <w:tcPr>
            <w:tcW w:w="1264" w:type="pct"/>
            <w:vAlign w:val="center"/>
          </w:tcPr>
          <w:p w14:paraId="061B3660" w14:textId="77777777" w:rsidR="00183EFC" w:rsidRDefault="00183EFC" w:rsidP="00902260">
            <w:pPr>
              <w:pStyle w:val="TAC"/>
              <w:jc w:val="left"/>
              <w:rPr>
                <w:lang w:val="en-US"/>
              </w:rPr>
            </w:pPr>
            <w:r>
              <w:rPr>
                <w:lang w:val="en-US"/>
              </w:rPr>
              <w:t>VFL training Notification</w:t>
            </w:r>
          </w:p>
        </w:tc>
        <w:tc>
          <w:tcPr>
            <w:tcW w:w="971" w:type="pct"/>
            <w:vAlign w:val="center"/>
          </w:tcPr>
          <w:p w14:paraId="5D01C728" w14:textId="77777777" w:rsidR="00183EFC" w:rsidRDefault="00183EFC" w:rsidP="00902260">
            <w:pPr>
              <w:pStyle w:val="TAL"/>
              <w:rPr>
                <w:lang w:val="en-US"/>
              </w:rPr>
            </w:pPr>
            <w:r>
              <w:rPr>
                <w:noProof/>
              </w:rPr>
              <w:t>{</w:t>
            </w:r>
            <w:r>
              <w:rPr>
                <w:lang w:eastAsia="zh-CN"/>
              </w:rPr>
              <w:t>notifUri</w:t>
            </w:r>
            <w:r>
              <w:rPr>
                <w:noProof/>
              </w:rPr>
              <w:t>}</w:t>
            </w:r>
          </w:p>
        </w:tc>
        <w:tc>
          <w:tcPr>
            <w:tcW w:w="1045" w:type="pct"/>
            <w:vAlign w:val="center"/>
          </w:tcPr>
          <w:p w14:paraId="284231E8" w14:textId="77777777" w:rsidR="00183EFC" w:rsidRDefault="00183EFC" w:rsidP="00902260">
            <w:pPr>
              <w:pStyle w:val="TAC"/>
              <w:rPr>
                <w:lang w:val="fr-FR"/>
              </w:rPr>
            </w:pPr>
            <w:r>
              <w:rPr>
                <w:lang w:val="fr-FR"/>
              </w:rPr>
              <w:t>POST</w:t>
            </w:r>
          </w:p>
        </w:tc>
        <w:tc>
          <w:tcPr>
            <w:tcW w:w="1720" w:type="pct"/>
          </w:tcPr>
          <w:p w14:paraId="0E816C19" w14:textId="77777777" w:rsidR="00183EFC" w:rsidRDefault="00183EFC" w:rsidP="00902260">
            <w:pPr>
              <w:pStyle w:val="TAL"/>
              <w:rPr>
                <w:lang w:val="en-US"/>
              </w:rPr>
            </w:pPr>
            <w:r>
              <w:t>Reports the VFL training events.</w:t>
            </w:r>
          </w:p>
        </w:tc>
      </w:tr>
    </w:tbl>
    <w:p w14:paraId="663BEBCA" w14:textId="77777777" w:rsidR="00183EFC" w:rsidRPr="00657320" w:rsidRDefault="00183EFC" w:rsidP="00183EFC">
      <w:pPr>
        <w:rPr>
          <w:noProof/>
        </w:rPr>
      </w:pPr>
    </w:p>
    <w:p w14:paraId="23D19DD8" w14:textId="77777777" w:rsidR="00183EFC" w:rsidRDefault="00183EFC" w:rsidP="00183EFC">
      <w:pPr>
        <w:pStyle w:val="4"/>
      </w:pPr>
      <w:bookmarkStart w:id="16869" w:name="_Toc35971421"/>
      <w:bookmarkStart w:id="16870" w:name="_Toc67903538"/>
      <w:bookmarkStart w:id="16871" w:name="_Toc73173270"/>
      <w:bookmarkStart w:id="16872" w:name="_Toc96959856"/>
      <w:bookmarkStart w:id="16873" w:name="_Toc129247564"/>
      <w:bookmarkStart w:id="16874" w:name="_Toc164863312"/>
      <w:bookmarkStart w:id="16875" w:name="_Toc192881245"/>
      <w:bookmarkStart w:id="16876" w:name="_Toc199453442"/>
      <w:r>
        <w:t>5.9.5.2</w:t>
      </w:r>
      <w:r>
        <w:tab/>
        <w:t xml:space="preserve">VFL </w:t>
      </w:r>
      <w:r>
        <w:rPr>
          <w:lang w:val="en-US"/>
        </w:rPr>
        <w:t>Training Notification</w:t>
      </w:r>
      <w:bookmarkEnd w:id="16867"/>
      <w:bookmarkEnd w:id="16869"/>
      <w:bookmarkEnd w:id="16870"/>
      <w:bookmarkEnd w:id="16871"/>
      <w:bookmarkEnd w:id="16872"/>
      <w:bookmarkEnd w:id="16873"/>
      <w:bookmarkEnd w:id="16874"/>
      <w:bookmarkEnd w:id="16875"/>
      <w:bookmarkEnd w:id="16876"/>
    </w:p>
    <w:p w14:paraId="3BA12BCE" w14:textId="77777777" w:rsidR="00183EFC" w:rsidRDefault="00183EFC" w:rsidP="00183EFC">
      <w:pPr>
        <w:pStyle w:val="5"/>
        <w:rPr>
          <w:noProof/>
        </w:rPr>
      </w:pPr>
      <w:bookmarkStart w:id="16877" w:name="_Toc532994455"/>
      <w:bookmarkStart w:id="16878" w:name="_Toc35971422"/>
      <w:bookmarkStart w:id="16879" w:name="_Toc67903539"/>
      <w:bookmarkStart w:id="16880" w:name="_Toc73173271"/>
      <w:bookmarkStart w:id="16881" w:name="_Toc96959857"/>
      <w:bookmarkStart w:id="16882" w:name="_Toc129247565"/>
      <w:bookmarkStart w:id="16883" w:name="_Toc164863313"/>
      <w:bookmarkStart w:id="16884" w:name="_Toc192881246"/>
      <w:bookmarkStart w:id="16885" w:name="_Toc510696631"/>
      <w:bookmarkStart w:id="16886" w:name="_Toc199453443"/>
      <w:r>
        <w:t>5.9.5.2</w:t>
      </w:r>
      <w:r>
        <w:rPr>
          <w:noProof/>
        </w:rPr>
        <w:t>.1</w:t>
      </w:r>
      <w:r>
        <w:rPr>
          <w:noProof/>
        </w:rPr>
        <w:tab/>
        <w:t>Description</w:t>
      </w:r>
      <w:bookmarkEnd w:id="16877"/>
      <w:bookmarkEnd w:id="16878"/>
      <w:bookmarkEnd w:id="16879"/>
      <w:bookmarkEnd w:id="16880"/>
      <w:bookmarkEnd w:id="16881"/>
      <w:bookmarkEnd w:id="16882"/>
      <w:bookmarkEnd w:id="16883"/>
      <w:bookmarkEnd w:id="16884"/>
      <w:bookmarkEnd w:id="16886"/>
    </w:p>
    <w:p w14:paraId="311A4A7D" w14:textId="77777777" w:rsidR="00183EFC" w:rsidRDefault="00183EFC" w:rsidP="00183EFC">
      <w:pPr>
        <w:rPr>
          <w:noProof/>
        </w:rPr>
      </w:pPr>
      <w:r>
        <w:rPr>
          <w:noProof/>
        </w:rPr>
        <w:t xml:space="preserve">The VFL </w:t>
      </w:r>
      <w:r>
        <w:rPr>
          <w:lang w:val="en-US"/>
        </w:rPr>
        <w:t xml:space="preserve">Training </w:t>
      </w:r>
      <w:r>
        <w:rPr>
          <w:noProof/>
        </w:rPr>
        <w:t xml:space="preserve">Notification is used by the NF service producer to report </w:t>
      </w:r>
      <w:r>
        <w:t>the VFL training events</w:t>
      </w:r>
      <w:r>
        <w:rPr>
          <w:noProof/>
        </w:rPr>
        <w:t xml:space="preserve"> to an NF service consumer that has subscribed to such notifications.</w:t>
      </w:r>
    </w:p>
    <w:p w14:paraId="58A87048" w14:textId="77777777" w:rsidR="00183EFC" w:rsidRDefault="00183EFC" w:rsidP="00183EFC">
      <w:pPr>
        <w:pStyle w:val="5"/>
        <w:rPr>
          <w:noProof/>
        </w:rPr>
      </w:pPr>
      <w:bookmarkStart w:id="16887" w:name="_Toc532994456"/>
      <w:bookmarkStart w:id="16888" w:name="_Toc35971423"/>
      <w:bookmarkStart w:id="16889" w:name="_Toc67903540"/>
      <w:bookmarkStart w:id="16890" w:name="_Toc73173272"/>
      <w:bookmarkStart w:id="16891" w:name="_Toc96959858"/>
      <w:bookmarkStart w:id="16892" w:name="_Toc129247566"/>
      <w:bookmarkStart w:id="16893" w:name="_Toc164863314"/>
      <w:bookmarkStart w:id="16894" w:name="_Toc192881247"/>
      <w:bookmarkStart w:id="16895" w:name="_Toc199453444"/>
      <w:r>
        <w:t>5.9.5.2</w:t>
      </w:r>
      <w:r>
        <w:rPr>
          <w:noProof/>
        </w:rPr>
        <w:t>.2</w:t>
      </w:r>
      <w:r>
        <w:rPr>
          <w:noProof/>
        </w:rPr>
        <w:tab/>
        <w:t>Target URI</w:t>
      </w:r>
      <w:bookmarkEnd w:id="16887"/>
      <w:bookmarkEnd w:id="16888"/>
      <w:bookmarkEnd w:id="16889"/>
      <w:bookmarkEnd w:id="16890"/>
      <w:bookmarkEnd w:id="16891"/>
      <w:bookmarkEnd w:id="16892"/>
      <w:bookmarkEnd w:id="16893"/>
      <w:bookmarkEnd w:id="16894"/>
      <w:bookmarkEnd w:id="16895"/>
    </w:p>
    <w:p w14:paraId="50E84FF3" w14:textId="77777777" w:rsidR="00183EFC" w:rsidRDefault="00183EFC" w:rsidP="00183EFC">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7B4FF64A" w14:textId="77777777" w:rsidR="00183EFC" w:rsidRDefault="00183EFC" w:rsidP="00183EFC">
      <w:pPr>
        <w:pStyle w:val="TH"/>
        <w:rPr>
          <w:rFonts w:cs="Arial"/>
          <w:noProof/>
        </w:rPr>
      </w:pPr>
      <w:r>
        <w:rPr>
          <w:noProof/>
        </w:rPr>
        <w:t>Table </w:t>
      </w:r>
      <w:r>
        <w:t>5.9.5.2</w:t>
      </w:r>
      <w:r>
        <w:rPr>
          <w:noProof/>
        </w:rPr>
        <w:t>.2-1: Callback URI variables</w:t>
      </w:r>
    </w:p>
    <w:tbl>
      <w:tblPr>
        <w:tblW w:w="0" w:type="auto"/>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183EFC" w14:paraId="2941ECD4" w14:textId="77777777" w:rsidTr="00902260">
        <w:trPr>
          <w:jc w:val="center"/>
        </w:trPr>
        <w:tc>
          <w:tcPr>
            <w:tcW w:w="1924" w:type="dxa"/>
            <w:shd w:val="clear" w:color="000000" w:fill="C0C0C0"/>
            <w:hideMark/>
          </w:tcPr>
          <w:p w14:paraId="45A86CFE" w14:textId="77777777" w:rsidR="00183EFC" w:rsidRDefault="00183EFC" w:rsidP="00902260">
            <w:pPr>
              <w:pStyle w:val="TAH"/>
              <w:ind w:left="400" w:hanging="400"/>
              <w:rPr>
                <w:noProof/>
              </w:rPr>
            </w:pPr>
            <w:r>
              <w:rPr>
                <w:noProof/>
              </w:rPr>
              <w:t>Name</w:t>
            </w:r>
          </w:p>
        </w:tc>
        <w:tc>
          <w:tcPr>
            <w:tcW w:w="7814" w:type="dxa"/>
            <w:shd w:val="clear" w:color="000000" w:fill="C0C0C0"/>
            <w:vAlign w:val="center"/>
            <w:hideMark/>
          </w:tcPr>
          <w:p w14:paraId="696A2CB4" w14:textId="77777777" w:rsidR="00183EFC" w:rsidRDefault="00183EFC" w:rsidP="00902260">
            <w:pPr>
              <w:pStyle w:val="TAH"/>
              <w:ind w:left="400" w:hanging="400"/>
              <w:rPr>
                <w:noProof/>
              </w:rPr>
            </w:pPr>
            <w:r>
              <w:rPr>
                <w:noProof/>
              </w:rPr>
              <w:t>Definition</w:t>
            </w:r>
          </w:p>
        </w:tc>
      </w:tr>
      <w:tr w:rsidR="00183EFC" w14:paraId="107B899F" w14:textId="77777777" w:rsidTr="00902260">
        <w:trPr>
          <w:jc w:val="center"/>
        </w:trPr>
        <w:tc>
          <w:tcPr>
            <w:tcW w:w="1924" w:type="dxa"/>
            <w:hideMark/>
          </w:tcPr>
          <w:p w14:paraId="61274905" w14:textId="77777777" w:rsidR="00183EFC" w:rsidRDefault="00183EFC" w:rsidP="00902260">
            <w:pPr>
              <w:pStyle w:val="TAL"/>
              <w:rPr>
                <w:noProof/>
              </w:rPr>
            </w:pPr>
            <w:r>
              <w:rPr>
                <w:lang w:eastAsia="zh-CN"/>
              </w:rPr>
              <w:t>notifUri</w:t>
            </w:r>
          </w:p>
        </w:tc>
        <w:tc>
          <w:tcPr>
            <w:tcW w:w="7814" w:type="dxa"/>
            <w:vAlign w:val="center"/>
            <w:hideMark/>
          </w:tcPr>
          <w:p w14:paraId="3B293403" w14:textId="77777777" w:rsidR="00183EFC" w:rsidRDefault="00183EFC" w:rsidP="00902260">
            <w:pPr>
              <w:pStyle w:val="TAL"/>
            </w:pPr>
            <w:r w:rsidRPr="00A85818">
              <w:t>String formatted as URI with the Callback Uri</w:t>
            </w:r>
            <w:r>
              <w:t>.</w:t>
            </w:r>
          </w:p>
          <w:p w14:paraId="36BD1FD9" w14:textId="77777777" w:rsidR="00183EFC" w:rsidRDefault="00183EFC" w:rsidP="00902260">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t>VflTrainingSub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5B5EAB" w14:textId="77777777" w:rsidR="00183EFC" w:rsidRDefault="00183EFC" w:rsidP="00183EFC">
      <w:pPr>
        <w:rPr>
          <w:noProof/>
        </w:rPr>
      </w:pPr>
    </w:p>
    <w:p w14:paraId="424BB205" w14:textId="77777777" w:rsidR="00183EFC" w:rsidRDefault="00183EFC" w:rsidP="00183EFC">
      <w:pPr>
        <w:pStyle w:val="5"/>
        <w:rPr>
          <w:noProof/>
        </w:rPr>
      </w:pPr>
      <w:bookmarkStart w:id="16896" w:name="_Toc532994457"/>
      <w:bookmarkStart w:id="16897" w:name="_Toc35971424"/>
      <w:bookmarkStart w:id="16898" w:name="_Toc67903541"/>
      <w:bookmarkStart w:id="16899" w:name="_Toc73173273"/>
      <w:bookmarkStart w:id="16900" w:name="_Toc96959859"/>
      <w:bookmarkStart w:id="16901" w:name="_Toc129247567"/>
      <w:bookmarkStart w:id="16902" w:name="_Toc164863315"/>
      <w:bookmarkStart w:id="16903" w:name="_Toc192881248"/>
      <w:bookmarkStart w:id="16904" w:name="_Toc199453445"/>
      <w:r>
        <w:t>5.9.5.2</w:t>
      </w:r>
      <w:r>
        <w:rPr>
          <w:noProof/>
        </w:rPr>
        <w:t>.3</w:t>
      </w:r>
      <w:r>
        <w:rPr>
          <w:noProof/>
        </w:rPr>
        <w:tab/>
        <w:t>Standard Methods</w:t>
      </w:r>
      <w:bookmarkEnd w:id="16896"/>
      <w:bookmarkEnd w:id="16897"/>
      <w:bookmarkEnd w:id="16898"/>
      <w:bookmarkEnd w:id="16899"/>
      <w:bookmarkEnd w:id="16900"/>
      <w:bookmarkEnd w:id="16901"/>
      <w:bookmarkEnd w:id="16902"/>
      <w:bookmarkEnd w:id="16903"/>
      <w:bookmarkEnd w:id="16904"/>
    </w:p>
    <w:p w14:paraId="6CF932DE" w14:textId="77777777" w:rsidR="00183EFC" w:rsidRPr="00BA39F2" w:rsidRDefault="00183EFC" w:rsidP="00183EFC">
      <w:pPr>
        <w:pStyle w:val="6"/>
      </w:pPr>
      <w:bookmarkStart w:id="16905" w:name="_Toc532994458"/>
      <w:bookmarkStart w:id="16906" w:name="_Toc35971425"/>
      <w:bookmarkStart w:id="16907" w:name="_Toc164863316"/>
      <w:bookmarkStart w:id="16908" w:name="_Toc192881249"/>
      <w:bookmarkStart w:id="16909" w:name="_Toc199453446"/>
      <w:r>
        <w:t>5.9</w:t>
      </w:r>
      <w:r w:rsidRPr="00BA39F2">
        <w:t>.5.2.3.1</w:t>
      </w:r>
      <w:r w:rsidRPr="00BA39F2">
        <w:tab/>
        <w:t>POST</w:t>
      </w:r>
      <w:bookmarkEnd w:id="16905"/>
      <w:bookmarkEnd w:id="16906"/>
      <w:bookmarkEnd w:id="16907"/>
      <w:bookmarkEnd w:id="16908"/>
      <w:bookmarkEnd w:id="16909"/>
    </w:p>
    <w:p w14:paraId="2F2172AC" w14:textId="77777777" w:rsidR="00183EFC" w:rsidRDefault="00183EFC" w:rsidP="00183EFC">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1390C6C" w14:textId="77777777" w:rsidR="00183EFC" w:rsidRDefault="00183EFC" w:rsidP="00183EFC">
      <w:pPr>
        <w:pStyle w:val="TH"/>
        <w:rPr>
          <w:noProof/>
        </w:rPr>
      </w:pPr>
      <w:r>
        <w:rPr>
          <w:noProof/>
        </w:rPr>
        <w:t>Table </w:t>
      </w:r>
      <w:r>
        <w:t>5.9.5.2</w:t>
      </w:r>
      <w:r>
        <w:rPr>
          <w:noProof/>
        </w:rPr>
        <w:t>.3.1-1: Data structures supported by the POST Request Body</w:t>
      </w:r>
    </w:p>
    <w:tbl>
      <w:tblPr>
        <w:tblW w:w="9923" w:type="dxa"/>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183EFC" w14:paraId="43A212FC" w14:textId="77777777" w:rsidTr="00902260">
        <w:trPr>
          <w:jc w:val="center"/>
        </w:trPr>
        <w:tc>
          <w:tcPr>
            <w:tcW w:w="2907" w:type="dxa"/>
            <w:tcBorders>
              <w:bottom w:val="single" w:sz="6" w:space="0" w:color="auto"/>
            </w:tcBorders>
            <w:shd w:val="clear" w:color="auto" w:fill="C0C0C0"/>
            <w:hideMark/>
          </w:tcPr>
          <w:p w14:paraId="749E6033" w14:textId="77777777" w:rsidR="00183EFC" w:rsidRDefault="00183EFC" w:rsidP="00902260">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ADD83FA" w14:textId="77777777" w:rsidR="00183EFC" w:rsidRDefault="00183EFC" w:rsidP="00902260">
            <w:pPr>
              <w:pStyle w:val="TAH"/>
              <w:ind w:left="400" w:hanging="400"/>
              <w:rPr>
                <w:noProof/>
              </w:rPr>
            </w:pPr>
            <w:r>
              <w:rPr>
                <w:noProof/>
              </w:rPr>
              <w:t>P</w:t>
            </w:r>
          </w:p>
        </w:tc>
        <w:tc>
          <w:tcPr>
            <w:tcW w:w="1170" w:type="dxa"/>
            <w:tcBorders>
              <w:bottom w:val="single" w:sz="6" w:space="0" w:color="auto"/>
            </w:tcBorders>
            <w:shd w:val="clear" w:color="auto" w:fill="C0C0C0"/>
            <w:hideMark/>
          </w:tcPr>
          <w:p w14:paraId="1F1D0CFA" w14:textId="77777777" w:rsidR="00183EFC" w:rsidRDefault="00183EFC" w:rsidP="00902260">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38878FBD" w14:textId="77777777" w:rsidR="00183EFC" w:rsidRDefault="00183EFC" w:rsidP="00902260">
            <w:pPr>
              <w:pStyle w:val="TAH"/>
              <w:ind w:left="400" w:hanging="400"/>
              <w:rPr>
                <w:noProof/>
              </w:rPr>
            </w:pPr>
            <w:r>
              <w:rPr>
                <w:noProof/>
              </w:rPr>
              <w:t>Description</w:t>
            </w:r>
          </w:p>
        </w:tc>
      </w:tr>
      <w:tr w:rsidR="00183EFC" w14:paraId="37DF7921" w14:textId="77777777" w:rsidTr="00902260">
        <w:trPr>
          <w:jc w:val="center"/>
        </w:trPr>
        <w:tc>
          <w:tcPr>
            <w:tcW w:w="2907" w:type="dxa"/>
            <w:tcBorders>
              <w:top w:val="single" w:sz="6" w:space="0" w:color="auto"/>
            </w:tcBorders>
            <w:hideMark/>
          </w:tcPr>
          <w:p w14:paraId="3BBF38C5" w14:textId="77777777" w:rsidR="00183EFC" w:rsidRDefault="00183EFC" w:rsidP="00902260">
            <w:pPr>
              <w:pStyle w:val="TAL"/>
              <w:rPr>
                <w:noProof/>
              </w:rPr>
            </w:pPr>
            <w:r>
              <w:t>VflTrainingNotify</w:t>
            </w:r>
          </w:p>
        </w:tc>
        <w:tc>
          <w:tcPr>
            <w:tcW w:w="450" w:type="dxa"/>
            <w:tcBorders>
              <w:top w:val="single" w:sz="6" w:space="0" w:color="auto"/>
            </w:tcBorders>
            <w:hideMark/>
          </w:tcPr>
          <w:p w14:paraId="31F1B4A2" w14:textId="77777777" w:rsidR="00183EFC" w:rsidRDefault="00183EFC" w:rsidP="00902260">
            <w:pPr>
              <w:pStyle w:val="TAC"/>
              <w:rPr>
                <w:noProof/>
              </w:rPr>
            </w:pPr>
            <w:r>
              <w:t>M</w:t>
            </w:r>
          </w:p>
        </w:tc>
        <w:tc>
          <w:tcPr>
            <w:tcW w:w="1170" w:type="dxa"/>
            <w:tcBorders>
              <w:top w:val="single" w:sz="6" w:space="0" w:color="auto"/>
            </w:tcBorders>
            <w:hideMark/>
          </w:tcPr>
          <w:p w14:paraId="20AB873E" w14:textId="77777777" w:rsidR="00183EFC" w:rsidRDefault="00183EFC" w:rsidP="00902260">
            <w:pPr>
              <w:pStyle w:val="TAC"/>
              <w:rPr>
                <w:noProof/>
              </w:rPr>
            </w:pPr>
            <w:r>
              <w:t>1</w:t>
            </w:r>
          </w:p>
        </w:tc>
        <w:tc>
          <w:tcPr>
            <w:tcW w:w="5160" w:type="dxa"/>
            <w:tcBorders>
              <w:top w:val="single" w:sz="6" w:space="0" w:color="auto"/>
            </w:tcBorders>
            <w:hideMark/>
          </w:tcPr>
          <w:p w14:paraId="6F700793" w14:textId="77777777" w:rsidR="00183EFC" w:rsidRDefault="00183EFC" w:rsidP="00902260">
            <w:pPr>
              <w:pStyle w:val="TAL"/>
              <w:rPr>
                <w:noProof/>
              </w:rPr>
            </w:pPr>
            <w:r>
              <w:t>Provides information about observed VFL training events.</w:t>
            </w:r>
          </w:p>
        </w:tc>
      </w:tr>
    </w:tbl>
    <w:p w14:paraId="1336C207" w14:textId="77777777" w:rsidR="00183EFC" w:rsidRDefault="00183EFC" w:rsidP="00183EFC">
      <w:pPr>
        <w:rPr>
          <w:noProof/>
        </w:rPr>
      </w:pPr>
    </w:p>
    <w:p w14:paraId="36BE549F" w14:textId="77777777" w:rsidR="00183EFC" w:rsidRDefault="00183EFC" w:rsidP="00183EFC">
      <w:pPr>
        <w:pStyle w:val="TH"/>
        <w:rPr>
          <w:noProof/>
        </w:rPr>
      </w:pPr>
      <w:r>
        <w:rPr>
          <w:noProof/>
        </w:rPr>
        <w:lastRenderedPageBreak/>
        <w:t>Table </w:t>
      </w:r>
      <w:r>
        <w:t>5.9.5.2</w:t>
      </w:r>
      <w:r>
        <w:rPr>
          <w:noProof/>
        </w:rPr>
        <w:t>.3.1-2: Data structures supported by the POST Response Body</w:t>
      </w:r>
    </w:p>
    <w:tbl>
      <w:tblPr>
        <w:tblW w:w="9923" w:type="dxa"/>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183EFC" w14:paraId="61EA3990" w14:textId="77777777" w:rsidTr="00902260">
        <w:trPr>
          <w:jc w:val="center"/>
        </w:trPr>
        <w:tc>
          <w:tcPr>
            <w:tcW w:w="1985" w:type="dxa"/>
            <w:tcBorders>
              <w:bottom w:val="single" w:sz="6" w:space="0" w:color="auto"/>
            </w:tcBorders>
            <w:shd w:val="clear" w:color="auto" w:fill="C0C0C0"/>
            <w:hideMark/>
          </w:tcPr>
          <w:p w14:paraId="3EC11594" w14:textId="77777777" w:rsidR="00183EFC" w:rsidRDefault="00183EFC" w:rsidP="00902260">
            <w:pPr>
              <w:pStyle w:val="TAH"/>
              <w:ind w:left="400" w:hanging="400"/>
              <w:rPr>
                <w:noProof/>
              </w:rPr>
            </w:pPr>
            <w:r>
              <w:rPr>
                <w:noProof/>
              </w:rPr>
              <w:t>Data type</w:t>
            </w:r>
          </w:p>
        </w:tc>
        <w:tc>
          <w:tcPr>
            <w:tcW w:w="430" w:type="dxa"/>
            <w:tcBorders>
              <w:bottom w:val="single" w:sz="6" w:space="0" w:color="auto"/>
            </w:tcBorders>
            <w:shd w:val="clear" w:color="auto" w:fill="C0C0C0"/>
            <w:hideMark/>
          </w:tcPr>
          <w:p w14:paraId="1065A2FD" w14:textId="77777777" w:rsidR="00183EFC" w:rsidRDefault="00183EFC" w:rsidP="00902260">
            <w:pPr>
              <w:pStyle w:val="TAH"/>
              <w:ind w:left="400" w:hanging="400"/>
              <w:rPr>
                <w:noProof/>
              </w:rPr>
            </w:pPr>
            <w:r>
              <w:rPr>
                <w:noProof/>
              </w:rPr>
              <w:t>P</w:t>
            </w:r>
          </w:p>
        </w:tc>
        <w:tc>
          <w:tcPr>
            <w:tcW w:w="1276" w:type="dxa"/>
            <w:tcBorders>
              <w:bottom w:val="single" w:sz="6" w:space="0" w:color="auto"/>
            </w:tcBorders>
            <w:shd w:val="clear" w:color="auto" w:fill="C0C0C0"/>
            <w:hideMark/>
          </w:tcPr>
          <w:p w14:paraId="262A7DAF" w14:textId="77777777" w:rsidR="00183EFC" w:rsidRDefault="00183EFC" w:rsidP="00902260">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472457C6" w14:textId="77777777" w:rsidR="00183EFC" w:rsidRDefault="00183EFC" w:rsidP="00902260">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58481F6B" w14:textId="77777777" w:rsidR="00183EFC" w:rsidRDefault="00183EFC" w:rsidP="00902260">
            <w:pPr>
              <w:pStyle w:val="TAH"/>
              <w:ind w:left="400" w:hanging="400"/>
              <w:rPr>
                <w:noProof/>
              </w:rPr>
            </w:pPr>
            <w:r>
              <w:rPr>
                <w:noProof/>
              </w:rPr>
              <w:t>Description</w:t>
            </w:r>
          </w:p>
        </w:tc>
      </w:tr>
      <w:tr w:rsidR="00183EFC" w14:paraId="773C8A3E" w14:textId="77777777" w:rsidTr="00902260">
        <w:trPr>
          <w:jc w:val="center"/>
        </w:trPr>
        <w:tc>
          <w:tcPr>
            <w:tcW w:w="1985" w:type="dxa"/>
            <w:tcBorders>
              <w:top w:val="single" w:sz="6" w:space="0" w:color="auto"/>
            </w:tcBorders>
          </w:tcPr>
          <w:p w14:paraId="71AF4684" w14:textId="77777777" w:rsidR="00183EFC" w:rsidRDefault="00183EFC" w:rsidP="00902260">
            <w:pPr>
              <w:pStyle w:val="TAL"/>
            </w:pPr>
            <w:r>
              <w:t>n/a</w:t>
            </w:r>
          </w:p>
        </w:tc>
        <w:tc>
          <w:tcPr>
            <w:tcW w:w="430" w:type="dxa"/>
            <w:tcBorders>
              <w:top w:val="single" w:sz="6" w:space="0" w:color="auto"/>
            </w:tcBorders>
          </w:tcPr>
          <w:p w14:paraId="6C3123CC" w14:textId="77777777" w:rsidR="00183EFC" w:rsidRDefault="00183EFC" w:rsidP="00902260">
            <w:pPr>
              <w:pStyle w:val="TAC"/>
            </w:pPr>
          </w:p>
        </w:tc>
        <w:tc>
          <w:tcPr>
            <w:tcW w:w="1276" w:type="dxa"/>
            <w:tcBorders>
              <w:top w:val="single" w:sz="6" w:space="0" w:color="auto"/>
            </w:tcBorders>
          </w:tcPr>
          <w:p w14:paraId="34372E0A" w14:textId="77777777" w:rsidR="00183EFC" w:rsidRDefault="00183EFC" w:rsidP="00902260">
            <w:pPr>
              <w:pStyle w:val="TAC"/>
            </w:pPr>
          </w:p>
        </w:tc>
        <w:tc>
          <w:tcPr>
            <w:tcW w:w="1412" w:type="dxa"/>
            <w:tcBorders>
              <w:top w:val="single" w:sz="6" w:space="0" w:color="auto"/>
            </w:tcBorders>
          </w:tcPr>
          <w:p w14:paraId="43EE02E2" w14:textId="77777777" w:rsidR="00183EFC" w:rsidRDefault="00183EFC" w:rsidP="00902260">
            <w:pPr>
              <w:pStyle w:val="TAL"/>
            </w:pPr>
            <w:r>
              <w:t>204 No Content</w:t>
            </w:r>
          </w:p>
        </w:tc>
        <w:tc>
          <w:tcPr>
            <w:tcW w:w="4820" w:type="dxa"/>
            <w:tcBorders>
              <w:top w:val="single" w:sz="6" w:space="0" w:color="auto"/>
            </w:tcBorders>
          </w:tcPr>
          <w:p w14:paraId="1CF17C5C" w14:textId="77777777" w:rsidR="00183EFC" w:rsidRPr="009E7152" w:rsidRDefault="00183EFC" w:rsidP="00902260">
            <w:pPr>
              <w:pStyle w:val="TAL"/>
            </w:pPr>
            <w:r>
              <w:t>The receipt of the notification is acknowledged.</w:t>
            </w:r>
          </w:p>
        </w:tc>
      </w:tr>
      <w:tr w:rsidR="00183EFC" w14:paraId="0EEAC97D" w14:textId="77777777" w:rsidTr="00902260">
        <w:trPr>
          <w:jc w:val="center"/>
        </w:trPr>
        <w:tc>
          <w:tcPr>
            <w:tcW w:w="1985" w:type="dxa"/>
          </w:tcPr>
          <w:p w14:paraId="68906EE6" w14:textId="77777777" w:rsidR="00183EFC" w:rsidRDefault="00183EFC" w:rsidP="00902260">
            <w:pPr>
              <w:pStyle w:val="TAL"/>
            </w:pPr>
            <w:r>
              <w:t>RedirectResponse</w:t>
            </w:r>
          </w:p>
        </w:tc>
        <w:tc>
          <w:tcPr>
            <w:tcW w:w="430" w:type="dxa"/>
          </w:tcPr>
          <w:p w14:paraId="07FB497F" w14:textId="77777777" w:rsidR="00183EFC" w:rsidDel="000279C7" w:rsidRDefault="00183EFC" w:rsidP="00902260">
            <w:pPr>
              <w:pStyle w:val="TAC"/>
            </w:pPr>
            <w:r>
              <w:t>O</w:t>
            </w:r>
          </w:p>
        </w:tc>
        <w:tc>
          <w:tcPr>
            <w:tcW w:w="1276" w:type="dxa"/>
          </w:tcPr>
          <w:p w14:paraId="4E3F3BBE" w14:textId="77777777" w:rsidR="00183EFC" w:rsidDel="000279C7" w:rsidRDefault="00183EFC" w:rsidP="00902260">
            <w:pPr>
              <w:pStyle w:val="TAC"/>
            </w:pPr>
            <w:r>
              <w:t>0..1</w:t>
            </w:r>
          </w:p>
        </w:tc>
        <w:tc>
          <w:tcPr>
            <w:tcW w:w="1412" w:type="dxa"/>
          </w:tcPr>
          <w:p w14:paraId="6AE3C11C" w14:textId="77777777" w:rsidR="00183EFC" w:rsidRDefault="00183EFC" w:rsidP="00902260">
            <w:pPr>
              <w:pStyle w:val="TAL"/>
            </w:pPr>
            <w:r>
              <w:t>307 Temporary Redirect</w:t>
            </w:r>
          </w:p>
        </w:tc>
        <w:tc>
          <w:tcPr>
            <w:tcW w:w="4820" w:type="dxa"/>
          </w:tcPr>
          <w:p w14:paraId="3E744E40" w14:textId="77777777" w:rsidR="00183EFC" w:rsidRDefault="00183EFC" w:rsidP="00902260">
            <w:pPr>
              <w:pStyle w:val="TAL"/>
            </w:pPr>
            <w:r>
              <w:t>Temporary redirection, during the VFL training event notification. The response shall include a Location header field containing an alternative URI representing the end point of an alternative NF consumer (service) instance where the notification should be sent.</w:t>
            </w:r>
          </w:p>
        </w:tc>
      </w:tr>
      <w:tr w:rsidR="00183EFC" w14:paraId="080E2E70" w14:textId="77777777" w:rsidTr="00902260">
        <w:trPr>
          <w:jc w:val="center"/>
        </w:trPr>
        <w:tc>
          <w:tcPr>
            <w:tcW w:w="1985" w:type="dxa"/>
          </w:tcPr>
          <w:p w14:paraId="60408AE3" w14:textId="77777777" w:rsidR="00183EFC" w:rsidRDefault="00183EFC" w:rsidP="00902260">
            <w:pPr>
              <w:pStyle w:val="TAL"/>
            </w:pPr>
            <w:r>
              <w:t>RedirectResponse</w:t>
            </w:r>
          </w:p>
        </w:tc>
        <w:tc>
          <w:tcPr>
            <w:tcW w:w="430" w:type="dxa"/>
          </w:tcPr>
          <w:p w14:paraId="271D156F" w14:textId="77777777" w:rsidR="00183EFC" w:rsidDel="000279C7" w:rsidRDefault="00183EFC" w:rsidP="00902260">
            <w:pPr>
              <w:pStyle w:val="TAC"/>
            </w:pPr>
            <w:r>
              <w:t>O</w:t>
            </w:r>
          </w:p>
        </w:tc>
        <w:tc>
          <w:tcPr>
            <w:tcW w:w="1276" w:type="dxa"/>
          </w:tcPr>
          <w:p w14:paraId="21CC1D8A" w14:textId="77777777" w:rsidR="00183EFC" w:rsidDel="000279C7" w:rsidRDefault="00183EFC" w:rsidP="00902260">
            <w:pPr>
              <w:pStyle w:val="TAC"/>
            </w:pPr>
            <w:r>
              <w:t>0..1</w:t>
            </w:r>
          </w:p>
        </w:tc>
        <w:tc>
          <w:tcPr>
            <w:tcW w:w="1412" w:type="dxa"/>
          </w:tcPr>
          <w:p w14:paraId="2E960549" w14:textId="77777777" w:rsidR="00183EFC" w:rsidRDefault="00183EFC" w:rsidP="00902260">
            <w:pPr>
              <w:pStyle w:val="TAL"/>
            </w:pPr>
            <w:r>
              <w:t>308 Permanent Redirect</w:t>
            </w:r>
          </w:p>
        </w:tc>
        <w:tc>
          <w:tcPr>
            <w:tcW w:w="4820" w:type="dxa"/>
          </w:tcPr>
          <w:p w14:paraId="4C55864E" w14:textId="77777777" w:rsidR="00183EFC" w:rsidRDefault="00183EFC" w:rsidP="00902260">
            <w:pPr>
              <w:pStyle w:val="TAL"/>
            </w:pPr>
            <w:r>
              <w:t>Permanent redirection, during the VFL training event notification. The response shall include a Location header field containing an alternative URI representing the end point of an alternative NF consumer (service) instance where the notification should be sent.</w:t>
            </w:r>
          </w:p>
        </w:tc>
      </w:tr>
      <w:tr w:rsidR="00183EFC" w14:paraId="73491B6B" w14:textId="77777777" w:rsidTr="00902260">
        <w:trPr>
          <w:jc w:val="center"/>
        </w:trPr>
        <w:tc>
          <w:tcPr>
            <w:tcW w:w="9923" w:type="dxa"/>
            <w:gridSpan w:val="5"/>
          </w:tcPr>
          <w:p w14:paraId="231838D5" w14:textId="77777777" w:rsidR="00183EFC" w:rsidRDefault="00183EFC" w:rsidP="00902260">
            <w:pPr>
              <w:pStyle w:val="TAN"/>
              <w:rPr>
                <w:noProof/>
              </w:rPr>
            </w:pPr>
            <w:r>
              <w:t>NOTE:</w:t>
            </w:r>
            <w:r>
              <w:rPr>
                <w:noProof/>
              </w:rPr>
              <w:tab/>
              <w:t xml:space="preserve">The mandatory </w:t>
            </w:r>
            <w:r>
              <w:t>HTTP error status codes for the POST method listed in Table 5.2.7.1-1 of 3GPP TS 29.500 [6] also apply.</w:t>
            </w:r>
          </w:p>
        </w:tc>
      </w:tr>
    </w:tbl>
    <w:p w14:paraId="56ADC21E" w14:textId="77777777" w:rsidR="00183EFC" w:rsidRDefault="00183EFC" w:rsidP="00183EFC">
      <w:pPr>
        <w:rPr>
          <w:noProof/>
        </w:rPr>
      </w:pPr>
    </w:p>
    <w:p w14:paraId="62FCE89D" w14:textId="77777777" w:rsidR="00183EFC" w:rsidRPr="00D165ED" w:rsidRDefault="00183EFC" w:rsidP="00183EFC">
      <w:pPr>
        <w:pStyle w:val="TH"/>
      </w:pPr>
      <w:r w:rsidRPr="00D165ED">
        <w:t>Table </w:t>
      </w:r>
      <w:r>
        <w:t>5.9.5.2</w:t>
      </w:r>
      <w:r>
        <w:rPr>
          <w:noProof/>
        </w:rPr>
        <w:t>.3.1-3</w:t>
      </w:r>
      <w:r w:rsidRPr="00D165ED">
        <w:t>: Headers supported by the 307 Response Code on this resource</w:t>
      </w:r>
    </w:p>
    <w:tbl>
      <w:tblPr>
        <w:tblW w:w="5152"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418"/>
        <w:gridCol w:w="424"/>
        <w:gridCol w:w="1135"/>
        <w:gridCol w:w="5389"/>
      </w:tblGrid>
      <w:tr w:rsidR="00183EFC" w:rsidRPr="00D165ED" w14:paraId="3D9959CE" w14:textId="77777777" w:rsidTr="00902260">
        <w:trPr>
          <w:jc w:val="center"/>
        </w:trPr>
        <w:tc>
          <w:tcPr>
            <w:tcW w:w="782" w:type="pct"/>
            <w:tcBorders>
              <w:bottom w:val="single" w:sz="6" w:space="0" w:color="auto"/>
            </w:tcBorders>
            <w:shd w:val="clear" w:color="auto" w:fill="C0C0C0"/>
          </w:tcPr>
          <w:p w14:paraId="1B74C892" w14:textId="77777777" w:rsidR="00183EFC" w:rsidRPr="00D165ED" w:rsidRDefault="00183EFC" w:rsidP="00902260">
            <w:pPr>
              <w:pStyle w:val="TAH"/>
              <w:ind w:left="400" w:hanging="400"/>
            </w:pPr>
            <w:r w:rsidRPr="00D165ED">
              <w:t>Name</w:t>
            </w:r>
          </w:p>
        </w:tc>
        <w:tc>
          <w:tcPr>
            <w:tcW w:w="715" w:type="pct"/>
            <w:tcBorders>
              <w:bottom w:val="single" w:sz="6" w:space="0" w:color="auto"/>
            </w:tcBorders>
            <w:shd w:val="clear" w:color="auto" w:fill="C0C0C0"/>
          </w:tcPr>
          <w:p w14:paraId="6A3F5457" w14:textId="77777777" w:rsidR="00183EFC" w:rsidRPr="00D165ED" w:rsidRDefault="00183EFC" w:rsidP="00902260">
            <w:pPr>
              <w:pStyle w:val="TAH"/>
              <w:ind w:left="400" w:hanging="400"/>
            </w:pPr>
            <w:r w:rsidRPr="00D165ED">
              <w:t>Data type</w:t>
            </w:r>
          </w:p>
        </w:tc>
        <w:tc>
          <w:tcPr>
            <w:tcW w:w="214" w:type="pct"/>
            <w:tcBorders>
              <w:bottom w:val="single" w:sz="6" w:space="0" w:color="auto"/>
            </w:tcBorders>
            <w:shd w:val="clear" w:color="auto" w:fill="C0C0C0"/>
          </w:tcPr>
          <w:p w14:paraId="1A937C80" w14:textId="77777777" w:rsidR="00183EFC" w:rsidRPr="00D165ED" w:rsidRDefault="00183EFC" w:rsidP="00902260">
            <w:pPr>
              <w:pStyle w:val="TAH"/>
              <w:ind w:left="400" w:hanging="400"/>
            </w:pPr>
            <w:r w:rsidRPr="00D165ED">
              <w:t>P</w:t>
            </w:r>
          </w:p>
        </w:tc>
        <w:tc>
          <w:tcPr>
            <w:tcW w:w="572" w:type="pct"/>
            <w:tcBorders>
              <w:bottom w:val="single" w:sz="6" w:space="0" w:color="auto"/>
            </w:tcBorders>
            <w:shd w:val="clear" w:color="auto" w:fill="C0C0C0"/>
          </w:tcPr>
          <w:p w14:paraId="271C0DBF" w14:textId="77777777" w:rsidR="00183EFC" w:rsidRPr="00D165ED" w:rsidRDefault="00183EFC" w:rsidP="00902260">
            <w:pPr>
              <w:pStyle w:val="TAH"/>
              <w:ind w:left="400" w:hanging="400"/>
            </w:pPr>
            <w:r w:rsidRPr="00D165ED">
              <w:t>Cardinality</w:t>
            </w:r>
          </w:p>
        </w:tc>
        <w:tc>
          <w:tcPr>
            <w:tcW w:w="2717" w:type="pct"/>
            <w:tcBorders>
              <w:bottom w:val="single" w:sz="6" w:space="0" w:color="auto"/>
            </w:tcBorders>
            <w:shd w:val="clear" w:color="auto" w:fill="C0C0C0"/>
            <w:vAlign w:val="center"/>
          </w:tcPr>
          <w:p w14:paraId="7A482AA8" w14:textId="77777777" w:rsidR="00183EFC" w:rsidRPr="00D165ED" w:rsidRDefault="00183EFC" w:rsidP="00902260">
            <w:pPr>
              <w:pStyle w:val="TAH"/>
              <w:ind w:left="400" w:hanging="400"/>
            </w:pPr>
            <w:r w:rsidRPr="00D165ED">
              <w:t>Description</w:t>
            </w:r>
          </w:p>
        </w:tc>
      </w:tr>
      <w:tr w:rsidR="00183EFC" w:rsidRPr="00D165ED" w14:paraId="29D9A5BB" w14:textId="77777777" w:rsidTr="00902260">
        <w:trPr>
          <w:jc w:val="center"/>
        </w:trPr>
        <w:tc>
          <w:tcPr>
            <w:tcW w:w="782" w:type="pct"/>
            <w:tcBorders>
              <w:top w:val="single" w:sz="6" w:space="0" w:color="auto"/>
            </w:tcBorders>
            <w:shd w:val="clear" w:color="auto" w:fill="auto"/>
          </w:tcPr>
          <w:p w14:paraId="3F170788" w14:textId="77777777" w:rsidR="00183EFC" w:rsidRPr="00D165ED" w:rsidRDefault="00183EFC" w:rsidP="00902260">
            <w:pPr>
              <w:pStyle w:val="TAL"/>
            </w:pPr>
            <w:r w:rsidRPr="00D165ED">
              <w:t>Location</w:t>
            </w:r>
          </w:p>
        </w:tc>
        <w:tc>
          <w:tcPr>
            <w:tcW w:w="715" w:type="pct"/>
            <w:tcBorders>
              <w:top w:val="single" w:sz="6" w:space="0" w:color="auto"/>
            </w:tcBorders>
          </w:tcPr>
          <w:p w14:paraId="7188C21F" w14:textId="77777777" w:rsidR="00183EFC" w:rsidRPr="00D165ED" w:rsidRDefault="00183EFC" w:rsidP="00902260">
            <w:pPr>
              <w:pStyle w:val="TAL"/>
            </w:pPr>
            <w:r w:rsidRPr="00D165ED">
              <w:t>string</w:t>
            </w:r>
          </w:p>
        </w:tc>
        <w:tc>
          <w:tcPr>
            <w:tcW w:w="214" w:type="pct"/>
            <w:tcBorders>
              <w:top w:val="single" w:sz="6" w:space="0" w:color="auto"/>
            </w:tcBorders>
          </w:tcPr>
          <w:p w14:paraId="268C17AC" w14:textId="77777777" w:rsidR="00183EFC" w:rsidRPr="00D165ED" w:rsidRDefault="00183EFC" w:rsidP="00902260">
            <w:pPr>
              <w:pStyle w:val="TAC"/>
            </w:pPr>
            <w:r w:rsidRPr="00D165ED">
              <w:t>M</w:t>
            </w:r>
          </w:p>
        </w:tc>
        <w:tc>
          <w:tcPr>
            <w:tcW w:w="572" w:type="pct"/>
            <w:tcBorders>
              <w:top w:val="single" w:sz="6" w:space="0" w:color="auto"/>
            </w:tcBorders>
          </w:tcPr>
          <w:p w14:paraId="6774F76D" w14:textId="77777777" w:rsidR="00183EFC" w:rsidRPr="00D165ED" w:rsidRDefault="00183EFC" w:rsidP="00902260">
            <w:pPr>
              <w:pStyle w:val="TAL"/>
            </w:pPr>
            <w:r w:rsidRPr="00D165ED">
              <w:t>1</w:t>
            </w:r>
          </w:p>
        </w:tc>
        <w:tc>
          <w:tcPr>
            <w:tcW w:w="2717" w:type="pct"/>
            <w:tcBorders>
              <w:top w:val="single" w:sz="6" w:space="0" w:color="auto"/>
            </w:tcBorders>
            <w:shd w:val="clear" w:color="auto" w:fill="auto"/>
            <w:vAlign w:val="center"/>
          </w:tcPr>
          <w:p w14:paraId="0D44F78D" w14:textId="77777777" w:rsidR="00183EFC" w:rsidRPr="00D165ED" w:rsidRDefault="00183EFC" w:rsidP="00902260">
            <w:pPr>
              <w:pStyle w:val="TAL"/>
            </w:pPr>
            <w:r w:rsidRPr="00D165ED">
              <w:rPr>
                <w:lang w:eastAsia="fr-FR"/>
              </w:rPr>
              <w:t>An alternative URI representing the end point of an alternative NF consumer (service) instance towards which the notification should be redirected</w:t>
            </w:r>
            <w:r w:rsidRPr="00D165ED">
              <w:t>.</w:t>
            </w:r>
          </w:p>
        </w:tc>
      </w:tr>
      <w:tr w:rsidR="00183EFC" w:rsidRPr="00D165ED" w14:paraId="2CA72E23" w14:textId="77777777" w:rsidTr="00902260">
        <w:trPr>
          <w:jc w:val="center"/>
        </w:trPr>
        <w:tc>
          <w:tcPr>
            <w:tcW w:w="782" w:type="pct"/>
            <w:shd w:val="clear" w:color="auto" w:fill="auto"/>
          </w:tcPr>
          <w:p w14:paraId="1DB7B1AE" w14:textId="77777777" w:rsidR="00183EFC" w:rsidRPr="00D165ED" w:rsidRDefault="00183EFC" w:rsidP="00902260">
            <w:pPr>
              <w:pStyle w:val="TAL"/>
            </w:pPr>
            <w:r w:rsidRPr="00D165ED">
              <w:rPr>
                <w:lang w:eastAsia="zh-CN"/>
              </w:rPr>
              <w:t>3gpp-Sbi-Target-Nf-Id</w:t>
            </w:r>
          </w:p>
        </w:tc>
        <w:tc>
          <w:tcPr>
            <w:tcW w:w="715" w:type="pct"/>
          </w:tcPr>
          <w:p w14:paraId="2B282346" w14:textId="77777777" w:rsidR="00183EFC" w:rsidRPr="00D165ED" w:rsidRDefault="00183EFC" w:rsidP="00902260">
            <w:pPr>
              <w:pStyle w:val="TAL"/>
            </w:pPr>
            <w:r w:rsidRPr="00D165ED">
              <w:rPr>
                <w:lang w:eastAsia="fr-FR"/>
              </w:rPr>
              <w:t>string</w:t>
            </w:r>
          </w:p>
        </w:tc>
        <w:tc>
          <w:tcPr>
            <w:tcW w:w="214" w:type="pct"/>
          </w:tcPr>
          <w:p w14:paraId="3DDDFDB6" w14:textId="77777777" w:rsidR="00183EFC" w:rsidRPr="00D165ED" w:rsidRDefault="00183EFC" w:rsidP="00902260">
            <w:pPr>
              <w:pStyle w:val="TAC"/>
            </w:pPr>
            <w:r w:rsidRPr="00D165ED">
              <w:rPr>
                <w:lang w:eastAsia="fr-FR"/>
              </w:rPr>
              <w:t>O</w:t>
            </w:r>
          </w:p>
        </w:tc>
        <w:tc>
          <w:tcPr>
            <w:tcW w:w="572" w:type="pct"/>
          </w:tcPr>
          <w:p w14:paraId="085AFB53" w14:textId="77777777" w:rsidR="00183EFC" w:rsidRPr="00D165ED" w:rsidRDefault="00183EFC" w:rsidP="00902260">
            <w:pPr>
              <w:pStyle w:val="TAL"/>
            </w:pPr>
            <w:r w:rsidRPr="00D165ED">
              <w:rPr>
                <w:lang w:eastAsia="fr-FR"/>
              </w:rPr>
              <w:t>0..1</w:t>
            </w:r>
          </w:p>
        </w:tc>
        <w:tc>
          <w:tcPr>
            <w:tcW w:w="2717" w:type="pct"/>
            <w:shd w:val="clear" w:color="auto" w:fill="auto"/>
            <w:vAlign w:val="center"/>
          </w:tcPr>
          <w:p w14:paraId="25684837" w14:textId="77777777" w:rsidR="00183EFC" w:rsidRPr="00D165ED" w:rsidRDefault="00183EFC" w:rsidP="00902260">
            <w:pPr>
              <w:pStyle w:val="TAL"/>
            </w:pPr>
            <w:r w:rsidRPr="00D165ED">
              <w:rPr>
                <w:lang w:eastAsia="fr-FR"/>
              </w:rPr>
              <w:t>Identifier of the target NF (service) instance towards which the notification request is redirected.</w:t>
            </w:r>
          </w:p>
        </w:tc>
      </w:tr>
    </w:tbl>
    <w:p w14:paraId="24A1CB7C" w14:textId="77777777" w:rsidR="00183EFC" w:rsidRPr="00D165ED" w:rsidRDefault="00183EFC" w:rsidP="00183EFC"/>
    <w:p w14:paraId="6E08148F" w14:textId="77777777" w:rsidR="00183EFC" w:rsidRPr="00D165ED" w:rsidRDefault="00183EFC" w:rsidP="00183EFC">
      <w:pPr>
        <w:pStyle w:val="TH"/>
      </w:pPr>
      <w:r w:rsidRPr="00D165ED">
        <w:t>Table </w:t>
      </w:r>
      <w:r>
        <w:t>5.9.5.2</w:t>
      </w:r>
      <w:r>
        <w:rPr>
          <w:noProof/>
        </w:rPr>
        <w:t>.3.1-4</w:t>
      </w:r>
      <w:r w:rsidRPr="00D165ED">
        <w:t>: Headers supported by the 308 Response Code on this resource</w:t>
      </w:r>
    </w:p>
    <w:tbl>
      <w:tblPr>
        <w:tblW w:w="5152"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183EFC" w:rsidRPr="00D165ED" w14:paraId="49741F27" w14:textId="77777777" w:rsidTr="00902260">
        <w:trPr>
          <w:jc w:val="center"/>
        </w:trPr>
        <w:tc>
          <w:tcPr>
            <w:tcW w:w="919" w:type="pct"/>
            <w:tcBorders>
              <w:bottom w:val="single" w:sz="6" w:space="0" w:color="auto"/>
            </w:tcBorders>
            <w:shd w:val="clear" w:color="auto" w:fill="C0C0C0"/>
          </w:tcPr>
          <w:p w14:paraId="47099AD9" w14:textId="77777777" w:rsidR="00183EFC" w:rsidRPr="00D165ED" w:rsidRDefault="00183EFC" w:rsidP="00902260">
            <w:pPr>
              <w:pStyle w:val="TAH"/>
              <w:ind w:left="400" w:hanging="400"/>
            </w:pPr>
            <w:r w:rsidRPr="00D165ED">
              <w:t>Name</w:t>
            </w:r>
          </w:p>
        </w:tc>
        <w:tc>
          <w:tcPr>
            <w:tcW w:w="690" w:type="pct"/>
            <w:tcBorders>
              <w:bottom w:val="single" w:sz="6" w:space="0" w:color="auto"/>
            </w:tcBorders>
            <w:shd w:val="clear" w:color="auto" w:fill="C0C0C0"/>
          </w:tcPr>
          <w:p w14:paraId="56865C0F" w14:textId="77777777" w:rsidR="00183EFC" w:rsidRPr="00D165ED" w:rsidRDefault="00183EFC" w:rsidP="00902260">
            <w:pPr>
              <w:pStyle w:val="TAH"/>
              <w:ind w:left="400" w:hanging="400"/>
            </w:pPr>
            <w:r w:rsidRPr="00D165ED">
              <w:t>Data type</w:t>
            </w:r>
          </w:p>
        </w:tc>
        <w:tc>
          <w:tcPr>
            <w:tcW w:w="205" w:type="pct"/>
            <w:tcBorders>
              <w:bottom w:val="single" w:sz="6" w:space="0" w:color="auto"/>
            </w:tcBorders>
            <w:shd w:val="clear" w:color="auto" w:fill="C0C0C0"/>
          </w:tcPr>
          <w:p w14:paraId="7B86947F" w14:textId="77777777" w:rsidR="00183EFC" w:rsidRPr="00D165ED" w:rsidRDefault="00183EFC" w:rsidP="00902260">
            <w:pPr>
              <w:pStyle w:val="TAH"/>
              <w:ind w:left="400" w:hanging="400"/>
            </w:pPr>
            <w:r w:rsidRPr="00D165ED">
              <w:t>P</w:t>
            </w:r>
          </w:p>
        </w:tc>
        <w:tc>
          <w:tcPr>
            <w:tcW w:w="547" w:type="pct"/>
            <w:tcBorders>
              <w:bottom w:val="single" w:sz="6" w:space="0" w:color="auto"/>
            </w:tcBorders>
            <w:shd w:val="clear" w:color="auto" w:fill="C0C0C0"/>
          </w:tcPr>
          <w:p w14:paraId="74FBBF4C" w14:textId="77777777" w:rsidR="00183EFC" w:rsidRPr="00D165ED" w:rsidRDefault="00183EFC" w:rsidP="00902260">
            <w:pPr>
              <w:pStyle w:val="TAH"/>
              <w:ind w:left="400" w:hanging="400"/>
            </w:pPr>
            <w:r w:rsidRPr="00D165ED">
              <w:t>Cardinality</w:t>
            </w:r>
          </w:p>
        </w:tc>
        <w:tc>
          <w:tcPr>
            <w:tcW w:w="2638" w:type="pct"/>
            <w:tcBorders>
              <w:bottom w:val="single" w:sz="6" w:space="0" w:color="auto"/>
            </w:tcBorders>
            <w:shd w:val="clear" w:color="auto" w:fill="C0C0C0"/>
            <w:vAlign w:val="center"/>
          </w:tcPr>
          <w:p w14:paraId="78E6CDDA" w14:textId="77777777" w:rsidR="00183EFC" w:rsidRPr="00D165ED" w:rsidRDefault="00183EFC" w:rsidP="00902260">
            <w:pPr>
              <w:pStyle w:val="TAH"/>
              <w:ind w:left="400" w:hanging="400"/>
            </w:pPr>
            <w:r w:rsidRPr="00D165ED">
              <w:t>Description</w:t>
            </w:r>
          </w:p>
        </w:tc>
      </w:tr>
      <w:tr w:rsidR="00183EFC" w:rsidRPr="00D165ED" w14:paraId="07752E4E" w14:textId="77777777" w:rsidTr="00902260">
        <w:trPr>
          <w:jc w:val="center"/>
        </w:trPr>
        <w:tc>
          <w:tcPr>
            <w:tcW w:w="919" w:type="pct"/>
            <w:tcBorders>
              <w:top w:val="single" w:sz="6" w:space="0" w:color="auto"/>
            </w:tcBorders>
            <w:shd w:val="clear" w:color="auto" w:fill="auto"/>
          </w:tcPr>
          <w:p w14:paraId="06DBF7DC" w14:textId="77777777" w:rsidR="00183EFC" w:rsidRPr="00D165ED" w:rsidRDefault="00183EFC" w:rsidP="00902260">
            <w:pPr>
              <w:pStyle w:val="TAL"/>
            </w:pPr>
            <w:r w:rsidRPr="00D165ED">
              <w:t>Location</w:t>
            </w:r>
          </w:p>
        </w:tc>
        <w:tc>
          <w:tcPr>
            <w:tcW w:w="690" w:type="pct"/>
            <w:tcBorders>
              <w:top w:val="single" w:sz="6" w:space="0" w:color="auto"/>
            </w:tcBorders>
          </w:tcPr>
          <w:p w14:paraId="3FC05A7C" w14:textId="77777777" w:rsidR="00183EFC" w:rsidRPr="00D165ED" w:rsidRDefault="00183EFC" w:rsidP="00902260">
            <w:pPr>
              <w:pStyle w:val="TAL"/>
            </w:pPr>
            <w:r w:rsidRPr="00D165ED">
              <w:t>string</w:t>
            </w:r>
          </w:p>
        </w:tc>
        <w:tc>
          <w:tcPr>
            <w:tcW w:w="205" w:type="pct"/>
            <w:tcBorders>
              <w:top w:val="single" w:sz="6" w:space="0" w:color="auto"/>
            </w:tcBorders>
          </w:tcPr>
          <w:p w14:paraId="515C1D4A" w14:textId="77777777" w:rsidR="00183EFC" w:rsidRPr="00D165ED" w:rsidRDefault="00183EFC" w:rsidP="00902260">
            <w:pPr>
              <w:pStyle w:val="TAC"/>
            </w:pPr>
            <w:r w:rsidRPr="00D165ED">
              <w:t>M</w:t>
            </w:r>
          </w:p>
        </w:tc>
        <w:tc>
          <w:tcPr>
            <w:tcW w:w="547" w:type="pct"/>
            <w:tcBorders>
              <w:top w:val="single" w:sz="6" w:space="0" w:color="auto"/>
            </w:tcBorders>
          </w:tcPr>
          <w:p w14:paraId="55DC7C58" w14:textId="77777777" w:rsidR="00183EFC" w:rsidRPr="00D165ED" w:rsidRDefault="00183EFC" w:rsidP="00902260">
            <w:pPr>
              <w:pStyle w:val="TAL"/>
            </w:pPr>
            <w:r w:rsidRPr="00D165ED">
              <w:t>1</w:t>
            </w:r>
          </w:p>
        </w:tc>
        <w:tc>
          <w:tcPr>
            <w:tcW w:w="2638" w:type="pct"/>
            <w:tcBorders>
              <w:top w:val="single" w:sz="6" w:space="0" w:color="auto"/>
            </w:tcBorders>
            <w:shd w:val="clear" w:color="auto" w:fill="auto"/>
            <w:vAlign w:val="center"/>
          </w:tcPr>
          <w:p w14:paraId="069B1B5B" w14:textId="77777777" w:rsidR="00183EFC" w:rsidRPr="00D165ED" w:rsidRDefault="00183EFC" w:rsidP="00902260">
            <w:pPr>
              <w:pStyle w:val="TAL"/>
            </w:pPr>
            <w:r w:rsidRPr="00D165ED">
              <w:t xml:space="preserve">An alternative URI </w:t>
            </w:r>
            <w:r w:rsidRPr="00D165ED">
              <w:rPr>
                <w:lang w:eastAsia="fr-FR"/>
              </w:rPr>
              <w:t>representing the end point of an alternative NF consumer (service) instance towards which the notification should be redirected</w:t>
            </w:r>
            <w:r w:rsidRPr="00D165ED">
              <w:t>.</w:t>
            </w:r>
          </w:p>
        </w:tc>
      </w:tr>
      <w:tr w:rsidR="00183EFC" w:rsidRPr="00D165ED" w14:paraId="016BD4B3" w14:textId="77777777" w:rsidTr="00902260">
        <w:trPr>
          <w:jc w:val="center"/>
        </w:trPr>
        <w:tc>
          <w:tcPr>
            <w:tcW w:w="919" w:type="pct"/>
            <w:shd w:val="clear" w:color="auto" w:fill="auto"/>
          </w:tcPr>
          <w:p w14:paraId="357E1B50" w14:textId="77777777" w:rsidR="00183EFC" w:rsidRPr="00D165ED" w:rsidRDefault="00183EFC" w:rsidP="00902260">
            <w:pPr>
              <w:pStyle w:val="TAL"/>
            </w:pPr>
            <w:r w:rsidRPr="00D165ED">
              <w:rPr>
                <w:lang w:eastAsia="zh-CN"/>
              </w:rPr>
              <w:t>3gpp-Sbi-Target-Nf-Id</w:t>
            </w:r>
          </w:p>
        </w:tc>
        <w:tc>
          <w:tcPr>
            <w:tcW w:w="690" w:type="pct"/>
          </w:tcPr>
          <w:p w14:paraId="41EA8FA6" w14:textId="77777777" w:rsidR="00183EFC" w:rsidRPr="00D165ED" w:rsidRDefault="00183EFC" w:rsidP="00902260">
            <w:pPr>
              <w:pStyle w:val="TAL"/>
            </w:pPr>
            <w:r w:rsidRPr="00D165ED">
              <w:rPr>
                <w:lang w:eastAsia="fr-FR"/>
              </w:rPr>
              <w:t>string</w:t>
            </w:r>
          </w:p>
        </w:tc>
        <w:tc>
          <w:tcPr>
            <w:tcW w:w="205" w:type="pct"/>
          </w:tcPr>
          <w:p w14:paraId="5E95A700" w14:textId="77777777" w:rsidR="00183EFC" w:rsidRPr="00D165ED" w:rsidRDefault="00183EFC" w:rsidP="00902260">
            <w:pPr>
              <w:pStyle w:val="TAC"/>
            </w:pPr>
            <w:r w:rsidRPr="00D165ED">
              <w:rPr>
                <w:lang w:eastAsia="fr-FR"/>
              </w:rPr>
              <w:t>O</w:t>
            </w:r>
          </w:p>
        </w:tc>
        <w:tc>
          <w:tcPr>
            <w:tcW w:w="547" w:type="pct"/>
          </w:tcPr>
          <w:p w14:paraId="2E3480B8" w14:textId="77777777" w:rsidR="00183EFC" w:rsidRPr="00D165ED" w:rsidRDefault="00183EFC" w:rsidP="00902260">
            <w:pPr>
              <w:pStyle w:val="TAL"/>
            </w:pPr>
            <w:r w:rsidRPr="00D165ED">
              <w:rPr>
                <w:lang w:eastAsia="fr-FR"/>
              </w:rPr>
              <w:t>0..1</w:t>
            </w:r>
          </w:p>
        </w:tc>
        <w:tc>
          <w:tcPr>
            <w:tcW w:w="2638" w:type="pct"/>
            <w:shd w:val="clear" w:color="auto" w:fill="auto"/>
            <w:vAlign w:val="center"/>
          </w:tcPr>
          <w:p w14:paraId="2F3AE4E4" w14:textId="77777777" w:rsidR="00183EFC" w:rsidRPr="00D165ED" w:rsidRDefault="00183EFC" w:rsidP="00902260">
            <w:pPr>
              <w:pStyle w:val="TAL"/>
            </w:pPr>
            <w:r w:rsidRPr="00D165ED">
              <w:rPr>
                <w:lang w:eastAsia="fr-FR"/>
              </w:rPr>
              <w:t>Identifier of the target NF (service) instance towards which the notification request is redirected.</w:t>
            </w:r>
          </w:p>
        </w:tc>
      </w:tr>
    </w:tbl>
    <w:p w14:paraId="20CB90A6" w14:textId="77777777" w:rsidR="00183EFC" w:rsidRPr="009B612B" w:rsidRDefault="00183EFC" w:rsidP="00183EFC">
      <w:pPr>
        <w:rPr>
          <w:noProof/>
        </w:rPr>
      </w:pPr>
    </w:p>
    <w:bookmarkEnd w:id="16885"/>
    <w:p w14:paraId="3C78FDEF" w14:textId="77777777" w:rsidR="00183EFC" w:rsidRDefault="00183EFC" w:rsidP="00183EFC"/>
    <w:p w14:paraId="08B27FB3" w14:textId="77777777" w:rsidR="00183EFC" w:rsidRDefault="00183EFC" w:rsidP="00183EFC">
      <w:pPr>
        <w:pStyle w:val="3"/>
      </w:pPr>
      <w:bookmarkStart w:id="16910" w:name="_Toc35971427"/>
      <w:bookmarkStart w:id="16911" w:name="_Toc67903543"/>
      <w:bookmarkStart w:id="16912" w:name="_Toc73173275"/>
      <w:bookmarkStart w:id="16913" w:name="_Toc96959864"/>
      <w:bookmarkStart w:id="16914" w:name="_Toc129247578"/>
      <w:bookmarkStart w:id="16915" w:name="_Toc164863327"/>
      <w:bookmarkStart w:id="16916" w:name="_Toc192881260"/>
      <w:bookmarkStart w:id="16917" w:name="_Toc199453447"/>
      <w:r>
        <w:t>5.9.6</w:t>
      </w:r>
      <w:r>
        <w:tab/>
        <w:t>Data Model</w:t>
      </w:r>
      <w:bookmarkEnd w:id="16868"/>
      <w:bookmarkEnd w:id="16910"/>
      <w:bookmarkEnd w:id="16911"/>
      <w:bookmarkEnd w:id="16912"/>
      <w:bookmarkEnd w:id="16913"/>
      <w:bookmarkEnd w:id="16914"/>
      <w:bookmarkEnd w:id="16915"/>
      <w:bookmarkEnd w:id="16916"/>
      <w:bookmarkEnd w:id="16917"/>
    </w:p>
    <w:p w14:paraId="42D9A4EF" w14:textId="77777777" w:rsidR="00183EFC" w:rsidRDefault="00183EFC" w:rsidP="00183EFC">
      <w:pPr>
        <w:pStyle w:val="4"/>
      </w:pPr>
      <w:bookmarkStart w:id="16918" w:name="_Toc73173276"/>
      <w:bookmarkStart w:id="16919" w:name="_Toc96959865"/>
      <w:bookmarkStart w:id="16920" w:name="_Toc129247579"/>
      <w:bookmarkStart w:id="16921" w:name="_Toc164863328"/>
      <w:bookmarkStart w:id="16922" w:name="_Toc192881261"/>
      <w:bookmarkStart w:id="16923" w:name="_Toc199453448"/>
      <w:r>
        <w:t>5.9.6.1</w:t>
      </w:r>
      <w:r>
        <w:tab/>
        <w:t>General</w:t>
      </w:r>
      <w:bookmarkEnd w:id="16918"/>
      <w:bookmarkEnd w:id="16919"/>
      <w:bookmarkEnd w:id="16920"/>
      <w:bookmarkEnd w:id="16921"/>
      <w:bookmarkEnd w:id="16922"/>
      <w:bookmarkEnd w:id="16923"/>
    </w:p>
    <w:p w14:paraId="3299336D" w14:textId="77777777" w:rsidR="00183EFC" w:rsidRDefault="00183EFC" w:rsidP="00183EFC">
      <w:r>
        <w:t xml:space="preserve">This clause specifies the application data model supported by the </w:t>
      </w:r>
      <w:r>
        <w:rPr>
          <w:lang w:eastAsia="ja-JP"/>
        </w:rPr>
        <w:t>Nnwdaf_VFLTraining</w:t>
      </w:r>
      <w:r>
        <w:t xml:space="preserve"> API.</w:t>
      </w:r>
    </w:p>
    <w:p w14:paraId="3A56A4D4" w14:textId="77777777" w:rsidR="00183EFC" w:rsidRDefault="00183EFC" w:rsidP="00183EFC">
      <w:r>
        <w:t xml:space="preserve">Table 5.9.6.1-1 specifies the data types defined for the </w:t>
      </w:r>
      <w:r>
        <w:rPr>
          <w:lang w:eastAsia="ja-JP"/>
        </w:rPr>
        <w:t>Nnwdaf_VFLTraining</w:t>
      </w:r>
      <w:r>
        <w:t xml:space="preserve"> service based interface protocol.</w:t>
      </w:r>
    </w:p>
    <w:p w14:paraId="28FE36C1" w14:textId="77777777" w:rsidR="00183EFC" w:rsidRDefault="00183EFC" w:rsidP="00183EFC">
      <w:pPr>
        <w:pStyle w:val="TH"/>
      </w:pPr>
      <w:r>
        <w:lastRenderedPageBreak/>
        <w:t xml:space="preserve">Table 5.9.6.1-1: </w:t>
      </w:r>
      <w:r>
        <w:rPr>
          <w:lang w:eastAsia="ja-JP"/>
        </w:rPr>
        <w:t>Nnwdaf_VFLTraining</w:t>
      </w:r>
      <w:r>
        <w:t xml:space="preserve"> specific Data Types</w:t>
      </w:r>
    </w:p>
    <w:tbl>
      <w:tblPr>
        <w:tblW w:w="942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8"/>
        <w:gridCol w:w="2383"/>
        <w:gridCol w:w="3506"/>
        <w:gridCol w:w="1767"/>
      </w:tblGrid>
      <w:tr w:rsidR="00183EFC" w14:paraId="5EA974E2" w14:textId="77777777" w:rsidTr="00902260">
        <w:trPr>
          <w:jc w:val="center"/>
        </w:trPr>
        <w:tc>
          <w:tcPr>
            <w:tcW w:w="1768" w:type="dxa"/>
            <w:shd w:val="clear" w:color="auto" w:fill="C0C0C0"/>
            <w:hideMark/>
          </w:tcPr>
          <w:p w14:paraId="3B874682" w14:textId="77777777" w:rsidR="00183EFC" w:rsidRDefault="00183EFC" w:rsidP="00902260">
            <w:pPr>
              <w:pStyle w:val="TAH"/>
              <w:ind w:left="400" w:hanging="400"/>
            </w:pPr>
            <w:r>
              <w:t>Data type</w:t>
            </w:r>
          </w:p>
        </w:tc>
        <w:tc>
          <w:tcPr>
            <w:tcW w:w="2383" w:type="dxa"/>
            <w:shd w:val="clear" w:color="auto" w:fill="C0C0C0"/>
          </w:tcPr>
          <w:p w14:paraId="4FA8AC23" w14:textId="77777777" w:rsidR="00183EFC" w:rsidRDefault="00183EFC" w:rsidP="00902260">
            <w:pPr>
              <w:pStyle w:val="TAH"/>
              <w:ind w:left="400" w:hanging="400"/>
            </w:pPr>
            <w:r>
              <w:t>Clause defined</w:t>
            </w:r>
          </w:p>
        </w:tc>
        <w:tc>
          <w:tcPr>
            <w:tcW w:w="3506" w:type="dxa"/>
            <w:shd w:val="clear" w:color="auto" w:fill="C0C0C0"/>
            <w:hideMark/>
          </w:tcPr>
          <w:p w14:paraId="14E09C6D" w14:textId="77777777" w:rsidR="00183EFC" w:rsidRDefault="00183EFC" w:rsidP="00902260">
            <w:pPr>
              <w:pStyle w:val="TAH"/>
              <w:ind w:left="400" w:hanging="400"/>
            </w:pPr>
            <w:r>
              <w:t>Description</w:t>
            </w:r>
          </w:p>
        </w:tc>
        <w:tc>
          <w:tcPr>
            <w:tcW w:w="1767" w:type="dxa"/>
            <w:shd w:val="clear" w:color="auto" w:fill="C0C0C0"/>
          </w:tcPr>
          <w:p w14:paraId="07DDAFAF" w14:textId="77777777" w:rsidR="00183EFC" w:rsidRDefault="00183EFC" w:rsidP="00902260">
            <w:pPr>
              <w:pStyle w:val="TAH"/>
              <w:ind w:left="400" w:hanging="400"/>
            </w:pPr>
            <w:r>
              <w:t>Applicability</w:t>
            </w:r>
          </w:p>
        </w:tc>
      </w:tr>
      <w:tr w:rsidR="00183EFC" w14:paraId="2CA21BFB"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25F5F7AA" w14:textId="77777777" w:rsidR="00183EFC" w:rsidRDefault="00183EFC" w:rsidP="00902260">
            <w:pPr>
              <w:pStyle w:val="TAL"/>
            </w:pPr>
            <w:r>
              <w:t>Vfl</w:t>
            </w:r>
            <w:r>
              <w:rPr>
                <w:rFonts w:eastAsia="等线"/>
              </w:rPr>
              <w:t>CheckpointInfo</w:t>
            </w:r>
          </w:p>
        </w:tc>
        <w:tc>
          <w:tcPr>
            <w:tcW w:w="2383" w:type="dxa"/>
            <w:tcBorders>
              <w:top w:val="single" w:sz="6" w:space="0" w:color="auto"/>
              <w:left w:val="single" w:sz="6" w:space="0" w:color="auto"/>
              <w:bottom w:val="single" w:sz="6" w:space="0" w:color="auto"/>
              <w:right w:val="single" w:sz="6" w:space="0" w:color="auto"/>
            </w:tcBorders>
          </w:tcPr>
          <w:p w14:paraId="682B0E5F" w14:textId="77777777" w:rsidR="00183EFC" w:rsidRDefault="00183EFC" w:rsidP="00902260">
            <w:pPr>
              <w:pStyle w:val="TAL"/>
              <w:rPr>
                <w:lang w:eastAsia="zh-CN"/>
              </w:rPr>
            </w:pPr>
            <w:r>
              <w:rPr>
                <w:lang w:eastAsia="zh-CN"/>
              </w:rPr>
              <w:t>5.9.6.2.4</w:t>
            </w:r>
          </w:p>
        </w:tc>
        <w:tc>
          <w:tcPr>
            <w:tcW w:w="3506" w:type="dxa"/>
            <w:tcBorders>
              <w:top w:val="single" w:sz="6" w:space="0" w:color="auto"/>
              <w:left w:val="single" w:sz="6" w:space="0" w:color="auto"/>
              <w:bottom w:val="single" w:sz="6" w:space="0" w:color="auto"/>
              <w:right w:val="single" w:sz="6" w:space="0" w:color="auto"/>
            </w:tcBorders>
          </w:tcPr>
          <w:p w14:paraId="56D335A4" w14:textId="77777777" w:rsidR="00183EFC" w:rsidRDefault="00183EFC" w:rsidP="00902260">
            <w:pPr>
              <w:pStyle w:val="TAL"/>
              <w:rPr>
                <w:lang w:eastAsia="zh-CN"/>
              </w:rPr>
            </w:pPr>
            <w:r w:rsidRPr="00F758E4">
              <w:t>Represents information about whether current VFL training status is requested to be stored as checkpoint or whether a previously saved checkpoint is requested to be resumed.</w:t>
            </w:r>
          </w:p>
        </w:tc>
        <w:tc>
          <w:tcPr>
            <w:tcW w:w="1767" w:type="dxa"/>
            <w:tcBorders>
              <w:top w:val="single" w:sz="6" w:space="0" w:color="auto"/>
              <w:left w:val="single" w:sz="6" w:space="0" w:color="auto"/>
              <w:bottom w:val="single" w:sz="6" w:space="0" w:color="auto"/>
              <w:right w:val="single" w:sz="6" w:space="0" w:color="auto"/>
            </w:tcBorders>
          </w:tcPr>
          <w:p w14:paraId="7FBDBA54" w14:textId="77777777" w:rsidR="00183EFC" w:rsidRDefault="00183EFC" w:rsidP="00902260">
            <w:pPr>
              <w:pStyle w:val="TAL"/>
              <w:rPr>
                <w:rFonts w:cs="Arial"/>
                <w:szCs w:val="18"/>
              </w:rPr>
            </w:pPr>
          </w:p>
        </w:tc>
      </w:tr>
      <w:tr w:rsidR="00183EFC" w14:paraId="1D2B30A0"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62184293" w14:textId="77777777" w:rsidR="00183EFC" w:rsidRDefault="00183EFC" w:rsidP="00902260">
            <w:pPr>
              <w:pStyle w:val="TAL"/>
            </w:pPr>
            <w:r w:rsidRPr="006B454D">
              <w:t>VflIntermed</w:t>
            </w:r>
            <w:r w:rsidRPr="006B454D">
              <w:rPr>
                <w:rFonts w:hint="eastAsia"/>
              </w:rPr>
              <w:t>Train</w:t>
            </w:r>
            <w:r w:rsidRPr="006B454D">
              <w:t>Info</w:t>
            </w:r>
          </w:p>
        </w:tc>
        <w:tc>
          <w:tcPr>
            <w:tcW w:w="2383" w:type="dxa"/>
            <w:tcBorders>
              <w:top w:val="single" w:sz="6" w:space="0" w:color="auto"/>
              <w:left w:val="single" w:sz="6" w:space="0" w:color="auto"/>
              <w:bottom w:val="single" w:sz="6" w:space="0" w:color="auto"/>
              <w:right w:val="single" w:sz="6" w:space="0" w:color="auto"/>
            </w:tcBorders>
          </w:tcPr>
          <w:p w14:paraId="57BEEBCD" w14:textId="77777777" w:rsidR="00183EFC" w:rsidRDefault="00183EFC" w:rsidP="00902260">
            <w:pPr>
              <w:pStyle w:val="TAL"/>
              <w:rPr>
                <w:lang w:eastAsia="zh-CN"/>
              </w:rPr>
            </w:pPr>
            <w:r>
              <w:rPr>
                <w:lang w:eastAsia="zh-CN"/>
              </w:rPr>
              <w:t>5.9.6.2.7</w:t>
            </w:r>
          </w:p>
        </w:tc>
        <w:tc>
          <w:tcPr>
            <w:tcW w:w="3506" w:type="dxa"/>
            <w:tcBorders>
              <w:top w:val="single" w:sz="6" w:space="0" w:color="auto"/>
              <w:left w:val="single" w:sz="6" w:space="0" w:color="auto"/>
              <w:bottom w:val="single" w:sz="6" w:space="0" w:color="auto"/>
              <w:right w:val="single" w:sz="6" w:space="0" w:color="auto"/>
            </w:tcBorders>
          </w:tcPr>
          <w:p w14:paraId="5268EE9D" w14:textId="77777777" w:rsidR="00183EFC" w:rsidRPr="00F758E4" w:rsidRDefault="00183EFC" w:rsidP="00902260">
            <w:pPr>
              <w:pStyle w:val="TAL"/>
            </w:pPr>
            <w:r w:rsidRPr="006D0184">
              <w:t xml:space="preserve">Represents </w:t>
            </w:r>
            <w:r>
              <w:t xml:space="preserve">the </w:t>
            </w:r>
            <w:r>
              <w:rPr>
                <w:lang w:eastAsia="ko-KR"/>
              </w:rPr>
              <w:t>intermediate model training information</w:t>
            </w:r>
            <w:r w:rsidRPr="006D0184">
              <w:t>.</w:t>
            </w:r>
          </w:p>
        </w:tc>
        <w:tc>
          <w:tcPr>
            <w:tcW w:w="1767" w:type="dxa"/>
            <w:tcBorders>
              <w:top w:val="single" w:sz="6" w:space="0" w:color="auto"/>
              <w:left w:val="single" w:sz="6" w:space="0" w:color="auto"/>
              <w:bottom w:val="single" w:sz="6" w:space="0" w:color="auto"/>
              <w:right w:val="single" w:sz="6" w:space="0" w:color="auto"/>
            </w:tcBorders>
          </w:tcPr>
          <w:p w14:paraId="1E96E064" w14:textId="77777777" w:rsidR="00183EFC" w:rsidRDefault="00183EFC" w:rsidP="00902260">
            <w:pPr>
              <w:pStyle w:val="TAL"/>
              <w:rPr>
                <w:rFonts w:cs="Arial"/>
                <w:szCs w:val="18"/>
              </w:rPr>
            </w:pPr>
          </w:p>
        </w:tc>
      </w:tr>
      <w:tr w:rsidR="00183EFC" w14:paraId="68CF57BC"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1CF52ADE" w14:textId="77777777" w:rsidR="00183EFC" w:rsidRDefault="00183EFC" w:rsidP="00902260">
            <w:pPr>
              <w:pStyle w:val="TAL"/>
            </w:pPr>
            <w:r w:rsidRPr="006B454D">
              <w:t>VflInteropInfo</w:t>
            </w:r>
          </w:p>
        </w:tc>
        <w:tc>
          <w:tcPr>
            <w:tcW w:w="2383" w:type="dxa"/>
            <w:tcBorders>
              <w:top w:val="single" w:sz="6" w:space="0" w:color="auto"/>
              <w:left w:val="single" w:sz="6" w:space="0" w:color="auto"/>
              <w:bottom w:val="single" w:sz="6" w:space="0" w:color="auto"/>
              <w:right w:val="single" w:sz="6" w:space="0" w:color="auto"/>
            </w:tcBorders>
          </w:tcPr>
          <w:p w14:paraId="047A37BB" w14:textId="77777777" w:rsidR="00183EFC" w:rsidRDefault="00183EFC" w:rsidP="00902260">
            <w:pPr>
              <w:pStyle w:val="TAL"/>
              <w:rPr>
                <w:lang w:eastAsia="zh-CN"/>
              </w:rPr>
            </w:pPr>
            <w:r w:rsidRPr="006D0184">
              <w:t>5.</w:t>
            </w:r>
            <w:r>
              <w:t>9</w:t>
            </w:r>
            <w:r w:rsidRPr="006D0184">
              <w:t>.6.2.</w:t>
            </w:r>
            <w:r>
              <w:t>5</w:t>
            </w:r>
          </w:p>
        </w:tc>
        <w:tc>
          <w:tcPr>
            <w:tcW w:w="3506" w:type="dxa"/>
            <w:tcBorders>
              <w:top w:val="single" w:sz="6" w:space="0" w:color="auto"/>
              <w:left w:val="single" w:sz="6" w:space="0" w:color="auto"/>
              <w:bottom w:val="single" w:sz="6" w:space="0" w:color="auto"/>
              <w:right w:val="single" w:sz="6" w:space="0" w:color="auto"/>
            </w:tcBorders>
          </w:tcPr>
          <w:p w14:paraId="5FB8B36F" w14:textId="77777777" w:rsidR="00183EFC" w:rsidRPr="00F758E4" w:rsidRDefault="00183EFC" w:rsidP="00902260">
            <w:pPr>
              <w:pStyle w:val="TAL"/>
            </w:pPr>
            <w:r w:rsidRPr="006D0184">
              <w:t xml:space="preserve">Represents </w:t>
            </w:r>
            <w:r>
              <w:t>VFL</w:t>
            </w:r>
            <w:r w:rsidRPr="006D0184">
              <w:t xml:space="preserve"> </w:t>
            </w:r>
            <w:r>
              <w:t>interoperability information</w:t>
            </w:r>
            <w:r w:rsidRPr="006D0184">
              <w:t>.</w:t>
            </w:r>
          </w:p>
        </w:tc>
        <w:tc>
          <w:tcPr>
            <w:tcW w:w="1767" w:type="dxa"/>
            <w:tcBorders>
              <w:top w:val="single" w:sz="6" w:space="0" w:color="auto"/>
              <w:left w:val="single" w:sz="6" w:space="0" w:color="auto"/>
              <w:bottom w:val="single" w:sz="6" w:space="0" w:color="auto"/>
              <w:right w:val="single" w:sz="6" w:space="0" w:color="auto"/>
            </w:tcBorders>
          </w:tcPr>
          <w:p w14:paraId="4BC8937F" w14:textId="77777777" w:rsidR="00183EFC" w:rsidRDefault="00183EFC" w:rsidP="00902260">
            <w:pPr>
              <w:pStyle w:val="TAL"/>
              <w:rPr>
                <w:rFonts w:cs="Arial"/>
                <w:szCs w:val="18"/>
              </w:rPr>
            </w:pPr>
          </w:p>
        </w:tc>
      </w:tr>
      <w:tr w:rsidR="00183EFC" w14:paraId="46046CCD"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7565B703" w14:textId="77777777" w:rsidR="00183EFC" w:rsidRPr="00E5498B" w:rsidRDefault="00183EFC" w:rsidP="00902260">
            <w:pPr>
              <w:pStyle w:val="TAL"/>
            </w:pPr>
            <w:r>
              <w:t>VflTrainingNotify</w:t>
            </w:r>
          </w:p>
        </w:tc>
        <w:tc>
          <w:tcPr>
            <w:tcW w:w="2383" w:type="dxa"/>
            <w:tcBorders>
              <w:top w:val="single" w:sz="6" w:space="0" w:color="auto"/>
              <w:left w:val="single" w:sz="6" w:space="0" w:color="auto"/>
              <w:bottom w:val="single" w:sz="6" w:space="0" w:color="auto"/>
              <w:right w:val="single" w:sz="6" w:space="0" w:color="auto"/>
            </w:tcBorders>
          </w:tcPr>
          <w:p w14:paraId="5A2AE79F" w14:textId="77777777" w:rsidR="00183EFC" w:rsidRPr="00E5498B" w:rsidRDefault="00183EFC" w:rsidP="00902260">
            <w:pPr>
              <w:pStyle w:val="TAL"/>
            </w:pPr>
            <w:r>
              <w:rPr>
                <w:lang w:eastAsia="zh-CN"/>
              </w:rPr>
              <w:t>5.9.6.2.6</w:t>
            </w:r>
          </w:p>
        </w:tc>
        <w:tc>
          <w:tcPr>
            <w:tcW w:w="3506" w:type="dxa"/>
            <w:tcBorders>
              <w:top w:val="single" w:sz="6" w:space="0" w:color="auto"/>
              <w:left w:val="single" w:sz="6" w:space="0" w:color="auto"/>
              <w:bottom w:val="single" w:sz="6" w:space="0" w:color="auto"/>
              <w:right w:val="single" w:sz="6" w:space="0" w:color="auto"/>
            </w:tcBorders>
          </w:tcPr>
          <w:p w14:paraId="3B04B094" w14:textId="77777777" w:rsidR="00183EFC" w:rsidRPr="00E5498B" w:rsidRDefault="00183EFC" w:rsidP="00902260">
            <w:pPr>
              <w:pStyle w:val="TAL"/>
              <w:rPr>
                <w:lang w:eastAsia="zh-CN"/>
              </w:rPr>
            </w:pPr>
            <w:r>
              <w:rPr>
                <w:lang w:eastAsia="zh-CN"/>
              </w:rPr>
              <w:t>Represents VFL training notification information.</w:t>
            </w:r>
          </w:p>
        </w:tc>
        <w:tc>
          <w:tcPr>
            <w:tcW w:w="1767" w:type="dxa"/>
            <w:tcBorders>
              <w:top w:val="single" w:sz="6" w:space="0" w:color="auto"/>
              <w:left w:val="single" w:sz="6" w:space="0" w:color="auto"/>
              <w:bottom w:val="single" w:sz="6" w:space="0" w:color="auto"/>
              <w:right w:val="single" w:sz="6" w:space="0" w:color="auto"/>
            </w:tcBorders>
          </w:tcPr>
          <w:p w14:paraId="3DF6F43C" w14:textId="77777777" w:rsidR="00183EFC" w:rsidRDefault="00183EFC" w:rsidP="00902260">
            <w:pPr>
              <w:pStyle w:val="TAL"/>
              <w:rPr>
                <w:rFonts w:cs="Arial"/>
                <w:szCs w:val="18"/>
              </w:rPr>
            </w:pPr>
          </w:p>
        </w:tc>
      </w:tr>
      <w:tr w:rsidR="00183EFC" w14:paraId="67005F6E"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32CEC77F" w14:textId="77777777" w:rsidR="00183EFC" w:rsidRPr="00E5498B" w:rsidRDefault="00183EFC" w:rsidP="00902260">
            <w:pPr>
              <w:pStyle w:val="TAL"/>
            </w:pPr>
            <w:r>
              <w:t>VflTrainingSub</w:t>
            </w:r>
            <w:r>
              <w:rPr>
                <w:rFonts w:hint="eastAsia"/>
                <w:lang w:eastAsia="zh-CN"/>
              </w:rPr>
              <w:t>s</w:t>
            </w:r>
          </w:p>
        </w:tc>
        <w:tc>
          <w:tcPr>
            <w:tcW w:w="2383" w:type="dxa"/>
            <w:tcBorders>
              <w:top w:val="single" w:sz="6" w:space="0" w:color="auto"/>
              <w:left w:val="single" w:sz="6" w:space="0" w:color="auto"/>
              <w:bottom w:val="single" w:sz="6" w:space="0" w:color="auto"/>
              <w:right w:val="single" w:sz="6" w:space="0" w:color="auto"/>
            </w:tcBorders>
          </w:tcPr>
          <w:p w14:paraId="41C81081" w14:textId="77777777" w:rsidR="00183EFC" w:rsidRPr="00E5498B" w:rsidRDefault="00183EFC" w:rsidP="00902260">
            <w:pPr>
              <w:pStyle w:val="TAL"/>
            </w:pPr>
            <w:r>
              <w:rPr>
                <w:lang w:eastAsia="zh-CN"/>
              </w:rPr>
              <w:t>5.9.6.2.2</w:t>
            </w:r>
          </w:p>
        </w:tc>
        <w:tc>
          <w:tcPr>
            <w:tcW w:w="3506" w:type="dxa"/>
            <w:tcBorders>
              <w:top w:val="single" w:sz="6" w:space="0" w:color="auto"/>
              <w:left w:val="single" w:sz="6" w:space="0" w:color="auto"/>
              <w:bottom w:val="single" w:sz="6" w:space="0" w:color="auto"/>
              <w:right w:val="single" w:sz="6" w:space="0" w:color="auto"/>
            </w:tcBorders>
          </w:tcPr>
          <w:p w14:paraId="332DF5A3" w14:textId="77777777" w:rsidR="00183EFC" w:rsidRPr="00E5498B" w:rsidRDefault="00183EFC" w:rsidP="00902260">
            <w:pPr>
              <w:pStyle w:val="TAL"/>
              <w:rPr>
                <w:lang w:eastAsia="zh-CN"/>
              </w:rPr>
            </w:pPr>
            <w:r>
              <w:rPr>
                <w:lang w:eastAsia="zh-CN"/>
              </w:rPr>
              <w:t>Represents VFL training subscription information.</w:t>
            </w:r>
          </w:p>
        </w:tc>
        <w:tc>
          <w:tcPr>
            <w:tcW w:w="1767" w:type="dxa"/>
            <w:tcBorders>
              <w:top w:val="single" w:sz="6" w:space="0" w:color="auto"/>
              <w:left w:val="single" w:sz="6" w:space="0" w:color="auto"/>
              <w:bottom w:val="single" w:sz="6" w:space="0" w:color="auto"/>
              <w:right w:val="single" w:sz="6" w:space="0" w:color="auto"/>
            </w:tcBorders>
          </w:tcPr>
          <w:p w14:paraId="053540B7" w14:textId="77777777" w:rsidR="00183EFC" w:rsidRDefault="00183EFC" w:rsidP="00902260">
            <w:pPr>
              <w:pStyle w:val="TAL"/>
              <w:rPr>
                <w:rFonts w:cs="Arial"/>
                <w:szCs w:val="18"/>
              </w:rPr>
            </w:pPr>
          </w:p>
        </w:tc>
      </w:tr>
      <w:tr w:rsidR="00183EFC" w14:paraId="71E6E279" w14:textId="77777777" w:rsidTr="00902260">
        <w:trPr>
          <w:jc w:val="center"/>
        </w:trPr>
        <w:tc>
          <w:tcPr>
            <w:tcW w:w="1768" w:type="dxa"/>
            <w:tcBorders>
              <w:top w:val="single" w:sz="6" w:space="0" w:color="auto"/>
              <w:left w:val="single" w:sz="6" w:space="0" w:color="auto"/>
              <w:bottom w:val="single" w:sz="6" w:space="0" w:color="auto"/>
              <w:right w:val="single" w:sz="6" w:space="0" w:color="auto"/>
            </w:tcBorders>
          </w:tcPr>
          <w:p w14:paraId="1459EC96" w14:textId="77777777" w:rsidR="00183EFC" w:rsidRDefault="00183EFC" w:rsidP="00902260">
            <w:pPr>
              <w:pStyle w:val="TAL"/>
            </w:pPr>
            <w:r>
              <w:t>VflTrainingSub</w:t>
            </w:r>
          </w:p>
        </w:tc>
        <w:tc>
          <w:tcPr>
            <w:tcW w:w="2383" w:type="dxa"/>
            <w:tcBorders>
              <w:top w:val="single" w:sz="6" w:space="0" w:color="auto"/>
              <w:left w:val="single" w:sz="6" w:space="0" w:color="auto"/>
              <w:bottom w:val="single" w:sz="6" w:space="0" w:color="auto"/>
              <w:right w:val="single" w:sz="6" w:space="0" w:color="auto"/>
            </w:tcBorders>
          </w:tcPr>
          <w:p w14:paraId="58D5E000" w14:textId="77777777" w:rsidR="00183EFC" w:rsidRDefault="00183EFC" w:rsidP="00902260">
            <w:pPr>
              <w:pStyle w:val="TAL"/>
              <w:rPr>
                <w:lang w:eastAsia="zh-CN"/>
              </w:rPr>
            </w:pPr>
            <w:r>
              <w:rPr>
                <w:lang w:eastAsia="zh-CN"/>
              </w:rPr>
              <w:t>5.9.6.2.3</w:t>
            </w:r>
          </w:p>
        </w:tc>
        <w:tc>
          <w:tcPr>
            <w:tcW w:w="3506" w:type="dxa"/>
            <w:tcBorders>
              <w:top w:val="single" w:sz="6" w:space="0" w:color="auto"/>
              <w:left w:val="single" w:sz="6" w:space="0" w:color="auto"/>
              <w:bottom w:val="single" w:sz="6" w:space="0" w:color="auto"/>
              <w:right w:val="single" w:sz="6" w:space="0" w:color="auto"/>
            </w:tcBorders>
          </w:tcPr>
          <w:p w14:paraId="1FFF51F8" w14:textId="77777777" w:rsidR="00183EFC" w:rsidRDefault="00183EFC" w:rsidP="00902260">
            <w:pPr>
              <w:pStyle w:val="TAL"/>
              <w:rPr>
                <w:lang w:eastAsia="zh-CN"/>
              </w:rPr>
            </w:pPr>
            <w:r>
              <w:rPr>
                <w:lang w:eastAsia="zh-CN"/>
              </w:rPr>
              <w:t>Represents VFL training subscription information for each analytics ID.</w:t>
            </w:r>
          </w:p>
        </w:tc>
        <w:tc>
          <w:tcPr>
            <w:tcW w:w="1767" w:type="dxa"/>
            <w:tcBorders>
              <w:top w:val="single" w:sz="6" w:space="0" w:color="auto"/>
              <w:left w:val="single" w:sz="6" w:space="0" w:color="auto"/>
              <w:bottom w:val="single" w:sz="6" w:space="0" w:color="auto"/>
              <w:right w:val="single" w:sz="6" w:space="0" w:color="auto"/>
            </w:tcBorders>
          </w:tcPr>
          <w:p w14:paraId="20F85523" w14:textId="77777777" w:rsidR="00183EFC" w:rsidRDefault="00183EFC" w:rsidP="00902260">
            <w:pPr>
              <w:pStyle w:val="TAL"/>
              <w:rPr>
                <w:rFonts w:cs="Arial"/>
                <w:szCs w:val="18"/>
              </w:rPr>
            </w:pPr>
          </w:p>
        </w:tc>
      </w:tr>
    </w:tbl>
    <w:p w14:paraId="418B3617" w14:textId="77777777" w:rsidR="00183EFC" w:rsidRPr="002559EB" w:rsidRDefault="00183EFC" w:rsidP="00183EFC"/>
    <w:p w14:paraId="14A6ED32" w14:textId="77777777" w:rsidR="00183EFC" w:rsidRDefault="00183EFC" w:rsidP="00183EFC">
      <w:r>
        <w:t xml:space="preserve">Table 5.9.6.1-2 specifies data types re-used by the </w:t>
      </w:r>
      <w:r>
        <w:rPr>
          <w:lang w:eastAsia="ja-JP"/>
        </w:rPr>
        <w:t>Nnwdaf_VFLTraining</w:t>
      </w:r>
      <w:r>
        <w:t xml:space="preserve"> service based interface protocol from other specifications, including a reference to their respective specifications and when needed, a short description of their use within the </w:t>
      </w:r>
      <w:r>
        <w:rPr>
          <w:lang w:eastAsia="ja-JP"/>
        </w:rPr>
        <w:t>Nnwdaf_VFLTraining</w:t>
      </w:r>
      <w:r>
        <w:t xml:space="preserve"> service based interface.</w:t>
      </w:r>
    </w:p>
    <w:p w14:paraId="62E64CA9" w14:textId="77777777" w:rsidR="00183EFC" w:rsidRDefault="00183EFC" w:rsidP="00183EFC">
      <w:pPr>
        <w:pStyle w:val="TH"/>
      </w:pPr>
      <w:r>
        <w:t xml:space="preserve">Table 5.9.6.1-2: </w:t>
      </w:r>
      <w:r>
        <w:rPr>
          <w:lang w:eastAsia="ja-JP"/>
        </w:rPr>
        <w:t>Nnwdaf_VFLTraining</w:t>
      </w:r>
      <w:r>
        <w:t xml:space="preserve"> re-used Data Types</w:t>
      </w:r>
    </w:p>
    <w:tbl>
      <w:tblPr>
        <w:tblW w:w="942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2126"/>
        <w:gridCol w:w="3733"/>
        <w:gridCol w:w="1588"/>
      </w:tblGrid>
      <w:tr w:rsidR="00183EFC" w14:paraId="0DA08D4F" w14:textId="77777777" w:rsidTr="00902260">
        <w:trPr>
          <w:jc w:val="center"/>
        </w:trPr>
        <w:tc>
          <w:tcPr>
            <w:tcW w:w="1977" w:type="dxa"/>
            <w:shd w:val="clear" w:color="auto" w:fill="C0C0C0"/>
            <w:hideMark/>
          </w:tcPr>
          <w:p w14:paraId="3817E3C2" w14:textId="77777777" w:rsidR="00183EFC" w:rsidRDefault="00183EFC" w:rsidP="00902260">
            <w:pPr>
              <w:pStyle w:val="TAH"/>
              <w:ind w:left="400" w:hanging="400"/>
            </w:pPr>
            <w:r>
              <w:t>Data type</w:t>
            </w:r>
          </w:p>
        </w:tc>
        <w:tc>
          <w:tcPr>
            <w:tcW w:w="2126" w:type="dxa"/>
            <w:shd w:val="clear" w:color="auto" w:fill="C0C0C0"/>
          </w:tcPr>
          <w:p w14:paraId="078966B1" w14:textId="77777777" w:rsidR="00183EFC" w:rsidRDefault="00183EFC" w:rsidP="00902260">
            <w:pPr>
              <w:pStyle w:val="TAH"/>
              <w:ind w:left="400" w:hanging="400"/>
            </w:pPr>
            <w:r>
              <w:t>Reference</w:t>
            </w:r>
          </w:p>
        </w:tc>
        <w:tc>
          <w:tcPr>
            <w:tcW w:w="3733" w:type="dxa"/>
            <w:shd w:val="clear" w:color="auto" w:fill="C0C0C0"/>
            <w:hideMark/>
          </w:tcPr>
          <w:p w14:paraId="3D354647" w14:textId="77777777" w:rsidR="00183EFC" w:rsidRDefault="00183EFC" w:rsidP="00902260">
            <w:pPr>
              <w:pStyle w:val="TAH"/>
              <w:ind w:left="400" w:hanging="400"/>
            </w:pPr>
            <w:r>
              <w:t>Comments</w:t>
            </w:r>
          </w:p>
        </w:tc>
        <w:tc>
          <w:tcPr>
            <w:tcW w:w="1588" w:type="dxa"/>
            <w:shd w:val="clear" w:color="auto" w:fill="C0C0C0"/>
          </w:tcPr>
          <w:p w14:paraId="3FD5F18D" w14:textId="77777777" w:rsidR="00183EFC" w:rsidRDefault="00183EFC" w:rsidP="00902260">
            <w:pPr>
              <w:pStyle w:val="TAH"/>
              <w:ind w:left="400" w:hanging="400"/>
            </w:pPr>
            <w:r>
              <w:t>Applicability</w:t>
            </w:r>
          </w:p>
        </w:tc>
      </w:tr>
      <w:tr w:rsidR="00183EFC" w14:paraId="35BBF745" w14:textId="77777777" w:rsidTr="00902260">
        <w:trPr>
          <w:jc w:val="center"/>
        </w:trPr>
        <w:tc>
          <w:tcPr>
            <w:tcW w:w="1977" w:type="dxa"/>
          </w:tcPr>
          <w:p w14:paraId="6359D66E" w14:textId="77777777" w:rsidR="00183EFC" w:rsidRDefault="00183EFC" w:rsidP="00902260">
            <w:pPr>
              <w:pStyle w:val="TAL"/>
            </w:pPr>
            <w:r>
              <w:t>DateTime</w:t>
            </w:r>
          </w:p>
        </w:tc>
        <w:tc>
          <w:tcPr>
            <w:tcW w:w="2126" w:type="dxa"/>
          </w:tcPr>
          <w:p w14:paraId="088425C9" w14:textId="77777777" w:rsidR="00183EFC" w:rsidRDefault="00183EFC" w:rsidP="00902260">
            <w:pPr>
              <w:pStyle w:val="TAL"/>
              <w:rPr>
                <w:noProof/>
              </w:rPr>
            </w:pPr>
            <w:r>
              <w:t>3GPP TS 29.571 [8]</w:t>
            </w:r>
          </w:p>
        </w:tc>
        <w:tc>
          <w:tcPr>
            <w:tcW w:w="3733" w:type="dxa"/>
          </w:tcPr>
          <w:p w14:paraId="50AA521B" w14:textId="77777777" w:rsidR="00183EFC" w:rsidRDefault="00183EFC" w:rsidP="00902260">
            <w:pPr>
              <w:pStyle w:val="TAL"/>
              <w:rPr>
                <w:lang w:eastAsia="zh-CN"/>
              </w:rPr>
            </w:pPr>
            <w:r>
              <w:t>Identifies the time.</w:t>
            </w:r>
          </w:p>
        </w:tc>
        <w:tc>
          <w:tcPr>
            <w:tcW w:w="1588" w:type="dxa"/>
          </w:tcPr>
          <w:p w14:paraId="311CB797" w14:textId="77777777" w:rsidR="00183EFC" w:rsidRPr="00465A81" w:rsidRDefault="00183EFC" w:rsidP="00902260">
            <w:pPr>
              <w:pStyle w:val="TAL"/>
              <w:rPr>
                <w:rFonts w:cs="Arial"/>
                <w:szCs w:val="18"/>
              </w:rPr>
            </w:pPr>
          </w:p>
        </w:tc>
      </w:tr>
      <w:tr w:rsidR="00183EFC" w14:paraId="462C9FD4" w14:textId="77777777" w:rsidTr="00902260">
        <w:trPr>
          <w:jc w:val="center"/>
        </w:trPr>
        <w:tc>
          <w:tcPr>
            <w:tcW w:w="1977" w:type="dxa"/>
          </w:tcPr>
          <w:p w14:paraId="0709DCA0" w14:textId="77777777" w:rsidR="00183EFC" w:rsidRDefault="00183EFC" w:rsidP="00902260">
            <w:pPr>
              <w:pStyle w:val="TAL"/>
            </w:pPr>
            <w:r>
              <w:t>DurationSec</w:t>
            </w:r>
          </w:p>
        </w:tc>
        <w:tc>
          <w:tcPr>
            <w:tcW w:w="2126" w:type="dxa"/>
          </w:tcPr>
          <w:p w14:paraId="20618F56" w14:textId="77777777" w:rsidR="00183EFC" w:rsidRDefault="00183EFC" w:rsidP="00902260">
            <w:pPr>
              <w:pStyle w:val="TAL"/>
              <w:rPr>
                <w:rFonts w:cs="Arial"/>
              </w:rPr>
            </w:pPr>
            <w:r>
              <w:t>3GPP TS 29.571 [8]</w:t>
            </w:r>
          </w:p>
        </w:tc>
        <w:tc>
          <w:tcPr>
            <w:tcW w:w="3733" w:type="dxa"/>
          </w:tcPr>
          <w:p w14:paraId="59C4AC55" w14:textId="77777777" w:rsidR="00183EFC" w:rsidRDefault="00183EFC" w:rsidP="00902260">
            <w:pPr>
              <w:pStyle w:val="TAL"/>
              <w:rPr>
                <w:lang w:eastAsia="zh-CN"/>
              </w:rPr>
            </w:pPr>
            <w:r>
              <w:t>Represents a time duration expressed in units of seconds.</w:t>
            </w:r>
          </w:p>
        </w:tc>
        <w:tc>
          <w:tcPr>
            <w:tcW w:w="1588" w:type="dxa"/>
          </w:tcPr>
          <w:p w14:paraId="69142DC4" w14:textId="77777777" w:rsidR="00183EFC" w:rsidRPr="00465A81" w:rsidRDefault="00183EFC" w:rsidP="00902260">
            <w:pPr>
              <w:pStyle w:val="TAL"/>
              <w:rPr>
                <w:rFonts w:cs="Arial"/>
                <w:szCs w:val="18"/>
              </w:rPr>
            </w:pPr>
          </w:p>
        </w:tc>
      </w:tr>
      <w:tr w:rsidR="00183EFC" w14:paraId="27D953FA" w14:textId="77777777" w:rsidTr="00902260">
        <w:trPr>
          <w:jc w:val="center"/>
        </w:trPr>
        <w:tc>
          <w:tcPr>
            <w:tcW w:w="1977" w:type="dxa"/>
          </w:tcPr>
          <w:p w14:paraId="38FC69DF" w14:textId="77777777" w:rsidR="00183EFC" w:rsidRDefault="00183EFC" w:rsidP="00902260">
            <w:pPr>
              <w:pStyle w:val="TAL"/>
            </w:pPr>
            <w:r>
              <w:t>EventFilter</w:t>
            </w:r>
          </w:p>
        </w:tc>
        <w:tc>
          <w:tcPr>
            <w:tcW w:w="2126" w:type="dxa"/>
          </w:tcPr>
          <w:p w14:paraId="46767264" w14:textId="77777777" w:rsidR="00183EFC" w:rsidRDefault="00183EFC" w:rsidP="00902260">
            <w:pPr>
              <w:pStyle w:val="TAL"/>
            </w:pPr>
            <w:r>
              <w:t>5.2.6.2.3</w:t>
            </w:r>
          </w:p>
        </w:tc>
        <w:tc>
          <w:tcPr>
            <w:tcW w:w="3733" w:type="dxa"/>
          </w:tcPr>
          <w:p w14:paraId="490F5320" w14:textId="77777777" w:rsidR="00183EFC" w:rsidRDefault="00183EFC" w:rsidP="00902260">
            <w:pPr>
              <w:pStyle w:val="TAL"/>
            </w:pPr>
            <w:r>
              <w:rPr>
                <w:rFonts w:cs="Arial"/>
                <w:szCs w:val="18"/>
                <w:lang w:eastAsia="zh-CN"/>
              </w:rPr>
              <w:t>Identifies the filter for the subscribed event.</w:t>
            </w:r>
          </w:p>
        </w:tc>
        <w:tc>
          <w:tcPr>
            <w:tcW w:w="1588" w:type="dxa"/>
          </w:tcPr>
          <w:p w14:paraId="6BF4C292" w14:textId="77777777" w:rsidR="00183EFC" w:rsidRPr="00465A81" w:rsidRDefault="00183EFC" w:rsidP="00902260">
            <w:pPr>
              <w:pStyle w:val="TAL"/>
              <w:rPr>
                <w:rFonts w:cs="Arial"/>
                <w:szCs w:val="18"/>
              </w:rPr>
            </w:pPr>
          </w:p>
        </w:tc>
      </w:tr>
      <w:tr w:rsidR="00183EFC" w14:paraId="413D4A37" w14:textId="77777777" w:rsidTr="00902260">
        <w:trPr>
          <w:jc w:val="center"/>
        </w:trPr>
        <w:tc>
          <w:tcPr>
            <w:tcW w:w="1977" w:type="dxa"/>
          </w:tcPr>
          <w:p w14:paraId="577757E3" w14:textId="77777777" w:rsidR="00183EFC" w:rsidRDefault="00183EFC" w:rsidP="00902260">
            <w:pPr>
              <w:pStyle w:val="TAL"/>
            </w:pPr>
            <w:r>
              <w:t>MLModelMetric</w:t>
            </w:r>
          </w:p>
        </w:tc>
        <w:tc>
          <w:tcPr>
            <w:tcW w:w="2126" w:type="dxa"/>
          </w:tcPr>
          <w:p w14:paraId="187396E7" w14:textId="77777777" w:rsidR="00183EFC" w:rsidRDefault="00183EFC" w:rsidP="00902260">
            <w:pPr>
              <w:pStyle w:val="TAL"/>
            </w:pPr>
            <w:r>
              <w:rPr>
                <w:rFonts w:cs="Arial" w:hint="eastAsia"/>
                <w:lang w:eastAsia="zh-CN"/>
              </w:rPr>
              <w:t>5</w:t>
            </w:r>
            <w:r>
              <w:rPr>
                <w:rFonts w:cs="Arial"/>
                <w:lang w:eastAsia="zh-CN"/>
              </w:rPr>
              <w:t>.4.6.3.4</w:t>
            </w:r>
          </w:p>
        </w:tc>
        <w:tc>
          <w:tcPr>
            <w:tcW w:w="3733" w:type="dxa"/>
          </w:tcPr>
          <w:p w14:paraId="2570E3ED" w14:textId="77777777" w:rsidR="00183EFC" w:rsidRDefault="00183EFC" w:rsidP="00902260">
            <w:pPr>
              <w:pStyle w:val="TAL"/>
              <w:rPr>
                <w:rFonts w:cs="Arial"/>
                <w:szCs w:val="18"/>
                <w:lang w:eastAsia="zh-CN"/>
              </w:rPr>
            </w:pPr>
            <w:r>
              <w:rPr>
                <w:rFonts w:hint="eastAsia"/>
                <w:lang w:eastAsia="zh-CN"/>
              </w:rPr>
              <w:t>I</w:t>
            </w:r>
            <w:r>
              <w:rPr>
                <w:lang w:eastAsia="zh-CN"/>
              </w:rPr>
              <w:t xml:space="preserve">ndicates the </w:t>
            </w:r>
            <w:r>
              <w:t>ML Model Metric.</w:t>
            </w:r>
          </w:p>
        </w:tc>
        <w:tc>
          <w:tcPr>
            <w:tcW w:w="1588" w:type="dxa"/>
          </w:tcPr>
          <w:p w14:paraId="76E4C3ED" w14:textId="77777777" w:rsidR="00183EFC" w:rsidRPr="00465A81" w:rsidRDefault="00183EFC" w:rsidP="00902260">
            <w:pPr>
              <w:pStyle w:val="TAL"/>
              <w:rPr>
                <w:rFonts w:cs="Arial"/>
                <w:szCs w:val="18"/>
              </w:rPr>
            </w:pPr>
          </w:p>
        </w:tc>
      </w:tr>
      <w:tr w:rsidR="00183EFC" w14:paraId="791947FD" w14:textId="77777777" w:rsidTr="00902260">
        <w:trPr>
          <w:jc w:val="center"/>
        </w:trPr>
        <w:tc>
          <w:tcPr>
            <w:tcW w:w="1977" w:type="dxa"/>
          </w:tcPr>
          <w:p w14:paraId="67550834" w14:textId="77777777" w:rsidR="00183EFC" w:rsidRDefault="00183EFC" w:rsidP="00902260">
            <w:pPr>
              <w:pStyle w:val="TAL"/>
            </w:pPr>
            <w:r>
              <w:t>NwdafEvent</w:t>
            </w:r>
          </w:p>
        </w:tc>
        <w:tc>
          <w:tcPr>
            <w:tcW w:w="2126" w:type="dxa"/>
          </w:tcPr>
          <w:p w14:paraId="4428A621" w14:textId="77777777" w:rsidR="00183EFC" w:rsidRDefault="00183EFC" w:rsidP="00902260">
            <w:pPr>
              <w:pStyle w:val="TAL"/>
              <w:rPr>
                <w:noProof/>
              </w:rPr>
            </w:pPr>
            <w:r>
              <w:rPr>
                <w:rFonts w:cs="Arial"/>
              </w:rPr>
              <w:t>5.1.6.3.4</w:t>
            </w:r>
          </w:p>
        </w:tc>
        <w:tc>
          <w:tcPr>
            <w:tcW w:w="3733" w:type="dxa"/>
          </w:tcPr>
          <w:p w14:paraId="667A27C3" w14:textId="77777777" w:rsidR="00183EFC" w:rsidRDefault="00183EFC" w:rsidP="00902260">
            <w:pPr>
              <w:pStyle w:val="TAL"/>
              <w:rPr>
                <w:lang w:eastAsia="zh-CN"/>
              </w:rPr>
            </w:pPr>
            <w:r>
              <w:rPr>
                <w:rFonts w:hint="eastAsia"/>
                <w:lang w:eastAsia="zh-CN"/>
              </w:rPr>
              <w:t>I</w:t>
            </w:r>
            <w:r>
              <w:rPr>
                <w:lang w:eastAsia="zh-CN"/>
              </w:rPr>
              <w:t>ndicates the NWDAF events.</w:t>
            </w:r>
          </w:p>
        </w:tc>
        <w:tc>
          <w:tcPr>
            <w:tcW w:w="1588" w:type="dxa"/>
          </w:tcPr>
          <w:p w14:paraId="775453A1" w14:textId="77777777" w:rsidR="00183EFC" w:rsidRPr="00465A81" w:rsidRDefault="00183EFC" w:rsidP="00902260">
            <w:pPr>
              <w:pStyle w:val="TAL"/>
              <w:rPr>
                <w:rFonts w:cs="Arial"/>
                <w:szCs w:val="18"/>
              </w:rPr>
            </w:pPr>
          </w:p>
        </w:tc>
      </w:tr>
      <w:tr w:rsidR="00183EFC" w14:paraId="613D8310" w14:textId="77777777" w:rsidTr="00902260">
        <w:trPr>
          <w:jc w:val="center"/>
        </w:trPr>
        <w:tc>
          <w:tcPr>
            <w:tcW w:w="1977" w:type="dxa"/>
          </w:tcPr>
          <w:p w14:paraId="59EBA287" w14:textId="77777777" w:rsidR="00183EFC" w:rsidRDefault="00183EFC" w:rsidP="00902260">
            <w:pPr>
              <w:pStyle w:val="TAL"/>
              <w:rPr>
                <w:lang w:eastAsia="zh-CN"/>
              </w:rPr>
            </w:pPr>
            <w:r>
              <w:t>ReportingInformation</w:t>
            </w:r>
          </w:p>
        </w:tc>
        <w:tc>
          <w:tcPr>
            <w:tcW w:w="2126" w:type="dxa"/>
          </w:tcPr>
          <w:p w14:paraId="3FC70B5B" w14:textId="77777777" w:rsidR="00183EFC" w:rsidRDefault="00183EFC" w:rsidP="00902260">
            <w:pPr>
              <w:pStyle w:val="TAL"/>
              <w:rPr>
                <w:lang w:eastAsia="zh-CN"/>
              </w:rPr>
            </w:pPr>
            <w:r>
              <w:t>3GPP TS 29.523 [20]</w:t>
            </w:r>
          </w:p>
        </w:tc>
        <w:tc>
          <w:tcPr>
            <w:tcW w:w="3733" w:type="dxa"/>
          </w:tcPr>
          <w:p w14:paraId="520B74A1" w14:textId="77777777" w:rsidR="00183EFC" w:rsidRDefault="00183EFC" w:rsidP="00902260">
            <w:pPr>
              <w:pStyle w:val="TAL"/>
              <w:rPr>
                <w:rFonts w:cs="Arial"/>
                <w:szCs w:val="18"/>
              </w:rPr>
            </w:pPr>
            <w:r>
              <w:t>Represents the type of reporting a subscription requires.</w:t>
            </w:r>
          </w:p>
        </w:tc>
        <w:tc>
          <w:tcPr>
            <w:tcW w:w="1588" w:type="dxa"/>
          </w:tcPr>
          <w:p w14:paraId="1C8624C6" w14:textId="77777777" w:rsidR="00183EFC" w:rsidRPr="00465A81" w:rsidRDefault="00183EFC" w:rsidP="00902260">
            <w:pPr>
              <w:pStyle w:val="TAL"/>
              <w:rPr>
                <w:rFonts w:cs="Arial"/>
                <w:szCs w:val="18"/>
              </w:rPr>
            </w:pPr>
          </w:p>
        </w:tc>
      </w:tr>
      <w:tr w:rsidR="00183EFC" w14:paraId="782CCBBB" w14:textId="77777777" w:rsidTr="00902260">
        <w:trPr>
          <w:jc w:val="center"/>
        </w:trPr>
        <w:tc>
          <w:tcPr>
            <w:tcW w:w="1977" w:type="dxa"/>
          </w:tcPr>
          <w:p w14:paraId="0FD9F36D" w14:textId="77777777" w:rsidR="00183EFC" w:rsidRDefault="00183EFC" w:rsidP="00902260">
            <w:pPr>
              <w:pStyle w:val="TAL"/>
            </w:pPr>
            <w:r>
              <w:rPr>
                <w:lang w:eastAsia="zh-CN"/>
              </w:rPr>
              <w:t>Supi</w:t>
            </w:r>
          </w:p>
        </w:tc>
        <w:tc>
          <w:tcPr>
            <w:tcW w:w="2126" w:type="dxa"/>
          </w:tcPr>
          <w:p w14:paraId="375C64AE" w14:textId="77777777" w:rsidR="00183EFC" w:rsidRDefault="00183EFC" w:rsidP="00902260">
            <w:pPr>
              <w:pStyle w:val="TAL"/>
              <w:rPr>
                <w:noProof/>
              </w:rPr>
            </w:pPr>
            <w:r>
              <w:rPr>
                <w:lang w:eastAsia="zh-CN"/>
              </w:rPr>
              <w:t>3GPP</w:t>
            </w:r>
            <w:r>
              <w:rPr>
                <w:lang w:val="en-US" w:eastAsia="zh-CN"/>
              </w:rPr>
              <w:t> </w:t>
            </w:r>
            <w:r>
              <w:rPr>
                <w:lang w:eastAsia="zh-CN"/>
              </w:rPr>
              <w:t>TS</w:t>
            </w:r>
            <w:r>
              <w:rPr>
                <w:lang w:val="en-US" w:eastAsia="zh-CN"/>
              </w:rPr>
              <w:t> </w:t>
            </w:r>
            <w:r>
              <w:rPr>
                <w:lang w:eastAsia="zh-CN"/>
              </w:rPr>
              <w:t>29.571</w:t>
            </w:r>
            <w:r>
              <w:rPr>
                <w:lang w:val="en-US" w:eastAsia="zh-CN"/>
              </w:rPr>
              <w:t> </w:t>
            </w:r>
            <w:r>
              <w:rPr>
                <w:lang w:eastAsia="zh-CN"/>
              </w:rPr>
              <w:t>[8]</w:t>
            </w:r>
          </w:p>
        </w:tc>
        <w:tc>
          <w:tcPr>
            <w:tcW w:w="3733" w:type="dxa"/>
          </w:tcPr>
          <w:p w14:paraId="6E8F3702" w14:textId="77777777" w:rsidR="00183EFC" w:rsidRDefault="00183EFC" w:rsidP="00902260">
            <w:pPr>
              <w:pStyle w:val="TAL"/>
              <w:rPr>
                <w:lang w:eastAsia="zh-CN"/>
              </w:rPr>
            </w:pPr>
            <w:r>
              <w:rPr>
                <w:rFonts w:cs="Arial"/>
                <w:szCs w:val="18"/>
              </w:rPr>
              <w:t>Identifies the UE.</w:t>
            </w:r>
          </w:p>
        </w:tc>
        <w:tc>
          <w:tcPr>
            <w:tcW w:w="1588" w:type="dxa"/>
          </w:tcPr>
          <w:p w14:paraId="073E32BA" w14:textId="77777777" w:rsidR="00183EFC" w:rsidRPr="00465A81" w:rsidRDefault="00183EFC" w:rsidP="00902260">
            <w:pPr>
              <w:pStyle w:val="TAL"/>
              <w:rPr>
                <w:rFonts w:cs="Arial"/>
                <w:szCs w:val="18"/>
              </w:rPr>
            </w:pPr>
          </w:p>
        </w:tc>
      </w:tr>
      <w:tr w:rsidR="00183EFC" w14:paraId="78AD62EC" w14:textId="77777777" w:rsidTr="00902260">
        <w:trPr>
          <w:jc w:val="center"/>
        </w:trPr>
        <w:tc>
          <w:tcPr>
            <w:tcW w:w="1977" w:type="dxa"/>
          </w:tcPr>
          <w:p w14:paraId="6990ADAE" w14:textId="77777777" w:rsidR="00183EFC" w:rsidRDefault="00183EFC" w:rsidP="00902260">
            <w:pPr>
              <w:pStyle w:val="TAL"/>
            </w:pPr>
            <w:r>
              <w:t>SupportedFeatures</w:t>
            </w:r>
          </w:p>
        </w:tc>
        <w:tc>
          <w:tcPr>
            <w:tcW w:w="2126" w:type="dxa"/>
          </w:tcPr>
          <w:p w14:paraId="6E63EA03" w14:textId="77777777" w:rsidR="00183EFC" w:rsidRDefault="00183EFC" w:rsidP="00902260">
            <w:pPr>
              <w:pStyle w:val="TAL"/>
              <w:rPr>
                <w:noProof/>
              </w:rPr>
            </w:pPr>
            <w:r>
              <w:t>3GPP TS 29.571 [8]</w:t>
            </w:r>
          </w:p>
        </w:tc>
        <w:tc>
          <w:tcPr>
            <w:tcW w:w="3733" w:type="dxa"/>
          </w:tcPr>
          <w:p w14:paraId="0A157452" w14:textId="77777777" w:rsidR="00183EFC" w:rsidRDefault="00183EFC" w:rsidP="00902260">
            <w:pPr>
              <w:pStyle w:val="TAL"/>
              <w:rPr>
                <w:lang w:eastAsia="zh-CN"/>
              </w:rPr>
            </w:pPr>
            <w:r>
              <w:t>Used to negotiate the applicability of the optional features defined in table 5.7.8-1.</w:t>
            </w:r>
          </w:p>
        </w:tc>
        <w:tc>
          <w:tcPr>
            <w:tcW w:w="1588" w:type="dxa"/>
          </w:tcPr>
          <w:p w14:paraId="741C31BF" w14:textId="77777777" w:rsidR="00183EFC" w:rsidRPr="00465A81" w:rsidRDefault="00183EFC" w:rsidP="00902260">
            <w:pPr>
              <w:pStyle w:val="TAL"/>
              <w:rPr>
                <w:rFonts w:cs="Arial"/>
                <w:szCs w:val="18"/>
              </w:rPr>
            </w:pPr>
          </w:p>
        </w:tc>
      </w:tr>
      <w:tr w:rsidR="00183EFC" w14:paraId="2C50A8E2" w14:textId="77777777" w:rsidTr="00902260">
        <w:trPr>
          <w:jc w:val="center"/>
        </w:trPr>
        <w:tc>
          <w:tcPr>
            <w:tcW w:w="1977" w:type="dxa"/>
          </w:tcPr>
          <w:p w14:paraId="2EB8DF5D" w14:textId="77777777" w:rsidR="00183EFC" w:rsidRDefault="00183EFC" w:rsidP="00902260">
            <w:pPr>
              <w:pStyle w:val="TAL"/>
            </w:pPr>
            <w:r w:rsidRPr="0062623E">
              <w:t>TimeWindow</w:t>
            </w:r>
          </w:p>
        </w:tc>
        <w:tc>
          <w:tcPr>
            <w:tcW w:w="2126" w:type="dxa"/>
          </w:tcPr>
          <w:p w14:paraId="055DAE5B" w14:textId="77777777" w:rsidR="00183EFC" w:rsidRDefault="00183EFC" w:rsidP="00902260">
            <w:pPr>
              <w:pStyle w:val="TAL"/>
            </w:pPr>
            <w:r w:rsidRPr="0062623E">
              <w:t>3GPP TS 29.122 [19]</w:t>
            </w:r>
          </w:p>
        </w:tc>
        <w:tc>
          <w:tcPr>
            <w:tcW w:w="3733" w:type="dxa"/>
          </w:tcPr>
          <w:p w14:paraId="75F69C0B" w14:textId="77777777" w:rsidR="00183EFC" w:rsidRDefault="00183EFC" w:rsidP="00902260">
            <w:pPr>
              <w:pStyle w:val="TAL"/>
            </w:pPr>
            <w:r w:rsidRPr="0062623E">
              <w:t>Represents a time window.</w:t>
            </w:r>
          </w:p>
        </w:tc>
        <w:tc>
          <w:tcPr>
            <w:tcW w:w="1588" w:type="dxa"/>
          </w:tcPr>
          <w:p w14:paraId="10CD3AAD" w14:textId="77777777" w:rsidR="00183EFC" w:rsidRPr="00465A81" w:rsidRDefault="00183EFC" w:rsidP="00902260">
            <w:pPr>
              <w:pStyle w:val="TAL"/>
              <w:rPr>
                <w:rFonts w:cs="Arial"/>
                <w:szCs w:val="18"/>
              </w:rPr>
            </w:pPr>
          </w:p>
        </w:tc>
      </w:tr>
      <w:tr w:rsidR="00183EFC" w14:paraId="4C1B11B5" w14:textId="77777777" w:rsidTr="00902260">
        <w:trPr>
          <w:jc w:val="center"/>
        </w:trPr>
        <w:tc>
          <w:tcPr>
            <w:tcW w:w="1977" w:type="dxa"/>
          </w:tcPr>
          <w:p w14:paraId="2D6BBC1F" w14:textId="77777777" w:rsidR="00183EFC" w:rsidRDefault="00183EFC" w:rsidP="00902260">
            <w:pPr>
              <w:pStyle w:val="TAL"/>
            </w:pPr>
            <w:r>
              <w:t>Uinteger</w:t>
            </w:r>
          </w:p>
        </w:tc>
        <w:tc>
          <w:tcPr>
            <w:tcW w:w="2126" w:type="dxa"/>
          </w:tcPr>
          <w:p w14:paraId="191CB8D2" w14:textId="77777777" w:rsidR="00183EFC" w:rsidRDefault="00183EFC" w:rsidP="00902260">
            <w:pPr>
              <w:pStyle w:val="TAL"/>
              <w:rPr>
                <w:noProof/>
              </w:rPr>
            </w:pPr>
            <w:r>
              <w:t>3GPP TS 29.571 [8]</w:t>
            </w:r>
          </w:p>
        </w:tc>
        <w:tc>
          <w:tcPr>
            <w:tcW w:w="3733" w:type="dxa"/>
          </w:tcPr>
          <w:p w14:paraId="7DEB15AB" w14:textId="77777777" w:rsidR="00183EFC" w:rsidRDefault="00183EFC" w:rsidP="00902260">
            <w:pPr>
              <w:pStyle w:val="TAL"/>
              <w:rPr>
                <w:lang w:eastAsia="zh-CN"/>
              </w:rPr>
            </w:pPr>
            <w:r>
              <w:t>Unsigned Integer, i.e. only value 0 and integers above 0 are permissible.</w:t>
            </w:r>
          </w:p>
        </w:tc>
        <w:tc>
          <w:tcPr>
            <w:tcW w:w="1588" w:type="dxa"/>
          </w:tcPr>
          <w:p w14:paraId="3EAB48F7" w14:textId="77777777" w:rsidR="00183EFC" w:rsidRPr="00465A81" w:rsidRDefault="00183EFC" w:rsidP="00902260">
            <w:pPr>
              <w:pStyle w:val="TAL"/>
              <w:rPr>
                <w:rFonts w:cs="Arial"/>
                <w:szCs w:val="18"/>
              </w:rPr>
            </w:pPr>
          </w:p>
        </w:tc>
      </w:tr>
      <w:tr w:rsidR="00183EFC" w14:paraId="5669AC16" w14:textId="77777777" w:rsidTr="00902260">
        <w:trPr>
          <w:jc w:val="center"/>
        </w:trPr>
        <w:tc>
          <w:tcPr>
            <w:tcW w:w="1977" w:type="dxa"/>
          </w:tcPr>
          <w:p w14:paraId="45832EC3" w14:textId="77777777" w:rsidR="00183EFC" w:rsidRDefault="00183EFC" w:rsidP="00902260">
            <w:pPr>
              <w:pStyle w:val="TAL"/>
            </w:pPr>
            <w:r>
              <w:t>Uri</w:t>
            </w:r>
          </w:p>
        </w:tc>
        <w:tc>
          <w:tcPr>
            <w:tcW w:w="2126" w:type="dxa"/>
          </w:tcPr>
          <w:p w14:paraId="54A5B8CB" w14:textId="77777777" w:rsidR="00183EFC" w:rsidRDefault="00183EFC" w:rsidP="00902260">
            <w:pPr>
              <w:pStyle w:val="TAL"/>
              <w:rPr>
                <w:noProof/>
              </w:rPr>
            </w:pPr>
            <w:r>
              <w:t>3GPP TS 29.571 [8]</w:t>
            </w:r>
          </w:p>
        </w:tc>
        <w:tc>
          <w:tcPr>
            <w:tcW w:w="3733" w:type="dxa"/>
          </w:tcPr>
          <w:p w14:paraId="74AF284C" w14:textId="77777777" w:rsidR="00183EFC" w:rsidRDefault="00183EFC" w:rsidP="00902260">
            <w:pPr>
              <w:pStyle w:val="TAL"/>
              <w:rPr>
                <w:lang w:eastAsia="zh-CN"/>
              </w:rPr>
            </w:pPr>
            <w:r>
              <w:rPr>
                <w:rFonts w:hint="eastAsia"/>
                <w:lang w:eastAsia="zh-CN"/>
              </w:rPr>
              <w:t>I</w:t>
            </w:r>
            <w:r>
              <w:rPr>
                <w:lang w:eastAsia="zh-CN"/>
              </w:rPr>
              <w:t xml:space="preserve">ndicates the </w:t>
            </w:r>
            <w:r>
              <w:rPr>
                <w:rFonts w:cs="Arial"/>
                <w:szCs w:val="18"/>
              </w:rPr>
              <w:t>URI.</w:t>
            </w:r>
          </w:p>
        </w:tc>
        <w:tc>
          <w:tcPr>
            <w:tcW w:w="1588" w:type="dxa"/>
          </w:tcPr>
          <w:p w14:paraId="7EA9E2AB" w14:textId="77777777" w:rsidR="00183EFC" w:rsidRPr="00465A81" w:rsidRDefault="00183EFC" w:rsidP="00902260">
            <w:pPr>
              <w:pStyle w:val="TAL"/>
              <w:rPr>
                <w:rFonts w:cs="Arial"/>
                <w:szCs w:val="18"/>
              </w:rPr>
            </w:pPr>
          </w:p>
        </w:tc>
      </w:tr>
    </w:tbl>
    <w:p w14:paraId="2EFBAC79" w14:textId="77777777" w:rsidR="00183EFC" w:rsidRDefault="00183EFC" w:rsidP="00183EFC"/>
    <w:p w14:paraId="081467B1" w14:textId="77777777" w:rsidR="00183EFC" w:rsidRDefault="00183EFC" w:rsidP="00183EFC">
      <w:pPr>
        <w:pStyle w:val="4"/>
        <w:rPr>
          <w:lang w:val="en-US"/>
        </w:rPr>
      </w:pPr>
      <w:bookmarkStart w:id="16924" w:name="_Toc510696634"/>
      <w:bookmarkStart w:id="16925" w:name="_Toc35971429"/>
      <w:bookmarkStart w:id="16926" w:name="_Toc67903545"/>
      <w:bookmarkStart w:id="16927" w:name="_Toc73173277"/>
      <w:bookmarkStart w:id="16928" w:name="_Toc96959866"/>
      <w:bookmarkStart w:id="16929" w:name="_Toc129247580"/>
      <w:bookmarkStart w:id="16930" w:name="_Toc164863329"/>
      <w:bookmarkStart w:id="16931" w:name="_Toc192881262"/>
      <w:bookmarkStart w:id="16932" w:name="_Toc199453449"/>
      <w:bookmarkEnd w:id="16833"/>
      <w:r>
        <w:rPr>
          <w:lang w:val="en-US"/>
        </w:rPr>
        <w:t>5.9.6.2</w:t>
      </w:r>
      <w:r>
        <w:rPr>
          <w:lang w:val="en-US"/>
        </w:rPr>
        <w:tab/>
        <w:t>Structured data types</w:t>
      </w:r>
      <w:bookmarkEnd w:id="16924"/>
      <w:bookmarkEnd w:id="16925"/>
      <w:bookmarkEnd w:id="16926"/>
      <w:bookmarkEnd w:id="16927"/>
      <w:bookmarkEnd w:id="16928"/>
      <w:bookmarkEnd w:id="16929"/>
      <w:bookmarkEnd w:id="16930"/>
      <w:bookmarkEnd w:id="16931"/>
      <w:bookmarkEnd w:id="16932"/>
    </w:p>
    <w:p w14:paraId="11DA9A97" w14:textId="77777777" w:rsidR="00183EFC" w:rsidRDefault="00183EFC" w:rsidP="00183EFC">
      <w:pPr>
        <w:pStyle w:val="5"/>
      </w:pPr>
      <w:bookmarkStart w:id="16933" w:name="_Toc510696635"/>
      <w:bookmarkStart w:id="16934" w:name="_Toc35971430"/>
      <w:bookmarkStart w:id="16935" w:name="_Toc67903546"/>
      <w:bookmarkStart w:id="16936" w:name="_Toc73173278"/>
      <w:bookmarkStart w:id="16937" w:name="_Toc96959867"/>
      <w:bookmarkStart w:id="16938" w:name="_Toc129247581"/>
      <w:bookmarkStart w:id="16939" w:name="_Toc164863330"/>
      <w:bookmarkStart w:id="16940" w:name="_Toc192881263"/>
      <w:bookmarkStart w:id="16941" w:name="_Toc199453450"/>
      <w:r>
        <w:t>5.9.6.2.1</w:t>
      </w:r>
      <w:r>
        <w:tab/>
        <w:t>Introduction</w:t>
      </w:r>
      <w:bookmarkEnd w:id="16933"/>
      <w:bookmarkEnd w:id="16934"/>
      <w:bookmarkEnd w:id="16935"/>
      <w:bookmarkEnd w:id="16936"/>
      <w:bookmarkEnd w:id="16937"/>
      <w:bookmarkEnd w:id="16938"/>
      <w:bookmarkEnd w:id="16939"/>
      <w:bookmarkEnd w:id="16940"/>
      <w:bookmarkEnd w:id="16941"/>
    </w:p>
    <w:p w14:paraId="0A69498F" w14:textId="77777777" w:rsidR="00183EFC" w:rsidRDefault="00183EFC" w:rsidP="00183EFC">
      <w:r>
        <w:t>This clause defines the structures to be used in resource representations.</w:t>
      </w:r>
    </w:p>
    <w:p w14:paraId="043796FE" w14:textId="77777777" w:rsidR="00183EFC" w:rsidRDefault="00183EFC" w:rsidP="00183EFC">
      <w:pPr>
        <w:pStyle w:val="5"/>
      </w:pPr>
      <w:bookmarkStart w:id="16942" w:name="_Toc199453451"/>
      <w:r>
        <w:lastRenderedPageBreak/>
        <w:t>5.9.6.2.2</w:t>
      </w:r>
      <w:r>
        <w:tab/>
        <w:t>Type VflTrainingSub</w:t>
      </w:r>
      <w:r>
        <w:rPr>
          <w:rFonts w:hint="eastAsia"/>
          <w:lang w:eastAsia="zh-CN"/>
        </w:rPr>
        <w:t>s</w:t>
      </w:r>
      <w:bookmarkEnd w:id="16942"/>
    </w:p>
    <w:p w14:paraId="63A84FE9" w14:textId="77777777" w:rsidR="00183EFC" w:rsidRDefault="00183EFC" w:rsidP="00183EFC">
      <w:pPr>
        <w:pStyle w:val="TH"/>
      </w:pPr>
      <w:r>
        <w:t>Table 5.9.6.2.2-1: Definition of type VflTrainingSubs</w:t>
      </w:r>
    </w:p>
    <w:tbl>
      <w:tblPr>
        <w:tblW w:w="952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0"/>
        <w:gridCol w:w="1984"/>
        <w:gridCol w:w="426"/>
        <w:gridCol w:w="1134"/>
        <w:gridCol w:w="2835"/>
        <w:gridCol w:w="1736"/>
      </w:tblGrid>
      <w:tr w:rsidR="00183EFC" w14:paraId="7D9A7C9E" w14:textId="77777777" w:rsidTr="00902260">
        <w:trPr>
          <w:jc w:val="center"/>
        </w:trPr>
        <w:tc>
          <w:tcPr>
            <w:tcW w:w="1410" w:type="dxa"/>
            <w:shd w:val="clear" w:color="auto" w:fill="C0C0C0"/>
          </w:tcPr>
          <w:p w14:paraId="4B0E7BFB" w14:textId="77777777" w:rsidR="00183EFC" w:rsidRDefault="00183EFC" w:rsidP="00902260">
            <w:pPr>
              <w:keepNext/>
              <w:keepLines/>
              <w:spacing w:after="0"/>
              <w:jc w:val="center"/>
              <w:rPr>
                <w:rFonts w:ascii="Arial" w:hAnsi="Arial"/>
                <w:b/>
                <w:sz w:val="18"/>
              </w:rPr>
            </w:pPr>
            <w:r>
              <w:rPr>
                <w:rFonts w:ascii="Arial" w:hAnsi="Arial"/>
                <w:b/>
                <w:sz w:val="18"/>
              </w:rPr>
              <w:t>Attribute name</w:t>
            </w:r>
          </w:p>
        </w:tc>
        <w:tc>
          <w:tcPr>
            <w:tcW w:w="1984" w:type="dxa"/>
            <w:shd w:val="clear" w:color="auto" w:fill="C0C0C0"/>
          </w:tcPr>
          <w:p w14:paraId="05B719F7" w14:textId="77777777" w:rsidR="00183EFC" w:rsidRDefault="00183EFC" w:rsidP="00902260">
            <w:pPr>
              <w:keepNext/>
              <w:keepLines/>
              <w:spacing w:after="0"/>
              <w:jc w:val="center"/>
              <w:rPr>
                <w:rFonts w:ascii="Arial" w:hAnsi="Arial"/>
                <w:b/>
                <w:sz w:val="18"/>
              </w:rPr>
            </w:pPr>
            <w:r>
              <w:rPr>
                <w:rFonts w:ascii="Arial" w:hAnsi="Arial"/>
                <w:b/>
                <w:sz w:val="18"/>
              </w:rPr>
              <w:t>Data type</w:t>
            </w:r>
          </w:p>
        </w:tc>
        <w:tc>
          <w:tcPr>
            <w:tcW w:w="426" w:type="dxa"/>
            <w:shd w:val="clear" w:color="auto" w:fill="C0C0C0"/>
          </w:tcPr>
          <w:p w14:paraId="5C6BBAAC" w14:textId="77777777" w:rsidR="00183EFC" w:rsidRDefault="00183EFC" w:rsidP="00902260">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2BE53D31" w14:textId="77777777" w:rsidR="00183EFC" w:rsidRDefault="00183EFC" w:rsidP="00902260">
            <w:pPr>
              <w:keepNext/>
              <w:keepLines/>
              <w:spacing w:after="0"/>
              <w:rPr>
                <w:rFonts w:ascii="Arial" w:hAnsi="Arial"/>
                <w:b/>
                <w:sz w:val="18"/>
              </w:rPr>
            </w:pPr>
            <w:r>
              <w:rPr>
                <w:rFonts w:ascii="Arial" w:hAnsi="Arial"/>
                <w:b/>
                <w:sz w:val="18"/>
              </w:rPr>
              <w:t>Cardinality</w:t>
            </w:r>
          </w:p>
        </w:tc>
        <w:tc>
          <w:tcPr>
            <w:tcW w:w="2835" w:type="dxa"/>
            <w:shd w:val="clear" w:color="auto" w:fill="C0C0C0"/>
          </w:tcPr>
          <w:p w14:paraId="14693913"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Description</w:t>
            </w:r>
          </w:p>
        </w:tc>
        <w:tc>
          <w:tcPr>
            <w:tcW w:w="1736" w:type="dxa"/>
            <w:shd w:val="clear" w:color="auto" w:fill="C0C0C0"/>
          </w:tcPr>
          <w:p w14:paraId="23BF5131"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Applicability</w:t>
            </w:r>
          </w:p>
        </w:tc>
      </w:tr>
      <w:tr w:rsidR="00183EFC" w14:paraId="56C721C5" w14:textId="77777777" w:rsidTr="00253BF3">
        <w:trPr>
          <w:jc w:val="center"/>
        </w:trPr>
        <w:tc>
          <w:tcPr>
            <w:tcW w:w="1410" w:type="dxa"/>
          </w:tcPr>
          <w:p w14:paraId="2AABC5F7" w14:textId="77777777" w:rsidR="00183EFC" w:rsidRDefault="00183EFC" w:rsidP="00902260">
            <w:pPr>
              <w:pStyle w:val="TAL"/>
              <w:rPr>
                <w:lang w:eastAsia="zh-CN"/>
              </w:rPr>
            </w:pPr>
            <w:r>
              <w:rPr>
                <w:lang w:eastAsia="zh-CN"/>
              </w:rPr>
              <w:t>notifUri</w:t>
            </w:r>
          </w:p>
        </w:tc>
        <w:tc>
          <w:tcPr>
            <w:tcW w:w="1984" w:type="dxa"/>
          </w:tcPr>
          <w:p w14:paraId="1AD66548" w14:textId="77777777" w:rsidR="00183EFC" w:rsidRDefault="00183EFC" w:rsidP="00902260">
            <w:pPr>
              <w:pStyle w:val="TAL"/>
            </w:pPr>
            <w:r>
              <w:t>Uri</w:t>
            </w:r>
          </w:p>
        </w:tc>
        <w:tc>
          <w:tcPr>
            <w:tcW w:w="426" w:type="dxa"/>
          </w:tcPr>
          <w:p w14:paraId="2DF838C0" w14:textId="77777777" w:rsidR="00183EFC" w:rsidRDefault="00183EFC" w:rsidP="00902260">
            <w:pPr>
              <w:pStyle w:val="TAL"/>
              <w:jc w:val="center"/>
            </w:pPr>
            <w:r>
              <w:t>M</w:t>
            </w:r>
          </w:p>
        </w:tc>
        <w:tc>
          <w:tcPr>
            <w:tcW w:w="1134" w:type="dxa"/>
          </w:tcPr>
          <w:p w14:paraId="26A5DD11" w14:textId="77777777" w:rsidR="00183EFC" w:rsidRDefault="00183EFC" w:rsidP="00902260">
            <w:pPr>
              <w:pStyle w:val="TAL"/>
              <w:jc w:val="center"/>
            </w:pPr>
            <w:r>
              <w:t>1</w:t>
            </w:r>
          </w:p>
        </w:tc>
        <w:tc>
          <w:tcPr>
            <w:tcW w:w="2835" w:type="dxa"/>
          </w:tcPr>
          <w:p w14:paraId="441E9B4F" w14:textId="77777777" w:rsidR="00183EFC" w:rsidRPr="00DA2B25" w:rsidRDefault="00183EFC" w:rsidP="00902260">
            <w:pPr>
              <w:keepNext/>
              <w:keepLines/>
              <w:spacing w:after="0"/>
              <w:rPr>
                <w:rFonts w:ascii="Arial" w:hAnsi="Arial"/>
                <w:sz w:val="18"/>
              </w:rPr>
            </w:pPr>
            <w:r w:rsidRPr="00593C1C">
              <w:rPr>
                <w:rFonts w:ascii="Arial" w:hAnsi="Arial"/>
                <w:sz w:val="18"/>
              </w:rPr>
              <w:t>Notification target address.</w:t>
            </w:r>
          </w:p>
        </w:tc>
        <w:tc>
          <w:tcPr>
            <w:tcW w:w="1736" w:type="dxa"/>
          </w:tcPr>
          <w:p w14:paraId="65390023" w14:textId="77777777" w:rsidR="00183EFC" w:rsidRDefault="00183EFC" w:rsidP="00902260">
            <w:pPr>
              <w:pStyle w:val="TAL"/>
              <w:rPr>
                <w:rFonts w:cs="Arial"/>
                <w:szCs w:val="18"/>
              </w:rPr>
            </w:pPr>
          </w:p>
        </w:tc>
      </w:tr>
      <w:tr w:rsidR="00183EFC" w14:paraId="7E63F88A" w14:textId="77777777" w:rsidTr="00253BF3">
        <w:trPr>
          <w:jc w:val="center"/>
        </w:trPr>
        <w:tc>
          <w:tcPr>
            <w:tcW w:w="1410" w:type="dxa"/>
          </w:tcPr>
          <w:p w14:paraId="3067615A" w14:textId="77777777" w:rsidR="00183EFC" w:rsidRDefault="00183EFC" w:rsidP="00902260">
            <w:pPr>
              <w:pStyle w:val="TAL"/>
              <w:rPr>
                <w:lang w:eastAsia="zh-CN"/>
              </w:rPr>
            </w:pPr>
            <w:r>
              <w:rPr>
                <w:lang w:eastAsia="zh-CN"/>
              </w:rPr>
              <w:t>notifCorrId</w:t>
            </w:r>
          </w:p>
        </w:tc>
        <w:tc>
          <w:tcPr>
            <w:tcW w:w="1984" w:type="dxa"/>
          </w:tcPr>
          <w:p w14:paraId="090E8AEC" w14:textId="77777777" w:rsidR="00183EFC" w:rsidRDefault="00183EFC" w:rsidP="00902260">
            <w:pPr>
              <w:pStyle w:val="TAL"/>
            </w:pPr>
            <w:r>
              <w:t>string</w:t>
            </w:r>
          </w:p>
        </w:tc>
        <w:tc>
          <w:tcPr>
            <w:tcW w:w="426" w:type="dxa"/>
          </w:tcPr>
          <w:p w14:paraId="0DF42F51" w14:textId="77777777" w:rsidR="00183EFC" w:rsidRDefault="00183EFC" w:rsidP="00902260">
            <w:pPr>
              <w:pStyle w:val="TAL"/>
              <w:jc w:val="center"/>
            </w:pPr>
            <w:r>
              <w:t>M</w:t>
            </w:r>
          </w:p>
        </w:tc>
        <w:tc>
          <w:tcPr>
            <w:tcW w:w="1134" w:type="dxa"/>
          </w:tcPr>
          <w:p w14:paraId="6BC7F703" w14:textId="77777777" w:rsidR="00183EFC" w:rsidRDefault="00183EFC" w:rsidP="00902260">
            <w:pPr>
              <w:pStyle w:val="TAL"/>
              <w:jc w:val="center"/>
            </w:pPr>
            <w:r>
              <w:t>1</w:t>
            </w:r>
          </w:p>
        </w:tc>
        <w:tc>
          <w:tcPr>
            <w:tcW w:w="2835" w:type="dxa"/>
          </w:tcPr>
          <w:p w14:paraId="715C1DF5" w14:textId="77777777" w:rsidR="00183EFC" w:rsidRPr="00593C1C" w:rsidRDefault="00183EFC" w:rsidP="00902260">
            <w:pPr>
              <w:keepNext/>
              <w:keepLines/>
              <w:spacing w:after="0"/>
              <w:rPr>
                <w:rFonts w:ascii="Arial" w:hAnsi="Arial"/>
                <w:sz w:val="18"/>
              </w:rPr>
            </w:pPr>
            <w:r w:rsidRPr="002B4F84">
              <w:rPr>
                <w:rFonts w:ascii="Arial" w:hAnsi="Arial"/>
                <w:sz w:val="18"/>
              </w:rPr>
              <w:t>Notification correlation identifier.</w:t>
            </w:r>
          </w:p>
        </w:tc>
        <w:tc>
          <w:tcPr>
            <w:tcW w:w="1736" w:type="dxa"/>
          </w:tcPr>
          <w:p w14:paraId="75F6212F" w14:textId="77777777" w:rsidR="00183EFC" w:rsidRDefault="00183EFC" w:rsidP="00902260">
            <w:pPr>
              <w:pStyle w:val="TAL"/>
              <w:rPr>
                <w:rFonts w:cs="Arial"/>
                <w:szCs w:val="18"/>
              </w:rPr>
            </w:pPr>
          </w:p>
        </w:tc>
      </w:tr>
      <w:tr w:rsidR="00183EFC" w14:paraId="49D1ED70" w14:textId="77777777" w:rsidTr="00902260">
        <w:trPr>
          <w:jc w:val="center"/>
        </w:trPr>
        <w:tc>
          <w:tcPr>
            <w:tcW w:w="1410" w:type="dxa"/>
          </w:tcPr>
          <w:p w14:paraId="5C42B8B2" w14:textId="77777777" w:rsidR="00183EFC" w:rsidRDefault="00183EFC" w:rsidP="00902260">
            <w:pPr>
              <w:pStyle w:val="TAL"/>
              <w:rPr>
                <w:lang w:eastAsia="zh-CN"/>
              </w:rPr>
            </w:pPr>
            <w:r>
              <w:rPr>
                <w:lang w:eastAsia="zh-CN"/>
              </w:rPr>
              <w:t>vflTrainSub</w:t>
            </w:r>
          </w:p>
        </w:tc>
        <w:tc>
          <w:tcPr>
            <w:tcW w:w="1984" w:type="dxa"/>
          </w:tcPr>
          <w:p w14:paraId="06B47A88" w14:textId="77777777" w:rsidR="00183EFC" w:rsidRDefault="00183EFC" w:rsidP="00902260">
            <w:pPr>
              <w:pStyle w:val="TAL"/>
              <w:rPr>
                <w:lang w:eastAsia="zh-CN"/>
              </w:rPr>
            </w:pPr>
            <w:r>
              <w:rPr>
                <w:lang w:eastAsia="zh-CN"/>
              </w:rPr>
              <w:t>array(</w:t>
            </w:r>
            <w:r>
              <w:t>VFLTrainingSub</w:t>
            </w:r>
            <w:r>
              <w:rPr>
                <w:lang w:eastAsia="zh-CN"/>
              </w:rPr>
              <w:t>)</w:t>
            </w:r>
          </w:p>
        </w:tc>
        <w:tc>
          <w:tcPr>
            <w:tcW w:w="426" w:type="dxa"/>
          </w:tcPr>
          <w:p w14:paraId="54CD5C2B" w14:textId="77777777" w:rsidR="00183EFC" w:rsidRDefault="00183EFC" w:rsidP="00902260">
            <w:pPr>
              <w:pStyle w:val="TAL"/>
              <w:jc w:val="center"/>
            </w:pPr>
            <w:r>
              <w:t>M</w:t>
            </w:r>
          </w:p>
        </w:tc>
        <w:tc>
          <w:tcPr>
            <w:tcW w:w="1134" w:type="dxa"/>
          </w:tcPr>
          <w:p w14:paraId="6555B044" w14:textId="77777777" w:rsidR="00183EFC" w:rsidRDefault="00183EFC" w:rsidP="00902260">
            <w:pPr>
              <w:pStyle w:val="TAL"/>
              <w:jc w:val="center"/>
            </w:pPr>
            <w:r>
              <w:t>1..N</w:t>
            </w:r>
          </w:p>
        </w:tc>
        <w:tc>
          <w:tcPr>
            <w:tcW w:w="2835" w:type="dxa"/>
          </w:tcPr>
          <w:p w14:paraId="235807F5" w14:textId="77777777" w:rsidR="00183EFC" w:rsidRDefault="00183EFC" w:rsidP="00902260">
            <w:pPr>
              <w:pStyle w:val="TAL"/>
            </w:pPr>
            <w:r>
              <w:t>Contains VFL training subscription request for a specific analytics ID.</w:t>
            </w:r>
          </w:p>
        </w:tc>
        <w:tc>
          <w:tcPr>
            <w:tcW w:w="1736" w:type="dxa"/>
          </w:tcPr>
          <w:p w14:paraId="03360106" w14:textId="77777777" w:rsidR="00183EFC" w:rsidRDefault="00183EFC" w:rsidP="00902260">
            <w:pPr>
              <w:pStyle w:val="TAL"/>
              <w:rPr>
                <w:rFonts w:cs="Arial"/>
                <w:szCs w:val="18"/>
              </w:rPr>
            </w:pPr>
          </w:p>
        </w:tc>
      </w:tr>
      <w:tr w:rsidR="00183EFC" w14:paraId="00DCAA5F" w14:textId="77777777" w:rsidTr="00902260">
        <w:trPr>
          <w:jc w:val="center"/>
        </w:trPr>
        <w:tc>
          <w:tcPr>
            <w:tcW w:w="1410" w:type="dxa"/>
          </w:tcPr>
          <w:p w14:paraId="158ECC9E" w14:textId="77777777" w:rsidR="00183EFC" w:rsidRDefault="00183EFC" w:rsidP="00902260">
            <w:pPr>
              <w:pStyle w:val="TAL"/>
              <w:rPr>
                <w:lang w:eastAsia="zh-CN"/>
              </w:rPr>
            </w:pPr>
            <w:r>
              <w:t>eventReq</w:t>
            </w:r>
          </w:p>
        </w:tc>
        <w:tc>
          <w:tcPr>
            <w:tcW w:w="1984" w:type="dxa"/>
          </w:tcPr>
          <w:p w14:paraId="224C753C" w14:textId="77777777" w:rsidR="00183EFC" w:rsidRDefault="00183EFC" w:rsidP="00902260">
            <w:pPr>
              <w:pStyle w:val="TAL"/>
              <w:rPr>
                <w:lang w:eastAsia="zh-CN"/>
              </w:rPr>
            </w:pPr>
            <w:r>
              <w:t>ReportingInformation</w:t>
            </w:r>
          </w:p>
        </w:tc>
        <w:tc>
          <w:tcPr>
            <w:tcW w:w="426" w:type="dxa"/>
          </w:tcPr>
          <w:p w14:paraId="6A3A3C3C" w14:textId="77777777" w:rsidR="00183EFC" w:rsidRDefault="00183EFC" w:rsidP="00902260">
            <w:pPr>
              <w:pStyle w:val="TAL"/>
              <w:jc w:val="center"/>
            </w:pPr>
            <w:r>
              <w:t>O</w:t>
            </w:r>
          </w:p>
        </w:tc>
        <w:tc>
          <w:tcPr>
            <w:tcW w:w="1134" w:type="dxa"/>
          </w:tcPr>
          <w:p w14:paraId="5725C7E6" w14:textId="77777777" w:rsidR="00183EFC" w:rsidRDefault="00183EFC" w:rsidP="00902260">
            <w:pPr>
              <w:pStyle w:val="TAL"/>
              <w:jc w:val="center"/>
            </w:pPr>
            <w:r>
              <w:t>0..1</w:t>
            </w:r>
          </w:p>
        </w:tc>
        <w:tc>
          <w:tcPr>
            <w:tcW w:w="2835" w:type="dxa"/>
          </w:tcPr>
          <w:p w14:paraId="5F72B74B" w14:textId="77777777" w:rsidR="00183EFC" w:rsidRDefault="00183EFC" w:rsidP="00902260">
            <w:pPr>
              <w:pStyle w:val="TAL"/>
            </w:pPr>
            <w:r>
              <w:t>Reporting requirement information of the subscription.</w:t>
            </w:r>
          </w:p>
          <w:p w14:paraId="4EEE91EF" w14:textId="77777777" w:rsidR="00183EFC" w:rsidRDefault="00183EFC" w:rsidP="00902260">
            <w:pPr>
              <w:pStyle w:val="TAL"/>
            </w:pPr>
            <w:r>
              <w:t>If omitted, the default values within the ReportingInformation data type apply.</w:t>
            </w:r>
          </w:p>
        </w:tc>
        <w:tc>
          <w:tcPr>
            <w:tcW w:w="1736" w:type="dxa"/>
          </w:tcPr>
          <w:p w14:paraId="316167ED" w14:textId="77777777" w:rsidR="00183EFC" w:rsidRDefault="00183EFC" w:rsidP="00902260">
            <w:pPr>
              <w:pStyle w:val="TAL"/>
              <w:rPr>
                <w:rFonts w:cs="Arial"/>
                <w:szCs w:val="18"/>
              </w:rPr>
            </w:pPr>
          </w:p>
        </w:tc>
      </w:tr>
      <w:tr w:rsidR="00183EFC" w14:paraId="466AB8B5" w14:textId="77777777" w:rsidTr="00253BF3">
        <w:trPr>
          <w:jc w:val="center"/>
        </w:trPr>
        <w:tc>
          <w:tcPr>
            <w:tcW w:w="1410" w:type="dxa"/>
          </w:tcPr>
          <w:p w14:paraId="2C80A5A0" w14:textId="77777777" w:rsidR="00183EFC" w:rsidRDefault="00183EFC" w:rsidP="00902260">
            <w:pPr>
              <w:pStyle w:val="TAL"/>
            </w:pPr>
            <w:r>
              <w:t>suppFeat</w:t>
            </w:r>
          </w:p>
        </w:tc>
        <w:tc>
          <w:tcPr>
            <w:tcW w:w="1984" w:type="dxa"/>
          </w:tcPr>
          <w:p w14:paraId="5E5EBDEC" w14:textId="77777777" w:rsidR="00183EFC" w:rsidRDefault="00183EFC" w:rsidP="00902260">
            <w:pPr>
              <w:pStyle w:val="TAL"/>
            </w:pPr>
            <w:r>
              <w:t>SupportedFeatures</w:t>
            </w:r>
          </w:p>
        </w:tc>
        <w:tc>
          <w:tcPr>
            <w:tcW w:w="426" w:type="dxa"/>
          </w:tcPr>
          <w:p w14:paraId="73A8E10F" w14:textId="77777777" w:rsidR="00183EFC" w:rsidRDefault="00183EFC" w:rsidP="00902260">
            <w:pPr>
              <w:pStyle w:val="TAL"/>
              <w:jc w:val="center"/>
              <w:rPr>
                <w:lang w:eastAsia="zh-CN"/>
              </w:rPr>
            </w:pPr>
            <w:r>
              <w:t>C</w:t>
            </w:r>
          </w:p>
        </w:tc>
        <w:tc>
          <w:tcPr>
            <w:tcW w:w="1134" w:type="dxa"/>
          </w:tcPr>
          <w:p w14:paraId="30CEE833" w14:textId="77777777" w:rsidR="00183EFC" w:rsidRDefault="00183EFC" w:rsidP="00902260">
            <w:pPr>
              <w:pStyle w:val="TAL"/>
              <w:jc w:val="center"/>
            </w:pPr>
            <w:r>
              <w:t>0..1</w:t>
            </w:r>
          </w:p>
        </w:tc>
        <w:tc>
          <w:tcPr>
            <w:tcW w:w="2835" w:type="dxa"/>
          </w:tcPr>
          <w:p w14:paraId="0CAEA7CD" w14:textId="77777777" w:rsidR="00183EFC" w:rsidRDefault="00183EFC" w:rsidP="00902260">
            <w:pPr>
              <w:pStyle w:val="TAL"/>
            </w:pPr>
            <w:r>
              <w:t>List of Supported features used as described in clause 5.9.8.</w:t>
            </w:r>
          </w:p>
          <w:p w14:paraId="23680A96" w14:textId="77777777" w:rsidR="00183EFC" w:rsidRDefault="00183EFC" w:rsidP="00902260">
            <w:pPr>
              <w:pStyle w:val="TAL"/>
            </w:pPr>
            <w:r>
              <w:t>This parameter shall be included in the response to the subscription creation or modification if it was included in the request.</w:t>
            </w:r>
          </w:p>
        </w:tc>
        <w:tc>
          <w:tcPr>
            <w:tcW w:w="1736" w:type="dxa"/>
          </w:tcPr>
          <w:p w14:paraId="696AEF49" w14:textId="77777777" w:rsidR="00183EFC" w:rsidRDefault="00183EFC" w:rsidP="00902260">
            <w:pPr>
              <w:pStyle w:val="TAL"/>
              <w:rPr>
                <w:rFonts w:cs="Arial"/>
                <w:szCs w:val="18"/>
              </w:rPr>
            </w:pPr>
          </w:p>
        </w:tc>
      </w:tr>
    </w:tbl>
    <w:p w14:paraId="073CD4E5" w14:textId="77777777" w:rsidR="00183EFC" w:rsidRDefault="00183EFC" w:rsidP="00183EFC"/>
    <w:p w14:paraId="43C00033" w14:textId="77777777" w:rsidR="00183EFC" w:rsidRDefault="00183EFC" w:rsidP="00183EFC">
      <w:pPr>
        <w:pStyle w:val="EditorsNote"/>
        <w:rPr>
          <w:rStyle w:val="EditorsNoteCharChar"/>
        </w:rPr>
      </w:pPr>
      <w:r w:rsidRPr="00C528F2">
        <w:rPr>
          <w:rStyle w:val="EditorsNoteCharChar"/>
        </w:rPr>
        <w:t>Editor's Note:</w:t>
      </w:r>
      <w:r w:rsidRPr="00C528F2">
        <w:rPr>
          <w:rStyle w:val="EditorsNoteCharChar"/>
        </w:rPr>
        <w:tab/>
        <w:t xml:space="preserve">The </w:t>
      </w:r>
      <w:r>
        <w:rPr>
          <w:rStyle w:val="EditorsNoteCharChar"/>
        </w:rPr>
        <w:t xml:space="preserve">data type of </w:t>
      </w:r>
      <w:r>
        <w:rPr>
          <w:lang w:eastAsia="zh-CN"/>
        </w:rPr>
        <w:t>vflTrainSub attribute is</w:t>
      </w:r>
      <w:r>
        <w:rPr>
          <w:rStyle w:val="EditorsNoteCharChar"/>
        </w:rPr>
        <w:t xml:space="preserve"> FFS</w:t>
      </w:r>
      <w:r w:rsidRPr="00C528F2">
        <w:rPr>
          <w:rStyle w:val="EditorsNoteCharChar"/>
        </w:rPr>
        <w:t>.</w:t>
      </w:r>
    </w:p>
    <w:p w14:paraId="37D48868" w14:textId="77777777" w:rsidR="00183EFC" w:rsidRPr="001E4FA3" w:rsidRDefault="00183EFC" w:rsidP="00183EFC"/>
    <w:p w14:paraId="6F81DC7D" w14:textId="77777777" w:rsidR="00183EFC" w:rsidRDefault="00183EFC" w:rsidP="00183EFC">
      <w:pPr>
        <w:pStyle w:val="5"/>
      </w:pPr>
      <w:bookmarkStart w:id="16943" w:name="_Toc199453452"/>
      <w:r>
        <w:lastRenderedPageBreak/>
        <w:t>5.9.6.2.3</w:t>
      </w:r>
      <w:r>
        <w:tab/>
        <w:t>Type VflTrainingSub</w:t>
      </w:r>
      <w:bookmarkEnd w:id="16943"/>
    </w:p>
    <w:p w14:paraId="63F49807" w14:textId="77777777" w:rsidR="00183EFC" w:rsidRDefault="00183EFC" w:rsidP="00183EFC">
      <w:pPr>
        <w:pStyle w:val="TH"/>
      </w:pPr>
      <w:r>
        <w:t>Table 5.9.6.2.3-1: Definition of type VflTrainingSub</w:t>
      </w:r>
    </w:p>
    <w:tbl>
      <w:tblPr>
        <w:tblW w:w="952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2"/>
        <w:gridCol w:w="1842"/>
        <w:gridCol w:w="426"/>
        <w:gridCol w:w="1134"/>
        <w:gridCol w:w="3118"/>
        <w:gridCol w:w="1453"/>
      </w:tblGrid>
      <w:tr w:rsidR="00183EFC" w14:paraId="01DFF0A4" w14:textId="77777777" w:rsidTr="00902260">
        <w:trPr>
          <w:jc w:val="center"/>
        </w:trPr>
        <w:tc>
          <w:tcPr>
            <w:tcW w:w="1552" w:type="dxa"/>
            <w:shd w:val="clear" w:color="auto" w:fill="C0C0C0"/>
          </w:tcPr>
          <w:p w14:paraId="39791EAF" w14:textId="77777777" w:rsidR="00183EFC" w:rsidRDefault="00183EFC" w:rsidP="00902260">
            <w:pPr>
              <w:keepNext/>
              <w:keepLines/>
              <w:spacing w:after="0"/>
              <w:jc w:val="center"/>
              <w:rPr>
                <w:rFonts w:ascii="Arial" w:hAnsi="Arial"/>
                <w:b/>
                <w:sz w:val="18"/>
              </w:rPr>
            </w:pPr>
            <w:r>
              <w:rPr>
                <w:rFonts w:ascii="Arial" w:hAnsi="Arial"/>
                <w:b/>
                <w:sz w:val="18"/>
              </w:rPr>
              <w:t>Attribute name</w:t>
            </w:r>
          </w:p>
        </w:tc>
        <w:tc>
          <w:tcPr>
            <w:tcW w:w="1842" w:type="dxa"/>
            <w:shd w:val="clear" w:color="auto" w:fill="C0C0C0"/>
          </w:tcPr>
          <w:p w14:paraId="769AE6C1" w14:textId="77777777" w:rsidR="00183EFC" w:rsidRDefault="00183EFC" w:rsidP="00902260">
            <w:pPr>
              <w:keepNext/>
              <w:keepLines/>
              <w:spacing w:after="0"/>
              <w:jc w:val="center"/>
              <w:rPr>
                <w:rFonts w:ascii="Arial" w:hAnsi="Arial"/>
                <w:b/>
                <w:sz w:val="18"/>
              </w:rPr>
            </w:pPr>
            <w:r>
              <w:rPr>
                <w:rFonts w:ascii="Arial" w:hAnsi="Arial"/>
                <w:b/>
                <w:sz w:val="18"/>
              </w:rPr>
              <w:t>Data type</w:t>
            </w:r>
          </w:p>
        </w:tc>
        <w:tc>
          <w:tcPr>
            <w:tcW w:w="426" w:type="dxa"/>
            <w:shd w:val="clear" w:color="auto" w:fill="C0C0C0"/>
          </w:tcPr>
          <w:p w14:paraId="2F936962" w14:textId="77777777" w:rsidR="00183EFC" w:rsidRDefault="00183EFC" w:rsidP="00902260">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453EA466" w14:textId="77777777" w:rsidR="00183EFC" w:rsidRDefault="00183EFC" w:rsidP="00902260">
            <w:pPr>
              <w:keepNext/>
              <w:keepLines/>
              <w:spacing w:after="0"/>
              <w:rPr>
                <w:rFonts w:ascii="Arial" w:hAnsi="Arial"/>
                <w:b/>
                <w:sz w:val="18"/>
              </w:rPr>
            </w:pPr>
            <w:r>
              <w:rPr>
                <w:rFonts w:ascii="Arial" w:hAnsi="Arial"/>
                <w:b/>
                <w:sz w:val="18"/>
              </w:rPr>
              <w:t>Cardinality</w:t>
            </w:r>
          </w:p>
        </w:tc>
        <w:tc>
          <w:tcPr>
            <w:tcW w:w="3118" w:type="dxa"/>
            <w:shd w:val="clear" w:color="auto" w:fill="C0C0C0"/>
          </w:tcPr>
          <w:p w14:paraId="0F35C80E"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Description</w:t>
            </w:r>
          </w:p>
        </w:tc>
        <w:tc>
          <w:tcPr>
            <w:tcW w:w="1453" w:type="dxa"/>
            <w:shd w:val="clear" w:color="auto" w:fill="C0C0C0"/>
          </w:tcPr>
          <w:p w14:paraId="1D488340"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Applicability</w:t>
            </w:r>
          </w:p>
        </w:tc>
      </w:tr>
      <w:tr w:rsidR="00183EFC" w14:paraId="38F710A5" w14:textId="77777777" w:rsidTr="00253BF3">
        <w:trPr>
          <w:jc w:val="center"/>
        </w:trPr>
        <w:tc>
          <w:tcPr>
            <w:tcW w:w="1552" w:type="dxa"/>
          </w:tcPr>
          <w:p w14:paraId="071F7483" w14:textId="77777777" w:rsidR="00183EFC" w:rsidRDefault="00183EFC" w:rsidP="00902260">
            <w:pPr>
              <w:pStyle w:val="TAL"/>
            </w:pPr>
            <w:r>
              <w:t>event</w:t>
            </w:r>
          </w:p>
        </w:tc>
        <w:tc>
          <w:tcPr>
            <w:tcW w:w="1842" w:type="dxa"/>
          </w:tcPr>
          <w:p w14:paraId="5CC56A28" w14:textId="77777777" w:rsidR="00183EFC" w:rsidRDefault="00183EFC" w:rsidP="00902260">
            <w:pPr>
              <w:pStyle w:val="TAL"/>
            </w:pPr>
            <w:r>
              <w:t>NwdafEvent</w:t>
            </w:r>
          </w:p>
        </w:tc>
        <w:tc>
          <w:tcPr>
            <w:tcW w:w="426" w:type="dxa"/>
          </w:tcPr>
          <w:p w14:paraId="1C866394" w14:textId="77777777" w:rsidR="00183EFC" w:rsidRDefault="00183EFC" w:rsidP="00902260">
            <w:pPr>
              <w:pStyle w:val="TAL"/>
              <w:jc w:val="center"/>
              <w:rPr>
                <w:lang w:eastAsia="zh-CN"/>
              </w:rPr>
            </w:pPr>
            <w:r>
              <w:t>M</w:t>
            </w:r>
          </w:p>
        </w:tc>
        <w:tc>
          <w:tcPr>
            <w:tcW w:w="1134" w:type="dxa"/>
          </w:tcPr>
          <w:p w14:paraId="6AA6F443" w14:textId="77777777" w:rsidR="00183EFC" w:rsidRDefault="00183EFC" w:rsidP="00902260">
            <w:pPr>
              <w:pStyle w:val="TAL"/>
              <w:jc w:val="center"/>
            </w:pPr>
            <w:r>
              <w:t>1</w:t>
            </w:r>
          </w:p>
        </w:tc>
        <w:tc>
          <w:tcPr>
            <w:tcW w:w="3118" w:type="dxa"/>
          </w:tcPr>
          <w:p w14:paraId="21F5A3D4" w14:textId="77777777" w:rsidR="00183EFC" w:rsidRPr="00233CDA" w:rsidRDefault="00183EFC" w:rsidP="00902260">
            <w:pPr>
              <w:keepNext/>
              <w:keepLines/>
              <w:spacing w:after="0"/>
              <w:rPr>
                <w:rFonts w:ascii="Arial" w:hAnsi="Arial"/>
                <w:sz w:val="18"/>
              </w:rPr>
            </w:pPr>
            <w:r w:rsidRPr="00DA2B25">
              <w:rPr>
                <w:rFonts w:ascii="Arial" w:hAnsi="Arial"/>
                <w:sz w:val="18"/>
              </w:rPr>
              <w:t xml:space="preserve">Identifies the </w:t>
            </w:r>
            <w:r>
              <w:rPr>
                <w:rFonts w:ascii="Arial" w:hAnsi="Arial"/>
                <w:sz w:val="18"/>
              </w:rPr>
              <w:t xml:space="preserve">analytics ID for </w:t>
            </w:r>
            <w:r w:rsidRPr="00233CDA">
              <w:rPr>
                <w:rFonts w:ascii="Arial" w:hAnsi="Arial"/>
                <w:sz w:val="18"/>
              </w:rPr>
              <w:t>for which the ML Model is requested to be trained</w:t>
            </w:r>
            <w:r w:rsidRPr="00DA2B25">
              <w:rPr>
                <w:rFonts w:ascii="Arial" w:hAnsi="Arial"/>
                <w:sz w:val="18"/>
              </w:rPr>
              <w:t>.</w:t>
            </w:r>
          </w:p>
        </w:tc>
        <w:tc>
          <w:tcPr>
            <w:tcW w:w="1453" w:type="dxa"/>
          </w:tcPr>
          <w:p w14:paraId="679ACEA9" w14:textId="77777777" w:rsidR="00183EFC" w:rsidRDefault="00183EFC" w:rsidP="00902260">
            <w:pPr>
              <w:pStyle w:val="TAL"/>
              <w:rPr>
                <w:rFonts w:cs="Arial"/>
                <w:szCs w:val="18"/>
              </w:rPr>
            </w:pPr>
          </w:p>
        </w:tc>
      </w:tr>
      <w:tr w:rsidR="00183EFC" w14:paraId="7628DE8F" w14:textId="77777777" w:rsidTr="00253BF3">
        <w:trPr>
          <w:jc w:val="center"/>
        </w:trPr>
        <w:tc>
          <w:tcPr>
            <w:tcW w:w="1552" w:type="dxa"/>
          </w:tcPr>
          <w:p w14:paraId="79466F51" w14:textId="77777777" w:rsidR="00183EFC" w:rsidRDefault="00183EFC" w:rsidP="00902260">
            <w:pPr>
              <w:pStyle w:val="TAL"/>
              <w:rPr>
                <w:lang w:eastAsia="zh-CN"/>
              </w:rPr>
            </w:pPr>
            <w:r>
              <w:rPr>
                <w:lang w:eastAsia="zh-CN"/>
              </w:rPr>
              <w:t>vflCorrId</w:t>
            </w:r>
          </w:p>
        </w:tc>
        <w:tc>
          <w:tcPr>
            <w:tcW w:w="1842" w:type="dxa"/>
          </w:tcPr>
          <w:p w14:paraId="1E296D6A" w14:textId="77777777" w:rsidR="00183EFC" w:rsidRDefault="00183EFC" w:rsidP="00902260">
            <w:pPr>
              <w:pStyle w:val="TAL"/>
            </w:pPr>
            <w:r>
              <w:t>string</w:t>
            </w:r>
          </w:p>
        </w:tc>
        <w:tc>
          <w:tcPr>
            <w:tcW w:w="426" w:type="dxa"/>
          </w:tcPr>
          <w:p w14:paraId="36574011" w14:textId="77777777" w:rsidR="00183EFC" w:rsidRDefault="00183EFC" w:rsidP="00902260">
            <w:pPr>
              <w:pStyle w:val="TAL"/>
              <w:jc w:val="center"/>
              <w:rPr>
                <w:lang w:eastAsia="zh-CN"/>
              </w:rPr>
            </w:pPr>
            <w:r>
              <w:t>M</w:t>
            </w:r>
          </w:p>
        </w:tc>
        <w:tc>
          <w:tcPr>
            <w:tcW w:w="1134" w:type="dxa"/>
          </w:tcPr>
          <w:p w14:paraId="4C41ADBB" w14:textId="77777777" w:rsidR="00183EFC" w:rsidRDefault="00183EFC" w:rsidP="00902260">
            <w:pPr>
              <w:pStyle w:val="TAL"/>
              <w:jc w:val="center"/>
            </w:pPr>
            <w:r>
              <w:t>1</w:t>
            </w:r>
          </w:p>
        </w:tc>
        <w:tc>
          <w:tcPr>
            <w:tcW w:w="3118" w:type="dxa"/>
          </w:tcPr>
          <w:p w14:paraId="0EB2CBCF" w14:textId="77777777" w:rsidR="00183EFC" w:rsidRDefault="00183EFC" w:rsidP="00902260">
            <w:pPr>
              <w:pStyle w:val="TAL"/>
            </w:pPr>
            <w:r>
              <w:t>Represents the VFL Correlation ID.</w:t>
            </w:r>
          </w:p>
        </w:tc>
        <w:tc>
          <w:tcPr>
            <w:tcW w:w="1453" w:type="dxa"/>
          </w:tcPr>
          <w:p w14:paraId="7C4174C0" w14:textId="77777777" w:rsidR="00183EFC" w:rsidRDefault="00183EFC" w:rsidP="00902260">
            <w:pPr>
              <w:pStyle w:val="TAL"/>
              <w:rPr>
                <w:rFonts w:cs="Arial"/>
                <w:szCs w:val="18"/>
              </w:rPr>
            </w:pPr>
          </w:p>
        </w:tc>
      </w:tr>
      <w:tr w:rsidR="00183EFC" w14:paraId="6BAA012B" w14:textId="77777777" w:rsidTr="00253BF3">
        <w:trPr>
          <w:jc w:val="center"/>
        </w:trPr>
        <w:tc>
          <w:tcPr>
            <w:tcW w:w="1552" w:type="dxa"/>
          </w:tcPr>
          <w:p w14:paraId="18EF1B0C" w14:textId="77777777" w:rsidR="00183EFC" w:rsidRDefault="00183EFC" w:rsidP="00902260">
            <w:pPr>
              <w:pStyle w:val="TAL"/>
              <w:rPr>
                <w:lang w:eastAsia="zh-CN"/>
              </w:rPr>
            </w:pPr>
            <w:r>
              <w:rPr>
                <w:lang w:eastAsia="zh-CN"/>
              </w:rPr>
              <w:t>interopInfo</w:t>
            </w:r>
          </w:p>
        </w:tc>
        <w:tc>
          <w:tcPr>
            <w:tcW w:w="1842" w:type="dxa"/>
          </w:tcPr>
          <w:p w14:paraId="27ED6205" w14:textId="77777777" w:rsidR="00183EFC" w:rsidRDefault="00183EFC" w:rsidP="00902260">
            <w:pPr>
              <w:pStyle w:val="TAL"/>
            </w:pPr>
            <w:r w:rsidRPr="009E66C3">
              <w:t>VflInteropInfo</w:t>
            </w:r>
          </w:p>
        </w:tc>
        <w:tc>
          <w:tcPr>
            <w:tcW w:w="426" w:type="dxa"/>
          </w:tcPr>
          <w:p w14:paraId="58D6184E" w14:textId="77777777" w:rsidR="00183EFC" w:rsidRDefault="00183EFC" w:rsidP="00902260">
            <w:pPr>
              <w:pStyle w:val="TAL"/>
              <w:jc w:val="center"/>
              <w:rPr>
                <w:lang w:eastAsia="zh-CN"/>
              </w:rPr>
            </w:pPr>
            <w:r>
              <w:t>O</w:t>
            </w:r>
          </w:p>
        </w:tc>
        <w:tc>
          <w:tcPr>
            <w:tcW w:w="1134" w:type="dxa"/>
          </w:tcPr>
          <w:p w14:paraId="286F54E9" w14:textId="77777777" w:rsidR="00183EFC" w:rsidRDefault="00183EFC" w:rsidP="00902260">
            <w:pPr>
              <w:pStyle w:val="TAL"/>
              <w:jc w:val="center"/>
            </w:pPr>
            <w:r>
              <w:t>0..1</w:t>
            </w:r>
          </w:p>
        </w:tc>
        <w:tc>
          <w:tcPr>
            <w:tcW w:w="3118" w:type="dxa"/>
          </w:tcPr>
          <w:p w14:paraId="521929B0" w14:textId="77777777" w:rsidR="00183EFC" w:rsidRDefault="00183EFC" w:rsidP="00902260">
            <w:pPr>
              <w:pStyle w:val="TAL"/>
            </w:pPr>
            <w:r>
              <w:rPr>
                <w:lang w:eastAsia="zh-CN"/>
              </w:rPr>
              <w:t xml:space="preserve">Represents the </w:t>
            </w:r>
            <w:r>
              <w:rPr>
                <w:lang w:eastAsia="ko-KR"/>
              </w:rPr>
              <w:t>VFL Interoperability Information.</w:t>
            </w:r>
          </w:p>
        </w:tc>
        <w:tc>
          <w:tcPr>
            <w:tcW w:w="1453" w:type="dxa"/>
          </w:tcPr>
          <w:p w14:paraId="2A6123E0" w14:textId="77777777" w:rsidR="00183EFC" w:rsidRDefault="00183EFC" w:rsidP="00902260">
            <w:pPr>
              <w:pStyle w:val="TAL"/>
              <w:rPr>
                <w:rFonts w:cs="Arial"/>
                <w:szCs w:val="18"/>
              </w:rPr>
            </w:pPr>
          </w:p>
        </w:tc>
      </w:tr>
      <w:tr w:rsidR="00183EFC" w14:paraId="1AFA2C42" w14:textId="77777777" w:rsidTr="00253BF3">
        <w:trPr>
          <w:jc w:val="center"/>
        </w:trPr>
        <w:tc>
          <w:tcPr>
            <w:tcW w:w="1552" w:type="dxa"/>
          </w:tcPr>
          <w:p w14:paraId="73FBC2AF" w14:textId="77777777" w:rsidR="00183EFC" w:rsidRDefault="00183EFC" w:rsidP="00902260">
            <w:pPr>
              <w:pStyle w:val="TAL"/>
              <w:rPr>
                <w:lang w:eastAsia="zh-CN"/>
              </w:rPr>
            </w:pPr>
            <w:r>
              <w:rPr>
                <w:rFonts w:hint="eastAsia"/>
                <w:lang w:eastAsia="zh-CN"/>
              </w:rPr>
              <w:t>m</w:t>
            </w:r>
            <w:r>
              <w:rPr>
                <w:lang w:eastAsia="zh-CN"/>
              </w:rPr>
              <w:t>axRspTime</w:t>
            </w:r>
          </w:p>
        </w:tc>
        <w:tc>
          <w:tcPr>
            <w:tcW w:w="1842" w:type="dxa"/>
          </w:tcPr>
          <w:p w14:paraId="1C689B5A" w14:textId="77777777" w:rsidR="00183EFC" w:rsidRDefault="00183EFC" w:rsidP="00902260">
            <w:pPr>
              <w:pStyle w:val="TAL"/>
              <w:rPr>
                <w:lang w:eastAsia="zh-CN"/>
              </w:rPr>
            </w:pPr>
            <w:r>
              <w:t>DurationSec</w:t>
            </w:r>
          </w:p>
        </w:tc>
        <w:tc>
          <w:tcPr>
            <w:tcW w:w="426" w:type="dxa"/>
          </w:tcPr>
          <w:p w14:paraId="741C9532" w14:textId="77777777" w:rsidR="00183EFC" w:rsidRDefault="00183EFC" w:rsidP="00902260">
            <w:pPr>
              <w:pStyle w:val="TAL"/>
              <w:jc w:val="center"/>
              <w:rPr>
                <w:lang w:eastAsia="zh-CN"/>
              </w:rPr>
            </w:pPr>
            <w:r>
              <w:t>O</w:t>
            </w:r>
          </w:p>
        </w:tc>
        <w:tc>
          <w:tcPr>
            <w:tcW w:w="1134" w:type="dxa"/>
          </w:tcPr>
          <w:p w14:paraId="0794A6A3" w14:textId="77777777" w:rsidR="00183EFC" w:rsidRDefault="00183EFC" w:rsidP="00902260">
            <w:pPr>
              <w:pStyle w:val="TAL"/>
              <w:jc w:val="center"/>
            </w:pPr>
            <w:r>
              <w:t>0..1</w:t>
            </w:r>
          </w:p>
        </w:tc>
        <w:tc>
          <w:tcPr>
            <w:tcW w:w="3118" w:type="dxa"/>
          </w:tcPr>
          <w:p w14:paraId="6CC97E46" w14:textId="77777777" w:rsidR="00183EFC" w:rsidRDefault="00183EFC" w:rsidP="00902260">
            <w:pPr>
              <w:pStyle w:val="TAL"/>
              <w:rPr>
                <w:lang w:eastAsia="zh-CN"/>
              </w:rPr>
            </w:pPr>
            <w:r>
              <w:rPr>
                <w:rFonts w:hint="eastAsia"/>
                <w:lang w:eastAsia="zh-CN"/>
              </w:rPr>
              <w:t>T</w:t>
            </w:r>
            <w:r>
              <w:rPr>
                <w:lang w:eastAsia="zh-CN"/>
              </w:rPr>
              <w:t xml:space="preserve">he </w:t>
            </w:r>
            <w:r>
              <w:rPr>
                <w:lang w:eastAsia="ko-KR"/>
              </w:rPr>
              <w:t>maximum time between VFL clients receive the intermediate model training information and send back intermediate training result.</w:t>
            </w:r>
          </w:p>
        </w:tc>
        <w:tc>
          <w:tcPr>
            <w:tcW w:w="1453" w:type="dxa"/>
          </w:tcPr>
          <w:p w14:paraId="08FE3314" w14:textId="77777777" w:rsidR="00183EFC" w:rsidRDefault="00183EFC" w:rsidP="00902260">
            <w:pPr>
              <w:pStyle w:val="TAL"/>
              <w:rPr>
                <w:rFonts w:cs="Arial"/>
                <w:szCs w:val="18"/>
              </w:rPr>
            </w:pPr>
          </w:p>
        </w:tc>
      </w:tr>
      <w:tr w:rsidR="00183EFC" w14:paraId="7EEB8103" w14:textId="77777777" w:rsidTr="00253BF3">
        <w:trPr>
          <w:jc w:val="center"/>
        </w:trPr>
        <w:tc>
          <w:tcPr>
            <w:tcW w:w="1552" w:type="dxa"/>
          </w:tcPr>
          <w:p w14:paraId="0A8096FA" w14:textId="77777777" w:rsidR="00183EFC" w:rsidRDefault="00183EFC" w:rsidP="00902260">
            <w:pPr>
              <w:pStyle w:val="TAL"/>
              <w:rPr>
                <w:lang w:eastAsia="zh-CN"/>
              </w:rPr>
            </w:pPr>
            <w:r>
              <w:rPr>
                <w:rFonts w:hint="eastAsia"/>
                <w:lang w:eastAsia="zh-CN"/>
              </w:rPr>
              <w:t>t</w:t>
            </w:r>
            <w:r>
              <w:rPr>
                <w:lang w:eastAsia="zh-CN"/>
              </w:rPr>
              <w:t>rainFilter</w:t>
            </w:r>
          </w:p>
        </w:tc>
        <w:tc>
          <w:tcPr>
            <w:tcW w:w="1842" w:type="dxa"/>
          </w:tcPr>
          <w:p w14:paraId="022CB4BD" w14:textId="77777777" w:rsidR="00183EFC" w:rsidRDefault="00183EFC" w:rsidP="00902260">
            <w:pPr>
              <w:pStyle w:val="TAL"/>
            </w:pPr>
            <w:r>
              <w:t>EventFilter</w:t>
            </w:r>
          </w:p>
        </w:tc>
        <w:tc>
          <w:tcPr>
            <w:tcW w:w="426" w:type="dxa"/>
          </w:tcPr>
          <w:p w14:paraId="081E67D1" w14:textId="77777777" w:rsidR="00183EFC" w:rsidRDefault="00183EFC" w:rsidP="00902260">
            <w:pPr>
              <w:pStyle w:val="TAL"/>
              <w:jc w:val="center"/>
              <w:rPr>
                <w:lang w:eastAsia="zh-CN"/>
              </w:rPr>
            </w:pPr>
            <w:r>
              <w:t>O</w:t>
            </w:r>
          </w:p>
        </w:tc>
        <w:tc>
          <w:tcPr>
            <w:tcW w:w="1134" w:type="dxa"/>
          </w:tcPr>
          <w:p w14:paraId="11817667" w14:textId="77777777" w:rsidR="00183EFC" w:rsidRDefault="00183EFC" w:rsidP="00902260">
            <w:pPr>
              <w:pStyle w:val="TAL"/>
              <w:jc w:val="center"/>
            </w:pPr>
            <w:r>
              <w:t>0..1</w:t>
            </w:r>
          </w:p>
        </w:tc>
        <w:tc>
          <w:tcPr>
            <w:tcW w:w="3118" w:type="dxa"/>
          </w:tcPr>
          <w:p w14:paraId="2EA7FDBD" w14:textId="77777777" w:rsidR="00183EFC" w:rsidRPr="00275105" w:rsidRDefault="00183EFC" w:rsidP="00902260">
            <w:pPr>
              <w:keepNext/>
              <w:keepLines/>
              <w:spacing w:after="0"/>
              <w:rPr>
                <w:rFonts w:ascii="Arial" w:hAnsi="Arial"/>
                <w:sz w:val="18"/>
              </w:rPr>
            </w:pPr>
            <w:r w:rsidRPr="00DA2B25">
              <w:rPr>
                <w:rFonts w:ascii="Arial" w:hAnsi="Arial"/>
                <w:sz w:val="18"/>
              </w:rPr>
              <w:t xml:space="preserve">Identifies the </w:t>
            </w:r>
            <w:r>
              <w:rPr>
                <w:rFonts w:ascii="Arial" w:hAnsi="Arial"/>
                <w:sz w:val="18"/>
              </w:rPr>
              <w:t>training</w:t>
            </w:r>
            <w:r w:rsidRPr="00DA2B25">
              <w:rPr>
                <w:rFonts w:ascii="Arial" w:hAnsi="Arial"/>
                <w:sz w:val="18"/>
              </w:rPr>
              <w:t xml:space="preserve"> filter </w:t>
            </w:r>
            <w:r>
              <w:rPr>
                <w:rFonts w:ascii="Arial" w:hAnsi="Arial"/>
                <w:sz w:val="18"/>
              </w:rPr>
              <w:t xml:space="preserve">information </w:t>
            </w:r>
            <w:r w:rsidRPr="00DA2B25">
              <w:rPr>
                <w:rFonts w:ascii="Arial" w:hAnsi="Arial"/>
                <w:sz w:val="18"/>
              </w:rPr>
              <w:t>for the monitored event.</w:t>
            </w:r>
          </w:p>
        </w:tc>
        <w:tc>
          <w:tcPr>
            <w:tcW w:w="1453" w:type="dxa"/>
          </w:tcPr>
          <w:p w14:paraId="7DBE0C51" w14:textId="77777777" w:rsidR="00183EFC" w:rsidRDefault="00183EFC" w:rsidP="00902260">
            <w:pPr>
              <w:pStyle w:val="TAL"/>
              <w:rPr>
                <w:rFonts w:cs="Arial"/>
                <w:szCs w:val="18"/>
              </w:rPr>
            </w:pPr>
          </w:p>
        </w:tc>
      </w:tr>
      <w:tr w:rsidR="00183EFC" w14:paraId="3BB6F6AD" w14:textId="77777777" w:rsidTr="00253BF3">
        <w:trPr>
          <w:jc w:val="center"/>
        </w:trPr>
        <w:tc>
          <w:tcPr>
            <w:tcW w:w="1552" w:type="dxa"/>
          </w:tcPr>
          <w:p w14:paraId="2BC142CE" w14:textId="77777777" w:rsidR="00183EFC" w:rsidRDefault="00183EFC" w:rsidP="00902260">
            <w:pPr>
              <w:pStyle w:val="TAL"/>
            </w:pPr>
            <w:r>
              <w:rPr>
                <w:rFonts w:hint="eastAsia"/>
              </w:rPr>
              <w:t>i</w:t>
            </w:r>
            <w:r>
              <w:t>ntermediateInfo</w:t>
            </w:r>
          </w:p>
        </w:tc>
        <w:tc>
          <w:tcPr>
            <w:tcW w:w="1842" w:type="dxa"/>
          </w:tcPr>
          <w:p w14:paraId="302CB646" w14:textId="77777777" w:rsidR="00183EFC" w:rsidRDefault="00183EFC" w:rsidP="00902260">
            <w:pPr>
              <w:pStyle w:val="TAL"/>
            </w:pPr>
            <w:r w:rsidRPr="00041F96">
              <w:t>VflIntermed</w:t>
            </w:r>
            <w:r w:rsidRPr="00041F96">
              <w:rPr>
                <w:rFonts w:hint="eastAsia"/>
              </w:rPr>
              <w:t>Train</w:t>
            </w:r>
            <w:r w:rsidRPr="00041F96">
              <w:t>Info</w:t>
            </w:r>
          </w:p>
        </w:tc>
        <w:tc>
          <w:tcPr>
            <w:tcW w:w="426" w:type="dxa"/>
          </w:tcPr>
          <w:p w14:paraId="3E596250" w14:textId="77777777" w:rsidR="00183EFC" w:rsidRDefault="00183EFC" w:rsidP="00902260">
            <w:pPr>
              <w:pStyle w:val="TAL"/>
              <w:jc w:val="center"/>
              <w:rPr>
                <w:lang w:eastAsia="zh-CN"/>
              </w:rPr>
            </w:pPr>
            <w:r>
              <w:t>O</w:t>
            </w:r>
          </w:p>
        </w:tc>
        <w:tc>
          <w:tcPr>
            <w:tcW w:w="1134" w:type="dxa"/>
          </w:tcPr>
          <w:p w14:paraId="061D6A76" w14:textId="77777777" w:rsidR="00183EFC" w:rsidRDefault="00183EFC" w:rsidP="00902260">
            <w:pPr>
              <w:pStyle w:val="TAL"/>
              <w:jc w:val="center"/>
            </w:pPr>
            <w:r>
              <w:t>0..1</w:t>
            </w:r>
          </w:p>
        </w:tc>
        <w:tc>
          <w:tcPr>
            <w:tcW w:w="3118" w:type="dxa"/>
          </w:tcPr>
          <w:p w14:paraId="3189EAB7" w14:textId="77777777" w:rsidR="00183EFC" w:rsidRDefault="00183EFC" w:rsidP="00902260">
            <w:pPr>
              <w:pStyle w:val="TAL"/>
            </w:pPr>
            <w:r>
              <w:rPr>
                <w:lang w:eastAsia="zh-CN"/>
              </w:rPr>
              <w:t xml:space="preserve">Represents the </w:t>
            </w:r>
            <w:r>
              <w:rPr>
                <w:lang w:eastAsia="ko-KR"/>
              </w:rPr>
              <w:t>intermediate model training information.</w:t>
            </w:r>
          </w:p>
        </w:tc>
        <w:tc>
          <w:tcPr>
            <w:tcW w:w="1453" w:type="dxa"/>
          </w:tcPr>
          <w:p w14:paraId="12FE2AA7" w14:textId="77777777" w:rsidR="00183EFC" w:rsidRDefault="00183EFC" w:rsidP="00902260">
            <w:pPr>
              <w:pStyle w:val="TAL"/>
              <w:rPr>
                <w:rFonts w:cs="Arial"/>
                <w:szCs w:val="18"/>
              </w:rPr>
            </w:pPr>
          </w:p>
        </w:tc>
      </w:tr>
      <w:tr w:rsidR="00183EFC" w14:paraId="4FC9F80E" w14:textId="77777777" w:rsidTr="00253BF3">
        <w:trPr>
          <w:jc w:val="center"/>
        </w:trPr>
        <w:tc>
          <w:tcPr>
            <w:tcW w:w="1552" w:type="dxa"/>
          </w:tcPr>
          <w:p w14:paraId="7522128D" w14:textId="77777777" w:rsidR="00183EFC" w:rsidRDefault="00183EFC" w:rsidP="00902260">
            <w:pPr>
              <w:pStyle w:val="TAL"/>
              <w:rPr>
                <w:lang w:eastAsia="zh-CN"/>
              </w:rPr>
            </w:pPr>
            <w:r>
              <w:rPr>
                <w:rFonts w:hint="eastAsia"/>
                <w:lang w:eastAsia="zh-CN"/>
              </w:rPr>
              <w:t>c</w:t>
            </w:r>
            <w:r>
              <w:rPr>
                <w:lang w:eastAsia="zh-CN"/>
              </w:rPr>
              <w:t>hkFlg</w:t>
            </w:r>
          </w:p>
        </w:tc>
        <w:tc>
          <w:tcPr>
            <w:tcW w:w="1842" w:type="dxa"/>
          </w:tcPr>
          <w:p w14:paraId="372EA4E8" w14:textId="77777777" w:rsidR="00183EFC" w:rsidRDefault="00183EFC" w:rsidP="00902260">
            <w:pPr>
              <w:pStyle w:val="TAL"/>
              <w:rPr>
                <w:lang w:eastAsia="zh-CN"/>
              </w:rPr>
            </w:pPr>
            <w:r>
              <w:t>boolean</w:t>
            </w:r>
          </w:p>
        </w:tc>
        <w:tc>
          <w:tcPr>
            <w:tcW w:w="426" w:type="dxa"/>
          </w:tcPr>
          <w:p w14:paraId="13793186" w14:textId="77777777" w:rsidR="00183EFC" w:rsidRDefault="00183EFC" w:rsidP="00902260">
            <w:pPr>
              <w:pStyle w:val="TAL"/>
              <w:jc w:val="center"/>
            </w:pPr>
            <w:r>
              <w:t>O</w:t>
            </w:r>
          </w:p>
        </w:tc>
        <w:tc>
          <w:tcPr>
            <w:tcW w:w="1134" w:type="dxa"/>
          </w:tcPr>
          <w:p w14:paraId="2B6DA1F8" w14:textId="77777777" w:rsidR="00183EFC" w:rsidRDefault="00183EFC" w:rsidP="00902260">
            <w:pPr>
              <w:pStyle w:val="TAL"/>
              <w:jc w:val="center"/>
            </w:pPr>
            <w:r>
              <w:t>0..1</w:t>
            </w:r>
          </w:p>
        </w:tc>
        <w:tc>
          <w:tcPr>
            <w:tcW w:w="3118" w:type="dxa"/>
          </w:tcPr>
          <w:p w14:paraId="27EB7B17" w14:textId="77777777" w:rsidR="00183EFC" w:rsidRDefault="00183EFC" w:rsidP="00902260">
            <w:pPr>
              <w:pStyle w:val="TAL"/>
              <w:rPr>
                <w:lang w:eastAsia="zh-CN"/>
              </w:rPr>
            </w:pPr>
            <w:r>
              <w:rPr>
                <w:lang w:eastAsia="ko-KR"/>
              </w:rPr>
              <w:t xml:space="preserve">Set to </w:t>
            </w:r>
            <w:r>
              <w:t>"</w:t>
            </w:r>
            <w:r>
              <w:rPr>
                <w:lang w:eastAsia="zh-CN"/>
              </w:rPr>
              <w:t>true</w:t>
            </w:r>
            <w:r>
              <w:t>"</w:t>
            </w:r>
            <w:r>
              <w:rPr>
                <w:lang w:eastAsia="zh-CN"/>
              </w:rPr>
              <w:t xml:space="preserve"> to indicate that</w:t>
            </w:r>
            <w:r>
              <w:t xml:space="preserve"> the</w:t>
            </w:r>
            <w:r>
              <w:rPr>
                <w:lang w:eastAsia="ko-KR"/>
              </w:rPr>
              <w:t xml:space="preserve"> ML model accuracy monitoring information is requested. The</w:t>
            </w:r>
            <w:r>
              <w:t xml:space="preserve"> default value is </w:t>
            </w:r>
            <w:r>
              <w:rPr>
                <w:rFonts w:cs="Arial"/>
                <w:szCs w:val="18"/>
                <w:lang w:eastAsia="zh-CN"/>
              </w:rPr>
              <w:t>"</w:t>
            </w:r>
            <w:r>
              <w:t>false</w:t>
            </w:r>
            <w:r>
              <w:rPr>
                <w:rFonts w:cs="Arial"/>
                <w:szCs w:val="18"/>
                <w:lang w:eastAsia="zh-CN"/>
              </w:rPr>
              <w:t>"</w:t>
            </w:r>
            <w:r>
              <w:t xml:space="preserve"> if omitted.</w:t>
            </w:r>
          </w:p>
        </w:tc>
        <w:tc>
          <w:tcPr>
            <w:tcW w:w="1453" w:type="dxa"/>
          </w:tcPr>
          <w:p w14:paraId="0FDDEC96" w14:textId="77777777" w:rsidR="00183EFC" w:rsidRDefault="00183EFC" w:rsidP="00902260">
            <w:pPr>
              <w:pStyle w:val="TAL"/>
              <w:rPr>
                <w:rFonts w:cs="Arial"/>
                <w:szCs w:val="18"/>
              </w:rPr>
            </w:pPr>
          </w:p>
        </w:tc>
      </w:tr>
      <w:tr w:rsidR="00183EFC" w14:paraId="0836E44C" w14:textId="77777777" w:rsidTr="00253BF3">
        <w:trPr>
          <w:jc w:val="center"/>
        </w:trPr>
        <w:tc>
          <w:tcPr>
            <w:tcW w:w="1552" w:type="dxa"/>
          </w:tcPr>
          <w:p w14:paraId="123E0875" w14:textId="77777777" w:rsidR="00183EFC" w:rsidRDefault="00183EFC" w:rsidP="00902260">
            <w:pPr>
              <w:pStyle w:val="TAL"/>
              <w:rPr>
                <w:lang w:eastAsia="zh-CN"/>
              </w:rPr>
            </w:pPr>
            <w:r>
              <w:rPr>
                <w:rFonts w:hint="eastAsia"/>
                <w:lang w:eastAsia="zh-CN"/>
              </w:rPr>
              <w:t>s</w:t>
            </w:r>
            <w:r>
              <w:rPr>
                <w:lang w:eastAsia="zh-CN"/>
              </w:rPr>
              <w:t>ampIds</w:t>
            </w:r>
          </w:p>
        </w:tc>
        <w:tc>
          <w:tcPr>
            <w:tcW w:w="1842" w:type="dxa"/>
          </w:tcPr>
          <w:p w14:paraId="70D71C09" w14:textId="77777777" w:rsidR="00183EFC" w:rsidRDefault="00183EFC" w:rsidP="00902260">
            <w:pPr>
              <w:pStyle w:val="TAL"/>
            </w:pPr>
            <w:r>
              <w:rPr>
                <w:lang w:eastAsia="zh-CN"/>
              </w:rPr>
              <w:t>array(Supi)</w:t>
            </w:r>
          </w:p>
        </w:tc>
        <w:tc>
          <w:tcPr>
            <w:tcW w:w="426" w:type="dxa"/>
          </w:tcPr>
          <w:p w14:paraId="075B7391" w14:textId="77777777" w:rsidR="00183EFC" w:rsidRDefault="00183EFC" w:rsidP="00902260">
            <w:pPr>
              <w:pStyle w:val="TAL"/>
              <w:jc w:val="center"/>
            </w:pPr>
            <w:r>
              <w:t>O</w:t>
            </w:r>
          </w:p>
        </w:tc>
        <w:tc>
          <w:tcPr>
            <w:tcW w:w="1134" w:type="dxa"/>
          </w:tcPr>
          <w:p w14:paraId="5A6D4389" w14:textId="77777777" w:rsidR="00183EFC" w:rsidRDefault="00183EFC" w:rsidP="00902260">
            <w:pPr>
              <w:pStyle w:val="TAL"/>
              <w:jc w:val="center"/>
            </w:pPr>
            <w:r>
              <w:t>1..N</w:t>
            </w:r>
          </w:p>
        </w:tc>
        <w:tc>
          <w:tcPr>
            <w:tcW w:w="3118" w:type="dxa"/>
          </w:tcPr>
          <w:p w14:paraId="2CC4D203" w14:textId="77777777" w:rsidR="00183EFC" w:rsidRDefault="00183EFC" w:rsidP="00902260">
            <w:pPr>
              <w:pStyle w:val="TAL"/>
            </w:pPr>
            <w:r>
              <w:rPr>
                <w:rFonts w:cs="Arial"/>
                <w:szCs w:val="18"/>
              </w:rPr>
              <w:t>R</w:t>
            </w:r>
            <w:r>
              <w:t xml:space="preserve">epresents the </w:t>
            </w:r>
            <w:r>
              <w:rPr>
                <w:lang w:eastAsia="ko-KR"/>
              </w:rPr>
              <w:t xml:space="preserve">initial </w:t>
            </w:r>
            <w:r>
              <w:t>sample list provided by the VFL server.</w:t>
            </w:r>
          </w:p>
        </w:tc>
        <w:tc>
          <w:tcPr>
            <w:tcW w:w="1453" w:type="dxa"/>
          </w:tcPr>
          <w:p w14:paraId="15B97E81" w14:textId="77777777" w:rsidR="00183EFC" w:rsidRDefault="00183EFC" w:rsidP="00902260">
            <w:pPr>
              <w:pStyle w:val="TAL"/>
              <w:rPr>
                <w:rFonts w:cs="Arial"/>
                <w:szCs w:val="18"/>
              </w:rPr>
            </w:pPr>
          </w:p>
        </w:tc>
      </w:tr>
      <w:tr w:rsidR="00183EFC" w14:paraId="738CDE29" w14:textId="77777777" w:rsidTr="00253BF3">
        <w:trPr>
          <w:jc w:val="center"/>
        </w:trPr>
        <w:tc>
          <w:tcPr>
            <w:tcW w:w="1552" w:type="dxa"/>
          </w:tcPr>
          <w:p w14:paraId="3CE0EB63" w14:textId="77777777" w:rsidR="00183EFC" w:rsidRDefault="00183EFC" w:rsidP="00902260">
            <w:pPr>
              <w:pStyle w:val="TAL"/>
              <w:rPr>
                <w:lang w:eastAsia="zh-CN"/>
              </w:rPr>
            </w:pPr>
            <w:r>
              <w:rPr>
                <w:rFonts w:hint="eastAsia"/>
                <w:lang w:eastAsia="zh-CN"/>
              </w:rPr>
              <w:t>s</w:t>
            </w:r>
            <w:r>
              <w:rPr>
                <w:lang w:eastAsia="zh-CN"/>
              </w:rPr>
              <w:t>electedSampIds</w:t>
            </w:r>
          </w:p>
        </w:tc>
        <w:tc>
          <w:tcPr>
            <w:tcW w:w="1842" w:type="dxa"/>
          </w:tcPr>
          <w:p w14:paraId="1BB2FC26" w14:textId="77777777" w:rsidR="00183EFC" w:rsidRDefault="00183EFC" w:rsidP="00902260">
            <w:pPr>
              <w:pStyle w:val="TAL"/>
              <w:rPr>
                <w:lang w:eastAsia="zh-CN"/>
              </w:rPr>
            </w:pPr>
            <w:r>
              <w:rPr>
                <w:lang w:eastAsia="zh-CN"/>
              </w:rPr>
              <w:t>array(Supi)</w:t>
            </w:r>
          </w:p>
        </w:tc>
        <w:tc>
          <w:tcPr>
            <w:tcW w:w="426" w:type="dxa"/>
          </w:tcPr>
          <w:p w14:paraId="3C8006B6" w14:textId="77777777" w:rsidR="00183EFC" w:rsidRDefault="00183EFC" w:rsidP="00902260">
            <w:pPr>
              <w:pStyle w:val="TAL"/>
              <w:jc w:val="center"/>
            </w:pPr>
            <w:r>
              <w:t>O</w:t>
            </w:r>
          </w:p>
        </w:tc>
        <w:tc>
          <w:tcPr>
            <w:tcW w:w="1134" w:type="dxa"/>
          </w:tcPr>
          <w:p w14:paraId="168E43D8" w14:textId="77777777" w:rsidR="00183EFC" w:rsidRDefault="00183EFC" w:rsidP="00902260">
            <w:pPr>
              <w:pStyle w:val="TAL"/>
              <w:jc w:val="center"/>
            </w:pPr>
            <w:r>
              <w:t>1..N</w:t>
            </w:r>
          </w:p>
        </w:tc>
        <w:tc>
          <w:tcPr>
            <w:tcW w:w="3118" w:type="dxa"/>
          </w:tcPr>
          <w:p w14:paraId="6ACD7322" w14:textId="77777777" w:rsidR="00183EFC" w:rsidRDefault="00183EFC" w:rsidP="00902260">
            <w:pPr>
              <w:pStyle w:val="TAL"/>
              <w:rPr>
                <w:rFonts w:cs="Arial"/>
                <w:szCs w:val="18"/>
              </w:rPr>
            </w:pPr>
            <w:r>
              <w:rPr>
                <w:rFonts w:cs="Arial"/>
                <w:szCs w:val="18"/>
              </w:rPr>
              <w:t>R</w:t>
            </w:r>
            <w:r>
              <w:t xml:space="preserve">epresents the samples selected by the VFL clients from the </w:t>
            </w:r>
            <w:r>
              <w:rPr>
                <w:lang w:eastAsia="ko-KR"/>
              </w:rPr>
              <w:t xml:space="preserve">initial </w:t>
            </w:r>
            <w:r>
              <w:t>sample list.</w:t>
            </w:r>
          </w:p>
        </w:tc>
        <w:tc>
          <w:tcPr>
            <w:tcW w:w="1453" w:type="dxa"/>
          </w:tcPr>
          <w:p w14:paraId="66C6CBFF" w14:textId="77777777" w:rsidR="00183EFC" w:rsidRDefault="00183EFC" w:rsidP="00902260">
            <w:pPr>
              <w:pStyle w:val="TAL"/>
              <w:rPr>
                <w:rFonts w:cs="Arial"/>
                <w:szCs w:val="18"/>
              </w:rPr>
            </w:pPr>
          </w:p>
        </w:tc>
      </w:tr>
      <w:tr w:rsidR="00183EFC" w14:paraId="1EF19A87" w14:textId="77777777" w:rsidTr="00253BF3">
        <w:trPr>
          <w:jc w:val="center"/>
        </w:trPr>
        <w:tc>
          <w:tcPr>
            <w:tcW w:w="1552" w:type="dxa"/>
          </w:tcPr>
          <w:p w14:paraId="7E33B3A4" w14:textId="77777777" w:rsidR="00183EFC" w:rsidRDefault="00183EFC" w:rsidP="00902260">
            <w:pPr>
              <w:pStyle w:val="TAL"/>
              <w:rPr>
                <w:lang w:eastAsia="zh-CN"/>
              </w:rPr>
            </w:pPr>
            <w:r>
              <w:rPr>
                <w:rFonts w:hint="eastAsia"/>
                <w:lang w:eastAsia="zh-CN"/>
              </w:rPr>
              <w:t>c</w:t>
            </w:r>
            <w:r>
              <w:rPr>
                <w:lang w:eastAsia="zh-CN"/>
              </w:rPr>
              <w:t>hkPoint</w:t>
            </w:r>
          </w:p>
        </w:tc>
        <w:tc>
          <w:tcPr>
            <w:tcW w:w="1842" w:type="dxa"/>
          </w:tcPr>
          <w:p w14:paraId="207F9863" w14:textId="77777777" w:rsidR="00183EFC" w:rsidRDefault="00183EFC" w:rsidP="00902260">
            <w:pPr>
              <w:pStyle w:val="TAL"/>
              <w:rPr>
                <w:lang w:eastAsia="zh-CN"/>
              </w:rPr>
            </w:pPr>
            <w:r>
              <w:t>Vfl</w:t>
            </w:r>
            <w:r>
              <w:rPr>
                <w:rFonts w:eastAsia="等线"/>
              </w:rPr>
              <w:t>CheckpointInfo</w:t>
            </w:r>
          </w:p>
        </w:tc>
        <w:tc>
          <w:tcPr>
            <w:tcW w:w="426" w:type="dxa"/>
          </w:tcPr>
          <w:p w14:paraId="5A05C08A" w14:textId="77777777" w:rsidR="00183EFC" w:rsidRDefault="00183EFC" w:rsidP="00902260">
            <w:pPr>
              <w:pStyle w:val="TAL"/>
              <w:jc w:val="center"/>
            </w:pPr>
            <w:r>
              <w:t>O</w:t>
            </w:r>
          </w:p>
        </w:tc>
        <w:tc>
          <w:tcPr>
            <w:tcW w:w="1134" w:type="dxa"/>
          </w:tcPr>
          <w:p w14:paraId="29B85F47" w14:textId="77777777" w:rsidR="00183EFC" w:rsidRDefault="00183EFC" w:rsidP="00902260">
            <w:pPr>
              <w:pStyle w:val="TAL"/>
              <w:jc w:val="center"/>
            </w:pPr>
            <w:r>
              <w:rPr>
                <w:lang w:eastAsia="zh-CN"/>
              </w:rPr>
              <w:t>0..1</w:t>
            </w:r>
          </w:p>
        </w:tc>
        <w:tc>
          <w:tcPr>
            <w:tcW w:w="3118" w:type="dxa"/>
          </w:tcPr>
          <w:p w14:paraId="212BE4E9" w14:textId="77777777" w:rsidR="00183EFC" w:rsidRDefault="00183EFC" w:rsidP="00902260">
            <w:pPr>
              <w:pStyle w:val="TAL"/>
              <w:rPr>
                <w:rFonts w:cs="Arial"/>
                <w:szCs w:val="18"/>
              </w:rPr>
            </w:pPr>
            <w:r w:rsidRPr="007B66D3">
              <w:t>Represents information about whether VFL training status at the current iteration should be saved as a VFL training checkpoint or if the VFL training has to resume from a previous checkpoint by using its training iteration round ID</w:t>
            </w:r>
            <w:r>
              <w:t>.</w:t>
            </w:r>
          </w:p>
        </w:tc>
        <w:tc>
          <w:tcPr>
            <w:tcW w:w="1453" w:type="dxa"/>
          </w:tcPr>
          <w:p w14:paraId="2BF98860" w14:textId="77777777" w:rsidR="00183EFC" w:rsidRDefault="00183EFC" w:rsidP="00902260">
            <w:pPr>
              <w:pStyle w:val="TAL"/>
              <w:rPr>
                <w:rFonts w:cs="Arial"/>
                <w:szCs w:val="18"/>
              </w:rPr>
            </w:pPr>
          </w:p>
        </w:tc>
      </w:tr>
      <w:tr w:rsidR="00183EFC" w14:paraId="01873345" w14:textId="77777777" w:rsidTr="00902260">
        <w:trPr>
          <w:jc w:val="center"/>
        </w:trPr>
        <w:tc>
          <w:tcPr>
            <w:tcW w:w="1552" w:type="dxa"/>
          </w:tcPr>
          <w:p w14:paraId="35C1E3BE" w14:textId="77777777" w:rsidR="00183EFC" w:rsidRDefault="00183EFC" w:rsidP="00902260">
            <w:pPr>
              <w:pStyle w:val="TAL"/>
              <w:rPr>
                <w:lang w:eastAsia="zh-CN"/>
              </w:rPr>
            </w:pPr>
            <w:r>
              <w:t>vflFeatIds</w:t>
            </w:r>
          </w:p>
        </w:tc>
        <w:tc>
          <w:tcPr>
            <w:tcW w:w="1842" w:type="dxa"/>
          </w:tcPr>
          <w:p w14:paraId="6A4ABA6D" w14:textId="77777777" w:rsidR="00183EFC" w:rsidRDefault="00183EFC" w:rsidP="00902260">
            <w:pPr>
              <w:pStyle w:val="TAL"/>
            </w:pPr>
            <w:r>
              <w:t>array(string)</w:t>
            </w:r>
          </w:p>
        </w:tc>
        <w:tc>
          <w:tcPr>
            <w:tcW w:w="426" w:type="dxa"/>
          </w:tcPr>
          <w:p w14:paraId="4FDECF99" w14:textId="77777777" w:rsidR="00183EFC" w:rsidRDefault="00183EFC" w:rsidP="00902260">
            <w:pPr>
              <w:pStyle w:val="TAL"/>
              <w:jc w:val="center"/>
            </w:pPr>
            <w:r>
              <w:rPr>
                <w:rFonts w:cs="Arial"/>
                <w:szCs w:val="18"/>
                <w:lang w:eastAsia="zh-CN"/>
              </w:rPr>
              <w:t>O</w:t>
            </w:r>
          </w:p>
        </w:tc>
        <w:tc>
          <w:tcPr>
            <w:tcW w:w="1134" w:type="dxa"/>
          </w:tcPr>
          <w:p w14:paraId="31CEFEEB" w14:textId="77777777" w:rsidR="00183EFC" w:rsidRDefault="00183EFC" w:rsidP="00902260">
            <w:pPr>
              <w:pStyle w:val="TAL"/>
              <w:jc w:val="center"/>
              <w:rPr>
                <w:lang w:eastAsia="zh-CN"/>
              </w:rPr>
            </w:pPr>
            <w:r>
              <w:rPr>
                <w:rFonts w:cs="Arial"/>
                <w:szCs w:val="18"/>
                <w:lang w:eastAsia="zh-CN"/>
              </w:rPr>
              <w:t>1..N</w:t>
            </w:r>
          </w:p>
        </w:tc>
        <w:tc>
          <w:tcPr>
            <w:tcW w:w="3118" w:type="dxa"/>
          </w:tcPr>
          <w:p w14:paraId="6D164B25" w14:textId="77777777" w:rsidR="00183EFC" w:rsidRPr="00FC5F7E" w:rsidRDefault="00183EFC" w:rsidP="00902260">
            <w:pPr>
              <w:keepNext/>
              <w:keepLines/>
              <w:spacing w:after="0"/>
              <w:rPr>
                <w:rFonts w:ascii="Arial" w:hAnsi="Arial"/>
                <w:sz w:val="18"/>
              </w:rPr>
            </w:pPr>
            <w:r w:rsidRPr="00FC5F7E">
              <w:rPr>
                <w:rFonts w:ascii="Arial" w:hAnsi="Arial"/>
                <w:sz w:val="18"/>
              </w:rPr>
              <w:t xml:space="preserve">In the VFL server request, it </w:t>
            </w:r>
            <w:r>
              <w:rPr>
                <w:rFonts w:ascii="Arial" w:hAnsi="Arial"/>
                <w:sz w:val="18"/>
              </w:rPr>
              <w:t>contains the feature identifiers supported by the VFL server</w:t>
            </w:r>
            <w:r w:rsidRPr="00FC5F7E">
              <w:rPr>
                <w:rFonts w:ascii="Arial" w:hAnsi="Arial"/>
                <w:sz w:val="18"/>
              </w:rPr>
              <w:t>.</w:t>
            </w:r>
          </w:p>
          <w:p w14:paraId="0B4DB91D" w14:textId="77777777" w:rsidR="00183EFC" w:rsidRDefault="00183EFC" w:rsidP="00902260">
            <w:pPr>
              <w:keepNext/>
              <w:keepLines/>
              <w:spacing w:after="0"/>
              <w:rPr>
                <w:rFonts w:ascii="Arial" w:hAnsi="Arial"/>
                <w:sz w:val="18"/>
              </w:rPr>
            </w:pPr>
            <w:r w:rsidRPr="00FC5F7E">
              <w:rPr>
                <w:rFonts w:ascii="Arial" w:hAnsi="Arial"/>
                <w:sz w:val="18"/>
              </w:rPr>
              <w:t xml:space="preserve">In the VFL client response, it contains the </w:t>
            </w:r>
            <w:r>
              <w:rPr>
                <w:rFonts w:ascii="Arial" w:hAnsi="Arial"/>
                <w:sz w:val="18"/>
              </w:rPr>
              <w:t>feature identifiers supported by the VFL client</w:t>
            </w:r>
            <w:r w:rsidRPr="00FC5F7E">
              <w:rPr>
                <w:rFonts w:ascii="Arial" w:hAnsi="Arial"/>
                <w:sz w:val="18"/>
              </w:rPr>
              <w:t>.</w:t>
            </w:r>
          </w:p>
          <w:p w14:paraId="3FC34BF3" w14:textId="77777777" w:rsidR="00183EFC" w:rsidRPr="007B66D3" w:rsidRDefault="00183EFC" w:rsidP="00902260">
            <w:pPr>
              <w:pStyle w:val="TAL"/>
            </w:pPr>
            <w:r w:rsidRPr="00D927E2">
              <w:t>The content of this attribute is not standardized in this Release.</w:t>
            </w:r>
          </w:p>
        </w:tc>
        <w:tc>
          <w:tcPr>
            <w:tcW w:w="1453" w:type="dxa"/>
          </w:tcPr>
          <w:p w14:paraId="42458EE1" w14:textId="77777777" w:rsidR="00183EFC" w:rsidRDefault="00183EFC" w:rsidP="00902260">
            <w:pPr>
              <w:pStyle w:val="TAL"/>
              <w:rPr>
                <w:rFonts w:cs="Arial"/>
                <w:szCs w:val="18"/>
              </w:rPr>
            </w:pPr>
          </w:p>
        </w:tc>
      </w:tr>
      <w:tr w:rsidR="00183EFC" w14:paraId="64378035" w14:textId="77777777" w:rsidTr="00253BF3">
        <w:trPr>
          <w:jc w:val="center"/>
        </w:trPr>
        <w:tc>
          <w:tcPr>
            <w:tcW w:w="1552" w:type="dxa"/>
          </w:tcPr>
          <w:p w14:paraId="3AC69643" w14:textId="77777777" w:rsidR="00183EFC" w:rsidRDefault="00183EFC" w:rsidP="00902260">
            <w:pPr>
              <w:pStyle w:val="TAL"/>
              <w:rPr>
                <w:lang w:eastAsia="zh-CN"/>
              </w:rPr>
            </w:pPr>
            <w:r w:rsidRPr="002503D2">
              <w:rPr>
                <w:rFonts w:cs="Arial"/>
                <w:szCs w:val="18"/>
              </w:rPr>
              <w:t>minNumSamples</w:t>
            </w:r>
          </w:p>
        </w:tc>
        <w:tc>
          <w:tcPr>
            <w:tcW w:w="1842" w:type="dxa"/>
          </w:tcPr>
          <w:p w14:paraId="6F7F6B05" w14:textId="77777777" w:rsidR="00183EFC" w:rsidRDefault="00183EFC" w:rsidP="00902260">
            <w:pPr>
              <w:pStyle w:val="TAL"/>
            </w:pPr>
            <w:r w:rsidRPr="002503D2">
              <w:rPr>
                <w:rFonts w:cs="Arial"/>
                <w:szCs w:val="18"/>
              </w:rPr>
              <w:t>Uinteger</w:t>
            </w:r>
          </w:p>
        </w:tc>
        <w:tc>
          <w:tcPr>
            <w:tcW w:w="426" w:type="dxa"/>
          </w:tcPr>
          <w:p w14:paraId="06398C97" w14:textId="77777777" w:rsidR="00183EFC" w:rsidRDefault="00183EFC" w:rsidP="00902260">
            <w:pPr>
              <w:pStyle w:val="TAL"/>
              <w:jc w:val="center"/>
            </w:pPr>
            <w:r w:rsidRPr="000D04F4">
              <w:rPr>
                <w:rFonts w:cs="Arial"/>
                <w:szCs w:val="18"/>
              </w:rPr>
              <w:t>O</w:t>
            </w:r>
          </w:p>
        </w:tc>
        <w:tc>
          <w:tcPr>
            <w:tcW w:w="1134" w:type="dxa"/>
          </w:tcPr>
          <w:p w14:paraId="68D33460" w14:textId="77777777" w:rsidR="00183EFC" w:rsidRDefault="00183EFC" w:rsidP="00902260">
            <w:pPr>
              <w:pStyle w:val="TAL"/>
              <w:jc w:val="center"/>
              <w:rPr>
                <w:lang w:eastAsia="zh-CN"/>
              </w:rPr>
            </w:pPr>
            <w:r w:rsidRPr="000D04F4">
              <w:rPr>
                <w:rFonts w:eastAsia="Yu Mincho" w:cs="Arial"/>
                <w:szCs w:val="18"/>
                <w:lang w:eastAsia="ja-JP"/>
              </w:rPr>
              <w:t>0..1</w:t>
            </w:r>
          </w:p>
        </w:tc>
        <w:tc>
          <w:tcPr>
            <w:tcW w:w="3118" w:type="dxa"/>
          </w:tcPr>
          <w:p w14:paraId="098D3792" w14:textId="77777777" w:rsidR="00183EFC" w:rsidRPr="007B66D3" w:rsidRDefault="00183EFC" w:rsidP="00902260">
            <w:pPr>
              <w:pStyle w:val="TAL"/>
            </w:pPr>
            <w:r w:rsidRPr="000D04F4">
              <w:rPr>
                <w:rFonts w:cs="Arial"/>
                <w:szCs w:val="18"/>
                <w:lang w:val="en-US" w:eastAsia="zh-CN"/>
              </w:rPr>
              <w:t>Represents minimum required sample size.</w:t>
            </w:r>
          </w:p>
        </w:tc>
        <w:tc>
          <w:tcPr>
            <w:tcW w:w="1453" w:type="dxa"/>
          </w:tcPr>
          <w:p w14:paraId="099996B6" w14:textId="77777777" w:rsidR="00183EFC" w:rsidRDefault="00183EFC" w:rsidP="00902260">
            <w:pPr>
              <w:pStyle w:val="TAL"/>
              <w:rPr>
                <w:rFonts w:cs="Arial"/>
                <w:szCs w:val="18"/>
              </w:rPr>
            </w:pPr>
          </w:p>
        </w:tc>
      </w:tr>
      <w:tr w:rsidR="00183EFC" w14:paraId="0C6F9309" w14:textId="77777777" w:rsidTr="00253BF3">
        <w:trPr>
          <w:jc w:val="center"/>
        </w:trPr>
        <w:tc>
          <w:tcPr>
            <w:tcW w:w="1552" w:type="dxa"/>
          </w:tcPr>
          <w:p w14:paraId="403E6505" w14:textId="77777777" w:rsidR="00183EFC" w:rsidRDefault="00183EFC" w:rsidP="00902260">
            <w:pPr>
              <w:pStyle w:val="TAL"/>
              <w:rPr>
                <w:lang w:eastAsia="zh-CN"/>
              </w:rPr>
            </w:pPr>
            <w:r w:rsidRPr="002503D2">
              <w:rPr>
                <w:rFonts w:cs="Arial"/>
                <w:szCs w:val="18"/>
              </w:rPr>
              <w:t>timeWindows</w:t>
            </w:r>
          </w:p>
        </w:tc>
        <w:tc>
          <w:tcPr>
            <w:tcW w:w="1842" w:type="dxa"/>
          </w:tcPr>
          <w:p w14:paraId="34B63CA5" w14:textId="77777777" w:rsidR="00183EFC" w:rsidRDefault="00183EFC" w:rsidP="00902260">
            <w:pPr>
              <w:pStyle w:val="TAL"/>
            </w:pPr>
            <w:r w:rsidRPr="002503D2">
              <w:rPr>
                <w:rFonts w:eastAsia="等线" w:cs="Arial"/>
                <w:szCs w:val="18"/>
                <w:lang w:eastAsia="zh-CN"/>
              </w:rPr>
              <w:t>array(TimeWindow)</w:t>
            </w:r>
          </w:p>
        </w:tc>
        <w:tc>
          <w:tcPr>
            <w:tcW w:w="426" w:type="dxa"/>
          </w:tcPr>
          <w:p w14:paraId="4E4158E3" w14:textId="77777777" w:rsidR="00183EFC" w:rsidRDefault="00183EFC" w:rsidP="00902260">
            <w:pPr>
              <w:pStyle w:val="TAL"/>
              <w:jc w:val="center"/>
            </w:pPr>
            <w:r w:rsidRPr="002503D2">
              <w:rPr>
                <w:rFonts w:cs="Arial"/>
                <w:szCs w:val="18"/>
              </w:rPr>
              <w:t>O</w:t>
            </w:r>
          </w:p>
        </w:tc>
        <w:tc>
          <w:tcPr>
            <w:tcW w:w="1134" w:type="dxa"/>
          </w:tcPr>
          <w:p w14:paraId="3BFBD93A" w14:textId="77777777" w:rsidR="00183EFC" w:rsidRDefault="00183EFC" w:rsidP="00902260">
            <w:pPr>
              <w:pStyle w:val="TAL"/>
              <w:jc w:val="center"/>
              <w:rPr>
                <w:lang w:eastAsia="zh-CN"/>
              </w:rPr>
            </w:pPr>
            <w:r w:rsidRPr="002503D2">
              <w:rPr>
                <w:rFonts w:eastAsia="Yu Mincho" w:cs="Arial"/>
                <w:szCs w:val="18"/>
                <w:lang w:eastAsia="ja-JP"/>
              </w:rPr>
              <w:t>1..N</w:t>
            </w:r>
          </w:p>
        </w:tc>
        <w:tc>
          <w:tcPr>
            <w:tcW w:w="3118" w:type="dxa"/>
          </w:tcPr>
          <w:p w14:paraId="47C95AF7" w14:textId="77777777" w:rsidR="00183EFC" w:rsidRPr="007B66D3" w:rsidRDefault="00183EFC" w:rsidP="00902260">
            <w:pPr>
              <w:pStyle w:val="TAL"/>
            </w:pPr>
            <w:r w:rsidRPr="002503D2">
              <w:rPr>
                <w:rFonts w:cs="Arial"/>
                <w:szCs w:val="18"/>
              </w:rPr>
              <w:t>The time periods of the data samples</w:t>
            </w:r>
            <w:r w:rsidRPr="002503D2">
              <w:rPr>
                <w:rFonts w:cs="Arial"/>
                <w:szCs w:val="18"/>
                <w:lang w:eastAsia="zh-CN"/>
              </w:rPr>
              <w:t>.</w:t>
            </w:r>
          </w:p>
        </w:tc>
        <w:tc>
          <w:tcPr>
            <w:tcW w:w="1453" w:type="dxa"/>
          </w:tcPr>
          <w:p w14:paraId="12B387DB" w14:textId="77777777" w:rsidR="00183EFC" w:rsidRDefault="00183EFC" w:rsidP="00902260">
            <w:pPr>
              <w:pStyle w:val="TAL"/>
              <w:rPr>
                <w:rFonts w:cs="Arial"/>
                <w:szCs w:val="18"/>
              </w:rPr>
            </w:pPr>
          </w:p>
        </w:tc>
      </w:tr>
    </w:tbl>
    <w:p w14:paraId="2F6875C5" w14:textId="77777777" w:rsidR="00183EFC" w:rsidRDefault="00183EFC" w:rsidP="00183EFC"/>
    <w:p w14:paraId="557AD491" w14:textId="77777777" w:rsidR="00183EFC" w:rsidRDefault="00183EFC" w:rsidP="00183EFC">
      <w:pPr>
        <w:pStyle w:val="EditorsNote"/>
        <w:rPr>
          <w:rStyle w:val="EditorsNoteCharChar"/>
        </w:rPr>
      </w:pPr>
      <w:r w:rsidRPr="00C528F2">
        <w:rPr>
          <w:rStyle w:val="EditorsNoteCharChar"/>
        </w:rPr>
        <w:t>Editor's Note:</w:t>
      </w:r>
      <w:r w:rsidRPr="00C528F2">
        <w:rPr>
          <w:rStyle w:val="EditorsNoteCharChar"/>
        </w:rPr>
        <w:tab/>
        <w:t xml:space="preserve">The </w:t>
      </w:r>
      <w:r>
        <w:rPr>
          <w:rStyle w:val="EditorsNoteCharChar"/>
        </w:rPr>
        <w:t>final list of the attributes and their presence conditions are FFS</w:t>
      </w:r>
      <w:r w:rsidRPr="00C528F2">
        <w:rPr>
          <w:rStyle w:val="EditorsNoteCharChar"/>
        </w:rPr>
        <w:t>.</w:t>
      </w:r>
    </w:p>
    <w:p w14:paraId="64399BE2" w14:textId="77777777" w:rsidR="00183EFC" w:rsidRDefault="00183EFC" w:rsidP="00183EFC">
      <w:pPr>
        <w:pStyle w:val="EditorsNote"/>
        <w:rPr>
          <w:rStyle w:val="EditorsNoteCharChar"/>
        </w:rPr>
      </w:pPr>
      <w:r w:rsidRPr="00C528F2">
        <w:rPr>
          <w:rStyle w:val="EditorsNoteCharChar"/>
        </w:rPr>
        <w:t>Editor's Note:</w:t>
      </w:r>
      <w:r>
        <w:rPr>
          <w:rStyle w:val="EditorsNoteCharChar"/>
        </w:rPr>
        <w:t>The attributes shall be present in the response and the attributes that can be modified by the NWDAF are FFS</w:t>
      </w:r>
      <w:r w:rsidRPr="00C528F2">
        <w:rPr>
          <w:rStyle w:val="EditorsNoteCharChar"/>
        </w:rPr>
        <w:t>.</w:t>
      </w:r>
    </w:p>
    <w:p w14:paraId="111E2BCF" w14:textId="77777777" w:rsidR="00183EFC" w:rsidRPr="00DD00CA" w:rsidRDefault="00183EFC" w:rsidP="00183EFC"/>
    <w:p w14:paraId="4D835D98" w14:textId="77777777" w:rsidR="00183EFC" w:rsidRDefault="00183EFC" w:rsidP="00183EFC">
      <w:pPr>
        <w:pStyle w:val="5"/>
      </w:pPr>
      <w:bookmarkStart w:id="16944" w:name="_Toc199453453"/>
      <w:r>
        <w:lastRenderedPageBreak/>
        <w:t>5.9.6.2.4</w:t>
      </w:r>
      <w:r>
        <w:tab/>
        <w:t>Type Vfl</w:t>
      </w:r>
      <w:r>
        <w:rPr>
          <w:rFonts w:eastAsia="等线"/>
        </w:rPr>
        <w:t>CheckpointInfo</w:t>
      </w:r>
      <w:bookmarkEnd w:id="16944"/>
    </w:p>
    <w:p w14:paraId="43AA6F4E" w14:textId="77777777" w:rsidR="00183EFC" w:rsidRDefault="00183EFC" w:rsidP="00183EFC">
      <w:pPr>
        <w:pStyle w:val="TH"/>
        <w:overflowPunct w:val="0"/>
        <w:autoSpaceDE w:val="0"/>
        <w:autoSpaceDN w:val="0"/>
        <w:adjustRightInd w:val="0"/>
        <w:textAlignment w:val="baseline"/>
        <w:rPr>
          <w:rFonts w:eastAsia="MS Mincho"/>
        </w:rPr>
      </w:pPr>
      <w:r>
        <w:rPr>
          <w:rFonts w:eastAsia="MS Mincho"/>
        </w:rPr>
        <w:t>Table 5.9.6.2.4-1: Definition of type VflCheckpointInfo</w:t>
      </w:r>
    </w:p>
    <w:tbl>
      <w:tblPr>
        <w:tblW w:w="500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5"/>
        <w:gridCol w:w="1599"/>
        <w:gridCol w:w="424"/>
        <w:gridCol w:w="1274"/>
        <w:gridCol w:w="3264"/>
        <w:gridCol w:w="1409"/>
      </w:tblGrid>
      <w:tr w:rsidR="00183EFC" w14:paraId="7912817D" w14:textId="77777777" w:rsidTr="00902260">
        <w:trPr>
          <w:trHeight w:val="212"/>
          <w:jc w:val="center"/>
        </w:trPr>
        <w:tc>
          <w:tcPr>
            <w:tcW w:w="1654" w:type="dxa"/>
            <w:tcBorders>
              <w:top w:val="single" w:sz="6" w:space="0" w:color="auto"/>
              <w:left w:val="single" w:sz="6" w:space="0" w:color="auto"/>
              <w:bottom w:val="single" w:sz="6" w:space="0" w:color="auto"/>
              <w:right w:val="single" w:sz="6" w:space="0" w:color="auto"/>
            </w:tcBorders>
            <w:shd w:val="clear" w:color="auto" w:fill="C0C0C0"/>
          </w:tcPr>
          <w:p w14:paraId="7C7CCA11" w14:textId="77777777" w:rsidR="00183EFC" w:rsidRDefault="00183EFC" w:rsidP="00902260">
            <w:pPr>
              <w:pStyle w:val="TAH"/>
              <w:ind w:left="400" w:hanging="400"/>
            </w:pPr>
            <w:r>
              <w:t>Attribute name</w:t>
            </w:r>
          </w:p>
        </w:tc>
        <w:tc>
          <w:tcPr>
            <w:tcW w:w="1599" w:type="dxa"/>
            <w:tcBorders>
              <w:top w:val="single" w:sz="6" w:space="0" w:color="auto"/>
              <w:left w:val="single" w:sz="6" w:space="0" w:color="auto"/>
              <w:bottom w:val="single" w:sz="6" w:space="0" w:color="auto"/>
              <w:right w:val="single" w:sz="6" w:space="0" w:color="auto"/>
            </w:tcBorders>
            <w:shd w:val="clear" w:color="auto" w:fill="C0C0C0"/>
          </w:tcPr>
          <w:p w14:paraId="5A60D9FF" w14:textId="77777777" w:rsidR="00183EFC" w:rsidRDefault="00183EFC" w:rsidP="00902260">
            <w:pPr>
              <w:pStyle w:val="TAH"/>
              <w:ind w:left="400" w:hanging="400"/>
            </w:pPr>
            <w:r>
              <w:t>Data type</w:t>
            </w:r>
          </w:p>
        </w:tc>
        <w:tc>
          <w:tcPr>
            <w:tcW w:w="424" w:type="dxa"/>
            <w:tcBorders>
              <w:top w:val="single" w:sz="6" w:space="0" w:color="auto"/>
              <w:left w:val="single" w:sz="6" w:space="0" w:color="auto"/>
              <w:bottom w:val="single" w:sz="6" w:space="0" w:color="auto"/>
              <w:right w:val="single" w:sz="6" w:space="0" w:color="auto"/>
            </w:tcBorders>
            <w:shd w:val="clear" w:color="auto" w:fill="C0C0C0"/>
          </w:tcPr>
          <w:p w14:paraId="5097F429" w14:textId="77777777" w:rsidR="00183EFC" w:rsidRDefault="00183EFC" w:rsidP="00902260">
            <w:pPr>
              <w:pStyle w:val="TAH"/>
              <w:ind w:left="400" w:hanging="400"/>
            </w:pPr>
            <w:r>
              <w:t>P</w:t>
            </w:r>
          </w:p>
        </w:tc>
        <w:tc>
          <w:tcPr>
            <w:tcW w:w="1274" w:type="dxa"/>
            <w:tcBorders>
              <w:top w:val="single" w:sz="6" w:space="0" w:color="auto"/>
              <w:left w:val="single" w:sz="6" w:space="0" w:color="auto"/>
              <w:bottom w:val="single" w:sz="6" w:space="0" w:color="auto"/>
              <w:right w:val="single" w:sz="6" w:space="0" w:color="auto"/>
            </w:tcBorders>
            <w:shd w:val="clear" w:color="auto" w:fill="C0C0C0"/>
          </w:tcPr>
          <w:p w14:paraId="707EB1A4" w14:textId="77777777" w:rsidR="00183EFC" w:rsidRDefault="00183EFC" w:rsidP="00902260">
            <w:pPr>
              <w:pStyle w:val="TAH"/>
              <w:ind w:left="400" w:hanging="400"/>
            </w:pPr>
            <w:r>
              <w:t>Cardinality</w:t>
            </w:r>
          </w:p>
        </w:tc>
        <w:tc>
          <w:tcPr>
            <w:tcW w:w="3263" w:type="dxa"/>
            <w:tcBorders>
              <w:top w:val="single" w:sz="6" w:space="0" w:color="auto"/>
              <w:left w:val="single" w:sz="6" w:space="0" w:color="auto"/>
              <w:bottom w:val="single" w:sz="6" w:space="0" w:color="auto"/>
              <w:right w:val="single" w:sz="6" w:space="0" w:color="auto"/>
            </w:tcBorders>
            <w:shd w:val="clear" w:color="auto" w:fill="C0C0C0"/>
          </w:tcPr>
          <w:p w14:paraId="4771DE3C" w14:textId="77777777" w:rsidR="00183EFC" w:rsidRDefault="00183EFC" w:rsidP="00902260">
            <w:pPr>
              <w:pStyle w:val="TAH"/>
              <w:ind w:left="400" w:hanging="400"/>
              <w:rPr>
                <w:rFonts w:cs="Arial"/>
                <w:szCs w:val="18"/>
              </w:rPr>
            </w:pPr>
            <w:r>
              <w:rPr>
                <w:rFonts w:cs="Arial"/>
                <w:szCs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tcPr>
          <w:p w14:paraId="76676ECC" w14:textId="77777777" w:rsidR="00183EFC" w:rsidRDefault="00183EFC" w:rsidP="00902260">
            <w:pPr>
              <w:pStyle w:val="TAH"/>
              <w:ind w:left="400" w:hanging="400"/>
              <w:rPr>
                <w:rFonts w:cs="Arial"/>
                <w:szCs w:val="18"/>
              </w:rPr>
            </w:pPr>
            <w:r>
              <w:rPr>
                <w:rFonts w:cs="Arial"/>
                <w:szCs w:val="18"/>
              </w:rPr>
              <w:t>Applicability</w:t>
            </w:r>
          </w:p>
        </w:tc>
      </w:tr>
      <w:tr w:rsidR="00183EFC" w14:paraId="1B950F4B" w14:textId="77777777" w:rsidTr="00253BF3">
        <w:trPr>
          <w:trHeight w:val="427"/>
          <w:jc w:val="center"/>
        </w:trPr>
        <w:tc>
          <w:tcPr>
            <w:tcW w:w="1654" w:type="dxa"/>
            <w:tcBorders>
              <w:top w:val="single" w:sz="6" w:space="0" w:color="auto"/>
              <w:left w:val="single" w:sz="6" w:space="0" w:color="auto"/>
              <w:bottom w:val="single" w:sz="6" w:space="0" w:color="auto"/>
              <w:right w:val="single" w:sz="6" w:space="0" w:color="auto"/>
            </w:tcBorders>
          </w:tcPr>
          <w:p w14:paraId="55FEA281" w14:textId="77777777" w:rsidR="00183EFC" w:rsidRDefault="00183EFC" w:rsidP="00902260">
            <w:pPr>
              <w:pStyle w:val="TAL"/>
            </w:pPr>
            <w:r>
              <w:t>save</w:t>
            </w:r>
            <w:r w:rsidRPr="007B198E">
              <w:t>Checkpoint</w:t>
            </w:r>
          </w:p>
        </w:tc>
        <w:tc>
          <w:tcPr>
            <w:tcW w:w="1599" w:type="dxa"/>
            <w:tcBorders>
              <w:top w:val="single" w:sz="6" w:space="0" w:color="auto"/>
              <w:left w:val="single" w:sz="6" w:space="0" w:color="auto"/>
              <w:bottom w:val="single" w:sz="6" w:space="0" w:color="auto"/>
              <w:right w:val="single" w:sz="6" w:space="0" w:color="auto"/>
            </w:tcBorders>
          </w:tcPr>
          <w:p w14:paraId="24ACFFB7" w14:textId="77777777" w:rsidR="00183EFC" w:rsidRDefault="00183EFC" w:rsidP="00902260">
            <w:pPr>
              <w:pStyle w:val="TAL"/>
              <w:rPr>
                <w:lang w:eastAsia="zh-CN"/>
              </w:rPr>
            </w:pPr>
            <w:r>
              <w:rPr>
                <w:lang w:eastAsia="zh-CN"/>
              </w:rPr>
              <w:t>DateTime</w:t>
            </w:r>
          </w:p>
        </w:tc>
        <w:tc>
          <w:tcPr>
            <w:tcW w:w="424" w:type="dxa"/>
            <w:tcBorders>
              <w:top w:val="single" w:sz="6" w:space="0" w:color="auto"/>
              <w:left w:val="single" w:sz="6" w:space="0" w:color="auto"/>
              <w:bottom w:val="single" w:sz="6" w:space="0" w:color="auto"/>
              <w:right w:val="single" w:sz="6" w:space="0" w:color="auto"/>
            </w:tcBorders>
          </w:tcPr>
          <w:p w14:paraId="1BDAC296" w14:textId="77777777" w:rsidR="00183EFC" w:rsidRPr="007B198E" w:rsidRDefault="00183EFC" w:rsidP="00902260">
            <w:pPr>
              <w:pStyle w:val="TAL"/>
              <w:rPr>
                <w:lang w:eastAsia="zh-CN"/>
              </w:rPr>
            </w:pPr>
            <w:r>
              <w:rPr>
                <w:lang w:eastAsia="zh-CN"/>
              </w:rPr>
              <w:t>C</w:t>
            </w:r>
          </w:p>
        </w:tc>
        <w:tc>
          <w:tcPr>
            <w:tcW w:w="1274" w:type="dxa"/>
            <w:tcBorders>
              <w:top w:val="single" w:sz="6" w:space="0" w:color="auto"/>
              <w:left w:val="single" w:sz="6" w:space="0" w:color="auto"/>
              <w:bottom w:val="single" w:sz="6" w:space="0" w:color="auto"/>
              <w:right w:val="single" w:sz="6" w:space="0" w:color="auto"/>
            </w:tcBorders>
          </w:tcPr>
          <w:p w14:paraId="3267A353" w14:textId="77777777" w:rsidR="00183EFC" w:rsidRDefault="00183EFC" w:rsidP="00902260">
            <w:pPr>
              <w:pStyle w:val="TAL"/>
              <w:rPr>
                <w:lang w:eastAsia="zh-CN"/>
              </w:rPr>
            </w:pPr>
            <w:r>
              <w:rPr>
                <w:lang w:eastAsia="zh-CN"/>
              </w:rPr>
              <w:t>0..1</w:t>
            </w:r>
          </w:p>
        </w:tc>
        <w:tc>
          <w:tcPr>
            <w:tcW w:w="3263" w:type="dxa"/>
            <w:tcBorders>
              <w:top w:val="single" w:sz="6" w:space="0" w:color="auto"/>
              <w:left w:val="single" w:sz="6" w:space="0" w:color="auto"/>
              <w:bottom w:val="single" w:sz="6" w:space="0" w:color="auto"/>
              <w:right w:val="single" w:sz="6" w:space="0" w:color="auto"/>
            </w:tcBorders>
          </w:tcPr>
          <w:p w14:paraId="4CF16EC9" w14:textId="77777777" w:rsidR="00183EFC" w:rsidRDefault="00183EFC" w:rsidP="00902260">
            <w:pPr>
              <w:pStyle w:val="TAL"/>
            </w:pPr>
            <w:r>
              <w:rPr>
                <w:rFonts w:cs="Arial"/>
                <w:szCs w:val="18"/>
                <w:lang w:val="en-US" w:eastAsia="zh-CN"/>
              </w:rPr>
              <w:t>Represents the time when the model status at the current iteration shall be saved as training checkpoint</w:t>
            </w:r>
          </w:p>
          <w:p w14:paraId="6533E15F" w14:textId="77777777" w:rsidR="00183EFC" w:rsidRPr="007B198E" w:rsidRDefault="00183EFC" w:rsidP="00902260">
            <w:pPr>
              <w:pStyle w:val="TAL"/>
              <w:rPr>
                <w:rFonts w:cs="Arial"/>
                <w:szCs w:val="18"/>
                <w:lang w:val="en-US" w:eastAsia="zh-CN"/>
              </w:rPr>
            </w:pPr>
            <w:r>
              <w:t>(NOTE</w:t>
            </w:r>
            <w:r>
              <w:rPr>
                <w:lang w:eastAsia="zh-CN"/>
              </w:rPr>
              <w:t>)</w:t>
            </w:r>
          </w:p>
        </w:tc>
        <w:tc>
          <w:tcPr>
            <w:tcW w:w="1409" w:type="dxa"/>
            <w:tcBorders>
              <w:top w:val="single" w:sz="6" w:space="0" w:color="auto"/>
              <w:left w:val="single" w:sz="6" w:space="0" w:color="auto"/>
              <w:bottom w:val="single" w:sz="6" w:space="0" w:color="auto"/>
              <w:right w:val="single" w:sz="6" w:space="0" w:color="auto"/>
            </w:tcBorders>
          </w:tcPr>
          <w:p w14:paraId="1259D6E0" w14:textId="77777777" w:rsidR="00183EFC" w:rsidRDefault="00183EFC" w:rsidP="00902260">
            <w:pPr>
              <w:pStyle w:val="TAL"/>
              <w:rPr>
                <w:rFonts w:cs="Arial"/>
                <w:szCs w:val="18"/>
              </w:rPr>
            </w:pPr>
          </w:p>
        </w:tc>
      </w:tr>
      <w:tr w:rsidR="00183EFC" w14:paraId="347CD23E" w14:textId="77777777" w:rsidTr="00253BF3">
        <w:trPr>
          <w:trHeight w:val="427"/>
          <w:jc w:val="center"/>
        </w:trPr>
        <w:tc>
          <w:tcPr>
            <w:tcW w:w="1654" w:type="dxa"/>
            <w:tcBorders>
              <w:top w:val="single" w:sz="6" w:space="0" w:color="auto"/>
              <w:left w:val="single" w:sz="6" w:space="0" w:color="auto"/>
              <w:bottom w:val="single" w:sz="6" w:space="0" w:color="auto"/>
              <w:right w:val="single" w:sz="6" w:space="0" w:color="auto"/>
            </w:tcBorders>
          </w:tcPr>
          <w:p w14:paraId="40786166" w14:textId="77777777" w:rsidR="00183EFC" w:rsidRDefault="00183EFC" w:rsidP="00902260">
            <w:pPr>
              <w:pStyle w:val="TAN"/>
            </w:pPr>
            <w:r>
              <w:t>resRoundInd</w:t>
            </w:r>
          </w:p>
        </w:tc>
        <w:tc>
          <w:tcPr>
            <w:tcW w:w="1599" w:type="dxa"/>
            <w:tcBorders>
              <w:top w:val="single" w:sz="6" w:space="0" w:color="auto"/>
              <w:left w:val="single" w:sz="6" w:space="0" w:color="auto"/>
              <w:bottom w:val="single" w:sz="6" w:space="0" w:color="auto"/>
              <w:right w:val="single" w:sz="6" w:space="0" w:color="auto"/>
            </w:tcBorders>
          </w:tcPr>
          <w:p w14:paraId="653D65E3" w14:textId="77777777" w:rsidR="00183EFC" w:rsidRPr="00C15CA2" w:rsidRDefault="00183EFC" w:rsidP="00902260">
            <w:pPr>
              <w:pStyle w:val="TAL"/>
              <w:rPr>
                <w:lang w:val="en-US" w:eastAsia="zh-CN"/>
              </w:rPr>
            </w:pPr>
            <w:r>
              <w:rPr>
                <w:lang w:val="en-US" w:eastAsia="zh-CN"/>
              </w:rPr>
              <w:t>Uinteger</w:t>
            </w:r>
          </w:p>
        </w:tc>
        <w:tc>
          <w:tcPr>
            <w:tcW w:w="424" w:type="dxa"/>
            <w:tcBorders>
              <w:top w:val="single" w:sz="6" w:space="0" w:color="auto"/>
              <w:left w:val="single" w:sz="6" w:space="0" w:color="auto"/>
              <w:bottom w:val="single" w:sz="6" w:space="0" w:color="auto"/>
              <w:right w:val="single" w:sz="6" w:space="0" w:color="auto"/>
            </w:tcBorders>
          </w:tcPr>
          <w:p w14:paraId="7F7A9B83" w14:textId="77777777" w:rsidR="00183EFC" w:rsidRDefault="00183EFC" w:rsidP="00902260">
            <w:pPr>
              <w:pStyle w:val="TAL"/>
              <w:rPr>
                <w:lang w:eastAsia="zh-CN"/>
              </w:rPr>
            </w:pPr>
            <w:r>
              <w:rPr>
                <w:lang w:eastAsia="zh-CN"/>
              </w:rPr>
              <w:t>C</w:t>
            </w:r>
          </w:p>
        </w:tc>
        <w:tc>
          <w:tcPr>
            <w:tcW w:w="1274" w:type="dxa"/>
            <w:tcBorders>
              <w:top w:val="single" w:sz="6" w:space="0" w:color="auto"/>
              <w:left w:val="single" w:sz="6" w:space="0" w:color="auto"/>
              <w:bottom w:val="single" w:sz="6" w:space="0" w:color="auto"/>
              <w:right w:val="single" w:sz="6" w:space="0" w:color="auto"/>
            </w:tcBorders>
          </w:tcPr>
          <w:p w14:paraId="1DACFFEE" w14:textId="77777777" w:rsidR="00183EFC" w:rsidRDefault="00183EFC" w:rsidP="00902260">
            <w:pPr>
              <w:pStyle w:val="TAL"/>
              <w:rPr>
                <w:lang w:eastAsia="zh-CN"/>
              </w:rPr>
            </w:pPr>
            <w:r>
              <w:rPr>
                <w:lang w:eastAsia="zh-CN"/>
              </w:rPr>
              <w:t>0..1</w:t>
            </w:r>
          </w:p>
        </w:tc>
        <w:tc>
          <w:tcPr>
            <w:tcW w:w="3263" w:type="dxa"/>
            <w:tcBorders>
              <w:top w:val="single" w:sz="6" w:space="0" w:color="auto"/>
              <w:left w:val="single" w:sz="6" w:space="0" w:color="auto"/>
              <w:bottom w:val="single" w:sz="6" w:space="0" w:color="auto"/>
              <w:right w:val="single" w:sz="6" w:space="0" w:color="auto"/>
            </w:tcBorders>
            <w:vAlign w:val="center"/>
          </w:tcPr>
          <w:p w14:paraId="10E3135F" w14:textId="77777777" w:rsidR="00183EFC" w:rsidRDefault="00183EFC" w:rsidP="00902260">
            <w:pPr>
              <w:pStyle w:val="TAL"/>
              <w:rPr>
                <w:rFonts w:cs="Arial"/>
                <w:szCs w:val="18"/>
                <w:lang w:val="en-US" w:eastAsia="zh-CN"/>
              </w:rPr>
            </w:pPr>
            <w:r w:rsidRPr="00C15CA2">
              <w:rPr>
                <w:rFonts w:cs="Arial"/>
                <w:szCs w:val="18"/>
                <w:lang w:val="en-US" w:eastAsia="zh-CN"/>
              </w:rPr>
              <w:t>References the round indicator corresponding to the checkpoint to be resumed.</w:t>
            </w:r>
          </w:p>
          <w:p w14:paraId="726AE90B" w14:textId="77777777" w:rsidR="00183EFC" w:rsidRPr="00C15CA2" w:rsidRDefault="00183EFC" w:rsidP="00902260">
            <w:pPr>
              <w:pStyle w:val="TAL"/>
              <w:rPr>
                <w:rFonts w:cs="Arial"/>
                <w:szCs w:val="18"/>
                <w:lang w:val="en-US" w:eastAsia="zh-CN"/>
              </w:rPr>
            </w:pPr>
            <w:r>
              <w:t>(NOTE)</w:t>
            </w:r>
          </w:p>
        </w:tc>
        <w:tc>
          <w:tcPr>
            <w:tcW w:w="1409" w:type="dxa"/>
            <w:tcBorders>
              <w:top w:val="single" w:sz="6" w:space="0" w:color="auto"/>
              <w:left w:val="single" w:sz="6" w:space="0" w:color="auto"/>
              <w:bottom w:val="single" w:sz="6" w:space="0" w:color="auto"/>
              <w:right w:val="single" w:sz="6" w:space="0" w:color="auto"/>
            </w:tcBorders>
          </w:tcPr>
          <w:p w14:paraId="0A7B3A6B" w14:textId="77777777" w:rsidR="00183EFC" w:rsidRDefault="00183EFC" w:rsidP="00902260">
            <w:pPr>
              <w:pStyle w:val="TAL"/>
              <w:rPr>
                <w:rFonts w:cs="Arial"/>
                <w:szCs w:val="18"/>
              </w:rPr>
            </w:pPr>
          </w:p>
        </w:tc>
      </w:tr>
      <w:tr w:rsidR="00183EFC" w14:paraId="47DEC811" w14:textId="77777777" w:rsidTr="00253BF3">
        <w:trPr>
          <w:trHeight w:val="222"/>
          <w:jc w:val="center"/>
        </w:trPr>
        <w:tc>
          <w:tcPr>
            <w:tcW w:w="9623" w:type="dxa"/>
            <w:gridSpan w:val="6"/>
            <w:tcBorders>
              <w:top w:val="single" w:sz="6" w:space="0" w:color="auto"/>
              <w:left w:val="single" w:sz="6" w:space="0" w:color="auto"/>
              <w:bottom w:val="single" w:sz="6" w:space="0" w:color="auto"/>
              <w:right w:val="single" w:sz="6" w:space="0" w:color="auto"/>
            </w:tcBorders>
          </w:tcPr>
          <w:p w14:paraId="339A7748" w14:textId="77777777" w:rsidR="00183EFC" w:rsidRPr="00920753" w:rsidRDefault="00183EFC" w:rsidP="00902260">
            <w:pPr>
              <w:pStyle w:val="TAN"/>
            </w:pPr>
            <w:r w:rsidRPr="00920753">
              <w:t>NOTE:</w:t>
            </w:r>
            <w:r w:rsidRPr="00920753">
              <w:tab/>
              <w:t>Exactly one of the</w:t>
            </w:r>
            <w:r>
              <w:t>se attributes</w:t>
            </w:r>
            <w:r w:rsidRPr="00920753">
              <w:t xml:space="preserve"> shall be provided.</w:t>
            </w:r>
          </w:p>
        </w:tc>
      </w:tr>
    </w:tbl>
    <w:p w14:paraId="48AE15E2" w14:textId="77777777" w:rsidR="00183EFC" w:rsidRPr="00041F96" w:rsidRDefault="00183EFC" w:rsidP="00183EFC">
      <w:pPr>
        <w:rPr>
          <w:rFonts w:ascii="Arial" w:hAnsi="Arial"/>
          <w:sz w:val="22"/>
        </w:rPr>
      </w:pPr>
    </w:p>
    <w:p w14:paraId="598A538B" w14:textId="77777777" w:rsidR="00183EFC" w:rsidRPr="006D0184" w:rsidRDefault="00183EFC" w:rsidP="00183EFC">
      <w:pPr>
        <w:keepNext/>
        <w:keepLines/>
        <w:spacing w:before="120"/>
        <w:ind w:left="1701" w:hanging="1701"/>
        <w:outlineLvl w:val="4"/>
        <w:rPr>
          <w:rFonts w:ascii="Arial" w:hAnsi="Arial"/>
          <w:sz w:val="22"/>
        </w:rPr>
      </w:pPr>
      <w:r>
        <w:rPr>
          <w:rFonts w:ascii="Arial" w:hAnsi="Arial"/>
          <w:sz w:val="22"/>
        </w:rPr>
        <w:t>5</w:t>
      </w:r>
      <w:r w:rsidRPr="006D0184">
        <w:rPr>
          <w:rFonts w:ascii="Arial" w:hAnsi="Arial"/>
          <w:sz w:val="22"/>
        </w:rPr>
        <w:t>.</w:t>
      </w:r>
      <w:r>
        <w:rPr>
          <w:rFonts w:ascii="Arial" w:hAnsi="Arial"/>
          <w:sz w:val="22"/>
        </w:rPr>
        <w:t>9</w:t>
      </w:r>
      <w:r w:rsidRPr="006D0184">
        <w:rPr>
          <w:rFonts w:ascii="Arial" w:hAnsi="Arial"/>
          <w:sz w:val="22"/>
        </w:rPr>
        <w:t>.6.2.</w:t>
      </w:r>
      <w:r>
        <w:rPr>
          <w:rFonts w:ascii="Arial" w:hAnsi="Arial"/>
          <w:sz w:val="22"/>
        </w:rPr>
        <w:t>5</w:t>
      </w:r>
      <w:r w:rsidRPr="006D0184">
        <w:rPr>
          <w:rFonts w:ascii="Arial" w:hAnsi="Arial"/>
          <w:sz w:val="22"/>
        </w:rPr>
        <w:tab/>
        <w:t xml:space="preserve">Type </w:t>
      </w:r>
      <w:r>
        <w:rPr>
          <w:rFonts w:ascii="Arial" w:eastAsia="等线" w:hAnsi="Arial"/>
          <w:sz w:val="22"/>
        </w:rPr>
        <w:t>VflInteropInfo</w:t>
      </w:r>
    </w:p>
    <w:p w14:paraId="2AB3F089" w14:textId="77777777" w:rsidR="00183EFC" w:rsidRPr="006D0184"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6D0184">
        <w:rPr>
          <w:rFonts w:ascii="Arial" w:eastAsia="MS Mincho" w:hAnsi="Arial"/>
          <w:b/>
        </w:rPr>
        <w:t>Table 5.</w:t>
      </w:r>
      <w:r>
        <w:rPr>
          <w:rFonts w:ascii="Arial" w:eastAsia="MS Mincho" w:hAnsi="Arial"/>
          <w:b/>
        </w:rPr>
        <w:t>9</w:t>
      </w:r>
      <w:r w:rsidRPr="006D0184">
        <w:rPr>
          <w:rFonts w:ascii="Arial" w:eastAsia="MS Mincho" w:hAnsi="Arial"/>
          <w:b/>
        </w:rPr>
        <w:t>.6.2.</w:t>
      </w:r>
      <w:r>
        <w:rPr>
          <w:rFonts w:ascii="Arial" w:eastAsia="MS Mincho" w:hAnsi="Arial"/>
          <w:b/>
        </w:rPr>
        <w:t>5</w:t>
      </w:r>
      <w:r w:rsidRPr="006D0184">
        <w:rPr>
          <w:rFonts w:ascii="Arial" w:eastAsia="MS Mincho" w:hAnsi="Arial"/>
          <w:b/>
        </w:rPr>
        <w:t xml:space="preserve">-1: Definition of type </w:t>
      </w:r>
      <w:r w:rsidRPr="00C93F90">
        <w:rPr>
          <w:rFonts w:ascii="Arial" w:eastAsia="MS Mincho" w:hAnsi="Arial"/>
          <w:b/>
        </w:rPr>
        <w:t>VflInteropInfo</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1552"/>
        <w:gridCol w:w="425"/>
        <w:gridCol w:w="1134"/>
        <w:gridCol w:w="3449"/>
        <w:gridCol w:w="1349"/>
        <w:tblGridChange w:id="16945">
          <w:tblGrid>
            <w:gridCol w:w="1701"/>
            <w:gridCol w:w="1552"/>
            <w:gridCol w:w="425"/>
            <w:gridCol w:w="1134"/>
            <w:gridCol w:w="3449"/>
            <w:gridCol w:w="1349"/>
          </w:tblGrid>
        </w:tblGridChange>
      </w:tblGrid>
      <w:tr w:rsidR="003F6EFC" w:rsidRPr="006D0184" w14:paraId="39C06A8C" w14:textId="77777777" w:rsidTr="00902260">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541F86F8"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Attribute name</w:t>
            </w:r>
          </w:p>
        </w:tc>
        <w:tc>
          <w:tcPr>
            <w:tcW w:w="1552" w:type="dxa"/>
            <w:tcBorders>
              <w:top w:val="single" w:sz="6" w:space="0" w:color="auto"/>
              <w:left w:val="single" w:sz="6" w:space="0" w:color="auto"/>
              <w:bottom w:val="single" w:sz="6" w:space="0" w:color="auto"/>
              <w:right w:val="single" w:sz="6" w:space="0" w:color="auto"/>
            </w:tcBorders>
            <w:shd w:val="clear" w:color="auto" w:fill="C0C0C0"/>
          </w:tcPr>
          <w:p w14:paraId="5889B1B5"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35734FE3"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23CC76DB"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Cardinality</w:t>
            </w:r>
          </w:p>
        </w:tc>
        <w:tc>
          <w:tcPr>
            <w:tcW w:w="3449" w:type="dxa"/>
            <w:tcBorders>
              <w:top w:val="single" w:sz="6" w:space="0" w:color="auto"/>
              <w:left w:val="single" w:sz="6" w:space="0" w:color="auto"/>
              <w:bottom w:val="single" w:sz="6" w:space="0" w:color="auto"/>
              <w:right w:val="single" w:sz="6" w:space="0" w:color="auto"/>
            </w:tcBorders>
            <w:shd w:val="clear" w:color="auto" w:fill="C0C0C0"/>
          </w:tcPr>
          <w:p w14:paraId="75F87CA8"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58D335B6"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Applicability</w:t>
            </w:r>
          </w:p>
        </w:tc>
      </w:tr>
      <w:tr w:rsidR="00183EFC" w:rsidRPr="006D0184" w14:paraId="20765CA1" w14:textId="77777777" w:rsidTr="00253BF3">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25C45820" w14:textId="77777777" w:rsidR="00183EFC" w:rsidRPr="006D0184" w:rsidRDefault="00183EFC" w:rsidP="00902260">
            <w:pPr>
              <w:keepNext/>
              <w:keepLines/>
              <w:spacing w:after="0"/>
              <w:rPr>
                <w:rFonts w:ascii="Arial" w:hAnsi="Arial"/>
                <w:sz w:val="18"/>
              </w:rPr>
            </w:pPr>
            <w:r w:rsidRPr="00D927E2">
              <w:rPr>
                <w:rFonts w:ascii="Arial" w:hAnsi="Arial"/>
                <w:sz w:val="18"/>
              </w:rPr>
              <w:t>interopInfo</w:t>
            </w:r>
          </w:p>
        </w:tc>
        <w:tc>
          <w:tcPr>
            <w:tcW w:w="1552" w:type="dxa"/>
            <w:tcBorders>
              <w:top w:val="single" w:sz="6" w:space="0" w:color="auto"/>
              <w:left w:val="single" w:sz="6" w:space="0" w:color="auto"/>
              <w:bottom w:val="single" w:sz="6" w:space="0" w:color="auto"/>
              <w:right w:val="single" w:sz="6" w:space="0" w:color="auto"/>
            </w:tcBorders>
          </w:tcPr>
          <w:p w14:paraId="7875803D" w14:textId="77777777" w:rsidR="00183EFC" w:rsidRPr="006D0184" w:rsidRDefault="00183EFC" w:rsidP="00902260">
            <w:pPr>
              <w:keepNext/>
              <w:keepLines/>
              <w:spacing w:after="0"/>
              <w:rPr>
                <w:rFonts w:ascii="Arial" w:hAnsi="Arial"/>
                <w:sz w:val="18"/>
                <w:lang w:eastAsia="zh-CN"/>
              </w:rPr>
            </w:pPr>
            <w:r>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tcPr>
          <w:p w14:paraId="4EC5A257" w14:textId="77777777" w:rsidR="00183EFC" w:rsidRPr="006D0184" w:rsidRDefault="00183EFC" w:rsidP="00902260">
            <w:pPr>
              <w:keepNext/>
              <w:keepLines/>
              <w:spacing w:after="0"/>
              <w:jc w:val="center"/>
              <w:rPr>
                <w:rFonts w:ascii="Arial" w:hAnsi="Arial"/>
                <w:sz w:val="18"/>
                <w:lang w:eastAsia="zh-CN"/>
              </w:rPr>
            </w:pPr>
            <w:r>
              <w:rPr>
                <w:rFonts w:ascii="Arial" w:hAnsi="Arial"/>
                <w:sz w:val="18"/>
                <w:lang w:eastAsia="zh-CN"/>
              </w:rPr>
              <w:t>M</w:t>
            </w:r>
          </w:p>
        </w:tc>
        <w:tc>
          <w:tcPr>
            <w:tcW w:w="1134" w:type="dxa"/>
            <w:tcBorders>
              <w:top w:val="single" w:sz="6" w:space="0" w:color="auto"/>
              <w:left w:val="single" w:sz="6" w:space="0" w:color="auto"/>
              <w:bottom w:val="single" w:sz="6" w:space="0" w:color="auto"/>
              <w:right w:val="single" w:sz="6" w:space="0" w:color="auto"/>
            </w:tcBorders>
          </w:tcPr>
          <w:p w14:paraId="0EF1B8F4" w14:textId="77777777" w:rsidR="00183EFC" w:rsidRPr="006D0184" w:rsidRDefault="00183EFC" w:rsidP="00902260">
            <w:pPr>
              <w:keepNext/>
              <w:keepLines/>
              <w:spacing w:after="0"/>
              <w:rPr>
                <w:rFonts w:ascii="Arial" w:hAnsi="Arial"/>
                <w:sz w:val="18"/>
              </w:rPr>
            </w:pPr>
            <w:r w:rsidRPr="006D0184">
              <w:rPr>
                <w:rFonts w:ascii="Arial" w:hAnsi="Arial"/>
                <w:sz w:val="18"/>
              </w:rPr>
              <w:t>1</w:t>
            </w:r>
            <w:r>
              <w:rPr>
                <w:rFonts w:ascii="Arial" w:hAnsi="Arial"/>
                <w:sz w:val="18"/>
              </w:rPr>
              <w:t>..N</w:t>
            </w:r>
          </w:p>
        </w:tc>
        <w:tc>
          <w:tcPr>
            <w:tcW w:w="3449" w:type="dxa"/>
            <w:tcBorders>
              <w:top w:val="single" w:sz="6" w:space="0" w:color="auto"/>
              <w:left w:val="single" w:sz="6" w:space="0" w:color="auto"/>
              <w:bottom w:val="single" w:sz="6" w:space="0" w:color="auto"/>
              <w:right w:val="single" w:sz="6" w:space="0" w:color="auto"/>
            </w:tcBorders>
          </w:tcPr>
          <w:p w14:paraId="6A5117D8" w14:textId="77777777" w:rsidR="00183EFC" w:rsidRDefault="00183EFC" w:rsidP="00902260">
            <w:pPr>
              <w:keepNext/>
              <w:keepLines/>
              <w:spacing w:after="0"/>
              <w:rPr>
                <w:rFonts w:ascii="Arial" w:hAnsi="Arial"/>
                <w:sz w:val="18"/>
              </w:rPr>
            </w:pPr>
            <w:r>
              <w:rPr>
                <w:rFonts w:ascii="Arial" w:hAnsi="Arial"/>
                <w:sz w:val="18"/>
              </w:rPr>
              <w:t>Contains VFL interoperability information.</w:t>
            </w:r>
          </w:p>
          <w:p w14:paraId="440CA3F1" w14:textId="77777777" w:rsidR="00183EFC" w:rsidRPr="00D927E2" w:rsidRDefault="00183EFC" w:rsidP="00902260">
            <w:pPr>
              <w:keepNext/>
              <w:keepLines/>
              <w:spacing w:after="0"/>
              <w:rPr>
                <w:rFonts w:ascii="Arial" w:hAnsi="Arial"/>
                <w:sz w:val="18"/>
              </w:rPr>
            </w:pPr>
            <w:r w:rsidRPr="00D927E2">
              <w:rPr>
                <w:rFonts w:ascii="Arial" w:hAnsi="Arial"/>
                <w:sz w:val="18"/>
              </w:rPr>
              <w:t>The content of this attribute is not standardized in this Release.</w:t>
            </w:r>
          </w:p>
        </w:tc>
        <w:tc>
          <w:tcPr>
            <w:tcW w:w="1349" w:type="dxa"/>
            <w:tcBorders>
              <w:top w:val="single" w:sz="6" w:space="0" w:color="auto"/>
              <w:left w:val="single" w:sz="6" w:space="0" w:color="auto"/>
              <w:bottom w:val="single" w:sz="6" w:space="0" w:color="auto"/>
              <w:right w:val="single" w:sz="6" w:space="0" w:color="auto"/>
            </w:tcBorders>
          </w:tcPr>
          <w:p w14:paraId="33FA32A9" w14:textId="77777777" w:rsidR="00183EFC" w:rsidRPr="006D0184" w:rsidRDefault="00183EFC" w:rsidP="00902260">
            <w:pPr>
              <w:keepNext/>
              <w:keepLines/>
              <w:spacing w:after="0"/>
              <w:rPr>
                <w:rFonts w:ascii="Arial" w:hAnsi="Arial" w:cs="Arial"/>
                <w:sz w:val="18"/>
                <w:szCs w:val="18"/>
              </w:rPr>
            </w:pPr>
          </w:p>
        </w:tc>
      </w:tr>
    </w:tbl>
    <w:p w14:paraId="77CC6127" w14:textId="77777777" w:rsidR="00183EFC" w:rsidRPr="00DC6D5E" w:rsidRDefault="00183EFC" w:rsidP="00183EFC"/>
    <w:p w14:paraId="76B81F1C" w14:textId="77777777" w:rsidR="00183EFC" w:rsidRDefault="00183EFC" w:rsidP="00183EFC">
      <w:pPr>
        <w:pStyle w:val="5"/>
      </w:pPr>
      <w:bookmarkStart w:id="16946" w:name="_Toc199453454"/>
      <w:r>
        <w:t>5.9.6.2.6</w:t>
      </w:r>
      <w:r>
        <w:tab/>
        <w:t>Type VflTrainingNotify</w:t>
      </w:r>
      <w:bookmarkEnd w:id="16946"/>
    </w:p>
    <w:p w14:paraId="108E5E73" w14:textId="77777777" w:rsidR="00183EFC" w:rsidRDefault="00183EFC" w:rsidP="00183EFC">
      <w:pPr>
        <w:pStyle w:val="TH"/>
      </w:pPr>
      <w:r>
        <w:t>Table 5.9.6.2.6-1: Definition of type VflTrainingNotify</w:t>
      </w:r>
    </w:p>
    <w:tbl>
      <w:tblPr>
        <w:tblW w:w="9525"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1444"/>
        <w:gridCol w:w="425"/>
        <w:gridCol w:w="1134"/>
        <w:gridCol w:w="3509"/>
        <w:gridCol w:w="1311"/>
      </w:tblGrid>
      <w:tr w:rsidR="00183EFC" w14:paraId="7E307BF6" w14:textId="77777777" w:rsidTr="00253BF3">
        <w:trPr>
          <w:jc w:val="center"/>
        </w:trPr>
        <w:tc>
          <w:tcPr>
            <w:tcW w:w="1702" w:type="dxa"/>
            <w:shd w:val="clear" w:color="auto" w:fill="C0C0C0"/>
          </w:tcPr>
          <w:p w14:paraId="40CA1D32" w14:textId="77777777" w:rsidR="00183EFC" w:rsidRDefault="00183EFC" w:rsidP="00902260">
            <w:pPr>
              <w:keepNext/>
              <w:keepLines/>
              <w:spacing w:after="0"/>
              <w:jc w:val="center"/>
              <w:rPr>
                <w:rFonts w:ascii="Arial" w:hAnsi="Arial"/>
                <w:b/>
                <w:sz w:val="18"/>
              </w:rPr>
            </w:pPr>
            <w:r>
              <w:rPr>
                <w:rFonts w:ascii="Arial" w:hAnsi="Arial"/>
                <w:b/>
                <w:sz w:val="18"/>
              </w:rPr>
              <w:t>Attribute name</w:t>
            </w:r>
          </w:p>
        </w:tc>
        <w:tc>
          <w:tcPr>
            <w:tcW w:w="1444" w:type="dxa"/>
            <w:shd w:val="clear" w:color="auto" w:fill="C0C0C0"/>
          </w:tcPr>
          <w:p w14:paraId="24CEE294" w14:textId="77777777" w:rsidR="00183EFC" w:rsidRDefault="00183EFC" w:rsidP="00902260">
            <w:pPr>
              <w:keepNext/>
              <w:keepLines/>
              <w:spacing w:after="0"/>
              <w:jc w:val="center"/>
              <w:rPr>
                <w:rFonts w:ascii="Arial" w:hAnsi="Arial"/>
                <w:b/>
                <w:sz w:val="18"/>
              </w:rPr>
            </w:pPr>
            <w:r>
              <w:rPr>
                <w:rFonts w:ascii="Arial" w:hAnsi="Arial"/>
                <w:b/>
                <w:sz w:val="18"/>
              </w:rPr>
              <w:t>Data type</w:t>
            </w:r>
          </w:p>
        </w:tc>
        <w:tc>
          <w:tcPr>
            <w:tcW w:w="425" w:type="dxa"/>
            <w:shd w:val="clear" w:color="auto" w:fill="C0C0C0"/>
          </w:tcPr>
          <w:p w14:paraId="2FD71252" w14:textId="77777777" w:rsidR="00183EFC" w:rsidRDefault="00183EFC" w:rsidP="00902260">
            <w:pPr>
              <w:keepNext/>
              <w:keepLines/>
              <w:spacing w:after="0"/>
              <w:jc w:val="center"/>
              <w:rPr>
                <w:rFonts w:ascii="Arial" w:hAnsi="Arial"/>
                <w:b/>
                <w:sz w:val="18"/>
              </w:rPr>
            </w:pPr>
            <w:r>
              <w:rPr>
                <w:rFonts w:ascii="Arial" w:hAnsi="Arial"/>
                <w:b/>
                <w:sz w:val="18"/>
              </w:rPr>
              <w:t>P</w:t>
            </w:r>
          </w:p>
        </w:tc>
        <w:tc>
          <w:tcPr>
            <w:tcW w:w="1134" w:type="dxa"/>
            <w:shd w:val="clear" w:color="auto" w:fill="C0C0C0"/>
          </w:tcPr>
          <w:p w14:paraId="68E6A35C" w14:textId="77777777" w:rsidR="00183EFC" w:rsidRDefault="00183EFC" w:rsidP="00902260">
            <w:pPr>
              <w:keepNext/>
              <w:keepLines/>
              <w:spacing w:after="0"/>
              <w:rPr>
                <w:rFonts w:ascii="Arial" w:hAnsi="Arial"/>
                <w:b/>
                <w:sz w:val="18"/>
              </w:rPr>
            </w:pPr>
            <w:r>
              <w:rPr>
                <w:rFonts w:ascii="Arial" w:hAnsi="Arial"/>
                <w:b/>
                <w:sz w:val="18"/>
              </w:rPr>
              <w:t>Cardinality</w:t>
            </w:r>
          </w:p>
        </w:tc>
        <w:tc>
          <w:tcPr>
            <w:tcW w:w="3509" w:type="dxa"/>
            <w:shd w:val="clear" w:color="auto" w:fill="C0C0C0"/>
          </w:tcPr>
          <w:p w14:paraId="7315FCE0"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Description</w:t>
            </w:r>
          </w:p>
        </w:tc>
        <w:tc>
          <w:tcPr>
            <w:tcW w:w="1311" w:type="dxa"/>
            <w:shd w:val="clear" w:color="auto" w:fill="C0C0C0"/>
          </w:tcPr>
          <w:p w14:paraId="2D931244" w14:textId="77777777" w:rsidR="00183EFC" w:rsidRDefault="00183EFC" w:rsidP="00902260">
            <w:pPr>
              <w:keepNext/>
              <w:keepLines/>
              <w:spacing w:after="0"/>
              <w:jc w:val="center"/>
              <w:rPr>
                <w:rFonts w:ascii="Arial" w:hAnsi="Arial" w:cs="Arial"/>
                <w:b/>
                <w:sz w:val="18"/>
                <w:szCs w:val="18"/>
              </w:rPr>
            </w:pPr>
            <w:r>
              <w:rPr>
                <w:rFonts w:ascii="Arial" w:hAnsi="Arial" w:cs="Arial"/>
                <w:b/>
                <w:sz w:val="18"/>
                <w:szCs w:val="18"/>
              </w:rPr>
              <w:t>Applicability</w:t>
            </w:r>
          </w:p>
        </w:tc>
      </w:tr>
      <w:tr w:rsidR="00183EFC" w14:paraId="0D43829C" w14:textId="77777777" w:rsidTr="00253BF3">
        <w:trPr>
          <w:jc w:val="center"/>
        </w:trPr>
        <w:tc>
          <w:tcPr>
            <w:tcW w:w="1702" w:type="dxa"/>
          </w:tcPr>
          <w:p w14:paraId="25109497" w14:textId="77777777" w:rsidR="00183EFC" w:rsidRDefault="00183EFC" w:rsidP="00902260">
            <w:pPr>
              <w:pStyle w:val="TAL"/>
            </w:pPr>
            <w:r>
              <w:rPr>
                <w:lang w:eastAsia="zh-CN"/>
              </w:rPr>
              <w:t>notifCorrId</w:t>
            </w:r>
          </w:p>
        </w:tc>
        <w:tc>
          <w:tcPr>
            <w:tcW w:w="1444" w:type="dxa"/>
          </w:tcPr>
          <w:p w14:paraId="08212107" w14:textId="77777777" w:rsidR="00183EFC" w:rsidRDefault="00183EFC" w:rsidP="00902260">
            <w:pPr>
              <w:pStyle w:val="TAL"/>
            </w:pPr>
            <w:r>
              <w:t>string</w:t>
            </w:r>
          </w:p>
        </w:tc>
        <w:tc>
          <w:tcPr>
            <w:tcW w:w="425" w:type="dxa"/>
          </w:tcPr>
          <w:p w14:paraId="79FCB78C" w14:textId="77777777" w:rsidR="00183EFC" w:rsidRDefault="00183EFC" w:rsidP="00902260">
            <w:pPr>
              <w:pStyle w:val="TAL"/>
              <w:jc w:val="center"/>
              <w:rPr>
                <w:lang w:eastAsia="zh-CN"/>
              </w:rPr>
            </w:pPr>
            <w:r>
              <w:t>M</w:t>
            </w:r>
          </w:p>
        </w:tc>
        <w:tc>
          <w:tcPr>
            <w:tcW w:w="1134" w:type="dxa"/>
          </w:tcPr>
          <w:p w14:paraId="6F1A63ED" w14:textId="77777777" w:rsidR="00183EFC" w:rsidRDefault="00183EFC" w:rsidP="00902260">
            <w:pPr>
              <w:pStyle w:val="TAL"/>
              <w:jc w:val="center"/>
            </w:pPr>
            <w:r>
              <w:t>1</w:t>
            </w:r>
          </w:p>
        </w:tc>
        <w:tc>
          <w:tcPr>
            <w:tcW w:w="3509" w:type="dxa"/>
          </w:tcPr>
          <w:p w14:paraId="627874DB" w14:textId="77777777" w:rsidR="00183EFC" w:rsidRDefault="00183EFC" w:rsidP="00902260">
            <w:pPr>
              <w:pStyle w:val="TAL"/>
            </w:pPr>
            <w:r>
              <w:t>Notification correlation identifier.</w:t>
            </w:r>
          </w:p>
        </w:tc>
        <w:tc>
          <w:tcPr>
            <w:tcW w:w="1311" w:type="dxa"/>
          </w:tcPr>
          <w:p w14:paraId="4227D5D7" w14:textId="77777777" w:rsidR="00183EFC" w:rsidRDefault="00183EFC" w:rsidP="00902260">
            <w:pPr>
              <w:pStyle w:val="TAL"/>
              <w:rPr>
                <w:rFonts w:cs="Arial"/>
                <w:szCs w:val="18"/>
              </w:rPr>
            </w:pPr>
          </w:p>
        </w:tc>
      </w:tr>
      <w:tr w:rsidR="00183EFC" w14:paraId="50FF24EC" w14:textId="77777777" w:rsidTr="00253BF3">
        <w:trPr>
          <w:jc w:val="center"/>
        </w:trPr>
        <w:tc>
          <w:tcPr>
            <w:tcW w:w="1702" w:type="dxa"/>
          </w:tcPr>
          <w:p w14:paraId="71F6448E" w14:textId="77777777" w:rsidR="00183EFC" w:rsidRDefault="00183EFC" w:rsidP="00902260">
            <w:pPr>
              <w:pStyle w:val="TAL"/>
              <w:rPr>
                <w:lang w:eastAsia="zh-CN"/>
              </w:rPr>
            </w:pPr>
            <w:r>
              <w:rPr>
                <w:rFonts w:hint="eastAsia"/>
                <w:lang w:eastAsia="zh-CN"/>
              </w:rPr>
              <w:t>i</w:t>
            </w:r>
            <w:r>
              <w:rPr>
                <w:lang w:eastAsia="zh-CN"/>
              </w:rPr>
              <w:t>ntermediateInfo</w:t>
            </w:r>
          </w:p>
        </w:tc>
        <w:tc>
          <w:tcPr>
            <w:tcW w:w="1444" w:type="dxa"/>
          </w:tcPr>
          <w:p w14:paraId="0FB0EA09" w14:textId="77777777" w:rsidR="00183EFC" w:rsidRDefault="00183EFC" w:rsidP="00902260">
            <w:pPr>
              <w:pStyle w:val="TAL"/>
            </w:pPr>
            <w:r w:rsidRPr="006B454D">
              <w:t>VflIntermed</w:t>
            </w:r>
            <w:r w:rsidRPr="006B454D">
              <w:rPr>
                <w:rFonts w:hint="eastAsia"/>
              </w:rPr>
              <w:t>Train</w:t>
            </w:r>
            <w:r w:rsidRPr="006B454D">
              <w:t>Info</w:t>
            </w:r>
          </w:p>
        </w:tc>
        <w:tc>
          <w:tcPr>
            <w:tcW w:w="425" w:type="dxa"/>
          </w:tcPr>
          <w:p w14:paraId="110F04DC" w14:textId="77777777" w:rsidR="00183EFC" w:rsidRDefault="00183EFC" w:rsidP="00902260">
            <w:pPr>
              <w:pStyle w:val="TAL"/>
              <w:jc w:val="center"/>
            </w:pPr>
            <w:r>
              <w:t>O</w:t>
            </w:r>
          </w:p>
        </w:tc>
        <w:tc>
          <w:tcPr>
            <w:tcW w:w="1134" w:type="dxa"/>
          </w:tcPr>
          <w:p w14:paraId="083A1822" w14:textId="77777777" w:rsidR="00183EFC" w:rsidRDefault="00183EFC" w:rsidP="00902260">
            <w:pPr>
              <w:pStyle w:val="TAL"/>
              <w:jc w:val="center"/>
            </w:pPr>
            <w:r>
              <w:t>0..1</w:t>
            </w:r>
          </w:p>
        </w:tc>
        <w:tc>
          <w:tcPr>
            <w:tcW w:w="3509" w:type="dxa"/>
          </w:tcPr>
          <w:p w14:paraId="37BC8A46" w14:textId="77777777" w:rsidR="00183EFC" w:rsidRDefault="00183EFC" w:rsidP="00902260">
            <w:pPr>
              <w:pStyle w:val="TAL"/>
              <w:rPr>
                <w:lang w:eastAsia="zh-CN"/>
              </w:rPr>
            </w:pPr>
            <w:r>
              <w:rPr>
                <w:lang w:eastAsia="zh-CN"/>
              </w:rPr>
              <w:t xml:space="preserve">Represents the </w:t>
            </w:r>
            <w:r>
              <w:rPr>
                <w:lang w:eastAsia="ko-KR"/>
              </w:rPr>
              <w:t>intermediate model training information.</w:t>
            </w:r>
          </w:p>
        </w:tc>
        <w:tc>
          <w:tcPr>
            <w:tcW w:w="1311" w:type="dxa"/>
          </w:tcPr>
          <w:p w14:paraId="57116290" w14:textId="77777777" w:rsidR="00183EFC" w:rsidRDefault="00183EFC" w:rsidP="00902260">
            <w:pPr>
              <w:pStyle w:val="TAL"/>
              <w:rPr>
                <w:rFonts w:cs="Arial"/>
                <w:szCs w:val="18"/>
              </w:rPr>
            </w:pPr>
          </w:p>
        </w:tc>
      </w:tr>
      <w:tr w:rsidR="00183EFC" w14:paraId="27377F52" w14:textId="77777777" w:rsidTr="00253BF3">
        <w:trPr>
          <w:jc w:val="center"/>
        </w:trPr>
        <w:tc>
          <w:tcPr>
            <w:tcW w:w="1702" w:type="dxa"/>
          </w:tcPr>
          <w:p w14:paraId="6738602D" w14:textId="77777777" w:rsidR="00183EFC" w:rsidRDefault="00183EFC" w:rsidP="00902260">
            <w:pPr>
              <w:pStyle w:val="TAL"/>
              <w:rPr>
                <w:lang w:eastAsia="zh-CN"/>
              </w:rPr>
            </w:pPr>
            <w:r>
              <w:rPr>
                <w:lang w:eastAsia="zh-CN"/>
              </w:rPr>
              <w:t>modelMetric</w:t>
            </w:r>
          </w:p>
        </w:tc>
        <w:tc>
          <w:tcPr>
            <w:tcW w:w="1444" w:type="dxa"/>
          </w:tcPr>
          <w:p w14:paraId="78CE9482" w14:textId="77777777" w:rsidR="00183EFC" w:rsidRDefault="00183EFC" w:rsidP="00902260">
            <w:pPr>
              <w:pStyle w:val="TAL"/>
            </w:pPr>
            <w:r>
              <w:t>MLModelMetric</w:t>
            </w:r>
          </w:p>
        </w:tc>
        <w:tc>
          <w:tcPr>
            <w:tcW w:w="425" w:type="dxa"/>
          </w:tcPr>
          <w:p w14:paraId="28242A3A" w14:textId="77777777" w:rsidR="00183EFC" w:rsidRDefault="00183EFC" w:rsidP="00902260">
            <w:pPr>
              <w:pStyle w:val="TAL"/>
              <w:jc w:val="center"/>
            </w:pPr>
            <w:r>
              <w:rPr>
                <w:rFonts w:cs="Arial"/>
                <w:szCs w:val="18"/>
                <w:lang w:eastAsia="zh-CN"/>
              </w:rPr>
              <w:t>O</w:t>
            </w:r>
          </w:p>
        </w:tc>
        <w:tc>
          <w:tcPr>
            <w:tcW w:w="1134" w:type="dxa"/>
          </w:tcPr>
          <w:p w14:paraId="0E74B53C" w14:textId="77777777" w:rsidR="00183EFC" w:rsidRDefault="00183EFC" w:rsidP="00902260">
            <w:pPr>
              <w:pStyle w:val="TAL"/>
              <w:jc w:val="center"/>
            </w:pPr>
            <w:r>
              <w:rPr>
                <w:rFonts w:cs="Arial"/>
                <w:szCs w:val="18"/>
                <w:lang w:eastAsia="zh-CN"/>
              </w:rPr>
              <w:t>0..1</w:t>
            </w:r>
          </w:p>
        </w:tc>
        <w:tc>
          <w:tcPr>
            <w:tcW w:w="3509" w:type="dxa"/>
          </w:tcPr>
          <w:p w14:paraId="2E59812F" w14:textId="77777777" w:rsidR="00183EFC" w:rsidRDefault="00183EFC" w:rsidP="00902260">
            <w:pPr>
              <w:pStyle w:val="TAL"/>
              <w:rPr>
                <w:lang w:eastAsia="ko-KR"/>
              </w:rPr>
            </w:pPr>
            <w:r>
              <w:rPr>
                <w:rFonts w:cs="Arial"/>
                <w:szCs w:val="18"/>
                <w:lang w:eastAsia="zh-CN"/>
              </w:rPr>
              <w:t>Indicates the local ML model metric provided by the VFL client</w:t>
            </w:r>
            <w:r>
              <w:rPr>
                <w:lang w:eastAsia="ko-KR"/>
              </w:rPr>
              <w:t>.</w:t>
            </w:r>
          </w:p>
          <w:p w14:paraId="3ABDBF5E" w14:textId="77777777" w:rsidR="00183EFC" w:rsidRDefault="00183EFC" w:rsidP="00902260">
            <w:pPr>
              <w:pStyle w:val="TAL"/>
              <w:rPr>
                <w:lang w:eastAsia="zh-CN"/>
              </w:rPr>
            </w:pPr>
            <w:r>
              <w:rPr>
                <w:rFonts w:hint="eastAsia"/>
                <w:lang w:eastAsia="zh-CN"/>
              </w:rPr>
              <w:t>T</w:t>
            </w:r>
            <w:r>
              <w:rPr>
                <w:lang w:eastAsia="zh-CN"/>
              </w:rPr>
              <w:t>his attribute may be present if the "</w:t>
            </w:r>
            <w:r>
              <w:rPr>
                <w:rFonts w:hint="eastAsia"/>
                <w:lang w:eastAsia="zh-CN"/>
              </w:rPr>
              <w:t>c</w:t>
            </w:r>
            <w:r>
              <w:rPr>
                <w:lang w:eastAsia="zh-CN"/>
              </w:rPr>
              <w:t xml:space="preserve">hkFlg" attribute within the </w:t>
            </w:r>
            <w:r>
              <w:t>VFLTrainingSub data type</w:t>
            </w:r>
            <w:r>
              <w:rPr>
                <w:lang w:eastAsia="zh-CN"/>
              </w:rPr>
              <w:t xml:space="preserve"> was set to "true" in the request.</w:t>
            </w:r>
          </w:p>
        </w:tc>
        <w:tc>
          <w:tcPr>
            <w:tcW w:w="1311" w:type="dxa"/>
          </w:tcPr>
          <w:p w14:paraId="1C634414" w14:textId="77777777" w:rsidR="00183EFC" w:rsidRDefault="00183EFC" w:rsidP="00902260">
            <w:pPr>
              <w:pStyle w:val="TAL"/>
              <w:rPr>
                <w:rFonts w:cs="Arial"/>
                <w:szCs w:val="18"/>
              </w:rPr>
            </w:pPr>
          </w:p>
        </w:tc>
      </w:tr>
      <w:tr w:rsidR="00183EFC" w14:paraId="7812AB87" w14:textId="77777777" w:rsidTr="00253BF3">
        <w:trPr>
          <w:jc w:val="center"/>
        </w:trPr>
        <w:tc>
          <w:tcPr>
            <w:tcW w:w="1702" w:type="dxa"/>
          </w:tcPr>
          <w:p w14:paraId="171C2E47" w14:textId="77777777" w:rsidR="00183EFC" w:rsidRDefault="00183EFC" w:rsidP="00902260">
            <w:pPr>
              <w:pStyle w:val="TAL"/>
              <w:rPr>
                <w:lang w:eastAsia="zh-CN"/>
              </w:rPr>
            </w:pPr>
            <w:r>
              <w:rPr>
                <w:lang w:eastAsia="zh-CN"/>
              </w:rPr>
              <w:t>accMlModel</w:t>
            </w:r>
          </w:p>
        </w:tc>
        <w:tc>
          <w:tcPr>
            <w:tcW w:w="1444" w:type="dxa"/>
          </w:tcPr>
          <w:p w14:paraId="2F282A31" w14:textId="77777777" w:rsidR="00183EFC" w:rsidRDefault="00183EFC" w:rsidP="00902260">
            <w:pPr>
              <w:pStyle w:val="TAL"/>
            </w:pPr>
            <w:r>
              <w:rPr>
                <w:lang w:eastAsia="zh-CN"/>
              </w:rPr>
              <w:t>Uinteger</w:t>
            </w:r>
          </w:p>
        </w:tc>
        <w:tc>
          <w:tcPr>
            <w:tcW w:w="425" w:type="dxa"/>
          </w:tcPr>
          <w:p w14:paraId="32E76FD2" w14:textId="77777777" w:rsidR="00183EFC" w:rsidRDefault="00183EFC" w:rsidP="00902260">
            <w:pPr>
              <w:pStyle w:val="TAL"/>
              <w:jc w:val="center"/>
            </w:pPr>
            <w:r>
              <w:rPr>
                <w:rFonts w:cs="Arial"/>
                <w:szCs w:val="18"/>
                <w:lang w:eastAsia="zh-CN"/>
              </w:rPr>
              <w:t>O</w:t>
            </w:r>
          </w:p>
        </w:tc>
        <w:tc>
          <w:tcPr>
            <w:tcW w:w="1134" w:type="dxa"/>
          </w:tcPr>
          <w:p w14:paraId="73B992D8" w14:textId="77777777" w:rsidR="00183EFC" w:rsidRDefault="00183EFC" w:rsidP="00902260">
            <w:pPr>
              <w:pStyle w:val="TAL"/>
              <w:jc w:val="center"/>
            </w:pPr>
            <w:r>
              <w:rPr>
                <w:rFonts w:cs="Arial"/>
                <w:szCs w:val="18"/>
                <w:lang w:eastAsia="zh-CN"/>
              </w:rPr>
              <w:t>0..1</w:t>
            </w:r>
          </w:p>
        </w:tc>
        <w:tc>
          <w:tcPr>
            <w:tcW w:w="3509" w:type="dxa"/>
          </w:tcPr>
          <w:p w14:paraId="31435438" w14:textId="77777777" w:rsidR="00183EFC" w:rsidRDefault="00183EFC" w:rsidP="00902260">
            <w:pPr>
              <w:pStyle w:val="TAL"/>
              <w:rPr>
                <w:rFonts w:cs="Arial"/>
                <w:szCs w:val="18"/>
                <w:lang w:eastAsia="zh-CN"/>
              </w:rPr>
            </w:pPr>
            <w:r>
              <w:t>Indicates the local ML model accuracy value</w:t>
            </w:r>
            <w:r>
              <w:rPr>
                <w:rFonts w:cs="Arial"/>
                <w:szCs w:val="18"/>
                <w:lang w:eastAsia="zh-CN"/>
              </w:rPr>
              <w:t xml:space="preserve"> provided by the VFL client</w:t>
            </w:r>
            <w:r>
              <w:t>.</w:t>
            </w:r>
          </w:p>
          <w:p w14:paraId="7F02A39C" w14:textId="77777777" w:rsidR="00183EFC" w:rsidRDefault="00183EFC" w:rsidP="00902260">
            <w:pPr>
              <w:pStyle w:val="TAL"/>
              <w:rPr>
                <w:lang w:eastAsia="zh-CN"/>
              </w:rPr>
            </w:pPr>
            <w:r>
              <w:rPr>
                <w:lang w:eastAsia="zh-CN"/>
              </w:rPr>
              <w:t>Minimum = 0. Maximum = 100.</w:t>
            </w:r>
          </w:p>
          <w:p w14:paraId="234B8B83" w14:textId="77777777" w:rsidR="00183EFC" w:rsidRDefault="00183EFC" w:rsidP="00902260">
            <w:pPr>
              <w:pStyle w:val="TAL"/>
              <w:rPr>
                <w:lang w:eastAsia="zh-CN"/>
              </w:rPr>
            </w:pPr>
            <w:r>
              <w:rPr>
                <w:rFonts w:hint="eastAsia"/>
                <w:lang w:eastAsia="zh-CN"/>
              </w:rPr>
              <w:t>T</w:t>
            </w:r>
            <w:r>
              <w:rPr>
                <w:lang w:eastAsia="zh-CN"/>
              </w:rPr>
              <w:t>his attribute may be present if the "</w:t>
            </w:r>
            <w:r>
              <w:rPr>
                <w:rFonts w:hint="eastAsia"/>
                <w:lang w:eastAsia="zh-CN"/>
              </w:rPr>
              <w:t>c</w:t>
            </w:r>
            <w:r>
              <w:rPr>
                <w:lang w:eastAsia="zh-CN"/>
              </w:rPr>
              <w:t xml:space="preserve">hkFlg" attribute within the </w:t>
            </w:r>
            <w:r>
              <w:t>VFLTrainingSub data type</w:t>
            </w:r>
            <w:r>
              <w:rPr>
                <w:lang w:eastAsia="zh-CN"/>
              </w:rPr>
              <w:t xml:space="preserve"> was set to "true" in the request.</w:t>
            </w:r>
          </w:p>
        </w:tc>
        <w:tc>
          <w:tcPr>
            <w:tcW w:w="1311" w:type="dxa"/>
          </w:tcPr>
          <w:p w14:paraId="2433F38A" w14:textId="77777777" w:rsidR="00183EFC" w:rsidRDefault="00183EFC" w:rsidP="00902260">
            <w:pPr>
              <w:pStyle w:val="TAL"/>
              <w:rPr>
                <w:rFonts w:cs="Arial"/>
                <w:szCs w:val="18"/>
              </w:rPr>
            </w:pPr>
          </w:p>
        </w:tc>
      </w:tr>
    </w:tbl>
    <w:p w14:paraId="7F4B554C" w14:textId="77777777" w:rsidR="00183EFC" w:rsidRDefault="00183EFC" w:rsidP="00183EFC"/>
    <w:p w14:paraId="08143D2C" w14:textId="77777777" w:rsidR="00183EFC" w:rsidRDefault="00183EFC" w:rsidP="00183EFC">
      <w:pPr>
        <w:pStyle w:val="EditorsNote"/>
        <w:rPr>
          <w:lang w:eastAsia="ko-KR"/>
        </w:rPr>
      </w:pPr>
      <w:r>
        <w:rPr>
          <w:lang w:eastAsia="ko-KR"/>
        </w:rPr>
        <w:t>Editor's note:</w:t>
      </w:r>
      <w:r>
        <w:rPr>
          <w:lang w:eastAsia="ko-KR"/>
        </w:rPr>
        <w:tab/>
        <w:t>Whether the round number, the termination request and the presence of the attributes are needed are FFS, and the list of the attributes needs to be extended based on the latest stage 2 requirement.</w:t>
      </w:r>
    </w:p>
    <w:p w14:paraId="0B7B7E81" w14:textId="77777777" w:rsidR="00183EFC" w:rsidRPr="006D0184" w:rsidRDefault="00183EFC" w:rsidP="00183EFC">
      <w:pPr>
        <w:keepNext/>
        <w:keepLines/>
        <w:spacing w:before="120"/>
        <w:ind w:left="1701" w:hanging="1701"/>
        <w:outlineLvl w:val="4"/>
        <w:rPr>
          <w:rFonts w:ascii="Arial" w:hAnsi="Arial"/>
          <w:sz w:val="22"/>
        </w:rPr>
      </w:pPr>
      <w:r>
        <w:rPr>
          <w:rFonts w:ascii="Arial" w:hAnsi="Arial"/>
          <w:sz w:val="22"/>
        </w:rPr>
        <w:t>5</w:t>
      </w:r>
      <w:r w:rsidRPr="006D0184">
        <w:rPr>
          <w:rFonts w:ascii="Arial" w:hAnsi="Arial"/>
          <w:sz w:val="22"/>
        </w:rPr>
        <w:t>.</w:t>
      </w:r>
      <w:r>
        <w:rPr>
          <w:rFonts w:ascii="Arial" w:hAnsi="Arial"/>
          <w:sz w:val="22"/>
        </w:rPr>
        <w:t>9</w:t>
      </w:r>
      <w:r w:rsidRPr="006D0184">
        <w:rPr>
          <w:rFonts w:ascii="Arial" w:hAnsi="Arial"/>
          <w:sz w:val="22"/>
        </w:rPr>
        <w:t>.6.2.</w:t>
      </w:r>
      <w:r>
        <w:rPr>
          <w:rFonts w:ascii="Arial" w:hAnsi="Arial"/>
          <w:sz w:val="22"/>
        </w:rPr>
        <w:t>7</w:t>
      </w:r>
      <w:r w:rsidRPr="006D0184">
        <w:rPr>
          <w:rFonts w:ascii="Arial" w:hAnsi="Arial"/>
          <w:sz w:val="22"/>
        </w:rPr>
        <w:tab/>
        <w:t xml:space="preserve">Type </w:t>
      </w:r>
      <w:r w:rsidRPr="006B454D">
        <w:rPr>
          <w:rFonts w:ascii="Arial" w:hAnsi="Arial"/>
          <w:sz w:val="22"/>
        </w:rPr>
        <w:t>VflIntermed</w:t>
      </w:r>
      <w:r>
        <w:rPr>
          <w:rFonts w:ascii="Arial" w:hAnsi="Arial" w:hint="eastAsia"/>
          <w:sz w:val="22"/>
          <w:lang w:eastAsia="zh-CN"/>
        </w:rPr>
        <w:t>Train</w:t>
      </w:r>
      <w:r w:rsidRPr="006B454D">
        <w:rPr>
          <w:rFonts w:ascii="Arial" w:hAnsi="Arial"/>
          <w:sz w:val="22"/>
        </w:rPr>
        <w:t>Info</w:t>
      </w:r>
    </w:p>
    <w:p w14:paraId="1BB0D336" w14:textId="77777777" w:rsidR="00183EFC" w:rsidRPr="006D0184" w:rsidRDefault="00183EFC" w:rsidP="00183EFC">
      <w:pPr>
        <w:keepNext/>
        <w:keepLines/>
        <w:overflowPunct w:val="0"/>
        <w:autoSpaceDE w:val="0"/>
        <w:autoSpaceDN w:val="0"/>
        <w:adjustRightInd w:val="0"/>
        <w:spacing w:before="60"/>
        <w:jc w:val="center"/>
        <w:textAlignment w:val="baseline"/>
        <w:rPr>
          <w:rFonts w:ascii="Arial" w:eastAsia="MS Mincho" w:hAnsi="Arial"/>
          <w:b/>
        </w:rPr>
      </w:pPr>
      <w:r w:rsidRPr="006D0184">
        <w:rPr>
          <w:rFonts w:ascii="Arial" w:eastAsia="MS Mincho" w:hAnsi="Arial"/>
          <w:b/>
        </w:rPr>
        <w:t>Table 5.</w:t>
      </w:r>
      <w:r>
        <w:rPr>
          <w:rFonts w:ascii="Arial" w:eastAsia="MS Mincho" w:hAnsi="Arial"/>
          <w:b/>
        </w:rPr>
        <w:t>9</w:t>
      </w:r>
      <w:r w:rsidRPr="006D0184">
        <w:rPr>
          <w:rFonts w:ascii="Arial" w:eastAsia="MS Mincho" w:hAnsi="Arial"/>
          <w:b/>
        </w:rPr>
        <w:t>.6.2.</w:t>
      </w:r>
      <w:r>
        <w:rPr>
          <w:rFonts w:ascii="Arial" w:eastAsia="MS Mincho" w:hAnsi="Arial"/>
          <w:b/>
        </w:rPr>
        <w:t>7</w:t>
      </w:r>
      <w:r w:rsidRPr="006D0184">
        <w:rPr>
          <w:rFonts w:ascii="Arial" w:eastAsia="MS Mincho" w:hAnsi="Arial"/>
          <w:b/>
        </w:rPr>
        <w:t xml:space="preserve">-1: Definition of type </w:t>
      </w:r>
      <w:r w:rsidRPr="006B454D">
        <w:rPr>
          <w:rFonts w:ascii="Arial" w:eastAsia="MS Mincho" w:hAnsi="Arial"/>
          <w:b/>
        </w:rPr>
        <w:t>VflIntermed</w:t>
      </w:r>
      <w:r w:rsidRPr="006B454D">
        <w:rPr>
          <w:rFonts w:ascii="Arial" w:eastAsia="MS Mincho" w:hAnsi="Arial" w:hint="eastAsia"/>
          <w:b/>
        </w:rPr>
        <w:t>Train</w:t>
      </w:r>
      <w:r w:rsidRPr="006B454D">
        <w:rPr>
          <w:rFonts w:ascii="Arial" w:eastAsia="MS Mincho" w:hAnsi="Arial"/>
          <w:b/>
        </w:rPr>
        <w:t>Info</w:t>
      </w:r>
    </w:p>
    <w:tbl>
      <w:tblPr>
        <w:tblW w:w="0" w:type="auto"/>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1"/>
        <w:gridCol w:w="1410"/>
        <w:gridCol w:w="425"/>
        <w:gridCol w:w="1276"/>
        <w:gridCol w:w="3449"/>
        <w:gridCol w:w="1349"/>
      </w:tblGrid>
      <w:tr w:rsidR="00183EFC" w:rsidRPr="006D0184" w14:paraId="5898DB8B" w14:textId="77777777" w:rsidTr="00253BF3">
        <w:trPr>
          <w:trHeight w:val="209"/>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tcPr>
          <w:p w14:paraId="69A388DE"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Attribute name</w:t>
            </w:r>
          </w:p>
        </w:tc>
        <w:tc>
          <w:tcPr>
            <w:tcW w:w="1410" w:type="dxa"/>
            <w:tcBorders>
              <w:top w:val="single" w:sz="6" w:space="0" w:color="auto"/>
              <w:left w:val="single" w:sz="6" w:space="0" w:color="auto"/>
              <w:bottom w:val="single" w:sz="6" w:space="0" w:color="auto"/>
              <w:right w:val="single" w:sz="6" w:space="0" w:color="auto"/>
            </w:tcBorders>
            <w:shd w:val="clear" w:color="auto" w:fill="C0C0C0"/>
          </w:tcPr>
          <w:p w14:paraId="41C6AD13"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tcPr>
          <w:p w14:paraId="7DEA987A"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tcPr>
          <w:p w14:paraId="2BE873B6" w14:textId="77777777" w:rsidR="00183EFC" w:rsidRPr="006D0184" w:rsidRDefault="00183EFC" w:rsidP="00902260">
            <w:pPr>
              <w:keepNext/>
              <w:keepLines/>
              <w:spacing w:after="0"/>
              <w:jc w:val="center"/>
              <w:rPr>
                <w:rFonts w:ascii="Arial" w:hAnsi="Arial"/>
                <w:b/>
                <w:sz w:val="18"/>
              </w:rPr>
            </w:pPr>
            <w:r w:rsidRPr="006D0184">
              <w:rPr>
                <w:rFonts w:ascii="Arial" w:hAnsi="Arial"/>
                <w:b/>
                <w:sz w:val="18"/>
              </w:rPr>
              <w:t>Cardinality</w:t>
            </w:r>
          </w:p>
        </w:tc>
        <w:tc>
          <w:tcPr>
            <w:tcW w:w="3449" w:type="dxa"/>
            <w:tcBorders>
              <w:top w:val="single" w:sz="6" w:space="0" w:color="auto"/>
              <w:left w:val="single" w:sz="6" w:space="0" w:color="auto"/>
              <w:bottom w:val="single" w:sz="6" w:space="0" w:color="auto"/>
              <w:right w:val="single" w:sz="6" w:space="0" w:color="auto"/>
            </w:tcBorders>
            <w:shd w:val="clear" w:color="auto" w:fill="C0C0C0"/>
          </w:tcPr>
          <w:p w14:paraId="0FABDC78"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tcPr>
          <w:p w14:paraId="4F35A8C8" w14:textId="77777777" w:rsidR="00183EFC" w:rsidRPr="006D0184" w:rsidRDefault="00183EFC" w:rsidP="00902260">
            <w:pPr>
              <w:keepNext/>
              <w:keepLines/>
              <w:spacing w:after="0"/>
              <w:jc w:val="center"/>
              <w:rPr>
                <w:rFonts w:ascii="Arial" w:hAnsi="Arial" w:cs="Arial"/>
                <w:b/>
                <w:sz w:val="18"/>
                <w:szCs w:val="18"/>
              </w:rPr>
            </w:pPr>
            <w:r w:rsidRPr="006D0184">
              <w:rPr>
                <w:rFonts w:ascii="Arial" w:hAnsi="Arial" w:cs="Arial"/>
                <w:b/>
                <w:sz w:val="18"/>
                <w:szCs w:val="18"/>
              </w:rPr>
              <w:t>Applicability</w:t>
            </w:r>
          </w:p>
        </w:tc>
      </w:tr>
      <w:tr w:rsidR="00183EFC" w:rsidRPr="006D0184" w14:paraId="13292A73" w14:textId="77777777" w:rsidTr="00253BF3">
        <w:trPr>
          <w:trHeight w:val="420"/>
          <w:jc w:val="center"/>
        </w:trPr>
        <w:tc>
          <w:tcPr>
            <w:tcW w:w="1701" w:type="dxa"/>
            <w:tcBorders>
              <w:top w:val="single" w:sz="6" w:space="0" w:color="auto"/>
              <w:left w:val="single" w:sz="6" w:space="0" w:color="auto"/>
              <w:bottom w:val="single" w:sz="6" w:space="0" w:color="auto"/>
              <w:right w:val="single" w:sz="6" w:space="0" w:color="auto"/>
            </w:tcBorders>
          </w:tcPr>
          <w:p w14:paraId="7B2B49FF" w14:textId="77777777" w:rsidR="00183EFC" w:rsidRPr="006D0184" w:rsidRDefault="00183EFC" w:rsidP="00902260">
            <w:pPr>
              <w:keepNext/>
              <w:keepLines/>
              <w:spacing w:after="0"/>
              <w:rPr>
                <w:rFonts w:ascii="Arial" w:hAnsi="Arial"/>
                <w:sz w:val="18"/>
              </w:rPr>
            </w:pPr>
            <w:r>
              <w:rPr>
                <w:rFonts w:ascii="Arial" w:hAnsi="Arial"/>
                <w:sz w:val="18"/>
              </w:rPr>
              <w:t>intermedTrainInfo</w:t>
            </w:r>
          </w:p>
        </w:tc>
        <w:tc>
          <w:tcPr>
            <w:tcW w:w="1410" w:type="dxa"/>
            <w:tcBorders>
              <w:top w:val="single" w:sz="6" w:space="0" w:color="auto"/>
              <w:left w:val="single" w:sz="6" w:space="0" w:color="auto"/>
              <w:bottom w:val="single" w:sz="6" w:space="0" w:color="auto"/>
              <w:right w:val="single" w:sz="6" w:space="0" w:color="auto"/>
            </w:tcBorders>
          </w:tcPr>
          <w:p w14:paraId="46C2A80F" w14:textId="77777777" w:rsidR="00183EFC" w:rsidRPr="006D0184" w:rsidRDefault="00183EFC" w:rsidP="00902260">
            <w:pPr>
              <w:keepNext/>
              <w:keepLines/>
              <w:spacing w:after="0"/>
              <w:rPr>
                <w:rFonts w:ascii="Arial" w:hAnsi="Arial"/>
                <w:sz w:val="18"/>
                <w:lang w:eastAsia="zh-CN"/>
              </w:rPr>
            </w:pPr>
            <w:r>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tcPr>
          <w:p w14:paraId="34B61AFF" w14:textId="77777777" w:rsidR="00183EFC" w:rsidRPr="006D0184" w:rsidRDefault="00183EFC" w:rsidP="00902260">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6" w:space="0" w:color="auto"/>
              <w:left w:val="single" w:sz="6" w:space="0" w:color="auto"/>
              <w:bottom w:val="single" w:sz="6" w:space="0" w:color="auto"/>
              <w:right w:val="single" w:sz="6" w:space="0" w:color="auto"/>
            </w:tcBorders>
          </w:tcPr>
          <w:p w14:paraId="4936706B" w14:textId="77777777" w:rsidR="00183EFC" w:rsidRPr="006D0184" w:rsidRDefault="00183EFC" w:rsidP="00902260">
            <w:pPr>
              <w:keepNext/>
              <w:keepLines/>
              <w:spacing w:after="0"/>
              <w:rPr>
                <w:rFonts w:ascii="Arial" w:hAnsi="Arial"/>
                <w:sz w:val="18"/>
              </w:rPr>
            </w:pPr>
            <w:r w:rsidRPr="006D0184">
              <w:rPr>
                <w:rFonts w:ascii="Arial" w:hAnsi="Arial"/>
                <w:sz w:val="18"/>
              </w:rPr>
              <w:t>1</w:t>
            </w:r>
            <w:r>
              <w:rPr>
                <w:rFonts w:ascii="Arial" w:hAnsi="Arial"/>
                <w:sz w:val="18"/>
              </w:rPr>
              <w:t>..N</w:t>
            </w:r>
          </w:p>
        </w:tc>
        <w:tc>
          <w:tcPr>
            <w:tcW w:w="3449" w:type="dxa"/>
            <w:tcBorders>
              <w:top w:val="single" w:sz="6" w:space="0" w:color="auto"/>
              <w:left w:val="single" w:sz="6" w:space="0" w:color="auto"/>
              <w:bottom w:val="single" w:sz="6" w:space="0" w:color="auto"/>
              <w:right w:val="single" w:sz="6" w:space="0" w:color="auto"/>
            </w:tcBorders>
          </w:tcPr>
          <w:p w14:paraId="48839329" w14:textId="77777777" w:rsidR="00183EFC" w:rsidRDefault="00183EFC" w:rsidP="00902260">
            <w:pPr>
              <w:pStyle w:val="TAL"/>
            </w:pPr>
            <w:r>
              <w:t>Contains intermediate VFL training information</w:t>
            </w:r>
            <w:r>
              <w:rPr>
                <w:rFonts w:hint="eastAsia"/>
              </w:rPr>
              <w:t>.</w:t>
            </w:r>
          </w:p>
          <w:p w14:paraId="7AB16103" w14:textId="77777777" w:rsidR="00183EFC" w:rsidRPr="006B454D" w:rsidRDefault="00183EFC" w:rsidP="00902260">
            <w:pPr>
              <w:keepNext/>
              <w:keepLines/>
              <w:spacing w:after="0"/>
              <w:rPr>
                <w:rFonts w:ascii="Arial" w:hAnsi="Arial"/>
                <w:sz w:val="18"/>
              </w:rPr>
            </w:pPr>
            <w:r w:rsidRPr="006B454D">
              <w:rPr>
                <w:rFonts w:ascii="Arial" w:hAnsi="Arial"/>
                <w:sz w:val="18"/>
              </w:rPr>
              <w:t>The content of this attribute is not standardized in this Release.</w:t>
            </w:r>
          </w:p>
        </w:tc>
        <w:tc>
          <w:tcPr>
            <w:tcW w:w="1349" w:type="dxa"/>
            <w:tcBorders>
              <w:top w:val="single" w:sz="6" w:space="0" w:color="auto"/>
              <w:left w:val="single" w:sz="6" w:space="0" w:color="auto"/>
              <w:bottom w:val="single" w:sz="6" w:space="0" w:color="auto"/>
              <w:right w:val="single" w:sz="6" w:space="0" w:color="auto"/>
            </w:tcBorders>
          </w:tcPr>
          <w:p w14:paraId="01E3971F" w14:textId="77777777" w:rsidR="00183EFC" w:rsidRPr="006D0184" w:rsidRDefault="00183EFC" w:rsidP="00902260">
            <w:pPr>
              <w:keepNext/>
              <w:keepLines/>
              <w:spacing w:after="0"/>
              <w:rPr>
                <w:rFonts w:ascii="Arial" w:hAnsi="Arial" w:cs="Arial"/>
                <w:sz w:val="18"/>
                <w:szCs w:val="18"/>
              </w:rPr>
            </w:pPr>
          </w:p>
        </w:tc>
      </w:tr>
    </w:tbl>
    <w:p w14:paraId="2D4E3B5F" w14:textId="77777777" w:rsidR="00183EFC" w:rsidRPr="006B454D" w:rsidRDefault="00183EFC" w:rsidP="00183EFC">
      <w:pPr>
        <w:rPr>
          <w:rFonts w:eastAsiaTheme="minorEastAsia"/>
          <w:lang w:eastAsia="ko-KR"/>
        </w:rPr>
      </w:pPr>
    </w:p>
    <w:p w14:paraId="2D4881D5" w14:textId="77777777" w:rsidR="00183EFC" w:rsidRDefault="00183EFC" w:rsidP="00183EFC">
      <w:pPr>
        <w:pStyle w:val="3"/>
      </w:pPr>
      <w:bookmarkStart w:id="16947" w:name="_Toc510696647"/>
      <w:bookmarkStart w:id="16948" w:name="_Toc35971443"/>
      <w:bookmarkStart w:id="16949" w:name="_Toc67903560"/>
      <w:bookmarkStart w:id="16950" w:name="_Toc73173292"/>
      <w:bookmarkStart w:id="16951" w:name="_Toc96959885"/>
      <w:bookmarkStart w:id="16952" w:name="_Toc129247603"/>
      <w:bookmarkStart w:id="16953" w:name="_Toc164863357"/>
      <w:bookmarkStart w:id="16954" w:name="_Toc192881291"/>
      <w:bookmarkStart w:id="16955" w:name="_Toc199453455"/>
      <w:r>
        <w:lastRenderedPageBreak/>
        <w:t>5.9.7</w:t>
      </w:r>
      <w:r>
        <w:tab/>
        <w:t>Error Handling</w:t>
      </w:r>
      <w:bookmarkEnd w:id="16947"/>
      <w:bookmarkEnd w:id="16948"/>
      <w:bookmarkEnd w:id="16949"/>
      <w:bookmarkEnd w:id="16950"/>
      <w:bookmarkEnd w:id="16951"/>
      <w:bookmarkEnd w:id="16952"/>
      <w:bookmarkEnd w:id="16953"/>
      <w:bookmarkEnd w:id="16954"/>
      <w:bookmarkEnd w:id="16955"/>
    </w:p>
    <w:p w14:paraId="51A98572" w14:textId="77777777" w:rsidR="00183EFC" w:rsidRDefault="00183EFC" w:rsidP="00183EFC">
      <w:pPr>
        <w:pStyle w:val="4"/>
      </w:pPr>
      <w:bookmarkStart w:id="16956" w:name="_Toc35971444"/>
      <w:bookmarkStart w:id="16957" w:name="_Toc67903561"/>
      <w:bookmarkStart w:id="16958" w:name="_Toc73173293"/>
      <w:bookmarkStart w:id="16959" w:name="_Toc96959886"/>
      <w:bookmarkStart w:id="16960" w:name="_Toc129247604"/>
      <w:bookmarkStart w:id="16961" w:name="_Toc164863358"/>
      <w:bookmarkStart w:id="16962" w:name="_Toc192881292"/>
      <w:bookmarkStart w:id="16963" w:name="_Toc199453456"/>
      <w:r>
        <w:t>5.9.7.1</w:t>
      </w:r>
      <w:r>
        <w:tab/>
        <w:t>General</w:t>
      </w:r>
      <w:bookmarkEnd w:id="16956"/>
      <w:bookmarkEnd w:id="16957"/>
      <w:bookmarkEnd w:id="16958"/>
      <w:bookmarkEnd w:id="16959"/>
      <w:bookmarkEnd w:id="16960"/>
      <w:bookmarkEnd w:id="16961"/>
      <w:bookmarkEnd w:id="16962"/>
      <w:bookmarkEnd w:id="16963"/>
    </w:p>
    <w:p w14:paraId="6F7141AD" w14:textId="77777777" w:rsidR="00183EFC" w:rsidRDefault="00183EFC" w:rsidP="00183EFC">
      <w:r>
        <w:t xml:space="preserve">For the </w:t>
      </w:r>
      <w:r>
        <w:rPr>
          <w:lang w:eastAsia="zh-CN"/>
        </w:rPr>
        <w:t>Nnwdaf_VFLTraining</w:t>
      </w:r>
      <w:r>
        <w:t xml:space="preserve"> API, HTTP error responses shall be supported as specified in clause 4.8 of 3GPP TS 29.501 [7]. Protocol errors and application errors specified in table 5.2.7.2-1 of 3GPP TS 29.500 [6] shall be supported for an HTTP method if the corresponding HTTP status codes are specified as mandatory for that HTTP method in table 5.2.7.1-1 of 3GPP TS 29.500 [6].</w:t>
      </w:r>
    </w:p>
    <w:p w14:paraId="66F16CD3" w14:textId="77777777" w:rsidR="00183EFC" w:rsidRDefault="00183EFC" w:rsidP="00183EFC">
      <w:pPr>
        <w:rPr>
          <w:rFonts w:eastAsia="Calibri"/>
        </w:rPr>
      </w:pPr>
      <w:r>
        <w:t xml:space="preserve">In addition, the requirements in the following clauses are applicable for the </w:t>
      </w:r>
      <w:r>
        <w:rPr>
          <w:lang w:eastAsia="zh-CN"/>
        </w:rPr>
        <w:t>Nnwdaf_VFLTraining</w:t>
      </w:r>
      <w:r>
        <w:t xml:space="preserve"> API.</w:t>
      </w:r>
    </w:p>
    <w:p w14:paraId="56E8D8E8" w14:textId="77777777" w:rsidR="00183EFC" w:rsidRDefault="00183EFC" w:rsidP="00183EFC">
      <w:pPr>
        <w:pStyle w:val="4"/>
      </w:pPr>
      <w:bookmarkStart w:id="16964" w:name="_Toc35971445"/>
      <w:bookmarkStart w:id="16965" w:name="_Toc67903562"/>
      <w:bookmarkStart w:id="16966" w:name="_Toc73173294"/>
      <w:bookmarkStart w:id="16967" w:name="_Toc96959887"/>
      <w:bookmarkStart w:id="16968" w:name="_Toc129247605"/>
      <w:bookmarkStart w:id="16969" w:name="_Toc164863359"/>
      <w:bookmarkStart w:id="16970" w:name="_Toc192881293"/>
      <w:bookmarkStart w:id="16971" w:name="_Toc199453457"/>
      <w:r>
        <w:t>5.9.7.2</w:t>
      </w:r>
      <w:r>
        <w:tab/>
        <w:t>Protocol Errors</w:t>
      </w:r>
      <w:bookmarkEnd w:id="16964"/>
      <w:bookmarkEnd w:id="16965"/>
      <w:bookmarkEnd w:id="16966"/>
      <w:bookmarkEnd w:id="16967"/>
      <w:bookmarkEnd w:id="16968"/>
      <w:bookmarkEnd w:id="16969"/>
      <w:bookmarkEnd w:id="16970"/>
      <w:bookmarkEnd w:id="16971"/>
    </w:p>
    <w:p w14:paraId="3DD61898" w14:textId="77777777" w:rsidR="00183EFC" w:rsidRDefault="00183EFC" w:rsidP="00183EFC">
      <w:r>
        <w:t xml:space="preserve">No specific procedures for the </w:t>
      </w:r>
      <w:r>
        <w:rPr>
          <w:lang w:eastAsia="zh-CN"/>
        </w:rPr>
        <w:t>Nnwdaf_VFLTraining</w:t>
      </w:r>
      <w:r>
        <w:t xml:space="preserve"> service are specified.</w:t>
      </w:r>
    </w:p>
    <w:p w14:paraId="597A50AA" w14:textId="77777777" w:rsidR="00183EFC" w:rsidRDefault="00183EFC" w:rsidP="00183EFC">
      <w:pPr>
        <w:pStyle w:val="4"/>
      </w:pPr>
      <w:bookmarkStart w:id="16972" w:name="_Toc35971446"/>
      <w:bookmarkStart w:id="16973" w:name="_Toc67903563"/>
      <w:bookmarkStart w:id="16974" w:name="_Toc73173295"/>
      <w:bookmarkStart w:id="16975" w:name="_Toc96959888"/>
      <w:bookmarkStart w:id="16976" w:name="_Toc129247606"/>
      <w:bookmarkStart w:id="16977" w:name="_Toc164863360"/>
      <w:bookmarkStart w:id="16978" w:name="_Toc192881294"/>
      <w:bookmarkStart w:id="16979" w:name="_Toc199453458"/>
      <w:r>
        <w:t>5.9.7.3</w:t>
      </w:r>
      <w:r>
        <w:tab/>
        <w:t>Application Errors</w:t>
      </w:r>
      <w:bookmarkEnd w:id="16972"/>
      <w:bookmarkEnd w:id="16973"/>
      <w:bookmarkEnd w:id="16974"/>
      <w:bookmarkEnd w:id="16975"/>
      <w:bookmarkEnd w:id="16976"/>
      <w:bookmarkEnd w:id="16977"/>
      <w:bookmarkEnd w:id="16978"/>
      <w:bookmarkEnd w:id="16979"/>
    </w:p>
    <w:p w14:paraId="4475749B" w14:textId="77777777" w:rsidR="00183EFC" w:rsidRDefault="00183EFC" w:rsidP="00183EFC">
      <w:r>
        <w:t xml:space="preserve">The application errors defined for the </w:t>
      </w:r>
      <w:r>
        <w:rPr>
          <w:lang w:eastAsia="zh-CN"/>
        </w:rPr>
        <w:t>Nnwdaf_VFLTraining</w:t>
      </w:r>
      <w:r>
        <w:t xml:space="preserve"> service are listed in Table 5.9.7.3-1.</w:t>
      </w:r>
    </w:p>
    <w:p w14:paraId="690738E5" w14:textId="77777777" w:rsidR="00183EFC" w:rsidRDefault="00183EFC" w:rsidP="00183EFC">
      <w:pPr>
        <w:pStyle w:val="TH"/>
      </w:pPr>
      <w:r>
        <w:t>Table 5.9.7.3-1: Application errors</w:t>
      </w:r>
    </w:p>
    <w:tbl>
      <w:tblPr>
        <w:tblW w:w="949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27"/>
        <w:gridCol w:w="1497"/>
        <w:gridCol w:w="4470"/>
      </w:tblGrid>
      <w:tr w:rsidR="00183EFC" w14:paraId="30D8D96A" w14:textId="77777777" w:rsidTr="00902260">
        <w:trPr>
          <w:jc w:val="center"/>
        </w:trPr>
        <w:tc>
          <w:tcPr>
            <w:tcW w:w="3527" w:type="dxa"/>
            <w:shd w:val="clear" w:color="auto" w:fill="C0C0C0"/>
            <w:hideMark/>
          </w:tcPr>
          <w:p w14:paraId="551E9A2F" w14:textId="77777777" w:rsidR="00183EFC" w:rsidRDefault="00183EFC" w:rsidP="00902260">
            <w:pPr>
              <w:pStyle w:val="TAH"/>
              <w:ind w:left="400" w:hanging="400"/>
            </w:pPr>
            <w:r>
              <w:t>Application Error</w:t>
            </w:r>
          </w:p>
        </w:tc>
        <w:tc>
          <w:tcPr>
            <w:tcW w:w="1497" w:type="dxa"/>
            <w:shd w:val="clear" w:color="auto" w:fill="C0C0C0"/>
            <w:hideMark/>
          </w:tcPr>
          <w:p w14:paraId="120DD39F" w14:textId="77777777" w:rsidR="00183EFC" w:rsidRDefault="00183EFC" w:rsidP="00902260">
            <w:pPr>
              <w:pStyle w:val="TAH"/>
              <w:ind w:left="400" w:hanging="400"/>
            </w:pPr>
            <w:r>
              <w:t>HTTP status code</w:t>
            </w:r>
          </w:p>
        </w:tc>
        <w:tc>
          <w:tcPr>
            <w:tcW w:w="4470" w:type="dxa"/>
            <w:shd w:val="clear" w:color="auto" w:fill="C0C0C0"/>
            <w:hideMark/>
          </w:tcPr>
          <w:p w14:paraId="377C265F" w14:textId="77777777" w:rsidR="00183EFC" w:rsidRDefault="00183EFC" w:rsidP="00902260">
            <w:pPr>
              <w:pStyle w:val="TAH"/>
              <w:ind w:left="400" w:hanging="400"/>
            </w:pPr>
            <w:r>
              <w:t>Description</w:t>
            </w:r>
          </w:p>
        </w:tc>
      </w:tr>
      <w:tr w:rsidR="00183EFC" w14:paraId="25CC1E4E" w14:textId="77777777" w:rsidTr="00902260">
        <w:trPr>
          <w:jc w:val="center"/>
        </w:trPr>
        <w:tc>
          <w:tcPr>
            <w:tcW w:w="3527" w:type="dxa"/>
          </w:tcPr>
          <w:p w14:paraId="0A197541" w14:textId="77777777" w:rsidR="00183EFC" w:rsidRDefault="00183EFC" w:rsidP="00902260">
            <w:pPr>
              <w:pStyle w:val="TAL"/>
            </w:pPr>
          </w:p>
        </w:tc>
        <w:tc>
          <w:tcPr>
            <w:tcW w:w="1497" w:type="dxa"/>
          </w:tcPr>
          <w:p w14:paraId="0DB3E581" w14:textId="77777777" w:rsidR="00183EFC" w:rsidRDefault="00183EFC" w:rsidP="00902260">
            <w:pPr>
              <w:pStyle w:val="TAL"/>
            </w:pPr>
          </w:p>
        </w:tc>
        <w:tc>
          <w:tcPr>
            <w:tcW w:w="4470" w:type="dxa"/>
          </w:tcPr>
          <w:p w14:paraId="497843C1" w14:textId="77777777" w:rsidR="00183EFC" w:rsidRDefault="00183EFC" w:rsidP="00902260">
            <w:pPr>
              <w:pStyle w:val="TAL"/>
              <w:rPr>
                <w:rFonts w:cs="Arial"/>
                <w:szCs w:val="18"/>
              </w:rPr>
            </w:pPr>
          </w:p>
        </w:tc>
      </w:tr>
    </w:tbl>
    <w:p w14:paraId="22B34BFD" w14:textId="77777777" w:rsidR="00183EFC" w:rsidRDefault="00183EFC" w:rsidP="00183EFC">
      <w:bookmarkStart w:id="16980" w:name="_Toc492899751"/>
      <w:bookmarkStart w:id="16981" w:name="_Toc492900030"/>
      <w:bookmarkStart w:id="16982" w:name="_Toc492967832"/>
      <w:bookmarkStart w:id="16983" w:name="_Toc492972920"/>
      <w:bookmarkStart w:id="16984" w:name="_Toc492973140"/>
      <w:bookmarkStart w:id="16985" w:name="_Toc493774060"/>
      <w:bookmarkStart w:id="16986" w:name="_Toc508285804"/>
      <w:bookmarkStart w:id="16987" w:name="_Toc508287269"/>
      <w:bookmarkStart w:id="16988" w:name="_Toc510696648"/>
      <w:bookmarkStart w:id="16989" w:name="_Toc35971447"/>
    </w:p>
    <w:p w14:paraId="5376DE7C" w14:textId="77777777" w:rsidR="00183EFC" w:rsidRDefault="00183EFC" w:rsidP="00183EFC">
      <w:pPr>
        <w:pStyle w:val="3"/>
        <w:rPr>
          <w:lang w:eastAsia="zh-CN"/>
        </w:rPr>
      </w:pPr>
      <w:bookmarkStart w:id="16990" w:name="_Toc67903564"/>
      <w:bookmarkStart w:id="16991" w:name="_Toc73173296"/>
      <w:bookmarkStart w:id="16992" w:name="_Toc96959889"/>
      <w:bookmarkStart w:id="16993" w:name="_Toc129247607"/>
      <w:bookmarkStart w:id="16994" w:name="_Toc164863361"/>
      <w:bookmarkStart w:id="16995" w:name="_Toc192881295"/>
      <w:bookmarkStart w:id="16996" w:name="_Toc199453459"/>
      <w:r>
        <w:t>5.9.8</w:t>
      </w:r>
      <w:r>
        <w:rPr>
          <w:lang w:eastAsia="zh-CN"/>
        </w:rPr>
        <w:tab/>
        <w:t>Feature negotiation</w:t>
      </w:r>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p>
    <w:p w14:paraId="12421005" w14:textId="77777777" w:rsidR="00183EFC" w:rsidRDefault="00183EFC" w:rsidP="00183EFC">
      <w:r>
        <w:t xml:space="preserve">The optional features in table 5.9.8-1 are defined for the </w:t>
      </w:r>
      <w:r>
        <w:rPr>
          <w:lang w:eastAsia="zh-CN"/>
        </w:rPr>
        <w:t xml:space="preserve">Nnwdaf_VFLTraining API. They shall be negotiated using the </w:t>
      </w:r>
      <w:r>
        <w:t>extensibility mechanism defined in clause 6.6 of 3GPP TS 29.500 [6].</w:t>
      </w:r>
    </w:p>
    <w:p w14:paraId="0B6D428C" w14:textId="77777777" w:rsidR="00183EFC" w:rsidRDefault="00183EFC" w:rsidP="00183EFC">
      <w:pPr>
        <w:pStyle w:val="TH"/>
      </w:pPr>
      <w:r>
        <w:t>Table 5.9.8-1: Supported Features</w:t>
      </w:r>
    </w:p>
    <w:tbl>
      <w:tblPr>
        <w:tblW w:w="9494"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83EFC" w14:paraId="3F35E21C" w14:textId="77777777" w:rsidTr="00902260">
        <w:trPr>
          <w:jc w:val="center"/>
        </w:trPr>
        <w:tc>
          <w:tcPr>
            <w:tcW w:w="1529" w:type="dxa"/>
            <w:shd w:val="clear" w:color="auto" w:fill="C0C0C0"/>
            <w:hideMark/>
          </w:tcPr>
          <w:p w14:paraId="799EA735" w14:textId="77777777" w:rsidR="00183EFC" w:rsidRDefault="00183EFC" w:rsidP="00902260">
            <w:pPr>
              <w:pStyle w:val="TAH"/>
              <w:ind w:left="400" w:hanging="400"/>
            </w:pPr>
            <w:r>
              <w:t>Feature number</w:t>
            </w:r>
          </w:p>
        </w:tc>
        <w:tc>
          <w:tcPr>
            <w:tcW w:w="2207" w:type="dxa"/>
            <w:shd w:val="clear" w:color="auto" w:fill="C0C0C0"/>
            <w:hideMark/>
          </w:tcPr>
          <w:p w14:paraId="56819EDA" w14:textId="77777777" w:rsidR="00183EFC" w:rsidRDefault="00183EFC" w:rsidP="00902260">
            <w:pPr>
              <w:pStyle w:val="TAH"/>
              <w:ind w:left="400" w:hanging="400"/>
            </w:pPr>
            <w:r>
              <w:t>Feature Name</w:t>
            </w:r>
          </w:p>
        </w:tc>
        <w:tc>
          <w:tcPr>
            <w:tcW w:w="5758" w:type="dxa"/>
            <w:shd w:val="clear" w:color="auto" w:fill="C0C0C0"/>
            <w:hideMark/>
          </w:tcPr>
          <w:p w14:paraId="45B8021D" w14:textId="77777777" w:rsidR="00183EFC" w:rsidRDefault="00183EFC" w:rsidP="00902260">
            <w:pPr>
              <w:pStyle w:val="TAH"/>
              <w:ind w:left="400" w:hanging="400"/>
            </w:pPr>
            <w:r>
              <w:t>Description</w:t>
            </w:r>
          </w:p>
        </w:tc>
      </w:tr>
      <w:tr w:rsidR="00183EFC" w14:paraId="1D61A799" w14:textId="77777777" w:rsidTr="00902260">
        <w:trPr>
          <w:jc w:val="center"/>
        </w:trPr>
        <w:tc>
          <w:tcPr>
            <w:tcW w:w="1529" w:type="dxa"/>
          </w:tcPr>
          <w:p w14:paraId="11302245" w14:textId="77777777" w:rsidR="00183EFC" w:rsidRDefault="00183EFC" w:rsidP="00902260">
            <w:pPr>
              <w:pStyle w:val="TAL"/>
            </w:pPr>
          </w:p>
        </w:tc>
        <w:tc>
          <w:tcPr>
            <w:tcW w:w="2207" w:type="dxa"/>
          </w:tcPr>
          <w:p w14:paraId="7E9F5939" w14:textId="77777777" w:rsidR="00183EFC" w:rsidRDefault="00183EFC" w:rsidP="00902260">
            <w:pPr>
              <w:pStyle w:val="TAL"/>
            </w:pPr>
          </w:p>
        </w:tc>
        <w:tc>
          <w:tcPr>
            <w:tcW w:w="5758" w:type="dxa"/>
          </w:tcPr>
          <w:p w14:paraId="422EEDB2" w14:textId="77777777" w:rsidR="00183EFC" w:rsidRDefault="00183EFC" w:rsidP="00902260">
            <w:pPr>
              <w:pStyle w:val="TAL"/>
              <w:rPr>
                <w:rFonts w:cs="Arial"/>
                <w:szCs w:val="18"/>
              </w:rPr>
            </w:pPr>
          </w:p>
        </w:tc>
      </w:tr>
    </w:tbl>
    <w:p w14:paraId="46675B91" w14:textId="77777777" w:rsidR="00183EFC" w:rsidRPr="00163860" w:rsidRDefault="00183EFC" w:rsidP="00183EFC"/>
    <w:p w14:paraId="0630B25B" w14:textId="77777777" w:rsidR="00183EFC" w:rsidRDefault="00183EFC" w:rsidP="00183EFC">
      <w:pPr>
        <w:pStyle w:val="3"/>
      </w:pPr>
      <w:bookmarkStart w:id="16997" w:name="_Toc532994477"/>
      <w:bookmarkStart w:id="16998" w:name="_Toc35971448"/>
      <w:bookmarkStart w:id="16999" w:name="_Toc67903565"/>
      <w:bookmarkStart w:id="17000" w:name="_Toc73173297"/>
      <w:bookmarkStart w:id="17001" w:name="_Toc96959890"/>
      <w:bookmarkStart w:id="17002" w:name="_Toc129247608"/>
      <w:bookmarkStart w:id="17003" w:name="_Toc164863362"/>
      <w:bookmarkStart w:id="17004" w:name="_Toc192881296"/>
      <w:bookmarkStart w:id="17005" w:name="_Toc199453460"/>
      <w:r>
        <w:t>5.9.9</w:t>
      </w:r>
      <w:r>
        <w:tab/>
        <w:t>Security</w:t>
      </w:r>
      <w:bookmarkEnd w:id="16997"/>
      <w:bookmarkEnd w:id="16998"/>
      <w:bookmarkEnd w:id="16999"/>
      <w:bookmarkEnd w:id="17000"/>
      <w:bookmarkEnd w:id="17001"/>
      <w:bookmarkEnd w:id="17002"/>
      <w:bookmarkEnd w:id="17003"/>
      <w:bookmarkEnd w:id="17004"/>
      <w:bookmarkEnd w:id="17005"/>
    </w:p>
    <w:p w14:paraId="1536F705" w14:textId="77777777" w:rsidR="00183EFC" w:rsidRDefault="00183EFC" w:rsidP="00183EFC">
      <w:pPr>
        <w:rPr>
          <w:rFonts w:eastAsia="等线"/>
        </w:rPr>
      </w:pPr>
      <w:r>
        <w:rPr>
          <w:rFonts w:eastAsia="等线"/>
        </w:rPr>
        <w:t xml:space="preserve">As indicated in TS 33.501 [13] and TS 29.500 [6], the access to the </w:t>
      </w:r>
      <w:r>
        <w:rPr>
          <w:lang w:eastAsia="zh-CN"/>
        </w:rPr>
        <w:t>Nnwdaf_VFLTraining</w:t>
      </w:r>
      <w:r>
        <w:rPr>
          <w:rFonts w:eastAsia="等线"/>
          <w:lang w:val="en-US" w:eastAsia="zh-CN"/>
        </w:rPr>
        <w:t xml:space="preserve"> </w:t>
      </w:r>
      <w:r>
        <w:rPr>
          <w:rFonts w:eastAsia="等线"/>
        </w:rPr>
        <w:t>API may be authorized by means of the OAuth2 protocol (see IETF RFC 6749 [14]), based on local configuration, using the "Client Credentials" authorization grant, where the NRF (see TS 29.510 [12]) plays the role of the authorization server.</w:t>
      </w:r>
    </w:p>
    <w:p w14:paraId="78AF49DD" w14:textId="77777777" w:rsidR="00183EFC" w:rsidRDefault="00183EFC" w:rsidP="00183EFC">
      <w:pPr>
        <w:rPr>
          <w:rFonts w:eastAsia="等线"/>
        </w:rPr>
      </w:pPr>
      <w:r>
        <w:rPr>
          <w:rFonts w:eastAsia="等线"/>
        </w:rPr>
        <w:t xml:space="preserve">If OAuth2 is used, an NF service consumer, prior to consuming services offered by the </w:t>
      </w:r>
      <w:r>
        <w:rPr>
          <w:lang w:eastAsia="zh-CN"/>
        </w:rPr>
        <w:t>Nnwdaf_VFLTraining</w:t>
      </w:r>
      <w:r>
        <w:rPr>
          <w:rFonts w:eastAsia="等线"/>
          <w:lang w:val="en-US" w:eastAsia="zh-CN"/>
        </w:rPr>
        <w:t xml:space="preserve"> </w:t>
      </w:r>
      <w:r>
        <w:rPr>
          <w:rFonts w:eastAsia="等线"/>
        </w:rPr>
        <w:t>API, shall obtain a "token" from the authorization server, by invoking the Access Token Request service, as described in TS 29.510 [12], clause 5.4.2.2.</w:t>
      </w:r>
    </w:p>
    <w:p w14:paraId="77B19553" w14:textId="77777777" w:rsidR="00183EFC" w:rsidRDefault="00183EFC" w:rsidP="00183EFC">
      <w:pPr>
        <w:pStyle w:val="NO"/>
      </w:pPr>
      <w:r>
        <w:t>NOTE:</w:t>
      </w:r>
      <w:r>
        <w:tab/>
        <w:t xml:space="preserve">When multiple NRFs are deployed in a network, the NRF used as authorization server is the same NRF that the NF service consumer used for discovering the </w:t>
      </w:r>
      <w:r>
        <w:rPr>
          <w:lang w:eastAsia="zh-CN"/>
        </w:rPr>
        <w:t>Nnwdaf_VFLTraining</w:t>
      </w:r>
      <w:r>
        <w:t xml:space="preserve"> service.</w:t>
      </w:r>
    </w:p>
    <w:p w14:paraId="72BA7CAC" w14:textId="77777777" w:rsidR="00183EFC" w:rsidRDefault="00183EFC" w:rsidP="00183EFC">
      <w:pPr>
        <w:rPr>
          <w:rFonts w:eastAsia="等线"/>
          <w:lang w:val="en-US"/>
        </w:rPr>
      </w:pPr>
      <w:r>
        <w:rPr>
          <w:rFonts w:eastAsia="等线"/>
          <w:lang w:val="en-US"/>
        </w:rPr>
        <w:t xml:space="preserve">The </w:t>
      </w:r>
      <w:r>
        <w:rPr>
          <w:lang w:eastAsia="zh-CN"/>
        </w:rPr>
        <w:t>Nnwdaf_VFLTraining</w:t>
      </w:r>
      <w:r>
        <w:rPr>
          <w:rFonts w:eastAsia="等线"/>
          <w:lang w:val="en-US" w:eastAsia="zh-CN"/>
        </w:rPr>
        <w:t xml:space="preserve"> </w:t>
      </w:r>
      <w:r>
        <w:rPr>
          <w:rFonts w:eastAsia="等线"/>
          <w:lang w:val="en-US"/>
        </w:rPr>
        <w:t>API defines a single scope "nnwdaf-vfltraining" for the entire service, and it does not define any additional scopes at resource or operation level.</w:t>
      </w:r>
    </w:p>
    <w:p w14:paraId="228BDCFA" w14:textId="77777777" w:rsidR="009E3903" w:rsidRDefault="009E3903" w:rsidP="009E3903">
      <w:pPr>
        <w:pStyle w:val="2"/>
      </w:pPr>
      <w:bookmarkStart w:id="17006" w:name="_Toc199453461"/>
      <w:r>
        <w:rPr>
          <w:lang w:eastAsia="zh-CN"/>
        </w:rPr>
        <w:t>5.10</w:t>
      </w:r>
      <w:r>
        <w:tab/>
      </w:r>
      <w:r>
        <w:rPr>
          <w:lang w:eastAsia="ja-JP"/>
        </w:rPr>
        <w:t>Nnwdaf_VFLInference</w:t>
      </w:r>
      <w:r>
        <w:t xml:space="preserve"> Service API</w:t>
      </w:r>
      <w:bookmarkEnd w:id="17006"/>
    </w:p>
    <w:p w14:paraId="6AA93AA2" w14:textId="77777777" w:rsidR="009E3903" w:rsidRDefault="009E3903" w:rsidP="009E3903">
      <w:pPr>
        <w:pStyle w:val="3"/>
        <w:rPr>
          <w:lang w:val="en-US"/>
        </w:rPr>
      </w:pPr>
      <w:bookmarkStart w:id="17007" w:name="_Toc199453462"/>
      <w:r>
        <w:rPr>
          <w:lang w:val="en-US"/>
        </w:rPr>
        <w:t>5.10</w:t>
      </w:r>
      <w:r>
        <w:rPr>
          <w:rFonts w:hint="eastAsia"/>
          <w:lang w:val="en-US"/>
        </w:rPr>
        <w:t>.</w:t>
      </w:r>
      <w:r>
        <w:rPr>
          <w:lang w:val="en-US"/>
        </w:rPr>
        <w:t>1</w:t>
      </w:r>
      <w:r>
        <w:rPr>
          <w:lang w:val="en-US"/>
        </w:rPr>
        <w:tab/>
        <w:t>Introduction</w:t>
      </w:r>
      <w:bookmarkEnd w:id="17007"/>
    </w:p>
    <w:p w14:paraId="793B548E" w14:textId="77777777" w:rsidR="009E3903" w:rsidRDefault="009E3903" w:rsidP="009E3903">
      <w:pPr>
        <w:rPr>
          <w:lang w:eastAsia="zh-CN"/>
        </w:rPr>
      </w:pPr>
      <w:r>
        <w:t>The</w:t>
      </w:r>
      <w:r>
        <w:rPr>
          <w:rFonts w:eastAsia="Times New Roman"/>
        </w:rPr>
        <w:t xml:space="preserve"> </w:t>
      </w:r>
      <w:r>
        <w:rPr>
          <w:lang w:eastAsia="ja-JP"/>
        </w:rPr>
        <w:t>Nnwdaf_VFLInference service</w:t>
      </w:r>
      <w:r>
        <w:rPr>
          <w:rFonts w:eastAsia="Times New Roman"/>
        </w:rPr>
        <w:t xml:space="preserve"> </w:t>
      </w:r>
      <w:r>
        <w:t xml:space="preserve">shall use the </w:t>
      </w:r>
      <w:r>
        <w:rPr>
          <w:lang w:eastAsia="ja-JP"/>
        </w:rPr>
        <w:t>Nnwdaf_VFLInference API</w:t>
      </w:r>
      <w:r>
        <w:rPr>
          <w:lang w:eastAsia="zh-CN"/>
        </w:rPr>
        <w:t>.</w:t>
      </w:r>
    </w:p>
    <w:p w14:paraId="7427C784" w14:textId="77777777" w:rsidR="009E3903" w:rsidRDefault="009E3903" w:rsidP="009E3903">
      <w:r>
        <w:lastRenderedPageBreak/>
        <w:t xml:space="preserve">The API URI of the </w:t>
      </w:r>
      <w:r>
        <w:rPr>
          <w:lang w:eastAsia="ja-JP"/>
        </w:rPr>
        <w:t>Nnwdaf_VFLInference API</w:t>
      </w:r>
      <w:r>
        <w:rPr>
          <w:lang w:val="en-US" w:eastAsia="zh-CN"/>
        </w:rPr>
        <w:t xml:space="preserve"> shall be: </w:t>
      </w:r>
    </w:p>
    <w:p w14:paraId="351DFD94" w14:textId="77777777" w:rsidR="009E3903" w:rsidRDefault="009E3903" w:rsidP="009E3903">
      <w:pPr>
        <w:pStyle w:val="B1"/>
        <w:rPr>
          <w:lang w:eastAsia="zh-CN"/>
        </w:rPr>
      </w:pPr>
      <w:r>
        <w:rPr>
          <w:b/>
          <w:lang w:val="en-US"/>
        </w:rPr>
        <w:t>{apiRoot}/&lt;apiName&gt;/&lt;apiVersion&gt;</w:t>
      </w:r>
    </w:p>
    <w:p w14:paraId="5A95DC86" w14:textId="77777777" w:rsidR="009E3903" w:rsidRDefault="009E3903" w:rsidP="009E3903">
      <w:pPr>
        <w:rPr>
          <w:lang w:eastAsia="zh-CN"/>
        </w:rPr>
      </w:pPr>
      <w:r>
        <w:rPr>
          <w:lang w:eastAsia="zh-CN"/>
        </w:rPr>
        <w:t>The request URIs used in each HTTP requests from the NF service consumer towards the NWDAF shall have the Resource URI structure defined in clause 4.4.1 of 3GPP TS 29.501 [7], i.e.:</w:t>
      </w:r>
    </w:p>
    <w:p w14:paraId="4239DEA4" w14:textId="77777777" w:rsidR="009E3903" w:rsidRDefault="009E3903" w:rsidP="009E3903">
      <w:pPr>
        <w:ind w:left="568" w:hanging="284"/>
        <w:rPr>
          <w:b/>
        </w:rPr>
      </w:pPr>
      <w:r>
        <w:rPr>
          <w:b/>
        </w:rPr>
        <w:t>{apiRoot}/&lt;apiName&gt;/&lt;apiVersion&gt;/&lt;apiSpecificResourceUriPart&gt;</w:t>
      </w:r>
    </w:p>
    <w:p w14:paraId="411F0AE0" w14:textId="77777777" w:rsidR="009E3903" w:rsidRDefault="009E3903" w:rsidP="009E3903">
      <w:pPr>
        <w:rPr>
          <w:lang w:eastAsia="zh-CN"/>
        </w:rPr>
      </w:pPr>
      <w:r>
        <w:rPr>
          <w:lang w:eastAsia="zh-CN"/>
        </w:rPr>
        <w:t>with the following components:</w:t>
      </w:r>
    </w:p>
    <w:p w14:paraId="5EF11049" w14:textId="77777777" w:rsidR="009E3903" w:rsidRDefault="009E3903" w:rsidP="009E3903">
      <w:pPr>
        <w:pStyle w:val="B1"/>
        <w:rPr>
          <w:lang w:eastAsia="zh-CN"/>
        </w:rPr>
      </w:pPr>
      <w:r>
        <w:rPr>
          <w:lang w:eastAsia="zh-CN"/>
        </w:rPr>
        <w:t>-</w:t>
      </w:r>
      <w:r>
        <w:rPr>
          <w:lang w:eastAsia="zh-CN"/>
        </w:rPr>
        <w:tab/>
        <w:t xml:space="preserve">The </w:t>
      </w:r>
      <w:r>
        <w:t xml:space="preserve">{apiRoot} shall be set as described in </w:t>
      </w:r>
      <w:r>
        <w:rPr>
          <w:lang w:eastAsia="zh-CN"/>
        </w:rPr>
        <w:t>3GPP TS 29.501 [7].</w:t>
      </w:r>
    </w:p>
    <w:p w14:paraId="610AA359" w14:textId="77777777" w:rsidR="009E3903" w:rsidRDefault="009E3903" w:rsidP="009E3903">
      <w:pPr>
        <w:pStyle w:val="B1"/>
        <w:rPr>
          <w:lang w:val="en-US"/>
        </w:rPr>
      </w:pPr>
      <w:r>
        <w:rPr>
          <w:lang w:eastAsia="zh-CN"/>
        </w:rPr>
        <w:t>-</w:t>
      </w:r>
      <w:r>
        <w:rPr>
          <w:lang w:eastAsia="zh-CN"/>
        </w:rPr>
        <w:tab/>
        <w:t>The</w:t>
      </w:r>
      <w:r>
        <w:t>&lt;apiName&gt;</w:t>
      </w:r>
      <w:r>
        <w:rPr>
          <w:b/>
        </w:rPr>
        <w:t xml:space="preserve"> </w:t>
      </w:r>
      <w:r>
        <w:t>shall be "nnwdaf-vflinference</w:t>
      </w:r>
      <w:r>
        <w:rPr>
          <w:lang w:val="en-US"/>
        </w:rPr>
        <w:t>".</w:t>
      </w:r>
    </w:p>
    <w:p w14:paraId="70297D92" w14:textId="77777777" w:rsidR="009E3903" w:rsidRDefault="009E3903" w:rsidP="009E3903">
      <w:pPr>
        <w:pStyle w:val="B1"/>
        <w:rPr>
          <w:lang w:val="en-US"/>
        </w:rPr>
      </w:pPr>
      <w:r>
        <w:rPr>
          <w:lang w:val="en-US"/>
        </w:rPr>
        <w:t>-</w:t>
      </w:r>
      <w:r>
        <w:rPr>
          <w:lang w:val="en-US"/>
        </w:rPr>
        <w:tab/>
        <w:t>The &lt;apiVersion&gt; shall be "v1".</w:t>
      </w:r>
    </w:p>
    <w:p w14:paraId="02C34DFE" w14:textId="5B289D31" w:rsidR="009E3903" w:rsidRDefault="009E3903" w:rsidP="009E3903">
      <w:pPr>
        <w:pStyle w:val="B1"/>
      </w:pPr>
      <w:r>
        <w:rPr>
          <w:lang w:val="en-US"/>
        </w:rPr>
        <w:t>-</w:t>
      </w:r>
      <w:r>
        <w:rPr>
          <w:lang w:val="en-US"/>
        </w:rPr>
        <w:tab/>
        <w:t>The &lt;apiSpecificResourceUriPart&gt; shall be set as described in clause</w:t>
      </w:r>
      <w:r>
        <w:rPr>
          <w:lang w:eastAsia="zh-CN"/>
        </w:rPr>
        <w:t> </w:t>
      </w:r>
      <w:r>
        <w:rPr>
          <w:lang w:val="en-US"/>
        </w:rPr>
        <w:t>5.5.3.</w:t>
      </w:r>
    </w:p>
    <w:p w14:paraId="1993B7CE" w14:textId="77777777" w:rsidR="009E3903" w:rsidRDefault="009E3903" w:rsidP="009E3903">
      <w:pPr>
        <w:pStyle w:val="3"/>
        <w:rPr>
          <w:lang w:val="en-US"/>
        </w:rPr>
      </w:pPr>
      <w:bookmarkStart w:id="17008" w:name="_Toc199453463"/>
      <w:r>
        <w:rPr>
          <w:lang w:val="en-US"/>
        </w:rPr>
        <w:t>5.10.2</w:t>
      </w:r>
      <w:r>
        <w:rPr>
          <w:lang w:val="en-US"/>
        </w:rPr>
        <w:tab/>
        <w:t>Usage of HTTP</w:t>
      </w:r>
      <w:bookmarkEnd w:id="17008"/>
    </w:p>
    <w:p w14:paraId="52FF2BF5" w14:textId="77777777" w:rsidR="009E3903" w:rsidRDefault="009E3903" w:rsidP="009E3903">
      <w:pPr>
        <w:pStyle w:val="4"/>
      </w:pPr>
      <w:bookmarkStart w:id="17009" w:name="_Toc199453464"/>
      <w:r>
        <w:t>5.10.2.1</w:t>
      </w:r>
      <w:r>
        <w:tab/>
        <w:t>General</w:t>
      </w:r>
      <w:bookmarkEnd w:id="17009"/>
    </w:p>
    <w:p w14:paraId="224649D8" w14:textId="77777777" w:rsidR="009E3903" w:rsidRDefault="009E3903" w:rsidP="009E3903">
      <w:r>
        <w:t>HTTP</w:t>
      </w:r>
      <w:r>
        <w:rPr>
          <w:lang w:eastAsia="zh-CN"/>
        </w:rPr>
        <w:t xml:space="preserve">/2, IETF RFC 9113 [9], </w:t>
      </w:r>
      <w:r>
        <w:t>shall be used as specified in clause 5 of 3GPP TS 29.500 [6].</w:t>
      </w:r>
    </w:p>
    <w:p w14:paraId="7D8BB643" w14:textId="77777777" w:rsidR="009E3903" w:rsidRDefault="009E3903" w:rsidP="009E3903">
      <w:r>
        <w:t>HTTP/2 shall be transported as specified in clause 5.3 of 3GPP TS 29.500 [6].</w:t>
      </w:r>
    </w:p>
    <w:p w14:paraId="73DC1D86" w14:textId="77777777" w:rsidR="009E3903" w:rsidRDefault="009E3903" w:rsidP="009E3903">
      <w:r>
        <w:t xml:space="preserve">The OpenAPI [11] specification of HTTP messages and content bodies for the </w:t>
      </w:r>
      <w:r>
        <w:rPr>
          <w:lang w:eastAsia="ja-JP"/>
        </w:rPr>
        <w:t>Nnwdaf_VFLInference</w:t>
      </w:r>
      <w:r>
        <w:t xml:space="preserve"> is contained in Annex A.</w:t>
      </w:r>
    </w:p>
    <w:p w14:paraId="61E56E03" w14:textId="77777777" w:rsidR="009E3903" w:rsidRDefault="009E3903" w:rsidP="009E3903">
      <w:pPr>
        <w:pStyle w:val="4"/>
      </w:pPr>
      <w:bookmarkStart w:id="17010" w:name="_Toc199453465"/>
      <w:r>
        <w:t>5.10.2.2</w:t>
      </w:r>
      <w:r>
        <w:tab/>
        <w:t>HTTP standard headers</w:t>
      </w:r>
      <w:bookmarkEnd w:id="17010"/>
    </w:p>
    <w:p w14:paraId="39BA4900" w14:textId="77777777" w:rsidR="009E3903" w:rsidRDefault="009E3903" w:rsidP="009E3903">
      <w:pPr>
        <w:pStyle w:val="5"/>
      </w:pPr>
      <w:bookmarkStart w:id="17011" w:name="_Toc199453466"/>
      <w:r>
        <w:t>5.10.2.2.1</w:t>
      </w:r>
      <w:r>
        <w:tab/>
        <w:t>General</w:t>
      </w:r>
      <w:bookmarkEnd w:id="17011"/>
    </w:p>
    <w:p w14:paraId="3A8F4BA8" w14:textId="77777777" w:rsidR="009E3903" w:rsidRDefault="009E3903" w:rsidP="009E3903">
      <w:r>
        <w:t>See clause 5.2.2 of 3GPP TS 29.500 [6] for the usage of HTTP standard headers.</w:t>
      </w:r>
    </w:p>
    <w:p w14:paraId="265650E3" w14:textId="77777777" w:rsidR="009E3903" w:rsidRDefault="009E3903" w:rsidP="009E3903">
      <w:pPr>
        <w:pStyle w:val="5"/>
      </w:pPr>
      <w:bookmarkStart w:id="17012" w:name="_Toc199453467"/>
      <w:r>
        <w:t>5.10.2.2.2</w:t>
      </w:r>
      <w:r>
        <w:tab/>
        <w:t>Content type</w:t>
      </w:r>
      <w:bookmarkEnd w:id="17012"/>
    </w:p>
    <w:p w14:paraId="5869DAAC" w14:textId="77777777" w:rsidR="009E3903" w:rsidRDefault="009E3903" w:rsidP="009E3903">
      <w:r>
        <w:t>JSON, IETF RFC 8259 [10], shall be used as content type of the HTTP bodies specified in the present specification as specified in clause 5.4 of 3GPP TS 29.500 [6]. The use of the JSON format shall be signalled by the content type "application/json".</w:t>
      </w:r>
    </w:p>
    <w:p w14:paraId="6FF6D9E3" w14:textId="77777777" w:rsidR="009E3903" w:rsidRDefault="009E3903" w:rsidP="009E3903">
      <w:pPr>
        <w:rPr>
          <w:i/>
        </w:rPr>
      </w:pPr>
      <w:r>
        <w:t>"Problem Details" JSON object shall be used to indicate additional details of the error in a HTTP response body and shall be signalled by the content type "application/problem+json", as defined in IETF RFC 9457 [15].</w:t>
      </w:r>
    </w:p>
    <w:p w14:paraId="6C11DEC3" w14:textId="77777777" w:rsidR="009E3903" w:rsidRDefault="009E3903" w:rsidP="009E3903">
      <w:pPr>
        <w:pStyle w:val="4"/>
      </w:pPr>
      <w:bookmarkStart w:id="17013" w:name="_Toc199453468"/>
      <w:r>
        <w:t>5.10.2.3</w:t>
      </w:r>
      <w:r>
        <w:tab/>
        <w:t>HTTP custom headers</w:t>
      </w:r>
      <w:bookmarkEnd w:id="17013"/>
    </w:p>
    <w:p w14:paraId="049BBE14" w14:textId="77777777" w:rsidR="009E3903" w:rsidRDefault="009E3903" w:rsidP="009E3903">
      <w:pPr>
        <w:rPr>
          <w:rFonts w:eastAsia="Batang"/>
        </w:rPr>
      </w:pPr>
      <w:r>
        <w:rPr>
          <w:rFonts w:eastAsia="Batang"/>
        </w:rPr>
        <w:t xml:space="preserve">The </w:t>
      </w:r>
      <w:r>
        <w:rPr>
          <w:lang w:eastAsia="ja-JP"/>
        </w:rPr>
        <w:t>Nnwdaf_VFLInference service</w:t>
      </w:r>
      <w:r>
        <w:rPr>
          <w:rFonts w:eastAsia="Batang"/>
        </w:rPr>
        <w:t xml:space="preserve"> API</w:t>
      </w:r>
      <w:r>
        <w:rPr>
          <w:rFonts w:eastAsia="Batang"/>
          <w:lang w:eastAsia="zh-CN"/>
        </w:rPr>
        <w:t xml:space="preserve"> shall support </w:t>
      </w:r>
      <w:r>
        <w:rPr>
          <w:lang w:val="en-US"/>
        </w:rPr>
        <w:t xml:space="preserve">mandatory </w:t>
      </w:r>
      <w:r>
        <w:rPr>
          <w:rFonts w:eastAsia="Batang"/>
        </w:rPr>
        <w:t>HTTP custom header fields specified in clause 5.2.3.2 of 3GPP TS 29.500 [6]</w:t>
      </w:r>
      <w:r>
        <w:t xml:space="preserve"> and may support HTTP custom header fields specified in clause 5.2.3.3 of 3GPP TS 29.500 [6]</w:t>
      </w:r>
      <w:r>
        <w:rPr>
          <w:rFonts w:eastAsia="Batang"/>
        </w:rPr>
        <w:t>.</w:t>
      </w:r>
    </w:p>
    <w:p w14:paraId="65D7B3A5" w14:textId="77777777" w:rsidR="009E3903" w:rsidRDefault="009E3903" w:rsidP="009E3903">
      <w:pPr>
        <w:rPr>
          <w:rFonts w:eastAsia="Batang"/>
        </w:rPr>
      </w:pPr>
      <w:r>
        <w:rPr>
          <w:rFonts w:eastAsia="Batang"/>
          <w:lang w:eastAsia="zh-CN"/>
        </w:rPr>
        <w:t xml:space="preserve">In this release </w:t>
      </w:r>
      <w:r>
        <w:rPr>
          <w:rFonts w:eastAsia="Batang"/>
        </w:rPr>
        <w:t xml:space="preserve">of the specification, no specific custom headers are defined for the </w:t>
      </w:r>
      <w:r>
        <w:rPr>
          <w:lang w:eastAsia="ja-JP"/>
        </w:rPr>
        <w:t>Nnwdaf_VFLInference service</w:t>
      </w:r>
      <w:r>
        <w:rPr>
          <w:rFonts w:eastAsia="Batang"/>
        </w:rPr>
        <w:t xml:space="preserve"> API.</w:t>
      </w:r>
    </w:p>
    <w:p w14:paraId="1F13AB7E" w14:textId="77777777" w:rsidR="009E3903" w:rsidRDefault="009E3903" w:rsidP="009E3903">
      <w:pPr>
        <w:pStyle w:val="3"/>
      </w:pPr>
      <w:bookmarkStart w:id="17014" w:name="_Toc199453469"/>
      <w:r>
        <w:t>5.10.3</w:t>
      </w:r>
      <w:r>
        <w:tab/>
        <w:t>Resources</w:t>
      </w:r>
      <w:bookmarkEnd w:id="17014"/>
    </w:p>
    <w:p w14:paraId="50A6BF7D" w14:textId="77777777" w:rsidR="009E3903" w:rsidRDefault="009E3903" w:rsidP="009E3903">
      <w:pPr>
        <w:pStyle w:val="4"/>
      </w:pPr>
      <w:bookmarkStart w:id="17015" w:name="_Toc199453470"/>
      <w:r>
        <w:t>5.10.3.1</w:t>
      </w:r>
      <w:r>
        <w:tab/>
        <w:t>Resource Structure</w:t>
      </w:r>
      <w:bookmarkEnd w:id="17015"/>
    </w:p>
    <w:p w14:paraId="280CF986" w14:textId="77777777" w:rsidR="009E3903" w:rsidRDefault="009E3903" w:rsidP="009E3903">
      <w:r>
        <w:t>This clause describes the structure for the Resource URIs and the resources and methods used for the service.</w:t>
      </w:r>
    </w:p>
    <w:p w14:paraId="14CD5EBA" w14:textId="77777777" w:rsidR="009E3903" w:rsidRDefault="009E3903" w:rsidP="009E3903">
      <w:r>
        <w:t xml:space="preserve">Figure 5.10.3.1-1 depicts the resource URIs structure for the </w:t>
      </w:r>
      <w:r>
        <w:rPr>
          <w:lang w:eastAsia="ja-JP"/>
        </w:rPr>
        <w:t>Nnwdaf_VFLInference API</w:t>
      </w:r>
      <w:r>
        <w:t>.</w:t>
      </w:r>
    </w:p>
    <w:p w14:paraId="25B7BF44" w14:textId="6058BBCC" w:rsidR="009E3903" w:rsidRDefault="009E3903" w:rsidP="009E3903">
      <w:pPr>
        <w:pStyle w:val="TH"/>
        <w:rPr>
          <w:lang w:val="en-US"/>
        </w:rPr>
      </w:pPr>
      <w:r>
        <w:rPr>
          <w:lang w:val="en-US"/>
        </w:rPr>
        <w:object w:dxaOrig="6864" w:dyaOrig="2676" w14:anchorId="5CFC9B7A">
          <v:shape id="_x0000_i1262" type="#_x0000_t75" style="width:375.05pt;height:2in" o:ole="">
            <v:imagedata r:id="rId142" o:title=""/>
          </v:shape>
          <o:OLEObject Type="Embed" ProgID="Visio.Drawing.15" ShapeID="_x0000_i1262" DrawAspect="Content" ObjectID="_1810066047" r:id="rId143"/>
        </w:object>
      </w:r>
    </w:p>
    <w:p w14:paraId="1531684D" w14:textId="77777777" w:rsidR="009E3903" w:rsidRDefault="009E3903" w:rsidP="009E3903">
      <w:pPr>
        <w:pStyle w:val="TF"/>
      </w:pPr>
      <w:r>
        <w:t>Figure 5.10.3.1-</w:t>
      </w:r>
      <w:r>
        <w:rPr>
          <w:rFonts w:hint="eastAsia"/>
          <w:lang w:eastAsia="zh-CN"/>
        </w:rPr>
        <w:t>1</w:t>
      </w:r>
      <w:r>
        <w:t xml:space="preserve">: Resource URI structure of the </w:t>
      </w:r>
      <w:r>
        <w:rPr>
          <w:lang w:eastAsia="ja-JP"/>
        </w:rPr>
        <w:t>Nnwdaf_VFLInference</w:t>
      </w:r>
      <w:r>
        <w:t xml:space="preserve"> API</w:t>
      </w:r>
    </w:p>
    <w:p w14:paraId="237B0839" w14:textId="77777777" w:rsidR="009E3903" w:rsidRDefault="009E3903" w:rsidP="009E3903">
      <w:r>
        <w:t>Table 5.10.3.1-1 provides an overview of the resources and applicable HTTP methods.</w:t>
      </w:r>
    </w:p>
    <w:p w14:paraId="41F739AA"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5.10.3.1-1: Resources and methods overview</w:t>
      </w:r>
    </w:p>
    <w:tbl>
      <w:tblPr>
        <w:tblW w:w="48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60"/>
        <w:gridCol w:w="2584"/>
        <w:gridCol w:w="2127"/>
        <w:gridCol w:w="2965"/>
      </w:tblGrid>
      <w:tr w:rsidR="009E3903" w14:paraId="5A02C631" w14:textId="77777777" w:rsidTr="00902260">
        <w:trPr>
          <w:jc w:val="center"/>
        </w:trPr>
        <w:tc>
          <w:tcPr>
            <w:tcW w:w="889" w:type="pct"/>
            <w:shd w:val="clear" w:color="auto" w:fill="C0C0C0"/>
            <w:vAlign w:val="center"/>
          </w:tcPr>
          <w:p w14:paraId="446C091F" w14:textId="77777777" w:rsidR="009E3903" w:rsidRDefault="009E3903" w:rsidP="00902260">
            <w:pPr>
              <w:pStyle w:val="TAH"/>
              <w:rPr>
                <w:szCs w:val="18"/>
              </w:rPr>
            </w:pPr>
            <w:r>
              <w:rPr>
                <w:szCs w:val="18"/>
              </w:rPr>
              <w:t>Resource name</w:t>
            </w:r>
          </w:p>
        </w:tc>
        <w:tc>
          <w:tcPr>
            <w:tcW w:w="1384" w:type="pct"/>
            <w:shd w:val="clear" w:color="auto" w:fill="C0C0C0"/>
            <w:vAlign w:val="center"/>
          </w:tcPr>
          <w:p w14:paraId="7FA6C658" w14:textId="77777777" w:rsidR="009E3903" w:rsidRDefault="009E3903" w:rsidP="00902260">
            <w:pPr>
              <w:pStyle w:val="TAH"/>
              <w:rPr>
                <w:szCs w:val="18"/>
              </w:rPr>
            </w:pPr>
            <w:r>
              <w:rPr>
                <w:szCs w:val="18"/>
              </w:rPr>
              <w:t>Resource URI</w:t>
            </w:r>
          </w:p>
        </w:tc>
        <w:tc>
          <w:tcPr>
            <w:tcW w:w="1139" w:type="pct"/>
            <w:shd w:val="clear" w:color="auto" w:fill="C0C0C0"/>
            <w:vAlign w:val="center"/>
          </w:tcPr>
          <w:p w14:paraId="3C14273D" w14:textId="77777777" w:rsidR="009E3903" w:rsidRDefault="009E3903" w:rsidP="00902260">
            <w:pPr>
              <w:pStyle w:val="TAH"/>
              <w:rPr>
                <w:szCs w:val="18"/>
              </w:rPr>
            </w:pPr>
            <w:r>
              <w:rPr>
                <w:szCs w:val="18"/>
              </w:rPr>
              <w:t>HTTP method or custom operation</w:t>
            </w:r>
          </w:p>
        </w:tc>
        <w:tc>
          <w:tcPr>
            <w:tcW w:w="1588" w:type="pct"/>
            <w:shd w:val="clear" w:color="auto" w:fill="C0C0C0"/>
            <w:vAlign w:val="center"/>
          </w:tcPr>
          <w:p w14:paraId="6C322001" w14:textId="77777777" w:rsidR="009E3903" w:rsidRDefault="009E3903" w:rsidP="00902260">
            <w:pPr>
              <w:pStyle w:val="TAH"/>
              <w:rPr>
                <w:szCs w:val="18"/>
              </w:rPr>
            </w:pPr>
            <w:r>
              <w:rPr>
                <w:szCs w:val="18"/>
              </w:rPr>
              <w:t>Description</w:t>
            </w:r>
          </w:p>
        </w:tc>
      </w:tr>
      <w:tr w:rsidR="009E3903" w14:paraId="2690A573" w14:textId="77777777" w:rsidTr="00902260">
        <w:trPr>
          <w:jc w:val="center"/>
        </w:trPr>
        <w:tc>
          <w:tcPr>
            <w:tcW w:w="0" w:type="auto"/>
            <w:vAlign w:val="center"/>
          </w:tcPr>
          <w:p w14:paraId="377A1B25" w14:textId="77777777" w:rsidR="009E3903" w:rsidRDefault="009E3903" w:rsidP="00902260">
            <w:pPr>
              <w:pStyle w:val="TF"/>
              <w:keepNext/>
              <w:spacing w:after="0"/>
              <w:jc w:val="left"/>
              <w:rPr>
                <w:sz w:val="18"/>
                <w:szCs w:val="18"/>
              </w:rPr>
            </w:pPr>
            <w:r>
              <w:rPr>
                <w:b w:val="0"/>
                <w:sz w:val="18"/>
                <w:szCs w:val="18"/>
              </w:rPr>
              <w:t>NWDAF VFL Inference Subscriptions</w:t>
            </w:r>
          </w:p>
        </w:tc>
        <w:tc>
          <w:tcPr>
            <w:tcW w:w="1384" w:type="pct"/>
            <w:vAlign w:val="center"/>
          </w:tcPr>
          <w:p w14:paraId="62703002" w14:textId="77777777" w:rsidR="009E3903" w:rsidRDefault="009E3903" w:rsidP="00902260">
            <w:pPr>
              <w:pStyle w:val="TAL"/>
              <w:rPr>
                <w:szCs w:val="18"/>
              </w:rPr>
            </w:pPr>
            <w:r>
              <w:rPr>
                <w:szCs w:val="18"/>
              </w:rPr>
              <w:t>/subscriptions</w:t>
            </w:r>
          </w:p>
        </w:tc>
        <w:tc>
          <w:tcPr>
            <w:tcW w:w="1139" w:type="pct"/>
          </w:tcPr>
          <w:p w14:paraId="04EEA734" w14:textId="77777777" w:rsidR="009E3903" w:rsidRDefault="009E3903" w:rsidP="00902260">
            <w:pPr>
              <w:pStyle w:val="TAL"/>
              <w:rPr>
                <w:szCs w:val="18"/>
              </w:rPr>
            </w:pPr>
            <w:r>
              <w:rPr>
                <w:szCs w:val="18"/>
              </w:rPr>
              <w:t>POST</w:t>
            </w:r>
          </w:p>
        </w:tc>
        <w:tc>
          <w:tcPr>
            <w:tcW w:w="1588" w:type="pct"/>
          </w:tcPr>
          <w:p w14:paraId="52912DA3" w14:textId="77777777" w:rsidR="009E3903" w:rsidRDefault="009E3903" w:rsidP="00902260">
            <w:pPr>
              <w:pStyle w:val="TAL"/>
              <w:rPr>
                <w:szCs w:val="18"/>
              </w:rPr>
            </w:pPr>
            <w:r>
              <w:rPr>
                <w:szCs w:val="18"/>
              </w:rPr>
              <w:t>Creates a new Individual NWDAF VFL Inference Subscription resource.</w:t>
            </w:r>
          </w:p>
        </w:tc>
      </w:tr>
      <w:tr w:rsidR="009E3903" w14:paraId="7B113B3A" w14:textId="77777777" w:rsidTr="00902260">
        <w:trPr>
          <w:jc w:val="center"/>
        </w:trPr>
        <w:tc>
          <w:tcPr>
            <w:tcW w:w="0" w:type="auto"/>
            <w:vMerge w:val="restart"/>
            <w:vAlign w:val="center"/>
          </w:tcPr>
          <w:p w14:paraId="16280173" w14:textId="77777777" w:rsidR="009E3903" w:rsidRDefault="009E3903" w:rsidP="00902260">
            <w:pPr>
              <w:pStyle w:val="TF"/>
              <w:keepNext/>
              <w:spacing w:after="0"/>
              <w:jc w:val="left"/>
              <w:rPr>
                <w:sz w:val="18"/>
                <w:szCs w:val="18"/>
              </w:rPr>
            </w:pPr>
            <w:r>
              <w:rPr>
                <w:b w:val="0"/>
                <w:sz w:val="18"/>
                <w:szCs w:val="18"/>
              </w:rPr>
              <w:t>Individual NWDAF VFL Inference Subscription</w:t>
            </w:r>
          </w:p>
        </w:tc>
        <w:tc>
          <w:tcPr>
            <w:tcW w:w="1384" w:type="pct"/>
            <w:vMerge w:val="restart"/>
            <w:vAlign w:val="center"/>
          </w:tcPr>
          <w:p w14:paraId="17CC55FF" w14:textId="77777777" w:rsidR="009E3903" w:rsidRDefault="009E3903" w:rsidP="00902260">
            <w:pPr>
              <w:pStyle w:val="TAL"/>
              <w:rPr>
                <w:szCs w:val="18"/>
              </w:rPr>
            </w:pPr>
            <w:r>
              <w:rPr>
                <w:szCs w:val="18"/>
              </w:rPr>
              <w:t>/subscriptions/{subscriptionId}</w:t>
            </w:r>
          </w:p>
        </w:tc>
        <w:tc>
          <w:tcPr>
            <w:tcW w:w="1139" w:type="pct"/>
          </w:tcPr>
          <w:p w14:paraId="150BDA7A" w14:textId="77777777" w:rsidR="009E3903" w:rsidRDefault="009E3903" w:rsidP="00902260">
            <w:pPr>
              <w:pStyle w:val="TAL"/>
              <w:rPr>
                <w:szCs w:val="18"/>
              </w:rPr>
            </w:pPr>
            <w:r>
              <w:rPr>
                <w:szCs w:val="18"/>
              </w:rPr>
              <w:t>DELETE</w:t>
            </w:r>
          </w:p>
        </w:tc>
        <w:tc>
          <w:tcPr>
            <w:tcW w:w="1588" w:type="pct"/>
          </w:tcPr>
          <w:p w14:paraId="02C92EB3" w14:textId="77777777" w:rsidR="009E3903" w:rsidRDefault="009E3903" w:rsidP="00902260">
            <w:pPr>
              <w:pStyle w:val="TF"/>
              <w:keepNext/>
              <w:spacing w:after="0"/>
              <w:jc w:val="left"/>
              <w:rPr>
                <w:b w:val="0"/>
                <w:sz w:val="18"/>
                <w:szCs w:val="18"/>
              </w:rPr>
            </w:pPr>
            <w:r>
              <w:rPr>
                <w:b w:val="0"/>
                <w:sz w:val="18"/>
                <w:szCs w:val="18"/>
              </w:rPr>
              <w:t>Deletes an Individual NWDAF VFL Inference Subscription identified by subresource {subscriptionId}.</w:t>
            </w:r>
          </w:p>
        </w:tc>
      </w:tr>
      <w:tr w:rsidR="009E3903" w14:paraId="7B277144" w14:textId="77777777" w:rsidTr="00902260">
        <w:trPr>
          <w:jc w:val="center"/>
        </w:trPr>
        <w:tc>
          <w:tcPr>
            <w:tcW w:w="0" w:type="auto"/>
            <w:vMerge/>
            <w:vAlign w:val="center"/>
          </w:tcPr>
          <w:p w14:paraId="5F1A14BC" w14:textId="77777777" w:rsidR="009E3903" w:rsidRDefault="009E3903" w:rsidP="00902260">
            <w:pPr>
              <w:pStyle w:val="TAL"/>
              <w:rPr>
                <w:szCs w:val="18"/>
              </w:rPr>
            </w:pPr>
          </w:p>
        </w:tc>
        <w:tc>
          <w:tcPr>
            <w:tcW w:w="1384" w:type="pct"/>
            <w:vMerge/>
            <w:vAlign w:val="center"/>
          </w:tcPr>
          <w:p w14:paraId="069A5A06" w14:textId="77777777" w:rsidR="009E3903" w:rsidRDefault="009E3903" w:rsidP="00902260">
            <w:pPr>
              <w:pStyle w:val="TAL"/>
              <w:rPr>
                <w:szCs w:val="18"/>
              </w:rPr>
            </w:pPr>
          </w:p>
        </w:tc>
        <w:tc>
          <w:tcPr>
            <w:tcW w:w="1139" w:type="pct"/>
          </w:tcPr>
          <w:p w14:paraId="6A7C56F8" w14:textId="77777777" w:rsidR="009E3903" w:rsidRDefault="009E3903" w:rsidP="00902260">
            <w:pPr>
              <w:pStyle w:val="TAL"/>
              <w:rPr>
                <w:szCs w:val="18"/>
              </w:rPr>
            </w:pPr>
            <w:r>
              <w:rPr>
                <w:szCs w:val="18"/>
              </w:rPr>
              <w:t>PUT</w:t>
            </w:r>
          </w:p>
        </w:tc>
        <w:tc>
          <w:tcPr>
            <w:tcW w:w="1588" w:type="pct"/>
          </w:tcPr>
          <w:p w14:paraId="3F214A2D" w14:textId="77777777" w:rsidR="009E3903" w:rsidRDefault="009E3903" w:rsidP="00902260">
            <w:pPr>
              <w:pStyle w:val="TAL"/>
              <w:rPr>
                <w:szCs w:val="18"/>
              </w:rPr>
            </w:pPr>
            <w:r>
              <w:rPr>
                <w:szCs w:val="18"/>
              </w:rPr>
              <w:t>Updates an existing Individual NWDAF VFL Inference Subscription identified by subresource {subscriptionId}.</w:t>
            </w:r>
          </w:p>
        </w:tc>
      </w:tr>
      <w:tr w:rsidR="009E3903" w14:paraId="770689C7" w14:textId="77777777" w:rsidTr="00902260">
        <w:trPr>
          <w:trHeight w:val="261"/>
          <w:jc w:val="center"/>
        </w:trPr>
        <w:tc>
          <w:tcPr>
            <w:tcW w:w="0" w:type="auto"/>
            <w:vMerge/>
            <w:vAlign w:val="center"/>
          </w:tcPr>
          <w:p w14:paraId="33314480" w14:textId="77777777" w:rsidR="009E3903" w:rsidRDefault="009E3903" w:rsidP="00902260">
            <w:pPr>
              <w:pStyle w:val="TAL"/>
              <w:rPr>
                <w:szCs w:val="18"/>
              </w:rPr>
            </w:pPr>
          </w:p>
        </w:tc>
        <w:tc>
          <w:tcPr>
            <w:tcW w:w="1384" w:type="pct"/>
            <w:vMerge/>
            <w:vAlign w:val="center"/>
          </w:tcPr>
          <w:p w14:paraId="041DB3A7" w14:textId="77777777" w:rsidR="009E3903" w:rsidRDefault="009E3903" w:rsidP="00902260">
            <w:pPr>
              <w:pStyle w:val="TAL"/>
              <w:rPr>
                <w:szCs w:val="18"/>
              </w:rPr>
            </w:pPr>
          </w:p>
        </w:tc>
        <w:tc>
          <w:tcPr>
            <w:tcW w:w="1139" w:type="pct"/>
          </w:tcPr>
          <w:p w14:paraId="0281B648" w14:textId="77777777" w:rsidR="009E3903" w:rsidRDefault="009E3903" w:rsidP="00902260">
            <w:pPr>
              <w:pStyle w:val="TAL"/>
              <w:rPr>
                <w:szCs w:val="18"/>
              </w:rPr>
            </w:pPr>
            <w:r>
              <w:rPr>
                <w:szCs w:val="18"/>
              </w:rPr>
              <w:t>PATCH</w:t>
            </w:r>
          </w:p>
        </w:tc>
        <w:tc>
          <w:tcPr>
            <w:tcW w:w="1588" w:type="pct"/>
          </w:tcPr>
          <w:p w14:paraId="453AACDE" w14:textId="77777777" w:rsidR="009E3903" w:rsidRDefault="009E3903" w:rsidP="00902260">
            <w:pPr>
              <w:pStyle w:val="TAL"/>
              <w:rPr>
                <w:szCs w:val="18"/>
              </w:rPr>
            </w:pPr>
            <w:r>
              <w:rPr>
                <w:szCs w:val="18"/>
              </w:rPr>
              <w:t>Modifies an existing Individual NWDAF VFL Inference Subscription identified by subresource {subscriptionId}.</w:t>
            </w:r>
          </w:p>
        </w:tc>
      </w:tr>
    </w:tbl>
    <w:p w14:paraId="50E092ED" w14:textId="77777777" w:rsidR="009E3903" w:rsidRDefault="009E3903" w:rsidP="009E3903"/>
    <w:p w14:paraId="52715CD9" w14:textId="77777777" w:rsidR="009E3903" w:rsidRDefault="009E3903" w:rsidP="009E3903">
      <w:pPr>
        <w:pStyle w:val="4"/>
      </w:pPr>
      <w:bookmarkStart w:id="17016" w:name="_Toc199453471"/>
      <w:r>
        <w:t>5.10.3.2</w:t>
      </w:r>
      <w:r>
        <w:tab/>
        <w:t>Resource: NWDAF VFL Inference Subscriptions</w:t>
      </w:r>
      <w:bookmarkEnd w:id="17016"/>
    </w:p>
    <w:p w14:paraId="6203C6FF" w14:textId="77777777" w:rsidR="009E3903" w:rsidRDefault="009E3903" w:rsidP="009E3903">
      <w:pPr>
        <w:pStyle w:val="5"/>
      </w:pPr>
      <w:bookmarkStart w:id="17017" w:name="_Toc199453472"/>
      <w:r>
        <w:t>5.10.3.2.1</w:t>
      </w:r>
      <w:r>
        <w:tab/>
        <w:t>Description</w:t>
      </w:r>
      <w:bookmarkEnd w:id="17017"/>
    </w:p>
    <w:p w14:paraId="45F6207E" w14:textId="77777777" w:rsidR="009E3903" w:rsidRDefault="009E3903" w:rsidP="009E3903">
      <w:r>
        <w:t>The NWDAF VFL Inference Subscriptions resource represents all VFL Inference subscriptions to the Nnwdaf_VFLInference service at a given NWDAF. The resource allows an NF service consumer to create a new Individual NWDAF VFL Inference Subscription resource.</w:t>
      </w:r>
    </w:p>
    <w:p w14:paraId="0E496548" w14:textId="77777777" w:rsidR="009E3903" w:rsidRDefault="009E3903" w:rsidP="009E3903">
      <w:pPr>
        <w:pStyle w:val="5"/>
      </w:pPr>
      <w:bookmarkStart w:id="17018" w:name="_Toc199453473"/>
      <w:r>
        <w:t>5.10.3.2.2</w:t>
      </w:r>
      <w:r>
        <w:tab/>
        <w:t>Resource definition</w:t>
      </w:r>
      <w:bookmarkEnd w:id="17018"/>
    </w:p>
    <w:p w14:paraId="30BF3706" w14:textId="77777777" w:rsidR="009E3903" w:rsidRDefault="009E3903" w:rsidP="009E3903">
      <w:r>
        <w:t xml:space="preserve">Resource URI: </w:t>
      </w:r>
      <w:r>
        <w:rPr>
          <w:b/>
        </w:rPr>
        <w:t>{apiRoot}/nnwdaf-vflinference/&lt;apiVersion&gt;/subscriptions</w:t>
      </w:r>
    </w:p>
    <w:p w14:paraId="32AEC00A" w14:textId="77777777" w:rsidR="009E3903" w:rsidRDefault="009E3903" w:rsidP="009E3903">
      <w:pPr>
        <w:rPr>
          <w:rFonts w:ascii="Arial" w:hAnsi="Arial" w:cs="Arial"/>
        </w:rPr>
      </w:pPr>
      <w:r>
        <w:t>This resource shall support the resource URI variables defined in table 5.10.3.2.2-1</w:t>
      </w:r>
      <w:r>
        <w:rPr>
          <w:rFonts w:ascii="Arial" w:hAnsi="Arial" w:cs="Arial"/>
        </w:rPr>
        <w:t>.</w:t>
      </w:r>
    </w:p>
    <w:p w14:paraId="750A17D2"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5.10.3.2.2-1: Resource URI variables for this resource</w:t>
      </w:r>
    </w:p>
    <w:tbl>
      <w:tblPr>
        <w:tblW w:w="4850"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043"/>
        <w:gridCol w:w="1188"/>
        <w:gridCol w:w="7105"/>
      </w:tblGrid>
      <w:tr w:rsidR="009E3903" w14:paraId="6FA0475D" w14:textId="77777777" w:rsidTr="00902260">
        <w:trPr>
          <w:jc w:val="center"/>
        </w:trPr>
        <w:tc>
          <w:tcPr>
            <w:tcW w:w="559" w:type="pct"/>
            <w:shd w:val="clear" w:color="000000" w:fill="C0C0C0"/>
          </w:tcPr>
          <w:p w14:paraId="1F40CB7A" w14:textId="77777777" w:rsidR="009E3903" w:rsidRDefault="009E3903" w:rsidP="00902260">
            <w:pPr>
              <w:pStyle w:val="TAH"/>
            </w:pPr>
            <w:r>
              <w:t>Name</w:t>
            </w:r>
          </w:p>
        </w:tc>
        <w:tc>
          <w:tcPr>
            <w:tcW w:w="636" w:type="pct"/>
            <w:shd w:val="clear" w:color="000000" w:fill="C0C0C0"/>
          </w:tcPr>
          <w:p w14:paraId="13CAC849" w14:textId="77777777" w:rsidR="009E3903" w:rsidRDefault="009E3903" w:rsidP="00902260">
            <w:pPr>
              <w:pStyle w:val="TAH"/>
            </w:pPr>
            <w:r>
              <w:rPr>
                <w:rFonts w:hint="eastAsia"/>
                <w:lang w:eastAsia="zh-CN"/>
              </w:rPr>
              <w:t>D</w:t>
            </w:r>
            <w:r>
              <w:rPr>
                <w:lang w:eastAsia="zh-CN"/>
              </w:rPr>
              <w:t>ata type</w:t>
            </w:r>
          </w:p>
        </w:tc>
        <w:tc>
          <w:tcPr>
            <w:tcW w:w="3805" w:type="pct"/>
            <w:shd w:val="clear" w:color="000000" w:fill="C0C0C0"/>
            <w:vAlign w:val="center"/>
          </w:tcPr>
          <w:p w14:paraId="65725E80" w14:textId="77777777" w:rsidR="009E3903" w:rsidRDefault="009E3903" w:rsidP="00902260">
            <w:pPr>
              <w:pStyle w:val="TAH"/>
            </w:pPr>
            <w:r>
              <w:t>Definition</w:t>
            </w:r>
          </w:p>
        </w:tc>
      </w:tr>
      <w:tr w:rsidR="009E3903" w14:paraId="78FB01D6" w14:textId="77777777" w:rsidTr="00902260">
        <w:trPr>
          <w:jc w:val="center"/>
        </w:trPr>
        <w:tc>
          <w:tcPr>
            <w:tcW w:w="559" w:type="pct"/>
          </w:tcPr>
          <w:p w14:paraId="72DEA614" w14:textId="77777777" w:rsidR="009E3903" w:rsidRDefault="009E3903" w:rsidP="00902260">
            <w:pPr>
              <w:pStyle w:val="TAL"/>
            </w:pPr>
            <w:r>
              <w:t>apiRoot</w:t>
            </w:r>
          </w:p>
        </w:tc>
        <w:tc>
          <w:tcPr>
            <w:tcW w:w="636" w:type="pct"/>
          </w:tcPr>
          <w:p w14:paraId="629651AA" w14:textId="77777777" w:rsidR="009E3903" w:rsidRDefault="009E3903" w:rsidP="00902260">
            <w:pPr>
              <w:pStyle w:val="TAL"/>
            </w:pPr>
            <w:r>
              <w:t>string</w:t>
            </w:r>
          </w:p>
        </w:tc>
        <w:tc>
          <w:tcPr>
            <w:tcW w:w="3805" w:type="pct"/>
            <w:vAlign w:val="center"/>
          </w:tcPr>
          <w:p w14:paraId="3BC7BF19" w14:textId="77777777" w:rsidR="009E3903" w:rsidRDefault="009E3903" w:rsidP="00902260">
            <w:pPr>
              <w:pStyle w:val="TAL"/>
            </w:pPr>
            <w:r>
              <w:t>See clause</w:t>
            </w:r>
            <w:r>
              <w:rPr>
                <w:lang w:val="en-US" w:eastAsia="zh-CN"/>
              </w:rPr>
              <w:t> </w:t>
            </w:r>
            <w:r>
              <w:t>5.10.1</w:t>
            </w:r>
          </w:p>
        </w:tc>
      </w:tr>
    </w:tbl>
    <w:p w14:paraId="50827430" w14:textId="77777777" w:rsidR="009E3903" w:rsidRDefault="009E3903" w:rsidP="009E3903"/>
    <w:p w14:paraId="37B0429C" w14:textId="77777777" w:rsidR="009E3903" w:rsidRDefault="009E3903" w:rsidP="009E3903">
      <w:pPr>
        <w:pStyle w:val="5"/>
      </w:pPr>
      <w:bookmarkStart w:id="17019" w:name="_Toc199453474"/>
      <w:r>
        <w:t>5.10.3.2.3</w:t>
      </w:r>
      <w:r>
        <w:tab/>
        <w:t>Resource Standard Methods</w:t>
      </w:r>
      <w:bookmarkEnd w:id="17019"/>
    </w:p>
    <w:p w14:paraId="7FF82718" w14:textId="77777777" w:rsidR="009E3903" w:rsidRDefault="009E3903" w:rsidP="009E3903">
      <w:pPr>
        <w:pStyle w:val="6"/>
      </w:pPr>
      <w:bookmarkStart w:id="17020" w:name="_Toc199453475"/>
      <w:r>
        <w:t>5.10.3.2.3.1</w:t>
      </w:r>
      <w:r>
        <w:tab/>
        <w:t>POST</w:t>
      </w:r>
      <w:bookmarkEnd w:id="17020"/>
    </w:p>
    <w:p w14:paraId="6E00CE69" w14:textId="77777777" w:rsidR="009E3903" w:rsidRDefault="009E3903" w:rsidP="009E3903">
      <w:r>
        <w:t>This method shall support the URI query parameters specified in table 5.10.3.2.3.1-1.</w:t>
      </w:r>
    </w:p>
    <w:p w14:paraId="2FFB7460"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lastRenderedPageBreak/>
        <w:t>Table 5.10.3.2.3.1-1: URI query parameters supported by the POST method on this resource</w:t>
      </w:r>
    </w:p>
    <w:tbl>
      <w:tblPr>
        <w:tblW w:w="4925"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683"/>
        <w:gridCol w:w="1367"/>
        <w:gridCol w:w="406"/>
        <w:gridCol w:w="1085"/>
        <w:gridCol w:w="4940"/>
      </w:tblGrid>
      <w:tr w:rsidR="009E3903" w14:paraId="2E83A823" w14:textId="77777777" w:rsidTr="00902260">
        <w:trPr>
          <w:jc w:val="center"/>
        </w:trPr>
        <w:tc>
          <w:tcPr>
            <w:tcW w:w="888" w:type="pct"/>
            <w:tcBorders>
              <w:bottom w:val="single" w:sz="6" w:space="0" w:color="auto"/>
            </w:tcBorders>
            <w:shd w:val="clear" w:color="auto" w:fill="C0C0C0"/>
          </w:tcPr>
          <w:p w14:paraId="5CAC65CF" w14:textId="77777777" w:rsidR="009E3903" w:rsidRDefault="009E3903" w:rsidP="00902260">
            <w:pPr>
              <w:pStyle w:val="TAH"/>
            </w:pPr>
            <w:r>
              <w:t>Name</w:t>
            </w:r>
          </w:p>
        </w:tc>
        <w:tc>
          <w:tcPr>
            <w:tcW w:w="721" w:type="pct"/>
            <w:tcBorders>
              <w:bottom w:val="single" w:sz="6" w:space="0" w:color="auto"/>
            </w:tcBorders>
            <w:shd w:val="clear" w:color="auto" w:fill="C0C0C0"/>
          </w:tcPr>
          <w:p w14:paraId="5CCA955B" w14:textId="77777777" w:rsidR="009E3903" w:rsidRDefault="009E3903" w:rsidP="00902260">
            <w:pPr>
              <w:pStyle w:val="TAH"/>
            </w:pPr>
            <w:r>
              <w:t>Data type</w:t>
            </w:r>
          </w:p>
        </w:tc>
        <w:tc>
          <w:tcPr>
            <w:tcW w:w="214" w:type="pct"/>
            <w:tcBorders>
              <w:bottom w:val="single" w:sz="6" w:space="0" w:color="auto"/>
            </w:tcBorders>
            <w:shd w:val="clear" w:color="auto" w:fill="C0C0C0"/>
          </w:tcPr>
          <w:p w14:paraId="62D0B81F" w14:textId="77777777" w:rsidR="009E3903" w:rsidRDefault="009E3903" w:rsidP="00902260">
            <w:pPr>
              <w:pStyle w:val="TAH"/>
            </w:pPr>
            <w:r>
              <w:t>P</w:t>
            </w:r>
          </w:p>
        </w:tc>
        <w:tc>
          <w:tcPr>
            <w:tcW w:w="572" w:type="pct"/>
            <w:tcBorders>
              <w:bottom w:val="single" w:sz="6" w:space="0" w:color="auto"/>
            </w:tcBorders>
            <w:shd w:val="clear" w:color="auto" w:fill="C0C0C0"/>
          </w:tcPr>
          <w:p w14:paraId="7C3464F6" w14:textId="77777777" w:rsidR="009E3903" w:rsidRDefault="009E3903" w:rsidP="00902260">
            <w:pPr>
              <w:pStyle w:val="TAH"/>
            </w:pPr>
            <w:r>
              <w:t>Cardinality</w:t>
            </w:r>
          </w:p>
        </w:tc>
        <w:tc>
          <w:tcPr>
            <w:tcW w:w="2605" w:type="pct"/>
            <w:tcBorders>
              <w:bottom w:val="single" w:sz="6" w:space="0" w:color="auto"/>
            </w:tcBorders>
            <w:shd w:val="clear" w:color="auto" w:fill="C0C0C0"/>
            <w:vAlign w:val="center"/>
          </w:tcPr>
          <w:p w14:paraId="01121A32" w14:textId="77777777" w:rsidR="009E3903" w:rsidRDefault="009E3903" w:rsidP="00902260">
            <w:pPr>
              <w:pStyle w:val="TAH"/>
            </w:pPr>
            <w:r>
              <w:t>Description</w:t>
            </w:r>
          </w:p>
        </w:tc>
      </w:tr>
      <w:tr w:rsidR="009E3903" w14:paraId="3229BF7A" w14:textId="77777777" w:rsidTr="00902260">
        <w:trPr>
          <w:jc w:val="center"/>
        </w:trPr>
        <w:tc>
          <w:tcPr>
            <w:tcW w:w="888" w:type="pct"/>
            <w:tcBorders>
              <w:top w:val="single" w:sz="6" w:space="0" w:color="auto"/>
            </w:tcBorders>
          </w:tcPr>
          <w:p w14:paraId="0BD6147F" w14:textId="77777777" w:rsidR="009E3903" w:rsidRDefault="009E3903" w:rsidP="00902260">
            <w:pPr>
              <w:pStyle w:val="TAL"/>
            </w:pPr>
            <w:r>
              <w:t>n/a</w:t>
            </w:r>
          </w:p>
        </w:tc>
        <w:tc>
          <w:tcPr>
            <w:tcW w:w="721" w:type="pct"/>
            <w:tcBorders>
              <w:top w:val="single" w:sz="6" w:space="0" w:color="auto"/>
            </w:tcBorders>
          </w:tcPr>
          <w:p w14:paraId="2EDCF995" w14:textId="77777777" w:rsidR="009E3903" w:rsidRDefault="009E3903" w:rsidP="00902260">
            <w:pPr>
              <w:pStyle w:val="TAL"/>
            </w:pPr>
          </w:p>
        </w:tc>
        <w:tc>
          <w:tcPr>
            <w:tcW w:w="214" w:type="pct"/>
            <w:tcBorders>
              <w:top w:val="single" w:sz="6" w:space="0" w:color="auto"/>
            </w:tcBorders>
          </w:tcPr>
          <w:p w14:paraId="6E5F961D" w14:textId="77777777" w:rsidR="009E3903" w:rsidRDefault="009E3903" w:rsidP="00902260">
            <w:pPr>
              <w:pStyle w:val="TAC"/>
            </w:pPr>
          </w:p>
        </w:tc>
        <w:tc>
          <w:tcPr>
            <w:tcW w:w="572" w:type="pct"/>
            <w:tcBorders>
              <w:top w:val="single" w:sz="6" w:space="0" w:color="auto"/>
            </w:tcBorders>
          </w:tcPr>
          <w:p w14:paraId="640EDBF1" w14:textId="77777777" w:rsidR="009E3903" w:rsidRDefault="009E3903" w:rsidP="00902260">
            <w:pPr>
              <w:pStyle w:val="TAL"/>
            </w:pPr>
          </w:p>
        </w:tc>
        <w:tc>
          <w:tcPr>
            <w:tcW w:w="2605" w:type="pct"/>
            <w:tcBorders>
              <w:top w:val="single" w:sz="6" w:space="0" w:color="auto"/>
            </w:tcBorders>
            <w:vAlign w:val="center"/>
          </w:tcPr>
          <w:p w14:paraId="2918A975" w14:textId="77777777" w:rsidR="009E3903" w:rsidRDefault="009E3903" w:rsidP="00902260">
            <w:pPr>
              <w:pStyle w:val="TAL"/>
            </w:pPr>
          </w:p>
        </w:tc>
      </w:tr>
    </w:tbl>
    <w:p w14:paraId="06A37A39" w14:textId="77777777" w:rsidR="009E3903" w:rsidRDefault="009E3903" w:rsidP="009E3903"/>
    <w:p w14:paraId="48949A73" w14:textId="77777777" w:rsidR="009E3903" w:rsidRDefault="009E3903" w:rsidP="009E3903">
      <w:r>
        <w:t>This method shall support the request data structures specified in table 5.10.3.2.3.1-2 and the response data structures and response codes specified in table 5.10.3.2.3.1-3.</w:t>
      </w:r>
    </w:p>
    <w:p w14:paraId="07F5FB08"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5.10.3.2.3.1-2: Data structures supported by the POST Request Body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5"/>
        <w:gridCol w:w="283"/>
        <w:gridCol w:w="1276"/>
        <w:gridCol w:w="5802"/>
      </w:tblGrid>
      <w:tr w:rsidR="009E3903" w14:paraId="35739A4B" w14:textId="77777777" w:rsidTr="00902260">
        <w:trPr>
          <w:jc w:val="center"/>
        </w:trPr>
        <w:tc>
          <w:tcPr>
            <w:tcW w:w="1975" w:type="dxa"/>
            <w:tcBorders>
              <w:bottom w:val="single" w:sz="6" w:space="0" w:color="auto"/>
            </w:tcBorders>
            <w:shd w:val="clear" w:color="auto" w:fill="C0C0C0"/>
          </w:tcPr>
          <w:p w14:paraId="02AC1FCD" w14:textId="77777777" w:rsidR="009E3903" w:rsidRDefault="009E3903" w:rsidP="00902260">
            <w:pPr>
              <w:pStyle w:val="TAH"/>
            </w:pPr>
            <w:r>
              <w:t>Data type</w:t>
            </w:r>
          </w:p>
        </w:tc>
        <w:tc>
          <w:tcPr>
            <w:tcW w:w="283" w:type="dxa"/>
            <w:tcBorders>
              <w:bottom w:val="single" w:sz="6" w:space="0" w:color="auto"/>
            </w:tcBorders>
            <w:shd w:val="clear" w:color="auto" w:fill="C0C0C0"/>
          </w:tcPr>
          <w:p w14:paraId="204CB04D" w14:textId="77777777" w:rsidR="009E3903" w:rsidRDefault="009E3903" w:rsidP="00902260">
            <w:pPr>
              <w:pStyle w:val="TAH"/>
            </w:pPr>
            <w:r>
              <w:t>P</w:t>
            </w:r>
          </w:p>
        </w:tc>
        <w:tc>
          <w:tcPr>
            <w:tcW w:w="1276" w:type="dxa"/>
            <w:tcBorders>
              <w:bottom w:val="single" w:sz="6" w:space="0" w:color="auto"/>
            </w:tcBorders>
            <w:shd w:val="clear" w:color="auto" w:fill="C0C0C0"/>
          </w:tcPr>
          <w:p w14:paraId="39142FA0" w14:textId="77777777" w:rsidR="009E3903" w:rsidRDefault="009E3903" w:rsidP="00902260">
            <w:pPr>
              <w:pStyle w:val="TAH"/>
            </w:pPr>
            <w:r>
              <w:t>Cardinality</w:t>
            </w:r>
          </w:p>
        </w:tc>
        <w:tc>
          <w:tcPr>
            <w:tcW w:w="5802" w:type="dxa"/>
            <w:tcBorders>
              <w:bottom w:val="single" w:sz="6" w:space="0" w:color="auto"/>
            </w:tcBorders>
            <w:shd w:val="clear" w:color="auto" w:fill="C0C0C0"/>
            <w:vAlign w:val="center"/>
          </w:tcPr>
          <w:p w14:paraId="5673D9B3" w14:textId="77777777" w:rsidR="009E3903" w:rsidRDefault="009E3903" w:rsidP="00902260">
            <w:pPr>
              <w:pStyle w:val="TAH"/>
            </w:pPr>
            <w:r>
              <w:t>Description</w:t>
            </w:r>
          </w:p>
        </w:tc>
      </w:tr>
      <w:tr w:rsidR="009E3903" w14:paraId="01C76B08" w14:textId="77777777" w:rsidTr="00902260">
        <w:trPr>
          <w:jc w:val="center"/>
        </w:trPr>
        <w:tc>
          <w:tcPr>
            <w:tcW w:w="1975" w:type="dxa"/>
            <w:tcBorders>
              <w:top w:val="single" w:sz="6" w:space="0" w:color="auto"/>
            </w:tcBorders>
          </w:tcPr>
          <w:p w14:paraId="2EF30929" w14:textId="77777777" w:rsidR="009E3903" w:rsidRDefault="009E3903" w:rsidP="00902260">
            <w:pPr>
              <w:pStyle w:val="TAL"/>
            </w:pPr>
            <w:r>
              <w:rPr>
                <w:rFonts w:eastAsia="等线"/>
              </w:rPr>
              <w:t>VflInferSub</w:t>
            </w:r>
          </w:p>
        </w:tc>
        <w:tc>
          <w:tcPr>
            <w:tcW w:w="283" w:type="dxa"/>
            <w:tcBorders>
              <w:top w:val="single" w:sz="6" w:space="0" w:color="auto"/>
            </w:tcBorders>
          </w:tcPr>
          <w:p w14:paraId="3CB34289" w14:textId="77777777" w:rsidR="009E3903" w:rsidRDefault="009E3903" w:rsidP="00902260">
            <w:pPr>
              <w:pStyle w:val="TAC"/>
            </w:pPr>
            <w:r>
              <w:t>M</w:t>
            </w:r>
          </w:p>
        </w:tc>
        <w:tc>
          <w:tcPr>
            <w:tcW w:w="1276" w:type="dxa"/>
            <w:tcBorders>
              <w:top w:val="single" w:sz="6" w:space="0" w:color="auto"/>
            </w:tcBorders>
          </w:tcPr>
          <w:p w14:paraId="440C570A" w14:textId="77777777" w:rsidR="009E3903" w:rsidRDefault="009E3903" w:rsidP="00902260">
            <w:pPr>
              <w:pStyle w:val="TAL"/>
            </w:pPr>
            <w:r>
              <w:t>1</w:t>
            </w:r>
          </w:p>
        </w:tc>
        <w:tc>
          <w:tcPr>
            <w:tcW w:w="5802" w:type="dxa"/>
            <w:tcBorders>
              <w:top w:val="single" w:sz="6" w:space="0" w:color="auto"/>
            </w:tcBorders>
          </w:tcPr>
          <w:p w14:paraId="2873E93C" w14:textId="77777777" w:rsidR="009E3903" w:rsidRDefault="009E3903" w:rsidP="00902260">
            <w:pPr>
              <w:pStyle w:val="TAL"/>
            </w:pPr>
            <w:r>
              <w:t>Creates a new Individual NWDAF VFL Inference Subscription resource.</w:t>
            </w:r>
          </w:p>
        </w:tc>
      </w:tr>
    </w:tbl>
    <w:p w14:paraId="5A61C947" w14:textId="77777777" w:rsidR="009E3903" w:rsidRDefault="009E3903" w:rsidP="009E3903"/>
    <w:p w14:paraId="74738B8C" w14:textId="77777777" w:rsidR="009E3903" w:rsidRPr="00B1632D" w:rsidRDefault="009E3903" w:rsidP="009E3903">
      <w:pPr>
        <w:keepNext/>
        <w:keepLines/>
        <w:overflowPunct w:val="0"/>
        <w:autoSpaceDE w:val="0"/>
        <w:autoSpaceDN w:val="0"/>
        <w:adjustRightInd w:val="0"/>
        <w:spacing w:before="60"/>
        <w:jc w:val="center"/>
        <w:textAlignment w:val="baseline"/>
        <w:rPr>
          <w:rFonts w:ascii="Arial" w:eastAsia="MS Mincho" w:hAnsi="Arial"/>
          <w:b/>
        </w:rPr>
      </w:pPr>
      <w:r w:rsidRPr="00B1632D">
        <w:rPr>
          <w:rFonts w:ascii="Arial" w:eastAsia="MS Mincho" w:hAnsi="Arial"/>
          <w:b/>
        </w:rPr>
        <w:t>Table </w:t>
      </w:r>
      <w:r>
        <w:rPr>
          <w:rFonts w:ascii="Arial" w:eastAsia="MS Mincho" w:hAnsi="Arial"/>
          <w:b/>
        </w:rPr>
        <w:t>5.10</w:t>
      </w:r>
      <w:r w:rsidRPr="00B1632D">
        <w:rPr>
          <w:rFonts w:ascii="Arial" w:eastAsia="MS Mincho" w:hAnsi="Arial"/>
          <w:b/>
        </w:rPr>
        <w:t>.3.2.3.1-3: Data structures supported by the POST Response Body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956"/>
        <w:gridCol w:w="407"/>
        <w:gridCol w:w="1067"/>
        <w:gridCol w:w="1615"/>
        <w:gridCol w:w="4291"/>
      </w:tblGrid>
      <w:tr w:rsidR="00253BF3" w:rsidRPr="00B1632D" w14:paraId="547E545E" w14:textId="77777777" w:rsidTr="00253BF3">
        <w:trPr>
          <w:jc w:val="center"/>
        </w:trPr>
        <w:tc>
          <w:tcPr>
            <w:tcW w:w="1048" w:type="pct"/>
            <w:tcBorders>
              <w:bottom w:val="single" w:sz="6" w:space="0" w:color="auto"/>
            </w:tcBorders>
            <w:shd w:val="clear" w:color="auto" w:fill="C0C0C0"/>
          </w:tcPr>
          <w:p w14:paraId="0FBD7A24"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18" w:type="pct"/>
            <w:tcBorders>
              <w:bottom w:val="single" w:sz="6" w:space="0" w:color="auto"/>
            </w:tcBorders>
            <w:shd w:val="clear" w:color="auto" w:fill="C0C0C0"/>
          </w:tcPr>
          <w:p w14:paraId="7303695A"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571" w:type="pct"/>
            <w:tcBorders>
              <w:bottom w:val="single" w:sz="6" w:space="0" w:color="auto"/>
            </w:tcBorders>
            <w:shd w:val="clear" w:color="auto" w:fill="C0C0C0"/>
          </w:tcPr>
          <w:p w14:paraId="64ED9D5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865" w:type="pct"/>
            <w:tcBorders>
              <w:bottom w:val="single" w:sz="6" w:space="0" w:color="auto"/>
            </w:tcBorders>
            <w:shd w:val="clear" w:color="auto" w:fill="C0C0C0"/>
          </w:tcPr>
          <w:p w14:paraId="0AB96E45"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w:t>
            </w:r>
          </w:p>
          <w:p w14:paraId="06C7FCE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codes</w:t>
            </w:r>
          </w:p>
        </w:tc>
        <w:tc>
          <w:tcPr>
            <w:tcW w:w="2298" w:type="pct"/>
            <w:tcBorders>
              <w:bottom w:val="single" w:sz="6" w:space="0" w:color="auto"/>
            </w:tcBorders>
            <w:shd w:val="clear" w:color="auto" w:fill="C0C0C0"/>
          </w:tcPr>
          <w:p w14:paraId="413CCC81"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4DD367C0" w14:textId="77777777" w:rsidTr="00253BF3">
        <w:trPr>
          <w:jc w:val="center"/>
        </w:trPr>
        <w:tc>
          <w:tcPr>
            <w:tcW w:w="1048" w:type="pct"/>
            <w:tcBorders>
              <w:top w:val="single" w:sz="6" w:space="0" w:color="auto"/>
            </w:tcBorders>
          </w:tcPr>
          <w:p w14:paraId="0D777C62" w14:textId="77777777" w:rsidR="009E3903" w:rsidRPr="00B1632D" w:rsidRDefault="009E3903" w:rsidP="00902260">
            <w:pPr>
              <w:keepNext/>
              <w:keepLines/>
              <w:spacing w:after="0"/>
              <w:rPr>
                <w:rFonts w:ascii="Arial" w:hAnsi="Arial"/>
                <w:sz w:val="18"/>
              </w:rPr>
            </w:pPr>
            <w:r>
              <w:rPr>
                <w:rFonts w:ascii="Arial" w:eastAsia="等线" w:hAnsi="Arial"/>
                <w:sz w:val="18"/>
              </w:rPr>
              <w:t>VflInferSub</w:t>
            </w:r>
          </w:p>
        </w:tc>
        <w:tc>
          <w:tcPr>
            <w:tcW w:w="218" w:type="pct"/>
            <w:tcBorders>
              <w:top w:val="single" w:sz="6" w:space="0" w:color="auto"/>
            </w:tcBorders>
          </w:tcPr>
          <w:p w14:paraId="3BEB7419" w14:textId="77777777" w:rsidR="009E3903" w:rsidRPr="00B1632D" w:rsidRDefault="009E3903" w:rsidP="00902260">
            <w:pPr>
              <w:keepNext/>
              <w:keepLines/>
              <w:spacing w:after="0"/>
              <w:jc w:val="center"/>
              <w:rPr>
                <w:rFonts w:ascii="Arial" w:hAnsi="Arial"/>
                <w:sz w:val="18"/>
              </w:rPr>
            </w:pPr>
            <w:r w:rsidRPr="00B1632D">
              <w:rPr>
                <w:rFonts w:ascii="Arial" w:hAnsi="Arial"/>
                <w:sz w:val="18"/>
              </w:rPr>
              <w:t>M</w:t>
            </w:r>
          </w:p>
        </w:tc>
        <w:tc>
          <w:tcPr>
            <w:tcW w:w="571" w:type="pct"/>
            <w:tcBorders>
              <w:top w:val="single" w:sz="6" w:space="0" w:color="auto"/>
            </w:tcBorders>
          </w:tcPr>
          <w:p w14:paraId="52D1BB46" w14:textId="77777777" w:rsidR="009E3903" w:rsidRPr="00B1632D" w:rsidRDefault="009E3903" w:rsidP="00902260">
            <w:pPr>
              <w:keepNext/>
              <w:keepLines/>
              <w:spacing w:after="0"/>
              <w:rPr>
                <w:rFonts w:ascii="Arial" w:hAnsi="Arial"/>
                <w:sz w:val="18"/>
              </w:rPr>
            </w:pPr>
            <w:r w:rsidRPr="00B1632D">
              <w:rPr>
                <w:rFonts w:ascii="Arial" w:hAnsi="Arial"/>
                <w:sz w:val="18"/>
              </w:rPr>
              <w:t>1</w:t>
            </w:r>
          </w:p>
        </w:tc>
        <w:tc>
          <w:tcPr>
            <w:tcW w:w="865" w:type="pct"/>
            <w:tcBorders>
              <w:top w:val="single" w:sz="6" w:space="0" w:color="auto"/>
            </w:tcBorders>
          </w:tcPr>
          <w:p w14:paraId="530A3E40" w14:textId="77777777" w:rsidR="009E3903" w:rsidRPr="00B1632D" w:rsidRDefault="009E3903" w:rsidP="00902260">
            <w:pPr>
              <w:keepNext/>
              <w:keepLines/>
              <w:spacing w:after="0"/>
              <w:rPr>
                <w:rFonts w:ascii="Arial" w:hAnsi="Arial"/>
                <w:sz w:val="18"/>
              </w:rPr>
            </w:pPr>
            <w:r w:rsidRPr="00B1632D">
              <w:rPr>
                <w:rFonts w:ascii="Arial" w:hAnsi="Arial"/>
                <w:sz w:val="18"/>
              </w:rPr>
              <w:t>201 Created</w:t>
            </w:r>
          </w:p>
        </w:tc>
        <w:tc>
          <w:tcPr>
            <w:tcW w:w="2298" w:type="pct"/>
            <w:tcBorders>
              <w:top w:val="single" w:sz="6" w:space="0" w:color="auto"/>
            </w:tcBorders>
          </w:tcPr>
          <w:p w14:paraId="4B030493"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creation of an Individual NWDAF </w:t>
            </w:r>
            <w:r>
              <w:rPr>
                <w:rFonts w:ascii="Arial" w:hAnsi="Arial"/>
                <w:sz w:val="18"/>
              </w:rPr>
              <w:t xml:space="preserve">VFL Inference </w:t>
            </w:r>
            <w:r w:rsidRPr="00B1632D">
              <w:rPr>
                <w:rFonts w:ascii="Arial" w:hAnsi="Arial"/>
                <w:sz w:val="18"/>
              </w:rPr>
              <w:t>Subscription resource is confirmed and a representation of that resource is returned.</w:t>
            </w:r>
          </w:p>
        </w:tc>
      </w:tr>
      <w:tr w:rsidR="009E3903" w:rsidRPr="00B1632D" w14:paraId="2BE36B8D" w14:textId="77777777" w:rsidTr="00902260">
        <w:tblPrEx>
          <w:tblCellMar>
            <w:right w:w="115" w:type="dxa"/>
          </w:tblCellMar>
        </w:tblPrEx>
        <w:trPr>
          <w:jc w:val="center"/>
        </w:trPr>
        <w:tc>
          <w:tcPr>
            <w:tcW w:w="5000" w:type="pct"/>
            <w:gridSpan w:val="5"/>
          </w:tcPr>
          <w:p w14:paraId="423FFD41" w14:textId="77777777" w:rsidR="009E3903" w:rsidRPr="00B1632D" w:rsidRDefault="009E3903" w:rsidP="00902260">
            <w:pPr>
              <w:keepNext/>
              <w:keepLines/>
              <w:spacing w:after="0"/>
              <w:ind w:left="851" w:hanging="851"/>
              <w:rPr>
                <w:rFonts w:ascii="Arial" w:hAnsi="Arial"/>
                <w:sz w:val="18"/>
                <w:lang w:eastAsia="en-GB"/>
              </w:rPr>
            </w:pPr>
            <w:r w:rsidRPr="00B1632D">
              <w:rPr>
                <w:rFonts w:ascii="Arial" w:hAnsi="Arial"/>
                <w:sz w:val="18"/>
              </w:rPr>
              <w:t>NOTE 1:</w:t>
            </w:r>
            <w:r w:rsidRPr="00B1632D">
              <w:rPr>
                <w:rFonts w:ascii="Arial" w:hAnsi="Arial"/>
                <w:sz w:val="18"/>
                <w:lang w:eastAsia="en-GB"/>
              </w:rPr>
              <w:tab/>
              <w:t xml:space="preserve">The mandatory </w:t>
            </w:r>
            <w:r w:rsidRPr="00B1632D">
              <w:rPr>
                <w:rFonts w:ascii="Arial" w:hAnsi="Arial"/>
                <w:sz w:val="18"/>
              </w:rPr>
              <w:t>HTTP error status codes for the POST method listed in table 5.2.7.1-1 of 3GPP TS 29.500 [6] also apply.</w:t>
            </w:r>
          </w:p>
        </w:tc>
      </w:tr>
    </w:tbl>
    <w:p w14:paraId="4EA1B7E5" w14:textId="77777777" w:rsidR="009E3903" w:rsidRPr="00B1632D" w:rsidRDefault="009E3903" w:rsidP="009E3903"/>
    <w:p w14:paraId="2D18A475" w14:textId="77777777" w:rsidR="009E3903" w:rsidRDefault="009E3903" w:rsidP="009E3903">
      <w:pPr>
        <w:pStyle w:val="TH"/>
      </w:pPr>
      <w:r>
        <w:t>Table</w:t>
      </w:r>
      <w:r>
        <w:rPr>
          <w:lang w:val="en-US"/>
        </w:rPr>
        <w:t> </w:t>
      </w:r>
      <w:r>
        <w:rPr>
          <w:rFonts w:eastAsia="MS Mincho"/>
        </w:rPr>
        <w:t>5.10.3.2.3.1</w:t>
      </w:r>
      <w:r>
        <w:t xml:space="preserve">-4: Headers supported by the 201 Response Code on this resource </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78"/>
        <w:gridCol w:w="1515"/>
        <w:gridCol w:w="417"/>
        <w:gridCol w:w="1240"/>
        <w:gridCol w:w="4386"/>
      </w:tblGrid>
      <w:tr w:rsidR="009E3903" w14:paraId="11DF458C" w14:textId="77777777" w:rsidTr="00902260">
        <w:trPr>
          <w:jc w:val="center"/>
        </w:trPr>
        <w:tc>
          <w:tcPr>
            <w:tcW w:w="1832" w:type="dxa"/>
            <w:tcBorders>
              <w:bottom w:val="single" w:sz="6" w:space="0" w:color="auto"/>
            </w:tcBorders>
            <w:shd w:val="clear" w:color="auto" w:fill="C0C0C0"/>
          </w:tcPr>
          <w:p w14:paraId="2569F54C" w14:textId="77777777" w:rsidR="009E3903" w:rsidRDefault="009E3903" w:rsidP="00902260">
            <w:pPr>
              <w:pStyle w:val="TAH"/>
            </w:pPr>
            <w:r>
              <w:t>Name</w:t>
            </w:r>
          </w:p>
        </w:tc>
        <w:tc>
          <w:tcPr>
            <w:tcW w:w="1559" w:type="dxa"/>
            <w:tcBorders>
              <w:bottom w:val="single" w:sz="6" w:space="0" w:color="auto"/>
            </w:tcBorders>
            <w:shd w:val="clear" w:color="auto" w:fill="C0C0C0"/>
          </w:tcPr>
          <w:p w14:paraId="6CF42173" w14:textId="77777777" w:rsidR="009E3903" w:rsidRDefault="009E3903" w:rsidP="00902260">
            <w:pPr>
              <w:pStyle w:val="TAH"/>
            </w:pPr>
            <w:r>
              <w:t>Data type</w:t>
            </w:r>
          </w:p>
        </w:tc>
        <w:tc>
          <w:tcPr>
            <w:tcW w:w="426" w:type="dxa"/>
            <w:tcBorders>
              <w:bottom w:val="single" w:sz="6" w:space="0" w:color="auto"/>
            </w:tcBorders>
            <w:shd w:val="clear" w:color="auto" w:fill="C0C0C0"/>
          </w:tcPr>
          <w:p w14:paraId="6CB4257F" w14:textId="77777777" w:rsidR="009E3903" w:rsidRDefault="009E3903" w:rsidP="00902260">
            <w:pPr>
              <w:pStyle w:val="TAH"/>
            </w:pPr>
            <w:r>
              <w:t>P</w:t>
            </w:r>
          </w:p>
        </w:tc>
        <w:tc>
          <w:tcPr>
            <w:tcW w:w="1275" w:type="dxa"/>
            <w:tcBorders>
              <w:bottom w:val="single" w:sz="6" w:space="0" w:color="auto"/>
            </w:tcBorders>
            <w:shd w:val="clear" w:color="auto" w:fill="C0C0C0"/>
          </w:tcPr>
          <w:p w14:paraId="560F688E" w14:textId="77777777" w:rsidR="009E3903" w:rsidRDefault="009E3903" w:rsidP="00902260">
            <w:pPr>
              <w:pStyle w:val="TAH"/>
            </w:pPr>
            <w:r>
              <w:t>Cardinality</w:t>
            </w:r>
          </w:p>
        </w:tc>
        <w:tc>
          <w:tcPr>
            <w:tcW w:w="4524" w:type="dxa"/>
            <w:tcBorders>
              <w:bottom w:val="single" w:sz="6" w:space="0" w:color="auto"/>
            </w:tcBorders>
            <w:shd w:val="clear" w:color="auto" w:fill="C0C0C0"/>
            <w:vAlign w:val="center"/>
          </w:tcPr>
          <w:p w14:paraId="282AED53" w14:textId="77777777" w:rsidR="009E3903" w:rsidRDefault="009E3903" w:rsidP="00902260">
            <w:pPr>
              <w:pStyle w:val="TAH"/>
            </w:pPr>
            <w:r>
              <w:t>Description</w:t>
            </w:r>
          </w:p>
        </w:tc>
      </w:tr>
      <w:tr w:rsidR="009E3903" w14:paraId="4E2D1659" w14:textId="77777777" w:rsidTr="00902260">
        <w:trPr>
          <w:jc w:val="center"/>
        </w:trPr>
        <w:tc>
          <w:tcPr>
            <w:tcW w:w="1832" w:type="dxa"/>
            <w:tcBorders>
              <w:top w:val="single" w:sz="6" w:space="0" w:color="auto"/>
            </w:tcBorders>
          </w:tcPr>
          <w:p w14:paraId="3D7BCEC5" w14:textId="77777777" w:rsidR="009E3903" w:rsidRDefault="009E3903" w:rsidP="00902260">
            <w:pPr>
              <w:pStyle w:val="TAL"/>
            </w:pPr>
            <w:r>
              <w:t>Location</w:t>
            </w:r>
          </w:p>
        </w:tc>
        <w:tc>
          <w:tcPr>
            <w:tcW w:w="1559" w:type="dxa"/>
            <w:tcBorders>
              <w:top w:val="single" w:sz="6" w:space="0" w:color="auto"/>
            </w:tcBorders>
          </w:tcPr>
          <w:p w14:paraId="51B83D46" w14:textId="77777777" w:rsidR="009E3903" w:rsidRDefault="009E3903" w:rsidP="00902260">
            <w:pPr>
              <w:pStyle w:val="TAL"/>
            </w:pPr>
            <w:r>
              <w:t>string</w:t>
            </w:r>
          </w:p>
        </w:tc>
        <w:tc>
          <w:tcPr>
            <w:tcW w:w="426" w:type="dxa"/>
            <w:tcBorders>
              <w:top w:val="single" w:sz="6" w:space="0" w:color="auto"/>
            </w:tcBorders>
          </w:tcPr>
          <w:p w14:paraId="24137AE0" w14:textId="77777777" w:rsidR="009E3903" w:rsidRDefault="009E3903" w:rsidP="00902260">
            <w:pPr>
              <w:pStyle w:val="TAC"/>
            </w:pPr>
            <w:r>
              <w:t>M</w:t>
            </w:r>
          </w:p>
        </w:tc>
        <w:tc>
          <w:tcPr>
            <w:tcW w:w="1275" w:type="dxa"/>
            <w:tcBorders>
              <w:top w:val="single" w:sz="6" w:space="0" w:color="auto"/>
            </w:tcBorders>
          </w:tcPr>
          <w:p w14:paraId="1A5DB20D" w14:textId="77777777" w:rsidR="009E3903" w:rsidRDefault="009E3903" w:rsidP="00902260">
            <w:pPr>
              <w:pStyle w:val="TAL"/>
            </w:pPr>
            <w:r>
              <w:t>1</w:t>
            </w:r>
          </w:p>
        </w:tc>
        <w:tc>
          <w:tcPr>
            <w:tcW w:w="4524" w:type="dxa"/>
            <w:tcBorders>
              <w:top w:val="single" w:sz="6" w:space="0" w:color="auto"/>
            </w:tcBorders>
            <w:vAlign w:val="center"/>
          </w:tcPr>
          <w:p w14:paraId="17846BED" w14:textId="77777777" w:rsidR="009E3903" w:rsidRDefault="009E3903" w:rsidP="00902260">
            <w:pPr>
              <w:pStyle w:val="TAL"/>
            </w:pPr>
            <w:r>
              <w:t>Contains the URI of the newly created resource, according to the structure: {apiRoot}/nnwdaf-vflinference/&lt;apiVersion&gt;/subscriptions/{subscriptionId}</w:t>
            </w:r>
          </w:p>
        </w:tc>
      </w:tr>
    </w:tbl>
    <w:p w14:paraId="32BF3777" w14:textId="77777777" w:rsidR="009E3903" w:rsidRDefault="009E3903" w:rsidP="009E3903"/>
    <w:p w14:paraId="0B0A0F78" w14:textId="77777777" w:rsidR="009E3903" w:rsidRDefault="009E3903" w:rsidP="009E3903">
      <w:pPr>
        <w:pStyle w:val="5"/>
      </w:pPr>
      <w:bookmarkStart w:id="17021" w:name="_Toc199453476"/>
      <w:r>
        <w:t>5.10.3.2.4</w:t>
      </w:r>
      <w:r>
        <w:tab/>
        <w:t>Resource Custom Operations</w:t>
      </w:r>
      <w:bookmarkEnd w:id="17021"/>
    </w:p>
    <w:p w14:paraId="1C002944" w14:textId="77777777" w:rsidR="009E3903" w:rsidRDefault="009E3903" w:rsidP="009E3903">
      <w:pPr>
        <w:rPr>
          <w:lang w:val="en-US"/>
        </w:rPr>
      </w:pPr>
      <w:r>
        <w:t>None in this release of the specification.</w:t>
      </w:r>
    </w:p>
    <w:p w14:paraId="4D3BD1CC" w14:textId="77777777" w:rsidR="009E3903" w:rsidRDefault="009E3903" w:rsidP="009E3903">
      <w:pPr>
        <w:pStyle w:val="4"/>
      </w:pPr>
      <w:bookmarkStart w:id="17022" w:name="_Toc199453477"/>
      <w:r>
        <w:t>5.10.3.3</w:t>
      </w:r>
      <w:r>
        <w:tab/>
        <w:t>Resource: Individual NWDAF VFL Inference Subscription</w:t>
      </w:r>
      <w:bookmarkEnd w:id="17022"/>
    </w:p>
    <w:p w14:paraId="0AEC4C84" w14:textId="77777777" w:rsidR="009E3903" w:rsidRDefault="009E3903" w:rsidP="009E3903">
      <w:pPr>
        <w:pStyle w:val="5"/>
      </w:pPr>
      <w:bookmarkStart w:id="17023" w:name="_Toc199453478"/>
      <w:r>
        <w:t>5.10.3.3.1</w:t>
      </w:r>
      <w:r>
        <w:tab/>
        <w:t>Description</w:t>
      </w:r>
      <w:bookmarkEnd w:id="17023"/>
    </w:p>
    <w:p w14:paraId="2640096B" w14:textId="77777777" w:rsidR="009E3903" w:rsidRDefault="009E3903" w:rsidP="009E3903">
      <w:r>
        <w:t>The Individual NWDAF VFL Inference Subscription resource represents a single VFL inference subscription to the Nnwdaf_VFLInference service at a given NWDAF.</w:t>
      </w:r>
    </w:p>
    <w:p w14:paraId="01B620D2" w14:textId="77777777" w:rsidR="009E3903" w:rsidRDefault="009E3903" w:rsidP="009E3903">
      <w:pPr>
        <w:pStyle w:val="5"/>
      </w:pPr>
      <w:bookmarkStart w:id="17024" w:name="_Toc199453479"/>
      <w:r>
        <w:t>5.10.3.3.2</w:t>
      </w:r>
      <w:r>
        <w:tab/>
        <w:t>Resource definition</w:t>
      </w:r>
      <w:bookmarkEnd w:id="17024"/>
    </w:p>
    <w:p w14:paraId="4315CEB0" w14:textId="77777777" w:rsidR="009E3903" w:rsidRDefault="009E3903" w:rsidP="009E3903">
      <w:r>
        <w:t xml:space="preserve">Resource URI: </w:t>
      </w:r>
      <w:r>
        <w:rPr>
          <w:b/>
        </w:rPr>
        <w:t>{apiRoot}/nnwdaf-vflinference/&lt;apiVersion&gt;/subscriptions/{subscriptionId}</w:t>
      </w:r>
    </w:p>
    <w:p w14:paraId="36A70AD6" w14:textId="77777777" w:rsidR="009E3903" w:rsidRDefault="009E3903" w:rsidP="009E3903">
      <w:pPr>
        <w:rPr>
          <w:lang w:val="en-US"/>
        </w:rPr>
      </w:pPr>
      <w:r>
        <w:rPr>
          <w:lang w:val="en-US"/>
        </w:rPr>
        <w:t>The &lt;apiVersion&gt; shall be set as described in clause 5.10</w:t>
      </w:r>
      <w:r>
        <w:rPr>
          <w:lang w:val="en-US" w:eastAsia="zh-CN"/>
        </w:rPr>
        <w:t>.1</w:t>
      </w:r>
      <w:r>
        <w:rPr>
          <w:lang w:val="en-US"/>
        </w:rPr>
        <w:t>.</w:t>
      </w:r>
    </w:p>
    <w:p w14:paraId="41577681" w14:textId="77777777" w:rsidR="009E3903" w:rsidRDefault="009E3903" w:rsidP="009E3903">
      <w:r>
        <w:t>This resource shall support the resource URI variables defined in table 5.10.3.3.2-1</w:t>
      </w:r>
      <w:r>
        <w:rPr>
          <w:rFonts w:ascii="Arial" w:hAnsi="Arial" w:cs="Arial"/>
        </w:rPr>
        <w:t>.</w:t>
      </w:r>
    </w:p>
    <w:p w14:paraId="536A06A2" w14:textId="77777777" w:rsidR="009E3903" w:rsidRDefault="009E3903" w:rsidP="009E3903">
      <w:pPr>
        <w:pStyle w:val="TH"/>
      </w:pPr>
      <w:r>
        <w:t>Table 5.10.3.3.2-1: Resource URI variables for this resource</w:t>
      </w:r>
    </w:p>
    <w:tbl>
      <w:tblPr>
        <w:tblW w:w="4850"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08"/>
        <w:gridCol w:w="1393"/>
        <w:gridCol w:w="6535"/>
      </w:tblGrid>
      <w:tr w:rsidR="009E3903" w14:paraId="1CA0F4C4" w14:textId="77777777" w:rsidTr="00902260">
        <w:trPr>
          <w:jc w:val="center"/>
        </w:trPr>
        <w:tc>
          <w:tcPr>
            <w:tcW w:w="754" w:type="pct"/>
            <w:shd w:val="clear" w:color="000000" w:fill="C0C0C0"/>
          </w:tcPr>
          <w:p w14:paraId="258D518A" w14:textId="77777777" w:rsidR="009E3903" w:rsidRDefault="009E3903" w:rsidP="00902260">
            <w:pPr>
              <w:pStyle w:val="TAH"/>
            </w:pPr>
            <w:r>
              <w:t>Name</w:t>
            </w:r>
          </w:p>
        </w:tc>
        <w:tc>
          <w:tcPr>
            <w:tcW w:w="746" w:type="pct"/>
            <w:shd w:val="clear" w:color="000000" w:fill="C0C0C0"/>
          </w:tcPr>
          <w:p w14:paraId="397DE90F" w14:textId="77777777" w:rsidR="009E3903" w:rsidRDefault="009E3903" w:rsidP="00902260">
            <w:pPr>
              <w:pStyle w:val="TAH"/>
            </w:pPr>
            <w:r>
              <w:rPr>
                <w:rFonts w:hint="eastAsia"/>
                <w:lang w:eastAsia="zh-CN"/>
              </w:rPr>
              <w:t>D</w:t>
            </w:r>
            <w:r>
              <w:rPr>
                <w:lang w:eastAsia="zh-CN"/>
              </w:rPr>
              <w:t>ata type</w:t>
            </w:r>
          </w:p>
        </w:tc>
        <w:tc>
          <w:tcPr>
            <w:tcW w:w="3500" w:type="pct"/>
            <w:shd w:val="clear" w:color="000000" w:fill="C0C0C0"/>
            <w:vAlign w:val="center"/>
          </w:tcPr>
          <w:p w14:paraId="2E62BAB1" w14:textId="77777777" w:rsidR="009E3903" w:rsidRDefault="009E3903" w:rsidP="00902260">
            <w:pPr>
              <w:pStyle w:val="TAH"/>
            </w:pPr>
            <w:r>
              <w:t>Definition</w:t>
            </w:r>
          </w:p>
        </w:tc>
      </w:tr>
      <w:tr w:rsidR="009E3903" w14:paraId="5FA3EC00" w14:textId="77777777" w:rsidTr="00902260">
        <w:trPr>
          <w:jc w:val="center"/>
        </w:trPr>
        <w:tc>
          <w:tcPr>
            <w:tcW w:w="754" w:type="pct"/>
          </w:tcPr>
          <w:p w14:paraId="65DABC39" w14:textId="77777777" w:rsidR="009E3903" w:rsidRDefault="009E3903" w:rsidP="00902260">
            <w:pPr>
              <w:pStyle w:val="TAL"/>
            </w:pPr>
            <w:r>
              <w:t>apiRoot</w:t>
            </w:r>
          </w:p>
        </w:tc>
        <w:tc>
          <w:tcPr>
            <w:tcW w:w="746" w:type="pct"/>
          </w:tcPr>
          <w:p w14:paraId="1373B951" w14:textId="77777777" w:rsidR="009E3903" w:rsidRDefault="009E3903" w:rsidP="00902260">
            <w:pPr>
              <w:pStyle w:val="TAL"/>
            </w:pPr>
            <w:r>
              <w:t>string</w:t>
            </w:r>
          </w:p>
        </w:tc>
        <w:tc>
          <w:tcPr>
            <w:tcW w:w="3500" w:type="pct"/>
            <w:vAlign w:val="center"/>
          </w:tcPr>
          <w:p w14:paraId="59990D66" w14:textId="77777777" w:rsidR="009E3903" w:rsidRDefault="009E3903" w:rsidP="00902260">
            <w:pPr>
              <w:pStyle w:val="TAL"/>
            </w:pPr>
            <w:r>
              <w:t>See clause</w:t>
            </w:r>
            <w:r>
              <w:rPr>
                <w:lang w:val="en-US" w:eastAsia="zh-CN"/>
              </w:rPr>
              <w:t> </w:t>
            </w:r>
            <w:r>
              <w:t>5.10.1.</w:t>
            </w:r>
          </w:p>
        </w:tc>
      </w:tr>
      <w:tr w:rsidR="009E3903" w14:paraId="1AC8D7FE" w14:textId="77777777" w:rsidTr="00902260">
        <w:trPr>
          <w:jc w:val="center"/>
        </w:trPr>
        <w:tc>
          <w:tcPr>
            <w:tcW w:w="754" w:type="pct"/>
          </w:tcPr>
          <w:p w14:paraId="2EA1B60F" w14:textId="77777777" w:rsidR="009E3903" w:rsidRDefault="009E3903" w:rsidP="00902260">
            <w:pPr>
              <w:pStyle w:val="TAL"/>
            </w:pPr>
            <w:r>
              <w:t>subscriptionId</w:t>
            </w:r>
          </w:p>
        </w:tc>
        <w:tc>
          <w:tcPr>
            <w:tcW w:w="746" w:type="pct"/>
          </w:tcPr>
          <w:p w14:paraId="0CD2332C" w14:textId="77777777" w:rsidR="009E3903" w:rsidRDefault="009E3903" w:rsidP="00902260">
            <w:pPr>
              <w:pStyle w:val="TAL"/>
              <w:rPr>
                <w:rFonts w:eastAsia="Batang"/>
              </w:rPr>
            </w:pPr>
            <w:r>
              <w:t>string</w:t>
            </w:r>
          </w:p>
        </w:tc>
        <w:tc>
          <w:tcPr>
            <w:tcW w:w="3500" w:type="pct"/>
            <w:vAlign w:val="center"/>
          </w:tcPr>
          <w:p w14:paraId="7701CAAA" w14:textId="77777777" w:rsidR="009E3903" w:rsidRDefault="009E3903" w:rsidP="00902260">
            <w:pPr>
              <w:pStyle w:val="TAL"/>
            </w:pPr>
            <w:r>
              <w:rPr>
                <w:rFonts w:eastAsia="Batang"/>
              </w:rPr>
              <w:t>Identifies a VFL inference subscription to the Nnwdaf_VFLInference service.</w:t>
            </w:r>
          </w:p>
        </w:tc>
      </w:tr>
    </w:tbl>
    <w:p w14:paraId="2612E50C" w14:textId="77777777" w:rsidR="009E3903" w:rsidRDefault="009E3903" w:rsidP="009E3903"/>
    <w:p w14:paraId="3DE9B28F" w14:textId="77777777" w:rsidR="009E3903" w:rsidRDefault="009E3903" w:rsidP="009E3903">
      <w:pPr>
        <w:pStyle w:val="5"/>
      </w:pPr>
      <w:bookmarkStart w:id="17025" w:name="_Toc199453480"/>
      <w:r>
        <w:lastRenderedPageBreak/>
        <w:t>5.10.3.3.3</w:t>
      </w:r>
      <w:r>
        <w:tab/>
        <w:t>Resource Standard Methods</w:t>
      </w:r>
      <w:bookmarkEnd w:id="17025"/>
    </w:p>
    <w:p w14:paraId="4973F070" w14:textId="77777777" w:rsidR="009E3903" w:rsidRDefault="009E3903" w:rsidP="009E3903">
      <w:pPr>
        <w:pStyle w:val="6"/>
      </w:pPr>
      <w:bookmarkStart w:id="17026" w:name="_Toc199453481"/>
      <w:r>
        <w:t>5.10.3.3.3.1</w:t>
      </w:r>
      <w:r>
        <w:tab/>
        <w:t>PUT</w:t>
      </w:r>
      <w:bookmarkEnd w:id="17026"/>
    </w:p>
    <w:p w14:paraId="7FDBE661" w14:textId="77777777" w:rsidR="009E3903" w:rsidRDefault="009E3903" w:rsidP="009E3903">
      <w:pPr>
        <w:rPr>
          <w:rFonts w:eastAsia="等线"/>
        </w:rPr>
      </w:pPr>
      <w:r>
        <w:rPr>
          <w:rFonts w:eastAsia="等线"/>
        </w:rPr>
        <w:t>This method shall support the URI query parameters specified in table 5.10.3.3.3.1-1.</w:t>
      </w:r>
    </w:p>
    <w:p w14:paraId="32221472" w14:textId="77777777" w:rsidR="009E3903" w:rsidRDefault="009E3903" w:rsidP="009E3903">
      <w:pPr>
        <w:pStyle w:val="TH"/>
        <w:rPr>
          <w:rFonts w:cs="Arial"/>
        </w:rPr>
      </w:pPr>
      <w:r>
        <w:t>Table 5.10.3.3.3.1-1: URI query parameters supported by the PUT method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9E3903" w14:paraId="0B105F16" w14:textId="77777777" w:rsidTr="00902260">
        <w:trPr>
          <w:jc w:val="center"/>
        </w:trPr>
        <w:tc>
          <w:tcPr>
            <w:tcW w:w="825" w:type="pct"/>
            <w:tcBorders>
              <w:bottom w:val="single" w:sz="6" w:space="0" w:color="auto"/>
            </w:tcBorders>
            <w:shd w:val="clear" w:color="auto" w:fill="C0C0C0"/>
          </w:tcPr>
          <w:p w14:paraId="607720F8" w14:textId="77777777" w:rsidR="009E3903" w:rsidRDefault="009E3903" w:rsidP="00902260">
            <w:pPr>
              <w:pStyle w:val="TAH"/>
            </w:pPr>
            <w:r>
              <w:t>Name</w:t>
            </w:r>
          </w:p>
        </w:tc>
        <w:tc>
          <w:tcPr>
            <w:tcW w:w="732" w:type="pct"/>
            <w:tcBorders>
              <w:bottom w:val="single" w:sz="6" w:space="0" w:color="auto"/>
            </w:tcBorders>
            <w:shd w:val="clear" w:color="auto" w:fill="C0C0C0"/>
          </w:tcPr>
          <w:p w14:paraId="5538B5D7" w14:textId="77777777" w:rsidR="009E3903" w:rsidRDefault="009E3903" w:rsidP="00902260">
            <w:pPr>
              <w:pStyle w:val="TAH"/>
            </w:pPr>
            <w:r>
              <w:t>Data type</w:t>
            </w:r>
          </w:p>
        </w:tc>
        <w:tc>
          <w:tcPr>
            <w:tcW w:w="217" w:type="pct"/>
            <w:tcBorders>
              <w:bottom w:val="single" w:sz="6" w:space="0" w:color="auto"/>
            </w:tcBorders>
            <w:shd w:val="clear" w:color="auto" w:fill="C0C0C0"/>
          </w:tcPr>
          <w:p w14:paraId="7BA4DA95" w14:textId="77777777" w:rsidR="009E3903" w:rsidRDefault="009E3903" w:rsidP="00902260">
            <w:pPr>
              <w:pStyle w:val="TAH"/>
            </w:pPr>
            <w:r>
              <w:t>P</w:t>
            </w:r>
          </w:p>
        </w:tc>
        <w:tc>
          <w:tcPr>
            <w:tcW w:w="581" w:type="pct"/>
            <w:tcBorders>
              <w:bottom w:val="single" w:sz="6" w:space="0" w:color="auto"/>
            </w:tcBorders>
            <w:shd w:val="clear" w:color="auto" w:fill="C0C0C0"/>
          </w:tcPr>
          <w:p w14:paraId="7E629264"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269707BB" w14:textId="77777777" w:rsidR="009E3903" w:rsidRDefault="009E3903" w:rsidP="00902260">
            <w:pPr>
              <w:pStyle w:val="TAH"/>
            </w:pPr>
            <w:r>
              <w:t>Description</w:t>
            </w:r>
          </w:p>
        </w:tc>
      </w:tr>
      <w:tr w:rsidR="009E3903" w14:paraId="57673D7C" w14:textId="77777777" w:rsidTr="00902260">
        <w:trPr>
          <w:jc w:val="center"/>
        </w:trPr>
        <w:tc>
          <w:tcPr>
            <w:tcW w:w="825" w:type="pct"/>
            <w:tcBorders>
              <w:top w:val="single" w:sz="6" w:space="0" w:color="auto"/>
            </w:tcBorders>
          </w:tcPr>
          <w:p w14:paraId="0E1C93C8" w14:textId="77777777" w:rsidR="009E3903" w:rsidRDefault="009E3903" w:rsidP="00902260">
            <w:pPr>
              <w:pStyle w:val="TAL"/>
            </w:pPr>
            <w:r>
              <w:t>n/a</w:t>
            </w:r>
          </w:p>
        </w:tc>
        <w:tc>
          <w:tcPr>
            <w:tcW w:w="732" w:type="pct"/>
            <w:tcBorders>
              <w:top w:val="single" w:sz="6" w:space="0" w:color="auto"/>
            </w:tcBorders>
          </w:tcPr>
          <w:p w14:paraId="795E0963" w14:textId="77777777" w:rsidR="009E3903" w:rsidRDefault="009E3903" w:rsidP="00902260">
            <w:pPr>
              <w:pStyle w:val="TAL"/>
            </w:pPr>
          </w:p>
        </w:tc>
        <w:tc>
          <w:tcPr>
            <w:tcW w:w="217" w:type="pct"/>
            <w:tcBorders>
              <w:top w:val="single" w:sz="6" w:space="0" w:color="auto"/>
            </w:tcBorders>
          </w:tcPr>
          <w:p w14:paraId="279B21D6" w14:textId="77777777" w:rsidR="009E3903" w:rsidRDefault="009E3903" w:rsidP="00902260">
            <w:pPr>
              <w:pStyle w:val="TAC"/>
            </w:pPr>
          </w:p>
        </w:tc>
        <w:tc>
          <w:tcPr>
            <w:tcW w:w="581" w:type="pct"/>
            <w:tcBorders>
              <w:top w:val="single" w:sz="6" w:space="0" w:color="auto"/>
            </w:tcBorders>
          </w:tcPr>
          <w:p w14:paraId="056DE6C9" w14:textId="77777777" w:rsidR="009E3903" w:rsidRDefault="009E3903" w:rsidP="00902260">
            <w:pPr>
              <w:pStyle w:val="TAL"/>
            </w:pPr>
          </w:p>
        </w:tc>
        <w:tc>
          <w:tcPr>
            <w:tcW w:w="2646" w:type="pct"/>
            <w:tcBorders>
              <w:top w:val="single" w:sz="6" w:space="0" w:color="auto"/>
            </w:tcBorders>
            <w:vAlign w:val="center"/>
          </w:tcPr>
          <w:p w14:paraId="643B70E7" w14:textId="77777777" w:rsidR="009E3903" w:rsidRDefault="009E3903" w:rsidP="00902260">
            <w:pPr>
              <w:pStyle w:val="TAL"/>
            </w:pPr>
          </w:p>
        </w:tc>
      </w:tr>
    </w:tbl>
    <w:p w14:paraId="2EAEA9A5" w14:textId="77777777" w:rsidR="009E3903" w:rsidRDefault="009E3903" w:rsidP="009E3903">
      <w:pPr>
        <w:rPr>
          <w:rFonts w:eastAsia="等线"/>
        </w:rPr>
      </w:pPr>
    </w:p>
    <w:p w14:paraId="7DAEF27C" w14:textId="77777777" w:rsidR="009E3903" w:rsidRDefault="009E3903" w:rsidP="009E3903">
      <w:pPr>
        <w:rPr>
          <w:rFonts w:eastAsia="等线"/>
        </w:rPr>
      </w:pPr>
      <w:r>
        <w:rPr>
          <w:rFonts w:eastAsia="等线"/>
        </w:rPr>
        <w:t>This method shall support the request data structures specified in table 5.10.3.3.3.1-2 and the response data structures and response codes specified in table 5.10.3.3.3.1-3.</w:t>
      </w:r>
    </w:p>
    <w:p w14:paraId="3B996D31" w14:textId="77777777" w:rsidR="009E3903" w:rsidRDefault="009E3903" w:rsidP="009E3903">
      <w:pPr>
        <w:pStyle w:val="TH"/>
      </w:pPr>
      <w:r>
        <w:t>Table 5.10.3.3.3.1-2: Data structures supported by the PUT Request Body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425"/>
        <w:gridCol w:w="1276"/>
        <w:gridCol w:w="5802"/>
      </w:tblGrid>
      <w:tr w:rsidR="009E3903" w14:paraId="6666758A" w14:textId="77777777" w:rsidTr="00902260">
        <w:trPr>
          <w:jc w:val="center"/>
        </w:trPr>
        <w:tc>
          <w:tcPr>
            <w:tcW w:w="1833" w:type="dxa"/>
            <w:tcBorders>
              <w:bottom w:val="single" w:sz="6" w:space="0" w:color="auto"/>
            </w:tcBorders>
            <w:shd w:val="clear" w:color="auto" w:fill="C0C0C0"/>
          </w:tcPr>
          <w:p w14:paraId="07FECB3E" w14:textId="77777777" w:rsidR="009E3903" w:rsidRDefault="009E3903" w:rsidP="00902260">
            <w:pPr>
              <w:pStyle w:val="TAH"/>
            </w:pPr>
            <w:r>
              <w:t>Data type</w:t>
            </w:r>
          </w:p>
        </w:tc>
        <w:tc>
          <w:tcPr>
            <w:tcW w:w="425" w:type="dxa"/>
            <w:tcBorders>
              <w:bottom w:val="single" w:sz="6" w:space="0" w:color="auto"/>
            </w:tcBorders>
            <w:shd w:val="clear" w:color="auto" w:fill="C0C0C0"/>
          </w:tcPr>
          <w:p w14:paraId="54C7C637" w14:textId="77777777" w:rsidR="009E3903" w:rsidRDefault="009E3903" w:rsidP="00902260">
            <w:pPr>
              <w:pStyle w:val="TAH"/>
            </w:pPr>
            <w:r>
              <w:t>P</w:t>
            </w:r>
          </w:p>
        </w:tc>
        <w:tc>
          <w:tcPr>
            <w:tcW w:w="1276" w:type="dxa"/>
            <w:tcBorders>
              <w:bottom w:val="single" w:sz="6" w:space="0" w:color="auto"/>
            </w:tcBorders>
            <w:shd w:val="clear" w:color="auto" w:fill="C0C0C0"/>
          </w:tcPr>
          <w:p w14:paraId="0F0C0AC5" w14:textId="77777777" w:rsidR="009E3903" w:rsidRDefault="009E3903" w:rsidP="00902260">
            <w:pPr>
              <w:pStyle w:val="TAH"/>
            </w:pPr>
            <w:r>
              <w:t>Cardinality</w:t>
            </w:r>
          </w:p>
        </w:tc>
        <w:tc>
          <w:tcPr>
            <w:tcW w:w="5802" w:type="dxa"/>
            <w:tcBorders>
              <w:bottom w:val="single" w:sz="6" w:space="0" w:color="auto"/>
            </w:tcBorders>
            <w:shd w:val="clear" w:color="auto" w:fill="C0C0C0"/>
            <w:vAlign w:val="center"/>
          </w:tcPr>
          <w:p w14:paraId="5C05D26D" w14:textId="77777777" w:rsidR="009E3903" w:rsidRDefault="009E3903" w:rsidP="00902260">
            <w:pPr>
              <w:pStyle w:val="TAH"/>
            </w:pPr>
            <w:r>
              <w:t>Description</w:t>
            </w:r>
          </w:p>
        </w:tc>
      </w:tr>
      <w:tr w:rsidR="009E3903" w14:paraId="30C30A8F" w14:textId="77777777" w:rsidTr="00902260">
        <w:trPr>
          <w:jc w:val="center"/>
        </w:trPr>
        <w:tc>
          <w:tcPr>
            <w:tcW w:w="1833" w:type="dxa"/>
            <w:tcBorders>
              <w:top w:val="single" w:sz="6" w:space="0" w:color="auto"/>
            </w:tcBorders>
          </w:tcPr>
          <w:p w14:paraId="03B81617" w14:textId="77777777" w:rsidR="009E3903" w:rsidRDefault="009E3903" w:rsidP="00902260">
            <w:pPr>
              <w:pStyle w:val="TAL"/>
            </w:pPr>
            <w:r>
              <w:rPr>
                <w:rFonts w:eastAsia="等线"/>
              </w:rPr>
              <w:t>VflInferSub</w:t>
            </w:r>
          </w:p>
        </w:tc>
        <w:tc>
          <w:tcPr>
            <w:tcW w:w="425" w:type="dxa"/>
            <w:tcBorders>
              <w:top w:val="single" w:sz="6" w:space="0" w:color="auto"/>
            </w:tcBorders>
          </w:tcPr>
          <w:p w14:paraId="4834137F" w14:textId="77777777" w:rsidR="009E3903" w:rsidRDefault="009E3903" w:rsidP="00902260">
            <w:pPr>
              <w:pStyle w:val="TAC"/>
            </w:pPr>
            <w:r>
              <w:rPr>
                <w:rFonts w:hint="eastAsia"/>
              </w:rPr>
              <w:t>M</w:t>
            </w:r>
          </w:p>
        </w:tc>
        <w:tc>
          <w:tcPr>
            <w:tcW w:w="1276" w:type="dxa"/>
            <w:tcBorders>
              <w:top w:val="single" w:sz="6" w:space="0" w:color="auto"/>
            </w:tcBorders>
          </w:tcPr>
          <w:p w14:paraId="10DCD03F" w14:textId="77777777" w:rsidR="009E3903" w:rsidRDefault="009E3903" w:rsidP="00902260">
            <w:pPr>
              <w:pStyle w:val="TAC"/>
            </w:pPr>
            <w:r>
              <w:rPr>
                <w:rFonts w:hint="eastAsia"/>
              </w:rPr>
              <w:t>1</w:t>
            </w:r>
          </w:p>
        </w:tc>
        <w:tc>
          <w:tcPr>
            <w:tcW w:w="5802" w:type="dxa"/>
            <w:tcBorders>
              <w:top w:val="single" w:sz="6" w:space="0" w:color="auto"/>
            </w:tcBorders>
          </w:tcPr>
          <w:p w14:paraId="022DC3F4" w14:textId="77777777" w:rsidR="009E3903" w:rsidRDefault="009E3903" w:rsidP="00902260">
            <w:pPr>
              <w:pStyle w:val="TAL"/>
            </w:pPr>
            <w:r>
              <w:t>Parameters to replace a subscription to NWDAF VFL Subscription resource.</w:t>
            </w:r>
          </w:p>
        </w:tc>
      </w:tr>
    </w:tbl>
    <w:p w14:paraId="4578DC27" w14:textId="77777777" w:rsidR="009E3903" w:rsidRDefault="009E3903" w:rsidP="009E3903">
      <w:pPr>
        <w:rPr>
          <w:rFonts w:eastAsia="等线"/>
        </w:rPr>
      </w:pPr>
    </w:p>
    <w:p w14:paraId="48A2AA98" w14:textId="77777777" w:rsidR="009E3903" w:rsidRPr="00B1632D" w:rsidRDefault="009E3903" w:rsidP="009E3903">
      <w:pPr>
        <w:keepNext/>
        <w:keepLines/>
        <w:spacing w:before="60"/>
        <w:jc w:val="center"/>
        <w:rPr>
          <w:rFonts w:ascii="Arial" w:hAnsi="Arial"/>
          <w:b/>
        </w:rPr>
      </w:pPr>
      <w:r w:rsidRPr="00B1632D">
        <w:rPr>
          <w:rFonts w:ascii="Arial" w:hAnsi="Arial"/>
          <w:b/>
        </w:rPr>
        <w:t>Table </w:t>
      </w:r>
      <w:r>
        <w:rPr>
          <w:rFonts w:ascii="Arial" w:hAnsi="Arial"/>
          <w:b/>
        </w:rPr>
        <w:t>5.10</w:t>
      </w:r>
      <w:r w:rsidRPr="00B1632D">
        <w:rPr>
          <w:rFonts w:ascii="Arial" w:hAnsi="Arial"/>
          <w:b/>
        </w:rPr>
        <w:t>.3.3.3.1-3: Data structures supported by the PUT Response Body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34"/>
        <w:gridCol w:w="424"/>
        <w:gridCol w:w="1277"/>
        <w:gridCol w:w="1699"/>
        <w:gridCol w:w="4102"/>
      </w:tblGrid>
      <w:tr w:rsidR="009E3903" w:rsidRPr="00B1632D" w14:paraId="58BE3063" w14:textId="77777777" w:rsidTr="00253BF3">
        <w:trPr>
          <w:jc w:val="center"/>
        </w:trPr>
        <w:tc>
          <w:tcPr>
            <w:tcW w:w="982" w:type="pct"/>
            <w:tcBorders>
              <w:bottom w:val="single" w:sz="6" w:space="0" w:color="auto"/>
            </w:tcBorders>
            <w:shd w:val="clear" w:color="auto" w:fill="C0C0C0"/>
          </w:tcPr>
          <w:p w14:paraId="23776EAC"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27" w:type="pct"/>
            <w:tcBorders>
              <w:bottom w:val="single" w:sz="6" w:space="0" w:color="auto"/>
            </w:tcBorders>
            <w:shd w:val="clear" w:color="auto" w:fill="C0C0C0"/>
          </w:tcPr>
          <w:p w14:paraId="37DD9414"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684" w:type="pct"/>
            <w:tcBorders>
              <w:bottom w:val="single" w:sz="6" w:space="0" w:color="auto"/>
            </w:tcBorders>
            <w:shd w:val="clear" w:color="auto" w:fill="C0C0C0"/>
          </w:tcPr>
          <w:p w14:paraId="4A8683B4"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910" w:type="pct"/>
            <w:tcBorders>
              <w:bottom w:val="single" w:sz="6" w:space="0" w:color="auto"/>
            </w:tcBorders>
            <w:shd w:val="clear" w:color="auto" w:fill="C0C0C0"/>
          </w:tcPr>
          <w:p w14:paraId="2577725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 codes</w:t>
            </w:r>
          </w:p>
        </w:tc>
        <w:tc>
          <w:tcPr>
            <w:tcW w:w="2197" w:type="pct"/>
            <w:tcBorders>
              <w:bottom w:val="single" w:sz="6" w:space="0" w:color="auto"/>
            </w:tcBorders>
            <w:shd w:val="clear" w:color="auto" w:fill="C0C0C0"/>
          </w:tcPr>
          <w:p w14:paraId="72699D2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5126FAA4" w14:textId="77777777" w:rsidTr="00253BF3">
        <w:trPr>
          <w:jc w:val="center"/>
        </w:trPr>
        <w:tc>
          <w:tcPr>
            <w:tcW w:w="982" w:type="pct"/>
            <w:tcBorders>
              <w:top w:val="single" w:sz="6" w:space="0" w:color="auto"/>
            </w:tcBorders>
          </w:tcPr>
          <w:p w14:paraId="13533CBB" w14:textId="77777777" w:rsidR="009E3903" w:rsidRPr="00B1632D" w:rsidRDefault="009E3903" w:rsidP="00902260">
            <w:pPr>
              <w:keepNext/>
              <w:keepLines/>
              <w:spacing w:after="0"/>
              <w:rPr>
                <w:rFonts w:ascii="Arial" w:hAnsi="Arial"/>
                <w:sz w:val="18"/>
              </w:rPr>
            </w:pPr>
            <w:r>
              <w:rPr>
                <w:rFonts w:ascii="Arial" w:eastAsia="等线" w:hAnsi="Arial"/>
                <w:sz w:val="18"/>
              </w:rPr>
              <w:t>VflInferSub</w:t>
            </w:r>
          </w:p>
        </w:tc>
        <w:tc>
          <w:tcPr>
            <w:tcW w:w="227" w:type="pct"/>
            <w:tcBorders>
              <w:top w:val="single" w:sz="6" w:space="0" w:color="auto"/>
            </w:tcBorders>
          </w:tcPr>
          <w:p w14:paraId="7B4D8196" w14:textId="77777777" w:rsidR="009E3903" w:rsidRPr="00B1632D" w:rsidRDefault="009E3903" w:rsidP="00902260">
            <w:pPr>
              <w:keepNext/>
              <w:keepLines/>
              <w:spacing w:after="0"/>
              <w:jc w:val="center"/>
              <w:rPr>
                <w:rFonts w:ascii="Arial" w:hAnsi="Arial"/>
                <w:sz w:val="18"/>
              </w:rPr>
            </w:pPr>
            <w:r w:rsidRPr="00B1632D">
              <w:rPr>
                <w:rFonts w:ascii="Arial" w:hAnsi="Arial"/>
                <w:sz w:val="18"/>
              </w:rPr>
              <w:t>M</w:t>
            </w:r>
          </w:p>
        </w:tc>
        <w:tc>
          <w:tcPr>
            <w:tcW w:w="684" w:type="pct"/>
            <w:tcBorders>
              <w:top w:val="single" w:sz="6" w:space="0" w:color="auto"/>
            </w:tcBorders>
          </w:tcPr>
          <w:p w14:paraId="67714569" w14:textId="77777777" w:rsidR="009E3903" w:rsidRPr="00B1632D" w:rsidRDefault="009E3903" w:rsidP="00902260">
            <w:pPr>
              <w:keepNext/>
              <w:keepLines/>
              <w:spacing w:after="0"/>
              <w:jc w:val="center"/>
              <w:rPr>
                <w:rFonts w:ascii="Arial" w:hAnsi="Arial"/>
                <w:sz w:val="18"/>
              </w:rPr>
            </w:pPr>
            <w:r w:rsidRPr="00B1632D">
              <w:rPr>
                <w:rFonts w:ascii="Arial" w:hAnsi="Arial"/>
                <w:sz w:val="18"/>
              </w:rPr>
              <w:t>1</w:t>
            </w:r>
          </w:p>
        </w:tc>
        <w:tc>
          <w:tcPr>
            <w:tcW w:w="910" w:type="pct"/>
            <w:tcBorders>
              <w:top w:val="single" w:sz="6" w:space="0" w:color="auto"/>
            </w:tcBorders>
          </w:tcPr>
          <w:p w14:paraId="7F80B8F6" w14:textId="77777777" w:rsidR="009E3903" w:rsidRPr="00B1632D" w:rsidRDefault="009E3903" w:rsidP="00902260">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2197" w:type="pct"/>
            <w:tcBorders>
              <w:top w:val="single" w:sz="6" w:space="0" w:color="auto"/>
            </w:tcBorders>
          </w:tcPr>
          <w:p w14:paraId="0844C42F"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w:t>
            </w:r>
            <w:r w:rsidRPr="00B1632D">
              <w:rPr>
                <w:rFonts w:ascii="Arial" w:hAnsi="Arial"/>
                <w:sz w:val="18"/>
              </w:rPr>
              <w:t xml:space="preserve"> Subscription resource was modified successfully, and a representation of that resource is returned.</w:t>
            </w:r>
          </w:p>
        </w:tc>
      </w:tr>
      <w:tr w:rsidR="009E3903" w:rsidRPr="00B1632D" w14:paraId="09B558B3" w14:textId="77777777" w:rsidTr="00253BF3">
        <w:trPr>
          <w:jc w:val="center"/>
        </w:trPr>
        <w:tc>
          <w:tcPr>
            <w:tcW w:w="982" w:type="pct"/>
          </w:tcPr>
          <w:p w14:paraId="5F6A4EED" w14:textId="77777777" w:rsidR="009E3903" w:rsidRPr="00B1632D" w:rsidRDefault="009E3903" w:rsidP="00902260">
            <w:pPr>
              <w:keepNext/>
              <w:keepLines/>
              <w:spacing w:after="0"/>
              <w:rPr>
                <w:rFonts w:ascii="Arial" w:eastAsia="等线" w:hAnsi="Arial"/>
                <w:sz w:val="18"/>
                <w:lang w:eastAsia="zh-CN"/>
              </w:rPr>
            </w:pPr>
            <w:r w:rsidRPr="00B1632D">
              <w:rPr>
                <w:rFonts w:ascii="Arial" w:eastAsia="等线" w:hAnsi="Arial" w:hint="eastAsia"/>
                <w:sz w:val="18"/>
                <w:lang w:eastAsia="zh-CN"/>
              </w:rPr>
              <w:t>n</w:t>
            </w:r>
            <w:r w:rsidRPr="00B1632D">
              <w:rPr>
                <w:rFonts w:ascii="Arial" w:eastAsia="等线" w:hAnsi="Arial"/>
                <w:sz w:val="18"/>
                <w:lang w:eastAsia="zh-CN"/>
              </w:rPr>
              <w:t>/a</w:t>
            </w:r>
          </w:p>
        </w:tc>
        <w:tc>
          <w:tcPr>
            <w:tcW w:w="227" w:type="pct"/>
          </w:tcPr>
          <w:p w14:paraId="0C62C2C7" w14:textId="77777777" w:rsidR="009E3903" w:rsidRPr="00B1632D" w:rsidRDefault="009E3903" w:rsidP="00902260">
            <w:pPr>
              <w:keepNext/>
              <w:keepLines/>
              <w:spacing w:after="0"/>
              <w:jc w:val="center"/>
              <w:rPr>
                <w:rFonts w:ascii="Arial" w:hAnsi="Arial"/>
                <w:sz w:val="18"/>
              </w:rPr>
            </w:pPr>
          </w:p>
        </w:tc>
        <w:tc>
          <w:tcPr>
            <w:tcW w:w="684" w:type="pct"/>
          </w:tcPr>
          <w:p w14:paraId="43D6F641" w14:textId="77777777" w:rsidR="009E3903" w:rsidRPr="00B1632D" w:rsidRDefault="009E3903" w:rsidP="00902260">
            <w:pPr>
              <w:keepNext/>
              <w:keepLines/>
              <w:spacing w:after="0"/>
              <w:jc w:val="center"/>
              <w:rPr>
                <w:rFonts w:ascii="Arial" w:hAnsi="Arial"/>
                <w:sz w:val="18"/>
              </w:rPr>
            </w:pPr>
          </w:p>
        </w:tc>
        <w:tc>
          <w:tcPr>
            <w:tcW w:w="910" w:type="pct"/>
          </w:tcPr>
          <w:p w14:paraId="28B1EAAA" w14:textId="77777777" w:rsidR="009E3903" w:rsidRPr="00B1632D" w:rsidRDefault="009E3903" w:rsidP="00902260">
            <w:pPr>
              <w:keepNext/>
              <w:keepLines/>
              <w:spacing w:after="0"/>
              <w:rPr>
                <w:rFonts w:ascii="Arial" w:hAnsi="Arial"/>
                <w:sz w:val="18"/>
              </w:rPr>
            </w:pPr>
            <w:r w:rsidRPr="00B1632D">
              <w:rPr>
                <w:rFonts w:ascii="Arial" w:hAnsi="Arial"/>
                <w:sz w:val="18"/>
              </w:rPr>
              <w:t>204 No Content</w:t>
            </w:r>
          </w:p>
        </w:tc>
        <w:tc>
          <w:tcPr>
            <w:tcW w:w="2197" w:type="pct"/>
          </w:tcPr>
          <w:p w14:paraId="4C84476F"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w:t>
            </w:r>
            <w:r w:rsidRPr="00B1632D">
              <w:rPr>
                <w:rFonts w:ascii="Arial" w:hAnsi="Arial"/>
                <w:sz w:val="18"/>
              </w:rPr>
              <w:t xml:space="preserve"> Subscription resource was modified successfully.</w:t>
            </w:r>
          </w:p>
        </w:tc>
      </w:tr>
      <w:tr w:rsidR="009E3903" w:rsidRPr="00B1632D" w14:paraId="7C7E5B71" w14:textId="77777777" w:rsidTr="00253BF3">
        <w:trPr>
          <w:jc w:val="center"/>
        </w:trPr>
        <w:tc>
          <w:tcPr>
            <w:tcW w:w="982" w:type="pct"/>
          </w:tcPr>
          <w:p w14:paraId="0D1889AC" w14:textId="77777777" w:rsidR="009E3903" w:rsidRPr="00B1632D" w:rsidRDefault="009E3903" w:rsidP="00902260">
            <w:pPr>
              <w:keepNext/>
              <w:keepLines/>
              <w:spacing w:after="0"/>
              <w:rPr>
                <w:rFonts w:ascii="Arial" w:eastAsia="等线" w:hAnsi="Arial"/>
                <w:sz w:val="18"/>
                <w:lang w:eastAsia="zh-CN"/>
              </w:rPr>
            </w:pPr>
            <w:r w:rsidRPr="00B1632D">
              <w:rPr>
                <w:rFonts w:ascii="Arial" w:hAnsi="Arial"/>
                <w:sz w:val="18"/>
              </w:rPr>
              <w:t>RedirectResponse</w:t>
            </w:r>
          </w:p>
        </w:tc>
        <w:tc>
          <w:tcPr>
            <w:tcW w:w="227" w:type="pct"/>
          </w:tcPr>
          <w:p w14:paraId="01663945"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84" w:type="pct"/>
          </w:tcPr>
          <w:p w14:paraId="49AFBEDE"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910" w:type="pct"/>
          </w:tcPr>
          <w:p w14:paraId="763A2A54" w14:textId="77777777" w:rsidR="009E3903" w:rsidRPr="00B1632D" w:rsidRDefault="009E3903" w:rsidP="00902260">
            <w:pPr>
              <w:keepNext/>
              <w:keepLines/>
              <w:spacing w:after="0"/>
              <w:rPr>
                <w:rFonts w:ascii="Arial" w:hAnsi="Arial"/>
                <w:sz w:val="18"/>
              </w:rPr>
            </w:pPr>
            <w:r w:rsidRPr="00B1632D">
              <w:rPr>
                <w:rFonts w:ascii="Arial" w:hAnsi="Arial"/>
                <w:sz w:val="18"/>
              </w:rPr>
              <w:t>307 Temporary Redirect</w:t>
            </w:r>
          </w:p>
        </w:tc>
        <w:tc>
          <w:tcPr>
            <w:tcW w:w="2197" w:type="pct"/>
          </w:tcPr>
          <w:p w14:paraId="3076E276" w14:textId="77777777" w:rsidR="009E3903" w:rsidRDefault="009E3903" w:rsidP="00902260">
            <w:pPr>
              <w:pStyle w:val="TAL"/>
            </w:pPr>
            <w:r w:rsidRPr="00B1632D">
              <w:t>Temporary redirection.</w:t>
            </w:r>
          </w:p>
          <w:p w14:paraId="5BDA8BC7" w14:textId="77777777" w:rsidR="009E3903" w:rsidRDefault="009E3903" w:rsidP="00902260">
            <w:pPr>
              <w:pStyle w:val="TAL"/>
            </w:pPr>
          </w:p>
          <w:p w14:paraId="6A3132FF" w14:textId="77777777" w:rsidR="009E3903" w:rsidRPr="00B1632D" w:rsidRDefault="009E3903" w:rsidP="00902260">
            <w:pPr>
              <w:pStyle w:val="TAL"/>
            </w:pPr>
            <w:r>
              <w:t>(NOTE 2)</w:t>
            </w:r>
          </w:p>
        </w:tc>
      </w:tr>
      <w:tr w:rsidR="009E3903" w:rsidRPr="00B1632D" w14:paraId="2E4F4E36" w14:textId="77777777" w:rsidTr="00253BF3">
        <w:trPr>
          <w:jc w:val="center"/>
        </w:trPr>
        <w:tc>
          <w:tcPr>
            <w:tcW w:w="982" w:type="pct"/>
          </w:tcPr>
          <w:p w14:paraId="1686F317" w14:textId="77777777" w:rsidR="009E3903" w:rsidRPr="00B1632D" w:rsidRDefault="009E3903" w:rsidP="00902260">
            <w:pPr>
              <w:keepNext/>
              <w:keepLines/>
              <w:spacing w:after="0"/>
              <w:rPr>
                <w:rFonts w:ascii="Arial" w:eastAsia="等线" w:hAnsi="Arial"/>
                <w:sz w:val="18"/>
                <w:lang w:eastAsia="zh-CN"/>
              </w:rPr>
            </w:pPr>
            <w:r w:rsidRPr="00B1632D">
              <w:rPr>
                <w:rFonts w:ascii="Arial" w:hAnsi="Arial"/>
                <w:sz w:val="18"/>
              </w:rPr>
              <w:t>RedirectResponse</w:t>
            </w:r>
          </w:p>
        </w:tc>
        <w:tc>
          <w:tcPr>
            <w:tcW w:w="227" w:type="pct"/>
          </w:tcPr>
          <w:p w14:paraId="522888B4"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84" w:type="pct"/>
          </w:tcPr>
          <w:p w14:paraId="781148F0"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910" w:type="pct"/>
          </w:tcPr>
          <w:p w14:paraId="4A282070" w14:textId="77777777" w:rsidR="009E3903" w:rsidRPr="00B1632D" w:rsidRDefault="009E3903" w:rsidP="00902260">
            <w:pPr>
              <w:keepNext/>
              <w:keepLines/>
              <w:spacing w:after="0"/>
              <w:rPr>
                <w:rFonts w:ascii="Arial" w:hAnsi="Arial"/>
                <w:sz w:val="18"/>
              </w:rPr>
            </w:pPr>
            <w:r w:rsidRPr="00B1632D">
              <w:rPr>
                <w:rFonts w:ascii="Arial" w:hAnsi="Arial"/>
                <w:sz w:val="18"/>
              </w:rPr>
              <w:t>308 Permanent Redirect</w:t>
            </w:r>
          </w:p>
        </w:tc>
        <w:tc>
          <w:tcPr>
            <w:tcW w:w="2197" w:type="pct"/>
          </w:tcPr>
          <w:p w14:paraId="00714F45" w14:textId="77777777" w:rsidR="009E3903" w:rsidRDefault="009E3903" w:rsidP="00902260">
            <w:pPr>
              <w:pStyle w:val="TAL"/>
            </w:pPr>
            <w:r w:rsidRPr="00B1632D">
              <w:t>Permanent redirection.</w:t>
            </w:r>
            <w:r>
              <w:t xml:space="preserve"> </w:t>
            </w:r>
          </w:p>
          <w:p w14:paraId="15FAB0BB" w14:textId="77777777" w:rsidR="009E3903" w:rsidRDefault="009E3903" w:rsidP="00902260">
            <w:pPr>
              <w:pStyle w:val="TAL"/>
            </w:pPr>
          </w:p>
          <w:p w14:paraId="4D5AC549" w14:textId="77777777" w:rsidR="009E3903" w:rsidRPr="00B1632D" w:rsidRDefault="009E3903" w:rsidP="00902260">
            <w:pPr>
              <w:pStyle w:val="TAL"/>
            </w:pPr>
            <w:r>
              <w:t>(NOTE 2)</w:t>
            </w:r>
          </w:p>
        </w:tc>
      </w:tr>
      <w:tr w:rsidR="009E3903" w:rsidRPr="00B1632D" w14:paraId="1FF9B3DE" w14:textId="77777777" w:rsidTr="00902260">
        <w:trPr>
          <w:jc w:val="center"/>
        </w:trPr>
        <w:tc>
          <w:tcPr>
            <w:tcW w:w="5000" w:type="pct"/>
            <w:gridSpan w:val="5"/>
          </w:tcPr>
          <w:p w14:paraId="337830C1" w14:textId="77777777" w:rsidR="009E3903" w:rsidRPr="00B1632D" w:rsidRDefault="009E3903" w:rsidP="00902260">
            <w:pPr>
              <w:pStyle w:val="TAN"/>
            </w:pPr>
            <w:r w:rsidRPr="00B1632D">
              <w:t>NOTE 1:</w:t>
            </w:r>
            <w:r w:rsidRPr="00B1632D">
              <w:tab/>
              <w:t>The mandatory HTTP error status codes for the PUT method listed in table 5.2.7.1-1 of 3GPP TS 29.500 [6] also apply.</w:t>
            </w:r>
          </w:p>
          <w:p w14:paraId="24F32C5D" w14:textId="77777777" w:rsidR="009E3903" w:rsidRPr="00B1632D" w:rsidRDefault="009E3903" w:rsidP="00902260">
            <w:pPr>
              <w:pStyle w:val="TAN"/>
            </w:pPr>
            <w:r w:rsidRPr="00A0180C">
              <w:t>NOTE </w:t>
            </w:r>
            <w:r>
              <w:t>2</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49761B72" w14:textId="77777777" w:rsidR="009E3903" w:rsidRPr="00B1632D" w:rsidRDefault="009E3903" w:rsidP="009E3903">
      <w:pPr>
        <w:rPr>
          <w:lang w:eastAsia="en-GB"/>
        </w:rPr>
      </w:pPr>
    </w:p>
    <w:p w14:paraId="5307CF69" w14:textId="77777777" w:rsidR="009E3903" w:rsidRDefault="009E3903" w:rsidP="009E3903">
      <w:pPr>
        <w:pStyle w:val="TH"/>
      </w:pPr>
      <w:r>
        <w:t>Table 5.10.3.3.3.1-4: Headers supported by the 307 Response Code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5616F071" w14:textId="77777777" w:rsidTr="00902260">
        <w:trPr>
          <w:jc w:val="center"/>
        </w:trPr>
        <w:tc>
          <w:tcPr>
            <w:tcW w:w="1027" w:type="pct"/>
            <w:tcBorders>
              <w:bottom w:val="single" w:sz="6" w:space="0" w:color="auto"/>
            </w:tcBorders>
            <w:shd w:val="clear" w:color="auto" w:fill="C0C0C0"/>
          </w:tcPr>
          <w:p w14:paraId="6DACD7AB" w14:textId="77777777" w:rsidR="009E3903" w:rsidRDefault="009E3903" w:rsidP="00902260">
            <w:pPr>
              <w:pStyle w:val="TAH"/>
            </w:pPr>
            <w:r>
              <w:t>Name</w:t>
            </w:r>
          </w:p>
        </w:tc>
        <w:tc>
          <w:tcPr>
            <w:tcW w:w="529" w:type="pct"/>
            <w:tcBorders>
              <w:bottom w:val="single" w:sz="6" w:space="0" w:color="auto"/>
            </w:tcBorders>
            <w:shd w:val="clear" w:color="auto" w:fill="C0C0C0"/>
          </w:tcPr>
          <w:p w14:paraId="1ADAA3E0" w14:textId="77777777" w:rsidR="009E3903" w:rsidRDefault="009E3903" w:rsidP="00902260">
            <w:pPr>
              <w:pStyle w:val="TAH"/>
            </w:pPr>
            <w:r>
              <w:t>Data type</w:t>
            </w:r>
          </w:p>
        </w:tc>
        <w:tc>
          <w:tcPr>
            <w:tcW w:w="217" w:type="pct"/>
            <w:tcBorders>
              <w:bottom w:val="single" w:sz="6" w:space="0" w:color="auto"/>
            </w:tcBorders>
            <w:shd w:val="clear" w:color="auto" w:fill="C0C0C0"/>
          </w:tcPr>
          <w:p w14:paraId="50CD7974" w14:textId="77777777" w:rsidR="009E3903" w:rsidRDefault="009E3903" w:rsidP="00902260">
            <w:pPr>
              <w:pStyle w:val="TAH"/>
            </w:pPr>
            <w:r>
              <w:t>P</w:t>
            </w:r>
          </w:p>
        </w:tc>
        <w:tc>
          <w:tcPr>
            <w:tcW w:w="581" w:type="pct"/>
            <w:tcBorders>
              <w:bottom w:val="single" w:sz="6" w:space="0" w:color="auto"/>
            </w:tcBorders>
            <w:shd w:val="clear" w:color="auto" w:fill="C0C0C0"/>
          </w:tcPr>
          <w:p w14:paraId="75B93001"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5C738089" w14:textId="77777777" w:rsidR="009E3903" w:rsidRDefault="009E3903" w:rsidP="00902260">
            <w:pPr>
              <w:pStyle w:val="TAH"/>
            </w:pPr>
            <w:r>
              <w:t>Description</w:t>
            </w:r>
          </w:p>
        </w:tc>
      </w:tr>
      <w:tr w:rsidR="009E3903" w14:paraId="1921B23F" w14:textId="77777777" w:rsidTr="00902260">
        <w:trPr>
          <w:jc w:val="center"/>
        </w:trPr>
        <w:tc>
          <w:tcPr>
            <w:tcW w:w="1027" w:type="pct"/>
            <w:tcBorders>
              <w:top w:val="single" w:sz="6" w:space="0" w:color="auto"/>
            </w:tcBorders>
          </w:tcPr>
          <w:p w14:paraId="491315BD" w14:textId="77777777" w:rsidR="009E3903" w:rsidRDefault="009E3903" w:rsidP="00902260">
            <w:pPr>
              <w:pStyle w:val="TAL"/>
            </w:pPr>
            <w:r>
              <w:t>Location</w:t>
            </w:r>
          </w:p>
        </w:tc>
        <w:tc>
          <w:tcPr>
            <w:tcW w:w="529" w:type="pct"/>
            <w:tcBorders>
              <w:top w:val="single" w:sz="6" w:space="0" w:color="auto"/>
            </w:tcBorders>
          </w:tcPr>
          <w:p w14:paraId="7C35C2B5" w14:textId="77777777" w:rsidR="009E3903" w:rsidRDefault="009E3903" w:rsidP="00902260">
            <w:pPr>
              <w:pStyle w:val="TAL"/>
            </w:pPr>
            <w:r>
              <w:t>string</w:t>
            </w:r>
          </w:p>
        </w:tc>
        <w:tc>
          <w:tcPr>
            <w:tcW w:w="217" w:type="pct"/>
            <w:tcBorders>
              <w:top w:val="single" w:sz="6" w:space="0" w:color="auto"/>
            </w:tcBorders>
          </w:tcPr>
          <w:p w14:paraId="357B8BCC" w14:textId="77777777" w:rsidR="009E3903" w:rsidRDefault="009E3903" w:rsidP="00902260">
            <w:pPr>
              <w:pStyle w:val="TAC"/>
            </w:pPr>
            <w:r>
              <w:t>M</w:t>
            </w:r>
          </w:p>
        </w:tc>
        <w:tc>
          <w:tcPr>
            <w:tcW w:w="581" w:type="pct"/>
            <w:tcBorders>
              <w:top w:val="single" w:sz="6" w:space="0" w:color="auto"/>
            </w:tcBorders>
          </w:tcPr>
          <w:p w14:paraId="5FAED644" w14:textId="77777777" w:rsidR="009E3903" w:rsidRDefault="009E3903" w:rsidP="00902260">
            <w:pPr>
              <w:pStyle w:val="TAL"/>
            </w:pPr>
            <w:r>
              <w:t>1</w:t>
            </w:r>
          </w:p>
        </w:tc>
        <w:tc>
          <w:tcPr>
            <w:tcW w:w="2645" w:type="pct"/>
            <w:tcBorders>
              <w:top w:val="single" w:sz="6" w:space="0" w:color="auto"/>
            </w:tcBorders>
            <w:vAlign w:val="center"/>
          </w:tcPr>
          <w:p w14:paraId="515EE1A4"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400342D8" w14:textId="77777777" w:rsidR="009E3903" w:rsidRDefault="009E3903" w:rsidP="00902260">
            <w:pPr>
              <w:pStyle w:val="TAL"/>
            </w:pPr>
          </w:p>
          <w:p w14:paraId="58283262"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16525BD0" w14:textId="77777777" w:rsidTr="00902260">
        <w:trPr>
          <w:jc w:val="center"/>
        </w:trPr>
        <w:tc>
          <w:tcPr>
            <w:tcW w:w="1027" w:type="pct"/>
          </w:tcPr>
          <w:p w14:paraId="3CBFC9CB" w14:textId="77777777" w:rsidR="009E3903" w:rsidRDefault="009E3903" w:rsidP="00902260">
            <w:pPr>
              <w:pStyle w:val="TAL"/>
            </w:pPr>
            <w:r>
              <w:rPr>
                <w:lang w:eastAsia="zh-CN"/>
              </w:rPr>
              <w:t>3gpp-Sbi-Target-Nf-Id</w:t>
            </w:r>
          </w:p>
        </w:tc>
        <w:tc>
          <w:tcPr>
            <w:tcW w:w="529" w:type="pct"/>
          </w:tcPr>
          <w:p w14:paraId="24AD3F59" w14:textId="77777777" w:rsidR="009E3903" w:rsidRDefault="009E3903" w:rsidP="00902260">
            <w:pPr>
              <w:pStyle w:val="TAL"/>
            </w:pPr>
            <w:r>
              <w:rPr>
                <w:lang w:eastAsia="fr-FR"/>
              </w:rPr>
              <w:t>string</w:t>
            </w:r>
          </w:p>
        </w:tc>
        <w:tc>
          <w:tcPr>
            <w:tcW w:w="217" w:type="pct"/>
          </w:tcPr>
          <w:p w14:paraId="25640191" w14:textId="77777777" w:rsidR="009E3903" w:rsidRDefault="009E3903" w:rsidP="00902260">
            <w:pPr>
              <w:pStyle w:val="TAC"/>
            </w:pPr>
            <w:r>
              <w:rPr>
                <w:lang w:eastAsia="fr-FR"/>
              </w:rPr>
              <w:t>O</w:t>
            </w:r>
          </w:p>
        </w:tc>
        <w:tc>
          <w:tcPr>
            <w:tcW w:w="581" w:type="pct"/>
          </w:tcPr>
          <w:p w14:paraId="089CCF0D" w14:textId="77777777" w:rsidR="009E3903" w:rsidRDefault="009E3903" w:rsidP="00902260">
            <w:pPr>
              <w:pStyle w:val="TAL"/>
            </w:pPr>
            <w:r>
              <w:rPr>
                <w:lang w:eastAsia="fr-FR"/>
              </w:rPr>
              <w:t>0..1</w:t>
            </w:r>
          </w:p>
        </w:tc>
        <w:tc>
          <w:tcPr>
            <w:tcW w:w="2645" w:type="pct"/>
            <w:vAlign w:val="center"/>
          </w:tcPr>
          <w:p w14:paraId="02BFE21E" w14:textId="77777777" w:rsidR="009E3903" w:rsidRDefault="009E3903" w:rsidP="00902260">
            <w:pPr>
              <w:pStyle w:val="TAL"/>
            </w:pPr>
            <w:r>
              <w:rPr>
                <w:lang w:eastAsia="fr-FR"/>
              </w:rPr>
              <w:t>Contains the identifier of the target NF (service) instance towards which the request is redirected</w:t>
            </w:r>
          </w:p>
        </w:tc>
      </w:tr>
    </w:tbl>
    <w:p w14:paraId="7098F5E8" w14:textId="77777777" w:rsidR="009E3903" w:rsidRDefault="009E3903" w:rsidP="009E3903"/>
    <w:p w14:paraId="371EB0BB" w14:textId="77777777" w:rsidR="009E3903" w:rsidRDefault="009E3903" w:rsidP="009E3903">
      <w:pPr>
        <w:pStyle w:val="TH"/>
      </w:pPr>
      <w:r>
        <w:lastRenderedPageBreak/>
        <w:t>Table 5.10.3.3.3.1-5: Headers supported by the 308 Response Code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5B0DAC62" w14:textId="77777777" w:rsidTr="00902260">
        <w:trPr>
          <w:jc w:val="center"/>
        </w:trPr>
        <w:tc>
          <w:tcPr>
            <w:tcW w:w="1027" w:type="pct"/>
            <w:tcBorders>
              <w:bottom w:val="single" w:sz="6" w:space="0" w:color="auto"/>
            </w:tcBorders>
            <w:shd w:val="clear" w:color="auto" w:fill="C0C0C0"/>
          </w:tcPr>
          <w:p w14:paraId="2F6EBBB1" w14:textId="77777777" w:rsidR="009E3903" w:rsidRDefault="009E3903" w:rsidP="00902260">
            <w:pPr>
              <w:pStyle w:val="TAH"/>
            </w:pPr>
            <w:r>
              <w:t>Name</w:t>
            </w:r>
          </w:p>
        </w:tc>
        <w:tc>
          <w:tcPr>
            <w:tcW w:w="529" w:type="pct"/>
            <w:tcBorders>
              <w:bottom w:val="single" w:sz="6" w:space="0" w:color="auto"/>
            </w:tcBorders>
            <w:shd w:val="clear" w:color="auto" w:fill="C0C0C0"/>
          </w:tcPr>
          <w:p w14:paraId="46235343" w14:textId="77777777" w:rsidR="009E3903" w:rsidRDefault="009E3903" w:rsidP="00902260">
            <w:pPr>
              <w:pStyle w:val="TAH"/>
            </w:pPr>
            <w:r>
              <w:t>Data type</w:t>
            </w:r>
          </w:p>
        </w:tc>
        <w:tc>
          <w:tcPr>
            <w:tcW w:w="217" w:type="pct"/>
            <w:tcBorders>
              <w:bottom w:val="single" w:sz="6" w:space="0" w:color="auto"/>
            </w:tcBorders>
            <w:shd w:val="clear" w:color="auto" w:fill="C0C0C0"/>
          </w:tcPr>
          <w:p w14:paraId="543E02A3" w14:textId="77777777" w:rsidR="009E3903" w:rsidRDefault="009E3903" w:rsidP="00902260">
            <w:pPr>
              <w:pStyle w:val="TAH"/>
            </w:pPr>
            <w:r>
              <w:t>P</w:t>
            </w:r>
          </w:p>
        </w:tc>
        <w:tc>
          <w:tcPr>
            <w:tcW w:w="581" w:type="pct"/>
            <w:tcBorders>
              <w:bottom w:val="single" w:sz="6" w:space="0" w:color="auto"/>
            </w:tcBorders>
            <w:shd w:val="clear" w:color="auto" w:fill="C0C0C0"/>
          </w:tcPr>
          <w:p w14:paraId="69F80420"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6AC32274" w14:textId="77777777" w:rsidR="009E3903" w:rsidRDefault="009E3903" w:rsidP="00902260">
            <w:pPr>
              <w:pStyle w:val="TAH"/>
            </w:pPr>
            <w:r>
              <w:t>Description</w:t>
            </w:r>
          </w:p>
        </w:tc>
      </w:tr>
      <w:tr w:rsidR="009E3903" w14:paraId="1E18D64C" w14:textId="77777777" w:rsidTr="00902260">
        <w:trPr>
          <w:jc w:val="center"/>
        </w:trPr>
        <w:tc>
          <w:tcPr>
            <w:tcW w:w="1027" w:type="pct"/>
            <w:tcBorders>
              <w:top w:val="single" w:sz="6" w:space="0" w:color="auto"/>
            </w:tcBorders>
          </w:tcPr>
          <w:p w14:paraId="369B0930" w14:textId="77777777" w:rsidR="009E3903" w:rsidRDefault="009E3903" w:rsidP="00902260">
            <w:pPr>
              <w:pStyle w:val="TAL"/>
            </w:pPr>
            <w:r>
              <w:t>Location</w:t>
            </w:r>
          </w:p>
        </w:tc>
        <w:tc>
          <w:tcPr>
            <w:tcW w:w="529" w:type="pct"/>
            <w:tcBorders>
              <w:top w:val="single" w:sz="6" w:space="0" w:color="auto"/>
            </w:tcBorders>
          </w:tcPr>
          <w:p w14:paraId="74BC4B41" w14:textId="77777777" w:rsidR="009E3903" w:rsidRDefault="009E3903" w:rsidP="00902260">
            <w:pPr>
              <w:pStyle w:val="TAL"/>
            </w:pPr>
            <w:r>
              <w:t>string</w:t>
            </w:r>
          </w:p>
        </w:tc>
        <w:tc>
          <w:tcPr>
            <w:tcW w:w="217" w:type="pct"/>
            <w:tcBorders>
              <w:top w:val="single" w:sz="6" w:space="0" w:color="auto"/>
            </w:tcBorders>
          </w:tcPr>
          <w:p w14:paraId="769FEE20" w14:textId="77777777" w:rsidR="009E3903" w:rsidRDefault="009E3903" w:rsidP="00902260">
            <w:pPr>
              <w:pStyle w:val="TAC"/>
            </w:pPr>
            <w:r>
              <w:t>M</w:t>
            </w:r>
          </w:p>
        </w:tc>
        <w:tc>
          <w:tcPr>
            <w:tcW w:w="581" w:type="pct"/>
            <w:tcBorders>
              <w:top w:val="single" w:sz="6" w:space="0" w:color="auto"/>
            </w:tcBorders>
          </w:tcPr>
          <w:p w14:paraId="707F4905" w14:textId="77777777" w:rsidR="009E3903" w:rsidRDefault="009E3903" w:rsidP="00902260">
            <w:pPr>
              <w:pStyle w:val="TAL"/>
            </w:pPr>
            <w:r>
              <w:t>1</w:t>
            </w:r>
          </w:p>
        </w:tc>
        <w:tc>
          <w:tcPr>
            <w:tcW w:w="2646" w:type="pct"/>
            <w:tcBorders>
              <w:top w:val="single" w:sz="6" w:space="0" w:color="auto"/>
            </w:tcBorders>
            <w:vAlign w:val="center"/>
          </w:tcPr>
          <w:p w14:paraId="5E212758"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38EF55C7" w14:textId="77777777" w:rsidR="009E3903" w:rsidRDefault="009E3903" w:rsidP="00902260">
            <w:pPr>
              <w:pStyle w:val="TAL"/>
            </w:pPr>
          </w:p>
          <w:p w14:paraId="50BA81F8"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5DAB99A7" w14:textId="77777777" w:rsidTr="00902260">
        <w:trPr>
          <w:jc w:val="center"/>
        </w:trPr>
        <w:tc>
          <w:tcPr>
            <w:tcW w:w="1027" w:type="pct"/>
          </w:tcPr>
          <w:p w14:paraId="39E1D4DC" w14:textId="77777777" w:rsidR="009E3903" w:rsidRDefault="009E3903" w:rsidP="00902260">
            <w:pPr>
              <w:pStyle w:val="TAL"/>
            </w:pPr>
            <w:r>
              <w:rPr>
                <w:lang w:eastAsia="zh-CN"/>
              </w:rPr>
              <w:t>3gpp-Sbi-Target-Nf-Id</w:t>
            </w:r>
          </w:p>
        </w:tc>
        <w:tc>
          <w:tcPr>
            <w:tcW w:w="529" w:type="pct"/>
          </w:tcPr>
          <w:p w14:paraId="27AFDF0E" w14:textId="77777777" w:rsidR="009E3903" w:rsidRDefault="009E3903" w:rsidP="00902260">
            <w:pPr>
              <w:pStyle w:val="TAL"/>
            </w:pPr>
            <w:r>
              <w:rPr>
                <w:lang w:eastAsia="fr-FR"/>
              </w:rPr>
              <w:t>string</w:t>
            </w:r>
          </w:p>
        </w:tc>
        <w:tc>
          <w:tcPr>
            <w:tcW w:w="217" w:type="pct"/>
          </w:tcPr>
          <w:p w14:paraId="210CDB7A" w14:textId="77777777" w:rsidR="009E3903" w:rsidRDefault="009E3903" w:rsidP="00902260">
            <w:pPr>
              <w:pStyle w:val="TAC"/>
            </w:pPr>
            <w:r>
              <w:rPr>
                <w:lang w:eastAsia="fr-FR"/>
              </w:rPr>
              <w:t>O</w:t>
            </w:r>
          </w:p>
        </w:tc>
        <w:tc>
          <w:tcPr>
            <w:tcW w:w="581" w:type="pct"/>
          </w:tcPr>
          <w:p w14:paraId="054CA46D" w14:textId="77777777" w:rsidR="009E3903" w:rsidRDefault="009E3903" w:rsidP="00902260">
            <w:pPr>
              <w:pStyle w:val="TAL"/>
            </w:pPr>
            <w:r>
              <w:rPr>
                <w:lang w:eastAsia="fr-FR"/>
              </w:rPr>
              <w:t>0..1</w:t>
            </w:r>
          </w:p>
        </w:tc>
        <w:tc>
          <w:tcPr>
            <w:tcW w:w="2646" w:type="pct"/>
            <w:vAlign w:val="center"/>
          </w:tcPr>
          <w:p w14:paraId="684C998D" w14:textId="77777777" w:rsidR="009E3903" w:rsidRDefault="009E3903" w:rsidP="00902260">
            <w:pPr>
              <w:pStyle w:val="TAL"/>
            </w:pPr>
            <w:r>
              <w:rPr>
                <w:lang w:eastAsia="fr-FR"/>
              </w:rPr>
              <w:t>Contains the identifier of the target NF (service) instance towards which the request is redirected</w:t>
            </w:r>
          </w:p>
        </w:tc>
      </w:tr>
    </w:tbl>
    <w:p w14:paraId="1B3276EF" w14:textId="77777777" w:rsidR="009E3903" w:rsidRDefault="009E3903" w:rsidP="009E3903">
      <w:pPr>
        <w:rPr>
          <w:rFonts w:eastAsia="等线"/>
        </w:rPr>
      </w:pPr>
    </w:p>
    <w:p w14:paraId="7A096B70" w14:textId="77777777" w:rsidR="009E3903" w:rsidRDefault="009E3903" w:rsidP="009E3903">
      <w:pPr>
        <w:pStyle w:val="6"/>
      </w:pPr>
      <w:bookmarkStart w:id="17027" w:name="_Toc199453482"/>
      <w:r>
        <w:t>5.10.3.3.3.2</w:t>
      </w:r>
      <w:r>
        <w:tab/>
        <w:t>PATCH</w:t>
      </w:r>
      <w:bookmarkEnd w:id="17027"/>
    </w:p>
    <w:p w14:paraId="566BA5DE" w14:textId="77777777" w:rsidR="009E3903" w:rsidRDefault="009E3903" w:rsidP="009E3903">
      <w:pPr>
        <w:rPr>
          <w:rFonts w:eastAsia="等线"/>
        </w:rPr>
      </w:pPr>
      <w:r>
        <w:rPr>
          <w:rFonts w:eastAsia="等线"/>
        </w:rPr>
        <w:t>This method shall support the URI query parameters specified in table 5.10.3.3.3.2-1.</w:t>
      </w:r>
    </w:p>
    <w:p w14:paraId="7AC70AFD" w14:textId="77777777" w:rsidR="009E3903" w:rsidRDefault="009E3903" w:rsidP="009E3903">
      <w:pPr>
        <w:pStyle w:val="TH"/>
        <w:rPr>
          <w:rFonts w:cs="Arial"/>
        </w:rPr>
      </w:pPr>
      <w:r>
        <w:t>Table 5.10.3.3.3.2-1: URI query parameters supported by the PATCH method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9E3903" w:rsidRPr="001B1557" w14:paraId="422EC0EC" w14:textId="77777777" w:rsidTr="00902260">
        <w:trPr>
          <w:jc w:val="center"/>
        </w:trPr>
        <w:tc>
          <w:tcPr>
            <w:tcW w:w="825" w:type="pct"/>
            <w:tcBorders>
              <w:bottom w:val="single" w:sz="6" w:space="0" w:color="auto"/>
            </w:tcBorders>
            <w:shd w:val="clear" w:color="auto" w:fill="C0C0C0"/>
          </w:tcPr>
          <w:p w14:paraId="40FD87D8" w14:textId="77777777" w:rsidR="009E3903" w:rsidRDefault="009E3903" w:rsidP="00902260">
            <w:pPr>
              <w:pStyle w:val="TAH"/>
            </w:pPr>
            <w:r>
              <w:t>Name</w:t>
            </w:r>
          </w:p>
        </w:tc>
        <w:tc>
          <w:tcPr>
            <w:tcW w:w="732" w:type="pct"/>
            <w:tcBorders>
              <w:bottom w:val="single" w:sz="6" w:space="0" w:color="auto"/>
            </w:tcBorders>
            <w:shd w:val="clear" w:color="auto" w:fill="C0C0C0"/>
          </w:tcPr>
          <w:p w14:paraId="59512DBA" w14:textId="77777777" w:rsidR="009E3903" w:rsidRDefault="009E3903" w:rsidP="00902260">
            <w:pPr>
              <w:pStyle w:val="TAH"/>
            </w:pPr>
            <w:r>
              <w:t>Data type</w:t>
            </w:r>
          </w:p>
        </w:tc>
        <w:tc>
          <w:tcPr>
            <w:tcW w:w="217" w:type="pct"/>
            <w:tcBorders>
              <w:bottom w:val="single" w:sz="6" w:space="0" w:color="auto"/>
            </w:tcBorders>
            <w:shd w:val="clear" w:color="auto" w:fill="C0C0C0"/>
          </w:tcPr>
          <w:p w14:paraId="1A54249F" w14:textId="77777777" w:rsidR="009E3903" w:rsidRDefault="009E3903" w:rsidP="00902260">
            <w:pPr>
              <w:pStyle w:val="TAH"/>
            </w:pPr>
            <w:r>
              <w:t>P</w:t>
            </w:r>
          </w:p>
        </w:tc>
        <w:tc>
          <w:tcPr>
            <w:tcW w:w="581" w:type="pct"/>
            <w:tcBorders>
              <w:bottom w:val="single" w:sz="6" w:space="0" w:color="auto"/>
            </w:tcBorders>
            <w:shd w:val="clear" w:color="auto" w:fill="C0C0C0"/>
          </w:tcPr>
          <w:p w14:paraId="290D9864"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099C09C0" w14:textId="77777777" w:rsidR="009E3903" w:rsidRDefault="009E3903" w:rsidP="00902260">
            <w:pPr>
              <w:pStyle w:val="TAH"/>
            </w:pPr>
            <w:r>
              <w:t>Description</w:t>
            </w:r>
          </w:p>
        </w:tc>
      </w:tr>
      <w:tr w:rsidR="009E3903" w14:paraId="77FFC178" w14:textId="77777777" w:rsidTr="00902260">
        <w:trPr>
          <w:jc w:val="center"/>
        </w:trPr>
        <w:tc>
          <w:tcPr>
            <w:tcW w:w="825" w:type="pct"/>
            <w:tcBorders>
              <w:top w:val="single" w:sz="6" w:space="0" w:color="auto"/>
            </w:tcBorders>
          </w:tcPr>
          <w:p w14:paraId="16AC0417" w14:textId="77777777" w:rsidR="009E3903" w:rsidRDefault="009E3903" w:rsidP="00902260">
            <w:pPr>
              <w:pStyle w:val="TAH"/>
            </w:pPr>
            <w:r>
              <w:t>n/a</w:t>
            </w:r>
          </w:p>
        </w:tc>
        <w:tc>
          <w:tcPr>
            <w:tcW w:w="732" w:type="pct"/>
            <w:tcBorders>
              <w:top w:val="single" w:sz="6" w:space="0" w:color="auto"/>
            </w:tcBorders>
          </w:tcPr>
          <w:p w14:paraId="60259E7A" w14:textId="77777777" w:rsidR="009E3903" w:rsidRDefault="009E3903" w:rsidP="00902260">
            <w:pPr>
              <w:pStyle w:val="TAH"/>
            </w:pPr>
          </w:p>
        </w:tc>
        <w:tc>
          <w:tcPr>
            <w:tcW w:w="217" w:type="pct"/>
            <w:tcBorders>
              <w:top w:val="single" w:sz="6" w:space="0" w:color="auto"/>
            </w:tcBorders>
          </w:tcPr>
          <w:p w14:paraId="1E3D8A09" w14:textId="77777777" w:rsidR="009E3903" w:rsidRDefault="009E3903" w:rsidP="00902260">
            <w:pPr>
              <w:pStyle w:val="TAH"/>
            </w:pPr>
          </w:p>
        </w:tc>
        <w:tc>
          <w:tcPr>
            <w:tcW w:w="581" w:type="pct"/>
            <w:tcBorders>
              <w:top w:val="single" w:sz="6" w:space="0" w:color="auto"/>
            </w:tcBorders>
          </w:tcPr>
          <w:p w14:paraId="39E53B55" w14:textId="77777777" w:rsidR="009E3903" w:rsidRDefault="009E3903" w:rsidP="00902260">
            <w:pPr>
              <w:pStyle w:val="TAH"/>
            </w:pPr>
          </w:p>
        </w:tc>
        <w:tc>
          <w:tcPr>
            <w:tcW w:w="2646" w:type="pct"/>
            <w:tcBorders>
              <w:top w:val="single" w:sz="6" w:space="0" w:color="auto"/>
            </w:tcBorders>
            <w:vAlign w:val="center"/>
          </w:tcPr>
          <w:p w14:paraId="2A221155" w14:textId="77777777" w:rsidR="009E3903" w:rsidRDefault="009E3903" w:rsidP="00902260">
            <w:pPr>
              <w:pStyle w:val="TAH"/>
            </w:pPr>
          </w:p>
        </w:tc>
      </w:tr>
    </w:tbl>
    <w:p w14:paraId="29ADFF66" w14:textId="77777777" w:rsidR="009E3903" w:rsidRDefault="009E3903" w:rsidP="009E3903">
      <w:pPr>
        <w:rPr>
          <w:rFonts w:eastAsia="等线"/>
        </w:rPr>
      </w:pPr>
    </w:p>
    <w:p w14:paraId="132BA7A0" w14:textId="77777777" w:rsidR="009E3903" w:rsidRDefault="009E3903" w:rsidP="009E3903">
      <w:pPr>
        <w:rPr>
          <w:rFonts w:eastAsia="等线"/>
        </w:rPr>
      </w:pPr>
      <w:r>
        <w:rPr>
          <w:rFonts w:eastAsia="等线"/>
        </w:rPr>
        <w:t>This method shall support the request data structures specified in table 5.10.3.3.3.2-2 and the response data structures and response codes specified in table 5.10.3.3.3.2-3.</w:t>
      </w:r>
    </w:p>
    <w:p w14:paraId="0CCA681D" w14:textId="77777777" w:rsidR="009E3903" w:rsidRDefault="009E3903" w:rsidP="009E3903">
      <w:pPr>
        <w:pStyle w:val="TH"/>
      </w:pPr>
      <w:r>
        <w:t>Table 5.10.3.3.3.2-2: Data structures supported by the PATCH Request Body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8"/>
        <w:gridCol w:w="425"/>
        <w:gridCol w:w="1337"/>
        <w:gridCol w:w="5316"/>
      </w:tblGrid>
      <w:tr w:rsidR="009E3903" w14:paraId="2B1D2D36" w14:textId="77777777" w:rsidTr="00902260">
        <w:trPr>
          <w:jc w:val="center"/>
        </w:trPr>
        <w:tc>
          <w:tcPr>
            <w:tcW w:w="2258" w:type="dxa"/>
            <w:tcBorders>
              <w:bottom w:val="single" w:sz="6" w:space="0" w:color="auto"/>
            </w:tcBorders>
            <w:shd w:val="clear" w:color="auto" w:fill="C0C0C0"/>
          </w:tcPr>
          <w:p w14:paraId="4C08E2D9" w14:textId="77777777" w:rsidR="009E3903" w:rsidRDefault="009E3903" w:rsidP="00902260">
            <w:pPr>
              <w:pStyle w:val="TAH"/>
            </w:pPr>
            <w:r>
              <w:t>Data type</w:t>
            </w:r>
          </w:p>
        </w:tc>
        <w:tc>
          <w:tcPr>
            <w:tcW w:w="425" w:type="dxa"/>
            <w:tcBorders>
              <w:bottom w:val="single" w:sz="6" w:space="0" w:color="auto"/>
            </w:tcBorders>
            <w:shd w:val="clear" w:color="auto" w:fill="C0C0C0"/>
          </w:tcPr>
          <w:p w14:paraId="0BF36F29" w14:textId="77777777" w:rsidR="009E3903" w:rsidRDefault="009E3903" w:rsidP="00902260">
            <w:pPr>
              <w:pStyle w:val="TAH"/>
            </w:pPr>
            <w:r>
              <w:t>P</w:t>
            </w:r>
          </w:p>
        </w:tc>
        <w:tc>
          <w:tcPr>
            <w:tcW w:w="1337" w:type="dxa"/>
            <w:tcBorders>
              <w:bottom w:val="single" w:sz="6" w:space="0" w:color="auto"/>
            </w:tcBorders>
            <w:shd w:val="clear" w:color="auto" w:fill="C0C0C0"/>
          </w:tcPr>
          <w:p w14:paraId="14FC2095" w14:textId="77777777" w:rsidR="009E3903" w:rsidRDefault="009E3903" w:rsidP="00902260">
            <w:pPr>
              <w:pStyle w:val="TAH"/>
            </w:pPr>
            <w:r>
              <w:t>Cardinality</w:t>
            </w:r>
          </w:p>
        </w:tc>
        <w:tc>
          <w:tcPr>
            <w:tcW w:w="5316" w:type="dxa"/>
            <w:tcBorders>
              <w:bottom w:val="single" w:sz="6" w:space="0" w:color="auto"/>
            </w:tcBorders>
            <w:shd w:val="clear" w:color="auto" w:fill="C0C0C0"/>
            <w:vAlign w:val="center"/>
          </w:tcPr>
          <w:p w14:paraId="277ABFCF" w14:textId="77777777" w:rsidR="009E3903" w:rsidRDefault="009E3903" w:rsidP="00902260">
            <w:pPr>
              <w:pStyle w:val="TAH"/>
            </w:pPr>
            <w:r>
              <w:t>Description</w:t>
            </w:r>
          </w:p>
        </w:tc>
      </w:tr>
      <w:tr w:rsidR="009E3903" w14:paraId="11B0D3BD" w14:textId="77777777" w:rsidTr="00902260">
        <w:trPr>
          <w:jc w:val="center"/>
        </w:trPr>
        <w:tc>
          <w:tcPr>
            <w:tcW w:w="2258" w:type="dxa"/>
            <w:tcBorders>
              <w:top w:val="single" w:sz="6" w:space="0" w:color="auto"/>
            </w:tcBorders>
          </w:tcPr>
          <w:p w14:paraId="195C2F43" w14:textId="77777777" w:rsidR="009E3903" w:rsidRDefault="009E3903" w:rsidP="00902260">
            <w:pPr>
              <w:pStyle w:val="TAL"/>
            </w:pPr>
            <w:r>
              <w:rPr>
                <w:rFonts w:eastAsia="等线"/>
              </w:rPr>
              <w:t>VflInferSubPatch</w:t>
            </w:r>
          </w:p>
        </w:tc>
        <w:tc>
          <w:tcPr>
            <w:tcW w:w="425" w:type="dxa"/>
            <w:tcBorders>
              <w:top w:val="single" w:sz="6" w:space="0" w:color="auto"/>
            </w:tcBorders>
          </w:tcPr>
          <w:p w14:paraId="008DCB20" w14:textId="77777777" w:rsidR="009E3903" w:rsidRDefault="009E3903" w:rsidP="00902260">
            <w:pPr>
              <w:pStyle w:val="TAC"/>
            </w:pPr>
            <w:r>
              <w:rPr>
                <w:rFonts w:hint="eastAsia"/>
              </w:rPr>
              <w:t>M</w:t>
            </w:r>
          </w:p>
        </w:tc>
        <w:tc>
          <w:tcPr>
            <w:tcW w:w="1337" w:type="dxa"/>
            <w:tcBorders>
              <w:top w:val="single" w:sz="6" w:space="0" w:color="auto"/>
            </w:tcBorders>
          </w:tcPr>
          <w:p w14:paraId="5AB63D6D" w14:textId="77777777" w:rsidR="009E3903" w:rsidRDefault="009E3903" w:rsidP="00902260">
            <w:pPr>
              <w:pStyle w:val="TAC"/>
            </w:pPr>
            <w:r>
              <w:rPr>
                <w:rFonts w:hint="eastAsia"/>
              </w:rPr>
              <w:t>1</w:t>
            </w:r>
          </w:p>
        </w:tc>
        <w:tc>
          <w:tcPr>
            <w:tcW w:w="5316" w:type="dxa"/>
            <w:tcBorders>
              <w:top w:val="single" w:sz="6" w:space="0" w:color="auto"/>
            </w:tcBorders>
          </w:tcPr>
          <w:p w14:paraId="1C5F5E49" w14:textId="77777777" w:rsidR="009E3903" w:rsidRDefault="009E3903" w:rsidP="00902260">
            <w:pPr>
              <w:pStyle w:val="TAL"/>
            </w:pPr>
            <w:r>
              <w:t>Partial update of parameters to a subscription to NWDAF VFL Inference Subscription resource.</w:t>
            </w:r>
          </w:p>
        </w:tc>
      </w:tr>
    </w:tbl>
    <w:p w14:paraId="47B7BC7F" w14:textId="77777777" w:rsidR="009E3903" w:rsidRDefault="009E3903" w:rsidP="009E3903">
      <w:pPr>
        <w:rPr>
          <w:rFonts w:eastAsia="等线"/>
        </w:rPr>
      </w:pPr>
    </w:p>
    <w:p w14:paraId="6EC72EDF" w14:textId="77777777" w:rsidR="009E3903" w:rsidRPr="00B1632D" w:rsidRDefault="009E3903" w:rsidP="009E3903">
      <w:pPr>
        <w:keepNext/>
        <w:keepLines/>
        <w:spacing w:before="60"/>
        <w:jc w:val="center"/>
        <w:rPr>
          <w:rFonts w:ascii="Arial" w:hAnsi="Arial"/>
          <w:b/>
        </w:rPr>
      </w:pPr>
      <w:r w:rsidRPr="00B1632D">
        <w:rPr>
          <w:rFonts w:ascii="Arial" w:hAnsi="Arial"/>
          <w:b/>
        </w:rPr>
        <w:t>Table </w:t>
      </w:r>
      <w:r>
        <w:rPr>
          <w:rFonts w:ascii="Arial" w:hAnsi="Arial"/>
          <w:b/>
        </w:rPr>
        <w:t>5.10</w:t>
      </w:r>
      <w:r w:rsidRPr="00B1632D">
        <w:rPr>
          <w:rFonts w:ascii="Arial" w:hAnsi="Arial"/>
          <w:b/>
        </w:rPr>
        <w:t>.3.3.3.2-3: Data structures supported by the PATCH Response Body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454"/>
        <w:gridCol w:w="433"/>
        <w:gridCol w:w="1217"/>
        <w:gridCol w:w="1651"/>
        <w:gridCol w:w="3581"/>
      </w:tblGrid>
      <w:tr w:rsidR="009E3903" w:rsidRPr="00B1632D" w14:paraId="3FBE5640" w14:textId="77777777" w:rsidTr="00253BF3">
        <w:trPr>
          <w:jc w:val="center"/>
        </w:trPr>
        <w:tc>
          <w:tcPr>
            <w:tcW w:w="1314" w:type="pct"/>
            <w:tcBorders>
              <w:bottom w:val="single" w:sz="6" w:space="0" w:color="auto"/>
            </w:tcBorders>
            <w:shd w:val="clear" w:color="auto" w:fill="C0C0C0"/>
          </w:tcPr>
          <w:p w14:paraId="6A5E1FF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32" w:type="pct"/>
            <w:tcBorders>
              <w:bottom w:val="single" w:sz="6" w:space="0" w:color="auto"/>
            </w:tcBorders>
            <w:shd w:val="clear" w:color="auto" w:fill="C0C0C0"/>
          </w:tcPr>
          <w:p w14:paraId="37FC2F0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652" w:type="pct"/>
            <w:tcBorders>
              <w:bottom w:val="single" w:sz="6" w:space="0" w:color="auto"/>
            </w:tcBorders>
            <w:shd w:val="clear" w:color="auto" w:fill="C0C0C0"/>
          </w:tcPr>
          <w:p w14:paraId="60A3F3A8"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884" w:type="pct"/>
            <w:tcBorders>
              <w:bottom w:val="single" w:sz="6" w:space="0" w:color="auto"/>
            </w:tcBorders>
            <w:shd w:val="clear" w:color="auto" w:fill="C0C0C0"/>
          </w:tcPr>
          <w:p w14:paraId="0CC75A03"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 codes</w:t>
            </w:r>
          </w:p>
        </w:tc>
        <w:tc>
          <w:tcPr>
            <w:tcW w:w="1918" w:type="pct"/>
            <w:tcBorders>
              <w:bottom w:val="single" w:sz="6" w:space="0" w:color="auto"/>
            </w:tcBorders>
            <w:shd w:val="clear" w:color="auto" w:fill="C0C0C0"/>
          </w:tcPr>
          <w:p w14:paraId="56D4E0BB"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1F6A30CB" w14:textId="77777777" w:rsidTr="00253BF3">
        <w:trPr>
          <w:jc w:val="center"/>
        </w:trPr>
        <w:tc>
          <w:tcPr>
            <w:tcW w:w="1314" w:type="pct"/>
            <w:tcBorders>
              <w:top w:val="single" w:sz="6" w:space="0" w:color="auto"/>
            </w:tcBorders>
          </w:tcPr>
          <w:p w14:paraId="03FFB9CF" w14:textId="77777777" w:rsidR="009E3903" w:rsidRPr="00B1632D" w:rsidRDefault="009E3903" w:rsidP="00902260">
            <w:pPr>
              <w:keepNext/>
              <w:keepLines/>
              <w:spacing w:after="0"/>
              <w:rPr>
                <w:rFonts w:ascii="Arial" w:hAnsi="Arial"/>
                <w:sz w:val="18"/>
              </w:rPr>
            </w:pPr>
            <w:r>
              <w:rPr>
                <w:rFonts w:ascii="Arial" w:eastAsia="等线" w:hAnsi="Arial"/>
                <w:sz w:val="18"/>
              </w:rPr>
              <w:t>VflInferSub</w:t>
            </w:r>
          </w:p>
        </w:tc>
        <w:tc>
          <w:tcPr>
            <w:tcW w:w="232" w:type="pct"/>
            <w:tcBorders>
              <w:top w:val="single" w:sz="6" w:space="0" w:color="auto"/>
            </w:tcBorders>
          </w:tcPr>
          <w:p w14:paraId="0487E48A" w14:textId="77777777" w:rsidR="009E3903" w:rsidRPr="00B1632D" w:rsidRDefault="009E3903" w:rsidP="00902260">
            <w:pPr>
              <w:keepNext/>
              <w:keepLines/>
              <w:spacing w:after="0"/>
              <w:jc w:val="center"/>
              <w:rPr>
                <w:rFonts w:ascii="Arial" w:hAnsi="Arial"/>
                <w:sz w:val="18"/>
              </w:rPr>
            </w:pPr>
            <w:r w:rsidRPr="00B1632D">
              <w:rPr>
                <w:rFonts w:ascii="Arial" w:hAnsi="Arial"/>
                <w:sz w:val="18"/>
              </w:rPr>
              <w:t>M</w:t>
            </w:r>
          </w:p>
        </w:tc>
        <w:tc>
          <w:tcPr>
            <w:tcW w:w="652" w:type="pct"/>
            <w:tcBorders>
              <w:top w:val="single" w:sz="6" w:space="0" w:color="auto"/>
            </w:tcBorders>
          </w:tcPr>
          <w:p w14:paraId="6C57274B" w14:textId="77777777" w:rsidR="009E3903" w:rsidRPr="00B1632D" w:rsidRDefault="009E3903" w:rsidP="00902260">
            <w:pPr>
              <w:keepNext/>
              <w:keepLines/>
              <w:spacing w:after="0"/>
              <w:jc w:val="center"/>
              <w:rPr>
                <w:rFonts w:ascii="Arial" w:hAnsi="Arial"/>
                <w:sz w:val="18"/>
              </w:rPr>
            </w:pPr>
            <w:r w:rsidRPr="00B1632D">
              <w:rPr>
                <w:rFonts w:ascii="Arial" w:hAnsi="Arial"/>
                <w:sz w:val="18"/>
              </w:rPr>
              <w:t>1</w:t>
            </w:r>
          </w:p>
        </w:tc>
        <w:tc>
          <w:tcPr>
            <w:tcW w:w="884" w:type="pct"/>
            <w:tcBorders>
              <w:top w:val="single" w:sz="6" w:space="0" w:color="auto"/>
            </w:tcBorders>
          </w:tcPr>
          <w:p w14:paraId="668B6C0B" w14:textId="77777777" w:rsidR="009E3903" w:rsidRPr="00B1632D" w:rsidRDefault="009E3903" w:rsidP="00902260">
            <w:pPr>
              <w:keepNext/>
              <w:keepLines/>
              <w:spacing w:after="0"/>
              <w:rPr>
                <w:rFonts w:ascii="Arial" w:hAnsi="Arial"/>
                <w:sz w:val="18"/>
              </w:rPr>
            </w:pPr>
            <w:r w:rsidRPr="00B1632D">
              <w:rPr>
                <w:rFonts w:ascii="Arial" w:hAnsi="Arial" w:hint="eastAsia"/>
                <w:sz w:val="18"/>
              </w:rPr>
              <w:t>20</w:t>
            </w:r>
            <w:r w:rsidRPr="00B1632D">
              <w:rPr>
                <w:rFonts w:ascii="Arial" w:hAnsi="Arial"/>
                <w:sz w:val="18"/>
              </w:rPr>
              <w:t>0 OK</w:t>
            </w:r>
          </w:p>
        </w:tc>
        <w:tc>
          <w:tcPr>
            <w:tcW w:w="1918" w:type="pct"/>
            <w:tcBorders>
              <w:top w:val="single" w:sz="6" w:space="0" w:color="auto"/>
            </w:tcBorders>
          </w:tcPr>
          <w:p w14:paraId="0DBCCF52"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 Inference</w:t>
            </w:r>
            <w:r w:rsidRPr="00B1632D">
              <w:rPr>
                <w:rFonts w:ascii="Arial" w:hAnsi="Arial"/>
                <w:sz w:val="18"/>
              </w:rPr>
              <w:t xml:space="preserve"> Subscription resource was partial modified successfully and a representation of that resource is returned.</w:t>
            </w:r>
          </w:p>
        </w:tc>
      </w:tr>
      <w:tr w:rsidR="009E3903" w:rsidRPr="00B1632D" w14:paraId="2553FFB6" w14:textId="77777777" w:rsidTr="00253BF3">
        <w:trPr>
          <w:jc w:val="center"/>
        </w:trPr>
        <w:tc>
          <w:tcPr>
            <w:tcW w:w="1314" w:type="pct"/>
          </w:tcPr>
          <w:p w14:paraId="47DE9178" w14:textId="77777777" w:rsidR="009E3903" w:rsidRPr="00B1632D" w:rsidRDefault="009E3903" w:rsidP="00902260">
            <w:pPr>
              <w:keepNext/>
              <w:keepLines/>
              <w:spacing w:after="0"/>
              <w:rPr>
                <w:rFonts w:ascii="Arial" w:eastAsia="等线" w:hAnsi="Arial"/>
                <w:sz w:val="18"/>
                <w:lang w:eastAsia="zh-CN"/>
              </w:rPr>
            </w:pPr>
            <w:r w:rsidRPr="00B1632D">
              <w:rPr>
                <w:rFonts w:ascii="Arial" w:eastAsia="等线" w:hAnsi="Arial" w:hint="eastAsia"/>
                <w:sz w:val="18"/>
                <w:lang w:eastAsia="zh-CN"/>
              </w:rPr>
              <w:t>n</w:t>
            </w:r>
            <w:r w:rsidRPr="00B1632D">
              <w:rPr>
                <w:rFonts w:ascii="Arial" w:eastAsia="等线" w:hAnsi="Arial"/>
                <w:sz w:val="18"/>
                <w:lang w:eastAsia="zh-CN"/>
              </w:rPr>
              <w:t>/a</w:t>
            </w:r>
          </w:p>
        </w:tc>
        <w:tc>
          <w:tcPr>
            <w:tcW w:w="232" w:type="pct"/>
          </w:tcPr>
          <w:p w14:paraId="407F8B80" w14:textId="77777777" w:rsidR="009E3903" w:rsidRPr="00B1632D" w:rsidRDefault="009E3903" w:rsidP="00902260">
            <w:pPr>
              <w:keepNext/>
              <w:keepLines/>
              <w:spacing w:after="0"/>
              <w:jc w:val="center"/>
              <w:rPr>
                <w:rFonts w:ascii="Arial" w:hAnsi="Arial"/>
                <w:sz w:val="18"/>
              </w:rPr>
            </w:pPr>
          </w:p>
        </w:tc>
        <w:tc>
          <w:tcPr>
            <w:tcW w:w="652" w:type="pct"/>
          </w:tcPr>
          <w:p w14:paraId="78177E58" w14:textId="77777777" w:rsidR="009E3903" w:rsidRPr="00B1632D" w:rsidRDefault="009E3903" w:rsidP="00902260">
            <w:pPr>
              <w:keepNext/>
              <w:keepLines/>
              <w:spacing w:after="0"/>
              <w:jc w:val="center"/>
              <w:rPr>
                <w:rFonts w:ascii="Arial" w:hAnsi="Arial"/>
                <w:sz w:val="18"/>
              </w:rPr>
            </w:pPr>
          </w:p>
        </w:tc>
        <w:tc>
          <w:tcPr>
            <w:tcW w:w="884" w:type="pct"/>
          </w:tcPr>
          <w:p w14:paraId="3856F5CC" w14:textId="77777777" w:rsidR="009E3903" w:rsidRPr="00B1632D" w:rsidRDefault="009E3903" w:rsidP="00902260">
            <w:pPr>
              <w:keepNext/>
              <w:keepLines/>
              <w:spacing w:after="0"/>
              <w:rPr>
                <w:rFonts w:ascii="Arial" w:hAnsi="Arial"/>
                <w:sz w:val="18"/>
              </w:rPr>
            </w:pPr>
            <w:r w:rsidRPr="00B1632D">
              <w:rPr>
                <w:rFonts w:ascii="Arial" w:hAnsi="Arial"/>
                <w:sz w:val="18"/>
              </w:rPr>
              <w:t>204 No Content</w:t>
            </w:r>
          </w:p>
        </w:tc>
        <w:tc>
          <w:tcPr>
            <w:tcW w:w="1918" w:type="pct"/>
          </w:tcPr>
          <w:p w14:paraId="7B206873" w14:textId="77777777" w:rsidR="009E3903" w:rsidRPr="00B1632D" w:rsidRDefault="009E3903" w:rsidP="00902260">
            <w:pPr>
              <w:keepNext/>
              <w:keepLines/>
              <w:spacing w:after="0"/>
              <w:rPr>
                <w:rFonts w:ascii="Arial" w:hAnsi="Arial"/>
                <w:sz w:val="18"/>
              </w:rPr>
            </w:pPr>
            <w:r w:rsidRPr="00B1632D">
              <w:rPr>
                <w:rFonts w:ascii="Arial" w:hAnsi="Arial"/>
                <w:sz w:val="18"/>
              </w:rPr>
              <w:t xml:space="preserve">The Individual NWDAF </w:t>
            </w:r>
            <w:r>
              <w:rPr>
                <w:rFonts w:ascii="Arial" w:hAnsi="Arial"/>
                <w:sz w:val="18"/>
              </w:rPr>
              <w:t>VFL Inference</w:t>
            </w:r>
            <w:r w:rsidRPr="00B1632D">
              <w:rPr>
                <w:rFonts w:ascii="Arial" w:hAnsi="Arial"/>
                <w:sz w:val="18"/>
              </w:rPr>
              <w:t xml:space="preserve"> Subscription resource was partial modified successfully.</w:t>
            </w:r>
          </w:p>
        </w:tc>
      </w:tr>
      <w:tr w:rsidR="009E3903" w:rsidRPr="00B1632D" w14:paraId="4293F3E4" w14:textId="77777777" w:rsidTr="00253BF3">
        <w:trPr>
          <w:jc w:val="center"/>
        </w:trPr>
        <w:tc>
          <w:tcPr>
            <w:tcW w:w="1314" w:type="pct"/>
          </w:tcPr>
          <w:p w14:paraId="2285AD61" w14:textId="77777777" w:rsidR="009E3903" w:rsidRPr="00B1632D" w:rsidRDefault="009E3903" w:rsidP="00902260">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7D5927EB"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52" w:type="pct"/>
          </w:tcPr>
          <w:p w14:paraId="605D5FB9"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884" w:type="pct"/>
          </w:tcPr>
          <w:p w14:paraId="792E380F" w14:textId="77777777" w:rsidR="009E3903" w:rsidRPr="00B1632D" w:rsidRDefault="009E3903" w:rsidP="00902260">
            <w:pPr>
              <w:keepNext/>
              <w:keepLines/>
              <w:spacing w:after="0"/>
              <w:rPr>
                <w:rFonts w:ascii="Arial" w:hAnsi="Arial"/>
                <w:sz w:val="18"/>
              </w:rPr>
            </w:pPr>
            <w:r w:rsidRPr="00B1632D">
              <w:rPr>
                <w:rFonts w:ascii="Arial" w:hAnsi="Arial"/>
                <w:sz w:val="18"/>
              </w:rPr>
              <w:t>307 Temporary Redirect</w:t>
            </w:r>
          </w:p>
        </w:tc>
        <w:tc>
          <w:tcPr>
            <w:tcW w:w="1918" w:type="pct"/>
          </w:tcPr>
          <w:p w14:paraId="7D29A150" w14:textId="77777777" w:rsidR="009E3903" w:rsidRDefault="009E3903" w:rsidP="00902260">
            <w:pPr>
              <w:pStyle w:val="TAL"/>
            </w:pPr>
            <w:r w:rsidRPr="00B1632D">
              <w:t>Temporary redirection.</w:t>
            </w:r>
          </w:p>
          <w:p w14:paraId="411E82A8" w14:textId="77777777" w:rsidR="009E3903" w:rsidRDefault="009E3903" w:rsidP="00902260">
            <w:pPr>
              <w:pStyle w:val="TAL"/>
            </w:pPr>
          </w:p>
          <w:p w14:paraId="4A8745F7" w14:textId="77777777" w:rsidR="009E3903" w:rsidRPr="00B1632D" w:rsidRDefault="009E3903" w:rsidP="00902260">
            <w:pPr>
              <w:pStyle w:val="TAL"/>
            </w:pPr>
            <w:r>
              <w:t>(NOTE 2)</w:t>
            </w:r>
          </w:p>
        </w:tc>
      </w:tr>
      <w:tr w:rsidR="009E3903" w:rsidRPr="00B1632D" w14:paraId="7EE4B9E3" w14:textId="77777777" w:rsidTr="00253BF3">
        <w:trPr>
          <w:jc w:val="center"/>
        </w:trPr>
        <w:tc>
          <w:tcPr>
            <w:tcW w:w="1314" w:type="pct"/>
          </w:tcPr>
          <w:p w14:paraId="41003F87" w14:textId="77777777" w:rsidR="009E3903" w:rsidRPr="00B1632D" w:rsidRDefault="009E3903" w:rsidP="00902260">
            <w:pPr>
              <w:keepNext/>
              <w:keepLines/>
              <w:spacing w:after="0"/>
              <w:rPr>
                <w:rFonts w:ascii="Arial" w:eastAsia="等线" w:hAnsi="Arial"/>
                <w:sz w:val="18"/>
                <w:lang w:eastAsia="zh-CN"/>
              </w:rPr>
            </w:pPr>
            <w:r w:rsidRPr="00B1632D">
              <w:rPr>
                <w:rFonts w:ascii="Arial" w:hAnsi="Arial"/>
                <w:sz w:val="18"/>
              </w:rPr>
              <w:t>RedirectResponse</w:t>
            </w:r>
          </w:p>
        </w:tc>
        <w:tc>
          <w:tcPr>
            <w:tcW w:w="232" w:type="pct"/>
          </w:tcPr>
          <w:p w14:paraId="419205BE"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52" w:type="pct"/>
          </w:tcPr>
          <w:p w14:paraId="19F332DA"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884" w:type="pct"/>
          </w:tcPr>
          <w:p w14:paraId="21F28D18" w14:textId="77777777" w:rsidR="009E3903" w:rsidRPr="00B1632D" w:rsidRDefault="009E3903" w:rsidP="00902260">
            <w:pPr>
              <w:keepNext/>
              <w:keepLines/>
              <w:spacing w:after="0"/>
              <w:rPr>
                <w:rFonts w:ascii="Arial" w:hAnsi="Arial"/>
                <w:sz w:val="18"/>
              </w:rPr>
            </w:pPr>
            <w:r w:rsidRPr="00B1632D">
              <w:rPr>
                <w:rFonts w:ascii="Arial" w:hAnsi="Arial"/>
                <w:sz w:val="18"/>
              </w:rPr>
              <w:t>308 Permanent Redirect</w:t>
            </w:r>
          </w:p>
        </w:tc>
        <w:tc>
          <w:tcPr>
            <w:tcW w:w="1918" w:type="pct"/>
          </w:tcPr>
          <w:p w14:paraId="711B9886" w14:textId="77777777" w:rsidR="009E3903" w:rsidRDefault="009E3903" w:rsidP="00902260">
            <w:pPr>
              <w:pStyle w:val="TAL"/>
            </w:pPr>
            <w:r w:rsidRPr="00B1632D">
              <w:t>Permanent redirection.</w:t>
            </w:r>
          </w:p>
          <w:p w14:paraId="4AB73F78" w14:textId="77777777" w:rsidR="009E3903" w:rsidRDefault="009E3903" w:rsidP="00902260">
            <w:pPr>
              <w:pStyle w:val="TAL"/>
            </w:pPr>
          </w:p>
          <w:p w14:paraId="730AC2EC" w14:textId="77777777" w:rsidR="009E3903" w:rsidRPr="00B1632D" w:rsidRDefault="009E3903" w:rsidP="00902260">
            <w:pPr>
              <w:pStyle w:val="TAL"/>
            </w:pPr>
            <w:r>
              <w:t>(NOTE 2)</w:t>
            </w:r>
          </w:p>
        </w:tc>
      </w:tr>
      <w:tr w:rsidR="009E3903" w:rsidRPr="00B1632D" w14:paraId="062F05A2" w14:textId="77777777" w:rsidTr="00902260">
        <w:trPr>
          <w:jc w:val="center"/>
        </w:trPr>
        <w:tc>
          <w:tcPr>
            <w:tcW w:w="5000" w:type="pct"/>
            <w:gridSpan w:val="5"/>
          </w:tcPr>
          <w:p w14:paraId="27BC37DF" w14:textId="77777777" w:rsidR="009E3903" w:rsidRPr="00B1632D" w:rsidRDefault="009E3903" w:rsidP="00902260">
            <w:pPr>
              <w:pStyle w:val="TAN"/>
            </w:pPr>
            <w:r w:rsidRPr="00B1632D">
              <w:t>NOTE 1:</w:t>
            </w:r>
            <w:r w:rsidRPr="00B1632D">
              <w:tab/>
              <w:t xml:space="preserve">The mandatory HTTP error status codes for the </w:t>
            </w:r>
            <w:r w:rsidRPr="003F1954">
              <w:t xml:space="preserve">PATCH </w:t>
            </w:r>
            <w:r w:rsidRPr="00B1632D">
              <w:t>method listed in table 5.2.7.1-1 of 3GPP TS 29.500 [6] also apply.</w:t>
            </w:r>
          </w:p>
          <w:p w14:paraId="7AB829F8" w14:textId="77777777" w:rsidR="009E3903" w:rsidRPr="00B1632D" w:rsidRDefault="009E3903" w:rsidP="00902260">
            <w:pPr>
              <w:pStyle w:val="TAN"/>
            </w:pPr>
            <w:r w:rsidRPr="00A0180C">
              <w:t>NOTE </w:t>
            </w:r>
            <w:r>
              <w:t>2</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54F7D91D" w14:textId="77777777" w:rsidR="009E3903" w:rsidRPr="00B1632D" w:rsidRDefault="009E3903" w:rsidP="009E3903">
      <w:pPr>
        <w:rPr>
          <w:lang w:eastAsia="en-GB"/>
        </w:rPr>
      </w:pPr>
    </w:p>
    <w:p w14:paraId="43510F64" w14:textId="77777777" w:rsidR="009E3903" w:rsidRDefault="009E3903" w:rsidP="009E3903">
      <w:pPr>
        <w:pStyle w:val="TH"/>
      </w:pPr>
      <w:r>
        <w:lastRenderedPageBreak/>
        <w:t>Table 5.10.3.3.3.2-4: Headers supported by the 307 Response Code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498D7B0A" w14:textId="77777777" w:rsidTr="00902260">
        <w:trPr>
          <w:jc w:val="center"/>
        </w:trPr>
        <w:tc>
          <w:tcPr>
            <w:tcW w:w="1027" w:type="pct"/>
            <w:tcBorders>
              <w:bottom w:val="single" w:sz="6" w:space="0" w:color="auto"/>
            </w:tcBorders>
            <w:shd w:val="clear" w:color="auto" w:fill="C0C0C0"/>
          </w:tcPr>
          <w:p w14:paraId="17C851B6" w14:textId="77777777" w:rsidR="009E3903" w:rsidRDefault="009E3903" w:rsidP="00902260">
            <w:pPr>
              <w:pStyle w:val="TAH"/>
            </w:pPr>
            <w:r>
              <w:t>Name</w:t>
            </w:r>
          </w:p>
        </w:tc>
        <w:tc>
          <w:tcPr>
            <w:tcW w:w="529" w:type="pct"/>
            <w:tcBorders>
              <w:bottom w:val="single" w:sz="6" w:space="0" w:color="auto"/>
            </w:tcBorders>
            <w:shd w:val="clear" w:color="auto" w:fill="C0C0C0"/>
          </w:tcPr>
          <w:p w14:paraId="7AF3798C" w14:textId="77777777" w:rsidR="009E3903" w:rsidRDefault="009E3903" w:rsidP="00902260">
            <w:pPr>
              <w:pStyle w:val="TAH"/>
            </w:pPr>
            <w:r>
              <w:t>Data type</w:t>
            </w:r>
          </w:p>
        </w:tc>
        <w:tc>
          <w:tcPr>
            <w:tcW w:w="217" w:type="pct"/>
            <w:tcBorders>
              <w:bottom w:val="single" w:sz="6" w:space="0" w:color="auto"/>
            </w:tcBorders>
            <w:shd w:val="clear" w:color="auto" w:fill="C0C0C0"/>
          </w:tcPr>
          <w:p w14:paraId="698AE62B" w14:textId="77777777" w:rsidR="009E3903" w:rsidRDefault="009E3903" w:rsidP="00902260">
            <w:pPr>
              <w:pStyle w:val="TAH"/>
            </w:pPr>
            <w:r>
              <w:t>P</w:t>
            </w:r>
          </w:p>
        </w:tc>
        <w:tc>
          <w:tcPr>
            <w:tcW w:w="581" w:type="pct"/>
            <w:tcBorders>
              <w:bottom w:val="single" w:sz="6" w:space="0" w:color="auto"/>
            </w:tcBorders>
            <w:shd w:val="clear" w:color="auto" w:fill="C0C0C0"/>
          </w:tcPr>
          <w:p w14:paraId="10ACF8A2"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56CB1FBD" w14:textId="77777777" w:rsidR="009E3903" w:rsidRDefault="009E3903" w:rsidP="00902260">
            <w:pPr>
              <w:pStyle w:val="TAH"/>
            </w:pPr>
            <w:r>
              <w:t>Description</w:t>
            </w:r>
          </w:p>
        </w:tc>
      </w:tr>
      <w:tr w:rsidR="009E3903" w14:paraId="717420CA" w14:textId="77777777" w:rsidTr="00902260">
        <w:trPr>
          <w:jc w:val="center"/>
        </w:trPr>
        <w:tc>
          <w:tcPr>
            <w:tcW w:w="1027" w:type="pct"/>
            <w:tcBorders>
              <w:top w:val="single" w:sz="6" w:space="0" w:color="auto"/>
            </w:tcBorders>
          </w:tcPr>
          <w:p w14:paraId="53B5FF41" w14:textId="77777777" w:rsidR="009E3903" w:rsidRDefault="009E3903" w:rsidP="00902260">
            <w:pPr>
              <w:pStyle w:val="TAL"/>
            </w:pPr>
            <w:r>
              <w:t>Location</w:t>
            </w:r>
          </w:p>
        </w:tc>
        <w:tc>
          <w:tcPr>
            <w:tcW w:w="529" w:type="pct"/>
            <w:tcBorders>
              <w:top w:val="single" w:sz="6" w:space="0" w:color="auto"/>
            </w:tcBorders>
          </w:tcPr>
          <w:p w14:paraId="080E4B8A" w14:textId="77777777" w:rsidR="009E3903" w:rsidRDefault="009E3903" w:rsidP="00902260">
            <w:pPr>
              <w:pStyle w:val="TAL"/>
            </w:pPr>
            <w:r>
              <w:t>string</w:t>
            </w:r>
          </w:p>
        </w:tc>
        <w:tc>
          <w:tcPr>
            <w:tcW w:w="217" w:type="pct"/>
            <w:tcBorders>
              <w:top w:val="single" w:sz="6" w:space="0" w:color="auto"/>
            </w:tcBorders>
          </w:tcPr>
          <w:p w14:paraId="2774A854" w14:textId="77777777" w:rsidR="009E3903" w:rsidRDefault="009E3903" w:rsidP="00902260">
            <w:pPr>
              <w:pStyle w:val="TAC"/>
            </w:pPr>
            <w:r>
              <w:t>M</w:t>
            </w:r>
          </w:p>
        </w:tc>
        <w:tc>
          <w:tcPr>
            <w:tcW w:w="581" w:type="pct"/>
            <w:tcBorders>
              <w:top w:val="single" w:sz="6" w:space="0" w:color="auto"/>
            </w:tcBorders>
          </w:tcPr>
          <w:p w14:paraId="416A6506" w14:textId="77777777" w:rsidR="009E3903" w:rsidRDefault="009E3903" w:rsidP="00902260">
            <w:pPr>
              <w:pStyle w:val="TAL"/>
            </w:pPr>
            <w:r>
              <w:t>1</w:t>
            </w:r>
          </w:p>
        </w:tc>
        <w:tc>
          <w:tcPr>
            <w:tcW w:w="2645" w:type="pct"/>
            <w:tcBorders>
              <w:top w:val="single" w:sz="6" w:space="0" w:color="auto"/>
            </w:tcBorders>
            <w:vAlign w:val="center"/>
          </w:tcPr>
          <w:p w14:paraId="29B26E19"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3D368388" w14:textId="77777777" w:rsidR="009E3903" w:rsidRDefault="009E3903" w:rsidP="00902260">
            <w:pPr>
              <w:pStyle w:val="TAL"/>
            </w:pPr>
          </w:p>
          <w:p w14:paraId="6F60D910"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11DC6FDB" w14:textId="77777777" w:rsidTr="00902260">
        <w:trPr>
          <w:jc w:val="center"/>
        </w:trPr>
        <w:tc>
          <w:tcPr>
            <w:tcW w:w="1027" w:type="pct"/>
          </w:tcPr>
          <w:p w14:paraId="0F1AC778" w14:textId="77777777" w:rsidR="009E3903" w:rsidRDefault="009E3903" w:rsidP="00902260">
            <w:pPr>
              <w:pStyle w:val="TAL"/>
            </w:pPr>
            <w:r>
              <w:rPr>
                <w:lang w:eastAsia="zh-CN"/>
              </w:rPr>
              <w:t>3gpp-Sbi-Target-Nf-Id</w:t>
            </w:r>
          </w:p>
        </w:tc>
        <w:tc>
          <w:tcPr>
            <w:tcW w:w="529" w:type="pct"/>
          </w:tcPr>
          <w:p w14:paraId="1162F13B" w14:textId="77777777" w:rsidR="009E3903" w:rsidRDefault="009E3903" w:rsidP="00902260">
            <w:pPr>
              <w:pStyle w:val="TAL"/>
            </w:pPr>
            <w:r>
              <w:rPr>
                <w:lang w:eastAsia="fr-FR"/>
              </w:rPr>
              <w:t>string</w:t>
            </w:r>
          </w:p>
        </w:tc>
        <w:tc>
          <w:tcPr>
            <w:tcW w:w="217" w:type="pct"/>
          </w:tcPr>
          <w:p w14:paraId="1BCD2579" w14:textId="77777777" w:rsidR="009E3903" w:rsidRDefault="009E3903" w:rsidP="00902260">
            <w:pPr>
              <w:pStyle w:val="TAC"/>
            </w:pPr>
            <w:r>
              <w:rPr>
                <w:lang w:eastAsia="fr-FR"/>
              </w:rPr>
              <w:t>O</w:t>
            </w:r>
          </w:p>
        </w:tc>
        <w:tc>
          <w:tcPr>
            <w:tcW w:w="581" w:type="pct"/>
          </w:tcPr>
          <w:p w14:paraId="28235FE9" w14:textId="77777777" w:rsidR="009E3903" w:rsidRDefault="009E3903" w:rsidP="00902260">
            <w:pPr>
              <w:pStyle w:val="TAL"/>
            </w:pPr>
            <w:r>
              <w:rPr>
                <w:lang w:eastAsia="fr-FR"/>
              </w:rPr>
              <w:t>0..1</w:t>
            </w:r>
          </w:p>
        </w:tc>
        <w:tc>
          <w:tcPr>
            <w:tcW w:w="2645" w:type="pct"/>
            <w:vAlign w:val="center"/>
          </w:tcPr>
          <w:p w14:paraId="70233606" w14:textId="77777777" w:rsidR="009E3903" w:rsidRDefault="009E3903" w:rsidP="00902260">
            <w:pPr>
              <w:pStyle w:val="TAL"/>
            </w:pPr>
            <w:r>
              <w:rPr>
                <w:lang w:eastAsia="fr-FR"/>
              </w:rPr>
              <w:t>Contains the identifier of the target NF (service) instance towards which the request is redirected</w:t>
            </w:r>
          </w:p>
        </w:tc>
      </w:tr>
    </w:tbl>
    <w:p w14:paraId="50BBD8C8" w14:textId="77777777" w:rsidR="009E3903" w:rsidRDefault="009E3903" w:rsidP="009E3903"/>
    <w:p w14:paraId="517861A6" w14:textId="77777777" w:rsidR="009E3903" w:rsidRDefault="009E3903" w:rsidP="009E3903">
      <w:pPr>
        <w:pStyle w:val="TH"/>
      </w:pPr>
      <w:r>
        <w:t>Table 5.10.3.3.3.2-5: Headers supported by the 308 Response Code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55206E60" w14:textId="77777777" w:rsidTr="00902260">
        <w:trPr>
          <w:jc w:val="center"/>
        </w:trPr>
        <w:tc>
          <w:tcPr>
            <w:tcW w:w="1027" w:type="pct"/>
            <w:tcBorders>
              <w:bottom w:val="single" w:sz="6" w:space="0" w:color="auto"/>
            </w:tcBorders>
            <w:shd w:val="clear" w:color="auto" w:fill="C0C0C0"/>
          </w:tcPr>
          <w:p w14:paraId="1246F3DA" w14:textId="77777777" w:rsidR="009E3903" w:rsidRDefault="009E3903" w:rsidP="00902260">
            <w:pPr>
              <w:pStyle w:val="TAH"/>
            </w:pPr>
            <w:r>
              <w:t>Name</w:t>
            </w:r>
          </w:p>
        </w:tc>
        <w:tc>
          <w:tcPr>
            <w:tcW w:w="529" w:type="pct"/>
            <w:tcBorders>
              <w:bottom w:val="single" w:sz="6" w:space="0" w:color="auto"/>
            </w:tcBorders>
            <w:shd w:val="clear" w:color="auto" w:fill="C0C0C0"/>
          </w:tcPr>
          <w:p w14:paraId="47059DCE" w14:textId="77777777" w:rsidR="009E3903" w:rsidRDefault="009E3903" w:rsidP="00902260">
            <w:pPr>
              <w:pStyle w:val="TAH"/>
            </w:pPr>
            <w:r>
              <w:t>Data type</w:t>
            </w:r>
          </w:p>
        </w:tc>
        <w:tc>
          <w:tcPr>
            <w:tcW w:w="217" w:type="pct"/>
            <w:tcBorders>
              <w:bottom w:val="single" w:sz="6" w:space="0" w:color="auto"/>
            </w:tcBorders>
            <w:shd w:val="clear" w:color="auto" w:fill="C0C0C0"/>
          </w:tcPr>
          <w:p w14:paraId="3D83B6BC" w14:textId="77777777" w:rsidR="009E3903" w:rsidRDefault="009E3903" w:rsidP="00902260">
            <w:pPr>
              <w:pStyle w:val="TAH"/>
            </w:pPr>
            <w:r>
              <w:t>P</w:t>
            </w:r>
          </w:p>
        </w:tc>
        <w:tc>
          <w:tcPr>
            <w:tcW w:w="581" w:type="pct"/>
            <w:tcBorders>
              <w:bottom w:val="single" w:sz="6" w:space="0" w:color="auto"/>
            </w:tcBorders>
            <w:shd w:val="clear" w:color="auto" w:fill="C0C0C0"/>
          </w:tcPr>
          <w:p w14:paraId="01062E68"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652EF2AB" w14:textId="77777777" w:rsidR="009E3903" w:rsidRDefault="009E3903" w:rsidP="00902260">
            <w:pPr>
              <w:pStyle w:val="TAH"/>
            </w:pPr>
            <w:r>
              <w:t>Description</w:t>
            </w:r>
          </w:p>
        </w:tc>
      </w:tr>
      <w:tr w:rsidR="009E3903" w14:paraId="7062A178" w14:textId="77777777" w:rsidTr="00902260">
        <w:trPr>
          <w:jc w:val="center"/>
        </w:trPr>
        <w:tc>
          <w:tcPr>
            <w:tcW w:w="1027" w:type="pct"/>
            <w:tcBorders>
              <w:top w:val="single" w:sz="6" w:space="0" w:color="auto"/>
            </w:tcBorders>
          </w:tcPr>
          <w:p w14:paraId="58373F87" w14:textId="77777777" w:rsidR="009E3903" w:rsidRDefault="009E3903" w:rsidP="00902260">
            <w:pPr>
              <w:pStyle w:val="TAL"/>
            </w:pPr>
            <w:r>
              <w:t>Location</w:t>
            </w:r>
          </w:p>
        </w:tc>
        <w:tc>
          <w:tcPr>
            <w:tcW w:w="529" w:type="pct"/>
            <w:tcBorders>
              <w:top w:val="single" w:sz="6" w:space="0" w:color="auto"/>
            </w:tcBorders>
          </w:tcPr>
          <w:p w14:paraId="5A8CF209" w14:textId="77777777" w:rsidR="009E3903" w:rsidRDefault="009E3903" w:rsidP="00902260">
            <w:pPr>
              <w:pStyle w:val="TAL"/>
            </w:pPr>
            <w:r>
              <w:t>string</w:t>
            </w:r>
          </w:p>
        </w:tc>
        <w:tc>
          <w:tcPr>
            <w:tcW w:w="217" w:type="pct"/>
            <w:tcBorders>
              <w:top w:val="single" w:sz="6" w:space="0" w:color="auto"/>
            </w:tcBorders>
          </w:tcPr>
          <w:p w14:paraId="6C2E34DC" w14:textId="77777777" w:rsidR="009E3903" w:rsidRDefault="009E3903" w:rsidP="00902260">
            <w:pPr>
              <w:pStyle w:val="TAC"/>
            </w:pPr>
            <w:r>
              <w:t>M</w:t>
            </w:r>
          </w:p>
        </w:tc>
        <w:tc>
          <w:tcPr>
            <w:tcW w:w="581" w:type="pct"/>
            <w:tcBorders>
              <w:top w:val="single" w:sz="6" w:space="0" w:color="auto"/>
            </w:tcBorders>
          </w:tcPr>
          <w:p w14:paraId="43AEC3D9" w14:textId="77777777" w:rsidR="009E3903" w:rsidRDefault="009E3903" w:rsidP="00902260">
            <w:pPr>
              <w:pStyle w:val="TAL"/>
            </w:pPr>
            <w:r>
              <w:t>1</w:t>
            </w:r>
          </w:p>
        </w:tc>
        <w:tc>
          <w:tcPr>
            <w:tcW w:w="2645" w:type="pct"/>
            <w:tcBorders>
              <w:top w:val="single" w:sz="6" w:space="0" w:color="auto"/>
            </w:tcBorders>
            <w:vAlign w:val="center"/>
          </w:tcPr>
          <w:p w14:paraId="229C3347"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5D67DD4B" w14:textId="77777777" w:rsidR="009E3903" w:rsidRDefault="009E3903" w:rsidP="00902260">
            <w:pPr>
              <w:pStyle w:val="TAL"/>
            </w:pPr>
          </w:p>
          <w:p w14:paraId="74A1706B"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3ACDF1D1" w14:textId="77777777" w:rsidTr="00902260">
        <w:trPr>
          <w:jc w:val="center"/>
        </w:trPr>
        <w:tc>
          <w:tcPr>
            <w:tcW w:w="1027" w:type="pct"/>
          </w:tcPr>
          <w:p w14:paraId="12D96851" w14:textId="77777777" w:rsidR="009E3903" w:rsidRDefault="009E3903" w:rsidP="00902260">
            <w:pPr>
              <w:pStyle w:val="TAL"/>
            </w:pPr>
            <w:r>
              <w:rPr>
                <w:lang w:eastAsia="zh-CN"/>
              </w:rPr>
              <w:t>3gpp-Sbi-Target-Nf-Id</w:t>
            </w:r>
          </w:p>
        </w:tc>
        <w:tc>
          <w:tcPr>
            <w:tcW w:w="529" w:type="pct"/>
          </w:tcPr>
          <w:p w14:paraId="3983984F" w14:textId="77777777" w:rsidR="009E3903" w:rsidRDefault="009E3903" w:rsidP="00902260">
            <w:pPr>
              <w:pStyle w:val="TAL"/>
            </w:pPr>
            <w:r>
              <w:rPr>
                <w:lang w:eastAsia="fr-FR"/>
              </w:rPr>
              <w:t>string</w:t>
            </w:r>
          </w:p>
        </w:tc>
        <w:tc>
          <w:tcPr>
            <w:tcW w:w="217" w:type="pct"/>
          </w:tcPr>
          <w:p w14:paraId="0876E0F9" w14:textId="77777777" w:rsidR="009E3903" w:rsidRDefault="009E3903" w:rsidP="00902260">
            <w:pPr>
              <w:pStyle w:val="TAC"/>
            </w:pPr>
            <w:r>
              <w:rPr>
                <w:lang w:eastAsia="fr-FR"/>
              </w:rPr>
              <w:t>O</w:t>
            </w:r>
          </w:p>
        </w:tc>
        <w:tc>
          <w:tcPr>
            <w:tcW w:w="581" w:type="pct"/>
          </w:tcPr>
          <w:p w14:paraId="53A174DE" w14:textId="77777777" w:rsidR="009E3903" w:rsidRDefault="009E3903" w:rsidP="00902260">
            <w:pPr>
              <w:pStyle w:val="TAL"/>
            </w:pPr>
            <w:r>
              <w:rPr>
                <w:lang w:eastAsia="fr-FR"/>
              </w:rPr>
              <w:t>0..1</w:t>
            </w:r>
          </w:p>
        </w:tc>
        <w:tc>
          <w:tcPr>
            <w:tcW w:w="2645" w:type="pct"/>
            <w:vAlign w:val="center"/>
          </w:tcPr>
          <w:p w14:paraId="740D3C44" w14:textId="77777777" w:rsidR="009E3903" w:rsidRDefault="009E3903" w:rsidP="00902260">
            <w:pPr>
              <w:pStyle w:val="TAL"/>
            </w:pPr>
            <w:r>
              <w:rPr>
                <w:lang w:eastAsia="fr-FR"/>
              </w:rPr>
              <w:t>Contains the identifier of the target NF (service) instance towards which the request is redirected</w:t>
            </w:r>
          </w:p>
        </w:tc>
      </w:tr>
    </w:tbl>
    <w:p w14:paraId="09C2B52C" w14:textId="77777777" w:rsidR="009E3903" w:rsidRPr="007605E0" w:rsidRDefault="009E3903" w:rsidP="009E3903">
      <w:pPr>
        <w:rPr>
          <w:rFonts w:eastAsia="MS Mincho"/>
          <w:lang w:eastAsia="ja-JP"/>
        </w:rPr>
      </w:pPr>
    </w:p>
    <w:p w14:paraId="0DAD0F16" w14:textId="77777777" w:rsidR="009E3903" w:rsidRDefault="009E3903" w:rsidP="009E3903">
      <w:pPr>
        <w:pStyle w:val="6"/>
      </w:pPr>
      <w:bookmarkStart w:id="17028" w:name="_Toc199453483"/>
      <w:r>
        <w:t>5.10.3.3.3.3</w:t>
      </w:r>
      <w:r>
        <w:tab/>
        <w:t>DELETE</w:t>
      </w:r>
      <w:bookmarkEnd w:id="17028"/>
    </w:p>
    <w:p w14:paraId="43287803" w14:textId="77777777" w:rsidR="009E3903" w:rsidRDefault="009E3903" w:rsidP="009E3903">
      <w:r>
        <w:t>This method shall support the URI query parameters specified in table 5.10.3.3.3.3-1.</w:t>
      </w:r>
    </w:p>
    <w:p w14:paraId="0290EDB3" w14:textId="77777777" w:rsidR="009E3903" w:rsidRDefault="009E3903" w:rsidP="009E3903">
      <w:pPr>
        <w:pStyle w:val="TH"/>
      </w:pPr>
      <w:r>
        <w:t>Table 5.10.3.3.3.3-1: URI query parameters supported by the DELETE method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40"/>
        <w:gridCol w:w="1367"/>
        <w:gridCol w:w="405"/>
        <w:gridCol w:w="1085"/>
        <w:gridCol w:w="4939"/>
      </w:tblGrid>
      <w:tr w:rsidR="009E3903" w14:paraId="30017708" w14:textId="77777777" w:rsidTr="00902260">
        <w:trPr>
          <w:jc w:val="center"/>
        </w:trPr>
        <w:tc>
          <w:tcPr>
            <w:tcW w:w="825" w:type="pct"/>
            <w:tcBorders>
              <w:bottom w:val="single" w:sz="6" w:space="0" w:color="auto"/>
            </w:tcBorders>
            <w:shd w:val="clear" w:color="auto" w:fill="C0C0C0"/>
          </w:tcPr>
          <w:p w14:paraId="0CFBA101" w14:textId="77777777" w:rsidR="009E3903" w:rsidRDefault="009E3903" w:rsidP="00902260">
            <w:pPr>
              <w:pStyle w:val="TAH"/>
            </w:pPr>
            <w:r>
              <w:t>Name</w:t>
            </w:r>
          </w:p>
        </w:tc>
        <w:tc>
          <w:tcPr>
            <w:tcW w:w="732" w:type="pct"/>
            <w:tcBorders>
              <w:bottom w:val="single" w:sz="6" w:space="0" w:color="auto"/>
            </w:tcBorders>
            <w:shd w:val="clear" w:color="auto" w:fill="C0C0C0"/>
          </w:tcPr>
          <w:p w14:paraId="2C5C66F4" w14:textId="77777777" w:rsidR="009E3903" w:rsidRDefault="009E3903" w:rsidP="00902260">
            <w:pPr>
              <w:pStyle w:val="TAH"/>
            </w:pPr>
            <w:r>
              <w:t>Data type</w:t>
            </w:r>
          </w:p>
        </w:tc>
        <w:tc>
          <w:tcPr>
            <w:tcW w:w="217" w:type="pct"/>
            <w:tcBorders>
              <w:bottom w:val="single" w:sz="6" w:space="0" w:color="auto"/>
            </w:tcBorders>
            <w:shd w:val="clear" w:color="auto" w:fill="C0C0C0"/>
          </w:tcPr>
          <w:p w14:paraId="6FE662F7" w14:textId="77777777" w:rsidR="009E3903" w:rsidRDefault="009E3903" w:rsidP="00902260">
            <w:pPr>
              <w:pStyle w:val="TAH"/>
            </w:pPr>
            <w:r>
              <w:t>P</w:t>
            </w:r>
          </w:p>
        </w:tc>
        <w:tc>
          <w:tcPr>
            <w:tcW w:w="581" w:type="pct"/>
            <w:tcBorders>
              <w:bottom w:val="single" w:sz="6" w:space="0" w:color="auto"/>
            </w:tcBorders>
            <w:shd w:val="clear" w:color="auto" w:fill="C0C0C0"/>
          </w:tcPr>
          <w:p w14:paraId="746F817F"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74C7CC9C" w14:textId="77777777" w:rsidR="009E3903" w:rsidRDefault="009E3903" w:rsidP="00902260">
            <w:pPr>
              <w:pStyle w:val="TAH"/>
            </w:pPr>
            <w:r>
              <w:t>Description</w:t>
            </w:r>
          </w:p>
        </w:tc>
      </w:tr>
      <w:tr w:rsidR="009E3903" w14:paraId="39E1F10E" w14:textId="77777777" w:rsidTr="00902260">
        <w:trPr>
          <w:jc w:val="center"/>
        </w:trPr>
        <w:tc>
          <w:tcPr>
            <w:tcW w:w="825" w:type="pct"/>
            <w:tcBorders>
              <w:top w:val="single" w:sz="6" w:space="0" w:color="auto"/>
            </w:tcBorders>
          </w:tcPr>
          <w:p w14:paraId="43403936" w14:textId="77777777" w:rsidR="009E3903" w:rsidRDefault="009E3903" w:rsidP="00902260">
            <w:pPr>
              <w:pStyle w:val="TAL"/>
            </w:pPr>
            <w:r>
              <w:t>n/a</w:t>
            </w:r>
          </w:p>
        </w:tc>
        <w:tc>
          <w:tcPr>
            <w:tcW w:w="732" w:type="pct"/>
            <w:tcBorders>
              <w:top w:val="single" w:sz="6" w:space="0" w:color="auto"/>
            </w:tcBorders>
          </w:tcPr>
          <w:p w14:paraId="11DF9527" w14:textId="77777777" w:rsidR="009E3903" w:rsidRDefault="009E3903" w:rsidP="00902260">
            <w:pPr>
              <w:pStyle w:val="TAL"/>
            </w:pPr>
          </w:p>
        </w:tc>
        <w:tc>
          <w:tcPr>
            <w:tcW w:w="217" w:type="pct"/>
            <w:tcBorders>
              <w:top w:val="single" w:sz="6" w:space="0" w:color="auto"/>
            </w:tcBorders>
          </w:tcPr>
          <w:p w14:paraId="4969A60D" w14:textId="77777777" w:rsidR="009E3903" w:rsidRDefault="009E3903" w:rsidP="00902260">
            <w:pPr>
              <w:pStyle w:val="TAC"/>
            </w:pPr>
          </w:p>
        </w:tc>
        <w:tc>
          <w:tcPr>
            <w:tcW w:w="581" w:type="pct"/>
            <w:tcBorders>
              <w:top w:val="single" w:sz="6" w:space="0" w:color="auto"/>
            </w:tcBorders>
          </w:tcPr>
          <w:p w14:paraId="751412FE" w14:textId="77777777" w:rsidR="009E3903" w:rsidRDefault="009E3903" w:rsidP="00902260">
            <w:pPr>
              <w:pStyle w:val="TAL"/>
            </w:pPr>
          </w:p>
        </w:tc>
        <w:tc>
          <w:tcPr>
            <w:tcW w:w="2646" w:type="pct"/>
            <w:tcBorders>
              <w:top w:val="single" w:sz="6" w:space="0" w:color="auto"/>
            </w:tcBorders>
            <w:vAlign w:val="center"/>
          </w:tcPr>
          <w:p w14:paraId="1E29850C" w14:textId="77777777" w:rsidR="009E3903" w:rsidRDefault="009E3903" w:rsidP="00902260">
            <w:pPr>
              <w:pStyle w:val="TAL"/>
            </w:pPr>
          </w:p>
        </w:tc>
      </w:tr>
    </w:tbl>
    <w:p w14:paraId="2BE97BCE" w14:textId="77777777" w:rsidR="009E3903" w:rsidRDefault="009E3903" w:rsidP="009E3903"/>
    <w:p w14:paraId="373F5FE2" w14:textId="77777777" w:rsidR="009E3903" w:rsidRDefault="009E3903" w:rsidP="009E3903">
      <w:r>
        <w:t>This method shall support the request data structures specified in table 5.10.3.3.3.3-2 and the response data structures and response codes specified in table 5.10.3.3.3.3-3.</w:t>
      </w:r>
    </w:p>
    <w:p w14:paraId="154E36F9" w14:textId="77777777" w:rsidR="009E3903" w:rsidRDefault="009E3903" w:rsidP="009E3903">
      <w:pPr>
        <w:pStyle w:val="TH"/>
      </w:pPr>
      <w:r>
        <w:t>Table 5.10.3.3.3.3-2: Data structures supported by the DELETE Request Body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6"/>
        <w:gridCol w:w="415"/>
        <w:gridCol w:w="1223"/>
        <w:gridCol w:w="6142"/>
      </w:tblGrid>
      <w:tr w:rsidR="009E3903" w14:paraId="4DB3A813" w14:textId="77777777" w:rsidTr="00902260">
        <w:trPr>
          <w:jc w:val="center"/>
        </w:trPr>
        <w:tc>
          <w:tcPr>
            <w:tcW w:w="1607" w:type="dxa"/>
            <w:tcBorders>
              <w:bottom w:val="single" w:sz="6" w:space="0" w:color="auto"/>
            </w:tcBorders>
            <w:shd w:val="clear" w:color="auto" w:fill="C0C0C0"/>
          </w:tcPr>
          <w:p w14:paraId="749FA813" w14:textId="77777777" w:rsidR="009E3903" w:rsidRDefault="009E3903" w:rsidP="00902260">
            <w:pPr>
              <w:pStyle w:val="TAH"/>
            </w:pPr>
            <w:r>
              <w:t>Data type</w:t>
            </w:r>
          </w:p>
        </w:tc>
        <w:tc>
          <w:tcPr>
            <w:tcW w:w="424" w:type="dxa"/>
            <w:tcBorders>
              <w:bottom w:val="single" w:sz="6" w:space="0" w:color="auto"/>
            </w:tcBorders>
            <w:shd w:val="clear" w:color="auto" w:fill="C0C0C0"/>
          </w:tcPr>
          <w:p w14:paraId="2BFFD4E5" w14:textId="77777777" w:rsidR="009E3903" w:rsidRDefault="009E3903" w:rsidP="00902260">
            <w:pPr>
              <w:pStyle w:val="TAH"/>
            </w:pPr>
            <w:r>
              <w:t>P</w:t>
            </w:r>
          </w:p>
        </w:tc>
        <w:tc>
          <w:tcPr>
            <w:tcW w:w="1262" w:type="dxa"/>
            <w:tcBorders>
              <w:bottom w:val="single" w:sz="6" w:space="0" w:color="auto"/>
            </w:tcBorders>
            <w:shd w:val="clear" w:color="auto" w:fill="C0C0C0"/>
          </w:tcPr>
          <w:p w14:paraId="10970F90" w14:textId="77777777" w:rsidR="009E3903" w:rsidRDefault="009E3903" w:rsidP="00902260">
            <w:pPr>
              <w:pStyle w:val="TAH"/>
            </w:pPr>
            <w:r>
              <w:t>Cardinality</w:t>
            </w:r>
          </w:p>
        </w:tc>
        <w:tc>
          <w:tcPr>
            <w:tcW w:w="6360" w:type="dxa"/>
            <w:tcBorders>
              <w:bottom w:val="single" w:sz="6" w:space="0" w:color="auto"/>
            </w:tcBorders>
            <w:shd w:val="clear" w:color="auto" w:fill="C0C0C0"/>
            <w:vAlign w:val="center"/>
          </w:tcPr>
          <w:p w14:paraId="0E3CCDE6" w14:textId="77777777" w:rsidR="009E3903" w:rsidRDefault="009E3903" w:rsidP="00902260">
            <w:pPr>
              <w:pStyle w:val="TAH"/>
            </w:pPr>
            <w:r>
              <w:t>Description</w:t>
            </w:r>
          </w:p>
        </w:tc>
      </w:tr>
      <w:tr w:rsidR="009E3903" w14:paraId="064AB49B" w14:textId="77777777" w:rsidTr="00902260">
        <w:trPr>
          <w:jc w:val="center"/>
        </w:trPr>
        <w:tc>
          <w:tcPr>
            <w:tcW w:w="1607" w:type="dxa"/>
            <w:tcBorders>
              <w:top w:val="single" w:sz="6" w:space="0" w:color="auto"/>
            </w:tcBorders>
          </w:tcPr>
          <w:p w14:paraId="0043D199" w14:textId="77777777" w:rsidR="009E3903" w:rsidRDefault="009E3903" w:rsidP="00902260">
            <w:pPr>
              <w:pStyle w:val="TAL"/>
            </w:pPr>
          </w:p>
        </w:tc>
        <w:tc>
          <w:tcPr>
            <w:tcW w:w="424" w:type="dxa"/>
            <w:tcBorders>
              <w:top w:val="single" w:sz="6" w:space="0" w:color="auto"/>
            </w:tcBorders>
          </w:tcPr>
          <w:p w14:paraId="44CC9540" w14:textId="77777777" w:rsidR="009E3903" w:rsidRDefault="009E3903" w:rsidP="00902260">
            <w:pPr>
              <w:pStyle w:val="TAC"/>
            </w:pPr>
          </w:p>
        </w:tc>
        <w:tc>
          <w:tcPr>
            <w:tcW w:w="1262" w:type="dxa"/>
            <w:tcBorders>
              <w:top w:val="single" w:sz="6" w:space="0" w:color="auto"/>
            </w:tcBorders>
          </w:tcPr>
          <w:p w14:paraId="77869AB4" w14:textId="77777777" w:rsidR="009E3903" w:rsidRDefault="009E3903" w:rsidP="00902260">
            <w:pPr>
              <w:pStyle w:val="TAL"/>
            </w:pPr>
          </w:p>
        </w:tc>
        <w:tc>
          <w:tcPr>
            <w:tcW w:w="6360" w:type="dxa"/>
            <w:tcBorders>
              <w:top w:val="single" w:sz="6" w:space="0" w:color="auto"/>
            </w:tcBorders>
          </w:tcPr>
          <w:p w14:paraId="01E9ED8C" w14:textId="77777777" w:rsidR="009E3903" w:rsidRDefault="009E3903" w:rsidP="00902260">
            <w:pPr>
              <w:pStyle w:val="TAL"/>
            </w:pPr>
          </w:p>
        </w:tc>
      </w:tr>
    </w:tbl>
    <w:p w14:paraId="7AFF603F" w14:textId="77777777" w:rsidR="009E3903" w:rsidRDefault="009E3903" w:rsidP="009E3903"/>
    <w:p w14:paraId="321C3BBA" w14:textId="77777777" w:rsidR="009E3903" w:rsidRDefault="009E3903" w:rsidP="009E3903">
      <w:pPr>
        <w:pStyle w:val="TH"/>
      </w:pPr>
      <w:r>
        <w:lastRenderedPageBreak/>
        <w:t>Table 5.10.3.3.3.3-3: Data structures supported by the DELETE Response Body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426"/>
        <w:gridCol w:w="1135"/>
        <w:gridCol w:w="1133"/>
        <w:gridCol w:w="4950"/>
      </w:tblGrid>
      <w:tr w:rsidR="009E3903" w14:paraId="653153C6" w14:textId="77777777" w:rsidTr="00902260">
        <w:trPr>
          <w:jc w:val="center"/>
        </w:trPr>
        <w:tc>
          <w:tcPr>
            <w:tcW w:w="906" w:type="pct"/>
            <w:tcBorders>
              <w:bottom w:val="single" w:sz="6" w:space="0" w:color="auto"/>
            </w:tcBorders>
            <w:shd w:val="clear" w:color="auto" w:fill="C0C0C0"/>
          </w:tcPr>
          <w:p w14:paraId="002C1A07" w14:textId="77777777" w:rsidR="009E3903" w:rsidRDefault="009E3903" w:rsidP="00902260">
            <w:pPr>
              <w:pStyle w:val="TAH"/>
            </w:pPr>
            <w:r>
              <w:t>Data type</w:t>
            </w:r>
          </w:p>
        </w:tc>
        <w:tc>
          <w:tcPr>
            <w:tcW w:w="228" w:type="pct"/>
            <w:tcBorders>
              <w:bottom w:val="single" w:sz="6" w:space="0" w:color="auto"/>
            </w:tcBorders>
            <w:shd w:val="clear" w:color="auto" w:fill="C0C0C0"/>
          </w:tcPr>
          <w:p w14:paraId="36EF2EA6" w14:textId="77777777" w:rsidR="009E3903" w:rsidRDefault="009E3903" w:rsidP="00902260">
            <w:pPr>
              <w:pStyle w:val="TAH"/>
            </w:pPr>
            <w:r>
              <w:t>P</w:t>
            </w:r>
          </w:p>
        </w:tc>
        <w:tc>
          <w:tcPr>
            <w:tcW w:w="608" w:type="pct"/>
            <w:tcBorders>
              <w:bottom w:val="single" w:sz="6" w:space="0" w:color="auto"/>
            </w:tcBorders>
            <w:shd w:val="clear" w:color="auto" w:fill="C0C0C0"/>
          </w:tcPr>
          <w:p w14:paraId="10DD6150" w14:textId="77777777" w:rsidR="009E3903" w:rsidRDefault="009E3903" w:rsidP="00902260">
            <w:pPr>
              <w:pStyle w:val="TAH"/>
            </w:pPr>
            <w:r>
              <w:t>Cardinality</w:t>
            </w:r>
          </w:p>
        </w:tc>
        <w:tc>
          <w:tcPr>
            <w:tcW w:w="607" w:type="pct"/>
            <w:tcBorders>
              <w:bottom w:val="single" w:sz="6" w:space="0" w:color="auto"/>
            </w:tcBorders>
            <w:shd w:val="clear" w:color="auto" w:fill="C0C0C0"/>
          </w:tcPr>
          <w:p w14:paraId="17EAF51C" w14:textId="77777777" w:rsidR="009E3903" w:rsidRDefault="009E3903" w:rsidP="00902260">
            <w:pPr>
              <w:pStyle w:val="TAH"/>
            </w:pPr>
            <w:r>
              <w:t>Response</w:t>
            </w:r>
          </w:p>
          <w:p w14:paraId="2BC9EBBF" w14:textId="77777777" w:rsidR="009E3903" w:rsidRDefault="009E3903" w:rsidP="00902260">
            <w:pPr>
              <w:pStyle w:val="TAH"/>
            </w:pPr>
            <w:r>
              <w:t>codes</w:t>
            </w:r>
          </w:p>
        </w:tc>
        <w:tc>
          <w:tcPr>
            <w:tcW w:w="2652" w:type="pct"/>
            <w:tcBorders>
              <w:bottom w:val="single" w:sz="6" w:space="0" w:color="auto"/>
            </w:tcBorders>
            <w:shd w:val="clear" w:color="auto" w:fill="C0C0C0"/>
          </w:tcPr>
          <w:p w14:paraId="7C65B72E" w14:textId="77777777" w:rsidR="009E3903" w:rsidRDefault="009E3903" w:rsidP="00902260">
            <w:pPr>
              <w:pStyle w:val="TAH"/>
            </w:pPr>
            <w:r>
              <w:t>Description</w:t>
            </w:r>
          </w:p>
        </w:tc>
      </w:tr>
      <w:tr w:rsidR="009E3903" w14:paraId="5D6A2FFB" w14:textId="77777777" w:rsidTr="00902260">
        <w:trPr>
          <w:jc w:val="center"/>
        </w:trPr>
        <w:tc>
          <w:tcPr>
            <w:tcW w:w="906" w:type="pct"/>
            <w:tcBorders>
              <w:top w:val="single" w:sz="6" w:space="0" w:color="auto"/>
            </w:tcBorders>
          </w:tcPr>
          <w:p w14:paraId="3067BAB5" w14:textId="77777777" w:rsidR="009E3903" w:rsidRDefault="009E3903" w:rsidP="00902260">
            <w:pPr>
              <w:pStyle w:val="TAL"/>
            </w:pPr>
            <w:r>
              <w:t>n/a</w:t>
            </w:r>
          </w:p>
        </w:tc>
        <w:tc>
          <w:tcPr>
            <w:tcW w:w="228" w:type="pct"/>
            <w:tcBorders>
              <w:top w:val="single" w:sz="6" w:space="0" w:color="auto"/>
            </w:tcBorders>
          </w:tcPr>
          <w:p w14:paraId="16727B30" w14:textId="77777777" w:rsidR="009E3903" w:rsidRDefault="009E3903" w:rsidP="00902260">
            <w:pPr>
              <w:pStyle w:val="TAC"/>
            </w:pPr>
          </w:p>
        </w:tc>
        <w:tc>
          <w:tcPr>
            <w:tcW w:w="608" w:type="pct"/>
            <w:tcBorders>
              <w:top w:val="single" w:sz="6" w:space="0" w:color="auto"/>
            </w:tcBorders>
          </w:tcPr>
          <w:p w14:paraId="40EC9437" w14:textId="77777777" w:rsidR="009E3903" w:rsidRDefault="009E3903" w:rsidP="00902260">
            <w:pPr>
              <w:pStyle w:val="TAC"/>
            </w:pPr>
          </w:p>
        </w:tc>
        <w:tc>
          <w:tcPr>
            <w:tcW w:w="607" w:type="pct"/>
            <w:tcBorders>
              <w:top w:val="single" w:sz="6" w:space="0" w:color="auto"/>
            </w:tcBorders>
          </w:tcPr>
          <w:p w14:paraId="4EFEC929" w14:textId="77777777" w:rsidR="009E3903" w:rsidRDefault="009E3903" w:rsidP="00902260">
            <w:pPr>
              <w:pStyle w:val="TAL"/>
            </w:pPr>
            <w:r>
              <w:t>204 No Content</w:t>
            </w:r>
          </w:p>
        </w:tc>
        <w:tc>
          <w:tcPr>
            <w:tcW w:w="2652" w:type="pct"/>
            <w:tcBorders>
              <w:top w:val="single" w:sz="6" w:space="0" w:color="auto"/>
            </w:tcBorders>
          </w:tcPr>
          <w:p w14:paraId="1F78192A" w14:textId="77777777" w:rsidR="009E3903" w:rsidRDefault="009E3903" w:rsidP="00902260">
            <w:pPr>
              <w:pStyle w:val="TAL"/>
            </w:pPr>
            <w:r>
              <w:t>Successful case: The Individual NWDAF VFL Subscription resource matching the subscriptionId was deleted.</w:t>
            </w:r>
          </w:p>
        </w:tc>
      </w:tr>
      <w:tr w:rsidR="009E3903" w14:paraId="2F923771" w14:textId="77777777" w:rsidTr="00902260">
        <w:trPr>
          <w:trHeight w:val="1086"/>
          <w:jc w:val="center"/>
        </w:trPr>
        <w:tc>
          <w:tcPr>
            <w:tcW w:w="906" w:type="pct"/>
          </w:tcPr>
          <w:p w14:paraId="4DBF9436" w14:textId="77777777" w:rsidR="009E3903" w:rsidRDefault="009E3903" w:rsidP="00902260">
            <w:pPr>
              <w:pStyle w:val="TAL"/>
            </w:pPr>
            <w:r>
              <w:t>RedirectResponse</w:t>
            </w:r>
          </w:p>
        </w:tc>
        <w:tc>
          <w:tcPr>
            <w:tcW w:w="228" w:type="pct"/>
          </w:tcPr>
          <w:p w14:paraId="49A5C843" w14:textId="77777777" w:rsidR="009E3903" w:rsidRDefault="009E3903" w:rsidP="00902260">
            <w:pPr>
              <w:pStyle w:val="TAC"/>
            </w:pPr>
            <w:r>
              <w:t>O</w:t>
            </w:r>
          </w:p>
        </w:tc>
        <w:tc>
          <w:tcPr>
            <w:tcW w:w="608" w:type="pct"/>
          </w:tcPr>
          <w:p w14:paraId="78009AB6" w14:textId="77777777" w:rsidR="009E3903" w:rsidRDefault="009E3903" w:rsidP="00902260">
            <w:pPr>
              <w:pStyle w:val="TAC"/>
            </w:pPr>
            <w:r>
              <w:t>0..1</w:t>
            </w:r>
          </w:p>
        </w:tc>
        <w:tc>
          <w:tcPr>
            <w:tcW w:w="607" w:type="pct"/>
          </w:tcPr>
          <w:p w14:paraId="4A3C394B" w14:textId="77777777" w:rsidR="009E3903" w:rsidRDefault="009E3903" w:rsidP="00902260">
            <w:pPr>
              <w:pStyle w:val="TAL"/>
            </w:pPr>
            <w:r>
              <w:t>307 Temporary Redirect</w:t>
            </w:r>
          </w:p>
        </w:tc>
        <w:tc>
          <w:tcPr>
            <w:tcW w:w="2652" w:type="pct"/>
          </w:tcPr>
          <w:p w14:paraId="036ED1C9" w14:textId="77777777" w:rsidR="009E3903" w:rsidRDefault="009E3903" w:rsidP="00902260">
            <w:pPr>
              <w:pStyle w:val="TAL"/>
            </w:pPr>
            <w:r>
              <w:t>Temporary redirection.</w:t>
            </w:r>
          </w:p>
          <w:p w14:paraId="4D72AFD6" w14:textId="77777777" w:rsidR="009E3903" w:rsidRDefault="009E3903" w:rsidP="00902260">
            <w:pPr>
              <w:pStyle w:val="TAL"/>
            </w:pPr>
          </w:p>
          <w:p w14:paraId="43D077D6" w14:textId="77777777" w:rsidR="009E3903" w:rsidRDefault="009E3903" w:rsidP="00902260">
            <w:pPr>
              <w:pStyle w:val="TAL"/>
            </w:pPr>
            <w:r>
              <w:t>(NOTE 2)</w:t>
            </w:r>
          </w:p>
        </w:tc>
      </w:tr>
      <w:tr w:rsidR="009E3903" w14:paraId="07FB7863" w14:textId="77777777" w:rsidTr="00902260">
        <w:trPr>
          <w:jc w:val="center"/>
        </w:trPr>
        <w:tc>
          <w:tcPr>
            <w:tcW w:w="906" w:type="pct"/>
          </w:tcPr>
          <w:p w14:paraId="1765B6B5" w14:textId="77777777" w:rsidR="009E3903" w:rsidRDefault="009E3903" w:rsidP="00902260">
            <w:pPr>
              <w:pStyle w:val="TAL"/>
            </w:pPr>
            <w:r>
              <w:t>RedirectResponse</w:t>
            </w:r>
          </w:p>
        </w:tc>
        <w:tc>
          <w:tcPr>
            <w:tcW w:w="228" w:type="pct"/>
          </w:tcPr>
          <w:p w14:paraId="341EEA43" w14:textId="77777777" w:rsidR="009E3903" w:rsidRDefault="009E3903" w:rsidP="00902260">
            <w:pPr>
              <w:pStyle w:val="TAC"/>
            </w:pPr>
            <w:r>
              <w:t>O</w:t>
            </w:r>
          </w:p>
        </w:tc>
        <w:tc>
          <w:tcPr>
            <w:tcW w:w="608" w:type="pct"/>
          </w:tcPr>
          <w:p w14:paraId="210DE223" w14:textId="77777777" w:rsidR="009E3903" w:rsidRDefault="009E3903" w:rsidP="00902260">
            <w:pPr>
              <w:pStyle w:val="TAC"/>
            </w:pPr>
            <w:r>
              <w:t>0..1</w:t>
            </w:r>
          </w:p>
        </w:tc>
        <w:tc>
          <w:tcPr>
            <w:tcW w:w="607" w:type="pct"/>
          </w:tcPr>
          <w:p w14:paraId="2CA90B5E" w14:textId="77777777" w:rsidR="009E3903" w:rsidRDefault="009E3903" w:rsidP="00902260">
            <w:pPr>
              <w:pStyle w:val="TAL"/>
            </w:pPr>
            <w:r>
              <w:t>308 Permanent Redirect</w:t>
            </w:r>
          </w:p>
        </w:tc>
        <w:tc>
          <w:tcPr>
            <w:tcW w:w="2652" w:type="pct"/>
          </w:tcPr>
          <w:p w14:paraId="6C25E6E5" w14:textId="77777777" w:rsidR="009E3903" w:rsidRDefault="009E3903" w:rsidP="00902260">
            <w:pPr>
              <w:pStyle w:val="TAL"/>
            </w:pPr>
            <w:r>
              <w:t>Permanent redirection.</w:t>
            </w:r>
          </w:p>
          <w:p w14:paraId="0517BF8E" w14:textId="77777777" w:rsidR="009E3903" w:rsidRDefault="009E3903" w:rsidP="00902260">
            <w:pPr>
              <w:pStyle w:val="TAL"/>
            </w:pPr>
          </w:p>
          <w:p w14:paraId="7B1C4E79" w14:textId="77777777" w:rsidR="009E3903" w:rsidRDefault="009E3903" w:rsidP="00902260">
            <w:pPr>
              <w:pStyle w:val="TAL"/>
            </w:pPr>
            <w:r>
              <w:t>(NOTE 2)</w:t>
            </w:r>
          </w:p>
        </w:tc>
      </w:tr>
      <w:tr w:rsidR="009E3903" w14:paraId="503360CA" w14:textId="77777777" w:rsidTr="00902260">
        <w:trPr>
          <w:jc w:val="center"/>
        </w:trPr>
        <w:tc>
          <w:tcPr>
            <w:tcW w:w="5000" w:type="pct"/>
            <w:gridSpan w:val="5"/>
          </w:tcPr>
          <w:p w14:paraId="55462E54" w14:textId="77777777" w:rsidR="009E3903" w:rsidRDefault="009E3903" w:rsidP="00902260">
            <w:pPr>
              <w:pStyle w:val="TAN"/>
            </w:pPr>
            <w:r>
              <w:t>NOTE 1:</w:t>
            </w:r>
            <w:r>
              <w:tab/>
              <w:t>The mandatory HTTP error status codes for the DELETE method listed in table 5.2.7.1-1 of 3GPP TS 29.500 [6] also apply.</w:t>
            </w:r>
          </w:p>
          <w:p w14:paraId="006C277C" w14:textId="77777777" w:rsidR="009E3903" w:rsidRDefault="009E3903" w:rsidP="0090226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5E150DAF" w14:textId="77777777" w:rsidR="009E3903" w:rsidRDefault="009E3903" w:rsidP="009E3903">
      <w:pPr>
        <w:rPr>
          <w:lang w:val="en-US"/>
        </w:rPr>
      </w:pPr>
    </w:p>
    <w:p w14:paraId="68BAD1E1" w14:textId="77777777" w:rsidR="009E3903" w:rsidRDefault="009E3903" w:rsidP="009E3903">
      <w:pPr>
        <w:pStyle w:val="TH"/>
      </w:pPr>
      <w:r>
        <w:t>Table 5.10.3.3.3.3-4: Headers supported by the 307 Response Code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71DBB615" w14:textId="77777777" w:rsidTr="00902260">
        <w:trPr>
          <w:jc w:val="center"/>
        </w:trPr>
        <w:tc>
          <w:tcPr>
            <w:tcW w:w="1027" w:type="pct"/>
            <w:tcBorders>
              <w:bottom w:val="single" w:sz="6" w:space="0" w:color="auto"/>
            </w:tcBorders>
            <w:shd w:val="clear" w:color="auto" w:fill="C0C0C0"/>
          </w:tcPr>
          <w:p w14:paraId="6212A6BD" w14:textId="77777777" w:rsidR="009E3903" w:rsidRDefault="009E3903" w:rsidP="00902260">
            <w:pPr>
              <w:pStyle w:val="TAH"/>
            </w:pPr>
            <w:r>
              <w:t>Name</w:t>
            </w:r>
          </w:p>
        </w:tc>
        <w:tc>
          <w:tcPr>
            <w:tcW w:w="529" w:type="pct"/>
            <w:tcBorders>
              <w:bottom w:val="single" w:sz="6" w:space="0" w:color="auto"/>
            </w:tcBorders>
            <w:shd w:val="clear" w:color="auto" w:fill="C0C0C0"/>
          </w:tcPr>
          <w:p w14:paraId="0093801F" w14:textId="77777777" w:rsidR="009E3903" w:rsidRDefault="009E3903" w:rsidP="00902260">
            <w:pPr>
              <w:pStyle w:val="TAH"/>
            </w:pPr>
            <w:r>
              <w:t>Data type</w:t>
            </w:r>
          </w:p>
        </w:tc>
        <w:tc>
          <w:tcPr>
            <w:tcW w:w="217" w:type="pct"/>
            <w:tcBorders>
              <w:bottom w:val="single" w:sz="6" w:space="0" w:color="auto"/>
            </w:tcBorders>
            <w:shd w:val="clear" w:color="auto" w:fill="C0C0C0"/>
          </w:tcPr>
          <w:p w14:paraId="35A6E879" w14:textId="77777777" w:rsidR="009E3903" w:rsidRDefault="009E3903" w:rsidP="00902260">
            <w:pPr>
              <w:pStyle w:val="TAH"/>
            </w:pPr>
            <w:r>
              <w:t>P</w:t>
            </w:r>
          </w:p>
        </w:tc>
        <w:tc>
          <w:tcPr>
            <w:tcW w:w="581" w:type="pct"/>
            <w:tcBorders>
              <w:bottom w:val="single" w:sz="6" w:space="0" w:color="auto"/>
            </w:tcBorders>
            <w:shd w:val="clear" w:color="auto" w:fill="C0C0C0"/>
          </w:tcPr>
          <w:p w14:paraId="5F31412C"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7F9E2AC5" w14:textId="77777777" w:rsidR="009E3903" w:rsidRDefault="009E3903" w:rsidP="00902260">
            <w:pPr>
              <w:pStyle w:val="TAH"/>
            </w:pPr>
            <w:r>
              <w:t>Description</w:t>
            </w:r>
          </w:p>
        </w:tc>
      </w:tr>
      <w:tr w:rsidR="009E3903" w14:paraId="18CF3443" w14:textId="77777777" w:rsidTr="00902260">
        <w:trPr>
          <w:jc w:val="center"/>
        </w:trPr>
        <w:tc>
          <w:tcPr>
            <w:tcW w:w="1027" w:type="pct"/>
            <w:tcBorders>
              <w:top w:val="single" w:sz="6" w:space="0" w:color="auto"/>
            </w:tcBorders>
          </w:tcPr>
          <w:p w14:paraId="14E540D6" w14:textId="77777777" w:rsidR="009E3903" w:rsidRDefault="009E3903" w:rsidP="00902260">
            <w:pPr>
              <w:pStyle w:val="TAL"/>
            </w:pPr>
            <w:r>
              <w:t>Location</w:t>
            </w:r>
          </w:p>
        </w:tc>
        <w:tc>
          <w:tcPr>
            <w:tcW w:w="529" w:type="pct"/>
            <w:tcBorders>
              <w:top w:val="single" w:sz="6" w:space="0" w:color="auto"/>
            </w:tcBorders>
          </w:tcPr>
          <w:p w14:paraId="39F5194D" w14:textId="77777777" w:rsidR="009E3903" w:rsidRDefault="009E3903" w:rsidP="00902260">
            <w:pPr>
              <w:pStyle w:val="TAL"/>
            </w:pPr>
            <w:r>
              <w:t>string</w:t>
            </w:r>
          </w:p>
        </w:tc>
        <w:tc>
          <w:tcPr>
            <w:tcW w:w="217" w:type="pct"/>
            <w:tcBorders>
              <w:top w:val="single" w:sz="6" w:space="0" w:color="auto"/>
            </w:tcBorders>
          </w:tcPr>
          <w:p w14:paraId="0AD8645C" w14:textId="77777777" w:rsidR="009E3903" w:rsidRDefault="009E3903" w:rsidP="00902260">
            <w:pPr>
              <w:pStyle w:val="TAC"/>
            </w:pPr>
            <w:r>
              <w:t>M</w:t>
            </w:r>
          </w:p>
        </w:tc>
        <w:tc>
          <w:tcPr>
            <w:tcW w:w="581" w:type="pct"/>
            <w:tcBorders>
              <w:top w:val="single" w:sz="6" w:space="0" w:color="auto"/>
            </w:tcBorders>
          </w:tcPr>
          <w:p w14:paraId="2A8ED88B" w14:textId="77777777" w:rsidR="009E3903" w:rsidRDefault="009E3903" w:rsidP="00902260">
            <w:pPr>
              <w:pStyle w:val="TAL"/>
            </w:pPr>
            <w:r>
              <w:t>1</w:t>
            </w:r>
          </w:p>
        </w:tc>
        <w:tc>
          <w:tcPr>
            <w:tcW w:w="2645" w:type="pct"/>
            <w:tcBorders>
              <w:top w:val="single" w:sz="6" w:space="0" w:color="auto"/>
            </w:tcBorders>
            <w:vAlign w:val="center"/>
          </w:tcPr>
          <w:p w14:paraId="45160C09"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79D8904E" w14:textId="77777777" w:rsidR="009E3903" w:rsidRDefault="009E3903" w:rsidP="00902260">
            <w:pPr>
              <w:pStyle w:val="TAL"/>
            </w:pPr>
          </w:p>
          <w:p w14:paraId="0424F4C7"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68B04241" w14:textId="77777777" w:rsidTr="00902260">
        <w:trPr>
          <w:jc w:val="center"/>
        </w:trPr>
        <w:tc>
          <w:tcPr>
            <w:tcW w:w="1027" w:type="pct"/>
          </w:tcPr>
          <w:p w14:paraId="6014AA22" w14:textId="77777777" w:rsidR="009E3903" w:rsidRDefault="009E3903" w:rsidP="00902260">
            <w:pPr>
              <w:pStyle w:val="TAL"/>
            </w:pPr>
            <w:r>
              <w:rPr>
                <w:lang w:eastAsia="zh-CN"/>
              </w:rPr>
              <w:t>3gpp-Sbi-Target-Nf-Id</w:t>
            </w:r>
          </w:p>
        </w:tc>
        <w:tc>
          <w:tcPr>
            <w:tcW w:w="529" w:type="pct"/>
          </w:tcPr>
          <w:p w14:paraId="13CFB23F" w14:textId="77777777" w:rsidR="009E3903" w:rsidRDefault="009E3903" w:rsidP="00902260">
            <w:pPr>
              <w:pStyle w:val="TAL"/>
            </w:pPr>
            <w:r>
              <w:rPr>
                <w:lang w:eastAsia="fr-FR"/>
              </w:rPr>
              <w:t>string</w:t>
            </w:r>
          </w:p>
        </w:tc>
        <w:tc>
          <w:tcPr>
            <w:tcW w:w="217" w:type="pct"/>
          </w:tcPr>
          <w:p w14:paraId="21F5D0D6" w14:textId="77777777" w:rsidR="009E3903" w:rsidRDefault="009E3903" w:rsidP="00902260">
            <w:pPr>
              <w:pStyle w:val="TAC"/>
            </w:pPr>
            <w:r>
              <w:rPr>
                <w:lang w:eastAsia="fr-FR"/>
              </w:rPr>
              <w:t>O</w:t>
            </w:r>
          </w:p>
        </w:tc>
        <w:tc>
          <w:tcPr>
            <w:tcW w:w="581" w:type="pct"/>
          </w:tcPr>
          <w:p w14:paraId="6E597330" w14:textId="77777777" w:rsidR="009E3903" w:rsidRDefault="009E3903" w:rsidP="00902260">
            <w:pPr>
              <w:pStyle w:val="TAL"/>
            </w:pPr>
            <w:r>
              <w:rPr>
                <w:lang w:eastAsia="fr-FR"/>
              </w:rPr>
              <w:t>0..1</w:t>
            </w:r>
          </w:p>
        </w:tc>
        <w:tc>
          <w:tcPr>
            <w:tcW w:w="2645" w:type="pct"/>
            <w:vAlign w:val="center"/>
          </w:tcPr>
          <w:p w14:paraId="78A4E348" w14:textId="77777777" w:rsidR="009E3903" w:rsidRDefault="009E3903" w:rsidP="00902260">
            <w:pPr>
              <w:pStyle w:val="TAL"/>
            </w:pPr>
            <w:r>
              <w:rPr>
                <w:lang w:eastAsia="fr-FR"/>
              </w:rPr>
              <w:t>Contains the identifier of the target NF (service) instance towards which the request is redirected.</w:t>
            </w:r>
          </w:p>
        </w:tc>
      </w:tr>
    </w:tbl>
    <w:p w14:paraId="4CEAB69E" w14:textId="77777777" w:rsidR="009E3903" w:rsidRDefault="009E3903" w:rsidP="009E3903"/>
    <w:p w14:paraId="636CA0AA" w14:textId="77777777" w:rsidR="009E3903" w:rsidRDefault="009E3903" w:rsidP="009E3903">
      <w:pPr>
        <w:pStyle w:val="TH"/>
      </w:pPr>
      <w:r>
        <w:t>Table 5.10.3.3.3.3-5: Headers supported by the 308 Response Code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4875B199" w14:textId="77777777" w:rsidTr="00902260">
        <w:trPr>
          <w:jc w:val="center"/>
        </w:trPr>
        <w:tc>
          <w:tcPr>
            <w:tcW w:w="1027" w:type="pct"/>
            <w:tcBorders>
              <w:bottom w:val="single" w:sz="6" w:space="0" w:color="auto"/>
            </w:tcBorders>
            <w:shd w:val="clear" w:color="auto" w:fill="C0C0C0"/>
          </w:tcPr>
          <w:p w14:paraId="595C8EB8" w14:textId="77777777" w:rsidR="009E3903" w:rsidRDefault="009E3903" w:rsidP="00902260">
            <w:pPr>
              <w:pStyle w:val="TAH"/>
            </w:pPr>
            <w:r>
              <w:t>Name</w:t>
            </w:r>
          </w:p>
        </w:tc>
        <w:tc>
          <w:tcPr>
            <w:tcW w:w="529" w:type="pct"/>
            <w:tcBorders>
              <w:bottom w:val="single" w:sz="6" w:space="0" w:color="auto"/>
            </w:tcBorders>
            <w:shd w:val="clear" w:color="auto" w:fill="C0C0C0"/>
          </w:tcPr>
          <w:p w14:paraId="4EDC1770" w14:textId="77777777" w:rsidR="009E3903" w:rsidRDefault="009E3903" w:rsidP="00902260">
            <w:pPr>
              <w:pStyle w:val="TAH"/>
            </w:pPr>
            <w:r>
              <w:t>Data type</w:t>
            </w:r>
          </w:p>
        </w:tc>
        <w:tc>
          <w:tcPr>
            <w:tcW w:w="217" w:type="pct"/>
            <w:tcBorders>
              <w:bottom w:val="single" w:sz="6" w:space="0" w:color="auto"/>
            </w:tcBorders>
            <w:shd w:val="clear" w:color="auto" w:fill="C0C0C0"/>
          </w:tcPr>
          <w:p w14:paraId="6C7C016C" w14:textId="77777777" w:rsidR="009E3903" w:rsidRDefault="009E3903" w:rsidP="00902260">
            <w:pPr>
              <w:pStyle w:val="TAH"/>
            </w:pPr>
            <w:r>
              <w:t>P</w:t>
            </w:r>
          </w:p>
        </w:tc>
        <w:tc>
          <w:tcPr>
            <w:tcW w:w="581" w:type="pct"/>
            <w:tcBorders>
              <w:bottom w:val="single" w:sz="6" w:space="0" w:color="auto"/>
            </w:tcBorders>
            <w:shd w:val="clear" w:color="auto" w:fill="C0C0C0"/>
          </w:tcPr>
          <w:p w14:paraId="6C4F6EFD" w14:textId="77777777" w:rsidR="009E3903" w:rsidRDefault="009E3903" w:rsidP="00902260">
            <w:pPr>
              <w:pStyle w:val="TAH"/>
            </w:pPr>
            <w:r>
              <w:t>Cardinality</w:t>
            </w:r>
          </w:p>
        </w:tc>
        <w:tc>
          <w:tcPr>
            <w:tcW w:w="2646" w:type="pct"/>
            <w:tcBorders>
              <w:bottom w:val="single" w:sz="6" w:space="0" w:color="auto"/>
            </w:tcBorders>
            <w:shd w:val="clear" w:color="auto" w:fill="C0C0C0"/>
            <w:vAlign w:val="center"/>
          </w:tcPr>
          <w:p w14:paraId="3E61C956" w14:textId="77777777" w:rsidR="009E3903" w:rsidRDefault="009E3903" w:rsidP="00902260">
            <w:pPr>
              <w:pStyle w:val="TAH"/>
            </w:pPr>
            <w:r>
              <w:t>Description</w:t>
            </w:r>
          </w:p>
        </w:tc>
      </w:tr>
      <w:tr w:rsidR="009E3903" w14:paraId="7055EFFA" w14:textId="77777777" w:rsidTr="00902260">
        <w:trPr>
          <w:jc w:val="center"/>
        </w:trPr>
        <w:tc>
          <w:tcPr>
            <w:tcW w:w="1027" w:type="pct"/>
            <w:tcBorders>
              <w:top w:val="single" w:sz="6" w:space="0" w:color="auto"/>
            </w:tcBorders>
          </w:tcPr>
          <w:p w14:paraId="662B0DC0" w14:textId="77777777" w:rsidR="009E3903" w:rsidRDefault="009E3903" w:rsidP="00902260">
            <w:pPr>
              <w:pStyle w:val="TAL"/>
            </w:pPr>
            <w:r>
              <w:t>Location</w:t>
            </w:r>
          </w:p>
        </w:tc>
        <w:tc>
          <w:tcPr>
            <w:tcW w:w="529" w:type="pct"/>
            <w:tcBorders>
              <w:top w:val="single" w:sz="6" w:space="0" w:color="auto"/>
            </w:tcBorders>
          </w:tcPr>
          <w:p w14:paraId="1CBB706B" w14:textId="77777777" w:rsidR="009E3903" w:rsidRDefault="009E3903" w:rsidP="00902260">
            <w:pPr>
              <w:pStyle w:val="TAL"/>
            </w:pPr>
            <w:r>
              <w:t>string</w:t>
            </w:r>
          </w:p>
        </w:tc>
        <w:tc>
          <w:tcPr>
            <w:tcW w:w="217" w:type="pct"/>
            <w:tcBorders>
              <w:top w:val="single" w:sz="6" w:space="0" w:color="auto"/>
            </w:tcBorders>
          </w:tcPr>
          <w:p w14:paraId="5DD48166" w14:textId="77777777" w:rsidR="009E3903" w:rsidRDefault="009E3903" w:rsidP="00902260">
            <w:pPr>
              <w:pStyle w:val="TAC"/>
            </w:pPr>
            <w:r>
              <w:t>M</w:t>
            </w:r>
          </w:p>
        </w:tc>
        <w:tc>
          <w:tcPr>
            <w:tcW w:w="581" w:type="pct"/>
            <w:tcBorders>
              <w:top w:val="single" w:sz="6" w:space="0" w:color="auto"/>
            </w:tcBorders>
          </w:tcPr>
          <w:p w14:paraId="3C751FAA" w14:textId="77777777" w:rsidR="009E3903" w:rsidRDefault="009E3903" w:rsidP="00902260">
            <w:pPr>
              <w:pStyle w:val="TAL"/>
            </w:pPr>
            <w:r>
              <w:t>1</w:t>
            </w:r>
          </w:p>
        </w:tc>
        <w:tc>
          <w:tcPr>
            <w:tcW w:w="2646" w:type="pct"/>
            <w:tcBorders>
              <w:top w:val="single" w:sz="6" w:space="0" w:color="auto"/>
            </w:tcBorders>
            <w:vAlign w:val="center"/>
          </w:tcPr>
          <w:p w14:paraId="744C8F07" w14:textId="77777777" w:rsidR="009E3903" w:rsidRDefault="009E3903" w:rsidP="00902260">
            <w:pPr>
              <w:pStyle w:val="TAL"/>
            </w:pPr>
            <w:r>
              <w:t>Contains an alternative URI of the resource located in an alternative NWDAF (service) instance</w:t>
            </w:r>
            <w:r>
              <w:rPr>
                <w:lang w:eastAsia="fr-FR"/>
              </w:rPr>
              <w:t xml:space="preserve"> towards which the request is redirected</w:t>
            </w:r>
            <w:r>
              <w:t>.</w:t>
            </w:r>
          </w:p>
          <w:p w14:paraId="3817EA51" w14:textId="77777777" w:rsidR="009E3903" w:rsidRDefault="009E3903" w:rsidP="00902260">
            <w:pPr>
              <w:pStyle w:val="TAL"/>
            </w:pPr>
          </w:p>
          <w:p w14:paraId="0884F920"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75C76196" w14:textId="77777777" w:rsidTr="00902260">
        <w:trPr>
          <w:jc w:val="center"/>
        </w:trPr>
        <w:tc>
          <w:tcPr>
            <w:tcW w:w="1027" w:type="pct"/>
          </w:tcPr>
          <w:p w14:paraId="2BE4423B" w14:textId="77777777" w:rsidR="009E3903" w:rsidRDefault="009E3903" w:rsidP="00902260">
            <w:pPr>
              <w:pStyle w:val="TAL"/>
            </w:pPr>
            <w:r>
              <w:rPr>
                <w:lang w:eastAsia="zh-CN"/>
              </w:rPr>
              <w:t>3gpp-Sbi-Target-Nf-Id</w:t>
            </w:r>
          </w:p>
        </w:tc>
        <w:tc>
          <w:tcPr>
            <w:tcW w:w="529" w:type="pct"/>
          </w:tcPr>
          <w:p w14:paraId="6ECDA760" w14:textId="77777777" w:rsidR="009E3903" w:rsidRDefault="009E3903" w:rsidP="00902260">
            <w:pPr>
              <w:pStyle w:val="TAL"/>
            </w:pPr>
            <w:r>
              <w:rPr>
                <w:lang w:eastAsia="fr-FR"/>
              </w:rPr>
              <w:t>string</w:t>
            </w:r>
          </w:p>
        </w:tc>
        <w:tc>
          <w:tcPr>
            <w:tcW w:w="217" w:type="pct"/>
          </w:tcPr>
          <w:p w14:paraId="629AF4D3" w14:textId="77777777" w:rsidR="009E3903" w:rsidRDefault="009E3903" w:rsidP="00902260">
            <w:pPr>
              <w:pStyle w:val="TAC"/>
            </w:pPr>
            <w:r>
              <w:rPr>
                <w:lang w:eastAsia="fr-FR"/>
              </w:rPr>
              <w:t>O</w:t>
            </w:r>
          </w:p>
        </w:tc>
        <w:tc>
          <w:tcPr>
            <w:tcW w:w="581" w:type="pct"/>
          </w:tcPr>
          <w:p w14:paraId="6DAF32AB" w14:textId="77777777" w:rsidR="009E3903" w:rsidRDefault="009E3903" w:rsidP="00902260">
            <w:pPr>
              <w:pStyle w:val="TAL"/>
            </w:pPr>
            <w:r>
              <w:rPr>
                <w:lang w:eastAsia="fr-FR"/>
              </w:rPr>
              <w:t>0..1</w:t>
            </w:r>
          </w:p>
        </w:tc>
        <w:tc>
          <w:tcPr>
            <w:tcW w:w="2646" w:type="pct"/>
            <w:vAlign w:val="center"/>
          </w:tcPr>
          <w:p w14:paraId="7537B929" w14:textId="77777777" w:rsidR="009E3903" w:rsidRDefault="009E3903" w:rsidP="00902260">
            <w:pPr>
              <w:pStyle w:val="TAL"/>
            </w:pPr>
            <w:r>
              <w:rPr>
                <w:lang w:eastAsia="fr-FR"/>
              </w:rPr>
              <w:t>Contains the identifier of the target NF (service) instance towards which the request is redirected.</w:t>
            </w:r>
          </w:p>
        </w:tc>
      </w:tr>
    </w:tbl>
    <w:p w14:paraId="7CF7B5E5" w14:textId="77777777" w:rsidR="009E3903" w:rsidRPr="007605E0" w:rsidRDefault="009E3903" w:rsidP="009E3903">
      <w:pPr>
        <w:rPr>
          <w:rFonts w:eastAsia="MS Mincho"/>
          <w:lang w:eastAsia="ja-JP"/>
        </w:rPr>
      </w:pPr>
    </w:p>
    <w:p w14:paraId="4609FC84" w14:textId="77777777" w:rsidR="009E3903" w:rsidRDefault="009E3903" w:rsidP="009E3903">
      <w:pPr>
        <w:pStyle w:val="5"/>
      </w:pPr>
      <w:bookmarkStart w:id="17029" w:name="_Toc199453484"/>
      <w:r>
        <w:t>5.10.3.3.4</w:t>
      </w:r>
      <w:r>
        <w:tab/>
        <w:t>Resource Custom Operations</w:t>
      </w:r>
      <w:bookmarkEnd w:id="17029"/>
    </w:p>
    <w:p w14:paraId="08292434" w14:textId="77777777" w:rsidR="009E3903" w:rsidRDefault="009E3903" w:rsidP="009E3903">
      <w:pPr>
        <w:rPr>
          <w:lang w:val="en-US"/>
        </w:rPr>
      </w:pPr>
      <w:r>
        <w:t>None in this release of the specification.</w:t>
      </w:r>
    </w:p>
    <w:p w14:paraId="1B87B3A7" w14:textId="77777777" w:rsidR="009E3903" w:rsidRDefault="009E3903" w:rsidP="009E3903">
      <w:pPr>
        <w:pStyle w:val="3"/>
      </w:pPr>
      <w:bookmarkStart w:id="17030" w:name="_Toc199453485"/>
      <w:r>
        <w:rPr>
          <w:lang w:val="en-US"/>
        </w:rPr>
        <w:t>5.10.4</w:t>
      </w:r>
      <w:r>
        <w:rPr>
          <w:lang w:val="en-US"/>
        </w:rPr>
        <w:tab/>
        <w:t>Custom Operations without associated resources</w:t>
      </w:r>
      <w:bookmarkEnd w:id="17030"/>
    </w:p>
    <w:p w14:paraId="4003D945" w14:textId="77777777" w:rsidR="009E3903" w:rsidRDefault="009E3903" w:rsidP="009E3903">
      <w:pPr>
        <w:rPr>
          <w:rFonts w:eastAsia="Batang"/>
        </w:rPr>
      </w:pPr>
      <w:r>
        <w:rPr>
          <w:rFonts w:eastAsia="Batang"/>
        </w:rPr>
        <w:t>None in this release of the specification.</w:t>
      </w:r>
    </w:p>
    <w:p w14:paraId="6EB31078" w14:textId="77777777" w:rsidR="009E3903" w:rsidRDefault="009E3903" w:rsidP="009E3903">
      <w:pPr>
        <w:pStyle w:val="3"/>
        <w:rPr>
          <w:lang w:val="en-US"/>
        </w:rPr>
      </w:pPr>
      <w:bookmarkStart w:id="17031" w:name="_Toc199453486"/>
      <w:r>
        <w:rPr>
          <w:lang w:val="en-US"/>
        </w:rPr>
        <w:t>5.10.5</w:t>
      </w:r>
      <w:r>
        <w:rPr>
          <w:lang w:val="en-US"/>
        </w:rPr>
        <w:tab/>
        <w:t>Notifications</w:t>
      </w:r>
      <w:bookmarkEnd w:id="17031"/>
    </w:p>
    <w:p w14:paraId="668BB4B7" w14:textId="77777777" w:rsidR="009E3903" w:rsidRDefault="009E3903" w:rsidP="009E3903">
      <w:pPr>
        <w:pStyle w:val="4"/>
      </w:pPr>
      <w:bookmarkStart w:id="17032" w:name="_Toc199453487"/>
      <w:r>
        <w:t>5.10.5.1</w:t>
      </w:r>
      <w:r>
        <w:tab/>
        <w:t>General</w:t>
      </w:r>
      <w:bookmarkEnd w:id="17032"/>
    </w:p>
    <w:p w14:paraId="18A0CAB1" w14:textId="77777777" w:rsidR="009E3903" w:rsidRDefault="009E3903" w:rsidP="009E3903">
      <w:r>
        <w:t>Notifications shall comply with clause 6.2 of 3GPP TS 29.500 [6] and clause 4.6.2.3 of 3GPP TS 29.501 [7].</w:t>
      </w:r>
    </w:p>
    <w:p w14:paraId="6B8CA597" w14:textId="77777777" w:rsidR="009E3903" w:rsidRDefault="009E3903" w:rsidP="009E3903">
      <w:pPr>
        <w:pStyle w:val="TH"/>
      </w:pPr>
      <w:r>
        <w:lastRenderedPageBreak/>
        <w:t>Table 5.10.5.1-1: Notifications overview</w:t>
      </w:r>
    </w:p>
    <w:tbl>
      <w:tblPr>
        <w:tblW w:w="48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000" w:firstRow="0" w:lastRow="0" w:firstColumn="0" w:lastColumn="0" w:noHBand="0" w:noVBand="0"/>
      </w:tblPr>
      <w:tblGrid>
        <w:gridCol w:w="2348"/>
        <w:gridCol w:w="2349"/>
        <w:gridCol w:w="1244"/>
        <w:gridCol w:w="3395"/>
      </w:tblGrid>
      <w:tr w:rsidR="009E3903" w14:paraId="28D0DD2F" w14:textId="77777777" w:rsidTr="00902260">
        <w:trPr>
          <w:jc w:val="center"/>
        </w:trPr>
        <w:tc>
          <w:tcPr>
            <w:tcW w:w="1258" w:type="pct"/>
            <w:shd w:val="clear" w:color="auto" w:fill="C0C0C0"/>
          </w:tcPr>
          <w:p w14:paraId="0DB98207" w14:textId="77777777" w:rsidR="009E3903" w:rsidRDefault="009E3903" w:rsidP="00902260">
            <w:pPr>
              <w:pStyle w:val="TAH"/>
            </w:pPr>
            <w:r>
              <w:t>Notification</w:t>
            </w:r>
          </w:p>
        </w:tc>
        <w:tc>
          <w:tcPr>
            <w:tcW w:w="1258" w:type="pct"/>
            <w:shd w:val="clear" w:color="auto" w:fill="C0C0C0"/>
            <w:vAlign w:val="center"/>
          </w:tcPr>
          <w:p w14:paraId="20BDF6E0" w14:textId="77777777" w:rsidR="009E3903" w:rsidRDefault="009E3903" w:rsidP="00902260">
            <w:pPr>
              <w:pStyle w:val="TAH"/>
            </w:pPr>
            <w:r>
              <w:t>Callback URI</w:t>
            </w:r>
          </w:p>
        </w:tc>
        <w:tc>
          <w:tcPr>
            <w:tcW w:w="666" w:type="pct"/>
            <w:shd w:val="clear" w:color="auto" w:fill="C0C0C0"/>
            <w:vAlign w:val="center"/>
          </w:tcPr>
          <w:p w14:paraId="32B4A8EC" w14:textId="77777777" w:rsidR="009E3903" w:rsidRDefault="009E3903" w:rsidP="00902260">
            <w:pPr>
              <w:pStyle w:val="TAH"/>
            </w:pPr>
            <w:r>
              <w:t>HTTP method or custom operation</w:t>
            </w:r>
          </w:p>
        </w:tc>
        <w:tc>
          <w:tcPr>
            <w:tcW w:w="1818" w:type="pct"/>
            <w:shd w:val="clear" w:color="auto" w:fill="C0C0C0"/>
            <w:vAlign w:val="center"/>
          </w:tcPr>
          <w:p w14:paraId="57C12C64" w14:textId="77777777" w:rsidR="009E3903" w:rsidRDefault="009E3903" w:rsidP="00902260">
            <w:pPr>
              <w:pStyle w:val="TAH"/>
            </w:pPr>
            <w:r>
              <w:t>Description (service operation)</w:t>
            </w:r>
          </w:p>
        </w:tc>
      </w:tr>
      <w:tr w:rsidR="009E3903" w14:paraId="57F8860F" w14:textId="77777777" w:rsidTr="00902260">
        <w:trPr>
          <w:jc w:val="center"/>
        </w:trPr>
        <w:tc>
          <w:tcPr>
            <w:tcW w:w="1258" w:type="pct"/>
          </w:tcPr>
          <w:p w14:paraId="6FC21A48" w14:textId="77777777" w:rsidR="009E3903" w:rsidRDefault="009E3903" w:rsidP="00902260">
            <w:pPr>
              <w:pStyle w:val="TAL"/>
              <w:rPr>
                <w:lang w:val="en-US"/>
              </w:rPr>
            </w:pPr>
            <w:r>
              <w:rPr>
                <w:rFonts w:cs="Arial"/>
                <w:szCs w:val="18"/>
                <w:lang w:val="en-US"/>
              </w:rPr>
              <w:t>Event Notification</w:t>
            </w:r>
          </w:p>
        </w:tc>
        <w:tc>
          <w:tcPr>
            <w:tcW w:w="1258" w:type="pct"/>
          </w:tcPr>
          <w:p w14:paraId="04771D91" w14:textId="77777777" w:rsidR="009E3903" w:rsidRDefault="009E3903" w:rsidP="00902260">
            <w:pPr>
              <w:pStyle w:val="TAL"/>
            </w:pPr>
            <w:r>
              <w:rPr>
                <w:lang w:val="en-US"/>
              </w:rPr>
              <w:t>{</w:t>
            </w:r>
            <w:r>
              <w:rPr>
                <w:rFonts w:eastAsia="Batang"/>
              </w:rPr>
              <w:t>notifUri</w:t>
            </w:r>
            <w:r>
              <w:rPr>
                <w:lang w:val="en-US"/>
              </w:rPr>
              <w:t>}</w:t>
            </w:r>
          </w:p>
        </w:tc>
        <w:tc>
          <w:tcPr>
            <w:tcW w:w="666" w:type="pct"/>
          </w:tcPr>
          <w:p w14:paraId="68B5FC3F" w14:textId="77777777" w:rsidR="009E3903" w:rsidRDefault="009E3903" w:rsidP="00902260">
            <w:pPr>
              <w:pStyle w:val="TAL"/>
            </w:pPr>
            <w:r>
              <w:t>POST</w:t>
            </w:r>
          </w:p>
        </w:tc>
        <w:tc>
          <w:tcPr>
            <w:tcW w:w="1818" w:type="pct"/>
          </w:tcPr>
          <w:p w14:paraId="289ADC0C" w14:textId="77777777" w:rsidR="009E3903" w:rsidRDefault="009E3903" w:rsidP="00902260">
            <w:pPr>
              <w:pStyle w:val="TAL"/>
            </w:pPr>
            <w:r>
              <w:t>Report one or several observed Events.</w:t>
            </w:r>
          </w:p>
        </w:tc>
      </w:tr>
    </w:tbl>
    <w:p w14:paraId="743BD526" w14:textId="77777777" w:rsidR="009E3903" w:rsidRDefault="009E3903" w:rsidP="009E3903"/>
    <w:p w14:paraId="366CFBA1" w14:textId="77777777" w:rsidR="009E3903" w:rsidRDefault="009E3903" w:rsidP="009E3903">
      <w:pPr>
        <w:pStyle w:val="4"/>
      </w:pPr>
      <w:bookmarkStart w:id="17033" w:name="_Toc199453488"/>
      <w:r>
        <w:t>5.10.5.2</w:t>
      </w:r>
      <w:r>
        <w:tab/>
        <w:t>VFL Inference Event Notification</w:t>
      </w:r>
      <w:bookmarkEnd w:id="17033"/>
    </w:p>
    <w:p w14:paraId="0DFE2DD4" w14:textId="77777777" w:rsidR="009E3903" w:rsidRDefault="009E3903" w:rsidP="009E3903">
      <w:pPr>
        <w:pStyle w:val="5"/>
      </w:pPr>
      <w:bookmarkStart w:id="17034" w:name="_Toc199453489"/>
      <w:r>
        <w:t>5.10.5.2.1</w:t>
      </w:r>
      <w:r>
        <w:tab/>
        <w:t>Description</w:t>
      </w:r>
      <w:bookmarkEnd w:id="17034"/>
    </w:p>
    <w:p w14:paraId="6B30C56D" w14:textId="77777777" w:rsidR="009E3903" w:rsidRDefault="009E3903" w:rsidP="009E3903">
      <w:r>
        <w:t>The VFL Inference Event Notification is used by the NWDAF to report one or several observed VFL Inference Events to a NF service consumer that has subscribed to such Notifications via the Individual NWDAF VFL Inference Subscription Resource.</w:t>
      </w:r>
    </w:p>
    <w:p w14:paraId="4912D544" w14:textId="77777777" w:rsidR="009E3903" w:rsidRDefault="009E3903" w:rsidP="009E3903">
      <w:pPr>
        <w:pStyle w:val="5"/>
      </w:pPr>
      <w:bookmarkStart w:id="17035" w:name="_Toc199453490"/>
      <w:r>
        <w:t>5.10.5.2.2</w:t>
      </w:r>
      <w:r>
        <w:tab/>
        <w:t>Operation Definition</w:t>
      </w:r>
      <w:bookmarkEnd w:id="17035"/>
    </w:p>
    <w:p w14:paraId="728C767B" w14:textId="77777777" w:rsidR="009E3903" w:rsidRDefault="009E3903" w:rsidP="009E3903">
      <w:pPr>
        <w:rPr>
          <w:rFonts w:eastAsia="Batang"/>
        </w:rPr>
      </w:pPr>
      <w:r>
        <w:rPr>
          <w:rFonts w:eastAsia="Batang"/>
        </w:rPr>
        <w:t>Callback URI:</w:t>
      </w:r>
      <w:r>
        <w:rPr>
          <w:rFonts w:ascii="Arial" w:eastAsia="Batang" w:hAnsi="Arial"/>
          <w:b/>
          <w:sz w:val="18"/>
        </w:rPr>
        <w:t xml:space="preserve"> {notifUri}</w:t>
      </w:r>
    </w:p>
    <w:p w14:paraId="11AA324A" w14:textId="77777777" w:rsidR="009E3903" w:rsidRDefault="009E3903" w:rsidP="009E3903">
      <w:pPr>
        <w:rPr>
          <w:rFonts w:ascii="Arial" w:hAnsi="Arial" w:cs="Arial"/>
        </w:rPr>
      </w:pPr>
      <w:r>
        <w:rPr>
          <w:rFonts w:eastAsia="Batang"/>
        </w:rPr>
        <w:t>The operation shall support the</w:t>
      </w:r>
      <w:r>
        <w:t xml:space="preserve"> c</w:t>
      </w:r>
      <w:r>
        <w:rPr>
          <w:rFonts w:eastAsia="Batang"/>
        </w:rPr>
        <w:t>allback URI variables defined in table 5.10.5.2.2-1</w:t>
      </w:r>
      <w:r>
        <w:rPr>
          <w:rFonts w:ascii="Arial" w:eastAsia="Batang" w:hAnsi="Arial" w:cs="Arial"/>
        </w:rPr>
        <w:t xml:space="preserve">, </w:t>
      </w:r>
      <w:r>
        <w:rPr>
          <w:rFonts w:eastAsia="Batang"/>
        </w:rPr>
        <w:t>the request data structures specified in table 5.10.5.2.2-2 and the response data structure and response codes specified in table 5.10.5.2.2-3.</w:t>
      </w:r>
    </w:p>
    <w:p w14:paraId="4958000C" w14:textId="77777777" w:rsidR="009E3903" w:rsidRDefault="009E3903" w:rsidP="009E3903">
      <w:pPr>
        <w:pStyle w:val="TH"/>
        <w:rPr>
          <w:rFonts w:cs="Arial"/>
        </w:rPr>
      </w:pPr>
      <w:r>
        <w:t>Table 5.10.5.2.2-1: Callback URI variables</w:t>
      </w:r>
    </w:p>
    <w:tbl>
      <w:tblPr>
        <w:tblW w:w="4850" w:type="pct"/>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428"/>
        <w:gridCol w:w="1208"/>
        <w:gridCol w:w="6700"/>
      </w:tblGrid>
      <w:tr w:rsidR="009E3903" w14:paraId="47F70F5F" w14:textId="77777777" w:rsidTr="00902260">
        <w:trPr>
          <w:jc w:val="center"/>
        </w:trPr>
        <w:tc>
          <w:tcPr>
            <w:tcW w:w="765" w:type="pct"/>
            <w:shd w:val="clear" w:color="000000" w:fill="C0C0C0"/>
          </w:tcPr>
          <w:p w14:paraId="5006AAEB" w14:textId="77777777" w:rsidR="009E3903" w:rsidRDefault="009E3903" w:rsidP="00902260">
            <w:pPr>
              <w:pStyle w:val="TAH"/>
            </w:pPr>
            <w:r>
              <w:t>Name</w:t>
            </w:r>
          </w:p>
        </w:tc>
        <w:tc>
          <w:tcPr>
            <w:tcW w:w="647" w:type="pct"/>
            <w:shd w:val="clear" w:color="000000" w:fill="C0C0C0"/>
          </w:tcPr>
          <w:p w14:paraId="2AD7DC0E" w14:textId="77777777" w:rsidR="009E3903" w:rsidRDefault="009E3903" w:rsidP="00902260">
            <w:pPr>
              <w:pStyle w:val="TAH"/>
            </w:pPr>
            <w:r>
              <w:t>Data type</w:t>
            </w:r>
          </w:p>
        </w:tc>
        <w:tc>
          <w:tcPr>
            <w:tcW w:w="3588" w:type="pct"/>
            <w:shd w:val="clear" w:color="000000" w:fill="C0C0C0"/>
            <w:vAlign w:val="center"/>
          </w:tcPr>
          <w:p w14:paraId="3621C108" w14:textId="77777777" w:rsidR="009E3903" w:rsidRDefault="009E3903" w:rsidP="00902260">
            <w:pPr>
              <w:pStyle w:val="TAH"/>
            </w:pPr>
            <w:r>
              <w:t>Definition</w:t>
            </w:r>
          </w:p>
        </w:tc>
      </w:tr>
      <w:tr w:rsidR="009E3903" w14:paraId="3523FA9E" w14:textId="77777777" w:rsidTr="00902260">
        <w:trPr>
          <w:jc w:val="center"/>
        </w:trPr>
        <w:tc>
          <w:tcPr>
            <w:tcW w:w="765" w:type="pct"/>
          </w:tcPr>
          <w:p w14:paraId="6C158394" w14:textId="77777777" w:rsidR="009E3903" w:rsidRDefault="009E3903" w:rsidP="00902260">
            <w:pPr>
              <w:pStyle w:val="TAL"/>
            </w:pPr>
            <w:r>
              <w:t>notifUri</w:t>
            </w:r>
          </w:p>
        </w:tc>
        <w:tc>
          <w:tcPr>
            <w:tcW w:w="647" w:type="pct"/>
          </w:tcPr>
          <w:p w14:paraId="1065BD54" w14:textId="77777777" w:rsidR="009E3903" w:rsidRDefault="009E3903" w:rsidP="00902260">
            <w:pPr>
              <w:pStyle w:val="TAL"/>
            </w:pPr>
            <w:r>
              <w:t>Uri</w:t>
            </w:r>
          </w:p>
        </w:tc>
        <w:tc>
          <w:tcPr>
            <w:tcW w:w="3588" w:type="pct"/>
            <w:vAlign w:val="center"/>
          </w:tcPr>
          <w:p w14:paraId="2A1CFD09" w14:textId="77777777" w:rsidR="009E3903" w:rsidRDefault="009E3903" w:rsidP="00902260">
            <w:pPr>
              <w:pStyle w:val="TAL"/>
            </w:pPr>
            <w:r>
              <w:t>The Notification Uri as assigned within the Individual NWDAF VFL Inference Subscription.</w:t>
            </w:r>
          </w:p>
        </w:tc>
      </w:tr>
    </w:tbl>
    <w:p w14:paraId="405249A7" w14:textId="77777777" w:rsidR="009E3903" w:rsidRDefault="009E3903" w:rsidP="009E3903"/>
    <w:p w14:paraId="2FE065BC" w14:textId="77777777" w:rsidR="009E3903" w:rsidRDefault="009E3903" w:rsidP="009E3903">
      <w:pPr>
        <w:pStyle w:val="TH"/>
      </w:pPr>
      <w:r>
        <w:t>Table 5.10.5.2.2-2: Data structures supported by the POST Request Body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3"/>
        <w:gridCol w:w="1401"/>
        <w:gridCol w:w="1305"/>
        <w:gridCol w:w="4797"/>
      </w:tblGrid>
      <w:tr w:rsidR="009E3903" w14:paraId="54342F13" w14:textId="77777777" w:rsidTr="00902260">
        <w:trPr>
          <w:jc w:val="center"/>
        </w:trPr>
        <w:tc>
          <w:tcPr>
            <w:tcW w:w="1833" w:type="dxa"/>
            <w:tcBorders>
              <w:bottom w:val="single" w:sz="6" w:space="0" w:color="auto"/>
            </w:tcBorders>
            <w:shd w:val="clear" w:color="auto" w:fill="C0C0C0"/>
          </w:tcPr>
          <w:p w14:paraId="4EAB9D83" w14:textId="77777777" w:rsidR="009E3903" w:rsidRDefault="009E3903" w:rsidP="00902260">
            <w:pPr>
              <w:pStyle w:val="TAH"/>
            </w:pPr>
            <w:r>
              <w:t>Data type</w:t>
            </w:r>
          </w:p>
        </w:tc>
        <w:tc>
          <w:tcPr>
            <w:tcW w:w="1401" w:type="dxa"/>
            <w:tcBorders>
              <w:bottom w:val="single" w:sz="6" w:space="0" w:color="auto"/>
            </w:tcBorders>
            <w:shd w:val="clear" w:color="auto" w:fill="C0C0C0"/>
          </w:tcPr>
          <w:p w14:paraId="28C6779E" w14:textId="77777777" w:rsidR="009E3903" w:rsidRDefault="009E3903" w:rsidP="00902260">
            <w:pPr>
              <w:pStyle w:val="TAH"/>
            </w:pPr>
            <w:r>
              <w:t>P</w:t>
            </w:r>
          </w:p>
        </w:tc>
        <w:tc>
          <w:tcPr>
            <w:tcW w:w="1305" w:type="dxa"/>
            <w:tcBorders>
              <w:bottom w:val="single" w:sz="6" w:space="0" w:color="auto"/>
            </w:tcBorders>
            <w:shd w:val="clear" w:color="auto" w:fill="C0C0C0"/>
          </w:tcPr>
          <w:p w14:paraId="60E7B7BF" w14:textId="77777777" w:rsidR="009E3903" w:rsidRDefault="009E3903" w:rsidP="00902260">
            <w:pPr>
              <w:pStyle w:val="TAH"/>
            </w:pPr>
            <w:r>
              <w:t>Cardinality</w:t>
            </w:r>
          </w:p>
        </w:tc>
        <w:tc>
          <w:tcPr>
            <w:tcW w:w="4797" w:type="dxa"/>
            <w:tcBorders>
              <w:bottom w:val="single" w:sz="6" w:space="0" w:color="auto"/>
            </w:tcBorders>
            <w:shd w:val="clear" w:color="auto" w:fill="C0C0C0"/>
            <w:vAlign w:val="center"/>
          </w:tcPr>
          <w:p w14:paraId="348101F0" w14:textId="77777777" w:rsidR="009E3903" w:rsidRDefault="009E3903" w:rsidP="00902260">
            <w:pPr>
              <w:pStyle w:val="TAH"/>
            </w:pPr>
            <w:r>
              <w:t>Description</w:t>
            </w:r>
          </w:p>
        </w:tc>
      </w:tr>
      <w:tr w:rsidR="009E3903" w14:paraId="171AA7F0" w14:textId="77777777" w:rsidTr="00902260">
        <w:trPr>
          <w:jc w:val="center"/>
        </w:trPr>
        <w:tc>
          <w:tcPr>
            <w:tcW w:w="1833" w:type="dxa"/>
            <w:tcBorders>
              <w:top w:val="single" w:sz="6" w:space="0" w:color="auto"/>
            </w:tcBorders>
          </w:tcPr>
          <w:p w14:paraId="70FED267" w14:textId="77777777" w:rsidR="009E3903" w:rsidRDefault="009E3903" w:rsidP="00902260">
            <w:pPr>
              <w:pStyle w:val="TAL"/>
            </w:pPr>
            <w:r>
              <w:rPr>
                <w:rFonts w:eastAsia="等线"/>
              </w:rPr>
              <w:t>VflInferNotif</w:t>
            </w:r>
          </w:p>
        </w:tc>
        <w:tc>
          <w:tcPr>
            <w:tcW w:w="1401" w:type="dxa"/>
            <w:tcBorders>
              <w:top w:val="single" w:sz="6" w:space="0" w:color="auto"/>
            </w:tcBorders>
          </w:tcPr>
          <w:p w14:paraId="7ADAA5D6" w14:textId="77777777" w:rsidR="009E3903" w:rsidRDefault="009E3903" w:rsidP="00902260">
            <w:pPr>
              <w:pStyle w:val="TAC"/>
            </w:pPr>
            <w:r>
              <w:t>M</w:t>
            </w:r>
          </w:p>
        </w:tc>
        <w:tc>
          <w:tcPr>
            <w:tcW w:w="1305" w:type="dxa"/>
            <w:tcBorders>
              <w:top w:val="single" w:sz="6" w:space="0" w:color="auto"/>
            </w:tcBorders>
          </w:tcPr>
          <w:p w14:paraId="3118FCA7" w14:textId="77777777" w:rsidR="009E3903" w:rsidRDefault="009E3903" w:rsidP="00902260">
            <w:pPr>
              <w:pStyle w:val="TAC"/>
            </w:pPr>
            <w:r>
              <w:t>1</w:t>
            </w:r>
          </w:p>
        </w:tc>
        <w:tc>
          <w:tcPr>
            <w:tcW w:w="4797" w:type="dxa"/>
            <w:tcBorders>
              <w:top w:val="single" w:sz="6" w:space="0" w:color="auto"/>
            </w:tcBorders>
          </w:tcPr>
          <w:p w14:paraId="26A15A87" w14:textId="77777777" w:rsidR="009E3903" w:rsidRDefault="009E3903" w:rsidP="00902260">
            <w:pPr>
              <w:pStyle w:val="TAL"/>
            </w:pPr>
            <w:r>
              <w:t>Provides Information about observed events.</w:t>
            </w:r>
          </w:p>
        </w:tc>
      </w:tr>
    </w:tbl>
    <w:p w14:paraId="74A9732F" w14:textId="77777777" w:rsidR="009E3903" w:rsidRDefault="009E3903" w:rsidP="009E3903"/>
    <w:p w14:paraId="23B4B97A" w14:textId="77777777" w:rsidR="009E3903" w:rsidRPr="00B1632D" w:rsidRDefault="009E3903" w:rsidP="009E3903">
      <w:pPr>
        <w:keepNext/>
        <w:keepLines/>
        <w:spacing w:before="60"/>
        <w:jc w:val="center"/>
        <w:rPr>
          <w:rFonts w:ascii="Arial" w:hAnsi="Arial"/>
          <w:b/>
        </w:rPr>
      </w:pPr>
      <w:r w:rsidRPr="00B1632D">
        <w:rPr>
          <w:rFonts w:ascii="Arial" w:hAnsi="Arial"/>
          <w:b/>
        </w:rPr>
        <w:t>Table </w:t>
      </w:r>
      <w:r>
        <w:rPr>
          <w:rFonts w:ascii="Arial" w:hAnsi="Arial"/>
          <w:b/>
        </w:rPr>
        <w:t>5.10</w:t>
      </w:r>
      <w:r w:rsidRPr="00B1632D">
        <w:rPr>
          <w:rFonts w:ascii="Arial" w:hAnsi="Arial"/>
          <w:b/>
        </w:rPr>
        <w:t>.5.2.2-3: Data structures supported by the POST Response Body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867"/>
        <w:gridCol w:w="401"/>
        <w:gridCol w:w="1126"/>
        <w:gridCol w:w="1475"/>
        <w:gridCol w:w="4450"/>
        <w:gridCol w:w="17"/>
      </w:tblGrid>
      <w:tr w:rsidR="009E3903" w:rsidRPr="00B1632D" w14:paraId="4263CE0E" w14:textId="77777777" w:rsidTr="00902260">
        <w:trPr>
          <w:gridAfter w:val="1"/>
          <w:wAfter w:w="9" w:type="pct"/>
          <w:jc w:val="center"/>
        </w:trPr>
        <w:tc>
          <w:tcPr>
            <w:tcW w:w="1000" w:type="pct"/>
            <w:tcBorders>
              <w:bottom w:val="single" w:sz="6" w:space="0" w:color="auto"/>
            </w:tcBorders>
            <w:shd w:val="clear" w:color="auto" w:fill="C0C0C0"/>
          </w:tcPr>
          <w:p w14:paraId="673C4A45"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Data type</w:t>
            </w:r>
          </w:p>
        </w:tc>
        <w:tc>
          <w:tcPr>
            <w:tcW w:w="215" w:type="pct"/>
            <w:tcBorders>
              <w:bottom w:val="single" w:sz="6" w:space="0" w:color="auto"/>
            </w:tcBorders>
            <w:shd w:val="clear" w:color="auto" w:fill="C0C0C0"/>
          </w:tcPr>
          <w:p w14:paraId="0EFA27D0"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P</w:t>
            </w:r>
          </w:p>
        </w:tc>
        <w:tc>
          <w:tcPr>
            <w:tcW w:w="603" w:type="pct"/>
            <w:tcBorders>
              <w:bottom w:val="single" w:sz="6" w:space="0" w:color="auto"/>
            </w:tcBorders>
            <w:shd w:val="clear" w:color="auto" w:fill="C0C0C0"/>
          </w:tcPr>
          <w:p w14:paraId="2DD61BDF"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Cardinality</w:t>
            </w:r>
          </w:p>
        </w:tc>
        <w:tc>
          <w:tcPr>
            <w:tcW w:w="790" w:type="pct"/>
            <w:tcBorders>
              <w:bottom w:val="single" w:sz="6" w:space="0" w:color="auto"/>
            </w:tcBorders>
            <w:shd w:val="clear" w:color="auto" w:fill="C0C0C0"/>
          </w:tcPr>
          <w:p w14:paraId="09F81487"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Response codes</w:t>
            </w:r>
          </w:p>
        </w:tc>
        <w:tc>
          <w:tcPr>
            <w:tcW w:w="2383" w:type="pct"/>
            <w:tcBorders>
              <w:bottom w:val="single" w:sz="6" w:space="0" w:color="auto"/>
            </w:tcBorders>
            <w:shd w:val="clear" w:color="auto" w:fill="C0C0C0"/>
          </w:tcPr>
          <w:p w14:paraId="0D3842B5" w14:textId="77777777" w:rsidR="009E3903" w:rsidRPr="00B1632D" w:rsidRDefault="009E3903" w:rsidP="00902260">
            <w:pPr>
              <w:keepNext/>
              <w:keepLines/>
              <w:spacing w:after="0"/>
              <w:jc w:val="center"/>
              <w:rPr>
                <w:rFonts w:ascii="Arial" w:hAnsi="Arial"/>
                <w:b/>
                <w:sz w:val="18"/>
              </w:rPr>
            </w:pPr>
            <w:r w:rsidRPr="00B1632D">
              <w:rPr>
                <w:rFonts w:ascii="Arial" w:hAnsi="Arial"/>
                <w:b/>
                <w:sz w:val="18"/>
              </w:rPr>
              <w:t>Description</w:t>
            </w:r>
          </w:p>
        </w:tc>
      </w:tr>
      <w:tr w:rsidR="009E3903" w:rsidRPr="00B1632D" w14:paraId="2BDD44B5" w14:textId="77777777" w:rsidTr="00902260">
        <w:trPr>
          <w:gridAfter w:val="1"/>
          <w:wAfter w:w="9" w:type="pct"/>
          <w:jc w:val="center"/>
        </w:trPr>
        <w:tc>
          <w:tcPr>
            <w:tcW w:w="1000" w:type="pct"/>
            <w:tcBorders>
              <w:top w:val="single" w:sz="6" w:space="0" w:color="auto"/>
            </w:tcBorders>
          </w:tcPr>
          <w:p w14:paraId="09E4C0B0" w14:textId="77777777" w:rsidR="009E3903" w:rsidRPr="00B1632D" w:rsidRDefault="009E3903" w:rsidP="00902260">
            <w:pPr>
              <w:keepNext/>
              <w:keepLines/>
              <w:spacing w:after="0"/>
              <w:rPr>
                <w:rFonts w:ascii="Arial" w:hAnsi="Arial"/>
                <w:sz w:val="18"/>
              </w:rPr>
            </w:pPr>
            <w:r w:rsidRPr="00B1632D">
              <w:rPr>
                <w:rFonts w:ascii="Arial" w:hAnsi="Arial"/>
                <w:sz w:val="18"/>
              </w:rPr>
              <w:t>n/a</w:t>
            </w:r>
          </w:p>
        </w:tc>
        <w:tc>
          <w:tcPr>
            <w:tcW w:w="215" w:type="pct"/>
            <w:tcBorders>
              <w:top w:val="single" w:sz="6" w:space="0" w:color="auto"/>
            </w:tcBorders>
          </w:tcPr>
          <w:p w14:paraId="27C0CBFF" w14:textId="77777777" w:rsidR="009E3903" w:rsidRPr="00B1632D" w:rsidRDefault="009E3903" w:rsidP="00902260">
            <w:pPr>
              <w:keepNext/>
              <w:keepLines/>
              <w:spacing w:after="0"/>
              <w:jc w:val="center"/>
              <w:rPr>
                <w:rFonts w:ascii="Arial" w:hAnsi="Arial"/>
                <w:sz w:val="18"/>
              </w:rPr>
            </w:pPr>
          </w:p>
        </w:tc>
        <w:tc>
          <w:tcPr>
            <w:tcW w:w="603" w:type="pct"/>
            <w:tcBorders>
              <w:top w:val="single" w:sz="6" w:space="0" w:color="auto"/>
            </w:tcBorders>
          </w:tcPr>
          <w:p w14:paraId="2A5EC7FC" w14:textId="77777777" w:rsidR="009E3903" w:rsidRPr="00B1632D" w:rsidRDefault="009E3903" w:rsidP="00902260">
            <w:pPr>
              <w:keepNext/>
              <w:keepLines/>
              <w:spacing w:after="0"/>
              <w:jc w:val="center"/>
              <w:rPr>
                <w:rFonts w:ascii="Arial" w:hAnsi="Arial"/>
                <w:sz w:val="18"/>
              </w:rPr>
            </w:pPr>
          </w:p>
        </w:tc>
        <w:tc>
          <w:tcPr>
            <w:tcW w:w="790" w:type="pct"/>
            <w:tcBorders>
              <w:top w:val="single" w:sz="6" w:space="0" w:color="auto"/>
            </w:tcBorders>
          </w:tcPr>
          <w:p w14:paraId="112AD9EE" w14:textId="77777777" w:rsidR="009E3903" w:rsidRPr="00B1632D" w:rsidRDefault="009E3903" w:rsidP="00902260">
            <w:pPr>
              <w:keepNext/>
              <w:keepLines/>
              <w:spacing w:after="0"/>
              <w:rPr>
                <w:rFonts w:ascii="Arial" w:hAnsi="Arial"/>
                <w:sz w:val="18"/>
              </w:rPr>
            </w:pPr>
            <w:r w:rsidRPr="00B1632D">
              <w:rPr>
                <w:rFonts w:ascii="Arial" w:hAnsi="Arial"/>
                <w:sz w:val="18"/>
              </w:rPr>
              <w:t>204 No Content</w:t>
            </w:r>
          </w:p>
        </w:tc>
        <w:tc>
          <w:tcPr>
            <w:tcW w:w="2383" w:type="pct"/>
            <w:tcBorders>
              <w:top w:val="single" w:sz="6" w:space="0" w:color="auto"/>
            </w:tcBorders>
          </w:tcPr>
          <w:p w14:paraId="33F72899" w14:textId="77777777" w:rsidR="009E3903" w:rsidRPr="00B1632D" w:rsidRDefault="009E3903" w:rsidP="00902260">
            <w:pPr>
              <w:keepNext/>
              <w:keepLines/>
              <w:spacing w:after="0"/>
              <w:rPr>
                <w:rFonts w:ascii="Arial" w:hAnsi="Arial"/>
                <w:sz w:val="18"/>
              </w:rPr>
            </w:pPr>
            <w:r w:rsidRPr="00B1632D">
              <w:rPr>
                <w:rFonts w:ascii="Arial" w:hAnsi="Arial"/>
                <w:sz w:val="18"/>
              </w:rPr>
              <w:t>The receipt of the Notification is acknowledged.</w:t>
            </w:r>
          </w:p>
        </w:tc>
      </w:tr>
      <w:tr w:rsidR="009E3903" w:rsidRPr="00B1632D" w14:paraId="5A88317F" w14:textId="77777777" w:rsidTr="00902260">
        <w:trPr>
          <w:gridAfter w:val="1"/>
          <w:wAfter w:w="9" w:type="pct"/>
          <w:jc w:val="center"/>
        </w:trPr>
        <w:tc>
          <w:tcPr>
            <w:tcW w:w="1000" w:type="pct"/>
          </w:tcPr>
          <w:p w14:paraId="62A1A666" w14:textId="77777777" w:rsidR="009E3903" w:rsidRPr="00B1632D" w:rsidRDefault="009E3903" w:rsidP="00902260">
            <w:pPr>
              <w:keepNext/>
              <w:keepLines/>
              <w:spacing w:after="0"/>
              <w:rPr>
                <w:rFonts w:ascii="Arial" w:hAnsi="Arial"/>
                <w:sz w:val="18"/>
              </w:rPr>
            </w:pPr>
            <w:r w:rsidRPr="00B1632D">
              <w:rPr>
                <w:rFonts w:ascii="Arial" w:hAnsi="Arial"/>
                <w:sz w:val="18"/>
              </w:rPr>
              <w:t>RedirectResponse</w:t>
            </w:r>
          </w:p>
        </w:tc>
        <w:tc>
          <w:tcPr>
            <w:tcW w:w="215" w:type="pct"/>
          </w:tcPr>
          <w:p w14:paraId="6E797E4E"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03" w:type="pct"/>
          </w:tcPr>
          <w:p w14:paraId="45EF5BB7"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790" w:type="pct"/>
          </w:tcPr>
          <w:p w14:paraId="0A9E4C2F" w14:textId="77777777" w:rsidR="009E3903" w:rsidRPr="00B1632D" w:rsidRDefault="009E3903" w:rsidP="00902260">
            <w:pPr>
              <w:keepNext/>
              <w:keepLines/>
              <w:spacing w:after="0"/>
              <w:rPr>
                <w:rFonts w:ascii="Arial" w:hAnsi="Arial"/>
                <w:sz w:val="18"/>
              </w:rPr>
            </w:pPr>
            <w:r w:rsidRPr="00B1632D">
              <w:rPr>
                <w:rFonts w:ascii="Arial" w:hAnsi="Arial"/>
                <w:sz w:val="18"/>
              </w:rPr>
              <w:t>307 Temporary Redirect</w:t>
            </w:r>
          </w:p>
        </w:tc>
        <w:tc>
          <w:tcPr>
            <w:tcW w:w="2383" w:type="pct"/>
          </w:tcPr>
          <w:p w14:paraId="75DD4C3C" w14:textId="77777777" w:rsidR="009E3903" w:rsidRDefault="009E3903" w:rsidP="00902260">
            <w:pPr>
              <w:pStyle w:val="TAL"/>
            </w:pPr>
            <w:r w:rsidRPr="00B1632D">
              <w:t>Temporary redirection.</w:t>
            </w:r>
          </w:p>
          <w:p w14:paraId="45C29D99" w14:textId="77777777" w:rsidR="009E3903" w:rsidRDefault="009E3903" w:rsidP="00902260">
            <w:pPr>
              <w:pStyle w:val="TAL"/>
            </w:pPr>
          </w:p>
          <w:p w14:paraId="5624BD8A" w14:textId="77777777" w:rsidR="009E3903" w:rsidRPr="00B1632D" w:rsidRDefault="009E3903" w:rsidP="00902260">
            <w:pPr>
              <w:pStyle w:val="TAL"/>
            </w:pPr>
            <w:r>
              <w:t>(NOTE 2)</w:t>
            </w:r>
          </w:p>
        </w:tc>
      </w:tr>
      <w:tr w:rsidR="009E3903" w:rsidRPr="00B1632D" w14:paraId="0D655B80" w14:textId="77777777" w:rsidTr="00902260">
        <w:trPr>
          <w:gridAfter w:val="1"/>
          <w:wAfter w:w="9" w:type="pct"/>
          <w:jc w:val="center"/>
        </w:trPr>
        <w:tc>
          <w:tcPr>
            <w:tcW w:w="1000" w:type="pct"/>
          </w:tcPr>
          <w:p w14:paraId="35DFB139" w14:textId="77777777" w:rsidR="009E3903" w:rsidRPr="00B1632D" w:rsidRDefault="009E3903" w:rsidP="00902260">
            <w:pPr>
              <w:keepNext/>
              <w:keepLines/>
              <w:spacing w:after="0"/>
              <w:rPr>
                <w:rFonts w:ascii="Arial" w:hAnsi="Arial"/>
                <w:sz w:val="18"/>
              </w:rPr>
            </w:pPr>
            <w:r w:rsidRPr="00B1632D">
              <w:rPr>
                <w:rFonts w:ascii="Arial" w:hAnsi="Arial"/>
                <w:sz w:val="18"/>
              </w:rPr>
              <w:t>RedirectResponse</w:t>
            </w:r>
          </w:p>
        </w:tc>
        <w:tc>
          <w:tcPr>
            <w:tcW w:w="215" w:type="pct"/>
          </w:tcPr>
          <w:p w14:paraId="619EBA9C" w14:textId="77777777" w:rsidR="009E3903" w:rsidRPr="00B1632D" w:rsidRDefault="009E3903" w:rsidP="00902260">
            <w:pPr>
              <w:keepNext/>
              <w:keepLines/>
              <w:spacing w:after="0"/>
              <w:jc w:val="center"/>
              <w:rPr>
                <w:rFonts w:ascii="Arial" w:hAnsi="Arial"/>
                <w:sz w:val="18"/>
              </w:rPr>
            </w:pPr>
            <w:r w:rsidRPr="00B1632D">
              <w:rPr>
                <w:rFonts w:ascii="Arial" w:hAnsi="Arial"/>
                <w:sz w:val="18"/>
              </w:rPr>
              <w:t>O</w:t>
            </w:r>
          </w:p>
        </w:tc>
        <w:tc>
          <w:tcPr>
            <w:tcW w:w="603" w:type="pct"/>
          </w:tcPr>
          <w:p w14:paraId="2169E9E3" w14:textId="77777777" w:rsidR="009E3903" w:rsidRPr="00B1632D" w:rsidRDefault="009E3903" w:rsidP="00902260">
            <w:pPr>
              <w:keepNext/>
              <w:keepLines/>
              <w:spacing w:after="0"/>
              <w:jc w:val="center"/>
              <w:rPr>
                <w:rFonts w:ascii="Arial" w:hAnsi="Arial"/>
                <w:sz w:val="18"/>
              </w:rPr>
            </w:pPr>
            <w:r w:rsidRPr="00B1632D">
              <w:rPr>
                <w:rFonts w:ascii="Arial" w:hAnsi="Arial"/>
                <w:sz w:val="18"/>
              </w:rPr>
              <w:t>0..1</w:t>
            </w:r>
          </w:p>
        </w:tc>
        <w:tc>
          <w:tcPr>
            <w:tcW w:w="790" w:type="pct"/>
          </w:tcPr>
          <w:p w14:paraId="773E5C90" w14:textId="77777777" w:rsidR="009E3903" w:rsidRPr="00B1632D" w:rsidRDefault="009E3903" w:rsidP="00902260">
            <w:pPr>
              <w:keepNext/>
              <w:keepLines/>
              <w:spacing w:after="0"/>
              <w:rPr>
                <w:rFonts w:ascii="Arial" w:hAnsi="Arial"/>
                <w:sz w:val="18"/>
              </w:rPr>
            </w:pPr>
            <w:r w:rsidRPr="00B1632D">
              <w:rPr>
                <w:rFonts w:ascii="Arial" w:hAnsi="Arial"/>
                <w:sz w:val="18"/>
              </w:rPr>
              <w:t>308 Permanent Redirect</w:t>
            </w:r>
          </w:p>
        </w:tc>
        <w:tc>
          <w:tcPr>
            <w:tcW w:w="2383" w:type="pct"/>
          </w:tcPr>
          <w:p w14:paraId="2E71FBDF" w14:textId="77777777" w:rsidR="009E3903" w:rsidRDefault="009E3903" w:rsidP="00902260">
            <w:pPr>
              <w:pStyle w:val="TAL"/>
            </w:pPr>
            <w:r w:rsidRPr="00B1632D">
              <w:t>Permanent redirection.</w:t>
            </w:r>
            <w:r>
              <w:t xml:space="preserve"> </w:t>
            </w:r>
          </w:p>
          <w:p w14:paraId="65D861B7" w14:textId="77777777" w:rsidR="009E3903" w:rsidRDefault="009E3903" w:rsidP="00902260">
            <w:pPr>
              <w:pStyle w:val="TAL"/>
            </w:pPr>
          </w:p>
          <w:p w14:paraId="3929A32A" w14:textId="77777777" w:rsidR="009E3903" w:rsidRPr="00B1632D" w:rsidRDefault="009E3903" w:rsidP="00902260">
            <w:pPr>
              <w:pStyle w:val="TAL"/>
            </w:pPr>
            <w:r>
              <w:t>(NOTE 2)</w:t>
            </w:r>
          </w:p>
        </w:tc>
      </w:tr>
      <w:tr w:rsidR="009E3903" w:rsidRPr="00B1632D" w14:paraId="43540E77" w14:textId="77777777" w:rsidTr="00902260">
        <w:tblPrEx>
          <w:tblCellMar>
            <w:right w:w="115" w:type="dxa"/>
          </w:tblCellMar>
        </w:tblPrEx>
        <w:trPr>
          <w:jc w:val="center"/>
        </w:trPr>
        <w:tc>
          <w:tcPr>
            <w:tcW w:w="5000" w:type="pct"/>
            <w:gridSpan w:val="6"/>
          </w:tcPr>
          <w:p w14:paraId="0473FDCB" w14:textId="77777777" w:rsidR="009E3903" w:rsidRDefault="009E3903" w:rsidP="00902260">
            <w:pPr>
              <w:pStyle w:val="TAN"/>
            </w:pPr>
            <w:r w:rsidRPr="00B1632D">
              <w:t>NOTE</w:t>
            </w:r>
            <w:r>
              <w:t> 1</w:t>
            </w:r>
            <w:r w:rsidRPr="00B1632D">
              <w:t>:</w:t>
            </w:r>
            <w:r w:rsidRPr="00B1632D">
              <w:rPr>
                <w:lang w:eastAsia="zh-CN"/>
              </w:rPr>
              <w:tab/>
              <w:t xml:space="preserve">The mandatory </w:t>
            </w:r>
            <w:r w:rsidRPr="00B1632D">
              <w:t>HTTP error status codes for the POST method listed in table 5.2.7.1-1 of 3GPP TS 29.500 [6] also apply.</w:t>
            </w:r>
          </w:p>
          <w:p w14:paraId="70DC0260" w14:textId="77777777" w:rsidR="009E3903" w:rsidRPr="00B1632D" w:rsidRDefault="009E3903" w:rsidP="00902260">
            <w:pPr>
              <w:pStyle w:val="TAN"/>
              <w:rPr>
                <w:lang w:eastAsia="en-GB"/>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6</w:t>
            </w:r>
            <w:r w:rsidRPr="00A0180C">
              <w:t>]</w:t>
            </w:r>
            <w:r>
              <w:t>)</w:t>
            </w:r>
            <w:r w:rsidRPr="00A0180C">
              <w:t>.</w:t>
            </w:r>
          </w:p>
        </w:tc>
      </w:tr>
    </w:tbl>
    <w:p w14:paraId="0ABBD329" w14:textId="77777777" w:rsidR="009E3903" w:rsidRPr="00B1632D" w:rsidRDefault="009E3903" w:rsidP="009E3903">
      <w:pPr>
        <w:rPr>
          <w:lang w:val="en-US"/>
        </w:rPr>
      </w:pPr>
    </w:p>
    <w:p w14:paraId="62A07CE5" w14:textId="77777777" w:rsidR="009E3903" w:rsidRDefault="009E3903" w:rsidP="009E3903">
      <w:pPr>
        <w:pStyle w:val="TH"/>
      </w:pPr>
      <w:r>
        <w:lastRenderedPageBreak/>
        <w:t>Table 5.10.5.2.2-4: Headers supported by the 307 Response Code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25F14D52" w14:textId="77777777" w:rsidTr="00902260">
        <w:trPr>
          <w:jc w:val="center"/>
        </w:trPr>
        <w:tc>
          <w:tcPr>
            <w:tcW w:w="1027" w:type="pct"/>
            <w:tcBorders>
              <w:bottom w:val="single" w:sz="6" w:space="0" w:color="auto"/>
            </w:tcBorders>
            <w:shd w:val="clear" w:color="auto" w:fill="C0C0C0"/>
          </w:tcPr>
          <w:p w14:paraId="41E45574" w14:textId="77777777" w:rsidR="009E3903" w:rsidRDefault="009E3903" w:rsidP="00902260">
            <w:pPr>
              <w:pStyle w:val="TAH"/>
            </w:pPr>
            <w:r>
              <w:t>Name</w:t>
            </w:r>
          </w:p>
        </w:tc>
        <w:tc>
          <w:tcPr>
            <w:tcW w:w="529" w:type="pct"/>
            <w:tcBorders>
              <w:bottom w:val="single" w:sz="6" w:space="0" w:color="auto"/>
            </w:tcBorders>
            <w:shd w:val="clear" w:color="auto" w:fill="C0C0C0"/>
          </w:tcPr>
          <w:p w14:paraId="6FAF0B12" w14:textId="77777777" w:rsidR="009E3903" w:rsidRDefault="009E3903" w:rsidP="00902260">
            <w:pPr>
              <w:pStyle w:val="TAH"/>
            </w:pPr>
            <w:r>
              <w:t>Data type</w:t>
            </w:r>
          </w:p>
        </w:tc>
        <w:tc>
          <w:tcPr>
            <w:tcW w:w="217" w:type="pct"/>
            <w:tcBorders>
              <w:bottom w:val="single" w:sz="6" w:space="0" w:color="auto"/>
            </w:tcBorders>
            <w:shd w:val="clear" w:color="auto" w:fill="C0C0C0"/>
          </w:tcPr>
          <w:p w14:paraId="294899C4" w14:textId="77777777" w:rsidR="009E3903" w:rsidRDefault="009E3903" w:rsidP="00902260">
            <w:pPr>
              <w:pStyle w:val="TAH"/>
            </w:pPr>
            <w:r>
              <w:t>P</w:t>
            </w:r>
          </w:p>
        </w:tc>
        <w:tc>
          <w:tcPr>
            <w:tcW w:w="581" w:type="pct"/>
            <w:tcBorders>
              <w:bottom w:val="single" w:sz="6" w:space="0" w:color="auto"/>
            </w:tcBorders>
            <w:shd w:val="clear" w:color="auto" w:fill="C0C0C0"/>
          </w:tcPr>
          <w:p w14:paraId="613FC127"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65E1E3E9" w14:textId="77777777" w:rsidR="009E3903" w:rsidRDefault="009E3903" w:rsidP="00902260">
            <w:pPr>
              <w:pStyle w:val="TAH"/>
            </w:pPr>
            <w:r>
              <w:t>Description</w:t>
            </w:r>
          </w:p>
        </w:tc>
      </w:tr>
      <w:tr w:rsidR="009E3903" w14:paraId="30B7C17F" w14:textId="77777777" w:rsidTr="00902260">
        <w:trPr>
          <w:jc w:val="center"/>
        </w:trPr>
        <w:tc>
          <w:tcPr>
            <w:tcW w:w="1027" w:type="pct"/>
            <w:tcBorders>
              <w:top w:val="single" w:sz="6" w:space="0" w:color="auto"/>
            </w:tcBorders>
          </w:tcPr>
          <w:p w14:paraId="352FF6F1" w14:textId="77777777" w:rsidR="009E3903" w:rsidRDefault="009E3903" w:rsidP="00902260">
            <w:pPr>
              <w:pStyle w:val="TAL"/>
            </w:pPr>
            <w:r>
              <w:t>Location</w:t>
            </w:r>
          </w:p>
        </w:tc>
        <w:tc>
          <w:tcPr>
            <w:tcW w:w="529" w:type="pct"/>
            <w:tcBorders>
              <w:top w:val="single" w:sz="6" w:space="0" w:color="auto"/>
            </w:tcBorders>
          </w:tcPr>
          <w:p w14:paraId="0C213F37" w14:textId="77777777" w:rsidR="009E3903" w:rsidRDefault="009E3903" w:rsidP="00902260">
            <w:pPr>
              <w:pStyle w:val="TAL"/>
            </w:pPr>
            <w:r>
              <w:t>string</w:t>
            </w:r>
          </w:p>
        </w:tc>
        <w:tc>
          <w:tcPr>
            <w:tcW w:w="217" w:type="pct"/>
            <w:tcBorders>
              <w:top w:val="single" w:sz="6" w:space="0" w:color="auto"/>
            </w:tcBorders>
          </w:tcPr>
          <w:p w14:paraId="7282D547" w14:textId="77777777" w:rsidR="009E3903" w:rsidRDefault="009E3903" w:rsidP="00902260">
            <w:pPr>
              <w:pStyle w:val="TAC"/>
            </w:pPr>
            <w:r>
              <w:t>M</w:t>
            </w:r>
          </w:p>
        </w:tc>
        <w:tc>
          <w:tcPr>
            <w:tcW w:w="581" w:type="pct"/>
            <w:tcBorders>
              <w:top w:val="single" w:sz="6" w:space="0" w:color="auto"/>
            </w:tcBorders>
          </w:tcPr>
          <w:p w14:paraId="203CFCC1" w14:textId="77777777" w:rsidR="009E3903" w:rsidRDefault="009E3903" w:rsidP="00902260">
            <w:pPr>
              <w:pStyle w:val="TAL"/>
            </w:pPr>
            <w:r>
              <w:t>1</w:t>
            </w:r>
          </w:p>
        </w:tc>
        <w:tc>
          <w:tcPr>
            <w:tcW w:w="2645" w:type="pct"/>
            <w:tcBorders>
              <w:top w:val="single" w:sz="6" w:space="0" w:color="auto"/>
            </w:tcBorders>
            <w:vAlign w:val="center"/>
          </w:tcPr>
          <w:p w14:paraId="5EB94A9C" w14:textId="77777777" w:rsidR="009E3903" w:rsidRDefault="009E3903" w:rsidP="00902260">
            <w:pPr>
              <w:pStyle w:val="TAL"/>
            </w:pPr>
            <w:r>
              <w:t>Contains an alternative URI representing the end point of an alternative NF consumer (service) instance towards which the notification should be redirected.</w:t>
            </w:r>
          </w:p>
          <w:p w14:paraId="05701BFE" w14:textId="77777777" w:rsidR="009E3903" w:rsidRDefault="009E3903" w:rsidP="00902260">
            <w:pPr>
              <w:pStyle w:val="TAL"/>
            </w:pPr>
          </w:p>
          <w:p w14:paraId="38EE802B"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0D9BF23B" w14:textId="77777777" w:rsidTr="00902260">
        <w:trPr>
          <w:jc w:val="center"/>
        </w:trPr>
        <w:tc>
          <w:tcPr>
            <w:tcW w:w="1027" w:type="pct"/>
          </w:tcPr>
          <w:p w14:paraId="1486F0BE" w14:textId="77777777" w:rsidR="009E3903" w:rsidRDefault="009E3903" w:rsidP="00902260">
            <w:pPr>
              <w:pStyle w:val="TAL"/>
            </w:pPr>
            <w:r>
              <w:rPr>
                <w:lang w:eastAsia="zh-CN"/>
              </w:rPr>
              <w:t>3gpp-Sbi-Target-Nf-Id</w:t>
            </w:r>
          </w:p>
        </w:tc>
        <w:tc>
          <w:tcPr>
            <w:tcW w:w="529" w:type="pct"/>
          </w:tcPr>
          <w:p w14:paraId="17CE6711" w14:textId="77777777" w:rsidR="009E3903" w:rsidRDefault="009E3903" w:rsidP="00902260">
            <w:pPr>
              <w:pStyle w:val="TAL"/>
            </w:pPr>
            <w:r>
              <w:rPr>
                <w:lang w:eastAsia="fr-FR"/>
              </w:rPr>
              <w:t>string</w:t>
            </w:r>
          </w:p>
        </w:tc>
        <w:tc>
          <w:tcPr>
            <w:tcW w:w="217" w:type="pct"/>
          </w:tcPr>
          <w:p w14:paraId="6454B9EF" w14:textId="77777777" w:rsidR="009E3903" w:rsidRDefault="009E3903" w:rsidP="00902260">
            <w:pPr>
              <w:pStyle w:val="TAC"/>
            </w:pPr>
            <w:r>
              <w:rPr>
                <w:lang w:eastAsia="fr-FR"/>
              </w:rPr>
              <w:t>O</w:t>
            </w:r>
          </w:p>
        </w:tc>
        <w:tc>
          <w:tcPr>
            <w:tcW w:w="581" w:type="pct"/>
          </w:tcPr>
          <w:p w14:paraId="216DFFF6" w14:textId="77777777" w:rsidR="009E3903" w:rsidRDefault="009E3903" w:rsidP="00902260">
            <w:pPr>
              <w:pStyle w:val="TAL"/>
            </w:pPr>
            <w:r>
              <w:rPr>
                <w:lang w:eastAsia="fr-FR"/>
              </w:rPr>
              <w:t>0..1</w:t>
            </w:r>
          </w:p>
        </w:tc>
        <w:tc>
          <w:tcPr>
            <w:tcW w:w="2645" w:type="pct"/>
            <w:vAlign w:val="center"/>
          </w:tcPr>
          <w:p w14:paraId="140136B1" w14:textId="77777777" w:rsidR="009E3903" w:rsidRDefault="009E3903" w:rsidP="00902260">
            <w:pPr>
              <w:pStyle w:val="TAL"/>
            </w:pPr>
            <w:r>
              <w:rPr>
                <w:lang w:eastAsia="fr-FR"/>
              </w:rPr>
              <w:t>Contains the identifier of the target NF (service) instance towards which the notification request is redirected.</w:t>
            </w:r>
          </w:p>
        </w:tc>
      </w:tr>
    </w:tbl>
    <w:p w14:paraId="32A87150" w14:textId="77777777" w:rsidR="009E3903" w:rsidRDefault="009E3903" w:rsidP="009E3903"/>
    <w:p w14:paraId="030FE687" w14:textId="77777777" w:rsidR="009E3903" w:rsidRDefault="009E3903" w:rsidP="009E3903">
      <w:pPr>
        <w:pStyle w:val="TH"/>
      </w:pPr>
      <w:r>
        <w:t>Table 5.10.5.2.2-5: Headers supported by the 308 Response Code on this resource</w:t>
      </w:r>
    </w:p>
    <w:tbl>
      <w:tblPr>
        <w:tblW w:w="4850" w:type="pct"/>
        <w:jc w:val="center"/>
        <w:tblInd w:w="0"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17"/>
        <w:gridCol w:w="988"/>
        <w:gridCol w:w="405"/>
        <w:gridCol w:w="1085"/>
        <w:gridCol w:w="4941"/>
      </w:tblGrid>
      <w:tr w:rsidR="009E3903" w14:paraId="24EC4D55" w14:textId="77777777" w:rsidTr="00902260">
        <w:trPr>
          <w:jc w:val="center"/>
        </w:trPr>
        <w:tc>
          <w:tcPr>
            <w:tcW w:w="1027" w:type="pct"/>
            <w:tcBorders>
              <w:bottom w:val="single" w:sz="6" w:space="0" w:color="auto"/>
            </w:tcBorders>
            <w:shd w:val="clear" w:color="auto" w:fill="C0C0C0"/>
          </w:tcPr>
          <w:p w14:paraId="140B8211" w14:textId="77777777" w:rsidR="009E3903" w:rsidRDefault="009E3903" w:rsidP="00902260">
            <w:pPr>
              <w:pStyle w:val="TAH"/>
            </w:pPr>
            <w:r>
              <w:t>Name</w:t>
            </w:r>
          </w:p>
        </w:tc>
        <w:tc>
          <w:tcPr>
            <w:tcW w:w="529" w:type="pct"/>
            <w:tcBorders>
              <w:bottom w:val="single" w:sz="6" w:space="0" w:color="auto"/>
            </w:tcBorders>
            <w:shd w:val="clear" w:color="auto" w:fill="C0C0C0"/>
          </w:tcPr>
          <w:p w14:paraId="1889826C" w14:textId="77777777" w:rsidR="009E3903" w:rsidRDefault="009E3903" w:rsidP="00902260">
            <w:pPr>
              <w:pStyle w:val="TAH"/>
            </w:pPr>
            <w:r>
              <w:t>Data type</w:t>
            </w:r>
          </w:p>
        </w:tc>
        <w:tc>
          <w:tcPr>
            <w:tcW w:w="217" w:type="pct"/>
            <w:tcBorders>
              <w:bottom w:val="single" w:sz="6" w:space="0" w:color="auto"/>
            </w:tcBorders>
            <w:shd w:val="clear" w:color="auto" w:fill="C0C0C0"/>
          </w:tcPr>
          <w:p w14:paraId="6E5D3536" w14:textId="77777777" w:rsidR="009E3903" w:rsidRDefault="009E3903" w:rsidP="00902260">
            <w:pPr>
              <w:pStyle w:val="TAH"/>
            </w:pPr>
            <w:r>
              <w:t>P</w:t>
            </w:r>
          </w:p>
        </w:tc>
        <w:tc>
          <w:tcPr>
            <w:tcW w:w="581" w:type="pct"/>
            <w:tcBorders>
              <w:bottom w:val="single" w:sz="6" w:space="0" w:color="auto"/>
            </w:tcBorders>
            <w:shd w:val="clear" w:color="auto" w:fill="C0C0C0"/>
          </w:tcPr>
          <w:p w14:paraId="08CF3981" w14:textId="77777777" w:rsidR="009E3903" w:rsidRDefault="009E3903" w:rsidP="00902260">
            <w:pPr>
              <w:pStyle w:val="TAH"/>
            </w:pPr>
            <w:r>
              <w:t>Cardinality</w:t>
            </w:r>
          </w:p>
        </w:tc>
        <w:tc>
          <w:tcPr>
            <w:tcW w:w="2645" w:type="pct"/>
            <w:tcBorders>
              <w:bottom w:val="single" w:sz="6" w:space="0" w:color="auto"/>
            </w:tcBorders>
            <w:shd w:val="clear" w:color="auto" w:fill="C0C0C0"/>
            <w:vAlign w:val="center"/>
          </w:tcPr>
          <w:p w14:paraId="10DDB819" w14:textId="77777777" w:rsidR="009E3903" w:rsidRDefault="009E3903" w:rsidP="00902260">
            <w:pPr>
              <w:pStyle w:val="TAH"/>
            </w:pPr>
            <w:r>
              <w:t>Description</w:t>
            </w:r>
          </w:p>
        </w:tc>
      </w:tr>
      <w:tr w:rsidR="009E3903" w14:paraId="47B286E1" w14:textId="77777777" w:rsidTr="00902260">
        <w:trPr>
          <w:jc w:val="center"/>
        </w:trPr>
        <w:tc>
          <w:tcPr>
            <w:tcW w:w="1027" w:type="pct"/>
            <w:tcBorders>
              <w:top w:val="single" w:sz="6" w:space="0" w:color="auto"/>
            </w:tcBorders>
          </w:tcPr>
          <w:p w14:paraId="185F7CD7" w14:textId="77777777" w:rsidR="009E3903" w:rsidRDefault="009E3903" w:rsidP="00902260">
            <w:pPr>
              <w:pStyle w:val="TAL"/>
            </w:pPr>
            <w:r>
              <w:t>Location</w:t>
            </w:r>
          </w:p>
        </w:tc>
        <w:tc>
          <w:tcPr>
            <w:tcW w:w="529" w:type="pct"/>
            <w:tcBorders>
              <w:top w:val="single" w:sz="6" w:space="0" w:color="auto"/>
            </w:tcBorders>
          </w:tcPr>
          <w:p w14:paraId="2244F81C" w14:textId="77777777" w:rsidR="009E3903" w:rsidRDefault="009E3903" w:rsidP="00902260">
            <w:pPr>
              <w:pStyle w:val="TAL"/>
            </w:pPr>
            <w:r>
              <w:t>string</w:t>
            </w:r>
          </w:p>
        </w:tc>
        <w:tc>
          <w:tcPr>
            <w:tcW w:w="217" w:type="pct"/>
            <w:tcBorders>
              <w:top w:val="single" w:sz="6" w:space="0" w:color="auto"/>
            </w:tcBorders>
          </w:tcPr>
          <w:p w14:paraId="4AEEFFE5" w14:textId="77777777" w:rsidR="009E3903" w:rsidRDefault="009E3903" w:rsidP="00902260">
            <w:pPr>
              <w:pStyle w:val="TAC"/>
            </w:pPr>
            <w:r>
              <w:t>M</w:t>
            </w:r>
          </w:p>
        </w:tc>
        <w:tc>
          <w:tcPr>
            <w:tcW w:w="581" w:type="pct"/>
            <w:tcBorders>
              <w:top w:val="single" w:sz="6" w:space="0" w:color="auto"/>
            </w:tcBorders>
          </w:tcPr>
          <w:p w14:paraId="4DDBD719" w14:textId="77777777" w:rsidR="009E3903" w:rsidRDefault="009E3903" w:rsidP="00902260">
            <w:pPr>
              <w:pStyle w:val="TAL"/>
            </w:pPr>
            <w:r>
              <w:t>1</w:t>
            </w:r>
          </w:p>
        </w:tc>
        <w:tc>
          <w:tcPr>
            <w:tcW w:w="2645" w:type="pct"/>
            <w:tcBorders>
              <w:top w:val="single" w:sz="6" w:space="0" w:color="auto"/>
            </w:tcBorders>
            <w:vAlign w:val="center"/>
          </w:tcPr>
          <w:p w14:paraId="05D7AAEF" w14:textId="77777777" w:rsidR="009E3903" w:rsidRDefault="009E3903" w:rsidP="00902260">
            <w:pPr>
              <w:pStyle w:val="TAL"/>
            </w:pPr>
            <w:r>
              <w:t>Contains an alternative URI representing the end point of an alternative NF consumer (service) instance towards which the notification should be redirected.</w:t>
            </w:r>
          </w:p>
          <w:p w14:paraId="3DC545ED" w14:textId="77777777" w:rsidR="009E3903" w:rsidRDefault="009E3903" w:rsidP="00902260">
            <w:pPr>
              <w:pStyle w:val="TAL"/>
            </w:pPr>
          </w:p>
          <w:p w14:paraId="54186A4A" w14:textId="77777777" w:rsidR="009E3903" w:rsidRDefault="009E3903" w:rsidP="00902260">
            <w:pPr>
              <w:pStyle w:val="TAL"/>
            </w:pPr>
            <w:r>
              <w:t xml:space="preserve">For the case where the request is redirected to the same target via a different SCP, refer to </w:t>
            </w:r>
            <w:r w:rsidRPr="00A0180C">
              <w:t>clause 6.10.9.1 of 3GPP TS 29.500 [</w:t>
            </w:r>
            <w:r>
              <w:t>6</w:t>
            </w:r>
            <w:r w:rsidRPr="00A0180C">
              <w:t>]</w:t>
            </w:r>
            <w:r>
              <w:t>.</w:t>
            </w:r>
          </w:p>
        </w:tc>
      </w:tr>
      <w:tr w:rsidR="009E3903" w14:paraId="72A7DFC0" w14:textId="77777777" w:rsidTr="00902260">
        <w:trPr>
          <w:jc w:val="center"/>
        </w:trPr>
        <w:tc>
          <w:tcPr>
            <w:tcW w:w="1027" w:type="pct"/>
          </w:tcPr>
          <w:p w14:paraId="26ED3218" w14:textId="77777777" w:rsidR="009E3903" w:rsidRDefault="009E3903" w:rsidP="00902260">
            <w:pPr>
              <w:pStyle w:val="TAL"/>
            </w:pPr>
            <w:r>
              <w:rPr>
                <w:lang w:eastAsia="zh-CN"/>
              </w:rPr>
              <w:t>3gpp-Sbi-Target-Nf-Id</w:t>
            </w:r>
          </w:p>
        </w:tc>
        <w:tc>
          <w:tcPr>
            <w:tcW w:w="529" w:type="pct"/>
          </w:tcPr>
          <w:p w14:paraId="74A779B7" w14:textId="77777777" w:rsidR="009E3903" w:rsidRDefault="009E3903" w:rsidP="00902260">
            <w:pPr>
              <w:pStyle w:val="TAL"/>
            </w:pPr>
            <w:r>
              <w:rPr>
                <w:lang w:eastAsia="fr-FR"/>
              </w:rPr>
              <w:t>string</w:t>
            </w:r>
          </w:p>
        </w:tc>
        <w:tc>
          <w:tcPr>
            <w:tcW w:w="217" w:type="pct"/>
          </w:tcPr>
          <w:p w14:paraId="57F547C2" w14:textId="77777777" w:rsidR="009E3903" w:rsidRDefault="009E3903" w:rsidP="00902260">
            <w:pPr>
              <w:pStyle w:val="TAC"/>
            </w:pPr>
            <w:r>
              <w:rPr>
                <w:lang w:eastAsia="fr-FR"/>
              </w:rPr>
              <w:t>O</w:t>
            </w:r>
          </w:p>
        </w:tc>
        <w:tc>
          <w:tcPr>
            <w:tcW w:w="581" w:type="pct"/>
          </w:tcPr>
          <w:p w14:paraId="77CEB511" w14:textId="77777777" w:rsidR="009E3903" w:rsidRDefault="009E3903" w:rsidP="00902260">
            <w:pPr>
              <w:pStyle w:val="TAL"/>
            </w:pPr>
            <w:r>
              <w:rPr>
                <w:lang w:eastAsia="fr-FR"/>
              </w:rPr>
              <w:t>0..1</w:t>
            </w:r>
          </w:p>
        </w:tc>
        <w:tc>
          <w:tcPr>
            <w:tcW w:w="2645" w:type="pct"/>
            <w:vAlign w:val="center"/>
          </w:tcPr>
          <w:p w14:paraId="500533FA" w14:textId="77777777" w:rsidR="009E3903" w:rsidRDefault="009E3903" w:rsidP="00902260">
            <w:pPr>
              <w:pStyle w:val="TAL"/>
            </w:pPr>
            <w:r>
              <w:rPr>
                <w:lang w:eastAsia="fr-FR"/>
              </w:rPr>
              <w:t>Contains the identifier of the target NF (service) instance towards which the notification request is redirected</w:t>
            </w:r>
          </w:p>
        </w:tc>
      </w:tr>
    </w:tbl>
    <w:p w14:paraId="2D3FB21A" w14:textId="77777777" w:rsidR="009E3903" w:rsidRDefault="009E3903" w:rsidP="009E3903"/>
    <w:p w14:paraId="17176758" w14:textId="77777777" w:rsidR="009E3903" w:rsidRDefault="009E3903" w:rsidP="009E3903">
      <w:pPr>
        <w:pStyle w:val="3"/>
        <w:rPr>
          <w:lang w:val="en-US"/>
        </w:rPr>
      </w:pPr>
      <w:bookmarkStart w:id="17036" w:name="_Toc199453491"/>
      <w:r>
        <w:rPr>
          <w:lang w:val="en-US"/>
        </w:rPr>
        <w:t>5.10.6</w:t>
      </w:r>
      <w:r>
        <w:rPr>
          <w:lang w:val="en-US"/>
        </w:rPr>
        <w:tab/>
        <w:t>Data Model</w:t>
      </w:r>
      <w:bookmarkEnd w:id="17036"/>
    </w:p>
    <w:p w14:paraId="77E45509" w14:textId="77777777" w:rsidR="009E3903" w:rsidRDefault="009E3903" w:rsidP="009E3903">
      <w:pPr>
        <w:pStyle w:val="4"/>
      </w:pPr>
      <w:bookmarkStart w:id="17037" w:name="_Toc199453492"/>
      <w:r>
        <w:t>5.10.6.1</w:t>
      </w:r>
      <w:r>
        <w:tab/>
        <w:t>General</w:t>
      </w:r>
      <w:bookmarkEnd w:id="17037"/>
    </w:p>
    <w:p w14:paraId="0D9F31B5" w14:textId="77777777" w:rsidR="009E3903" w:rsidRDefault="009E3903" w:rsidP="009E3903">
      <w:r>
        <w:t>This clause specifies the application data model supported by the API.</w:t>
      </w:r>
    </w:p>
    <w:p w14:paraId="2F42B4E9" w14:textId="77777777" w:rsidR="009E3903" w:rsidRDefault="009E3903" w:rsidP="009E3903">
      <w:r>
        <w:t xml:space="preserve">Table 5.10.6.1-1 specifies the data types defined for the </w:t>
      </w:r>
      <w:r>
        <w:rPr>
          <w:rFonts w:eastAsia="MS Mincho"/>
        </w:rPr>
        <w:t>Nnwdaf_VFLInference service</w:t>
      </w:r>
      <w:r>
        <w:t>-based interface protocol.</w:t>
      </w:r>
    </w:p>
    <w:p w14:paraId="2D23256A"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5.10.6.1-1: Nnwdaf_</w:t>
      </w:r>
      <w:r>
        <w:rPr>
          <w:lang w:eastAsia="ja-JP"/>
        </w:rPr>
        <w:t>VFLInference</w:t>
      </w:r>
      <w:r>
        <w:rPr>
          <w:rFonts w:eastAsia="MS Mincho"/>
        </w:rPr>
        <w:t xml:space="preserve"> specific Data Types</w:t>
      </w:r>
    </w:p>
    <w:tbl>
      <w:tblPr>
        <w:tblW w:w="48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0"/>
        <w:gridCol w:w="1559"/>
        <w:gridCol w:w="3969"/>
        <w:gridCol w:w="1408"/>
      </w:tblGrid>
      <w:tr w:rsidR="009E3903" w14:paraId="608AC8A3" w14:textId="77777777" w:rsidTr="00902260">
        <w:trPr>
          <w:jc w:val="center"/>
        </w:trPr>
        <w:tc>
          <w:tcPr>
            <w:tcW w:w="2400" w:type="dxa"/>
            <w:tcBorders>
              <w:top w:val="single" w:sz="6" w:space="0" w:color="auto"/>
              <w:left w:val="single" w:sz="6" w:space="0" w:color="auto"/>
              <w:bottom w:val="single" w:sz="6" w:space="0" w:color="auto"/>
              <w:right w:val="single" w:sz="6" w:space="0" w:color="auto"/>
            </w:tcBorders>
            <w:shd w:val="clear" w:color="auto" w:fill="C0C0C0"/>
          </w:tcPr>
          <w:p w14:paraId="385F1406" w14:textId="77777777" w:rsidR="009E3903" w:rsidRDefault="009E3903" w:rsidP="00902260">
            <w:pPr>
              <w:pStyle w:val="TAH"/>
            </w:pPr>
            <w: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328FECB8" w14:textId="77777777" w:rsidR="009E3903" w:rsidRDefault="009E3903" w:rsidP="00902260">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tcPr>
          <w:p w14:paraId="56790DB5" w14:textId="77777777" w:rsidR="009E3903" w:rsidRDefault="009E3903" w:rsidP="00902260">
            <w:pPr>
              <w:pStyle w:val="TAH"/>
            </w:pPr>
            <w:r>
              <w:t>Description</w:t>
            </w:r>
          </w:p>
        </w:tc>
        <w:tc>
          <w:tcPr>
            <w:tcW w:w="1408" w:type="dxa"/>
            <w:tcBorders>
              <w:top w:val="single" w:sz="6" w:space="0" w:color="auto"/>
              <w:left w:val="single" w:sz="6" w:space="0" w:color="auto"/>
              <w:bottom w:val="single" w:sz="6" w:space="0" w:color="auto"/>
              <w:right w:val="single" w:sz="6" w:space="0" w:color="auto"/>
            </w:tcBorders>
            <w:shd w:val="clear" w:color="auto" w:fill="C0C0C0"/>
          </w:tcPr>
          <w:p w14:paraId="7D0FC1CD" w14:textId="77777777" w:rsidR="009E3903" w:rsidRDefault="009E3903" w:rsidP="00902260">
            <w:pPr>
              <w:pStyle w:val="TAH"/>
            </w:pPr>
            <w:r>
              <w:t>Applicability</w:t>
            </w:r>
          </w:p>
        </w:tc>
      </w:tr>
      <w:tr w:rsidR="009E3903" w14:paraId="2C870FAF" w14:textId="77777777" w:rsidTr="00902260">
        <w:trPr>
          <w:trHeight w:val="651"/>
          <w:jc w:val="center"/>
        </w:trPr>
        <w:tc>
          <w:tcPr>
            <w:tcW w:w="2400" w:type="dxa"/>
            <w:tcBorders>
              <w:top w:val="single" w:sz="6" w:space="0" w:color="auto"/>
              <w:left w:val="single" w:sz="6" w:space="0" w:color="auto"/>
              <w:right w:val="single" w:sz="6" w:space="0" w:color="auto"/>
            </w:tcBorders>
          </w:tcPr>
          <w:p w14:paraId="473FF619" w14:textId="77777777" w:rsidR="009E3903" w:rsidRDefault="009E3903" w:rsidP="00902260">
            <w:pPr>
              <w:pStyle w:val="TAL"/>
              <w:rPr>
                <w:lang w:eastAsia="zh-CN"/>
              </w:rPr>
            </w:pPr>
            <w:r>
              <w:rPr>
                <w:rFonts w:eastAsia="等线"/>
              </w:rPr>
              <w:t>VflInferAnaSub</w:t>
            </w:r>
          </w:p>
        </w:tc>
        <w:tc>
          <w:tcPr>
            <w:tcW w:w="1559" w:type="dxa"/>
            <w:tcBorders>
              <w:top w:val="single" w:sz="6" w:space="0" w:color="auto"/>
              <w:left w:val="single" w:sz="6" w:space="0" w:color="auto"/>
              <w:right w:val="single" w:sz="6" w:space="0" w:color="auto"/>
            </w:tcBorders>
          </w:tcPr>
          <w:p w14:paraId="7BD0F199" w14:textId="77777777" w:rsidR="009E3903" w:rsidRDefault="009E3903" w:rsidP="00902260">
            <w:pPr>
              <w:pStyle w:val="TAL"/>
            </w:pPr>
            <w:r>
              <w:t>5.10.6.2.4</w:t>
            </w:r>
          </w:p>
        </w:tc>
        <w:tc>
          <w:tcPr>
            <w:tcW w:w="3969" w:type="dxa"/>
            <w:tcBorders>
              <w:top w:val="single" w:sz="6" w:space="0" w:color="auto"/>
              <w:left w:val="single" w:sz="6" w:space="0" w:color="auto"/>
              <w:right w:val="single" w:sz="6" w:space="0" w:color="auto"/>
            </w:tcBorders>
          </w:tcPr>
          <w:p w14:paraId="19D17697" w14:textId="77777777" w:rsidR="009E3903" w:rsidRDefault="009E3903" w:rsidP="00902260">
            <w:pPr>
              <w:pStyle w:val="TAL"/>
            </w:pPr>
            <w:r>
              <w:rPr>
                <w:rFonts w:cs="Arial"/>
                <w:szCs w:val="18"/>
                <w:lang w:eastAsia="zh-CN"/>
              </w:rPr>
              <w:t>Represents an Individual NWDAF VLF Inference Subscription resource.</w:t>
            </w:r>
          </w:p>
        </w:tc>
        <w:tc>
          <w:tcPr>
            <w:tcW w:w="1408" w:type="dxa"/>
            <w:tcBorders>
              <w:top w:val="single" w:sz="6" w:space="0" w:color="auto"/>
              <w:left w:val="single" w:sz="6" w:space="0" w:color="auto"/>
              <w:right w:val="single" w:sz="6" w:space="0" w:color="auto"/>
            </w:tcBorders>
          </w:tcPr>
          <w:p w14:paraId="13BF4A03" w14:textId="77777777" w:rsidR="009E3903" w:rsidRDefault="009E3903" w:rsidP="00902260">
            <w:pPr>
              <w:pStyle w:val="TAL"/>
              <w:rPr>
                <w:rFonts w:cs="Arial"/>
                <w:szCs w:val="18"/>
              </w:rPr>
            </w:pPr>
          </w:p>
        </w:tc>
      </w:tr>
      <w:tr w:rsidR="009E3903" w14:paraId="422A335B" w14:textId="77777777" w:rsidTr="00902260">
        <w:trPr>
          <w:trHeight w:val="651"/>
          <w:jc w:val="center"/>
        </w:trPr>
        <w:tc>
          <w:tcPr>
            <w:tcW w:w="2400" w:type="dxa"/>
            <w:tcBorders>
              <w:top w:val="single" w:sz="6" w:space="0" w:color="auto"/>
              <w:left w:val="single" w:sz="6" w:space="0" w:color="auto"/>
              <w:right w:val="single" w:sz="6" w:space="0" w:color="auto"/>
            </w:tcBorders>
          </w:tcPr>
          <w:p w14:paraId="54718810" w14:textId="77777777" w:rsidR="009E3903" w:rsidRDefault="009E3903" w:rsidP="00902260">
            <w:pPr>
              <w:pStyle w:val="TAL"/>
              <w:rPr>
                <w:rFonts w:eastAsia="等线"/>
              </w:rPr>
            </w:pPr>
            <w:r>
              <w:rPr>
                <w:rFonts w:eastAsia="等线"/>
              </w:rPr>
              <w:t>VflInferNotif</w:t>
            </w:r>
          </w:p>
        </w:tc>
        <w:tc>
          <w:tcPr>
            <w:tcW w:w="1559" w:type="dxa"/>
            <w:tcBorders>
              <w:top w:val="single" w:sz="6" w:space="0" w:color="auto"/>
              <w:left w:val="single" w:sz="6" w:space="0" w:color="auto"/>
              <w:right w:val="single" w:sz="6" w:space="0" w:color="auto"/>
            </w:tcBorders>
          </w:tcPr>
          <w:p w14:paraId="227D9F56" w14:textId="77777777" w:rsidR="009E3903" w:rsidRDefault="009E3903" w:rsidP="00902260">
            <w:pPr>
              <w:pStyle w:val="TAL"/>
            </w:pPr>
            <w:r>
              <w:t>5.10.6.2.5</w:t>
            </w:r>
          </w:p>
        </w:tc>
        <w:tc>
          <w:tcPr>
            <w:tcW w:w="3969" w:type="dxa"/>
            <w:tcBorders>
              <w:top w:val="single" w:sz="6" w:space="0" w:color="auto"/>
              <w:left w:val="single" w:sz="6" w:space="0" w:color="auto"/>
              <w:right w:val="single" w:sz="6" w:space="0" w:color="auto"/>
            </w:tcBorders>
          </w:tcPr>
          <w:p w14:paraId="485671B2" w14:textId="77777777" w:rsidR="009E3903" w:rsidRDefault="009E3903" w:rsidP="00902260">
            <w:pPr>
              <w:pStyle w:val="TAL"/>
            </w:pPr>
            <w:r>
              <w:t>Represents notification of a VFL inference subscription.</w:t>
            </w:r>
          </w:p>
        </w:tc>
        <w:tc>
          <w:tcPr>
            <w:tcW w:w="1408" w:type="dxa"/>
            <w:tcBorders>
              <w:top w:val="single" w:sz="6" w:space="0" w:color="auto"/>
              <w:left w:val="single" w:sz="6" w:space="0" w:color="auto"/>
              <w:right w:val="single" w:sz="6" w:space="0" w:color="auto"/>
            </w:tcBorders>
          </w:tcPr>
          <w:p w14:paraId="37549022" w14:textId="77777777" w:rsidR="009E3903" w:rsidRDefault="009E3903" w:rsidP="00902260">
            <w:pPr>
              <w:pStyle w:val="TAL"/>
              <w:rPr>
                <w:rFonts w:cs="Arial"/>
                <w:szCs w:val="18"/>
              </w:rPr>
            </w:pPr>
          </w:p>
        </w:tc>
      </w:tr>
      <w:tr w:rsidR="009E3903" w14:paraId="164D78F8" w14:textId="77777777" w:rsidTr="00902260">
        <w:trPr>
          <w:trHeight w:val="651"/>
          <w:jc w:val="center"/>
        </w:trPr>
        <w:tc>
          <w:tcPr>
            <w:tcW w:w="2400" w:type="dxa"/>
            <w:tcBorders>
              <w:top w:val="single" w:sz="6" w:space="0" w:color="auto"/>
              <w:left w:val="single" w:sz="6" w:space="0" w:color="auto"/>
              <w:right w:val="single" w:sz="6" w:space="0" w:color="auto"/>
            </w:tcBorders>
          </w:tcPr>
          <w:p w14:paraId="6800FD14" w14:textId="77777777" w:rsidR="009E3903" w:rsidRDefault="009E3903" w:rsidP="00902260">
            <w:pPr>
              <w:pStyle w:val="TAL"/>
              <w:rPr>
                <w:rFonts w:eastAsia="等线"/>
              </w:rPr>
            </w:pPr>
            <w:r>
              <w:t>VflInferReq</w:t>
            </w:r>
          </w:p>
        </w:tc>
        <w:tc>
          <w:tcPr>
            <w:tcW w:w="1559" w:type="dxa"/>
            <w:tcBorders>
              <w:top w:val="single" w:sz="6" w:space="0" w:color="auto"/>
              <w:left w:val="single" w:sz="6" w:space="0" w:color="auto"/>
              <w:right w:val="single" w:sz="6" w:space="0" w:color="auto"/>
            </w:tcBorders>
          </w:tcPr>
          <w:p w14:paraId="08F9CC00" w14:textId="77777777" w:rsidR="009E3903" w:rsidRDefault="009E3903" w:rsidP="00902260">
            <w:pPr>
              <w:pStyle w:val="TAL"/>
            </w:pPr>
            <w:r>
              <w:t>5.10.6.2.6</w:t>
            </w:r>
          </w:p>
        </w:tc>
        <w:tc>
          <w:tcPr>
            <w:tcW w:w="3969" w:type="dxa"/>
            <w:tcBorders>
              <w:top w:val="single" w:sz="6" w:space="0" w:color="auto"/>
              <w:left w:val="single" w:sz="6" w:space="0" w:color="auto"/>
              <w:right w:val="single" w:sz="6" w:space="0" w:color="auto"/>
            </w:tcBorders>
          </w:tcPr>
          <w:p w14:paraId="7213C668" w14:textId="77777777" w:rsidR="009E3903" w:rsidRDefault="009E3903" w:rsidP="00902260">
            <w:pPr>
              <w:pStyle w:val="TAL"/>
            </w:pPr>
            <w:r>
              <w:t>Represents requirements for VFL inference</w:t>
            </w:r>
          </w:p>
        </w:tc>
        <w:tc>
          <w:tcPr>
            <w:tcW w:w="1408" w:type="dxa"/>
            <w:tcBorders>
              <w:top w:val="single" w:sz="6" w:space="0" w:color="auto"/>
              <w:left w:val="single" w:sz="6" w:space="0" w:color="auto"/>
              <w:right w:val="single" w:sz="6" w:space="0" w:color="auto"/>
            </w:tcBorders>
          </w:tcPr>
          <w:p w14:paraId="7BAF7CA3" w14:textId="77777777" w:rsidR="009E3903" w:rsidRDefault="009E3903" w:rsidP="00902260">
            <w:pPr>
              <w:pStyle w:val="TAL"/>
              <w:rPr>
                <w:rFonts w:cs="Arial"/>
                <w:szCs w:val="18"/>
              </w:rPr>
            </w:pPr>
          </w:p>
        </w:tc>
      </w:tr>
      <w:tr w:rsidR="009E3903" w14:paraId="6E3536FE" w14:textId="77777777" w:rsidTr="00902260">
        <w:trPr>
          <w:trHeight w:val="651"/>
          <w:jc w:val="center"/>
        </w:trPr>
        <w:tc>
          <w:tcPr>
            <w:tcW w:w="2400" w:type="dxa"/>
            <w:tcBorders>
              <w:top w:val="single" w:sz="6" w:space="0" w:color="auto"/>
              <w:left w:val="single" w:sz="6" w:space="0" w:color="auto"/>
              <w:right w:val="single" w:sz="6" w:space="0" w:color="auto"/>
            </w:tcBorders>
          </w:tcPr>
          <w:p w14:paraId="35269065" w14:textId="77777777" w:rsidR="009E3903" w:rsidRDefault="009E3903" w:rsidP="00902260">
            <w:pPr>
              <w:pStyle w:val="TAL"/>
              <w:rPr>
                <w:rFonts w:eastAsia="等线"/>
              </w:rPr>
            </w:pPr>
            <w:r>
              <w:t>VflInferResult</w:t>
            </w:r>
          </w:p>
        </w:tc>
        <w:tc>
          <w:tcPr>
            <w:tcW w:w="1559" w:type="dxa"/>
            <w:tcBorders>
              <w:top w:val="single" w:sz="6" w:space="0" w:color="auto"/>
              <w:left w:val="single" w:sz="6" w:space="0" w:color="auto"/>
              <w:right w:val="single" w:sz="6" w:space="0" w:color="auto"/>
            </w:tcBorders>
          </w:tcPr>
          <w:p w14:paraId="237E456A" w14:textId="77777777" w:rsidR="009E3903" w:rsidRDefault="009E3903" w:rsidP="00902260">
            <w:pPr>
              <w:pStyle w:val="TAL"/>
            </w:pPr>
            <w:r>
              <w:t>5.10.6.2.7</w:t>
            </w:r>
          </w:p>
        </w:tc>
        <w:tc>
          <w:tcPr>
            <w:tcW w:w="3969" w:type="dxa"/>
            <w:tcBorders>
              <w:top w:val="single" w:sz="6" w:space="0" w:color="auto"/>
              <w:left w:val="single" w:sz="6" w:space="0" w:color="auto"/>
              <w:right w:val="single" w:sz="6" w:space="0" w:color="auto"/>
            </w:tcBorders>
          </w:tcPr>
          <w:p w14:paraId="3E39BB5D" w14:textId="77777777" w:rsidR="009E3903" w:rsidRDefault="009E3903" w:rsidP="00902260">
            <w:pPr>
              <w:pStyle w:val="TAL"/>
            </w:pPr>
            <w:r>
              <w:t>Represents intermediate VFL inference result per target.</w:t>
            </w:r>
          </w:p>
        </w:tc>
        <w:tc>
          <w:tcPr>
            <w:tcW w:w="1408" w:type="dxa"/>
            <w:tcBorders>
              <w:top w:val="single" w:sz="6" w:space="0" w:color="auto"/>
              <w:left w:val="single" w:sz="6" w:space="0" w:color="auto"/>
              <w:right w:val="single" w:sz="6" w:space="0" w:color="auto"/>
            </w:tcBorders>
          </w:tcPr>
          <w:p w14:paraId="47D5C00B" w14:textId="77777777" w:rsidR="009E3903" w:rsidRDefault="009E3903" w:rsidP="00902260">
            <w:pPr>
              <w:pStyle w:val="TAL"/>
              <w:rPr>
                <w:rFonts w:cs="Arial"/>
                <w:szCs w:val="18"/>
              </w:rPr>
            </w:pPr>
          </w:p>
        </w:tc>
      </w:tr>
      <w:tr w:rsidR="009E3903" w14:paraId="59DA5F29" w14:textId="77777777" w:rsidTr="00902260">
        <w:trPr>
          <w:jc w:val="center"/>
        </w:trPr>
        <w:tc>
          <w:tcPr>
            <w:tcW w:w="2400" w:type="dxa"/>
            <w:tcBorders>
              <w:top w:val="single" w:sz="6" w:space="0" w:color="auto"/>
              <w:left w:val="single" w:sz="6" w:space="0" w:color="auto"/>
              <w:bottom w:val="single" w:sz="6" w:space="0" w:color="auto"/>
              <w:right w:val="single" w:sz="6" w:space="0" w:color="auto"/>
            </w:tcBorders>
          </w:tcPr>
          <w:p w14:paraId="0A8B95AE" w14:textId="77777777" w:rsidR="009E3903" w:rsidRDefault="009E3903" w:rsidP="00902260">
            <w:pPr>
              <w:pStyle w:val="TAL"/>
            </w:pPr>
            <w:r>
              <w:rPr>
                <w:rFonts w:eastAsia="等线"/>
              </w:rPr>
              <w:t>VflInferSub</w:t>
            </w:r>
          </w:p>
        </w:tc>
        <w:tc>
          <w:tcPr>
            <w:tcW w:w="1559" w:type="dxa"/>
            <w:tcBorders>
              <w:top w:val="single" w:sz="6" w:space="0" w:color="auto"/>
              <w:left w:val="single" w:sz="6" w:space="0" w:color="auto"/>
              <w:bottom w:val="single" w:sz="6" w:space="0" w:color="auto"/>
              <w:right w:val="single" w:sz="6" w:space="0" w:color="auto"/>
            </w:tcBorders>
          </w:tcPr>
          <w:p w14:paraId="27F9DACD" w14:textId="77777777" w:rsidR="009E3903" w:rsidRDefault="009E3903" w:rsidP="00902260">
            <w:pPr>
              <w:pStyle w:val="TAL"/>
            </w:pPr>
            <w:r>
              <w:t>5.10.6.2.2</w:t>
            </w:r>
          </w:p>
        </w:tc>
        <w:tc>
          <w:tcPr>
            <w:tcW w:w="3969" w:type="dxa"/>
            <w:tcBorders>
              <w:top w:val="single" w:sz="6" w:space="0" w:color="auto"/>
              <w:left w:val="single" w:sz="6" w:space="0" w:color="auto"/>
              <w:bottom w:val="single" w:sz="6" w:space="0" w:color="auto"/>
              <w:right w:val="single" w:sz="6" w:space="0" w:color="auto"/>
            </w:tcBorders>
          </w:tcPr>
          <w:p w14:paraId="374BB2DB" w14:textId="77777777" w:rsidR="009E3903" w:rsidRDefault="009E3903" w:rsidP="00902260">
            <w:pPr>
              <w:pStyle w:val="TAL"/>
            </w:pPr>
            <w:r>
              <w:t>Represents a VFL inference subscription.</w:t>
            </w:r>
          </w:p>
        </w:tc>
        <w:tc>
          <w:tcPr>
            <w:tcW w:w="1408" w:type="dxa"/>
            <w:tcBorders>
              <w:top w:val="single" w:sz="6" w:space="0" w:color="auto"/>
              <w:left w:val="single" w:sz="6" w:space="0" w:color="auto"/>
              <w:bottom w:val="single" w:sz="6" w:space="0" w:color="auto"/>
              <w:right w:val="single" w:sz="6" w:space="0" w:color="auto"/>
            </w:tcBorders>
          </w:tcPr>
          <w:p w14:paraId="6E1940DD" w14:textId="77777777" w:rsidR="009E3903" w:rsidRDefault="009E3903" w:rsidP="00902260">
            <w:pPr>
              <w:pStyle w:val="TAL"/>
              <w:rPr>
                <w:rFonts w:cs="Arial"/>
                <w:szCs w:val="18"/>
              </w:rPr>
            </w:pPr>
          </w:p>
        </w:tc>
      </w:tr>
      <w:tr w:rsidR="009E3903" w14:paraId="6B7A74C1" w14:textId="77777777" w:rsidTr="00902260">
        <w:trPr>
          <w:trHeight w:val="651"/>
          <w:jc w:val="center"/>
        </w:trPr>
        <w:tc>
          <w:tcPr>
            <w:tcW w:w="2400" w:type="dxa"/>
            <w:tcBorders>
              <w:top w:val="single" w:sz="6" w:space="0" w:color="auto"/>
              <w:left w:val="single" w:sz="6" w:space="0" w:color="auto"/>
              <w:right w:val="single" w:sz="6" w:space="0" w:color="auto"/>
            </w:tcBorders>
          </w:tcPr>
          <w:p w14:paraId="298191EB" w14:textId="77777777" w:rsidR="009E3903" w:rsidRDefault="009E3903" w:rsidP="00902260">
            <w:pPr>
              <w:pStyle w:val="TAL"/>
              <w:rPr>
                <w:rFonts w:eastAsia="等线"/>
              </w:rPr>
            </w:pPr>
            <w:r>
              <w:rPr>
                <w:rFonts w:eastAsia="等线"/>
              </w:rPr>
              <w:t>VflInferSubPatch</w:t>
            </w:r>
          </w:p>
        </w:tc>
        <w:tc>
          <w:tcPr>
            <w:tcW w:w="1559" w:type="dxa"/>
            <w:tcBorders>
              <w:top w:val="single" w:sz="6" w:space="0" w:color="auto"/>
              <w:left w:val="single" w:sz="6" w:space="0" w:color="auto"/>
              <w:right w:val="single" w:sz="6" w:space="0" w:color="auto"/>
            </w:tcBorders>
          </w:tcPr>
          <w:p w14:paraId="6AC7BF08" w14:textId="77777777" w:rsidR="009E3903" w:rsidRDefault="009E3903" w:rsidP="00902260">
            <w:pPr>
              <w:pStyle w:val="TAL"/>
            </w:pPr>
            <w:r>
              <w:t>5.10.6.2.3</w:t>
            </w:r>
          </w:p>
        </w:tc>
        <w:tc>
          <w:tcPr>
            <w:tcW w:w="3969" w:type="dxa"/>
            <w:tcBorders>
              <w:top w:val="single" w:sz="6" w:space="0" w:color="auto"/>
              <w:left w:val="single" w:sz="6" w:space="0" w:color="auto"/>
              <w:right w:val="single" w:sz="6" w:space="0" w:color="auto"/>
            </w:tcBorders>
          </w:tcPr>
          <w:p w14:paraId="0BF88DDF" w14:textId="77777777" w:rsidR="009E3903" w:rsidRDefault="009E3903" w:rsidP="00902260">
            <w:pPr>
              <w:pStyle w:val="TAL"/>
            </w:pPr>
            <w:r>
              <w:t>Represents parameters to request the modification of a VFL inference subscription.</w:t>
            </w:r>
          </w:p>
        </w:tc>
        <w:tc>
          <w:tcPr>
            <w:tcW w:w="1408" w:type="dxa"/>
            <w:tcBorders>
              <w:top w:val="single" w:sz="6" w:space="0" w:color="auto"/>
              <w:left w:val="single" w:sz="6" w:space="0" w:color="auto"/>
              <w:right w:val="single" w:sz="6" w:space="0" w:color="auto"/>
            </w:tcBorders>
          </w:tcPr>
          <w:p w14:paraId="59675025" w14:textId="77777777" w:rsidR="009E3903" w:rsidRDefault="009E3903" w:rsidP="00902260">
            <w:pPr>
              <w:pStyle w:val="TAL"/>
              <w:rPr>
                <w:rFonts w:cs="Arial"/>
                <w:szCs w:val="18"/>
              </w:rPr>
            </w:pPr>
          </w:p>
        </w:tc>
      </w:tr>
    </w:tbl>
    <w:p w14:paraId="53DDFDBC" w14:textId="77777777" w:rsidR="009E3903" w:rsidRDefault="009E3903" w:rsidP="009E3903"/>
    <w:p w14:paraId="065BE540" w14:textId="77777777" w:rsidR="009E3903" w:rsidRDefault="009E3903" w:rsidP="009E3903">
      <w:pPr>
        <w:rPr>
          <w:rFonts w:ascii="Arial" w:eastAsia="等线" w:hAnsi="Arial"/>
          <w:sz w:val="18"/>
        </w:rPr>
      </w:pPr>
      <w:r>
        <w:t xml:space="preserve">Table 5.10.6.1-2 specifies data types re-used by the Nnwdaf_VFLInference service-based interface protocol from other specifications, including a reference to their respective specifications and when needed, a short description of their use within the </w:t>
      </w:r>
      <w:r>
        <w:rPr>
          <w:rFonts w:eastAsia="MS Mincho"/>
        </w:rPr>
        <w:t>Nnwdaf_VFLInference service</w:t>
      </w:r>
      <w:r>
        <w:t>-based interface.</w:t>
      </w:r>
    </w:p>
    <w:p w14:paraId="0E767476" w14:textId="77777777" w:rsidR="009E3903" w:rsidRPr="002600F3" w:rsidRDefault="009E3903" w:rsidP="009E3903"/>
    <w:p w14:paraId="715E8CC9"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lastRenderedPageBreak/>
        <w:t>Table 5.10.6.1-2: Nnwdaf_</w:t>
      </w:r>
      <w:r>
        <w:rPr>
          <w:lang w:eastAsia="ja-JP"/>
        </w:rPr>
        <w:t>VFL</w:t>
      </w:r>
      <w:r>
        <w:rPr>
          <w:rFonts w:eastAsia="MS Mincho"/>
        </w:rPr>
        <w:t xml:space="preserve"> re-used Data Types</w:t>
      </w:r>
    </w:p>
    <w:tbl>
      <w:tblPr>
        <w:tblW w:w="48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0"/>
        <w:gridCol w:w="1985"/>
        <w:gridCol w:w="3825"/>
        <w:gridCol w:w="1266"/>
      </w:tblGrid>
      <w:tr w:rsidR="009E3903" w14:paraId="36B16E6E"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tcPr>
          <w:p w14:paraId="534BE485" w14:textId="77777777" w:rsidR="009E3903" w:rsidRDefault="009E3903" w:rsidP="00902260">
            <w:pPr>
              <w:pStyle w:val="TAH"/>
            </w:pPr>
            <w:r>
              <w:t>Data type</w:t>
            </w:r>
          </w:p>
        </w:tc>
        <w:tc>
          <w:tcPr>
            <w:tcW w:w="1985" w:type="dxa"/>
            <w:tcBorders>
              <w:top w:val="single" w:sz="6" w:space="0" w:color="auto"/>
              <w:left w:val="single" w:sz="6" w:space="0" w:color="auto"/>
              <w:bottom w:val="single" w:sz="6" w:space="0" w:color="auto"/>
              <w:right w:val="single" w:sz="6" w:space="0" w:color="auto"/>
            </w:tcBorders>
            <w:shd w:val="clear" w:color="auto" w:fill="C0C0C0"/>
          </w:tcPr>
          <w:p w14:paraId="218A9291" w14:textId="77777777" w:rsidR="009E3903" w:rsidRDefault="009E3903" w:rsidP="00902260">
            <w:pPr>
              <w:pStyle w:val="TAH"/>
            </w:pPr>
            <w:r>
              <w:t>Reference</w:t>
            </w:r>
          </w:p>
        </w:tc>
        <w:tc>
          <w:tcPr>
            <w:tcW w:w="3825" w:type="dxa"/>
            <w:tcBorders>
              <w:top w:val="single" w:sz="6" w:space="0" w:color="auto"/>
              <w:left w:val="single" w:sz="6" w:space="0" w:color="auto"/>
              <w:bottom w:val="single" w:sz="6" w:space="0" w:color="auto"/>
              <w:right w:val="single" w:sz="6" w:space="0" w:color="auto"/>
            </w:tcBorders>
            <w:shd w:val="clear" w:color="auto" w:fill="C0C0C0"/>
          </w:tcPr>
          <w:p w14:paraId="5C258CC1" w14:textId="77777777" w:rsidR="009E3903" w:rsidRDefault="009E3903" w:rsidP="00902260">
            <w:pPr>
              <w:pStyle w:val="TAH"/>
            </w:pPr>
            <w:r>
              <w:t>Comments</w:t>
            </w:r>
          </w:p>
        </w:tc>
        <w:tc>
          <w:tcPr>
            <w:tcW w:w="1266" w:type="dxa"/>
            <w:tcBorders>
              <w:top w:val="single" w:sz="6" w:space="0" w:color="auto"/>
              <w:left w:val="single" w:sz="6" w:space="0" w:color="auto"/>
              <w:bottom w:val="single" w:sz="6" w:space="0" w:color="auto"/>
              <w:right w:val="single" w:sz="6" w:space="0" w:color="auto"/>
            </w:tcBorders>
            <w:shd w:val="clear" w:color="auto" w:fill="C0C0C0"/>
          </w:tcPr>
          <w:p w14:paraId="2795BE47" w14:textId="77777777" w:rsidR="009E3903" w:rsidRDefault="009E3903" w:rsidP="00902260">
            <w:pPr>
              <w:pStyle w:val="TAH"/>
            </w:pPr>
            <w:r>
              <w:t>Applicability</w:t>
            </w:r>
          </w:p>
        </w:tc>
      </w:tr>
      <w:tr w:rsidR="009E3903" w14:paraId="6D6DD375"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4FE6341F" w14:textId="77777777" w:rsidR="009E3903" w:rsidRDefault="009E3903" w:rsidP="00902260">
            <w:pPr>
              <w:pStyle w:val="TAL"/>
            </w:pPr>
            <w:r>
              <w:t>DateTime</w:t>
            </w:r>
          </w:p>
        </w:tc>
        <w:tc>
          <w:tcPr>
            <w:tcW w:w="1985" w:type="dxa"/>
            <w:tcBorders>
              <w:top w:val="single" w:sz="6" w:space="0" w:color="auto"/>
              <w:left w:val="single" w:sz="6" w:space="0" w:color="auto"/>
              <w:bottom w:val="single" w:sz="6" w:space="0" w:color="auto"/>
              <w:right w:val="single" w:sz="6" w:space="0" w:color="auto"/>
            </w:tcBorders>
          </w:tcPr>
          <w:p w14:paraId="4D6A7203"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07A4B463" w14:textId="77777777" w:rsidR="009E3903" w:rsidRDefault="009E3903" w:rsidP="00902260">
            <w:pPr>
              <w:pStyle w:val="TAL"/>
              <w:rPr>
                <w:rFonts w:cs="Arial"/>
                <w:szCs w:val="18"/>
                <w:lang w:eastAsia="zh-CN"/>
              </w:rPr>
            </w:pPr>
            <w:r>
              <w:rPr>
                <w:rFonts w:cs="Arial"/>
                <w:szCs w:val="18"/>
                <w:lang w:eastAsia="zh-CN"/>
              </w:rPr>
              <w:t>Represents a date and time.</w:t>
            </w:r>
          </w:p>
        </w:tc>
        <w:tc>
          <w:tcPr>
            <w:tcW w:w="1266" w:type="dxa"/>
            <w:tcBorders>
              <w:top w:val="single" w:sz="6" w:space="0" w:color="auto"/>
              <w:left w:val="single" w:sz="6" w:space="0" w:color="auto"/>
              <w:bottom w:val="single" w:sz="6" w:space="0" w:color="auto"/>
              <w:right w:val="single" w:sz="6" w:space="0" w:color="auto"/>
            </w:tcBorders>
          </w:tcPr>
          <w:p w14:paraId="54A8DE87" w14:textId="77777777" w:rsidR="009E3903" w:rsidRDefault="009E3903" w:rsidP="00902260">
            <w:pPr>
              <w:pStyle w:val="TAL"/>
              <w:rPr>
                <w:rFonts w:cs="Arial"/>
                <w:szCs w:val="18"/>
              </w:rPr>
            </w:pPr>
          </w:p>
        </w:tc>
      </w:tr>
      <w:tr w:rsidR="009E3903" w14:paraId="726A49F2"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2956175B" w14:textId="77777777" w:rsidR="009E3903" w:rsidRDefault="009E3903" w:rsidP="00902260">
            <w:pPr>
              <w:pStyle w:val="TAL"/>
              <w:rPr>
                <w:rFonts w:eastAsia="等线"/>
              </w:rPr>
            </w:pPr>
            <w:r>
              <w:t>EventFilter</w:t>
            </w:r>
          </w:p>
        </w:tc>
        <w:tc>
          <w:tcPr>
            <w:tcW w:w="1985" w:type="dxa"/>
            <w:tcBorders>
              <w:top w:val="single" w:sz="6" w:space="0" w:color="auto"/>
              <w:left w:val="single" w:sz="6" w:space="0" w:color="auto"/>
              <w:bottom w:val="single" w:sz="6" w:space="0" w:color="auto"/>
              <w:right w:val="single" w:sz="6" w:space="0" w:color="auto"/>
            </w:tcBorders>
          </w:tcPr>
          <w:p w14:paraId="66CACE9B" w14:textId="77777777" w:rsidR="009E3903" w:rsidRDefault="009E3903" w:rsidP="00902260">
            <w:pPr>
              <w:pStyle w:val="TAL"/>
            </w:pPr>
            <w:r>
              <w:t>5.2.6.2.3</w:t>
            </w:r>
          </w:p>
        </w:tc>
        <w:tc>
          <w:tcPr>
            <w:tcW w:w="3825" w:type="dxa"/>
            <w:tcBorders>
              <w:top w:val="single" w:sz="6" w:space="0" w:color="auto"/>
              <w:left w:val="single" w:sz="6" w:space="0" w:color="auto"/>
              <w:bottom w:val="single" w:sz="6" w:space="0" w:color="auto"/>
              <w:right w:val="single" w:sz="6" w:space="0" w:color="auto"/>
            </w:tcBorders>
          </w:tcPr>
          <w:p w14:paraId="0D64F444" w14:textId="77777777" w:rsidR="009E3903" w:rsidRDefault="009E3903" w:rsidP="00902260">
            <w:pPr>
              <w:pStyle w:val="TAL"/>
            </w:pPr>
            <w:r>
              <w:rPr>
                <w:rFonts w:cs="Arial"/>
                <w:szCs w:val="18"/>
                <w:lang w:eastAsia="zh-CN"/>
              </w:rPr>
              <w:t>Identifies the filter for the subscribed event.</w:t>
            </w:r>
          </w:p>
        </w:tc>
        <w:tc>
          <w:tcPr>
            <w:tcW w:w="1266" w:type="dxa"/>
            <w:tcBorders>
              <w:top w:val="single" w:sz="6" w:space="0" w:color="auto"/>
              <w:left w:val="single" w:sz="6" w:space="0" w:color="auto"/>
              <w:bottom w:val="single" w:sz="6" w:space="0" w:color="auto"/>
              <w:right w:val="single" w:sz="6" w:space="0" w:color="auto"/>
            </w:tcBorders>
          </w:tcPr>
          <w:p w14:paraId="74FB9404" w14:textId="77777777" w:rsidR="009E3903" w:rsidRDefault="009E3903" w:rsidP="00902260">
            <w:pPr>
              <w:pStyle w:val="TAL"/>
              <w:rPr>
                <w:rFonts w:cs="Arial"/>
                <w:szCs w:val="18"/>
              </w:rPr>
            </w:pPr>
          </w:p>
        </w:tc>
      </w:tr>
      <w:tr w:rsidR="009E3903" w14:paraId="4750073C"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72A3C9B7" w14:textId="77777777" w:rsidR="009E3903" w:rsidRDefault="009E3903" w:rsidP="00902260">
            <w:pPr>
              <w:pStyle w:val="TAL"/>
            </w:pPr>
            <w:r>
              <w:t>NwdafEvent</w:t>
            </w:r>
          </w:p>
        </w:tc>
        <w:tc>
          <w:tcPr>
            <w:tcW w:w="1985" w:type="dxa"/>
            <w:tcBorders>
              <w:top w:val="single" w:sz="6" w:space="0" w:color="auto"/>
              <w:left w:val="single" w:sz="6" w:space="0" w:color="auto"/>
              <w:bottom w:val="single" w:sz="6" w:space="0" w:color="auto"/>
              <w:right w:val="single" w:sz="6" w:space="0" w:color="auto"/>
            </w:tcBorders>
          </w:tcPr>
          <w:p w14:paraId="107E549D" w14:textId="77777777" w:rsidR="009E3903" w:rsidRDefault="009E3903" w:rsidP="00902260">
            <w:pPr>
              <w:pStyle w:val="TAL"/>
            </w:pPr>
            <w:r>
              <w:rPr>
                <w:rFonts w:cs="Arial"/>
              </w:rPr>
              <w:t>5.1.6.3.4</w:t>
            </w:r>
          </w:p>
        </w:tc>
        <w:tc>
          <w:tcPr>
            <w:tcW w:w="3825" w:type="dxa"/>
            <w:tcBorders>
              <w:top w:val="single" w:sz="6" w:space="0" w:color="auto"/>
              <w:left w:val="single" w:sz="6" w:space="0" w:color="auto"/>
              <w:bottom w:val="single" w:sz="6" w:space="0" w:color="auto"/>
              <w:right w:val="single" w:sz="6" w:space="0" w:color="auto"/>
            </w:tcBorders>
          </w:tcPr>
          <w:p w14:paraId="5980CA80" w14:textId="77777777" w:rsidR="009E3903" w:rsidRDefault="009E3903" w:rsidP="00902260">
            <w:pPr>
              <w:pStyle w:val="TAL"/>
            </w:pPr>
            <w:r>
              <w:rPr>
                <w:rFonts w:cs="Arial"/>
                <w:szCs w:val="18"/>
                <w:lang w:eastAsia="zh-CN"/>
              </w:rPr>
              <w:t>Describes the NWDAF Events.</w:t>
            </w:r>
          </w:p>
        </w:tc>
        <w:tc>
          <w:tcPr>
            <w:tcW w:w="1266" w:type="dxa"/>
            <w:tcBorders>
              <w:top w:val="single" w:sz="6" w:space="0" w:color="auto"/>
              <w:left w:val="single" w:sz="6" w:space="0" w:color="auto"/>
              <w:bottom w:val="single" w:sz="6" w:space="0" w:color="auto"/>
              <w:right w:val="single" w:sz="6" w:space="0" w:color="auto"/>
            </w:tcBorders>
          </w:tcPr>
          <w:p w14:paraId="3CE56492" w14:textId="77777777" w:rsidR="009E3903" w:rsidRDefault="009E3903" w:rsidP="00902260">
            <w:pPr>
              <w:pStyle w:val="TAL"/>
            </w:pPr>
          </w:p>
        </w:tc>
      </w:tr>
      <w:tr w:rsidR="009E3903" w14:paraId="129C0E98"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64326C99" w14:textId="77777777" w:rsidR="009E3903" w:rsidRDefault="009E3903" w:rsidP="00902260">
            <w:pPr>
              <w:pStyle w:val="TAL"/>
            </w:pPr>
            <w:r>
              <w:t>ReportingInformation</w:t>
            </w:r>
          </w:p>
        </w:tc>
        <w:tc>
          <w:tcPr>
            <w:tcW w:w="1985" w:type="dxa"/>
            <w:tcBorders>
              <w:top w:val="single" w:sz="6" w:space="0" w:color="auto"/>
              <w:left w:val="single" w:sz="6" w:space="0" w:color="auto"/>
              <w:bottom w:val="single" w:sz="6" w:space="0" w:color="auto"/>
              <w:right w:val="single" w:sz="6" w:space="0" w:color="auto"/>
            </w:tcBorders>
          </w:tcPr>
          <w:p w14:paraId="7D7D27AF" w14:textId="77777777" w:rsidR="009E3903" w:rsidRDefault="009E3903" w:rsidP="00902260">
            <w:pPr>
              <w:pStyle w:val="TAL"/>
              <w:rPr>
                <w:rFonts w:cs="Arial"/>
              </w:rPr>
            </w:pPr>
            <w:r>
              <w:t>3GPP TS 29.523 [20]</w:t>
            </w:r>
          </w:p>
        </w:tc>
        <w:tc>
          <w:tcPr>
            <w:tcW w:w="3825" w:type="dxa"/>
            <w:tcBorders>
              <w:top w:val="single" w:sz="6" w:space="0" w:color="auto"/>
              <w:left w:val="single" w:sz="6" w:space="0" w:color="auto"/>
              <w:bottom w:val="single" w:sz="6" w:space="0" w:color="auto"/>
              <w:right w:val="single" w:sz="6" w:space="0" w:color="auto"/>
            </w:tcBorders>
          </w:tcPr>
          <w:p w14:paraId="45685950" w14:textId="77777777" w:rsidR="009E3903" w:rsidRDefault="009E3903" w:rsidP="00902260">
            <w:pPr>
              <w:pStyle w:val="TAL"/>
              <w:rPr>
                <w:rFonts w:cs="Arial"/>
                <w:szCs w:val="18"/>
                <w:lang w:eastAsia="zh-CN"/>
              </w:rPr>
            </w:pPr>
            <w:r>
              <w:t>Represents the type of reporting a subscription requires.</w:t>
            </w:r>
          </w:p>
        </w:tc>
        <w:tc>
          <w:tcPr>
            <w:tcW w:w="1266" w:type="dxa"/>
            <w:tcBorders>
              <w:top w:val="single" w:sz="6" w:space="0" w:color="auto"/>
              <w:left w:val="single" w:sz="6" w:space="0" w:color="auto"/>
              <w:bottom w:val="single" w:sz="6" w:space="0" w:color="auto"/>
              <w:right w:val="single" w:sz="6" w:space="0" w:color="auto"/>
            </w:tcBorders>
          </w:tcPr>
          <w:p w14:paraId="4F372BE7" w14:textId="77777777" w:rsidR="009E3903" w:rsidRDefault="009E3903" w:rsidP="00902260">
            <w:pPr>
              <w:pStyle w:val="TAL"/>
            </w:pPr>
          </w:p>
        </w:tc>
      </w:tr>
      <w:tr w:rsidR="009E3903" w14:paraId="1EE7E1AD"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07E89040" w14:textId="77777777" w:rsidR="009E3903" w:rsidRDefault="009E3903" w:rsidP="00902260">
            <w:pPr>
              <w:pStyle w:val="TAL"/>
            </w:pPr>
            <w:r>
              <w:rPr>
                <w:rFonts w:eastAsia="等线"/>
              </w:rPr>
              <w:t>RedirectResponse</w:t>
            </w:r>
          </w:p>
        </w:tc>
        <w:tc>
          <w:tcPr>
            <w:tcW w:w="1985" w:type="dxa"/>
            <w:tcBorders>
              <w:top w:val="single" w:sz="6" w:space="0" w:color="auto"/>
              <w:left w:val="single" w:sz="6" w:space="0" w:color="auto"/>
              <w:bottom w:val="single" w:sz="6" w:space="0" w:color="auto"/>
              <w:right w:val="single" w:sz="6" w:space="0" w:color="auto"/>
            </w:tcBorders>
          </w:tcPr>
          <w:p w14:paraId="7FF28F1C"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1769174A" w14:textId="77777777" w:rsidR="009E3903" w:rsidRDefault="009E3903" w:rsidP="00902260">
            <w:pPr>
              <w:pStyle w:val="TAL"/>
            </w:pPr>
            <w:r w:rsidRPr="00A677A3">
              <w:t>Contains redirection related information.</w:t>
            </w:r>
          </w:p>
        </w:tc>
        <w:tc>
          <w:tcPr>
            <w:tcW w:w="1266" w:type="dxa"/>
            <w:tcBorders>
              <w:top w:val="single" w:sz="6" w:space="0" w:color="auto"/>
              <w:left w:val="single" w:sz="6" w:space="0" w:color="auto"/>
              <w:bottom w:val="single" w:sz="6" w:space="0" w:color="auto"/>
              <w:right w:val="single" w:sz="6" w:space="0" w:color="auto"/>
            </w:tcBorders>
          </w:tcPr>
          <w:p w14:paraId="35AF3DF0" w14:textId="77777777" w:rsidR="009E3903" w:rsidRDefault="009E3903" w:rsidP="00902260">
            <w:pPr>
              <w:pStyle w:val="TAL"/>
              <w:rPr>
                <w:rFonts w:cs="Arial"/>
                <w:szCs w:val="18"/>
              </w:rPr>
            </w:pPr>
          </w:p>
        </w:tc>
      </w:tr>
      <w:tr w:rsidR="009E3903" w14:paraId="23AAA0E5"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40C97A3F" w14:textId="77777777" w:rsidR="009E3903" w:rsidRDefault="009E3903" w:rsidP="00902260">
            <w:pPr>
              <w:pStyle w:val="TAL"/>
              <w:rPr>
                <w:rFonts w:eastAsia="等线"/>
              </w:rPr>
            </w:pPr>
            <w:r>
              <w:t>SupportedFeatures</w:t>
            </w:r>
          </w:p>
        </w:tc>
        <w:tc>
          <w:tcPr>
            <w:tcW w:w="1985" w:type="dxa"/>
            <w:tcBorders>
              <w:top w:val="single" w:sz="6" w:space="0" w:color="auto"/>
              <w:left w:val="single" w:sz="6" w:space="0" w:color="auto"/>
              <w:bottom w:val="single" w:sz="6" w:space="0" w:color="auto"/>
              <w:right w:val="single" w:sz="6" w:space="0" w:color="auto"/>
            </w:tcBorders>
          </w:tcPr>
          <w:p w14:paraId="0C6398E8"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63EDC3D6" w14:textId="77777777" w:rsidR="009E3903" w:rsidRDefault="009E3903" w:rsidP="00902260">
            <w:pPr>
              <w:pStyle w:val="TAL"/>
            </w:pPr>
            <w:r>
              <w:rPr>
                <w:rFonts w:cs="Arial"/>
                <w:szCs w:val="18"/>
                <w:lang w:eastAsia="zh-CN"/>
              </w:rPr>
              <w:t>Represents the list of supported features.</w:t>
            </w:r>
          </w:p>
        </w:tc>
        <w:tc>
          <w:tcPr>
            <w:tcW w:w="1266" w:type="dxa"/>
            <w:tcBorders>
              <w:top w:val="single" w:sz="6" w:space="0" w:color="auto"/>
              <w:left w:val="single" w:sz="6" w:space="0" w:color="auto"/>
              <w:bottom w:val="single" w:sz="6" w:space="0" w:color="auto"/>
              <w:right w:val="single" w:sz="6" w:space="0" w:color="auto"/>
            </w:tcBorders>
          </w:tcPr>
          <w:p w14:paraId="337ED47D" w14:textId="77777777" w:rsidR="009E3903" w:rsidRDefault="009E3903" w:rsidP="00902260">
            <w:pPr>
              <w:pStyle w:val="TAL"/>
              <w:rPr>
                <w:rFonts w:cs="Arial"/>
                <w:szCs w:val="18"/>
              </w:rPr>
            </w:pPr>
          </w:p>
        </w:tc>
      </w:tr>
      <w:tr w:rsidR="009E3903" w14:paraId="6D157DC9" w14:textId="77777777" w:rsidTr="00902260">
        <w:trPr>
          <w:trHeight w:val="429"/>
          <w:jc w:val="center"/>
        </w:trPr>
        <w:tc>
          <w:tcPr>
            <w:tcW w:w="2260" w:type="dxa"/>
            <w:tcBorders>
              <w:top w:val="single" w:sz="6" w:space="0" w:color="auto"/>
              <w:left w:val="single" w:sz="6" w:space="0" w:color="auto"/>
              <w:right w:val="single" w:sz="6" w:space="0" w:color="auto"/>
            </w:tcBorders>
          </w:tcPr>
          <w:p w14:paraId="63EB30BB" w14:textId="77777777" w:rsidR="009E3903" w:rsidRDefault="009E3903" w:rsidP="00902260">
            <w:pPr>
              <w:pStyle w:val="TAL"/>
            </w:pPr>
            <w:r>
              <w:rPr>
                <w:rFonts w:eastAsia="等线"/>
                <w:szCs w:val="18"/>
                <w:lang w:eastAsia="zh-CN"/>
              </w:rPr>
              <w:t>TimeWindow</w:t>
            </w:r>
          </w:p>
        </w:tc>
        <w:tc>
          <w:tcPr>
            <w:tcW w:w="1985" w:type="dxa"/>
            <w:tcBorders>
              <w:top w:val="single" w:sz="6" w:space="0" w:color="auto"/>
              <w:left w:val="single" w:sz="6" w:space="0" w:color="auto"/>
              <w:right w:val="single" w:sz="6" w:space="0" w:color="auto"/>
            </w:tcBorders>
          </w:tcPr>
          <w:p w14:paraId="50B950F9" w14:textId="77777777" w:rsidR="009E3903" w:rsidRDefault="009E3903" w:rsidP="00902260">
            <w:pPr>
              <w:pStyle w:val="TAL"/>
            </w:pPr>
            <w:r>
              <w:t>3GPP TS 29.122 [19]</w:t>
            </w:r>
          </w:p>
        </w:tc>
        <w:tc>
          <w:tcPr>
            <w:tcW w:w="3825" w:type="dxa"/>
            <w:tcBorders>
              <w:top w:val="single" w:sz="6" w:space="0" w:color="auto"/>
              <w:left w:val="single" w:sz="6" w:space="0" w:color="auto"/>
              <w:right w:val="single" w:sz="6" w:space="0" w:color="auto"/>
            </w:tcBorders>
          </w:tcPr>
          <w:p w14:paraId="70642E88" w14:textId="77777777" w:rsidR="009E3903" w:rsidRDefault="009E3903" w:rsidP="00902260">
            <w:pPr>
              <w:pStyle w:val="TAL"/>
            </w:pPr>
            <w:r>
              <w:t>Represents a time window.</w:t>
            </w:r>
          </w:p>
        </w:tc>
        <w:tc>
          <w:tcPr>
            <w:tcW w:w="1266" w:type="dxa"/>
            <w:tcBorders>
              <w:top w:val="single" w:sz="6" w:space="0" w:color="auto"/>
              <w:left w:val="single" w:sz="6" w:space="0" w:color="auto"/>
              <w:right w:val="single" w:sz="6" w:space="0" w:color="auto"/>
            </w:tcBorders>
          </w:tcPr>
          <w:p w14:paraId="4E59FB96" w14:textId="77777777" w:rsidR="009E3903" w:rsidRDefault="009E3903" w:rsidP="00902260">
            <w:pPr>
              <w:pStyle w:val="TAL"/>
              <w:rPr>
                <w:rFonts w:cs="Arial"/>
                <w:szCs w:val="18"/>
              </w:rPr>
            </w:pPr>
          </w:p>
        </w:tc>
      </w:tr>
      <w:tr w:rsidR="009E3903" w14:paraId="00360984"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6C876F1E" w14:textId="77777777" w:rsidR="009E3903" w:rsidRDefault="009E3903" w:rsidP="00902260">
            <w:pPr>
              <w:pStyle w:val="TAL"/>
            </w:pPr>
            <w:r>
              <w:rPr>
                <w:rFonts w:eastAsia="等线"/>
                <w:szCs w:val="18"/>
                <w:lang w:eastAsia="zh-CN"/>
              </w:rPr>
              <w:t>Uinteger</w:t>
            </w:r>
          </w:p>
        </w:tc>
        <w:tc>
          <w:tcPr>
            <w:tcW w:w="1985" w:type="dxa"/>
            <w:tcBorders>
              <w:top w:val="single" w:sz="6" w:space="0" w:color="auto"/>
              <w:left w:val="single" w:sz="6" w:space="0" w:color="auto"/>
              <w:bottom w:val="single" w:sz="6" w:space="0" w:color="auto"/>
              <w:right w:val="single" w:sz="6" w:space="0" w:color="auto"/>
            </w:tcBorders>
          </w:tcPr>
          <w:p w14:paraId="22BECFB5"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0D330555" w14:textId="77777777" w:rsidR="009E3903" w:rsidRDefault="009E3903" w:rsidP="00902260">
            <w:pPr>
              <w:pStyle w:val="TAL"/>
              <w:rPr>
                <w:lang w:eastAsia="zh-CN"/>
              </w:rPr>
            </w:pPr>
            <w:r>
              <w:t>Unsigned Integer, i.e. only value 0 and integers above 0 are permissible.</w:t>
            </w:r>
          </w:p>
        </w:tc>
        <w:tc>
          <w:tcPr>
            <w:tcW w:w="1266" w:type="dxa"/>
            <w:tcBorders>
              <w:top w:val="single" w:sz="6" w:space="0" w:color="auto"/>
              <w:left w:val="single" w:sz="6" w:space="0" w:color="auto"/>
              <w:bottom w:val="single" w:sz="6" w:space="0" w:color="auto"/>
              <w:right w:val="single" w:sz="6" w:space="0" w:color="auto"/>
            </w:tcBorders>
          </w:tcPr>
          <w:p w14:paraId="796058A7" w14:textId="77777777" w:rsidR="009E3903" w:rsidRDefault="009E3903" w:rsidP="00902260">
            <w:pPr>
              <w:pStyle w:val="TAL"/>
              <w:rPr>
                <w:rFonts w:cs="Arial"/>
                <w:szCs w:val="18"/>
              </w:rPr>
            </w:pPr>
          </w:p>
        </w:tc>
      </w:tr>
      <w:tr w:rsidR="009E3903" w14:paraId="75400C8B" w14:textId="77777777" w:rsidTr="00902260">
        <w:trPr>
          <w:jc w:val="center"/>
        </w:trPr>
        <w:tc>
          <w:tcPr>
            <w:tcW w:w="2260" w:type="dxa"/>
            <w:tcBorders>
              <w:top w:val="single" w:sz="6" w:space="0" w:color="auto"/>
              <w:left w:val="single" w:sz="6" w:space="0" w:color="auto"/>
              <w:bottom w:val="single" w:sz="6" w:space="0" w:color="auto"/>
              <w:right w:val="single" w:sz="6" w:space="0" w:color="auto"/>
            </w:tcBorders>
          </w:tcPr>
          <w:p w14:paraId="3417B065" w14:textId="77777777" w:rsidR="009E3903" w:rsidRDefault="009E3903" w:rsidP="00902260">
            <w:pPr>
              <w:pStyle w:val="TAL"/>
            </w:pPr>
            <w:r>
              <w:t>Uri</w:t>
            </w:r>
          </w:p>
        </w:tc>
        <w:tc>
          <w:tcPr>
            <w:tcW w:w="1985" w:type="dxa"/>
            <w:tcBorders>
              <w:top w:val="single" w:sz="6" w:space="0" w:color="auto"/>
              <w:left w:val="single" w:sz="6" w:space="0" w:color="auto"/>
              <w:bottom w:val="single" w:sz="6" w:space="0" w:color="auto"/>
              <w:right w:val="single" w:sz="6" w:space="0" w:color="auto"/>
            </w:tcBorders>
          </w:tcPr>
          <w:p w14:paraId="0BD6E950" w14:textId="77777777" w:rsidR="009E3903" w:rsidRDefault="009E3903" w:rsidP="00902260">
            <w:pPr>
              <w:pStyle w:val="TAL"/>
            </w:pPr>
            <w:r>
              <w:t>3GPP TS 29.571 [8]</w:t>
            </w:r>
          </w:p>
        </w:tc>
        <w:tc>
          <w:tcPr>
            <w:tcW w:w="3825" w:type="dxa"/>
            <w:tcBorders>
              <w:top w:val="single" w:sz="6" w:space="0" w:color="auto"/>
              <w:left w:val="single" w:sz="6" w:space="0" w:color="auto"/>
              <w:bottom w:val="single" w:sz="6" w:space="0" w:color="auto"/>
              <w:right w:val="single" w:sz="6" w:space="0" w:color="auto"/>
            </w:tcBorders>
          </w:tcPr>
          <w:p w14:paraId="4EC16306" w14:textId="77777777" w:rsidR="009E3903" w:rsidRDefault="009E3903" w:rsidP="00902260">
            <w:pPr>
              <w:pStyle w:val="TAL"/>
            </w:pPr>
            <w:r>
              <w:rPr>
                <w:rFonts w:cs="Arial"/>
                <w:szCs w:val="18"/>
                <w:lang w:eastAsia="zh-CN"/>
              </w:rPr>
              <w:t>Represents a URI.</w:t>
            </w:r>
          </w:p>
        </w:tc>
        <w:tc>
          <w:tcPr>
            <w:tcW w:w="1266" w:type="dxa"/>
            <w:tcBorders>
              <w:top w:val="single" w:sz="6" w:space="0" w:color="auto"/>
              <w:left w:val="single" w:sz="6" w:space="0" w:color="auto"/>
              <w:bottom w:val="single" w:sz="6" w:space="0" w:color="auto"/>
              <w:right w:val="single" w:sz="6" w:space="0" w:color="auto"/>
            </w:tcBorders>
          </w:tcPr>
          <w:p w14:paraId="6C00C986" w14:textId="77777777" w:rsidR="009E3903" w:rsidRDefault="009E3903" w:rsidP="00902260">
            <w:pPr>
              <w:pStyle w:val="TAL"/>
              <w:rPr>
                <w:rFonts w:cs="Arial"/>
                <w:szCs w:val="18"/>
              </w:rPr>
            </w:pPr>
          </w:p>
        </w:tc>
      </w:tr>
    </w:tbl>
    <w:p w14:paraId="352E1BDF" w14:textId="77777777" w:rsidR="009E3903" w:rsidRDefault="009E3903" w:rsidP="009E3903"/>
    <w:p w14:paraId="44EFF8BA" w14:textId="77777777" w:rsidR="009E3903" w:rsidRDefault="009E3903" w:rsidP="009E3903">
      <w:pPr>
        <w:pStyle w:val="4"/>
      </w:pPr>
      <w:bookmarkStart w:id="17038" w:name="_Toc199453493"/>
      <w:r>
        <w:t>5.10.6.2</w:t>
      </w:r>
      <w:r>
        <w:tab/>
        <w:t>Structured data types</w:t>
      </w:r>
      <w:bookmarkEnd w:id="17038"/>
    </w:p>
    <w:p w14:paraId="4525D2AF" w14:textId="77777777" w:rsidR="009E3903" w:rsidRDefault="009E3903" w:rsidP="009E3903">
      <w:pPr>
        <w:pStyle w:val="5"/>
      </w:pPr>
      <w:bookmarkStart w:id="17039" w:name="_Toc199453494"/>
      <w:r>
        <w:t>5.10.6.2.1</w:t>
      </w:r>
      <w:r>
        <w:tab/>
        <w:t>Introduction</w:t>
      </w:r>
      <w:bookmarkEnd w:id="17039"/>
    </w:p>
    <w:p w14:paraId="5710589E" w14:textId="77777777" w:rsidR="009E3903" w:rsidRDefault="009E3903" w:rsidP="009E3903">
      <w:r>
        <w:t>This clause defines the structures to be used in resource representations.</w:t>
      </w:r>
    </w:p>
    <w:p w14:paraId="29248575" w14:textId="77777777" w:rsidR="009E3903" w:rsidRDefault="009E3903" w:rsidP="009E3903">
      <w:pPr>
        <w:pStyle w:val="5"/>
      </w:pPr>
      <w:bookmarkStart w:id="17040" w:name="_Toc199453495"/>
      <w:r>
        <w:t>5.10.6.2.2</w:t>
      </w:r>
      <w:r>
        <w:tab/>
        <w:t xml:space="preserve">Type </w:t>
      </w:r>
      <w:r>
        <w:rPr>
          <w:rFonts w:eastAsia="等线"/>
        </w:rPr>
        <w:t>VflInferSub</w:t>
      </w:r>
      <w:bookmarkEnd w:id="17040"/>
    </w:p>
    <w:p w14:paraId="7920AE18"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5.10.6.2.2-1: Definition of type </w:t>
      </w:r>
      <w:r w:rsidRPr="00E2305F">
        <w:rPr>
          <w:rFonts w:eastAsia="MS Mincho"/>
        </w:rPr>
        <w:t>VflInferSub</w:t>
      </w:r>
    </w:p>
    <w:tbl>
      <w:tblPr>
        <w:tblW w:w="48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2"/>
        <w:gridCol w:w="2417"/>
        <w:gridCol w:w="284"/>
        <w:gridCol w:w="1134"/>
        <w:gridCol w:w="2682"/>
        <w:gridCol w:w="1277"/>
      </w:tblGrid>
      <w:tr w:rsidR="009E3903" w14:paraId="289AEA95" w14:textId="77777777" w:rsidTr="00902260">
        <w:trPr>
          <w:trHeight w:val="139"/>
          <w:jc w:val="center"/>
        </w:trPr>
        <w:tc>
          <w:tcPr>
            <w:tcW w:w="1542" w:type="dxa"/>
            <w:shd w:val="clear" w:color="auto" w:fill="D0CECE"/>
          </w:tcPr>
          <w:p w14:paraId="75C3D1B1" w14:textId="77777777" w:rsidR="009E3903" w:rsidRDefault="009E3903" w:rsidP="00902260">
            <w:pPr>
              <w:pStyle w:val="TAH"/>
            </w:pPr>
            <w:r>
              <w:t>Attribute name</w:t>
            </w:r>
          </w:p>
        </w:tc>
        <w:tc>
          <w:tcPr>
            <w:tcW w:w="2417" w:type="dxa"/>
            <w:shd w:val="clear" w:color="auto" w:fill="D0CECE"/>
          </w:tcPr>
          <w:p w14:paraId="7450609E" w14:textId="77777777" w:rsidR="009E3903" w:rsidRDefault="009E3903" w:rsidP="00902260">
            <w:pPr>
              <w:pStyle w:val="TAH"/>
            </w:pPr>
            <w:r>
              <w:t>Data type</w:t>
            </w:r>
          </w:p>
        </w:tc>
        <w:tc>
          <w:tcPr>
            <w:tcW w:w="284" w:type="dxa"/>
            <w:shd w:val="clear" w:color="auto" w:fill="D0CECE"/>
          </w:tcPr>
          <w:p w14:paraId="4A978E33" w14:textId="77777777" w:rsidR="009E3903" w:rsidRDefault="009E3903" w:rsidP="00902260">
            <w:pPr>
              <w:pStyle w:val="TAH"/>
            </w:pPr>
            <w:r>
              <w:t>P</w:t>
            </w:r>
          </w:p>
        </w:tc>
        <w:tc>
          <w:tcPr>
            <w:tcW w:w="1134" w:type="dxa"/>
            <w:shd w:val="clear" w:color="auto" w:fill="D0CECE"/>
          </w:tcPr>
          <w:p w14:paraId="33371DA9" w14:textId="77777777" w:rsidR="009E3903" w:rsidRDefault="009E3903" w:rsidP="00902260">
            <w:pPr>
              <w:pStyle w:val="TAH"/>
            </w:pPr>
            <w:r>
              <w:t>Cardinality</w:t>
            </w:r>
          </w:p>
        </w:tc>
        <w:tc>
          <w:tcPr>
            <w:tcW w:w="2682" w:type="dxa"/>
            <w:shd w:val="clear" w:color="auto" w:fill="D0CECE"/>
          </w:tcPr>
          <w:p w14:paraId="64799BC8" w14:textId="77777777" w:rsidR="009E3903" w:rsidRDefault="009E3903" w:rsidP="00902260">
            <w:pPr>
              <w:pStyle w:val="TAH"/>
            </w:pPr>
            <w:r>
              <w:rPr>
                <w:rFonts w:cs="Arial"/>
                <w:szCs w:val="18"/>
              </w:rPr>
              <w:t>Description</w:t>
            </w:r>
          </w:p>
        </w:tc>
        <w:tc>
          <w:tcPr>
            <w:tcW w:w="1277" w:type="dxa"/>
            <w:shd w:val="clear" w:color="auto" w:fill="D0CECE"/>
          </w:tcPr>
          <w:p w14:paraId="285A3B1F" w14:textId="77777777" w:rsidR="009E3903" w:rsidRDefault="009E3903" w:rsidP="00902260">
            <w:pPr>
              <w:pStyle w:val="TAH"/>
            </w:pPr>
            <w:r>
              <w:rPr>
                <w:rFonts w:cs="Arial"/>
                <w:szCs w:val="18"/>
              </w:rPr>
              <w:t>Applicability</w:t>
            </w:r>
          </w:p>
        </w:tc>
      </w:tr>
      <w:tr w:rsidR="009E3903" w14:paraId="1DE7874C" w14:textId="77777777" w:rsidTr="00902260">
        <w:trPr>
          <w:jc w:val="center"/>
        </w:trPr>
        <w:tc>
          <w:tcPr>
            <w:tcW w:w="1542" w:type="dxa"/>
          </w:tcPr>
          <w:p w14:paraId="5A261332" w14:textId="77777777" w:rsidR="009E3903" w:rsidRDefault="009E3903" w:rsidP="00902260">
            <w:pPr>
              <w:pStyle w:val="TAL"/>
            </w:pPr>
            <w:r>
              <w:t>notifCorreId</w:t>
            </w:r>
          </w:p>
        </w:tc>
        <w:tc>
          <w:tcPr>
            <w:tcW w:w="2417" w:type="dxa"/>
          </w:tcPr>
          <w:p w14:paraId="01BB406E" w14:textId="77777777" w:rsidR="009E3903" w:rsidRDefault="009E3903" w:rsidP="00902260">
            <w:pPr>
              <w:pStyle w:val="TAL"/>
            </w:pPr>
            <w:r>
              <w:t>string</w:t>
            </w:r>
          </w:p>
        </w:tc>
        <w:tc>
          <w:tcPr>
            <w:tcW w:w="284" w:type="dxa"/>
          </w:tcPr>
          <w:p w14:paraId="07A37895" w14:textId="77777777" w:rsidR="009E3903" w:rsidRDefault="009E3903" w:rsidP="00902260">
            <w:pPr>
              <w:pStyle w:val="TAL"/>
            </w:pPr>
            <w:r>
              <w:t>M</w:t>
            </w:r>
          </w:p>
        </w:tc>
        <w:tc>
          <w:tcPr>
            <w:tcW w:w="1134" w:type="dxa"/>
          </w:tcPr>
          <w:p w14:paraId="25559D96" w14:textId="77777777" w:rsidR="009E3903" w:rsidRDefault="009E3903" w:rsidP="00902260">
            <w:pPr>
              <w:pStyle w:val="TAL"/>
            </w:pPr>
            <w:r>
              <w:t>1</w:t>
            </w:r>
          </w:p>
        </w:tc>
        <w:tc>
          <w:tcPr>
            <w:tcW w:w="2682" w:type="dxa"/>
          </w:tcPr>
          <w:p w14:paraId="608B4977" w14:textId="77777777" w:rsidR="009E3903" w:rsidRDefault="009E3903" w:rsidP="00902260">
            <w:pPr>
              <w:pStyle w:val="TAL"/>
            </w:pPr>
            <w:r>
              <w:t>The value of Notification Correlation ID in the corresponding notification.</w:t>
            </w:r>
          </w:p>
        </w:tc>
        <w:tc>
          <w:tcPr>
            <w:tcW w:w="1277" w:type="dxa"/>
          </w:tcPr>
          <w:p w14:paraId="5A8E3DD9" w14:textId="77777777" w:rsidR="009E3903" w:rsidRDefault="009E3903" w:rsidP="00902260">
            <w:pPr>
              <w:pStyle w:val="TAL"/>
              <w:rPr>
                <w:rFonts w:cs="Arial"/>
                <w:szCs w:val="18"/>
              </w:rPr>
            </w:pPr>
          </w:p>
        </w:tc>
      </w:tr>
      <w:tr w:rsidR="009E3903" w14:paraId="2B80E1C6" w14:textId="77777777" w:rsidTr="00902260">
        <w:trPr>
          <w:jc w:val="center"/>
        </w:trPr>
        <w:tc>
          <w:tcPr>
            <w:tcW w:w="1542" w:type="dxa"/>
          </w:tcPr>
          <w:p w14:paraId="563E43CD" w14:textId="77777777" w:rsidR="009E3903" w:rsidRDefault="009E3903" w:rsidP="00902260">
            <w:pPr>
              <w:pStyle w:val="TAL"/>
            </w:pPr>
            <w:r>
              <w:t>notifUri</w:t>
            </w:r>
          </w:p>
        </w:tc>
        <w:tc>
          <w:tcPr>
            <w:tcW w:w="2417" w:type="dxa"/>
          </w:tcPr>
          <w:p w14:paraId="2DBBFD78" w14:textId="77777777" w:rsidR="009E3903" w:rsidRDefault="009E3903" w:rsidP="00902260">
            <w:pPr>
              <w:pStyle w:val="TAL"/>
            </w:pPr>
            <w:r>
              <w:t>Uri</w:t>
            </w:r>
          </w:p>
        </w:tc>
        <w:tc>
          <w:tcPr>
            <w:tcW w:w="284" w:type="dxa"/>
          </w:tcPr>
          <w:p w14:paraId="1FF7B0F3" w14:textId="77777777" w:rsidR="009E3903" w:rsidRDefault="009E3903" w:rsidP="00902260">
            <w:pPr>
              <w:pStyle w:val="TAL"/>
            </w:pPr>
            <w:r>
              <w:t>M</w:t>
            </w:r>
          </w:p>
        </w:tc>
        <w:tc>
          <w:tcPr>
            <w:tcW w:w="1134" w:type="dxa"/>
          </w:tcPr>
          <w:p w14:paraId="7C4C1145" w14:textId="77777777" w:rsidR="009E3903" w:rsidRDefault="009E3903" w:rsidP="00902260">
            <w:pPr>
              <w:pStyle w:val="TAL"/>
            </w:pPr>
            <w:r>
              <w:t>1</w:t>
            </w:r>
          </w:p>
        </w:tc>
        <w:tc>
          <w:tcPr>
            <w:tcW w:w="2682" w:type="dxa"/>
          </w:tcPr>
          <w:p w14:paraId="0D3F90B6" w14:textId="77777777" w:rsidR="009E3903" w:rsidRDefault="009E3903" w:rsidP="00902260">
            <w:pPr>
              <w:pStyle w:val="TAL"/>
            </w:pPr>
            <w:r>
              <w:rPr>
                <w:lang w:val="en-US" w:eastAsia="ja-JP"/>
              </w:rPr>
              <w:t>URI at which the NF service consumer requests to receive notifications.</w:t>
            </w:r>
          </w:p>
        </w:tc>
        <w:tc>
          <w:tcPr>
            <w:tcW w:w="1277" w:type="dxa"/>
          </w:tcPr>
          <w:p w14:paraId="5A9F4758" w14:textId="77777777" w:rsidR="009E3903" w:rsidRDefault="009E3903" w:rsidP="00902260">
            <w:pPr>
              <w:pStyle w:val="TAL"/>
              <w:rPr>
                <w:rFonts w:cs="Arial"/>
                <w:szCs w:val="18"/>
              </w:rPr>
            </w:pPr>
          </w:p>
        </w:tc>
      </w:tr>
      <w:tr w:rsidR="009E3903" w14:paraId="07FE6501" w14:textId="77777777" w:rsidTr="00902260">
        <w:trPr>
          <w:jc w:val="center"/>
        </w:trPr>
        <w:tc>
          <w:tcPr>
            <w:tcW w:w="1542" w:type="dxa"/>
          </w:tcPr>
          <w:p w14:paraId="0A622480" w14:textId="77777777" w:rsidR="009E3903" w:rsidRDefault="009E3903" w:rsidP="00902260">
            <w:pPr>
              <w:pStyle w:val="TAL"/>
            </w:pPr>
            <w:r>
              <w:t>suppFeats</w:t>
            </w:r>
          </w:p>
        </w:tc>
        <w:tc>
          <w:tcPr>
            <w:tcW w:w="2417" w:type="dxa"/>
          </w:tcPr>
          <w:p w14:paraId="721F057C" w14:textId="77777777" w:rsidR="009E3903" w:rsidRDefault="009E3903" w:rsidP="00902260">
            <w:pPr>
              <w:pStyle w:val="TAL"/>
            </w:pPr>
            <w:r>
              <w:t>SupportedFeatures</w:t>
            </w:r>
          </w:p>
        </w:tc>
        <w:tc>
          <w:tcPr>
            <w:tcW w:w="284" w:type="dxa"/>
          </w:tcPr>
          <w:p w14:paraId="2B224EB9" w14:textId="77777777" w:rsidR="009E3903" w:rsidRDefault="009E3903" w:rsidP="00902260">
            <w:pPr>
              <w:pStyle w:val="TAL"/>
            </w:pPr>
            <w:r>
              <w:t>C</w:t>
            </w:r>
          </w:p>
        </w:tc>
        <w:tc>
          <w:tcPr>
            <w:tcW w:w="1134" w:type="dxa"/>
          </w:tcPr>
          <w:p w14:paraId="5E32DF9B" w14:textId="77777777" w:rsidR="009E3903" w:rsidRDefault="009E3903" w:rsidP="00902260">
            <w:pPr>
              <w:pStyle w:val="TAL"/>
            </w:pPr>
            <w:r>
              <w:t>0..1</w:t>
            </w:r>
          </w:p>
        </w:tc>
        <w:tc>
          <w:tcPr>
            <w:tcW w:w="2682" w:type="dxa"/>
          </w:tcPr>
          <w:p w14:paraId="60B91353" w14:textId="77777777" w:rsidR="009E3903" w:rsidRDefault="009E3903" w:rsidP="00902260">
            <w:pPr>
              <w:pStyle w:val="TAL"/>
            </w:pPr>
            <w:r>
              <w:t>List of Supported features used as described in clause 5.10.8.</w:t>
            </w:r>
          </w:p>
          <w:p w14:paraId="37274513" w14:textId="77777777" w:rsidR="009E3903" w:rsidRDefault="009E3903" w:rsidP="00902260">
            <w:pPr>
              <w:pStyle w:val="TAL"/>
            </w:pPr>
            <w:r>
              <w:t>It shall be supplied by NF service consumer in the POST requests that request the creation of an NWDAF VFL Subscriptions resource and shall be supplied by the NWDAF in the reply of corresponding request.</w:t>
            </w:r>
          </w:p>
        </w:tc>
        <w:tc>
          <w:tcPr>
            <w:tcW w:w="1277" w:type="dxa"/>
          </w:tcPr>
          <w:p w14:paraId="7891AF48" w14:textId="77777777" w:rsidR="009E3903" w:rsidRDefault="009E3903" w:rsidP="00902260">
            <w:pPr>
              <w:pStyle w:val="TAL"/>
              <w:rPr>
                <w:rFonts w:cs="Arial"/>
                <w:szCs w:val="18"/>
              </w:rPr>
            </w:pPr>
          </w:p>
        </w:tc>
      </w:tr>
      <w:tr w:rsidR="009E3903" w14:paraId="4DF0E043" w14:textId="77777777" w:rsidTr="00902260">
        <w:trPr>
          <w:jc w:val="center"/>
        </w:trPr>
        <w:tc>
          <w:tcPr>
            <w:tcW w:w="1542" w:type="dxa"/>
          </w:tcPr>
          <w:p w14:paraId="457596FA" w14:textId="77777777" w:rsidR="009E3903" w:rsidRDefault="009E3903" w:rsidP="00902260">
            <w:pPr>
              <w:pStyle w:val="TAL"/>
            </w:pPr>
            <w:r>
              <w:t>vflInferAnaSub</w:t>
            </w:r>
          </w:p>
        </w:tc>
        <w:tc>
          <w:tcPr>
            <w:tcW w:w="2417" w:type="dxa"/>
          </w:tcPr>
          <w:p w14:paraId="4B2DD6D3" w14:textId="77777777" w:rsidR="009E3903" w:rsidRDefault="009E3903" w:rsidP="00902260">
            <w:pPr>
              <w:pStyle w:val="TAL"/>
            </w:pPr>
            <w:r>
              <w:rPr>
                <w:lang w:eastAsia="zh-CN"/>
              </w:rPr>
              <w:t>VflInferAnaSub</w:t>
            </w:r>
          </w:p>
        </w:tc>
        <w:tc>
          <w:tcPr>
            <w:tcW w:w="284" w:type="dxa"/>
          </w:tcPr>
          <w:p w14:paraId="38974CF8" w14:textId="77777777" w:rsidR="009E3903" w:rsidRDefault="009E3903" w:rsidP="00902260">
            <w:pPr>
              <w:pStyle w:val="TAL"/>
            </w:pPr>
            <w:r>
              <w:rPr>
                <w:lang w:eastAsia="zh-CN"/>
              </w:rPr>
              <w:t>M</w:t>
            </w:r>
          </w:p>
        </w:tc>
        <w:tc>
          <w:tcPr>
            <w:tcW w:w="1134" w:type="dxa"/>
          </w:tcPr>
          <w:p w14:paraId="1F70AAA6" w14:textId="77777777" w:rsidR="009E3903" w:rsidRDefault="009E3903" w:rsidP="00902260">
            <w:pPr>
              <w:pStyle w:val="TAL"/>
            </w:pPr>
            <w:r>
              <w:rPr>
                <w:lang w:eastAsia="zh-CN"/>
              </w:rPr>
              <w:t>1</w:t>
            </w:r>
          </w:p>
        </w:tc>
        <w:tc>
          <w:tcPr>
            <w:tcW w:w="2682" w:type="dxa"/>
          </w:tcPr>
          <w:p w14:paraId="404F7301" w14:textId="77777777" w:rsidR="009E3903" w:rsidRDefault="009E3903" w:rsidP="00902260">
            <w:pPr>
              <w:pStyle w:val="TAL"/>
            </w:pPr>
            <w:r>
              <w:rPr>
                <w:rFonts w:cs="Arial"/>
                <w:szCs w:val="18"/>
                <w:lang w:eastAsia="zh-CN"/>
              </w:rPr>
              <w:t>Identifies the VFL inference subscription information for the subscribed analytics ID.</w:t>
            </w:r>
          </w:p>
        </w:tc>
        <w:tc>
          <w:tcPr>
            <w:tcW w:w="1277" w:type="dxa"/>
          </w:tcPr>
          <w:p w14:paraId="42FBB8E4" w14:textId="77777777" w:rsidR="009E3903" w:rsidRDefault="009E3903" w:rsidP="00902260">
            <w:pPr>
              <w:pStyle w:val="TAL"/>
              <w:rPr>
                <w:rFonts w:cs="Arial"/>
                <w:szCs w:val="18"/>
              </w:rPr>
            </w:pPr>
          </w:p>
        </w:tc>
      </w:tr>
      <w:tr w:rsidR="009E3903" w14:paraId="0EE293FE" w14:textId="77777777" w:rsidTr="00902260">
        <w:trPr>
          <w:jc w:val="center"/>
        </w:trPr>
        <w:tc>
          <w:tcPr>
            <w:tcW w:w="1542" w:type="dxa"/>
          </w:tcPr>
          <w:p w14:paraId="2CD85796" w14:textId="77777777" w:rsidR="009E3903" w:rsidRDefault="009E3903" w:rsidP="00902260">
            <w:pPr>
              <w:pStyle w:val="TAL"/>
            </w:pPr>
            <w:r>
              <w:t>vflInferReq</w:t>
            </w:r>
          </w:p>
        </w:tc>
        <w:tc>
          <w:tcPr>
            <w:tcW w:w="2417" w:type="dxa"/>
          </w:tcPr>
          <w:p w14:paraId="02A4E8E4" w14:textId="77777777" w:rsidR="009E3903" w:rsidRDefault="009E3903" w:rsidP="00902260">
            <w:pPr>
              <w:pStyle w:val="TAL"/>
            </w:pPr>
            <w:r>
              <w:t>VflInferReq</w:t>
            </w:r>
          </w:p>
        </w:tc>
        <w:tc>
          <w:tcPr>
            <w:tcW w:w="284" w:type="dxa"/>
          </w:tcPr>
          <w:p w14:paraId="0B872CAD" w14:textId="77777777" w:rsidR="009E3903" w:rsidRDefault="009E3903" w:rsidP="00902260">
            <w:pPr>
              <w:pStyle w:val="TAL"/>
            </w:pPr>
            <w:r>
              <w:t>O</w:t>
            </w:r>
          </w:p>
        </w:tc>
        <w:tc>
          <w:tcPr>
            <w:tcW w:w="1134" w:type="dxa"/>
          </w:tcPr>
          <w:p w14:paraId="5BC9A504" w14:textId="77777777" w:rsidR="009E3903" w:rsidRDefault="009E3903" w:rsidP="00902260">
            <w:pPr>
              <w:pStyle w:val="TAL"/>
            </w:pPr>
            <w:r>
              <w:t>0..1</w:t>
            </w:r>
          </w:p>
        </w:tc>
        <w:tc>
          <w:tcPr>
            <w:tcW w:w="2682" w:type="dxa"/>
          </w:tcPr>
          <w:p w14:paraId="61CC75D0" w14:textId="77777777" w:rsidR="009E3903" w:rsidRDefault="009E3903" w:rsidP="00902260">
            <w:pPr>
              <w:pStyle w:val="TAL"/>
            </w:pPr>
            <w:r>
              <w:t>Represents required conditions to apply VFL inference.</w:t>
            </w:r>
          </w:p>
        </w:tc>
        <w:tc>
          <w:tcPr>
            <w:tcW w:w="1277" w:type="dxa"/>
          </w:tcPr>
          <w:p w14:paraId="7BD0A8A4" w14:textId="77777777" w:rsidR="009E3903" w:rsidRDefault="009E3903" w:rsidP="00902260">
            <w:pPr>
              <w:pStyle w:val="TAL"/>
              <w:rPr>
                <w:rFonts w:cs="Arial"/>
                <w:szCs w:val="18"/>
              </w:rPr>
            </w:pPr>
          </w:p>
        </w:tc>
      </w:tr>
      <w:tr w:rsidR="009E3903" w14:paraId="69502CF6" w14:textId="77777777" w:rsidTr="00902260">
        <w:trPr>
          <w:jc w:val="center"/>
        </w:trPr>
        <w:tc>
          <w:tcPr>
            <w:tcW w:w="1542" w:type="dxa"/>
          </w:tcPr>
          <w:p w14:paraId="255426DB" w14:textId="77777777" w:rsidR="009E3903" w:rsidRDefault="009E3903" w:rsidP="00902260">
            <w:pPr>
              <w:pStyle w:val="TAL"/>
            </w:pPr>
            <w:r>
              <w:t>vflInferResults</w:t>
            </w:r>
          </w:p>
        </w:tc>
        <w:tc>
          <w:tcPr>
            <w:tcW w:w="2417" w:type="dxa"/>
          </w:tcPr>
          <w:p w14:paraId="28636026" w14:textId="77777777" w:rsidR="009E3903" w:rsidRDefault="009E3903" w:rsidP="00902260">
            <w:pPr>
              <w:pStyle w:val="TAL"/>
            </w:pPr>
            <w:r>
              <w:t>array(VflInferResult)</w:t>
            </w:r>
          </w:p>
        </w:tc>
        <w:tc>
          <w:tcPr>
            <w:tcW w:w="284" w:type="dxa"/>
          </w:tcPr>
          <w:p w14:paraId="076C5B50" w14:textId="77777777" w:rsidR="009E3903" w:rsidRDefault="009E3903" w:rsidP="00902260">
            <w:pPr>
              <w:pStyle w:val="TAL"/>
            </w:pPr>
            <w:r>
              <w:t>O</w:t>
            </w:r>
          </w:p>
        </w:tc>
        <w:tc>
          <w:tcPr>
            <w:tcW w:w="1134" w:type="dxa"/>
          </w:tcPr>
          <w:p w14:paraId="62F7C6CE" w14:textId="77777777" w:rsidR="009E3903" w:rsidRDefault="009E3903" w:rsidP="00902260">
            <w:pPr>
              <w:pStyle w:val="TAL"/>
            </w:pPr>
            <w:r>
              <w:t>1..N</w:t>
            </w:r>
          </w:p>
        </w:tc>
        <w:tc>
          <w:tcPr>
            <w:tcW w:w="2682" w:type="dxa"/>
          </w:tcPr>
          <w:p w14:paraId="5692B642" w14:textId="77777777" w:rsidR="009E3903" w:rsidRDefault="009E3903" w:rsidP="00902260">
            <w:pPr>
              <w:pStyle w:val="TAL"/>
            </w:pPr>
            <w:r>
              <w:t>Represents intermediate VFL inference results</w:t>
            </w:r>
          </w:p>
        </w:tc>
        <w:tc>
          <w:tcPr>
            <w:tcW w:w="1277" w:type="dxa"/>
          </w:tcPr>
          <w:p w14:paraId="5566F19E" w14:textId="77777777" w:rsidR="009E3903" w:rsidRDefault="009E3903" w:rsidP="00902260">
            <w:pPr>
              <w:pStyle w:val="TAL"/>
              <w:rPr>
                <w:rFonts w:cs="Arial"/>
                <w:szCs w:val="18"/>
              </w:rPr>
            </w:pPr>
          </w:p>
        </w:tc>
      </w:tr>
      <w:tr w:rsidR="009E3903" w14:paraId="0E703013" w14:textId="77777777" w:rsidTr="00902260">
        <w:trPr>
          <w:jc w:val="center"/>
        </w:trPr>
        <w:tc>
          <w:tcPr>
            <w:tcW w:w="1542" w:type="dxa"/>
          </w:tcPr>
          <w:p w14:paraId="43D9CF28" w14:textId="77777777" w:rsidR="009E3903" w:rsidRPr="00331177" w:rsidRDefault="009E3903" w:rsidP="00902260">
            <w:pPr>
              <w:pStyle w:val="TAL"/>
            </w:pPr>
            <w:r>
              <w:t>vlfReportInfo</w:t>
            </w:r>
          </w:p>
        </w:tc>
        <w:tc>
          <w:tcPr>
            <w:tcW w:w="2417" w:type="dxa"/>
          </w:tcPr>
          <w:p w14:paraId="15ECF9B1" w14:textId="77777777" w:rsidR="009E3903" w:rsidRDefault="009E3903" w:rsidP="00902260">
            <w:pPr>
              <w:pStyle w:val="TAL"/>
            </w:pPr>
            <w:r>
              <w:t>ReportingInformation</w:t>
            </w:r>
          </w:p>
        </w:tc>
        <w:tc>
          <w:tcPr>
            <w:tcW w:w="284" w:type="dxa"/>
          </w:tcPr>
          <w:p w14:paraId="3F33ABB4" w14:textId="77777777" w:rsidR="009E3903" w:rsidRDefault="009E3903" w:rsidP="00902260">
            <w:pPr>
              <w:pStyle w:val="TAL"/>
            </w:pPr>
            <w:r>
              <w:t>O</w:t>
            </w:r>
          </w:p>
        </w:tc>
        <w:tc>
          <w:tcPr>
            <w:tcW w:w="1134" w:type="dxa"/>
          </w:tcPr>
          <w:p w14:paraId="3C4EFF45" w14:textId="77777777" w:rsidR="009E3903" w:rsidRDefault="009E3903" w:rsidP="00902260">
            <w:pPr>
              <w:pStyle w:val="TAL"/>
            </w:pPr>
            <w:r>
              <w:t>0..1</w:t>
            </w:r>
          </w:p>
        </w:tc>
        <w:tc>
          <w:tcPr>
            <w:tcW w:w="2682" w:type="dxa"/>
          </w:tcPr>
          <w:p w14:paraId="3DA3BC9A" w14:textId="77777777" w:rsidR="009E3903" w:rsidRDefault="009E3903" w:rsidP="00902260">
            <w:pPr>
              <w:pStyle w:val="TAL"/>
            </w:pPr>
            <w:r>
              <w:t>Reporting requirement information of the VFL inference subscription.</w:t>
            </w:r>
          </w:p>
          <w:p w14:paraId="4D87452C" w14:textId="77777777" w:rsidR="009E3903" w:rsidRDefault="009E3903" w:rsidP="00902260">
            <w:pPr>
              <w:pStyle w:val="TAL"/>
            </w:pPr>
            <w:r>
              <w:t>If omitted, the default values within the ReportingInformation data type apply.</w:t>
            </w:r>
          </w:p>
        </w:tc>
        <w:tc>
          <w:tcPr>
            <w:tcW w:w="1277" w:type="dxa"/>
          </w:tcPr>
          <w:p w14:paraId="59759208" w14:textId="77777777" w:rsidR="009E3903" w:rsidRDefault="009E3903" w:rsidP="00902260">
            <w:pPr>
              <w:pStyle w:val="TAL"/>
              <w:rPr>
                <w:rFonts w:cs="Arial"/>
                <w:szCs w:val="18"/>
              </w:rPr>
            </w:pPr>
          </w:p>
        </w:tc>
      </w:tr>
    </w:tbl>
    <w:p w14:paraId="00F1035A" w14:textId="77777777" w:rsidR="009E3903" w:rsidRDefault="009E3903" w:rsidP="009E3903"/>
    <w:p w14:paraId="391A3AE2" w14:textId="77777777" w:rsidR="009E3903" w:rsidRDefault="009E3903" w:rsidP="009E3903">
      <w:pPr>
        <w:pStyle w:val="EditorsNote"/>
        <w:rPr>
          <w:lang w:eastAsia="ko-KR"/>
        </w:rPr>
      </w:pPr>
      <w:r>
        <w:rPr>
          <w:lang w:eastAsia="ko-KR"/>
        </w:rPr>
        <w:t>Editor's note:</w:t>
      </w:r>
      <w:r>
        <w:rPr>
          <w:lang w:eastAsia="ko-KR"/>
        </w:rPr>
        <w:tab/>
        <w:t>The cardinality of the"</w:t>
      </w:r>
      <w:r w:rsidRPr="005C69A8">
        <w:t xml:space="preserve"> </w:t>
      </w:r>
      <w:r>
        <w:t xml:space="preserve">vflInferAnaSub" attribute </w:t>
      </w:r>
      <w:r>
        <w:rPr>
          <w:lang w:eastAsia="ko-KR"/>
        </w:rPr>
        <w:t>is FFS.</w:t>
      </w:r>
    </w:p>
    <w:p w14:paraId="3E51C9DE" w14:textId="77777777" w:rsidR="009E3903" w:rsidRDefault="009E3903" w:rsidP="009E3903">
      <w:pPr>
        <w:pStyle w:val="5"/>
      </w:pPr>
      <w:bookmarkStart w:id="17041" w:name="_Toc199453496"/>
      <w:r>
        <w:lastRenderedPageBreak/>
        <w:t>5.10.6.2.3</w:t>
      </w:r>
      <w:r>
        <w:tab/>
        <w:t xml:space="preserve">Type </w:t>
      </w:r>
      <w:r>
        <w:rPr>
          <w:rFonts w:eastAsia="等线"/>
        </w:rPr>
        <w:t>VflInferSubPatch</w:t>
      </w:r>
      <w:bookmarkEnd w:id="17041"/>
    </w:p>
    <w:p w14:paraId="62BA1FD0"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5.10.6.2.3-1: Definition of type </w:t>
      </w:r>
      <w:r>
        <w:rPr>
          <w:rFonts w:eastAsia="等线"/>
        </w:rPr>
        <w:t>VflInferSubPatch</w:t>
      </w:r>
    </w:p>
    <w:tbl>
      <w:tblPr>
        <w:tblW w:w="48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2442"/>
        <w:gridCol w:w="284"/>
        <w:gridCol w:w="1134"/>
        <w:gridCol w:w="2686"/>
        <w:gridCol w:w="1273"/>
      </w:tblGrid>
      <w:tr w:rsidR="009E3903" w14:paraId="49A8906D" w14:textId="77777777" w:rsidTr="00902260">
        <w:trPr>
          <w:trHeight w:val="139"/>
          <w:jc w:val="center"/>
        </w:trPr>
        <w:tc>
          <w:tcPr>
            <w:tcW w:w="1517" w:type="dxa"/>
            <w:shd w:val="clear" w:color="auto" w:fill="D0CECE"/>
          </w:tcPr>
          <w:p w14:paraId="19636A6C" w14:textId="77777777" w:rsidR="009E3903" w:rsidRDefault="009E3903" w:rsidP="00902260">
            <w:pPr>
              <w:pStyle w:val="TAH"/>
            </w:pPr>
            <w:r>
              <w:t>Attribute name</w:t>
            </w:r>
          </w:p>
        </w:tc>
        <w:tc>
          <w:tcPr>
            <w:tcW w:w="2442" w:type="dxa"/>
            <w:shd w:val="clear" w:color="auto" w:fill="D0CECE"/>
          </w:tcPr>
          <w:p w14:paraId="15F66E61" w14:textId="77777777" w:rsidR="009E3903" w:rsidRDefault="009E3903" w:rsidP="00902260">
            <w:pPr>
              <w:pStyle w:val="TAH"/>
            </w:pPr>
            <w:r>
              <w:t>Data type</w:t>
            </w:r>
          </w:p>
        </w:tc>
        <w:tc>
          <w:tcPr>
            <w:tcW w:w="284" w:type="dxa"/>
            <w:shd w:val="clear" w:color="auto" w:fill="D0CECE"/>
          </w:tcPr>
          <w:p w14:paraId="29F53B1C" w14:textId="77777777" w:rsidR="009E3903" w:rsidRDefault="009E3903" w:rsidP="00902260">
            <w:pPr>
              <w:pStyle w:val="TAH"/>
            </w:pPr>
            <w:r>
              <w:t>P</w:t>
            </w:r>
          </w:p>
        </w:tc>
        <w:tc>
          <w:tcPr>
            <w:tcW w:w="1134" w:type="dxa"/>
            <w:shd w:val="clear" w:color="auto" w:fill="D0CECE"/>
          </w:tcPr>
          <w:p w14:paraId="3FE959AB" w14:textId="77777777" w:rsidR="009E3903" w:rsidRDefault="009E3903" w:rsidP="00902260">
            <w:pPr>
              <w:pStyle w:val="TAH"/>
            </w:pPr>
            <w:r>
              <w:t>Cardinality</w:t>
            </w:r>
          </w:p>
        </w:tc>
        <w:tc>
          <w:tcPr>
            <w:tcW w:w="2686" w:type="dxa"/>
            <w:shd w:val="clear" w:color="auto" w:fill="D0CECE"/>
          </w:tcPr>
          <w:p w14:paraId="7621CD4F" w14:textId="77777777" w:rsidR="009E3903" w:rsidRDefault="009E3903" w:rsidP="00902260">
            <w:pPr>
              <w:pStyle w:val="TAH"/>
            </w:pPr>
            <w:r>
              <w:rPr>
                <w:rFonts w:cs="Arial"/>
                <w:szCs w:val="18"/>
              </w:rPr>
              <w:t>Description</w:t>
            </w:r>
          </w:p>
        </w:tc>
        <w:tc>
          <w:tcPr>
            <w:tcW w:w="1273" w:type="dxa"/>
            <w:shd w:val="clear" w:color="auto" w:fill="D0CECE"/>
          </w:tcPr>
          <w:p w14:paraId="09CE47E3" w14:textId="77777777" w:rsidR="009E3903" w:rsidRDefault="009E3903" w:rsidP="00902260">
            <w:pPr>
              <w:pStyle w:val="TAH"/>
            </w:pPr>
            <w:r>
              <w:rPr>
                <w:rFonts w:cs="Arial"/>
                <w:szCs w:val="18"/>
              </w:rPr>
              <w:t>Applicability</w:t>
            </w:r>
          </w:p>
        </w:tc>
      </w:tr>
      <w:tr w:rsidR="009E3903" w14:paraId="2BF74A3A" w14:textId="77777777" w:rsidTr="00902260">
        <w:trPr>
          <w:jc w:val="center"/>
        </w:trPr>
        <w:tc>
          <w:tcPr>
            <w:tcW w:w="1517" w:type="dxa"/>
          </w:tcPr>
          <w:p w14:paraId="62B991F1" w14:textId="77777777" w:rsidR="009E3903" w:rsidRDefault="009E3903" w:rsidP="00902260">
            <w:pPr>
              <w:pStyle w:val="TAL"/>
            </w:pPr>
            <w:r>
              <w:t>notifUri</w:t>
            </w:r>
          </w:p>
        </w:tc>
        <w:tc>
          <w:tcPr>
            <w:tcW w:w="2442" w:type="dxa"/>
          </w:tcPr>
          <w:p w14:paraId="0420BD6B" w14:textId="77777777" w:rsidR="009E3903" w:rsidRDefault="009E3903" w:rsidP="00902260">
            <w:pPr>
              <w:pStyle w:val="TAL"/>
              <w:rPr>
                <w:lang w:eastAsia="zh-CN"/>
              </w:rPr>
            </w:pPr>
            <w:r>
              <w:t>Uri</w:t>
            </w:r>
          </w:p>
        </w:tc>
        <w:tc>
          <w:tcPr>
            <w:tcW w:w="284" w:type="dxa"/>
          </w:tcPr>
          <w:p w14:paraId="770F76CD" w14:textId="77777777" w:rsidR="009E3903" w:rsidRDefault="009E3903" w:rsidP="00902260">
            <w:pPr>
              <w:pStyle w:val="TAL"/>
              <w:rPr>
                <w:lang w:eastAsia="zh-CN"/>
              </w:rPr>
            </w:pPr>
            <w:r>
              <w:t>O</w:t>
            </w:r>
          </w:p>
        </w:tc>
        <w:tc>
          <w:tcPr>
            <w:tcW w:w="1134" w:type="dxa"/>
          </w:tcPr>
          <w:p w14:paraId="274D9ADF" w14:textId="77777777" w:rsidR="009E3903" w:rsidRDefault="009E3903" w:rsidP="00902260">
            <w:pPr>
              <w:pStyle w:val="TAL"/>
              <w:rPr>
                <w:lang w:eastAsia="zh-CN"/>
              </w:rPr>
            </w:pPr>
            <w:r>
              <w:t>0..1</w:t>
            </w:r>
          </w:p>
        </w:tc>
        <w:tc>
          <w:tcPr>
            <w:tcW w:w="2686" w:type="dxa"/>
          </w:tcPr>
          <w:p w14:paraId="673B355A" w14:textId="77777777" w:rsidR="009E3903" w:rsidRPr="00F62EC0" w:rsidRDefault="009E3903" w:rsidP="00902260">
            <w:pPr>
              <w:pStyle w:val="TAL"/>
            </w:pPr>
            <w:r>
              <w:rPr>
                <w:lang w:val="en-US" w:eastAsia="ja-JP"/>
              </w:rPr>
              <w:t>URI at which the NF service consumer requests to receive notifications.</w:t>
            </w:r>
          </w:p>
        </w:tc>
        <w:tc>
          <w:tcPr>
            <w:tcW w:w="1273" w:type="dxa"/>
          </w:tcPr>
          <w:p w14:paraId="657A9D74" w14:textId="77777777" w:rsidR="009E3903" w:rsidRDefault="009E3903" w:rsidP="00902260">
            <w:pPr>
              <w:pStyle w:val="TAL"/>
              <w:rPr>
                <w:rFonts w:cs="Arial"/>
                <w:szCs w:val="18"/>
              </w:rPr>
            </w:pPr>
          </w:p>
        </w:tc>
      </w:tr>
      <w:tr w:rsidR="009E3903" w14:paraId="00E9F3C4" w14:textId="77777777" w:rsidTr="00902260">
        <w:trPr>
          <w:jc w:val="center"/>
        </w:trPr>
        <w:tc>
          <w:tcPr>
            <w:tcW w:w="1517" w:type="dxa"/>
          </w:tcPr>
          <w:p w14:paraId="48E759CD" w14:textId="77777777" w:rsidR="009E3903" w:rsidRDefault="009E3903" w:rsidP="00902260">
            <w:pPr>
              <w:pStyle w:val="TAL"/>
            </w:pPr>
            <w:r>
              <w:t>vflInferReq</w:t>
            </w:r>
          </w:p>
        </w:tc>
        <w:tc>
          <w:tcPr>
            <w:tcW w:w="2442" w:type="dxa"/>
          </w:tcPr>
          <w:p w14:paraId="6E6CF94B" w14:textId="77777777" w:rsidR="009E3903" w:rsidRDefault="009E3903" w:rsidP="00902260">
            <w:pPr>
              <w:pStyle w:val="TAL"/>
            </w:pPr>
            <w:r>
              <w:t>VflInferReq</w:t>
            </w:r>
          </w:p>
        </w:tc>
        <w:tc>
          <w:tcPr>
            <w:tcW w:w="284" w:type="dxa"/>
          </w:tcPr>
          <w:p w14:paraId="65A49AB2" w14:textId="77777777" w:rsidR="009E3903" w:rsidRDefault="009E3903" w:rsidP="00902260">
            <w:pPr>
              <w:pStyle w:val="TAL"/>
            </w:pPr>
            <w:r>
              <w:t>O</w:t>
            </w:r>
          </w:p>
        </w:tc>
        <w:tc>
          <w:tcPr>
            <w:tcW w:w="1134" w:type="dxa"/>
          </w:tcPr>
          <w:p w14:paraId="76CF8098" w14:textId="77777777" w:rsidR="009E3903" w:rsidRDefault="009E3903" w:rsidP="00902260">
            <w:pPr>
              <w:pStyle w:val="TAL"/>
            </w:pPr>
            <w:r>
              <w:t>0..1</w:t>
            </w:r>
          </w:p>
        </w:tc>
        <w:tc>
          <w:tcPr>
            <w:tcW w:w="2686" w:type="dxa"/>
          </w:tcPr>
          <w:p w14:paraId="11853092" w14:textId="77777777" w:rsidR="009E3903" w:rsidRDefault="009E3903" w:rsidP="00902260">
            <w:pPr>
              <w:pStyle w:val="TAL"/>
              <w:rPr>
                <w:lang w:val="en-US" w:eastAsia="ja-JP"/>
              </w:rPr>
            </w:pPr>
            <w:r>
              <w:t>Represents required conditions to apply VFL inference.</w:t>
            </w:r>
          </w:p>
        </w:tc>
        <w:tc>
          <w:tcPr>
            <w:tcW w:w="1273" w:type="dxa"/>
          </w:tcPr>
          <w:p w14:paraId="3DA51380" w14:textId="77777777" w:rsidR="009E3903" w:rsidRDefault="009E3903" w:rsidP="00902260">
            <w:pPr>
              <w:pStyle w:val="TAL"/>
              <w:rPr>
                <w:rFonts w:cs="Arial"/>
                <w:szCs w:val="18"/>
              </w:rPr>
            </w:pPr>
          </w:p>
        </w:tc>
      </w:tr>
      <w:tr w:rsidR="009E3903" w14:paraId="437D1E73" w14:textId="77777777" w:rsidTr="00902260">
        <w:trPr>
          <w:trHeight w:val="420"/>
          <w:jc w:val="center"/>
        </w:trPr>
        <w:tc>
          <w:tcPr>
            <w:tcW w:w="1517" w:type="dxa"/>
          </w:tcPr>
          <w:p w14:paraId="2A3946A6" w14:textId="77777777" w:rsidR="009E3903" w:rsidRDefault="009E3903" w:rsidP="00902260">
            <w:pPr>
              <w:pStyle w:val="TAL"/>
            </w:pPr>
            <w:r>
              <w:t>vflReportInfo</w:t>
            </w:r>
          </w:p>
        </w:tc>
        <w:tc>
          <w:tcPr>
            <w:tcW w:w="2442" w:type="dxa"/>
          </w:tcPr>
          <w:p w14:paraId="72581ABB" w14:textId="77777777" w:rsidR="009E3903" w:rsidRPr="006876A6" w:rsidRDefault="009E3903" w:rsidP="00902260">
            <w:pPr>
              <w:pStyle w:val="TAL"/>
            </w:pPr>
            <w:r>
              <w:t>ReportingInformation</w:t>
            </w:r>
          </w:p>
        </w:tc>
        <w:tc>
          <w:tcPr>
            <w:tcW w:w="284" w:type="dxa"/>
          </w:tcPr>
          <w:p w14:paraId="390667C4" w14:textId="77777777" w:rsidR="009E3903" w:rsidRDefault="009E3903" w:rsidP="00902260">
            <w:pPr>
              <w:pStyle w:val="TAL"/>
            </w:pPr>
            <w:r>
              <w:t>O</w:t>
            </w:r>
          </w:p>
        </w:tc>
        <w:tc>
          <w:tcPr>
            <w:tcW w:w="1134" w:type="dxa"/>
          </w:tcPr>
          <w:p w14:paraId="45C794C2" w14:textId="77777777" w:rsidR="009E3903" w:rsidRDefault="009E3903" w:rsidP="00902260">
            <w:pPr>
              <w:pStyle w:val="TAL"/>
            </w:pPr>
            <w:r>
              <w:t>0..1</w:t>
            </w:r>
          </w:p>
        </w:tc>
        <w:tc>
          <w:tcPr>
            <w:tcW w:w="2686" w:type="dxa"/>
          </w:tcPr>
          <w:p w14:paraId="14A2A60E" w14:textId="77777777" w:rsidR="009E3903" w:rsidRDefault="009E3903" w:rsidP="00902260">
            <w:pPr>
              <w:pStyle w:val="TAL"/>
            </w:pPr>
            <w:r>
              <w:t>Reporting requirement information of the VFL inference subscription.</w:t>
            </w:r>
          </w:p>
        </w:tc>
        <w:tc>
          <w:tcPr>
            <w:tcW w:w="1273" w:type="dxa"/>
          </w:tcPr>
          <w:p w14:paraId="3EC916D1" w14:textId="77777777" w:rsidR="009E3903" w:rsidRDefault="009E3903" w:rsidP="00902260">
            <w:pPr>
              <w:pStyle w:val="TAL"/>
              <w:rPr>
                <w:rFonts w:cs="Arial"/>
                <w:szCs w:val="18"/>
              </w:rPr>
            </w:pPr>
          </w:p>
        </w:tc>
      </w:tr>
    </w:tbl>
    <w:p w14:paraId="32060968" w14:textId="77777777" w:rsidR="009E3903" w:rsidRDefault="009E3903" w:rsidP="009E3903">
      <w:pPr>
        <w:rPr>
          <w:lang w:eastAsia="zh-CN"/>
        </w:rPr>
      </w:pPr>
    </w:p>
    <w:p w14:paraId="2CA39647" w14:textId="77777777" w:rsidR="009E3903" w:rsidRDefault="009E3903" w:rsidP="009E3903">
      <w:pPr>
        <w:pStyle w:val="EditorsNote"/>
        <w:rPr>
          <w:lang w:eastAsia="ko-KR"/>
        </w:rPr>
      </w:pPr>
      <w:r>
        <w:rPr>
          <w:lang w:eastAsia="ko-KR"/>
        </w:rPr>
        <w:t>Editor's note:</w:t>
      </w:r>
      <w:r>
        <w:rPr>
          <w:lang w:eastAsia="ko-KR"/>
        </w:rPr>
        <w:tab/>
        <w:t>The list of VFL inference related attributes allowed to be changed with a PATCH is FFS.</w:t>
      </w:r>
    </w:p>
    <w:p w14:paraId="1AC8DDD0" w14:textId="77777777" w:rsidR="009E3903" w:rsidRDefault="009E3903" w:rsidP="009E3903">
      <w:pPr>
        <w:pStyle w:val="5"/>
      </w:pPr>
      <w:bookmarkStart w:id="17042" w:name="_Toc199453497"/>
      <w:r>
        <w:t>5.10.6.2.4</w:t>
      </w:r>
      <w:r>
        <w:tab/>
        <w:t>Type VflInferAnaSub</w:t>
      </w:r>
      <w:bookmarkEnd w:id="17042"/>
    </w:p>
    <w:p w14:paraId="26F23AFF"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5.10.6.2.4-1: Definition of type </w:t>
      </w:r>
      <w:r>
        <w:t>VflInferAnaSub</w:t>
      </w:r>
    </w:p>
    <w:tbl>
      <w:tblPr>
        <w:tblW w:w="500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3"/>
        <w:gridCol w:w="2430"/>
        <w:gridCol w:w="380"/>
        <w:gridCol w:w="1190"/>
        <w:gridCol w:w="2721"/>
        <w:gridCol w:w="1501"/>
      </w:tblGrid>
      <w:tr w:rsidR="009E3903" w14:paraId="1718EA12" w14:textId="77777777" w:rsidTr="00902260">
        <w:trPr>
          <w:trHeight w:val="189"/>
          <w:jc w:val="center"/>
        </w:trPr>
        <w:tc>
          <w:tcPr>
            <w:tcW w:w="1403" w:type="dxa"/>
            <w:tcBorders>
              <w:top w:val="single" w:sz="6" w:space="0" w:color="auto"/>
              <w:left w:val="single" w:sz="6" w:space="0" w:color="auto"/>
              <w:bottom w:val="single" w:sz="6" w:space="0" w:color="auto"/>
              <w:right w:val="single" w:sz="6" w:space="0" w:color="auto"/>
            </w:tcBorders>
            <w:shd w:val="clear" w:color="auto" w:fill="C0C0C0"/>
          </w:tcPr>
          <w:p w14:paraId="35CE1896" w14:textId="77777777" w:rsidR="009E3903" w:rsidRDefault="009E3903" w:rsidP="00902260">
            <w:pPr>
              <w:pStyle w:val="TAH"/>
            </w:pPr>
            <w:r>
              <w:t>Attribute name</w:t>
            </w:r>
          </w:p>
        </w:tc>
        <w:tc>
          <w:tcPr>
            <w:tcW w:w="2430" w:type="dxa"/>
            <w:tcBorders>
              <w:top w:val="single" w:sz="6" w:space="0" w:color="auto"/>
              <w:left w:val="single" w:sz="6" w:space="0" w:color="auto"/>
              <w:bottom w:val="single" w:sz="6" w:space="0" w:color="auto"/>
              <w:right w:val="single" w:sz="6" w:space="0" w:color="auto"/>
            </w:tcBorders>
            <w:shd w:val="clear" w:color="auto" w:fill="C0C0C0"/>
          </w:tcPr>
          <w:p w14:paraId="3E920510" w14:textId="77777777" w:rsidR="009E3903" w:rsidRDefault="009E3903" w:rsidP="00902260">
            <w:pPr>
              <w:pStyle w:val="TAH"/>
            </w:pPr>
            <w:r>
              <w:t>Data type</w:t>
            </w:r>
          </w:p>
        </w:tc>
        <w:tc>
          <w:tcPr>
            <w:tcW w:w="380" w:type="dxa"/>
            <w:tcBorders>
              <w:top w:val="single" w:sz="6" w:space="0" w:color="auto"/>
              <w:left w:val="single" w:sz="6" w:space="0" w:color="auto"/>
              <w:bottom w:val="single" w:sz="6" w:space="0" w:color="auto"/>
              <w:right w:val="single" w:sz="6" w:space="0" w:color="auto"/>
            </w:tcBorders>
            <w:shd w:val="clear" w:color="auto" w:fill="C0C0C0"/>
          </w:tcPr>
          <w:p w14:paraId="02D91719" w14:textId="77777777" w:rsidR="009E3903" w:rsidRDefault="009E3903" w:rsidP="00902260">
            <w:pPr>
              <w:pStyle w:val="TAH"/>
            </w:pPr>
            <w:r>
              <w:t>P</w:t>
            </w:r>
          </w:p>
        </w:tc>
        <w:tc>
          <w:tcPr>
            <w:tcW w:w="1190" w:type="dxa"/>
            <w:tcBorders>
              <w:top w:val="single" w:sz="6" w:space="0" w:color="auto"/>
              <w:left w:val="single" w:sz="6" w:space="0" w:color="auto"/>
              <w:bottom w:val="single" w:sz="6" w:space="0" w:color="auto"/>
              <w:right w:val="single" w:sz="6" w:space="0" w:color="auto"/>
            </w:tcBorders>
            <w:shd w:val="clear" w:color="auto" w:fill="C0C0C0"/>
          </w:tcPr>
          <w:p w14:paraId="5D57DD37" w14:textId="77777777" w:rsidR="009E3903" w:rsidRDefault="009E3903" w:rsidP="00902260">
            <w:pPr>
              <w:pStyle w:val="TAH"/>
            </w:pPr>
            <w:r>
              <w:t>Cardinality</w:t>
            </w:r>
          </w:p>
        </w:tc>
        <w:tc>
          <w:tcPr>
            <w:tcW w:w="2721" w:type="dxa"/>
            <w:tcBorders>
              <w:top w:val="single" w:sz="6" w:space="0" w:color="auto"/>
              <w:left w:val="single" w:sz="6" w:space="0" w:color="auto"/>
              <w:bottom w:val="single" w:sz="6" w:space="0" w:color="auto"/>
              <w:right w:val="single" w:sz="6" w:space="0" w:color="auto"/>
            </w:tcBorders>
            <w:shd w:val="clear" w:color="auto" w:fill="C0C0C0"/>
          </w:tcPr>
          <w:p w14:paraId="0ECE7D99" w14:textId="77777777" w:rsidR="009E3903" w:rsidRDefault="009E3903" w:rsidP="00902260">
            <w:pPr>
              <w:pStyle w:val="TAH"/>
              <w:rPr>
                <w:rFonts w:cs="Arial"/>
                <w:szCs w:val="18"/>
              </w:rPr>
            </w:pPr>
            <w:r>
              <w:rPr>
                <w:rFonts w:cs="Arial"/>
                <w:szCs w:val="18"/>
              </w:rPr>
              <w:t>Description</w:t>
            </w:r>
          </w:p>
        </w:tc>
        <w:tc>
          <w:tcPr>
            <w:tcW w:w="1501" w:type="dxa"/>
            <w:tcBorders>
              <w:top w:val="single" w:sz="6" w:space="0" w:color="auto"/>
              <w:left w:val="single" w:sz="6" w:space="0" w:color="auto"/>
              <w:bottom w:val="single" w:sz="6" w:space="0" w:color="auto"/>
              <w:right w:val="single" w:sz="6" w:space="0" w:color="auto"/>
            </w:tcBorders>
            <w:shd w:val="clear" w:color="auto" w:fill="C0C0C0"/>
          </w:tcPr>
          <w:p w14:paraId="22B50F4E" w14:textId="77777777" w:rsidR="009E3903" w:rsidRDefault="009E3903" w:rsidP="00902260">
            <w:pPr>
              <w:pStyle w:val="TAH"/>
              <w:rPr>
                <w:rFonts w:cs="Arial"/>
                <w:szCs w:val="18"/>
              </w:rPr>
            </w:pPr>
            <w:r>
              <w:rPr>
                <w:rFonts w:cs="Arial"/>
                <w:szCs w:val="18"/>
              </w:rPr>
              <w:t>Applicability</w:t>
            </w:r>
          </w:p>
        </w:tc>
      </w:tr>
      <w:tr w:rsidR="009E3903" w14:paraId="7C0095DA" w14:textId="77777777" w:rsidTr="00902260">
        <w:trPr>
          <w:jc w:val="center"/>
        </w:trPr>
        <w:tc>
          <w:tcPr>
            <w:tcW w:w="1403" w:type="dxa"/>
            <w:tcBorders>
              <w:top w:val="single" w:sz="6" w:space="0" w:color="auto"/>
              <w:left w:val="single" w:sz="6" w:space="0" w:color="auto"/>
              <w:right w:val="single" w:sz="6" w:space="0" w:color="auto"/>
            </w:tcBorders>
          </w:tcPr>
          <w:p w14:paraId="31D87A00" w14:textId="77777777" w:rsidR="009E3903" w:rsidRDefault="009E3903" w:rsidP="00902260">
            <w:pPr>
              <w:pStyle w:val="TAL"/>
              <w:rPr>
                <w:szCs w:val="18"/>
              </w:rPr>
            </w:pPr>
            <w:r>
              <w:rPr>
                <w:szCs w:val="18"/>
              </w:rPr>
              <w:t>anaEvent</w:t>
            </w:r>
          </w:p>
        </w:tc>
        <w:tc>
          <w:tcPr>
            <w:tcW w:w="2430" w:type="dxa"/>
            <w:tcBorders>
              <w:top w:val="single" w:sz="6" w:space="0" w:color="auto"/>
              <w:left w:val="single" w:sz="6" w:space="0" w:color="auto"/>
              <w:right w:val="single" w:sz="6" w:space="0" w:color="auto"/>
            </w:tcBorders>
          </w:tcPr>
          <w:p w14:paraId="58CD1416" w14:textId="77777777" w:rsidR="009E3903" w:rsidRPr="00FC393A" w:rsidRDefault="009E3903" w:rsidP="00902260">
            <w:pPr>
              <w:pStyle w:val="TAL"/>
              <w:rPr>
                <w:szCs w:val="18"/>
                <w:lang w:val="en-US" w:eastAsia="zh-CN"/>
              </w:rPr>
            </w:pPr>
            <w:r>
              <w:rPr>
                <w:szCs w:val="18"/>
                <w:lang w:val="en-US" w:eastAsia="zh-CN"/>
              </w:rPr>
              <w:t>NwdafEvent</w:t>
            </w:r>
          </w:p>
        </w:tc>
        <w:tc>
          <w:tcPr>
            <w:tcW w:w="380" w:type="dxa"/>
            <w:tcBorders>
              <w:top w:val="single" w:sz="6" w:space="0" w:color="auto"/>
              <w:left w:val="single" w:sz="6" w:space="0" w:color="auto"/>
              <w:right w:val="single" w:sz="6" w:space="0" w:color="auto"/>
            </w:tcBorders>
          </w:tcPr>
          <w:p w14:paraId="4E8871C6" w14:textId="77777777" w:rsidR="009E3903" w:rsidRDefault="009E3903" w:rsidP="00902260">
            <w:pPr>
              <w:pStyle w:val="TAL"/>
              <w:rPr>
                <w:szCs w:val="18"/>
                <w:lang w:eastAsia="zh-CN"/>
              </w:rPr>
            </w:pPr>
            <w:r>
              <w:rPr>
                <w:szCs w:val="18"/>
                <w:lang w:eastAsia="zh-CN"/>
              </w:rPr>
              <w:t>M</w:t>
            </w:r>
          </w:p>
        </w:tc>
        <w:tc>
          <w:tcPr>
            <w:tcW w:w="1190" w:type="dxa"/>
            <w:tcBorders>
              <w:top w:val="single" w:sz="6" w:space="0" w:color="auto"/>
              <w:left w:val="single" w:sz="6" w:space="0" w:color="auto"/>
              <w:right w:val="single" w:sz="6" w:space="0" w:color="auto"/>
            </w:tcBorders>
          </w:tcPr>
          <w:p w14:paraId="63819457" w14:textId="77777777" w:rsidR="009E3903" w:rsidRDefault="009E3903" w:rsidP="00902260">
            <w:pPr>
              <w:pStyle w:val="TAL"/>
              <w:rPr>
                <w:szCs w:val="18"/>
                <w:lang w:eastAsia="zh-CN"/>
              </w:rPr>
            </w:pPr>
            <w:r>
              <w:rPr>
                <w:szCs w:val="18"/>
                <w:lang w:eastAsia="zh-CN"/>
              </w:rPr>
              <w:t>1</w:t>
            </w:r>
          </w:p>
        </w:tc>
        <w:tc>
          <w:tcPr>
            <w:tcW w:w="2721" w:type="dxa"/>
            <w:tcBorders>
              <w:top w:val="single" w:sz="6" w:space="0" w:color="auto"/>
              <w:left w:val="single" w:sz="6" w:space="0" w:color="auto"/>
              <w:right w:val="single" w:sz="6" w:space="0" w:color="auto"/>
            </w:tcBorders>
          </w:tcPr>
          <w:p w14:paraId="7D24BE85" w14:textId="77777777" w:rsidR="009E3903" w:rsidRDefault="009E3903" w:rsidP="00902260">
            <w:pPr>
              <w:pStyle w:val="TAL"/>
              <w:rPr>
                <w:rFonts w:cs="Arial"/>
                <w:szCs w:val="18"/>
                <w:lang w:eastAsia="zh-CN"/>
              </w:rPr>
            </w:pPr>
            <w:r>
              <w:t>Type of analytics for which VFL inference is required.</w:t>
            </w:r>
          </w:p>
        </w:tc>
        <w:tc>
          <w:tcPr>
            <w:tcW w:w="1501" w:type="dxa"/>
            <w:tcBorders>
              <w:top w:val="single" w:sz="6" w:space="0" w:color="auto"/>
              <w:left w:val="single" w:sz="6" w:space="0" w:color="auto"/>
              <w:right w:val="single" w:sz="6" w:space="0" w:color="auto"/>
            </w:tcBorders>
          </w:tcPr>
          <w:p w14:paraId="05ADEA42" w14:textId="77777777" w:rsidR="009E3903" w:rsidRDefault="009E3903" w:rsidP="00902260">
            <w:pPr>
              <w:pStyle w:val="TAL"/>
              <w:rPr>
                <w:rFonts w:cs="Arial"/>
                <w:szCs w:val="18"/>
              </w:rPr>
            </w:pPr>
          </w:p>
        </w:tc>
      </w:tr>
      <w:tr w:rsidR="009E3903" w14:paraId="0133B4E5" w14:textId="77777777" w:rsidTr="00902260">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3D81CF05" w14:textId="77777777" w:rsidR="009E3903" w:rsidRDefault="009E3903" w:rsidP="00902260">
            <w:pPr>
              <w:pStyle w:val="TAL"/>
              <w:rPr>
                <w:szCs w:val="18"/>
              </w:rPr>
            </w:pPr>
            <w:r>
              <w:rPr>
                <w:szCs w:val="18"/>
              </w:rPr>
              <w:t>vflCorreId</w:t>
            </w:r>
          </w:p>
        </w:tc>
        <w:tc>
          <w:tcPr>
            <w:tcW w:w="2430" w:type="dxa"/>
            <w:tcBorders>
              <w:top w:val="single" w:sz="6" w:space="0" w:color="auto"/>
              <w:left w:val="single" w:sz="6" w:space="0" w:color="auto"/>
              <w:bottom w:val="single" w:sz="6" w:space="0" w:color="auto"/>
              <w:right w:val="single" w:sz="6" w:space="0" w:color="auto"/>
            </w:tcBorders>
          </w:tcPr>
          <w:p w14:paraId="37EFD25A" w14:textId="77777777" w:rsidR="009E3903" w:rsidRDefault="009E3903" w:rsidP="00902260">
            <w:pPr>
              <w:pStyle w:val="TAL"/>
              <w:rPr>
                <w:szCs w:val="18"/>
              </w:rPr>
            </w:pPr>
            <w:r>
              <w:rPr>
                <w:szCs w:val="18"/>
              </w:rPr>
              <w:t>string</w:t>
            </w:r>
          </w:p>
        </w:tc>
        <w:tc>
          <w:tcPr>
            <w:tcW w:w="380" w:type="dxa"/>
            <w:tcBorders>
              <w:top w:val="single" w:sz="6" w:space="0" w:color="auto"/>
              <w:left w:val="single" w:sz="6" w:space="0" w:color="auto"/>
              <w:bottom w:val="single" w:sz="6" w:space="0" w:color="auto"/>
              <w:right w:val="single" w:sz="6" w:space="0" w:color="auto"/>
            </w:tcBorders>
          </w:tcPr>
          <w:p w14:paraId="066590E1" w14:textId="77777777" w:rsidR="009E3903" w:rsidRDefault="009E3903" w:rsidP="00902260">
            <w:pPr>
              <w:pStyle w:val="TAL"/>
              <w:rPr>
                <w:szCs w:val="18"/>
              </w:rPr>
            </w:pPr>
            <w:r>
              <w:rPr>
                <w:szCs w:val="18"/>
              </w:rPr>
              <w:t>M</w:t>
            </w:r>
          </w:p>
        </w:tc>
        <w:tc>
          <w:tcPr>
            <w:tcW w:w="1190" w:type="dxa"/>
            <w:tcBorders>
              <w:top w:val="single" w:sz="6" w:space="0" w:color="auto"/>
              <w:left w:val="single" w:sz="6" w:space="0" w:color="auto"/>
              <w:bottom w:val="single" w:sz="6" w:space="0" w:color="auto"/>
              <w:right w:val="single" w:sz="6" w:space="0" w:color="auto"/>
            </w:tcBorders>
          </w:tcPr>
          <w:p w14:paraId="0173B47A" w14:textId="77777777" w:rsidR="009E3903" w:rsidRDefault="009E3903" w:rsidP="00902260">
            <w:pPr>
              <w:pStyle w:val="TAL"/>
              <w:rPr>
                <w:szCs w:val="18"/>
              </w:rPr>
            </w:pPr>
            <w:r>
              <w:rPr>
                <w:szCs w:val="18"/>
              </w:rPr>
              <w:t>1</w:t>
            </w:r>
          </w:p>
        </w:tc>
        <w:tc>
          <w:tcPr>
            <w:tcW w:w="2721" w:type="dxa"/>
            <w:tcBorders>
              <w:top w:val="single" w:sz="6" w:space="0" w:color="auto"/>
              <w:left w:val="single" w:sz="6" w:space="0" w:color="auto"/>
              <w:bottom w:val="single" w:sz="6" w:space="0" w:color="auto"/>
              <w:right w:val="single" w:sz="6" w:space="0" w:color="auto"/>
            </w:tcBorders>
          </w:tcPr>
          <w:p w14:paraId="4EDF4A4B" w14:textId="77777777" w:rsidR="009E3903" w:rsidRPr="003A7063" w:rsidRDefault="009E3903" w:rsidP="00902260">
            <w:pPr>
              <w:pStyle w:val="TAL"/>
              <w:rPr>
                <w:szCs w:val="18"/>
              </w:rPr>
            </w:pPr>
            <w:r w:rsidRPr="00E66AE4">
              <w:rPr>
                <w:szCs w:val="18"/>
                <w:lang w:val="en-US"/>
              </w:rPr>
              <w:t xml:space="preserve">VFL correlation ID used to identify the VFL process to be executed among the candidate VFL participants to which the </w:t>
            </w:r>
            <w:r>
              <w:rPr>
                <w:szCs w:val="18"/>
                <w:lang w:val="en-US"/>
              </w:rPr>
              <w:t>inference</w:t>
            </w:r>
            <w:r w:rsidRPr="00E66AE4">
              <w:rPr>
                <w:szCs w:val="18"/>
                <w:lang w:val="en-US"/>
              </w:rPr>
              <w:t xml:space="preserve"> subscription procedure relates.</w:t>
            </w:r>
          </w:p>
        </w:tc>
        <w:tc>
          <w:tcPr>
            <w:tcW w:w="1501" w:type="dxa"/>
            <w:tcBorders>
              <w:top w:val="single" w:sz="6" w:space="0" w:color="auto"/>
              <w:left w:val="single" w:sz="6" w:space="0" w:color="auto"/>
              <w:bottom w:val="single" w:sz="6" w:space="0" w:color="auto"/>
              <w:right w:val="single" w:sz="6" w:space="0" w:color="auto"/>
            </w:tcBorders>
          </w:tcPr>
          <w:p w14:paraId="6731EBE6" w14:textId="77777777" w:rsidR="009E3903" w:rsidRDefault="009E3903" w:rsidP="00902260">
            <w:pPr>
              <w:pStyle w:val="TAL"/>
              <w:rPr>
                <w:rFonts w:cs="Arial"/>
                <w:szCs w:val="18"/>
              </w:rPr>
            </w:pPr>
          </w:p>
        </w:tc>
      </w:tr>
      <w:tr w:rsidR="009E3903" w14:paraId="53EA0F88" w14:textId="77777777" w:rsidTr="00902260">
        <w:trPr>
          <w:trHeight w:val="380"/>
          <w:jc w:val="center"/>
        </w:trPr>
        <w:tc>
          <w:tcPr>
            <w:tcW w:w="1403" w:type="dxa"/>
            <w:tcBorders>
              <w:top w:val="single" w:sz="6" w:space="0" w:color="auto"/>
              <w:left w:val="single" w:sz="6" w:space="0" w:color="auto"/>
              <w:bottom w:val="single" w:sz="6" w:space="0" w:color="auto"/>
              <w:right w:val="single" w:sz="6" w:space="0" w:color="auto"/>
            </w:tcBorders>
          </w:tcPr>
          <w:p w14:paraId="37AF5C9B" w14:textId="77777777" w:rsidR="009E3903" w:rsidRDefault="009E3903" w:rsidP="00902260">
            <w:pPr>
              <w:pStyle w:val="TAL"/>
              <w:rPr>
                <w:szCs w:val="18"/>
              </w:rPr>
            </w:pPr>
            <w:r>
              <w:rPr>
                <w:szCs w:val="18"/>
              </w:rPr>
              <w:t>vflEventFilter</w:t>
            </w:r>
          </w:p>
        </w:tc>
        <w:tc>
          <w:tcPr>
            <w:tcW w:w="2430" w:type="dxa"/>
            <w:tcBorders>
              <w:top w:val="single" w:sz="6" w:space="0" w:color="auto"/>
              <w:left w:val="single" w:sz="6" w:space="0" w:color="auto"/>
              <w:bottom w:val="single" w:sz="6" w:space="0" w:color="auto"/>
              <w:right w:val="single" w:sz="6" w:space="0" w:color="auto"/>
            </w:tcBorders>
          </w:tcPr>
          <w:p w14:paraId="5D806E9D" w14:textId="77777777" w:rsidR="009E3903" w:rsidRDefault="009E3903" w:rsidP="00902260">
            <w:pPr>
              <w:pStyle w:val="TAL"/>
              <w:rPr>
                <w:szCs w:val="18"/>
              </w:rPr>
            </w:pPr>
            <w:r>
              <w:rPr>
                <w:szCs w:val="18"/>
              </w:rPr>
              <w:t>EventFilter</w:t>
            </w:r>
          </w:p>
        </w:tc>
        <w:tc>
          <w:tcPr>
            <w:tcW w:w="380" w:type="dxa"/>
            <w:tcBorders>
              <w:top w:val="single" w:sz="6" w:space="0" w:color="auto"/>
              <w:left w:val="single" w:sz="6" w:space="0" w:color="auto"/>
              <w:bottom w:val="single" w:sz="6" w:space="0" w:color="auto"/>
              <w:right w:val="single" w:sz="6" w:space="0" w:color="auto"/>
            </w:tcBorders>
          </w:tcPr>
          <w:p w14:paraId="23206D34" w14:textId="77777777" w:rsidR="009E3903" w:rsidRDefault="009E3903" w:rsidP="00902260">
            <w:pPr>
              <w:pStyle w:val="TAL"/>
              <w:rPr>
                <w:szCs w:val="18"/>
              </w:rPr>
            </w:pPr>
            <w:r>
              <w:rPr>
                <w:szCs w:val="18"/>
              </w:rPr>
              <w:t>O</w:t>
            </w:r>
          </w:p>
        </w:tc>
        <w:tc>
          <w:tcPr>
            <w:tcW w:w="1190" w:type="dxa"/>
            <w:tcBorders>
              <w:top w:val="single" w:sz="6" w:space="0" w:color="auto"/>
              <w:left w:val="single" w:sz="6" w:space="0" w:color="auto"/>
              <w:bottom w:val="single" w:sz="6" w:space="0" w:color="auto"/>
              <w:right w:val="single" w:sz="6" w:space="0" w:color="auto"/>
            </w:tcBorders>
          </w:tcPr>
          <w:p w14:paraId="2E0A3A82" w14:textId="77777777" w:rsidR="009E3903" w:rsidRDefault="009E3903" w:rsidP="00902260">
            <w:pPr>
              <w:pStyle w:val="TAL"/>
              <w:rPr>
                <w:szCs w:val="18"/>
              </w:rPr>
            </w:pPr>
            <w:r>
              <w:rPr>
                <w:szCs w:val="18"/>
              </w:rPr>
              <w:t>0..1</w:t>
            </w:r>
          </w:p>
        </w:tc>
        <w:tc>
          <w:tcPr>
            <w:tcW w:w="2721" w:type="dxa"/>
            <w:tcBorders>
              <w:top w:val="single" w:sz="6" w:space="0" w:color="auto"/>
              <w:left w:val="single" w:sz="6" w:space="0" w:color="auto"/>
              <w:bottom w:val="single" w:sz="6" w:space="0" w:color="auto"/>
              <w:right w:val="single" w:sz="6" w:space="0" w:color="auto"/>
            </w:tcBorders>
          </w:tcPr>
          <w:p w14:paraId="5973662A" w14:textId="77777777" w:rsidR="009E3903" w:rsidRPr="003A7063" w:rsidRDefault="009E3903" w:rsidP="00902260">
            <w:pPr>
              <w:pStyle w:val="TAL"/>
              <w:rPr>
                <w:szCs w:val="18"/>
                <w:lang w:val="en-US"/>
              </w:rPr>
            </w:pPr>
            <w:r>
              <w:rPr>
                <w:szCs w:val="18"/>
                <w:lang w:val="en-US"/>
              </w:rPr>
              <w:t>Inference</w:t>
            </w:r>
            <w:r w:rsidRPr="00E66AE4">
              <w:rPr>
                <w:szCs w:val="18"/>
                <w:lang w:val="en-US"/>
              </w:rPr>
              <w:t xml:space="preserve"> filter information</w:t>
            </w:r>
          </w:p>
        </w:tc>
        <w:tc>
          <w:tcPr>
            <w:tcW w:w="1501" w:type="dxa"/>
            <w:tcBorders>
              <w:top w:val="single" w:sz="6" w:space="0" w:color="auto"/>
              <w:left w:val="single" w:sz="6" w:space="0" w:color="auto"/>
              <w:bottom w:val="single" w:sz="6" w:space="0" w:color="auto"/>
              <w:right w:val="single" w:sz="6" w:space="0" w:color="auto"/>
            </w:tcBorders>
          </w:tcPr>
          <w:p w14:paraId="3B234A66" w14:textId="77777777" w:rsidR="009E3903" w:rsidRDefault="009E3903" w:rsidP="00902260">
            <w:pPr>
              <w:pStyle w:val="TAL"/>
              <w:rPr>
                <w:rFonts w:cs="Arial"/>
                <w:szCs w:val="18"/>
              </w:rPr>
            </w:pPr>
          </w:p>
        </w:tc>
      </w:tr>
    </w:tbl>
    <w:p w14:paraId="5562C47F" w14:textId="77777777" w:rsidR="009E3903" w:rsidRDefault="009E3903" w:rsidP="009E3903"/>
    <w:p w14:paraId="49193226" w14:textId="77777777" w:rsidR="009E3903" w:rsidRPr="00253BF3" w:rsidRDefault="009E3903" w:rsidP="00253BF3">
      <w:pPr>
        <w:pStyle w:val="EditorsNote"/>
        <w:rPr>
          <w:lang w:val="en-US"/>
        </w:rPr>
      </w:pPr>
      <w:r>
        <w:t>Editor's note:</w:t>
      </w:r>
      <w:r>
        <w:tab/>
      </w:r>
      <w:r>
        <w:rPr>
          <w:lang w:val="en-US"/>
        </w:rPr>
        <w:t>The neeed of the targer UE information attribute within this data type is FFS.</w:t>
      </w:r>
    </w:p>
    <w:p w14:paraId="66A5B8DD" w14:textId="77777777" w:rsidR="009E3903" w:rsidRDefault="009E3903" w:rsidP="009E3903">
      <w:pPr>
        <w:pStyle w:val="5"/>
      </w:pPr>
      <w:bookmarkStart w:id="17043" w:name="_Toc199453498"/>
      <w:r>
        <w:t>5.10.6.2.5</w:t>
      </w:r>
      <w:r>
        <w:tab/>
        <w:t xml:space="preserve">Type </w:t>
      </w:r>
      <w:r>
        <w:rPr>
          <w:rFonts w:eastAsia="等线"/>
        </w:rPr>
        <w:t>VflInferNotif</w:t>
      </w:r>
      <w:bookmarkEnd w:id="17043"/>
    </w:p>
    <w:p w14:paraId="7EB1E70C"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5.10.6.2.5-1: Definition of type </w:t>
      </w:r>
      <w:r>
        <w:rPr>
          <w:rFonts w:eastAsia="等线"/>
        </w:rPr>
        <w:t>VflInferNotif</w:t>
      </w:r>
    </w:p>
    <w:tbl>
      <w:tblPr>
        <w:tblW w:w="48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3"/>
        <w:gridCol w:w="2416"/>
        <w:gridCol w:w="284"/>
        <w:gridCol w:w="1134"/>
        <w:gridCol w:w="2683"/>
        <w:gridCol w:w="1276"/>
      </w:tblGrid>
      <w:tr w:rsidR="009E3903" w14:paraId="067CD281" w14:textId="77777777" w:rsidTr="00902260">
        <w:trPr>
          <w:trHeight w:val="139"/>
          <w:jc w:val="center"/>
        </w:trPr>
        <w:tc>
          <w:tcPr>
            <w:tcW w:w="1543" w:type="dxa"/>
            <w:shd w:val="clear" w:color="auto" w:fill="D0CECE"/>
          </w:tcPr>
          <w:p w14:paraId="09F9C5BA" w14:textId="77777777" w:rsidR="009E3903" w:rsidRDefault="009E3903" w:rsidP="00902260">
            <w:pPr>
              <w:pStyle w:val="TAH"/>
            </w:pPr>
            <w:r>
              <w:t>Attribute name</w:t>
            </w:r>
          </w:p>
        </w:tc>
        <w:tc>
          <w:tcPr>
            <w:tcW w:w="2416" w:type="dxa"/>
            <w:shd w:val="clear" w:color="auto" w:fill="D0CECE"/>
          </w:tcPr>
          <w:p w14:paraId="4E23288B" w14:textId="77777777" w:rsidR="009E3903" w:rsidRDefault="009E3903" w:rsidP="00902260">
            <w:pPr>
              <w:pStyle w:val="TAH"/>
            </w:pPr>
            <w:r>
              <w:t>Data type</w:t>
            </w:r>
          </w:p>
        </w:tc>
        <w:tc>
          <w:tcPr>
            <w:tcW w:w="284" w:type="dxa"/>
            <w:shd w:val="clear" w:color="auto" w:fill="D0CECE"/>
          </w:tcPr>
          <w:p w14:paraId="35D72A46" w14:textId="77777777" w:rsidR="009E3903" w:rsidRDefault="009E3903" w:rsidP="00902260">
            <w:pPr>
              <w:pStyle w:val="TAH"/>
            </w:pPr>
            <w:r>
              <w:t>P</w:t>
            </w:r>
          </w:p>
        </w:tc>
        <w:tc>
          <w:tcPr>
            <w:tcW w:w="1134" w:type="dxa"/>
            <w:shd w:val="clear" w:color="auto" w:fill="D0CECE"/>
          </w:tcPr>
          <w:p w14:paraId="1A7D87BD" w14:textId="77777777" w:rsidR="009E3903" w:rsidRDefault="009E3903" w:rsidP="00902260">
            <w:pPr>
              <w:pStyle w:val="TAH"/>
            </w:pPr>
            <w:r>
              <w:t>Cardinality</w:t>
            </w:r>
          </w:p>
        </w:tc>
        <w:tc>
          <w:tcPr>
            <w:tcW w:w="2683" w:type="dxa"/>
            <w:shd w:val="clear" w:color="auto" w:fill="D0CECE"/>
          </w:tcPr>
          <w:p w14:paraId="5CCD1C00" w14:textId="77777777" w:rsidR="009E3903" w:rsidRDefault="009E3903" w:rsidP="00902260">
            <w:pPr>
              <w:pStyle w:val="TAH"/>
            </w:pPr>
            <w:r>
              <w:rPr>
                <w:rFonts w:cs="Arial"/>
                <w:szCs w:val="18"/>
              </w:rPr>
              <w:t>Description</w:t>
            </w:r>
          </w:p>
        </w:tc>
        <w:tc>
          <w:tcPr>
            <w:tcW w:w="1276" w:type="dxa"/>
            <w:shd w:val="clear" w:color="auto" w:fill="D0CECE"/>
          </w:tcPr>
          <w:p w14:paraId="43B80AA2" w14:textId="77777777" w:rsidR="009E3903" w:rsidRDefault="009E3903" w:rsidP="00902260">
            <w:pPr>
              <w:pStyle w:val="TAH"/>
            </w:pPr>
            <w:r>
              <w:rPr>
                <w:rFonts w:cs="Arial"/>
                <w:szCs w:val="18"/>
              </w:rPr>
              <w:t>Applicability</w:t>
            </w:r>
          </w:p>
        </w:tc>
      </w:tr>
      <w:tr w:rsidR="009E3903" w14:paraId="71AC4BB3" w14:textId="77777777" w:rsidTr="00902260">
        <w:trPr>
          <w:trHeight w:val="873"/>
          <w:jc w:val="center"/>
        </w:trPr>
        <w:tc>
          <w:tcPr>
            <w:tcW w:w="1543" w:type="dxa"/>
          </w:tcPr>
          <w:p w14:paraId="7DA456AE" w14:textId="77777777" w:rsidR="009E3903" w:rsidRDefault="009E3903" w:rsidP="00902260">
            <w:pPr>
              <w:pStyle w:val="TAL"/>
            </w:pPr>
            <w:r>
              <w:t>notifCorreId</w:t>
            </w:r>
          </w:p>
        </w:tc>
        <w:tc>
          <w:tcPr>
            <w:tcW w:w="2416" w:type="dxa"/>
          </w:tcPr>
          <w:p w14:paraId="249E5DC7" w14:textId="77777777" w:rsidR="009E3903" w:rsidRDefault="009E3903" w:rsidP="00902260">
            <w:pPr>
              <w:pStyle w:val="TAL"/>
              <w:rPr>
                <w:lang w:eastAsia="zh-CN"/>
              </w:rPr>
            </w:pPr>
            <w:r>
              <w:t>string</w:t>
            </w:r>
          </w:p>
        </w:tc>
        <w:tc>
          <w:tcPr>
            <w:tcW w:w="284" w:type="dxa"/>
          </w:tcPr>
          <w:p w14:paraId="6A806BD7" w14:textId="77777777" w:rsidR="009E3903" w:rsidRDefault="009E3903" w:rsidP="00902260">
            <w:pPr>
              <w:pStyle w:val="TAL"/>
              <w:rPr>
                <w:lang w:eastAsia="zh-CN"/>
              </w:rPr>
            </w:pPr>
            <w:r>
              <w:t>M</w:t>
            </w:r>
          </w:p>
        </w:tc>
        <w:tc>
          <w:tcPr>
            <w:tcW w:w="1134" w:type="dxa"/>
          </w:tcPr>
          <w:p w14:paraId="5BB5FB0F" w14:textId="77777777" w:rsidR="009E3903" w:rsidRDefault="009E3903" w:rsidP="00902260">
            <w:pPr>
              <w:pStyle w:val="TAL"/>
              <w:rPr>
                <w:lang w:eastAsia="zh-CN"/>
              </w:rPr>
            </w:pPr>
            <w:r>
              <w:t>1</w:t>
            </w:r>
          </w:p>
        </w:tc>
        <w:tc>
          <w:tcPr>
            <w:tcW w:w="2683" w:type="dxa"/>
          </w:tcPr>
          <w:p w14:paraId="6F6D5420" w14:textId="77777777" w:rsidR="009E3903" w:rsidRDefault="009E3903" w:rsidP="00902260">
            <w:pPr>
              <w:pStyle w:val="TAL"/>
              <w:rPr>
                <w:rFonts w:cs="Arial"/>
                <w:szCs w:val="18"/>
                <w:lang w:eastAsia="zh-CN"/>
              </w:rPr>
            </w:pPr>
            <w:r>
              <w:t>The value of Notification Correlation ID in the corresponding notification.</w:t>
            </w:r>
          </w:p>
        </w:tc>
        <w:tc>
          <w:tcPr>
            <w:tcW w:w="1276" w:type="dxa"/>
          </w:tcPr>
          <w:p w14:paraId="50413C1F" w14:textId="77777777" w:rsidR="009E3903" w:rsidRDefault="009E3903" w:rsidP="00902260">
            <w:pPr>
              <w:pStyle w:val="TAL"/>
              <w:rPr>
                <w:rFonts w:cs="Arial"/>
                <w:szCs w:val="18"/>
              </w:rPr>
            </w:pPr>
          </w:p>
        </w:tc>
      </w:tr>
      <w:tr w:rsidR="009E3903" w14:paraId="7F2A211A" w14:textId="77777777" w:rsidTr="00902260">
        <w:trPr>
          <w:jc w:val="center"/>
        </w:trPr>
        <w:tc>
          <w:tcPr>
            <w:tcW w:w="1543" w:type="dxa"/>
          </w:tcPr>
          <w:p w14:paraId="79E0F514" w14:textId="77777777" w:rsidR="009E3903" w:rsidRDefault="009E3903" w:rsidP="00902260">
            <w:pPr>
              <w:pStyle w:val="TAL"/>
            </w:pPr>
            <w:r>
              <w:t>vflInferResults</w:t>
            </w:r>
          </w:p>
        </w:tc>
        <w:tc>
          <w:tcPr>
            <w:tcW w:w="2416" w:type="dxa"/>
          </w:tcPr>
          <w:p w14:paraId="46270590" w14:textId="77777777" w:rsidR="009E3903" w:rsidRDefault="009E3903" w:rsidP="00902260">
            <w:pPr>
              <w:pStyle w:val="TAL"/>
            </w:pPr>
            <w:r>
              <w:t>array(VflInferResult)</w:t>
            </w:r>
          </w:p>
        </w:tc>
        <w:tc>
          <w:tcPr>
            <w:tcW w:w="284" w:type="dxa"/>
          </w:tcPr>
          <w:p w14:paraId="620D448B" w14:textId="77777777" w:rsidR="009E3903" w:rsidRDefault="009E3903" w:rsidP="00902260">
            <w:pPr>
              <w:pStyle w:val="TAL"/>
            </w:pPr>
            <w:r>
              <w:t>M</w:t>
            </w:r>
          </w:p>
        </w:tc>
        <w:tc>
          <w:tcPr>
            <w:tcW w:w="1134" w:type="dxa"/>
          </w:tcPr>
          <w:p w14:paraId="320B8388" w14:textId="77777777" w:rsidR="009E3903" w:rsidRDefault="009E3903" w:rsidP="00902260">
            <w:pPr>
              <w:pStyle w:val="TAL"/>
            </w:pPr>
            <w:r>
              <w:t>1..N</w:t>
            </w:r>
          </w:p>
        </w:tc>
        <w:tc>
          <w:tcPr>
            <w:tcW w:w="2683" w:type="dxa"/>
          </w:tcPr>
          <w:p w14:paraId="7EC1B59F" w14:textId="77777777" w:rsidR="009E3903" w:rsidRDefault="009E3903" w:rsidP="00902260">
            <w:pPr>
              <w:pStyle w:val="TAL"/>
            </w:pPr>
            <w:r>
              <w:t>Represents intermediate inference results.</w:t>
            </w:r>
          </w:p>
        </w:tc>
        <w:tc>
          <w:tcPr>
            <w:tcW w:w="1276" w:type="dxa"/>
          </w:tcPr>
          <w:p w14:paraId="68617DF5" w14:textId="77777777" w:rsidR="009E3903" w:rsidRDefault="009E3903" w:rsidP="00902260">
            <w:pPr>
              <w:pStyle w:val="TAL"/>
              <w:rPr>
                <w:rFonts w:cs="Arial"/>
                <w:szCs w:val="18"/>
              </w:rPr>
            </w:pPr>
          </w:p>
        </w:tc>
      </w:tr>
    </w:tbl>
    <w:p w14:paraId="0E44E161" w14:textId="77777777" w:rsidR="009E3903" w:rsidRDefault="009E3903" w:rsidP="009E3903"/>
    <w:p w14:paraId="0386EE54" w14:textId="77777777" w:rsidR="009E3903" w:rsidRPr="000E57B7" w:rsidRDefault="009E3903" w:rsidP="009E3903">
      <w:pPr>
        <w:pStyle w:val="5"/>
        <w:rPr>
          <w:lang w:val="en-US"/>
        </w:rPr>
      </w:pPr>
      <w:bookmarkStart w:id="17044" w:name="_Toc199453499"/>
      <w:r>
        <w:t>5.10.6.2.6</w:t>
      </w:r>
      <w:r>
        <w:tab/>
        <w:t>Type VflInferReq</w:t>
      </w:r>
      <w:bookmarkEnd w:id="17044"/>
    </w:p>
    <w:p w14:paraId="6A71C6CF"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5.10.6.2.6-1: Definition of type </w:t>
      </w:r>
      <w:r>
        <w:t>VflInferReq</w:t>
      </w:r>
    </w:p>
    <w:tbl>
      <w:tblPr>
        <w:tblW w:w="48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9"/>
        <w:gridCol w:w="2268"/>
        <w:gridCol w:w="426"/>
        <w:gridCol w:w="1134"/>
        <w:gridCol w:w="2324"/>
        <w:gridCol w:w="1635"/>
      </w:tblGrid>
      <w:tr w:rsidR="009E3903" w14:paraId="0B19A71E" w14:textId="77777777" w:rsidTr="00902260">
        <w:trPr>
          <w:trHeight w:val="209"/>
          <w:jc w:val="center"/>
        </w:trPr>
        <w:tc>
          <w:tcPr>
            <w:tcW w:w="1549" w:type="dxa"/>
            <w:tcBorders>
              <w:top w:val="single" w:sz="6" w:space="0" w:color="auto"/>
              <w:left w:val="single" w:sz="6" w:space="0" w:color="auto"/>
              <w:bottom w:val="single" w:sz="6" w:space="0" w:color="auto"/>
              <w:right w:val="single" w:sz="6" w:space="0" w:color="auto"/>
            </w:tcBorders>
            <w:shd w:val="clear" w:color="auto" w:fill="C0C0C0"/>
          </w:tcPr>
          <w:p w14:paraId="29E4D92E" w14:textId="77777777" w:rsidR="009E3903" w:rsidRDefault="009E3903" w:rsidP="00902260">
            <w:pPr>
              <w:pStyle w:val="TAH"/>
            </w:pPr>
            <w:r>
              <w:t>Attribute name</w:t>
            </w:r>
          </w:p>
        </w:tc>
        <w:tc>
          <w:tcPr>
            <w:tcW w:w="2268" w:type="dxa"/>
            <w:tcBorders>
              <w:top w:val="single" w:sz="6" w:space="0" w:color="auto"/>
              <w:left w:val="single" w:sz="6" w:space="0" w:color="auto"/>
              <w:bottom w:val="single" w:sz="6" w:space="0" w:color="auto"/>
              <w:right w:val="single" w:sz="6" w:space="0" w:color="auto"/>
            </w:tcBorders>
            <w:shd w:val="clear" w:color="auto" w:fill="C0C0C0"/>
          </w:tcPr>
          <w:p w14:paraId="4B6C755A" w14:textId="77777777" w:rsidR="009E3903" w:rsidRDefault="009E3903" w:rsidP="00902260">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tcPr>
          <w:p w14:paraId="1ADEEE04" w14:textId="77777777" w:rsidR="009E3903" w:rsidRDefault="009E3903" w:rsidP="009022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tcPr>
          <w:p w14:paraId="755DCDA4" w14:textId="77777777" w:rsidR="009E3903" w:rsidRDefault="009E3903" w:rsidP="00902260">
            <w:pPr>
              <w:pStyle w:val="TAH"/>
            </w:pPr>
            <w:r>
              <w:t>Cardinality</w:t>
            </w:r>
          </w:p>
        </w:tc>
        <w:tc>
          <w:tcPr>
            <w:tcW w:w="2324" w:type="dxa"/>
            <w:tcBorders>
              <w:top w:val="single" w:sz="6" w:space="0" w:color="auto"/>
              <w:left w:val="single" w:sz="6" w:space="0" w:color="auto"/>
              <w:bottom w:val="single" w:sz="6" w:space="0" w:color="auto"/>
              <w:right w:val="single" w:sz="6" w:space="0" w:color="auto"/>
            </w:tcBorders>
            <w:shd w:val="clear" w:color="auto" w:fill="C0C0C0"/>
          </w:tcPr>
          <w:p w14:paraId="2AA703A4" w14:textId="77777777" w:rsidR="009E3903" w:rsidRDefault="009E3903" w:rsidP="00902260">
            <w:pPr>
              <w:pStyle w:val="TAH"/>
              <w:rPr>
                <w:rFonts w:cs="Arial"/>
                <w:szCs w:val="18"/>
              </w:rPr>
            </w:pPr>
            <w:r>
              <w:rPr>
                <w:rFonts w:cs="Arial"/>
                <w:szCs w:val="18"/>
              </w:rPr>
              <w:t>Description</w:t>
            </w:r>
          </w:p>
        </w:tc>
        <w:tc>
          <w:tcPr>
            <w:tcW w:w="1635" w:type="dxa"/>
            <w:tcBorders>
              <w:top w:val="single" w:sz="6" w:space="0" w:color="auto"/>
              <w:left w:val="single" w:sz="6" w:space="0" w:color="auto"/>
              <w:bottom w:val="single" w:sz="6" w:space="0" w:color="auto"/>
              <w:right w:val="single" w:sz="6" w:space="0" w:color="auto"/>
            </w:tcBorders>
            <w:shd w:val="clear" w:color="auto" w:fill="C0C0C0"/>
          </w:tcPr>
          <w:p w14:paraId="6443762E" w14:textId="77777777" w:rsidR="009E3903" w:rsidRDefault="009E3903" w:rsidP="00902260">
            <w:pPr>
              <w:pStyle w:val="TAH"/>
              <w:rPr>
                <w:rFonts w:cs="Arial"/>
                <w:szCs w:val="18"/>
              </w:rPr>
            </w:pPr>
            <w:r>
              <w:rPr>
                <w:rFonts w:cs="Arial"/>
                <w:szCs w:val="18"/>
              </w:rPr>
              <w:t>Applicability</w:t>
            </w:r>
          </w:p>
        </w:tc>
      </w:tr>
      <w:tr w:rsidR="009E3903" w14:paraId="6ABD74DE" w14:textId="77777777" w:rsidTr="00902260">
        <w:trPr>
          <w:jc w:val="center"/>
        </w:trPr>
        <w:tc>
          <w:tcPr>
            <w:tcW w:w="1549" w:type="dxa"/>
            <w:tcBorders>
              <w:top w:val="single" w:sz="6" w:space="0" w:color="auto"/>
              <w:left w:val="single" w:sz="6" w:space="0" w:color="auto"/>
              <w:bottom w:val="single" w:sz="6" w:space="0" w:color="auto"/>
              <w:right w:val="single" w:sz="6" w:space="0" w:color="auto"/>
            </w:tcBorders>
          </w:tcPr>
          <w:p w14:paraId="722CECA8" w14:textId="77777777" w:rsidR="009E3903" w:rsidRDefault="009E3903" w:rsidP="00902260">
            <w:pPr>
              <w:pStyle w:val="TAL"/>
              <w:rPr>
                <w:szCs w:val="18"/>
              </w:rPr>
            </w:pPr>
            <w:r>
              <w:rPr>
                <w:szCs w:val="18"/>
              </w:rPr>
              <w:t>timeWindows</w:t>
            </w:r>
          </w:p>
        </w:tc>
        <w:tc>
          <w:tcPr>
            <w:tcW w:w="2268" w:type="dxa"/>
            <w:tcBorders>
              <w:top w:val="single" w:sz="6" w:space="0" w:color="auto"/>
              <w:left w:val="single" w:sz="6" w:space="0" w:color="auto"/>
              <w:bottom w:val="single" w:sz="6" w:space="0" w:color="auto"/>
              <w:right w:val="single" w:sz="6" w:space="0" w:color="auto"/>
            </w:tcBorders>
          </w:tcPr>
          <w:p w14:paraId="407FE32A" w14:textId="77777777" w:rsidR="009E3903" w:rsidRDefault="009E3903" w:rsidP="00902260">
            <w:pPr>
              <w:pStyle w:val="TAL"/>
              <w:rPr>
                <w:szCs w:val="18"/>
              </w:rPr>
            </w:pPr>
            <w:r>
              <w:rPr>
                <w:rFonts w:eastAsia="等线"/>
                <w:szCs w:val="18"/>
                <w:lang w:eastAsia="zh-CN"/>
              </w:rPr>
              <w:t>array(TimeWindow)</w:t>
            </w:r>
          </w:p>
        </w:tc>
        <w:tc>
          <w:tcPr>
            <w:tcW w:w="426" w:type="dxa"/>
            <w:tcBorders>
              <w:top w:val="single" w:sz="6" w:space="0" w:color="auto"/>
              <w:left w:val="single" w:sz="6" w:space="0" w:color="auto"/>
              <w:bottom w:val="single" w:sz="6" w:space="0" w:color="auto"/>
              <w:right w:val="single" w:sz="6" w:space="0" w:color="auto"/>
            </w:tcBorders>
          </w:tcPr>
          <w:p w14:paraId="053A9F19" w14:textId="77777777" w:rsidR="009E3903" w:rsidRDefault="009E3903" w:rsidP="00902260">
            <w:pPr>
              <w:pStyle w:val="TAL"/>
              <w:rPr>
                <w:szCs w:val="18"/>
              </w:rPr>
            </w:pPr>
            <w:r>
              <w:rPr>
                <w:szCs w:val="18"/>
              </w:rPr>
              <w:t>O</w:t>
            </w:r>
          </w:p>
        </w:tc>
        <w:tc>
          <w:tcPr>
            <w:tcW w:w="1134" w:type="dxa"/>
            <w:tcBorders>
              <w:top w:val="single" w:sz="6" w:space="0" w:color="auto"/>
              <w:left w:val="single" w:sz="6" w:space="0" w:color="auto"/>
              <w:bottom w:val="single" w:sz="6" w:space="0" w:color="auto"/>
              <w:right w:val="single" w:sz="6" w:space="0" w:color="auto"/>
            </w:tcBorders>
          </w:tcPr>
          <w:p w14:paraId="34F63795" w14:textId="77777777" w:rsidR="009E3903" w:rsidRDefault="009E3903" w:rsidP="00902260">
            <w:pPr>
              <w:pStyle w:val="TAL"/>
              <w:rPr>
                <w:szCs w:val="18"/>
              </w:rPr>
            </w:pPr>
            <w:r>
              <w:rPr>
                <w:rFonts w:eastAsia="Yu Mincho"/>
                <w:szCs w:val="18"/>
                <w:lang w:eastAsia="ja-JP"/>
              </w:rPr>
              <w:t>1..N</w:t>
            </w:r>
          </w:p>
        </w:tc>
        <w:tc>
          <w:tcPr>
            <w:tcW w:w="2324" w:type="dxa"/>
            <w:tcBorders>
              <w:top w:val="single" w:sz="6" w:space="0" w:color="auto"/>
              <w:left w:val="single" w:sz="6" w:space="0" w:color="auto"/>
              <w:bottom w:val="single" w:sz="6" w:space="0" w:color="auto"/>
              <w:right w:val="single" w:sz="6" w:space="0" w:color="auto"/>
            </w:tcBorders>
          </w:tcPr>
          <w:p w14:paraId="64BF1D21" w14:textId="77777777" w:rsidR="009E3903" w:rsidRDefault="009E3903" w:rsidP="00902260">
            <w:pPr>
              <w:pStyle w:val="TAL"/>
              <w:rPr>
                <w:szCs w:val="18"/>
              </w:rPr>
            </w:pPr>
            <w:r>
              <w:rPr>
                <w:szCs w:val="18"/>
              </w:rPr>
              <w:t>The time periods for inference</w:t>
            </w:r>
            <w:r>
              <w:rPr>
                <w:szCs w:val="18"/>
                <w:lang w:eastAsia="zh-CN"/>
              </w:rPr>
              <w:t>.</w:t>
            </w:r>
          </w:p>
        </w:tc>
        <w:tc>
          <w:tcPr>
            <w:tcW w:w="1635" w:type="dxa"/>
            <w:tcBorders>
              <w:top w:val="single" w:sz="6" w:space="0" w:color="auto"/>
              <w:left w:val="single" w:sz="6" w:space="0" w:color="auto"/>
              <w:bottom w:val="single" w:sz="6" w:space="0" w:color="auto"/>
              <w:right w:val="single" w:sz="6" w:space="0" w:color="auto"/>
            </w:tcBorders>
          </w:tcPr>
          <w:p w14:paraId="12CD5834" w14:textId="77777777" w:rsidR="009E3903" w:rsidRDefault="009E3903" w:rsidP="00902260">
            <w:pPr>
              <w:pStyle w:val="TAL"/>
              <w:rPr>
                <w:rFonts w:cs="Arial"/>
                <w:szCs w:val="18"/>
              </w:rPr>
            </w:pPr>
          </w:p>
        </w:tc>
      </w:tr>
      <w:tr w:rsidR="009E3903" w14:paraId="2D0909FF" w14:textId="77777777" w:rsidTr="00902260">
        <w:trPr>
          <w:jc w:val="center"/>
        </w:trPr>
        <w:tc>
          <w:tcPr>
            <w:tcW w:w="1549" w:type="dxa"/>
            <w:tcBorders>
              <w:top w:val="single" w:sz="6" w:space="0" w:color="auto"/>
              <w:left w:val="single" w:sz="6" w:space="0" w:color="auto"/>
              <w:right w:val="single" w:sz="6" w:space="0" w:color="auto"/>
            </w:tcBorders>
          </w:tcPr>
          <w:p w14:paraId="01394869" w14:textId="77777777" w:rsidR="009E3903" w:rsidRDefault="009E3903" w:rsidP="00902260">
            <w:pPr>
              <w:pStyle w:val="TAL"/>
              <w:rPr>
                <w:szCs w:val="18"/>
              </w:rPr>
            </w:pPr>
            <w:r>
              <w:rPr>
                <w:szCs w:val="18"/>
              </w:rPr>
              <w:t>resTime</w:t>
            </w:r>
          </w:p>
        </w:tc>
        <w:tc>
          <w:tcPr>
            <w:tcW w:w="2268" w:type="dxa"/>
            <w:tcBorders>
              <w:top w:val="single" w:sz="6" w:space="0" w:color="auto"/>
              <w:left w:val="single" w:sz="6" w:space="0" w:color="auto"/>
              <w:right w:val="single" w:sz="6" w:space="0" w:color="auto"/>
            </w:tcBorders>
          </w:tcPr>
          <w:p w14:paraId="0D9B9CDE" w14:textId="77777777" w:rsidR="009E3903" w:rsidRDefault="009E3903" w:rsidP="00902260">
            <w:pPr>
              <w:pStyle w:val="TAL"/>
              <w:rPr>
                <w:rFonts w:eastAsia="等线"/>
                <w:szCs w:val="18"/>
                <w:lang w:eastAsia="zh-CN"/>
              </w:rPr>
            </w:pPr>
            <w:r>
              <w:rPr>
                <w:rFonts w:eastAsia="等线"/>
                <w:szCs w:val="18"/>
                <w:lang w:eastAsia="zh-CN"/>
              </w:rPr>
              <w:t>DateTime</w:t>
            </w:r>
          </w:p>
        </w:tc>
        <w:tc>
          <w:tcPr>
            <w:tcW w:w="426" w:type="dxa"/>
            <w:tcBorders>
              <w:top w:val="single" w:sz="6" w:space="0" w:color="auto"/>
              <w:left w:val="single" w:sz="6" w:space="0" w:color="auto"/>
              <w:right w:val="single" w:sz="6" w:space="0" w:color="auto"/>
            </w:tcBorders>
          </w:tcPr>
          <w:p w14:paraId="25DDB762" w14:textId="77777777" w:rsidR="009E3903" w:rsidRDefault="009E3903" w:rsidP="00902260">
            <w:pPr>
              <w:pStyle w:val="TAL"/>
              <w:rPr>
                <w:szCs w:val="18"/>
              </w:rPr>
            </w:pPr>
            <w:r>
              <w:rPr>
                <w:szCs w:val="18"/>
              </w:rPr>
              <w:t>O</w:t>
            </w:r>
          </w:p>
        </w:tc>
        <w:tc>
          <w:tcPr>
            <w:tcW w:w="1134" w:type="dxa"/>
            <w:tcBorders>
              <w:top w:val="single" w:sz="6" w:space="0" w:color="auto"/>
              <w:left w:val="single" w:sz="6" w:space="0" w:color="auto"/>
              <w:right w:val="single" w:sz="6" w:space="0" w:color="auto"/>
            </w:tcBorders>
          </w:tcPr>
          <w:p w14:paraId="45D0FB90" w14:textId="77777777" w:rsidR="009E3903" w:rsidRDefault="009E3903" w:rsidP="00902260">
            <w:pPr>
              <w:pStyle w:val="TAL"/>
              <w:rPr>
                <w:rFonts w:eastAsia="Yu Mincho"/>
                <w:szCs w:val="18"/>
                <w:lang w:eastAsia="ja-JP"/>
              </w:rPr>
            </w:pPr>
            <w:r>
              <w:rPr>
                <w:rFonts w:eastAsia="Yu Mincho"/>
                <w:szCs w:val="18"/>
                <w:lang w:eastAsia="ja-JP"/>
              </w:rPr>
              <w:t>0..1</w:t>
            </w:r>
          </w:p>
        </w:tc>
        <w:tc>
          <w:tcPr>
            <w:tcW w:w="2324" w:type="dxa"/>
            <w:tcBorders>
              <w:top w:val="single" w:sz="6" w:space="0" w:color="auto"/>
              <w:left w:val="single" w:sz="6" w:space="0" w:color="auto"/>
              <w:right w:val="single" w:sz="6" w:space="0" w:color="auto"/>
            </w:tcBorders>
          </w:tcPr>
          <w:p w14:paraId="7D4F940B" w14:textId="77777777" w:rsidR="009E3903" w:rsidRDefault="009E3903" w:rsidP="00902260">
            <w:pPr>
              <w:pStyle w:val="TAL"/>
              <w:rPr>
                <w:szCs w:val="18"/>
              </w:rPr>
            </w:pPr>
            <w:r w:rsidRPr="000A25ED">
              <w:rPr>
                <w:szCs w:val="18"/>
              </w:rPr>
              <w:t xml:space="preserve">Time when </w:t>
            </w:r>
            <w:r>
              <w:rPr>
                <w:szCs w:val="18"/>
              </w:rPr>
              <w:t xml:space="preserve">the </w:t>
            </w:r>
            <w:r w:rsidRPr="000A25ED">
              <w:rPr>
                <w:szCs w:val="18"/>
              </w:rPr>
              <w:t>intermediate local result is needed</w:t>
            </w:r>
            <w:r>
              <w:rPr>
                <w:szCs w:val="18"/>
              </w:rPr>
              <w:t>.</w:t>
            </w:r>
          </w:p>
        </w:tc>
        <w:tc>
          <w:tcPr>
            <w:tcW w:w="1635" w:type="dxa"/>
            <w:tcBorders>
              <w:top w:val="single" w:sz="6" w:space="0" w:color="auto"/>
              <w:left w:val="single" w:sz="6" w:space="0" w:color="auto"/>
              <w:right w:val="single" w:sz="6" w:space="0" w:color="auto"/>
            </w:tcBorders>
          </w:tcPr>
          <w:p w14:paraId="70EF7283" w14:textId="77777777" w:rsidR="009E3903" w:rsidRDefault="009E3903" w:rsidP="00902260">
            <w:pPr>
              <w:pStyle w:val="TAL"/>
              <w:rPr>
                <w:rFonts w:cs="Arial"/>
                <w:szCs w:val="18"/>
              </w:rPr>
            </w:pPr>
          </w:p>
        </w:tc>
      </w:tr>
    </w:tbl>
    <w:p w14:paraId="4ED13F99" w14:textId="77777777" w:rsidR="009E3903" w:rsidRPr="00FC393A" w:rsidRDefault="009E3903" w:rsidP="009E3903"/>
    <w:p w14:paraId="4C81A0C1" w14:textId="77777777" w:rsidR="009E3903" w:rsidRDefault="009E3903" w:rsidP="009E3903">
      <w:pPr>
        <w:pStyle w:val="5"/>
      </w:pPr>
      <w:bookmarkStart w:id="17045" w:name="_Toc199453500"/>
      <w:r>
        <w:lastRenderedPageBreak/>
        <w:t>5.10.6.2.7</w:t>
      </w:r>
      <w:r>
        <w:tab/>
        <w:t>Type VflInferResult</w:t>
      </w:r>
      <w:bookmarkEnd w:id="17045"/>
    </w:p>
    <w:p w14:paraId="2400F397"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 xml:space="preserve">Table 5.10.6.2.7-1: Definition of type </w:t>
      </w:r>
      <w:r>
        <w:t>VflInferResult</w:t>
      </w:r>
    </w:p>
    <w:tbl>
      <w:tblPr>
        <w:tblW w:w="48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9"/>
        <w:gridCol w:w="2265"/>
        <w:gridCol w:w="381"/>
        <w:gridCol w:w="1194"/>
        <w:gridCol w:w="2409"/>
        <w:gridCol w:w="1508"/>
        <w:tblGridChange w:id="17046">
          <w:tblGrid>
            <w:gridCol w:w="1579"/>
            <w:gridCol w:w="2265"/>
            <w:gridCol w:w="381"/>
            <w:gridCol w:w="1194"/>
            <w:gridCol w:w="2409"/>
            <w:gridCol w:w="1508"/>
          </w:tblGrid>
        </w:tblGridChange>
      </w:tblGrid>
      <w:tr w:rsidR="009E3903" w14:paraId="06B6E6D6" w14:textId="77777777" w:rsidTr="00902260">
        <w:trPr>
          <w:trHeight w:val="189"/>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tcPr>
          <w:p w14:paraId="538DBBC6" w14:textId="77777777" w:rsidR="009E3903" w:rsidRDefault="009E3903" w:rsidP="00902260">
            <w:pPr>
              <w:pStyle w:val="TAH"/>
            </w:pPr>
            <w:r>
              <w:t>Attribute name</w:t>
            </w:r>
          </w:p>
        </w:tc>
        <w:tc>
          <w:tcPr>
            <w:tcW w:w="2265" w:type="dxa"/>
            <w:tcBorders>
              <w:top w:val="single" w:sz="6" w:space="0" w:color="auto"/>
              <w:left w:val="single" w:sz="6" w:space="0" w:color="auto"/>
              <w:bottom w:val="single" w:sz="6" w:space="0" w:color="auto"/>
              <w:right w:val="single" w:sz="6" w:space="0" w:color="auto"/>
            </w:tcBorders>
            <w:shd w:val="clear" w:color="auto" w:fill="C0C0C0"/>
          </w:tcPr>
          <w:p w14:paraId="7F69858D" w14:textId="77777777" w:rsidR="009E3903" w:rsidRDefault="009E3903" w:rsidP="00902260">
            <w:pPr>
              <w:pStyle w:val="TAH"/>
            </w:pPr>
            <w:r>
              <w:t>Data type</w:t>
            </w:r>
          </w:p>
        </w:tc>
        <w:tc>
          <w:tcPr>
            <w:tcW w:w="381" w:type="dxa"/>
            <w:tcBorders>
              <w:top w:val="single" w:sz="6" w:space="0" w:color="auto"/>
              <w:left w:val="single" w:sz="6" w:space="0" w:color="auto"/>
              <w:bottom w:val="single" w:sz="6" w:space="0" w:color="auto"/>
              <w:right w:val="single" w:sz="6" w:space="0" w:color="auto"/>
            </w:tcBorders>
            <w:shd w:val="clear" w:color="auto" w:fill="C0C0C0"/>
          </w:tcPr>
          <w:p w14:paraId="0E355E46" w14:textId="77777777" w:rsidR="009E3903" w:rsidRDefault="009E3903" w:rsidP="00902260">
            <w:pPr>
              <w:pStyle w:val="TAH"/>
            </w:pPr>
            <w:r>
              <w:t>P</w:t>
            </w:r>
          </w:p>
        </w:tc>
        <w:tc>
          <w:tcPr>
            <w:tcW w:w="1194" w:type="dxa"/>
            <w:tcBorders>
              <w:top w:val="single" w:sz="6" w:space="0" w:color="auto"/>
              <w:left w:val="single" w:sz="6" w:space="0" w:color="auto"/>
              <w:bottom w:val="single" w:sz="6" w:space="0" w:color="auto"/>
              <w:right w:val="single" w:sz="6" w:space="0" w:color="auto"/>
            </w:tcBorders>
            <w:shd w:val="clear" w:color="auto" w:fill="C0C0C0"/>
          </w:tcPr>
          <w:p w14:paraId="306E5436" w14:textId="77777777" w:rsidR="009E3903" w:rsidRDefault="009E3903" w:rsidP="00902260">
            <w:pPr>
              <w:pStyle w:val="TAH"/>
            </w:pPr>
            <w:r>
              <w:t>Cardinality</w:t>
            </w:r>
          </w:p>
        </w:tc>
        <w:tc>
          <w:tcPr>
            <w:tcW w:w="2409" w:type="dxa"/>
            <w:tcBorders>
              <w:top w:val="single" w:sz="6" w:space="0" w:color="auto"/>
              <w:left w:val="single" w:sz="6" w:space="0" w:color="auto"/>
              <w:bottom w:val="single" w:sz="6" w:space="0" w:color="auto"/>
              <w:right w:val="single" w:sz="6" w:space="0" w:color="auto"/>
            </w:tcBorders>
            <w:shd w:val="clear" w:color="auto" w:fill="C0C0C0"/>
          </w:tcPr>
          <w:p w14:paraId="13A1589D" w14:textId="77777777" w:rsidR="009E3903" w:rsidRDefault="009E3903" w:rsidP="00902260">
            <w:pPr>
              <w:pStyle w:val="TAH"/>
              <w:rPr>
                <w:rFonts w:cs="Arial"/>
                <w:szCs w:val="18"/>
              </w:rPr>
            </w:pPr>
            <w:r>
              <w:rPr>
                <w:rFonts w:cs="Arial"/>
                <w:szCs w:val="18"/>
              </w:rPr>
              <w:t>Description</w:t>
            </w:r>
          </w:p>
        </w:tc>
        <w:tc>
          <w:tcPr>
            <w:tcW w:w="1508" w:type="dxa"/>
            <w:tcBorders>
              <w:top w:val="single" w:sz="6" w:space="0" w:color="auto"/>
              <w:left w:val="single" w:sz="6" w:space="0" w:color="auto"/>
              <w:bottom w:val="single" w:sz="6" w:space="0" w:color="auto"/>
              <w:right w:val="single" w:sz="6" w:space="0" w:color="auto"/>
            </w:tcBorders>
            <w:shd w:val="clear" w:color="auto" w:fill="C0C0C0"/>
          </w:tcPr>
          <w:p w14:paraId="2FD12CF8" w14:textId="77777777" w:rsidR="009E3903" w:rsidRDefault="009E3903" w:rsidP="00902260">
            <w:pPr>
              <w:pStyle w:val="TAH"/>
              <w:rPr>
                <w:rFonts w:cs="Arial"/>
                <w:szCs w:val="18"/>
              </w:rPr>
            </w:pPr>
            <w:r>
              <w:rPr>
                <w:rFonts w:cs="Arial"/>
                <w:szCs w:val="18"/>
              </w:rPr>
              <w:t>Applicability</w:t>
            </w:r>
          </w:p>
        </w:tc>
      </w:tr>
      <w:tr w:rsidR="009E3903" w14:paraId="06E0155B" w14:textId="77777777" w:rsidTr="00253BF3">
        <w:trPr>
          <w:jc w:val="center"/>
        </w:trPr>
        <w:tc>
          <w:tcPr>
            <w:tcW w:w="1579" w:type="dxa"/>
            <w:tcBorders>
              <w:top w:val="single" w:sz="6" w:space="0" w:color="auto"/>
              <w:left w:val="single" w:sz="6" w:space="0" w:color="auto"/>
              <w:right w:val="single" w:sz="6" w:space="0" w:color="auto"/>
            </w:tcBorders>
          </w:tcPr>
          <w:p w14:paraId="31C250D2" w14:textId="77777777" w:rsidR="009E3903" w:rsidRDefault="009E3903" w:rsidP="00902260">
            <w:pPr>
              <w:pStyle w:val="TAL"/>
              <w:rPr>
                <w:szCs w:val="18"/>
              </w:rPr>
            </w:pPr>
            <w:r>
              <w:rPr>
                <w:szCs w:val="18"/>
              </w:rPr>
              <w:t>vflInferRes</w:t>
            </w:r>
          </w:p>
        </w:tc>
        <w:tc>
          <w:tcPr>
            <w:tcW w:w="2265" w:type="dxa"/>
            <w:tcBorders>
              <w:top w:val="single" w:sz="6" w:space="0" w:color="auto"/>
              <w:left w:val="single" w:sz="6" w:space="0" w:color="auto"/>
              <w:right w:val="single" w:sz="6" w:space="0" w:color="auto"/>
            </w:tcBorders>
          </w:tcPr>
          <w:p w14:paraId="06A36128" w14:textId="77777777" w:rsidR="009E3903" w:rsidRDefault="009E3903" w:rsidP="00902260">
            <w:pPr>
              <w:pStyle w:val="TAL"/>
              <w:rPr>
                <w:szCs w:val="18"/>
              </w:rPr>
            </w:pPr>
            <w:r>
              <w:rPr>
                <w:szCs w:val="18"/>
              </w:rPr>
              <w:t>array(string)</w:t>
            </w:r>
          </w:p>
        </w:tc>
        <w:tc>
          <w:tcPr>
            <w:tcW w:w="381" w:type="dxa"/>
            <w:tcBorders>
              <w:top w:val="single" w:sz="6" w:space="0" w:color="auto"/>
              <w:left w:val="single" w:sz="6" w:space="0" w:color="auto"/>
              <w:right w:val="single" w:sz="6" w:space="0" w:color="auto"/>
            </w:tcBorders>
          </w:tcPr>
          <w:p w14:paraId="44D2FF57" w14:textId="77777777" w:rsidR="009E3903" w:rsidRDefault="009E3903" w:rsidP="00902260">
            <w:pPr>
              <w:pStyle w:val="TAL"/>
              <w:rPr>
                <w:szCs w:val="18"/>
              </w:rPr>
            </w:pPr>
            <w:r>
              <w:rPr>
                <w:szCs w:val="18"/>
              </w:rPr>
              <w:t>M</w:t>
            </w:r>
          </w:p>
        </w:tc>
        <w:tc>
          <w:tcPr>
            <w:tcW w:w="1194" w:type="dxa"/>
            <w:tcBorders>
              <w:top w:val="single" w:sz="6" w:space="0" w:color="auto"/>
              <w:left w:val="single" w:sz="6" w:space="0" w:color="auto"/>
              <w:right w:val="single" w:sz="6" w:space="0" w:color="auto"/>
            </w:tcBorders>
          </w:tcPr>
          <w:p w14:paraId="6D9A9534" w14:textId="77777777" w:rsidR="009E3903" w:rsidRDefault="009E3903" w:rsidP="00902260">
            <w:pPr>
              <w:pStyle w:val="TAL"/>
              <w:rPr>
                <w:szCs w:val="18"/>
              </w:rPr>
            </w:pPr>
            <w:r>
              <w:rPr>
                <w:szCs w:val="18"/>
              </w:rPr>
              <w:t>1..N</w:t>
            </w:r>
          </w:p>
        </w:tc>
        <w:tc>
          <w:tcPr>
            <w:tcW w:w="2409" w:type="dxa"/>
            <w:tcBorders>
              <w:top w:val="single" w:sz="6" w:space="0" w:color="auto"/>
              <w:left w:val="single" w:sz="6" w:space="0" w:color="auto"/>
              <w:right w:val="single" w:sz="6" w:space="0" w:color="auto"/>
            </w:tcBorders>
          </w:tcPr>
          <w:p w14:paraId="5E5ADB9B" w14:textId="77777777" w:rsidR="009E3903" w:rsidRPr="003A7063" w:rsidRDefault="009E3903" w:rsidP="00902260">
            <w:pPr>
              <w:pStyle w:val="TAL"/>
              <w:rPr>
                <w:szCs w:val="18"/>
                <w:lang w:val="en-US"/>
              </w:rPr>
            </w:pPr>
            <w:r>
              <w:rPr>
                <w:szCs w:val="18"/>
                <w:lang w:val="en-US"/>
              </w:rPr>
              <w:t xml:space="preserve">References intermediate VFL inference results. </w:t>
            </w:r>
            <w:r w:rsidRPr="003A7063">
              <w:rPr>
                <w:szCs w:val="18"/>
              </w:rPr>
              <w:t>This is vendor-specific information and is agreed between vendors, if necessary for sharing purposes.</w:t>
            </w:r>
          </w:p>
          <w:p w14:paraId="5EA7C2EA" w14:textId="77777777" w:rsidR="009E3903" w:rsidRPr="003A7063" w:rsidRDefault="009E3903" w:rsidP="00902260">
            <w:pPr>
              <w:pStyle w:val="TAL"/>
              <w:rPr>
                <w:szCs w:val="18"/>
                <w:lang w:val="en-US"/>
              </w:rPr>
            </w:pPr>
            <w:r w:rsidRPr="002F7E2A">
              <w:rPr>
                <w:rFonts w:hint="eastAsia"/>
                <w:szCs w:val="18"/>
              </w:rPr>
              <w:t>The content of this attribute is not standardized in this Release</w:t>
            </w:r>
            <w:r w:rsidRPr="003A7063">
              <w:rPr>
                <w:szCs w:val="18"/>
              </w:rPr>
              <w:t>.</w:t>
            </w:r>
          </w:p>
        </w:tc>
        <w:tc>
          <w:tcPr>
            <w:tcW w:w="1508" w:type="dxa"/>
            <w:tcBorders>
              <w:top w:val="single" w:sz="6" w:space="0" w:color="auto"/>
              <w:left w:val="single" w:sz="6" w:space="0" w:color="auto"/>
              <w:right w:val="single" w:sz="6" w:space="0" w:color="auto"/>
            </w:tcBorders>
          </w:tcPr>
          <w:p w14:paraId="64ED83A4" w14:textId="77777777" w:rsidR="009E3903" w:rsidRDefault="009E3903" w:rsidP="00902260">
            <w:pPr>
              <w:pStyle w:val="TAL"/>
              <w:rPr>
                <w:rFonts w:cs="Arial"/>
                <w:szCs w:val="18"/>
              </w:rPr>
            </w:pPr>
          </w:p>
        </w:tc>
      </w:tr>
    </w:tbl>
    <w:p w14:paraId="5D9FF150" w14:textId="77777777" w:rsidR="009E3903" w:rsidRDefault="009E3903" w:rsidP="009E3903"/>
    <w:p w14:paraId="5BF97F2D" w14:textId="77777777" w:rsidR="009E3903" w:rsidRPr="00253BF3" w:rsidRDefault="009E3903" w:rsidP="00253BF3">
      <w:pPr>
        <w:pStyle w:val="EditorsNote"/>
        <w:rPr>
          <w:lang w:val="en-US"/>
        </w:rPr>
      </w:pPr>
      <w:r>
        <w:t>Editor's note:</w:t>
      </w:r>
      <w:r>
        <w:tab/>
      </w:r>
      <w:r>
        <w:rPr>
          <w:lang w:val="en-US"/>
        </w:rPr>
        <w:t>The neeed of the targer UE information attribute within this data type is FFS.</w:t>
      </w:r>
    </w:p>
    <w:p w14:paraId="0D90B785" w14:textId="77777777" w:rsidR="009E3903" w:rsidRDefault="009E3903" w:rsidP="009E3903">
      <w:pPr>
        <w:pStyle w:val="4"/>
        <w:rPr>
          <w:lang w:val="en-US"/>
        </w:rPr>
      </w:pPr>
      <w:bookmarkStart w:id="17047" w:name="_Toc199453501"/>
      <w:r>
        <w:t>5.10.6.3</w:t>
      </w:r>
      <w:r>
        <w:tab/>
        <w:t>Simple data types and enumerations</w:t>
      </w:r>
      <w:bookmarkEnd w:id="17047"/>
    </w:p>
    <w:p w14:paraId="03DD1873" w14:textId="77777777" w:rsidR="009E3903" w:rsidRDefault="009E3903" w:rsidP="009E3903">
      <w:pPr>
        <w:pStyle w:val="5"/>
      </w:pPr>
      <w:bookmarkStart w:id="17048" w:name="_Toc199453502"/>
      <w:r>
        <w:t>5.10.6.3.1</w:t>
      </w:r>
      <w:r>
        <w:tab/>
        <w:t>Introduction</w:t>
      </w:r>
      <w:bookmarkEnd w:id="17048"/>
    </w:p>
    <w:p w14:paraId="53FFB0EB" w14:textId="77777777" w:rsidR="009E3903" w:rsidRDefault="009E3903" w:rsidP="009E3903">
      <w:r>
        <w:t>This clause defines simple data types and enumerations that can be referenced from data structures defined in the previous clauses.</w:t>
      </w:r>
    </w:p>
    <w:p w14:paraId="1333099B" w14:textId="77777777" w:rsidR="009E3903" w:rsidRDefault="009E3903" w:rsidP="009E3903">
      <w:pPr>
        <w:pStyle w:val="5"/>
      </w:pPr>
      <w:bookmarkStart w:id="17049" w:name="_Toc199453503"/>
      <w:r>
        <w:t>5.10.6.3.2</w:t>
      </w:r>
      <w:r>
        <w:tab/>
        <w:t>Simple data types</w:t>
      </w:r>
      <w:bookmarkEnd w:id="17049"/>
    </w:p>
    <w:p w14:paraId="280437CE" w14:textId="77777777" w:rsidR="009E3903" w:rsidRDefault="009E3903" w:rsidP="009E3903">
      <w:r>
        <w:t>The simple data types defined in table 5.1.6.3.2-1 shall be supported.</w:t>
      </w:r>
    </w:p>
    <w:p w14:paraId="44DDB207" w14:textId="77777777" w:rsidR="009E3903" w:rsidRDefault="009E3903" w:rsidP="009E3903">
      <w:pPr>
        <w:pStyle w:val="TH"/>
        <w:overflowPunct w:val="0"/>
        <w:autoSpaceDE w:val="0"/>
        <w:autoSpaceDN w:val="0"/>
        <w:adjustRightInd w:val="0"/>
        <w:textAlignment w:val="baseline"/>
        <w:rPr>
          <w:rFonts w:eastAsia="MS Mincho"/>
        </w:rPr>
      </w:pPr>
      <w:r>
        <w:rPr>
          <w:rFonts w:eastAsia="MS Mincho"/>
        </w:rPr>
        <w:t>Table 5.10.6.3.2-1: Simple data types</w:t>
      </w:r>
    </w:p>
    <w:tbl>
      <w:tblPr>
        <w:tblW w:w="48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000" w:firstRow="0" w:lastRow="0" w:firstColumn="0" w:lastColumn="0" w:noHBand="0" w:noVBand="0"/>
      </w:tblPr>
      <w:tblGrid>
        <w:gridCol w:w="2069"/>
        <w:gridCol w:w="2444"/>
        <w:gridCol w:w="3495"/>
        <w:gridCol w:w="1328"/>
      </w:tblGrid>
      <w:tr w:rsidR="009E3903" w14:paraId="425A9839" w14:textId="77777777" w:rsidTr="00902260">
        <w:trPr>
          <w:jc w:val="center"/>
        </w:trPr>
        <w:tc>
          <w:tcPr>
            <w:tcW w:w="1108" w:type="pct"/>
            <w:shd w:val="clear" w:color="000000" w:fill="C0C0C0"/>
            <w:tcMar>
              <w:top w:w="0" w:type="dxa"/>
              <w:left w:w="108" w:type="dxa"/>
              <w:bottom w:w="0" w:type="dxa"/>
              <w:right w:w="108" w:type="dxa"/>
            </w:tcMar>
          </w:tcPr>
          <w:p w14:paraId="0803885E" w14:textId="77777777" w:rsidR="009E3903" w:rsidRDefault="009E3903" w:rsidP="00902260">
            <w:pPr>
              <w:pStyle w:val="TAH"/>
            </w:pPr>
            <w:r>
              <w:t>Type Name</w:t>
            </w:r>
          </w:p>
        </w:tc>
        <w:tc>
          <w:tcPr>
            <w:tcW w:w="1309" w:type="pct"/>
            <w:shd w:val="clear" w:color="000000" w:fill="C0C0C0"/>
            <w:tcMar>
              <w:top w:w="0" w:type="dxa"/>
              <w:left w:w="108" w:type="dxa"/>
              <w:bottom w:w="0" w:type="dxa"/>
              <w:right w:w="108" w:type="dxa"/>
            </w:tcMar>
          </w:tcPr>
          <w:p w14:paraId="0A933F1D" w14:textId="77777777" w:rsidR="009E3903" w:rsidRDefault="009E3903" w:rsidP="00902260">
            <w:pPr>
              <w:pStyle w:val="TAH"/>
            </w:pPr>
            <w:r>
              <w:t>Type Definition</w:t>
            </w:r>
          </w:p>
        </w:tc>
        <w:tc>
          <w:tcPr>
            <w:tcW w:w="1872" w:type="pct"/>
            <w:shd w:val="clear" w:color="000000" w:fill="C0C0C0"/>
          </w:tcPr>
          <w:p w14:paraId="4DE90185" w14:textId="77777777" w:rsidR="009E3903" w:rsidRDefault="009E3903" w:rsidP="00902260">
            <w:pPr>
              <w:pStyle w:val="TAH"/>
            </w:pPr>
            <w:r>
              <w:t>Description</w:t>
            </w:r>
          </w:p>
        </w:tc>
        <w:tc>
          <w:tcPr>
            <w:tcW w:w="711" w:type="pct"/>
            <w:shd w:val="clear" w:color="000000" w:fill="C0C0C0"/>
          </w:tcPr>
          <w:p w14:paraId="7EEC17D1" w14:textId="77777777" w:rsidR="009E3903" w:rsidRDefault="009E3903" w:rsidP="00902260">
            <w:pPr>
              <w:pStyle w:val="TAH"/>
            </w:pPr>
            <w:r>
              <w:t>Applicability</w:t>
            </w:r>
          </w:p>
        </w:tc>
      </w:tr>
      <w:tr w:rsidR="009E3903" w14:paraId="086DA4AA" w14:textId="77777777" w:rsidTr="00902260">
        <w:trPr>
          <w:jc w:val="center"/>
        </w:trPr>
        <w:tc>
          <w:tcPr>
            <w:tcW w:w="1108" w:type="pct"/>
            <w:tcMar>
              <w:top w:w="0" w:type="dxa"/>
              <w:left w:w="108" w:type="dxa"/>
              <w:bottom w:w="0" w:type="dxa"/>
              <w:right w:w="108" w:type="dxa"/>
            </w:tcMar>
          </w:tcPr>
          <w:p w14:paraId="288EA0BE" w14:textId="77777777" w:rsidR="009E3903" w:rsidRDefault="009E3903" w:rsidP="00902260">
            <w:pPr>
              <w:pStyle w:val="TAL"/>
            </w:pPr>
          </w:p>
        </w:tc>
        <w:tc>
          <w:tcPr>
            <w:tcW w:w="1309" w:type="pct"/>
            <w:tcMar>
              <w:top w:w="0" w:type="dxa"/>
              <w:left w:w="108" w:type="dxa"/>
              <w:bottom w:w="0" w:type="dxa"/>
              <w:right w:w="108" w:type="dxa"/>
            </w:tcMar>
          </w:tcPr>
          <w:p w14:paraId="02B9714B" w14:textId="77777777" w:rsidR="009E3903" w:rsidRDefault="009E3903" w:rsidP="00902260">
            <w:pPr>
              <w:pStyle w:val="TAL"/>
            </w:pPr>
          </w:p>
        </w:tc>
        <w:tc>
          <w:tcPr>
            <w:tcW w:w="1872" w:type="pct"/>
          </w:tcPr>
          <w:p w14:paraId="1F3BFCAD" w14:textId="77777777" w:rsidR="009E3903" w:rsidRDefault="009E3903" w:rsidP="00902260">
            <w:pPr>
              <w:pStyle w:val="TAL"/>
            </w:pPr>
          </w:p>
        </w:tc>
        <w:tc>
          <w:tcPr>
            <w:tcW w:w="711" w:type="pct"/>
          </w:tcPr>
          <w:p w14:paraId="5B5935B1" w14:textId="77777777" w:rsidR="009E3903" w:rsidRDefault="009E3903" w:rsidP="00902260">
            <w:pPr>
              <w:pStyle w:val="TAL"/>
            </w:pPr>
          </w:p>
        </w:tc>
      </w:tr>
    </w:tbl>
    <w:p w14:paraId="7152CDAB" w14:textId="77777777" w:rsidR="009E3903" w:rsidRDefault="009E3903" w:rsidP="009E3903">
      <w:pPr>
        <w:rPr>
          <w:rFonts w:eastAsia="等线"/>
        </w:rPr>
      </w:pPr>
    </w:p>
    <w:p w14:paraId="49F69325" w14:textId="77777777" w:rsidR="009E3903" w:rsidRDefault="009E3903" w:rsidP="009E3903">
      <w:pPr>
        <w:pStyle w:val="3"/>
        <w:rPr>
          <w:lang w:val="en-US"/>
        </w:rPr>
      </w:pPr>
      <w:bookmarkStart w:id="17050" w:name="_Toc199453504"/>
      <w:r>
        <w:rPr>
          <w:lang w:val="en-US"/>
        </w:rPr>
        <w:t>5.10.7</w:t>
      </w:r>
      <w:r>
        <w:rPr>
          <w:lang w:val="en-US"/>
        </w:rPr>
        <w:tab/>
        <w:t>Error handling</w:t>
      </w:r>
      <w:bookmarkEnd w:id="17050"/>
    </w:p>
    <w:p w14:paraId="1377D5B9" w14:textId="77777777" w:rsidR="009E3903" w:rsidRDefault="009E3903" w:rsidP="009E3903">
      <w:pPr>
        <w:pStyle w:val="4"/>
      </w:pPr>
      <w:bookmarkStart w:id="17051" w:name="_Toc199453505"/>
      <w:r>
        <w:t>5.10.7.1</w:t>
      </w:r>
      <w:r>
        <w:tab/>
        <w:t>General</w:t>
      </w:r>
      <w:bookmarkEnd w:id="17051"/>
    </w:p>
    <w:p w14:paraId="774EE788" w14:textId="77777777" w:rsidR="009E3903" w:rsidRDefault="009E3903" w:rsidP="009E3903">
      <w:pPr>
        <w:rPr>
          <w:rFonts w:eastAsia="Batang"/>
        </w:rPr>
      </w:pPr>
      <w:r>
        <w:rPr>
          <w:rFonts w:eastAsia="Batang"/>
        </w:rPr>
        <w:t>HTTP error handling shall be supported as specified in clause 5.2.4 of 3GPP TS 29.500 [6].</w:t>
      </w:r>
    </w:p>
    <w:p w14:paraId="291537A1" w14:textId="77777777" w:rsidR="009E3903" w:rsidRDefault="009E3903" w:rsidP="009E3903">
      <w:pPr>
        <w:rPr>
          <w:rFonts w:eastAsia="Batang"/>
        </w:rPr>
      </w:pPr>
      <w:r>
        <w:rPr>
          <w:rFonts w:eastAsia="Batang"/>
        </w:rPr>
        <w:t>For the Nnwdaf_</w:t>
      </w:r>
      <w:r>
        <w:rPr>
          <w:lang w:eastAsia="ja-JP"/>
        </w:rPr>
        <w:t>VFLInference</w:t>
      </w:r>
      <w:r>
        <w:rPr>
          <w:rFonts w:eastAsia="Batang"/>
        </w:rPr>
        <w:t xml:space="preserve"> API, HTTP error responses shall be supported as specified in clause 4.8 of 3GPP TS 29.501 [7]. </w:t>
      </w:r>
    </w:p>
    <w:p w14:paraId="2E03F2A2" w14:textId="77777777" w:rsidR="009E3903" w:rsidRDefault="009E3903" w:rsidP="009E3903">
      <w:pPr>
        <w:rPr>
          <w:rFonts w:eastAsia="Batang"/>
        </w:rPr>
      </w:pPr>
      <w:r>
        <w:rPr>
          <w:rFonts w:eastAsia="Batang"/>
        </w:rPr>
        <w:t xml:space="preserve">Protocol errors and application errors specified in table 5.2.7.2-1 of 3GPP TS 29.500 [6] shall be supported for an HTTP method if the corresponding HTTP status codes are specified as mandatory for that HTTP method in table 5.2.7.1-1 of 3GPP TS 29.500 [6]. </w:t>
      </w:r>
    </w:p>
    <w:p w14:paraId="687FEDD7" w14:textId="77777777" w:rsidR="009E3903" w:rsidRDefault="009E3903" w:rsidP="009E3903">
      <w:pPr>
        <w:rPr>
          <w:rFonts w:eastAsia="Batang"/>
        </w:rPr>
      </w:pPr>
      <w:r>
        <w:t>Protocol errors and application errors specified in table 5.2.7.2-1 of 3GPP TS 29.500 [6] for HTTP redirections shall be supported.</w:t>
      </w:r>
    </w:p>
    <w:p w14:paraId="0ED44BC4" w14:textId="77777777" w:rsidR="009E3903" w:rsidRDefault="009E3903" w:rsidP="009E3903">
      <w:pPr>
        <w:rPr>
          <w:rFonts w:eastAsia="Batang"/>
        </w:rPr>
      </w:pPr>
      <w:r>
        <w:rPr>
          <w:rFonts w:eastAsia="Batang"/>
        </w:rPr>
        <w:t>In addition, the requirements in the following clauses shall apply.</w:t>
      </w:r>
    </w:p>
    <w:p w14:paraId="016B5EF2" w14:textId="77777777" w:rsidR="009E3903" w:rsidRDefault="009E3903" w:rsidP="009E3903">
      <w:pPr>
        <w:pStyle w:val="4"/>
      </w:pPr>
      <w:bookmarkStart w:id="17052" w:name="_Toc199453506"/>
      <w:r>
        <w:t>5.10.7.2</w:t>
      </w:r>
      <w:r>
        <w:tab/>
        <w:t>Protocol Errors</w:t>
      </w:r>
      <w:bookmarkEnd w:id="17052"/>
    </w:p>
    <w:p w14:paraId="0F261AFF" w14:textId="77777777" w:rsidR="009E3903" w:rsidRDefault="009E3903" w:rsidP="009E3903">
      <w:pPr>
        <w:rPr>
          <w:rFonts w:eastAsia="Batang"/>
        </w:rPr>
      </w:pPr>
      <w:r>
        <w:rPr>
          <w:rFonts w:eastAsia="Batang"/>
          <w:lang w:eastAsia="zh-CN"/>
        </w:rPr>
        <w:t xml:space="preserve">In this Release </w:t>
      </w:r>
      <w:r>
        <w:rPr>
          <w:rFonts w:eastAsia="Batang"/>
        </w:rPr>
        <w:t>of the specification, there are no additional protocol errors applicable for the Nnwdaf_</w:t>
      </w:r>
      <w:r>
        <w:rPr>
          <w:lang w:eastAsia="ja-JP"/>
        </w:rPr>
        <w:t>VFLInference API</w:t>
      </w:r>
      <w:r>
        <w:rPr>
          <w:rFonts w:eastAsia="Batang"/>
        </w:rPr>
        <w:t>.</w:t>
      </w:r>
    </w:p>
    <w:p w14:paraId="43E65B24" w14:textId="77777777" w:rsidR="009E3903" w:rsidRDefault="009E3903" w:rsidP="009E3903">
      <w:pPr>
        <w:pStyle w:val="4"/>
        <w:rPr>
          <w:rFonts w:eastAsia="Batang"/>
          <w:sz w:val="28"/>
        </w:rPr>
      </w:pPr>
      <w:bookmarkStart w:id="17053" w:name="_Toc199453507"/>
      <w:r>
        <w:lastRenderedPageBreak/>
        <w:t>5.10.7.3</w:t>
      </w:r>
      <w:r>
        <w:tab/>
        <w:t>Application Errors</w:t>
      </w:r>
      <w:bookmarkEnd w:id="17053"/>
    </w:p>
    <w:p w14:paraId="77434363" w14:textId="77777777" w:rsidR="009E3903" w:rsidRDefault="009E3903" w:rsidP="009E3903">
      <w:pPr>
        <w:rPr>
          <w:rFonts w:eastAsia="Batang"/>
        </w:rPr>
      </w:pPr>
      <w:r>
        <w:rPr>
          <w:rFonts w:eastAsia="Batang"/>
        </w:rPr>
        <w:t>The application errors defined for the Nnwdaf_</w:t>
      </w:r>
      <w:r>
        <w:rPr>
          <w:lang w:eastAsia="ja-JP"/>
        </w:rPr>
        <w:t>VFLInference</w:t>
      </w:r>
      <w:r>
        <w:rPr>
          <w:rFonts w:eastAsia="Batang"/>
        </w:rPr>
        <w:t xml:space="preserve"> API are listed in table 5.10.7.3-1. </w:t>
      </w:r>
    </w:p>
    <w:p w14:paraId="6A7D2440" w14:textId="77777777" w:rsidR="009E3903" w:rsidRDefault="009E3903" w:rsidP="009E3903">
      <w:pPr>
        <w:pStyle w:val="TH"/>
      </w:pPr>
      <w:r>
        <w:t>Table 5.10.7.3-1: Application errors</w:t>
      </w:r>
    </w:p>
    <w:tbl>
      <w:tblPr>
        <w:tblW w:w="48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906"/>
        <w:gridCol w:w="1548"/>
        <w:gridCol w:w="2882"/>
      </w:tblGrid>
      <w:tr w:rsidR="009E3903" w14:paraId="1BCE5EE5" w14:textId="77777777" w:rsidTr="00902260">
        <w:trPr>
          <w:cantSplit/>
          <w:jc w:val="center"/>
        </w:trPr>
        <w:tc>
          <w:tcPr>
            <w:tcW w:w="4906" w:type="dxa"/>
            <w:tcBorders>
              <w:top w:val="single" w:sz="6" w:space="0" w:color="auto"/>
              <w:left w:val="single" w:sz="6" w:space="0" w:color="auto"/>
              <w:bottom w:val="single" w:sz="6" w:space="0" w:color="auto"/>
              <w:right w:val="single" w:sz="6" w:space="0" w:color="auto"/>
            </w:tcBorders>
            <w:shd w:val="clear" w:color="auto" w:fill="C0C0C0"/>
          </w:tcPr>
          <w:p w14:paraId="5DE48BAE" w14:textId="77777777" w:rsidR="009E3903" w:rsidRDefault="009E3903" w:rsidP="00902260">
            <w:pPr>
              <w:pStyle w:val="TAH"/>
            </w:pPr>
            <w:r>
              <w:t>Application Error</w:t>
            </w:r>
          </w:p>
        </w:tc>
        <w:tc>
          <w:tcPr>
            <w:tcW w:w="1548" w:type="dxa"/>
            <w:tcBorders>
              <w:top w:val="single" w:sz="6" w:space="0" w:color="auto"/>
              <w:left w:val="single" w:sz="6" w:space="0" w:color="auto"/>
              <w:bottom w:val="single" w:sz="6" w:space="0" w:color="auto"/>
              <w:right w:val="single" w:sz="6" w:space="0" w:color="auto"/>
            </w:tcBorders>
            <w:shd w:val="clear" w:color="auto" w:fill="C0C0C0"/>
          </w:tcPr>
          <w:p w14:paraId="23CF89A6" w14:textId="77777777" w:rsidR="009E3903" w:rsidRDefault="009E3903" w:rsidP="00902260">
            <w:pPr>
              <w:pStyle w:val="TAH"/>
            </w:pPr>
            <w:r>
              <w:t>HTTP status code</w:t>
            </w:r>
          </w:p>
        </w:tc>
        <w:tc>
          <w:tcPr>
            <w:tcW w:w="2882" w:type="dxa"/>
            <w:tcBorders>
              <w:top w:val="single" w:sz="6" w:space="0" w:color="auto"/>
              <w:left w:val="single" w:sz="6" w:space="0" w:color="auto"/>
              <w:bottom w:val="single" w:sz="6" w:space="0" w:color="auto"/>
              <w:right w:val="single" w:sz="6" w:space="0" w:color="auto"/>
            </w:tcBorders>
            <w:shd w:val="clear" w:color="auto" w:fill="C0C0C0"/>
          </w:tcPr>
          <w:p w14:paraId="6BE06D4F" w14:textId="77777777" w:rsidR="009E3903" w:rsidRDefault="009E3903" w:rsidP="00902260">
            <w:pPr>
              <w:pStyle w:val="TAH"/>
            </w:pPr>
            <w:r>
              <w:t>Description</w:t>
            </w:r>
          </w:p>
        </w:tc>
      </w:tr>
      <w:tr w:rsidR="009E3903" w14:paraId="1AA4A287" w14:textId="77777777" w:rsidTr="00902260">
        <w:trPr>
          <w:cantSplit/>
          <w:jc w:val="center"/>
        </w:trPr>
        <w:tc>
          <w:tcPr>
            <w:tcW w:w="4906" w:type="dxa"/>
            <w:tcBorders>
              <w:top w:val="single" w:sz="6" w:space="0" w:color="auto"/>
              <w:left w:val="single" w:sz="6" w:space="0" w:color="auto"/>
              <w:bottom w:val="single" w:sz="6" w:space="0" w:color="auto"/>
              <w:right w:val="single" w:sz="6" w:space="0" w:color="auto"/>
            </w:tcBorders>
          </w:tcPr>
          <w:p w14:paraId="571B3FF2" w14:textId="77777777" w:rsidR="009E3903" w:rsidRDefault="009E3903" w:rsidP="00902260">
            <w:pPr>
              <w:pStyle w:val="TAL"/>
              <w:tabs>
                <w:tab w:val="left" w:pos="1124"/>
              </w:tabs>
              <w:rPr>
                <w:lang w:eastAsia="zh-CN"/>
              </w:rPr>
            </w:pPr>
          </w:p>
        </w:tc>
        <w:tc>
          <w:tcPr>
            <w:tcW w:w="1548" w:type="dxa"/>
            <w:tcBorders>
              <w:top w:val="single" w:sz="6" w:space="0" w:color="auto"/>
              <w:left w:val="single" w:sz="6" w:space="0" w:color="auto"/>
              <w:bottom w:val="single" w:sz="6" w:space="0" w:color="auto"/>
              <w:right w:val="single" w:sz="6" w:space="0" w:color="auto"/>
            </w:tcBorders>
          </w:tcPr>
          <w:p w14:paraId="4B710F10" w14:textId="77777777" w:rsidR="009E3903" w:rsidRDefault="009E3903" w:rsidP="00902260">
            <w:pPr>
              <w:pStyle w:val="TAL"/>
              <w:rPr>
                <w:lang w:eastAsia="zh-CN"/>
              </w:rPr>
            </w:pPr>
          </w:p>
        </w:tc>
        <w:tc>
          <w:tcPr>
            <w:tcW w:w="2882" w:type="dxa"/>
            <w:tcBorders>
              <w:top w:val="single" w:sz="6" w:space="0" w:color="auto"/>
              <w:left w:val="single" w:sz="6" w:space="0" w:color="auto"/>
              <w:bottom w:val="single" w:sz="6" w:space="0" w:color="auto"/>
              <w:right w:val="single" w:sz="6" w:space="0" w:color="auto"/>
            </w:tcBorders>
          </w:tcPr>
          <w:p w14:paraId="4B5BC515" w14:textId="77777777" w:rsidR="009E3903" w:rsidRDefault="009E3903" w:rsidP="00902260">
            <w:pPr>
              <w:pStyle w:val="TAL"/>
              <w:rPr>
                <w:lang w:eastAsia="zh-CN"/>
              </w:rPr>
            </w:pPr>
          </w:p>
        </w:tc>
      </w:tr>
    </w:tbl>
    <w:p w14:paraId="38FBDE19" w14:textId="77777777" w:rsidR="009E3903" w:rsidRDefault="009E3903" w:rsidP="009E3903"/>
    <w:p w14:paraId="318442BE" w14:textId="77777777" w:rsidR="009E3903" w:rsidRDefault="009E3903" w:rsidP="009E3903">
      <w:pPr>
        <w:pStyle w:val="3"/>
        <w:rPr>
          <w:lang w:eastAsia="zh-CN"/>
        </w:rPr>
      </w:pPr>
      <w:bookmarkStart w:id="17054" w:name="_Toc199453508"/>
      <w:r>
        <w:rPr>
          <w:lang w:val="en-US"/>
        </w:rPr>
        <w:t>5.10</w:t>
      </w:r>
      <w:r>
        <w:rPr>
          <w:rFonts w:hint="eastAsia"/>
          <w:lang w:val="en-US"/>
        </w:rPr>
        <w:t>.</w:t>
      </w:r>
      <w:r>
        <w:rPr>
          <w:lang w:val="en-US"/>
        </w:rPr>
        <w:t>8</w:t>
      </w:r>
      <w:r>
        <w:rPr>
          <w:rFonts w:hint="eastAsia"/>
          <w:lang w:val="en-US"/>
        </w:rPr>
        <w:tab/>
      </w:r>
      <w:r>
        <w:rPr>
          <w:lang w:val="en-US"/>
        </w:rPr>
        <w:t>Feature negotiation</w:t>
      </w:r>
      <w:bookmarkEnd w:id="17054"/>
    </w:p>
    <w:p w14:paraId="3A014ED0" w14:textId="77777777" w:rsidR="009E3903" w:rsidRDefault="009E3903" w:rsidP="009E3903">
      <w:pPr>
        <w:rPr>
          <w:rFonts w:eastAsia="Batang"/>
        </w:rPr>
      </w:pPr>
      <w:r>
        <w:rPr>
          <w:rFonts w:eastAsia="Batang"/>
        </w:rPr>
        <w:t xml:space="preserve">The optional features in table 5.10.8-1 are defined for the </w:t>
      </w:r>
      <w:r>
        <w:rPr>
          <w:lang w:eastAsia="ja-JP"/>
        </w:rPr>
        <w:t>Nnwdaf_VFLInference API</w:t>
      </w:r>
      <w:r>
        <w:rPr>
          <w:rFonts w:eastAsia="Batang"/>
          <w:lang w:eastAsia="zh-CN"/>
        </w:rPr>
        <w:t xml:space="preserve">. They shall be negotiated using the </w:t>
      </w:r>
      <w:r>
        <w:rPr>
          <w:rFonts w:eastAsia="Batang"/>
        </w:rPr>
        <w:t>extensibility mechanism defined in clause 6.6 of 3GPP TS 29.500 [6].</w:t>
      </w:r>
    </w:p>
    <w:p w14:paraId="5F394898" w14:textId="77777777" w:rsidR="009E3903" w:rsidRDefault="009E3903" w:rsidP="009E3903">
      <w:pPr>
        <w:pStyle w:val="TH"/>
      </w:pPr>
      <w:r>
        <w:t>Table 5.10.8-1: Supported Features</w:t>
      </w:r>
    </w:p>
    <w:tbl>
      <w:tblPr>
        <w:tblW w:w="4850" w:type="pct"/>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12"/>
        <w:gridCol w:w="2174"/>
        <w:gridCol w:w="5650"/>
      </w:tblGrid>
      <w:tr w:rsidR="009E3903" w14:paraId="3A9B352C" w14:textId="77777777" w:rsidTr="00902260">
        <w:trPr>
          <w:jc w:val="center"/>
        </w:trPr>
        <w:tc>
          <w:tcPr>
            <w:tcW w:w="1529" w:type="dxa"/>
            <w:shd w:val="clear" w:color="auto" w:fill="C0C0C0"/>
          </w:tcPr>
          <w:p w14:paraId="33A2D08D" w14:textId="77777777" w:rsidR="009E3903" w:rsidRDefault="009E3903" w:rsidP="00902260">
            <w:pPr>
              <w:pStyle w:val="TAH"/>
            </w:pPr>
            <w:r>
              <w:t>Feature number</w:t>
            </w:r>
          </w:p>
        </w:tc>
        <w:tc>
          <w:tcPr>
            <w:tcW w:w="2207" w:type="dxa"/>
            <w:shd w:val="clear" w:color="auto" w:fill="C0C0C0"/>
          </w:tcPr>
          <w:p w14:paraId="08278931" w14:textId="77777777" w:rsidR="009E3903" w:rsidRDefault="009E3903" w:rsidP="00902260">
            <w:pPr>
              <w:pStyle w:val="TAH"/>
            </w:pPr>
            <w:r>
              <w:t>Feature Name</w:t>
            </w:r>
          </w:p>
        </w:tc>
        <w:tc>
          <w:tcPr>
            <w:tcW w:w="5758" w:type="dxa"/>
            <w:shd w:val="clear" w:color="auto" w:fill="C0C0C0"/>
          </w:tcPr>
          <w:p w14:paraId="6FC6D9B7" w14:textId="77777777" w:rsidR="009E3903" w:rsidRDefault="009E3903" w:rsidP="00902260">
            <w:pPr>
              <w:pStyle w:val="TAH"/>
            </w:pPr>
            <w:r>
              <w:t>Description</w:t>
            </w:r>
          </w:p>
        </w:tc>
      </w:tr>
      <w:tr w:rsidR="009E3903" w14:paraId="12FB98C4" w14:textId="77777777" w:rsidTr="00902260">
        <w:trPr>
          <w:jc w:val="center"/>
        </w:trPr>
        <w:tc>
          <w:tcPr>
            <w:tcW w:w="1529" w:type="dxa"/>
          </w:tcPr>
          <w:p w14:paraId="6F539DD7" w14:textId="77777777" w:rsidR="009E3903" w:rsidRDefault="009E3903" w:rsidP="00902260">
            <w:pPr>
              <w:pStyle w:val="TAL"/>
            </w:pPr>
          </w:p>
        </w:tc>
        <w:tc>
          <w:tcPr>
            <w:tcW w:w="2207" w:type="dxa"/>
          </w:tcPr>
          <w:p w14:paraId="75DB3E88" w14:textId="77777777" w:rsidR="009E3903" w:rsidRDefault="009E3903" w:rsidP="00902260">
            <w:pPr>
              <w:pStyle w:val="TAL"/>
              <w:rPr>
                <w:rFonts w:cs="Arial"/>
                <w:szCs w:val="18"/>
              </w:rPr>
            </w:pPr>
          </w:p>
        </w:tc>
        <w:tc>
          <w:tcPr>
            <w:tcW w:w="5758" w:type="dxa"/>
          </w:tcPr>
          <w:p w14:paraId="76FAEA4E" w14:textId="77777777" w:rsidR="009E3903" w:rsidRDefault="009E3903" w:rsidP="00902260">
            <w:pPr>
              <w:pStyle w:val="TAL"/>
            </w:pPr>
          </w:p>
        </w:tc>
      </w:tr>
    </w:tbl>
    <w:p w14:paraId="5920565E" w14:textId="77777777" w:rsidR="009E3903" w:rsidRDefault="009E3903" w:rsidP="009E3903">
      <w:pPr>
        <w:rPr>
          <w:lang w:val="en-US"/>
        </w:rPr>
      </w:pPr>
    </w:p>
    <w:p w14:paraId="489E32B5" w14:textId="77777777" w:rsidR="009E3903" w:rsidRDefault="009E3903" w:rsidP="009E3903">
      <w:pPr>
        <w:pStyle w:val="3"/>
        <w:rPr>
          <w:lang w:val="en-US"/>
        </w:rPr>
      </w:pPr>
      <w:bookmarkStart w:id="17055" w:name="_Toc199453509"/>
      <w:r>
        <w:rPr>
          <w:lang w:val="en-US"/>
        </w:rPr>
        <w:t>5.10.9</w:t>
      </w:r>
      <w:r>
        <w:rPr>
          <w:lang w:val="en-US"/>
        </w:rPr>
        <w:tab/>
        <w:t>Security</w:t>
      </w:r>
      <w:bookmarkEnd w:id="17055"/>
    </w:p>
    <w:p w14:paraId="780C2C6E" w14:textId="77777777" w:rsidR="009E3903" w:rsidRDefault="009E3903" w:rsidP="009E3903">
      <w:pPr>
        <w:rPr>
          <w:rFonts w:eastAsia="等线"/>
        </w:rPr>
      </w:pPr>
      <w:r>
        <w:rPr>
          <w:rFonts w:eastAsia="等线"/>
        </w:rPr>
        <w:t xml:space="preserve">As indicated in 3GPP TS 33.501 [13] and 3GPP TS 29.500 [6], the access to the </w:t>
      </w:r>
      <w:r>
        <w:rPr>
          <w:lang w:eastAsia="ja-JP"/>
        </w:rPr>
        <w:t>Nnwdaf_VFLInference API</w:t>
      </w:r>
      <w:r>
        <w:rPr>
          <w:rFonts w:eastAsia="等线"/>
        </w:rPr>
        <w:t xml:space="preserve"> may be authorized by means of the OAuth2 protocol (see IETF RFC 6749 [14]), based on local configuration, using the "Client Credentials" authorization grant, where the NRF (see 3GPP TS 29.510 [12]) plays the role of the authorization server.</w:t>
      </w:r>
    </w:p>
    <w:p w14:paraId="061180A2" w14:textId="77777777" w:rsidR="009E3903" w:rsidRDefault="009E3903" w:rsidP="009E3903">
      <w:pPr>
        <w:rPr>
          <w:rFonts w:eastAsia="等线"/>
        </w:rPr>
      </w:pPr>
      <w:r>
        <w:rPr>
          <w:rFonts w:eastAsia="等线"/>
        </w:rPr>
        <w:t xml:space="preserve">If OAuth2 is used, an NF Service Consumer, prior to consuming services offered by the </w:t>
      </w:r>
      <w:r>
        <w:rPr>
          <w:lang w:eastAsia="ja-JP"/>
        </w:rPr>
        <w:t>Nnwdaf_VFLInference API</w:t>
      </w:r>
      <w:r>
        <w:rPr>
          <w:rFonts w:eastAsia="等线"/>
        </w:rPr>
        <w:t>, shall obtain a "token" from the authorization server, by invoking the Access Token Request service, as described in 3GPP TS 29.510 [12], clause 5.4.2.2.</w:t>
      </w:r>
    </w:p>
    <w:p w14:paraId="68808650" w14:textId="77777777" w:rsidR="009E3903" w:rsidRDefault="009E3903" w:rsidP="009E3903">
      <w:pPr>
        <w:pStyle w:val="NO"/>
      </w:pPr>
      <w:r>
        <w:t>NOTE:</w:t>
      </w:r>
      <w:r>
        <w:tab/>
        <w:t xml:space="preserve">When multiple NRFs are deployed in a network, the NRF used as authorization server is the same NRF that the NF Service Consumer used for discovering the </w:t>
      </w:r>
      <w:r>
        <w:rPr>
          <w:lang w:eastAsia="ja-JP"/>
        </w:rPr>
        <w:t>Nnwdaf_VFLInference service</w:t>
      </w:r>
      <w:r>
        <w:t>.</w:t>
      </w:r>
    </w:p>
    <w:p w14:paraId="25ADA57F" w14:textId="77777777" w:rsidR="009E3903" w:rsidRDefault="009E3903" w:rsidP="009E3903">
      <w:pPr>
        <w:rPr>
          <w:rFonts w:eastAsia="等线"/>
          <w:lang w:val="en-US"/>
        </w:rPr>
      </w:pPr>
      <w:r>
        <w:rPr>
          <w:rFonts w:eastAsia="等线"/>
          <w:lang w:val="en-US"/>
        </w:rPr>
        <w:t xml:space="preserve">The </w:t>
      </w:r>
      <w:r>
        <w:rPr>
          <w:lang w:eastAsia="ja-JP"/>
        </w:rPr>
        <w:t>Nnwdaf_VFLInference</w:t>
      </w:r>
      <w:r>
        <w:rPr>
          <w:rFonts w:eastAsia="等线"/>
          <w:lang w:val="en-US"/>
        </w:rPr>
        <w:t xml:space="preserve"> API defines a single scope "nnwdaf-vflinference" for the entire service, and it does not define any additional scopes at resource or operation level.</w:t>
      </w:r>
    </w:p>
    <w:p w14:paraId="6BB0E569" w14:textId="77777777" w:rsidR="009E3903" w:rsidRPr="009E3903" w:rsidRDefault="009E3903">
      <w:pPr>
        <w:rPr>
          <w:rFonts w:eastAsia="等线"/>
        </w:rPr>
      </w:pPr>
    </w:p>
    <w:p w14:paraId="68518216" w14:textId="77777777" w:rsidR="00A10B25" w:rsidRDefault="00A10B25">
      <w:pPr>
        <w:pStyle w:val="8"/>
        <w:pageBreakBefore/>
        <w:rPr>
          <w:lang w:val="en-US" w:eastAsia="zh-CN"/>
        </w:rPr>
      </w:pPr>
      <w:bookmarkStart w:id="17056" w:name="_Toc88667772"/>
      <w:bookmarkStart w:id="17057" w:name="_Toc113031916"/>
      <w:bookmarkStart w:id="17058" w:name="_Toc83233234"/>
      <w:bookmarkStart w:id="17059" w:name="_Toc112951376"/>
      <w:bookmarkStart w:id="17060" w:name="_Toc34266364"/>
      <w:bookmarkStart w:id="17061" w:name="_Toc85557262"/>
      <w:bookmarkStart w:id="17062" w:name="_Toc104539253"/>
      <w:bookmarkStart w:id="17063" w:name="_Toc68169046"/>
      <w:bookmarkStart w:id="17064" w:name="_Toc94064464"/>
      <w:bookmarkStart w:id="17065" w:name="_Toc148523020"/>
      <w:bookmarkStart w:id="17066" w:name="_Toc43563579"/>
      <w:bookmarkStart w:id="17067" w:name="_Toc90656057"/>
      <w:bookmarkStart w:id="17068" w:name="_Toc50032060"/>
      <w:bookmarkStart w:id="17069" w:name="_Toc56641049"/>
      <w:bookmarkStart w:id="17070" w:name="_Toc28012878"/>
      <w:bookmarkStart w:id="17071" w:name="_Toc101244647"/>
      <w:bookmarkStart w:id="17072" w:name="_Toc98233866"/>
      <w:bookmarkStart w:id="17073" w:name="_Toc136562715"/>
      <w:bookmarkStart w:id="17074" w:name="_Toc70550750"/>
      <w:bookmarkStart w:id="17075" w:name="_Toc45134128"/>
      <w:bookmarkStart w:id="17076" w:name="_Toc59018017"/>
      <w:bookmarkStart w:id="17077" w:name="_Toc66231885"/>
      <w:bookmarkStart w:id="17078" w:name="_Toc114134055"/>
      <w:bookmarkStart w:id="17079" w:name="_Toc51762980"/>
      <w:bookmarkStart w:id="17080" w:name="_Toc138754549"/>
      <w:bookmarkStart w:id="17081" w:name="_Toc145706047"/>
      <w:bookmarkStart w:id="17082" w:name="_Toc36102535"/>
      <w:bookmarkStart w:id="17083" w:name="_Toc120702556"/>
      <w:bookmarkStart w:id="17084" w:name="_Toc85553163"/>
      <w:bookmarkStart w:id="17085" w:name="_Toc164921285"/>
      <w:bookmarkStart w:id="17086" w:name="_Toc170120827"/>
      <w:bookmarkStart w:id="17087" w:name="_Toc175859072"/>
      <w:bookmarkStart w:id="17088" w:name="_Toc175860147"/>
      <w:bookmarkStart w:id="17089" w:name="_Toc180606437"/>
      <w:bookmarkStart w:id="17090" w:name="_Toc185517698"/>
      <w:bookmarkStart w:id="17091" w:name="_Toc191576750"/>
      <w:bookmarkStart w:id="17092" w:name="_Toc191577490"/>
      <w:bookmarkStart w:id="17093" w:name="_Toc192880560"/>
      <w:bookmarkStart w:id="17094" w:name="_Toc195815449"/>
      <w:bookmarkStart w:id="17095" w:name="_Toc199453510"/>
      <w:bookmarkEnd w:id="327"/>
      <w:r>
        <w:lastRenderedPageBreak/>
        <w:t>Annex A (normative):</w:t>
      </w:r>
      <w:r>
        <w:rPr>
          <w:lang w:val="en-US" w:eastAsia="zh-CN"/>
        </w:rPr>
        <w:br/>
        <w:t>OpenAPI specification</w:t>
      </w:r>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p>
    <w:p w14:paraId="19F86C92" w14:textId="77777777" w:rsidR="00A10B25" w:rsidRDefault="00A10B25">
      <w:pPr>
        <w:pStyle w:val="1"/>
      </w:pPr>
      <w:bookmarkStart w:id="17096" w:name="_Toc51762981"/>
      <w:bookmarkStart w:id="17097" w:name="_Toc66231886"/>
      <w:bookmarkStart w:id="17098" w:name="_Toc56641050"/>
      <w:bookmarkStart w:id="17099" w:name="_Toc45134129"/>
      <w:bookmarkStart w:id="17100" w:name="_Toc36102536"/>
      <w:bookmarkStart w:id="17101" w:name="_Toc94064465"/>
      <w:bookmarkStart w:id="17102" w:name="_Toc83233235"/>
      <w:bookmarkStart w:id="17103" w:name="_Toc68169047"/>
      <w:bookmarkStart w:id="17104" w:name="_Toc50032061"/>
      <w:bookmarkStart w:id="17105" w:name="_Toc59018018"/>
      <w:bookmarkStart w:id="17106" w:name="_Toc28012879"/>
      <w:bookmarkStart w:id="17107" w:name="_Toc70550751"/>
      <w:bookmarkStart w:id="17108" w:name="_Toc114134056"/>
      <w:bookmarkStart w:id="17109" w:name="_Toc43563580"/>
      <w:bookmarkStart w:id="17110" w:name="_Toc34266365"/>
      <w:bookmarkStart w:id="17111" w:name="_Toc85557263"/>
      <w:bookmarkStart w:id="17112" w:name="_Toc120702557"/>
      <w:bookmarkStart w:id="17113" w:name="_Toc104539254"/>
      <w:bookmarkStart w:id="17114" w:name="_Toc85553164"/>
      <w:bookmarkStart w:id="17115" w:name="_Toc138754550"/>
      <w:bookmarkStart w:id="17116" w:name="_Toc112951377"/>
      <w:bookmarkStart w:id="17117" w:name="_Toc101244648"/>
      <w:bookmarkStart w:id="17118" w:name="_Toc148523021"/>
      <w:bookmarkStart w:id="17119" w:name="_Toc88667773"/>
      <w:bookmarkStart w:id="17120" w:name="_Toc90656058"/>
      <w:bookmarkStart w:id="17121" w:name="_Toc136562716"/>
      <w:bookmarkStart w:id="17122" w:name="_Toc113031917"/>
      <w:bookmarkStart w:id="17123" w:name="_Toc98233867"/>
      <w:bookmarkStart w:id="17124" w:name="_Toc145706048"/>
      <w:bookmarkStart w:id="17125" w:name="_Toc164921286"/>
      <w:bookmarkStart w:id="17126" w:name="_Toc170120828"/>
      <w:bookmarkStart w:id="17127" w:name="_Toc175859073"/>
      <w:bookmarkStart w:id="17128" w:name="_Toc175860148"/>
      <w:bookmarkStart w:id="17129" w:name="_Toc180606438"/>
      <w:bookmarkStart w:id="17130" w:name="_Toc185517699"/>
      <w:bookmarkStart w:id="17131" w:name="_Toc191576751"/>
      <w:bookmarkStart w:id="17132" w:name="_Toc191577491"/>
      <w:bookmarkStart w:id="17133" w:name="_Toc192880561"/>
      <w:bookmarkStart w:id="17134" w:name="_Toc195815450"/>
      <w:bookmarkStart w:id="17135" w:name="_Toc199453511"/>
      <w:r>
        <w:t>A.1</w:t>
      </w:r>
      <w:r>
        <w:tab/>
        <w:t>General</w:t>
      </w:r>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p>
    <w:p w14:paraId="43311553" w14:textId="03D85B37" w:rsidR="003513BE" w:rsidRDefault="003513BE" w:rsidP="003513BE">
      <w:pPr>
        <w:rPr>
          <w:lang w:val="en-US" w:eastAsia="zh-CN"/>
        </w:rPr>
      </w:pPr>
      <w:r>
        <w:rPr>
          <w:lang w:val="en-US" w:eastAsia="zh-CN"/>
        </w:rPr>
        <w:t>The present Annex contains an OpenAPI [11] specification of HTTP messages and content bodies used by the Nnwdaf_EventsSubscription, the Nnwdaf_AnalyticsInfo, Nnwdaf_DataManagement, Nnwdaf_MLModelProvision,  Nnwdaf_MLModelTraining and Nnwdaf_VFLInference APIs.</w:t>
      </w:r>
    </w:p>
    <w:p w14:paraId="7C455D86" w14:textId="77777777" w:rsidR="00A10B25" w:rsidRDefault="00A10B25">
      <w:pPr>
        <w:rPr>
          <w:rFonts w:eastAsia="等线"/>
        </w:rPr>
      </w:pPr>
      <w:r>
        <w:rPr>
          <w:rFonts w:eastAsia="等线"/>
        </w:rPr>
        <w:t>This Annex shall take precedence when being discrepant to other parts of the specification with respect to the encoding of information elements and methods within the API(s).</w:t>
      </w:r>
    </w:p>
    <w:p w14:paraId="0C21C53C" w14:textId="77777777" w:rsidR="00A10B25" w:rsidRDefault="00A10B25">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0698437A" w14:textId="77777777" w:rsidR="00A10B25" w:rsidRDefault="00A10B25">
      <w:pPr>
        <w:rPr>
          <w:lang w:val="en-US"/>
        </w:rPr>
      </w:pPr>
      <w:r>
        <w:rPr>
          <w:rFonts w:eastAsia="等线"/>
        </w:rPr>
        <w:t xml:space="preserve">Informative copies of the OpenAPI specification files contained in this 3GPP Technical Specification are available on a Git-based repository, that uses the GitLab software version control system </w:t>
      </w:r>
      <w:r>
        <w:rPr>
          <w:rFonts w:eastAsia="等线"/>
          <w:lang w:eastAsia="zh-CN"/>
        </w:rPr>
        <w:t>(see clause 5B of the 3GPP TR 21.900 [16] and clause 5.3.1 of the 3GPP TS 29.501 [7] for further information).</w:t>
      </w:r>
    </w:p>
    <w:p w14:paraId="1A614709" w14:textId="77777777" w:rsidR="007862A2" w:rsidRDefault="007862A2" w:rsidP="007862A2">
      <w:pPr>
        <w:pStyle w:val="1"/>
        <w:rPr>
          <w:lang w:val="en-US" w:eastAsia="zh-CN"/>
        </w:rPr>
      </w:pPr>
      <w:bookmarkStart w:id="17136" w:name="_Toc51762983"/>
      <w:bookmarkStart w:id="17137" w:name="_Toc56641052"/>
      <w:bookmarkStart w:id="17138" w:name="_Toc28012881"/>
      <w:bookmarkStart w:id="17139" w:name="_Toc88667775"/>
      <w:bookmarkStart w:id="17140" w:name="_Toc90656060"/>
      <w:bookmarkStart w:id="17141" w:name="_Toc101244650"/>
      <w:bookmarkStart w:id="17142" w:name="_Toc85557265"/>
      <w:bookmarkStart w:id="17143" w:name="_Toc148523023"/>
      <w:bookmarkStart w:id="17144" w:name="_Toc43563582"/>
      <w:bookmarkStart w:id="17145" w:name="_Toc85553166"/>
      <w:bookmarkStart w:id="17146" w:name="_Toc145706050"/>
      <w:bookmarkStart w:id="17147" w:name="_Toc83233237"/>
      <w:bookmarkStart w:id="17148" w:name="_Toc120702559"/>
      <w:bookmarkStart w:id="17149" w:name="_Toc50032063"/>
      <w:bookmarkStart w:id="17150" w:name="_Toc70550753"/>
      <w:bookmarkStart w:id="17151" w:name="_Toc113031919"/>
      <w:bookmarkStart w:id="17152" w:name="_Toc138754552"/>
      <w:bookmarkStart w:id="17153" w:name="_Toc59018020"/>
      <w:bookmarkStart w:id="17154" w:name="_Toc34266367"/>
      <w:bookmarkStart w:id="17155" w:name="_Toc112951379"/>
      <w:bookmarkStart w:id="17156" w:name="_Toc45134131"/>
      <w:bookmarkStart w:id="17157" w:name="_Toc114134058"/>
      <w:bookmarkStart w:id="17158" w:name="_Toc104539256"/>
      <w:bookmarkStart w:id="17159" w:name="_Toc94064467"/>
      <w:bookmarkStart w:id="17160" w:name="_Toc66231888"/>
      <w:bookmarkStart w:id="17161" w:name="_Toc98233869"/>
      <w:bookmarkStart w:id="17162" w:name="_Toc136562718"/>
      <w:bookmarkStart w:id="17163" w:name="_Toc68169049"/>
      <w:bookmarkStart w:id="17164" w:name="_Toc36102538"/>
      <w:bookmarkStart w:id="17165" w:name="_Hlk56636799"/>
      <w:bookmarkStart w:id="17166" w:name="_Toc164921288"/>
      <w:bookmarkStart w:id="17167" w:name="_Toc170120830"/>
      <w:bookmarkStart w:id="17168" w:name="_Toc34266366"/>
      <w:bookmarkStart w:id="17169" w:name="_Toc59018019"/>
      <w:bookmarkStart w:id="17170" w:name="_Toc114134057"/>
      <w:bookmarkStart w:id="17171" w:name="_Toc112951378"/>
      <w:bookmarkStart w:id="17172" w:name="_Toc98233868"/>
      <w:bookmarkStart w:id="17173" w:name="_Toc83233236"/>
      <w:bookmarkStart w:id="17174" w:name="_Toc120702558"/>
      <w:bookmarkStart w:id="17175" w:name="_Toc51762982"/>
      <w:bookmarkStart w:id="17176" w:name="_Toc66231887"/>
      <w:bookmarkStart w:id="17177" w:name="_Toc70550752"/>
      <w:bookmarkStart w:id="17178" w:name="_Toc28012880"/>
      <w:bookmarkStart w:id="17179" w:name="_Toc56641051"/>
      <w:bookmarkStart w:id="17180" w:name="_Toc43563581"/>
      <w:bookmarkStart w:id="17181" w:name="_Toc113031918"/>
      <w:bookmarkStart w:id="17182" w:name="_Toc36102537"/>
      <w:bookmarkStart w:id="17183" w:name="_Toc45134130"/>
      <w:bookmarkStart w:id="17184" w:name="_Toc94064466"/>
      <w:bookmarkStart w:id="17185" w:name="_Toc85553165"/>
      <w:bookmarkStart w:id="17186" w:name="_Toc85557264"/>
      <w:bookmarkStart w:id="17187" w:name="_Toc68169048"/>
      <w:bookmarkStart w:id="17188" w:name="_Toc90656059"/>
      <w:bookmarkStart w:id="17189" w:name="_Toc138754551"/>
      <w:bookmarkStart w:id="17190" w:name="_Toc145706049"/>
      <w:bookmarkStart w:id="17191" w:name="_Toc148523022"/>
      <w:bookmarkStart w:id="17192" w:name="_Toc104539255"/>
      <w:bookmarkStart w:id="17193" w:name="_Toc101244649"/>
      <w:bookmarkStart w:id="17194" w:name="_Toc88667774"/>
      <w:bookmarkStart w:id="17195" w:name="_Toc136562717"/>
      <w:bookmarkStart w:id="17196" w:name="_Toc50032062"/>
      <w:bookmarkStart w:id="17197" w:name="_Toc164921287"/>
      <w:bookmarkStart w:id="17198" w:name="_Toc170120829"/>
      <w:bookmarkStart w:id="17199" w:name="_Toc153363942"/>
      <w:bookmarkStart w:id="17200" w:name="_Toc175859074"/>
      <w:bookmarkStart w:id="17201" w:name="_Toc175860149"/>
      <w:bookmarkStart w:id="17202" w:name="_Toc180606439"/>
      <w:bookmarkStart w:id="17203" w:name="_Toc185517700"/>
      <w:bookmarkStart w:id="17204" w:name="_Toc191576752"/>
      <w:bookmarkStart w:id="17205" w:name="_Toc191577492"/>
      <w:bookmarkStart w:id="17206" w:name="_Toc192880562"/>
      <w:bookmarkStart w:id="17207" w:name="_Toc195815451"/>
      <w:bookmarkStart w:id="17208" w:name="_Toc199453512"/>
      <w:r>
        <w:t>A.2</w:t>
      </w:r>
      <w:r>
        <w:tab/>
      </w:r>
      <w:r>
        <w:rPr>
          <w:lang w:val="en-US" w:eastAsia="zh-CN"/>
        </w:rPr>
        <w:t>Nnwdaf_EventsSubscription API</w:t>
      </w:r>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200"/>
      <w:bookmarkEnd w:id="17201"/>
      <w:bookmarkEnd w:id="17202"/>
      <w:bookmarkEnd w:id="17203"/>
      <w:bookmarkEnd w:id="17204"/>
      <w:bookmarkEnd w:id="17205"/>
      <w:bookmarkEnd w:id="17206"/>
      <w:bookmarkEnd w:id="17207"/>
      <w:bookmarkEnd w:id="17208"/>
    </w:p>
    <w:p w14:paraId="20EEE216" w14:textId="77777777" w:rsidR="007862A2" w:rsidRDefault="007862A2" w:rsidP="007862A2">
      <w:pPr>
        <w:pStyle w:val="PL"/>
      </w:pPr>
      <w:r>
        <w:t>openapi: 3.0.0</w:t>
      </w:r>
    </w:p>
    <w:p w14:paraId="07643A37" w14:textId="77777777" w:rsidR="007862A2" w:rsidRDefault="007862A2" w:rsidP="007862A2">
      <w:pPr>
        <w:pStyle w:val="PL"/>
      </w:pPr>
    </w:p>
    <w:p w14:paraId="2B1A09C0" w14:textId="77777777" w:rsidR="007862A2" w:rsidRDefault="007862A2" w:rsidP="007862A2">
      <w:pPr>
        <w:pStyle w:val="PL"/>
      </w:pPr>
      <w:r>
        <w:t>info:</w:t>
      </w:r>
    </w:p>
    <w:p w14:paraId="20F4E651" w14:textId="1E300627" w:rsidR="007862A2" w:rsidRDefault="007862A2" w:rsidP="007862A2">
      <w:pPr>
        <w:pStyle w:val="PL"/>
      </w:pPr>
      <w:r>
        <w:t xml:space="preserve">  version: 1.</w:t>
      </w:r>
      <w:r w:rsidR="009B01A5">
        <w:t>4.0-alpha.</w:t>
      </w:r>
      <w:r w:rsidR="00CA1A16">
        <w:t>3</w:t>
      </w:r>
    </w:p>
    <w:p w14:paraId="6E34638D" w14:textId="77777777" w:rsidR="007862A2" w:rsidRDefault="007862A2" w:rsidP="007862A2">
      <w:pPr>
        <w:pStyle w:val="PL"/>
      </w:pPr>
      <w:r>
        <w:t xml:space="preserve">  title: Nnwdaf_EventsSubscription</w:t>
      </w:r>
    </w:p>
    <w:p w14:paraId="6ADC05EA" w14:textId="77777777" w:rsidR="007862A2" w:rsidRDefault="007862A2" w:rsidP="007862A2">
      <w:pPr>
        <w:pStyle w:val="PL"/>
      </w:pPr>
      <w:r>
        <w:t xml:space="preserve">  description: |</w:t>
      </w:r>
    </w:p>
    <w:p w14:paraId="15DBDF37" w14:textId="77777777" w:rsidR="007862A2" w:rsidRDefault="007862A2" w:rsidP="007862A2">
      <w:pPr>
        <w:pStyle w:val="PL"/>
      </w:pPr>
      <w:r>
        <w:t xml:space="preserve">    Nnwdaf_EventsSubscription Service API.  </w:t>
      </w:r>
    </w:p>
    <w:p w14:paraId="2F0F088A" w14:textId="77777777" w:rsidR="007862A2" w:rsidRDefault="007862A2" w:rsidP="007862A2">
      <w:pPr>
        <w:pStyle w:val="PL"/>
      </w:pPr>
      <w:r>
        <w:t xml:space="preserve">    © </w:t>
      </w:r>
      <w:r w:rsidR="0020689F">
        <w:t>2025</w:t>
      </w:r>
      <w:r>
        <w:t xml:space="preserve">, 3GPP Organizational Partners (ARIB, ATIS, CCSA, ETSI, TSDSI, TTA, TTC).  </w:t>
      </w:r>
    </w:p>
    <w:p w14:paraId="6EC75B84" w14:textId="77777777" w:rsidR="007862A2" w:rsidRDefault="007862A2" w:rsidP="007862A2">
      <w:pPr>
        <w:pStyle w:val="PL"/>
      </w:pPr>
      <w:r>
        <w:t xml:space="preserve">    All rights reserved.</w:t>
      </w:r>
    </w:p>
    <w:p w14:paraId="710EB86F" w14:textId="77777777" w:rsidR="007862A2" w:rsidRDefault="007862A2" w:rsidP="007862A2">
      <w:pPr>
        <w:pStyle w:val="PL"/>
      </w:pPr>
    </w:p>
    <w:p w14:paraId="5CC6604D" w14:textId="77777777" w:rsidR="007862A2" w:rsidRDefault="007862A2" w:rsidP="007862A2">
      <w:pPr>
        <w:pStyle w:val="PL"/>
        <w:rPr>
          <w:rFonts w:eastAsia="等线"/>
        </w:rPr>
      </w:pPr>
      <w:r>
        <w:rPr>
          <w:rFonts w:eastAsia="等线"/>
        </w:rPr>
        <w:t>externalDocs:</w:t>
      </w:r>
    </w:p>
    <w:p w14:paraId="41694C0E" w14:textId="3368D059" w:rsidR="007862A2" w:rsidRDefault="007862A2" w:rsidP="007862A2">
      <w:pPr>
        <w:pStyle w:val="PL"/>
        <w:rPr>
          <w:rFonts w:eastAsia="等线"/>
        </w:rPr>
      </w:pPr>
      <w:r>
        <w:rPr>
          <w:rFonts w:eastAsia="等线"/>
        </w:rPr>
        <w:t xml:space="preserve">  description: 3GPP TS 29.520 V1</w:t>
      </w:r>
      <w:r w:rsidR="009B01A5">
        <w:rPr>
          <w:rFonts w:eastAsia="等线"/>
        </w:rPr>
        <w:t>9</w:t>
      </w:r>
      <w:r>
        <w:rPr>
          <w:rFonts w:eastAsia="等线"/>
        </w:rPr>
        <w:t>.</w:t>
      </w:r>
      <w:r w:rsidR="00CA1A16">
        <w:rPr>
          <w:rFonts w:eastAsia="等线"/>
          <w:lang w:eastAsia="zh-CN"/>
        </w:rPr>
        <w:t>3</w:t>
      </w:r>
      <w:r>
        <w:rPr>
          <w:rFonts w:eastAsia="等线"/>
        </w:rPr>
        <w:t>.0; 5G System; Network Data Analytics Services.</w:t>
      </w:r>
    </w:p>
    <w:p w14:paraId="7F978601" w14:textId="77777777" w:rsidR="007862A2" w:rsidRDefault="007862A2" w:rsidP="007862A2">
      <w:pPr>
        <w:pStyle w:val="PL"/>
      </w:pPr>
      <w:r>
        <w:rPr>
          <w:rFonts w:eastAsia="等线"/>
        </w:rPr>
        <w:t xml:space="preserve">  url: 'http</w:t>
      </w:r>
      <w:r>
        <w:rPr>
          <w:rFonts w:eastAsia="等线" w:hint="eastAsia"/>
          <w:lang w:eastAsia="zh-CN"/>
        </w:rPr>
        <w:t>s</w:t>
      </w:r>
      <w:r>
        <w:rPr>
          <w:rFonts w:eastAsia="等线"/>
        </w:rPr>
        <w:t>://www.3gpp.org/ftp/Specs/archive/29_series/29.520/'</w:t>
      </w:r>
    </w:p>
    <w:p w14:paraId="72FCDB28" w14:textId="77777777" w:rsidR="007862A2" w:rsidRDefault="007862A2" w:rsidP="007862A2">
      <w:pPr>
        <w:pStyle w:val="PL"/>
        <w:rPr>
          <w:rFonts w:eastAsia="等线"/>
          <w:lang w:val="en-US"/>
        </w:rPr>
      </w:pPr>
    </w:p>
    <w:p w14:paraId="6970850A" w14:textId="77777777" w:rsidR="007862A2" w:rsidRDefault="007862A2" w:rsidP="007862A2">
      <w:pPr>
        <w:pStyle w:val="PL"/>
        <w:rPr>
          <w:rFonts w:eastAsia="等线"/>
          <w:lang w:val="en-US"/>
        </w:rPr>
      </w:pPr>
      <w:r>
        <w:rPr>
          <w:rFonts w:eastAsia="等线"/>
          <w:lang w:val="en-US"/>
        </w:rPr>
        <w:t>security:</w:t>
      </w:r>
    </w:p>
    <w:p w14:paraId="1CACC60C" w14:textId="77777777" w:rsidR="007862A2" w:rsidRDefault="007862A2" w:rsidP="007862A2">
      <w:pPr>
        <w:pStyle w:val="PL"/>
        <w:rPr>
          <w:rFonts w:eastAsia="等线"/>
          <w:lang w:val="en-US"/>
        </w:rPr>
      </w:pPr>
      <w:r>
        <w:rPr>
          <w:rFonts w:eastAsia="等线"/>
          <w:lang w:val="en-US"/>
        </w:rPr>
        <w:t xml:space="preserve">  - {}</w:t>
      </w:r>
    </w:p>
    <w:p w14:paraId="2B36860A" w14:textId="77777777" w:rsidR="007862A2" w:rsidRDefault="007862A2" w:rsidP="007862A2">
      <w:pPr>
        <w:pStyle w:val="PL"/>
        <w:rPr>
          <w:rFonts w:eastAsia="等线"/>
          <w:lang w:val="en-US"/>
        </w:rPr>
      </w:pPr>
      <w:r>
        <w:rPr>
          <w:rFonts w:eastAsia="等线"/>
          <w:lang w:val="en-US"/>
        </w:rPr>
        <w:t xml:space="preserve">  - oAuth2ClientCredentials:</w:t>
      </w:r>
    </w:p>
    <w:p w14:paraId="65C0F2A4" w14:textId="77777777" w:rsidR="007862A2" w:rsidRDefault="007862A2" w:rsidP="007862A2">
      <w:pPr>
        <w:pStyle w:val="PL"/>
        <w:rPr>
          <w:rFonts w:eastAsia="等线"/>
          <w:lang w:val="en-US"/>
        </w:rPr>
      </w:pPr>
      <w:r>
        <w:rPr>
          <w:rFonts w:eastAsia="等线"/>
          <w:lang w:val="en-US"/>
        </w:rPr>
        <w:t xml:space="preserve">    - </w:t>
      </w:r>
      <w:r>
        <w:rPr>
          <w:rFonts w:eastAsia="等线"/>
        </w:rPr>
        <w:t>nnwdaf-eventssubscription</w:t>
      </w:r>
    </w:p>
    <w:p w14:paraId="36296295" w14:textId="77777777" w:rsidR="007862A2" w:rsidRDefault="007862A2" w:rsidP="007862A2">
      <w:pPr>
        <w:pStyle w:val="PL"/>
      </w:pPr>
    </w:p>
    <w:p w14:paraId="6CB7C245" w14:textId="77777777" w:rsidR="007862A2" w:rsidRDefault="007862A2" w:rsidP="007862A2">
      <w:pPr>
        <w:pStyle w:val="PL"/>
      </w:pPr>
      <w:r>
        <w:t>servers:</w:t>
      </w:r>
    </w:p>
    <w:p w14:paraId="60A4D098" w14:textId="77777777" w:rsidR="007862A2" w:rsidRDefault="007862A2" w:rsidP="007862A2">
      <w:pPr>
        <w:pStyle w:val="PL"/>
      </w:pPr>
      <w:r>
        <w:t xml:space="preserve">  - url: '{apiRoot}/nnwdaf-eventssubscription/v1'</w:t>
      </w:r>
    </w:p>
    <w:p w14:paraId="2DE3370E" w14:textId="77777777" w:rsidR="007862A2" w:rsidRDefault="007862A2" w:rsidP="007862A2">
      <w:pPr>
        <w:pStyle w:val="PL"/>
      </w:pPr>
      <w:r>
        <w:t xml:space="preserve">    variables:</w:t>
      </w:r>
    </w:p>
    <w:p w14:paraId="00C3D3C7" w14:textId="77777777" w:rsidR="007862A2" w:rsidRDefault="007862A2" w:rsidP="007862A2">
      <w:pPr>
        <w:pStyle w:val="PL"/>
      </w:pPr>
      <w:r>
        <w:t xml:space="preserve">      apiRoot:</w:t>
      </w:r>
    </w:p>
    <w:p w14:paraId="73A03BE7" w14:textId="77777777" w:rsidR="007862A2" w:rsidRDefault="007862A2" w:rsidP="007862A2">
      <w:pPr>
        <w:pStyle w:val="PL"/>
      </w:pPr>
      <w:r>
        <w:t xml:space="preserve">        default: https://example.com</w:t>
      </w:r>
    </w:p>
    <w:p w14:paraId="6526F91D" w14:textId="77777777" w:rsidR="007862A2" w:rsidRDefault="007862A2" w:rsidP="007862A2">
      <w:pPr>
        <w:pStyle w:val="PL"/>
      </w:pPr>
      <w:r>
        <w:t xml:space="preserve">        description: apiRoot as defined in clause 4.4 of 3GPP TS 29.501.</w:t>
      </w:r>
    </w:p>
    <w:p w14:paraId="232FBE01" w14:textId="77777777" w:rsidR="007862A2" w:rsidRDefault="007862A2" w:rsidP="007862A2">
      <w:pPr>
        <w:pStyle w:val="PL"/>
      </w:pPr>
    </w:p>
    <w:p w14:paraId="7998F87D" w14:textId="77777777" w:rsidR="007862A2" w:rsidRDefault="007862A2" w:rsidP="007862A2">
      <w:pPr>
        <w:pStyle w:val="PL"/>
      </w:pPr>
      <w:r>
        <w:t>paths:</w:t>
      </w:r>
    </w:p>
    <w:p w14:paraId="7C81C23A" w14:textId="77777777" w:rsidR="007862A2" w:rsidRDefault="007862A2" w:rsidP="007862A2">
      <w:pPr>
        <w:pStyle w:val="PL"/>
      </w:pPr>
      <w:r>
        <w:t xml:space="preserve">  /subscriptions:</w:t>
      </w:r>
    </w:p>
    <w:p w14:paraId="19051DCA" w14:textId="77777777" w:rsidR="007862A2" w:rsidRDefault="007862A2" w:rsidP="007862A2">
      <w:pPr>
        <w:pStyle w:val="PL"/>
      </w:pPr>
      <w:r>
        <w:t xml:space="preserve">    post:</w:t>
      </w:r>
    </w:p>
    <w:p w14:paraId="74548574" w14:textId="77777777" w:rsidR="007862A2" w:rsidRDefault="007862A2" w:rsidP="007862A2">
      <w:pPr>
        <w:pStyle w:val="PL"/>
      </w:pPr>
      <w:r>
        <w:t xml:space="preserve">      summary: Create a new Individual NWDAF Events Subscription</w:t>
      </w:r>
    </w:p>
    <w:p w14:paraId="6990A062" w14:textId="77777777" w:rsidR="007862A2" w:rsidRDefault="007862A2" w:rsidP="007862A2">
      <w:pPr>
        <w:pStyle w:val="PL"/>
      </w:pPr>
      <w:r>
        <w:t xml:space="preserve">      operationId: CreateNWDAFEventsSubscription</w:t>
      </w:r>
    </w:p>
    <w:p w14:paraId="6C65C982" w14:textId="77777777" w:rsidR="007862A2" w:rsidRDefault="007862A2" w:rsidP="007862A2">
      <w:pPr>
        <w:pStyle w:val="PL"/>
      </w:pPr>
      <w:r>
        <w:t xml:space="preserve">      tags:</w:t>
      </w:r>
    </w:p>
    <w:p w14:paraId="17F06E60" w14:textId="77777777" w:rsidR="007862A2" w:rsidRDefault="007862A2" w:rsidP="007862A2">
      <w:pPr>
        <w:pStyle w:val="PL"/>
      </w:pPr>
      <w:r>
        <w:t xml:space="preserve">        - NWDAF Events Subscriptions (Collection)</w:t>
      </w:r>
    </w:p>
    <w:p w14:paraId="7DC70CF2" w14:textId="77777777" w:rsidR="007862A2" w:rsidRDefault="007862A2" w:rsidP="007862A2">
      <w:pPr>
        <w:pStyle w:val="PL"/>
      </w:pPr>
      <w:r>
        <w:t xml:space="preserve">      requestBody:</w:t>
      </w:r>
    </w:p>
    <w:p w14:paraId="5848A955" w14:textId="77777777" w:rsidR="007862A2" w:rsidRDefault="007862A2" w:rsidP="007862A2">
      <w:pPr>
        <w:pStyle w:val="PL"/>
      </w:pPr>
      <w:r>
        <w:t xml:space="preserve">        required: true</w:t>
      </w:r>
    </w:p>
    <w:p w14:paraId="769500CF" w14:textId="77777777" w:rsidR="007862A2" w:rsidRDefault="007862A2" w:rsidP="007862A2">
      <w:pPr>
        <w:pStyle w:val="PL"/>
      </w:pPr>
      <w:r>
        <w:t xml:space="preserve">        content:</w:t>
      </w:r>
    </w:p>
    <w:p w14:paraId="4D4D0AB9" w14:textId="77777777" w:rsidR="007862A2" w:rsidRDefault="007862A2" w:rsidP="007862A2">
      <w:pPr>
        <w:pStyle w:val="PL"/>
      </w:pPr>
      <w:r>
        <w:t xml:space="preserve">          application/json:</w:t>
      </w:r>
    </w:p>
    <w:p w14:paraId="1FA1290F" w14:textId="77777777" w:rsidR="007862A2" w:rsidRDefault="007862A2" w:rsidP="007862A2">
      <w:pPr>
        <w:pStyle w:val="PL"/>
      </w:pPr>
      <w:r>
        <w:t xml:space="preserve">            schema:</w:t>
      </w:r>
    </w:p>
    <w:p w14:paraId="04B0F3BA" w14:textId="77777777" w:rsidR="007862A2" w:rsidRDefault="007862A2" w:rsidP="007862A2">
      <w:pPr>
        <w:pStyle w:val="PL"/>
      </w:pPr>
      <w:r>
        <w:t xml:space="preserve">              $ref: '#/components/schemas/NnwdafEventsSubscription'</w:t>
      </w:r>
    </w:p>
    <w:p w14:paraId="1382E0CB" w14:textId="77777777" w:rsidR="007862A2" w:rsidRDefault="007862A2" w:rsidP="007862A2">
      <w:pPr>
        <w:pStyle w:val="PL"/>
      </w:pPr>
      <w:r>
        <w:t xml:space="preserve">      responses:</w:t>
      </w:r>
    </w:p>
    <w:p w14:paraId="1EF68465" w14:textId="77777777" w:rsidR="007862A2" w:rsidRDefault="007862A2" w:rsidP="007862A2">
      <w:pPr>
        <w:pStyle w:val="PL"/>
      </w:pPr>
      <w:r>
        <w:t xml:space="preserve">        '201':</w:t>
      </w:r>
    </w:p>
    <w:p w14:paraId="7241D674" w14:textId="77777777" w:rsidR="007862A2" w:rsidRDefault="007862A2" w:rsidP="007862A2">
      <w:pPr>
        <w:pStyle w:val="PL"/>
      </w:pPr>
      <w:r>
        <w:t xml:space="preserve">          description: Create a new Individual NWDAF Event Subscription resource.</w:t>
      </w:r>
    </w:p>
    <w:p w14:paraId="62CD1015" w14:textId="77777777" w:rsidR="007862A2" w:rsidRDefault="007862A2" w:rsidP="007862A2">
      <w:pPr>
        <w:pStyle w:val="PL"/>
        <w:rPr>
          <w:rFonts w:eastAsia="等线"/>
        </w:rPr>
      </w:pPr>
      <w:r>
        <w:rPr>
          <w:rFonts w:eastAsia="等线"/>
        </w:rPr>
        <w:t xml:space="preserve">          headers:</w:t>
      </w:r>
    </w:p>
    <w:p w14:paraId="6FEEDDDA" w14:textId="77777777" w:rsidR="007862A2" w:rsidRDefault="007862A2" w:rsidP="007862A2">
      <w:pPr>
        <w:pStyle w:val="PL"/>
        <w:rPr>
          <w:rFonts w:eastAsia="等线"/>
        </w:rPr>
      </w:pPr>
      <w:r>
        <w:rPr>
          <w:rFonts w:eastAsia="等线"/>
        </w:rPr>
        <w:t xml:space="preserve">            Location:</w:t>
      </w:r>
    </w:p>
    <w:p w14:paraId="39C1E770" w14:textId="77777777" w:rsidR="007862A2" w:rsidRDefault="007862A2" w:rsidP="007862A2">
      <w:pPr>
        <w:pStyle w:val="PL"/>
        <w:rPr>
          <w:rFonts w:eastAsia="等线"/>
        </w:rPr>
      </w:pPr>
      <w:r>
        <w:rPr>
          <w:rFonts w:eastAsia="等线"/>
        </w:rPr>
        <w:t xml:space="preserve">              description: &gt;</w:t>
      </w:r>
    </w:p>
    <w:p w14:paraId="5ED87540" w14:textId="77777777" w:rsidR="007862A2" w:rsidRDefault="007862A2" w:rsidP="007862A2">
      <w:pPr>
        <w:pStyle w:val="PL"/>
        <w:rPr>
          <w:rFonts w:eastAsia="等线"/>
        </w:rPr>
      </w:pPr>
      <w:r>
        <w:rPr>
          <w:rFonts w:eastAsia="等线"/>
        </w:rPr>
        <w:lastRenderedPageBreak/>
        <w:t xml:space="preserve">                Contains the URI of the newly created resource, according to the structure</w:t>
      </w:r>
    </w:p>
    <w:p w14:paraId="3116EF9E" w14:textId="77777777" w:rsidR="007862A2" w:rsidRDefault="007862A2" w:rsidP="007862A2">
      <w:pPr>
        <w:pStyle w:val="PL"/>
        <w:rPr>
          <w:rFonts w:eastAsia="等线"/>
        </w:rPr>
      </w:pPr>
      <w:r>
        <w:rPr>
          <w:rFonts w:eastAsia="等线"/>
        </w:rPr>
        <w:t xml:space="preserve">                {apiRoot}/nnwdaf-eventssubscription/&lt;apiVersion&gt;/subscriptions/{subscriptionId}</w:t>
      </w:r>
    </w:p>
    <w:p w14:paraId="57F3524B" w14:textId="77777777" w:rsidR="007862A2" w:rsidRDefault="007862A2" w:rsidP="007862A2">
      <w:pPr>
        <w:pStyle w:val="PL"/>
        <w:rPr>
          <w:rFonts w:eastAsia="等线"/>
        </w:rPr>
      </w:pPr>
      <w:r>
        <w:rPr>
          <w:rFonts w:eastAsia="等线"/>
        </w:rPr>
        <w:t xml:space="preserve">              required: true</w:t>
      </w:r>
    </w:p>
    <w:p w14:paraId="2CA8F58B" w14:textId="77777777" w:rsidR="007862A2" w:rsidRDefault="007862A2" w:rsidP="007862A2">
      <w:pPr>
        <w:pStyle w:val="PL"/>
        <w:rPr>
          <w:rFonts w:eastAsia="等线"/>
        </w:rPr>
      </w:pPr>
      <w:r>
        <w:rPr>
          <w:rFonts w:eastAsia="等线"/>
        </w:rPr>
        <w:t xml:space="preserve">              schema:</w:t>
      </w:r>
    </w:p>
    <w:p w14:paraId="68E0975B" w14:textId="77777777" w:rsidR="007862A2" w:rsidRDefault="007862A2" w:rsidP="007862A2">
      <w:pPr>
        <w:pStyle w:val="PL"/>
        <w:rPr>
          <w:rFonts w:eastAsia="等线"/>
        </w:rPr>
      </w:pPr>
      <w:r>
        <w:rPr>
          <w:rFonts w:eastAsia="等线"/>
        </w:rPr>
        <w:t xml:space="preserve">                type: string</w:t>
      </w:r>
    </w:p>
    <w:p w14:paraId="0B1B714D" w14:textId="77777777" w:rsidR="007862A2" w:rsidRDefault="007862A2" w:rsidP="007862A2">
      <w:pPr>
        <w:pStyle w:val="PL"/>
      </w:pPr>
      <w:r>
        <w:t xml:space="preserve">          content:</w:t>
      </w:r>
    </w:p>
    <w:p w14:paraId="36D65863" w14:textId="77777777" w:rsidR="007862A2" w:rsidRDefault="007862A2" w:rsidP="007862A2">
      <w:pPr>
        <w:pStyle w:val="PL"/>
      </w:pPr>
      <w:r>
        <w:t xml:space="preserve">            application/json:</w:t>
      </w:r>
    </w:p>
    <w:p w14:paraId="58099765" w14:textId="77777777" w:rsidR="007862A2" w:rsidRDefault="007862A2" w:rsidP="007862A2">
      <w:pPr>
        <w:pStyle w:val="PL"/>
      </w:pPr>
      <w:r>
        <w:t xml:space="preserve">              schema:</w:t>
      </w:r>
    </w:p>
    <w:p w14:paraId="0301D7D6" w14:textId="77777777" w:rsidR="007862A2" w:rsidRDefault="007862A2" w:rsidP="007862A2">
      <w:pPr>
        <w:pStyle w:val="PL"/>
      </w:pPr>
      <w:r>
        <w:t xml:space="preserve">                $ref: '#/components/schemas/NnwdafEventsSubscription'</w:t>
      </w:r>
    </w:p>
    <w:p w14:paraId="78C1CD8F" w14:textId="77777777" w:rsidR="007862A2" w:rsidRDefault="007862A2" w:rsidP="007862A2">
      <w:pPr>
        <w:pStyle w:val="PL"/>
      </w:pPr>
      <w:r>
        <w:t xml:space="preserve">        '400':</w:t>
      </w:r>
    </w:p>
    <w:p w14:paraId="3DF7D638" w14:textId="77777777" w:rsidR="007862A2" w:rsidRDefault="007862A2" w:rsidP="007862A2">
      <w:pPr>
        <w:pStyle w:val="PL"/>
      </w:pPr>
      <w:r>
        <w:t xml:space="preserve">          $ref: 'TS29571_CommonData.yaml#/components/responses/400'</w:t>
      </w:r>
    </w:p>
    <w:p w14:paraId="67E20911" w14:textId="77777777" w:rsidR="007862A2" w:rsidRDefault="007862A2" w:rsidP="007862A2">
      <w:pPr>
        <w:pStyle w:val="PL"/>
      </w:pPr>
      <w:r>
        <w:t xml:space="preserve">        '401':</w:t>
      </w:r>
    </w:p>
    <w:p w14:paraId="6582D280" w14:textId="77777777" w:rsidR="007862A2" w:rsidRDefault="007862A2" w:rsidP="007862A2">
      <w:pPr>
        <w:pStyle w:val="PL"/>
      </w:pPr>
      <w:r>
        <w:t xml:space="preserve">          $ref: 'TS29571_CommonData.yaml#/components/responses/401'</w:t>
      </w:r>
    </w:p>
    <w:p w14:paraId="66D265F8" w14:textId="77777777" w:rsidR="007862A2" w:rsidRDefault="007862A2" w:rsidP="007862A2">
      <w:pPr>
        <w:pStyle w:val="PL"/>
        <w:rPr>
          <w:rFonts w:eastAsia="等线"/>
        </w:rPr>
      </w:pPr>
      <w:r>
        <w:rPr>
          <w:rFonts w:eastAsia="等线"/>
        </w:rPr>
        <w:t xml:space="preserve">        '403':</w:t>
      </w:r>
    </w:p>
    <w:p w14:paraId="309EC365" w14:textId="77777777" w:rsidR="007862A2" w:rsidRDefault="007862A2" w:rsidP="007862A2">
      <w:pPr>
        <w:pStyle w:val="PL"/>
        <w:rPr>
          <w:rFonts w:eastAsia="等线"/>
        </w:rPr>
      </w:pPr>
      <w:r>
        <w:rPr>
          <w:rFonts w:eastAsia="等线"/>
        </w:rPr>
        <w:t xml:space="preserve">          $ref: 'TS29571_CommonData.yaml#/components/responses/403'</w:t>
      </w:r>
    </w:p>
    <w:p w14:paraId="55BACD89" w14:textId="77777777" w:rsidR="007862A2" w:rsidRDefault="007862A2" w:rsidP="007862A2">
      <w:pPr>
        <w:pStyle w:val="PL"/>
      </w:pPr>
      <w:r>
        <w:t xml:space="preserve">        '404':</w:t>
      </w:r>
    </w:p>
    <w:p w14:paraId="7A6BE46C" w14:textId="77777777" w:rsidR="007862A2" w:rsidRDefault="007862A2" w:rsidP="007862A2">
      <w:pPr>
        <w:pStyle w:val="PL"/>
      </w:pPr>
      <w:r>
        <w:t xml:space="preserve">          $ref: 'TS29571_CommonData.yaml#/components/responses/404'</w:t>
      </w:r>
    </w:p>
    <w:p w14:paraId="1826F368" w14:textId="77777777" w:rsidR="007862A2" w:rsidRDefault="007862A2" w:rsidP="007862A2">
      <w:pPr>
        <w:pStyle w:val="PL"/>
      </w:pPr>
      <w:r>
        <w:t xml:space="preserve">        '411':</w:t>
      </w:r>
    </w:p>
    <w:p w14:paraId="29548D1D" w14:textId="77777777" w:rsidR="007862A2" w:rsidRDefault="007862A2" w:rsidP="007862A2">
      <w:pPr>
        <w:pStyle w:val="PL"/>
      </w:pPr>
      <w:r>
        <w:t xml:space="preserve">          $ref: 'TS29571_CommonData.yaml#/components/responses/411'</w:t>
      </w:r>
    </w:p>
    <w:p w14:paraId="2BB64B15" w14:textId="77777777" w:rsidR="007862A2" w:rsidRDefault="007862A2" w:rsidP="007862A2">
      <w:pPr>
        <w:pStyle w:val="PL"/>
      </w:pPr>
      <w:r>
        <w:t xml:space="preserve">        '413':</w:t>
      </w:r>
    </w:p>
    <w:p w14:paraId="0B6B2B4A" w14:textId="77777777" w:rsidR="007862A2" w:rsidRDefault="007862A2" w:rsidP="007862A2">
      <w:pPr>
        <w:pStyle w:val="PL"/>
      </w:pPr>
      <w:r>
        <w:t xml:space="preserve">          $ref: 'TS29571_CommonData.yaml#/components/responses/413'</w:t>
      </w:r>
    </w:p>
    <w:p w14:paraId="29687460" w14:textId="77777777" w:rsidR="007862A2" w:rsidRDefault="007862A2" w:rsidP="007862A2">
      <w:pPr>
        <w:pStyle w:val="PL"/>
      </w:pPr>
      <w:r>
        <w:t xml:space="preserve">        '415':</w:t>
      </w:r>
    </w:p>
    <w:p w14:paraId="27454D16" w14:textId="77777777" w:rsidR="007862A2" w:rsidRDefault="007862A2" w:rsidP="007862A2">
      <w:pPr>
        <w:pStyle w:val="PL"/>
      </w:pPr>
      <w:r>
        <w:t xml:space="preserve">          $ref: 'TS29571_CommonData.yaml#/components/responses/415'</w:t>
      </w:r>
    </w:p>
    <w:p w14:paraId="28AB000A" w14:textId="77777777" w:rsidR="007862A2" w:rsidRDefault="007862A2" w:rsidP="007862A2">
      <w:pPr>
        <w:pStyle w:val="PL"/>
        <w:rPr>
          <w:rFonts w:eastAsia="等线"/>
        </w:rPr>
      </w:pPr>
      <w:r>
        <w:rPr>
          <w:rFonts w:eastAsia="等线"/>
        </w:rPr>
        <w:t xml:space="preserve">        '429':</w:t>
      </w:r>
    </w:p>
    <w:p w14:paraId="432D3834" w14:textId="77777777" w:rsidR="007862A2" w:rsidRDefault="007862A2" w:rsidP="007862A2">
      <w:pPr>
        <w:pStyle w:val="PL"/>
        <w:rPr>
          <w:rFonts w:eastAsia="等线"/>
        </w:rPr>
      </w:pPr>
      <w:r>
        <w:rPr>
          <w:rFonts w:eastAsia="等线"/>
        </w:rPr>
        <w:t xml:space="preserve">          $ref: 'TS29571_CommonData.yaml#/components/responses/429'</w:t>
      </w:r>
    </w:p>
    <w:p w14:paraId="38D2020D" w14:textId="77777777" w:rsidR="007862A2" w:rsidRDefault="007862A2" w:rsidP="007862A2">
      <w:pPr>
        <w:pStyle w:val="PL"/>
      </w:pPr>
      <w:r>
        <w:t xml:space="preserve">        '500':</w:t>
      </w:r>
    </w:p>
    <w:p w14:paraId="6BA57A6C" w14:textId="77777777" w:rsidR="007862A2" w:rsidRDefault="007862A2" w:rsidP="007862A2">
      <w:pPr>
        <w:pStyle w:val="PL"/>
      </w:pPr>
      <w:r>
        <w:t xml:space="preserve">          $ref: 'TS29571_CommonData.yaml#/components/responses/500'</w:t>
      </w:r>
    </w:p>
    <w:p w14:paraId="465668EF" w14:textId="77777777" w:rsidR="007862A2" w:rsidRDefault="007862A2" w:rsidP="007862A2">
      <w:pPr>
        <w:pStyle w:val="PL"/>
      </w:pPr>
      <w:r>
        <w:t xml:space="preserve">        '502':</w:t>
      </w:r>
    </w:p>
    <w:p w14:paraId="7C0481A5" w14:textId="77777777" w:rsidR="007862A2" w:rsidRDefault="007862A2" w:rsidP="007862A2">
      <w:pPr>
        <w:pStyle w:val="PL"/>
      </w:pPr>
      <w:r>
        <w:t xml:space="preserve">          $ref: 'TS29571_CommonData.yaml#/components/responses/502'</w:t>
      </w:r>
    </w:p>
    <w:p w14:paraId="53EE9B90" w14:textId="77777777" w:rsidR="007862A2" w:rsidRDefault="007862A2" w:rsidP="007862A2">
      <w:pPr>
        <w:pStyle w:val="PL"/>
      </w:pPr>
      <w:r>
        <w:t xml:space="preserve">        '503':</w:t>
      </w:r>
    </w:p>
    <w:p w14:paraId="03D2D0A3" w14:textId="77777777" w:rsidR="007862A2" w:rsidRDefault="007862A2" w:rsidP="007862A2">
      <w:pPr>
        <w:pStyle w:val="PL"/>
      </w:pPr>
      <w:r>
        <w:t xml:space="preserve">          $ref: 'TS29571_CommonData.yaml#/components/responses/503'</w:t>
      </w:r>
    </w:p>
    <w:p w14:paraId="499AB137" w14:textId="77777777" w:rsidR="007862A2" w:rsidRDefault="007862A2" w:rsidP="007862A2">
      <w:pPr>
        <w:pStyle w:val="PL"/>
      </w:pPr>
      <w:r>
        <w:t xml:space="preserve">        default:</w:t>
      </w:r>
    </w:p>
    <w:p w14:paraId="4E8D6711" w14:textId="77777777" w:rsidR="007862A2" w:rsidRDefault="007862A2" w:rsidP="007862A2">
      <w:pPr>
        <w:pStyle w:val="PL"/>
      </w:pPr>
      <w:r>
        <w:t xml:space="preserve">          $ref: 'TS29571_CommonData.yaml#/components/responses/default'</w:t>
      </w:r>
    </w:p>
    <w:p w14:paraId="21B7DA15" w14:textId="77777777" w:rsidR="007862A2" w:rsidRDefault="007862A2" w:rsidP="007862A2">
      <w:pPr>
        <w:pStyle w:val="PL"/>
      </w:pPr>
      <w:r>
        <w:t xml:space="preserve">      callbacks:</w:t>
      </w:r>
    </w:p>
    <w:p w14:paraId="2536287A" w14:textId="77777777" w:rsidR="007862A2" w:rsidRDefault="007862A2" w:rsidP="007862A2">
      <w:pPr>
        <w:pStyle w:val="PL"/>
      </w:pPr>
      <w:r>
        <w:t xml:space="preserve">        myNotification:</w:t>
      </w:r>
    </w:p>
    <w:p w14:paraId="29BBA9C9" w14:textId="77777777" w:rsidR="007862A2" w:rsidRDefault="007862A2" w:rsidP="007862A2">
      <w:pPr>
        <w:pStyle w:val="PL"/>
      </w:pPr>
      <w:r>
        <w:t xml:space="preserve">          '{$request.body#/notificationURI}': </w:t>
      </w:r>
    </w:p>
    <w:p w14:paraId="1F6D5937" w14:textId="77777777" w:rsidR="007862A2" w:rsidRDefault="007862A2" w:rsidP="007862A2">
      <w:pPr>
        <w:pStyle w:val="PL"/>
      </w:pPr>
      <w:r>
        <w:t xml:space="preserve">            post:</w:t>
      </w:r>
    </w:p>
    <w:p w14:paraId="41045A9D" w14:textId="77777777" w:rsidR="007862A2" w:rsidRDefault="007862A2" w:rsidP="007862A2">
      <w:pPr>
        <w:pStyle w:val="PL"/>
      </w:pPr>
      <w:r>
        <w:t xml:space="preserve">              requestBody:</w:t>
      </w:r>
    </w:p>
    <w:p w14:paraId="5F150563" w14:textId="77777777" w:rsidR="007862A2" w:rsidRDefault="007862A2" w:rsidP="007862A2">
      <w:pPr>
        <w:pStyle w:val="PL"/>
      </w:pPr>
      <w:r>
        <w:t xml:space="preserve">                required: true</w:t>
      </w:r>
    </w:p>
    <w:p w14:paraId="447C8453" w14:textId="77777777" w:rsidR="007862A2" w:rsidRDefault="007862A2" w:rsidP="007862A2">
      <w:pPr>
        <w:pStyle w:val="PL"/>
      </w:pPr>
      <w:r>
        <w:t xml:space="preserve">                content:</w:t>
      </w:r>
    </w:p>
    <w:p w14:paraId="77ED4A6D" w14:textId="77777777" w:rsidR="007862A2" w:rsidRDefault="007862A2" w:rsidP="007862A2">
      <w:pPr>
        <w:pStyle w:val="PL"/>
      </w:pPr>
      <w:r>
        <w:t xml:space="preserve">                  application/json:</w:t>
      </w:r>
    </w:p>
    <w:p w14:paraId="654D357A" w14:textId="77777777" w:rsidR="007862A2" w:rsidRDefault="007862A2" w:rsidP="007862A2">
      <w:pPr>
        <w:pStyle w:val="PL"/>
      </w:pPr>
      <w:r>
        <w:t xml:space="preserve">                    schema:</w:t>
      </w:r>
    </w:p>
    <w:p w14:paraId="5E096927" w14:textId="77777777" w:rsidR="007862A2" w:rsidRDefault="007862A2" w:rsidP="007862A2">
      <w:pPr>
        <w:pStyle w:val="PL"/>
      </w:pPr>
      <w:r>
        <w:t xml:space="preserve">                      type: array</w:t>
      </w:r>
    </w:p>
    <w:p w14:paraId="2A13E339" w14:textId="77777777" w:rsidR="007862A2" w:rsidRDefault="007862A2" w:rsidP="007862A2">
      <w:pPr>
        <w:pStyle w:val="PL"/>
      </w:pPr>
      <w:r>
        <w:t xml:space="preserve">                      items:</w:t>
      </w:r>
    </w:p>
    <w:p w14:paraId="5800C451" w14:textId="77777777" w:rsidR="007862A2" w:rsidRDefault="007862A2" w:rsidP="007862A2">
      <w:pPr>
        <w:pStyle w:val="PL"/>
      </w:pPr>
      <w:r>
        <w:t xml:space="preserve">                        $ref: '#/components/schemas/NnwdafEventsSubscriptionNotification'</w:t>
      </w:r>
    </w:p>
    <w:p w14:paraId="307843A0" w14:textId="77777777" w:rsidR="007862A2" w:rsidRDefault="007862A2" w:rsidP="007862A2">
      <w:pPr>
        <w:pStyle w:val="PL"/>
      </w:pPr>
      <w:r>
        <w:t xml:space="preserve">                      minItems: 1</w:t>
      </w:r>
    </w:p>
    <w:p w14:paraId="10C70FB1" w14:textId="77777777" w:rsidR="007862A2" w:rsidRDefault="007862A2" w:rsidP="007862A2">
      <w:pPr>
        <w:pStyle w:val="PL"/>
      </w:pPr>
      <w:r>
        <w:t xml:space="preserve">              responses:</w:t>
      </w:r>
    </w:p>
    <w:p w14:paraId="3FB1C67A" w14:textId="77777777" w:rsidR="007862A2" w:rsidRDefault="007862A2" w:rsidP="007862A2">
      <w:pPr>
        <w:pStyle w:val="PL"/>
      </w:pPr>
      <w:r>
        <w:t xml:space="preserve">                '204':</w:t>
      </w:r>
    </w:p>
    <w:p w14:paraId="2218139C" w14:textId="77777777" w:rsidR="007862A2" w:rsidRDefault="007862A2" w:rsidP="007862A2">
      <w:pPr>
        <w:pStyle w:val="PL"/>
      </w:pPr>
      <w:r>
        <w:t xml:space="preserve">                  description: The receipt of the Notification is acknowledged.</w:t>
      </w:r>
    </w:p>
    <w:p w14:paraId="10B5009F" w14:textId="77777777" w:rsidR="007862A2" w:rsidRDefault="007862A2" w:rsidP="007862A2">
      <w:pPr>
        <w:pStyle w:val="PL"/>
      </w:pPr>
      <w:r>
        <w:t xml:space="preserve">                '307':</w:t>
      </w:r>
    </w:p>
    <w:p w14:paraId="0AE5890A" w14:textId="77777777" w:rsidR="007862A2" w:rsidRDefault="007862A2" w:rsidP="007862A2">
      <w:pPr>
        <w:pStyle w:val="PL"/>
      </w:pPr>
      <w:r>
        <w:t xml:space="preserve">                  $ref: 'TS29571_CommonData.yaml#/components/responses/307'</w:t>
      </w:r>
    </w:p>
    <w:p w14:paraId="22C6FDBB" w14:textId="77777777" w:rsidR="007862A2" w:rsidRDefault="007862A2" w:rsidP="007862A2">
      <w:pPr>
        <w:pStyle w:val="PL"/>
      </w:pPr>
      <w:r>
        <w:t xml:space="preserve">                '308':</w:t>
      </w:r>
    </w:p>
    <w:p w14:paraId="4700B225" w14:textId="77777777" w:rsidR="007862A2" w:rsidRDefault="007862A2" w:rsidP="007862A2">
      <w:pPr>
        <w:pStyle w:val="PL"/>
      </w:pPr>
      <w:r>
        <w:t xml:space="preserve">                  $ref: 'TS29571_CommonData.yaml#/components/responses/308'</w:t>
      </w:r>
    </w:p>
    <w:p w14:paraId="00BF0CAA" w14:textId="77777777" w:rsidR="007862A2" w:rsidRDefault="007862A2" w:rsidP="007862A2">
      <w:pPr>
        <w:pStyle w:val="PL"/>
      </w:pPr>
      <w:r>
        <w:t xml:space="preserve">                '400':</w:t>
      </w:r>
    </w:p>
    <w:p w14:paraId="3C55735B" w14:textId="77777777" w:rsidR="007862A2" w:rsidRDefault="007862A2" w:rsidP="007862A2">
      <w:pPr>
        <w:pStyle w:val="PL"/>
      </w:pPr>
      <w:r>
        <w:t xml:space="preserve">                  $ref: 'TS29571_CommonData.yaml#/components/responses/400'</w:t>
      </w:r>
    </w:p>
    <w:p w14:paraId="35373A3C" w14:textId="77777777" w:rsidR="007862A2" w:rsidRDefault="007862A2" w:rsidP="007862A2">
      <w:pPr>
        <w:pStyle w:val="PL"/>
      </w:pPr>
      <w:r>
        <w:t xml:space="preserve">                '401':</w:t>
      </w:r>
    </w:p>
    <w:p w14:paraId="22C1DC60" w14:textId="77777777" w:rsidR="007862A2" w:rsidRDefault="007862A2" w:rsidP="007862A2">
      <w:pPr>
        <w:pStyle w:val="PL"/>
      </w:pPr>
      <w:r>
        <w:t xml:space="preserve">                  $ref: 'TS29571_CommonData.yaml#/components/responses/401'</w:t>
      </w:r>
    </w:p>
    <w:p w14:paraId="02301AC8" w14:textId="77777777" w:rsidR="007862A2" w:rsidRDefault="007862A2" w:rsidP="007862A2">
      <w:pPr>
        <w:pStyle w:val="PL"/>
        <w:rPr>
          <w:rFonts w:eastAsia="等线"/>
        </w:rPr>
      </w:pPr>
      <w:r>
        <w:rPr>
          <w:rFonts w:eastAsia="等线"/>
        </w:rPr>
        <w:t xml:space="preserve">                '403':</w:t>
      </w:r>
    </w:p>
    <w:p w14:paraId="0A801E36" w14:textId="77777777" w:rsidR="007862A2" w:rsidRDefault="007862A2" w:rsidP="007862A2">
      <w:pPr>
        <w:pStyle w:val="PL"/>
        <w:rPr>
          <w:rFonts w:eastAsia="等线"/>
        </w:rPr>
      </w:pPr>
      <w:r>
        <w:rPr>
          <w:rFonts w:eastAsia="等线"/>
        </w:rPr>
        <w:t xml:space="preserve">                  $ref: 'TS29571_CommonData.yaml#/components/responses/403'</w:t>
      </w:r>
    </w:p>
    <w:p w14:paraId="7013AFE5" w14:textId="77777777" w:rsidR="007862A2" w:rsidRDefault="007862A2" w:rsidP="007862A2">
      <w:pPr>
        <w:pStyle w:val="PL"/>
      </w:pPr>
      <w:r>
        <w:t xml:space="preserve">                '404':</w:t>
      </w:r>
    </w:p>
    <w:p w14:paraId="3E4FD074" w14:textId="77777777" w:rsidR="007862A2" w:rsidRDefault="007862A2" w:rsidP="007862A2">
      <w:pPr>
        <w:pStyle w:val="PL"/>
      </w:pPr>
      <w:r>
        <w:t xml:space="preserve">                  $ref: 'TS29571_CommonData.yaml#/components/responses/404'</w:t>
      </w:r>
    </w:p>
    <w:p w14:paraId="16FCCED4" w14:textId="77777777" w:rsidR="007862A2" w:rsidRDefault="007862A2" w:rsidP="007862A2">
      <w:pPr>
        <w:pStyle w:val="PL"/>
      </w:pPr>
      <w:r>
        <w:t xml:space="preserve">                '411':</w:t>
      </w:r>
    </w:p>
    <w:p w14:paraId="7B9768F0" w14:textId="77777777" w:rsidR="007862A2" w:rsidRDefault="007862A2" w:rsidP="007862A2">
      <w:pPr>
        <w:pStyle w:val="PL"/>
      </w:pPr>
      <w:r>
        <w:t xml:space="preserve">                  $ref: 'TS29571_CommonData.yaml#/components/responses/411'</w:t>
      </w:r>
    </w:p>
    <w:p w14:paraId="7AA1BBCA" w14:textId="77777777" w:rsidR="007862A2" w:rsidRDefault="007862A2" w:rsidP="007862A2">
      <w:pPr>
        <w:pStyle w:val="PL"/>
      </w:pPr>
      <w:r>
        <w:t xml:space="preserve">                '413':</w:t>
      </w:r>
    </w:p>
    <w:p w14:paraId="29AE3749" w14:textId="77777777" w:rsidR="007862A2" w:rsidRDefault="007862A2" w:rsidP="007862A2">
      <w:pPr>
        <w:pStyle w:val="PL"/>
      </w:pPr>
      <w:r>
        <w:t xml:space="preserve">                  $ref: 'TS29571_CommonData.yaml#/components/responses/413'</w:t>
      </w:r>
    </w:p>
    <w:p w14:paraId="1B8BAB96" w14:textId="77777777" w:rsidR="007862A2" w:rsidRDefault="007862A2" w:rsidP="007862A2">
      <w:pPr>
        <w:pStyle w:val="PL"/>
      </w:pPr>
      <w:r>
        <w:t xml:space="preserve">                '415':</w:t>
      </w:r>
    </w:p>
    <w:p w14:paraId="58425895" w14:textId="77777777" w:rsidR="007862A2" w:rsidRDefault="007862A2" w:rsidP="007862A2">
      <w:pPr>
        <w:pStyle w:val="PL"/>
      </w:pPr>
      <w:r>
        <w:t xml:space="preserve">                  $ref: 'TS29571_CommonData.yaml#/components/responses/415'</w:t>
      </w:r>
    </w:p>
    <w:p w14:paraId="044D23B9" w14:textId="77777777" w:rsidR="007862A2" w:rsidRDefault="007862A2" w:rsidP="007862A2">
      <w:pPr>
        <w:pStyle w:val="PL"/>
        <w:rPr>
          <w:rFonts w:eastAsia="等线"/>
        </w:rPr>
      </w:pPr>
      <w:r>
        <w:rPr>
          <w:rFonts w:eastAsia="等线"/>
        </w:rPr>
        <w:t xml:space="preserve">                '429':</w:t>
      </w:r>
    </w:p>
    <w:p w14:paraId="1E6030A6" w14:textId="77777777" w:rsidR="007862A2" w:rsidRDefault="007862A2" w:rsidP="007862A2">
      <w:pPr>
        <w:pStyle w:val="PL"/>
        <w:rPr>
          <w:rFonts w:eastAsia="等线"/>
        </w:rPr>
      </w:pPr>
      <w:r>
        <w:rPr>
          <w:rFonts w:eastAsia="等线"/>
        </w:rPr>
        <w:t xml:space="preserve">                  $ref: 'TS29571_CommonData.yaml#/components/responses/429'</w:t>
      </w:r>
    </w:p>
    <w:p w14:paraId="6B370BDF" w14:textId="77777777" w:rsidR="007862A2" w:rsidRDefault="007862A2" w:rsidP="007862A2">
      <w:pPr>
        <w:pStyle w:val="PL"/>
      </w:pPr>
      <w:r>
        <w:t xml:space="preserve">                '500':</w:t>
      </w:r>
    </w:p>
    <w:p w14:paraId="39CF535D" w14:textId="77777777" w:rsidR="007862A2" w:rsidRDefault="007862A2" w:rsidP="007862A2">
      <w:pPr>
        <w:pStyle w:val="PL"/>
      </w:pPr>
      <w:r>
        <w:t xml:space="preserve">                  $ref: 'TS29571_CommonData.yaml#/components/responses/500'</w:t>
      </w:r>
    </w:p>
    <w:p w14:paraId="61BDD93F" w14:textId="77777777" w:rsidR="007862A2" w:rsidRDefault="007862A2" w:rsidP="007862A2">
      <w:pPr>
        <w:pStyle w:val="PL"/>
      </w:pPr>
      <w:r>
        <w:t xml:space="preserve">                '502':</w:t>
      </w:r>
    </w:p>
    <w:p w14:paraId="4B442425" w14:textId="77777777" w:rsidR="007862A2" w:rsidRDefault="007862A2" w:rsidP="007862A2">
      <w:pPr>
        <w:pStyle w:val="PL"/>
      </w:pPr>
      <w:r>
        <w:t xml:space="preserve">                  $ref: 'TS29571_CommonData.yaml#/components/responses/502'</w:t>
      </w:r>
    </w:p>
    <w:p w14:paraId="102B8C9D" w14:textId="77777777" w:rsidR="007862A2" w:rsidRDefault="007862A2" w:rsidP="007862A2">
      <w:pPr>
        <w:pStyle w:val="PL"/>
      </w:pPr>
      <w:r>
        <w:t xml:space="preserve">                '503':</w:t>
      </w:r>
    </w:p>
    <w:p w14:paraId="71BE2F76" w14:textId="77777777" w:rsidR="007862A2" w:rsidRDefault="007862A2" w:rsidP="007862A2">
      <w:pPr>
        <w:pStyle w:val="PL"/>
      </w:pPr>
      <w:r>
        <w:t xml:space="preserve">                  $ref: 'TS29571_CommonData.yaml#/components/responses/503'</w:t>
      </w:r>
    </w:p>
    <w:p w14:paraId="282FA633" w14:textId="77777777" w:rsidR="007862A2" w:rsidRDefault="007862A2" w:rsidP="007862A2">
      <w:pPr>
        <w:pStyle w:val="PL"/>
      </w:pPr>
      <w:r>
        <w:t xml:space="preserve">                default:</w:t>
      </w:r>
    </w:p>
    <w:p w14:paraId="4707AE65" w14:textId="77777777" w:rsidR="007862A2" w:rsidRDefault="007862A2" w:rsidP="007862A2">
      <w:pPr>
        <w:pStyle w:val="PL"/>
      </w:pPr>
      <w:r>
        <w:t xml:space="preserve">                  $ref: 'TS29571_CommonData.yaml#/components/responses/default'</w:t>
      </w:r>
    </w:p>
    <w:p w14:paraId="0CBA378E" w14:textId="77777777" w:rsidR="007862A2" w:rsidRDefault="007862A2" w:rsidP="007862A2">
      <w:pPr>
        <w:pStyle w:val="PL"/>
      </w:pPr>
    </w:p>
    <w:p w14:paraId="5EF1F469" w14:textId="77777777" w:rsidR="007862A2" w:rsidRDefault="007862A2" w:rsidP="007862A2">
      <w:pPr>
        <w:pStyle w:val="PL"/>
      </w:pPr>
      <w:r>
        <w:lastRenderedPageBreak/>
        <w:t xml:space="preserve">  /subscriptions/{subscriptionId}:</w:t>
      </w:r>
    </w:p>
    <w:p w14:paraId="033A5855" w14:textId="77777777" w:rsidR="007862A2" w:rsidRDefault="007862A2" w:rsidP="007862A2">
      <w:pPr>
        <w:pStyle w:val="PL"/>
      </w:pPr>
      <w:r>
        <w:t xml:space="preserve">    delete:</w:t>
      </w:r>
    </w:p>
    <w:p w14:paraId="705B75D7" w14:textId="77777777" w:rsidR="007862A2" w:rsidRDefault="007862A2" w:rsidP="007862A2">
      <w:pPr>
        <w:pStyle w:val="PL"/>
      </w:pPr>
      <w:r>
        <w:t xml:space="preserve">      summary: Delete an existing Individual NWDAF Events Subscription</w:t>
      </w:r>
    </w:p>
    <w:p w14:paraId="7FC4A573" w14:textId="77777777" w:rsidR="007862A2" w:rsidRDefault="007862A2" w:rsidP="007862A2">
      <w:pPr>
        <w:pStyle w:val="PL"/>
      </w:pPr>
      <w:r>
        <w:t xml:space="preserve">      operationId: DeleteNWDAFEventsSubscription</w:t>
      </w:r>
    </w:p>
    <w:p w14:paraId="360C36B9" w14:textId="77777777" w:rsidR="007862A2" w:rsidRDefault="007862A2" w:rsidP="007862A2">
      <w:pPr>
        <w:pStyle w:val="PL"/>
      </w:pPr>
      <w:r>
        <w:t xml:space="preserve">      tags:</w:t>
      </w:r>
    </w:p>
    <w:p w14:paraId="0D9C1A1F" w14:textId="77777777" w:rsidR="007862A2" w:rsidRDefault="007862A2" w:rsidP="007862A2">
      <w:pPr>
        <w:pStyle w:val="PL"/>
      </w:pPr>
      <w:r>
        <w:t xml:space="preserve">        - Individual NWDAF Events Subscription (Document)</w:t>
      </w:r>
    </w:p>
    <w:p w14:paraId="38A2D29B" w14:textId="77777777" w:rsidR="007862A2" w:rsidRDefault="007862A2" w:rsidP="007862A2">
      <w:pPr>
        <w:pStyle w:val="PL"/>
      </w:pPr>
      <w:r>
        <w:t xml:space="preserve">      parameters:</w:t>
      </w:r>
    </w:p>
    <w:p w14:paraId="597658C0" w14:textId="77777777" w:rsidR="007862A2" w:rsidRDefault="007862A2" w:rsidP="007862A2">
      <w:pPr>
        <w:pStyle w:val="PL"/>
      </w:pPr>
      <w:r>
        <w:t xml:space="preserve">        - name: subscriptionId</w:t>
      </w:r>
    </w:p>
    <w:p w14:paraId="2C37B2CA" w14:textId="77777777" w:rsidR="007862A2" w:rsidRDefault="007862A2" w:rsidP="007862A2">
      <w:pPr>
        <w:pStyle w:val="PL"/>
      </w:pPr>
      <w:r>
        <w:t xml:space="preserve">          in: path</w:t>
      </w:r>
    </w:p>
    <w:p w14:paraId="6FD2BE94" w14:textId="77777777" w:rsidR="007862A2" w:rsidRDefault="007862A2" w:rsidP="007862A2">
      <w:pPr>
        <w:pStyle w:val="PL"/>
      </w:pPr>
      <w:r>
        <w:t xml:space="preserve">          description: String identifying a subscription to the Nnwdaf_EventsSubscription Service</w:t>
      </w:r>
    </w:p>
    <w:p w14:paraId="02E633BF" w14:textId="77777777" w:rsidR="007862A2" w:rsidRDefault="007862A2" w:rsidP="007862A2">
      <w:pPr>
        <w:pStyle w:val="PL"/>
      </w:pPr>
      <w:r>
        <w:t xml:space="preserve">          required: true</w:t>
      </w:r>
    </w:p>
    <w:p w14:paraId="545BE327" w14:textId="77777777" w:rsidR="007862A2" w:rsidRDefault="007862A2" w:rsidP="007862A2">
      <w:pPr>
        <w:pStyle w:val="PL"/>
      </w:pPr>
      <w:r>
        <w:t xml:space="preserve">          schema:</w:t>
      </w:r>
    </w:p>
    <w:p w14:paraId="642634EC" w14:textId="77777777" w:rsidR="007862A2" w:rsidRDefault="007862A2" w:rsidP="007862A2">
      <w:pPr>
        <w:pStyle w:val="PL"/>
      </w:pPr>
      <w:r>
        <w:t xml:space="preserve">            type: string</w:t>
      </w:r>
    </w:p>
    <w:p w14:paraId="28C925D7" w14:textId="77777777" w:rsidR="007862A2" w:rsidRDefault="007862A2" w:rsidP="007862A2">
      <w:pPr>
        <w:pStyle w:val="PL"/>
      </w:pPr>
      <w:r>
        <w:t xml:space="preserve">      responses:</w:t>
      </w:r>
    </w:p>
    <w:p w14:paraId="47BD765B" w14:textId="77777777" w:rsidR="007862A2" w:rsidRDefault="007862A2" w:rsidP="007862A2">
      <w:pPr>
        <w:pStyle w:val="PL"/>
      </w:pPr>
      <w:r>
        <w:t xml:space="preserve">        '204':</w:t>
      </w:r>
    </w:p>
    <w:p w14:paraId="4A726550" w14:textId="77777777" w:rsidR="007862A2" w:rsidRDefault="007862A2" w:rsidP="007862A2">
      <w:pPr>
        <w:pStyle w:val="PL"/>
      </w:pPr>
      <w:r>
        <w:t xml:space="preserve">          description: &gt;</w:t>
      </w:r>
    </w:p>
    <w:p w14:paraId="21A58941" w14:textId="77777777" w:rsidR="007862A2" w:rsidRDefault="007862A2" w:rsidP="007862A2">
      <w:pPr>
        <w:pStyle w:val="PL"/>
      </w:pPr>
      <w:r>
        <w:t xml:space="preserve">            No Content. The Individual NWDAF Event Subscription resource matching the subscriptionId</w:t>
      </w:r>
    </w:p>
    <w:p w14:paraId="668F3843" w14:textId="77777777" w:rsidR="007862A2" w:rsidRDefault="007862A2" w:rsidP="007862A2">
      <w:pPr>
        <w:pStyle w:val="PL"/>
      </w:pPr>
      <w:r>
        <w:t xml:space="preserve">            was deleted.</w:t>
      </w:r>
    </w:p>
    <w:p w14:paraId="1F6E3E47" w14:textId="77777777" w:rsidR="007862A2" w:rsidRDefault="007862A2" w:rsidP="007862A2">
      <w:pPr>
        <w:pStyle w:val="PL"/>
      </w:pPr>
      <w:r>
        <w:t xml:space="preserve">        '307':</w:t>
      </w:r>
    </w:p>
    <w:p w14:paraId="6357FEC3" w14:textId="77777777" w:rsidR="007862A2" w:rsidRDefault="007862A2" w:rsidP="007862A2">
      <w:pPr>
        <w:pStyle w:val="PL"/>
      </w:pPr>
      <w:r>
        <w:t xml:space="preserve">          $ref: 'TS29571_CommonData.yaml#/components/responses/307'</w:t>
      </w:r>
    </w:p>
    <w:p w14:paraId="41D557EE" w14:textId="77777777" w:rsidR="007862A2" w:rsidRDefault="007862A2" w:rsidP="007862A2">
      <w:pPr>
        <w:pStyle w:val="PL"/>
      </w:pPr>
      <w:r>
        <w:t xml:space="preserve">        '308':</w:t>
      </w:r>
    </w:p>
    <w:p w14:paraId="309B1E2D" w14:textId="77777777" w:rsidR="007862A2" w:rsidRDefault="007862A2" w:rsidP="007862A2">
      <w:pPr>
        <w:pStyle w:val="PL"/>
      </w:pPr>
      <w:r>
        <w:t xml:space="preserve">          $ref: 'TS29571_CommonData.yaml#/components/responses/308'</w:t>
      </w:r>
    </w:p>
    <w:p w14:paraId="49E18096" w14:textId="77777777" w:rsidR="007862A2" w:rsidRDefault="007862A2" w:rsidP="007862A2">
      <w:pPr>
        <w:pStyle w:val="PL"/>
      </w:pPr>
      <w:r>
        <w:t xml:space="preserve">        '400':</w:t>
      </w:r>
    </w:p>
    <w:p w14:paraId="6B0EC4F8" w14:textId="77777777" w:rsidR="007862A2" w:rsidRDefault="007862A2" w:rsidP="007862A2">
      <w:pPr>
        <w:pStyle w:val="PL"/>
      </w:pPr>
      <w:r>
        <w:t xml:space="preserve">          $ref: 'TS29571_CommonData.yaml#/components/responses/400'</w:t>
      </w:r>
    </w:p>
    <w:p w14:paraId="30A74D10" w14:textId="77777777" w:rsidR="007862A2" w:rsidRDefault="007862A2" w:rsidP="007862A2">
      <w:pPr>
        <w:pStyle w:val="PL"/>
      </w:pPr>
      <w:r>
        <w:t xml:space="preserve">        '401':</w:t>
      </w:r>
    </w:p>
    <w:p w14:paraId="1D44391B" w14:textId="77777777" w:rsidR="007862A2" w:rsidRDefault="007862A2" w:rsidP="007862A2">
      <w:pPr>
        <w:pStyle w:val="PL"/>
      </w:pPr>
      <w:r>
        <w:t xml:space="preserve">          $ref: 'TS29571_CommonData.yaml#/components/responses/401'</w:t>
      </w:r>
    </w:p>
    <w:p w14:paraId="5D4F6F90" w14:textId="77777777" w:rsidR="007862A2" w:rsidRDefault="007862A2" w:rsidP="007862A2">
      <w:pPr>
        <w:pStyle w:val="PL"/>
        <w:rPr>
          <w:rFonts w:eastAsia="等线"/>
        </w:rPr>
      </w:pPr>
      <w:r>
        <w:rPr>
          <w:rFonts w:eastAsia="等线"/>
        </w:rPr>
        <w:t xml:space="preserve">        '403':</w:t>
      </w:r>
    </w:p>
    <w:p w14:paraId="4B77CE57" w14:textId="77777777" w:rsidR="007862A2" w:rsidRDefault="007862A2" w:rsidP="007862A2">
      <w:pPr>
        <w:pStyle w:val="PL"/>
        <w:rPr>
          <w:rFonts w:eastAsia="等线"/>
        </w:rPr>
      </w:pPr>
      <w:r>
        <w:rPr>
          <w:rFonts w:eastAsia="等线"/>
        </w:rPr>
        <w:t xml:space="preserve">          $ref: 'TS29571_CommonData.yaml#/components/responses/403'</w:t>
      </w:r>
    </w:p>
    <w:p w14:paraId="4E33B014" w14:textId="77777777" w:rsidR="007862A2" w:rsidRDefault="007862A2" w:rsidP="007862A2">
      <w:pPr>
        <w:pStyle w:val="PL"/>
      </w:pPr>
      <w:r>
        <w:t xml:space="preserve">        '404':</w:t>
      </w:r>
    </w:p>
    <w:p w14:paraId="2FF6CC41" w14:textId="77777777" w:rsidR="007862A2" w:rsidRDefault="007862A2" w:rsidP="007862A2">
      <w:pPr>
        <w:pStyle w:val="PL"/>
        <w:rPr>
          <w:rFonts w:eastAsia="等线"/>
        </w:rPr>
      </w:pPr>
      <w:r>
        <w:rPr>
          <w:rFonts w:eastAsia="等线"/>
        </w:rPr>
        <w:t xml:space="preserve">          $ref: 'TS29571_CommonData.yaml#/components/responses/404'</w:t>
      </w:r>
    </w:p>
    <w:p w14:paraId="2A069D0D" w14:textId="77777777" w:rsidR="007862A2" w:rsidRDefault="007862A2" w:rsidP="007862A2">
      <w:pPr>
        <w:pStyle w:val="PL"/>
        <w:rPr>
          <w:rFonts w:eastAsia="等线"/>
        </w:rPr>
      </w:pPr>
      <w:r>
        <w:rPr>
          <w:rFonts w:eastAsia="等线"/>
        </w:rPr>
        <w:t xml:space="preserve">        '429':</w:t>
      </w:r>
    </w:p>
    <w:p w14:paraId="5AC3C17B" w14:textId="77777777" w:rsidR="007862A2" w:rsidRDefault="007862A2" w:rsidP="007862A2">
      <w:pPr>
        <w:pStyle w:val="PL"/>
        <w:rPr>
          <w:rFonts w:eastAsia="等线"/>
        </w:rPr>
      </w:pPr>
      <w:r>
        <w:rPr>
          <w:rFonts w:eastAsia="等线"/>
        </w:rPr>
        <w:t xml:space="preserve">          $ref: 'TS29571_CommonData.yaml#/components/responses/429'</w:t>
      </w:r>
    </w:p>
    <w:p w14:paraId="22E269A5" w14:textId="77777777" w:rsidR="007862A2" w:rsidRDefault="007862A2" w:rsidP="007862A2">
      <w:pPr>
        <w:pStyle w:val="PL"/>
      </w:pPr>
      <w:r>
        <w:t xml:space="preserve">        '500':</w:t>
      </w:r>
    </w:p>
    <w:p w14:paraId="62FBB03D" w14:textId="77777777" w:rsidR="007862A2" w:rsidRDefault="007862A2" w:rsidP="007862A2">
      <w:pPr>
        <w:pStyle w:val="PL"/>
      </w:pPr>
      <w:r>
        <w:t xml:space="preserve">          $ref: 'TS29571_CommonData.yaml#/components/responses/500'</w:t>
      </w:r>
    </w:p>
    <w:p w14:paraId="6CA4F112" w14:textId="77777777" w:rsidR="007862A2" w:rsidRDefault="007862A2" w:rsidP="007862A2">
      <w:pPr>
        <w:pStyle w:val="PL"/>
      </w:pPr>
      <w:r>
        <w:t xml:space="preserve">        '501':</w:t>
      </w:r>
    </w:p>
    <w:p w14:paraId="0EC1225F" w14:textId="77777777" w:rsidR="007862A2" w:rsidRDefault="007862A2" w:rsidP="007862A2">
      <w:pPr>
        <w:pStyle w:val="PL"/>
      </w:pPr>
      <w:r>
        <w:t xml:space="preserve">          $ref: 'TS29571_CommonData.yaml#/components/responses/501'</w:t>
      </w:r>
    </w:p>
    <w:p w14:paraId="22506078" w14:textId="77777777" w:rsidR="007862A2" w:rsidRDefault="007862A2" w:rsidP="007862A2">
      <w:pPr>
        <w:pStyle w:val="PL"/>
      </w:pPr>
      <w:r>
        <w:t xml:space="preserve">        '502':</w:t>
      </w:r>
    </w:p>
    <w:p w14:paraId="009199CA" w14:textId="77777777" w:rsidR="007862A2" w:rsidRDefault="007862A2" w:rsidP="007862A2">
      <w:pPr>
        <w:pStyle w:val="PL"/>
      </w:pPr>
      <w:r>
        <w:t xml:space="preserve">          $ref: 'TS29571_CommonData.yaml#/components/responses/502'</w:t>
      </w:r>
    </w:p>
    <w:p w14:paraId="6CC584B7" w14:textId="77777777" w:rsidR="007862A2" w:rsidRDefault="007862A2" w:rsidP="007862A2">
      <w:pPr>
        <w:pStyle w:val="PL"/>
      </w:pPr>
      <w:r>
        <w:t xml:space="preserve">        '503':</w:t>
      </w:r>
    </w:p>
    <w:p w14:paraId="7081525F" w14:textId="77777777" w:rsidR="007862A2" w:rsidRDefault="007862A2" w:rsidP="007862A2">
      <w:pPr>
        <w:pStyle w:val="PL"/>
      </w:pPr>
      <w:r>
        <w:t xml:space="preserve">          $ref: 'TS29571_CommonData.yaml#/components/responses/503'</w:t>
      </w:r>
    </w:p>
    <w:p w14:paraId="2C41EF7D" w14:textId="77777777" w:rsidR="007862A2" w:rsidRDefault="007862A2" w:rsidP="007862A2">
      <w:pPr>
        <w:pStyle w:val="PL"/>
      </w:pPr>
      <w:r>
        <w:t xml:space="preserve">        default:</w:t>
      </w:r>
    </w:p>
    <w:p w14:paraId="788D5451" w14:textId="77777777" w:rsidR="007862A2" w:rsidRDefault="007862A2" w:rsidP="007862A2">
      <w:pPr>
        <w:pStyle w:val="PL"/>
      </w:pPr>
      <w:r>
        <w:t xml:space="preserve">          $ref: 'TS29571_CommonData.yaml#/components/responses/default'</w:t>
      </w:r>
    </w:p>
    <w:p w14:paraId="60E89352" w14:textId="77777777" w:rsidR="007862A2" w:rsidRDefault="007862A2" w:rsidP="007862A2">
      <w:pPr>
        <w:pStyle w:val="PL"/>
      </w:pPr>
      <w:r>
        <w:t xml:space="preserve">    put:</w:t>
      </w:r>
    </w:p>
    <w:p w14:paraId="5568A035" w14:textId="77777777" w:rsidR="007862A2" w:rsidRDefault="007862A2" w:rsidP="007862A2">
      <w:pPr>
        <w:pStyle w:val="PL"/>
      </w:pPr>
      <w:r>
        <w:t xml:space="preserve">      summary: Update an existing Individual NWDAF Events Subscription</w:t>
      </w:r>
    </w:p>
    <w:p w14:paraId="29D6EEEA" w14:textId="77777777" w:rsidR="007862A2" w:rsidRDefault="007862A2" w:rsidP="007862A2">
      <w:pPr>
        <w:pStyle w:val="PL"/>
      </w:pPr>
      <w:r>
        <w:t xml:space="preserve">      operationId: UpdateNWDAFEventsSubscription</w:t>
      </w:r>
    </w:p>
    <w:p w14:paraId="359862CC" w14:textId="77777777" w:rsidR="007862A2" w:rsidRDefault="007862A2" w:rsidP="007862A2">
      <w:pPr>
        <w:pStyle w:val="PL"/>
      </w:pPr>
      <w:r>
        <w:t xml:space="preserve">      tags:</w:t>
      </w:r>
    </w:p>
    <w:p w14:paraId="3212F324" w14:textId="77777777" w:rsidR="007862A2" w:rsidRDefault="007862A2" w:rsidP="007862A2">
      <w:pPr>
        <w:pStyle w:val="PL"/>
      </w:pPr>
      <w:r>
        <w:t xml:space="preserve">        - Individual NWDAF Events Subscription (Document)</w:t>
      </w:r>
    </w:p>
    <w:p w14:paraId="1C068D6A" w14:textId="77777777" w:rsidR="007862A2" w:rsidRDefault="007862A2" w:rsidP="007862A2">
      <w:pPr>
        <w:pStyle w:val="PL"/>
      </w:pPr>
      <w:r>
        <w:t xml:space="preserve">      requestBody:</w:t>
      </w:r>
    </w:p>
    <w:p w14:paraId="426BCD1C" w14:textId="77777777" w:rsidR="007862A2" w:rsidRDefault="007862A2" w:rsidP="007862A2">
      <w:pPr>
        <w:pStyle w:val="PL"/>
      </w:pPr>
      <w:r>
        <w:t xml:space="preserve">        required: true</w:t>
      </w:r>
    </w:p>
    <w:p w14:paraId="3CA88E74" w14:textId="77777777" w:rsidR="007862A2" w:rsidRDefault="007862A2" w:rsidP="007862A2">
      <w:pPr>
        <w:pStyle w:val="PL"/>
      </w:pPr>
      <w:r>
        <w:t xml:space="preserve">        content:</w:t>
      </w:r>
    </w:p>
    <w:p w14:paraId="296DC578" w14:textId="77777777" w:rsidR="007862A2" w:rsidRDefault="007862A2" w:rsidP="007862A2">
      <w:pPr>
        <w:pStyle w:val="PL"/>
      </w:pPr>
      <w:r>
        <w:t xml:space="preserve">          application/json:</w:t>
      </w:r>
    </w:p>
    <w:p w14:paraId="733D5173" w14:textId="77777777" w:rsidR="007862A2" w:rsidRDefault="007862A2" w:rsidP="007862A2">
      <w:pPr>
        <w:pStyle w:val="PL"/>
      </w:pPr>
      <w:r>
        <w:t xml:space="preserve">            schema:</w:t>
      </w:r>
    </w:p>
    <w:p w14:paraId="126AA636" w14:textId="77777777" w:rsidR="007862A2" w:rsidRDefault="007862A2" w:rsidP="007862A2">
      <w:pPr>
        <w:pStyle w:val="PL"/>
      </w:pPr>
      <w:r>
        <w:t xml:space="preserve">              $ref: '#/components/schemas/NnwdafEventsSubscription'</w:t>
      </w:r>
    </w:p>
    <w:p w14:paraId="20771BCB" w14:textId="77777777" w:rsidR="007862A2" w:rsidRDefault="007862A2" w:rsidP="007862A2">
      <w:pPr>
        <w:pStyle w:val="PL"/>
      </w:pPr>
      <w:r>
        <w:t xml:space="preserve">      parameters:</w:t>
      </w:r>
    </w:p>
    <w:p w14:paraId="1471FABD" w14:textId="77777777" w:rsidR="007862A2" w:rsidRDefault="007862A2" w:rsidP="007862A2">
      <w:pPr>
        <w:pStyle w:val="PL"/>
      </w:pPr>
      <w:r>
        <w:t xml:space="preserve">        - name: subscriptionId</w:t>
      </w:r>
    </w:p>
    <w:p w14:paraId="73ACDCC7" w14:textId="77777777" w:rsidR="007862A2" w:rsidRDefault="007862A2" w:rsidP="007862A2">
      <w:pPr>
        <w:pStyle w:val="PL"/>
      </w:pPr>
      <w:r>
        <w:t xml:space="preserve">          in: path</w:t>
      </w:r>
    </w:p>
    <w:p w14:paraId="499EC05E" w14:textId="77777777" w:rsidR="007862A2" w:rsidRDefault="007862A2" w:rsidP="007862A2">
      <w:pPr>
        <w:pStyle w:val="PL"/>
      </w:pPr>
      <w:r>
        <w:t xml:space="preserve">          description: String identifying a subscription to the Nnwdaf_EventsSubscription Service.</w:t>
      </w:r>
    </w:p>
    <w:p w14:paraId="6A46BC93" w14:textId="77777777" w:rsidR="007862A2" w:rsidRDefault="007862A2" w:rsidP="007862A2">
      <w:pPr>
        <w:pStyle w:val="PL"/>
      </w:pPr>
      <w:r>
        <w:t xml:space="preserve">          required: true</w:t>
      </w:r>
    </w:p>
    <w:p w14:paraId="36BD38DB" w14:textId="77777777" w:rsidR="007862A2" w:rsidRDefault="007862A2" w:rsidP="007862A2">
      <w:pPr>
        <w:pStyle w:val="PL"/>
      </w:pPr>
      <w:r>
        <w:t xml:space="preserve">          schema:</w:t>
      </w:r>
    </w:p>
    <w:p w14:paraId="143B0127" w14:textId="77777777" w:rsidR="007862A2" w:rsidRDefault="007862A2" w:rsidP="007862A2">
      <w:pPr>
        <w:pStyle w:val="PL"/>
      </w:pPr>
      <w:r>
        <w:t xml:space="preserve">            type: string</w:t>
      </w:r>
    </w:p>
    <w:p w14:paraId="36A7F59B" w14:textId="77777777" w:rsidR="007862A2" w:rsidRDefault="007862A2" w:rsidP="007862A2">
      <w:pPr>
        <w:pStyle w:val="PL"/>
      </w:pPr>
      <w:r>
        <w:t xml:space="preserve">      responses:</w:t>
      </w:r>
    </w:p>
    <w:p w14:paraId="64861D3D" w14:textId="77777777" w:rsidR="007862A2" w:rsidRDefault="007862A2" w:rsidP="007862A2">
      <w:pPr>
        <w:pStyle w:val="PL"/>
      </w:pPr>
      <w:r>
        <w:t xml:space="preserve">        '200':</w:t>
      </w:r>
    </w:p>
    <w:p w14:paraId="081C9683" w14:textId="77777777" w:rsidR="007862A2" w:rsidRDefault="007862A2" w:rsidP="007862A2">
      <w:pPr>
        <w:pStyle w:val="PL"/>
      </w:pPr>
      <w:r>
        <w:t xml:space="preserve">          description: &gt;</w:t>
      </w:r>
    </w:p>
    <w:p w14:paraId="4BC6E1E7" w14:textId="77777777" w:rsidR="007862A2" w:rsidRDefault="007862A2" w:rsidP="007862A2">
      <w:pPr>
        <w:pStyle w:val="PL"/>
      </w:pPr>
      <w:r>
        <w:t xml:space="preserve">            The Individual NWDAF Event Subscription resource was modified successfully and a</w:t>
      </w:r>
    </w:p>
    <w:p w14:paraId="27D52B3E" w14:textId="77777777" w:rsidR="007862A2" w:rsidRDefault="007862A2" w:rsidP="007862A2">
      <w:pPr>
        <w:pStyle w:val="PL"/>
      </w:pPr>
      <w:r>
        <w:t xml:space="preserve">            representation of that resource is returned.</w:t>
      </w:r>
    </w:p>
    <w:p w14:paraId="37E8B893" w14:textId="77777777" w:rsidR="007862A2" w:rsidRDefault="007862A2" w:rsidP="007862A2">
      <w:pPr>
        <w:pStyle w:val="PL"/>
      </w:pPr>
      <w:r>
        <w:t xml:space="preserve">          content:</w:t>
      </w:r>
    </w:p>
    <w:p w14:paraId="75FDAB14" w14:textId="77777777" w:rsidR="007862A2" w:rsidRDefault="007862A2" w:rsidP="007862A2">
      <w:pPr>
        <w:pStyle w:val="PL"/>
      </w:pPr>
      <w:r>
        <w:t xml:space="preserve">            application/json:</w:t>
      </w:r>
    </w:p>
    <w:p w14:paraId="1F9909A4" w14:textId="77777777" w:rsidR="007862A2" w:rsidRDefault="007862A2" w:rsidP="007862A2">
      <w:pPr>
        <w:pStyle w:val="PL"/>
      </w:pPr>
      <w:r>
        <w:t xml:space="preserve">              schema:</w:t>
      </w:r>
    </w:p>
    <w:p w14:paraId="4D13974B" w14:textId="77777777" w:rsidR="007862A2" w:rsidRDefault="007862A2" w:rsidP="007862A2">
      <w:pPr>
        <w:pStyle w:val="PL"/>
      </w:pPr>
      <w:r>
        <w:t xml:space="preserve">                $ref: '#/components/schemas/NnwdafEventsSubscription'</w:t>
      </w:r>
    </w:p>
    <w:p w14:paraId="039FF35D" w14:textId="77777777" w:rsidR="007862A2" w:rsidRDefault="007862A2" w:rsidP="007862A2">
      <w:pPr>
        <w:pStyle w:val="PL"/>
      </w:pPr>
      <w:r>
        <w:t xml:space="preserve">        '204':</w:t>
      </w:r>
    </w:p>
    <w:p w14:paraId="2A47E578" w14:textId="77777777" w:rsidR="007862A2" w:rsidRDefault="007862A2" w:rsidP="007862A2">
      <w:pPr>
        <w:pStyle w:val="PL"/>
      </w:pPr>
      <w:r>
        <w:t xml:space="preserve">          description: The Individual NWDAF Event Subscription resource was modified successfully.</w:t>
      </w:r>
    </w:p>
    <w:p w14:paraId="233AE64A" w14:textId="77777777" w:rsidR="007862A2" w:rsidRDefault="007862A2" w:rsidP="007862A2">
      <w:pPr>
        <w:pStyle w:val="PL"/>
      </w:pPr>
      <w:r>
        <w:t xml:space="preserve">        '307':</w:t>
      </w:r>
    </w:p>
    <w:p w14:paraId="25A1797B" w14:textId="77777777" w:rsidR="007862A2" w:rsidRDefault="007862A2" w:rsidP="007862A2">
      <w:pPr>
        <w:pStyle w:val="PL"/>
      </w:pPr>
      <w:r>
        <w:t xml:space="preserve">          $ref: 'TS29571_CommonData.yaml#/components/responses/307'</w:t>
      </w:r>
    </w:p>
    <w:p w14:paraId="3EBE19EF" w14:textId="77777777" w:rsidR="007862A2" w:rsidRDefault="007862A2" w:rsidP="007862A2">
      <w:pPr>
        <w:pStyle w:val="PL"/>
      </w:pPr>
      <w:r>
        <w:t xml:space="preserve">        '308':</w:t>
      </w:r>
    </w:p>
    <w:p w14:paraId="1DF5ACC9" w14:textId="77777777" w:rsidR="007862A2" w:rsidRDefault="007862A2" w:rsidP="007862A2">
      <w:pPr>
        <w:pStyle w:val="PL"/>
      </w:pPr>
      <w:r>
        <w:t xml:space="preserve">          $ref: 'TS29571_CommonData.yaml#/components/responses/308'</w:t>
      </w:r>
    </w:p>
    <w:p w14:paraId="74F24F04" w14:textId="77777777" w:rsidR="007862A2" w:rsidRDefault="007862A2" w:rsidP="007862A2">
      <w:pPr>
        <w:pStyle w:val="PL"/>
      </w:pPr>
      <w:r>
        <w:t xml:space="preserve">        '400':</w:t>
      </w:r>
    </w:p>
    <w:p w14:paraId="0ECE4EE8" w14:textId="77777777" w:rsidR="007862A2" w:rsidRDefault="007862A2" w:rsidP="007862A2">
      <w:pPr>
        <w:pStyle w:val="PL"/>
      </w:pPr>
      <w:r>
        <w:t xml:space="preserve">          $ref: 'TS29571_CommonData.yaml#/components/responses/400'</w:t>
      </w:r>
    </w:p>
    <w:p w14:paraId="1BB5D6E7" w14:textId="77777777" w:rsidR="007862A2" w:rsidRDefault="007862A2" w:rsidP="007862A2">
      <w:pPr>
        <w:pStyle w:val="PL"/>
      </w:pPr>
      <w:r>
        <w:t xml:space="preserve">        '401':</w:t>
      </w:r>
    </w:p>
    <w:p w14:paraId="2A020D5F" w14:textId="77777777" w:rsidR="007862A2" w:rsidRDefault="007862A2" w:rsidP="007862A2">
      <w:pPr>
        <w:pStyle w:val="PL"/>
      </w:pPr>
      <w:r>
        <w:lastRenderedPageBreak/>
        <w:t xml:space="preserve">          $ref: 'TS29571_CommonData.yaml#/components/responses/401'</w:t>
      </w:r>
    </w:p>
    <w:p w14:paraId="2BC7CADB" w14:textId="77777777" w:rsidR="007862A2" w:rsidRDefault="007862A2" w:rsidP="007862A2">
      <w:pPr>
        <w:pStyle w:val="PL"/>
        <w:rPr>
          <w:rFonts w:eastAsia="等线"/>
        </w:rPr>
      </w:pPr>
      <w:r>
        <w:rPr>
          <w:rFonts w:eastAsia="等线"/>
        </w:rPr>
        <w:t xml:space="preserve">        '403':</w:t>
      </w:r>
    </w:p>
    <w:p w14:paraId="2ABE0921" w14:textId="77777777" w:rsidR="007862A2" w:rsidRDefault="007862A2" w:rsidP="007862A2">
      <w:pPr>
        <w:pStyle w:val="PL"/>
        <w:rPr>
          <w:rFonts w:eastAsia="等线"/>
        </w:rPr>
      </w:pPr>
      <w:r>
        <w:rPr>
          <w:rFonts w:eastAsia="等线"/>
        </w:rPr>
        <w:t xml:space="preserve">          $ref: 'TS29571_CommonData.yaml#/components/responses/403'</w:t>
      </w:r>
    </w:p>
    <w:p w14:paraId="5770FB19" w14:textId="77777777" w:rsidR="007862A2" w:rsidRDefault="007862A2" w:rsidP="007862A2">
      <w:pPr>
        <w:pStyle w:val="PL"/>
      </w:pPr>
      <w:r>
        <w:t xml:space="preserve">        '404':</w:t>
      </w:r>
    </w:p>
    <w:p w14:paraId="245DCC32" w14:textId="77777777" w:rsidR="007862A2" w:rsidRDefault="007862A2" w:rsidP="007862A2">
      <w:pPr>
        <w:pStyle w:val="PL"/>
      </w:pPr>
      <w:r>
        <w:t xml:space="preserve">          $ref: 'TS29571_CommonData.yaml#/components/responses/404'</w:t>
      </w:r>
    </w:p>
    <w:p w14:paraId="3D6F5309" w14:textId="77777777" w:rsidR="007862A2" w:rsidRDefault="007862A2" w:rsidP="007862A2">
      <w:pPr>
        <w:pStyle w:val="PL"/>
      </w:pPr>
      <w:r>
        <w:t xml:space="preserve">        '411':</w:t>
      </w:r>
    </w:p>
    <w:p w14:paraId="72D154F0" w14:textId="77777777" w:rsidR="007862A2" w:rsidRDefault="007862A2" w:rsidP="007862A2">
      <w:pPr>
        <w:pStyle w:val="PL"/>
      </w:pPr>
      <w:r>
        <w:t xml:space="preserve">          $ref: 'TS29571_CommonData.yaml#/components/responses/411'</w:t>
      </w:r>
    </w:p>
    <w:p w14:paraId="63B45EC4" w14:textId="77777777" w:rsidR="007862A2" w:rsidRDefault="007862A2" w:rsidP="007862A2">
      <w:pPr>
        <w:pStyle w:val="PL"/>
      </w:pPr>
      <w:r>
        <w:t xml:space="preserve">        '413':</w:t>
      </w:r>
    </w:p>
    <w:p w14:paraId="19A46E7B" w14:textId="77777777" w:rsidR="007862A2" w:rsidRDefault="007862A2" w:rsidP="007862A2">
      <w:pPr>
        <w:pStyle w:val="PL"/>
      </w:pPr>
      <w:r>
        <w:t xml:space="preserve">          $ref: 'TS29571_CommonData.yaml#/components/responses/413'</w:t>
      </w:r>
    </w:p>
    <w:p w14:paraId="542F2007" w14:textId="77777777" w:rsidR="007862A2" w:rsidRDefault="007862A2" w:rsidP="007862A2">
      <w:pPr>
        <w:pStyle w:val="PL"/>
      </w:pPr>
      <w:r>
        <w:t xml:space="preserve">        '415':</w:t>
      </w:r>
    </w:p>
    <w:p w14:paraId="2EEC80FD" w14:textId="77777777" w:rsidR="007862A2" w:rsidRDefault="007862A2" w:rsidP="007862A2">
      <w:pPr>
        <w:pStyle w:val="PL"/>
      </w:pPr>
      <w:r>
        <w:t xml:space="preserve">          $ref: 'TS29571_CommonData.yaml#/components/responses/415'</w:t>
      </w:r>
    </w:p>
    <w:p w14:paraId="421D3896" w14:textId="77777777" w:rsidR="007862A2" w:rsidRDefault="007862A2" w:rsidP="007862A2">
      <w:pPr>
        <w:pStyle w:val="PL"/>
        <w:rPr>
          <w:rFonts w:eastAsia="等线"/>
        </w:rPr>
      </w:pPr>
      <w:r>
        <w:rPr>
          <w:rFonts w:eastAsia="等线"/>
        </w:rPr>
        <w:t xml:space="preserve">        '429':</w:t>
      </w:r>
    </w:p>
    <w:p w14:paraId="7610A1B0" w14:textId="77777777" w:rsidR="007862A2" w:rsidRDefault="007862A2" w:rsidP="007862A2">
      <w:pPr>
        <w:pStyle w:val="PL"/>
        <w:rPr>
          <w:rFonts w:eastAsia="等线"/>
        </w:rPr>
      </w:pPr>
      <w:r>
        <w:rPr>
          <w:rFonts w:eastAsia="等线"/>
        </w:rPr>
        <w:t xml:space="preserve">          $ref: 'TS29571_CommonData.yaml#/components/responses/429'</w:t>
      </w:r>
    </w:p>
    <w:p w14:paraId="7717DCE9" w14:textId="77777777" w:rsidR="007862A2" w:rsidRDefault="007862A2" w:rsidP="007862A2">
      <w:pPr>
        <w:pStyle w:val="PL"/>
      </w:pPr>
      <w:r>
        <w:t xml:space="preserve">        '500':</w:t>
      </w:r>
    </w:p>
    <w:p w14:paraId="6982E023" w14:textId="77777777" w:rsidR="007862A2" w:rsidRDefault="007862A2" w:rsidP="007862A2">
      <w:pPr>
        <w:pStyle w:val="PL"/>
      </w:pPr>
      <w:r>
        <w:t xml:space="preserve">          $ref: 'TS29571_CommonData.yaml#/components/responses/500'</w:t>
      </w:r>
    </w:p>
    <w:p w14:paraId="5CDD848A" w14:textId="77777777" w:rsidR="007862A2" w:rsidRDefault="007862A2" w:rsidP="007862A2">
      <w:pPr>
        <w:pStyle w:val="PL"/>
      </w:pPr>
      <w:r>
        <w:t xml:space="preserve">        '501':</w:t>
      </w:r>
    </w:p>
    <w:p w14:paraId="39329C91" w14:textId="77777777" w:rsidR="007862A2" w:rsidRDefault="007862A2" w:rsidP="007862A2">
      <w:pPr>
        <w:pStyle w:val="PL"/>
      </w:pPr>
      <w:r>
        <w:t xml:space="preserve">          $ref: 'TS29571_CommonData.yaml#/components/responses/501'</w:t>
      </w:r>
    </w:p>
    <w:p w14:paraId="65AD38DF" w14:textId="77777777" w:rsidR="007862A2" w:rsidRDefault="007862A2" w:rsidP="007862A2">
      <w:pPr>
        <w:pStyle w:val="PL"/>
      </w:pPr>
      <w:r>
        <w:t xml:space="preserve">        '502':</w:t>
      </w:r>
    </w:p>
    <w:p w14:paraId="416BA6D1" w14:textId="77777777" w:rsidR="007862A2" w:rsidRDefault="007862A2" w:rsidP="007862A2">
      <w:pPr>
        <w:pStyle w:val="PL"/>
      </w:pPr>
      <w:r>
        <w:t xml:space="preserve">          $ref: 'TS29571_CommonData.yaml#/components/responses/502'</w:t>
      </w:r>
    </w:p>
    <w:p w14:paraId="59EB77AA" w14:textId="77777777" w:rsidR="007862A2" w:rsidRDefault="007862A2" w:rsidP="007862A2">
      <w:pPr>
        <w:pStyle w:val="PL"/>
      </w:pPr>
      <w:r>
        <w:t xml:space="preserve">        '503':</w:t>
      </w:r>
    </w:p>
    <w:p w14:paraId="395AA97F" w14:textId="77777777" w:rsidR="007862A2" w:rsidRDefault="007862A2" w:rsidP="007862A2">
      <w:pPr>
        <w:pStyle w:val="PL"/>
      </w:pPr>
      <w:r>
        <w:t xml:space="preserve">          $ref: 'TS29571_CommonData.yaml#/components/responses/503'</w:t>
      </w:r>
    </w:p>
    <w:p w14:paraId="662546D3" w14:textId="77777777" w:rsidR="007862A2" w:rsidRDefault="007862A2" w:rsidP="007862A2">
      <w:pPr>
        <w:pStyle w:val="PL"/>
      </w:pPr>
      <w:r>
        <w:t xml:space="preserve">        default:</w:t>
      </w:r>
    </w:p>
    <w:p w14:paraId="3F1AF6C0" w14:textId="77777777" w:rsidR="007862A2" w:rsidRDefault="007862A2" w:rsidP="007862A2">
      <w:pPr>
        <w:pStyle w:val="PL"/>
      </w:pPr>
      <w:r>
        <w:t xml:space="preserve">          $ref: 'TS29571_CommonData.yaml#/components/responses/default'</w:t>
      </w:r>
    </w:p>
    <w:p w14:paraId="08790563" w14:textId="77777777" w:rsidR="007862A2" w:rsidRDefault="007862A2" w:rsidP="007862A2">
      <w:pPr>
        <w:pStyle w:val="PL"/>
      </w:pPr>
    </w:p>
    <w:p w14:paraId="25D04E14" w14:textId="77777777" w:rsidR="007862A2" w:rsidRDefault="007862A2" w:rsidP="007862A2">
      <w:pPr>
        <w:pStyle w:val="PL"/>
      </w:pPr>
      <w:r>
        <w:t xml:space="preserve">  /transfers:</w:t>
      </w:r>
    </w:p>
    <w:p w14:paraId="43502810" w14:textId="77777777" w:rsidR="007862A2" w:rsidRDefault="007862A2" w:rsidP="007862A2">
      <w:pPr>
        <w:pStyle w:val="PL"/>
      </w:pPr>
      <w:r>
        <w:t xml:space="preserve">    post:</w:t>
      </w:r>
    </w:p>
    <w:p w14:paraId="751DBCA2" w14:textId="77777777" w:rsidR="007862A2" w:rsidRDefault="007862A2" w:rsidP="007862A2">
      <w:pPr>
        <w:pStyle w:val="PL"/>
      </w:pPr>
      <w:r>
        <w:t xml:space="preserve">      summary: Provide information about requested analytics subscriptions transfer and potentially create a new Individual NWDAF Event Subscription Transfer resource.</w:t>
      </w:r>
    </w:p>
    <w:p w14:paraId="10DA965B" w14:textId="77777777" w:rsidR="007862A2" w:rsidRDefault="007862A2" w:rsidP="007862A2">
      <w:pPr>
        <w:pStyle w:val="PL"/>
      </w:pPr>
      <w:r>
        <w:t xml:space="preserve">      operationId: CreateNWDAFEventSubscriptionTransfer</w:t>
      </w:r>
    </w:p>
    <w:p w14:paraId="2CC6CC25" w14:textId="77777777" w:rsidR="007862A2" w:rsidRDefault="007862A2" w:rsidP="007862A2">
      <w:pPr>
        <w:pStyle w:val="PL"/>
      </w:pPr>
      <w:r>
        <w:t xml:space="preserve">      tags:</w:t>
      </w:r>
    </w:p>
    <w:p w14:paraId="61926BED" w14:textId="77777777" w:rsidR="007862A2" w:rsidRDefault="007862A2" w:rsidP="007862A2">
      <w:pPr>
        <w:pStyle w:val="PL"/>
      </w:pPr>
      <w:r>
        <w:t xml:space="preserve">        - NWDAF Event Subscription Transfers (Collection)</w:t>
      </w:r>
    </w:p>
    <w:p w14:paraId="49433DB0" w14:textId="77777777" w:rsidR="007862A2" w:rsidRDefault="007862A2" w:rsidP="007862A2">
      <w:pPr>
        <w:pStyle w:val="PL"/>
      </w:pPr>
      <w:r>
        <w:t xml:space="preserve">      security:</w:t>
      </w:r>
    </w:p>
    <w:p w14:paraId="33A25391" w14:textId="77777777" w:rsidR="007862A2" w:rsidRDefault="007862A2" w:rsidP="007862A2">
      <w:pPr>
        <w:pStyle w:val="PL"/>
      </w:pPr>
      <w:r>
        <w:t xml:space="preserve">        - {}</w:t>
      </w:r>
    </w:p>
    <w:p w14:paraId="756CB837" w14:textId="77777777" w:rsidR="007862A2" w:rsidRDefault="007862A2" w:rsidP="007862A2">
      <w:pPr>
        <w:pStyle w:val="PL"/>
      </w:pPr>
      <w:r>
        <w:t xml:space="preserve">        - oAuth2ClientCredentials:</w:t>
      </w:r>
    </w:p>
    <w:p w14:paraId="66E40E50" w14:textId="77777777" w:rsidR="007862A2" w:rsidRDefault="007862A2" w:rsidP="007862A2">
      <w:pPr>
        <w:pStyle w:val="PL"/>
      </w:pPr>
      <w:r>
        <w:t xml:space="preserve">          - nnwdaf-eventssubscription</w:t>
      </w:r>
    </w:p>
    <w:p w14:paraId="56060879" w14:textId="77777777" w:rsidR="007862A2" w:rsidRDefault="007862A2" w:rsidP="007862A2">
      <w:pPr>
        <w:pStyle w:val="PL"/>
      </w:pPr>
      <w:r>
        <w:t xml:space="preserve">        - oAuth2ClientCredentials:</w:t>
      </w:r>
    </w:p>
    <w:p w14:paraId="407FFC00" w14:textId="77777777" w:rsidR="007862A2" w:rsidRDefault="007862A2" w:rsidP="007862A2">
      <w:pPr>
        <w:pStyle w:val="PL"/>
      </w:pPr>
      <w:r>
        <w:t xml:space="preserve">          - nnwdaf-eventssubscription</w:t>
      </w:r>
    </w:p>
    <w:p w14:paraId="08F35103" w14:textId="77777777" w:rsidR="007862A2" w:rsidRDefault="007862A2" w:rsidP="007862A2">
      <w:pPr>
        <w:pStyle w:val="PL"/>
      </w:pPr>
      <w:r>
        <w:t xml:space="preserve">          - nnwdaf-eventssubscription:transfer</w:t>
      </w:r>
    </w:p>
    <w:p w14:paraId="79779EBA" w14:textId="77777777" w:rsidR="007862A2" w:rsidRDefault="007862A2" w:rsidP="007862A2">
      <w:pPr>
        <w:pStyle w:val="PL"/>
      </w:pPr>
      <w:r>
        <w:t xml:space="preserve">      requestBody:</w:t>
      </w:r>
    </w:p>
    <w:p w14:paraId="7D114013" w14:textId="77777777" w:rsidR="007862A2" w:rsidRDefault="007862A2" w:rsidP="007862A2">
      <w:pPr>
        <w:pStyle w:val="PL"/>
      </w:pPr>
      <w:r>
        <w:t xml:space="preserve">        required: true</w:t>
      </w:r>
    </w:p>
    <w:p w14:paraId="19D41882" w14:textId="77777777" w:rsidR="007862A2" w:rsidRDefault="007862A2" w:rsidP="007862A2">
      <w:pPr>
        <w:pStyle w:val="PL"/>
      </w:pPr>
      <w:r>
        <w:t xml:space="preserve">        content:</w:t>
      </w:r>
    </w:p>
    <w:p w14:paraId="78BCF396" w14:textId="77777777" w:rsidR="007862A2" w:rsidRDefault="007862A2" w:rsidP="007862A2">
      <w:pPr>
        <w:pStyle w:val="PL"/>
      </w:pPr>
      <w:r>
        <w:t xml:space="preserve">          application/json:</w:t>
      </w:r>
    </w:p>
    <w:p w14:paraId="03D9C2D3" w14:textId="77777777" w:rsidR="007862A2" w:rsidRDefault="007862A2" w:rsidP="007862A2">
      <w:pPr>
        <w:pStyle w:val="PL"/>
      </w:pPr>
      <w:r>
        <w:t xml:space="preserve">            schema:</w:t>
      </w:r>
    </w:p>
    <w:p w14:paraId="5413B98C" w14:textId="77777777" w:rsidR="007862A2" w:rsidRDefault="007862A2" w:rsidP="007862A2">
      <w:pPr>
        <w:pStyle w:val="PL"/>
      </w:pPr>
      <w:r>
        <w:t xml:space="preserve">              $ref: '#/components/schemas/AnalyticsSubscriptionsTransfer'</w:t>
      </w:r>
    </w:p>
    <w:p w14:paraId="13C1FFBC" w14:textId="77777777" w:rsidR="007862A2" w:rsidRDefault="007862A2" w:rsidP="007862A2">
      <w:pPr>
        <w:pStyle w:val="PL"/>
      </w:pPr>
      <w:r>
        <w:t xml:space="preserve">      responses:</w:t>
      </w:r>
    </w:p>
    <w:p w14:paraId="147C9AE7" w14:textId="77777777" w:rsidR="007862A2" w:rsidRDefault="007862A2" w:rsidP="007862A2">
      <w:pPr>
        <w:pStyle w:val="PL"/>
      </w:pPr>
      <w:r>
        <w:t xml:space="preserve">        '201':</w:t>
      </w:r>
    </w:p>
    <w:p w14:paraId="0B4F4DF6" w14:textId="77777777" w:rsidR="007862A2" w:rsidRDefault="007862A2" w:rsidP="007862A2">
      <w:pPr>
        <w:pStyle w:val="PL"/>
      </w:pPr>
      <w:r>
        <w:t xml:space="preserve">          description: Create a new Individual NWDAF Event Subscription Transfer resource.</w:t>
      </w:r>
    </w:p>
    <w:p w14:paraId="7C6E9920" w14:textId="77777777" w:rsidR="007862A2" w:rsidRDefault="007862A2" w:rsidP="007862A2">
      <w:pPr>
        <w:pStyle w:val="PL"/>
        <w:rPr>
          <w:rFonts w:eastAsia="等线"/>
        </w:rPr>
      </w:pPr>
      <w:r>
        <w:rPr>
          <w:rFonts w:eastAsia="等线"/>
        </w:rPr>
        <w:t xml:space="preserve">          headers:</w:t>
      </w:r>
    </w:p>
    <w:p w14:paraId="39F55AC2" w14:textId="77777777" w:rsidR="007862A2" w:rsidRDefault="007862A2" w:rsidP="007862A2">
      <w:pPr>
        <w:pStyle w:val="PL"/>
        <w:rPr>
          <w:rFonts w:eastAsia="等线"/>
        </w:rPr>
      </w:pPr>
      <w:r>
        <w:rPr>
          <w:rFonts w:eastAsia="等线"/>
        </w:rPr>
        <w:t xml:space="preserve">            Location:</w:t>
      </w:r>
    </w:p>
    <w:p w14:paraId="14A7A151" w14:textId="77777777" w:rsidR="007862A2" w:rsidRDefault="007862A2" w:rsidP="007862A2">
      <w:pPr>
        <w:pStyle w:val="PL"/>
        <w:rPr>
          <w:rFonts w:eastAsia="等线"/>
        </w:rPr>
      </w:pPr>
      <w:r>
        <w:rPr>
          <w:rFonts w:eastAsia="等线"/>
        </w:rPr>
        <w:t xml:space="preserve">              description: &gt;</w:t>
      </w:r>
    </w:p>
    <w:p w14:paraId="7DE455EC" w14:textId="77777777" w:rsidR="007862A2" w:rsidRDefault="007862A2" w:rsidP="007862A2">
      <w:pPr>
        <w:pStyle w:val="PL"/>
        <w:rPr>
          <w:rFonts w:eastAsia="等线"/>
        </w:rPr>
      </w:pPr>
      <w:r>
        <w:t xml:space="preserve">                </w:t>
      </w:r>
      <w:r>
        <w:rPr>
          <w:rFonts w:eastAsia="等线"/>
        </w:rPr>
        <w:t>Contains the URI of the newly created resource, according to the structure</w:t>
      </w:r>
    </w:p>
    <w:p w14:paraId="3BC13319" w14:textId="77777777" w:rsidR="007862A2" w:rsidRDefault="007862A2" w:rsidP="007862A2">
      <w:pPr>
        <w:pStyle w:val="PL"/>
        <w:rPr>
          <w:rFonts w:eastAsia="等线"/>
        </w:rPr>
      </w:pPr>
      <w:r>
        <w:t xml:space="preserve">                </w:t>
      </w:r>
      <w:r>
        <w:rPr>
          <w:rFonts w:eastAsia="等线"/>
        </w:rPr>
        <w:t>{apiRoot}/nnwdaf-eventssubscription/&lt;apiVersion&gt;/transfers/{transferId}</w:t>
      </w:r>
    </w:p>
    <w:p w14:paraId="7DD2235D" w14:textId="77777777" w:rsidR="007862A2" w:rsidRDefault="007862A2" w:rsidP="007862A2">
      <w:pPr>
        <w:pStyle w:val="PL"/>
        <w:rPr>
          <w:rFonts w:eastAsia="等线"/>
        </w:rPr>
      </w:pPr>
      <w:r>
        <w:rPr>
          <w:rFonts w:eastAsia="等线"/>
        </w:rPr>
        <w:t xml:space="preserve">              required: true</w:t>
      </w:r>
    </w:p>
    <w:p w14:paraId="01A3AC76" w14:textId="77777777" w:rsidR="007862A2" w:rsidRDefault="007862A2" w:rsidP="007862A2">
      <w:pPr>
        <w:pStyle w:val="PL"/>
        <w:rPr>
          <w:rFonts w:eastAsia="等线"/>
        </w:rPr>
      </w:pPr>
      <w:r>
        <w:rPr>
          <w:rFonts w:eastAsia="等线"/>
        </w:rPr>
        <w:t xml:space="preserve">              schema:</w:t>
      </w:r>
    </w:p>
    <w:p w14:paraId="7F1BE023" w14:textId="77777777" w:rsidR="007862A2" w:rsidRDefault="007862A2" w:rsidP="007862A2">
      <w:pPr>
        <w:pStyle w:val="PL"/>
        <w:rPr>
          <w:rFonts w:eastAsia="等线"/>
        </w:rPr>
      </w:pPr>
      <w:r>
        <w:rPr>
          <w:rFonts w:eastAsia="等线"/>
        </w:rPr>
        <w:t xml:space="preserve">                type: string</w:t>
      </w:r>
    </w:p>
    <w:p w14:paraId="6B72A489" w14:textId="77777777" w:rsidR="007862A2" w:rsidRDefault="007862A2" w:rsidP="007862A2">
      <w:pPr>
        <w:pStyle w:val="PL"/>
      </w:pPr>
      <w:r>
        <w:t xml:space="preserve">        '204':</w:t>
      </w:r>
    </w:p>
    <w:p w14:paraId="281F10E2" w14:textId="77777777" w:rsidR="007862A2" w:rsidRDefault="007862A2" w:rsidP="007862A2">
      <w:pPr>
        <w:pStyle w:val="PL"/>
      </w:pPr>
      <w:r>
        <w:t xml:space="preserve">          description: &gt;</w:t>
      </w:r>
    </w:p>
    <w:p w14:paraId="4AD78458" w14:textId="77777777" w:rsidR="007862A2" w:rsidRDefault="007862A2" w:rsidP="007862A2">
      <w:pPr>
        <w:pStyle w:val="PL"/>
      </w:pPr>
      <w:r>
        <w:t xml:space="preserve">            No Content. The receipt of the information about analytics subscription(s) that are</w:t>
      </w:r>
    </w:p>
    <w:p w14:paraId="48FD006E" w14:textId="77777777" w:rsidR="007862A2" w:rsidRDefault="007862A2" w:rsidP="007862A2">
      <w:pPr>
        <w:pStyle w:val="PL"/>
      </w:pPr>
      <w:r>
        <w:t xml:space="preserve">            requested to be transferred and the ability to handle this information (e.g. execute the</w:t>
      </w:r>
    </w:p>
    <w:p w14:paraId="2D065B59" w14:textId="77777777" w:rsidR="007862A2" w:rsidRDefault="007862A2" w:rsidP="007862A2">
      <w:pPr>
        <w:pStyle w:val="PL"/>
      </w:pPr>
      <w:r>
        <w:t xml:space="preserve">            steps required to transfer an analytics subscription directly) is confirmed.</w:t>
      </w:r>
    </w:p>
    <w:p w14:paraId="67EB2193" w14:textId="77777777" w:rsidR="007862A2" w:rsidRDefault="007862A2" w:rsidP="007862A2">
      <w:pPr>
        <w:pStyle w:val="PL"/>
      </w:pPr>
      <w:r>
        <w:t xml:space="preserve">        '400':</w:t>
      </w:r>
    </w:p>
    <w:p w14:paraId="4273DFBD" w14:textId="77777777" w:rsidR="007862A2" w:rsidRDefault="007862A2" w:rsidP="007862A2">
      <w:pPr>
        <w:pStyle w:val="PL"/>
      </w:pPr>
      <w:r>
        <w:t xml:space="preserve">          $ref: 'TS29571_CommonData.yaml#/components/responses/400'</w:t>
      </w:r>
    </w:p>
    <w:p w14:paraId="725B3F9B" w14:textId="77777777" w:rsidR="007862A2" w:rsidRDefault="007862A2" w:rsidP="007862A2">
      <w:pPr>
        <w:pStyle w:val="PL"/>
      </w:pPr>
      <w:r>
        <w:t xml:space="preserve">        '401':</w:t>
      </w:r>
    </w:p>
    <w:p w14:paraId="31A4175E" w14:textId="77777777" w:rsidR="007862A2" w:rsidRDefault="007862A2" w:rsidP="007862A2">
      <w:pPr>
        <w:pStyle w:val="PL"/>
      </w:pPr>
      <w:r>
        <w:t xml:space="preserve">          $ref: 'TS29571_CommonData.yaml#/components/responses/401'</w:t>
      </w:r>
    </w:p>
    <w:p w14:paraId="7F2146F0" w14:textId="77777777" w:rsidR="007862A2" w:rsidRDefault="007862A2" w:rsidP="007862A2">
      <w:pPr>
        <w:pStyle w:val="PL"/>
        <w:rPr>
          <w:rFonts w:eastAsia="等线"/>
        </w:rPr>
      </w:pPr>
      <w:r>
        <w:rPr>
          <w:rFonts w:eastAsia="等线"/>
        </w:rPr>
        <w:t xml:space="preserve">        '403':</w:t>
      </w:r>
    </w:p>
    <w:p w14:paraId="3AAB6491" w14:textId="77777777" w:rsidR="007862A2" w:rsidRDefault="007862A2" w:rsidP="007862A2">
      <w:pPr>
        <w:pStyle w:val="PL"/>
        <w:rPr>
          <w:rFonts w:eastAsia="等线"/>
        </w:rPr>
      </w:pPr>
      <w:r>
        <w:rPr>
          <w:rFonts w:eastAsia="等线"/>
        </w:rPr>
        <w:t xml:space="preserve">          $ref: 'TS29571_CommonData.yaml#/components/responses/403'</w:t>
      </w:r>
    </w:p>
    <w:p w14:paraId="5C3DE06C" w14:textId="77777777" w:rsidR="007862A2" w:rsidRDefault="007862A2" w:rsidP="007862A2">
      <w:pPr>
        <w:pStyle w:val="PL"/>
      </w:pPr>
      <w:r>
        <w:t xml:space="preserve">        '404':</w:t>
      </w:r>
    </w:p>
    <w:p w14:paraId="4CD76F97" w14:textId="77777777" w:rsidR="007862A2" w:rsidRDefault="007862A2" w:rsidP="007862A2">
      <w:pPr>
        <w:pStyle w:val="PL"/>
      </w:pPr>
      <w:r>
        <w:t xml:space="preserve">          $ref: 'TS29571_CommonData.yaml#/components/responses/404'</w:t>
      </w:r>
    </w:p>
    <w:p w14:paraId="7FE0E452" w14:textId="77777777" w:rsidR="007862A2" w:rsidRDefault="007862A2" w:rsidP="007862A2">
      <w:pPr>
        <w:pStyle w:val="PL"/>
      </w:pPr>
      <w:r>
        <w:t xml:space="preserve">        '411':</w:t>
      </w:r>
    </w:p>
    <w:p w14:paraId="71A41047" w14:textId="77777777" w:rsidR="007862A2" w:rsidRDefault="007862A2" w:rsidP="007862A2">
      <w:pPr>
        <w:pStyle w:val="PL"/>
      </w:pPr>
      <w:r>
        <w:t xml:space="preserve">          $ref: 'TS29571_CommonData.yaml#/components/responses/411'</w:t>
      </w:r>
    </w:p>
    <w:p w14:paraId="3E11629D" w14:textId="77777777" w:rsidR="007862A2" w:rsidRDefault="007862A2" w:rsidP="007862A2">
      <w:pPr>
        <w:pStyle w:val="PL"/>
      </w:pPr>
      <w:r>
        <w:t xml:space="preserve">        '413':</w:t>
      </w:r>
    </w:p>
    <w:p w14:paraId="3C00ED63" w14:textId="77777777" w:rsidR="007862A2" w:rsidRDefault="007862A2" w:rsidP="007862A2">
      <w:pPr>
        <w:pStyle w:val="PL"/>
      </w:pPr>
      <w:r>
        <w:t xml:space="preserve">          $ref: 'TS29571_CommonData.yaml#/components/responses/413'</w:t>
      </w:r>
    </w:p>
    <w:p w14:paraId="0A9FCC54" w14:textId="77777777" w:rsidR="007862A2" w:rsidRDefault="007862A2" w:rsidP="007862A2">
      <w:pPr>
        <w:pStyle w:val="PL"/>
      </w:pPr>
      <w:r>
        <w:t xml:space="preserve">        '415':</w:t>
      </w:r>
    </w:p>
    <w:p w14:paraId="2F6E726E" w14:textId="77777777" w:rsidR="007862A2" w:rsidRDefault="007862A2" w:rsidP="007862A2">
      <w:pPr>
        <w:pStyle w:val="PL"/>
      </w:pPr>
      <w:r>
        <w:t xml:space="preserve">          $ref: 'TS29571_CommonData.yaml#/components/responses/415'</w:t>
      </w:r>
    </w:p>
    <w:p w14:paraId="3B28BD7A" w14:textId="77777777" w:rsidR="007862A2" w:rsidRDefault="007862A2" w:rsidP="007862A2">
      <w:pPr>
        <w:pStyle w:val="PL"/>
        <w:rPr>
          <w:rFonts w:eastAsia="等线"/>
        </w:rPr>
      </w:pPr>
      <w:r>
        <w:rPr>
          <w:rFonts w:eastAsia="等线"/>
        </w:rPr>
        <w:t xml:space="preserve">        '429':</w:t>
      </w:r>
    </w:p>
    <w:p w14:paraId="24F9D128" w14:textId="77777777" w:rsidR="007862A2" w:rsidRDefault="007862A2" w:rsidP="007862A2">
      <w:pPr>
        <w:pStyle w:val="PL"/>
        <w:rPr>
          <w:rFonts w:eastAsia="等线"/>
        </w:rPr>
      </w:pPr>
      <w:r>
        <w:rPr>
          <w:rFonts w:eastAsia="等线"/>
        </w:rPr>
        <w:t xml:space="preserve">          $ref: 'TS29571_CommonData.yaml#/components/responses/429'</w:t>
      </w:r>
    </w:p>
    <w:p w14:paraId="1ED9AB39" w14:textId="77777777" w:rsidR="007862A2" w:rsidRDefault="007862A2" w:rsidP="007862A2">
      <w:pPr>
        <w:pStyle w:val="PL"/>
      </w:pPr>
      <w:r>
        <w:t xml:space="preserve">        '500':</w:t>
      </w:r>
    </w:p>
    <w:p w14:paraId="1F8A6C52" w14:textId="77777777" w:rsidR="007862A2" w:rsidRDefault="007862A2" w:rsidP="007862A2">
      <w:pPr>
        <w:pStyle w:val="PL"/>
      </w:pPr>
      <w:r>
        <w:t xml:space="preserve">          $ref: 'TS29571_CommonData.yaml#/components/responses/500'</w:t>
      </w:r>
    </w:p>
    <w:p w14:paraId="1C6A4BA0" w14:textId="77777777" w:rsidR="007862A2" w:rsidRDefault="007862A2" w:rsidP="007862A2">
      <w:pPr>
        <w:pStyle w:val="PL"/>
      </w:pPr>
      <w:r>
        <w:lastRenderedPageBreak/>
        <w:t xml:space="preserve">        '502':</w:t>
      </w:r>
    </w:p>
    <w:p w14:paraId="34E3F7B1" w14:textId="77777777" w:rsidR="007862A2" w:rsidRDefault="007862A2" w:rsidP="007862A2">
      <w:pPr>
        <w:pStyle w:val="PL"/>
      </w:pPr>
      <w:r>
        <w:t xml:space="preserve">          $ref: 'TS29571_CommonData.yaml#/components/responses/502'</w:t>
      </w:r>
    </w:p>
    <w:p w14:paraId="28A20E7B" w14:textId="77777777" w:rsidR="007862A2" w:rsidRDefault="007862A2" w:rsidP="007862A2">
      <w:pPr>
        <w:pStyle w:val="PL"/>
      </w:pPr>
      <w:r>
        <w:t xml:space="preserve">        '503':</w:t>
      </w:r>
    </w:p>
    <w:p w14:paraId="6C123B9B" w14:textId="77777777" w:rsidR="007862A2" w:rsidRDefault="007862A2" w:rsidP="007862A2">
      <w:pPr>
        <w:pStyle w:val="PL"/>
      </w:pPr>
      <w:r>
        <w:t xml:space="preserve">          $ref: 'TS29571_CommonData.yaml#/components/responses/503'</w:t>
      </w:r>
    </w:p>
    <w:p w14:paraId="1285889F" w14:textId="77777777" w:rsidR="007862A2" w:rsidRDefault="007862A2" w:rsidP="007862A2">
      <w:pPr>
        <w:pStyle w:val="PL"/>
      </w:pPr>
      <w:r>
        <w:t xml:space="preserve">        default:</w:t>
      </w:r>
    </w:p>
    <w:p w14:paraId="27D6F10A" w14:textId="77777777" w:rsidR="007862A2" w:rsidRDefault="007862A2" w:rsidP="007862A2">
      <w:pPr>
        <w:pStyle w:val="PL"/>
      </w:pPr>
      <w:r>
        <w:t xml:space="preserve">          $ref: 'TS29571_CommonData.yaml#/components/responses/default'</w:t>
      </w:r>
    </w:p>
    <w:p w14:paraId="7BE9C5BA" w14:textId="77777777" w:rsidR="007862A2" w:rsidRDefault="007862A2" w:rsidP="007862A2">
      <w:pPr>
        <w:pStyle w:val="PL"/>
      </w:pPr>
    </w:p>
    <w:p w14:paraId="52535A25" w14:textId="77777777" w:rsidR="007862A2" w:rsidRDefault="007862A2" w:rsidP="007862A2">
      <w:pPr>
        <w:pStyle w:val="PL"/>
      </w:pPr>
      <w:r>
        <w:t xml:space="preserve">  /transfers/{transferId}:</w:t>
      </w:r>
    </w:p>
    <w:p w14:paraId="62B614BB" w14:textId="77777777" w:rsidR="007862A2" w:rsidRDefault="007862A2" w:rsidP="007862A2">
      <w:pPr>
        <w:pStyle w:val="PL"/>
      </w:pPr>
      <w:r>
        <w:t xml:space="preserve">    delete:</w:t>
      </w:r>
    </w:p>
    <w:p w14:paraId="7E463B39" w14:textId="77777777" w:rsidR="007862A2" w:rsidRDefault="007862A2" w:rsidP="007862A2">
      <w:pPr>
        <w:pStyle w:val="PL"/>
      </w:pPr>
      <w:r>
        <w:t xml:space="preserve">      summary: Delete an existing Individual NWDAF Event Subscription Transfer</w:t>
      </w:r>
    </w:p>
    <w:p w14:paraId="675AEC1F" w14:textId="77777777" w:rsidR="007862A2" w:rsidRDefault="007862A2" w:rsidP="007862A2">
      <w:pPr>
        <w:pStyle w:val="PL"/>
      </w:pPr>
      <w:r>
        <w:t xml:space="preserve">      operationId: DeleteNWDAFEventSubscriptionTransfer</w:t>
      </w:r>
    </w:p>
    <w:p w14:paraId="26214930" w14:textId="77777777" w:rsidR="007862A2" w:rsidRDefault="007862A2" w:rsidP="007862A2">
      <w:pPr>
        <w:pStyle w:val="PL"/>
      </w:pPr>
      <w:r>
        <w:t xml:space="preserve">      tags:</w:t>
      </w:r>
    </w:p>
    <w:p w14:paraId="66018DCD" w14:textId="77777777" w:rsidR="007862A2" w:rsidRDefault="007862A2" w:rsidP="007862A2">
      <w:pPr>
        <w:pStyle w:val="PL"/>
      </w:pPr>
      <w:r>
        <w:t xml:space="preserve">        - Individual NWDAF Event Subscription Transfer (Document)</w:t>
      </w:r>
    </w:p>
    <w:p w14:paraId="64A9E9BB" w14:textId="77777777" w:rsidR="007862A2" w:rsidRDefault="007862A2" w:rsidP="007862A2">
      <w:pPr>
        <w:pStyle w:val="PL"/>
      </w:pPr>
      <w:r>
        <w:t xml:space="preserve">      security:</w:t>
      </w:r>
    </w:p>
    <w:p w14:paraId="6578993A" w14:textId="77777777" w:rsidR="007862A2" w:rsidRDefault="007862A2" w:rsidP="007862A2">
      <w:pPr>
        <w:pStyle w:val="PL"/>
      </w:pPr>
      <w:r>
        <w:t xml:space="preserve">        - {}</w:t>
      </w:r>
    </w:p>
    <w:p w14:paraId="5E9B2E4B" w14:textId="77777777" w:rsidR="007862A2" w:rsidRDefault="007862A2" w:rsidP="007862A2">
      <w:pPr>
        <w:pStyle w:val="PL"/>
      </w:pPr>
      <w:r>
        <w:t xml:space="preserve">        - oAuth2ClientCredentials:</w:t>
      </w:r>
    </w:p>
    <w:p w14:paraId="024BE67D" w14:textId="77777777" w:rsidR="007862A2" w:rsidRDefault="007862A2" w:rsidP="007862A2">
      <w:pPr>
        <w:pStyle w:val="PL"/>
      </w:pPr>
      <w:r>
        <w:t xml:space="preserve">          - nnwdaf-eventssubscription</w:t>
      </w:r>
    </w:p>
    <w:p w14:paraId="34D60AD3" w14:textId="77777777" w:rsidR="007862A2" w:rsidRDefault="007862A2" w:rsidP="007862A2">
      <w:pPr>
        <w:pStyle w:val="PL"/>
      </w:pPr>
      <w:r>
        <w:t xml:space="preserve">        - oAuth2ClientCredentials:</w:t>
      </w:r>
    </w:p>
    <w:p w14:paraId="126A0A16" w14:textId="77777777" w:rsidR="007862A2" w:rsidRDefault="007862A2" w:rsidP="007862A2">
      <w:pPr>
        <w:pStyle w:val="PL"/>
      </w:pPr>
      <w:r>
        <w:t xml:space="preserve">          - nnwdaf-eventssubscription</w:t>
      </w:r>
    </w:p>
    <w:p w14:paraId="0911B8C6" w14:textId="77777777" w:rsidR="007862A2" w:rsidRDefault="007862A2" w:rsidP="007862A2">
      <w:pPr>
        <w:pStyle w:val="PL"/>
      </w:pPr>
      <w:r>
        <w:t xml:space="preserve">          - nnwdaf-eventssubscription:transfer</w:t>
      </w:r>
    </w:p>
    <w:p w14:paraId="07EA420D" w14:textId="77777777" w:rsidR="007862A2" w:rsidRDefault="007862A2" w:rsidP="007862A2">
      <w:pPr>
        <w:pStyle w:val="PL"/>
      </w:pPr>
      <w:r>
        <w:t xml:space="preserve">      parameters:</w:t>
      </w:r>
    </w:p>
    <w:p w14:paraId="40F49017" w14:textId="77777777" w:rsidR="007862A2" w:rsidRDefault="007862A2" w:rsidP="007862A2">
      <w:pPr>
        <w:pStyle w:val="PL"/>
      </w:pPr>
      <w:r>
        <w:t xml:space="preserve">        - name: transferId</w:t>
      </w:r>
    </w:p>
    <w:p w14:paraId="01489202" w14:textId="77777777" w:rsidR="007862A2" w:rsidRDefault="007862A2" w:rsidP="007862A2">
      <w:pPr>
        <w:pStyle w:val="PL"/>
      </w:pPr>
      <w:r>
        <w:t xml:space="preserve">          in: path</w:t>
      </w:r>
    </w:p>
    <w:p w14:paraId="58160D6C" w14:textId="77777777" w:rsidR="007862A2" w:rsidRDefault="007862A2" w:rsidP="007862A2">
      <w:pPr>
        <w:pStyle w:val="PL"/>
      </w:pPr>
      <w:r>
        <w:t xml:space="preserve">          description: &gt;</w:t>
      </w:r>
    </w:p>
    <w:p w14:paraId="610DD900" w14:textId="77777777" w:rsidR="007862A2" w:rsidRDefault="007862A2" w:rsidP="007862A2">
      <w:pPr>
        <w:pStyle w:val="PL"/>
      </w:pPr>
      <w:r>
        <w:t xml:space="preserve">            String identifying a request for an analytics subscription transfer to the</w:t>
      </w:r>
    </w:p>
    <w:p w14:paraId="6B4AC876" w14:textId="77777777" w:rsidR="007862A2" w:rsidRDefault="007862A2" w:rsidP="007862A2">
      <w:pPr>
        <w:pStyle w:val="PL"/>
      </w:pPr>
      <w:r>
        <w:t xml:space="preserve">            Nnwdaf_EventsSubscription Service.</w:t>
      </w:r>
    </w:p>
    <w:p w14:paraId="2EF9538D" w14:textId="77777777" w:rsidR="007862A2" w:rsidRDefault="007862A2" w:rsidP="007862A2">
      <w:pPr>
        <w:pStyle w:val="PL"/>
      </w:pPr>
      <w:r>
        <w:t xml:space="preserve">          required: true</w:t>
      </w:r>
    </w:p>
    <w:p w14:paraId="2E07054A" w14:textId="77777777" w:rsidR="007862A2" w:rsidRDefault="007862A2" w:rsidP="007862A2">
      <w:pPr>
        <w:pStyle w:val="PL"/>
      </w:pPr>
      <w:r>
        <w:t xml:space="preserve">          schema:</w:t>
      </w:r>
    </w:p>
    <w:p w14:paraId="5E62C325" w14:textId="77777777" w:rsidR="007862A2" w:rsidRDefault="007862A2" w:rsidP="007862A2">
      <w:pPr>
        <w:pStyle w:val="PL"/>
      </w:pPr>
      <w:r>
        <w:t xml:space="preserve">            type: string</w:t>
      </w:r>
    </w:p>
    <w:p w14:paraId="0DE5456D" w14:textId="77777777" w:rsidR="007862A2" w:rsidRDefault="007862A2" w:rsidP="007862A2">
      <w:pPr>
        <w:pStyle w:val="PL"/>
      </w:pPr>
      <w:r>
        <w:t xml:space="preserve">      responses:</w:t>
      </w:r>
    </w:p>
    <w:p w14:paraId="2FA5180D" w14:textId="77777777" w:rsidR="007862A2" w:rsidRDefault="007862A2" w:rsidP="007862A2">
      <w:pPr>
        <w:pStyle w:val="PL"/>
      </w:pPr>
      <w:r>
        <w:t xml:space="preserve">        '204':</w:t>
      </w:r>
    </w:p>
    <w:p w14:paraId="6B988010" w14:textId="77777777" w:rsidR="007862A2" w:rsidRDefault="007862A2" w:rsidP="007862A2">
      <w:pPr>
        <w:pStyle w:val="PL"/>
      </w:pPr>
      <w:r>
        <w:t xml:space="preserve">          description: &gt;</w:t>
      </w:r>
    </w:p>
    <w:p w14:paraId="5475E1BE" w14:textId="77777777" w:rsidR="007862A2" w:rsidRDefault="007862A2" w:rsidP="007862A2">
      <w:pPr>
        <w:pStyle w:val="PL"/>
      </w:pPr>
      <w:r>
        <w:t xml:space="preserve">            No Content. The Individual NWDAF Event Subscription Transfer resource matching the</w:t>
      </w:r>
    </w:p>
    <w:p w14:paraId="496220A5" w14:textId="77777777" w:rsidR="007862A2" w:rsidRDefault="007862A2" w:rsidP="007862A2">
      <w:pPr>
        <w:pStyle w:val="PL"/>
      </w:pPr>
      <w:r>
        <w:t xml:space="preserve">            transferId was deleted.</w:t>
      </w:r>
    </w:p>
    <w:p w14:paraId="548B45FD" w14:textId="77777777" w:rsidR="007862A2" w:rsidRDefault="007862A2" w:rsidP="007862A2">
      <w:pPr>
        <w:pStyle w:val="PL"/>
      </w:pPr>
      <w:r>
        <w:t xml:space="preserve">        '307':</w:t>
      </w:r>
    </w:p>
    <w:p w14:paraId="7E08D1E6" w14:textId="77777777" w:rsidR="007862A2" w:rsidRDefault="007862A2" w:rsidP="007862A2">
      <w:pPr>
        <w:pStyle w:val="PL"/>
      </w:pPr>
      <w:r>
        <w:t xml:space="preserve">          $ref: 'TS29571_CommonData.yaml#/components/responses/307'</w:t>
      </w:r>
    </w:p>
    <w:p w14:paraId="33696056" w14:textId="77777777" w:rsidR="007862A2" w:rsidRDefault="007862A2" w:rsidP="007862A2">
      <w:pPr>
        <w:pStyle w:val="PL"/>
      </w:pPr>
      <w:r>
        <w:t xml:space="preserve">        '308':</w:t>
      </w:r>
    </w:p>
    <w:p w14:paraId="6CA19FC7" w14:textId="77777777" w:rsidR="007862A2" w:rsidRDefault="007862A2" w:rsidP="007862A2">
      <w:pPr>
        <w:pStyle w:val="PL"/>
      </w:pPr>
      <w:r>
        <w:t xml:space="preserve">          $ref: 'TS29571_CommonData.yaml#/components/responses/308'</w:t>
      </w:r>
    </w:p>
    <w:p w14:paraId="0F7B7BA6" w14:textId="77777777" w:rsidR="007862A2" w:rsidRDefault="007862A2" w:rsidP="007862A2">
      <w:pPr>
        <w:pStyle w:val="PL"/>
      </w:pPr>
      <w:r>
        <w:t xml:space="preserve">        '400':</w:t>
      </w:r>
    </w:p>
    <w:p w14:paraId="0F434794" w14:textId="77777777" w:rsidR="007862A2" w:rsidRDefault="007862A2" w:rsidP="007862A2">
      <w:pPr>
        <w:pStyle w:val="PL"/>
      </w:pPr>
      <w:r>
        <w:t xml:space="preserve">          $ref: 'TS29571_CommonData.yaml#/components/responses/400'</w:t>
      </w:r>
    </w:p>
    <w:p w14:paraId="231DBC0E" w14:textId="77777777" w:rsidR="007862A2" w:rsidRDefault="007862A2" w:rsidP="007862A2">
      <w:pPr>
        <w:pStyle w:val="PL"/>
      </w:pPr>
      <w:r>
        <w:t xml:space="preserve">        '401':</w:t>
      </w:r>
    </w:p>
    <w:p w14:paraId="46C41CE8" w14:textId="77777777" w:rsidR="007862A2" w:rsidRDefault="007862A2" w:rsidP="007862A2">
      <w:pPr>
        <w:pStyle w:val="PL"/>
      </w:pPr>
      <w:r>
        <w:t xml:space="preserve">          $ref: 'TS29571_CommonData.yaml#/components/responses/401'</w:t>
      </w:r>
    </w:p>
    <w:p w14:paraId="6C95D67B" w14:textId="77777777" w:rsidR="007862A2" w:rsidRDefault="007862A2" w:rsidP="007862A2">
      <w:pPr>
        <w:pStyle w:val="PL"/>
        <w:rPr>
          <w:rFonts w:eastAsia="等线"/>
        </w:rPr>
      </w:pPr>
      <w:r>
        <w:rPr>
          <w:rFonts w:eastAsia="等线"/>
        </w:rPr>
        <w:t xml:space="preserve">        '403':</w:t>
      </w:r>
    </w:p>
    <w:p w14:paraId="4B522398" w14:textId="77777777" w:rsidR="007862A2" w:rsidRDefault="007862A2" w:rsidP="007862A2">
      <w:pPr>
        <w:pStyle w:val="PL"/>
        <w:rPr>
          <w:rFonts w:eastAsia="等线"/>
        </w:rPr>
      </w:pPr>
      <w:r>
        <w:rPr>
          <w:rFonts w:eastAsia="等线"/>
        </w:rPr>
        <w:t xml:space="preserve">          $ref: 'TS29571_CommonData.yaml#/components/responses/403'</w:t>
      </w:r>
    </w:p>
    <w:p w14:paraId="292C6240" w14:textId="77777777" w:rsidR="007862A2" w:rsidRDefault="007862A2" w:rsidP="007862A2">
      <w:pPr>
        <w:pStyle w:val="PL"/>
      </w:pPr>
      <w:r>
        <w:t xml:space="preserve">        '404':</w:t>
      </w:r>
    </w:p>
    <w:p w14:paraId="26C1F789" w14:textId="77777777" w:rsidR="007862A2" w:rsidRDefault="007862A2" w:rsidP="007862A2">
      <w:pPr>
        <w:pStyle w:val="PL"/>
      </w:pPr>
      <w:r>
        <w:t xml:space="preserve">          $ref: 'TS29571_CommonData.yaml#/components/responses/404'</w:t>
      </w:r>
    </w:p>
    <w:p w14:paraId="7A4204C7" w14:textId="77777777" w:rsidR="007862A2" w:rsidRDefault="007862A2" w:rsidP="007862A2">
      <w:pPr>
        <w:pStyle w:val="PL"/>
        <w:rPr>
          <w:rFonts w:eastAsia="等线"/>
        </w:rPr>
      </w:pPr>
      <w:r>
        <w:rPr>
          <w:rFonts w:eastAsia="等线"/>
        </w:rPr>
        <w:t xml:space="preserve">        '429':</w:t>
      </w:r>
    </w:p>
    <w:p w14:paraId="51BE4778" w14:textId="77777777" w:rsidR="007862A2" w:rsidRDefault="007862A2" w:rsidP="007862A2">
      <w:pPr>
        <w:pStyle w:val="PL"/>
        <w:rPr>
          <w:rFonts w:eastAsia="等线"/>
        </w:rPr>
      </w:pPr>
      <w:r>
        <w:rPr>
          <w:rFonts w:eastAsia="等线"/>
        </w:rPr>
        <w:t xml:space="preserve">          $ref: 'TS29571_CommonData.yaml#/components/responses/429'</w:t>
      </w:r>
    </w:p>
    <w:p w14:paraId="0BC8A621" w14:textId="77777777" w:rsidR="007862A2" w:rsidRDefault="007862A2" w:rsidP="007862A2">
      <w:pPr>
        <w:pStyle w:val="PL"/>
      </w:pPr>
      <w:r>
        <w:t xml:space="preserve">        '500':</w:t>
      </w:r>
    </w:p>
    <w:p w14:paraId="2B9A0A2B" w14:textId="77777777" w:rsidR="007862A2" w:rsidRDefault="007862A2" w:rsidP="007862A2">
      <w:pPr>
        <w:pStyle w:val="PL"/>
      </w:pPr>
      <w:r>
        <w:t xml:space="preserve">          $ref: 'TS29571_CommonData.yaml#/components/responses/500'</w:t>
      </w:r>
    </w:p>
    <w:p w14:paraId="4F84E6B7" w14:textId="77777777" w:rsidR="007862A2" w:rsidRDefault="007862A2" w:rsidP="007862A2">
      <w:pPr>
        <w:pStyle w:val="PL"/>
      </w:pPr>
      <w:r>
        <w:t xml:space="preserve">        '501':</w:t>
      </w:r>
    </w:p>
    <w:p w14:paraId="3893E52E" w14:textId="77777777" w:rsidR="007862A2" w:rsidRDefault="007862A2" w:rsidP="007862A2">
      <w:pPr>
        <w:pStyle w:val="PL"/>
      </w:pPr>
      <w:r>
        <w:t xml:space="preserve">          $ref: 'TS29571_CommonData.yaml#/components/responses/501'</w:t>
      </w:r>
    </w:p>
    <w:p w14:paraId="1CCBE25D" w14:textId="77777777" w:rsidR="007862A2" w:rsidRDefault="007862A2" w:rsidP="007862A2">
      <w:pPr>
        <w:pStyle w:val="PL"/>
      </w:pPr>
      <w:r>
        <w:t xml:space="preserve">        '502':</w:t>
      </w:r>
    </w:p>
    <w:p w14:paraId="54B7DCA8" w14:textId="77777777" w:rsidR="007862A2" w:rsidRDefault="007862A2" w:rsidP="007862A2">
      <w:pPr>
        <w:pStyle w:val="PL"/>
      </w:pPr>
      <w:r>
        <w:t xml:space="preserve">          $ref: 'TS29571_CommonData.yaml#/components/responses/502'</w:t>
      </w:r>
    </w:p>
    <w:p w14:paraId="2C98EED3" w14:textId="77777777" w:rsidR="007862A2" w:rsidRDefault="007862A2" w:rsidP="007862A2">
      <w:pPr>
        <w:pStyle w:val="PL"/>
      </w:pPr>
      <w:r>
        <w:t xml:space="preserve">        '503':</w:t>
      </w:r>
    </w:p>
    <w:p w14:paraId="020EEDAC" w14:textId="77777777" w:rsidR="007862A2" w:rsidRDefault="007862A2" w:rsidP="007862A2">
      <w:pPr>
        <w:pStyle w:val="PL"/>
      </w:pPr>
      <w:r>
        <w:t xml:space="preserve">          $ref: 'TS29571_CommonData.yaml#/components/responses/503'</w:t>
      </w:r>
    </w:p>
    <w:p w14:paraId="11C08ADF" w14:textId="77777777" w:rsidR="007862A2" w:rsidRDefault="007862A2" w:rsidP="007862A2">
      <w:pPr>
        <w:pStyle w:val="PL"/>
      </w:pPr>
      <w:r>
        <w:t xml:space="preserve">        default:</w:t>
      </w:r>
    </w:p>
    <w:p w14:paraId="229C4703" w14:textId="77777777" w:rsidR="007862A2" w:rsidRDefault="007862A2" w:rsidP="007862A2">
      <w:pPr>
        <w:pStyle w:val="PL"/>
      </w:pPr>
      <w:r>
        <w:t xml:space="preserve">          $ref: 'TS29571_CommonData.yaml#/components/responses/default'</w:t>
      </w:r>
    </w:p>
    <w:p w14:paraId="605CF8D5" w14:textId="77777777" w:rsidR="007862A2" w:rsidRDefault="007862A2" w:rsidP="007862A2">
      <w:pPr>
        <w:pStyle w:val="PL"/>
      </w:pPr>
      <w:r>
        <w:t xml:space="preserve">    put:</w:t>
      </w:r>
    </w:p>
    <w:p w14:paraId="69C2ECCD" w14:textId="77777777" w:rsidR="007862A2" w:rsidRDefault="007862A2" w:rsidP="007862A2">
      <w:pPr>
        <w:pStyle w:val="PL"/>
      </w:pPr>
      <w:r>
        <w:t xml:space="preserve">      summary: Update an existing Individual NWDAF Event Subscription Transfer</w:t>
      </w:r>
    </w:p>
    <w:p w14:paraId="7603641D" w14:textId="77777777" w:rsidR="007862A2" w:rsidRDefault="007862A2" w:rsidP="007862A2">
      <w:pPr>
        <w:pStyle w:val="PL"/>
      </w:pPr>
      <w:r>
        <w:t xml:space="preserve">      operationId: UpdateNWDAFEventSubscriptionTransfer</w:t>
      </w:r>
    </w:p>
    <w:p w14:paraId="7B249F19" w14:textId="77777777" w:rsidR="007862A2" w:rsidRDefault="007862A2" w:rsidP="007862A2">
      <w:pPr>
        <w:pStyle w:val="PL"/>
      </w:pPr>
      <w:r>
        <w:t xml:space="preserve">      tags:</w:t>
      </w:r>
    </w:p>
    <w:p w14:paraId="46F877F2" w14:textId="77777777" w:rsidR="007862A2" w:rsidRDefault="007862A2" w:rsidP="007862A2">
      <w:pPr>
        <w:pStyle w:val="PL"/>
      </w:pPr>
      <w:r>
        <w:t xml:space="preserve">        - Individual NWDAF Event Subscription Transfer (Document)</w:t>
      </w:r>
    </w:p>
    <w:p w14:paraId="451E4E1D" w14:textId="77777777" w:rsidR="007862A2" w:rsidRDefault="007862A2" w:rsidP="007862A2">
      <w:pPr>
        <w:pStyle w:val="PL"/>
      </w:pPr>
      <w:r>
        <w:t xml:space="preserve">      security:</w:t>
      </w:r>
    </w:p>
    <w:p w14:paraId="36A78826" w14:textId="77777777" w:rsidR="007862A2" w:rsidRDefault="007862A2" w:rsidP="007862A2">
      <w:pPr>
        <w:pStyle w:val="PL"/>
      </w:pPr>
      <w:r>
        <w:t xml:space="preserve">        - {}</w:t>
      </w:r>
    </w:p>
    <w:p w14:paraId="541EFCEF" w14:textId="77777777" w:rsidR="007862A2" w:rsidRDefault="007862A2" w:rsidP="007862A2">
      <w:pPr>
        <w:pStyle w:val="PL"/>
      </w:pPr>
      <w:r>
        <w:t xml:space="preserve">        - oAuth2ClientCredentials:</w:t>
      </w:r>
    </w:p>
    <w:p w14:paraId="43DA4294" w14:textId="77777777" w:rsidR="007862A2" w:rsidRDefault="007862A2" w:rsidP="007862A2">
      <w:pPr>
        <w:pStyle w:val="PL"/>
      </w:pPr>
      <w:r>
        <w:t xml:space="preserve">          - nnwdaf-eventssubscription</w:t>
      </w:r>
    </w:p>
    <w:p w14:paraId="2738F4DE" w14:textId="77777777" w:rsidR="007862A2" w:rsidRDefault="007862A2" w:rsidP="007862A2">
      <w:pPr>
        <w:pStyle w:val="PL"/>
      </w:pPr>
      <w:r>
        <w:t xml:space="preserve">        - oAuth2ClientCredentials:</w:t>
      </w:r>
    </w:p>
    <w:p w14:paraId="4F16BEF7" w14:textId="77777777" w:rsidR="007862A2" w:rsidRDefault="007862A2" w:rsidP="007862A2">
      <w:pPr>
        <w:pStyle w:val="PL"/>
      </w:pPr>
      <w:r>
        <w:t xml:space="preserve">          - nnwdaf-eventssubscription</w:t>
      </w:r>
    </w:p>
    <w:p w14:paraId="36A8ED29" w14:textId="77777777" w:rsidR="007862A2" w:rsidRDefault="007862A2" w:rsidP="007862A2">
      <w:pPr>
        <w:pStyle w:val="PL"/>
      </w:pPr>
      <w:r>
        <w:t xml:space="preserve">          - nnwdaf-eventssubscription:transfer</w:t>
      </w:r>
    </w:p>
    <w:p w14:paraId="099F1929" w14:textId="77777777" w:rsidR="007862A2" w:rsidRDefault="007862A2" w:rsidP="007862A2">
      <w:pPr>
        <w:pStyle w:val="PL"/>
      </w:pPr>
      <w:r>
        <w:t xml:space="preserve">      requestBody:</w:t>
      </w:r>
    </w:p>
    <w:p w14:paraId="3794F683" w14:textId="77777777" w:rsidR="007862A2" w:rsidRDefault="007862A2" w:rsidP="007862A2">
      <w:pPr>
        <w:pStyle w:val="PL"/>
      </w:pPr>
      <w:r>
        <w:t xml:space="preserve">        required: true</w:t>
      </w:r>
    </w:p>
    <w:p w14:paraId="68C1D767" w14:textId="77777777" w:rsidR="007862A2" w:rsidRDefault="007862A2" w:rsidP="007862A2">
      <w:pPr>
        <w:pStyle w:val="PL"/>
      </w:pPr>
      <w:r>
        <w:t xml:space="preserve">        content:</w:t>
      </w:r>
    </w:p>
    <w:p w14:paraId="6F71861F" w14:textId="77777777" w:rsidR="007862A2" w:rsidRDefault="007862A2" w:rsidP="007862A2">
      <w:pPr>
        <w:pStyle w:val="PL"/>
      </w:pPr>
      <w:r>
        <w:t xml:space="preserve">          application/json:</w:t>
      </w:r>
    </w:p>
    <w:p w14:paraId="71334F31" w14:textId="77777777" w:rsidR="007862A2" w:rsidRDefault="007862A2" w:rsidP="007862A2">
      <w:pPr>
        <w:pStyle w:val="PL"/>
      </w:pPr>
      <w:r>
        <w:t xml:space="preserve">            schema:</w:t>
      </w:r>
    </w:p>
    <w:p w14:paraId="5871F56C" w14:textId="77777777" w:rsidR="007862A2" w:rsidRDefault="007862A2" w:rsidP="007862A2">
      <w:pPr>
        <w:pStyle w:val="PL"/>
      </w:pPr>
      <w:r>
        <w:t xml:space="preserve">              $ref: '#/components/schemas/AnalyticsSubscriptionsTransfer'</w:t>
      </w:r>
    </w:p>
    <w:p w14:paraId="26E11C5C" w14:textId="77777777" w:rsidR="007862A2" w:rsidRDefault="007862A2" w:rsidP="007862A2">
      <w:pPr>
        <w:pStyle w:val="PL"/>
      </w:pPr>
      <w:r>
        <w:t xml:space="preserve">      parameters:</w:t>
      </w:r>
    </w:p>
    <w:p w14:paraId="2509AD05" w14:textId="77777777" w:rsidR="007862A2" w:rsidRDefault="007862A2" w:rsidP="007862A2">
      <w:pPr>
        <w:pStyle w:val="PL"/>
      </w:pPr>
      <w:r>
        <w:t xml:space="preserve">        - name: transferId</w:t>
      </w:r>
    </w:p>
    <w:p w14:paraId="7F3F6A1C" w14:textId="77777777" w:rsidR="007862A2" w:rsidRDefault="007862A2" w:rsidP="007862A2">
      <w:pPr>
        <w:pStyle w:val="PL"/>
      </w:pPr>
      <w:r>
        <w:lastRenderedPageBreak/>
        <w:t xml:space="preserve">          in: path</w:t>
      </w:r>
    </w:p>
    <w:p w14:paraId="3ED6B772" w14:textId="77777777" w:rsidR="007862A2" w:rsidRDefault="007862A2" w:rsidP="007862A2">
      <w:pPr>
        <w:pStyle w:val="PL"/>
      </w:pPr>
      <w:r>
        <w:t xml:space="preserve">          description: &gt;</w:t>
      </w:r>
    </w:p>
    <w:p w14:paraId="4E48733E" w14:textId="77777777" w:rsidR="007862A2" w:rsidRDefault="007862A2" w:rsidP="007862A2">
      <w:pPr>
        <w:pStyle w:val="PL"/>
      </w:pPr>
      <w:r>
        <w:t xml:space="preserve">            String identifying a request for an analytics subscription transfer to the</w:t>
      </w:r>
    </w:p>
    <w:p w14:paraId="4C7A01C4" w14:textId="77777777" w:rsidR="007862A2" w:rsidRDefault="007862A2" w:rsidP="007862A2">
      <w:pPr>
        <w:pStyle w:val="PL"/>
      </w:pPr>
      <w:r>
        <w:t xml:space="preserve">            Nnwdaf_EventsSubscription Service</w:t>
      </w:r>
    </w:p>
    <w:p w14:paraId="7FA299C9" w14:textId="77777777" w:rsidR="007862A2" w:rsidRDefault="007862A2" w:rsidP="007862A2">
      <w:pPr>
        <w:pStyle w:val="PL"/>
      </w:pPr>
      <w:r>
        <w:t xml:space="preserve">          required: true</w:t>
      </w:r>
    </w:p>
    <w:p w14:paraId="1BF2AF34" w14:textId="77777777" w:rsidR="007862A2" w:rsidRDefault="007862A2" w:rsidP="007862A2">
      <w:pPr>
        <w:pStyle w:val="PL"/>
      </w:pPr>
      <w:r>
        <w:t xml:space="preserve">          schema:</w:t>
      </w:r>
    </w:p>
    <w:p w14:paraId="4838290B" w14:textId="77777777" w:rsidR="007862A2" w:rsidRDefault="007862A2" w:rsidP="007862A2">
      <w:pPr>
        <w:pStyle w:val="PL"/>
      </w:pPr>
      <w:r>
        <w:t xml:space="preserve">            type: string</w:t>
      </w:r>
    </w:p>
    <w:p w14:paraId="2D8B6BF4" w14:textId="77777777" w:rsidR="007862A2" w:rsidRDefault="007862A2" w:rsidP="007862A2">
      <w:pPr>
        <w:pStyle w:val="PL"/>
      </w:pPr>
      <w:r>
        <w:t xml:space="preserve">      responses:</w:t>
      </w:r>
    </w:p>
    <w:p w14:paraId="58B94B20" w14:textId="77777777" w:rsidR="007862A2" w:rsidRDefault="007862A2" w:rsidP="007862A2">
      <w:pPr>
        <w:pStyle w:val="PL"/>
      </w:pPr>
      <w:r>
        <w:t xml:space="preserve">        '204':</w:t>
      </w:r>
    </w:p>
    <w:p w14:paraId="57840282" w14:textId="77777777" w:rsidR="007862A2" w:rsidRDefault="007862A2" w:rsidP="007862A2">
      <w:pPr>
        <w:pStyle w:val="PL"/>
      </w:pPr>
      <w:r>
        <w:t xml:space="preserve">          description: &gt;</w:t>
      </w:r>
    </w:p>
    <w:p w14:paraId="7E61270A" w14:textId="77777777" w:rsidR="007862A2" w:rsidRDefault="007862A2" w:rsidP="007862A2">
      <w:pPr>
        <w:pStyle w:val="PL"/>
      </w:pPr>
      <w:r>
        <w:t xml:space="preserve">            The Individual NWDAF Event Subscription Transfer resource was modified successfully.</w:t>
      </w:r>
    </w:p>
    <w:p w14:paraId="7023A776" w14:textId="77777777" w:rsidR="007862A2" w:rsidRDefault="007862A2" w:rsidP="007862A2">
      <w:pPr>
        <w:pStyle w:val="PL"/>
      </w:pPr>
      <w:r>
        <w:t xml:space="preserve">        '307':</w:t>
      </w:r>
    </w:p>
    <w:p w14:paraId="22DC4B63" w14:textId="77777777" w:rsidR="007862A2" w:rsidRDefault="007862A2" w:rsidP="007862A2">
      <w:pPr>
        <w:pStyle w:val="PL"/>
      </w:pPr>
      <w:r>
        <w:t xml:space="preserve">          $ref: 'TS29571_CommonData.yaml#/components/responses/307'</w:t>
      </w:r>
    </w:p>
    <w:p w14:paraId="7844CFA1" w14:textId="77777777" w:rsidR="007862A2" w:rsidRDefault="007862A2" w:rsidP="007862A2">
      <w:pPr>
        <w:pStyle w:val="PL"/>
      </w:pPr>
      <w:r>
        <w:t xml:space="preserve">        '308':</w:t>
      </w:r>
    </w:p>
    <w:p w14:paraId="02DE5C50" w14:textId="77777777" w:rsidR="007862A2" w:rsidRDefault="007862A2" w:rsidP="007862A2">
      <w:pPr>
        <w:pStyle w:val="PL"/>
      </w:pPr>
      <w:r>
        <w:t xml:space="preserve">          $ref: 'TS29571_CommonData.yaml#/components/responses/308'</w:t>
      </w:r>
    </w:p>
    <w:p w14:paraId="27881040" w14:textId="77777777" w:rsidR="007862A2" w:rsidRDefault="007862A2" w:rsidP="007862A2">
      <w:pPr>
        <w:pStyle w:val="PL"/>
      </w:pPr>
      <w:r>
        <w:t xml:space="preserve">        '400':</w:t>
      </w:r>
    </w:p>
    <w:p w14:paraId="29E44105" w14:textId="77777777" w:rsidR="007862A2" w:rsidRDefault="007862A2" w:rsidP="007862A2">
      <w:pPr>
        <w:pStyle w:val="PL"/>
      </w:pPr>
      <w:r>
        <w:t xml:space="preserve">          $ref: 'TS29571_CommonData.yaml#/components/responses/400'</w:t>
      </w:r>
    </w:p>
    <w:p w14:paraId="349F1829" w14:textId="77777777" w:rsidR="007862A2" w:rsidRDefault="007862A2" w:rsidP="007862A2">
      <w:pPr>
        <w:pStyle w:val="PL"/>
      </w:pPr>
      <w:r>
        <w:t xml:space="preserve">        '401':</w:t>
      </w:r>
    </w:p>
    <w:p w14:paraId="566EB156" w14:textId="77777777" w:rsidR="007862A2" w:rsidRDefault="007862A2" w:rsidP="007862A2">
      <w:pPr>
        <w:pStyle w:val="PL"/>
      </w:pPr>
      <w:r>
        <w:t xml:space="preserve">          $ref: 'TS29571_CommonData.yaml#/components/responses/401'</w:t>
      </w:r>
    </w:p>
    <w:p w14:paraId="6F962547" w14:textId="77777777" w:rsidR="007862A2" w:rsidRDefault="007862A2" w:rsidP="007862A2">
      <w:pPr>
        <w:pStyle w:val="PL"/>
        <w:rPr>
          <w:rFonts w:eastAsia="等线"/>
        </w:rPr>
      </w:pPr>
      <w:r>
        <w:rPr>
          <w:rFonts w:eastAsia="等线"/>
        </w:rPr>
        <w:t xml:space="preserve">        '403':</w:t>
      </w:r>
    </w:p>
    <w:p w14:paraId="6E210A5A" w14:textId="77777777" w:rsidR="007862A2" w:rsidRDefault="007862A2" w:rsidP="007862A2">
      <w:pPr>
        <w:pStyle w:val="PL"/>
        <w:rPr>
          <w:rFonts w:eastAsia="等线"/>
        </w:rPr>
      </w:pPr>
      <w:r>
        <w:rPr>
          <w:rFonts w:eastAsia="等线"/>
        </w:rPr>
        <w:t xml:space="preserve">          $ref: 'TS29571_CommonData.yaml#/components/responses/403'</w:t>
      </w:r>
    </w:p>
    <w:p w14:paraId="04971EC0" w14:textId="77777777" w:rsidR="007862A2" w:rsidRDefault="007862A2" w:rsidP="007862A2">
      <w:pPr>
        <w:pStyle w:val="PL"/>
      </w:pPr>
      <w:r>
        <w:t xml:space="preserve">        '404':</w:t>
      </w:r>
    </w:p>
    <w:p w14:paraId="34836F90" w14:textId="77777777" w:rsidR="007862A2" w:rsidRDefault="007862A2" w:rsidP="007862A2">
      <w:pPr>
        <w:pStyle w:val="PL"/>
      </w:pPr>
      <w:r>
        <w:t xml:space="preserve">          $ref: 'TS29571_CommonData.yaml#/components/responses/404'</w:t>
      </w:r>
    </w:p>
    <w:p w14:paraId="315BA98D" w14:textId="77777777" w:rsidR="007862A2" w:rsidRDefault="007862A2" w:rsidP="007862A2">
      <w:pPr>
        <w:pStyle w:val="PL"/>
      </w:pPr>
      <w:r>
        <w:t xml:space="preserve">        '411':</w:t>
      </w:r>
    </w:p>
    <w:p w14:paraId="24844F94" w14:textId="77777777" w:rsidR="007862A2" w:rsidRDefault="007862A2" w:rsidP="007862A2">
      <w:pPr>
        <w:pStyle w:val="PL"/>
      </w:pPr>
      <w:r>
        <w:t xml:space="preserve">          $ref: 'TS29571_CommonData.yaml#/components/responses/411'</w:t>
      </w:r>
    </w:p>
    <w:p w14:paraId="02EDB3F1" w14:textId="77777777" w:rsidR="007862A2" w:rsidRDefault="007862A2" w:rsidP="007862A2">
      <w:pPr>
        <w:pStyle w:val="PL"/>
      </w:pPr>
      <w:r>
        <w:t xml:space="preserve">        '413':</w:t>
      </w:r>
    </w:p>
    <w:p w14:paraId="741CC97D" w14:textId="77777777" w:rsidR="007862A2" w:rsidRDefault="007862A2" w:rsidP="007862A2">
      <w:pPr>
        <w:pStyle w:val="PL"/>
      </w:pPr>
      <w:r>
        <w:t xml:space="preserve">          $ref: 'TS29571_CommonData.yaml#/components/responses/413'</w:t>
      </w:r>
    </w:p>
    <w:p w14:paraId="0F6AAF4F" w14:textId="77777777" w:rsidR="007862A2" w:rsidRDefault="007862A2" w:rsidP="007862A2">
      <w:pPr>
        <w:pStyle w:val="PL"/>
      </w:pPr>
      <w:r>
        <w:t xml:space="preserve">        '415':</w:t>
      </w:r>
    </w:p>
    <w:p w14:paraId="0AD42DAA" w14:textId="77777777" w:rsidR="007862A2" w:rsidRDefault="007862A2" w:rsidP="007862A2">
      <w:pPr>
        <w:pStyle w:val="PL"/>
      </w:pPr>
      <w:r>
        <w:t xml:space="preserve">          $ref: 'TS29571_CommonData.yaml#/components/responses/415'</w:t>
      </w:r>
    </w:p>
    <w:p w14:paraId="08E87C92" w14:textId="77777777" w:rsidR="007862A2" w:rsidRDefault="007862A2" w:rsidP="007862A2">
      <w:pPr>
        <w:pStyle w:val="PL"/>
        <w:rPr>
          <w:rFonts w:eastAsia="等线"/>
        </w:rPr>
      </w:pPr>
      <w:r>
        <w:rPr>
          <w:rFonts w:eastAsia="等线"/>
        </w:rPr>
        <w:t xml:space="preserve">        '429':</w:t>
      </w:r>
    </w:p>
    <w:p w14:paraId="59FFAE27" w14:textId="77777777" w:rsidR="007862A2" w:rsidRDefault="007862A2" w:rsidP="007862A2">
      <w:pPr>
        <w:pStyle w:val="PL"/>
        <w:rPr>
          <w:rFonts w:eastAsia="等线"/>
        </w:rPr>
      </w:pPr>
      <w:r>
        <w:rPr>
          <w:rFonts w:eastAsia="等线"/>
        </w:rPr>
        <w:t xml:space="preserve">          $ref: 'TS29571_CommonData.yaml#/components/responses/429'</w:t>
      </w:r>
    </w:p>
    <w:p w14:paraId="40C8E217" w14:textId="77777777" w:rsidR="007862A2" w:rsidRDefault="007862A2" w:rsidP="007862A2">
      <w:pPr>
        <w:pStyle w:val="PL"/>
      </w:pPr>
      <w:r>
        <w:t xml:space="preserve">        '500':</w:t>
      </w:r>
    </w:p>
    <w:p w14:paraId="7596509D" w14:textId="77777777" w:rsidR="007862A2" w:rsidRDefault="007862A2" w:rsidP="007862A2">
      <w:pPr>
        <w:pStyle w:val="PL"/>
      </w:pPr>
      <w:r>
        <w:t xml:space="preserve">          $ref: 'TS29571_CommonData.yaml#/components/responses/500'</w:t>
      </w:r>
    </w:p>
    <w:p w14:paraId="229F8315" w14:textId="77777777" w:rsidR="007862A2" w:rsidRDefault="007862A2" w:rsidP="007862A2">
      <w:pPr>
        <w:pStyle w:val="PL"/>
      </w:pPr>
      <w:r>
        <w:t xml:space="preserve">        '501':</w:t>
      </w:r>
    </w:p>
    <w:p w14:paraId="5C7493C5" w14:textId="77777777" w:rsidR="007862A2" w:rsidRDefault="007862A2" w:rsidP="007862A2">
      <w:pPr>
        <w:pStyle w:val="PL"/>
      </w:pPr>
      <w:r>
        <w:t xml:space="preserve">          $ref: 'TS29571_CommonData.yaml#/components/responses/501'</w:t>
      </w:r>
    </w:p>
    <w:p w14:paraId="7F55CFEB" w14:textId="77777777" w:rsidR="007862A2" w:rsidRDefault="007862A2" w:rsidP="007862A2">
      <w:pPr>
        <w:pStyle w:val="PL"/>
      </w:pPr>
      <w:r>
        <w:t xml:space="preserve">        '502':</w:t>
      </w:r>
    </w:p>
    <w:p w14:paraId="1A166508" w14:textId="77777777" w:rsidR="007862A2" w:rsidRDefault="007862A2" w:rsidP="007862A2">
      <w:pPr>
        <w:pStyle w:val="PL"/>
      </w:pPr>
      <w:r>
        <w:t xml:space="preserve">          $ref: 'TS29571_CommonData.yaml#/components/responses/502'</w:t>
      </w:r>
    </w:p>
    <w:p w14:paraId="682EA4B8" w14:textId="77777777" w:rsidR="007862A2" w:rsidRDefault="007862A2" w:rsidP="007862A2">
      <w:pPr>
        <w:pStyle w:val="PL"/>
      </w:pPr>
      <w:r>
        <w:t xml:space="preserve">        '503':</w:t>
      </w:r>
    </w:p>
    <w:p w14:paraId="60720540" w14:textId="77777777" w:rsidR="007862A2" w:rsidRDefault="007862A2" w:rsidP="007862A2">
      <w:pPr>
        <w:pStyle w:val="PL"/>
      </w:pPr>
      <w:r>
        <w:t xml:space="preserve">          $ref: 'TS29571_CommonData.yaml#/components/responses/503'</w:t>
      </w:r>
    </w:p>
    <w:p w14:paraId="1140635C" w14:textId="77777777" w:rsidR="007862A2" w:rsidRDefault="007862A2" w:rsidP="007862A2">
      <w:pPr>
        <w:pStyle w:val="PL"/>
      </w:pPr>
      <w:r>
        <w:t xml:space="preserve">        default:</w:t>
      </w:r>
    </w:p>
    <w:p w14:paraId="6E30849B" w14:textId="77777777" w:rsidR="007862A2" w:rsidRDefault="007862A2" w:rsidP="007862A2">
      <w:pPr>
        <w:pStyle w:val="PL"/>
      </w:pPr>
      <w:r>
        <w:t xml:space="preserve">          $ref: 'TS29571_CommonData.yaml#/components/responses/default'</w:t>
      </w:r>
    </w:p>
    <w:p w14:paraId="565C1363" w14:textId="77777777" w:rsidR="007862A2" w:rsidRDefault="007862A2" w:rsidP="007862A2">
      <w:pPr>
        <w:pStyle w:val="PL"/>
      </w:pPr>
    </w:p>
    <w:p w14:paraId="25609828" w14:textId="77777777" w:rsidR="007862A2" w:rsidRDefault="007862A2" w:rsidP="007862A2">
      <w:pPr>
        <w:pStyle w:val="PL"/>
      </w:pPr>
      <w:r>
        <w:t>components:</w:t>
      </w:r>
    </w:p>
    <w:p w14:paraId="05B9EC2F" w14:textId="77777777" w:rsidR="007862A2" w:rsidRDefault="007862A2" w:rsidP="007862A2">
      <w:pPr>
        <w:pStyle w:val="PL"/>
        <w:rPr>
          <w:rFonts w:eastAsia="等线"/>
          <w:lang w:val="en-US"/>
        </w:rPr>
      </w:pPr>
    </w:p>
    <w:p w14:paraId="48A67CA6" w14:textId="77777777" w:rsidR="007862A2" w:rsidRDefault="007862A2" w:rsidP="007862A2">
      <w:pPr>
        <w:pStyle w:val="PL"/>
        <w:rPr>
          <w:rFonts w:eastAsia="等线"/>
          <w:lang w:val="en-US"/>
        </w:rPr>
      </w:pPr>
      <w:r>
        <w:rPr>
          <w:rFonts w:eastAsia="等线"/>
          <w:lang w:val="en-US"/>
        </w:rPr>
        <w:t xml:space="preserve">  securitySchemes:</w:t>
      </w:r>
    </w:p>
    <w:p w14:paraId="3608C146" w14:textId="77777777" w:rsidR="007862A2" w:rsidRDefault="007862A2" w:rsidP="007862A2">
      <w:pPr>
        <w:pStyle w:val="PL"/>
        <w:rPr>
          <w:rFonts w:eastAsia="等线"/>
          <w:lang w:val="en-US"/>
        </w:rPr>
      </w:pPr>
      <w:r>
        <w:rPr>
          <w:rFonts w:eastAsia="等线"/>
          <w:lang w:val="en-US"/>
        </w:rPr>
        <w:t xml:space="preserve">    oAuth2ClientCredentials:</w:t>
      </w:r>
    </w:p>
    <w:p w14:paraId="08EB7386" w14:textId="77777777" w:rsidR="007862A2" w:rsidRDefault="007862A2" w:rsidP="007862A2">
      <w:pPr>
        <w:pStyle w:val="PL"/>
        <w:rPr>
          <w:rFonts w:eastAsia="等线"/>
          <w:lang w:val="en-US"/>
        </w:rPr>
      </w:pPr>
      <w:r>
        <w:rPr>
          <w:rFonts w:eastAsia="等线"/>
          <w:lang w:val="en-US"/>
        </w:rPr>
        <w:t xml:space="preserve">      type: oauth2</w:t>
      </w:r>
    </w:p>
    <w:p w14:paraId="4BBB8E08" w14:textId="77777777" w:rsidR="007862A2" w:rsidRDefault="007862A2" w:rsidP="007862A2">
      <w:pPr>
        <w:pStyle w:val="PL"/>
        <w:rPr>
          <w:rFonts w:eastAsia="等线"/>
          <w:lang w:val="en-US"/>
        </w:rPr>
      </w:pPr>
      <w:r>
        <w:rPr>
          <w:rFonts w:eastAsia="等线"/>
          <w:lang w:val="en-US"/>
        </w:rPr>
        <w:t xml:space="preserve">      flows:</w:t>
      </w:r>
    </w:p>
    <w:p w14:paraId="7544A524" w14:textId="77777777" w:rsidR="007862A2" w:rsidRDefault="007862A2" w:rsidP="007862A2">
      <w:pPr>
        <w:pStyle w:val="PL"/>
        <w:rPr>
          <w:rFonts w:eastAsia="等线"/>
          <w:lang w:val="en-US"/>
        </w:rPr>
      </w:pPr>
      <w:r>
        <w:rPr>
          <w:rFonts w:eastAsia="等线"/>
          <w:lang w:val="en-US"/>
        </w:rPr>
        <w:t xml:space="preserve">        clientCredentials:</w:t>
      </w:r>
    </w:p>
    <w:p w14:paraId="658046EB" w14:textId="77777777" w:rsidR="007862A2" w:rsidRDefault="007862A2" w:rsidP="007862A2">
      <w:pPr>
        <w:pStyle w:val="PL"/>
        <w:rPr>
          <w:rFonts w:eastAsia="等线"/>
          <w:lang w:val="en-US"/>
        </w:rPr>
      </w:pPr>
      <w:r>
        <w:rPr>
          <w:rFonts w:eastAsia="等线"/>
          <w:lang w:val="en-US"/>
        </w:rPr>
        <w:t xml:space="preserve">          tokenUrl: '{nrfApiRoot}/oauth2/token'</w:t>
      </w:r>
    </w:p>
    <w:p w14:paraId="052D947E" w14:textId="77777777" w:rsidR="007862A2" w:rsidRDefault="007862A2" w:rsidP="007862A2">
      <w:pPr>
        <w:pStyle w:val="PL"/>
        <w:rPr>
          <w:rFonts w:eastAsia="等线"/>
          <w:lang w:val="en-US"/>
        </w:rPr>
      </w:pPr>
      <w:r>
        <w:rPr>
          <w:rFonts w:eastAsia="等线"/>
          <w:lang w:val="en-US"/>
        </w:rPr>
        <w:t xml:space="preserve">          scopes:</w:t>
      </w:r>
    </w:p>
    <w:p w14:paraId="40A66790" w14:textId="77777777" w:rsidR="007862A2" w:rsidRDefault="007862A2" w:rsidP="007862A2">
      <w:pPr>
        <w:pStyle w:val="PL"/>
        <w:rPr>
          <w:rFonts w:eastAsia="等线"/>
          <w:lang w:val="en-US"/>
        </w:rPr>
      </w:pPr>
      <w:r>
        <w:rPr>
          <w:rFonts w:eastAsia="等线"/>
          <w:lang w:val="en-US"/>
        </w:rPr>
        <w:t xml:space="preserve">            </w:t>
      </w:r>
      <w:r>
        <w:rPr>
          <w:rFonts w:eastAsia="等线"/>
        </w:rPr>
        <w:t>nnwdaf-eventssubscription</w:t>
      </w:r>
      <w:r>
        <w:rPr>
          <w:rFonts w:eastAsia="等线"/>
          <w:lang w:val="en-US"/>
        </w:rPr>
        <w:t xml:space="preserve">: Access to the </w:t>
      </w:r>
      <w:r>
        <w:rPr>
          <w:rFonts w:eastAsia="等线"/>
        </w:rPr>
        <w:t>Nnwdaf_EventsSubscription</w:t>
      </w:r>
      <w:r>
        <w:rPr>
          <w:rFonts w:eastAsia="等线"/>
          <w:lang w:val="en-US"/>
        </w:rPr>
        <w:t xml:space="preserve"> API</w:t>
      </w:r>
    </w:p>
    <w:p w14:paraId="4ADFC538" w14:textId="77777777" w:rsidR="007862A2" w:rsidRDefault="007862A2" w:rsidP="007862A2">
      <w:pPr>
        <w:pStyle w:val="PL"/>
      </w:pPr>
      <w:r>
        <w:t xml:space="preserve">            nnwdaf-eventssubscription:transfer: &gt;</w:t>
      </w:r>
    </w:p>
    <w:p w14:paraId="059DE13F" w14:textId="77777777" w:rsidR="007862A2" w:rsidRDefault="007862A2" w:rsidP="007862A2">
      <w:pPr>
        <w:pStyle w:val="PL"/>
      </w:pPr>
      <w:r>
        <w:t xml:space="preserve">              Access to service operations applying to NWDAF event subscription transfer.</w:t>
      </w:r>
    </w:p>
    <w:p w14:paraId="14D6D095" w14:textId="77777777" w:rsidR="007862A2" w:rsidRDefault="007862A2" w:rsidP="007862A2">
      <w:pPr>
        <w:pStyle w:val="PL"/>
      </w:pPr>
    </w:p>
    <w:p w14:paraId="100C9B6E" w14:textId="77777777" w:rsidR="007862A2" w:rsidRDefault="007862A2" w:rsidP="007862A2">
      <w:pPr>
        <w:pStyle w:val="PL"/>
      </w:pPr>
      <w:r>
        <w:t xml:space="preserve">  schemas:</w:t>
      </w:r>
    </w:p>
    <w:p w14:paraId="4EB38062" w14:textId="77777777" w:rsidR="007862A2" w:rsidRDefault="007862A2" w:rsidP="007862A2">
      <w:pPr>
        <w:pStyle w:val="PL"/>
      </w:pPr>
    </w:p>
    <w:p w14:paraId="57511CFF" w14:textId="77777777" w:rsidR="007862A2" w:rsidRDefault="007862A2" w:rsidP="007862A2">
      <w:pPr>
        <w:pStyle w:val="PL"/>
      </w:pPr>
      <w:r>
        <w:t xml:space="preserve">    NnwdafEventsSubscription:</w:t>
      </w:r>
    </w:p>
    <w:p w14:paraId="5DD243F8" w14:textId="77777777" w:rsidR="007862A2" w:rsidRDefault="007862A2" w:rsidP="007862A2">
      <w:pPr>
        <w:pStyle w:val="PL"/>
      </w:pPr>
      <w:r>
        <w:t xml:space="preserve">      description: Represents an Individual NWDAF Event Subscription resource.</w:t>
      </w:r>
    </w:p>
    <w:p w14:paraId="6686590F" w14:textId="77777777" w:rsidR="007862A2" w:rsidRDefault="007862A2" w:rsidP="007862A2">
      <w:pPr>
        <w:pStyle w:val="PL"/>
      </w:pPr>
      <w:r>
        <w:t xml:space="preserve">      type: object</w:t>
      </w:r>
    </w:p>
    <w:p w14:paraId="4B1377BB" w14:textId="77777777" w:rsidR="007862A2" w:rsidRDefault="007862A2" w:rsidP="007862A2">
      <w:pPr>
        <w:pStyle w:val="PL"/>
      </w:pPr>
      <w:r>
        <w:t xml:space="preserve">      properties:</w:t>
      </w:r>
    </w:p>
    <w:p w14:paraId="44E50E42" w14:textId="77777777" w:rsidR="007862A2" w:rsidRDefault="007862A2" w:rsidP="007862A2">
      <w:pPr>
        <w:pStyle w:val="PL"/>
      </w:pPr>
      <w:r>
        <w:t xml:space="preserve">        eventSubscriptions:</w:t>
      </w:r>
    </w:p>
    <w:p w14:paraId="2260E533" w14:textId="77777777" w:rsidR="007862A2" w:rsidRDefault="007862A2" w:rsidP="007862A2">
      <w:pPr>
        <w:pStyle w:val="PL"/>
      </w:pPr>
      <w:r>
        <w:t xml:space="preserve">          type: array</w:t>
      </w:r>
    </w:p>
    <w:p w14:paraId="7A45AC97" w14:textId="77777777" w:rsidR="007862A2" w:rsidRDefault="007862A2" w:rsidP="007862A2">
      <w:pPr>
        <w:pStyle w:val="PL"/>
      </w:pPr>
      <w:r>
        <w:t xml:space="preserve">          items:</w:t>
      </w:r>
    </w:p>
    <w:p w14:paraId="5DFB1F9B" w14:textId="77777777" w:rsidR="007862A2" w:rsidRDefault="007862A2" w:rsidP="007862A2">
      <w:pPr>
        <w:pStyle w:val="PL"/>
      </w:pPr>
      <w:r>
        <w:t xml:space="preserve">            $ref: '#/components/schemas/EventSubscription'</w:t>
      </w:r>
    </w:p>
    <w:p w14:paraId="05F855CE" w14:textId="77777777" w:rsidR="007862A2" w:rsidRDefault="007862A2" w:rsidP="007862A2">
      <w:pPr>
        <w:pStyle w:val="PL"/>
      </w:pPr>
      <w:r>
        <w:t xml:space="preserve">          minItems: 1</w:t>
      </w:r>
    </w:p>
    <w:p w14:paraId="230060CE" w14:textId="77777777" w:rsidR="007862A2" w:rsidRDefault="007862A2" w:rsidP="007862A2">
      <w:pPr>
        <w:pStyle w:val="PL"/>
      </w:pPr>
      <w:r>
        <w:t xml:space="preserve">          description: Subscribed events</w:t>
      </w:r>
    </w:p>
    <w:p w14:paraId="608E95AD" w14:textId="77777777" w:rsidR="007862A2" w:rsidRDefault="007862A2" w:rsidP="007862A2">
      <w:pPr>
        <w:pStyle w:val="PL"/>
      </w:pPr>
      <w:r>
        <w:t xml:space="preserve">        evtReq:</w:t>
      </w:r>
    </w:p>
    <w:p w14:paraId="5910FBB1" w14:textId="77777777" w:rsidR="007862A2" w:rsidRDefault="007862A2" w:rsidP="007862A2">
      <w:pPr>
        <w:pStyle w:val="PL"/>
      </w:pPr>
      <w:r>
        <w:t xml:space="preserve">          $ref: 'TS29523_Npcf_EventExposure.yaml#/components/schemas/ReportingInformation'</w:t>
      </w:r>
    </w:p>
    <w:p w14:paraId="7B949A13" w14:textId="77777777" w:rsidR="007862A2" w:rsidRDefault="007862A2" w:rsidP="007862A2">
      <w:pPr>
        <w:pStyle w:val="PL"/>
      </w:pPr>
      <w:r>
        <w:t xml:space="preserve">        notificationURI:</w:t>
      </w:r>
    </w:p>
    <w:p w14:paraId="0EE7D6DF" w14:textId="77777777" w:rsidR="007862A2" w:rsidRDefault="007862A2" w:rsidP="007862A2">
      <w:pPr>
        <w:pStyle w:val="PL"/>
      </w:pPr>
      <w:r>
        <w:t xml:space="preserve">          $ref: 'TS29571_CommonData.yaml#/components/schemas/Uri'</w:t>
      </w:r>
    </w:p>
    <w:p w14:paraId="6F2AE82C" w14:textId="77777777" w:rsidR="007862A2" w:rsidRDefault="007862A2" w:rsidP="007862A2">
      <w:pPr>
        <w:pStyle w:val="PL"/>
      </w:pPr>
      <w:r>
        <w:t xml:space="preserve">        notifCorrId:</w:t>
      </w:r>
    </w:p>
    <w:p w14:paraId="5C19E4E8" w14:textId="77777777" w:rsidR="007862A2" w:rsidRDefault="007862A2" w:rsidP="007862A2">
      <w:pPr>
        <w:pStyle w:val="PL"/>
      </w:pPr>
      <w:r>
        <w:t xml:space="preserve">          type: string</w:t>
      </w:r>
    </w:p>
    <w:p w14:paraId="686F7B1C" w14:textId="77777777" w:rsidR="007862A2" w:rsidRDefault="007862A2" w:rsidP="007862A2">
      <w:pPr>
        <w:pStyle w:val="PL"/>
      </w:pPr>
      <w:r>
        <w:t xml:space="preserve">          description: Notification correlation identifier.</w:t>
      </w:r>
    </w:p>
    <w:p w14:paraId="17D2D16B" w14:textId="77777777" w:rsidR="007862A2" w:rsidRDefault="007862A2" w:rsidP="007862A2">
      <w:pPr>
        <w:pStyle w:val="PL"/>
      </w:pPr>
      <w:r>
        <w:t xml:space="preserve">        supportedFeatures:</w:t>
      </w:r>
    </w:p>
    <w:p w14:paraId="0DB8AD19" w14:textId="77777777" w:rsidR="007862A2" w:rsidRDefault="007862A2" w:rsidP="007862A2">
      <w:pPr>
        <w:pStyle w:val="PL"/>
      </w:pPr>
      <w:r>
        <w:t xml:space="preserve">          $ref: 'TS29571_CommonData.yaml#/components/schemas/SupportedFeatures'</w:t>
      </w:r>
    </w:p>
    <w:p w14:paraId="00D5468B" w14:textId="77777777" w:rsidR="007862A2" w:rsidRDefault="007862A2" w:rsidP="007862A2">
      <w:pPr>
        <w:pStyle w:val="PL"/>
      </w:pPr>
      <w:r>
        <w:t xml:space="preserve">        eventNotifications:</w:t>
      </w:r>
    </w:p>
    <w:p w14:paraId="10FFE74A" w14:textId="77777777" w:rsidR="007862A2" w:rsidRDefault="007862A2" w:rsidP="007862A2">
      <w:pPr>
        <w:pStyle w:val="PL"/>
      </w:pPr>
      <w:r>
        <w:t xml:space="preserve">          type: array</w:t>
      </w:r>
    </w:p>
    <w:p w14:paraId="4458BC7A" w14:textId="77777777" w:rsidR="007862A2" w:rsidRDefault="007862A2" w:rsidP="007862A2">
      <w:pPr>
        <w:pStyle w:val="PL"/>
      </w:pPr>
      <w:r>
        <w:lastRenderedPageBreak/>
        <w:t xml:space="preserve">          items:</w:t>
      </w:r>
    </w:p>
    <w:p w14:paraId="1B437B50" w14:textId="77777777" w:rsidR="007862A2" w:rsidRDefault="007862A2" w:rsidP="007862A2">
      <w:pPr>
        <w:pStyle w:val="PL"/>
      </w:pPr>
      <w:r>
        <w:t xml:space="preserve">            $ref: '#/components/schemas/EventNotification'</w:t>
      </w:r>
    </w:p>
    <w:p w14:paraId="06DE65E9" w14:textId="77777777" w:rsidR="007862A2" w:rsidRDefault="007862A2" w:rsidP="007862A2">
      <w:pPr>
        <w:pStyle w:val="PL"/>
      </w:pPr>
      <w:r>
        <w:t xml:space="preserve">          minItems: 1</w:t>
      </w:r>
    </w:p>
    <w:p w14:paraId="1CF857D0" w14:textId="77777777" w:rsidR="007862A2" w:rsidRDefault="007862A2" w:rsidP="007862A2">
      <w:pPr>
        <w:pStyle w:val="PL"/>
      </w:pPr>
      <w:r>
        <w:t xml:space="preserve">        failEventReports:</w:t>
      </w:r>
    </w:p>
    <w:p w14:paraId="7E4D9AEE" w14:textId="77777777" w:rsidR="007862A2" w:rsidRDefault="007862A2" w:rsidP="007862A2">
      <w:pPr>
        <w:pStyle w:val="PL"/>
      </w:pPr>
      <w:r>
        <w:t xml:space="preserve">          type: array</w:t>
      </w:r>
    </w:p>
    <w:p w14:paraId="023D8A89" w14:textId="77777777" w:rsidR="007862A2" w:rsidRDefault="007862A2" w:rsidP="007862A2">
      <w:pPr>
        <w:pStyle w:val="PL"/>
      </w:pPr>
      <w:r>
        <w:t xml:space="preserve">          items:</w:t>
      </w:r>
    </w:p>
    <w:p w14:paraId="0DF856CE" w14:textId="77777777" w:rsidR="007862A2" w:rsidRDefault="007862A2" w:rsidP="007862A2">
      <w:pPr>
        <w:pStyle w:val="PL"/>
      </w:pPr>
      <w:r>
        <w:t xml:space="preserve">            $ref: '#/components/schemas/FailureEventInfo'</w:t>
      </w:r>
    </w:p>
    <w:p w14:paraId="0B26D6B0" w14:textId="77777777" w:rsidR="007862A2" w:rsidRDefault="007862A2" w:rsidP="007862A2">
      <w:pPr>
        <w:pStyle w:val="PL"/>
      </w:pPr>
      <w:r>
        <w:t xml:space="preserve">          minItems: 1</w:t>
      </w:r>
    </w:p>
    <w:p w14:paraId="6C06CABE" w14:textId="77777777" w:rsidR="007862A2" w:rsidRDefault="007862A2" w:rsidP="007862A2">
      <w:pPr>
        <w:pStyle w:val="PL"/>
      </w:pPr>
      <w:r>
        <w:t xml:space="preserve">        prevSub:</w:t>
      </w:r>
    </w:p>
    <w:p w14:paraId="5B9CCCB0" w14:textId="77777777" w:rsidR="007862A2" w:rsidRDefault="007862A2" w:rsidP="007862A2">
      <w:pPr>
        <w:pStyle w:val="PL"/>
      </w:pPr>
      <w:r>
        <w:t xml:space="preserve">          $ref: '#/components/schemas/PrevSubInfo'</w:t>
      </w:r>
    </w:p>
    <w:p w14:paraId="29656AE8" w14:textId="77777777" w:rsidR="007862A2" w:rsidRDefault="007862A2" w:rsidP="007862A2">
      <w:pPr>
        <w:pStyle w:val="PL"/>
      </w:pPr>
      <w:r>
        <w:t xml:space="preserve">        consNfInfo:</w:t>
      </w:r>
    </w:p>
    <w:p w14:paraId="32C3207F" w14:textId="77777777" w:rsidR="007862A2" w:rsidRDefault="007862A2" w:rsidP="007862A2">
      <w:pPr>
        <w:pStyle w:val="PL"/>
      </w:pPr>
      <w:r>
        <w:t xml:space="preserve">          $ref: '#/components/schemas/ConsumerNfInformation'</w:t>
      </w:r>
    </w:p>
    <w:p w14:paraId="02C2764A" w14:textId="77777777" w:rsidR="007862A2" w:rsidRDefault="007862A2" w:rsidP="007862A2">
      <w:pPr>
        <w:pStyle w:val="PL"/>
      </w:pPr>
      <w:r>
        <w:t xml:space="preserve">      required:</w:t>
      </w:r>
    </w:p>
    <w:p w14:paraId="7940B9AA" w14:textId="77777777" w:rsidR="007862A2" w:rsidRDefault="007862A2" w:rsidP="007862A2">
      <w:pPr>
        <w:pStyle w:val="PL"/>
      </w:pPr>
      <w:r>
        <w:t xml:space="preserve">        - eventSubscriptions</w:t>
      </w:r>
    </w:p>
    <w:p w14:paraId="431FA539" w14:textId="77777777" w:rsidR="007862A2" w:rsidRDefault="007862A2" w:rsidP="007862A2">
      <w:pPr>
        <w:pStyle w:val="PL"/>
      </w:pPr>
    </w:p>
    <w:p w14:paraId="30124CDB" w14:textId="77777777" w:rsidR="007862A2" w:rsidRDefault="007862A2" w:rsidP="007862A2">
      <w:pPr>
        <w:pStyle w:val="PL"/>
      </w:pPr>
      <w:r>
        <w:t xml:space="preserve">    EventSubscription:</w:t>
      </w:r>
    </w:p>
    <w:p w14:paraId="491B3C88" w14:textId="77777777" w:rsidR="007862A2" w:rsidRDefault="007862A2" w:rsidP="007862A2">
      <w:pPr>
        <w:pStyle w:val="PL"/>
      </w:pPr>
      <w:r>
        <w:t xml:space="preserve">      description: Represents a subscription to a single event.</w:t>
      </w:r>
    </w:p>
    <w:p w14:paraId="34EE187B" w14:textId="77777777" w:rsidR="007862A2" w:rsidRDefault="007862A2" w:rsidP="007862A2">
      <w:pPr>
        <w:pStyle w:val="PL"/>
      </w:pPr>
      <w:r>
        <w:t xml:space="preserve">      type: object</w:t>
      </w:r>
    </w:p>
    <w:p w14:paraId="2D2DEFD1" w14:textId="77777777" w:rsidR="007862A2" w:rsidRDefault="007862A2" w:rsidP="007862A2">
      <w:pPr>
        <w:pStyle w:val="PL"/>
      </w:pPr>
      <w:r>
        <w:t xml:space="preserve">      properties:</w:t>
      </w:r>
    </w:p>
    <w:p w14:paraId="5655E331" w14:textId="77777777" w:rsidR="007862A2" w:rsidRDefault="007862A2" w:rsidP="007862A2">
      <w:pPr>
        <w:pStyle w:val="PL"/>
      </w:pPr>
      <w:r>
        <w:t xml:space="preserve">        anySlice:</w:t>
      </w:r>
    </w:p>
    <w:p w14:paraId="37F9A678" w14:textId="77777777" w:rsidR="007862A2" w:rsidRDefault="007862A2" w:rsidP="007862A2">
      <w:pPr>
        <w:pStyle w:val="PL"/>
      </w:pPr>
      <w:r>
        <w:t xml:space="preserve">          $ref: '#/components/schemas/AnySlice'</w:t>
      </w:r>
    </w:p>
    <w:p w14:paraId="7F7410FF" w14:textId="77777777" w:rsidR="007862A2" w:rsidRDefault="007862A2" w:rsidP="007862A2">
      <w:pPr>
        <w:pStyle w:val="PL"/>
      </w:pPr>
      <w:r>
        <w:t xml:space="preserve">        appIds:</w:t>
      </w:r>
    </w:p>
    <w:p w14:paraId="22BD0AD0" w14:textId="77777777" w:rsidR="007862A2" w:rsidRDefault="007862A2" w:rsidP="007862A2">
      <w:pPr>
        <w:pStyle w:val="PL"/>
      </w:pPr>
      <w:r>
        <w:t xml:space="preserve">          type: array</w:t>
      </w:r>
    </w:p>
    <w:p w14:paraId="495490EC" w14:textId="77777777" w:rsidR="007862A2" w:rsidRDefault="007862A2" w:rsidP="007862A2">
      <w:pPr>
        <w:pStyle w:val="PL"/>
      </w:pPr>
      <w:r>
        <w:t xml:space="preserve">          items:</w:t>
      </w:r>
    </w:p>
    <w:p w14:paraId="4C4892E3" w14:textId="77777777" w:rsidR="007862A2" w:rsidRDefault="007862A2" w:rsidP="007862A2">
      <w:pPr>
        <w:pStyle w:val="PL"/>
      </w:pPr>
      <w:r>
        <w:t xml:space="preserve">            $ref: 'TS29571_CommonData.yaml#/components/schemas/ApplicationId'</w:t>
      </w:r>
    </w:p>
    <w:p w14:paraId="1737F08C" w14:textId="77777777" w:rsidR="007862A2" w:rsidRDefault="007862A2" w:rsidP="007862A2">
      <w:pPr>
        <w:pStyle w:val="PL"/>
      </w:pPr>
      <w:r>
        <w:t xml:space="preserve">          minItems: 1</w:t>
      </w:r>
    </w:p>
    <w:p w14:paraId="5813FBC8" w14:textId="77777777" w:rsidR="007862A2" w:rsidRDefault="007862A2" w:rsidP="007862A2">
      <w:pPr>
        <w:pStyle w:val="PL"/>
      </w:pPr>
      <w:r>
        <w:t xml:space="preserve">          description: Identification(s) of application to which the subscription applies.</w:t>
      </w:r>
    </w:p>
    <w:p w14:paraId="11AF0818" w14:textId="77777777" w:rsidR="007862A2" w:rsidRDefault="007862A2" w:rsidP="007862A2">
      <w:pPr>
        <w:pStyle w:val="PL"/>
      </w:pPr>
      <w:r>
        <w:t xml:space="preserve">        deviation</w:t>
      </w:r>
      <w:r>
        <w:rPr>
          <w:rFonts w:hint="eastAsia"/>
          <w:lang w:eastAsia="zh-CN"/>
        </w:rPr>
        <w:t>s</w:t>
      </w:r>
      <w:r>
        <w:t>:</w:t>
      </w:r>
    </w:p>
    <w:p w14:paraId="02D62B6F" w14:textId="77777777" w:rsidR="007862A2" w:rsidRDefault="007862A2" w:rsidP="007862A2">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type: array</w:t>
      </w:r>
    </w:p>
    <w:p w14:paraId="6D4CE2F7" w14:textId="77777777" w:rsidR="007862A2" w:rsidRDefault="007862A2" w:rsidP="007862A2">
      <w:pPr>
        <w:pStyle w:val="PL"/>
      </w:pPr>
      <w:r>
        <w:t xml:space="preserve">          items:</w:t>
      </w:r>
    </w:p>
    <w:p w14:paraId="39AC0CED" w14:textId="77777777" w:rsidR="007862A2" w:rsidRDefault="007862A2" w:rsidP="007862A2">
      <w:pPr>
        <w:pStyle w:val="PL"/>
      </w:pPr>
      <w:r>
        <w:t xml:space="preserve">            $ref: 'TS29571_CommonData.yaml#/components/schemas/Uinteger'</w:t>
      </w:r>
    </w:p>
    <w:p w14:paraId="1878BFEF" w14:textId="77777777" w:rsidR="007862A2" w:rsidRDefault="007862A2" w:rsidP="007862A2">
      <w:pPr>
        <w:pStyle w:val="PL"/>
      </w:pPr>
      <w:r>
        <w:t xml:space="preserve">          minItems: 1</w:t>
      </w:r>
    </w:p>
    <w:p w14:paraId="6B67F383" w14:textId="77777777" w:rsidR="007862A2" w:rsidRDefault="007862A2" w:rsidP="007862A2">
      <w:pPr>
        <w:pStyle w:val="PL"/>
      </w:pPr>
      <w:r>
        <w:t xml:space="preserve">        dnns:</w:t>
      </w:r>
    </w:p>
    <w:p w14:paraId="0DF5D191" w14:textId="77777777" w:rsidR="007862A2" w:rsidRDefault="007862A2" w:rsidP="007862A2">
      <w:pPr>
        <w:pStyle w:val="PL"/>
      </w:pPr>
      <w:r>
        <w:t xml:space="preserve">          type: array</w:t>
      </w:r>
    </w:p>
    <w:p w14:paraId="2A756D96" w14:textId="77777777" w:rsidR="007862A2" w:rsidRDefault="007862A2" w:rsidP="007862A2">
      <w:pPr>
        <w:pStyle w:val="PL"/>
      </w:pPr>
      <w:r>
        <w:t xml:space="preserve">          items:</w:t>
      </w:r>
    </w:p>
    <w:p w14:paraId="75F9D906" w14:textId="77777777" w:rsidR="007862A2" w:rsidRDefault="007862A2" w:rsidP="007862A2">
      <w:pPr>
        <w:pStyle w:val="PL"/>
      </w:pPr>
      <w:r>
        <w:t xml:space="preserve">            $ref: 'TS29571_CommonData.yaml#/components/schemas/Dnn'</w:t>
      </w:r>
    </w:p>
    <w:p w14:paraId="0D07AA9A" w14:textId="77777777" w:rsidR="007862A2" w:rsidRDefault="007862A2" w:rsidP="007862A2">
      <w:pPr>
        <w:pStyle w:val="PL"/>
      </w:pPr>
      <w:r>
        <w:t xml:space="preserve">          minItems: 1</w:t>
      </w:r>
    </w:p>
    <w:p w14:paraId="7A288D50" w14:textId="77777777" w:rsidR="007862A2" w:rsidRDefault="007862A2" w:rsidP="007862A2">
      <w:pPr>
        <w:pStyle w:val="PL"/>
      </w:pPr>
      <w:r>
        <w:t xml:space="preserve">          description: Identification(s) of DNN to which the subscription applies.</w:t>
      </w:r>
    </w:p>
    <w:p w14:paraId="00C23F2F" w14:textId="77777777" w:rsidR="007862A2" w:rsidRDefault="007862A2" w:rsidP="007862A2">
      <w:pPr>
        <w:pStyle w:val="PL"/>
      </w:pPr>
      <w:r>
        <w:t xml:space="preserve">        dnais:</w:t>
      </w:r>
    </w:p>
    <w:p w14:paraId="36FEB123" w14:textId="77777777" w:rsidR="007862A2" w:rsidRDefault="007862A2" w:rsidP="007862A2">
      <w:pPr>
        <w:pStyle w:val="PL"/>
      </w:pPr>
      <w:r>
        <w:t xml:space="preserve">          type: array</w:t>
      </w:r>
    </w:p>
    <w:p w14:paraId="63DE54FE" w14:textId="77777777" w:rsidR="007862A2" w:rsidRDefault="007862A2" w:rsidP="007862A2">
      <w:pPr>
        <w:pStyle w:val="PL"/>
      </w:pPr>
      <w:r>
        <w:t xml:space="preserve">          items:</w:t>
      </w:r>
    </w:p>
    <w:p w14:paraId="636F924D" w14:textId="77777777" w:rsidR="007862A2" w:rsidRDefault="007862A2" w:rsidP="007862A2">
      <w:pPr>
        <w:pStyle w:val="PL"/>
      </w:pPr>
      <w:r>
        <w:t xml:space="preserve">            $ref: 'TS29571_CommonData.yaml#/components/schemas/Dnai'</w:t>
      </w:r>
    </w:p>
    <w:p w14:paraId="4A4C81BE" w14:textId="77777777" w:rsidR="007862A2" w:rsidRDefault="007862A2" w:rsidP="007862A2">
      <w:pPr>
        <w:pStyle w:val="PL"/>
      </w:pPr>
      <w:r>
        <w:t xml:space="preserve">          minItems: 1</w:t>
      </w:r>
    </w:p>
    <w:p w14:paraId="741A33D5" w14:textId="77777777" w:rsidR="007862A2" w:rsidRDefault="007862A2" w:rsidP="007862A2">
      <w:pPr>
        <w:pStyle w:val="PL"/>
      </w:pPr>
      <w:r>
        <w:t xml:space="preserve">        event:</w:t>
      </w:r>
    </w:p>
    <w:p w14:paraId="2C435C1B" w14:textId="77777777" w:rsidR="007862A2" w:rsidRDefault="007862A2" w:rsidP="007862A2">
      <w:pPr>
        <w:pStyle w:val="PL"/>
      </w:pPr>
      <w:r>
        <w:t xml:space="preserve">          $ref: '#/components/schemas/NwdafEvent'</w:t>
      </w:r>
    </w:p>
    <w:p w14:paraId="2F3136AD" w14:textId="77777777" w:rsidR="007862A2" w:rsidRDefault="007862A2" w:rsidP="007862A2">
      <w:pPr>
        <w:pStyle w:val="PL"/>
      </w:pPr>
      <w:r>
        <w:t xml:space="preserve">        extraReportReq:</w:t>
      </w:r>
    </w:p>
    <w:p w14:paraId="0E0B4D8A" w14:textId="77777777" w:rsidR="007862A2" w:rsidRDefault="007862A2" w:rsidP="007862A2">
      <w:pPr>
        <w:pStyle w:val="PL"/>
      </w:pPr>
      <w:r>
        <w:t xml:space="preserve">          $ref: '#/components/schemas/EventReportingRequirement'</w:t>
      </w:r>
    </w:p>
    <w:p w14:paraId="62AA4D92" w14:textId="77777777" w:rsidR="007862A2" w:rsidRDefault="007862A2" w:rsidP="007862A2">
      <w:pPr>
        <w:pStyle w:val="PL"/>
      </w:pPr>
      <w:r>
        <w:t xml:space="preserve">        ladnDnns:</w:t>
      </w:r>
    </w:p>
    <w:p w14:paraId="3A6EBAD9" w14:textId="77777777" w:rsidR="007862A2" w:rsidRDefault="007862A2" w:rsidP="007862A2">
      <w:pPr>
        <w:pStyle w:val="PL"/>
      </w:pPr>
      <w:r>
        <w:t xml:space="preserve">          type: array</w:t>
      </w:r>
    </w:p>
    <w:p w14:paraId="4502E462" w14:textId="77777777" w:rsidR="007862A2" w:rsidRDefault="007862A2" w:rsidP="007862A2">
      <w:pPr>
        <w:pStyle w:val="PL"/>
      </w:pPr>
      <w:r>
        <w:t xml:space="preserve">          items:</w:t>
      </w:r>
    </w:p>
    <w:p w14:paraId="1B005D5E" w14:textId="77777777" w:rsidR="007862A2" w:rsidRDefault="007862A2" w:rsidP="007862A2">
      <w:pPr>
        <w:pStyle w:val="PL"/>
      </w:pPr>
      <w:r>
        <w:t xml:space="preserve">            $ref: 'TS29571_CommonData.yaml#/components/schemas/Dnn'</w:t>
      </w:r>
    </w:p>
    <w:p w14:paraId="780AA9D9" w14:textId="77777777" w:rsidR="007862A2" w:rsidRDefault="007862A2" w:rsidP="007862A2">
      <w:pPr>
        <w:pStyle w:val="PL"/>
      </w:pPr>
      <w:r>
        <w:t xml:space="preserve">          minItems: 1</w:t>
      </w:r>
    </w:p>
    <w:p w14:paraId="4C22EDB5" w14:textId="77777777" w:rsidR="007862A2" w:rsidRDefault="007862A2" w:rsidP="007862A2">
      <w:pPr>
        <w:pStyle w:val="PL"/>
      </w:pPr>
      <w:r>
        <w:t xml:space="preserve">          description: Identification(s) of LADN DNN to indicate the LADN service area as the AOI.</w:t>
      </w:r>
    </w:p>
    <w:p w14:paraId="7306069A" w14:textId="77777777" w:rsidR="007862A2" w:rsidRDefault="007862A2" w:rsidP="007862A2">
      <w:pPr>
        <w:pStyle w:val="PL"/>
      </w:pPr>
      <w:r>
        <w:t xml:space="preserve">        loadLevelThreshold:</w:t>
      </w:r>
    </w:p>
    <w:p w14:paraId="49383795" w14:textId="77777777" w:rsidR="007862A2" w:rsidRDefault="007862A2" w:rsidP="007862A2">
      <w:pPr>
        <w:pStyle w:val="PL"/>
      </w:pPr>
      <w:r>
        <w:t xml:space="preserve">          type: integer</w:t>
      </w:r>
    </w:p>
    <w:p w14:paraId="0CB92FDD" w14:textId="77777777" w:rsidR="007862A2" w:rsidRDefault="007862A2" w:rsidP="007862A2">
      <w:pPr>
        <w:pStyle w:val="PL"/>
      </w:pPr>
      <w:r>
        <w:t xml:space="preserve">          description: &gt;</w:t>
      </w:r>
    </w:p>
    <w:p w14:paraId="376DF7DE" w14:textId="77777777" w:rsidR="007862A2" w:rsidRDefault="007862A2" w:rsidP="007862A2">
      <w:pPr>
        <w:pStyle w:val="PL"/>
      </w:pPr>
      <w:r>
        <w:t xml:space="preserve">            Indicates that the NWDAF shall report the corresponding network slice load level to the</w:t>
      </w:r>
    </w:p>
    <w:p w14:paraId="10CADD89" w14:textId="77777777" w:rsidR="007862A2" w:rsidRDefault="007862A2" w:rsidP="007862A2">
      <w:pPr>
        <w:pStyle w:val="PL"/>
      </w:pPr>
      <w:r>
        <w:t xml:space="preserve">            NF </w:t>
      </w:r>
      <w:r>
        <w:rPr>
          <w:lang w:val="en-US" w:eastAsia="zh-CN"/>
        </w:rPr>
        <w:t>service consumer where the load level of the network slice identified by snssais is</w:t>
      </w:r>
    </w:p>
    <w:p w14:paraId="51A19B19" w14:textId="77777777" w:rsidR="007862A2" w:rsidRDefault="007862A2" w:rsidP="007862A2">
      <w:pPr>
        <w:pStyle w:val="PL"/>
      </w:pPr>
      <w:r>
        <w:t xml:space="preserve">            reached.</w:t>
      </w:r>
    </w:p>
    <w:p w14:paraId="3FC7EF1D" w14:textId="77777777" w:rsidR="007862A2" w:rsidRDefault="007862A2" w:rsidP="007862A2">
      <w:pPr>
        <w:pStyle w:val="PL"/>
      </w:pPr>
      <w:r>
        <w:t xml:space="preserve">        notificationMethod:</w:t>
      </w:r>
    </w:p>
    <w:p w14:paraId="742D0DFD" w14:textId="77777777" w:rsidR="007862A2" w:rsidRDefault="007862A2" w:rsidP="007862A2">
      <w:pPr>
        <w:pStyle w:val="PL"/>
      </w:pPr>
      <w:r>
        <w:t xml:space="preserve">          $ref: '#/components/schemas/NotificationMethod'</w:t>
      </w:r>
    </w:p>
    <w:p w14:paraId="7F7E96AC" w14:textId="77777777" w:rsidR="007862A2" w:rsidRDefault="007862A2" w:rsidP="007862A2">
      <w:pPr>
        <w:pStyle w:val="PL"/>
      </w:pPr>
      <w:r>
        <w:t xml:space="preserve">        matchingDir:</w:t>
      </w:r>
    </w:p>
    <w:p w14:paraId="366736C0" w14:textId="77777777" w:rsidR="007862A2" w:rsidRDefault="007862A2" w:rsidP="007862A2">
      <w:pPr>
        <w:pStyle w:val="PL"/>
      </w:pPr>
      <w:r>
        <w:t xml:space="preserve">          $ref: '#/components/schemas/MatchingDirection'</w:t>
      </w:r>
    </w:p>
    <w:p w14:paraId="30AC3DBD" w14:textId="77777777" w:rsidR="007862A2" w:rsidRDefault="007862A2" w:rsidP="007862A2">
      <w:pPr>
        <w:pStyle w:val="PL"/>
      </w:pPr>
      <w:r>
        <w:t xml:space="preserve">        nfLoadLvlThds:</w:t>
      </w:r>
    </w:p>
    <w:p w14:paraId="5AC95B44" w14:textId="77777777" w:rsidR="007862A2" w:rsidRDefault="007862A2" w:rsidP="007862A2">
      <w:pPr>
        <w:pStyle w:val="PL"/>
      </w:pPr>
      <w:r>
        <w:t xml:space="preserve">          type: array</w:t>
      </w:r>
    </w:p>
    <w:p w14:paraId="79BF3736" w14:textId="77777777" w:rsidR="007862A2" w:rsidRDefault="007862A2" w:rsidP="007862A2">
      <w:pPr>
        <w:pStyle w:val="PL"/>
      </w:pPr>
      <w:r>
        <w:t xml:space="preserve">          items:</w:t>
      </w:r>
    </w:p>
    <w:p w14:paraId="37B607F5" w14:textId="77777777" w:rsidR="007862A2" w:rsidRDefault="007862A2" w:rsidP="007862A2">
      <w:pPr>
        <w:pStyle w:val="PL"/>
      </w:pPr>
      <w:r>
        <w:t xml:space="preserve">            $ref: '#/components/schemas/ThresholdLevel'</w:t>
      </w:r>
    </w:p>
    <w:p w14:paraId="5D5C06DD" w14:textId="77777777" w:rsidR="007862A2" w:rsidRDefault="007862A2" w:rsidP="007862A2">
      <w:pPr>
        <w:pStyle w:val="PL"/>
      </w:pPr>
      <w:r>
        <w:t xml:space="preserve">          minItems: 1</w:t>
      </w:r>
    </w:p>
    <w:p w14:paraId="2E80235A" w14:textId="77777777" w:rsidR="007862A2" w:rsidRDefault="007862A2" w:rsidP="007862A2">
      <w:pPr>
        <w:pStyle w:val="PL"/>
      </w:pPr>
      <w:r>
        <w:t xml:space="preserve">          description: &gt;</w:t>
      </w:r>
    </w:p>
    <w:p w14:paraId="04D91016" w14:textId="77777777" w:rsidR="007862A2" w:rsidRDefault="007862A2" w:rsidP="007862A2">
      <w:pPr>
        <w:pStyle w:val="PL"/>
      </w:pPr>
      <w:r>
        <w:t xml:space="preserve">            Shall be supplied in order to start reporting when an average load level is reached.</w:t>
      </w:r>
    </w:p>
    <w:p w14:paraId="164ACE0C" w14:textId="77777777" w:rsidR="007862A2" w:rsidRDefault="007862A2" w:rsidP="007862A2">
      <w:pPr>
        <w:pStyle w:val="PL"/>
      </w:pPr>
      <w:r>
        <w:t xml:space="preserve">        nfInstanceIds:</w:t>
      </w:r>
    </w:p>
    <w:p w14:paraId="4ECF62B9" w14:textId="77777777" w:rsidR="007862A2" w:rsidRDefault="007862A2" w:rsidP="007862A2">
      <w:pPr>
        <w:pStyle w:val="PL"/>
      </w:pPr>
      <w:r>
        <w:t xml:space="preserve">          type: array</w:t>
      </w:r>
    </w:p>
    <w:p w14:paraId="050B2E2D" w14:textId="77777777" w:rsidR="007862A2" w:rsidRDefault="007862A2" w:rsidP="007862A2">
      <w:pPr>
        <w:pStyle w:val="PL"/>
      </w:pPr>
      <w:r>
        <w:t xml:space="preserve">          items:</w:t>
      </w:r>
    </w:p>
    <w:p w14:paraId="18F71518" w14:textId="77777777" w:rsidR="007862A2" w:rsidRDefault="007862A2" w:rsidP="007862A2">
      <w:pPr>
        <w:pStyle w:val="PL"/>
      </w:pPr>
      <w:r>
        <w:t xml:space="preserve">            $ref: 'TS29571_CommonData.yaml#/components/schemas/NfInstanceId'</w:t>
      </w:r>
    </w:p>
    <w:p w14:paraId="59F0FBA8" w14:textId="77777777" w:rsidR="007862A2" w:rsidRDefault="007862A2" w:rsidP="007862A2">
      <w:pPr>
        <w:pStyle w:val="PL"/>
      </w:pPr>
      <w:r>
        <w:t xml:space="preserve">          minItems: 1</w:t>
      </w:r>
    </w:p>
    <w:p w14:paraId="0CF32FE1" w14:textId="77777777" w:rsidR="007862A2" w:rsidRDefault="007862A2" w:rsidP="007862A2">
      <w:pPr>
        <w:pStyle w:val="PL"/>
      </w:pPr>
      <w:r>
        <w:t xml:space="preserve">        nfSetIds:</w:t>
      </w:r>
    </w:p>
    <w:p w14:paraId="68808807" w14:textId="77777777" w:rsidR="007862A2" w:rsidRDefault="007862A2" w:rsidP="007862A2">
      <w:pPr>
        <w:pStyle w:val="PL"/>
      </w:pPr>
      <w:r>
        <w:t xml:space="preserve">          type: array</w:t>
      </w:r>
    </w:p>
    <w:p w14:paraId="25EF64B6" w14:textId="77777777" w:rsidR="007862A2" w:rsidRDefault="007862A2" w:rsidP="007862A2">
      <w:pPr>
        <w:pStyle w:val="PL"/>
      </w:pPr>
      <w:r>
        <w:t xml:space="preserve">          items:</w:t>
      </w:r>
    </w:p>
    <w:p w14:paraId="6BF770BB" w14:textId="77777777" w:rsidR="007862A2" w:rsidRDefault="007862A2" w:rsidP="007862A2">
      <w:pPr>
        <w:pStyle w:val="PL"/>
      </w:pPr>
      <w:r>
        <w:lastRenderedPageBreak/>
        <w:t xml:space="preserve">            $ref: 'TS29571_CommonData.yaml#/components/schemas/NfSetId'</w:t>
      </w:r>
    </w:p>
    <w:p w14:paraId="0EACB53D" w14:textId="77777777" w:rsidR="007862A2" w:rsidRDefault="007862A2" w:rsidP="007862A2">
      <w:pPr>
        <w:pStyle w:val="PL"/>
      </w:pPr>
      <w:r>
        <w:t xml:space="preserve">          minItems: 1</w:t>
      </w:r>
    </w:p>
    <w:p w14:paraId="12B1B004" w14:textId="77777777" w:rsidR="007862A2" w:rsidRDefault="007862A2" w:rsidP="007862A2">
      <w:pPr>
        <w:pStyle w:val="PL"/>
      </w:pPr>
      <w:r>
        <w:t xml:space="preserve">        nfTypes:</w:t>
      </w:r>
    </w:p>
    <w:p w14:paraId="45BA4E89" w14:textId="77777777" w:rsidR="007862A2" w:rsidRDefault="007862A2" w:rsidP="007862A2">
      <w:pPr>
        <w:pStyle w:val="PL"/>
      </w:pPr>
      <w:r>
        <w:t xml:space="preserve">          type: array</w:t>
      </w:r>
    </w:p>
    <w:p w14:paraId="1763C9BE" w14:textId="77777777" w:rsidR="007862A2" w:rsidRDefault="007862A2" w:rsidP="007862A2">
      <w:pPr>
        <w:pStyle w:val="PL"/>
      </w:pPr>
      <w:r>
        <w:t xml:space="preserve">          items:</w:t>
      </w:r>
    </w:p>
    <w:p w14:paraId="6A3F4E0B" w14:textId="77777777" w:rsidR="007862A2" w:rsidRDefault="007862A2" w:rsidP="007862A2">
      <w:pPr>
        <w:pStyle w:val="PL"/>
      </w:pPr>
      <w:r>
        <w:t xml:space="preserve">            $ref: 'TS29510_Nnrf_NFManagement.yaml#/components/schemas/NFType'</w:t>
      </w:r>
    </w:p>
    <w:p w14:paraId="19A1FBE7" w14:textId="77777777" w:rsidR="007862A2" w:rsidRDefault="007862A2" w:rsidP="007862A2">
      <w:pPr>
        <w:pStyle w:val="PL"/>
      </w:pPr>
      <w:r>
        <w:t xml:space="preserve">          minItems: 1</w:t>
      </w:r>
    </w:p>
    <w:p w14:paraId="764982B7" w14:textId="77777777" w:rsidR="007862A2" w:rsidRDefault="007862A2" w:rsidP="007862A2">
      <w:pPr>
        <w:pStyle w:val="PL"/>
      </w:pPr>
      <w:r>
        <w:t xml:space="preserve">        networkArea:</w:t>
      </w:r>
    </w:p>
    <w:p w14:paraId="7D28905A" w14:textId="77777777" w:rsidR="007862A2" w:rsidRDefault="007862A2" w:rsidP="007862A2">
      <w:pPr>
        <w:pStyle w:val="PL"/>
      </w:pPr>
      <w:r>
        <w:t xml:space="preserve">          $ref: 'TS29554_Npcf_BDTPolicyControl.yaml#/components/schemas/NetworkAreaInfo'</w:t>
      </w:r>
    </w:p>
    <w:p w14:paraId="1836BFD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location:</w:t>
      </w:r>
    </w:p>
    <w:p w14:paraId="076B3BC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'#/components/schemas/GeoLocation'</w:t>
      </w:r>
    </w:p>
    <w:p w14:paraId="37E2225B" w14:textId="77777777" w:rsidR="007862A2" w:rsidRDefault="007862A2" w:rsidP="007862A2">
      <w:pPr>
        <w:pStyle w:val="PL"/>
      </w:pPr>
      <w:r>
        <w:t xml:space="preserve">        temporalGranSize:</w:t>
      </w:r>
    </w:p>
    <w:p w14:paraId="794CD2B3" w14:textId="77777777" w:rsidR="007862A2" w:rsidRDefault="007862A2" w:rsidP="007862A2">
      <w:pPr>
        <w:pStyle w:val="PL"/>
      </w:pPr>
      <w:r>
        <w:t xml:space="preserve">          $ref: 'TS29571_CommonData.yaml#/components/schemas/DurationSec'</w:t>
      </w:r>
    </w:p>
    <w:p w14:paraId="133C0E79" w14:textId="77777777" w:rsidR="007862A2" w:rsidRDefault="007862A2" w:rsidP="007862A2">
      <w:pPr>
        <w:pStyle w:val="PL"/>
      </w:pPr>
      <w:r>
        <w:t xml:space="preserve">        spatialGranSizeTa:</w:t>
      </w:r>
    </w:p>
    <w:p w14:paraId="0203EBBD" w14:textId="77777777" w:rsidR="007862A2" w:rsidRDefault="007862A2" w:rsidP="007862A2">
      <w:pPr>
        <w:pStyle w:val="PL"/>
      </w:pPr>
      <w:r>
        <w:t xml:space="preserve">          $ref: 'TS29571_CommonData.yaml#/components/schemas/Uinteger'</w:t>
      </w:r>
    </w:p>
    <w:p w14:paraId="6B77527A" w14:textId="77777777" w:rsidR="007862A2" w:rsidRDefault="007862A2" w:rsidP="007862A2">
      <w:pPr>
        <w:pStyle w:val="PL"/>
      </w:pPr>
      <w:r>
        <w:t xml:space="preserve">        spatialGranSizeCell:</w:t>
      </w:r>
    </w:p>
    <w:p w14:paraId="5BA40197" w14:textId="77777777" w:rsidR="007862A2" w:rsidRDefault="007862A2" w:rsidP="007862A2">
      <w:pPr>
        <w:pStyle w:val="PL"/>
      </w:pPr>
      <w:r>
        <w:t xml:space="preserve">          $ref: 'TS29571_CommonData.yaml#/components/schemas/Uinteger'</w:t>
      </w:r>
    </w:p>
    <w:p w14:paraId="3DDDE495" w14:textId="77777777" w:rsidR="007862A2" w:rsidRDefault="007862A2" w:rsidP="007862A2">
      <w:pPr>
        <w:pStyle w:val="PL"/>
      </w:pPr>
      <w:r>
        <w:t xml:space="preserve">        fineGranAreas:</w:t>
      </w:r>
    </w:p>
    <w:p w14:paraId="04970319" w14:textId="77777777" w:rsidR="007862A2" w:rsidRDefault="007862A2" w:rsidP="007862A2">
      <w:pPr>
        <w:pStyle w:val="PL"/>
      </w:pPr>
      <w:r>
        <w:t xml:space="preserve">          type: array</w:t>
      </w:r>
    </w:p>
    <w:p w14:paraId="305E76D4" w14:textId="77777777" w:rsidR="007862A2" w:rsidRDefault="007862A2" w:rsidP="007862A2">
      <w:pPr>
        <w:pStyle w:val="PL"/>
      </w:pPr>
      <w:r>
        <w:t xml:space="preserve">          items:</w:t>
      </w:r>
    </w:p>
    <w:p w14:paraId="330164F4" w14:textId="77777777" w:rsidR="007862A2" w:rsidRDefault="007862A2" w:rsidP="007862A2">
      <w:pPr>
        <w:pStyle w:val="PL"/>
      </w:pPr>
      <w:r>
        <w:t xml:space="preserve">            </w:t>
      </w:r>
      <w:r>
        <w:rPr>
          <w:rFonts w:cs="Courier New"/>
          <w:szCs w:val="16"/>
        </w:rPr>
        <w:t>$ref: 'TS29522_AMPolicyAuthorization.yaml#/components/schemas/GeographicalArea'</w:t>
      </w:r>
    </w:p>
    <w:p w14:paraId="578AB87C" w14:textId="77777777" w:rsidR="007862A2" w:rsidRDefault="007862A2" w:rsidP="007862A2">
      <w:pPr>
        <w:pStyle w:val="PL"/>
      </w:pPr>
      <w:r>
        <w:t xml:space="preserve">          minItems: 1</w:t>
      </w:r>
    </w:p>
    <w:p w14:paraId="7FD450B3" w14:textId="77777777" w:rsidR="007862A2" w:rsidRDefault="007862A2" w:rsidP="007862A2">
      <w:pPr>
        <w:pStyle w:val="PL"/>
      </w:pPr>
      <w:r>
        <w:t xml:space="preserve">          description: </w:t>
      </w:r>
      <w:r>
        <w:rPr>
          <w:lang w:eastAsia="zh-CN"/>
        </w:rPr>
        <w:t>Indicates th</w:t>
      </w:r>
      <w:r>
        <w:t>e fine granularity areas to which the subscription applies.</w:t>
      </w:r>
    </w:p>
    <w:p w14:paraId="0F28D333" w14:textId="77777777" w:rsidR="007862A2" w:rsidRDefault="007862A2" w:rsidP="007862A2">
      <w:pPr>
        <w:pStyle w:val="PL"/>
      </w:pPr>
      <w:r>
        <w:t xml:space="preserve">        visitedAreas:</w:t>
      </w:r>
    </w:p>
    <w:p w14:paraId="2C3AFBDC" w14:textId="77777777" w:rsidR="007862A2" w:rsidRDefault="007862A2" w:rsidP="007862A2">
      <w:pPr>
        <w:pStyle w:val="PL"/>
      </w:pPr>
      <w:r>
        <w:t xml:space="preserve">          type: array</w:t>
      </w:r>
    </w:p>
    <w:p w14:paraId="6DDCE077" w14:textId="77777777" w:rsidR="007862A2" w:rsidRDefault="007862A2" w:rsidP="007862A2">
      <w:pPr>
        <w:pStyle w:val="PL"/>
      </w:pPr>
      <w:r>
        <w:t xml:space="preserve">          items:</w:t>
      </w:r>
    </w:p>
    <w:p w14:paraId="4D9C2240" w14:textId="77777777" w:rsidR="007862A2" w:rsidRDefault="007862A2" w:rsidP="007862A2">
      <w:pPr>
        <w:pStyle w:val="PL"/>
      </w:pPr>
      <w:r>
        <w:t xml:space="preserve">            $ref: 'TS29554_Npcf_BDTPolicyControl.yaml#/components/schemas/NetworkAreaInfo'</w:t>
      </w:r>
    </w:p>
    <w:p w14:paraId="79DAD62D" w14:textId="77777777" w:rsidR="007862A2" w:rsidRDefault="007862A2" w:rsidP="007862A2">
      <w:pPr>
        <w:pStyle w:val="PL"/>
      </w:pPr>
      <w:r>
        <w:t xml:space="preserve">          minItems: 1</w:t>
      </w:r>
    </w:p>
    <w:p w14:paraId="5B576FE3" w14:textId="77777777" w:rsidR="007862A2" w:rsidRDefault="007862A2" w:rsidP="007862A2">
      <w:pPr>
        <w:pStyle w:val="PL"/>
      </w:pPr>
      <w:r>
        <w:t xml:space="preserve">        maxTopAppUlNbr:</w:t>
      </w:r>
    </w:p>
    <w:p w14:paraId="446C34E7" w14:textId="77777777" w:rsidR="007862A2" w:rsidRDefault="007862A2" w:rsidP="007862A2">
      <w:pPr>
        <w:pStyle w:val="PL"/>
      </w:pPr>
      <w:r>
        <w:t xml:space="preserve">          $ref: 'TS29571_CommonData.yaml#/components/schemas/Uinteger'</w:t>
      </w:r>
    </w:p>
    <w:p w14:paraId="063648CE" w14:textId="77777777" w:rsidR="007862A2" w:rsidRDefault="007862A2" w:rsidP="007862A2">
      <w:pPr>
        <w:pStyle w:val="PL"/>
      </w:pPr>
      <w:r>
        <w:t xml:space="preserve">        maxTopAppDlNbr:</w:t>
      </w:r>
    </w:p>
    <w:p w14:paraId="6B93B3DE" w14:textId="77777777" w:rsidR="007862A2" w:rsidRDefault="007862A2" w:rsidP="007862A2">
      <w:pPr>
        <w:pStyle w:val="PL"/>
      </w:pPr>
      <w:r>
        <w:t xml:space="preserve">          $ref: 'TS29571_CommonData.yaml#/components/schemas/Uinteger'</w:t>
      </w:r>
    </w:p>
    <w:p w14:paraId="1C682BDC" w14:textId="77777777" w:rsidR="007862A2" w:rsidRDefault="007862A2" w:rsidP="007862A2">
      <w:pPr>
        <w:pStyle w:val="PL"/>
      </w:pPr>
      <w:r>
        <w:t xml:space="preserve">        nsiIdInfos:</w:t>
      </w:r>
    </w:p>
    <w:p w14:paraId="63675316" w14:textId="77777777" w:rsidR="007862A2" w:rsidRDefault="007862A2" w:rsidP="007862A2">
      <w:pPr>
        <w:pStyle w:val="PL"/>
      </w:pPr>
      <w:r>
        <w:t xml:space="preserve">          type: array</w:t>
      </w:r>
    </w:p>
    <w:p w14:paraId="0DEB6DBA" w14:textId="77777777" w:rsidR="007862A2" w:rsidRDefault="007862A2" w:rsidP="007862A2">
      <w:pPr>
        <w:pStyle w:val="PL"/>
      </w:pPr>
      <w:r>
        <w:t xml:space="preserve">          items:</w:t>
      </w:r>
    </w:p>
    <w:p w14:paraId="1BDD4047" w14:textId="77777777" w:rsidR="007862A2" w:rsidRDefault="007862A2" w:rsidP="007862A2">
      <w:pPr>
        <w:pStyle w:val="PL"/>
      </w:pPr>
      <w:r>
        <w:t xml:space="preserve">            $ref: '#/components/schemas/NsiIdInfo'</w:t>
      </w:r>
    </w:p>
    <w:p w14:paraId="11F7B71E" w14:textId="77777777" w:rsidR="007862A2" w:rsidRDefault="007862A2" w:rsidP="007862A2">
      <w:pPr>
        <w:pStyle w:val="PL"/>
      </w:pPr>
      <w:r>
        <w:t xml:space="preserve">          minItems: 1</w:t>
      </w:r>
    </w:p>
    <w:p w14:paraId="6738ACC6" w14:textId="77777777" w:rsidR="007862A2" w:rsidRDefault="007862A2" w:rsidP="007862A2">
      <w:pPr>
        <w:pStyle w:val="PL"/>
      </w:pPr>
      <w:r>
        <w:t xml:space="preserve">        nsiLevelThrds:</w:t>
      </w:r>
    </w:p>
    <w:p w14:paraId="04490E96" w14:textId="77777777" w:rsidR="007862A2" w:rsidRDefault="007862A2" w:rsidP="007862A2">
      <w:pPr>
        <w:pStyle w:val="PL"/>
      </w:pPr>
      <w:r>
        <w:t xml:space="preserve">          type: array</w:t>
      </w:r>
    </w:p>
    <w:p w14:paraId="01C13E21" w14:textId="77777777" w:rsidR="007862A2" w:rsidRDefault="007862A2" w:rsidP="007862A2">
      <w:pPr>
        <w:pStyle w:val="PL"/>
      </w:pPr>
      <w:r>
        <w:t xml:space="preserve">          items:</w:t>
      </w:r>
    </w:p>
    <w:p w14:paraId="6D791CDA" w14:textId="77777777" w:rsidR="007862A2" w:rsidRDefault="007862A2" w:rsidP="007862A2">
      <w:pPr>
        <w:pStyle w:val="PL"/>
      </w:pPr>
      <w:r>
        <w:t xml:space="preserve">            $ref: 'TS29571_CommonData.yaml#/components/schemas/Uinteger'</w:t>
      </w:r>
    </w:p>
    <w:p w14:paraId="5A54BF1F" w14:textId="77777777" w:rsidR="007862A2" w:rsidRDefault="007862A2" w:rsidP="007862A2">
      <w:pPr>
        <w:pStyle w:val="PL"/>
      </w:pPr>
      <w:r>
        <w:t xml:space="preserve">          minItems: 1</w:t>
      </w:r>
    </w:p>
    <w:p w14:paraId="0034F6A3" w14:textId="77777777" w:rsidR="007862A2" w:rsidRDefault="007862A2" w:rsidP="007862A2">
      <w:pPr>
        <w:pStyle w:val="PL"/>
      </w:pPr>
      <w:r>
        <w:t xml:space="preserve">        qosRequ:</w:t>
      </w:r>
    </w:p>
    <w:p w14:paraId="0AE66DAF" w14:textId="77777777" w:rsidR="007862A2" w:rsidRDefault="007862A2" w:rsidP="007862A2">
      <w:pPr>
        <w:pStyle w:val="PL"/>
      </w:pPr>
      <w:r>
        <w:t xml:space="preserve">          $ref: '#/components/schemas/QosRequirement'</w:t>
      </w:r>
    </w:p>
    <w:p w14:paraId="450A9B55" w14:textId="77777777" w:rsidR="007862A2" w:rsidRDefault="007862A2" w:rsidP="007862A2">
      <w:pPr>
        <w:pStyle w:val="PL"/>
      </w:pPr>
      <w:r>
        <w:t xml:space="preserve">        qosFlowRetThds:</w:t>
      </w:r>
    </w:p>
    <w:p w14:paraId="42F5DC0B" w14:textId="77777777" w:rsidR="007862A2" w:rsidRDefault="007862A2" w:rsidP="007862A2">
      <w:pPr>
        <w:pStyle w:val="PL"/>
      </w:pPr>
      <w:r>
        <w:t xml:space="preserve">          type: array</w:t>
      </w:r>
    </w:p>
    <w:p w14:paraId="6D076A2F" w14:textId="77777777" w:rsidR="007862A2" w:rsidRDefault="007862A2" w:rsidP="007862A2">
      <w:pPr>
        <w:pStyle w:val="PL"/>
      </w:pPr>
      <w:r>
        <w:t xml:space="preserve">          items:</w:t>
      </w:r>
    </w:p>
    <w:p w14:paraId="50818542" w14:textId="77777777" w:rsidR="007862A2" w:rsidRDefault="007862A2" w:rsidP="007862A2">
      <w:pPr>
        <w:pStyle w:val="PL"/>
      </w:pPr>
      <w:r>
        <w:t xml:space="preserve">            $ref: '#/components/schemas/RetainabilityThreshold'</w:t>
      </w:r>
    </w:p>
    <w:p w14:paraId="13E21C4E" w14:textId="77777777" w:rsidR="007862A2" w:rsidRDefault="007862A2" w:rsidP="007862A2">
      <w:pPr>
        <w:pStyle w:val="PL"/>
      </w:pPr>
      <w:r>
        <w:t xml:space="preserve">          minItems: 1</w:t>
      </w:r>
    </w:p>
    <w:p w14:paraId="6464A251" w14:textId="77777777" w:rsidR="007862A2" w:rsidRDefault="007862A2" w:rsidP="007862A2">
      <w:pPr>
        <w:pStyle w:val="PL"/>
      </w:pPr>
      <w:r>
        <w:t xml:space="preserve">        ranUeThrouThds:</w:t>
      </w:r>
    </w:p>
    <w:p w14:paraId="03B3F04B" w14:textId="77777777" w:rsidR="007862A2" w:rsidRDefault="007862A2" w:rsidP="007862A2">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type: array</w:t>
      </w:r>
    </w:p>
    <w:p w14:paraId="2916322F" w14:textId="77777777" w:rsidR="007862A2" w:rsidRDefault="007862A2" w:rsidP="007862A2">
      <w:pPr>
        <w:pStyle w:val="PL"/>
      </w:pPr>
      <w:r>
        <w:t xml:space="preserve">          items:</w:t>
      </w:r>
    </w:p>
    <w:p w14:paraId="538FECBF" w14:textId="77777777" w:rsidR="007862A2" w:rsidRDefault="007862A2" w:rsidP="007862A2">
      <w:pPr>
        <w:pStyle w:val="PL"/>
      </w:pPr>
      <w:r>
        <w:t xml:space="preserve">            $ref: 'TS29571_CommonData.yaml#/components/schemas/BitRate'</w:t>
      </w:r>
    </w:p>
    <w:p w14:paraId="537A33A7" w14:textId="77777777" w:rsidR="007862A2" w:rsidRDefault="007862A2" w:rsidP="007862A2">
      <w:pPr>
        <w:pStyle w:val="PL"/>
      </w:pPr>
      <w:r>
        <w:t xml:space="preserve">          minItems: 1</w:t>
      </w:r>
    </w:p>
    <w:p w14:paraId="121C6676"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w:t>
      </w:r>
      <w:bookmarkStart w:id="17209" w:name="_Hlk193459239"/>
      <w:r>
        <w:rPr>
          <w:rFonts w:ascii="Courier New" w:hAnsi="Courier New"/>
          <w:sz w:val="16"/>
        </w:rPr>
        <w:t>e2eDelay</w:t>
      </w:r>
      <w:r w:rsidRPr="00F31FE4">
        <w:rPr>
          <w:rFonts w:ascii="Courier New" w:hAnsi="Courier New"/>
          <w:sz w:val="16"/>
        </w:rPr>
        <w:t>Thds:</w:t>
      </w:r>
    </w:p>
    <w:p w14:paraId="669379B5" w14:textId="77777777" w:rsidR="00C869EF" w:rsidRPr="00F31FE4" w:rsidRDefault="00C869EF" w:rsidP="00C869EF">
      <w:pPr>
        <w:tabs>
          <w:tab w:val="left" w:pos="384"/>
          <w:tab w:val="left" w:pos="768"/>
          <w:tab w:val="left" w:pos="1152"/>
          <w:tab w:val="left" w:pos="1536"/>
          <w:tab w:val="left" w:pos="1920"/>
          <w:tab w:val="left" w:pos="2304"/>
        </w:tabs>
        <w:spacing w:after="0"/>
        <w:rPr>
          <w:rFonts w:ascii="Courier New" w:hAnsi="Courier New"/>
          <w:sz w:val="16"/>
        </w:rPr>
      </w:pPr>
      <w:r w:rsidRPr="00F31FE4">
        <w:rPr>
          <w:rFonts w:ascii="Courier New" w:hAnsi="Courier New"/>
          <w:sz w:val="16"/>
        </w:rPr>
        <w:t xml:space="preserve">          type: array</w:t>
      </w:r>
    </w:p>
    <w:p w14:paraId="42B1017A"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items:</w:t>
      </w:r>
    </w:p>
    <w:p w14:paraId="1B926E4E"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$ref: 'TS29571_CommonData.yaml#/components/schemas/</w:t>
      </w:r>
      <w:r>
        <w:rPr>
          <w:rFonts w:ascii="Courier New" w:hAnsi="Courier New"/>
          <w:sz w:val="16"/>
        </w:rPr>
        <w:t>PacketDelBudget</w:t>
      </w:r>
      <w:r w:rsidRPr="00F31FE4">
        <w:rPr>
          <w:rFonts w:ascii="Courier New" w:hAnsi="Courier New"/>
          <w:sz w:val="16"/>
        </w:rPr>
        <w:t>'</w:t>
      </w:r>
    </w:p>
    <w:p w14:paraId="5B9E56AA"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31FE4">
        <w:rPr>
          <w:rFonts w:ascii="Courier New" w:hAnsi="Courier New"/>
          <w:sz w:val="16"/>
        </w:rPr>
        <w:t xml:space="preserve">          minItems: 1</w:t>
      </w:r>
    </w:p>
    <w:bookmarkEnd w:id="17209"/>
    <w:p w14:paraId="646F97AA" w14:textId="77777777" w:rsidR="007862A2" w:rsidRDefault="007862A2" w:rsidP="007862A2">
      <w:pPr>
        <w:pStyle w:val="PL"/>
      </w:pPr>
      <w:r>
        <w:t xml:space="preserve">        repetitionPeriod:</w:t>
      </w:r>
    </w:p>
    <w:p w14:paraId="281A41C8" w14:textId="77777777" w:rsidR="007862A2" w:rsidRDefault="007862A2" w:rsidP="007862A2">
      <w:pPr>
        <w:pStyle w:val="PL"/>
      </w:pPr>
      <w:r>
        <w:t xml:space="preserve">          $ref: 'TS29571_CommonData.yaml#/components/schemas/DurationSec'</w:t>
      </w:r>
    </w:p>
    <w:p w14:paraId="125A5426" w14:textId="77777777" w:rsidR="007862A2" w:rsidRDefault="007862A2" w:rsidP="007862A2">
      <w:pPr>
        <w:pStyle w:val="PL"/>
      </w:pPr>
      <w:r>
        <w:t xml:space="preserve">        snssaia:</w:t>
      </w:r>
    </w:p>
    <w:p w14:paraId="2E5AFC04" w14:textId="77777777" w:rsidR="007862A2" w:rsidRDefault="007862A2" w:rsidP="007862A2">
      <w:pPr>
        <w:pStyle w:val="PL"/>
      </w:pPr>
      <w:r>
        <w:t xml:space="preserve">          type: array</w:t>
      </w:r>
    </w:p>
    <w:p w14:paraId="7382E07E" w14:textId="77777777" w:rsidR="007862A2" w:rsidRDefault="007862A2" w:rsidP="007862A2">
      <w:pPr>
        <w:pStyle w:val="PL"/>
      </w:pPr>
      <w:r>
        <w:t xml:space="preserve">          items:</w:t>
      </w:r>
    </w:p>
    <w:p w14:paraId="7EEB4711" w14:textId="77777777" w:rsidR="007862A2" w:rsidRDefault="007862A2" w:rsidP="007862A2">
      <w:pPr>
        <w:pStyle w:val="PL"/>
      </w:pPr>
      <w:r>
        <w:t xml:space="preserve">            $ref: 'TS29571_CommonData.yaml#/components/schemas/Snssai'</w:t>
      </w:r>
    </w:p>
    <w:p w14:paraId="23125CC6" w14:textId="77777777" w:rsidR="007862A2" w:rsidRDefault="007862A2" w:rsidP="007862A2">
      <w:pPr>
        <w:pStyle w:val="PL"/>
      </w:pPr>
      <w:r>
        <w:t xml:space="preserve">          minItems: 1</w:t>
      </w:r>
    </w:p>
    <w:p w14:paraId="127DECAD" w14:textId="77777777" w:rsidR="007862A2" w:rsidRDefault="007862A2" w:rsidP="007862A2">
      <w:pPr>
        <w:pStyle w:val="PL"/>
      </w:pPr>
      <w:r>
        <w:t xml:space="preserve">          description: &gt;</w:t>
      </w:r>
    </w:p>
    <w:p w14:paraId="03ED6D09" w14:textId="77777777" w:rsidR="007862A2" w:rsidRDefault="007862A2" w:rsidP="007862A2">
      <w:pPr>
        <w:pStyle w:val="PL"/>
      </w:pPr>
      <w:r>
        <w:t xml:space="preserve">            Identification(s) of network slice to which the subscription applies. It corresponds to</w:t>
      </w:r>
    </w:p>
    <w:p w14:paraId="467CB0FC" w14:textId="77777777" w:rsidR="007862A2" w:rsidRDefault="007862A2" w:rsidP="007862A2">
      <w:pPr>
        <w:pStyle w:val="PL"/>
      </w:pPr>
      <w:r>
        <w:t xml:space="preserve">            snssais in the data model definition of 3GPP TS 29.520. </w:t>
      </w:r>
    </w:p>
    <w:p w14:paraId="389E8EA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tgtUe:</w:t>
      </w:r>
    </w:p>
    <w:p w14:paraId="35D3BE7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'#/components/schemas/TargetUeInformation'</w:t>
      </w:r>
    </w:p>
    <w:p w14:paraId="173DAEC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roamingInfo:</w:t>
      </w:r>
    </w:p>
    <w:p w14:paraId="3465A9F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'#/components/schemas/RoamingInfo'</w:t>
      </w:r>
    </w:p>
    <w:p w14:paraId="3B36DEC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congThresholds:</w:t>
      </w:r>
    </w:p>
    <w:p w14:paraId="430DFF11" w14:textId="77777777" w:rsidR="007862A2" w:rsidRDefault="007862A2" w:rsidP="007862A2">
      <w:pPr>
        <w:pStyle w:val="PL"/>
      </w:pPr>
      <w:r>
        <w:t xml:space="preserve">          type: array</w:t>
      </w:r>
    </w:p>
    <w:p w14:paraId="0AFF098B" w14:textId="77777777" w:rsidR="007862A2" w:rsidRDefault="007862A2" w:rsidP="007862A2">
      <w:pPr>
        <w:pStyle w:val="PL"/>
      </w:pPr>
      <w:r>
        <w:t xml:space="preserve">          items:</w:t>
      </w:r>
    </w:p>
    <w:p w14:paraId="751DCF37" w14:textId="77777777" w:rsidR="007862A2" w:rsidRDefault="007862A2" w:rsidP="007862A2">
      <w:pPr>
        <w:pStyle w:val="PL"/>
      </w:pPr>
      <w:r>
        <w:t xml:space="preserve">            $ref: '#/components/schemas/ThresholdLevel'</w:t>
      </w:r>
    </w:p>
    <w:p w14:paraId="13A37A41" w14:textId="77777777" w:rsidR="007862A2" w:rsidRDefault="007862A2" w:rsidP="007862A2">
      <w:pPr>
        <w:pStyle w:val="PL"/>
      </w:pPr>
      <w:r>
        <w:t xml:space="preserve">          minItems: 1</w:t>
      </w:r>
    </w:p>
    <w:p w14:paraId="0195BA1A" w14:textId="77777777" w:rsidR="007862A2" w:rsidRDefault="007862A2" w:rsidP="007862A2">
      <w:pPr>
        <w:pStyle w:val="PL"/>
      </w:pPr>
      <w:r>
        <w:lastRenderedPageBreak/>
        <w:t xml:space="preserve">        nwPerfRequs:</w:t>
      </w:r>
    </w:p>
    <w:p w14:paraId="68112A8B" w14:textId="77777777" w:rsidR="007862A2" w:rsidRDefault="007862A2" w:rsidP="007862A2">
      <w:pPr>
        <w:pStyle w:val="PL"/>
      </w:pPr>
      <w:r>
        <w:t xml:space="preserve">          type: array</w:t>
      </w:r>
    </w:p>
    <w:p w14:paraId="759A120D" w14:textId="77777777" w:rsidR="007862A2" w:rsidRDefault="007862A2" w:rsidP="007862A2">
      <w:pPr>
        <w:pStyle w:val="PL"/>
      </w:pPr>
      <w:r>
        <w:t xml:space="preserve">          items:</w:t>
      </w:r>
    </w:p>
    <w:p w14:paraId="32B3762F" w14:textId="77777777" w:rsidR="007862A2" w:rsidRDefault="007862A2" w:rsidP="007862A2">
      <w:pPr>
        <w:pStyle w:val="PL"/>
      </w:pPr>
      <w:r>
        <w:t xml:space="preserve">            $ref: '#/components/schemas/NetworkPerfRequirement'</w:t>
      </w:r>
    </w:p>
    <w:p w14:paraId="29C9AD7C" w14:textId="77777777" w:rsidR="007862A2" w:rsidRDefault="007862A2" w:rsidP="007862A2">
      <w:pPr>
        <w:pStyle w:val="PL"/>
      </w:pPr>
      <w:r>
        <w:t xml:space="preserve">          minItems: 1</w:t>
      </w:r>
    </w:p>
    <w:p w14:paraId="391141AB" w14:textId="77777777" w:rsidR="007862A2" w:rsidRDefault="007862A2" w:rsidP="007862A2">
      <w:pPr>
        <w:pStyle w:val="PL"/>
      </w:pPr>
      <w:r>
        <w:t xml:space="preserve">        </w:t>
      </w:r>
      <w:r>
        <w:rPr>
          <w:rFonts w:hint="eastAsia"/>
          <w:lang w:eastAsia="zh-CN"/>
        </w:rPr>
        <w:t>u</w:t>
      </w:r>
      <w:r>
        <w:rPr>
          <w:lang w:eastAsia="zh-CN"/>
        </w:rPr>
        <w:t>eCommReqs</w:t>
      </w:r>
      <w:r>
        <w:t>:</w:t>
      </w:r>
    </w:p>
    <w:p w14:paraId="66110BDE" w14:textId="77777777" w:rsidR="007862A2" w:rsidRDefault="007862A2" w:rsidP="007862A2">
      <w:pPr>
        <w:pStyle w:val="PL"/>
      </w:pPr>
      <w:r>
        <w:t xml:space="preserve">          type: array</w:t>
      </w:r>
    </w:p>
    <w:p w14:paraId="3701402E" w14:textId="77777777" w:rsidR="007862A2" w:rsidRDefault="007862A2" w:rsidP="007862A2">
      <w:pPr>
        <w:pStyle w:val="PL"/>
      </w:pPr>
      <w:r>
        <w:t xml:space="preserve">          items:</w:t>
      </w:r>
    </w:p>
    <w:p w14:paraId="4607FA34" w14:textId="77777777" w:rsidR="007862A2" w:rsidRDefault="007862A2" w:rsidP="007862A2">
      <w:pPr>
        <w:pStyle w:val="PL"/>
      </w:pPr>
      <w:r>
        <w:t xml:space="preserve">            $ref: '#/components/schemas/UeCommReq'</w:t>
      </w:r>
    </w:p>
    <w:p w14:paraId="3B168065" w14:textId="77777777" w:rsidR="007862A2" w:rsidRDefault="007862A2" w:rsidP="007862A2">
      <w:pPr>
        <w:pStyle w:val="PL"/>
      </w:pPr>
      <w:r>
        <w:t xml:space="preserve">          minItems: 1</w:t>
      </w:r>
    </w:p>
    <w:p w14:paraId="694884EC" w14:textId="77777777" w:rsidR="007862A2" w:rsidRDefault="007862A2" w:rsidP="007862A2">
      <w:pPr>
        <w:pStyle w:val="PL"/>
      </w:pPr>
      <w:r>
        <w:t xml:space="preserve">        </w:t>
      </w:r>
      <w:r>
        <w:rPr>
          <w:rFonts w:hint="eastAsia"/>
          <w:lang w:eastAsia="zh-CN"/>
        </w:rPr>
        <w:t>u</w:t>
      </w:r>
      <w:r>
        <w:rPr>
          <w:lang w:eastAsia="zh-CN"/>
        </w:rPr>
        <w:t>eMobilityReqs</w:t>
      </w:r>
      <w:r>
        <w:t>:</w:t>
      </w:r>
    </w:p>
    <w:p w14:paraId="1E203099" w14:textId="77777777" w:rsidR="007862A2" w:rsidRDefault="007862A2" w:rsidP="007862A2">
      <w:pPr>
        <w:pStyle w:val="PL"/>
      </w:pPr>
      <w:r>
        <w:t xml:space="preserve">          type: array</w:t>
      </w:r>
    </w:p>
    <w:p w14:paraId="53F50F69" w14:textId="77777777" w:rsidR="007862A2" w:rsidRDefault="007862A2" w:rsidP="007862A2">
      <w:pPr>
        <w:pStyle w:val="PL"/>
      </w:pPr>
      <w:r>
        <w:t xml:space="preserve">          items:</w:t>
      </w:r>
    </w:p>
    <w:p w14:paraId="7B5D00F7" w14:textId="77777777" w:rsidR="007862A2" w:rsidRDefault="007862A2" w:rsidP="007862A2">
      <w:pPr>
        <w:pStyle w:val="PL"/>
      </w:pPr>
      <w:r>
        <w:t xml:space="preserve">            $ref: '#/components/schemas/UeMobilityReq'</w:t>
      </w:r>
    </w:p>
    <w:p w14:paraId="39FAEB0F" w14:textId="77777777" w:rsidR="007862A2" w:rsidRDefault="007862A2" w:rsidP="007862A2">
      <w:pPr>
        <w:pStyle w:val="PL"/>
      </w:pPr>
      <w:r>
        <w:t xml:space="preserve">          minItems: 1</w:t>
      </w:r>
    </w:p>
    <w:p w14:paraId="6A186481" w14:textId="77777777" w:rsidR="007862A2" w:rsidRDefault="007862A2" w:rsidP="007862A2">
      <w:pPr>
        <w:pStyle w:val="PL"/>
      </w:pPr>
      <w:r>
        <w:t xml:space="preserve">        userDataConO</w:t>
      </w:r>
      <w:r>
        <w:rPr>
          <w:lang w:eastAsia="zh-CN"/>
        </w:rPr>
        <w:t>rderCri</w:t>
      </w:r>
      <w:r>
        <w:t>:</w:t>
      </w:r>
    </w:p>
    <w:p w14:paraId="44D4A2B2" w14:textId="77777777" w:rsidR="007862A2" w:rsidRDefault="007862A2" w:rsidP="007862A2">
      <w:pPr>
        <w:pStyle w:val="PL"/>
      </w:pPr>
      <w:r>
        <w:t xml:space="preserve">          $ref: '#/components/schemas/UserDataConOrderCrit'</w:t>
      </w:r>
    </w:p>
    <w:p w14:paraId="2C726DD8" w14:textId="77777777" w:rsidR="007862A2" w:rsidRDefault="007862A2" w:rsidP="007862A2">
      <w:pPr>
        <w:pStyle w:val="PL"/>
      </w:pPr>
      <w:r>
        <w:t xml:space="preserve">        bwRequs:</w:t>
      </w:r>
    </w:p>
    <w:p w14:paraId="3CECAF84" w14:textId="77777777" w:rsidR="007862A2" w:rsidRDefault="007862A2" w:rsidP="007862A2">
      <w:pPr>
        <w:pStyle w:val="PL"/>
      </w:pPr>
      <w:r>
        <w:t xml:space="preserve">          type: array</w:t>
      </w:r>
    </w:p>
    <w:p w14:paraId="5F162FB2" w14:textId="77777777" w:rsidR="007862A2" w:rsidRDefault="007862A2" w:rsidP="007862A2">
      <w:pPr>
        <w:pStyle w:val="PL"/>
      </w:pPr>
      <w:r>
        <w:t xml:space="preserve">          items:</w:t>
      </w:r>
    </w:p>
    <w:p w14:paraId="7130AA36" w14:textId="77777777" w:rsidR="007862A2" w:rsidRDefault="007862A2" w:rsidP="007862A2">
      <w:pPr>
        <w:pStyle w:val="PL"/>
      </w:pPr>
      <w:r>
        <w:t xml:space="preserve">            $ref: '#/components/schemas/BwRequirement'</w:t>
      </w:r>
    </w:p>
    <w:p w14:paraId="72FEBEB1" w14:textId="77777777" w:rsidR="007862A2" w:rsidRDefault="007862A2" w:rsidP="007862A2">
      <w:pPr>
        <w:pStyle w:val="PL"/>
      </w:pPr>
      <w:r>
        <w:t xml:space="preserve">          minItems: 1</w:t>
      </w:r>
    </w:p>
    <w:p w14:paraId="31E68DDA" w14:textId="77777777" w:rsidR="007862A2" w:rsidRDefault="007862A2" w:rsidP="007862A2">
      <w:pPr>
        <w:pStyle w:val="PL"/>
      </w:pPr>
      <w:r>
        <w:t xml:space="preserve">        excepRequs:</w:t>
      </w:r>
    </w:p>
    <w:p w14:paraId="74DCC047" w14:textId="77777777" w:rsidR="007862A2" w:rsidRDefault="007862A2" w:rsidP="007862A2">
      <w:pPr>
        <w:pStyle w:val="PL"/>
      </w:pPr>
      <w:r>
        <w:t xml:space="preserve">          type: array</w:t>
      </w:r>
    </w:p>
    <w:p w14:paraId="53C96D10" w14:textId="77777777" w:rsidR="007862A2" w:rsidRDefault="007862A2" w:rsidP="007862A2">
      <w:pPr>
        <w:pStyle w:val="PL"/>
      </w:pPr>
      <w:r>
        <w:t xml:space="preserve">          items:</w:t>
      </w:r>
    </w:p>
    <w:p w14:paraId="7169CFA8" w14:textId="77777777" w:rsidR="007862A2" w:rsidRDefault="007862A2" w:rsidP="007862A2">
      <w:pPr>
        <w:pStyle w:val="PL"/>
      </w:pPr>
      <w:r>
        <w:t xml:space="preserve">            $ref: '#/components/schemas/Exception'</w:t>
      </w:r>
    </w:p>
    <w:p w14:paraId="03505FDD" w14:textId="77777777" w:rsidR="007862A2" w:rsidRDefault="007862A2" w:rsidP="007862A2">
      <w:pPr>
        <w:pStyle w:val="PL"/>
      </w:pPr>
      <w:r>
        <w:t xml:space="preserve">          minItems: 1</w:t>
      </w:r>
    </w:p>
    <w:p w14:paraId="3D7A5044" w14:textId="77777777" w:rsidR="007862A2" w:rsidRDefault="007862A2" w:rsidP="007862A2">
      <w:pPr>
        <w:pStyle w:val="PL"/>
      </w:pPr>
      <w:r>
        <w:t xml:space="preserve">        exptAnaType:</w:t>
      </w:r>
    </w:p>
    <w:p w14:paraId="18661647" w14:textId="77777777" w:rsidR="007862A2" w:rsidRDefault="007862A2" w:rsidP="007862A2">
      <w:pPr>
        <w:pStyle w:val="PL"/>
      </w:pPr>
      <w:r>
        <w:t xml:space="preserve">          $ref: '#/components/schemas/ExpectedAnalyticsType'</w:t>
      </w:r>
    </w:p>
    <w:p w14:paraId="1F71568B" w14:textId="77777777" w:rsidR="007862A2" w:rsidRDefault="007862A2" w:rsidP="007862A2">
      <w:pPr>
        <w:pStyle w:val="PL"/>
      </w:pPr>
      <w:r>
        <w:t xml:space="preserve">        exptUeBehav:</w:t>
      </w:r>
    </w:p>
    <w:p w14:paraId="5A11E78A" w14:textId="77777777" w:rsidR="007862A2" w:rsidRDefault="007862A2" w:rsidP="007862A2">
      <w:pPr>
        <w:pStyle w:val="PL"/>
      </w:pPr>
      <w:r>
        <w:t xml:space="preserve">          $ref: 'TS29503_Nudm_SDM.yaml#/components/schemas/ExpectedUeBehaviourData'</w:t>
      </w:r>
    </w:p>
    <w:p w14:paraId="7BEC7930" w14:textId="77777777" w:rsidR="007862A2" w:rsidRDefault="007862A2" w:rsidP="007862A2">
      <w:pPr>
        <w:pStyle w:val="PL"/>
        <w:rPr>
          <w:lang w:eastAsia="zh-CN"/>
        </w:rPr>
      </w:pPr>
      <w:r>
        <w:rPr>
          <w:rFonts w:hint="eastAsia"/>
          <w:lang w:eastAsia="zh-CN"/>
        </w:rPr>
        <w:t xml:space="preserve"> </w:t>
      </w:r>
      <w:r>
        <w:rPr>
          <w:lang w:eastAsia="zh-CN"/>
        </w:rPr>
        <w:t xml:space="preserve">       ratFreqs:</w:t>
      </w:r>
    </w:p>
    <w:p w14:paraId="39F22165" w14:textId="77777777" w:rsidR="007862A2" w:rsidRDefault="007862A2" w:rsidP="007862A2">
      <w:pPr>
        <w:pStyle w:val="PL"/>
      </w:pPr>
      <w:r>
        <w:t xml:space="preserve">          type: array</w:t>
      </w:r>
    </w:p>
    <w:p w14:paraId="18F7FC61" w14:textId="77777777" w:rsidR="007862A2" w:rsidRDefault="007862A2" w:rsidP="007862A2">
      <w:pPr>
        <w:pStyle w:val="PL"/>
        <w:rPr>
          <w:lang w:eastAsia="zh-CN"/>
        </w:rPr>
      </w:pPr>
      <w:r>
        <w:rPr>
          <w:rFonts w:hint="eastAsia"/>
          <w:lang w:eastAsia="zh-CN"/>
        </w:rPr>
        <w:t xml:space="preserve"> </w:t>
      </w:r>
      <w:r>
        <w:rPr>
          <w:lang w:eastAsia="zh-CN"/>
        </w:rPr>
        <w:t xml:space="preserve">         items:</w:t>
      </w:r>
    </w:p>
    <w:p w14:paraId="7C99E329" w14:textId="77777777" w:rsidR="007862A2" w:rsidRDefault="007862A2" w:rsidP="007862A2">
      <w:pPr>
        <w:pStyle w:val="PL"/>
      </w:pPr>
      <w:r>
        <w:t xml:space="preserve">            $ref: '#/components/schemas/RatFreqInformation'</w:t>
      </w:r>
    </w:p>
    <w:p w14:paraId="36AC9880" w14:textId="77777777" w:rsidR="007862A2" w:rsidRDefault="007862A2" w:rsidP="007862A2">
      <w:pPr>
        <w:pStyle w:val="PL"/>
      </w:pPr>
      <w:r>
        <w:t xml:space="preserve">          minItems: 1</w:t>
      </w:r>
    </w:p>
    <w:p w14:paraId="1663430A" w14:textId="77777777" w:rsidR="007862A2" w:rsidRDefault="007862A2" w:rsidP="007862A2">
      <w:pPr>
        <w:pStyle w:val="PL"/>
      </w:pPr>
      <w:r>
        <w:t xml:space="preserve">        listOfAnaSubsets:</w:t>
      </w:r>
    </w:p>
    <w:p w14:paraId="790F969E" w14:textId="77777777" w:rsidR="007862A2" w:rsidRDefault="007862A2" w:rsidP="007862A2">
      <w:pPr>
        <w:pStyle w:val="PL"/>
      </w:pPr>
      <w:r>
        <w:t xml:space="preserve">          type: array</w:t>
      </w:r>
    </w:p>
    <w:p w14:paraId="6612303F" w14:textId="77777777" w:rsidR="007862A2" w:rsidRDefault="007862A2" w:rsidP="007862A2">
      <w:pPr>
        <w:pStyle w:val="PL"/>
      </w:pPr>
      <w:r>
        <w:t xml:space="preserve">          items:</w:t>
      </w:r>
    </w:p>
    <w:p w14:paraId="62D1BCAC" w14:textId="77777777" w:rsidR="007862A2" w:rsidRDefault="007862A2" w:rsidP="007862A2">
      <w:pPr>
        <w:pStyle w:val="PL"/>
      </w:pPr>
      <w:r>
        <w:t xml:space="preserve">            $ref: '#/components/schemas/</w:t>
      </w:r>
      <w:r>
        <w:rPr>
          <w:lang w:eastAsia="zh-CN"/>
        </w:rPr>
        <w:t>AnalyticsSubset</w:t>
      </w:r>
      <w:r>
        <w:t>'</w:t>
      </w:r>
    </w:p>
    <w:p w14:paraId="233FFFE2" w14:textId="77777777" w:rsidR="007862A2" w:rsidRDefault="007862A2" w:rsidP="007862A2">
      <w:pPr>
        <w:pStyle w:val="PL"/>
      </w:pPr>
      <w:r>
        <w:t xml:space="preserve">          minItems: 1</w:t>
      </w:r>
    </w:p>
    <w:p w14:paraId="69483C11" w14:textId="77777777" w:rsidR="007862A2" w:rsidRDefault="007862A2" w:rsidP="007862A2">
      <w:pPr>
        <w:pStyle w:val="PL"/>
      </w:pPr>
      <w:r>
        <w:t xml:space="preserve">        disperReqs:</w:t>
      </w:r>
    </w:p>
    <w:p w14:paraId="13355682" w14:textId="77777777" w:rsidR="007862A2" w:rsidRDefault="007862A2" w:rsidP="007862A2">
      <w:pPr>
        <w:pStyle w:val="PL"/>
      </w:pPr>
      <w:r>
        <w:t xml:space="preserve">          type: array</w:t>
      </w:r>
    </w:p>
    <w:p w14:paraId="00447626" w14:textId="77777777" w:rsidR="007862A2" w:rsidRDefault="007862A2" w:rsidP="007862A2">
      <w:pPr>
        <w:pStyle w:val="PL"/>
      </w:pPr>
      <w:r>
        <w:t xml:space="preserve">          items:</w:t>
      </w:r>
    </w:p>
    <w:p w14:paraId="5D7536C4" w14:textId="77777777" w:rsidR="007862A2" w:rsidRDefault="007862A2" w:rsidP="007862A2">
      <w:pPr>
        <w:pStyle w:val="PL"/>
      </w:pPr>
      <w:r>
        <w:t xml:space="preserve">            $ref: '#/components/schemas/DispersionRequirement'</w:t>
      </w:r>
    </w:p>
    <w:p w14:paraId="74C2E86D" w14:textId="77777777" w:rsidR="007862A2" w:rsidRDefault="007862A2" w:rsidP="007862A2">
      <w:pPr>
        <w:pStyle w:val="PL"/>
      </w:pPr>
      <w:r>
        <w:t xml:space="preserve">          minItems: 1</w:t>
      </w:r>
    </w:p>
    <w:p w14:paraId="745B830C" w14:textId="77777777" w:rsidR="007862A2" w:rsidRDefault="007862A2" w:rsidP="007862A2">
      <w:pPr>
        <w:pStyle w:val="PL"/>
      </w:pPr>
      <w:r>
        <w:t xml:space="preserve">        redTransReqs:</w:t>
      </w:r>
    </w:p>
    <w:p w14:paraId="75BF6176" w14:textId="77777777" w:rsidR="007862A2" w:rsidRDefault="007862A2" w:rsidP="007862A2">
      <w:pPr>
        <w:pStyle w:val="PL"/>
      </w:pPr>
      <w:r>
        <w:t xml:space="preserve">          type: array</w:t>
      </w:r>
    </w:p>
    <w:p w14:paraId="4A0AE0AE" w14:textId="77777777" w:rsidR="007862A2" w:rsidRDefault="007862A2" w:rsidP="007862A2">
      <w:pPr>
        <w:pStyle w:val="PL"/>
      </w:pPr>
      <w:r>
        <w:t xml:space="preserve">          items:</w:t>
      </w:r>
    </w:p>
    <w:p w14:paraId="1E5A53F2" w14:textId="77777777" w:rsidR="007862A2" w:rsidRDefault="007862A2" w:rsidP="007862A2">
      <w:pPr>
        <w:pStyle w:val="PL"/>
      </w:pPr>
      <w:r>
        <w:t xml:space="preserve">            $ref: '#/components/schemas/RedundantTransmissionExpReq'</w:t>
      </w:r>
    </w:p>
    <w:p w14:paraId="0A533180" w14:textId="77777777" w:rsidR="007862A2" w:rsidRDefault="007862A2" w:rsidP="007862A2">
      <w:pPr>
        <w:pStyle w:val="PL"/>
      </w:pPr>
      <w:r>
        <w:t xml:space="preserve">          minItems: 1</w:t>
      </w:r>
    </w:p>
    <w:p w14:paraId="349EB306" w14:textId="77777777" w:rsidR="007862A2" w:rsidRDefault="007862A2" w:rsidP="007862A2">
      <w:pPr>
        <w:pStyle w:val="PL"/>
      </w:pPr>
      <w:r>
        <w:t xml:space="preserve">        wlanReqs:</w:t>
      </w:r>
    </w:p>
    <w:p w14:paraId="4746B782" w14:textId="77777777" w:rsidR="007862A2" w:rsidRDefault="007862A2" w:rsidP="007862A2">
      <w:pPr>
        <w:pStyle w:val="PL"/>
      </w:pPr>
      <w:r>
        <w:t xml:space="preserve">          type: array</w:t>
      </w:r>
    </w:p>
    <w:p w14:paraId="7EFAD741" w14:textId="77777777" w:rsidR="007862A2" w:rsidRDefault="007862A2" w:rsidP="007862A2">
      <w:pPr>
        <w:pStyle w:val="PL"/>
      </w:pPr>
      <w:r>
        <w:t xml:space="preserve">          items:</w:t>
      </w:r>
    </w:p>
    <w:p w14:paraId="7820E16E" w14:textId="77777777" w:rsidR="007862A2" w:rsidRDefault="007862A2" w:rsidP="007862A2">
      <w:pPr>
        <w:pStyle w:val="PL"/>
      </w:pPr>
      <w:r>
        <w:t xml:space="preserve">            $ref: '#/components/schemas/WlanPerformanceReq'</w:t>
      </w:r>
    </w:p>
    <w:p w14:paraId="20752CE1" w14:textId="77777777" w:rsidR="007862A2" w:rsidRDefault="007862A2" w:rsidP="007862A2">
      <w:pPr>
        <w:pStyle w:val="PL"/>
      </w:pPr>
      <w:r>
        <w:t xml:space="preserve">          minItems: 1</w:t>
      </w:r>
    </w:p>
    <w:p w14:paraId="4A476737" w14:textId="77777777" w:rsidR="007862A2" w:rsidRDefault="007862A2" w:rsidP="007862A2">
      <w:pPr>
        <w:pStyle w:val="PL"/>
      </w:pPr>
      <w:r>
        <w:t xml:space="preserve">        upfInfo:</w:t>
      </w:r>
    </w:p>
    <w:p w14:paraId="304F7AA7" w14:textId="77777777" w:rsidR="007862A2" w:rsidRDefault="007862A2" w:rsidP="007862A2">
      <w:pPr>
        <w:pStyle w:val="PL"/>
      </w:pPr>
      <w:r>
        <w:rPr>
          <w:lang w:val="en-US"/>
        </w:rPr>
        <w:t xml:space="preserve">          $ref: 'TS29508_Nsmf_EventExposure.yaml#/components/schemas/UpfInformation'</w:t>
      </w:r>
    </w:p>
    <w:p w14:paraId="7421320E" w14:textId="77777777" w:rsidR="007862A2" w:rsidRDefault="007862A2" w:rsidP="007862A2">
      <w:pPr>
        <w:pStyle w:val="PL"/>
      </w:pPr>
      <w:r>
        <w:t xml:space="preserve">        </w:t>
      </w:r>
      <w:r>
        <w:rPr>
          <w:lang w:eastAsia="zh-CN"/>
        </w:rPr>
        <w:t>appServerAddrs</w:t>
      </w:r>
      <w:r>
        <w:t>:</w:t>
      </w:r>
    </w:p>
    <w:p w14:paraId="388A37AD" w14:textId="77777777" w:rsidR="007862A2" w:rsidRDefault="007862A2" w:rsidP="007862A2">
      <w:pPr>
        <w:pStyle w:val="PL"/>
      </w:pPr>
      <w:r>
        <w:t xml:space="preserve">          type: array</w:t>
      </w:r>
    </w:p>
    <w:p w14:paraId="2986B39A" w14:textId="77777777" w:rsidR="007862A2" w:rsidRDefault="007862A2" w:rsidP="007862A2">
      <w:pPr>
        <w:pStyle w:val="PL"/>
      </w:pPr>
      <w:r>
        <w:t xml:space="preserve">          items:</w:t>
      </w:r>
    </w:p>
    <w:p w14:paraId="2FA4E6ED" w14:textId="77777777" w:rsidR="007862A2" w:rsidRDefault="007862A2" w:rsidP="007862A2">
      <w:pPr>
        <w:pStyle w:val="PL"/>
      </w:pPr>
      <w:r>
        <w:t xml:space="preserve">            $ref: 'TS29517_Naf_EventExposure.yaml#/components/schemas/</w:t>
      </w:r>
      <w:r>
        <w:rPr>
          <w:lang w:eastAsia="zh-CN"/>
        </w:rPr>
        <w:t>AddrFqdn</w:t>
      </w:r>
      <w:r>
        <w:t>'</w:t>
      </w:r>
    </w:p>
    <w:p w14:paraId="643BCC9D" w14:textId="77777777" w:rsidR="007862A2" w:rsidRDefault="007862A2" w:rsidP="007862A2">
      <w:pPr>
        <w:pStyle w:val="PL"/>
      </w:pPr>
      <w:r>
        <w:t xml:space="preserve">          minItems: 1</w:t>
      </w:r>
    </w:p>
    <w:p w14:paraId="65259DEA" w14:textId="77777777" w:rsidR="007862A2" w:rsidRDefault="007862A2" w:rsidP="007862A2">
      <w:pPr>
        <w:pStyle w:val="PL"/>
      </w:pPr>
      <w:r>
        <w:t xml:space="preserve">        </w:t>
      </w:r>
      <w:r>
        <w:rPr>
          <w:lang w:eastAsia="zh-CN"/>
        </w:rPr>
        <w:t>dnPerfReqs</w:t>
      </w:r>
      <w:r>
        <w:t>:</w:t>
      </w:r>
    </w:p>
    <w:p w14:paraId="6F281603" w14:textId="77777777" w:rsidR="007862A2" w:rsidRDefault="007862A2" w:rsidP="007862A2">
      <w:pPr>
        <w:pStyle w:val="PL"/>
      </w:pPr>
      <w:r>
        <w:t xml:space="preserve">          type: array</w:t>
      </w:r>
    </w:p>
    <w:p w14:paraId="6FE16287" w14:textId="77777777" w:rsidR="007862A2" w:rsidRDefault="007862A2" w:rsidP="007862A2">
      <w:pPr>
        <w:pStyle w:val="PL"/>
      </w:pPr>
      <w:r>
        <w:t xml:space="preserve">          items:</w:t>
      </w:r>
    </w:p>
    <w:p w14:paraId="348DD58C" w14:textId="77777777" w:rsidR="007862A2" w:rsidRDefault="007862A2" w:rsidP="007862A2">
      <w:pPr>
        <w:pStyle w:val="PL"/>
      </w:pPr>
      <w:r>
        <w:t xml:space="preserve">            $ref: '#/components/schemas/</w:t>
      </w:r>
      <w:r>
        <w:rPr>
          <w:rFonts w:eastAsia="等线"/>
        </w:rPr>
        <w:t>DnPerformanceReq</w:t>
      </w:r>
      <w:r>
        <w:t>'</w:t>
      </w:r>
    </w:p>
    <w:p w14:paraId="4046231E" w14:textId="77777777" w:rsidR="007862A2" w:rsidRDefault="007862A2" w:rsidP="007862A2">
      <w:pPr>
        <w:pStyle w:val="PL"/>
      </w:pPr>
      <w:r>
        <w:t xml:space="preserve">          minItems: 1</w:t>
      </w:r>
    </w:p>
    <w:p w14:paraId="5DBE05C5" w14:textId="77777777" w:rsidR="007862A2" w:rsidRDefault="007862A2" w:rsidP="007862A2">
      <w:pPr>
        <w:pStyle w:val="PL"/>
      </w:pPr>
      <w:r>
        <w:t xml:space="preserve">        </w:t>
      </w:r>
      <w:r>
        <w:rPr>
          <w:lang w:eastAsia="zh-CN"/>
        </w:rPr>
        <w:t>pduSesInfos</w:t>
      </w:r>
      <w:r>
        <w:t>:</w:t>
      </w:r>
    </w:p>
    <w:p w14:paraId="5DF04888" w14:textId="77777777" w:rsidR="007862A2" w:rsidRDefault="007862A2" w:rsidP="007862A2">
      <w:pPr>
        <w:pStyle w:val="PL"/>
      </w:pPr>
      <w:r>
        <w:t xml:space="preserve">          type: array</w:t>
      </w:r>
    </w:p>
    <w:p w14:paraId="661B6DCF" w14:textId="77777777" w:rsidR="007862A2" w:rsidRDefault="007862A2" w:rsidP="007862A2">
      <w:pPr>
        <w:pStyle w:val="PL"/>
      </w:pPr>
      <w:r>
        <w:t xml:space="preserve">          items:</w:t>
      </w:r>
    </w:p>
    <w:p w14:paraId="45508753" w14:textId="77777777" w:rsidR="007862A2" w:rsidRDefault="007862A2" w:rsidP="007862A2">
      <w:pPr>
        <w:pStyle w:val="PL"/>
      </w:pPr>
      <w:r>
        <w:t xml:space="preserve">            $ref: '#/components/schemas/</w:t>
      </w:r>
      <w:r>
        <w:rPr>
          <w:rFonts w:eastAsia="等线"/>
        </w:rPr>
        <w:t>PduSessionInfo</w:t>
      </w:r>
      <w:r>
        <w:t>'</w:t>
      </w:r>
    </w:p>
    <w:p w14:paraId="3D644EEC" w14:textId="77777777" w:rsidR="007862A2" w:rsidRDefault="007862A2" w:rsidP="007862A2">
      <w:pPr>
        <w:pStyle w:val="PL"/>
      </w:pPr>
      <w:r>
        <w:t xml:space="preserve">          minItems: 1</w:t>
      </w:r>
    </w:p>
    <w:p w14:paraId="4C34906C" w14:textId="77777777" w:rsidR="007862A2" w:rsidRDefault="007862A2" w:rsidP="007862A2">
      <w:pPr>
        <w:pStyle w:val="PL"/>
      </w:pPr>
      <w:r>
        <w:t xml:space="preserve">        useCaseCxt:</w:t>
      </w:r>
    </w:p>
    <w:p w14:paraId="17954D2A" w14:textId="77777777" w:rsidR="007862A2" w:rsidRDefault="007862A2" w:rsidP="007862A2">
      <w:pPr>
        <w:pStyle w:val="PL"/>
      </w:pPr>
      <w:r>
        <w:t xml:space="preserve">          type: string</w:t>
      </w:r>
    </w:p>
    <w:p w14:paraId="55BDF423" w14:textId="77777777" w:rsidR="007862A2" w:rsidRDefault="007862A2" w:rsidP="007862A2">
      <w:pPr>
        <w:pStyle w:val="PL"/>
      </w:pPr>
      <w:r>
        <w:t xml:space="preserve">          description: &gt;</w:t>
      </w:r>
    </w:p>
    <w:p w14:paraId="734BBF2C" w14:textId="77777777" w:rsidR="007862A2" w:rsidRDefault="007862A2" w:rsidP="007862A2">
      <w:pPr>
        <w:pStyle w:val="PL"/>
      </w:pPr>
      <w:r>
        <w:t xml:space="preserve">            Indicates the context of usage of the analytics. The value and format of this parameter</w:t>
      </w:r>
    </w:p>
    <w:p w14:paraId="3BF200BB" w14:textId="77777777" w:rsidR="007862A2" w:rsidRDefault="007862A2" w:rsidP="007862A2">
      <w:pPr>
        <w:pStyle w:val="PL"/>
      </w:pPr>
      <w:r>
        <w:t xml:space="preserve">            are not standardized.</w:t>
      </w:r>
    </w:p>
    <w:p w14:paraId="4E12E89D" w14:textId="77777777" w:rsidR="007862A2" w:rsidRDefault="007862A2" w:rsidP="007862A2">
      <w:pPr>
        <w:pStyle w:val="PL"/>
      </w:pPr>
      <w:r>
        <w:lastRenderedPageBreak/>
        <w:t xml:space="preserve">        </w:t>
      </w:r>
      <w:r>
        <w:rPr>
          <w:lang w:eastAsia="zh-CN"/>
        </w:rPr>
        <w:t>pduSesTrafReqs</w:t>
      </w:r>
      <w:r>
        <w:t>:</w:t>
      </w:r>
    </w:p>
    <w:p w14:paraId="4672B157" w14:textId="77777777" w:rsidR="007862A2" w:rsidRDefault="007862A2" w:rsidP="007862A2">
      <w:pPr>
        <w:pStyle w:val="PL"/>
      </w:pPr>
      <w:r>
        <w:t xml:space="preserve">          type: array</w:t>
      </w:r>
    </w:p>
    <w:p w14:paraId="390A3C6F" w14:textId="77777777" w:rsidR="007862A2" w:rsidRDefault="007862A2" w:rsidP="007862A2">
      <w:pPr>
        <w:pStyle w:val="PL"/>
      </w:pPr>
      <w:r>
        <w:t xml:space="preserve">          items:</w:t>
      </w:r>
    </w:p>
    <w:p w14:paraId="58BD4265" w14:textId="77777777" w:rsidR="007862A2" w:rsidRDefault="007862A2" w:rsidP="007862A2">
      <w:pPr>
        <w:pStyle w:val="PL"/>
      </w:pPr>
      <w:r>
        <w:t xml:space="preserve">            $ref: '#/components/schemas/</w:t>
      </w:r>
      <w:r>
        <w:rPr>
          <w:lang w:eastAsia="zh-CN"/>
        </w:rPr>
        <w:t>PduSesTrafficReq</w:t>
      </w:r>
      <w:r>
        <w:t>'</w:t>
      </w:r>
    </w:p>
    <w:p w14:paraId="6FA8EEE3" w14:textId="77777777" w:rsidR="007862A2" w:rsidRDefault="007862A2" w:rsidP="007862A2">
      <w:pPr>
        <w:pStyle w:val="PL"/>
      </w:pPr>
      <w:r>
        <w:t xml:space="preserve">          minItems: 1</w:t>
      </w:r>
    </w:p>
    <w:p w14:paraId="3EE15E4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locAccReqs</w:t>
      </w:r>
      <w:r>
        <w:rPr>
          <w:rFonts w:ascii="Courier New" w:hAnsi="Courier New"/>
          <w:sz w:val="16"/>
        </w:rPr>
        <w:t>:</w:t>
      </w:r>
    </w:p>
    <w:p w14:paraId="66EA54C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6C4579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5607C1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$ref: '#/components/schemas/</w:t>
      </w:r>
      <w:r>
        <w:rPr>
          <w:rFonts w:ascii="Courier New" w:hAnsi="Courier New"/>
          <w:sz w:val="16"/>
          <w:lang w:eastAsia="zh-CN"/>
        </w:rPr>
        <w:t>LocAccuracyReq</w:t>
      </w:r>
      <w:r>
        <w:rPr>
          <w:rFonts w:ascii="Courier New" w:hAnsi="Courier New"/>
          <w:sz w:val="16"/>
          <w:lang w:val="en-US"/>
        </w:rPr>
        <w:t>'</w:t>
      </w:r>
    </w:p>
    <w:p w14:paraId="11856875" w14:textId="77777777" w:rsidR="007862A2" w:rsidRDefault="007862A2" w:rsidP="007862A2">
      <w:pPr>
        <w:pStyle w:val="PL"/>
      </w:pPr>
      <w:r>
        <w:t xml:space="preserve">          minItems: 1</w:t>
      </w:r>
    </w:p>
    <w:p w14:paraId="46050BC6" w14:textId="77777777" w:rsidR="007862A2" w:rsidRDefault="007862A2" w:rsidP="007862A2">
      <w:pPr>
        <w:pStyle w:val="PL"/>
      </w:pPr>
      <w:r>
        <w:t xml:space="preserve">        </w:t>
      </w:r>
      <w:r>
        <w:rPr>
          <w:rFonts w:hint="eastAsia"/>
          <w:lang w:eastAsia="zh-CN"/>
        </w:rPr>
        <w:t>l</w:t>
      </w:r>
      <w:r>
        <w:rPr>
          <w:lang w:eastAsia="zh-CN"/>
        </w:rPr>
        <w:t>ocGranularity</w:t>
      </w:r>
      <w:r>
        <w:t>:</w:t>
      </w:r>
    </w:p>
    <w:p w14:paraId="4AA17868" w14:textId="77777777" w:rsidR="007862A2" w:rsidRDefault="007862A2" w:rsidP="007862A2">
      <w:pPr>
        <w:pStyle w:val="PL"/>
      </w:pPr>
      <w:r>
        <w:rPr>
          <w:lang w:val="en-US"/>
        </w:rPr>
        <w:t xml:space="preserve">          $ref: '#/components/schemas/</w:t>
      </w:r>
      <w:r>
        <w:rPr>
          <w:lang w:eastAsia="zh-CN"/>
        </w:rPr>
        <w:t>LocInfoGranularity</w:t>
      </w:r>
      <w:r>
        <w:rPr>
          <w:lang w:val="en-US"/>
        </w:rPr>
        <w:t>'</w:t>
      </w:r>
    </w:p>
    <w:p w14:paraId="2F950094" w14:textId="77777777" w:rsidR="007862A2" w:rsidRDefault="007862A2" w:rsidP="007862A2">
      <w:pPr>
        <w:pStyle w:val="PL"/>
      </w:pPr>
      <w:r>
        <w:t xml:space="preserve">        </w:t>
      </w:r>
      <w:bookmarkStart w:id="17210" w:name="_Hlk143551731"/>
      <w:r>
        <w:rPr>
          <w:lang w:eastAsia="zh-CN"/>
        </w:rPr>
        <w:t>locOrientation</w:t>
      </w:r>
      <w:r>
        <w:t>:</w:t>
      </w:r>
    </w:p>
    <w:p w14:paraId="0243FC98" w14:textId="77777777" w:rsidR="007862A2" w:rsidRDefault="007862A2" w:rsidP="007862A2">
      <w:pPr>
        <w:pStyle w:val="PL"/>
      </w:pPr>
      <w:r>
        <w:t xml:space="preserve">            $ref: '#/components/schemas/</w:t>
      </w:r>
      <w:r>
        <w:rPr>
          <w:lang w:eastAsia="zh-CN"/>
        </w:rPr>
        <w:t>LocationOrientation</w:t>
      </w:r>
      <w:r>
        <w:t>'</w:t>
      </w:r>
      <w:bookmarkEnd w:id="17210"/>
    </w:p>
    <w:p w14:paraId="053E09FF" w14:textId="77777777" w:rsidR="007862A2" w:rsidRDefault="007862A2" w:rsidP="007862A2">
      <w:pPr>
        <w:pStyle w:val="PL"/>
      </w:pPr>
      <w:r>
        <w:t xml:space="preserve">        dataVlTrnsTmRqs:</w:t>
      </w:r>
    </w:p>
    <w:p w14:paraId="381226A6" w14:textId="77777777" w:rsidR="007862A2" w:rsidRDefault="007862A2" w:rsidP="007862A2">
      <w:pPr>
        <w:pStyle w:val="PL"/>
      </w:pPr>
      <w:r>
        <w:t xml:space="preserve">          type: array</w:t>
      </w:r>
    </w:p>
    <w:p w14:paraId="2B6182D1" w14:textId="77777777" w:rsidR="007862A2" w:rsidRDefault="007862A2" w:rsidP="007862A2">
      <w:pPr>
        <w:pStyle w:val="PL"/>
      </w:pPr>
      <w:r>
        <w:t xml:space="preserve">          items:</w:t>
      </w:r>
    </w:p>
    <w:p w14:paraId="56E45248" w14:textId="77777777" w:rsidR="007862A2" w:rsidRDefault="007862A2" w:rsidP="007862A2">
      <w:pPr>
        <w:pStyle w:val="PL"/>
      </w:pPr>
      <w:r>
        <w:t xml:space="preserve">            $ref: '#/components/schemas/</w:t>
      </w:r>
      <w:r>
        <w:rPr>
          <w:lang w:eastAsia="zh-CN"/>
        </w:rPr>
        <w:t>E2eDataVolTransTimeReq</w:t>
      </w:r>
      <w:r>
        <w:t>'</w:t>
      </w:r>
    </w:p>
    <w:p w14:paraId="10358381" w14:textId="77777777" w:rsidR="007862A2" w:rsidRDefault="007862A2" w:rsidP="007862A2">
      <w:pPr>
        <w:pStyle w:val="PL"/>
      </w:pPr>
      <w:r>
        <w:t xml:space="preserve">          minItems: 1</w:t>
      </w:r>
    </w:p>
    <w:p w14:paraId="70029C30" w14:textId="77777777" w:rsidR="007862A2" w:rsidRDefault="007862A2" w:rsidP="007862A2">
      <w:pPr>
        <w:pStyle w:val="PL"/>
      </w:pPr>
      <w:r>
        <w:t xml:space="preserve">        </w:t>
      </w:r>
      <w:r>
        <w:rPr>
          <w:rFonts w:hint="eastAsia"/>
          <w:lang w:eastAsia="zh-CN"/>
        </w:rPr>
        <w:t>a</w:t>
      </w:r>
      <w:r>
        <w:rPr>
          <w:lang w:eastAsia="zh-CN"/>
        </w:rPr>
        <w:t>ccuReq</w:t>
      </w:r>
      <w:r>
        <w:t>:</w:t>
      </w:r>
    </w:p>
    <w:p w14:paraId="2F2EE3B6" w14:textId="77777777" w:rsidR="007862A2" w:rsidRDefault="007862A2" w:rsidP="007862A2">
      <w:pPr>
        <w:pStyle w:val="PL"/>
      </w:pPr>
      <w:r>
        <w:t xml:space="preserve">          $ref: '#/components/schemas/AccuracyReq'</w:t>
      </w:r>
    </w:p>
    <w:p w14:paraId="34E283C7" w14:textId="77777777" w:rsidR="007862A2" w:rsidRDefault="007862A2" w:rsidP="007862A2">
      <w:pPr>
        <w:pStyle w:val="PL"/>
      </w:pPr>
      <w:r>
        <w:t xml:space="preserve">        pauseFlg:</w:t>
      </w:r>
    </w:p>
    <w:p w14:paraId="70E627C8" w14:textId="77777777" w:rsidR="007862A2" w:rsidRDefault="007862A2" w:rsidP="007862A2">
      <w:pPr>
        <w:pStyle w:val="PL"/>
      </w:pPr>
      <w:r>
        <w:t xml:space="preserve">          type: boolean</w:t>
      </w:r>
    </w:p>
    <w:p w14:paraId="4891103A" w14:textId="77777777" w:rsidR="007862A2" w:rsidRDefault="007862A2" w:rsidP="007862A2">
      <w:pPr>
        <w:pStyle w:val="PL"/>
        <w:rPr>
          <w:lang w:eastAsia="zh-CN"/>
        </w:rPr>
      </w:pPr>
      <w:r>
        <w:t xml:space="preserve">          description: </w:t>
      </w:r>
      <w:r>
        <w:rPr>
          <w:lang w:eastAsia="zh-CN"/>
        </w:rPr>
        <w:t>&gt;</w:t>
      </w:r>
    </w:p>
    <w:p w14:paraId="0028628E" w14:textId="77777777" w:rsidR="007862A2" w:rsidRDefault="007862A2" w:rsidP="007862A2">
      <w:pPr>
        <w:pStyle w:val="PL"/>
      </w:pPr>
      <w:r>
        <w:t xml:space="preserve">            Pause analytics consumption flag. Set to "true" to indicate the NWDAF to stop sending</w:t>
      </w:r>
    </w:p>
    <w:p w14:paraId="2859A120" w14:textId="77777777" w:rsidR="007862A2" w:rsidRDefault="007862A2" w:rsidP="007862A2">
      <w:pPr>
        <w:pStyle w:val="PL"/>
      </w:pPr>
      <w:r>
        <w:t xml:space="preserve">            the notifications of analytics. Default value is "false" if omitted.</w:t>
      </w:r>
    </w:p>
    <w:p w14:paraId="118723AB" w14:textId="77777777" w:rsidR="007862A2" w:rsidRDefault="007862A2" w:rsidP="007862A2">
      <w:pPr>
        <w:pStyle w:val="PL"/>
      </w:pPr>
      <w:r>
        <w:t xml:space="preserve">        resumeFlg:</w:t>
      </w:r>
    </w:p>
    <w:p w14:paraId="08700D39" w14:textId="77777777" w:rsidR="007862A2" w:rsidRDefault="007862A2" w:rsidP="007862A2">
      <w:pPr>
        <w:pStyle w:val="PL"/>
      </w:pPr>
      <w:r>
        <w:t xml:space="preserve">          type: boolean</w:t>
      </w:r>
    </w:p>
    <w:p w14:paraId="4DB7FCBA" w14:textId="77777777" w:rsidR="007862A2" w:rsidRDefault="007862A2" w:rsidP="007862A2">
      <w:pPr>
        <w:pStyle w:val="PL"/>
        <w:rPr>
          <w:lang w:eastAsia="zh-CN"/>
        </w:rPr>
      </w:pPr>
      <w:r>
        <w:t xml:space="preserve">          description: </w:t>
      </w:r>
      <w:r>
        <w:rPr>
          <w:lang w:eastAsia="zh-CN"/>
        </w:rPr>
        <w:t>&gt;</w:t>
      </w:r>
    </w:p>
    <w:p w14:paraId="26674E2E" w14:textId="77777777" w:rsidR="007862A2" w:rsidRDefault="007862A2" w:rsidP="007862A2">
      <w:pPr>
        <w:pStyle w:val="PL"/>
      </w:pPr>
      <w:r>
        <w:t xml:space="preserve">            Resume analytics consumption flag. Set to "true" to indicate the NWDAF to resume sending</w:t>
      </w:r>
    </w:p>
    <w:p w14:paraId="642EEFAF" w14:textId="77777777" w:rsidR="007862A2" w:rsidRDefault="007862A2" w:rsidP="007862A2">
      <w:pPr>
        <w:pStyle w:val="PL"/>
      </w:pPr>
      <w:r>
        <w:t xml:space="preserve">            the notifications of analytics. Default value is "false" if omitted.</w:t>
      </w:r>
    </w:p>
    <w:p w14:paraId="77ADF685" w14:textId="77777777" w:rsidR="007862A2" w:rsidRDefault="007862A2" w:rsidP="007862A2">
      <w:pPr>
        <w:pStyle w:val="PL"/>
      </w:pPr>
      <w:r>
        <w:t xml:space="preserve">        </w:t>
      </w:r>
      <w:bookmarkStart w:id="17211" w:name="_Hlk138707291"/>
      <w:r>
        <w:rPr>
          <w:lang w:eastAsia="zh-CN"/>
        </w:rPr>
        <w:t>movBehavReqs</w:t>
      </w:r>
      <w:r>
        <w:t>:</w:t>
      </w:r>
      <w:bookmarkEnd w:id="17211"/>
    </w:p>
    <w:p w14:paraId="67D7465F" w14:textId="77777777" w:rsidR="007862A2" w:rsidRDefault="007862A2" w:rsidP="007862A2">
      <w:pPr>
        <w:pStyle w:val="PL"/>
      </w:pPr>
      <w:r>
        <w:t xml:space="preserve">          type: array</w:t>
      </w:r>
    </w:p>
    <w:p w14:paraId="48B3A6AB" w14:textId="77777777" w:rsidR="007862A2" w:rsidRDefault="007862A2" w:rsidP="007862A2">
      <w:pPr>
        <w:pStyle w:val="PL"/>
      </w:pPr>
      <w:r>
        <w:t xml:space="preserve">          items:</w:t>
      </w:r>
    </w:p>
    <w:p w14:paraId="2F0DC723" w14:textId="77777777" w:rsidR="007862A2" w:rsidRDefault="007862A2" w:rsidP="007862A2">
      <w:pPr>
        <w:pStyle w:val="PL"/>
      </w:pPr>
      <w:r>
        <w:t xml:space="preserve">            $ref: '#/components/schemas/</w:t>
      </w:r>
      <w:bookmarkStart w:id="17212" w:name="_Hlk138707305"/>
      <w:r>
        <w:rPr>
          <w:lang w:eastAsia="zh-CN"/>
        </w:rPr>
        <w:t>MovBehavReq</w:t>
      </w:r>
      <w:bookmarkEnd w:id="17212"/>
      <w:r>
        <w:t>'</w:t>
      </w:r>
    </w:p>
    <w:p w14:paraId="3E9D5B76" w14:textId="77777777" w:rsidR="007862A2" w:rsidRDefault="007862A2" w:rsidP="007862A2">
      <w:pPr>
        <w:pStyle w:val="PL"/>
      </w:pPr>
      <w:r>
        <w:t xml:space="preserve">          minItems: 1</w:t>
      </w:r>
    </w:p>
    <w:p w14:paraId="35CA9E3A" w14:textId="77777777" w:rsidR="007862A2" w:rsidRDefault="007862A2" w:rsidP="007862A2">
      <w:pPr>
        <w:pStyle w:val="PL"/>
      </w:pPr>
      <w:bookmarkStart w:id="17213" w:name="_Hlk145415919"/>
      <w:r>
        <w:t xml:space="preserve">        </w:t>
      </w:r>
      <w:r>
        <w:rPr>
          <w:lang w:eastAsia="zh-CN"/>
        </w:rPr>
        <w:t>relProxReqs</w:t>
      </w:r>
      <w:r>
        <w:t>:</w:t>
      </w:r>
    </w:p>
    <w:p w14:paraId="3924E12D" w14:textId="77777777" w:rsidR="007862A2" w:rsidRDefault="007862A2" w:rsidP="007862A2">
      <w:pPr>
        <w:pStyle w:val="PL"/>
      </w:pPr>
      <w:r>
        <w:t xml:space="preserve">          type: array</w:t>
      </w:r>
    </w:p>
    <w:p w14:paraId="56DF4779" w14:textId="77777777" w:rsidR="007862A2" w:rsidRDefault="007862A2" w:rsidP="007862A2">
      <w:pPr>
        <w:pStyle w:val="PL"/>
      </w:pPr>
      <w:r>
        <w:t xml:space="preserve">          items:</w:t>
      </w:r>
    </w:p>
    <w:p w14:paraId="4EC5DBC7" w14:textId="77777777" w:rsidR="007862A2" w:rsidRDefault="007862A2" w:rsidP="007862A2">
      <w:pPr>
        <w:pStyle w:val="PL"/>
      </w:pPr>
      <w:r>
        <w:t xml:space="preserve">            $ref: '#/components/schemas/RelProxReq'</w:t>
      </w:r>
    </w:p>
    <w:p w14:paraId="178D2D93" w14:textId="77777777" w:rsidR="007862A2" w:rsidRDefault="007862A2" w:rsidP="007862A2">
      <w:pPr>
        <w:pStyle w:val="PL"/>
      </w:pPr>
      <w:r>
        <w:t xml:space="preserve">          minItems: 1</w:t>
      </w:r>
    </w:p>
    <w:bookmarkEnd w:id="17213"/>
    <w:p w14:paraId="1E1A106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feedback:</w:t>
      </w:r>
    </w:p>
    <w:p w14:paraId="68F5365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'#/components/schemas/AnalyticsFeedbackInfo'</w:t>
      </w:r>
    </w:p>
    <w:p w14:paraId="22333E91" w14:textId="77777777" w:rsidR="00143F25" w:rsidRDefault="00143F25" w:rsidP="00143F25">
      <w:pPr>
        <w:pStyle w:val="PL"/>
      </w:pPr>
      <w:r>
        <w:t xml:space="preserve">        sigStormReqs:</w:t>
      </w:r>
    </w:p>
    <w:p w14:paraId="22F3FDAB" w14:textId="77777777" w:rsidR="00143F25" w:rsidRDefault="00143F25" w:rsidP="00143F25">
      <w:pPr>
        <w:pStyle w:val="PL"/>
      </w:pPr>
      <w:r>
        <w:t xml:space="preserve">          type: array</w:t>
      </w:r>
    </w:p>
    <w:p w14:paraId="05575D6B" w14:textId="77777777" w:rsidR="00143F25" w:rsidRDefault="00143F25" w:rsidP="00143F25">
      <w:pPr>
        <w:pStyle w:val="PL"/>
      </w:pPr>
      <w:r>
        <w:t xml:space="preserve">          items:</w:t>
      </w:r>
    </w:p>
    <w:p w14:paraId="03A7929D" w14:textId="77777777" w:rsidR="00143F25" w:rsidRDefault="00143F25" w:rsidP="00143F25">
      <w:pPr>
        <w:pStyle w:val="PL"/>
      </w:pPr>
      <w:r>
        <w:t xml:space="preserve">            $ref: '#/components/schemas/SignalStormReq'</w:t>
      </w:r>
    </w:p>
    <w:p w14:paraId="4EB0421D" w14:textId="77777777" w:rsidR="00143F25" w:rsidRDefault="00143F25" w:rsidP="00143F25">
      <w:pPr>
        <w:pStyle w:val="PL"/>
      </w:pPr>
      <w:r>
        <w:t xml:space="preserve">          minItems: 1</w:t>
      </w:r>
    </w:p>
    <w:p w14:paraId="5AE52B66" w14:textId="77777777" w:rsidR="00143F25" w:rsidRDefault="00143F25" w:rsidP="00143F25">
      <w:pPr>
        <w:pStyle w:val="PL"/>
      </w:pPr>
      <w:r>
        <w:t xml:space="preserve">          description: Represents the signalling storm analytics requirements.</w:t>
      </w:r>
    </w:p>
    <w:p w14:paraId="24BED23B" w14:textId="77777777" w:rsidR="00F525B2" w:rsidRDefault="00F525B2" w:rsidP="00F525B2">
      <w:pPr>
        <w:pStyle w:val="PL"/>
      </w:pPr>
      <w:r>
        <w:t xml:space="preserve">        qosPolAssistReqs:</w:t>
      </w:r>
    </w:p>
    <w:p w14:paraId="4793E3AC" w14:textId="77777777" w:rsidR="00F525B2" w:rsidRDefault="00F525B2" w:rsidP="00F525B2">
      <w:pPr>
        <w:pStyle w:val="PL"/>
      </w:pPr>
      <w:r>
        <w:t xml:space="preserve">          type: array</w:t>
      </w:r>
    </w:p>
    <w:p w14:paraId="0F9206D8" w14:textId="77777777" w:rsidR="00F525B2" w:rsidRDefault="00F525B2" w:rsidP="00F525B2">
      <w:pPr>
        <w:pStyle w:val="PL"/>
      </w:pPr>
      <w:r>
        <w:t xml:space="preserve">          items:</w:t>
      </w:r>
    </w:p>
    <w:p w14:paraId="701D3946" w14:textId="77777777" w:rsidR="00F525B2" w:rsidRDefault="00F525B2" w:rsidP="00F525B2">
      <w:pPr>
        <w:pStyle w:val="PL"/>
      </w:pPr>
      <w:r>
        <w:t xml:space="preserve">            $ref: '#/components/schemas/QosPolicyAssistReq'</w:t>
      </w:r>
    </w:p>
    <w:p w14:paraId="2C2B2419" w14:textId="77777777" w:rsidR="00F525B2" w:rsidRDefault="00F525B2" w:rsidP="00F525B2">
      <w:pPr>
        <w:pStyle w:val="PL"/>
      </w:pPr>
      <w:r>
        <w:t xml:space="preserve">          minItems: 1</w:t>
      </w:r>
    </w:p>
    <w:p w14:paraId="0E149BB1" w14:textId="77777777" w:rsidR="00F525B2" w:rsidRDefault="00F525B2" w:rsidP="00F525B2">
      <w:pPr>
        <w:pStyle w:val="PL"/>
      </w:pPr>
      <w:r>
        <w:t xml:space="preserve">          description: Represents the QoS and policy assistance analytics requirements.</w:t>
      </w:r>
    </w:p>
    <w:p w14:paraId="47A58927" w14:textId="77777777" w:rsidR="007862A2" w:rsidRDefault="007862A2" w:rsidP="007862A2">
      <w:pPr>
        <w:pStyle w:val="PL"/>
      </w:pPr>
      <w:r>
        <w:t xml:space="preserve">      required:</w:t>
      </w:r>
    </w:p>
    <w:p w14:paraId="348B6B52" w14:textId="77777777" w:rsidR="007862A2" w:rsidRDefault="007862A2" w:rsidP="007862A2">
      <w:pPr>
        <w:pStyle w:val="PL"/>
      </w:pPr>
      <w:r>
        <w:t xml:space="preserve">        - event</w:t>
      </w:r>
    </w:p>
    <w:p w14:paraId="63A0ED92" w14:textId="77777777" w:rsidR="007862A2" w:rsidRDefault="007862A2" w:rsidP="007862A2">
      <w:pPr>
        <w:pStyle w:val="PL"/>
      </w:pPr>
      <w:r>
        <w:t xml:space="preserve">      not:</w:t>
      </w:r>
    </w:p>
    <w:p w14:paraId="2FC6F081" w14:textId="77777777" w:rsidR="007862A2" w:rsidRDefault="007862A2" w:rsidP="007862A2">
      <w:pPr>
        <w:pStyle w:val="PL"/>
      </w:pPr>
      <w:r>
        <w:t xml:space="preserve">        required: [</w:t>
      </w:r>
      <w:r>
        <w:rPr>
          <w:lang w:eastAsia="zh-CN"/>
        </w:rPr>
        <w:t>excepRequs</w:t>
      </w:r>
      <w:r>
        <w:t xml:space="preserve">, </w:t>
      </w:r>
      <w:r>
        <w:rPr>
          <w:lang w:eastAsia="zh-CN"/>
        </w:rPr>
        <w:t>exptAnaType</w:t>
      </w:r>
      <w:r>
        <w:t>]</w:t>
      </w:r>
    </w:p>
    <w:p w14:paraId="7E053F01" w14:textId="77777777" w:rsidR="007862A2" w:rsidRDefault="007862A2" w:rsidP="007862A2">
      <w:pPr>
        <w:pStyle w:val="PL"/>
      </w:pPr>
    </w:p>
    <w:p w14:paraId="2A4F07C5" w14:textId="77777777" w:rsidR="007862A2" w:rsidRDefault="007862A2" w:rsidP="007862A2">
      <w:pPr>
        <w:pStyle w:val="PL"/>
      </w:pPr>
      <w:r>
        <w:t xml:space="preserve">    NnwdafEventsSubscriptionNotification:</w:t>
      </w:r>
    </w:p>
    <w:p w14:paraId="34E9D487" w14:textId="77777777" w:rsidR="007862A2" w:rsidRDefault="007862A2" w:rsidP="007862A2">
      <w:pPr>
        <w:pStyle w:val="PL"/>
      </w:pPr>
      <w:r>
        <w:t xml:space="preserve">      description: Represents an Individual NWDAF Event Subscription Notification resource.</w:t>
      </w:r>
    </w:p>
    <w:p w14:paraId="098B0F38" w14:textId="77777777" w:rsidR="007862A2" w:rsidRDefault="007862A2" w:rsidP="007862A2">
      <w:pPr>
        <w:pStyle w:val="PL"/>
      </w:pPr>
      <w:r>
        <w:t xml:space="preserve">      type: object</w:t>
      </w:r>
    </w:p>
    <w:p w14:paraId="36D39875" w14:textId="77777777" w:rsidR="007862A2" w:rsidRDefault="007862A2" w:rsidP="007862A2">
      <w:pPr>
        <w:pStyle w:val="PL"/>
      </w:pPr>
      <w:r>
        <w:t xml:space="preserve">      properties:</w:t>
      </w:r>
    </w:p>
    <w:p w14:paraId="6E8C946C" w14:textId="77777777" w:rsidR="007862A2" w:rsidRDefault="007862A2" w:rsidP="007862A2">
      <w:pPr>
        <w:pStyle w:val="PL"/>
      </w:pPr>
      <w:r>
        <w:t xml:space="preserve">        eventNotifications:</w:t>
      </w:r>
    </w:p>
    <w:p w14:paraId="2226DDDC" w14:textId="77777777" w:rsidR="007862A2" w:rsidRDefault="007862A2" w:rsidP="007862A2">
      <w:pPr>
        <w:pStyle w:val="PL"/>
      </w:pPr>
      <w:r>
        <w:t xml:space="preserve">          type: array</w:t>
      </w:r>
    </w:p>
    <w:p w14:paraId="481A06AE" w14:textId="77777777" w:rsidR="007862A2" w:rsidRDefault="007862A2" w:rsidP="007862A2">
      <w:pPr>
        <w:pStyle w:val="PL"/>
      </w:pPr>
      <w:r>
        <w:t xml:space="preserve">          items:</w:t>
      </w:r>
    </w:p>
    <w:p w14:paraId="297F1F2C" w14:textId="77777777" w:rsidR="007862A2" w:rsidRDefault="007862A2" w:rsidP="007862A2">
      <w:pPr>
        <w:pStyle w:val="PL"/>
      </w:pPr>
      <w:r>
        <w:t xml:space="preserve">            $ref: '#/components/schemas/EventNotification'</w:t>
      </w:r>
    </w:p>
    <w:p w14:paraId="0CDBAC49" w14:textId="77777777" w:rsidR="007862A2" w:rsidRDefault="007862A2" w:rsidP="007862A2">
      <w:pPr>
        <w:pStyle w:val="PL"/>
      </w:pPr>
      <w:r>
        <w:t xml:space="preserve">          minItems: 1</w:t>
      </w:r>
    </w:p>
    <w:p w14:paraId="626D2311" w14:textId="77777777" w:rsidR="007862A2" w:rsidRDefault="007862A2" w:rsidP="007862A2">
      <w:pPr>
        <w:pStyle w:val="PL"/>
      </w:pPr>
      <w:r>
        <w:t xml:space="preserve">          description: Notifications about Individual Events</w:t>
      </w:r>
    </w:p>
    <w:p w14:paraId="0FE72602" w14:textId="77777777" w:rsidR="007862A2" w:rsidRDefault="007862A2" w:rsidP="007862A2">
      <w:pPr>
        <w:pStyle w:val="PL"/>
      </w:pPr>
      <w:r>
        <w:t xml:space="preserve">        subscriptionId:</w:t>
      </w:r>
    </w:p>
    <w:p w14:paraId="31A9E49B" w14:textId="77777777" w:rsidR="007862A2" w:rsidRDefault="007862A2" w:rsidP="007862A2">
      <w:pPr>
        <w:pStyle w:val="PL"/>
      </w:pPr>
      <w:r>
        <w:t xml:space="preserve">          type: string</w:t>
      </w:r>
    </w:p>
    <w:p w14:paraId="5DB3EBE4" w14:textId="77777777" w:rsidR="007862A2" w:rsidRDefault="007862A2" w:rsidP="007862A2">
      <w:pPr>
        <w:pStyle w:val="PL"/>
      </w:pPr>
      <w:r>
        <w:t xml:space="preserve">          description: String identifying a subscription to the Nnwdaf_EventsSubscription Service</w:t>
      </w:r>
    </w:p>
    <w:p w14:paraId="5A6D8502" w14:textId="77777777" w:rsidR="007862A2" w:rsidRDefault="007862A2" w:rsidP="007862A2">
      <w:pPr>
        <w:pStyle w:val="PL"/>
      </w:pPr>
      <w:r>
        <w:t xml:space="preserve">        notifCorrId:</w:t>
      </w:r>
    </w:p>
    <w:p w14:paraId="36948F3E" w14:textId="77777777" w:rsidR="007862A2" w:rsidRDefault="007862A2" w:rsidP="007862A2">
      <w:pPr>
        <w:pStyle w:val="PL"/>
      </w:pPr>
      <w:r>
        <w:t xml:space="preserve">          type: string</w:t>
      </w:r>
    </w:p>
    <w:p w14:paraId="7C481E7A" w14:textId="77777777" w:rsidR="007862A2" w:rsidRDefault="007862A2" w:rsidP="007862A2">
      <w:pPr>
        <w:pStyle w:val="PL"/>
        <w:rPr>
          <w:rFonts w:cs="Arial"/>
          <w:szCs w:val="18"/>
        </w:rPr>
      </w:pPr>
      <w:r>
        <w:t xml:space="preserve">          description: Notification correlation identifier</w:t>
      </w:r>
      <w:r>
        <w:rPr>
          <w:rFonts w:cs="Arial"/>
          <w:szCs w:val="18"/>
        </w:rPr>
        <w:t>.</w:t>
      </w:r>
    </w:p>
    <w:p w14:paraId="75C6302B" w14:textId="77777777" w:rsidR="007862A2" w:rsidRDefault="007862A2" w:rsidP="007862A2">
      <w:pPr>
        <w:pStyle w:val="PL"/>
      </w:pPr>
      <w:r>
        <w:t xml:space="preserve">        oldSubscriptionId:</w:t>
      </w:r>
    </w:p>
    <w:p w14:paraId="4F32D995" w14:textId="77777777" w:rsidR="007862A2" w:rsidRDefault="007862A2" w:rsidP="007862A2">
      <w:pPr>
        <w:pStyle w:val="PL"/>
      </w:pPr>
      <w:r>
        <w:t xml:space="preserve">          type: string</w:t>
      </w:r>
    </w:p>
    <w:p w14:paraId="6CD1FB9F" w14:textId="77777777" w:rsidR="007862A2" w:rsidRDefault="007862A2" w:rsidP="007862A2">
      <w:pPr>
        <w:pStyle w:val="PL"/>
      </w:pPr>
      <w:r>
        <w:lastRenderedPageBreak/>
        <w:t xml:space="preserve">          description: &gt;</w:t>
      </w:r>
    </w:p>
    <w:p w14:paraId="4EAF0270" w14:textId="77777777" w:rsidR="007862A2" w:rsidRDefault="007862A2" w:rsidP="007862A2">
      <w:pPr>
        <w:pStyle w:val="PL"/>
      </w:pPr>
      <w:r>
        <w:t xml:space="preserve">            Subscription ID which was allocated by the source NWDAF. This parameter shall be present</w:t>
      </w:r>
    </w:p>
    <w:p w14:paraId="2AFD704F" w14:textId="77777777" w:rsidR="007862A2" w:rsidRDefault="007862A2" w:rsidP="007862A2">
      <w:pPr>
        <w:pStyle w:val="PL"/>
      </w:pPr>
      <w:r>
        <w:t xml:space="preserve">            if the notification is for informing the assignment of a new Subscription Id by the</w:t>
      </w:r>
    </w:p>
    <w:p w14:paraId="57CA5692" w14:textId="77777777" w:rsidR="007862A2" w:rsidRDefault="007862A2" w:rsidP="007862A2">
      <w:pPr>
        <w:pStyle w:val="PL"/>
      </w:pPr>
      <w:r>
        <w:t xml:space="preserve">            target NWDAF.</w:t>
      </w:r>
    </w:p>
    <w:p w14:paraId="08681102" w14:textId="77777777" w:rsidR="007862A2" w:rsidRDefault="007862A2" w:rsidP="007862A2">
      <w:pPr>
        <w:pStyle w:val="PL"/>
      </w:pPr>
      <w:r>
        <w:t xml:space="preserve">        resourceUri:</w:t>
      </w:r>
    </w:p>
    <w:p w14:paraId="1B6137C5" w14:textId="77777777" w:rsidR="007862A2" w:rsidRDefault="007862A2" w:rsidP="007862A2">
      <w:pPr>
        <w:pStyle w:val="PL"/>
      </w:pPr>
      <w:r>
        <w:t xml:space="preserve">          $ref: 'TS29571_CommonData.yaml#/components/schemas/Uri'</w:t>
      </w:r>
    </w:p>
    <w:p w14:paraId="7BA54353" w14:textId="77777777" w:rsidR="007862A2" w:rsidRDefault="007862A2" w:rsidP="007862A2">
      <w:pPr>
        <w:pStyle w:val="PL"/>
      </w:pPr>
      <w:r>
        <w:t xml:space="preserve">        termCause:</w:t>
      </w:r>
    </w:p>
    <w:p w14:paraId="0E14C14A" w14:textId="77777777" w:rsidR="007862A2" w:rsidRDefault="007862A2" w:rsidP="007862A2">
      <w:pPr>
        <w:pStyle w:val="PL"/>
      </w:pPr>
      <w:r>
        <w:t xml:space="preserve">          $ref: '#/components/schemas/TermCause'</w:t>
      </w:r>
    </w:p>
    <w:p w14:paraId="4D47EA5B" w14:textId="77777777" w:rsidR="007862A2" w:rsidRDefault="007862A2" w:rsidP="007862A2">
      <w:pPr>
        <w:pStyle w:val="PL"/>
      </w:pPr>
      <w:r>
        <w:t xml:space="preserve">        transEvents:</w:t>
      </w:r>
    </w:p>
    <w:p w14:paraId="5AF680EB" w14:textId="77777777" w:rsidR="007862A2" w:rsidRDefault="007862A2" w:rsidP="007862A2">
      <w:pPr>
        <w:pStyle w:val="PL"/>
      </w:pPr>
      <w:r>
        <w:t xml:space="preserve">          type: array</w:t>
      </w:r>
    </w:p>
    <w:p w14:paraId="3DBCABBC" w14:textId="77777777" w:rsidR="007862A2" w:rsidRDefault="007862A2" w:rsidP="007862A2">
      <w:pPr>
        <w:pStyle w:val="PL"/>
      </w:pPr>
      <w:r>
        <w:t xml:space="preserve">          items:</w:t>
      </w:r>
    </w:p>
    <w:p w14:paraId="0A152883" w14:textId="77777777" w:rsidR="007862A2" w:rsidRDefault="007862A2" w:rsidP="007862A2">
      <w:pPr>
        <w:pStyle w:val="PL"/>
      </w:pPr>
      <w:r>
        <w:t xml:space="preserve">            $ref: '#/components/schemas/NwdafEvent'</w:t>
      </w:r>
    </w:p>
    <w:p w14:paraId="68BFDB91" w14:textId="77777777" w:rsidR="007862A2" w:rsidRDefault="007862A2" w:rsidP="007862A2">
      <w:pPr>
        <w:pStyle w:val="PL"/>
      </w:pPr>
      <w:r>
        <w:t xml:space="preserve">          minItems: 1</w:t>
      </w:r>
    </w:p>
    <w:p w14:paraId="23572970" w14:textId="77777777" w:rsidR="007862A2" w:rsidRDefault="007862A2" w:rsidP="007862A2">
      <w:pPr>
        <w:pStyle w:val="PL"/>
      </w:pPr>
      <w:r>
        <w:t xml:space="preserve">      required:</w:t>
      </w:r>
    </w:p>
    <w:p w14:paraId="61DD6668" w14:textId="77777777" w:rsidR="007862A2" w:rsidRDefault="007862A2" w:rsidP="007862A2">
      <w:pPr>
        <w:pStyle w:val="PL"/>
      </w:pPr>
      <w:r>
        <w:t xml:space="preserve">        - subscriptionId</w:t>
      </w:r>
    </w:p>
    <w:p w14:paraId="05AE90E1" w14:textId="77777777" w:rsidR="007862A2" w:rsidRDefault="007862A2" w:rsidP="007862A2">
      <w:pPr>
        <w:pStyle w:val="PL"/>
      </w:pPr>
      <w:r>
        <w:t xml:space="preserve">      oneOf:</w:t>
      </w:r>
    </w:p>
    <w:p w14:paraId="14F8CD33" w14:textId="77777777" w:rsidR="007862A2" w:rsidRDefault="007862A2" w:rsidP="007862A2">
      <w:pPr>
        <w:pStyle w:val="PL"/>
      </w:pPr>
      <w:r>
        <w:t xml:space="preserve">        - required: [eventNotifications]</w:t>
      </w:r>
    </w:p>
    <w:p w14:paraId="27E4DF9E" w14:textId="77777777" w:rsidR="007862A2" w:rsidRDefault="007862A2" w:rsidP="007862A2">
      <w:pPr>
        <w:pStyle w:val="PL"/>
      </w:pPr>
      <w:r>
        <w:t xml:space="preserve">        - allOf:</w:t>
      </w:r>
    </w:p>
    <w:p w14:paraId="12636BD2" w14:textId="77777777" w:rsidR="007862A2" w:rsidRDefault="007862A2" w:rsidP="007862A2">
      <w:pPr>
        <w:pStyle w:val="PL"/>
      </w:pPr>
      <w:r>
        <w:t xml:space="preserve">          - required: [resourceUri]</w:t>
      </w:r>
    </w:p>
    <w:p w14:paraId="0B2C0C58" w14:textId="77777777" w:rsidR="007862A2" w:rsidRDefault="007862A2" w:rsidP="007862A2">
      <w:pPr>
        <w:pStyle w:val="PL"/>
      </w:pPr>
      <w:r>
        <w:t xml:space="preserve">          - required: [oldSubscriptionId]</w:t>
      </w:r>
    </w:p>
    <w:p w14:paraId="33E23029" w14:textId="77777777" w:rsidR="007862A2" w:rsidRDefault="007862A2" w:rsidP="007862A2">
      <w:pPr>
        <w:pStyle w:val="PL"/>
      </w:pPr>
    </w:p>
    <w:p w14:paraId="075E6479" w14:textId="77777777" w:rsidR="007862A2" w:rsidRDefault="007862A2" w:rsidP="007862A2">
      <w:pPr>
        <w:pStyle w:val="PL"/>
      </w:pPr>
      <w:r>
        <w:t xml:space="preserve">    EventNotification:</w:t>
      </w:r>
    </w:p>
    <w:p w14:paraId="4B4125B0" w14:textId="77777777" w:rsidR="007862A2" w:rsidRDefault="007862A2" w:rsidP="007862A2">
      <w:pPr>
        <w:pStyle w:val="PL"/>
      </w:pPr>
      <w:r>
        <w:t xml:space="preserve">      description: Represents a notification on events that occurred.</w:t>
      </w:r>
    </w:p>
    <w:p w14:paraId="1D4F9F77" w14:textId="77777777" w:rsidR="007862A2" w:rsidRDefault="007862A2" w:rsidP="007862A2">
      <w:pPr>
        <w:pStyle w:val="PL"/>
      </w:pPr>
      <w:r>
        <w:t xml:space="preserve">      type: object</w:t>
      </w:r>
    </w:p>
    <w:p w14:paraId="12A5597F" w14:textId="77777777" w:rsidR="007862A2" w:rsidRDefault="007862A2" w:rsidP="007862A2">
      <w:pPr>
        <w:pStyle w:val="PL"/>
      </w:pPr>
      <w:r>
        <w:t xml:space="preserve">      properties:</w:t>
      </w:r>
    </w:p>
    <w:p w14:paraId="6C6718A1" w14:textId="77777777" w:rsidR="007862A2" w:rsidRDefault="007862A2" w:rsidP="007862A2">
      <w:pPr>
        <w:pStyle w:val="PL"/>
      </w:pPr>
      <w:r>
        <w:t xml:space="preserve">        event:</w:t>
      </w:r>
    </w:p>
    <w:p w14:paraId="4A28BADE" w14:textId="77777777" w:rsidR="007862A2" w:rsidRDefault="007862A2" w:rsidP="007862A2">
      <w:pPr>
        <w:pStyle w:val="PL"/>
      </w:pPr>
      <w:r>
        <w:t xml:space="preserve">          $ref: '#/components/schemas/NwdafEvent'</w:t>
      </w:r>
    </w:p>
    <w:p w14:paraId="1795C386" w14:textId="77777777" w:rsidR="007862A2" w:rsidRDefault="007862A2" w:rsidP="007862A2">
      <w:pPr>
        <w:pStyle w:val="PL"/>
      </w:pPr>
      <w:r>
        <w:t xml:space="preserve">        start:</w:t>
      </w:r>
    </w:p>
    <w:p w14:paraId="677A9C3B" w14:textId="77777777" w:rsidR="007862A2" w:rsidRDefault="007862A2" w:rsidP="007862A2">
      <w:pPr>
        <w:pStyle w:val="PL"/>
      </w:pPr>
      <w:r>
        <w:t xml:space="preserve">          $ref: 'TS29571_CommonData.yaml#/components/schemas/DateTime'</w:t>
      </w:r>
    </w:p>
    <w:p w14:paraId="65C8783F" w14:textId="77777777" w:rsidR="007862A2" w:rsidRDefault="007862A2" w:rsidP="007862A2">
      <w:pPr>
        <w:pStyle w:val="PL"/>
      </w:pPr>
      <w:r>
        <w:t xml:space="preserve">        expiry:</w:t>
      </w:r>
    </w:p>
    <w:p w14:paraId="56B9E98B" w14:textId="77777777" w:rsidR="007862A2" w:rsidRDefault="007862A2" w:rsidP="007862A2">
      <w:pPr>
        <w:pStyle w:val="PL"/>
      </w:pPr>
      <w:r>
        <w:t xml:space="preserve">          $ref: 'TS29571_CommonData.yaml#/components/schemas/DateTime'</w:t>
      </w:r>
    </w:p>
    <w:p w14:paraId="35415F79" w14:textId="77777777" w:rsidR="007862A2" w:rsidRDefault="007862A2" w:rsidP="007862A2">
      <w:pPr>
        <w:pStyle w:val="PL"/>
      </w:pPr>
      <w:r>
        <w:t xml:space="preserve">        timeStampGen:</w:t>
      </w:r>
    </w:p>
    <w:p w14:paraId="27F886F7" w14:textId="77777777" w:rsidR="007862A2" w:rsidRDefault="007862A2" w:rsidP="007862A2">
      <w:pPr>
        <w:pStyle w:val="PL"/>
      </w:pPr>
      <w:r>
        <w:t xml:space="preserve">          $ref: 'TS29571_CommonData.yaml#/components/schemas/DateTime'</w:t>
      </w:r>
    </w:p>
    <w:p w14:paraId="045E7BB0" w14:textId="77777777" w:rsidR="007862A2" w:rsidRDefault="007862A2" w:rsidP="007862A2">
      <w:pPr>
        <w:pStyle w:val="PL"/>
      </w:pPr>
      <w:r>
        <w:t xml:space="preserve">        failNotifyCode:</w:t>
      </w:r>
    </w:p>
    <w:p w14:paraId="37BBCD21" w14:textId="77777777" w:rsidR="007862A2" w:rsidRDefault="007862A2" w:rsidP="007862A2">
      <w:pPr>
        <w:pStyle w:val="PL"/>
      </w:pPr>
      <w:r>
        <w:t xml:space="preserve">          $ref: '#/components/schemas/</w:t>
      </w:r>
      <w:r>
        <w:rPr>
          <w:lang w:eastAsia="zh-CN"/>
        </w:rPr>
        <w:t>NwdafFailureCode</w:t>
      </w:r>
      <w:r>
        <w:t>'</w:t>
      </w:r>
    </w:p>
    <w:p w14:paraId="3AB93BB0" w14:textId="77777777" w:rsidR="007862A2" w:rsidRDefault="007862A2" w:rsidP="007862A2">
      <w:pPr>
        <w:pStyle w:val="PL"/>
      </w:pPr>
      <w:r>
        <w:t xml:space="preserve">        rvWaitTime:</w:t>
      </w:r>
    </w:p>
    <w:p w14:paraId="6F339A76" w14:textId="77777777" w:rsidR="007862A2" w:rsidRDefault="007862A2" w:rsidP="007862A2">
      <w:pPr>
        <w:pStyle w:val="PL"/>
      </w:pPr>
      <w:r>
        <w:t xml:space="preserve">          $ref: 'TS29571_CommonData.yaml#/components/schemas/DurationSec'</w:t>
      </w:r>
    </w:p>
    <w:p w14:paraId="29B9A4AB" w14:textId="77777777" w:rsidR="007862A2" w:rsidRDefault="007862A2" w:rsidP="007862A2">
      <w:pPr>
        <w:pStyle w:val="PL"/>
      </w:pPr>
      <w:r>
        <w:t xml:space="preserve">        anaMetaInfo:</w:t>
      </w:r>
    </w:p>
    <w:p w14:paraId="51EEFB14" w14:textId="77777777" w:rsidR="007862A2" w:rsidRDefault="007862A2" w:rsidP="007862A2">
      <w:pPr>
        <w:pStyle w:val="PL"/>
      </w:pPr>
      <w:r>
        <w:t xml:space="preserve">          $ref: '#/components/schemas/AnalyticsMetadataInfo'</w:t>
      </w:r>
    </w:p>
    <w:p w14:paraId="582308A1" w14:textId="77777777" w:rsidR="007862A2" w:rsidRDefault="007862A2" w:rsidP="007862A2">
      <w:pPr>
        <w:pStyle w:val="PL"/>
      </w:pPr>
      <w:r>
        <w:t xml:space="preserve">        nfLoadLevelInfos:</w:t>
      </w:r>
    </w:p>
    <w:p w14:paraId="530EE493" w14:textId="77777777" w:rsidR="007862A2" w:rsidRDefault="007862A2" w:rsidP="007862A2">
      <w:pPr>
        <w:pStyle w:val="PL"/>
      </w:pPr>
      <w:r>
        <w:t xml:space="preserve">          type: array</w:t>
      </w:r>
    </w:p>
    <w:p w14:paraId="7D63BE4E" w14:textId="77777777" w:rsidR="007862A2" w:rsidRDefault="007862A2" w:rsidP="007862A2">
      <w:pPr>
        <w:pStyle w:val="PL"/>
      </w:pPr>
      <w:r>
        <w:t xml:space="preserve">          items:</w:t>
      </w:r>
    </w:p>
    <w:p w14:paraId="7688AD8B" w14:textId="77777777" w:rsidR="007862A2" w:rsidRDefault="007862A2" w:rsidP="007862A2">
      <w:pPr>
        <w:pStyle w:val="PL"/>
      </w:pPr>
      <w:r>
        <w:t xml:space="preserve">            $ref: '#/components/schemas/NfLoadLevelInformation'</w:t>
      </w:r>
    </w:p>
    <w:p w14:paraId="7476AD65" w14:textId="77777777" w:rsidR="007862A2" w:rsidRDefault="007862A2" w:rsidP="007862A2">
      <w:pPr>
        <w:pStyle w:val="PL"/>
      </w:pPr>
      <w:r>
        <w:t xml:space="preserve">          minItems: 1</w:t>
      </w:r>
    </w:p>
    <w:p w14:paraId="07E6FE4C" w14:textId="77777777" w:rsidR="007862A2" w:rsidRDefault="007862A2" w:rsidP="007862A2">
      <w:pPr>
        <w:pStyle w:val="PL"/>
      </w:pPr>
      <w:r>
        <w:t xml:space="preserve">        nsiLoadLevelInfos:</w:t>
      </w:r>
    </w:p>
    <w:p w14:paraId="43B64DCD" w14:textId="77777777" w:rsidR="007862A2" w:rsidRDefault="007862A2" w:rsidP="007862A2">
      <w:pPr>
        <w:pStyle w:val="PL"/>
      </w:pPr>
      <w:r>
        <w:t xml:space="preserve">          type: array</w:t>
      </w:r>
    </w:p>
    <w:p w14:paraId="43D3810C" w14:textId="77777777" w:rsidR="007862A2" w:rsidRDefault="007862A2" w:rsidP="007862A2">
      <w:pPr>
        <w:pStyle w:val="PL"/>
      </w:pPr>
      <w:r>
        <w:t xml:space="preserve">          items:</w:t>
      </w:r>
    </w:p>
    <w:p w14:paraId="240A7F74" w14:textId="77777777" w:rsidR="007862A2" w:rsidRDefault="007862A2" w:rsidP="007862A2">
      <w:pPr>
        <w:pStyle w:val="PL"/>
      </w:pPr>
      <w:r>
        <w:t xml:space="preserve">            $ref: '#/components/schemas/NsiLoadLevelInfo'</w:t>
      </w:r>
    </w:p>
    <w:p w14:paraId="41C853AA" w14:textId="77777777" w:rsidR="007862A2" w:rsidRDefault="007862A2" w:rsidP="007862A2">
      <w:pPr>
        <w:pStyle w:val="PL"/>
      </w:pPr>
      <w:r>
        <w:t xml:space="preserve">          minItems: 1</w:t>
      </w:r>
    </w:p>
    <w:p w14:paraId="3D3E8862" w14:textId="77777777" w:rsidR="007862A2" w:rsidRDefault="007862A2" w:rsidP="007862A2">
      <w:pPr>
        <w:pStyle w:val="PL"/>
      </w:pPr>
      <w:r>
        <w:t xml:space="preserve">        pfdDetermInfos:</w:t>
      </w:r>
    </w:p>
    <w:p w14:paraId="2302F976" w14:textId="77777777" w:rsidR="007862A2" w:rsidRDefault="007862A2" w:rsidP="007862A2">
      <w:pPr>
        <w:pStyle w:val="PL"/>
      </w:pPr>
      <w:r>
        <w:t xml:space="preserve">          type: array</w:t>
      </w:r>
    </w:p>
    <w:p w14:paraId="4428DFE3" w14:textId="77777777" w:rsidR="007862A2" w:rsidRDefault="007862A2" w:rsidP="007862A2">
      <w:pPr>
        <w:pStyle w:val="PL"/>
      </w:pPr>
      <w:r>
        <w:t xml:space="preserve">          items:</w:t>
      </w:r>
    </w:p>
    <w:p w14:paraId="6F21CDE5" w14:textId="77777777" w:rsidR="007862A2" w:rsidRDefault="007862A2" w:rsidP="007862A2">
      <w:pPr>
        <w:pStyle w:val="PL"/>
      </w:pPr>
      <w:r>
        <w:t xml:space="preserve">            $ref: '#/components/schemas/PfdDeterminationInfo'</w:t>
      </w:r>
    </w:p>
    <w:p w14:paraId="7EE4C080" w14:textId="77777777" w:rsidR="007862A2" w:rsidRDefault="007862A2" w:rsidP="007862A2">
      <w:pPr>
        <w:pStyle w:val="PL"/>
      </w:pPr>
      <w:r>
        <w:t xml:space="preserve">          minItems: 1</w:t>
      </w:r>
    </w:p>
    <w:p w14:paraId="28B9E783" w14:textId="77777777" w:rsidR="007862A2" w:rsidRDefault="007862A2" w:rsidP="007862A2">
      <w:pPr>
        <w:pStyle w:val="PL"/>
      </w:pPr>
      <w:r>
        <w:t xml:space="preserve">        sliceLoadLevelInfo:</w:t>
      </w:r>
    </w:p>
    <w:p w14:paraId="7EF34D8D" w14:textId="77777777" w:rsidR="007862A2" w:rsidRDefault="007862A2" w:rsidP="007862A2">
      <w:pPr>
        <w:pStyle w:val="PL"/>
      </w:pPr>
      <w:r>
        <w:t xml:space="preserve">          $ref: '#/components/schemas/SliceLoadLevelInformation'</w:t>
      </w:r>
    </w:p>
    <w:p w14:paraId="56F30691" w14:textId="77777777" w:rsidR="007862A2" w:rsidRDefault="007862A2" w:rsidP="007862A2">
      <w:pPr>
        <w:pStyle w:val="PL"/>
      </w:pPr>
      <w:r>
        <w:t xml:space="preserve">        svcExps:</w:t>
      </w:r>
    </w:p>
    <w:p w14:paraId="444FDBB1" w14:textId="77777777" w:rsidR="007862A2" w:rsidRDefault="007862A2" w:rsidP="007862A2">
      <w:pPr>
        <w:pStyle w:val="PL"/>
      </w:pPr>
      <w:r>
        <w:t xml:space="preserve">          type: array</w:t>
      </w:r>
    </w:p>
    <w:p w14:paraId="46ABE82C" w14:textId="77777777" w:rsidR="007862A2" w:rsidRDefault="007862A2" w:rsidP="007862A2">
      <w:pPr>
        <w:pStyle w:val="PL"/>
      </w:pPr>
      <w:r>
        <w:t xml:space="preserve">          items:</w:t>
      </w:r>
    </w:p>
    <w:p w14:paraId="4BF6B5C7" w14:textId="77777777" w:rsidR="007862A2" w:rsidRDefault="007862A2" w:rsidP="007862A2">
      <w:pPr>
        <w:pStyle w:val="PL"/>
      </w:pPr>
      <w:r>
        <w:t xml:space="preserve">            $ref: '#/components/schemas/ServiceExperienceInfo'</w:t>
      </w:r>
    </w:p>
    <w:p w14:paraId="52A86C4F" w14:textId="77777777" w:rsidR="007862A2" w:rsidRDefault="007862A2" w:rsidP="007862A2">
      <w:pPr>
        <w:pStyle w:val="PL"/>
      </w:pPr>
      <w:r>
        <w:t xml:space="preserve">          minItems: 1</w:t>
      </w:r>
    </w:p>
    <w:p w14:paraId="224FE473" w14:textId="77777777" w:rsidR="007862A2" w:rsidRDefault="007862A2" w:rsidP="007862A2">
      <w:pPr>
        <w:pStyle w:val="PL"/>
      </w:pPr>
      <w:r>
        <w:t xml:space="preserve">        qosSustainInfos:</w:t>
      </w:r>
    </w:p>
    <w:p w14:paraId="6DFBC9C5" w14:textId="77777777" w:rsidR="007862A2" w:rsidRDefault="007862A2" w:rsidP="007862A2">
      <w:pPr>
        <w:pStyle w:val="PL"/>
      </w:pPr>
      <w:r>
        <w:t xml:space="preserve">          type: array</w:t>
      </w:r>
    </w:p>
    <w:p w14:paraId="6F787B08" w14:textId="77777777" w:rsidR="007862A2" w:rsidRDefault="007862A2" w:rsidP="007862A2">
      <w:pPr>
        <w:pStyle w:val="PL"/>
      </w:pPr>
      <w:r>
        <w:t xml:space="preserve">          items:</w:t>
      </w:r>
    </w:p>
    <w:p w14:paraId="7C14D478" w14:textId="77777777" w:rsidR="007862A2" w:rsidRDefault="007862A2" w:rsidP="007862A2">
      <w:pPr>
        <w:pStyle w:val="PL"/>
      </w:pPr>
      <w:r>
        <w:t xml:space="preserve">            $ref: '#/components/schemas/QosSustainabilityInfo'</w:t>
      </w:r>
    </w:p>
    <w:p w14:paraId="4627F575" w14:textId="77777777" w:rsidR="007862A2" w:rsidRDefault="007862A2" w:rsidP="007862A2">
      <w:pPr>
        <w:pStyle w:val="PL"/>
      </w:pPr>
      <w:r>
        <w:t xml:space="preserve">          minItems: 1</w:t>
      </w:r>
    </w:p>
    <w:p w14:paraId="060058B5" w14:textId="77777777" w:rsidR="007862A2" w:rsidRDefault="007862A2" w:rsidP="007862A2">
      <w:pPr>
        <w:pStyle w:val="PL"/>
      </w:pPr>
      <w:r>
        <w:t xml:space="preserve">        ueComms:</w:t>
      </w:r>
    </w:p>
    <w:p w14:paraId="5657CB01" w14:textId="77777777" w:rsidR="007862A2" w:rsidRDefault="007862A2" w:rsidP="007862A2">
      <w:pPr>
        <w:pStyle w:val="PL"/>
      </w:pPr>
      <w:r>
        <w:t xml:space="preserve">          type: array</w:t>
      </w:r>
    </w:p>
    <w:p w14:paraId="0113C87F" w14:textId="77777777" w:rsidR="007862A2" w:rsidRDefault="007862A2" w:rsidP="007862A2">
      <w:pPr>
        <w:pStyle w:val="PL"/>
      </w:pPr>
      <w:r>
        <w:t xml:space="preserve">          items:</w:t>
      </w:r>
    </w:p>
    <w:p w14:paraId="6EFF6F86" w14:textId="77777777" w:rsidR="007862A2" w:rsidRDefault="007862A2" w:rsidP="007862A2">
      <w:pPr>
        <w:pStyle w:val="PL"/>
      </w:pPr>
      <w:r>
        <w:t xml:space="preserve">            $ref: '#/components/schemas/UeCommunication'</w:t>
      </w:r>
    </w:p>
    <w:p w14:paraId="58665B25" w14:textId="77777777" w:rsidR="007862A2" w:rsidRDefault="007862A2" w:rsidP="007862A2">
      <w:pPr>
        <w:pStyle w:val="PL"/>
      </w:pPr>
      <w:r>
        <w:t xml:space="preserve">          minItems: 1</w:t>
      </w:r>
    </w:p>
    <w:p w14:paraId="69C37C5F" w14:textId="77777777" w:rsidR="007862A2" w:rsidRDefault="007862A2" w:rsidP="007862A2">
      <w:pPr>
        <w:pStyle w:val="PL"/>
      </w:pPr>
      <w:r>
        <w:t xml:space="preserve">        ueMobs:</w:t>
      </w:r>
    </w:p>
    <w:p w14:paraId="0B8731DD" w14:textId="77777777" w:rsidR="007862A2" w:rsidRDefault="007862A2" w:rsidP="007862A2">
      <w:pPr>
        <w:pStyle w:val="PL"/>
      </w:pPr>
      <w:r>
        <w:t xml:space="preserve">          type: array</w:t>
      </w:r>
    </w:p>
    <w:p w14:paraId="5C90AD98" w14:textId="77777777" w:rsidR="007862A2" w:rsidRDefault="007862A2" w:rsidP="007862A2">
      <w:pPr>
        <w:pStyle w:val="PL"/>
      </w:pPr>
      <w:r>
        <w:t xml:space="preserve">          items:</w:t>
      </w:r>
    </w:p>
    <w:p w14:paraId="356096E8" w14:textId="77777777" w:rsidR="007862A2" w:rsidRDefault="007862A2" w:rsidP="007862A2">
      <w:pPr>
        <w:pStyle w:val="PL"/>
      </w:pPr>
      <w:r>
        <w:t xml:space="preserve">            $ref: '#/components/schemas/UeMobility'</w:t>
      </w:r>
    </w:p>
    <w:p w14:paraId="558A1154" w14:textId="77777777" w:rsidR="007862A2" w:rsidRDefault="007862A2" w:rsidP="007862A2">
      <w:pPr>
        <w:pStyle w:val="PL"/>
      </w:pPr>
      <w:r>
        <w:t xml:space="preserve">          minItems: 1</w:t>
      </w:r>
    </w:p>
    <w:p w14:paraId="2CC7B58F" w14:textId="77777777" w:rsidR="007862A2" w:rsidRDefault="007862A2" w:rsidP="007862A2">
      <w:pPr>
        <w:pStyle w:val="PL"/>
      </w:pPr>
      <w:r>
        <w:t xml:space="preserve">        userDataCongInfos:</w:t>
      </w:r>
    </w:p>
    <w:p w14:paraId="048CF3F6" w14:textId="77777777" w:rsidR="007862A2" w:rsidRDefault="007862A2" w:rsidP="007862A2">
      <w:pPr>
        <w:pStyle w:val="PL"/>
      </w:pPr>
      <w:r>
        <w:t xml:space="preserve">          type: array</w:t>
      </w:r>
    </w:p>
    <w:p w14:paraId="2E77E302" w14:textId="77777777" w:rsidR="007862A2" w:rsidRDefault="007862A2" w:rsidP="007862A2">
      <w:pPr>
        <w:pStyle w:val="PL"/>
      </w:pPr>
      <w:r>
        <w:lastRenderedPageBreak/>
        <w:t xml:space="preserve">          items:</w:t>
      </w:r>
    </w:p>
    <w:p w14:paraId="484C97DF" w14:textId="77777777" w:rsidR="007862A2" w:rsidRDefault="007862A2" w:rsidP="007862A2">
      <w:pPr>
        <w:pStyle w:val="PL"/>
      </w:pPr>
      <w:r>
        <w:t xml:space="preserve">            $ref: '#/components/schemas/UserDataCongestionInfo'</w:t>
      </w:r>
    </w:p>
    <w:p w14:paraId="3D6B1F2D" w14:textId="77777777" w:rsidR="007862A2" w:rsidRDefault="007862A2" w:rsidP="007862A2">
      <w:pPr>
        <w:pStyle w:val="PL"/>
      </w:pPr>
      <w:r>
        <w:t xml:space="preserve">          minItems: 1</w:t>
      </w:r>
    </w:p>
    <w:p w14:paraId="5197E108" w14:textId="77777777" w:rsidR="007862A2" w:rsidRDefault="007862A2" w:rsidP="007862A2">
      <w:pPr>
        <w:pStyle w:val="PL"/>
      </w:pPr>
      <w:r>
        <w:t xml:space="preserve">        abnorBehavrs:</w:t>
      </w:r>
    </w:p>
    <w:p w14:paraId="4AA0C806" w14:textId="77777777" w:rsidR="007862A2" w:rsidRDefault="007862A2" w:rsidP="007862A2">
      <w:pPr>
        <w:pStyle w:val="PL"/>
      </w:pPr>
      <w:r>
        <w:t xml:space="preserve">          type: array</w:t>
      </w:r>
    </w:p>
    <w:p w14:paraId="15265909" w14:textId="77777777" w:rsidR="007862A2" w:rsidRDefault="007862A2" w:rsidP="007862A2">
      <w:pPr>
        <w:pStyle w:val="PL"/>
      </w:pPr>
      <w:r>
        <w:t xml:space="preserve">          items:</w:t>
      </w:r>
    </w:p>
    <w:p w14:paraId="7B32735A" w14:textId="77777777" w:rsidR="007862A2" w:rsidRDefault="007862A2" w:rsidP="007862A2">
      <w:pPr>
        <w:pStyle w:val="PL"/>
      </w:pPr>
      <w:r>
        <w:t xml:space="preserve">            $ref: '#/components/schemas/AbnormalBehaviour'</w:t>
      </w:r>
    </w:p>
    <w:p w14:paraId="59802FAA" w14:textId="77777777" w:rsidR="007862A2" w:rsidRDefault="007862A2" w:rsidP="007862A2">
      <w:pPr>
        <w:pStyle w:val="PL"/>
      </w:pPr>
      <w:r>
        <w:t xml:space="preserve">          minItems: 1</w:t>
      </w:r>
    </w:p>
    <w:p w14:paraId="25B18339" w14:textId="77777777" w:rsidR="007862A2" w:rsidRDefault="007862A2" w:rsidP="007862A2">
      <w:pPr>
        <w:pStyle w:val="PL"/>
      </w:pPr>
      <w:r>
        <w:t xml:space="preserve">        nwPerfs:</w:t>
      </w:r>
    </w:p>
    <w:p w14:paraId="2603DBDA" w14:textId="77777777" w:rsidR="007862A2" w:rsidRDefault="007862A2" w:rsidP="007862A2">
      <w:pPr>
        <w:pStyle w:val="PL"/>
      </w:pPr>
      <w:r>
        <w:t xml:space="preserve">          type: array</w:t>
      </w:r>
    </w:p>
    <w:p w14:paraId="7D16123C" w14:textId="77777777" w:rsidR="007862A2" w:rsidRDefault="007862A2" w:rsidP="007862A2">
      <w:pPr>
        <w:pStyle w:val="PL"/>
      </w:pPr>
      <w:r>
        <w:t xml:space="preserve">          items:</w:t>
      </w:r>
    </w:p>
    <w:p w14:paraId="52C6720B" w14:textId="77777777" w:rsidR="007862A2" w:rsidRDefault="007862A2" w:rsidP="007862A2">
      <w:pPr>
        <w:pStyle w:val="PL"/>
      </w:pPr>
      <w:r>
        <w:t xml:space="preserve">            $ref: '#/components/schemas/NetworkPerfInfo'</w:t>
      </w:r>
    </w:p>
    <w:p w14:paraId="2211FFB7" w14:textId="77777777" w:rsidR="007862A2" w:rsidRDefault="007862A2" w:rsidP="007862A2">
      <w:pPr>
        <w:pStyle w:val="PL"/>
      </w:pPr>
      <w:r>
        <w:t xml:space="preserve">          minItems: 1</w:t>
      </w:r>
    </w:p>
    <w:p w14:paraId="278BE2A7" w14:textId="77777777" w:rsidR="007862A2" w:rsidRDefault="007862A2" w:rsidP="007862A2">
      <w:pPr>
        <w:pStyle w:val="PL"/>
      </w:pPr>
      <w:r>
        <w:t xml:space="preserve">        </w:t>
      </w:r>
      <w:r>
        <w:rPr>
          <w:lang w:eastAsia="zh-CN"/>
        </w:rPr>
        <w:t>dnPerfInfos</w:t>
      </w:r>
      <w:r>
        <w:t>:</w:t>
      </w:r>
    </w:p>
    <w:p w14:paraId="3C82EBF9" w14:textId="77777777" w:rsidR="007862A2" w:rsidRDefault="007862A2" w:rsidP="007862A2">
      <w:pPr>
        <w:pStyle w:val="PL"/>
      </w:pPr>
      <w:r>
        <w:t xml:space="preserve">          type: array</w:t>
      </w:r>
    </w:p>
    <w:p w14:paraId="05A377FE" w14:textId="77777777" w:rsidR="007862A2" w:rsidRDefault="007862A2" w:rsidP="007862A2">
      <w:pPr>
        <w:pStyle w:val="PL"/>
      </w:pPr>
      <w:r>
        <w:t xml:space="preserve">          items:</w:t>
      </w:r>
    </w:p>
    <w:p w14:paraId="6B3EF827" w14:textId="77777777" w:rsidR="007862A2" w:rsidRDefault="007862A2" w:rsidP="007862A2">
      <w:pPr>
        <w:pStyle w:val="PL"/>
      </w:pPr>
      <w:r>
        <w:t xml:space="preserve">            $ref: '#/components/schemas/DnPerfInfo'</w:t>
      </w:r>
    </w:p>
    <w:p w14:paraId="69C2E8CD" w14:textId="77777777" w:rsidR="007862A2" w:rsidRDefault="007862A2" w:rsidP="007862A2">
      <w:pPr>
        <w:pStyle w:val="PL"/>
      </w:pPr>
      <w:r>
        <w:t xml:space="preserve">          minItems: 1</w:t>
      </w:r>
    </w:p>
    <w:p w14:paraId="7569EB64" w14:textId="77777777" w:rsidR="007862A2" w:rsidRDefault="007862A2" w:rsidP="007862A2">
      <w:pPr>
        <w:pStyle w:val="PL"/>
      </w:pPr>
      <w:r>
        <w:t xml:space="preserve">        disperInfos:</w:t>
      </w:r>
    </w:p>
    <w:p w14:paraId="7B78633F" w14:textId="77777777" w:rsidR="007862A2" w:rsidRDefault="007862A2" w:rsidP="007862A2">
      <w:pPr>
        <w:pStyle w:val="PL"/>
      </w:pPr>
      <w:r>
        <w:t xml:space="preserve">          type: array</w:t>
      </w:r>
    </w:p>
    <w:p w14:paraId="548454E8" w14:textId="77777777" w:rsidR="007862A2" w:rsidRDefault="007862A2" w:rsidP="007862A2">
      <w:pPr>
        <w:pStyle w:val="PL"/>
      </w:pPr>
      <w:r>
        <w:t xml:space="preserve">          items:</w:t>
      </w:r>
    </w:p>
    <w:p w14:paraId="73BA2D35" w14:textId="77777777" w:rsidR="007862A2" w:rsidRDefault="007862A2" w:rsidP="007862A2">
      <w:pPr>
        <w:pStyle w:val="PL"/>
      </w:pPr>
      <w:r>
        <w:t xml:space="preserve">            $ref: '#/components/schemas/DispersionInfo'</w:t>
      </w:r>
    </w:p>
    <w:p w14:paraId="48653DCB" w14:textId="77777777" w:rsidR="007862A2" w:rsidRDefault="007862A2" w:rsidP="007862A2">
      <w:pPr>
        <w:pStyle w:val="PL"/>
      </w:pPr>
      <w:r>
        <w:t xml:space="preserve">          minItems: 1</w:t>
      </w:r>
    </w:p>
    <w:p w14:paraId="6F00722E" w14:textId="77777777" w:rsidR="007862A2" w:rsidRDefault="007862A2" w:rsidP="007862A2">
      <w:pPr>
        <w:pStyle w:val="PL"/>
      </w:pPr>
      <w:r>
        <w:t xml:space="preserve">        redTransInfos:</w:t>
      </w:r>
    </w:p>
    <w:p w14:paraId="7F293BF4" w14:textId="77777777" w:rsidR="007862A2" w:rsidRDefault="007862A2" w:rsidP="007862A2">
      <w:pPr>
        <w:pStyle w:val="PL"/>
      </w:pPr>
      <w:r>
        <w:t xml:space="preserve">          type: array</w:t>
      </w:r>
    </w:p>
    <w:p w14:paraId="6BEDF98C" w14:textId="77777777" w:rsidR="007862A2" w:rsidRDefault="007862A2" w:rsidP="007862A2">
      <w:pPr>
        <w:pStyle w:val="PL"/>
      </w:pPr>
      <w:r>
        <w:t xml:space="preserve">          items:</w:t>
      </w:r>
    </w:p>
    <w:p w14:paraId="238B5E15" w14:textId="77777777" w:rsidR="007862A2" w:rsidRDefault="007862A2" w:rsidP="007862A2">
      <w:pPr>
        <w:pStyle w:val="PL"/>
      </w:pPr>
      <w:r>
        <w:t xml:space="preserve">            $ref: '#/components/schemas/RedundantTransmissionExpInfo'</w:t>
      </w:r>
    </w:p>
    <w:p w14:paraId="34A50699" w14:textId="77777777" w:rsidR="007862A2" w:rsidRDefault="007862A2" w:rsidP="007862A2">
      <w:pPr>
        <w:pStyle w:val="PL"/>
      </w:pPr>
      <w:r>
        <w:t xml:space="preserve">          minItems: 1</w:t>
      </w:r>
    </w:p>
    <w:p w14:paraId="39FAF38C" w14:textId="77777777" w:rsidR="007862A2" w:rsidRDefault="007862A2" w:rsidP="007862A2">
      <w:pPr>
        <w:pStyle w:val="PL"/>
      </w:pPr>
      <w:r>
        <w:t xml:space="preserve">        wlanInfos:</w:t>
      </w:r>
    </w:p>
    <w:p w14:paraId="6B5E2523" w14:textId="77777777" w:rsidR="007862A2" w:rsidRDefault="007862A2" w:rsidP="007862A2">
      <w:pPr>
        <w:pStyle w:val="PL"/>
      </w:pPr>
      <w:r>
        <w:t xml:space="preserve">          type: array</w:t>
      </w:r>
    </w:p>
    <w:p w14:paraId="15C3A368" w14:textId="77777777" w:rsidR="007862A2" w:rsidRDefault="007862A2" w:rsidP="007862A2">
      <w:pPr>
        <w:pStyle w:val="PL"/>
      </w:pPr>
      <w:r>
        <w:t xml:space="preserve">          items:</w:t>
      </w:r>
    </w:p>
    <w:p w14:paraId="0D6091A5" w14:textId="77777777" w:rsidR="007862A2" w:rsidRDefault="007862A2" w:rsidP="007862A2">
      <w:pPr>
        <w:pStyle w:val="PL"/>
      </w:pPr>
      <w:r>
        <w:t xml:space="preserve">            $ref: '#/components/schemas/WlanPerformanceInfo'</w:t>
      </w:r>
    </w:p>
    <w:p w14:paraId="4CC017A5" w14:textId="77777777" w:rsidR="007862A2" w:rsidRDefault="007862A2" w:rsidP="007862A2">
      <w:pPr>
        <w:pStyle w:val="PL"/>
      </w:pPr>
      <w:r>
        <w:t xml:space="preserve">          minItems: 1</w:t>
      </w:r>
    </w:p>
    <w:p w14:paraId="0057F155" w14:textId="77777777" w:rsidR="007862A2" w:rsidRDefault="007862A2" w:rsidP="007862A2">
      <w:pPr>
        <w:pStyle w:val="PL"/>
      </w:pPr>
      <w:r>
        <w:t xml:space="preserve">        </w:t>
      </w:r>
      <w:r>
        <w:rPr>
          <w:rFonts w:hint="eastAsia"/>
          <w:lang w:eastAsia="ko-KR"/>
        </w:rPr>
        <w:t>smcc</w:t>
      </w:r>
      <w:r>
        <w:rPr>
          <w:lang w:eastAsia="ko-KR"/>
        </w:rPr>
        <w:t>Exps</w:t>
      </w:r>
      <w:r>
        <w:t>:</w:t>
      </w:r>
    </w:p>
    <w:p w14:paraId="48D1FBEE" w14:textId="77777777" w:rsidR="007862A2" w:rsidRDefault="007862A2" w:rsidP="007862A2">
      <w:pPr>
        <w:pStyle w:val="PL"/>
      </w:pPr>
      <w:r>
        <w:t xml:space="preserve">          type: array</w:t>
      </w:r>
    </w:p>
    <w:p w14:paraId="3ABAC031" w14:textId="77777777" w:rsidR="007862A2" w:rsidRDefault="007862A2" w:rsidP="007862A2">
      <w:pPr>
        <w:pStyle w:val="PL"/>
      </w:pPr>
      <w:r>
        <w:t xml:space="preserve">          items:</w:t>
      </w:r>
    </w:p>
    <w:p w14:paraId="296BDACA" w14:textId="77777777" w:rsidR="007862A2" w:rsidRDefault="007862A2" w:rsidP="007862A2">
      <w:pPr>
        <w:pStyle w:val="PL"/>
      </w:pPr>
      <w:r>
        <w:t xml:space="preserve">            $ref: 'TS29520_Nnwdaf_AnalyticsInfo.yaml#/components/schemas/SmcceInfo'</w:t>
      </w:r>
    </w:p>
    <w:p w14:paraId="29B539B2" w14:textId="77777777" w:rsidR="007862A2" w:rsidRDefault="007862A2" w:rsidP="007862A2">
      <w:pPr>
        <w:pStyle w:val="PL"/>
      </w:pPr>
      <w:r>
        <w:t xml:space="preserve">          minItems: 1</w:t>
      </w:r>
    </w:p>
    <w:p w14:paraId="287331FD" w14:textId="77777777" w:rsidR="007862A2" w:rsidRDefault="007862A2" w:rsidP="007862A2">
      <w:pPr>
        <w:pStyle w:val="PL"/>
      </w:pPr>
      <w:r>
        <w:t xml:space="preserve">        </w:t>
      </w:r>
      <w:r>
        <w:rPr>
          <w:lang w:eastAsia="zh-CN"/>
        </w:rPr>
        <w:t>pduSesTrafInfos</w:t>
      </w:r>
      <w:r>
        <w:t>:</w:t>
      </w:r>
    </w:p>
    <w:p w14:paraId="665185F5" w14:textId="77777777" w:rsidR="007862A2" w:rsidRDefault="007862A2" w:rsidP="007862A2">
      <w:pPr>
        <w:pStyle w:val="PL"/>
      </w:pPr>
      <w:r>
        <w:t xml:space="preserve">          type: array</w:t>
      </w:r>
    </w:p>
    <w:p w14:paraId="608CFA0B" w14:textId="77777777" w:rsidR="007862A2" w:rsidRDefault="007862A2" w:rsidP="007862A2">
      <w:pPr>
        <w:pStyle w:val="PL"/>
      </w:pPr>
      <w:r>
        <w:t xml:space="preserve">          items:</w:t>
      </w:r>
    </w:p>
    <w:p w14:paraId="1B61635F" w14:textId="77777777" w:rsidR="007862A2" w:rsidRDefault="007862A2" w:rsidP="007862A2">
      <w:pPr>
        <w:pStyle w:val="PL"/>
      </w:pPr>
      <w:r>
        <w:t xml:space="preserve">            $ref: '#/components/schemas/PduSesTrafficInfo'</w:t>
      </w:r>
    </w:p>
    <w:p w14:paraId="022DF228" w14:textId="77777777" w:rsidR="007862A2" w:rsidRDefault="007862A2" w:rsidP="007862A2">
      <w:pPr>
        <w:pStyle w:val="PL"/>
      </w:pPr>
      <w:r>
        <w:t xml:space="preserve">          minItems: 1</w:t>
      </w:r>
    </w:p>
    <w:p w14:paraId="37AF9650" w14:textId="77777777" w:rsidR="007862A2" w:rsidRDefault="007862A2" w:rsidP="007862A2">
      <w:pPr>
        <w:pStyle w:val="PL"/>
      </w:pPr>
      <w:r>
        <w:t xml:space="preserve">        dataVlTrnsTmInfos:</w:t>
      </w:r>
    </w:p>
    <w:p w14:paraId="6626543A" w14:textId="77777777" w:rsidR="007862A2" w:rsidRDefault="007862A2" w:rsidP="007862A2">
      <w:pPr>
        <w:pStyle w:val="PL"/>
      </w:pPr>
      <w:r>
        <w:t xml:space="preserve">          type: array</w:t>
      </w:r>
    </w:p>
    <w:p w14:paraId="677A2BC1" w14:textId="77777777" w:rsidR="007862A2" w:rsidRDefault="007862A2" w:rsidP="007862A2">
      <w:pPr>
        <w:pStyle w:val="PL"/>
      </w:pPr>
      <w:r>
        <w:t xml:space="preserve">          items:</w:t>
      </w:r>
    </w:p>
    <w:p w14:paraId="54ED8086" w14:textId="77777777" w:rsidR="007862A2" w:rsidRDefault="007862A2" w:rsidP="007862A2">
      <w:pPr>
        <w:pStyle w:val="PL"/>
      </w:pPr>
      <w:r>
        <w:t xml:space="preserve">            $ref: '#/components/schemas/</w:t>
      </w:r>
      <w:r>
        <w:rPr>
          <w:lang w:eastAsia="zh-CN"/>
        </w:rPr>
        <w:t>E2eDataVolTransTimeInfo</w:t>
      </w:r>
      <w:r>
        <w:t>'</w:t>
      </w:r>
    </w:p>
    <w:p w14:paraId="366886B9" w14:textId="77777777" w:rsidR="007862A2" w:rsidRDefault="007862A2" w:rsidP="007862A2">
      <w:pPr>
        <w:pStyle w:val="PL"/>
      </w:pPr>
      <w:r>
        <w:t xml:space="preserve">          minItems: 1</w:t>
      </w:r>
    </w:p>
    <w:p w14:paraId="63052C37" w14:textId="77777777" w:rsidR="007862A2" w:rsidRDefault="007862A2" w:rsidP="007862A2">
      <w:pPr>
        <w:pStyle w:val="PL"/>
      </w:pPr>
      <w:r>
        <w:t xml:space="preserve">        </w:t>
      </w:r>
      <w:r>
        <w:rPr>
          <w:rFonts w:hint="eastAsia"/>
          <w:lang w:eastAsia="zh-CN"/>
        </w:rPr>
        <w:t>a</w:t>
      </w:r>
      <w:r>
        <w:rPr>
          <w:lang w:eastAsia="zh-CN"/>
        </w:rPr>
        <w:t>ccuInfo</w:t>
      </w:r>
      <w:r>
        <w:t>:</w:t>
      </w:r>
    </w:p>
    <w:p w14:paraId="587E1EFC" w14:textId="77777777" w:rsidR="007862A2" w:rsidRDefault="007862A2" w:rsidP="007862A2">
      <w:pPr>
        <w:pStyle w:val="PL"/>
      </w:pPr>
      <w:r>
        <w:t xml:space="preserve">          $ref: '#/components/schemas/AccuracyInfo'</w:t>
      </w:r>
    </w:p>
    <w:p w14:paraId="79777DB0" w14:textId="77777777" w:rsidR="007862A2" w:rsidRDefault="007862A2" w:rsidP="007862A2">
      <w:pPr>
        <w:pStyle w:val="PL"/>
      </w:pPr>
      <w:r>
        <w:t xml:space="preserve">        </w:t>
      </w:r>
      <w:bookmarkStart w:id="17214" w:name="_Hlk142865641"/>
      <w:r>
        <w:rPr>
          <w:lang w:eastAsia="zh-CN"/>
        </w:rPr>
        <w:t>cancelAccuInd</w:t>
      </w:r>
      <w:r>
        <w:t>:</w:t>
      </w:r>
    </w:p>
    <w:p w14:paraId="781DC876" w14:textId="77777777" w:rsidR="007862A2" w:rsidRDefault="007862A2" w:rsidP="007862A2">
      <w:pPr>
        <w:pStyle w:val="PL"/>
      </w:pPr>
      <w:r>
        <w:t xml:space="preserve">          type: boolean</w:t>
      </w:r>
    </w:p>
    <w:p w14:paraId="29A05D11" w14:textId="77777777" w:rsidR="007862A2" w:rsidRDefault="007862A2" w:rsidP="007862A2">
      <w:pPr>
        <w:pStyle w:val="PL"/>
      </w:pPr>
      <w:r>
        <w:t xml:space="preserve">          description: &gt;</w:t>
      </w:r>
    </w:p>
    <w:p w14:paraId="081F14F2" w14:textId="77777777" w:rsidR="007862A2" w:rsidRDefault="007862A2" w:rsidP="007862A2">
      <w:pPr>
        <w:pStyle w:val="PL"/>
      </w:pPr>
      <w:r>
        <w:t xml:space="preserve">            Indicates cancelled subscription of the analytics accuracy information.</w:t>
      </w:r>
    </w:p>
    <w:p w14:paraId="2B732B22" w14:textId="77777777" w:rsidR="007862A2" w:rsidRDefault="007862A2" w:rsidP="007862A2">
      <w:pPr>
        <w:pStyle w:val="PL"/>
      </w:pPr>
      <w:r>
        <w:t xml:space="preserve">            Set to "true" indicates the NWDAF cancelled subscription of analytics accuracy</w:t>
      </w:r>
    </w:p>
    <w:p w14:paraId="7C4A790F" w14:textId="77777777" w:rsidR="007862A2" w:rsidRDefault="007862A2" w:rsidP="007862A2">
      <w:pPr>
        <w:pStyle w:val="PL"/>
      </w:pPr>
      <w:r>
        <w:t xml:space="preserve">            information as the NWDAF does not support the accuracy checking capability.</w:t>
      </w:r>
    </w:p>
    <w:p w14:paraId="5013401D" w14:textId="77777777" w:rsidR="007862A2" w:rsidRDefault="007862A2" w:rsidP="007862A2">
      <w:pPr>
        <w:pStyle w:val="PL"/>
      </w:pPr>
      <w:r>
        <w:t xml:space="preserve">            Otherwise set to "false". Default value is "false" if omitted.</w:t>
      </w:r>
      <w:bookmarkEnd w:id="17214"/>
    </w:p>
    <w:p w14:paraId="0D8F888E" w14:textId="77777777" w:rsidR="007862A2" w:rsidRDefault="007862A2" w:rsidP="007862A2">
      <w:pPr>
        <w:pStyle w:val="PL"/>
      </w:pPr>
      <w:r>
        <w:t xml:space="preserve">        pauseInd:</w:t>
      </w:r>
    </w:p>
    <w:p w14:paraId="56767844" w14:textId="77777777" w:rsidR="007862A2" w:rsidRDefault="007862A2" w:rsidP="007862A2">
      <w:pPr>
        <w:pStyle w:val="PL"/>
      </w:pPr>
      <w:r>
        <w:t xml:space="preserve">          type: boolean</w:t>
      </w:r>
    </w:p>
    <w:p w14:paraId="19F0A9E3" w14:textId="77777777" w:rsidR="007862A2" w:rsidRDefault="007862A2" w:rsidP="007862A2">
      <w:pPr>
        <w:pStyle w:val="PL"/>
        <w:rPr>
          <w:lang w:eastAsia="zh-CN"/>
        </w:rPr>
      </w:pPr>
      <w:r>
        <w:t xml:space="preserve">          description: </w:t>
      </w:r>
      <w:r>
        <w:rPr>
          <w:lang w:eastAsia="zh-CN"/>
        </w:rPr>
        <w:t>&gt;</w:t>
      </w:r>
    </w:p>
    <w:p w14:paraId="40B2337F" w14:textId="77777777" w:rsidR="007862A2" w:rsidRDefault="007862A2" w:rsidP="007862A2">
      <w:pPr>
        <w:pStyle w:val="PL"/>
      </w:pPr>
      <w:r>
        <w:t xml:space="preserve">            Pause analytics consumption indication. Set to "true" to indicate the consumer to stop</w:t>
      </w:r>
    </w:p>
    <w:p w14:paraId="0F6E544C" w14:textId="77777777" w:rsidR="007862A2" w:rsidRDefault="007862A2" w:rsidP="007862A2">
      <w:pPr>
        <w:pStyle w:val="PL"/>
      </w:pPr>
      <w:r>
        <w:t xml:space="preserve">            the consumption of the analytics. Default value is "false" if omitted.</w:t>
      </w:r>
    </w:p>
    <w:p w14:paraId="16A4B430" w14:textId="77777777" w:rsidR="007862A2" w:rsidRDefault="007862A2" w:rsidP="007862A2">
      <w:pPr>
        <w:pStyle w:val="PL"/>
      </w:pPr>
      <w:r>
        <w:t xml:space="preserve">        resumeInd:</w:t>
      </w:r>
    </w:p>
    <w:p w14:paraId="47A16157" w14:textId="77777777" w:rsidR="007862A2" w:rsidRDefault="007862A2" w:rsidP="007862A2">
      <w:pPr>
        <w:pStyle w:val="PL"/>
      </w:pPr>
      <w:r>
        <w:t xml:space="preserve">          type: boolean</w:t>
      </w:r>
    </w:p>
    <w:p w14:paraId="15202086" w14:textId="77777777" w:rsidR="007862A2" w:rsidRDefault="007862A2" w:rsidP="007862A2">
      <w:pPr>
        <w:pStyle w:val="PL"/>
        <w:rPr>
          <w:lang w:eastAsia="zh-CN"/>
        </w:rPr>
      </w:pPr>
      <w:r>
        <w:t xml:space="preserve">          description: </w:t>
      </w:r>
      <w:r>
        <w:rPr>
          <w:lang w:eastAsia="zh-CN"/>
        </w:rPr>
        <w:t>&gt;</w:t>
      </w:r>
    </w:p>
    <w:p w14:paraId="0C8C66F6" w14:textId="77777777" w:rsidR="007862A2" w:rsidRDefault="007862A2" w:rsidP="007862A2">
      <w:pPr>
        <w:pStyle w:val="PL"/>
      </w:pPr>
      <w:r>
        <w:t xml:space="preserve">            Resume analytics consumption indication. Set to "true" to indicate the consumer to</w:t>
      </w:r>
    </w:p>
    <w:p w14:paraId="01569A47" w14:textId="77777777" w:rsidR="007862A2" w:rsidRDefault="007862A2" w:rsidP="007862A2">
      <w:pPr>
        <w:pStyle w:val="PL"/>
      </w:pPr>
      <w:r>
        <w:t xml:space="preserve">            resume the consumption of the analytics. Default value is "false" if omitted.</w:t>
      </w:r>
    </w:p>
    <w:p w14:paraId="72693E07" w14:textId="77777777" w:rsidR="007862A2" w:rsidRDefault="007862A2" w:rsidP="007862A2">
      <w:pPr>
        <w:pStyle w:val="PL"/>
      </w:pPr>
      <w:r>
        <w:t xml:space="preserve">        </w:t>
      </w:r>
      <w:bookmarkStart w:id="17215" w:name="_Hlk138706961"/>
      <w:r>
        <w:rPr>
          <w:lang w:eastAsia="zh-CN"/>
        </w:rPr>
        <w:t>movBehavInfos</w:t>
      </w:r>
      <w:r>
        <w:t>:</w:t>
      </w:r>
    </w:p>
    <w:p w14:paraId="4A7D8123" w14:textId="77777777" w:rsidR="007862A2" w:rsidRDefault="007862A2" w:rsidP="007862A2">
      <w:pPr>
        <w:pStyle w:val="PL"/>
      </w:pPr>
      <w:r>
        <w:t xml:space="preserve">          type: array</w:t>
      </w:r>
    </w:p>
    <w:p w14:paraId="4BD004FD" w14:textId="77777777" w:rsidR="007862A2" w:rsidRDefault="007862A2" w:rsidP="007862A2">
      <w:pPr>
        <w:pStyle w:val="PL"/>
      </w:pPr>
      <w:r>
        <w:t xml:space="preserve">          items:</w:t>
      </w:r>
    </w:p>
    <w:p w14:paraId="065C3F9F" w14:textId="77777777" w:rsidR="007862A2" w:rsidRDefault="007862A2" w:rsidP="007862A2">
      <w:pPr>
        <w:pStyle w:val="PL"/>
      </w:pPr>
      <w:r>
        <w:t xml:space="preserve">            $ref: '#/components/schemas/MovBehavInfo'</w:t>
      </w:r>
    </w:p>
    <w:p w14:paraId="1C0164D8" w14:textId="77777777" w:rsidR="007862A2" w:rsidRDefault="007862A2" w:rsidP="007862A2">
      <w:pPr>
        <w:pStyle w:val="PL"/>
      </w:pPr>
      <w:r>
        <w:t xml:space="preserve">          minItems: 1</w:t>
      </w:r>
      <w:bookmarkEnd w:id="17215"/>
    </w:p>
    <w:p w14:paraId="7C86812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locAccInfos:</w:t>
      </w:r>
    </w:p>
    <w:p w14:paraId="4F1537A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7C04684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20E2C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w:t>
      </w:r>
      <w:r>
        <w:rPr>
          <w:rFonts w:ascii="Courier New" w:hAnsi="Courier New"/>
          <w:sz w:val="16"/>
          <w:lang w:eastAsia="zh-CN"/>
        </w:rPr>
        <w:t>LocAccuracyInfo</w:t>
      </w:r>
      <w:r>
        <w:rPr>
          <w:rFonts w:ascii="Courier New" w:hAnsi="Courier New"/>
          <w:sz w:val="16"/>
        </w:rPr>
        <w:t>'</w:t>
      </w:r>
    </w:p>
    <w:p w14:paraId="18A9B41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16F3D4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7216" w:name="_Hlk145415827"/>
      <w:r>
        <w:rPr>
          <w:rFonts w:ascii="Courier New" w:hAnsi="Courier New"/>
          <w:sz w:val="16"/>
        </w:rPr>
        <w:t xml:space="preserve">        relProxInfos:</w:t>
      </w:r>
    </w:p>
    <w:p w14:paraId="638EEC50" w14:textId="77777777" w:rsidR="007862A2" w:rsidRDefault="007862A2" w:rsidP="007862A2">
      <w:pPr>
        <w:pStyle w:val="PL"/>
      </w:pPr>
      <w:r>
        <w:lastRenderedPageBreak/>
        <w:t xml:space="preserve">          type: array</w:t>
      </w:r>
    </w:p>
    <w:p w14:paraId="7D0CAE3F" w14:textId="77777777" w:rsidR="007862A2" w:rsidRDefault="007862A2" w:rsidP="007862A2">
      <w:pPr>
        <w:pStyle w:val="PL"/>
      </w:pPr>
      <w:r>
        <w:t xml:space="preserve">          items:</w:t>
      </w:r>
    </w:p>
    <w:p w14:paraId="6A85AA62" w14:textId="77777777" w:rsidR="007862A2" w:rsidRDefault="007862A2" w:rsidP="007862A2">
      <w:pPr>
        <w:pStyle w:val="PL"/>
      </w:pPr>
      <w:r>
        <w:t xml:space="preserve">            $ref: '#/components/schemas/RelProxInfo'</w:t>
      </w:r>
    </w:p>
    <w:p w14:paraId="24E6696A" w14:textId="77777777" w:rsidR="007862A2" w:rsidRDefault="007862A2" w:rsidP="007862A2">
      <w:pPr>
        <w:pStyle w:val="PL"/>
      </w:pPr>
      <w:r>
        <w:t xml:space="preserve">          minItems: 1</w:t>
      </w:r>
    </w:p>
    <w:bookmarkEnd w:id="17216"/>
    <w:p w14:paraId="3666CBFE"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signalStorm</w:t>
      </w:r>
      <w:r>
        <w:rPr>
          <w:rFonts w:ascii="Courier New" w:hAnsi="Courier New"/>
          <w:sz w:val="16"/>
        </w:rPr>
        <w:t>Info</w:t>
      </w:r>
      <w:r w:rsidRPr="00E67CA7">
        <w:rPr>
          <w:rFonts w:ascii="Courier New" w:hAnsi="Courier New"/>
          <w:sz w:val="16"/>
        </w:rPr>
        <w:t>s:</w:t>
      </w:r>
    </w:p>
    <w:p w14:paraId="20ACA9DD"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1AFD4DEB"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02A2E08E"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$ref: '#/components/schemas/SignalStormInfo'</w:t>
      </w:r>
    </w:p>
    <w:p w14:paraId="3D8D5332"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minItems: 1</w:t>
      </w:r>
    </w:p>
    <w:p w14:paraId="71BD7410" w14:textId="77777777" w:rsidR="00143F25" w:rsidRPr="00E67CA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description: The signalling storm information.</w:t>
      </w:r>
    </w:p>
    <w:p w14:paraId="0C1A84EC"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Pr>
          <w:rFonts w:ascii="Courier New" w:hAnsi="Courier New"/>
          <w:sz w:val="16"/>
        </w:rPr>
        <w:t>qosPolAssistInfos</w:t>
      </w:r>
      <w:r w:rsidRPr="00E67CA7">
        <w:rPr>
          <w:rFonts w:ascii="Courier New" w:hAnsi="Courier New"/>
          <w:sz w:val="16"/>
        </w:rPr>
        <w:t>:</w:t>
      </w:r>
    </w:p>
    <w:p w14:paraId="706A15FE"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30DA9D52"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4DD229EE"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$ref: '#/components/schemas/</w:t>
      </w:r>
      <w:r>
        <w:rPr>
          <w:rFonts w:ascii="Courier New" w:hAnsi="Courier New"/>
          <w:sz w:val="16"/>
        </w:rPr>
        <w:t>QosPolicyAssistInfo</w:t>
      </w:r>
      <w:r w:rsidRPr="00E67CA7">
        <w:rPr>
          <w:rFonts w:ascii="Courier New" w:hAnsi="Courier New"/>
          <w:sz w:val="16"/>
        </w:rPr>
        <w:t>'</w:t>
      </w:r>
    </w:p>
    <w:p w14:paraId="129F72D2"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minItems: 1</w:t>
      </w:r>
    </w:p>
    <w:p w14:paraId="0A049039" w14:textId="77777777" w:rsidR="00445D8C" w:rsidRPr="00E67CA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description: The </w:t>
      </w:r>
      <w:r>
        <w:rPr>
          <w:rFonts w:ascii="Courier New" w:hAnsi="Courier New"/>
          <w:sz w:val="16"/>
        </w:rPr>
        <w:t>QoS and policy assistance</w:t>
      </w:r>
      <w:r w:rsidRPr="00E67CA7">
        <w:rPr>
          <w:rFonts w:ascii="Courier New" w:hAnsi="Courier New"/>
          <w:sz w:val="16"/>
        </w:rPr>
        <w:t xml:space="preserve"> information.</w:t>
      </w:r>
    </w:p>
    <w:p w14:paraId="6C1D9B71" w14:textId="77777777" w:rsidR="007862A2" w:rsidRDefault="007862A2" w:rsidP="007862A2">
      <w:pPr>
        <w:pStyle w:val="PL"/>
      </w:pPr>
      <w:r>
        <w:t xml:space="preserve">      required:</w:t>
      </w:r>
    </w:p>
    <w:p w14:paraId="46E13BDB" w14:textId="77777777" w:rsidR="007862A2" w:rsidRDefault="007862A2" w:rsidP="007862A2">
      <w:pPr>
        <w:pStyle w:val="PL"/>
      </w:pPr>
      <w:r>
        <w:t xml:space="preserve">        - event</w:t>
      </w:r>
    </w:p>
    <w:p w14:paraId="49C21980" w14:textId="77777777" w:rsidR="007862A2" w:rsidRDefault="007862A2" w:rsidP="007862A2">
      <w:pPr>
        <w:pStyle w:val="PL"/>
      </w:pPr>
    </w:p>
    <w:p w14:paraId="36590E48" w14:textId="77777777" w:rsidR="007862A2" w:rsidRDefault="007862A2" w:rsidP="007862A2">
      <w:pPr>
        <w:pStyle w:val="PL"/>
      </w:pPr>
      <w:r>
        <w:t xml:space="preserve">    ServiceExperienceInfo:</w:t>
      </w:r>
    </w:p>
    <w:p w14:paraId="11859E46" w14:textId="77777777" w:rsidR="007862A2" w:rsidRDefault="007862A2" w:rsidP="007862A2">
      <w:pPr>
        <w:pStyle w:val="PL"/>
      </w:pPr>
      <w:r>
        <w:t xml:space="preserve">      description: Represents service experience information.</w:t>
      </w:r>
    </w:p>
    <w:p w14:paraId="4E15AD29" w14:textId="77777777" w:rsidR="007862A2" w:rsidRDefault="007862A2" w:rsidP="007862A2">
      <w:pPr>
        <w:pStyle w:val="PL"/>
      </w:pPr>
      <w:r>
        <w:t xml:space="preserve">      type: object</w:t>
      </w:r>
    </w:p>
    <w:p w14:paraId="30A0CD8B" w14:textId="77777777" w:rsidR="007862A2" w:rsidRDefault="007862A2" w:rsidP="007862A2">
      <w:pPr>
        <w:pStyle w:val="PL"/>
      </w:pPr>
      <w:r>
        <w:t xml:space="preserve">      properties:</w:t>
      </w:r>
    </w:p>
    <w:p w14:paraId="23FA2A8F" w14:textId="77777777" w:rsidR="007862A2" w:rsidRDefault="007862A2" w:rsidP="007862A2">
      <w:pPr>
        <w:pStyle w:val="PL"/>
      </w:pPr>
      <w:r>
        <w:t xml:space="preserve">        svcExprc:</w:t>
      </w:r>
    </w:p>
    <w:p w14:paraId="4F3F7A5A" w14:textId="77777777" w:rsidR="007862A2" w:rsidRDefault="007862A2" w:rsidP="007862A2">
      <w:pPr>
        <w:pStyle w:val="PL"/>
      </w:pPr>
      <w:r>
        <w:t xml:space="preserve">          $ref: 'TS29517_Naf_EventExposure.yaml#/components/schemas/SvcExperience'</w:t>
      </w:r>
    </w:p>
    <w:p w14:paraId="5145B6B2" w14:textId="77777777" w:rsidR="007862A2" w:rsidRDefault="007862A2" w:rsidP="007862A2">
      <w:pPr>
        <w:pStyle w:val="PL"/>
      </w:pPr>
      <w:r>
        <w:t xml:space="preserve">        svcExprcVariance:</w:t>
      </w:r>
    </w:p>
    <w:p w14:paraId="7A7EA8FF" w14:textId="77777777" w:rsidR="007862A2" w:rsidRDefault="007862A2" w:rsidP="007862A2">
      <w:pPr>
        <w:pStyle w:val="PL"/>
      </w:pPr>
      <w:r>
        <w:t xml:space="preserve">          $ref: 'TS29571_CommonData.yaml#/components/schemas/Float'</w:t>
      </w:r>
    </w:p>
    <w:p w14:paraId="682632C6" w14:textId="77777777" w:rsidR="007862A2" w:rsidRDefault="007862A2" w:rsidP="007862A2">
      <w:pPr>
        <w:pStyle w:val="PL"/>
      </w:pPr>
      <w:r>
        <w:t xml:space="preserve">        supis:</w:t>
      </w:r>
    </w:p>
    <w:p w14:paraId="1C76C4C0" w14:textId="77777777" w:rsidR="007862A2" w:rsidRDefault="007862A2" w:rsidP="007862A2">
      <w:pPr>
        <w:pStyle w:val="PL"/>
      </w:pPr>
      <w:r>
        <w:t xml:space="preserve">          type: array</w:t>
      </w:r>
    </w:p>
    <w:p w14:paraId="1366C608" w14:textId="77777777" w:rsidR="007862A2" w:rsidRDefault="007862A2" w:rsidP="007862A2">
      <w:pPr>
        <w:pStyle w:val="PL"/>
      </w:pPr>
      <w:r>
        <w:t xml:space="preserve">          items:</w:t>
      </w:r>
    </w:p>
    <w:p w14:paraId="68C7D0EF" w14:textId="77777777" w:rsidR="007862A2" w:rsidRDefault="007862A2" w:rsidP="007862A2">
      <w:pPr>
        <w:pStyle w:val="PL"/>
      </w:pPr>
      <w:r>
        <w:t xml:space="preserve">            $ref: 'TS29571_CommonData.yaml#/components/schemas/Supi'</w:t>
      </w:r>
    </w:p>
    <w:p w14:paraId="54A74B39" w14:textId="77777777" w:rsidR="007862A2" w:rsidRDefault="007862A2" w:rsidP="007862A2">
      <w:pPr>
        <w:pStyle w:val="PL"/>
      </w:pPr>
      <w:r>
        <w:t xml:space="preserve">          minItems: 1</w:t>
      </w:r>
    </w:p>
    <w:p w14:paraId="30FDA0DA" w14:textId="77777777" w:rsidR="007862A2" w:rsidRDefault="007862A2" w:rsidP="007862A2">
      <w:pPr>
        <w:pStyle w:val="PL"/>
      </w:pPr>
      <w:r>
        <w:t xml:space="preserve">        snssai:</w:t>
      </w:r>
    </w:p>
    <w:p w14:paraId="0D108831" w14:textId="77777777" w:rsidR="007862A2" w:rsidRDefault="007862A2" w:rsidP="007862A2">
      <w:pPr>
        <w:pStyle w:val="PL"/>
      </w:pPr>
      <w:r>
        <w:t xml:space="preserve">          $ref: 'TS29571_CommonData.yaml#/components/schemas/Snssai'</w:t>
      </w:r>
    </w:p>
    <w:p w14:paraId="4E456DBB" w14:textId="77777777" w:rsidR="007862A2" w:rsidRDefault="007862A2" w:rsidP="007862A2">
      <w:pPr>
        <w:pStyle w:val="PL"/>
      </w:pPr>
      <w:r>
        <w:t xml:space="preserve">        appId:</w:t>
      </w:r>
    </w:p>
    <w:p w14:paraId="588F8609" w14:textId="77777777" w:rsidR="007862A2" w:rsidRDefault="007862A2" w:rsidP="007862A2">
      <w:pPr>
        <w:pStyle w:val="PL"/>
      </w:pPr>
      <w:r>
        <w:t xml:space="preserve">          $ref: 'TS29571_CommonData.yaml#/components/schemas/ApplicationId'</w:t>
      </w:r>
    </w:p>
    <w:p w14:paraId="1515DEB7" w14:textId="77777777" w:rsidR="007862A2" w:rsidRDefault="007862A2" w:rsidP="007862A2">
      <w:pPr>
        <w:pStyle w:val="PL"/>
      </w:pPr>
      <w:r>
        <w:t xml:space="preserve">        srvExpcType:</w:t>
      </w:r>
    </w:p>
    <w:p w14:paraId="030DC4FC" w14:textId="77777777" w:rsidR="007862A2" w:rsidRDefault="007862A2" w:rsidP="007862A2">
      <w:pPr>
        <w:pStyle w:val="PL"/>
      </w:pPr>
      <w:r>
        <w:t xml:space="preserve">          $ref: '#/components/schemas/</w:t>
      </w:r>
      <w:r>
        <w:rPr>
          <w:lang w:eastAsia="zh-CN"/>
        </w:rPr>
        <w:t>ServiceExperienceType</w:t>
      </w:r>
      <w:r>
        <w:t>'</w:t>
      </w:r>
    </w:p>
    <w:p w14:paraId="424ABB5B" w14:textId="77777777" w:rsidR="007862A2" w:rsidRDefault="007862A2" w:rsidP="007862A2">
      <w:pPr>
        <w:pStyle w:val="PL"/>
      </w:pPr>
      <w:r>
        <w:t xml:space="preserve">        </w:t>
      </w:r>
      <w:r>
        <w:rPr>
          <w:lang w:eastAsia="zh-CN"/>
        </w:rPr>
        <w:t>ueLocs</w:t>
      </w:r>
      <w:r>
        <w:t>:</w:t>
      </w:r>
    </w:p>
    <w:p w14:paraId="48027AA9" w14:textId="77777777" w:rsidR="007862A2" w:rsidRDefault="007862A2" w:rsidP="007862A2">
      <w:pPr>
        <w:pStyle w:val="PL"/>
      </w:pPr>
      <w:r>
        <w:t xml:space="preserve">          type: array</w:t>
      </w:r>
    </w:p>
    <w:p w14:paraId="222885C1" w14:textId="77777777" w:rsidR="007862A2" w:rsidRDefault="007862A2" w:rsidP="007862A2">
      <w:pPr>
        <w:pStyle w:val="PL"/>
      </w:pPr>
      <w:r>
        <w:t xml:space="preserve">          items:</w:t>
      </w:r>
    </w:p>
    <w:p w14:paraId="07A00739" w14:textId="77777777" w:rsidR="007862A2" w:rsidRDefault="007862A2" w:rsidP="007862A2">
      <w:pPr>
        <w:pStyle w:val="PL"/>
      </w:pPr>
      <w:r>
        <w:t xml:space="preserve">            $ref: '#/components/schemas/LocationInfo'</w:t>
      </w:r>
    </w:p>
    <w:p w14:paraId="2141BB79" w14:textId="77777777" w:rsidR="007862A2" w:rsidRDefault="007862A2" w:rsidP="007862A2">
      <w:pPr>
        <w:pStyle w:val="PL"/>
      </w:pPr>
      <w:r>
        <w:t xml:space="preserve">          minItems: 1</w:t>
      </w:r>
    </w:p>
    <w:p w14:paraId="71C1D969" w14:textId="77777777" w:rsidR="007862A2" w:rsidRDefault="007862A2" w:rsidP="007862A2">
      <w:pPr>
        <w:pStyle w:val="PL"/>
      </w:pPr>
      <w:r>
        <w:t xml:space="preserve">        </w:t>
      </w:r>
      <w:r>
        <w:rPr>
          <w:lang w:eastAsia="zh-CN"/>
        </w:rPr>
        <w:t>upfInfo</w:t>
      </w:r>
      <w:r>
        <w:t>:</w:t>
      </w:r>
    </w:p>
    <w:p w14:paraId="34BE83C9" w14:textId="77777777" w:rsidR="007862A2" w:rsidRDefault="007862A2" w:rsidP="007862A2">
      <w:pPr>
        <w:pStyle w:val="PL"/>
      </w:pPr>
      <w:r>
        <w:t xml:space="preserve">          $ref: 'TS29508_Nsmf_EventExposure.yaml#/components/schemas/UpfInformation'</w:t>
      </w:r>
    </w:p>
    <w:p w14:paraId="0BD28C91" w14:textId="77777777" w:rsidR="007862A2" w:rsidRDefault="007862A2" w:rsidP="007862A2">
      <w:pPr>
        <w:pStyle w:val="PL"/>
      </w:pPr>
      <w:r>
        <w:t xml:space="preserve">        </w:t>
      </w:r>
      <w:r>
        <w:rPr>
          <w:lang w:eastAsia="zh-CN"/>
        </w:rPr>
        <w:t>dnai</w:t>
      </w:r>
      <w:r>
        <w:t>:</w:t>
      </w:r>
    </w:p>
    <w:p w14:paraId="27674249" w14:textId="77777777" w:rsidR="007862A2" w:rsidRDefault="007862A2" w:rsidP="007862A2">
      <w:pPr>
        <w:pStyle w:val="PL"/>
      </w:pPr>
      <w:r>
        <w:t xml:space="preserve">          $ref: 'TS29571_CommonData.yaml#/components/schemas/Dnai'</w:t>
      </w:r>
    </w:p>
    <w:p w14:paraId="3F66B96B" w14:textId="77777777" w:rsidR="007862A2" w:rsidRDefault="007862A2" w:rsidP="007862A2">
      <w:pPr>
        <w:pStyle w:val="PL"/>
      </w:pPr>
      <w:r>
        <w:t xml:space="preserve">        </w:t>
      </w:r>
      <w:r>
        <w:rPr>
          <w:rFonts w:hint="eastAsia"/>
          <w:lang w:eastAsia="zh-CN"/>
        </w:rPr>
        <w:t>a</w:t>
      </w:r>
      <w:r>
        <w:rPr>
          <w:lang w:eastAsia="zh-CN"/>
        </w:rPr>
        <w:t>ppServerInst</w:t>
      </w:r>
      <w:r>
        <w:t>:</w:t>
      </w:r>
    </w:p>
    <w:p w14:paraId="62E421F9" w14:textId="77777777" w:rsidR="007862A2" w:rsidRDefault="007862A2" w:rsidP="007862A2">
      <w:pPr>
        <w:pStyle w:val="PL"/>
      </w:pPr>
      <w:r>
        <w:t xml:space="preserve">          $ref: 'TS29517_Naf_EventExposure.yaml#/components/schemas/</w:t>
      </w:r>
      <w:r>
        <w:rPr>
          <w:lang w:eastAsia="zh-CN"/>
        </w:rPr>
        <w:t>AddrFqdn</w:t>
      </w:r>
      <w:r>
        <w:t>'</w:t>
      </w:r>
    </w:p>
    <w:p w14:paraId="64F84112" w14:textId="77777777" w:rsidR="007862A2" w:rsidRDefault="007862A2" w:rsidP="007862A2">
      <w:pPr>
        <w:pStyle w:val="PL"/>
      </w:pPr>
      <w:r>
        <w:t xml:space="preserve">        confidence:</w:t>
      </w:r>
    </w:p>
    <w:p w14:paraId="22E533CC" w14:textId="77777777" w:rsidR="007862A2" w:rsidRDefault="007862A2" w:rsidP="007862A2">
      <w:pPr>
        <w:pStyle w:val="PL"/>
      </w:pPr>
      <w:r>
        <w:t xml:space="preserve">          $ref: 'TS29571_CommonData.yaml#/components/schemas/Uinteger'</w:t>
      </w:r>
    </w:p>
    <w:p w14:paraId="4E00CDEF" w14:textId="77777777" w:rsidR="007862A2" w:rsidRDefault="007862A2" w:rsidP="007862A2">
      <w:pPr>
        <w:pStyle w:val="PL"/>
      </w:pPr>
      <w:r>
        <w:t xml:space="preserve">        dnn:</w:t>
      </w:r>
    </w:p>
    <w:p w14:paraId="0FE925D7" w14:textId="77777777" w:rsidR="007862A2" w:rsidRDefault="007862A2" w:rsidP="007862A2">
      <w:pPr>
        <w:pStyle w:val="PL"/>
      </w:pPr>
      <w:r>
        <w:t xml:space="preserve">          $ref: 'TS29571_CommonData.yaml#/components/schemas/Dnn'</w:t>
      </w:r>
    </w:p>
    <w:p w14:paraId="7E5D5EAD" w14:textId="77777777" w:rsidR="007862A2" w:rsidRDefault="007862A2" w:rsidP="007862A2">
      <w:pPr>
        <w:pStyle w:val="PL"/>
      </w:pPr>
      <w:r>
        <w:t xml:space="preserve">        networkArea:</w:t>
      </w:r>
    </w:p>
    <w:p w14:paraId="5F060E2E" w14:textId="77777777" w:rsidR="007862A2" w:rsidRDefault="007862A2" w:rsidP="007862A2">
      <w:pPr>
        <w:pStyle w:val="PL"/>
      </w:pPr>
      <w:r>
        <w:t xml:space="preserve">          $ref: 'TS29554_Npcf_BDTPolicyControl.yaml#/components/schemas/NetworkAreaInfo'</w:t>
      </w:r>
    </w:p>
    <w:p w14:paraId="065AD3F4" w14:textId="77777777" w:rsidR="007862A2" w:rsidRDefault="007862A2" w:rsidP="007862A2">
      <w:pPr>
        <w:pStyle w:val="PL"/>
      </w:pPr>
      <w:r>
        <w:t xml:space="preserve">        nsiId:</w:t>
      </w:r>
    </w:p>
    <w:p w14:paraId="6581F7ED" w14:textId="77777777" w:rsidR="007862A2" w:rsidRDefault="007862A2" w:rsidP="007862A2">
      <w:pPr>
        <w:pStyle w:val="PL"/>
      </w:pPr>
      <w:r>
        <w:t xml:space="preserve">          $ref: 'TS29531_Nnssf_NSSelection.yaml#/components/schemas/NsiId'</w:t>
      </w:r>
    </w:p>
    <w:p w14:paraId="46113975" w14:textId="77777777" w:rsidR="007862A2" w:rsidRDefault="007862A2" w:rsidP="007862A2">
      <w:pPr>
        <w:pStyle w:val="PL"/>
      </w:pPr>
      <w:r>
        <w:t xml:space="preserve">        ratio:</w:t>
      </w:r>
    </w:p>
    <w:p w14:paraId="1DD608BC" w14:textId="77777777" w:rsidR="007862A2" w:rsidRDefault="007862A2" w:rsidP="007862A2">
      <w:pPr>
        <w:pStyle w:val="PL"/>
      </w:pPr>
      <w:r>
        <w:t xml:space="preserve">          $ref: 'TS29571_CommonData.yaml#/components/schemas/SamplingRatio'</w:t>
      </w:r>
    </w:p>
    <w:p w14:paraId="3719D5DC" w14:textId="77777777" w:rsidR="007862A2" w:rsidRDefault="007862A2" w:rsidP="007862A2">
      <w:pPr>
        <w:pStyle w:val="PL"/>
        <w:rPr>
          <w:lang w:eastAsia="zh-CN"/>
        </w:rPr>
      </w:pPr>
      <w:r>
        <w:rPr>
          <w:rFonts w:hint="eastAsia"/>
          <w:lang w:eastAsia="zh-CN"/>
        </w:rPr>
        <w:t xml:space="preserve"> </w:t>
      </w:r>
      <w:r>
        <w:rPr>
          <w:lang w:eastAsia="zh-CN"/>
        </w:rPr>
        <w:t xml:space="preserve">       ratFreq:</w:t>
      </w:r>
    </w:p>
    <w:p w14:paraId="752E3049" w14:textId="77777777" w:rsidR="007862A2" w:rsidRDefault="007862A2" w:rsidP="007862A2">
      <w:pPr>
        <w:pStyle w:val="PL"/>
      </w:pPr>
      <w:r>
        <w:t xml:space="preserve">          $ref: '#/components/schemas/RatFreqInformation'</w:t>
      </w:r>
    </w:p>
    <w:p w14:paraId="07FF58C8" w14:textId="77777777" w:rsidR="007862A2" w:rsidRDefault="007862A2" w:rsidP="007862A2">
      <w:pPr>
        <w:pStyle w:val="PL"/>
      </w:pPr>
      <w:r>
        <w:t xml:space="preserve">        </w:t>
      </w:r>
      <w:r>
        <w:rPr>
          <w:lang w:eastAsia="zh-CN"/>
        </w:rPr>
        <w:t>pduSesInfo</w:t>
      </w:r>
      <w:r>
        <w:t>:</w:t>
      </w:r>
    </w:p>
    <w:p w14:paraId="69FDB8A9" w14:textId="77777777" w:rsidR="007862A2" w:rsidRDefault="007862A2" w:rsidP="007862A2">
      <w:pPr>
        <w:pStyle w:val="PL"/>
      </w:pPr>
      <w:r>
        <w:t xml:space="preserve">          $ref: '#/components/schemas/</w:t>
      </w:r>
      <w:r>
        <w:rPr>
          <w:rFonts w:eastAsia="等线"/>
        </w:rPr>
        <w:t>PduSessionInfo</w:t>
      </w:r>
      <w:r>
        <w:t>'</w:t>
      </w:r>
    </w:p>
    <w:p w14:paraId="45A21A97" w14:textId="77777777" w:rsidR="007862A2" w:rsidRDefault="007862A2" w:rsidP="007862A2">
      <w:pPr>
        <w:pStyle w:val="PL"/>
      </w:pPr>
      <w:r>
        <w:t xml:space="preserve">      required:</w:t>
      </w:r>
    </w:p>
    <w:p w14:paraId="76E2DB9C" w14:textId="77777777" w:rsidR="007862A2" w:rsidRDefault="007862A2" w:rsidP="007862A2">
      <w:pPr>
        <w:pStyle w:val="PL"/>
      </w:pPr>
      <w:r>
        <w:t xml:space="preserve">        - svcExprc</w:t>
      </w:r>
    </w:p>
    <w:p w14:paraId="780FD7D2" w14:textId="77777777" w:rsidR="007862A2" w:rsidRDefault="007862A2" w:rsidP="007862A2">
      <w:pPr>
        <w:pStyle w:val="PL"/>
      </w:pPr>
    </w:p>
    <w:p w14:paraId="12D77FB7" w14:textId="77777777" w:rsidR="007862A2" w:rsidRDefault="007862A2" w:rsidP="007862A2">
      <w:pPr>
        <w:pStyle w:val="PL"/>
      </w:pPr>
      <w:r>
        <w:t xml:space="preserve">    BwRequirement:</w:t>
      </w:r>
    </w:p>
    <w:p w14:paraId="704B3CA9" w14:textId="77777777" w:rsidR="007862A2" w:rsidRDefault="007862A2" w:rsidP="007862A2">
      <w:pPr>
        <w:pStyle w:val="PL"/>
      </w:pPr>
      <w:r>
        <w:t xml:space="preserve">      description: Represents bandwidth requirements.</w:t>
      </w:r>
    </w:p>
    <w:p w14:paraId="11630D8B" w14:textId="77777777" w:rsidR="007862A2" w:rsidRDefault="007862A2" w:rsidP="007862A2">
      <w:pPr>
        <w:pStyle w:val="PL"/>
      </w:pPr>
      <w:r>
        <w:t xml:space="preserve">      type: object</w:t>
      </w:r>
    </w:p>
    <w:p w14:paraId="200B4193" w14:textId="77777777" w:rsidR="007862A2" w:rsidRDefault="007862A2" w:rsidP="007862A2">
      <w:pPr>
        <w:pStyle w:val="PL"/>
      </w:pPr>
      <w:r>
        <w:t xml:space="preserve">      properties:</w:t>
      </w:r>
    </w:p>
    <w:p w14:paraId="6ADF6118" w14:textId="77777777" w:rsidR="007862A2" w:rsidRDefault="007862A2" w:rsidP="007862A2">
      <w:pPr>
        <w:pStyle w:val="PL"/>
      </w:pPr>
      <w:r>
        <w:t xml:space="preserve">        appId:</w:t>
      </w:r>
    </w:p>
    <w:p w14:paraId="169CB482" w14:textId="77777777" w:rsidR="007862A2" w:rsidRDefault="007862A2" w:rsidP="007862A2">
      <w:pPr>
        <w:pStyle w:val="PL"/>
      </w:pPr>
      <w:r>
        <w:t xml:space="preserve">          $ref: 'TS29571_CommonData.yaml#/components/schemas/ApplicationId'</w:t>
      </w:r>
    </w:p>
    <w:p w14:paraId="14C58A2A" w14:textId="77777777" w:rsidR="007862A2" w:rsidRDefault="007862A2" w:rsidP="007862A2">
      <w:pPr>
        <w:pStyle w:val="PL"/>
      </w:pPr>
      <w:r>
        <w:t xml:space="preserve">        marBwDl:</w:t>
      </w:r>
    </w:p>
    <w:p w14:paraId="795223CD" w14:textId="77777777" w:rsidR="007862A2" w:rsidRDefault="007862A2" w:rsidP="007862A2">
      <w:pPr>
        <w:pStyle w:val="PL"/>
      </w:pPr>
      <w:r>
        <w:t xml:space="preserve">          $ref: 'TS29571_CommonData.yaml#/components/schemas/BitRate'</w:t>
      </w:r>
    </w:p>
    <w:p w14:paraId="5F3478AA" w14:textId="77777777" w:rsidR="007862A2" w:rsidRDefault="007862A2" w:rsidP="007862A2">
      <w:pPr>
        <w:pStyle w:val="PL"/>
      </w:pPr>
      <w:r>
        <w:t xml:space="preserve">        marBwUl:</w:t>
      </w:r>
    </w:p>
    <w:p w14:paraId="7B060212" w14:textId="77777777" w:rsidR="007862A2" w:rsidRDefault="007862A2" w:rsidP="007862A2">
      <w:pPr>
        <w:pStyle w:val="PL"/>
      </w:pPr>
      <w:r>
        <w:t xml:space="preserve">          $ref: 'TS29571_CommonData.yaml#/components/schemas/BitRate'</w:t>
      </w:r>
    </w:p>
    <w:p w14:paraId="308A7775" w14:textId="77777777" w:rsidR="007862A2" w:rsidRDefault="007862A2" w:rsidP="007862A2">
      <w:pPr>
        <w:pStyle w:val="PL"/>
      </w:pPr>
      <w:r>
        <w:t xml:space="preserve">        mirBwDl:</w:t>
      </w:r>
    </w:p>
    <w:p w14:paraId="4B15945A" w14:textId="77777777" w:rsidR="007862A2" w:rsidRDefault="007862A2" w:rsidP="007862A2">
      <w:pPr>
        <w:pStyle w:val="PL"/>
      </w:pPr>
      <w:r>
        <w:t xml:space="preserve">          $ref: 'TS29571_CommonData.yaml#/components/schemas/BitRate'</w:t>
      </w:r>
    </w:p>
    <w:p w14:paraId="15E91A2A" w14:textId="77777777" w:rsidR="007862A2" w:rsidRDefault="007862A2" w:rsidP="007862A2">
      <w:pPr>
        <w:pStyle w:val="PL"/>
      </w:pPr>
      <w:r>
        <w:lastRenderedPageBreak/>
        <w:t xml:space="preserve">        mirBwUl:</w:t>
      </w:r>
    </w:p>
    <w:p w14:paraId="2A9D6C17" w14:textId="77777777" w:rsidR="007862A2" w:rsidRDefault="007862A2" w:rsidP="007862A2">
      <w:pPr>
        <w:pStyle w:val="PL"/>
      </w:pPr>
      <w:r>
        <w:t xml:space="preserve">          $ref: 'TS29571_CommonData.yaml#/components/schemas/BitRate'</w:t>
      </w:r>
    </w:p>
    <w:p w14:paraId="744875FC" w14:textId="77777777" w:rsidR="007862A2" w:rsidRDefault="007862A2" w:rsidP="007862A2">
      <w:pPr>
        <w:pStyle w:val="PL"/>
      </w:pPr>
      <w:r>
        <w:t xml:space="preserve">      required:</w:t>
      </w:r>
    </w:p>
    <w:p w14:paraId="1AE33744" w14:textId="77777777" w:rsidR="007862A2" w:rsidRDefault="007862A2" w:rsidP="007862A2">
      <w:pPr>
        <w:pStyle w:val="PL"/>
      </w:pPr>
      <w:r>
        <w:t xml:space="preserve">        - appId</w:t>
      </w:r>
    </w:p>
    <w:p w14:paraId="19CBE2C7" w14:textId="77777777" w:rsidR="007862A2" w:rsidRDefault="007862A2" w:rsidP="007862A2">
      <w:pPr>
        <w:pStyle w:val="PL"/>
      </w:pPr>
    </w:p>
    <w:p w14:paraId="3DC7B32D" w14:textId="77777777" w:rsidR="007862A2" w:rsidRDefault="007862A2" w:rsidP="007862A2">
      <w:pPr>
        <w:pStyle w:val="PL"/>
      </w:pPr>
      <w:r>
        <w:t xml:space="preserve">    SliceLoadLevelInformation:</w:t>
      </w:r>
    </w:p>
    <w:p w14:paraId="313198BE" w14:textId="77777777" w:rsidR="007862A2" w:rsidRDefault="007862A2" w:rsidP="007862A2">
      <w:pPr>
        <w:pStyle w:val="PL"/>
      </w:pPr>
      <w:r>
        <w:t xml:space="preserve">      description: Contains load level information applicable for one or several slices.</w:t>
      </w:r>
    </w:p>
    <w:p w14:paraId="56BD913B" w14:textId="77777777" w:rsidR="007862A2" w:rsidRDefault="007862A2" w:rsidP="007862A2">
      <w:pPr>
        <w:pStyle w:val="PL"/>
      </w:pPr>
      <w:r>
        <w:t xml:space="preserve">      type: object</w:t>
      </w:r>
    </w:p>
    <w:p w14:paraId="417966F7" w14:textId="77777777" w:rsidR="007862A2" w:rsidRDefault="007862A2" w:rsidP="007862A2">
      <w:pPr>
        <w:pStyle w:val="PL"/>
      </w:pPr>
      <w:r>
        <w:t xml:space="preserve">      properties:</w:t>
      </w:r>
    </w:p>
    <w:p w14:paraId="696FE619" w14:textId="77777777" w:rsidR="007862A2" w:rsidRDefault="007862A2" w:rsidP="007862A2">
      <w:pPr>
        <w:pStyle w:val="PL"/>
      </w:pPr>
      <w:r>
        <w:t xml:space="preserve">        loadLevelInformation:</w:t>
      </w:r>
    </w:p>
    <w:p w14:paraId="04DB3B28" w14:textId="77777777" w:rsidR="007862A2" w:rsidRDefault="007862A2" w:rsidP="007862A2">
      <w:pPr>
        <w:pStyle w:val="PL"/>
      </w:pPr>
      <w:r>
        <w:t xml:space="preserve">          $ref: '#/components/schemas/LoadLevelInformation'</w:t>
      </w:r>
    </w:p>
    <w:p w14:paraId="69791A7C" w14:textId="77777777" w:rsidR="007862A2" w:rsidRDefault="007862A2" w:rsidP="007862A2">
      <w:pPr>
        <w:pStyle w:val="PL"/>
      </w:pPr>
      <w:r>
        <w:t xml:space="preserve">        snssais:</w:t>
      </w:r>
    </w:p>
    <w:p w14:paraId="65FA06A6" w14:textId="77777777" w:rsidR="007862A2" w:rsidRDefault="007862A2" w:rsidP="007862A2">
      <w:pPr>
        <w:pStyle w:val="PL"/>
      </w:pPr>
      <w:r>
        <w:t xml:space="preserve">          type: array</w:t>
      </w:r>
    </w:p>
    <w:p w14:paraId="43DDF4F5" w14:textId="77777777" w:rsidR="007862A2" w:rsidRDefault="007862A2" w:rsidP="007862A2">
      <w:pPr>
        <w:pStyle w:val="PL"/>
      </w:pPr>
      <w:r>
        <w:t xml:space="preserve">          items:</w:t>
      </w:r>
    </w:p>
    <w:p w14:paraId="350B2F00" w14:textId="77777777" w:rsidR="007862A2" w:rsidRDefault="007862A2" w:rsidP="007862A2">
      <w:pPr>
        <w:pStyle w:val="PL"/>
      </w:pPr>
      <w:r>
        <w:t xml:space="preserve">            $ref: 'TS29571_CommonData.yaml#/components/schemas/Snssai'</w:t>
      </w:r>
    </w:p>
    <w:p w14:paraId="0916DE3B" w14:textId="77777777" w:rsidR="007862A2" w:rsidRDefault="007862A2" w:rsidP="007862A2">
      <w:pPr>
        <w:pStyle w:val="PL"/>
      </w:pPr>
      <w:r>
        <w:t xml:space="preserve">          minItems: 1</w:t>
      </w:r>
    </w:p>
    <w:p w14:paraId="4D583EFF" w14:textId="77777777" w:rsidR="007862A2" w:rsidRDefault="007862A2" w:rsidP="007862A2">
      <w:pPr>
        <w:pStyle w:val="PL"/>
      </w:pPr>
      <w:r>
        <w:t xml:space="preserve">          description: Identification(s) of network slice to which the subscription applies.</w:t>
      </w:r>
    </w:p>
    <w:p w14:paraId="4D759401" w14:textId="77777777" w:rsidR="007862A2" w:rsidRDefault="007862A2" w:rsidP="007862A2">
      <w:pPr>
        <w:pStyle w:val="PL"/>
      </w:pPr>
      <w:r>
        <w:t xml:space="preserve">      required:</w:t>
      </w:r>
    </w:p>
    <w:p w14:paraId="32BBBC43" w14:textId="77777777" w:rsidR="007862A2" w:rsidRDefault="007862A2" w:rsidP="007862A2">
      <w:pPr>
        <w:pStyle w:val="PL"/>
      </w:pPr>
      <w:r>
        <w:t xml:space="preserve">        - loadLevelInformation</w:t>
      </w:r>
    </w:p>
    <w:p w14:paraId="67321E45" w14:textId="77777777" w:rsidR="007862A2" w:rsidRDefault="007862A2" w:rsidP="007862A2">
      <w:pPr>
        <w:pStyle w:val="PL"/>
      </w:pPr>
      <w:r>
        <w:t xml:space="preserve">        - snssais</w:t>
      </w:r>
    </w:p>
    <w:p w14:paraId="08C0254C" w14:textId="77777777" w:rsidR="007862A2" w:rsidRDefault="007862A2" w:rsidP="007862A2">
      <w:pPr>
        <w:pStyle w:val="PL"/>
      </w:pPr>
    </w:p>
    <w:p w14:paraId="4E637B1F" w14:textId="77777777" w:rsidR="007862A2" w:rsidRDefault="007862A2" w:rsidP="007862A2">
      <w:pPr>
        <w:pStyle w:val="PL"/>
      </w:pPr>
      <w:r>
        <w:t xml:space="preserve">    NsiLoadLevelInfo:</w:t>
      </w:r>
    </w:p>
    <w:p w14:paraId="59773C09" w14:textId="77777777" w:rsidR="007862A2" w:rsidRDefault="007862A2" w:rsidP="007862A2">
      <w:pPr>
        <w:pStyle w:val="PL"/>
      </w:pPr>
      <w:r>
        <w:t xml:space="preserve">      description: &gt;</w:t>
      </w:r>
    </w:p>
    <w:p w14:paraId="4E471510" w14:textId="77777777" w:rsidR="007862A2" w:rsidRDefault="007862A2" w:rsidP="007862A2">
      <w:pPr>
        <w:pStyle w:val="PL"/>
      </w:pPr>
      <w:r>
        <w:t xml:space="preserve">        Represents the network slice and optionally the associated network slice instance and the</w:t>
      </w:r>
    </w:p>
    <w:p w14:paraId="17FFE0F4" w14:textId="77777777" w:rsidR="007862A2" w:rsidRDefault="007862A2" w:rsidP="007862A2">
      <w:pPr>
        <w:pStyle w:val="PL"/>
      </w:pPr>
      <w:r>
        <w:t xml:space="preserve">        load level information.</w:t>
      </w:r>
    </w:p>
    <w:p w14:paraId="4E65B7D2" w14:textId="77777777" w:rsidR="007862A2" w:rsidRDefault="007862A2" w:rsidP="007862A2">
      <w:pPr>
        <w:pStyle w:val="PL"/>
      </w:pPr>
      <w:r>
        <w:t xml:space="preserve">      type: object</w:t>
      </w:r>
    </w:p>
    <w:p w14:paraId="2F49E28F" w14:textId="77777777" w:rsidR="007862A2" w:rsidRDefault="007862A2" w:rsidP="007862A2">
      <w:pPr>
        <w:pStyle w:val="PL"/>
      </w:pPr>
      <w:r>
        <w:t xml:space="preserve">      properties:</w:t>
      </w:r>
    </w:p>
    <w:p w14:paraId="408557AC" w14:textId="77777777" w:rsidR="007862A2" w:rsidRDefault="007862A2" w:rsidP="007862A2">
      <w:pPr>
        <w:pStyle w:val="PL"/>
      </w:pPr>
      <w:r>
        <w:t xml:space="preserve">        loadLevelInformation:</w:t>
      </w:r>
    </w:p>
    <w:p w14:paraId="56814583" w14:textId="77777777" w:rsidR="007862A2" w:rsidRDefault="007862A2" w:rsidP="007862A2">
      <w:pPr>
        <w:pStyle w:val="PL"/>
      </w:pPr>
      <w:r>
        <w:t xml:space="preserve">          $ref: '#/components/schemas/LoadLevelInformation'</w:t>
      </w:r>
    </w:p>
    <w:p w14:paraId="38549F3D" w14:textId="77777777" w:rsidR="007862A2" w:rsidRDefault="007862A2" w:rsidP="007862A2">
      <w:pPr>
        <w:pStyle w:val="PL"/>
      </w:pPr>
      <w:r>
        <w:t xml:space="preserve">        snssai:</w:t>
      </w:r>
    </w:p>
    <w:p w14:paraId="216DA92D" w14:textId="77777777" w:rsidR="007862A2" w:rsidRDefault="007862A2" w:rsidP="007862A2">
      <w:pPr>
        <w:pStyle w:val="PL"/>
      </w:pPr>
      <w:r>
        <w:t xml:space="preserve">          $ref: 'TS29571_CommonData.yaml#/components/schemas/Snssai'</w:t>
      </w:r>
    </w:p>
    <w:p w14:paraId="06FFD7CD" w14:textId="77777777" w:rsidR="007862A2" w:rsidRDefault="007862A2" w:rsidP="007862A2">
      <w:pPr>
        <w:pStyle w:val="PL"/>
      </w:pPr>
      <w:r>
        <w:t xml:space="preserve">        nsiId:</w:t>
      </w:r>
    </w:p>
    <w:p w14:paraId="20068CA5" w14:textId="77777777" w:rsidR="007862A2" w:rsidRDefault="007862A2" w:rsidP="007862A2">
      <w:pPr>
        <w:pStyle w:val="PL"/>
      </w:pPr>
      <w:r>
        <w:t xml:space="preserve">          $ref: 'TS29531_Nnssf_NSSelection.yaml#/components/schemas/NsiId'</w:t>
      </w:r>
    </w:p>
    <w:p w14:paraId="364E601F" w14:textId="77777777" w:rsidR="007862A2" w:rsidRDefault="007862A2" w:rsidP="007862A2">
      <w:pPr>
        <w:pStyle w:val="PL"/>
      </w:pPr>
      <w:r>
        <w:t xml:space="preserve">        </w:t>
      </w:r>
      <w:r>
        <w:rPr>
          <w:rFonts w:hint="eastAsia"/>
          <w:lang w:eastAsia="zh-CN"/>
        </w:rPr>
        <w:t>re</w:t>
      </w:r>
      <w:r>
        <w:rPr>
          <w:lang w:eastAsia="zh-CN"/>
        </w:rPr>
        <w:t>sUsage</w:t>
      </w:r>
      <w:r>
        <w:t>:</w:t>
      </w:r>
    </w:p>
    <w:p w14:paraId="77CA585B" w14:textId="77777777" w:rsidR="007862A2" w:rsidRDefault="007862A2" w:rsidP="007862A2">
      <w:pPr>
        <w:pStyle w:val="PL"/>
      </w:pPr>
      <w:r>
        <w:t xml:space="preserve">          $ref: '#/components/schemas/ResourceUsage'</w:t>
      </w:r>
    </w:p>
    <w:p w14:paraId="28AC85C2" w14:textId="77777777" w:rsidR="007862A2" w:rsidRDefault="007862A2" w:rsidP="007862A2">
      <w:pPr>
        <w:pStyle w:val="PL"/>
      </w:pPr>
      <w:r>
        <w:t xml:space="preserve">        </w:t>
      </w:r>
      <w:r>
        <w:rPr>
          <w:lang w:eastAsia="zh-CN"/>
        </w:rPr>
        <w:t>numOfExceedLoadLevelThr</w:t>
      </w:r>
      <w:r>
        <w:t>:</w:t>
      </w:r>
    </w:p>
    <w:p w14:paraId="7D943020" w14:textId="77777777" w:rsidR="007862A2" w:rsidRDefault="007862A2" w:rsidP="007862A2">
      <w:pPr>
        <w:pStyle w:val="PL"/>
      </w:pPr>
      <w:r>
        <w:t xml:space="preserve">          $ref: 'TS29571_CommonData.yaml#/components/schemas/Uinteger'</w:t>
      </w:r>
    </w:p>
    <w:p w14:paraId="390734DC" w14:textId="77777777" w:rsidR="007862A2" w:rsidRDefault="007862A2" w:rsidP="007862A2">
      <w:pPr>
        <w:pStyle w:val="PL"/>
      </w:pPr>
      <w:r>
        <w:t xml:space="preserve">        </w:t>
      </w:r>
      <w:r>
        <w:rPr>
          <w:lang w:eastAsia="zh-CN"/>
        </w:rPr>
        <w:t>exceedLoadLevelThrInd</w:t>
      </w:r>
      <w:r>
        <w:t>:</w:t>
      </w:r>
    </w:p>
    <w:p w14:paraId="6483B1DD" w14:textId="77777777" w:rsidR="007862A2" w:rsidRDefault="007862A2" w:rsidP="007862A2">
      <w:pPr>
        <w:pStyle w:val="PL"/>
      </w:pPr>
      <w:r>
        <w:t xml:space="preserve">          type: boolean</w:t>
      </w:r>
    </w:p>
    <w:p w14:paraId="2B4B523D" w14:textId="77777777" w:rsidR="007862A2" w:rsidRDefault="007862A2" w:rsidP="007862A2">
      <w:pPr>
        <w:pStyle w:val="PL"/>
      </w:pPr>
      <w:r>
        <w:t xml:space="preserve">          description: &gt;</w:t>
      </w:r>
    </w:p>
    <w:p w14:paraId="039EB7AB" w14:textId="77777777" w:rsidR="007862A2" w:rsidRDefault="007862A2" w:rsidP="007862A2">
      <w:pPr>
        <w:pStyle w:val="PL"/>
      </w:pPr>
      <w:r>
        <w:t xml:space="preserve">            Indicates whether the Load Level Threshold is met or exceeded by the statistics value.</w:t>
      </w:r>
    </w:p>
    <w:p w14:paraId="7AF8D5DD" w14:textId="77777777" w:rsidR="007862A2" w:rsidRDefault="007862A2" w:rsidP="007862A2">
      <w:pPr>
        <w:pStyle w:val="PL"/>
      </w:pPr>
      <w:r>
        <w:t xml:space="preserve">            Set to "true" if the Load Level Threshold is met or exceeded, otherwise set to "false".</w:t>
      </w:r>
    </w:p>
    <w:p w14:paraId="373168B6" w14:textId="77777777" w:rsidR="007862A2" w:rsidRDefault="007862A2" w:rsidP="007862A2">
      <w:pPr>
        <w:pStyle w:val="PL"/>
      </w:pPr>
      <w:r>
        <w:t xml:space="preserve">            Shall be present if one of the element in the "listOfAnaSubsets" attribute was set to</w:t>
      </w:r>
    </w:p>
    <w:p w14:paraId="7D8AD778" w14:textId="77777777" w:rsidR="007862A2" w:rsidRDefault="007862A2" w:rsidP="007862A2">
      <w:pPr>
        <w:pStyle w:val="PL"/>
      </w:pPr>
      <w:r>
        <w:t xml:space="preserve">            EXCEED_LOAD_LEVEL_THR_IND.</w:t>
      </w:r>
    </w:p>
    <w:p w14:paraId="52791020" w14:textId="77777777" w:rsidR="007862A2" w:rsidRDefault="007862A2" w:rsidP="007862A2">
      <w:pPr>
        <w:pStyle w:val="PL"/>
      </w:pPr>
      <w:r>
        <w:t xml:space="preserve">        networkArea:</w:t>
      </w:r>
    </w:p>
    <w:p w14:paraId="096C8D72" w14:textId="77777777" w:rsidR="007862A2" w:rsidRDefault="007862A2" w:rsidP="007862A2">
      <w:pPr>
        <w:pStyle w:val="PL"/>
      </w:pPr>
      <w:r>
        <w:t xml:space="preserve">          $ref: 'TS29554_Npcf_BDTPolicyControl.yaml#/components/schemas/NetworkAreaInfo'</w:t>
      </w:r>
    </w:p>
    <w:p w14:paraId="247AFE85" w14:textId="77777777" w:rsidR="007862A2" w:rsidRDefault="007862A2" w:rsidP="007862A2">
      <w:pPr>
        <w:pStyle w:val="PL"/>
      </w:pPr>
      <w:r>
        <w:t xml:space="preserve">        timePeriod:</w:t>
      </w:r>
    </w:p>
    <w:p w14:paraId="1D82FF52" w14:textId="77777777" w:rsidR="007862A2" w:rsidRDefault="007862A2" w:rsidP="007862A2">
      <w:pPr>
        <w:pStyle w:val="PL"/>
      </w:pPr>
      <w:r>
        <w:t xml:space="preserve">          $ref: 'TS29122_CommonData.yaml#/components/schemas/TimeWindow'</w:t>
      </w:r>
    </w:p>
    <w:p w14:paraId="4589BFCF" w14:textId="77777777" w:rsidR="007862A2" w:rsidRDefault="007862A2" w:rsidP="007862A2">
      <w:pPr>
        <w:pStyle w:val="PL"/>
      </w:pPr>
      <w:r>
        <w:t xml:space="preserve">        resUsgThrCrossTimePeriod:</w:t>
      </w:r>
    </w:p>
    <w:p w14:paraId="50904BEE" w14:textId="77777777" w:rsidR="007862A2" w:rsidRDefault="007862A2" w:rsidP="007862A2">
      <w:pPr>
        <w:pStyle w:val="PL"/>
      </w:pPr>
      <w:r>
        <w:t xml:space="preserve">          type: array</w:t>
      </w:r>
    </w:p>
    <w:p w14:paraId="4ABDBA3C" w14:textId="77777777" w:rsidR="007862A2" w:rsidRDefault="007862A2" w:rsidP="007862A2">
      <w:pPr>
        <w:pStyle w:val="PL"/>
      </w:pPr>
      <w:r>
        <w:t xml:space="preserve">          items:</w:t>
      </w:r>
    </w:p>
    <w:p w14:paraId="6B9E624A" w14:textId="77777777" w:rsidR="007862A2" w:rsidRDefault="007862A2" w:rsidP="007862A2">
      <w:pPr>
        <w:pStyle w:val="PL"/>
      </w:pPr>
      <w:r>
        <w:t xml:space="preserve">            $ref: 'TS29122_CommonData.yaml#/components/schemas/TimeWindow'</w:t>
      </w:r>
    </w:p>
    <w:p w14:paraId="362DB090" w14:textId="77777777" w:rsidR="007862A2" w:rsidRDefault="007862A2" w:rsidP="007862A2">
      <w:pPr>
        <w:pStyle w:val="PL"/>
      </w:pPr>
      <w:r>
        <w:t xml:space="preserve">          minItems: 1</w:t>
      </w:r>
    </w:p>
    <w:p w14:paraId="11DB4B93" w14:textId="77777777" w:rsidR="007862A2" w:rsidRDefault="007862A2" w:rsidP="007862A2">
      <w:pPr>
        <w:pStyle w:val="PL"/>
        <w:rPr>
          <w:lang w:eastAsia="zh-CN"/>
        </w:rPr>
      </w:pPr>
      <w:r>
        <w:t xml:space="preserve">          description: </w:t>
      </w:r>
      <w:r>
        <w:rPr>
          <w:lang w:eastAsia="zh-CN"/>
        </w:rPr>
        <w:t>&gt;</w:t>
      </w:r>
    </w:p>
    <w:p w14:paraId="24EEEFEA" w14:textId="77777777" w:rsidR="007862A2" w:rsidRDefault="007862A2" w:rsidP="007862A2">
      <w:pPr>
        <w:pStyle w:val="PL"/>
      </w:pPr>
      <w:r>
        <w:t xml:space="preserve">            </w:t>
      </w:r>
      <w:r>
        <w:rPr>
          <w:rFonts w:cs="Arial"/>
          <w:szCs w:val="18"/>
        </w:rPr>
        <w:t xml:space="preserve">Each element indicates the </w:t>
      </w:r>
      <w:r>
        <w:t>time elapsed between times each threshold is met or exceeded</w:t>
      </w:r>
    </w:p>
    <w:p w14:paraId="7D76AF9B" w14:textId="77777777" w:rsidR="007862A2" w:rsidRDefault="007862A2" w:rsidP="007862A2">
      <w:pPr>
        <w:pStyle w:val="PL"/>
        <w:rPr>
          <w:rFonts w:cs="Arial"/>
          <w:szCs w:val="18"/>
        </w:rPr>
      </w:pPr>
      <w:r>
        <w:t xml:space="preserve">            or crossed</w:t>
      </w:r>
      <w:r>
        <w:rPr>
          <w:rFonts w:cs="Arial"/>
          <w:szCs w:val="18"/>
        </w:rPr>
        <w:t>.</w:t>
      </w:r>
      <w:r>
        <w:t xml:space="preserve"> </w:t>
      </w:r>
      <w:r>
        <w:rPr>
          <w:rFonts w:cs="Arial"/>
          <w:szCs w:val="18"/>
        </w:rPr>
        <w:t>T</w:t>
      </w:r>
      <w:r>
        <w:rPr>
          <w:rFonts w:cs="Arial" w:hint="eastAsia"/>
          <w:szCs w:val="18"/>
          <w:lang w:eastAsia="zh-CN"/>
        </w:rPr>
        <w:t>he</w:t>
      </w:r>
      <w:r>
        <w:rPr>
          <w:rFonts w:cs="Arial"/>
          <w:szCs w:val="18"/>
        </w:rPr>
        <w:t xml:space="preserve"> start time and end time are the exact time stamps of the resource usage</w:t>
      </w:r>
    </w:p>
    <w:p w14:paraId="4D3BD813" w14:textId="77777777" w:rsidR="007862A2" w:rsidRDefault="007862A2" w:rsidP="007862A2">
      <w:pPr>
        <w:pStyle w:val="PL"/>
        <w:rPr>
          <w:rFonts w:cs="Arial"/>
          <w:szCs w:val="18"/>
        </w:rPr>
      </w:pPr>
      <w:r>
        <w:rPr>
          <w:rFonts w:cs="Arial"/>
          <w:szCs w:val="18"/>
        </w:rPr>
        <w:t xml:space="preserve">            threshold is reached or exceeded. May be present if the "listOfAnaSubsets" attribute is</w:t>
      </w:r>
    </w:p>
    <w:p w14:paraId="0BDD3A08" w14:textId="77777777" w:rsidR="007862A2" w:rsidRDefault="007862A2" w:rsidP="007862A2">
      <w:pPr>
        <w:pStyle w:val="PL"/>
        <w:rPr>
          <w:rFonts w:cs="Arial"/>
          <w:szCs w:val="18"/>
        </w:rPr>
      </w:pPr>
      <w:r>
        <w:rPr>
          <w:rFonts w:cs="Arial"/>
          <w:szCs w:val="18"/>
        </w:rPr>
        <w:t xml:space="preserve">            provided and the maximum number of instances shall not exceed the value provided in the</w:t>
      </w:r>
    </w:p>
    <w:p w14:paraId="4107F250" w14:textId="77777777" w:rsidR="007862A2" w:rsidRDefault="007862A2" w:rsidP="007862A2">
      <w:pPr>
        <w:pStyle w:val="PL"/>
      </w:pPr>
      <w:r>
        <w:rPr>
          <w:rFonts w:cs="Arial"/>
          <w:szCs w:val="18"/>
        </w:rPr>
        <w:t xml:space="preserve">            "numOfExceedLoadLevelThr" attribute.</w:t>
      </w:r>
    </w:p>
    <w:p w14:paraId="68E7C3BF" w14:textId="77777777" w:rsidR="007862A2" w:rsidRDefault="007862A2" w:rsidP="007862A2">
      <w:pPr>
        <w:pStyle w:val="PL"/>
      </w:pPr>
      <w:r>
        <w:t xml:space="preserve">        numOfUes:</w:t>
      </w:r>
    </w:p>
    <w:p w14:paraId="1E4D6AAE" w14:textId="77777777" w:rsidR="007862A2" w:rsidRDefault="007862A2" w:rsidP="007862A2">
      <w:pPr>
        <w:pStyle w:val="PL"/>
      </w:pPr>
      <w:r>
        <w:t xml:space="preserve">          $ref: '#/components/schemas/NumberAverage'</w:t>
      </w:r>
    </w:p>
    <w:p w14:paraId="1B024518" w14:textId="77777777" w:rsidR="007862A2" w:rsidRDefault="007862A2" w:rsidP="007862A2">
      <w:pPr>
        <w:pStyle w:val="PL"/>
      </w:pPr>
      <w:r>
        <w:t xml:space="preserve">        numOfPduSess:</w:t>
      </w:r>
    </w:p>
    <w:p w14:paraId="41215FD1" w14:textId="77777777" w:rsidR="007862A2" w:rsidRDefault="007862A2" w:rsidP="007862A2">
      <w:pPr>
        <w:pStyle w:val="PL"/>
      </w:pPr>
      <w:r>
        <w:t xml:space="preserve">          $ref: '#/components/schemas/NumberAverage'</w:t>
      </w:r>
    </w:p>
    <w:p w14:paraId="3865B44F" w14:textId="77777777" w:rsidR="007862A2" w:rsidRDefault="007862A2" w:rsidP="007862A2">
      <w:pPr>
        <w:pStyle w:val="PL"/>
      </w:pPr>
      <w:r>
        <w:t xml:space="preserve">        confidence:</w:t>
      </w:r>
    </w:p>
    <w:p w14:paraId="30C31D4E" w14:textId="77777777" w:rsidR="007862A2" w:rsidRDefault="007862A2" w:rsidP="007862A2">
      <w:pPr>
        <w:pStyle w:val="PL"/>
      </w:pPr>
      <w:r>
        <w:t xml:space="preserve">          $ref: 'TS29571_CommonData.yaml#/components/schemas/Uinteger'</w:t>
      </w:r>
    </w:p>
    <w:p w14:paraId="484814AC" w14:textId="77777777" w:rsidR="007862A2" w:rsidRDefault="007862A2" w:rsidP="007862A2">
      <w:pPr>
        <w:pStyle w:val="PL"/>
      </w:pPr>
      <w:r>
        <w:t xml:space="preserve">      required:</w:t>
      </w:r>
    </w:p>
    <w:p w14:paraId="104DF470" w14:textId="77777777" w:rsidR="007862A2" w:rsidRDefault="007862A2" w:rsidP="007862A2">
      <w:pPr>
        <w:pStyle w:val="PL"/>
      </w:pPr>
      <w:r>
        <w:t xml:space="preserve">        - loadLevelInformation</w:t>
      </w:r>
    </w:p>
    <w:p w14:paraId="19A71A06" w14:textId="77777777" w:rsidR="007862A2" w:rsidRDefault="007862A2" w:rsidP="007862A2">
      <w:pPr>
        <w:pStyle w:val="PL"/>
      </w:pPr>
      <w:r>
        <w:t xml:space="preserve">        - snssai</w:t>
      </w:r>
    </w:p>
    <w:p w14:paraId="3A9E0789" w14:textId="77777777" w:rsidR="007862A2" w:rsidRDefault="007862A2" w:rsidP="007862A2">
      <w:pPr>
        <w:pStyle w:val="PL"/>
      </w:pPr>
    </w:p>
    <w:p w14:paraId="5B93E4D1" w14:textId="77777777" w:rsidR="007862A2" w:rsidRDefault="007862A2" w:rsidP="007862A2">
      <w:pPr>
        <w:pStyle w:val="PL"/>
      </w:pPr>
      <w:r>
        <w:t xml:space="preserve">    NsiIdInfo:</w:t>
      </w:r>
    </w:p>
    <w:p w14:paraId="53BDFBCB" w14:textId="77777777" w:rsidR="007862A2" w:rsidRDefault="007862A2" w:rsidP="007862A2">
      <w:pPr>
        <w:pStyle w:val="PL"/>
      </w:pPr>
      <w:r>
        <w:t xml:space="preserve">      description: Represents the S-NSSAI and the optionally associated Network Slice Instance(s).</w:t>
      </w:r>
    </w:p>
    <w:p w14:paraId="3A717ABB" w14:textId="77777777" w:rsidR="007862A2" w:rsidRDefault="007862A2" w:rsidP="007862A2">
      <w:pPr>
        <w:pStyle w:val="PL"/>
      </w:pPr>
      <w:r>
        <w:t xml:space="preserve">      type: object</w:t>
      </w:r>
    </w:p>
    <w:p w14:paraId="2E7E2590" w14:textId="77777777" w:rsidR="007862A2" w:rsidRDefault="007862A2" w:rsidP="007862A2">
      <w:pPr>
        <w:pStyle w:val="PL"/>
      </w:pPr>
      <w:r>
        <w:t xml:space="preserve">      properties:</w:t>
      </w:r>
    </w:p>
    <w:p w14:paraId="3873BFAF" w14:textId="77777777" w:rsidR="007862A2" w:rsidRDefault="007862A2" w:rsidP="007862A2">
      <w:pPr>
        <w:pStyle w:val="PL"/>
      </w:pPr>
      <w:r>
        <w:t xml:space="preserve">        snssai:</w:t>
      </w:r>
    </w:p>
    <w:p w14:paraId="4B8D6328" w14:textId="77777777" w:rsidR="007862A2" w:rsidRDefault="007862A2" w:rsidP="007862A2">
      <w:pPr>
        <w:pStyle w:val="PL"/>
      </w:pPr>
      <w:r>
        <w:t xml:space="preserve">          $ref: 'TS29571_CommonData.yaml#/components/schemas/Snssai'</w:t>
      </w:r>
    </w:p>
    <w:p w14:paraId="0A21D36C" w14:textId="77777777" w:rsidR="007862A2" w:rsidRDefault="007862A2" w:rsidP="007862A2">
      <w:pPr>
        <w:pStyle w:val="PL"/>
      </w:pPr>
      <w:r>
        <w:t xml:space="preserve">        nsiIds:</w:t>
      </w:r>
    </w:p>
    <w:p w14:paraId="4EB87A33" w14:textId="77777777" w:rsidR="007862A2" w:rsidRDefault="007862A2" w:rsidP="007862A2">
      <w:pPr>
        <w:pStyle w:val="PL"/>
      </w:pPr>
      <w:r>
        <w:t xml:space="preserve">          type: array</w:t>
      </w:r>
    </w:p>
    <w:p w14:paraId="1634D790" w14:textId="77777777" w:rsidR="007862A2" w:rsidRDefault="007862A2" w:rsidP="007862A2">
      <w:pPr>
        <w:pStyle w:val="PL"/>
      </w:pPr>
      <w:r>
        <w:t xml:space="preserve">          items:</w:t>
      </w:r>
    </w:p>
    <w:p w14:paraId="043E6B69" w14:textId="77777777" w:rsidR="007862A2" w:rsidRDefault="007862A2" w:rsidP="007862A2">
      <w:pPr>
        <w:pStyle w:val="PL"/>
      </w:pPr>
      <w:r>
        <w:lastRenderedPageBreak/>
        <w:t xml:space="preserve">            $ref: 'TS29531_Nnssf_NSSelection.yaml#/components/schemas/NsiId'</w:t>
      </w:r>
    </w:p>
    <w:p w14:paraId="69AB422E" w14:textId="77777777" w:rsidR="007862A2" w:rsidRDefault="007862A2" w:rsidP="007862A2">
      <w:pPr>
        <w:pStyle w:val="PL"/>
      </w:pPr>
      <w:r>
        <w:t xml:space="preserve">          minItems: 1</w:t>
      </w:r>
    </w:p>
    <w:p w14:paraId="6A16D0E6" w14:textId="77777777" w:rsidR="007862A2" w:rsidRDefault="007862A2" w:rsidP="007862A2">
      <w:pPr>
        <w:pStyle w:val="PL"/>
      </w:pPr>
      <w:r>
        <w:t xml:space="preserve">      required:</w:t>
      </w:r>
    </w:p>
    <w:p w14:paraId="085900DE" w14:textId="77777777" w:rsidR="007862A2" w:rsidRDefault="007862A2" w:rsidP="007862A2">
      <w:pPr>
        <w:pStyle w:val="PL"/>
      </w:pPr>
      <w:r>
        <w:t xml:space="preserve">        - snssai</w:t>
      </w:r>
    </w:p>
    <w:p w14:paraId="5982FB0C" w14:textId="77777777" w:rsidR="007862A2" w:rsidRDefault="007862A2" w:rsidP="007862A2">
      <w:pPr>
        <w:pStyle w:val="PL"/>
      </w:pPr>
    </w:p>
    <w:p w14:paraId="10E5D042" w14:textId="77777777" w:rsidR="007862A2" w:rsidRDefault="007862A2" w:rsidP="007862A2">
      <w:pPr>
        <w:pStyle w:val="PL"/>
      </w:pPr>
      <w:r>
        <w:t xml:space="preserve">    EventReportingRequirement:</w:t>
      </w:r>
    </w:p>
    <w:p w14:paraId="5B731FBC" w14:textId="77777777" w:rsidR="007862A2" w:rsidRDefault="007862A2" w:rsidP="007862A2">
      <w:pPr>
        <w:pStyle w:val="PL"/>
      </w:pPr>
      <w:r>
        <w:t xml:space="preserve">      description: Represents the type of reporting that the subscription requires.</w:t>
      </w:r>
    </w:p>
    <w:p w14:paraId="6A954C21" w14:textId="77777777" w:rsidR="007862A2" w:rsidRDefault="007862A2" w:rsidP="007862A2">
      <w:pPr>
        <w:pStyle w:val="PL"/>
      </w:pPr>
      <w:r>
        <w:t xml:space="preserve">      type: object</w:t>
      </w:r>
    </w:p>
    <w:p w14:paraId="7C969036" w14:textId="77777777" w:rsidR="007862A2" w:rsidRDefault="007862A2" w:rsidP="007862A2">
      <w:pPr>
        <w:pStyle w:val="PL"/>
      </w:pPr>
      <w:r>
        <w:t xml:space="preserve">      properties:</w:t>
      </w:r>
    </w:p>
    <w:p w14:paraId="37275BFB" w14:textId="77777777" w:rsidR="007862A2" w:rsidRDefault="007862A2" w:rsidP="007862A2">
      <w:pPr>
        <w:pStyle w:val="PL"/>
      </w:pPr>
      <w:r>
        <w:t xml:space="preserve">        accuracy:</w:t>
      </w:r>
    </w:p>
    <w:p w14:paraId="7C008977" w14:textId="77777777" w:rsidR="007862A2" w:rsidRDefault="007862A2" w:rsidP="007862A2">
      <w:pPr>
        <w:pStyle w:val="PL"/>
      </w:pPr>
      <w:r>
        <w:t xml:space="preserve">          $ref: '#/components/schemas/Accuracy'</w:t>
      </w:r>
    </w:p>
    <w:p w14:paraId="3BA69FE7" w14:textId="77777777" w:rsidR="007862A2" w:rsidRDefault="007862A2" w:rsidP="007862A2">
      <w:pPr>
        <w:pStyle w:val="PL"/>
      </w:pPr>
      <w:r>
        <w:t xml:space="preserve">        </w:t>
      </w:r>
      <w:r>
        <w:rPr>
          <w:lang w:eastAsia="zh-CN"/>
        </w:rPr>
        <w:t>accPerSubset</w:t>
      </w:r>
      <w:r>
        <w:t>:</w:t>
      </w:r>
    </w:p>
    <w:p w14:paraId="02513C8F" w14:textId="77777777" w:rsidR="007862A2" w:rsidRDefault="007862A2" w:rsidP="007862A2">
      <w:pPr>
        <w:pStyle w:val="PL"/>
      </w:pPr>
      <w:r>
        <w:t xml:space="preserve">          type: array</w:t>
      </w:r>
    </w:p>
    <w:p w14:paraId="018CF30C" w14:textId="77777777" w:rsidR="007862A2" w:rsidRDefault="007862A2" w:rsidP="007862A2">
      <w:pPr>
        <w:pStyle w:val="PL"/>
      </w:pPr>
      <w:r>
        <w:t xml:space="preserve">          items:</w:t>
      </w:r>
    </w:p>
    <w:p w14:paraId="1754D693" w14:textId="77777777" w:rsidR="007862A2" w:rsidRDefault="007862A2" w:rsidP="007862A2">
      <w:pPr>
        <w:pStyle w:val="PL"/>
      </w:pPr>
      <w:r>
        <w:t xml:space="preserve">            $ref: '#/components/schemas/Accuracy'</w:t>
      </w:r>
    </w:p>
    <w:p w14:paraId="2CB88D41" w14:textId="77777777" w:rsidR="007862A2" w:rsidRDefault="007862A2" w:rsidP="007862A2">
      <w:pPr>
        <w:pStyle w:val="PL"/>
      </w:pPr>
      <w:r>
        <w:t xml:space="preserve">          minItems: 1</w:t>
      </w:r>
    </w:p>
    <w:p w14:paraId="3F0FC4BF" w14:textId="77777777" w:rsidR="007862A2" w:rsidRDefault="007862A2" w:rsidP="007862A2">
      <w:pPr>
        <w:pStyle w:val="PL"/>
        <w:rPr>
          <w:lang w:eastAsia="zh-CN"/>
        </w:rPr>
      </w:pPr>
      <w:r>
        <w:t xml:space="preserve">          description: </w:t>
      </w:r>
      <w:r>
        <w:rPr>
          <w:lang w:eastAsia="zh-CN"/>
        </w:rPr>
        <w:t>&gt;</w:t>
      </w:r>
    </w:p>
    <w:p w14:paraId="5AFBA009" w14:textId="77777777" w:rsidR="007862A2" w:rsidRDefault="007862A2" w:rsidP="007862A2">
      <w:pPr>
        <w:pStyle w:val="PL"/>
        <w:rPr>
          <w:rFonts w:cs="Arial"/>
          <w:szCs w:val="18"/>
        </w:rPr>
      </w:pPr>
      <w:r>
        <w:t xml:space="preserve">            </w:t>
      </w:r>
      <w:r>
        <w:rPr>
          <w:rFonts w:cs="Arial"/>
          <w:szCs w:val="18"/>
        </w:rPr>
        <w:t>Each element indicates the preferred accuracy level per analytics subset. It may be</w:t>
      </w:r>
    </w:p>
    <w:p w14:paraId="02377282" w14:textId="77777777" w:rsidR="007862A2" w:rsidRDefault="007862A2" w:rsidP="007862A2">
      <w:pPr>
        <w:pStyle w:val="PL"/>
        <w:rPr>
          <w:rFonts w:cs="Arial"/>
          <w:szCs w:val="18"/>
        </w:rPr>
      </w:pPr>
      <w:r>
        <w:t xml:space="preserve">            </w:t>
      </w:r>
      <w:r>
        <w:rPr>
          <w:rFonts w:cs="Arial"/>
          <w:szCs w:val="18"/>
        </w:rPr>
        <w:t>present if the "</w:t>
      </w:r>
      <w:r>
        <w:t>listOfAnaSubsets</w:t>
      </w:r>
      <w:r>
        <w:rPr>
          <w:rFonts w:cs="Arial"/>
          <w:szCs w:val="18"/>
        </w:rPr>
        <w:t>" attribute is present in the subscription request.</w:t>
      </w:r>
    </w:p>
    <w:p w14:paraId="243094A8" w14:textId="77777777" w:rsidR="007862A2" w:rsidRDefault="007862A2" w:rsidP="007862A2">
      <w:pPr>
        <w:pStyle w:val="PL"/>
      </w:pPr>
      <w:r>
        <w:t xml:space="preserve">        startTs:</w:t>
      </w:r>
    </w:p>
    <w:p w14:paraId="76C3CA0C" w14:textId="77777777" w:rsidR="007862A2" w:rsidRDefault="007862A2" w:rsidP="007862A2">
      <w:pPr>
        <w:pStyle w:val="PL"/>
      </w:pPr>
      <w:r>
        <w:t xml:space="preserve">          $ref: 'TS29571_CommonData.yaml#/components/schemas/DateTime'</w:t>
      </w:r>
    </w:p>
    <w:p w14:paraId="502B171C" w14:textId="77777777" w:rsidR="007862A2" w:rsidRDefault="007862A2" w:rsidP="007862A2">
      <w:pPr>
        <w:pStyle w:val="PL"/>
      </w:pPr>
      <w:r>
        <w:t xml:space="preserve">        endTs:</w:t>
      </w:r>
    </w:p>
    <w:p w14:paraId="2022649E" w14:textId="77777777" w:rsidR="007862A2" w:rsidRDefault="007862A2" w:rsidP="007862A2">
      <w:pPr>
        <w:pStyle w:val="PL"/>
      </w:pPr>
      <w:r>
        <w:t xml:space="preserve">          $ref: 'TS29571_CommonData.yaml#/components/schemas/DateTime'</w:t>
      </w:r>
    </w:p>
    <w:p w14:paraId="627AB3E6" w14:textId="77777777" w:rsidR="007862A2" w:rsidRDefault="007862A2" w:rsidP="007862A2">
      <w:pPr>
        <w:pStyle w:val="PL"/>
      </w:pPr>
      <w:r>
        <w:t xml:space="preserve">        offsetPeriod:</w:t>
      </w:r>
    </w:p>
    <w:p w14:paraId="185468BB" w14:textId="77777777" w:rsidR="007862A2" w:rsidRDefault="007862A2" w:rsidP="007862A2">
      <w:pPr>
        <w:pStyle w:val="PL"/>
      </w:pPr>
      <w:r>
        <w:t xml:space="preserve">          type: integer</w:t>
      </w:r>
    </w:p>
    <w:p w14:paraId="7942902B" w14:textId="77777777" w:rsidR="007862A2" w:rsidRDefault="007862A2" w:rsidP="007862A2">
      <w:pPr>
        <w:pStyle w:val="PL"/>
      </w:pPr>
      <w:r>
        <w:t xml:space="preserve">          description: &gt;</w:t>
      </w:r>
    </w:p>
    <w:p w14:paraId="09A1B158" w14:textId="77777777" w:rsidR="007862A2" w:rsidRDefault="007862A2" w:rsidP="007862A2">
      <w:pPr>
        <w:pStyle w:val="PL"/>
      </w:pPr>
      <w:r>
        <w:t xml:space="preserve">            Offset period in units of seconds to the reporting time, if the value is negative means</w:t>
      </w:r>
    </w:p>
    <w:p w14:paraId="1B1D29DA" w14:textId="77777777" w:rsidR="007862A2" w:rsidRDefault="007862A2" w:rsidP="007862A2">
      <w:pPr>
        <w:pStyle w:val="PL"/>
      </w:pPr>
      <w:r>
        <w:t xml:space="preserve">            statistics in the past offset period, otherwise a positive value means prediction in the</w:t>
      </w:r>
    </w:p>
    <w:p w14:paraId="48DB6277" w14:textId="77777777" w:rsidR="007862A2" w:rsidRDefault="007862A2" w:rsidP="007862A2">
      <w:pPr>
        <w:pStyle w:val="PL"/>
      </w:pPr>
      <w:r>
        <w:t xml:space="preserve">            future offset period. May be present if the "repPeriod" attribute is included within the</w:t>
      </w:r>
    </w:p>
    <w:p w14:paraId="235D5A01" w14:textId="77777777" w:rsidR="007862A2" w:rsidRDefault="007862A2" w:rsidP="007862A2">
      <w:pPr>
        <w:pStyle w:val="PL"/>
      </w:pPr>
      <w:r>
        <w:t xml:space="preserve">            "evtReq" attribute or the "repetitionPeriod" attribute is included within the</w:t>
      </w:r>
    </w:p>
    <w:p w14:paraId="4F52ABFC" w14:textId="77777777" w:rsidR="007862A2" w:rsidRDefault="007862A2" w:rsidP="007862A2">
      <w:pPr>
        <w:pStyle w:val="PL"/>
      </w:pPr>
      <w:r>
        <w:t xml:space="preserve">            EventSubscription type.</w:t>
      </w:r>
    </w:p>
    <w:p w14:paraId="319CB14C" w14:textId="77777777" w:rsidR="007862A2" w:rsidRDefault="007862A2" w:rsidP="007862A2">
      <w:pPr>
        <w:pStyle w:val="PL"/>
      </w:pPr>
      <w:r>
        <w:t xml:space="preserve">        sampRatio:</w:t>
      </w:r>
    </w:p>
    <w:p w14:paraId="634A86C6" w14:textId="77777777" w:rsidR="007862A2" w:rsidRDefault="007862A2" w:rsidP="007862A2">
      <w:pPr>
        <w:pStyle w:val="PL"/>
      </w:pPr>
      <w:r>
        <w:t xml:space="preserve">          $ref: 'TS29571_CommonData.yaml#/components/schemas/SamplingRatio'</w:t>
      </w:r>
    </w:p>
    <w:p w14:paraId="3D2155C9" w14:textId="77777777" w:rsidR="007862A2" w:rsidRDefault="007862A2" w:rsidP="007862A2">
      <w:pPr>
        <w:pStyle w:val="PL"/>
      </w:pPr>
      <w:r>
        <w:t xml:space="preserve">        maxObjectNbr:</w:t>
      </w:r>
    </w:p>
    <w:p w14:paraId="42E4E386" w14:textId="77777777" w:rsidR="007862A2" w:rsidRDefault="007862A2" w:rsidP="007862A2">
      <w:pPr>
        <w:pStyle w:val="PL"/>
      </w:pPr>
      <w:r>
        <w:t xml:space="preserve">          $ref: 'TS29571_CommonData.yaml#/components/schemas/Uinteger'</w:t>
      </w:r>
    </w:p>
    <w:p w14:paraId="61F96DE9" w14:textId="77777777" w:rsidR="007862A2" w:rsidRDefault="007862A2" w:rsidP="007862A2">
      <w:pPr>
        <w:pStyle w:val="PL"/>
      </w:pPr>
      <w:r>
        <w:t xml:space="preserve">        maxSupiNbr:</w:t>
      </w:r>
    </w:p>
    <w:p w14:paraId="38FA6281" w14:textId="77777777" w:rsidR="007862A2" w:rsidRDefault="007862A2" w:rsidP="007862A2">
      <w:pPr>
        <w:pStyle w:val="PL"/>
      </w:pPr>
      <w:r>
        <w:t xml:space="preserve">          $ref: 'TS29571_CommonData.yaml#/components/schemas/Uinteger'</w:t>
      </w:r>
    </w:p>
    <w:p w14:paraId="78A1C70D" w14:textId="77777777" w:rsidR="007862A2" w:rsidRDefault="007862A2" w:rsidP="007862A2">
      <w:pPr>
        <w:pStyle w:val="PL"/>
      </w:pPr>
      <w:r>
        <w:t xml:space="preserve">        timeAnaNeeded:</w:t>
      </w:r>
    </w:p>
    <w:p w14:paraId="715E35E8" w14:textId="77777777" w:rsidR="007862A2" w:rsidRDefault="007862A2" w:rsidP="007862A2">
      <w:pPr>
        <w:pStyle w:val="PL"/>
      </w:pPr>
      <w:r>
        <w:t xml:space="preserve">          $ref: 'TS29571_CommonData.yaml#/components/schemas/DateTime'</w:t>
      </w:r>
    </w:p>
    <w:p w14:paraId="4646EC9B" w14:textId="77777777" w:rsidR="007862A2" w:rsidRDefault="007862A2" w:rsidP="007862A2">
      <w:pPr>
        <w:pStyle w:val="PL"/>
      </w:pPr>
      <w:r>
        <w:t xml:space="preserve">        anaMeta:</w:t>
      </w:r>
    </w:p>
    <w:p w14:paraId="29EFE2BB" w14:textId="77777777" w:rsidR="007862A2" w:rsidRDefault="007862A2" w:rsidP="007862A2">
      <w:pPr>
        <w:pStyle w:val="PL"/>
      </w:pPr>
      <w:r>
        <w:t xml:space="preserve">          type: array</w:t>
      </w:r>
    </w:p>
    <w:p w14:paraId="72D9F367" w14:textId="77777777" w:rsidR="007862A2" w:rsidRDefault="007862A2" w:rsidP="007862A2">
      <w:pPr>
        <w:pStyle w:val="PL"/>
      </w:pPr>
      <w:r>
        <w:t xml:space="preserve">          items:</w:t>
      </w:r>
    </w:p>
    <w:p w14:paraId="2E5B9D98" w14:textId="77777777" w:rsidR="007862A2" w:rsidRDefault="007862A2" w:rsidP="007862A2">
      <w:pPr>
        <w:pStyle w:val="PL"/>
      </w:pPr>
      <w:r>
        <w:t xml:space="preserve">            $ref: '#/components/schemas/AnalyticsMetadata'</w:t>
      </w:r>
    </w:p>
    <w:p w14:paraId="0BB9AEB5" w14:textId="77777777" w:rsidR="007862A2" w:rsidRDefault="007862A2" w:rsidP="007862A2">
      <w:pPr>
        <w:pStyle w:val="PL"/>
      </w:pPr>
      <w:r>
        <w:t xml:space="preserve">          minItems: 1</w:t>
      </w:r>
    </w:p>
    <w:p w14:paraId="6D700B1A" w14:textId="77777777" w:rsidR="007862A2" w:rsidRDefault="007862A2" w:rsidP="007862A2">
      <w:pPr>
        <w:pStyle w:val="PL"/>
      </w:pPr>
      <w:r>
        <w:t xml:space="preserve">        anaMetaInd:</w:t>
      </w:r>
    </w:p>
    <w:p w14:paraId="7E66CADE" w14:textId="77777777" w:rsidR="007862A2" w:rsidRDefault="007862A2" w:rsidP="007862A2">
      <w:pPr>
        <w:pStyle w:val="PL"/>
      </w:pPr>
      <w:r>
        <w:t xml:space="preserve">          $ref: '#/components/schemas/AnalyticsMetadataIndication'</w:t>
      </w:r>
    </w:p>
    <w:p w14:paraId="4881B28A" w14:textId="77777777" w:rsidR="007862A2" w:rsidRDefault="007862A2" w:rsidP="007862A2">
      <w:pPr>
        <w:pStyle w:val="PL"/>
      </w:pPr>
      <w:r>
        <w:t xml:space="preserve">        </w:t>
      </w:r>
      <w:r>
        <w:rPr>
          <w:lang w:eastAsia="zh-CN"/>
        </w:rPr>
        <w:t>histAnaTimePeriod</w:t>
      </w:r>
      <w:r>
        <w:t>:</w:t>
      </w:r>
    </w:p>
    <w:p w14:paraId="32AB36C5" w14:textId="77777777" w:rsidR="007862A2" w:rsidRDefault="007862A2" w:rsidP="007862A2">
      <w:pPr>
        <w:pStyle w:val="PL"/>
      </w:pPr>
      <w:r>
        <w:t xml:space="preserve">          $ref: 'TS29122_CommonData.yaml#/components/schemas/TimeWindow'</w:t>
      </w:r>
    </w:p>
    <w:p w14:paraId="6D60E6D9" w14:textId="77777777" w:rsidR="007862A2" w:rsidRDefault="007862A2" w:rsidP="007862A2">
      <w:pPr>
        <w:pStyle w:val="PL"/>
      </w:pPr>
    </w:p>
    <w:p w14:paraId="39851762" w14:textId="77777777" w:rsidR="007862A2" w:rsidRDefault="007862A2" w:rsidP="007862A2">
      <w:pPr>
        <w:pStyle w:val="PL"/>
      </w:pPr>
      <w:r>
        <w:t xml:space="preserve">    TargetUeInformation:</w:t>
      </w:r>
    </w:p>
    <w:p w14:paraId="41DECA84" w14:textId="77777777" w:rsidR="007862A2" w:rsidRDefault="007862A2" w:rsidP="007862A2">
      <w:pPr>
        <w:pStyle w:val="PL"/>
      </w:pPr>
      <w:r>
        <w:t xml:space="preserve">      description: Identifies the target UE information.</w:t>
      </w:r>
    </w:p>
    <w:p w14:paraId="1B0C0179" w14:textId="77777777" w:rsidR="007862A2" w:rsidRDefault="007862A2" w:rsidP="007862A2">
      <w:pPr>
        <w:pStyle w:val="PL"/>
      </w:pPr>
      <w:r>
        <w:t xml:space="preserve">      type: object</w:t>
      </w:r>
    </w:p>
    <w:p w14:paraId="36A1386E" w14:textId="77777777" w:rsidR="007862A2" w:rsidRDefault="007862A2" w:rsidP="007862A2">
      <w:pPr>
        <w:pStyle w:val="PL"/>
      </w:pPr>
      <w:r>
        <w:t xml:space="preserve">      properties:</w:t>
      </w:r>
    </w:p>
    <w:p w14:paraId="61FE93A6" w14:textId="77777777" w:rsidR="007862A2" w:rsidRDefault="007862A2" w:rsidP="007862A2">
      <w:pPr>
        <w:pStyle w:val="PL"/>
      </w:pPr>
      <w:r>
        <w:t xml:space="preserve">        anyUe:</w:t>
      </w:r>
    </w:p>
    <w:p w14:paraId="7E733047" w14:textId="77777777" w:rsidR="007862A2" w:rsidRDefault="007862A2" w:rsidP="007862A2">
      <w:pPr>
        <w:pStyle w:val="PL"/>
      </w:pPr>
      <w:r>
        <w:t xml:space="preserve">          type: boolean</w:t>
      </w:r>
    </w:p>
    <w:p w14:paraId="240FFFFE" w14:textId="77777777" w:rsidR="007862A2" w:rsidRDefault="007862A2" w:rsidP="007862A2">
      <w:pPr>
        <w:pStyle w:val="PL"/>
        <w:rPr>
          <w:lang w:eastAsia="zh-CN"/>
        </w:rPr>
      </w:pPr>
      <w:r>
        <w:t xml:space="preserve">          description: </w:t>
      </w:r>
      <w:r>
        <w:rPr>
          <w:lang w:eastAsia="zh-CN"/>
        </w:rPr>
        <w:t>&gt;</w:t>
      </w:r>
    </w:p>
    <w:p w14:paraId="14DC71D7" w14:textId="77777777" w:rsidR="007862A2" w:rsidRDefault="007862A2" w:rsidP="007862A2">
      <w:pPr>
        <w:pStyle w:val="PL"/>
      </w:pPr>
      <w:r>
        <w:t xml:space="preserve">            Identifies any UE when setting to "true". Default value is "false" if omitted.</w:t>
      </w:r>
    </w:p>
    <w:p w14:paraId="68081248" w14:textId="77777777" w:rsidR="007862A2" w:rsidRDefault="007862A2" w:rsidP="007862A2">
      <w:pPr>
        <w:pStyle w:val="PL"/>
      </w:pPr>
      <w:r>
        <w:t xml:space="preserve">        supis:</w:t>
      </w:r>
    </w:p>
    <w:p w14:paraId="18B23172" w14:textId="77777777" w:rsidR="007862A2" w:rsidRDefault="007862A2" w:rsidP="007862A2">
      <w:pPr>
        <w:pStyle w:val="PL"/>
      </w:pPr>
      <w:r>
        <w:t xml:space="preserve">          type: array</w:t>
      </w:r>
    </w:p>
    <w:p w14:paraId="071F9B5D" w14:textId="77777777" w:rsidR="007862A2" w:rsidRDefault="007862A2" w:rsidP="007862A2">
      <w:pPr>
        <w:pStyle w:val="PL"/>
      </w:pPr>
      <w:r>
        <w:t xml:space="preserve">          items:</w:t>
      </w:r>
    </w:p>
    <w:p w14:paraId="6297F40F" w14:textId="77777777" w:rsidR="007862A2" w:rsidRDefault="007862A2" w:rsidP="007862A2">
      <w:pPr>
        <w:pStyle w:val="PL"/>
      </w:pPr>
      <w:r>
        <w:t xml:space="preserve">            $ref: 'TS29571_CommonData.yaml#/components/schemas/Supi'</w:t>
      </w:r>
    </w:p>
    <w:p w14:paraId="7A7AC2E8" w14:textId="77777777" w:rsidR="007862A2" w:rsidRDefault="007862A2" w:rsidP="007862A2">
      <w:pPr>
        <w:pStyle w:val="PL"/>
      </w:pPr>
      <w:r>
        <w:t xml:space="preserve">          minItems: 1</w:t>
      </w:r>
    </w:p>
    <w:p w14:paraId="529427DB" w14:textId="77777777" w:rsidR="007862A2" w:rsidRDefault="007862A2" w:rsidP="007862A2">
      <w:pPr>
        <w:pStyle w:val="PL"/>
      </w:pPr>
      <w:r>
        <w:t xml:space="preserve">        gpsis:</w:t>
      </w:r>
    </w:p>
    <w:p w14:paraId="18C9D3DA" w14:textId="77777777" w:rsidR="007862A2" w:rsidRDefault="007862A2" w:rsidP="007862A2">
      <w:pPr>
        <w:pStyle w:val="PL"/>
      </w:pPr>
      <w:r>
        <w:t xml:space="preserve">          type: array</w:t>
      </w:r>
    </w:p>
    <w:p w14:paraId="11D11D20" w14:textId="77777777" w:rsidR="007862A2" w:rsidRDefault="007862A2" w:rsidP="007862A2">
      <w:pPr>
        <w:pStyle w:val="PL"/>
      </w:pPr>
      <w:r>
        <w:t xml:space="preserve">          items:</w:t>
      </w:r>
    </w:p>
    <w:p w14:paraId="1E5720AE" w14:textId="77777777" w:rsidR="007862A2" w:rsidRDefault="007862A2" w:rsidP="007862A2">
      <w:pPr>
        <w:pStyle w:val="PL"/>
      </w:pPr>
      <w:r>
        <w:t xml:space="preserve">            $ref: 'TS29571_CommonData.yaml#/components/schemas/Gpsi'</w:t>
      </w:r>
    </w:p>
    <w:p w14:paraId="0F8D74B4" w14:textId="77777777" w:rsidR="007862A2" w:rsidRDefault="007862A2" w:rsidP="007862A2">
      <w:pPr>
        <w:pStyle w:val="PL"/>
      </w:pPr>
      <w:r>
        <w:t xml:space="preserve">          minItems: 1</w:t>
      </w:r>
    </w:p>
    <w:p w14:paraId="40C2C76D" w14:textId="77777777" w:rsidR="007862A2" w:rsidRDefault="007862A2" w:rsidP="007862A2">
      <w:pPr>
        <w:pStyle w:val="PL"/>
      </w:pPr>
      <w:r>
        <w:t xml:space="preserve">        intGroupIds:</w:t>
      </w:r>
    </w:p>
    <w:p w14:paraId="0B69769E" w14:textId="77777777" w:rsidR="007862A2" w:rsidRDefault="007862A2" w:rsidP="007862A2">
      <w:pPr>
        <w:pStyle w:val="PL"/>
      </w:pPr>
      <w:r>
        <w:t xml:space="preserve">          type: array</w:t>
      </w:r>
    </w:p>
    <w:p w14:paraId="67F852F4" w14:textId="77777777" w:rsidR="007862A2" w:rsidRDefault="007862A2" w:rsidP="007862A2">
      <w:pPr>
        <w:pStyle w:val="PL"/>
      </w:pPr>
      <w:r>
        <w:t xml:space="preserve">          items:</w:t>
      </w:r>
    </w:p>
    <w:p w14:paraId="3C934663" w14:textId="77777777" w:rsidR="007862A2" w:rsidRDefault="007862A2" w:rsidP="007862A2">
      <w:pPr>
        <w:pStyle w:val="PL"/>
      </w:pPr>
      <w:r>
        <w:t xml:space="preserve">            $ref: 'TS29571_CommonData.yaml#/components/schemas/GroupId'</w:t>
      </w:r>
    </w:p>
    <w:p w14:paraId="79002572" w14:textId="77777777" w:rsidR="007862A2" w:rsidRDefault="007862A2" w:rsidP="007862A2">
      <w:pPr>
        <w:pStyle w:val="PL"/>
      </w:pPr>
      <w:r>
        <w:t xml:space="preserve">          minItems: 1</w:t>
      </w:r>
    </w:p>
    <w:p w14:paraId="15A96C52" w14:textId="77777777" w:rsidR="007862A2" w:rsidRDefault="007862A2" w:rsidP="007862A2">
      <w:pPr>
        <w:pStyle w:val="PL"/>
      </w:pPr>
    </w:p>
    <w:p w14:paraId="1FAD3A77" w14:textId="77777777" w:rsidR="007862A2" w:rsidRDefault="007862A2" w:rsidP="007862A2">
      <w:pPr>
        <w:pStyle w:val="PL"/>
      </w:pPr>
      <w:r>
        <w:t xml:space="preserve">    UeMobility:</w:t>
      </w:r>
    </w:p>
    <w:p w14:paraId="53A8B54E" w14:textId="77777777" w:rsidR="007862A2" w:rsidRDefault="007862A2" w:rsidP="007862A2">
      <w:pPr>
        <w:pStyle w:val="PL"/>
      </w:pPr>
      <w:r>
        <w:t xml:space="preserve">      description: Represents UE mobility information.</w:t>
      </w:r>
    </w:p>
    <w:p w14:paraId="0A405585" w14:textId="77777777" w:rsidR="007862A2" w:rsidRDefault="007862A2" w:rsidP="007862A2">
      <w:pPr>
        <w:pStyle w:val="PL"/>
      </w:pPr>
      <w:r>
        <w:t xml:space="preserve">      type: object</w:t>
      </w:r>
    </w:p>
    <w:p w14:paraId="611D7D2C" w14:textId="77777777" w:rsidR="007862A2" w:rsidRDefault="007862A2" w:rsidP="007862A2">
      <w:pPr>
        <w:pStyle w:val="PL"/>
      </w:pPr>
      <w:r>
        <w:t xml:space="preserve">      properties:</w:t>
      </w:r>
    </w:p>
    <w:p w14:paraId="4357E11E" w14:textId="77777777" w:rsidR="007862A2" w:rsidRDefault="007862A2" w:rsidP="007862A2">
      <w:pPr>
        <w:pStyle w:val="PL"/>
      </w:pPr>
      <w:r>
        <w:t xml:space="preserve">        ts:</w:t>
      </w:r>
    </w:p>
    <w:p w14:paraId="1D641777" w14:textId="77777777" w:rsidR="007862A2" w:rsidRDefault="007862A2" w:rsidP="007862A2">
      <w:pPr>
        <w:pStyle w:val="PL"/>
      </w:pPr>
      <w:r>
        <w:lastRenderedPageBreak/>
        <w:t xml:space="preserve">          $ref: 'TS29571_CommonData.yaml#/components/schemas/DateTime'</w:t>
      </w:r>
    </w:p>
    <w:p w14:paraId="23E4E25C" w14:textId="77777777" w:rsidR="007862A2" w:rsidRDefault="007862A2" w:rsidP="007862A2">
      <w:pPr>
        <w:pStyle w:val="PL"/>
      </w:pPr>
      <w:r>
        <w:t xml:space="preserve">        recurringTime:</w:t>
      </w:r>
    </w:p>
    <w:p w14:paraId="1ECCAAC2" w14:textId="77777777" w:rsidR="007862A2" w:rsidRDefault="007862A2" w:rsidP="007862A2">
      <w:pPr>
        <w:pStyle w:val="PL"/>
      </w:pPr>
      <w:r>
        <w:t xml:space="preserve">          $ref: 'TS29122_CpProvisioning.yaml#/components/schemas/ScheduledCommunicationTime'</w:t>
      </w:r>
    </w:p>
    <w:p w14:paraId="2CBF84F5" w14:textId="77777777" w:rsidR="007862A2" w:rsidRDefault="007862A2" w:rsidP="007862A2">
      <w:pPr>
        <w:pStyle w:val="PL"/>
      </w:pPr>
      <w:r>
        <w:t xml:space="preserve">        duration:</w:t>
      </w:r>
    </w:p>
    <w:p w14:paraId="4A5C727C" w14:textId="77777777" w:rsidR="007862A2" w:rsidRDefault="007862A2" w:rsidP="007862A2">
      <w:pPr>
        <w:pStyle w:val="PL"/>
      </w:pPr>
      <w:r>
        <w:t xml:space="preserve">          $ref: 'TS29571_CommonData.yaml#/components/schemas/DurationSec'</w:t>
      </w:r>
    </w:p>
    <w:p w14:paraId="57A0E3D3" w14:textId="77777777" w:rsidR="007862A2" w:rsidRDefault="007862A2" w:rsidP="007862A2">
      <w:pPr>
        <w:pStyle w:val="PL"/>
      </w:pPr>
      <w:r>
        <w:t xml:space="preserve">        durationVariance:</w:t>
      </w:r>
    </w:p>
    <w:p w14:paraId="5250FB41" w14:textId="77777777" w:rsidR="007862A2" w:rsidRDefault="007862A2" w:rsidP="007862A2">
      <w:pPr>
        <w:pStyle w:val="PL"/>
      </w:pPr>
      <w:r>
        <w:t xml:space="preserve">          $ref: 'TS29571_CommonData.yaml#/components/schemas/Float'</w:t>
      </w:r>
    </w:p>
    <w:p w14:paraId="07C3D225" w14:textId="77777777" w:rsidR="007862A2" w:rsidRDefault="007862A2" w:rsidP="007862A2">
      <w:pPr>
        <w:pStyle w:val="PL"/>
      </w:pPr>
      <w:r>
        <w:t xml:space="preserve">        locInfos:</w:t>
      </w:r>
    </w:p>
    <w:p w14:paraId="7E618DA2" w14:textId="77777777" w:rsidR="007862A2" w:rsidRDefault="007862A2" w:rsidP="007862A2">
      <w:pPr>
        <w:pStyle w:val="PL"/>
      </w:pPr>
      <w:r>
        <w:t xml:space="preserve">          type: array</w:t>
      </w:r>
    </w:p>
    <w:p w14:paraId="7F8388E4" w14:textId="77777777" w:rsidR="007862A2" w:rsidRDefault="007862A2" w:rsidP="007862A2">
      <w:pPr>
        <w:pStyle w:val="PL"/>
      </w:pPr>
      <w:r>
        <w:t xml:space="preserve">          items:</w:t>
      </w:r>
    </w:p>
    <w:p w14:paraId="74279B92" w14:textId="77777777" w:rsidR="007862A2" w:rsidRDefault="007862A2" w:rsidP="007862A2">
      <w:pPr>
        <w:pStyle w:val="PL"/>
      </w:pPr>
      <w:r>
        <w:t xml:space="preserve">            $ref: '#/components/schemas/LocationInfo'</w:t>
      </w:r>
    </w:p>
    <w:p w14:paraId="2E881CE9" w14:textId="77777777" w:rsidR="007862A2" w:rsidRDefault="007862A2" w:rsidP="007862A2">
      <w:pPr>
        <w:pStyle w:val="PL"/>
      </w:pPr>
      <w:r>
        <w:t xml:space="preserve">          minItems: 1</w:t>
      </w:r>
    </w:p>
    <w:p w14:paraId="36C9EDA3" w14:textId="77777777" w:rsidR="007862A2" w:rsidRDefault="007862A2" w:rsidP="007862A2">
      <w:pPr>
        <w:pStyle w:val="PL"/>
        <w:rPr>
          <w:lang w:eastAsia="zh-CN"/>
        </w:rPr>
      </w:pPr>
      <w:r>
        <w:t xml:space="preserve">        </w:t>
      </w:r>
      <w:r>
        <w:rPr>
          <w:lang w:eastAsia="zh-CN"/>
        </w:rPr>
        <w:t>directionInfos:</w:t>
      </w:r>
    </w:p>
    <w:p w14:paraId="7BAE5BA1" w14:textId="77777777" w:rsidR="007862A2" w:rsidRDefault="007862A2" w:rsidP="007862A2">
      <w:pPr>
        <w:pStyle w:val="PL"/>
      </w:pPr>
      <w:r>
        <w:t xml:space="preserve">          type: array</w:t>
      </w:r>
    </w:p>
    <w:p w14:paraId="6AFE3263" w14:textId="77777777" w:rsidR="007862A2" w:rsidRDefault="007862A2" w:rsidP="007862A2">
      <w:pPr>
        <w:pStyle w:val="PL"/>
      </w:pPr>
      <w:r>
        <w:t xml:space="preserve">          items:</w:t>
      </w:r>
    </w:p>
    <w:p w14:paraId="34DFE665" w14:textId="77777777" w:rsidR="007862A2" w:rsidRDefault="007862A2" w:rsidP="007862A2">
      <w:pPr>
        <w:pStyle w:val="PL"/>
      </w:pPr>
      <w:r>
        <w:t xml:space="preserve">            $ref: '#/components/schemas/DirectionInfo'</w:t>
      </w:r>
    </w:p>
    <w:p w14:paraId="0C966FDC" w14:textId="77777777" w:rsidR="007862A2" w:rsidRDefault="007862A2" w:rsidP="007862A2">
      <w:pPr>
        <w:pStyle w:val="PL"/>
      </w:pPr>
      <w:r>
        <w:t xml:space="preserve">          minItems: 1</w:t>
      </w:r>
    </w:p>
    <w:p w14:paraId="024E031F" w14:textId="77777777" w:rsidR="007862A2" w:rsidRDefault="007862A2" w:rsidP="007862A2">
      <w:pPr>
        <w:pStyle w:val="PL"/>
      </w:pPr>
      <w:r>
        <w:t xml:space="preserve">      allOf:</w:t>
      </w:r>
    </w:p>
    <w:p w14:paraId="05DA7895" w14:textId="77777777" w:rsidR="007862A2" w:rsidRDefault="007862A2" w:rsidP="007862A2">
      <w:pPr>
        <w:pStyle w:val="PL"/>
      </w:pPr>
      <w:r>
        <w:t xml:space="preserve">        - required: [duration]</w:t>
      </w:r>
    </w:p>
    <w:p w14:paraId="2950A813" w14:textId="77777777" w:rsidR="007862A2" w:rsidRDefault="007862A2" w:rsidP="007862A2">
      <w:pPr>
        <w:pStyle w:val="PL"/>
      </w:pPr>
      <w:r>
        <w:t xml:space="preserve">        - required: [locInfos]</w:t>
      </w:r>
    </w:p>
    <w:p w14:paraId="164CB75D" w14:textId="77777777" w:rsidR="007862A2" w:rsidRDefault="007862A2" w:rsidP="007862A2">
      <w:pPr>
        <w:pStyle w:val="PL"/>
        <w:rPr>
          <w:lang w:eastAsia="zh-CN"/>
        </w:rPr>
      </w:pPr>
      <w:r>
        <w:rPr>
          <w:lang w:eastAsia="zh-CN"/>
        </w:rPr>
        <w:t xml:space="preserve">     </w:t>
      </w:r>
      <w:r>
        <w:t xml:space="preserve">  </w:t>
      </w:r>
      <w:r>
        <w:rPr>
          <w:lang w:eastAsia="zh-CN"/>
        </w:rPr>
        <w:t xml:space="preserve"> </w:t>
      </w:r>
      <w:r>
        <w:t xml:space="preserve">- </w:t>
      </w:r>
      <w:r>
        <w:rPr>
          <w:lang w:eastAsia="zh-CN"/>
        </w:rPr>
        <w:t>oneOf:</w:t>
      </w:r>
    </w:p>
    <w:p w14:paraId="1823268B" w14:textId="77777777" w:rsidR="007862A2" w:rsidRDefault="007862A2" w:rsidP="007862A2">
      <w:pPr>
        <w:pStyle w:val="PL"/>
      </w:pPr>
      <w:r>
        <w:t xml:space="preserve">          - required: [ts]</w:t>
      </w:r>
    </w:p>
    <w:p w14:paraId="178A63B9" w14:textId="77777777" w:rsidR="007862A2" w:rsidRDefault="007862A2" w:rsidP="007862A2">
      <w:pPr>
        <w:pStyle w:val="PL"/>
      </w:pPr>
      <w:r>
        <w:t xml:space="preserve">          - required: [recurringTime]</w:t>
      </w:r>
    </w:p>
    <w:p w14:paraId="33207B66" w14:textId="77777777" w:rsidR="007862A2" w:rsidRDefault="007862A2" w:rsidP="007862A2">
      <w:pPr>
        <w:pStyle w:val="PL"/>
      </w:pPr>
    </w:p>
    <w:p w14:paraId="002AC952" w14:textId="77777777" w:rsidR="007862A2" w:rsidRDefault="007862A2" w:rsidP="007862A2">
      <w:pPr>
        <w:pStyle w:val="PL"/>
      </w:pPr>
      <w:r>
        <w:t xml:space="preserve">    LocationInfo:</w:t>
      </w:r>
    </w:p>
    <w:p w14:paraId="0479EEAD" w14:textId="77777777" w:rsidR="007862A2" w:rsidRDefault="007862A2" w:rsidP="007862A2">
      <w:pPr>
        <w:pStyle w:val="PL"/>
      </w:pPr>
      <w:r>
        <w:t xml:space="preserve">      description: Represents UE location information.</w:t>
      </w:r>
    </w:p>
    <w:p w14:paraId="54C60E32" w14:textId="77777777" w:rsidR="007862A2" w:rsidRDefault="007862A2" w:rsidP="007862A2">
      <w:pPr>
        <w:pStyle w:val="PL"/>
      </w:pPr>
      <w:r>
        <w:t xml:space="preserve">      type: object</w:t>
      </w:r>
    </w:p>
    <w:p w14:paraId="4D1B6C3A" w14:textId="77777777" w:rsidR="007862A2" w:rsidRDefault="007862A2" w:rsidP="007862A2">
      <w:pPr>
        <w:pStyle w:val="PL"/>
      </w:pPr>
      <w:r>
        <w:t xml:space="preserve">      properties:</w:t>
      </w:r>
    </w:p>
    <w:p w14:paraId="3013D718" w14:textId="77777777" w:rsidR="007862A2" w:rsidRDefault="007862A2" w:rsidP="007862A2">
      <w:pPr>
        <w:pStyle w:val="PL"/>
      </w:pPr>
      <w:r>
        <w:t xml:space="preserve">        loc:</w:t>
      </w:r>
    </w:p>
    <w:p w14:paraId="042F8E63" w14:textId="77777777" w:rsidR="007862A2" w:rsidRDefault="007862A2" w:rsidP="007862A2">
      <w:pPr>
        <w:pStyle w:val="PL"/>
      </w:pPr>
      <w:r>
        <w:t xml:space="preserve">          $ref: 'TS29571_CommonData.yaml#/components/schemas/UserLocation'</w:t>
      </w:r>
    </w:p>
    <w:p w14:paraId="2F761733" w14:textId="77777777" w:rsidR="007862A2" w:rsidRDefault="007862A2" w:rsidP="007862A2">
      <w:pPr>
        <w:pStyle w:val="PL"/>
      </w:pPr>
      <w:r>
        <w:t xml:space="preserve">        </w:t>
      </w:r>
      <w:r>
        <w:rPr>
          <w:lang w:eastAsia="zh-CN"/>
        </w:rPr>
        <w:t>geoLoc</w:t>
      </w:r>
      <w:r>
        <w:t>:</w:t>
      </w:r>
    </w:p>
    <w:p w14:paraId="6064D1F2" w14:textId="77777777" w:rsidR="007862A2" w:rsidRDefault="007862A2" w:rsidP="007862A2">
      <w:pPr>
        <w:pStyle w:val="PL"/>
      </w:pPr>
      <w:r>
        <w:t xml:space="preserve">          </w:t>
      </w:r>
      <w:r>
        <w:rPr>
          <w:rFonts w:cs="Courier New"/>
          <w:szCs w:val="16"/>
        </w:rPr>
        <w:t>$ref: 'TS29522_AMPolicyAuthorization.yaml#/components/schemas/GeographicalArea'</w:t>
      </w:r>
    </w:p>
    <w:p w14:paraId="16D729A0" w14:textId="77777777" w:rsidR="007862A2" w:rsidRDefault="007862A2" w:rsidP="007862A2">
      <w:pPr>
        <w:pStyle w:val="PL"/>
      </w:pPr>
      <w:r>
        <w:t xml:space="preserve">        ratio:</w:t>
      </w:r>
    </w:p>
    <w:p w14:paraId="5764AA80" w14:textId="77777777" w:rsidR="007862A2" w:rsidRDefault="007862A2" w:rsidP="007862A2">
      <w:pPr>
        <w:pStyle w:val="PL"/>
      </w:pPr>
      <w:r>
        <w:t xml:space="preserve">          $ref: 'TS29571_CommonData.yaml#/components/schemas/SamplingRatio'</w:t>
      </w:r>
    </w:p>
    <w:p w14:paraId="4BEDE65D" w14:textId="77777777" w:rsidR="007862A2" w:rsidRDefault="007862A2" w:rsidP="007862A2">
      <w:pPr>
        <w:pStyle w:val="PL"/>
      </w:pPr>
      <w:r>
        <w:t xml:space="preserve">        confidence:</w:t>
      </w:r>
    </w:p>
    <w:p w14:paraId="00AB4CEA" w14:textId="77777777" w:rsidR="007862A2" w:rsidRDefault="007862A2" w:rsidP="007862A2">
      <w:pPr>
        <w:pStyle w:val="PL"/>
      </w:pPr>
      <w:r>
        <w:t xml:space="preserve">          $ref: 'TS29571_CommonData.yaml#/components/schemas/Uinteger'</w:t>
      </w:r>
    </w:p>
    <w:p w14:paraId="46B2594A" w14:textId="77777777" w:rsidR="007862A2" w:rsidRDefault="007862A2" w:rsidP="007862A2">
      <w:pPr>
        <w:pStyle w:val="PL"/>
      </w:pPr>
      <w:r>
        <w:t xml:space="preserve">        geoDistrInfos:</w:t>
      </w:r>
    </w:p>
    <w:p w14:paraId="43185323" w14:textId="77777777" w:rsidR="007862A2" w:rsidRDefault="007862A2" w:rsidP="007862A2">
      <w:pPr>
        <w:pStyle w:val="PL"/>
      </w:pPr>
      <w:r>
        <w:t xml:space="preserve">          type: array</w:t>
      </w:r>
    </w:p>
    <w:p w14:paraId="173A3032" w14:textId="77777777" w:rsidR="007862A2" w:rsidRDefault="007862A2" w:rsidP="007862A2">
      <w:pPr>
        <w:pStyle w:val="PL"/>
      </w:pPr>
      <w:r>
        <w:t xml:space="preserve">          items:</w:t>
      </w:r>
    </w:p>
    <w:p w14:paraId="2E57B6C5" w14:textId="77777777" w:rsidR="007862A2" w:rsidRDefault="007862A2" w:rsidP="007862A2">
      <w:pPr>
        <w:pStyle w:val="PL"/>
      </w:pPr>
      <w:r>
        <w:t xml:space="preserve">            $ref: '#/components/schemas/</w:t>
      </w:r>
      <w:r>
        <w:rPr>
          <w:lang w:eastAsia="zh-CN"/>
        </w:rPr>
        <w:t>GeoDistributionInfo</w:t>
      </w:r>
      <w:r>
        <w:t>'</w:t>
      </w:r>
    </w:p>
    <w:p w14:paraId="760B7DC7" w14:textId="77777777" w:rsidR="007862A2" w:rsidRDefault="007862A2" w:rsidP="007862A2">
      <w:pPr>
        <w:pStyle w:val="PL"/>
      </w:pPr>
      <w:r>
        <w:t xml:space="preserve">          minItems: 1</w:t>
      </w:r>
    </w:p>
    <w:p w14:paraId="31E52FCF" w14:textId="77777777" w:rsidR="007862A2" w:rsidRDefault="007862A2" w:rsidP="007862A2">
      <w:pPr>
        <w:pStyle w:val="PL"/>
      </w:pPr>
      <w:r>
        <w:t xml:space="preserve">        </w:t>
      </w:r>
      <w:r>
        <w:rPr>
          <w:rFonts w:hint="eastAsia"/>
          <w:lang w:eastAsia="zh-CN"/>
        </w:rPr>
        <w:t>d</w:t>
      </w:r>
      <w:r>
        <w:rPr>
          <w:lang w:eastAsia="zh-CN"/>
        </w:rPr>
        <w:t>istThreshold</w:t>
      </w:r>
      <w:r>
        <w:t>:</w:t>
      </w:r>
    </w:p>
    <w:p w14:paraId="4067DD0F" w14:textId="77777777" w:rsidR="007862A2" w:rsidRDefault="007862A2" w:rsidP="007862A2">
      <w:pPr>
        <w:pStyle w:val="PL"/>
      </w:pPr>
      <w:r>
        <w:t xml:space="preserve">          $ref: 'TS29571_CommonData.yaml#/components/schemas/Uinteger'</w:t>
      </w:r>
    </w:p>
    <w:p w14:paraId="6B985F83" w14:textId="77777777" w:rsidR="007862A2" w:rsidRDefault="007862A2" w:rsidP="007862A2">
      <w:pPr>
        <w:pStyle w:val="PL"/>
      </w:pPr>
      <w:r>
        <w:t xml:space="preserve">      required:</w:t>
      </w:r>
    </w:p>
    <w:p w14:paraId="4F952757" w14:textId="77777777" w:rsidR="007862A2" w:rsidRDefault="007862A2" w:rsidP="007862A2">
      <w:pPr>
        <w:pStyle w:val="PL"/>
      </w:pPr>
      <w:r>
        <w:t xml:space="preserve">        - loc</w:t>
      </w:r>
    </w:p>
    <w:p w14:paraId="28130D19" w14:textId="77777777" w:rsidR="007862A2" w:rsidRDefault="007862A2" w:rsidP="007862A2">
      <w:pPr>
        <w:pStyle w:val="PL"/>
      </w:pPr>
    </w:p>
    <w:p w14:paraId="7DEA3F69" w14:textId="77777777" w:rsidR="007862A2" w:rsidRDefault="007862A2" w:rsidP="007862A2">
      <w:pPr>
        <w:pStyle w:val="PL"/>
      </w:pPr>
      <w:r>
        <w:t xml:space="preserve">    DirectionInfo:</w:t>
      </w:r>
    </w:p>
    <w:p w14:paraId="1E8F9C5A" w14:textId="77777777" w:rsidR="007862A2" w:rsidRDefault="007862A2" w:rsidP="007862A2">
      <w:pPr>
        <w:pStyle w:val="PL"/>
      </w:pPr>
      <w:r>
        <w:t xml:space="preserve">      description: Represents the </w:t>
      </w:r>
      <w:r>
        <w:rPr>
          <w:rFonts w:cs="Arial"/>
          <w:szCs w:val="18"/>
          <w:lang w:eastAsia="zh-CN"/>
        </w:rPr>
        <w:t>UE direction information</w:t>
      </w:r>
      <w:r>
        <w:t>.</w:t>
      </w:r>
    </w:p>
    <w:p w14:paraId="066DF041" w14:textId="77777777" w:rsidR="007862A2" w:rsidRDefault="007862A2" w:rsidP="007862A2">
      <w:pPr>
        <w:pStyle w:val="PL"/>
      </w:pPr>
      <w:r>
        <w:t xml:space="preserve">      type: object</w:t>
      </w:r>
    </w:p>
    <w:p w14:paraId="42A6B2FF" w14:textId="77777777" w:rsidR="007862A2" w:rsidRDefault="007862A2" w:rsidP="007862A2">
      <w:pPr>
        <w:pStyle w:val="PL"/>
      </w:pPr>
      <w:r>
        <w:t xml:space="preserve">      properties:</w:t>
      </w:r>
    </w:p>
    <w:p w14:paraId="102DC21F" w14:textId="77777777" w:rsidR="007862A2" w:rsidRDefault="007862A2" w:rsidP="007862A2">
      <w:pPr>
        <w:pStyle w:val="PL"/>
      </w:pPr>
      <w:r>
        <w:t xml:space="preserve">        supi:</w:t>
      </w:r>
    </w:p>
    <w:p w14:paraId="467CDECD" w14:textId="77777777" w:rsidR="007862A2" w:rsidRDefault="007862A2" w:rsidP="007862A2">
      <w:pPr>
        <w:pStyle w:val="PL"/>
      </w:pPr>
      <w:r>
        <w:t xml:space="preserve">          $ref: 'TS29571_CommonData.yaml#/components/schemas/Supi'</w:t>
      </w:r>
    </w:p>
    <w:p w14:paraId="3F7C3983" w14:textId="77777777" w:rsidR="007862A2" w:rsidRDefault="007862A2" w:rsidP="007862A2">
      <w:pPr>
        <w:pStyle w:val="PL"/>
      </w:pPr>
      <w:r>
        <w:t xml:space="preserve">        gpsi:</w:t>
      </w:r>
    </w:p>
    <w:p w14:paraId="1BB724AB" w14:textId="77777777" w:rsidR="007862A2" w:rsidRDefault="007862A2" w:rsidP="007862A2">
      <w:pPr>
        <w:pStyle w:val="PL"/>
      </w:pPr>
      <w:r>
        <w:t xml:space="preserve">          $ref: 'TS29571_CommonData.yaml#/components/schemas/Gpsi'</w:t>
      </w:r>
    </w:p>
    <w:p w14:paraId="5C0671F0" w14:textId="77777777" w:rsidR="007862A2" w:rsidRDefault="007862A2" w:rsidP="007862A2">
      <w:pPr>
        <w:pStyle w:val="PL"/>
      </w:pPr>
      <w:r>
        <w:t xml:space="preserve">        numOf</w:t>
      </w:r>
      <w:r>
        <w:rPr>
          <w:lang w:eastAsia="zh-CN"/>
        </w:rPr>
        <w:t>Ue</w:t>
      </w:r>
      <w:r>
        <w:t>:</w:t>
      </w:r>
    </w:p>
    <w:p w14:paraId="7E4DD867" w14:textId="77777777" w:rsidR="007862A2" w:rsidRDefault="007862A2" w:rsidP="007862A2">
      <w:pPr>
        <w:pStyle w:val="PL"/>
      </w:pPr>
      <w:r>
        <w:t xml:space="preserve">          $ref: 'TS29571_CommonData.yaml#/components/schemas/Uinteger'</w:t>
      </w:r>
    </w:p>
    <w:p w14:paraId="0B73EDEB" w14:textId="77777777" w:rsidR="007862A2" w:rsidRDefault="007862A2" w:rsidP="007862A2">
      <w:pPr>
        <w:pStyle w:val="PL"/>
        <w:rPr>
          <w:lang w:eastAsia="zh-CN"/>
        </w:rPr>
      </w:pPr>
      <w:r>
        <w:t xml:space="preserve">        </w:t>
      </w:r>
      <w:r>
        <w:rPr>
          <w:lang w:eastAsia="zh-CN"/>
        </w:rPr>
        <w:t>avrSpeed:</w:t>
      </w:r>
    </w:p>
    <w:p w14:paraId="797B05A4" w14:textId="77777777" w:rsidR="007862A2" w:rsidRDefault="007862A2" w:rsidP="007862A2">
      <w:pPr>
        <w:pStyle w:val="PL"/>
      </w:pPr>
      <w:r>
        <w:t xml:space="preserve">          $ref: 'TS29571_CommonData.yaml#/components/schemas/Float'</w:t>
      </w:r>
    </w:p>
    <w:p w14:paraId="7F946A66" w14:textId="77777777" w:rsidR="007862A2" w:rsidRDefault="007862A2" w:rsidP="007862A2">
      <w:pPr>
        <w:pStyle w:val="PL"/>
      </w:pPr>
      <w:r>
        <w:t xml:space="preserve">        ratio:</w:t>
      </w:r>
    </w:p>
    <w:p w14:paraId="7BC2B4C6" w14:textId="77777777" w:rsidR="007862A2" w:rsidRDefault="007862A2" w:rsidP="007862A2">
      <w:pPr>
        <w:pStyle w:val="PL"/>
      </w:pPr>
      <w:r>
        <w:t xml:space="preserve">          $ref: 'TS29571_CommonData.yaml#/components/schemas/SamplingRatio'</w:t>
      </w:r>
    </w:p>
    <w:p w14:paraId="779E1B85" w14:textId="77777777" w:rsidR="007862A2" w:rsidRDefault="007862A2" w:rsidP="007862A2">
      <w:pPr>
        <w:pStyle w:val="PL"/>
      </w:pPr>
      <w:r>
        <w:t xml:space="preserve">        direction:</w:t>
      </w:r>
    </w:p>
    <w:p w14:paraId="0792A672" w14:textId="77777777" w:rsidR="007862A2" w:rsidRDefault="007862A2" w:rsidP="007862A2">
      <w:pPr>
        <w:pStyle w:val="PL"/>
      </w:pPr>
      <w:r>
        <w:t xml:space="preserve">          $ref: '#/components/schemas/Direction'</w:t>
      </w:r>
    </w:p>
    <w:p w14:paraId="200810E6" w14:textId="77777777" w:rsidR="007862A2" w:rsidRDefault="007862A2" w:rsidP="007862A2">
      <w:pPr>
        <w:pStyle w:val="PL"/>
      </w:pPr>
      <w:r>
        <w:t xml:space="preserve">      required:</w:t>
      </w:r>
    </w:p>
    <w:p w14:paraId="707D04D8" w14:textId="77777777" w:rsidR="007862A2" w:rsidRDefault="007862A2" w:rsidP="007862A2">
      <w:pPr>
        <w:pStyle w:val="PL"/>
      </w:pPr>
      <w:r>
        <w:t xml:space="preserve">        - direction</w:t>
      </w:r>
    </w:p>
    <w:p w14:paraId="072FC2A4" w14:textId="77777777" w:rsidR="007862A2" w:rsidRDefault="007862A2" w:rsidP="007862A2">
      <w:pPr>
        <w:pStyle w:val="PL"/>
      </w:pPr>
      <w:r>
        <w:t xml:space="preserve">      oneOf:</w:t>
      </w:r>
    </w:p>
    <w:p w14:paraId="4E4ABDE8" w14:textId="77777777" w:rsidR="007862A2" w:rsidRDefault="007862A2" w:rsidP="007862A2">
      <w:pPr>
        <w:pStyle w:val="PL"/>
      </w:pPr>
      <w:r>
        <w:t xml:space="preserve">        - required: [supi]</w:t>
      </w:r>
    </w:p>
    <w:p w14:paraId="24644D31" w14:textId="77777777" w:rsidR="007862A2" w:rsidRDefault="007862A2" w:rsidP="007862A2">
      <w:pPr>
        <w:pStyle w:val="PL"/>
      </w:pPr>
      <w:r>
        <w:t xml:space="preserve">        - required: [gpsi]</w:t>
      </w:r>
    </w:p>
    <w:p w14:paraId="36F21776" w14:textId="77777777" w:rsidR="007862A2" w:rsidRDefault="007862A2" w:rsidP="007862A2">
      <w:pPr>
        <w:pStyle w:val="PL"/>
      </w:pPr>
    </w:p>
    <w:p w14:paraId="007AC85D" w14:textId="77777777" w:rsidR="007862A2" w:rsidRDefault="007862A2" w:rsidP="007862A2">
      <w:pPr>
        <w:pStyle w:val="PL"/>
      </w:pPr>
      <w:r>
        <w:t xml:space="preserve">    </w:t>
      </w:r>
      <w:r>
        <w:rPr>
          <w:lang w:eastAsia="zh-CN"/>
        </w:rPr>
        <w:t>GeoDistributionInfo</w:t>
      </w:r>
      <w:r>
        <w:t>:</w:t>
      </w:r>
    </w:p>
    <w:p w14:paraId="016537A2" w14:textId="77777777" w:rsidR="007862A2" w:rsidRDefault="007862A2" w:rsidP="007862A2">
      <w:pPr>
        <w:pStyle w:val="PL"/>
      </w:pPr>
      <w:r>
        <w:t xml:space="preserve">      description: Represents the geographical distribution of the UEs.</w:t>
      </w:r>
    </w:p>
    <w:p w14:paraId="2313FCE6" w14:textId="77777777" w:rsidR="007862A2" w:rsidRDefault="007862A2" w:rsidP="007862A2">
      <w:pPr>
        <w:pStyle w:val="PL"/>
      </w:pPr>
      <w:r>
        <w:t xml:space="preserve">      type: object</w:t>
      </w:r>
    </w:p>
    <w:p w14:paraId="50D9C7A0" w14:textId="77777777" w:rsidR="007862A2" w:rsidRDefault="007862A2" w:rsidP="007862A2">
      <w:pPr>
        <w:pStyle w:val="PL"/>
      </w:pPr>
      <w:r>
        <w:t xml:space="preserve">      properties:</w:t>
      </w:r>
    </w:p>
    <w:p w14:paraId="4DCC1BEE" w14:textId="77777777" w:rsidR="007862A2" w:rsidRDefault="007862A2" w:rsidP="007862A2">
      <w:pPr>
        <w:pStyle w:val="PL"/>
      </w:pPr>
      <w:r>
        <w:t xml:space="preserve">        loc:</w:t>
      </w:r>
    </w:p>
    <w:p w14:paraId="2A5850AE" w14:textId="77777777" w:rsidR="007862A2" w:rsidRDefault="007862A2" w:rsidP="007862A2">
      <w:pPr>
        <w:pStyle w:val="PL"/>
      </w:pPr>
      <w:r>
        <w:t xml:space="preserve">          $ref: 'TS29571_CommonData.yaml#/components/schemas/UserLocation'</w:t>
      </w:r>
    </w:p>
    <w:p w14:paraId="191BE72C" w14:textId="77777777" w:rsidR="007862A2" w:rsidRDefault="007862A2" w:rsidP="007862A2">
      <w:pPr>
        <w:pStyle w:val="PL"/>
      </w:pPr>
      <w:r>
        <w:t xml:space="preserve">        supis:</w:t>
      </w:r>
    </w:p>
    <w:p w14:paraId="5E805328" w14:textId="77777777" w:rsidR="007862A2" w:rsidRDefault="007862A2" w:rsidP="007862A2">
      <w:pPr>
        <w:pStyle w:val="PL"/>
      </w:pPr>
      <w:r>
        <w:t xml:space="preserve">          type: array</w:t>
      </w:r>
    </w:p>
    <w:p w14:paraId="7C030D01" w14:textId="77777777" w:rsidR="007862A2" w:rsidRDefault="007862A2" w:rsidP="007862A2">
      <w:pPr>
        <w:pStyle w:val="PL"/>
      </w:pPr>
      <w:r>
        <w:t xml:space="preserve">          items:</w:t>
      </w:r>
    </w:p>
    <w:p w14:paraId="1C16D9A6" w14:textId="77777777" w:rsidR="007862A2" w:rsidRDefault="007862A2" w:rsidP="007862A2">
      <w:pPr>
        <w:pStyle w:val="PL"/>
      </w:pPr>
      <w:r>
        <w:t xml:space="preserve">            $ref: 'TS29571_CommonData.yaml#/components/schemas/Supi'</w:t>
      </w:r>
    </w:p>
    <w:p w14:paraId="33A87991" w14:textId="77777777" w:rsidR="007862A2" w:rsidRDefault="007862A2" w:rsidP="007862A2">
      <w:pPr>
        <w:pStyle w:val="PL"/>
      </w:pPr>
      <w:r>
        <w:lastRenderedPageBreak/>
        <w:t xml:space="preserve">          minItems: 1</w:t>
      </w:r>
    </w:p>
    <w:p w14:paraId="614C755B" w14:textId="77777777" w:rsidR="007862A2" w:rsidRDefault="007862A2" w:rsidP="007862A2">
      <w:pPr>
        <w:pStyle w:val="PL"/>
      </w:pPr>
      <w:r>
        <w:t xml:space="preserve">        gpsis:</w:t>
      </w:r>
    </w:p>
    <w:p w14:paraId="4D3F216A" w14:textId="77777777" w:rsidR="007862A2" w:rsidRDefault="007862A2" w:rsidP="007862A2">
      <w:pPr>
        <w:pStyle w:val="PL"/>
      </w:pPr>
      <w:r>
        <w:t xml:space="preserve">          type: array</w:t>
      </w:r>
    </w:p>
    <w:p w14:paraId="09F1B4EE" w14:textId="77777777" w:rsidR="007862A2" w:rsidRDefault="007862A2" w:rsidP="007862A2">
      <w:pPr>
        <w:pStyle w:val="PL"/>
      </w:pPr>
      <w:r>
        <w:t xml:space="preserve">          items:</w:t>
      </w:r>
    </w:p>
    <w:p w14:paraId="18B6C4A3" w14:textId="77777777" w:rsidR="007862A2" w:rsidRDefault="007862A2" w:rsidP="007862A2">
      <w:pPr>
        <w:pStyle w:val="PL"/>
      </w:pPr>
      <w:r>
        <w:t xml:space="preserve">            $ref: 'TS29571_CommonData.yaml#/components/schemas/Gpsi'</w:t>
      </w:r>
    </w:p>
    <w:p w14:paraId="36A26134" w14:textId="77777777" w:rsidR="007862A2" w:rsidRDefault="007862A2" w:rsidP="007862A2">
      <w:pPr>
        <w:pStyle w:val="PL"/>
      </w:pPr>
      <w:r>
        <w:t xml:space="preserve">          minItems: 1</w:t>
      </w:r>
    </w:p>
    <w:p w14:paraId="0E77E661" w14:textId="77777777" w:rsidR="007862A2" w:rsidRDefault="007862A2" w:rsidP="007862A2">
      <w:pPr>
        <w:pStyle w:val="PL"/>
      </w:pPr>
      <w:r>
        <w:t xml:space="preserve">      required:</w:t>
      </w:r>
    </w:p>
    <w:p w14:paraId="28CDCC97" w14:textId="77777777" w:rsidR="007862A2" w:rsidRDefault="007862A2" w:rsidP="007862A2">
      <w:pPr>
        <w:pStyle w:val="PL"/>
      </w:pPr>
      <w:r>
        <w:t xml:space="preserve">        - loc</w:t>
      </w:r>
    </w:p>
    <w:p w14:paraId="7A2E7CEA" w14:textId="77777777" w:rsidR="007862A2" w:rsidRDefault="007862A2" w:rsidP="007862A2">
      <w:pPr>
        <w:pStyle w:val="PL"/>
      </w:pPr>
      <w:r>
        <w:t xml:space="preserve">      oneOf:</w:t>
      </w:r>
    </w:p>
    <w:p w14:paraId="647B28D2" w14:textId="77777777" w:rsidR="007862A2" w:rsidRDefault="007862A2" w:rsidP="007862A2">
      <w:pPr>
        <w:pStyle w:val="PL"/>
      </w:pPr>
      <w:r>
        <w:t xml:space="preserve">        - required: [supis]</w:t>
      </w:r>
    </w:p>
    <w:p w14:paraId="63D9FE64" w14:textId="77777777" w:rsidR="007862A2" w:rsidRDefault="007862A2" w:rsidP="007862A2">
      <w:pPr>
        <w:pStyle w:val="PL"/>
      </w:pPr>
      <w:r>
        <w:t xml:space="preserve">        - required: [gpsis]</w:t>
      </w:r>
    </w:p>
    <w:p w14:paraId="3D013711" w14:textId="77777777" w:rsidR="007862A2" w:rsidRDefault="007862A2" w:rsidP="007862A2">
      <w:pPr>
        <w:pStyle w:val="PL"/>
      </w:pPr>
    </w:p>
    <w:p w14:paraId="72AA60DD" w14:textId="77777777" w:rsidR="007862A2" w:rsidRDefault="007862A2" w:rsidP="007862A2">
      <w:pPr>
        <w:pStyle w:val="PL"/>
      </w:pPr>
      <w:r>
        <w:t xml:space="preserve">    UeCommunication:</w:t>
      </w:r>
    </w:p>
    <w:p w14:paraId="0D52E863" w14:textId="77777777" w:rsidR="007862A2" w:rsidRDefault="007862A2" w:rsidP="007862A2">
      <w:pPr>
        <w:pStyle w:val="PL"/>
      </w:pPr>
      <w:r>
        <w:t xml:space="preserve">      description: Represents UE communication information.</w:t>
      </w:r>
    </w:p>
    <w:p w14:paraId="40A9D93C" w14:textId="77777777" w:rsidR="007862A2" w:rsidRDefault="007862A2" w:rsidP="007862A2">
      <w:pPr>
        <w:pStyle w:val="PL"/>
      </w:pPr>
      <w:r>
        <w:t xml:space="preserve">      type: object</w:t>
      </w:r>
    </w:p>
    <w:p w14:paraId="4EFFA046" w14:textId="77777777" w:rsidR="007862A2" w:rsidRDefault="007862A2" w:rsidP="007862A2">
      <w:pPr>
        <w:pStyle w:val="PL"/>
      </w:pPr>
      <w:r>
        <w:t xml:space="preserve">      properties:</w:t>
      </w:r>
    </w:p>
    <w:p w14:paraId="3FB4703A" w14:textId="77777777" w:rsidR="007862A2" w:rsidRDefault="007862A2" w:rsidP="007862A2">
      <w:pPr>
        <w:pStyle w:val="PL"/>
      </w:pPr>
      <w:r>
        <w:t xml:space="preserve">        commDur:</w:t>
      </w:r>
    </w:p>
    <w:p w14:paraId="08422FE6" w14:textId="77777777" w:rsidR="007862A2" w:rsidRDefault="007862A2" w:rsidP="007862A2">
      <w:pPr>
        <w:pStyle w:val="PL"/>
      </w:pPr>
      <w:r>
        <w:t xml:space="preserve">          $ref: 'TS29571_CommonData.yaml#/components/schemas/DurationSec'</w:t>
      </w:r>
    </w:p>
    <w:p w14:paraId="6E344153" w14:textId="77777777" w:rsidR="007862A2" w:rsidRDefault="007862A2" w:rsidP="007862A2">
      <w:pPr>
        <w:pStyle w:val="PL"/>
      </w:pPr>
      <w:r>
        <w:t xml:space="preserve">        commDurVariance:</w:t>
      </w:r>
    </w:p>
    <w:p w14:paraId="65BB04E3" w14:textId="77777777" w:rsidR="007862A2" w:rsidRDefault="007862A2" w:rsidP="007862A2">
      <w:pPr>
        <w:pStyle w:val="PL"/>
      </w:pPr>
      <w:r>
        <w:t xml:space="preserve">          $ref: 'TS29571_CommonData.yaml#/components/schemas/Float'</w:t>
      </w:r>
    </w:p>
    <w:p w14:paraId="52B75C7E" w14:textId="77777777" w:rsidR="007862A2" w:rsidRDefault="007862A2" w:rsidP="007862A2">
      <w:pPr>
        <w:pStyle w:val="PL"/>
      </w:pPr>
      <w:r>
        <w:t xml:space="preserve">        perioTime:</w:t>
      </w:r>
    </w:p>
    <w:p w14:paraId="5F643A6B" w14:textId="77777777" w:rsidR="007862A2" w:rsidRDefault="007862A2" w:rsidP="007862A2">
      <w:pPr>
        <w:pStyle w:val="PL"/>
      </w:pPr>
      <w:r>
        <w:t xml:space="preserve">          $ref: 'TS29571_CommonData.yaml#/components/schemas/DurationSec'</w:t>
      </w:r>
    </w:p>
    <w:p w14:paraId="23220340" w14:textId="77777777" w:rsidR="007862A2" w:rsidRDefault="007862A2" w:rsidP="007862A2">
      <w:pPr>
        <w:pStyle w:val="PL"/>
      </w:pPr>
      <w:r>
        <w:t xml:space="preserve">        perioTimeVariance:</w:t>
      </w:r>
    </w:p>
    <w:p w14:paraId="6AE362B3" w14:textId="77777777" w:rsidR="007862A2" w:rsidRDefault="007862A2" w:rsidP="007862A2">
      <w:pPr>
        <w:pStyle w:val="PL"/>
      </w:pPr>
      <w:r>
        <w:t xml:space="preserve">          $ref: 'TS29571_CommonData.yaml#/components/schemas/Float'</w:t>
      </w:r>
    </w:p>
    <w:p w14:paraId="304E4C90" w14:textId="77777777" w:rsidR="007862A2" w:rsidRDefault="007862A2" w:rsidP="007862A2">
      <w:pPr>
        <w:pStyle w:val="PL"/>
      </w:pPr>
      <w:r>
        <w:t xml:space="preserve">        ts:</w:t>
      </w:r>
    </w:p>
    <w:p w14:paraId="46DBFA91" w14:textId="77777777" w:rsidR="007862A2" w:rsidRDefault="007862A2" w:rsidP="007862A2">
      <w:pPr>
        <w:pStyle w:val="PL"/>
      </w:pPr>
      <w:r>
        <w:t xml:space="preserve">          $ref: 'TS29571_CommonData.yaml#/components/schemas/DateTime'</w:t>
      </w:r>
    </w:p>
    <w:p w14:paraId="002866BE" w14:textId="77777777" w:rsidR="007862A2" w:rsidRDefault="007862A2" w:rsidP="007862A2">
      <w:pPr>
        <w:pStyle w:val="PL"/>
      </w:pPr>
      <w:r>
        <w:t xml:space="preserve">        tsVariance:</w:t>
      </w:r>
    </w:p>
    <w:p w14:paraId="28FA473D" w14:textId="77777777" w:rsidR="007862A2" w:rsidRDefault="007862A2" w:rsidP="007862A2">
      <w:pPr>
        <w:pStyle w:val="PL"/>
      </w:pPr>
      <w:r>
        <w:t xml:space="preserve">          $ref: 'TS29571_CommonData.yaml#/components/schemas/Float'</w:t>
      </w:r>
    </w:p>
    <w:p w14:paraId="248BBC31" w14:textId="77777777" w:rsidR="007862A2" w:rsidRDefault="007862A2" w:rsidP="007862A2">
      <w:pPr>
        <w:pStyle w:val="PL"/>
      </w:pPr>
      <w:r>
        <w:t xml:space="preserve">        recurringTime:</w:t>
      </w:r>
    </w:p>
    <w:p w14:paraId="1FBF5B2D" w14:textId="77777777" w:rsidR="007862A2" w:rsidRDefault="007862A2" w:rsidP="007862A2">
      <w:pPr>
        <w:pStyle w:val="PL"/>
      </w:pPr>
      <w:r>
        <w:t xml:space="preserve">          $ref: 'TS29122_CpProvisioning.yaml#/components/schemas/ScheduledCommunicationTime'</w:t>
      </w:r>
    </w:p>
    <w:p w14:paraId="0B1989BE" w14:textId="77777777" w:rsidR="007862A2" w:rsidRDefault="007862A2" w:rsidP="007862A2">
      <w:pPr>
        <w:pStyle w:val="PL"/>
      </w:pPr>
      <w:r>
        <w:t xml:space="preserve">        trafChar:</w:t>
      </w:r>
    </w:p>
    <w:p w14:paraId="6DC600EF" w14:textId="77777777" w:rsidR="007862A2" w:rsidRDefault="007862A2" w:rsidP="007862A2">
      <w:pPr>
        <w:pStyle w:val="PL"/>
      </w:pPr>
      <w:r>
        <w:t xml:space="preserve">          $ref: '#/components/schemas/TrafficCharacterization'</w:t>
      </w:r>
    </w:p>
    <w:p w14:paraId="601EB287" w14:textId="77777777" w:rsidR="007862A2" w:rsidRDefault="007862A2" w:rsidP="007862A2">
      <w:pPr>
        <w:pStyle w:val="PL"/>
      </w:pPr>
      <w:r>
        <w:t xml:space="preserve">        ratio:</w:t>
      </w:r>
    </w:p>
    <w:p w14:paraId="14B3DFDA" w14:textId="77777777" w:rsidR="007862A2" w:rsidRDefault="007862A2" w:rsidP="007862A2">
      <w:pPr>
        <w:pStyle w:val="PL"/>
      </w:pPr>
      <w:r>
        <w:t xml:space="preserve">          $ref: 'TS29571_CommonData.yaml#/components/schemas/SamplingRatio'</w:t>
      </w:r>
    </w:p>
    <w:p w14:paraId="539F7CDF" w14:textId="77777777" w:rsidR="007862A2" w:rsidRDefault="007862A2" w:rsidP="007862A2">
      <w:pPr>
        <w:pStyle w:val="PL"/>
      </w:pPr>
      <w:r>
        <w:t xml:space="preserve">        </w:t>
      </w:r>
      <w:r>
        <w:rPr>
          <w:lang w:eastAsia="zh-CN"/>
        </w:rPr>
        <w:t>perioCommInd</w:t>
      </w:r>
      <w:r>
        <w:t>:</w:t>
      </w:r>
    </w:p>
    <w:p w14:paraId="28864636" w14:textId="77777777" w:rsidR="007862A2" w:rsidRDefault="007862A2" w:rsidP="007862A2">
      <w:pPr>
        <w:pStyle w:val="PL"/>
      </w:pPr>
      <w:r>
        <w:t xml:space="preserve">          type: boolean</w:t>
      </w:r>
    </w:p>
    <w:p w14:paraId="42405F3B" w14:textId="77777777" w:rsidR="007862A2" w:rsidRDefault="007862A2" w:rsidP="007862A2">
      <w:pPr>
        <w:pStyle w:val="PL"/>
        <w:rPr>
          <w:lang w:eastAsia="zh-CN"/>
        </w:rPr>
      </w:pPr>
      <w:r>
        <w:t xml:space="preserve">          description: </w:t>
      </w:r>
      <w:r>
        <w:rPr>
          <w:lang w:eastAsia="zh-CN"/>
        </w:rPr>
        <w:t>&gt;</w:t>
      </w:r>
    </w:p>
    <w:p w14:paraId="3A923D90" w14:textId="77777777" w:rsidR="007862A2" w:rsidRDefault="007862A2" w:rsidP="007862A2">
      <w:pPr>
        <w:pStyle w:val="PL"/>
      </w:pPr>
      <w:r>
        <w:t xml:space="preserve">            This attribute indicates whether the UE communicates periodically or not. Set to "true"</w:t>
      </w:r>
    </w:p>
    <w:p w14:paraId="1750A311" w14:textId="77777777" w:rsidR="007862A2" w:rsidRDefault="007862A2" w:rsidP="007862A2">
      <w:pPr>
        <w:pStyle w:val="PL"/>
      </w:pPr>
      <w:r>
        <w:t xml:space="preserve">            to indicate the UE communicates periodically, otherwise set to "false" or omitted.</w:t>
      </w:r>
    </w:p>
    <w:p w14:paraId="0B8C9048" w14:textId="77777777" w:rsidR="007862A2" w:rsidRDefault="007862A2" w:rsidP="007862A2">
      <w:pPr>
        <w:pStyle w:val="PL"/>
      </w:pPr>
      <w:r>
        <w:t xml:space="preserve">        confidence:</w:t>
      </w:r>
    </w:p>
    <w:p w14:paraId="2A87CA1D" w14:textId="77777777" w:rsidR="007862A2" w:rsidRDefault="007862A2" w:rsidP="007862A2">
      <w:pPr>
        <w:pStyle w:val="PL"/>
      </w:pPr>
      <w:r>
        <w:t xml:space="preserve">          $ref: 'TS29571_CommonData.yaml#/components/schemas/Uinteger'</w:t>
      </w:r>
    </w:p>
    <w:p w14:paraId="3661779A" w14:textId="77777777" w:rsidR="007862A2" w:rsidRDefault="007862A2" w:rsidP="007862A2">
      <w:pPr>
        <w:pStyle w:val="PL"/>
      </w:pPr>
      <w:r>
        <w:t xml:space="preserve">        anaOfAppList:</w:t>
      </w:r>
    </w:p>
    <w:p w14:paraId="54362A35" w14:textId="77777777" w:rsidR="007862A2" w:rsidRDefault="007862A2" w:rsidP="007862A2">
      <w:pPr>
        <w:pStyle w:val="PL"/>
      </w:pPr>
      <w:r>
        <w:t xml:space="preserve">          $ref: '#/components/schemas/AppListForUeComm'</w:t>
      </w:r>
    </w:p>
    <w:p w14:paraId="3CFE163C" w14:textId="77777777" w:rsidR="007862A2" w:rsidRDefault="007862A2" w:rsidP="007862A2">
      <w:pPr>
        <w:pStyle w:val="PL"/>
      </w:pPr>
      <w:r>
        <w:t xml:space="preserve">        </w:t>
      </w:r>
      <w:r>
        <w:rPr>
          <w:lang w:eastAsia="zh-CN"/>
        </w:rPr>
        <w:t>sessInactTimer</w:t>
      </w:r>
      <w:r>
        <w:t>:</w:t>
      </w:r>
    </w:p>
    <w:p w14:paraId="7AA7D39C" w14:textId="77777777" w:rsidR="007862A2" w:rsidRDefault="007862A2" w:rsidP="007862A2">
      <w:pPr>
        <w:pStyle w:val="PL"/>
      </w:pPr>
      <w:r>
        <w:t xml:space="preserve">          $ref: '#/components/schemas/</w:t>
      </w:r>
      <w:r>
        <w:rPr>
          <w:lang w:eastAsia="zh-CN"/>
        </w:rPr>
        <w:t>SessInactTimer</w:t>
      </w:r>
      <w:r>
        <w:t>ForUeComm'</w:t>
      </w:r>
    </w:p>
    <w:p w14:paraId="136E0362" w14:textId="77777777" w:rsidR="007862A2" w:rsidRDefault="007862A2" w:rsidP="007862A2">
      <w:pPr>
        <w:pStyle w:val="PL"/>
      </w:pPr>
      <w:r>
        <w:t xml:space="preserve">      allOf:</w:t>
      </w:r>
    </w:p>
    <w:p w14:paraId="7E8475E1" w14:textId="77777777" w:rsidR="007862A2" w:rsidRDefault="007862A2" w:rsidP="007862A2">
      <w:pPr>
        <w:pStyle w:val="PL"/>
      </w:pPr>
      <w:r>
        <w:t xml:space="preserve">        - required: [commDur]</w:t>
      </w:r>
    </w:p>
    <w:p w14:paraId="3AAB2A2E" w14:textId="77777777" w:rsidR="007862A2" w:rsidRDefault="007862A2" w:rsidP="007862A2">
      <w:pPr>
        <w:pStyle w:val="PL"/>
      </w:pPr>
      <w:r>
        <w:t xml:space="preserve">        - required: [trafChar]</w:t>
      </w:r>
    </w:p>
    <w:p w14:paraId="537E00D9" w14:textId="77777777" w:rsidR="007862A2" w:rsidRDefault="007862A2" w:rsidP="007862A2">
      <w:pPr>
        <w:pStyle w:val="PL"/>
        <w:rPr>
          <w:lang w:eastAsia="zh-CN"/>
        </w:rPr>
      </w:pPr>
      <w:r>
        <w:rPr>
          <w:lang w:eastAsia="zh-CN"/>
        </w:rPr>
        <w:t xml:space="preserve">     </w:t>
      </w:r>
      <w:r>
        <w:t xml:space="preserve">  </w:t>
      </w:r>
      <w:r>
        <w:rPr>
          <w:lang w:eastAsia="zh-CN"/>
        </w:rPr>
        <w:t xml:space="preserve"> </w:t>
      </w:r>
      <w:r>
        <w:t xml:space="preserve">- </w:t>
      </w:r>
      <w:r>
        <w:rPr>
          <w:lang w:eastAsia="zh-CN"/>
        </w:rPr>
        <w:t>oneOf:</w:t>
      </w:r>
    </w:p>
    <w:p w14:paraId="23F37261" w14:textId="77777777" w:rsidR="007862A2" w:rsidRDefault="007862A2" w:rsidP="007862A2">
      <w:pPr>
        <w:pStyle w:val="PL"/>
        <w:rPr>
          <w:lang w:eastAsia="zh-CN"/>
        </w:rPr>
      </w:pPr>
      <w:r>
        <w:rPr>
          <w:lang w:eastAsia="zh-CN"/>
        </w:rPr>
        <w:t xml:space="preserve">          - required: [</w:t>
      </w:r>
      <w:r>
        <w:t>ts</w:t>
      </w:r>
      <w:r>
        <w:rPr>
          <w:lang w:eastAsia="zh-CN"/>
        </w:rPr>
        <w:t>]</w:t>
      </w:r>
    </w:p>
    <w:p w14:paraId="4D77BC25" w14:textId="77777777" w:rsidR="007862A2" w:rsidRDefault="007862A2" w:rsidP="007862A2">
      <w:pPr>
        <w:pStyle w:val="PL"/>
      </w:pPr>
      <w:r>
        <w:rPr>
          <w:lang w:eastAsia="zh-CN"/>
        </w:rPr>
        <w:t xml:space="preserve">          - required: [recurringTime]</w:t>
      </w:r>
    </w:p>
    <w:p w14:paraId="0579A72B" w14:textId="77777777" w:rsidR="007862A2" w:rsidRDefault="007862A2" w:rsidP="007862A2">
      <w:pPr>
        <w:pStyle w:val="PL"/>
      </w:pPr>
      <w:r>
        <w:t xml:space="preserve">    TrafficCharacterization:</w:t>
      </w:r>
    </w:p>
    <w:p w14:paraId="270EDA4A" w14:textId="77777777" w:rsidR="007862A2" w:rsidRDefault="007862A2" w:rsidP="007862A2">
      <w:pPr>
        <w:pStyle w:val="PL"/>
      </w:pPr>
      <w:r>
        <w:t xml:space="preserve">      description: Identifies the detailed traffic characterization.</w:t>
      </w:r>
    </w:p>
    <w:p w14:paraId="7FD90F29" w14:textId="77777777" w:rsidR="007862A2" w:rsidRDefault="007862A2" w:rsidP="007862A2">
      <w:pPr>
        <w:pStyle w:val="PL"/>
      </w:pPr>
      <w:r>
        <w:t xml:space="preserve">      type: object</w:t>
      </w:r>
    </w:p>
    <w:p w14:paraId="4527A6A2" w14:textId="77777777" w:rsidR="007862A2" w:rsidRDefault="007862A2" w:rsidP="007862A2">
      <w:pPr>
        <w:pStyle w:val="PL"/>
      </w:pPr>
      <w:r>
        <w:t xml:space="preserve">      properties:</w:t>
      </w:r>
    </w:p>
    <w:p w14:paraId="1D306FBE" w14:textId="77777777" w:rsidR="007862A2" w:rsidRDefault="007862A2" w:rsidP="007862A2">
      <w:pPr>
        <w:pStyle w:val="PL"/>
      </w:pPr>
      <w:r>
        <w:t xml:space="preserve">        dnn:</w:t>
      </w:r>
    </w:p>
    <w:p w14:paraId="663B8C29" w14:textId="77777777" w:rsidR="007862A2" w:rsidRDefault="007862A2" w:rsidP="007862A2">
      <w:pPr>
        <w:pStyle w:val="PL"/>
      </w:pPr>
      <w:r>
        <w:t xml:space="preserve">          $ref: 'TS29571_CommonData.yaml#/components/schemas/Dnn'</w:t>
      </w:r>
    </w:p>
    <w:p w14:paraId="157CED52" w14:textId="77777777" w:rsidR="007862A2" w:rsidRDefault="007862A2" w:rsidP="007862A2">
      <w:pPr>
        <w:pStyle w:val="PL"/>
      </w:pPr>
      <w:r>
        <w:t xml:space="preserve">        snssai:</w:t>
      </w:r>
    </w:p>
    <w:p w14:paraId="74A90FE5" w14:textId="77777777" w:rsidR="007862A2" w:rsidRDefault="007862A2" w:rsidP="007862A2">
      <w:pPr>
        <w:pStyle w:val="PL"/>
      </w:pPr>
      <w:r>
        <w:t xml:space="preserve">          $ref: 'TS29571_CommonData.yaml#/components/schemas/Snssai'</w:t>
      </w:r>
    </w:p>
    <w:p w14:paraId="14D3AB5F" w14:textId="77777777" w:rsidR="007862A2" w:rsidRDefault="007862A2" w:rsidP="007862A2">
      <w:pPr>
        <w:pStyle w:val="PL"/>
      </w:pPr>
      <w:r>
        <w:t xml:space="preserve">        appId:</w:t>
      </w:r>
    </w:p>
    <w:p w14:paraId="176213A3" w14:textId="77777777" w:rsidR="007862A2" w:rsidRDefault="007862A2" w:rsidP="007862A2">
      <w:pPr>
        <w:pStyle w:val="PL"/>
      </w:pPr>
      <w:r>
        <w:t xml:space="preserve">          $ref: 'TS29571_CommonData.yaml#/components/schemas/ApplicationId'</w:t>
      </w:r>
    </w:p>
    <w:p w14:paraId="28980991" w14:textId="77777777" w:rsidR="007862A2" w:rsidRDefault="007862A2" w:rsidP="007862A2">
      <w:pPr>
        <w:pStyle w:val="PL"/>
      </w:pPr>
      <w:r>
        <w:t xml:space="preserve">        fDescs:</w:t>
      </w:r>
    </w:p>
    <w:p w14:paraId="6BB3BFBD" w14:textId="77777777" w:rsidR="007862A2" w:rsidRDefault="007862A2" w:rsidP="007862A2">
      <w:pPr>
        <w:pStyle w:val="PL"/>
      </w:pPr>
      <w:r>
        <w:t xml:space="preserve">          type: array</w:t>
      </w:r>
    </w:p>
    <w:p w14:paraId="69CF9B1C" w14:textId="77777777" w:rsidR="007862A2" w:rsidRDefault="007862A2" w:rsidP="007862A2">
      <w:pPr>
        <w:pStyle w:val="PL"/>
      </w:pPr>
      <w:r>
        <w:t xml:space="preserve">          items:</w:t>
      </w:r>
    </w:p>
    <w:p w14:paraId="5C7E7F46" w14:textId="77777777" w:rsidR="007862A2" w:rsidRDefault="007862A2" w:rsidP="007862A2">
      <w:pPr>
        <w:pStyle w:val="PL"/>
      </w:pPr>
      <w:r>
        <w:t xml:space="preserve">            $ref: '#/components/schemas/IpEthFlowDescription'</w:t>
      </w:r>
    </w:p>
    <w:p w14:paraId="7BE5952A" w14:textId="77777777" w:rsidR="007862A2" w:rsidRDefault="007862A2" w:rsidP="007862A2">
      <w:pPr>
        <w:pStyle w:val="PL"/>
      </w:pPr>
      <w:r>
        <w:t xml:space="preserve">          minItems: 1</w:t>
      </w:r>
    </w:p>
    <w:p w14:paraId="31986C50" w14:textId="77777777" w:rsidR="007862A2" w:rsidRDefault="007862A2" w:rsidP="007862A2">
      <w:pPr>
        <w:pStyle w:val="PL"/>
      </w:pPr>
      <w:r>
        <w:t xml:space="preserve">          maxItems: 2</w:t>
      </w:r>
    </w:p>
    <w:p w14:paraId="3F7FFCDF" w14:textId="77777777" w:rsidR="007862A2" w:rsidRDefault="007862A2" w:rsidP="007862A2">
      <w:pPr>
        <w:pStyle w:val="PL"/>
      </w:pPr>
      <w:r>
        <w:t xml:space="preserve">        ulVol:</w:t>
      </w:r>
    </w:p>
    <w:p w14:paraId="2C14DF9D" w14:textId="77777777" w:rsidR="007862A2" w:rsidRDefault="007862A2" w:rsidP="007862A2">
      <w:pPr>
        <w:pStyle w:val="PL"/>
      </w:pPr>
      <w:r>
        <w:t xml:space="preserve">          $ref: 'TS29122_CommonData.yaml#/components/schemas/Volume'</w:t>
      </w:r>
    </w:p>
    <w:p w14:paraId="37D35364" w14:textId="77777777" w:rsidR="007862A2" w:rsidRDefault="007862A2" w:rsidP="007862A2">
      <w:pPr>
        <w:pStyle w:val="PL"/>
      </w:pPr>
      <w:r>
        <w:t xml:space="preserve">        ulVolVariance:</w:t>
      </w:r>
    </w:p>
    <w:p w14:paraId="4132F680" w14:textId="77777777" w:rsidR="007862A2" w:rsidRDefault="007862A2" w:rsidP="007862A2">
      <w:pPr>
        <w:pStyle w:val="PL"/>
      </w:pPr>
      <w:r>
        <w:t xml:space="preserve">          $ref: 'TS29571_CommonData.yaml#/components/schemas/Float'</w:t>
      </w:r>
    </w:p>
    <w:p w14:paraId="5B2757CD" w14:textId="77777777" w:rsidR="007862A2" w:rsidRDefault="007862A2" w:rsidP="007862A2">
      <w:pPr>
        <w:pStyle w:val="PL"/>
      </w:pPr>
      <w:r>
        <w:t xml:space="preserve">        dlVol:</w:t>
      </w:r>
    </w:p>
    <w:p w14:paraId="0F60425F" w14:textId="77777777" w:rsidR="007862A2" w:rsidRDefault="007862A2" w:rsidP="007862A2">
      <w:pPr>
        <w:pStyle w:val="PL"/>
      </w:pPr>
      <w:r>
        <w:t xml:space="preserve">          $ref: 'TS29122_CommonData.yaml#/components/schemas/Volume'</w:t>
      </w:r>
    </w:p>
    <w:p w14:paraId="7ADEE364" w14:textId="77777777" w:rsidR="007862A2" w:rsidRDefault="007862A2" w:rsidP="007862A2">
      <w:pPr>
        <w:pStyle w:val="PL"/>
      </w:pPr>
      <w:r>
        <w:t xml:space="preserve">        dlVolVariance:</w:t>
      </w:r>
    </w:p>
    <w:p w14:paraId="53C66BF6" w14:textId="77777777" w:rsidR="007862A2" w:rsidRDefault="007862A2" w:rsidP="007862A2">
      <w:pPr>
        <w:pStyle w:val="PL"/>
      </w:pPr>
      <w:r>
        <w:t xml:space="preserve">          $ref: 'TS29571_CommonData.yaml#/components/schemas/Float'</w:t>
      </w:r>
    </w:p>
    <w:p w14:paraId="7E28A749" w14:textId="77777777" w:rsidR="007862A2" w:rsidRDefault="007862A2" w:rsidP="007862A2">
      <w:pPr>
        <w:pStyle w:val="PL"/>
      </w:pPr>
      <w:r>
        <w:t xml:space="preserve">      anyOf:</w:t>
      </w:r>
    </w:p>
    <w:p w14:paraId="78A6A370" w14:textId="77777777" w:rsidR="007862A2" w:rsidRDefault="007862A2" w:rsidP="007862A2">
      <w:pPr>
        <w:pStyle w:val="PL"/>
      </w:pPr>
      <w:r>
        <w:t xml:space="preserve">        - required: [ulVol]</w:t>
      </w:r>
    </w:p>
    <w:p w14:paraId="2BD8ECB6" w14:textId="77777777" w:rsidR="007862A2" w:rsidRDefault="007862A2" w:rsidP="007862A2">
      <w:pPr>
        <w:pStyle w:val="PL"/>
      </w:pPr>
      <w:r>
        <w:t xml:space="preserve">        - required: [dlVol]</w:t>
      </w:r>
    </w:p>
    <w:p w14:paraId="3BFDC0AF" w14:textId="77777777" w:rsidR="007862A2" w:rsidRDefault="007862A2" w:rsidP="007862A2">
      <w:pPr>
        <w:pStyle w:val="PL"/>
      </w:pPr>
    </w:p>
    <w:p w14:paraId="10D5C6C1" w14:textId="77777777" w:rsidR="007862A2" w:rsidRDefault="007862A2" w:rsidP="007862A2">
      <w:pPr>
        <w:pStyle w:val="PL"/>
      </w:pPr>
      <w:r>
        <w:t xml:space="preserve">    UserDataCongestionInfo:</w:t>
      </w:r>
    </w:p>
    <w:p w14:paraId="74369108" w14:textId="77777777" w:rsidR="007862A2" w:rsidRDefault="007862A2" w:rsidP="007862A2">
      <w:pPr>
        <w:pStyle w:val="PL"/>
      </w:pPr>
      <w:r>
        <w:t xml:space="preserve">      description: Represents the user data congestion information.</w:t>
      </w:r>
    </w:p>
    <w:p w14:paraId="6C66E593" w14:textId="77777777" w:rsidR="007862A2" w:rsidRDefault="007862A2" w:rsidP="007862A2">
      <w:pPr>
        <w:pStyle w:val="PL"/>
      </w:pPr>
      <w:r>
        <w:t xml:space="preserve">      type: object</w:t>
      </w:r>
    </w:p>
    <w:p w14:paraId="42823A67" w14:textId="77777777" w:rsidR="007862A2" w:rsidRDefault="007862A2" w:rsidP="007862A2">
      <w:pPr>
        <w:pStyle w:val="PL"/>
      </w:pPr>
      <w:r>
        <w:t xml:space="preserve">      properties:</w:t>
      </w:r>
    </w:p>
    <w:p w14:paraId="190760F4" w14:textId="77777777" w:rsidR="007862A2" w:rsidRDefault="007862A2" w:rsidP="007862A2">
      <w:pPr>
        <w:pStyle w:val="PL"/>
      </w:pPr>
      <w:r>
        <w:t xml:space="preserve">        networkArea:</w:t>
      </w:r>
    </w:p>
    <w:p w14:paraId="4B1F3AD2" w14:textId="77777777" w:rsidR="007862A2" w:rsidRDefault="007862A2" w:rsidP="007862A2">
      <w:pPr>
        <w:pStyle w:val="PL"/>
      </w:pPr>
      <w:r>
        <w:t xml:space="preserve">          $ref: 'TS29554_Npcf_BDTPolicyControl.yaml#/components/schemas/NetworkAreaInfo'</w:t>
      </w:r>
    </w:p>
    <w:p w14:paraId="08205D63" w14:textId="77777777" w:rsidR="007862A2" w:rsidRDefault="007862A2" w:rsidP="007862A2">
      <w:pPr>
        <w:pStyle w:val="PL"/>
      </w:pPr>
      <w:r>
        <w:t xml:space="preserve">        congestionInfo:</w:t>
      </w:r>
    </w:p>
    <w:p w14:paraId="5CAB634C" w14:textId="77777777" w:rsidR="007862A2" w:rsidRDefault="007862A2" w:rsidP="007862A2">
      <w:pPr>
        <w:pStyle w:val="PL"/>
      </w:pPr>
      <w:r>
        <w:t xml:space="preserve">          $ref: '#/components/schemas/CongestionInfo'</w:t>
      </w:r>
    </w:p>
    <w:p w14:paraId="360D4DA0" w14:textId="77777777" w:rsidR="007862A2" w:rsidRDefault="007862A2" w:rsidP="007862A2">
      <w:pPr>
        <w:pStyle w:val="PL"/>
      </w:pPr>
      <w:r>
        <w:t xml:space="preserve">        snssai:</w:t>
      </w:r>
    </w:p>
    <w:p w14:paraId="3767C5FF" w14:textId="77777777" w:rsidR="007862A2" w:rsidRDefault="007862A2" w:rsidP="007862A2">
      <w:pPr>
        <w:pStyle w:val="PL"/>
      </w:pPr>
      <w:r>
        <w:t xml:space="preserve">          $ref: 'TS29571_CommonData.yaml#/components/schemas/Snssai'</w:t>
      </w:r>
    </w:p>
    <w:p w14:paraId="23239D6F" w14:textId="77777777" w:rsidR="007862A2" w:rsidRDefault="007862A2" w:rsidP="007862A2">
      <w:pPr>
        <w:pStyle w:val="PL"/>
      </w:pPr>
      <w:r>
        <w:t xml:space="preserve">      required:</w:t>
      </w:r>
    </w:p>
    <w:p w14:paraId="285B5DFA" w14:textId="77777777" w:rsidR="007862A2" w:rsidRDefault="007862A2" w:rsidP="007862A2">
      <w:pPr>
        <w:pStyle w:val="PL"/>
      </w:pPr>
      <w:r>
        <w:t xml:space="preserve">        - networkArea</w:t>
      </w:r>
    </w:p>
    <w:p w14:paraId="54311191" w14:textId="77777777" w:rsidR="007862A2" w:rsidRDefault="007862A2" w:rsidP="007862A2">
      <w:pPr>
        <w:pStyle w:val="PL"/>
      </w:pPr>
      <w:r>
        <w:t xml:space="preserve">        - congestionInfo</w:t>
      </w:r>
    </w:p>
    <w:p w14:paraId="797BC808" w14:textId="77777777" w:rsidR="007862A2" w:rsidRDefault="007862A2" w:rsidP="007862A2">
      <w:pPr>
        <w:pStyle w:val="PL"/>
      </w:pPr>
    </w:p>
    <w:p w14:paraId="1CB5CB60" w14:textId="77777777" w:rsidR="007862A2" w:rsidRDefault="007862A2" w:rsidP="007862A2">
      <w:pPr>
        <w:pStyle w:val="PL"/>
      </w:pPr>
      <w:r>
        <w:t xml:space="preserve">    CongestionInfo:</w:t>
      </w:r>
    </w:p>
    <w:p w14:paraId="0547EE15" w14:textId="77777777" w:rsidR="007862A2" w:rsidRDefault="007862A2" w:rsidP="007862A2">
      <w:pPr>
        <w:pStyle w:val="PL"/>
      </w:pPr>
      <w:r>
        <w:t xml:space="preserve">      description: Represents the congestion information.</w:t>
      </w:r>
    </w:p>
    <w:p w14:paraId="338544B1" w14:textId="77777777" w:rsidR="007862A2" w:rsidRDefault="007862A2" w:rsidP="007862A2">
      <w:pPr>
        <w:pStyle w:val="PL"/>
      </w:pPr>
      <w:r>
        <w:t xml:space="preserve">      type: object</w:t>
      </w:r>
    </w:p>
    <w:p w14:paraId="1AA90276" w14:textId="77777777" w:rsidR="007862A2" w:rsidRDefault="007862A2" w:rsidP="007862A2">
      <w:pPr>
        <w:pStyle w:val="PL"/>
      </w:pPr>
      <w:r>
        <w:t xml:space="preserve">      properties:</w:t>
      </w:r>
    </w:p>
    <w:p w14:paraId="60D01945" w14:textId="77777777" w:rsidR="007862A2" w:rsidRDefault="007862A2" w:rsidP="007862A2">
      <w:pPr>
        <w:pStyle w:val="PL"/>
      </w:pPr>
      <w:r>
        <w:t xml:space="preserve">        congType:</w:t>
      </w:r>
    </w:p>
    <w:p w14:paraId="2A6652F2" w14:textId="77777777" w:rsidR="007862A2" w:rsidRDefault="007862A2" w:rsidP="007862A2">
      <w:pPr>
        <w:pStyle w:val="PL"/>
      </w:pPr>
      <w:r>
        <w:t xml:space="preserve">          $ref: '#/components/schemas/CongestionType'</w:t>
      </w:r>
    </w:p>
    <w:p w14:paraId="3288D074" w14:textId="77777777" w:rsidR="007862A2" w:rsidRDefault="007862A2" w:rsidP="007862A2">
      <w:pPr>
        <w:pStyle w:val="PL"/>
      </w:pPr>
      <w:r>
        <w:t xml:space="preserve">        timeIntev:</w:t>
      </w:r>
    </w:p>
    <w:p w14:paraId="45B1B101" w14:textId="77777777" w:rsidR="007862A2" w:rsidRDefault="007862A2" w:rsidP="007862A2">
      <w:pPr>
        <w:pStyle w:val="PL"/>
      </w:pPr>
      <w:r>
        <w:t xml:space="preserve">          $ref: 'TS29122_CommonData.yaml#/components/schemas/TimeWindow'</w:t>
      </w:r>
    </w:p>
    <w:p w14:paraId="4CE05C6A" w14:textId="77777777" w:rsidR="007862A2" w:rsidRDefault="007862A2" w:rsidP="007862A2">
      <w:pPr>
        <w:pStyle w:val="PL"/>
      </w:pPr>
      <w:r>
        <w:t xml:space="preserve">        nsi:</w:t>
      </w:r>
    </w:p>
    <w:p w14:paraId="56461B4F" w14:textId="77777777" w:rsidR="007862A2" w:rsidRDefault="007862A2" w:rsidP="007862A2">
      <w:pPr>
        <w:pStyle w:val="PL"/>
      </w:pPr>
      <w:r>
        <w:t xml:space="preserve">          $ref: '#/components/schemas/ThresholdLevel'</w:t>
      </w:r>
    </w:p>
    <w:p w14:paraId="5A928681" w14:textId="77777777" w:rsidR="007862A2" w:rsidRDefault="007862A2" w:rsidP="007862A2">
      <w:pPr>
        <w:pStyle w:val="PL"/>
      </w:pPr>
      <w:r>
        <w:t xml:space="preserve">        confidence:</w:t>
      </w:r>
    </w:p>
    <w:p w14:paraId="423EF6C7" w14:textId="77777777" w:rsidR="007862A2" w:rsidRDefault="007862A2" w:rsidP="007862A2">
      <w:pPr>
        <w:pStyle w:val="PL"/>
      </w:pPr>
      <w:r>
        <w:t xml:space="preserve">          $ref: 'TS29571_CommonData.yaml#/components/schemas/Uinteger'</w:t>
      </w:r>
    </w:p>
    <w:p w14:paraId="048E0A10" w14:textId="77777777" w:rsidR="007862A2" w:rsidRDefault="007862A2" w:rsidP="007862A2">
      <w:pPr>
        <w:pStyle w:val="PL"/>
      </w:pPr>
      <w:r>
        <w:t xml:space="preserve">        topAppListUl:</w:t>
      </w:r>
    </w:p>
    <w:p w14:paraId="5824AC27" w14:textId="77777777" w:rsidR="007862A2" w:rsidRDefault="007862A2" w:rsidP="007862A2">
      <w:pPr>
        <w:pStyle w:val="PL"/>
      </w:pPr>
      <w:r>
        <w:t xml:space="preserve">          type: array</w:t>
      </w:r>
    </w:p>
    <w:p w14:paraId="11ED31AE" w14:textId="77777777" w:rsidR="007862A2" w:rsidRDefault="007862A2" w:rsidP="007862A2">
      <w:pPr>
        <w:pStyle w:val="PL"/>
      </w:pPr>
      <w:r>
        <w:t xml:space="preserve">          items:</w:t>
      </w:r>
    </w:p>
    <w:p w14:paraId="5397AE10" w14:textId="77777777" w:rsidR="007862A2" w:rsidRDefault="007862A2" w:rsidP="007862A2">
      <w:pPr>
        <w:pStyle w:val="PL"/>
      </w:pPr>
      <w:r>
        <w:t xml:space="preserve">            $ref: '#/components/schemas/TopApplication'</w:t>
      </w:r>
    </w:p>
    <w:p w14:paraId="7CFD6B15" w14:textId="77777777" w:rsidR="007862A2" w:rsidRDefault="007862A2" w:rsidP="007862A2">
      <w:pPr>
        <w:pStyle w:val="PL"/>
      </w:pPr>
      <w:r>
        <w:t xml:space="preserve">          minItems: 1</w:t>
      </w:r>
    </w:p>
    <w:p w14:paraId="21020B94" w14:textId="77777777" w:rsidR="007862A2" w:rsidRDefault="007862A2" w:rsidP="007862A2">
      <w:pPr>
        <w:pStyle w:val="PL"/>
      </w:pPr>
      <w:r>
        <w:t xml:space="preserve">        topAppListDl:</w:t>
      </w:r>
    </w:p>
    <w:p w14:paraId="6682E57C" w14:textId="77777777" w:rsidR="007862A2" w:rsidRDefault="007862A2" w:rsidP="007862A2">
      <w:pPr>
        <w:pStyle w:val="PL"/>
      </w:pPr>
      <w:r>
        <w:t xml:space="preserve">          type: array</w:t>
      </w:r>
    </w:p>
    <w:p w14:paraId="46AAB324" w14:textId="77777777" w:rsidR="007862A2" w:rsidRDefault="007862A2" w:rsidP="007862A2">
      <w:pPr>
        <w:pStyle w:val="PL"/>
      </w:pPr>
      <w:r>
        <w:t xml:space="preserve">          items:</w:t>
      </w:r>
    </w:p>
    <w:p w14:paraId="1DA757E7" w14:textId="77777777" w:rsidR="007862A2" w:rsidRDefault="007862A2" w:rsidP="007862A2">
      <w:pPr>
        <w:pStyle w:val="PL"/>
      </w:pPr>
      <w:r>
        <w:t xml:space="preserve">            $ref: '#/components/schemas/TopApplication'</w:t>
      </w:r>
    </w:p>
    <w:p w14:paraId="37E3FB01" w14:textId="77777777" w:rsidR="007862A2" w:rsidRDefault="007862A2" w:rsidP="007862A2">
      <w:pPr>
        <w:pStyle w:val="PL"/>
      </w:pPr>
      <w:r>
        <w:t xml:space="preserve">          minItems: 1</w:t>
      </w:r>
    </w:p>
    <w:p w14:paraId="40213725" w14:textId="77777777" w:rsidR="007862A2" w:rsidRDefault="007862A2" w:rsidP="007862A2">
      <w:pPr>
        <w:pStyle w:val="PL"/>
      </w:pPr>
      <w:r>
        <w:t xml:space="preserve">      required:</w:t>
      </w:r>
    </w:p>
    <w:p w14:paraId="554D61DA" w14:textId="77777777" w:rsidR="007862A2" w:rsidRDefault="007862A2" w:rsidP="007862A2">
      <w:pPr>
        <w:pStyle w:val="PL"/>
      </w:pPr>
      <w:r>
        <w:t xml:space="preserve">        - congType</w:t>
      </w:r>
    </w:p>
    <w:p w14:paraId="14AFD91D" w14:textId="77777777" w:rsidR="007862A2" w:rsidRDefault="007862A2" w:rsidP="007862A2">
      <w:pPr>
        <w:pStyle w:val="PL"/>
      </w:pPr>
      <w:r>
        <w:t xml:space="preserve">        - timeIntev</w:t>
      </w:r>
    </w:p>
    <w:p w14:paraId="3928FD1C" w14:textId="77777777" w:rsidR="007862A2" w:rsidRDefault="007862A2" w:rsidP="007862A2">
      <w:pPr>
        <w:pStyle w:val="PL"/>
      </w:pPr>
      <w:r>
        <w:t xml:space="preserve">        - nsi</w:t>
      </w:r>
    </w:p>
    <w:p w14:paraId="7482F143" w14:textId="77777777" w:rsidR="007862A2" w:rsidRDefault="007862A2" w:rsidP="007862A2">
      <w:pPr>
        <w:pStyle w:val="PL"/>
      </w:pPr>
    </w:p>
    <w:p w14:paraId="5E6E8C3A" w14:textId="77777777" w:rsidR="007862A2" w:rsidRDefault="007862A2" w:rsidP="007862A2">
      <w:pPr>
        <w:pStyle w:val="PL"/>
      </w:pPr>
      <w:r>
        <w:t xml:space="preserve">    TopApplication:</w:t>
      </w:r>
    </w:p>
    <w:p w14:paraId="520674B2" w14:textId="77777777" w:rsidR="007862A2" w:rsidRDefault="007862A2" w:rsidP="007862A2">
      <w:pPr>
        <w:pStyle w:val="PL"/>
      </w:pPr>
      <w:r>
        <w:t xml:space="preserve">      description: Top application that contributes the most to the traffic.</w:t>
      </w:r>
    </w:p>
    <w:p w14:paraId="5CB7B285" w14:textId="77777777" w:rsidR="007862A2" w:rsidRDefault="007862A2" w:rsidP="007862A2">
      <w:pPr>
        <w:pStyle w:val="PL"/>
      </w:pPr>
      <w:r>
        <w:t xml:space="preserve">      type: object</w:t>
      </w:r>
    </w:p>
    <w:p w14:paraId="0E487AB3" w14:textId="77777777" w:rsidR="007862A2" w:rsidRDefault="007862A2" w:rsidP="007862A2">
      <w:pPr>
        <w:pStyle w:val="PL"/>
      </w:pPr>
      <w:r>
        <w:t xml:space="preserve">      properties:</w:t>
      </w:r>
    </w:p>
    <w:p w14:paraId="0D97EB77" w14:textId="77777777" w:rsidR="007862A2" w:rsidRDefault="007862A2" w:rsidP="007862A2">
      <w:pPr>
        <w:pStyle w:val="PL"/>
      </w:pPr>
      <w:r>
        <w:t xml:space="preserve">        appId:</w:t>
      </w:r>
    </w:p>
    <w:p w14:paraId="1830DDD2" w14:textId="77777777" w:rsidR="007862A2" w:rsidRDefault="007862A2" w:rsidP="007862A2">
      <w:pPr>
        <w:pStyle w:val="PL"/>
      </w:pPr>
      <w:r>
        <w:t xml:space="preserve">          $ref: 'TS29571_CommonData.yaml#/components/schemas/ApplicationId'</w:t>
      </w:r>
    </w:p>
    <w:p w14:paraId="25BA6D80" w14:textId="77777777" w:rsidR="007862A2" w:rsidRDefault="007862A2" w:rsidP="007862A2">
      <w:pPr>
        <w:pStyle w:val="PL"/>
      </w:pPr>
      <w:r>
        <w:t xml:space="preserve">        ipTrafficFilter:</w:t>
      </w:r>
    </w:p>
    <w:p w14:paraId="7C07816B" w14:textId="77777777" w:rsidR="007862A2" w:rsidRDefault="007862A2" w:rsidP="007862A2">
      <w:pPr>
        <w:pStyle w:val="PL"/>
      </w:pPr>
      <w:r>
        <w:t xml:space="preserve">          $ref: 'TS29122_CommonData.yaml#/components/schemas/FlowInfo'</w:t>
      </w:r>
    </w:p>
    <w:p w14:paraId="46FCCF5F" w14:textId="77777777" w:rsidR="007862A2" w:rsidRDefault="007862A2" w:rsidP="007862A2">
      <w:pPr>
        <w:pStyle w:val="PL"/>
      </w:pPr>
      <w:r>
        <w:t xml:space="preserve">        ratio:</w:t>
      </w:r>
    </w:p>
    <w:p w14:paraId="6BAC3FC2" w14:textId="77777777" w:rsidR="007862A2" w:rsidRDefault="007862A2" w:rsidP="007862A2">
      <w:pPr>
        <w:pStyle w:val="PL"/>
      </w:pPr>
      <w:r>
        <w:t xml:space="preserve">          $ref: 'TS29571_CommonData.yaml#/components/schemas/SamplingRatio'</w:t>
      </w:r>
    </w:p>
    <w:p w14:paraId="4A16E3EC" w14:textId="77777777" w:rsidR="007862A2" w:rsidRDefault="007862A2" w:rsidP="007862A2">
      <w:pPr>
        <w:pStyle w:val="PL"/>
      </w:pPr>
      <w:r>
        <w:t xml:space="preserve">      oneOf:</w:t>
      </w:r>
    </w:p>
    <w:p w14:paraId="6B32A4AE" w14:textId="77777777" w:rsidR="007862A2" w:rsidRDefault="007862A2" w:rsidP="007862A2">
      <w:pPr>
        <w:pStyle w:val="PL"/>
      </w:pPr>
      <w:r>
        <w:t xml:space="preserve">        - required: [appId]</w:t>
      </w:r>
    </w:p>
    <w:p w14:paraId="10E4A026" w14:textId="77777777" w:rsidR="007862A2" w:rsidRDefault="007862A2" w:rsidP="007862A2">
      <w:pPr>
        <w:pStyle w:val="PL"/>
      </w:pPr>
      <w:r>
        <w:t xml:space="preserve">        - required: [ipTrafficFilter]</w:t>
      </w:r>
    </w:p>
    <w:p w14:paraId="2DE08BE0" w14:textId="77777777" w:rsidR="007862A2" w:rsidRDefault="007862A2" w:rsidP="007862A2">
      <w:pPr>
        <w:pStyle w:val="PL"/>
      </w:pPr>
    </w:p>
    <w:p w14:paraId="1A62E173"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QosSustainabilityInfo:</w:t>
      </w:r>
    </w:p>
    <w:p w14:paraId="5E6FC0C8"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description: Represents the QoS Sustainability information.</w:t>
      </w:r>
    </w:p>
    <w:p w14:paraId="0043A7D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type: object</w:t>
      </w:r>
    </w:p>
    <w:p w14:paraId="3E8B1EF3"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properties:</w:t>
      </w:r>
    </w:p>
    <w:p w14:paraId="7A2F386D"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areaInfo:</w:t>
      </w:r>
    </w:p>
    <w:p w14:paraId="0094A842"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'TS29554_Npcf_BDTPolicyControl.yaml#/components/schemas/NetworkAreaInfo'</w:t>
      </w:r>
    </w:p>
    <w:p w14:paraId="6207ACCA"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w:t>
      </w:r>
      <w:r w:rsidRPr="00F31FE4">
        <w:rPr>
          <w:rFonts w:ascii="Courier New" w:hAnsi="Courier New"/>
          <w:noProof/>
          <w:sz w:val="16"/>
          <w:lang w:eastAsia="zh-CN"/>
        </w:rPr>
        <w:t>fineAreaInfos</w:t>
      </w:r>
      <w:r w:rsidRPr="00F31FE4">
        <w:rPr>
          <w:rFonts w:ascii="Courier New" w:hAnsi="Courier New"/>
          <w:noProof/>
          <w:sz w:val="16"/>
        </w:rPr>
        <w:t>:</w:t>
      </w:r>
    </w:p>
    <w:p w14:paraId="5B7C9FC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type: array</w:t>
      </w:r>
    </w:p>
    <w:p w14:paraId="570B0EF4"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items:</w:t>
      </w:r>
    </w:p>
    <w:p w14:paraId="5E49892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w:t>
      </w:r>
      <w:r w:rsidRPr="00F31FE4">
        <w:rPr>
          <w:rFonts w:ascii="Courier New" w:hAnsi="Courier New" w:cs="Courier New"/>
          <w:noProof/>
          <w:sz w:val="16"/>
          <w:szCs w:val="16"/>
        </w:rPr>
        <w:t>$ref: 'TS29522_AMPolicyAuthorization.yaml#/components/schemas/GeographicalArea'</w:t>
      </w:r>
    </w:p>
    <w:p w14:paraId="4620315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minItems: 1</w:t>
      </w:r>
    </w:p>
    <w:p w14:paraId="5C1237C3"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F31FE4">
        <w:rPr>
          <w:rFonts w:ascii="Courier New" w:hAnsi="Courier New"/>
          <w:noProof/>
          <w:sz w:val="16"/>
        </w:rPr>
        <w:t xml:space="preserve">          description: </w:t>
      </w:r>
      <w:r w:rsidRPr="00F31FE4">
        <w:rPr>
          <w:rFonts w:ascii="Courier New" w:hAnsi="Courier New"/>
          <w:noProof/>
          <w:sz w:val="16"/>
          <w:lang w:eastAsia="zh-CN"/>
        </w:rPr>
        <w:t>&gt;</w:t>
      </w:r>
    </w:p>
    <w:p w14:paraId="41F22D86"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This attribute contains the geographical locations in a fine granularity.</w:t>
      </w:r>
    </w:p>
    <w:p w14:paraId="02C946EC"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startTs:</w:t>
      </w:r>
    </w:p>
    <w:p w14:paraId="7EB28C05"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'TS29571_CommonData.yaml#/components/schemas/DateTime'</w:t>
      </w:r>
    </w:p>
    <w:p w14:paraId="22B2962E"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endTs:</w:t>
      </w:r>
    </w:p>
    <w:p w14:paraId="38381E94"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'TS29571_CommonData.yaml#/components/schemas/DateTime'</w:t>
      </w:r>
    </w:p>
    <w:p w14:paraId="5BF9F2A0"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qosFlowRetThd:</w:t>
      </w:r>
    </w:p>
    <w:p w14:paraId="1EDDBC51"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'#/components/schemas/RetainabilityThreshold'</w:t>
      </w:r>
    </w:p>
    <w:p w14:paraId="3B8E4140"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ranUeThrouThd:</w:t>
      </w:r>
    </w:p>
    <w:p w14:paraId="5B69F536" w14:textId="77777777" w:rsidR="00C869EF"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'TS29571_CommonData.yaml#/components/schemas/BitRate'</w:t>
      </w:r>
    </w:p>
    <w:p w14:paraId="0AF104F8"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w:t>
      </w:r>
      <w:r>
        <w:rPr>
          <w:rFonts w:ascii="Courier New" w:hAnsi="Courier New"/>
          <w:noProof/>
          <w:sz w:val="16"/>
        </w:rPr>
        <w:t>e2eDelay</w:t>
      </w:r>
      <w:r w:rsidRPr="00F31FE4">
        <w:rPr>
          <w:rFonts w:ascii="Courier New" w:hAnsi="Courier New"/>
          <w:noProof/>
          <w:sz w:val="16"/>
        </w:rPr>
        <w:t>Thd:</w:t>
      </w:r>
    </w:p>
    <w:p w14:paraId="5B58443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lastRenderedPageBreak/>
        <w:t xml:space="preserve">          $ref: 'TS29571_CommonData.yaml#/components/schemas/</w:t>
      </w:r>
      <w:r>
        <w:rPr>
          <w:rFonts w:ascii="Courier New" w:hAnsi="Courier New"/>
          <w:noProof/>
          <w:sz w:val="16"/>
        </w:rPr>
        <w:t>PacketDelBudget</w:t>
      </w:r>
      <w:r w:rsidRPr="00F31FE4">
        <w:rPr>
          <w:rFonts w:ascii="Courier New" w:hAnsi="Courier New"/>
          <w:noProof/>
          <w:sz w:val="16"/>
        </w:rPr>
        <w:t>'</w:t>
      </w:r>
    </w:p>
    <w:p w14:paraId="643E76B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snssai:</w:t>
      </w:r>
    </w:p>
    <w:p w14:paraId="4B5DC1F8"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'TS29571_CommonData.yaml#/components/schemas/Snssai'</w:t>
      </w:r>
    </w:p>
    <w:p w14:paraId="66E71F5B"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confidence:</w:t>
      </w:r>
    </w:p>
    <w:p w14:paraId="4BAAE536"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$ref: 'TS29571_CommonData.yaml#/components/schemas/Uinteger'</w:t>
      </w:r>
    </w:p>
    <w:p w14:paraId="76282BD2"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one</w:t>
      </w:r>
      <w:r w:rsidRPr="00F31FE4">
        <w:rPr>
          <w:rFonts w:ascii="Courier New" w:hAnsi="Courier New"/>
          <w:noProof/>
          <w:sz w:val="16"/>
          <w:lang w:val="en-US" w:eastAsia="zh-CN"/>
        </w:rPr>
        <w:t>O</w:t>
      </w:r>
      <w:r w:rsidRPr="00F31FE4">
        <w:rPr>
          <w:rFonts w:ascii="Courier New" w:hAnsi="Courier New"/>
          <w:noProof/>
          <w:sz w:val="16"/>
        </w:rPr>
        <w:t>f:</w:t>
      </w:r>
    </w:p>
    <w:p w14:paraId="7E260402"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 required: [qosFlowRetThd]</w:t>
      </w:r>
    </w:p>
    <w:p w14:paraId="1374B026" w14:textId="77777777" w:rsidR="00C869EF"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 required: [ranUeThrouThd]</w:t>
      </w:r>
    </w:p>
    <w:p w14:paraId="7E96592C" w14:textId="77777777" w:rsidR="00C869EF" w:rsidRPr="00F31FE4" w:rsidRDefault="00C869EF" w:rsidP="00C869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31FE4">
        <w:rPr>
          <w:rFonts w:ascii="Courier New" w:hAnsi="Courier New"/>
          <w:noProof/>
          <w:sz w:val="16"/>
        </w:rPr>
        <w:t xml:space="preserve">        - required: [</w:t>
      </w:r>
      <w:r>
        <w:rPr>
          <w:rFonts w:ascii="Courier New" w:hAnsi="Courier New"/>
          <w:noProof/>
          <w:sz w:val="16"/>
        </w:rPr>
        <w:t>e2eDelay</w:t>
      </w:r>
      <w:r w:rsidRPr="00F31FE4">
        <w:rPr>
          <w:rFonts w:ascii="Courier New" w:hAnsi="Courier New"/>
          <w:noProof/>
          <w:sz w:val="16"/>
        </w:rPr>
        <w:t>Thd]</w:t>
      </w:r>
    </w:p>
    <w:p w14:paraId="68E7F61A" w14:textId="77777777" w:rsidR="007862A2" w:rsidRDefault="007862A2" w:rsidP="007862A2">
      <w:pPr>
        <w:pStyle w:val="PL"/>
      </w:pPr>
    </w:p>
    <w:p w14:paraId="25D92CDF" w14:textId="77777777" w:rsidR="007862A2" w:rsidRDefault="007862A2" w:rsidP="007862A2">
      <w:pPr>
        <w:pStyle w:val="PL"/>
      </w:pPr>
      <w:r>
        <w:t xml:space="preserve">    QosRequirement:</w:t>
      </w:r>
    </w:p>
    <w:p w14:paraId="179B304B" w14:textId="77777777" w:rsidR="007862A2" w:rsidRDefault="007862A2" w:rsidP="007862A2">
      <w:pPr>
        <w:pStyle w:val="PL"/>
      </w:pPr>
      <w:r>
        <w:t xml:space="preserve">      description: Represents the QoS requirements.</w:t>
      </w:r>
    </w:p>
    <w:p w14:paraId="37987973" w14:textId="77777777" w:rsidR="007862A2" w:rsidRDefault="007862A2" w:rsidP="007862A2">
      <w:pPr>
        <w:pStyle w:val="PL"/>
      </w:pPr>
      <w:r>
        <w:t xml:space="preserve">      type: object</w:t>
      </w:r>
    </w:p>
    <w:p w14:paraId="6F780033" w14:textId="77777777" w:rsidR="007862A2" w:rsidRDefault="007862A2" w:rsidP="007862A2">
      <w:pPr>
        <w:pStyle w:val="PL"/>
      </w:pPr>
      <w:r>
        <w:t xml:space="preserve">      properties:</w:t>
      </w:r>
    </w:p>
    <w:p w14:paraId="69AC930B" w14:textId="77777777" w:rsidR="007862A2" w:rsidRDefault="007862A2" w:rsidP="007862A2">
      <w:pPr>
        <w:pStyle w:val="PL"/>
      </w:pPr>
      <w:r>
        <w:t xml:space="preserve">        5qi:</w:t>
      </w:r>
    </w:p>
    <w:p w14:paraId="1C920A34" w14:textId="77777777" w:rsidR="007862A2" w:rsidRDefault="007862A2" w:rsidP="007862A2">
      <w:pPr>
        <w:pStyle w:val="PL"/>
      </w:pPr>
      <w:r>
        <w:t xml:space="preserve">          $ref: 'TS29571_CommonData.yaml#/components/schemas/5Qi'</w:t>
      </w:r>
    </w:p>
    <w:p w14:paraId="299E3460" w14:textId="77777777" w:rsidR="007862A2" w:rsidRDefault="007862A2" w:rsidP="007862A2">
      <w:pPr>
        <w:pStyle w:val="PL"/>
      </w:pPr>
      <w:r>
        <w:t xml:space="preserve">        gfbrUl:</w:t>
      </w:r>
    </w:p>
    <w:p w14:paraId="354C054B" w14:textId="77777777" w:rsidR="007862A2" w:rsidRDefault="007862A2" w:rsidP="007862A2">
      <w:pPr>
        <w:pStyle w:val="PL"/>
      </w:pPr>
      <w:r>
        <w:t xml:space="preserve">          $ref: 'TS29571_CommonData.yaml#/components/schemas/BitRate'</w:t>
      </w:r>
    </w:p>
    <w:p w14:paraId="4073CD7C" w14:textId="77777777" w:rsidR="007862A2" w:rsidRDefault="007862A2" w:rsidP="007862A2">
      <w:pPr>
        <w:pStyle w:val="PL"/>
      </w:pPr>
      <w:r>
        <w:t xml:space="preserve">        gfbrDl:</w:t>
      </w:r>
    </w:p>
    <w:p w14:paraId="359EF393" w14:textId="77777777" w:rsidR="007862A2" w:rsidRDefault="007862A2" w:rsidP="007862A2">
      <w:pPr>
        <w:pStyle w:val="PL"/>
      </w:pPr>
      <w:r>
        <w:t xml:space="preserve">          $ref: 'TS29571_CommonData.yaml#/components/schemas/BitRate'</w:t>
      </w:r>
    </w:p>
    <w:p w14:paraId="2DF32CF7" w14:textId="77777777" w:rsidR="007862A2" w:rsidRDefault="007862A2" w:rsidP="007862A2">
      <w:pPr>
        <w:pStyle w:val="PL"/>
      </w:pPr>
      <w:r>
        <w:t xml:space="preserve">        resType:</w:t>
      </w:r>
    </w:p>
    <w:p w14:paraId="6510BC0C" w14:textId="77777777" w:rsidR="007862A2" w:rsidRDefault="007862A2" w:rsidP="007862A2">
      <w:pPr>
        <w:pStyle w:val="PL"/>
      </w:pPr>
      <w:r>
        <w:t xml:space="preserve">          $ref: 'TS29571_CommonData.yaml#/components/schemas/QosResourceType'</w:t>
      </w:r>
    </w:p>
    <w:p w14:paraId="4E0AFAAA" w14:textId="77777777" w:rsidR="007862A2" w:rsidRDefault="007862A2" w:rsidP="007862A2">
      <w:pPr>
        <w:pStyle w:val="PL"/>
      </w:pPr>
      <w:r>
        <w:t xml:space="preserve">        pdb:</w:t>
      </w:r>
    </w:p>
    <w:p w14:paraId="163F3197" w14:textId="77777777" w:rsidR="007862A2" w:rsidRDefault="007862A2" w:rsidP="007862A2">
      <w:pPr>
        <w:pStyle w:val="PL"/>
      </w:pPr>
      <w:r>
        <w:t xml:space="preserve">          $ref: 'TS29571_CommonData.yaml#/components/schemas/PacketDelBudget'</w:t>
      </w:r>
    </w:p>
    <w:p w14:paraId="115E1B91" w14:textId="77777777" w:rsidR="007862A2" w:rsidRDefault="007862A2" w:rsidP="007862A2">
      <w:pPr>
        <w:pStyle w:val="PL"/>
      </w:pPr>
      <w:r>
        <w:t xml:space="preserve">        per:</w:t>
      </w:r>
    </w:p>
    <w:p w14:paraId="62543582" w14:textId="77777777" w:rsidR="007862A2" w:rsidRDefault="007862A2" w:rsidP="007862A2">
      <w:pPr>
        <w:pStyle w:val="PL"/>
      </w:pPr>
      <w:r>
        <w:t xml:space="preserve">          $ref: 'TS29571_CommonData.yaml#/components/schemas/PacketErrRate'</w:t>
      </w:r>
    </w:p>
    <w:p w14:paraId="5395A008" w14:textId="77777777" w:rsidR="007862A2" w:rsidRDefault="007862A2" w:rsidP="007862A2">
      <w:pPr>
        <w:pStyle w:val="PL"/>
      </w:pPr>
      <w:r>
        <w:t xml:space="preserve">        </w:t>
      </w:r>
      <w:r>
        <w:rPr>
          <w:lang w:eastAsia="zh-CN"/>
        </w:rPr>
        <w:t>deviceSpeed</w:t>
      </w:r>
      <w:r>
        <w:t>:</w:t>
      </w:r>
    </w:p>
    <w:p w14:paraId="2E292AA6" w14:textId="77777777" w:rsidR="007862A2" w:rsidRDefault="007862A2" w:rsidP="007862A2">
      <w:pPr>
        <w:pStyle w:val="PL"/>
      </w:pPr>
      <w:r>
        <w:t xml:space="preserve">          $ref: 'TS29572_Nlmf_Location.yaml#/components/schemas/VelocityEstimate'</w:t>
      </w:r>
    </w:p>
    <w:p w14:paraId="7C55F0AD" w14:textId="77777777" w:rsidR="007862A2" w:rsidRDefault="007862A2" w:rsidP="007862A2">
      <w:pPr>
        <w:pStyle w:val="PL"/>
      </w:pPr>
      <w:r>
        <w:t xml:space="preserve">        </w:t>
      </w:r>
      <w:r>
        <w:rPr>
          <w:rFonts w:hint="eastAsia"/>
          <w:lang w:eastAsia="zh-CN"/>
        </w:rPr>
        <w:t>d</w:t>
      </w:r>
      <w:r>
        <w:rPr>
          <w:lang w:eastAsia="zh-CN"/>
        </w:rPr>
        <w:t>eviceType</w:t>
      </w:r>
      <w:r>
        <w:t>:</w:t>
      </w:r>
    </w:p>
    <w:p w14:paraId="07FF1CE7" w14:textId="77777777" w:rsidR="007862A2" w:rsidRDefault="007862A2" w:rsidP="007862A2">
      <w:pPr>
        <w:pStyle w:val="PL"/>
      </w:pPr>
      <w:r>
        <w:t xml:space="preserve">          $ref: '#/components/schemas/</w:t>
      </w:r>
      <w:r>
        <w:rPr>
          <w:rFonts w:hint="eastAsia"/>
          <w:lang w:eastAsia="zh-CN"/>
        </w:rPr>
        <w:t>D</w:t>
      </w:r>
      <w:r>
        <w:rPr>
          <w:lang w:eastAsia="zh-CN"/>
        </w:rPr>
        <w:t>eviceType</w:t>
      </w:r>
      <w:r>
        <w:t>'</w:t>
      </w:r>
    </w:p>
    <w:p w14:paraId="61048DBA" w14:textId="77777777" w:rsidR="007862A2" w:rsidRDefault="007862A2" w:rsidP="007862A2">
      <w:pPr>
        <w:pStyle w:val="PL"/>
      </w:pPr>
      <w:r>
        <w:t xml:space="preserve">      oneOf:</w:t>
      </w:r>
    </w:p>
    <w:p w14:paraId="06BE012D" w14:textId="77777777" w:rsidR="007862A2" w:rsidRDefault="007862A2" w:rsidP="007862A2">
      <w:pPr>
        <w:pStyle w:val="PL"/>
      </w:pPr>
      <w:r>
        <w:t xml:space="preserve">        - required: [5qi]</w:t>
      </w:r>
    </w:p>
    <w:p w14:paraId="423FBE57" w14:textId="77777777" w:rsidR="007862A2" w:rsidRDefault="007862A2" w:rsidP="007862A2">
      <w:pPr>
        <w:pStyle w:val="PL"/>
      </w:pPr>
      <w:r>
        <w:t xml:space="preserve">        - required: [resType]</w:t>
      </w:r>
    </w:p>
    <w:p w14:paraId="2275E2C7" w14:textId="77777777" w:rsidR="007862A2" w:rsidRDefault="007862A2" w:rsidP="007862A2">
      <w:pPr>
        <w:pStyle w:val="PL"/>
      </w:pPr>
    </w:p>
    <w:p w14:paraId="1F89B799" w14:textId="77777777" w:rsidR="007862A2" w:rsidRDefault="007862A2" w:rsidP="007862A2">
      <w:pPr>
        <w:pStyle w:val="PL"/>
      </w:pPr>
      <w:r>
        <w:t xml:space="preserve">    ThresholdLevel:</w:t>
      </w:r>
    </w:p>
    <w:p w14:paraId="0155311E" w14:textId="77777777" w:rsidR="007862A2" w:rsidRDefault="007862A2" w:rsidP="007862A2">
      <w:pPr>
        <w:pStyle w:val="PL"/>
      </w:pPr>
      <w:r>
        <w:t xml:space="preserve">      description: Represents a threshold level.</w:t>
      </w:r>
    </w:p>
    <w:p w14:paraId="3C49F8C8" w14:textId="77777777" w:rsidR="007862A2" w:rsidRDefault="007862A2" w:rsidP="007862A2">
      <w:pPr>
        <w:pStyle w:val="PL"/>
      </w:pPr>
      <w:r>
        <w:t xml:space="preserve">      type: object</w:t>
      </w:r>
    </w:p>
    <w:p w14:paraId="7CD9E2ED" w14:textId="77777777" w:rsidR="007862A2" w:rsidRDefault="007862A2" w:rsidP="007862A2">
      <w:pPr>
        <w:pStyle w:val="PL"/>
      </w:pPr>
      <w:r>
        <w:t xml:space="preserve">      properties:</w:t>
      </w:r>
    </w:p>
    <w:p w14:paraId="4DE39456" w14:textId="77777777" w:rsidR="007862A2" w:rsidRDefault="007862A2" w:rsidP="007862A2">
      <w:pPr>
        <w:pStyle w:val="PL"/>
      </w:pPr>
      <w:r>
        <w:t xml:space="preserve">        congLevel:</w:t>
      </w:r>
    </w:p>
    <w:p w14:paraId="2EBE72FF" w14:textId="77777777" w:rsidR="007862A2" w:rsidRDefault="007862A2" w:rsidP="007862A2">
      <w:pPr>
        <w:pStyle w:val="PL"/>
      </w:pPr>
      <w:r>
        <w:t xml:space="preserve">          type: integer</w:t>
      </w:r>
    </w:p>
    <w:p w14:paraId="5B4E6C9D" w14:textId="77777777" w:rsidR="007862A2" w:rsidRDefault="007862A2" w:rsidP="007862A2">
      <w:pPr>
        <w:pStyle w:val="PL"/>
      </w:pPr>
      <w:r>
        <w:t xml:space="preserve">        nfLoadLevel:</w:t>
      </w:r>
    </w:p>
    <w:p w14:paraId="6AA9A3EA" w14:textId="77777777" w:rsidR="007862A2" w:rsidRDefault="007862A2" w:rsidP="007862A2">
      <w:pPr>
        <w:pStyle w:val="PL"/>
      </w:pPr>
      <w:r>
        <w:t xml:space="preserve">          type: integer</w:t>
      </w:r>
    </w:p>
    <w:p w14:paraId="090242E5" w14:textId="77777777" w:rsidR="007862A2" w:rsidRDefault="007862A2" w:rsidP="007862A2">
      <w:pPr>
        <w:pStyle w:val="PL"/>
      </w:pPr>
      <w:r>
        <w:t xml:space="preserve">        nfCpuUsage:</w:t>
      </w:r>
    </w:p>
    <w:p w14:paraId="36CCFA79" w14:textId="77777777" w:rsidR="007862A2" w:rsidRDefault="007862A2" w:rsidP="007862A2">
      <w:pPr>
        <w:pStyle w:val="PL"/>
      </w:pPr>
      <w:r>
        <w:t xml:space="preserve">          type: integer</w:t>
      </w:r>
    </w:p>
    <w:p w14:paraId="70B1BF08" w14:textId="77777777" w:rsidR="007862A2" w:rsidRDefault="007862A2" w:rsidP="007862A2">
      <w:pPr>
        <w:pStyle w:val="PL"/>
      </w:pPr>
      <w:r>
        <w:t xml:space="preserve">        nfMemoryUsage:</w:t>
      </w:r>
    </w:p>
    <w:p w14:paraId="6DFA9642" w14:textId="77777777" w:rsidR="007862A2" w:rsidRDefault="007862A2" w:rsidP="007862A2">
      <w:pPr>
        <w:pStyle w:val="PL"/>
      </w:pPr>
      <w:r>
        <w:t xml:space="preserve">          type: integer</w:t>
      </w:r>
    </w:p>
    <w:p w14:paraId="416341A9" w14:textId="77777777" w:rsidR="007862A2" w:rsidRDefault="007862A2" w:rsidP="007862A2">
      <w:pPr>
        <w:pStyle w:val="PL"/>
      </w:pPr>
      <w:r>
        <w:t xml:space="preserve">        nfStorageUsage:</w:t>
      </w:r>
    </w:p>
    <w:p w14:paraId="17DAC897" w14:textId="77777777" w:rsidR="007862A2" w:rsidRDefault="007862A2" w:rsidP="007862A2">
      <w:pPr>
        <w:pStyle w:val="PL"/>
      </w:pPr>
      <w:r>
        <w:t xml:space="preserve">          type: integer</w:t>
      </w:r>
    </w:p>
    <w:p w14:paraId="3F4DF450" w14:textId="77777777" w:rsidR="007862A2" w:rsidRDefault="007862A2" w:rsidP="007862A2">
      <w:pPr>
        <w:pStyle w:val="PL"/>
      </w:pPr>
      <w:r>
        <w:t xml:space="preserve">        </w:t>
      </w:r>
      <w:r>
        <w:rPr>
          <w:lang w:eastAsia="zh-CN"/>
        </w:rPr>
        <w:t>avgTrafficRate</w:t>
      </w:r>
      <w:r>
        <w:t>:</w:t>
      </w:r>
    </w:p>
    <w:p w14:paraId="2CA28864" w14:textId="77777777" w:rsidR="007862A2" w:rsidRDefault="007862A2" w:rsidP="007862A2">
      <w:pPr>
        <w:pStyle w:val="PL"/>
      </w:pPr>
      <w:r>
        <w:t xml:space="preserve">          $ref: 'TS29571_CommonData.yaml#/components/schemas/BitRate'</w:t>
      </w:r>
    </w:p>
    <w:p w14:paraId="72572A4F" w14:textId="77777777" w:rsidR="007862A2" w:rsidRDefault="007862A2" w:rsidP="007862A2">
      <w:pPr>
        <w:pStyle w:val="PL"/>
      </w:pPr>
      <w:r>
        <w:t xml:space="preserve">        maxTrafficRate:</w:t>
      </w:r>
    </w:p>
    <w:p w14:paraId="14FF0B91" w14:textId="77777777" w:rsidR="007862A2" w:rsidRDefault="007862A2" w:rsidP="007862A2">
      <w:pPr>
        <w:pStyle w:val="PL"/>
      </w:pPr>
      <w:r>
        <w:rPr>
          <w:lang w:val="en-US"/>
        </w:rPr>
        <w:t xml:space="preserve">          </w:t>
      </w:r>
      <w:r>
        <w:t>$ref: 'TS29571_CommonData.yaml#/components/schemas/BitRate'</w:t>
      </w:r>
    </w:p>
    <w:p w14:paraId="176B7EB0" w14:textId="77777777" w:rsidR="007862A2" w:rsidRDefault="007862A2" w:rsidP="007862A2">
      <w:pPr>
        <w:pStyle w:val="PL"/>
      </w:pPr>
      <w:r>
        <w:t xml:space="preserve">        </w:t>
      </w:r>
      <w:r>
        <w:rPr>
          <w:lang w:eastAsia="zh-CN"/>
        </w:rPr>
        <w:t>minTrafficRate</w:t>
      </w:r>
      <w:r>
        <w:t>:</w:t>
      </w:r>
    </w:p>
    <w:p w14:paraId="11E7E495" w14:textId="77777777" w:rsidR="007862A2" w:rsidRDefault="007862A2" w:rsidP="007862A2">
      <w:pPr>
        <w:pStyle w:val="PL"/>
      </w:pPr>
      <w:r>
        <w:t xml:space="preserve">          $ref: 'TS29571_CommonData.yaml#/components/schemas/BitRate'</w:t>
      </w:r>
    </w:p>
    <w:p w14:paraId="0838D5EA" w14:textId="77777777" w:rsidR="007862A2" w:rsidRDefault="007862A2" w:rsidP="007862A2">
      <w:pPr>
        <w:pStyle w:val="PL"/>
      </w:pPr>
      <w:r>
        <w:t xml:space="preserve">        aggTrafficRate:</w:t>
      </w:r>
    </w:p>
    <w:p w14:paraId="077324D0" w14:textId="77777777" w:rsidR="007862A2" w:rsidRDefault="007862A2" w:rsidP="007862A2">
      <w:pPr>
        <w:pStyle w:val="PL"/>
      </w:pPr>
      <w:r>
        <w:rPr>
          <w:lang w:val="en-US"/>
        </w:rPr>
        <w:t xml:space="preserve">          </w:t>
      </w:r>
      <w:r>
        <w:t>$ref: 'TS29571_CommonData.yaml#/components/schemas/BitRate'</w:t>
      </w:r>
    </w:p>
    <w:p w14:paraId="6757F8E1" w14:textId="77777777" w:rsidR="007862A2" w:rsidRDefault="007862A2" w:rsidP="007862A2">
      <w:pPr>
        <w:pStyle w:val="PL"/>
      </w:pPr>
      <w:r>
        <w:t xml:space="preserve">        </w:t>
      </w:r>
      <w:r>
        <w:rPr>
          <w:lang w:eastAsia="zh-CN"/>
        </w:rPr>
        <w:t>varTrafficRate</w:t>
      </w:r>
      <w:r>
        <w:t>:</w:t>
      </w:r>
    </w:p>
    <w:p w14:paraId="34F3CE38" w14:textId="77777777" w:rsidR="007862A2" w:rsidRDefault="007862A2" w:rsidP="007862A2">
      <w:pPr>
        <w:pStyle w:val="PL"/>
      </w:pPr>
      <w:r>
        <w:t xml:space="preserve">          $ref: 'TS29571_CommonData.yaml#/components/schemas/Float'</w:t>
      </w:r>
    </w:p>
    <w:p w14:paraId="083B0533" w14:textId="77777777" w:rsidR="007862A2" w:rsidRDefault="007862A2" w:rsidP="007862A2">
      <w:pPr>
        <w:pStyle w:val="PL"/>
      </w:pPr>
      <w:r>
        <w:t xml:space="preserve">        </w:t>
      </w:r>
      <w:r>
        <w:rPr>
          <w:lang w:eastAsia="zh-CN"/>
        </w:rPr>
        <w:t>avgPacketDelay</w:t>
      </w:r>
      <w:r>
        <w:t>:</w:t>
      </w:r>
    </w:p>
    <w:p w14:paraId="5B433A9C"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3D2C5EA5" w14:textId="77777777" w:rsidR="007862A2" w:rsidRDefault="007862A2" w:rsidP="007862A2">
      <w:pPr>
        <w:pStyle w:val="PL"/>
      </w:pPr>
      <w:r>
        <w:t xml:space="preserve">        </w:t>
      </w:r>
      <w:r>
        <w:rPr>
          <w:lang w:eastAsia="zh-CN"/>
        </w:rPr>
        <w:t>maxPacketDelay</w:t>
      </w:r>
      <w:r>
        <w:t>:</w:t>
      </w:r>
    </w:p>
    <w:p w14:paraId="6A37AFF6" w14:textId="77777777" w:rsidR="007862A2" w:rsidRDefault="007862A2" w:rsidP="007862A2">
      <w:pPr>
        <w:pStyle w:val="PL"/>
        <w:rPr>
          <w:lang w:val="en-US" w:eastAsia="es-ES"/>
        </w:rPr>
      </w:pPr>
      <w:r>
        <w:t xml:space="preserve">          </w:t>
      </w:r>
      <w:r>
        <w:rPr>
          <w:lang w:val="en-US" w:eastAsia="es-ES"/>
        </w:rPr>
        <w:t>$ref: 'TS29571_CommonData.yaml#/components/schemas/</w:t>
      </w:r>
      <w:r>
        <w:t>PacketDelBudget</w:t>
      </w:r>
      <w:r>
        <w:rPr>
          <w:lang w:val="en-US" w:eastAsia="es-ES"/>
        </w:rPr>
        <w:t>'</w:t>
      </w:r>
    </w:p>
    <w:p w14:paraId="75667044" w14:textId="77777777" w:rsidR="007862A2" w:rsidRDefault="007862A2" w:rsidP="007862A2">
      <w:pPr>
        <w:pStyle w:val="PL"/>
      </w:pPr>
      <w:r>
        <w:t xml:space="preserve">        </w:t>
      </w:r>
      <w:r>
        <w:rPr>
          <w:lang w:eastAsia="zh-CN"/>
        </w:rPr>
        <w:t>varPacketDelay</w:t>
      </w:r>
      <w:r>
        <w:t>:</w:t>
      </w:r>
    </w:p>
    <w:p w14:paraId="75EDE33A" w14:textId="77777777" w:rsidR="007862A2" w:rsidRDefault="007862A2" w:rsidP="007862A2">
      <w:pPr>
        <w:pStyle w:val="PL"/>
      </w:pPr>
      <w:r>
        <w:t xml:space="preserve">          $ref: 'TS29571_CommonData.yaml#/components/schemas/Float'</w:t>
      </w:r>
    </w:p>
    <w:p w14:paraId="42331218" w14:textId="77777777" w:rsidR="007862A2" w:rsidRDefault="007862A2" w:rsidP="007862A2">
      <w:pPr>
        <w:pStyle w:val="PL"/>
      </w:pPr>
      <w:r>
        <w:t xml:space="preserve">        </w:t>
      </w:r>
      <w:r>
        <w:rPr>
          <w:lang w:eastAsia="zh-CN"/>
        </w:rPr>
        <w:t>avgPacketLossRate</w:t>
      </w:r>
      <w:r>
        <w:t>:</w:t>
      </w:r>
    </w:p>
    <w:p w14:paraId="3C49FD75"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7D8D4A11" w14:textId="77777777" w:rsidR="007862A2" w:rsidRDefault="007862A2" w:rsidP="007862A2">
      <w:pPr>
        <w:pStyle w:val="PL"/>
      </w:pPr>
      <w:r>
        <w:t xml:space="preserve">        </w:t>
      </w:r>
      <w:r>
        <w:rPr>
          <w:lang w:eastAsia="zh-CN"/>
        </w:rPr>
        <w:t>maxPacketLossRate</w:t>
      </w:r>
      <w:r>
        <w:t>:</w:t>
      </w:r>
    </w:p>
    <w:p w14:paraId="305F62D7"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565FA4E6" w14:textId="77777777" w:rsidR="007862A2" w:rsidRDefault="007862A2" w:rsidP="007862A2">
      <w:pPr>
        <w:pStyle w:val="PL"/>
      </w:pPr>
      <w:r>
        <w:t xml:space="preserve">        </w:t>
      </w:r>
      <w:r>
        <w:rPr>
          <w:lang w:eastAsia="zh-CN"/>
        </w:rPr>
        <w:t>varPacketLossRate</w:t>
      </w:r>
      <w:r>
        <w:t>:</w:t>
      </w:r>
    </w:p>
    <w:p w14:paraId="2E4600BE" w14:textId="77777777" w:rsidR="007862A2" w:rsidRDefault="007862A2" w:rsidP="007862A2">
      <w:pPr>
        <w:pStyle w:val="PL"/>
      </w:pPr>
      <w:r>
        <w:t xml:space="preserve">          $ref: 'TS29571_CommonData.yaml#/components/schemas/Float'</w:t>
      </w:r>
    </w:p>
    <w:p w14:paraId="4E975629" w14:textId="77777777" w:rsidR="007862A2" w:rsidRDefault="007862A2" w:rsidP="007862A2">
      <w:pPr>
        <w:pStyle w:val="PL"/>
      </w:pPr>
      <w:r>
        <w:t xml:space="preserve">        svcExpLevel:</w:t>
      </w:r>
    </w:p>
    <w:p w14:paraId="1ED13445" w14:textId="77777777" w:rsidR="007862A2" w:rsidRDefault="007862A2" w:rsidP="007862A2">
      <w:pPr>
        <w:pStyle w:val="PL"/>
      </w:pPr>
      <w:r>
        <w:t xml:space="preserve">          $ref: 'TS29571_CommonData.yaml#/components/schemas/Float'</w:t>
      </w:r>
    </w:p>
    <w:p w14:paraId="5ACEF895" w14:textId="77777777" w:rsidR="007862A2" w:rsidRDefault="007862A2" w:rsidP="007862A2">
      <w:pPr>
        <w:pStyle w:val="PL"/>
      </w:pPr>
      <w:r>
        <w:t xml:space="preserve">        speed:</w:t>
      </w:r>
    </w:p>
    <w:p w14:paraId="51234AD6" w14:textId="77777777" w:rsidR="007862A2" w:rsidRDefault="007862A2" w:rsidP="007862A2">
      <w:pPr>
        <w:pStyle w:val="PL"/>
      </w:pPr>
      <w:r>
        <w:t xml:space="preserve">          $ref: 'TS29571_CommonData.yaml#/components/schemas/Float'</w:t>
      </w:r>
    </w:p>
    <w:p w14:paraId="51FAE45C" w14:textId="77777777" w:rsidR="007862A2" w:rsidRDefault="007862A2" w:rsidP="007862A2">
      <w:pPr>
        <w:pStyle w:val="PL"/>
      </w:pPr>
    </w:p>
    <w:p w14:paraId="2117777D" w14:textId="77777777" w:rsidR="007862A2" w:rsidRDefault="007862A2" w:rsidP="007862A2">
      <w:pPr>
        <w:pStyle w:val="PL"/>
      </w:pPr>
      <w:r>
        <w:t xml:space="preserve">    NfLoadLevelInformation:</w:t>
      </w:r>
    </w:p>
    <w:p w14:paraId="1C4FB6A0" w14:textId="77777777" w:rsidR="007862A2" w:rsidRDefault="007862A2" w:rsidP="007862A2">
      <w:pPr>
        <w:pStyle w:val="PL"/>
      </w:pPr>
      <w:r>
        <w:t xml:space="preserve">      description: Represents load level information of a given NF instance.</w:t>
      </w:r>
    </w:p>
    <w:p w14:paraId="391DE527" w14:textId="77777777" w:rsidR="007862A2" w:rsidRDefault="007862A2" w:rsidP="007862A2">
      <w:pPr>
        <w:pStyle w:val="PL"/>
      </w:pPr>
      <w:r>
        <w:t xml:space="preserve">      type: object</w:t>
      </w:r>
    </w:p>
    <w:p w14:paraId="4AECD884" w14:textId="77777777" w:rsidR="007862A2" w:rsidRDefault="007862A2" w:rsidP="007862A2">
      <w:pPr>
        <w:pStyle w:val="PL"/>
      </w:pPr>
      <w:r>
        <w:lastRenderedPageBreak/>
        <w:t xml:space="preserve">      properties:</w:t>
      </w:r>
    </w:p>
    <w:p w14:paraId="7B3B2780" w14:textId="77777777" w:rsidR="007862A2" w:rsidRDefault="007862A2" w:rsidP="007862A2">
      <w:pPr>
        <w:pStyle w:val="PL"/>
      </w:pPr>
      <w:r>
        <w:t xml:space="preserve">        nfType:</w:t>
      </w:r>
    </w:p>
    <w:p w14:paraId="27675AC1" w14:textId="77777777" w:rsidR="007862A2" w:rsidRDefault="007862A2" w:rsidP="007862A2">
      <w:pPr>
        <w:pStyle w:val="PL"/>
      </w:pPr>
      <w:r>
        <w:t xml:space="preserve">          $ref: 'TS29510_Nnrf_NFManagement.yaml#/components/schemas/NFType'</w:t>
      </w:r>
    </w:p>
    <w:p w14:paraId="43115E54" w14:textId="77777777" w:rsidR="007862A2" w:rsidRDefault="007862A2" w:rsidP="007862A2">
      <w:pPr>
        <w:pStyle w:val="PL"/>
      </w:pPr>
      <w:r>
        <w:t xml:space="preserve">        nfInstanceId:</w:t>
      </w:r>
    </w:p>
    <w:p w14:paraId="0C5C898C" w14:textId="77777777" w:rsidR="007862A2" w:rsidRDefault="007862A2" w:rsidP="007862A2">
      <w:pPr>
        <w:pStyle w:val="PL"/>
      </w:pPr>
      <w:r>
        <w:t xml:space="preserve">          $ref: 'TS29571_CommonData.yaml#/components/schemas/NfInstanceId'</w:t>
      </w:r>
    </w:p>
    <w:p w14:paraId="551568D8" w14:textId="77777777" w:rsidR="007862A2" w:rsidRDefault="007862A2" w:rsidP="007862A2">
      <w:pPr>
        <w:pStyle w:val="PL"/>
      </w:pPr>
      <w:r>
        <w:t xml:space="preserve">        nfSetId:</w:t>
      </w:r>
    </w:p>
    <w:p w14:paraId="31640E05" w14:textId="77777777" w:rsidR="007862A2" w:rsidRDefault="007862A2" w:rsidP="007862A2">
      <w:pPr>
        <w:pStyle w:val="PL"/>
      </w:pPr>
      <w:r>
        <w:t xml:space="preserve">          $ref: 'TS29571_CommonData.yaml#/components/schemas/NfSetId'</w:t>
      </w:r>
    </w:p>
    <w:p w14:paraId="667AB0B4" w14:textId="77777777" w:rsidR="007862A2" w:rsidRDefault="007862A2" w:rsidP="007862A2">
      <w:pPr>
        <w:pStyle w:val="PL"/>
      </w:pPr>
      <w:r>
        <w:t xml:space="preserve">        nfStatus:</w:t>
      </w:r>
    </w:p>
    <w:p w14:paraId="0BD9CFE5" w14:textId="77777777" w:rsidR="007862A2" w:rsidRDefault="007862A2" w:rsidP="007862A2">
      <w:pPr>
        <w:pStyle w:val="PL"/>
      </w:pPr>
      <w:r>
        <w:t xml:space="preserve">          $ref: '#/components/schemas/NfStatus'</w:t>
      </w:r>
    </w:p>
    <w:p w14:paraId="3E094A40" w14:textId="77777777" w:rsidR="007862A2" w:rsidRDefault="007862A2" w:rsidP="007862A2">
      <w:pPr>
        <w:pStyle w:val="PL"/>
      </w:pPr>
      <w:r>
        <w:t xml:space="preserve">        nfCpuUsage:</w:t>
      </w:r>
    </w:p>
    <w:p w14:paraId="05724CB9" w14:textId="77777777" w:rsidR="007862A2" w:rsidRDefault="007862A2" w:rsidP="007862A2">
      <w:pPr>
        <w:pStyle w:val="PL"/>
      </w:pPr>
      <w:r>
        <w:t xml:space="preserve">          type: integer</w:t>
      </w:r>
    </w:p>
    <w:p w14:paraId="0CF61606" w14:textId="77777777" w:rsidR="007862A2" w:rsidRDefault="007862A2" w:rsidP="007862A2">
      <w:pPr>
        <w:pStyle w:val="PL"/>
      </w:pPr>
      <w:r>
        <w:t xml:space="preserve">        nfMemoryUsage:</w:t>
      </w:r>
    </w:p>
    <w:p w14:paraId="57B79C3A" w14:textId="77777777" w:rsidR="007862A2" w:rsidRDefault="007862A2" w:rsidP="007862A2">
      <w:pPr>
        <w:pStyle w:val="PL"/>
      </w:pPr>
      <w:r>
        <w:t xml:space="preserve">          type: integer</w:t>
      </w:r>
    </w:p>
    <w:p w14:paraId="39F131D1" w14:textId="77777777" w:rsidR="007862A2" w:rsidRDefault="007862A2" w:rsidP="007862A2">
      <w:pPr>
        <w:pStyle w:val="PL"/>
      </w:pPr>
      <w:r>
        <w:t xml:space="preserve">        nfStorageUsage:</w:t>
      </w:r>
    </w:p>
    <w:p w14:paraId="7510E31C" w14:textId="77777777" w:rsidR="007862A2" w:rsidRDefault="007862A2" w:rsidP="007862A2">
      <w:pPr>
        <w:pStyle w:val="PL"/>
      </w:pPr>
      <w:r>
        <w:t xml:space="preserve">          type: integer</w:t>
      </w:r>
    </w:p>
    <w:p w14:paraId="23E58E41" w14:textId="77777777" w:rsidR="007862A2" w:rsidRDefault="007862A2" w:rsidP="007862A2">
      <w:pPr>
        <w:pStyle w:val="PL"/>
      </w:pPr>
      <w:r>
        <w:t xml:space="preserve">        nfLoadLevelAverage:</w:t>
      </w:r>
    </w:p>
    <w:p w14:paraId="388F0870" w14:textId="77777777" w:rsidR="007862A2" w:rsidRDefault="007862A2" w:rsidP="007862A2">
      <w:pPr>
        <w:pStyle w:val="PL"/>
      </w:pPr>
      <w:r>
        <w:t xml:space="preserve">          type: integer</w:t>
      </w:r>
    </w:p>
    <w:p w14:paraId="62438CB3" w14:textId="77777777" w:rsidR="007862A2" w:rsidRDefault="007862A2" w:rsidP="007862A2">
      <w:pPr>
        <w:pStyle w:val="PL"/>
      </w:pPr>
      <w:r>
        <w:t xml:space="preserve">        nfLoadLevelpeak:</w:t>
      </w:r>
    </w:p>
    <w:p w14:paraId="54798AF7" w14:textId="77777777" w:rsidR="007862A2" w:rsidRDefault="007862A2" w:rsidP="007862A2">
      <w:pPr>
        <w:pStyle w:val="PL"/>
      </w:pPr>
      <w:r>
        <w:t xml:space="preserve">          type: integer</w:t>
      </w:r>
    </w:p>
    <w:p w14:paraId="55D4FAB3" w14:textId="77777777" w:rsidR="007862A2" w:rsidRDefault="007862A2" w:rsidP="007862A2">
      <w:pPr>
        <w:pStyle w:val="PL"/>
      </w:pPr>
      <w:r>
        <w:t xml:space="preserve">        nfLoadAvgInAoi:</w:t>
      </w:r>
    </w:p>
    <w:p w14:paraId="66A27E1D" w14:textId="77777777" w:rsidR="007862A2" w:rsidRDefault="007862A2" w:rsidP="007862A2">
      <w:pPr>
        <w:pStyle w:val="PL"/>
      </w:pPr>
      <w:r>
        <w:t xml:space="preserve">          type: integer</w:t>
      </w:r>
    </w:p>
    <w:p w14:paraId="02CD1D9E" w14:textId="77777777" w:rsidR="007862A2" w:rsidRDefault="007862A2" w:rsidP="007862A2">
      <w:pPr>
        <w:pStyle w:val="PL"/>
      </w:pPr>
      <w:r>
        <w:t xml:space="preserve">        snssai:</w:t>
      </w:r>
    </w:p>
    <w:p w14:paraId="11F5EC46" w14:textId="77777777" w:rsidR="007862A2" w:rsidRDefault="007862A2" w:rsidP="007862A2">
      <w:pPr>
        <w:pStyle w:val="PL"/>
      </w:pPr>
      <w:r>
        <w:t xml:space="preserve">          $ref: 'TS29571_CommonData.yaml#/components/schemas/Snssai'</w:t>
      </w:r>
    </w:p>
    <w:p w14:paraId="227603EA" w14:textId="77777777" w:rsidR="007862A2" w:rsidRDefault="007862A2" w:rsidP="007862A2">
      <w:pPr>
        <w:pStyle w:val="PL"/>
      </w:pPr>
      <w:r>
        <w:t xml:space="preserve">        confidence:</w:t>
      </w:r>
    </w:p>
    <w:p w14:paraId="2480E141" w14:textId="77777777" w:rsidR="007862A2" w:rsidRDefault="007862A2" w:rsidP="007862A2">
      <w:pPr>
        <w:pStyle w:val="PL"/>
      </w:pPr>
      <w:r>
        <w:t xml:space="preserve">          $ref: 'TS29571_CommonData.yaml#/components/schemas/Uinteger'</w:t>
      </w:r>
    </w:p>
    <w:p w14:paraId="7F4E4BC2" w14:textId="77777777" w:rsidR="007862A2" w:rsidRDefault="007862A2" w:rsidP="007862A2">
      <w:pPr>
        <w:pStyle w:val="PL"/>
      </w:pPr>
      <w:r>
        <w:t xml:space="preserve">      allOf:</w:t>
      </w:r>
    </w:p>
    <w:p w14:paraId="79BD46D0" w14:textId="77777777" w:rsidR="007862A2" w:rsidRDefault="007862A2" w:rsidP="007862A2">
      <w:pPr>
        <w:pStyle w:val="PL"/>
      </w:pPr>
      <w:r>
        <w:t xml:space="preserve">        - required: [nfType]</w:t>
      </w:r>
    </w:p>
    <w:p w14:paraId="6D5284C8" w14:textId="77777777" w:rsidR="007862A2" w:rsidRDefault="007862A2" w:rsidP="007862A2">
      <w:pPr>
        <w:pStyle w:val="PL"/>
      </w:pPr>
      <w:r>
        <w:t xml:space="preserve">        - required: [nfInstanceId]</w:t>
      </w:r>
    </w:p>
    <w:p w14:paraId="11BCEA2A" w14:textId="77777777" w:rsidR="007862A2" w:rsidRDefault="007862A2" w:rsidP="007862A2">
      <w:pPr>
        <w:pStyle w:val="PL"/>
      </w:pPr>
      <w:r>
        <w:t xml:space="preserve">        - anyOf:</w:t>
      </w:r>
    </w:p>
    <w:p w14:paraId="17700A54" w14:textId="77777777" w:rsidR="007862A2" w:rsidRDefault="007862A2" w:rsidP="007862A2">
      <w:pPr>
        <w:pStyle w:val="PL"/>
      </w:pPr>
      <w:r>
        <w:t xml:space="preserve">          - required: [nfStatus]</w:t>
      </w:r>
    </w:p>
    <w:p w14:paraId="4048ED6A" w14:textId="77777777" w:rsidR="007862A2" w:rsidRDefault="007862A2" w:rsidP="007862A2">
      <w:pPr>
        <w:pStyle w:val="PL"/>
      </w:pPr>
      <w:r>
        <w:t xml:space="preserve">          - required: [nfCpuUsage]</w:t>
      </w:r>
    </w:p>
    <w:p w14:paraId="48C8DE7D" w14:textId="77777777" w:rsidR="007862A2" w:rsidRDefault="007862A2" w:rsidP="007862A2">
      <w:pPr>
        <w:pStyle w:val="PL"/>
      </w:pPr>
      <w:r>
        <w:t xml:space="preserve">          - required: [nfMemoryUsage]</w:t>
      </w:r>
    </w:p>
    <w:p w14:paraId="5D0C393A" w14:textId="77777777" w:rsidR="007862A2" w:rsidRDefault="007862A2" w:rsidP="007862A2">
      <w:pPr>
        <w:pStyle w:val="PL"/>
      </w:pPr>
      <w:r>
        <w:t xml:space="preserve">          - required: [nfStorageUsage]</w:t>
      </w:r>
    </w:p>
    <w:p w14:paraId="38FC3B6A" w14:textId="77777777" w:rsidR="007862A2" w:rsidRDefault="007862A2" w:rsidP="007862A2">
      <w:pPr>
        <w:pStyle w:val="PL"/>
      </w:pPr>
      <w:r>
        <w:t xml:space="preserve">          - required: [nfLoadLevelAverage]</w:t>
      </w:r>
    </w:p>
    <w:p w14:paraId="3F802714" w14:textId="77777777" w:rsidR="007862A2" w:rsidRDefault="007862A2" w:rsidP="007862A2">
      <w:pPr>
        <w:pStyle w:val="PL"/>
      </w:pPr>
      <w:r>
        <w:t xml:space="preserve">          - required: [nfLoadLevelPeak]</w:t>
      </w:r>
    </w:p>
    <w:p w14:paraId="3267EE60" w14:textId="77777777" w:rsidR="007862A2" w:rsidRDefault="007862A2" w:rsidP="007862A2">
      <w:pPr>
        <w:pStyle w:val="PL"/>
      </w:pPr>
    </w:p>
    <w:p w14:paraId="5830B6FC" w14:textId="77777777" w:rsidR="007862A2" w:rsidRDefault="007862A2" w:rsidP="007862A2">
      <w:pPr>
        <w:pStyle w:val="PL"/>
      </w:pPr>
      <w:r>
        <w:t xml:space="preserve">    NfStatus:</w:t>
      </w:r>
    </w:p>
    <w:p w14:paraId="5FE8C0C7" w14:textId="77777777" w:rsidR="007862A2" w:rsidRDefault="007862A2" w:rsidP="007862A2">
      <w:pPr>
        <w:pStyle w:val="PL"/>
      </w:pPr>
      <w:r>
        <w:t xml:space="preserve">      description: Contains the percentage of time spent on various NF states.</w:t>
      </w:r>
    </w:p>
    <w:p w14:paraId="7F388D52" w14:textId="77777777" w:rsidR="007862A2" w:rsidRDefault="007862A2" w:rsidP="007862A2">
      <w:pPr>
        <w:pStyle w:val="PL"/>
      </w:pPr>
      <w:r>
        <w:t xml:space="preserve">      type: object</w:t>
      </w:r>
    </w:p>
    <w:p w14:paraId="37928CBC" w14:textId="77777777" w:rsidR="007862A2" w:rsidRDefault="007862A2" w:rsidP="007862A2">
      <w:pPr>
        <w:pStyle w:val="PL"/>
      </w:pPr>
      <w:r>
        <w:t xml:space="preserve">      properties:</w:t>
      </w:r>
    </w:p>
    <w:p w14:paraId="0C2DCB36" w14:textId="77777777" w:rsidR="007862A2" w:rsidRDefault="007862A2" w:rsidP="007862A2">
      <w:pPr>
        <w:pStyle w:val="PL"/>
      </w:pPr>
      <w:r>
        <w:t xml:space="preserve">        statusRegistered:</w:t>
      </w:r>
    </w:p>
    <w:p w14:paraId="53D991F6" w14:textId="77777777" w:rsidR="007862A2" w:rsidRDefault="007862A2" w:rsidP="007862A2">
      <w:pPr>
        <w:pStyle w:val="PL"/>
      </w:pPr>
      <w:r>
        <w:t xml:space="preserve">          $ref: 'TS29571_CommonData.yaml#/components/schemas/SamplingRatio'</w:t>
      </w:r>
    </w:p>
    <w:p w14:paraId="5CC15ECF" w14:textId="77777777" w:rsidR="007862A2" w:rsidRDefault="007862A2" w:rsidP="007862A2">
      <w:pPr>
        <w:pStyle w:val="PL"/>
      </w:pPr>
      <w:r>
        <w:t xml:space="preserve">        statusUnregistered:</w:t>
      </w:r>
    </w:p>
    <w:p w14:paraId="015F203E" w14:textId="77777777" w:rsidR="007862A2" w:rsidRDefault="007862A2" w:rsidP="007862A2">
      <w:pPr>
        <w:pStyle w:val="PL"/>
      </w:pPr>
      <w:r>
        <w:t xml:space="preserve">          $ref: 'TS29571_CommonData.yaml#/components/schemas/SamplingRatio'</w:t>
      </w:r>
    </w:p>
    <w:p w14:paraId="3964935C" w14:textId="77777777" w:rsidR="007862A2" w:rsidRDefault="007862A2" w:rsidP="007862A2">
      <w:pPr>
        <w:pStyle w:val="PL"/>
      </w:pPr>
      <w:r>
        <w:t xml:space="preserve">        statusUndiscoverable:</w:t>
      </w:r>
    </w:p>
    <w:p w14:paraId="62760A09" w14:textId="77777777" w:rsidR="007862A2" w:rsidRDefault="007862A2" w:rsidP="007862A2">
      <w:pPr>
        <w:pStyle w:val="PL"/>
      </w:pPr>
      <w:r>
        <w:t xml:space="preserve">          $ref: 'TS29571_CommonData.yaml#/components/schemas/SamplingRatio'</w:t>
      </w:r>
    </w:p>
    <w:p w14:paraId="656BE9DD" w14:textId="77777777" w:rsidR="007862A2" w:rsidRDefault="007862A2" w:rsidP="007862A2">
      <w:pPr>
        <w:pStyle w:val="PL"/>
      </w:pPr>
      <w:r>
        <w:t xml:space="preserve">      anyOf:</w:t>
      </w:r>
    </w:p>
    <w:p w14:paraId="77F7A104" w14:textId="77777777" w:rsidR="007862A2" w:rsidRDefault="007862A2" w:rsidP="007862A2">
      <w:pPr>
        <w:pStyle w:val="PL"/>
      </w:pPr>
      <w:r>
        <w:t xml:space="preserve">        - required: [statusRegistered]</w:t>
      </w:r>
    </w:p>
    <w:p w14:paraId="71E91F92" w14:textId="77777777" w:rsidR="007862A2" w:rsidRDefault="007862A2" w:rsidP="007862A2">
      <w:pPr>
        <w:pStyle w:val="PL"/>
      </w:pPr>
      <w:r>
        <w:t xml:space="preserve">        - required: [statusUnregistered]</w:t>
      </w:r>
    </w:p>
    <w:p w14:paraId="176D0D77" w14:textId="77777777" w:rsidR="007862A2" w:rsidRDefault="007862A2" w:rsidP="007862A2">
      <w:pPr>
        <w:pStyle w:val="PL"/>
      </w:pPr>
      <w:r>
        <w:t xml:space="preserve">        - required: [statusUndiscoverable]</w:t>
      </w:r>
    </w:p>
    <w:p w14:paraId="4DAA5796" w14:textId="77777777" w:rsidR="007862A2" w:rsidRDefault="007862A2" w:rsidP="007862A2">
      <w:pPr>
        <w:pStyle w:val="PL"/>
      </w:pPr>
    </w:p>
    <w:p w14:paraId="1AEEE8AA" w14:textId="77777777" w:rsidR="007862A2" w:rsidRDefault="007862A2" w:rsidP="007862A2">
      <w:pPr>
        <w:pStyle w:val="PL"/>
      </w:pPr>
      <w:r>
        <w:t xml:space="preserve">    AnySlice:</w:t>
      </w:r>
    </w:p>
    <w:p w14:paraId="5A608D0F" w14:textId="77777777" w:rsidR="007862A2" w:rsidRDefault="007862A2" w:rsidP="007862A2">
      <w:pPr>
        <w:pStyle w:val="PL"/>
      </w:pPr>
      <w:r>
        <w:t xml:space="preserve">      type: boolean</w:t>
      </w:r>
    </w:p>
    <w:p w14:paraId="45106758" w14:textId="77777777" w:rsidR="007862A2" w:rsidRDefault="007862A2" w:rsidP="007862A2">
      <w:pPr>
        <w:pStyle w:val="PL"/>
      </w:pPr>
      <w:r>
        <w:t xml:space="preserve">      description: &gt;</w:t>
      </w:r>
    </w:p>
    <w:p w14:paraId="21596E37" w14:textId="77777777" w:rsidR="007862A2" w:rsidRDefault="007862A2" w:rsidP="007862A2">
      <w:pPr>
        <w:pStyle w:val="PL"/>
      </w:pPr>
      <w:r>
        <w:t xml:space="preserve">        "false" represents not applicable for all slices. "true" represents applicable for all slices.</w:t>
      </w:r>
    </w:p>
    <w:p w14:paraId="7EE60640" w14:textId="77777777" w:rsidR="007862A2" w:rsidRDefault="007862A2" w:rsidP="007862A2">
      <w:pPr>
        <w:pStyle w:val="PL"/>
      </w:pPr>
    </w:p>
    <w:p w14:paraId="598AB006" w14:textId="77777777" w:rsidR="007862A2" w:rsidRDefault="007862A2" w:rsidP="007862A2">
      <w:pPr>
        <w:pStyle w:val="PL"/>
      </w:pPr>
      <w:r>
        <w:t xml:space="preserve">    LoadLevelInformation:</w:t>
      </w:r>
    </w:p>
    <w:p w14:paraId="388FA9E0" w14:textId="77777777" w:rsidR="007862A2" w:rsidRDefault="007862A2" w:rsidP="007862A2">
      <w:pPr>
        <w:pStyle w:val="PL"/>
      </w:pPr>
      <w:r>
        <w:t xml:space="preserve">      type: integer</w:t>
      </w:r>
    </w:p>
    <w:p w14:paraId="7A74CC17" w14:textId="77777777" w:rsidR="007862A2" w:rsidRDefault="007862A2" w:rsidP="007862A2">
      <w:pPr>
        <w:pStyle w:val="PL"/>
      </w:pPr>
      <w:r>
        <w:t xml:space="preserve">      description: &gt;</w:t>
      </w:r>
    </w:p>
    <w:p w14:paraId="6DC686C3" w14:textId="77777777" w:rsidR="007862A2" w:rsidRDefault="007862A2" w:rsidP="007862A2">
      <w:pPr>
        <w:pStyle w:val="PL"/>
      </w:pPr>
      <w:r>
        <w:t xml:space="preserve">        Load level information of the network slice and the optionally associated network slice</w:t>
      </w:r>
    </w:p>
    <w:p w14:paraId="742CE325" w14:textId="77777777" w:rsidR="007862A2" w:rsidRDefault="007862A2" w:rsidP="007862A2">
      <w:pPr>
        <w:pStyle w:val="PL"/>
      </w:pPr>
      <w:r>
        <w:t xml:space="preserve">        instance.</w:t>
      </w:r>
    </w:p>
    <w:p w14:paraId="7912E977" w14:textId="77777777" w:rsidR="007862A2" w:rsidRDefault="007862A2" w:rsidP="007862A2">
      <w:pPr>
        <w:pStyle w:val="PL"/>
      </w:pPr>
    </w:p>
    <w:p w14:paraId="65937124" w14:textId="77777777" w:rsidR="007862A2" w:rsidRDefault="007862A2" w:rsidP="007862A2">
      <w:pPr>
        <w:pStyle w:val="PL"/>
      </w:pPr>
      <w:r>
        <w:t xml:space="preserve">    AbnormalBehaviour:</w:t>
      </w:r>
    </w:p>
    <w:p w14:paraId="6468561B" w14:textId="77777777" w:rsidR="007862A2" w:rsidRDefault="007862A2" w:rsidP="007862A2">
      <w:pPr>
        <w:pStyle w:val="PL"/>
      </w:pPr>
      <w:r>
        <w:t xml:space="preserve">      description: Represents the abnormal behaviour information.</w:t>
      </w:r>
    </w:p>
    <w:p w14:paraId="11BC3675" w14:textId="77777777" w:rsidR="007862A2" w:rsidRDefault="007862A2" w:rsidP="007862A2">
      <w:pPr>
        <w:pStyle w:val="PL"/>
      </w:pPr>
      <w:r>
        <w:t xml:space="preserve">      type: object</w:t>
      </w:r>
    </w:p>
    <w:p w14:paraId="7C81E883" w14:textId="77777777" w:rsidR="007862A2" w:rsidRDefault="007862A2" w:rsidP="007862A2">
      <w:pPr>
        <w:pStyle w:val="PL"/>
      </w:pPr>
      <w:r>
        <w:t xml:space="preserve">      properties:</w:t>
      </w:r>
    </w:p>
    <w:p w14:paraId="1EC1EAC5" w14:textId="77777777" w:rsidR="007862A2" w:rsidRDefault="007862A2" w:rsidP="007862A2">
      <w:pPr>
        <w:pStyle w:val="PL"/>
      </w:pPr>
      <w:r>
        <w:t xml:space="preserve">        supis:</w:t>
      </w:r>
    </w:p>
    <w:p w14:paraId="105840BD" w14:textId="77777777" w:rsidR="007862A2" w:rsidRDefault="007862A2" w:rsidP="007862A2">
      <w:pPr>
        <w:pStyle w:val="PL"/>
      </w:pPr>
      <w:r>
        <w:t xml:space="preserve">          type: array</w:t>
      </w:r>
    </w:p>
    <w:p w14:paraId="24B85CD7" w14:textId="77777777" w:rsidR="007862A2" w:rsidRDefault="007862A2" w:rsidP="007862A2">
      <w:pPr>
        <w:pStyle w:val="PL"/>
      </w:pPr>
      <w:r>
        <w:t xml:space="preserve">          items:</w:t>
      </w:r>
    </w:p>
    <w:p w14:paraId="4FCE7733" w14:textId="77777777" w:rsidR="007862A2" w:rsidRDefault="007862A2" w:rsidP="007862A2">
      <w:pPr>
        <w:pStyle w:val="PL"/>
      </w:pPr>
      <w:r>
        <w:t xml:space="preserve">            $ref: 'TS29571_CommonData.yaml#/components/schemas/Supi'</w:t>
      </w:r>
    </w:p>
    <w:p w14:paraId="3EBFCA3A" w14:textId="77777777" w:rsidR="007862A2" w:rsidRDefault="007862A2" w:rsidP="007862A2">
      <w:pPr>
        <w:pStyle w:val="PL"/>
      </w:pPr>
      <w:r>
        <w:t xml:space="preserve">          minItems: 1</w:t>
      </w:r>
    </w:p>
    <w:p w14:paraId="5EBDDFB8" w14:textId="77777777" w:rsidR="007862A2" w:rsidRDefault="007862A2" w:rsidP="007862A2">
      <w:pPr>
        <w:pStyle w:val="PL"/>
      </w:pPr>
      <w:r>
        <w:t xml:space="preserve">        excep:</w:t>
      </w:r>
    </w:p>
    <w:p w14:paraId="353C8F14" w14:textId="77777777" w:rsidR="007862A2" w:rsidRDefault="007862A2" w:rsidP="007862A2">
      <w:pPr>
        <w:pStyle w:val="PL"/>
      </w:pPr>
      <w:r>
        <w:t xml:space="preserve">          $ref: '#/components/schemas/Exception'</w:t>
      </w:r>
    </w:p>
    <w:p w14:paraId="6F49C80E" w14:textId="77777777" w:rsidR="007862A2" w:rsidRDefault="007862A2" w:rsidP="007862A2">
      <w:pPr>
        <w:pStyle w:val="PL"/>
      </w:pPr>
      <w:r>
        <w:t xml:space="preserve">        dnn:</w:t>
      </w:r>
    </w:p>
    <w:p w14:paraId="7C8CC076" w14:textId="77777777" w:rsidR="007862A2" w:rsidRDefault="007862A2" w:rsidP="007862A2">
      <w:pPr>
        <w:pStyle w:val="PL"/>
      </w:pPr>
      <w:r>
        <w:t xml:space="preserve">          $ref: 'TS29571_CommonData.yaml#/components/schemas/Dnn'</w:t>
      </w:r>
    </w:p>
    <w:p w14:paraId="3EC066FA" w14:textId="77777777" w:rsidR="007862A2" w:rsidRDefault="007862A2" w:rsidP="007862A2">
      <w:pPr>
        <w:pStyle w:val="PL"/>
      </w:pPr>
      <w:r>
        <w:t xml:space="preserve">        snssai:</w:t>
      </w:r>
    </w:p>
    <w:p w14:paraId="763B6540" w14:textId="77777777" w:rsidR="007862A2" w:rsidRDefault="007862A2" w:rsidP="007862A2">
      <w:pPr>
        <w:pStyle w:val="PL"/>
      </w:pPr>
      <w:r>
        <w:t xml:space="preserve">          $ref: 'TS29571_CommonData.yaml#/components/schemas/Snssai'</w:t>
      </w:r>
    </w:p>
    <w:p w14:paraId="5FA83FAF" w14:textId="77777777" w:rsidR="007862A2" w:rsidRDefault="007862A2" w:rsidP="007862A2">
      <w:pPr>
        <w:pStyle w:val="PL"/>
      </w:pPr>
      <w:r>
        <w:lastRenderedPageBreak/>
        <w:t xml:space="preserve">        ratio:</w:t>
      </w:r>
    </w:p>
    <w:p w14:paraId="54A00B18" w14:textId="77777777" w:rsidR="007862A2" w:rsidRDefault="007862A2" w:rsidP="007862A2">
      <w:pPr>
        <w:pStyle w:val="PL"/>
      </w:pPr>
      <w:r>
        <w:t xml:space="preserve">          $ref: 'TS29571_CommonData.yaml#/components/schemas/SamplingRatio'</w:t>
      </w:r>
    </w:p>
    <w:p w14:paraId="1AD66E7D" w14:textId="77777777" w:rsidR="007862A2" w:rsidRDefault="007862A2" w:rsidP="007862A2">
      <w:pPr>
        <w:pStyle w:val="PL"/>
      </w:pPr>
      <w:r>
        <w:t xml:space="preserve">        confidence:</w:t>
      </w:r>
    </w:p>
    <w:p w14:paraId="2F5971ED" w14:textId="77777777" w:rsidR="007862A2" w:rsidRDefault="007862A2" w:rsidP="007862A2">
      <w:pPr>
        <w:pStyle w:val="PL"/>
      </w:pPr>
      <w:r>
        <w:t xml:space="preserve">          $ref: 'TS29571_CommonData.yaml#/components/schemas/Uinteger'</w:t>
      </w:r>
    </w:p>
    <w:p w14:paraId="157453A3" w14:textId="77777777" w:rsidR="007862A2" w:rsidRDefault="007862A2" w:rsidP="007862A2">
      <w:pPr>
        <w:pStyle w:val="PL"/>
      </w:pPr>
      <w:r>
        <w:t xml:space="preserve">        addtMeasInfo:</w:t>
      </w:r>
    </w:p>
    <w:p w14:paraId="2AB95315" w14:textId="77777777" w:rsidR="007862A2" w:rsidRDefault="007862A2" w:rsidP="007862A2">
      <w:pPr>
        <w:pStyle w:val="PL"/>
      </w:pPr>
      <w:r>
        <w:t xml:space="preserve">          $ref: '#/components/schemas/AdditionalMeasurement'</w:t>
      </w:r>
    </w:p>
    <w:p w14:paraId="22B50F51" w14:textId="77777777" w:rsidR="007862A2" w:rsidRDefault="007862A2" w:rsidP="007862A2">
      <w:pPr>
        <w:pStyle w:val="PL"/>
      </w:pPr>
      <w:r>
        <w:t xml:space="preserve">      required:</w:t>
      </w:r>
    </w:p>
    <w:p w14:paraId="1719633B" w14:textId="77777777" w:rsidR="007862A2" w:rsidRDefault="007862A2" w:rsidP="007862A2">
      <w:pPr>
        <w:pStyle w:val="PL"/>
      </w:pPr>
      <w:r>
        <w:t xml:space="preserve">        - excep</w:t>
      </w:r>
    </w:p>
    <w:p w14:paraId="440088E1" w14:textId="77777777" w:rsidR="007862A2" w:rsidRDefault="007862A2" w:rsidP="007862A2">
      <w:pPr>
        <w:pStyle w:val="PL"/>
      </w:pPr>
    </w:p>
    <w:p w14:paraId="638FED4A" w14:textId="77777777" w:rsidR="007862A2" w:rsidRDefault="007862A2" w:rsidP="007862A2">
      <w:pPr>
        <w:pStyle w:val="PL"/>
      </w:pPr>
      <w:r>
        <w:t xml:space="preserve">    Exception:</w:t>
      </w:r>
    </w:p>
    <w:p w14:paraId="238F09A6" w14:textId="77777777" w:rsidR="007862A2" w:rsidRDefault="007862A2" w:rsidP="007862A2">
      <w:pPr>
        <w:pStyle w:val="PL"/>
      </w:pPr>
      <w:r>
        <w:t xml:space="preserve">      description: Represents the Exception information.</w:t>
      </w:r>
    </w:p>
    <w:p w14:paraId="4171F002" w14:textId="77777777" w:rsidR="007862A2" w:rsidRDefault="007862A2" w:rsidP="007862A2">
      <w:pPr>
        <w:pStyle w:val="PL"/>
      </w:pPr>
      <w:r>
        <w:t xml:space="preserve">      type: object</w:t>
      </w:r>
    </w:p>
    <w:p w14:paraId="4B115A3D" w14:textId="77777777" w:rsidR="007862A2" w:rsidRDefault="007862A2" w:rsidP="007862A2">
      <w:pPr>
        <w:pStyle w:val="PL"/>
      </w:pPr>
      <w:r>
        <w:t xml:space="preserve">      properties:</w:t>
      </w:r>
    </w:p>
    <w:p w14:paraId="73BFA402" w14:textId="77777777" w:rsidR="007862A2" w:rsidRDefault="007862A2" w:rsidP="007862A2">
      <w:pPr>
        <w:pStyle w:val="PL"/>
      </w:pPr>
      <w:r>
        <w:t xml:space="preserve">        excepId:</w:t>
      </w:r>
    </w:p>
    <w:p w14:paraId="1A03D65E" w14:textId="77777777" w:rsidR="007862A2" w:rsidRDefault="007862A2" w:rsidP="007862A2">
      <w:pPr>
        <w:pStyle w:val="PL"/>
      </w:pPr>
      <w:r>
        <w:t xml:space="preserve">          $ref: '#/components/schemas/ExceptionId'</w:t>
      </w:r>
    </w:p>
    <w:p w14:paraId="20438E85" w14:textId="77777777" w:rsidR="007862A2" w:rsidRDefault="007862A2" w:rsidP="007862A2">
      <w:pPr>
        <w:pStyle w:val="PL"/>
      </w:pPr>
      <w:r>
        <w:t xml:space="preserve">        excepLevel:</w:t>
      </w:r>
    </w:p>
    <w:p w14:paraId="5ABF4AE6" w14:textId="77777777" w:rsidR="007862A2" w:rsidRDefault="007862A2" w:rsidP="007862A2">
      <w:pPr>
        <w:pStyle w:val="PL"/>
      </w:pPr>
      <w:r>
        <w:t xml:space="preserve">          type: integer</w:t>
      </w:r>
    </w:p>
    <w:p w14:paraId="77A93770" w14:textId="77777777" w:rsidR="007862A2" w:rsidRDefault="007862A2" w:rsidP="007862A2">
      <w:pPr>
        <w:pStyle w:val="PL"/>
      </w:pPr>
      <w:r>
        <w:t xml:space="preserve">        excepTrend:</w:t>
      </w:r>
    </w:p>
    <w:p w14:paraId="31C0B461" w14:textId="77777777" w:rsidR="007862A2" w:rsidRDefault="007862A2" w:rsidP="007862A2">
      <w:pPr>
        <w:pStyle w:val="PL"/>
      </w:pPr>
      <w:r>
        <w:t xml:space="preserve">          $ref: '#/components/schemas/ExceptionTrend'</w:t>
      </w:r>
    </w:p>
    <w:p w14:paraId="48D4CE45" w14:textId="77777777" w:rsidR="007862A2" w:rsidRDefault="007862A2" w:rsidP="007862A2">
      <w:pPr>
        <w:pStyle w:val="PL"/>
      </w:pPr>
      <w:r>
        <w:t xml:space="preserve">      required:</w:t>
      </w:r>
    </w:p>
    <w:p w14:paraId="26FA0F86" w14:textId="77777777" w:rsidR="007862A2" w:rsidRDefault="007862A2" w:rsidP="007862A2">
      <w:pPr>
        <w:pStyle w:val="PL"/>
      </w:pPr>
      <w:r>
        <w:t xml:space="preserve">        - excepId</w:t>
      </w:r>
    </w:p>
    <w:p w14:paraId="62325514" w14:textId="77777777" w:rsidR="007862A2" w:rsidRDefault="007862A2" w:rsidP="007862A2">
      <w:pPr>
        <w:pStyle w:val="PL"/>
      </w:pPr>
    </w:p>
    <w:p w14:paraId="3FF6D275" w14:textId="77777777" w:rsidR="007862A2" w:rsidRDefault="007862A2" w:rsidP="007862A2">
      <w:pPr>
        <w:pStyle w:val="PL"/>
      </w:pPr>
      <w:r>
        <w:t xml:space="preserve">    AdditionalMeasurement:</w:t>
      </w:r>
    </w:p>
    <w:p w14:paraId="7AF4A572" w14:textId="77777777" w:rsidR="007862A2" w:rsidRDefault="007862A2" w:rsidP="007862A2">
      <w:pPr>
        <w:pStyle w:val="PL"/>
      </w:pPr>
      <w:r>
        <w:t xml:space="preserve">      description: Represents additional measurement information.</w:t>
      </w:r>
    </w:p>
    <w:p w14:paraId="167C098B" w14:textId="77777777" w:rsidR="007862A2" w:rsidRDefault="007862A2" w:rsidP="007862A2">
      <w:pPr>
        <w:pStyle w:val="PL"/>
      </w:pPr>
      <w:r>
        <w:t xml:space="preserve">      type: object</w:t>
      </w:r>
    </w:p>
    <w:p w14:paraId="2F86C82E" w14:textId="77777777" w:rsidR="007862A2" w:rsidRDefault="007862A2" w:rsidP="007862A2">
      <w:pPr>
        <w:pStyle w:val="PL"/>
      </w:pPr>
      <w:r>
        <w:t xml:space="preserve">      properties:</w:t>
      </w:r>
    </w:p>
    <w:p w14:paraId="60BA4667" w14:textId="77777777" w:rsidR="007862A2" w:rsidRDefault="007862A2" w:rsidP="007862A2">
      <w:pPr>
        <w:pStyle w:val="PL"/>
      </w:pPr>
      <w:r>
        <w:t xml:space="preserve">        unexpLoc:</w:t>
      </w:r>
    </w:p>
    <w:p w14:paraId="652BD860" w14:textId="77777777" w:rsidR="007862A2" w:rsidRDefault="007862A2" w:rsidP="007862A2">
      <w:pPr>
        <w:pStyle w:val="PL"/>
      </w:pPr>
      <w:r>
        <w:t xml:space="preserve">          $ref: 'TS29554_Npcf_BDTPolicyControl.yaml#/components/schemas/NetworkAreaInfo'</w:t>
      </w:r>
    </w:p>
    <w:p w14:paraId="5E18B77C" w14:textId="77777777" w:rsidR="007862A2" w:rsidRDefault="007862A2" w:rsidP="007862A2">
      <w:pPr>
        <w:pStyle w:val="PL"/>
      </w:pPr>
      <w:r>
        <w:t xml:space="preserve">        unexpFlowTeps:</w:t>
      </w:r>
    </w:p>
    <w:p w14:paraId="7543FD5D" w14:textId="77777777" w:rsidR="007862A2" w:rsidRDefault="007862A2" w:rsidP="007862A2">
      <w:pPr>
        <w:pStyle w:val="PL"/>
      </w:pPr>
      <w:r>
        <w:t xml:space="preserve">          type: array</w:t>
      </w:r>
    </w:p>
    <w:p w14:paraId="4C5BD983" w14:textId="77777777" w:rsidR="007862A2" w:rsidRDefault="007862A2" w:rsidP="007862A2">
      <w:pPr>
        <w:pStyle w:val="PL"/>
      </w:pPr>
      <w:r>
        <w:t xml:space="preserve">          items:</w:t>
      </w:r>
    </w:p>
    <w:p w14:paraId="7AB452D3" w14:textId="77777777" w:rsidR="007862A2" w:rsidRDefault="007862A2" w:rsidP="007862A2">
      <w:pPr>
        <w:pStyle w:val="PL"/>
      </w:pPr>
      <w:r>
        <w:t xml:space="preserve">            $ref: '#/components/schemas/IpEthFlowDescription'</w:t>
      </w:r>
    </w:p>
    <w:p w14:paraId="72DA597E" w14:textId="77777777" w:rsidR="007862A2" w:rsidRDefault="007862A2" w:rsidP="007862A2">
      <w:pPr>
        <w:pStyle w:val="PL"/>
      </w:pPr>
      <w:r>
        <w:t xml:space="preserve">          minItems: 1</w:t>
      </w:r>
    </w:p>
    <w:p w14:paraId="3DA825E4" w14:textId="77777777" w:rsidR="007862A2" w:rsidRDefault="007862A2" w:rsidP="007862A2">
      <w:pPr>
        <w:pStyle w:val="PL"/>
      </w:pPr>
      <w:r>
        <w:t xml:space="preserve">        unexpWakes:</w:t>
      </w:r>
    </w:p>
    <w:p w14:paraId="76C2840D" w14:textId="77777777" w:rsidR="007862A2" w:rsidRDefault="007862A2" w:rsidP="007862A2">
      <w:pPr>
        <w:pStyle w:val="PL"/>
      </w:pPr>
      <w:r>
        <w:t xml:space="preserve">          type: array</w:t>
      </w:r>
    </w:p>
    <w:p w14:paraId="1F50D9F7" w14:textId="77777777" w:rsidR="007862A2" w:rsidRDefault="007862A2" w:rsidP="007862A2">
      <w:pPr>
        <w:pStyle w:val="PL"/>
      </w:pPr>
      <w:r>
        <w:t xml:space="preserve">          items:</w:t>
      </w:r>
    </w:p>
    <w:p w14:paraId="7BC69A4A" w14:textId="77777777" w:rsidR="007862A2" w:rsidRDefault="007862A2" w:rsidP="007862A2">
      <w:pPr>
        <w:pStyle w:val="PL"/>
      </w:pPr>
      <w:r>
        <w:t xml:space="preserve">            $ref: 'TS29571_CommonData.yaml#/components/schemas/DateTime'</w:t>
      </w:r>
    </w:p>
    <w:p w14:paraId="0D1A069E" w14:textId="77777777" w:rsidR="007862A2" w:rsidRDefault="007862A2" w:rsidP="007862A2">
      <w:pPr>
        <w:pStyle w:val="PL"/>
      </w:pPr>
      <w:r>
        <w:t xml:space="preserve">          minItems: 1</w:t>
      </w:r>
    </w:p>
    <w:p w14:paraId="3A7C8715" w14:textId="77777777" w:rsidR="007862A2" w:rsidRDefault="007862A2" w:rsidP="007862A2">
      <w:pPr>
        <w:pStyle w:val="PL"/>
      </w:pPr>
      <w:r>
        <w:t xml:space="preserve">        ddosAttack:</w:t>
      </w:r>
    </w:p>
    <w:p w14:paraId="5657067F" w14:textId="77777777" w:rsidR="007862A2" w:rsidRDefault="007862A2" w:rsidP="007862A2">
      <w:pPr>
        <w:pStyle w:val="PL"/>
      </w:pPr>
      <w:r>
        <w:t xml:space="preserve">          $ref: '#/components/schemas/AddressList'</w:t>
      </w:r>
    </w:p>
    <w:p w14:paraId="63A1161E" w14:textId="77777777" w:rsidR="007862A2" w:rsidRDefault="007862A2" w:rsidP="007862A2">
      <w:pPr>
        <w:pStyle w:val="PL"/>
      </w:pPr>
      <w:r>
        <w:t xml:space="preserve">        wrgDest:</w:t>
      </w:r>
    </w:p>
    <w:p w14:paraId="35DA70E3" w14:textId="77777777" w:rsidR="007862A2" w:rsidRDefault="007862A2" w:rsidP="007862A2">
      <w:pPr>
        <w:pStyle w:val="PL"/>
      </w:pPr>
      <w:r>
        <w:t xml:space="preserve">          $ref: '#/components/schemas/AddressList'</w:t>
      </w:r>
    </w:p>
    <w:p w14:paraId="18299533" w14:textId="77777777" w:rsidR="007862A2" w:rsidRDefault="007862A2" w:rsidP="007862A2">
      <w:pPr>
        <w:pStyle w:val="PL"/>
      </w:pPr>
      <w:r>
        <w:t xml:space="preserve">        circums:</w:t>
      </w:r>
    </w:p>
    <w:p w14:paraId="0E4D8C1D" w14:textId="77777777" w:rsidR="007862A2" w:rsidRDefault="007862A2" w:rsidP="007862A2">
      <w:pPr>
        <w:pStyle w:val="PL"/>
      </w:pPr>
      <w:r>
        <w:t xml:space="preserve">          type: array</w:t>
      </w:r>
    </w:p>
    <w:p w14:paraId="5004EC0E" w14:textId="77777777" w:rsidR="007862A2" w:rsidRDefault="007862A2" w:rsidP="007862A2">
      <w:pPr>
        <w:pStyle w:val="PL"/>
      </w:pPr>
      <w:r>
        <w:t xml:space="preserve">          items:</w:t>
      </w:r>
    </w:p>
    <w:p w14:paraId="67E0C5C7" w14:textId="77777777" w:rsidR="007862A2" w:rsidRDefault="007862A2" w:rsidP="007862A2">
      <w:pPr>
        <w:pStyle w:val="PL"/>
      </w:pPr>
      <w:r>
        <w:t xml:space="preserve">            $ref: '#/components/schemas/CircumstanceDescription'</w:t>
      </w:r>
    </w:p>
    <w:p w14:paraId="35104453" w14:textId="77777777" w:rsidR="007862A2" w:rsidRDefault="007862A2" w:rsidP="007862A2">
      <w:pPr>
        <w:pStyle w:val="PL"/>
      </w:pPr>
      <w:r>
        <w:t xml:space="preserve">          minItems: 1</w:t>
      </w:r>
    </w:p>
    <w:p w14:paraId="4C1A069C" w14:textId="77777777" w:rsidR="007862A2" w:rsidRDefault="007862A2" w:rsidP="007862A2">
      <w:pPr>
        <w:pStyle w:val="PL"/>
      </w:pPr>
    </w:p>
    <w:p w14:paraId="1D7C5C13" w14:textId="77777777" w:rsidR="007862A2" w:rsidRDefault="007862A2" w:rsidP="007862A2">
      <w:pPr>
        <w:pStyle w:val="PL"/>
      </w:pPr>
      <w:r>
        <w:t xml:space="preserve">    IpEthFlowDescription:</w:t>
      </w:r>
    </w:p>
    <w:p w14:paraId="46E510BB" w14:textId="77777777" w:rsidR="007862A2" w:rsidRDefault="007862A2" w:rsidP="007862A2">
      <w:pPr>
        <w:pStyle w:val="PL"/>
      </w:pPr>
      <w:r>
        <w:t xml:space="preserve">      description: Contains the description of an Uplink and/or Downlink Ethernet flow.</w:t>
      </w:r>
    </w:p>
    <w:p w14:paraId="5CBFA8E1" w14:textId="77777777" w:rsidR="007862A2" w:rsidRDefault="007862A2" w:rsidP="007862A2">
      <w:pPr>
        <w:pStyle w:val="PL"/>
      </w:pPr>
      <w:r>
        <w:t xml:space="preserve">      type: object</w:t>
      </w:r>
    </w:p>
    <w:p w14:paraId="3FBE9C80" w14:textId="77777777" w:rsidR="007862A2" w:rsidRDefault="007862A2" w:rsidP="007862A2">
      <w:pPr>
        <w:pStyle w:val="PL"/>
      </w:pPr>
      <w:r>
        <w:t xml:space="preserve">      properties:</w:t>
      </w:r>
    </w:p>
    <w:p w14:paraId="0E86AF66" w14:textId="77777777" w:rsidR="007862A2" w:rsidRDefault="007862A2" w:rsidP="007862A2">
      <w:pPr>
        <w:pStyle w:val="PL"/>
      </w:pPr>
      <w:r>
        <w:t xml:space="preserve">        ipTrafficFilter:</w:t>
      </w:r>
    </w:p>
    <w:p w14:paraId="600387D0" w14:textId="77777777" w:rsidR="007862A2" w:rsidRDefault="007862A2" w:rsidP="007862A2">
      <w:pPr>
        <w:pStyle w:val="PL"/>
      </w:pPr>
      <w:r>
        <w:t xml:space="preserve">          $ref: 'TS29514_Npcf_PolicyAuthorization.yaml#/components/schemas/FlowDescription'</w:t>
      </w:r>
    </w:p>
    <w:p w14:paraId="027E1367" w14:textId="77777777" w:rsidR="007862A2" w:rsidRDefault="007862A2" w:rsidP="007862A2">
      <w:pPr>
        <w:pStyle w:val="PL"/>
      </w:pPr>
      <w:r>
        <w:t xml:space="preserve">        ethTrafficFilter:</w:t>
      </w:r>
    </w:p>
    <w:p w14:paraId="39BB0BEB" w14:textId="77777777" w:rsidR="007862A2" w:rsidRDefault="007862A2" w:rsidP="007862A2">
      <w:pPr>
        <w:pStyle w:val="PL"/>
      </w:pPr>
      <w:r>
        <w:t xml:space="preserve">          $ref: 'TS29514_Npcf_PolicyAuthorization.yaml#/components/schemas/EthFlowDescription'</w:t>
      </w:r>
    </w:p>
    <w:p w14:paraId="57C5045F" w14:textId="77777777" w:rsidR="007862A2" w:rsidRDefault="007862A2" w:rsidP="007862A2">
      <w:pPr>
        <w:pStyle w:val="PL"/>
      </w:pPr>
      <w:r>
        <w:t xml:space="preserve">      oneOf:</w:t>
      </w:r>
    </w:p>
    <w:p w14:paraId="3C45A4BA" w14:textId="77777777" w:rsidR="007862A2" w:rsidRDefault="007862A2" w:rsidP="007862A2">
      <w:pPr>
        <w:pStyle w:val="PL"/>
      </w:pPr>
      <w:r>
        <w:t xml:space="preserve">        - required: [ipTrafficFilter]</w:t>
      </w:r>
    </w:p>
    <w:p w14:paraId="56CD42D8" w14:textId="77777777" w:rsidR="007862A2" w:rsidRDefault="007862A2" w:rsidP="007862A2">
      <w:pPr>
        <w:pStyle w:val="PL"/>
      </w:pPr>
      <w:r>
        <w:t xml:space="preserve">        - required: [ethTrafficFilter]</w:t>
      </w:r>
    </w:p>
    <w:p w14:paraId="1B8A390E" w14:textId="77777777" w:rsidR="007862A2" w:rsidRDefault="007862A2" w:rsidP="007862A2">
      <w:pPr>
        <w:pStyle w:val="PL"/>
      </w:pPr>
    </w:p>
    <w:p w14:paraId="20BB86BC" w14:textId="77777777" w:rsidR="007862A2" w:rsidRDefault="007862A2" w:rsidP="007862A2">
      <w:pPr>
        <w:pStyle w:val="PL"/>
      </w:pPr>
      <w:r>
        <w:t xml:space="preserve">    AddressList:</w:t>
      </w:r>
    </w:p>
    <w:p w14:paraId="552C9A0F" w14:textId="77777777" w:rsidR="007862A2" w:rsidRDefault="007862A2" w:rsidP="007862A2">
      <w:pPr>
        <w:pStyle w:val="PL"/>
      </w:pPr>
      <w:r>
        <w:t xml:space="preserve">      description: Represents a list of IPv4 and/or IPv6 addresses.</w:t>
      </w:r>
    </w:p>
    <w:p w14:paraId="2B1F2165" w14:textId="77777777" w:rsidR="007862A2" w:rsidRDefault="007862A2" w:rsidP="007862A2">
      <w:pPr>
        <w:pStyle w:val="PL"/>
      </w:pPr>
      <w:r>
        <w:t xml:space="preserve">      type: object</w:t>
      </w:r>
    </w:p>
    <w:p w14:paraId="6450E167" w14:textId="77777777" w:rsidR="007862A2" w:rsidRDefault="007862A2" w:rsidP="007862A2">
      <w:pPr>
        <w:pStyle w:val="PL"/>
      </w:pPr>
      <w:r>
        <w:t xml:space="preserve">      properties:</w:t>
      </w:r>
    </w:p>
    <w:p w14:paraId="0DE411B9" w14:textId="77777777" w:rsidR="007862A2" w:rsidRDefault="007862A2" w:rsidP="007862A2">
      <w:pPr>
        <w:pStyle w:val="PL"/>
      </w:pPr>
      <w:r>
        <w:t xml:space="preserve">        ipv4Addrs:</w:t>
      </w:r>
    </w:p>
    <w:p w14:paraId="0188AFDE" w14:textId="77777777" w:rsidR="007862A2" w:rsidRDefault="007862A2" w:rsidP="007862A2">
      <w:pPr>
        <w:pStyle w:val="PL"/>
      </w:pPr>
      <w:r>
        <w:t xml:space="preserve">          type: array</w:t>
      </w:r>
    </w:p>
    <w:p w14:paraId="73CF79F6" w14:textId="77777777" w:rsidR="007862A2" w:rsidRDefault="007862A2" w:rsidP="007862A2">
      <w:pPr>
        <w:pStyle w:val="PL"/>
      </w:pPr>
      <w:r>
        <w:t xml:space="preserve">          items:</w:t>
      </w:r>
    </w:p>
    <w:p w14:paraId="7986D9E9" w14:textId="77777777" w:rsidR="007862A2" w:rsidRDefault="007862A2" w:rsidP="007862A2">
      <w:pPr>
        <w:pStyle w:val="PL"/>
      </w:pPr>
      <w:r>
        <w:t xml:space="preserve">            $ref: 'TS29571_CommonData.yaml#/components/schemas/Ipv4Addr'</w:t>
      </w:r>
    </w:p>
    <w:p w14:paraId="4562BBA7" w14:textId="77777777" w:rsidR="007862A2" w:rsidRDefault="007862A2" w:rsidP="007862A2">
      <w:pPr>
        <w:pStyle w:val="PL"/>
      </w:pPr>
      <w:r>
        <w:t xml:space="preserve">          minItems: 1</w:t>
      </w:r>
    </w:p>
    <w:p w14:paraId="77C5C0D1" w14:textId="77777777" w:rsidR="007862A2" w:rsidRDefault="007862A2" w:rsidP="007862A2">
      <w:pPr>
        <w:pStyle w:val="PL"/>
      </w:pPr>
      <w:r>
        <w:t xml:space="preserve">        ipv6Addrs:</w:t>
      </w:r>
    </w:p>
    <w:p w14:paraId="7883193E" w14:textId="77777777" w:rsidR="007862A2" w:rsidRDefault="007862A2" w:rsidP="007862A2">
      <w:pPr>
        <w:pStyle w:val="PL"/>
      </w:pPr>
      <w:r>
        <w:t xml:space="preserve">          type: array</w:t>
      </w:r>
    </w:p>
    <w:p w14:paraId="586C6186" w14:textId="77777777" w:rsidR="007862A2" w:rsidRDefault="007862A2" w:rsidP="007862A2">
      <w:pPr>
        <w:pStyle w:val="PL"/>
      </w:pPr>
      <w:r>
        <w:t xml:space="preserve">          items:</w:t>
      </w:r>
    </w:p>
    <w:p w14:paraId="50E63136" w14:textId="77777777" w:rsidR="007862A2" w:rsidRDefault="007862A2" w:rsidP="007862A2">
      <w:pPr>
        <w:pStyle w:val="PL"/>
      </w:pPr>
      <w:r>
        <w:t xml:space="preserve">            $ref: 'TS29571_CommonData.yaml#/components/schemas/Ipv6Addr'</w:t>
      </w:r>
    </w:p>
    <w:p w14:paraId="29FAD529" w14:textId="77777777" w:rsidR="007862A2" w:rsidRDefault="007862A2" w:rsidP="007862A2">
      <w:pPr>
        <w:pStyle w:val="PL"/>
      </w:pPr>
      <w:r>
        <w:t xml:space="preserve">          minItems: 1</w:t>
      </w:r>
    </w:p>
    <w:p w14:paraId="16D058FE" w14:textId="77777777" w:rsidR="007862A2" w:rsidRDefault="007862A2" w:rsidP="007862A2">
      <w:pPr>
        <w:pStyle w:val="PL"/>
      </w:pPr>
    </w:p>
    <w:p w14:paraId="51F2CC9B" w14:textId="77777777" w:rsidR="007862A2" w:rsidRDefault="007862A2" w:rsidP="007862A2">
      <w:pPr>
        <w:pStyle w:val="PL"/>
      </w:pPr>
      <w:r>
        <w:t xml:space="preserve">    CircumstanceDescription:</w:t>
      </w:r>
    </w:p>
    <w:p w14:paraId="6AA04952" w14:textId="77777777" w:rsidR="007862A2" w:rsidRDefault="007862A2" w:rsidP="007862A2">
      <w:pPr>
        <w:pStyle w:val="PL"/>
      </w:pPr>
      <w:r>
        <w:t xml:space="preserve">      description: Contains the description of a circumstance.</w:t>
      </w:r>
    </w:p>
    <w:p w14:paraId="2229C806" w14:textId="77777777" w:rsidR="007862A2" w:rsidRDefault="007862A2" w:rsidP="007862A2">
      <w:pPr>
        <w:pStyle w:val="PL"/>
      </w:pPr>
      <w:r>
        <w:t xml:space="preserve">      type: object</w:t>
      </w:r>
    </w:p>
    <w:p w14:paraId="37EB63F9" w14:textId="77777777" w:rsidR="007862A2" w:rsidRDefault="007862A2" w:rsidP="007862A2">
      <w:pPr>
        <w:pStyle w:val="PL"/>
      </w:pPr>
      <w:r>
        <w:lastRenderedPageBreak/>
        <w:t xml:space="preserve">      properties:</w:t>
      </w:r>
    </w:p>
    <w:p w14:paraId="5C672078" w14:textId="77777777" w:rsidR="007862A2" w:rsidRDefault="007862A2" w:rsidP="007862A2">
      <w:pPr>
        <w:pStyle w:val="PL"/>
      </w:pPr>
      <w:r>
        <w:t xml:space="preserve">        freq:</w:t>
      </w:r>
    </w:p>
    <w:p w14:paraId="7B5593B3" w14:textId="77777777" w:rsidR="007862A2" w:rsidRDefault="007862A2" w:rsidP="007862A2">
      <w:pPr>
        <w:pStyle w:val="PL"/>
      </w:pPr>
      <w:r>
        <w:t xml:space="preserve">          $ref: 'TS29571_CommonData.yaml#/components/schemas/Float'</w:t>
      </w:r>
    </w:p>
    <w:p w14:paraId="1D1040C0" w14:textId="77777777" w:rsidR="007862A2" w:rsidRDefault="007862A2" w:rsidP="007862A2">
      <w:pPr>
        <w:pStyle w:val="PL"/>
      </w:pPr>
      <w:r>
        <w:t xml:space="preserve">        tm:</w:t>
      </w:r>
    </w:p>
    <w:p w14:paraId="1390D002" w14:textId="77777777" w:rsidR="007862A2" w:rsidRDefault="007862A2" w:rsidP="007862A2">
      <w:pPr>
        <w:pStyle w:val="PL"/>
      </w:pPr>
      <w:r>
        <w:t xml:space="preserve">          $ref: 'TS29571_CommonData.yaml#/components/schemas/DateTime'</w:t>
      </w:r>
    </w:p>
    <w:p w14:paraId="3588906E" w14:textId="77777777" w:rsidR="007862A2" w:rsidRDefault="007862A2" w:rsidP="007862A2">
      <w:pPr>
        <w:pStyle w:val="PL"/>
      </w:pPr>
      <w:r>
        <w:t xml:space="preserve">        locArea:</w:t>
      </w:r>
    </w:p>
    <w:p w14:paraId="53198C2C" w14:textId="77777777" w:rsidR="007862A2" w:rsidRDefault="007862A2" w:rsidP="007862A2">
      <w:pPr>
        <w:pStyle w:val="PL"/>
      </w:pPr>
      <w:r>
        <w:t xml:space="preserve">          $ref: 'TS29554_Npcf_BDTPolicyControl.yaml#/components/schemas/NetworkAreaInfo'</w:t>
      </w:r>
    </w:p>
    <w:p w14:paraId="16236760" w14:textId="77777777" w:rsidR="007862A2" w:rsidRDefault="007862A2" w:rsidP="007862A2">
      <w:pPr>
        <w:pStyle w:val="PL"/>
      </w:pPr>
      <w:r>
        <w:t xml:space="preserve">        vol:</w:t>
      </w:r>
    </w:p>
    <w:p w14:paraId="67419D39" w14:textId="77777777" w:rsidR="007862A2" w:rsidRDefault="007862A2" w:rsidP="007862A2">
      <w:pPr>
        <w:pStyle w:val="PL"/>
      </w:pPr>
      <w:r>
        <w:t xml:space="preserve">          $ref: 'TS29122_CommonData.yaml#/components/schemas/Volume'</w:t>
      </w:r>
    </w:p>
    <w:p w14:paraId="5B397B42" w14:textId="77777777" w:rsidR="007862A2" w:rsidRDefault="007862A2" w:rsidP="007862A2">
      <w:pPr>
        <w:pStyle w:val="PL"/>
      </w:pPr>
    </w:p>
    <w:p w14:paraId="473A6DDD" w14:textId="77777777" w:rsidR="007862A2" w:rsidRDefault="007862A2" w:rsidP="007862A2">
      <w:pPr>
        <w:pStyle w:val="PL"/>
      </w:pPr>
      <w:r>
        <w:t xml:space="preserve">    RetainabilityThreshold:</w:t>
      </w:r>
    </w:p>
    <w:p w14:paraId="27959DCA" w14:textId="77777777" w:rsidR="007862A2" w:rsidRDefault="007862A2" w:rsidP="007862A2">
      <w:pPr>
        <w:pStyle w:val="PL"/>
      </w:pPr>
      <w:r>
        <w:t xml:space="preserve">      description: Represents a QoS flow retainability threshold.</w:t>
      </w:r>
    </w:p>
    <w:p w14:paraId="31D31471" w14:textId="77777777" w:rsidR="007862A2" w:rsidRDefault="007862A2" w:rsidP="007862A2">
      <w:pPr>
        <w:pStyle w:val="PL"/>
      </w:pPr>
      <w:r>
        <w:t xml:space="preserve">      type: object</w:t>
      </w:r>
    </w:p>
    <w:p w14:paraId="09C40686" w14:textId="77777777" w:rsidR="007862A2" w:rsidRDefault="007862A2" w:rsidP="007862A2">
      <w:pPr>
        <w:pStyle w:val="PL"/>
      </w:pPr>
      <w:r>
        <w:t xml:space="preserve">      properties:</w:t>
      </w:r>
    </w:p>
    <w:p w14:paraId="403B037E" w14:textId="77777777" w:rsidR="007862A2" w:rsidRDefault="007862A2" w:rsidP="007862A2">
      <w:pPr>
        <w:pStyle w:val="PL"/>
      </w:pPr>
      <w:r>
        <w:t xml:space="preserve">        relFlowNum:</w:t>
      </w:r>
    </w:p>
    <w:p w14:paraId="3301D72F" w14:textId="77777777" w:rsidR="007862A2" w:rsidRDefault="007862A2" w:rsidP="007862A2">
      <w:pPr>
        <w:pStyle w:val="PL"/>
      </w:pPr>
      <w:r>
        <w:t xml:space="preserve">          $ref: 'TS29571_CommonData.yaml#/components/schemas/Uinteger'</w:t>
      </w:r>
    </w:p>
    <w:p w14:paraId="68A8FAD1" w14:textId="77777777" w:rsidR="007862A2" w:rsidRDefault="007862A2" w:rsidP="007862A2">
      <w:pPr>
        <w:pStyle w:val="PL"/>
      </w:pPr>
      <w:r>
        <w:t xml:space="preserve">        relTimeUnit:</w:t>
      </w:r>
    </w:p>
    <w:p w14:paraId="35AB0E7A" w14:textId="77777777" w:rsidR="007862A2" w:rsidRDefault="007862A2" w:rsidP="007862A2">
      <w:pPr>
        <w:pStyle w:val="PL"/>
      </w:pPr>
      <w:r>
        <w:t xml:space="preserve">          $ref: '#/components/schemas/TimeUnit'</w:t>
      </w:r>
    </w:p>
    <w:p w14:paraId="7E571D08" w14:textId="77777777" w:rsidR="007862A2" w:rsidRDefault="007862A2" w:rsidP="007862A2">
      <w:pPr>
        <w:pStyle w:val="PL"/>
      </w:pPr>
      <w:r>
        <w:t xml:space="preserve">        relFlowRatio:</w:t>
      </w:r>
    </w:p>
    <w:p w14:paraId="6F01BD61" w14:textId="77777777" w:rsidR="007862A2" w:rsidRDefault="007862A2" w:rsidP="007862A2">
      <w:pPr>
        <w:pStyle w:val="PL"/>
      </w:pPr>
      <w:r>
        <w:t xml:space="preserve">          $ref: 'TS29571_CommonData.yaml#/components/schemas/SamplingRatio'</w:t>
      </w:r>
    </w:p>
    <w:p w14:paraId="30CB2DA5" w14:textId="77777777" w:rsidR="007862A2" w:rsidRDefault="007862A2" w:rsidP="007862A2">
      <w:pPr>
        <w:pStyle w:val="PL"/>
      </w:pPr>
      <w:r>
        <w:t xml:space="preserve">      oneOf:</w:t>
      </w:r>
    </w:p>
    <w:p w14:paraId="7DA2F312" w14:textId="77777777" w:rsidR="007862A2" w:rsidRDefault="007862A2" w:rsidP="007862A2">
      <w:pPr>
        <w:pStyle w:val="PL"/>
      </w:pPr>
      <w:r>
        <w:t xml:space="preserve">        - allOf:</w:t>
      </w:r>
    </w:p>
    <w:p w14:paraId="6F53FB76" w14:textId="77777777" w:rsidR="007862A2" w:rsidRDefault="007862A2" w:rsidP="007862A2">
      <w:pPr>
        <w:pStyle w:val="PL"/>
      </w:pPr>
      <w:r>
        <w:t xml:space="preserve">          - required: [relFlowNum]</w:t>
      </w:r>
    </w:p>
    <w:p w14:paraId="03E2DCE0" w14:textId="77777777" w:rsidR="007862A2" w:rsidRDefault="007862A2" w:rsidP="007862A2">
      <w:pPr>
        <w:pStyle w:val="PL"/>
      </w:pPr>
      <w:r>
        <w:t xml:space="preserve">          - required: [relTimeUnit]</w:t>
      </w:r>
    </w:p>
    <w:p w14:paraId="31402C5B" w14:textId="77777777" w:rsidR="007862A2" w:rsidRDefault="007862A2" w:rsidP="007862A2">
      <w:pPr>
        <w:pStyle w:val="PL"/>
      </w:pPr>
      <w:r>
        <w:t xml:space="preserve">        - required: [relFlowRatio]</w:t>
      </w:r>
    </w:p>
    <w:p w14:paraId="05F274A1" w14:textId="77777777" w:rsidR="007862A2" w:rsidRDefault="007862A2" w:rsidP="007862A2">
      <w:pPr>
        <w:pStyle w:val="PL"/>
      </w:pPr>
    </w:p>
    <w:p w14:paraId="41710899" w14:textId="77777777" w:rsidR="007862A2" w:rsidRDefault="007862A2" w:rsidP="007862A2">
      <w:pPr>
        <w:pStyle w:val="PL"/>
      </w:pPr>
      <w:r>
        <w:t xml:space="preserve">    NetworkPerfRequirement:</w:t>
      </w:r>
    </w:p>
    <w:p w14:paraId="2863B3B2" w14:textId="77777777" w:rsidR="007862A2" w:rsidRDefault="007862A2" w:rsidP="007862A2">
      <w:pPr>
        <w:pStyle w:val="PL"/>
      </w:pPr>
      <w:r>
        <w:t xml:space="preserve">      description: Represents a network performance requirement.</w:t>
      </w:r>
    </w:p>
    <w:p w14:paraId="13F16C8A" w14:textId="77777777" w:rsidR="007862A2" w:rsidRDefault="007862A2" w:rsidP="007862A2">
      <w:pPr>
        <w:pStyle w:val="PL"/>
      </w:pPr>
      <w:r>
        <w:t xml:space="preserve">      type: object</w:t>
      </w:r>
    </w:p>
    <w:p w14:paraId="2FDD9871" w14:textId="77777777" w:rsidR="007862A2" w:rsidRDefault="007862A2" w:rsidP="007862A2">
      <w:pPr>
        <w:pStyle w:val="PL"/>
      </w:pPr>
      <w:r>
        <w:t xml:space="preserve">      properties:</w:t>
      </w:r>
    </w:p>
    <w:p w14:paraId="632DE444" w14:textId="77777777" w:rsidR="007862A2" w:rsidRDefault="007862A2" w:rsidP="007862A2">
      <w:pPr>
        <w:pStyle w:val="PL"/>
      </w:pPr>
      <w:r>
        <w:t xml:space="preserve">        nwPerfType:</w:t>
      </w:r>
    </w:p>
    <w:p w14:paraId="729AEDE6" w14:textId="77777777" w:rsidR="007862A2" w:rsidRDefault="007862A2" w:rsidP="007862A2">
      <w:pPr>
        <w:pStyle w:val="PL"/>
      </w:pPr>
      <w:r>
        <w:t xml:space="preserve">          $ref: '#/components/schemas/NetworkPerfType'</w:t>
      </w:r>
    </w:p>
    <w:p w14:paraId="3CA591A8" w14:textId="77777777" w:rsidR="007862A2" w:rsidRDefault="007862A2" w:rsidP="007862A2">
      <w:pPr>
        <w:pStyle w:val="PL"/>
      </w:pPr>
      <w:r>
        <w:t xml:space="preserve">        relativeRatio:</w:t>
      </w:r>
    </w:p>
    <w:p w14:paraId="36D1B2AC" w14:textId="77777777" w:rsidR="007862A2" w:rsidRDefault="007862A2" w:rsidP="007862A2">
      <w:pPr>
        <w:pStyle w:val="PL"/>
      </w:pPr>
      <w:r>
        <w:t xml:space="preserve">          $ref: 'TS29571_CommonData.yaml#/components/schemas/SamplingRatio'</w:t>
      </w:r>
    </w:p>
    <w:p w14:paraId="25C045C1" w14:textId="77777777" w:rsidR="007862A2" w:rsidRDefault="007862A2" w:rsidP="007862A2">
      <w:pPr>
        <w:pStyle w:val="PL"/>
      </w:pPr>
      <w:r>
        <w:t xml:space="preserve">        absoluteNum:</w:t>
      </w:r>
    </w:p>
    <w:p w14:paraId="5C40CBB6" w14:textId="77777777" w:rsidR="007862A2" w:rsidRDefault="007862A2" w:rsidP="007862A2">
      <w:pPr>
        <w:pStyle w:val="PL"/>
      </w:pPr>
      <w:r>
        <w:t xml:space="preserve">          $ref: 'TS29571_CommonData.yaml#/components/schemas/Uinteger'</w:t>
      </w:r>
    </w:p>
    <w:p w14:paraId="3CD3F3B6" w14:textId="77777777" w:rsidR="007862A2" w:rsidRDefault="007862A2" w:rsidP="007862A2">
      <w:pPr>
        <w:pStyle w:val="PL"/>
      </w:pPr>
      <w:r>
        <w:t xml:space="preserve">        orderCriterion:</w:t>
      </w:r>
    </w:p>
    <w:p w14:paraId="2A396ADB" w14:textId="77777777" w:rsidR="007862A2" w:rsidRDefault="007862A2" w:rsidP="007862A2">
      <w:pPr>
        <w:pStyle w:val="PL"/>
      </w:pPr>
      <w:r>
        <w:t xml:space="preserve">          $ref: '#/components/schemas/NetworkPerfOrderCriterion'</w:t>
      </w:r>
    </w:p>
    <w:p w14:paraId="77C50FF3" w14:textId="77777777" w:rsidR="007862A2" w:rsidRDefault="007862A2" w:rsidP="007862A2">
      <w:pPr>
        <w:pStyle w:val="PL"/>
      </w:pPr>
      <w:r>
        <w:t xml:space="preserve">        </w:t>
      </w:r>
      <w:r>
        <w:rPr>
          <w:lang w:eastAsia="zh-CN"/>
        </w:rPr>
        <w:t>rscUsgReq</w:t>
      </w:r>
      <w:r>
        <w:t>:</w:t>
      </w:r>
    </w:p>
    <w:p w14:paraId="5E01C68D" w14:textId="77777777" w:rsidR="007862A2" w:rsidRDefault="007862A2" w:rsidP="007862A2">
      <w:pPr>
        <w:pStyle w:val="PL"/>
      </w:pPr>
      <w:r>
        <w:t xml:space="preserve">          $ref: '#/components/schemas/</w:t>
      </w:r>
      <w:r>
        <w:rPr>
          <w:lang w:eastAsia="zh-CN"/>
        </w:rPr>
        <w:t>ResourceUsageRequirement</w:t>
      </w:r>
      <w:r>
        <w:t>'</w:t>
      </w:r>
    </w:p>
    <w:p w14:paraId="052AF102" w14:textId="77777777" w:rsidR="007862A2" w:rsidRDefault="007862A2" w:rsidP="007862A2">
      <w:pPr>
        <w:pStyle w:val="PL"/>
      </w:pPr>
      <w:r>
        <w:t xml:space="preserve">      required:</w:t>
      </w:r>
    </w:p>
    <w:p w14:paraId="5B6C8EC6" w14:textId="77777777" w:rsidR="007862A2" w:rsidRDefault="007862A2" w:rsidP="007862A2">
      <w:pPr>
        <w:pStyle w:val="PL"/>
      </w:pPr>
      <w:r>
        <w:t xml:space="preserve">        - nwPerfType</w:t>
      </w:r>
    </w:p>
    <w:p w14:paraId="6EAE32D8" w14:textId="77777777" w:rsidR="007862A2" w:rsidRDefault="007862A2" w:rsidP="007862A2">
      <w:pPr>
        <w:pStyle w:val="PL"/>
      </w:pPr>
      <w:r>
        <w:t xml:space="preserve">      not:</w:t>
      </w:r>
    </w:p>
    <w:p w14:paraId="2BE17E68" w14:textId="77777777" w:rsidR="007862A2" w:rsidRDefault="007862A2" w:rsidP="007862A2">
      <w:pPr>
        <w:pStyle w:val="PL"/>
      </w:pPr>
      <w:r>
        <w:t xml:space="preserve">        required: [relativeRatio, absoluteNum]</w:t>
      </w:r>
    </w:p>
    <w:p w14:paraId="04BB3207" w14:textId="77777777" w:rsidR="007862A2" w:rsidRDefault="007862A2" w:rsidP="007862A2">
      <w:pPr>
        <w:pStyle w:val="PL"/>
      </w:pPr>
    </w:p>
    <w:p w14:paraId="1C7AECA5" w14:textId="77777777" w:rsidR="007862A2" w:rsidRDefault="007862A2" w:rsidP="007862A2">
      <w:pPr>
        <w:pStyle w:val="PL"/>
      </w:pPr>
      <w:r>
        <w:t xml:space="preserve">    NetworkPerfInfo:</w:t>
      </w:r>
    </w:p>
    <w:p w14:paraId="32D52EF7" w14:textId="77777777" w:rsidR="007862A2" w:rsidRDefault="007862A2" w:rsidP="007862A2">
      <w:pPr>
        <w:pStyle w:val="PL"/>
      </w:pPr>
      <w:r>
        <w:t xml:space="preserve">      description: Represents the network performance information.</w:t>
      </w:r>
    </w:p>
    <w:p w14:paraId="377775F9" w14:textId="77777777" w:rsidR="007862A2" w:rsidRDefault="007862A2" w:rsidP="007862A2">
      <w:pPr>
        <w:pStyle w:val="PL"/>
      </w:pPr>
      <w:r>
        <w:t xml:space="preserve">      type: object</w:t>
      </w:r>
    </w:p>
    <w:p w14:paraId="7CF5ACCB" w14:textId="77777777" w:rsidR="007862A2" w:rsidRDefault="007862A2" w:rsidP="007862A2">
      <w:pPr>
        <w:pStyle w:val="PL"/>
      </w:pPr>
      <w:r>
        <w:t xml:space="preserve">      properties:</w:t>
      </w:r>
    </w:p>
    <w:p w14:paraId="77F2D1B1" w14:textId="77777777" w:rsidR="007862A2" w:rsidRDefault="007862A2" w:rsidP="007862A2">
      <w:pPr>
        <w:pStyle w:val="PL"/>
      </w:pPr>
      <w:r>
        <w:t xml:space="preserve">        networkArea:</w:t>
      </w:r>
    </w:p>
    <w:p w14:paraId="39636D82" w14:textId="77777777" w:rsidR="007862A2" w:rsidRDefault="007862A2" w:rsidP="007862A2">
      <w:pPr>
        <w:pStyle w:val="PL"/>
      </w:pPr>
      <w:r>
        <w:t xml:space="preserve">          $ref: 'TS29554_Npcf_BDTPolicyControl.yaml#/components/schemas/NetworkAreaInfo'</w:t>
      </w:r>
    </w:p>
    <w:p w14:paraId="366CF7F5" w14:textId="77777777" w:rsidR="007862A2" w:rsidRDefault="007862A2" w:rsidP="007862A2">
      <w:pPr>
        <w:pStyle w:val="PL"/>
      </w:pPr>
      <w:r>
        <w:t xml:space="preserve">        nwPerfType:</w:t>
      </w:r>
    </w:p>
    <w:p w14:paraId="0D7142C8" w14:textId="77777777" w:rsidR="007862A2" w:rsidRDefault="007862A2" w:rsidP="007862A2">
      <w:pPr>
        <w:pStyle w:val="PL"/>
      </w:pPr>
      <w:r>
        <w:t xml:space="preserve">          $ref: '#/components/schemas/NetworkPerfType'</w:t>
      </w:r>
    </w:p>
    <w:p w14:paraId="4D1B9ECA" w14:textId="77777777" w:rsidR="007862A2" w:rsidRDefault="007862A2" w:rsidP="007862A2">
      <w:pPr>
        <w:pStyle w:val="PL"/>
      </w:pPr>
      <w:r>
        <w:t xml:space="preserve">        anaPeriod:</w:t>
      </w:r>
    </w:p>
    <w:p w14:paraId="37A784B3" w14:textId="77777777" w:rsidR="007862A2" w:rsidRDefault="007862A2" w:rsidP="007862A2">
      <w:pPr>
        <w:pStyle w:val="PL"/>
      </w:pPr>
      <w:r>
        <w:t xml:space="preserve">          $ref: 'TS29122_CommonData.yaml#/components/schemas/TimeWindow'</w:t>
      </w:r>
    </w:p>
    <w:p w14:paraId="309A8E49" w14:textId="77777777" w:rsidR="007862A2" w:rsidRDefault="007862A2" w:rsidP="007862A2">
      <w:pPr>
        <w:pStyle w:val="PL"/>
      </w:pPr>
      <w:r>
        <w:t xml:space="preserve">        relativeRatio:</w:t>
      </w:r>
    </w:p>
    <w:p w14:paraId="34515665" w14:textId="77777777" w:rsidR="007862A2" w:rsidRDefault="007862A2" w:rsidP="007862A2">
      <w:pPr>
        <w:pStyle w:val="PL"/>
      </w:pPr>
      <w:r>
        <w:t xml:space="preserve">          $ref: 'TS29571_CommonData.yaml#/components/schemas/SamplingRatio'</w:t>
      </w:r>
    </w:p>
    <w:p w14:paraId="2F6C2C4C" w14:textId="77777777" w:rsidR="007862A2" w:rsidRDefault="007862A2" w:rsidP="007862A2">
      <w:pPr>
        <w:pStyle w:val="PL"/>
      </w:pPr>
      <w:r>
        <w:t xml:space="preserve">        absoluteNum:</w:t>
      </w:r>
    </w:p>
    <w:p w14:paraId="63EC1DA6" w14:textId="77777777" w:rsidR="007862A2" w:rsidRDefault="007862A2" w:rsidP="007862A2">
      <w:pPr>
        <w:pStyle w:val="PL"/>
      </w:pPr>
      <w:r>
        <w:t xml:space="preserve">          $ref: 'TS29571_CommonData.yaml#/components/schemas/Uinteger'</w:t>
      </w:r>
    </w:p>
    <w:p w14:paraId="743A526D" w14:textId="77777777" w:rsidR="007862A2" w:rsidRDefault="007862A2" w:rsidP="007862A2">
      <w:pPr>
        <w:pStyle w:val="PL"/>
      </w:pPr>
      <w:r>
        <w:t xml:space="preserve">        </w:t>
      </w:r>
      <w:r>
        <w:rPr>
          <w:lang w:eastAsia="zh-CN"/>
        </w:rPr>
        <w:t>rscUsgReq</w:t>
      </w:r>
      <w:r>
        <w:t>:</w:t>
      </w:r>
    </w:p>
    <w:p w14:paraId="7C7919BA" w14:textId="77777777" w:rsidR="007862A2" w:rsidRDefault="007862A2" w:rsidP="007862A2">
      <w:pPr>
        <w:pStyle w:val="PL"/>
      </w:pPr>
      <w:r>
        <w:t xml:space="preserve">          $ref: '#/components/schemas/</w:t>
      </w:r>
      <w:r>
        <w:rPr>
          <w:lang w:eastAsia="zh-CN"/>
        </w:rPr>
        <w:t>ResourceUsageRequirement</w:t>
      </w:r>
      <w:r>
        <w:t>'</w:t>
      </w:r>
    </w:p>
    <w:p w14:paraId="4CDCF7C5" w14:textId="77777777" w:rsidR="007862A2" w:rsidRDefault="007862A2" w:rsidP="007862A2">
      <w:pPr>
        <w:pStyle w:val="PL"/>
      </w:pPr>
      <w:r>
        <w:t xml:space="preserve">        confidence:</w:t>
      </w:r>
    </w:p>
    <w:p w14:paraId="541A1C81" w14:textId="77777777" w:rsidR="007862A2" w:rsidRDefault="007862A2" w:rsidP="007862A2">
      <w:pPr>
        <w:pStyle w:val="PL"/>
      </w:pPr>
      <w:r>
        <w:t xml:space="preserve">          $ref: 'TS29571_CommonData.yaml#/components/schemas/Uinteger'</w:t>
      </w:r>
    </w:p>
    <w:p w14:paraId="08C455D6" w14:textId="77777777" w:rsidR="007862A2" w:rsidRDefault="007862A2" w:rsidP="007862A2">
      <w:pPr>
        <w:pStyle w:val="PL"/>
      </w:pPr>
      <w:r>
        <w:t xml:space="preserve">      allOf:</w:t>
      </w:r>
    </w:p>
    <w:p w14:paraId="6F1DA577" w14:textId="77777777" w:rsidR="007862A2" w:rsidRDefault="007862A2" w:rsidP="007862A2">
      <w:pPr>
        <w:pStyle w:val="PL"/>
      </w:pPr>
      <w:r>
        <w:t xml:space="preserve">        - required: [networkArea]</w:t>
      </w:r>
    </w:p>
    <w:p w14:paraId="5F61C54F" w14:textId="77777777" w:rsidR="007862A2" w:rsidRDefault="007862A2" w:rsidP="007862A2">
      <w:pPr>
        <w:pStyle w:val="PL"/>
      </w:pPr>
      <w:r>
        <w:t xml:space="preserve">        - required: [nwPerfType]</w:t>
      </w:r>
    </w:p>
    <w:p w14:paraId="44DB43F0" w14:textId="77777777" w:rsidR="007862A2" w:rsidRDefault="007862A2" w:rsidP="007862A2">
      <w:pPr>
        <w:pStyle w:val="PL"/>
        <w:rPr>
          <w:lang w:eastAsia="zh-CN"/>
        </w:rPr>
      </w:pPr>
      <w:r>
        <w:rPr>
          <w:lang w:eastAsia="zh-CN"/>
        </w:rPr>
        <w:t xml:space="preserve">     </w:t>
      </w:r>
      <w:r>
        <w:t xml:space="preserve">  </w:t>
      </w:r>
      <w:r>
        <w:rPr>
          <w:lang w:eastAsia="zh-CN"/>
        </w:rPr>
        <w:t xml:space="preserve"> </w:t>
      </w:r>
      <w:r>
        <w:t xml:space="preserve">- </w:t>
      </w:r>
      <w:r>
        <w:rPr>
          <w:lang w:eastAsia="zh-CN"/>
        </w:rPr>
        <w:t>oneOf:</w:t>
      </w:r>
    </w:p>
    <w:p w14:paraId="2ACA18AB" w14:textId="77777777" w:rsidR="007862A2" w:rsidRDefault="007862A2" w:rsidP="007862A2">
      <w:pPr>
        <w:pStyle w:val="PL"/>
        <w:rPr>
          <w:lang w:eastAsia="zh-CN"/>
        </w:rPr>
      </w:pPr>
      <w:r>
        <w:rPr>
          <w:lang w:eastAsia="zh-CN"/>
        </w:rPr>
        <w:t xml:space="preserve">          - required: [</w:t>
      </w:r>
      <w:r>
        <w:t>relativeRatio</w:t>
      </w:r>
      <w:r>
        <w:rPr>
          <w:lang w:eastAsia="zh-CN"/>
        </w:rPr>
        <w:t>]</w:t>
      </w:r>
    </w:p>
    <w:p w14:paraId="262120BA" w14:textId="77777777" w:rsidR="007862A2" w:rsidRDefault="007862A2" w:rsidP="007862A2">
      <w:pPr>
        <w:pStyle w:val="PL"/>
        <w:rPr>
          <w:lang w:eastAsia="zh-CN"/>
        </w:rPr>
      </w:pPr>
      <w:r>
        <w:rPr>
          <w:lang w:eastAsia="zh-CN"/>
        </w:rPr>
        <w:t xml:space="preserve">          - required: [</w:t>
      </w:r>
      <w:r>
        <w:t>absoluteNum</w:t>
      </w:r>
      <w:r>
        <w:rPr>
          <w:lang w:eastAsia="zh-CN"/>
        </w:rPr>
        <w:t>]</w:t>
      </w:r>
    </w:p>
    <w:p w14:paraId="5FF159C8" w14:textId="77777777" w:rsidR="007862A2" w:rsidRDefault="007862A2" w:rsidP="007862A2">
      <w:pPr>
        <w:pStyle w:val="PL"/>
      </w:pPr>
    </w:p>
    <w:p w14:paraId="490E422B" w14:textId="77777777" w:rsidR="007862A2" w:rsidRDefault="007862A2" w:rsidP="007862A2">
      <w:pPr>
        <w:pStyle w:val="PL"/>
      </w:pPr>
      <w:r>
        <w:t xml:space="preserve">    FailureEventInfo:</w:t>
      </w:r>
    </w:p>
    <w:p w14:paraId="430D56C5" w14:textId="77777777" w:rsidR="007862A2" w:rsidRDefault="007862A2" w:rsidP="007862A2">
      <w:pPr>
        <w:pStyle w:val="PL"/>
      </w:pPr>
      <w:r>
        <w:t xml:space="preserve">      description: Contains information on the event for which the subscription is not successful.</w:t>
      </w:r>
    </w:p>
    <w:p w14:paraId="71C693A9" w14:textId="77777777" w:rsidR="007862A2" w:rsidRDefault="007862A2" w:rsidP="007862A2">
      <w:pPr>
        <w:pStyle w:val="PL"/>
      </w:pPr>
      <w:r>
        <w:t xml:space="preserve">      type: object</w:t>
      </w:r>
    </w:p>
    <w:p w14:paraId="6A1BC143" w14:textId="77777777" w:rsidR="007862A2" w:rsidRDefault="007862A2" w:rsidP="007862A2">
      <w:pPr>
        <w:pStyle w:val="PL"/>
      </w:pPr>
      <w:r>
        <w:t xml:space="preserve">      properties:</w:t>
      </w:r>
    </w:p>
    <w:p w14:paraId="45D225BE" w14:textId="77777777" w:rsidR="007862A2" w:rsidRDefault="007862A2" w:rsidP="007862A2">
      <w:pPr>
        <w:pStyle w:val="PL"/>
      </w:pPr>
      <w:r>
        <w:t xml:space="preserve">        event:</w:t>
      </w:r>
    </w:p>
    <w:p w14:paraId="29FED446" w14:textId="77777777" w:rsidR="007862A2" w:rsidRDefault="007862A2" w:rsidP="007862A2">
      <w:pPr>
        <w:pStyle w:val="PL"/>
      </w:pPr>
      <w:r>
        <w:t xml:space="preserve">          $ref: '#/components/schemas/NwdafEvent'</w:t>
      </w:r>
    </w:p>
    <w:p w14:paraId="30224AA3" w14:textId="77777777" w:rsidR="007862A2" w:rsidRDefault="007862A2" w:rsidP="007862A2">
      <w:pPr>
        <w:pStyle w:val="PL"/>
      </w:pPr>
      <w:r>
        <w:t xml:space="preserve">        failureCode:</w:t>
      </w:r>
    </w:p>
    <w:p w14:paraId="2E961473" w14:textId="77777777" w:rsidR="007862A2" w:rsidRDefault="007862A2" w:rsidP="007862A2">
      <w:pPr>
        <w:pStyle w:val="PL"/>
      </w:pPr>
      <w:r>
        <w:t xml:space="preserve">          $ref: '#/components/schemas/NwdafFailureCode'</w:t>
      </w:r>
    </w:p>
    <w:p w14:paraId="4E9B5352" w14:textId="77777777" w:rsidR="007862A2" w:rsidRDefault="007862A2" w:rsidP="007862A2">
      <w:pPr>
        <w:pStyle w:val="PL"/>
      </w:pPr>
      <w:r>
        <w:lastRenderedPageBreak/>
        <w:t xml:space="preserve">      required:</w:t>
      </w:r>
    </w:p>
    <w:p w14:paraId="37D85EEF" w14:textId="77777777" w:rsidR="007862A2" w:rsidRDefault="007862A2" w:rsidP="007862A2">
      <w:pPr>
        <w:pStyle w:val="PL"/>
      </w:pPr>
      <w:r>
        <w:t xml:space="preserve">        - event</w:t>
      </w:r>
    </w:p>
    <w:p w14:paraId="02BED11E" w14:textId="77777777" w:rsidR="007862A2" w:rsidRDefault="007862A2" w:rsidP="007862A2">
      <w:pPr>
        <w:pStyle w:val="PL"/>
      </w:pPr>
      <w:r>
        <w:t xml:space="preserve">        - failureCode</w:t>
      </w:r>
    </w:p>
    <w:p w14:paraId="6D691AA7" w14:textId="77777777" w:rsidR="007862A2" w:rsidRDefault="007862A2" w:rsidP="007862A2">
      <w:pPr>
        <w:pStyle w:val="PL"/>
      </w:pPr>
    </w:p>
    <w:p w14:paraId="74305FB2" w14:textId="77777777" w:rsidR="007862A2" w:rsidRDefault="007862A2" w:rsidP="007862A2">
      <w:pPr>
        <w:pStyle w:val="PL"/>
      </w:pPr>
      <w:r>
        <w:t xml:space="preserve">    AnalyticsMetadataIndication:</w:t>
      </w:r>
    </w:p>
    <w:p w14:paraId="7ED41723" w14:textId="77777777" w:rsidR="007862A2" w:rsidRDefault="007862A2" w:rsidP="007862A2">
      <w:pPr>
        <w:pStyle w:val="PL"/>
      </w:pPr>
      <w:r>
        <w:t xml:space="preserve">      description: &gt;</w:t>
      </w:r>
    </w:p>
    <w:p w14:paraId="29889413" w14:textId="77777777" w:rsidR="007862A2" w:rsidRDefault="007862A2" w:rsidP="007862A2">
      <w:pPr>
        <w:pStyle w:val="PL"/>
      </w:pPr>
      <w:r>
        <w:t xml:space="preserve">        Contains analytics metadata information requested to be used during analytics generation.</w:t>
      </w:r>
    </w:p>
    <w:p w14:paraId="77A56834" w14:textId="77777777" w:rsidR="007862A2" w:rsidRDefault="007862A2" w:rsidP="007862A2">
      <w:pPr>
        <w:pStyle w:val="PL"/>
      </w:pPr>
      <w:r>
        <w:t xml:space="preserve">      type: object</w:t>
      </w:r>
    </w:p>
    <w:p w14:paraId="1F9B81C9" w14:textId="77777777" w:rsidR="007862A2" w:rsidRDefault="007862A2" w:rsidP="007862A2">
      <w:pPr>
        <w:pStyle w:val="PL"/>
      </w:pPr>
      <w:r>
        <w:t xml:space="preserve">      properties:</w:t>
      </w:r>
    </w:p>
    <w:p w14:paraId="2BCECF44" w14:textId="77777777" w:rsidR="007862A2" w:rsidRDefault="007862A2" w:rsidP="007862A2">
      <w:pPr>
        <w:pStyle w:val="PL"/>
      </w:pPr>
      <w:r>
        <w:t xml:space="preserve">        dataWindow:</w:t>
      </w:r>
    </w:p>
    <w:p w14:paraId="37F235FA" w14:textId="77777777" w:rsidR="007862A2" w:rsidRDefault="007862A2" w:rsidP="007862A2">
      <w:pPr>
        <w:pStyle w:val="PL"/>
      </w:pPr>
      <w:r>
        <w:t xml:space="preserve">          $ref: 'TS29122_CommonData.yaml#/components/schemas/TimeWindow'</w:t>
      </w:r>
    </w:p>
    <w:p w14:paraId="620D7C3A" w14:textId="77777777" w:rsidR="007862A2" w:rsidRDefault="007862A2" w:rsidP="007862A2">
      <w:pPr>
        <w:pStyle w:val="PL"/>
      </w:pPr>
      <w:r>
        <w:t xml:space="preserve">        dataStatProps:</w:t>
      </w:r>
    </w:p>
    <w:p w14:paraId="3A63B70E" w14:textId="77777777" w:rsidR="007862A2" w:rsidRDefault="007862A2" w:rsidP="007862A2">
      <w:pPr>
        <w:pStyle w:val="PL"/>
      </w:pPr>
      <w:r>
        <w:t xml:space="preserve">          type: array</w:t>
      </w:r>
    </w:p>
    <w:p w14:paraId="1E7262D7" w14:textId="77777777" w:rsidR="007862A2" w:rsidRDefault="007862A2" w:rsidP="007862A2">
      <w:pPr>
        <w:pStyle w:val="PL"/>
      </w:pPr>
      <w:r>
        <w:t xml:space="preserve">          items:</w:t>
      </w:r>
    </w:p>
    <w:p w14:paraId="254681E9" w14:textId="77777777" w:rsidR="007862A2" w:rsidRDefault="007862A2" w:rsidP="007862A2">
      <w:pPr>
        <w:pStyle w:val="PL"/>
      </w:pPr>
      <w:r>
        <w:t xml:space="preserve">            $ref: '#/components/schemas/DatasetStatisticalProperty'</w:t>
      </w:r>
    </w:p>
    <w:p w14:paraId="1CF29D24" w14:textId="77777777" w:rsidR="007862A2" w:rsidRDefault="007862A2" w:rsidP="007862A2">
      <w:pPr>
        <w:pStyle w:val="PL"/>
      </w:pPr>
      <w:r>
        <w:t xml:space="preserve">          minItems: 1</w:t>
      </w:r>
    </w:p>
    <w:p w14:paraId="22832B39" w14:textId="77777777" w:rsidR="007862A2" w:rsidRDefault="007862A2" w:rsidP="007862A2">
      <w:pPr>
        <w:pStyle w:val="PL"/>
      </w:pPr>
      <w:r>
        <w:t xml:space="preserve">        strategy:</w:t>
      </w:r>
    </w:p>
    <w:p w14:paraId="1D1DE594" w14:textId="77777777" w:rsidR="007862A2" w:rsidRDefault="007862A2" w:rsidP="007862A2">
      <w:pPr>
        <w:pStyle w:val="PL"/>
      </w:pPr>
      <w:r>
        <w:t xml:space="preserve">          $ref: '#/components/schemas/OutputStrategy'</w:t>
      </w:r>
    </w:p>
    <w:p w14:paraId="1EFD1744" w14:textId="77777777" w:rsidR="007862A2" w:rsidRDefault="007862A2" w:rsidP="007862A2">
      <w:pPr>
        <w:pStyle w:val="PL"/>
      </w:pPr>
      <w:r>
        <w:t xml:space="preserve">        aggrNwdafIds:</w:t>
      </w:r>
    </w:p>
    <w:p w14:paraId="6E723D87" w14:textId="77777777" w:rsidR="007862A2" w:rsidRDefault="007862A2" w:rsidP="007862A2">
      <w:pPr>
        <w:pStyle w:val="PL"/>
      </w:pPr>
      <w:r>
        <w:t xml:space="preserve">          type: array</w:t>
      </w:r>
    </w:p>
    <w:p w14:paraId="2FAF5C3B" w14:textId="77777777" w:rsidR="007862A2" w:rsidRDefault="007862A2" w:rsidP="007862A2">
      <w:pPr>
        <w:pStyle w:val="PL"/>
      </w:pPr>
      <w:r>
        <w:t xml:space="preserve">          items:</w:t>
      </w:r>
    </w:p>
    <w:p w14:paraId="75720465" w14:textId="77777777" w:rsidR="007862A2" w:rsidRDefault="007862A2" w:rsidP="007862A2">
      <w:pPr>
        <w:pStyle w:val="PL"/>
      </w:pPr>
      <w:r>
        <w:t xml:space="preserve">            $ref: 'TS29571_CommonData.yaml#/components/schemas/NfInstanceId'</w:t>
      </w:r>
    </w:p>
    <w:p w14:paraId="321F830A" w14:textId="77777777" w:rsidR="007862A2" w:rsidRDefault="007862A2" w:rsidP="007862A2">
      <w:pPr>
        <w:pStyle w:val="PL"/>
      </w:pPr>
      <w:r>
        <w:t xml:space="preserve">          minItems: 1</w:t>
      </w:r>
    </w:p>
    <w:p w14:paraId="7DF2E348" w14:textId="77777777" w:rsidR="007862A2" w:rsidRDefault="007862A2" w:rsidP="007862A2">
      <w:pPr>
        <w:pStyle w:val="PL"/>
      </w:pPr>
    </w:p>
    <w:p w14:paraId="6A063A63" w14:textId="77777777" w:rsidR="007862A2" w:rsidRDefault="007862A2" w:rsidP="007862A2">
      <w:pPr>
        <w:pStyle w:val="PL"/>
      </w:pPr>
      <w:r>
        <w:t xml:space="preserve">    AnalyticsMetadataInfo:</w:t>
      </w:r>
    </w:p>
    <w:p w14:paraId="0BFAE446" w14:textId="77777777" w:rsidR="007862A2" w:rsidRDefault="007862A2" w:rsidP="007862A2">
      <w:pPr>
        <w:pStyle w:val="PL"/>
      </w:pPr>
      <w:r>
        <w:t xml:space="preserve">      description: Contains analytics metadata information required for analytics aggregation.</w:t>
      </w:r>
    </w:p>
    <w:p w14:paraId="33141205" w14:textId="77777777" w:rsidR="007862A2" w:rsidRDefault="007862A2" w:rsidP="007862A2">
      <w:pPr>
        <w:pStyle w:val="PL"/>
      </w:pPr>
      <w:r>
        <w:t xml:space="preserve">      type: object</w:t>
      </w:r>
    </w:p>
    <w:p w14:paraId="24041353" w14:textId="77777777" w:rsidR="007862A2" w:rsidRDefault="007862A2" w:rsidP="007862A2">
      <w:pPr>
        <w:pStyle w:val="PL"/>
      </w:pPr>
      <w:r>
        <w:t xml:space="preserve">      properties:</w:t>
      </w:r>
    </w:p>
    <w:p w14:paraId="4B6611E5" w14:textId="77777777" w:rsidR="007862A2" w:rsidRDefault="007862A2" w:rsidP="007862A2">
      <w:pPr>
        <w:pStyle w:val="PL"/>
      </w:pPr>
      <w:r>
        <w:t xml:space="preserve">        numSamples:</w:t>
      </w:r>
    </w:p>
    <w:p w14:paraId="25C9679E" w14:textId="77777777" w:rsidR="007862A2" w:rsidRDefault="007862A2" w:rsidP="007862A2">
      <w:pPr>
        <w:pStyle w:val="PL"/>
      </w:pPr>
      <w:r>
        <w:t xml:space="preserve">          $ref: 'TS29571_CommonData.yaml#/components/schemas/Uinteger'</w:t>
      </w:r>
    </w:p>
    <w:p w14:paraId="3A98E1AE" w14:textId="77777777" w:rsidR="007862A2" w:rsidRDefault="007862A2" w:rsidP="007862A2">
      <w:pPr>
        <w:pStyle w:val="PL"/>
      </w:pPr>
      <w:r>
        <w:t xml:space="preserve">        dataWindow:</w:t>
      </w:r>
    </w:p>
    <w:p w14:paraId="16169C6A" w14:textId="77777777" w:rsidR="007862A2" w:rsidRDefault="007862A2" w:rsidP="007862A2">
      <w:pPr>
        <w:pStyle w:val="PL"/>
      </w:pPr>
      <w:r>
        <w:t xml:space="preserve">          $ref: 'TS29122_CommonData.yaml#/components/schemas/TimeWindow'</w:t>
      </w:r>
    </w:p>
    <w:p w14:paraId="7C7B5DEE" w14:textId="77777777" w:rsidR="007862A2" w:rsidRDefault="007862A2" w:rsidP="007862A2">
      <w:pPr>
        <w:pStyle w:val="PL"/>
      </w:pPr>
      <w:r>
        <w:t xml:space="preserve">        dataStatProps:</w:t>
      </w:r>
    </w:p>
    <w:p w14:paraId="23CF61FB" w14:textId="77777777" w:rsidR="007862A2" w:rsidRDefault="007862A2" w:rsidP="007862A2">
      <w:pPr>
        <w:pStyle w:val="PL"/>
      </w:pPr>
      <w:r>
        <w:t xml:space="preserve">          type: array</w:t>
      </w:r>
    </w:p>
    <w:p w14:paraId="65EEB106" w14:textId="77777777" w:rsidR="007862A2" w:rsidRDefault="007862A2" w:rsidP="007862A2">
      <w:pPr>
        <w:pStyle w:val="PL"/>
      </w:pPr>
      <w:r>
        <w:t xml:space="preserve">          items:</w:t>
      </w:r>
    </w:p>
    <w:p w14:paraId="110A2107" w14:textId="77777777" w:rsidR="007862A2" w:rsidRDefault="007862A2" w:rsidP="007862A2">
      <w:pPr>
        <w:pStyle w:val="PL"/>
      </w:pPr>
      <w:r>
        <w:t xml:space="preserve">            $ref: '#/components/schemas/DatasetStatisticalProperty'</w:t>
      </w:r>
    </w:p>
    <w:p w14:paraId="4CA1C7F5" w14:textId="77777777" w:rsidR="007862A2" w:rsidRDefault="007862A2" w:rsidP="007862A2">
      <w:pPr>
        <w:pStyle w:val="PL"/>
      </w:pPr>
      <w:r>
        <w:t xml:space="preserve">          minItems: 1</w:t>
      </w:r>
    </w:p>
    <w:p w14:paraId="7580E79B" w14:textId="77777777" w:rsidR="007862A2" w:rsidRDefault="007862A2" w:rsidP="007862A2">
      <w:pPr>
        <w:pStyle w:val="PL"/>
      </w:pPr>
      <w:r>
        <w:t xml:space="preserve">        strategy:</w:t>
      </w:r>
    </w:p>
    <w:p w14:paraId="6D420AD6" w14:textId="77777777" w:rsidR="007862A2" w:rsidRDefault="007862A2" w:rsidP="007862A2">
      <w:pPr>
        <w:pStyle w:val="PL"/>
      </w:pPr>
      <w:r>
        <w:t xml:space="preserve">          $ref: '#/components/schemas/OutputStrategy'</w:t>
      </w:r>
    </w:p>
    <w:p w14:paraId="19A69261" w14:textId="77777777" w:rsidR="007862A2" w:rsidRDefault="007862A2" w:rsidP="007862A2">
      <w:pPr>
        <w:pStyle w:val="PL"/>
      </w:pPr>
      <w:r>
        <w:t xml:space="preserve">        accuracy:</w:t>
      </w:r>
    </w:p>
    <w:p w14:paraId="264A569A" w14:textId="77777777" w:rsidR="007862A2" w:rsidRDefault="007862A2" w:rsidP="007862A2">
      <w:pPr>
        <w:pStyle w:val="PL"/>
      </w:pPr>
      <w:r>
        <w:t xml:space="preserve">          $ref: '#/components/schemas/Accuracy'</w:t>
      </w:r>
    </w:p>
    <w:p w14:paraId="0CE910BD" w14:textId="77777777" w:rsidR="00BD381F" w:rsidRDefault="00BD381F" w:rsidP="00BD381F">
      <w:pPr>
        <w:pStyle w:val="PL"/>
      </w:pPr>
      <w:r>
        <w:t xml:space="preserve">        nfIds:</w:t>
      </w:r>
    </w:p>
    <w:p w14:paraId="6433DE60" w14:textId="77777777" w:rsidR="00BD381F" w:rsidRDefault="00BD381F" w:rsidP="00BD381F">
      <w:pPr>
        <w:pStyle w:val="PL"/>
      </w:pPr>
      <w:r>
        <w:t xml:space="preserve">          type: array</w:t>
      </w:r>
    </w:p>
    <w:p w14:paraId="34E70029" w14:textId="77777777" w:rsidR="00BD381F" w:rsidRDefault="00BD381F" w:rsidP="00BD381F">
      <w:pPr>
        <w:pStyle w:val="PL"/>
      </w:pPr>
      <w:r>
        <w:t xml:space="preserve">          items:</w:t>
      </w:r>
    </w:p>
    <w:p w14:paraId="1CFE0554" w14:textId="77777777" w:rsidR="00BD381F" w:rsidRDefault="00BD381F" w:rsidP="00BD381F">
      <w:pPr>
        <w:pStyle w:val="PL"/>
      </w:pPr>
      <w:r>
        <w:t xml:space="preserve">            $ref: 'TS29571_CommonData.yaml#/components/schemas/NfInstanceId'</w:t>
      </w:r>
    </w:p>
    <w:p w14:paraId="581F3896" w14:textId="77777777" w:rsidR="00BD381F" w:rsidRDefault="00BD381F" w:rsidP="00BD381F">
      <w:pPr>
        <w:pStyle w:val="PL"/>
      </w:pPr>
      <w:r>
        <w:t xml:space="preserve">          minItems: 1</w:t>
      </w:r>
    </w:p>
    <w:p w14:paraId="40CAC0DD" w14:textId="77777777" w:rsidR="00BD381F" w:rsidRDefault="00BD381F" w:rsidP="00BD381F">
      <w:pPr>
        <w:pStyle w:val="PL"/>
      </w:pPr>
      <w:r>
        <w:t xml:space="preserve">        nfSetIds:</w:t>
      </w:r>
    </w:p>
    <w:p w14:paraId="3D55A71E" w14:textId="77777777" w:rsidR="00BD381F" w:rsidRDefault="00BD381F" w:rsidP="00BD381F">
      <w:pPr>
        <w:pStyle w:val="PL"/>
      </w:pPr>
      <w:r>
        <w:t xml:space="preserve">          type: array</w:t>
      </w:r>
    </w:p>
    <w:p w14:paraId="19F8F2A8" w14:textId="77777777" w:rsidR="00BD381F" w:rsidRDefault="00BD381F" w:rsidP="00BD381F">
      <w:pPr>
        <w:pStyle w:val="PL"/>
      </w:pPr>
      <w:r>
        <w:t xml:space="preserve">          items:</w:t>
      </w:r>
    </w:p>
    <w:p w14:paraId="7E81D8D1" w14:textId="77777777" w:rsidR="00BD381F" w:rsidRDefault="00BD381F" w:rsidP="00BD381F">
      <w:pPr>
        <w:pStyle w:val="PL"/>
      </w:pPr>
      <w:r>
        <w:t xml:space="preserve">            $ref: 'TS29571_CommonData.yaml#/components/schemas/NfSetId'</w:t>
      </w:r>
    </w:p>
    <w:p w14:paraId="5667B632" w14:textId="77777777" w:rsidR="00BD381F" w:rsidRDefault="00BD381F" w:rsidP="00BD381F">
      <w:pPr>
        <w:pStyle w:val="PL"/>
      </w:pPr>
      <w:r>
        <w:t xml:space="preserve">          minItems: 1</w:t>
      </w:r>
    </w:p>
    <w:p w14:paraId="63C58822" w14:textId="77777777" w:rsidR="004D166F" w:rsidRDefault="004D166F" w:rsidP="004D166F">
      <w:pPr>
        <w:pStyle w:val="PL"/>
      </w:pPr>
      <w:r>
        <w:t xml:space="preserve">        </w:t>
      </w:r>
      <w:r>
        <w:rPr>
          <w:lang w:val="en-US" w:eastAsia="zh-CN"/>
        </w:rPr>
        <w:t>procInstructs</w:t>
      </w:r>
      <w:r>
        <w:t>:</w:t>
      </w:r>
    </w:p>
    <w:p w14:paraId="2C0476BD" w14:textId="77777777" w:rsidR="004D166F" w:rsidRDefault="004D166F" w:rsidP="004D166F">
      <w:pPr>
        <w:pStyle w:val="PL"/>
        <w:rPr>
          <w:lang w:eastAsia="zh-CN"/>
        </w:rPr>
      </w:pPr>
      <w:r>
        <w:rPr>
          <w:lang w:eastAsia="zh-CN"/>
        </w:rPr>
        <w:t xml:space="preserve">          type: array</w:t>
      </w:r>
    </w:p>
    <w:p w14:paraId="424C0A33" w14:textId="77777777" w:rsidR="004D166F" w:rsidRDefault="004D166F" w:rsidP="004D166F">
      <w:pPr>
        <w:pStyle w:val="PL"/>
      </w:pPr>
      <w:r>
        <w:rPr>
          <w:lang w:eastAsia="zh-CN"/>
        </w:rPr>
        <w:t xml:space="preserve">          items:</w:t>
      </w:r>
    </w:p>
    <w:p w14:paraId="7A3022B0" w14:textId="77777777" w:rsidR="004D166F" w:rsidRDefault="004D166F" w:rsidP="004D166F">
      <w:pPr>
        <w:pStyle w:val="PL"/>
      </w:pPr>
      <w:r>
        <w:t xml:space="preserve">            </w:t>
      </w:r>
      <w:r>
        <w:rPr>
          <w:lang w:val="en-IN" w:eastAsia="en-IN"/>
        </w:rPr>
        <w:t>$ref: 'TS29574_Ndccf_DataManagement.yaml#/components/schemas/</w:t>
      </w:r>
      <w:r>
        <w:t>ProcessingInstruction'</w:t>
      </w:r>
    </w:p>
    <w:p w14:paraId="23AFA3D0" w14:textId="77777777" w:rsidR="004D166F" w:rsidRDefault="004D166F" w:rsidP="004D166F">
      <w:pPr>
        <w:pStyle w:val="PL"/>
        <w:rPr>
          <w:lang w:eastAsia="zh-CN"/>
        </w:rPr>
      </w:pPr>
      <w:r>
        <w:rPr>
          <w:lang w:eastAsia="zh-CN"/>
        </w:rPr>
        <w:t xml:space="preserve">          minItems: 1</w:t>
      </w:r>
    </w:p>
    <w:p w14:paraId="242C2F5E" w14:textId="77777777" w:rsidR="004D166F" w:rsidRDefault="004D166F" w:rsidP="004D166F">
      <w:pPr>
        <w:pStyle w:val="PL"/>
      </w:pPr>
      <w:r>
        <w:t xml:space="preserve">          description: &gt;</w:t>
      </w:r>
    </w:p>
    <w:p w14:paraId="4E21E398" w14:textId="77777777" w:rsidR="004D166F" w:rsidRDefault="004D166F" w:rsidP="004D166F">
      <w:pPr>
        <w:pStyle w:val="PL"/>
        <w:rPr>
          <w:lang w:eastAsia="ko-KR"/>
        </w:rPr>
      </w:pPr>
      <w:r>
        <w:t xml:space="preserve">            </w:t>
      </w:r>
      <w:r>
        <w:rPr>
          <w:lang w:eastAsia="ja-JP"/>
        </w:rPr>
        <w:t xml:space="preserve">Processing instructions </w:t>
      </w:r>
      <w:r w:rsidRPr="00C45079">
        <w:rPr>
          <w:lang w:eastAsia="ko-KR"/>
        </w:rPr>
        <w:t>applied on the data collected for the generation of the output</w:t>
      </w:r>
    </w:p>
    <w:p w14:paraId="05250BC6" w14:textId="77777777" w:rsidR="004D166F" w:rsidRPr="0000361A" w:rsidRDefault="004D166F" w:rsidP="004D166F">
      <w:pPr>
        <w:pStyle w:val="PL"/>
      </w:pPr>
      <w:r>
        <w:t xml:space="preserve">           </w:t>
      </w:r>
      <w:r w:rsidRPr="00C45079">
        <w:rPr>
          <w:lang w:eastAsia="ko-KR"/>
        </w:rPr>
        <w:t xml:space="preserve"> analytics</w:t>
      </w:r>
      <w:r>
        <w:rPr>
          <w:lang w:eastAsia="ja-JP"/>
        </w:rPr>
        <w:t>.</w:t>
      </w:r>
    </w:p>
    <w:p w14:paraId="79415E54" w14:textId="77777777" w:rsidR="00BD381F" w:rsidRDefault="00BD381F" w:rsidP="007862A2">
      <w:pPr>
        <w:pStyle w:val="PL"/>
      </w:pPr>
    </w:p>
    <w:p w14:paraId="5BCCAD95" w14:textId="77777777" w:rsidR="007862A2" w:rsidRDefault="007862A2" w:rsidP="007862A2">
      <w:pPr>
        <w:pStyle w:val="PL"/>
      </w:pPr>
      <w:r>
        <w:t xml:space="preserve">    NumberAverage:</w:t>
      </w:r>
    </w:p>
    <w:p w14:paraId="562C0AB7" w14:textId="77777777" w:rsidR="007862A2" w:rsidRDefault="007862A2" w:rsidP="007862A2">
      <w:pPr>
        <w:pStyle w:val="PL"/>
      </w:pPr>
      <w:r>
        <w:t xml:space="preserve">      description: Represents average and variance information.</w:t>
      </w:r>
    </w:p>
    <w:p w14:paraId="72A3E34C" w14:textId="77777777" w:rsidR="007862A2" w:rsidRDefault="007862A2" w:rsidP="007862A2">
      <w:pPr>
        <w:pStyle w:val="PL"/>
      </w:pPr>
      <w:r>
        <w:t xml:space="preserve">      type: object</w:t>
      </w:r>
    </w:p>
    <w:p w14:paraId="1453CC21" w14:textId="77777777" w:rsidR="007862A2" w:rsidRDefault="007862A2" w:rsidP="007862A2">
      <w:pPr>
        <w:pStyle w:val="PL"/>
      </w:pPr>
      <w:r>
        <w:t xml:space="preserve">      properties:</w:t>
      </w:r>
    </w:p>
    <w:p w14:paraId="6DCAC8A8" w14:textId="77777777" w:rsidR="007862A2" w:rsidRDefault="007862A2" w:rsidP="007862A2">
      <w:pPr>
        <w:pStyle w:val="PL"/>
      </w:pPr>
      <w:r>
        <w:t xml:space="preserve">        number:</w:t>
      </w:r>
    </w:p>
    <w:p w14:paraId="1780B77D" w14:textId="77777777" w:rsidR="007862A2" w:rsidRDefault="007862A2" w:rsidP="007862A2">
      <w:pPr>
        <w:pStyle w:val="PL"/>
      </w:pPr>
      <w:r>
        <w:t xml:space="preserve">          $ref: 'TS29571_CommonData.yaml#/components/schemas/Float'</w:t>
      </w:r>
    </w:p>
    <w:p w14:paraId="400C03F6" w14:textId="77777777" w:rsidR="007862A2" w:rsidRDefault="007862A2" w:rsidP="007862A2">
      <w:pPr>
        <w:pStyle w:val="PL"/>
        <w:rPr>
          <w:lang w:val="en-US"/>
        </w:rPr>
      </w:pPr>
      <w:r>
        <w:t xml:space="preserve">        variance</w:t>
      </w:r>
      <w:r>
        <w:rPr>
          <w:lang w:val="en-US"/>
        </w:rPr>
        <w:t>:</w:t>
      </w:r>
    </w:p>
    <w:p w14:paraId="2800CE22" w14:textId="77777777" w:rsidR="007862A2" w:rsidRDefault="007862A2" w:rsidP="007862A2">
      <w:pPr>
        <w:pStyle w:val="PL"/>
      </w:pPr>
      <w:r>
        <w:t xml:space="preserve">          $ref: 'TS29571_CommonData.yaml#/components/schemas/Float'</w:t>
      </w:r>
    </w:p>
    <w:p w14:paraId="41F0B90E" w14:textId="77777777" w:rsidR="007862A2" w:rsidRDefault="007862A2" w:rsidP="007862A2">
      <w:pPr>
        <w:pStyle w:val="PL"/>
      </w:pPr>
      <w:r>
        <w:t xml:space="preserve">        skewness:</w:t>
      </w:r>
    </w:p>
    <w:p w14:paraId="4AF82B99" w14:textId="77777777" w:rsidR="007862A2" w:rsidRDefault="007862A2" w:rsidP="007862A2">
      <w:pPr>
        <w:pStyle w:val="PL"/>
      </w:pPr>
      <w:r>
        <w:t xml:space="preserve">          $ref: 'TS29571_CommonData.yaml#/components/schemas/Float'</w:t>
      </w:r>
    </w:p>
    <w:p w14:paraId="2DAD5A6F" w14:textId="77777777" w:rsidR="007862A2" w:rsidRDefault="007862A2" w:rsidP="007862A2">
      <w:pPr>
        <w:pStyle w:val="PL"/>
      </w:pPr>
      <w:r>
        <w:t xml:space="preserve">      required:</w:t>
      </w:r>
    </w:p>
    <w:p w14:paraId="6E732399" w14:textId="77777777" w:rsidR="007862A2" w:rsidRDefault="007862A2" w:rsidP="007862A2">
      <w:pPr>
        <w:pStyle w:val="PL"/>
      </w:pPr>
      <w:r>
        <w:t xml:space="preserve">        - number</w:t>
      </w:r>
    </w:p>
    <w:p w14:paraId="5229852A" w14:textId="77777777" w:rsidR="007862A2" w:rsidRDefault="007862A2" w:rsidP="007862A2">
      <w:pPr>
        <w:pStyle w:val="PL"/>
      </w:pPr>
      <w:r>
        <w:t xml:space="preserve">        - variance</w:t>
      </w:r>
    </w:p>
    <w:p w14:paraId="1DE67B58" w14:textId="77777777" w:rsidR="007862A2" w:rsidRDefault="007862A2" w:rsidP="007862A2">
      <w:pPr>
        <w:pStyle w:val="PL"/>
      </w:pPr>
    </w:p>
    <w:p w14:paraId="2E16A5B4" w14:textId="77777777" w:rsidR="007862A2" w:rsidRDefault="007862A2" w:rsidP="007862A2">
      <w:pPr>
        <w:pStyle w:val="PL"/>
      </w:pPr>
      <w:r>
        <w:t xml:space="preserve">    AnalyticsSubscriptionsTransfer:</w:t>
      </w:r>
    </w:p>
    <w:p w14:paraId="35DFAFDA" w14:textId="77777777" w:rsidR="007862A2" w:rsidRDefault="007862A2" w:rsidP="007862A2">
      <w:pPr>
        <w:pStyle w:val="PL"/>
      </w:pPr>
      <w:r>
        <w:t xml:space="preserve">      description: </w:t>
      </w:r>
      <w:r>
        <w:rPr>
          <w:lang w:eastAsia="ko-KR"/>
        </w:rPr>
        <w:t>Contains information about a request to transfer analytics subscriptions</w:t>
      </w:r>
      <w:r>
        <w:t>.</w:t>
      </w:r>
    </w:p>
    <w:p w14:paraId="616A0048" w14:textId="77777777" w:rsidR="007862A2" w:rsidRDefault="007862A2" w:rsidP="007862A2">
      <w:pPr>
        <w:pStyle w:val="PL"/>
      </w:pPr>
      <w:r>
        <w:t xml:space="preserve">      type: object</w:t>
      </w:r>
    </w:p>
    <w:p w14:paraId="3A99ABF0" w14:textId="77777777" w:rsidR="007862A2" w:rsidRDefault="007862A2" w:rsidP="007862A2">
      <w:pPr>
        <w:pStyle w:val="PL"/>
      </w:pPr>
      <w:r>
        <w:t xml:space="preserve">      properties:</w:t>
      </w:r>
    </w:p>
    <w:p w14:paraId="3465F19A" w14:textId="77777777" w:rsidR="007862A2" w:rsidRDefault="007862A2" w:rsidP="007862A2">
      <w:pPr>
        <w:pStyle w:val="PL"/>
      </w:pPr>
      <w:r>
        <w:lastRenderedPageBreak/>
        <w:t xml:space="preserve">        subsTransInfos:</w:t>
      </w:r>
    </w:p>
    <w:p w14:paraId="45F26B80" w14:textId="77777777" w:rsidR="007862A2" w:rsidRDefault="007862A2" w:rsidP="007862A2">
      <w:pPr>
        <w:pStyle w:val="PL"/>
      </w:pPr>
      <w:r>
        <w:t xml:space="preserve">          type: array</w:t>
      </w:r>
    </w:p>
    <w:p w14:paraId="0012DD14" w14:textId="77777777" w:rsidR="007862A2" w:rsidRDefault="007862A2" w:rsidP="007862A2">
      <w:pPr>
        <w:pStyle w:val="PL"/>
      </w:pPr>
      <w:r>
        <w:t xml:space="preserve">          items:</w:t>
      </w:r>
    </w:p>
    <w:p w14:paraId="6EB7F7FE" w14:textId="77777777" w:rsidR="007862A2" w:rsidRDefault="007862A2" w:rsidP="007862A2">
      <w:pPr>
        <w:pStyle w:val="PL"/>
      </w:pPr>
      <w:r>
        <w:t xml:space="preserve">            $ref: '#/components/schemas/SubscriptionTransferInfo'</w:t>
      </w:r>
    </w:p>
    <w:p w14:paraId="22B1C02A" w14:textId="77777777" w:rsidR="007862A2" w:rsidRDefault="007862A2" w:rsidP="007862A2">
      <w:pPr>
        <w:pStyle w:val="PL"/>
      </w:pPr>
      <w:r>
        <w:t xml:space="preserve">          minItems: 1</w:t>
      </w:r>
    </w:p>
    <w:p w14:paraId="1825DA4F" w14:textId="77777777" w:rsidR="007862A2" w:rsidRDefault="007862A2" w:rsidP="007862A2">
      <w:pPr>
        <w:pStyle w:val="PL"/>
      </w:pPr>
      <w:r>
        <w:t xml:space="preserve">        failTransEventReports:</w:t>
      </w:r>
    </w:p>
    <w:p w14:paraId="7F34D460" w14:textId="77777777" w:rsidR="007862A2" w:rsidRDefault="007862A2" w:rsidP="007862A2">
      <w:pPr>
        <w:pStyle w:val="PL"/>
      </w:pPr>
      <w:r>
        <w:t xml:space="preserve">          type: array</w:t>
      </w:r>
    </w:p>
    <w:p w14:paraId="28C45240" w14:textId="77777777" w:rsidR="007862A2" w:rsidRDefault="007862A2" w:rsidP="007862A2">
      <w:pPr>
        <w:pStyle w:val="PL"/>
      </w:pPr>
      <w:r>
        <w:t xml:space="preserve">          items:</w:t>
      </w:r>
    </w:p>
    <w:p w14:paraId="0E941FF8" w14:textId="77777777" w:rsidR="007862A2" w:rsidRDefault="007862A2" w:rsidP="007862A2">
      <w:pPr>
        <w:pStyle w:val="PL"/>
      </w:pPr>
      <w:r>
        <w:t xml:space="preserve">            $ref: '#/components/schemas/NwdafEvent'</w:t>
      </w:r>
    </w:p>
    <w:p w14:paraId="639B21D7" w14:textId="77777777" w:rsidR="007862A2" w:rsidRDefault="007862A2" w:rsidP="007862A2">
      <w:pPr>
        <w:pStyle w:val="PL"/>
      </w:pPr>
      <w:r>
        <w:t xml:space="preserve">          minItems: 1</w:t>
      </w:r>
    </w:p>
    <w:p w14:paraId="516E3083" w14:textId="77777777" w:rsidR="007862A2" w:rsidRDefault="007862A2" w:rsidP="007862A2">
      <w:pPr>
        <w:pStyle w:val="PL"/>
      </w:pPr>
      <w:r>
        <w:t xml:space="preserve">      required:</w:t>
      </w:r>
    </w:p>
    <w:p w14:paraId="0B47F1A7" w14:textId="77777777" w:rsidR="007862A2" w:rsidRDefault="007862A2" w:rsidP="007862A2">
      <w:pPr>
        <w:pStyle w:val="PL"/>
      </w:pPr>
      <w:r>
        <w:t xml:space="preserve">        - subsTransInfos</w:t>
      </w:r>
    </w:p>
    <w:p w14:paraId="620E41E6" w14:textId="77777777" w:rsidR="007862A2" w:rsidRDefault="007862A2" w:rsidP="007862A2">
      <w:pPr>
        <w:pStyle w:val="PL"/>
      </w:pPr>
    </w:p>
    <w:p w14:paraId="5802F12A" w14:textId="77777777" w:rsidR="007862A2" w:rsidRDefault="007862A2" w:rsidP="007862A2">
      <w:pPr>
        <w:pStyle w:val="PL"/>
      </w:pPr>
      <w:r>
        <w:t xml:space="preserve">    SubscriptionTransferInfo:</w:t>
      </w:r>
    </w:p>
    <w:p w14:paraId="03EAC595" w14:textId="77777777" w:rsidR="007862A2" w:rsidRDefault="007862A2" w:rsidP="007862A2">
      <w:pPr>
        <w:pStyle w:val="PL"/>
      </w:pPr>
      <w:r>
        <w:t xml:space="preserve">      description: </w:t>
      </w:r>
      <w:r>
        <w:rPr>
          <w:lang w:eastAsia="ko-KR"/>
        </w:rPr>
        <w:t>Contains information about subscriptions that are requested to be transferred</w:t>
      </w:r>
      <w:r>
        <w:t>.</w:t>
      </w:r>
    </w:p>
    <w:p w14:paraId="60AA9921" w14:textId="77777777" w:rsidR="007862A2" w:rsidRDefault="007862A2" w:rsidP="007862A2">
      <w:pPr>
        <w:pStyle w:val="PL"/>
      </w:pPr>
      <w:r>
        <w:t xml:space="preserve">      type: object</w:t>
      </w:r>
    </w:p>
    <w:p w14:paraId="0BC16314" w14:textId="77777777" w:rsidR="007862A2" w:rsidRDefault="007862A2" w:rsidP="007862A2">
      <w:pPr>
        <w:pStyle w:val="PL"/>
      </w:pPr>
      <w:r>
        <w:t xml:space="preserve">      properties:</w:t>
      </w:r>
    </w:p>
    <w:p w14:paraId="1502B2D0" w14:textId="77777777" w:rsidR="007862A2" w:rsidRDefault="007862A2" w:rsidP="007862A2">
      <w:pPr>
        <w:pStyle w:val="PL"/>
      </w:pPr>
      <w:r>
        <w:t xml:space="preserve">        transReqType:</w:t>
      </w:r>
    </w:p>
    <w:p w14:paraId="2392800D" w14:textId="77777777" w:rsidR="007862A2" w:rsidRDefault="007862A2" w:rsidP="007862A2">
      <w:pPr>
        <w:pStyle w:val="PL"/>
      </w:pPr>
      <w:r>
        <w:t xml:space="preserve">          $ref: '#/components/schemas/TransferRequestType'</w:t>
      </w:r>
    </w:p>
    <w:p w14:paraId="464725D3" w14:textId="77777777" w:rsidR="007862A2" w:rsidRDefault="007862A2" w:rsidP="007862A2">
      <w:pPr>
        <w:pStyle w:val="PL"/>
      </w:pPr>
      <w:r>
        <w:t xml:space="preserve">        nwdafEvSub:</w:t>
      </w:r>
    </w:p>
    <w:p w14:paraId="3282E4D9" w14:textId="77777777" w:rsidR="007862A2" w:rsidRDefault="007862A2" w:rsidP="007862A2">
      <w:pPr>
        <w:pStyle w:val="PL"/>
      </w:pPr>
      <w:r>
        <w:t xml:space="preserve">          $ref: '#/components/schemas/NnwdafEventsSubscription'</w:t>
      </w:r>
    </w:p>
    <w:p w14:paraId="62922076" w14:textId="77777777" w:rsidR="007862A2" w:rsidRDefault="007862A2" w:rsidP="007862A2">
      <w:pPr>
        <w:pStyle w:val="PL"/>
      </w:pPr>
      <w:r>
        <w:t xml:space="preserve">        consumerId:</w:t>
      </w:r>
    </w:p>
    <w:p w14:paraId="1AF44196" w14:textId="77777777" w:rsidR="007862A2" w:rsidRDefault="007862A2" w:rsidP="007862A2">
      <w:pPr>
        <w:pStyle w:val="PL"/>
      </w:pPr>
      <w:r>
        <w:t xml:space="preserve">          $ref: 'TS29571_CommonData.yaml#/components/schemas/NfInstanceId'</w:t>
      </w:r>
    </w:p>
    <w:p w14:paraId="2784CE7E" w14:textId="77777777" w:rsidR="007862A2" w:rsidRDefault="007862A2" w:rsidP="007862A2">
      <w:pPr>
        <w:pStyle w:val="PL"/>
      </w:pPr>
      <w:r>
        <w:t xml:space="preserve">        contextId:</w:t>
      </w:r>
    </w:p>
    <w:p w14:paraId="2CF277B0" w14:textId="77777777" w:rsidR="007862A2" w:rsidRDefault="007862A2" w:rsidP="007862A2">
      <w:pPr>
        <w:pStyle w:val="PL"/>
      </w:pPr>
      <w:r>
        <w:t xml:space="preserve">          $ref: '#/components/schemas/AnalyticsContextIdentifier'</w:t>
      </w:r>
    </w:p>
    <w:p w14:paraId="6CE67274" w14:textId="77777777" w:rsidR="007862A2" w:rsidRDefault="007862A2" w:rsidP="007862A2">
      <w:pPr>
        <w:pStyle w:val="PL"/>
      </w:pPr>
      <w:r>
        <w:t xml:space="preserve">        sourceNfIds:</w:t>
      </w:r>
    </w:p>
    <w:p w14:paraId="5FC1ABF9" w14:textId="77777777" w:rsidR="007862A2" w:rsidRDefault="007862A2" w:rsidP="007862A2">
      <w:pPr>
        <w:pStyle w:val="PL"/>
      </w:pPr>
      <w:r>
        <w:t xml:space="preserve">          type: array</w:t>
      </w:r>
    </w:p>
    <w:p w14:paraId="23EF5596" w14:textId="77777777" w:rsidR="007862A2" w:rsidRDefault="007862A2" w:rsidP="007862A2">
      <w:pPr>
        <w:pStyle w:val="PL"/>
      </w:pPr>
      <w:r>
        <w:t xml:space="preserve">          items:</w:t>
      </w:r>
    </w:p>
    <w:p w14:paraId="2FB32513" w14:textId="77777777" w:rsidR="007862A2" w:rsidRDefault="007862A2" w:rsidP="007862A2">
      <w:pPr>
        <w:pStyle w:val="PL"/>
      </w:pPr>
      <w:r>
        <w:t xml:space="preserve">            $ref: 'TS29571_CommonData.yaml#/components/schemas/NfInstanceId'</w:t>
      </w:r>
    </w:p>
    <w:p w14:paraId="06A20B9E" w14:textId="77777777" w:rsidR="007862A2" w:rsidRDefault="007862A2" w:rsidP="007862A2">
      <w:pPr>
        <w:pStyle w:val="PL"/>
      </w:pPr>
      <w:r>
        <w:t xml:space="preserve">          minItems: 1</w:t>
      </w:r>
    </w:p>
    <w:p w14:paraId="11A46B57" w14:textId="77777777" w:rsidR="007862A2" w:rsidRDefault="007862A2" w:rsidP="007862A2">
      <w:pPr>
        <w:pStyle w:val="PL"/>
      </w:pPr>
      <w:r>
        <w:t xml:space="preserve">        sourceSetIds:</w:t>
      </w:r>
    </w:p>
    <w:p w14:paraId="6BB6B242" w14:textId="77777777" w:rsidR="007862A2" w:rsidRDefault="007862A2" w:rsidP="007862A2">
      <w:pPr>
        <w:pStyle w:val="PL"/>
      </w:pPr>
      <w:r>
        <w:t xml:space="preserve">          type: array</w:t>
      </w:r>
    </w:p>
    <w:p w14:paraId="5AE17D05" w14:textId="77777777" w:rsidR="007862A2" w:rsidRDefault="007862A2" w:rsidP="007862A2">
      <w:pPr>
        <w:pStyle w:val="PL"/>
      </w:pPr>
      <w:r>
        <w:t xml:space="preserve">          items:</w:t>
      </w:r>
    </w:p>
    <w:p w14:paraId="17860A27" w14:textId="77777777" w:rsidR="007862A2" w:rsidRDefault="007862A2" w:rsidP="007862A2">
      <w:pPr>
        <w:pStyle w:val="PL"/>
      </w:pPr>
      <w:r>
        <w:t xml:space="preserve">            $ref: 'TS29571_CommonData.yaml#/components/schemas/NfSetId'</w:t>
      </w:r>
    </w:p>
    <w:p w14:paraId="0C402BC6" w14:textId="77777777" w:rsidR="007862A2" w:rsidRDefault="007862A2" w:rsidP="007862A2">
      <w:pPr>
        <w:pStyle w:val="PL"/>
      </w:pPr>
      <w:r>
        <w:t xml:space="preserve">          minItems: 1</w:t>
      </w:r>
    </w:p>
    <w:p w14:paraId="14DC07D9" w14:textId="77777777" w:rsidR="007862A2" w:rsidRDefault="007862A2" w:rsidP="007862A2">
      <w:pPr>
        <w:pStyle w:val="PL"/>
      </w:pPr>
      <w:r>
        <w:t xml:space="preserve">        modelInfo:</w:t>
      </w:r>
    </w:p>
    <w:p w14:paraId="5825DD28" w14:textId="77777777" w:rsidR="007862A2" w:rsidRDefault="007862A2" w:rsidP="007862A2">
      <w:pPr>
        <w:pStyle w:val="PL"/>
      </w:pPr>
      <w:r>
        <w:t xml:space="preserve">          type: array</w:t>
      </w:r>
    </w:p>
    <w:p w14:paraId="3FA232C1" w14:textId="77777777" w:rsidR="007862A2" w:rsidRDefault="007862A2" w:rsidP="007862A2">
      <w:pPr>
        <w:pStyle w:val="PL"/>
      </w:pPr>
      <w:r>
        <w:t xml:space="preserve">          items:</w:t>
      </w:r>
    </w:p>
    <w:p w14:paraId="4C81ED2E" w14:textId="77777777" w:rsidR="007862A2" w:rsidRDefault="007862A2" w:rsidP="007862A2">
      <w:pPr>
        <w:pStyle w:val="PL"/>
      </w:pPr>
      <w:r>
        <w:t xml:space="preserve">            $ref: '#/components/schemas/ModelInfo'</w:t>
      </w:r>
    </w:p>
    <w:p w14:paraId="2F74DA19" w14:textId="77777777" w:rsidR="007862A2" w:rsidRDefault="007862A2" w:rsidP="007862A2">
      <w:pPr>
        <w:pStyle w:val="PL"/>
      </w:pPr>
      <w:r>
        <w:t xml:space="preserve">          minItems: 1</w:t>
      </w:r>
    </w:p>
    <w:p w14:paraId="30DFC980" w14:textId="77777777" w:rsidR="007862A2" w:rsidRDefault="007862A2" w:rsidP="007862A2">
      <w:pPr>
        <w:pStyle w:val="PL"/>
      </w:pPr>
      <w:r>
        <w:t xml:space="preserve">      required:</w:t>
      </w:r>
    </w:p>
    <w:p w14:paraId="1441F3DE" w14:textId="77777777" w:rsidR="007862A2" w:rsidRDefault="007862A2" w:rsidP="007862A2">
      <w:pPr>
        <w:pStyle w:val="PL"/>
      </w:pPr>
      <w:r>
        <w:t xml:space="preserve">        - transReqType</w:t>
      </w:r>
    </w:p>
    <w:p w14:paraId="41354040" w14:textId="77777777" w:rsidR="007862A2" w:rsidRDefault="007862A2" w:rsidP="007862A2">
      <w:pPr>
        <w:pStyle w:val="PL"/>
      </w:pPr>
      <w:r>
        <w:t xml:space="preserve">        - nwdafEvSub</w:t>
      </w:r>
    </w:p>
    <w:p w14:paraId="32EE9E5C" w14:textId="77777777" w:rsidR="007862A2" w:rsidRDefault="007862A2" w:rsidP="007862A2">
      <w:pPr>
        <w:pStyle w:val="PL"/>
      </w:pPr>
      <w:r>
        <w:t xml:space="preserve">        - consumerId</w:t>
      </w:r>
    </w:p>
    <w:p w14:paraId="073DF15D" w14:textId="77777777" w:rsidR="007862A2" w:rsidRDefault="007862A2" w:rsidP="007862A2">
      <w:pPr>
        <w:pStyle w:val="PL"/>
      </w:pPr>
    </w:p>
    <w:p w14:paraId="6E612A44" w14:textId="77777777" w:rsidR="007862A2" w:rsidRDefault="007862A2" w:rsidP="007862A2">
      <w:pPr>
        <w:pStyle w:val="PL"/>
      </w:pPr>
      <w:r>
        <w:t xml:space="preserve">    ModelInfo:</w:t>
      </w:r>
    </w:p>
    <w:p w14:paraId="209F565C" w14:textId="77777777" w:rsidR="007862A2" w:rsidRDefault="007862A2" w:rsidP="007862A2">
      <w:pPr>
        <w:pStyle w:val="PL"/>
      </w:pPr>
      <w:r>
        <w:t xml:space="preserve">      description: </w:t>
      </w:r>
      <w:r>
        <w:rPr>
          <w:lang w:eastAsia="zh-CN"/>
        </w:rPr>
        <w:t>Contains information about an ML model.</w:t>
      </w:r>
    </w:p>
    <w:p w14:paraId="1BC0D161" w14:textId="77777777" w:rsidR="007862A2" w:rsidRDefault="007862A2" w:rsidP="007862A2">
      <w:pPr>
        <w:pStyle w:val="PL"/>
      </w:pPr>
      <w:r>
        <w:t xml:space="preserve">      type: object</w:t>
      </w:r>
    </w:p>
    <w:p w14:paraId="4F2D346E" w14:textId="77777777" w:rsidR="007862A2" w:rsidRDefault="007862A2" w:rsidP="007862A2">
      <w:pPr>
        <w:pStyle w:val="PL"/>
      </w:pPr>
      <w:r>
        <w:t xml:space="preserve">      properties:</w:t>
      </w:r>
    </w:p>
    <w:p w14:paraId="144130A9" w14:textId="77777777" w:rsidR="007862A2" w:rsidRDefault="007862A2" w:rsidP="007862A2">
      <w:pPr>
        <w:pStyle w:val="PL"/>
      </w:pPr>
      <w:r>
        <w:t xml:space="preserve">        analyticsId:</w:t>
      </w:r>
    </w:p>
    <w:p w14:paraId="23F48EED" w14:textId="77777777" w:rsidR="007862A2" w:rsidRDefault="007862A2" w:rsidP="007862A2">
      <w:pPr>
        <w:pStyle w:val="PL"/>
      </w:pPr>
      <w:r>
        <w:t xml:space="preserve">          $ref: '#/components/schemas/NwdafEvent'</w:t>
      </w:r>
    </w:p>
    <w:p w14:paraId="781BD12B" w14:textId="77777777" w:rsidR="007862A2" w:rsidRDefault="007862A2" w:rsidP="007862A2">
      <w:pPr>
        <w:pStyle w:val="PL"/>
      </w:pPr>
      <w:r>
        <w:t xml:space="preserve">        </w:t>
      </w:r>
      <w:r>
        <w:rPr>
          <w:lang w:eastAsia="zh-CN"/>
        </w:rPr>
        <w:t>mlModelInfos</w:t>
      </w:r>
      <w:r>
        <w:t>:</w:t>
      </w:r>
    </w:p>
    <w:p w14:paraId="5E344BDD" w14:textId="77777777" w:rsidR="007862A2" w:rsidRDefault="007862A2" w:rsidP="007862A2">
      <w:pPr>
        <w:pStyle w:val="PL"/>
      </w:pPr>
      <w:r>
        <w:t xml:space="preserve">          type: array</w:t>
      </w:r>
    </w:p>
    <w:p w14:paraId="174F5732" w14:textId="77777777" w:rsidR="007862A2" w:rsidRDefault="007862A2" w:rsidP="007862A2">
      <w:pPr>
        <w:pStyle w:val="PL"/>
      </w:pPr>
      <w:r>
        <w:t xml:space="preserve">          items:</w:t>
      </w:r>
    </w:p>
    <w:p w14:paraId="59D0E0F2" w14:textId="77777777" w:rsidR="007862A2" w:rsidRDefault="007862A2" w:rsidP="007862A2">
      <w:pPr>
        <w:pStyle w:val="PL"/>
      </w:pPr>
      <w:r>
        <w:t xml:space="preserve">            $ref: '#/components/schemas/MLModelInfo'</w:t>
      </w:r>
    </w:p>
    <w:p w14:paraId="3D527E34" w14:textId="77777777" w:rsidR="007862A2" w:rsidRDefault="007862A2" w:rsidP="007862A2">
      <w:pPr>
        <w:pStyle w:val="PL"/>
      </w:pPr>
      <w:r>
        <w:t xml:space="preserve">          minItems: 1</w:t>
      </w:r>
    </w:p>
    <w:p w14:paraId="20C06603" w14:textId="77777777" w:rsidR="007862A2" w:rsidRDefault="007862A2" w:rsidP="007862A2">
      <w:pPr>
        <w:pStyle w:val="PL"/>
      </w:pPr>
      <w:r>
        <w:t xml:space="preserve">      required:</w:t>
      </w:r>
    </w:p>
    <w:p w14:paraId="101641C2" w14:textId="77777777" w:rsidR="007862A2" w:rsidRDefault="007862A2" w:rsidP="007862A2">
      <w:pPr>
        <w:pStyle w:val="PL"/>
      </w:pPr>
      <w:r>
        <w:t xml:space="preserve">        - analyticsId</w:t>
      </w:r>
    </w:p>
    <w:p w14:paraId="40E55996" w14:textId="77777777" w:rsidR="007862A2" w:rsidRDefault="007862A2" w:rsidP="007862A2">
      <w:pPr>
        <w:pStyle w:val="PL"/>
      </w:pPr>
      <w:r>
        <w:t xml:space="preserve">        - </w:t>
      </w:r>
      <w:r>
        <w:rPr>
          <w:lang w:eastAsia="zh-CN"/>
        </w:rPr>
        <w:t>mlModelInfos</w:t>
      </w:r>
    </w:p>
    <w:p w14:paraId="39AAAC7B" w14:textId="77777777" w:rsidR="007862A2" w:rsidRDefault="007862A2" w:rsidP="007862A2">
      <w:pPr>
        <w:pStyle w:val="PL"/>
      </w:pPr>
      <w:r>
        <w:t xml:space="preserve">    </w:t>
      </w:r>
      <w:r>
        <w:rPr>
          <w:lang w:eastAsia="zh-CN"/>
        </w:rPr>
        <w:t>MLModelInfo</w:t>
      </w:r>
      <w:r>
        <w:t>:</w:t>
      </w:r>
    </w:p>
    <w:p w14:paraId="63A7AE1E" w14:textId="77777777" w:rsidR="007862A2" w:rsidRDefault="007862A2" w:rsidP="007862A2">
      <w:pPr>
        <w:pStyle w:val="PL"/>
      </w:pPr>
      <w:r>
        <w:t xml:space="preserve">      description: </w:t>
      </w:r>
      <w:r>
        <w:rPr>
          <w:lang w:eastAsia="zh-CN"/>
        </w:rPr>
        <w:t>Contains information about an ML models.</w:t>
      </w:r>
    </w:p>
    <w:p w14:paraId="32CFA105" w14:textId="77777777" w:rsidR="007862A2" w:rsidRDefault="007862A2" w:rsidP="007862A2">
      <w:pPr>
        <w:pStyle w:val="PL"/>
      </w:pPr>
      <w:r>
        <w:t xml:space="preserve">      type: object</w:t>
      </w:r>
    </w:p>
    <w:p w14:paraId="62611AC6" w14:textId="77777777" w:rsidR="007862A2" w:rsidRDefault="007862A2" w:rsidP="007862A2">
      <w:pPr>
        <w:pStyle w:val="PL"/>
      </w:pPr>
      <w:r>
        <w:t xml:space="preserve">      properties:</w:t>
      </w:r>
    </w:p>
    <w:p w14:paraId="424D1597" w14:textId="77777777" w:rsidR="007862A2" w:rsidRDefault="007862A2" w:rsidP="007862A2">
      <w:pPr>
        <w:pStyle w:val="PL"/>
      </w:pPr>
      <w:r>
        <w:t xml:space="preserve">        </w:t>
      </w:r>
      <w:r>
        <w:rPr>
          <w:lang w:val="en-US" w:eastAsia="zh-CN"/>
        </w:rPr>
        <w:t>mlFileAddrs</w:t>
      </w:r>
      <w:r>
        <w:t>:</w:t>
      </w:r>
    </w:p>
    <w:p w14:paraId="22421EC5" w14:textId="77777777" w:rsidR="007862A2" w:rsidRDefault="007862A2" w:rsidP="007862A2">
      <w:pPr>
        <w:pStyle w:val="PL"/>
      </w:pPr>
      <w:r>
        <w:t xml:space="preserve">          type: array</w:t>
      </w:r>
    </w:p>
    <w:p w14:paraId="5DA32808" w14:textId="77777777" w:rsidR="007862A2" w:rsidRDefault="007862A2" w:rsidP="007862A2">
      <w:pPr>
        <w:pStyle w:val="PL"/>
      </w:pPr>
      <w:r>
        <w:t xml:space="preserve">          items:</w:t>
      </w:r>
    </w:p>
    <w:p w14:paraId="5743AB26" w14:textId="77777777" w:rsidR="007862A2" w:rsidRDefault="007862A2" w:rsidP="007862A2">
      <w:pPr>
        <w:pStyle w:val="PL"/>
      </w:pPr>
      <w:r>
        <w:t xml:space="preserve">            $ref: 'TS29520_Nnwdaf_MLModelProvision.yaml#/components/schemas/MLModelAddr'</w:t>
      </w:r>
    </w:p>
    <w:p w14:paraId="5A09AE64" w14:textId="77777777" w:rsidR="007862A2" w:rsidRDefault="007862A2" w:rsidP="007862A2">
      <w:pPr>
        <w:pStyle w:val="PL"/>
      </w:pPr>
      <w:r>
        <w:t xml:space="preserve">          minItems: 1</w:t>
      </w:r>
    </w:p>
    <w:p w14:paraId="40740726" w14:textId="77777777" w:rsidR="007862A2" w:rsidRDefault="007862A2" w:rsidP="007862A2">
      <w:pPr>
        <w:pStyle w:val="PL"/>
      </w:pPr>
      <w:r>
        <w:t xml:space="preserve">        modelProvId:</w:t>
      </w:r>
    </w:p>
    <w:p w14:paraId="3E4307F5" w14:textId="77777777" w:rsidR="007862A2" w:rsidRDefault="007862A2" w:rsidP="007862A2">
      <w:pPr>
        <w:pStyle w:val="PL"/>
      </w:pPr>
      <w:r>
        <w:t xml:space="preserve">          $ref: 'TS29571_CommonData.yaml#/components/schemas/NfInstanceId'</w:t>
      </w:r>
    </w:p>
    <w:p w14:paraId="2C9522F6" w14:textId="77777777" w:rsidR="007862A2" w:rsidRDefault="007862A2" w:rsidP="007862A2">
      <w:pPr>
        <w:pStyle w:val="PL"/>
      </w:pPr>
      <w:r>
        <w:t xml:space="preserve">        </w:t>
      </w:r>
      <w:r>
        <w:rPr>
          <w:lang w:eastAsia="zh-CN"/>
        </w:rPr>
        <w:t>modelProvSetId</w:t>
      </w:r>
      <w:r>
        <w:t>:</w:t>
      </w:r>
    </w:p>
    <w:p w14:paraId="706B12DA" w14:textId="77777777" w:rsidR="007862A2" w:rsidRDefault="007862A2" w:rsidP="007862A2">
      <w:pPr>
        <w:pStyle w:val="PL"/>
      </w:pPr>
      <w:r>
        <w:t xml:space="preserve">          $ref: 'TS29571_CommonData.yaml#/components/schemas/NfSetId'</w:t>
      </w:r>
    </w:p>
    <w:p w14:paraId="56BF2D14" w14:textId="77777777" w:rsidR="007862A2" w:rsidRDefault="007862A2" w:rsidP="007862A2">
      <w:pPr>
        <w:pStyle w:val="PL"/>
      </w:pPr>
      <w:r>
        <w:t xml:space="preserve">      oneOf:</w:t>
      </w:r>
    </w:p>
    <w:p w14:paraId="7F314A14" w14:textId="77777777" w:rsidR="007862A2" w:rsidRDefault="007862A2" w:rsidP="007862A2">
      <w:pPr>
        <w:pStyle w:val="PL"/>
      </w:pPr>
      <w:r>
        <w:t xml:space="preserve">        - required: [modelProvId]</w:t>
      </w:r>
    </w:p>
    <w:p w14:paraId="20F3DE19" w14:textId="77777777" w:rsidR="007862A2" w:rsidRDefault="007862A2" w:rsidP="007862A2">
      <w:pPr>
        <w:pStyle w:val="PL"/>
      </w:pPr>
      <w:r>
        <w:t xml:space="preserve">        - required: [</w:t>
      </w:r>
      <w:r>
        <w:rPr>
          <w:lang w:eastAsia="zh-CN"/>
        </w:rPr>
        <w:t>modelProvSetId</w:t>
      </w:r>
      <w:r>
        <w:t>]</w:t>
      </w:r>
    </w:p>
    <w:p w14:paraId="469C303C" w14:textId="77777777" w:rsidR="007862A2" w:rsidRDefault="007862A2" w:rsidP="007862A2">
      <w:pPr>
        <w:pStyle w:val="PL"/>
      </w:pPr>
    </w:p>
    <w:p w14:paraId="70F34EC0" w14:textId="77777777" w:rsidR="007862A2" w:rsidRDefault="007862A2" w:rsidP="007862A2">
      <w:pPr>
        <w:pStyle w:val="PL"/>
      </w:pPr>
      <w:r>
        <w:t xml:space="preserve">    AnalyticsContextIdentifier:</w:t>
      </w:r>
    </w:p>
    <w:p w14:paraId="41211D9A" w14:textId="77777777" w:rsidR="007862A2" w:rsidRDefault="007862A2" w:rsidP="007862A2">
      <w:pPr>
        <w:pStyle w:val="PL"/>
      </w:pPr>
      <w:r>
        <w:t xml:space="preserve">      description: </w:t>
      </w:r>
      <w:r>
        <w:rPr>
          <w:lang w:eastAsia="zh-CN"/>
        </w:rPr>
        <w:t>Contains information about available analytics contexts.</w:t>
      </w:r>
    </w:p>
    <w:p w14:paraId="2E796E8B" w14:textId="77777777" w:rsidR="007862A2" w:rsidRDefault="007862A2" w:rsidP="007862A2">
      <w:pPr>
        <w:pStyle w:val="PL"/>
      </w:pPr>
      <w:r>
        <w:lastRenderedPageBreak/>
        <w:t xml:space="preserve">      type: object</w:t>
      </w:r>
    </w:p>
    <w:p w14:paraId="03929CEC" w14:textId="77777777" w:rsidR="007862A2" w:rsidRDefault="007862A2" w:rsidP="007862A2">
      <w:pPr>
        <w:pStyle w:val="PL"/>
      </w:pPr>
      <w:r>
        <w:t xml:space="preserve">      properties:</w:t>
      </w:r>
    </w:p>
    <w:p w14:paraId="2A9AB5B8" w14:textId="77777777" w:rsidR="007862A2" w:rsidRDefault="007862A2" w:rsidP="007862A2">
      <w:pPr>
        <w:pStyle w:val="PL"/>
      </w:pPr>
      <w:r>
        <w:t xml:space="preserve">        subscriptionId:</w:t>
      </w:r>
    </w:p>
    <w:p w14:paraId="0C3A1F3A" w14:textId="77777777" w:rsidR="007862A2" w:rsidRDefault="007862A2" w:rsidP="007862A2">
      <w:pPr>
        <w:pStyle w:val="PL"/>
      </w:pPr>
      <w:r>
        <w:t xml:space="preserve">          type: string</w:t>
      </w:r>
    </w:p>
    <w:p w14:paraId="2CCC9D35" w14:textId="77777777" w:rsidR="007862A2" w:rsidRDefault="007862A2" w:rsidP="007862A2">
      <w:pPr>
        <w:pStyle w:val="PL"/>
      </w:pPr>
      <w:r>
        <w:t xml:space="preserve">          description: The identifier of a subscription.</w:t>
      </w:r>
    </w:p>
    <w:p w14:paraId="40B7C961" w14:textId="77777777" w:rsidR="007862A2" w:rsidRDefault="007862A2" w:rsidP="007862A2">
      <w:pPr>
        <w:pStyle w:val="PL"/>
      </w:pPr>
      <w:r>
        <w:t xml:space="preserve">        nfAnaCtxts:</w:t>
      </w:r>
    </w:p>
    <w:p w14:paraId="65B560E2" w14:textId="77777777" w:rsidR="007862A2" w:rsidRDefault="007862A2" w:rsidP="007862A2">
      <w:pPr>
        <w:pStyle w:val="PL"/>
      </w:pPr>
      <w:r>
        <w:t xml:space="preserve">          type: array</w:t>
      </w:r>
    </w:p>
    <w:p w14:paraId="7A52A559" w14:textId="77777777" w:rsidR="007862A2" w:rsidRDefault="007862A2" w:rsidP="007862A2">
      <w:pPr>
        <w:pStyle w:val="PL"/>
      </w:pPr>
      <w:r>
        <w:t xml:space="preserve">          items:</w:t>
      </w:r>
    </w:p>
    <w:p w14:paraId="4F9E5313" w14:textId="77777777" w:rsidR="007862A2" w:rsidRDefault="007862A2" w:rsidP="007862A2">
      <w:pPr>
        <w:pStyle w:val="PL"/>
      </w:pPr>
      <w:r>
        <w:t xml:space="preserve">            $ref: '#/components/schemas/NwdafEvent'</w:t>
      </w:r>
    </w:p>
    <w:p w14:paraId="07E5D09B" w14:textId="77777777" w:rsidR="007862A2" w:rsidRDefault="007862A2" w:rsidP="007862A2">
      <w:pPr>
        <w:pStyle w:val="PL"/>
      </w:pPr>
      <w:r>
        <w:t xml:space="preserve">          minItems: 1</w:t>
      </w:r>
    </w:p>
    <w:p w14:paraId="16806F7A" w14:textId="77777777" w:rsidR="007862A2" w:rsidRDefault="007862A2" w:rsidP="007862A2">
      <w:pPr>
        <w:pStyle w:val="PL"/>
      </w:pPr>
      <w:r>
        <w:t xml:space="preserve">          description: &gt;</w:t>
      </w:r>
    </w:p>
    <w:p w14:paraId="58415264" w14:textId="77777777" w:rsidR="007862A2" w:rsidRDefault="007862A2" w:rsidP="007862A2">
      <w:pPr>
        <w:pStyle w:val="PL"/>
      </w:pPr>
      <w:r>
        <w:t xml:space="preserve">            List of analytics types for which NF related analytics contexts can be retrieved.</w:t>
      </w:r>
    </w:p>
    <w:p w14:paraId="5D02B392" w14:textId="77777777" w:rsidR="007862A2" w:rsidRDefault="007862A2" w:rsidP="007862A2">
      <w:pPr>
        <w:pStyle w:val="PL"/>
      </w:pPr>
      <w:r>
        <w:t xml:space="preserve">        ueAnaCtxts:</w:t>
      </w:r>
    </w:p>
    <w:p w14:paraId="4BAFE1CC" w14:textId="77777777" w:rsidR="007862A2" w:rsidRDefault="007862A2" w:rsidP="007862A2">
      <w:pPr>
        <w:pStyle w:val="PL"/>
      </w:pPr>
      <w:r>
        <w:t xml:space="preserve">          type: array</w:t>
      </w:r>
    </w:p>
    <w:p w14:paraId="35762F51" w14:textId="77777777" w:rsidR="007862A2" w:rsidRDefault="007862A2" w:rsidP="007862A2">
      <w:pPr>
        <w:pStyle w:val="PL"/>
      </w:pPr>
      <w:r>
        <w:t xml:space="preserve">          items:</w:t>
      </w:r>
    </w:p>
    <w:p w14:paraId="120218F6" w14:textId="77777777" w:rsidR="007862A2" w:rsidRDefault="007862A2" w:rsidP="007862A2">
      <w:pPr>
        <w:pStyle w:val="PL"/>
      </w:pPr>
      <w:r>
        <w:t xml:space="preserve">            $ref: '#/components/schemas/UeAnalyticsContextDescriptor'</w:t>
      </w:r>
    </w:p>
    <w:p w14:paraId="7584435F" w14:textId="77777777" w:rsidR="007862A2" w:rsidRDefault="007862A2" w:rsidP="007862A2">
      <w:pPr>
        <w:pStyle w:val="PL"/>
      </w:pPr>
      <w:r>
        <w:t xml:space="preserve">          minItems: 1</w:t>
      </w:r>
    </w:p>
    <w:p w14:paraId="6E198194" w14:textId="77777777" w:rsidR="007862A2" w:rsidRDefault="007862A2" w:rsidP="007862A2">
      <w:pPr>
        <w:pStyle w:val="PL"/>
      </w:pPr>
      <w:r>
        <w:t xml:space="preserve">          description: &gt;</w:t>
      </w:r>
    </w:p>
    <w:p w14:paraId="638D0486" w14:textId="77777777" w:rsidR="007862A2" w:rsidRDefault="007862A2" w:rsidP="007862A2">
      <w:pPr>
        <w:pStyle w:val="PL"/>
      </w:pPr>
      <w:r>
        <w:t xml:space="preserve">            List of objects that indicate for which SUPI and analytics types combinations analytics</w:t>
      </w:r>
    </w:p>
    <w:p w14:paraId="33F368F7" w14:textId="77777777" w:rsidR="007862A2" w:rsidRDefault="007862A2" w:rsidP="007862A2">
      <w:pPr>
        <w:pStyle w:val="PL"/>
      </w:pPr>
      <w:r>
        <w:t xml:space="preserve">            context can be retrieved.</w:t>
      </w:r>
    </w:p>
    <w:p w14:paraId="1C0E8EDE" w14:textId="77777777" w:rsidR="007862A2" w:rsidRDefault="007862A2" w:rsidP="007862A2">
      <w:pPr>
        <w:pStyle w:val="PL"/>
      </w:pPr>
      <w:r>
        <w:t xml:space="preserve">      allOf:</w:t>
      </w:r>
    </w:p>
    <w:p w14:paraId="758BAAE5" w14:textId="77777777" w:rsidR="007862A2" w:rsidRDefault="007862A2" w:rsidP="007862A2">
      <w:pPr>
        <w:pStyle w:val="PL"/>
      </w:pPr>
      <w:r>
        <w:t xml:space="preserve">        - anyOf:</w:t>
      </w:r>
    </w:p>
    <w:p w14:paraId="0A2801A4" w14:textId="77777777" w:rsidR="007862A2" w:rsidRDefault="007862A2" w:rsidP="007862A2">
      <w:pPr>
        <w:pStyle w:val="PL"/>
      </w:pPr>
      <w:r>
        <w:t xml:space="preserve">          - required: [nfAnaCtxts]</w:t>
      </w:r>
    </w:p>
    <w:p w14:paraId="3BD39A2A" w14:textId="77777777" w:rsidR="007862A2" w:rsidRDefault="007862A2" w:rsidP="007862A2">
      <w:pPr>
        <w:pStyle w:val="PL"/>
      </w:pPr>
      <w:r>
        <w:t xml:space="preserve">          - required: [ueAnaCtxts]</w:t>
      </w:r>
    </w:p>
    <w:p w14:paraId="3FCE0FD4" w14:textId="77777777" w:rsidR="007862A2" w:rsidRDefault="007862A2" w:rsidP="007862A2">
      <w:pPr>
        <w:pStyle w:val="PL"/>
      </w:pPr>
      <w:r>
        <w:t xml:space="preserve">        - required: [subscriptionId]</w:t>
      </w:r>
    </w:p>
    <w:p w14:paraId="5F42184C" w14:textId="77777777" w:rsidR="007862A2" w:rsidRDefault="007862A2" w:rsidP="007862A2">
      <w:pPr>
        <w:pStyle w:val="PL"/>
      </w:pPr>
    </w:p>
    <w:p w14:paraId="05AB051D" w14:textId="77777777" w:rsidR="007862A2" w:rsidRDefault="007862A2" w:rsidP="007862A2">
      <w:pPr>
        <w:pStyle w:val="PL"/>
      </w:pPr>
      <w:r>
        <w:t xml:space="preserve">    UeAnalyticsContextDescriptor:</w:t>
      </w:r>
    </w:p>
    <w:p w14:paraId="0CEFD36C" w14:textId="77777777" w:rsidR="007862A2" w:rsidRDefault="007862A2" w:rsidP="007862A2">
      <w:pPr>
        <w:pStyle w:val="PL"/>
      </w:pPr>
      <w:r>
        <w:t xml:space="preserve">      description: </w:t>
      </w:r>
      <w:r>
        <w:rPr>
          <w:lang w:eastAsia="zh-CN"/>
        </w:rPr>
        <w:t>Contains information about available UE related analytics contexts.</w:t>
      </w:r>
    </w:p>
    <w:p w14:paraId="678E9E50" w14:textId="77777777" w:rsidR="007862A2" w:rsidRDefault="007862A2" w:rsidP="007862A2">
      <w:pPr>
        <w:pStyle w:val="PL"/>
      </w:pPr>
      <w:r>
        <w:t xml:space="preserve">      type: object</w:t>
      </w:r>
    </w:p>
    <w:p w14:paraId="655C5939" w14:textId="77777777" w:rsidR="007862A2" w:rsidRDefault="007862A2" w:rsidP="007862A2">
      <w:pPr>
        <w:pStyle w:val="PL"/>
      </w:pPr>
      <w:r>
        <w:t xml:space="preserve">      properties:</w:t>
      </w:r>
    </w:p>
    <w:p w14:paraId="22D7CAB5" w14:textId="77777777" w:rsidR="007862A2" w:rsidRDefault="007862A2" w:rsidP="007862A2">
      <w:pPr>
        <w:pStyle w:val="PL"/>
      </w:pPr>
      <w:r>
        <w:t xml:space="preserve">        supi:</w:t>
      </w:r>
    </w:p>
    <w:p w14:paraId="4B8843EA" w14:textId="77777777" w:rsidR="007862A2" w:rsidRDefault="007862A2" w:rsidP="007862A2">
      <w:pPr>
        <w:pStyle w:val="PL"/>
      </w:pPr>
      <w:r>
        <w:t xml:space="preserve">          $ref: 'TS29571_CommonData.yaml#/components/schemas/Supi'</w:t>
      </w:r>
    </w:p>
    <w:p w14:paraId="45A250C2" w14:textId="77777777" w:rsidR="007862A2" w:rsidRDefault="007862A2" w:rsidP="007862A2">
      <w:pPr>
        <w:pStyle w:val="PL"/>
      </w:pPr>
      <w:r>
        <w:t xml:space="preserve">        anaTypes:</w:t>
      </w:r>
    </w:p>
    <w:p w14:paraId="7F00F9C4" w14:textId="77777777" w:rsidR="007862A2" w:rsidRDefault="007862A2" w:rsidP="007862A2">
      <w:pPr>
        <w:pStyle w:val="PL"/>
      </w:pPr>
      <w:r>
        <w:t xml:space="preserve">          type: array</w:t>
      </w:r>
    </w:p>
    <w:p w14:paraId="637AC57E" w14:textId="77777777" w:rsidR="007862A2" w:rsidRDefault="007862A2" w:rsidP="007862A2">
      <w:pPr>
        <w:pStyle w:val="PL"/>
      </w:pPr>
      <w:r>
        <w:t xml:space="preserve">          items:</w:t>
      </w:r>
    </w:p>
    <w:p w14:paraId="77F76530" w14:textId="77777777" w:rsidR="007862A2" w:rsidRDefault="007862A2" w:rsidP="007862A2">
      <w:pPr>
        <w:pStyle w:val="PL"/>
      </w:pPr>
      <w:r>
        <w:t xml:space="preserve">            $ref: '#/components/schemas/NwdafEvent'</w:t>
      </w:r>
    </w:p>
    <w:p w14:paraId="68F1CA49" w14:textId="77777777" w:rsidR="007862A2" w:rsidRDefault="007862A2" w:rsidP="007862A2">
      <w:pPr>
        <w:pStyle w:val="PL"/>
      </w:pPr>
      <w:r>
        <w:t xml:space="preserve">          minItems: 1</w:t>
      </w:r>
    </w:p>
    <w:p w14:paraId="1EEA496F" w14:textId="77777777" w:rsidR="007862A2" w:rsidRDefault="007862A2" w:rsidP="007862A2">
      <w:pPr>
        <w:pStyle w:val="PL"/>
      </w:pPr>
      <w:r>
        <w:t xml:space="preserve">          description: &gt;</w:t>
      </w:r>
    </w:p>
    <w:p w14:paraId="1D0FE4EB" w14:textId="77777777" w:rsidR="007862A2" w:rsidRDefault="007862A2" w:rsidP="007862A2">
      <w:pPr>
        <w:pStyle w:val="PL"/>
      </w:pPr>
      <w:r>
        <w:t xml:space="preserve">            List of analytics types for which UE related analytics contexts can be retrieved.</w:t>
      </w:r>
    </w:p>
    <w:p w14:paraId="05CDCAB0" w14:textId="77777777" w:rsidR="007862A2" w:rsidRDefault="007862A2" w:rsidP="007862A2">
      <w:pPr>
        <w:pStyle w:val="PL"/>
      </w:pPr>
      <w:r>
        <w:t xml:space="preserve">      required:</w:t>
      </w:r>
    </w:p>
    <w:p w14:paraId="42E58812" w14:textId="77777777" w:rsidR="007862A2" w:rsidRDefault="007862A2" w:rsidP="007862A2">
      <w:pPr>
        <w:pStyle w:val="PL"/>
      </w:pPr>
      <w:r>
        <w:t xml:space="preserve">        - supi</w:t>
      </w:r>
    </w:p>
    <w:p w14:paraId="7AA1F4F9" w14:textId="77777777" w:rsidR="007862A2" w:rsidRDefault="007862A2" w:rsidP="007862A2">
      <w:pPr>
        <w:pStyle w:val="PL"/>
      </w:pPr>
      <w:r>
        <w:t xml:space="preserve">        - anaTypes</w:t>
      </w:r>
    </w:p>
    <w:p w14:paraId="323FFDE0" w14:textId="77777777" w:rsidR="007862A2" w:rsidRDefault="007862A2" w:rsidP="007862A2">
      <w:pPr>
        <w:pStyle w:val="PL"/>
      </w:pPr>
    </w:p>
    <w:p w14:paraId="5BFB594F" w14:textId="77777777" w:rsidR="007862A2" w:rsidRDefault="007862A2" w:rsidP="007862A2">
      <w:pPr>
        <w:pStyle w:val="PL"/>
      </w:pPr>
      <w:r>
        <w:t xml:space="preserve">    DnPerfInfo:</w:t>
      </w:r>
    </w:p>
    <w:p w14:paraId="549E0ADB" w14:textId="77777777" w:rsidR="007862A2" w:rsidRDefault="007862A2" w:rsidP="007862A2">
      <w:pPr>
        <w:pStyle w:val="PL"/>
      </w:pPr>
      <w:r>
        <w:t xml:space="preserve">      description: Represents DN performance information.</w:t>
      </w:r>
    </w:p>
    <w:p w14:paraId="4E13679F" w14:textId="77777777" w:rsidR="007862A2" w:rsidRDefault="007862A2" w:rsidP="007862A2">
      <w:pPr>
        <w:pStyle w:val="PL"/>
      </w:pPr>
      <w:r>
        <w:t xml:space="preserve">      type: object</w:t>
      </w:r>
    </w:p>
    <w:p w14:paraId="597B2676" w14:textId="77777777" w:rsidR="007862A2" w:rsidRDefault="007862A2" w:rsidP="007862A2">
      <w:pPr>
        <w:pStyle w:val="PL"/>
      </w:pPr>
      <w:r>
        <w:t xml:space="preserve">      properties:</w:t>
      </w:r>
    </w:p>
    <w:p w14:paraId="647F65B1" w14:textId="77777777" w:rsidR="007862A2" w:rsidRDefault="007862A2" w:rsidP="007862A2">
      <w:pPr>
        <w:pStyle w:val="PL"/>
      </w:pPr>
      <w:r>
        <w:t xml:space="preserve">        appId:</w:t>
      </w:r>
    </w:p>
    <w:p w14:paraId="066D1590" w14:textId="77777777" w:rsidR="007862A2" w:rsidRDefault="007862A2" w:rsidP="007862A2">
      <w:pPr>
        <w:pStyle w:val="PL"/>
      </w:pPr>
      <w:r>
        <w:t xml:space="preserve">          $ref: 'TS29571_CommonData.yaml#/components/schemas/ApplicationId'</w:t>
      </w:r>
    </w:p>
    <w:p w14:paraId="21E0FC1F" w14:textId="77777777" w:rsidR="007862A2" w:rsidRDefault="007862A2" w:rsidP="007862A2">
      <w:pPr>
        <w:pStyle w:val="PL"/>
      </w:pPr>
      <w:r>
        <w:t xml:space="preserve">        dnn:</w:t>
      </w:r>
    </w:p>
    <w:p w14:paraId="4F34FDB0" w14:textId="77777777" w:rsidR="007862A2" w:rsidRDefault="007862A2" w:rsidP="007862A2">
      <w:pPr>
        <w:pStyle w:val="PL"/>
      </w:pPr>
      <w:r>
        <w:t xml:space="preserve">          $ref: 'TS29571_CommonData.yaml#/components/schemas/Dnn'</w:t>
      </w:r>
    </w:p>
    <w:p w14:paraId="3EF52D44" w14:textId="77777777" w:rsidR="007862A2" w:rsidRDefault="007862A2" w:rsidP="007862A2">
      <w:pPr>
        <w:pStyle w:val="PL"/>
      </w:pPr>
      <w:r>
        <w:t xml:space="preserve">        snssai:</w:t>
      </w:r>
    </w:p>
    <w:p w14:paraId="5ED66BDC" w14:textId="77777777" w:rsidR="007862A2" w:rsidRDefault="007862A2" w:rsidP="007862A2">
      <w:pPr>
        <w:pStyle w:val="PL"/>
      </w:pPr>
      <w:r>
        <w:t xml:space="preserve">          $ref: 'TS29571_CommonData.yaml#/components/schemas/Snssai'</w:t>
      </w:r>
    </w:p>
    <w:p w14:paraId="62F4AED0" w14:textId="77777777" w:rsidR="007862A2" w:rsidRDefault="007862A2" w:rsidP="007862A2">
      <w:pPr>
        <w:pStyle w:val="PL"/>
      </w:pPr>
      <w:r>
        <w:t xml:space="preserve">        </w:t>
      </w:r>
      <w:r>
        <w:rPr>
          <w:rFonts w:hint="eastAsia"/>
          <w:lang w:eastAsia="zh-CN"/>
        </w:rPr>
        <w:t>d</w:t>
      </w:r>
      <w:r>
        <w:rPr>
          <w:lang w:eastAsia="zh-CN"/>
        </w:rPr>
        <w:t>nPerf</w:t>
      </w:r>
      <w:r>
        <w:t>:</w:t>
      </w:r>
    </w:p>
    <w:p w14:paraId="5FE33DDF" w14:textId="77777777" w:rsidR="007862A2" w:rsidRDefault="007862A2" w:rsidP="007862A2">
      <w:pPr>
        <w:pStyle w:val="PL"/>
      </w:pPr>
      <w:r>
        <w:t xml:space="preserve">          type: array</w:t>
      </w:r>
    </w:p>
    <w:p w14:paraId="2BC98BD3" w14:textId="77777777" w:rsidR="007862A2" w:rsidRDefault="007862A2" w:rsidP="007862A2">
      <w:pPr>
        <w:pStyle w:val="PL"/>
      </w:pPr>
      <w:r>
        <w:t xml:space="preserve">          items:</w:t>
      </w:r>
    </w:p>
    <w:p w14:paraId="6E05E222" w14:textId="77777777" w:rsidR="007862A2" w:rsidRDefault="007862A2" w:rsidP="007862A2">
      <w:pPr>
        <w:pStyle w:val="PL"/>
      </w:pPr>
      <w:r>
        <w:t xml:space="preserve">            $ref: '#/components/schemas/DnPerf'</w:t>
      </w:r>
    </w:p>
    <w:p w14:paraId="72C1334D" w14:textId="77777777" w:rsidR="007862A2" w:rsidRDefault="007862A2" w:rsidP="007862A2">
      <w:pPr>
        <w:pStyle w:val="PL"/>
      </w:pPr>
      <w:r>
        <w:t xml:space="preserve">          minItems: 1</w:t>
      </w:r>
    </w:p>
    <w:p w14:paraId="78DA0209" w14:textId="77777777" w:rsidR="007862A2" w:rsidRDefault="007862A2" w:rsidP="007862A2">
      <w:pPr>
        <w:pStyle w:val="PL"/>
      </w:pPr>
      <w:r>
        <w:t xml:space="preserve">        confidence:</w:t>
      </w:r>
    </w:p>
    <w:p w14:paraId="5E8D1737" w14:textId="77777777" w:rsidR="007862A2" w:rsidRDefault="007862A2" w:rsidP="007862A2">
      <w:pPr>
        <w:pStyle w:val="PL"/>
      </w:pPr>
      <w:r>
        <w:t xml:space="preserve">          $ref: 'TS29571_CommonData.yaml#/components/schemas/Uinteger'</w:t>
      </w:r>
    </w:p>
    <w:p w14:paraId="65C0943C" w14:textId="77777777" w:rsidR="007862A2" w:rsidRDefault="007862A2" w:rsidP="007862A2">
      <w:pPr>
        <w:pStyle w:val="PL"/>
      </w:pPr>
      <w:r>
        <w:t xml:space="preserve">      required:</w:t>
      </w:r>
    </w:p>
    <w:p w14:paraId="2803BA49" w14:textId="77777777" w:rsidR="007862A2" w:rsidRDefault="007862A2" w:rsidP="007862A2">
      <w:pPr>
        <w:pStyle w:val="PL"/>
      </w:pPr>
      <w:r>
        <w:t xml:space="preserve">        - </w:t>
      </w:r>
      <w:r>
        <w:rPr>
          <w:rFonts w:hint="eastAsia"/>
          <w:lang w:eastAsia="zh-CN"/>
        </w:rPr>
        <w:t>d</w:t>
      </w:r>
      <w:r>
        <w:rPr>
          <w:lang w:eastAsia="zh-CN"/>
        </w:rPr>
        <w:t>nPerf</w:t>
      </w:r>
    </w:p>
    <w:p w14:paraId="320E38FE" w14:textId="77777777" w:rsidR="007862A2" w:rsidRDefault="007862A2" w:rsidP="007862A2">
      <w:pPr>
        <w:pStyle w:val="PL"/>
      </w:pPr>
    </w:p>
    <w:p w14:paraId="66AD4422" w14:textId="77777777" w:rsidR="007862A2" w:rsidRDefault="007862A2" w:rsidP="007862A2">
      <w:pPr>
        <w:pStyle w:val="PL"/>
      </w:pPr>
      <w:r>
        <w:t xml:space="preserve">    DnPerf:</w:t>
      </w:r>
    </w:p>
    <w:p w14:paraId="201BC0B8" w14:textId="77777777" w:rsidR="007862A2" w:rsidRDefault="007862A2" w:rsidP="007862A2">
      <w:pPr>
        <w:pStyle w:val="PL"/>
      </w:pPr>
      <w:r>
        <w:t xml:space="preserve">      description: Represents DN performance for the application.</w:t>
      </w:r>
    </w:p>
    <w:p w14:paraId="63BD09B0" w14:textId="77777777" w:rsidR="007862A2" w:rsidRDefault="007862A2" w:rsidP="007862A2">
      <w:pPr>
        <w:pStyle w:val="PL"/>
      </w:pPr>
      <w:r>
        <w:t xml:space="preserve">      type: object</w:t>
      </w:r>
    </w:p>
    <w:p w14:paraId="6629A3A4" w14:textId="77777777" w:rsidR="007862A2" w:rsidRDefault="007862A2" w:rsidP="007862A2">
      <w:pPr>
        <w:pStyle w:val="PL"/>
      </w:pPr>
      <w:r>
        <w:t xml:space="preserve">      properties:</w:t>
      </w:r>
    </w:p>
    <w:p w14:paraId="6677AA56" w14:textId="77777777" w:rsidR="007862A2" w:rsidRDefault="007862A2" w:rsidP="007862A2">
      <w:pPr>
        <w:pStyle w:val="PL"/>
      </w:pPr>
      <w:r>
        <w:t xml:space="preserve">        </w:t>
      </w:r>
      <w:r>
        <w:rPr>
          <w:lang w:eastAsia="zh-CN"/>
        </w:rPr>
        <w:t>appServerInsAddr</w:t>
      </w:r>
      <w:r>
        <w:t>:</w:t>
      </w:r>
    </w:p>
    <w:p w14:paraId="17CE8454" w14:textId="77777777" w:rsidR="007862A2" w:rsidRDefault="007862A2" w:rsidP="007862A2">
      <w:pPr>
        <w:pStyle w:val="PL"/>
      </w:pPr>
      <w:r>
        <w:t xml:space="preserve">          $ref: 'TS29517_Naf_EventExposure.yaml#/components/schemas/</w:t>
      </w:r>
      <w:r>
        <w:rPr>
          <w:lang w:eastAsia="zh-CN"/>
        </w:rPr>
        <w:t>AddrFqdn</w:t>
      </w:r>
      <w:r>
        <w:t>'</w:t>
      </w:r>
    </w:p>
    <w:p w14:paraId="68B7513F" w14:textId="77777777" w:rsidR="007862A2" w:rsidRDefault="007862A2" w:rsidP="007862A2">
      <w:pPr>
        <w:pStyle w:val="PL"/>
      </w:pPr>
      <w:r>
        <w:t xml:space="preserve">        upfInfo:</w:t>
      </w:r>
    </w:p>
    <w:p w14:paraId="5BB4C9B5" w14:textId="77777777" w:rsidR="007862A2" w:rsidRDefault="007862A2" w:rsidP="007862A2">
      <w:pPr>
        <w:pStyle w:val="PL"/>
      </w:pPr>
      <w:r>
        <w:rPr>
          <w:lang w:val="en-US"/>
        </w:rPr>
        <w:t xml:space="preserve">          $ref: 'TS29508_Nsmf_EventExposure.yaml#/components/schemas/UpfInformation'</w:t>
      </w:r>
    </w:p>
    <w:p w14:paraId="41AB0D34" w14:textId="77777777" w:rsidR="007862A2" w:rsidRDefault="007862A2" w:rsidP="007862A2">
      <w:pPr>
        <w:pStyle w:val="PL"/>
      </w:pPr>
      <w:r>
        <w:t xml:space="preserve">        </w:t>
      </w:r>
      <w:r>
        <w:rPr>
          <w:lang w:eastAsia="zh-CN"/>
        </w:rPr>
        <w:t>dnai</w:t>
      </w:r>
      <w:r>
        <w:t>:</w:t>
      </w:r>
    </w:p>
    <w:p w14:paraId="5A2665AC" w14:textId="77777777" w:rsidR="007862A2" w:rsidRDefault="007862A2" w:rsidP="007862A2">
      <w:pPr>
        <w:pStyle w:val="PL"/>
      </w:pPr>
      <w:r>
        <w:t xml:space="preserve">          $ref: 'TS29571_CommonData.yaml#/components/schemas/Dnai'</w:t>
      </w:r>
    </w:p>
    <w:p w14:paraId="0E1752E6" w14:textId="77777777" w:rsidR="007862A2" w:rsidRDefault="007862A2" w:rsidP="007862A2">
      <w:pPr>
        <w:pStyle w:val="PL"/>
      </w:pPr>
      <w:r>
        <w:t xml:space="preserve">        </w:t>
      </w:r>
      <w:r>
        <w:rPr>
          <w:lang w:eastAsia="zh-CN"/>
        </w:rPr>
        <w:t>perfData</w:t>
      </w:r>
      <w:r>
        <w:t>:</w:t>
      </w:r>
    </w:p>
    <w:p w14:paraId="2FD40C1C" w14:textId="77777777" w:rsidR="007862A2" w:rsidRDefault="007862A2" w:rsidP="007862A2">
      <w:pPr>
        <w:pStyle w:val="PL"/>
      </w:pPr>
      <w:r>
        <w:t xml:space="preserve">          $ref: '#/components/schemas/Perf</w:t>
      </w:r>
      <w:r>
        <w:rPr>
          <w:rFonts w:hint="eastAsia"/>
          <w:lang w:eastAsia="zh-CN"/>
        </w:rPr>
        <w:t>Data</w:t>
      </w:r>
      <w:r>
        <w:t>'</w:t>
      </w:r>
    </w:p>
    <w:p w14:paraId="74E15DBE" w14:textId="77777777" w:rsidR="007862A2" w:rsidRDefault="007862A2" w:rsidP="007862A2">
      <w:pPr>
        <w:pStyle w:val="PL"/>
      </w:pPr>
      <w:r>
        <w:t xml:space="preserve">        </w:t>
      </w:r>
      <w:r>
        <w:rPr>
          <w:rFonts w:hint="eastAsia"/>
          <w:lang w:eastAsia="zh-CN"/>
        </w:rPr>
        <w:t>s</w:t>
      </w:r>
      <w:r>
        <w:rPr>
          <w:lang w:eastAsia="zh-CN"/>
        </w:rPr>
        <w:t>patialVal</w:t>
      </w:r>
      <w:r>
        <w:rPr>
          <w:rFonts w:hint="eastAsia"/>
          <w:lang w:eastAsia="zh-CN"/>
        </w:rPr>
        <w:t>i</w:t>
      </w:r>
      <w:r>
        <w:rPr>
          <w:lang w:eastAsia="zh-CN"/>
        </w:rPr>
        <w:t>dCon</w:t>
      </w:r>
      <w:r>
        <w:t>:</w:t>
      </w:r>
    </w:p>
    <w:p w14:paraId="04D63E7C" w14:textId="77777777" w:rsidR="007862A2" w:rsidRDefault="007862A2" w:rsidP="007862A2">
      <w:pPr>
        <w:pStyle w:val="PL"/>
      </w:pPr>
      <w:r>
        <w:t xml:space="preserve">          $ref: 'TS29554_Npcf_BDTPolicyControl.yaml#/components/schemas/NetworkAreaInfo'</w:t>
      </w:r>
    </w:p>
    <w:p w14:paraId="2A27C349" w14:textId="77777777" w:rsidR="007862A2" w:rsidRDefault="007862A2" w:rsidP="007862A2">
      <w:pPr>
        <w:pStyle w:val="PL"/>
      </w:pPr>
      <w:r>
        <w:t xml:space="preserve">        </w:t>
      </w:r>
      <w:r>
        <w:rPr>
          <w:lang w:eastAsia="zh-CN"/>
        </w:rPr>
        <w:t>temporalValidCon</w:t>
      </w:r>
      <w:r>
        <w:t>:</w:t>
      </w:r>
    </w:p>
    <w:p w14:paraId="527B8FC0" w14:textId="77777777" w:rsidR="007862A2" w:rsidRDefault="007862A2" w:rsidP="007862A2">
      <w:pPr>
        <w:pStyle w:val="PL"/>
      </w:pPr>
      <w:r>
        <w:lastRenderedPageBreak/>
        <w:t xml:space="preserve">          $ref: 'TS29122_CommonData.yaml#/components/schemas/TimeWindow'</w:t>
      </w:r>
    </w:p>
    <w:p w14:paraId="6946967C" w14:textId="77777777" w:rsidR="007862A2" w:rsidRDefault="007862A2" w:rsidP="007862A2">
      <w:pPr>
        <w:pStyle w:val="PL"/>
      </w:pPr>
      <w:r>
        <w:t xml:space="preserve">      required:</w:t>
      </w:r>
    </w:p>
    <w:p w14:paraId="5407F5CD" w14:textId="77777777" w:rsidR="007862A2" w:rsidRDefault="007862A2" w:rsidP="007862A2">
      <w:pPr>
        <w:pStyle w:val="PL"/>
      </w:pPr>
      <w:r>
        <w:t xml:space="preserve">        - perfData</w:t>
      </w:r>
    </w:p>
    <w:p w14:paraId="506DA2BF" w14:textId="77777777" w:rsidR="007862A2" w:rsidRDefault="007862A2" w:rsidP="007862A2">
      <w:pPr>
        <w:pStyle w:val="PL"/>
      </w:pPr>
    </w:p>
    <w:p w14:paraId="19095B19" w14:textId="77777777" w:rsidR="007862A2" w:rsidRDefault="007862A2" w:rsidP="007862A2">
      <w:pPr>
        <w:pStyle w:val="PL"/>
      </w:pPr>
      <w:r>
        <w:t xml:space="preserve">    Perf</w:t>
      </w:r>
      <w:r>
        <w:rPr>
          <w:rFonts w:hint="eastAsia"/>
          <w:lang w:eastAsia="zh-CN"/>
        </w:rPr>
        <w:t>Data</w:t>
      </w:r>
      <w:r>
        <w:t>:</w:t>
      </w:r>
    </w:p>
    <w:p w14:paraId="16F87C2A" w14:textId="77777777" w:rsidR="007862A2" w:rsidRDefault="007862A2" w:rsidP="007862A2">
      <w:pPr>
        <w:pStyle w:val="PL"/>
      </w:pPr>
      <w:r>
        <w:t xml:space="preserve">      description: Represents DN performance data.</w:t>
      </w:r>
    </w:p>
    <w:p w14:paraId="55C025EE" w14:textId="77777777" w:rsidR="007862A2" w:rsidRDefault="007862A2" w:rsidP="007862A2">
      <w:pPr>
        <w:pStyle w:val="PL"/>
      </w:pPr>
      <w:r>
        <w:t xml:space="preserve">      type: object</w:t>
      </w:r>
    </w:p>
    <w:p w14:paraId="477C1106" w14:textId="77777777" w:rsidR="007862A2" w:rsidRDefault="007862A2" w:rsidP="007862A2">
      <w:pPr>
        <w:pStyle w:val="PL"/>
      </w:pPr>
      <w:r>
        <w:t xml:space="preserve">      properties:</w:t>
      </w:r>
    </w:p>
    <w:p w14:paraId="7DA5ECCA" w14:textId="77777777" w:rsidR="007862A2" w:rsidRDefault="007862A2" w:rsidP="007862A2">
      <w:pPr>
        <w:pStyle w:val="PL"/>
      </w:pPr>
      <w:r>
        <w:t xml:space="preserve">        </w:t>
      </w:r>
      <w:r>
        <w:rPr>
          <w:lang w:eastAsia="zh-CN"/>
        </w:rPr>
        <w:t>avgTrafficRate</w:t>
      </w:r>
      <w:r>
        <w:t>:</w:t>
      </w:r>
    </w:p>
    <w:p w14:paraId="617A0AE0" w14:textId="77777777" w:rsidR="007862A2" w:rsidRDefault="007862A2" w:rsidP="007862A2">
      <w:pPr>
        <w:pStyle w:val="PL"/>
      </w:pPr>
      <w:r>
        <w:t xml:space="preserve">          $ref: 'TS29571_CommonData.yaml#/components/schemas/BitRate'</w:t>
      </w:r>
    </w:p>
    <w:p w14:paraId="22001934" w14:textId="77777777" w:rsidR="007862A2" w:rsidRDefault="007862A2" w:rsidP="007862A2">
      <w:pPr>
        <w:pStyle w:val="PL"/>
      </w:pPr>
      <w:r>
        <w:t xml:space="preserve">        maxTrafficRate:</w:t>
      </w:r>
    </w:p>
    <w:p w14:paraId="78D3B3F5" w14:textId="77777777" w:rsidR="007862A2" w:rsidRDefault="007862A2" w:rsidP="007862A2">
      <w:pPr>
        <w:pStyle w:val="PL"/>
      </w:pPr>
      <w:r>
        <w:rPr>
          <w:lang w:val="en-US"/>
        </w:rPr>
        <w:t xml:space="preserve">          </w:t>
      </w:r>
      <w:r>
        <w:t>$ref: 'TS29571_CommonData.yaml#/components/schemas/BitRate'</w:t>
      </w:r>
    </w:p>
    <w:p w14:paraId="6CABB690" w14:textId="77777777" w:rsidR="007862A2" w:rsidRDefault="007862A2" w:rsidP="007862A2">
      <w:pPr>
        <w:pStyle w:val="PL"/>
      </w:pPr>
      <w:r>
        <w:t xml:space="preserve">        </w:t>
      </w:r>
      <w:r>
        <w:rPr>
          <w:lang w:eastAsia="zh-CN"/>
        </w:rPr>
        <w:t>minTrafficRate</w:t>
      </w:r>
      <w:r>
        <w:t>:</w:t>
      </w:r>
    </w:p>
    <w:p w14:paraId="12879632" w14:textId="77777777" w:rsidR="007862A2" w:rsidRDefault="007862A2" w:rsidP="007862A2">
      <w:pPr>
        <w:pStyle w:val="PL"/>
      </w:pPr>
      <w:r>
        <w:t xml:space="preserve">          $ref: 'TS29571_CommonData.yaml#/components/schemas/BitRate'</w:t>
      </w:r>
    </w:p>
    <w:p w14:paraId="7699B495" w14:textId="77777777" w:rsidR="007862A2" w:rsidRDefault="007862A2" w:rsidP="007862A2">
      <w:pPr>
        <w:pStyle w:val="PL"/>
      </w:pPr>
      <w:r>
        <w:t xml:space="preserve">        aggTrafficRate:</w:t>
      </w:r>
    </w:p>
    <w:p w14:paraId="01B1AFB8" w14:textId="77777777" w:rsidR="007862A2" w:rsidRDefault="007862A2" w:rsidP="007862A2">
      <w:pPr>
        <w:pStyle w:val="PL"/>
      </w:pPr>
      <w:r>
        <w:rPr>
          <w:lang w:val="en-US"/>
        </w:rPr>
        <w:t xml:space="preserve">          </w:t>
      </w:r>
      <w:r>
        <w:t>$ref: 'TS29571_CommonData.yaml#/components/schemas/BitRate'</w:t>
      </w:r>
    </w:p>
    <w:p w14:paraId="18AED56D" w14:textId="77777777" w:rsidR="007862A2" w:rsidRDefault="007862A2" w:rsidP="007862A2">
      <w:pPr>
        <w:pStyle w:val="PL"/>
      </w:pPr>
      <w:r>
        <w:t xml:space="preserve">        </w:t>
      </w:r>
      <w:r>
        <w:rPr>
          <w:lang w:eastAsia="zh-CN"/>
        </w:rPr>
        <w:t>varTrafficRate</w:t>
      </w:r>
      <w:r>
        <w:t>:</w:t>
      </w:r>
    </w:p>
    <w:p w14:paraId="063E7731" w14:textId="77777777" w:rsidR="007862A2" w:rsidRDefault="007862A2" w:rsidP="007862A2">
      <w:pPr>
        <w:pStyle w:val="PL"/>
      </w:pPr>
      <w:r>
        <w:t xml:space="preserve">          $ref: 'TS29571_CommonData.yaml#/components/schemas/Float'</w:t>
      </w:r>
    </w:p>
    <w:p w14:paraId="256F4CF2" w14:textId="77777777" w:rsidR="007862A2" w:rsidRDefault="007862A2" w:rsidP="007862A2">
      <w:pPr>
        <w:pStyle w:val="PL"/>
      </w:pPr>
      <w:r>
        <w:t xml:space="preserve">        t</w:t>
      </w:r>
      <w:r>
        <w:rPr>
          <w:lang w:eastAsia="zh-CN"/>
        </w:rPr>
        <w:t>rafRateUeIds</w:t>
      </w:r>
      <w:r>
        <w:t>:</w:t>
      </w:r>
    </w:p>
    <w:p w14:paraId="39E7B7F5" w14:textId="77777777" w:rsidR="007862A2" w:rsidRDefault="007862A2" w:rsidP="007862A2">
      <w:pPr>
        <w:pStyle w:val="PL"/>
      </w:pPr>
      <w:r>
        <w:t xml:space="preserve">          type: array</w:t>
      </w:r>
    </w:p>
    <w:p w14:paraId="0988F5E5" w14:textId="77777777" w:rsidR="007862A2" w:rsidRDefault="007862A2" w:rsidP="007862A2">
      <w:pPr>
        <w:pStyle w:val="PL"/>
      </w:pPr>
      <w:r>
        <w:t xml:space="preserve">          items:</w:t>
      </w:r>
    </w:p>
    <w:p w14:paraId="664DF508" w14:textId="77777777" w:rsidR="007862A2" w:rsidRDefault="007862A2" w:rsidP="007862A2">
      <w:pPr>
        <w:pStyle w:val="PL"/>
      </w:pPr>
      <w:r>
        <w:t xml:space="preserve">            $ref: 'TS29571_CommonData.yaml#/components/schemas/Supi'</w:t>
      </w:r>
    </w:p>
    <w:p w14:paraId="57BE1F81" w14:textId="77777777" w:rsidR="007862A2" w:rsidRDefault="007862A2" w:rsidP="007862A2">
      <w:pPr>
        <w:pStyle w:val="PL"/>
      </w:pPr>
      <w:r>
        <w:t xml:space="preserve">          minItems: 1</w:t>
      </w:r>
    </w:p>
    <w:p w14:paraId="33CB6B69" w14:textId="77777777" w:rsidR="007862A2" w:rsidRDefault="007862A2" w:rsidP="007862A2">
      <w:pPr>
        <w:pStyle w:val="PL"/>
      </w:pPr>
      <w:r>
        <w:t xml:space="preserve">        </w:t>
      </w:r>
      <w:r>
        <w:rPr>
          <w:lang w:eastAsia="zh-CN"/>
        </w:rPr>
        <w:t>avePacketDelay</w:t>
      </w:r>
      <w:r>
        <w:t>:</w:t>
      </w:r>
    </w:p>
    <w:p w14:paraId="1DE462EE"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5DB3F862" w14:textId="77777777" w:rsidR="007862A2" w:rsidRDefault="007862A2" w:rsidP="007862A2">
      <w:pPr>
        <w:pStyle w:val="PL"/>
      </w:pPr>
      <w:r>
        <w:t xml:space="preserve">        </w:t>
      </w:r>
      <w:r>
        <w:rPr>
          <w:lang w:eastAsia="zh-CN"/>
        </w:rPr>
        <w:t>maxPacketDelay</w:t>
      </w:r>
      <w:r>
        <w:t>:</w:t>
      </w:r>
    </w:p>
    <w:p w14:paraId="5C4CC315" w14:textId="77777777" w:rsidR="007862A2" w:rsidRDefault="007862A2" w:rsidP="007862A2">
      <w:pPr>
        <w:pStyle w:val="PL"/>
        <w:rPr>
          <w:lang w:val="en-US" w:eastAsia="es-ES"/>
        </w:rPr>
      </w:pPr>
      <w:r>
        <w:t xml:space="preserve">          </w:t>
      </w:r>
      <w:r>
        <w:rPr>
          <w:lang w:val="en-US" w:eastAsia="es-ES"/>
        </w:rPr>
        <w:t>$ref: 'TS29571_CommonData.yaml#/components/schemas/</w:t>
      </w:r>
      <w:r>
        <w:t>PacketDelBudget</w:t>
      </w:r>
      <w:r>
        <w:rPr>
          <w:lang w:val="en-US" w:eastAsia="es-ES"/>
        </w:rPr>
        <w:t>'</w:t>
      </w:r>
    </w:p>
    <w:p w14:paraId="07E4E3A9" w14:textId="77777777" w:rsidR="007862A2" w:rsidRDefault="007862A2" w:rsidP="007862A2">
      <w:pPr>
        <w:pStyle w:val="PL"/>
      </w:pPr>
      <w:r>
        <w:t xml:space="preserve">        </w:t>
      </w:r>
      <w:r>
        <w:rPr>
          <w:lang w:eastAsia="zh-CN"/>
        </w:rPr>
        <w:t>varPacketDelay</w:t>
      </w:r>
      <w:r>
        <w:t>:</w:t>
      </w:r>
    </w:p>
    <w:p w14:paraId="72FE7480" w14:textId="77777777" w:rsidR="007862A2" w:rsidRDefault="007862A2" w:rsidP="007862A2">
      <w:pPr>
        <w:pStyle w:val="PL"/>
      </w:pPr>
      <w:r>
        <w:t xml:space="preserve">          $ref: 'TS29571_CommonData.yaml#/components/schemas/Float'</w:t>
      </w:r>
    </w:p>
    <w:p w14:paraId="26C855DA" w14:textId="77777777" w:rsidR="007862A2" w:rsidRDefault="007862A2" w:rsidP="007862A2">
      <w:pPr>
        <w:pStyle w:val="PL"/>
      </w:pPr>
      <w:r>
        <w:t xml:space="preserve">        p</w:t>
      </w:r>
      <w:r>
        <w:rPr>
          <w:lang w:eastAsia="zh-CN"/>
        </w:rPr>
        <w:t>ackDelayUeIds</w:t>
      </w:r>
      <w:r>
        <w:t>:</w:t>
      </w:r>
    </w:p>
    <w:p w14:paraId="6E924FB4" w14:textId="77777777" w:rsidR="007862A2" w:rsidRDefault="007862A2" w:rsidP="007862A2">
      <w:pPr>
        <w:pStyle w:val="PL"/>
      </w:pPr>
      <w:r>
        <w:t xml:space="preserve">          type: array</w:t>
      </w:r>
    </w:p>
    <w:p w14:paraId="7E089F7A" w14:textId="77777777" w:rsidR="007862A2" w:rsidRDefault="007862A2" w:rsidP="007862A2">
      <w:pPr>
        <w:pStyle w:val="PL"/>
      </w:pPr>
      <w:r>
        <w:t xml:space="preserve">          items:</w:t>
      </w:r>
    </w:p>
    <w:p w14:paraId="2BDB0B86" w14:textId="77777777" w:rsidR="007862A2" w:rsidRDefault="007862A2" w:rsidP="007862A2">
      <w:pPr>
        <w:pStyle w:val="PL"/>
      </w:pPr>
      <w:r>
        <w:t xml:space="preserve">            $ref: 'TS29571_CommonData.yaml#/components/schemas/Supi'</w:t>
      </w:r>
    </w:p>
    <w:p w14:paraId="0D55E56E" w14:textId="77777777" w:rsidR="007862A2" w:rsidRDefault="007862A2" w:rsidP="007862A2">
      <w:pPr>
        <w:pStyle w:val="PL"/>
      </w:pPr>
      <w:r>
        <w:t xml:space="preserve">          minItems: 1</w:t>
      </w:r>
    </w:p>
    <w:p w14:paraId="334F66F5" w14:textId="77777777" w:rsidR="007862A2" w:rsidRDefault="007862A2" w:rsidP="007862A2">
      <w:pPr>
        <w:pStyle w:val="PL"/>
      </w:pPr>
      <w:r>
        <w:t xml:space="preserve">        </w:t>
      </w:r>
      <w:r>
        <w:rPr>
          <w:lang w:eastAsia="zh-CN"/>
        </w:rPr>
        <w:t>avgPacketLossRate</w:t>
      </w:r>
      <w:r>
        <w:t>:</w:t>
      </w:r>
    </w:p>
    <w:p w14:paraId="082D8F1D"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56D7F14C" w14:textId="77777777" w:rsidR="007862A2" w:rsidRDefault="007862A2" w:rsidP="007862A2">
      <w:pPr>
        <w:pStyle w:val="PL"/>
      </w:pPr>
      <w:r>
        <w:t xml:space="preserve">        </w:t>
      </w:r>
      <w:r>
        <w:rPr>
          <w:lang w:eastAsia="zh-CN"/>
        </w:rPr>
        <w:t>maxPacketLossRate</w:t>
      </w:r>
      <w:r>
        <w:t>:</w:t>
      </w:r>
    </w:p>
    <w:p w14:paraId="3550DF6E" w14:textId="77777777" w:rsidR="007862A2" w:rsidRDefault="007862A2" w:rsidP="007862A2">
      <w:pPr>
        <w:pStyle w:val="PL"/>
      </w:pPr>
      <w:r>
        <w:t xml:space="preserve">          </w:t>
      </w:r>
      <w:r>
        <w:rPr>
          <w:lang w:val="en-US" w:eastAsia="es-ES"/>
        </w:rPr>
        <w:t>$ref: 'TS29571_CommonData.yaml#/components/schemas/</w:t>
      </w:r>
      <w:r>
        <w:t>PacketLossRate</w:t>
      </w:r>
      <w:r>
        <w:rPr>
          <w:lang w:val="en-US" w:eastAsia="es-ES"/>
        </w:rPr>
        <w:t>'</w:t>
      </w:r>
    </w:p>
    <w:p w14:paraId="7A984B3C" w14:textId="77777777" w:rsidR="007862A2" w:rsidRDefault="007862A2" w:rsidP="007862A2">
      <w:pPr>
        <w:pStyle w:val="PL"/>
      </w:pPr>
      <w:r>
        <w:t xml:space="preserve">        </w:t>
      </w:r>
      <w:r>
        <w:rPr>
          <w:lang w:eastAsia="zh-CN"/>
        </w:rPr>
        <w:t>varPacketLossRate</w:t>
      </w:r>
      <w:r>
        <w:t>:</w:t>
      </w:r>
    </w:p>
    <w:p w14:paraId="3F8B398E" w14:textId="77777777" w:rsidR="007862A2" w:rsidRDefault="007862A2" w:rsidP="007862A2">
      <w:pPr>
        <w:pStyle w:val="PL"/>
      </w:pPr>
      <w:r>
        <w:t xml:space="preserve">          $ref: 'TS29571_CommonData.yaml#/components/schemas/Float'</w:t>
      </w:r>
    </w:p>
    <w:p w14:paraId="5B2BC0B2" w14:textId="77777777" w:rsidR="007862A2" w:rsidRDefault="007862A2" w:rsidP="007862A2">
      <w:pPr>
        <w:pStyle w:val="PL"/>
      </w:pPr>
      <w:r>
        <w:t xml:space="preserve">        p</w:t>
      </w:r>
      <w:r>
        <w:rPr>
          <w:lang w:eastAsia="zh-CN"/>
        </w:rPr>
        <w:t>ackLossUeIds</w:t>
      </w:r>
      <w:r>
        <w:t>:</w:t>
      </w:r>
    </w:p>
    <w:p w14:paraId="388C4AC6" w14:textId="77777777" w:rsidR="007862A2" w:rsidRDefault="007862A2" w:rsidP="007862A2">
      <w:pPr>
        <w:pStyle w:val="PL"/>
      </w:pPr>
      <w:r>
        <w:t xml:space="preserve">          type: array</w:t>
      </w:r>
    </w:p>
    <w:p w14:paraId="791D6D29" w14:textId="77777777" w:rsidR="007862A2" w:rsidRDefault="007862A2" w:rsidP="007862A2">
      <w:pPr>
        <w:pStyle w:val="PL"/>
      </w:pPr>
      <w:r>
        <w:t xml:space="preserve">          items:</w:t>
      </w:r>
    </w:p>
    <w:p w14:paraId="78F1B8EC" w14:textId="77777777" w:rsidR="007862A2" w:rsidRDefault="007862A2" w:rsidP="007862A2">
      <w:pPr>
        <w:pStyle w:val="PL"/>
      </w:pPr>
      <w:r>
        <w:t xml:space="preserve">            $ref: 'TS29571_CommonData.yaml#/components/schemas/Supi'</w:t>
      </w:r>
    </w:p>
    <w:p w14:paraId="6C503FD3" w14:textId="77777777" w:rsidR="007862A2" w:rsidRDefault="007862A2" w:rsidP="007862A2">
      <w:pPr>
        <w:pStyle w:val="PL"/>
      </w:pPr>
      <w:r>
        <w:t xml:space="preserve">          minItems: 1</w:t>
      </w:r>
    </w:p>
    <w:p w14:paraId="5DAD78DD" w14:textId="77777777" w:rsidR="007862A2" w:rsidRDefault="007862A2" w:rsidP="007862A2">
      <w:pPr>
        <w:pStyle w:val="PL"/>
      </w:pPr>
      <w:r>
        <w:t xml:space="preserve">        numOf</w:t>
      </w:r>
      <w:r>
        <w:rPr>
          <w:lang w:eastAsia="zh-CN"/>
        </w:rPr>
        <w:t>Ue</w:t>
      </w:r>
      <w:r>
        <w:t>:</w:t>
      </w:r>
    </w:p>
    <w:p w14:paraId="63028FD3" w14:textId="77777777" w:rsidR="007862A2" w:rsidRDefault="007862A2" w:rsidP="007862A2">
      <w:pPr>
        <w:pStyle w:val="PL"/>
      </w:pPr>
      <w:r>
        <w:t xml:space="preserve">          $ref: 'TS29571_CommonData.yaml#/components/schemas/Uinteger'</w:t>
      </w:r>
    </w:p>
    <w:p w14:paraId="74546DD0" w14:textId="77777777" w:rsidR="007862A2" w:rsidRDefault="007862A2" w:rsidP="007862A2">
      <w:pPr>
        <w:pStyle w:val="PL"/>
      </w:pPr>
    </w:p>
    <w:p w14:paraId="6605AE6F" w14:textId="77777777" w:rsidR="007862A2" w:rsidRDefault="007862A2" w:rsidP="007862A2">
      <w:pPr>
        <w:pStyle w:val="PL"/>
      </w:pPr>
      <w:r>
        <w:t xml:space="preserve">    DispersionRequirement:</w:t>
      </w:r>
    </w:p>
    <w:p w14:paraId="0301CB7E" w14:textId="77777777" w:rsidR="007862A2" w:rsidRDefault="007862A2" w:rsidP="007862A2">
      <w:pPr>
        <w:pStyle w:val="PL"/>
      </w:pPr>
      <w:r>
        <w:t xml:space="preserve">      description: Represents the dispersion analytics requirements.</w:t>
      </w:r>
    </w:p>
    <w:p w14:paraId="76E85B37" w14:textId="77777777" w:rsidR="007862A2" w:rsidRDefault="007862A2" w:rsidP="007862A2">
      <w:pPr>
        <w:pStyle w:val="PL"/>
      </w:pPr>
      <w:r>
        <w:t xml:space="preserve">      type: object</w:t>
      </w:r>
    </w:p>
    <w:p w14:paraId="4B0040E6" w14:textId="77777777" w:rsidR="007862A2" w:rsidRDefault="007862A2" w:rsidP="007862A2">
      <w:pPr>
        <w:pStyle w:val="PL"/>
      </w:pPr>
      <w:r>
        <w:t xml:space="preserve">      properties:</w:t>
      </w:r>
    </w:p>
    <w:p w14:paraId="63C681F5" w14:textId="77777777" w:rsidR="007862A2" w:rsidRDefault="007862A2" w:rsidP="007862A2">
      <w:pPr>
        <w:pStyle w:val="PL"/>
      </w:pPr>
      <w:r>
        <w:t xml:space="preserve">        disperType:</w:t>
      </w:r>
    </w:p>
    <w:p w14:paraId="51747C01" w14:textId="77777777" w:rsidR="007862A2" w:rsidRDefault="007862A2" w:rsidP="007862A2">
      <w:pPr>
        <w:pStyle w:val="PL"/>
      </w:pPr>
      <w:r>
        <w:t xml:space="preserve">          $ref: '#/components/schemas/DispersionType'</w:t>
      </w:r>
    </w:p>
    <w:p w14:paraId="7CC610B2" w14:textId="77777777" w:rsidR="007862A2" w:rsidRDefault="007862A2" w:rsidP="007862A2">
      <w:pPr>
        <w:pStyle w:val="PL"/>
      </w:pPr>
      <w:r>
        <w:t xml:space="preserve">        classCriters:</w:t>
      </w:r>
    </w:p>
    <w:p w14:paraId="557B70CD" w14:textId="77777777" w:rsidR="007862A2" w:rsidRDefault="007862A2" w:rsidP="007862A2">
      <w:pPr>
        <w:pStyle w:val="PL"/>
      </w:pPr>
      <w:r>
        <w:t xml:space="preserve">          type: array</w:t>
      </w:r>
    </w:p>
    <w:p w14:paraId="7BA3574A" w14:textId="77777777" w:rsidR="007862A2" w:rsidRDefault="007862A2" w:rsidP="007862A2">
      <w:pPr>
        <w:pStyle w:val="PL"/>
      </w:pPr>
      <w:r>
        <w:t xml:space="preserve">          items:</w:t>
      </w:r>
    </w:p>
    <w:p w14:paraId="4458A486" w14:textId="77777777" w:rsidR="007862A2" w:rsidRDefault="007862A2" w:rsidP="007862A2">
      <w:pPr>
        <w:pStyle w:val="PL"/>
      </w:pPr>
      <w:r>
        <w:t xml:space="preserve">            $ref: '#/components/schemas/ClassCriterion'</w:t>
      </w:r>
    </w:p>
    <w:p w14:paraId="17AC7F3A" w14:textId="77777777" w:rsidR="007862A2" w:rsidRDefault="007862A2" w:rsidP="007862A2">
      <w:pPr>
        <w:pStyle w:val="PL"/>
      </w:pPr>
      <w:r>
        <w:t xml:space="preserve">          minItems: 1</w:t>
      </w:r>
    </w:p>
    <w:p w14:paraId="4F997FAE" w14:textId="77777777" w:rsidR="007862A2" w:rsidRDefault="007862A2" w:rsidP="007862A2">
      <w:pPr>
        <w:pStyle w:val="PL"/>
      </w:pPr>
      <w:r>
        <w:t xml:space="preserve">        rankCriters:</w:t>
      </w:r>
    </w:p>
    <w:p w14:paraId="4EC4051C" w14:textId="77777777" w:rsidR="007862A2" w:rsidRDefault="007862A2" w:rsidP="007862A2">
      <w:pPr>
        <w:pStyle w:val="PL"/>
      </w:pPr>
      <w:r>
        <w:t xml:space="preserve">          type: array</w:t>
      </w:r>
    </w:p>
    <w:p w14:paraId="5104E746" w14:textId="77777777" w:rsidR="007862A2" w:rsidRDefault="007862A2" w:rsidP="007862A2">
      <w:pPr>
        <w:pStyle w:val="PL"/>
      </w:pPr>
      <w:r>
        <w:t xml:space="preserve">          items:</w:t>
      </w:r>
    </w:p>
    <w:p w14:paraId="44295C0B" w14:textId="77777777" w:rsidR="007862A2" w:rsidRDefault="007862A2" w:rsidP="007862A2">
      <w:pPr>
        <w:pStyle w:val="PL"/>
      </w:pPr>
      <w:r>
        <w:t xml:space="preserve">            $ref: '#/components/schemas/RankingCriterion'</w:t>
      </w:r>
    </w:p>
    <w:p w14:paraId="01BCF641" w14:textId="77777777" w:rsidR="007862A2" w:rsidRDefault="007862A2" w:rsidP="007862A2">
      <w:pPr>
        <w:pStyle w:val="PL"/>
      </w:pPr>
      <w:r>
        <w:t xml:space="preserve">          minItems: 1</w:t>
      </w:r>
    </w:p>
    <w:p w14:paraId="493FD070" w14:textId="77777777" w:rsidR="007862A2" w:rsidRDefault="007862A2" w:rsidP="007862A2">
      <w:pPr>
        <w:pStyle w:val="PL"/>
      </w:pPr>
      <w:r>
        <w:t xml:space="preserve">        dispOrderCriter:</w:t>
      </w:r>
    </w:p>
    <w:p w14:paraId="302C34B4" w14:textId="77777777" w:rsidR="007862A2" w:rsidRDefault="007862A2" w:rsidP="007862A2">
      <w:pPr>
        <w:pStyle w:val="PL"/>
      </w:pPr>
      <w:r>
        <w:t xml:space="preserve">          $ref: '#/components/schemas/DispersionOrderingCriterion'</w:t>
      </w:r>
    </w:p>
    <w:p w14:paraId="2AEEA9F8" w14:textId="77777777" w:rsidR="007862A2" w:rsidRDefault="007862A2" w:rsidP="007862A2">
      <w:pPr>
        <w:pStyle w:val="PL"/>
      </w:pPr>
      <w:r>
        <w:t xml:space="preserve">        order:</w:t>
      </w:r>
    </w:p>
    <w:p w14:paraId="20FB5B00" w14:textId="77777777" w:rsidR="007862A2" w:rsidRDefault="007862A2" w:rsidP="007862A2">
      <w:pPr>
        <w:pStyle w:val="PL"/>
      </w:pPr>
      <w:r>
        <w:t xml:space="preserve">          $ref: '#/components/schemas/MatchingDirection'</w:t>
      </w:r>
    </w:p>
    <w:p w14:paraId="65DEC28C" w14:textId="77777777" w:rsidR="007862A2" w:rsidRDefault="007862A2" w:rsidP="007862A2">
      <w:pPr>
        <w:pStyle w:val="PL"/>
      </w:pPr>
      <w:r>
        <w:t xml:space="preserve">      required:</w:t>
      </w:r>
    </w:p>
    <w:p w14:paraId="2DDA73DD" w14:textId="77777777" w:rsidR="007862A2" w:rsidRDefault="007862A2" w:rsidP="007862A2">
      <w:pPr>
        <w:pStyle w:val="PL"/>
      </w:pPr>
      <w:r>
        <w:t xml:space="preserve">        - disperType</w:t>
      </w:r>
    </w:p>
    <w:p w14:paraId="309BBA8E" w14:textId="77777777" w:rsidR="007862A2" w:rsidRDefault="007862A2" w:rsidP="007862A2">
      <w:pPr>
        <w:pStyle w:val="PL"/>
      </w:pPr>
    </w:p>
    <w:p w14:paraId="6150A82F" w14:textId="77777777" w:rsidR="007862A2" w:rsidRDefault="007862A2" w:rsidP="007862A2">
      <w:pPr>
        <w:pStyle w:val="PL"/>
      </w:pPr>
      <w:r>
        <w:t xml:space="preserve">    ClassCriterion:</w:t>
      </w:r>
    </w:p>
    <w:p w14:paraId="6E5101AA" w14:textId="77777777" w:rsidR="007862A2" w:rsidRDefault="007862A2" w:rsidP="007862A2">
      <w:pPr>
        <w:pStyle w:val="PL"/>
      </w:pPr>
      <w:r>
        <w:t xml:space="preserve">      description: &gt;</w:t>
      </w:r>
    </w:p>
    <w:p w14:paraId="34B9DADB" w14:textId="77777777" w:rsidR="007862A2" w:rsidRDefault="007862A2" w:rsidP="007862A2">
      <w:pPr>
        <w:pStyle w:val="PL"/>
      </w:pPr>
      <w:r>
        <w:t xml:space="preserve">        Indicates the dispersion class criterion for fixed, camper and/or traveller UE, and/or the</w:t>
      </w:r>
    </w:p>
    <w:p w14:paraId="590DE663" w14:textId="77777777" w:rsidR="007862A2" w:rsidRDefault="007862A2" w:rsidP="007862A2">
      <w:pPr>
        <w:pStyle w:val="PL"/>
      </w:pPr>
      <w:r>
        <w:t xml:space="preserve">        top-heavy UE dispersion class criterion.</w:t>
      </w:r>
    </w:p>
    <w:p w14:paraId="054C5436" w14:textId="77777777" w:rsidR="007862A2" w:rsidRDefault="007862A2" w:rsidP="007862A2">
      <w:pPr>
        <w:pStyle w:val="PL"/>
      </w:pPr>
      <w:r>
        <w:t xml:space="preserve">      type: object</w:t>
      </w:r>
    </w:p>
    <w:p w14:paraId="5C4752D7" w14:textId="77777777" w:rsidR="007862A2" w:rsidRDefault="007862A2" w:rsidP="007862A2">
      <w:pPr>
        <w:pStyle w:val="PL"/>
      </w:pPr>
      <w:r>
        <w:t xml:space="preserve">      properties:</w:t>
      </w:r>
    </w:p>
    <w:p w14:paraId="3741D6ED" w14:textId="77777777" w:rsidR="007862A2" w:rsidRDefault="007862A2" w:rsidP="007862A2">
      <w:pPr>
        <w:pStyle w:val="PL"/>
      </w:pPr>
      <w:r>
        <w:t xml:space="preserve">        disperClass:</w:t>
      </w:r>
    </w:p>
    <w:p w14:paraId="73DF0D3F" w14:textId="77777777" w:rsidR="007862A2" w:rsidRDefault="007862A2" w:rsidP="007862A2">
      <w:pPr>
        <w:pStyle w:val="PL"/>
      </w:pPr>
      <w:r>
        <w:lastRenderedPageBreak/>
        <w:t xml:space="preserve">          $ref: '#/components/schemas/DispersionClass'</w:t>
      </w:r>
    </w:p>
    <w:p w14:paraId="4F0C3135" w14:textId="77777777" w:rsidR="007862A2" w:rsidRDefault="007862A2" w:rsidP="007862A2">
      <w:pPr>
        <w:pStyle w:val="PL"/>
      </w:pPr>
      <w:r>
        <w:t xml:space="preserve">        classThreshold:</w:t>
      </w:r>
    </w:p>
    <w:p w14:paraId="21C899E5" w14:textId="77777777" w:rsidR="007862A2" w:rsidRDefault="007862A2" w:rsidP="007862A2">
      <w:pPr>
        <w:pStyle w:val="PL"/>
      </w:pPr>
      <w:r>
        <w:t xml:space="preserve">          $ref: 'TS29571_CommonData.yaml#/components/schemas/SamplingRatio'</w:t>
      </w:r>
    </w:p>
    <w:p w14:paraId="27C49F4A" w14:textId="77777777" w:rsidR="007862A2" w:rsidRDefault="007862A2" w:rsidP="007862A2">
      <w:pPr>
        <w:pStyle w:val="PL"/>
      </w:pPr>
      <w:r>
        <w:t xml:space="preserve">        thresMatch:</w:t>
      </w:r>
    </w:p>
    <w:p w14:paraId="3D1F9D18" w14:textId="77777777" w:rsidR="007862A2" w:rsidRDefault="007862A2" w:rsidP="007862A2">
      <w:pPr>
        <w:pStyle w:val="PL"/>
      </w:pPr>
      <w:r>
        <w:t xml:space="preserve">          $ref: '#/components/schemas/MatchingDirection'</w:t>
      </w:r>
    </w:p>
    <w:p w14:paraId="00DA78F1" w14:textId="77777777" w:rsidR="007862A2" w:rsidRDefault="007862A2" w:rsidP="007862A2">
      <w:pPr>
        <w:pStyle w:val="PL"/>
      </w:pPr>
      <w:r>
        <w:t xml:space="preserve">      required:</w:t>
      </w:r>
    </w:p>
    <w:p w14:paraId="585E5325" w14:textId="77777777" w:rsidR="007862A2" w:rsidRDefault="007862A2" w:rsidP="007862A2">
      <w:pPr>
        <w:pStyle w:val="PL"/>
      </w:pPr>
      <w:r>
        <w:t xml:space="preserve">        - disperClass</w:t>
      </w:r>
    </w:p>
    <w:p w14:paraId="35A8A8FB" w14:textId="77777777" w:rsidR="007862A2" w:rsidRDefault="007862A2" w:rsidP="007862A2">
      <w:pPr>
        <w:pStyle w:val="PL"/>
      </w:pPr>
      <w:r>
        <w:t xml:space="preserve">        - classThreshold</w:t>
      </w:r>
    </w:p>
    <w:p w14:paraId="226771C3" w14:textId="77777777" w:rsidR="007862A2" w:rsidRDefault="007862A2" w:rsidP="007862A2">
      <w:pPr>
        <w:pStyle w:val="PL"/>
      </w:pPr>
      <w:r>
        <w:t xml:space="preserve">        - thresMatch</w:t>
      </w:r>
    </w:p>
    <w:p w14:paraId="758411BD" w14:textId="77777777" w:rsidR="007862A2" w:rsidRDefault="007862A2" w:rsidP="007862A2">
      <w:pPr>
        <w:pStyle w:val="PL"/>
      </w:pPr>
    </w:p>
    <w:p w14:paraId="66A97FEF" w14:textId="77777777" w:rsidR="007862A2" w:rsidRDefault="007862A2" w:rsidP="007862A2">
      <w:pPr>
        <w:pStyle w:val="PL"/>
      </w:pPr>
      <w:r>
        <w:t xml:space="preserve">    RankingCriterion:</w:t>
      </w:r>
    </w:p>
    <w:p w14:paraId="0F9DF2D5" w14:textId="77777777" w:rsidR="007862A2" w:rsidRDefault="007862A2" w:rsidP="007862A2">
      <w:pPr>
        <w:pStyle w:val="PL"/>
      </w:pPr>
      <w:r>
        <w:t xml:space="preserve">      description: Indicates the usage ranking criterion between the high, medium and low usage UE.</w:t>
      </w:r>
    </w:p>
    <w:p w14:paraId="39798449" w14:textId="77777777" w:rsidR="007862A2" w:rsidRDefault="007862A2" w:rsidP="007862A2">
      <w:pPr>
        <w:pStyle w:val="PL"/>
      </w:pPr>
      <w:r>
        <w:t xml:space="preserve">      type: object</w:t>
      </w:r>
    </w:p>
    <w:p w14:paraId="05D4B320" w14:textId="77777777" w:rsidR="007862A2" w:rsidRDefault="007862A2" w:rsidP="007862A2">
      <w:pPr>
        <w:pStyle w:val="PL"/>
      </w:pPr>
      <w:r>
        <w:t xml:space="preserve">      properties:</w:t>
      </w:r>
    </w:p>
    <w:p w14:paraId="4BE8747E" w14:textId="77777777" w:rsidR="007862A2" w:rsidRDefault="007862A2" w:rsidP="007862A2">
      <w:pPr>
        <w:pStyle w:val="PL"/>
      </w:pPr>
      <w:r>
        <w:t xml:space="preserve">        highBase:</w:t>
      </w:r>
    </w:p>
    <w:p w14:paraId="2FC9E383" w14:textId="77777777" w:rsidR="007862A2" w:rsidRDefault="007862A2" w:rsidP="007862A2">
      <w:pPr>
        <w:pStyle w:val="PL"/>
      </w:pPr>
      <w:r>
        <w:t xml:space="preserve">          $ref: 'TS29571_CommonData.yaml#/components/schemas/SamplingRatio'</w:t>
      </w:r>
    </w:p>
    <w:p w14:paraId="6F29D4FB" w14:textId="77777777" w:rsidR="007862A2" w:rsidRDefault="007862A2" w:rsidP="007862A2">
      <w:pPr>
        <w:pStyle w:val="PL"/>
      </w:pPr>
      <w:r>
        <w:t xml:space="preserve">        lowBase:</w:t>
      </w:r>
    </w:p>
    <w:p w14:paraId="32DC8A75" w14:textId="77777777" w:rsidR="007862A2" w:rsidRDefault="007862A2" w:rsidP="007862A2">
      <w:pPr>
        <w:pStyle w:val="PL"/>
      </w:pPr>
      <w:r>
        <w:t xml:space="preserve">          $ref: 'TS29571_CommonData.yaml#/components/schemas/SamplingRatio'</w:t>
      </w:r>
    </w:p>
    <w:p w14:paraId="51B88C49" w14:textId="77777777" w:rsidR="007862A2" w:rsidRDefault="007862A2" w:rsidP="007862A2">
      <w:pPr>
        <w:pStyle w:val="PL"/>
      </w:pPr>
      <w:r>
        <w:t xml:space="preserve">      required:</w:t>
      </w:r>
    </w:p>
    <w:p w14:paraId="2FEAA7EF" w14:textId="77777777" w:rsidR="007862A2" w:rsidRDefault="007862A2" w:rsidP="007862A2">
      <w:pPr>
        <w:pStyle w:val="PL"/>
      </w:pPr>
      <w:r>
        <w:t xml:space="preserve">        - highBase</w:t>
      </w:r>
    </w:p>
    <w:p w14:paraId="58394660" w14:textId="77777777" w:rsidR="007862A2" w:rsidRDefault="007862A2" w:rsidP="007862A2">
      <w:pPr>
        <w:pStyle w:val="PL"/>
      </w:pPr>
      <w:r>
        <w:t xml:space="preserve">        - lowBase</w:t>
      </w:r>
    </w:p>
    <w:p w14:paraId="284DC6D0" w14:textId="77777777" w:rsidR="007862A2" w:rsidRDefault="007862A2" w:rsidP="007862A2">
      <w:pPr>
        <w:pStyle w:val="PL"/>
      </w:pPr>
    </w:p>
    <w:p w14:paraId="4AD0EFA8" w14:textId="77777777" w:rsidR="007862A2" w:rsidRDefault="007862A2" w:rsidP="007862A2">
      <w:pPr>
        <w:pStyle w:val="PL"/>
      </w:pPr>
      <w:r>
        <w:t xml:space="preserve">    DispersionInfo:</w:t>
      </w:r>
    </w:p>
    <w:p w14:paraId="4C86CE8E" w14:textId="77777777" w:rsidR="007862A2" w:rsidRDefault="007862A2" w:rsidP="007862A2">
      <w:pPr>
        <w:pStyle w:val="PL"/>
      </w:pPr>
      <w:r>
        <w:t xml:space="preserve">      description: &gt;</w:t>
      </w:r>
    </w:p>
    <w:p w14:paraId="6AAF0536" w14:textId="77777777" w:rsidR="007862A2" w:rsidRDefault="007862A2" w:rsidP="007862A2">
      <w:pPr>
        <w:pStyle w:val="PL"/>
      </w:pPr>
      <w:r>
        <w:t xml:space="preserve">        Represents the Dispersion information. When subscribed event is "DISPERSION", the</w:t>
      </w:r>
    </w:p>
    <w:p w14:paraId="5767CA79" w14:textId="77777777" w:rsidR="007862A2" w:rsidRDefault="007862A2" w:rsidP="007862A2">
      <w:pPr>
        <w:pStyle w:val="PL"/>
      </w:pPr>
      <w:r>
        <w:t xml:space="preserve">        "disperInfos" attribute shall be included.</w:t>
      </w:r>
    </w:p>
    <w:p w14:paraId="43CF6657" w14:textId="77777777" w:rsidR="007862A2" w:rsidRDefault="007862A2" w:rsidP="007862A2">
      <w:pPr>
        <w:pStyle w:val="PL"/>
      </w:pPr>
      <w:r>
        <w:t xml:space="preserve">      type: object</w:t>
      </w:r>
    </w:p>
    <w:p w14:paraId="0695DE0B" w14:textId="77777777" w:rsidR="007862A2" w:rsidRDefault="007862A2" w:rsidP="007862A2">
      <w:pPr>
        <w:pStyle w:val="PL"/>
      </w:pPr>
      <w:r>
        <w:t xml:space="preserve">      properties:</w:t>
      </w:r>
    </w:p>
    <w:p w14:paraId="3E73F595" w14:textId="77777777" w:rsidR="007862A2" w:rsidRDefault="007862A2" w:rsidP="007862A2">
      <w:pPr>
        <w:pStyle w:val="PL"/>
      </w:pPr>
      <w:r>
        <w:t xml:space="preserve">        tsStart:</w:t>
      </w:r>
    </w:p>
    <w:p w14:paraId="01A127B4" w14:textId="77777777" w:rsidR="007862A2" w:rsidRDefault="007862A2" w:rsidP="007862A2">
      <w:pPr>
        <w:pStyle w:val="PL"/>
      </w:pPr>
      <w:r>
        <w:t xml:space="preserve">          $ref: 'TS29571_CommonData.yaml#/components/schemas/DateTime'</w:t>
      </w:r>
    </w:p>
    <w:p w14:paraId="1E7CDE50" w14:textId="77777777" w:rsidR="007862A2" w:rsidRDefault="007862A2" w:rsidP="007862A2">
      <w:pPr>
        <w:pStyle w:val="PL"/>
      </w:pPr>
      <w:r>
        <w:t xml:space="preserve">        tsDuration:</w:t>
      </w:r>
    </w:p>
    <w:p w14:paraId="37696633" w14:textId="77777777" w:rsidR="007862A2" w:rsidRDefault="007862A2" w:rsidP="007862A2">
      <w:pPr>
        <w:pStyle w:val="PL"/>
      </w:pPr>
      <w:r>
        <w:t xml:space="preserve">          $ref: 'TS29571_CommonData.yaml#/components/schemas/DurationSec'</w:t>
      </w:r>
    </w:p>
    <w:p w14:paraId="61828E46" w14:textId="77777777" w:rsidR="007862A2" w:rsidRDefault="007862A2" w:rsidP="007862A2">
      <w:pPr>
        <w:pStyle w:val="PL"/>
      </w:pPr>
      <w:r>
        <w:t xml:space="preserve">        disperCollects:</w:t>
      </w:r>
    </w:p>
    <w:p w14:paraId="6899108F" w14:textId="77777777" w:rsidR="007862A2" w:rsidRDefault="007862A2" w:rsidP="007862A2">
      <w:pPr>
        <w:pStyle w:val="PL"/>
      </w:pPr>
      <w:r>
        <w:t xml:space="preserve">          type: array</w:t>
      </w:r>
    </w:p>
    <w:p w14:paraId="531D24D3" w14:textId="77777777" w:rsidR="007862A2" w:rsidRDefault="007862A2" w:rsidP="007862A2">
      <w:pPr>
        <w:pStyle w:val="PL"/>
      </w:pPr>
      <w:r>
        <w:t xml:space="preserve">          items:</w:t>
      </w:r>
    </w:p>
    <w:p w14:paraId="201A9B8E" w14:textId="77777777" w:rsidR="007862A2" w:rsidRDefault="007862A2" w:rsidP="007862A2">
      <w:pPr>
        <w:pStyle w:val="PL"/>
      </w:pPr>
      <w:r>
        <w:t xml:space="preserve">            $ref: '#/components/schemas/DispersionCollection'</w:t>
      </w:r>
    </w:p>
    <w:p w14:paraId="37CE5574" w14:textId="77777777" w:rsidR="007862A2" w:rsidRDefault="007862A2" w:rsidP="007862A2">
      <w:pPr>
        <w:pStyle w:val="PL"/>
      </w:pPr>
      <w:r>
        <w:t xml:space="preserve">          minItems: 1</w:t>
      </w:r>
    </w:p>
    <w:p w14:paraId="01B105D5" w14:textId="77777777" w:rsidR="007862A2" w:rsidRDefault="007862A2" w:rsidP="007862A2">
      <w:pPr>
        <w:pStyle w:val="PL"/>
      </w:pPr>
      <w:r>
        <w:t xml:space="preserve">        disperType:</w:t>
      </w:r>
    </w:p>
    <w:p w14:paraId="7F3962D0" w14:textId="77777777" w:rsidR="007862A2" w:rsidRDefault="007862A2" w:rsidP="007862A2">
      <w:pPr>
        <w:pStyle w:val="PL"/>
      </w:pPr>
      <w:r>
        <w:t xml:space="preserve">          $ref: '#/components/schemas/DispersionType'</w:t>
      </w:r>
    </w:p>
    <w:p w14:paraId="5790CCBC" w14:textId="77777777" w:rsidR="007862A2" w:rsidRDefault="007862A2" w:rsidP="007862A2">
      <w:pPr>
        <w:pStyle w:val="PL"/>
      </w:pPr>
      <w:r>
        <w:t xml:space="preserve">      required:</w:t>
      </w:r>
    </w:p>
    <w:p w14:paraId="690B2CEC" w14:textId="77777777" w:rsidR="007862A2" w:rsidRDefault="007862A2" w:rsidP="007862A2">
      <w:pPr>
        <w:pStyle w:val="PL"/>
      </w:pPr>
      <w:r>
        <w:t xml:space="preserve">        - tsStart</w:t>
      </w:r>
    </w:p>
    <w:p w14:paraId="6CC757C3" w14:textId="77777777" w:rsidR="007862A2" w:rsidRDefault="007862A2" w:rsidP="007862A2">
      <w:pPr>
        <w:pStyle w:val="PL"/>
      </w:pPr>
      <w:r>
        <w:t xml:space="preserve">        - tsDuration</w:t>
      </w:r>
    </w:p>
    <w:p w14:paraId="367EC19C" w14:textId="77777777" w:rsidR="007862A2" w:rsidRDefault="007862A2" w:rsidP="007862A2">
      <w:pPr>
        <w:pStyle w:val="PL"/>
      </w:pPr>
      <w:r>
        <w:t xml:space="preserve">        - disperCollects</w:t>
      </w:r>
    </w:p>
    <w:p w14:paraId="37D65B8F" w14:textId="77777777" w:rsidR="007862A2" w:rsidRDefault="007862A2" w:rsidP="007862A2">
      <w:pPr>
        <w:pStyle w:val="PL"/>
      </w:pPr>
      <w:r>
        <w:t xml:space="preserve">        - disperType</w:t>
      </w:r>
    </w:p>
    <w:p w14:paraId="35834747" w14:textId="77777777" w:rsidR="007862A2" w:rsidRDefault="007862A2" w:rsidP="007862A2">
      <w:pPr>
        <w:pStyle w:val="PL"/>
      </w:pPr>
    </w:p>
    <w:p w14:paraId="08524FD4" w14:textId="77777777" w:rsidR="007862A2" w:rsidRDefault="007862A2" w:rsidP="007862A2">
      <w:pPr>
        <w:pStyle w:val="PL"/>
      </w:pPr>
      <w:r>
        <w:t xml:space="preserve">    DispersionCollection:</w:t>
      </w:r>
    </w:p>
    <w:p w14:paraId="58CD341B" w14:textId="77777777" w:rsidR="007862A2" w:rsidRDefault="007862A2" w:rsidP="007862A2">
      <w:pPr>
        <w:pStyle w:val="PL"/>
      </w:pPr>
      <w:r>
        <w:t xml:space="preserve">      description: Dispersion collection per UE location or per slice.</w:t>
      </w:r>
    </w:p>
    <w:p w14:paraId="5354E392" w14:textId="77777777" w:rsidR="007862A2" w:rsidRDefault="007862A2" w:rsidP="007862A2">
      <w:pPr>
        <w:pStyle w:val="PL"/>
      </w:pPr>
      <w:r>
        <w:t xml:space="preserve">      type: object</w:t>
      </w:r>
    </w:p>
    <w:p w14:paraId="7AAB4A3A" w14:textId="77777777" w:rsidR="007862A2" w:rsidRDefault="007862A2" w:rsidP="007862A2">
      <w:pPr>
        <w:pStyle w:val="PL"/>
      </w:pPr>
      <w:r>
        <w:t xml:space="preserve">      properties:</w:t>
      </w:r>
    </w:p>
    <w:p w14:paraId="184B8C62" w14:textId="77777777" w:rsidR="007862A2" w:rsidRDefault="007862A2" w:rsidP="007862A2">
      <w:pPr>
        <w:pStyle w:val="PL"/>
      </w:pPr>
      <w:r>
        <w:t xml:space="preserve">        ueLoc:</w:t>
      </w:r>
    </w:p>
    <w:p w14:paraId="25554214" w14:textId="77777777" w:rsidR="007862A2" w:rsidRDefault="007862A2" w:rsidP="007862A2">
      <w:pPr>
        <w:pStyle w:val="PL"/>
      </w:pPr>
      <w:r>
        <w:t xml:space="preserve">          $ref: 'TS29571_CommonData.yaml#/components/schemas/UserLocation'</w:t>
      </w:r>
    </w:p>
    <w:p w14:paraId="52D4AEC3" w14:textId="77777777" w:rsidR="007862A2" w:rsidRDefault="007862A2" w:rsidP="007862A2">
      <w:pPr>
        <w:pStyle w:val="PL"/>
      </w:pPr>
      <w:r>
        <w:t xml:space="preserve">        snssai:</w:t>
      </w:r>
    </w:p>
    <w:p w14:paraId="44416334" w14:textId="77777777" w:rsidR="007862A2" w:rsidRDefault="007862A2" w:rsidP="007862A2">
      <w:pPr>
        <w:pStyle w:val="PL"/>
      </w:pPr>
      <w:r>
        <w:t xml:space="preserve">          $ref: 'TS29571_CommonData.yaml#/components/schemas/Snssai'</w:t>
      </w:r>
    </w:p>
    <w:p w14:paraId="1B879F1B" w14:textId="77777777" w:rsidR="007862A2" w:rsidRDefault="007862A2" w:rsidP="007862A2">
      <w:pPr>
        <w:pStyle w:val="PL"/>
      </w:pPr>
      <w:r>
        <w:t xml:space="preserve">        supis:</w:t>
      </w:r>
    </w:p>
    <w:p w14:paraId="3CEF80C9" w14:textId="77777777" w:rsidR="007862A2" w:rsidRDefault="007862A2" w:rsidP="007862A2">
      <w:pPr>
        <w:pStyle w:val="PL"/>
      </w:pPr>
      <w:r>
        <w:t xml:space="preserve">          type: array</w:t>
      </w:r>
    </w:p>
    <w:p w14:paraId="4B2C7EC7" w14:textId="77777777" w:rsidR="007862A2" w:rsidRDefault="007862A2" w:rsidP="007862A2">
      <w:pPr>
        <w:pStyle w:val="PL"/>
      </w:pPr>
      <w:r>
        <w:t xml:space="preserve">          items:</w:t>
      </w:r>
    </w:p>
    <w:p w14:paraId="05087762" w14:textId="77777777" w:rsidR="007862A2" w:rsidRDefault="007862A2" w:rsidP="007862A2">
      <w:pPr>
        <w:pStyle w:val="PL"/>
      </w:pPr>
      <w:r>
        <w:t xml:space="preserve">            $ref: 'TS29571_CommonData.yaml#/components/schemas/Supi'</w:t>
      </w:r>
    </w:p>
    <w:p w14:paraId="30D88AF9" w14:textId="77777777" w:rsidR="007862A2" w:rsidRDefault="007862A2" w:rsidP="007862A2">
      <w:pPr>
        <w:pStyle w:val="PL"/>
      </w:pPr>
      <w:r>
        <w:t xml:space="preserve">          minItems: 1</w:t>
      </w:r>
    </w:p>
    <w:p w14:paraId="7E5837E9" w14:textId="77777777" w:rsidR="007862A2" w:rsidRDefault="007862A2" w:rsidP="007862A2">
      <w:pPr>
        <w:pStyle w:val="PL"/>
      </w:pPr>
      <w:r>
        <w:t xml:space="preserve">        gpsis:</w:t>
      </w:r>
    </w:p>
    <w:p w14:paraId="1965F476" w14:textId="77777777" w:rsidR="007862A2" w:rsidRDefault="007862A2" w:rsidP="007862A2">
      <w:pPr>
        <w:pStyle w:val="PL"/>
      </w:pPr>
      <w:r>
        <w:t xml:space="preserve">          type: array</w:t>
      </w:r>
    </w:p>
    <w:p w14:paraId="77600E6F" w14:textId="77777777" w:rsidR="007862A2" w:rsidRDefault="007862A2" w:rsidP="007862A2">
      <w:pPr>
        <w:pStyle w:val="PL"/>
      </w:pPr>
      <w:r>
        <w:t xml:space="preserve">          items:</w:t>
      </w:r>
    </w:p>
    <w:p w14:paraId="3B16A1AD" w14:textId="77777777" w:rsidR="007862A2" w:rsidRDefault="007862A2" w:rsidP="007862A2">
      <w:pPr>
        <w:pStyle w:val="PL"/>
      </w:pPr>
      <w:r>
        <w:t xml:space="preserve">            $ref: 'TS29571_CommonData.yaml#/components/schemas/Gpsi'</w:t>
      </w:r>
    </w:p>
    <w:p w14:paraId="6E452C4E" w14:textId="77777777" w:rsidR="007862A2" w:rsidRDefault="007862A2" w:rsidP="007862A2">
      <w:pPr>
        <w:pStyle w:val="PL"/>
      </w:pPr>
      <w:r>
        <w:t xml:space="preserve">          minItems: 1</w:t>
      </w:r>
    </w:p>
    <w:p w14:paraId="6EC1B0F5" w14:textId="77777777" w:rsidR="007862A2" w:rsidRDefault="007862A2" w:rsidP="007862A2">
      <w:pPr>
        <w:pStyle w:val="PL"/>
      </w:pPr>
      <w:r>
        <w:t xml:space="preserve">        appVolumes:</w:t>
      </w:r>
    </w:p>
    <w:p w14:paraId="17AE9454" w14:textId="77777777" w:rsidR="007862A2" w:rsidRDefault="007862A2" w:rsidP="007862A2">
      <w:pPr>
        <w:pStyle w:val="PL"/>
      </w:pPr>
      <w:r>
        <w:t xml:space="preserve">          type: array</w:t>
      </w:r>
    </w:p>
    <w:p w14:paraId="1F7D0E98" w14:textId="77777777" w:rsidR="007862A2" w:rsidRDefault="007862A2" w:rsidP="007862A2">
      <w:pPr>
        <w:pStyle w:val="PL"/>
      </w:pPr>
      <w:r>
        <w:t xml:space="preserve">          items:</w:t>
      </w:r>
    </w:p>
    <w:p w14:paraId="1BA599EA" w14:textId="77777777" w:rsidR="007862A2" w:rsidRDefault="007862A2" w:rsidP="007862A2">
      <w:pPr>
        <w:pStyle w:val="PL"/>
      </w:pPr>
      <w:r>
        <w:t xml:space="preserve">            $ref: '#/components/schemas/ApplicationVolume'</w:t>
      </w:r>
    </w:p>
    <w:p w14:paraId="3B0E5E6E" w14:textId="77777777" w:rsidR="007862A2" w:rsidRDefault="007862A2" w:rsidP="007862A2">
      <w:pPr>
        <w:pStyle w:val="PL"/>
      </w:pPr>
      <w:r>
        <w:t xml:space="preserve">          minItems: 1</w:t>
      </w:r>
    </w:p>
    <w:p w14:paraId="3149732F" w14:textId="77777777" w:rsidR="007862A2" w:rsidRDefault="007862A2" w:rsidP="007862A2">
      <w:pPr>
        <w:pStyle w:val="PL"/>
      </w:pPr>
      <w:r>
        <w:t xml:space="preserve">        disperAmount:</w:t>
      </w:r>
    </w:p>
    <w:p w14:paraId="69D4A804" w14:textId="77777777" w:rsidR="007862A2" w:rsidRDefault="007862A2" w:rsidP="007862A2">
      <w:pPr>
        <w:pStyle w:val="PL"/>
      </w:pPr>
      <w:r>
        <w:t xml:space="preserve">          $ref: 'TS29571_CommonData.yaml#/components/schemas/Uinteger'</w:t>
      </w:r>
    </w:p>
    <w:p w14:paraId="1E3E8868" w14:textId="77777777" w:rsidR="007862A2" w:rsidRDefault="007862A2" w:rsidP="007862A2">
      <w:pPr>
        <w:pStyle w:val="PL"/>
      </w:pPr>
      <w:r>
        <w:t xml:space="preserve">        disperClass:</w:t>
      </w:r>
    </w:p>
    <w:p w14:paraId="6003C749" w14:textId="77777777" w:rsidR="007862A2" w:rsidRDefault="007862A2" w:rsidP="007862A2">
      <w:pPr>
        <w:pStyle w:val="PL"/>
      </w:pPr>
      <w:r>
        <w:t xml:space="preserve">          $ref: '#/components/schemas/DispersionClass'</w:t>
      </w:r>
    </w:p>
    <w:p w14:paraId="0C011CA1" w14:textId="77777777" w:rsidR="007862A2" w:rsidRDefault="007862A2" w:rsidP="007862A2">
      <w:pPr>
        <w:pStyle w:val="PL"/>
      </w:pPr>
      <w:r>
        <w:t xml:space="preserve">        usageRank:</w:t>
      </w:r>
    </w:p>
    <w:p w14:paraId="21B40F8D" w14:textId="77777777" w:rsidR="007862A2" w:rsidRDefault="007862A2" w:rsidP="007862A2">
      <w:pPr>
        <w:pStyle w:val="PL"/>
      </w:pPr>
      <w:r>
        <w:t xml:space="preserve">          type: integer</w:t>
      </w:r>
    </w:p>
    <w:p w14:paraId="13C55D81" w14:textId="77777777" w:rsidR="007862A2" w:rsidRDefault="007862A2" w:rsidP="007862A2">
      <w:pPr>
        <w:pStyle w:val="PL"/>
      </w:pPr>
      <w:r>
        <w:t xml:space="preserve">          description: </w:t>
      </w:r>
      <w:r>
        <w:rPr>
          <w:lang w:val="en-IN"/>
        </w:rPr>
        <w:t>Integer where the allowed values correspond to 1, 2, 3 only.</w:t>
      </w:r>
    </w:p>
    <w:p w14:paraId="15A0EA11" w14:textId="77777777" w:rsidR="007862A2" w:rsidRDefault="007862A2" w:rsidP="007862A2">
      <w:pPr>
        <w:pStyle w:val="PL"/>
      </w:pPr>
      <w:r>
        <w:t xml:space="preserve">          minimum: 1</w:t>
      </w:r>
    </w:p>
    <w:p w14:paraId="59405D99" w14:textId="77777777" w:rsidR="007862A2" w:rsidRDefault="007862A2" w:rsidP="007862A2">
      <w:pPr>
        <w:pStyle w:val="PL"/>
      </w:pPr>
      <w:r>
        <w:t xml:space="preserve">          maximum: 3</w:t>
      </w:r>
    </w:p>
    <w:p w14:paraId="1553A51B" w14:textId="77777777" w:rsidR="007862A2" w:rsidRDefault="007862A2" w:rsidP="007862A2">
      <w:pPr>
        <w:pStyle w:val="PL"/>
      </w:pPr>
      <w:r>
        <w:t xml:space="preserve">        percentileRank:</w:t>
      </w:r>
    </w:p>
    <w:p w14:paraId="44F1AD36" w14:textId="77777777" w:rsidR="007862A2" w:rsidRDefault="007862A2" w:rsidP="007862A2">
      <w:pPr>
        <w:pStyle w:val="PL"/>
      </w:pPr>
      <w:r>
        <w:lastRenderedPageBreak/>
        <w:t xml:space="preserve">          $ref: 'TS29571_CommonData.yaml#/components/schemas/SamplingRatio'</w:t>
      </w:r>
    </w:p>
    <w:p w14:paraId="068ED77F" w14:textId="77777777" w:rsidR="007862A2" w:rsidRDefault="007862A2" w:rsidP="007862A2">
      <w:pPr>
        <w:pStyle w:val="PL"/>
      </w:pPr>
      <w:r>
        <w:t xml:space="preserve">        ueRatio:</w:t>
      </w:r>
    </w:p>
    <w:p w14:paraId="30EDE5AD" w14:textId="77777777" w:rsidR="007862A2" w:rsidRDefault="007862A2" w:rsidP="007862A2">
      <w:pPr>
        <w:pStyle w:val="PL"/>
      </w:pPr>
      <w:r>
        <w:t xml:space="preserve">          $ref: 'TS29571_CommonData.yaml#/components/schemas/SamplingRatio'</w:t>
      </w:r>
    </w:p>
    <w:p w14:paraId="3190DCB7" w14:textId="77777777" w:rsidR="007862A2" w:rsidRDefault="007862A2" w:rsidP="007862A2">
      <w:pPr>
        <w:pStyle w:val="PL"/>
      </w:pPr>
      <w:r>
        <w:t xml:space="preserve">        confidence:</w:t>
      </w:r>
    </w:p>
    <w:p w14:paraId="1D701B2B" w14:textId="77777777" w:rsidR="007862A2" w:rsidRDefault="007862A2" w:rsidP="007862A2">
      <w:pPr>
        <w:pStyle w:val="PL"/>
      </w:pPr>
      <w:r>
        <w:t xml:space="preserve">          $ref: 'TS29571_CommonData.yaml#/components/schemas/Uinteger'</w:t>
      </w:r>
    </w:p>
    <w:p w14:paraId="70CF0D6C" w14:textId="77777777" w:rsidR="007862A2" w:rsidRDefault="007862A2" w:rsidP="007862A2">
      <w:pPr>
        <w:pStyle w:val="PL"/>
      </w:pPr>
      <w:r>
        <w:t xml:space="preserve">      allOf:</w:t>
      </w:r>
    </w:p>
    <w:p w14:paraId="5242C90A" w14:textId="77777777" w:rsidR="007862A2" w:rsidRDefault="007862A2" w:rsidP="007862A2">
      <w:pPr>
        <w:pStyle w:val="PL"/>
      </w:pPr>
      <w:r>
        <w:t xml:space="preserve">        - oneOf:</w:t>
      </w:r>
    </w:p>
    <w:p w14:paraId="6727788B" w14:textId="77777777" w:rsidR="007862A2" w:rsidRDefault="007862A2" w:rsidP="007862A2">
      <w:pPr>
        <w:pStyle w:val="PL"/>
      </w:pPr>
      <w:r>
        <w:t xml:space="preserve">          - required: [ueLoc]</w:t>
      </w:r>
    </w:p>
    <w:p w14:paraId="70486C9F" w14:textId="77777777" w:rsidR="007862A2" w:rsidRDefault="007862A2" w:rsidP="007862A2">
      <w:pPr>
        <w:pStyle w:val="PL"/>
      </w:pPr>
      <w:r>
        <w:t xml:space="preserve">          - required: [snssai]</w:t>
      </w:r>
    </w:p>
    <w:p w14:paraId="257C00D5" w14:textId="77777777" w:rsidR="007862A2" w:rsidRDefault="007862A2" w:rsidP="007862A2">
      <w:pPr>
        <w:pStyle w:val="PL"/>
      </w:pPr>
      <w:r>
        <w:t xml:space="preserve">        - anyOf:</w:t>
      </w:r>
    </w:p>
    <w:p w14:paraId="2138A29A" w14:textId="77777777" w:rsidR="007862A2" w:rsidRDefault="007862A2" w:rsidP="007862A2">
      <w:pPr>
        <w:pStyle w:val="PL"/>
      </w:pPr>
      <w:r>
        <w:t xml:space="preserve">          - required: [disperAmount]</w:t>
      </w:r>
    </w:p>
    <w:p w14:paraId="14C2C2C4" w14:textId="77777777" w:rsidR="007862A2" w:rsidRDefault="007862A2" w:rsidP="007862A2">
      <w:pPr>
        <w:pStyle w:val="PL"/>
      </w:pPr>
      <w:r>
        <w:t xml:space="preserve">          - required: [disperClass]</w:t>
      </w:r>
    </w:p>
    <w:p w14:paraId="0EB6A45C" w14:textId="77777777" w:rsidR="007862A2" w:rsidRDefault="007862A2" w:rsidP="007862A2">
      <w:pPr>
        <w:pStyle w:val="PL"/>
      </w:pPr>
      <w:r>
        <w:t xml:space="preserve">          - required: [usageRank]</w:t>
      </w:r>
    </w:p>
    <w:p w14:paraId="0FCC1805" w14:textId="77777777" w:rsidR="007862A2" w:rsidRDefault="007862A2" w:rsidP="007862A2">
      <w:pPr>
        <w:pStyle w:val="PL"/>
      </w:pPr>
      <w:r>
        <w:t xml:space="preserve">          - required: [percentileRank]</w:t>
      </w:r>
    </w:p>
    <w:p w14:paraId="23C22CF1" w14:textId="77777777" w:rsidR="007862A2" w:rsidRDefault="007862A2" w:rsidP="007862A2">
      <w:pPr>
        <w:pStyle w:val="PL"/>
      </w:pPr>
    </w:p>
    <w:p w14:paraId="6B42EB12" w14:textId="77777777" w:rsidR="007862A2" w:rsidRDefault="007862A2" w:rsidP="007862A2">
      <w:pPr>
        <w:pStyle w:val="PL"/>
      </w:pPr>
      <w:r>
        <w:t xml:space="preserve">    ApplicationVolume:</w:t>
      </w:r>
    </w:p>
    <w:p w14:paraId="0141035C" w14:textId="77777777" w:rsidR="007862A2" w:rsidRDefault="007862A2" w:rsidP="007862A2">
      <w:pPr>
        <w:pStyle w:val="PL"/>
      </w:pPr>
      <w:r>
        <w:t xml:space="preserve">      description: Application data volume per Application Id.</w:t>
      </w:r>
    </w:p>
    <w:p w14:paraId="362A909A" w14:textId="77777777" w:rsidR="007862A2" w:rsidRDefault="007862A2" w:rsidP="007862A2">
      <w:pPr>
        <w:pStyle w:val="PL"/>
      </w:pPr>
      <w:r>
        <w:t xml:space="preserve">      type: object</w:t>
      </w:r>
    </w:p>
    <w:p w14:paraId="19FA35EC" w14:textId="77777777" w:rsidR="007862A2" w:rsidRDefault="007862A2" w:rsidP="007862A2">
      <w:pPr>
        <w:pStyle w:val="PL"/>
      </w:pPr>
      <w:r>
        <w:t xml:space="preserve">      properties:</w:t>
      </w:r>
    </w:p>
    <w:p w14:paraId="2EF352BC" w14:textId="77777777" w:rsidR="007862A2" w:rsidRDefault="007862A2" w:rsidP="007862A2">
      <w:pPr>
        <w:pStyle w:val="PL"/>
      </w:pPr>
      <w:r>
        <w:t xml:space="preserve">        appId:</w:t>
      </w:r>
    </w:p>
    <w:p w14:paraId="47B9D262" w14:textId="77777777" w:rsidR="007862A2" w:rsidRDefault="007862A2" w:rsidP="007862A2">
      <w:pPr>
        <w:pStyle w:val="PL"/>
      </w:pPr>
      <w:r>
        <w:t xml:space="preserve">          $ref: 'TS29571_CommonData.yaml#/components/schemas/ApplicationId'</w:t>
      </w:r>
    </w:p>
    <w:p w14:paraId="3EC8DC82" w14:textId="77777777" w:rsidR="007862A2" w:rsidRDefault="007862A2" w:rsidP="007862A2">
      <w:pPr>
        <w:pStyle w:val="PL"/>
      </w:pPr>
      <w:r>
        <w:t xml:space="preserve">        appVolume:</w:t>
      </w:r>
    </w:p>
    <w:p w14:paraId="3AC03813" w14:textId="77777777" w:rsidR="007862A2" w:rsidRDefault="007862A2" w:rsidP="007862A2">
      <w:pPr>
        <w:pStyle w:val="PL"/>
      </w:pPr>
      <w:r>
        <w:t xml:space="preserve">          $ref: 'TS29122_CommonData.yaml#/components/schemas/Volume'</w:t>
      </w:r>
    </w:p>
    <w:p w14:paraId="7B340A5D" w14:textId="77777777" w:rsidR="007862A2" w:rsidRDefault="007862A2" w:rsidP="007862A2">
      <w:pPr>
        <w:pStyle w:val="PL"/>
      </w:pPr>
      <w:r>
        <w:t xml:space="preserve">      required:</w:t>
      </w:r>
    </w:p>
    <w:p w14:paraId="167E8D58" w14:textId="77777777" w:rsidR="007862A2" w:rsidRDefault="007862A2" w:rsidP="007862A2">
      <w:pPr>
        <w:pStyle w:val="PL"/>
      </w:pPr>
      <w:r>
        <w:t xml:space="preserve">        - appId</w:t>
      </w:r>
    </w:p>
    <w:p w14:paraId="100130AE" w14:textId="77777777" w:rsidR="007862A2" w:rsidRDefault="007862A2" w:rsidP="007862A2">
      <w:pPr>
        <w:pStyle w:val="PL"/>
        <w:rPr>
          <w:rFonts w:cs="Courier New"/>
          <w:szCs w:val="16"/>
        </w:rPr>
      </w:pPr>
      <w:r>
        <w:t xml:space="preserve">        - appVolume</w:t>
      </w:r>
    </w:p>
    <w:p w14:paraId="18B5302C" w14:textId="77777777" w:rsidR="007862A2" w:rsidRDefault="007862A2" w:rsidP="007862A2">
      <w:pPr>
        <w:pStyle w:val="PL"/>
      </w:pPr>
    </w:p>
    <w:p w14:paraId="7A05BADC" w14:textId="77777777" w:rsidR="007862A2" w:rsidRDefault="007862A2" w:rsidP="007862A2">
      <w:pPr>
        <w:pStyle w:val="PL"/>
      </w:pPr>
      <w:r>
        <w:t xml:space="preserve">    RedundantTransmissionExpReq:</w:t>
      </w:r>
    </w:p>
    <w:p w14:paraId="48DE7093" w14:textId="77777777" w:rsidR="007862A2" w:rsidRDefault="007862A2" w:rsidP="007862A2">
      <w:pPr>
        <w:pStyle w:val="PL"/>
      </w:pPr>
      <w:r>
        <w:t xml:space="preserve">      description: Represents other redundant transmission experience analytics requirements.</w:t>
      </w:r>
    </w:p>
    <w:p w14:paraId="18918B8D" w14:textId="77777777" w:rsidR="007862A2" w:rsidRDefault="007862A2" w:rsidP="007862A2">
      <w:pPr>
        <w:pStyle w:val="PL"/>
      </w:pPr>
      <w:r>
        <w:t xml:space="preserve">      type: object</w:t>
      </w:r>
    </w:p>
    <w:p w14:paraId="22A35307" w14:textId="77777777" w:rsidR="007862A2" w:rsidRDefault="007862A2" w:rsidP="007862A2">
      <w:pPr>
        <w:pStyle w:val="PL"/>
      </w:pPr>
      <w:r>
        <w:t xml:space="preserve">      properties:</w:t>
      </w:r>
    </w:p>
    <w:p w14:paraId="6EB4ECDC" w14:textId="77777777" w:rsidR="007862A2" w:rsidRDefault="007862A2" w:rsidP="007862A2">
      <w:pPr>
        <w:pStyle w:val="PL"/>
      </w:pPr>
      <w:r>
        <w:t xml:space="preserve">        redTOrderCriter:</w:t>
      </w:r>
    </w:p>
    <w:p w14:paraId="2DEFB267" w14:textId="77777777" w:rsidR="007862A2" w:rsidRDefault="007862A2" w:rsidP="007862A2">
      <w:pPr>
        <w:pStyle w:val="PL"/>
      </w:pPr>
      <w:r>
        <w:t xml:space="preserve">          $ref: '#/components/schemas/RedTransExpOrderingCriterion'</w:t>
      </w:r>
    </w:p>
    <w:p w14:paraId="5F9BE445" w14:textId="77777777" w:rsidR="007862A2" w:rsidRDefault="007862A2" w:rsidP="007862A2">
      <w:pPr>
        <w:pStyle w:val="PL"/>
      </w:pPr>
      <w:r>
        <w:t xml:space="preserve">        order:</w:t>
      </w:r>
    </w:p>
    <w:p w14:paraId="7A911683" w14:textId="77777777" w:rsidR="007862A2" w:rsidRDefault="007862A2" w:rsidP="007862A2">
      <w:pPr>
        <w:pStyle w:val="PL"/>
      </w:pPr>
      <w:r>
        <w:t xml:space="preserve">          $ref: '#/components/schemas/MatchingDirection'</w:t>
      </w:r>
    </w:p>
    <w:p w14:paraId="2B198B90" w14:textId="77777777" w:rsidR="007862A2" w:rsidRDefault="007862A2" w:rsidP="007862A2">
      <w:pPr>
        <w:pStyle w:val="PL"/>
      </w:pPr>
    </w:p>
    <w:p w14:paraId="0E0BE36A" w14:textId="77777777" w:rsidR="007862A2" w:rsidRDefault="007862A2" w:rsidP="007862A2">
      <w:pPr>
        <w:pStyle w:val="PL"/>
      </w:pPr>
      <w:r>
        <w:t xml:space="preserve">    RedundantTransmissionExpInfo:</w:t>
      </w:r>
    </w:p>
    <w:p w14:paraId="792013A6" w14:textId="77777777" w:rsidR="007862A2" w:rsidRDefault="007862A2" w:rsidP="007862A2">
      <w:pPr>
        <w:pStyle w:val="PL"/>
      </w:pPr>
      <w:r>
        <w:t xml:space="preserve">      description: &gt;</w:t>
      </w:r>
    </w:p>
    <w:p w14:paraId="5E9EC5B5" w14:textId="77777777" w:rsidR="007862A2" w:rsidRDefault="007862A2" w:rsidP="007862A2">
      <w:pPr>
        <w:pStyle w:val="PL"/>
      </w:pPr>
      <w:r>
        <w:t xml:space="preserve">        The redundant transmission experience related information. When subscribed event is</w:t>
      </w:r>
    </w:p>
    <w:p w14:paraId="0C139B15" w14:textId="77777777" w:rsidR="007862A2" w:rsidRDefault="007862A2" w:rsidP="007862A2">
      <w:pPr>
        <w:pStyle w:val="PL"/>
      </w:pPr>
      <w:r>
        <w:t xml:space="preserve">        "RED_TRANS_EXP", the "redTransInfos" attribute shall be included.</w:t>
      </w:r>
    </w:p>
    <w:p w14:paraId="67311E70" w14:textId="77777777" w:rsidR="007862A2" w:rsidRDefault="007862A2" w:rsidP="007862A2">
      <w:pPr>
        <w:pStyle w:val="PL"/>
      </w:pPr>
      <w:r>
        <w:t xml:space="preserve">      type: object</w:t>
      </w:r>
    </w:p>
    <w:p w14:paraId="62699629" w14:textId="77777777" w:rsidR="007862A2" w:rsidRDefault="007862A2" w:rsidP="007862A2">
      <w:pPr>
        <w:pStyle w:val="PL"/>
      </w:pPr>
      <w:r>
        <w:t xml:space="preserve">      properties:</w:t>
      </w:r>
    </w:p>
    <w:p w14:paraId="07B29D2E" w14:textId="77777777" w:rsidR="007862A2" w:rsidRDefault="007862A2" w:rsidP="007862A2">
      <w:pPr>
        <w:pStyle w:val="PL"/>
      </w:pPr>
      <w:r>
        <w:t xml:space="preserve">        spatialValidCon:</w:t>
      </w:r>
    </w:p>
    <w:p w14:paraId="6A44B1F8" w14:textId="77777777" w:rsidR="007862A2" w:rsidRDefault="007862A2" w:rsidP="007862A2">
      <w:pPr>
        <w:pStyle w:val="PL"/>
      </w:pPr>
      <w:r>
        <w:t xml:space="preserve">          $ref: 'TS29554_Npcf_BDTPolicyControl.yaml#/components/schemas/NetworkAreaInfo'</w:t>
      </w:r>
    </w:p>
    <w:p w14:paraId="686C6323" w14:textId="77777777" w:rsidR="007862A2" w:rsidRDefault="007862A2" w:rsidP="007862A2">
      <w:pPr>
        <w:pStyle w:val="PL"/>
      </w:pPr>
      <w:r>
        <w:t xml:space="preserve">        dnn:</w:t>
      </w:r>
    </w:p>
    <w:p w14:paraId="21243312" w14:textId="77777777" w:rsidR="007862A2" w:rsidRDefault="007862A2" w:rsidP="007862A2">
      <w:pPr>
        <w:pStyle w:val="PL"/>
      </w:pPr>
      <w:r>
        <w:t xml:space="preserve">          $ref: 'TS29571_CommonData.yaml#/components/schemas/Dnn'</w:t>
      </w:r>
    </w:p>
    <w:p w14:paraId="04C80EF6" w14:textId="77777777" w:rsidR="007862A2" w:rsidRDefault="007862A2" w:rsidP="007862A2">
      <w:pPr>
        <w:pStyle w:val="PL"/>
      </w:pPr>
      <w:r>
        <w:t xml:space="preserve">        redTransExps:</w:t>
      </w:r>
    </w:p>
    <w:p w14:paraId="09F2A98B" w14:textId="77777777" w:rsidR="007862A2" w:rsidRDefault="007862A2" w:rsidP="007862A2">
      <w:pPr>
        <w:pStyle w:val="PL"/>
      </w:pPr>
      <w:r>
        <w:t xml:space="preserve">          type: array</w:t>
      </w:r>
    </w:p>
    <w:p w14:paraId="3D5EF97C" w14:textId="77777777" w:rsidR="007862A2" w:rsidRDefault="007862A2" w:rsidP="007862A2">
      <w:pPr>
        <w:pStyle w:val="PL"/>
      </w:pPr>
      <w:r>
        <w:t xml:space="preserve">          items:</w:t>
      </w:r>
    </w:p>
    <w:p w14:paraId="7F95E887" w14:textId="77777777" w:rsidR="007862A2" w:rsidRDefault="007862A2" w:rsidP="007862A2">
      <w:pPr>
        <w:pStyle w:val="PL"/>
      </w:pPr>
      <w:r>
        <w:t xml:space="preserve">            $ref: '#/components/schemas/RedundantTransmissionExpPerTS'</w:t>
      </w:r>
    </w:p>
    <w:p w14:paraId="3506851F" w14:textId="77777777" w:rsidR="007862A2" w:rsidRDefault="007862A2" w:rsidP="007862A2">
      <w:pPr>
        <w:pStyle w:val="PL"/>
      </w:pPr>
      <w:r>
        <w:t xml:space="preserve">          minItems: 1</w:t>
      </w:r>
    </w:p>
    <w:p w14:paraId="562DB653" w14:textId="77777777" w:rsidR="007862A2" w:rsidRDefault="007862A2" w:rsidP="007862A2">
      <w:pPr>
        <w:pStyle w:val="PL"/>
      </w:pPr>
      <w:r>
        <w:t xml:space="preserve">      required:</w:t>
      </w:r>
    </w:p>
    <w:p w14:paraId="32B8739B" w14:textId="77777777" w:rsidR="007862A2" w:rsidRDefault="007862A2" w:rsidP="007862A2">
      <w:pPr>
        <w:pStyle w:val="PL"/>
      </w:pPr>
      <w:r>
        <w:t xml:space="preserve">        - redTransExps</w:t>
      </w:r>
    </w:p>
    <w:p w14:paraId="6937D8E6" w14:textId="77777777" w:rsidR="007862A2" w:rsidRDefault="007862A2" w:rsidP="007862A2">
      <w:pPr>
        <w:pStyle w:val="PL"/>
      </w:pPr>
    </w:p>
    <w:p w14:paraId="1E88D65C" w14:textId="77777777" w:rsidR="007862A2" w:rsidRDefault="007862A2" w:rsidP="007862A2">
      <w:pPr>
        <w:pStyle w:val="PL"/>
      </w:pPr>
      <w:r>
        <w:t xml:space="preserve">    RedundantTransmissionExpPerTS:</w:t>
      </w:r>
    </w:p>
    <w:p w14:paraId="029442FE" w14:textId="77777777" w:rsidR="007862A2" w:rsidRDefault="007862A2" w:rsidP="007862A2">
      <w:pPr>
        <w:pStyle w:val="PL"/>
      </w:pPr>
      <w:r>
        <w:t xml:space="preserve">      description: The redundant transmission experience per Time Slot.</w:t>
      </w:r>
    </w:p>
    <w:p w14:paraId="0CDACD43" w14:textId="77777777" w:rsidR="007862A2" w:rsidRDefault="007862A2" w:rsidP="007862A2">
      <w:pPr>
        <w:pStyle w:val="PL"/>
      </w:pPr>
      <w:r>
        <w:t xml:space="preserve">      type: object</w:t>
      </w:r>
    </w:p>
    <w:p w14:paraId="410145A7" w14:textId="77777777" w:rsidR="007862A2" w:rsidRDefault="007862A2" w:rsidP="007862A2">
      <w:pPr>
        <w:pStyle w:val="PL"/>
      </w:pPr>
      <w:r>
        <w:t xml:space="preserve">      properties:</w:t>
      </w:r>
    </w:p>
    <w:p w14:paraId="68D9FEFC" w14:textId="77777777" w:rsidR="007862A2" w:rsidRDefault="007862A2" w:rsidP="007862A2">
      <w:pPr>
        <w:pStyle w:val="PL"/>
      </w:pPr>
      <w:r>
        <w:t xml:space="preserve">        tsStart:</w:t>
      </w:r>
    </w:p>
    <w:p w14:paraId="0E17E69C" w14:textId="77777777" w:rsidR="007862A2" w:rsidRDefault="007862A2" w:rsidP="007862A2">
      <w:pPr>
        <w:pStyle w:val="PL"/>
      </w:pPr>
      <w:r>
        <w:t xml:space="preserve">          $ref: 'TS29571_CommonData.yaml#/components/schemas/DateTime'</w:t>
      </w:r>
    </w:p>
    <w:p w14:paraId="45F6B913" w14:textId="77777777" w:rsidR="007862A2" w:rsidRDefault="007862A2" w:rsidP="007862A2">
      <w:pPr>
        <w:pStyle w:val="PL"/>
      </w:pPr>
      <w:r>
        <w:t xml:space="preserve">        tsDuration:</w:t>
      </w:r>
    </w:p>
    <w:p w14:paraId="2526F5E8" w14:textId="77777777" w:rsidR="007862A2" w:rsidRDefault="007862A2" w:rsidP="007862A2">
      <w:pPr>
        <w:pStyle w:val="PL"/>
      </w:pPr>
      <w:r>
        <w:t xml:space="preserve">          $ref: 'TS29571_CommonData.yaml#/components/schemas/DurationSec'</w:t>
      </w:r>
    </w:p>
    <w:p w14:paraId="62B47D40" w14:textId="77777777" w:rsidR="007862A2" w:rsidRDefault="007862A2" w:rsidP="007862A2">
      <w:pPr>
        <w:pStyle w:val="PL"/>
      </w:pPr>
      <w:r>
        <w:t xml:space="preserve">        obsvRedTransExp:</w:t>
      </w:r>
    </w:p>
    <w:p w14:paraId="4135F464" w14:textId="77777777" w:rsidR="007862A2" w:rsidRDefault="007862A2" w:rsidP="007862A2">
      <w:pPr>
        <w:pStyle w:val="PL"/>
      </w:pPr>
      <w:r>
        <w:t xml:space="preserve">          $ref: '#/components/schemas/ObservedRedundantTransExp'</w:t>
      </w:r>
    </w:p>
    <w:p w14:paraId="4DED68A2" w14:textId="77777777" w:rsidR="007862A2" w:rsidRDefault="007862A2" w:rsidP="007862A2">
      <w:pPr>
        <w:pStyle w:val="PL"/>
      </w:pPr>
      <w:r>
        <w:t xml:space="preserve">        </w:t>
      </w:r>
      <w:r>
        <w:rPr>
          <w:lang w:eastAsia="zh-CN"/>
        </w:rPr>
        <w:t>redTransStatus</w:t>
      </w:r>
      <w:r>
        <w:t>:</w:t>
      </w:r>
    </w:p>
    <w:p w14:paraId="27D3F38F" w14:textId="77777777" w:rsidR="007862A2" w:rsidRDefault="007862A2" w:rsidP="007862A2">
      <w:pPr>
        <w:pStyle w:val="PL"/>
      </w:pPr>
      <w:r>
        <w:t xml:space="preserve">          type: boolean</w:t>
      </w:r>
    </w:p>
    <w:p w14:paraId="09336D39" w14:textId="77777777" w:rsidR="007862A2" w:rsidRDefault="007862A2" w:rsidP="007862A2">
      <w:pPr>
        <w:pStyle w:val="PL"/>
      </w:pPr>
      <w:r>
        <w:t xml:space="preserve">          description: &gt;</w:t>
      </w:r>
    </w:p>
    <w:p w14:paraId="14F1E6FF" w14:textId="77777777" w:rsidR="007862A2" w:rsidRDefault="007862A2" w:rsidP="007862A2">
      <w:pPr>
        <w:pStyle w:val="PL"/>
        <w:rPr>
          <w:lang w:eastAsia="zh-CN"/>
        </w:rPr>
      </w:pPr>
      <w:r>
        <w:t xml:space="preserve">            Redundant Transmission Status</w:t>
      </w:r>
      <w:r>
        <w:rPr>
          <w:lang w:eastAsia="zh-CN"/>
        </w:rPr>
        <w:t xml:space="preserve">. Set to </w:t>
      </w:r>
      <w:r>
        <w:t>"true" if redundant transmission was activated</w:t>
      </w:r>
      <w:r>
        <w:rPr>
          <w:lang w:eastAsia="zh-CN"/>
        </w:rPr>
        <w:t>,</w:t>
      </w:r>
    </w:p>
    <w:p w14:paraId="1F377C76" w14:textId="77777777" w:rsidR="007862A2" w:rsidRDefault="007862A2" w:rsidP="007862A2">
      <w:pPr>
        <w:pStyle w:val="PL"/>
      </w:pPr>
      <w:r>
        <w:rPr>
          <w:lang w:eastAsia="zh-CN"/>
        </w:rPr>
        <w:t xml:space="preserve"> </w:t>
      </w:r>
      <w:r>
        <w:t xml:space="preserve">           </w:t>
      </w:r>
      <w:r>
        <w:rPr>
          <w:lang w:eastAsia="zh-CN"/>
        </w:rPr>
        <w:t xml:space="preserve">otherwise set to </w:t>
      </w:r>
      <w:r>
        <w:t>"false". Default value is "false" if omitted.</w:t>
      </w:r>
    </w:p>
    <w:p w14:paraId="2EAE7AB5" w14:textId="77777777" w:rsidR="007862A2" w:rsidRDefault="007862A2" w:rsidP="007862A2">
      <w:pPr>
        <w:pStyle w:val="PL"/>
      </w:pPr>
      <w:r>
        <w:t xml:space="preserve">        ueRatio:</w:t>
      </w:r>
    </w:p>
    <w:p w14:paraId="76A6424C" w14:textId="77777777" w:rsidR="007862A2" w:rsidRDefault="007862A2" w:rsidP="007862A2">
      <w:pPr>
        <w:pStyle w:val="PL"/>
      </w:pPr>
      <w:r>
        <w:t xml:space="preserve">          $ref: 'TS29571_CommonData.yaml#/components/schemas/SamplingRatio'</w:t>
      </w:r>
    </w:p>
    <w:p w14:paraId="634A67ED" w14:textId="77777777" w:rsidR="007862A2" w:rsidRDefault="007862A2" w:rsidP="007862A2">
      <w:pPr>
        <w:pStyle w:val="PL"/>
      </w:pPr>
      <w:r>
        <w:t xml:space="preserve">        confidence:</w:t>
      </w:r>
    </w:p>
    <w:p w14:paraId="3881D4ED" w14:textId="77777777" w:rsidR="007862A2" w:rsidRDefault="007862A2" w:rsidP="007862A2">
      <w:pPr>
        <w:pStyle w:val="PL"/>
      </w:pPr>
      <w:r>
        <w:t xml:space="preserve">          $ref: 'TS29571_CommonData.yaml#/components/schemas/Uinteger'</w:t>
      </w:r>
    </w:p>
    <w:p w14:paraId="67D25C2A" w14:textId="77777777" w:rsidR="007862A2" w:rsidRDefault="007862A2" w:rsidP="007862A2">
      <w:pPr>
        <w:pStyle w:val="PL"/>
      </w:pPr>
      <w:r>
        <w:t xml:space="preserve">      required:</w:t>
      </w:r>
    </w:p>
    <w:p w14:paraId="0C26AFD2" w14:textId="77777777" w:rsidR="007862A2" w:rsidRDefault="007862A2" w:rsidP="007862A2">
      <w:pPr>
        <w:pStyle w:val="PL"/>
      </w:pPr>
      <w:r>
        <w:t xml:space="preserve">        - tsStart</w:t>
      </w:r>
    </w:p>
    <w:p w14:paraId="4333C8BB" w14:textId="77777777" w:rsidR="007862A2" w:rsidRDefault="007862A2" w:rsidP="007862A2">
      <w:pPr>
        <w:pStyle w:val="PL"/>
      </w:pPr>
      <w:r>
        <w:t xml:space="preserve">        - tsDuration</w:t>
      </w:r>
    </w:p>
    <w:p w14:paraId="34A885AD" w14:textId="77777777" w:rsidR="007862A2" w:rsidRDefault="007862A2" w:rsidP="007862A2">
      <w:pPr>
        <w:pStyle w:val="PL"/>
      </w:pPr>
      <w:r>
        <w:t xml:space="preserve">        - obsvRedTransExp</w:t>
      </w:r>
    </w:p>
    <w:p w14:paraId="401D0C39" w14:textId="77777777" w:rsidR="007862A2" w:rsidRDefault="007862A2" w:rsidP="007862A2">
      <w:pPr>
        <w:pStyle w:val="PL"/>
      </w:pPr>
      <w:r>
        <w:t xml:space="preserve">    ObservedRedundantTransExp:</w:t>
      </w:r>
    </w:p>
    <w:p w14:paraId="356AC066" w14:textId="77777777" w:rsidR="007862A2" w:rsidRDefault="007862A2" w:rsidP="007862A2">
      <w:pPr>
        <w:pStyle w:val="PL"/>
      </w:pPr>
      <w:r>
        <w:lastRenderedPageBreak/>
        <w:t xml:space="preserve">      description: Represents the observed redundant transmission experience related information.</w:t>
      </w:r>
    </w:p>
    <w:p w14:paraId="5B63CCCA" w14:textId="77777777" w:rsidR="007862A2" w:rsidRDefault="007862A2" w:rsidP="007862A2">
      <w:pPr>
        <w:pStyle w:val="PL"/>
      </w:pPr>
      <w:r>
        <w:t xml:space="preserve">      type: object</w:t>
      </w:r>
    </w:p>
    <w:p w14:paraId="1EB44304" w14:textId="77777777" w:rsidR="007862A2" w:rsidRDefault="007862A2" w:rsidP="007862A2">
      <w:pPr>
        <w:pStyle w:val="PL"/>
      </w:pPr>
      <w:r>
        <w:t xml:space="preserve">      properties:</w:t>
      </w:r>
    </w:p>
    <w:p w14:paraId="047BBDEF" w14:textId="77777777" w:rsidR="007862A2" w:rsidRDefault="007862A2" w:rsidP="007862A2">
      <w:pPr>
        <w:pStyle w:val="PL"/>
      </w:pPr>
      <w:r>
        <w:t xml:space="preserve">        </w:t>
      </w:r>
      <w:r>
        <w:rPr>
          <w:lang w:eastAsia="zh-CN"/>
        </w:rPr>
        <w:t>avgPktDropRateUl</w:t>
      </w:r>
      <w:r>
        <w:t>:</w:t>
      </w:r>
    </w:p>
    <w:p w14:paraId="1A322642"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10F280CE" w14:textId="77777777" w:rsidR="007862A2" w:rsidRDefault="007862A2" w:rsidP="007862A2">
      <w:pPr>
        <w:pStyle w:val="PL"/>
        <w:rPr>
          <w:lang w:eastAsia="zh-CN"/>
        </w:rPr>
      </w:pPr>
      <w:r>
        <w:t xml:space="preserve">        varPktDropRateUl</w:t>
      </w:r>
      <w:r>
        <w:rPr>
          <w:lang w:eastAsia="zh-CN"/>
        </w:rPr>
        <w:t>:</w:t>
      </w:r>
    </w:p>
    <w:p w14:paraId="4244159C" w14:textId="77777777" w:rsidR="007862A2" w:rsidRDefault="007862A2" w:rsidP="007862A2">
      <w:pPr>
        <w:pStyle w:val="PL"/>
      </w:pPr>
      <w:r>
        <w:t xml:space="preserve">          $ref: 'TS29571_CommonData.yaml#/components/schemas/Float'</w:t>
      </w:r>
    </w:p>
    <w:p w14:paraId="48FDD30B" w14:textId="77777777" w:rsidR="007862A2" w:rsidRDefault="007862A2" w:rsidP="007862A2">
      <w:pPr>
        <w:pStyle w:val="PL"/>
        <w:rPr>
          <w:lang w:eastAsia="zh-CN"/>
        </w:rPr>
      </w:pPr>
      <w:r>
        <w:t xml:space="preserve">        </w:t>
      </w:r>
      <w:r>
        <w:rPr>
          <w:lang w:eastAsia="zh-CN"/>
        </w:rPr>
        <w:t>avgPktDropRateDl:</w:t>
      </w:r>
    </w:p>
    <w:p w14:paraId="4C9630E0"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38DDE016" w14:textId="77777777" w:rsidR="007862A2" w:rsidRDefault="007862A2" w:rsidP="007862A2">
      <w:pPr>
        <w:pStyle w:val="PL"/>
        <w:rPr>
          <w:lang w:eastAsia="zh-CN"/>
        </w:rPr>
      </w:pPr>
      <w:r>
        <w:t xml:space="preserve">        varPktDropRateDl</w:t>
      </w:r>
      <w:r>
        <w:rPr>
          <w:lang w:eastAsia="zh-CN"/>
        </w:rPr>
        <w:t>:</w:t>
      </w:r>
    </w:p>
    <w:p w14:paraId="32EA763F" w14:textId="77777777" w:rsidR="007862A2" w:rsidRDefault="007862A2" w:rsidP="007862A2">
      <w:pPr>
        <w:pStyle w:val="PL"/>
      </w:pPr>
      <w:r>
        <w:t xml:space="preserve">          $ref: 'TS29571_CommonData.yaml#/components/schemas/Float'</w:t>
      </w:r>
    </w:p>
    <w:p w14:paraId="67C728F3" w14:textId="77777777" w:rsidR="007862A2" w:rsidRDefault="007862A2" w:rsidP="007862A2">
      <w:pPr>
        <w:pStyle w:val="PL"/>
        <w:rPr>
          <w:lang w:eastAsia="zh-CN"/>
        </w:rPr>
      </w:pPr>
      <w:r>
        <w:t xml:space="preserve">        </w:t>
      </w:r>
      <w:r>
        <w:rPr>
          <w:lang w:eastAsia="zh-CN"/>
        </w:rPr>
        <w:t>avgPktDelayUl:</w:t>
      </w:r>
    </w:p>
    <w:p w14:paraId="5E7AD8DA"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29DE1696" w14:textId="77777777" w:rsidR="007862A2" w:rsidRDefault="007862A2" w:rsidP="007862A2">
      <w:pPr>
        <w:pStyle w:val="PL"/>
        <w:rPr>
          <w:lang w:eastAsia="zh-CN"/>
        </w:rPr>
      </w:pPr>
      <w:r>
        <w:t xml:space="preserve">        </w:t>
      </w:r>
      <w:r>
        <w:rPr>
          <w:lang w:eastAsia="zh-CN"/>
        </w:rPr>
        <w:t>varPktDelayUl:</w:t>
      </w:r>
    </w:p>
    <w:p w14:paraId="481547D7" w14:textId="77777777" w:rsidR="007862A2" w:rsidRDefault="007862A2" w:rsidP="007862A2">
      <w:pPr>
        <w:pStyle w:val="PL"/>
      </w:pPr>
      <w:r>
        <w:t xml:space="preserve">          $ref: 'TS29571_CommonData.yaml#/components/schemas/Float'</w:t>
      </w:r>
    </w:p>
    <w:p w14:paraId="7371EAA7" w14:textId="77777777" w:rsidR="007862A2" w:rsidRDefault="007862A2" w:rsidP="007862A2">
      <w:pPr>
        <w:pStyle w:val="PL"/>
        <w:rPr>
          <w:lang w:eastAsia="zh-CN"/>
        </w:rPr>
      </w:pPr>
      <w:r>
        <w:t xml:space="preserve">        </w:t>
      </w:r>
      <w:r>
        <w:rPr>
          <w:lang w:eastAsia="zh-CN"/>
        </w:rPr>
        <w:t>avgPktDelayDl:</w:t>
      </w:r>
    </w:p>
    <w:p w14:paraId="744409EB"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713D62F2" w14:textId="77777777" w:rsidR="007862A2" w:rsidRDefault="007862A2" w:rsidP="007862A2">
      <w:pPr>
        <w:pStyle w:val="PL"/>
        <w:rPr>
          <w:lang w:eastAsia="zh-CN"/>
        </w:rPr>
      </w:pPr>
      <w:r>
        <w:t xml:space="preserve">        </w:t>
      </w:r>
      <w:r>
        <w:rPr>
          <w:lang w:eastAsia="zh-CN"/>
        </w:rPr>
        <w:t>varPktDelayDl:</w:t>
      </w:r>
    </w:p>
    <w:p w14:paraId="5B09D161" w14:textId="77777777" w:rsidR="007862A2" w:rsidRDefault="007862A2" w:rsidP="007862A2">
      <w:pPr>
        <w:pStyle w:val="PL"/>
      </w:pPr>
      <w:r>
        <w:t xml:space="preserve">          $ref: 'TS29571_CommonData.yaml#/components/schemas/Float'</w:t>
      </w:r>
    </w:p>
    <w:p w14:paraId="22B24CA2" w14:textId="77777777" w:rsidR="007862A2" w:rsidRDefault="007862A2" w:rsidP="007862A2">
      <w:pPr>
        <w:pStyle w:val="PL"/>
        <w:rPr>
          <w:lang w:eastAsia="zh-CN"/>
        </w:rPr>
      </w:pPr>
      <w:r>
        <w:t xml:space="preserve">        </w:t>
      </w:r>
      <w:r>
        <w:rPr>
          <w:lang w:eastAsia="zh-CN"/>
        </w:rPr>
        <w:t>avgE2ePktDelayUl:</w:t>
      </w:r>
    </w:p>
    <w:p w14:paraId="2D32A6E3"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0B39299C" w14:textId="77777777" w:rsidR="007862A2" w:rsidRDefault="007862A2" w:rsidP="007862A2">
      <w:pPr>
        <w:pStyle w:val="PL"/>
        <w:rPr>
          <w:lang w:eastAsia="zh-CN"/>
        </w:rPr>
      </w:pPr>
      <w:r>
        <w:t xml:space="preserve">        </w:t>
      </w:r>
      <w:r>
        <w:rPr>
          <w:lang w:eastAsia="zh-CN"/>
        </w:rPr>
        <w:t>varE2ePktDelayUl:</w:t>
      </w:r>
    </w:p>
    <w:p w14:paraId="2AFE02AA" w14:textId="77777777" w:rsidR="007862A2" w:rsidRDefault="007862A2" w:rsidP="007862A2">
      <w:pPr>
        <w:pStyle w:val="PL"/>
      </w:pPr>
      <w:r>
        <w:t xml:space="preserve">          $ref: 'TS29571_CommonData.yaml#/components/schemas/Float'</w:t>
      </w:r>
    </w:p>
    <w:p w14:paraId="6DB9080D" w14:textId="77777777" w:rsidR="007862A2" w:rsidRDefault="007862A2" w:rsidP="007862A2">
      <w:pPr>
        <w:pStyle w:val="PL"/>
        <w:rPr>
          <w:lang w:eastAsia="zh-CN"/>
        </w:rPr>
      </w:pPr>
      <w:r>
        <w:t xml:space="preserve">        </w:t>
      </w:r>
      <w:r>
        <w:rPr>
          <w:lang w:eastAsia="zh-CN"/>
        </w:rPr>
        <w:t>avgE2ePktDelayDl:</w:t>
      </w:r>
    </w:p>
    <w:p w14:paraId="6E76C1D2" w14:textId="77777777" w:rsidR="007862A2" w:rsidRDefault="007862A2" w:rsidP="007862A2">
      <w:pPr>
        <w:pStyle w:val="PL"/>
      </w:pPr>
      <w:r>
        <w:t xml:space="preserve">          </w:t>
      </w:r>
      <w:r>
        <w:rPr>
          <w:lang w:val="en-US" w:eastAsia="es-ES"/>
        </w:rPr>
        <w:t>$ref: 'TS29571_CommonData.yaml#/components/schemas/</w:t>
      </w:r>
      <w:r>
        <w:t>PacketDelBudget</w:t>
      </w:r>
      <w:r>
        <w:rPr>
          <w:lang w:val="en-US" w:eastAsia="es-ES"/>
        </w:rPr>
        <w:t>'</w:t>
      </w:r>
    </w:p>
    <w:p w14:paraId="5CF69318" w14:textId="77777777" w:rsidR="007862A2" w:rsidRDefault="007862A2" w:rsidP="007862A2">
      <w:pPr>
        <w:pStyle w:val="PL"/>
        <w:rPr>
          <w:lang w:eastAsia="zh-CN"/>
        </w:rPr>
      </w:pPr>
      <w:r>
        <w:t xml:space="preserve">        </w:t>
      </w:r>
      <w:r>
        <w:rPr>
          <w:lang w:eastAsia="zh-CN"/>
        </w:rPr>
        <w:t>varE2ePktDelayDl:</w:t>
      </w:r>
    </w:p>
    <w:p w14:paraId="7A75D8A8" w14:textId="77777777" w:rsidR="007862A2" w:rsidRDefault="007862A2" w:rsidP="007862A2">
      <w:pPr>
        <w:pStyle w:val="PL"/>
      </w:pPr>
      <w:r>
        <w:t xml:space="preserve">          $ref: 'TS29571_CommonData.yaml#/components/schemas/Float'</w:t>
      </w:r>
    </w:p>
    <w:p w14:paraId="1605962D" w14:textId="77777777" w:rsidR="007862A2" w:rsidRDefault="007862A2" w:rsidP="007862A2">
      <w:pPr>
        <w:pStyle w:val="PL"/>
      </w:pPr>
      <w:r>
        <w:t xml:space="preserve">        </w:t>
      </w:r>
      <w:r>
        <w:rPr>
          <w:lang w:eastAsia="zh-CN"/>
        </w:rPr>
        <w:t>avgE2ePktLossRateUl</w:t>
      </w:r>
      <w:r>
        <w:t>:</w:t>
      </w:r>
    </w:p>
    <w:p w14:paraId="6F5EFA9C"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29C130B4" w14:textId="77777777" w:rsidR="007862A2" w:rsidRDefault="007862A2" w:rsidP="007862A2">
      <w:pPr>
        <w:pStyle w:val="PL"/>
        <w:rPr>
          <w:lang w:eastAsia="zh-CN"/>
        </w:rPr>
      </w:pPr>
      <w:r>
        <w:t xml:space="preserve">        varE2ePktLossRateUl</w:t>
      </w:r>
      <w:r>
        <w:rPr>
          <w:lang w:eastAsia="zh-CN"/>
        </w:rPr>
        <w:t>:</w:t>
      </w:r>
    </w:p>
    <w:p w14:paraId="737630F2" w14:textId="77777777" w:rsidR="007862A2" w:rsidRDefault="007862A2" w:rsidP="007862A2">
      <w:pPr>
        <w:pStyle w:val="PL"/>
      </w:pPr>
      <w:r>
        <w:t xml:space="preserve">          $ref: 'TS29571_CommonData.yaml#/components/schemas/Float'</w:t>
      </w:r>
    </w:p>
    <w:p w14:paraId="18409FAA" w14:textId="77777777" w:rsidR="007862A2" w:rsidRDefault="007862A2" w:rsidP="007862A2">
      <w:pPr>
        <w:pStyle w:val="PL"/>
        <w:rPr>
          <w:lang w:eastAsia="zh-CN"/>
        </w:rPr>
      </w:pPr>
      <w:r>
        <w:t xml:space="preserve">        </w:t>
      </w:r>
      <w:r>
        <w:rPr>
          <w:lang w:eastAsia="zh-CN"/>
        </w:rPr>
        <w:t>avgE2ePktLossRateDl:</w:t>
      </w:r>
    </w:p>
    <w:p w14:paraId="0239F808" w14:textId="77777777" w:rsidR="007862A2" w:rsidRDefault="007862A2" w:rsidP="007862A2">
      <w:pPr>
        <w:pStyle w:val="PL"/>
        <w:rPr>
          <w:lang w:val="en-US" w:eastAsia="es-ES"/>
        </w:rPr>
      </w:pPr>
      <w:r>
        <w:t xml:space="preserve">          </w:t>
      </w:r>
      <w:r>
        <w:rPr>
          <w:lang w:val="en-US" w:eastAsia="es-ES"/>
        </w:rPr>
        <w:t>$ref: 'TS29571_CommonData.yaml#/components/schemas/</w:t>
      </w:r>
      <w:r>
        <w:t>PacketLossRate</w:t>
      </w:r>
      <w:r>
        <w:rPr>
          <w:lang w:val="en-US" w:eastAsia="es-ES"/>
        </w:rPr>
        <w:t>'</w:t>
      </w:r>
    </w:p>
    <w:p w14:paraId="04ECF206" w14:textId="77777777" w:rsidR="007862A2" w:rsidRDefault="007862A2" w:rsidP="007862A2">
      <w:pPr>
        <w:pStyle w:val="PL"/>
        <w:rPr>
          <w:lang w:eastAsia="zh-CN"/>
        </w:rPr>
      </w:pPr>
      <w:r>
        <w:t xml:space="preserve">        varE2ePktLossRateDl</w:t>
      </w:r>
      <w:r>
        <w:rPr>
          <w:lang w:eastAsia="zh-CN"/>
        </w:rPr>
        <w:t>:</w:t>
      </w:r>
    </w:p>
    <w:p w14:paraId="110D7C9E" w14:textId="77777777" w:rsidR="007862A2" w:rsidRDefault="007862A2" w:rsidP="007862A2">
      <w:pPr>
        <w:pStyle w:val="PL"/>
      </w:pPr>
      <w:r>
        <w:t xml:space="preserve">          $ref: 'TS29571_CommonData.yaml#/components/schemas/Float'</w:t>
      </w:r>
    </w:p>
    <w:p w14:paraId="4D7278DA" w14:textId="77777777" w:rsidR="007862A2" w:rsidRDefault="007862A2" w:rsidP="007862A2">
      <w:pPr>
        <w:pStyle w:val="PL"/>
      </w:pPr>
    </w:p>
    <w:p w14:paraId="3B932E61" w14:textId="77777777" w:rsidR="007862A2" w:rsidRDefault="007862A2" w:rsidP="007862A2">
      <w:pPr>
        <w:pStyle w:val="PL"/>
      </w:pPr>
      <w:r>
        <w:t xml:space="preserve">    WlanPerformanceReq:</w:t>
      </w:r>
    </w:p>
    <w:p w14:paraId="1867260B" w14:textId="77777777" w:rsidR="007862A2" w:rsidRDefault="007862A2" w:rsidP="007862A2">
      <w:pPr>
        <w:pStyle w:val="PL"/>
      </w:pPr>
      <w:r>
        <w:t xml:space="preserve">      description: Represents other WLAN performance analytics requirements.</w:t>
      </w:r>
    </w:p>
    <w:p w14:paraId="482B2F90" w14:textId="77777777" w:rsidR="007862A2" w:rsidRDefault="007862A2" w:rsidP="007862A2">
      <w:pPr>
        <w:pStyle w:val="PL"/>
      </w:pPr>
      <w:r>
        <w:t xml:space="preserve">      type: object</w:t>
      </w:r>
    </w:p>
    <w:p w14:paraId="3BCC90AA" w14:textId="77777777" w:rsidR="007862A2" w:rsidRDefault="007862A2" w:rsidP="007862A2">
      <w:pPr>
        <w:pStyle w:val="PL"/>
      </w:pPr>
      <w:r>
        <w:t xml:space="preserve">      properties:</w:t>
      </w:r>
    </w:p>
    <w:p w14:paraId="31D68C12" w14:textId="77777777" w:rsidR="007862A2" w:rsidRDefault="007862A2" w:rsidP="007862A2">
      <w:pPr>
        <w:pStyle w:val="PL"/>
      </w:pPr>
      <w:r>
        <w:t xml:space="preserve">        ssIds:</w:t>
      </w:r>
    </w:p>
    <w:p w14:paraId="0EC85EDE" w14:textId="77777777" w:rsidR="007862A2" w:rsidRDefault="007862A2" w:rsidP="007862A2">
      <w:pPr>
        <w:pStyle w:val="PL"/>
      </w:pPr>
      <w:r>
        <w:t xml:space="preserve">          type: array</w:t>
      </w:r>
    </w:p>
    <w:p w14:paraId="37EC1356" w14:textId="77777777" w:rsidR="007862A2" w:rsidRDefault="007862A2" w:rsidP="007862A2">
      <w:pPr>
        <w:pStyle w:val="PL"/>
      </w:pPr>
      <w:r>
        <w:t xml:space="preserve">          items:</w:t>
      </w:r>
    </w:p>
    <w:p w14:paraId="76AE95EB" w14:textId="77777777" w:rsidR="007862A2" w:rsidRDefault="007862A2" w:rsidP="007862A2">
      <w:pPr>
        <w:pStyle w:val="PL"/>
      </w:pPr>
      <w:r>
        <w:t xml:space="preserve">            type: string</w:t>
      </w:r>
    </w:p>
    <w:p w14:paraId="22BA43BF" w14:textId="77777777" w:rsidR="007862A2" w:rsidRDefault="007862A2" w:rsidP="007862A2">
      <w:pPr>
        <w:pStyle w:val="PL"/>
      </w:pPr>
      <w:r>
        <w:t xml:space="preserve">          minItems: 1</w:t>
      </w:r>
    </w:p>
    <w:p w14:paraId="5EC5B51A" w14:textId="77777777" w:rsidR="007862A2" w:rsidRDefault="007862A2" w:rsidP="007862A2">
      <w:pPr>
        <w:pStyle w:val="PL"/>
      </w:pPr>
      <w:r>
        <w:t xml:space="preserve">        bssIds:</w:t>
      </w:r>
    </w:p>
    <w:p w14:paraId="61C1818E" w14:textId="77777777" w:rsidR="007862A2" w:rsidRDefault="007862A2" w:rsidP="007862A2">
      <w:pPr>
        <w:pStyle w:val="PL"/>
      </w:pPr>
      <w:r>
        <w:t xml:space="preserve">          type: array</w:t>
      </w:r>
    </w:p>
    <w:p w14:paraId="57941FFE" w14:textId="77777777" w:rsidR="007862A2" w:rsidRDefault="007862A2" w:rsidP="007862A2">
      <w:pPr>
        <w:pStyle w:val="PL"/>
      </w:pPr>
      <w:r>
        <w:t xml:space="preserve">          items:</w:t>
      </w:r>
    </w:p>
    <w:p w14:paraId="689C3354" w14:textId="77777777" w:rsidR="007862A2" w:rsidRDefault="007862A2" w:rsidP="007862A2">
      <w:pPr>
        <w:pStyle w:val="PL"/>
      </w:pPr>
      <w:r>
        <w:t xml:space="preserve">            type: string</w:t>
      </w:r>
    </w:p>
    <w:p w14:paraId="4B6A1879" w14:textId="77777777" w:rsidR="007862A2" w:rsidRDefault="007862A2" w:rsidP="007862A2">
      <w:pPr>
        <w:pStyle w:val="PL"/>
      </w:pPr>
      <w:r>
        <w:t xml:space="preserve">          minItems: 1</w:t>
      </w:r>
    </w:p>
    <w:p w14:paraId="4039B692" w14:textId="77777777" w:rsidR="007862A2" w:rsidRDefault="007862A2" w:rsidP="007862A2">
      <w:pPr>
        <w:pStyle w:val="PL"/>
      </w:pPr>
      <w:r>
        <w:t xml:space="preserve">        wlanOrderCriter:</w:t>
      </w:r>
    </w:p>
    <w:p w14:paraId="011DC600" w14:textId="77777777" w:rsidR="007862A2" w:rsidRDefault="007862A2" w:rsidP="007862A2">
      <w:pPr>
        <w:pStyle w:val="PL"/>
      </w:pPr>
      <w:r>
        <w:t xml:space="preserve">          $ref: '#/components/schemas/WlanOrderingCriterion'</w:t>
      </w:r>
    </w:p>
    <w:p w14:paraId="6E41A1FF" w14:textId="77777777" w:rsidR="007862A2" w:rsidRDefault="007862A2" w:rsidP="007862A2">
      <w:pPr>
        <w:pStyle w:val="PL"/>
      </w:pPr>
      <w:r>
        <w:t xml:space="preserve">        order:</w:t>
      </w:r>
    </w:p>
    <w:p w14:paraId="66F0B616" w14:textId="77777777" w:rsidR="007862A2" w:rsidRDefault="007862A2" w:rsidP="007862A2">
      <w:pPr>
        <w:pStyle w:val="PL"/>
      </w:pPr>
      <w:r>
        <w:t xml:space="preserve">          $ref: '#/components/schemas/MatchingDirection'</w:t>
      </w:r>
    </w:p>
    <w:p w14:paraId="3B865883" w14:textId="77777777" w:rsidR="007862A2" w:rsidRDefault="007862A2" w:rsidP="007862A2">
      <w:pPr>
        <w:pStyle w:val="PL"/>
      </w:pPr>
    </w:p>
    <w:p w14:paraId="2BFE705C" w14:textId="77777777" w:rsidR="007862A2" w:rsidRDefault="007862A2" w:rsidP="007862A2">
      <w:pPr>
        <w:pStyle w:val="PL"/>
      </w:pPr>
      <w:r>
        <w:t xml:space="preserve">    WlanPerformanceInfo:</w:t>
      </w:r>
    </w:p>
    <w:p w14:paraId="5B2939EF" w14:textId="77777777" w:rsidR="007862A2" w:rsidRDefault="007862A2" w:rsidP="007862A2">
      <w:pPr>
        <w:pStyle w:val="PL"/>
      </w:pPr>
      <w:r>
        <w:t xml:space="preserve">      description: The WLAN performance related information.</w:t>
      </w:r>
    </w:p>
    <w:p w14:paraId="57A06EB9" w14:textId="77777777" w:rsidR="007862A2" w:rsidRDefault="007862A2" w:rsidP="007862A2">
      <w:pPr>
        <w:pStyle w:val="PL"/>
      </w:pPr>
      <w:r>
        <w:t xml:space="preserve">      type: object</w:t>
      </w:r>
    </w:p>
    <w:p w14:paraId="40C4946F" w14:textId="77777777" w:rsidR="007862A2" w:rsidRDefault="007862A2" w:rsidP="007862A2">
      <w:pPr>
        <w:pStyle w:val="PL"/>
      </w:pPr>
      <w:r>
        <w:t xml:space="preserve">      properties:</w:t>
      </w:r>
    </w:p>
    <w:p w14:paraId="507F4F5F" w14:textId="77777777" w:rsidR="007862A2" w:rsidRDefault="007862A2" w:rsidP="007862A2">
      <w:pPr>
        <w:pStyle w:val="PL"/>
      </w:pPr>
      <w:r>
        <w:t xml:space="preserve">        networkArea:</w:t>
      </w:r>
    </w:p>
    <w:p w14:paraId="3F14E2AD" w14:textId="77777777" w:rsidR="007862A2" w:rsidRDefault="007862A2" w:rsidP="007862A2">
      <w:pPr>
        <w:pStyle w:val="PL"/>
      </w:pPr>
      <w:r>
        <w:t xml:space="preserve">          $ref: 'TS29554_Npcf_BDTPolicyControl.yaml#/components/schemas/NetworkAreaInfo'</w:t>
      </w:r>
    </w:p>
    <w:p w14:paraId="1F48E7A8" w14:textId="77777777" w:rsidR="007862A2" w:rsidRDefault="007862A2" w:rsidP="007862A2">
      <w:pPr>
        <w:pStyle w:val="PL"/>
      </w:pPr>
      <w:r>
        <w:t xml:space="preserve">        wlanPerSsidInfos:</w:t>
      </w:r>
    </w:p>
    <w:p w14:paraId="4AEBE595" w14:textId="77777777" w:rsidR="007862A2" w:rsidRDefault="007862A2" w:rsidP="007862A2">
      <w:pPr>
        <w:pStyle w:val="PL"/>
      </w:pPr>
      <w:r>
        <w:t xml:space="preserve">          type: array</w:t>
      </w:r>
    </w:p>
    <w:p w14:paraId="56D35EE4" w14:textId="77777777" w:rsidR="007862A2" w:rsidRDefault="007862A2" w:rsidP="007862A2">
      <w:pPr>
        <w:pStyle w:val="PL"/>
      </w:pPr>
      <w:r>
        <w:t xml:space="preserve">          items:</w:t>
      </w:r>
    </w:p>
    <w:p w14:paraId="05EC41E6" w14:textId="77777777" w:rsidR="007862A2" w:rsidRDefault="007862A2" w:rsidP="007862A2">
      <w:pPr>
        <w:pStyle w:val="PL"/>
      </w:pPr>
      <w:r>
        <w:t xml:space="preserve">            $ref: '#/components/schemas/WlanPerSsIdPerformanceInfo'</w:t>
      </w:r>
    </w:p>
    <w:p w14:paraId="53A8CBB3" w14:textId="77777777" w:rsidR="007862A2" w:rsidRDefault="007862A2" w:rsidP="007862A2">
      <w:pPr>
        <w:pStyle w:val="PL"/>
      </w:pPr>
      <w:r>
        <w:t xml:space="preserve">          minItems: 1</w:t>
      </w:r>
    </w:p>
    <w:p w14:paraId="0D9B863F" w14:textId="77777777" w:rsidR="007862A2" w:rsidRDefault="007862A2" w:rsidP="007862A2">
      <w:pPr>
        <w:pStyle w:val="PL"/>
      </w:pPr>
      <w:r>
        <w:t xml:space="preserve">        wlanPerUeIdInfos:</w:t>
      </w:r>
    </w:p>
    <w:p w14:paraId="2279C7CD" w14:textId="77777777" w:rsidR="007862A2" w:rsidRDefault="007862A2" w:rsidP="007862A2">
      <w:pPr>
        <w:pStyle w:val="PL"/>
      </w:pPr>
      <w:r>
        <w:t xml:space="preserve">          type: array</w:t>
      </w:r>
    </w:p>
    <w:p w14:paraId="34F2BDB1" w14:textId="77777777" w:rsidR="007862A2" w:rsidRDefault="007862A2" w:rsidP="007862A2">
      <w:pPr>
        <w:pStyle w:val="PL"/>
      </w:pPr>
      <w:r>
        <w:t xml:space="preserve">          items:</w:t>
      </w:r>
    </w:p>
    <w:p w14:paraId="5F640E4F" w14:textId="77777777" w:rsidR="007862A2" w:rsidRDefault="007862A2" w:rsidP="007862A2">
      <w:pPr>
        <w:pStyle w:val="PL"/>
      </w:pPr>
      <w:r>
        <w:t xml:space="preserve">            $ref: '#/components/schemas/WlanPerUeIdPerformanceInfo'</w:t>
      </w:r>
    </w:p>
    <w:p w14:paraId="1C85D2D4" w14:textId="77777777" w:rsidR="007862A2" w:rsidRDefault="007862A2" w:rsidP="007862A2">
      <w:pPr>
        <w:pStyle w:val="PL"/>
      </w:pPr>
      <w:r>
        <w:t xml:space="preserve">          minItems: 1</w:t>
      </w:r>
    </w:p>
    <w:p w14:paraId="54F5D898" w14:textId="77777777" w:rsidR="007862A2" w:rsidRDefault="007862A2" w:rsidP="007862A2">
      <w:pPr>
        <w:pStyle w:val="PL"/>
      </w:pPr>
      <w:r>
        <w:t xml:space="preserve">          description: &gt;</w:t>
      </w:r>
    </w:p>
    <w:p w14:paraId="7683274B" w14:textId="77777777" w:rsidR="007862A2" w:rsidRDefault="007862A2" w:rsidP="007862A2">
      <w:pPr>
        <w:pStyle w:val="PL"/>
        <w:rPr>
          <w:rFonts w:cs="Arial"/>
          <w:szCs w:val="18"/>
        </w:rPr>
      </w:pPr>
      <w:r>
        <w:t xml:space="preserve">            </w:t>
      </w:r>
      <w:r>
        <w:rPr>
          <w:rFonts w:cs="Arial"/>
          <w:szCs w:val="18"/>
        </w:rPr>
        <w:t>WLAN performance information for UE Id(s) of WLAN access points deployed in the Area</w:t>
      </w:r>
    </w:p>
    <w:p w14:paraId="20874D8D" w14:textId="77777777" w:rsidR="007862A2" w:rsidRDefault="007862A2" w:rsidP="007862A2">
      <w:pPr>
        <w:pStyle w:val="PL"/>
      </w:pPr>
      <w:r>
        <w:t xml:space="preserve">           </w:t>
      </w:r>
      <w:r>
        <w:rPr>
          <w:rFonts w:cs="Arial"/>
          <w:szCs w:val="18"/>
        </w:rPr>
        <w:t xml:space="preserve"> of Interest</w:t>
      </w:r>
      <w:r>
        <w:t>.</w:t>
      </w:r>
    </w:p>
    <w:p w14:paraId="01B6E3E2" w14:textId="77777777" w:rsidR="007862A2" w:rsidRDefault="007862A2" w:rsidP="007862A2">
      <w:pPr>
        <w:pStyle w:val="PL"/>
      </w:pPr>
      <w:r>
        <w:t xml:space="preserve">      required:</w:t>
      </w:r>
    </w:p>
    <w:p w14:paraId="6050F76B" w14:textId="77777777" w:rsidR="007862A2" w:rsidRDefault="007862A2" w:rsidP="007862A2">
      <w:pPr>
        <w:pStyle w:val="PL"/>
      </w:pPr>
      <w:r>
        <w:t xml:space="preserve">        - wlanPerSsidInfos</w:t>
      </w:r>
    </w:p>
    <w:p w14:paraId="1D30A50F" w14:textId="77777777" w:rsidR="007862A2" w:rsidRDefault="007862A2" w:rsidP="007862A2">
      <w:pPr>
        <w:pStyle w:val="PL"/>
      </w:pPr>
    </w:p>
    <w:p w14:paraId="6E38EB1E" w14:textId="77777777" w:rsidR="007862A2" w:rsidRDefault="007862A2" w:rsidP="007862A2">
      <w:pPr>
        <w:pStyle w:val="PL"/>
      </w:pPr>
      <w:r>
        <w:t xml:space="preserve">    WlanPerSsIdPerformanceInfo:</w:t>
      </w:r>
    </w:p>
    <w:p w14:paraId="18A0C05B" w14:textId="77777777" w:rsidR="007862A2" w:rsidRDefault="007862A2" w:rsidP="007862A2">
      <w:pPr>
        <w:pStyle w:val="PL"/>
      </w:pPr>
      <w:r>
        <w:lastRenderedPageBreak/>
        <w:t xml:space="preserve">      description: The WLAN performance per SSID.</w:t>
      </w:r>
    </w:p>
    <w:p w14:paraId="6A00309B" w14:textId="77777777" w:rsidR="007862A2" w:rsidRDefault="007862A2" w:rsidP="007862A2">
      <w:pPr>
        <w:pStyle w:val="PL"/>
      </w:pPr>
      <w:r>
        <w:t xml:space="preserve">      type: object</w:t>
      </w:r>
    </w:p>
    <w:p w14:paraId="2455AA70" w14:textId="77777777" w:rsidR="007862A2" w:rsidRDefault="007862A2" w:rsidP="007862A2">
      <w:pPr>
        <w:pStyle w:val="PL"/>
      </w:pPr>
      <w:r>
        <w:t xml:space="preserve">      properties:</w:t>
      </w:r>
    </w:p>
    <w:p w14:paraId="05785565" w14:textId="77777777" w:rsidR="007862A2" w:rsidRDefault="007862A2" w:rsidP="007862A2">
      <w:pPr>
        <w:pStyle w:val="PL"/>
      </w:pPr>
      <w:r>
        <w:t xml:space="preserve">        ssId:</w:t>
      </w:r>
    </w:p>
    <w:p w14:paraId="7470BAD6" w14:textId="77777777" w:rsidR="007862A2" w:rsidRDefault="007862A2" w:rsidP="007862A2">
      <w:pPr>
        <w:pStyle w:val="PL"/>
      </w:pPr>
      <w:r>
        <w:t xml:space="preserve">          type: string</w:t>
      </w:r>
    </w:p>
    <w:p w14:paraId="23BC97F5" w14:textId="77777777" w:rsidR="007862A2" w:rsidRDefault="007862A2" w:rsidP="007862A2">
      <w:pPr>
        <w:pStyle w:val="PL"/>
      </w:pPr>
      <w:r>
        <w:t xml:space="preserve">        wlanPerTsInfos:</w:t>
      </w:r>
    </w:p>
    <w:p w14:paraId="151E615B" w14:textId="77777777" w:rsidR="007862A2" w:rsidRDefault="007862A2" w:rsidP="007862A2">
      <w:pPr>
        <w:pStyle w:val="PL"/>
      </w:pPr>
      <w:r>
        <w:t xml:space="preserve">          type: array</w:t>
      </w:r>
    </w:p>
    <w:p w14:paraId="4989A13F" w14:textId="77777777" w:rsidR="007862A2" w:rsidRDefault="007862A2" w:rsidP="007862A2">
      <w:pPr>
        <w:pStyle w:val="PL"/>
      </w:pPr>
      <w:r>
        <w:t xml:space="preserve">          items:</w:t>
      </w:r>
    </w:p>
    <w:p w14:paraId="3FFBC8C6" w14:textId="77777777" w:rsidR="007862A2" w:rsidRDefault="007862A2" w:rsidP="007862A2">
      <w:pPr>
        <w:pStyle w:val="PL"/>
      </w:pPr>
      <w:r>
        <w:t xml:space="preserve">            $ref: '#/components/schemas/WlanPerTsPerformanceInfo'</w:t>
      </w:r>
    </w:p>
    <w:p w14:paraId="39523A6F" w14:textId="77777777" w:rsidR="007862A2" w:rsidRDefault="007862A2" w:rsidP="007862A2">
      <w:pPr>
        <w:pStyle w:val="PL"/>
      </w:pPr>
      <w:r>
        <w:t xml:space="preserve">          minItems: 1</w:t>
      </w:r>
    </w:p>
    <w:p w14:paraId="22987A62" w14:textId="77777777" w:rsidR="007862A2" w:rsidRDefault="007862A2" w:rsidP="007862A2">
      <w:pPr>
        <w:pStyle w:val="PL"/>
      </w:pPr>
      <w:r>
        <w:t xml:space="preserve">      required:</w:t>
      </w:r>
    </w:p>
    <w:p w14:paraId="4E9BD512" w14:textId="77777777" w:rsidR="007862A2" w:rsidRDefault="007862A2" w:rsidP="007862A2">
      <w:pPr>
        <w:pStyle w:val="PL"/>
      </w:pPr>
      <w:r>
        <w:t xml:space="preserve">        - ssId</w:t>
      </w:r>
    </w:p>
    <w:p w14:paraId="4B49FAB7" w14:textId="77777777" w:rsidR="007862A2" w:rsidRDefault="007862A2" w:rsidP="007862A2">
      <w:pPr>
        <w:pStyle w:val="PL"/>
      </w:pPr>
      <w:r>
        <w:t xml:space="preserve">        - wlanPerTsInfos</w:t>
      </w:r>
    </w:p>
    <w:p w14:paraId="70241CE3" w14:textId="77777777" w:rsidR="007862A2" w:rsidRDefault="007862A2" w:rsidP="007862A2">
      <w:pPr>
        <w:pStyle w:val="PL"/>
      </w:pPr>
    </w:p>
    <w:p w14:paraId="34752B93" w14:textId="77777777" w:rsidR="007862A2" w:rsidRDefault="007862A2" w:rsidP="007862A2">
      <w:pPr>
        <w:pStyle w:val="PL"/>
      </w:pPr>
      <w:r>
        <w:t xml:space="preserve">    WlanPerUeIdPerformanceInfo:</w:t>
      </w:r>
    </w:p>
    <w:p w14:paraId="0E156AAA" w14:textId="77777777" w:rsidR="007862A2" w:rsidRDefault="007862A2" w:rsidP="007862A2">
      <w:pPr>
        <w:pStyle w:val="PL"/>
      </w:pPr>
      <w:r>
        <w:t xml:space="preserve">      description: The WLAN performance per UE ID.</w:t>
      </w:r>
    </w:p>
    <w:p w14:paraId="66A9C170" w14:textId="77777777" w:rsidR="007862A2" w:rsidRDefault="007862A2" w:rsidP="007862A2">
      <w:pPr>
        <w:pStyle w:val="PL"/>
      </w:pPr>
      <w:r>
        <w:t xml:space="preserve">      type: object</w:t>
      </w:r>
    </w:p>
    <w:p w14:paraId="196EE30C" w14:textId="77777777" w:rsidR="007862A2" w:rsidRDefault="007862A2" w:rsidP="007862A2">
      <w:pPr>
        <w:pStyle w:val="PL"/>
      </w:pPr>
      <w:r>
        <w:t xml:space="preserve">      properties:</w:t>
      </w:r>
    </w:p>
    <w:p w14:paraId="4E08F26A" w14:textId="77777777" w:rsidR="007862A2" w:rsidRDefault="007862A2" w:rsidP="007862A2">
      <w:pPr>
        <w:pStyle w:val="PL"/>
      </w:pPr>
      <w:r>
        <w:t xml:space="preserve">        supi:</w:t>
      </w:r>
    </w:p>
    <w:p w14:paraId="4848A90B" w14:textId="77777777" w:rsidR="007862A2" w:rsidRDefault="007862A2" w:rsidP="007862A2">
      <w:pPr>
        <w:pStyle w:val="PL"/>
      </w:pPr>
      <w:r>
        <w:t xml:space="preserve">          $ref: 'TS29571_CommonData.yaml#/components/schemas/Supi'</w:t>
      </w:r>
    </w:p>
    <w:p w14:paraId="2689F15A" w14:textId="77777777" w:rsidR="007862A2" w:rsidRDefault="007862A2" w:rsidP="007862A2">
      <w:pPr>
        <w:pStyle w:val="PL"/>
      </w:pPr>
      <w:r>
        <w:t xml:space="preserve">        gpsi:</w:t>
      </w:r>
    </w:p>
    <w:p w14:paraId="14FCC1D2" w14:textId="77777777" w:rsidR="007862A2" w:rsidRDefault="007862A2" w:rsidP="007862A2">
      <w:pPr>
        <w:pStyle w:val="PL"/>
      </w:pPr>
      <w:r>
        <w:t xml:space="preserve">          $ref: 'TS29571_CommonData.yaml#/components/schemas/Gpsi'</w:t>
      </w:r>
    </w:p>
    <w:p w14:paraId="3FA44AA3" w14:textId="77777777" w:rsidR="007862A2" w:rsidRDefault="007862A2" w:rsidP="007862A2">
      <w:pPr>
        <w:pStyle w:val="PL"/>
      </w:pPr>
      <w:r>
        <w:t xml:space="preserve">        wlanPerTsInfos:</w:t>
      </w:r>
    </w:p>
    <w:p w14:paraId="1CD035A5" w14:textId="77777777" w:rsidR="007862A2" w:rsidRDefault="007862A2" w:rsidP="007862A2">
      <w:pPr>
        <w:pStyle w:val="PL"/>
      </w:pPr>
      <w:r>
        <w:t xml:space="preserve">          type: array</w:t>
      </w:r>
    </w:p>
    <w:p w14:paraId="7AA6BA07" w14:textId="77777777" w:rsidR="007862A2" w:rsidRDefault="007862A2" w:rsidP="007862A2">
      <w:pPr>
        <w:pStyle w:val="PL"/>
      </w:pPr>
      <w:r>
        <w:t xml:space="preserve">          items:</w:t>
      </w:r>
    </w:p>
    <w:p w14:paraId="693B9C7F" w14:textId="77777777" w:rsidR="007862A2" w:rsidRDefault="007862A2" w:rsidP="007862A2">
      <w:pPr>
        <w:pStyle w:val="PL"/>
      </w:pPr>
      <w:r>
        <w:t xml:space="preserve">            $ref: '#/components/schemas/WlanPerTsPerformanceInfo'</w:t>
      </w:r>
    </w:p>
    <w:p w14:paraId="2EEF9B04" w14:textId="77777777" w:rsidR="007862A2" w:rsidRDefault="007862A2" w:rsidP="007862A2">
      <w:pPr>
        <w:pStyle w:val="PL"/>
      </w:pPr>
      <w:r>
        <w:t xml:space="preserve">          minItems: 1</w:t>
      </w:r>
    </w:p>
    <w:p w14:paraId="391AAAFD" w14:textId="77777777" w:rsidR="007862A2" w:rsidRDefault="007862A2" w:rsidP="007862A2">
      <w:pPr>
        <w:pStyle w:val="PL"/>
      </w:pPr>
      <w:r>
        <w:t xml:space="preserve">          description: &gt;</w:t>
      </w:r>
    </w:p>
    <w:p w14:paraId="4F1E9123" w14:textId="77777777" w:rsidR="007862A2" w:rsidRDefault="007862A2" w:rsidP="007862A2">
      <w:pPr>
        <w:pStyle w:val="PL"/>
      </w:pPr>
      <w:r>
        <w:t xml:space="preserve">            </w:t>
      </w:r>
      <w:r>
        <w:rPr>
          <w:rFonts w:cs="Arial"/>
          <w:szCs w:val="18"/>
        </w:rPr>
        <w:t>WLAN performance information per Time Slot during the analytics target period</w:t>
      </w:r>
      <w:r>
        <w:t>.</w:t>
      </w:r>
    </w:p>
    <w:p w14:paraId="62B2D4C3" w14:textId="77777777" w:rsidR="007862A2" w:rsidRDefault="007862A2" w:rsidP="007862A2">
      <w:pPr>
        <w:pStyle w:val="PL"/>
      </w:pPr>
      <w:r>
        <w:t xml:space="preserve">      required:</w:t>
      </w:r>
    </w:p>
    <w:p w14:paraId="01993002" w14:textId="77777777" w:rsidR="007862A2" w:rsidRDefault="007862A2" w:rsidP="007862A2">
      <w:pPr>
        <w:pStyle w:val="PL"/>
      </w:pPr>
      <w:r>
        <w:t xml:space="preserve">        - wlanPerTsInfos</w:t>
      </w:r>
    </w:p>
    <w:p w14:paraId="6CD3772B" w14:textId="77777777" w:rsidR="007862A2" w:rsidRDefault="007862A2" w:rsidP="007862A2">
      <w:pPr>
        <w:pStyle w:val="PL"/>
      </w:pPr>
      <w:r>
        <w:t xml:space="preserve">      oneOf:</w:t>
      </w:r>
    </w:p>
    <w:p w14:paraId="078FA08A" w14:textId="77777777" w:rsidR="007862A2" w:rsidRDefault="007862A2" w:rsidP="007862A2">
      <w:pPr>
        <w:pStyle w:val="PL"/>
      </w:pPr>
      <w:r>
        <w:t xml:space="preserve">        - required: [supi]</w:t>
      </w:r>
    </w:p>
    <w:p w14:paraId="2C0E8D26" w14:textId="77777777" w:rsidR="007862A2" w:rsidRDefault="007862A2" w:rsidP="007862A2">
      <w:pPr>
        <w:pStyle w:val="PL"/>
      </w:pPr>
      <w:r>
        <w:t xml:space="preserve">        - required: [gpsi]</w:t>
      </w:r>
    </w:p>
    <w:p w14:paraId="4549BB6D" w14:textId="77777777" w:rsidR="007862A2" w:rsidRDefault="007862A2" w:rsidP="007862A2">
      <w:pPr>
        <w:pStyle w:val="PL"/>
      </w:pPr>
    </w:p>
    <w:p w14:paraId="38A82F85" w14:textId="77777777" w:rsidR="007862A2" w:rsidRDefault="007862A2" w:rsidP="007862A2">
      <w:pPr>
        <w:pStyle w:val="PL"/>
      </w:pPr>
      <w:r>
        <w:t xml:space="preserve">    WlanPerTsPerformanceInfo:</w:t>
      </w:r>
    </w:p>
    <w:p w14:paraId="2733E2E0" w14:textId="77777777" w:rsidR="007862A2" w:rsidRDefault="007862A2" w:rsidP="007862A2">
      <w:pPr>
        <w:pStyle w:val="PL"/>
      </w:pPr>
      <w:r>
        <w:t xml:space="preserve">      description: WLAN performance information per Time Slot during the analytics target period.</w:t>
      </w:r>
    </w:p>
    <w:p w14:paraId="0C9371E3" w14:textId="77777777" w:rsidR="007862A2" w:rsidRDefault="007862A2" w:rsidP="007862A2">
      <w:pPr>
        <w:pStyle w:val="PL"/>
      </w:pPr>
      <w:r>
        <w:t xml:space="preserve">      type: object</w:t>
      </w:r>
    </w:p>
    <w:p w14:paraId="0F84C206" w14:textId="77777777" w:rsidR="007862A2" w:rsidRDefault="007862A2" w:rsidP="007862A2">
      <w:pPr>
        <w:pStyle w:val="PL"/>
      </w:pPr>
      <w:r>
        <w:t xml:space="preserve">      properties:</w:t>
      </w:r>
    </w:p>
    <w:p w14:paraId="73140843" w14:textId="77777777" w:rsidR="007862A2" w:rsidRDefault="007862A2" w:rsidP="007862A2">
      <w:pPr>
        <w:pStyle w:val="PL"/>
      </w:pPr>
      <w:r>
        <w:t xml:space="preserve">        tsStart:</w:t>
      </w:r>
    </w:p>
    <w:p w14:paraId="628DF95C" w14:textId="77777777" w:rsidR="007862A2" w:rsidRDefault="007862A2" w:rsidP="007862A2">
      <w:pPr>
        <w:pStyle w:val="PL"/>
      </w:pPr>
      <w:r>
        <w:t xml:space="preserve">          $ref: 'TS29571_CommonData.yaml#/components/schemas/DateTime'</w:t>
      </w:r>
    </w:p>
    <w:p w14:paraId="7BA4248C" w14:textId="77777777" w:rsidR="007862A2" w:rsidRDefault="007862A2" w:rsidP="007862A2">
      <w:pPr>
        <w:pStyle w:val="PL"/>
      </w:pPr>
      <w:r>
        <w:t xml:space="preserve">        tsDuration:</w:t>
      </w:r>
    </w:p>
    <w:p w14:paraId="631AFECD" w14:textId="77777777" w:rsidR="007862A2" w:rsidRDefault="007862A2" w:rsidP="007862A2">
      <w:pPr>
        <w:pStyle w:val="PL"/>
      </w:pPr>
      <w:r>
        <w:t xml:space="preserve">          $ref: 'TS29571_CommonData.yaml#/components/schemas/DurationSec'</w:t>
      </w:r>
    </w:p>
    <w:p w14:paraId="1DADE6B3" w14:textId="77777777" w:rsidR="007862A2" w:rsidRDefault="007862A2" w:rsidP="007862A2">
      <w:pPr>
        <w:pStyle w:val="PL"/>
      </w:pPr>
      <w:r>
        <w:t xml:space="preserve">        rssi:</w:t>
      </w:r>
    </w:p>
    <w:p w14:paraId="33782DE8" w14:textId="77777777" w:rsidR="007862A2" w:rsidRDefault="007862A2" w:rsidP="007862A2">
      <w:pPr>
        <w:pStyle w:val="PL"/>
      </w:pPr>
      <w:r>
        <w:t xml:space="preserve">          type: integer</w:t>
      </w:r>
    </w:p>
    <w:p w14:paraId="2485DEB2" w14:textId="77777777" w:rsidR="007862A2" w:rsidRDefault="007862A2" w:rsidP="007862A2">
      <w:pPr>
        <w:pStyle w:val="PL"/>
      </w:pPr>
      <w:r>
        <w:t xml:space="preserve">        rtt:</w:t>
      </w:r>
    </w:p>
    <w:p w14:paraId="3EBD1C18" w14:textId="77777777" w:rsidR="007862A2" w:rsidRDefault="007862A2" w:rsidP="007862A2">
      <w:pPr>
        <w:pStyle w:val="PL"/>
      </w:pPr>
      <w:r>
        <w:t xml:space="preserve">          $ref: 'TS29571_CommonData.yaml#/components/schemas/Uinteger'</w:t>
      </w:r>
    </w:p>
    <w:p w14:paraId="77EB9EDB" w14:textId="77777777" w:rsidR="007862A2" w:rsidRDefault="007862A2" w:rsidP="007862A2">
      <w:pPr>
        <w:pStyle w:val="PL"/>
      </w:pPr>
      <w:r>
        <w:t xml:space="preserve">        trafficInfo:</w:t>
      </w:r>
    </w:p>
    <w:p w14:paraId="253A251B" w14:textId="77777777" w:rsidR="007862A2" w:rsidRDefault="007862A2" w:rsidP="007862A2">
      <w:pPr>
        <w:pStyle w:val="PL"/>
      </w:pPr>
      <w:r>
        <w:t xml:space="preserve">          $ref: '#/components/schemas/TrafficInformation'</w:t>
      </w:r>
    </w:p>
    <w:p w14:paraId="42AE45DD" w14:textId="77777777" w:rsidR="007862A2" w:rsidRDefault="007862A2" w:rsidP="007862A2">
      <w:pPr>
        <w:pStyle w:val="PL"/>
      </w:pPr>
      <w:r>
        <w:t xml:space="preserve">        numberOfUes:</w:t>
      </w:r>
    </w:p>
    <w:p w14:paraId="32BB0CF2" w14:textId="77777777" w:rsidR="007862A2" w:rsidRDefault="007862A2" w:rsidP="007862A2">
      <w:pPr>
        <w:pStyle w:val="PL"/>
      </w:pPr>
      <w:r>
        <w:t xml:space="preserve">          $ref: 'TS29571_CommonData.yaml#/components/schemas/Uinteger'</w:t>
      </w:r>
    </w:p>
    <w:p w14:paraId="4CEC7BB3" w14:textId="77777777" w:rsidR="007862A2" w:rsidRDefault="007862A2" w:rsidP="007862A2">
      <w:pPr>
        <w:pStyle w:val="PL"/>
      </w:pPr>
      <w:r>
        <w:t xml:space="preserve">        confidence:</w:t>
      </w:r>
    </w:p>
    <w:p w14:paraId="27526F6D" w14:textId="77777777" w:rsidR="007862A2" w:rsidRDefault="007862A2" w:rsidP="007862A2">
      <w:pPr>
        <w:pStyle w:val="PL"/>
      </w:pPr>
      <w:r>
        <w:t xml:space="preserve">          $ref: 'TS29571_CommonData.yaml#/components/schemas/Uinteger'</w:t>
      </w:r>
    </w:p>
    <w:p w14:paraId="20896392" w14:textId="77777777" w:rsidR="007862A2" w:rsidRDefault="007862A2" w:rsidP="007862A2">
      <w:pPr>
        <w:pStyle w:val="PL"/>
      </w:pPr>
      <w:r>
        <w:t xml:space="preserve">      required:</w:t>
      </w:r>
    </w:p>
    <w:p w14:paraId="51BD89A4" w14:textId="77777777" w:rsidR="007862A2" w:rsidRDefault="007862A2" w:rsidP="007862A2">
      <w:pPr>
        <w:pStyle w:val="PL"/>
      </w:pPr>
      <w:r>
        <w:t xml:space="preserve">        - tsStart</w:t>
      </w:r>
    </w:p>
    <w:p w14:paraId="6F563BDB" w14:textId="77777777" w:rsidR="007862A2" w:rsidRDefault="007862A2" w:rsidP="007862A2">
      <w:pPr>
        <w:pStyle w:val="PL"/>
      </w:pPr>
      <w:r>
        <w:t xml:space="preserve">        - tsDuration</w:t>
      </w:r>
    </w:p>
    <w:p w14:paraId="5A43343F" w14:textId="77777777" w:rsidR="007862A2" w:rsidRDefault="007862A2" w:rsidP="007862A2">
      <w:pPr>
        <w:pStyle w:val="PL"/>
      </w:pPr>
      <w:r>
        <w:t xml:space="preserve">      anyOf:</w:t>
      </w:r>
    </w:p>
    <w:p w14:paraId="5F38401C" w14:textId="77777777" w:rsidR="007862A2" w:rsidRDefault="007862A2" w:rsidP="007862A2">
      <w:pPr>
        <w:pStyle w:val="PL"/>
      </w:pPr>
      <w:r>
        <w:t xml:space="preserve">        - required: [rssi]</w:t>
      </w:r>
    </w:p>
    <w:p w14:paraId="0C00493E" w14:textId="77777777" w:rsidR="007862A2" w:rsidRDefault="007862A2" w:rsidP="007862A2">
      <w:pPr>
        <w:pStyle w:val="PL"/>
      </w:pPr>
      <w:r>
        <w:t xml:space="preserve">        - required: [rtt]</w:t>
      </w:r>
    </w:p>
    <w:p w14:paraId="0206858D" w14:textId="77777777" w:rsidR="007862A2" w:rsidRDefault="007862A2" w:rsidP="007862A2">
      <w:pPr>
        <w:pStyle w:val="PL"/>
      </w:pPr>
      <w:r>
        <w:t xml:space="preserve">        - required: [trafficInfo]</w:t>
      </w:r>
    </w:p>
    <w:p w14:paraId="4F3E2446" w14:textId="77777777" w:rsidR="007862A2" w:rsidRDefault="007862A2" w:rsidP="007862A2">
      <w:pPr>
        <w:pStyle w:val="PL"/>
      </w:pPr>
      <w:r>
        <w:t xml:space="preserve">        - required: [numberOfUes]</w:t>
      </w:r>
    </w:p>
    <w:p w14:paraId="1E027829" w14:textId="77777777" w:rsidR="007862A2" w:rsidRDefault="007862A2" w:rsidP="007862A2">
      <w:pPr>
        <w:pStyle w:val="PL"/>
      </w:pPr>
    </w:p>
    <w:p w14:paraId="5FC8887F" w14:textId="77777777" w:rsidR="007862A2" w:rsidRDefault="007862A2" w:rsidP="007862A2">
      <w:pPr>
        <w:pStyle w:val="PL"/>
      </w:pPr>
      <w:r>
        <w:t xml:space="preserve">    TrafficInformation:</w:t>
      </w:r>
    </w:p>
    <w:p w14:paraId="2B29548B" w14:textId="77777777" w:rsidR="007862A2" w:rsidRDefault="007862A2" w:rsidP="007862A2">
      <w:pPr>
        <w:pStyle w:val="PL"/>
      </w:pPr>
      <w:r>
        <w:t xml:space="preserve">      description: Traffic information including UL/DL data rate and/or Traffic volume.</w:t>
      </w:r>
    </w:p>
    <w:p w14:paraId="6B9D1B41" w14:textId="77777777" w:rsidR="007862A2" w:rsidRDefault="007862A2" w:rsidP="007862A2">
      <w:pPr>
        <w:pStyle w:val="PL"/>
      </w:pPr>
      <w:r>
        <w:t xml:space="preserve">      type: object</w:t>
      </w:r>
    </w:p>
    <w:p w14:paraId="052B86C0" w14:textId="77777777" w:rsidR="007862A2" w:rsidRDefault="007862A2" w:rsidP="007862A2">
      <w:pPr>
        <w:pStyle w:val="PL"/>
      </w:pPr>
      <w:r>
        <w:t xml:space="preserve">      properties:</w:t>
      </w:r>
    </w:p>
    <w:p w14:paraId="71DD2A38" w14:textId="77777777" w:rsidR="007862A2" w:rsidRDefault="007862A2" w:rsidP="007862A2">
      <w:pPr>
        <w:pStyle w:val="PL"/>
      </w:pPr>
      <w:r>
        <w:t xml:space="preserve">        uplinkRate:</w:t>
      </w:r>
    </w:p>
    <w:p w14:paraId="4CA9A892" w14:textId="77777777" w:rsidR="007862A2" w:rsidRDefault="007862A2" w:rsidP="007862A2">
      <w:pPr>
        <w:pStyle w:val="PL"/>
      </w:pPr>
      <w:r>
        <w:t xml:space="preserve">          $ref: 'TS29571_CommonData.yaml#/components/schemas/BitRate'</w:t>
      </w:r>
    </w:p>
    <w:p w14:paraId="23B4B731" w14:textId="77777777" w:rsidR="007862A2" w:rsidRDefault="007862A2" w:rsidP="007862A2">
      <w:pPr>
        <w:pStyle w:val="PL"/>
      </w:pPr>
      <w:r>
        <w:t xml:space="preserve">        downlinkRate:</w:t>
      </w:r>
    </w:p>
    <w:p w14:paraId="66E49795" w14:textId="77777777" w:rsidR="007862A2" w:rsidRDefault="007862A2" w:rsidP="007862A2">
      <w:pPr>
        <w:pStyle w:val="PL"/>
      </w:pPr>
      <w:r>
        <w:t xml:space="preserve">          $ref: 'TS29571_CommonData.yaml#/components/schemas/BitRate'</w:t>
      </w:r>
    </w:p>
    <w:p w14:paraId="6A982597" w14:textId="77777777" w:rsidR="007862A2" w:rsidRDefault="007862A2" w:rsidP="007862A2">
      <w:pPr>
        <w:pStyle w:val="PL"/>
      </w:pPr>
      <w:r>
        <w:t xml:space="preserve">        uplinkVolume:</w:t>
      </w:r>
    </w:p>
    <w:p w14:paraId="69E6F25C" w14:textId="77777777" w:rsidR="007862A2" w:rsidRDefault="007862A2" w:rsidP="007862A2">
      <w:pPr>
        <w:pStyle w:val="PL"/>
      </w:pPr>
      <w:r>
        <w:t xml:space="preserve">          $ref: 'TS29122_CommonData.yaml#/components/schemas/Volume'</w:t>
      </w:r>
    </w:p>
    <w:p w14:paraId="5BECB1D3" w14:textId="77777777" w:rsidR="007862A2" w:rsidRDefault="007862A2" w:rsidP="007862A2">
      <w:pPr>
        <w:pStyle w:val="PL"/>
      </w:pPr>
      <w:r>
        <w:t xml:space="preserve">        downlinkVolume:</w:t>
      </w:r>
    </w:p>
    <w:p w14:paraId="226ED5E7" w14:textId="77777777" w:rsidR="007862A2" w:rsidRDefault="007862A2" w:rsidP="007862A2">
      <w:pPr>
        <w:pStyle w:val="PL"/>
      </w:pPr>
      <w:r>
        <w:t xml:space="preserve">          $ref: 'TS29122_CommonData.yaml#/components/schemas/Volume'</w:t>
      </w:r>
    </w:p>
    <w:p w14:paraId="1110C820" w14:textId="77777777" w:rsidR="007862A2" w:rsidRDefault="007862A2" w:rsidP="007862A2">
      <w:pPr>
        <w:pStyle w:val="PL"/>
      </w:pPr>
      <w:r>
        <w:t xml:space="preserve">        totalVolume:</w:t>
      </w:r>
    </w:p>
    <w:p w14:paraId="4BDA38DC" w14:textId="77777777" w:rsidR="007862A2" w:rsidRDefault="007862A2" w:rsidP="007862A2">
      <w:pPr>
        <w:pStyle w:val="PL"/>
      </w:pPr>
      <w:r>
        <w:t xml:space="preserve">          $ref: 'TS29122_CommonData.yaml#/components/schemas/Volume'</w:t>
      </w:r>
    </w:p>
    <w:p w14:paraId="0DC42378" w14:textId="77777777" w:rsidR="007862A2" w:rsidRDefault="007862A2" w:rsidP="007862A2">
      <w:pPr>
        <w:pStyle w:val="PL"/>
      </w:pPr>
      <w:r>
        <w:t xml:space="preserve">      anyOf:</w:t>
      </w:r>
    </w:p>
    <w:p w14:paraId="38917A60" w14:textId="77777777" w:rsidR="007862A2" w:rsidRDefault="007862A2" w:rsidP="007862A2">
      <w:pPr>
        <w:pStyle w:val="PL"/>
      </w:pPr>
      <w:r>
        <w:t xml:space="preserve">        - required: [uplinkRate]</w:t>
      </w:r>
    </w:p>
    <w:p w14:paraId="40108F2A" w14:textId="77777777" w:rsidR="007862A2" w:rsidRDefault="007862A2" w:rsidP="007862A2">
      <w:pPr>
        <w:pStyle w:val="PL"/>
      </w:pPr>
      <w:r>
        <w:lastRenderedPageBreak/>
        <w:t xml:space="preserve">        - required: [downlinkRate]</w:t>
      </w:r>
    </w:p>
    <w:p w14:paraId="56511360" w14:textId="77777777" w:rsidR="007862A2" w:rsidRDefault="007862A2" w:rsidP="007862A2">
      <w:pPr>
        <w:pStyle w:val="PL"/>
      </w:pPr>
      <w:r>
        <w:t xml:space="preserve">        - required: [uplinkVolume]</w:t>
      </w:r>
    </w:p>
    <w:p w14:paraId="7F6130E6" w14:textId="77777777" w:rsidR="007862A2" w:rsidRDefault="007862A2" w:rsidP="007862A2">
      <w:pPr>
        <w:pStyle w:val="PL"/>
      </w:pPr>
      <w:r>
        <w:t xml:space="preserve">        - required: [downlinkVolume]</w:t>
      </w:r>
    </w:p>
    <w:p w14:paraId="4E9DDE64" w14:textId="77777777" w:rsidR="007862A2" w:rsidRDefault="007862A2" w:rsidP="007862A2">
      <w:pPr>
        <w:pStyle w:val="PL"/>
      </w:pPr>
      <w:r>
        <w:t xml:space="preserve">        - required: [totalVolume]</w:t>
      </w:r>
    </w:p>
    <w:p w14:paraId="19697F77" w14:textId="77777777" w:rsidR="007862A2" w:rsidRDefault="007862A2" w:rsidP="007862A2">
      <w:pPr>
        <w:pStyle w:val="PL"/>
      </w:pPr>
    </w:p>
    <w:p w14:paraId="7F4BC999" w14:textId="77777777" w:rsidR="007862A2" w:rsidRDefault="007862A2" w:rsidP="007862A2">
      <w:pPr>
        <w:pStyle w:val="PL"/>
      </w:pPr>
      <w:r>
        <w:t xml:space="preserve">    AppListForUeComm:</w:t>
      </w:r>
    </w:p>
    <w:p w14:paraId="1981FCD4" w14:textId="77777777" w:rsidR="007862A2" w:rsidRDefault="007862A2" w:rsidP="007862A2">
      <w:pPr>
        <w:pStyle w:val="PL"/>
      </w:pPr>
      <w:r>
        <w:t xml:space="preserve">      description: </w:t>
      </w:r>
      <w:r>
        <w:rPr>
          <w:lang w:eastAsia="zh-CN"/>
        </w:rPr>
        <w:t>Represents the analytics of the application list used by UE.</w:t>
      </w:r>
    </w:p>
    <w:p w14:paraId="2ACD0970" w14:textId="77777777" w:rsidR="007862A2" w:rsidRDefault="007862A2" w:rsidP="007862A2">
      <w:pPr>
        <w:pStyle w:val="PL"/>
      </w:pPr>
      <w:r>
        <w:t xml:space="preserve">      type: object</w:t>
      </w:r>
    </w:p>
    <w:p w14:paraId="16EFDEEA" w14:textId="77777777" w:rsidR="007862A2" w:rsidRDefault="007862A2" w:rsidP="007862A2">
      <w:pPr>
        <w:pStyle w:val="PL"/>
      </w:pPr>
      <w:r>
        <w:t xml:space="preserve">      properties:</w:t>
      </w:r>
    </w:p>
    <w:p w14:paraId="0B476697" w14:textId="77777777" w:rsidR="007862A2" w:rsidRDefault="007862A2" w:rsidP="007862A2">
      <w:pPr>
        <w:pStyle w:val="PL"/>
      </w:pPr>
      <w:r>
        <w:t xml:space="preserve">        </w:t>
      </w:r>
      <w:r>
        <w:rPr>
          <w:lang w:eastAsia="zh-CN"/>
        </w:rPr>
        <w:t>appId</w:t>
      </w:r>
      <w:r>
        <w:t>:</w:t>
      </w:r>
    </w:p>
    <w:p w14:paraId="4D376F71" w14:textId="77777777" w:rsidR="007862A2" w:rsidRDefault="007862A2" w:rsidP="007862A2">
      <w:pPr>
        <w:pStyle w:val="PL"/>
      </w:pPr>
      <w:r>
        <w:t xml:space="preserve">          $ref: 'TS29571_CommonData.yaml#/components/schemas/ApplicationId'</w:t>
      </w:r>
    </w:p>
    <w:p w14:paraId="62BB31EB" w14:textId="77777777" w:rsidR="007862A2" w:rsidRDefault="007862A2" w:rsidP="007862A2">
      <w:pPr>
        <w:pStyle w:val="PL"/>
      </w:pPr>
      <w:r>
        <w:t xml:space="preserve">        startTime:</w:t>
      </w:r>
    </w:p>
    <w:p w14:paraId="4276E57A" w14:textId="77777777" w:rsidR="007862A2" w:rsidRDefault="007862A2" w:rsidP="007862A2">
      <w:pPr>
        <w:pStyle w:val="PL"/>
      </w:pPr>
      <w:r>
        <w:t xml:space="preserve">          $ref: 'TS29571_CommonData.yaml#/components/schemas/DateTime'</w:t>
      </w:r>
    </w:p>
    <w:p w14:paraId="664E62BE" w14:textId="77777777" w:rsidR="007862A2" w:rsidRDefault="007862A2" w:rsidP="007862A2">
      <w:pPr>
        <w:pStyle w:val="PL"/>
      </w:pPr>
      <w:r>
        <w:t xml:space="preserve">        </w:t>
      </w:r>
      <w:r>
        <w:rPr>
          <w:lang w:eastAsia="zh-CN"/>
        </w:rPr>
        <w:t>appDur</w:t>
      </w:r>
      <w:r>
        <w:t>:</w:t>
      </w:r>
    </w:p>
    <w:p w14:paraId="682F02AA" w14:textId="77777777" w:rsidR="007862A2" w:rsidRDefault="007862A2" w:rsidP="007862A2">
      <w:pPr>
        <w:pStyle w:val="PL"/>
      </w:pPr>
      <w:r>
        <w:t xml:space="preserve">          $ref: 'TS29571_CommonData.yaml#/components/schemas/DurationSec'</w:t>
      </w:r>
    </w:p>
    <w:p w14:paraId="6E862652" w14:textId="77777777" w:rsidR="007862A2" w:rsidRDefault="007862A2" w:rsidP="007862A2">
      <w:pPr>
        <w:pStyle w:val="PL"/>
      </w:pPr>
      <w:r>
        <w:t xml:space="preserve">        </w:t>
      </w:r>
      <w:r>
        <w:rPr>
          <w:lang w:eastAsia="zh-CN"/>
        </w:rPr>
        <w:t>occurRatio</w:t>
      </w:r>
      <w:r>
        <w:t>:</w:t>
      </w:r>
    </w:p>
    <w:p w14:paraId="2B790D94" w14:textId="77777777" w:rsidR="007862A2" w:rsidRDefault="007862A2" w:rsidP="007862A2">
      <w:pPr>
        <w:pStyle w:val="PL"/>
      </w:pPr>
      <w:r>
        <w:t xml:space="preserve">          $ref: 'TS29571_CommonData.yaml#/components/schemas/SamplingRatio'</w:t>
      </w:r>
    </w:p>
    <w:p w14:paraId="5E0AAEEC" w14:textId="77777777" w:rsidR="007862A2" w:rsidRDefault="007862A2" w:rsidP="007862A2">
      <w:pPr>
        <w:pStyle w:val="PL"/>
      </w:pPr>
      <w:r>
        <w:t xml:space="preserve">        </w:t>
      </w:r>
      <w:r>
        <w:rPr>
          <w:lang w:eastAsia="zh-CN"/>
        </w:rPr>
        <w:t>spatialValidity</w:t>
      </w:r>
      <w:r>
        <w:t>:</w:t>
      </w:r>
    </w:p>
    <w:p w14:paraId="5AE56A80" w14:textId="77777777" w:rsidR="007862A2" w:rsidRDefault="007862A2" w:rsidP="007862A2">
      <w:pPr>
        <w:pStyle w:val="PL"/>
      </w:pPr>
      <w:r>
        <w:t xml:space="preserve">          $ref: 'TS29554_Npcf_BDTPolicyControl.yaml#/components/schemas/NetworkAreaInfo'</w:t>
      </w:r>
    </w:p>
    <w:p w14:paraId="2E339761" w14:textId="77777777" w:rsidR="007862A2" w:rsidRDefault="007862A2" w:rsidP="007862A2">
      <w:pPr>
        <w:pStyle w:val="PL"/>
      </w:pPr>
      <w:r>
        <w:t xml:space="preserve">      required:</w:t>
      </w:r>
    </w:p>
    <w:p w14:paraId="0C4326C7" w14:textId="77777777" w:rsidR="007862A2" w:rsidRDefault="007862A2" w:rsidP="007862A2">
      <w:pPr>
        <w:pStyle w:val="PL"/>
      </w:pPr>
      <w:r>
        <w:t xml:space="preserve">        - </w:t>
      </w:r>
      <w:r>
        <w:rPr>
          <w:lang w:eastAsia="zh-CN"/>
        </w:rPr>
        <w:t>appId</w:t>
      </w:r>
    </w:p>
    <w:p w14:paraId="07335F29" w14:textId="77777777" w:rsidR="007862A2" w:rsidRDefault="007862A2" w:rsidP="007862A2">
      <w:pPr>
        <w:pStyle w:val="PL"/>
      </w:pPr>
    </w:p>
    <w:p w14:paraId="58D66A94" w14:textId="77777777" w:rsidR="007862A2" w:rsidRDefault="007862A2" w:rsidP="007862A2">
      <w:pPr>
        <w:pStyle w:val="PL"/>
      </w:pPr>
      <w:r>
        <w:t xml:space="preserve">    </w:t>
      </w:r>
      <w:r>
        <w:rPr>
          <w:lang w:eastAsia="zh-CN"/>
        </w:rPr>
        <w:t>SessInactTimer</w:t>
      </w:r>
      <w:r>
        <w:t>ForUeComm:</w:t>
      </w:r>
    </w:p>
    <w:p w14:paraId="34C3A2EE" w14:textId="77777777" w:rsidR="007862A2" w:rsidRDefault="007862A2" w:rsidP="007862A2">
      <w:pPr>
        <w:pStyle w:val="PL"/>
      </w:pPr>
      <w:r>
        <w:t xml:space="preserve">      description: </w:t>
      </w:r>
      <w:r>
        <w:rPr>
          <w:lang w:eastAsia="zh-CN"/>
        </w:rPr>
        <w:t>Represents the N4 Session inactivity timer.</w:t>
      </w:r>
    </w:p>
    <w:p w14:paraId="504E6545" w14:textId="77777777" w:rsidR="007862A2" w:rsidRDefault="007862A2" w:rsidP="007862A2">
      <w:pPr>
        <w:pStyle w:val="PL"/>
      </w:pPr>
      <w:r>
        <w:t xml:space="preserve">      type: object</w:t>
      </w:r>
    </w:p>
    <w:p w14:paraId="6A8FD59D" w14:textId="77777777" w:rsidR="007862A2" w:rsidRDefault="007862A2" w:rsidP="007862A2">
      <w:pPr>
        <w:pStyle w:val="PL"/>
      </w:pPr>
      <w:r>
        <w:t xml:space="preserve">      properties:</w:t>
      </w:r>
    </w:p>
    <w:p w14:paraId="2B02E82A" w14:textId="77777777" w:rsidR="007862A2" w:rsidRDefault="007862A2" w:rsidP="007862A2">
      <w:pPr>
        <w:pStyle w:val="PL"/>
      </w:pPr>
      <w:r>
        <w:t xml:space="preserve">        </w:t>
      </w:r>
      <w:r>
        <w:rPr>
          <w:lang w:eastAsia="zh-CN"/>
        </w:rPr>
        <w:t>n4SessId</w:t>
      </w:r>
      <w:r>
        <w:t>:</w:t>
      </w:r>
    </w:p>
    <w:p w14:paraId="29915DF7" w14:textId="77777777" w:rsidR="007862A2" w:rsidRDefault="007862A2" w:rsidP="007862A2">
      <w:pPr>
        <w:pStyle w:val="PL"/>
      </w:pPr>
      <w:r>
        <w:t xml:space="preserve">          $ref: 'TS29571_CommonData.yaml#/components/schemas/PduSessionId'</w:t>
      </w:r>
    </w:p>
    <w:p w14:paraId="48CE83E1" w14:textId="77777777" w:rsidR="007862A2" w:rsidRDefault="007862A2" w:rsidP="007862A2">
      <w:pPr>
        <w:pStyle w:val="PL"/>
      </w:pPr>
      <w:r>
        <w:t xml:space="preserve">        sessInactiveTimer:</w:t>
      </w:r>
    </w:p>
    <w:p w14:paraId="35A61C97" w14:textId="77777777" w:rsidR="007862A2" w:rsidRDefault="007862A2" w:rsidP="007862A2">
      <w:pPr>
        <w:pStyle w:val="PL"/>
      </w:pPr>
      <w:r>
        <w:t xml:space="preserve">          $ref: 'TS29571_CommonData.yaml#/components/schemas/DurationSec'</w:t>
      </w:r>
    </w:p>
    <w:p w14:paraId="40A39C21" w14:textId="77777777" w:rsidR="007862A2" w:rsidRDefault="007862A2" w:rsidP="007862A2">
      <w:pPr>
        <w:pStyle w:val="PL"/>
      </w:pPr>
      <w:r>
        <w:t xml:space="preserve">      required:</w:t>
      </w:r>
    </w:p>
    <w:p w14:paraId="5FA97E92" w14:textId="77777777" w:rsidR="007862A2" w:rsidRDefault="007862A2" w:rsidP="007862A2">
      <w:pPr>
        <w:pStyle w:val="PL"/>
      </w:pPr>
      <w:r>
        <w:t xml:space="preserve">        - </w:t>
      </w:r>
      <w:r>
        <w:rPr>
          <w:rFonts w:hint="eastAsia"/>
          <w:lang w:eastAsia="zh-CN"/>
        </w:rPr>
        <w:t>n</w:t>
      </w:r>
      <w:r>
        <w:rPr>
          <w:lang w:eastAsia="zh-CN"/>
        </w:rPr>
        <w:t>4SessId</w:t>
      </w:r>
    </w:p>
    <w:p w14:paraId="0469860D" w14:textId="77777777" w:rsidR="007862A2" w:rsidRDefault="007862A2" w:rsidP="007862A2">
      <w:pPr>
        <w:pStyle w:val="PL"/>
      </w:pPr>
      <w:r>
        <w:t xml:space="preserve">        - sessInactiveTimer</w:t>
      </w:r>
    </w:p>
    <w:p w14:paraId="5F48607C" w14:textId="77777777" w:rsidR="007862A2" w:rsidRDefault="007862A2" w:rsidP="007862A2">
      <w:pPr>
        <w:pStyle w:val="PL"/>
      </w:pPr>
    </w:p>
    <w:p w14:paraId="76AA64FD" w14:textId="77777777" w:rsidR="007862A2" w:rsidRDefault="007862A2" w:rsidP="007862A2">
      <w:pPr>
        <w:pStyle w:val="PL"/>
      </w:pPr>
      <w:r>
        <w:t xml:space="preserve">    </w:t>
      </w:r>
      <w:r>
        <w:rPr>
          <w:rFonts w:eastAsia="等线"/>
        </w:rPr>
        <w:t>DnPerformanceReq</w:t>
      </w:r>
      <w:r>
        <w:t>:</w:t>
      </w:r>
    </w:p>
    <w:p w14:paraId="01F125FD" w14:textId="77777777" w:rsidR="007862A2" w:rsidRDefault="007862A2" w:rsidP="007862A2">
      <w:pPr>
        <w:pStyle w:val="PL"/>
      </w:pPr>
      <w:r>
        <w:t xml:space="preserve">      description: Represents other DN performance analytics requirements.</w:t>
      </w:r>
    </w:p>
    <w:p w14:paraId="1B4B19ED" w14:textId="77777777" w:rsidR="007862A2" w:rsidRDefault="007862A2" w:rsidP="007862A2">
      <w:pPr>
        <w:pStyle w:val="PL"/>
      </w:pPr>
      <w:r>
        <w:t xml:space="preserve">      type: object</w:t>
      </w:r>
    </w:p>
    <w:p w14:paraId="2B2E69B9" w14:textId="77777777" w:rsidR="007862A2" w:rsidRDefault="007862A2" w:rsidP="007862A2">
      <w:pPr>
        <w:pStyle w:val="PL"/>
      </w:pPr>
      <w:r>
        <w:t xml:space="preserve">      properties:</w:t>
      </w:r>
    </w:p>
    <w:p w14:paraId="2E9AB9C5" w14:textId="77777777" w:rsidR="007862A2" w:rsidRDefault="007862A2" w:rsidP="007862A2">
      <w:pPr>
        <w:pStyle w:val="PL"/>
      </w:pPr>
      <w:r>
        <w:t xml:space="preserve">        </w:t>
      </w:r>
      <w:r>
        <w:rPr>
          <w:lang w:eastAsia="zh-CN"/>
        </w:rPr>
        <w:t>dnPerfOrderCriter</w:t>
      </w:r>
      <w:r>
        <w:t>:</w:t>
      </w:r>
    </w:p>
    <w:p w14:paraId="00D59310" w14:textId="77777777" w:rsidR="007862A2" w:rsidRDefault="007862A2" w:rsidP="007862A2">
      <w:pPr>
        <w:pStyle w:val="PL"/>
      </w:pPr>
      <w:r>
        <w:t xml:space="preserve">          $ref: '#/components/schemas/</w:t>
      </w:r>
      <w:r>
        <w:rPr>
          <w:lang w:eastAsia="zh-CN"/>
        </w:rPr>
        <w:t>DnPerfOrderingCriterion</w:t>
      </w:r>
      <w:r>
        <w:t>'</w:t>
      </w:r>
    </w:p>
    <w:p w14:paraId="1C776DC9" w14:textId="77777777" w:rsidR="007862A2" w:rsidRDefault="007862A2" w:rsidP="007862A2">
      <w:pPr>
        <w:pStyle w:val="PL"/>
      </w:pPr>
      <w:r>
        <w:t xml:space="preserve">        order:</w:t>
      </w:r>
    </w:p>
    <w:p w14:paraId="2CBB6880" w14:textId="77777777" w:rsidR="007862A2" w:rsidRDefault="007862A2" w:rsidP="007862A2">
      <w:pPr>
        <w:pStyle w:val="PL"/>
      </w:pPr>
      <w:r>
        <w:t xml:space="preserve">          $ref: '#/components/schemas/MatchingDirection'</w:t>
      </w:r>
    </w:p>
    <w:p w14:paraId="2CA4C97C" w14:textId="77777777" w:rsidR="007862A2" w:rsidRDefault="007862A2" w:rsidP="007862A2">
      <w:pPr>
        <w:pStyle w:val="PL"/>
      </w:pPr>
      <w:r>
        <w:t xml:space="preserve">        reportThresholds:</w:t>
      </w:r>
    </w:p>
    <w:p w14:paraId="48D2671C" w14:textId="77777777" w:rsidR="007862A2" w:rsidRDefault="007862A2" w:rsidP="007862A2">
      <w:pPr>
        <w:pStyle w:val="PL"/>
      </w:pPr>
      <w:r>
        <w:t xml:space="preserve">          type: array</w:t>
      </w:r>
    </w:p>
    <w:p w14:paraId="4ACA8330" w14:textId="77777777" w:rsidR="007862A2" w:rsidRDefault="007862A2" w:rsidP="007862A2">
      <w:pPr>
        <w:pStyle w:val="PL"/>
      </w:pPr>
      <w:r>
        <w:t xml:space="preserve">          items:</w:t>
      </w:r>
    </w:p>
    <w:p w14:paraId="56179AB5" w14:textId="77777777" w:rsidR="007862A2" w:rsidRDefault="007862A2" w:rsidP="007862A2">
      <w:pPr>
        <w:pStyle w:val="PL"/>
      </w:pPr>
      <w:r>
        <w:t xml:space="preserve">            $ref: '#/components/schemas/ThresholdLevel'</w:t>
      </w:r>
    </w:p>
    <w:p w14:paraId="6296FC86" w14:textId="77777777" w:rsidR="007862A2" w:rsidRDefault="007862A2" w:rsidP="007862A2">
      <w:pPr>
        <w:pStyle w:val="PL"/>
      </w:pPr>
      <w:r>
        <w:t xml:space="preserve">          minItems: 1</w:t>
      </w:r>
    </w:p>
    <w:p w14:paraId="55629AA9" w14:textId="77777777" w:rsidR="007862A2" w:rsidRDefault="007862A2" w:rsidP="007862A2">
      <w:pPr>
        <w:pStyle w:val="PL"/>
      </w:pPr>
    </w:p>
    <w:p w14:paraId="42D43A82" w14:textId="77777777" w:rsidR="007862A2" w:rsidRDefault="007862A2" w:rsidP="007862A2">
      <w:pPr>
        <w:pStyle w:val="PL"/>
      </w:pPr>
      <w:r>
        <w:t xml:space="preserve">    RatFreqInformation:</w:t>
      </w:r>
    </w:p>
    <w:p w14:paraId="62D56364" w14:textId="77777777" w:rsidR="007862A2" w:rsidRDefault="007862A2" w:rsidP="007862A2">
      <w:pPr>
        <w:pStyle w:val="PL"/>
      </w:pPr>
      <w:r>
        <w:t xml:space="preserve">      description: Represents the RAT type and/or Frequency information.</w:t>
      </w:r>
    </w:p>
    <w:p w14:paraId="2F52EF30" w14:textId="77777777" w:rsidR="007862A2" w:rsidRDefault="007862A2" w:rsidP="007862A2">
      <w:pPr>
        <w:pStyle w:val="PL"/>
      </w:pPr>
      <w:r>
        <w:t xml:space="preserve">      type: object</w:t>
      </w:r>
    </w:p>
    <w:p w14:paraId="1BAEC195" w14:textId="77777777" w:rsidR="007862A2" w:rsidRDefault="007862A2" w:rsidP="007862A2">
      <w:pPr>
        <w:pStyle w:val="PL"/>
      </w:pPr>
      <w:r>
        <w:t xml:space="preserve">      properties:</w:t>
      </w:r>
    </w:p>
    <w:p w14:paraId="1A452D00" w14:textId="77777777" w:rsidR="007862A2" w:rsidRDefault="007862A2" w:rsidP="007862A2">
      <w:pPr>
        <w:pStyle w:val="PL"/>
      </w:pPr>
      <w:r>
        <w:t xml:space="preserve">        allFreq:</w:t>
      </w:r>
    </w:p>
    <w:p w14:paraId="6ADC117E" w14:textId="77777777" w:rsidR="007862A2" w:rsidRDefault="007862A2" w:rsidP="007862A2">
      <w:pPr>
        <w:pStyle w:val="PL"/>
      </w:pPr>
      <w:r>
        <w:t xml:space="preserve">          type: boolean</w:t>
      </w:r>
    </w:p>
    <w:p w14:paraId="17980D55" w14:textId="77777777" w:rsidR="007862A2" w:rsidRDefault="007862A2" w:rsidP="007862A2">
      <w:pPr>
        <w:pStyle w:val="PL"/>
      </w:pPr>
      <w:r>
        <w:t xml:space="preserve">          description: &gt;</w:t>
      </w:r>
    </w:p>
    <w:p w14:paraId="3F44216A" w14:textId="77777777" w:rsidR="007862A2" w:rsidRDefault="007862A2" w:rsidP="007862A2">
      <w:pPr>
        <w:pStyle w:val="PL"/>
      </w:pPr>
      <w:r>
        <w:t xml:space="preserve">            Set to "true" to indicate to handle all the frequencies the NWDAF received, otherwise</w:t>
      </w:r>
    </w:p>
    <w:p w14:paraId="33C2A771" w14:textId="77777777" w:rsidR="007862A2" w:rsidRDefault="007862A2" w:rsidP="007862A2">
      <w:pPr>
        <w:pStyle w:val="PL"/>
      </w:pPr>
      <w:r>
        <w:t xml:space="preserve">            set to "false" or omit. The "allFreq" attribute and the "freq" attribute are mutually</w:t>
      </w:r>
    </w:p>
    <w:p w14:paraId="4D9E5BEA" w14:textId="77777777" w:rsidR="007862A2" w:rsidRDefault="007862A2" w:rsidP="007862A2">
      <w:pPr>
        <w:pStyle w:val="PL"/>
      </w:pPr>
      <w:r>
        <w:t xml:space="preserve">            exclusive.</w:t>
      </w:r>
    </w:p>
    <w:p w14:paraId="4F38ECE2" w14:textId="77777777" w:rsidR="007862A2" w:rsidRDefault="007862A2" w:rsidP="007862A2">
      <w:pPr>
        <w:pStyle w:val="PL"/>
      </w:pPr>
      <w:r>
        <w:t xml:space="preserve">        allRat:</w:t>
      </w:r>
    </w:p>
    <w:p w14:paraId="55E481E0" w14:textId="77777777" w:rsidR="007862A2" w:rsidRDefault="007862A2" w:rsidP="007862A2">
      <w:pPr>
        <w:pStyle w:val="PL"/>
      </w:pPr>
      <w:r>
        <w:t xml:space="preserve">          type: boolean</w:t>
      </w:r>
    </w:p>
    <w:p w14:paraId="3A575E2B" w14:textId="77777777" w:rsidR="007862A2" w:rsidRDefault="007862A2" w:rsidP="007862A2">
      <w:pPr>
        <w:pStyle w:val="PL"/>
        <w:rPr>
          <w:rFonts w:cs="Courier New"/>
          <w:szCs w:val="16"/>
        </w:rPr>
      </w:pPr>
      <w:r>
        <w:rPr>
          <w:rFonts w:cs="Courier New"/>
          <w:szCs w:val="16"/>
        </w:rPr>
        <w:t xml:space="preserve">          description: &gt;</w:t>
      </w:r>
    </w:p>
    <w:p w14:paraId="44C471C3" w14:textId="77777777" w:rsidR="007862A2" w:rsidRDefault="007862A2" w:rsidP="007862A2">
      <w:pPr>
        <w:pStyle w:val="PL"/>
        <w:rPr>
          <w:rFonts w:cs="Courier New"/>
          <w:szCs w:val="16"/>
        </w:rPr>
      </w:pPr>
      <w:r>
        <w:rPr>
          <w:rFonts w:cs="Courier New"/>
          <w:szCs w:val="16"/>
        </w:rPr>
        <w:t xml:space="preserve">            Set to "true" to indicate to handle all the RAT Types the NWDAF received, otherwise</w:t>
      </w:r>
    </w:p>
    <w:p w14:paraId="3F4D0D06" w14:textId="77777777" w:rsidR="007862A2" w:rsidRDefault="007862A2" w:rsidP="007862A2">
      <w:pPr>
        <w:pStyle w:val="PL"/>
        <w:rPr>
          <w:rFonts w:cs="Courier New"/>
          <w:szCs w:val="16"/>
        </w:rPr>
      </w:pPr>
      <w:r>
        <w:rPr>
          <w:rFonts w:cs="Courier New"/>
          <w:szCs w:val="16"/>
        </w:rPr>
        <w:t xml:space="preserve">            set to "false" or omit.</w:t>
      </w:r>
      <w:r>
        <w:t xml:space="preserve"> </w:t>
      </w:r>
      <w:r>
        <w:rPr>
          <w:rFonts w:cs="Courier New"/>
          <w:szCs w:val="16"/>
        </w:rPr>
        <w:t>The "allRat" attribute and the "ratType" attribute are mutually</w:t>
      </w:r>
    </w:p>
    <w:p w14:paraId="09F96817" w14:textId="77777777" w:rsidR="007862A2" w:rsidRDefault="007862A2" w:rsidP="007862A2">
      <w:pPr>
        <w:pStyle w:val="PL"/>
        <w:rPr>
          <w:rFonts w:cs="Courier New"/>
          <w:szCs w:val="16"/>
        </w:rPr>
      </w:pPr>
      <w:r>
        <w:rPr>
          <w:rFonts w:cs="Courier New"/>
          <w:szCs w:val="16"/>
        </w:rPr>
        <w:t xml:space="preserve">            exclusive.</w:t>
      </w:r>
    </w:p>
    <w:p w14:paraId="401AE3B7" w14:textId="77777777" w:rsidR="007862A2" w:rsidRDefault="007862A2" w:rsidP="007862A2">
      <w:pPr>
        <w:pStyle w:val="PL"/>
        <w:rPr>
          <w:rFonts w:cs="Courier New"/>
          <w:szCs w:val="16"/>
        </w:rPr>
      </w:pPr>
      <w:r>
        <w:rPr>
          <w:rFonts w:cs="Courier New"/>
          <w:szCs w:val="16"/>
        </w:rPr>
        <w:t xml:space="preserve">        freq:</w:t>
      </w:r>
    </w:p>
    <w:p w14:paraId="629EC782" w14:textId="77777777" w:rsidR="007862A2" w:rsidRDefault="007862A2" w:rsidP="007862A2">
      <w:pPr>
        <w:pStyle w:val="PL"/>
        <w:rPr>
          <w:rFonts w:cs="Courier New"/>
          <w:szCs w:val="16"/>
        </w:rPr>
      </w:pPr>
      <w:r>
        <w:rPr>
          <w:rFonts w:cs="Courier New"/>
          <w:szCs w:val="16"/>
        </w:rPr>
        <w:t xml:space="preserve">          $ref: 'TS29571_CommonData.yaml#/components/schemas/ArfcnValueNR'</w:t>
      </w:r>
    </w:p>
    <w:p w14:paraId="0058B2E0" w14:textId="77777777" w:rsidR="007862A2" w:rsidRDefault="007862A2" w:rsidP="007862A2">
      <w:pPr>
        <w:pStyle w:val="PL"/>
        <w:rPr>
          <w:rFonts w:cs="Courier New"/>
          <w:szCs w:val="16"/>
        </w:rPr>
      </w:pPr>
      <w:r>
        <w:rPr>
          <w:rFonts w:cs="Courier New"/>
          <w:szCs w:val="16"/>
        </w:rPr>
        <w:t xml:space="preserve">        ratType:</w:t>
      </w:r>
    </w:p>
    <w:p w14:paraId="65D2FD63" w14:textId="77777777" w:rsidR="007862A2" w:rsidRDefault="007862A2" w:rsidP="007862A2">
      <w:pPr>
        <w:pStyle w:val="PL"/>
        <w:rPr>
          <w:rFonts w:cs="Courier New"/>
          <w:szCs w:val="16"/>
        </w:rPr>
      </w:pPr>
      <w:r>
        <w:rPr>
          <w:rFonts w:cs="Courier New"/>
          <w:szCs w:val="16"/>
        </w:rPr>
        <w:t xml:space="preserve">          $ref: 'TS29571_CommonData.yaml#/components/schemas/RatType'</w:t>
      </w:r>
    </w:p>
    <w:p w14:paraId="6A4F99C7" w14:textId="77777777" w:rsidR="007862A2" w:rsidRDefault="007862A2" w:rsidP="007862A2">
      <w:pPr>
        <w:pStyle w:val="PL"/>
        <w:rPr>
          <w:rFonts w:cs="Courier New"/>
          <w:szCs w:val="16"/>
        </w:rPr>
      </w:pPr>
      <w:r>
        <w:rPr>
          <w:rFonts w:cs="Courier New"/>
          <w:szCs w:val="16"/>
        </w:rPr>
        <w:t xml:space="preserve">        svcExpThreshold:</w:t>
      </w:r>
    </w:p>
    <w:p w14:paraId="0ACB5537" w14:textId="77777777" w:rsidR="007862A2" w:rsidRDefault="007862A2" w:rsidP="007862A2">
      <w:pPr>
        <w:pStyle w:val="PL"/>
        <w:rPr>
          <w:rFonts w:cs="Courier New"/>
          <w:szCs w:val="16"/>
        </w:rPr>
      </w:pPr>
      <w:r>
        <w:rPr>
          <w:rFonts w:cs="Courier New"/>
          <w:szCs w:val="16"/>
        </w:rPr>
        <w:t xml:space="preserve">          $ref: '#/components/schemas/ThresholdLevel'</w:t>
      </w:r>
    </w:p>
    <w:p w14:paraId="3590E45D" w14:textId="77777777" w:rsidR="007862A2" w:rsidRDefault="007862A2" w:rsidP="007862A2">
      <w:pPr>
        <w:pStyle w:val="PL"/>
        <w:rPr>
          <w:rFonts w:cs="Courier New"/>
          <w:szCs w:val="16"/>
        </w:rPr>
      </w:pPr>
      <w:r>
        <w:rPr>
          <w:rFonts w:cs="Courier New"/>
          <w:szCs w:val="16"/>
        </w:rPr>
        <w:t xml:space="preserve">        matchingDir:</w:t>
      </w:r>
    </w:p>
    <w:p w14:paraId="1295A545" w14:textId="77777777" w:rsidR="007862A2" w:rsidRDefault="007862A2" w:rsidP="007862A2">
      <w:pPr>
        <w:pStyle w:val="PL"/>
        <w:rPr>
          <w:rFonts w:cs="Courier New"/>
          <w:szCs w:val="16"/>
        </w:rPr>
      </w:pPr>
      <w:r>
        <w:rPr>
          <w:rFonts w:cs="Courier New"/>
          <w:szCs w:val="16"/>
        </w:rPr>
        <w:t xml:space="preserve">          $ref: '#/components/schemas/MatchingDirection'</w:t>
      </w:r>
    </w:p>
    <w:p w14:paraId="11F2079C" w14:textId="77777777" w:rsidR="007862A2" w:rsidRDefault="007862A2" w:rsidP="007862A2">
      <w:pPr>
        <w:pStyle w:val="PL"/>
      </w:pPr>
    </w:p>
    <w:p w14:paraId="0D1AA05A" w14:textId="77777777" w:rsidR="007862A2" w:rsidRDefault="007862A2" w:rsidP="007862A2">
      <w:pPr>
        <w:pStyle w:val="PL"/>
      </w:pPr>
      <w:r>
        <w:t xml:space="preserve">    PrevSubInfo:</w:t>
      </w:r>
    </w:p>
    <w:p w14:paraId="51864468" w14:textId="77777777" w:rsidR="007862A2" w:rsidRDefault="007862A2" w:rsidP="007862A2">
      <w:pPr>
        <w:pStyle w:val="PL"/>
      </w:pPr>
      <w:r>
        <w:t xml:space="preserve">      description: Information of the previous subscription.</w:t>
      </w:r>
    </w:p>
    <w:p w14:paraId="26FB2DF6" w14:textId="77777777" w:rsidR="007862A2" w:rsidRDefault="007862A2" w:rsidP="007862A2">
      <w:pPr>
        <w:pStyle w:val="PL"/>
      </w:pPr>
      <w:r>
        <w:t xml:space="preserve">      type: object</w:t>
      </w:r>
    </w:p>
    <w:p w14:paraId="0D1F0A97" w14:textId="77777777" w:rsidR="007862A2" w:rsidRDefault="007862A2" w:rsidP="007862A2">
      <w:pPr>
        <w:pStyle w:val="PL"/>
      </w:pPr>
      <w:r>
        <w:t xml:space="preserve">      properties:</w:t>
      </w:r>
    </w:p>
    <w:p w14:paraId="7AE5FC9F" w14:textId="77777777" w:rsidR="007862A2" w:rsidRDefault="007862A2" w:rsidP="007862A2">
      <w:pPr>
        <w:pStyle w:val="PL"/>
      </w:pPr>
      <w:r>
        <w:t xml:space="preserve">        producerId:</w:t>
      </w:r>
    </w:p>
    <w:p w14:paraId="641961AF" w14:textId="77777777" w:rsidR="007862A2" w:rsidRDefault="007862A2" w:rsidP="007862A2">
      <w:pPr>
        <w:pStyle w:val="PL"/>
      </w:pPr>
      <w:r>
        <w:lastRenderedPageBreak/>
        <w:t xml:space="preserve">          $ref: 'TS29571_CommonData.yaml#/components/schemas/NfInstanceId'</w:t>
      </w:r>
    </w:p>
    <w:p w14:paraId="3CC57594" w14:textId="77777777" w:rsidR="007862A2" w:rsidRDefault="007862A2" w:rsidP="007862A2">
      <w:pPr>
        <w:pStyle w:val="PL"/>
      </w:pPr>
      <w:r>
        <w:t xml:space="preserve">        producerSetId:</w:t>
      </w:r>
    </w:p>
    <w:p w14:paraId="7E3C8408" w14:textId="77777777" w:rsidR="007862A2" w:rsidRDefault="007862A2" w:rsidP="007862A2">
      <w:pPr>
        <w:pStyle w:val="PL"/>
      </w:pPr>
      <w:r>
        <w:t xml:space="preserve">          $ref: 'TS29571_CommonData.yaml#/components/schemas/NfSetId'</w:t>
      </w:r>
    </w:p>
    <w:p w14:paraId="72A21BDE" w14:textId="77777777" w:rsidR="007862A2" w:rsidRDefault="007862A2" w:rsidP="007862A2">
      <w:pPr>
        <w:pStyle w:val="PL"/>
      </w:pPr>
      <w:r>
        <w:t xml:space="preserve">        subscriptionId:</w:t>
      </w:r>
    </w:p>
    <w:p w14:paraId="50140251" w14:textId="77777777" w:rsidR="007862A2" w:rsidRDefault="007862A2" w:rsidP="007862A2">
      <w:pPr>
        <w:pStyle w:val="PL"/>
      </w:pPr>
      <w:r>
        <w:t xml:space="preserve">          type: string</w:t>
      </w:r>
    </w:p>
    <w:p w14:paraId="2AA9C235" w14:textId="77777777" w:rsidR="007862A2" w:rsidRDefault="007862A2" w:rsidP="007862A2">
      <w:pPr>
        <w:pStyle w:val="PL"/>
      </w:pPr>
      <w:r>
        <w:t xml:space="preserve">          description: The identifier of a subscription.</w:t>
      </w:r>
    </w:p>
    <w:p w14:paraId="4D8C2A7E" w14:textId="77777777" w:rsidR="007862A2" w:rsidRDefault="007862A2" w:rsidP="007862A2">
      <w:pPr>
        <w:pStyle w:val="PL"/>
      </w:pPr>
      <w:r>
        <w:t xml:space="preserve">        nfAnaEvents:</w:t>
      </w:r>
    </w:p>
    <w:p w14:paraId="1547094E" w14:textId="77777777" w:rsidR="007862A2" w:rsidRDefault="007862A2" w:rsidP="007862A2">
      <w:pPr>
        <w:pStyle w:val="PL"/>
      </w:pPr>
      <w:r>
        <w:t xml:space="preserve">          type: array</w:t>
      </w:r>
    </w:p>
    <w:p w14:paraId="613CAD88" w14:textId="77777777" w:rsidR="007862A2" w:rsidRDefault="007862A2" w:rsidP="007862A2">
      <w:pPr>
        <w:pStyle w:val="PL"/>
      </w:pPr>
      <w:r>
        <w:t xml:space="preserve">          items:</w:t>
      </w:r>
    </w:p>
    <w:p w14:paraId="6FDA1D16" w14:textId="77777777" w:rsidR="007862A2" w:rsidRDefault="007862A2" w:rsidP="007862A2">
      <w:pPr>
        <w:pStyle w:val="PL"/>
      </w:pPr>
      <w:r>
        <w:t xml:space="preserve">            $ref: '#/components/schemas/NwdafEvent'</w:t>
      </w:r>
    </w:p>
    <w:p w14:paraId="1D9AB74D" w14:textId="77777777" w:rsidR="007862A2" w:rsidRDefault="007862A2" w:rsidP="007862A2">
      <w:pPr>
        <w:pStyle w:val="PL"/>
      </w:pPr>
      <w:r>
        <w:t xml:space="preserve">          minItems: 1</w:t>
      </w:r>
    </w:p>
    <w:p w14:paraId="5376C470" w14:textId="77777777" w:rsidR="007862A2" w:rsidRDefault="007862A2" w:rsidP="007862A2">
      <w:pPr>
        <w:pStyle w:val="PL"/>
      </w:pPr>
      <w:r>
        <w:t xml:space="preserve">        ueAnaEvents:</w:t>
      </w:r>
    </w:p>
    <w:p w14:paraId="0E5AD0C3" w14:textId="77777777" w:rsidR="007862A2" w:rsidRDefault="007862A2" w:rsidP="007862A2">
      <w:pPr>
        <w:pStyle w:val="PL"/>
      </w:pPr>
      <w:r>
        <w:t xml:space="preserve">          type: array</w:t>
      </w:r>
    </w:p>
    <w:p w14:paraId="4D0774AC" w14:textId="77777777" w:rsidR="007862A2" w:rsidRDefault="007862A2" w:rsidP="007862A2">
      <w:pPr>
        <w:pStyle w:val="PL"/>
      </w:pPr>
      <w:r>
        <w:t xml:space="preserve">          items:</w:t>
      </w:r>
    </w:p>
    <w:p w14:paraId="3213CE4A" w14:textId="77777777" w:rsidR="007862A2" w:rsidRDefault="007862A2" w:rsidP="007862A2">
      <w:pPr>
        <w:pStyle w:val="PL"/>
      </w:pPr>
      <w:r>
        <w:t xml:space="preserve">            $ref: '#/components/schemas/UeAnalyticsContextDescriptor'</w:t>
      </w:r>
    </w:p>
    <w:p w14:paraId="3CDDC4A0" w14:textId="77777777" w:rsidR="007862A2" w:rsidRDefault="007862A2" w:rsidP="007862A2">
      <w:pPr>
        <w:pStyle w:val="PL"/>
      </w:pPr>
      <w:r>
        <w:t xml:space="preserve">          minItems: 1</w:t>
      </w:r>
    </w:p>
    <w:p w14:paraId="22CCFC81" w14:textId="77777777" w:rsidR="007862A2" w:rsidRDefault="007862A2" w:rsidP="007862A2">
      <w:pPr>
        <w:pStyle w:val="PL"/>
      </w:pPr>
      <w:r>
        <w:t xml:space="preserve">      required:</w:t>
      </w:r>
    </w:p>
    <w:p w14:paraId="2CFF9431" w14:textId="77777777" w:rsidR="007862A2" w:rsidRDefault="007862A2" w:rsidP="007862A2">
      <w:pPr>
        <w:pStyle w:val="PL"/>
      </w:pPr>
      <w:r>
        <w:t xml:space="preserve">        - subscriptionId</w:t>
      </w:r>
    </w:p>
    <w:p w14:paraId="63E4DF89" w14:textId="77777777" w:rsidR="007862A2" w:rsidRDefault="007862A2" w:rsidP="007862A2">
      <w:pPr>
        <w:pStyle w:val="PL"/>
      </w:pPr>
      <w:r>
        <w:t xml:space="preserve">      oneOf:</w:t>
      </w:r>
    </w:p>
    <w:p w14:paraId="5E606C66" w14:textId="77777777" w:rsidR="007862A2" w:rsidRDefault="007862A2" w:rsidP="007862A2">
      <w:pPr>
        <w:pStyle w:val="PL"/>
      </w:pPr>
      <w:r>
        <w:t xml:space="preserve">        - required: [producerId]</w:t>
      </w:r>
    </w:p>
    <w:p w14:paraId="342B78E5" w14:textId="77777777" w:rsidR="007862A2" w:rsidRDefault="007862A2" w:rsidP="007862A2">
      <w:pPr>
        <w:pStyle w:val="PL"/>
        <w:rPr>
          <w:rFonts w:cs="Courier New"/>
          <w:szCs w:val="16"/>
        </w:rPr>
      </w:pPr>
      <w:r>
        <w:t xml:space="preserve">        - required: [producerSetId]</w:t>
      </w:r>
    </w:p>
    <w:p w14:paraId="02C9BBFE" w14:textId="77777777" w:rsidR="007862A2" w:rsidRDefault="007862A2" w:rsidP="007862A2">
      <w:pPr>
        <w:pStyle w:val="PL"/>
        <w:rPr>
          <w:rFonts w:cs="Courier New"/>
          <w:szCs w:val="16"/>
        </w:rPr>
      </w:pPr>
    </w:p>
    <w:p w14:paraId="103DA7BD" w14:textId="77777777" w:rsidR="007862A2" w:rsidRDefault="007862A2" w:rsidP="007862A2">
      <w:pPr>
        <w:pStyle w:val="PL"/>
      </w:pPr>
      <w:r>
        <w:t xml:space="preserve">    ResourceUsage:</w:t>
      </w:r>
    </w:p>
    <w:p w14:paraId="2858B470" w14:textId="77777777" w:rsidR="007862A2" w:rsidRDefault="007862A2" w:rsidP="007862A2">
      <w:pPr>
        <w:pStyle w:val="PL"/>
      </w:pPr>
      <w:r>
        <w:t xml:space="preserve">      description: &gt;</w:t>
      </w:r>
    </w:p>
    <w:p w14:paraId="6E0EEEB2" w14:textId="77777777" w:rsidR="007862A2" w:rsidRDefault="007862A2" w:rsidP="007862A2">
      <w:pPr>
        <w:pStyle w:val="PL"/>
      </w:pPr>
      <w:r>
        <w:t xml:space="preserve">        The current usage of the virtual resources assigned to the NF instances belonging to a</w:t>
      </w:r>
    </w:p>
    <w:p w14:paraId="4DE823D7" w14:textId="77777777" w:rsidR="007862A2" w:rsidRDefault="007862A2" w:rsidP="007862A2">
      <w:pPr>
        <w:pStyle w:val="PL"/>
      </w:pPr>
      <w:r>
        <w:t xml:space="preserve">        particular network slice instance.</w:t>
      </w:r>
    </w:p>
    <w:p w14:paraId="5DB3CEA3" w14:textId="77777777" w:rsidR="007862A2" w:rsidRDefault="007862A2" w:rsidP="007862A2">
      <w:pPr>
        <w:pStyle w:val="PL"/>
      </w:pPr>
      <w:r>
        <w:t xml:space="preserve">      type: object</w:t>
      </w:r>
    </w:p>
    <w:p w14:paraId="560B33C2" w14:textId="77777777" w:rsidR="007862A2" w:rsidRDefault="007862A2" w:rsidP="007862A2">
      <w:pPr>
        <w:pStyle w:val="PL"/>
      </w:pPr>
      <w:r>
        <w:t xml:space="preserve">      properties:</w:t>
      </w:r>
    </w:p>
    <w:p w14:paraId="06CD6C93" w14:textId="77777777" w:rsidR="007862A2" w:rsidRDefault="007862A2" w:rsidP="007862A2">
      <w:pPr>
        <w:pStyle w:val="PL"/>
      </w:pPr>
      <w:r>
        <w:t xml:space="preserve">        cpuUsage:</w:t>
      </w:r>
    </w:p>
    <w:p w14:paraId="11CB07BD" w14:textId="77777777" w:rsidR="007862A2" w:rsidRDefault="007862A2" w:rsidP="007862A2">
      <w:pPr>
        <w:pStyle w:val="PL"/>
      </w:pPr>
      <w:r>
        <w:t xml:space="preserve">          $ref: 'TS29571_CommonData.yaml#/components/schemas/Uinteger'</w:t>
      </w:r>
    </w:p>
    <w:p w14:paraId="34F4AA50" w14:textId="77777777" w:rsidR="007862A2" w:rsidRDefault="007862A2" w:rsidP="007862A2">
      <w:pPr>
        <w:pStyle w:val="PL"/>
        <w:rPr>
          <w:lang w:val="en-US"/>
        </w:rPr>
      </w:pPr>
      <w:r>
        <w:t xml:space="preserve">        memoryUsage</w:t>
      </w:r>
      <w:r>
        <w:rPr>
          <w:lang w:val="en-US"/>
        </w:rPr>
        <w:t>:</w:t>
      </w:r>
    </w:p>
    <w:p w14:paraId="293691EF" w14:textId="77777777" w:rsidR="007862A2" w:rsidRDefault="007862A2" w:rsidP="007862A2">
      <w:pPr>
        <w:pStyle w:val="PL"/>
      </w:pPr>
      <w:r>
        <w:t xml:space="preserve">          $ref: 'TS29571_CommonData.yaml#/components/schemas/Uinteger'</w:t>
      </w:r>
    </w:p>
    <w:p w14:paraId="2D89539E" w14:textId="77777777" w:rsidR="007862A2" w:rsidRDefault="007862A2" w:rsidP="007862A2">
      <w:pPr>
        <w:pStyle w:val="PL"/>
        <w:rPr>
          <w:lang w:val="en-US"/>
        </w:rPr>
      </w:pPr>
      <w:r>
        <w:t xml:space="preserve">        storageUsage</w:t>
      </w:r>
      <w:r>
        <w:rPr>
          <w:lang w:val="en-US"/>
        </w:rPr>
        <w:t>:</w:t>
      </w:r>
    </w:p>
    <w:p w14:paraId="0859AD6B" w14:textId="77777777" w:rsidR="007862A2" w:rsidRDefault="007862A2" w:rsidP="007862A2">
      <w:pPr>
        <w:pStyle w:val="PL"/>
      </w:pPr>
      <w:r>
        <w:t xml:space="preserve">          $ref: 'TS29571_CommonData.yaml#/components/schemas/Uinteger'</w:t>
      </w:r>
    </w:p>
    <w:p w14:paraId="735E8D40" w14:textId="77777777" w:rsidR="007862A2" w:rsidRDefault="007862A2" w:rsidP="007862A2">
      <w:pPr>
        <w:pStyle w:val="PL"/>
      </w:pPr>
    </w:p>
    <w:p w14:paraId="0D5DD6F9" w14:textId="77777777" w:rsidR="007862A2" w:rsidRDefault="007862A2" w:rsidP="007862A2">
      <w:pPr>
        <w:pStyle w:val="PL"/>
      </w:pPr>
      <w:r>
        <w:t xml:space="preserve">    ConsumerNfInformation:</w:t>
      </w:r>
    </w:p>
    <w:p w14:paraId="640CD8B6" w14:textId="77777777" w:rsidR="007862A2" w:rsidRDefault="007862A2" w:rsidP="007862A2">
      <w:pPr>
        <w:pStyle w:val="PL"/>
      </w:pPr>
      <w:r>
        <w:t xml:space="preserve">      description: Represents the analytics consumer NF Information.</w:t>
      </w:r>
    </w:p>
    <w:p w14:paraId="5BE2982E" w14:textId="77777777" w:rsidR="007862A2" w:rsidRDefault="007862A2" w:rsidP="007862A2">
      <w:pPr>
        <w:pStyle w:val="PL"/>
      </w:pPr>
      <w:r>
        <w:t xml:space="preserve">      type: object</w:t>
      </w:r>
    </w:p>
    <w:p w14:paraId="1EF5034A" w14:textId="77777777" w:rsidR="007862A2" w:rsidRDefault="007862A2" w:rsidP="007862A2">
      <w:pPr>
        <w:pStyle w:val="PL"/>
      </w:pPr>
      <w:r>
        <w:t xml:space="preserve">      properties:</w:t>
      </w:r>
    </w:p>
    <w:p w14:paraId="388BFAE9" w14:textId="77777777" w:rsidR="007862A2" w:rsidRDefault="007862A2" w:rsidP="007862A2">
      <w:pPr>
        <w:pStyle w:val="PL"/>
      </w:pPr>
      <w:r>
        <w:t xml:space="preserve">        nfId:</w:t>
      </w:r>
    </w:p>
    <w:p w14:paraId="6D258BFE" w14:textId="77777777" w:rsidR="007862A2" w:rsidRDefault="007862A2" w:rsidP="007862A2">
      <w:pPr>
        <w:pStyle w:val="PL"/>
      </w:pPr>
      <w:r>
        <w:t xml:space="preserve">          $ref: 'TS29571_CommonData.yaml#/components/schemas/NfInstanceId'</w:t>
      </w:r>
    </w:p>
    <w:p w14:paraId="547876D3" w14:textId="77777777" w:rsidR="007862A2" w:rsidRDefault="007862A2" w:rsidP="007862A2">
      <w:pPr>
        <w:pStyle w:val="PL"/>
      </w:pPr>
      <w:r>
        <w:t xml:space="preserve">        nfSetId:</w:t>
      </w:r>
    </w:p>
    <w:p w14:paraId="2C7357B1" w14:textId="77777777" w:rsidR="007862A2" w:rsidRDefault="007862A2" w:rsidP="007862A2">
      <w:pPr>
        <w:pStyle w:val="PL"/>
      </w:pPr>
      <w:r>
        <w:t xml:space="preserve">          $ref: 'TS29571_CommonData.yaml#/components/schemas/NfSetId'</w:t>
      </w:r>
    </w:p>
    <w:p w14:paraId="5FF7EF60" w14:textId="77777777" w:rsidR="007862A2" w:rsidRDefault="007862A2" w:rsidP="007862A2">
      <w:pPr>
        <w:pStyle w:val="PL"/>
      </w:pPr>
      <w:r>
        <w:t xml:space="preserve">        taiList:</w:t>
      </w:r>
    </w:p>
    <w:p w14:paraId="45A71A0E" w14:textId="77777777" w:rsidR="007862A2" w:rsidRDefault="007862A2" w:rsidP="007862A2">
      <w:pPr>
        <w:pStyle w:val="PL"/>
      </w:pPr>
      <w:r>
        <w:t xml:space="preserve">          type: array</w:t>
      </w:r>
    </w:p>
    <w:p w14:paraId="369F5F4E" w14:textId="77777777" w:rsidR="007862A2" w:rsidRDefault="007862A2" w:rsidP="007862A2">
      <w:pPr>
        <w:pStyle w:val="PL"/>
      </w:pPr>
      <w:r>
        <w:t xml:space="preserve">          items:</w:t>
      </w:r>
    </w:p>
    <w:p w14:paraId="1B181379" w14:textId="77777777" w:rsidR="007862A2" w:rsidRDefault="007862A2" w:rsidP="007862A2">
      <w:pPr>
        <w:pStyle w:val="PL"/>
      </w:pPr>
      <w:r>
        <w:t xml:space="preserve">            $ref: 'TS29571_CommonData.yaml#/components/schemas/Tai'</w:t>
      </w:r>
    </w:p>
    <w:p w14:paraId="05AFBE29" w14:textId="77777777" w:rsidR="007862A2" w:rsidRDefault="007862A2" w:rsidP="007862A2">
      <w:pPr>
        <w:pStyle w:val="PL"/>
      </w:pPr>
      <w:r>
        <w:t xml:space="preserve">          minItems: 1</w:t>
      </w:r>
    </w:p>
    <w:p w14:paraId="421EDD06" w14:textId="77777777" w:rsidR="007862A2" w:rsidRDefault="007862A2" w:rsidP="007862A2">
      <w:pPr>
        <w:pStyle w:val="PL"/>
      </w:pPr>
      <w:r>
        <w:t xml:space="preserve">      oneOf:</w:t>
      </w:r>
    </w:p>
    <w:p w14:paraId="3511F683" w14:textId="77777777" w:rsidR="007862A2" w:rsidRDefault="007862A2" w:rsidP="007862A2">
      <w:pPr>
        <w:pStyle w:val="PL"/>
      </w:pPr>
      <w:r>
        <w:t xml:space="preserve">        - oneOf:</w:t>
      </w:r>
    </w:p>
    <w:p w14:paraId="0D2AD66F" w14:textId="77777777" w:rsidR="007862A2" w:rsidRDefault="007862A2" w:rsidP="007862A2">
      <w:pPr>
        <w:pStyle w:val="PL"/>
      </w:pPr>
      <w:r>
        <w:t xml:space="preserve">          - required: [nfId]</w:t>
      </w:r>
    </w:p>
    <w:p w14:paraId="3F7127CE" w14:textId="77777777" w:rsidR="007862A2" w:rsidRDefault="007862A2" w:rsidP="007862A2">
      <w:pPr>
        <w:pStyle w:val="PL"/>
      </w:pPr>
      <w:r>
        <w:t xml:space="preserve">          - required: [nfSetId]</w:t>
      </w:r>
    </w:p>
    <w:p w14:paraId="7310EE9D" w14:textId="77777777" w:rsidR="007862A2" w:rsidRDefault="007862A2" w:rsidP="007862A2">
      <w:pPr>
        <w:pStyle w:val="PL"/>
      </w:pPr>
      <w:r>
        <w:t xml:space="preserve">        - required: [taiList]</w:t>
      </w:r>
    </w:p>
    <w:p w14:paraId="6B9EE2A3" w14:textId="77777777" w:rsidR="007862A2" w:rsidRDefault="007862A2" w:rsidP="007862A2">
      <w:pPr>
        <w:pStyle w:val="PL"/>
      </w:pPr>
    </w:p>
    <w:p w14:paraId="49696CBE" w14:textId="77777777" w:rsidR="007862A2" w:rsidRDefault="007862A2" w:rsidP="007862A2">
      <w:pPr>
        <w:pStyle w:val="PL"/>
      </w:pPr>
      <w:r>
        <w:t xml:space="preserve">    UeCommReq:</w:t>
      </w:r>
    </w:p>
    <w:p w14:paraId="6C7D93A8" w14:textId="77777777" w:rsidR="007862A2" w:rsidRDefault="007862A2" w:rsidP="007862A2">
      <w:pPr>
        <w:pStyle w:val="PL"/>
      </w:pPr>
      <w:r>
        <w:t xml:space="preserve">      description: </w:t>
      </w:r>
      <w:r>
        <w:rPr>
          <w:rFonts w:hint="eastAsia"/>
          <w:lang w:eastAsia="zh-CN"/>
        </w:rPr>
        <w:t>U</w:t>
      </w:r>
      <w:r>
        <w:rPr>
          <w:lang w:eastAsia="zh-CN"/>
        </w:rPr>
        <w:t xml:space="preserve">E communication analytics </w:t>
      </w:r>
      <w:r>
        <w:rPr>
          <w:lang w:eastAsia="ko-KR"/>
        </w:rPr>
        <w:t>requirement.</w:t>
      </w:r>
    </w:p>
    <w:p w14:paraId="28967DAF" w14:textId="77777777" w:rsidR="007862A2" w:rsidRDefault="007862A2" w:rsidP="007862A2">
      <w:pPr>
        <w:pStyle w:val="PL"/>
      </w:pPr>
      <w:r>
        <w:t xml:space="preserve">      type: object</w:t>
      </w:r>
    </w:p>
    <w:p w14:paraId="30605A8C" w14:textId="77777777" w:rsidR="007862A2" w:rsidRDefault="007862A2" w:rsidP="007862A2">
      <w:pPr>
        <w:pStyle w:val="PL"/>
      </w:pPr>
      <w:r>
        <w:t xml:space="preserve">      properties:</w:t>
      </w:r>
    </w:p>
    <w:p w14:paraId="7B7E7AA2" w14:textId="77777777" w:rsidR="007862A2" w:rsidRDefault="007862A2" w:rsidP="007862A2">
      <w:pPr>
        <w:pStyle w:val="PL"/>
      </w:pPr>
      <w:r>
        <w:t xml:space="preserve">        </w:t>
      </w:r>
      <w:r>
        <w:rPr>
          <w:rFonts w:hint="eastAsia"/>
          <w:lang w:eastAsia="zh-CN"/>
        </w:rPr>
        <w:t>o</w:t>
      </w:r>
      <w:r>
        <w:rPr>
          <w:lang w:eastAsia="zh-CN"/>
        </w:rPr>
        <w:t>rderCriterion</w:t>
      </w:r>
      <w:r>
        <w:t>:</w:t>
      </w:r>
    </w:p>
    <w:p w14:paraId="3E338785" w14:textId="77777777" w:rsidR="007862A2" w:rsidRDefault="007862A2" w:rsidP="007862A2">
      <w:pPr>
        <w:pStyle w:val="PL"/>
      </w:pPr>
      <w:r>
        <w:t xml:space="preserve">          $ref: '#/components/schemas/UeCommOrderCriterion'</w:t>
      </w:r>
    </w:p>
    <w:p w14:paraId="59E2DE18" w14:textId="77777777" w:rsidR="007862A2" w:rsidRDefault="007862A2" w:rsidP="007862A2">
      <w:pPr>
        <w:pStyle w:val="PL"/>
      </w:pPr>
      <w:r>
        <w:t xml:space="preserve">        </w:t>
      </w:r>
      <w:r>
        <w:rPr>
          <w:lang w:eastAsia="zh-CN"/>
        </w:rPr>
        <w:t>o</w:t>
      </w:r>
      <w:r>
        <w:rPr>
          <w:rFonts w:hint="eastAsia"/>
          <w:lang w:eastAsia="zh-CN"/>
        </w:rPr>
        <w:t>rder</w:t>
      </w:r>
      <w:r>
        <w:rPr>
          <w:lang w:eastAsia="zh-CN"/>
        </w:rPr>
        <w:t>Direction</w:t>
      </w:r>
      <w:r>
        <w:t>:</w:t>
      </w:r>
    </w:p>
    <w:p w14:paraId="6F6F2452" w14:textId="77777777" w:rsidR="007862A2" w:rsidRDefault="007862A2" w:rsidP="007862A2">
      <w:pPr>
        <w:pStyle w:val="PL"/>
        <w:rPr>
          <w:rFonts w:cs="Courier New"/>
          <w:szCs w:val="16"/>
        </w:rPr>
      </w:pPr>
      <w:r>
        <w:rPr>
          <w:rFonts w:cs="Courier New"/>
          <w:szCs w:val="16"/>
        </w:rPr>
        <w:t xml:space="preserve">          $ref: '#/components/schemas/MatchingDirection'</w:t>
      </w:r>
    </w:p>
    <w:p w14:paraId="15D14352" w14:textId="77777777" w:rsidR="007862A2" w:rsidRDefault="007862A2" w:rsidP="007862A2">
      <w:pPr>
        <w:pStyle w:val="PL"/>
      </w:pPr>
      <w:r>
        <w:t xml:space="preserve">    UeMobilityReq:</w:t>
      </w:r>
    </w:p>
    <w:p w14:paraId="18105910" w14:textId="77777777" w:rsidR="007862A2" w:rsidRDefault="007862A2" w:rsidP="007862A2">
      <w:pPr>
        <w:pStyle w:val="PL"/>
      </w:pPr>
      <w:r>
        <w:t xml:space="preserve">      description: </w:t>
      </w:r>
      <w:r>
        <w:rPr>
          <w:rFonts w:hint="eastAsia"/>
          <w:lang w:eastAsia="zh-CN"/>
        </w:rPr>
        <w:t>U</w:t>
      </w:r>
      <w:r>
        <w:rPr>
          <w:lang w:eastAsia="zh-CN"/>
        </w:rPr>
        <w:t xml:space="preserve">E mobility analytics </w:t>
      </w:r>
      <w:r>
        <w:rPr>
          <w:lang w:eastAsia="ko-KR"/>
        </w:rPr>
        <w:t>requirement.</w:t>
      </w:r>
    </w:p>
    <w:p w14:paraId="46357E19" w14:textId="77777777" w:rsidR="007862A2" w:rsidRDefault="007862A2" w:rsidP="007862A2">
      <w:pPr>
        <w:pStyle w:val="PL"/>
      </w:pPr>
      <w:r>
        <w:t xml:space="preserve">      type: object</w:t>
      </w:r>
    </w:p>
    <w:p w14:paraId="0D336345" w14:textId="77777777" w:rsidR="007862A2" w:rsidRDefault="007862A2" w:rsidP="007862A2">
      <w:pPr>
        <w:pStyle w:val="PL"/>
      </w:pPr>
      <w:r>
        <w:t xml:space="preserve">      properties:</w:t>
      </w:r>
    </w:p>
    <w:p w14:paraId="07740DE9" w14:textId="77777777" w:rsidR="007862A2" w:rsidRDefault="007862A2" w:rsidP="007862A2">
      <w:pPr>
        <w:pStyle w:val="PL"/>
      </w:pPr>
      <w:r>
        <w:t xml:space="preserve">        </w:t>
      </w:r>
      <w:r>
        <w:rPr>
          <w:rFonts w:hint="eastAsia"/>
          <w:lang w:eastAsia="zh-CN"/>
        </w:rPr>
        <w:t>o</w:t>
      </w:r>
      <w:r>
        <w:rPr>
          <w:lang w:eastAsia="zh-CN"/>
        </w:rPr>
        <w:t>rderCriterion</w:t>
      </w:r>
      <w:r>
        <w:t>:</w:t>
      </w:r>
    </w:p>
    <w:p w14:paraId="0A464DD5" w14:textId="77777777" w:rsidR="007862A2" w:rsidRDefault="007862A2" w:rsidP="007862A2">
      <w:pPr>
        <w:pStyle w:val="PL"/>
      </w:pPr>
      <w:r>
        <w:t xml:space="preserve">          $ref: '#/components/schemas/UeMobilityOrderCriterion'</w:t>
      </w:r>
    </w:p>
    <w:p w14:paraId="4624A1F8" w14:textId="77777777" w:rsidR="007862A2" w:rsidRDefault="007862A2" w:rsidP="007862A2">
      <w:pPr>
        <w:pStyle w:val="PL"/>
      </w:pPr>
      <w:r>
        <w:t xml:space="preserve">        </w:t>
      </w:r>
      <w:r>
        <w:rPr>
          <w:lang w:eastAsia="zh-CN"/>
        </w:rPr>
        <w:t>o</w:t>
      </w:r>
      <w:r>
        <w:rPr>
          <w:rFonts w:hint="eastAsia"/>
          <w:lang w:eastAsia="zh-CN"/>
        </w:rPr>
        <w:t>rder</w:t>
      </w:r>
      <w:r>
        <w:rPr>
          <w:lang w:eastAsia="zh-CN"/>
        </w:rPr>
        <w:t>Direction</w:t>
      </w:r>
      <w:r>
        <w:t>:</w:t>
      </w:r>
    </w:p>
    <w:p w14:paraId="06668CC6" w14:textId="77777777" w:rsidR="007862A2" w:rsidRDefault="007862A2" w:rsidP="007862A2">
      <w:pPr>
        <w:pStyle w:val="PL"/>
        <w:rPr>
          <w:rFonts w:cs="Courier New"/>
          <w:szCs w:val="16"/>
        </w:rPr>
      </w:pPr>
      <w:r>
        <w:rPr>
          <w:rFonts w:cs="Courier New"/>
          <w:szCs w:val="16"/>
        </w:rPr>
        <w:t xml:space="preserve">          $ref: '#/components/schemas/MatchingDirection'</w:t>
      </w:r>
    </w:p>
    <w:p w14:paraId="27334E10" w14:textId="77777777" w:rsidR="007862A2" w:rsidRDefault="007862A2" w:rsidP="007862A2">
      <w:pPr>
        <w:pStyle w:val="PL"/>
      </w:pPr>
      <w:r>
        <w:t xml:space="preserve">        </w:t>
      </w:r>
      <w:r>
        <w:rPr>
          <w:rFonts w:hint="eastAsia"/>
          <w:lang w:eastAsia="zh-CN"/>
        </w:rPr>
        <w:t>u</w:t>
      </w:r>
      <w:r>
        <w:rPr>
          <w:lang w:eastAsia="zh-CN"/>
        </w:rPr>
        <w:t>eLocOrderInd</w:t>
      </w:r>
      <w:r>
        <w:t>:</w:t>
      </w:r>
    </w:p>
    <w:p w14:paraId="7646963F" w14:textId="77777777" w:rsidR="007862A2" w:rsidRDefault="007862A2" w:rsidP="007862A2">
      <w:pPr>
        <w:pStyle w:val="PL"/>
        <w:rPr>
          <w:lang w:eastAsia="zh-CN"/>
        </w:rPr>
      </w:pPr>
      <w:r>
        <w:rPr>
          <w:rFonts w:hint="eastAsia"/>
          <w:lang w:eastAsia="zh-CN"/>
        </w:rPr>
        <w:t xml:space="preserve"> </w:t>
      </w:r>
      <w:r>
        <w:rPr>
          <w:lang w:eastAsia="zh-CN"/>
        </w:rPr>
        <w:t xml:space="preserve">         type: boolean</w:t>
      </w:r>
    </w:p>
    <w:p w14:paraId="0CFEF84F" w14:textId="77777777" w:rsidR="007862A2" w:rsidRDefault="007862A2" w:rsidP="007862A2">
      <w:pPr>
        <w:pStyle w:val="PL"/>
      </w:pPr>
      <w:r>
        <w:t xml:space="preserve">          description: &gt;</w:t>
      </w:r>
    </w:p>
    <w:p w14:paraId="2C88A746" w14:textId="77777777" w:rsidR="007862A2" w:rsidRDefault="007862A2" w:rsidP="007862A2">
      <w:pPr>
        <w:pStyle w:val="PL"/>
        <w:rPr>
          <w:rFonts w:cs="Arial"/>
          <w:szCs w:val="18"/>
          <w:lang w:eastAsia="zh-CN"/>
        </w:rPr>
      </w:pPr>
      <w:r>
        <w:t xml:space="preserve">            UE Location order indication.</w:t>
      </w:r>
      <w:r>
        <w:rPr>
          <w:rFonts w:cs="Arial"/>
          <w:szCs w:val="18"/>
          <w:lang w:eastAsia="zh-CN"/>
        </w:rPr>
        <w:t xml:space="preserve"> Set to "true" to indicate the </w:t>
      </w:r>
      <w:r>
        <w:t xml:space="preserve">NWDAF to provide </w:t>
      </w:r>
      <w:r>
        <w:rPr>
          <w:rFonts w:cs="Arial"/>
          <w:szCs w:val="18"/>
          <w:lang w:eastAsia="zh-CN"/>
        </w:rPr>
        <w:t>UE</w:t>
      </w:r>
    </w:p>
    <w:p w14:paraId="1185E13A" w14:textId="77777777" w:rsidR="007862A2" w:rsidRDefault="007862A2" w:rsidP="007862A2">
      <w:pPr>
        <w:pStyle w:val="PL"/>
        <w:rPr>
          <w:rFonts w:cs="Arial"/>
          <w:szCs w:val="18"/>
          <w:lang w:eastAsia="zh-CN"/>
        </w:rPr>
      </w:pPr>
      <w:r>
        <w:rPr>
          <w:rFonts w:cs="Arial"/>
          <w:szCs w:val="18"/>
          <w:lang w:eastAsia="zh-CN"/>
        </w:rPr>
        <w:t xml:space="preserve"> </w:t>
      </w:r>
      <w:r>
        <w:t xml:space="preserve">           </w:t>
      </w:r>
      <w:r>
        <w:rPr>
          <w:rFonts w:cs="Arial"/>
          <w:szCs w:val="18"/>
          <w:lang w:eastAsia="zh-CN"/>
        </w:rPr>
        <w:t>locations in</w:t>
      </w:r>
      <w:r>
        <w:t xml:space="preserve"> the UE Mobility analytics in time order</w:t>
      </w:r>
      <w:r>
        <w:rPr>
          <w:rFonts w:cs="Arial"/>
          <w:szCs w:val="18"/>
          <w:lang w:eastAsia="zh-CN"/>
        </w:rPr>
        <w:t>, otherwise set to "false" or</w:t>
      </w:r>
    </w:p>
    <w:p w14:paraId="581E3BC5" w14:textId="77777777" w:rsidR="007862A2" w:rsidRDefault="007862A2" w:rsidP="007862A2">
      <w:pPr>
        <w:pStyle w:val="PL"/>
        <w:rPr>
          <w:rFonts w:cs="Courier New"/>
          <w:szCs w:val="16"/>
        </w:rPr>
      </w:pPr>
      <w:r>
        <w:t xml:space="preserve">           </w:t>
      </w:r>
      <w:r>
        <w:rPr>
          <w:rFonts w:cs="Arial"/>
          <w:szCs w:val="18"/>
          <w:lang w:eastAsia="zh-CN"/>
        </w:rPr>
        <w:t xml:space="preserve"> omitted.</w:t>
      </w:r>
    </w:p>
    <w:p w14:paraId="1AE7DC45" w14:textId="77777777" w:rsidR="007862A2" w:rsidRDefault="007862A2" w:rsidP="007862A2">
      <w:pPr>
        <w:pStyle w:val="PL"/>
      </w:pPr>
      <w:r>
        <w:t xml:space="preserve">        </w:t>
      </w:r>
      <w:r>
        <w:rPr>
          <w:rFonts w:hint="eastAsia"/>
          <w:lang w:eastAsia="zh-CN"/>
        </w:rPr>
        <w:t>d</w:t>
      </w:r>
      <w:r>
        <w:rPr>
          <w:lang w:eastAsia="zh-CN"/>
        </w:rPr>
        <w:t>istThresholds</w:t>
      </w:r>
      <w:r>
        <w:t>:</w:t>
      </w:r>
    </w:p>
    <w:p w14:paraId="4BFA0587" w14:textId="77777777" w:rsidR="007862A2" w:rsidRDefault="007862A2" w:rsidP="007862A2">
      <w:pPr>
        <w:pStyle w:val="PL"/>
      </w:pPr>
      <w:r>
        <w:t xml:space="preserve">          type: array</w:t>
      </w:r>
    </w:p>
    <w:p w14:paraId="51B2EA4D" w14:textId="77777777" w:rsidR="007862A2" w:rsidRDefault="007862A2" w:rsidP="007862A2">
      <w:pPr>
        <w:pStyle w:val="PL"/>
      </w:pPr>
      <w:r>
        <w:lastRenderedPageBreak/>
        <w:t xml:space="preserve">          items:</w:t>
      </w:r>
    </w:p>
    <w:p w14:paraId="57D37924" w14:textId="77777777" w:rsidR="007862A2" w:rsidRDefault="007862A2" w:rsidP="007862A2">
      <w:pPr>
        <w:pStyle w:val="PL"/>
      </w:pPr>
      <w:r>
        <w:t xml:space="preserve">            $ref: 'TS29571_CommonData.yaml#/components/schemas/Uinteger'</w:t>
      </w:r>
    </w:p>
    <w:p w14:paraId="66DB4CDE" w14:textId="77777777" w:rsidR="007862A2" w:rsidRDefault="007862A2" w:rsidP="007862A2">
      <w:pPr>
        <w:pStyle w:val="PL"/>
      </w:pPr>
      <w:r>
        <w:t xml:space="preserve">          minItems: 1</w:t>
      </w:r>
    </w:p>
    <w:p w14:paraId="0620C4FB" w14:textId="77777777" w:rsidR="007862A2" w:rsidRDefault="007862A2" w:rsidP="007862A2">
      <w:pPr>
        <w:pStyle w:val="PL"/>
        <w:rPr>
          <w:lang w:val="en-US"/>
        </w:rPr>
      </w:pPr>
      <w:r>
        <w:t xml:space="preserve">          description: </w:t>
      </w:r>
      <w:r>
        <w:rPr>
          <w:lang w:eastAsia="zh-CN"/>
        </w:rPr>
        <w:t xml:space="preserve">Indicates the </w:t>
      </w:r>
      <w:r>
        <w:t>linear distance threshold.</w:t>
      </w:r>
    </w:p>
    <w:p w14:paraId="32318CFA" w14:textId="77777777" w:rsidR="007862A2" w:rsidRDefault="007862A2" w:rsidP="007862A2">
      <w:pPr>
        <w:pStyle w:val="PL"/>
      </w:pPr>
    </w:p>
    <w:p w14:paraId="31FA2AB6" w14:textId="77777777" w:rsidR="007862A2" w:rsidRDefault="007862A2" w:rsidP="007862A2">
      <w:pPr>
        <w:pStyle w:val="PL"/>
      </w:pPr>
      <w:r>
        <w:t xml:space="preserve">    PduSessionInfo:</w:t>
      </w:r>
    </w:p>
    <w:p w14:paraId="6545646D" w14:textId="77777777" w:rsidR="007862A2" w:rsidRDefault="007862A2" w:rsidP="007862A2">
      <w:pPr>
        <w:pStyle w:val="PL"/>
      </w:pPr>
      <w:r>
        <w:t xml:space="preserve">      description: Represents combination of PDU Session parameter(s) information.</w:t>
      </w:r>
    </w:p>
    <w:p w14:paraId="322AA169" w14:textId="77777777" w:rsidR="007862A2" w:rsidRDefault="007862A2" w:rsidP="007862A2">
      <w:pPr>
        <w:pStyle w:val="PL"/>
      </w:pPr>
      <w:r>
        <w:t xml:space="preserve">      type: object</w:t>
      </w:r>
    </w:p>
    <w:p w14:paraId="287EFDA1" w14:textId="77777777" w:rsidR="007862A2" w:rsidRDefault="007862A2" w:rsidP="007862A2">
      <w:pPr>
        <w:pStyle w:val="PL"/>
      </w:pPr>
      <w:r>
        <w:t xml:space="preserve">      properties:</w:t>
      </w:r>
    </w:p>
    <w:p w14:paraId="2AD4E414" w14:textId="77777777" w:rsidR="007862A2" w:rsidRDefault="007862A2" w:rsidP="007862A2">
      <w:pPr>
        <w:pStyle w:val="PL"/>
      </w:pPr>
      <w:r>
        <w:t xml:space="preserve">        pduSessType:</w:t>
      </w:r>
    </w:p>
    <w:p w14:paraId="443E9DE5" w14:textId="77777777" w:rsidR="007862A2" w:rsidRDefault="007862A2" w:rsidP="007862A2">
      <w:pPr>
        <w:pStyle w:val="PL"/>
      </w:pPr>
      <w:r>
        <w:t xml:space="preserve">          $ref: 'TS29571_CommonData.yaml#/components/schemas/PduSessionType'</w:t>
      </w:r>
    </w:p>
    <w:p w14:paraId="313C30BC" w14:textId="77777777" w:rsidR="007862A2" w:rsidRDefault="007862A2" w:rsidP="007862A2">
      <w:pPr>
        <w:pStyle w:val="PL"/>
      </w:pPr>
      <w:r>
        <w:t xml:space="preserve">        sscMode:</w:t>
      </w:r>
    </w:p>
    <w:p w14:paraId="6D266E44" w14:textId="77777777" w:rsidR="007862A2" w:rsidRDefault="007862A2" w:rsidP="007862A2">
      <w:pPr>
        <w:pStyle w:val="PL"/>
      </w:pPr>
      <w:r>
        <w:t xml:space="preserve">          $ref: 'TS29571_CommonData.yaml#/components/schemas/SscMode'</w:t>
      </w:r>
    </w:p>
    <w:p w14:paraId="76611BF7" w14:textId="77777777" w:rsidR="007862A2" w:rsidRDefault="007862A2" w:rsidP="007862A2">
      <w:pPr>
        <w:pStyle w:val="PL"/>
      </w:pPr>
      <w:r>
        <w:t xml:space="preserve">        accessTypes:</w:t>
      </w:r>
    </w:p>
    <w:p w14:paraId="067AB6EA" w14:textId="77777777" w:rsidR="007862A2" w:rsidRDefault="007862A2" w:rsidP="007862A2">
      <w:pPr>
        <w:pStyle w:val="PL"/>
        <w:rPr>
          <w:lang w:val="en-US"/>
        </w:rPr>
      </w:pPr>
      <w:r>
        <w:rPr>
          <w:lang w:val="en-US"/>
        </w:rPr>
        <w:t xml:space="preserve">          type: array</w:t>
      </w:r>
    </w:p>
    <w:p w14:paraId="2CC7DCF1" w14:textId="77777777" w:rsidR="007862A2" w:rsidRDefault="007862A2" w:rsidP="007862A2">
      <w:pPr>
        <w:pStyle w:val="PL"/>
        <w:rPr>
          <w:lang w:val="en-US"/>
        </w:rPr>
      </w:pPr>
      <w:r>
        <w:rPr>
          <w:lang w:val="en-US"/>
        </w:rPr>
        <w:t xml:space="preserve">          items:</w:t>
      </w:r>
    </w:p>
    <w:p w14:paraId="0A73CA4B" w14:textId="77777777" w:rsidR="007862A2" w:rsidRDefault="007862A2" w:rsidP="007862A2">
      <w:pPr>
        <w:pStyle w:val="PL"/>
      </w:pPr>
      <w:r>
        <w:t xml:space="preserve">         </w:t>
      </w:r>
      <w:r>
        <w:rPr>
          <w:lang w:val="en-US"/>
        </w:rPr>
        <w:t xml:space="preserve">  </w:t>
      </w:r>
      <w:r>
        <w:t xml:space="preserve"> $ref: 'TS29571_CommonData.yaml#/components/schemas/AccessType'</w:t>
      </w:r>
    </w:p>
    <w:p w14:paraId="17245054" w14:textId="77777777" w:rsidR="007862A2" w:rsidRDefault="007862A2" w:rsidP="007862A2">
      <w:pPr>
        <w:pStyle w:val="PL"/>
      </w:pPr>
      <w:r>
        <w:rPr>
          <w:lang w:val="en-US"/>
        </w:rPr>
        <w:t xml:space="preserve">          </w:t>
      </w:r>
      <w:r>
        <w:t>minItems: 1</w:t>
      </w:r>
    </w:p>
    <w:p w14:paraId="672A5904" w14:textId="77777777" w:rsidR="007862A2" w:rsidRDefault="007862A2" w:rsidP="007862A2">
      <w:pPr>
        <w:pStyle w:val="PL"/>
      </w:pPr>
    </w:p>
    <w:p w14:paraId="5EA5D8A0" w14:textId="77777777" w:rsidR="007862A2" w:rsidRDefault="007862A2" w:rsidP="007862A2">
      <w:pPr>
        <w:pStyle w:val="PL"/>
        <w:rPr>
          <w:lang w:val="en-US"/>
        </w:rPr>
      </w:pPr>
      <w:r>
        <w:rPr>
          <w:lang w:val="en-US"/>
        </w:rPr>
        <w:t xml:space="preserve">    PfdDeterminationInfo:</w:t>
      </w:r>
    </w:p>
    <w:p w14:paraId="1B745ABA" w14:textId="77777777" w:rsidR="007862A2" w:rsidRDefault="007862A2" w:rsidP="007862A2">
      <w:pPr>
        <w:pStyle w:val="PL"/>
        <w:rPr>
          <w:lang w:val="en-US"/>
        </w:rPr>
      </w:pPr>
      <w:r>
        <w:rPr>
          <w:rFonts w:eastAsia="Batang"/>
        </w:rPr>
        <w:t xml:space="preserve">      description: Represents the PFD Determination information for a known application identifier.</w:t>
      </w:r>
    </w:p>
    <w:p w14:paraId="59C95AED" w14:textId="77777777" w:rsidR="007862A2" w:rsidRDefault="007862A2" w:rsidP="007862A2">
      <w:pPr>
        <w:pStyle w:val="PL"/>
        <w:rPr>
          <w:lang w:val="en-US"/>
        </w:rPr>
      </w:pPr>
      <w:r>
        <w:rPr>
          <w:lang w:val="en-US"/>
        </w:rPr>
        <w:t xml:space="preserve">      type: object</w:t>
      </w:r>
    </w:p>
    <w:p w14:paraId="1CB20945" w14:textId="77777777" w:rsidR="007862A2" w:rsidRDefault="007862A2" w:rsidP="007862A2">
      <w:pPr>
        <w:pStyle w:val="PL"/>
        <w:rPr>
          <w:lang w:val="en-US"/>
        </w:rPr>
      </w:pPr>
      <w:r>
        <w:rPr>
          <w:lang w:val="en-US"/>
        </w:rPr>
        <w:t xml:space="preserve">      properties:</w:t>
      </w:r>
    </w:p>
    <w:p w14:paraId="751A675E" w14:textId="77777777" w:rsidR="007862A2" w:rsidRDefault="007862A2" w:rsidP="007862A2">
      <w:pPr>
        <w:pStyle w:val="PL"/>
        <w:rPr>
          <w:lang w:val="en-US"/>
        </w:rPr>
      </w:pPr>
      <w:r>
        <w:rPr>
          <w:lang w:val="en-US"/>
        </w:rPr>
        <w:t xml:space="preserve">        appId:</w:t>
      </w:r>
    </w:p>
    <w:p w14:paraId="10FC700C" w14:textId="77777777" w:rsidR="007862A2" w:rsidRDefault="007862A2" w:rsidP="007862A2">
      <w:pPr>
        <w:pStyle w:val="PL"/>
        <w:rPr>
          <w:lang w:val="en-US"/>
        </w:rPr>
      </w:pPr>
      <w:r>
        <w:rPr>
          <w:lang w:val="en-US"/>
        </w:rPr>
        <w:t xml:space="preserve">          $ref: 'TS29571_CommonData.yaml#/components/schemas/ApplicationId'</w:t>
      </w:r>
    </w:p>
    <w:p w14:paraId="3F63293E" w14:textId="77777777" w:rsidR="007862A2" w:rsidRPr="00B45740" w:rsidRDefault="007862A2" w:rsidP="007862A2">
      <w:pPr>
        <w:pStyle w:val="PL"/>
        <w:rPr>
          <w:lang w:val="en-US"/>
        </w:rPr>
      </w:pPr>
      <w:r w:rsidRPr="00B45740">
        <w:rPr>
          <w:lang w:val="en-US"/>
        </w:rPr>
        <w:t xml:space="preserve">        s</w:t>
      </w:r>
      <w:r>
        <w:rPr>
          <w:lang w:val="en-US"/>
        </w:rPr>
        <w:t>uggPfdInfoList</w:t>
      </w:r>
      <w:r w:rsidRPr="00B45740">
        <w:rPr>
          <w:lang w:val="en-US"/>
        </w:rPr>
        <w:t>:</w:t>
      </w:r>
    </w:p>
    <w:p w14:paraId="5A3201CB" w14:textId="77777777" w:rsidR="007862A2" w:rsidRPr="00B45740" w:rsidRDefault="007862A2" w:rsidP="007862A2">
      <w:pPr>
        <w:pStyle w:val="PL"/>
        <w:rPr>
          <w:lang w:val="en-US"/>
        </w:rPr>
      </w:pPr>
      <w:r w:rsidRPr="00B45740">
        <w:rPr>
          <w:lang w:val="en-US"/>
        </w:rPr>
        <w:t xml:space="preserve">          type: array</w:t>
      </w:r>
    </w:p>
    <w:p w14:paraId="4B7BB385" w14:textId="77777777" w:rsidR="007862A2" w:rsidRPr="00B45740" w:rsidRDefault="007862A2" w:rsidP="007862A2">
      <w:pPr>
        <w:pStyle w:val="PL"/>
        <w:rPr>
          <w:lang w:val="en-US"/>
        </w:rPr>
      </w:pPr>
      <w:r w:rsidRPr="00B45740">
        <w:rPr>
          <w:lang w:val="en-US"/>
        </w:rPr>
        <w:t xml:space="preserve">          items:</w:t>
      </w:r>
    </w:p>
    <w:p w14:paraId="63A2C8EF" w14:textId="77777777" w:rsidR="007862A2" w:rsidRPr="00B45740" w:rsidRDefault="007862A2" w:rsidP="007862A2">
      <w:pPr>
        <w:pStyle w:val="PL"/>
        <w:rPr>
          <w:lang w:val="en-US"/>
        </w:rPr>
      </w:pPr>
      <w:r w:rsidRPr="00B45740">
        <w:rPr>
          <w:lang w:val="en-US"/>
        </w:rPr>
        <w:t xml:space="preserve">            $ref: '#/components/schemas/Su</w:t>
      </w:r>
      <w:r>
        <w:rPr>
          <w:lang w:val="en-US"/>
        </w:rPr>
        <w:t>ggestedPfdInfo</w:t>
      </w:r>
      <w:r w:rsidRPr="00B45740">
        <w:rPr>
          <w:lang w:val="en-US"/>
        </w:rPr>
        <w:t>'</w:t>
      </w:r>
    </w:p>
    <w:p w14:paraId="77036DEF" w14:textId="77777777" w:rsidR="007862A2" w:rsidRDefault="007862A2" w:rsidP="007862A2">
      <w:pPr>
        <w:pStyle w:val="PL"/>
        <w:rPr>
          <w:lang w:val="en-US"/>
        </w:rPr>
      </w:pPr>
      <w:r w:rsidRPr="00B45740">
        <w:rPr>
          <w:lang w:val="en-US"/>
        </w:rPr>
        <w:t xml:space="preserve">          minItems: 1</w:t>
      </w:r>
    </w:p>
    <w:p w14:paraId="599D665B" w14:textId="77777777" w:rsidR="007862A2" w:rsidRDefault="007862A2" w:rsidP="007862A2">
      <w:pPr>
        <w:pStyle w:val="PL"/>
      </w:pPr>
      <w:r>
        <w:t xml:space="preserve">      required:</w:t>
      </w:r>
    </w:p>
    <w:p w14:paraId="066C86B5" w14:textId="77777777" w:rsidR="007862A2" w:rsidRDefault="007862A2" w:rsidP="007862A2">
      <w:pPr>
        <w:pStyle w:val="PL"/>
      </w:pPr>
      <w:r>
        <w:t xml:space="preserve">        - appId</w:t>
      </w:r>
    </w:p>
    <w:p w14:paraId="0C787279" w14:textId="77777777" w:rsidR="007862A2" w:rsidRDefault="007862A2" w:rsidP="007862A2">
      <w:pPr>
        <w:pStyle w:val="PL"/>
        <w:rPr>
          <w:lang w:val="en-US"/>
        </w:rPr>
      </w:pPr>
      <w:r>
        <w:rPr>
          <w:lang w:val="en-US"/>
        </w:rPr>
        <w:t xml:space="preserve">        - suggPfdInfoList</w:t>
      </w:r>
    </w:p>
    <w:p w14:paraId="03CC3F96" w14:textId="77777777" w:rsidR="007862A2" w:rsidRDefault="007862A2" w:rsidP="007862A2">
      <w:pPr>
        <w:pStyle w:val="PL"/>
        <w:rPr>
          <w:lang w:val="en-US"/>
        </w:rPr>
      </w:pPr>
    </w:p>
    <w:p w14:paraId="4DB016BD" w14:textId="77777777" w:rsidR="007862A2" w:rsidRPr="00B45740" w:rsidRDefault="007862A2" w:rsidP="007862A2">
      <w:pPr>
        <w:pStyle w:val="PL"/>
        <w:rPr>
          <w:lang w:val="en-US"/>
        </w:rPr>
      </w:pPr>
      <w:r w:rsidRPr="00B45740">
        <w:rPr>
          <w:lang w:val="en-US"/>
        </w:rPr>
        <w:t xml:space="preserve">    </w:t>
      </w:r>
      <w:r>
        <w:rPr>
          <w:lang w:val="en-US"/>
        </w:rPr>
        <w:t>SuggestedPfd</w:t>
      </w:r>
      <w:r w:rsidRPr="00B45740">
        <w:rPr>
          <w:lang w:val="en-US"/>
        </w:rPr>
        <w:t>Info:</w:t>
      </w:r>
    </w:p>
    <w:p w14:paraId="776521CE" w14:textId="77777777" w:rsidR="007862A2" w:rsidRPr="00B45740" w:rsidRDefault="007862A2" w:rsidP="007862A2">
      <w:pPr>
        <w:pStyle w:val="PL"/>
        <w:rPr>
          <w:lang w:val="en-US"/>
        </w:rPr>
      </w:pPr>
      <w:r w:rsidRPr="00B45740">
        <w:rPr>
          <w:lang w:val="en-US"/>
        </w:rPr>
        <w:t xml:space="preserve">      description: Represents the </w:t>
      </w:r>
      <w:r>
        <w:rPr>
          <w:lang w:val="en-US"/>
        </w:rPr>
        <w:t xml:space="preserve">suggested </w:t>
      </w:r>
      <w:r w:rsidRPr="00B45740">
        <w:rPr>
          <w:lang w:val="en-US"/>
        </w:rPr>
        <w:t>PFD information</w:t>
      </w:r>
      <w:r>
        <w:rPr>
          <w:lang w:val="en-US"/>
        </w:rPr>
        <w:t xml:space="preserve"> for the application identifier</w:t>
      </w:r>
      <w:r w:rsidRPr="00B45740">
        <w:rPr>
          <w:lang w:val="en-US"/>
        </w:rPr>
        <w:t>.</w:t>
      </w:r>
    </w:p>
    <w:p w14:paraId="7DCED12C" w14:textId="77777777" w:rsidR="007862A2" w:rsidRPr="00B45740" w:rsidRDefault="007862A2" w:rsidP="007862A2">
      <w:pPr>
        <w:pStyle w:val="PL"/>
        <w:rPr>
          <w:lang w:val="en-US"/>
        </w:rPr>
      </w:pPr>
      <w:r w:rsidRPr="00B45740">
        <w:rPr>
          <w:lang w:val="en-US"/>
        </w:rPr>
        <w:t xml:space="preserve">      type: object</w:t>
      </w:r>
    </w:p>
    <w:p w14:paraId="023B7036" w14:textId="77777777" w:rsidR="007862A2" w:rsidRPr="00B45740" w:rsidRDefault="007862A2" w:rsidP="007862A2">
      <w:pPr>
        <w:pStyle w:val="PL"/>
        <w:rPr>
          <w:lang w:val="en-US"/>
        </w:rPr>
      </w:pPr>
      <w:r w:rsidRPr="00B45740">
        <w:rPr>
          <w:lang w:val="en-US"/>
        </w:rPr>
        <w:t xml:space="preserve">      properties:</w:t>
      </w:r>
    </w:p>
    <w:p w14:paraId="3D4C7865" w14:textId="77777777" w:rsidR="007862A2" w:rsidRPr="00B45740" w:rsidRDefault="007862A2" w:rsidP="007862A2">
      <w:pPr>
        <w:pStyle w:val="PL"/>
        <w:rPr>
          <w:lang w:val="en-US"/>
        </w:rPr>
      </w:pPr>
      <w:r w:rsidRPr="00B45740">
        <w:rPr>
          <w:lang w:val="en-US"/>
        </w:rPr>
        <w:t xml:space="preserve">        </w:t>
      </w:r>
      <w:r>
        <w:rPr>
          <w:lang w:val="en-US"/>
        </w:rPr>
        <w:t>pfd</w:t>
      </w:r>
      <w:r w:rsidRPr="00B45740">
        <w:rPr>
          <w:lang w:val="en-US"/>
        </w:rPr>
        <w:t>Id:</w:t>
      </w:r>
    </w:p>
    <w:p w14:paraId="39B39E0D" w14:textId="77777777" w:rsidR="007862A2" w:rsidRDefault="007862A2" w:rsidP="007862A2">
      <w:pPr>
        <w:pStyle w:val="PL"/>
        <w:rPr>
          <w:lang w:val="en-US"/>
        </w:rPr>
      </w:pPr>
      <w:r w:rsidRPr="00B45740">
        <w:rPr>
          <w:lang w:val="en-US"/>
        </w:rPr>
        <w:t xml:space="preserve">          </w:t>
      </w:r>
      <w:r>
        <w:rPr>
          <w:lang w:val="en-US"/>
        </w:rPr>
        <w:t>type: string</w:t>
      </w:r>
    </w:p>
    <w:p w14:paraId="3AC31DA8" w14:textId="77777777" w:rsidR="007862A2" w:rsidRDefault="007862A2" w:rsidP="007862A2">
      <w:pPr>
        <w:pStyle w:val="PL"/>
        <w:rPr>
          <w:lang w:val="en-US"/>
        </w:rPr>
      </w:pPr>
      <w:r w:rsidRPr="0086296C">
        <w:rPr>
          <w:lang w:val="en-US"/>
        </w:rPr>
        <w:t xml:space="preserve">          description: </w:t>
      </w:r>
      <w:r>
        <w:rPr>
          <w:lang w:val="en-US"/>
        </w:rPr>
        <w:t>&gt;</w:t>
      </w:r>
    </w:p>
    <w:p w14:paraId="6A559410" w14:textId="77777777" w:rsidR="007862A2" w:rsidRDefault="007862A2" w:rsidP="007862A2">
      <w:pPr>
        <w:pStyle w:val="PL"/>
        <w:rPr>
          <w:lang w:val="en-US"/>
        </w:rPr>
      </w:pPr>
      <w:r>
        <w:rPr>
          <w:lang w:val="en-US"/>
        </w:rPr>
        <w:t xml:space="preserve">            </w:t>
      </w:r>
      <w:r w:rsidRPr="0086296C">
        <w:rPr>
          <w:lang w:val="en-US"/>
        </w:rPr>
        <w:t>Identifier of the PFD (i.e. new PFD ID assigned by NWDAF or existing PFD ID retrieved</w:t>
      </w:r>
    </w:p>
    <w:p w14:paraId="701E2870" w14:textId="77777777" w:rsidR="007862A2" w:rsidRDefault="007862A2" w:rsidP="007862A2">
      <w:pPr>
        <w:pStyle w:val="PL"/>
        <w:rPr>
          <w:lang w:val="en-US"/>
        </w:rPr>
      </w:pPr>
      <w:r>
        <w:rPr>
          <w:lang w:val="en-US"/>
        </w:rPr>
        <w:t xml:space="preserve">           </w:t>
      </w:r>
      <w:r w:rsidRPr="0086296C">
        <w:rPr>
          <w:lang w:val="en-US"/>
        </w:rPr>
        <w:t xml:space="preserve"> from UDR which was generated by NWDAF).</w:t>
      </w:r>
    </w:p>
    <w:p w14:paraId="50024FD7" w14:textId="77777777" w:rsidR="007862A2" w:rsidRDefault="007862A2" w:rsidP="007862A2">
      <w:pPr>
        <w:pStyle w:val="PL"/>
        <w:rPr>
          <w:lang w:val="en-US"/>
        </w:rPr>
      </w:pPr>
      <w:r>
        <w:rPr>
          <w:lang w:val="en-US"/>
        </w:rPr>
        <w:t xml:space="preserve">        ip3TupleList:</w:t>
      </w:r>
    </w:p>
    <w:p w14:paraId="03BDCE64" w14:textId="77777777" w:rsidR="007862A2" w:rsidRDefault="007862A2" w:rsidP="007862A2">
      <w:pPr>
        <w:pStyle w:val="PL"/>
        <w:rPr>
          <w:lang w:val="en-US"/>
        </w:rPr>
      </w:pPr>
      <w:r>
        <w:rPr>
          <w:lang w:val="en-US"/>
        </w:rPr>
        <w:t xml:space="preserve">          type: array</w:t>
      </w:r>
    </w:p>
    <w:p w14:paraId="23A3794B" w14:textId="77777777" w:rsidR="007862A2" w:rsidRDefault="007862A2" w:rsidP="007862A2">
      <w:pPr>
        <w:pStyle w:val="PL"/>
        <w:rPr>
          <w:lang w:val="en-US"/>
        </w:rPr>
      </w:pPr>
      <w:r>
        <w:rPr>
          <w:lang w:val="en-US"/>
        </w:rPr>
        <w:t xml:space="preserve">          items:</w:t>
      </w:r>
    </w:p>
    <w:p w14:paraId="5170F71B" w14:textId="77777777" w:rsidR="007862A2" w:rsidRDefault="007862A2" w:rsidP="007862A2">
      <w:pPr>
        <w:pStyle w:val="PL"/>
        <w:rPr>
          <w:lang w:val="en-US"/>
        </w:rPr>
      </w:pPr>
      <w:r>
        <w:rPr>
          <w:lang w:val="en-US"/>
        </w:rPr>
        <w:t xml:space="preserve">            type: string</w:t>
      </w:r>
    </w:p>
    <w:p w14:paraId="75C49DDF" w14:textId="77777777" w:rsidR="007862A2" w:rsidRDefault="007862A2" w:rsidP="007862A2">
      <w:pPr>
        <w:pStyle w:val="PL"/>
      </w:pPr>
      <w:r>
        <w:rPr>
          <w:lang w:val="en-US"/>
        </w:rPr>
        <w:t xml:space="preserve">          </w:t>
      </w:r>
      <w:r>
        <w:t>minItems: 1</w:t>
      </w:r>
    </w:p>
    <w:p w14:paraId="12E976C4" w14:textId="77777777" w:rsidR="007862A2" w:rsidRDefault="007862A2" w:rsidP="007862A2">
      <w:pPr>
        <w:pStyle w:val="PL"/>
        <w:rPr>
          <w:lang w:eastAsia="zh-CN"/>
        </w:rPr>
      </w:pPr>
      <w:r>
        <w:t xml:space="preserve">          description: </w:t>
      </w:r>
      <w:r>
        <w:rPr>
          <w:lang w:eastAsia="zh-CN"/>
        </w:rPr>
        <w:t>&gt;</w:t>
      </w:r>
    </w:p>
    <w:p w14:paraId="217DEF55" w14:textId="77777777" w:rsidR="007862A2" w:rsidRDefault="007862A2" w:rsidP="007862A2">
      <w:pPr>
        <w:pStyle w:val="PL"/>
      </w:pPr>
      <w:r>
        <w:rPr>
          <w:rFonts w:cs="Courier New"/>
          <w:szCs w:val="16"/>
        </w:rPr>
        <w:t xml:space="preserve">            </w:t>
      </w:r>
      <w:r>
        <w:t>Represents a 3-tuple with protocol, server ip and server port for UL/DL</w:t>
      </w:r>
    </w:p>
    <w:p w14:paraId="77535735" w14:textId="77777777" w:rsidR="007862A2" w:rsidRDefault="007862A2" w:rsidP="007862A2">
      <w:pPr>
        <w:pStyle w:val="PL"/>
      </w:pPr>
      <w:r>
        <w:rPr>
          <w:rFonts w:cs="Courier New"/>
          <w:szCs w:val="16"/>
        </w:rPr>
        <w:t xml:space="preserve">           </w:t>
      </w:r>
      <w:r>
        <w:t xml:space="preserve"> application traffic. The content of the string has the same encoding as the IPFilterRule</w:t>
      </w:r>
    </w:p>
    <w:p w14:paraId="53458975" w14:textId="77777777" w:rsidR="007862A2" w:rsidRDefault="007862A2" w:rsidP="007862A2">
      <w:pPr>
        <w:pStyle w:val="PL"/>
        <w:rPr>
          <w:lang w:val="en-US"/>
        </w:rPr>
      </w:pPr>
      <w:r>
        <w:t xml:space="preserve">            AVP value as defined in IETF RFC 6733.</w:t>
      </w:r>
    </w:p>
    <w:p w14:paraId="2DB73B6D" w14:textId="77777777" w:rsidR="007862A2" w:rsidRDefault="007862A2" w:rsidP="007862A2">
      <w:pPr>
        <w:pStyle w:val="PL"/>
      </w:pPr>
      <w:r>
        <w:t xml:space="preserve">        urls:</w:t>
      </w:r>
    </w:p>
    <w:p w14:paraId="696F89FB" w14:textId="77777777" w:rsidR="007862A2" w:rsidRDefault="007862A2" w:rsidP="007862A2">
      <w:pPr>
        <w:pStyle w:val="PL"/>
      </w:pPr>
      <w:r>
        <w:t xml:space="preserve">          type: array</w:t>
      </w:r>
    </w:p>
    <w:p w14:paraId="770D43AA" w14:textId="77777777" w:rsidR="007862A2" w:rsidRDefault="007862A2" w:rsidP="007862A2">
      <w:pPr>
        <w:pStyle w:val="PL"/>
      </w:pPr>
      <w:r>
        <w:t xml:space="preserve">          items:</w:t>
      </w:r>
    </w:p>
    <w:p w14:paraId="52E9B6A9" w14:textId="77777777" w:rsidR="007862A2" w:rsidRDefault="007862A2" w:rsidP="007862A2">
      <w:pPr>
        <w:pStyle w:val="PL"/>
      </w:pPr>
      <w:r>
        <w:t xml:space="preserve">            type: string</w:t>
      </w:r>
    </w:p>
    <w:p w14:paraId="6B114C6E" w14:textId="77777777" w:rsidR="007862A2" w:rsidRDefault="007862A2" w:rsidP="007862A2">
      <w:pPr>
        <w:pStyle w:val="PL"/>
      </w:pPr>
      <w:r>
        <w:t xml:space="preserve">          minItems: 1</w:t>
      </w:r>
    </w:p>
    <w:p w14:paraId="11AE0C67" w14:textId="77777777" w:rsidR="007862A2" w:rsidRDefault="007862A2" w:rsidP="007862A2">
      <w:pPr>
        <w:pStyle w:val="PL"/>
      </w:pPr>
      <w:r>
        <w:t xml:space="preserve">          description: Represents the significant parts of the URL to be matched, e.g. host name.</w:t>
      </w:r>
    </w:p>
    <w:p w14:paraId="5D1E8962" w14:textId="77777777" w:rsidR="007862A2" w:rsidRDefault="007862A2" w:rsidP="007862A2">
      <w:pPr>
        <w:pStyle w:val="PL"/>
      </w:pPr>
      <w:r>
        <w:t xml:space="preserve">        domainNames:</w:t>
      </w:r>
    </w:p>
    <w:p w14:paraId="778956C1" w14:textId="77777777" w:rsidR="007862A2" w:rsidRDefault="007862A2" w:rsidP="007862A2">
      <w:pPr>
        <w:pStyle w:val="PL"/>
      </w:pPr>
      <w:r>
        <w:t xml:space="preserve">          type: array</w:t>
      </w:r>
    </w:p>
    <w:p w14:paraId="6AD2285D" w14:textId="77777777" w:rsidR="007862A2" w:rsidRDefault="007862A2" w:rsidP="007862A2">
      <w:pPr>
        <w:pStyle w:val="PL"/>
      </w:pPr>
      <w:r>
        <w:t xml:space="preserve">          items:</w:t>
      </w:r>
    </w:p>
    <w:p w14:paraId="1B637A8A" w14:textId="77777777" w:rsidR="007862A2" w:rsidRDefault="007862A2" w:rsidP="007862A2">
      <w:pPr>
        <w:pStyle w:val="PL"/>
      </w:pPr>
      <w:r>
        <w:t xml:space="preserve">            type: string</w:t>
      </w:r>
    </w:p>
    <w:p w14:paraId="5260B242" w14:textId="77777777" w:rsidR="007862A2" w:rsidRDefault="007862A2" w:rsidP="007862A2">
      <w:pPr>
        <w:pStyle w:val="PL"/>
      </w:pPr>
      <w:r>
        <w:t xml:space="preserve">          minItems: 1</w:t>
      </w:r>
    </w:p>
    <w:p w14:paraId="62A37BAB" w14:textId="77777777" w:rsidR="007862A2" w:rsidRDefault="007862A2" w:rsidP="007862A2">
      <w:pPr>
        <w:pStyle w:val="PL"/>
      </w:pPr>
      <w:r>
        <w:t xml:space="preserve">          description: Represents Domain name matching criteria.</w:t>
      </w:r>
    </w:p>
    <w:p w14:paraId="34CC4C54" w14:textId="77777777" w:rsidR="007862A2" w:rsidRDefault="007862A2" w:rsidP="007862A2">
      <w:pPr>
        <w:pStyle w:val="PL"/>
      </w:pPr>
      <w:r>
        <w:t xml:space="preserve">        dnProtocol:</w:t>
      </w:r>
    </w:p>
    <w:p w14:paraId="1C98FA00" w14:textId="77777777" w:rsidR="007862A2" w:rsidRDefault="007862A2" w:rsidP="007862A2">
      <w:pPr>
        <w:pStyle w:val="PL"/>
      </w:pPr>
      <w:r>
        <w:t xml:space="preserve">          $ref: 'TS29122_PfdManagement.yaml#/components/schemas/DomainNameProtocol'</w:t>
      </w:r>
    </w:p>
    <w:p w14:paraId="33BB906B" w14:textId="77777777" w:rsidR="007862A2" w:rsidRDefault="007862A2" w:rsidP="007862A2">
      <w:pPr>
        <w:pStyle w:val="PL"/>
      </w:pPr>
      <w:r>
        <w:t xml:space="preserve">        pfdConfidence:</w:t>
      </w:r>
    </w:p>
    <w:p w14:paraId="3DA0181C" w14:textId="77777777" w:rsidR="007862A2" w:rsidRDefault="007862A2" w:rsidP="007862A2">
      <w:pPr>
        <w:pStyle w:val="PL"/>
      </w:pPr>
      <w:r>
        <w:t xml:space="preserve">          $ref: 'TS29571_CommonData.yaml#/components/schemas/Uinteger'</w:t>
      </w:r>
    </w:p>
    <w:p w14:paraId="41C9CFB3" w14:textId="77777777" w:rsidR="007862A2" w:rsidRDefault="007862A2" w:rsidP="007862A2">
      <w:pPr>
        <w:pStyle w:val="PL"/>
      </w:pPr>
      <w:r>
        <w:t xml:space="preserve">      required:</w:t>
      </w:r>
    </w:p>
    <w:p w14:paraId="7631E495" w14:textId="77777777" w:rsidR="007862A2" w:rsidRDefault="007862A2" w:rsidP="007862A2">
      <w:pPr>
        <w:pStyle w:val="PL"/>
      </w:pPr>
      <w:r>
        <w:t xml:space="preserve">        - pfdId</w:t>
      </w:r>
    </w:p>
    <w:p w14:paraId="731B312C" w14:textId="77777777" w:rsidR="007862A2" w:rsidRDefault="007862A2" w:rsidP="007862A2">
      <w:pPr>
        <w:pStyle w:val="PL"/>
      </w:pPr>
    </w:p>
    <w:p w14:paraId="753A475D" w14:textId="77777777" w:rsidR="007862A2" w:rsidRDefault="007862A2" w:rsidP="007862A2">
      <w:pPr>
        <w:pStyle w:val="PL"/>
      </w:pPr>
      <w:r>
        <w:t xml:space="preserve">    PduSesTrafficInfo:</w:t>
      </w:r>
    </w:p>
    <w:p w14:paraId="57D0A7A8" w14:textId="77777777" w:rsidR="007862A2" w:rsidRDefault="007862A2" w:rsidP="007862A2">
      <w:pPr>
        <w:pStyle w:val="PL"/>
      </w:pPr>
      <w:r>
        <w:t xml:space="preserve">      description: Represents the PDU Set traffic analytics information.</w:t>
      </w:r>
    </w:p>
    <w:p w14:paraId="7ABCAF05" w14:textId="77777777" w:rsidR="007862A2" w:rsidRDefault="007862A2" w:rsidP="007862A2">
      <w:pPr>
        <w:pStyle w:val="PL"/>
      </w:pPr>
      <w:r>
        <w:t xml:space="preserve">      type: object</w:t>
      </w:r>
    </w:p>
    <w:p w14:paraId="33934E99" w14:textId="77777777" w:rsidR="007862A2" w:rsidRDefault="007862A2" w:rsidP="007862A2">
      <w:pPr>
        <w:pStyle w:val="PL"/>
      </w:pPr>
      <w:r>
        <w:t xml:space="preserve">      properties:</w:t>
      </w:r>
    </w:p>
    <w:p w14:paraId="353B201F" w14:textId="77777777" w:rsidR="007862A2" w:rsidRDefault="007862A2" w:rsidP="007862A2">
      <w:pPr>
        <w:pStyle w:val="PL"/>
      </w:pPr>
      <w:r>
        <w:t xml:space="preserve">        </w:t>
      </w:r>
      <w:r>
        <w:rPr>
          <w:lang w:eastAsia="zh-CN"/>
        </w:rPr>
        <w:t>supis</w:t>
      </w:r>
      <w:r>
        <w:t>:</w:t>
      </w:r>
    </w:p>
    <w:p w14:paraId="384C0540" w14:textId="77777777" w:rsidR="007862A2" w:rsidRDefault="007862A2" w:rsidP="007862A2">
      <w:pPr>
        <w:pStyle w:val="PL"/>
      </w:pPr>
      <w:r>
        <w:t xml:space="preserve">          type: array</w:t>
      </w:r>
    </w:p>
    <w:p w14:paraId="577246BC" w14:textId="77777777" w:rsidR="007862A2" w:rsidRDefault="007862A2" w:rsidP="007862A2">
      <w:pPr>
        <w:pStyle w:val="PL"/>
      </w:pPr>
      <w:r>
        <w:t xml:space="preserve">          items:</w:t>
      </w:r>
    </w:p>
    <w:p w14:paraId="56107602" w14:textId="77777777" w:rsidR="007862A2" w:rsidRDefault="007862A2" w:rsidP="007862A2">
      <w:pPr>
        <w:pStyle w:val="PL"/>
      </w:pPr>
      <w:r>
        <w:lastRenderedPageBreak/>
        <w:t xml:space="preserve">            $ref: 'TS29571_CommonData.yaml#/components/schemas/Supi'</w:t>
      </w:r>
    </w:p>
    <w:p w14:paraId="508C1127" w14:textId="77777777" w:rsidR="007862A2" w:rsidRDefault="007862A2" w:rsidP="007862A2">
      <w:pPr>
        <w:pStyle w:val="PL"/>
      </w:pPr>
      <w:r>
        <w:t xml:space="preserve">          minItems: 1</w:t>
      </w:r>
    </w:p>
    <w:p w14:paraId="287AEA9F" w14:textId="77777777" w:rsidR="007862A2" w:rsidRDefault="007862A2" w:rsidP="007862A2">
      <w:pPr>
        <w:pStyle w:val="PL"/>
      </w:pPr>
      <w:r>
        <w:t xml:space="preserve">        dnn:</w:t>
      </w:r>
    </w:p>
    <w:p w14:paraId="0E87AD5B" w14:textId="77777777" w:rsidR="007862A2" w:rsidRDefault="007862A2" w:rsidP="007862A2">
      <w:pPr>
        <w:pStyle w:val="PL"/>
      </w:pPr>
      <w:r>
        <w:t xml:space="preserve">          $ref: 'TS29571_CommonData.yaml#/components/schemas/Dnn'</w:t>
      </w:r>
    </w:p>
    <w:p w14:paraId="06123C80" w14:textId="77777777" w:rsidR="007862A2" w:rsidRDefault="007862A2" w:rsidP="007862A2">
      <w:pPr>
        <w:pStyle w:val="PL"/>
      </w:pPr>
      <w:r>
        <w:t xml:space="preserve">        snssai:</w:t>
      </w:r>
    </w:p>
    <w:p w14:paraId="04A7B612" w14:textId="77777777" w:rsidR="007862A2" w:rsidRDefault="007862A2" w:rsidP="007862A2">
      <w:pPr>
        <w:pStyle w:val="PL"/>
      </w:pPr>
      <w:r>
        <w:t xml:space="preserve">          $ref: 'TS29571_CommonData.yaml#/components/schemas/Snssai'</w:t>
      </w:r>
    </w:p>
    <w:p w14:paraId="31009387" w14:textId="77777777" w:rsidR="007862A2" w:rsidRDefault="007862A2" w:rsidP="007862A2">
      <w:pPr>
        <w:pStyle w:val="PL"/>
      </w:pPr>
      <w:r>
        <w:t xml:space="preserve">        </w:t>
      </w:r>
      <w:r>
        <w:rPr>
          <w:lang w:eastAsia="zh-CN"/>
        </w:rPr>
        <w:t>tdMatchTrafs</w:t>
      </w:r>
      <w:r>
        <w:t>:</w:t>
      </w:r>
    </w:p>
    <w:p w14:paraId="7E28645A" w14:textId="77777777" w:rsidR="007862A2" w:rsidRDefault="007862A2" w:rsidP="007862A2">
      <w:pPr>
        <w:pStyle w:val="PL"/>
      </w:pPr>
      <w:r>
        <w:t xml:space="preserve">          type: array</w:t>
      </w:r>
    </w:p>
    <w:p w14:paraId="6E9EC761" w14:textId="77777777" w:rsidR="007862A2" w:rsidRDefault="007862A2" w:rsidP="007862A2">
      <w:pPr>
        <w:pStyle w:val="PL"/>
      </w:pPr>
      <w:r>
        <w:t xml:space="preserve">          items:</w:t>
      </w:r>
    </w:p>
    <w:p w14:paraId="5C53C9A6" w14:textId="77777777" w:rsidR="007862A2" w:rsidRDefault="007862A2" w:rsidP="007862A2">
      <w:pPr>
        <w:pStyle w:val="PL"/>
      </w:pPr>
      <w:r>
        <w:t xml:space="preserve">            $ref: '#/components/schemas/</w:t>
      </w:r>
      <w:r>
        <w:rPr>
          <w:lang w:eastAsia="zh-CN"/>
        </w:rPr>
        <w:t>TdTraffic</w:t>
      </w:r>
      <w:r>
        <w:t>'</w:t>
      </w:r>
    </w:p>
    <w:p w14:paraId="156BD76C" w14:textId="77777777" w:rsidR="007862A2" w:rsidRDefault="007862A2" w:rsidP="007862A2">
      <w:pPr>
        <w:pStyle w:val="PL"/>
      </w:pPr>
      <w:r>
        <w:t xml:space="preserve">          minItems: 1</w:t>
      </w:r>
    </w:p>
    <w:p w14:paraId="65341636" w14:textId="77777777" w:rsidR="007862A2" w:rsidRDefault="007862A2" w:rsidP="007862A2">
      <w:pPr>
        <w:pStyle w:val="PL"/>
      </w:pPr>
      <w:r>
        <w:t xml:space="preserve">        </w:t>
      </w:r>
      <w:r>
        <w:rPr>
          <w:lang w:eastAsia="zh-CN"/>
        </w:rPr>
        <w:t>tdUnmatchTrafs</w:t>
      </w:r>
      <w:r>
        <w:t>:</w:t>
      </w:r>
    </w:p>
    <w:p w14:paraId="1A44F681" w14:textId="77777777" w:rsidR="007862A2" w:rsidRDefault="007862A2" w:rsidP="007862A2">
      <w:pPr>
        <w:pStyle w:val="PL"/>
      </w:pPr>
      <w:r>
        <w:t xml:space="preserve">          type: array</w:t>
      </w:r>
    </w:p>
    <w:p w14:paraId="62B16104" w14:textId="77777777" w:rsidR="007862A2" w:rsidRDefault="007862A2" w:rsidP="007862A2">
      <w:pPr>
        <w:pStyle w:val="PL"/>
      </w:pPr>
      <w:r>
        <w:t xml:space="preserve">          items:</w:t>
      </w:r>
    </w:p>
    <w:p w14:paraId="49E3D276" w14:textId="77777777" w:rsidR="007862A2" w:rsidRDefault="007862A2" w:rsidP="007862A2">
      <w:pPr>
        <w:pStyle w:val="PL"/>
      </w:pPr>
      <w:r>
        <w:t xml:space="preserve">            $ref: '#/components/schemas/</w:t>
      </w:r>
      <w:r>
        <w:rPr>
          <w:lang w:eastAsia="zh-CN"/>
        </w:rPr>
        <w:t>TdTraffic</w:t>
      </w:r>
      <w:r>
        <w:t>'</w:t>
      </w:r>
    </w:p>
    <w:p w14:paraId="440DC3F2" w14:textId="77777777" w:rsidR="007862A2" w:rsidRDefault="007862A2" w:rsidP="007862A2">
      <w:pPr>
        <w:pStyle w:val="PL"/>
      </w:pPr>
      <w:r>
        <w:t xml:space="preserve">          minItems: 1</w:t>
      </w:r>
    </w:p>
    <w:p w14:paraId="5F22F4E7" w14:textId="77777777" w:rsidR="007862A2" w:rsidRDefault="007862A2" w:rsidP="007862A2">
      <w:pPr>
        <w:pStyle w:val="PL"/>
      </w:pPr>
      <w:r>
        <w:t xml:space="preserve">      allOf:</w:t>
      </w:r>
    </w:p>
    <w:p w14:paraId="5B1A2186" w14:textId="77777777" w:rsidR="007862A2" w:rsidRDefault="007862A2" w:rsidP="007862A2">
      <w:pPr>
        <w:pStyle w:val="PL"/>
      </w:pPr>
      <w:r>
        <w:t xml:space="preserve">        - anyOf:</w:t>
      </w:r>
    </w:p>
    <w:p w14:paraId="14850931" w14:textId="77777777" w:rsidR="007862A2" w:rsidRDefault="007862A2" w:rsidP="007862A2">
      <w:pPr>
        <w:pStyle w:val="PL"/>
      </w:pPr>
      <w:r>
        <w:t xml:space="preserve">          - required: [dnn]</w:t>
      </w:r>
    </w:p>
    <w:p w14:paraId="4EBE6BC6" w14:textId="77777777" w:rsidR="007862A2" w:rsidRDefault="007862A2" w:rsidP="007862A2">
      <w:pPr>
        <w:pStyle w:val="PL"/>
      </w:pPr>
      <w:r>
        <w:t xml:space="preserve">          - required: [snssai]</w:t>
      </w:r>
    </w:p>
    <w:p w14:paraId="7A397600" w14:textId="77777777" w:rsidR="007862A2" w:rsidRDefault="007862A2" w:rsidP="007862A2">
      <w:pPr>
        <w:pStyle w:val="PL"/>
      </w:pPr>
      <w:r>
        <w:t xml:space="preserve">        - anyOf:</w:t>
      </w:r>
    </w:p>
    <w:p w14:paraId="0970CD7F" w14:textId="77777777" w:rsidR="007862A2" w:rsidRDefault="007862A2" w:rsidP="007862A2">
      <w:pPr>
        <w:pStyle w:val="PL"/>
      </w:pPr>
      <w:r>
        <w:t xml:space="preserve">          - required: [tdMatchTrafs]</w:t>
      </w:r>
    </w:p>
    <w:p w14:paraId="47883F67" w14:textId="77777777" w:rsidR="007862A2" w:rsidRDefault="007862A2" w:rsidP="007862A2">
      <w:pPr>
        <w:pStyle w:val="PL"/>
      </w:pPr>
      <w:r>
        <w:t xml:space="preserve">          - required: [tdUnmatchTrafs]</w:t>
      </w:r>
    </w:p>
    <w:p w14:paraId="50F52A15" w14:textId="77777777" w:rsidR="007862A2" w:rsidRDefault="007862A2" w:rsidP="007862A2">
      <w:pPr>
        <w:pStyle w:val="PL"/>
      </w:pPr>
    </w:p>
    <w:p w14:paraId="685C5566" w14:textId="77777777" w:rsidR="007862A2" w:rsidRDefault="007862A2" w:rsidP="007862A2">
      <w:pPr>
        <w:pStyle w:val="PL"/>
      </w:pPr>
      <w:r>
        <w:t xml:space="preserve">    </w:t>
      </w:r>
      <w:r>
        <w:rPr>
          <w:lang w:eastAsia="zh-CN"/>
        </w:rPr>
        <w:t>TdTraffic</w:t>
      </w:r>
      <w:r>
        <w:t>:</w:t>
      </w:r>
    </w:p>
    <w:p w14:paraId="394507DE" w14:textId="77777777" w:rsidR="007862A2" w:rsidRDefault="007862A2" w:rsidP="007862A2">
      <w:pPr>
        <w:pStyle w:val="PL"/>
      </w:pPr>
      <w:r>
        <w:t xml:space="preserve">      description: </w:t>
      </w:r>
      <w:r>
        <w:rPr>
          <w:lang w:eastAsia="zh-CN"/>
        </w:rPr>
        <w:t xml:space="preserve">Represents </w:t>
      </w:r>
      <w:r>
        <w:t>traffic that matches or unmatches Traffic Descriptor of URSP rule.</w:t>
      </w:r>
    </w:p>
    <w:p w14:paraId="284B9303" w14:textId="77777777" w:rsidR="007862A2" w:rsidRDefault="007862A2" w:rsidP="007862A2">
      <w:pPr>
        <w:pStyle w:val="PL"/>
      </w:pPr>
      <w:r>
        <w:t xml:space="preserve">      type: object</w:t>
      </w:r>
    </w:p>
    <w:p w14:paraId="765398E0" w14:textId="77777777" w:rsidR="007862A2" w:rsidRDefault="007862A2" w:rsidP="007862A2">
      <w:pPr>
        <w:pStyle w:val="PL"/>
      </w:pPr>
      <w:r>
        <w:t xml:space="preserve">      properties:</w:t>
      </w:r>
    </w:p>
    <w:p w14:paraId="001CD1D3" w14:textId="77777777" w:rsidR="007862A2" w:rsidRDefault="007862A2" w:rsidP="007862A2">
      <w:pPr>
        <w:pStyle w:val="PL"/>
      </w:pPr>
      <w:r>
        <w:t xml:space="preserve">        </w:t>
      </w:r>
      <w:r>
        <w:rPr>
          <w:lang w:eastAsia="zh-CN"/>
        </w:rPr>
        <w:t>pduSesTrafReqs</w:t>
      </w:r>
      <w:r>
        <w:t>:</w:t>
      </w:r>
    </w:p>
    <w:p w14:paraId="6CAA3649" w14:textId="77777777" w:rsidR="007862A2" w:rsidRDefault="007862A2" w:rsidP="007862A2">
      <w:pPr>
        <w:pStyle w:val="PL"/>
      </w:pPr>
      <w:r>
        <w:t xml:space="preserve">          type: array</w:t>
      </w:r>
    </w:p>
    <w:p w14:paraId="58F175EC" w14:textId="77777777" w:rsidR="007862A2" w:rsidRDefault="007862A2" w:rsidP="007862A2">
      <w:pPr>
        <w:pStyle w:val="PL"/>
      </w:pPr>
      <w:r>
        <w:t xml:space="preserve">          items:</w:t>
      </w:r>
    </w:p>
    <w:p w14:paraId="4245BA12" w14:textId="77777777" w:rsidR="007862A2" w:rsidRDefault="007862A2" w:rsidP="007862A2">
      <w:pPr>
        <w:pStyle w:val="PL"/>
      </w:pPr>
      <w:r>
        <w:t xml:space="preserve">            $ref: '#/components/schemas/</w:t>
      </w:r>
      <w:r>
        <w:rPr>
          <w:lang w:eastAsia="zh-CN"/>
        </w:rPr>
        <w:t>PduSesTrafficReq</w:t>
      </w:r>
      <w:r>
        <w:t>'</w:t>
      </w:r>
    </w:p>
    <w:p w14:paraId="08002E7E" w14:textId="77777777" w:rsidR="007862A2" w:rsidRDefault="007862A2" w:rsidP="007862A2">
      <w:pPr>
        <w:pStyle w:val="PL"/>
      </w:pPr>
      <w:r>
        <w:t xml:space="preserve">          minItems: 1</w:t>
      </w:r>
    </w:p>
    <w:p w14:paraId="0A04451C" w14:textId="77777777" w:rsidR="007862A2" w:rsidRDefault="007862A2" w:rsidP="007862A2">
      <w:pPr>
        <w:pStyle w:val="PL"/>
      </w:pPr>
      <w:r>
        <w:t xml:space="preserve">        ulVol:</w:t>
      </w:r>
    </w:p>
    <w:p w14:paraId="60DBF286" w14:textId="77777777" w:rsidR="007862A2" w:rsidRDefault="007862A2" w:rsidP="007862A2">
      <w:pPr>
        <w:pStyle w:val="PL"/>
      </w:pPr>
      <w:r>
        <w:t xml:space="preserve">          $ref: 'TS29122_CommonData.yaml#/components/schemas/Volume'</w:t>
      </w:r>
    </w:p>
    <w:p w14:paraId="70F3F716" w14:textId="77777777" w:rsidR="007862A2" w:rsidRDefault="007862A2" w:rsidP="007862A2">
      <w:pPr>
        <w:pStyle w:val="PL"/>
      </w:pPr>
      <w:r>
        <w:t xml:space="preserve">        dlVol:</w:t>
      </w:r>
    </w:p>
    <w:p w14:paraId="5A5B0339" w14:textId="77777777" w:rsidR="007862A2" w:rsidRDefault="007862A2" w:rsidP="007862A2">
      <w:pPr>
        <w:pStyle w:val="PL"/>
      </w:pPr>
      <w:r>
        <w:t xml:space="preserve">          $ref: 'TS29122_CommonData.yaml#/components/schemas/Volume'</w:t>
      </w:r>
    </w:p>
    <w:p w14:paraId="709781D6" w14:textId="77777777" w:rsidR="007862A2" w:rsidRDefault="007862A2" w:rsidP="007862A2">
      <w:pPr>
        <w:pStyle w:val="PL"/>
      </w:pPr>
      <w:r>
        <w:t xml:space="preserve">        allVol:</w:t>
      </w:r>
    </w:p>
    <w:p w14:paraId="7F5CF0AA" w14:textId="77777777" w:rsidR="007862A2" w:rsidRDefault="007862A2" w:rsidP="007862A2">
      <w:pPr>
        <w:pStyle w:val="PL"/>
      </w:pPr>
      <w:r>
        <w:t xml:space="preserve">          $ref: 'TS29122_CommonData.yaml#/components/schemas/Volume'</w:t>
      </w:r>
    </w:p>
    <w:p w14:paraId="2B89A8C3" w14:textId="77777777" w:rsidR="007862A2" w:rsidRDefault="007862A2" w:rsidP="007862A2">
      <w:pPr>
        <w:pStyle w:val="PL"/>
      </w:pPr>
      <w:r>
        <w:t xml:space="preserve">        ulNumOfPkt:</w:t>
      </w:r>
    </w:p>
    <w:p w14:paraId="5B1C162F" w14:textId="77777777" w:rsidR="007862A2" w:rsidRDefault="007862A2" w:rsidP="007862A2">
      <w:pPr>
        <w:pStyle w:val="PL"/>
      </w:pPr>
      <w:r>
        <w:t xml:space="preserve">            $ref: 'TS29571_CommonData.yaml#/components/schemas/Uinteger'</w:t>
      </w:r>
    </w:p>
    <w:p w14:paraId="5F8BDEA4" w14:textId="77777777" w:rsidR="007862A2" w:rsidRDefault="007862A2" w:rsidP="007862A2">
      <w:pPr>
        <w:pStyle w:val="PL"/>
      </w:pPr>
      <w:r>
        <w:t xml:space="preserve">        dlNumOfPkt:</w:t>
      </w:r>
    </w:p>
    <w:p w14:paraId="13E9240E" w14:textId="77777777" w:rsidR="007862A2" w:rsidRDefault="007862A2" w:rsidP="007862A2">
      <w:pPr>
        <w:pStyle w:val="PL"/>
      </w:pPr>
      <w:r>
        <w:t xml:space="preserve">            $ref: 'TS29571_CommonData.yaml#/components/schemas/Uinteger'</w:t>
      </w:r>
    </w:p>
    <w:p w14:paraId="7218E4D4" w14:textId="77777777" w:rsidR="007862A2" w:rsidRDefault="007862A2" w:rsidP="007862A2">
      <w:pPr>
        <w:pStyle w:val="PL"/>
      </w:pPr>
      <w:r>
        <w:t xml:space="preserve">        allNumOfPkt:</w:t>
      </w:r>
    </w:p>
    <w:p w14:paraId="400F9E9D" w14:textId="77777777" w:rsidR="007862A2" w:rsidRDefault="007862A2" w:rsidP="007862A2">
      <w:pPr>
        <w:pStyle w:val="PL"/>
      </w:pPr>
      <w:r>
        <w:t xml:space="preserve">            $ref: 'TS29571_CommonData.yaml#/components/schemas/Uinteger'</w:t>
      </w:r>
    </w:p>
    <w:p w14:paraId="3244C1C8" w14:textId="77777777" w:rsidR="007862A2" w:rsidRDefault="007862A2" w:rsidP="007862A2">
      <w:pPr>
        <w:pStyle w:val="PL"/>
      </w:pPr>
    </w:p>
    <w:p w14:paraId="12CAD9D8" w14:textId="77777777" w:rsidR="007862A2" w:rsidRDefault="007862A2" w:rsidP="007862A2">
      <w:pPr>
        <w:pStyle w:val="PL"/>
      </w:pPr>
      <w:r>
        <w:t xml:space="preserve">    PduSesTrafficReq:</w:t>
      </w:r>
    </w:p>
    <w:p w14:paraId="0B13F230" w14:textId="77777777" w:rsidR="007862A2" w:rsidRDefault="007862A2" w:rsidP="007862A2">
      <w:pPr>
        <w:pStyle w:val="PL"/>
      </w:pPr>
      <w:r>
        <w:t xml:space="preserve">      description: Represents the PDU Session traffic analytics requirements.</w:t>
      </w:r>
    </w:p>
    <w:p w14:paraId="173ED031" w14:textId="77777777" w:rsidR="007862A2" w:rsidRDefault="007862A2" w:rsidP="007862A2">
      <w:pPr>
        <w:pStyle w:val="PL"/>
      </w:pPr>
      <w:r>
        <w:t xml:space="preserve">      type: object</w:t>
      </w:r>
    </w:p>
    <w:p w14:paraId="5FC5967B" w14:textId="77777777" w:rsidR="007862A2" w:rsidRDefault="007862A2" w:rsidP="007862A2">
      <w:pPr>
        <w:pStyle w:val="PL"/>
      </w:pPr>
      <w:r>
        <w:t xml:space="preserve">      properties:</w:t>
      </w:r>
    </w:p>
    <w:p w14:paraId="3A2ACCBE" w14:textId="77777777" w:rsidR="007862A2" w:rsidRDefault="007862A2" w:rsidP="007862A2">
      <w:pPr>
        <w:pStyle w:val="PL"/>
      </w:pPr>
      <w:r>
        <w:t xml:space="preserve">        flow</w:t>
      </w:r>
      <w:r>
        <w:rPr>
          <w:lang w:eastAsia="zh-CN"/>
        </w:rPr>
        <w:t>Descs</w:t>
      </w:r>
      <w:r>
        <w:t>:</w:t>
      </w:r>
    </w:p>
    <w:p w14:paraId="16FD699F" w14:textId="77777777" w:rsidR="007862A2" w:rsidRDefault="007862A2" w:rsidP="007862A2">
      <w:pPr>
        <w:pStyle w:val="PL"/>
      </w:pPr>
      <w:r>
        <w:t xml:space="preserve">          type: array</w:t>
      </w:r>
    </w:p>
    <w:p w14:paraId="12C9AF03" w14:textId="77777777" w:rsidR="007862A2" w:rsidRDefault="007862A2" w:rsidP="007862A2">
      <w:pPr>
        <w:pStyle w:val="PL"/>
      </w:pPr>
      <w:r>
        <w:t xml:space="preserve">          items:</w:t>
      </w:r>
    </w:p>
    <w:p w14:paraId="5E4BCD0C" w14:textId="77777777" w:rsidR="007862A2" w:rsidRDefault="007862A2" w:rsidP="007862A2">
      <w:pPr>
        <w:pStyle w:val="PL"/>
      </w:pPr>
      <w:r>
        <w:t xml:space="preserve">            $ref: 'TS29514_Npcf_PolicyAuthorization.yaml#/components/schemas/FlowDescription'</w:t>
      </w:r>
    </w:p>
    <w:p w14:paraId="1D061FBA" w14:textId="77777777" w:rsidR="007862A2" w:rsidRDefault="007862A2" w:rsidP="007862A2">
      <w:pPr>
        <w:pStyle w:val="PL"/>
      </w:pPr>
      <w:r>
        <w:t xml:space="preserve">          minItems: 1</w:t>
      </w:r>
    </w:p>
    <w:p w14:paraId="0EFBD84C" w14:textId="77777777" w:rsidR="007862A2" w:rsidRDefault="007862A2" w:rsidP="007862A2">
      <w:pPr>
        <w:pStyle w:val="PL"/>
        <w:rPr>
          <w:lang w:eastAsia="zh-CN"/>
        </w:rPr>
      </w:pPr>
      <w:r>
        <w:t xml:space="preserve">          description: </w:t>
      </w:r>
      <w:r>
        <w:rPr>
          <w:lang w:eastAsia="zh-CN"/>
        </w:rPr>
        <w:t>&gt;</w:t>
      </w:r>
    </w:p>
    <w:p w14:paraId="6EA59826" w14:textId="77777777" w:rsidR="007862A2" w:rsidRDefault="007862A2" w:rsidP="007862A2">
      <w:pPr>
        <w:pStyle w:val="PL"/>
      </w:pPr>
      <w:r>
        <w:t xml:space="preserve">            Indicates traffic flow filtering description(s) for IP flow(s).</w:t>
      </w:r>
    </w:p>
    <w:p w14:paraId="61CAE104" w14:textId="77777777" w:rsidR="007862A2" w:rsidRDefault="007862A2" w:rsidP="007862A2">
      <w:pPr>
        <w:pStyle w:val="PL"/>
      </w:pPr>
      <w:r>
        <w:t xml:space="preserve">        appId:</w:t>
      </w:r>
    </w:p>
    <w:p w14:paraId="3F272FFE" w14:textId="77777777" w:rsidR="007862A2" w:rsidRDefault="007862A2" w:rsidP="007862A2">
      <w:pPr>
        <w:pStyle w:val="PL"/>
      </w:pPr>
      <w:r>
        <w:t xml:space="preserve">          $ref: 'TS29571_CommonData.yaml#/components/schemas/ApplicationId'</w:t>
      </w:r>
    </w:p>
    <w:p w14:paraId="5D68FF6F" w14:textId="77777777" w:rsidR="007862A2" w:rsidRDefault="007862A2" w:rsidP="007862A2">
      <w:pPr>
        <w:pStyle w:val="PL"/>
      </w:pPr>
      <w:r>
        <w:t xml:space="preserve">        domainDescs:</w:t>
      </w:r>
    </w:p>
    <w:p w14:paraId="201C2F33" w14:textId="77777777" w:rsidR="007862A2" w:rsidRDefault="007862A2" w:rsidP="007862A2">
      <w:pPr>
        <w:pStyle w:val="PL"/>
      </w:pPr>
      <w:r>
        <w:t xml:space="preserve">          type: array</w:t>
      </w:r>
    </w:p>
    <w:p w14:paraId="744B8440" w14:textId="77777777" w:rsidR="007862A2" w:rsidRDefault="007862A2" w:rsidP="007862A2">
      <w:pPr>
        <w:pStyle w:val="PL"/>
      </w:pPr>
      <w:r>
        <w:t xml:space="preserve">          items:</w:t>
      </w:r>
    </w:p>
    <w:p w14:paraId="101D8B75" w14:textId="77777777" w:rsidR="007862A2" w:rsidRDefault="007862A2" w:rsidP="007862A2">
      <w:pPr>
        <w:pStyle w:val="PL"/>
      </w:pPr>
      <w:r>
        <w:t xml:space="preserve">            type: string</w:t>
      </w:r>
    </w:p>
    <w:p w14:paraId="587BB2E3" w14:textId="77777777" w:rsidR="007862A2" w:rsidRDefault="007862A2" w:rsidP="007862A2">
      <w:pPr>
        <w:pStyle w:val="PL"/>
      </w:pPr>
      <w:r>
        <w:t xml:space="preserve">          minItems: 1</w:t>
      </w:r>
    </w:p>
    <w:p w14:paraId="1C8A8ED3" w14:textId="77777777" w:rsidR="007862A2" w:rsidRDefault="007862A2" w:rsidP="007862A2">
      <w:pPr>
        <w:pStyle w:val="PL"/>
        <w:rPr>
          <w:lang w:eastAsia="zh-CN"/>
        </w:rPr>
      </w:pPr>
      <w:r>
        <w:t xml:space="preserve">          description: </w:t>
      </w:r>
      <w:r>
        <w:rPr>
          <w:lang w:eastAsia="zh-CN"/>
        </w:rPr>
        <w:t>&gt;</w:t>
      </w:r>
    </w:p>
    <w:p w14:paraId="0A95FEC3" w14:textId="77777777" w:rsidR="007862A2" w:rsidRDefault="007862A2" w:rsidP="007862A2">
      <w:pPr>
        <w:pStyle w:val="PL"/>
      </w:pPr>
      <w:r>
        <w:t xml:space="preserve">            </w:t>
      </w:r>
      <w:r>
        <w:rPr>
          <w:rFonts w:cs="Arial"/>
          <w:szCs w:val="18"/>
          <w:lang w:eastAsia="zh-CN"/>
        </w:rPr>
        <w:t>FQDN(s) or a regular expression which are used as a domain name</w:t>
      </w:r>
      <w:r>
        <w:rPr>
          <w:rFonts w:hint="eastAsia"/>
          <w:lang w:eastAsia="ja-JP"/>
        </w:rPr>
        <w:t xml:space="preserve"> </w:t>
      </w:r>
      <w:r>
        <w:rPr>
          <w:rFonts w:cs="Arial"/>
          <w:szCs w:val="18"/>
          <w:lang w:eastAsia="zh-CN"/>
        </w:rPr>
        <w:t>matching criteria</w:t>
      </w:r>
      <w:r>
        <w:t>.</w:t>
      </w:r>
    </w:p>
    <w:p w14:paraId="375B249B" w14:textId="77777777" w:rsidR="007862A2" w:rsidRDefault="007862A2" w:rsidP="007862A2">
      <w:pPr>
        <w:pStyle w:val="PL"/>
      </w:pPr>
      <w:r>
        <w:t xml:space="preserve">      oneOf:</w:t>
      </w:r>
    </w:p>
    <w:p w14:paraId="3E9816C4" w14:textId="77777777" w:rsidR="007862A2" w:rsidRDefault="007862A2" w:rsidP="007862A2">
      <w:pPr>
        <w:pStyle w:val="PL"/>
      </w:pPr>
      <w:r>
        <w:t xml:space="preserve">        - required: [flow</w:t>
      </w:r>
      <w:r>
        <w:rPr>
          <w:lang w:eastAsia="zh-CN"/>
        </w:rPr>
        <w:t>Descs</w:t>
      </w:r>
      <w:r>
        <w:t>]</w:t>
      </w:r>
    </w:p>
    <w:p w14:paraId="6BAE297A" w14:textId="77777777" w:rsidR="007862A2" w:rsidRDefault="007862A2" w:rsidP="007862A2">
      <w:pPr>
        <w:pStyle w:val="PL"/>
        <w:rPr>
          <w:rFonts w:cs="Courier New"/>
          <w:szCs w:val="16"/>
        </w:rPr>
      </w:pPr>
      <w:r>
        <w:t xml:space="preserve">        - required: [appId]</w:t>
      </w:r>
    </w:p>
    <w:p w14:paraId="137A2A14" w14:textId="77777777" w:rsidR="007862A2" w:rsidRDefault="007862A2" w:rsidP="007862A2">
      <w:pPr>
        <w:pStyle w:val="PL"/>
        <w:rPr>
          <w:rFonts w:cs="Courier New"/>
          <w:szCs w:val="16"/>
        </w:rPr>
      </w:pPr>
      <w:r>
        <w:t xml:space="preserve">        - required: [domainDescs]</w:t>
      </w:r>
    </w:p>
    <w:p w14:paraId="50AD0560" w14:textId="77777777" w:rsidR="007862A2" w:rsidRDefault="007862A2" w:rsidP="007862A2">
      <w:pPr>
        <w:pStyle w:val="PL"/>
        <w:rPr>
          <w:lang w:eastAsia="zh-CN"/>
        </w:rPr>
      </w:pPr>
    </w:p>
    <w:p w14:paraId="18B411FD" w14:textId="77777777" w:rsidR="007862A2" w:rsidRDefault="007862A2" w:rsidP="007862A2">
      <w:pPr>
        <w:pStyle w:val="PL"/>
      </w:pPr>
      <w:r>
        <w:t xml:space="preserve">    </w:t>
      </w:r>
      <w:r>
        <w:rPr>
          <w:lang w:eastAsia="zh-CN"/>
        </w:rPr>
        <w:t>ResourceUsageRequirement</w:t>
      </w:r>
      <w:r>
        <w:t>:</w:t>
      </w:r>
    </w:p>
    <w:p w14:paraId="4F22CFC8" w14:textId="77777777" w:rsidR="007862A2" w:rsidRDefault="007862A2" w:rsidP="007862A2">
      <w:pPr>
        <w:pStyle w:val="PL"/>
      </w:pPr>
      <w:r>
        <w:t xml:space="preserve">      description: </w:t>
      </w:r>
      <w:r>
        <w:rPr>
          <w:lang w:eastAsia="zh-CN"/>
        </w:rPr>
        <w:t xml:space="preserve">resource usage </w:t>
      </w:r>
      <w:r>
        <w:rPr>
          <w:lang w:eastAsia="ko-KR"/>
        </w:rPr>
        <w:t>requirement.</w:t>
      </w:r>
    </w:p>
    <w:p w14:paraId="058A0054" w14:textId="77777777" w:rsidR="007862A2" w:rsidRDefault="007862A2" w:rsidP="007862A2">
      <w:pPr>
        <w:pStyle w:val="PL"/>
      </w:pPr>
      <w:r>
        <w:t xml:space="preserve">      type: object</w:t>
      </w:r>
    </w:p>
    <w:p w14:paraId="1A3B53BC" w14:textId="77777777" w:rsidR="007862A2" w:rsidRDefault="007862A2" w:rsidP="007862A2">
      <w:pPr>
        <w:pStyle w:val="PL"/>
      </w:pPr>
      <w:r>
        <w:t xml:space="preserve">      properties:</w:t>
      </w:r>
    </w:p>
    <w:p w14:paraId="71081621" w14:textId="77777777" w:rsidR="007862A2" w:rsidRDefault="007862A2" w:rsidP="007862A2">
      <w:pPr>
        <w:pStyle w:val="PL"/>
      </w:pPr>
      <w:r>
        <w:t xml:space="preserve">        </w:t>
      </w:r>
      <w:r>
        <w:rPr>
          <w:lang w:eastAsia="zh-CN"/>
        </w:rPr>
        <w:t>tfcDirc</w:t>
      </w:r>
      <w:r>
        <w:t>:</w:t>
      </w:r>
    </w:p>
    <w:p w14:paraId="5E45F117" w14:textId="77777777" w:rsidR="007862A2" w:rsidRDefault="007862A2" w:rsidP="007862A2">
      <w:pPr>
        <w:pStyle w:val="PL"/>
      </w:pPr>
      <w:r>
        <w:t xml:space="preserve">          $ref: '#/components/schemas/TrafficDirection'</w:t>
      </w:r>
    </w:p>
    <w:p w14:paraId="3C3ED7FF" w14:textId="77777777" w:rsidR="007862A2" w:rsidRDefault="007862A2" w:rsidP="007862A2">
      <w:pPr>
        <w:pStyle w:val="PL"/>
      </w:pPr>
      <w:r>
        <w:t xml:space="preserve">        </w:t>
      </w:r>
      <w:r>
        <w:rPr>
          <w:rFonts w:hint="eastAsia"/>
          <w:lang w:eastAsia="zh-CN"/>
        </w:rPr>
        <w:t>v</w:t>
      </w:r>
      <w:r>
        <w:rPr>
          <w:lang w:eastAsia="zh-CN"/>
        </w:rPr>
        <w:t>alExp</w:t>
      </w:r>
      <w:r>
        <w:t>:</w:t>
      </w:r>
    </w:p>
    <w:p w14:paraId="51F126E8" w14:textId="77777777" w:rsidR="007862A2" w:rsidRDefault="007862A2" w:rsidP="007862A2">
      <w:pPr>
        <w:pStyle w:val="PL"/>
        <w:rPr>
          <w:rFonts w:cs="Courier New"/>
          <w:szCs w:val="16"/>
        </w:rPr>
      </w:pPr>
      <w:r>
        <w:rPr>
          <w:rFonts w:cs="Courier New"/>
          <w:szCs w:val="16"/>
        </w:rPr>
        <w:lastRenderedPageBreak/>
        <w:t xml:space="preserve">          $ref: '#/components/schemas/</w:t>
      </w:r>
      <w:r>
        <w:rPr>
          <w:lang w:eastAsia="zh-CN"/>
        </w:rPr>
        <w:t>ValueExpression</w:t>
      </w:r>
      <w:r>
        <w:rPr>
          <w:rFonts w:cs="Courier New"/>
          <w:szCs w:val="16"/>
        </w:rPr>
        <w:t>'</w:t>
      </w:r>
    </w:p>
    <w:p w14:paraId="2B6E60E2" w14:textId="77777777" w:rsidR="007862A2" w:rsidRDefault="007862A2" w:rsidP="007862A2">
      <w:pPr>
        <w:pStyle w:val="PL"/>
      </w:pPr>
    </w:p>
    <w:p w14:paraId="44878655" w14:textId="77777777" w:rsidR="007862A2" w:rsidRDefault="007862A2" w:rsidP="007862A2">
      <w:pPr>
        <w:pStyle w:val="PL"/>
      </w:pPr>
      <w:r>
        <w:t xml:space="preserve">    </w:t>
      </w:r>
      <w:r>
        <w:rPr>
          <w:lang w:eastAsia="zh-CN"/>
        </w:rPr>
        <w:t>E2eDataVolTransTimeReq</w:t>
      </w:r>
      <w:r>
        <w:t>:</w:t>
      </w:r>
    </w:p>
    <w:p w14:paraId="1E39489E" w14:textId="77777777" w:rsidR="007862A2" w:rsidRDefault="007862A2" w:rsidP="007862A2">
      <w:pPr>
        <w:pStyle w:val="PL"/>
      </w:pPr>
      <w:r>
        <w:t xml:space="preserve">      description: Represents other E2E data volume transfer time analytics requirements.</w:t>
      </w:r>
    </w:p>
    <w:p w14:paraId="16A391CB" w14:textId="77777777" w:rsidR="007862A2" w:rsidRDefault="007862A2" w:rsidP="007862A2">
      <w:pPr>
        <w:pStyle w:val="PL"/>
      </w:pPr>
      <w:r>
        <w:t xml:space="preserve">      type: object</w:t>
      </w:r>
    </w:p>
    <w:p w14:paraId="1C1CDBA9" w14:textId="77777777" w:rsidR="007862A2" w:rsidRDefault="007862A2" w:rsidP="007862A2">
      <w:pPr>
        <w:pStyle w:val="PL"/>
      </w:pPr>
      <w:r>
        <w:t xml:space="preserve">      properties:</w:t>
      </w:r>
    </w:p>
    <w:p w14:paraId="1A239DBE" w14:textId="77777777" w:rsidR="007862A2" w:rsidRDefault="007862A2" w:rsidP="007862A2">
      <w:pPr>
        <w:pStyle w:val="PL"/>
      </w:pPr>
      <w:r>
        <w:t xml:space="preserve">        </w:t>
      </w:r>
      <w:r>
        <w:rPr>
          <w:lang w:eastAsia="zh-CN"/>
        </w:rPr>
        <w:t>criterion</w:t>
      </w:r>
      <w:r>
        <w:t>:</w:t>
      </w:r>
    </w:p>
    <w:p w14:paraId="6367301A" w14:textId="77777777" w:rsidR="007862A2" w:rsidRDefault="007862A2" w:rsidP="007862A2">
      <w:pPr>
        <w:pStyle w:val="PL"/>
      </w:pPr>
      <w:r>
        <w:t xml:space="preserve">          $ref: '#/components/schemas/</w:t>
      </w:r>
      <w:r>
        <w:rPr>
          <w:lang w:eastAsia="zh-CN"/>
        </w:rPr>
        <w:t>E2eDataVolTransTimeCriterion</w:t>
      </w:r>
      <w:r>
        <w:t>'</w:t>
      </w:r>
    </w:p>
    <w:p w14:paraId="08AD4A7D" w14:textId="77777777" w:rsidR="007862A2" w:rsidRDefault="007862A2" w:rsidP="007862A2">
      <w:pPr>
        <w:pStyle w:val="PL"/>
      </w:pPr>
      <w:r>
        <w:t xml:space="preserve">        order:</w:t>
      </w:r>
    </w:p>
    <w:p w14:paraId="7B0F463E" w14:textId="77777777" w:rsidR="007862A2" w:rsidRDefault="007862A2" w:rsidP="007862A2">
      <w:pPr>
        <w:pStyle w:val="PL"/>
      </w:pPr>
      <w:r>
        <w:t xml:space="preserve">          $ref: '#/components/schemas/MatchingDirection'</w:t>
      </w:r>
    </w:p>
    <w:p w14:paraId="1406B881" w14:textId="77777777" w:rsidR="007862A2" w:rsidRDefault="007862A2" w:rsidP="007862A2">
      <w:pPr>
        <w:pStyle w:val="PL"/>
      </w:pPr>
      <w:r>
        <w:t xml:space="preserve">        </w:t>
      </w:r>
      <w:r>
        <w:rPr>
          <w:lang w:eastAsia="zh-CN"/>
        </w:rPr>
        <w:t>highTransTmThr</w:t>
      </w:r>
      <w:r>
        <w:t>:</w:t>
      </w:r>
    </w:p>
    <w:p w14:paraId="60E0E9A1" w14:textId="77777777" w:rsidR="007862A2" w:rsidRDefault="007862A2" w:rsidP="007862A2">
      <w:pPr>
        <w:pStyle w:val="PL"/>
      </w:pPr>
      <w:r>
        <w:t xml:space="preserve">          $ref: 'TS29571_CommonData.yaml#/components/schemas/Uinteger'</w:t>
      </w:r>
    </w:p>
    <w:p w14:paraId="2F6FAB3E" w14:textId="77777777" w:rsidR="007862A2" w:rsidRDefault="007862A2" w:rsidP="007862A2">
      <w:pPr>
        <w:pStyle w:val="PL"/>
      </w:pPr>
      <w:r>
        <w:t xml:space="preserve">        lowTransTmThr:</w:t>
      </w:r>
    </w:p>
    <w:p w14:paraId="6A09369F" w14:textId="77777777" w:rsidR="007862A2" w:rsidRDefault="007862A2" w:rsidP="007862A2">
      <w:pPr>
        <w:pStyle w:val="PL"/>
      </w:pPr>
      <w:r>
        <w:t xml:space="preserve">          $ref: 'TS29571_CommonData.yaml#/components/schemas/Uinteger'</w:t>
      </w:r>
    </w:p>
    <w:p w14:paraId="7E816E70" w14:textId="77777777" w:rsidR="007862A2" w:rsidRDefault="007862A2" w:rsidP="007862A2">
      <w:pPr>
        <w:pStyle w:val="PL"/>
      </w:pPr>
      <w:r>
        <w:t xml:space="preserve">        </w:t>
      </w:r>
      <w:r>
        <w:rPr>
          <w:lang w:eastAsia="zh-CN"/>
        </w:rPr>
        <w:t>repeatDataTrans</w:t>
      </w:r>
      <w:r>
        <w:t>:</w:t>
      </w:r>
    </w:p>
    <w:p w14:paraId="4676C87B" w14:textId="77777777" w:rsidR="007862A2" w:rsidRDefault="007862A2" w:rsidP="007862A2">
      <w:pPr>
        <w:pStyle w:val="PL"/>
      </w:pPr>
      <w:r>
        <w:t xml:space="preserve">          $ref: 'TS29571_CommonData.yaml#/components/schemas/Uinteger'</w:t>
      </w:r>
    </w:p>
    <w:p w14:paraId="55F5F205" w14:textId="77777777" w:rsidR="007862A2" w:rsidRDefault="007862A2" w:rsidP="007862A2">
      <w:pPr>
        <w:pStyle w:val="PL"/>
      </w:pPr>
      <w:r>
        <w:t xml:space="preserve">        </w:t>
      </w:r>
      <w:r>
        <w:rPr>
          <w:lang w:eastAsia="zh-CN"/>
        </w:rPr>
        <w:t>tsIntervalDataTrans</w:t>
      </w:r>
      <w:r>
        <w:t>:</w:t>
      </w:r>
    </w:p>
    <w:p w14:paraId="575293C4" w14:textId="77777777" w:rsidR="007862A2" w:rsidRDefault="007862A2" w:rsidP="007862A2">
      <w:pPr>
        <w:pStyle w:val="PL"/>
      </w:pPr>
      <w:r>
        <w:t xml:space="preserve">          $ref: 'TS29571_CommonData.yaml#/components/schemas/</w:t>
      </w:r>
      <w:r w:rsidRPr="00FA7BBE">
        <w:t>DurationSec</w:t>
      </w:r>
      <w:r>
        <w:t>'</w:t>
      </w:r>
    </w:p>
    <w:p w14:paraId="15FB99E7" w14:textId="77777777" w:rsidR="007862A2" w:rsidRDefault="007862A2" w:rsidP="007862A2">
      <w:pPr>
        <w:pStyle w:val="PL"/>
      </w:pPr>
      <w:r>
        <w:t xml:space="preserve">        </w:t>
      </w:r>
      <w:r>
        <w:rPr>
          <w:lang w:eastAsia="zh-CN"/>
        </w:rPr>
        <w:t>dataVolume</w:t>
      </w:r>
      <w:r>
        <w:t>:</w:t>
      </w:r>
    </w:p>
    <w:p w14:paraId="704BE245" w14:textId="77777777" w:rsidR="007862A2" w:rsidRDefault="007862A2" w:rsidP="007862A2">
      <w:pPr>
        <w:pStyle w:val="PL"/>
      </w:pPr>
      <w:r>
        <w:t xml:space="preserve">          $ref: '#/components/schemas/DataVolume'</w:t>
      </w:r>
    </w:p>
    <w:p w14:paraId="2A34697A" w14:textId="77777777" w:rsidR="007862A2" w:rsidRDefault="007862A2" w:rsidP="007862A2">
      <w:pPr>
        <w:pStyle w:val="PL"/>
      </w:pPr>
      <w:r>
        <w:t xml:space="preserve">        </w:t>
      </w:r>
      <w:r>
        <w:rPr>
          <w:lang w:eastAsia="zh-CN"/>
        </w:rPr>
        <w:t>maxNumberUes</w:t>
      </w:r>
      <w:r>
        <w:t>:</w:t>
      </w:r>
    </w:p>
    <w:p w14:paraId="37BF4344" w14:textId="77777777" w:rsidR="007862A2" w:rsidRDefault="007862A2" w:rsidP="007862A2">
      <w:pPr>
        <w:pStyle w:val="PL"/>
      </w:pPr>
      <w:r>
        <w:t xml:space="preserve">          $ref: 'TS29571_CommonData.yaml#/components/schemas/Uinteger'</w:t>
      </w:r>
    </w:p>
    <w:p w14:paraId="3F84484B" w14:textId="77777777" w:rsidR="007862A2" w:rsidRDefault="007862A2" w:rsidP="007862A2">
      <w:pPr>
        <w:pStyle w:val="PL"/>
      </w:pPr>
      <w:r>
        <w:t xml:space="preserve">      oneOf:</w:t>
      </w:r>
    </w:p>
    <w:p w14:paraId="50D62EC0" w14:textId="77777777" w:rsidR="007862A2" w:rsidRDefault="007862A2" w:rsidP="007862A2">
      <w:pPr>
        <w:pStyle w:val="PL"/>
      </w:pPr>
      <w:r>
        <w:t xml:space="preserve">        - required: [</w:t>
      </w:r>
      <w:r>
        <w:rPr>
          <w:lang w:eastAsia="zh-CN"/>
        </w:rPr>
        <w:t>repeatDataTrans</w:t>
      </w:r>
      <w:r>
        <w:t>]</w:t>
      </w:r>
    </w:p>
    <w:p w14:paraId="43CC5CDB" w14:textId="77777777" w:rsidR="007862A2" w:rsidRDefault="007862A2" w:rsidP="007862A2">
      <w:pPr>
        <w:pStyle w:val="PL"/>
      </w:pPr>
      <w:r>
        <w:t xml:space="preserve">        - required: [</w:t>
      </w:r>
      <w:r>
        <w:rPr>
          <w:lang w:eastAsia="zh-CN"/>
        </w:rPr>
        <w:t>tsIntervalDataTrans</w:t>
      </w:r>
      <w:r>
        <w:t>]</w:t>
      </w:r>
    </w:p>
    <w:p w14:paraId="121326FC" w14:textId="77777777" w:rsidR="007862A2" w:rsidRDefault="007862A2" w:rsidP="007862A2">
      <w:pPr>
        <w:pStyle w:val="PL"/>
      </w:pPr>
    </w:p>
    <w:p w14:paraId="03CB5AD5" w14:textId="77777777" w:rsidR="007862A2" w:rsidRDefault="007862A2" w:rsidP="007862A2">
      <w:pPr>
        <w:pStyle w:val="PL"/>
      </w:pPr>
      <w:r>
        <w:t xml:space="preserve">    DataVolume:</w:t>
      </w:r>
    </w:p>
    <w:p w14:paraId="2B684338" w14:textId="77777777" w:rsidR="007862A2" w:rsidRDefault="007862A2" w:rsidP="007862A2">
      <w:pPr>
        <w:pStyle w:val="PL"/>
      </w:pPr>
      <w:r>
        <w:t xml:space="preserve">      description: Data Volume including UL/DL.</w:t>
      </w:r>
    </w:p>
    <w:p w14:paraId="59E78AC4" w14:textId="77777777" w:rsidR="007862A2" w:rsidRDefault="007862A2" w:rsidP="007862A2">
      <w:pPr>
        <w:pStyle w:val="PL"/>
      </w:pPr>
      <w:r>
        <w:t xml:space="preserve">      type: object</w:t>
      </w:r>
    </w:p>
    <w:p w14:paraId="22C36FB9" w14:textId="77777777" w:rsidR="007862A2" w:rsidRDefault="007862A2" w:rsidP="007862A2">
      <w:pPr>
        <w:pStyle w:val="PL"/>
      </w:pPr>
      <w:r>
        <w:t xml:space="preserve">      properties:</w:t>
      </w:r>
    </w:p>
    <w:p w14:paraId="3EA1E2F9" w14:textId="77777777" w:rsidR="007862A2" w:rsidRDefault="007862A2" w:rsidP="007862A2">
      <w:pPr>
        <w:pStyle w:val="PL"/>
      </w:pPr>
      <w:r>
        <w:t xml:space="preserve">        uplinkVolume:</w:t>
      </w:r>
    </w:p>
    <w:p w14:paraId="638D5155" w14:textId="77777777" w:rsidR="007862A2" w:rsidRDefault="007862A2" w:rsidP="007862A2">
      <w:pPr>
        <w:pStyle w:val="PL"/>
      </w:pPr>
      <w:r>
        <w:t xml:space="preserve">          $ref: 'TS29122_CommonData.yaml#/components/schemas/Volume'</w:t>
      </w:r>
    </w:p>
    <w:p w14:paraId="3F7612C7" w14:textId="77777777" w:rsidR="007862A2" w:rsidRDefault="007862A2" w:rsidP="007862A2">
      <w:pPr>
        <w:pStyle w:val="PL"/>
      </w:pPr>
      <w:r>
        <w:t xml:space="preserve">        downlinkVolume:</w:t>
      </w:r>
    </w:p>
    <w:p w14:paraId="2FBB4186" w14:textId="77777777" w:rsidR="007862A2" w:rsidRDefault="007862A2" w:rsidP="007862A2">
      <w:pPr>
        <w:pStyle w:val="PL"/>
      </w:pPr>
      <w:r>
        <w:t xml:space="preserve">          $ref: 'TS29122_CommonData.yaml#/components/schemas/Volume'</w:t>
      </w:r>
    </w:p>
    <w:p w14:paraId="3DCD745E" w14:textId="77777777" w:rsidR="007862A2" w:rsidRDefault="007862A2" w:rsidP="007862A2">
      <w:pPr>
        <w:pStyle w:val="PL"/>
      </w:pPr>
      <w:r>
        <w:t xml:space="preserve">      anyOf:</w:t>
      </w:r>
    </w:p>
    <w:p w14:paraId="0DF606F4" w14:textId="77777777" w:rsidR="007862A2" w:rsidRDefault="007862A2" w:rsidP="007862A2">
      <w:pPr>
        <w:pStyle w:val="PL"/>
      </w:pPr>
      <w:r>
        <w:t xml:space="preserve">        - required: [uplinkVolume]</w:t>
      </w:r>
    </w:p>
    <w:p w14:paraId="32757916" w14:textId="77777777" w:rsidR="007862A2" w:rsidRDefault="007862A2" w:rsidP="007862A2">
      <w:pPr>
        <w:pStyle w:val="PL"/>
      </w:pPr>
      <w:r>
        <w:t xml:space="preserve">        - required: [downlinkVolume]</w:t>
      </w:r>
    </w:p>
    <w:p w14:paraId="5FB30E8B" w14:textId="77777777" w:rsidR="007862A2" w:rsidRDefault="007862A2" w:rsidP="007862A2">
      <w:pPr>
        <w:pStyle w:val="PL"/>
      </w:pPr>
    </w:p>
    <w:p w14:paraId="7341C442" w14:textId="77777777" w:rsidR="007862A2" w:rsidRDefault="007862A2" w:rsidP="007862A2">
      <w:pPr>
        <w:pStyle w:val="PL"/>
      </w:pPr>
      <w:r>
        <w:t xml:space="preserve">    </w:t>
      </w:r>
      <w:r>
        <w:rPr>
          <w:lang w:eastAsia="zh-CN"/>
        </w:rPr>
        <w:t>E2eDataVolTransTimeInfo</w:t>
      </w:r>
      <w:r>
        <w:t>:</w:t>
      </w:r>
    </w:p>
    <w:p w14:paraId="3D13090B" w14:textId="77777777" w:rsidR="007862A2" w:rsidRDefault="007862A2" w:rsidP="007862A2">
      <w:pPr>
        <w:pStyle w:val="PL"/>
      </w:pPr>
      <w:r>
        <w:t xml:space="preserve">      description: &gt;</w:t>
      </w:r>
    </w:p>
    <w:p w14:paraId="1E4EC895" w14:textId="77777777" w:rsidR="007862A2" w:rsidRDefault="007862A2" w:rsidP="007862A2">
      <w:pPr>
        <w:pStyle w:val="PL"/>
      </w:pPr>
      <w:r>
        <w:t xml:space="preserve">        Represents the E2E data volume transfer time analytics information when subscribed event is</w:t>
      </w:r>
    </w:p>
    <w:p w14:paraId="4F71D0F2" w14:textId="77777777" w:rsidR="007862A2" w:rsidRDefault="007862A2" w:rsidP="007862A2">
      <w:pPr>
        <w:pStyle w:val="PL"/>
      </w:pPr>
      <w:r>
        <w:t xml:space="preserve">        "</w:t>
      </w:r>
      <w:r>
        <w:rPr>
          <w:lang w:eastAsia="zh-CN"/>
        </w:rPr>
        <w:t>E2E_DATA_VOL_TRANS_TIME</w:t>
      </w:r>
      <w:r>
        <w:t>", the "dataVlTrnsTmInfos" attribute shall be included.</w:t>
      </w:r>
    </w:p>
    <w:p w14:paraId="5C69C56E" w14:textId="77777777" w:rsidR="007862A2" w:rsidRDefault="007862A2" w:rsidP="007862A2">
      <w:pPr>
        <w:pStyle w:val="PL"/>
      </w:pPr>
      <w:r>
        <w:t xml:space="preserve">      type: object</w:t>
      </w:r>
    </w:p>
    <w:p w14:paraId="60C7EDEB" w14:textId="77777777" w:rsidR="007862A2" w:rsidRDefault="007862A2" w:rsidP="007862A2">
      <w:pPr>
        <w:pStyle w:val="PL"/>
      </w:pPr>
      <w:r>
        <w:t xml:space="preserve">      properties:</w:t>
      </w:r>
    </w:p>
    <w:p w14:paraId="70FF2BDB" w14:textId="77777777" w:rsidR="007862A2" w:rsidRDefault="007862A2" w:rsidP="007862A2">
      <w:pPr>
        <w:pStyle w:val="PL"/>
      </w:pPr>
      <w:r>
        <w:t xml:space="preserve">        </w:t>
      </w:r>
      <w:r>
        <w:rPr>
          <w:lang w:eastAsia="zh-CN"/>
        </w:rPr>
        <w:t>e2eDataVolTransTimes</w:t>
      </w:r>
      <w:r>
        <w:t>:</w:t>
      </w:r>
    </w:p>
    <w:p w14:paraId="08426873" w14:textId="77777777" w:rsidR="007862A2" w:rsidRDefault="007862A2" w:rsidP="007862A2">
      <w:pPr>
        <w:pStyle w:val="PL"/>
      </w:pPr>
      <w:r>
        <w:t xml:space="preserve">          type: array</w:t>
      </w:r>
    </w:p>
    <w:p w14:paraId="76ADA8DD" w14:textId="77777777" w:rsidR="007862A2" w:rsidRDefault="007862A2" w:rsidP="007862A2">
      <w:pPr>
        <w:pStyle w:val="PL"/>
      </w:pPr>
      <w:r>
        <w:t xml:space="preserve">          items:</w:t>
      </w:r>
    </w:p>
    <w:p w14:paraId="7F34231D" w14:textId="77777777" w:rsidR="007862A2" w:rsidRDefault="007862A2" w:rsidP="007862A2">
      <w:pPr>
        <w:pStyle w:val="PL"/>
      </w:pPr>
      <w:r>
        <w:t xml:space="preserve">            $ref: '#/components/schemas/</w:t>
      </w:r>
      <w:r>
        <w:rPr>
          <w:lang w:eastAsia="zh-CN"/>
        </w:rPr>
        <w:t>E2eDataVolTransTimePerTS</w:t>
      </w:r>
      <w:r>
        <w:t>'</w:t>
      </w:r>
    </w:p>
    <w:p w14:paraId="0E34010E" w14:textId="77777777" w:rsidR="007862A2" w:rsidRDefault="007862A2" w:rsidP="007862A2">
      <w:pPr>
        <w:pStyle w:val="PL"/>
      </w:pPr>
      <w:r>
        <w:t xml:space="preserve">          minItems: 1</w:t>
      </w:r>
    </w:p>
    <w:p w14:paraId="7C1930C0" w14:textId="77777777" w:rsidR="007862A2" w:rsidRDefault="007862A2" w:rsidP="007862A2">
      <w:pPr>
        <w:pStyle w:val="PL"/>
      </w:pPr>
      <w:r>
        <w:t xml:space="preserve">        </w:t>
      </w:r>
      <w:r>
        <w:rPr>
          <w:lang w:eastAsia="zh-CN"/>
        </w:rPr>
        <w:t>e2eDataVolTransTime</w:t>
      </w:r>
      <w:r>
        <w:t>UeLists:</w:t>
      </w:r>
    </w:p>
    <w:p w14:paraId="6D703E91" w14:textId="77777777" w:rsidR="007862A2" w:rsidRDefault="007862A2" w:rsidP="007862A2">
      <w:pPr>
        <w:pStyle w:val="PL"/>
      </w:pPr>
      <w:r>
        <w:t xml:space="preserve">          type: array</w:t>
      </w:r>
    </w:p>
    <w:p w14:paraId="061D3498" w14:textId="77777777" w:rsidR="007862A2" w:rsidRDefault="007862A2" w:rsidP="007862A2">
      <w:pPr>
        <w:pStyle w:val="PL"/>
      </w:pPr>
      <w:r>
        <w:t xml:space="preserve">          items:</w:t>
      </w:r>
    </w:p>
    <w:p w14:paraId="29775EB2" w14:textId="77777777" w:rsidR="007862A2" w:rsidRDefault="007862A2" w:rsidP="007862A2">
      <w:pPr>
        <w:pStyle w:val="PL"/>
      </w:pPr>
      <w:r>
        <w:t xml:space="preserve">            $ref: '#/components/schemas/</w:t>
      </w:r>
      <w:r>
        <w:rPr>
          <w:lang w:eastAsia="zh-CN"/>
        </w:rPr>
        <w:t>E2eDataVolTransTime</w:t>
      </w:r>
      <w:r>
        <w:t>UeList'</w:t>
      </w:r>
    </w:p>
    <w:p w14:paraId="6378A456" w14:textId="77777777" w:rsidR="007862A2" w:rsidRDefault="007862A2" w:rsidP="007862A2">
      <w:pPr>
        <w:pStyle w:val="PL"/>
      </w:pPr>
      <w:r>
        <w:t xml:space="preserve">          minItems: 1</w:t>
      </w:r>
    </w:p>
    <w:p w14:paraId="264550A2" w14:textId="77777777" w:rsidR="007862A2" w:rsidRDefault="007862A2" w:rsidP="007862A2">
      <w:pPr>
        <w:pStyle w:val="PL"/>
      </w:pPr>
      <w:r>
        <w:t xml:space="preserve">        geoDistrInfos:</w:t>
      </w:r>
    </w:p>
    <w:p w14:paraId="4C332514" w14:textId="77777777" w:rsidR="007862A2" w:rsidRDefault="007862A2" w:rsidP="007862A2">
      <w:pPr>
        <w:pStyle w:val="PL"/>
      </w:pPr>
      <w:r>
        <w:t xml:space="preserve">          type: array</w:t>
      </w:r>
    </w:p>
    <w:p w14:paraId="61223C04" w14:textId="77777777" w:rsidR="007862A2" w:rsidRDefault="007862A2" w:rsidP="007862A2">
      <w:pPr>
        <w:pStyle w:val="PL"/>
      </w:pPr>
      <w:r>
        <w:t xml:space="preserve">          items:</w:t>
      </w:r>
    </w:p>
    <w:p w14:paraId="796557CA" w14:textId="77777777" w:rsidR="007862A2" w:rsidRDefault="007862A2" w:rsidP="007862A2">
      <w:pPr>
        <w:pStyle w:val="PL"/>
      </w:pPr>
      <w:r>
        <w:t xml:space="preserve">            $ref: '#/components/schemas/</w:t>
      </w:r>
      <w:r>
        <w:rPr>
          <w:lang w:eastAsia="zh-CN"/>
        </w:rPr>
        <w:t>GeoDistributionInfo</w:t>
      </w:r>
      <w:r>
        <w:t>'</w:t>
      </w:r>
    </w:p>
    <w:p w14:paraId="3FE5E7A1" w14:textId="77777777" w:rsidR="007862A2" w:rsidRDefault="007862A2" w:rsidP="007862A2">
      <w:pPr>
        <w:pStyle w:val="PL"/>
      </w:pPr>
      <w:r>
        <w:t xml:space="preserve">          minItems: 1</w:t>
      </w:r>
    </w:p>
    <w:p w14:paraId="71F3E014" w14:textId="77777777" w:rsidR="007862A2" w:rsidRDefault="007862A2" w:rsidP="007862A2">
      <w:pPr>
        <w:pStyle w:val="PL"/>
      </w:pPr>
      <w:r>
        <w:t xml:space="preserve">        confidence:</w:t>
      </w:r>
    </w:p>
    <w:p w14:paraId="33E8623E" w14:textId="77777777" w:rsidR="007862A2" w:rsidRDefault="007862A2" w:rsidP="007862A2">
      <w:pPr>
        <w:pStyle w:val="PL"/>
      </w:pPr>
      <w:r>
        <w:t xml:space="preserve">          $ref: 'TS29571_CommonData.yaml#/components/schemas/Uinteger'</w:t>
      </w:r>
    </w:p>
    <w:p w14:paraId="750DAB7A" w14:textId="77777777" w:rsidR="007862A2" w:rsidRDefault="007862A2" w:rsidP="007862A2">
      <w:pPr>
        <w:pStyle w:val="PL"/>
      </w:pPr>
      <w:r>
        <w:t xml:space="preserve">      required:</w:t>
      </w:r>
    </w:p>
    <w:p w14:paraId="2878680D" w14:textId="77777777" w:rsidR="007862A2" w:rsidRDefault="007862A2" w:rsidP="007862A2">
      <w:pPr>
        <w:pStyle w:val="PL"/>
      </w:pPr>
      <w:r>
        <w:t xml:space="preserve">        - </w:t>
      </w:r>
      <w:r>
        <w:rPr>
          <w:lang w:eastAsia="zh-CN"/>
        </w:rPr>
        <w:t>e2eDataVolTransTimes</w:t>
      </w:r>
    </w:p>
    <w:p w14:paraId="2E3C7099" w14:textId="77777777" w:rsidR="007862A2" w:rsidRDefault="007862A2" w:rsidP="007862A2">
      <w:pPr>
        <w:pStyle w:val="PL"/>
      </w:pPr>
    </w:p>
    <w:p w14:paraId="5FB8680F" w14:textId="77777777" w:rsidR="007862A2" w:rsidRDefault="007862A2" w:rsidP="007862A2">
      <w:pPr>
        <w:pStyle w:val="PL"/>
      </w:pPr>
      <w:r>
        <w:t xml:space="preserve">    </w:t>
      </w:r>
      <w:r>
        <w:rPr>
          <w:bCs/>
          <w:lang w:eastAsia="zh-CN"/>
        </w:rPr>
        <w:t>E2eDataVolTransTimePerTS</w:t>
      </w:r>
      <w:r>
        <w:t>:</w:t>
      </w:r>
    </w:p>
    <w:p w14:paraId="407CF66B" w14:textId="77777777" w:rsidR="007862A2" w:rsidRDefault="007862A2" w:rsidP="007862A2">
      <w:pPr>
        <w:pStyle w:val="PL"/>
      </w:pPr>
      <w:r>
        <w:t xml:space="preserve">      description: Represents the E2E data volume transfer time analytics per Time Slot.</w:t>
      </w:r>
    </w:p>
    <w:p w14:paraId="15064116" w14:textId="77777777" w:rsidR="007862A2" w:rsidRDefault="007862A2" w:rsidP="007862A2">
      <w:pPr>
        <w:pStyle w:val="PL"/>
      </w:pPr>
      <w:r>
        <w:t xml:space="preserve">      type: object</w:t>
      </w:r>
    </w:p>
    <w:p w14:paraId="2BFBB725" w14:textId="77777777" w:rsidR="007862A2" w:rsidRDefault="007862A2" w:rsidP="007862A2">
      <w:pPr>
        <w:pStyle w:val="PL"/>
      </w:pPr>
      <w:r>
        <w:t xml:space="preserve">      properties:</w:t>
      </w:r>
    </w:p>
    <w:p w14:paraId="72ADCB39" w14:textId="77777777" w:rsidR="007862A2" w:rsidRDefault="007862A2" w:rsidP="007862A2">
      <w:pPr>
        <w:pStyle w:val="PL"/>
      </w:pPr>
      <w:r>
        <w:t xml:space="preserve">        tsStart:</w:t>
      </w:r>
    </w:p>
    <w:p w14:paraId="105A402C" w14:textId="77777777" w:rsidR="007862A2" w:rsidRDefault="007862A2" w:rsidP="007862A2">
      <w:pPr>
        <w:pStyle w:val="PL"/>
      </w:pPr>
      <w:r>
        <w:t xml:space="preserve">          $ref: 'TS29571_CommonData.yaml#/components/schemas/DateTime'</w:t>
      </w:r>
    </w:p>
    <w:p w14:paraId="715C9233" w14:textId="77777777" w:rsidR="007862A2" w:rsidRDefault="007862A2" w:rsidP="007862A2">
      <w:pPr>
        <w:pStyle w:val="PL"/>
      </w:pPr>
      <w:r>
        <w:t xml:space="preserve">        tsDuration:</w:t>
      </w:r>
    </w:p>
    <w:p w14:paraId="0761B3E7" w14:textId="77777777" w:rsidR="007862A2" w:rsidRDefault="007862A2" w:rsidP="007862A2">
      <w:pPr>
        <w:pStyle w:val="PL"/>
      </w:pPr>
      <w:r>
        <w:t xml:space="preserve">          $ref: 'TS29571_CommonData.yaml#/components/schemas/DurationSec'</w:t>
      </w:r>
    </w:p>
    <w:p w14:paraId="4A3F64AF" w14:textId="77777777" w:rsidR="007862A2" w:rsidRDefault="007862A2" w:rsidP="007862A2">
      <w:pPr>
        <w:pStyle w:val="PL"/>
      </w:pPr>
      <w:r>
        <w:t xml:space="preserve">        </w:t>
      </w:r>
      <w:r>
        <w:rPr>
          <w:lang w:eastAsia="zh-CN"/>
        </w:rPr>
        <w:t>e2eDataVolTransTimePerUe</w:t>
      </w:r>
      <w:r>
        <w:t>:</w:t>
      </w:r>
    </w:p>
    <w:p w14:paraId="7D065727" w14:textId="77777777" w:rsidR="007862A2" w:rsidRDefault="007862A2" w:rsidP="007862A2">
      <w:pPr>
        <w:pStyle w:val="PL"/>
      </w:pPr>
      <w:r>
        <w:t xml:space="preserve">          type: array</w:t>
      </w:r>
    </w:p>
    <w:p w14:paraId="774A5B3E" w14:textId="77777777" w:rsidR="007862A2" w:rsidRDefault="007862A2" w:rsidP="007862A2">
      <w:pPr>
        <w:pStyle w:val="PL"/>
      </w:pPr>
      <w:r>
        <w:t xml:space="preserve">          items:</w:t>
      </w:r>
    </w:p>
    <w:p w14:paraId="7A9B3EE6" w14:textId="77777777" w:rsidR="007862A2" w:rsidRDefault="007862A2" w:rsidP="007862A2">
      <w:pPr>
        <w:pStyle w:val="PL"/>
      </w:pPr>
      <w:r>
        <w:t xml:space="preserve">            $ref: '#/components/schemas/</w:t>
      </w:r>
      <w:r>
        <w:rPr>
          <w:lang w:eastAsia="zh-CN"/>
        </w:rPr>
        <w:t>E2eDataVolTransTimePer</w:t>
      </w:r>
      <w:r>
        <w:t>Ue'</w:t>
      </w:r>
    </w:p>
    <w:p w14:paraId="30C8F49E" w14:textId="77777777" w:rsidR="007862A2" w:rsidRDefault="007862A2" w:rsidP="007862A2">
      <w:pPr>
        <w:pStyle w:val="PL"/>
      </w:pPr>
      <w:r>
        <w:t xml:space="preserve">          minItems: 1</w:t>
      </w:r>
    </w:p>
    <w:p w14:paraId="285D1D01" w14:textId="77777777" w:rsidR="007862A2" w:rsidRDefault="007862A2" w:rsidP="007862A2">
      <w:pPr>
        <w:pStyle w:val="PL"/>
      </w:pPr>
      <w:r>
        <w:t xml:space="preserve">      required:</w:t>
      </w:r>
    </w:p>
    <w:p w14:paraId="172E6D68" w14:textId="77777777" w:rsidR="007862A2" w:rsidRDefault="007862A2" w:rsidP="007862A2">
      <w:pPr>
        <w:pStyle w:val="PL"/>
      </w:pPr>
      <w:r>
        <w:lastRenderedPageBreak/>
        <w:t xml:space="preserve">        - tsStart</w:t>
      </w:r>
    </w:p>
    <w:p w14:paraId="6B27F18A" w14:textId="77777777" w:rsidR="007862A2" w:rsidRDefault="007862A2" w:rsidP="007862A2">
      <w:pPr>
        <w:pStyle w:val="PL"/>
      </w:pPr>
      <w:r>
        <w:t xml:space="preserve">        - tsDuration</w:t>
      </w:r>
    </w:p>
    <w:p w14:paraId="766A3543" w14:textId="77777777" w:rsidR="007862A2" w:rsidRDefault="007862A2" w:rsidP="007862A2">
      <w:pPr>
        <w:pStyle w:val="PL"/>
      </w:pPr>
      <w:r>
        <w:t xml:space="preserve">        - </w:t>
      </w:r>
      <w:r>
        <w:rPr>
          <w:lang w:eastAsia="zh-CN"/>
        </w:rPr>
        <w:t>e2eDataVolTransTimePerUe</w:t>
      </w:r>
    </w:p>
    <w:p w14:paraId="638A4E8A" w14:textId="77777777" w:rsidR="007862A2" w:rsidRDefault="007862A2" w:rsidP="007862A2">
      <w:pPr>
        <w:pStyle w:val="PL"/>
      </w:pPr>
    </w:p>
    <w:p w14:paraId="4BF3E012" w14:textId="77777777" w:rsidR="007862A2" w:rsidRDefault="007862A2" w:rsidP="007862A2">
      <w:pPr>
        <w:pStyle w:val="PL"/>
      </w:pPr>
      <w:r>
        <w:t xml:space="preserve">    </w:t>
      </w:r>
      <w:r>
        <w:rPr>
          <w:lang w:eastAsia="zh-CN"/>
        </w:rPr>
        <w:t>E2eDataVolTransTimePerUe</w:t>
      </w:r>
      <w:r>
        <w:t>:</w:t>
      </w:r>
    </w:p>
    <w:p w14:paraId="65E7E781" w14:textId="77777777" w:rsidR="007862A2" w:rsidRDefault="007862A2" w:rsidP="007862A2">
      <w:pPr>
        <w:pStyle w:val="PL"/>
      </w:pPr>
      <w:r>
        <w:t xml:space="preserve">      description: </w:t>
      </w:r>
      <w:r>
        <w:rPr>
          <w:rFonts w:cs="Arial"/>
          <w:szCs w:val="18"/>
        </w:rPr>
        <w:t xml:space="preserve">Represents the </w:t>
      </w:r>
      <w:r>
        <w:t>E2E data volume transfer time</w:t>
      </w:r>
      <w:r>
        <w:rPr>
          <w:rFonts w:cs="Arial"/>
        </w:rPr>
        <w:t xml:space="preserve"> per UE</w:t>
      </w:r>
      <w:r>
        <w:rPr>
          <w:rFonts w:cs="Arial"/>
          <w:szCs w:val="18"/>
        </w:rPr>
        <w:t>.</w:t>
      </w:r>
    </w:p>
    <w:p w14:paraId="0CA93F52" w14:textId="77777777" w:rsidR="007862A2" w:rsidRDefault="007862A2" w:rsidP="007862A2">
      <w:pPr>
        <w:pStyle w:val="PL"/>
      </w:pPr>
      <w:r>
        <w:t xml:space="preserve">      type: object</w:t>
      </w:r>
    </w:p>
    <w:p w14:paraId="53EEDF24" w14:textId="77777777" w:rsidR="007862A2" w:rsidRDefault="007862A2" w:rsidP="007862A2">
      <w:pPr>
        <w:pStyle w:val="PL"/>
      </w:pPr>
      <w:r>
        <w:t xml:space="preserve">      properties:</w:t>
      </w:r>
    </w:p>
    <w:p w14:paraId="0DF34451" w14:textId="77777777" w:rsidR="007862A2" w:rsidRDefault="007862A2" w:rsidP="007862A2">
      <w:pPr>
        <w:pStyle w:val="PL"/>
      </w:pPr>
      <w:r>
        <w:t xml:space="preserve">        supi:</w:t>
      </w:r>
    </w:p>
    <w:p w14:paraId="4890A1E8" w14:textId="77777777" w:rsidR="007862A2" w:rsidRDefault="007862A2" w:rsidP="007862A2">
      <w:pPr>
        <w:pStyle w:val="PL"/>
      </w:pPr>
      <w:r>
        <w:t xml:space="preserve">          $ref: 'TS29571_CommonData.yaml#/components/schemas/Supi'</w:t>
      </w:r>
    </w:p>
    <w:p w14:paraId="6FA009E2" w14:textId="77777777" w:rsidR="007862A2" w:rsidRDefault="007862A2" w:rsidP="007862A2">
      <w:pPr>
        <w:pStyle w:val="PL"/>
      </w:pPr>
      <w:r>
        <w:t xml:space="preserve">        gpsi:</w:t>
      </w:r>
    </w:p>
    <w:p w14:paraId="69A823AD" w14:textId="77777777" w:rsidR="007862A2" w:rsidRDefault="007862A2" w:rsidP="007862A2">
      <w:pPr>
        <w:pStyle w:val="PL"/>
      </w:pPr>
      <w:r>
        <w:t xml:space="preserve">          $ref: 'TS29571_CommonData.yaml#/components/schemas/Gpsi'</w:t>
      </w:r>
    </w:p>
    <w:p w14:paraId="726D985C" w14:textId="77777777" w:rsidR="007862A2" w:rsidRDefault="007862A2" w:rsidP="007862A2">
      <w:pPr>
        <w:pStyle w:val="PL"/>
      </w:pPr>
      <w:r>
        <w:t xml:space="preserve">        snssai:</w:t>
      </w:r>
    </w:p>
    <w:p w14:paraId="717AEC91" w14:textId="77777777" w:rsidR="007862A2" w:rsidRDefault="007862A2" w:rsidP="007862A2">
      <w:pPr>
        <w:pStyle w:val="PL"/>
      </w:pPr>
      <w:r>
        <w:t xml:space="preserve">          $ref: 'TS29571_CommonData.yaml#/components/schemas/Snssai'</w:t>
      </w:r>
    </w:p>
    <w:p w14:paraId="13D26D4A" w14:textId="77777777" w:rsidR="007862A2" w:rsidRDefault="007862A2" w:rsidP="007862A2">
      <w:pPr>
        <w:pStyle w:val="PL"/>
      </w:pPr>
      <w:r>
        <w:t xml:space="preserve">        accessType:</w:t>
      </w:r>
    </w:p>
    <w:p w14:paraId="0AB7780B" w14:textId="77777777" w:rsidR="007862A2" w:rsidRDefault="007862A2" w:rsidP="007862A2">
      <w:pPr>
        <w:pStyle w:val="PL"/>
      </w:pPr>
      <w:r>
        <w:t xml:space="preserve">         </w:t>
      </w:r>
      <w:r>
        <w:rPr>
          <w:lang w:val="en-US"/>
        </w:rPr>
        <w:t xml:space="preserve"> </w:t>
      </w:r>
      <w:r>
        <w:t>$ref: 'TS29571_CommonData.yaml#/components/schemas/AccessType'</w:t>
      </w:r>
    </w:p>
    <w:p w14:paraId="3B84EE66" w14:textId="77777777" w:rsidR="007862A2" w:rsidRDefault="007862A2" w:rsidP="007862A2">
      <w:pPr>
        <w:pStyle w:val="PL"/>
      </w:pPr>
      <w:r>
        <w:t xml:space="preserve">        </w:t>
      </w:r>
      <w:r>
        <w:rPr>
          <w:rFonts w:hint="eastAsia"/>
          <w:lang w:eastAsia="zh-CN"/>
        </w:rPr>
        <w:t>r</w:t>
      </w:r>
      <w:r>
        <w:rPr>
          <w:lang w:eastAsia="zh-CN"/>
        </w:rPr>
        <w:t>atTypes</w:t>
      </w:r>
      <w:r>
        <w:t>:</w:t>
      </w:r>
    </w:p>
    <w:p w14:paraId="75BAA5EE" w14:textId="77777777" w:rsidR="007862A2" w:rsidRDefault="007862A2" w:rsidP="007862A2">
      <w:pPr>
        <w:pStyle w:val="PL"/>
      </w:pPr>
      <w:r>
        <w:t xml:space="preserve">          type: array</w:t>
      </w:r>
    </w:p>
    <w:p w14:paraId="147C845D" w14:textId="77777777" w:rsidR="007862A2" w:rsidRDefault="007862A2" w:rsidP="007862A2">
      <w:pPr>
        <w:pStyle w:val="PL"/>
      </w:pPr>
      <w:r>
        <w:t xml:space="preserve">          items:</w:t>
      </w:r>
    </w:p>
    <w:p w14:paraId="07EEA2A7" w14:textId="77777777" w:rsidR="007862A2" w:rsidRDefault="007862A2" w:rsidP="007862A2">
      <w:pPr>
        <w:pStyle w:val="PL"/>
      </w:pPr>
      <w:r>
        <w:t xml:space="preserve">            </w:t>
      </w:r>
      <w:r>
        <w:rPr>
          <w:rFonts w:cs="Courier New"/>
          <w:szCs w:val="16"/>
        </w:rPr>
        <w:t>$ref: 'TS29571_CommonData.yaml#/components/schemas/RatType'</w:t>
      </w:r>
    </w:p>
    <w:p w14:paraId="68E2A35A" w14:textId="77777777" w:rsidR="007862A2" w:rsidRDefault="007862A2" w:rsidP="007862A2">
      <w:pPr>
        <w:pStyle w:val="PL"/>
      </w:pPr>
      <w:r>
        <w:t xml:space="preserve">          minItems: 1</w:t>
      </w:r>
    </w:p>
    <w:p w14:paraId="59A1A6DC" w14:textId="77777777" w:rsidR="007862A2" w:rsidRPr="007B1F66" w:rsidRDefault="007862A2" w:rsidP="007862A2">
      <w:pPr>
        <w:pStyle w:val="PL"/>
        <w:rPr>
          <w:lang w:eastAsia="zh-CN"/>
        </w:rPr>
      </w:pPr>
      <w:r>
        <w:t xml:space="preserve">          description: </w:t>
      </w:r>
      <w:r>
        <w:rPr>
          <w:lang w:eastAsia="zh-CN"/>
        </w:rPr>
        <w:t>The RAT types.</w:t>
      </w:r>
    </w:p>
    <w:p w14:paraId="298B26BB" w14:textId="77777777" w:rsidR="007862A2" w:rsidRDefault="007862A2" w:rsidP="007862A2">
      <w:pPr>
        <w:pStyle w:val="PL"/>
      </w:pPr>
      <w:r>
        <w:t xml:space="preserve">        appId:</w:t>
      </w:r>
    </w:p>
    <w:p w14:paraId="5A59A17C" w14:textId="77777777" w:rsidR="007862A2" w:rsidRDefault="007862A2" w:rsidP="007862A2">
      <w:pPr>
        <w:pStyle w:val="PL"/>
      </w:pPr>
      <w:r>
        <w:t xml:space="preserve">          $ref: 'TS29571_CommonData.yaml#/components/schemas/ApplicationId'</w:t>
      </w:r>
    </w:p>
    <w:p w14:paraId="3B94EBD0" w14:textId="77777777" w:rsidR="007862A2" w:rsidRDefault="007862A2" w:rsidP="007862A2">
      <w:pPr>
        <w:pStyle w:val="PL"/>
      </w:pPr>
      <w:r>
        <w:t xml:space="preserve">        ueLoc:</w:t>
      </w:r>
    </w:p>
    <w:p w14:paraId="5B275544" w14:textId="77777777" w:rsidR="007862A2" w:rsidRDefault="007862A2" w:rsidP="007862A2">
      <w:pPr>
        <w:pStyle w:val="PL"/>
      </w:pPr>
      <w:r>
        <w:t xml:space="preserve">          $ref: 'TS29571_CommonData.yaml#/components/schemas/UserLocation'</w:t>
      </w:r>
    </w:p>
    <w:p w14:paraId="0EFEEF38" w14:textId="77777777" w:rsidR="007862A2" w:rsidRDefault="007862A2" w:rsidP="007862A2">
      <w:pPr>
        <w:pStyle w:val="PL"/>
      </w:pPr>
      <w:r>
        <w:t xml:space="preserve">        dnn:</w:t>
      </w:r>
    </w:p>
    <w:p w14:paraId="652BDED4" w14:textId="77777777" w:rsidR="007862A2" w:rsidRDefault="007862A2" w:rsidP="007862A2">
      <w:pPr>
        <w:pStyle w:val="PL"/>
      </w:pPr>
      <w:r>
        <w:t xml:space="preserve">          $ref: 'TS29571_CommonData.yaml#/components/schemas/Dnn'</w:t>
      </w:r>
    </w:p>
    <w:p w14:paraId="5F1060A7" w14:textId="77777777" w:rsidR="007862A2" w:rsidRDefault="007862A2" w:rsidP="007862A2">
      <w:pPr>
        <w:pStyle w:val="PL"/>
      </w:pPr>
      <w:r>
        <w:t xml:space="preserve">        </w:t>
      </w:r>
      <w:r>
        <w:rPr>
          <w:rFonts w:hint="eastAsia"/>
          <w:lang w:eastAsia="zh-CN"/>
        </w:rPr>
        <w:t>s</w:t>
      </w:r>
      <w:r>
        <w:rPr>
          <w:lang w:eastAsia="zh-CN"/>
        </w:rPr>
        <w:t>patialVal</w:t>
      </w:r>
      <w:r>
        <w:rPr>
          <w:rFonts w:hint="eastAsia"/>
          <w:lang w:eastAsia="zh-CN"/>
        </w:rPr>
        <w:t>i</w:t>
      </w:r>
      <w:r>
        <w:rPr>
          <w:lang w:eastAsia="zh-CN"/>
        </w:rPr>
        <w:t>dity</w:t>
      </w:r>
      <w:r>
        <w:t>:</w:t>
      </w:r>
    </w:p>
    <w:p w14:paraId="1258C741" w14:textId="77777777" w:rsidR="007862A2" w:rsidRDefault="007862A2" w:rsidP="007862A2">
      <w:pPr>
        <w:pStyle w:val="PL"/>
      </w:pPr>
      <w:r>
        <w:t xml:space="preserve">          $ref: 'TS29554_Npcf_BDTPolicyControl.yaml#/components/schemas/NetworkAreaInfo'</w:t>
      </w:r>
    </w:p>
    <w:p w14:paraId="72E0C142" w14:textId="77777777" w:rsidR="007862A2" w:rsidRDefault="007862A2" w:rsidP="007862A2">
      <w:pPr>
        <w:pStyle w:val="PL"/>
      </w:pPr>
      <w:r>
        <w:t xml:space="preserve">        </w:t>
      </w:r>
      <w:r>
        <w:rPr>
          <w:lang w:eastAsia="zh-CN"/>
        </w:rPr>
        <w:t>validityPeriod</w:t>
      </w:r>
      <w:r>
        <w:t>:</w:t>
      </w:r>
    </w:p>
    <w:p w14:paraId="3362E71B" w14:textId="77777777" w:rsidR="007862A2" w:rsidRDefault="007862A2" w:rsidP="007862A2">
      <w:pPr>
        <w:pStyle w:val="PL"/>
      </w:pPr>
      <w:r>
        <w:t xml:space="preserve">          $ref: 'TS29122_CommonData.yaml#/components/schemas/TimeWindow'</w:t>
      </w:r>
    </w:p>
    <w:p w14:paraId="7448C076" w14:textId="77777777" w:rsidR="007862A2" w:rsidRDefault="007862A2" w:rsidP="007862A2">
      <w:pPr>
        <w:pStyle w:val="PL"/>
      </w:pPr>
      <w:r>
        <w:t xml:space="preserve">        </w:t>
      </w:r>
      <w:r>
        <w:rPr>
          <w:lang w:eastAsia="zh-CN"/>
        </w:rPr>
        <w:t>dataVolTransTime</w:t>
      </w:r>
      <w:r>
        <w:t>:</w:t>
      </w:r>
    </w:p>
    <w:p w14:paraId="260C5DEA" w14:textId="77777777" w:rsidR="007862A2" w:rsidRDefault="007862A2" w:rsidP="007862A2">
      <w:pPr>
        <w:pStyle w:val="PL"/>
      </w:pPr>
      <w:r>
        <w:t xml:space="preserve">          $ref: '#/components/schemas/</w:t>
      </w:r>
      <w:r>
        <w:rPr>
          <w:lang w:eastAsia="zh-CN"/>
        </w:rPr>
        <w:t>DataVolume</w:t>
      </w:r>
      <w:r>
        <w:t>TransferTime'</w:t>
      </w:r>
    </w:p>
    <w:p w14:paraId="437B94FA" w14:textId="77777777" w:rsidR="007862A2" w:rsidRDefault="007862A2" w:rsidP="007862A2">
      <w:pPr>
        <w:pStyle w:val="PL"/>
      </w:pPr>
      <w:r>
        <w:t xml:space="preserve">      oneOf:</w:t>
      </w:r>
    </w:p>
    <w:p w14:paraId="770F12C8" w14:textId="77777777" w:rsidR="007862A2" w:rsidRDefault="007862A2" w:rsidP="007862A2">
      <w:pPr>
        <w:pStyle w:val="PL"/>
      </w:pPr>
      <w:r>
        <w:t xml:space="preserve">        - required: [ueLoc]</w:t>
      </w:r>
    </w:p>
    <w:p w14:paraId="18508C4D" w14:textId="77777777" w:rsidR="007862A2" w:rsidRDefault="007862A2" w:rsidP="007862A2">
      <w:pPr>
        <w:pStyle w:val="PL"/>
      </w:pPr>
      <w:r>
        <w:t xml:space="preserve">        - required: [snssai]</w:t>
      </w:r>
    </w:p>
    <w:p w14:paraId="6523335F" w14:textId="77777777" w:rsidR="007862A2" w:rsidRDefault="007862A2" w:rsidP="007862A2">
      <w:pPr>
        <w:pStyle w:val="PL"/>
      </w:pPr>
    </w:p>
    <w:p w14:paraId="1276B5B5" w14:textId="77777777" w:rsidR="007862A2" w:rsidRDefault="007862A2" w:rsidP="007862A2">
      <w:pPr>
        <w:pStyle w:val="PL"/>
      </w:pPr>
      <w:r>
        <w:t xml:space="preserve">    </w:t>
      </w:r>
      <w:r>
        <w:rPr>
          <w:lang w:eastAsia="zh-CN"/>
        </w:rPr>
        <w:t>E2eDataVolTransTime</w:t>
      </w:r>
      <w:r>
        <w:t>UeList:</w:t>
      </w:r>
    </w:p>
    <w:p w14:paraId="6F258D55" w14:textId="77777777" w:rsidR="007862A2" w:rsidRDefault="007862A2" w:rsidP="007862A2">
      <w:pPr>
        <w:pStyle w:val="PL"/>
      </w:pPr>
      <w:r>
        <w:t xml:space="preserve">      description: &gt;</w:t>
      </w:r>
    </w:p>
    <w:p w14:paraId="0EABF902" w14:textId="77777777" w:rsidR="007862A2" w:rsidRDefault="007862A2" w:rsidP="007862A2">
      <w:pPr>
        <w:pStyle w:val="PL"/>
        <w:rPr>
          <w:lang w:eastAsia="zh-CN"/>
        </w:rPr>
      </w:pPr>
      <w:r>
        <w:t xml:space="preserve">        </w:t>
      </w:r>
      <w:r>
        <w:rPr>
          <w:rFonts w:cs="Arial"/>
          <w:szCs w:val="18"/>
        </w:rPr>
        <w:t>Contains the l</w:t>
      </w:r>
      <w:r>
        <w:rPr>
          <w:lang w:eastAsia="ko-KR"/>
        </w:rPr>
        <w:t xml:space="preserve">ist of UEs classified based on </w:t>
      </w:r>
      <w:r>
        <w:t xml:space="preserve">experience level of </w:t>
      </w:r>
      <w:r>
        <w:rPr>
          <w:lang w:eastAsia="zh-CN"/>
        </w:rPr>
        <w:t xml:space="preserve">E2E Data Volume Transfer </w:t>
      </w:r>
    </w:p>
    <w:p w14:paraId="767C7067" w14:textId="77777777" w:rsidR="007862A2" w:rsidRDefault="007862A2" w:rsidP="007862A2">
      <w:pPr>
        <w:pStyle w:val="PL"/>
      </w:pPr>
      <w:r>
        <w:rPr>
          <w:lang w:eastAsia="zh-CN"/>
        </w:rPr>
        <w:t xml:space="preserve">        Time </w:t>
      </w:r>
    </w:p>
    <w:p w14:paraId="1EF125D7"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24457DDA" w14:textId="77777777" w:rsidR="007862A2" w:rsidRDefault="007862A2" w:rsidP="007862A2">
      <w:pPr>
        <w:pStyle w:val="PL"/>
      </w:pPr>
      <w:r>
        <w:t xml:space="preserve">      properties:</w:t>
      </w:r>
    </w:p>
    <w:p w14:paraId="18F9D862" w14:textId="77777777" w:rsidR="007862A2" w:rsidRDefault="007862A2" w:rsidP="007862A2">
      <w:pPr>
        <w:pStyle w:val="PL"/>
      </w:pPr>
      <w:r>
        <w:t xml:space="preserve">        highLevel:</w:t>
      </w:r>
    </w:p>
    <w:p w14:paraId="43EEE651" w14:textId="77777777" w:rsidR="007862A2" w:rsidRDefault="007862A2" w:rsidP="007862A2">
      <w:pPr>
        <w:pStyle w:val="PL"/>
      </w:pPr>
      <w:r>
        <w:t xml:space="preserve">          type: array</w:t>
      </w:r>
    </w:p>
    <w:p w14:paraId="3F068C8A" w14:textId="77777777" w:rsidR="007862A2" w:rsidRDefault="007862A2" w:rsidP="007862A2">
      <w:pPr>
        <w:pStyle w:val="PL"/>
      </w:pPr>
      <w:r>
        <w:t xml:space="preserve">          items:</w:t>
      </w:r>
    </w:p>
    <w:p w14:paraId="794A5F2C" w14:textId="77777777" w:rsidR="007862A2" w:rsidRDefault="007862A2" w:rsidP="007862A2">
      <w:pPr>
        <w:pStyle w:val="PL"/>
      </w:pPr>
      <w:r>
        <w:t xml:space="preserve">            $ref: 'TS29571_CommonData.yaml#/components/schemas/Supi'</w:t>
      </w:r>
    </w:p>
    <w:p w14:paraId="35322168" w14:textId="77777777" w:rsidR="007862A2" w:rsidRDefault="007862A2" w:rsidP="007862A2">
      <w:pPr>
        <w:pStyle w:val="PL"/>
      </w:pPr>
      <w:r>
        <w:t xml:space="preserve">          minItems: 1</w:t>
      </w:r>
    </w:p>
    <w:p w14:paraId="5F386786" w14:textId="77777777" w:rsidR="007862A2" w:rsidRDefault="007862A2" w:rsidP="007862A2">
      <w:pPr>
        <w:pStyle w:val="PL"/>
      </w:pPr>
      <w:r>
        <w:t xml:space="preserve">        mediumLevel:</w:t>
      </w:r>
    </w:p>
    <w:p w14:paraId="11E86A3B" w14:textId="77777777" w:rsidR="007862A2" w:rsidRDefault="007862A2" w:rsidP="007862A2">
      <w:pPr>
        <w:pStyle w:val="PL"/>
      </w:pPr>
      <w:r>
        <w:t xml:space="preserve">          type: array</w:t>
      </w:r>
    </w:p>
    <w:p w14:paraId="1C401827" w14:textId="77777777" w:rsidR="007862A2" w:rsidRDefault="007862A2" w:rsidP="007862A2">
      <w:pPr>
        <w:pStyle w:val="PL"/>
      </w:pPr>
      <w:r>
        <w:t xml:space="preserve">          items:</w:t>
      </w:r>
    </w:p>
    <w:p w14:paraId="61EB44EA" w14:textId="77777777" w:rsidR="007862A2" w:rsidRDefault="007862A2" w:rsidP="007862A2">
      <w:pPr>
        <w:pStyle w:val="PL"/>
      </w:pPr>
      <w:r>
        <w:t xml:space="preserve">            $ref: 'TS29571_CommonData.yaml#/components/schemas/Supi'</w:t>
      </w:r>
    </w:p>
    <w:p w14:paraId="19BFC06B" w14:textId="77777777" w:rsidR="007862A2" w:rsidRDefault="007862A2" w:rsidP="007862A2">
      <w:pPr>
        <w:pStyle w:val="PL"/>
      </w:pPr>
      <w:r>
        <w:t xml:space="preserve">          minItems: 1</w:t>
      </w:r>
    </w:p>
    <w:p w14:paraId="6C458290" w14:textId="77777777" w:rsidR="007862A2" w:rsidRDefault="007862A2" w:rsidP="007862A2">
      <w:pPr>
        <w:pStyle w:val="PL"/>
      </w:pPr>
      <w:r>
        <w:t xml:space="preserve">        lowLevel:</w:t>
      </w:r>
    </w:p>
    <w:p w14:paraId="41AEC945" w14:textId="77777777" w:rsidR="007862A2" w:rsidRDefault="007862A2" w:rsidP="007862A2">
      <w:pPr>
        <w:pStyle w:val="PL"/>
      </w:pPr>
      <w:r>
        <w:t xml:space="preserve">          type: array</w:t>
      </w:r>
    </w:p>
    <w:p w14:paraId="696C38C0" w14:textId="77777777" w:rsidR="007862A2" w:rsidRDefault="007862A2" w:rsidP="007862A2">
      <w:pPr>
        <w:pStyle w:val="PL"/>
      </w:pPr>
      <w:r>
        <w:t xml:space="preserve">          items:</w:t>
      </w:r>
    </w:p>
    <w:p w14:paraId="77CA1209" w14:textId="77777777" w:rsidR="007862A2" w:rsidRDefault="007862A2" w:rsidP="007862A2">
      <w:pPr>
        <w:pStyle w:val="PL"/>
      </w:pPr>
      <w:r>
        <w:t xml:space="preserve">            $ref: 'TS29571_CommonData.yaml#/components/schemas/Supi'</w:t>
      </w:r>
    </w:p>
    <w:p w14:paraId="1E22DFE1" w14:textId="77777777" w:rsidR="007862A2" w:rsidRDefault="007862A2" w:rsidP="007862A2">
      <w:pPr>
        <w:pStyle w:val="PL"/>
      </w:pPr>
      <w:r>
        <w:t xml:space="preserve">          minItems: 1</w:t>
      </w:r>
    </w:p>
    <w:p w14:paraId="3AF370E9" w14:textId="77777777" w:rsidR="007862A2" w:rsidRDefault="007862A2" w:rsidP="007862A2">
      <w:pPr>
        <w:pStyle w:val="PL"/>
      </w:pPr>
      <w:r>
        <w:t xml:space="preserve">        lowRatio:</w:t>
      </w:r>
    </w:p>
    <w:p w14:paraId="283F8100" w14:textId="77777777" w:rsidR="007862A2" w:rsidRDefault="007862A2" w:rsidP="007862A2">
      <w:pPr>
        <w:pStyle w:val="PL"/>
      </w:pPr>
      <w:r>
        <w:t xml:space="preserve">          $ref: 'TS29571_CommonData.yaml#/components/schemas/SamplingRatio'</w:t>
      </w:r>
    </w:p>
    <w:p w14:paraId="27449520" w14:textId="77777777" w:rsidR="007862A2" w:rsidRDefault="007862A2" w:rsidP="007862A2">
      <w:pPr>
        <w:pStyle w:val="PL"/>
      </w:pPr>
      <w:r>
        <w:t xml:space="preserve">        mediumRatio:</w:t>
      </w:r>
    </w:p>
    <w:p w14:paraId="0D19A1FA" w14:textId="77777777" w:rsidR="007862A2" w:rsidRDefault="007862A2" w:rsidP="007862A2">
      <w:pPr>
        <w:pStyle w:val="PL"/>
      </w:pPr>
      <w:r>
        <w:t xml:space="preserve">          $ref: 'TS29571_CommonData.yaml#/components/schemas/SamplingRatio'</w:t>
      </w:r>
    </w:p>
    <w:p w14:paraId="2B67B3E3" w14:textId="77777777" w:rsidR="007862A2" w:rsidRDefault="007862A2" w:rsidP="007862A2">
      <w:pPr>
        <w:pStyle w:val="PL"/>
      </w:pPr>
      <w:r>
        <w:t xml:space="preserve">        highRatio:</w:t>
      </w:r>
    </w:p>
    <w:p w14:paraId="446CCA8E" w14:textId="77777777" w:rsidR="007862A2" w:rsidRDefault="007862A2" w:rsidP="007862A2">
      <w:pPr>
        <w:pStyle w:val="PL"/>
      </w:pPr>
      <w:r>
        <w:t xml:space="preserve">          $ref: 'TS29571_CommonData.yaml#/components/schemas/SamplingRatio'</w:t>
      </w:r>
    </w:p>
    <w:p w14:paraId="1CA3812E" w14:textId="77777777" w:rsidR="007862A2" w:rsidRDefault="007862A2" w:rsidP="007862A2">
      <w:pPr>
        <w:pStyle w:val="PL"/>
      </w:pPr>
      <w:r>
        <w:t xml:space="preserve">        </w:t>
      </w:r>
      <w:r>
        <w:rPr>
          <w:rFonts w:hint="eastAsia"/>
          <w:lang w:eastAsia="zh-CN"/>
        </w:rPr>
        <w:t>s</w:t>
      </w:r>
      <w:r>
        <w:rPr>
          <w:lang w:eastAsia="zh-CN"/>
        </w:rPr>
        <w:t>patialVal</w:t>
      </w:r>
      <w:r>
        <w:rPr>
          <w:rFonts w:hint="eastAsia"/>
          <w:lang w:eastAsia="zh-CN"/>
        </w:rPr>
        <w:t>i</w:t>
      </w:r>
      <w:r>
        <w:rPr>
          <w:lang w:eastAsia="zh-CN"/>
        </w:rPr>
        <w:t>dity</w:t>
      </w:r>
      <w:r>
        <w:t>:</w:t>
      </w:r>
    </w:p>
    <w:p w14:paraId="479F8226" w14:textId="77777777" w:rsidR="007862A2" w:rsidRDefault="007862A2" w:rsidP="007862A2">
      <w:pPr>
        <w:pStyle w:val="PL"/>
      </w:pPr>
      <w:r>
        <w:t xml:space="preserve">          $ref: 'TS29554_Npcf_BDTPolicyControl.yaml#/components/schemas/NetworkAreaInfo'</w:t>
      </w:r>
    </w:p>
    <w:p w14:paraId="4D50CDBC" w14:textId="77777777" w:rsidR="007862A2" w:rsidRDefault="007862A2" w:rsidP="007862A2">
      <w:pPr>
        <w:pStyle w:val="PL"/>
      </w:pPr>
      <w:r>
        <w:t xml:space="preserve">        </w:t>
      </w:r>
      <w:r>
        <w:rPr>
          <w:lang w:eastAsia="zh-CN"/>
        </w:rPr>
        <w:t>validityPeriod</w:t>
      </w:r>
      <w:r>
        <w:t>:</w:t>
      </w:r>
    </w:p>
    <w:p w14:paraId="2FF18EA6" w14:textId="77777777" w:rsidR="007862A2" w:rsidRDefault="007862A2" w:rsidP="007862A2">
      <w:pPr>
        <w:pStyle w:val="PL"/>
      </w:pPr>
      <w:r>
        <w:t xml:space="preserve">          $ref: 'TS29122_CommonData.yaml#/components/schemas/TimeWindow'</w:t>
      </w:r>
    </w:p>
    <w:p w14:paraId="60FA389D" w14:textId="77777777" w:rsidR="007862A2" w:rsidRDefault="007862A2" w:rsidP="007862A2">
      <w:pPr>
        <w:pStyle w:val="PL"/>
      </w:pPr>
      <w:r>
        <w:t xml:space="preserve">      anyOf:</w:t>
      </w:r>
    </w:p>
    <w:p w14:paraId="7A5AD5B8" w14:textId="77777777" w:rsidR="007862A2" w:rsidRDefault="007862A2" w:rsidP="007862A2">
      <w:pPr>
        <w:pStyle w:val="PL"/>
      </w:pPr>
      <w:r>
        <w:t xml:space="preserve">        - required: [highLevel]</w:t>
      </w:r>
    </w:p>
    <w:p w14:paraId="09C5E943" w14:textId="77777777" w:rsidR="007862A2" w:rsidRDefault="007862A2" w:rsidP="007862A2">
      <w:pPr>
        <w:pStyle w:val="PL"/>
      </w:pPr>
      <w:r>
        <w:t xml:space="preserve">        - required: [mediumLevel]</w:t>
      </w:r>
    </w:p>
    <w:p w14:paraId="089254BC" w14:textId="77777777" w:rsidR="007862A2" w:rsidRDefault="007862A2" w:rsidP="007862A2">
      <w:pPr>
        <w:pStyle w:val="PL"/>
      </w:pPr>
      <w:r>
        <w:t xml:space="preserve">        - required: [lowLevel]</w:t>
      </w:r>
    </w:p>
    <w:p w14:paraId="70C955E9" w14:textId="77777777" w:rsidR="007862A2" w:rsidRDefault="007862A2" w:rsidP="007862A2">
      <w:pPr>
        <w:pStyle w:val="PL"/>
      </w:pPr>
    </w:p>
    <w:p w14:paraId="76F1AC86" w14:textId="77777777" w:rsidR="007862A2" w:rsidRDefault="007862A2" w:rsidP="007862A2">
      <w:pPr>
        <w:pStyle w:val="PL"/>
      </w:pPr>
      <w:r>
        <w:t xml:space="preserve">    DataVolumeTransferTime:</w:t>
      </w:r>
    </w:p>
    <w:p w14:paraId="30748BA3" w14:textId="77777777" w:rsidR="007862A2" w:rsidRDefault="007862A2" w:rsidP="007862A2">
      <w:pPr>
        <w:pStyle w:val="PL"/>
      </w:pPr>
      <w:r>
        <w:t xml:space="preserve">      description: &gt;</w:t>
      </w:r>
    </w:p>
    <w:p w14:paraId="021DC8E8" w14:textId="77777777" w:rsidR="007862A2" w:rsidRDefault="007862A2" w:rsidP="007862A2">
      <w:pPr>
        <w:pStyle w:val="PL"/>
      </w:pPr>
      <w:r>
        <w:t xml:space="preserve">        </w:t>
      </w:r>
      <w:r>
        <w:rPr>
          <w:lang w:eastAsia="zh-CN"/>
        </w:rPr>
        <w:t xml:space="preserve">Indicates the </w:t>
      </w:r>
      <w:r>
        <w:t>E2E data volume transfer time</w:t>
      </w:r>
      <w:r>
        <w:rPr>
          <w:lang w:eastAsia="zh-CN"/>
        </w:rPr>
        <w:t xml:space="preserve"> and the </w:t>
      </w:r>
      <w:r>
        <w:t>data volume used to derive the transfer</w:t>
      </w:r>
    </w:p>
    <w:p w14:paraId="4BB113D8" w14:textId="77777777" w:rsidR="007862A2" w:rsidRDefault="007862A2" w:rsidP="007862A2">
      <w:pPr>
        <w:pStyle w:val="PL"/>
      </w:pPr>
      <w:r>
        <w:t xml:space="preserve">        time.</w:t>
      </w:r>
    </w:p>
    <w:p w14:paraId="63531BB6"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lastRenderedPageBreak/>
        <w:t xml:space="preserve">      type: object</w:t>
      </w:r>
    </w:p>
    <w:p w14:paraId="065B0896" w14:textId="77777777" w:rsidR="007862A2" w:rsidRDefault="007862A2" w:rsidP="007862A2">
      <w:pPr>
        <w:pStyle w:val="PL"/>
      </w:pPr>
      <w:r>
        <w:t xml:space="preserve">      properties:</w:t>
      </w:r>
    </w:p>
    <w:p w14:paraId="6D651272" w14:textId="77777777" w:rsidR="007862A2" w:rsidRDefault="007862A2" w:rsidP="007862A2">
      <w:pPr>
        <w:pStyle w:val="PL"/>
      </w:pPr>
      <w:r>
        <w:t xml:space="preserve">        uplinkVolume:</w:t>
      </w:r>
    </w:p>
    <w:p w14:paraId="598182D8" w14:textId="77777777" w:rsidR="007862A2" w:rsidRDefault="007862A2" w:rsidP="007862A2">
      <w:pPr>
        <w:pStyle w:val="PL"/>
      </w:pPr>
      <w:r>
        <w:t xml:space="preserve">          $ref: 'TS29122_CommonData.yaml#/components/schemas/Volume'</w:t>
      </w:r>
    </w:p>
    <w:p w14:paraId="588573CE" w14:textId="77777777" w:rsidR="007862A2" w:rsidRDefault="007862A2" w:rsidP="007862A2">
      <w:pPr>
        <w:pStyle w:val="PL"/>
      </w:pPr>
      <w:r>
        <w:t xml:space="preserve">        avgTransTimeUl:</w:t>
      </w:r>
    </w:p>
    <w:p w14:paraId="12B88FCA" w14:textId="77777777" w:rsidR="007862A2" w:rsidRDefault="007862A2" w:rsidP="007862A2">
      <w:pPr>
        <w:pStyle w:val="PL"/>
      </w:pPr>
      <w:r>
        <w:t xml:space="preserve">          $ref: 'TS29571_CommonData.yaml#/components/schemas/Uinteger'</w:t>
      </w:r>
    </w:p>
    <w:p w14:paraId="4D70E5B7" w14:textId="77777777" w:rsidR="007862A2" w:rsidRDefault="007862A2" w:rsidP="007862A2">
      <w:pPr>
        <w:pStyle w:val="PL"/>
      </w:pPr>
      <w:r>
        <w:t xml:space="preserve">        varTransTimeUl:</w:t>
      </w:r>
    </w:p>
    <w:p w14:paraId="7F297332" w14:textId="77777777" w:rsidR="007862A2" w:rsidRDefault="007862A2" w:rsidP="007862A2">
      <w:pPr>
        <w:pStyle w:val="PL"/>
      </w:pPr>
      <w:r>
        <w:t xml:space="preserve">          $ref: 'TS29571_CommonData.yaml#/components/schemas/Float'</w:t>
      </w:r>
    </w:p>
    <w:p w14:paraId="74353D92" w14:textId="77777777" w:rsidR="007862A2" w:rsidRDefault="007862A2" w:rsidP="007862A2">
      <w:pPr>
        <w:pStyle w:val="PL"/>
      </w:pPr>
      <w:r>
        <w:t xml:space="preserve">        downlinkVolume:</w:t>
      </w:r>
    </w:p>
    <w:p w14:paraId="39880659" w14:textId="77777777" w:rsidR="007862A2" w:rsidRDefault="007862A2" w:rsidP="007862A2">
      <w:pPr>
        <w:pStyle w:val="PL"/>
      </w:pPr>
      <w:r>
        <w:t xml:space="preserve">          $ref: 'TS29122_CommonData.yaml#/components/schemas/Volume'</w:t>
      </w:r>
    </w:p>
    <w:p w14:paraId="326844FF" w14:textId="77777777" w:rsidR="007862A2" w:rsidRDefault="007862A2" w:rsidP="007862A2">
      <w:pPr>
        <w:pStyle w:val="PL"/>
      </w:pPr>
      <w:r>
        <w:t xml:space="preserve">        avgTransTimeDl:</w:t>
      </w:r>
    </w:p>
    <w:p w14:paraId="652BBB1C" w14:textId="77777777" w:rsidR="007862A2" w:rsidRDefault="007862A2" w:rsidP="007862A2">
      <w:pPr>
        <w:pStyle w:val="PL"/>
      </w:pPr>
      <w:r>
        <w:t xml:space="preserve">          $ref: 'TS29571_CommonData.yaml#/components/schemas/Uinteger'</w:t>
      </w:r>
    </w:p>
    <w:p w14:paraId="59B5FE28" w14:textId="77777777" w:rsidR="007862A2" w:rsidRDefault="007862A2" w:rsidP="007862A2">
      <w:pPr>
        <w:pStyle w:val="PL"/>
      </w:pPr>
      <w:r>
        <w:t xml:space="preserve">        varTransTimeDl:</w:t>
      </w:r>
    </w:p>
    <w:p w14:paraId="35E42E55" w14:textId="77777777" w:rsidR="007862A2" w:rsidRDefault="007862A2" w:rsidP="007862A2">
      <w:pPr>
        <w:pStyle w:val="PL"/>
      </w:pPr>
      <w:r>
        <w:t xml:space="preserve">          $ref: 'TS29571_CommonData.yaml#/components/schemas/Float'</w:t>
      </w:r>
    </w:p>
    <w:p w14:paraId="0DD238A4" w14:textId="77777777" w:rsidR="007862A2" w:rsidRDefault="007862A2" w:rsidP="007862A2">
      <w:pPr>
        <w:pStyle w:val="PL"/>
      </w:pPr>
    </w:p>
    <w:p w14:paraId="54D3A32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GeoLocation</w:t>
      </w:r>
      <w:r>
        <w:rPr>
          <w:rFonts w:ascii="Courier New" w:hAnsi="Courier New"/>
          <w:sz w:val="16"/>
        </w:rPr>
        <w:t>:</w:t>
      </w:r>
    </w:p>
    <w:p w14:paraId="5627C6A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4EFC84D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Represents a horizontal and optionally vertical location using either geographic</w:t>
      </w:r>
    </w:p>
    <w:p w14:paraId="488182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cs="Arial"/>
          <w:sz w:val="16"/>
          <w:szCs w:val="18"/>
        </w:rPr>
        <w:t xml:space="preserve">        or local coordinates.</w:t>
      </w:r>
    </w:p>
    <w:p w14:paraId="2B66106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0590DCD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2174391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point:</w:t>
      </w:r>
    </w:p>
    <w:p w14:paraId="02BFB25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'TS29572_Nlmf_Location.yaml#/components/schemas/Point'</w:t>
      </w:r>
    </w:p>
    <w:p w14:paraId="0F28FB1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pointAlt:</w:t>
      </w:r>
    </w:p>
    <w:p w14:paraId="32363CA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'TS29572_Nlmf_Location.yaml#/components/schemas/PointAltitude'</w:t>
      </w:r>
    </w:p>
    <w:p w14:paraId="65C207E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refPoint:</w:t>
      </w:r>
    </w:p>
    <w:p w14:paraId="5FB6AB1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'TS29572_Nlmf_Location.yaml#/components/schemas/LocalOrigin'</w:t>
      </w:r>
    </w:p>
    <w:p w14:paraId="7DCF9B8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localCoords:</w:t>
      </w:r>
    </w:p>
    <w:p w14:paraId="208F618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'TS29572_Nlmf_Location.yaml#/components/schemas/RelativeCartesianLocation'</w:t>
      </w:r>
    </w:p>
    <w:p w14:paraId="379CD1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anyOf:</w:t>
      </w:r>
    </w:p>
    <w:p w14:paraId="160AFB3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[point]</w:t>
      </w:r>
    </w:p>
    <w:p w14:paraId="3E543D6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[pointAlt]</w:t>
      </w:r>
    </w:p>
    <w:p w14:paraId="40C3884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allOf:</w:t>
      </w:r>
    </w:p>
    <w:p w14:paraId="284F13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[refPoint]</w:t>
      </w:r>
    </w:p>
    <w:p w14:paraId="7CAD342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[localCoords]</w:t>
      </w:r>
    </w:p>
    <w:p w14:paraId="1BB69DA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47CACF4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LocAccuracyReq</w:t>
      </w:r>
      <w:r>
        <w:rPr>
          <w:rFonts w:ascii="Courier New" w:hAnsi="Courier New"/>
          <w:sz w:val="16"/>
        </w:rPr>
        <w:t>:</w:t>
      </w:r>
    </w:p>
    <w:p w14:paraId="4A7EDF2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0044183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Contains location accuracy analytics requirements.</w:t>
      </w:r>
    </w:p>
    <w:p w14:paraId="4F61B42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249CCA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43E2F7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accThres</w:t>
      </w:r>
      <w:r>
        <w:rPr>
          <w:rFonts w:ascii="Courier New" w:hAnsi="Courier New"/>
          <w:sz w:val="16"/>
        </w:rPr>
        <w:t>:</w:t>
      </w:r>
    </w:p>
    <w:p w14:paraId="30B0A70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040572F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accThresMatchDir:</w:t>
      </w:r>
    </w:p>
    <w:p w14:paraId="601948D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'#/components/schemas/MatchingDirection'</w:t>
      </w:r>
    </w:p>
    <w:p w14:paraId="450D819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inOutThres</w:t>
      </w:r>
      <w:r>
        <w:rPr>
          <w:rFonts w:ascii="Courier New" w:hAnsi="Courier New"/>
          <w:sz w:val="16"/>
        </w:rPr>
        <w:t>:</w:t>
      </w:r>
    </w:p>
    <w:p w14:paraId="3231F50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419289C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inOutThresMatchDir:</w:t>
      </w:r>
    </w:p>
    <w:p w14:paraId="2DBB74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'#/components/schemas/MatchingDirection'</w:t>
      </w:r>
    </w:p>
    <w:p w14:paraId="0B5EEBE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posMethod:</w:t>
      </w:r>
    </w:p>
    <w:p w14:paraId="538C37E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'TS29572_Nlmf_Location.yaml#/components/schemas/PositioningMethod'</w:t>
      </w:r>
    </w:p>
    <w:p w14:paraId="4549B45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7977CF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LocAccuracyInfo</w:t>
      </w:r>
      <w:r>
        <w:rPr>
          <w:rFonts w:ascii="Courier New" w:hAnsi="Courier New"/>
          <w:sz w:val="16"/>
        </w:rPr>
        <w:t>:</w:t>
      </w:r>
    </w:p>
    <w:p w14:paraId="49A2CF8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06002AD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t xml:space="preserve">        </w:t>
      </w:r>
      <w:r>
        <w:rPr>
          <w:rFonts w:ascii="Courier New" w:hAnsi="Courier New" w:cs="Arial"/>
          <w:sz w:val="16"/>
          <w:szCs w:val="18"/>
        </w:rPr>
        <w:t>Contains location accuracy analytics.</w:t>
      </w:r>
    </w:p>
    <w:p w14:paraId="4F772CF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2A0459B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03F3A45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locAccPerMeths:</w:t>
      </w:r>
    </w:p>
    <w:p w14:paraId="34F4810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230711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138716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'#/components/schemas/LocAccuracyPerMethod'</w:t>
      </w:r>
    </w:p>
    <w:p w14:paraId="4D62BAC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5FA45FF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rPr>
        <w:t xml:space="preserve">          description: Location accuracy information per positioning method.</w:t>
      </w:r>
    </w:p>
    <w:p w14:paraId="4003B59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inOutUePct</w:t>
      </w:r>
      <w:r>
        <w:rPr>
          <w:rFonts w:ascii="Courier New" w:hAnsi="Courier New"/>
          <w:sz w:val="16"/>
        </w:rPr>
        <w:t>:</w:t>
      </w:r>
    </w:p>
    <w:p w14:paraId="6959662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25B09DE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inOutInd:</w:t>
      </w:r>
    </w:p>
    <w:p w14:paraId="03A6F93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37B4943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Indicates if the target location is indoors or outdoors.</w:t>
      </w:r>
    </w:p>
    <w:p w14:paraId="25A5FF62" w14:textId="77777777" w:rsidR="007862A2" w:rsidRDefault="007862A2" w:rsidP="007862A2">
      <w:pPr>
        <w:pStyle w:val="PL"/>
      </w:pPr>
      <w:r>
        <w:t xml:space="preserve">        confidence:</w:t>
      </w:r>
    </w:p>
    <w:p w14:paraId="6C43156F" w14:textId="77777777" w:rsidR="007862A2" w:rsidRPr="003F6D0F" w:rsidRDefault="007862A2" w:rsidP="007862A2">
      <w:pPr>
        <w:pStyle w:val="PL"/>
      </w:pPr>
      <w:r>
        <w:t xml:space="preserve">          $ref: 'TS29571_CommonData.yaml#/components/schemas/Uinteger'</w:t>
      </w:r>
    </w:p>
    <w:p w14:paraId="649A446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0D3FE23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locAccPerMeths</w:t>
      </w:r>
    </w:p>
    <w:p w14:paraId="66D7136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w:t>
      </w:r>
    </w:p>
    <w:p w14:paraId="6411318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 [</w:t>
      </w:r>
      <w:r>
        <w:rPr>
          <w:rFonts w:ascii="Courier New" w:hAnsi="Courier New"/>
          <w:sz w:val="16"/>
          <w:lang w:val="en-US"/>
        </w:rPr>
        <w:t>inOutUePct</w:t>
      </w:r>
      <w:r>
        <w:rPr>
          <w:rFonts w:ascii="Courier New" w:hAnsi="Courier New"/>
          <w:sz w:val="16"/>
        </w:rPr>
        <w:t>, inOutInd]</w:t>
      </w:r>
    </w:p>
    <w:p w14:paraId="02A7298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F1973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C4395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LocAccuracyPerMethod</w:t>
      </w:r>
      <w:r>
        <w:rPr>
          <w:rFonts w:ascii="Courier New" w:hAnsi="Courier New"/>
          <w:sz w:val="16"/>
        </w:rPr>
        <w:t>:</w:t>
      </w:r>
    </w:p>
    <w:p w14:paraId="17BF52B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21D50F1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rPr>
      </w:pPr>
      <w:r>
        <w:rPr>
          <w:rFonts w:ascii="Courier New" w:hAnsi="Courier New"/>
          <w:sz w:val="16"/>
        </w:rPr>
        <w:lastRenderedPageBreak/>
        <w:t xml:space="preserve">        </w:t>
      </w:r>
      <w:r>
        <w:rPr>
          <w:rFonts w:ascii="Courier New" w:hAnsi="Courier New" w:cs="Arial"/>
          <w:sz w:val="16"/>
          <w:szCs w:val="18"/>
        </w:rPr>
        <w:t>Contains location accuracy analytics per positioning method.</w:t>
      </w:r>
    </w:p>
    <w:p w14:paraId="05B1ED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15F249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0AE799F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posMethod:</w:t>
      </w:r>
    </w:p>
    <w:p w14:paraId="720A29B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'TS29572_Nlmf_Location.yaml#/components/schemas/PositioningMethod'</w:t>
      </w:r>
    </w:p>
    <w:p w14:paraId="0AF01A6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locAcc</w:t>
      </w:r>
      <w:r>
        <w:rPr>
          <w:rFonts w:ascii="Courier New" w:hAnsi="Courier New"/>
          <w:sz w:val="16"/>
        </w:rPr>
        <w:t>:</w:t>
      </w:r>
    </w:p>
    <w:p w14:paraId="38323DE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7A7EC31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losNlosPct:</w:t>
      </w:r>
    </w:p>
    <w:p w14:paraId="6C0FAF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30B9D59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A97D21">
        <w:rPr>
          <w:rFonts w:ascii="Courier New" w:hAnsi="Courier New"/>
          <w:sz w:val="16"/>
        </w:rPr>
        <w:t>losNlosInd</w:t>
      </w:r>
      <w:r>
        <w:rPr>
          <w:rFonts w:ascii="Courier New" w:hAnsi="Courier New"/>
          <w:sz w:val="16"/>
        </w:rPr>
        <w:t>:</w:t>
      </w:r>
    </w:p>
    <w:p w14:paraId="6443D10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18B7DFB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Indicates </w:t>
      </w:r>
      <w:r w:rsidRPr="004C28CA">
        <w:rPr>
          <w:rFonts w:ascii="Courier New" w:hAnsi="Courier New"/>
          <w:sz w:val="16"/>
        </w:rPr>
        <w:t xml:space="preserve">whether the </w:t>
      </w:r>
      <w:r>
        <w:rPr>
          <w:rFonts w:ascii="Courier New" w:hAnsi="Courier New"/>
          <w:sz w:val="16"/>
        </w:rPr>
        <w:t xml:space="preserve">target </w:t>
      </w:r>
      <w:r w:rsidRPr="004C28CA">
        <w:rPr>
          <w:rFonts w:ascii="Courier New" w:hAnsi="Courier New"/>
          <w:sz w:val="16"/>
        </w:rPr>
        <w:t>location is measured with LOS or NLOS</w:t>
      </w:r>
      <w:r>
        <w:rPr>
          <w:rFonts w:ascii="Courier New" w:hAnsi="Courier New"/>
          <w:sz w:val="16"/>
        </w:rPr>
        <w:t>.</w:t>
      </w:r>
    </w:p>
    <w:p w14:paraId="610DB928"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B3BEB">
        <w:rPr>
          <w:rFonts w:ascii="Courier New" w:hAnsi="Courier New"/>
          <w:sz w:val="16"/>
        </w:rPr>
        <w:t xml:space="preserve">      required:</w:t>
      </w:r>
    </w:p>
    <w:p w14:paraId="66851948"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B3BEB">
        <w:rPr>
          <w:rFonts w:ascii="Courier New" w:hAnsi="Courier New"/>
          <w:sz w:val="16"/>
        </w:rPr>
        <w:t xml:space="preserve">        - posMethod</w:t>
      </w:r>
    </w:p>
    <w:p w14:paraId="1B27D2A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B3BEB">
        <w:rPr>
          <w:rFonts w:ascii="Courier New" w:hAnsi="Courier New"/>
          <w:sz w:val="16"/>
        </w:rPr>
        <w:t xml:space="preserve">        - locAcc</w:t>
      </w:r>
    </w:p>
    <w:p w14:paraId="61C7F414" w14:textId="77777777" w:rsidR="007862A2" w:rsidRDefault="007862A2" w:rsidP="007862A2">
      <w:pPr>
        <w:pStyle w:val="PL"/>
      </w:pPr>
    </w:p>
    <w:p w14:paraId="4EEB86B2" w14:textId="77777777" w:rsidR="007862A2" w:rsidRDefault="007862A2" w:rsidP="007862A2">
      <w:pPr>
        <w:pStyle w:val="PL"/>
      </w:pPr>
      <w:r>
        <w:t xml:space="preserve">    AccuracyReq:</w:t>
      </w:r>
    </w:p>
    <w:p w14:paraId="3C9B35ED" w14:textId="77777777" w:rsidR="007862A2" w:rsidRDefault="007862A2" w:rsidP="007862A2">
      <w:pPr>
        <w:pStyle w:val="PL"/>
      </w:pPr>
      <w:r>
        <w:t xml:space="preserve">      description: </w:t>
      </w:r>
      <w:r>
        <w:rPr>
          <w:lang w:val="en-US" w:eastAsia="zh-CN"/>
        </w:rPr>
        <w:t xml:space="preserve">Represents the </w:t>
      </w:r>
      <w:r>
        <w:t>analytics accuracy requirement information</w:t>
      </w:r>
      <w:r>
        <w:rPr>
          <w:lang w:val="en-US" w:eastAsia="zh-CN"/>
        </w:rPr>
        <w:t>.</w:t>
      </w:r>
    </w:p>
    <w:p w14:paraId="2970A814" w14:textId="77777777" w:rsidR="007862A2" w:rsidRDefault="007862A2" w:rsidP="007862A2">
      <w:pPr>
        <w:pStyle w:val="PL"/>
      </w:pPr>
      <w:r>
        <w:t xml:space="preserve">      type: object</w:t>
      </w:r>
    </w:p>
    <w:p w14:paraId="61ECDF14" w14:textId="77777777" w:rsidR="007862A2" w:rsidRDefault="007862A2" w:rsidP="007862A2">
      <w:pPr>
        <w:pStyle w:val="PL"/>
      </w:pPr>
      <w:r>
        <w:t xml:space="preserve">      properties:</w:t>
      </w:r>
    </w:p>
    <w:p w14:paraId="5736FDF9" w14:textId="77777777" w:rsidR="007862A2" w:rsidRDefault="007862A2" w:rsidP="007862A2">
      <w:pPr>
        <w:pStyle w:val="PL"/>
      </w:pPr>
      <w:r>
        <w:t xml:space="preserve">        </w:t>
      </w:r>
      <w:r>
        <w:rPr>
          <w:lang w:eastAsia="zh-CN"/>
        </w:rPr>
        <w:t>accuTimeWin</w:t>
      </w:r>
      <w:r>
        <w:t>:</w:t>
      </w:r>
    </w:p>
    <w:p w14:paraId="73BA0F06" w14:textId="77777777" w:rsidR="007862A2" w:rsidRDefault="007862A2" w:rsidP="007862A2">
      <w:pPr>
        <w:pStyle w:val="PL"/>
      </w:pPr>
      <w:r>
        <w:t xml:space="preserve">          $ref: 'TS29122_CommonData.yaml#/components/schemas/TimeWindow'</w:t>
      </w:r>
    </w:p>
    <w:p w14:paraId="43DF43A7" w14:textId="77777777" w:rsidR="007862A2" w:rsidRDefault="007862A2" w:rsidP="007862A2">
      <w:pPr>
        <w:pStyle w:val="PL"/>
      </w:pPr>
      <w:r>
        <w:t xml:space="preserve">        </w:t>
      </w:r>
      <w:r>
        <w:rPr>
          <w:lang w:eastAsia="zh-CN"/>
        </w:rPr>
        <w:t>accuPeriod</w:t>
      </w:r>
      <w:r>
        <w:t>:</w:t>
      </w:r>
    </w:p>
    <w:p w14:paraId="67333BDA" w14:textId="77777777" w:rsidR="007862A2" w:rsidRDefault="007862A2" w:rsidP="007862A2">
      <w:pPr>
        <w:pStyle w:val="PL"/>
      </w:pPr>
      <w:r>
        <w:t xml:space="preserve">          $ref: 'TS29571_CommonData.yaml#/components/schemas/DurationSec'</w:t>
      </w:r>
    </w:p>
    <w:p w14:paraId="338C0066" w14:textId="77777777" w:rsidR="007862A2" w:rsidRDefault="007862A2" w:rsidP="007862A2">
      <w:pPr>
        <w:pStyle w:val="PL"/>
      </w:pPr>
      <w:r>
        <w:t xml:space="preserve">        </w:t>
      </w:r>
      <w:r>
        <w:rPr>
          <w:lang w:eastAsia="zh-CN"/>
        </w:rPr>
        <w:t>accuDevThr</w:t>
      </w:r>
      <w:r>
        <w:t>:</w:t>
      </w:r>
    </w:p>
    <w:p w14:paraId="1CF8199B" w14:textId="77777777" w:rsidR="007862A2" w:rsidRDefault="007862A2" w:rsidP="007862A2">
      <w:pPr>
        <w:pStyle w:val="PL"/>
      </w:pPr>
      <w:r>
        <w:t xml:space="preserve">          $ref: 'TS29571_CommonData.yaml#/components/schemas/Uinteger'</w:t>
      </w:r>
    </w:p>
    <w:p w14:paraId="74FB0CE6" w14:textId="77777777" w:rsidR="007862A2" w:rsidRDefault="007862A2" w:rsidP="007862A2">
      <w:pPr>
        <w:pStyle w:val="PL"/>
      </w:pPr>
      <w:r>
        <w:t xml:space="preserve">        </w:t>
      </w:r>
      <w:r>
        <w:rPr>
          <w:lang w:eastAsia="zh-CN"/>
        </w:rPr>
        <w:t>minNum</w:t>
      </w:r>
      <w:r>
        <w:t>:</w:t>
      </w:r>
    </w:p>
    <w:p w14:paraId="5E2AB93B" w14:textId="77777777" w:rsidR="007862A2" w:rsidRDefault="007862A2" w:rsidP="007862A2">
      <w:pPr>
        <w:pStyle w:val="PL"/>
      </w:pPr>
      <w:r>
        <w:t xml:space="preserve">          $ref: 'TS29571_CommonData.yaml#/components/schemas/Uinteger'</w:t>
      </w:r>
    </w:p>
    <w:p w14:paraId="2810F902" w14:textId="77777777" w:rsidR="007862A2" w:rsidRDefault="007862A2" w:rsidP="007862A2">
      <w:pPr>
        <w:pStyle w:val="PL"/>
      </w:pPr>
      <w:r>
        <w:t xml:space="preserve">        </w:t>
      </w:r>
      <w:r>
        <w:rPr>
          <w:lang w:eastAsia="zh-CN"/>
        </w:rPr>
        <w:t>updatedAnaFlg</w:t>
      </w:r>
      <w:r>
        <w:t>:</w:t>
      </w:r>
    </w:p>
    <w:p w14:paraId="2E2D7CC5" w14:textId="77777777" w:rsidR="007862A2" w:rsidRDefault="007862A2" w:rsidP="007862A2">
      <w:pPr>
        <w:pStyle w:val="PL"/>
      </w:pPr>
      <w:r>
        <w:t xml:space="preserve">          type: boolean</w:t>
      </w:r>
    </w:p>
    <w:p w14:paraId="22187081" w14:textId="77777777" w:rsidR="007862A2" w:rsidRDefault="007862A2" w:rsidP="007862A2">
      <w:pPr>
        <w:pStyle w:val="PL"/>
      </w:pPr>
      <w:r>
        <w:t xml:space="preserve">          description: &gt;</w:t>
      </w:r>
    </w:p>
    <w:p w14:paraId="1EA0BDA9" w14:textId="77777777" w:rsidR="007862A2" w:rsidRDefault="007862A2" w:rsidP="007862A2">
      <w:pPr>
        <w:pStyle w:val="PL"/>
      </w:pPr>
      <w:r>
        <w:t xml:space="preserve">            Indicates the updated Analytics flag. Set to "true" indicates that the NWDAF can provide</w:t>
      </w:r>
    </w:p>
    <w:p w14:paraId="1798CA19" w14:textId="77777777" w:rsidR="007862A2" w:rsidRDefault="007862A2" w:rsidP="007862A2">
      <w:pPr>
        <w:pStyle w:val="PL"/>
      </w:pPr>
      <w:r>
        <w:t xml:space="preserve">            the updated analytics if the analytics can be generated within the analytics accuracy</w:t>
      </w:r>
    </w:p>
    <w:p w14:paraId="5B8DE26B" w14:textId="77777777" w:rsidR="007862A2" w:rsidRDefault="007862A2" w:rsidP="007862A2">
      <w:pPr>
        <w:pStyle w:val="PL"/>
      </w:pPr>
      <w:r>
        <w:t xml:space="preserve">            information time window, which is specified by "accuTimeWin" attribute.</w:t>
      </w:r>
    </w:p>
    <w:p w14:paraId="6D340BB1" w14:textId="77777777" w:rsidR="007862A2" w:rsidRDefault="007862A2" w:rsidP="007862A2">
      <w:pPr>
        <w:pStyle w:val="PL"/>
      </w:pPr>
      <w:r>
        <w:t xml:space="preserve">            Otherwise set to “false”. Default value is “false” if omitted.</w:t>
      </w:r>
    </w:p>
    <w:p w14:paraId="00B189EE" w14:textId="77777777" w:rsidR="007862A2" w:rsidRDefault="007862A2" w:rsidP="007862A2">
      <w:pPr>
        <w:pStyle w:val="PL"/>
      </w:pPr>
      <w:r>
        <w:t xml:space="preserve">        </w:t>
      </w:r>
      <w:r>
        <w:rPr>
          <w:lang w:eastAsia="zh-CN"/>
        </w:rPr>
        <w:t>correctionInterval</w:t>
      </w:r>
      <w:r>
        <w:t>:</w:t>
      </w:r>
    </w:p>
    <w:p w14:paraId="3605100E" w14:textId="77777777" w:rsidR="007862A2" w:rsidRDefault="007862A2" w:rsidP="007862A2">
      <w:pPr>
        <w:pStyle w:val="PL"/>
      </w:pPr>
      <w:r>
        <w:t xml:space="preserve">          $ref: 'TS29571_CommonData.yaml#/components/schemas/DurationSec'</w:t>
      </w:r>
    </w:p>
    <w:p w14:paraId="7B45C373" w14:textId="77777777" w:rsidR="007862A2" w:rsidRDefault="007862A2" w:rsidP="007862A2">
      <w:pPr>
        <w:pStyle w:val="PL"/>
      </w:pPr>
    </w:p>
    <w:p w14:paraId="3E67FA54" w14:textId="77777777" w:rsidR="007862A2" w:rsidRDefault="007862A2" w:rsidP="007862A2">
      <w:pPr>
        <w:pStyle w:val="PL"/>
      </w:pPr>
      <w:r>
        <w:t xml:space="preserve">    AccuracyInfo:</w:t>
      </w:r>
    </w:p>
    <w:p w14:paraId="35FB438E" w14:textId="77777777" w:rsidR="007862A2" w:rsidRDefault="007862A2" w:rsidP="007862A2">
      <w:pPr>
        <w:pStyle w:val="PL"/>
      </w:pPr>
      <w:r>
        <w:t xml:space="preserve">      description: </w:t>
      </w:r>
      <w:r>
        <w:rPr>
          <w:lang w:eastAsia="zh-CN"/>
        </w:rPr>
        <w:t xml:space="preserve">The </w:t>
      </w:r>
      <w:r>
        <w:t>analytics accuracy information.</w:t>
      </w:r>
    </w:p>
    <w:p w14:paraId="035B6CAA" w14:textId="77777777" w:rsidR="007862A2" w:rsidRDefault="007862A2" w:rsidP="007862A2">
      <w:pPr>
        <w:pStyle w:val="PL"/>
      </w:pPr>
      <w:r>
        <w:t xml:space="preserve">      type: object</w:t>
      </w:r>
    </w:p>
    <w:p w14:paraId="65647392" w14:textId="77777777" w:rsidR="007862A2" w:rsidRDefault="007862A2" w:rsidP="007862A2">
      <w:pPr>
        <w:pStyle w:val="PL"/>
      </w:pPr>
      <w:r>
        <w:t xml:space="preserve">      properties:</w:t>
      </w:r>
    </w:p>
    <w:p w14:paraId="59B2A29F" w14:textId="77777777" w:rsidR="007862A2" w:rsidRDefault="007862A2" w:rsidP="007862A2">
      <w:pPr>
        <w:pStyle w:val="PL"/>
      </w:pPr>
      <w:r>
        <w:t xml:space="preserve">        </w:t>
      </w:r>
      <w:r>
        <w:rPr>
          <w:lang w:eastAsia="zh-CN"/>
        </w:rPr>
        <w:t>accuracyVal</w:t>
      </w:r>
      <w:r>
        <w:t>:</w:t>
      </w:r>
    </w:p>
    <w:p w14:paraId="35158DE5" w14:textId="77777777" w:rsidR="007862A2" w:rsidRDefault="007862A2" w:rsidP="007862A2">
      <w:pPr>
        <w:pStyle w:val="PL"/>
      </w:pPr>
      <w:r>
        <w:t xml:space="preserve">          $ref: 'TS29571_CommonData.yaml#/components/schemas/Uinteger'</w:t>
      </w:r>
    </w:p>
    <w:p w14:paraId="16F165C2" w14:textId="77777777" w:rsidR="007862A2" w:rsidRDefault="007862A2" w:rsidP="007862A2">
      <w:pPr>
        <w:pStyle w:val="PL"/>
      </w:pPr>
      <w:r>
        <w:t xml:space="preserve">        </w:t>
      </w:r>
      <w:r>
        <w:rPr>
          <w:lang w:eastAsia="zh-CN"/>
        </w:rPr>
        <w:t>accuSampleNbr</w:t>
      </w:r>
      <w:r>
        <w:t>:</w:t>
      </w:r>
    </w:p>
    <w:p w14:paraId="45D9759B" w14:textId="77777777" w:rsidR="007862A2" w:rsidRDefault="007862A2" w:rsidP="007862A2">
      <w:pPr>
        <w:pStyle w:val="PL"/>
      </w:pPr>
      <w:r>
        <w:t xml:space="preserve">          $ref: 'TS29571_CommonData.yaml#/components/schemas/Uinteger'</w:t>
      </w:r>
    </w:p>
    <w:p w14:paraId="428182A4" w14:textId="77777777" w:rsidR="007862A2" w:rsidRDefault="007862A2" w:rsidP="007862A2">
      <w:pPr>
        <w:pStyle w:val="PL"/>
      </w:pPr>
      <w:r>
        <w:t xml:space="preserve">        anaAccuInd:</w:t>
      </w:r>
    </w:p>
    <w:p w14:paraId="7D7DA46B" w14:textId="77777777" w:rsidR="007862A2" w:rsidRDefault="007862A2" w:rsidP="007862A2">
      <w:pPr>
        <w:pStyle w:val="PL"/>
      </w:pPr>
      <w:r>
        <w:t xml:space="preserve">          $ref: '#/components/schemas/AnalyticsAccuracyIndication'</w:t>
      </w:r>
    </w:p>
    <w:p w14:paraId="58198AB7" w14:textId="77777777" w:rsidR="007862A2" w:rsidRDefault="007862A2" w:rsidP="007862A2">
      <w:pPr>
        <w:pStyle w:val="PL"/>
      </w:pPr>
      <w:r>
        <w:t xml:space="preserve">      required:</w:t>
      </w:r>
    </w:p>
    <w:p w14:paraId="66EB7368" w14:textId="77777777" w:rsidR="007862A2" w:rsidRDefault="007862A2" w:rsidP="007862A2">
      <w:pPr>
        <w:pStyle w:val="PL"/>
      </w:pPr>
      <w:r>
        <w:t xml:space="preserve">        - </w:t>
      </w:r>
      <w:r>
        <w:rPr>
          <w:lang w:eastAsia="zh-CN"/>
        </w:rPr>
        <w:t>accuracyVal</w:t>
      </w:r>
    </w:p>
    <w:p w14:paraId="71B75051" w14:textId="77777777" w:rsidR="007862A2" w:rsidRDefault="007862A2" w:rsidP="007862A2">
      <w:pPr>
        <w:pStyle w:val="PL"/>
      </w:pPr>
    </w:p>
    <w:p w14:paraId="20913714" w14:textId="77777777" w:rsidR="007862A2" w:rsidRDefault="007862A2" w:rsidP="007862A2">
      <w:pPr>
        <w:pStyle w:val="PL"/>
      </w:pPr>
      <w:r>
        <w:t xml:space="preserve">    MovBehavReq:</w:t>
      </w:r>
    </w:p>
    <w:p w14:paraId="7DFAB348" w14:textId="77777777" w:rsidR="007862A2" w:rsidRDefault="007862A2" w:rsidP="007862A2">
      <w:pPr>
        <w:pStyle w:val="PL"/>
      </w:pPr>
      <w:r>
        <w:t xml:space="preserve">      description: </w:t>
      </w:r>
      <w:r>
        <w:rPr>
          <w:lang w:val="en-US" w:eastAsia="zh-CN"/>
        </w:rPr>
        <w:t xml:space="preserve">Represents the </w:t>
      </w:r>
      <w:r>
        <w:rPr>
          <w:lang w:eastAsia="zh-CN"/>
        </w:rPr>
        <w:t>Movement Behaviour</w:t>
      </w:r>
      <w:r>
        <w:rPr>
          <w:lang w:val="en-US" w:eastAsia="zh-CN"/>
        </w:rPr>
        <w:t xml:space="preserve"> analytics requirements.</w:t>
      </w:r>
    </w:p>
    <w:p w14:paraId="15BCDA21"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0908D8F7" w14:textId="77777777" w:rsidR="007862A2" w:rsidRDefault="007862A2" w:rsidP="007862A2">
      <w:pPr>
        <w:pStyle w:val="PL"/>
      </w:pPr>
      <w:r>
        <w:t xml:space="preserve">      properties:</w:t>
      </w:r>
    </w:p>
    <w:p w14:paraId="33783F51" w14:textId="77777777" w:rsidR="007862A2" w:rsidRDefault="007862A2" w:rsidP="007862A2">
      <w:pPr>
        <w:pStyle w:val="PL"/>
      </w:pPr>
      <w:r>
        <w:t xml:space="preserve">        </w:t>
      </w:r>
      <w:r>
        <w:rPr>
          <w:lang w:eastAsia="zh-CN"/>
        </w:rPr>
        <w:t>locationGranReq</w:t>
      </w:r>
      <w:r>
        <w:t>:</w:t>
      </w:r>
    </w:p>
    <w:p w14:paraId="2721DA1F" w14:textId="77777777" w:rsidR="007862A2" w:rsidRDefault="007862A2" w:rsidP="007862A2">
      <w:pPr>
        <w:pStyle w:val="PL"/>
      </w:pPr>
      <w:r>
        <w:t xml:space="preserve">            $ref: '#/components/schemas/</w:t>
      </w:r>
      <w:r>
        <w:rPr>
          <w:lang w:eastAsia="zh-CN"/>
        </w:rPr>
        <w:t>LocInfoGranularity</w:t>
      </w:r>
      <w:r>
        <w:t>'</w:t>
      </w:r>
    </w:p>
    <w:p w14:paraId="58B9ACFA" w14:textId="77777777" w:rsidR="007862A2" w:rsidRDefault="007862A2" w:rsidP="007862A2">
      <w:pPr>
        <w:pStyle w:val="PL"/>
      </w:pPr>
      <w:r>
        <w:t xml:space="preserve">        r</w:t>
      </w:r>
      <w:r>
        <w:rPr>
          <w:lang w:eastAsia="zh-CN"/>
        </w:rPr>
        <w:t>eportThresholds</w:t>
      </w:r>
      <w:r>
        <w:t>:</w:t>
      </w:r>
    </w:p>
    <w:p w14:paraId="662DEB3A" w14:textId="77777777" w:rsidR="007862A2" w:rsidRDefault="007862A2" w:rsidP="007862A2">
      <w:pPr>
        <w:pStyle w:val="PL"/>
      </w:pPr>
      <w:r>
        <w:t xml:space="preserve">            $ref: '#/components/schemas/ThresholdLevel'</w:t>
      </w:r>
    </w:p>
    <w:p w14:paraId="0AA60C4E" w14:textId="77777777" w:rsidR="007862A2" w:rsidRDefault="007862A2" w:rsidP="007862A2">
      <w:pPr>
        <w:pStyle w:val="PL"/>
      </w:pPr>
    </w:p>
    <w:p w14:paraId="1F32C5F5" w14:textId="77777777" w:rsidR="00956830" w:rsidRDefault="00956830" w:rsidP="00956830">
      <w:pPr>
        <w:pStyle w:val="PL"/>
      </w:pPr>
      <w:r>
        <w:t xml:space="preserve">    MovBehavInfo:</w:t>
      </w:r>
    </w:p>
    <w:p w14:paraId="79E115A0" w14:textId="77777777" w:rsidR="00956830" w:rsidRDefault="00956830" w:rsidP="00956830">
      <w:pPr>
        <w:pStyle w:val="PL"/>
      </w:pPr>
      <w:r>
        <w:t xml:space="preserve">      description: </w:t>
      </w:r>
      <w:r>
        <w:rPr>
          <w:lang w:val="en-US" w:eastAsia="zh-CN"/>
        </w:rPr>
        <w:t xml:space="preserve">Represents the </w:t>
      </w:r>
      <w:r>
        <w:t>Movement Behaviour information</w:t>
      </w:r>
      <w:r>
        <w:rPr>
          <w:lang w:val="en-US" w:eastAsia="zh-CN"/>
        </w:rPr>
        <w:t>.</w:t>
      </w:r>
    </w:p>
    <w:p w14:paraId="4B07A238" w14:textId="77777777" w:rsidR="00956830" w:rsidRPr="007B3BEB" w:rsidRDefault="00956830" w:rsidP="009568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7EE72B5C" w14:textId="77777777" w:rsidR="00956830" w:rsidRDefault="00956830" w:rsidP="00956830">
      <w:pPr>
        <w:pStyle w:val="PL"/>
      </w:pPr>
      <w:r>
        <w:t xml:space="preserve">      properties:</w:t>
      </w:r>
    </w:p>
    <w:p w14:paraId="057773A4" w14:textId="77777777" w:rsidR="00956830" w:rsidRDefault="00956830" w:rsidP="00956830">
      <w:pPr>
        <w:pStyle w:val="PL"/>
      </w:pPr>
      <w:r>
        <w:t xml:space="preserve">        </w:t>
      </w:r>
      <w:r>
        <w:rPr>
          <w:lang w:eastAsia="zh-CN"/>
        </w:rPr>
        <w:t>geoLoc</w:t>
      </w:r>
      <w:r>
        <w:t>:</w:t>
      </w:r>
    </w:p>
    <w:p w14:paraId="529C20EF" w14:textId="77777777" w:rsidR="00956830" w:rsidRDefault="00956830" w:rsidP="00956830">
      <w:pPr>
        <w:pStyle w:val="PL"/>
      </w:pPr>
      <w:r>
        <w:t xml:space="preserve">          $ref: 'TS29572_Nlmf_Location.yaml#/components/schemas/GeographicalCoordinates'</w:t>
      </w:r>
    </w:p>
    <w:p w14:paraId="4AA8602B" w14:textId="77777777" w:rsidR="00956830" w:rsidRDefault="00956830" w:rsidP="00956830">
      <w:pPr>
        <w:pStyle w:val="PL"/>
      </w:pPr>
      <w:r>
        <w:t xml:space="preserve">        supis:</w:t>
      </w:r>
    </w:p>
    <w:p w14:paraId="387E2850" w14:textId="77777777" w:rsidR="00956830" w:rsidRDefault="00956830" w:rsidP="00956830">
      <w:pPr>
        <w:pStyle w:val="PL"/>
      </w:pPr>
      <w:r>
        <w:t xml:space="preserve">          type: array</w:t>
      </w:r>
    </w:p>
    <w:p w14:paraId="5ADD64F8" w14:textId="77777777" w:rsidR="00956830" w:rsidRDefault="00956830" w:rsidP="00956830">
      <w:pPr>
        <w:pStyle w:val="PL"/>
      </w:pPr>
      <w:r>
        <w:t xml:space="preserve">          items:</w:t>
      </w:r>
    </w:p>
    <w:p w14:paraId="7A776B1C" w14:textId="77777777" w:rsidR="00956830" w:rsidRDefault="00956830" w:rsidP="00956830">
      <w:pPr>
        <w:pStyle w:val="PL"/>
      </w:pPr>
      <w:r>
        <w:t xml:space="preserve">            $ref: 'TS29571_CommonData.yaml#/components/schemas/Supi'</w:t>
      </w:r>
    </w:p>
    <w:p w14:paraId="52551C63" w14:textId="77777777" w:rsidR="00956830" w:rsidRDefault="00956830" w:rsidP="00956830">
      <w:pPr>
        <w:pStyle w:val="PL"/>
      </w:pPr>
      <w:r>
        <w:t xml:space="preserve">          minItems: 1</w:t>
      </w:r>
    </w:p>
    <w:p w14:paraId="262EEEB0" w14:textId="77777777" w:rsidR="00956830" w:rsidRDefault="00956830" w:rsidP="00956830">
      <w:pPr>
        <w:pStyle w:val="PL"/>
      </w:pPr>
      <w:r>
        <w:t xml:space="preserve">        gpsis:</w:t>
      </w:r>
    </w:p>
    <w:p w14:paraId="71879EEA" w14:textId="77777777" w:rsidR="00956830" w:rsidRDefault="00956830" w:rsidP="00956830">
      <w:pPr>
        <w:pStyle w:val="PL"/>
      </w:pPr>
      <w:r>
        <w:t xml:space="preserve">          type: array</w:t>
      </w:r>
    </w:p>
    <w:p w14:paraId="7AE8740F" w14:textId="77777777" w:rsidR="00956830" w:rsidRDefault="00956830" w:rsidP="00956830">
      <w:pPr>
        <w:pStyle w:val="PL"/>
      </w:pPr>
      <w:r>
        <w:t xml:space="preserve">          items:</w:t>
      </w:r>
    </w:p>
    <w:p w14:paraId="42B969CC" w14:textId="77777777" w:rsidR="00956830" w:rsidRDefault="00956830" w:rsidP="00956830">
      <w:pPr>
        <w:pStyle w:val="PL"/>
      </w:pPr>
      <w:r>
        <w:t xml:space="preserve">            $ref: 'TS29571_CommonData.yaml#/components/schemas/Gpsi'</w:t>
      </w:r>
    </w:p>
    <w:p w14:paraId="5E1C84CF" w14:textId="77777777" w:rsidR="00956830" w:rsidRDefault="00956830" w:rsidP="00956830">
      <w:pPr>
        <w:pStyle w:val="PL"/>
      </w:pPr>
      <w:r>
        <w:t xml:space="preserve">          minItems: 1</w:t>
      </w:r>
    </w:p>
    <w:p w14:paraId="071FE0E7" w14:textId="77777777" w:rsidR="00956830" w:rsidRDefault="00956830" w:rsidP="00956830">
      <w:pPr>
        <w:pStyle w:val="PL"/>
      </w:pPr>
      <w:r>
        <w:t xml:space="preserve">        </w:t>
      </w:r>
      <w:r>
        <w:rPr>
          <w:lang w:eastAsia="zh-CN"/>
        </w:rPr>
        <w:t>movBehavs</w:t>
      </w:r>
      <w:r>
        <w:t>:</w:t>
      </w:r>
    </w:p>
    <w:p w14:paraId="6D03C060" w14:textId="77777777" w:rsidR="00956830" w:rsidRDefault="00956830" w:rsidP="00956830">
      <w:pPr>
        <w:pStyle w:val="PL"/>
      </w:pPr>
      <w:r>
        <w:t xml:space="preserve">          type: array</w:t>
      </w:r>
    </w:p>
    <w:p w14:paraId="43F82780" w14:textId="77777777" w:rsidR="00956830" w:rsidRDefault="00956830" w:rsidP="00956830">
      <w:pPr>
        <w:pStyle w:val="PL"/>
      </w:pPr>
      <w:r>
        <w:lastRenderedPageBreak/>
        <w:t xml:space="preserve">          items:</w:t>
      </w:r>
    </w:p>
    <w:p w14:paraId="22102076" w14:textId="77777777" w:rsidR="00956830" w:rsidRDefault="00956830" w:rsidP="00956830">
      <w:pPr>
        <w:pStyle w:val="PL"/>
      </w:pPr>
      <w:r>
        <w:t xml:space="preserve">            $ref: '#/components/schemas/</w:t>
      </w:r>
      <w:r>
        <w:rPr>
          <w:lang w:eastAsia="zh-CN"/>
        </w:rPr>
        <w:t>MovBehav</w:t>
      </w:r>
      <w:r>
        <w:t>'</w:t>
      </w:r>
    </w:p>
    <w:p w14:paraId="5FBA02DE" w14:textId="77777777" w:rsidR="00956830" w:rsidRDefault="00956830" w:rsidP="00956830">
      <w:pPr>
        <w:pStyle w:val="PL"/>
      </w:pPr>
      <w:r>
        <w:t xml:space="preserve">          minItems: 1</w:t>
      </w:r>
    </w:p>
    <w:p w14:paraId="7E0CDABB" w14:textId="77777777" w:rsidR="00956830" w:rsidRDefault="00956830" w:rsidP="00956830">
      <w:pPr>
        <w:pStyle w:val="PL"/>
      </w:pPr>
      <w:r>
        <w:t xml:space="preserve">        confidence:</w:t>
      </w:r>
    </w:p>
    <w:p w14:paraId="4E304134" w14:textId="77777777" w:rsidR="00956830" w:rsidRDefault="00956830" w:rsidP="00956830">
      <w:pPr>
        <w:pStyle w:val="PL"/>
      </w:pPr>
      <w:r>
        <w:t xml:space="preserve">          $ref: 'TS29571_CommonData.yaml#/components/schemas/Uinteger'</w:t>
      </w:r>
    </w:p>
    <w:p w14:paraId="2C4238BD" w14:textId="77777777" w:rsidR="00956830" w:rsidRDefault="00956830" w:rsidP="00956830">
      <w:pPr>
        <w:pStyle w:val="PL"/>
      </w:pPr>
    </w:p>
    <w:p w14:paraId="03878421" w14:textId="77777777" w:rsidR="007862A2" w:rsidRDefault="007862A2" w:rsidP="007862A2">
      <w:pPr>
        <w:pStyle w:val="PL"/>
      </w:pPr>
      <w:r>
        <w:t xml:space="preserve">    MovBehav:</w:t>
      </w:r>
    </w:p>
    <w:p w14:paraId="00E494D3" w14:textId="77777777" w:rsidR="007862A2" w:rsidRDefault="007862A2" w:rsidP="007862A2">
      <w:pPr>
        <w:pStyle w:val="PL"/>
      </w:pPr>
      <w:r>
        <w:t xml:space="preserve">      description: </w:t>
      </w:r>
      <w:r>
        <w:rPr>
          <w:lang w:val="en-US" w:eastAsia="zh-CN"/>
        </w:rPr>
        <w:t xml:space="preserve">Represents the </w:t>
      </w:r>
      <w:r>
        <w:t>Movement Behaviour information per time slot</w:t>
      </w:r>
      <w:r>
        <w:rPr>
          <w:lang w:val="en-US" w:eastAsia="zh-CN"/>
        </w:rPr>
        <w:t>.</w:t>
      </w:r>
    </w:p>
    <w:p w14:paraId="5C2E03EB"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6C594116" w14:textId="77777777" w:rsidR="007862A2" w:rsidRDefault="007862A2" w:rsidP="007862A2">
      <w:pPr>
        <w:pStyle w:val="PL"/>
      </w:pPr>
      <w:r>
        <w:t xml:space="preserve">      properties:</w:t>
      </w:r>
    </w:p>
    <w:p w14:paraId="3722D1D1" w14:textId="77777777" w:rsidR="007862A2" w:rsidRDefault="007862A2" w:rsidP="007862A2">
      <w:pPr>
        <w:pStyle w:val="PL"/>
      </w:pPr>
      <w:r>
        <w:t xml:space="preserve">        tsStart:</w:t>
      </w:r>
    </w:p>
    <w:p w14:paraId="4DD81D43" w14:textId="77777777" w:rsidR="007862A2" w:rsidRDefault="007862A2" w:rsidP="007862A2">
      <w:pPr>
        <w:pStyle w:val="PL"/>
      </w:pPr>
      <w:r>
        <w:t xml:space="preserve">          $ref: 'TS29571_CommonData.yaml#/components/schemas/DateTime'</w:t>
      </w:r>
    </w:p>
    <w:p w14:paraId="76E7611D" w14:textId="77777777" w:rsidR="007862A2" w:rsidRDefault="007862A2" w:rsidP="007862A2">
      <w:pPr>
        <w:pStyle w:val="PL"/>
      </w:pPr>
      <w:r>
        <w:t xml:space="preserve">        tsDuration:</w:t>
      </w:r>
    </w:p>
    <w:p w14:paraId="25858435" w14:textId="77777777" w:rsidR="007862A2" w:rsidRDefault="007862A2" w:rsidP="007862A2">
      <w:pPr>
        <w:pStyle w:val="PL"/>
      </w:pPr>
      <w:r>
        <w:t xml:space="preserve">          $ref: 'TS29571_CommonData.yaml#/components/schemas/DurationSec'</w:t>
      </w:r>
    </w:p>
    <w:p w14:paraId="0E2DA3AC" w14:textId="77777777" w:rsidR="007862A2" w:rsidRDefault="007862A2" w:rsidP="007862A2">
      <w:pPr>
        <w:pStyle w:val="PL"/>
      </w:pPr>
      <w:r>
        <w:t xml:space="preserve">        numOf</w:t>
      </w:r>
      <w:r>
        <w:rPr>
          <w:lang w:eastAsia="zh-CN"/>
        </w:rPr>
        <w:t>Ue</w:t>
      </w:r>
      <w:r>
        <w:t>:</w:t>
      </w:r>
    </w:p>
    <w:p w14:paraId="07ECBCBA" w14:textId="77777777" w:rsidR="007862A2" w:rsidRDefault="007862A2" w:rsidP="007862A2">
      <w:pPr>
        <w:pStyle w:val="PL"/>
      </w:pPr>
      <w:r>
        <w:t xml:space="preserve">          $ref: 'TS29571_CommonData.yaml#/components/schemas/Uinteger'</w:t>
      </w:r>
    </w:p>
    <w:p w14:paraId="2010EABD" w14:textId="77777777" w:rsidR="007862A2" w:rsidRDefault="007862A2" w:rsidP="007862A2">
      <w:pPr>
        <w:pStyle w:val="PL"/>
      </w:pPr>
      <w:r>
        <w:t xml:space="preserve">        </w:t>
      </w:r>
      <w:r>
        <w:rPr>
          <w:lang w:eastAsia="zh-CN"/>
        </w:rPr>
        <w:t>ratio</w:t>
      </w:r>
      <w:r>
        <w:t>:</w:t>
      </w:r>
    </w:p>
    <w:p w14:paraId="440A0CDB" w14:textId="77777777" w:rsidR="007862A2" w:rsidRDefault="007862A2" w:rsidP="007862A2">
      <w:pPr>
        <w:pStyle w:val="PL"/>
      </w:pPr>
      <w:r>
        <w:t xml:space="preserve">          $ref: 'TS29571_CommonData.yaml#/components/schemas/SamplingRatio'</w:t>
      </w:r>
    </w:p>
    <w:p w14:paraId="509C103D" w14:textId="77777777" w:rsidR="007862A2" w:rsidRDefault="007862A2" w:rsidP="007862A2">
      <w:pPr>
        <w:pStyle w:val="PL"/>
        <w:rPr>
          <w:lang w:eastAsia="zh-CN"/>
        </w:rPr>
      </w:pPr>
      <w:r>
        <w:t xml:space="preserve">        </w:t>
      </w:r>
      <w:r>
        <w:rPr>
          <w:lang w:eastAsia="zh-CN"/>
        </w:rPr>
        <w:t>avrSpeed:</w:t>
      </w:r>
    </w:p>
    <w:p w14:paraId="0E27D678" w14:textId="77777777" w:rsidR="007862A2" w:rsidRDefault="007862A2" w:rsidP="007862A2">
      <w:pPr>
        <w:pStyle w:val="PL"/>
      </w:pPr>
      <w:r>
        <w:t xml:space="preserve">          $ref: 'TS29571_CommonData.yaml#/components/schemas/Float'</w:t>
      </w:r>
    </w:p>
    <w:p w14:paraId="295B790F" w14:textId="77777777" w:rsidR="007862A2" w:rsidRDefault="007862A2" w:rsidP="007862A2">
      <w:pPr>
        <w:pStyle w:val="PL"/>
      </w:pPr>
      <w:r>
        <w:t xml:space="preserve">        </w:t>
      </w:r>
      <w:r>
        <w:rPr>
          <w:lang w:eastAsia="zh-CN"/>
        </w:rPr>
        <w:t>speedThresdInfos</w:t>
      </w:r>
      <w:r>
        <w:t>:</w:t>
      </w:r>
    </w:p>
    <w:p w14:paraId="35400885" w14:textId="77777777" w:rsidR="007862A2" w:rsidRDefault="007862A2" w:rsidP="007862A2">
      <w:pPr>
        <w:pStyle w:val="PL"/>
      </w:pPr>
      <w:r>
        <w:t xml:space="preserve">          type: array</w:t>
      </w:r>
    </w:p>
    <w:p w14:paraId="7493A883" w14:textId="77777777" w:rsidR="007862A2" w:rsidRDefault="007862A2" w:rsidP="007862A2">
      <w:pPr>
        <w:pStyle w:val="PL"/>
      </w:pPr>
      <w:r>
        <w:t xml:space="preserve">          items:</w:t>
      </w:r>
    </w:p>
    <w:p w14:paraId="5FB48D65" w14:textId="77777777" w:rsidR="007862A2" w:rsidRDefault="007862A2" w:rsidP="007862A2">
      <w:pPr>
        <w:pStyle w:val="PL"/>
      </w:pPr>
      <w:r>
        <w:t xml:space="preserve">            $ref: '#/components/schemas/</w:t>
      </w:r>
      <w:r>
        <w:rPr>
          <w:lang w:eastAsia="zh-CN"/>
        </w:rPr>
        <w:t>SpeedThresholdInfo</w:t>
      </w:r>
      <w:r>
        <w:t>'</w:t>
      </w:r>
    </w:p>
    <w:p w14:paraId="2CA1336F" w14:textId="77777777" w:rsidR="007862A2" w:rsidRDefault="007862A2" w:rsidP="007862A2">
      <w:pPr>
        <w:pStyle w:val="PL"/>
      </w:pPr>
      <w:r>
        <w:t xml:space="preserve">          minItems: 1</w:t>
      </w:r>
    </w:p>
    <w:p w14:paraId="3F3EF7B3" w14:textId="77777777" w:rsidR="007862A2" w:rsidRDefault="007862A2" w:rsidP="007862A2">
      <w:pPr>
        <w:pStyle w:val="PL"/>
      </w:pPr>
      <w:r>
        <w:t xml:space="preserve">        </w:t>
      </w:r>
      <w:r>
        <w:rPr>
          <w:lang w:eastAsia="zh-CN"/>
        </w:rPr>
        <w:t>directionUeInfos</w:t>
      </w:r>
      <w:r>
        <w:t>:</w:t>
      </w:r>
    </w:p>
    <w:p w14:paraId="6DB167B7" w14:textId="77777777" w:rsidR="007862A2" w:rsidRDefault="007862A2" w:rsidP="007862A2">
      <w:pPr>
        <w:pStyle w:val="PL"/>
      </w:pPr>
      <w:r>
        <w:t xml:space="preserve">          type: array</w:t>
      </w:r>
    </w:p>
    <w:p w14:paraId="49E4C194" w14:textId="77777777" w:rsidR="007862A2" w:rsidRDefault="007862A2" w:rsidP="007862A2">
      <w:pPr>
        <w:pStyle w:val="PL"/>
      </w:pPr>
      <w:r>
        <w:t xml:space="preserve">          items:</w:t>
      </w:r>
    </w:p>
    <w:p w14:paraId="67E32C65" w14:textId="77777777" w:rsidR="007862A2" w:rsidRDefault="007862A2" w:rsidP="007862A2">
      <w:pPr>
        <w:pStyle w:val="PL"/>
      </w:pPr>
      <w:r>
        <w:t xml:space="preserve">            $ref: '#/components/schemas/DirectionInfo'</w:t>
      </w:r>
    </w:p>
    <w:p w14:paraId="112B1289" w14:textId="77777777" w:rsidR="007862A2" w:rsidRDefault="007862A2" w:rsidP="007862A2">
      <w:pPr>
        <w:pStyle w:val="PL"/>
      </w:pPr>
      <w:r>
        <w:t xml:space="preserve">          minItems: 1</w:t>
      </w:r>
    </w:p>
    <w:p w14:paraId="3C72BE34" w14:textId="77777777" w:rsidR="007862A2" w:rsidRDefault="007862A2" w:rsidP="007862A2">
      <w:pPr>
        <w:pStyle w:val="PL"/>
      </w:pPr>
      <w:r>
        <w:t xml:space="preserve">      required:</w:t>
      </w:r>
    </w:p>
    <w:p w14:paraId="18F79FB8" w14:textId="77777777" w:rsidR="007862A2" w:rsidRDefault="007862A2" w:rsidP="007862A2">
      <w:pPr>
        <w:pStyle w:val="PL"/>
      </w:pPr>
      <w:r>
        <w:t xml:space="preserve">        - tsStart</w:t>
      </w:r>
    </w:p>
    <w:p w14:paraId="6EB70C9D" w14:textId="77777777" w:rsidR="007862A2" w:rsidRDefault="007862A2" w:rsidP="007862A2">
      <w:pPr>
        <w:pStyle w:val="PL"/>
      </w:pPr>
      <w:r>
        <w:t xml:space="preserve">        - tsDuration</w:t>
      </w:r>
    </w:p>
    <w:p w14:paraId="7F6BDAC4" w14:textId="77777777" w:rsidR="007862A2" w:rsidRDefault="007862A2" w:rsidP="007862A2">
      <w:pPr>
        <w:pStyle w:val="PL"/>
      </w:pPr>
    </w:p>
    <w:p w14:paraId="67B49B98" w14:textId="77777777" w:rsidR="007862A2" w:rsidRDefault="007862A2" w:rsidP="007862A2">
      <w:pPr>
        <w:pStyle w:val="PL"/>
      </w:pPr>
      <w:r>
        <w:t xml:space="preserve">    </w:t>
      </w:r>
      <w:r>
        <w:rPr>
          <w:lang w:eastAsia="ja-JP"/>
        </w:rPr>
        <w:t>S</w:t>
      </w:r>
      <w:r>
        <w:rPr>
          <w:lang w:eastAsia="zh-CN"/>
        </w:rPr>
        <w:t>peedThresholdInfo</w:t>
      </w:r>
      <w:r>
        <w:t>:</w:t>
      </w:r>
    </w:p>
    <w:p w14:paraId="16C202F1" w14:textId="77777777" w:rsidR="007862A2" w:rsidRDefault="007862A2" w:rsidP="007862A2">
      <w:pPr>
        <w:pStyle w:val="PL"/>
      </w:pPr>
      <w:r>
        <w:t xml:space="preserve">      description: UEs information whose speed is faster than the speed threshold</w:t>
      </w:r>
      <w:r>
        <w:rPr>
          <w:lang w:val="en-US" w:eastAsia="zh-CN"/>
        </w:rPr>
        <w:t>.</w:t>
      </w:r>
    </w:p>
    <w:p w14:paraId="2BF7A088"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55D65819" w14:textId="77777777" w:rsidR="007862A2" w:rsidRDefault="007862A2" w:rsidP="007862A2">
      <w:pPr>
        <w:pStyle w:val="PL"/>
      </w:pPr>
      <w:r>
        <w:t xml:space="preserve">      properties:</w:t>
      </w:r>
    </w:p>
    <w:p w14:paraId="1AFE96FE" w14:textId="77777777" w:rsidR="007862A2" w:rsidRDefault="007862A2" w:rsidP="007862A2">
      <w:pPr>
        <w:pStyle w:val="PL"/>
        <w:rPr>
          <w:lang w:eastAsia="zh-CN"/>
        </w:rPr>
      </w:pPr>
      <w:r>
        <w:t xml:space="preserve">        speedThr</w:t>
      </w:r>
      <w:r>
        <w:rPr>
          <w:lang w:eastAsia="zh-CN"/>
        </w:rPr>
        <w:t>:</w:t>
      </w:r>
    </w:p>
    <w:p w14:paraId="33F354EF" w14:textId="77777777" w:rsidR="007862A2" w:rsidRPr="0012741F" w:rsidRDefault="007862A2" w:rsidP="007862A2">
      <w:pPr>
        <w:pStyle w:val="PL"/>
      </w:pPr>
      <w:r>
        <w:t xml:space="preserve">          $ref: 'TS29571_CommonData.yaml#/components/schemas/Float'</w:t>
      </w:r>
    </w:p>
    <w:p w14:paraId="190E1351" w14:textId="77777777" w:rsidR="007862A2" w:rsidRDefault="007862A2" w:rsidP="007862A2">
      <w:pPr>
        <w:pStyle w:val="PL"/>
      </w:pPr>
      <w:r>
        <w:t xml:space="preserve">        numOf</w:t>
      </w:r>
      <w:r>
        <w:rPr>
          <w:lang w:eastAsia="zh-CN"/>
        </w:rPr>
        <w:t>Ue</w:t>
      </w:r>
      <w:r>
        <w:t>:</w:t>
      </w:r>
    </w:p>
    <w:p w14:paraId="4C07D0A2" w14:textId="77777777" w:rsidR="007862A2" w:rsidRDefault="007862A2" w:rsidP="007862A2">
      <w:pPr>
        <w:pStyle w:val="PL"/>
      </w:pPr>
      <w:r>
        <w:t xml:space="preserve">          $ref: 'TS29571_CommonData.yaml#/components/schemas/Uinteger'</w:t>
      </w:r>
    </w:p>
    <w:p w14:paraId="62DBB842" w14:textId="77777777" w:rsidR="007862A2" w:rsidRDefault="007862A2" w:rsidP="007862A2">
      <w:pPr>
        <w:pStyle w:val="PL"/>
      </w:pPr>
      <w:r>
        <w:t xml:space="preserve">        ratio:</w:t>
      </w:r>
    </w:p>
    <w:p w14:paraId="22389AEA" w14:textId="77777777" w:rsidR="007862A2" w:rsidRDefault="007862A2" w:rsidP="007862A2">
      <w:pPr>
        <w:pStyle w:val="PL"/>
      </w:pPr>
      <w:r>
        <w:t xml:space="preserve">          $ref: 'TS29571_CommonData.yaml#/components/schemas/SamplingRatio'</w:t>
      </w:r>
    </w:p>
    <w:p w14:paraId="709BBBCD" w14:textId="77777777" w:rsidR="007862A2" w:rsidRDefault="007862A2" w:rsidP="007862A2">
      <w:pPr>
        <w:pStyle w:val="PL"/>
        <w:rPr>
          <w:rFonts w:eastAsia="等线"/>
          <w:lang w:eastAsia="zh-CN"/>
        </w:rPr>
      </w:pPr>
    </w:p>
    <w:p w14:paraId="21809B8A" w14:textId="77777777" w:rsidR="007862A2" w:rsidRDefault="007862A2" w:rsidP="007862A2">
      <w:pPr>
        <w:pStyle w:val="PL"/>
      </w:pPr>
      <w:r>
        <w:t xml:space="preserve">    RelProxReq:</w:t>
      </w:r>
    </w:p>
    <w:p w14:paraId="5DDBBE8B" w14:textId="77777777" w:rsidR="007862A2" w:rsidRDefault="007862A2" w:rsidP="007862A2">
      <w:pPr>
        <w:pStyle w:val="PL"/>
      </w:pPr>
      <w:r>
        <w:t xml:space="preserve">      description: Represents the Relative Proximity analytics requirements</w:t>
      </w:r>
      <w:r>
        <w:rPr>
          <w:lang w:val="en-US" w:eastAsia="zh-CN"/>
        </w:rPr>
        <w:t>.</w:t>
      </w:r>
    </w:p>
    <w:p w14:paraId="5229CA4A"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28425306" w14:textId="77777777" w:rsidR="007862A2" w:rsidRDefault="007862A2" w:rsidP="007862A2">
      <w:pPr>
        <w:pStyle w:val="PL"/>
      </w:pPr>
      <w:r>
        <w:t xml:space="preserve">      properties:</w:t>
      </w:r>
    </w:p>
    <w:p w14:paraId="1377D45D" w14:textId="77777777" w:rsidR="007862A2" w:rsidRDefault="007862A2" w:rsidP="007862A2">
      <w:pPr>
        <w:pStyle w:val="PL"/>
      </w:pPr>
      <w:r>
        <w:t xml:space="preserve">        </w:t>
      </w:r>
      <w:r>
        <w:rPr>
          <w:lang w:eastAsia="zh-CN"/>
        </w:rPr>
        <w:t>direction</w:t>
      </w:r>
      <w:r>
        <w:t>:</w:t>
      </w:r>
    </w:p>
    <w:p w14:paraId="771ABCB0" w14:textId="77777777" w:rsidR="007862A2" w:rsidRDefault="007862A2" w:rsidP="007862A2">
      <w:pPr>
        <w:pStyle w:val="PL"/>
      </w:pPr>
      <w:r>
        <w:t xml:space="preserve">          type: array</w:t>
      </w:r>
    </w:p>
    <w:p w14:paraId="57C5A206" w14:textId="77777777" w:rsidR="007862A2" w:rsidRDefault="007862A2" w:rsidP="007862A2">
      <w:pPr>
        <w:pStyle w:val="PL"/>
      </w:pPr>
      <w:r>
        <w:t xml:space="preserve">          items:</w:t>
      </w:r>
    </w:p>
    <w:p w14:paraId="53E5A435" w14:textId="77777777" w:rsidR="007862A2" w:rsidRDefault="007862A2" w:rsidP="007862A2">
      <w:pPr>
        <w:pStyle w:val="PL"/>
      </w:pPr>
      <w:r>
        <w:t xml:space="preserve">            $ref: '#/components/schemas/Direction'</w:t>
      </w:r>
    </w:p>
    <w:p w14:paraId="2BD971E7" w14:textId="77777777" w:rsidR="007862A2" w:rsidRDefault="007862A2" w:rsidP="007862A2">
      <w:pPr>
        <w:pStyle w:val="PL"/>
      </w:pPr>
      <w:r>
        <w:t xml:space="preserve">          minItems: 1</w:t>
      </w:r>
    </w:p>
    <w:p w14:paraId="4FF36CEE" w14:textId="77777777" w:rsidR="007862A2" w:rsidRDefault="007862A2" w:rsidP="007862A2">
      <w:pPr>
        <w:pStyle w:val="PL"/>
      </w:pPr>
      <w:r>
        <w:t xml:space="preserve">        numOf</w:t>
      </w:r>
      <w:r>
        <w:rPr>
          <w:lang w:eastAsia="zh-CN"/>
        </w:rPr>
        <w:t>Ue</w:t>
      </w:r>
      <w:r>
        <w:t>:</w:t>
      </w:r>
    </w:p>
    <w:p w14:paraId="48A6C146" w14:textId="77777777" w:rsidR="007862A2" w:rsidRDefault="007862A2" w:rsidP="007862A2">
      <w:pPr>
        <w:pStyle w:val="PL"/>
      </w:pPr>
      <w:r>
        <w:t xml:space="preserve">          $ref: 'TS29571_CommonData.yaml#/components/schemas/Uinteger'</w:t>
      </w:r>
    </w:p>
    <w:p w14:paraId="405179F7" w14:textId="77777777" w:rsidR="007862A2" w:rsidRDefault="007862A2" w:rsidP="007862A2">
      <w:pPr>
        <w:pStyle w:val="PL"/>
      </w:pPr>
      <w:r>
        <w:t xml:space="preserve">        prox</w:t>
      </w:r>
      <w:r>
        <w:rPr>
          <w:lang w:eastAsia="zh-CN"/>
        </w:rPr>
        <w:t>imity</w:t>
      </w:r>
      <w:r>
        <w:t>Crits:</w:t>
      </w:r>
    </w:p>
    <w:p w14:paraId="10C0C2EA" w14:textId="77777777" w:rsidR="007862A2" w:rsidRDefault="007862A2" w:rsidP="007862A2">
      <w:pPr>
        <w:pStyle w:val="PL"/>
      </w:pPr>
      <w:r>
        <w:t xml:space="preserve">          type: array</w:t>
      </w:r>
    </w:p>
    <w:p w14:paraId="4E0237BD" w14:textId="77777777" w:rsidR="007862A2" w:rsidRDefault="007862A2" w:rsidP="007862A2">
      <w:pPr>
        <w:pStyle w:val="PL"/>
      </w:pPr>
      <w:r>
        <w:t xml:space="preserve">          items:</w:t>
      </w:r>
    </w:p>
    <w:p w14:paraId="4621385C" w14:textId="77777777" w:rsidR="007862A2" w:rsidRDefault="007862A2" w:rsidP="007862A2">
      <w:pPr>
        <w:pStyle w:val="PL"/>
      </w:pPr>
      <w:r>
        <w:t xml:space="preserve">            $ref: '#/components/schemas/ProximityCriterion'</w:t>
      </w:r>
    </w:p>
    <w:p w14:paraId="037BEE14" w14:textId="77777777" w:rsidR="007862A2" w:rsidRDefault="007862A2" w:rsidP="007862A2">
      <w:pPr>
        <w:pStyle w:val="PL"/>
      </w:pPr>
      <w:r>
        <w:t xml:space="preserve">          minItems: 1</w:t>
      </w:r>
    </w:p>
    <w:p w14:paraId="446921C6" w14:textId="77777777" w:rsidR="007862A2" w:rsidRDefault="007862A2" w:rsidP="007862A2">
      <w:pPr>
        <w:pStyle w:val="PL"/>
        <w:rPr>
          <w:rFonts w:eastAsia="等线"/>
          <w:lang w:eastAsia="zh-CN"/>
        </w:rPr>
      </w:pPr>
    </w:p>
    <w:p w14:paraId="10417EBA" w14:textId="77777777" w:rsidR="007862A2" w:rsidRDefault="007862A2" w:rsidP="007862A2">
      <w:pPr>
        <w:pStyle w:val="PL"/>
      </w:pPr>
      <w:r>
        <w:t xml:space="preserve">    RelProxInfo:</w:t>
      </w:r>
    </w:p>
    <w:p w14:paraId="3BA75839" w14:textId="77777777" w:rsidR="007862A2" w:rsidRDefault="007862A2" w:rsidP="007862A2">
      <w:pPr>
        <w:pStyle w:val="PL"/>
      </w:pPr>
      <w:r>
        <w:t xml:space="preserve">      description: </w:t>
      </w:r>
      <w:r>
        <w:rPr>
          <w:lang w:val="en-US" w:eastAsia="zh-CN"/>
        </w:rPr>
        <w:t xml:space="preserve">Represents the </w:t>
      </w:r>
      <w:r>
        <w:t>Relative Proximity information</w:t>
      </w:r>
      <w:r>
        <w:rPr>
          <w:lang w:val="en-US" w:eastAsia="zh-CN"/>
        </w:rPr>
        <w:t>.</w:t>
      </w:r>
    </w:p>
    <w:p w14:paraId="1DF05475"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27E4C680" w14:textId="77777777" w:rsidR="007862A2" w:rsidRDefault="007862A2" w:rsidP="007862A2">
      <w:pPr>
        <w:pStyle w:val="PL"/>
      </w:pPr>
      <w:r>
        <w:t xml:space="preserve">      properties:</w:t>
      </w:r>
    </w:p>
    <w:p w14:paraId="0E9FE69C" w14:textId="77777777" w:rsidR="007862A2" w:rsidRDefault="007862A2" w:rsidP="007862A2">
      <w:pPr>
        <w:pStyle w:val="PL"/>
      </w:pPr>
      <w:r>
        <w:t xml:space="preserve">        tsStart:</w:t>
      </w:r>
    </w:p>
    <w:p w14:paraId="275E9470" w14:textId="77777777" w:rsidR="007862A2" w:rsidRDefault="007862A2" w:rsidP="007862A2">
      <w:pPr>
        <w:pStyle w:val="PL"/>
      </w:pPr>
      <w:r>
        <w:t xml:space="preserve">          $ref: 'TS29571_CommonData.yaml#/components/schemas/DateTime'</w:t>
      </w:r>
    </w:p>
    <w:p w14:paraId="72715524" w14:textId="77777777" w:rsidR="007862A2" w:rsidRDefault="007862A2" w:rsidP="007862A2">
      <w:pPr>
        <w:pStyle w:val="PL"/>
      </w:pPr>
      <w:r>
        <w:t xml:space="preserve">        tsDuration:</w:t>
      </w:r>
    </w:p>
    <w:p w14:paraId="00DC38B9" w14:textId="77777777" w:rsidR="007862A2" w:rsidRDefault="007862A2" w:rsidP="007862A2">
      <w:pPr>
        <w:pStyle w:val="PL"/>
      </w:pPr>
      <w:r>
        <w:t xml:space="preserve">          $ref: 'TS29571_CommonData.yaml#/components/schemas/DurationSec'</w:t>
      </w:r>
    </w:p>
    <w:p w14:paraId="1B78C163" w14:textId="77777777" w:rsidR="007862A2" w:rsidRDefault="007862A2" w:rsidP="007862A2">
      <w:pPr>
        <w:pStyle w:val="PL"/>
      </w:pPr>
      <w:r>
        <w:t xml:space="preserve">        supis:</w:t>
      </w:r>
    </w:p>
    <w:p w14:paraId="029FC4F1" w14:textId="77777777" w:rsidR="007862A2" w:rsidRDefault="007862A2" w:rsidP="007862A2">
      <w:pPr>
        <w:pStyle w:val="PL"/>
      </w:pPr>
      <w:r>
        <w:t xml:space="preserve">          type: array</w:t>
      </w:r>
    </w:p>
    <w:p w14:paraId="46530597" w14:textId="77777777" w:rsidR="007862A2" w:rsidRDefault="007862A2" w:rsidP="007862A2">
      <w:pPr>
        <w:pStyle w:val="PL"/>
      </w:pPr>
      <w:r>
        <w:t xml:space="preserve">          items:</w:t>
      </w:r>
    </w:p>
    <w:p w14:paraId="7A0A3E3E" w14:textId="77777777" w:rsidR="007862A2" w:rsidRDefault="007862A2" w:rsidP="007862A2">
      <w:pPr>
        <w:pStyle w:val="PL"/>
      </w:pPr>
      <w:r>
        <w:t xml:space="preserve">            $ref: 'TS29571_CommonData.yaml#/components/schemas/Supi'</w:t>
      </w:r>
    </w:p>
    <w:p w14:paraId="7602DB83" w14:textId="77777777" w:rsidR="007862A2" w:rsidRDefault="007862A2" w:rsidP="007862A2">
      <w:pPr>
        <w:pStyle w:val="PL"/>
      </w:pPr>
      <w:r>
        <w:t xml:space="preserve">          minItems: 1</w:t>
      </w:r>
    </w:p>
    <w:p w14:paraId="66AC2EB1" w14:textId="77777777" w:rsidR="007862A2" w:rsidRDefault="007862A2" w:rsidP="007862A2">
      <w:pPr>
        <w:pStyle w:val="PL"/>
      </w:pPr>
      <w:r>
        <w:t xml:space="preserve">        gpsis:</w:t>
      </w:r>
    </w:p>
    <w:p w14:paraId="7688311C" w14:textId="77777777" w:rsidR="007862A2" w:rsidRDefault="007862A2" w:rsidP="007862A2">
      <w:pPr>
        <w:pStyle w:val="PL"/>
      </w:pPr>
      <w:r>
        <w:t xml:space="preserve">          type: array</w:t>
      </w:r>
    </w:p>
    <w:p w14:paraId="61D10631" w14:textId="77777777" w:rsidR="007862A2" w:rsidRDefault="007862A2" w:rsidP="007862A2">
      <w:pPr>
        <w:pStyle w:val="PL"/>
      </w:pPr>
      <w:r>
        <w:t xml:space="preserve">          items:</w:t>
      </w:r>
    </w:p>
    <w:p w14:paraId="2AE76BEE" w14:textId="77777777" w:rsidR="007862A2" w:rsidRDefault="007862A2" w:rsidP="007862A2">
      <w:pPr>
        <w:pStyle w:val="PL"/>
      </w:pPr>
      <w:r>
        <w:lastRenderedPageBreak/>
        <w:t xml:space="preserve">            $ref: 'TS29571_CommonData.yaml#/components/schemas/Gpsi'</w:t>
      </w:r>
    </w:p>
    <w:p w14:paraId="0B24530B" w14:textId="77777777" w:rsidR="007862A2" w:rsidRDefault="007862A2" w:rsidP="007862A2">
      <w:pPr>
        <w:pStyle w:val="PL"/>
      </w:pPr>
      <w:r>
        <w:t xml:space="preserve">          minItems: 1</w:t>
      </w:r>
    </w:p>
    <w:p w14:paraId="0B928EB6" w14:textId="77777777" w:rsidR="007862A2" w:rsidRDefault="007862A2" w:rsidP="007862A2">
      <w:pPr>
        <w:pStyle w:val="PL"/>
      </w:pPr>
      <w:r>
        <w:t xml:space="preserve">        ueProximities:</w:t>
      </w:r>
    </w:p>
    <w:p w14:paraId="10799B0F" w14:textId="77777777" w:rsidR="007862A2" w:rsidRDefault="007862A2" w:rsidP="007862A2">
      <w:pPr>
        <w:pStyle w:val="PL"/>
      </w:pPr>
      <w:r>
        <w:t xml:space="preserve">          type: array</w:t>
      </w:r>
    </w:p>
    <w:p w14:paraId="243E581B" w14:textId="77777777" w:rsidR="007862A2" w:rsidRDefault="007862A2" w:rsidP="007862A2">
      <w:pPr>
        <w:pStyle w:val="PL"/>
      </w:pPr>
      <w:r>
        <w:t xml:space="preserve">          items:</w:t>
      </w:r>
    </w:p>
    <w:p w14:paraId="06C6CC7E" w14:textId="77777777" w:rsidR="007862A2" w:rsidRDefault="007862A2" w:rsidP="007862A2">
      <w:pPr>
        <w:pStyle w:val="PL"/>
      </w:pPr>
      <w:r>
        <w:t xml:space="preserve">            $ref: '#/components/schemas/UeProximity'</w:t>
      </w:r>
    </w:p>
    <w:p w14:paraId="139FB898" w14:textId="77777777" w:rsidR="007862A2" w:rsidRDefault="007862A2" w:rsidP="007862A2">
      <w:pPr>
        <w:pStyle w:val="PL"/>
      </w:pPr>
      <w:r>
        <w:t xml:space="preserve">          minItems: 1</w:t>
      </w:r>
    </w:p>
    <w:p w14:paraId="7179693F" w14:textId="77777777" w:rsidR="007862A2" w:rsidRDefault="007862A2" w:rsidP="007862A2">
      <w:pPr>
        <w:pStyle w:val="PL"/>
      </w:pPr>
      <w:r>
        <w:t xml:space="preserve">        ttcInfo:</w:t>
      </w:r>
    </w:p>
    <w:p w14:paraId="59C78168" w14:textId="77777777" w:rsidR="007862A2" w:rsidRDefault="007862A2" w:rsidP="007862A2">
      <w:pPr>
        <w:pStyle w:val="PL"/>
      </w:pPr>
      <w:r>
        <w:t xml:space="preserve">          $ref: '#/components/schemas/TimeToCollisionInfo'</w:t>
      </w:r>
    </w:p>
    <w:p w14:paraId="1E7FCC88" w14:textId="77777777" w:rsidR="00183EFC" w:rsidRDefault="00183EFC" w:rsidP="00183EFC">
      <w:pPr>
        <w:pStyle w:val="PL"/>
      </w:pPr>
      <w:r>
        <w:t xml:space="preserve">        intGroupIds:</w:t>
      </w:r>
    </w:p>
    <w:p w14:paraId="27D62FC3" w14:textId="77777777" w:rsidR="00183EFC" w:rsidRDefault="00183EFC" w:rsidP="00183EFC">
      <w:pPr>
        <w:pStyle w:val="PL"/>
      </w:pPr>
      <w:r>
        <w:t xml:space="preserve">          type: array</w:t>
      </w:r>
    </w:p>
    <w:p w14:paraId="5EF301B6" w14:textId="77777777" w:rsidR="00183EFC" w:rsidRDefault="00183EFC" w:rsidP="00183EFC">
      <w:pPr>
        <w:pStyle w:val="PL"/>
      </w:pPr>
      <w:r>
        <w:t xml:space="preserve">          items:</w:t>
      </w:r>
    </w:p>
    <w:p w14:paraId="2B9593F6" w14:textId="77777777" w:rsidR="00183EFC" w:rsidRDefault="00183EFC" w:rsidP="00183EFC">
      <w:pPr>
        <w:pStyle w:val="PL"/>
      </w:pPr>
      <w:r>
        <w:t xml:space="preserve">            $ref: 'TS29571_CommonData.yaml#/components/schemas/GroupId'</w:t>
      </w:r>
    </w:p>
    <w:p w14:paraId="245A0CFA" w14:textId="77777777" w:rsidR="00183EFC" w:rsidRDefault="00183EFC" w:rsidP="00183EFC">
      <w:pPr>
        <w:pStyle w:val="PL"/>
      </w:pPr>
      <w:r>
        <w:t xml:space="preserve">          minItems: 1</w:t>
      </w:r>
    </w:p>
    <w:p w14:paraId="2DB086AC" w14:textId="77777777" w:rsidR="00183EFC" w:rsidRDefault="00183EFC" w:rsidP="00183EFC">
      <w:pPr>
        <w:pStyle w:val="PL"/>
      </w:pPr>
      <w:r>
        <w:t xml:space="preserve">        </w:t>
      </w:r>
      <w:r w:rsidRPr="00FD76A6">
        <w:t>exterGroupId</w:t>
      </w:r>
      <w:r>
        <w:t>s:</w:t>
      </w:r>
    </w:p>
    <w:p w14:paraId="682B42A2" w14:textId="77777777" w:rsidR="00183EFC" w:rsidRDefault="00183EFC" w:rsidP="00183EFC">
      <w:pPr>
        <w:pStyle w:val="PL"/>
      </w:pPr>
      <w:r>
        <w:t xml:space="preserve">          type: array</w:t>
      </w:r>
    </w:p>
    <w:p w14:paraId="5EA82BFF" w14:textId="77777777" w:rsidR="00183EFC" w:rsidRDefault="00183EFC" w:rsidP="00183EFC">
      <w:pPr>
        <w:pStyle w:val="PL"/>
      </w:pPr>
      <w:r>
        <w:t xml:space="preserve">          items:</w:t>
      </w:r>
    </w:p>
    <w:p w14:paraId="74ACCC18" w14:textId="77777777" w:rsidR="00183EFC" w:rsidRDefault="00183EFC" w:rsidP="00183EFC">
      <w:pPr>
        <w:pStyle w:val="PL"/>
      </w:pPr>
      <w:r>
        <w:t xml:space="preserve">            </w:t>
      </w:r>
      <w:r w:rsidRPr="008B1C02">
        <w:t>$ref: 'TS29122_CommonData.yaml#/components/schemas/ExternalGroupId'</w:t>
      </w:r>
    </w:p>
    <w:p w14:paraId="241EBB97" w14:textId="77777777" w:rsidR="00183EFC" w:rsidRDefault="00183EFC" w:rsidP="00183EFC">
      <w:pPr>
        <w:pStyle w:val="PL"/>
      </w:pPr>
      <w:r>
        <w:t xml:space="preserve">          minItems: 1</w:t>
      </w:r>
    </w:p>
    <w:p w14:paraId="55BC65CC" w14:textId="77777777" w:rsidR="007862A2" w:rsidRDefault="007862A2" w:rsidP="007862A2">
      <w:pPr>
        <w:pStyle w:val="PL"/>
      </w:pPr>
      <w:r>
        <w:t xml:space="preserve">      required:</w:t>
      </w:r>
    </w:p>
    <w:p w14:paraId="379A15FB" w14:textId="77777777" w:rsidR="007862A2" w:rsidRDefault="007862A2" w:rsidP="007862A2">
      <w:pPr>
        <w:pStyle w:val="PL"/>
      </w:pPr>
      <w:r>
        <w:t xml:space="preserve">        - tsStart</w:t>
      </w:r>
    </w:p>
    <w:p w14:paraId="2D4A13FA" w14:textId="77777777" w:rsidR="007862A2" w:rsidRDefault="007862A2" w:rsidP="007862A2">
      <w:pPr>
        <w:pStyle w:val="PL"/>
      </w:pPr>
      <w:r>
        <w:t xml:space="preserve">        - tsDuration</w:t>
      </w:r>
    </w:p>
    <w:p w14:paraId="0DED36D7" w14:textId="77777777" w:rsidR="007862A2" w:rsidRDefault="007862A2" w:rsidP="007862A2">
      <w:pPr>
        <w:pStyle w:val="PL"/>
      </w:pPr>
      <w:r>
        <w:t xml:space="preserve">        - ueProximities</w:t>
      </w:r>
    </w:p>
    <w:p w14:paraId="605D817D" w14:textId="77777777" w:rsidR="007862A2" w:rsidRDefault="007862A2" w:rsidP="007862A2">
      <w:pPr>
        <w:pStyle w:val="PL"/>
      </w:pPr>
    </w:p>
    <w:p w14:paraId="7E3D78C4" w14:textId="77777777" w:rsidR="007862A2" w:rsidRDefault="007862A2" w:rsidP="007862A2">
      <w:pPr>
        <w:pStyle w:val="PL"/>
      </w:pPr>
      <w:r>
        <w:t xml:space="preserve">    UeProximity:</w:t>
      </w:r>
    </w:p>
    <w:p w14:paraId="174EE7AC" w14:textId="77777777" w:rsidR="007862A2" w:rsidRDefault="007862A2" w:rsidP="007862A2">
      <w:pPr>
        <w:pStyle w:val="PL"/>
      </w:pPr>
      <w:r>
        <w:t xml:space="preserve">      description: </w:t>
      </w:r>
      <w:r>
        <w:rPr>
          <w:lang w:val="en-US" w:eastAsia="zh-CN"/>
        </w:rPr>
        <w:t>Represents the</w:t>
      </w:r>
      <w:r>
        <w:t xml:space="preserve"> Observed or Predicted proximity information</w:t>
      </w:r>
      <w:r>
        <w:rPr>
          <w:lang w:val="en-US" w:eastAsia="zh-CN"/>
        </w:rPr>
        <w:t>.</w:t>
      </w:r>
    </w:p>
    <w:p w14:paraId="491A7DB0"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1854985D" w14:textId="77777777" w:rsidR="007862A2" w:rsidRDefault="007862A2" w:rsidP="007862A2">
      <w:pPr>
        <w:pStyle w:val="PL"/>
      </w:pPr>
      <w:r>
        <w:t xml:space="preserve">      properties:</w:t>
      </w:r>
    </w:p>
    <w:p w14:paraId="0065EFF2" w14:textId="77777777" w:rsidR="007862A2" w:rsidRDefault="007862A2" w:rsidP="007862A2">
      <w:pPr>
        <w:pStyle w:val="PL"/>
      </w:pPr>
      <w:r>
        <w:t xml:space="preserve">        ueDistance:</w:t>
      </w:r>
    </w:p>
    <w:p w14:paraId="61B2C751" w14:textId="77777777" w:rsidR="007862A2" w:rsidRDefault="007862A2" w:rsidP="007862A2">
      <w:pPr>
        <w:pStyle w:val="PL"/>
      </w:pPr>
      <w:r>
        <w:t xml:space="preserve">          type: integer</w:t>
      </w:r>
    </w:p>
    <w:p w14:paraId="2295554E" w14:textId="77777777" w:rsidR="007862A2" w:rsidRDefault="007862A2" w:rsidP="007862A2">
      <w:pPr>
        <w:pStyle w:val="PL"/>
      </w:pPr>
      <w:r>
        <w:t xml:space="preserve">        ueVelocity:</w:t>
      </w:r>
    </w:p>
    <w:p w14:paraId="55F66242" w14:textId="77777777" w:rsidR="007862A2" w:rsidRDefault="007862A2" w:rsidP="007862A2">
      <w:pPr>
        <w:pStyle w:val="PL"/>
      </w:pPr>
      <w:r>
        <w:t xml:space="preserve">          $ref: 'TS29572_Nlmf_Location.yaml#/components/schemas/VelocityEstimate'</w:t>
      </w:r>
    </w:p>
    <w:p w14:paraId="68245E68" w14:textId="77777777" w:rsidR="007862A2" w:rsidRDefault="007862A2" w:rsidP="007862A2">
      <w:pPr>
        <w:pStyle w:val="PL"/>
        <w:rPr>
          <w:lang w:eastAsia="zh-CN"/>
        </w:rPr>
      </w:pPr>
      <w:r>
        <w:t xml:space="preserve">        </w:t>
      </w:r>
      <w:r>
        <w:rPr>
          <w:lang w:eastAsia="zh-CN"/>
        </w:rPr>
        <w:t>avrSpeed:</w:t>
      </w:r>
    </w:p>
    <w:p w14:paraId="5646B337" w14:textId="77777777" w:rsidR="007862A2" w:rsidRDefault="007862A2" w:rsidP="007862A2">
      <w:pPr>
        <w:pStyle w:val="PL"/>
      </w:pPr>
      <w:r>
        <w:t xml:space="preserve">          $ref: 'TS29571_CommonData.yaml#/components/schemas/Float'</w:t>
      </w:r>
    </w:p>
    <w:p w14:paraId="71563359" w14:textId="77777777" w:rsidR="007862A2" w:rsidRDefault="007862A2" w:rsidP="007862A2">
      <w:pPr>
        <w:pStyle w:val="PL"/>
      </w:pPr>
      <w:r>
        <w:t xml:space="preserve">        </w:t>
      </w:r>
      <w:r>
        <w:rPr>
          <w:lang w:eastAsia="zh-CN"/>
        </w:rPr>
        <w:t>locOrientation</w:t>
      </w:r>
      <w:r>
        <w:t>:</w:t>
      </w:r>
    </w:p>
    <w:p w14:paraId="12FCCC87" w14:textId="77777777" w:rsidR="007862A2" w:rsidRDefault="007862A2" w:rsidP="007862A2">
      <w:pPr>
        <w:pStyle w:val="PL"/>
      </w:pPr>
      <w:r>
        <w:t xml:space="preserve">          $ref: '#/components/schemas/</w:t>
      </w:r>
      <w:r>
        <w:rPr>
          <w:lang w:eastAsia="zh-CN"/>
        </w:rPr>
        <w:t>LocationOrientation</w:t>
      </w:r>
      <w:r>
        <w:t>'</w:t>
      </w:r>
    </w:p>
    <w:p w14:paraId="073F1FCD" w14:textId="77777777" w:rsidR="007862A2" w:rsidRDefault="007862A2" w:rsidP="007862A2">
      <w:pPr>
        <w:pStyle w:val="PL"/>
      </w:pPr>
      <w:r>
        <w:t xml:space="preserve">        ueTrajectories:</w:t>
      </w:r>
    </w:p>
    <w:p w14:paraId="1BB3BD43" w14:textId="77777777" w:rsidR="007862A2" w:rsidRDefault="007862A2" w:rsidP="007862A2">
      <w:pPr>
        <w:pStyle w:val="PL"/>
      </w:pPr>
      <w:r>
        <w:t xml:space="preserve">          type: array</w:t>
      </w:r>
    </w:p>
    <w:p w14:paraId="5970793F" w14:textId="77777777" w:rsidR="007862A2" w:rsidRDefault="007862A2" w:rsidP="007862A2">
      <w:pPr>
        <w:pStyle w:val="PL"/>
      </w:pPr>
      <w:r>
        <w:t xml:space="preserve">          items:</w:t>
      </w:r>
    </w:p>
    <w:p w14:paraId="4AE851C8" w14:textId="77777777" w:rsidR="007862A2" w:rsidRDefault="007862A2" w:rsidP="007862A2">
      <w:pPr>
        <w:pStyle w:val="PL"/>
      </w:pPr>
      <w:r>
        <w:t xml:space="preserve">            $ref: '#/components/schemas/UeTrajectory'</w:t>
      </w:r>
    </w:p>
    <w:p w14:paraId="4D965513" w14:textId="77777777" w:rsidR="007862A2" w:rsidRDefault="007862A2" w:rsidP="007862A2">
      <w:pPr>
        <w:pStyle w:val="PL"/>
      </w:pPr>
      <w:r>
        <w:t xml:space="preserve">          minItems: 1</w:t>
      </w:r>
    </w:p>
    <w:p w14:paraId="1B4A9791" w14:textId="77777777" w:rsidR="007862A2" w:rsidRDefault="007862A2" w:rsidP="007862A2">
      <w:pPr>
        <w:pStyle w:val="PL"/>
      </w:pPr>
      <w:r>
        <w:t xml:space="preserve">        </w:t>
      </w:r>
      <w:r>
        <w:rPr>
          <w:lang w:eastAsia="zh-CN"/>
        </w:rPr>
        <w:t>ratio</w:t>
      </w:r>
      <w:r>
        <w:t>:</w:t>
      </w:r>
    </w:p>
    <w:p w14:paraId="17A54B1A" w14:textId="77777777" w:rsidR="007862A2" w:rsidRDefault="007862A2" w:rsidP="007862A2">
      <w:pPr>
        <w:pStyle w:val="PL"/>
      </w:pPr>
      <w:r>
        <w:t xml:space="preserve">          $ref: 'TS29571_CommonData.yaml#/components/schemas/SamplingRatio'</w:t>
      </w:r>
    </w:p>
    <w:p w14:paraId="3B3EEB7A" w14:textId="77777777" w:rsidR="00AD5F95" w:rsidRDefault="00AD5F95" w:rsidP="00AD5F95">
      <w:pPr>
        <w:pStyle w:val="PL"/>
      </w:pPr>
      <w:r>
        <w:t xml:space="preserve">        confidence:</w:t>
      </w:r>
    </w:p>
    <w:p w14:paraId="77DC88A6" w14:textId="77777777" w:rsidR="007862A2" w:rsidRDefault="00AD5F95" w:rsidP="00AD5F95">
      <w:pPr>
        <w:pStyle w:val="PL"/>
      </w:pPr>
      <w:r>
        <w:t xml:space="preserve">          $ref: 'TS29571_CommonData.yaml#/components/schemas/Uinteger'</w:t>
      </w:r>
    </w:p>
    <w:p w14:paraId="627346A2" w14:textId="77777777" w:rsidR="00AD5F95" w:rsidRDefault="00AD5F95" w:rsidP="007862A2">
      <w:pPr>
        <w:pStyle w:val="PL"/>
      </w:pPr>
    </w:p>
    <w:p w14:paraId="7B699847" w14:textId="77777777" w:rsidR="007862A2" w:rsidRDefault="007862A2" w:rsidP="007862A2">
      <w:pPr>
        <w:pStyle w:val="PL"/>
      </w:pPr>
      <w:r>
        <w:t xml:space="preserve">    UeTrajectory:</w:t>
      </w:r>
    </w:p>
    <w:p w14:paraId="1D03DD6C" w14:textId="77777777" w:rsidR="007862A2" w:rsidRDefault="007862A2" w:rsidP="007862A2">
      <w:pPr>
        <w:pStyle w:val="PL"/>
      </w:pPr>
      <w:r>
        <w:t xml:space="preserve">      description: </w:t>
      </w:r>
      <w:r>
        <w:rPr>
          <w:lang w:val="en-US" w:eastAsia="zh-CN"/>
        </w:rPr>
        <w:t>Represents timestamped UE positions.</w:t>
      </w:r>
    </w:p>
    <w:p w14:paraId="38523501"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44C826C1" w14:textId="77777777" w:rsidR="007862A2" w:rsidRDefault="007862A2" w:rsidP="007862A2">
      <w:pPr>
        <w:pStyle w:val="PL"/>
      </w:pPr>
      <w:r>
        <w:t xml:space="preserve">      properties:</w:t>
      </w:r>
    </w:p>
    <w:p w14:paraId="4D838737" w14:textId="77777777" w:rsidR="007862A2" w:rsidRDefault="007862A2" w:rsidP="007862A2">
      <w:pPr>
        <w:pStyle w:val="PL"/>
      </w:pPr>
      <w:r>
        <w:t xml:space="preserve">        supi:</w:t>
      </w:r>
    </w:p>
    <w:p w14:paraId="49E71F4C" w14:textId="77777777" w:rsidR="007862A2" w:rsidRDefault="007862A2" w:rsidP="007862A2">
      <w:pPr>
        <w:pStyle w:val="PL"/>
      </w:pPr>
      <w:r>
        <w:t xml:space="preserve">          $ref: 'TS29571_CommonData.yaml#/components/schemas/Supi'</w:t>
      </w:r>
    </w:p>
    <w:p w14:paraId="42A88A0A" w14:textId="77777777" w:rsidR="007862A2" w:rsidRDefault="007862A2" w:rsidP="007862A2">
      <w:pPr>
        <w:pStyle w:val="PL"/>
      </w:pPr>
      <w:r>
        <w:t xml:space="preserve">        gpsi:</w:t>
      </w:r>
    </w:p>
    <w:p w14:paraId="56C47CE5" w14:textId="77777777" w:rsidR="007862A2" w:rsidRDefault="007862A2" w:rsidP="007862A2">
      <w:pPr>
        <w:pStyle w:val="PL"/>
      </w:pPr>
      <w:r>
        <w:t xml:space="preserve">          $ref: 'TS29571_CommonData.yaml#/components/schemas/Gpsi'</w:t>
      </w:r>
    </w:p>
    <w:p w14:paraId="4AF8402C" w14:textId="77777777" w:rsidR="007862A2" w:rsidRDefault="007862A2" w:rsidP="007862A2">
      <w:pPr>
        <w:pStyle w:val="PL"/>
      </w:pPr>
      <w:r>
        <w:t xml:space="preserve">        timestampedLocs:</w:t>
      </w:r>
    </w:p>
    <w:p w14:paraId="30C2AFCD" w14:textId="77777777" w:rsidR="007862A2" w:rsidRDefault="007862A2" w:rsidP="007862A2">
      <w:pPr>
        <w:pStyle w:val="PL"/>
      </w:pPr>
      <w:r>
        <w:t xml:space="preserve">          type: array</w:t>
      </w:r>
    </w:p>
    <w:p w14:paraId="37DF20D1" w14:textId="77777777" w:rsidR="007862A2" w:rsidRDefault="007862A2" w:rsidP="007862A2">
      <w:pPr>
        <w:pStyle w:val="PL"/>
      </w:pPr>
      <w:r>
        <w:t xml:space="preserve">          items:</w:t>
      </w:r>
    </w:p>
    <w:p w14:paraId="05FAC77F" w14:textId="77777777" w:rsidR="007862A2" w:rsidRDefault="007862A2" w:rsidP="007862A2">
      <w:pPr>
        <w:pStyle w:val="PL"/>
      </w:pPr>
      <w:r>
        <w:t xml:space="preserve">            $ref: '#/components/schemas/TimestampedLocation'</w:t>
      </w:r>
    </w:p>
    <w:p w14:paraId="00C41740" w14:textId="77777777" w:rsidR="007862A2" w:rsidRDefault="007862A2" w:rsidP="007862A2">
      <w:pPr>
        <w:pStyle w:val="PL"/>
      </w:pPr>
      <w:r>
        <w:t xml:space="preserve">          minItems: 1</w:t>
      </w:r>
    </w:p>
    <w:p w14:paraId="7DBCA9FE" w14:textId="77777777" w:rsidR="007862A2" w:rsidRDefault="007862A2" w:rsidP="007862A2">
      <w:pPr>
        <w:pStyle w:val="PL"/>
      </w:pPr>
      <w:r>
        <w:t xml:space="preserve">      required:</w:t>
      </w:r>
    </w:p>
    <w:p w14:paraId="49D27ADF" w14:textId="77777777" w:rsidR="007862A2" w:rsidRDefault="007862A2" w:rsidP="007862A2">
      <w:pPr>
        <w:pStyle w:val="PL"/>
      </w:pPr>
      <w:r>
        <w:t xml:space="preserve">        - timestampedLocs</w:t>
      </w:r>
    </w:p>
    <w:p w14:paraId="2AC09D4C" w14:textId="77777777" w:rsidR="007862A2" w:rsidRDefault="007862A2" w:rsidP="007862A2">
      <w:pPr>
        <w:pStyle w:val="PL"/>
      </w:pPr>
      <w:r>
        <w:t xml:space="preserve">      oneOf:</w:t>
      </w:r>
    </w:p>
    <w:p w14:paraId="3A5F2FB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required: [supi]</w:t>
      </w:r>
    </w:p>
    <w:p w14:paraId="70B782A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 required: [gpsi]</w:t>
      </w:r>
    </w:p>
    <w:p w14:paraId="4B1B6F4C" w14:textId="77777777" w:rsidR="007862A2" w:rsidRDefault="007862A2" w:rsidP="007862A2">
      <w:pPr>
        <w:pStyle w:val="PL"/>
      </w:pPr>
    </w:p>
    <w:p w14:paraId="7689868E" w14:textId="77777777" w:rsidR="00AD5F95" w:rsidRDefault="00AD5F95" w:rsidP="00AD5F95">
      <w:pPr>
        <w:pStyle w:val="PL"/>
      </w:pPr>
      <w:r>
        <w:t xml:space="preserve">    TimestampedLocation:</w:t>
      </w:r>
    </w:p>
    <w:p w14:paraId="14FBEE86" w14:textId="77777777" w:rsidR="00AD5F95" w:rsidRDefault="00AD5F95" w:rsidP="00AD5F95">
      <w:pPr>
        <w:pStyle w:val="PL"/>
      </w:pPr>
      <w:r>
        <w:t xml:space="preserve">      description: The timestamped locations of the trajectory of the UE</w:t>
      </w:r>
      <w:r>
        <w:rPr>
          <w:lang w:val="en-US" w:eastAsia="zh-CN"/>
        </w:rPr>
        <w:t>.</w:t>
      </w:r>
    </w:p>
    <w:p w14:paraId="1FFA44C0" w14:textId="77777777" w:rsidR="00AD5F95" w:rsidRPr="007B3BEB"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5F2C4AD2" w14:textId="77777777" w:rsidR="00AD5F95" w:rsidRDefault="00AD5F95" w:rsidP="00AD5F95">
      <w:pPr>
        <w:pStyle w:val="PL"/>
      </w:pPr>
      <w:r>
        <w:t xml:space="preserve">      properties:</w:t>
      </w:r>
    </w:p>
    <w:p w14:paraId="413F48A9" w14:textId="77777777" w:rsidR="00AD5F95" w:rsidRDefault="00AD5F95" w:rsidP="00AD5F95">
      <w:pPr>
        <w:pStyle w:val="PL"/>
      </w:pPr>
      <w:r>
        <w:t xml:space="preserve">        ts:</w:t>
      </w:r>
    </w:p>
    <w:p w14:paraId="33D3443A" w14:textId="77777777" w:rsidR="00AD5F95" w:rsidRDefault="00AD5F95" w:rsidP="00AD5F95">
      <w:pPr>
        <w:pStyle w:val="PL"/>
      </w:pPr>
      <w:r>
        <w:t xml:space="preserve">          $ref: 'TS29571_CommonData.yaml#/components/schemas/DateTime'</w:t>
      </w:r>
    </w:p>
    <w:p w14:paraId="4AED2DD3" w14:textId="77777777" w:rsidR="00AD5F95" w:rsidRDefault="00AD5F95" w:rsidP="00AD5F95">
      <w:pPr>
        <w:pStyle w:val="PL"/>
      </w:pPr>
      <w:r>
        <w:t xml:space="preserve">        locInfo:</w:t>
      </w:r>
    </w:p>
    <w:p w14:paraId="0803DFCE" w14:textId="77777777" w:rsidR="00AD5F95" w:rsidRDefault="00AD5F95" w:rsidP="00AD5F95">
      <w:pPr>
        <w:pStyle w:val="PL"/>
      </w:pPr>
      <w:r>
        <w:t xml:space="preserve">          $ref: '#/components/schemas/LocationInfo'</w:t>
      </w:r>
    </w:p>
    <w:p w14:paraId="17ADA7BF" w14:textId="77777777" w:rsidR="00AD5F95" w:rsidRDefault="00AD5F95" w:rsidP="00AD5F95">
      <w:pPr>
        <w:pStyle w:val="PL"/>
      </w:pPr>
      <w:r>
        <w:t xml:space="preserve">      </w:t>
      </w:r>
      <w:r w:rsidR="001F3260">
        <w:t>r</w:t>
      </w:r>
      <w:r>
        <w:t>equired:</w:t>
      </w:r>
    </w:p>
    <w:p w14:paraId="7C090FEB" w14:textId="77777777" w:rsidR="00AD5F95" w:rsidRDefault="00AD5F95" w:rsidP="00AD5F95">
      <w:pPr>
        <w:pStyle w:val="PL"/>
      </w:pPr>
      <w:r>
        <w:t xml:space="preserve">        - ts</w:t>
      </w:r>
    </w:p>
    <w:p w14:paraId="02B499CB" w14:textId="77777777" w:rsidR="00AD5F95" w:rsidRDefault="00AD5F95" w:rsidP="00AD5F95">
      <w:pPr>
        <w:pStyle w:val="PL"/>
      </w:pPr>
      <w:r>
        <w:t xml:space="preserve">        - locInfo</w:t>
      </w:r>
    </w:p>
    <w:p w14:paraId="657CB81E" w14:textId="77777777" w:rsidR="007862A2" w:rsidRDefault="007862A2" w:rsidP="007862A2">
      <w:pPr>
        <w:pStyle w:val="PL"/>
      </w:pPr>
    </w:p>
    <w:p w14:paraId="7CB039A7" w14:textId="77777777" w:rsidR="00AD5F95" w:rsidRDefault="00AD5F95" w:rsidP="00AD5F95">
      <w:pPr>
        <w:pStyle w:val="PL"/>
      </w:pPr>
      <w:r>
        <w:t xml:space="preserve">    TimeToCollisionInfo:</w:t>
      </w:r>
    </w:p>
    <w:p w14:paraId="0FA0BBF3" w14:textId="77777777" w:rsidR="00AD5F95" w:rsidRDefault="00AD5F95" w:rsidP="00AD5F95">
      <w:pPr>
        <w:pStyle w:val="PL"/>
      </w:pPr>
      <w:r>
        <w:lastRenderedPageBreak/>
        <w:t xml:space="preserve">      description: </w:t>
      </w:r>
      <w:r>
        <w:rPr>
          <w:lang w:val="en-US" w:eastAsia="zh-CN"/>
        </w:rPr>
        <w:t>Represents</w:t>
      </w:r>
      <w:r>
        <w:t xml:space="preserve"> </w:t>
      </w:r>
      <w:r>
        <w:rPr>
          <w:lang w:val="en-US" w:eastAsia="zh-CN"/>
        </w:rPr>
        <w:t>Time To Collision (TTC) information.</w:t>
      </w:r>
    </w:p>
    <w:p w14:paraId="24570B8E" w14:textId="77777777" w:rsidR="00AD5F95" w:rsidRPr="007B3BEB"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3A631BDB" w14:textId="77777777" w:rsidR="00AD5F95" w:rsidRDefault="00AD5F95" w:rsidP="00AD5F95">
      <w:pPr>
        <w:pStyle w:val="PL"/>
      </w:pPr>
      <w:r>
        <w:t xml:space="preserve">      properties:</w:t>
      </w:r>
    </w:p>
    <w:p w14:paraId="07306F2A" w14:textId="77777777" w:rsidR="00AD5F95" w:rsidRDefault="00AD5F95" w:rsidP="00AD5F95">
      <w:pPr>
        <w:pStyle w:val="PL"/>
      </w:pPr>
      <w:r>
        <w:t xml:space="preserve">        ttc:</w:t>
      </w:r>
    </w:p>
    <w:p w14:paraId="68254020" w14:textId="77777777" w:rsidR="00AD5F95" w:rsidRDefault="00AD5F95" w:rsidP="00AD5F95">
      <w:pPr>
        <w:pStyle w:val="PL"/>
      </w:pPr>
      <w:r>
        <w:t xml:space="preserve">          $ref: 'TS29571_CommonData.yaml#/components/schemas/DateTime'</w:t>
      </w:r>
    </w:p>
    <w:p w14:paraId="7819E95B" w14:textId="77777777" w:rsidR="00AD5F95" w:rsidRDefault="00AD5F95" w:rsidP="00AD5F95">
      <w:pPr>
        <w:pStyle w:val="PL"/>
      </w:pPr>
      <w:r>
        <w:t xml:space="preserve">        accuracy:</w:t>
      </w:r>
    </w:p>
    <w:p w14:paraId="151A512E" w14:textId="77777777" w:rsidR="00AD5F95" w:rsidRDefault="00AD5F95" w:rsidP="00AD5F95">
      <w:pPr>
        <w:pStyle w:val="PL"/>
      </w:pPr>
      <w:r>
        <w:t xml:space="preserve">          $ref: 'TS29571_CommonData.yaml#/components/schemas/Uinteger'</w:t>
      </w:r>
    </w:p>
    <w:p w14:paraId="2DA914C6" w14:textId="77777777" w:rsidR="00AD5F95" w:rsidRDefault="00AD5F95" w:rsidP="00AD5F95">
      <w:pPr>
        <w:pStyle w:val="PL"/>
      </w:pPr>
      <w:r>
        <w:t xml:space="preserve">        confidence:</w:t>
      </w:r>
    </w:p>
    <w:p w14:paraId="4A8EB936" w14:textId="77777777" w:rsidR="00AD5F95" w:rsidRPr="0076721C" w:rsidRDefault="00AD5F95" w:rsidP="00AD5F95">
      <w:pPr>
        <w:pStyle w:val="PL"/>
      </w:pPr>
      <w:r>
        <w:t xml:space="preserve">          $ref: 'TS29571_CommonData.yaml#/components/schemas/Uinteger'</w:t>
      </w:r>
    </w:p>
    <w:p w14:paraId="606418D1"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w:t>
      </w:r>
      <w:r>
        <w:rPr>
          <w:rFonts w:ascii="Courier New" w:hAnsi="Courier New"/>
          <w:sz w:val="16"/>
        </w:rPr>
        <w:t>collisionSpace</w:t>
      </w:r>
      <w:r w:rsidRPr="009072B2">
        <w:rPr>
          <w:rFonts w:ascii="Courier New" w:hAnsi="Courier New"/>
          <w:sz w:val="16"/>
        </w:rPr>
        <w:t>:</w:t>
      </w:r>
    </w:p>
    <w:p w14:paraId="7B18FFB6"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4711B">
        <w:rPr>
          <w:rFonts w:ascii="Courier New" w:hAnsi="Courier New"/>
          <w:sz w:val="16"/>
        </w:rPr>
        <w:t xml:space="preserve">          $ref: 'TS29572_Nlmf_Location.yaml#/components/schemas/PointAltitudeUncertainty'</w:t>
      </w:r>
    </w:p>
    <w:p w14:paraId="0916D7A4" w14:textId="77777777" w:rsidR="00AD5F95" w:rsidRPr="002602C3"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602C3">
        <w:rPr>
          <w:rFonts w:ascii="Courier New" w:hAnsi="Courier New"/>
          <w:sz w:val="16"/>
        </w:rPr>
        <w:t xml:space="preserve">        col</w:t>
      </w:r>
      <w:r>
        <w:rPr>
          <w:rFonts w:ascii="Courier New" w:hAnsi="Courier New"/>
          <w:sz w:val="16"/>
        </w:rPr>
        <w:t>Spc</w:t>
      </w:r>
      <w:r w:rsidRPr="002602C3">
        <w:rPr>
          <w:rFonts w:ascii="Courier New" w:hAnsi="Courier New"/>
          <w:sz w:val="16"/>
        </w:rPr>
        <w:t>Confidence:</w:t>
      </w:r>
    </w:p>
    <w:p w14:paraId="4C5B5F0E" w14:textId="77777777" w:rsidR="00AD5F95"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602C3">
        <w:rPr>
          <w:rFonts w:ascii="Courier New" w:hAnsi="Courier New"/>
          <w:sz w:val="16"/>
        </w:rPr>
        <w:t xml:space="preserve">          $ref: 'TS29571_CommonData.yaml#/components/schemas/Uinteger'</w:t>
      </w:r>
    </w:p>
    <w:p w14:paraId="685A89EE"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colli</w:t>
      </w:r>
      <w:r>
        <w:rPr>
          <w:rFonts w:ascii="Courier New" w:hAnsi="Courier New"/>
          <w:sz w:val="16"/>
        </w:rPr>
        <w:t>Direction</w:t>
      </w:r>
      <w:r w:rsidRPr="009072B2">
        <w:rPr>
          <w:rFonts w:ascii="Courier New" w:hAnsi="Courier New"/>
          <w:sz w:val="16"/>
        </w:rPr>
        <w:t>:</w:t>
      </w:r>
    </w:p>
    <w:p w14:paraId="746A543D" w14:textId="77777777" w:rsidR="00AD5F95"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4711B">
        <w:rPr>
          <w:rFonts w:ascii="Courier New" w:hAnsi="Courier New"/>
          <w:sz w:val="16"/>
        </w:rPr>
        <w:t xml:space="preserve">          $ref: 'TS29572_Nlmf_Location.yaml#/components/schemas/</w:t>
      </w:r>
      <w:r>
        <w:rPr>
          <w:rFonts w:ascii="Courier New" w:hAnsi="Courier New"/>
          <w:sz w:val="16"/>
        </w:rPr>
        <w:t>RangeDirection</w:t>
      </w:r>
      <w:r w:rsidRPr="00B4711B">
        <w:rPr>
          <w:rFonts w:ascii="Courier New" w:hAnsi="Courier New"/>
          <w:sz w:val="16"/>
        </w:rPr>
        <w:t>'</w:t>
      </w:r>
    </w:p>
    <w:p w14:paraId="2E2E8DC4"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w:t>
      </w:r>
      <w:r>
        <w:rPr>
          <w:rFonts w:ascii="Courier New" w:hAnsi="Courier New"/>
          <w:sz w:val="16"/>
        </w:rPr>
        <w:t>colDirC</w:t>
      </w:r>
      <w:r w:rsidRPr="009072B2">
        <w:rPr>
          <w:rFonts w:ascii="Courier New" w:hAnsi="Courier New"/>
          <w:sz w:val="16"/>
        </w:rPr>
        <w:t>onfidence:</w:t>
      </w:r>
    </w:p>
    <w:p w14:paraId="4B01575E" w14:textId="77777777" w:rsidR="00AD5F95"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$ref: 'TS29571_CommonData.yaml#/components/schemas/Uinteger'</w:t>
      </w:r>
    </w:p>
    <w:p w14:paraId="0D818FB6"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w:t>
      </w:r>
      <w:r>
        <w:rPr>
          <w:rFonts w:ascii="Courier New" w:hAnsi="Courier New"/>
          <w:sz w:val="16"/>
        </w:rPr>
        <w:t>colDirA</w:t>
      </w:r>
      <w:r w:rsidRPr="009072B2">
        <w:rPr>
          <w:rFonts w:ascii="Courier New" w:hAnsi="Courier New"/>
          <w:sz w:val="16"/>
        </w:rPr>
        <w:t>ccuracy:</w:t>
      </w:r>
    </w:p>
    <w:p w14:paraId="3E72F56F" w14:textId="77777777" w:rsidR="00AD5F95" w:rsidRPr="009072B2" w:rsidRDefault="00AD5F95" w:rsidP="00AD5F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072B2">
        <w:rPr>
          <w:rFonts w:ascii="Courier New" w:hAnsi="Courier New"/>
          <w:sz w:val="16"/>
        </w:rPr>
        <w:t xml:space="preserve">          $ref: 'TS29571_CommonData.yaml#/components/schemas/Uinteger'</w:t>
      </w:r>
    </w:p>
    <w:p w14:paraId="5B3E85A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899575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AnalyticsFeedbackInfo:</w:t>
      </w:r>
    </w:p>
    <w:p w14:paraId="7DB7927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Pr>
          <w:rFonts w:ascii="Courier New" w:hAnsi="Courier New"/>
          <w:sz w:val="16"/>
          <w:lang w:eastAsia="ko-KR"/>
        </w:rPr>
        <w:t>Analytics feedback information</w:t>
      </w:r>
      <w:r>
        <w:rPr>
          <w:rFonts w:ascii="Courier New" w:hAnsi="Courier New"/>
          <w:sz w:val="16"/>
          <w:lang w:val="en-US" w:eastAsia="zh-CN"/>
        </w:rPr>
        <w:t>.</w:t>
      </w:r>
    </w:p>
    <w:p w14:paraId="067BE456" w14:textId="77777777" w:rsidR="007862A2" w:rsidRPr="007B3BEB"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val="en-US" w:eastAsia="zh-CN"/>
        </w:rPr>
        <w:t xml:space="preserve">      type: object</w:t>
      </w:r>
    </w:p>
    <w:p w14:paraId="59F374C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BD3152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actionTimes</w:t>
      </w:r>
      <w:r>
        <w:rPr>
          <w:rFonts w:ascii="Courier New" w:hAnsi="Courier New"/>
          <w:sz w:val="16"/>
        </w:rPr>
        <w:t>:</w:t>
      </w:r>
    </w:p>
    <w:p w14:paraId="1BE09CB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12E80C7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B32123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'TS29571_CommonData.yaml#/components/schemas/DateTime'</w:t>
      </w:r>
    </w:p>
    <w:p w14:paraId="7AF250B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D0ED93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The times at which an action was taken.</w:t>
      </w:r>
    </w:p>
    <w:p w14:paraId="7DAEF18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usedAnaTypes</w:t>
      </w:r>
      <w:r>
        <w:rPr>
          <w:rFonts w:ascii="Courier New" w:hAnsi="Courier New"/>
          <w:sz w:val="16"/>
        </w:rPr>
        <w:t>:</w:t>
      </w:r>
    </w:p>
    <w:p w14:paraId="3B73F7B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AF3327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EE423A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'#/components/schemas/NwdafEvent'</w:t>
      </w:r>
    </w:p>
    <w:p w14:paraId="613778A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281D96F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The analytics types that were used to take the action.</w:t>
      </w:r>
    </w:p>
    <w:p w14:paraId="1235167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impactInd:</w:t>
      </w:r>
    </w:p>
    <w:p w14:paraId="19AC78F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08A8DD5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Indication about the impact of an action on the ground truth data.</w:t>
      </w:r>
    </w:p>
    <w:p w14:paraId="513F3A8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01B424A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Pr>
          <w:rFonts w:ascii="Courier New" w:hAnsi="Courier New"/>
          <w:sz w:val="16"/>
          <w:lang w:eastAsia="zh-CN"/>
        </w:rPr>
        <w:t>actionTimes</w:t>
      </w:r>
    </w:p>
    <w:p w14:paraId="76EFFB6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F8D8B1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RoamingInfo:</w:t>
      </w:r>
    </w:p>
    <w:p w14:paraId="241E0A4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description: </w:t>
      </w:r>
      <w:r>
        <w:rPr>
          <w:rFonts w:ascii="Courier New" w:hAnsi="Courier New"/>
          <w:sz w:val="16"/>
          <w:lang w:eastAsia="ko-KR"/>
        </w:rPr>
        <w:t>Information related to roaming analytics</w:t>
      </w:r>
      <w:r>
        <w:rPr>
          <w:rFonts w:ascii="Courier New" w:hAnsi="Courier New"/>
          <w:sz w:val="16"/>
          <w:lang w:val="en-US" w:eastAsia="zh-CN"/>
        </w:rPr>
        <w:t>.</w:t>
      </w:r>
    </w:p>
    <w:p w14:paraId="2F7D620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82628F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AFD78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Pr>
          <w:rFonts w:ascii="Courier New" w:hAnsi="Courier New"/>
          <w:sz w:val="16"/>
          <w:lang w:eastAsia="zh-CN"/>
        </w:rPr>
        <w:t>plmnId:</w:t>
      </w:r>
    </w:p>
    <w:p w14:paraId="18F8FD7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'TS29571_CommonData.yaml#/components/schemas/PlmnIdNid'</w:t>
      </w:r>
    </w:p>
    <w:p w14:paraId="232190D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aois:</w:t>
      </w:r>
    </w:p>
    <w:p w14:paraId="59BE0ED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B4C820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124652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'TS29522_AMPolicyAuthorization.yaml#/components/schemas/GeographicalArea'</w:t>
      </w:r>
    </w:p>
    <w:p w14:paraId="1C48C47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2EA5A72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Areas of Interest in the HPLMN or the VPLMN.</w:t>
      </w:r>
    </w:p>
    <w:p w14:paraId="240962A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servingNfIds:</w:t>
      </w:r>
    </w:p>
    <w:p w14:paraId="171B377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0A2C18B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8BDE7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'TS29571_CommonData.yaml#/components/schemas/NfInstanceId'</w:t>
      </w:r>
    </w:p>
    <w:p w14:paraId="085B4F8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206597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Pr>
          <w:rFonts w:ascii="Courier New" w:hAnsi="Courier New"/>
          <w:sz w:val="16"/>
          <w:lang w:val="en-US"/>
        </w:rPr>
        <w:t>NF ID(s) of the NF(s) serving the roaming UE(s) in the VPLMN</w:t>
      </w:r>
      <w:r>
        <w:rPr>
          <w:rFonts w:ascii="Courier New" w:hAnsi="Courier New"/>
          <w:sz w:val="16"/>
        </w:rPr>
        <w:t>.</w:t>
      </w:r>
    </w:p>
    <w:p w14:paraId="38A1F96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servingNfSetIds:</w:t>
      </w:r>
    </w:p>
    <w:p w14:paraId="38E9A47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7657E82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25715E4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'TS29571_CommonData.yaml#/components/schemas/NfSetId'</w:t>
      </w:r>
    </w:p>
    <w:p w14:paraId="093BBD3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53D6A98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Pr>
          <w:rFonts w:ascii="Courier New" w:hAnsi="Courier New"/>
          <w:sz w:val="16"/>
          <w:lang w:val="en-US"/>
        </w:rPr>
        <w:t>NF Set ID(s) of the NF Set(s) serving the roaming UE(s) in the VPLMN</w:t>
      </w:r>
      <w:r>
        <w:rPr>
          <w:rFonts w:ascii="Courier New" w:hAnsi="Courier New"/>
          <w:sz w:val="16"/>
        </w:rPr>
        <w:t>.</w:t>
      </w:r>
    </w:p>
    <w:p w14:paraId="6D32122E"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4F057C3"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sz w:val="16"/>
        </w:rPr>
        <w:t>SignalStormReq</w:t>
      </w:r>
      <w:r>
        <w:rPr>
          <w:rFonts w:ascii="Courier New" w:hAnsi="Courier New"/>
          <w:sz w:val="16"/>
        </w:rPr>
        <w:t>:</w:t>
      </w:r>
    </w:p>
    <w:p w14:paraId="0363A0CC" w14:textId="77777777" w:rsidR="00991119" w:rsidRPr="00685A57"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requirement information.</w:t>
      </w:r>
    </w:p>
    <w:p w14:paraId="201C5421"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9D43B4B"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4BD57B3A" w14:textId="570DB96D"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tgtN</w:t>
      </w:r>
      <w:r w:rsidRPr="00685A57">
        <w:rPr>
          <w:rFonts w:ascii="Courier New" w:hAnsi="Courier New"/>
          <w:sz w:val="16"/>
        </w:rPr>
        <w:t>fInstanceIds</w:t>
      </w:r>
      <w:r>
        <w:rPr>
          <w:rFonts w:ascii="Courier New" w:hAnsi="Courier New"/>
          <w:sz w:val="16"/>
        </w:rPr>
        <w:t>:</w:t>
      </w:r>
    </w:p>
    <w:p w14:paraId="57E54A78"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1266B4B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93073A8"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$ref: 'TS29571_CommonData.yaml#/components/schemas/NfInstanceId'</w:t>
      </w:r>
    </w:p>
    <w:p w14:paraId="22D1A1F7"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5F3F4178" w14:textId="448F754C"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tgtN</w:t>
      </w:r>
      <w:r w:rsidRPr="00B546D2">
        <w:rPr>
          <w:rFonts w:ascii="Courier New" w:hAnsi="Courier New"/>
          <w:sz w:val="16"/>
        </w:rPr>
        <w:t>fSetIds:</w:t>
      </w:r>
    </w:p>
    <w:p w14:paraId="643610DD"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type: array</w:t>
      </w:r>
    </w:p>
    <w:p w14:paraId="0931E427"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lastRenderedPageBreak/>
        <w:t xml:space="preserve">          items:</w:t>
      </w:r>
    </w:p>
    <w:p w14:paraId="5A0A54ED"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$ref: 'TS29571_CommonData.yaml#/components/schemas/NfSetId'</w:t>
      </w:r>
    </w:p>
    <w:p w14:paraId="5969011B" w14:textId="77777777" w:rsidR="00A42460" w:rsidRPr="00B546D2"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minItems: 1</w:t>
      </w:r>
    </w:p>
    <w:p w14:paraId="2C5C5010" w14:textId="77777777" w:rsidR="00A42460" w:rsidRDefault="00A42460" w:rsidP="00A42460">
      <w:pPr>
        <w:pStyle w:val="PL"/>
      </w:pPr>
      <w:r>
        <w:t xml:space="preserve">        intGroupIds:</w:t>
      </w:r>
    </w:p>
    <w:p w14:paraId="6C7834D3" w14:textId="77777777" w:rsidR="00A42460" w:rsidRDefault="00A42460" w:rsidP="00A42460">
      <w:pPr>
        <w:pStyle w:val="PL"/>
      </w:pPr>
      <w:r>
        <w:t xml:space="preserve">          type: array</w:t>
      </w:r>
    </w:p>
    <w:p w14:paraId="5A8F79A3" w14:textId="77777777" w:rsidR="00A42460" w:rsidRDefault="00A42460" w:rsidP="00A42460">
      <w:pPr>
        <w:pStyle w:val="PL"/>
      </w:pPr>
      <w:r>
        <w:t xml:space="preserve">          items:</w:t>
      </w:r>
    </w:p>
    <w:p w14:paraId="4D3A4D23" w14:textId="77777777" w:rsidR="00A42460" w:rsidRDefault="00A42460" w:rsidP="00A42460">
      <w:pPr>
        <w:pStyle w:val="PL"/>
      </w:pPr>
      <w:r>
        <w:t xml:space="preserve">            </w:t>
      </w:r>
      <w:r w:rsidRPr="008B1C02">
        <w:t>$ref: 'TS29122_CommonData.yaml#/components/schemas/ExternalGroupId'</w:t>
      </w:r>
    </w:p>
    <w:p w14:paraId="50AE1945" w14:textId="77777777" w:rsidR="00A42460" w:rsidRDefault="00A42460" w:rsidP="00A42460">
      <w:pPr>
        <w:pStyle w:val="PL"/>
      </w:pPr>
      <w:r>
        <w:t xml:space="preserve">          minItems: 1</w:t>
      </w:r>
    </w:p>
    <w:p w14:paraId="420C58F0" w14:textId="77777777" w:rsidR="00A42460" w:rsidRDefault="00A42460" w:rsidP="00A42460">
      <w:pPr>
        <w:pStyle w:val="PL"/>
      </w:pPr>
      <w:r>
        <w:t xml:space="preserve">        </w:t>
      </w:r>
      <w:r w:rsidRPr="00FD76A6">
        <w:t>exterGroupId</w:t>
      </w:r>
      <w:r>
        <w:t>s:</w:t>
      </w:r>
    </w:p>
    <w:p w14:paraId="6EBCC61A" w14:textId="77777777" w:rsidR="00A42460" w:rsidRDefault="00A42460" w:rsidP="00A42460">
      <w:pPr>
        <w:pStyle w:val="PL"/>
      </w:pPr>
      <w:r>
        <w:t xml:space="preserve">          type: array</w:t>
      </w:r>
    </w:p>
    <w:p w14:paraId="5B08C842" w14:textId="77777777" w:rsidR="00A42460" w:rsidRDefault="00A42460" w:rsidP="00A42460">
      <w:pPr>
        <w:pStyle w:val="PL"/>
      </w:pPr>
      <w:r>
        <w:t xml:space="preserve">          items:</w:t>
      </w:r>
    </w:p>
    <w:p w14:paraId="7AF76CB5" w14:textId="77777777" w:rsidR="00A42460" w:rsidRDefault="00A42460" w:rsidP="00A42460">
      <w:pPr>
        <w:pStyle w:val="PL"/>
      </w:pPr>
      <w:r>
        <w:t xml:space="preserve">            $ref: 'TS29571_CommonData.yaml#/components/schemas/GroupId'</w:t>
      </w:r>
    </w:p>
    <w:p w14:paraId="011248B4" w14:textId="77777777" w:rsidR="00A42460" w:rsidRDefault="00A42460" w:rsidP="00A42460">
      <w:pPr>
        <w:pStyle w:val="PL"/>
      </w:pPr>
      <w:r>
        <w:t xml:space="preserve">          minItems: 1</w:t>
      </w:r>
    </w:p>
    <w:p w14:paraId="357BD910" w14:textId="77777777" w:rsidR="00A42460" w:rsidRDefault="00A42460" w:rsidP="00A42460">
      <w:pPr>
        <w:pStyle w:val="PL"/>
      </w:pPr>
      <w:r>
        <w:t xml:space="preserve">        supis:</w:t>
      </w:r>
    </w:p>
    <w:p w14:paraId="6B431314" w14:textId="77777777" w:rsidR="00A42460" w:rsidRDefault="00A42460" w:rsidP="00A42460">
      <w:pPr>
        <w:pStyle w:val="PL"/>
      </w:pPr>
      <w:r>
        <w:t xml:space="preserve">          type: array</w:t>
      </w:r>
    </w:p>
    <w:p w14:paraId="073FCA86" w14:textId="77777777" w:rsidR="00A42460" w:rsidRDefault="00A42460" w:rsidP="00A42460">
      <w:pPr>
        <w:pStyle w:val="PL"/>
      </w:pPr>
      <w:r>
        <w:t xml:space="preserve">          items:</w:t>
      </w:r>
    </w:p>
    <w:p w14:paraId="35492BA8" w14:textId="77777777" w:rsidR="00A42460" w:rsidRDefault="00A42460" w:rsidP="00A42460">
      <w:pPr>
        <w:pStyle w:val="PL"/>
      </w:pPr>
      <w:r>
        <w:t xml:space="preserve">            $ref: 'TS29571_CommonData.yaml#/components/schemas/Supi'</w:t>
      </w:r>
    </w:p>
    <w:p w14:paraId="531C8F9E" w14:textId="77777777" w:rsidR="00A42460" w:rsidRDefault="00A42460" w:rsidP="00A42460">
      <w:pPr>
        <w:pStyle w:val="PL"/>
      </w:pPr>
      <w:r>
        <w:t xml:space="preserve">          minItems: 1</w:t>
      </w:r>
    </w:p>
    <w:p w14:paraId="09BE7419" w14:textId="77777777" w:rsidR="00A42460" w:rsidRDefault="00A42460" w:rsidP="00A42460">
      <w:pPr>
        <w:pStyle w:val="PL"/>
      </w:pPr>
      <w:r>
        <w:t xml:space="preserve">        gpsis:</w:t>
      </w:r>
    </w:p>
    <w:p w14:paraId="6A78926F" w14:textId="77777777" w:rsidR="00A42460" w:rsidRDefault="00A42460" w:rsidP="00A42460">
      <w:pPr>
        <w:pStyle w:val="PL"/>
      </w:pPr>
      <w:r>
        <w:t xml:space="preserve">          type: array</w:t>
      </w:r>
    </w:p>
    <w:p w14:paraId="2E96A4BC" w14:textId="77777777" w:rsidR="00A42460" w:rsidRDefault="00A42460" w:rsidP="00A42460">
      <w:pPr>
        <w:pStyle w:val="PL"/>
      </w:pPr>
      <w:r>
        <w:t xml:space="preserve">          items:</w:t>
      </w:r>
    </w:p>
    <w:p w14:paraId="643A962A" w14:textId="77777777" w:rsidR="00A42460" w:rsidRDefault="00A42460" w:rsidP="00A42460">
      <w:pPr>
        <w:pStyle w:val="PL"/>
      </w:pPr>
      <w:r>
        <w:t xml:space="preserve">            $ref: 'TS29571_CommonData.yaml#/components/schemas/Gpsi'</w:t>
      </w:r>
    </w:p>
    <w:p w14:paraId="369FA93E" w14:textId="77777777" w:rsidR="00A42460" w:rsidRDefault="00A42460" w:rsidP="00A42460">
      <w:pPr>
        <w:pStyle w:val="PL"/>
      </w:pPr>
      <w:r>
        <w:t xml:space="preserve">          minItems: 1</w:t>
      </w:r>
    </w:p>
    <w:p w14:paraId="262C7D27"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tgtCause</w:t>
      </w:r>
      <w:r w:rsidRPr="00685A57">
        <w:rPr>
          <w:rFonts w:ascii="Courier New" w:hAnsi="Courier New"/>
          <w:sz w:val="16"/>
        </w:rPr>
        <w:t>Ids</w:t>
      </w:r>
      <w:r>
        <w:rPr>
          <w:rFonts w:ascii="Courier New" w:hAnsi="Courier New"/>
          <w:sz w:val="16"/>
        </w:rPr>
        <w:t>:</w:t>
      </w:r>
    </w:p>
    <w:p w14:paraId="13C9FB8A"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6C3A3B7"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A6C815D" w14:textId="77777777" w:rsidR="00991119" w:rsidRDefault="00991119" w:rsidP="00991119">
      <w:pPr>
        <w:pStyle w:val="PL"/>
      </w:pPr>
      <w:r>
        <w:t xml:space="preserve">            $ref: '#/components/schemas/Target</w:t>
      </w:r>
      <w:r>
        <w:rPr>
          <w:rFonts w:hint="eastAsia"/>
          <w:lang w:eastAsia="zh-CN"/>
        </w:rPr>
        <w:t>Cause</w:t>
      </w:r>
      <w:r>
        <w:t>Id'</w:t>
      </w:r>
    </w:p>
    <w:p w14:paraId="0FABBD7B"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A90D25A"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Indicates the target </w:t>
      </w:r>
      <w:r>
        <w:rPr>
          <w:rFonts w:ascii="Courier New" w:hAnsi="Courier New"/>
          <w:sz w:val="16"/>
        </w:rPr>
        <w:t>cause</w:t>
      </w:r>
      <w:r w:rsidRPr="00685A57">
        <w:rPr>
          <w:rFonts w:ascii="Courier New" w:hAnsi="Courier New" w:hint="eastAsia"/>
          <w:sz w:val="16"/>
        </w:rPr>
        <w:t xml:space="preserve"> ID(s)</w:t>
      </w:r>
      <w:r w:rsidRPr="00685A57">
        <w:rPr>
          <w:rFonts w:ascii="Courier New" w:hAnsi="Courier New"/>
          <w:sz w:val="16"/>
        </w:rPr>
        <w:t>.</w:t>
      </w:r>
    </w:p>
    <w:p w14:paraId="30E2A927" w14:textId="77777777" w:rsidR="00A42460"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90E5D">
        <w:rPr>
          <w:rFonts w:ascii="Courier New" w:hAnsi="Courier New"/>
          <w:sz w:val="16"/>
        </w:rPr>
        <w:t>thrPeriod</w:t>
      </w:r>
      <w:r>
        <w:rPr>
          <w:rFonts w:ascii="Courier New" w:hAnsi="Courier New"/>
          <w:sz w:val="16"/>
        </w:rPr>
        <w:t>:</w:t>
      </w:r>
    </w:p>
    <w:p w14:paraId="02800A93" w14:textId="77777777" w:rsidR="00A42460" w:rsidRDefault="00A42460" w:rsidP="00A42460">
      <w:pPr>
        <w:pStyle w:val="PL"/>
      </w:pPr>
      <w:r>
        <w:t xml:space="preserve">          </w:t>
      </w:r>
      <w:r w:rsidRPr="00E13500">
        <w:t>$ref: 'TS29571_CommonData.yaml#/components/schemas/DurationSec'</w:t>
      </w:r>
    </w:p>
    <w:p w14:paraId="05224EDF" w14:textId="77777777" w:rsidR="00991119" w:rsidRDefault="00A42460" w:rsidP="00A424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90E5D">
        <w:rPr>
          <w:rFonts w:ascii="Courier New" w:hAnsi="Courier New"/>
          <w:sz w:val="16"/>
        </w:rPr>
        <w:t>sigFreqThr</w:t>
      </w:r>
      <w:r>
        <w:rPr>
          <w:rFonts w:ascii="Courier New" w:hAnsi="Courier New"/>
          <w:sz w:val="16"/>
        </w:rPr>
        <w:t>:</w:t>
      </w:r>
    </w:p>
    <w:p w14:paraId="10386D9A" w14:textId="77777777" w:rsidR="00991119" w:rsidRDefault="00991119" w:rsidP="00991119">
      <w:pPr>
        <w:pStyle w:val="PL"/>
      </w:pPr>
      <w:r>
        <w:t xml:space="preserve">          $ref: 'TS29571_CommonData.yaml#/components/schemas/Uinteger'</w:t>
      </w:r>
    </w:p>
    <w:p w14:paraId="5FD153F9"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hint="eastAsia"/>
          <w:sz w:val="16"/>
        </w:rPr>
        <w:t>u</w:t>
      </w:r>
      <w:r w:rsidRPr="00685A57">
        <w:rPr>
          <w:rFonts w:ascii="Courier New" w:hAnsi="Courier New"/>
          <w:sz w:val="16"/>
        </w:rPr>
        <w:t>eReqThr</w:t>
      </w:r>
      <w:r>
        <w:rPr>
          <w:rFonts w:ascii="Courier New" w:hAnsi="Courier New"/>
          <w:sz w:val="16"/>
        </w:rPr>
        <w:t>:</w:t>
      </w:r>
    </w:p>
    <w:p w14:paraId="7C8F5A65" w14:textId="77777777" w:rsidR="00991119" w:rsidRDefault="00991119" w:rsidP="00991119">
      <w:pPr>
        <w:pStyle w:val="PL"/>
      </w:pPr>
      <w:r>
        <w:t xml:space="preserve">          $ref: 'TS29571_CommonData.yaml#/components/schemas/Uinteger'</w:t>
      </w:r>
    </w:p>
    <w:p w14:paraId="228BE29C" w14:textId="77777777" w:rsidR="00991119" w:rsidRDefault="00991119" w:rsidP="009911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hint="eastAsia"/>
          <w:sz w:val="16"/>
        </w:rPr>
        <w:t>u</w:t>
      </w:r>
      <w:r w:rsidRPr="00685A57">
        <w:rPr>
          <w:rFonts w:ascii="Courier New" w:hAnsi="Courier New"/>
          <w:sz w:val="16"/>
        </w:rPr>
        <w:t>eNumThr</w:t>
      </w:r>
      <w:r>
        <w:rPr>
          <w:rFonts w:ascii="Courier New" w:hAnsi="Courier New"/>
          <w:sz w:val="16"/>
        </w:rPr>
        <w:t>:</w:t>
      </w:r>
    </w:p>
    <w:p w14:paraId="6B812F58" w14:textId="77777777" w:rsidR="00991119" w:rsidRDefault="00991119" w:rsidP="00991119">
      <w:pPr>
        <w:pStyle w:val="PL"/>
      </w:pPr>
      <w:r>
        <w:t xml:space="preserve">          $ref: 'TS29571_CommonData.yaml#/components/schemas/Uinteger'</w:t>
      </w:r>
    </w:p>
    <w:p w14:paraId="56023768" w14:textId="77777777" w:rsidR="00143F25" w:rsidRDefault="00143F25" w:rsidP="00143F25">
      <w:pPr>
        <w:pStyle w:val="PL"/>
        <w:rPr>
          <w:rFonts w:cs="Courier New"/>
          <w:szCs w:val="16"/>
        </w:rPr>
      </w:pPr>
    </w:p>
    <w:p w14:paraId="38A6D3D5"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685A57">
        <w:rPr>
          <w:rFonts w:ascii="Courier New" w:hAnsi="Courier New"/>
          <w:sz w:val="16"/>
        </w:rPr>
        <w:t>SignalStormInfo</w:t>
      </w:r>
      <w:r>
        <w:rPr>
          <w:rFonts w:ascii="Courier New" w:hAnsi="Courier New"/>
          <w:sz w:val="16"/>
        </w:rPr>
        <w:t>:</w:t>
      </w:r>
    </w:p>
    <w:p w14:paraId="731969E4" w14:textId="77777777" w:rsidR="00183EFC" w:rsidRPr="00685A57"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information.</w:t>
      </w:r>
    </w:p>
    <w:p w14:paraId="31005607"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74F10A4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E254247" w14:textId="4E93B143"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tgtN</w:t>
      </w:r>
      <w:r w:rsidRPr="00685A57">
        <w:rPr>
          <w:rFonts w:ascii="Courier New" w:hAnsi="Courier New"/>
          <w:sz w:val="16"/>
        </w:rPr>
        <w:t>fInstanceIds</w:t>
      </w:r>
      <w:r>
        <w:rPr>
          <w:rFonts w:ascii="Courier New" w:hAnsi="Courier New"/>
          <w:sz w:val="16"/>
        </w:rPr>
        <w:t>:</w:t>
      </w:r>
    </w:p>
    <w:p w14:paraId="566C8604"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1C5E3AB2"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5FE8013"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$ref: 'TS29571_CommonData.yaml#/components/schemas/NfInstanceId'</w:t>
      </w:r>
    </w:p>
    <w:p w14:paraId="6F8448B1"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0E5AEC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instance ID(s) of the </w:t>
      </w:r>
      <w:r>
        <w:rPr>
          <w:rFonts w:ascii="Courier New" w:hAnsi="Courier New"/>
          <w:sz w:val="16"/>
        </w:rPr>
        <w:t xml:space="preserve">target </w:t>
      </w:r>
      <w:r w:rsidRPr="00081F64">
        <w:rPr>
          <w:rFonts w:ascii="Courier New" w:hAnsi="Courier New"/>
          <w:sz w:val="16"/>
        </w:rPr>
        <w:t>NFs impacted by the signal</w:t>
      </w:r>
      <w:r>
        <w:rPr>
          <w:rFonts w:ascii="Courier New" w:hAnsi="Courier New"/>
          <w:sz w:val="16"/>
        </w:rPr>
        <w:t>l</w:t>
      </w:r>
      <w:r w:rsidRPr="00081F64">
        <w:rPr>
          <w:rFonts w:ascii="Courier New" w:hAnsi="Courier New"/>
          <w:sz w:val="16"/>
        </w:rPr>
        <w:t>ing storm</w:t>
      </w:r>
      <w:r w:rsidRPr="00685A57">
        <w:rPr>
          <w:rFonts w:ascii="Courier New" w:hAnsi="Courier New"/>
          <w:sz w:val="16"/>
        </w:rPr>
        <w:t>.</w:t>
      </w:r>
    </w:p>
    <w:p w14:paraId="466FDC18" w14:textId="13042A3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tgtN</w:t>
      </w:r>
      <w:r w:rsidRPr="00B546D2">
        <w:rPr>
          <w:rFonts w:ascii="Courier New" w:hAnsi="Courier New"/>
          <w:sz w:val="16"/>
        </w:rPr>
        <w:t>fSetIds:</w:t>
      </w:r>
    </w:p>
    <w:p w14:paraId="4C5B5498"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type: array</w:t>
      </w:r>
    </w:p>
    <w:p w14:paraId="66C916D2"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items:</w:t>
      </w:r>
    </w:p>
    <w:p w14:paraId="4B7D5AB1"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$ref: 'TS29571_CommonData.yaml#/components/schemas/NfSetId'</w:t>
      </w:r>
    </w:p>
    <w:p w14:paraId="230D216D"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minItems: 1</w:t>
      </w:r>
    </w:p>
    <w:p w14:paraId="49C8265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set ID(s) of the </w:t>
      </w:r>
      <w:r>
        <w:rPr>
          <w:rFonts w:ascii="Courier New" w:hAnsi="Courier New"/>
          <w:sz w:val="16"/>
        </w:rPr>
        <w:t xml:space="preserve">target </w:t>
      </w:r>
      <w:r w:rsidRPr="00081F64">
        <w:rPr>
          <w:rFonts w:ascii="Courier New" w:hAnsi="Courier New"/>
          <w:sz w:val="16"/>
        </w:rPr>
        <w:t>NFs impacted by the signal</w:t>
      </w:r>
      <w:r>
        <w:rPr>
          <w:rFonts w:ascii="Courier New" w:hAnsi="Courier New"/>
          <w:sz w:val="16"/>
        </w:rPr>
        <w:t>l</w:t>
      </w:r>
      <w:r w:rsidRPr="00081F64">
        <w:rPr>
          <w:rFonts w:ascii="Courier New" w:hAnsi="Courier New"/>
          <w:sz w:val="16"/>
        </w:rPr>
        <w:t>ing storm</w:t>
      </w:r>
      <w:r w:rsidRPr="00685A57">
        <w:rPr>
          <w:rFonts w:ascii="Courier New" w:hAnsi="Courier New"/>
          <w:sz w:val="16"/>
        </w:rPr>
        <w:t>.</w:t>
      </w:r>
    </w:p>
    <w:p w14:paraId="1E74C0D6" w14:textId="21D42F6A" w:rsidR="00183EFC" w:rsidRDefault="00183EFC" w:rsidP="00183EFC">
      <w:pPr>
        <w:pStyle w:val="PL"/>
      </w:pPr>
      <w:r>
        <w:t xml:space="preserve">        srcIntGroupIds:</w:t>
      </w:r>
    </w:p>
    <w:p w14:paraId="00169FAC" w14:textId="77777777" w:rsidR="00183EFC" w:rsidRDefault="00183EFC" w:rsidP="00183EFC">
      <w:pPr>
        <w:pStyle w:val="PL"/>
      </w:pPr>
      <w:r>
        <w:t xml:space="preserve">          type: array</w:t>
      </w:r>
    </w:p>
    <w:p w14:paraId="7EF8395C" w14:textId="77777777" w:rsidR="00183EFC" w:rsidRDefault="00183EFC" w:rsidP="00183EFC">
      <w:pPr>
        <w:pStyle w:val="PL"/>
      </w:pPr>
      <w:r>
        <w:t xml:space="preserve">          items:</w:t>
      </w:r>
    </w:p>
    <w:p w14:paraId="13BD8140" w14:textId="77777777" w:rsidR="00183EFC" w:rsidRDefault="00183EFC" w:rsidP="00183EFC">
      <w:pPr>
        <w:pStyle w:val="PL"/>
      </w:pPr>
      <w:r>
        <w:t xml:space="preserve">            $ref: 'TS29571_CommonData.yaml#/components/schemas/GroupId'</w:t>
      </w:r>
    </w:p>
    <w:p w14:paraId="68143B0E" w14:textId="77777777" w:rsidR="00183EFC" w:rsidRDefault="00183EFC" w:rsidP="00183EFC">
      <w:pPr>
        <w:pStyle w:val="PL"/>
      </w:pPr>
      <w:r>
        <w:t xml:space="preserve">          minItems: 1</w:t>
      </w:r>
    </w:p>
    <w:p w14:paraId="6B2A7AE0" w14:textId="642BA828" w:rsidR="00183EFC" w:rsidRDefault="00183EFC" w:rsidP="00183EFC">
      <w:pPr>
        <w:pStyle w:val="PL"/>
      </w:pPr>
      <w:r>
        <w:t xml:space="preserve">        srcE</w:t>
      </w:r>
      <w:r w:rsidRPr="00FD76A6">
        <w:t>xterGroupId</w:t>
      </w:r>
      <w:r>
        <w:t>s:</w:t>
      </w:r>
    </w:p>
    <w:p w14:paraId="57B8C7B4" w14:textId="77777777" w:rsidR="00183EFC" w:rsidRDefault="00183EFC" w:rsidP="00183EFC">
      <w:pPr>
        <w:pStyle w:val="PL"/>
      </w:pPr>
      <w:r>
        <w:t xml:space="preserve">          type: array</w:t>
      </w:r>
    </w:p>
    <w:p w14:paraId="66D2269F" w14:textId="77777777" w:rsidR="00183EFC" w:rsidRDefault="00183EFC" w:rsidP="00183EFC">
      <w:pPr>
        <w:pStyle w:val="PL"/>
      </w:pPr>
      <w:r>
        <w:t xml:space="preserve">          items:</w:t>
      </w:r>
    </w:p>
    <w:p w14:paraId="2720809F" w14:textId="77777777" w:rsidR="00183EFC" w:rsidRDefault="00183EFC" w:rsidP="00183EFC">
      <w:pPr>
        <w:pStyle w:val="PL"/>
      </w:pPr>
      <w:r>
        <w:t xml:space="preserve">            </w:t>
      </w:r>
      <w:r w:rsidRPr="008B1C02">
        <w:t>$ref: 'TS29122_CommonData.yaml#/components/schemas/ExternalGroupId'</w:t>
      </w:r>
    </w:p>
    <w:p w14:paraId="24F32BF4" w14:textId="77777777" w:rsidR="00183EFC" w:rsidRDefault="00183EFC" w:rsidP="00183EFC">
      <w:pPr>
        <w:pStyle w:val="PL"/>
      </w:pPr>
      <w:r>
        <w:t xml:space="preserve">          minItems: 1</w:t>
      </w:r>
    </w:p>
    <w:p w14:paraId="1FEA0177" w14:textId="79DEFEA3" w:rsidR="00183EFC" w:rsidRDefault="00183EFC" w:rsidP="00183EFC">
      <w:pPr>
        <w:pStyle w:val="PL"/>
      </w:pPr>
      <w:r>
        <w:t xml:space="preserve">        srcSupis:</w:t>
      </w:r>
    </w:p>
    <w:p w14:paraId="6F46F331" w14:textId="77777777" w:rsidR="00183EFC" w:rsidRDefault="00183EFC" w:rsidP="00183EFC">
      <w:pPr>
        <w:pStyle w:val="PL"/>
      </w:pPr>
      <w:r>
        <w:t xml:space="preserve">          type: array</w:t>
      </w:r>
    </w:p>
    <w:p w14:paraId="0FEC8B26" w14:textId="77777777" w:rsidR="00183EFC" w:rsidRDefault="00183EFC" w:rsidP="00183EFC">
      <w:pPr>
        <w:pStyle w:val="PL"/>
      </w:pPr>
      <w:r>
        <w:t xml:space="preserve">          items:</w:t>
      </w:r>
    </w:p>
    <w:p w14:paraId="00A2FD76" w14:textId="77777777" w:rsidR="00183EFC" w:rsidRDefault="00183EFC" w:rsidP="00183EFC">
      <w:pPr>
        <w:pStyle w:val="PL"/>
      </w:pPr>
      <w:r>
        <w:t xml:space="preserve">            $ref: 'TS29571_CommonData.yaml#/components/schemas/Supi'</w:t>
      </w:r>
    </w:p>
    <w:p w14:paraId="07E24461" w14:textId="77777777" w:rsidR="00183EFC" w:rsidRDefault="00183EFC" w:rsidP="00183EFC">
      <w:pPr>
        <w:pStyle w:val="PL"/>
      </w:pPr>
      <w:r>
        <w:t xml:space="preserve">          minItems: 1</w:t>
      </w:r>
    </w:p>
    <w:p w14:paraId="0E65ECAC" w14:textId="7ADBB9EF" w:rsidR="00183EFC" w:rsidRDefault="00183EFC" w:rsidP="00183EFC">
      <w:pPr>
        <w:pStyle w:val="PL"/>
      </w:pPr>
      <w:r>
        <w:t xml:space="preserve">        srcGpsis:</w:t>
      </w:r>
    </w:p>
    <w:p w14:paraId="773540A2" w14:textId="77777777" w:rsidR="00183EFC" w:rsidRDefault="00183EFC" w:rsidP="00183EFC">
      <w:pPr>
        <w:pStyle w:val="PL"/>
      </w:pPr>
      <w:r>
        <w:t xml:space="preserve">          type: array</w:t>
      </w:r>
    </w:p>
    <w:p w14:paraId="50FD8D9C" w14:textId="77777777" w:rsidR="00183EFC" w:rsidRDefault="00183EFC" w:rsidP="00183EFC">
      <w:pPr>
        <w:pStyle w:val="PL"/>
      </w:pPr>
      <w:r>
        <w:t xml:space="preserve">          items:</w:t>
      </w:r>
    </w:p>
    <w:p w14:paraId="2A2E7A8E" w14:textId="77777777" w:rsidR="00183EFC" w:rsidRDefault="00183EFC" w:rsidP="00183EFC">
      <w:pPr>
        <w:pStyle w:val="PL"/>
      </w:pPr>
      <w:r>
        <w:t xml:space="preserve">            $ref: 'TS29571_CommonData.yaml#/components/schemas/Gpsi'</w:t>
      </w:r>
    </w:p>
    <w:p w14:paraId="54206E1B" w14:textId="77777777" w:rsidR="00183EFC" w:rsidRDefault="00183EFC" w:rsidP="00183EFC">
      <w:pPr>
        <w:pStyle w:val="PL"/>
      </w:pPr>
      <w:r>
        <w:t xml:space="preserve">          minItems: 1</w:t>
      </w:r>
    </w:p>
    <w:p w14:paraId="7B2CD773"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sigStormCauses:</w:t>
      </w:r>
    </w:p>
    <w:p w14:paraId="02524839"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type: array</w:t>
      </w:r>
    </w:p>
    <w:p w14:paraId="29A9667C"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items:</w:t>
      </w:r>
    </w:p>
    <w:p w14:paraId="62CD6A3B"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t xml:space="preserve">            </w:t>
      </w:r>
      <w:r>
        <w:rPr>
          <w:rFonts w:ascii="Courier New" w:hAnsi="Courier New"/>
          <w:sz w:val="16"/>
        </w:rPr>
        <w:t>$ref: '#/components/schemas/Target</w:t>
      </w:r>
      <w:r>
        <w:rPr>
          <w:rFonts w:ascii="Courier New" w:hAnsi="Courier New" w:hint="eastAsia"/>
          <w:sz w:val="16"/>
          <w:lang w:eastAsia="zh-CN"/>
        </w:rPr>
        <w:t>Cause</w:t>
      </w:r>
      <w:r w:rsidRPr="00B546D2">
        <w:rPr>
          <w:rFonts w:ascii="Courier New" w:hAnsi="Courier New"/>
          <w:sz w:val="16"/>
        </w:rPr>
        <w:t>Id</w:t>
      </w:r>
      <w:r>
        <w:rPr>
          <w:rFonts w:ascii="Courier New" w:hAnsi="Courier New"/>
          <w:sz w:val="16"/>
        </w:rPr>
        <w:t>'</w:t>
      </w:r>
    </w:p>
    <w:p w14:paraId="7D713957" w14:textId="77777777" w:rsidR="00183EFC" w:rsidRPr="00B546D2"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546D2">
        <w:rPr>
          <w:rFonts w:ascii="Courier New" w:hAnsi="Courier New"/>
          <w:sz w:val="16"/>
        </w:rPr>
        <w:lastRenderedPageBreak/>
        <w:t xml:space="preserve">          minItems: 1</w:t>
      </w:r>
    </w:p>
    <w:p w14:paraId="7BB1AB9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potential causes of the signa</w:t>
      </w:r>
      <w:r w:rsidRPr="00081F64">
        <w:rPr>
          <w:rFonts w:ascii="Courier New" w:hAnsi="Courier New" w:hint="eastAsia"/>
          <w:sz w:val="16"/>
        </w:rPr>
        <w:t>l</w:t>
      </w:r>
      <w:r w:rsidRPr="00081F64">
        <w:rPr>
          <w:rFonts w:ascii="Courier New" w:hAnsi="Courier New"/>
          <w:sz w:val="16"/>
        </w:rPr>
        <w:t>ling storm</w:t>
      </w:r>
      <w:r w:rsidRPr="00685A57">
        <w:rPr>
          <w:rFonts w:ascii="Courier New" w:hAnsi="Courier New"/>
          <w:sz w:val="16"/>
        </w:rPr>
        <w:t>.</w:t>
      </w:r>
    </w:p>
    <w:p w14:paraId="6A11FE0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546D2">
        <w:rPr>
          <w:rFonts w:ascii="Courier New" w:hAnsi="Courier New"/>
          <w:sz w:val="16"/>
        </w:rPr>
        <w:t>srcNfInstanceIds</w:t>
      </w:r>
      <w:r>
        <w:rPr>
          <w:rFonts w:ascii="Courier New" w:hAnsi="Courier New"/>
          <w:sz w:val="16"/>
        </w:rPr>
        <w:t>:</w:t>
      </w:r>
    </w:p>
    <w:p w14:paraId="4F4C2C56"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384DC37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A51BA54"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'TS29571_CommonData.yaml#/components/schemas/NfInstanceId'</w:t>
      </w:r>
    </w:p>
    <w:p w14:paraId="4C65DE2A"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B08CD31"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instance ID(s) of the </w:t>
      </w:r>
      <w:r>
        <w:rPr>
          <w:rFonts w:ascii="Courier New" w:hAnsi="Courier New"/>
          <w:sz w:val="16"/>
        </w:rPr>
        <w:t xml:space="preserve">source </w:t>
      </w:r>
      <w:r w:rsidRPr="00081F64">
        <w:rPr>
          <w:rFonts w:ascii="Courier New" w:hAnsi="Courier New"/>
          <w:sz w:val="16"/>
        </w:rPr>
        <w:t>NFs which cause the signalling storm</w:t>
      </w:r>
      <w:r w:rsidRPr="00685A57">
        <w:rPr>
          <w:rFonts w:ascii="Courier New" w:hAnsi="Courier New"/>
          <w:sz w:val="16"/>
        </w:rPr>
        <w:t>.</w:t>
      </w:r>
    </w:p>
    <w:p w14:paraId="1BB4CC23"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srcNfSetIds:</w:t>
      </w:r>
    </w:p>
    <w:p w14:paraId="02080D98"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09FE4083"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79FD8F38"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$ref: 'TS29571_CommonData.yaml#/components/schemas/NfSetId'</w:t>
      </w:r>
    </w:p>
    <w:p w14:paraId="0F6C5FEF"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4BA8FD1C"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NF set ID(s) of the </w:t>
      </w:r>
      <w:r>
        <w:rPr>
          <w:rFonts w:ascii="Courier New" w:hAnsi="Courier New"/>
          <w:sz w:val="16"/>
        </w:rPr>
        <w:t xml:space="preserve">source </w:t>
      </w:r>
      <w:r w:rsidRPr="00081F64">
        <w:rPr>
          <w:rFonts w:ascii="Courier New" w:hAnsi="Courier New"/>
          <w:sz w:val="16"/>
        </w:rPr>
        <w:t>NFs which cause the signalling storm</w:t>
      </w:r>
      <w:r w:rsidRPr="00685A57">
        <w:rPr>
          <w:rFonts w:ascii="Courier New" w:hAnsi="Courier New"/>
          <w:sz w:val="16"/>
        </w:rPr>
        <w:t>.</w:t>
      </w:r>
    </w:p>
    <w:p w14:paraId="2D02F83C"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sidRPr="00081F64">
        <w:rPr>
          <w:rFonts w:ascii="Courier New" w:hAnsi="Courier New" w:hint="eastAsia"/>
          <w:sz w:val="16"/>
        </w:rPr>
        <w:t>s</w:t>
      </w:r>
      <w:r w:rsidRPr="00081F64">
        <w:rPr>
          <w:rFonts w:ascii="Courier New" w:hAnsi="Courier New"/>
          <w:sz w:val="16"/>
        </w:rPr>
        <w:t>igInfo:</w:t>
      </w:r>
    </w:p>
    <w:p w14:paraId="65F9E033"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3E1AEC87"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29F0D561"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'#/components/schemas/</w:t>
      </w:r>
      <w:r w:rsidRPr="00081F64">
        <w:rPr>
          <w:rFonts w:ascii="Courier New" w:hAnsi="Courier New"/>
          <w:sz w:val="16"/>
        </w:rPr>
        <w:t>SignalInfo</w:t>
      </w:r>
      <w:r>
        <w:rPr>
          <w:rFonts w:ascii="Courier New" w:hAnsi="Courier New"/>
          <w:sz w:val="16"/>
        </w:rPr>
        <w:t>'</w:t>
      </w:r>
    </w:p>
    <w:p w14:paraId="1736B804"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293E39C3"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s</w:t>
      </w:r>
      <w:r w:rsidRPr="00081F64">
        <w:rPr>
          <w:rFonts w:ascii="Courier New" w:hAnsi="Courier New" w:hint="eastAsia"/>
          <w:sz w:val="16"/>
        </w:rPr>
        <w:t>ignalling information</w:t>
      </w:r>
      <w:r w:rsidRPr="00081F64">
        <w:rPr>
          <w:rFonts w:ascii="Courier New" w:hAnsi="Courier New"/>
          <w:sz w:val="16"/>
        </w:rPr>
        <w:t>.</w:t>
      </w:r>
    </w:p>
    <w:p w14:paraId="533AAC2E"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sidRPr="00081F64">
        <w:rPr>
          <w:rFonts w:ascii="Courier New" w:hAnsi="Courier New" w:hint="eastAsia"/>
          <w:sz w:val="16"/>
        </w:rPr>
        <w:t>t</w:t>
      </w:r>
      <w:r w:rsidRPr="00081F64">
        <w:rPr>
          <w:rFonts w:ascii="Courier New" w:hAnsi="Courier New"/>
          <w:sz w:val="16"/>
        </w:rPr>
        <w:t>imerInfo:</w:t>
      </w:r>
    </w:p>
    <w:p w14:paraId="0CEC3F59"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5E46FC9E"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64561795"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'#/components/schemas/</w:t>
      </w:r>
      <w:r w:rsidRPr="00081F64">
        <w:rPr>
          <w:rFonts w:ascii="Courier New" w:hAnsi="Courier New" w:hint="eastAsia"/>
          <w:sz w:val="16"/>
        </w:rPr>
        <w:t>Timer</w:t>
      </w:r>
      <w:r w:rsidRPr="00081F64">
        <w:rPr>
          <w:rFonts w:ascii="Courier New" w:hAnsi="Courier New"/>
          <w:sz w:val="16"/>
        </w:rPr>
        <w:t>Info</w:t>
      </w:r>
      <w:r>
        <w:rPr>
          <w:rFonts w:ascii="Courier New" w:hAnsi="Courier New"/>
          <w:sz w:val="16"/>
        </w:rPr>
        <w:t>'</w:t>
      </w:r>
    </w:p>
    <w:p w14:paraId="55D39555"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3114AE6E"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timer</w:t>
      </w:r>
      <w:r w:rsidRPr="00081F64">
        <w:rPr>
          <w:rFonts w:ascii="Courier New" w:hAnsi="Courier New" w:hint="eastAsia"/>
          <w:sz w:val="16"/>
        </w:rPr>
        <w:t xml:space="preserve"> information</w:t>
      </w:r>
      <w:r w:rsidRPr="00081F64">
        <w:rPr>
          <w:rFonts w:ascii="Courier New" w:hAnsi="Courier New"/>
          <w:sz w:val="16"/>
        </w:rPr>
        <w:t>.</w:t>
      </w:r>
    </w:p>
    <w:p w14:paraId="01746F8E"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priority:</w:t>
      </w:r>
    </w:p>
    <w:p w14:paraId="6AE859E6"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integer</w:t>
      </w:r>
    </w:p>
    <w:p w14:paraId="6ECDB90D"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capacity:</w:t>
      </w:r>
    </w:p>
    <w:p w14:paraId="65410DB3"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integer</w:t>
      </w:r>
    </w:p>
    <w:p w14:paraId="0BB76E1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546D2">
        <w:rPr>
          <w:rFonts w:ascii="Courier New" w:hAnsi="Courier New"/>
          <w:sz w:val="16"/>
        </w:rPr>
        <w:t>confidence</w:t>
      </w:r>
      <w:r>
        <w:rPr>
          <w:rFonts w:ascii="Courier New" w:hAnsi="Courier New"/>
          <w:sz w:val="16"/>
        </w:rPr>
        <w:t>:</w:t>
      </w:r>
    </w:p>
    <w:p w14:paraId="1707F919" w14:textId="77777777" w:rsidR="00183EFC" w:rsidRPr="00081F64"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$ref: 'TS29571_CommonData.yaml#/components/schemas/Uinteger'</w:t>
      </w:r>
    </w:p>
    <w:p w14:paraId="27EBEE27" w14:textId="77777777" w:rsidR="00183EFC" w:rsidRDefault="00183EFC" w:rsidP="00183EFC">
      <w:pPr>
        <w:pStyle w:val="PL"/>
      </w:pPr>
      <w:r>
        <w:t xml:space="preserve">      required:</w:t>
      </w:r>
    </w:p>
    <w:p w14:paraId="211C1F3E" w14:textId="77777777" w:rsidR="00183EFC" w:rsidRDefault="00183EFC" w:rsidP="00183EFC">
      <w:pPr>
        <w:pStyle w:val="PL"/>
      </w:pPr>
      <w:r>
        <w:t xml:space="preserve">        - </w:t>
      </w:r>
      <w:r w:rsidRPr="00B546D2">
        <w:t>sigStormCauses</w:t>
      </w:r>
    </w:p>
    <w:p w14:paraId="1BC90B3D" w14:textId="415349FC" w:rsidR="00183EFC" w:rsidRPr="0039258D" w:rsidRDefault="00183EFC" w:rsidP="00183EFC">
      <w:pPr>
        <w:pStyle w:val="PL"/>
      </w:pPr>
      <w:r>
        <w:t xml:space="preserve"> </w:t>
      </w:r>
      <w:r w:rsidRPr="0039258D">
        <w:t xml:space="preserve"> </w:t>
      </w:r>
      <w:r>
        <w:t xml:space="preserve"> </w:t>
      </w:r>
      <w:r w:rsidRPr="0039258D">
        <w:t xml:space="preserve"> </w:t>
      </w:r>
      <w:r>
        <w:t xml:space="preserve"> </w:t>
      </w:r>
      <w:r w:rsidRPr="0039258D">
        <w:t xml:space="preserve"> oneOf:</w:t>
      </w:r>
    </w:p>
    <w:p w14:paraId="0AC0EBEB" w14:textId="6FACFC18" w:rsidR="00183EFC" w:rsidRPr="0039258D" w:rsidRDefault="00183EFC" w:rsidP="00183EFC">
      <w:pPr>
        <w:pStyle w:val="PL"/>
      </w:pPr>
      <w:r>
        <w:t xml:space="preserve"> </w:t>
      </w:r>
      <w:r w:rsidRPr="0039258D">
        <w:t xml:space="preserve"> </w:t>
      </w:r>
      <w:r>
        <w:t xml:space="preserve"> </w:t>
      </w:r>
      <w:r w:rsidRPr="0039258D">
        <w:t xml:space="preserve"> </w:t>
      </w:r>
      <w:r>
        <w:t xml:space="preserve"> </w:t>
      </w:r>
      <w:r w:rsidRPr="0039258D">
        <w:t xml:space="preserve"> </w:t>
      </w:r>
      <w:r>
        <w:t xml:space="preserve">  </w:t>
      </w:r>
      <w:r w:rsidRPr="0039258D">
        <w:t>- required: [</w:t>
      </w:r>
      <w:r>
        <w:t>tgtN</w:t>
      </w:r>
      <w:r w:rsidRPr="00685A57">
        <w:t>fInstanceIds</w:t>
      </w:r>
      <w:r w:rsidRPr="0039258D">
        <w:t>]</w:t>
      </w:r>
    </w:p>
    <w:p w14:paraId="26275829" w14:textId="730DF39D" w:rsidR="00183EFC" w:rsidRDefault="00183EFC" w:rsidP="00183EFC">
      <w:pPr>
        <w:pStyle w:val="PL"/>
      </w:pPr>
      <w:r>
        <w:t xml:space="preserve"> </w:t>
      </w:r>
      <w:r w:rsidRPr="0039258D">
        <w:t xml:space="preserve"> </w:t>
      </w:r>
      <w:r>
        <w:t xml:space="preserve"> </w:t>
      </w:r>
      <w:r w:rsidRPr="0039258D">
        <w:t xml:space="preserve"> </w:t>
      </w:r>
      <w:r>
        <w:t xml:space="preserve"> </w:t>
      </w:r>
      <w:r w:rsidRPr="0039258D">
        <w:t xml:space="preserve"> </w:t>
      </w:r>
      <w:r>
        <w:t xml:space="preserve">  </w:t>
      </w:r>
      <w:r w:rsidRPr="0039258D">
        <w:t>- required: [</w:t>
      </w:r>
      <w:r>
        <w:t>tgtN</w:t>
      </w:r>
      <w:r w:rsidRPr="00B546D2">
        <w:t>fSetIds</w:t>
      </w:r>
      <w:r w:rsidRPr="0039258D">
        <w:t>]</w:t>
      </w:r>
    </w:p>
    <w:p w14:paraId="52A8AF27"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C544E13"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SignalInfo</w:t>
      </w:r>
      <w:r>
        <w:rPr>
          <w:rFonts w:ascii="Courier New" w:hAnsi="Courier New"/>
          <w:sz w:val="16"/>
        </w:rPr>
        <w:t>:</w:t>
      </w:r>
    </w:p>
    <w:p w14:paraId="3943FFC0"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Represents the signalling information.</w:t>
      </w:r>
      <w:r w:rsidRPr="00685A57">
        <w:rPr>
          <w:rFonts w:ascii="Courier New" w:hAnsi="Courier New"/>
          <w:sz w:val="16"/>
        </w:rPr>
        <w:t>.</w:t>
      </w:r>
    </w:p>
    <w:p w14:paraId="00B74238"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11740D2D"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2C2A3EFB"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impactRefPoints</w:t>
      </w:r>
      <w:r>
        <w:rPr>
          <w:rFonts w:ascii="Courier New" w:hAnsi="Courier New"/>
          <w:sz w:val="16"/>
        </w:rPr>
        <w:t>:</w:t>
      </w:r>
    </w:p>
    <w:p w14:paraId="6BBEFB09"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18B17448"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6AC6AE84"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string</w:t>
      </w:r>
    </w:p>
    <w:p w14:paraId="6321FF47"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2A4B346A"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w:t>
      </w:r>
      <w:r w:rsidRPr="00081F64">
        <w:rPr>
          <w:rFonts w:ascii="Courier New" w:hAnsi="Courier New" w:hint="eastAsia"/>
          <w:sz w:val="16"/>
        </w:rPr>
        <w:t>impacted reference point</w:t>
      </w:r>
      <w:r w:rsidRPr="00081F64">
        <w:rPr>
          <w:rFonts w:ascii="Courier New" w:hAnsi="Courier New"/>
          <w:sz w:val="16"/>
        </w:rPr>
        <w:t>(s).</w:t>
      </w:r>
    </w:p>
    <w:p w14:paraId="22269662"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impactSrvOps</w:t>
      </w:r>
      <w:r>
        <w:rPr>
          <w:rFonts w:ascii="Courier New" w:hAnsi="Courier New"/>
          <w:sz w:val="16"/>
        </w:rPr>
        <w:t>:</w:t>
      </w:r>
    </w:p>
    <w:p w14:paraId="3D63F934"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3F5C244B"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4CE93A5F"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string</w:t>
      </w:r>
    </w:p>
    <w:p w14:paraId="2A712248"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513D00D8"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 xml:space="preserve">The </w:t>
      </w:r>
      <w:r w:rsidRPr="00081F64">
        <w:rPr>
          <w:rFonts w:ascii="Courier New" w:hAnsi="Courier New" w:hint="eastAsia"/>
          <w:sz w:val="16"/>
        </w:rPr>
        <w:t xml:space="preserve">impacted </w:t>
      </w:r>
      <w:r w:rsidRPr="00081F64">
        <w:rPr>
          <w:rFonts w:ascii="Courier New" w:hAnsi="Courier New"/>
          <w:sz w:val="16"/>
        </w:rPr>
        <w:t>s</w:t>
      </w:r>
      <w:r w:rsidRPr="00081F64">
        <w:rPr>
          <w:rFonts w:ascii="Courier New" w:hAnsi="Courier New" w:hint="eastAsia"/>
          <w:sz w:val="16"/>
        </w:rPr>
        <w:t xml:space="preserve">ervice </w:t>
      </w:r>
      <w:r w:rsidRPr="00081F64">
        <w:rPr>
          <w:rFonts w:ascii="Courier New" w:hAnsi="Courier New"/>
          <w:sz w:val="16"/>
        </w:rPr>
        <w:t>o</w:t>
      </w:r>
      <w:r w:rsidRPr="00081F64">
        <w:rPr>
          <w:rFonts w:ascii="Courier New" w:hAnsi="Courier New" w:hint="eastAsia"/>
          <w:sz w:val="16"/>
        </w:rPr>
        <w:t>peration(s)</w:t>
      </w:r>
      <w:r w:rsidRPr="00081F64">
        <w:rPr>
          <w:rFonts w:ascii="Courier New" w:hAnsi="Courier New"/>
          <w:sz w:val="16"/>
        </w:rPr>
        <w:t>.</w:t>
      </w:r>
    </w:p>
    <w:p w14:paraId="2C562C65"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sigAnalytics</w:t>
      </w:r>
      <w:r>
        <w:rPr>
          <w:rFonts w:ascii="Courier New" w:hAnsi="Courier New"/>
          <w:sz w:val="16"/>
        </w:rPr>
        <w:t>:</w:t>
      </w:r>
    </w:p>
    <w:p w14:paraId="00F1F4F0"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type: array</w:t>
      </w:r>
    </w:p>
    <w:p w14:paraId="5D4E5149"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items:</w:t>
      </w:r>
    </w:p>
    <w:p w14:paraId="20913CE8"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w:t>
      </w:r>
      <w:r>
        <w:rPr>
          <w:rFonts w:ascii="Courier New" w:hAnsi="Courier New"/>
          <w:sz w:val="16"/>
        </w:rPr>
        <w:t>$ref: '#/components/schemas/</w:t>
      </w:r>
      <w:r w:rsidRPr="00081F64">
        <w:rPr>
          <w:rFonts w:ascii="Courier New" w:hAnsi="Courier New"/>
          <w:sz w:val="16"/>
        </w:rPr>
        <w:t>SignalAnalytics</w:t>
      </w:r>
      <w:r>
        <w:rPr>
          <w:rFonts w:ascii="Courier New" w:hAnsi="Courier New"/>
          <w:sz w:val="16"/>
        </w:rPr>
        <w:t>'</w:t>
      </w:r>
    </w:p>
    <w:p w14:paraId="7EDA57FC"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81F64">
        <w:rPr>
          <w:rFonts w:ascii="Courier New" w:hAnsi="Courier New"/>
          <w:sz w:val="16"/>
        </w:rPr>
        <w:t xml:space="preserve">          minItems: 1</w:t>
      </w:r>
    </w:p>
    <w:p w14:paraId="196E583C"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081F64">
        <w:rPr>
          <w:rFonts w:ascii="Courier New" w:hAnsi="Courier New"/>
          <w:sz w:val="16"/>
        </w:rPr>
        <w:t>Indicates the received signalling analytics.</w:t>
      </w:r>
    </w:p>
    <w:p w14:paraId="393BA8AD" w14:textId="77777777" w:rsidR="00143F25" w:rsidRPr="00081F64"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0C2B523"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SignalAnalytics</w:t>
      </w:r>
      <w:r>
        <w:rPr>
          <w:rFonts w:ascii="Courier New" w:hAnsi="Courier New"/>
          <w:sz w:val="16"/>
        </w:rPr>
        <w:t>:</w:t>
      </w:r>
    </w:p>
    <w:p w14:paraId="08ABD3B7"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requirement information.</w:t>
      </w:r>
    </w:p>
    <w:p w14:paraId="42E5B858"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01DDEFE6"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3A48FB8F"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recvSigNum</w:t>
      </w:r>
      <w:r>
        <w:rPr>
          <w:rFonts w:ascii="Courier New" w:hAnsi="Courier New"/>
          <w:sz w:val="16"/>
        </w:rPr>
        <w:t>:</w:t>
      </w:r>
    </w:p>
    <w:p w14:paraId="1CE76EDA" w14:textId="77777777" w:rsidR="00143F25" w:rsidRDefault="00143F25" w:rsidP="00143F25">
      <w:pPr>
        <w:pStyle w:val="PL"/>
      </w:pPr>
      <w:r>
        <w:t xml:space="preserve">          $ref: 'TS29571_CommonData.yaml#/components/schemas/Uinteger'</w:t>
      </w:r>
    </w:p>
    <w:p w14:paraId="759459C3"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hint="eastAsia"/>
          <w:sz w:val="16"/>
        </w:rPr>
        <w:t>s</w:t>
      </w:r>
      <w:r w:rsidRPr="00E13500">
        <w:rPr>
          <w:rFonts w:ascii="Courier New" w:hAnsi="Courier New"/>
          <w:sz w:val="16"/>
        </w:rPr>
        <w:t>igGrowthRate</w:t>
      </w:r>
      <w:r>
        <w:rPr>
          <w:rFonts w:ascii="Courier New" w:hAnsi="Courier New"/>
          <w:sz w:val="16"/>
        </w:rPr>
        <w:t>:</w:t>
      </w:r>
    </w:p>
    <w:p w14:paraId="5744935C" w14:textId="77777777" w:rsidR="00143F25" w:rsidRDefault="00143F25" w:rsidP="00143F25">
      <w:pPr>
        <w:pStyle w:val="PL"/>
      </w:pPr>
      <w:r>
        <w:t xml:space="preserve">          $ref: 'TS29571_CommonData.yaml#/components/schemas/Uinteger'</w:t>
      </w:r>
    </w:p>
    <w:p w14:paraId="7CD624A2"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sz w:val="16"/>
        </w:rPr>
        <w:t>recvSigNumFromUe</w:t>
      </w:r>
      <w:r>
        <w:rPr>
          <w:rFonts w:ascii="Courier New" w:hAnsi="Courier New"/>
          <w:sz w:val="16"/>
        </w:rPr>
        <w:t>:</w:t>
      </w:r>
    </w:p>
    <w:p w14:paraId="3E48507D"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13500">
        <w:rPr>
          <w:rFonts w:ascii="Courier New" w:hAnsi="Courier New"/>
          <w:sz w:val="16"/>
        </w:rPr>
        <w:t xml:space="preserve">          $ref: 'TS29571_CommonData.yaml#/components/schemas/Uinteger'</w:t>
      </w:r>
    </w:p>
    <w:p w14:paraId="7744AC24"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08CCE07"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hint="eastAsia"/>
          <w:sz w:val="16"/>
        </w:rPr>
        <w:t>Timer</w:t>
      </w:r>
      <w:r w:rsidRPr="00E13500">
        <w:rPr>
          <w:rFonts w:ascii="Courier New" w:hAnsi="Courier New"/>
          <w:sz w:val="16"/>
        </w:rPr>
        <w:t>Info</w:t>
      </w:r>
      <w:r>
        <w:rPr>
          <w:rFonts w:ascii="Courier New" w:hAnsi="Courier New"/>
          <w:sz w:val="16"/>
        </w:rPr>
        <w:t>:</w:t>
      </w:r>
    </w:p>
    <w:p w14:paraId="54C89A37" w14:textId="77777777" w:rsidR="00143F25" w:rsidRPr="00685A57"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The signalling storm analytics requirement information.</w:t>
      </w:r>
    </w:p>
    <w:p w14:paraId="2ED1083F"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243631AE"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4E1C9D0D"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E13500">
        <w:rPr>
          <w:rFonts w:ascii="Courier New" w:hAnsi="Courier New" w:hint="eastAsia"/>
          <w:sz w:val="16"/>
        </w:rPr>
        <w:t>t</w:t>
      </w:r>
      <w:r w:rsidRPr="00E13500">
        <w:rPr>
          <w:rFonts w:ascii="Courier New" w:hAnsi="Courier New"/>
          <w:sz w:val="16"/>
        </w:rPr>
        <w:t>imerType</w:t>
      </w:r>
      <w:r>
        <w:rPr>
          <w:rFonts w:ascii="Courier New" w:hAnsi="Courier New"/>
          <w:sz w:val="16"/>
        </w:rPr>
        <w:t>:</w:t>
      </w:r>
    </w:p>
    <w:p w14:paraId="3AC1E872"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13500">
        <w:rPr>
          <w:rFonts w:ascii="Courier New" w:hAnsi="Courier New"/>
          <w:sz w:val="16"/>
        </w:rPr>
        <w:t xml:space="preserve">          </w:t>
      </w:r>
      <w:r>
        <w:rPr>
          <w:rFonts w:ascii="Courier New" w:hAnsi="Courier New"/>
          <w:sz w:val="16"/>
        </w:rPr>
        <w:t>$ref: '#/components/schemas/</w:t>
      </w:r>
      <w:r w:rsidRPr="00E13500">
        <w:rPr>
          <w:rFonts w:ascii="Courier New" w:hAnsi="Courier New"/>
          <w:sz w:val="16"/>
        </w:rPr>
        <w:t>TimerType</w:t>
      </w:r>
      <w:r>
        <w:rPr>
          <w:rFonts w:ascii="Courier New" w:hAnsi="Courier New"/>
          <w:sz w:val="16"/>
        </w:rPr>
        <w:t>'</w:t>
      </w:r>
    </w:p>
    <w:p w14:paraId="3BFF2665" w14:textId="77777777" w:rsidR="00143F25"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lastRenderedPageBreak/>
        <w:t xml:space="preserve">        </w:t>
      </w:r>
      <w:r w:rsidRPr="00E13500">
        <w:rPr>
          <w:rFonts w:ascii="Courier New" w:hAnsi="Courier New"/>
          <w:sz w:val="16"/>
        </w:rPr>
        <w:t>timerDur</w:t>
      </w:r>
      <w:r>
        <w:rPr>
          <w:rFonts w:ascii="Courier New" w:hAnsi="Courier New"/>
          <w:sz w:val="16"/>
        </w:rPr>
        <w:t>:</w:t>
      </w:r>
    </w:p>
    <w:p w14:paraId="4670C762" w14:textId="77777777" w:rsidR="00143F25" w:rsidRPr="00E13500"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13500">
        <w:rPr>
          <w:rFonts w:ascii="Courier New" w:hAnsi="Courier New"/>
          <w:sz w:val="16"/>
        </w:rPr>
        <w:t xml:space="preserve">          $ref: 'TS29571_CommonData.yaml#/components/schemas/DurationSec'</w:t>
      </w:r>
    </w:p>
    <w:p w14:paraId="6F9DDA8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5D49A4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QosPolicyAssistReq:</w:t>
      </w:r>
    </w:p>
    <w:p w14:paraId="182E47D1"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QoS and policy assistance</w:t>
      </w:r>
      <w:r w:rsidRPr="00685A57">
        <w:rPr>
          <w:rFonts w:ascii="Courier New" w:hAnsi="Courier New"/>
          <w:sz w:val="16"/>
        </w:rPr>
        <w:t xml:space="preserve"> analytics requirement information.</w:t>
      </w:r>
    </w:p>
    <w:p w14:paraId="4285EA1A"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2672C4BC"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BF2193F"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orderCriterion:</w:t>
      </w:r>
    </w:p>
    <w:p w14:paraId="31BF3B29"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$ref: '#/components/schemas/</w:t>
      </w:r>
      <w:r>
        <w:rPr>
          <w:rFonts w:ascii="Courier New" w:hAnsi="Courier New"/>
          <w:sz w:val="16"/>
        </w:rPr>
        <w:t>QosPolOrderCriterion</w:t>
      </w:r>
      <w:r w:rsidRPr="001844E4">
        <w:rPr>
          <w:rFonts w:ascii="Courier New" w:hAnsi="Courier New"/>
          <w:sz w:val="16"/>
        </w:rPr>
        <w:t>'</w:t>
      </w:r>
    </w:p>
    <w:p w14:paraId="104D735B"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order</w:t>
      </w:r>
      <w:r>
        <w:rPr>
          <w:rFonts w:ascii="Courier New" w:hAnsi="Courier New"/>
          <w:sz w:val="16"/>
        </w:rPr>
        <w:t>Direction</w:t>
      </w:r>
      <w:r w:rsidRPr="001844E4">
        <w:rPr>
          <w:rFonts w:ascii="Courier New" w:hAnsi="Courier New"/>
          <w:sz w:val="16"/>
        </w:rPr>
        <w:t>:</w:t>
      </w:r>
    </w:p>
    <w:p w14:paraId="064F2D46"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$ref: '#/components/schemas/MatchingDirection'</w:t>
      </w:r>
    </w:p>
    <w:p w14:paraId="26888749"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freqs:</w:t>
      </w:r>
    </w:p>
    <w:p w14:paraId="5EBABF7A"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type: array</w:t>
      </w:r>
    </w:p>
    <w:p w14:paraId="3D50A1DB"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items:</w:t>
      </w:r>
    </w:p>
    <w:p w14:paraId="595E3609"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$ref: 'TS29571_CommonData.yaml#/components/schemas/ArfcnValueNR'</w:t>
      </w:r>
    </w:p>
    <w:p w14:paraId="0E4BCB31"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minItems: 1</w:t>
      </w:r>
    </w:p>
    <w:p w14:paraId="0CBEDB10"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ratTypes:</w:t>
      </w:r>
    </w:p>
    <w:p w14:paraId="10E6BA80"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type: array</w:t>
      </w:r>
    </w:p>
    <w:p w14:paraId="7E8D7120"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items:</w:t>
      </w:r>
    </w:p>
    <w:p w14:paraId="1339D469"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$ref: 'TS29571_CommonData.yaml#/components/schemas/RatType'</w:t>
      </w:r>
    </w:p>
    <w:p w14:paraId="2C96765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minItems: 1</w:t>
      </w:r>
    </w:p>
    <w:p w14:paraId="2345E7C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qosParamSets</w:t>
      </w:r>
      <w:r w:rsidRPr="001844E4">
        <w:rPr>
          <w:rFonts w:ascii="Courier New" w:hAnsi="Courier New"/>
          <w:sz w:val="16"/>
        </w:rPr>
        <w:t>:</w:t>
      </w:r>
    </w:p>
    <w:p w14:paraId="4BD99BC7"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type: array</w:t>
      </w:r>
    </w:p>
    <w:p w14:paraId="7639FD01"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items:</w:t>
      </w:r>
    </w:p>
    <w:p w14:paraId="29ABF5CB"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844E4">
        <w:rPr>
          <w:rFonts w:ascii="Courier New" w:hAnsi="Courier New"/>
          <w:sz w:val="16"/>
        </w:rPr>
        <w:t xml:space="preserve">          $ref: '#/components/schemas/</w:t>
      </w:r>
      <w:r>
        <w:rPr>
          <w:rFonts w:ascii="Courier New" w:hAnsi="Courier New"/>
          <w:sz w:val="16"/>
        </w:rPr>
        <w:t>QosPara</w:t>
      </w:r>
      <w:r w:rsidRPr="00150500">
        <w:rPr>
          <w:rFonts w:ascii="Courier New" w:hAnsi="Courier New"/>
          <w:sz w:val="16"/>
        </w:rPr>
        <w:t>'</w:t>
      </w:r>
    </w:p>
    <w:p w14:paraId="45012BE9"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minItems: 1</w:t>
      </w:r>
    </w:p>
    <w:p w14:paraId="58FE6834"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requestedQoe</w:t>
      </w:r>
      <w:r w:rsidRPr="001844E4">
        <w:rPr>
          <w:rFonts w:ascii="Courier New" w:hAnsi="Courier New"/>
          <w:sz w:val="16"/>
        </w:rPr>
        <w:t>:</w:t>
      </w:r>
    </w:p>
    <w:p w14:paraId="32F07593" w14:textId="77777777" w:rsidR="00445D8C" w:rsidRPr="00CA342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A3427">
        <w:rPr>
          <w:rFonts w:ascii="Courier New" w:hAnsi="Courier New"/>
          <w:sz w:val="16"/>
        </w:rPr>
        <w:t xml:space="preserve">          $ref: 'TS29571_CommonData.yaml#/components/schemas/Float'</w:t>
      </w:r>
    </w:p>
    <w:p w14:paraId="4DDB4458" w14:textId="77777777" w:rsidR="00445D8C" w:rsidRDefault="00445D8C" w:rsidP="00445D8C">
      <w:pPr>
        <w:pStyle w:val="PL"/>
      </w:pPr>
      <w:r>
        <w:t xml:space="preserve">      required:</w:t>
      </w:r>
    </w:p>
    <w:p w14:paraId="6FD9C9CB" w14:textId="77777777" w:rsidR="00445D8C" w:rsidRDefault="00445D8C" w:rsidP="00445D8C">
      <w:pPr>
        <w:pStyle w:val="PL"/>
      </w:pPr>
      <w:r>
        <w:t xml:space="preserve">        - qosParamSets</w:t>
      </w:r>
    </w:p>
    <w:p w14:paraId="111F6B2F"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D5F960E" w14:textId="77777777" w:rsidR="00445D8C" w:rsidRPr="00BD2C0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QosPolicyAssistInfo:</w:t>
      </w:r>
    </w:p>
    <w:p w14:paraId="570C88D3" w14:textId="77777777" w:rsidR="00445D8C" w:rsidRPr="00BD2C0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description: The QoS and policy assistance analytics information.</w:t>
      </w:r>
    </w:p>
    <w:p w14:paraId="16E9FCAB" w14:textId="77777777" w:rsidR="00445D8C" w:rsidRPr="00BD2C0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type: object</w:t>
      </w:r>
    </w:p>
    <w:p w14:paraId="298EE2D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D2C01">
        <w:rPr>
          <w:rFonts w:ascii="Courier New" w:hAnsi="Courier New"/>
          <w:sz w:val="16"/>
        </w:rPr>
        <w:t xml:space="preserve">      properties:</w:t>
      </w:r>
    </w:p>
    <w:p w14:paraId="69A05CB1"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qosPolAssistInfo:</w:t>
      </w:r>
    </w:p>
    <w:p w14:paraId="4810DA4D"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type: array</w:t>
      </w:r>
    </w:p>
    <w:p w14:paraId="49939A4F"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items:</w:t>
      </w:r>
    </w:p>
    <w:p w14:paraId="3E93967A"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$ref: '#/components/schemas/QosPolicyAssist</w:t>
      </w:r>
      <w:r>
        <w:rPr>
          <w:rFonts w:ascii="Courier New" w:hAnsi="Courier New"/>
          <w:sz w:val="16"/>
        </w:rPr>
        <w:t>SetsPerTS</w:t>
      </w:r>
      <w:r w:rsidRPr="00E627E6">
        <w:rPr>
          <w:rFonts w:ascii="Courier New" w:hAnsi="Courier New"/>
          <w:sz w:val="16"/>
        </w:rPr>
        <w:t>'</w:t>
      </w:r>
    </w:p>
    <w:p w14:paraId="3F008EA0" w14:textId="77777777" w:rsidR="00445D8C" w:rsidRPr="00E627E6"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minItems: 1</w:t>
      </w:r>
    </w:p>
    <w:p w14:paraId="136C74D5"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27E6">
        <w:rPr>
          <w:rFonts w:ascii="Courier New" w:hAnsi="Courier New"/>
          <w:sz w:val="16"/>
        </w:rPr>
        <w:t xml:space="preserve">          description: The QoS and policy assistance information.</w:t>
      </w:r>
    </w:p>
    <w:p w14:paraId="42CAC7A6"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85A14F3"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QosPolicyAssistSet:</w:t>
      </w:r>
    </w:p>
    <w:p w14:paraId="32E2B2D4"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QoS and policy assistance</w:t>
      </w:r>
      <w:r w:rsidRPr="00685A57">
        <w:rPr>
          <w:rFonts w:ascii="Courier New" w:hAnsi="Courier New"/>
          <w:sz w:val="16"/>
        </w:rPr>
        <w:t xml:space="preserve"> </w:t>
      </w:r>
      <w:r>
        <w:rPr>
          <w:rFonts w:ascii="Courier New" w:hAnsi="Courier New"/>
          <w:sz w:val="16"/>
        </w:rPr>
        <w:t>parameter set</w:t>
      </w:r>
      <w:r w:rsidRPr="00685A57">
        <w:rPr>
          <w:rFonts w:ascii="Courier New" w:hAnsi="Courier New"/>
          <w:sz w:val="16"/>
        </w:rPr>
        <w:t>.</w:t>
      </w:r>
    </w:p>
    <w:p w14:paraId="3DF32EEE"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55C37FA"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2DDC51A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qosParamSet</w:t>
      </w:r>
      <w:r w:rsidRPr="001844E4">
        <w:rPr>
          <w:rFonts w:ascii="Courier New" w:hAnsi="Courier New"/>
          <w:sz w:val="16"/>
        </w:rPr>
        <w:t>:</w:t>
      </w:r>
    </w:p>
    <w:p w14:paraId="783559B8"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844E4">
        <w:rPr>
          <w:rFonts w:ascii="Courier New" w:hAnsi="Courier New"/>
          <w:sz w:val="16"/>
        </w:rPr>
        <w:t xml:space="preserve">        $ref: '#/components/schemas/</w:t>
      </w:r>
      <w:r>
        <w:rPr>
          <w:rFonts w:ascii="Courier New" w:hAnsi="Courier New"/>
          <w:sz w:val="16"/>
        </w:rPr>
        <w:t>QosPara</w:t>
      </w:r>
      <w:r w:rsidRPr="00150500">
        <w:rPr>
          <w:rFonts w:ascii="Courier New" w:hAnsi="Courier New"/>
          <w:sz w:val="16"/>
        </w:rPr>
        <w:t>'</w:t>
      </w:r>
    </w:p>
    <w:p w14:paraId="31BFD0D2"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dnn:</w:t>
      </w:r>
    </w:p>
    <w:p w14:paraId="26BACE33" w14:textId="77777777" w:rsidR="00445D8C" w:rsidRPr="001844E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$ref: 'TS29571_CommonData.yaml#/components/schemas/Dnn'</w:t>
      </w:r>
    </w:p>
    <w:p w14:paraId="6785400F"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appId:</w:t>
      </w:r>
    </w:p>
    <w:p w14:paraId="7DF76EDD"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$ref: 'TS29571_CommonData.yaml#/components/schemas/ApplicationId'</w:t>
      </w:r>
    </w:p>
    <w:p w14:paraId="18651850"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fDescs:</w:t>
      </w:r>
    </w:p>
    <w:p w14:paraId="79626AA2"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type: array</w:t>
      </w:r>
    </w:p>
    <w:p w14:paraId="4FA1C42F"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items:</w:t>
      </w:r>
    </w:p>
    <w:p w14:paraId="0BF01851"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$ref: '#/components/schemas/IpEthFlowDescription'</w:t>
      </w:r>
    </w:p>
    <w:p w14:paraId="14E19BB8" w14:textId="77777777" w:rsidR="00445D8C" w:rsidRPr="00A0003D"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003D">
        <w:rPr>
          <w:rFonts w:ascii="Courier New" w:hAnsi="Courier New"/>
          <w:sz w:val="16"/>
        </w:rPr>
        <w:t xml:space="preserve">          minItems: 1</w:t>
      </w:r>
    </w:p>
    <w:p w14:paraId="2E1F8F7A" w14:textId="77777777" w:rsidR="00445D8C" w:rsidRPr="0077486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w:t>
      </w:r>
      <w:r>
        <w:rPr>
          <w:rFonts w:ascii="Courier New" w:hAnsi="Courier New"/>
          <w:sz w:val="16"/>
        </w:rPr>
        <w:t>appDuration</w:t>
      </w:r>
      <w:r w:rsidRPr="00774865">
        <w:rPr>
          <w:rFonts w:ascii="Courier New" w:hAnsi="Courier New"/>
          <w:sz w:val="16"/>
        </w:rPr>
        <w:t>:</w:t>
      </w:r>
    </w:p>
    <w:p w14:paraId="0BD0068D"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w:t>
      </w:r>
      <w:r w:rsidR="00BD7657" w:rsidRPr="0041663A">
        <w:rPr>
          <w:rFonts w:ascii="Courier New" w:hAnsi="Courier New"/>
          <w:sz w:val="16"/>
        </w:rPr>
        <w:t>$ref: 'TS29571_CommonData.yaml#/components/schemas/DurationSec'</w:t>
      </w:r>
    </w:p>
    <w:p w14:paraId="469810C9"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predict</w:t>
      </w:r>
      <w:r>
        <w:rPr>
          <w:rFonts w:ascii="Courier New" w:hAnsi="Courier New"/>
          <w:sz w:val="16"/>
        </w:rPr>
        <w:t>ed</w:t>
      </w:r>
      <w:r w:rsidRPr="001828F4">
        <w:rPr>
          <w:rFonts w:ascii="Courier New" w:hAnsi="Courier New"/>
          <w:sz w:val="16"/>
        </w:rPr>
        <w:t>AvgQoe:</w:t>
      </w:r>
    </w:p>
    <w:p w14:paraId="52C8C663"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$ref: 'TS29571_CommonData.yaml#/components/schemas/Float'</w:t>
      </w:r>
    </w:p>
    <w:p w14:paraId="7B6F95DC"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predict</w:t>
      </w:r>
      <w:r>
        <w:rPr>
          <w:rFonts w:ascii="Courier New" w:hAnsi="Courier New"/>
          <w:sz w:val="16"/>
        </w:rPr>
        <w:t>ed</w:t>
      </w:r>
      <w:r w:rsidRPr="001828F4">
        <w:rPr>
          <w:rFonts w:ascii="Courier New" w:hAnsi="Courier New"/>
          <w:sz w:val="16"/>
        </w:rPr>
        <w:t>MaxQoe:</w:t>
      </w:r>
    </w:p>
    <w:p w14:paraId="02D50738"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$ref: 'TS29571_CommonData.yaml#/components/schemas/Float'</w:t>
      </w:r>
    </w:p>
    <w:p w14:paraId="4182B135"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predict</w:t>
      </w:r>
      <w:r>
        <w:rPr>
          <w:rFonts w:ascii="Courier New" w:hAnsi="Courier New"/>
          <w:sz w:val="16"/>
        </w:rPr>
        <w:t>ed</w:t>
      </w:r>
      <w:r w:rsidRPr="001828F4">
        <w:rPr>
          <w:rFonts w:ascii="Courier New" w:hAnsi="Courier New"/>
          <w:sz w:val="16"/>
        </w:rPr>
        <w:t>MinQoe:</w:t>
      </w:r>
    </w:p>
    <w:p w14:paraId="4DD50B2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$ref: 'TS29571_CommonData.yaml#/components/schemas/Float'</w:t>
      </w:r>
    </w:p>
    <w:p w14:paraId="0118EFC5"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predQoeVariance</w:t>
      </w:r>
      <w:r w:rsidRPr="001844E4">
        <w:rPr>
          <w:rFonts w:ascii="Courier New" w:hAnsi="Courier New"/>
          <w:sz w:val="16"/>
        </w:rPr>
        <w:t>:</w:t>
      </w:r>
    </w:p>
    <w:p w14:paraId="34B318EE"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A3427">
        <w:rPr>
          <w:rFonts w:ascii="Courier New" w:hAnsi="Courier New"/>
          <w:sz w:val="16"/>
        </w:rPr>
        <w:t xml:space="preserve">          $ref: 'TS29571_CommonData.yaml#/components/schemas/Float'</w:t>
      </w:r>
    </w:p>
    <w:p w14:paraId="55D03D6D" w14:textId="77777777" w:rsidR="00BD7657" w:rsidRPr="00774865" w:rsidRDefault="00BD7657" w:rsidP="00BD7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w:t>
      </w:r>
      <w:r>
        <w:rPr>
          <w:rFonts w:ascii="Courier New" w:hAnsi="Courier New"/>
          <w:sz w:val="16"/>
        </w:rPr>
        <w:t>qosPolTimeWin</w:t>
      </w:r>
      <w:r w:rsidRPr="00774865">
        <w:rPr>
          <w:rFonts w:ascii="Courier New" w:hAnsi="Courier New"/>
          <w:sz w:val="16"/>
        </w:rPr>
        <w:t>:</w:t>
      </w:r>
    </w:p>
    <w:p w14:paraId="30D15135" w14:textId="77777777" w:rsidR="00BD7657" w:rsidRDefault="00BD7657" w:rsidP="00BD7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4865">
        <w:rPr>
          <w:rFonts w:ascii="Courier New" w:hAnsi="Courier New"/>
          <w:sz w:val="16"/>
        </w:rPr>
        <w:t xml:space="preserve">          $ref: 'TS29122_CommonData.yaml#/components/schemas/TimeWindow'</w:t>
      </w:r>
    </w:p>
    <w:p w14:paraId="69252EE0"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freq</w:t>
      </w:r>
      <w:r>
        <w:rPr>
          <w:rFonts w:ascii="Courier New" w:hAnsi="Courier New"/>
          <w:sz w:val="16"/>
        </w:rPr>
        <w:t>s</w:t>
      </w:r>
      <w:r w:rsidRPr="005D29D0">
        <w:rPr>
          <w:rFonts w:ascii="Courier New" w:hAnsi="Courier New"/>
          <w:sz w:val="16"/>
        </w:rPr>
        <w:t>:</w:t>
      </w:r>
    </w:p>
    <w:p w14:paraId="5284324C"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type: array</w:t>
      </w:r>
    </w:p>
    <w:p w14:paraId="348A6F2B"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items:</w:t>
      </w:r>
    </w:p>
    <w:p w14:paraId="3DD78B21"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w:t>
      </w:r>
      <w:r>
        <w:rPr>
          <w:rFonts w:ascii="Courier New" w:hAnsi="Courier New"/>
          <w:sz w:val="16"/>
        </w:rPr>
        <w:t xml:space="preserve">  </w:t>
      </w:r>
      <w:r w:rsidRPr="005D29D0">
        <w:rPr>
          <w:rFonts w:ascii="Courier New" w:hAnsi="Courier New"/>
          <w:sz w:val="16"/>
        </w:rPr>
        <w:t xml:space="preserve">  $ref: 'TS29571_CommonData.yaml#/components/schemas/ArfcnValueNR'</w:t>
      </w:r>
    </w:p>
    <w:p w14:paraId="110147E9"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minItems: 1</w:t>
      </w:r>
    </w:p>
    <w:p w14:paraId="79305DBA" w14:textId="77777777" w:rsidR="00445D8C" w:rsidRPr="005D29D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ratType</w:t>
      </w:r>
      <w:r>
        <w:rPr>
          <w:rFonts w:ascii="Courier New" w:hAnsi="Courier New"/>
          <w:sz w:val="16"/>
        </w:rPr>
        <w:t>s</w:t>
      </w:r>
      <w:r w:rsidRPr="005D29D0">
        <w:rPr>
          <w:rFonts w:ascii="Courier New" w:hAnsi="Courier New"/>
          <w:sz w:val="16"/>
        </w:rPr>
        <w:t>:</w:t>
      </w:r>
    </w:p>
    <w:p w14:paraId="4F88AF97" w14:textId="77777777" w:rsidR="00445D8C" w:rsidRPr="00150500"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7217" w:name="_Hlk192027443"/>
      <w:r w:rsidRPr="00150500">
        <w:rPr>
          <w:rFonts w:ascii="Courier New" w:hAnsi="Courier New"/>
          <w:sz w:val="16"/>
        </w:rPr>
        <w:t xml:space="preserve">          type: array</w:t>
      </w:r>
    </w:p>
    <w:p w14:paraId="49C519FC"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t xml:space="preserve">          items:</w:t>
      </w:r>
    </w:p>
    <w:bookmarkEnd w:id="17217"/>
    <w:p w14:paraId="2982A221"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D29D0">
        <w:rPr>
          <w:rFonts w:ascii="Courier New" w:hAnsi="Courier New"/>
          <w:sz w:val="16"/>
        </w:rPr>
        <w:t xml:space="preserve">          </w:t>
      </w:r>
      <w:r>
        <w:rPr>
          <w:rFonts w:ascii="Courier New" w:hAnsi="Courier New"/>
          <w:sz w:val="16"/>
        </w:rPr>
        <w:t xml:space="preserve">  </w:t>
      </w:r>
      <w:r w:rsidRPr="005D29D0">
        <w:rPr>
          <w:rFonts w:ascii="Courier New" w:hAnsi="Courier New"/>
          <w:sz w:val="16"/>
        </w:rPr>
        <w:t>$ref: 'TS29571_CommonData.yaml#/components/schemas/RatType'</w:t>
      </w:r>
    </w:p>
    <w:p w14:paraId="13928DB4"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0500">
        <w:rPr>
          <w:rFonts w:ascii="Courier New" w:hAnsi="Courier New"/>
          <w:sz w:val="16"/>
        </w:rPr>
        <w:lastRenderedPageBreak/>
        <w:t xml:space="preserve">          minItems: 1</w:t>
      </w:r>
    </w:p>
    <w:p w14:paraId="7852F154"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validityPeriod:</w:t>
      </w:r>
    </w:p>
    <w:p w14:paraId="21011389"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'TS29122_CommonData.yaml#/components/schemas/TimeWindow'</w:t>
      </w:r>
    </w:p>
    <w:p w14:paraId="41573786"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spatialValidity:</w:t>
      </w:r>
    </w:p>
    <w:p w14:paraId="49F9F7D4"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'TS29554_Npcf_BDTPolicyControl.yaml#/components/schemas/NetworkAreaInfo'</w:t>
      </w:r>
    </w:p>
    <w:p w14:paraId="15A56C4A"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w:t>
      </w:r>
      <w:r>
        <w:rPr>
          <w:rFonts w:ascii="Courier New" w:hAnsi="Courier New"/>
          <w:sz w:val="16"/>
        </w:rPr>
        <w:t>maxQoSFlowUsgDur</w:t>
      </w:r>
      <w:r w:rsidRPr="001D2705">
        <w:rPr>
          <w:rFonts w:ascii="Courier New" w:hAnsi="Courier New"/>
          <w:sz w:val="16"/>
        </w:rPr>
        <w:t>:</w:t>
      </w:r>
    </w:p>
    <w:p w14:paraId="0638186C" w14:textId="77777777" w:rsidR="00445D8C" w:rsidRPr="00456F7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'TS29571_CommonData.yaml#/components/schemas/DurationSec'</w:t>
      </w:r>
    </w:p>
    <w:p w14:paraId="310D89ED"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w:t>
      </w:r>
      <w:r>
        <w:rPr>
          <w:rFonts w:ascii="Courier New" w:hAnsi="Courier New"/>
          <w:sz w:val="16"/>
        </w:rPr>
        <w:t>minQoSFlowUsgDur</w:t>
      </w:r>
      <w:r w:rsidRPr="001D2705">
        <w:rPr>
          <w:rFonts w:ascii="Courier New" w:hAnsi="Courier New"/>
          <w:sz w:val="16"/>
        </w:rPr>
        <w:t>:</w:t>
      </w:r>
    </w:p>
    <w:p w14:paraId="6F7126C1"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'TS29571_CommonData.yaml#/components/schemas/DurationSec'</w:t>
      </w:r>
    </w:p>
    <w:p w14:paraId="62E8BC43" w14:textId="77777777" w:rsidR="00445D8C" w:rsidRPr="001D2705"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w:t>
      </w:r>
      <w:r>
        <w:rPr>
          <w:rFonts w:ascii="Courier New" w:hAnsi="Courier New"/>
          <w:sz w:val="16"/>
        </w:rPr>
        <w:t>avgQoSFlowUsgDur</w:t>
      </w:r>
      <w:r w:rsidRPr="001D2705">
        <w:rPr>
          <w:rFonts w:ascii="Courier New" w:hAnsi="Courier New"/>
          <w:sz w:val="16"/>
        </w:rPr>
        <w:t>:</w:t>
      </w:r>
    </w:p>
    <w:p w14:paraId="158B43D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D2705">
        <w:rPr>
          <w:rFonts w:ascii="Courier New" w:hAnsi="Courier New"/>
          <w:sz w:val="16"/>
        </w:rPr>
        <w:t xml:space="preserve">          $ref: 'TS29571_CommonData.yaml#/components/schemas/DurationSec'</w:t>
      </w:r>
    </w:p>
    <w:p w14:paraId="1AB54481"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qosFlowUsgNumber</w:t>
      </w:r>
      <w:r w:rsidRPr="001844E4">
        <w:rPr>
          <w:rFonts w:ascii="Courier New" w:hAnsi="Courier New"/>
          <w:sz w:val="16"/>
        </w:rPr>
        <w:t>:</w:t>
      </w:r>
    </w:p>
    <w:p w14:paraId="3711B65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A3427">
        <w:rPr>
          <w:rFonts w:ascii="Courier New" w:hAnsi="Courier New"/>
          <w:sz w:val="16"/>
        </w:rPr>
        <w:t xml:space="preserve">          $ref: 'TS29571_CommonData.yaml#/components/schemas/</w:t>
      </w:r>
      <w:r>
        <w:rPr>
          <w:rFonts w:ascii="Courier New" w:hAnsi="Courier New"/>
          <w:sz w:val="16"/>
        </w:rPr>
        <w:t>Uinteger</w:t>
      </w:r>
      <w:r w:rsidRPr="005D29D0">
        <w:rPr>
          <w:rFonts w:ascii="Courier New" w:hAnsi="Courier New"/>
          <w:sz w:val="16"/>
        </w:rPr>
        <w:t>'</w:t>
      </w:r>
    </w:p>
    <w:p w14:paraId="3D8D31A0" w14:textId="77777777" w:rsidR="00445D8C" w:rsidRDefault="00445D8C" w:rsidP="00445D8C">
      <w:pPr>
        <w:pStyle w:val="PL"/>
      </w:pPr>
      <w:r>
        <w:t xml:space="preserve">      anyOf:</w:t>
      </w:r>
    </w:p>
    <w:p w14:paraId="6CB590ED" w14:textId="77777777" w:rsidR="00445D8C" w:rsidRDefault="00445D8C" w:rsidP="00445D8C">
      <w:pPr>
        <w:pStyle w:val="PL"/>
      </w:pPr>
      <w:r>
        <w:t xml:space="preserve">        - required: [predictedAvgQoe]</w:t>
      </w:r>
    </w:p>
    <w:p w14:paraId="0C85D115" w14:textId="77777777" w:rsidR="00445D8C" w:rsidRDefault="00445D8C" w:rsidP="00445D8C">
      <w:pPr>
        <w:pStyle w:val="PL"/>
      </w:pPr>
      <w:r>
        <w:t xml:space="preserve">        - required: [predictedMaxQoe]</w:t>
      </w:r>
    </w:p>
    <w:p w14:paraId="04B2C536" w14:textId="77777777" w:rsidR="00445D8C" w:rsidRPr="001828F4"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 required: [p</w:t>
      </w:r>
      <w:r>
        <w:rPr>
          <w:rFonts w:ascii="Courier New" w:hAnsi="Courier New"/>
          <w:sz w:val="16"/>
        </w:rPr>
        <w:t>redictedMinQoe</w:t>
      </w:r>
      <w:r w:rsidRPr="001828F4">
        <w:rPr>
          <w:rFonts w:ascii="Courier New" w:hAnsi="Courier New"/>
          <w:sz w:val="16"/>
        </w:rPr>
        <w:t>]</w:t>
      </w:r>
    </w:p>
    <w:p w14:paraId="59444D08"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28F4">
        <w:rPr>
          <w:rFonts w:ascii="Courier New" w:hAnsi="Courier New"/>
          <w:sz w:val="16"/>
        </w:rPr>
        <w:t xml:space="preserve">        - required: [</w:t>
      </w:r>
      <w:r>
        <w:rPr>
          <w:rFonts w:ascii="Courier New" w:hAnsi="Courier New"/>
          <w:sz w:val="16"/>
        </w:rPr>
        <w:t>predQoeVariance</w:t>
      </w:r>
      <w:r w:rsidRPr="001828F4">
        <w:rPr>
          <w:rFonts w:ascii="Courier New" w:hAnsi="Courier New"/>
          <w:sz w:val="16"/>
        </w:rPr>
        <w:t>]</w:t>
      </w:r>
    </w:p>
    <w:p w14:paraId="2C4C1063" w14:textId="77777777" w:rsidR="00445D8C" w:rsidRPr="00B84C38"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4C38">
        <w:rPr>
          <w:rFonts w:ascii="Courier New" w:hAnsi="Courier New"/>
          <w:sz w:val="16"/>
        </w:rPr>
        <w:t xml:space="preserve">      oneOf:</w:t>
      </w:r>
    </w:p>
    <w:p w14:paraId="7D1D6FB1" w14:textId="77777777" w:rsidR="00445D8C" w:rsidRPr="00B84C38"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4C38">
        <w:rPr>
          <w:rFonts w:ascii="Courier New" w:hAnsi="Courier New"/>
          <w:sz w:val="16"/>
        </w:rPr>
        <w:t xml:space="preserve">        - required: [</w:t>
      </w:r>
      <w:r>
        <w:rPr>
          <w:rFonts w:ascii="Courier New" w:hAnsi="Courier New"/>
          <w:sz w:val="16"/>
        </w:rPr>
        <w:t>appId</w:t>
      </w:r>
      <w:r w:rsidRPr="00B84C38">
        <w:rPr>
          <w:rFonts w:ascii="Courier New" w:hAnsi="Courier New"/>
          <w:sz w:val="16"/>
        </w:rPr>
        <w:t>]</w:t>
      </w:r>
    </w:p>
    <w:p w14:paraId="6D52CF4F"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4C38">
        <w:rPr>
          <w:rFonts w:ascii="Courier New" w:hAnsi="Courier New"/>
          <w:sz w:val="16"/>
        </w:rPr>
        <w:t xml:space="preserve">        - required: [</w:t>
      </w:r>
      <w:r>
        <w:rPr>
          <w:rFonts w:ascii="Courier New" w:hAnsi="Courier New"/>
          <w:sz w:val="16"/>
        </w:rPr>
        <w:t>fDescs</w:t>
      </w:r>
      <w:r w:rsidRPr="00B84C38">
        <w:rPr>
          <w:rFonts w:ascii="Courier New" w:hAnsi="Courier New"/>
          <w:sz w:val="16"/>
        </w:rPr>
        <w:t>]</w:t>
      </w:r>
    </w:p>
    <w:p w14:paraId="1CE80D33"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4F2EFA"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QosPolicyAssistSetsPerTS:</w:t>
      </w:r>
    </w:p>
    <w:p w14:paraId="31C9F14E"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QoS and policy assistance</w:t>
      </w:r>
      <w:r w:rsidRPr="00685A57">
        <w:rPr>
          <w:rFonts w:ascii="Courier New" w:hAnsi="Courier New"/>
          <w:sz w:val="16"/>
        </w:rPr>
        <w:t xml:space="preserve"> </w:t>
      </w:r>
      <w:r>
        <w:rPr>
          <w:rFonts w:ascii="Courier New" w:hAnsi="Courier New"/>
          <w:sz w:val="16"/>
        </w:rPr>
        <w:t>parameter sets per Time Slot</w:t>
      </w:r>
      <w:r w:rsidRPr="00685A57">
        <w:rPr>
          <w:rFonts w:ascii="Courier New" w:hAnsi="Courier New"/>
          <w:sz w:val="16"/>
        </w:rPr>
        <w:t>.</w:t>
      </w:r>
    </w:p>
    <w:p w14:paraId="2B3B17ED"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1511A9BB"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1A91B1C"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tsStart:</w:t>
      </w:r>
    </w:p>
    <w:p w14:paraId="2F81F982"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$ref: 'TS29571_CommonData.yaml#/components/schemas/DateTime'</w:t>
      </w:r>
    </w:p>
    <w:p w14:paraId="284DBF21"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tsDuration:</w:t>
      </w:r>
    </w:p>
    <w:p w14:paraId="49AA12BB"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$ref: 'TS29571_CommonData.yaml#/components/schemas/DurationSec'</w:t>
      </w:r>
    </w:p>
    <w:p w14:paraId="1C9D5D3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844E4">
        <w:rPr>
          <w:rFonts w:ascii="Courier New" w:hAnsi="Courier New"/>
          <w:sz w:val="16"/>
        </w:rPr>
        <w:t xml:space="preserve">        </w:t>
      </w:r>
      <w:r>
        <w:rPr>
          <w:rFonts w:ascii="Courier New" w:hAnsi="Courier New"/>
          <w:sz w:val="16"/>
        </w:rPr>
        <w:t>qosPolAssistSets</w:t>
      </w:r>
      <w:r w:rsidRPr="001844E4">
        <w:rPr>
          <w:rFonts w:ascii="Courier New" w:hAnsi="Courier New"/>
          <w:sz w:val="16"/>
        </w:rPr>
        <w:t>:</w:t>
      </w:r>
    </w:p>
    <w:p w14:paraId="5C0CB854" w14:textId="77777777" w:rsidR="00445D8C" w:rsidRPr="008F520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520C">
        <w:rPr>
          <w:rFonts w:ascii="Courier New" w:hAnsi="Courier New"/>
          <w:sz w:val="16"/>
        </w:rPr>
        <w:t xml:space="preserve">          type: array</w:t>
      </w:r>
    </w:p>
    <w:p w14:paraId="6F0849B3"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520C">
        <w:rPr>
          <w:rFonts w:ascii="Courier New" w:hAnsi="Courier New"/>
          <w:sz w:val="16"/>
        </w:rPr>
        <w:t xml:space="preserve">          items:</w:t>
      </w:r>
    </w:p>
    <w:p w14:paraId="2C005A67"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1844E4">
        <w:rPr>
          <w:rFonts w:ascii="Courier New" w:hAnsi="Courier New"/>
          <w:sz w:val="16"/>
        </w:rPr>
        <w:t xml:space="preserve">        $ref: '#/components/schemas/</w:t>
      </w:r>
      <w:r>
        <w:rPr>
          <w:rFonts w:ascii="Courier New" w:hAnsi="Courier New"/>
          <w:sz w:val="16"/>
        </w:rPr>
        <w:t>QosPolicyAssistSet</w:t>
      </w:r>
      <w:r w:rsidRPr="00A0003D">
        <w:rPr>
          <w:rFonts w:ascii="Courier New" w:hAnsi="Courier New"/>
          <w:sz w:val="16"/>
        </w:rPr>
        <w:t>'</w:t>
      </w:r>
    </w:p>
    <w:p w14:paraId="2498FD5B"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F520C">
        <w:rPr>
          <w:rFonts w:ascii="Courier New" w:hAnsi="Courier New"/>
          <w:sz w:val="16"/>
        </w:rPr>
        <w:t xml:space="preserve">          minItems: 1</w:t>
      </w:r>
    </w:p>
    <w:p w14:paraId="1C3C6108" w14:textId="77777777" w:rsidR="00445D8C" w:rsidRPr="00ED6D91"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confidence:</w:t>
      </w:r>
    </w:p>
    <w:p w14:paraId="536322A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6D91">
        <w:rPr>
          <w:rFonts w:ascii="Courier New" w:hAnsi="Courier New"/>
          <w:sz w:val="16"/>
        </w:rPr>
        <w:t xml:space="preserve">          $ref: 'TS29571_CommonData.yaml#/components/schemas/Uinteger'</w:t>
      </w:r>
    </w:p>
    <w:p w14:paraId="1D347992" w14:textId="77777777" w:rsidR="00445D8C" w:rsidRDefault="00445D8C" w:rsidP="00445D8C">
      <w:pPr>
        <w:pStyle w:val="PL"/>
      </w:pPr>
      <w:r>
        <w:t xml:space="preserve">      required:</w:t>
      </w:r>
    </w:p>
    <w:p w14:paraId="01288BEB" w14:textId="77777777" w:rsidR="00445D8C" w:rsidRPr="00ED6D91" w:rsidRDefault="00445D8C" w:rsidP="00445D8C">
      <w:pPr>
        <w:pStyle w:val="PL"/>
      </w:pPr>
      <w:r w:rsidRPr="00ED6D91">
        <w:t xml:space="preserve">        - tsStart</w:t>
      </w:r>
    </w:p>
    <w:p w14:paraId="0B8C5A7D" w14:textId="77777777" w:rsidR="00445D8C" w:rsidRDefault="00445D8C" w:rsidP="00445D8C">
      <w:pPr>
        <w:pStyle w:val="PL"/>
      </w:pPr>
      <w:r w:rsidRPr="00ED6D91">
        <w:t xml:space="preserve">        - tsDuration</w:t>
      </w:r>
    </w:p>
    <w:p w14:paraId="22783605" w14:textId="77777777" w:rsidR="00445D8C" w:rsidRDefault="00445D8C" w:rsidP="00445D8C">
      <w:pPr>
        <w:pStyle w:val="PL"/>
      </w:pPr>
      <w:r>
        <w:t xml:space="preserve">        - qosPolAssistSets</w:t>
      </w:r>
    </w:p>
    <w:p w14:paraId="78BD1D2A" w14:textId="77777777" w:rsidR="00445D8C" w:rsidRDefault="00445D8C" w:rsidP="00445D8C">
      <w:pPr>
        <w:pStyle w:val="PL"/>
      </w:pPr>
    </w:p>
    <w:p w14:paraId="0A14D76C"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E1E45">
        <w:rPr>
          <w:rFonts w:ascii="Courier New" w:hAnsi="Courier New"/>
          <w:sz w:val="16"/>
        </w:rPr>
        <w:t>Qo</w:t>
      </w:r>
      <w:r>
        <w:rPr>
          <w:rFonts w:ascii="Courier New" w:hAnsi="Courier New"/>
          <w:sz w:val="16"/>
        </w:rPr>
        <w:t>s</w:t>
      </w:r>
      <w:r w:rsidRPr="002E1E45">
        <w:rPr>
          <w:rFonts w:ascii="Courier New" w:hAnsi="Courier New"/>
          <w:sz w:val="16"/>
        </w:rPr>
        <w:t>Para</w:t>
      </w:r>
      <w:r>
        <w:rPr>
          <w:rFonts w:ascii="Courier New" w:hAnsi="Courier New"/>
          <w:sz w:val="16"/>
        </w:rPr>
        <w:t>:</w:t>
      </w:r>
    </w:p>
    <w:p w14:paraId="5C990F8B" w14:textId="77777777" w:rsidR="00445D8C" w:rsidRPr="00685A57"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w:t>
      </w:r>
      <w:r w:rsidRPr="00685A57">
        <w:rPr>
          <w:rFonts w:ascii="Courier New" w:hAnsi="Courier New"/>
          <w:sz w:val="16"/>
        </w:rPr>
        <w:t xml:space="preserve">The </w:t>
      </w:r>
      <w:r>
        <w:rPr>
          <w:rFonts w:ascii="Courier New" w:hAnsi="Courier New"/>
          <w:sz w:val="16"/>
        </w:rPr>
        <w:t>values of the QoS parameters</w:t>
      </w:r>
      <w:r w:rsidRPr="00685A57">
        <w:rPr>
          <w:rFonts w:ascii="Courier New" w:hAnsi="Courier New"/>
          <w:sz w:val="16"/>
        </w:rPr>
        <w:t>.</w:t>
      </w:r>
    </w:p>
    <w:p w14:paraId="76F62202"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5B8390C0" w14:textId="77777777" w:rsidR="00445D8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6154F07D" w14:textId="77777777" w:rsidR="00445D8C" w:rsidRDefault="00445D8C" w:rsidP="00445D8C">
      <w:pPr>
        <w:pStyle w:val="PL"/>
      </w:pPr>
      <w:r>
        <w:t xml:space="preserve">        </w:t>
      </w:r>
      <w:r>
        <w:rPr>
          <w:rFonts w:hint="eastAsia"/>
          <w:lang w:eastAsia="zh-CN"/>
        </w:rPr>
        <w:t>q</w:t>
      </w:r>
      <w:r>
        <w:rPr>
          <w:lang w:eastAsia="zh-CN"/>
        </w:rPr>
        <w:t>osParamSetId</w:t>
      </w:r>
      <w:r>
        <w:t>:</w:t>
      </w:r>
    </w:p>
    <w:p w14:paraId="129AC3FA" w14:textId="77777777" w:rsidR="00445D8C" w:rsidRDefault="00445D8C" w:rsidP="00445D8C">
      <w:pPr>
        <w:pStyle w:val="PL"/>
      </w:pPr>
      <w:r>
        <w:t xml:space="preserve">          type: string</w:t>
      </w:r>
    </w:p>
    <w:p w14:paraId="565D1C1F" w14:textId="77777777" w:rsidR="00445D8C" w:rsidRDefault="00445D8C" w:rsidP="00445D8C">
      <w:pPr>
        <w:pStyle w:val="PL"/>
      </w:pPr>
      <w:r>
        <w:t xml:space="preserve">          description: </w:t>
      </w:r>
      <w:r w:rsidRPr="002C3E8D">
        <w:t>Identifies the QoS parameter set.</w:t>
      </w:r>
    </w:p>
    <w:p w14:paraId="4D0CA3FB" w14:textId="77777777" w:rsidR="00445D8C" w:rsidRDefault="00445D8C" w:rsidP="00445D8C">
      <w:pPr>
        <w:pStyle w:val="PL"/>
      </w:pPr>
      <w:r>
        <w:t xml:space="preserve">        </w:t>
      </w:r>
      <w:r>
        <w:rPr>
          <w:rFonts w:hint="eastAsia"/>
          <w:lang w:eastAsia="zh-CN"/>
        </w:rPr>
        <w:t>5</w:t>
      </w:r>
      <w:r>
        <w:rPr>
          <w:lang w:eastAsia="zh-CN"/>
        </w:rPr>
        <w:t>qi</w:t>
      </w:r>
      <w:r>
        <w:t>:</w:t>
      </w:r>
    </w:p>
    <w:p w14:paraId="78FBC266" w14:textId="77777777" w:rsidR="00445D8C" w:rsidRDefault="00445D8C" w:rsidP="00445D8C">
      <w:pPr>
        <w:pStyle w:val="PL"/>
      </w:pPr>
      <w:r>
        <w:t xml:space="preserve">          $ref: 'TS29571_CommonData.yaml#/components/schemas/5Qi'</w:t>
      </w:r>
    </w:p>
    <w:p w14:paraId="6D5DCAAC" w14:textId="77777777" w:rsidR="00445D8C" w:rsidRDefault="00445D8C" w:rsidP="00445D8C">
      <w:pPr>
        <w:pStyle w:val="PL"/>
      </w:pPr>
      <w:r>
        <w:t xml:space="preserve">        </w:t>
      </w:r>
      <w:r>
        <w:rPr>
          <w:lang w:eastAsia="zh-CN"/>
        </w:rPr>
        <w:t>priorityLvl</w:t>
      </w:r>
      <w:r>
        <w:t>:</w:t>
      </w:r>
    </w:p>
    <w:p w14:paraId="42351FFF" w14:textId="77777777" w:rsidR="00445D8C" w:rsidRDefault="00445D8C" w:rsidP="00445D8C">
      <w:pPr>
        <w:pStyle w:val="PL"/>
      </w:pPr>
      <w:r>
        <w:t xml:space="preserve">          $ref: 'TS29571_CommonData.yaml#/components/schemas/</w:t>
      </w:r>
      <w:r w:rsidRPr="00F11966">
        <w:t>5QiPriorityLevel</w:t>
      </w:r>
      <w:r>
        <w:t>'</w:t>
      </w:r>
    </w:p>
    <w:p w14:paraId="0B1948B1" w14:textId="77777777" w:rsidR="00445D8C" w:rsidRDefault="00445D8C" w:rsidP="00445D8C">
      <w:pPr>
        <w:pStyle w:val="PL"/>
      </w:pPr>
      <w:r>
        <w:t xml:space="preserve">        </w:t>
      </w:r>
      <w:r>
        <w:rPr>
          <w:rFonts w:hint="eastAsia"/>
          <w:lang w:eastAsia="zh-CN"/>
        </w:rPr>
        <w:t>r</w:t>
      </w:r>
      <w:r>
        <w:rPr>
          <w:lang w:eastAsia="zh-CN"/>
        </w:rPr>
        <w:t>scType</w:t>
      </w:r>
      <w:r>
        <w:t>:</w:t>
      </w:r>
    </w:p>
    <w:p w14:paraId="6406539D" w14:textId="77777777" w:rsidR="00445D8C" w:rsidRDefault="00445D8C" w:rsidP="00445D8C">
      <w:pPr>
        <w:pStyle w:val="PL"/>
      </w:pPr>
      <w:r>
        <w:t xml:space="preserve">          $ref: 'TS29571_CommonData.yaml#/components/schemas/QosResourceType'</w:t>
      </w:r>
    </w:p>
    <w:p w14:paraId="61C29968" w14:textId="77777777" w:rsidR="00445D8C" w:rsidRDefault="00445D8C" w:rsidP="00445D8C">
      <w:pPr>
        <w:pStyle w:val="PL"/>
      </w:pPr>
      <w:r>
        <w:t xml:space="preserve">        </w:t>
      </w:r>
      <w:r>
        <w:rPr>
          <w:rFonts w:hint="eastAsia"/>
          <w:lang w:eastAsia="zh-CN"/>
        </w:rPr>
        <w:t>p</w:t>
      </w:r>
      <w:r>
        <w:rPr>
          <w:lang w:eastAsia="zh-CN"/>
        </w:rPr>
        <w:t>db</w:t>
      </w:r>
      <w:r>
        <w:t>:</w:t>
      </w:r>
    </w:p>
    <w:p w14:paraId="01840FCA" w14:textId="77777777" w:rsidR="00445D8C" w:rsidRDefault="00445D8C" w:rsidP="00445D8C">
      <w:pPr>
        <w:pStyle w:val="PL"/>
      </w:pPr>
      <w:r>
        <w:t xml:space="preserve">          $ref: 'TS29571_CommonData.yaml#/components/schemas/PacketDelBudget'</w:t>
      </w:r>
    </w:p>
    <w:p w14:paraId="425E662A" w14:textId="77777777" w:rsidR="00445D8C" w:rsidRDefault="00445D8C" w:rsidP="00445D8C">
      <w:pPr>
        <w:pStyle w:val="PL"/>
      </w:pPr>
      <w:r>
        <w:t xml:space="preserve">        </w:t>
      </w:r>
      <w:r>
        <w:rPr>
          <w:rFonts w:hint="eastAsia"/>
          <w:lang w:eastAsia="zh-CN"/>
        </w:rPr>
        <w:t>p</w:t>
      </w:r>
      <w:r>
        <w:rPr>
          <w:lang w:eastAsia="zh-CN"/>
        </w:rPr>
        <w:t>er</w:t>
      </w:r>
      <w:r>
        <w:t>:</w:t>
      </w:r>
    </w:p>
    <w:p w14:paraId="3A82326D" w14:textId="77777777" w:rsidR="00445D8C" w:rsidRDefault="00445D8C" w:rsidP="00445D8C">
      <w:pPr>
        <w:pStyle w:val="PL"/>
      </w:pPr>
      <w:r>
        <w:t xml:space="preserve">          $ref: 'TS29571_CommonData.yaml#/components/schemas/PacketErrRate'</w:t>
      </w:r>
    </w:p>
    <w:p w14:paraId="2FD54462" w14:textId="77777777" w:rsidR="00445D8C" w:rsidRDefault="00445D8C" w:rsidP="00445D8C">
      <w:pPr>
        <w:pStyle w:val="PL"/>
      </w:pPr>
      <w:r>
        <w:t xml:space="preserve">        g</w:t>
      </w:r>
      <w:r>
        <w:rPr>
          <w:lang w:eastAsia="zh-CN"/>
        </w:rPr>
        <w:t>brUl</w:t>
      </w:r>
      <w:r>
        <w:t>:</w:t>
      </w:r>
    </w:p>
    <w:p w14:paraId="23AD33B4" w14:textId="77777777" w:rsidR="00445D8C" w:rsidRDefault="00445D8C" w:rsidP="00445D8C">
      <w:pPr>
        <w:pStyle w:val="PL"/>
      </w:pPr>
      <w:r>
        <w:t xml:space="preserve">          $ref: 'TS29571_CommonData.yaml#/components/schemas/BitRate'</w:t>
      </w:r>
    </w:p>
    <w:p w14:paraId="46A53A89" w14:textId="77777777" w:rsidR="00445D8C" w:rsidRDefault="00445D8C" w:rsidP="00445D8C">
      <w:pPr>
        <w:pStyle w:val="PL"/>
      </w:pPr>
      <w:r>
        <w:t xml:space="preserve">        g</w:t>
      </w:r>
      <w:r>
        <w:rPr>
          <w:lang w:eastAsia="zh-CN"/>
        </w:rPr>
        <w:t>brDl</w:t>
      </w:r>
      <w:r>
        <w:t>:</w:t>
      </w:r>
    </w:p>
    <w:p w14:paraId="4BC371CF" w14:textId="77777777" w:rsidR="00445D8C" w:rsidRDefault="00445D8C" w:rsidP="00445D8C">
      <w:pPr>
        <w:pStyle w:val="PL"/>
      </w:pPr>
      <w:r>
        <w:t xml:space="preserve">          $ref: 'TS29571_CommonData.yaml#/components/schemas/BitRate'</w:t>
      </w:r>
    </w:p>
    <w:p w14:paraId="23F1FC73" w14:textId="77777777" w:rsidR="00445D8C" w:rsidRDefault="00445D8C" w:rsidP="00445D8C">
      <w:pPr>
        <w:pStyle w:val="PL"/>
      </w:pPr>
      <w:r>
        <w:t xml:space="preserve">        m</w:t>
      </w:r>
      <w:r>
        <w:rPr>
          <w:lang w:eastAsia="zh-CN"/>
        </w:rPr>
        <w:t>brUl</w:t>
      </w:r>
      <w:r>
        <w:t>:</w:t>
      </w:r>
    </w:p>
    <w:p w14:paraId="156E90FC" w14:textId="77777777" w:rsidR="00445D8C" w:rsidRDefault="00445D8C" w:rsidP="00445D8C">
      <w:pPr>
        <w:pStyle w:val="PL"/>
      </w:pPr>
      <w:r>
        <w:t xml:space="preserve">          $ref: 'TS29571_CommonData.yaml#/components/schemas/BitRate'</w:t>
      </w:r>
    </w:p>
    <w:p w14:paraId="4DBCD8C8" w14:textId="77777777" w:rsidR="00445D8C" w:rsidRDefault="00445D8C" w:rsidP="00445D8C">
      <w:pPr>
        <w:pStyle w:val="PL"/>
      </w:pPr>
      <w:r>
        <w:t xml:space="preserve">        m</w:t>
      </w:r>
      <w:r>
        <w:rPr>
          <w:lang w:eastAsia="zh-CN"/>
        </w:rPr>
        <w:t>brDl</w:t>
      </w:r>
      <w:r>
        <w:t>:</w:t>
      </w:r>
    </w:p>
    <w:p w14:paraId="60D54433" w14:textId="77777777" w:rsidR="00445D8C" w:rsidRDefault="00445D8C" w:rsidP="00445D8C">
      <w:pPr>
        <w:pStyle w:val="PL"/>
      </w:pPr>
      <w:r>
        <w:t xml:space="preserve">          $ref: 'TS29571_CommonData.yaml#/components/schemas/BitRate'</w:t>
      </w:r>
    </w:p>
    <w:p w14:paraId="70A646AB" w14:textId="77777777" w:rsidR="00445D8C" w:rsidRDefault="00445D8C" w:rsidP="00445D8C">
      <w:pPr>
        <w:pStyle w:val="PL"/>
      </w:pPr>
      <w:r>
        <w:t xml:space="preserve">        m</w:t>
      </w:r>
      <w:r>
        <w:rPr>
          <w:lang w:eastAsia="zh-CN"/>
        </w:rPr>
        <w:t>axPlrUl</w:t>
      </w:r>
      <w:r>
        <w:t>:</w:t>
      </w:r>
    </w:p>
    <w:p w14:paraId="35F20EC6" w14:textId="77777777" w:rsidR="00445D8C" w:rsidRDefault="00445D8C" w:rsidP="00445D8C">
      <w:pPr>
        <w:pStyle w:val="PL"/>
      </w:pPr>
      <w:r>
        <w:t xml:space="preserve">          $ref: 'TS29571_CommonData.yaml#/components/schemas/</w:t>
      </w:r>
      <w:r w:rsidRPr="00F11966">
        <w:t>PacketLossRate</w:t>
      </w:r>
      <w:r>
        <w:t>'</w:t>
      </w:r>
    </w:p>
    <w:p w14:paraId="222D9720" w14:textId="77777777" w:rsidR="00445D8C" w:rsidRDefault="00445D8C" w:rsidP="00445D8C">
      <w:pPr>
        <w:pStyle w:val="PL"/>
      </w:pPr>
      <w:r>
        <w:t xml:space="preserve">        m</w:t>
      </w:r>
      <w:r>
        <w:rPr>
          <w:lang w:eastAsia="zh-CN"/>
        </w:rPr>
        <w:t>axPlrDl</w:t>
      </w:r>
      <w:r>
        <w:t>:</w:t>
      </w:r>
    </w:p>
    <w:p w14:paraId="4A0B6E42" w14:textId="77777777" w:rsidR="00445D8C" w:rsidRDefault="00445D8C" w:rsidP="00445D8C">
      <w:pPr>
        <w:pStyle w:val="PL"/>
      </w:pPr>
      <w:r>
        <w:t xml:space="preserve">          $ref: 'TS29571_CommonData.yaml#/components/schemas/</w:t>
      </w:r>
      <w:r w:rsidRPr="00F11966">
        <w:t>PacketLossRate</w:t>
      </w:r>
      <w:r>
        <w:t>'</w:t>
      </w:r>
    </w:p>
    <w:p w14:paraId="3391A654" w14:textId="77777777" w:rsidR="00445D8C" w:rsidRDefault="00445D8C" w:rsidP="00445D8C">
      <w:pPr>
        <w:pStyle w:val="PL"/>
      </w:pPr>
      <w:r>
        <w:t xml:space="preserve">        </w:t>
      </w:r>
      <w:r>
        <w:rPr>
          <w:rFonts w:hint="eastAsia"/>
          <w:lang w:eastAsia="zh-CN"/>
        </w:rPr>
        <w:t>a</w:t>
      </w:r>
      <w:r>
        <w:rPr>
          <w:lang w:eastAsia="zh-CN"/>
        </w:rPr>
        <w:t>vgWin</w:t>
      </w:r>
      <w:r>
        <w:t>:</w:t>
      </w:r>
    </w:p>
    <w:p w14:paraId="75A6C1E0" w14:textId="77777777" w:rsidR="00445D8C" w:rsidRDefault="00445D8C" w:rsidP="00445D8C">
      <w:pPr>
        <w:pStyle w:val="PL"/>
      </w:pPr>
      <w:r>
        <w:t xml:space="preserve">          </w:t>
      </w:r>
      <w:r w:rsidRPr="00F9618C">
        <w:t>$ref: 'TS29571_CommonData.yaml#/components/schemas/AverWindow'</w:t>
      </w:r>
    </w:p>
    <w:p w14:paraId="196894A8" w14:textId="77777777" w:rsidR="00445D8C" w:rsidRDefault="00445D8C" w:rsidP="00445D8C">
      <w:pPr>
        <w:pStyle w:val="PL"/>
      </w:pPr>
      <w:r>
        <w:t xml:space="preserve">        </w:t>
      </w:r>
      <w:r>
        <w:rPr>
          <w:rFonts w:hint="eastAsia"/>
          <w:lang w:eastAsia="zh-CN"/>
        </w:rPr>
        <w:t>m</w:t>
      </w:r>
      <w:r>
        <w:rPr>
          <w:lang w:eastAsia="zh-CN"/>
        </w:rPr>
        <w:t>axDataBurstVol</w:t>
      </w:r>
      <w:r>
        <w:t>:</w:t>
      </w:r>
    </w:p>
    <w:p w14:paraId="5C1BA242" w14:textId="77777777" w:rsidR="00445D8C" w:rsidRDefault="00445D8C" w:rsidP="00445D8C">
      <w:pPr>
        <w:pStyle w:val="PL"/>
      </w:pPr>
      <w:r>
        <w:t xml:space="preserve">          </w:t>
      </w:r>
      <w:r w:rsidRPr="00F9618C">
        <w:t>$ref: 'TS29571_CommonData.yaml#/components/schemas/</w:t>
      </w:r>
      <w:r w:rsidRPr="00F11966">
        <w:t>MaxDataBurstVol</w:t>
      </w:r>
      <w:r>
        <w:t>'</w:t>
      </w:r>
    </w:p>
    <w:p w14:paraId="2B2CA4C8" w14:textId="77777777" w:rsidR="007862A2" w:rsidRDefault="007862A2" w:rsidP="007862A2">
      <w:pPr>
        <w:pStyle w:val="PL"/>
        <w:rPr>
          <w:rFonts w:cs="Courier New"/>
          <w:szCs w:val="16"/>
        </w:rPr>
      </w:pPr>
    </w:p>
    <w:p w14:paraId="6ABA4839" w14:textId="77777777" w:rsidR="007862A2" w:rsidRDefault="007862A2" w:rsidP="007862A2">
      <w:pPr>
        <w:pStyle w:val="PL"/>
        <w:rPr>
          <w:rFonts w:cs="Courier New"/>
          <w:szCs w:val="16"/>
        </w:rPr>
      </w:pPr>
      <w:r>
        <w:rPr>
          <w:rFonts w:cs="Courier New"/>
          <w:szCs w:val="16"/>
        </w:rPr>
        <w:t>#</w:t>
      </w:r>
    </w:p>
    <w:p w14:paraId="07719C0F" w14:textId="77777777" w:rsidR="007862A2" w:rsidRDefault="007862A2" w:rsidP="007862A2">
      <w:pPr>
        <w:pStyle w:val="PL"/>
      </w:pPr>
      <w:r>
        <w:t># ENUMERATIONS DATA TYPES</w:t>
      </w:r>
    </w:p>
    <w:p w14:paraId="2C7CADC3" w14:textId="77777777" w:rsidR="007862A2" w:rsidRDefault="007862A2" w:rsidP="007862A2">
      <w:pPr>
        <w:pStyle w:val="PL"/>
      </w:pPr>
      <w:r>
        <w:lastRenderedPageBreak/>
        <w:t>#</w:t>
      </w:r>
    </w:p>
    <w:p w14:paraId="4622E22A" w14:textId="77777777" w:rsidR="007862A2" w:rsidRDefault="007862A2" w:rsidP="007862A2">
      <w:pPr>
        <w:pStyle w:val="PL"/>
      </w:pPr>
      <w:r>
        <w:t xml:space="preserve">    NotificationMethod:</w:t>
      </w:r>
    </w:p>
    <w:p w14:paraId="434B344F" w14:textId="77777777" w:rsidR="007862A2" w:rsidRDefault="007862A2" w:rsidP="007862A2">
      <w:pPr>
        <w:pStyle w:val="PL"/>
      </w:pPr>
      <w:r>
        <w:t xml:space="preserve">      anyOf:</w:t>
      </w:r>
    </w:p>
    <w:p w14:paraId="37228661" w14:textId="77777777" w:rsidR="007862A2" w:rsidRDefault="007862A2" w:rsidP="007862A2">
      <w:pPr>
        <w:pStyle w:val="PL"/>
      </w:pPr>
      <w:r>
        <w:t xml:space="preserve">      - type: string</w:t>
      </w:r>
    </w:p>
    <w:p w14:paraId="4289FC3F" w14:textId="77777777" w:rsidR="007862A2" w:rsidRDefault="007862A2" w:rsidP="007862A2">
      <w:pPr>
        <w:pStyle w:val="PL"/>
      </w:pPr>
      <w:r>
        <w:t xml:space="preserve">        enum:</w:t>
      </w:r>
    </w:p>
    <w:p w14:paraId="429EE1E4" w14:textId="77777777" w:rsidR="007862A2" w:rsidRDefault="007862A2" w:rsidP="007862A2">
      <w:pPr>
        <w:pStyle w:val="PL"/>
      </w:pPr>
      <w:r>
        <w:t xml:space="preserve">          - PERIODIC</w:t>
      </w:r>
    </w:p>
    <w:p w14:paraId="644CBBF9" w14:textId="77777777" w:rsidR="007862A2" w:rsidRDefault="007862A2" w:rsidP="007862A2">
      <w:pPr>
        <w:pStyle w:val="PL"/>
      </w:pPr>
      <w:r>
        <w:t xml:space="preserve">          - THRESHOLD</w:t>
      </w:r>
    </w:p>
    <w:p w14:paraId="6ED4189F" w14:textId="77777777" w:rsidR="007862A2" w:rsidRDefault="007862A2" w:rsidP="007862A2">
      <w:pPr>
        <w:pStyle w:val="PL"/>
      </w:pPr>
      <w:r>
        <w:t xml:space="preserve">      - type: string</w:t>
      </w:r>
    </w:p>
    <w:p w14:paraId="59C16B72" w14:textId="77777777" w:rsidR="007862A2" w:rsidRDefault="007862A2" w:rsidP="007862A2">
      <w:pPr>
        <w:pStyle w:val="PL"/>
      </w:pPr>
      <w:r>
        <w:t xml:space="preserve">        description: &gt;</w:t>
      </w:r>
    </w:p>
    <w:p w14:paraId="6C43CC9A" w14:textId="77777777" w:rsidR="007862A2" w:rsidRDefault="007862A2" w:rsidP="007862A2">
      <w:pPr>
        <w:pStyle w:val="PL"/>
      </w:pPr>
      <w:r>
        <w:t xml:space="preserve">          This string provides forward-compatibility with future</w:t>
      </w:r>
    </w:p>
    <w:p w14:paraId="000D2822" w14:textId="77777777" w:rsidR="007862A2" w:rsidRDefault="007862A2" w:rsidP="007862A2">
      <w:pPr>
        <w:pStyle w:val="PL"/>
      </w:pPr>
      <w:r>
        <w:t xml:space="preserve">          extensions to the enumeration but is not used to encode</w:t>
      </w:r>
    </w:p>
    <w:p w14:paraId="13C96151" w14:textId="77777777" w:rsidR="007862A2" w:rsidRDefault="007862A2" w:rsidP="007862A2">
      <w:pPr>
        <w:pStyle w:val="PL"/>
      </w:pPr>
      <w:r>
        <w:t xml:space="preserve">          content defined in the present version of this API.</w:t>
      </w:r>
    </w:p>
    <w:p w14:paraId="2FA72669" w14:textId="77777777" w:rsidR="007862A2" w:rsidRDefault="007862A2" w:rsidP="007862A2">
      <w:pPr>
        <w:pStyle w:val="PL"/>
      </w:pPr>
      <w:r>
        <w:t xml:space="preserve">      description: |</w:t>
      </w:r>
    </w:p>
    <w:p w14:paraId="3A79644D" w14:textId="77777777" w:rsidR="007862A2" w:rsidRDefault="007862A2" w:rsidP="007862A2">
      <w:pPr>
        <w:pStyle w:val="PL"/>
      </w:pPr>
      <w:r>
        <w:t xml:space="preserve">        </w:t>
      </w:r>
      <w:r>
        <w:rPr>
          <w:lang w:eastAsia="zh-CN"/>
        </w:rPr>
        <w:t xml:space="preserve">Represents the notification methods for the subscribed events.  </w:t>
      </w:r>
    </w:p>
    <w:p w14:paraId="5E09C3A6" w14:textId="77777777" w:rsidR="007862A2" w:rsidRDefault="007862A2" w:rsidP="007862A2">
      <w:pPr>
        <w:pStyle w:val="PL"/>
      </w:pPr>
      <w:r>
        <w:t xml:space="preserve">        Possible values are:</w:t>
      </w:r>
    </w:p>
    <w:p w14:paraId="37A3A3CD" w14:textId="77777777" w:rsidR="007862A2" w:rsidRDefault="007862A2" w:rsidP="007862A2">
      <w:pPr>
        <w:pStyle w:val="PL"/>
      </w:pPr>
      <w:r>
        <w:t xml:space="preserve">        - PERIODIC: The notification of the subscribed NWDAF Event is periodical. The period</w:t>
      </w:r>
    </w:p>
    <w:p w14:paraId="1BCFC9EA" w14:textId="77777777" w:rsidR="007862A2" w:rsidRDefault="007862A2" w:rsidP="007862A2">
      <w:pPr>
        <w:pStyle w:val="PL"/>
        <w:rPr>
          <w:rFonts w:eastAsia="等线"/>
        </w:rPr>
      </w:pPr>
      <w:r>
        <w:t xml:space="preserve">          between the notifications is identified by repetitionPeriod </w:t>
      </w:r>
      <w:r>
        <w:rPr>
          <w:rFonts w:eastAsia="等线"/>
        </w:rPr>
        <w:t>and represents time in</w:t>
      </w:r>
    </w:p>
    <w:p w14:paraId="0D81D2B4" w14:textId="77777777" w:rsidR="007862A2" w:rsidRDefault="007862A2" w:rsidP="007862A2">
      <w:pPr>
        <w:pStyle w:val="PL"/>
      </w:pPr>
      <w:r>
        <w:rPr>
          <w:rFonts w:eastAsia="等线"/>
        </w:rPr>
        <w:t xml:space="preserve">          seconds</w:t>
      </w:r>
      <w:r>
        <w:t>.</w:t>
      </w:r>
    </w:p>
    <w:p w14:paraId="487CFBD0" w14:textId="77777777" w:rsidR="007862A2" w:rsidRDefault="007862A2" w:rsidP="007862A2">
      <w:pPr>
        <w:pStyle w:val="PL"/>
      </w:pPr>
      <w:r>
        <w:t xml:space="preserve">        - THRESHOLD: The subscribe of NWDAF Event is upon threshold exceeded.</w:t>
      </w:r>
    </w:p>
    <w:p w14:paraId="7DD52BC8" w14:textId="77777777" w:rsidR="007862A2" w:rsidRDefault="007862A2" w:rsidP="007862A2">
      <w:pPr>
        <w:pStyle w:val="PL"/>
      </w:pPr>
    </w:p>
    <w:p w14:paraId="75FD93F6" w14:textId="77777777" w:rsidR="007862A2" w:rsidRDefault="007862A2" w:rsidP="007862A2">
      <w:pPr>
        <w:pStyle w:val="PL"/>
      </w:pPr>
      <w:r>
        <w:t xml:space="preserve">    NwdafEvent:</w:t>
      </w:r>
    </w:p>
    <w:p w14:paraId="1C222B65" w14:textId="77777777" w:rsidR="007862A2" w:rsidRDefault="007862A2" w:rsidP="007862A2">
      <w:pPr>
        <w:pStyle w:val="PL"/>
      </w:pPr>
      <w:r>
        <w:t xml:space="preserve">      anyOf:</w:t>
      </w:r>
    </w:p>
    <w:p w14:paraId="65E7923D" w14:textId="77777777" w:rsidR="007862A2" w:rsidRDefault="007862A2" w:rsidP="007862A2">
      <w:pPr>
        <w:pStyle w:val="PL"/>
      </w:pPr>
      <w:r>
        <w:t xml:space="preserve">      - type: string</w:t>
      </w:r>
    </w:p>
    <w:p w14:paraId="7FE2121C" w14:textId="77777777" w:rsidR="007862A2" w:rsidRDefault="007862A2" w:rsidP="007862A2">
      <w:pPr>
        <w:pStyle w:val="PL"/>
      </w:pPr>
      <w:r>
        <w:t xml:space="preserve">        enum:</w:t>
      </w:r>
    </w:p>
    <w:p w14:paraId="1EDDC837" w14:textId="77777777" w:rsidR="007862A2" w:rsidRDefault="007862A2" w:rsidP="007862A2">
      <w:pPr>
        <w:pStyle w:val="PL"/>
      </w:pPr>
      <w:r>
        <w:t xml:space="preserve">          - SLICE_LOAD_LEVEL</w:t>
      </w:r>
    </w:p>
    <w:p w14:paraId="3D56AC30" w14:textId="77777777" w:rsidR="007862A2" w:rsidRDefault="007862A2" w:rsidP="007862A2">
      <w:pPr>
        <w:pStyle w:val="PL"/>
      </w:pPr>
      <w:r>
        <w:t xml:space="preserve">          - NETWORK_PERFORMANCE</w:t>
      </w:r>
    </w:p>
    <w:p w14:paraId="41188ED8" w14:textId="77777777" w:rsidR="007862A2" w:rsidRDefault="007862A2" w:rsidP="007862A2">
      <w:pPr>
        <w:pStyle w:val="PL"/>
      </w:pPr>
      <w:r>
        <w:t xml:space="preserve">          - NF_LOAD</w:t>
      </w:r>
    </w:p>
    <w:p w14:paraId="662CD367" w14:textId="77777777" w:rsidR="007862A2" w:rsidRDefault="007862A2" w:rsidP="007862A2">
      <w:pPr>
        <w:pStyle w:val="PL"/>
      </w:pPr>
      <w:r>
        <w:t xml:space="preserve">          - SERVICE_EXPERIENCE</w:t>
      </w:r>
    </w:p>
    <w:p w14:paraId="60B6F593" w14:textId="77777777" w:rsidR="007862A2" w:rsidRDefault="007862A2" w:rsidP="007862A2">
      <w:pPr>
        <w:pStyle w:val="PL"/>
      </w:pPr>
      <w:r>
        <w:t xml:space="preserve">          - UE_MOBILITY</w:t>
      </w:r>
    </w:p>
    <w:p w14:paraId="65F7FC77" w14:textId="77777777" w:rsidR="007862A2" w:rsidRDefault="007862A2" w:rsidP="007862A2">
      <w:pPr>
        <w:pStyle w:val="PL"/>
      </w:pPr>
      <w:r>
        <w:t xml:space="preserve">          - UE_COMMUNICATION</w:t>
      </w:r>
    </w:p>
    <w:p w14:paraId="759D48EE" w14:textId="77777777" w:rsidR="007862A2" w:rsidRDefault="007862A2" w:rsidP="007862A2">
      <w:pPr>
        <w:pStyle w:val="PL"/>
      </w:pPr>
      <w:r>
        <w:t xml:space="preserve">          - QOS_SUSTAINABILITY</w:t>
      </w:r>
    </w:p>
    <w:p w14:paraId="2E03BB49" w14:textId="77777777" w:rsidR="007862A2" w:rsidRDefault="007862A2" w:rsidP="007862A2">
      <w:pPr>
        <w:pStyle w:val="PL"/>
      </w:pPr>
      <w:r>
        <w:t xml:space="preserve">          - ABNORMAL_BEHAVIOUR</w:t>
      </w:r>
    </w:p>
    <w:p w14:paraId="6034BDDA" w14:textId="77777777" w:rsidR="007862A2" w:rsidRDefault="007862A2" w:rsidP="007862A2">
      <w:pPr>
        <w:pStyle w:val="PL"/>
      </w:pPr>
      <w:r>
        <w:t xml:space="preserve">          - USER_DATA_CONGESTION</w:t>
      </w:r>
    </w:p>
    <w:p w14:paraId="62644855" w14:textId="77777777" w:rsidR="007862A2" w:rsidRDefault="007862A2" w:rsidP="007862A2">
      <w:pPr>
        <w:pStyle w:val="PL"/>
      </w:pPr>
      <w:r>
        <w:t xml:space="preserve">          - NSI_LOAD_LEVEL</w:t>
      </w:r>
    </w:p>
    <w:p w14:paraId="3C37D38C" w14:textId="77777777" w:rsidR="007862A2" w:rsidRDefault="007862A2" w:rsidP="007862A2">
      <w:pPr>
        <w:pStyle w:val="PL"/>
        <w:rPr>
          <w:lang w:eastAsia="zh-CN"/>
        </w:rPr>
      </w:pPr>
      <w:r>
        <w:t xml:space="preserve">          - </w:t>
      </w:r>
      <w:r>
        <w:rPr>
          <w:rFonts w:hint="eastAsia"/>
          <w:lang w:eastAsia="zh-CN"/>
        </w:rPr>
        <w:t>D</w:t>
      </w:r>
      <w:r>
        <w:rPr>
          <w:lang w:eastAsia="zh-CN"/>
        </w:rPr>
        <w:t>N_PERFORMANCE</w:t>
      </w:r>
    </w:p>
    <w:p w14:paraId="44BB8690" w14:textId="77777777" w:rsidR="007862A2" w:rsidRDefault="007862A2" w:rsidP="007862A2">
      <w:pPr>
        <w:pStyle w:val="PL"/>
      </w:pPr>
      <w:r>
        <w:t xml:space="preserve">          - DISPERSION</w:t>
      </w:r>
    </w:p>
    <w:p w14:paraId="692620F2" w14:textId="77777777" w:rsidR="007862A2" w:rsidRDefault="007862A2" w:rsidP="007862A2">
      <w:pPr>
        <w:pStyle w:val="PL"/>
      </w:pPr>
      <w:r>
        <w:t xml:space="preserve">          - RED_TRANS_EXP</w:t>
      </w:r>
    </w:p>
    <w:p w14:paraId="76CACD8F" w14:textId="77777777" w:rsidR="007862A2" w:rsidRDefault="007862A2" w:rsidP="007862A2">
      <w:pPr>
        <w:pStyle w:val="PL"/>
      </w:pPr>
      <w:r>
        <w:t xml:space="preserve">          - WLAN_PERFORMANCE</w:t>
      </w:r>
    </w:p>
    <w:p w14:paraId="5D3CEB7F" w14:textId="77777777" w:rsidR="007862A2" w:rsidRDefault="007862A2" w:rsidP="007862A2">
      <w:pPr>
        <w:pStyle w:val="PL"/>
      </w:pPr>
      <w:r>
        <w:t xml:space="preserve">          - </w:t>
      </w:r>
      <w:r>
        <w:rPr>
          <w:rFonts w:hint="eastAsia"/>
          <w:lang w:eastAsia="zh-CN"/>
        </w:rPr>
        <w:t>S</w:t>
      </w:r>
      <w:r>
        <w:rPr>
          <w:lang w:eastAsia="zh-CN"/>
        </w:rPr>
        <w:t>M_</w:t>
      </w:r>
      <w:r>
        <w:t>CONGESTION</w:t>
      </w:r>
    </w:p>
    <w:p w14:paraId="05234D6B" w14:textId="77777777" w:rsidR="007862A2" w:rsidRDefault="007862A2" w:rsidP="007862A2">
      <w:pPr>
        <w:pStyle w:val="PL"/>
      </w:pPr>
      <w:r>
        <w:t xml:space="preserve">          - PFD_DETERMINATION</w:t>
      </w:r>
    </w:p>
    <w:p w14:paraId="365DB306" w14:textId="77777777" w:rsidR="007862A2" w:rsidRDefault="007862A2" w:rsidP="007862A2">
      <w:pPr>
        <w:pStyle w:val="PL"/>
      </w:pPr>
      <w:r>
        <w:t xml:space="preserve">          - PDU_SESSION_TRAFFIC</w:t>
      </w:r>
    </w:p>
    <w:p w14:paraId="43A9CD03" w14:textId="77777777" w:rsidR="007862A2" w:rsidRDefault="007862A2" w:rsidP="007862A2">
      <w:pPr>
        <w:pStyle w:val="PL"/>
        <w:rPr>
          <w:lang w:eastAsia="zh-CN"/>
        </w:rPr>
      </w:pPr>
      <w:r>
        <w:t xml:space="preserve">          - </w:t>
      </w:r>
      <w:bookmarkStart w:id="17218" w:name="_Hlk134712265"/>
      <w:r>
        <w:rPr>
          <w:lang w:eastAsia="zh-CN"/>
        </w:rPr>
        <w:t>E2E_DATA_VOL_TRANS_TIME</w:t>
      </w:r>
      <w:bookmarkEnd w:id="17218"/>
    </w:p>
    <w:p w14:paraId="642AD224" w14:textId="77777777" w:rsidR="007862A2" w:rsidRDefault="007862A2" w:rsidP="007862A2">
      <w:pPr>
        <w:pStyle w:val="PL"/>
        <w:rPr>
          <w:lang w:eastAsia="zh-CN"/>
        </w:rPr>
      </w:pPr>
      <w:bookmarkStart w:id="17219" w:name="_Hlk138707473"/>
      <w:r>
        <w:t xml:space="preserve">          - </w:t>
      </w:r>
      <w:r>
        <w:rPr>
          <w:lang w:eastAsia="ja-JP"/>
        </w:rPr>
        <w:t>MOVEMENT_BEHAVIOUR</w:t>
      </w:r>
      <w:bookmarkEnd w:id="17219"/>
    </w:p>
    <w:p w14:paraId="59CC980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LOC_ACCURACY</w:t>
      </w:r>
    </w:p>
    <w:p w14:paraId="18F216EC" w14:textId="77777777" w:rsidR="00143F25" w:rsidRDefault="007862A2"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bookmarkStart w:id="17220" w:name="_Hlk145416005"/>
      <w:r>
        <w:rPr>
          <w:rFonts w:ascii="Courier New" w:hAnsi="Courier New"/>
          <w:sz w:val="16"/>
          <w:lang w:eastAsia="zh-CN"/>
        </w:rPr>
        <w:t xml:space="preserve">          - RELATIVE_PROXIMITY</w:t>
      </w:r>
    </w:p>
    <w:p w14:paraId="1A661A4D" w14:textId="77777777" w:rsidR="00143F25" w:rsidRPr="00141EDC" w:rsidRDefault="00143F25" w:rsidP="00143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w:t>
      </w:r>
      <w:r w:rsidRPr="00141EDC">
        <w:rPr>
          <w:rFonts w:ascii="Courier New" w:hAnsi="Courier New"/>
          <w:sz w:val="16"/>
          <w:lang w:eastAsia="zh-CN"/>
        </w:rPr>
        <w:t>SIGNALLING_STORM</w:t>
      </w:r>
    </w:p>
    <w:bookmarkEnd w:id="17220"/>
    <w:p w14:paraId="5A0BC926" w14:textId="77777777" w:rsidR="00445D8C" w:rsidRPr="00141EDC" w:rsidRDefault="00445D8C" w:rsidP="00445D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QOS_POLICY_ASSIST</w:t>
      </w:r>
    </w:p>
    <w:p w14:paraId="11309418" w14:textId="77777777" w:rsidR="007862A2" w:rsidRDefault="007862A2" w:rsidP="007862A2">
      <w:pPr>
        <w:pStyle w:val="PL"/>
      </w:pPr>
      <w:r>
        <w:t xml:space="preserve">      - type: string</w:t>
      </w:r>
    </w:p>
    <w:p w14:paraId="0FAE15AB" w14:textId="77777777" w:rsidR="007862A2" w:rsidRDefault="007862A2" w:rsidP="007862A2">
      <w:pPr>
        <w:pStyle w:val="PL"/>
      </w:pPr>
      <w:r>
        <w:t xml:space="preserve">        description: &gt;</w:t>
      </w:r>
    </w:p>
    <w:p w14:paraId="2481F666" w14:textId="77777777" w:rsidR="007862A2" w:rsidRDefault="007862A2" w:rsidP="007862A2">
      <w:pPr>
        <w:pStyle w:val="PL"/>
      </w:pPr>
      <w:r>
        <w:t xml:space="preserve">          This string provides forward-compatibility with future</w:t>
      </w:r>
    </w:p>
    <w:p w14:paraId="28D66027" w14:textId="77777777" w:rsidR="007862A2" w:rsidRDefault="007862A2" w:rsidP="007862A2">
      <w:pPr>
        <w:pStyle w:val="PL"/>
      </w:pPr>
      <w:r>
        <w:t xml:space="preserve">          extensions to the enumeration but is not used to encode</w:t>
      </w:r>
    </w:p>
    <w:p w14:paraId="43337B61" w14:textId="77777777" w:rsidR="007862A2" w:rsidRDefault="007862A2" w:rsidP="007862A2">
      <w:pPr>
        <w:pStyle w:val="PL"/>
      </w:pPr>
      <w:r>
        <w:t xml:space="preserve">          content defined in the present version of this API.</w:t>
      </w:r>
    </w:p>
    <w:p w14:paraId="29110F75" w14:textId="77777777" w:rsidR="007862A2" w:rsidRDefault="007862A2" w:rsidP="007862A2">
      <w:pPr>
        <w:pStyle w:val="PL"/>
      </w:pPr>
      <w:r>
        <w:t xml:space="preserve">      description: |</w:t>
      </w:r>
    </w:p>
    <w:p w14:paraId="0E8ABF78" w14:textId="77777777" w:rsidR="007862A2" w:rsidRDefault="007862A2" w:rsidP="007862A2">
      <w:pPr>
        <w:pStyle w:val="PL"/>
      </w:pPr>
      <w:r>
        <w:t xml:space="preserve">        </w:t>
      </w:r>
      <w:r>
        <w:rPr>
          <w:lang w:eastAsia="zh-CN"/>
        </w:rPr>
        <w:t xml:space="preserve">Describes the NWDAF Events.  </w:t>
      </w:r>
    </w:p>
    <w:p w14:paraId="7BE00867" w14:textId="77777777" w:rsidR="007862A2" w:rsidRDefault="007862A2" w:rsidP="007862A2">
      <w:pPr>
        <w:pStyle w:val="PL"/>
      </w:pPr>
      <w:r>
        <w:t xml:space="preserve">        Possible values are:</w:t>
      </w:r>
    </w:p>
    <w:p w14:paraId="5CAF3EE4" w14:textId="77777777" w:rsidR="007862A2" w:rsidRDefault="007862A2" w:rsidP="007862A2">
      <w:pPr>
        <w:pStyle w:val="PL"/>
      </w:pPr>
      <w:r>
        <w:t xml:space="preserve">        - SLICE_LOAD_LEVEL: Indicates that the event subscribed is load level information of Network</w:t>
      </w:r>
    </w:p>
    <w:p w14:paraId="4A0CAB30" w14:textId="77777777" w:rsidR="007862A2" w:rsidRDefault="007862A2" w:rsidP="007862A2">
      <w:pPr>
        <w:pStyle w:val="PL"/>
      </w:pPr>
      <w:r>
        <w:t xml:space="preserve">          Slice.</w:t>
      </w:r>
    </w:p>
    <w:p w14:paraId="63101BAA" w14:textId="77777777" w:rsidR="007862A2" w:rsidRDefault="007862A2" w:rsidP="007862A2">
      <w:pPr>
        <w:pStyle w:val="PL"/>
      </w:pPr>
      <w:r>
        <w:t xml:space="preserve">        - NETWORK_PERFORMANCE: Indicates that the event subscribed is network performance</w:t>
      </w:r>
    </w:p>
    <w:p w14:paraId="7C0230AE" w14:textId="77777777" w:rsidR="007862A2" w:rsidRDefault="007862A2" w:rsidP="007862A2">
      <w:pPr>
        <w:pStyle w:val="PL"/>
      </w:pPr>
      <w:r>
        <w:t xml:space="preserve">          information.</w:t>
      </w:r>
    </w:p>
    <w:p w14:paraId="7B1280F0" w14:textId="77777777" w:rsidR="007862A2" w:rsidRDefault="007862A2" w:rsidP="007862A2">
      <w:pPr>
        <w:pStyle w:val="PL"/>
        <w:ind w:left="160" w:hangingChars="100" w:hanging="160"/>
      </w:pPr>
      <w:r>
        <w:t xml:space="preserve">        - NF_LOAD: Indicates that the event subscribed is load level and status of one or several</w:t>
      </w:r>
    </w:p>
    <w:p w14:paraId="0FE96F9A" w14:textId="77777777" w:rsidR="007862A2" w:rsidRDefault="007862A2" w:rsidP="007862A2">
      <w:pPr>
        <w:pStyle w:val="PL"/>
        <w:ind w:left="160" w:hangingChars="100" w:hanging="160"/>
      </w:pPr>
      <w:r>
        <w:t xml:space="preserve">          Network Functions.</w:t>
      </w:r>
    </w:p>
    <w:p w14:paraId="096B1687" w14:textId="77777777" w:rsidR="007862A2" w:rsidRDefault="007862A2" w:rsidP="007862A2">
      <w:pPr>
        <w:pStyle w:val="PL"/>
        <w:rPr>
          <w:lang w:val="en-US"/>
        </w:rPr>
      </w:pPr>
      <w:r>
        <w:rPr>
          <w:lang w:val="en-US"/>
        </w:rPr>
        <w:t xml:space="preserve">        - SERVICE_EXPERIENCE: Indicates that the event subscribed is service experience.</w:t>
      </w:r>
    </w:p>
    <w:p w14:paraId="6C4BF9A1" w14:textId="77777777" w:rsidR="007862A2" w:rsidRDefault="007862A2" w:rsidP="007862A2">
      <w:pPr>
        <w:pStyle w:val="PL"/>
        <w:rPr>
          <w:lang w:val="en-US"/>
        </w:rPr>
      </w:pPr>
      <w:r>
        <w:rPr>
          <w:lang w:val="en-US"/>
        </w:rPr>
        <w:t xml:space="preserve">        - UE_MOBILITY: Indicates that the event subscribed is UE mobility information.</w:t>
      </w:r>
    </w:p>
    <w:p w14:paraId="39B4855B" w14:textId="77777777" w:rsidR="007862A2" w:rsidRDefault="007862A2" w:rsidP="007862A2">
      <w:pPr>
        <w:pStyle w:val="PL"/>
        <w:rPr>
          <w:lang w:val="en-US"/>
        </w:rPr>
      </w:pPr>
      <w:r>
        <w:rPr>
          <w:lang w:val="en-US"/>
        </w:rPr>
        <w:t xml:space="preserve">        - UE_COMMUNICATION: Indicates that the event subscribed is UE communication information.</w:t>
      </w:r>
    </w:p>
    <w:p w14:paraId="5D6CD53D" w14:textId="77777777" w:rsidR="007862A2" w:rsidRDefault="007862A2" w:rsidP="007862A2">
      <w:pPr>
        <w:pStyle w:val="PL"/>
        <w:rPr>
          <w:lang w:val="en-US"/>
        </w:rPr>
      </w:pPr>
      <w:r>
        <w:rPr>
          <w:lang w:val="en-US"/>
        </w:rPr>
        <w:t xml:space="preserve">        - QOS_SUSTAINABILITY: Indicates that the event subscribed is QoS sustainability.</w:t>
      </w:r>
    </w:p>
    <w:p w14:paraId="333D758E" w14:textId="77777777" w:rsidR="007862A2" w:rsidRDefault="007862A2" w:rsidP="007862A2">
      <w:pPr>
        <w:pStyle w:val="PL"/>
        <w:rPr>
          <w:lang w:val="en-US"/>
        </w:rPr>
      </w:pPr>
      <w:r>
        <w:rPr>
          <w:lang w:val="en-US"/>
        </w:rPr>
        <w:t xml:space="preserve">        - ABNORMAL_BEHAVIOUR: Indicates that the event subscribed is abnormal behaviour.</w:t>
      </w:r>
    </w:p>
    <w:p w14:paraId="57D38DBE" w14:textId="77777777" w:rsidR="007862A2" w:rsidRDefault="007862A2" w:rsidP="007862A2">
      <w:pPr>
        <w:pStyle w:val="PL"/>
        <w:rPr>
          <w:lang w:val="en-US"/>
        </w:rPr>
      </w:pPr>
      <w:r>
        <w:rPr>
          <w:lang w:val="en-US"/>
        </w:rPr>
        <w:t xml:space="preserve">        - USER_DATA_CONGESTION: Indicates that the event subscribed is user data congestion</w:t>
      </w:r>
    </w:p>
    <w:p w14:paraId="69F1A4F6" w14:textId="77777777" w:rsidR="007862A2" w:rsidRDefault="007862A2" w:rsidP="007862A2">
      <w:pPr>
        <w:pStyle w:val="PL"/>
        <w:rPr>
          <w:lang w:val="en-US"/>
        </w:rPr>
      </w:pPr>
      <w:r>
        <w:rPr>
          <w:lang w:val="en-US"/>
        </w:rPr>
        <w:t xml:space="preserve">          information.</w:t>
      </w:r>
    </w:p>
    <w:p w14:paraId="765263A1" w14:textId="77777777" w:rsidR="007862A2" w:rsidRDefault="007862A2" w:rsidP="007862A2">
      <w:pPr>
        <w:pStyle w:val="PL"/>
        <w:rPr>
          <w:lang w:val="en-US"/>
        </w:rPr>
      </w:pPr>
      <w:r>
        <w:rPr>
          <w:lang w:val="en-US"/>
        </w:rPr>
        <w:t xml:space="preserve">        - NSI_LOAD_LEVEL: Indicates that the event subscribed is load level information of Network</w:t>
      </w:r>
    </w:p>
    <w:p w14:paraId="51C517C4" w14:textId="77777777" w:rsidR="007862A2" w:rsidRDefault="007862A2" w:rsidP="007862A2">
      <w:pPr>
        <w:pStyle w:val="PL"/>
        <w:rPr>
          <w:lang w:val="en-US"/>
        </w:rPr>
      </w:pPr>
      <w:r>
        <w:rPr>
          <w:lang w:val="en-US"/>
        </w:rPr>
        <w:t xml:space="preserve">          Slice and the optionally associated Network Slice Instance.</w:t>
      </w:r>
    </w:p>
    <w:p w14:paraId="112D92D9" w14:textId="77777777" w:rsidR="007862A2" w:rsidRDefault="007862A2" w:rsidP="007862A2">
      <w:pPr>
        <w:pStyle w:val="PL"/>
      </w:pPr>
      <w:r>
        <w:t xml:space="preserve">        - </w:t>
      </w:r>
      <w:r>
        <w:rPr>
          <w:lang w:eastAsia="zh-CN"/>
        </w:rPr>
        <w:t>DN_PERFORMANCE:</w:t>
      </w:r>
      <w:r>
        <w:t xml:space="preserve"> </w:t>
      </w:r>
      <w:r>
        <w:rPr>
          <w:lang w:val="en-US"/>
        </w:rPr>
        <w:t xml:space="preserve">Indicates that the event subscribed is </w:t>
      </w:r>
      <w:r>
        <w:t>DN performance information.</w:t>
      </w:r>
    </w:p>
    <w:p w14:paraId="1C673DBD" w14:textId="77777777" w:rsidR="007862A2" w:rsidRDefault="007862A2" w:rsidP="007862A2">
      <w:pPr>
        <w:pStyle w:val="PL"/>
        <w:rPr>
          <w:lang w:val="en-US"/>
        </w:rPr>
      </w:pPr>
      <w:r>
        <w:rPr>
          <w:lang w:val="en-US"/>
        </w:rPr>
        <w:t xml:space="preserve">        - DISPERSION: Indicates that the event subscribed is dispersion information.</w:t>
      </w:r>
    </w:p>
    <w:p w14:paraId="3FB84A43" w14:textId="77777777" w:rsidR="007862A2" w:rsidRDefault="007862A2" w:rsidP="007862A2">
      <w:pPr>
        <w:pStyle w:val="PL"/>
        <w:rPr>
          <w:lang w:val="en-US"/>
        </w:rPr>
      </w:pPr>
      <w:r>
        <w:rPr>
          <w:lang w:val="en-US"/>
        </w:rPr>
        <w:t xml:space="preserve">        - RED_TRANS_EXP: Indicates that the event subscribed is redundant transmission experience.</w:t>
      </w:r>
    </w:p>
    <w:p w14:paraId="1C05B493" w14:textId="77777777" w:rsidR="007862A2" w:rsidRDefault="007862A2" w:rsidP="007862A2">
      <w:pPr>
        <w:pStyle w:val="PL"/>
        <w:rPr>
          <w:lang w:val="en-US"/>
        </w:rPr>
      </w:pPr>
      <w:r>
        <w:rPr>
          <w:lang w:val="en-US"/>
        </w:rPr>
        <w:t xml:space="preserve">        - WLAN_PERFORMANCE: Indicates that the event subscribed is WLAN performance.</w:t>
      </w:r>
    </w:p>
    <w:p w14:paraId="21ED22C7" w14:textId="77777777" w:rsidR="007862A2" w:rsidRDefault="007862A2" w:rsidP="007862A2">
      <w:pPr>
        <w:pStyle w:val="PL"/>
        <w:rPr>
          <w:lang w:val="en-US"/>
        </w:rPr>
      </w:pPr>
      <w:r>
        <w:rPr>
          <w:lang w:val="en-US"/>
        </w:rPr>
        <w:t xml:space="preserve">        - </w:t>
      </w:r>
      <w:r>
        <w:rPr>
          <w:lang w:eastAsia="zh-CN"/>
        </w:rPr>
        <w:t>SM_</w:t>
      </w:r>
      <w:r>
        <w:t>CONGESTION</w:t>
      </w:r>
      <w:r>
        <w:rPr>
          <w:lang w:val="en-US"/>
        </w:rPr>
        <w:t>: Indicates the Session Management Congestion Control Experience information</w:t>
      </w:r>
    </w:p>
    <w:p w14:paraId="215BE8B0" w14:textId="77777777" w:rsidR="007862A2" w:rsidRDefault="007862A2" w:rsidP="007862A2">
      <w:pPr>
        <w:pStyle w:val="PL"/>
        <w:rPr>
          <w:lang w:val="en-US"/>
        </w:rPr>
      </w:pPr>
      <w:r>
        <w:rPr>
          <w:lang w:val="en-US"/>
        </w:rPr>
        <w:t xml:space="preserve">          </w:t>
      </w:r>
      <w:r>
        <w:t>for specific DNN and/or S-NSSAI</w:t>
      </w:r>
      <w:r>
        <w:rPr>
          <w:lang w:val="en-US"/>
        </w:rPr>
        <w:t>.</w:t>
      </w:r>
    </w:p>
    <w:p w14:paraId="5DFA6AD9" w14:textId="77777777" w:rsidR="007862A2" w:rsidRDefault="007862A2" w:rsidP="007862A2">
      <w:pPr>
        <w:pStyle w:val="PL"/>
        <w:rPr>
          <w:lang w:val="en-US"/>
        </w:rPr>
      </w:pPr>
      <w:r>
        <w:rPr>
          <w:lang w:val="en-US"/>
        </w:rPr>
        <w:t xml:space="preserve">        - PFD_DETERMINATION: Indicates that the event subscribed is the PFD Determination nformation</w:t>
      </w:r>
    </w:p>
    <w:p w14:paraId="6AE1E889" w14:textId="77777777" w:rsidR="007862A2" w:rsidRDefault="007862A2" w:rsidP="007862A2">
      <w:pPr>
        <w:pStyle w:val="PL"/>
        <w:rPr>
          <w:lang w:val="en-US"/>
        </w:rPr>
      </w:pPr>
      <w:r>
        <w:rPr>
          <w:lang w:val="en-US"/>
        </w:rPr>
        <w:t xml:space="preserve">          for known application identifier(s).</w:t>
      </w:r>
    </w:p>
    <w:p w14:paraId="77A2CA93" w14:textId="77777777" w:rsidR="007862A2" w:rsidRDefault="007862A2" w:rsidP="007862A2">
      <w:pPr>
        <w:pStyle w:val="PL"/>
        <w:rPr>
          <w:lang w:val="en-US"/>
        </w:rPr>
      </w:pPr>
      <w:r>
        <w:rPr>
          <w:lang w:val="en-US"/>
        </w:rPr>
        <w:lastRenderedPageBreak/>
        <w:t xml:space="preserve">        - </w:t>
      </w:r>
      <w:r>
        <w:t>PDU_SESSION_TRAFFIC</w:t>
      </w:r>
      <w:r>
        <w:rPr>
          <w:lang w:val="en-US"/>
        </w:rPr>
        <w:t xml:space="preserve">: Indicates </w:t>
      </w:r>
      <w:r>
        <w:rPr>
          <w:lang w:eastAsia="zh-CN"/>
        </w:rPr>
        <w:t>that the event subscribed is</w:t>
      </w:r>
      <w:r>
        <w:rPr>
          <w:lang w:val="en-US"/>
        </w:rPr>
        <w:t xml:space="preserve"> the PDU Session traffic</w:t>
      </w:r>
    </w:p>
    <w:p w14:paraId="3B425E84" w14:textId="77777777" w:rsidR="007862A2" w:rsidRDefault="007862A2" w:rsidP="007862A2">
      <w:pPr>
        <w:pStyle w:val="PL"/>
        <w:rPr>
          <w:lang w:val="en-US"/>
        </w:rPr>
      </w:pPr>
      <w:r>
        <w:rPr>
          <w:lang w:val="en-US"/>
        </w:rPr>
        <w:t xml:space="preserve">          information.</w:t>
      </w:r>
    </w:p>
    <w:p w14:paraId="7C30C431" w14:textId="77777777" w:rsidR="007862A2" w:rsidRDefault="007862A2" w:rsidP="007862A2">
      <w:pPr>
        <w:pStyle w:val="PL"/>
        <w:rPr>
          <w:lang w:eastAsia="ko-KR"/>
        </w:rPr>
      </w:pPr>
      <w:r>
        <w:t xml:space="preserve">        - </w:t>
      </w:r>
      <w:r>
        <w:rPr>
          <w:lang w:eastAsia="zh-CN"/>
        </w:rPr>
        <w:t>E2E_DATA_VOL_TRANS_TIME</w:t>
      </w:r>
      <w:r>
        <w:t xml:space="preserve">: </w:t>
      </w:r>
      <w:r>
        <w:rPr>
          <w:lang w:val="en-US"/>
        </w:rPr>
        <w:t xml:space="preserve">Indicates that the event subscribed is </w:t>
      </w:r>
      <w:r>
        <w:t xml:space="preserve">of </w:t>
      </w:r>
      <w:r>
        <w:rPr>
          <w:lang w:eastAsia="ko-KR"/>
        </w:rPr>
        <w:t xml:space="preserve">E2E data volume </w:t>
      </w:r>
    </w:p>
    <w:p w14:paraId="75E38E9F" w14:textId="77777777" w:rsidR="007862A2" w:rsidRDefault="007862A2" w:rsidP="007862A2">
      <w:pPr>
        <w:pStyle w:val="PL"/>
      </w:pPr>
      <w:r>
        <w:rPr>
          <w:lang w:eastAsia="ko-KR"/>
        </w:rPr>
        <w:t xml:space="preserve">          transfer time</w:t>
      </w:r>
      <w:r>
        <w:t>.</w:t>
      </w:r>
    </w:p>
    <w:p w14:paraId="35E36FA9" w14:textId="77777777" w:rsidR="007862A2" w:rsidRDefault="007862A2" w:rsidP="007862A2">
      <w:pPr>
        <w:pStyle w:val="PL"/>
        <w:rPr>
          <w:lang w:val="en-US"/>
        </w:rPr>
      </w:pPr>
      <w:bookmarkStart w:id="17221" w:name="_Hlk138707498"/>
      <w:r>
        <w:t xml:space="preserve">        - </w:t>
      </w:r>
      <w:r>
        <w:rPr>
          <w:lang w:eastAsia="ja-JP"/>
        </w:rPr>
        <w:t>MOVEMENT_BEHAVIOUR</w:t>
      </w:r>
      <w:r>
        <w:t xml:space="preserve">: </w:t>
      </w:r>
      <w:r>
        <w:rPr>
          <w:lang w:val="en-US"/>
        </w:rPr>
        <w:t>Indicates that the event subscribed is the Movement Behaviour</w:t>
      </w:r>
    </w:p>
    <w:p w14:paraId="713F70A5" w14:textId="77777777" w:rsidR="007862A2" w:rsidRDefault="007862A2" w:rsidP="007862A2">
      <w:pPr>
        <w:pStyle w:val="PL"/>
      </w:pPr>
      <w:r>
        <w:rPr>
          <w:lang w:eastAsia="ko-KR"/>
        </w:rPr>
        <w:t xml:space="preserve">          </w:t>
      </w:r>
      <w:r>
        <w:rPr>
          <w:lang w:val="en-US"/>
        </w:rPr>
        <w:t>information</w:t>
      </w:r>
      <w:r>
        <w:t>.</w:t>
      </w:r>
      <w:bookmarkEnd w:id="17221"/>
    </w:p>
    <w:p w14:paraId="29D16A5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Pr>
          <w:rFonts w:ascii="Courier New" w:hAnsi="Courier New"/>
          <w:sz w:val="16"/>
          <w:lang w:eastAsia="zh-CN"/>
        </w:rPr>
        <w:t>LOC_ACCURACY</w:t>
      </w:r>
      <w:r>
        <w:rPr>
          <w:rFonts w:ascii="Courier New" w:hAnsi="Courier New"/>
          <w:sz w:val="16"/>
        </w:rPr>
        <w:t xml:space="preserve">: </w:t>
      </w:r>
      <w:r>
        <w:rPr>
          <w:rFonts w:ascii="Courier New" w:hAnsi="Courier New"/>
          <w:sz w:val="16"/>
          <w:lang w:val="en-US"/>
        </w:rPr>
        <w:t xml:space="preserve">Indicates that the event subscribed is </w:t>
      </w:r>
      <w:r>
        <w:rPr>
          <w:rFonts w:ascii="Courier New" w:hAnsi="Courier New"/>
          <w:sz w:val="16"/>
        </w:rPr>
        <w:t xml:space="preserve">of </w:t>
      </w:r>
      <w:r>
        <w:rPr>
          <w:rFonts w:ascii="Courier New" w:hAnsi="Courier New"/>
          <w:sz w:val="16"/>
          <w:lang w:eastAsia="ko-KR"/>
        </w:rPr>
        <w:t>location accuracy</w:t>
      </w:r>
      <w:r>
        <w:rPr>
          <w:rFonts w:ascii="Courier New" w:hAnsi="Courier New"/>
          <w:sz w:val="16"/>
        </w:rPr>
        <w:t>.</w:t>
      </w:r>
    </w:p>
    <w:p w14:paraId="61EA7EE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ja-JP"/>
        </w:rPr>
      </w:pPr>
      <w:r>
        <w:rPr>
          <w:rFonts w:ascii="Courier New" w:hAnsi="Courier New"/>
          <w:sz w:val="16"/>
          <w:lang w:eastAsia="zh-CN"/>
        </w:rPr>
        <w:t xml:space="preserve">        - RELATIVE_PROXIMITY</w:t>
      </w:r>
      <w:r>
        <w:rPr>
          <w:rFonts w:ascii="Courier New" w:hAnsi="Courier New" w:hint="eastAsia"/>
          <w:sz w:val="16"/>
          <w:lang w:eastAsia="ja-JP"/>
        </w:rPr>
        <w:t>:</w:t>
      </w:r>
      <w:r>
        <w:rPr>
          <w:rFonts w:ascii="Courier New" w:hAnsi="Courier New"/>
          <w:sz w:val="16"/>
          <w:lang w:eastAsia="ja-JP"/>
        </w:rPr>
        <w:t xml:space="preserve"> Indicates that the event subscribed is the Relative Proximity</w:t>
      </w:r>
    </w:p>
    <w:p w14:paraId="7C123256" w14:textId="77777777" w:rsidR="007862A2" w:rsidRDefault="007862A2" w:rsidP="007862A2">
      <w:pPr>
        <w:pStyle w:val="PL"/>
      </w:pPr>
      <w:r>
        <w:t xml:space="preserve">          </w:t>
      </w:r>
      <w:r>
        <w:rPr>
          <w:lang w:eastAsia="ja-JP"/>
        </w:rPr>
        <w:t>information.</w:t>
      </w:r>
    </w:p>
    <w:p w14:paraId="6121FAB6" w14:textId="77777777" w:rsidR="007862A2" w:rsidRDefault="00143F25" w:rsidP="007862A2">
      <w:pPr>
        <w:pStyle w:val="PL"/>
        <w:rPr>
          <w:noProof/>
        </w:rPr>
      </w:pPr>
      <w:r>
        <w:rPr>
          <w:lang w:eastAsia="zh-CN"/>
        </w:rPr>
        <w:t xml:space="preserve">        - </w:t>
      </w:r>
      <w:r w:rsidRPr="00141EDC">
        <w:rPr>
          <w:lang w:eastAsia="zh-CN"/>
        </w:rPr>
        <w:t>SIGNALLING_STORM</w:t>
      </w:r>
      <w:r>
        <w:rPr>
          <w:rFonts w:hint="eastAsia"/>
          <w:lang w:eastAsia="ja-JP"/>
        </w:rPr>
        <w:t>:</w:t>
      </w:r>
      <w:r>
        <w:rPr>
          <w:noProof/>
        </w:rPr>
        <w:t xml:space="preserve"> </w:t>
      </w:r>
      <w:r w:rsidRPr="00141EDC">
        <w:rPr>
          <w:noProof/>
        </w:rPr>
        <w:t>Indicates that the event subscribed is the Signalling Storm information.</w:t>
      </w:r>
    </w:p>
    <w:p w14:paraId="6F9C007D" w14:textId="77777777" w:rsidR="00445D8C" w:rsidRDefault="00445D8C" w:rsidP="00445D8C">
      <w:pPr>
        <w:pStyle w:val="PL"/>
        <w:rPr>
          <w:lang w:eastAsia="zh-CN"/>
        </w:rPr>
      </w:pPr>
      <w:r w:rsidRPr="009D0F1D">
        <w:rPr>
          <w:lang w:eastAsia="zh-CN"/>
        </w:rPr>
        <w:t xml:space="preserve">        - QOS_POLICY_ASSIST</w:t>
      </w:r>
      <w:r w:rsidRPr="009D0F1D">
        <w:rPr>
          <w:rFonts w:hint="eastAsia"/>
          <w:lang w:eastAsia="zh-CN"/>
        </w:rPr>
        <w:t>:</w:t>
      </w:r>
      <w:r w:rsidRPr="009D0F1D">
        <w:rPr>
          <w:lang w:eastAsia="zh-CN"/>
        </w:rPr>
        <w:t xml:space="preserve"> Indicates that the event subscribed is the Q</w:t>
      </w:r>
      <w:r>
        <w:rPr>
          <w:lang w:eastAsia="zh-CN"/>
        </w:rPr>
        <w:t>o</w:t>
      </w:r>
      <w:r w:rsidRPr="009D0F1D">
        <w:rPr>
          <w:lang w:eastAsia="zh-CN"/>
        </w:rPr>
        <w:t>S and Policy</w:t>
      </w:r>
    </w:p>
    <w:p w14:paraId="4ECBBC96" w14:textId="77777777" w:rsidR="00445D8C" w:rsidRPr="009D0F1D" w:rsidRDefault="00445D8C" w:rsidP="00445D8C">
      <w:pPr>
        <w:pStyle w:val="PL"/>
        <w:rPr>
          <w:lang w:eastAsia="zh-CN"/>
        </w:rPr>
      </w:pPr>
      <w:r>
        <w:rPr>
          <w:lang w:eastAsia="zh-CN"/>
        </w:rPr>
        <w:t xml:space="preserve">         </w:t>
      </w:r>
      <w:r w:rsidRPr="009D0F1D">
        <w:rPr>
          <w:lang w:eastAsia="zh-CN"/>
        </w:rPr>
        <w:t xml:space="preserve"> Assistance information.</w:t>
      </w:r>
    </w:p>
    <w:p w14:paraId="790EA606" w14:textId="77777777" w:rsidR="00143F25" w:rsidRDefault="00143F25" w:rsidP="007862A2">
      <w:pPr>
        <w:pStyle w:val="PL"/>
        <w:rPr>
          <w:lang w:val="en-US"/>
        </w:rPr>
      </w:pPr>
    </w:p>
    <w:p w14:paraId="420424B9" w14:textId="77777777" w:rsidR="007862A2" w:rsidRDefault="007862A2" w:rsidP="007862A2">
      <w:pPr>
        <w:pStyle w:val="PL"/>
        <w:rPr>
          <w:lang w:val="en-US"/>
        </w:rPr>
      </w:pPr>
      <w:r>
        <w:rPr>
          <w:lang w:val="en-US"/>
        </w:rPr>
        <w:t xml:space="preserve">    Accuracy:</w:t>
      </w:r>
    </w:p>
    <w:p w14:paraId="3401A074" w14:textId="77777777" w:rsidR="007862A2" w:rsidRDefault="007862A2" w:rsidP="007862A2">
      <w:pPr>
        <w:pStyle w:val="PL"/>
        <w:rPr>
          <w:lang w:val="en-US"/>
        </w:rPr>
      </w:pPr>
      <w:r>
        <w:rPr>
          <w:lang w:val="en-US"/>
        </w:rPr>
        <w:t xml:space="preserve">      anyOf:</w:t>
      </w:r>
    </w:p>
    <w:p w14:paraId="3D75546A" w14:textId="77777777" w:rsidR="007862A2" w:rsidRDefault="007862A2" w:rsidP="007862A2">
      <w:pPr>
        <w:pStyle w:val="PL"/>
        <w:rPr>
          <w:lang w:val="en-US"/>
        </w:rPr>
      </w:pPr>
      <w:r>
        <w:rPr>
          <w:lang w:val="en-US"/>
        </w:rPr>
        <w:t xml:space="preserve">      - type: string</w:t>
      </w:r>
    </w:p>
    <w:p w14:paraId="59342AEB" w14:textId="77777777" w:rsidR="007862A2" w:rsidRDefault="007862A2" w:rsidP="007862A2">
      <w:pPr>
        <w:pStyle w:val="PL"/>
        <w:rPr>
          <w:lang w:val="en-US"/>
        </w:rPr>
      </w:pPr>
      <w:r>
        <w:rPr>
          <w:lang w:val="en-US"/>
        </w:rPr>
        <w:t xml:space="preserve">        enum:</w:t>
      </w:r>
    </w:p>
    <w:p w14:paraId="415F4CFE" w14:textId="77777777" w:rsidR="007862A2" w:rsidRDefault="007862A2" w:rsidP="007862A2">
      <w:pPr>
        <w:pStyle w:val="PL"/>
        <w:rPr>
          <w:lang w:val="en-US"/>
        </w:rPr>
      </w:pPr>
      <w:r>
        <w:rPr>
          <w:lang w:val="en-US"/>
        </w:rPr>
        <w:t xml:space="preserve">          - LOW</w:t>
      </w:r>
    </w:p>
    <w:p w14:paraId="00197B07" w14:textId="77777777" w:rsidR="007862A2" w:rsidRDefault="007862A2" w:rsidP="007862A2">
      <w:pPr>
        <w:pStyle w:val="PL"/>
        <w:rPr>
          <w:lang w:val="en-US"/>
        </w:rPr>
      </w:pPr>
      <w:r>
        <w:rPr>
          <w:lang w:val="en-US"/>
        </w:rPr>
        <w:t xml:space="preserve">          - </w:t>
      </w:r>
      <w:r>
        <w:rPr>
          <w:rFonts w:hint="eastAsia"/>
          <w:lang w:val="en-US"/>
        </w:rPr>
        <w:t>M</w:t>
      </w:r>
      <w:r>
        <w:rPr>
          <w:lang w:val="en-US"/>
        </w:rPr>
        <w:t>EDIUM</w:t>
      </w:r>
    </w:p>
    <w:p w14:paraId="6C916B58" w14:textId="77777777" w:rsidR="007862A2" w:rsidRDefault="007862A2" w:rsidP="007862A2">
      <w:pPr>
        <w:pStyle w:val="PL"/>
        <w:rPr>
          <w:lang w:val="en-US"/>
        </w:rPr>
      </w:pPr>
      <w:r>
        <w:rPr>
          <w:lang w:val="en-US"/>
        </w:rPr>
        <w:t xml:space="preserve">          - HIGH</w:t>
      </w:r>
    </w:p>
    <w:p w14:paraId="21D00AD4" w14:textId="77777777" w:rsidR="007862A2" w:rsidRDefault="007862A2" w:rsidP="007862A2">
      <w:pPr>
        <w:pStyle w:val="PL"/>
        <w:rPr>
          <w:lang w:val="en-US"/>
        </w:rPr>
      </w:pPr>
      <w:r>
        <w:rPr>
          <w:lang w:val="en-US"/>
        </w:rPr>
        <w:t xml:space="preserve">          - HIGHEST</w:t>
      </w:r>
    </w:p>
    <w:p w14:paraId="453C31DE" w14:textId="77777777" w:rsidR="007862A2" w:rsidRDefault="007862A2" w:rsidP="007862A2">
      <w:pPr>
        <w:pStyle w:val="PL"/>
        <w:rPr>
          <w:lang w:val="en-US"/>
        </w:rPr>
      </w:pPr>
      <w:r>
        <w:rPr>
          <w:lang w:val="en-US"/>
        </w:rPr>
        <w:t xml:space="preserve">      - type: string</w:t>
      </w:r>
    </w:p>
    <w:p w14:paraId="3151FD19" w14:textId="77777777" w:rsidR="007862A2" w:rsidRDefault="007862A2" w:rsidP="007862A2">
      <w:pPr>
        <w:pStyle w:val="PL"/>
        <w:rPr>
          <w:lang w:val="en-US"/>
        </w:rPr>
      </w:pPr>
      <w:r>
        <w:rPr>
          <w:lang w:val="en-US"/>
        </w:rPr>
        <w:t xml:space="preserve">        description: &gt;</w:t>
      </w:r>
    </w:p>
    <w:p w14:paraId="31676DB1" w14:textId="77777777" w:rsidR="007862A2" w:rsidRDefault="007862A2" w:rsidP="007862A2">
      <w:pPr>
        <w:pStyle w:val="PL"/>
        <w:rPr>
          <w:lang w:val="en-US"/>
        </w:rPr>
      </w:pPr>
      <w:r>
        <w:rPr>
          <w:lang w:val="en-US"/>
        </w:rPr>
        <w:t xml:space="preserve">          This string provides forward-compatibility with future</w:t>
      </w:r>
    </w:p>
    <w:p w14:paraId="67E7EF52" w14:textId="77777777" w:rsidR="007862A2" w:rsidRDefault="007862A2" w:rsidP="007862A2">
      <w:pPr>
        <w:pStyle w:val="PL"/>
        <w:rPr>
          <w:lang w:val="en-US"/>
        </w:rPr>
      </w:pPr>
      <w:r>
        <w:rPr>
          <w:lang w:val="en-US"/>
        </w:rPr>
        <w:t xml:space="preserve">          extensions to the enumeration but is not used to encode</w:t>
      </w:r>
    </w:p>
    <w:p w14:paraId="47D51CB1" w14:textId="77777777" w:rsidR="007862A2" w:rsidRDefault="007862A2" w:rsidP="007862A2">
      <w:pPr>
        <w:pStyle w:val="PL"/>
        <w:rPr>
          <w:lang w:val="en-US"/>
        </w:rPr>
      </w:pPr>
      <w:r>
        <w:rPr>
          <w:lang w:val="en-US"/>
        </w:rPr>
        <w:t xml:space="preserve">          content defined in the present version of this API.</w:t>
      </w:r>
    </w:p>
    <w:p w14:paraId="55BA8E76" w14:textId="77777777" w:rsidR="007862A2" w:rsidRDefault="007862A2" w:rsidP="007862A2">
      <w:pPr>
        <w:pStyle w:val="PL"/>
        <w:rPr>
          <w:lang w:val="en-US"/>
        </w:rPr>
      </w:pPr>
      <w:r>
        <w:rPr>
          <w:lang w:val="en-US"/>
        </w:rPr>
        <w:t xml:space="preserve">      description: |</w:t>
      </w:r>
    </w:p>
    <w:p w14:paraId="70F82EBD" w14:textId="77777777" w:rsidR="007862A2" w:rsidRDefault="007862A2" w:rsidP="007862A2">
      <w:pPr>
        <w:pStyle w:val="PL"/>
        <w:rPr>
          <w:lang w:val="en-US"/>
        </w:rPr>
      </w:pPr>
      <w:r>
        <w:rPr>
          <w:lang w:val="en-US"/>
        </w:rPr>
        <w:t xml:space="preserve">        </w:t>
      </w:r>
      <w:r>
        <w:t xml:space="preserve">Represents the preferred level of accuracy of the analytics.  </w:t>
      </w:r>
    </w:p>
    <w:p w14:paraId="7C25FBBF" w14:textId="77777777" w:rsidR="007862A2" w:rsidRDefault="007862A2" w:rsidP="007862A2">
      <w:pPr>
        <w:pStyle w:val="PL"/>
        <w:rPr>
          <w:lang w:val="en-US"/>
        </w:rPr>
      </w:pPr>
      <w:r>
        <w:rPr>
          <w:lang w:val="en-US"/>
        </w:rPr>
        <w:t xml:space="preserve">        Possible values are:</w:t>
      </w:r>
    </w:p>
    <w:p w14:paraId="5837CE96" w14:textId="77777777" w:rsidR="007862A2" w:rsidRDefault="007862A2" w:rsidP="007862A2">
      <w:pPr>
        <w:pStyle w:val="PL"/>
        <w:rPr>
          <w:lang w:val="en-US"/>
        </w:rPr>
      </w:pPr>
      <w:r>
        <w:rPr>
          <w:lang w:val="en-US"/>
        </w:rPr>
        <w:t xml:space="preserve">        - LOW: Low accuracy.</w:t>
      </w:r>
    </w:p>
    <w:p w14:paraId="6FFD489A" w14:textId="77777777" w:rsidR="007862A2" w:rsidRDefault="007862A2" w:rsidP="007862A2">
      <w:pPr>
        <w:pStyle w:val="PL"/>
        <w:rPr>
          <w:lang w:val="en-US"/>
        </w:rPr>
      </w:pPr>
      <w:r>
        <w:rPr>
          <w:lang w:val="en-US"/>
        </w:rPr>
        <w:t xml:space="preserve">        - </w:t>
      </w:r>
      <w:r>
        <w:rPr>
          <w:rFonts w:hint="eastAsia"/>
          <w:lang w:val="en-US"/>
        </w:rPr>
        <w:t>M</w:t>
      </w:r>
      <w:r>
        <w:rPr>
          <w:lang w:val="en-US"/>
        </w:rPr>
        <w:t>EDIUM: Medium accuracy.</w:t>
      </w:r>
    </w:p>
    <w:p w14:paraId="62D71C4D" w14:textId="77777777" w:rsidR="007862A2" w:rsidRDefault="007862A2" w:rsidP="007862A2">
      <w:pPr>
        <w:pStyle w:val="PL"/>
        <w:rPr>
          <w:lang w:val="en-US"/>
        </w:rPr>
      </w:pPr>
      <w:r>
        <w:rPr>
          <w:lang w:val="en-US"/>
        </w:rPr>
        <w:t xml:space="preserve">        - HIGH: High accuracy.</w:t>
      </w:r>
    </w:p>
    <w:p w14:paraId="7165A696" w14:textId="77777777" w:rsidR="007862A2" w:rsidRDefault="007862A2" w:rsidP="007862A2">
      <w:pPr>
        <w:pStyle w:val="PL"/>
        <w:rPr>
          <w:lang w:val="en-US"/>
        </w:rPr>
      </w:pPr>
      <w:r>
        <w:rPr>
          <w:lang w:val="en-US"/>
        </w:rPr>
        <w:t xml:space="preserve">        - HIGHEST: Highest accuracy.</w:t>
      </w:r>
    </w:p>
    <w:p w14:paraId="63B4C8EB" w14:textId="77777777" w:rsidR="007862A2" w:rsidRDefault="007862A2" w:rsidP="007862A2">
      <w:pPr>
        <w:pStyle w:val="PL"/>
        <w:rPr>
          <w:lang w:val="en-US"/>
        </w:rPr>
      </w:pPr>
    </w:p>
    <w:p w14:paraId="298CC619" w14:textId="77777777" w:rsidR="007862A2" w:rsidRDefault="007862A2" w:rsidP="007862A2">
      <w:pPr>
        <w:pStyle w:val="PL"/>
        <w:rPr>
          <w:lang w:val="en-US"/>
        </w:rPr>
      </w:pPr>
      <w:r>
        <w:rPr>
          <w:lang w:val="en-US"/>
        </w:rPr>
        <w:t xml:space="preserve">    CongestionType:</w:t>
      </w:r>
    </w:p>
    <w:p w14:paraId="1898880C" w14:textId="77777777" w:rsidR="007862A2" w:rsidRDefault="007862A2" w:rsidP="007862A2">
      <w:pPr>
        <w:pStyle w:val="PL"/>
        <w:rPr>
          <w:lang w:val="en-US"/>
        </w:rPr>
      </w:pPr>
      <w:r>
        <w:rPr>
          <w:lang w:val="en-US"/>
        </w:rPr>
        <w:t xml:space="preserve">      anyOf:</w:t>
      </w:r>
    </w:p>
    <w:p w14:paraId="2EA7FB78" w14:textId="77777777" w:rsidR="007862A2" w:rsidRDefault="007862A2" w:rsidP="007862A2">
      <w:pPr>
        <w:pStyle w:val="PL"/>
        <w:rPr>
          <w:lang w:val="en-US"/>
        </w:rPr>
      </w:pPr>
      <w:r>
        <w:rPr>
          <w:lang w:val="en-US"/>
        </w:rPr>
        <w:t xml:space="preserve">      - type: string</w:t>
      </w:r>
    </w:p>
    <w:p w14:paraId="7D66EC87" w14:textId="77777777" w:rsidR="007862A2" w:rsidRDefault="007862A2" w:rsidP="007862A2">
      <w:pPr>
        <w:pStyle w:val="PL"/>
        <w:rPr>
          <w:lang w:val="en-US"/>
        </w:rPr>
      </w:pPr>
      <w:r>
        <w:rPr>
          <w:lang w:val="en-US"/>
        </w:rPr>
        <w:t xml:space="preserve">        enum:</w:t>
      </w:r>
    </w:p>
    <w:p w14:paraId="708CF140" w14:textId="77777777" w:rsidR="007862A2" w:rsidRDefault="007862A2" w:rsidP="007862A2">
      <w:pPr>
        <w:pStyle w:val="PL"/>
        <w:rPr>
          <w:lang w:val="en-US"/>
        </w:rPr>
      </w:pPr>
      <w:r>
        <w:rPr>
          <w:lang w:val="en-US"/>
        </w:rPr>
        <w:t xml:space="preserve">          - USER_PLANE</w:t>
      </w:r>
    </w:p>
    <w:p w14:paraId="6A1007FA" w14:textId="77777777" w:rsidR="007862A2" w:rsidRDefault="007862A2" w:rsidP="007862A2">
      <w:pPr>
        <w:pStyle w:val="PL"/>
        <w:rPr>
          <w:lang w:val="en-US"/>
        </w:rPr>
      </w:pPr>
      <w:r>
        <w:rPr>
          <w:lang w:val="en-US"/>
        </w:rPr>
        <w:t xml:space="preserve">          - CONTROL_PLANE</w:t>
      </w:r>
    </w:p>
    <w:p w14:paraId="040EF909" w14:textId="77777777" w:rsidR="007862A2" w:rsidRDefault="007862A2" w:rsidP="007862A2">
      <w:pPr>
        <w:pStyle w:val="PL"/>
        <w:rPr>
          <w:lang w:val="en-US"/>
        </w:rPr>
      </w:pPr>
      <w:r>
        <w:rPr>
          <w:lang w:val="en-US"/>
        </w:rPr>
        <w:t xml:space="preserve">          - USER_AND_CONTROL_PLANE</w:t>
      </w:r>
    </w:p>
    <w:p w14:paraId="4D74815F" w14:textId="77777777" w:rsidR="007862A2" w:rsidRDefault="007862A2" w:rsidP="007862A2">
      <w:pPr>
        <w:pStyle w:val="PL"/>
        <w:rPr>
          <w:lang w:val="en-US"/>
        </w:rPr>
      </w:pPr>
      <w:r>
        <w:rPr>
          <w:lang w:val="en-US"/>
        </w:rPr>
        <w:t xml:space="preserve">      - type: string</w:t>
      </w:r>
    </w:p>
    <w:p w14:paraId="0993EEB5" w14:textId="77777777" w:rsidR="007862A2" w:rsidRDefault="007862A2" w:rsidP="007862A2">
      <w:pPr>
        <w:pStyle w:val="PL"/>
        <w:rPr>
          <w:lang w:val="en-US"/>
        </w:rPr>
      </w:pPr>
      <w:r>
        <w:rPr>
          <w:lang w:val="en-US"/>
        </w:rPr>
        <w:t xml:space="preserve">        description: &gt;</w:t>
      </w:r>
    </w:p>
    <w:p w14:paraId="0B395D64" w14:textId="77777777" w:rsidR="007862A2" w:rsidRDefault="007862A2" w:rsidP="007862A2">
      <w:pPr>
        <w:pStyle w:val="PL"/>
        <w:rPr>
          <w:lang w:val="en-US"/>
        </w:rPr>
      </w:pPr>
      <w:r>
        <w:rPr>
          <w:lang w:val="en-US"/>
        </w:rPr>
        <w:t xml:space="preserve">          This string provides forward-compatibility with future</w:t>
      </w:r>
    </w:p>
    <w:p w14:paraId="32C06B51" w14:textId="77777777" w:rsidR="007862A2" w:rsidRDefault="007862A2" w:rsidP="007862A2">
      <w:pPr>
        <w:pStyle w:val="PL"/>
        <w:rPr>
          <w:lang w:val="en-US"/>
        </w:rPr>
      </w:pPr>
      <w:r>
        <w:rPr>
          <w:lang w:val="en-US"/>
        </w:rPr>
        <w:t xml:space="preserve">          extensions to the enumeration but is not used to encode</w:t>
      </w:r>
    </w:p>
    <w:p w14:paraId="1AE1DFCA" w14:textId="77777777" w:rsidR="007862A2" w:rsidRDefault="007862A2" w:rsidP="007862A2">
      <w:pPr>
        <w:pStyle w:val="PL"/>
        <w:rPr>
          <w:lang w:val="en-US"/>
        </w:rPr>
      </w:pPr>
      <w:r>
        <w:rPr>
          <w:lang w:val="en-US"/>
        </w:rPr>
        <w:t xml:space="preserve">          content defined in the present version of this API.</w:t>
      </w:r>
    </w:p>
    <w:p w14:paraId="6653084B" w14:textId="77777777" w:rsidR="007862A2" w:rsidRDefault="007862A2" w:rsidP="007862A2">
      <w:pPr>
        <w:pStyle w:val="PL"/>
        <w:rPr>
          <w:lang w:val="en-US"/>
        </w:rPr>
      </w:pPr>
      <w:r>
        <w:rPr>
          <w:lang w:val="en-US"/>
        </w:rPr>
        <w:t xml:space="preserve">      description: |</w:t>
      </w:r>
    </w:p>
    <w:p w14:paraId="1A722321" w14:textId="77777777" w:rsidR="007862A2" w:rsidRDefault="007862A2" w:rsidP="007862A2">
      <w:pPr>
        <w:pStyle w:val="PL"/>
        <w:rPr>
          <w:lang w:val="en-US"/>
        </w:rPr>
      </w:pPr>
      <w:r>
        <w:rPr>
          <w:lang w:val="en-US"/>
        </w:rPr>
        <w:t xml:space="preserve">        </w:t>
      </w:r>
      <w:r>
        <w:rPr>
          <w:lang w:eastAsia="zh-CN"/>
        </w:rPr>
        <w:t xml:space="preserve">Indicates the congestion analytics type.  </w:t>
      </w:r>
    </w:p>
    <w:p w14:paraId="27BA6276" w14:textId="77777777" w:rsidR="007862A2" w:rsidRDefault="007862A2" w:rsidP="007862A2">
      <w:pPr>
        <w:pStyle w:val="PL"/>
        <w:rPr>
          <w:lang w:val="en-US"/>
        </w:rPr>
      </w:pPr>
      <w:r>
        <w:rPr>
          <w:lang w:val="en-US"/>
        </w:rPr>
        <w:t xml:space="preserve">        Possible values are:</w:t>
      </w:r>
    </w:p>
    <w:p w14:paraId="3460088F" w14:textId="77777777" w:rsidR="007862A2" w:rsidRDefault="007862A2" w:rsidP="007862A2">
      <w:pPr>
        <w:pStyle w:val="PL"/>
        <w:rPr>
          <w:lang w:val="en-US"/>
        </w:rPr>
      </w:pPr>
      <w:r>
        <w:rPr>
          <w:lang w:val="en-US"/>
        </w:rPr>
        <w:t xml:space="preserve">        - USER_PLANE: The congestion analytics type is User Plane.</w:t>
      </w:r>
    </w:p>
    <w:p w14:paraId="6335188F" w14:textId="77777777" w:rsidR="007862A2" w:rsidRDefault="007862A2" w:rsidP="007862A2">
      <w:pPr>
        <w:pStyle w:val="PL"/>
        <w:rPr>
          <w:lang w:val="en-US"/>
        </w:rPr>
      </w:pPr>
      <w:r>
        <w:rPr>
          <w:lang w:val="en-US"/>
        </w:rPr>
        <w:t xml:space="preserve">        - CONTROL_PLANE: The congestion analytics type is Control Plane.</w:t>
      </w:r>
    </w:p>
    <w:p w14:paraId="06FC1226" w14:textId="77777777" w:rsidR="007862A2" w:rsidRDefault="007862A2" w:rsidP="007862A2">
      <w:pPr>
        <w:pStyle w:val="PL"/>
        <w:rPr>
          <w:lang w:val="en-US"/>
        </w:rPr>
      </w:pPr>
      <w:r>
        <w:rPr>
          <w:lang w:val="en-US"/>
        </w:rPr>
        <w:t xml:space="preserve">        - USER_AND_CONTROL_PLANE: The congestion analytics type is User Plane and Control Plane.</w:t>
      </w:r>
    </w:p>
    <w:p w14:paraId="0F50FA60" w14:textId="77777777" w:rsidR="007862A2" w:rsidRDefault="007862A2" w:rsidP="007862A2">
      <w:pPr>
        <w:pStyle w:val="PL"/>
        <w:rPr>
          <w:lang w:val="en-US"/>
        </w:rPr>
      </w:pPr>
    </w:p>
    <w:p w14:paraId="30A1DBB0" w14:textId="77777777" w:rsidR="007862A2" w:rsidRDefault="007862A2" w:rsidP="007862A2">
      <w:pPr>
        <w:pStyle w:val="PL"/>
        <w:rPr>
          <w:lang w:val="en-US"/>
        </w:rPr>
      </w:pPr>
      <w:r>
        <w:rPr>
          <w:lang w:val="en-US"/>
        </w:rPr>
        <w:t xml:space="preserve">    ExceptionId:</w:t>
      </w:r>
    </w:p>
    <w:p w14:paraId="4C75CC39" w14:textId="77777777" w:rsidR="007862A2" w:rsidRDefault="007862A2" w:rsidP="007862A2">
      <w:pPr>
        <w:pStyle w:val="PL"/>
        <w:rPr>
          <w:lang w:val="en-US"/>
        </w:rPr>
      </w:pPr>
      <w:r>
        <w:rPr>
          <w:lang w:val="en-US"/>
        </w:rPr>
        <w:t xml:space="preserve">      anyOf:</w:t>
      </w:r>
    </w:p>
    <w:p w14:paraId="5E288604" w14:textId="77777777" w:rsidR="007862A2" w:rsidRDefault="007862A2" w:rsidP="007862A2">
      <w:pPr>
        <w:pStyle w:val="PL"/>
        <w:rPr>
          <w:lang w:val="en-US"/>
        </w:rPr>
      </w:pPr>
      <w:r>
        <w:rPr>
          <w:lang w:val="en-US"/>
        </w:rPr>
        <w:t xml:space="preserve">      - type: string</w:t>
      </w:r>
    </w:p>
    <w:p w14:paraId="53AA2317" w14:textId="77777777" w:rsidR="007862A2" w:rsidRDefault="007862A2" w:rsidP="007862A2">
      <w:pPr>
        <w:pStyle w:val="PL"/>
        <w:rPr>
          <w:lang w:val="en-US"/>
        </w:rPr>
      </w:pPr>
      <w:r>
        <w:rPr>
          <w:lang w:val="en-US"/>
        </w:rPr>
        <w:t xml:space="preserve">        enum:</w:t>
      </w:r>
    </w:p>
    <w:p w14:paraId="411108D0" w14:textId="77777777" w:rsidR="007862A2" w:rsidRDefault="007862A2" w:rsidP="007862A2">
      <w:pPr>
        <w:pStyle w:val="PL"/>
        <w:rPr>
          <w:lang w:val="en-US"/>
        </w:rPr>
      </w:pPr>
      <w:r>
        <w:rPr>
          <w:lang w:val="en-US"/>
        </w:rPr>
        <w:t xml:space="preserve">          - UNEXPECTED_UE_LOCATION</w:t>
      </w:r>
    </w:p>
    <w:p w14:paraId="458BFD23" w14:textId="77777777" w:rsidR="007862A2" w:rsidRDefault="007862A2" w:rsidP="007862A2">
      <w:pPr>
        <w:pStyle w:val="PL"/>
        <w:rPr>
          <w:lang w:val="en-US"/>
        </w:rPr>
      </w:pPr>
      <w:r>
        <w:rPr>
          <w:lang w:val="en-US"/>
        </w:rPr>
        <w:t xml:space="preserve">          - UNEXPECTED_LONG_LIVE_FLOW</w:t>
      </w:r>
    </w:p>
    <w:p w14:paraId="267AFEEF" w14:textId="77777777" w:rsidR="007862A2" w:rsidRDefault="007862A2" w:rsidP="007862A2">
      <w:pPr>
        <w:pStyle w:val="PL"/>
        <w:rPr>
          <w:lang w:val="en-US"/>
        </w:rPr>
      </w:pPr>
      <w:r>
        <w:rPr>
          <w:lang w:val="en-US"/>
        </w:rPr>
        <w:t xml:space="preserve">          - UNEXPECTED_LARGE_RATE_FLOW</w:t>
      </w:r>
    </w:p>
    <w:p w14:paraId="5792DAC8" w14:textId="77777777" w:rsidR="007862A2" w:rsidRDefault="007862A2" w:rsidP="007862A2">
      <w:pPr>
        <w:pStyle w:val="PL"/>
        <w:rPr>
          <w:lang w:val="en-US"/>
        </w:rPr>
      </w:pPr>
      <w:r>
        <w:rPr>
          <w:lang w:val="en-US"/>
        </w:rPr>
        <w:t xml:space="preserve">          - UNEXPECTED_WAKEUP</w:t>
      </w:r>
    </w:p>
    <w:p w14:paraId="37E02132" w14:textId="77777777" w:rsidR="007862A2" w:rsidRDefault="007862A2" w:rsidP="007862A2">
      <w:pPr>
        <w:pStyle w:val="PL"/>
        <w:rPr>
          <w:lang w:val="en-US"/>
        </w:rPr>
      </w:pPr>
      <w:r>
        <w:rPr>
          <w:lang w:val="en-US"/>
        </w:rPr>
        <w:t xml:space="preserve">          - SUSPICION_OF_DDOS_ATTACK</w:t>
      </w:r>
    </w:p>
    <w:p w14:paraId="2C663C47" w14:textId="77777777" w:rsidR="007862A2" w:rsidRDefault="007862A2" w:rsidP="007862A2">
      <w:pPr>
        <w:pStyle w:val="PL"/>
        <w:rPr>
          <w:lang w:val="en-US"/>
        </w:rPr>
      </w:pPr>
      <w:r>
        <w:rPr>
          <w:lang w:val="en-US"/>
        </w:rPr>
        <w:t xml:space="preserve">          - WRONG_DESTINATION_ADDRESS</w:t>
      </w:r>
    </w:p>
    <w:p w14:paraId="692343B6" w14:textId="77777777" w:rsidR="007862A2" w:rsidRDefault="007862A2" w:rsidP="007862A2">
      <w:pPr>
        <w:pStyle w:val="PL"/>
        <w:rPr>
          <w:lang w:val="en-US"/>
        </w:rPr>
      </w:pPr>
      <w:r>
        <w:rPr>
          <w:lang w:val="en-US"/>
        </w:rPr>
        <w:t xml:space="preserve">          - TOO_FREQUENT_SERVICE_ACCESS</w:t>
      </w:r>
    </w:p>
    <w:p w14:paraId="08E987BE" w14:textId="77777777" w:rsidR="007862A2" w:rsidRDefault="007862A2" w:rsidP="007862A2">
      <w:pPr>
        <w:pStyle w:val="PL"/>
        <w:rPr>
          <w:lang w:val="en-US"/>
        </w:rPr>
      </w:pPr>
      <w:r>
        <w:rPr>
          <w:lang w:val="en-US"/>
        </w:rPr>
        <w:t xml:space="preserve">          - UNEXPECTED_RADIO_LINK_FAILURES</w:t>
      </w:r>
    </w:p>
    <w:p w14:paraId="020949B6" w14:textId="77777777" w:rsidR="007862A2" w:rsidRDefault="007862A2" w:rsidP="007862A2">
      <w:pPr>
        <w:pStyle w:val="PL"/>
        <w:rPr>
          <w:lang w:val="en-US"/>
        </w:rPr>
      </w:pPr>
      <w:r>
        <w:rPr>
          <w:lang w:val="en-US"/>
        </w:rPr>
        <w:t xml:space="preserve">          - PING_PONG_ACROSS_CELLS</w:t>
      </w:r>
    </w:p>
    <w:p w14:paraId="395D7BBF" w14:textId="77777777" w:rsidR="007862A2" w:rsidRDefault="007862A2" w:rsidP="007862A2">
      <w:pPr>
        <w:pStyle w:val="PL"/>
        <w:rPr>
          <w:lang w:val="en-US"/>
        </w:rPr>
      </w:pPr>
      <w:r>
        <w:rPr>
          <w:lang w:val="en-US"/>
        </w:rPr>
        <w:t xml:space="preserve">      - type: string</w:t>
      </w:r>
    </w:p>
    <w:p w14:paraId="526123CE" w14:textId="77777777" w:rsidR="007862A2" w:rsidRDefault="007862A2" w:rsidP="007862A2">
      <w:pPr>
        <w:pStyle w:val="PL"/>
        <w:rPr>
          <w:lang w:val="en-US"/>
        </w:rPr>
      </w:pPr>
      <w:r>
        <w:rPr>
          <w:lang w:val="en-US"/>
        </w:rPr>
        <w:t xml:space="preserve">        description: &gt;</w:t>
      </w:r>
    </w:p>
    <w:p w14:paraId="73A7895F" w14:textId="77777777" w:rsidR="007862A2" w:rsidRDefault="007862A2" w:rsidP="007862A2">
      <w:pPr>
        <w:pStyle w:val="PL"/>
        <w:rPr>
          <w:lang w:val="en-US"/>
        </w:rPr>
      </w:pPr>
      <w:r>
        <w:rPr>
          <w:lang w:val="en-US"/>
        </w:rPr>
        <w:t xml:space="preserve">          This string provides forward-compatibility with future</w:t>
      </w:r>
    </w:p>
    <w:p w14:paraId="7D4E0528" w14:textId="77777777" w:rsidR="007862A2" w:rsidRDefault="007862A2" w:rsidP="007862A2">
      <w:pPr>
        <w:pStyle w:val="PL"/>
        <w:rPr>
          <w:lang w:val="en-US"/>
        </w:rPr>
      </w:pPr>
      <w:r>
        <w:rPr>
          <w:lang w:val="en-US"/>
        </w:rPr>
        <w:t xml:space="preserve">          extensions to the enumeration but is not used to encode</w:t>
      </w:r>
    </w:p>
    <w:p w14:paraId="3528D547" w14:textId="77777777" w:rsidR="007862A2" w:rsidRDefault="007862A2" w:rsidP="007862A2">
      <w:pPr>
        <w:pStyle w:val="PL"/>
        <w:rPr>
          <w:lang w:val="en-US"/>
        </w:rPr>
      </w:pPr>
      <w:r>
        <w:rPr>
          <w:lang w:val="en-US"/>
        </w:rPr>
        <w:t xml:space="preserve">          content defined in the present version of this API.</w:t>
      </w:r>
    </w:p>
    <w:p w14:paraId="7A8AE778" w14:textId="77777777" w:rsidR="007862A2" w:rsidRDefault="007862A2" w:rsidP="007862A2">
      <w:pPr>
        <w:pStyle w:val="PL"/>
        <w:rPr>
          <w:lang w:val="en-US"/>
        </w:rPr>
      </w:pPr>
      <w:r>
        <w:rPr>
          <w:lang w:val="en-US"/>
        </w:rPr>
        <w:t xml:space="preserve">      description: |</w:t>
      </w:r>
    </w:p>
    <w:p w14:paraId="3DDEEF43" w14:textId="77777777" w:rsidR="007862A2" w:rsidRDefault="007862A2" w:rsidP="007862A2">
      <w:pPr>
        <w:pStyle w:val="PL"/>
        <w:rPr>
          <w:lang w:val="en-US"/>
        </w:rPr>
      </w:pPr>
      <w:r>
        <w:rPr>
          <w:lang w:val="en-US"/>
        </w:rPr>
        <w:t xml:space="preserve">        </w:t>
      </w:r>
      <w:r>
        <w:rPr>
          <w:lang w:eastAsia="zh-CN"/>
        </w:rPr>
        <w:t xml:space="preserve">Describes the Exception Id.  </w:t>
      </w:r>
    </w:p>
    <w:p w14:paraId="2C8DC32B" w14:textId="77777777" w:rsidR="007862A2" w:rsidRDefault="007862A2" w:rsidP="007862A2">
      <w:pPr>
        <w:pStyle w:val="PL"/>
        <w:rPr>
          <w:lang w:val="en-US"/>
        </w:rPr>
      </w:pPr>
      <w:r>
        <w:rPr>
          <w:lang w:val="en-US"/>
        </w:rPr>
        <w:t xml:space="preserve">        Possible values are:</w:t>
      </w:r>
    </w:p>
    <w:p w14:paraId="55851CB1" w14:textId="77777777" w:rsidR="007862A2" w:rsidRDefault="007862A2" w:rsidP="007862A2">
      <w:pPr>
        <w:pStyle w:val="PL"/>
        <w:rPr>
          <w:lang w:val="en-US"/>
        </w:rPr>
      </w:pPr>
      <w:r>
        <w:rPr>
          <w:lang w:val="en-US"/>
        </w:rPr>
        <w:t xml:space="preserve">        - UNEXPECTED_UE_LOCATION: Unexpected UE location.</w:t>
      </w:r>
    </w:p>
    <w:p w14:paraId="6EAA847F" w14:textId="77777777" w:rsidR="007862A2" w:rsidRDefault="007862A2" w:rsidP="007862A2">
      <w:pPr>
        <w:pStyle w:val="PL"/>
        <w:rPr>
          <w:lang w:val="en-US"/>
        </w:rPr>
      </w:pPr>
      <w:r>
        <w:rPr>
          <w:lang w:val="en-US"/>
        </w:rPr>
        <w:t xml:space="preserve">        - UNEXPECTED_LONG_LIVE_FLOW: Unexpected long-live rate flows.</w:t>
      </w:r>
    </w:p>
    <w:p w14:paraId="1EA9DFF2" w14:textId="77777777" w:rsidR="007862A2" w:rsidRDefault="007862A2" w:rsidP="007862A2">
      <w:pPr>
        <w:pStyle w:val="PL"/>
        <w:rPr>
          <w:lang w:val="en-US"/>
        </w:rPr>
      </w:pPr>
      <w:r>
        <w:rPr>
          <w:lang w:val="en-US"/>
        </w:rPr>
        <w:t xml:space="preserve">        - UNEXPECTED_LARGE_RATE_FLOW: Unexpected large rate flows.</w:t>
      </w:r>
    </w:p>
    <w:p w14:paraId="7600F84A" w14:textId="77777777" w:rsidR="007862A2" w:rsidRDefault="007862A2" w:rsidP="007862A2">
      <w:pPr>
        <w:pStyle w:val="PL"/>
        <w:rPr>
          <w:lang w:val="en-US"/>
        </w:rPr>
      </w:pPr>
      <w:r>
        <w:rPr>
          <w:lang w:val="en-US"/>
        </w:rPr>
        <w:t xml:space="preserve">        - UNEXPECTED_WAKEUP: Unexpected wakeup.</w:t>
      </w:r>
    </w:p>
    <w:p w14:paraId="1E4223A0" w14:textId="77777777" w:rsidR="007862A2" w:rsidRDefault="007862A2" w:rsidP="007862A2">
      <w:pPr>
        <w:pStyle w:val="PL"/>
        <w:rPr>
          <w:lang w:val="en-US"/>
        </w:rPr>
      </w:pPr>
      <w:r>
        <w:rPr>
          <w:lang w:val="en-US"/>
        </w:rPr>
        <w:lastRenderedPageBreak/>
        <w:t xml:space="preserve">        - SUSPICION_OF_DDOS_ATTACK: Suspicion of DDoS attack.</w:t>
      </w:r>
    </w:p>
    <w:p w14:paraId="6A5D6499" w14:textId="77777777" w:rsidR="007862A2" w:rsidRDefault="007862A2" w:rsidP="007862A2">
      <w:pPr>
        <w:pStyle w:val="PL"/>
        <w:rPr>
          <w:lang w:val="en-US"/>
        </w:rPr>
      </w:pPr>
      <w:r>
        <w:rPr>
          <w:lang w:val="en-US"/>
        </w:rPr>
        <w:t xml:space="preserve">        - WRONG_DESTINATION_ADDRESS: Wrong destination address.</w:t>
      </w:r>
    </w:p>
    <w:p w14:paraId="1BE9399F" w14:textId="77777777" w:rsidR="007862A2" w:rsidRDefault="007862A2" w:rsidP="007862A2">
      <w:pPr>
        <w:pStyle w:val="PL"/>
        <w:rPr>
          <w:lang w:val="en-US"/>
        </w:rPr>
      </w:pPr>
      <w:r>
        <w:rPr>
          <w:lang w:val="en-US"/>
        </w:rPr>
        <w:t xml:space="preserve">        - TOO_FREQUENT_SERVICE_ACCESS: Too frequent Service Access.</w:t>
      </w:r>
    </w:p>
    <w:p w14:paraId="5D543BC9" w14:textId="77777777" w:rsidR="007862A2" w:rsidRDefault="007862A2" w:rsidP="007862A2">
      <w:pPr>
        <w:pStyle w:val="PL"/>
        <w:rPr>
          <w:lang w:val="en-US"/>
        </w:rPr>
      </w:pPr>
      <w:r>
        <w:rPr>
          <w:lang w:val="en-US"/>
        </w:rPr>
        <w:t xml:space="preserve">        - UNEXPECTED_RADIO_LINK_FAILURES: Unexpected radio link failures.</w:t>
      </w:r>
    </w:p>
    <w:p w14:paraId="0386829D" w14:textId="77777777" w:rsidR="007862A2" w:rsidRDefault="007862A2" w:rsidP="007862A2">
      <w:pPr>
        <w:pStyle w:val="PL"/>
        <w:rPr>
          <w:lang w:val="en-US"/>
        </w:rPr>
      </w:pPr>
      <w:r>
        <w:rPr>
          <w:lang w:val="en-US"/>
        </w:rPr>
        <w:t xml:space="preserve">        - PING_PONG_ACROSS_CELLS: Ping-ponging across neighbouring cells.</w:t>
      </w:r>
    </w:p>
    <w:p w14:paraId="5A4D666C" w14:textId="77777777" w:rsidR="007862A2" w:rsidRDefault="007862A2" w:rsidP="007862A2">
      <w:pPr>
        <w:pStyle w:val="PL"/>
        <w:rPr>
          <w:lang w:val="en-US"/>
        </w:rPr>
      </w:pPr>
    </w:p>
    <w:p w14:paraId="665F2F93" w14:textId="77777777" w:rsidR="007862A2" w:rsidRDefault="007862A2" w:rsidP="007862A2">
      <w:pPr>
        <w:pStyle w:val="PL"/>
        <w:rPr>
          <w:lang w:val="en-US"/>
        </w:rPr>
      </w:pPr>
      <w:r>
        <w:rPr>
          <w:lang w:val="en-US"/>
        </w:rPr>
        <w:t xml:space="preserve">    ExceptionTrend:</w:t>
      </w:r>
    </w:p>
    <w:p w14:paraId="6CB0FB48" w14:textId="77777777" w:rsidR="007862A2" w:rsidRDefault="007862A2" w:rsidP="007862A2">
      <w:pPr>
        <w:pStyle w:val="PL"/>
        <w:rPr>
          <w:lang w:val="en-US"/>
        </w:rPr>
      </w:pPr>
      <w:r>
        <w:rPr>
          <w:lang w:val="en-US"/>
        </w:rPr>
        <w:t xml:space="preserve">      anyOf:</w:t>
      </w:r>
    </w:p>
    <w:p w14:paraId="5CA4F40A" w14:textId="77777777" w:rsidR="007862A2" w:rsidRDefault="007862A2" w:rsidP="007862A2">
      <w:pPr>
        <w:pStyle w:val="PL"/>
        <w:rPr>
          <w:lang w:val="en-US"/>
        </w:rPr>
      </w:pPr>
      <w:r>
        <w:rPr>
          <w:lang w:val="en-US"/>
        </w:rPr>
        <w:t xml:space="preserve">      - type: string</w:t>
      </w:r>
    </w:p>
    <w:p w14:paraId="3F32F947" w14:textId="77777777" w:rsidR="007862A2" w:rsidRDefault="007862A2" w:rsidP="007862A2">
      <w:pPr>
        <w:pStyle w:val="PL"/>
        <w:rPr>
          <w:lang w:val="en-US"/>
        </w:rPr>
      </w:pPr>
      <w:r>
        <w:rPr>
          <w:lang w:val="en-US"/>
        </w:rPr>
        <w:t xml:space="preserve">        enum:</w:t>
      </w:r>
    </w:p>
    <w:p w14:paraId="2191E3E0" w14:textId="77777777" w:rsidR="007862A2" w:rsidRDefault="007862A2" w:rsidP="007862A2">
      <w:pPr>
        <w:pStyle w:val="PL"/>
        <w:rPr>
          <w:lang w:val="en-US"/>
        </w:rPr>
      </w:pPr>
      <w:r>
        <w:rPr>
          <w:lang w:val="en-US"/>
        </w:rPr>
        <w:t xml:space="preserve">          - UP</w:t>
      </w:r>
    </w:p>
    <w:p w14:paraId="74DFBBFF" w14:textId="77777777" w:rsidR="007862A2" w:rsidRDefault="007862A2" w:rsidP="007862A2">
      <w:pPr>
        <w:pStyle w:val="PL"/>
        <w:rPr>
          <w:lang w:val="en-US"/>
        </w:rPr>
      </w:pPr>
      <w:r>
        <w:rPr>
          <w:lang w:val="en-US"/>
        </w:rPr>
        <w:t xml:space="preserve">          - DOWN</w:t>
      </w:r>
    </w:p>
    <w:p w14:paraId="463C2B9C" w14:textId="77777777" w:rsidR="007862A2" w:rsidRDefault="007862A2" w:rsidP="007862A2">
      <w:pPr>
        <w:pStyle w:val="PL"/>
        <w:rPr>
          <w:lang w:val="en-US"/>
        </w:rPr>
      </w:pPr>
      <w:r>
        <w:rPr>
          <w:lang w:val="en-US"/>
        </w:rPr>
        <w:t xml:space="preserve">          - UNKNOW</w:t>
      </w:r>
    </w:p>
    <w:p w14:paraId="0D61D0D3" w14:textId="77777777" w:rsidR="007862A2" w:rsidRDefault="007862A2" w:rsidP="007862A2">
      <w:pPr>
        <w:pStyle w:val="PL"/>
        <w:rPr>
          <w:lang w:val="en-US"/>
        </w:rPr>
      </w:pPr>
      <w:r>
        <w:rPr>
          <w:lang w:val="en-US"/>
        </w:rPr>
        <w:t xml:space="preserve">          - STABLE</w:t>
      </w:r>
    </w:p>
    <w:p w14:paraId="7C94D743" w14:textId="77777777" w:rsidR="007862A2" w:rsidRDefault="007862A2" w:rsidP="007862A2">
      <w:pPr>
        <w:pStyle w:val="PL"/>
        <w:rPr>
          <w:lang w:val="en-US"/>
        </w:rPr>
      </w:pPr>
      <w:r>
        <w:rPr>
          <w:lang w:val="en-US"/>
        </w:rPr>
        <w:t xml:space="preserve">      - type: string</w:t>
      </w:r>
    </w:p>
    <w:p w14:paraId="75131069" w14:textId="77777777" w:rsidR="007862A2" w:rsidRDefault="007862A2" w:rsidP="007862A2">
      <w:pPr>
        <w:pStyle w:val="PL"/>
        <w:rPr>
          <w:lang w:val="en-US"/>
        </w:rPr>
      </w:pPr>
      <w:r>
        <w:rPr>
          <w:lang w:val="en-US"/>
        </w:rPr>
        <w:t xml:space="preserve">        description: &gt;</w:t>
      </w:r>
    </w:p>
    <w:p w14:paraId="77697BB6" w14:textId="77777777" w:rsidR="007862A2" w:rsidRDefault="007862A2" w:rsidP="007862A2">
      <w:pPr>
        <w:pStyle w:val="PL"/>
        <w:rPr>
          <w:lang w:val="en-US"/>
        </w:rPr>
      </w:pPr>
      <w:r>
        <w:rPr>
          <w:lang w:val="en-US"/>
        </w:rPr>
        <w:t xml:space="preserve">          This string provides forward-compatibility with future</w:t>
      </w:r>
    </w:p>
    <w:p w14:paraId="24BBE0CB" w14:textId="77777777" w:rsidR="007862A2" w:rsidRDefault="007862A2" w:rsidP="007862A2">
      <w:pPr>
        <w:pStyle w:val="PL"/>
        <w:rPr>
          <w:lang w:val="en-US"/>
        </w:rPr>
      </w:pPr>
      <w:r>
        <w:rPr>
          <w:lang w:val="en-US"/>
        </w:rPr>
        <w:t xml:space="preserve">          extensions to the enumeration but is not used to encode</w:t>
      </w:r>
    </w:p>
    <w:p w14:paraId="56AB7FF8" w14:textId="77777777" w:rsidR="007862A2" w:rsidRDefault="007862A2" w:rsidP="007862A2">
      <w:pPr>
        <w:pStyle w:val="PL"/>
        <w:rPr>
          <w:lang w:val="en-US"/>
        </w:rPr>
      </w:pPr>
      <w:r>
        <w:rPr>
          <w:lang w:val="en-US"/>
        </w:rPr>
        <w:t xml:space="preserve">          content defined in the present version of this API.</w:t>
      </w:r>
    </w:p>
    <w:p w14:paraId="0C593E17" w14:textId="77777777" w:rsidR="007862A2" w:rsidRDefault="007862A2" w:rsidP="007862A2">
      <w:pPr>
        <w:pStyle w:val="PL"/>
        <w:rPr>
          <w:lang w:val="en-US"/>
        </w:rPr>
      </w:pPr>
      <w:r>
        <w:rPr>
          <w:lang w:val="en-US"/>
        </w:rPr>
        <w:t xml:space="preserve">      description: |</w:t>
      </w:r>
    </w:p>
    <w:p w14:paraId="56AFA889" w14:textId="77777777" w:rsidR="007862A2" w:rsidRDefault="007862A2" w:rsidP="007862A2">
      <w:pPr>
        <w:pStyle w:val="PL"/>
        <w:rPr>
          <w:lang w:val="en-US"/>
        </w:rPr>
      </w:pPr>
      <w:r>
        <w:rPr>
          <w:lang w:val="en-US"/>
        </w:rPr>
        <w:t xml:space="preserve">        </w:t>
      </w:r>
      <w:r>
        <w:rPr>
          <w:lang w:eastAsia="zh-CN"/>
        </w:rPr>
        <w:t xml:space="preserve">Represents the Exception Trend.  </w:t>
      </w:r>
    </w:p>
    <w:p w14:paraId="2BE161BE" w14:textId="77777777" w:rsidR="007862A2" w:rsidRDefault="007862A2" w:rsidP="007862A2">
      <w:pPr>
        <w:pStyle w:val="PL"/>
        <w:rPr>
          <w:lang w:val="en-US"/>
        </w:rPr>
      </w:pPr>
      <w:r>
        <w:rPr>
          <w:lang w:val="en-US"/>
        </w:rPr>
        <w:t xml:space="preserve">        Possible values are:</w:t>
      </w:r>
    </w:p>
    <w:p w14:paraId="006F84ED" w14:textId="77777777" w:rsidR="007862A2" w:rsidRDefault="007862A2" w:rsidP="007862A2">
      <w:pPr>
        <w:pStyle w:val="PL"/>
        <w:rPr>
          <w:lang w:val="en-US"/>
        </w:rPr>
      </w:pPr>
      <w:r>
        <w:rPr>
          <w:lang w:val="en-US"/>
        </w:rPr>
        <w:t xml:space="preserve">        - UP: Up trend of the exception level.</w:t>
      </w:r>
    </w:p>
    <w:p w14:paraId="514B35D6" w14:textId="77777777" w:rsidR="007862A2" w:rsidRDefault="007862A2" w:rsidP="007862A2">
      <w:pPr>
        <w:pStyle w:val="PL"/>
        <w:rPr>
          <w:lang w:val="en-US"/>
        </w:rPr>
      </w:pPr>
      <w:r>
        <w:rPr>
          <w:lang w:val="en-US"/>
        </w:rPr>
        <w:t xml:space="preserve">        - DOWN: Down trend of the exception level.</w:t>
      </w:r>
    </w:p>
    <w:p w14:paraId="4D5D465B" w14:textId="77777777" w:rsidR="007862A2" w:rsidRDefault="007862A2" w:rsidP="007862A2">
      <w:pPr>
        <w:pStyle w:val="PL"/>
        <w:rPr>
          <w:lang w:val="en-US"/>
        </w:rPr>
      </w:pPr>
      <w:r>
        <w:rPr>
          <w:lang w:val="en-US"/>
        </w:rPr>
        <w:t xml:space="preserve">        - UNKNOW: Unknown trend of the exception level.</w:t>
      </w:r>
    </w:p>
    <w:p w14:paraId="0E6100C8" w14:textId="77777777" w:rsidR="007862A2" w:rsidRDefault="007862A2" w:rsidP="007862A2">
      <w:pPr>
        <w:pStyle w:val="PL"/>
        <w:rPr>
          <w:lang w:val="en-US"/>
        </w:rPr>
      </w:pPr>
      <w:r>
        <w:rPr>
          <w:lang w:val="en-US"/>
        </w:rPr>
        <w:t xml:space="preserve">        - STABLE: Stable trend of the exception level.</w:t>
      </w:r>
    </w:p>
    <w:p w14:paraId="3A67A577" w14:textId="77777777" w:rsidR="007862A2" w:rsidRDefault="007862A2" w:rsidP="007862A2">
      <w:pPr>
        <w:pStyle w:val="PL"/>
        <w:rPr>
          <w:lang w:val="en-US"/>
        </w:rPr>
      </w:pPr>
    </w:p>
    <w:p w14:paraId="35439189" w14:textId="77777777" w:rsidR="007862A2" w:rsidRDefault="007862A2" w:rsidP="007862A2">
      <w:pPr>
        <w:pStyle w:val="PL"/>
        <w:rPr>
          <w:lang w:val="en-US"/>
        </w:rPr>
      </w:pPr>
      <w:r>
        <w:rPr>
          <w:lang w:val="en-US"/>
        </w:rPr>
        <w:t xml:space="preserve">    TimeUnit:</w:t>
      </w:r>
    </w:p>
    <w:p w14:paraId="7C32FD4C" w14:textId="77777777" w:rsidR="007862A2" w:rsidRDefault="007862A2" w:rsidP="007862A2">
      <w:pPr>
        <w:pStyle w:val="PL"/>
        <w:rPr>
          <w:lang w:val="en-US"/>
        </w:rPr>
      </w:pPr>
      <w:r>
        <w:rPr>
          <w:lang w:val="en-US"/>
        </w:rPr>
        <w:t xml:space="preserve">      anyOf:</w:t>
      </w:r>
    </w:p>
    <w:p w14:paraId="4B2C4638" w14:textId="77777777" w:rsidR="007862A2" w:rsidRDefault="007862A2" w:rsidP="007862A2">
      <w:pPr>
        <w:pStyle w:val="PL"/>
        <w:rPr>
          <w:lang w:val="en-US"/>
        </w:rPr>
      </w:pPr>
      <w:r>
        <w:rPr>
          <w:lang w:val="en-US"/>
        </w:rPr>
        <w:t xml:space="preserve">      - type: string</w:t>
      </w:r>
    </w:p>
    <w:p w14:paraId="7C8EA4B0" w14:textId="77777777" w:rsidR="007862A2" w:rsidRDefault="007862A2" w:rsidP="007862A2">
      <w:pPr>
        <w:pStyle w:val="PL"/>
        <w:rPr>
          <w:lang w:val="en-US"/>
        </w:rPr>
      </w:pPr>
      <w:r>
        <w:rPr>
          <w:lang w:val="en-US"/>
        </w:rPr>
        <w:t xml:space="preserve">        enum:</w:t>
      </w:r>
    </w:p>
    <w:p w14:paraId="0750E5AF" w14:textId="77777777" w:rsidR="007862A2" w:rsidRDefault="007862A2" w:rsidP="007862A2">
      <w:pPr>
        <w:pStyle w:val="PL"/>
        <w:rPr>
          <w:lang w:val="en-US"/>
        </w:rPr>
      </w:pPr>
      <w:r>
        <w:rPr>
          <w:lang w:val="en-US"/>
        </w:rPr>
        <w:t xml:space="preserve">          - MINUTE</w:t>
      </w:r>
    </w:p>
    <w:p w14:paraId="458813DC" w14:textId="77777777" w:rsidR="007862A2" w:rsidRDefault="007862A2" w:rsidP="007862A2">
      <w:pPr>
        <w:pStyle w:val="PL"/>
        <w:rPr>
          <w:lang w:val="en-US"/>
        </w:rPr>
      </w:pPr>
      <w:r>
        <w:rPr>
          <w:lang w:val="en-US"/>
        </w:rPr>
        <w:t xml:space="preserve">          - HOUR</w:t>
      </w:r>
    </w:p>
    <w:p w14:paraId="106EBBFC" w14:textId="77777777" w:rsidR="007862A2" w:rsidRDefault="007862A2" w:rsidP="007862A2">
      <w:pPr>
        <w:pStyle w:val="PL"/>
        <w:rPr>
          <w:lang w:val="en-US"/>
        </w:rPr>
      </w:pPr>
      <w:r>
        <w:rPr>
          <w:lang w:val="en-US"/>
        </w:rPr>
        <w:t xml:space="preserve">          - DAY</w:t>
      </w:r>
    </w:p>
    <w:p w14:paraId="032E7CF4" w14:textId="77777777" w:rsidR="007862A2" w:rsidRDefault="007862A2" w:rsidP="007862A2">
      <w:pPr>
        <w:pStyle w:val="PL"/>
        <w:rPr>
          <w:lang w:val="en-US"/>
        </w:rPr>
      </w:pPr>
      <w:r>
        <w:rPr>
          <w:lang w:val="en-US"/>
        </w:rPr>
        <w:t xml:space="preserve">      - type: string</w:t>
      </w:r>
    </w:p>
    <w:p w14:paraId="297C5E48" w14:textId="77777777" w:rsidR="007862A2" w:rsidRDefault="007862A2" w:rsidP="007862A2">
      <w:pPr>
        <w:pStyle w:val="PL"/>
        <w:rPr>
          <w:lang w:val="en-US"/>
        </w:rPr>
      </w:pPr>
      <w:r>
        <w:rPr>
          <w:lang w:val="en-US"/>
        </w:rPr>
        <w:t xml:space="preserve">        description: &gt;</w:t>
      </w:r>
    </w:p>
    <w:p w14:paraId="2339A822" w14:textId="77777777" w:rsidR="007862A2" w:rsidRDefault="007862A2" w:rsidP="007862A2">
      <w:pPr>
        <w:pStyle w:val="PL"/>
        <w:rPr>
          <w:lang w:val="en-US"/>
        </w:rPr>
      </w:pPr>
      <w:r>
        <w:rPr>
          <w:lang w:val="en-US"/>
        </w:rPr>
        <w:t xml:space="preserve">          This string provides forward-compatibility with future</w:t>
      </w:r>
    </w:p>
    <w:p w14:paraId="75F3DEC4" w14:textId="77777777" w:rsidR="007862A2" w:rsidRDefault="007862A2" w:rsidP="007862A2">
      <w:pPr>
        <w:pStyle w:val="PL"/>
        <w:rPr>
          <w:lang w:val="en-US"/>
        </w:rPr>
      </w:pPr>
      <w:r>
        <w:rPr>
          <w:lang w:val="en-US"/>
        </w:rPr>
        <w:t xml:space="preserve">          extensions to the enumeration but is not used to encode</w:t>
      </w:r>
    </w:p>
    <w:p w14:paraId="27B5EACF" w14:textId="77777777" w:rsidR="007862A2" w:rsidRDefault="007862A2" w:rsidP="007862A2">
      <w:pPr>
        <w:pStyle w:val="PL"/>
        <w:rPr>
          <w:lang w:val="en-US"/>
        </w:rPr>
      </w:pPr>
      <w:r>
        <w:rPr>
          <w:lang w:val="en-US"/>
        </w:rPr>
        <w:t xml:space="preserve">          content defined in the present version of this API.</w:t>
      </w:r>
    </w:p>
    <w:p w14:paraId="08FDC65E" w14:textId="77777777" w:rsidR="007862A2" w:rsidRDefault="007862A2" w:rsidP="007862A2">
      <w:pPr>
        <w:pStyle w:val="PL"/>
        <w:rPr>
          <w:lang w:val="en-US"/>
        </w:rPr>
      </w:pPr>
      <w:r>
        <w:rPr>
          <w:lang w:val="en-US"/>
        </w:rPr>
        <w:t xml:space="preserve">      description: |</w:t>
      </w:r>
    </w:p>
    <w:p w14:paraId="0AAFBC59" w14:textId="77777777" w:rsidR="007862A2" w:rsidRDefault="007862A2" w:rsidP="007862A2">
      <w:pPr>
        <w:pStyle w:val="PL"/>
        <w:rPr>
          <w:lang w:val="en-US"/>
        </w:rPr>
      </w:pPr>
      <w:r>
        <w:rPr>
          <w:lang w:val="en-US"/>
        </w:rPr>
        <w:t xml:space="preserve">        </w:t>
      </w:r>
      <w:r>
        <w:rPr>
          <w:lang w:eastAsia="zh-CN"/>
        </w:rPr>
        <w:t xml:space="preserve">Represents the unit for the session active time.  </w:t>
      </w:r>
    </w:p>
    <w:p w14:paraId="12D95EA7" w14:textId="77777777" w:rsidR="007862A2" w:rsidRDefault="007862A2" w:rsidP="007862A2">
      <w:pPr>
        <w:pStyle w:val="PL"/>
        <w:rPr>
          <w:lang w:val="en-US"/>
        </w:rPr>
      </w:pPr>
      <w:r>
        <w:rPr>
          <w:lang w:val="en-US"/>
        </w:rPr>
        <w:t xml:space="preserve">        Possible values are:</w:t>
      </w:r>
    </w:p>
    <w:p w14:paraId="3810E89D" w14:textId="77777777" w:rsidR="007862A2" w:rsidRDefault="007862A2" w:rsidP="007862A2">
      <w:pPr>
        <w:pStyle w:val="PL"/>
        <w:rPr>
          <w:lang w:val="en-US"/>
        </w:rPr>
      </w:pPr>
      <w:r>
        <w:rPr>
          <w:lang w:val="en-US"/>
        </w:rPr>
        <w:t xml:space="preserve">        - MINUTE: Time unit is per minute.</w:t>
      </w:r>
    </w:p>
    <w:p w14:paraId="7BB88E7F" w14:textId="77777777" w:rsidR="007862A2" w:rsidRDefault="007862A2" w:rsidP="007862A2">
      <w:pPr>
        <w:pStyle w:val="PL"/>
        <w:rPr>
          <w:lang w:val="en-US"/>
        </w:rPr>
      </w:pPr>
      <w:r>
        <w:rPr>
          <w:lang w:val="en-US"/>
        </w:rPr>
        <w:t xml:space="preserve">        - HOUR: Time unit is per hour.</w:t>
      </w:r>
    </w:p>
    <w:p w14:paraId="723F9891" w14:textId="77777777" w:rsidR="007862A2" w:rsidRDefault="007862A2" w:rsidP="007862A2">
      <w:pPr>
        <w:pStyle w:val="PL"/>
        <w:rPr>
          <w:lang w:val="en-US"/>
        </w:rPr>
      </w:pPr>
      <w:r>
        <w:rPr>
          <w:lang w:val="en-US"/>
        </w:rPr>
        <w:t xml:space="preserve">        - DAY: Time unit is per day.</w:t>
      </w:r>
    </w:p>
    <w:p w14:paraId="0CCCEB64" w14:textId="77777777" w:rsidR="007862A2" w:rsidRDefault="007862A2" w:rsidP="007862A2">
      <w:pPr>
        <w:pStyle w:val="PL"/>
        <w:rPr>
          <w:lang w:val="en-US"/>
        </w:rPr>
      </w:pPr>
    </w:p>
    <w:p w14:paraId="2C6F006B" w14:textId="77777777" w:rsidR="007862A2" w:rsidRDefault="007862A2" w:rsidP="007862A2">
      <w:pPr>
        <w:pStyle w:val="PL"/>
        <w:rPr>
          <w:lang w:val="en-US"/>
        </w:rPr>
      </w:pPr>
      <w:r>
        <w:rPr>
          <w:lang w:val="en-US"/>
        </w:rPr>
        <w:t xml:space="preserve">    NetworkPerfType:</w:t>
      </w:r>
    </w:p>
    <w:p w14:paraId="396FDF57" w14:textId="77777777" w:rsidR="007862A2" w:rsidRDefault="007862A2" w:rsidP="007862A2">
      <w:pPr>
        <w:pStyle w:val="PL"/>
        <w:rPr>
          <w:lang w:val="en-US"/>
        </w:rPr>
      </w:pPr>
      <w:r>
        <w:rPr>
          <w:lang w:val="en-US"/>
        </w:rPr>
        <w:t xml:space="preserve">      anyOf:</w:t>
      </w:r>
    </w:p>
    <w:p w14:paraId="13D7D79D" w14:textId="77777777" w:rsidR="007862A2" w:rsidRDefault="007862A2" w:rsidP="007862A2">
      <w:pPr>
        <w:pStyle w:val="PL"/>
        <w:rPr>
          <w:lang w:val="en-US"/>
        </w:rPr>
      </w:pPr>
      <w:r>
        <w:rPr>
          <w:lang w:val="en-US"/>
        </w:rPr>
        <w:t xml:space="preserve">      - type: string</w:t>
      </w:r>
    </w:p>
    <w:p w14:paraId="5A774EB1" w14:textId="77777777" w:rsidR="007862A2" w:rsidRDefault="007862A2" w:rsidP="007862A2">
      <w:pPr>
        <w:pStyle w:val="PL"/>
        <w:rPr>
          <w:lang w:val="en-US"/>
        </w:rPr>
      </w:pPr>
      <w:r>
        <w:rPr>
          <w:lang w:val="en-US"/>
        </w:rPr>
        <w:t xml:space="preserve">        enum:</w:t>
      </w:r>
    </w:p>
    <w:p w14:paraId="2E12C008" w14:textId="77777777" w:rsidR="007862A2" w:rsidRDefault="007862A2" w:rsidP="007862A2">
      <w:pPr>
        <w:pStyle w:val="PL"/>
        <w:rPr>
          <w:lang w:val="en-US"/>
        </w:rPr>
      </w:pPr>
      <w:r>
        <w:rPr>
          <w:lang w:val="en-US"/>
        </w:rPr>
        <w:t xml:space="preserve">          - GNB_ACTIVE_RATIO</w:t>
      </w:r>
    </w:p>
    <w:p w14:paraId="205DC3AE" w14:textId="77777777" w:rsidR="007862A2" w:rsidRDefault="007862A2" w:rsidP="007862A2">
      <w:pPr>
        <w:pStyle w:val="PL"/>
        <w:rPr>
          <w:lang w:val="en-US"/>
        </w:rPr>
      </w:pPr>
      <w:r>
        <w:rPr>
          <w:lang w:val="en-US"/>
        </w:rPr>
        <w:t xml:space="preserve">          - GNB_COMPUTING_USAGE</w:t>
      </w:r>
    </w:p>
    <w:p w14:paraId="4828BCB5" w14:textId="77777777" w:rsidR="007862A2" w:rsidRDefault="007862A2" w:rsidP="007862A2">
      <w:pPr>
        <w:pStyle w:val="PL"/>
        <w:rPr>
          <w:lang w:val="en-US"/>
        </w:rPr>
      </w:pPr>
      <w:r>
        <w:rPr>
          <w:lang w:val="en-US"/>
        </w:rPr>
        <w:t xml:space="preserve">          - GNB_MEMORY_USAGE</w:t>
      </w:r>
    </w:p>
    <w:p w14:paraId="5DDC4511" w14:textId="77777777" w:rsidR="007862A2" w:rsidRDefault="007862A2" w:rsidP="007862A2">
      <w:pPr>
        <w:pStyle w:val="PL"/>
        <w:rPr>
          <w:lang w:val="en-US"/>
        </w:rPr>
      </w:pPr>
      <w:r>
        <w:rPr>
          <w:lang w:val="en-US"/>
        </w:rPr>
        <w:t xml:space="preserve">          - GNB_DISK_USAGE</w:t>
      </w:r>
    </w:p>
    <w:p w14:paraId="66528ACB" w14:textId="77777777" w:rsidR="007862A2" w:rsidRDefault="007862A2" w:rsidP="007862A2">
      <w:pPr>
        <w:pStyle w:val="PL"/>
        <w:rPr>
          <w:lang w:val="en-US"/>
        </w:rPr>
      </w:pPr>
      <w:r>
        <w:rPr>
          <w:lang w:val="en-US"/>
        </w:rPr>
        <w:t xml:space="preserve">          - </w:t>
      </w:r>
      <w:r>
        <w:t>GNB_RSC_USAGE_OVERALL_TRAFFIC</w:t>
      </w:r>
    </w:p>
    <w:p w14:paraId="07A383FD" w14:textId="77777777" w:rsidR="007862A2" w:rsidRDefault="007862A2" w:rsidP="007862A2">
      <w:pPr>
        <w:pStyle w:val="PL"/>
        <w:rPr>
          <w:lang w:val="en-US"/>
        </w:rPr>
      </w:pPr>
      <w:r>
        <w:rPr>
          <w:lang w:val="en-US"/>
        </w:rPr>
        <w:t xml:space="preserve">          - </w:t>
      </w:r>
      <w:r>
        <w:t>GNB_RSC_USAGE_GBR_TRAFFIC</w:t>
      </w:r>
    </w:p>
    <w:p w14:paraId="270B2627" w14:textId="77777777" w:rsidR="007862A2" w:rsidRDefault="007862A2" w:rsidP="007862A2">
      <w:pPr>
        <w:pStyle w:val="PL"/>
        <w:rPr>
          <w:lang w:val="en-US"/>
        </w:rPr>
      </w:pPr>
      <w:r>
        <w:rPr>
          <w:lang w:val="en-US"/>
        </w:rPr>
        <w:t xml:space="preserve">          - </w:t>
      </w:r>
      <w:r>
        <w:t>GNB_RSC_USAGE_DELAY_CRIT_GBR_TRAFFIC</w:t>
      </w:r>
    </w:p>
    <w:p w14:paraId="71C36435" w14:textId="77777777" w:rsidR="007862A2" w:rsidRDefault="007862A2" w:rsidP="007862A2">
      <w:pPr>
        <w:pStyle w:val="PL"/>
        <w:rPr>
          <w:lang w:val="en-US"/>
        </w:rPr>
      </w:pPr>
      <w:r>
        <w:rPr>
          <w:lang w:val="en-US"/>
        </w:rPr>
        <w:t xml:space="preserve">          - NUM_OF_UE</w:t>
      </w:r>
    </w:p>
    <w:p w14:paraId="6FE82E60" w14:textId="77777777" w:rsidR="007862A2" w:rsidRDefault="007862A2" w:rsidP="007862A2">
      <w:pPr>
        <w:pStyle w:val="PL"/>
        <w:rPr>
          <w:lang w:val="en-US"/>
        </w:rPr>
      </w:pPr>
      <w:r>
        <w:rPr>
          <w:lang w:val="en-US"/>
        </w:rPr>
        <w:t xml:space="preserve">          - SESS_SUCC_RATIO</w:t>
      </w:r>
    </w:p>
    <w:p w14:paraId="39481315" w14:textId="77777777" w:rsidR="007862A2" w:rsidRDefault="007862A2" w:rsidP="007862A2">
      <w:pPr>
        <w:pStyle w:val="PL"/>
        <w:rPr>
          <w:lang w:val="en-US"/>
        </w:rPr>
      </w:pPr>
      <w:r>
        <w:rPr>
          <w:lang w:val="en-US"/>
        </w:rPr>
        <w:t xml:space="preserve">          - HO_SUCC_RATIO</w:t>
      </w:r>
    </w:p>
    <w:p w14:paraId="1D10F05C" w14:textId="77777777" w:rsidR="007862A2" w:rsidRDefault="007862A2" w:rsidP="007862A2">
      <w:pPr>
        <w:pStyle w:val="PL"/>
        <w:rPr>
          <w:lang w:val="en-US"/>
        </w:rPr>
      </w:pPr>
      <w:r>
        <w:rPr>
          <w:lang w:val="en-US"/>
        </w:rPr>
        <w:t xml:space="preserve">      - type: string</w:t>
      </w:r>
    </w:p>
    <w:p w14:paraId="2DE1CA32" w14:textId="77777777" w:rsidR="007862A2" w:rsidRDefault="007862A2" w:rsidP="007862A2">
      <w:pPr>
        <w:pStyle w:val="PL"/>
        <w:rPr>
          <w:lang w:val="en-US"/>
        </w:rPr>
      </w:pPr>
      <w:r>
        <w:rPr>
          <w:lang w:val="en-US"/>
        </w:rPr>
        <w:t xml:space="preserve">        description: &gt;</w:t>
      </w:r>
    </w:p>
    <w:p w14:paraId="4A16B2A9" w14:textId="77777777" w:rsidR="007862A2" w:rsidRDefault="007862A2" w:rsidP="007862A2">
      <w:pPr>
        <w:pStyle w:val="PL"/>
        <w:rPr>
          <w:lang w:val="en-US"/>
        </w:rPr>
      </w:pPr>
      <w:r>
        <w:rPr>
          <w:lang w:val="en-US"/>
        </w:rPr>
        <w:t xml:space="preserve">          This string provides forward-compatibility with future</w:t>
      </w:r>
    </w:p>
    <w:p w14:paraId="63D0D6B5" w14:textId="77777777" w:rsidR="007862A2" w:rsidRDefault="007862A2" w:rsidP="007862A2">
      <w:pPr>
        <w:pStyle w:val="PL"/>
        <w:rPr>
          <w:lang w:val="en-US"/>
        </w:rPr>
      </w:pPr>
      <w:r>
        <w:rPr>
          <w:lang w:val="en-US"/>
        </w:rPr>
        <w:t xml:space="preserve">          extensions to the enumeration but is not used to encode</w:t>
      </w:r>
    </w:p>
    <w:p w14:paraId="5DC9CB5F" w14:textId="77777777" w:rsidR="007862A2" w:rsidRDefault="007862A2" w:rsidP="007862A2">
      <w:pPr>
        <w:pStyle w:val="PL"/>
        <w:rPr>
          <w:lang w:val="en-US"/>
        </w:rPr>
      </w:pPr>
      <w:r>
        <w:rPr>
          <w:lang w:val="en-US"/>
        </w:rPr>
        <w:t xml:space="preserve">          content defined in the present version of this API.</w:t>
      </w:r>
    </w:p>
    <w:p w14:paraId="218BF1C0" w14:textId="77777777" w:rsidR="007862A2" w:rsidRDefault="007862A2" w:rsidP="007862A2">
      <w:pPr>
        <w:pStyle w:val="PL"/>
        <w:rPr>
          <w:lang w:val="en-US"/>
        </w:rPr>
      </w:pPr>
      <w:r>
        <w:rPr>
          <w:lang w:val="en-US"/>
        </w:rPr>
        <w:t xml:space="preserve">      description: |</w:t>
      </w:r>
    </w:p>
    <w:p w14:paraId="10C61E5B" w14:textId="77777777" w:rsidR="007862A2" w:rsidRDefault="007862A2" w:rsidP="007862A2">
      <w:pPr>
        <w:pStyle w:val="PL"/>
        <w:rPr>
          <w:lang w:val="en-US"/>
        </w:rPr>
      </w:pPr>
      <w:r>
        <w:rPr>
          <w:lang w:val="en-US"/>
        </w:rPr>
        <w:t xml:space="preserve">        </w:t>
      </w:r>
      <w:r>
        <w:rPr>
          <w:lang w:eastAsia="zh-CN"/>
        </w:rPr>
        <w:t xml:space="preserve">Represents the network performance types.  </w:t>
      </w:r>
    </w:p>
    <w:p w14:paraId="1B87471A" w14:textId="77777777" w:rsidR="007862A2" w:rsidRDefault="007862A2" w:rsidP="007862A2">
      <w:pPr>
        <w:pStyle w:val="PL"/>
        <w:rPr>
          <w:lang w:val="en-US"/>
        </w:rPr>
      </w:pPr>
      <w:r>
        <w:rPr>
          <w:lang w:val="en-US"/>
        </w:rPr>
        <w:t xml:space="preserve">        Possible values are:</w:t>
      </w:r>
    </w:p>
    <w:p w14:paraId="2FBF7335" w14:textId="77777777" w:rsidR="007862A2" w:rsidRDefault="007862A2" w:rsidP="007862A2">
      <w:pPr>
        <w:pStyle w:val="PL"/>
        <w:rPr>
          <w:lang w:val="en-US"/>
        </w:rPr>
      </w:pPr>
      <w:r>
        <w:rPr>
          <w:lang w:val="en-US"/>
        </w:rPr>
        <w:t xml:space="preserve">        - GNB_ACTIVE_RATIO: Indicates that the network performance requirement is gNodeB active</w:t>
      </w:r>
    </w:p>
    <w:p w14:paraId="5EB38C06" w14:textId="77777777" w:rsidR="007862A2" w:rsidRDefault="007862A2" w:rsidP="007862A2">
      <w:pPr>
        <w:pStyle w:val="PL"/>
        <w:rPr>
          <w:lang w:val="en-US"/>
        </w:rPr>
      </w:pPr>
      <w:r>
        <w:rPr>
          <w:lang w:val="en-US"/>
        </w:rPr>
        <w:t xml:space="preserve">          (i.e. up and running) rate. Indicates the ratio of gNB active (i.e. up and running) number</w:t>
      </w:r>
    </w:p>
    <w:p w14:paraId="290F9EDE" w14:textId="77777777" w:rsidR="007862A2" w:rsidRDefault="007862A2" w:rsidP="007862A2">
      <w:pPr>
        <w:pStyle w:val="PL"/>
        <w:rPr>
          <w:lang w:val="en-US"/>
        </w:rPr>
      </w:pPr>
      <w:r>
        <w:rPr>
          <w:lang w:val="en-US"/>
        </w:rPr>
        <w:t xml:space="preserve">          to the total number of gNB.</w:t>
      </w:r>
    </w:p>
    <w:p w14:paraId="574E7893" w14:textId="77777777" w:rsidR="007862A2" w:rsidRDefault="007862A2" w:rsidP="007862A2">
      <w:pPr>
        <w:pStyle w:val="PL"/>
        <w:rPr>
          <w:lang w:val="en-US"/>
        </w:rPr>
      </w:pPr>
      <w:r>
        <w:rPr>
          <w:lang w:val="en-US"/>
        </w:rPr>
        <w:t xml:space="preserve">        - GNB_COMPUTING_USAGE: Indicates gNodeB computing resource usage.</w:t>
      </w:r>
    </w:p>
    <w:p w14:paraId="787475A4" w14:textId="77777777" w:rsidR="007862A2" w:rsidRDefault="007862A2" w:rsidP="007862A2">
      <w:pPr>
        <w:pStyle w:val="PL"/>
        <w:rPr>
          <w:lang w:val="en-US"/>
        </w:rPr>
      </w:pPr>
      <w:r>
        <w:rPr>
          <w:lang w:val="en-US"/>
        </w:rPr>
        <w:t xml:space="preserve">        - GNB_MEMORY_USAGE: Indicates gNodeB memory usage.</w:t>
      </w:r>
    </w:p>
    <w:p w14:paraId="26D21768" w14:textId="77777777" w:rsidR="007862A2" w:rsidRDefault="007862A2" w:rsidP="007862A2">
      <w:pPr>
        <w:pStyle w:val="PL"/>
        <w:rPr>
          <w:lang w:val="en-US"/>
        </w:rPr>
      </w:pPr>
      <w:r>
        <w:rPr>
          <w:lang w:val="en-US"/>
        </w:rPr>
        <w:t xml:space="preserve">        - GNB_DISK_USAGE: Indicates gNodeB disk usage.</w:t>
      </w:r>
    </w:p>
    <w:p w14:paraId="64D8A9F3" w14:textId="77777777" w:rsidR="007862A2" w:rsidRDefault="007862A2" w:rsidP="007862A2">
      <w:pPr>
        <w:pStyle w:val="PL"/>
        <w:rPr>
          <w:lang w:val="en-US"/>
        </w:rPr>
      </w:pPr>
      <w:r>
        <w:rPr>
          <w:lang w:val="en-US"/>
        </w:rPr>
        <w:t xml:space="preserve">        - </w:t>
      </w:r>
      <w:r>
        <w:t>GNB_RSC_USAGE_OVERALL_TRAFFIC</w:t>
      </w:r>
      <w:r>
        <w:rPr>
          <w:lang w:val="en-US"/>
        </w:rPr>
        <w:t>:</w:t>
      </w:r>
      <w:r>
        <w:t xml:space="preserve"> The gNB resource usage.</w:t>
      </w:r>
    </w:p>
    <w:p w14:paraId="66FCBFD1" w14:textId="77777777" w:rsidR="007862A2" w:rsidRDefault="007862A2" w:rsidP="007862A2">
      <w:pPr>
        <w:pStyle w:val="PL"/>
        <w:rPr>
          <w:lang w:val="en-US"/>
        </w:rPr>
      </w:pPr>
      <w:r>
        <w:rPr>
          <w:lang w:val="en-US"/>
        </w:rPr>
        <w:t xml:space="preserve">        - </w:t>
      </w:r>
      <w:r>
        <w:t>GNB_RSC_USAGE_GBR_TRAFFIC</w:t>
      </w:r>
      <w:r>
        <w:rPr>
          <w:lang w:val="en-US"/>
        </w:rPr>
        <w:t>:</w:t>
      </w:r>
      <w:r>
        <w:t xml:space="preserve"> </w:t>
      </w:r>
      <w:r>
        <w:rPr>
          <w:lang w:val="en-US"/>
        </w:rPr>
        <w:t xml:space="preserve">The </w:t>
      </w:r>
      <w:r>
        <w:t>gNB resource usage</w:t>
      </w:r>
      <w:r>
        <w:rPr>
          <w:lang w:val="en-US"/>
        </w:rPr>
        <w:t xml:space="preserve"> for GBR traffic.</w:t>
      </w:r>
    </w:p>
    <w:p w14:paraId="0957AE63" w14:textId="77777777" w:rsidR="007862A2" w:rsidRDefault="007862A2" w:rsidP="007862A2">
      <w:pPr>
        <w:pStyle w:val="PL"/>
        <w:rPr>
          <w:lang w:val="en-US"/>
        </w:rPr>
      </w:pPr>
      <w:r>
        <w:rPr>
          <w:lang w:val="en-US"/>
        </w:rPr>
        <w:t xml:space="preserve">        - </w:t>
      </w:r>
      <w:r>
        <w:t>GNB_RSC_USAGE_DELAY_CRIT_GBR_TRAFFIC</w:t>
      </w:r>
      <w:r>
        <w:rPr>
          <w:lang w:val="en-US"/>
        </w:rPr>
        <w:t>:</w:t>
      </w:r>
      <w:r>
        <w:t xml:space="preserve"> </w:t>
      </w:r>
      <w:r>
        <w:rPr>
          <w:lang w:val="en-US"/>
        </w:rPr>
        <w:t xml:space="preserve">The </w:t>
      </w:r>
      <w:r>
        <w:t>gNB resource usage</w:t>
      </w:r>
      <w:r>
        <w:rPr>
          <w:lang w:val="en-US"/>
        </w:rPr>
        <w:t xml:space="preserve"> for Delay-critical GBR</w:t>
      </w:r>
    </w:p>
    <w:p w14:paraId="03C9D04E" w14:textId="77777777" w:rsidR="007862A2" w:rsidRDefault="007862A2" w:rsidP="007862A2">
      <w:pPr>
        <w:pStyle w:val="PL"/>
        <w:rPr>
          <w:lang w:val="en-US"/>
        </w:rPr>
      </w:pPr>
      <w:r>
        <w:rPr>
          <w:lang w:val="en-US"/>
        </w:rPr>
        <w:t xml:space="preserve">          traffic.</w:t>
      </w:r>
    </w:p>
    <w:p w14:paraId="7048E69F" w14:textId="77777777" w:rsidR="007862A2" w:rsidRDefault="007862A2" w:rsidP="007862A2">
      <w:pPr>
        <w:pStyle w:val="PL"/>
        <w:rPr>
          <w:lang w:val="en-US"/>
        </w:rPr>
      </w:pPr>
      <w:r>
        <w:rPr>
          <w:lang w:val="en-US"/>
        </w:rPr>
        <w:lastRenderedPageBreak/>
        <w:t xml:space="preserve">        - NUM_OF_UE: Indicates number of UEs.</w:t>
      </w:r>
    </w:p>
    <w:p w14:paraId="37C45AFF" w14:textId="77777777" w:rsidR="007862A2" w:rsidRDefault="007862A2" w:rsidP="007862A2">
      <w:pPr>
        <w:pStyle w:val="PL"/>
        <w:rPr>
          <w:lang w:val="en-US"/>
        </w:rPr>
      </w:pPr>
      <w:r>
        <w:rPr>
          <w:lang w:val="en-US"/>
        </w:rPr>
        <w:t xml:space="preserve">        - SESS_SUCC_RATIO: Indicates ratio of successful setup of PDU sessions to total PDU</w:t>
      </w:r>
    </w:p>
    <w:p w14:paraId="02E3BE95" w14:textId="77777777" w:rsidR="007862A2" w:rsidRDefault="007862A2" w:rsidP="007862A2">
      <w:pPr>
        <w:pStyle w:val="PL"/>
        <w:rPr>
          <w:lang w:val="en-US"/>
        </w:rPr>
      </w:pPr>
      <w:r>
        <w:rPr>
          <w:lang w:val="en-US"/>
        </w:rPr>
        <w:t xml:space="preserve">          session setup attempts.</w:t>
      </w:r>
    </w:p>
    <w:p w14:paraId="76131AB7" w14:textId="77777777" w:rsidR="007862A2" w:rsidRDefault="007862A2" w:rsidP="007862A2">
      <w:pPr>
        <w:pStyle w:val="PL"/>
        <w:rPr>
          <w:lang w:val="en-US"/>
        </w:rPr>
      </w:pPr>
      <w:r>
        <w:rPr>
          <w:lang w:val="en-US"/>
        </w:rPr>
        <w:t xml:space="preserve">        - HO_SUCC_RATIO: Indicates Ratio of successful handovers to the total handover attempts.</w:t>
      </w:r>
    </w:p>
    <w:p w14:paraId="55F4CE5A" w14:textId="77777777" w:rsidR="007862A2" w:rsidRDefault="007862A2" w:rsidP="007862A2">
      <w:pPr>
        <w:pStyle w:val="PL"/>
        <w:rPr>
          <w:lang w:val="en-US"/>
        </w:rPr>
      </w:pPr>
    </w:p>
    <w:p w14:paraId="2B9D2472" w14:textId="77777777" w:rsidR="007862A2" w:rsidRDefault="007862A2" w:rsidP="007862A2">
      <w:pPr>
        <w:pStyle w:val="PL"/>
        <w:rPr>
          <w:lang w:val="en-US"/>
        </w:rPr>
      </w:pPr>
      <w:r>
        <w:rPr>
          <w:lang w:val="en-US"/>
        </w:rPr>
        <w:t xml:space="preserve">    ExpectedAnalyticsType:</w:t>
      </w:r>
    </w:p>
    <w:p w14:paraId="468BE369" w14:textId="77777777" w:rsidR="007862A2" w:rsidRDefault="007862A2" w:rsidP="007862A2">
      <w:pPr>
        <w:pStyle w:val="PL"/>
        <w:rPr>
          <w:lang w:val="en-US"/>
        </w:rPr>
      </w:pPr>
      <w:r>
        <w:rPr>
          <w:lang w:val="en-US"/>
        </w:rPr>
        <w:t xml:space="preserve">      anyOf:</w:t>
      </w:r>
    </w:p>
    <w:p w14:paraId="7F9FFD3F" w14:textId="77777777" w:rsidR="007862A2" w:rsidRDefault="007862A2" w:rsidP="007862A2">
      <w:pPr>
        <w:pStyle w:val="PL"/>
        <w:rPr>
          <w:lang w:val="en-US"/>
        </w:rPr>
      </w:pPr>
      <w:r>
        <w:rPr>
          <w:lang w:val="en-US"/>
        </w:rPr>
        <w:t xml:space="preserve">      - type: string</w:t>
      </w:r>
    </w:p>
    <w:p w14:paraId="37C34C61" w14:textId="77777777" w:rsidR="007862A2" w:rsidRDefault="007862A2" w:rsidP="007862A2">
      <w:pPr>
        <w:pStyle w:val="PL"/>
        <w:rPr>
          <w:lang w:val="en-US"/>
        </w:rPr>
      </w:pPr>
      <w:r>
        <w:rPr>
          <w:lang w:val="en-US"/>
        </w:rPr>
        <w:t xml:space="preserve">        enum:</w:t>
      </w:r>
    </w:p>
    <w:p w14:paraId="5A55EDB1" w14:textId="77777777" w:rsidR="007862A2" w:rsidRDefault="007862A2" w:rsidP="007862A2">
      <w:pPr>
        <w:pStyle w:val="PL"/>
        <w:rPr>
          <w:lang w:val="en-US"/>
        </w:rPr>
      </w:pPr>
      <w:r>
        <w:rPr>
          <w:lang w:val="en-US"/>
        </w:rPr>
        <w:t xml:space="preserve">          - MOBILITY</w:t>
      </w:r>
    </w:p>
    <w:p w14:paraId="2D8C91F1" w14:textId="77777777" w:rsidR="007862A2" w:rsidRDefault="007862A2" w:rsidP="007862A2">
      <w:pPr>
        <w:pStyle w:val="PL"/>
        <w:rPr>
          <w:lang w:val="en-US"/>
        </w:rPr>
      </w:pPr>
      <w:r>
        <w:rPr>
          <w:lang w:val="en-US"/>
        </w:rPr>
        <w:t xml:space="preserve">          - COMMUN</w:t>
      </w:r>
    </w:p>
    <w:p w14:paraId="04C7A0F2" w14:textId="77777777" w:rsidR="007862A2" w:rsidRDefault="007862A2" w:rsidP="007862A2">
      <w:pPr>
        <w:pStyle w:val="PL"/>
        <w:rPr>
          <w:lang w:val="en-US"/>
        </w:rPr>
      </w:pPr>
      <w:r>
        <w:rPr>
          <w:lang w:val="en-US"/>
        </w:rPr>
        <w:t xml:space="preserve">          - MOBILITY_AND_COMMUN</w:t>
      </w:r>
    </w:p>
    <w:p w14:paraId="797627F2" w14:textId="77777777" w:rsidR="007862A2" w:rsidRDefault="007862A2" w:rsidP="007862A2">
      <w:pPr>
        <w:pStyle w:val="PL"/>
        <w:rPr>
          <w:lang w:val="en-US"/>
        </w:rPr>
      </w:pPr>
      <w:r>
        <w:rPr>
          <w:lang w:val="en-US"/>
        </w:rPr>
        <w:t xml:space="preserve">      - type: string</w:t>
      </w:r>
    </w:p>
    <w:p w14:paraId="44E76C6B" w14:textId="77777777" w:rsidR="007862A2" w:rsidRDefault="007862A2" w:rsidP="007862A2">
      <w:pPr>
        <w:pStyle w:val="PL"/>
        <w:rPr>
          <w:lang w:val="en-US"/>
        </w:rPr>
      </w:pPr>
      <w:r>
        <w:rPr>
          <w:lang w:val="en-US"/>
        </w:rPr>
        <w:t xml:space="preserve">        description: &gt;</w:t>
      </w:r>
    </w:p>
    <w:p w14:paraId="7D37284C" w14:textId="77777777" w:rsidR="007862A2" w:rsidRDefault="007862A2" w:rsidP="007862A2">
      <w:pPr>
        <w:pStyle w:val="PL"/>
        <w:rPr>
          <w:lang w:val="en-US"/>
        </w:rPr>
      </w:pPr>
      <w:r>
        <w:rPr>
          <w:lang w:val="en-US"/>
        </w:rPr>
        <w:t xml:space="preserve">          This string provides forward-compatibility with future</w:t>
      </w:r>
    </w:p>
    <w:p w14:paraId="4811ED3C" w14:textId="77777777" w:rsidR="007862A2" w:rsidRDefault="007862A2" w:rsidP="007862A2">
      <w:pPr>
        <w:pStyle w:val="PL"/>
        <w:rPr>
          <w:lang w:val="en-US"/>
        </w:rPr>
      </w:pPr>
      <w:r>
        <w:rPr>
          <w:lang w:val="en-US"/>
        </w:rPr>
        <w:t xml:space="preserve">          extensions to the enumeration but is not used to encode</w:t>
      </w:r>
    </w:p>
    <w:p w14:paraId="72C6F9ED" w14:textId="77777777" w:rsidR="007862A2" w:rsidRDefault="007862A2" w:rsidP="007862A2">
      <w:pPr>
        <w:pStyle w:val="PL"/>
        <w:rPr>
          <w:lang w:val="en-US"/>
        </w:rPr>
      </w:pPr>
      <w:r>
        <w:rPr>
          <w:lang w:val="en-US"/>
        </w:rPr>
        <w:t xml:space="preserve">          content defined in the present version of this API.</w:t>
      </w:r>
    </w:p>
    <w:p w14:paraId="566EDED9" w14:textId="77777777" w:rsidR="007862A2" w:rsidRDefault="007862A2" w:rsidP="007862A2">
      <w:pPr>
        <w:pStyle w:val="PL"/>
        <w:rPr>
          <w:lang w:val="en-US"/>
        </w:rPr>
      </w:pPr>
      <w:r>
        <w:rPr>
          <w:lang w:val="en-US"/>
        </w:rPr>
        <w:t xml:space="preserve">      description: |</w:t>
      </w:r>
    </w:p>
    <w:p w14:paraId="76681E72" w14:textId="77777777" w:rsidR="007862A2" w:rsidRDefault="007862A2" w:rsidP="007862A2">
      <w:pPr>
        <w:pStyle w:val="PL"/>
        <w:rPr>
          <w:lang w:val="en-US"/>
        </w:rPr>
      </w:pPr>
      <w:r>
        <w:rPr>
          <w:lang w:val="en-US"/>
        </w:rPr>
        <w:t xml:space="preserve">        </w:t>
      </w:r>
      <w:r>
        <w:rPr>
          <w:lang w:eastAsia="zh-CN"/>
        </w:rPr>
        <w:t xml:space="preserve">Represents the expected UE analytics type.  </w:t>
      </w:r>
    </w:p>
    <w:p w14:paraId="1364DFAC" w14:textId="77777777" w:rsidR="007862A2" w:rsidRDefault="007862A2" w:rsidP="007862A2">
      <w:pPr>
        <w:pStyle w:val="PL"/>
        <w:rPr>
          <w:lang w:val="en-US"/>
        </w:rPr>
      </w:pPr>
      <w:r>
        <w:rPr>
          <w:lang w:val="en-US"/>
        </w:rPr>
        <w:t xml:space="preserve">        Possible values are:</w:t>
      </w:r>
    </w:p>
    <w:p w14:paraId="1FE57E76" w14:textId="77777777" w:rsidR="007862A2" w:rsidRDefault="007862A2" w:rsidP="007862A2">
      <w:pPr>
        <w:pStyle w:val="PL"/>
        <w:rPr>
          <w:lang w:val="en-US"/>
        </w:rPr>
      </w:pPr>
      <w:r>
        <w:rPr>
          <w:lang w:val="en-US"/>
        </w:rPr>
        <w:t xml:space="preserve">        - MOBILITY: Mobility related abnormal behaviour analytics is expected by the consumer.</w:t>
      </w:r>
    </w:p>
    <w:p w14:paraId="42313874" w14:textId="77777777" w:rsidR="007862A2" w:rsidRDefault="007862A2" w:rsidP="007862A2">
      <w:pPr>
        <w:pStyle w:val="PL"/>
        <w:rPr>
          <w:lang w:val="en-US"/>
        </w:rPr>
      </w:pPr>
      <w:r>
        <w:rPr>
          <w:lang w:val="en-US"/>
        </w:rPr>
        <w:t xml:space="preserve">        - COMMUN: Communication related abnormal behaviour analytics is expected by the consumer.</w:t>
      </w:r>
    </w:p>
    <w:p w14:paraId="754F8DD5" w14:textId="77777777" w:rsidR="007862A2" w:rsidRDefault="007862A2" w:rsidP="007862A2">
      <w:pPr>
        <w:pStyle w:val="PL"/>
        <w:rPr>
          <w:lang w:val="en-US"/>
        </w:rPr>
      </w:pPr>
      <w:r>
        <w:rPr>
          <w:lang w:val="en-US"/>
        </w:rPr>
        <w:t xml:space="preserve">        - MOBILITY_AND_COMMUN: Both mobility and communication related abnormal behaviour analytics</w:t>
      </w:r>
    </w:p>
    <w:p w14:paraId="08012077" w14:textId="77777777" w:rsidR="007862A2" w:rsidRDefault="007862A2" w:rsidP="007862A2">
      <w:pPr>
        <w:pStyle w:val="PL"/>
        <w:rPr>
          <w:lang w:val="en-US"/>
        </w:rPr>
      </w:pPr>
      <w:r>
        <w:rPr>
          <w:lang w:val="en-US"/>
        </w:rPr>
        <w:t xml:space="preserve">          is expected by the consumer.</w:t>
      </w:r>
    </w:p>
    <w:p w14:paraId="2E4720EA" w14:textId="77777777" w:rsidR="007862A2" w:rsidRDefault="007862A2" w:rsidP="007862A2">
      <w:pPr>
        <w:pStyle w:val="PL"/>
        <w:rPr>
          <w:lang w:val="en-US"/>
        </w:rPr>
      </w:pPr>
    </w:p>
    <w:p w14:paraId="79C686DF" w14:textId="77777777" w:rsidR="007862A2" w:rsidRDefault="007862A2" w:rsidP="007862A2">
      <w:pPr>
        <w:pStyle w:val="PL"/>
        <w:rPr>
          <w:lang w:val="en-US"/>
        </w:rPr>
      </w:pPr>
      <w:r>
        <w:rPr>
          <w:lang w:val="en-US"/>
        </w:rPr>
        <w:t xml:space="preserve">    MatchingDirection:</w:t>
      </w:r>
    </w:p>
    <w:p w14:paraId="50311F5C" w14:textId="77777777" w:rsidR="007862A2" w:rsidRDefault="007862A2" w:rsidP="007862A2">
      <w:pPr>
        <w:pStyle w:val="PL"/>
        <w:rPr>
          <w:lang w:val="en-US"/>
        </w:rPr>
      </w:pPr>
      <w:r>
        <w:rPr>
          <w:lang w:val="en-US"/>
        </w:rPr>
        <w:t xml:space="preserve">      anyOf:</w:t>
      </w:r>
    </w:p>
    <w:p w14:paraId="078CDA20" w14:textId="77777777" w:rsidR="007862A2" w:rsidRDefault="007862A2" w:rsidP="007862A2">
      <w:pPr>
        <w:pStyle w:val="PL"/>
        <w:rPr>
          <w:lang w:val="en-US"/>
        </w:rPr>
      </w:pPr>
      <w:r>
        <w:rPr>
          <w:lang w:val="en-US"/>
        </w:rPr>
        <w:t xml:space="preserve">      - type: string</w:t>
      </w:r>
    </w:p>
    <w:p w14:paraId="4198BEF6" w14:textId="77777777" w:rsidR="007862A2" w:rsidRDefault="007862A2" w:rsidP="007862A2">
      <w:pPr>
        <w:pStyle w:val="PL"/>
        <w:rPr>
          <w:lang w:val="en-US"/>
        </w:rPr>
      </w:pPr>
      <w:r>
        <w:rPr>
          <w:lang w:val="en-US"/>
        </w:rPr>
        <w:t xml:space="preserve">        enum:</w:t>
      </w:r>
    </w:p>
    <w:p w14:paraId="1BE2CC32" w14:textId="77777777" w:rsidR="007862A2" w:rsidRDefault="007862A2" w:rsidP="007862A2">
      <w:pPr>
        <w:pStyle w:val="PL"/>
        <w:rPr>
          <w:lang w:val="en-US"/>
        </w:rPr>
      </w:pPr>
      <w:r>
        <w:rPr>
          <w:lang w:val="en-US"/>
        </w:rPr>
        <w:t xml:space="preserve">          - ASCENDING</w:t>
      </w:r>
    </w:p>
    <w:p w14:paraId="66C0520F" w14:textId="77777777" w:rsidR="007862A2" w:rsidRDefault="007862A2" w:rsidP="007862A2">
      <w:pPr>
        <w:pStyle w:val="PL"/>
        <w:rPr>
          <w:lang w:val="en-US"/>
        </w:rPr>
      </w:pPr>
      <w:r>
        <w:rPr>
          <w:lang w:val="en-US"/>
        </w:rPr>
        <w:t xml:space="preserve">          - DESCENDING</w:t>
      </w:r>
    </w:p>
    <w:p w14:paraId="7B18F69E" w14:textId="77777777" w:rsidR="007862A2" w:rsidRDefault="007862A2" w:rsidP="007862A2">
      <w:pPr>
        <w:pStyle w:val="PL"/>
        <w:rPr>
          <w:lang w:val="en-US"/>
        </w:rPr>
      </w:pPr>
      <w:r>
        <w:rPr>
          <w:lang w:val="en-US"/>
        </w:rPr>
        <w:t xml:space="preserve">          - CROSSED</w:t>
      </w:r>
    </w:p>
    <w:p w14:paraId="07B9FE31" w14:textId="77777777" w:rsidR="007862A2" w:rsidRDefault="007862A2" w:rsidP="007862A2">
      <w:pPr>
        <w:pStyle w:val="PL"/>
        <w:rPr>
          <w:lang w:val="en-US"/>
        </w:rPr>
      </w:pPr>
      <w:r>
        <w:rPr>
          <w:lang w:val="en-US"/>
        </w:rPr>
        <w:t xml:space="preserve">      - type: string</w:t>
      </w:r>
    </w:p>
    <w:p w14:paraId="05595BC5" w14:textId="77777777" w:rsidR="007862A2" w:rsidRDefault="007862A2" w:rsidP="007862A2">
      <w:pPr>
        <w:pStyle w:val="PL"/>
        <w:rPr>
          <w:lang w:val="en-US"/>
        </w:rPr>
      </w:pPr>
      <w:r>
        <w:rPr>
          <w:lang w:val="en-US"/>
        </w:rPr>
        <w:t xml:space="preserve">        description: &gt;</w:t>
      </w:r>
    </w:p>
    <w:p w14:paraId="5022505C" w14:textId="77777777" w:rsidR="007862A2" w:rsidRDefault="007862A2" w:rsidP="007862A2">
      <w:pPr>
        <w:pStyle w:val="PL"/>
        <w:rPr>
          <w:lang w:val="en-US"/>
        </w:rPr>
      </w:pPr>
      <w:r>
        <w:rPr>
          <w:lang w:val="en-US"/>
        </w:rPr>
        <w:t xml:space="preserve">          This string provides forward-compatibility with future</w:t>
      </w:r>
    </w:p>
    <w:p w14:paraId="4F71B150" w14:textId="77777777" w:rsidR="007862A2" w:rsidRDefault="007862A2" w:rsidP="007862A2">
      <w:pPr>
        <w:pStyle w:val="PL"/>
        <w:rPr>
          <w:lang w:val="en-US"/>
        </w:rPr>
      </w:pPr>
      <w:r>
        <w:rPr>
          <w:lang w:val="en-US"/>
        </w:rPr>
        <w:t xml:space="preserve">          extensions to the enumeration but is not used to encode</w:t>
      </w:r>
    </w:p>
    <w:p w14:paraId="57AC265F" w14:textId="77777777" w:rsidR="007862A2" w:rsidRDefault="007862A2" w:rsidP="007862A2">
      <w:pPr>
        <w:pStyle w:val="PL"/>
        <w:rPr>
          <w:lang w:val="en-US"/>
        </w:rPr>
      </w:pPr>
      <w:r>
        <w:rPr>
          <w:lang w:val="en-US"/>
        </w:rPr>
        <w:t xml:space="preserve">          content defined in the present version of this API.</w:t>
      </w:r>
    </w:p>
    <w:p w14:paraId="02490253" w14:textId="77777777" w:rsidR="007862A2" w:rsidRDefault="007862A2" w:rsidP="007862A2">
      <w:pPr>
        <w:pStyle w:val="PL"/>
        <w:rPr>
          <w:lang w:val="en-US"/>
        </w:rPr>
      </w:pPr>
      <w:r>
        <w:rPr>
          <w:lang w:val="en-US"/>
        </w:rPr>
        <w:t xml:space="preserve">      description: |</w:t>
      </w:r>
    </w:p>
    <w:p w14:paraId="45EAEEA3" w14:textId="77777777" w:rsidR="007862A2" w:rsidRDefault="007862A2" w:rsidP="007862A2">
      <w:pPr>
        <w:pStyle w:val="PL"/>
        <w:rPr>
          <w:lang w:val="en-US"/>
        </w:rPr>
      </w:pPr>
      <w:r>
        <w:rPr>
          <w:lang w:val="en-US"/>
        </w:rPr>
        <w:t xml:space="preserve">        </w:t>
      </w:r>
      <w:r>
        <w:rPr>
          <w:lang w:eastAsia="zh-CN"/>
        </w:rPr>
        <w:t xml:space="preserve">Represents the matching direction when crossing a threshold.  </w:t>
      </w:r>
    </w:p>
    <w:p w14:paraId="60D1BDCE" w14:textId="77777777" w:rsidR="007862A2" w:rsidRDefault="007862A2" w:rsidP="007862A2">
      <w:pPr>
        <w:pStyle w:val="PL"/>
        <w:rPr>
          <w:lang w:val="en-US"/>
        </w:rPr>
      </w:pPr>
      <w:r>
        <w:rPr>
          <w:lang w:val="en-US"/>
        </w:rPr>
        <w:t xml:space="preserve">        Possible values are:</w:t>
      </w:r>
    </w:p>
    <w:p w14:paraId="696B6977" w14:textId="77777777" w:rsidR="007862A2" w:rsidRDefault="007862A2" w:rsidP="007862A2">
      <w:pPr>
        <w:pStyle w:val="PL"/>
        <w:rPr>
          <w:lang w:val="en-US"/>
        </w:rPr>
      </w:pPr>
      <w:r>
        <w:rPr>
          <w:lang w:val="en-US"/>
        </w:rPr>
        <w:t xml:space="preserve">        - ASCENDING: Threshold is crossed in ascending direction.</w:t>
      </w:r>
    </w:p>
    <w:p w14:paraId="58B9EE12" w14:textId="77777777" w:rsidR="007862A2" w:rsidRDefault="007862A2" w:rsidP="007862A2">
      <w:pPr>
        <w:pStyle w:val="PL"/>
        <w:rPr>
          <w:lang w:val="en-US"/>
        </w:rPr>
      </w:pPr>
      <w:r>
        <w:rPr>
          <w:lang w:val="en-US"/>
        </w:rPr>
        <w:t xml:space="preserve">        - DESCENDING: Threshold is crossed in descending direction.</w:t>
      </w:r>
    </w:p>
    <w:p w14:paraId="6FEEFB55" w14:textId="77777777" w:rsidR="007862A2" w:rsidRDefault="007862A2" w:rsidP="007862A2">
      <w:pPr>
        <w:pStyle w:val="PL"/>
        <w:rPr>
          <w:lang w:val="en-US"/>
        </w:rPr>
      </w:pPr>
      <w:r>
        <w:rPr>
          <w:lang w:val="en-US"/>
        </w:rPr>
        <w:t xml:space="preserve">        - CROSSED: Threshold is crossed either in ascending or descending direction.</w:t>
      </w:r>
    </w:p>
    <w:p w14:paraId="3E2CE111" w14:textId="77777777" w:rsidR="007862A2" w:rsidRDefault="007862A2" w:rsidP="007862A2">
      <w:pPr>
        <w:pStyle w:val="PL"/>
        <w:rPr>
          <w:lang w:val="en-US"/>
        </w:rPr>
      </w:pPr>
    </w:p>
    <w:p w14:paraId="5AC3264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NwdafFailureCode:</w:t>
      </w:r>
    </w:p>
    <w:p w14:paraId="0BA19C70"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anyOf:</w:t>
      </w:r>
    </w:p>
    <w:p w14:paraId="51FB323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type: string</w:t>
      </w:r>
    </w:p>
    <w:p w14:paraId="2CC1D39A"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enum:</w:t>
      </w:r>
    </w:p>
    <w:p w14:paraId="22DF853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UNAVAILABLE_DATA</w:t>
      </w:r>
    </w:p>
    <w:p w14:paraId="7405CF97"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BOTH_STAT_PRED_NOT_ALLOWED</w:t>
      </w:r>
    </w:p>
    <w:p w14:paraId="1DF9BA6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PREDICTION_NOT_ALLOWED</w:t>
      </w:r>
    </w:p>
    <w:p w14:paraId="1072016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lang w:val="en-US"/>
        </w:rPr>
        <w:t xml:space="preserve">          - </w:t>
      </w:r>
      <w:r w:rsidRPr="00822010">
        <w:rPr>
          <w:rFonts w:ascii="Courier New" w:hAnsi="Courier New"/>
          <w:sz w:val="16"/>
        </w:rPr>
        <w:t>UNSATISFIED_REQUESTED_ANALYTICS_TIME</w:t>
      </w:r>
    </w:p>
    <w:p w14:paraId="00AD88EB" w14:textId="77777777" w:rsidR="007862A2" w:rsidRPr="0042530E"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42530E">
        <w:rPr>
          <w:rFonts w:ascii="Courier New" w:hAnsi="Courier New"/>
          <w:sz w:val="16"/>
        </w:rPr>
        <w:t>NO_ROAMING_SUPPORT</w:t>
      </w:r>
    </w:p>
    <w:p w14:paraId="1C6A5C71"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OTHER</w:t>
      </w:r>
    </w:p>
    <w:p w14:paraId="37690FF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type: string</w:t>
      </w:r>
    </w:p>
    <w:p w14:paraId="5495CBC2"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description: &gt;</w:t>
      </w:r>
    </w:p>
    <w:p w14:paraId="11B6B7FB"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This string provides forward-compatibility with future</w:t>
      </w:r>
    </w:p>
    <w:p w14:paraId="29BCDE3E"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extensions to the enumeration but is not used to encode</w:t>
      </w:r>
    </w:p>
    <w:p w14:paraId="4DA6C3FE"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content defined in the present version of this API.</w:t>
      </w:r>
    </w:p>
    <w:p w14:paraId="11B9CE7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description: |</w:t>
      </w:r>
    </w:p>
    <w:p w14:paraId="2031F030"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w:t>
      </w:r>
      <w:r w:rsidRPr="00822010">
        <w:rPr>
          <w:rFonts w:ascii="Courier New" w:eastAsia="Times New Roman" w:hAnsi="Courier New" w:cs="Arial"/>
          <w:sz w:val="16"/>
          <w:szCs w:val="18"/>
        </w:rPr>
        <w:t xml:space="preserve">Represents the failure reason.  </w:t>
      </w:r>
    </w:p>
    <w:p w14:paraId="36D8362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Possible values are:</w:t>
      </w:r>
    </w:p>
    <w:p w14:paraId="1FA36D43"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UNAVAILABLE_DATA: Indicates the requested statistics information for the event is rejected</w:t>
      </w:r>
    </w:p>
    <w:p w14:paraId="5BA3620E"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since necessary data to perform the service is unavailable.</w:t>
      </w:r>
    </w:p>
    <w:p w14:paraId="25F58E33"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BOTH_STAT_PRED_NOT_ALLOWED: Indicates the requested analysis information for the event is</w:t>
      </w:r>
    </w:p>
    <w:p w14:paraId="585D0F92"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rejected since the start time is in the past and the end time is in the future, which</w:t>
      </w:r>
    </w:p>
    <w:p w14:paraId="052B341A"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means the NF service consumer requested both statistics and prediction for the analytics.</w:t>
      </w:r>
    </w:p>
    <w:p w14:paraId="657A77AD"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PREDICTION_NOT_ALLOWED: Indicates that the request for the prediction of the analytics</w:t>
      </w:r>
    </w:p>
    <w:p w14:paraId="264E0476"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event is not allowed.</w:t>
      </w:r>
    </w:p>
    <w:p w14:paraId="1A0DE9D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lang w:val="en-US"/>
        </w:rPr>
        <w:t xml:space="preserve">        - </w:t>
      </w:r>
      <w:r w:rsidRPr="00822010">
        <w:rPr>
          <w:rFonts w:ascii="Courier New" w:hAnsi="Courier New"/>
          <w:sz w:val="16"/>
        </w:rPr>
        <w:t>UNSATISFIED_REQUESTED_ANALYTICS_TIME</w:t>
      </w:r>
      <w:r w:rsidRPr="00822010">
        <w:rPr>
          <w:rFonts w:ascii="Courier New" w:hAnsi="Courier New"/>
          <w:sz w:val="16"/>
          <w:lang w:val="en-US"/>
        </w:rPr>
        <w:t xml:space="preserve">: </w:t>
      </w:r>
      <w:r w:rsidRPr="00822010">
        <w:rPr>
          <w:rFonts w:ascii="Courier New" w:hAnsi="Courier New"/>
          <w:sz w:val="16"/>
        </w:rPr>
        <w:t>Indicates that the requested event is rejected since</w:t>
      </w:r>
    </w:p>
    <w:p w14:paraId="22D01E05"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rPr>
        <w:t xml:space="preserve">          the analytics information is not ready when the time indicated by the "timeAnaNeeded"</w:t>
      </w:r>
    </w:p>
    <w:p w14:paraId="251C5B8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rPr>
        <w:t xml:space="preserve">          attribute (as provided during the creation or modification of subscription) is reached.</w:t>
      </w:r>
    </w:p>
    <w:p w14:paraId="4BF0A00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42530E">
        <w:rPr>
          <w:rFonts w:ascii="Courier New" w:hAnsi="Courier New"/>
          <w:sz w:val="16"/>
        </w:rPr>
        <w:t>NO_ROAMING_SUPPORT</w:t>
      </w:r>
      <w:r>
        <w:rPr>
          <w:rFonts w:ascii="Courier New" w:hAnsi="Courier New"/>
          <w:sz w:val="16"/>
        </w:rPr>
        <w:t xml:space="preserve">: </w:t>
      </w:r>
      <w:r w:rsidRPr="0042530E">
        <w:rPr>
          <w:rFonts w:ascii="Courier New" w:hAnsi="Courier New"/>
          <w:sz w:val="16"/>
        </w:rPr>
        <w:t>Indicates that the request shall be rejected because roaming analytics</w:t>
      </w:r>
    </w:p>
    <w:p w14:paraId="6938707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42530E">
        <w:rPr>
          <w:rFonts w:ascii="Courier New" w:hAnsi="Courier New"/>
          <w:sz w:val="16"/>
        </w:rPr>
        <w:t>or data are required and the NWDAF neither supports roaming exchange capabilitiy nor can</w:t>
      </w:r>
    </w:p>
    <w:p w14:paraId="353FF826" w14:textId="77777777" w:rsidR="007862A2" w:rsidRPr="0042530E"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42530E">
        <w:rPr>
          <w:rFonts w:ascii="Courier New" w:hAnsi="Courier New"/>
          <w:sz w:val="16"/>
        </w:rPr>
        <w:t>it forward the request to another NWDAF.</w:t>
      </w:r>
    </w:p>
    <w:p w14:paraId="721F9EFF"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 OTHER: Indicates the requested analysis information for the event is rejected due to other</w:t>
      </w:r>
    </w:p>
    <w:p w14:paraId="42238AA2"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22010">
        <w:rPr>
          <w:rFonts w:ascii="Courier New" w:hAnsi="Courier New"/>
          <w:sz w:val="16"/>
          <w:lang w:val="en-US"/>
        </w:rPr>
        <w:t xml:space="preserve">          reasons.</w:t>
      </w:r>
    </w:p>
    <w:p w14:paraId="688A3534" w14:textId="77777777" w:rsidR="007862A2" w:rsidRDefault="007862A2" w:rsidP="007862A2">
      <w:pPr>
        <w:pStyle w:val="PL"/>
        <w:rPr>
          <w:lang w:val="en-US"/>
        </w:rPr>
      </w:pPr>
    </w:p>
    <w:p w14:paraId="1927E941" w14:textId="77777777" w:rsidR="007862A2" w:rsidRDefault="007862A2" w:rsidP="007862A2">
      <w:pPr>
        <w:pStyle w:val="PL"/>
        <w:rPr>
          <w:lang w:val="en-US"/>
        </w:rPr>
      </w:pPr>
      <w:r>
        <w:rPr>
          <w:lang w:val="en-US"/>
        </w:rPr>
        <w:lastRenderedPageBreak/>
        <w:t xml:space="preserve">    AnalyticsMetadata:</w:t>
      </w:r>
    </w:p>
    <w:p w14:paraId="2B2C2287" w14:textId="77777777" w:rsidR="007862A2" w:rsidRDefault="007862A2" w:rsidP="007862A2">
      <w:pPr>
        <w:pStyle w:val="PL"/>
        <w:rPr>
          <w:lang w:val="en-US"/>
        </w:rPr>
      </w:pPr>
      <w:r>
        <w:rPr>
          <w:lang w:val="en-US"/>
        </w:rPr>
        <w:t xml:space="preserve">      anyOf:</w:t>
      </w:r>
    </w:p>
    <w:p w14:paraId="57356C8F" w14:textId="77777777" w:rsidR="007862A2" w:rsidRDefault="007862A2" w:rsidP="007862A2">
      <w:pPr>
        <w:pStyle w:val="PL"/>
        <w:rPr>
          <w:lang w:val="en-US"/>
        </w:rPr>
      </w:pPr>
      <w:r>
        <w:rPr>
          <w:lang w:val="en-US"/>
        </w:rPr>
        <w:t xml:space="preserve">      - type: string</w:t>
      </w:r>
    </w:p>
    <w:p w14:paraId="379289C9" w14:textId="77777777" w:rsidR="007862A2" w:rsidRDefault="007862A2" w:rsidP="007862A2">
      <w:pPr>
        <w:pStyle w:val="PL"/>
        <w:rPr>
          <w:lang w:val="en-US"/>
        </w:rPr>
      </w:pPr>
      <w:r>
        <w:rPr>
          <w:lang w:val="en-US"/>
        </w:rPr>
        <w:t xml:space="preserve">        enum:</w:t>
      </w:r>
    </w:p>
    <w:p w14:paraId="0BBCA3B6" w14:textId="77777777" w:rsidR="007862A2" w:rsidRDefault="007862A2" w:rsidP="007862A2">
      <w:pPr>
        <w:pStyle w:val="PL"/>
        <w:rPr>
          <w:lang w:val="en-US"/>
        </w:rPr>
      </w:pPr>
      <w:r>
        <w:rPr>
          <w:lang w:val="en-US"/>
        </w:rPr>
        <w:t xml:space="preserve">          - NUM_OF_SAMPLES</w:t>
      </w:r>
    </w:p>
    <w:p w14:paraId="5EE13FBA" w14:textId="77777777" w:rsidR="007862A2" w:rsidRDefault="007862A2" w:rsidP="007862A2">
      <w:pPr>
        <w:pStyle w:val="PL"/>
        <w:rPr>
          <w:lang w:val="en-US"/>
        </w:rPr>
      </w:pPr>
      <w:r>
        <w:rPr>
          <w:lang w:val="en-US"/>
        </w:rPr>
        <w:t xml:space="preserve">          - DATA_WINDOW</w:t>
      </w:r>
    </w:p>
    <w:p w14:paraId="0256AEC5" w14:textId="77777777" w:rsidR="007862A2" w:rsidRDefault="007862A2" w:rsidP="007862A2">
      <w:pPr>
        <w:pStyle w:val="PL"/>
        <w:rPr>
          <w:lang w:val="en-US"/>
        </w:rPr>
      </w:pPr>
      <w:r>
        <w:rPr>
          <w:lang w:val="en-US"/>
        </w:rPr>
        <w:t xml:space="preserve">          - DATA_STAT_PROPS</w:t>
      </w:r>
    </w:p>
    <w:p w14:paraId="527B7A21" w14:textId="77777777" w:rsidR="007862A2" w:rsidRDefault="007862A2" w:rsidP="007862A2">
      <w:pPr>
        <w:pStyle w:val="PL"/>
        <w:rPr>
          <w:lang w:val="en-US"/>
        </w:rPr>
      </w:pPr>
      <w:r>
        <w:rPr>
          <w:lang w:val="en-US"/>
        </w:rPr>
        <w:t xml:space="preserve">          - STRATEGY</w:t>
      </w:r>
    </w:p>
    <w:p w14:paraId="66093787" w14:textId="77777777" w:rsidR="007862A2" w:rsidRDefault="007862A2" w:rsidP="007862A2">
      <w:pPr>
        <w:pStyle w:val="PL"/>
        <w:rPr>
          <w:lang w:val="en-US"/>
        </w:rPr>
      </w:pPr>
      <w:r>
        <w:rPr>
          <w:lang w:val="en-US"/>
        </w:rPr>
        <w:t xml:space="preserve">          - ACCURACY</w:t>
      </w:r>
    </w:p>
    <w:p w14:paraId="0AA42A56" w14:textId="77777777" w:rsidR="00A42460" w:rsidRDefault="00A42460" w:rsidP="007862A2">
      <w:pPr>
        <w:pStyle w:val="PL"/>
      </w:pPr>
      <w:r>
        <w:rPr>
          <w:lang w:val="en-US"/>
        </w:rPr>
        <w:t xml:space="preserve">          - </w:t>
      </w:r>
      <w:r>
        <w:t>DATA_SOURCES</w:t>
      </w:r>
    </w:p>
    <w:p w14:paraId="56F8D51F" w14:textId="77777777" w:rsidR="004D166F" w:rsidRDefault="004D166F" w:rsidP="007862A2">
      <w:pPr>
        <w:pStyle w:val="PL"/>
        <w:rPr>
          <w:lang w:val="en-US"/>
        </w:rPr>
      </w:pPr>
      <w:r>
        <w:rPr>
          <w:lang w:val="en-US"/>
        </w:rPr>
        <w:t xml:space="preserve">          - </w:t>
      </w:r>
      <w:r w:rsidRPr="00926C5C">
        <w:rPr>
          <w:lang w:val="en-US"/>
        </w:rPr>
        <w:t>USED_PROC_INSTRUCT</w:t>
      </w:r>
    </w:p>
    <w:p w14:paraId="2314E2BA" w14:textId="77777777" w:rsidR="007862A2" w:rsidRDefault="007862A2" w:rsidP="007862A2">
      <w:pPr>
        <w:pStyle w:val="PL"/>
        <w:rPr>
          <w:lang w:val="en-US"/>
        </w:rPr>
      </w:pPr>
      <w:r>
        <w:rPr>
          <w:lang w:val="en-US"/>
        </w:rPr>
        <w:t xml:space="preserve">      - type: string</w:t>
      </w:r>
    </w:p>
    <w:p w14:paraId="734AB297" w14:textId="77777777" w:rsidR="007862A2" w:rsidRDefault="007862A2" w:rsidP="007862A2">
      <w:pPr>
        <w:pStyle w:val="PL"/>
        <w:rPr>
          <w:lang w:val="en-US"/>
        </w:rPr>
      </w:pPr>
      <w:r>
        <w:rPr>
          <w:lang w:val="en-US"/>
        </w:rPr>
        <w:t xml:space="preserve">        description: &gt;</w:t>
      </w:r>
    </w:p>
    <w:p w14:paraId="13B22D77" w14:textId="77777777" w:rsidR="007862A2" w:rsidRDefault="007862A2" w:rsidP="007862A2">
      <w:pPr>
        <w:pStyle w:val="PL"/>
        <w:rPr>
          <w:lang w:val="en-US"/>
        </w:rPr>
      </w:pPr>
      <w:r>
        <w:rPr>
          <w:lang w:val="en-US"/>
        </w:rPr>
        <w:t xml:space="preserve">          This string provides forward-compatibility with future</w:t>
      </w:r>
    </w:p>
    <w:p w14:paraId="3586E335" w14:textId="77777777" w:rsidR="007862A2" w:rsidRDefault="007862A2" w:rsidP="007862A2">
      <w:pPr>
        <w:pStyle w:val="PL"/>
        <w:rPr>
          <w:lang w:val="en-US"/>
        </w:rPr>
      </w:pPr>
      <w:r>
        <w:rPr>
          <w:lang w:val="en-US"/>
        </w:rPr>
        <w:t xml:space="preserve">          extensions to the enumeration but is not used to encode</w:t>
      </w:r>
    </w:p>
    <w:p w14:paraId="12C72BD8" w14:textId="77777777" w:rsidR="007862A2" w:rsidRDefault="007862A2" w:rsidP="007862A2">
      <w:pPr>
        <w:pStyle w:val="PL"/>
        <w:rPr>
          <w:lang w:val="en-US"/>
        </w:rPr>
      </w:pPr>
      <w:r>
        <w:rPr>
          <w:lang w:val="en-US"/>
        </w:rPr>
        <w:t xml:space="preserve">          content defined in the present version of this API.</w:t>
      </w:r>
    </w:p>
    <w:p w14:paraId="7DE9AACC" w14:textId="77777777" w:rsidR="007862A2" w:rsidRDefault="007862A2" w:rsidP="007862A2">
      <w:pPr>
        <w:pStyle w:val="PL"/>
        <w:rPr>
          <w:lang w:val="en-US"/>
        </w:rPr>
      </w:pPr>
      <w:r>
        <w:rPr>
          <w:lang w:val="en-US"/>
        </w:rPr>
        <w:t xml:space="preserve">      description: |</w:t>
      </w:r>
    </w:p>
    <w:p w14:paraId="084A5032" w14:textId="77777777" w:rsidR="007862A2" w:rsidRDefault="007862A2" w:rsidP="007862A2">
      <w:pPr>
        <w:pStyle w:val="PL"/>
        <w:rPr>
          <w:lang w:val="en-US"/>
        </w:rPr>
      </w:pPr>
      <w:r>
        <w:rPr>
          <w:lang w:val="en-US"/>
        </w:rPr>
        <w:t xml:space="preserve">        </w:t>
      </w:r>
      <w:r>
        <w:t xml:space="preserve">Represents the types of analytics metadata information that can be requested.  </w:t>
      </w:r>
    </w:p>
    <w:p w14:paraId="25F339D9" w14:textId="77777777" w:rsidR="007862A2" w:rsidRDefault="007862A2" w:rsidP="007862A2">
      <w:pPr>
        <w:pStyle w:val="PL"/>
        <w:rPr>
          <w:lang w:val="en-US"/>
        </w:rPr>
      </w:pPr>
      <w:r>
        <w:rPr>
          <w:lang w:val="en-US"/>
        </w:rPr>
        <w:t xml:space="preserve">        Possible values are:</w:t>
      </w:r>
    </w:p>
    <w:p w14:paraId="7EFF0FB2" w14:textId="77777777" w:rsidR="007862A2" w:rsidRDefault="007862A2" w:rsidP="007862A2">
      <w:pPr>
        <w:pStyle w:val="PL"/>
        <w:rPr>
          <w:lang w:val="en-US"/>
        </w:rPr>
      </w:pPr>
      <w:r>
        <w:rPr>
          <w:lang w:val="en-US"/>
        </w:rPr>
        <w:t xml:space="preserve">        - NUM_OF_SAMPLES: Number of data samples used for the generation of the output analytics.</w:t>
      </w:r>
    </w:p>
    <w:p w14:paraId="1A0A2603" w14:textId="77777777" w:rsidR="007862A2" w:rsidRDefault="007862A2" w:rsidP="007862A2">
      <w:pPr>
        <w:pStyle w:val="PL"/>
        <w:rPr>
          <w:lang w:val="en-US"/>
        </w:rPr>
      </w:pPr>
      <w:r>
        <w:rPr>
          <w:lang w:val="en-US"/>
        </w:rPr>
        <w:t xml:space="preserve">        - DATA_WINDOW: Data time window of the data samples.</w:t>
      </w:r>
    </w:p>
    <w:p w14:paraId="12610ECB" w14:textId="77777777" w:rsidR="007862A2" w:rsidRDefault="007862A2" w:rsidP="007862A2">
      <w:pPr>
        <w:pStyle w:val="PL"/>
        <w:rPr>
          <w:lang w:val="en-US"/>
        </w:rPr>
      </w:pPr>
      <w:r>
        <w:rPr>
          <w:lang w:val="en-US"/>
        </w:rPr>
        <w:t xml:space="preserve">        - DATA_STAT_PROPS: Dataset statistical properties of the data used to generate the</w:t>
      </w:r>
    </w:p>
    <w:p w14:paraId="30814316" w14:textId="77777777" w:rsidR="007862A2" w:rsidRDefault="007862A2" w:rsidP="007862A2">
      <w:pPr>
        <w:pStyle w:val="PL"/>
        <w:rPr>
          <w:lang w:val="en-US"/>
        </w:rPr>
      </w:pPr>
      <w:r>
        <w:rPr>
          <w:lang w:val="en-US"/>
        </w:rPr>
        <w:t xml:space="preserve">          analytics.</w:t>
      </w:r>
    </w:p>
    <w:p w14:paraId="69F76574" w14:textId="77777777" w:rsidR="007862A2" w:rsidRDefault="007862A2" w:rsidP="007862A2">
      <w:pPr>
        <w:pStyle w:val="PL"/>
        <w:rPr>
          <w:lang w:val="en-US"/>
        </w:rPr>
      </w:pPr>
      <w:r>
        <w:rPr>
          <w:lang w:val="en-US"/>
        </w:rPr>
        <w:t xml:space="preserve">        - STRATEGY: Output strategy used for the reporting of the analytics.</w:t>
      </w:r>
    </w:p>
    <w:p w14:paraId="52FBF166" w14:textId="77777777" w:rsidR="007862A2" w:rsidRDefault="007862A2" w:rsidP="007862A2">
      <w:pPr>
        <w:pStyle w:val="PL"/>
        <w:rPr>
          <w:lang w:val="en-US"/>
        </w:rPr>
      </w:pPr>
      <w:r>
        <w:rPr>
          <w:lang w:val="en-US"/>
        </w:rPr>
        <w:t xml:space="preserve">        - ACCURACY: Level of accuracy reached for the analytics.</w:t>
      </w:r>
    </w:p>
    <w:p w14:paraId="2668C33A" w14:textId="77777777" w:rsidR="00A42460" w:rsidRDefault="00A42460" w:rsidP="00A42460">
      <w:pPr>
        <w:pStyle w:val="PL"/>
        <w:rPr>
          <w:lang w:val="en-US"/>
        </w:rPr>
      </w:pPr>
      <w:r>
        <w:rPr>
          <w:lang w:val="en-US"/>
        </w:rPr>
        <w:t xml:space="preserve">        - </w:t>
      </w:r>
      <w:r>
        <w:t>DATA_SOURCES</w:t>
      </w:r>
      <w:r>
        <w:rPr>
          <w:lang w:val="en-US"/>
        </w:rPr>
        <w:t xml:space="preserve">: </w:t>
      </w:r>
      <w:r>
        <w:rPr>
          <w:lang w:eastAsia="ko-KR"/>
        </w:rPr>
        <w:t>Data sources of the data used for the generation of the output analytics</w:t>
      </w:r>
      <w:r>
        <w:rPr>
          <w:lang w:val="en-US"/>
        </w:rPr>
        <w:t>.</w:t>
      </w:r>
    </w:p>
    <w:p w14:paraId="1C165480" w14:textId="77777777" w:rsidR="004D166F" w:rsidRDefault="004D166F" w:rsidP="004D16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w:t>
      </w:r>
      <w:r w:rsidRPr="00926C5C">
        <w:rPr>
          <w:rFonts w:ascii="Courier New" w:hAnsi="Courier New"/>
          <w:sz w:val="16"/>
          <w:lang w:val="en-US"/>
        </w:rPr>
        <w:t>USED_PROC_INSTRUCT</w:t>
      </w:r>
      <w:r>
        <w:rPr>
          <w:rFonts w:ascii="Courier New" w:hAnsi="Courier New"/>
          <w:sz w:val="16"/>
          <w:lang w:val="en-US"/>
        </w:rPr>
        <w:t xml:space="preserve">: </w:t>
      </w:r>
      <w:r w:rsidRPr="00926C5C">
        <w:rPr>
          <w:rFonts w:ascii="Courier New" w:hAnsi="Courier New"/>
          <w:sz w:val="16"/>
          <w:lang w:val="en-US"/>
        </w:rPr>
        <w:t>Processing instructions used when collecting data for the</w:t>
      </w:r>
    </w:p>
    <w:p w14:paraId="1FB47078" w14:textId="77777777" w:rsidR="004D166F" w:rsidRDefault="004D166F" w:rsidP="004D166F">
      <w:pPr>
        <w:pStyle w:val="PL"/>
        <w:rPr>
          <w:lang w:val="en-US"/>
        </w:rPr>
      </w:pPr>
      <w:r>
        <w:rPr>
          <w:lang w:val="en-US"/>
        </w:rPr>
        <w:t xml:space="preserve">          </w:t>
      </w:r>
      <w:r w:rsidRPr="00926C5C">
        <w:rPr>
          <w:lang w:val="en-US"/>
        </w:rPr>
        <w:t>generation of the output analytics.</w:t>
      </w:r>
    </w:p>
    <w:p w14:paraId="684B6762" w14:textId="77777777" w:rsidR="007862A2" w:rsidRDefault="007862A2" w:rsidP="007862A2">
      <w:pPr>
        <w:pStyle w:val="PL"/>
        <w:rPr>
          <w:lang w:val="en-US"/>
        </w:rPr>
      </w:pPr>
    </w:p>
    <w:p w14:paraId="2FCA18DB" w14:textId="77777777" w:rsidR="007862A2" w:rsidRDefault="007862A2" w:rsidP="007862A2">
      <w:pPr>
        <w:pStyle w:val="PL"/>
        <w:rPr>
          <w:lang w:val="en-US"/>
        </w:rPr>
      </w:pPr>
      <w:r>
        <w:rPr>
          <w:lang w:val="en-US"/>
        </w:rPr>
        <w:t xml:space="preserve">    DatasetStatisticalProperty:</w:t>
      </w:r>
    </w:p>
    <w:p w14:paraId="772865DE" w14:textId="77777777" w:rsidR="007862A2" w:rsidRDefault="007862A2" w:rsidP="007862A2">
      <w:pPr>
        <w:pStyle w:val="PL"/>
        <w:rPr>
          <w:lang w:val="en-US"/>
        </w:rPr>
      </w:pPr>
      <w:r>
        <w:rPr>
          <w:lang w:val="en-US"/>
        </w:rPr>
        <w:t xml:space="preserve">      anyOf:</w:t>
      </w:r>
    </w:p>
    <w:p w14:paraId="63D8ED75" w14:textId="77777777" w:rsidR="007862A2" w:rsidRDefault="007862A2" w:rsidP="007862A2">
      <w:pPr>
        <w:pStyle w:val="PL"/>
        <w:rPr>
          <w:lang w:val="en-US"/>
        </w:rPr>
      </w:pPr>
      <w:r>
        <w:rPr>
          <w:lang w:val="en-US"/>
        </w:rPr>
        <w:t xml:space="preserve">      - type: string</w:t>
      </w:r>
    </w:p>
    <w:p w14:paraId="141A8C6E" w14:textId="77777777" w:rsidR="007862A2" w:rsidRDefault="007862A2" w:rsidP="007862A2">
      <w:pPr>
        <w:pStyle w:val="PL"/>
        <w:rPr>
          <w:lang w:val="en-US"/>
        </w:rPr>
      </w:pPr>
      <w:r>
        <w:rPr>
          <w:lang w:val="en-US"/>
        </w:rPr>
        <w:t xml:space="preserve">        enum:</w:t>
      </w:r>
    </w:p>
    <w:p w14:paraId="598A1327" w14:textId="77777777" w:rsidR="007862A2" w:rsidRDefault="007862A2" w:rsidP="007862A2">
      <w:pPr>
        <w:pStyle w:val="PL"/>
        <w:rPr>
          <w:lang w:val="en-US"/>
        </w:rPr>
      </w:pPr>
      <w:r>
        <w:rPr>
          <w:lang w:val="en-US"/>
        </w:rPr>
        <w:t xml:space="preserve">          - UNIFORM_DIST_DATA</w:t>
      </w:r>
    </w:p>
    <w:p w14:paraId="210DAC0A" w14:textId="77777777" w:rsidR="007862A2" w:rsidRDefault="007862A2" w:rsidP="007862A2">
      <w:pPr>
        <w:pStyle w:val="PL"/>
        <w:rPr>
          <w:lang w:val="en-US"/>
        </w:rPr>
      </w:pPr>
      <w:r>
        <w:rPr>
          <w:lang w:val="en-US"/>
        </w:rPr>
        <w:t xml:space="preserve">          - NO_OUTLIERS</w:t>
      </w:r>
    </w:p>
    <w:p w14:paraId="248DD28D" w14:textId="77777777" w:rsidR="007862A2" w:rsidRDefault="007862A2" w:rsidP="007862A2">
      <w:pPr>
        <w:pStyle w:val="PL"/>
        <w:rPr>
          <w:lang w:val="en-US"/>
        </w:rPr>
      </w:pPr>
      <w:r>
        <w:rPr>
          <w:lang w:val="en-US"/>
        </w:rPr>
        <w:t xml:space="preserve">      - type: string</w:t>
      </w:r>
    </w:p>
    <w:p w14:paraId="6FD339AC" w14:textId="77777777" w:rsidR="007862A2" w:rsidRDefault="007862A2" w:rsidP="007862A2">
      <w:pPr>
        <w:pStyle w:val="PL"/>
        <w:rPr>
          <w:lang w:val="en-US"/>
        </w:rPr>
      </w:pPr>
      <w:r>
        <w:rPr>
          <w:lang w:val="en-US"/>
        </w:rPr>
        <w:t xml:space="preserve">        description: &gt;</w:t>
      </w:r>
    </w:p>
    <w:p w14:paraId="15585C25" w14:textId="77777777" w:rsidR="007862A2" w:rsidRDefault="007862A2" w:rsidP="007862A2">
      <w:pPr>
        <w:pStyle w:val="PL"/>
        <w:rPr>
          <w:lang w:val="en-US"/>
        </w:rPr>
      </w:pPr>
      <w:r>
        <w:rPr>
          <w:lang w:val="en-US"/>
        </w:rPr>
        <w:t xml:space="preserve">          This string provides forward-compatibility with future</w:t>
      </w:r>
    </w:p>
    <w:p w14:paraId="79D3B734" w14:textId="77777777" w:rsidR="007862A2" w:rsidRDefault="007862A2" w:rsidP="007862A2">
      <w:pPr>
        <w:pStyle w:val="PL"/>
        <w:rPr>
          <w:lang w:val="en-US"/>
        </w:rPr>
      </w:pPr>
      <w:r>
        <w:rPr>
          <w:lang w:val="en-US"/>
        </w:rPr>
        <w:t xml:space="preserve">          extensions to the enumeration but is not used to encode</w:t>
      </w:r>
    </w:p>
    <w:p w14:paraId="4A2835D5" w14:textId="77777777" w:rsidR="007862A2" w:rsidRDefault="007862A2" w:rsidP="007862A2">
      <w:pPr>
        <w:pStyle w:val="PL"/>
        <w:rPr>
          <w:lang w:val="en-US"/>
        </w:rPr>
      </w:pPr>
      <w:r>
        <w:rPr>
          <w:lang w:val="en-US"/>
        </w:rPr>
        <w:t xml:space="preserve">          content defined in the present version of this API.</w:t>
      </w:r>
    </w:p>
    <w:p w14:paraId="03A6149C" w14:textId="77777777" w:rsidR="007862A2" w:rsidRDefault="007862A2" w:rsidP="007862A2">
      <w:pPr>
        <w:pStyle w:val="PL"/>
        <w:rPr>
          <w:lang w:val="en-US"/>
        </w:rPr>
      </w:pPr>
      <w:r>
        <w:rPr>
          <w:lang w:val="en-US"/>
        </w:rPr>
        <w:t xml:space="preserve">      description: |</w:t>
      </w:r>
    </w:p>
    <w:p w14:paraId="15714B30" w14:textId="77777777" w:rsidR="007862A2" w:rsidRDefault="007862A2" w:rsidP="007862A2">
      <w:pPr>
        <w:pStyle w:val="PL"/>
        <w:rPr>
          <w:lang w:val="en-US"/>
        </w:rPr>
      </w:pPr>
      <w:r>
        <w:rPr>
          <w:lang w:val="en-US"/>
        </w:rPr>
        <w:t xml:space="preserve">        Represents the </w:t>
      </w:r>
      <w:r>
        <w:rPr>
          <w:lang w:eastAsia="ko-KR"/>
        </w:rPr>
        <w:t xml:space="preserve">dataset statistical properties.  </w:t>
      </w:r>
    </w:p>
    <w:p w14:paraId="365E31DA" w14:textId="77777777" w:rsidR="007862A2" w:rsidRDefault="007862A2" w:rsidP="007862A2">
      <w:pPr>
        <w:pStyle w:val="PL"/>
        <w:rPr>
          <w:lang w:val="en-US"/>
        </w:rPr>
      </w:pPr>
      <w:r>
        <w:rPr>
          <w:lang w:val="en-US"/>
        </w:rPr>
        <w:t xml:space="preserve">        Possible values are:</w:t>
      </w:r>
    </w:p>
    <w:p w14:paraId="56AB41A0" w14:textId="77777777" w:rsidR="007862A2" w:rsidRDefault="007862A2" w:rsidP="007862A2">
      <w:pPr>
        <w:pStyle w:val="PL"/>
        <w:rPr>
          <w:lang w:val="en-US"/>
        </w:rPr>
      </w:pPr>
      <w:r>
        <w:rPr>
          <w:lang w:val="en-US"/>
        </w:rPr>
        <w:t xml:space="preserve">        - UNIFORM_DIST_DATA: Indicates the use of data samples that are uniformly distributed</w:t>
      </w:r>
    </w:p>
    <w:p w14:paraId="03017145" w14:textId="77777777" w:rsidR="007862A2" w:rsidRDefault="007862A2" w:rsidP="007862A2">
      <w:pPr>
        <w:pStyle w:val="PL"/>
        <w:rPr>
          <w:lang w:val="en-US"/>
        </w:rPr>
      </w:pPr>
      <w:r>
        <w:rPr>
          <w:lang w:val="en-US"/>
        </w:rPr>
        <w:t xml:space="preserve">          according to the different aspects of the requested analytics.</w:t>
      </w:r>
    </w:p>
    <w:p w14:paraId="696304E2" w14:textId="77777777" w:rsidR="007862A2" w:rsidRDefault="007862A2" w:rsidP="007862A2">
      <w:pPr>
        <w:pStyle w:val="PL"/>
        <w:rPr>
          <w:lang w:val="en-US"/>
        </w:rPr>
      </w:pPr>
      <w:r>
        <w:rPr>
          <w:lang w:val="en-US"/>
        </w:rPr>
        <w:t xml:space="preserve">        - NO_OUTLIERS: Indicates that the data samples shall disregard data samples that are at</w:t>
      </w:r>
    </w:p>
    <w:p w14:paraId="16BF4160" w14:textId="77777777" w:rsidR="007862A2" w:rsidRDefault="007862A2" w:rsidP="007862A2">
      <w:pPr>
        <w:pStyle w:val="PL"/>
        <w:rPr>
          <w:lang w:val="en-US"/>
        </w:rPr>
      </w:pPr>
      <w:r>
        <w:rPr>
          <w:lang w:val="en-US"/>
        </w:rPr>
        <w:t xml:space="preserve">          the extreme boundaries of the value range.</w:t>
      </w:r>
    </w:p>
    <w:p w14:paraId="423BC03D" w14:textId="77777777" w:rsidR="007862A2" w:rsidRDefault="007862A2" w:rsidP="007862A2">
      <w:pPr>
        <w:pStyle w:val="PL"/>
        <w:rPr>
          <w:lang w:val="en-US"/>
        </w:rPr>
      </w:pPr>
    </w:p>
    <w:p w14:paraId="094ABF20" w14:textId="77777777" w:rsidR="007862A2" w:rsidRDefault="007862A2" w:rsidP="007862A2">
      <w:pPr>
        <w:pStyle w:val="PL"/>
        <w:rPr>
          <w:lang w:val="en-US"/>
        </w:rPr>
      </w:pPr>
      <w:r>
        <w:rPr>
          <w:lang w:val="en-US"/>
        </w:rPr>
        <w:t xml:space="preserve">    OutputStrategy:</w:t>
      </w:r>
    </w:p>
    <w:p w14:paraId="1392F5BC" w14:textId="77777777" w:rsidR="007862A2" w:rsidRDefault="007862A2" w:rsidP="007862A2">
      <w:pPr>
        <w:pStyle w:val="PL"/>
        <w:rPr>
          <w:lang w:val="en-US"/>
        </w:rPr>
      </w:pPr>
      <w:r>
        <w:rPr>
          <w:lang w:val="en-US"/>
        </w:rPr>
        <w:t xml:space="preserve">      anyOf:</w:t>
      </w:r>
    </w:p>
    <w:p w14:paraId="07E9EF3D" w14:textId="77777777" w:rsidR="007862A2" w:rsidRDefault="007862A2" w:rsidP="007862A2">
      <w:pPr>
        <w:pStyle w:val="PL"/>
        <w:rPr>
          <w:lang w:val="en-US"/>
        </w:rPr>
      </w:pPr>
      <w:r>
        <w:rPr>
          <w:lang w:val="en-US"/>
        </w:rPr>
        <w:t xml:space="preserve">      - type: string</w:t>
      </w:r>
    </w:p>
    <w:p w14:paraId="348BA4A5" w14:textId="77777777" w:rsidR="007862A2" w:rsidRDefault="007862A2" w:rsidP="007862A2">
      <w:pPr>
        <w:pStyle w:val="PL"/>
        <w:rPr>
          <w:lang w:val="en-US"/>
        </w:rPr>
      </w:pPr>
      <w:r>
        <w:rPr>
          <w:lang w:val="en-US"/>
        </w:rPr>
        <w:t xml:space="preserve">        enum:</w:t>
      </w:r>
    </w:p>
    <w:p w14:paraId="6C380B3B" w14:textId="77777777" w:rsidR="007862A2" w:rsidRDefault="007862A2" w:rsidP="007862A2">
      <w:pPr>
        <w:pStyle w:val="PL"/>
        <w:rPr>
          <w:lang w:val="en-US"/>
        </w:rPr>
      </w:pPr>
      <w:r>
        <w:rPr>
          <w:lang w:val="en-US"/>
        </w:rPr>
        <w:t xml:space="preserve">          - BINARY</w:t>
      </w:r>
    </w:p>
    <w:p w14:paraId="3D13C69A" w14:textId="77777777" w:rsidR="007862A2" w:rsidRDefault="007862A2" w:rsidP="007862A2">
      <w:pPr>
        <w:pStyle w:val="PL"/>
        <w:rPr>
          <w:lang w:val="en-US"/>
        </w:rPr>
      </w:pPr>
      <w:r>
        <w:rPr>
          <w:lang w:val="en-US"/>
        </w:rPr>
        <w:t xml:space="preserve">          - GRADIENT</w:t>
      </w:r>
    </w:p>
    <w:p w14:paraId="3AB6D8A3" w14:textId="77777777" w:rsidR="007862A2" w:rsidRDefault="007862A2" w:rsidP="007862A2">
      <w:pPr>
        <w:pStyle w:val="PL"/>
        <w:rPr>
          <w:lang w:val="en-US"/>
        </w:rPr>
      </w:pPr>
      <w:r>
        <w:rPr>
          <w:lang w:val="en-US"/>
        </w:rPr>
        <w:t xml:space="preserve">      - type: string</w:t>
      </w:r>
    </w:p>
    <w:p w14:paraId="13A1C520" w14:textId="77777777" w:rsidR="007862A2" w:rsidRDefault="007862A2" w:rsidP="007862A2">
      <w:pPr>
        <w:pStyle w:val="PL"/>
        <w:rPr>
          <w:lang w:val="en-US"/>
        </w:rPr>
      </w:pPr>
      <w:r>
        <w:rPr>
          <w:lang w:val="en-US"/>
        </w:rPr>
        <w:t xml:space="preserve">        description: &gt;</w:t>
      </w:r>
    </w:p>
    <w:p w14:paraId="40142348" w14:textId="77777777" w:rsidR="007862A2" w:rsidRDefault="007862A2" w:rsidP="007862A2">
      <w:pPr>
        <w:pStyle w:val="PL"/>
        <w:rPr>
          <w:lang w:val="en-US"/>
        </w:rPr>
      </w:pPr>
      <w:r>
        <w:rPr>
          <w:lang w:val="en-US"/>
        </w:rPr>
        <w:t xml:space="preserve">          This string provides forward-compatibility with future</w:t>
      </w:r>
    </w:p>
    <w:p w14:paraId="5F9A6602" w14:textId="77777777" w:rsidR="007862A2" w:rsidRDefault="007862A2" w:rsidP="007862A2">
      <w:pPr>
        <w:pStyle w:val="PL"/>
        <w:rPr>
          <w:lang w:val="en-US"/>
        </w:rPr>
      </w:pPr>
      <w:r>
        <w:rPr>
          <w:lang w:val="en-US"/>
        </w:rPr>
        <w:t xml:space="preserve">          extensions to the enumeration but is not used to encode</w:t>
      </w:r>
    </w:p>
    <w:p w14:paraId="4148474C" w14:textId="77777777" w:rsidR="007862A2" w:rsidRDefault="007862A2" w:rsidP="007862A2">
      <w:pPr>
        <w:pStyle w:val="PL"/>
        <w:rPr>
          <w:lang w:val="en-US"/>
        </w:rPr>
      </w:pPr>
      <w:r>
        <w:rPr>
          <w:lang w:val="en-US"/>
        </w:rPr>
        <w:t xml:space="preserve">          content defined in the present version of this API.</w:t>
      </w:r>
    </w:p>
    <w:p w14:paraId="0CE41005" w14:textId="77777777" w:rsidR="007862A2" w:rsidRDefault="007862A2" w:rsidP="007862A2">
      <w:pPr>
        <w:pStyle w:val="PL"/>
        <w:rPr>
          <w:lang w:val="en-US"/>
        </w:rPr>
      </w:pPr>
      <w:r>
        <w:rPr>
          <w:lang w:val="en-US"/>
        </w:rPr>
        <w:t xml:space="preserve">      description: |</w:t>
      </w:r>
    </w:p>
    <w:p w14:paraId="24474864" w14:textId="77777777" w:rsidR="007862A2" w:rsidRDefault="007862A2" w:rsidP="007862A2">
      <w:pPr>
        <w:pStyle w:val="PL"/>
        <w:rPr>
          <w:lang w:val="en-US"/>
        </w:rPr>
      </w:pPr>
      <w:r>
        <w:rPr>
          <w:lang w:val="en-US"/>
        </w:rPr>
        <w:t xml:space="preserve">        </w:t>
      </w:r>
      <w:r>
        <w:t xml:space="preserve">Represents the output strategy used for the analytics reporting.  </w:t>
      </w:r>
    </w:p>
    <w:p w14:paraId="5DB0DD1F" w14:textId="77777777" w:rsidR="007862A2" w:rsidRDefault="007862A2" w:rsidP="007862A2">
      <w:pPr>
        <w:pStyle w:val="PL"/>
        <w:rPr>
          <w:lang w:val="en-US"/>
        </w:rPr>
      </w:pPr>
      <w:r>
        <w:rPr>
          <w:lang w:val="en-US"/>
        </w:rPr>
        <w:t xml:space="preserve">        Possible values are:</w:t>
      </w:r>
    </w:p>
    <w:p w14:paraId="651FE253" w14:textId="77777777" w:rsidR="007862A2" w:rsidRDefault="007862A2" w:rsidP="007862A2">
      <w:pPr>
        <w:pStyle w:val="PL"/>
        <w:rPr>
          <w:lang w:val="en-US"/>
        </w:rPr>
      </w:pPr>
      <w:r>
        <w:rPr>
          <w:lang w:val="en-US"/>
        </w:rPr>
        <w:t xml:space="preserve">        - BINARY: Indicates that the analytics shall only be reported when the requested level</w:t>
      </w:r>
    </w:p>
    <w:p w14:paraId="133A71DB" w14:textId="77777777" w:rsidR="007862A2" w:rsidRDefault="007862A2" w:rsidP="007862A2">
      <w:pPr>
        <w:pStyle w:val="PL"/>
        <w:rPr>
          <w:lang w:val="en-US"/>
        </w:rPr>
      </w:pPr>
      <w:r>
        <w:rPr>
          <w:lang w:val="en-US"/>
        </w:rPr>
        <w:t xml:space="preserve">          of accuracy is reached within a cycle of periodic notification.</w:t>
      </w:r>
    </w:p>
    <w:p w14:paraId="442EA105" w14:textId="77777777" w:rsidR="007862A2" w:rsidRDefault="007862A2" w:rsidP="007862A2">
      <w:pPr>
        <w:pStyle w:val="PL"/>
        <w:rPr>
          <w:lang w:val="en-US"/>
        </w:rPr>
      </w:pPr>
      <w:r>
        <w:rPr>
          <w:lang w:val="en-US"/>
        </w:rPr>
        <w:t xml:space="preserve">        - GRADIENT: Indicates that the analytics shall be reported according with the periodicity</w:t>
      </w:r>
    </w:p>
    <w:p w14:paraId="4BE41B13" w14:textId="77777777" w:rsidR="007862A2" w:rsidRDefault="007862A2" w:rsidP="007862A2">
      <w:pPr>
        <w:pStyle w:val="PL"/>
        <w:rPr>
          <w:lang w:val="en-US"/>
        </w:rPr>
      </w:pPr>
      <w:r>
        <w:rPr>
          <w:lang w:val="en-US"/>
        </w:rPr>
        <w:t xml:space="preserve">          irrespective of whether the requested level of accuracy has been reached or not.</w:t>
      </w:r>
    </w:p>
    <w:p w14:paraId="08EF9514" w14:textId="77777777" w:rsidR="007862A2" w:rsidRDefault="007862A2" w:rsidP="007862A2">
      <w:pPr>
        <w:pStyle w:val="PL"/>
      </w:pPr>
    </w:p>
    <w:p w14:paraId="6A36C654" w14:textId="77777777" w:rsidR="007862A2" w:rsidRDefault="007862A2" w:rsidP="007862A2">
      <w:pPr>
        <w:pStyle w:val="PL"/>
      </w:pPr>
      <w:r>
        <w:t xml:space="preserve">    TransferRequestType:</w:t>
      </w:r>
    </w:p>
    <w:p w14:paraId="526368D8" w14:textId="77777777" w:rsidR="007862A2" w:rsidRDefault="007862A2" w:rsidP="007862A2">
      <w:pPr>
        <w:pStyle w:val="PL"/>
      </w:pPr>
      <w:r>
        <w:t xml:space="preserve">      anyOf:</w:t>
      </w:r>
    </w:p>
    <w:p w14:paraId="4ABA08A0" w14:textId="77777777" w:rsidR="007862A2" w:rsidRDefault="007862A2" w:rsidP="007862A2">
      <w:pPr>
        <w:pStyle w:val="PL"/>
      </w:pPr>
      <w:r>
        <w:t xml:space="preserve">      - type: string</w:t>
      </w:r>
    </w:p>
    <w:p w14:paraId="5DE9BA04" w14:textId="77777777" w:rsidR="007862A2" w:rsidRDefault="007862A2" w:rsidP="007862A2">
      <w:pPr>
        <w:pStyle w:val="PL"/>
      </w:pPr>
      <w:r>
        <w:t xml:space="preserve">        enum:</w:t>
      </w:r>
    </w:p>
    <w:p w14:paraId="6A9207C3" w14:textId="77777777" w:rsidR="007862A2" w:rsidRDefault="007862A2" w:rsidP="007862A2">
      <w:pPr>
        <w:pStyle w:val="PL"/>
      </w:pPr>
      <w:r>
        <w:t xml:space="preserve">          - PREPARE</w:t>
      </w:r>
    </w:p>
    <w:p w14:paraId="7F40BBA6" w14:textId="77777777" w:rsidR="007862A2" w:rsidRDefault="007862A2" w:rsidP="007862A2">
      <w:pPr>
        <w:pStyle w:val="PL"/>
      </w:pPr>
      <w:r>
        <w:t xml:space="preserve">          - TRANSFER</w:t>
      </w:r>
    </w:p>
    <w:p w14:paraId="716BBA26" w14:textId="77777777" w:rsidR="007862A2" w:rsidRDefault="007862A2" w:rsidP="007862A2">
      <w:pPr>
        <w:pStyle w:val="PL"/>
      </w:pPr>
      <w:r>
        <w:t xml:space="preserve">      - type: string</w:t>
      </w:r>
    </w:p>
    <w:p w14:paraId="4CD144E8" w14:textId="77777777" w:rsidR="007862A2" w:rsidRDefault="007862A2" w:rsidP="007862A2">
      <w:pPr>
        <w:pStyle w:val="PL"/>
      </w:pPr>
      <w:r>
        <w:t xml:space="preserve">        description: &gt;</w:t>
      </w:r>
    </w:p>
    <w:p w14:paraId="134D50ED" w14:textId="77777777" w:rsidR="007862A2" w:rsidRDefault="007862A2" w:rsidP="007862A2">
      <w:pPr>
        <w:pStyle w:val="PL"/>
      </w:pPr>
      <w:r>
        <w:t xml:space="preserve">          This string provides forward-compatibility with future</w:t>
      </w:r>
    </w:p>
    <w:p w14:paraId="18264301" w14:textId="77777777" w:rsidR="007862A2" w:rsidRDefault="007862A2" w:rsidP="007862A2">
      <w:pPr>
        <w:pStyle w:val="PL"/>
      </w:pPr>
      <w:r>
        <w:t xml:space="preserve">          extensions to the enumeration but is not used to encode</w:t>
      </w:r>
    </w:p>
    <w:p w14:paraId="0EE54BF7" w14:textId="77777777" w:rsidR="007862A2" w:rsidRDefault="007862A2" w:rsidP="007862A2">
      <w:pPr>
        <w:pStyle w:val="PL"/>
      </w:pPr>
      <w:r>
        <w:t xml:space="preserve">          content defined in the present version of this API.</w:t>
      </w:r>
    </w:p>
    <w:p w14:paraId="0DA00AF7" w14:textId="77777777" w:rsidR="007862A2" w:rsidRDefault="007862A2" w:rsidP="007862A2">
      <w:pPr>
        <w:pStyle w:val="PL"/>
      </w:pPr>
      <w:r>
        <w:lastRenderedPageBreak/>
        <w:t xml:space="preserve">      description: |</w:t>
      </w:r>
    </w:p>
    <w:p w14:paraId="4FD15D1A" w14:textId="77777777" w:rsidR="007862A2" w:rsidRDefault="007862A2" w:rsidP="007862A2">
      <w:pPr>
        <w:pStyle w:val="PL"/>
      </w:pPr>
      <w:r>
        <w:t xml:space="preserve">        </w:t>
      </w:r>
      <w:r>
        <w:rPr>
          <w:lang w:eastAsia="zh-CN"/>
        </w:rPr>
        <w:t xml:space="preserve">Represents the request type for the analytics subscription transfer.  </w:t>
      </w:r>
    </w:p>
    <w:p w14:paraId="2DED9134" w14:textId="77777777" w:rsidR="007862A2" w:rsidRDefault="007862A2" w:rsidP="007862A2">
      <w:pPr>
        <w:pStyle w:val="PL"/>
      </w:pPr>
      <w:r>
        <w:t xml:space="preserve">        Possible values are:</w:t>
      </w:r>
    </w:p>
    <w:p w14:paraId="0DE83ACE" w14:textId="77777777" w:rsidR="007862A2" w:rsidRDefault="007862A2" w:rsidP="007862A2">
      <w:pPr>
        <w:pStyle w:val="PL"/>
      </w:pPr>
      <w:r>
        <w:t xml:space="preserve">        - PREPARE: Indicates that the request is for analytics subscription transfer preparation.</w:t>
      </w:r>
    </w:p>
    <w:p w14:paraId="2124AC2E" w14:textId="77777777" w:rsidR="007862A2" w:rsidRDefault="007862A2" w:rsidP="007862A2">
      <w:pPr>
        <w:pStyle w:val="PL"/>
      </w:pPr>
      <w:r>
        <w:t xml:space="preserve">        - TRANSFER: Indicates that the request is for analytics subscription transfer execution.</w:t>
      </w:r>
    </w:p>
    <w:p w14:paraId="16EE3528" w14:textId="77777777" w:rsidR="007862A2" w:rsidRDefault="007862A2" w:rsidP="007862A2">
      <w:pPr>
        <w:pStyle w:val="PL"/>
        <w:rPr>
          <w:lang w:val="en-US"/>
        </w:rPr>
      </w:pPr>
    </w:p>
    <w:p w14:paraId="4B7A0E35" w14:textId="77777777" w:rsidR="007862A2" w:rsidRDefault="007862A2" w:rsidP="007862A2">
      <w:pPr>
        <w:pStyle w:val="PL"/>
        <w:rPr>
          <w:lang w:val="en-US"/>
        </w:rPr>
      </w:pPr>
      <w:r>
        <w:rPr>
          <w:lang w:val="en-US"/>
        </w:rPr>
        <w:t xml:space="preserve">    </w:t>
      </w:r>
      <w:r>
        <w:rPr>
          <w:lang w:eastAsia="zh-CN"/>
        </w:rPr>
        <w:t>AnalyticsSubset</w:t>
      </w:r>
      <w:r>
        <w:rPr>
          <w:lang w:val="en-US"/>
        </w:rPr>
        <w:t>:</w:t>
      </w:r>
    </w:p>
    <w:p w14:paraId="247FD675" w14:textId="77777777" w:rsidR="007862A2" w:rsidRDefault="007862A2" w:rsidP="007862A2">
      <w:pPr>
        <w:pStyle w:val="PL"/>
        <w:rPr>
          <w:lang w:val="en-US"/>
        </w:rPr>
      </w:pPr>
      <w:r>
        <w:rPr>
          <w:lang w:val="en-US"/>
        </w:rPr>
        <w:t xml:space="preserve">      anyOf:</w:t>
      </w:r>
    </w:p>
    <w:p w14:paraId="5752F9C1" w14:textId="77777777" w:rsidR="007862A2" w:rsidRDefault="007862A2" w:rsidP="007862A2">
      <w:pPr>
        <w:pStyle w:val="PL"/>
        <w:rPr>
          <w:lang w:val="en-US"/>
        </w:rPr>
      </w:pPr>
      <w:r>
        <w:rPr>
          <w:lang w:val="en-US"/>
        </w:rPr>
        <w:t xml:space="preserve">      - type: string</w:t>
      </w:r>
    </w:p>
    <w:p w14:paraId="2544443F" w14:textId="77777777" w:rsidR="007862A2" w:rsidRDefault="007862A2" w:rsidP="007862A2">
      <w:pPr>
        <w:pStyle w:val="PL"/>
        <w:rPr>
          <w:lang w:val="en-US"/>
        </w:rPr>
      </w:pPr>
      <w:r>
        <w:rPr>
          <w:lang w:val="en-US"/>
        </w:rPr>
        <w:t xml:space="preserve">        enum:</w:t>
      </w:r>
    </w:p>
    <w:p w14:paraId="46FAE447" w14:textId="77777777" w:rsidR="007862A2" w:rsidRDefault="007862A2" w:rsidP="007862A2">
      <w:pPr>
        <w:pStyle w:val="PL"/>
        <w:rPr>
          <w:lang w:val="en-US"/>
        </w:rPr>
      </w:pPr>
      <w:r>
        <w:rPr>
          <w:lang w:val="en-US"/>
        </w:rPr>
        <w:t xml:space="preserve">          - NUM_OF_UE_REG</w:t>
      </w:r>
    </w:p>
    <w:p w14:paraId="221444E5" w14:textId="77777777" w:rsidR="007862A2" w:rsidRDefault="007862A2" w:rsidP="007862A2">
      <w:pPr>
        <w:pStyle w:val="PL"/>
        <w:rPr>
          <w:lang w:val="en-US"/>
        </w:rPr>
      </w:pPr>
      <w:r>
        <w:rPr>
          <w:lang w:val="en-US"/>
        </w:rPr>
        <w:t xml:space="preserve">          - NUM_OF_PDU_SESS_ESTBL</w:t>
      </w:r>
    </w:p>
    <w:p w14:paraId="7EA3DB81" w14:textId="77777777" w:rsidR="007862A2" w:rsidRDefault="007862A2" w:rsidP="007862A2">
      <w:pPr>
        <w:pStyle w:val="PL"/>
        <w:rPr>
          <w:lang w:val="en-US"/>
        </w:rPr>
      </w:pPr>
      <w:r>
        <w:rPr>
          <w:lang w:val="en-US"/>
        </w:rPr>
        <w:t xml:space="preserve">          - RES_USAGE</w:t>
      </w:r>
    </w:p>
    <w:p w14:paraId="6F28EDA7" w14:textId="77777777" w:rsidR="007862A2" w:rsidRDefault="007862A2" w:rsidP="007862A2">
      <w:pPr>
        <w:pStyle w:val="PL"/>
        <w:rPr>
          <w:lang w:val="en-US"/>
        </w:rPr>
      </w:pPr>
      <w:r>
        <w:rPr>
          <w:lang w:val="en-US"/>
        </w:rPr>
        <w:t xml:space="preserve">          - NUM_OF_EXCEED_RES_USAGE_LOAD_LEVEL_THR</w:t>
      </w:r>
    </w:p>
    <w:p w14:paraId="1032215F" w14:textId="77777777" w:rsidR="007862A2" w:rsidRDefault="007862A2" w:rsidP="007862A2">
      <w:pPr>
        <w:pStyle w:val="PL"/>
        <w:rPr>
          <w:lang w:val="en-US"/>
        </w:rPr>
      </w:pPr>
      <w:r>
        <w:rPr>
          <w:lang w:val="en-US"/>
        </w:rPr>
        <w:t xml:space="preserve">          - PERIOD_OF_EXCEED_RES_USAGE_LOAD_LEVEL_THR</w:t>
      </w:r>
    </w:p>
    <w:p w14:paraId="6E36FD2B" w14:textId="77777777" w:rsidR="007862A2" w:rsidRDefault="007862A2" w:rsidP="007862A2">
      <w:pPr>
        <w:pStyle w:val="PL"/>
        <w:rPr>
          <w:lang w:val="en-US"/>
        </w:rPr>
      </w:pPr>
      <w:r>
        <w:rPr>
          <w:lang w:val="en-US"/>
        </w:rPr>
        <w:t xml:space="preserve">          - EXCEED_LOAD_LEVEL_THR_IND</w:t>
      </w:r>
    </w:p>
    <w:p w14:paraId="4E9B5BA6" w14:textId="77777777" w:rsidR="007862A2" w:rsidRDefault="007862A2" w:rsidP="007862A2">
      <w:pPr>
        <w:pStyle w:val="PL"/>
        <w:rPr>
          <w:lang w:val="en-US"/>
        </w:rPr>
      </w:pPr>
      <w:r>
        <w:rPr>
          <w:lang w:val="en-US"/>
        </w:rPr>
        <w:t xml:space="preserve">          - LIST_OF_TOP_APP_UL</w:t>
      </w:r>
    </w:p>
    <w:p w14:paraId="3917C10D" w14:textId="77777777" w:rsidR="007862A2" w:rsidRDefault="007862A2" w:rsidP="007862A2">
      <w:pPr>
        <w:pStyle w:val="PL"/>
        <w:rPr>
          <w:lang w:val="en-US"/>
        </w:rPr>
      </w:pPr>
      <w:r>
        <w:rPr>
          <w:lang w:val="en-US"/>
        </w:rPr>
        <w:t xml:space="preserve">          - LIST_OF_TOP_APP_DL</w:t>
      </w:r>
    </w:p>
    <w:p w14:paraId="5F55F014" w14:textId="77777777" w:rsidR="007862A2" w:rsidRDefault="007862A2" w:rsidP="007862A2">
      <w:pPr>
        <w:pStyle w:val="PL"/>
        <w:rPr>
          <w:lang w:val="en-US"/>
        </w:rPr>
      </w:pPr>
      <w:r>
        <w:rPr>
          <w:lang w:val="en-US"/>
        </w:rPr>
        <w:t xml:space="preserve">          - NF_STATUS</w:t>
      </w:r>
    </w:p>
    <w:p w14:paraId="7EE81FBB" w14:textId="77777777" w:rsidR="007862A2" w:rsidRDefault="007862A2" w:rsidP="007862A2">
      <w:pPr>
        <w:pStyle w:val="PL"/>
        <w:rPr>
          <w:lang w:val="en-US"/>
        </w:rPr>
      </w:pPr>
      <w:r>
        <w:rPr>
          <w:lang w:val="en-US"/>
        </w:rPr>
        <w:t xml:space="preserve">          - NF_RESOURCE_USAGE</w:t>
      </w:r>
    </w:p>
    <w:p w14:paraId="2A163B6D" w14:textId="77777777" w:rsidR="007862A2" w:rsidRDefault="007862A2" w:rsidP="007862A2">
      <w:pPr>
        <w:pStyle w:val="PL"/>
        <w:rPr>
          <w:lang w:val="en-US"/>
        </w:rPr>
      </w:pPr>
      <w:r>
        <w:rPr>
          <w:lang w:val="en-US"/>
        </w:rPr>
        <w:t xml:space="preserve">          - NF_LOAD</w:t>
      </w:r>
    </w:p>
    <w:p w14:paraId="31F28D0E" w14:textId="77777777" w:rsidR="007862A2" w:rsidRDefault="007862A2" w:rsidP="007862A2">
      <w:pPr>
        <w:pStyle w:val="PL"/>
        <w:rPr>
          <w:lang w:val="en-US"/>
        </w:rPr>
      </w:pPr>
      <w:r>
        <w:rPr>
          <w:lang w:val="en-US"/>
        </w:rPr>
        <w:t xml:space="preserve">          - NF_PEAK_LOAD</w:t>
      </w:r>
    </w:p>
    <w:p w14:paraId="411A1E5D" w14:textId="77777777" w:rsidR="007862A2" w:rsidRDefault="007862A2" w:rsidP="007862A2">
      <w:pPr>
        <w:pStyle w:val="PL"/>
        <w:rPr>
          <w:lang w:val="en-US"/>
        </w:rPr>
      </w:pPr>
      <w:r>
        <w:rPr>
          <w:lang w:val="en-US"/>
        </w:rPr>
        <w:t xml:space="preserve">          - NF_LOAD_AVG_IN_AOI</w:t>
      </w:r>
    </w:p>
    <w:p w14:paraId="220BAC2E" w14:textId="77777777" w:rsidR="007862A2" w:rsidRDefault="007862A2" w:rsidP="007862A2">
      <w:pPr>
        <w:pStyle w:val="PL"/>
        <w:rPr>
          <w:lang w:val="en-US"/>
        </w:rPr>
      </w:pPr>
      <w:r>
        <w:rPr>
          <w:lang w:val="en-US"/>
        </w:rPr>
        <w:t xml:space="preserve">          - DISPER_AMOUNT</w:t>
      </w:r>
    </w:p>
    <w:p w14:paraId="34D924BF" w14:textId="77777777" w:rsidR="007862A2" w:rsidRDefault="007862A2" w:rsidP="007862A2">
      <w:pPr>
        <w:pStyle w:val="PL"/>
        <w:rPr>
          <w:lang w:val="en-US"/>
        </w:rPr>
      </w:pPr>
      <w:r>
        <w:rPr>
          <w:lang w:val="en-US"/>
        </w:rPr>
        <w:t xml:space="preserve">          - DISPER_CLASS</w:t>
      </w:r>
    </w:p>
    <w:p w14:paraId="09638A88" w14:textId="77777777" w:rsidR="007862A2" w:rsidRDefault="007862A2" w:rsidP="007862A2">
      <w:pPr>
        <w:pStyle w:val="PL"/>
        <w:rPr>
          <w:lang w:val="en-US"/>
        </w:rPr>
      </w:pPr>
      <w:r>
        <w:rPr>
          <w:lang w:val="en-US"/>
        </w:rPr>
        <w:t xml:space="preserve">          - RANKING</w:t>
      </w:r>
    </w:p>
    <w:p w14:paraId="4AC64066" w14:textId="77777777" w:rsidR="007862A2" w:rsidRDefault="007862A2" w:rsidP="007862A2">
      <w:pPr>
        <w:pStyle w:val="PL"/>
        <w:rPr>
          <w:lang w:val="en-US"/>
        </w:rPr>
      </w:pPr>
      <w:r>
        <w:rPr>
          <w:lang w:val="en-US"/>
        </w:rPr>
        <w:t xml:space="preserve">          - PERCENTILE_RANKING</w:t>
      </w:r>
    </w:p>
    <w:p w14:paraId="32A15D5A" w14:textId="77777777" w:rsidR="007862A2" w:rsidRDefault="007862A2" w:rsidP="007862A2">
      <w:pPr>
        <w:pStyle w:val="PL"/>
        <w:rPr>
          <w:lang w:val="en-US"/>
        </w:rPr>
      </w:pPr>
      <w:r>
        <w:rPr>
          <w:lang w:val="en-US"/>
        </w:rPr>
        <w:t xml:space="preserve">          - RSSI</w:t>
      </w:r>
    </w:p>
    <w:p w14:paraId="7387066E" w14:textId="77777777" w:rsidR="007862A2" w:rsidRDefault="007862A2" w:rsidP="007862A2">
      <w:pPr>
        <w:pStyle w:val="PL"/>
        <w:rPr>
          <w:lang w:val="en-US"/>
        </w:rPr>
      </w:pPr>
      <w:r>
        <w:rPr>
          <w:lang w:val="en-US"/>
        </w:rPr>
        <w:t xml:space="preserve">          - RTT</w:t>
      </w:r>
    </w:p>
    <w:p w14:paraId="1E0EA7C5" w14:textId="77777777" w:rsidR="007862A2" w:rsidRDefault="007862A2" w:rsidP="007862A2">
      <w:pPr>
        <w:pStyle w:val="PL"/>
        <w:rPr>
          <w:lang w:val="en-US"/>
        </w:rPr>
      </w:pPr>
      <w:r>
        <w:rPr>
          <w:lang w:val="en-US"/>
        </w:rPr>
        <w:t xml:space="preserve">          - TRAFFIC_INFO</w:t>
      </w:r>
    </w:p>
    <w:p w14:paraId="3346E325" w14:textId="77777777" w:rsidR="007862A2" w:rsidRDefault="007862A2" w:rsidP="007862A2">
      <w:pPr>
        <w:pStyle w:val="PL"/>
        <w:rPr>
          <w:lang w:val="en-US"/>
        </w:rPr>
      </w:pPr>
      <w:r>
        <w:rPr>
          <w:lang w:val="en-US"/>
        </w:rPr>
        <w:t xml:space="preserve">          - NUMBER_OF_UES</w:t>
      </w:r>
    </w:p>
    <w:p w14:paraId="4184CD38" w14:textId="77777777" w:rsidR="007862A2" w:rsidRDefault="007862A2" w:rsidP="007862A2">
      <w:pPr>
        <w:pStyle w:val="PL"/>
        <w:rPr>
          <w:lang w:val="en-US"/>
        </w:rPr>
      </w:pPr>
      <w:r>
        <w:rPr>
          <w:lang w:val="en-US"/>
        </w:rPr>
        <w:t xml:space="preserve">          - APP_LIST_FOR_UE_COMM</w:t>
      </w:r>
    </w:p>
    <w:p w14:paraId="1EC1C1D3" w14:textId="77777777" w:rsidR="007862A2" w:rsidRDefault="007862A2" w:rsidP="007862A2">
      <w:pPr>
        <w:pStyle w:val="PL"/>
        <w:rPr>
          <w:lang w:val="en-US"/>
        </w:rPr>
      </w:pPr>
      <w:r>
        <w:rPr>
          <w:lang w:val="en-US"/>
        </w:rPr>
        <w:t xml:space="preserve">          - </w:t>
      </w:r>
      <w:r>
        <w:rPr>
          <w:lang w:eastAsia="zh-CN"/>
        </w:rPr>
        <w:t>N4_SESS_INACT_TIMER_FOR_UE_COMM</w:t>
      </w:r>
    </w:p>
    <w:p w14:paraId="0A358563" w14:textId="77777777" w:rsidR="007862A2" w:rsidRDefault="007862A2" w:rsidP="007862A2">
      <w:pPr>
        <w:pStyle w:val="PL"/>
        <w:rPr>
          <w:lang w:val="en-US"/>
        </w:rPr>
      </w:pPr>
      <w:r>
        <w:rPr>
          <w:lang w:val="en-US"/>
        </w:rPr>
        <w:t xml:space="preserve">          - AVG_TRAFFIC_RATE</w:t>
      </w:r>
    </w:p>
    <w:p w14:paraId="424AD040" w14:textId="77777777" w:rsidR="007862A2" w:rsidRDefault="007862A2" w:rsidP="007862A2">
      <w:pPr>
        <w:pStyle w:val="PL"/>
        <w:rPr>
          <w:lang w:val="en-US"/>
        </w:rPr>
      </w:pPr>
      <w:r>
        <w:rPr>
          <w:lang w:val="en-US"/>
        </w:rPr>
        <w:t xml:space="preserve">          - MAX_TRAFFIC_RATE</w:t>
      </w:r>
    </w:p>
    <w:p w14:paraId="4B240450" w14:textId="77777777" w:rsidR="007862A2" w:rsidRDefault="007862A2" w:rsidP="007862A2">
      <w:pPr>
        <w:pStyle w:val="PL"/>
        <w:rPr>
          <w:lang w:val="en-US"/>
        </w:rPr>
      </w:pPr>
      <w:r>
        <w:rPr>
          <w:lang w:val="en-US"/>
        </w:rPr>
        <w:t xml:space="preserve">          - AGG_TRAFFIC_RATE</w:t>
      </w:r>
    </w:p>
    <w:p w14:paraId="3FC63B77" w14:textId="77777777" w:rsidR="007862A2" w:rsidRDefault="007862A2" w:rsidP="007862A2">
      <w:pPr>
        <w:pStyle w:val="PL"/>
        <w:rPr>
          <w:lang w:val="en-US"/>
        </w:rPr>
      </w:pPr>
      <w:r>
        <w:rPr>
          <w:lang w:val="en-US"/>
        </w:rPr>
        <w:t xml:space="preserve">          - VAR_TRAFFIC_RATE</w:t>
      </w:r>
    </w:p>
    <w:p w14:paraId="32E42C3B" w14:textId="77777777" w:rsidR="007862A2" w:rsidRDefault="007862A2" w:rsidP="007862A2">
      <w:pPr>
        <w:pStyle w:val="PL"/>
        <w:rPr>
          <w:lang w:val="en-US"/>
        </w:rPr>
      </w:pPr>
      <w:r>
        <w:rPr>
          <w:lang w:val="en-US"/>
        </w:rPr>
        <w:t xml:space="preserve">          - AVG_PACKET_DELAY</w:t>
      </w:r>
    </w:p>
    <w:p w14:paraId="7681B1C4" w14:textId="77777777" w:rsidR="007862A2" w:rsidRDefault="007862A2" w:rsidP="007862A2">
      <w:pPr>
        <w:pStyle w:val="PL"/>
        <w:rPr>
          <w:lang w:val="en-US"/>
        </w:rPr>
      </w:pPr>
      <w:r>
        <w:rPr>
          <w:lang w:val="en-US"/>
        </w:rPr>
        <w:t xml:space="preserve">          - MAX_PACKET_DELAY</w:t>
      </w:r>
    </w:p>
    <w:p w14:paraId="688DA057" w14:textId="77777777" w:rsidR="007862A2" w:rsidRDefault="007862A2" w:rsidP="007862A2">
      <w:pPr>
        <w:pStyle w:val="PL"/>
        <w:rPr>
          <w:lang w:val="en-US"/>
        </w:rPr>
      </w:pPr>
      <w:r>
        <w:rPr>
          <w:lang w:val="en-US"/>
        </w:rPr>
        <w:t xml:space="preserve">          - VAR_PACKET_DELAY</w:t>
      </w:r>
    </w:p>
    <w:p w14:paraId="1C4D186D" w14:textId="77777777" w:rsidR="007862A2" w:rsidRDefault="007862A2" w:rsidP="007862A2">
      <w:pPr>
        <w:pStyle w:val="PL"/>
        <w:rPr>
          <w:lang w:val="en-US"/>
        </w:rPr>
      </w:pPr>
      <w:r>
        <w:rPr>
          <w:lang w:val="en-US"/>
        </w:rPr>
        <w:t xml:space="preserve">          - AVG_PACKET_LOSS_RATE</w:t>
      </w:r>
    </w:p>
    <w:p w14:paraId="54AED9E0" w14:textId="77777777" w:rsidR="007862A2" w:rsidRDefault="007862A2" w:rsidP="007862A2">
      <w:pPr>
        <w:pStyle w:val="PL"/>
        <w:rPr>
          <w:lang w:val="en-US"/>
        </w:rPr>
      </w:pPr>
      <w:r>
        <w:rPr>
          <w:lang w:val="en-US"/>
        </w:rPr>
        <w:t xml:space="preserve">          - MAX_PACKET_LOSS_RATE</w:t>
      </w:r>
    </w:p>
    <w:p w14:paraId="52E93CC4" w14:textId="77777777" w:rsidR="007862A2" w:rsidRDefault="007862A2" w:rsidP="007862A2">
      <w:pPr>
        <w:pStyle w:val="PL"/>
        <w:rPr>
          <w:lang w:val="en-US"/>
        </w:rPr>
      </w:pPr>
      <w:r>
        <w:rPr>
          <w:lang w:val="en-US"/>
        </w:rPr>
        <w:t xml:space="preserve">          - VAR_PACKET_LOSS_RATE</w:t>
      </w:r>
    </w:p>
    <w:p w14:paraId="58CD159A" w14:textId="77777777" w:rsidR="007862A2" w:rsidRDefault="007862A2" w:rsidP="007862A2">
      <w:pPr>
        <w:pStyle w:val="PL"/>
        <w:rPr>
          <w:lang w:eastAsia="zh-CN"/>
        </w:rPr>
      </w:pPr>
      <w:r>
        <w:rPr>
          <w:lang w:val="en-US"/>
        </w:rPr>
        <w:t xml:space="preserve">          - </w:t>
      </w:r>
      <w:r>
        <w:rPr>
          <w:lang w:eastAsia="zh-CN"/>
        </w:rPr>
        <w:t>UE_LOCATION</w:t>
      </w:r>
    </w:p>
    <w:p w14:paraId="4EC28C16" w14:textId="77777777" w:rsidR="007862A2" w:rsidRDefault="007862A2" w:rsidP="007862A2">
      <w:pPr>
        <w:pStyle w:val="PL"/>
        <w:rPr>
          <w:lang w:val="en-US"/>
        </w:rPr>
      </w:pPr>
      <w:r>
        <w:rPr>
          <w:lang w:val="en-US"/>
        </w:rPr>
        <w:t xml:space="preserve">          - LIST_OF_HIGH_EXP_UE</w:t>
      </w:r>
    </w:p>
    <w:p w14:paraId="18850B5A" w14:textId="77777777" w:rsidR="007862A2" w:rsidRDefault="007862A2" w:rsidP="007862A2">
      <w:pPr>
        <w:pStyle w:val="PL"/>
        <w:rPr>
          <w:lang w:val="en-US"/>
        </w:rPr>
      </w:pPr>
      <w:r>
        <w:rPr>
          <w:lang w:val="en-US"/>
        </w:rPr>
        <w:t xml:space="preserve">          - LIST_OF_MEDIUM_EXP_UE</w:t>
      </w:r>
    </w:p>
    <w:p w14:paraId="431129A0" w14:textId="77777777" w:rsidR="007862A2" w:rsidRDefault="007862A2" w:rsidP="007862A2">
      <w:pPr>
        <w:pStyle w:val="PL"/>
        <w:rPr>
          <w:lang w:val="en-US"/>
        </w:rPr>
      </w:pPr>
      <w:r>
        <w:rPr>
          <w:lang w:val="en-US"/>
        </w:rPr>
        <w:t xml:space="preserve">          - LIST_OF_LOW_EXP_UE</w:t>
      </w:r>
    </w:p>
    <w:p w14:paraId="0476C63B" w14:textId="77777777" w:rsidR="007862A2" w:rsidRDefault="007862A2" w:rsidP="007862A2">
      <w:pPr>
        <w:pStyle w:val="PL"/>
        <w:rPr>
          <w:lang w:val="en-US"/>
        </w:rPr>
      </w:pPr>
      <w:r>
        <w:rPr>
          <w:lang w:val="en-US"/>
        </w:rPr>
        <w:t xml:space="preserve">          - AVG_UL_PKT_DROP_RATE</w:t>
      </w:r>
    </w:p>
    <w:p w14:paraId="5B9F7683" w14:textId="77777777" w:rsidR="007862A2" w:rsidRDefault="007862A2" w:rsidP="007862A2">
      <w:pPr>
        <w:pStyle w:val="PL"/>
        <w:rPr>
          <w:lang w:val="en-US"/>
        </w:rPr>
      </w:pPr>
      <w:r>
        <w:rPr>
          <w:lang w:val="en-US"/>
        </w:rPr>
        <w:t xml:space="preserve">          - VAR_UL_PKT_DROP_RATE</w:t>
      </w:r>
    </w:p>
    <w:p w14:paraId="0F925875" w14:textId="77777777" w:rsidR="007862A2" w:rsidRDefault="007862A2" w:rsidP="007862A2">
      <w:pPr>
        <w:pStyle w:val="PL"/>
        <w:rPr>
          <w:lang w:val="en-US"/>
        </w:rPr>
      </w:pPr>
      <w:r>
        <w:rPr>
          <w:lang w:val="en-US"/>
        </w:rPr>
        <w:t xml:space="preserve">          - AVG_DL_PKT_DROP_RATE</w:t>
      </w:r>
    </w:p>
    <w:p w14:paraId="7C584450" w14:textId="77777777" w:rsidR="007862A2" w:rsidRDefault="007862A2" w:rsidP="007862A2">
      <w:pPr>
        <w:pStyle w:val="PL"/>
        <w:rPr>
          <w:lang w:val="en-US"/>
        </w:rPr>
      </w:pPr>
      <w:r>
        <w:rPr>
          <w:lang w:val="en-US"/>
        </w:rPr>
        <w:t xml:space="preserve">          - VAR_DL_PKT_DROP_RATE</w:t>
      </w:r>
    </w:p>
    <w:p w14:paraId="614199A9" w14:textId="77777777" w:rsidR="007862A2" w:rsidRDefault="007862A2" w:rsidP="007862A2">
      <w:pPr>
        <w:pStyle w:val="PL"/>
        <w:rPr>
          <w:lang w:val="en-US"/>
        </w:rPr>
      </w:pPr>
      <w:r>
        <w:rPr>
          <w:lang w:val="en-US"/>
        </w:rPr>
        <w:t xml:space="preserve">          - AVG_UL_PKT_DELAY</w:t>
      </w:r>
    </w:p>
    <w:p w14:paraId="2CB0D81D" w14:textId="77777777" w:rsidR="007862A2" w:rsidRDefault="007862A2" w:rsidP="007862A2">
      <w:pPr>
        <w:pStyle w:val="PL"/>
        <w:rPr>
          <w:lang w:val="en-US"/>
        </w:rPr>
      </w:pPr>
      <w:r>
        <w:rPr>
          <w:lang w:val="en-US"/>
        </w:rPr>
        <w:t xml:space="preserve">          - VAR_UL_PKT_DELAY</w:t>
      </w:r>
    </w:p>
    <w:p w14:paraId="175FA3B5" w14:textId="77777777" w:rsidR="007862A2" w:rsidRDefault="007862A2" w:rsidP="007862A2">
      <w:pPr>
        <w:pStyle w:val="PL"/>
        <w:rPr>
          <w:lang w:val="en-US"/>
        </w:rPr>
      </w:pPr>
      <w:r>
        <w:rPr>
          <w:lang w:val="en-US"/>
        </w:rPr>
        <w:t xml:space="preserve">          - AVG_DL_PKT_DELAY</w:t>
      </w:r>
    </w:p>
    <w:p w14:paraId="4B18220E" w14:textId="77777777" w:rsidR="007862A2" w:rsidRDefault="007862A2" w:rsidP="007862A2">
      <w:pPr>
        <w:pStyle w:val="PL"/>
        <w:rPr>
          <w:lang w:val="en-US"/>
        </w:rPr>
      </w:pPr>
      <w:r>
        <w:rPr>
          <w:lang w:val="en-US"/>
        </w:rPr>
        <w:t xml:space="preserve">          - VAR_DL_PKT_DELAY</w:t>
      </w:r>
    </w:p>
    <w:p w14:paraId="77DF61FA" w14:textId="77777777" w:rsidR="007862A2" w:rsidRDefault="007862A2" w:rsidP="007862A2">
      <w:pPr>
        <w:pStyle w:val="PL"/>
        <w:rPr>
          <w:lang w:val="en-US"/>
        </w:rPr>
      </w:pPr>
      <w:r>
        <w:rPr>
          <w:lang w:val="en-US"/>
        </w:rPr>
        <w:t xml:space="preserve">          - TRAFFIC_MATCH_TD</w:t>
      </w:r>
    </w:p>
    <w:p w14:paraId="4FBEAD6E" w14:textId="77777777" w:rsidR="007862A2" w:rsidRDefault="007862A2" w:rsidP="007862A2">
      <w:pPr>
        <w:pStyle w:val="PL"/>
        <w:rPr>
          <w:lang w:val="en-US"/>
        </w:rPr>
      </w:pPr>
      <w:r>
        <w:rPr>
          <w:lang w:val="en-US"/>
        </w:rPr>
        <w:t xml:space="preserve">          - TRAFFIC_UNMATCH_TD</w:t>
      </w:r>
    </w:p>
    <w:p w14:paraId="6110274E" w14:textId="77777777" w:rsidR="007862A2" w:rsidRDefault="007862A2" w:rsidP="007862A2">
      <w:pPr>
        <w:pStyle w:val="PL"/>
        <w:rPr>
          <w:lang w:val="en-US"/>
        </w:rPr>
      </w:pPr>
      <w:r>
        <w:rPr>
          <w:lang w:val="en-US"/>
        </w:rPr>
        <w:t xml:space="preserve">          - NUMBER_OF</w:t>
      </w:r>
      <w:r>
        <w:rPr>
          <w:lang w:eastAsia="zh-CN"/>
        </w:rPr>
        <w:t>_</w:t>
      </w:r>
      <w:r>
        <w:rPr>
          <w:rFonts w:hint="eastAsia"/>
          <w:lang w:eastAsia="zh-CN"/>
        </w:rPr>
        <w:t>U</w:t>
      </w:r>
      <w:r>
        <w:rPr>
          <w:lang w:eastAsia="zh-CN"/>
        </w:rPr>
        <w:t>E</w:t>
      </w:r>
    </w:p>
    <w:p w14:paraId="43C0CD14" w14:textId="77777777" w:rsidR="007862A2" w:rsidRDefault="007862A2" w:rsidP="007862A2">
      <w:pPr>
        <w:pStyle w:val="PL"/>
        <w:rPr>
          <w:lang w:val="en-US"/>
        </w:rPr>
      </w:pPr>
      <w:r>
        <w:rPr>
          <w:lang w:val="en-US"/>
        </w:rPr>
        <w:t xml:space="preserve">          - UE_GEOG_DIST</w:t>
      </w:r>
    </w:p>
    <w:p w14:paraId="568847C3" w14:textId="77777777" w:rsidR="007862A2" w:rsidRPr="0076721C" w:rsidRDefault="007862A2" w:rsidP="007862A2">
      <w:pPr>
        <w:pStyle w:val="PL"/>
        <w:rPr>
          <w:lang w:val="de-DE"/>
        </w:rPr>
      </w:pPr>
      <w:r>
        <w:rPr>
          <w:lang w:val="en-US"/>
        </w:rPr>
        <w:t xml:space="preserve">          </w:t>
      </w:r>
      <w:r w:rsidRPr="0076721C">
        <w:rPr>
          <w:lang w:val="de-DE"/>
        </w:rPr>
        <w:t>- UE_DIRECTION</w:t>
      </w:r>
    </w:p>
    <w:p w14:paraId="4535F954" w14:textId="77777777" w:rsidR="007862A2" w:rsidRPr="0076721C" w:rsidRDefault="007862A2" w:rsidP="007862A2">
      <w:pPr>
        <w:pStyle w:val="PL"/>
        <w:rPr>
          <w:lang w:val="de-DE"/>
        </w:rPr>
      </w:pPr>
      <w:r w:rsidRPr="0076721C">
        <w:rPr>
          <w:lang w:val="de-DE"/>
        </w:rPr>
        <w:t xml:space="preserve">          - AVG_E2E_UL_PKT_DELAY</w:t>
      </w:r>
    </w:p>
    <w:p w14:paraId="42AADE29" w14:textId="77777777" w:rsidR="007862A2" w:rsidRPr="0076721C" w:rsidRDefault="007862A2" w:rsidP="007862A2">
      <w:pPr>
        <w:pStyle w:val="PL"/>
        <w:rPr>
          <w:lang w:val="de-DE"/>
        </w:rPr>
      </w:pPr>
      <w:r w:rsidRPr="0076721C">
        <w:rPr>
          <w:lang w:val="de-DE"/>
        </w:rPr>
        <w:t xml:space="preserve">          - VAR_E2E_UL_PKT_DELAY</w:t>
      </w:r>
    </w:p>
    <w:p w14:paraId="3019B226" w14:textId="77777777" w:rsidR="007862A2" w:rsidRPr="0076721C" w:rsidRDefault="007862A2" w:rsidP="007862A2">
      <w:pPr>
        <w:pStyle w:val="PL"/>
        <w:rPr>
          <w:lang w:val="de-DE"/>
        </w:rPr>
      </w:pPr>
      <w:r w:rsidRPr="0076721C">
        <w:rPr>
          <w:lang w:val="de-DE"/>
        </w:rPr>
        <w:t xml:space="preserve">          - AVG_E2E_DL_PKT_DELAY</w:t>
      </w:r>
    </w:p>
    <w:p w14:paraId="64D41AD1" w14:textId="77777777" w:rsidR="007862A2" w:rsidRPr="0076721C" w:rsidRDefault="007862A2" w:rsidP="007862A2">
      <w:pPr>
        <w:pStyle w:val="PL"/>
        <w:rPr>
          <w:lang w:val="de-DE"/>
        </w:rPr>
      </w:pPr>
      <w:r w:rsidRPr="0076721C">
        <w:rPr>
          <w:lang w:val="de-DE"/>
        </w:rPr>
        <w:t xml:space="preserve">          - VAR_E2E_DL_PKT_DELAY</w:t>
      </w:r>
    </w:p>
    <w:p w14:paraId="3815BAEA"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822010">
        <w:rPr>
          <w:rFonts w:ascii="Courier New" w:hAnsi="Courier New"/>
          <w:sz w:val="16"/>
          <w:lang w:val="de-DE"/>
        </w:rPr>
        <w:t xml:space="preserve">          - AVG_E2E_UL_PKT_LOSS_RATE</w:t>
      </w:r>
    </w:p>
    <w:p w14:paraId="34B06791" w14:textId="77777777" w:rsidR="007862A2" w:rsidRPr="005B3671"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22010">
        <w:rPr>
          <w:rFonts w:ascii="Courier New" w:hAnsi="Courier New"/>
          <w:sz w:val="16"/>
          <w:lang w:val="de-DE"/>
        </w:rPr>
        <w:t xml:space="preserve">          </w:t>
      </w:r>
      <w:r w:rsidRPr="005B3671">
        <w:rPr>
          <w:rFonts w:ascii="Courier New" w:hAnsi="Courier New"/>
          <w:sz w:val="16"/>
        </w:rPr>
        <w:t>- VAR_E2E_UL_PKT_LOSS_RATE</w:t>
      </w:r>
    </w:p>
    <w:p w14:paraId="6E82073B" w14:textId="77777777" w:rsidR="007862A2" w:rsidRPr="005B3671"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3671">
        <w:rPr>
          <w:rFonts w:ascii="Courier New" w:hAnsi="Courier New"/>
          <w:sz w:val="16"/>
        </w:rPr>
        <w:t xml:space="preserve">          - AVG_E2E_DL_PKT_LOSS_RATE</w:t>
      </w:r>
    </w:p>
    <w:p w14:paraId="0D5C4F4F" w14:textId="77777777" w:rsidR="007862A2" w:rsidRPr="005B3671"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3671">
        <w:rPr>
          <w:rFonts w:ascii="Courier New" w:hAnsi="Courier New"/>
          <w:sz w:val="16"/>
        </w:rPr>
        <w:t xml:space="preserve">          - VAR_E2E_DL_PKT_LOSS_RATE</w:t>
      </w:r>
    </w:p>
    <w:p w14:paraId="295B3A54" w14:textId="77777777" w:rsidR="007862A2" w:rsidRPr="00822010"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B3671">
        <w:rPr>
          <w:rFonts w:ascii="Courier New" w:hAnsi="Courier New"/>
          <w:sz w:val="16"/>
        </w:rPr>
        <w:t xml:space="preserve">          </w:t>
      </w:r>
      <w:r w:rsidRPr="00822010">
        <w:rPr>
          <w:rFonts w:ascii="Courier New" w:hAnsi="Courier New"/>
          <w:sz w:val="16"/>
          <w:lang w:val="en-US"/>
        </w:rPr>
        <w:t xml:space="preserve">- </w:t>
      </w:r>
      <w:r w:rsidRPr="00822010">
        <w:rPr>
          <w:rFonts w:ascii="Courier New" w:hAnsi="Courier New"/>
          <w:sz w:val="16"/>
          <w:lang w:val="en-US" w:eastAsia="zh-CN"/>
        </w:rPr>
        <w:t>E2E_DATA_VOL_TRANS_TIME_FOR_UE_LIST</w:t>
      </w:r>
    </w:p>
    <w:p w14:paraId="2BD97DEF" w14:textId="77777777" w:rsidR="00AD5F95" w:rsidRDefault="00AD5F95" w:rsidP="00AD5F95">
      <w:pPr>
        <w:pStyle w:val="PL"/>
        <w:rPr>
          <w:lang w:val="en-US"/>
        </w:rPr>
      </w:pPr>
      <w:r>
        <w:rPr>
          <w:lang w:val="en-US"/>
        </w:rPr>
        <w:t xml:space="preserve">          - NUM_OF_UE</w:t>
      </w:r>
    </w:p>
    <w:p w14:paraId="51C1165C" w14:textId="77777777" w:rsidR="00AD5F95" w:rsidRDefault="00AD5F95" w:rsidP="00AD5F95">
      <w:pPr>
        <w:pStyle w:val="PL"/>
        <w:rPr>
          <w:lang w:val="en-US"/>
        </w:rPr>
      </w:pPr>
      <w:r>
        <w:rPr>
          <w:lang w:val="en-US"/>
        </w:rPr>
        <w:t xml:space="preserve">          - MOV_UE_RATIO</w:t>
      </w:r>
    </w:p>
    <w:p w14:paraId="7783ADC5" w14:textId="77777777" w:rsidR="00AD5F95" w:rsidRDefault="00AD5F95" w:rsidP="00AD5F95">
      <w:pPr>
        <w:pStyle w:val="PL"/>
        <w:rPr>
          <w:lang w:val="en-US"/>
        </w:rPr>
      </w:pPr>
      <w:r>
        <w:rPr>
          <w:lang w:val="en-US"/>
        </w:rPr>
        <w:t xml:space="preserve">          - AVR_SPEED</w:t>
      </w:r>
    </w:p>
    <w:p w14:paraId="11AE636B" w14:textId="77777777" w:rsidR="00AD5F95" w:rsidRDefault="00AD5F95" w:rsidP="00AD5F95">
      <w:pPr>
        <w:pStyle w:val="PL"/>
        <w:rPr>
          <w:lang w:val="en-US"/>
        </w:rPr>
      </w:pPr>
      <w:r>
        <w:rPr>
          <w:lang w:val="en-US"/>
        </w:rPr>
        <w:t xml:space="preserve">          - SPEED_THRESHOLD</w:t>
      </w:r>
    </w:p>
    <w:p w14:paraId="6A28B54B" w14:textId="77777777" w:rsidR="00AD5F95" w:rsidRDefault="00AD5F95" w:rsidP="00AD5F95">
      <w:pPr>
        <w:pStyle w:val="PL"/>
        <w:rPr>
          <w:lang w:val="en-US"/>
        </w:rPr>
      </w:pPr>
      <w:r>
        <w:rPr>
          <w:lang w:val="en-US"/>
        </w:rPr>
        <w:t xml:space="preserve">          - MOV_UE_DIRECTION</w:t>
      </w:r>
    </w:p>
    <w:p w14:paraId="36BFEBA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eastAsia="zh-CN"/>
        </w:rPr>
        <w:t xml:space="preserve">          - IN_OUT_PERCENT</w:t>
      </w:r>
    </w:p>
    <w:p w14:paraId="7BBFD3E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eastAsia="zh-CN"/>
        </w:rPr>
        <w:t xml:space="preserve">          - TIME_TO_COLLISION</w:t>
      </w:r>
    </w:p>
    <w:p w14:paraId="0931699D" w14:textId="77777777" w:rsidR="007862A2" w:rsidRDefault="007862A2" w:rsidP="007862A2">
      <w:pPr>
        <w:pStyle w:val="PL"/>
        <w:rPr>
          <w:lang w:val="en-US"/>
        </w:rPr>
      </w:pPr>
      <w:r>
        <w:rPr>
          <w:lang w:val="en-US"/>
        </w:rPr>
        <w:t xml:space="preserve">      - type: string</w:t>
      </w:r>
    </w:p>
    <w:p w14:paraId="47AD691A" w14:textId="77777777" w:rsidR="007862A2" w:rsidRDefault="007862A2" w:rsidP="007862A2">
      <w:pPr>
        <w:pStyle w:val="PL"/>
        <w:rPr>
          <w:lang w:val="en-US"/>
        </w:rPr>
      </w:pPr>
      <w:r>
        <w:rPr>
          <w:lang w:val="en-US"/>
        </w:rPr>
        <w:t xml:space="preserve">        description: &gt;</w:t>
      </w:r>
    </w:p>
    <w:p w14:paraId="62A5E5B5" w14:textId="77777777" w:rsidR="007862A2" w:rsidRDefault="007862A2" w:rsidP="007862A2">
      <w:pPr>
        <w:pStyle w:val="PL"/>
        <w:rPr>
          <w:lang w:val="en-US"/>
        </w:rPr>
      </w:pPr>
      <w:r>
        <w:rPr>
          <w:lang w:val="en-US"/>
        </w:rPr>
        <w:lastRenderedPageBreak/>
        <w:t xml:space="preserve">          This string provides forward-compatibility with future</w:t>
      </w:r>
    </w:p>
    <w:p w14:paraId="116A33BD" w14:textId="77777777" w:rsidR="007862A2" w:rsidRDefault="007862A2" w:rsidP="007862A2">
      <w:pPr>
        <w:pStyle w:val="PL"/>
        <w:rPr>
          <w:lang w:val="en-US"/>
        </w:rPr>
      </w:pPr>
      <w:r>
        <w:rPr>
          <w:lang w:val="en-US"/>
        </w:rPr>
        <w:t xml:space="preserve">          extensions to the enumeration but is not used to encode</w:t>
      </w:r>
    </w:p>
    <w:p w14:paraId="324F8B1D" w14:textId="77777777" w:rsidR="007862A2" w:rsidRDefault="007862A2" w:rsidP="007862A2">
      <w:pPr>
        <w:pStyle w:val="PL"/>
        <w:rPr>
          <w:lang w:val="en-US"/>
        </w:rPr>
      </w:pPr>
      <w:r>
        <w:rPr>
          <w:lang w:val="en-US"/>
        </w:rPr>
        <w:t xml:space="preserve">          content defined in the present version of this API.</w:t>
      </w:r>
    </w:p>
    <w:p w14:paraId="3098ACE1" w14:textId="77777777" w:rsidR="007862A2" w:rsidRDefault="007862A2" w:rsidP="007862A2">
      <w:pPr>
        <w:pStyle w:val="PL"/>
        <w:rPr>
          <w:lang w:val="en-US"/>
        </w:rPr>
      </w:pPr>
      <w:r>
        <w:rPr>
          <w:lang w:val="en-US"/>
        </w:rPr>
        <w:t xml:space="preserve">      description: |</w:t>
      </w:r>
    </w:p>
    <w:p w14:paraId="6C2D094E" w14:textId="77777777" w:rsidR="007862A2" w:rsidRDefault="007862A2" w:rsidP="007862A2">
      <w:pPr>
        <w:pStyle w:val="PL"/>
        <w:rPr>
          <w:lang w:val="en-US"/>
        </w:rPr>
      </w:pPr>
      <w:r>
        <w:rPr>
          <w:lang w:val="en-US"/>
        </w:rPr>
        <w:t xml:space="preserve">        Represents the </w:t>
      </w:r>
      <w:r>
        <w:rPr>
          <w:lang w:eastAsia="zh-CN"/>
        </w:rPr>
        <w:t xml:space="preserve">analytics subset.  </w:t>
      </w:r>
    </w:p>
    <w:p w14:paraId="16CADFD0" w14:textId="77777777" w:rsidR="007862A2" w:rsidRDefault="007862A2" w:rsidP="007862A2">
      <w:pPr>
        <w:pStyle w:val="PL"/>
        <w:rPr>
          <w:lang w:val="en-US"/>
        </w:rPr>
      </w:pPr>
      <w:r>
        <w:rPr>
          <w:lang w:val="en-US"/>
        </w:rPr>
        <w:t xml:space="preserve">        Possible values are:</w:t>
      </w:r>
    </w:p>
    <w:p w14:paraId="7FF8E661" w14:textId="77777777" w:rsidR="007862A2" w:rsidRDefault="007862A2" w:rsidP="007862A2">
      <w:pPr>
        <w:pStyle w:val="PL"/>
        <w:rPr>
          <w:lang w:val="en-US"/>
        </w:rPr>
      </w:pPr>
      <w:r>
        <w:rPr>
          <w:lang w:val="en-US"/>
        </w:rPr>
        <w:t xml:space="preserve">        - NUM_OF_UE_REG: The number of UE registered. This value is only applicable to</w:t>
      </w:r>
    </w:p>
    <w:p w14:paraId="0AAB23CF" w14:textId="77777777" w:rsidR="007862A2" w:rsidRDefault="007862A2" w:rsidP="007862A2">
      <w:pPr>
        <w:pStyle w:val="PL"/>
        <w:rPr>
          <w:lang w:val="en-US"/>
        </w:rPr>
      </w:pPr>
      <w:r>
        <w:rPr>
          <w:lang w:val="en-US"/>
        </w:rPr>
        <w:t xml:space="preserve">          </w:t>
      </w:r>
      <w:r>
        <w:rPr>
          <w:lang w:eastAsia="zh-CN"/>
        </w:rPr>
        <w:t>NSI_LOAD_LEVEL event</w:t>
      </w:r>
      <w:r>
        <w:rPr>
          <w:lang w:val="en-US"/>
        </w:rPr>
        <w:t>.</w:t>
      </w:r>
    </w:p>
    <w:p w14:paraId="62896662" w14:textId="77777777" w:rsidR="007862A2" w:rsidRDefault="007862A2" w:rsidP="007862A2">
      <w:pPr>
        <w:pStyle w:val="PL"/>
        <w:tabs>
          <w:tab w:val="clear" w:pos="7296"/>
        </w:tabs>
        <w:rPr>
          <w:lang w:val="en-US"/>
        </w:rPr>
      </w:pPr>
      <w:r>
        <w:rPr>
          <w:lang w:val="en-US"/>
        </w:rPr>
        <w:t xml:space="preserve">        - NUM_OF_PDU_SESS_ESTBL: The number of PDU sessions established. This value is only</w:t>
      </w:r>
    </w:p>
    <w:p w14:paraId="4C29A18E" w14:textId="77777777" w:rsidR="007862A2" w:rsidRDefault="007862A2" w:rsidP="007862A2">
      <w:pPr>
        <w:pStyle w:val="PL"/>
        <w:tabs>
          <w:tab w:val="clear" w:pos="7296"/>
        </w:tabs>
        <w:rPr>
          <w:lang w:val="en-US"/>
        </w:rPr>
      </w:pPr>
      <w:r>
        <w:rPr>
          <w:lang w:val="en-US"/>
        </w:rPr>
        <w:t xml:space="preserve">          applicable to </w:t>
      </w:r>
      <w:r>
        <w:rPr>
          <w:lang w:eastAsia="zh-CN"/>
        </w:rPr>
        <w:t>NSI_LOAD_LEVEL event</w:t>
      </w:r>
      <w:r>
        <w:rPr>
          <w:lang w:val="en-US"/>
        </w:rPr>
        <w:t>.</w:t>
      </w:r>
    </w:p>
    <w:p w14:paraId="7427AA43" w14:textId="77777777" w:rsidR="007862A2" w:rsidRDefault="007862A2" w:rsidP="007862A2">
      <w:pPr>
        <w:pStyle w:val="PL"/>
        <w:rPr>
          <w:lang w:val="en-US"/>
        </w:rPr>
      </w:pPr>
      <w:r>
        <w:rPr>
          <w:lang w:val="en-US"/>
        </w:rPr>
        <w:t xml:space="preserve">        - RES_USAGE: The current usage of the virtual resources assigned to the NF instances</w:t>
      </w:r>
    </w:p>
    <w:p w14:paraId="30BBB8D6" w14:textId="77777777" w:rsidR="007862A2" w:rsidRDefault="007862A2" w:rsidP="007862A2">
      <w:pPr>
        <w:pStyle w:val="PL"/>
        <w:rPr>
          <w:lang w:val="en-US"/>
        </w:rPr>
      </w:pPr>
      <w:r>
        <w:rPr>
          <w:lang w:val="en-US"/>
        </w:rPr>
        <w:t xml:space="preserve">          belonging to a particular network slice instance. This value is only applicable to</w:t>
      </w:r>
    </w:p>
    <w:p w14:paraId="2CAEC42F" w14:textId="77777777" w:rsidR="007862A2" w:rsidRDefault="007862A2" w:rsidP="007862A2">
      <w:pPr>
        <w:pStyle w:val="PL"/>
        <w:rPr>
          <w:lang w:val="en-US"/>
        </w:rPr>
      </w:pPr>
      <w:r>
        <w:rPr>
          <w:lang w:val="en-US"/>
        </w:rPr>
        <w:t xml:space="preserve">          </w:t>
      </w:r>
      <w:r>
        <w:rPr>
          <w:lang w:eastAsia="zh-CN"/>
        </w:rPr>
        <w:t>NSI_LOAD_LEVEL event</w:t>
      </w:r>
      <w:r>
        <w:rPr>
          <w:lang w:val="en-US"/>
        </w:rPr>
        <w:t>.</w:t>
      </w:r>
    </w:p>
    <w:p w14:paraId="47A8FBC4" w14:textId="77777777" w:rsidR="007862A2" w:rsidRDefault="007862A2" w:rsidP="007862A2">
      <w:pPr>
        <w:pStyle w:val="PL"/>
        <w:rPr>
          <w:lang w:val="en-US"/>
        </w:rPr>
      </w:pPr>
      <w:r>
        <w:rPr>
          <w:lang w:val="en-US"/>
        </w:rPr>
        <w:t xml:space="preserve">        - NUM_OF_EXCEED_RES_USAGE_LOAD_LEVEL_THR: The number of times the resource usage threshold</w:t>
      </w:r>
    </w:p>
    <w:p w14:paraId="38CF6CFD" w14:textId="77777777" w:rsidR="007862A2" w:rsidRDefault="007862A2" w:rsidP="007862A2">
      <w:pPr>
        <w:pStyle w:val="PL"/>
        <w:rPr>
          <w:lang w:val="en-US"/>
        </w:rPr>
      </w:pPr>
      <w:r>
        <w:rPr>
          <w:lang w:val="en-US"/>
        </w:rPr>
        <w:t xml:space="preserve">          of the network slice instance is reached or exceeded if a threshold value is provided by</w:t>
      </w:r>
    </w:p>
    <w:p w14:paraId="0894F723" w14:textId="77777777" w:rsidR="007862A2" w:rsidRDefault="007862A2" w:rsidP="007862A2">
      <w:pPr>
        <w:pStyle w:val="PL"/>
        <w:rPr>
          <w:lang w:val="en-US"/>
        </w:rPr>
      </w:pPr>
      <w:r>
        <w:rPr>
          <w:lang w:val="en-US"/>
        </w:rPr>
        <w:t xml:space="preserve">          the consumer. This value is only applicable to </w:t>
      </w:r>
      <w:r>
        <w:rPr>
          <w:lang w:eastAsia="zh-CN"/>
        </w:rPr>
        <w:t>NSI_LOAD_LEVEL event</w:t>
      </w:r>
      <w:r>
        <w:rPr>
          <w:lang w:val="en-US"/>
        </w:rPr>
        <w:t>.</w:t>
      </w:r>
    </w:p>
    <w:p w14:paraId="55D9A94B" w14:textId="77777777" w:rsidR="007862A2" w:rsidRDefault="007862A2" w:rsidP="007862A2">
      <w:pPr>
        <w:pStyle w:val="PL"/>
        <w:rPr>
          <w:lang w:val="en-US"/>
        </w:rPr>
      </w:pPr>
      <w:r>
        <w:rPr>
          <w:lang w:val="en-US"/>
        </w:rPr>
        <w:t xml:space="preserve">        - PERIOD_OF_EXCEED_RES_USAGE_LOAD_LEVEL_THR: The time interval between each time the</w:t>
      </w:r>
    </w:p>
    <w:p w14:paraId="1A408933" w14:textId="77777777" w:rsidR="007862A2" w:rsidRDefault="007862A2" w:rsidP="007862A2">
      <w:pPr>
        <w:pStyle w:val="PL"/>
        <w:rPr>
          <w:lang w:val="en-US"/>
        </w:rPr>
      </w:pPr>
      <w:r>
        <w:rPr>
          <w:lang w:val="en-US"/>
        </w:rPr>
        <w:t xml:space="preserve">          threshold being met or exceeded on the network slice (instance). This value is only</w:t>
      </w:r>
    </w:p>
    <w:p w14:paraId="38DC3308" w14:textId="77777777" w:rsidR="007862A2" w:rsidRDefault="007862A2" w:rsidP="007862A2">
      <w:pPr>
        <w:pStyle w:val="PL"/>
        <w:rPr>
          <w:lang w:val="en-US"/>
        </w:rPr>
      </w:pPr>
      <w:r>
        <w:rPr>
          <w:lang w:val="en-US"/>
        </w:rPr>
        <w:t xml:space="preserve">          applicable to </w:t>
      </w:r>
      <w:r>
        <w:rPr>
          <w:lang w:eastAsia="zh-CN"/>
        </w:rPr>
        <w:t>NSI_LOAD_LEVEL event</w:t>
      </w:r>
      <w:r>
        <w:rPr>
          <w:lang w:val="en-US"/>
        </w:rPr>
        <w:t>.</w:t>
      </w:r>
    </w:p>
    <w:p w14:paraId="729E9B03" w14:textId="77777777" w:rsidR="007862A2" w:rsidRDefault="007862A2" w:rsidP="007862A2">
      <w:pPr>
        <w:pStyle w:val="PL"/>
        <w:rPr>
          <w:lang w:val="en-US"/>
        </w:rPr>
      </w:pPr>
      <w:r>
        <w:rPr>
          <w:lang w:val="en-US"/>
        </w:rPr>
        <w:t xml:space="preserve">        - EXCEED_LOAD_LEVEL_THR_IND: Whether the Load Level Threshold is met or exceeded by the</w:t>
      </w:r>
    </w:p>
    <w:p w14:paraId="49ADAB84" w14:textId="77777777" w:rsidR="007862A2" w:rsidRDefault="007862A2" w:rsidP="007862A2">
      <w:pPr>
        <w:pStyle w:val="PL"/>
        <w:rPr>
          <w:lang w:val="en-US"/>
        </w:rPr>
      </w:pPr>
      <w:r>
        <w:rPr>
          <w:lang w:val="en-US"/>
        </w:rPr>
        <w:t xml:space="preserve">          statistics value. This value is only applicable to </w:t>
      </w:r>
      <w:r>
        <w:rPr>
          <w:lang w:eastAsia="zh-CN"/>
        </w:rPr>
        <w:t>NSI_LOAD_LEVEL event</w:t>
      </w:r>
      <w:r>
        <w:rPr>
          <w:lang w:val="en-US"/>
        </w:rPr>
        <w:t>.</w:t>
      </w:r>
    </w:p>
    <w:p w14:paraId="2699B04F" w14:textId="77777777" w:rsidR="007862A2" w:rsidRDefault="007862A2" w:rsidP="007862A2">
      <w:pPr>
        <w:pStyle w:val="PL"/>
        <w:tabs>
          <w:tab w:val="clear" w:pos="1920"/>
        </w:tabs>
        <w:rPr>
          <w:lang w:val="en-US"/>
        </w:rPr>
      </w:pPr>
      <w:r>
        <w:rPr>
          <w:lang w:val="en-US"/>
        </w:rPr>
        <w:t xml:space="preserve">        - LIST_OF_TOP_APP_UL: The list of applications that contribute the most to the traffic in</w:t>
      </w:r>
    </w:p>
    <w:p w14:paraId="710D99DE" w14:textId="77777777" w:rsidR="007862A2" w:rsidRDefault="007862A2" w:rsidP="007862A2">
      <w:pPr>
        <w:pStyle w:val="PL"/>
        <w:tabs>
          <w:tab w:val="clear" w:pos="1920"/>
        </w:tabs>
        <w:rPr>
          <w:lang w:val="en-US"/>
        </w:rPr>
      </w:pPr>
      <w:r>
        <w:rPr>
          <w:lang w:val="en-US"/>
        </w:rPr>
        <w:t xml:space="preserve">          the UL direction. This value is only applicable to </w:t>
      </w:r>
      <w:r>
        <w:t>USER_DATA_CONGESTION event</w:t>
      </w:r>
      <w:r>
        <w:rPr>
          <w:lang w:val="en-US"/>
        </w:rPr>
        <w:t>.</w:t>
      </w:r>
    </w:p>
    <w:p w14:paraId="31D4CB51" w14:textId="77777777" w:rsidR="007862A2" w:rsidRDefault="007862A2" w:rsidP="007862A2">
      <w:pPr>
        <w:pStyle w:val="PL"/>
        <w:tabs>
          <w:tab w:val="clear" w:pos="1920"/>
        </w:tabs>
        <w:rPr>
          <w:lang w:val="en-US"/>
        </w:rPr>
      </w:pPr>
      <w:r>
        <w:rPr>
          <w:lang w:val="en-US"/>
        </w:rPr>
        <w:t xml:space="preserve">        - LIST_OF_TOP_APP_DL: The list of applications that contribute the most to the traffic in</w:t>
      </w:r>
    </w:p>
    <w:p w14:paraId="4B88AB08" w14:textId="77777777" w:rsidR="007862A2" w:rsidRDefault="007862A2" w:rsidP="007862A2">
      <w:pPr>
        <w:pStyle w:val="PL"/>
        <w:tabs>
          <w:tab w:val="clear" w:pos="1920"/>
        </w:tabs>
        <w:rPr>
          <w:lang w:val="en-US"/>
        </w:rPr>
      </w:pPr>
      <w:r>
        <w:rPr>
          <w:lang w:val="en-US"/>
        </w:rPr>
        <w:t xml:space="preserve">          the DL direction. This value is only applicable to </w:t>
      </w:r>
      <w:r>
        <w:t>USER_DATA_CONGESTION event</w:t>
      </w:r>
      <w:r>
        <w:rPr>
          <w:lang w:val="en-US"/>
        </w:rPr>
        <w:t>.</w:t>
      </w:r>
    </w:p>
    <w:p w14:paraId="55162C1E" w14:textId="77777777" w:rsidR="007862A2" w:rsidRDefault="007862A2" w:rsidP="007862A2">
      <w:pPr>
        <w:pStyle w:val="PL"/>
        <w:rPr>
          <w:lang w:val="en-US"/>
        </w:rPr>
      </w:pPr>
      <w:r>
        <w:rPr>
          <w:lang w:val="en-US"/>
        </w:rPr>
        <w:t xml:space="preserve">        - NF_STATUS: The availability status of the NF on the Analytics target period, expressed</w:t>
      </w:r>
    </w:p>
    <w:p w14:paraId="4EA76F69" w14:textId="77777777" w:rsidR="007862A2" w:rsidRDefault="007862A2" w:rsidP="007862A2">
      <w:pPr>
        <w:pStyle w:val="PL"/>
        <w:rPr>
          <w:lang w:val="en-US"/>
        </w:rPr>
      </w:pPr>
      <w:r>
        <w:rPr>
          <w:lang w:val="en-US"/>
        </w:rPr>
        <w:t xml:space="preserve">          as a percentage of time per status value (registered, suspended, undiscoverable). This</w:t>
      </w:r>
    </w:p>
    <w:p w14:paraId="0869FA4C" w14:textId="77777777" w:rsidR="007862A2" w:rsidRDefault="007862A2" w:rsidP="007862A2">
      <w:pPr>
        <w:pStyle w:val="PL"/>
        <w:rPr>
          <w:lang w:val="en-US"/>
        </w:rPr>
      </w:pPr>
      <w:r>
        <w:rPr>
          <w:lang w:val="en-US"/>
        </w:rPr>
        <w:t xml:space="preserve">          value is only applicable to NF_LOAD event.</w:t>
      </w:r>
    </w:p>
    <w:p w14:paraId="64B3DF58" w14:textId="77777777" w:rsidR="007862A2" w:rsidRDefault="007862A2" w:rsidP="007862A2">
      <w:pPr>
        <w:pStyle w:val="PL"/>
        <w:rPr>
          <w:lang w:val="en-US"/>
        </w:rPr>
      </w:pPr>
      <w:r>
        <w:rPr>
          <w:lang w:val="en-US"/>
        </w:rPr>
        <w:t xml:space="preserve">        - NF_RESOURCE_USAGE: The average usage of assigned resources (CPU, memory, storage). This</w:t>
      </w:r>
    </w:p>
    <w:p w14:paraId="638C1379" w14:textId="77777777" w:rsidR="007862A2" w:rsidRDefault="007862A2" w:rsidP="007862A2">
      <w:pPr>
        <w:pStyle w:val="PL"/>
        <w:rPr>
          <w:lang w:val="en-US"/>
        </w:rPr>
      </w:pPr>
      <w:r>
        <w:rPr>
          <w:lang w:val="en-US"/>
        </w:rPr>
        <w:t xml:space="preserve">          value is only applicable to NF_LOAD event.</w:t>
      </w:r>
    </w:p>
    <w:p w14:paraId="0FD4075D" w14:textId="77777777" w:rsidR="007862A2" w:rsidRDefault="007862A2" w:rsidP="007862A2">
      <w:pPr>
        <w:pStyle w:val="PL"/>
        <w:rPr>
          <w:lang w:val="en-US"/>
        </w:rPr>
      </w:pPr>
      <w:r>
        <w:rPr>
          <w:lang w:val="en-US"/>
        </w:rPr>
        <w:t xml:space="preserve">        - NF_LOAD: The average load of the NF instance over the Analytics target period. This value</w:t>
      </w:r>
    </w:p>
    <w:p w14:paraId="542B3EAB" w14:textId="77777777" w:rsidR="007862A2" w:rsidRDefault="007862A2" w:rsidP="007862A2">
      <w:pPr>
        <w:pStyle w:val="PL"/>
        <w:rPr>
          <w:lang w:val="en-US"/>
        </w:rPr>
      </w:pPr>
      <w:r>
        <w:rPr>
          <w:lang w:val="en-US"/>
        </w:rPr>
        <w:t xml:space="preserve">          is only applicable to NF_LOAD event.</w:t>
      </w:r>
    </w:p>
    <w:p w14:paraId="1A1015B1" w14:textId="77777777" w:rsidR="007862A2" w:rsidRDefault="007862A2" w:rsidP="007862A2">
      <w:pPr>
        <w:pStyle w:val="PL"/>
        <w:tabs>
          <w:tab w:val="clear" w:pos="1920"/>
        </w:tabs>
        <w:rPr>
          <w:lang w:val="en-US"/>
        </w:rPr>
      </w:pPr>
      <w:r>
        <w:rPr>
          <w:lang w:val="en-US"/>
        </w:rPr>
        <w:t xml:space="preserve">        - NF_PEAK_LOAD: The maximum load of the NF instance over the Analytics target period. This</w:t>
      </w:r>
    </w:p>
    <w:p w14:paraId="761CEC88" w14:textId="77777777" w:rsidR="007862A2" w:rsidRDefault="007862A2" w:rsidP="007862A2">
      <w:pPr>
        <w:pStyle w:val="PL"/>
        <w:tabs>
          <w:tab w:val="clear" w:pos="1920"/>
        </w:tabs>
        <w:rPr>
          <w:lang w:val="en-US"/>
        </w:rPr>
      </w:pPr>
      <w:r>
        <w:rPr>
          <w:lang w:val="en-US"/>
        </w:rPr>
        <w:t xml:space="preserve">          value is only applicable to NF_LOAD event.</w:t>
      </w:r>
    </w:p>
    <w:p w14:paraId="4EAB1750" w14:textId="77777777" w:rsidR="007862A2" w:rsidRDefault="007862A2" w:rsidP="007862A2">
      <w:pPr>
        <w:pStyle w:val="PL"/>
        <w:rPr>
          <w:lang w:val="en-US"/>
        </w:rPr>
      </w:pPr>
      <w:r>
        <w:rPr>
          <w:lang w:val="en-US"/>
        </w:rPr>
        <w:t xml:space="preserve">        - NF_LOAD_AVG_IN_AOI: The average load of the NF instances over the area of interest. This</w:t>
      </w:r>
    </w:p>
    <w:p w14:paraId="14AA4649" w14:textId="77777777" w:rsidR="007862A2" w:rsidRDefault="007862A2" w:rsidP="007862A2">
      <w:pPr>
        <w:pStyle w:val="PL"/>
        <w:rPr>
          <w:lang w:val="en-US"/>
        </w:rPr>
      </w:pPr>
      <w:r>
        <w:rPr>
          <w:lang w:val="en-US"/>
        </w:rPr>
        <w:t xml:space="preserve">          value is only applicable to NF_LOAD event.</w:t>
      </w:r>
    </w:p>
    <w:p w14:paraId="63571969" w14:textId="77777777" w:rsidR="007862A2" w:rsidRDefault="007862A2" w:rsidP="007862A2">
      <w:pPr>
        <w:pStyle w:val="PL"/>
        <w:rPr>
          <w:lang w:val="en-US"/>
        </w:rPr>
      </w:pPr>
      <w:r>
        <w:rPr>
          <w:lang w:val="en-US"/>
        </w:rPr>
        <w:t xml:space="preserve">        - DISPER_AMOUNT: Indicates the dispersion amount of the reported data volume or transaction</w:t>
      </w:r>
    </w:p>
    <w:p w14:paraId="1F76C882" w14:textId="77777777" w:rsidR="007862A2" w:rsidRDefault="007862A2" w:rsidP="007862A2">
      <w:pPr>
        <w:pStyle w:val="PL"/>
        <w:rPr>
          <w:lang w:val="en-US"/>
        </w:rPr>
      </w:pPr>
      <w:r>
        <w:rPr>
          <w:lang w:val="en-US"/>
        </w:rPr>
        <w:t xml:space="preserve">          dispersion type. This value is only applicable to DISPERSION event.</w:t>
      </w:r>
    </w:p>
    <w:p w14:paraId="2AF6E444" w14:textId="77777777" w:rsidR="007862A2" w:rsidRDefault="007862A2" w:rsidP="007862A2">
      <w:pPr>
        <w:pStyle w:val="PL"/>
        <w:rPr>
          <w:lang w:val="en-US"/>
        </w:rPr>
      </w:pPr>
      <w:r>
        <w:rPr>
          <w:lang w:val="en-US"/>
        </w:rPr>
        <w:t xml:space="preserve">        - DISPER_CLASS: Indicates the dispersion mobility class: fixed, camper, traveller upon set</w:t>
      </w:r>
    </w:p>
    <w:p w14:paraId="5C9FD1A7" w14:textId="77777777" w:rsidR="007862A2" w:rsidRDefault="007862A2" w:rsidP="007862A2">
      <w:pPr>
        <w:pStyle w:val="PL"/>
        <w:rPr>
          <w:lang w:val="en-US"/>
        </w:rPr>
      </w:pPr>
      <w:r>
        <w:rPr>
          <w:lang w:val="en-US"/>
        </w:rPr>
        <w:t xml:space="preserve">          its usage threshold, and/or the top-heavy class upon set its percentile rating threshold.</w:t>
      </w:r>
    </w:p>
    <w:p w14:paraId="7A3AE269" w14:textId="77777777" w:rsidR="007862A2" w:rsidRDefault="007862A2" w:rsidP="007862A2">
      <w:pPr>
        <w:pStyle w:val="PL"/>
        <w:rPr>
          <w:lang w:val="en-US"/>
        </w:rPr>
      </w:pPr>
      <w:r>
        <w:rPr>
          <w:lang w:val="en-US"/>
        </w:rPr>
        <w:t xml:space="preserve">          This value is only applicable to DISPERSION event.</w:t>
      </w:r>
    </w:p>
    <w:p w14:paraId="400CC1D1" w14:textId="77777777" w:rsidR="007862A2" w:rsidRDefault="007862A2" w:rsidP="007862A2">
      <w:pPr>
        <w:pStyle w:val="PL"/>
        <w:rPr>
          <w:lang w:val="en-US"/>
        </w:rPr>
      </w:pPr>
      <w:r>
        <w:rPr>
          <w:lang w:val="en-US"/>
        </w:rPr>
        <w:t xml:space="preserve">        - RANKING: Data/transaction usage ranking high (i.e.value 1), medium (2) or low (3). This</w:t>
      </w:r>
    </w:p>
    <w:p w14:paraId="44744984" w14:textId="77777777" w:rsidR="007862A2" w:rsidRDefault="007862A2" w:rsidP="007862A2">
      <w:pPr>
        <w:pStyle w:val="PL"/>
        <w:rPr>
          <w:lang w:val="en-US"/>
        </w:rPr>
      </w:pPr>
      <w:r>
        <w:rPr>
          <w:lang w:val="en-US"/>
        </w:rPr>
        <w:t xml:space="preserve">          value is only applicable to DISPERSION event.</w:t>
      </w:r>
    </w:p>
    <w:p w14:paraId="3C351795" w14:textId="77777777" w:rsidR="007862A2" w:rsidRDefault="007862A2" w:rsidP="007862A2">
      <w:pPr>
        <w:pStyle w:val="PL"/>
        <w:rPr>
          <w:lang w:val="en-US"/>
        </w:rPr>
      </w:pPr>
      <w:r>
        <w:rPr>
          <w:lang w:val="en-US"/>
        </w:rPr>
        <w:t xml:space="preserve">        - PERCENTILE_RANKING: Percentile ranking of the target UE in the Cumulative Distribution</w:t>
      </w:r>
    </w:p>
    <w:p w14:paraId="5BD685AB" w14:textId="77777777" w:rsidR="007862A2" w:rsidRDefault="007862A2" w:rsidP="007862A2">
      <w:pPr>
        <w:pStyle w:val="PL"/>
        <w:rPr>
          <w:lang w:val="en-US"/>
        </w:rPr>
      </w:pPr>
      <w:r>
        <w:rPr>
          <w:lang w:val="en-US"/>
        </w:rPr>
        <w:t xml:space="preserve">          Function of data usage for the population of all UEs. This value is only applicable to</w:t>
      </w:r>
    </w:p>
    <w:p w14:paraId="4FD2E975" w14:textId="77777777" w:rsidR="007862A2" w:rsidRDefault="007862A2" w:rsidP="007862A2">
      <w:pPr>
        <w:pStyle w:val="PL"/>
        <w:rPr>
          <w:lang w:val="en-US"/>
        </w:rPr>
      </w:pPr>
      <w:r>
        <w:rPr>
          <w:lang w:val="en-US"/>
        </w:rPr>
        <w:t xml:space="preserve">          DISPERSION event.</w:t>
      </w:r>
    </w:p>
    <w:p w14:paraId="6952FC67" w14:textId="77777777" w:rsidR="007862A2" w:rsidRDefault="007862A2" w:rsidP="007862A2">
      <w:pPr>
        <w:pStyle w:val="PL"/>
        <w:rPr>
          <w:lang w:val="en-US"/>
        </w:rPr>
      </w:pPr>
      <w:r>
        <w:rPr>
          <w:lang w:val="en-US"/>
        </w:rPr>
        <w:t xml:space="preserve">        - RSSI: Indicated the RSSI in the unit of dBm. This value is only applicable to</w:t>
      </w:r>
    </w:p>
    <w:p w14:paraId="2FA9DF86" w14:textId="77777777" w:rsidR="007862A2" w:rsidRDefault="007862A2" w:rsidP="007862A2">
      <w:pPr>
        <w:pStyle w:val="PL"/>
        <w:rPr>
          <w:lang w:val="en-US"/>
        </w:rPr>
      </w:pPr>
      <w:r>
        <w:rPr>
          <w:lang w:val="en-US"/>
        </w:rPr>
        <w:t xml:space="preserve">          WLAN_PERFORMANCE event.</w:t>
      </w:r>
    </w:p>
    <w:p w14:paraId="22F0E4EF" w14:textId="77777777" w:rsidR="007862A2" w:rsidRDefault="007862A2" w:rsidP="007862A2">
      <w:pPr>
        <w:pStyle w:val="PL"/>
        <w:rPr>
          <w:lang w:val="en-US"/>
        </w:rPr>
      </w:pPr>
      <w:r>
        <w:rPr>
          <w:lang w:val="en-US"/>
        </w:rPr>
        <w:t xml:space="preserve">        - RTT: Indicates the RTT in the unit of millisecond. This value is only applicable to</w:t>
      </w:r>
    </w:p>
    <w:p w14:paraId="0E8B62B8" w14:textId="77777777" w:rsidR="007862A2" w:rsidRDefault="007862A2" w:rsidP="007862A2">
      <w:pPr>
        <w:pStyle w:val="PL"/>
        <w:rPr>
          <w:lang w:val="en-US"/>
        </w:rPr>
      </w:pPr>
      <w:r>
        <w:rPr>
          <w:lang w:val="en-US"/>
        </w:rPr>
        <w:t xml:space="preserve">          WLAN_PERFORMANCE event.</w:t>
      </w:r>
    </w:p>
    <w:p w14:paraId="1456E1AC" w14:textId="77777777" w:rsidR="007862A2" w:rsidRDefault="007862A2" w:rsidP="007862A2">
      <w:pPr>
        <w:pStyle w:val="PL"/>
        <w:rPr>
          <w:lang w:val="en-US"/>
        </w:rPr>
      </w:pPr>
      <w:r>
        <w:rPr>
          <w:lang w:val="en-US"/>
        </w:rPr>
        <w:t xml:space="preserve">        - TRAFFIC_INFO: Traffic information including UL/DL data rate and/or Traffic volume. This</w:t>
      </w:r>
    </w:p>
    <w:p w14:paraId="641C3922" w14:textId="77777777" w:rsidR="007862A2" w:rsidRDefault="007862A2" w:rsidP="007862A2">
      <w:pPr>
        <w:pStyle w:val="PL"/>
        <w:rPr>
          <w:lang w:val="en-US"/>
        </w:rPr>
      </w:pPr>
      <w:r>
        <w:rPr>
          <w:lang w:val="en-US"/>
        </w:rPr>
        <w:t xml:space="preserve">          value is only applicable to WLAN_PERFORMANCE event.</w:t>
      </w:r>
    </w:p>
    <w:p w14:paraId="29C8A94A" w14:textId="77777777" w:rsidR="007862A2" w:rsidRDefault="007862A2" w:rsidP="007862A2">
      <w:pPr>
        <w:pStyle w:val="PL"/>
        <w:rPr>
          <w:lang w:val="en-US"/>
        </w:rPr>
      </w:pPr>
      <w:r>
        <w:rPr>
          <w:lang w:val="en-US"/>
        </w:rPr>
        <w:t xml:space="preserve">        - NUMBER_OF_UES: Number of UEs observed for the SSID. This value is only applicable to</w:t>
      </w:r>
    </w:p>
    <w:p w14:paraId="121350DB" w14:textId="77777777" w:rsidR="007862A2" w:rsidRDefault="007862A2" w:rsidP="007862A2">
      <w:pPr>
        <w:pStyle w:val="PL"/>
        <w:rPr>
          <w:lang w:val="en-US"/>
        </w:rPr>
      </w:pPr>
      <w:r>
        <w:rPr>
          <w:lang w:val="en-US"/>
        </w:rPr>
        <w:t xml:space="preserve">          WLAN_PERFORMANCE event.</w:t>
      </w:r>
    </w:p>
    <w:p w14:paraId="0A11944A" w14:textId="77777777" w:rsidR="007862A2" w:rsidRDefault="007862A2" w:rsidP="007862A2">
      <w:pPr>
        <w:pStyle w:val="PL"/>
        <w:tabs>
          <w:tab w:val="clear" w:pos="1920"/>
        </w:tabs>
        <w:rPr>
          <w:lang w:val="en-US"/>
        </w:rPr>
      </w:pPr>
      <w:r>
        <w:rPr>
          <w:lang w:val="en-US"/>
        </w:rPr>
        <w:t xml:space="preserve">        - APP_LIST_FOR_UE_COMM: The analytics of the application list used by UE. This value is only</w:t>
      </w:r>
    </w:p>
    <w:p w14:paraId="5F728D3C" w14:textId="77777777" w:rsidR="007862A2" w:rsidRDefault="007862A2" w:rsidP="007862A2">
      <w:pPr>
        <w:pStyle w:val="PL"/>
        <w:tabs>
          <w:tab w:val="clear" w:pos="1920"/>
        </w:tabs>
        <w:rPr>
          <w:lang w:val="en-US"/>
        </w:rPr>
      </w:pPr>
      <w:r>
        <w:rPr>
          <w:lang w:val="en-US"/>
        </w:rPr>
        <w:t xml:space="preserve">          applicable to </w:t>
      </w:r>
      <w:r w:rsidR="00AD5F95">
        <w:t>UE_COMMUNICATION</w:t>
      </w:r>
      <w:r>
        <w:rPr>
          <w:lang w:val="en-US"/>
        </w:rPr>
        <w:t xml:space="preserve"> event.</w:t>
      </w:r>
    </w:p>
    <w:p w14:paraId="48A11309" w14:textId="77777777" w:rsidR="007862A2" w:rsidRDefault="007862A2" w:rsidP="007862A2">
      <w:pPr>
        <w:pStyle w:val="PL"/>
        <w:tabs>
          <w:tab w:val="clear" w:pos="1920"/>
        </w:tabs>
        <w:rPr>
          <w:lang w:eastAsia="zh-CN"/>
        </w:rPr>
      </w:pPr>
      <w:r>
        <w:rPr>
          <w:lang w:val="en-US"/>
        </w:rPr>
        <w:t xml:space="preserve">        - </w:t>
      </w:r>
      <w:r>
        <w:rPr>
          <w:lang w:eastAsia="zh-CN"/>
        </w:rPr>
        <w:t>N4_SESS_INACT_TIMER_FOR_UE_COMM</w:t>
      </w:r>
      <w:r>
        <w:rPr>
          <w:lang w:val="en-US"/>
        </w:rPr>
        <w:t xml:space="preserve">: </w:t>
      </w:r>
      <w:r>
        <w:rPr>
          <w:lang w:eastAsia="zh-CN"/>
        </w:rPr>
        <w:t>The N4 Session inactivity timer. This value is only</w:t>
      </w:r>
    </w:p>
    <w:p w14:paraId="66640ABF" w14:textId="77777777" w:rsidR="007862A2" w:rsidRDefault="007862A2" w:rsidP="007862A2">
      <w:pPr>
        <w:pStyle w:val="PL"/>
        <w:tabs>
          <w:tab w:val="clear" w:pos="1920"/>
        </w:tabs>
        <w:rPr>
          <w:lang w:eastAsia="zh-CN"/>
        </w:rPr>
      </w:pPr>
      <w:r>
        <w:rPr>
          <w:lang w:eastAsia="zh-CN"/>
        </w:rPr>
        <w:t xml:space="preserve">          applicable to </w:t>
      </w:r>
      <w:r w:rsidR="00AD5F95">
        <w:t>UE_COMMUNICATION</w:t>
      </w:r>
      <w:r>
        <w:t xml:space="preserve"> event</w:t>
      </w:r>
      <w:r>
        <w:rPr>
          <w:lang w:eastAsia="zh-CN"/>
        </w:rPr>
        <w:t>.</w:t>
      </w:r>
    </w:p>
    <w:p w14:paraId="26FD305B" w14:textId="77777777" w:rsidR="007862A2" w:rsidRDefault="007862A2" w:rsidP="007862A2">
      <w:pPr>
        <w:pStyle w:val="PL"/>
        <w:tabs>
          <w:tab w:val="clear" w:pos="1920"/>
        </w:tabs>
        <w:rPr>
          <w:lang w:val="en-US"/>
        </w:rPr>
      </w:pPr>
      <w:r>
        <w:rPr>
          <w:lang w:val="en-US"/>
        </w:rPr>
        <w:t xml:space="preserve">        - AVG_TRAFFIC_RATE: Indicates average traffic rate. This value is only applicable to</w:t>
      </w:r>
    </w:p>
    <w:p w14:paraId="5A34ED45" w14:textId="77777777" w:rsidR="007862A2" w:rsidRDefault="007862A2" w:rsidP="007862A2">
      <w:pPr>
        <w:pStyle w:val="PL"/>
        <w:tabs>
          <w:tab w:val="clear" w:pos="1920"/>
        </w:tabs>
        <w:rPr>
          <w:lang w:val="en-US"/>
        </w:rPr>
      </w:pPr>
      <w:r>
        <w:rPr>
          <w:lang w:val="en-US"/>
        </w:rPr>
        <w:t xml:space="preserve">          DN_PERFORMANCE event.</w:t>
      </w:r>
    </w:p>
    <w:p w14:paraId="3B7F6495" w14:textId="77777777" w:rsidR="007862A2" w:rsidRDefault="007862A2" w:rsidP="007862A2">
      <w:pPr>
        <w:pStyle w:val="PL"/>
        <w:tabs>
          <w:tab w:val="clear" w:pos="1920"/>
        </w:tabs>
        <w:rPr>
          <w:lang w:val="en-US"/>
        </w:rPr>
      </w:pPr>
      <w:r>
        <w:rPr>
          <w:lang w:val="en-US"/>
        </w:rPr>
        <w:t xml:space="preserve">        - MAX_TRAFFIC_RATE: Indicates maximum traffic rate. This value is only applicable to</w:t>
      </w:r>
    </w:p>
    <w:p w14:paraId="21426CEA" w14:textId="77777777" w:rsidR="007862A2" w:rsidRDefault="007862A2" w:rsidP="007862A2">
      <w:pPr>
        <w:pStyle w:val="PL"/>
        <w:tabs>
          <w:tab w:val="clear" w:pos="1920"/>
        </w:tabs>
        <w:rPr>
          <w:lang w:val="en-US"/>
        </w:rPr>
      </w:pPr>
      <w:r>
        <w:rPr>
          <w:lang w:val="en-US"/>
        </w:rPr>
        <w:t xml:space="preserve">          DN_PERFORMANCE event.</w:t>
      </w:r>
    </w:p>
    <w:p w14:paraId="0C591D1C" w14:textId="77777777" w:rsidR="007862A2" w:rsidRDefault="007862A2" w:rsidP="007862A2">
      <w:pPr>
        <w:pStyle w:val="PL"/>
        <w:tabs>
          <w:tab w:val="clear" w:pos="1920"/>
        </w:tabs>
        <w:rPr>
          <w:lang w:val="en-US"/>
        </w:rPr>
      </w:pPr>
      <w:r>
        <w:rPr>
          <w:lang w:val="en-US"/>
        </w:rPr>
        <w:t xml:space="preserve">        - AGG_TRAFFIC_RATE: Indicates aggregated traffic rate. This value is only applicable to</w:t>
      </w:r>
    </w:p>
    <w:p w14:paraId="51BE7551" w14:textId="77777777" w:rsidR="007862A2" w:rsidRDefault="007862A2" w:rsidP="007862A2">
      <w:pPr>
        <w:pStyle w:val="PL"/>
        <w:tabs>
          <w:tab w:val="clear" w:pos="1920"/>
        </w:tabs>
        <w:rPr>
          <w:lang w:val="en-US"/>
        </w:rPr>
      </w:pPr>
      <w:r>
        <w:rPr>
          <w:lang w:val="en-US"/>
        </w:rPr>
        <w:t xml:space="preserve">          DN_PERFORMANCE event.</w:t>
      </w:r>
    </w:p>
    <w:p w14:paraId="12A77C78" w14:textId="77777777" w:rsidR="007862A2" w:rsidRDefault="007862A2" w:rsidP="007862A2">
      <w:pPr>
        <w:pStyle w:val="PL"/>
        <w:tabs>
          <w:tab w:val="clear" w:pos="1920"/>
        </w:tabs>
        <w:rPr>
          <w:lang w:val="en-US"/>
        </w:rPr>
      </w:pPr>
      <w:r>
        <w:rPr>
          <w:lang w:val="en-US"/>
        </w:rPr>
        <w:t xml:space="preserve">        - VAR_TRAFFIC_RATE: Indicates variance traffic rate. This value is only applicable to</w:t>
      </w:r>
    </w:p>
    <w:p w14:paraId="3E5ECB7B" w14:textId="77777777" w:rsidR="007862A2" w:rsidRDefault="007862A2" w:rsidP="007862A2">
      <w:pPr>
        <w:pStyle w:val="PL"/>
        <w:tabs>
          <w:tab w:val="clear" w:pos="1920"/>
        </w:tabs>
        <w:rPr>
          <w:lang w:val="en-US"/>
        </w:rPr>
      </w:pPr>
      <w:r>
        <w:rPr>
          <w:lang w:val="en-US"/>
        </w:rPr>
        <w:t xml:space="preserve">          DN_PERFORMANCE event.</w:t>
      </w:r>
    </w:p>
    <w:p w14:paraId="55B0F6E3" w14:textId="77777777" w:rsidR="007862A2" w:rsidRDefault="007862A2" w:rsidP="007862A2">
      <w:pPr>
        <w:pStyle w:val="PL"/>
        <w:tabs>
          <w:tab w:val="clear" w:pos="1920"/>
        </w:tabs>
        <w:rPr>
          <w:lang w:val="en-US"/>
        </w:rPr>
      </w:pPr>
      <w:r>
        <w:rPr>
          <w:lang w:val="en-US"/>
        </w:rPr>
        <w:t xml:space="preserve">        - AVG_PACKET_DELAY: Indicates average Packet Delay. This value is only applicable to</w:t>
      </w:r>
    </w:p>
    <w:p w14:paraId="00FC4E11" w14:textId="77777777" w:rsidR="007862A2" w:rsidRDefault="007862A2" w:rsidP="007862A2">
      <w:pPr>
        <w:pStyle w:val="PL"/>
        <w:tabs>
          <w:tab w:val="clear" w:pos="1920"/>
        </w:tabs>
        <w:rPr>
          <w:lang w:val="en-US"/>
        </w:rPr>
      </w:pPr>
      <w:r>
        <w:rPr>
          <w:lang w:val="en-US"/>
        </w:rPr>
        <w:t xml:space="preserve">          DN_PERFORMANCE event.</w:t>
      </w:r>
    </w:p>
    <w:p w14:paraId="6A4B8F5B" w14:textId="77777777" w:rsidR="007862A2" w:rsidRDefault="007862A2" w:rsidP="007862A2">
      <w:pPr>
        <w:pStyle w:val="PL"/>
        <w:tabs>
          <w:tab w:val="clear" w:pos="1920"/>
        </w:tabs>
        <w:rPr>
          <w:lang w:val="en-US"/>
        </w:rPr>
      </w:pPr>
      <w:r>
        <w:rPr>
          <w:lang w:val="en-US"/>
        </w:rPr>
        <w:t xml:space="preserve">        - MAX_PACKET_DELAY: Indicates maximum Packet Delay. This value is only applicable to</w:t>
      </w:r>
    </w:p>
    <w:p w14:paraId="6FC78434" w14:textId="77777777" w:rsidR="007862A2" w:rsidRDefault="007862A2" w:rsidP="007862A2">
      <w:pPr>
        <w:pStyle w:val="PL"/>
        <w:tabs>
          <w:tab w:val="clear" w:pos="1920"/>
        </w:tabs>
        <w:rPr>
          <w:lang w:val="en-US"/>
        </w:rPr>
      </w:pPr>
      <w:r>
        <w:rPr>
          <w:lang w:val="en-US"/>
        </w:rPr>
        <w:t xml:space="preserve">          DN_PERFORMANCE event.</w:t>
      </w:r>
    </w:p>
    <w:p w14:paraId="5427A4A4" w14:textId="77777777" w:rsidR="007862A2" w:rsidRDefault="007862A2" w:rsidP="007862A2">
      <w:pPr>
        <w:pStyle w:val="PL"/>
        <w:rPr>
          <w:lang w:val="en-US"/>
        </w:rPr>
      </w:pPr>
      <w:r>
        <w:rPr>
          <w:lang w:val="en-US"/>
        </w:rPr>
        <w:t xml:space="preserve">        - VAR_PACKET_DELAY: Indicates variance Packet Delay. This value is only applicable to</w:t>
      </w:r>
    </w:p>
    <w:p w14:paraId="0FE41B32" w14:textId="77777777" w:rsidR="007862A2" w:rsidRDefault="007862A2" w:rsidP="007862A2">
      <w:pPr>
        <w:pStyle w:val="PL"/>
        <w:rPr>
          <w:lang w:val="en-US"/>
        </w:rPr>
      </w:pPr>
      <w:r>
        <w:rPr>
          <w:lang w:val="en-US"/>
        </w:rPr>
        <w:t xml:space="preserve">          DN_PERFORMANCE event.</w:t>
      </w:r>
    </w:p>
    <w:p w14:paraId="3CF40B0E" w14:textId="77777777" w:rsidR="007862A2" w:rsidRDefault="007862A2" w:rsidP="007862A2">
      <w:pPr>
        <w:pStyle w:val="PL"/>
        <w:tabs>
          <w:tab w:val="clear" w:pos="1920"/>
        </w:tabs>
        <w:rPr>
          <w:lang w:val="en-US"/>
        </w:rPr>
      </w:pPr>
      <w:r>
        <w:rPr>
          <w:lang w:val="en-US"/>
        </w:rPr>
        <w:t xml:space="preserve">        - AVG_PACKET_LOSS_RATE: Indicates average Loss Rate. This value is only applicable to</w:t>
      </w:r>
    </w:p>
    <w:p w14:paraId="7958F345" w14:textId="77777777" w:rsidR="007862A2" w:rsidRDefault="007862A2" w:rsidP="007862A2">
      <w:pPr>
        <w:pStyle w:val="PL"/>
        <w:tabs>
          <w:tab w:val="clear" w:pos="1920"/>
        </w:tabs>
        <w:rPr>
          <w:lang w:val="en-US"/>
        </w:rPr>
      </w:pPr>
      <w:r>
        <w:rPr>
          <w:lang w:val="en-US"/>
        </w:rPr>
        <w:t xml:space="preserve">          DN_PERFORMANCE event.</w:t>
      </w:r>
    </w:p>
    <w:p w14:paraId="6479A071" w14:textId="77777777" w:rsidR="007862A2" w:rsidRDefault="007862A2" w:rsidP="007862A2">
      <w:pPr>
        <w:pStyle w:val="PL"/>
        <w:tabs>
          <w:tab w:val="clear" w:pos="1920"/>
        </w:tabs>
        <w:rPr>
          <w:lang w:val="en-US"/>
        </w:rPr>
      </w:pPr>
      <w:r>
        <w:rPr>
          <w:lang w:val="en-US"/>
        </w:rPr>
        <w:t xml:space="preserve">        - MAX_PACKET_LOSS_RATE: Indicates maximum Packet Loss Rate. This value is only applicable to</w:t>
      </w:r>
    </w:p>
    <w:p w14:paraId="290CEAFD" w14:textId="77777777" w:rsidR="007862A2" w:rsidRDefault="007862A2" w:rsidP="007862A2">
      <w:pPr>
        <w:pStyle w:val="PL"/>
        <w:tabs>
          <w:tab w:val="clear" w:pos="1920"/>
        </w:tabs>
        <w:rPr>
          <w:lang w:val="en-US"/>
        </w:rPr>
      </w:pPr>
      <w:r>
        <w:rPr>
          <w:lang w:val="en-US"/>
        </w:rPr>
        <w:t xml:space="preserve">          DN_PERFORMANCE event.</w:t>
      </w:r>
    </w:p>
    <w:p w14:paraId="6F9FC0E0" w14:textId="77777777" w:rsidR="007862A2" w:rsidRDefault="007862A2" w:rsidP="007862A2">
      <w:pPr>
        <w:pStyle w:val="PL"/>
        <w:tabs>
          <w:tab w:val="clear" w:pos="1920"/>
        </w:tabs>
        <w:rPr>
          <w:lang w:val="en-US"/>
        </w:rPr>
      </w:pPr>
      <w:r>
        <w:rPr>
          <w:lang w:val="en-US"/>
        </w:rPr>
        <w:t xml:space="preserve">        - VAR_PACKET_LOSS_RATE: Indicates variance Packet Loss Rate. This value is only applicable</w:t>
      </w:r>
    </w:p>
    <w:p w14:paraId="5EB750D4" w14:textId="77777777" w:rsidR="007862A2" w:rsidRDefault="007862A2" w:rsidP="007862A2">
      <w:pPr>
        <w:pStyle w:val="PL"/>
        <w:tabs>
          <w:tab w:val="clear" w:pos="1920"/>
        </w:tabs>
        <w:rPr>
          <w:lang w:val="en-US"/>
        </w:rPr>
      </w:pPr>
      <w:r>
        <w:rPr>
          <w:lang w:val="en-US"/>
        </w:rPr>
        <w:t xml:space="preserve">          to DN_PERFORMANCE event.</w:t>
      </w:r>
    </w:p>
    <w:p w14:paraId="39A4ADCE" w14:textId="77777777" w:rsidR="007862A2" w:rsidRDefault="007862A2" w:rsidP="007862A2">
      <w:pPr>
        <w:pStyle w:val="PL"/>
        <w:tabs>
          <w:tab w:val="clear" w:pos="1920"/>
        </w:tabs>
      </w:pPr>
      <w:r>
        <w:rPr>
          <w:lang w:val="en-US"/>
        </w:rPr>
        <w:lastRenderedPageBreak/>
        <w:t xml:space="preserve">        - </w:t>
      </w:r>
      <w:r>
        <w:rPr>
          <w:lang w:eastAsia="zh-CN"/>
        </w:rPr>
        <w:t>UE_LOCATION</w:t>
      </w:r>
      <w:r>
        <w:rPr>
          <w:lang w:val="en-US"/>
        </w:rPr>
        <w:t xml:space="preserve">: </w:t>
      </w:r>
      <w:r>
        <w:t>Indicates UE location information. This value is only applicable to</w:t>
      </w:r>
    </w:p>
    <w:p w14:paraId="7DAC9B0A" w14:textId="77777777" w:rsidR="007862A2" w:rsidRDefault="007862A2" w:rsidP="007862A2">
      <w:pPr>
        <w:pStyle w:val="PL"/>
        <w:tabs>
          <w:tab w:val="clear" w:pos="1920"/>
        </w:tabs>
        <w:rPr>
          <w:lang w:val="en-US"/>
        </w:rPr>
      </w:pPr>
      <w:r>
        <w:t xml:space="preserve">          SERVICE_EXPERIENCE event</w:t>
      </w:r>
      <w:r>
        <w:rPr>
          <w:lang w:val="en-US"/>
        </w:rPr>
        <w:t>.</w:t>
      </w:r>
    </w:p>
    <w:p w14:paraId="61C4BB5A" w14:textId="77777777" w:rsidR="007862A2" w:rsidRDefault="007862A2" w:rsidP="007862A2">
      <w:pPr>
        <w:pStyle w:val="PL"/>
        <w:rPr>
          <w:lang w:val="en-US"/>
        </w:rPr>
      </w:pPr>
      <w:r>
        <w:rPr>
          <w:lang w:val="en-US"/>
        </w:rPr>
        <w:t xml:space="preserve">        - LIST_OF_HIGH_EXP_UE: Indicates list of high experienced UE. This value is only applicable</w:t>
      </w:r>
    </w:p>
    <w:p w14:paraId="53545B1D" w14:textId="77777777" w:rsidR="007862A2" w:rsidRDefault="007862A2" w:rsidP="007862A2">
      <w:pPr>
        <w:pStyle w:val="PL"/>
        <w:rPr>
          <w:lang w:val="en-US"/>
        </w:rPr>
      </w:pPr>
      <w:r>
        <w:rPr>
          <w:lang w:val="en-US"/>
        </w:rPr>
        <w:t xml:space="preserve">          to SM_CONGESTION event.</w:t>
      </w:r>
    </w:p>
    <w:p w14:paraId="66384532" w14:textId="77777777" w:rsidR="007862A2" w:rsidRDefault="007862A2" w:rsidP="007862A2">
      <w:pPr>
        <w:pStyle w:val="PL"/>
        <w:rPr>
          <w:lang w:val="en-US"/>
        </w:rPr>
      </w:pPr>
      <w:r>
        <w:rPr>
          <w:lang w:val="en-US"/>
        </w:rPr>
        <w:t xml:space="preserve">        - LIST_OF_MEDIUM_EXP_UE: Indicates list of medium experienced UE. This value is only</w:t>
      </w:r>
    </w:p>
    <w:p w14:paraId="17C36AF4" w14:textId="77777777" w:rsidR="007862A2" w:rsidRDefault="007862A2" w:rsidP="007862A2">
      <w:pPr>
        <w:pStyle w:val="PL"/>
        <w:rPr>
          <w:lang w:val="en-US"/>
        </w:rPr>
      </w:pPr>
      <w:r>
        <w:rPr>
          <w:lang w:val="en-US"/>
        </w:rPr>
        <w:t xml:space="preserve">          applicable to SM_CONGESTION event.</w:t>
      </w:r>
    </w:p>
    <w:p w14:paraId="3EEAD9AC" w14:textId="77777777" w:rsidR="007862A2" w:rsidRDefault="007862A2" w:rsidP="007862A2">
      <w:pPr>
        <w:pStyle w:val="PL"/>
        <w:rPr>
          <w:lang w:val="en-US"/>
        </w:rPr>
      </w:pPr>
      <w:r>
        <w:rPr>
          <w:lang w:val="en-US"/>
        </w:rPr>
        <w:t xml:space="preserve">        - LIST_OF_LOW_EXP_UE: Indicates list of low experienced UE. This value is only applicable to</w:t>
      </w:r>
    </w:p>
    <w:p w14:paraId="52AD7CD1" w14:textId="77777777" w:rsidR="007862A2" w:rsidRDefault="007862A2" w:rsidP="007862A2">
      <w:pPr>
        <w:pStyle w:val="PL"/>
        <w:rPr>
          <w:lang w:val="en-US"/>
        </w:rPr>
      </w:pPr>
      <w:r>
        <w:rPr>
          <w:lang w:val="en-US"/>
        </w:rPr>
        <w:t xml:space="preserve">          SM_CONGESTION event.</w:t>
      </w:r>
    </w:p>
    <w:p w14:paraId="649A35E4" w14:textId="77777777" w:rsidR="007862A2" w:rsidRDefault="007862A2" w:rsidP="007862A2">
      <w:pPr>
        <w:pStyle w:val="PL"/>
      </w:pPr>
      <w:r>
        <w:rPr>
          <w:lang w:val="en-US"/>
        </w:rPr>
        <w:t xml:space="preserve">        - AVG_UL_PKT_DROP_RATE: Indicates average uplink packet drop rate on GTP-U path on N3. </w:t>
      </w:r>
      <w:r>
        <w:t>This</w:t>
      </w:r>
    </w:p>
    <w:p w14:paraId="0B124F1D" w14:textId="77777777" w:rsidR="007862A2" w:rsidRDefault="007862A2" w:rsidP="007862A2">
      <w:pPr>
        <w:pStyle w:val="PL"/>
        <w:rPr>
          <w:lang w:val="en-US"/>
        </w:rPr>
      </w:pPr>
      <w:r>
        <w:t xml:space="preserve">          value is only applicable to </w:t>
      </w:r>
      <w:r>
        <w:rPr>
          <w:lang w:eastAsia="zh-CN"/>
        </w:rPr>
        <w:t>RED_TRANS_EXP</w:t>
      </w:r>
      <w:r>
        <w:t xml:space="preserve"> event.</w:t>
      </w:r>
    </w:p>
    <w:p w14:paraId="5871B27F" w14:textId="77777777" w:rsidR="007862A2" w:rsidRDefault="007862A2" w:rsidP="007862A2">
      <w:pPr>
        <w:pStyle w:val="PL"/>
        <w:rPr>
          <w:lang w:val="en-US"/>
        </w:rPr>
      </w:pPr>
      <w:r>
        <w:rPr>
          <w:lang w:val="en-US"/>
        </w:rPr>
        <w:t xml:space="preserve">        - VAR_UL_PKT_DROP_RATE: Indicates variance of uplink packet drop rate on GTP-U path on N3.</w:t>
      </w:r>
    </w:p>
    <w:p w14:paraId="1CD99D5D"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6376A97D" w14:textId="77777777" w:rsidR="007862A2" w:rsidRDefault="007862A2" w:rsidP="007862A2">
      <w:pPr>
        <w:pStyle w:val="PL"/>
        <w:rPr>
          <w:lang w:val="en-US"/>
        </w:rPr>
      </w:pPr>
      <w:r>
        <w:rPr>
          <w:lang w:val="en-US"/>
        </w:rPr>
        <w:t xml:space="preserve">        - AVG_DL_PKT_DROP_RATE: Indicates average downlink packet drop rate on GTP-U path on N3.</w:t>
      </w:r>
    </w:p>
    <w:p w14:paraId="5A50FCCC"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6FFEF686" w14:textId="77777777" w:rsidR="007862A2" w:rsidRDefault="007862A2" w:rsidP="007862A2">
      <w:pPr>
        <w:pStyle w:val="PL"/>
        <w:rPr>
          <w:lang w:val="en-US"/>
        </w:rPr>
      </w:pPr>
      <w:r>
        <w:rPr>
          <w:lang w:val="en-US"/>
        </w:rPr>
        <w:t xml:space="preserve">        - VAR_DL_PKT_DROP_RATE: Indicates variance of downlink packet drop rate on GTP-U path on N3.</w:t>
      </w:r>
    </w:p>
    <w:p w14:paraId="23445969"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1026C5D3" w14:textId="77777777" w:rsidR="007862A2" w:rsidRDefault="007862A2" w:rsidP="007862A2">
      <w:pPr>
        <w:pStyle w:val="PL"/>
        <w:rPr>
          <w:lang w:val="en-US"/>
        </w:rPr>
      </w:pPr>
      <w:r>
        <w:rPr>
          <w:lang w:val="en-US"/>
        </w:rPr>
        <w:t xml:space="preserve">        - AVG_UL_PKT_DELAY: Indicates average uplink packet delay round trip on GTP-U path on N3.</w:t>
      </w:r>
    </w:p>
    <w:p w14:paraId="3A7FD75D"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5575EEF7" w14:textId="77777777" w:rsidR="007862A2" w:rsidRDefault="007862A2" w:rsidP="007862A2">
      <w:pPr>
        <w:pStyle w:val="PL"/>
        <w:rPr>
          <w:lang w:val="en-US"/>
        </w:rPr>
      </w:pPr>
      <w:r>
        <w:rPr>
          <w:lang w:val="en-US"/>
        </w:rPr>
        <w:t xml:space="preserve">        - VAR_UL_PKT_DELAY: Indicates variance uplink packet delay round trip on GTP-U path on N3.</w:t>
      </w:r>
    </w:p>
    <w:p w14:paraId="285D4DF4"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1E84436A" w14:textId="77777777" w:rsidR="007862A2" w:rsidRDefault="007862A2" w:rsidP="007862A2">
      <w:pPr>
        <w:pStyle w:val="PL"/>
        <w:rPr>
          <w:lang w:val="en-US"/>
        </w:rPr>
      </w:pPr>
      <w:r>
        <w:rPr>
          <w:lang w:val="en-US"/>
        </w:rPr>
        <w:t xml:space="preserve">        - AVG_DL_PKT_DELAY: Indicates average downlink packet delay round trip on GTP-U path on N3.</w:t>
      </w:r>
    </w:p>
    <w:p w14:paraId="531AEEB5"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4B446E3E" w14:textId="77777777" w:rsidR="007862A2" w:rsidRDefault="007862A2" w:rsidP="007862A2">
      <w:pPr>
        <w:pStyle w:val="PL"/>
        <w:rPr>
          <w:lang w:val="en-US"/>
        </w:rPr>
      </w:pPr>
      <w:r>
        <w:rPr>
          <w:lang w:val="en-US"/>
        </w:rPr>
        <w:t xml:space="preserve">        - VAR_DL_PKT_DELAY: Indicates variance downlink packet delay round trip on GTP-U path on N3.</w:t>
      </w:r>
    </w:p>
    <w:p w14:paraId="1B462E39" w14:textId="77777777" w:rsidR="007862A2" w:rsidRDefault="007862A2" w:rsidP="007862A2">
      <w:pPr>
        <w:pStyle w:val="PL"/>
        <w:rPr>
          <w:lang w:val="en-US"/>
        </w:rPr>
      </w:pPr>
      <w:r>
        <w:rPr>
          <w:lang w:val="en-US"/>
        </w:rPr>
        <w:t xml:space="preserve">          </w:t>
      </w:r>
      <w:r>
        <w:t xml:space="preserve">This value is only applicable to </w:t>
      </w:r>
      <w:r>
        <w:rPr>
          <w:lang w:eastAsia="zh-CN"/>
        </w:rPr>
        <w:t>RED_TRANS_EXP</w:t>
      </w:r>
      <w:r>
        <w:t xml:space="preserve"> event.</w:t>
      </w:r>
    </w:p>
    <w:p w14:paraId="6E67F12F" w14:textId="77777777" w:rsidR="007862A2" w:rsidRDefault="007862A2" w:rsidP="007862A2">
      <w:pPr>
        <w:pStyle w:val="PL"/>
        <w:rPr>
          <w:rFonts w:eastAsia="MS Mincho"/>
        </w:rPr>
      </w:pPr>
      <w:r>
        <w:rPr>
          <w:lang w:val="en-US"/>
        </w:rPr>
        <w:t xml:space="preserve">        - TRAFFIC_MATCH_TD: </w:t>
      </w:r>
      <w:r>
        <w:rPr>
          <w:rFonts w:eastAsia="MS Mincho"/>
        </w:rPr>
        <w:t>Identifies traffic that matches Traffic Descriptor provided by</w:t>
      </w:r>
    </w:p>
    <w:p w14:paraId="249C85EC" w14:textId="77777777" w:rsidR="007862A2" w:rsidRDefault="007862A2" w:rsidP="007862A2">
      <w:pPr>
        <w:pStyle w:val="PL"/>
        <w:rPr>
          <w:lang w:val="en-US"/>
        </w:rPr>
      </w:pPr>
      <w:r>
        <w:rPr>
          <w:lang w:val="en-US"/>
        </w:rPr>
        <w:t xml:space="preserve">         </w:t>
      </w:r>
      <w:r>
        <w:rPr>
          <w:rFonts w:eastAsia="MS Mincho"/>
        </w:rPr>
        <w:t xml:space="preserve"> the consumer</w:t>
      </w:r>
      <w:r>
        <w:t>.</w:t>
      </w:r>
    </w:p>
    <w:p w14:paraId="23CA6D4D" w14:textId="77777777" w:rsidR="007862A2" w:rsidRDefault="007862A2" w:rsidP="007862A2">
      <w:pPr>
        <w:pStyle w:val="PL"/>
        <w:rPr>
          <w:rFonts w:eastAsia="MS Mincho"/>
        </w:rPr>
      </w:pPr>
      <w:r>
        <w:rPr>
          <w:lang w:val="en-US"/>
        </w:rPr>
        <w:t xml:space="preserve">        - TRAFFIC_UNMATCH_TD: </w:t>
      </w:r>
      <w:r>
        <w:rPr>
          <w:rFonts w:eastAsia="MS Mincho"/>
        </w:rPr>
        <w:t>Identifies traffic that does not match Traffic Descriptor</w:t>
      </w:r>
    </w:p>
    <w:p w14:paraId="27CFF027" w14:textId="77777777" w:rsidR="007862A2" w:rsidRDefault="007862A2" w:rsidP="007862A2">
      <w:pPr>
        <w:pStyle w:val="PL"/>
      </w:pPr>
      <w:r>
        <w:rPr>
          <w:lang w:val="en-US"/>
        </w:rPr>
        <w:t xml:space="preserve">         </w:t>
      </w:r>
      <w:r>
        <w:rPr>
          <w:rFonts w:eastAsia="MS Mincho"/>
        </w:rPr>
        <w:t xml:space="preserve"> provided by the consumer</w:t>
      </w:r>
      <w:r>
        <w:t>.</w:t>
      </w:r>
    </w:p>
    <w:p w14:paraId="6F3CBF16" w14:textId="77777777" w:rsidR="007862A2" w:rsidRDefault="007862A2" w:rsidP="007862A2">
      <w:pPr>
        <w:pStyle w:val="PL"/>
      </w:pPr>
      <w:r>
        <w:rPr>
          <w:lang w:val="en-US"/>
        </w:rPr>
        <w:t xml:space="preserve">        - NUMBER_OF</w:t>
      </w:r>
      <w:r>
        <w:rPr>
          <w:lang w:eastAsia="zh-CN"/>
        </w:rPr>
        <w:t>_</w:t>
      </w:r>
      <w:r>
        <w:rPr>
          <w:rFonts w:hint="eastAsia"/>
          <w:lang w:eastAsia="zh-CN"/>
        </w:rPr>
        <w:t>U</w:t>
      </w:r>
      <w:r>
        <w:rPr>
          <w:lang w:eastAsia="zh-CN"/>
        </w:rPr>
        <w:t>E</w:t>
      </w:r>
      <w:r>
        <w:rPr>
          <w:lang w:val="en-US"/>
        </w:rPr>
        <w:t xml:space="preserve">: </w:t>
      </w:r>
      <w:r>
        <w:t xml:space="preserve">Indicates the </w:t>
      </w:r>
      <w:r>
        <w:rPr>
          <w:lang w:eastAsia="zh-CN"/>
        </w:rPr>
        <w:t>number of UEs</w:t>
      </w:r>
      <w:r>
        <w:t>. This value is only applicable to</w:t>
      </w:r>
    </w:p>
    <w:p w14:paraId="087BB4AB" w14:textId="77777777" w:rsidR="007862A2" w:rsidRDefault="007862A2" w:rsidP="007862A2">
      <w:pPr>
        <w:pStyle w:val="PL"/>
        <w:rPr>
          <w:lang w:val="en-US"/>
        </w:rPr>
      </w:pPr>
      <w:r>
        <w:rPr>
          <w:lang w:val="en-US"/>
        </w:rPr>
        <w:t xml:space="preserve">         </w:t>
      </w:r>
      <w:r>
        <w:t xml:space="preserve"> DN_PERFORMANCE event.</w:t>
      </w:r>
    </w:p>
    <w:p w14:paraId="0CCEB966" w14:textId="77777777" w:rsidR="007862A2" w:rsidRDefault="007862A2" w:rsidP="007862A2">
      <w:pPr>
        <w:pStyle w:val="PL"/>
        <w:rPr>
          <w:lang w:val="en-US"/>
        </w:rPr>
      </w:pPr>
      <w:r>
        <w:rPr>
          <w:lang w:val="en-US"/>
        </w:rPr>
        <w:t xml:space="preserve">        - UE_GEOG_DIST: Indicates the geographical distribution of the UEs that can be selected by</w:t>
      </w:r>
    </w:p>
    <w:p w14:paraId="71AB3726" w14:textId="77777777" w:rsidR="007862A2" w:rsidRDefault="007862A2" w:rsidP="007862A2">
      <w:pPr>
        <w:pStyle w:val="PL"/>
        <w:rPr>
          <w:lang w:val="en-US"/>
        </w:rPr>
      </w:pPr>
      <w:r>
        <w:rPr>
          <w:lang w:val="en-US"/>
        </w:rPr>
        <w:t xml:space="preserve">          the AF for application service. This value is only applicable to UE_MOBILITY event</w:t>
      </w:r>
      <w:r>
        <w:t>.</w:t>
      </w:r>
    </w:p>
    <w:p w14:paraId="506F9661" w14:textId="77777777" w:rsidR="007862A2" w:rsidRDefault="007862A2" w:rsidP="007862A2">
      <w:pPr>
        <w:pStyle w:val="PL"/>
        <w:rPr>
          <w:lang w:val="en-US"/>
        </w:rPr>
      </w:pPr>
      <w:r>
        <w:rPr>
          <w:lang w:val="en-US"/>
        </w:rPr>
        <w:t xml:space="preserve">        - UE_DIRECTION: Indicates the direction of the UEs. This value is only applicable to</w:t>
      </w:r>
    </w:p>
    <w:p w14:paraId="63E8DE87" w14:textId="77777777" w:rsidR="007862A2" w:rsidRDefault="007862A2" w:rsidP="007862A2">
      <w:pPr>
        <w:pStyle w:val="PL"/>
        <w:rPr>
          <w:lang w:val="en-US"/>
        </w:rPr>
      </w:pPr>
      <w:r>
        <w:rPr>
          <w:lang w:val="en-US"/>
        </w:rPr>
        <w:t xml:space="preserve">          UE_MOBILITY event</w:t>
      </w:r>
      <w:r>
        <w:t>.</w:t>
      </w:r>
    </w:p>
    <w:p w14:paraId="77ADD255" w14:textId="77777777" w:rsidR="007862A2" w:rsidRDefault="007862A2" w:rsidP="007862A2">
      <w:pPr>
        <w:pStyle w:val="PL"/>
        <w:rPr>
          <w:lang w:val="en-US"/>
        </w:rPr>
      </w:pPr>
      <w:r>
        <w:rPr>
          <w:lang w:val="en-US"/>
        </w:rPr>
        <w:t xml:space="preserve">        - </w:t>
      </w:r>
      <w:r>
        <w:rPr>
          <w:lang w:eastAsia="zh-CN"/>
        </w:rPr>
        <w:t>AVG_E2E_UL_PKT_DELAY</w:t>
      </w:r>
      <w:r>
        <w:rPr>
          <w:lang w:val="en-US"/>
        </w:rPr>
        <w:t>: Indicates average End-to-End (between UE and UPF) uplink packet</w:t>
      </w:r>
    </w:p>
    <w:p w14:paraId="626AF94B" w14:textId="77777777" w:rsidR="007862A2" w:rsidRDefault="007862A2" w:rsidP="007862A2">
      <w:pPr>
        <w:pStyle w:val="PL"/>
        <w:rPr>
          <w:lang w:val="en-US"/>
        </w:rPr>
      </w:pPr>
      <w:r>
        <w:rPr>
          <w:lang w:val="en-US"/>
        </w:rPr>
        <w:t xml:space="preserve">          delay. This value is only applicable to RED_TRANS_EXP event</w:t>
      </w:r>
      <w:r>
        <w:t>.</w:t>
      </w:r>
    </w:p>
    <w:p w14:paraId="3CEA9A2C" w14:textId="77777777" w:rsidR="007862A2" w:rsidRDefault="007862A2" w:rsidP="007862A2">
      <w:pPr>
        <w:pStyle w:val="PL"/>
        <w:rPr>
          <w:lang w:val="en-US"/>
        </w:rPr>
      </w:pPr>
      <w:r>
        <w:rPr>
          <w:lang w:val="en-US"/>
        </w:rPr>
        <w:t xml:space="preserve">        - </w:t>
      </w:r>
      <w:r>
        <w:rPr>
          <w:lang w:eastAsia="zh-CN"/>
        </w:rPr>
        <w:t>VAR_E2E_UL_PKT_DELAY</w:t>
      </w:r>
      <w:r>
        <w:rPr>
          <w:lang w:val="en-US"/>
        </w:rPr>
        <w:t>: Indicates the variance of End-to-End (between UE and UPF) uplink</w:t>
      </w:r>
    </w:p>
    <w:p w14:paraId="0F29615B" w14:textId="77777777" w:rsidR="007862A2" w:rsidRDefault="007862A2" w:rsidP="007862A2">
      <w:pPr>
        <w:pStyle w:val="PL"/>
        <w:rPr>
          <w:lang w:val="en-US"/>
        </w:rPr>
      </w:pPr>
      <w:r>
        <w:rPr>
          <w:lang w:val="en-US"/>
        </w:rPr>
        <w:t xml:space="preserve">          packet delay. This value is only applicable to RED_TRANS_EXP event</w:t>
      </w:r>
      <w:r>
        <w:t>.</w:t>
      </w:r>
    </w:p>
    <w:p w14:paraId="41888B98" w14:textId="77777777" w:rsidR="007862A2" w:rsidRDefault="007862A2" w:rsidP="007862A2">
      <w:pPr>
        <w:pStyle w:val="PL"/>
        <w:rPr>
          <w:lang w:val="en-US"/>
        </w:rPr>
      </w:pPr>
      <w:r>
        <w:rPr>
          <w:lang w:val="en-US"/>
        </w:rPr>
        <w:t xml:space="preserve">        - </w:t>
      </w:r>
      <w:r>
        <w:rPr>
          <w:lang w:eastAsia="zh-CN"/>
        </w:rPr>
        <w:t>AVG_E2E_DL_PKT_DELAY</w:t>
      </w:r>
      <w:r>
        <w:rPr>
          <w:lang w:val="en-US"/>
        </w:rPr>
        <w:t>: Indicates average End-to-End (between UE and UPF) downlink packet</w:t>
      </w:r>
    </w:p>
    <w:p w14:paraId="2E600E27" w14:textId="77777777" w:rsidR="007862A2" w:rsidRDefault="007862A2" w:rsidP="007862A2">
      <w:pPr>
        <w:pStyle w:val="PL"/>
        <w:rPr>
          <w:lang w:val="en-US"/>
        </w:rPr>
      </w:pPr>
      <w:r>
        <w:rPr>
          <w:lang w:val="en-US"/>
        </w:rPr>
        <w:t xml:space="preserve">          delay. This value is only applicable to RED_TRANS_EXP event.</w:t>
      </w:r>
    </w:p>
    <w:p w14:paraId="360BB008" w14:textId="77777777" w:rsidR="007862A2" w:rsidRDefault="007862A2" w:rsidP="007862A2">
      <w:pPr>
        <w:pStyle w:val="PL"/>
        <w:rPr>
          <w:lang w:val="en-US"/>
        </w:rPr>
      </w:pPr>
      <w:r>
        <w:rPr>
          <w:lang w:val="en-US"/>
        </w:rPr>
        <w:t xml:space="preserve">        - </w:t>
      </w:r>
      <w:r>
        <w:rPr>
          <w:lang w:eastAsia="zh-CN"/>
        </w:rPr>
        <w:t>VAR_E2E_DL_PKT_DELAY</w:t>
      </w:r>
      <w:r>
        <w:rPr>
          <w:lang w:val="en-US"/>
        </w:rPr>
        <w:t>: Indicates the variance of End-to-End (between UE and UPF) downlink</w:t>
      </w:r>
    </w:p>
    <w:p w14:paraId="796CEFC8" w14:textId="77777777" w:rsidR="007862A2" w:rsidRDefault="007862A2" w:rsidP="007862A2">
      <w:pPr>
        <w:pStyle w:val="PL"/>
        <w:rPr>
          <w:lang w:val="en-US"/>
        </w:rPr>
      </w:pPr>
      <w:r>
        <w:rPr>
          <w:lang w:val="en-US"/>
        </w:rPr>
        <w:t xml:space="preserve">          packet delay. This value is only applicable to RED_TRANS_EXP event</w:t>
      </w:r>
      <w:r>
        <w:t>.</w:t>
      </w:r>
    </w:p>
    <w:p w14:paraId="6337B36E" w14:textId="77777777" w:rsidR="007862A2" w:rsidRDefault="007862A2" w:rsidP="007862A2">
      <w:pPr>
        <w:pStyle w:val="PL"/>
        <w:rPr>
          <w:lang w:val="en-US"/>
        </w:rPr>
      </w:pPr>
      <w:r>
        <w:rPr>
          <w:lang w:val="en-US"/>
        </w:rPr>
        <w:t xml:space="preserve">        - </w:t>
      </w:r>
      <w:r>
        <w:rPr>
          <w:lang w:eastAsia="zh-CN"/>
        </w:rPr>
        <w:t>AVG_E2E_UL_PKT_LOSS_RATE</w:t>
      </w:r>
      <w:r>
        <w:rPr>
          <w:lang w:val="en-US"/>
        </w:rPr>
        <w:t>: Indicates average End-to-End (between UE and UPF) uplink packet</w:t>
      </w:r>
    </w:p>
    <w:p w14:paraId="6AEB72D4" w14:textId="77777777" w:rsidR="007862A2" w:rsidRDefault="007862A2" w:rsidP="007862A2">
      <w:pPr>
        <w:pStyle w:val="PL"/>
        <w:rPr>
          <w:lang w:val="en-US"/>
        </w:rPr>
      </w:pPr>
      <w:r>
        <w:rPr>
          <w:lang w:val="en-US"/>
        </w:rPr>
        <w:t xml:space="preserve">          loss rate. This value is only applicable to RED_TRANS_EXP event</w:t>
      </w:r>
      <w:r>
        <w:t>.</w:t>
      </w:r>
    </w:p>
    <w:p w14:paraId="65A1101F" w14:textId="77777777" w:rsidR="007862A2" w:rsidRDefault="007862A2" w:rsidP="007862A2">
      <w:pPr>
        <w:pStyle w:val="PL"/>
        <w:rPr>
          <w:lang w:val="en-US"/>
        </w:rPr>
      </w:pPr>
      <w:r>
        <w:rPr>
          <w:lang w:val="en-US"/>
        </w:rPr>
        <w:t xml:space="preserve">        - </w:t>
      </w:r>
      <w:r>
        <w:rPr>
          <w:lang w:eastAsia="zh-CN"/>
        </w:rPr>
        <w:t>VAR_E2E_UL_PKT_LOSS_RATE</w:t>
      </w:r>
      <w:r>
        <w:rPr>
          <w:lang w:val="en-US"/>
        </w:rPr>
        <w:t>: Indicates the variance of End-to-End (between UE and UPF) uplink</w:t>
      </w:r>
    </w:p>
    <w:p w14:paraId="6EF45EAF" w14:textId="77777777" w:rsidR="007862A2" w:rsidRDefault="007862A2" w:rsidP="007862A2">
      <w:pPr>
        <w:pStyle w:val="PL"/>
        <w:rPr>
          <w:lang w:val="en-US"/>
        </w:rPr>
      </w:pPr>
      <w:r>
        <w:rPr>
          <w:lang w:val="en-US"/>
        </w:rPr>
        <w:t xml:space="preserve">          packet loss rate. This value is only applicable to RED_TRANS_EXP event.</w:t>
      </w:r>
    </w:p>
    <w:p w14:paraId="2FE14F38" w14:textId="77777777" w:rsidR="007862A2" w:rsidRDefault="007862A2" w:rsidP="007862A2">
      <w:pPr>
        <w:pStyle w:val="PL"/>
        <w:rPr>
          <w:lang w:val="en-US"/>
        </w:rPr>
      </w:pPr>
      <w:r>
        <w:rPr>
          <w:lang w:val="en-US"/>
        </w:rPr>
        <w:t xml:space="preserve">        - </w:t>
      </w:r>
      <w:r>
        <w:rPr>
          <w:lang w:eastAsia="zh-CN"/>
        </w:rPr>
        <w:t>AVG_E2E_DL_PKT_LOSS_RATE</w:t>
      </w:r>
      <w:r>
        <w:rPr>
          <w:lang w:val="en-US"/>
        </w:rPr>
        <w:t>: Indicates average End-to-End (between UE and UPF) downlink</w:t>
      </w:r>
    </w:p>
    <w:p w14:paraId="71A8E3B1" w14:textId="77777777" w:rsidR="007862A2" w:rsidRDefault="007862A2" w:rsidP="007862A2">
      <w:pPr>
        <w:pStyle w:val="PL"/>
        <w:rPr>
          <w:lang w:val="en-US"/>
        </w:rPr>
      </w:pPr>
      <w:r>
        <w:rPr>
          <w:lang w:val="en-US"/>
        </w:rPr>
        <w:t xml:space="preserve">          packet loss rate. This value is only applicable to RED_TRANS_EXP event.</w:t>
      </w:r>
    </w:p>
    <w:p w14:paraId="77340106" w14:textId="77777777" w:rsidR="007862A2" w:rsidRDefault="007862A2" w:rsidP="007862A2">
      <w:pPr>
        <w:pStyle w:val="PL"/>
        <w:rPr>
          <w:lang w:val="en-US"/>
        </w:rPr>
      </w:pPr>
      <w:r>
        <w:rPr>
          <w:lang w:val="en-US"/>
        </w:rPr>
        <w:t xml:space="preserve">        - </w:t>
      </w:r>
      <w:r>
        <w:rPr>
          <w:lang w:eastAsia="zh-CN"/>
        </w:rPr>
        <w:t>VAR_E2E_DL_PKT_LOSS_RATE</w:t>
      </w:r>
      <w:r>
        <w:rPr>
          <w:lang w:val="en-US"/>
        </w:rPr>
        <w:t>: Indicates the variance of End-to-End (between UE and UPF)</w:t>
      </w:r>
    </w:p>
    <w:p w14:paraId="2118299C" w14:textId="77777777" w:rsidR="007862A2" w:rsidRDefault="007862A2" w:rsidP="007862A2">
      <w:pPr>
        <w:pStyle w:val="PL"/>
        <w:rPr>
          <w:lang w:val="en-US"/>
        </w:rPr>
      </w:pPr>
      <w:r>
        <w:rPr>
          <w:lang w:val="en-US"/>
        </w:rPr>
        <w:t xml:space="preserve">          downlink packet loss rate. This value is only applicable to RED_TRANS_EXP event.</w:t>
      </w:r>
    </w:p>
    <w:p w14:paraId="370104D6" w14:textId="77777777" w:rsidR="007862A2" w:rsidRDefault="007862A2" w:rsidP="007862A2">
      <w:pPr>
        <w:pStyle w:val="PL"/>
      </w:pPr>
      <w:r>
        <w:rPr>
          <w:lang w:val="en-US"/>
        </w:rPr>
        <w:t xml:space="preserve">        -</w:t>
      </w:r>
      <w:r>
        <w:rPr>
          <w:lang w:val="en-US" w:eastAsia="zh-CN"/>
        </w:rPr>
        <w:t xml:space="preserve"> E2E_DATA_VOL_TRANS_TIME_FOR_UE_LIST</w:t>
      </w:r>
      <w:r>
        <w:rPr>
          <w:lang w:val="en-US"/>
        </w:rPr>
        <w:t xml:space="preserve">: </w:t>
      </w:r>
      <w:r>
        <w:t>Indicates the classified E2E data volume transfer</w:t>
      </w:r>
    </w:p>
    <w:p w14:paraId="3D23644D" w14:textId="77777777" w:rsidR="007862A2" w:rsidRDefault="007862A2" w:rsidP="007862A2">
      <w:pPr>
        <w:pStyle w:val="PL"/>
      </w:pPr>
      <w:r>
        <w:rPr>
          <w:lang w:val="en-US"/>
        </w:rPr>
        <w:t xml:space="preserve">         </w:t>
      </w:r>
      <w:r>
        <w:t xml:space="preserve"> time statistics or predictions for multiple UEs with respect to one or more reporting</w:t>
      </w:r>
    </w:p>
    <w:p w14:paraId="11CBC0A8" w14:textId="77777777" w:rsidR="007862A2" w:rsidRDefault="007862A2" w:rsidP="007862A2">
      <w:pPr>
        <w:pStyle w:val="PL"/>
        <w:rPr>
          <w:lang w:val="en-US" w:eastAsia="zh-CN"/>
        </w:rPr>
      </w:pPr>
      <w:r>
        <w:rPr>
          <w:lang w:val="en-US"/>
        </w:rPr>
        <w:t xml:space="preserve">        </w:t>
      </w:r>
      <w:r>
        <w:t xml:space="preserve">  thresholds.</w:t>
      </w:r>
    </w:p>
    <w:p w14:paraId="50AAA8F9" w14:textId="77777777" w:rsidR="007862A2" w:rsidRDefault="007862A2" w:rsidP="007862A2">
      <w:pPr>
        <w:pStyle w:val="PL"/>
        <w:rPr>
          <w:lang w:val="en-US"/>
        </w:rPr>
      </w:pPr>
      <w:r>
        <w:rPr>
          <w:lang w:val="en-US"/>
        </w:rPr>
        <w:t xml:space="preserve">        - NUM_OF_UE: Indicates the total number of users in the area of interest. This</w:t>
      </w:r>
    </w:p>
    <w:p w14:paraId="3E213E49" w14:textId="77777777" w:rsidR="007862A2" w:rsidRDefault="007862A2" w:rsidP="007862A2">
      <w:pPr>
        <w:pStyle w:val="PL"/>
        <w:rPr>
          <w:lang w:val="en-US"/>
        </w:rPr>
      </w:pPr>
      <w:r>
        <w:rPr>
          <w:lang w:val="en-US"/>
        </w:rPr>
        <w:t xml:space="preserve">          value is only applicable to MOVEMENT_BEHAVIOUR event.</w:t>
      </w:r>
    </w:p>
    <w:p w14:paraId="1C5F4A97" w14:textId="77777777" w:rsidR="007862A2" w:rsidRDefault="007862A2" w:rsidP="007862A2">
      <w:pPr>
        <w:pStyle w:val="PL"/>
        <w:rPr>
          <w:lang w:val="en-US"/>
        </w:rPr>
      </w:pPr>
      <w:r>
        <w:rPr>
          <w:lang w:val="en-US"/>
        </w:rPr>
        <w:t xml:space="preserve">        - MOV_UE_RATIO: Indicates the Ratio of moving UEs in the area of interest. This value</w:t>
      </w:r>
    </w:p>
    <w:p w14:paraId="0EBD550E" w14:textId="77777777" w:rsidR="007862A2" w:rsidRDefault="007862A2" w:rsidP="007862A2">
      <w:pPr>
        <w:pStyle w:val="PL"/>
        <w:rPr>
          <w:lang w:val="en-US"/>
        </w:rPr>
      </w:pPr>
      <w:r>
        <w:rPr>
          <w:lang w:val="en-US"/>
        </w:rPr>
        <w:t xml:space="preserve">          is only applicable to MOVEMENT_BEHAVIOUR event.</w:t>
      </w:r>
    </w:p>
    <w:p w14:paraId="1074B788" w14:textId="77777777" w:rsidR="007862A2" w:rsidRDefault="007862A2" w:rsidP="007862A2">
      <w:pPr>
        <w:pStyle w:val="PL"/>
        <w:rPr>
          <w:lang w:val="en-US"/>
        </w:rPr>
      </w:pPr>
      <w:r>
        <w:rPr>
          <w:lang w:val="en-US"/>
        </w:rPr>
        <w:t xml:space="preserve">        - AVR_SPEED: Indicates the average speed of all UEs in the area of interest. This value</w:t>
      </w:r>
    </w:p>
    <w:p w14:paraId="68B18DC8" w14:textId="77777777" w:rsidR="007862A2" w:rsidRDefault="007862A2" w:rsidP="007862A2">
      <w:pPr>
        <w:pStyle w:val="PL"/>
        <w:rPr>
          <w:lang w:val="en-US"/>
        </w:rPr>
      </w:pPr>
      <w:r>
        <w:rPr>
          <w:lang w:val="en-US"/>
        </w:rPr>
        <w:t xml:space="preserve">          is only applicable to MOVEMENT_BEHAVIOUR event.</w:t>
      </w:r>
    </w:p>
    <w:p w14:paraId="7E992664" w14:textId="77777777" w:rsidR="007862A2" w:rsidRDefault="007862A2" w:rsidP="007862A2">
      <w:pPr>
        <w:pStyle w:val="PL"/>
        <w:rPr>
          <w:lang w:val="en-US"/>
        </w:rPr>
      </w:pPr>
      <w:r>
        <w:rPr>
          <w:lang w:val="en-US"/>
        </w:rPr>
        <w:t xml:space="preserve">        - SPEED_THRESHOLD: Indicates the information on UEs in the area of interest whose speed</w:t>
      </w:r>
    </w:p>
    <w:p w14:paraId="5462CA61" w14:textId="77777777" w:rsidR="007862A2" w:rsidRDefault="007862A2" w:rsidP="007862A2">
      <w:pPr>
        <w:pStyle w:val="PL"/>
        <w:rPr>
          <w:lang w:val="en-US"/>
        </w:rPr>
      </w:pPr>
      <w:r>
        <w:rPr>
          <w:lang w:val="en-US"/>
        </w:rPr>
        <w:t xml:space="preserve">          is faster than the speed threshold. This value is only applicable to MOVEMENT_BEHAVIOUR</w:t>
      </w:r>
    </w:p>
    <w:p w14:paraId="6CFAD569" w14:textId="77777777" w:rsidR="007862A2" w:rsidRDefault="007862A2" w:rsidP="007862A2">
      <w:pPr>
        <w:pStyle w:val="PL"/>
        <w:rPr>
          <w:lang w:val="en-US"/>
        </w:rPr>
      </w:pPr>
      <w:r>
        <w:rPr>
          <w:lang w:val="en-US"/>
        </w:rPr>
        <w:t xml:space="preserve">          event.</w:t>
      </w:r>
    </w:p>
    <w:p w14:paraId="6DDA05BE" w14:textId="77777777" w:rsidR="007862A2" w:rsidRDefault="007862A2" w:rsidP="007862A2">
      <w:pPr>
        <w:pStyle w:val="PL"/>
        <w:rPr>
          <w:lang w:val="en-US"/>
        </w:rPr>
      </w:pPr>
      <w:r>
        <w:rPr>
          <w:lang w:val="en-US"/>
        </w:rPr>
        <w:t xml:space="preserve">        - MOV_UE_DIRECTION: Indicates the heading directions of the UE flow in the target area.</w:t>
      </w:r>
    </w:p>
    <w:p w14:paraId="601B39BD" w14:textId="77777777" w:rsidR="007862A2" w:rsidRDefault="007862A2" w:rsidP="007862A2">
      <w:pPr>
        <w:pStyle w:val="PL"/>
        <w:rPr>
          <w:lang w:val="en-US"/>
        </w:rPr>
      </w:pPr>
      <w:r>
        <w:rPr>
          <w:lang w:val="en-US"/>
        </w:rPr>
        <w:t xml:space="preserve">          This value is only applicable to MOVEMENT_BEHAVIOUR event.</w:t>
      </w:r>
    </w:p>
    <w:p w14:paraId="0F83014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IN_OUT_PERCENT: Indicates the percentage of indoor/outdoor UEs at a location.</w:t>
      </w:r>
    </w:p>
    <w:p w14:paraId="2FD4865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The value is only applicable to the LOC_ACCURACY event.</w:t>
      </w:r>
    </w:p>
    <w:p w14:paraId="07327C0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TIME_TO_COLLISION: Indicates the time until for a collision with another UE happens.</w:t>
      </w:r>
    </w:p>
    <w:p w14:paraId="36CC791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This value is only applicable to RELATIVE_PROXIMITY event prediction.</w:t>
      </w:r>
    </w:p>
    <w:p w14:paraId="5D4D9CA7" w14:textId="77777777" w:rsidR="007862A2" w:rsidRDefault="007862A2" w:rsidP="007862A2">
      <w:pPr>
        <w:pStyle w:val="PL"/>
        <w:rPr>
          <w:lang w:val="en-US" w:eastAsia="zh-CN"/>
        </w:rPr>
      </w:pPr>
    </w:p>
    <w:p w14:paraId="057F88D7"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DispersionType:</w:t>
      </w:r>
    </w:p>
    <w:p w14:paraId="08B14F3D"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anyOf:</w:t>
      </w:r>
    </w:p>
    <w:p w14:paraId="1539944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5CFB3034"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enum:</w:t>
      </w:r>
    </w:p>
    <w:p w14:paraId="2B7519C0"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w:t>
      </w:r>
    </w:p>
    <w:p w14:paraId="4669B2F1"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TDA</w:t>
      </w:r>
    </w:p>
    <w:p w14:paraId="6002995F"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DVDA_AND_TDA</w:t>
      </w:r>
    </w:p>
    <w:p w14:paraId="5EC2B8D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6F39D61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&gt;</w:t>
      </w:r>
    </w:p>
    <w:p w14:paraId="18D6FCDC"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lastRenderedPageBreak/>
        <w:t xml:space="preserve">          This string provides forward-compatibility with future</w:t>
      </w:r>
    </w:p>
    <w:p w14:paraId="0AAF48EF"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extensions to the enumeration but is not used to encode</w:t>
      </w:r>
    </w:p>
    <w:p w14:paraId="018DB77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content defined in the present version of this API.</w:t>
      </w:r>
    </w:p>
    <w:p w14:paraId="34C42460"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w:t>
      </w:r>
    </w:p>
    <w:p w14:paraId="63B4500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Represents the </w:t>
      </w:r>
      <w:r w:rsidRPr="005E5629">
        <w:rPr>
          <w:rFonts w:ascii="Courier New" w:eastAsia="Times New Roman" w:hAnsi="Courier New"/>
          <w:noProof/>
          <w:sz w:val="16"/>
          <w:lang w:eastAsia="ko-KR"/>
        </w:rPr>
        <w:t xml:space="preserve">dispersion type.  </w:t>
      </w:r>
    </w:p>
    <w:p w14:paraId="176F7AD2"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Possible values are:</w:t>
      </w:r>
    </w:p>
    <w:p w14:paraId="2AC78ABB"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 Data Volume Dispersion Analytics.</w:t>
      </w:r>
    </w:p>
    <w:p w14:paraId="4421E380"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TDA: Transactions Dispersion Analytics.</w:t>
      </w:r>
    </w:p>
    <w:p w14:paraId="63218ED9"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DVDA_AND_TDA: Data Volume Dispersion Analytics and Transactions Dispersion Analytics.</w:t>
      </w:r>
    </w:p>
    <w:p w14:paraId="19720382"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p>
    <w:p w14:paraId="45FD628D"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DispersionClass:</w:t>
      </w:r>
    </w:p>
    <w:p w14:paraId="24BA8A4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anyOf:</w:t>
      </w:r>
    </w:p>
    <w:p w14:paraId="23576B1C"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6BB4D62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enum:</w:t>
      </w:r>
    </w:p>
    <w:p w14:paraId="138987B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FIXED</w:t>
      </w:r>
    </w:p>
    <w:p w14:paraId="1E284BA1"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CAMPER</w:t>
      </w:r>
    </w:p>
    <w:p w14:paraId="0AEA124B"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TRAVELLER</w:t>
      </w:r>
    </w:p>
    <w:p w14:paraId="50CC8091"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TOP_HEAVY</w:t>
      </w:r>
    </w:p>
    <w:p w14:paraId="506D12C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type: string</w:t>
      </w:r>
    </w:p>
    <w:p w14:paraId="0376C09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&gt;</w:t>
      </w:r>
    </w:p>
    <w:p w14:paraId="7DC79907"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This string provides forward-compatibility with future</w:t>
      </w:r>
    </w:p>
    <w:p w14:paraId="6D468D83"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extensions to the enumeration but is not used to encode</w:t>
      </w:r>
    </w:p>
    <w:p w14:paraId="46AFD10D"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content defined in the present version of this API.</w:t>
      </w:r>
    </w:p>
    <w:p w14:paraId="61F3C04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description: |</w:t>
      </w:r>
    </w:p>
    <w:p w14:paraId="5F254F5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Represents the </w:t>
      </w:r>
      <w:r w:rsidRPr="005E5629">
        <w:rPr>
          <w:rFonts w:ascii="Courier New" w:eastAsia="Times New Roman" w:hAnsi="Courier New"/>
          <w:noProof/>
          <w:sz w:val="16"/>
          <w:lang w:eastAsia="ko-KR"/>
        </w:rPr>
        <w:t xml:space="preserve">dispersion class.  </w:t>
      </w:r>
    </w:p>
    <w:p w14:paraId="3561C919"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Possible values are:</w:t>
      </w:r>
    </w:p>
    <w:p w14:paraId="036C8DAA"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FIXED: Dispersion class as fixed UE its data or transaction usage at a location or</w:t>
      </w:r>
    </w:p>
    <w:p w14:paraId="7683747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 slice, is higher than its class threshold set for its all data or transaction usage.</w:t>
      </w:r>
    </w:p>
    <w:p w14:paraId="2C1804E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CAMPER: Dispersion class as camper UE, its data or transaction usage at a location or</w:t>
      </w:r>
    </w:p>
    <w:p w14:paraId="3080B536"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a slice, is higher than its class threshold and lower than the fixed class threshold set</w:t>
      </w:r>
    </w:p>
    <w:p w14:paraId="54B4A14C"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for its all data or transaction usage.</w:t>
      </w:r>
    </w:p>
    <w:p w14:paraId="309CC1CB"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TRAVELLER: Dispersion class as traveller UE, its data or transaction usage at a location</w:t>
      </w:r>
    </w:p>
    <w:p w14:paraId="08C352C7"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or a slice, is lower than the camper class threshold set for its all data or transaction</w:t>
      </w:r>
    </w:p>
    <w:p w14:paraId="484B6174"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usage.</w:t>
      </w:r>
    </w:p>
    <w:p w14:paraId="0EE66BB8"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 TOP_HEAVY: Dispersion class as Top_Heavy UE, who's dispersion percentile rating at a</w:t>
      </w:r>
    </w:p>
    <w:p w14:paraId="38BF3DBF"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r w:rsidRPr="005E5629">
        <w:rPr>
          <w:rFonts w:ascii="Courier New" w:eastAsia="Times New Roman" w:hAnsi="Courier New"/>
          <w:noProof/>
          <w:sz w:val="16"/>
          <w:lang w:val="en-US"/>
        </w:rPr>
        <w:t xml:space="preserve">          location or a slice, is higher than its class threshold.</w:t>
      </w:r>
    </w:p>
    <w:p w14:paraId="1BB0A24E" w14:textId="77777777" w:rsidR="007862A2" w:rsidRPr="005E5629"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en-US"/>
        </w:rPr>
      </w:pPr>
    </w:p>
    <w:p w14:paraId="624F3C9C" w14:textId="77777777" w:rsidR="007862A2" w:rsidRDefault="007862A2" w:rsidP="007862A2">
      <w:pPr>
        <w:pStyle w:val="PL"/>
        <w:rPr>
          <w:lang w:val="en-US"/>
        </w:rPr>
      </w:pPr>
      <w:r>
        <w:rPr>
          <w:lang w:val="en-US"/>
        </w:rPr>
        <w:t xml:space="preserve">    DispersionOrderingCriterion:</w:t>
      </w:r>
    </w:p>
    <w:p w14:paraId="14D5284E" w14:textId="77777777" w:rsidR="007862A2" w:rsidRDefault="007862A2" w:rsidP="007862A2">
      <w:pPr>
        <w:pStyle w:val="PL"/>
        <w:rPr>
          <w:lang w:val="en-US"/>
        </w:rPr>
      </w:pPr>
      <w:r>
        <w:rPr>
          <w:lang w:val="en-US"/>
        </w:rPr>
        <w:t xml:space="preserve">      anyOf:</w:t>
      </w:r>
    </w:p>
    <w:p w14:paraId="507806EF" w14:textId="77777777" w:rsidR="007862A2" w:rsidRDefault="007862A2" w:rsidP="007862A2">
      <w:pPr>
        <w:pStyle w:val="PL"/>
        <w:rPr>
          <w:lang w:val="en-US"/>
        </w:rPr>
      </w:pPr>
      <w:r>
        <w:rPr>
          <w:lang w:val="en-US"/>
        </w:rPr>
        <w:t xml:space="preserve">      - type: string</w:t>
      </w:r>
    </w:p>
    <w:p w14:paraId="27AEED6C" w14:textId="77777777" w:rsidR="007862A2" w:rsidRDefault="007862A2" w:rsidP="007862A2">
      <w:pPr>
        <w:pStyle w:val="PL"/>
        <w:rPr>
          <w:lang w:val="en-US"/>
        </w:rPr>
      </w:pPr>
      <w:r>
        <w:rPr>
          <w:lang w:val="en-US"/>
        </w:rPr>
        <w:t xml:space="preserve">        enum:</w:t>
      </w:r>
    </w:p>
    <w:p w14:paraId="7CD6FF9A" w14:textId="77777777" w:rsidR="007862A2" w:rsidRDefault="007862A2" w:rsidP="007862A2">
      <w:pPr>
        <w:pStyle w:val="PL"/>
        <w:rPr>
          <w:lang w:val="en-US"/>
        </w:rPr>
      </w:pPr>
      <w:r>
        <w:rPr>
          <w:lang w:val="en-US"/>
        </w:rPr>
        <w:t xml:space="preserve">          - TIME_SLOT_START</w:t>
      </w:r>
    </w:p>
    <w:p w14:paraId="5F18C010" w14:textId="77777777" w:rsidR="007862A2" w:rsidRDefault="007862A2" w:rsidP="007862A2">
      <w:pPr>
        <w:pStyle w:val="PL"/>
        <w:rPr>
          <w:lang w:val="en-US"/>
        </w:rPr>
      </w:pPr>
      <w:r>
        <w:rPr>
          <w:lang w:val="en-US"/>
        </w:rPr>
        <w:t xml:space="preserve">          - DISPERSION</w:t>
      </w:r>
    </w:p>
    <w:p w14:paraId="538D0F3C" w14:textId="77777777" w:rsidR="007862A2" w:rsidRDefault="007862A2" w:rsidP="007862A2">
      <w:pPr>
        <w:pStyle w:val="PL"/>
        <w:rPr>
          <w:lang w:val="en-US"/>
        </w:rPr>
      </w:pPr>
      <w:r>
        <w:rPr>
          <w:lang w:val="en-US"/>
        </w:rPr>
        <w:t xml:space="preserve">          - CLASSIFICATION</w:t>
      </w:r>
    </w:p>
    <w:p w14:paraId="658E6070" w14:textId="77777777" w:rsidR="007862A2" w:rsidRDefault="007862A2" w:rsidP="007862A2">
      <w:pPr>
        <w:pStyle w:val="PL"/>
        <w:rPr>
          <w:lang w:val="en-US"/>
        </w:rPr>
      </w:pPr>
      <w:r>
        <w:rPr>
          <w:lang w:val="en-US"/>
        </w:rPr>
        <w:t xml:space="preserve">          - RANKING</w:t>
      </w:r>
    </w:p>
    <w:p w14:paraId="22169B41" w14:textId="77777777" w:rsidR="007862A2" w:rsidRDefault="007862A2" w:rsidP="007862A2">
      <w:pPr>
        <w:pStyle w:val="PL"/>
        <w:rPr>
          <w:lang w:val="en-US"/>
        </w:rPr>
      </w:pPr>
      <w:r>
        <w:rPr>
          <w:lang w:val="en-US"/>
        </w:rPr>
        <w:t xml:space="preserve">          - PERCENTILE_RANKING</w:t>
      </w:r>
    </w:p>
    <w:p w14:paraId="584EDC09" w14:textId="77777777" w:rsidR="007862A2" w:rsidRDefault="007862A2" w:rsidP="007862A2">
      <w:pPr>
        <w:pStyle w:val="PL"/>
        <w:rPr>
          <w:lang w:val="en-US"/>
        </w:rPr>
      </w:pPr>
      <w:r>
        <w:rPr>
          <w:lang w:val="en-US"/>
        </w:rPr>
        <w:t xml:space="preserve">      - type: string</w:t>
      </w:r>
    </w:p>
    <w:p w14:paraId="645C33C9" w14:textId="77777777" w:rsidR="007862A2" w:rsidRDefault="007862A2" w:rsidP="007862A2">
      <w:pPr>
        <w:pStyle w:val="PL"/>
        <w:rPr>
          <w:lang w:val="en-US"/>
        </w:rPr>
      </w:pPr>
      <w:r>
        <w:rPr>
          <w:lang w:val="en-US"/>
        </w:rPr>
        <w:t xml:space="preserve">        description: &gt;</w:t>
      </w:r>
    </w:p>
    <w:p w14:paraId="403BA326" w14:textId="77777777" w:rsidR="007862A2" w:rsidRDefault="007862A2" w:rsidP="007862A2">
      <w:pPr>
        <w:pStyle w:val="PL"/>
        <w:rPr>
          <w:lang w:val="en-US"/>
        </w:rPr>
      </w:pPr>
      <w:r>
        <w:rPr>
          <w:lang w:val="en-US"/>
        </w:rPr>
        <w:t xml:space="preserve">          This string provides forward-compatibility with future</w:t>
      </w:r>
    </w:p>
    <w:p w14:paraId="4AEECFAE" w14:textId="77777777" w:rsidR="007862A2" w:rsidRDefault="007862A2" w:rsidP="007862A2">
      <w:pPr>
        <w:pStyle w:val="PL"/>
        <w:rPr>
          <w:lang w:val="en-US"/>
        </w:rPr>
      </w:pPr>
      <w:r>
        <w:rPr>
          <w:lang w:val="en-US"/>
        </w:rPr>
        <w:t xml:space="preserve">          extensions to the enumeration but is not used to encode</w:t>
      </w:r>
    </w:p>
    <w:p w14:paraId="46A22F1C" w14:textId="77777777" w:rsidR="007862A2" w:rsidRDefault="007862A2" w:rsidP="007862A2">
      <w:pPr>
        <w:pStyle w:val="PL"/>
        <w:rPr>
          <w:lang w:val="en-US"/>
        </w:rPr>
      </w:pPr>
      <w:r>
        <w:rPr>
          <w:lang w:val="en-US"/>
        </w:rPr>
        <w:t xml:space="preserve">          content defined in the present version of this API.</w:t>
      </w:r>
    </w:p>
    <w:p w14:paraId="56F62A66" w14:textId="77777777" w:rsidR="007862A2" w:rsidRDefault="007862A2" w:rsidP="007862A2">
      <w:pPr>
        <w:pStyle w:val="PL"/>
        <w:rPr>
          <w:lang w:val="en-US"/>
        </w:rPr>
      </w:pPr>
      <w:r>
        <w:rPr>
          <w:lang w:val="en-US"/>
        </w:rPr>
        <w:t xml:space="preserve">      description: |</w:t>
      </w:r>
    </w:p>
    <w:p w14:paraId="3CC5741B" w14:textId="77777777" w:rsidR="007862A2" w:rsidRDefault="007862A2" w:rsidP="007862A2">
      <w:pPr>
        <w:pStyle w:val="PL"/>
        <w:rPr>
          <w:lang w:val="en-US"/>
        </w:rPr>
      </w:pPr>
      <w:r>
        <w:rPr>
          <w:lang w:val="en-US"/>
        </w:rPr>
        <w:t xml:space="preserve">        Represents the </w:t>
      </w:r>
      <w:r>
        <w:rPr>
          <w:lang w:eastAsia="ko-KR"/>
        </w:rPr>
        <w:t xml:space="preserve">order criterion for the list of dispersion.  </w:t>
      </w:r>
    </w:p>
    <w:p w14:paraId="7E03FC9B" w14:textId="77777777" w:rsidR="007862A2" w:rsidRDefault="007862A2" w:rsidP="007862A2">
      <w:pPr>
        <w:pStyle w:val="PL"/>
        <w:rPr>
          <w:lang w:val="en-US"/>
        </w:rPr>
      </w:pPr>
      <w:r>
        <w:rPr>
          <w:lang w:val="en-US"/>
        </w:rPr>
        <w:t xml:space="preserve">        Possible values are:</w:t>
      </w:r>
    </w:p>
    <w:p w14:paraId="79FECD7A" w14:textId="77777777" w:rsidR="007862A2" w:rsidRDefault="007862A2" w:rsidP="007862A2">
      <w:pPr>
        <w:pStyle w:val="PL"/>
        <w:rPr>
          <w:lang w:val="en-US"/>
        </w:rPr>
      </w:pPr>
      <w:r>
        <w:rPr>
          <w:lang w:val="en-US"/>
        </w:rPr>
        <w:t xml:space="preserve">        - TIME_SLOT_START: Indicates the order of time slot start.</w:t>
      </w:r>
    </w:p>
    <w:p w14:paraId="3F1DB53C" w14:textId="77777777" w:rsidR="007862A2" w:rsidRDefault="007862A2" w:rsidP="007862A2">
      <w:pPr>
        <w:pStyle w:val="PL"/>
        <w:rPr>
          <w:lang w:val="en-US"/>
        </w:rPr>
      </w:pPr>
      <w:r>
        <w:rPr>
          <w:lang w:val="en-US"/>
        </w:rPr>
        <w:t xml:space="preserve">        - DISPERSION: Indicates the order of data/transaction dispersion.</w:t>
      </w:r>
    </w:p>
    <w:p w14:paraId="71BE98A2" w14:textId="77777777" w:rsidR="007862A2" w:rsidRDefault="007862A2" w:rsidP="007862A2">
      <w:pPr>
        <w:pStyle w:val="PL"/>
        <w:rPr>
          <w:lang w:val="en-US"/>
        </w:rPr>
      </w:pPr>
      <w:r>
        <w:rPr>
          <w:lang w:val="en-US"/>
        </w:rPr>
        <w:t xml:space="preserve">        - CLASSIFICATION: Indicates the order of data/transaction classification.</w:t>
      </w:r>
    </w:p>
    <w:p w14:paraId="37F276E3" w14:textId="77777777" w:rsidR="007862A2" w:rsidRDefault="007862A2" w:rsidP="007862A2">
      <w:pPr>
        <w:pStyle w:val="PL"/>
        <w:rPr>
          <w:lang w:val="en-US"/>
        </w:rPr>
      </w:pPr>
      <w:r>
        <w:rPr>
          <w:lang w:val="en-US"/>
        </w:rPr>
        <w:t xml:space="preserve">        - R</w:t>
      </w:r>
      <w:r>
        <w:rPr>
          <w:rFonts w:hint="eastAsia"/>
          <w:lang w:val="en-US" w:eastAsia="zh-CN"/>
        </w:rPr>
        <w:t>AN</w:t>
      </w:r>
      <w:r>
        <w:rPr>
          <w:lang w:val="en-US"/>
        </w:rPr>
        <w:t>KING: Indicates the order of data/transaction ranking.</w:t>
      </w:r>
    </w:p>
    <w:p w14:paraId="6BC7BC00" w14:textId="77777777" w:rsidR="007862A2" w:rsidRDefault="007862A2" w:rsidP="007862A2">
      <w:pPr>
        <w:pStyle w:val="PL"/>
        <w:rPr>
          <w:lang w:val="en-US"/>
        </w:rPr>
      </w:pPr>
      <w:r>
        <w:rPr>
          <w:lang w:val="en-US"/>
        </w:rPr>
        <w:t xml:space="preserve">        - PERCENTILE_RANKING: Indicates the order of data/transaction percentile ranking.</w:t>
      </w:r>
    </w:p>
    <w:p w14:paraId="68844E86" w14:textId="77777777" w:rsidR="007862A2" w:rsidRDefault="007862A2" w:rsidP="007862A2">
      <w:pPr>
        <w:pStyle w:val="PL"/>
        <w:rPr>
          <w:lang w:val="en-US"/>
        </w:rPr>
      </w:pPr>
    </w:p>
    <w:p w14:paraId="36C554B4" w14:textId="77777777" w:rsidR="007862A2" w:rsidRDefault="007862A2" w:rsidP="007862A2">
      <w:pPr>
        <w:pStyle w:val="PL"/>
        <w:rPr>
          <w:lang w:val="en-US"/>
        </w:rPr>
      </w:pPr>
      <w:r>
        <w:rPr>
          <w:lang w:val="en-US"/>
        </w:rPr>
        <w:t xml:space="preserve">    </w:t>
      </w:r>
      <w:r>
        <w:rPr>
          <w:rFonts w:hint="eastAsia"/>
          <w:lang w:eastAsia="zh-CN"/>
        </w:rPr>
        <w:t>D</w:t>
      </w:r>
      <w:r>
        <w:rPr>
          <w:lang w:eastAsia="zh-CN"/>
        </w:rPr>
        <w:t>eviceType</w:t>
      </w:r>
      <w:r>
        <w:rPr>
          <w:lang w:val="en-US"/>
        </w:rPr>
        <w:t>:</w:t>
      </w:r>
    </w:p>
    <w:p w14:paraId="4B4F580E" w14:textId="77777777" w:rsidR="007862A2" w:rsidRDefault="007862A2" w:rsidP="007862A2">
      <w:pPr>
        <w:pStyle w:val="PL"/>
        <w:rPr>
          <w:lang w:val="en-US"/>
        </w:rPr>
      </w:pPr>
      <w:r>
        <w:rPr>
          <w:lang w:val="en-US"/>
        </w:rPr>
        <w:t xml:space="preserve">      anyOf:</w:t>
      </w:r>
    </w:p>
    <w:p w14:paraId="3DF1E2AF" w14:textId="77777777" w:rsidR="007862A2" w:rsidRDefault="007862A2" w:rsidP="007862A2">
      <w:pPr>
        <w:pStyle w:val="PL"/>
        <w:rPr>
          <w:lang w:val="en-US"/>
        </w:rPr>
      </w:pPr>
      <w:r>
        <w:rPr>
          <w:lang w:val="en-US"/>
        </w:rPr>
        <w:t xml:space="preserve">      - type: string</w:t>
      </w:r>
    </w:p>
    <w:p w14:paraId="03922600" w14:textId="77777777" w:rsidR="007862A2" w:rsidRDefault="007862A2" w:rsidP="007862A2">
      <w:pPr>
        <w:pStyle w:val="PL"/>
        <w:rPr>
          <w:lang w:val="en-US"/>
        </w:rPr>
      </w:pPr>
      <w:r>
        <w:rPr>
          <w:lang w:val="en-US"/>
        </w:rPr>
        <w:t xml:space="preserve">        enum:</w:t>
      </w:r>
    </w:p>
    <w:p w14:paraId="18C879FC" w14:textId="77777777" w:rsidR="007862A2" w:rsidRDefault="007862A2" w:rsidP="007862A2">
      <w:pPr>
        <w:pStyle w:val="PL"/>
        <w:rPr>
          <w:lang w:val="en-US"/>
        </w:rPr>
      </w:pPr>
      <w:r>
        <w:rPr>
          <w:lang w:val="en-US"/>
        </w:rPr>
        <w:t xml:space="preserve">          - </w:t>
      </w:r>
      <w:r>
        <w:t>MOBILE_PHONE</w:t>
      </w:r>
    </w:p>
    <w:p w14:paraId="5DFC83EC" w14:textId="77777777" w:rsidR="007862A2" w:rsidRDefault="007862A2" w:rsidP="007862A2">
      <w:pPr>
        <w:pStyle w:val="PL"/>
      </w:pPr>
      <w:r>
        <w:rPr>
          <w:lang w:val="en-US"/>
        </w:rPr>
        <w:t xml:space="preserve">          - </w:t>
      </w:r>
      <w:r>
        <w:t>SMART_PHONE</w:t>
      </w:r>
    </w:p>
    <w:p w14:paraId="3B5DEA99" w14:textId="77777777" w:rsidR="007862A2" w:rsidRDefault="007862A2" w:rsidP="007862A2">
      <w:pPr>
        <w:pStyle w:val="PL"/>
        <w:rPr>
          <w:lang w:val="en-US"/>
        </w:rPr>
      </w:pPr>
      <w:r>
        <w:rPr>
          <w:lang w:val="en-US"/>
        </w:rPr>
        <w:t xml:space="preserve">          - </w:t>
      </w:r>
      <w:r>
        <w:t>TABLET</w:t>
      </w:r>
    </w:p>
    <w:p w14:paraId="1CFDBEB5" w14:textId="77777777" w:rsidR="007862A2" w:rsidRDefault="007862A2" w:rsidP="007862A2">
      <w:pPr>
        <w:pStyle w:val="PL"/>
        <w:rPr>
          <w:lang w:val="en-US"/>
        </w:rPr>
      </w:pPr>
      <w:r>
        <w:rPr>
          <w:lang w:val="en-US"/>
        </w:rPr>
        <w:t xml:space="preserve">          - </w:t>
      </w:r>
      <w:r>
        <w:t>DONGLE</w:t>
      </w:r>
    </w:p>
    <w:p w14:paraId="4D89F866" w14:textId="77777777" w:rsidR="007862A2" w:rsidRDefault="007862A2" w:rsidP="007862A2">
      <w:pPr>
        <w:pStyle w:val="PL"/>
        <w:rPr>
          <w:lang w:val="en-US"/>
        </w:rPr>
      </w:pPr>
      <w:r>
        <w:rPr>
          <w:lang w:val="en-US"/>
        </w:rPr>
        <w:t xml:space="preserve">          - </w:t>
      </w:r>
      <w:r>
        <w:t>MODEM</w:t>
      </w:r>
    </w:p>
    <w:p w14:paraId="410B484E" w14:textId="77777777" w:rsidR="007862A2" w:rsidRDefault="007862A2" w:rsidP="007862A2">
      <w:pPr>
        <w:pStyle w:val="PL"/>
        <w:rPr>
          <w:lang w:val="en-US"/>
        </w:rPr>
      </w:pPr>
      <w:r>
        <w:rPr>
          <w:lang w:val="en-US"/>
        </w:rPr>
        <w:t xml:space="preserve">          - </w:t>
      </w:r>
      <w:r>
        <w:t>WLAN_ROUTER</w:t>
      </w:r>
    </w:p>
    <w:p w14:paraId="68E1BDB6" w14:textId="77777777" w:rsidR="007862A2" w:rsidRDefault="007862A2" w:rsidP="007862A2">
      <w:pPr>
        <w:pStyle w:val="PL"/>
        <w:rPr>
          <w:lang w:val="en-US"/>
        </w:rPr>
      </w:pPr>
      <w:r>
        <w:rPr>
          <w:lang w:val="en-US"/>
        </w:rPr>
        <w:t xml:space="preserve">          - </w:t>
      </w:r>
      <w:r>
        <w:t>IOT_DEVICE</w:t>
      </w:r>
    </w:p>
    <w:p w14:paraId="3737E61B" w14:textId="77777777" w:rsidR="007862A2" w:rsidRDefault="007862A2" w:rsidP="007862A2">
      <w:pPr>
        <w:pStyle w:val="PL"/>
        <w:rPr>
          <w:lang w:val="en-US"/>
        </w:rPr>
      </w:pPr>
      <w:r>
        <w:rPr>
          <w:lang w:val="en-US"/>
        </w:rPr>
        <w:t xml:space="preserve">          - </w:t>
      </w:r>
      <w:r>
        <w:t>WEARABLE</w:t>
      </w:r>
    </w:p>
    <w:p w14:paraId="76835E5D" w14:textId="77777777" w:rsidR="007862A2" w:rsidRDefault="007862A2" w:rsidP="007862A2">
      <w:pPr>
        <w:pStyle w:val="PL"/>
        <w:rPr>
          <w:lang w:val="en-US"/>
        </w:rPr>
      </w:pPr>
      <w:r>
        <w:rPr>
          <w:lang w:val="en-US"/>
        </w:rPr>
        <w:t xml:space="preserve">          - </w:t>
      </w:r>
      <w:r>
        <w:t>MOBILE_TEST_PLATFORM</w:t>
      </w:r>
    </w:p>
    <w:p w14:paraId="28C81DB5" w14:textId="77777777" w:rsidR="007862A2" w:rsidRDefault="007862A2" w:rsidP="007862A2">
      <w:pPr>
        <w:pStyle w:val="PL"/>
        <w:rPr>
          <w:lang w:val="en-US"/>
        </w:rPr>
      </w:pPr>
      <w:r>
        <w:rPr>
          <w:lang w:val="en-US"/>
        </w:rPr>
        <w:t xml:space="preserve">          - </w:t>
      </w:r>
      <w:r>
        <w:t>UNDEFINED</w:t>
      </w:r>
    </w:p>
    <w:p w14:paraId="20286F6A" w14:textId="77777777" w:rsidR="007862A2" w:rsidRDefault="007862A2" w:rsidP="007862A2">
      <w:pPr>
        <w:pStyle w:val="PL"/>
        <w:rPr>
          <w:lang w:val="en-US"/>
        </w:rPr>
      </w:pPr>
      <w:r>
        <w:rPr>
          <w:lang w:val="en-US"/>
        </w:rPr>
        <w:t xml:space="preserve">      - type: string</w:t>
      </w:r>
    </w:p>
    <w:p w14:paraId="4A46F3FF" w14:textId="77777777" w:rsidR="007862A2" w:rsidRDefault="007862A2" w:rsidP="007862A2">
      <w:pPr>
        <w:pStyle w:val="PL"/>
        <w:rPr>
          <w:lang w:val="en-US"/>
        </w:rPr>
      </w:pPr>
      <w:r>
        <w:rPr>
          <w:lang w:val="en-US"/>
        </w:rPr>
        <w:t xml:space="preserve">        description: &gt;</w:t>
      </w:r>
    </w:p>
    <w:p w14:paraId="1F0B6A36" w14:textId="77777777" w:rsidR="007862A2" w:rsidRDefault="007862A2" w:rsidP="007862A2">
      <w:pPr>
        <w:pStyle w:val="PL"/>
        <w:rPr>
          <w:lang w:val="en-US"/>
        </w:rPr>
      </w:pPr>
      <w:r>
        <w:rPr>
          <w:lang w:val="en-US"/>
        </w:rPr>
        <w:t xml:space="preserve">          This string provides forward-compatibility with future extensions to the enumeration but</w:t>
      </w:r>
    </w:p>
    <w:p w14:paraId="13F654AA" w14:textId="77777777" w:rsidR="007862A2" w:rsidRDefault="007862A2" w:rsidP="007862A2">
      <w:pPr>
        <w:pStyle w:val="PL"/>
        <w:rPr>
          <w:lang w:val="en-US"/>
        </w:rPr>
      </w:pPr>
      <w:r>
        <w:rPr>
          <w:lang w:val="en-US"/>
        </w:rPr>
        <w:t xml:space="preserve">          is not used to encode content defined in the present version of this API.</w:t>
      </w:r>
    </w:p>
    <w:p w14:paraId="6C1AB654" w14:textId="77777777" w:rsidR="007862A2" w:rsidRDefault="007862A2" w:rsidP="007862A2">
      <w:pPr>
        <w:pStyle w:val="PL"/>
        <w:rPr>
          <w:lang w:val="en-US"/>
        </w:rPr>
      </w:pPr>
      <w:r>
        <w:rPr>
          <w:lang w:val="en-US"/>
        </w:rPr>
        <w:lastRenderedPageBreak/>
        <w:t xml:space="preserve">      description: |</w:t>
      </w:r>
    </w:p>
    <w:p w14:paraId="57D193AC" w14:textId="77777777" w:rsidR="007862A2" w:rsidRDefault="007862A2" w:rsidP="007862A2">
      <w:pPr>
        <w:pStyle w:val="PL"/>
        <w:rPr>
          <w:lang w:val="en-US"/>
        </w:rPr>
      </w:pPr>
      <w:r>
        <w:rPr>
          <w:lang w:val="en-US"/>
        </w:rPr>
        <w:t xml:space="preserve">        Represents the </w:t>
      </w:r>
      <w:r>
        <w:rPr>
          <w:lang w:eastAsia="zh-CN"/>
        </w:rPr>
        <w:t>device type</w:t>
      </w:r>
      <w:r>
        <w:rPr>
          <w:lang w:eastAsia="ko-KR"/>
        </w:rPr>
        <w:t xml:space="preserve">.  </w:t>
      </w:r>
    </w:p>
    <w:p w14:paraId="1E1B21B3" w14:textId="77777777" w:rsidR="007862A2" w:rsidRDefault="007862A2" w:rsidP="007862A2">
      <w:pPr>
        <w:pStyle w:val="PL"/>
        <w:rPr>
          <w:lang w:val="en-US"/>
        </w:rPr>
      </w:pPr>
      <w:r>
        <w:rPr>
          <w:lang w:val="en-US"/>
        </w:rPr>
        <w:t xml:space="preserve">        Possible values are:  </w:t>
      </w:r>
    </w:p>
    <w:p w14:paraId="11E89F4E" w14:textId="77777777" w:rsidR="007862A2" w:rsidRDefault="007862A2" w:rsidP="007862A2">
      <w:pPr>
        <w:pStyle w:val="PL"/>
        <w:rPr>
          <w:lang w:val="en-US"/>
        </w:rPr>
      </w:pPr>
      <w:r>
        <w:rPr>
          <w:lang w:val="en-US"/>
        </w:rPr>
        <w:t xml:space="preserve">          - </w:t>
      </w:r>
      <w:r>
        <w:t>MOBILE_PHONE: Mobile Phone.</w:t>
      </w:r>
    </w:p>
    <w:p w14:paraId="24342D8F" w14:textId="77777777" w:rsidR="007862A2" w:rsidRDefault="007862A2" w:rsidP="007862A2">
      <w:pPr>
        <w:pStyle w:val="PL"/>
      </w:pPr>
      <w:r>
        <w:rPr>
          <w:lang w:val="en-US"/>
        </w:rPr>
        <w:t xml:space="preserve">          - </w:t>
      </w:r>
      <w:r>
        <w:t>SMART_PHONE: Smartphone.</w:t>
      </w:r>
    </w:p>
    <w:p w14:paraId="00C47F99" w14:textId="77777777" w:rsidR="007862A2" w:rsidRDefault="007862A2" w:rsidP="007862A2">
      <w:pPr>
        <w:pStyle w:val="PL"/>
        <w:rPr>
          <w:lang w:val="en-US"/>
        </w:rPr>
      </w:pPr>
      <w:r>
        <w:rPr>
          <w:lang w:val="en-US"/>
        </w:rPr>
        <w:t xml:space="preserve">          - </w:t>
      </w:r>
      <w:r>
        <w:t>TABLET: Tablet</w:t>
      </w:r>
      <w:r>
        <w:rPr>
          <w:lang w:eastAsia="zh-CN"/>
        </w:rPr>
        <w:t>.</w:t>
      </w:r>
    </w:p>
    <w:p w14:paraId="0D5FD059" w14:textId="77777777" w:rsidR="007862A2" w:rsidRDefault="007862A2" w:rsidP="007862A2">
      <w:pPr>
        <w:pStyle w:val="PL"/>
        <w:rPr>
          <w:lang w:val="en-US"/>
        </w:rPr>
      </w:pPr>
      <w:r>
        <w:rPr>
          <w:lang w:val="en-US"/>
        </w:rPr>
        <w:t xml:space="preserve">          - </w:t>
      </w:r>
      <w:r>
        <w:t>DONGLE: Dongle</w:t>
      </w:r>
      <w:r>
        <w:rPr>
          <w:lang w:eastAsia="zh-CN"/>
        </w:rPr>
        <w:t>.</w:t>
      </w:r>
    </w:p>
    <w:p w14:paraId="2FC8AFEA" w14:textId="77777777" w:rsidR="007862A2" w:rsidRDefault="007862A2" w:rsidP="007862A2">
      <w:pPr>
        <w:pStyle w:val="PL"/>
        <w:rPr>
          <w:lang w:val="en-US"/>
        </w:rPr>
      </w:pPr>
      <w:r>
        <w:rPr>
          <w:lang w:val="en-US"/>
        </w:rPr>
        <w:t xml:space="preserve">          - </w:t>
      </w:r>
      <w:r>
        <w:t>MODEM: Modem</w:t>
      </w:r>
      <w:r>
        <w:rPr>
          <w:lang w:eastAsia="zh-CN"/>
        </w:rPr>
        <w:t>.</w:t>
      </w:r>
    </w:p>
    <w:p w14:paraId="41117139" w14:textId="77777777" w:rsidR="007862A2" w:rsidRDefault="007862A2" w:rsidP="007862A2">
      <w:pPr>
        <w:pStyle w:val="PL"/>
        <w:rPr>
          <w:lang w:val="en-US"/>
        </w:rPr>
      </w:pPr>
      <w:r>
        <w:rPr>
          <w:lang w:val="en-US"/>
        </w:rPr>
        <w:t xml:space="preserve">          - </w:t>
      </w:r>
      <w:r>
        <w:t>WLAN_ROUTER: WLAN Router</w:t>
      </w:r>
      <w:r>
        <w:rPr>
          <w:lang w:eastAsia="zh-CN"/>
        </w:rPr>
        <w:t>.</w:t>
      </w:r>
    </w:p>
    <w:p w14:paraId="5531654B" w14:textId="77777777" w:rsidR="007862A2" w:rsidRDefault="007862A2" w:rsidP="007862A2">
      <w:pPr>
        <w:pStyle w:val="PL"/>
        <w:rPr>
          <w:lang w:val="en-US"/>
        </w:rPr>
      </w:pPr>
      <w:r>
        <w:rPr>
          <w:lang w:val="en-US"/>
        </w:rPr>
        <w:t xml:space="preserve">          - </w:t>
      </w:r>
      <w:r>
        <w:t>IOT_DEVICE: IoT Device</w:t>
      </w:r>
      <w:r>
        <w:rPr>
          <w:lang w:eastAsia="zh-CN"/>
        </w:rPr>
        <w:t>.</w:t>
      </w:r>
    </w:p>
    <w:p w14:paraId="6307DEA3" w14:textId="77777777" w:rsidR="007862A2" w:rsidRDefault="007862A2" w:rsidP="007862A2">
      <w:pPr>
        <w:pStyle w:val="PL"/>
        <w:rPr>
          <w:lang w:val="en-US"/>
        </w:rPr>
      </w:pPr>
      <w:r>
        <w:rPr>
          <w:lang w:val="en-US"/>
        </w:rPr>
        <w:t xml:space="preserve">          - </w:t>
      </w:r>
      <w:r>
        <w:t>WEARABLE: Wearable</w:t>
      </w:r>
      <w:r>
        <w:rPr>
          <w:lang w:eastAsia="zh-CN"/>
        </w:rPr>
        <w:t>.</w:t>
      </w:r>
    </w:p>
    <w:p w14:paraId="3FF4FEBD" w14:textId="77777777" w:rsidR="007862A2" w:rsidRDefault="007862A2" w:rsidP="007862A2">
      <w:pPr>
        <w:pStyle w:val="PL"/>
        <w:rPr>
          <w:lang w:val="en-US"/>
        </w:rPr>
      </w:pPr>
      <w:r>
        <w:rPr>
          <w:lang w:val="en-US"/>
        </w:rPr>
        <w:t xml:space="preserve">          - </w:t>
      </w:r>
      <w:r>
        <w:t>MOBILE_TEST_PLATFORM: Mobile Test Platform</w:t>
      </w:r>
      <w:r>
        <w:rPr>
          <w:lang w:eastAsia="zh-CN"/>
        </w:rPr>
        <w:t>.</w:t>
      </w:r>
    </w:p>
    <w:p w14:paraId="34DD653D" w14:textId="77777777" w:rsidR="007862A2" w:rsidRDefault="007862A2" w:rsidP="007862A2">
      <w:pPr>
        <w:pStyle w:val="PL"/>
        <w:rPr>
          <w:lang w:val="en-US"/>
        </w:rPr>
      </w:pPr>
      <w:r>
        <w:rPr>
          <w:lang w:val="en-US"/>
        </w:rPr>
        <w:t xml:space="preserve">          - </w:t>
      </w:r>
      <w:r>
        <w:t>UNDEFINED: Undefined</w:t>
      </w:r>
      <w:r>
        <w:rPr>
          <w:lang w:eastAsia="zh-CN"/>
        </w:rPr>
        <w:t>.</w:t>
      </w:r>
    </w:p>
    <w:p w14:paraId="2C81A110" w14:textId="77777777" w:rsidR="007862A2" w:rsidRDefault="007862A2" w:rsidP="007862A2">
      <w:pPr>
        <w:pStyle w:val="PL"/>
        <w:rPr>
          <w:lang w:val="en-US"/>
        </w:rPr>
      </w:pPr>
    </w:p>
    <w:p w14:paraId="040CBCBB" w14:textId="77777777" w:rsidR="007862A2" w:rsidRDefault="007862A2" w:rsidP="007862A2">
      <w:pPr>
        <w:pStyle w:val="PL"/>
        <w:rPr>
          <w:lang w:val="en-US"/>
        </w:rPr>
      </w:pPr>
      <w:r>
        <w:rPr>
          <w:lang w:val="en-US"/>
        </w:rPr>
        <w:t xml:space="preserve">    RedTransExpOrderingCriterion:</w:t>
      </w:r>
    </w:p>
    <w:p w14:paraId="77B10435" w14:textId="77777777" w:rsidR="007862A2" w:rsidRDefault="007862A2" w:rsidP="007862A2">
      <w:pPr>
        <w:pStyle w:val="PL"/>
        <w:rPr>
          <w:lang w:val="en-US"/>
        </w:rPr>
      </w:pPr>
      <w:r>
        <w:rPr>
          <w:lang w:val="en-US"/>
        </w:rPr>
        <w:t xml:space="preserve">      anyOf:</w:t>
      </w:r>
    </w:p>
    <w:p w14:paraId="5CFB60E2" w14:textId="77777777" w:rsidR="007862A2" w:rsidRDefault="007862A2" w:rsidP="007862A2">
      <w:pPr>
        <w:pStyle w:val="PL"/>
        <w:rPr>
          <w:lang w:val="en-US"/>
        </w:rPr>
      </w:pPr>
      <w:r>
        <w:rPr>
          <w:lang w:val="en-US"/>
        </w:rPr>
        <w:t xml:space="preserve">      - type: string</w:t>
      </w:r>
    </w:p>
    <w:p w14:paraId="32C0B337" w14:textId="77777777" w:rsidR="007862A2" w:rsidRDefault="007862A2" w:rsidP="007862A2">
      <w:pPr>
        <w:pStyle w:val="PL"/>
        <w:rPr>
          <w:lang w:val="en-US"/>
        </w:rPr>
      </w:pPr>
      <w:r>
        <w:rPr>
          <w:lang w:val="en-US"/>
        </w:rPr>
        <w:t xml:space="preserve">        enum:</w:t>
      </w:r>
    </w:p>
    <w:p w14:paraId="25A81B26" w14:textId="77777777" w:rsidR="007862A2" w:rsidRDefault="007862A2" w:rsidP="007862A2">
      <w:pPr>
        <w:pStyle w:val="PL"/>
        <w:rPr>
          <w:lang w:val="en-US"/>
        </w:rPr>
      </w:pPr>
      <w:r>
        <w:rPr>
          <w:lang w:val="en-US"/>
        </w:rPr>
        <w:t xml:space="preserve">          - TIME_SLOT_START</w:t>
      </w:r>
    </w:p>
    <w:p w14:paraId="3D26564C" w14:textId="77777777" w:rsidR="007862A2" w:rsidRDefault="007862A2" w:rsidP="007862A2">
      <w:pPr>
        <w:pStyle w:val="PL"/>
        <w:rPr>
          <w:lang w:val="en-US"/>
        </w:rPr>
      </w:pPr>
      <w:r>
        <w:rPr>
          <w:lang w:val="en-US"/>
        </w:rPr>
        <w:t xml:space="preserve">          - RED_TRANS_EXP</w:t>
      </w:r>
    </w:p>
    <w:p w14:paraId="02C9851E" w14:textId="77777777" w:rsidR="007862A2" w:rsidRDefault="007862A2" w:rsidP="007862A2">
      <w:pPr>
        <w:pStyle w:val="PL"/>
        <w:rPr>
          <w:lang w:val="en-US"/>
        </w:rPr>
      </w:pPr>
      <w:r>
        <w:rPr>
          <w:lang w:val="en-US"/>
        </w:rPr>
        <w:t xml:space="preserve">      - type: string</w:t>
      </w:r>
    </w:p>
    <w:p w14:paraId="08048BC5" w14:textId="77777777" w:rsidR="007862A2" w:rsidRDefault="007862A2" w:rsidP="007862A2">
      <w:pPr>
        <w:pStyle w:val="PL"/>
        <w:rPr>
          <w:lang w:val="en-US"/>
        </w:rPr>
      </w:pPr>
      <w:r>
        <w:rPr>
          <w:lang w:val="en-US"/>
        </w:rPr>
        <w:t xml:space="preserve">        description: &gt;</w:t>
      </w:r>
    </w:p>
    <w:p w14:paraId="3172BD11" w14:textId="77777777" w:rsidR="007862A2" w:rsidRDefault="007862A2" w:rsidP="007862A2">
      <w:pPr>
        <w:pStyle w:val="PL"/>
        <w:rPr>
          <w:lang w:val="en-US"/>
        </w:rPr>
      </w:pPr>
      <w:r>
        <w:rPr>
          <w:lang w:val="en-US"/>
        </w:rPr>
        <w:t xml:space="preserve">          This string provides forward-compatibility with future</w:t>
      </w:r>
    </w:p>
    <w:p w14:paraId="19CBFE00" w14:textId="77777777" w:rsidR="007862A2" w:rsidRDefault="007862A2" w:rsidP="007862A2">
      <w:pPr>
        <w:pStyle w:val="PL"/>
        <w:rPr>
          <w:lang w:val="en-US"/>
        </w:rPr>
      </w:pPr>
      <w:r>
        <w:rPr>
          <w:lang w:val="en-US"/>
        </w:rPr>
        <w:t xml:space="preserve">          extensions to the enumeration but is not used to encode</w:t>
      </w:r>
    </w:p>
    <w:p w14:paraId="41DBFF82" w14:textId="77777777" w:rsidR="007862A2" w:rsidRDefault="007862A2" w:rsidP="007862A2">
      <w:pPr>
        <w:pStyle w:val="PL"/>
        <w:rPr>
          <w:lang w:val="en-US"/>
        </w:rPr>
      </w:pPr>
      <w:r>
        <w:rPr>
          <w:lang w:val="en-US"/>
        </w:rPr>
        <w:t xml:space="preserve">          content defined in the present version of this API.</w:t>
      </w:r>
    </w:p>
    <w:p w14:paraId="2FE5F495" w14:textId="77777777" w:rsidR="007862A2" w:rsidRDefault="007862A2" w:rsidP="007862A2">
      <w:pPr>
        <w:pStyle w:val="PL"/>
        <w:rPr>
          <w:lang w:val="en-US"/>
        </w:rPr>
      </w:pPr>
      <w:r>
        <w:rPr>
          <w:lang w:val="en-US"/>
        </w:rPr>
        <w:t xml:space="preserve">      description: |</w:t>
      </w:r>
    </w:p>
    <w:p w14:paraId="23E4CBE7" w14:textId="77777777" w:rsidR="007862A2" w:rsidRDefault="007862A2" w:rsidP="007862A2">
      <w:pPr>
        <w:pStyle w:val="PL"/>
        <w:rPr>
          <w:lang w:eastAsia="ko-KR"/>
        </w:rPr>
      </w:pPr>
      <w:r>
        <w:rPr>
          <w:lang w:val="en-US"/>
        </w:rPr>
        <w:t xml:space="preserve">        Represents the </w:t>
      </w:r>
      <w:r>
        <w:rPr>
          <w:lang w:eastAsia="ko-KR"/>
        </w:rPr>
        <w:t xml:space="preserve">order criterion for the list of Redundant Transmission Experience.  </w:t>
      </w:r>
    </w:p>
    <w:p w14:paraId="1B6F133E" w14:textId="77777777" w:rsidR="007862A2" w:rsidRDefault="007862A2" w:rsidP="007862A2">
      <w:pPr>
        <w:pStyle w:val="PL"/>
        <w:rPr>
          <w:lang w:val="en-US"/>
        </w:rPr>
      </w:pPr>
      <w:r>
        <w:rPr>
          <w:lang w:val="en-US"/>
        </w:rPr>
        <w:t xml:space="preserve">        Possible values are:</w:t>
      </w:r>
    </w:p>
    <w:p w14:paraId="0F41FF74" w14:textId="77777777" w:rsidR="007862A2" w:rsidRDefault="007862A2" w:rsidP="007862A2">
      <w:pPr>
        <w:pStyle w:val="PL"/>
        <w:rPr>
          <w:lang w:val="en-US"/>
        </w:rPr>
      </w:pPr>
      <w:r>
        <w:rPr>
          <w:lang w:val="en-US"/>
        </w:rPr>
        <w:t xml:space="preserve">        - TIME_SLOT_START: Indicates the order of time slot start.</w:t>
      </w:r>
    </w:p>
    <w:p w14:paraId="71F1B504" w14:textId="77777777" w:rsidR="007862A2" w:rsidRDefault="007862A2" w:rsidP="007862A2">
      <w:pPr>
        <w:pStyle w:val="PL"/>
        <w:rPr>
          <w:lang w:val="en-US"/>
        </w:rPr>
      </w:pPr>
      <w:r>
        <w:rPr>
          <w:lang w:val="en-US"/>
        </w:rPr>
        <w:t xml:space="preserve">        - RED_TRANS_EXP: Indicates the order of Redundant Transmission Experience.</w:t>
      </w:r>
    </w:p>
    <w:p w14:paraId="60BA5D47" w14:textId="77777777" w:rsidR="007862A2" w:rsidRDefault="007862A2" w:rsidP="007862A2">
      <w:pPr>
        <w:pStyle w:val="PL"/>
        <w:rPr>
          <w:lang w:val="en-US"/>
        </w:rPr>
      </w:pPr>
    </w:p>
    <w:p w14:paraId="68994C53" w14:textId="77777777" w:rsidR="007862A2" w:rsidRDefault="007862A2" w:rsidP="007862A2">
      <w:pPr>
        <w:pStyle w:val="PL"/>
        <w:rPr>
          <w:lang w:val="en-US"/>
        </w:rPr>
      </w:pPr>
      <w:r>
        <w:rPr>
          <w:lang w:val="en-US"/>
        </w:rPr>
        <w:t xml:space="preserve">    WlanOrderingCriterion:</w:t>
      </w:r>
    </w:p>
    <w:p w14:paraId="5C11FCB1" w14:textId="77777777" w:rsidR="007862A2" w:rsidRDefault="007862A2" w:rsidP="007862A2">
      <w:pPr>
        <w:pStyle w:val="PL"/>
        <w:rPr>
          <w:lang w:val="en-US"/>
        </w:rPr>
      </w:pPr>
      <w:r>
        <w:rPr>
          <w:lang w:val="en-US"/>
        </w:rPr>
        <w:t xml:space="preserve">      anyOf:</w:t>
      </w:r>
    </w:p>
    <w:p w14:paraId="39180BC3" w14:textId="77777777" w:rsidR="007862A2" w:rsidRDefault="007862A2" w:rsidP="007862A2">
      <w:pPr>
        <w:pStyle w:val="PL"/>
        <w:rPr>
          <w:lang w:val="en-US"/>
        </w:rPr>
      </w:pPr>
      <w:r>
        <w:rPr>
          <w:lang w:val="en-US"/>
        </w:rPr>
        <w:t xml:space="preserve">      - type: string</w:t>
      </w:r>
    </w:p>
    <w:p w14:paraId="6A87FC2C" w14:textId="77777777" w:rsidR="007862A2" w:rsidRDefault="007862A2" w:rsidP="007862A2">
      <w:pPr>
        <w:pStyle w:val="PL"/>
        <w:rPr>
          <w:lang w:val="en-US"/>
        </w:rPr>
      </w:pPr>
      <w:r>
        <w:rPr>
          <w:lang w:val="en-US"/>
        </w:rPr>
        <w:t xml:space="preserve">        enum:</w:t>
      </w:r>
    </w:p>
    <w:p w14:paraId="7DE216FF" w14:textId="77777777" w:rsidR="007862A2" w:rsidRDefault="007862A2" w:rsidP="007862A2">
      <w:pPr>
        <w:pStyle w:val="PL"/>
        <w:rPr>
          <w:lang w:val="en-US"/>
        </w:rPr>
      </w:pPr>
      <w:r>
        <w:rPr>
          <w:lang w:val="en-US"/>
        </w:rPr>
        <w:t xml:space="preserve">          - TIME_SLOT_START</w:t>
      </w:r>
    </w:p>
    <w:p w14:paraId="65992DDE" w14:textId="77777777" w:rsidR="007862A2" w:rsidRDefault="007862A2" w:rsidP="007862A2">
      <w:pPr>
        <w:pStyle w:val="PL"/>
        <w:rPr>
          <w:lang w:val="en-US"/>
        </w:rPr>
      </w:pPr>
      <w:r>
        <w:rPr>
          <w:lang w:val="en-US"/>
        </w:rPr>
        <w:t xml:space="preserve">          - NUMBER_OF_UES</w:t>
      </w:r>
    </w:p>
    <w:p w14:paraId="408199F4" w14:textId="77777777" w:rsidR="007862A2" w:rsidRDefault="007862A2" w:rsidP="007862A2">
      <w:pPr>
        <w:pStyle w:val="PL"/>
        <w:rPr>
          <w:lang w:val="en-US"/>
        </w:rPr>
      </w:pPr>
      <w:r>
        <w:rPr>
          <w:lang w:val="en-US"/>
        </w:rPr>
        <w:t xml:space="preserve">          - RSSI</w:t>
      </w:r>
    </w:p>
    <w:p w14:paraId="46FC0C98" w14:textId="77777777" w:rsidR="007862A2" w:rsidRDefault="007862A2" w:rsidP="007862A2">
      <w:pPr>
        <w:pStyle w:val="PL"/>
        <w:rPr>
          <w:lang w:val="en-US"/>
        </w:rPr>
      </w:pPr>
      <w:r>
        <w:rPr>
          <w:lang w:val="en-US"/>
        </w:rPr>
        <w:t xml:space="preserve">          - RTT</w:t>
      </w:r>
    </w:p>
    <w:p w14:paraId="4E7BECB9" w14:textId="77777777" w:rsidR="007862A2" w:rsidRDefault="007862A2" w:rsidP="007862A2">
      <w:pPr>
        <w:pStyle w:val="PL"/>
        <w:rPr>
          <w:lang w:val="en-US"/>
        </w:rPr>
      </w:pPr>
      <w:r>
        <w:rPr>
          <w:lang w:val="en-US"/>
        </w:rPr>
        <w:t xml:space="preserve">          - TRAFFIC_INFO</w:t>
      </w:r>
    </w:p>
    <w:p w14:paraId="03355651" w14:textId="77777777" w:rsidR="007862A2" w:rsidRDefault="007862A2" w:rsidP="007862A2">
      <w:pPr>
        <w:pStyle w:val="PL"/>
        <w:rPr>
          <w:lang w:val="en-US"/>
        </w:rPr>
      </w:pPr>
      <w:r>
        <w:rPr>
          <w:lang w:val="en-US"/>
        </w:rPr>
        <w:t xml:space="preserve">      - type: string</w:t>
      </w:r>
    </w:p>
    <w:p w14:paraId="303D247D" w14:textId="77777777" w:rsidR="007862A2" w:rsidRDefault="007862A2" w:rsidP="007862A2">
      <w:pPr>
        <w:pStyle w:val="PL"/>
        <w:rPr>
          <w:lang w:val="en-US"/>
        </w:rPr>
      </w:pPr>
      <w:r>
        <w:rPr>
          <w:lang w:val="en-US"/>
        </w:rPr>
        <w:t xml:space="preserve">        description: &gt;</w:t>
      </w:r>
    </w:p>
    <w:p w14:paraId="34AD98B2" w14:textId="77777777" w:rsidR="007862A2" w:rsidRDefault="007862A2" w:rsidP="007862A2">
      <w:pPr>
        <w:pStyle w:val="PL"/>
        <w:rPr>
          <w:lang w:val="en-US"/>
        </w:rPr>
      </w:pPr>
      <w:r>
        <w:rPr>
          <w:lang w:val="en-US"/>
        </w:rPr>
        <w:t xml:space="preserve">          This string provides forward-compatibility with future</w:t>
      </w:r>
    </w:p>
    <w:p w14:paraId="02C7A183" w14:textId="77777777" w:rsidR="007862A2" w:rsidRDefault="007862A2" w:rsidP="007862A2">
      <w:pPr>
        <w:pStyle w:val="PL"/>
        <w:rPr>
          <w:lang w:val="en-US"/>
        </w:rPr>
      </w:pPr>
      <w:r>
        <w:rPr>
          <w:lang w:val="en-US"/>
        </w:rPr>
        <w:t xml:space="preserve">          extensions to the enumeration but is not used to encode</w:t>
      </w:r>
    </w:p>
    <w:p w14:paraId="3F8BBE96" w14:textId="77777777" w:rsidR="007862A2" w:rsidRDefault="007862A2" w:rsidP="007862A2">
      <w:pPr>
        <w:pStyle w:val="PL"/>
        <w:rPr>
          <w:lang w:val="en-US"/>
        </w:rPr>
      </w:pPr>
      <w:r>
        <w:rPr>
          <w:lang w:val="en-US"/>
        </w:rPr>
        <w:t xml:space="preserve">          content defined in the present version of this API.</w:t>
      </w:r>
    </w:p>
    <w:p w14:paraId="6F1B4979" w14:textId="77777777" w:rsidR="007862A2" w:rsidRDefault="007862A2" w:rsidP="007862A2">
      <w:pPr>
        <w:pStyle w:val="PL"/>
        <w:rPr>
          <w:lang w:val="en-US"/>
        </w:rPr>
      </w:pPr>
      <w:r>
        <w:rPr>
          <w:lang w:val="en-US"/>
        </w:rPr>
        <w:t xml:space="preserve">      description: |</w:t>
      </w:r>
    </w:p>
    <w:p w14:paraId="04DE94A8" w14:textId="77777777" w:rsidR="007862A2" w:rsidRDefault="007862A2" w:rsidP="007862A2">
      <w:pPr>
        <w:pStyle w:val="PL"/>
        <w:rPr>
          <w:lang w:eastAsia="ko-KR"/>
        </w:rPr>
      </w:pPr>
      <w:r>
        <w:rPr>
          <w:lang w:val="en-US"/>
        </w:rPr>
        <w:t xml:space="preserve">        Represents the </w:t>
      </w:r>
      <w:r>
        <w:rPr>
          <w:lang w:eastAsia="ko-KR"/>
        </w:rPr>
        <w:t xml:space="preserve">order criterion for the list of WLAN performance information.  </w:t>
      </w:r>
    </w:p>
    <w:p w14:paraId="69F9A182" w14:textId="77777777" w:rsidR="007862A2" w:rsidRDefault="007862A2" w:rsidP="007862A2">
      <w:pPr>
        <w:pStyle w:val="PL"/>
        <w:rPr>
          <w:lang w:val="en-US"/>
        </w:rPr>
      </w:pPr>
      <w:r>
        <w:rPr>
          <w:lang w:val="en-US"/>
        </w:rPr>
        <w:t xml:space="preserve">        Possible values are:</w:t>
      </w:r>
    </w:p>
    <w:p w14:paraId="28B5E613" w14:textId="77777777" w:rsidR="007862A2" w:rsidRDefault="007862A2" w:rsidP="007862A2">
      <w:pPr>
        <w:pStyle w:val="PL"/>
        <w:rPr>
          <w:lang w:val="en-US"/>
        </w:rPr>
      </w:pPr>
      <w:r>
        <w:rPr>
          <w:lang w:val="en-US"/>
        </w:rPr>
        <w:t xml:space="preserve">        - TIME_SLOT_START: Indicates the order of time slot start.</w:t>
      </w:r>
    </w:p>
    <w:p w14:paraId="65482551" w14:textId="77777777" w:rsidR="007862A2" w:rsidRDefault="007862A2" w:rsidP="007862A2">
      <w:pPr>
        <w:pStyle w:val="PL"/>
        <w:rPr>
          <w:lang w:val="en-US"/>
        </w:rPr>
      </w:pPr>
      <w:r>
        <w:rPr>
          <w:lang w:val="en-US"/>
        </w:rPr>
        <w:t xml:space="preserve">        - NUMBER_OF_UES: Indicates the order of number of UEs.</w:t>
      </w:r>
    </w:p>
    <w:p w14:paraId="1BCC7A08" w14:textId="77777777" w:rsidR="007862A2" w:rsidRDefault="007862A2" w:rsidP="007862A2">
      <w:pPr>
        <w:pStyle w:val="PL"/>
        <w:rPr>
          <w:lang w:val="en-US"/>
        </w:rPr>
      </w:pPr>
      <w:r>
        <w:rPr>
          <w:lang w:val="en-US"/>
        </w:rPr>
        <w:t xml:space="preserve">        - RSSI: Indicates the order of RSSI.</w:t>
      </w:r>
    </w:p>
    <w:p w14:paraId="0E724413" w14:textId="77777777" w:rsidR="007862A2" w:rsidRDefault="007862A2" w:rsidP="007862A2">
      <w:pPr>
        <w:pStyle w:val="PL"/>
        <w:rPr>
          <w:lang w:val="en-US"/>
        </w:rPr>
      </w:pPr>
      <w:r>
        <w:rPr>
          <w:lang w:val="en-US"/>
        </w:rPr>
        <w:t xml:space="preserve">        - RTT: Indicates the order of RTT.</w:t>
      </w:r>
    </w:p>
    <w:p w14:paraId="50AA4519" w14:textId="77777777" w:rsidR="007862A2" w:rsidRDefault="007862A2" w:rsidP="007862A2">
      <w:pPr>
        <w:pStyle w:val="PL"/>
        <w:rPr>
          <w:lang w:val="en-US"/>
        </w:rPr>
      </w:pPr>
      <w:r>
        <w:rPr>
          <w:lang w:val="en-US"/>
        </w:rPr>
        <w:t xml:space="preserve">        - TRAFFIC_INFO: Indicates the order of Traffic information.</w:t>
      </w:r>
    </w:p>
    <w:p w14:paraId="2F29B2C4" w14:textId="77777777" w:rsidR="007862A2" w:rsidRDefault="007862A2" w:rsidP="007862A2">
      <w:pPr>
        <w:pStyle w:val="PL"/>
        <w:rPr>
          <w:lang w:val="en-US"/>
        </w:rPr>
      </w:pPr>
    </w:p>
    <w:p w14:paraId="6DBBC525" w14:textId="77777777" w:rsidR="007862A2" w:rsidRDefault="007862A2" w:rsidP="007862A2">
      <w:pPr>
        <w:pStyle w:val="PL"/>
        <w:rPr>
          <w:lang w:val="en-US"/>
        </w:rPr>
      </w:pPr>
      <w:r>
        <w:rPr>
          <w:lang w:val="en-US"/>
        </w:rPr>
        <w:t xml:space="preserve">    </w:t>
      </w:r>
      <w:r>
        <w:rPr>
          <w:lang w:eastAsia="zh-CN"/>
        </w:rPr>
        <w:t>ServiceExperienceType</w:t>
      </w:r>
      <w:r>
        <w:rPr>
          <w:lang w:val="en-US"/>
        </w:rPr>
        <w:t>:</w:t>
      </w:r>
    </w:p>
    <w:p w14:paraId="57870245" w14:textId="77777777" w:rsidR="007862A2" w:rsidRDefault="007862A2" w:rsidP="007862A2">
      <w:pPr>
        <w:pStyle w:val="PL"/>
        <w:rPr>
          <w:lang w:val="en-US"/>
        </w:rPr>
      </w:pPr>
      <w:r>
        <w:rPr>
          <w:lang w:val="en-US"/>
        </w:rPr>
        <w:t xml:space="preserve">      anyOf:</w:t>
      </w:r>
    </w:p>
    <w:p w14:paraId="716EE535" w14:textId="77777777" w:rsidR="007862A2" w:rsidRDefault="007862A2" w:rsidP="007862A2">
      <w:pPr>
        <w:pStyle w:val="PL"/>
        <w:rPr>
          <w:lang w:val="en-US"/>
        </w:rPr>
      </w:pPr>
      <w:r>
        <w:rPr>
          <w:lang w:val="en-US"/>
        </w:rPr>
        <w:t xml:space="preserve">      - type: string</w:t>
      </w:r>
    </w:p>
    <w:p w14:paraId="465C21C8" w14:textId="77777777" w:rsidR="007862A2" w:rsidRDefault="007862A2" w:rsidP="007862A2">
      <w:pPr>
        <w:pStyle w:val="PL"/>
        <w:rPr>
          <w:lang w:val="en-US"/>
        </w:rPr>
      </w:pPr>
      <w:r>
        <w:rPr>
          <w:lang w:val="en-US"/>
        </w:rPr>
        <w:t xml:space="preserve">        enum:</w:t>
      </w:r>
    </w:p>
    <w:p w14:paraId="5788D57D" w14:textId="77777777" w:rsidR="007862A2" w:rsidRDefault="007862A2" w:rsidP="007862A2">
      <w:pPr>
        <w:pStyle w:val="PL"/>
        <w:rPr>
          <w:lang w:val="en-US"/>
        </w:rPr>
      </w:pPr>
      <w:r>
        <w:rPr>
          <w:lang w:val="en-US"/>
        </w:rPr>
        <w:t xml:space="preserve">          - </w:t>
      </w:r>
      <w:r>
        <w:rPr>
          <w:lang w:eastAsia="zh-CN"/>
        </w:rPr>
        <w:t>VOICE</w:t>
      </w:r>
    </w:p>
    <w:p w14:paraId="37730277" w14:textId="77777777" w:rsidR="007862A2" w:rsidRDefault="007862A2" w:rsidP="007862A2">
      <w:pPr>
        <w:pStyle w:val="PL"/>
        <w:rPr>
          <w:lang w:eastAsia="zh-CN"/>
        </w:rPr>
      </w:pPr>
      <w:r>
        <w:rPr>
          <w:lang w:val="en-US"/>
        </w:rPr>
        <w:t xml:space="preserve">          - </w:t>
      </w:r>
      <w:r>
        <w:rPr>
          <w:lang w:eastAsia="zh-CN"/>
        </w:rPr>
        <w:t>VIDEO</w:t>
      </w:r>
    </w:p>
    <w:p w14:paraId="523251D7" w14:textId="77777777" w:rsidR="007862A2" w:rsidRDefault="007862A2" w:rsidP="007862A2">
      <w:pPr>
        <w:pStyle w:val="PL"/>
        <w:rPr>
          <w:lang w:val="en-US"/>
        </w:rPr>
      </w:pPr>
      <w:r>
        <w:rPr>
          <w:lang w:val="en-US"/>
        </w:rPr>
        <w:t xml:space="preserve">          - OTHER</w:t>
      </w:r>
    </w:p>
    <w:p w14:paraId="6F7A914D" w14:textId="77777777" w:rsidR="007862A2" w:rsidRDefault="007862A2" w:rsidP="007862A2">
      <w:pPr>
        <w:pStyle w:val="PL"/>
        <w:rPr>
          <w:lang w:val="en-US"/>
        </w:rPr>
      </w:pPr>
      <w:r>
        <w:rPr>
          <w:lang w:val="en-US"/>
        </w:rPr>
        <w:t xml:space="preserve">      - type: string</w:t>
      </w:r>
    </w:p>
    <w:p w14:paraId="4C251BE7" w14:textId="77777777" w:rsidR="007862A2" w:rsidRDefault="007862A2" w:rsidP="007862A2">
      <w:pPr>
        <w:pStyle w:val="PL"/>
        <w:rPr>
          <w:lang w:val="en-US"/>
        </w:rPr>
      </w:pPr>
      <w:r>
        <w:rPr>
          <w:lang w:val="en-US"/>
        </w:rPr>
        <w:t xml:space="preserve">        description: &gt;</w:t>
      </w:r>
    </w:p>
    <w:p w14:paraId="46AC3A2B" w14:textId="77777777" w:rsidR="007862A2" w:rsidRDefault="007862A2" w:rsidP="007862A2">
      <w:pPr>
        <w:pStyle w:val="PL"/>
        <w:rPr>
          <w:lang w:val="en-US"/>
        </w:rPr>
      </w:pPr>
      <w:r>
        <w:rPr>
          <w:lang w:val="en-US"/>
        </w:rPr>
        <w:t xml:space="preserve">          This string provides forward-compatibility with future extensions to the enumeration</w:t>
      </w:r>
    </w:p>
    <w:p w14:paraId="584067E0" w14:textId="77777777" w:rsidR="007862A2" w:rsidRDefault="007862A2" w:rsidP="007862A2">
      <w:pPr>
        <w:pStyle w:val="PL"/>
        <w:rPr>
          <w:lang w:val="en-US"/>
        </w:rPr>
      </w:pPr>
      <w:r>
        <w:rPr>
          <w:lang w:val="en-US"/>
        </w:rPr>
        <w:t xml:space="preserve">          but is not used to encode content defined in the present version of this API.</w:t>
      </w:r>
    </w:p>
    <w:p w14:paraId="39DDD790" w14:textId="77777777" w:rsidR="007862A2" w:rsidRDefault="007862A2" w:rsidP="007862A2">
      <w:pPr>
        <w:pStyle w:val="PL"/>
        <w:rPr>
          <w:lang w:val="en-US"/>
        </w:rPr>
      </w:pPr>
      <w:r>
        <w:rPr>
          <w:lang w:val="en-US"/>
        </w:rPr>
        <w:t xml:space="preserve">      description: |</w:t>
      </w:r>
    </w:p>
    <w:p w14:paraId="0EA38B54" w14:textId="77777777" w:rsidR="007862A2" w:rsidRDefault="007862A2" w:rsidP="007862A2">
      <w:pPr>
        <w:pStyle w:val="PL"/>
        <w:rPr>
          <w:lang w:val="en-US"/>
        </w:rPr>
      </w:pPr>
      <w:r>
        <w:rPr>
          <w:lang w:val="en-US"/>
        </w:rPr>
        <w:t xml:space="preserve">        </w:t>
      </w:r>
      <w:r>
        <w:t xml:space="preserve">Represents the type of the service experience analytics.  </w:t>
      </w:r>
    </w:p>
    <w:p w14:paraId="3324CB17" w14:textId="77777777" w:rsidR="007862A2" w:rsidRDefault="007862A2" w:rsidP="007862A2">
      <w:pPr>
        <w:pStyle w:val="PL"/>
        <w:rPr>
          <w:lang w:val="en-US"/>
        </w:rPr>
      </w:pPr>
      <w:r>
        <w:rPr>
          <w:lang w:val="en-US"/>
        </w:rPr>
        <w:t xml:space="preserve">        Possible values are:  </w:t>
      </w:r>
    </w:p>
    <w:p w14:paraId="25900653" w14:textId="77777777" w:rsidR="007862A2" w:rsidRDefault="007862A2" w:rsidP="007862A2">
      <w:pPr>
        <w:pStyle w:val="PL"/>
        <w:rPr>
          <w:lang w:val="en-US"/>
        </w:rPr>
      </w:pPr>
      <w:r>
        <w:rPr>
          <w:lang w:val="en-US"/>
        </w:rPr>
        <w:t xml:space="preserve">        - </w:t>
      </w:r>
      <w:r>
        <w:rPr>
          <w:lang w:eastAsia="zh-CN"/>
        </w:rPr>
        <w:t>VOICE</w:t>
      </w:r>
      <w:r>
        <w:rPr>
          <w:lang w:val="en-US"/>
        </w:rPr>
        <w:t xml:space="preserve">: </w:t>
      </w:r>
      <w:r>
        <w:rPr>
          <w:rFonts w:hint="eastAsia"/>
          <w:lang w:eastAsia="zh-CN"/>
        </w:rPr>
        <w:t>I</w:t>
      </w:r>
      <w:r>
        <w:rPr>
          <w:lang w:eastAsia="zh-CN"/>
        </w:rPr>
        <w:t>ndicates that the service experience analytics is for voice service</w:t>
      </w:r>
      <w:r>
        <w:rPr>
          <w:lang w:val="en-US"/>
        </w:rPr>
        <w:t>.</w:t>
      </w:r>
    </w:p>
    <w:p w14:paraId="214F773F" w14:textId="77777777" w:rsidR="007862A2" w:rsidRDefault="007862A2" w:rsidP="007862A2">
      <w:pPr>
        <w:pStyle w:val="PL"/>
        <w:rPr>
          <w:lang w:val="en-US"/>
        </w:rPr>
      </w:pPr>
      <w:r>
        <w:rPr>
          <w:lang w:val="en-US"/>
        </w:rPr>
        <w:t xml:space="preserve">        - </w:t>
      </w:r>
      <w:r>
        <w:rPr>
          <w:lang w:eastAsia="zh-CN"/>
        </w:rPr>
        <w:t>VIDEO</w:t>
      </w:r>
      <w:r>
        <w:rPr>
          <w:lang w:val="en-US"/>
        </w:rPr>
        <w:t xml:space="preserve">: </w:t>
      </w:r>
      <w:r>
        <w:rPr>
          <w:rFonts w:hint="eastAsia"/>
          <w:lang w:eastAsia="zh-CN"/>
        </w:rPr>
        <w:t>I</w:t>
      </w:r>
      <w:r>
        <w:rPr>
          <w:lang w:eastAsia="zh-CN"/>
        </w:rPr>
        <w:t>ndicates that the service experience analytics is for video service</w:t>
      </w:r>
      <w:r>
        <w:rPr>
          <w:lang w:val="en-US"/>
        </w:rPr>
        <w:t>.</w:t>
      </w:r>
    </w:p>
    <w:p w14:paraId="009E5E3E" w14:textId="77777777" w:rsidR="007862A2" w:rsidRDefault="007862A2" w:rsidP="007862A2">
      <w:pPr>
        <w:pStyle w:val="PL"/>
        <w:rPr>
          <w:lang w:val="en-US"/>
        </w:rPr>
      </w:pPr>
      <w:r>
        <w:rPr>
          <w:lang w:val="en-US"/>
        </w:rPr>
        <w:t xml:space="preserve">        - OTHER: Indicates that the service experience analytics is for other service.</w:t>
      </w:r>
    </w:p>
    <w:p w14:paraId="56922665" w14:textId="77777777" w:rsidR="007862A2" w:rsidRDefault="007862A2" w:rsidP="007862A2">
      <w:pPr>
        <w:pStyle w:val="PL"/>
        <w:rPr>
          <w:lang w:val="en-US"/>
        </w:rPr>
      </w:pPr>
    </w:p>
    <w:p w14:paraId="3FD7E189" w14:textId="77777777" w:rsidR="007862A2" w:rsidRDefault="007862A2" w:rsidP="007862A2">
      <w:pPr>
        <w:pStyle w:val="PL"/>
        <w:rPr>
          <w:lang w:val="en-US"/>
        </w:rPr>
      </w:pPr>
      <w:r>
        <w:rPr>
          <w:lang w:val="en-US"/>
        </w:rPr>
        <w:t xml:space="preserve">    </w:t>
      </w:r>
      <w:r>
        <w:rPr>
          <w:lang w:eastAsia="zh-CN"/>
        </w:rPr>
        <w:t>DnPerfOrderingCriterion</w:t>
      </w:r>
      <w:r>
        <w:rPr>
          <w:lang w:val="en-US"/>
        </w:rPr>
        <w:t>:</w:t>
      </w:r>
    </w:p>
    <w:p w14:paraId="57F418D7" w14:textId="77777777" w:rsidR="007862A2" w:rsidRDefault="007862A2" w:rsidP="007862A2">
      <w:pPr>
        <w:pStyle w:val="PL"/>
        <w:rPr>
          <w:lang w:val="en-US"/>
        </w:rPr>
      </w:pPr>
      <w:r>
        <w:rPr>
          <w:lang w:val="en-US"/>
        </w:rPr>
        <w:t xml:space="preserve">      anyOf:</w:t>
      </w:r>
    </w:p>
    <w:p w14:paraId="4A69C24D" w14:textId="77777777" w:rsidR="007862A2" w:rsidRDefault="007862A2" w:rsidP="007862A2">
      <w:pPr>
        <w:pStyle w:val="PL"/>
        <w:rPr>
          <w:lang w:val="en-US"/>
        </w:rPr>
      </w:pPr>
      <w:r>
        <w:rPr>
          <w:lang w:val="en-US"/>
        </w:rPr>
        <w:t xml:space="preserve">      - type: string</w:t>
      </w:r>
    </w:p>
    <w:p w14:paraId="564FE7C7" w14:textId="77777777" w:rsidR="007862A2" w:rsidRDefault="007862A2" w:rsidP="007862A2">
      <w:pPr>
        <w:pStyle w:val="PL"/>
        <w:rPr>
          <w:lang w:val="en-US"/>
        </w:rPr>
      </w:pPr>
      <w:r>
        <w:rPr>
          <w:lang w:val="en-US"/>
        </w:rPr>
        <w:t xml:space="preserve">        enum:</w:t>
      </w:r>
    </w:p>
    <w:p w14:paraId="527B9508" w14:textId="77777777" w:rsidR="007862A2" w:rsidRDefault="007862A2" w:rsidP="007862A2">
      <w:pPr>
        <w:pStyle w:val="PL"/>
        <w:rPr>
          <w:lang w:val="en-US"/>
        </w:rPr>
      </w:pPr>
      <w:r>
        <w:rPr>
          <w:lang w:val="en-US"/>
        </w:rPr>
        <w:t xml:space="preserve">          - </w:t>
      </w:r>
      <w:r>
        <w:t>AVERAGE_TRAFFIC_RATE</w:t>
      </w:r>
    </w:p>
    <w:p w14:paraId="6A1148A4" w14:textId="77777777" w:rsidR="007862A2" w:rsidRDefault="007862A2" w:rsidP="007862A2">
      <w:pPr>
        <w:pStyle w:val="PL"/>
      </w:pPr>
      <w:r>
        <w:rPr>
          <w:lang w:val="en-US"/>
        </w:rPr>
        <w:t xml:space="preserve">          - </w:t>
      </w:r>
      <w:r>
        <w:t>MAXIMUM_TRAFFIC_RATE</w:t>
      </w:r>
    </w:p>
    <w:p w14:paraId="341CBBA2" w14:textId="77777777" w:rsidR="007862A2" w:rsidRDefault="007862A2" w:rsidP="007862A2">
      <w:pPr>
        <w:pStyle w:val="PL"/>
        <w:rPr>
          <w:lang w:val="en-US"/>
        </w:rPr>
      </w:pPr>
      <w:r>
        <w:rPr>
          <w:lang w:val="en-US"/>
        </w:rPr>
        <w:lastRenderedPageBreak/>
        <w:t xml:space="preserve">          - </w:t>
      </w:r>
      <w:r>
        <w:t>AVERAGE_PACKET_DELAY</w:t>
      </w:r>
    </w:p>
    <w:p w14:paraId="4D56F996" w14:textId="77777777" w:rsidR="007862A2" w:rsidRDefault="007862A2" w:rsidP="007862A2">
      <w:pPr>
        <w:pStyle w:val="PL"/>
        <w:rPr>
          <w:lang w:val="en-US"/>
        </w:rPr>
      </w:pPr>
      <w:r>
        <w:rPr>
          <w:lang w:val="en-US"/>
        </w:rPr>
        <w:t xml:space="preserve">          - </w:t>
      </w:r>
      <w:r>
        <w:t>MAXIMUM_PACKET_DELAY</w:t>
      </w:r>
    </w:p>
    <w:p w14:paraId="1CB1D120" w14:textId="77777777" w:rsidR="007862A2" w:rsidRDefault="007862A2" w:rsidP="007862A2">
      <w:pPr>
        <w:pStyle w:val="PL"/>
        <w:rPr>
          <w:lang w:val="en-US"/>
        </w:rPr>
      </w:pPr>
      <w:r>
        <w:rPr>
          <w:lang w:val="en-US"/>
        </w:rPr>
        <w:t xml:space="preserve">          - </w:t>
      </w:r>
      <w:r>
        <w:t>AVERAGE_PACKET_LOSS_RATE</w:t>
      </w:r>
    </w:p>
    <w:p w14:paraId="6CB08619" w14:textId="77777777" w:rsidR="007862A2" w:rsidRDefault="007862A2" w:rsidP="007862A2">
      <w:pPr>
        <w:pStyle w:val="PL"/>
        <w:rPr>
          <w:lang w:val="en-US"/>
        </w:rPr>
      </w:pPr>
      <w:r>
        <w:rPr>
          <w:lang w:val="en-US"/>
        </w:rPr>
        <w:t xml:space="preserve">      - type: string</w:t>
      </w:r>
    </w:p>
    <w:p w14:paraId="4B15663E" w14:textId="77777777" w:rsidR="007862A2" w:rsidRDefault="007862A2" w:rsidP="007862A2">
      <w:pPr>
        <w:pStyle w:val="PL"/>
        <w:rPr>
          <w:lang w:val="en-US"/>
        </w:rPr>
      </w:pPr>
      <w:r>
        <w:rPr>
          <w:lang w:val="en-US"/>
        </w:rPr>
        <w:t xml:space="preserve">        description: &gt;</w:t>
      </w:r>
    </w:p>
    <w:p w14:paraId="0F00276D" w14:textId="77777777" w:rsidR="007862A2" w:rsidRDefault="007862A2" w:rsidP="007862A2">
      <w:pPr>
        <w:pStyle w:val="PL"/>
        <w:rPr>
          <w:lang w:val="en-US"/>
        </w:rPr>
      </w:pPr>
      <w:r>
        <w:rPr>
          <w:lang w:val="en-US"/>
        </w:rPr>
        <w:t xml:space="preserve">          This string provides forward-compatibility with future extensions to the enumeration but</w:t>
      </w:r>
    </w:p>
    <w:p w14:paraId="13F53E57" w14:textId="77777777" w:rsidR="007862A2" w:rsidRDefault="007862A2" w:rsidP="007862A2">
      <w:pPr>
        <w:pStyle w:val="PL"/>
        <w:rPr>
          <w:lang w:val="en-US"/>
        </w:rPr>
      </w:pPr>
      <w:r>
        <w:rPr>
          <w:lang w:val="en-US"/>
        </w:rPr>
        <w:t xml:space="preserve">          is not used to encode content defined in the present version of this API.</w:t>
      </w:r>
    </w:p>
    <w:p w14:paraId="42655CDB" w14:textId="77777777" w:rsidR="007862A2" w:rsidRDefault="007862A2" w:rsidP="007862A2">
      <w:pPr>
        <w:pStyle w:val="PL"/>
        <w:rPr>
          <w:lang w:val="en-US"/>
        </w:rPr>
      </w:pPr>
      <w:r>
        <w:rPr>
          <w:lang w:val="en-US"/>
        </w:rPr>
        <w:t xml:space="preserve">      description: |</w:t>
      </w:r>
    </w:p>
    <w:p w14:paraId="45A821D0" w14:textId="77777777" w:rsidR="007862A2" w:rsidRDefault="007862A2" w:rsidP="007862A2">
      <w:pPr>
        <w:pStyle w:val="PL"/>
        <w:rPr>
          <w:lang w:val="en-US"/>
        </w:rPr>
      </w:pPr>
      <w:r>
        <w:rPr>
          <w:lang w:val="en-US"/>
        </w:rPr>
        <w:t xml:space="preserve">        Represents the </w:t>
      </w:r>
      <w:r>
        <w:rPr>
          <w:lang w:eastAsia="ko-KR"/>
        </w:rPr>
        <w:t xml:space="preserve">order criterion for the list of </w:t>
      </w:r>
      <w:r>
        <w:t>DN performance</w:t>
      </w:r>
      <w:r>
        <w:rPr>
          <w:lang w:eastAsia="ko-KR"/>
        </w:rPr>
        <w:t xml:space="preserve"> analytics.  </w:t>
      </w:r>
    </w:p>
    <w:p w14:paraId="5E2603C0" w14:textId="77777777" w:rsidR="007862A2" w:rsidRDefault="007862A2" w:rsidP="007862A2">
      <w:pPr>
        <w:pStyle w:val="PL"/>
        <w:rPr>
          <w:lang w:val="en-US"/>
        </w:rPr>
      </w:pPr>
      <w:r>
        <w:rPr>
          <w:lang w:val="en-US"/>
        </w:rPr>
        <w:t xml:space="preserve">        Possible values are:  </w:t>
      </w:r>
    </w:p>
    <w:p w14:paraId="736AB8C2" w14:textId="77777777" w:rsidR="007862A2" w:rsidRDefault="007862A2" w:rsidP="007862A2">
      <w:pPr>
        <w:pStyle w:val="PL"/>
        <w:rPr>
          <w:lang w:val="en-US"/>
        </w:rPr>
      </w:pPr>
      <w:r>
        <w:rPr>
          <w:lang w:val="en-US"/>
        </w:rPr>
        <w:t xml:space="preserve">        - </w:t>
      </w:r>
      <w:r>
        <w:t>AVERAGE_TRAFFIC_RATE</w:t>
      </w:r>
      <w:r>
        <w:rPr>
          <w:lang w:val="en-US"/>
        </w:rPr>
        <w:t>:</w:t>
      </w:r>
      <w:r>
        <w:t xml:space="preserve"> Indicates the </w:t>
      </w:r>
      <w:r>
        <w:rPr>
          <w:lang w:eastAsia="zh-CN"/>
        </w:rPr>
        <w:t>average traffic rate</w:t>
      </w:r>
      <w:r>
        <w:t xml:space="preserve">.  </w:t>
      </w:r>
    </w:p>
    <w:p w14:paraId="603EECC6" w14:textId="77777777" w:rsidR="007862A2" w:rsidRDefault="007862A2" w:rsidP="007862A2">
      <w:pPr>
        <w:pStyle w:val="PL"/>
      </w:pPr>
      <w:r>
        <w:rPr>
          <w:lang w:val="en-US"/>
        </w:rPr>
        <w:t xml:space="preserve">        - </w:t>
      </w:r>
      <w:r>
        <w:t>MAXIMUM_TRAFFIC_RATE</w:t>
      </w:r>
      <w:r>
        <w:rPr>
          <w:lang w:val="en-US"/>
        </w:rPr>
        <w:t>:</w:t>
      </w:r>
      <w:r>
        <w:t xml:space="preserve"> Indicates the maximum traffic rate.  </w:t>
      </w:r>
    </w:p>
    <w:p w14:paraId="690E6356" w14:textId="77777777" w:rsidR="007862A2" w:rsidRDefault="007862A2" w:rsidP="007862A2">
      <w:pPr>
        <w:pStyle w:val="PL"/>
        <w:rPr>
          <w:lang w:val="en-US"/>
        </w:rPr>
      </w:pPr>
      <w:r>
        <w:rPr>
          <w:lang w:val="en-US"/>
        </w:rPr>
        <w:t xml:space="preserve">        - </w:t>
      </w:r>
      <w:r>
        <w:t>AVERAGE_PACKET_DELAY</w:t>
      </w:r>
      <w:r>
        <w:rPr>
          <w:lang w:val="en-US"/>
        </w:rPr>
        <w:t>:</w:t>
      </w:r>
      <w:r>
        <w:t xml:space="preserve"> Indicates the </w:t>
      </w:r>
      <w:r>
        <w:rPr>
          <w:lang w:eastAsia="zh-CN"/>
        </w:rPr>
        <w:t xml:space="preserve">average </w:t>
      </w:r>
      <w:r>
        <w:t xml:space="preserve">packet delay.  </w:t>
      </w:r>
    </w:p>
    <w:p w14:paraId="6805BA4C" w14:textId="77777777" w:rsidR="007862A2" w:rsidRDefault="007862A2" w:rsidP="007862A2">
      <w:pPr>
        <w:pStyle w:val="PL"/>
        <w:rPr>
          <w:lang w:val="en-US"/>
        </w:rPr>
      </w:pPr>
      <w:r>
        <w:rPr>
          <w:lang w:val="en-US"/>
        </w:rPr>
        <w:t xml:space="preserve">        - </w:t>
      </w:r>
      <w:r>
        <w:t>MAXIMUM_PACKET_DELAY</w:t>
      </w:r>
      <w:r>
        <w:rPr>
          <w:lang w:val="en-US"/>
        </w:rPr>
        <w:t>:</w:t>
      </w:r>
      <w:r>
        <w:rPr>
          <w:lang w:eastAsia="zh-CN"/>
        </w:rPr>
        <w:t xml:space="preserve"> Indicates the maximum packet delay.  </w:t>
      </w:r>
    </w:p>
    <w:p w14:paraId="3EC8F091" w14:textId="77777777" w:rsidR="007862A2" w:rsidRDefault="007862A2" w:rsidP="007862A2">
      <w:pPr>
        <w:pStyle w:val="PL"/>
        <w:rPr>
          <w:lang w:eastAsia="zh-CN"/>
        </w:rPr>
      </w:pPr>
      <w:r>
        <w:rPr>
          <w:lang w:val="en-US"/>
        </w:rPr>
        <w:t xml:space="preserve">        - </w:t>
      </w:r>
      <w:r>
        <w:t>AVERAGE_PACKET_LOSS_RATE</w:t>
      </w:r>
      <w:r>
        <w:rPr>
          <w:lang w:val="en-US"/>
        </w:rPr>
        <w:t>:</w:t>
      </w:r>
      <w:r>
        <w:rPr>
          <w:lang w:eastAsia="zh-CN"/>
        </w:rPr>
        <w:t xml:space="preserve"> Indicates the average packet loss rate.</w:t>
      </w:r>
    </w:p>
    <w:p w14:paraId="3DC1C74A" w14:textId="77777777" w:rsidR="007862A2" w:rsidRDefault="007862A2" w:rsidP="007862A2">
      <w:pPr>
        <w:pStyle w:val="PL"/>
        <w:rPr>
          <w:lang w:eastAsia="zh-CN"/>
        </w:rPr>
      </w:pPr>
    </w:p>
    <w:p w14:paraId="4E0728D7" w14:textId="77777777" w:rsidR="007862A2" w:rsidRDefault="007862A2" w:rsidP="007862A2">
      <w:pPr>
        <w:pStyle w:val="PL"/>
        <w:rPr>
          <w:lang w:val="en-US"/>
        </w:rPr>
      </w:pPr>
      <w:r>
        <w:rPr>
          <w:lang w:val="en-US"/>
        </w:rPr>
        <w:t xml:space="preserve">    </w:t>
      </w:r>
      <w:r>
        <w:rPr>
          <w:lang w:eastAsia="zh-CN"/>
        </w:rPr>
        <w:t>TermCause</w:t>
      </w:r>
      <w:r>
        <w:rPr>
          <w:lang w:val="en-US"/>
        </w:rPr>
        <w:t>:</w:t>
      </w:r>
    </w:p>
    <w:p w14:paraId="03B69A79" w14:textId="77777777" w:rsidR="007862A2" w:rsidRDefault="007862A2" w:rsidP="007862A2">
      <w:pPr>
        <w:pStyle w:val="PL"/>
        <w:rPr>
          <w:lang w:val="en-US"/>
        </w:rPr>
      </w:pPr>
      <w:r>
        <w:rPr>
          <w:lang w:val="en-US"/>
        </w:rPr>
        <w:t xml:space="preserve">      anyOf:</w:t>
      </w:r>
    </w:p>
    <w:p w14:paraId="0F50C9AF" w14:textId="77777777" w:rsidR="007862A2" w:rsidRDefault="007862A2" w:rsidP="007862A2">
      <w:pPr>
        <w:pStyle w:val="PL"/>
        <w:rPr>
          <w:lang w:val="en-US"/>
        </w:rPr>
      </w:pPr>
      <w:r>
        <w:rPr>
          <w:lang w:val="en-US"/>
        </w:rPr>
        <w:t xml:space="preserve">      - type: string</w:t>
      </w:r>
    </w:p>
    <w:p w14:paraId="2955FB1E" w14:textId="77777777" w:rsidR="007862A2" w:rsidRDefault="007862A2" w:rsidP="007862A2">
      <w:pPr>
        <w:pStyle w:val="PL"/>
        <w:rPr>
          <w:lang w:val="en-US"/>
        </w:rPr>
      </w:pPr>
      <w:r>
        <w:rPr>
          <w:lang w:val="en-US"/>
        </w:rPr>
        <w:t xml:space="preserve">        enum:</w:t>
      </w:r>
    </w:p>
    <w:p w14:paraId="628F7EBF" w14:textId="77777777" w:rsidR="007862A2" w:rsidRDefault="007862A2" w:rsidP="007862A2">
      <w:pPr>
        <w:pStyle w:val="PL"/>
        <w:rPr>
          <w:lang w:val="en-US"/>
        </w:rPr>
      </w:pPr>
      <w:r>
        <w:rPr>
          <w:lang w:val="en-US"/>
        </w:rPr>
        <w:t xml:space="preserve">          - </w:t>
      </w:r>
      <w:r>
        <w:t>USER_CONSENT_REVOKED</w:t>
      </w:r>
    </w:p>
    <w:p w14:paraId="35FE3EDA" w14:textId="77777777" w:rsidR="007862A2" w:rsidRDefault="007862A2" w:rsidP="007862A2">
      <w:pPr>
        <w:pStyle w:val="PL"/>
      </w:pPr>
      <w:r>
        <w:rPr>
          <w:lang w:val="en-US"/>
        </w:rPr>
        <w:t xml:space="preserve">          - </w:t>
      </w:r>
      <w:r>
        <w:t>NWDAF_OVERLOAD</w:t>
      </w:r>
    </w:p>
    <w:p w14:paraId="75BE0663" w14:textId="77777777" w:rsidR="007862A2" w:rsidRDefault="007862A2" w:rsidP="007862A2">
      <w:pPr>
        <w:pStyle w:val="PL"/>
        <w:rPr>
          <w:lang w:val="en-US"/>
        </w:rPr>
      </w:pPr>
      <w:r>
        <w:rPr>
          <w:lang w:val="en-US"/>
        </w:rPr>
        <w:t xml:space="preserve">          - </w:t>
      </w:r>
      <w:r>
        <w:t>UE_LEFT_AREA</w:t>
      </w:r>
    </w:p>
    <w:p w14:paraId="1607F1F6" w14:textId="77777777" w:rsidR="007862A2" w:rsidRDefault="007862A2" w:rsidP="007862A2">
      <w:pPr>
        <w:pStyle w:val="PL"/>
        <w:rPr>
          <w:lang w:val="en-US"/>
        </w:rPr>
      </w:pPr>
      <w:r>
        <w:rPr>
          <w:lang w:val="en-US"/>
        </w:rPr>
        <w:t xml:space="preserve">      - type: string</w:t>
      </w:r>
    </w:p>
    <w:p w14:paraId="49DA36B8" w14:textId="77777777" w:rsidR="007862A2" w:rsidRDefault="007862A2" w:rsidP="007862A2">
      <w:pPr>
        <w:pStyle w:val="PL"/>
        <w:rPr>
          <w:lang w:val="en-US"/>
        </w:rPr>
      </w:pPr>
      <w:r>
        <w:rPr>
          <w:lang w:val="en-US"/>
        </w:rPr>
        <w:t xml:space="preserve">        description: &gt;</w:t>
      </w:r>
    </w:p>
    <w:p w14:paraId="53720E34" w14:textId="77777777" w:rsidR="007862A2" w:rsidRDefault="007862A2" w:rsidP="007862A2">
      <w:pPr>
        <w:pStyle w:val="PL"/>
        <w:rPr>
          <w:lang w:val="en-US"/>
        </w:rPr>
      </w:pPr>
      <w:r>
        <w:rPr>
          <w:lang w:val="en-US"/>
        </w:rPr>
        <w:t xml:space="preserve">          This string provides forward-compatibility with future extensions to the enumeration but</w:t>
      </w:r>
    </w:p>
    <w:p w14:paraId="5997C72B" w14:textId="77777777" w:rsidR="007862A2" w:rsidRDefault="007862A2" w:rsidP="007862A2">
      <w:pPr>
        <w:pStyle w:val="PL"/>
        <w:rPr>
          <w:lang w:val="en-US"/>
        </w:rPr>
      </w:pPr>
      <w:r>
        <w:rPr>
          <w:lang w:val="en-US"/>
        </w:rPr>
        <w:t xml:space="preserve">          is not used to encode content defined in the present version of this API.</w:t>
      </w:r>
    </w:p>
    <w:p w14:paraId="2EC09424" w14:textId="77777777" w:rsidR="007862A2" w:rsidRDefault="007862A2" w:rsidP="007862A2">
      <w:pPr>
        <w:pStyle w:val="PL"/>
        <w:rPr>
          <w:lang w:val="en-US"/>
        </w:rPr>
      </w:pPr>
      <w:r>
        <w:rPr>
          <w:lang w:val="en-US"/>
        </w:rPr>
        <w:t xml:space="preserve">      description: |</w:t>
      </w:r>
    </w:p>
    <w:p w14:paraId="2CFFE28D" w14:textId="77777777" w:rsidR="007862A2" w:rsidRDefault="007862A2" w:rsidP="007862A2">
      <w:pPr>
        <w:pStyle w:val="PL"/>
        <w:rPr>
          <w:lang w:val="en-US"/>
        </w:rPr>
      </w:pPr>
      <w:r>
        <w:rPr>
          <w:lang w:val="en-US"/>
        </w:rPr>
        <w:t xml:space="preserve">        </w:t>
      </w:r>
      <w:r>
        <w:rPr>
          <w:rFonts w:cs="Arial"/>
          <w:szCs w:val="18"/>
        </w:rPr>
        <w:t xml:space="preserve">Represents the cause for the analytics subscription termination request.  </w:t>
      </w:r>
    </w:p>
    <w:p w14:paraId="6FA2FAE9" w14:textId="77777777" w:rsidR="007862A2" w:rsidRDefault="007862A2" w:rsidP="007862A2">
      <w:pPr>
        <w:pStyle w:val="PL"/>
        <w:rPr>
          <w:lang w:val="en-US"/>
        </w:rPr>
      </w:pPr>
      <w:r>
        <w:rPr>
          <w:lang w:val="en-US"/>
        </w:rPr>
        <w:t xml:space="preserve">        Possible values are:  </w:t>
      </w:r>
    </w:p>
    <w:p w14:paraId="5A80A59E" w14:textId="77777777" w:rsidR="007862A2" w:rsidRDefault="007862A2" w:rsidP="007862A2">
      <w:pPr>
        <w:pStyle w:val="PL"/>
        <w:rPr>
          <w:lang w:val="en-US"/>
        </w:rPr>
      </w:pPr>
      <w:r>
        <w:rPr>
          <w:lang w:val="en-US"/>
        </w:rPr>
        <w:t xml:space="preserve">          - </w:t>
      </w:r>
      <w:r>
        <w:t>USER_CONSENT_REVOKED: The user consent has been revoked.</w:t>
      </w:r>
    </w:p>
    <w:p w14:paraId="145E8AAC" w14:textId="77777777" w:rsidR="007862A2" w:rsidRDefault="007862A2" w:rsidP="007862A2">
      <w:pPr>
        <w:pStyle w:val="PL"/>
      </w:pPr>
      <w:r>
        <w:rPr>
          <w:lang w:val="en-US"/>
        </w:rPr>
        <w:t xml:space="preserve">          - </w:t>
      </w:r>
      <w:r>
        <w:t>NWDAF_OVERLOAD: The NWDAF is overloaded.</w:t>
      </w:r>
    </w:p>
    <w:p w14:paraId="09FAAE05" w14:textId="77777777" w:rsidR="007862A2" w:rsidRDefault="007862A2" w:rsidP="007862A2">
      <w:pPr>
        <w:pStyle w:val="PL"/>
        <w:rPr>
          <w:lang w:eastAsia="zh-CN"/>
        </w:rPr>
      </w:pPr>
      <w:r>
        <w:rPr>
          <w:lang w:val="en-US"/>
        </w:rPr>
        <w:t xml:space="preserve">          - </w:t>
      </w:r>
      <w:r>
        <w:t>UE_LEFT_AREA: The UE has mo</w:t>
      </w:r>
      <w:r>
        <w:rPr>
          <w:lang w:eastAsia="zh-CN"/>
        </w:rPr>
        <w:t>ved out of the NWDAF serving area.</w:t>
      </w:r>
    </w:p>
    <w:p w14:paraId="70F2BEDE" w14:textId="77777777" w:rsidR="007862A2" w:rsidRDefault="007862A2" w:rsidP="007862A2">
      <w:pPr>
        <w:pStyle w:val="PL"/>
        <w:rPr>
          <w:lang w:val="en-US"/>
        </w:rPr>
      </w:pPr>
      <w:r>
        <w:rPr>
          <w:lang w:val="en-US"/>
        </w:rPr>
        <w:t xml:space="preserve">    </w:t>
      </w:r>
      <w:r>
        <w:t>UserDataConOrderCrit</w:t>
      </w:r>
      <w:r>
        <w:rPr>
          <w:lang w:val="en-US"/>
        </w:rPr>
        <w:t>:</w:t>
      </w:r>
    </w:p>
    <w:p w14:paraId="2B914EAC" w14:textId="77777777" w:rsidR="007862A2" w:rsidRDefault="007862A2" w:rsidP="007862A2">
      <w:pPr>
        <w:pStyle w:val="PL"/>
        <w:rPr>
          <w:lang w:val="en-US"/>
        </w:rPr>
      </w:pPr>
      <w:r>
        <w:rPr>
          <w:lang w:val="en-US"/>
        </w:rPr>
        <w:t xml:space="preserve">      anyOf:</w:t>
      </w:r>
    </w:p>
    <w:p w14:paraId="0083F86D" w14:textId="77777777" w:rsidR="007862A2" w:rsidRDefault="007862A2" w:rsidP="007862A2">
      <w:pPr>
        <w:pStyle w:val="PL"/>
        <w:rPr>
          <w:lang w:val="en-US"/>
        </w:rPr>
      </w:pPr>
      <w:r>
        <w:rPr>
          <w:lang w:val="en-US"/>
        </w:rPr>
        <w:t xml:space="preserve">      - type: string</w:t>
      </w:r>
    </w:p>
    <w:p w14:paraId="61DE1C34" w14:textId="77777777" w:rsidR="007862A2" w:rsidRDefault="007862A2" w:rsidP="007862A2">
      <w:pPr>
        <w:pStyle w:val="PL"/>
        <w:rPr>
          <w:lang w:val="en-US"/>
        </w:rPr>
      </w:pPr>
      <w:r>
        <w:rPr>
          <w:lang w:val="en-US"/>
        </w:rPr>
        <w:t xml:space="preserve">        enum:</w:t>
      </w:r>
    </w:p>
    <w:p w14:paraId="20ECCFFC" w14:textId="77777777" w:rsidR="007862A2" w:rsidRDefault="007862A2" w:rsidP="007862A2">
      <w:pPr>
        <w:pStyle w:val="PL"/>
        <w:rPr>
          <w:lang w:val="en-US"/>
        </w:rPr>
      </w:pPr>
      <w:r>
        <w:rPr>
          <w:lang w:val="en-US"/>
        </w:rPr>
        <w:t xml:space="preserve">          - </w:t>
      </w:r>
      <w:r>
        <w:t>APPLICABLE_TIME_WINDOW</w:t>
      </w:r>
    </w:p>
    <w:p w14:paraId="37F3B45D" w14:textId="77777777" w:rsidR="007862A2" w:rsidRDefault="007862A2" w:rsidP="007862A2">
      <w:pPr>
        <w:pStyle w:val="PL"/>
      </w:pPr>
      <w:r>
        <w:rPr>
          <w:lang w:val="en-US"/>
        </w:rPr>
        <w:t xml:space="preserve">          - </w:t>
      </w:r>
      <w:r>
        <w:rPr>
          <w:lang w:eastAsia="zh-CN"/>
        </w:rPr>
        <w:t>NETWORK_STATUS_INDICATION</w:t>
      </w:r>
    </w:p>
    <w:p w14:paraId="1B5B2802" w14:textId="77777777" w:rsidR="007862A2" w:rsidRDefault="007862A2" w:rsidP="007862A2">
      <w:pPr>
        <w:pStyle w:val="PL"/>
        <w:rPr>
          <w:lang w:val="en-US"/>
        </w:rPr>
      </w:pPr>
      <w:r>
        <w:rPr>
          <w:lang w:val="en-US"/>
        </w:rPr>
        <w:t xml:space="preserve">      - type: string</w:t>
      </w:r>
    </w:p>
    <w:p w14:paraId="131A8E80" w14:textId="77777777" w:rsidR="007862A2" w:rsidRDefault="007862A2" w:rsidP="007862A2">
      <w:pPr>
        <w:pStyle w:val="PL"/>
        <w:rPr>
          <w:lang w:val="en-US"/>
        </w:rPr>
      </w:pPr>
      <w:r>
        <w:rPr>
          <w:lang w:val="en-US"/>
        </w:rPr>
        <w:t xml:space="preserve">        description: &gt;</w:t>
      </w:r>
    </w:p>
    <w:p w14:paraId="7CD979B2" w14:textId="77777777" w:rsidR="007862A2" w:rsidRDefault="007862A2" w:rsidP="007862A2">
      <w:pPr>
        <w:pStyle w:val="PL"/>
        <w:rPr>
          <w:lang w:val="en-US"/>
        </w:rPr>
      </w:pPr>
      <w:r>
        <w:rPr>
          <w:lang w:val="en-US"/>
        </w:rPr>
        <w:t xml:space="preserve">          This string provides forward-compatibility with future extensions to the enumeration but</w:t>
      </w:r>
    </w:p>
    <w:p w14:paraId="3E1EA085" w14:textId="77777777" w:rsidR="007862A2" w:rsidRDefault="007862A2" w:rsidP="007862A2">
      <w:pPr>
        <w:pStyle w:val="PL"/>
        <w:rPr>
          <w:lang w:val="en-US"/>
        </w:rPr>
      </w:pPr>
      <w:r>
        <w:rPr>
          <w:lang w:val="en-US"/>
        </w:rPr>
        <w:t xml:space="preserve">          is not used to encode content defined in the present version of this API.</w:t>
      </w:r>
    </w:p>
    <w:p w14:paraId="3800D5B9" w14:textId="77777777" w:rsidR="007862A2" w:rsidRDefault="007862A2" w:rsidP="007862A2">
      <w:pPr>
        <w:pStyle w:val="PL"/>
        <w:rPr>
          <w:lang w:val="en-US"/>
        </w:rPr>
      </w:pPr>
      <w:r>
        <w:rPr>
          <w:lang w:val="en-US"/>
        </w:rPr>
        <w:t xml:space="preserve">      description: |</w:t>
      </w:r>
    </w:p>
    <w:p w14:paraId="1313F805" w14:textId="77777777" w:rsidR="007862A2" w:rsidRDefault="007862A2" w:rsidP="007862A2">
      <w:pPr>
        <w:pStyle w:val="PL"/>
        <w:rPr>
          <w:lang w:val="en-US"/>
        </w:rPr>
      </w:pPr>
      <w:r>
        <w:rPr>
          <w:lang w:val="en-US"/>
        </w:rPr>
        <w:t xml:space="preserve">        Represents the </w:t>
      </w:r>
      <w:r>
        <w:rPr>
          <w:rFonts w:cs="Arial"/>
          <w:szCs w:val="18"/>
        </w:rPr>
        <w:t>cause for requesting to terminate an analytics subscription</w:t>
      </w:r>
      <w:r>
        <w:rPr>
          <w:lang w:eastAsia="ko-KR"/>
        </w:rPr>
        <w:t xml:space="preserve">.  </w:t>
      </w:r>
    </w:p>
    <w:p w14:paraId="001E9B2E" w14:textId="77777777" w:rsidR="007862A2" w:rsidRDefault="007862A2" w:rsidP="007862A2">
      <w:pPr>
        <w:pStyle w:val="PL"/>
        <w:rPr>
          <w:lang w:val="en-US"/>
        </w:rPr>
      </w:pPr>
      <w:r>
        <w:rPr>
          <w:lang w:val="en-US"/>
        </w:rPr>
        <w:t xml:space="preserve">        Possible values are:  </w:t>
      </w:r>
    </w:p>
    <w:p w14:paraId="3133F281" w14:textId="77777777" w:rsidR="007862A2" w:rsidRDefault="007862A2" w:rsidP="007862A2">
      <w:pPr>
        <w:pStyle w:val="PL"/>
        <w:rPr>
          <w:lang w:val="en-US"/>
        </w:rPr>
      </w:pPr>
      <w:r>
        <w:rPr>
          <w:lang w:val="en-US"/>
        </w:rPr>
        <w:t xml:space="preserve">          - </w:t>
      </w:r>
      <w:r>
        <w:t>APPLICABLE_TIME_WINDOW: T</w:t>
      </w:r>
      <w:r>
        <w:rPr>
          <w:rFonts w:hint="eastAsia"/>
          <w:lang w:eastAsia="zh-CN"/>
        </w:rPr>
        <w:t>he</w:t>
      </w:r>
      <w:r>
        <w:rPr>
          <w:lang w:eastAsia="zh-CN"/>
        </w:rPr>
        <w:t xml:space="preserve"> ordering criterion</w:t>
      </w:r>
      <w:r>
        <w:t xml:space="preserve"> is the Applicable Time Window.</w:t>
      </w:r>
    </w:p>
    <w:p w14:paraId="30EAFA95" w14:textId="77777777" w:rsidR="007862A2" w:rsidRDefault="007862A2" w:rsidP="007862A2">
      <w:pPr>
        <w:pStyle w:val="PL"/>
      </w:pPr>
      <w:r>
        <w:rPr>
          <w:lang w:val="en-US"/>
        </w:rPr>
        <w:t xml:space="preserve">          - </w:t>
      </w:r>
      <w:r>
        <w:rPr>
          <w:lang w:eastAsia="zh-CN"/>
        </w:rPr>
        <w:t>NETWORK_STATUS_INDICATION</w:t>
      </w:r>
      <w:r>
        <w:t>: T</w:t>
      </w:r>
      <w:r>
        <w:rPr>
          <w:rFonts w:hint="eastAsia"/>
          <w:lang w:eastAsia="zh-CN"/>
        </w:rPr>
        <w:t>he</w:t>
      </w:r>
      <w:r>
        <w:rPr>
          <w:lang w:eastAsia="zh-CN"/>
        </w:rPr>
        <w:t xml:space="preserve"> ordering criterion</w:t>
      </w:r>
      <w:r>
        <w:t xml:space="preserve"> is the </w:t>
      </w:r>
      <w:r>
        <w:rPr>
          <w:lang w:eastAsia="zh-CN"/>
        </w:rPr>
        <w:t>network status indication</w:t>
      </w:r>
      <w:r>
        <w:t>.</w:t>
      </w:r>
    </w:p>
    <w:p w14:paraId="419C0570" w14:textId="77777777" w:rsidR="007862A2" w:rsidRDefault="007862A2" w:rsidP="007862A2">
      <w:pPr>
        <w:pStyle w:val="PL"/>
        <w:rPr>
          <w:lang w:val="en-US"/>
        </w:rPr>
      </w:pPr>
    </w:p>
    <w:p w14:paraId="19897554" w14:textId="77777777" w:rsidR="007862A2" w:rsidRDefault="007862A2" w:rsidP="007862A2">
      <w:pPr>
        <w:pStyle w:val="PL"/>
        <w:rPr>
          <w:lang w:val="en-US"/>
        </w:rPr>
      </w:pPr>
      <w:r>
        <w:rPr>
          <w:lang w:val="en-US"/>
        </w:rPr>
        <w:t xml:space="preserve">    </w:t>
      </w:r>
      <w:r>
        <w:t>UeMobilityOrderCriterion</w:t>
      </w:r>
      <w:r>
        <w:rPr>
          <w:lang w:val="en-US"/>
        </w:rPr>
        <w:t>:</w:t>
      </w:r>
    </w:p>
    <w:p w14:paraId="4966D09C" w14:textId="77777777" w:rsidR="007862A2" w:rsidRDefault="007862A2" w:rsidP="007862A2">
      <w:pPr>
        <w:pStyle w:val="PL"/>
        <w:rPr>
          <w:lang w:val="en-US"/>
        </w:rPr>
      </w:pPr>
      <w:r>
        <w:rPr>
          <w:lang w:val="en-US"/>
        </w:rPr>
        <w:t xml:space="preserve">      anyOf:</w:t>
      </w:r>
    </w:p>
    <w:p w14:paraId="085DDA40" w14:textId="77777777" w:rsidR="007862A2" w:rsidRDefault="007862A2" w:rsidP="007862A2">
      <w:pPr>
        <w:pStyle w:val="PL"/>
        <w:rPr>
          <w:lang w:val="en-US"/>
        </w:rPr>
      </w:pPr>
      <w:r>
        <w:rPr>
          <w:lang w:val="en-US"/>
        </w:rPr>
        <w:t xml:space="preserve">      - type: string</w:t>
      </w:r>
    </w:p>
    <w:p w14:paraId="138A7A1B" w14:textId="77777777" w:rsidR="007862A2" w:rsidRDefault="007862A2" w:rsidP="007862A2">
      <w:pPr>
        <w:pStyle w:val="PL"/>
        <w:rPr>
          <w:lang w:val="en-US"/>
        </w:rPr>
      </w:pPr>
      <w:r>
        <w:rPr>
          <w:lang w:val="en-US"/>
        </w:rPr>
        <w:t xml:space="preserve">        enum:</w:t>
      </w:r>
    </w:p>
    <w:p w14:paraId="427B21C5" w14:textId="77777777" w:rsidR="007862A2" w:rsidRDefault="007862A2" w:rsidP="007862A2">
      <w:pPr>
        <w:pStyle w:val="PL"/>
        <w:rPr>
          <w:lang w:val="en-US"/>
        </w:rPr>
      </w:pPr>
      <w:r>
        <w:rPr>
          <w:lang w:val="en-US"/>
        </w:rPr>
        <w:t xml:space="preserve">          - </w:t>
      </w:r>
      <w:r>
        <w:t>TIME</w:t>
      </w:r>
      <w:r>
        <w:rPr>
          <w:rFonts w:hint="eastAsia"/>
          <w:lang w:eastAsia="zh-CN"/>
        </w:rPr>
        <w:t>_</w:t>
      </w:r>
      <w:r>
        <w:rPr>
          <w:lang w:eastAsia="zh-CN"/>
        </w:rPr>
        <w:t>SLOT</w:t>
      </w:r>
    </w:p>
    <w:p w14:paraId="08CB52BE" w14:textId="77777777" w:rsidR="007862A2" w:rsidRDefault="007862A2" w:rsidP="007862A2">
      <w:pPr>
        <w:pStyle w:val="PL"/>
        <w:rPr>
          <w:lang w:val="en-US"/>
        </w:rPr>
      </w:pPr>
      <w:r>
        <w:rPr>
          <w:lang w:val="en-US"/>
        </w:rPr>
        <w:t xml:space="preserve">      - type: string</w:t>
      </w:r>
    </w:p>
    <w:p w14:paraId="7B320422" w14:textId="77777777" w:rsidR="007862A2" w:rsidRDefault="007862A2" w:rsidP="007862A2">
      <w:pPr>
        <w:pStyle w:val="PL"/>
        <w:rPr>
          <w:lang w:val="en-US"/>
        </w:rPr>
      </w:pPr>
      <w:r>
        <w:rPr>
          <w:lang w:val="en-US"/>
        </w:rPr>
        <w:t xml:space="preserve">        description: &gt;</w:t>
      </w:r>
    </w:p>
    <w:p w14:paraId="48D586A2" w14:textId="77777777" w:rsidR="007862A2" w:rsidRDefault="007862A2" w:rsidP="007862A2">
      <w:pPr>
        <w:pStyle w:val="PL"/>
        <w:rPr>
          <w:lang w:val="en-US"/>
        </w:rPr>
      </w:pPr>
      <w:r>
        <w:rPr>
          <w:lang w:val="en-US"/>
        </w:rPr>
        <w:t xml:space="preserve">          This string provides forward-compatibility with future extensions to the enumeration but</w:t>
      </w:r>
    </w:p>
    <w:p w14:paraId="429ADF7A" w14:textId="77777777" w:rsidR="007862A2" w:rsidRDefault="007862A2" w:rsidP="007862A2">
      <w:pPr>
        <w:pStyle w:val="PL"/>
        <w:rPr>
          <w:lang w:val="en-US"/>
        </w:rPr>
      </w:pPr>
      <w:r>
        <w:rPr>
          <w:lang w:val="en-US"/>
        </w:rPr>
        <w:t xml:space="preserve">          is not used to encode content defined in the present version of this API.</w:t>
      </w:r>
    </w:p>
    <w:p w14:paraId="4A7C1101" w14:textId="77777777" w:rsidR="007862A2" w:rsidRDefault="007862A2" w:rsidP="007862A2">
      <w:pPr>
        <w:pStyle w:val="PL"/>
        <w:rPr>
          <w:lang w:val="en-US"/>
        </w:rPr>
      </w:pPr>
      <w:r>
        <w:rPr>
          <w:lang w:val="en-US"/>
        </w:rPr>
        <w:t xml:space="preserve">      description: |</w:t>
      </w:r>
    </w:p>
    <w:p w14:paraId="14A52A5C"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rPr>
          <w:lang w:eastAsia="zh-CN"/>
        </w:rPr>
        <w:t>UE mobility</w:t>
      </w:r>
      <w:r>
        <w:rPr>
          <w:lang w:eastAsia="ko-KR"/>
        </w:rPr>
        <w:t xml:space="preserve"> analytics.  </w:t>
      </w:r>
    </w:p>
    <w:p w14:paraId="1F56BA7B" w14:textId="77777777" w:rsidR="007862A2" w:rsidRDefault="007862A2" w:rsidP="007862A2">
      <w:pPr>
        <w:pStyle w:val="PL"/>
        <w:rPr>
          <w:lang w:val="en-US"/>
        </w:rPr>
      </w:pPr>
      <w:r>
        <w:rPr>
          <w:lang w:val="en-US"/>
        </w:rPr>
        <w:t xml:space="preserve">        Possible values are:  </w:t>
      </w:r>
    </w:p>
    <w:p w14:paraId="5D3CB6DB" w14:textId="77777777" w:rsidR="007862A2" w:rsidRDefault="007862A2" w:rsidP="007862A2">
      <w:pPr>
        <w:pStyle w:val="PL"/>
        <w:rPr>
          <w:lang w:val="en-US"/>
        </w:rPr>
      </w:pPr>
      <w:r>
        <w:rPr>
          <w:lang w:val="en-US"/>
        </w:rPr>
        <w:t xml:space="preserve">          - </w:t>
      </w:r>
      <w:r>
        <w:t>TIME</w:t>
      </w:r>
      <w:r>
        <w:rPr>
          <w:rFonts w:hint="eastAsia"/>
          <w:lang w:eastAsia="zh-CN"/>
        </w:rPr>
        <w:t>_</w:t>
      </w:r>
      <w:r>
        <w:rPr>
          <w:lang w:eastAsia="zh-CN"/>
        </w:rPr>
        <w:t>SLOT</w:t>
      </w:r>
      <w:r>
        <w:t>: T</w:t>
      </w:r>
      <w:r>
        <w:rPr>
          <w:rFonts w:hint="eastAsia"/>
          <w:lang w:eastAsia="zh-CN"/>
        </w:rPr>
        <w:t>he</w:t>
      </w:r>
      <w:r>
        <w:rPr>
          <w:lang w:eastAsia="zh-CN"/>
        </w:rPr>
        <w:t xml:space="preserve"> ordering criterion</w:t>
      </w:r>
      <w:r>
        <w:t xml:space="preserve"> is the time slot.</w:t>
      </w:r>
    </w:p>
    <w:p w14:paraId="7D3FD5E8" w14:textId="77777777" w:rsidR="007862A2" w:rsidRDefault="007862A2" w:rsidP="007862A2">
      <w:pPr>
        <w:pStyle w:val="PL"/>
        <w:rPr>
          <w:lang w:val="en-US"/>
        </w:rPr>
      </w:pPr>
    </w:p>
    <w:p w14:paraId="14FE2A22" w14:textId="77777777" w:rsidR="007862A2" w:rsidRDefault="007862A2" w:rsidP="007862A2">
      <w:pPr>
        <w:pStyle w:val="PL"/>
        <w:rPr>
          <w:lang w:val="en-US"/>
        </w:rPr>
      </w:pPr>
      <w:r>
        <w:rPr>
          <w:lang w:val="en-US"/>
        </w:rPr>
        <w:t xml:space="preserve">    </w:t>
      </w:r>
      <w:r>
        <w:t>UeCommOrderCriterion</w:t>
      </w:r>
      <w:r>
        <w:rPr>
          <w:lang w:val="en-US"/>
        </w:rPr>
        <w:t>:</w:t>
      </w:r>
    </w:p>
    <w:p w14:paraId="75A30FC6" w14:textId="77777777" w:rsidR="007862A2" w:rsidRDefault="007862A2" w:rsidP="007862A2">
      <w:pPr>
        <w:pStyle w:val="PL"/>
        <w:rPr>
          <w:lang w:val="en-US"/>
        </w:rPr>
      </w:pPr>
      <w:r>
        <w:rPr>
          <w:lang w:val="en-US"/>
        </w:rPr>
        <w:t xml:space="preserve">      anyOf:</w:t>
      </w:r>
    </w:p>
    <w:p w14:paraId="0BA10C54" w14:textId="77777777" w:rsidR="007862A2" w:rsidRDefault="007862A2" w:rsidP="007862A2">
      <w:pPr>
        <w:pStyle w:val="PL"/>
        <w:rPr>
          <w:lang w:val="en-US"/>
        </w:rPr>
      </w:pPr>
      <w:r>
        <w:rPr>
          <w:lang w:val="en-US"/>
        </w:rPr>
        <w:t xml:space="preserve">      - type: string</w:t>
      </w:r>
    </w:p>
    <w:p w14:paraId="3C62AD7C" w14:textId="77777777" w:rsidR="007862A2" w:rsidRDefault="007862A2" w:rsidP="007862A2">
      <w:pPr>
        <w:pStyle w:val="PL"/>
        <w:rPr>
          <w:lang w:val="en-US"/>
        </w:rPr>
      </w:pPr>
      <w:r>
        <w:rPr>
          <w:lang w:val="en-US"/>
        </w:rPr>
        <w:t xml:space="preserve">        enum:</w:t>
      </w:r>
    </w:p>
    <w:p w14:paraId="30A64604" w14:textId="77777777" w:rsidR="007862A2" w:rsidRDefault="007862A2" w:rsidP="007862A2">
      <w:pPr>
        <w:pStyle w:val="PL"/>
        <w:rPr>
          <w:lang w:val="en-US"/>
        </w:rPr>
      </w:pPr>
      <w:r>
        <w:rPr>
          <w:lang w:val="en-US"/>
        </w:rPr>
        <w:t xml:space="preserve">          - </w:t>
      </w:r>
      <w:r>
        <w:t>START_TIME</w:t>
      </w:r>
    </w:p>
    <w:p w14:paraId="75D8C45E" w14:textId="77777777" w:rsidR="007862A2" w:rsidRDefault="007862A2" w:rsidP="007862A2">
      <w:pPr>
        <w:pStyle w:val="PL"/>
      </w:pPr>
      <w:r>
        <w:rPr>
          <w:lang w:val="en-US"/>
        </w:rPr>
        <w:t xml:space="preserve">          - </w:t>
      </w:r>
      <w:r>
        <w:rPr>
          <w:lang w:eastAsia="zh-CN"/>
        </w:rPr>
        <w:t>DURATION</w:t>
      </w:r>
    </w:p>
    <w:p w14:paraId="17F23DD7" w14:textId="77777777" w:rsidR="007862A2" w:rsidRDefault="007862A2" w:rsidP="007862A2">
      <w:pPr>
        <w:pStyle w:val="PL"/>
        <w:rPr>
          <w:lang w:val="en-US"/>
        </w:rPr>
      </w:pPr>
      <w:r>
        <w:rPr>
          <w:lang w:val="en-US"/>
        </w:rPr>
        <w:t xml:space="preserve">      - type: string</w:t>
      </w:r>
    </w:p>
    <w:p w14:paraId="433B25F7" w14:textId="77777777" w:rsidR="007862A2" w:rsidRDefault="007862A2" w:rsidP="007862A2">
      <w:pPr>
        <w:pStyle w:val="PL"/>
        <w:rPr>
          <w:lang w:val="en-US"/>
        </w:rPr>
      </w:pPr>
      <w:r>
        <w:rPr>
          <w:lang w:val="en-US"/>
        </w:rPr>
        <w:t xml:space="preserve">        description: &gt;</w:t>
      </w:r>
    </w:p>
    <w:p w14:paraId="4F2C4BCC" w14:textId="77777777" w:rsidR="007862A2" w:rsidRDefault="007862A2" w:rsidP="007862A2">
      <w:pPr>
        <w:pStyle w:val="PL"/>
        <w:rPr>
          <w:lang w:val="en-US"/>
        </w:rPr>
      </w:pPr>
      <w:r>
        <w:rPr>
          <w:lang w:val="en-US"/>
        </w:rPr>
        <w:t xml:space="preserve">          This string provides forward-compatibility with future extensions to the enumeration but</w:t>
      </w:r>
    </w:p>
    <w:p w14:paraId="7164AD7E" w14:textId="77777777" w:rsidR="007862A2" w:rsidRDefault="007862A2" w:rsidP="007862A2">
      <w:pPr>
        <w:pStyle w:val="PL"/>
        <w:rPr>
          <w:lang w:val="en-US"/>
        </w:rPr>
      </w:pPr>
      <w:r>
        <w:rPr>
          <w:lang w:val="en-US"/>
        </w:rPr>
        <w:t xml:space="preserve">          is not used to encode content defined in the present version of this API.</w:t>
      </w:r>
    </w:p>
    <w:p w14:paraId="3E60B98D" w14:textId="77777777" w:rsidR="007862A2" w:rsidRDefault="007862A2" w:rsidP="007862A2">
      <w:pPr>
        <w:pStyle w:val="PL"/>
        <w:rPr>
          <w:lang w:val="en-US"/>
        </w:rPr>
      </w:pPr>
      <w:r>
        <w:rPr>
          <w:lang w:val="en-US"/>
        </w:rPr>
        <w:t xml:space="preserve">      description: |</w:t>
      </w:r>
    </w:p>
    <w:p w14:paraId="1FBB3CF4"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rPr>
          <w:lang w:eastAsia="zh-CN"/>
        </w:rPr>
        <w:t>UE communication</w:t>
      </w:r>
      <w:r>
        <w:rPr>
          <w:lang w:eastAsia="ko-KR"/>
        </w:rPr>
        <w:t xml:space="preserve"> analytics.  </w:t>
      </w:r>
    </w:p>
    <w:p w14:paraId="6D1E113D" w14:textId="77777777" w:rsidR="007862A2" w:rsidRDefault="007862A2" w:rsidP="007862A2">
      <w:pPr>
        <w:pStyle w:val="PL"/>
        <w:rPr>
          <w:lang w:val="en-US"/>
        </w:rPr>
      </w:pPr>
      <w:r>
        <w:rPr>
          <w:lang w:val="en-US"/>
        </w:rPr>
        <w:t xml:space="preserve">        Possible values are:  </w:t>
      </w:r>
    </w:p>
    <w:p w14:paraId="35883EA2" w14:textId="77777777" w:rsidR="007862A2" w:rsidRDefault="007862A2" w:rsidP="007862A2">
      <w:pPr>
        <w:pStyle w:val="PL"/>
        <w:rPr>
          <w:lang w:val="en-US"/>
        </w:rPr>
      </w:pPr>
      <w:r>
        <w:rPr>
          <w:lang w:val="en-US"/>
        </w:rPr>
        <w:t xml:space="preserve">          - </w:t>
      </w:r>
      <w:r>
        <w:t>START_TIME: T</w:t>
      </w:r>
      <w:r>
        <w:rPr>
          <w:rFonts w:hint="eastAsia"/>
          <w:lang w:eastAsia="zh-CN"/>
        </w:rPr>
        <w:t>he</w:t>
      </w:r>
      <w:r>
        <w:rPr>
          <w:lang w:eastAsia="zh-CN"/>
        </w:rPr>
        <w:t xml:space="preserve"> ordering criterion</w:t>
      </w:r>
      <w:r>
        <w:t xml:space="preserve"> of the analytics is the start time.</w:t>
      </w:r>
    </w:p>
    <w:p w14:paraId="46D78EDD" w14:textId="77777777" w:rsidR="007862A2" w:rsidRDefault="007862A2" w:rsidP="007862A2">
      <w:pPr>
        <w:pStyle w:val="PL"/>
      </w:pPr>
      <w:r>
        <w:rPr>
          <w:lang w:val="en-US"/>
        </w:rPr>
        <w:t xml:space="preserve">          - </w:t>
      </w:r>
      <w:r>
        <w:rPr>
          <w:lang w:eastAsia="zh-CN"/>
        </w:rPr>
        <w:t>DURATION</w:t>
      </w:r>
      <w:r>
        <w:t>: T</w:t>
      </w:r>
      <w:r>
        <w:rPr>
          <w:rFonts w:hint="eastAsia"/>
          <w:lang w:eastAsia="zh-CN"/>
        </w:rPr>
        <w:t>he</w:t>
      </w:r>
      <w:r>
        <w:rPr>
          <w:lang w:eastAsia="zh-CN"/>
        </w:rPr>
        <w:t xml:space="preserve"> ordering criterion</w:t>
      </w:r>
      <w:r>
        <w:t xml:space="preserve"> of the analytics is the </w:t>
      </w:r>
      <w:r>
        <w:rPr>
          <w:lang w:eastAsia="zh-CN"/>
        </w:rPr>
        <w:t>duration of the communication</w:t>
      </w:r>
      <w:r>
        <w:t>.</w:t>
      </w:r>
    </w:p>
    <w:p w14:paraId="56908F19" w14:textId="77777777" w:rsidR="007862A2" w:rsidRDefault="007862A2" w:rsidP="007862A2">
      <w:pPr>
        <w:pStyle w:val="PL"/>
        <w:rPr>
          <w:lang w:val="en-US"/>
        </w:rPr>
      </w:pPr>
    </w:p>
    <w:p w14:paraId="02CE919F" w14:textId="77777777" w:rsidR="007862A2" w:rsidRDefault="007862A2" w:rsidP="007862A2">
      <w:pPr>
        <w:pStyle w:val="PL"/>
        <w:rPr>
          <w:lang w:val="en-US"/>
        </w:rPr>
      </w:pPr>
      <w:r>
        <w:rPr>
          <w:lang w:val="en-US"/>
        </w:rPr>
        <w:t xml:space="preserve">    </w:t>
      </w:r>
      <w:r>
        <w:t>NetworkPerfOrderCriterion</w:t>
      </w:r>
      <w:r>
        <w:rPr>
          <w:lang w:val="en-US"/>
        </w:rPr>
        <w:t>:</w:t>
      </w:r>
    </w:p>
    <w:p w14:paraId="49B52494" w14:textId="77777777" w:rsidR="007862A2" w:rsidRDefault="007862A2" w:rsidP="007862A2">
      <w:pPr>
        <w:pStyle w:val="PL"/>
        <w:rPr>
          <w:lang w:val="en-US"/>
        </w:rPr>
      </w:pPr>
      <w:r>
        <w:rPr>
          <w:lang w:val="en-US"/>
        </w:rPr>
        <w:t xml:space="preserve">      anyOf:</w:t>
      </w:r>
    </w:p>
    <w:p w14:paraId="454914DD" w14:textId="77777777" w:rsidR="007862A2" w:rsidRDefault="007862A2" w:rsidP="007862A2">
      <w:pPr>
        <w:pStyle w:val="PL"/>
        <w:rPr>
          <w:lang w:val="en-US"/>
        </w:rPr>
      </w:pPr>
      <w:r>
        <w:rPr>
          <w:lang w:val="en-US"/>
        </w:rPr>
        <w:t xml:space="preserve">      - type: string</w:t>
      </w:r>
    </w:p>
    <w:p w14:paraId="1FB23DA0" w14:textId="77777777" w:rsidR="007862A2" w:rsidRDefault="007862A2" w:rsidP="007862A2">
      <w:pPr>
        <w:pStyle w:val="PL"/>
        <w:rPr>
          <w:lang w:val="en-US"/>
        </w:rPr>
      </w:pPr>
      <w:r>
        <w:rPr>
          <w:lang w:val="en-US"/>
        </w:rPr>
        <w:t xml:space="preserve">        enum:</w:t>
      </w:r>
    </w:p>
    <w:p w14:paraId="13F2E6B7" w14:textId="77777777" w:rsidR="007862A2" w:rsidRDefault="007862A2" w:rsidP="007862A2">
      <w:pPr>
        <w:pStyle w:val="PL"/>
        <w:rPr>
          <w:lang w:val="en-US"/>
        </w:rPr>
      </w:pPr>
      <w:r>
        <w:rPr>
          <w:lang w:val="en-US"/>
        </w:rPr>
        <w:t xml:space="preserve">          - </w:t>
      </w:r>
      <w:r>
        <w:t>NUMBER_OF_UES</w:t>
      </w:r>
    </w:p>
    <w:p w14:paraId="6889A7CF" w14:textId="77777777" w:rsidR="007862A2" w:rsidRDefault="007862A2" w:rsidP="007862A2">
      <w:pPr>
        <w:pStyle w:val="PL"/>
      </w:pPr>
      <w:r>
        <w:rPr>
          <w:lang w:val="en-US"/>
        </w:rPr>
        <w:t xml:space="preserve">          - </w:t>
      </w:r>
      <w:r>
        <w:rPr>
          <w:lang w:eastAsia="zh-CN"/>
        </w:rPr>
        <w:t>COMMUNICATION_PERF</w:t>
      </w:r>
    </w:p>
    <w:p w14:paraId="03F7AC49" w14:textId="77777777" w:rsidR="007862A2" w:rsidRDefault="007862A2" w:rsidP="007862A2">
      <w:pPr>
        <w:pStyle w:val="PL"/>
        <w:rPr>
          <w:lang w:val="en-US"/>
        </w:rPr>
      </w:pPr>
      <w:r>
        <w:rPr>
          <w:lang w:val="en-US"/>
        </w:rPr>
        <w:t xml:space="preserve">          - </w:t>
      </w:r>
      <w:r>
        <w:rPr>
          <w:lang w:eastAsia="zh-CN"/>
        </w:rPr>
        <w:t>MOBILITY_PERF</w:t>
      </w:r>
    </w:p>
    <w:p w14:paraId="4F991834" w14:textId="77777777" w:rsidR="007862A2" w:rsidRDefault="007862A2" w:rsidP="007862A2">
      <w:pPr>
        <w:pStyle w:val="PL"/>
        <w:rPr>
          <w:lang w:val="en-US"/>
        </w:rPr>
      </w:pPr>
      <w:r>
        <w:rPr>
          <w:lang w:val="en-US"/>
        </w:rPr>
        <w:t xml:space="preserve">      - type: string</w:t>
      </w:r>
    </w:p>
    <w:p w14:paraId="3F4258C2" w14:textId="77777777" w:rsidR="007862A2" w:rsidRDefault="007862A2" w:rsidP="007862A2">
      <w:pPr>
        <w:pStyle w:val="PL"/>
        <w:rPr>
          <w:lang w:val="en-US"/>
        </w:rPr>
      </w:pPr>
      <w:r>
        <w:rPr>
          <w:lang w:val="en-US"/>
        </w:rPr>
        <w:t xml:space="preserve">        description: &gt;</w:t>
      </w:r>
    </w:p>
    <w:p w14:paraId="6F53EA75" w14:textId="77777777" w:rsidR="007862A2" w:rsidRDefault="007862A2" w:rsidP="007862A2">
      <w:pPr>
        <w:pStyle w:val="PL"/>
        <w:rPr>
          <w:lang w:val="en-US"/>
        </w:rPr>
      </w:pPr>
      <w:r>
        <w:rPr>
          <w:lang w:val="en-US"/>
        </w:rPr>
        <w:t xml:space="preserve">          This string provides forward-compatibility with future extensions to the enumeration but</w:t>
      </w:r>
    </w:p>
    <w:p w14:paraId="01567E7F" w14:textId="77777777" w:rsidR="007862A2" w:rsidRDefault="007862A2" w:rsidP="007862A2">
      <w:pPr>
        <w:pStyle w:val="PL"/>
        <w:rPr>
          <w:lang w:val="en-US"/>
        </w:rPr>
      </w:pPr>
      <w:r>
        <w:rPr>
          <w:lang w:val="en-US"/>
        </w:rPr>
        <w:t xml:space="preserve">          is not used to encode content defined in the present version of this API.</w:t>
      </w:r>
    </w:p>
    <w:p w14:paraId="6E3F8881" w14:textId="77777777" w:rsidR="007862A2" w:rsidRDefault="007862A2" w:rsidP="007862A2">
      <w:pPr>
        <w:pStyle w:val="PL"/>
        <w:rPr>
          <w:lang w:val="en-US"/>
        </w:rPr>
      </w:pPr>
      <w:r>
        <w:rPr>
          <w:lang w:val="en-US"/>
        </w:rPr>
        <w:t xml:space="preserve">      description: |</w:t>
      </w:r>
    </w:p>
    <w:p w14:paraId="1664A9D0"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rPr>
          <w:lang w:eastAsia="zh-CN"/>
        </w:rPr>
        <w:t>network</w:t>
      </w:r>
      <w:r>
        <w:rPr>
          <w:lang w:eastAsia="ko-KR"/>
        </w:rPr>
        <w:t xml:space="preserve"> performance analytics.  </w:t>
      </w:r>
    </w:p>
    <w:p w14:paraId="2ED353A0" w14:textId="77777777" w:rsidR="007862A2" w:rsidRDefault="007862A2" w:rsidP="007862A2">
      <w:pPr>
        <w:pStyle w:val="PL"/>
        <w:rPr>
          <w:lang w:val="en-US"/>
        </w:rPr>
      </w:pPr>
      <w:r>
        <w:rPr>
          <w:lang w:val="en-US"/>
        </w:rPr>
        <w:t xml:space="preserve">        Possible values are:  </w:t>
      </w:r>
    </w:p>
    <w:p w14:paraId="7C3BEA67" w14:textId="77777777" w:rsidR="007862A2" w:rsidRDefault="007862A2" w:rsidP="007862A2">
      <w:pPr>
        <w:pStyle w:val="PL"/>
        <w:rPr>
          <w:lang w:val="en-US"/>
        </w:rPr>
      </w:pPr>
      <w:r>
        <w:rPr>
          <w:lang w:val="en-US"/>
        </w:rPr>
        <w:t xml:space="preserve">          - </w:t>
      </w:r>
      <w:r>
        <w:t>NUMBER_OF_UES: T</w:t>
      </w:r>
      <w:r>
        <w:rPr>
          <w:lang w:eastAsia="zh-CN"/>
        </w:rPr>
        <w:t>he ordering criterion</w:t>
      </w:r>
      <w:r>
        <w:t xml:space="preserve"> of the analytics is the number of UEs.</w:t>
      </w:r>
    </w:p>
    <w:p w14:paraId="219C63FC" w14:textId="77777777" w:rsidR="007862A2" w:rsidRDefault="007862A2" w:rsidP="007862A2">
      <w:pPr>
        <w:pStyle w:val="PL"/>
      </w:pPr>
      <w:r>
        <w:rPr>
          <w:lang w:val="en-US"/>
        </w:rPr>
        <w:t xml:space="preserve">          - </w:t>
      </w:r>
      <w:r>
        <w:rPr>
          <w:lang w:eastAsia="zh-CN"/>
        </w:rPr>
        <w:t>COMMUNICATION_PERF</w:t>
      </w:r>
      <w:r>
        <w:t>: T</w:t>
      </w:r>
      <w:r>
        <w:rPr>
          <w:lang w:eastAsia="zh-CN"/>
        </w:rPr>
        <w:t>he ordering criterion</w:t>
      </w:r>
      <w:r>
        <w:t xml:space="preserve"> of the analytics is the </w:t>
      </w:r>
      <w:r>
        <w:rPr>
          <w:lang w:eastAsia="zh-CN"/>
        </w:rPr>
        <w:t>communication</w:t>
      </w:r>
      <w:r>
        <w:t xml:space="preserve"> performance.</w:t>
      </w:r>
    </w:p>
    <w:p w14:paraId="07B48A0D" w14:textId="77777777" w:rsidR="007862A2" w:rsidRDefault="007862A2" w:rsidP="007862A2">
      <w:pPr>
        <w:pStyle w:val="PL"/>
      </w:pPr>
      <w:r>
        <w:rPr>
          <w:lang w:val="en-US"/>
        </w:rPr>
        <w:t xml:space="preserve">          - </w:t>
      </w:r>
      <w:r>
        <w:rPr>
          <w:lang w:eastAsia="zh-CN"/>
        </w:rPr>
        <w:t>MOBILITY_PERF</w:t>
      </w:r>
      <w:r>
        <w:t>: T</w:t>
      </w:r>
      <w:r>
        <w:rPr>
          <w:lang w:eastAsia="zh-CN"/>
        </w:rPr>
        <w:t>he ordering criterion</w:t>
      </w:r>
      <w:r>
        <w:t xml:space="preserve"> of the analytics is themobility performance.</w:t>
      </w:r>
    </w:p>
    <w:p w14:paraId="3420BD7C" w14:textId="77777777" w:rsidR="007862A2" w:rsidRDefault="007862A2" w:rsidP="007862A2">
      <w:pPr>
        <w:pStyle w:val="PL"/>
      </w:pPr>
    </w:p>
    <w:p w14:paraId="671210B1" w14:textId="77777777" w:rsidR="007862A2" w:rsidRDefault="007862A2" w:rsidP="007862A2">
      <w:pPr>
        <w:pStyle w:val="PL"/>
        <w:rPr>
          <w:lang w:val="en-US"/>
        </w:rPr>
      </w:pPr>
      <w:r>
        <w:rPr>
          <w:lang w:val="en-US"/>
        </w:rPr>
        <w:t xml:space="preserve">    </w:t>
      </w:r>
      <w:r>
        <w:rPr>
          <w:lang w:eastAsia="zh-CN"/>
        </w:rPr>
        <w:t>LocInfoGranularity</w:t>
      </w:r>
      <w:r>
        <w:rPr>
          <w:lang w:val="en-US"/>
        </w:rPr>
        <w:t>:</w:t>
      </w:r>
    </w:p>
    <w:p w14:paraId="3B173D8D" w14:textId="77777777" w:rsidR="007862A2" w:rsidRDefault="007862A2" w:rsidP="007862A2">
      <w:pPr>
        <w:pStyle w:val="PL"/>
        <w:rPr>
          <w:lang w:val="en-US"/>
        </w:rPr>
      </w:pPr>
      <w:r>
        <w:rPr>
          <w:lang w:val="en-US"/>
        </w:rPr>
        <w:t xml:space="preserve">      anyOf:</w:t>
      </w:r>
    </w:p>
    <w:p w14:paraId="05A12F9B" w14:textId="77777777" w:rsidR="007862A2" w:rsidRDefault="007862A2" w:rsidP="007862A2">
      <w:pPr>
        <w:pStyle w:val="PL"/>
        <w:rPr>
          <w:lang w:val="en-US"/>
        </w:rPr>
      </w:pPr>
      <w:r>
        <w:rPr>
          <w:lang w:val="en-US"/>
        </w:rPr>
        <w:t xml:space="preserve">      - type: string</w:t>
      </w:r>
    </w:p>
    <w:p w14:paraId="13ABF792" w14:textId="77777777" w:rsidR="007862A2" w:rsidRDefault="007862A2" w:rsidP="007862A2">
      <w:pPr>
        <w:pStyle w:val="PL"/>
        <w:rPr>
          <w:lang w:val="en-US"/>
        </w:rPr>
      </w:pPr>
      <w:r>
        <w:rPr>
          <w:lang w:val="en-US"/>
        </w:rPr>
        <w:t xml:space="preserve">        enum:</w:t>
      </w:r>
    </w:p>
    <w:p w14:paraId="47456099" w14:textId="77777777" w:rsidR="007862A2" w:rsidRDefault="007862A2" w:rsidP="007862A2">
      <w:pPr>
        <w:pStyle w:val="PL"/>
        <w:rPr>
          <w:lang w:val="en-US"/>
        </w:rPr>
      </w:pPr>
      <w:r>
        <w:rPr>
          <w:lang w:val="en-US"/>
        </w:rPr>
        <w:t xml:space="preserve">          - </w:t>
      </w:r>
      <w:r>
        <w:rPr>
          <w:rFonts w:hint="eastAsia"/>
          <w:lang w:eastAsia="zh-CN"/>
        </w:rPr>
        <w:t>T</w:t>
      </w:r>
      <w:r>
        <w:rPr>
          <w:lang w:eastAsia="zh-CN"/>
        </w:rPr>
        <w:t>A_LEVEL</w:t>
      </w:r>
    </w:p>
    <w:p w14:paraId="4B97AF23" w14:textId="77777777" w:rsidR="007862A2" w:rsidRDefault="007862A2" w:rsidP="007862A2">
      <w:pPr>
        <w:pStyle w:val="PL"/>
        <w:rPr>
          <w:lang w:eastAsia="zh-CN"/>
        </w:rPr>
      </w:pPr>
      <w:r>
        <w:rPr>
          <w:lang w:val="en-US"/>
        </w:rPr>
        <w:t xml:space="preserve">          - </w:t>
      </w:r>
      <w:r>
        <w:rPr>
          <w:lang w:eastAsia="zh-CN"/>
        </w:rPr>
        <w:t>CELL_LEVEL</w:t>
      </w:r>
    </w:p>
    <w:p w14:paraId="1526BE97" w14:textId="77777777" w:rsidR="007862A2" w:rsidRDefault="007862A2" w:rsidP="007862A2">
      <w:pPr>
        <w:pStyle w:val="PL"/>
        <w:rPr>
          <w:lang w:val="en-US"/>
        </w:rPr>
      </w:pPr>
      <w:r>
        <w:t xml:space="preserve">          - LON_AND_LAT_LEVEL</w:t>
      </w:r>
    </w:p>
    <w:p w14:paraId="0A6A576A" w14:textId="77777777" w:rsidR="007862A2" w:rsidRDefault="007862A2" w:rsidP="007862A2">
      <w:pPr>
        <w:pStyle w:val="PL"/>
        <w:rPr>
          <w:lang w:val="en-US"/>
        </w:rPr>
      </w:pPr>
      <w:r>
        <w:rPr>
          <w:lang w:val="en-US"/>
        </w:rPr>
        <w:t xml:space="preserve">      - type: string</w:t>
      </w:r>
    </w:p>
    <w:p w14:paraId="2CA82599" w14:textId="77777777" w:rsidR="007862A2" w:rsidRDefault="007862A2" w:rsidP="007862A2">
      <w:pPr>
        <w:pStyle w:val="PL"/>
        <w:rPr>
          <w:lang w:val="en-US"/>
        </w:rPr>
      </w:pPr>
      <w:r>
        <w:rPr>
          <w:lang w:val="en-US"/>
        </w:rPr>
        <w:t xml:space="preserve">        description: &gt;</w:t>
      </w:r>
    </w:p>
    <w:p w14:paraId="49B718E0" w14:textId="77777777" w:rsidR="007862A2" w:rsidRDefault="007862A2" w:rsidP="007862A2">
      <w:pPr>
        <w:pStyle w:val="PL"/>
        <w:rPr>
          <w:lang w:val="en-US"/>
        </w:rPr>
      </w:pPr>
      <w:r>
        <w:rPr>
          <w:lang w:val="en-US"/>
        </w:rPr>
        <w:t xml:space="preserve">          This string provides forward-compatibility with future extensions to the enumeration but</w:t>
      </w:r>
    </w:p>
    <w:p w14:paraId="10422F5B" w14:textId="77777777" w:rsidR="007862A2" w:rsidRDefault="007862A2" w:rsidP="007862A2">
      <w:pPr>
        <w:pStyle w:val="PL"/>
        <w:rPr>
          <w:lang w:val="en-US"/>
        </w:rPr>
      </w:pPr>
      <w:r>
        <w:rPr>
          <w:lang w:val="en-US"/>
        </w:rPr>
        <w:t xml:space="preserve">          is not used to encode content defined in the present version of this API.</w:t>
      </w:r>
    </w:p>
    <w:p w14:paraId="561F71B3" w14:textId="77777777" w:rsidR="007862A2" w:rsidRDefault="007862A2" w:rsidP="007862A2">
      <w:pPr>
        <w:pStyle w:val="PL"/>
        <w:rPr>
          <w:lang w:val="en-US"/>
        </w:rPr>
      </w:pPr>
      <w:r>
        <w:rPr>
          <w:lang w:val="en-US"/>
        </w:rPr>
        <w:t xml:space="preserve">      description: |</w:t>
      </w:r>
    </w:p>
    <w:p w14:paraId="0F59D059" w14:textId="77777777" w:rsidR="007862A2" w:rsidRDefault="007862A2" w:rsidP="007862A2">
      <w:pPr>
        <w:pStyle w:val="PL"/>
        <w:rPr>
          <w:lang w:val="en-US"/>
        </w:rPr>
      </w:pPr>
      <w:r>
        <w:rPr>
          <w:lang w:val="en-US"/>
        </w:rPr>
        <w:t xml:space="preserve">        Represents the </w:t>
      </w:r>
      <w:r>
        <w:t>preferred granularity of location information</w:t>
      </w:r>
      <w:r>
        <w:rPr>
          <w:lang w:eastAsia="ko-KR"/>
        </w:rPr>
        <w:t xml:space="preserve">.  </w:t>
      </w:r>
    </w:p>
    <w:p w14:paraId="039AA487" w14:textId="77777777" w:rsidR="007862A2" w:rsidRDefault="007862A2" w:rsidP="007862A2">
      <w:pPr>
        <w:pStyle w:val="PL"/>
        <w:rPr>
          <w:lang w:val="en-US"/>
        </w:rPr>
      </w:pPr>
      <w:r>
        <w:rPr>
          <w:lang w:val="en-US"/>
        </w:rPr>
        <w:t xml:space="preserve">        Possible values are:  </w:t>
      </w:r>
    </w:p>
    <w:p w14:paraId="5EA67960" w14:textId="77777777" w:rsidR="007862A2" w:rsidRDefault="007862A2" w:rsidP="007862A2">
      <w:pPr>
        <w:pStyle w:val="PL"/>
        <w:rPr>
          <w:lang w:val="en-US"/>
        </w:rPr>
      </w:pPr>
      <w:r>
        <w:rPr>
          <w:lang w:val="en-US"/>
        </w:rPr>
        <w:t xml:space="preserve">          - </w:t>
      </w:r>
      <w:r>
        <w:rPr>
          <w:rFonts w:hint="eastAsia"/>
          <w:lang w:eastAsia="zh-CN"/>
        </w:rPr>
        <w:t>T</w:t>
      </w:r>
      <w:r>
        <w:rPr>
          <w:lang w:eastAsia="zh-CN"/>
        </w:rPr>
        <w:t>A_LEVEL</w:t>
      </w:r>
      <w:r>
        <w:t>: Indicates location granularity of TA level.</w:t>
      </w:r>
    </w:p>
    <w:p w14:paraId="338B49C4" w14:textId="77777777" w:rsidR="007862A2" w:rsidRDefault="007862A2" w:rsidP="007862A2">
      <w:pPr>
        <w:pStyle w:val="PL"/>
      </w:pPr>
      <w:r>
        <w:rPr>
          <w:lang w:val="en-US"/>
        </w:rPr>
        <w:t xml:space="preserve">          - </w:t>
      </w:r>
      <w:r>
        <w:rPr>
          <w:lang w:eastAsia="zh-CN"/>
        </w:rPr>
        <w:t>CELL_LEVEL</w:t>
      </w:r>
      <w:r>
        <w:t>: Indicates location granularity of Cell level.</w:t>
      </w:r>
    </w:p>
    <w:p w14:paraId="0199C1A5" w14:textId="77777777" w:rsidR="007862A2" w:rsidRDefault="007862A2" w:rsidP="007862A2">
      <w:pPr>
        <w:pStyle w:val="PL"/>
      </w:pPr>
      <w:r>
        <w:rPr>
          <w:lang w:val="en-US"/>
        </w:rPr>
        <w:t xml:space="preserve">          - </w:t>
      </w:r>
      <w:r>
        <w:t>LON_AND_LAT_LEVEL: Indicates location granularity of longitude and latitude level.</w:t>
      </w:r>
    </w:p>
    <w:p w14:paraId="02A67777" w14:textId="77777777" w:rsidR="007862A2" w:rsidRDefault="007862A2" w:rsidP="007862A2">
      <w:pPr>
        <w:pStyle w:val="PL"/>
      </w:pPr>
    </w:p>
    <w:p w14:paraId="4741BD43" w14:textId="77777777" w:rsidR="007862A2" w:rsidRDefault="007862A2" w:rsidP="007862A2">
      <w:pPr>
        <w:pStyle w:val="PL"/>
        <w:rPr>
          <w:lang w:val="en-US"/>
        </w:rPr>
      </w:pPr>
      <w:r>
        <w:rPr>
          <w:lang w:val="en-US"/>
        </w:rPr>
        <w:t xml:space="preserve">    </w:t>
      </w:r>
      <w:r>
        <w:t>TrafficDirection</w:t>
      </w:r>
      <w:r>
        <w:rPr>
          <w:lang w:val="en-US"/>
        </w:rPr>
        <w:t>:</w:t>
      </w:r>
    </w:p>
    <w:p w14:paraId="40069F0C" w14:textId="77777777" w:rsidR="007862A2" w:rsidRDefault="007862A2" w:rsidP="007862A2">
      <w:pPr>
        <w:pStyle w:val="PL"/>
        <w:rPr>
          <w:lang w:val="en-US"/>
        </w:rPr>
      </w:pPr>
      <w:r>
        <w:rPr>
          <w:lang w:val="en-US"/>
        </w:rPr>
        <w:t xml:space="preserve">      anyOf:</w:t>
      </w:r>
    </w:p>
    <w:p w14:paraId="59106992" w14:textId="77777777" w:rsidR="007862A2" w:rsidRDefault="007862A2" w:rsidP="007862A2">
      <w:pPr>
        <w:pStyle w:val="PL"/>
        <w:rPr>
          <w:lang w:val="en-US"/>
        </w:rPr>
      </w:pPr>
      <w:r>
        <w:rPr>
          <w:lang w:val="en-US"/>
        </w:rPr>
        <w:t xml:space="preserve">      - type: string</w:t>
      </w:r>
    </w:p>
    <w:p w14:paraId="65AEFA8D" w14:textId="77777777" w:rsidR="007862A2" w:rsidRDefault="007862A2" w:rsidP="007862A2">
      <w:pPr>
        <w:pStyle w:val="PL"/>
        <w:rPr>
          <w:lang w:val="en-US"/>
        </w:rPr>
      </w:pPr>
      <w:r>
        <w:rPr>
          <w:lang w:val="en-US"/>
        </w:rPr>
        <w:t xml:space="preserve">        enum:</w:t>
      </w:r>
    </w:p>
    <w:p w14:paraId="04CEDE60" w14:textId="77777777" w:rsidR="007862A2" w:rsidRDefault="007862A2" w:rsidP="007862A2">
      <w:pPr>
        <w:pStyle w:val="PL"/>
        <w:rPr>
          <w:lang w:val="en-US"/>
        </w:rPr>
      </w:pPr>
      <w:r>
        <w:rPr>
          <w:lang w:val="en-US"/>
        </w:rPr>
        <w:t xml:space="preserve">          - </w:t>
      </w:r>
      <w:r>
        <w:t>UL_AND_DL</w:t>
      </w:r>
    </w:p>
    <w:p w14:paraId="0F35B29D" w14:textId="77777777" w:rsidR="007862A2" w:rsidRDefault="007862A2" w:rsidP="007862A2">
      <w:pPr>
        <w:pStyle w:val="PL"/>
      </w:pPr>
      <w:r>
        <w:rPr>
          <w:lang w:val="en-US"/>
        </w:rPr>
        <w:t xml:space="preserve">          - </w:t>
      </w:r>
      <w:r>
        <w:rPr>
          <w:lang w:eastAsia="zh-CN"/>
        </w:rPr>
        <w:t>UL</w:t>
      </w:r>
    </w:p>
    <w:p w14:paraId="1A11EB2F" w14:textId="77777777" w:rsidR="007862A2" w:rsidRDefault="007862A2" w:rsidP="007862A2">
      <w:pPr>
        <w:pStyle w:val="PL"/>
        <w:rPr>
          <w:lang w:val="en-US"/>
        </w:rPr>
      </w:pPr>
      <w:r>
        <w:rPr>
          <w:lang w:val="en-US"/>
        </w:rPr>
        <w:t xml:space="preserve">          - </w:t>
      </w:r>
      <w:r>
        <w:rPr>
          <w:lang w:eastAsia="zh-CN"/>
        </w:rPr>
        <w:t>DL</w:t>
      </w:r>
    </w:p>
    <w:p w14:paraId="3C781BC1" w14:textId="77777777" w:rsidR="007862A2" w:rsidRDefault="007862A2" w:rsidP="007862A2">
      <w:pPr>
        <w:pStyle w:val="PL"/>
        <w:rPr>
          <w:lang w:val="en-US"/>
        </w:rPr>
      </w:pPr>
      <w:r>
        <w:rPr>
          <w:lang w:val="en-US"/>
        </w:rPr>
        <w:t xml:space="preserve">      - type: string</w:t>
      </w:r>
    </w:p>
    <w:p w14:paraId="66CD7EFF" w14:textId="77777777" w:rsidR="007862A2" w:rsidRDefault="007862A2" w:rsidP="007862A2">
      <w:pPr>
        <w:pStyle w:val="PL"/>
        <w:rPr>
          <w:lang w:val="en-US"/>
        </w:rPr>
      </w:pPr>
      <w:r>
        <w:rPr>
          <w:lang w:val="en-US"/>
        </w:rPr>
        <w:t xml:space="preserve">        description: &gt;</w:t>
      </w:r>
    </w:p>
    <w:p w14:paraId="748DEC34" w14:textId="77777777" w:rsidR="007862A2" w:rsidRDefault="007862A2" w:rsidP="007862A2">
      <w:pPr>
        <w:pStyle w:val="PL"/>
        <w:rPr>
          <w:lang w:val="en-US"/>
        </w:rPr>
      </w:pPr>
      <w:r>
        <w:rPr>
          <w:lang w:val="en-US"/>
        </w:rPr>
        <w:t xml:space="preserve">          This string provides forward-compatibility with future extensions to the enumeration but</w:t>
      </w:r>
    </w:p>
    <w:p w14:paraId="03AB727E" w14:textId="77777777" w:rsidR="007862A2" w:rsidRDefault="007862A2" w:rsidP="007862A2">
      <w:pPr>
        <w:pStyle w:val="PL"/>
        <w:rPr>
          <w:lang w:val="en-US"/>
        </w:rPr>
      </w:pPr>
      <w:r>
        <w:rPr>
          <w:lang w:val="en-US"/>
        </w:rPr>
        <w:t xml:space="preserve">          is not used to encode content defined in the present version of this API.</w:t>
      </w:r>
    </w:p>
    <w:p w14:paraId="6353F8F4" w14:textId="77777777" w:rsidR="007862A2" w:rsidRDefault="007862A2" w:rsidP="007862A2">
      <w:pPr>
        <w:pStyle w:val="PL"/>
        <w:rPr>
          <w:lang w:val="en-US"/>
        </w:rPr>
      </w:pPr>
      <w:r>
        <w:rPr>
          <w:lang w:val="en-US"/>
        </w:rPr>
        <w:t xml:space="preserve">      description: |</w:t>
      </w:r>
    </w:p>
    <w:p w14:paraId="278296C9" w14:textId="77777777" w:rsidR="007862A2" w:rsidRDefault="007862A2" w:rsidP="007862A2">
      <w:pPr>
        <w:pStyle w:val="PL"/>
        <w:rPr>
          <w:lang w:val="en-US"/>
        </w:rPr>
      </w:pPr>
      <w:r>
        <w:rPr>
          <w:lang w:val="en-US"/>
        </w:rPr>
        <w:t xml:space="preserve">        Represents the </w:t>
      </w:r>
      <w:r>
        <w:rPr>
          <w:lang w:eastAsia="ko-KR"/>
        </w:rPr>
        <w:t xml:space="preserve">traffic direction for the resource usage information.  </w:t>
      </w:r>
    </w:p>
    <w:p w14:paraId="57DF774F" w14:textId="77777777" w:rsidR="007862A2" w:rsidRDefault="007862A2" w:rsidP="007862A2">
      <w:pPr>
        <w:pStyle w:val="PL"/>
        <w:rPr>
          <w:lang w:val="en-US"/>
        </w:rPr>
      </w:pPr>
      <w:r>
        <w:rPr>
          <w:lang w:val="en-US"/>
        </w:rPr>
        <w:t xml:space="preserve">        Possible values are:  </w:t>
      </w:r>
    </w:p>
    <w:p w14:paraId="32F0E6D2" w14:textId="77777777" w:rsidR="007862A2" w:rsidRDefault="007862A2" w:rsidP="007862A2">
      <w:pPr>
        <w:pStyle w:val="PL"/>
        <w:rPr>
          <w:lang w:val="en-US"/>
        </w:rPr>
      </w:pPr>
      <w:r>
        <w:rPr>
          <w:lang w:val="en-US"/>
        </w:rPr>
        <w:t xml:space="preserve">          - </w:t>
      </w:r>
      <w:r>
        <w:t>UL_AND_DL: Uplink and downlink traffic.</w:t>
      </w:r>
    </w:p>
    <w:p w14:paraId="5ED3C6F3" w14:textId="77777777" w:rsidR="007862A2" w:rsidRDefault="007862A2" w:rsidP="007862A2">
      <w:pPr>
        <w:pStyle w:val="PL"/>
      </w:pPr>
      <w:r>
        <w:rPr>
          <w:lang w:val="en-US"/>
        </w:rPr>
        <w:t xml:space="preserve">          - </w:t>
      </w:r>
      <w:r>
        <w:rPr>
          <w:lang w:eastAsia="zh-CN"/>
        </w:rPr>
        <w:t>UL</w:t>
      </w:r>
      <w:r>
        <w:t>: Uplink traffic.</w:t>
      </w:r>
    </w:p>
    <w:p w14:paraId="7D844F1C" w14:textId="77777777" w:rsidR="007862A2" w:rsidRDefault="007862A2" w:rsidP="007862A2">
      <w:pPr>
        <w:pStyle w:val="PL"/>
        <w:rPr>
          <w:lang w:val="en-US"/>
        </w:rPr>
      </w:pPr>
      <w:r>
        <w:rPr>
          <w:lang w:val="en-US"/>
        </w:rPr>
        <w:t xml:space="preserve">          - </w:t>
      </w:r>
      <w:r>
        <w:rPr>
          <w:lang w:eastAsia="zh-CN"/>
        </w:rPr>
        <w:t>DL</w:t>
      </w:r>
      <w:r>
        <w:t>: Downlink traffic.</w:t>
      </w:r>
    </w:p>
    <w:p w14:paraId="57DBE885" w14:textId="77777777" w:rsidR="007862A2" w:rsidRDefault="007862A2" w:rsidP="007862A2">
      <w:pPr>
        <w:pStyle w:val="PL"/>
        <w:rPr>
          <w:lang w:val="en-US"/>
        </w:rPr>
      </w:pPr>
    </w:p>
    <w:p w14:paraId="2A742031" w14:textId="77777777" w:rsidR="007862A2" w:rsidRDefault="007862A2" w:rsidP="007862A2">
      <w:pPr>
        <w:pStyle w:val="PL"/>
        <w:rPr>
          <w:lang w:val="en-US"/>
        </w:rPr>
      </w:pPr>
      <w:r>
        <w:rPr>
          <w:lang w:val="en-US"/>
        </w:rPr>
        <w:t xml:space="preserve">    </w:t>
      </w:r>
      <w:r>
        <w:t>ValueExpression</w:t>
      </w:r>
      <w:r>
        <w:rPr>
          <w:lang w:val="en-US"/>
        </w:rPr>
        <w:t>:</w:t>
      </w:r>
    </w:p>
    <w:p w14:paraId="4403C487" w14:textId="77777777" w:rsidR="007862A2" w:rsidRDefault="007862A2" w:rsidP="007862A2">
      <w:pPr>
        <w:pStyle w:val="PL"/>
        <w:rPr>
          <w:lang w:val="en-US"/>
        </w:rPr>
      </w:pPr>
      <w:r>
        <w:rPr>
          <w:lang w:val="en-US"/>
        </w:rPr>
        <w:t xml:space="preserve">      anyOf:</w:t>
      </w:r>
    </w:p>
    <w:p w14:paraId="5F9748E1" w14:textId="77777777" w:rsidR="007862A2" w:rsidRDefault="007862A2" w:rsidP="007862A2">
      <w:pPr>
        <w:pStyle w:val="PL"/>
        <w:rPr>
          <w:lang w:val="en-US"/>
        </w:rPr>
      </w:pPr>
      <w:r>
        <w:rPr>
          <w:lang w:val="en-US"/>
        </w:rPr>
        <w:t xml:space="preserve">      - type: string</w:t>
      </w:r>
    </w:p>
    <w:p w14:paraId="49D3D7C6" w14:textId="77777777" w:rsidR="007862A2" w:rsidRDefault="007862A2" w:rsidP="007862A2">
      <w:pPr>
        <w:pStyle w:val="PL"/>
        <w:rPr>
          <w:lang w:val="en-US"/>
        </w:rPr>
      </w:pPr>
      <w:r>
        <w:rPr>
          <w:lang w:val="en-US"/>
        </w:rPr>
        <w:t xml:space="preserve">        enum:</w:t>
      </w:r>
    </w:p>
    <w:p w14:paraId="5F09A051" w14:textId="77777777" w:rsidR="007862A2" w:rsidRDefault="007862A2" w:rsidP="007862A2">
      <w:pPr>
        <w:pStyle w:val="PL"/>
        <w:rPr>
          <w:lang w:val="en-US"/>
        </w:rPr>
      </w:pPr>
      <w:r>
        <w:rPr>
          <w:lang w:val="en-US"/>
        </w:rPr>
        <w:t xml:space="preserve">          - </w:t>
      </w:r>
      <w:r>
        <w:t>AVERAGE</w:t>
      </w:r>
    </w:p>
    <w:p w14:paraId="0F583804" w14:textId="77777777" w:rsidR="007862A2" w:rsidRDefault="007862A2" w:rsidP="007862A2">
      <w:pPr>
        <w:pStyle w:val="PL"/>
        <w:rPr>
          <w:lang w:val="en-US"/>
        </w:rPr>
      </w:pPr>
      <w:r>
        <w:rPr>
          <w:lang w:val="en-US"/>
        </w:rPr>
        <w:t xml:space="preserve">          - </w:t>
      </w:r>
      <w:r>
        <w:rPr>
          <w:lang w:eastAsia="zh-CN"/>
        </w:rPr>
        <w:t>PEAK</w:t>
      </w:r>
    </w:p>
    <w:p w14:paraId="4669BD35" w14:textId="77777777" w:rsidR="007862A2" w:rsidRDefault="007862A2" w:rsidP="007862A2">
      <w:pPr>
        <w:pStyle w:val="PL"/>
        <w:rPr>
          <w:lang w:val="en-US"/>
        </w:rPr>
      </w:pPr>
      <w:r>
        <w:rPr>
          <w:lang w:val="en-US"/>
        </w:rPr>
        <w:t xml:space="preserve">      - type: string</w:t>
      </w:r>
    </w:p>
    <w:p w14:paraId="618C663B" w14:textId="77777777" w:rsidR="007862A2" w:rsidRDefault="007862A2" w:rsidP="007862A2">
      <w:pPr>
        <w:pStyle w:val="PL"/>
        <w:rPr>
          <w:lang w:val="en-US"/>
        </w:rPr>
      </w:pPr>
      <w:r>
        <w:rPr>
          <w:lang w:val="en-US"/>
        </w:rPr>
        <w:t xml:space="preserve">        description: &gt;</w:t>
      </w:r>
    </w:p>
    <w:p w14:paraId="623AC650" w14:textId="77777777" w:rsidR="007862A2" w:rsidRDefault="007862A2" w:rsidP="007862A2">
      <w:pPr>
        <w:pStyle w:val="PL"/>
        <w:rPr>
          <w:lang w:val="en-US"/>
        </w:rPr>
      </w:pPr>
      <w:r>
        <w:rPr>
          <w:lang w:val="en-US"/>
        </w:rPr>
        <w:t xml:space="preserve">          This string provides forward-compatibility with future extensions to the enumeration but</w:t>
      </w:r>
    </w:p>
    <w:p w14:paraId="03D6E5F3" w14:textId="77777777" w:rsidR="007862A2" w:rsidRDefault="007862A2" w:rsidP="007862A2">
      <w:pPr>
        <w:pStyle w:val="PL"/>
        <w:rPr>
          <w:lang w:val="en-US"/>
        </w:rPr>
      </w:pPr>
      <w:r>
        <w:rPr>
          <w:lang w:val="en-US"/>
        </w:rPr>
        <w:t xml:space="preserve">          is not used to encode content defined in the present version of this API.</w:t>
      </w:r>
    </w:p>
    <w:p w14:paraId="66404A8E" w14:textId="77777777" w:rsidR="007862A2" w:rsidRDefault="007862A2" w:rsidP="007862A2">
      <w:pPr>
        <w:pStyle w:val="PL"/>
        <w:rPr>
          <w:lang w:val="en-US"/>
        </w:rPr>
      </w:pPr>
      <w:r>
        <w:rPr>
          <w:lang w:val="en-US"/>
        </w:rPr>
        <w:t xml:space="preserve">      description: |</w:t>
      </w:r>
    </w:p>
    <w:p w14:paraId="4B791B07" w14:textId="77777777" w:rsidR="007862A2" w:rsidRDefault="007862A2" w:rsidP="007862A2">
      <w:pPr>
        <w:pStyle w:val="PL"/>
        <w:rPr>
          <w:lang w:val="en-US"/>
        </w:rPr>
      </w:pPr>
      <w:r>
        <w:rPr>
          <w:lang w:val="en-US"/>
        </w:rPr>
        <w:t xml:space="preserve">        Represents the </w:t>
      </w:r>
      <w:r>
        <w:rPr>
          <w:lang w:eastAsia="zh-CN"/>
        </w:rPr>
        <w:t>average or peak value of the resource usage for the network performance type</w:t>
      </w:r>
      <w:r>
        <w:rPr>
          <w:lang w:eastAsia="ko-KR"/>
        </w:rPr>
        <w:t xml:space="preserve">.  </w:t>
      </w:r>
    </w:p>
    <w:p w14:paraId="000EB589" w14:textId="77777777" w:rsidR="007862A2" w:rsidRDefault="007862A2" w:rsidP="007862A2">
      <w:pPr>
        <w:pStyle w:val="PL"/>
        <w:rPr>
          <w:lang w:val="en-US"/>
        </w:rPr>
      </w:pPr>
      <w:r>
        <w:rPr>
          <w:lang w:val="en-US"/>
        </w:rPr>
        <w:t xml:space="preserve">        Possible values are:  </w:t>
      </w:r>
    </w:p>
    <w:p w14:paraId="4F570204" w14:textId="77777777" w:rsidR="007862A2" w:rsidRDefault="007862A2" w:rsidP="007862A2">
      <w:pPr>
        <w:pStyle w:val="PL"/>
      </w:pPr>
      <w:r>
        <w:rPr>
          <w:lang w:val="en-US"/>
        </w:rPr>
        <w:t xml:space="preserve">          - </w:t>
      </w:r>
      <w:r>
        <w:t>AVERAGE: Resource usage information in average value.</w:t>
      </w:r>
    </w:p>
    <w:p w14:paraId="57F5249A" w14:textId="77777777" w:rsidR="007862A2" w:rsidRDefault="007862A2" w:rsidP="007862A2">
      <w:pPr>
        <w:pStyle w:val="PL"/>
        <w:rPr>
          <w:lang w:val="en-US"/>
        </w:rPr>
      </w:pPr>
      <w:r>
        <w:rPr>
          <w:lang w:val="en-US"/>
        </w:rPr>
        <w:t xml:space="preserve">          - </w:t>
      </w:r>
      <w:r>
        <w:rPr>
          <w:lang w:eastAsia="zh-CN"/>
        </w:rPr>
        <w:t>PEAK</w:t>
      </w:r>
      <w:r>
        <w:t>: Resource usage information in peak value.</w:t>
      </w:r>
    </w:p>
    <w:p w14:paraId="728A048E" w14:textId="77777777" w:rsidR="007862A2" w:rsidRDefault="007862A2" w:rsidP="007862A2">
      <w:pPr>
        <w:pStyle w:val="PL"/>
        <w:rPr>
          <w:lang w:val="en-US"/>
        </w:rPr>
      </w:pPr>
    </w:p>
    <w:p w14:paraId="33DDA8E8" w14:textId="77777777" w:rsidR="007862A2" w:rsidRDefault="007862A2" w:rsidP="007862A2">
      <w:pPr>
        <w:pStyle w:val="PL"/>
        <w:rPr>
          <w:lang w:val="en-US"/>
        </w:rPr>
      </w:pPr>
      <w:r>
        <w:rPr>
          <w:lang w:val="en-US"/>
        </w:rPr>
        <w:t xml:space="preserve">    </w:t>
      </w:r>
      <w:r>
        <w:rPr>
          <w:lang w:eastAsia="zh-CN"/>
        </w:rPr>
        <w:t>E2eDataVolTransTimeCriterion</w:t>
      </w:r>
      <w:r>
        <w:rPr>
          <w:lang w:val="en-US"/>
        </w:rPr>
        <w:t>:</w:t>
      </w:r>
    </w:p>
    <w:p w14:paraId="59A5A6B8" w14:textId="77777777" w:rsidR="007862A2" w:rsidRDefault="007862A2" w:rsidP="007862A2">
      <w:pPr>
        <w:pStyle w:val="PL"/>
        <w:rPr>
          <w:lang w:val="en-US"/>
        </w:rPr>
      </w:pPr>
      <w:r>
        <w:rPr>
          <w:lang w:val="en-US"/>
        </w:rPr>
        <w:t xml:space="preserve">      anyOf:</w:t>
      </w:r>
    </w:p>
    <w:p w14:paraId="42F9C3E6" w14:textId="77777777" w:rsidR="007862A2" w:rsidRDefault="007862A2" w:rsidP="007862A2">
      <w:pPr>
        <w:pStyle w:val="PL"/>
        <w:rPr>
          <w:lang w:val="en-US"/>
        </w:rPr>
      </w:pPr>
      <w:r>
        <w:rPr>
          <w:lang w:val="en-US"/>
        </w:rPr>
        <w:t xml:space="preserve">      - type: string</w:t>
      </w:r>
    </w:p>
    <w:p w14:paraId="02DD2D58" w14:textId="77777777" w:rsidR="007862A2" w:rsidRDefault="007862A2" w:rsidP="007862A2">
      <w:pPr>
        <w:pStyle w:val="PL"/>
        <w:rPr>
          <w:lang w:val="en-US"/>
        </w:rPr>
      </w:pPr>
      <w:r>
        <w:rPr>
          <w:lang w:val="en-US"/>
        </w:rPr>
        <w:t xml:space="preserve">        enum:</w:t>
      </w:r>
    </w:p>
    <w:p w14:paraId="7A2133D3" w14:textId="77777777" w:rsidR="007862A2" w:rsidRDefault="007862A2" w:rsidP="007862A2">
      <w:pPr>
        <w:pStyle w:val="PL"/>
        <w:rPr>
          <w:lang w:val="en-US"/>
        </w:rPr>
      </w:pPr>
      <w:r>
        <w:rPr>
          <w:lang w:val="en-US"/>
        </w:rPr>
        <w:t xml:space="preserve">          - </w:t>
      </w:r>
      <w:r>
        <w:rPr>
          <w:lang w:eastAsia="zh-CN"/>
        </w:rPr>
        <w:t>E2E_DATA_VOL_TRANS_TIME</w:t>
      </w:r>
    </w:p>
    <w:p w14:paraId="66CE21F5" w14:textId="77777777" w:rsidR="007862A2" w:rsidRDefault="007862A2" w:rsidP="007862A2">
      <w:pPr>
        <w:pStyle w:val="PL"/>
        <w:rPr>
          <w:lang w:val="en-US"/>
        </w:rPr>
      </w:pPr>
      <w:r>
        <w:rPr>
          <w:lang w:val="en-US"/>
        </w:rPr>
        <w:t xml:space="preserve">      - type: string</w:t>
      </w:r>
    </w:p>
    <w:p w14:paraId="0CF9B1F6" w14:textId="77777777" w:rsidR="007862A2" w:rsidRDefault="007862A2" w:rsidP="007862A2">
      <w:pPr>
        <w:pStyle w:val="PL"/>
        <w:rPr>
          <w:lang w:val="en-US"/>
        </w:rPr>
      </w:pPr>
      <w:r>
        <w:rPr>
          <w:lang w:val="en-US"/>
        </w:rPr>
        <w:lastRenderedPageBreak/>
        <w:t xml:space="preserve">        description: &gt;</w:t>
      </w:r>
    </w:p>
    <w:p w14:paraId="622CEACE" w14:textId="77777777" w:rsidR="007862A2" w:rsidRDefault="007862A2" w:rsidP="007862A2">
      <w:pPr>
        <w:pStyle w:val="PL"/>
        <w:rPr>
          <w:lang w:val="en-US"/>
        </w:rPr>
      </w:pPr>
      <w:r>
        <w:rPr>
          <w:lang w:val="en-US"/>
        </w:rPr>
        <w:t xml:space="preserve">          This string provides forward-compatibility with future extensions to the enumeration but</w:t>
      </w:r>
    </w:p>
    <w:p w14:paraId="7038C2C4" w14:textId="77777777" w:rsidR="007862A2" w:rsidRDefault="007862A2" w:rsidP="007862A2">
      <w:pPr>
        <w:pStyle w:val="PL"/>
        <w:rPr>
          <w:lang w:val="en-US"/>
        </w:rPr>
      </w:pPr>
      <w:r>
        <w:rPr>
          <w:lang w:val="en-US"/>
        </w:rPr>
        <w:t xml:space="preserve">          is not used to encode content defined in the present version of this API.</w:t>
      </w:r>
    </w:p>
    <w:p w14:paraId="4C94C28D" w14:textId="77777777" w:rsidR="007862A2" w:rsidRDefault="007862A2" w:rsidP="007862A2">
      <w:pPr>
        <w:pStyle w:val="PL"/>
        <w:rPr>
          <w:lang w:val="en-US"/>
        </w:rPr>
      </w:pPr>
      <w:r>
        <w:rPr>
          <w:lang w:val="en-US"/>
        </w:rPr>
        <w:t xml:space="preserve">      description: |</w:t>
      </w:r>
    </w:p>
    <w:p w14:paraId="01F8840D" w14:textId="77777777" w:rsidR="007862A2" w:rsidRDefault="007862A2" w:rsidP="007862A2">
      <w:pPr>
        <w:pStyle w:val="PL"/>
        <w:rPr>
          <w:lang w:val="en-US"/>
        </w:rPr>
      </w:pPr>
      <w:r>
        <w:rPr>
          <w:lang w:val="en-US"/>
        </w:rPr>
        <w:t xml:space="preserve">        Represents the </w:t>
      </w:r>
      <w:r>
        <w:rPr>
          <w:lang w:eastAsia="ko-KR"/>
        </w:rPr>
        <w:t xml:space="preserve">ordering criterion for the list of </w:t>
      </w:r>
      <w:r>
        <w:t>E2E data volume transfer time</w:t>
      </w:r>
      <w:r>
        <w:rPr>
          <w:lang w:eastAsia="ko-KR"/>
        </w:rPr>
        <w:t xml:space="preserve">.  </w:t>
      </w:r>
    </w:p>
    <w:p w14:paraId="35EE9E9F" w14:textId="77777777" w:rsidR="007862A2" w:rsidRDefault="007862A2" w:rsidP="007862A2">
      <w:pPr>
        <w:pStyle w:val="PL"/>
        <w:rPr>
          <w:lang w:val="en-US"/>
        </w:rPr>
      </w:pPr>
      <w:r>
        <w:rPr>
          <w:lang w:val="en-US"/>
        </w:rPr>
        <w:t xml:space="preserve">        Possible values are:  </w:t>
      </w:r>
    </w:p>
    <w:p w14:paraId="1E480093" w14:textId="77777777" w:rsidR="007862A2" w:rsidRDefault="007862A2" w:rsidP="007862A2">
      <w:pPr>
        <w:pStyle w:val="PL"/>
        <w:rPr>
          <w:lang w:val="en-US"/>
        </w:rPr>
      </w:pPr>
      <w:r>
        <w:rPr>
          <w:lang w:val="en-US"/>
        </w:rPr>
        <w:t xml:space="preserve">          - </w:t>
      </w:r>
      <w:r>
        <w:rPr>
          <w:lang w:eastAsia="zh-CN"/>
        </w:rPr>
        <w:t>E2E_DATA_VOL_TRANS_TIME</w:t>
      </w:r>
      <w:r>
        <w:t>: T</w:t>
      </w:r>
      <w:r>
        <w:rPr>
          <w:lang w:eastAsia="zh-CN"/>
        </w:rPr>
        <w:t>he ordering criterion</w:t>
      </w:r>
      <w:r>
        <w:t xml:space="preserve"> is the E2E data volume transfer time.</w:t>
      </w:r>
    </w:p>
    <w:p w14:paraId="4B4AC478" w14:textId="77777777" w:rsidR="007862A2" w:rsidRDefault="007862A2" w:rsidP="007862A2">
      <w:pPr>
        <w:pStyle w:val="PL"/>
        <w:rPr>
          <w:lang w:val="en-US"/>
        </w:rPr>
      </w:pPr>
    </w:p>
    <w:p w14:paraId="0E600ADC" w14:textId="77777777" w:rsidR="007862A2" w:rsidRDefault="007862A2" w:rsidP="007862A2">
      <w:pPr>
        <w:pStyle w:val="PL"/>
      </w:pPr>
      <w:r>
        <w:t xml:space="preserve">    AnalyticsAccuracyIndication:</w:t>
      </w:r>
    </w:p>
    <w:p w14:paraId="158D568B" w14:textId="77777777" w:rsidR="007862A2" w:rsidRDefault="007862A2" w:rsidP="007862A2">
      <w:pPr>
        <w:pStyle w:val="PL"/>
      </w:pPr>
      <w:r>
        <w:t xml:space="preserve">      anyOf:</w:t>
      </w:r>
    </w:p>
    <w:p w14:paraId="6A3DC3F2" w14:textId="77777777" w:rsidR="007862A2" w:rsidRDefault="007862A2" w:rsidP="007862A2">
      <w:pPr>
        <w:pStyle w:val="PL"/>
      </w:pPr>
      <w:r>
        <w:t xml:space="preserve">      - type: string</w:t>
      </w:r>
    </w:p>
    <w:p w14:paraId="5E93169E" w14:textId="77777777" w:rsidR="007862A2" w:rsidRDefault="007862A2" w:rsidP="007862A2">
      <w:pPr>
        <w:pStyle w:val="PL"/>
      </w:pPr>
      <w:r>
        <w:t xml:space="preserve">        enum:</w:t>
      </w:r>
    </w:p>
    <w:p w14:paraId="4BD7A754" w14:textId="77777777" w:rsidR="007862A2" w:rsidRDefault="007862A2" w:rsidP="007862A2">
      <w:pPr>
        <w:pStyle w:val="PL"/>
      </w:pPr>
      <w:r>
        <w:t xml:space="preserve">          - MEET</w:t>
      </w:r>
    </w:p>
    <w:p w14:paraId="2B3B2BFE" w14:textId="77777777" w:rsidR="007862A2" w:rsidRDefault="007862A2" w:rsidP="007862A2">
      <w:pPr>
        <w:pStyle w:val="PL"/>
      </w:pPr>
      <w:r>
        <w:t xml:space="preserve">          - NOT_MEET</w:t>
      </w:r>
    </w:p>
    <w:p w14:paraId="18136706" w14:textId="77777777" w:rsidR="007862A2" w:rsidRDefault="007862A2" w:rsidP="007862A2">
      <w:pPr>
        <w:pStyle w:val="PL"/>
      </w:pPr>
      <w:r>
        <w:t xml:space="preserve">      - type: string</w:t>
      </w:r>
    </w:p>
    <w:p w14:paraId="3B640A0D" w14:textId="77777777" w:rsidR="007862A2" w:rsidRDefault="007862A2" w:rsidP="007862A2">
      <w:pPr>
        <w:pStyle w:val="PL"/>
      </w:pPr>
      <w:r>
        <w:t xml:space="preserve">        description: &gt;</w:t>
      </w:r>
    </w:p>
    <w:p w14:paraId="07E26965" w14:textId="77777777" w:rsidR="007862A2" w:rsidRDefault="007862A2" w:rsidP="007862A2">
      <w:pPr>
        <w:pStyle w:val="PL"/>
      </w:pPr>
      <w:r>
        <w:t xml:space="preserve">          This string provides forward-compatibility with future</w:t>
      </w:r>
    </w:p>
    <w:p w14:paraId="13F204E9" w14:textId="77777777" w:rsidR="007862A2" w:rsidRDefault="007862A2" w:rsidP="007862A2">
      <w:pPr>
        <w:pStyle w:val="PL"/>
      </w:pPr>
      <w:r>
        <w:t xml:space="preserve">          extensions to the enumeration but is not used to encode</w:t>
      </w:r>
    </w:p>
    <w:p w14:paraId="46B3217B" w14:textId="77777777" w:rsidR="007862A2" w:rsidRDefault="007862A2" w:rsidP="007862A2">
      <w:pPr>
        <w:pStyle w:val="PL"/>
      </w:pPr>
      <w:r>
        <w:t xml:space="preserve">          content defined in the present version of this API.</w:t>
      </w:r>
    </w:p>
    <w:p w14:paraId="6118466C" w14:textId="77777777" w:rsidR="007862A2" w:rsidRDefault="007862A2" w:rsidP="007862A2">
      <w:pPr>
        <w:pStyle w:val="PL"/>
      </w:pPr>
      <w:r>
        <w:t xml:space="preserve">      description: |</w:t>
      </w:r>
    </w:p>
    <w:p w14:paraId="7B5275CC" w14:textId="77777777" w:rsidR="007862A2" w:rsidRDefault="007862A2" w:rsidP="007862A2">
      <w:pPr>
        <w:pStyle w:val="PL"/>
      </w:pPr>
      <w:r>
        <w:t xml:space="preserve">        </w:t>
      </w:r>
      <w:r>
        <w:rPr>
          <w:lang w:eastAsia="zh-CN"/>
        </w:rPr>
        <w:t xml:space="preserve">Represents the notification methods for the subscribed events.  </w:t>
      </w:r>
    </w:p>
    <w:p w14:paraId="257E07C6" w14:textId="77777777" w:rsidR="007862A2" w:rsidRDefault="007862A2" w:rsidP="007862A2">
      <w:pPr>
        <w:pStyle w:val="PL"/>
      </w:pPr>
      <w:r>
        <w:t xml:space="preserve">        Possible values are:</w:t>
      </w:r>
    </w:p>
    <w:p w14:paraId="6EFD09B9" w14:textId="77777777" w:rsidR="007862A2" w:rsidRDefault="007862A2" w:rsidP="007862A2">
      <w:pPr>
        <w:pStyle w:val="PL"/>
      </w:pPr>
      <w:r>
        <w:t xml:space="preserve">        - MEET: Indicates meet the analytics accuracy requirement.</w:t>
      </w:r>
    </w:p>
    <w:p w14:paraId="7C6AF364" w14:textId="77777777" w:rsidR="007862A2" w:rsidRDefault="007862A2" w:rsidP="007862A2">
      <w:pPr>
        <w:pStyle w:val="PL"/>
      </w:pPr>
      <w:r>
        <w:t xml:space="preserve">        - NOT_MEET: Indicates not meet the analytics accuracy requirement.</w:t>
      </w:r>
    </w:p>
    <w:p w14:paraId="2E0846D4" w14:textId="77777777" w:rsidR="007862A2" w:rsidRDefault="007862A2" w:rsidP="007862A2">
      <w:pPr>
        <w:pStyle w:val="PL"/>
      </w:pPr>
    </w:p>
    <w:p w14:paraId="0E920477" w14:textId="77777777" w:rsidR="007862A2" w:rsidRDefault="007862A2" w:rsidP="007862A2">
      <w:pPr>
        <w:pStyle w:val="PL"/>
        <w:rPr>
          <w:lang w:val="en-US"/>
        </w:rPr>
      </w:pPr>
      <w:r>
        <w:rPr>
          <w:lang w:val="en-US"/>
        </w:rPr>
        <w:t xml:space="preserve">    </w:t>
      </w:r>
      <w:r>
        <w:t>LocationOrientation</w:t>
      </w:r>
      <w:r>
        <w:rPr>
          <w:lang w:val="en-US"/>
        </w:rPr>
        <w:t>:</w:t>
      </w:r>
    </w:p>
    <w:p w14:paraId="12C20DB8" w14:textId="77777777" w:rsidR="007862A2" w:rsidRDefault="007862A2" w:rsidP="007862A2">
      <w:pPr>
        <w:pStyle w:val="PL"/>
        <w:rPr>
          <w:lang w:val="en-US"/>
        </w:rPr>
      </w:pPr>
      <w:r>
        <w:rPr>
          <w:lang w:val="en-US"/>
        </w:rPr>
        <w:t xml:space="preserve">      anyOf:</w:t>
      </w:r>
    </w:p>
    <w:p w14:paraId="39950012" w14:textId="77777777" w:rsidR="007862A2" w:rsidRDefault="007862A2" w:rsidP="007862A2">
      <w:pPr>
        <w:pStyle w:val="PL"/>
        <w:rPr>
          <w:lang w:val="en-US"/>
        </w:rPr>
      </w:pPr>
      <w:r>
        <w:rPr>
          <w:lang w:val="en-US"/>
        </w:rPr>
        <w:t xml:space="preserve">      - type: string</w:t>
      </w:r>
    </w:p>
    <w:p w14:paraId="24307D2B" w14:textId="77777777" w:rsidR="007862A2" w:rsidRDefault="007862A2" w:rsidP="007862A2">
      <w:pPr>
        <w:pStyle w:val="PL"/>
        <w:rPr>
          <w:lang w:val="en-US"/>
        </w:rPr>
      </w:pPr>
      <w:r>
        <w:rPr>
          <w:lang w:val="en-US"/>
        </w:rPr>
        <w:t xml:space="preserve">        enum:</w:t>
      </w:r>
    </w:p>
    <w:p w14:paraId="733EB129" w14:textId="77777777" w:rsidR="007862A2" w:rsidRDefault="007862A2" w:rsidP="007862A2">
      <w:pPr>
        <w:pStyle w:val="PL"/>
        <w:rPr>
          <w:lang w:val="en-US"/>
        </w:rPr>
      </w:pPr>
      <w:r>
        <w:rPr>
          <w:lang w:val="en-US"/>
        </w:rPr>
        <w:t xml:space="preserve">          - HORIZONTAL</w:t>
      </w:r>
    </w:p>
    <w:p w14:paraId="471F6A3B" w14:textId="77777777" w:rsidR="007862A2" w:rsidRDefault="007862A2" w:rsidP="007862A2">
      <w:pPr>
        <w:pStyle w:val="PL"/>
        <w:rPr>
          <w:lang w:val="en-US"/>
        </w:rPr>
      </w:pPr>
      <w:r>
        <w:rPr>
          <w:lang w:val="en-US"/>
        </w:rPr>
        <w:t xml:space="preserve">          - VERTICAL</w:t>
      </w:r>
    </w:p>
    <w:p w14:paraId="1B3B287C" w14:textId="77777777" w:rsidR="007862A2" w:rsidRDefault="007862A2" w:rsidP="007862A2">
      <w:pPr>
        <w:pStyle w:val="PL"/>
        <w:rPr>
          <w:lang w:val="en-US"/>
        </w:rPr>
      </w:pPr>
      <w:r>
        <w:rPr>
          <w:lang w:val="en-US"/>
        </w:rPr>
        <w:t xml:space="preserve">          - HOR_AND_VER</w:t>
      </w:r>
    </w:p>
    <w:p w14:paraId="478CE8B9" w14:textId="77777777" w:rsidR="007862A2" w:rsidRDefault="007862A2" w:rsidP="007862A2">
      <w:pPr>
        <w:pStyle w:val="PL"/>
        <w:rPr>
          <w:lang w:val="en-US"/>
        </w:rPr>
      </w:pPr>
      <w:r>
        <w:rPr>
          <w:lang w:val="en-US"/>
        </w:rPr>
        <w:t xml:space="preserve">      - type: string</w:t>
      </w:r>
    </w:p>
    <w:p w14:paraId="03C8EC95" w14:textId="77777777" w:rsidR="007862A2" w:rsidRDefault="007862A2" w:rsidP="007862A2">
      <w:pPr>
        <w:pStyle w:val="PL"/>
        <w:rPr>
          <w:lang w:val="en-US"/>
        </w:rPr>
      </w:pPr>
      <w:r>
        <w:rPr>
          <w:lang w:val="en-US"/>
        </w:rPr>
        <w:t xml:space="preserve">        description: &gt;</w:t>
      </w:r>
    </w:p>
    <w:p w14:paraId="4E28CEC5" w14:textId="77777777" w:rsidR="007862A2" w:rsidRDefault="007862A2" w:rsidP="007862A2">
      <w:pPr>
        <w:pStyle w:val="PL"/>
        <w:rPr>
          <w:lang w:val="en-US"/>
        </w:rPr>
      </w:pPr>
      <w:r>
        <w:rPr>
          <w:lang w:val="en-US"/>
        </w:rPr>
        <w:t xml:space="preserve">          This string provides forward-compatibility with future extensions to the enumeration but</w:t>
      </w:r>
    </w:p>
    <w:p w14:paraId="0E912FB7" w14:textId="77777777" w:rsidR="007862A2" w:rsidRDefault="007862A2" w:rsidP="007862A2">
      <w:pPr>
        <w:pStyle w:val="PL"/>
        <w:rPr>
          <w:lang w:val="en-US"/>
        </w:rPr>
      </w:pPr>
      <w:r>
        <w:rPr>
          <w:lang w:val="en-US"/>
        </w:rPr>
        <w:t xml:space="preserve">          is not used to encode content defined in the present version of this API.</w:t>
      </w:r>
    </w:p>
    <w:p w14:paraId="72E03247" w14:textId="77777777" w:rsidR="007862A2" w:rsidRDefault="007862A2" w:rsidP="007862A2">
      <w:pPr>
        <w:pStyle w:val="PL"/>
        <w:rPr>
          <w:lang w:val="en-US"/>
        </w:rPr>
      </w:pPr>
      <w:r>
        <w:rPr>
          <w:lang w:val="en-US"/>
        </w:rPr>
        <w:t xml:space="preserve">      description: |</w:t>
      </w:r>
    </w:p>
    <w:p w14:paraId="1DF5D3D8" w14:textId="77777777" w:rsidR="007862A2" w:rsidRDefault="007862A2" w:rsidP="007862A2">
      <w:pPr>
        <w:pStyle w:val="PL"/>
        <w:rPr>
          <w:lang w:val="en-US"/>
        </w:rPr>
      </w:pPr>
      <w:r>
        <w:rPr>
          <w:lang w:val="en-US"/>
        </w:rPr>
        <w:t xml:space="preserve">        Possible values are:  </w:t>
      </w:r>
    </w:p>
    <w:p w14:paraId="7ACCB74B" w14:textId="77777777" w:rsidR="007862A2" w:rsidRDefault="007862A2" w:rsidP="007862A2">
      <w:pPr>
        <w:pStyle w:val="PL"/>
      </w:pPr>
      <w:r>
        <w:rPr>
          <w:lang w:val="en-US"/>
        </w:rPr>
        <w:t xml:space="preserve">          - HORIZONTAL</w:t>
      </w:r>
      <w:r>
        <w:t>: Indicates horizontal orientation.</w:t>
      </w:r>
    </w:p>
    <w:p w14:paraId="1AA0B06F" w14:textId="77777777" w:rsidR="007862A2" w:rsidRDefault="007862A2" w:rsidP="007862A2">
      <w:pPr>
        <w:pStyle w:val="PL"/>
      </w:pPr>
      <w:r>
        <w:t xml:space="preserve">          - </w:t>
      </w:r>
      <w:r>
        <w:rPr>
          <w:lang w:val="en-US"/>
        </w:rPr>
        <w:t>VERTICAL</w:t>
      </w:r>
      <w:r>
        <w:t>: Indicates vertical orientation.</w:t>
      </w:r>
    </w:p>
    <w:p w14:paraId="219D534A" w14:textId="77777777" w:rsidR="007862A2" w:rsidRDefault="007862A2" w:rsidP="007862A2">
      <w:pPr>
        <w:pStyle w:val="PL"/>
      </w:pPr>
      <w:r>
        <w:t xml:space="preserve">          - </w:t>
      </w:r>
      <w:r>
        <w:rPr>
          <w:lang w:val="en-US"/>
        </w:rPr>
        <w:t>HOR_AND_VER</w:t>
      </w:r>
      <w:r>
        <w:t>: Indicates both horizontal and vertical orientation.</w:t>
      </w:r>
    </w:p>
    <w:p w14:paraId="2B9103DE" w14:textId="77777777" w:rsidR="007862A2" w:rsidRDefault="007862A2" w:rsidP="007862A2">
      <w:pPr>
        <w:pStyle w:val="PL"/>
      </w:pPr>
    </w:p>
    <w:p w14:paraId="754E2826" w14:textId="77777777" w:rsidR="007862A2" w:rsidRDefault="007862A2" w:rsidP="007862A2">
      <w:pPr>
        <w:pStyle w:val="PL"/>
        <w:rPr>
          <w:lang w:val="en-US"/>
        </w:rPr>
      </w:pPr>
      <w:r>
        <w:rPr>
          <w:lang w:val="en-US"/>
        </w:rPr>
        <w:t xml:space="preserve">    </w:t>
      </w:r>
      <w:r>
        <w:t>Direction</w:t>
      </w:r>
      <w:r>
        <w:rPr>
          <w:lang w:val="en-US"/>
        </w:rPr>
        <w:t>:</w:t>
      </w:r>
    </w:p>
    <w:p w14:paraId="5267251A" w14:textId="77777777" w:rsidR="007862A2" w:rsidRDefault="007862A2" w:rsidP="007862A2">
      <w:pPr>
        <w:pStyle w:val="PL"/>
        <w:rPr>
          <w:lang w:val="en-US"/>
        </w:rPr>
      </w:pPr>
      <w:r>
        <w:rPr>
          <w:lang w:val="en-US"/>
        </w:rPr>
        <w:t xml:space="preserve">      anyOf:</w:t>
      </w:r>
    </w:p>
    <w:p w14:paraId="5A07347B" w14:textId="77777777" w:rsidR="007862A2" w:rsidRDefault="007862A2" w:rsidP="007862A2">
      <w:pPr>
        <w:pStyle w:val="PL"/>
        <w:rPr>
          <w:lang w:val="en-US"/>
        </w:rPr>
      </w:pPr>
      <w:r>
        <w:rPr>
          <w:lang w:val="en-US"/>
        </w:rPr>
        <w:t xml:space="preserve">      - type: string</w:t>
      </w:r>
    </w:p>
    <w:p w14:paraId="61752AF3" w14:textId="77777777" w:rsidR="007862A2" w:rsidRDefault="007862A2" w:rsidP="007862A2">
      <w:pPr>
        <w:pStyle w:val="PL"/>
        <w:rPr>
          <w:lang w:val="en-US"/>
        </w:rPr>
      </w:pPr>
      <w:r>
        <w:rPr>
          <w:lang w:val="en-US"/>
        </w:rPr>
        <w:t xml:space="preserve">        enum:</w:t>
      </w:r>
    </w:p>
    <w:p w14:paraId="66FD8511" w14:textId="77777777" w:rsidR="007862A2" w:rsidRDefault="007862A2" w:rsidP="007862A2">
      <w:pPr>
        <w:pStyle w:val="PL"/>
        <w:rPr>
          <w:lang w:val="en-US"/>
        </w:rPr>
      </w:pPr>
      <w:r>
        <w:rPr>
          <w:lang w:val="en-US"/>
        </w:rPr>
        <w:t xml:space="preserve">          - NORTH</w:t>
      </w:r>
    </w:p>
    <w:p w14:paraId="26E6C062" w14:textId="77777777" w:rsidR="007862A2" w:rsidRDefault="007862A2" w:rsidP="007862A2">
      <w:pPr>
        <w:pStyle w:val="PL"/>
        <w:rPr>
          <w:lang w:val="en-US"/>
        </w:rPr>
      </w:pPr>
      <w:r>
        <w:rPr>
          <w:lang w:val="en-US"/>
        </w:rPr>
        <w:t xml:space="preserve">          - SOUTH</w:t>
      </w:r>
    </w:p>
    <w:p w14:paraId="7D6F35F5" w14:textId="77777777" w:rsidR="007862A2" w:rsidRDefault="007862A2" w:rsidP="007862A2">
      <w:pPr>
        <w:pStyle w:val="PL"/>
        <w:rPr>
          <w:lang w:val="en-US"/>
        </w:rPr>
      </w:pPr>
      <w:r>
        <w:rPr>
          <w:lang w:val="en-US"/>
        </w:rPr>
        <w:t xml:space="preserve">          - EAST</w:t>
      </w:r>
    </w:p>
    <w:p w14:paraId="2E75E759" w14:textId="77777777" w:rsidR="007862A2" w:rsidRDefault="007862A2" w:rsidP="007862A2">
      <w:pPr>
        <w:pStyle w:val="PL"/>
        <w:rPr>
          <w:lang w:val="en-US"/>
        </w:rPr>
      </w:pPr>
      <w:r>
        <w:rPr>
          <w:lang w:val="en-US"/>
        </w:rPr>
        <w:t xml:space="preserve">          - WEST</w:t>
      </w:r>
    </w:p>
    <w:p w14:paraId="7C39182C" w14:textId="77777777" w:rsidR="007862A2" w:rsidRDefault="007862A2" w:rsidP="007862A2">
      <w:pPr>
        <w:pStyle w:val="PL"/>
      </w:pPr>
      <w:r>
        <w:rPr>
          <w:lang w:val="en-US"/>
        </w:rPr>
        <w:t xml:space="preserve">          - NORTHWEST</w:t>
      </w:r>
    </w:p>
    <w:p w14:paraId="35613DD5" w14:textId="77777777" w:rsidR="007862A2" w:rsidRDefault="007862A2" w:rsidP="007862A2">
      <w:pPr>
        <w:pStyle w:val="PL"/>
      </w:pPr>
      <w:r>
        <w:rPr>
          <w:lang w:val="en-US"/>
        </w:rPr>
        <w:t xml:space="preserve">          - NORTHEAST</w:t>
      </w:r>
    </w:p>
    <w:p w14:paraId="6E8DD2F1" w14:textId="77777777" w:rsidR="007862A2" w:rsidRDefault="007862A2" w:rsidP="007862A2">
      <w:pPr>
        <w:pStyle w:val="PL"/>
      </w:pPr>
      <w:r>
        <w:rPr>
          <w:lang w:val="en-US"/>
        </w:rPr>
        <w:t xml:space="preserve">          - SOUTHWEST</w:t>
      </w:r>
    </w:p>
    <w:p w14:paraId="51E25B17" w14:textId="77777777" w:rsidR="007862A2" w:rsidRPr="0076721C" w:rsidRDefault="007862A2" w:rsidP="007862A2">
      <w:pPr>
        <w:pStyle w:val="PL"/>
      </w:pPr>
      <w:r>
        <w:rPr>
          <w:lang w:val="en-US"/>
        </w:rPr>
        <w:t xml:space="preserve">          - SOUTHEAST</w:t>
      </w:r>
    </w:p>
    <w:p w14:paraId="73CD5ECA" w14:textId="77777777" w:rsidR="007862A2" w:rsidRDefault="007862A2" w:rsidP="007862A2">
      <w:pPr>
        <w:pStyle w:val="PL"/>
        <w:rPr>
          <w:lang w:val="en-US"/>
        </w:rPr>
      </w:pPr>
      <w:r>
        <w:rPr>
          <w:lang w:val="en-US"/>
        </w:rPr>
        <w:t xml:space="preserve">      - type: string</w:t>
      </w:r>
    </w:p>
    <w:p w14:paraId="28BA58A1" w14:textId="77777777" w:rsidR="007862A2" w:rsidRDefault="007862A2" w:rsidP="007862A2">
      <w:pPr>
        <w:pStyle w:val="PL"/>
        <w:rPr>
          <w:lang w:val="en-US"/>
        </w:rPr>
      </w:pPr>
      <w:r>
        <w:rPr>
          <w:lang w:val="en-US"/>
        </w:rPr>
        <w:t xml:space="preserve">        description: &gt;</w:t>
      </w:r>
    </w:p>
    <w:p w14:paraId="0FE6EC09" w14:textId="77777777" w:rsidR="007862A2" w:rsidRDefault="007862A2" w:rsidP="007862A2">
      <w:pPr>
        <w:pStyle w:val="PL"/>
        <w:rPr>
          <w:lang w:val="en-US"/>
        </w:rPr>
      </w:pPr>
      <w:r>
        <w:rPr>
          <w:lang w:val="en-US"/>
        </w:rPr>
        <w:t xml:space="preserve">          This string provides forward-compatibility with future extensions to the enumeration but</w:t>
      </w:r>
    </w:p>
    <w:p w14:paraId="28F9DD0D" w14:textId="77777777" w:rsidR="007862A2" w:rsidRDefault="007862A2" w:rsidP="007862A2">
      <w:pPr>
        <w:pStyle w:val="PL"/>
        <w:rPr>
          <w:lang w:val="en-US"/>
        </w:rPr>
      </w:pPr>
      <w:r>
        <w:rPr>
          <w:lang w:val="en-US"/>
        </w:rPr>
        <w:t xml:space="preserve">          is not used to encode content defined in the present version of this API.</w:t>
      </w:r>
    </w:p>
    <w:p w14:paraId="14A21604" w14:textId="77777777" w:rsidR="007862A2" w:rsidRDefault="007862A2" w:rsidP="007862A2">
      <w:pPr>
        <w:pStyle w:val="PL"/>
        <w:rPr>
          <w:lang w:val="en-US"/>
        </w:rPr>
      </w:pPr>
      <w:r>
        <w:rPr>
          <w:lang w:val="en-US"/>
        </w:rPr>
        <w:t xml:space="preserve">      description: |</w:t>
      </w:r>
    </w:p>
    <w:p w14:paraId="29334636" w14:textId="77777777" w:rsidR="007862A2" w:rsidRDefault="007862A2" w:rsidP="007862A2">
      <w:pPr>
        <w:pStyle w:val="PL"/>
        <w:rPr>
          <w:lang w:val="en-US"/>
        </w:rPr>
      </w:pPr>
      <w:r>
        <w:rPr>
          <w:lang w:val="en-US"/>
        </w:rPr>
        <w:t xml:space="preserve">        Possible values are:  </w:t>
      </w:r>
    </w:p>
    <w:p w14:paraId="2F194648" w14:textId="77777777" w:rsidR="007862A2" w:rsidRDefault="007862A2" w:rsidP="007862A2">
      <w:pPr>
        <w:pStyle w:val="PL"/>
      </w:pPr>
      <w:r>
        <w:rPr>
          <w:lang w:val="en-US"/>
        </w:rPr>
        <w:t xml:space="preserve">          - NORTH</w:t>
      </w:r>
      <w:r>
        <w:t>: North direction.</w:t>
      </w:r>
    </w:p>
    <w:p w14:paraId="77AA08A0" w14:textId="77777777" w:rsidR="007862A2" w:rsidRDefault="007862A2" w:rsidP="007862A2">
      <w:pPr>
        <w:pStyle w:val="PL"/>
      </w:pPr>
      <w:r>
        <w:t xml:space="preserve">          - SOUTH: South direction.</w:t>
      </w:r>
    </w:p>
    <w:p w14:paraId="5119E579" w14:textId="77777777" w:rsidR="007862A2" w:rsidRDefault="007862A2" w:rsidP="007862A2">
      <w:pPr>
        <w:pStyle w:val="PL"/>
      </w:pPr>
      <w:r>
        <w:t xml:space="preserve">          - EAST: EAST direction.</w:t>
      </w:r>
    </w:p>
    <w:p w14:paraId="69853CD4" w14:textId="77777777" w:rsidR="007862A2" w:rsidRDefault="007862A2" w:rsidP="007862A2">
      <w:pPr>
        <w:pStyle w:val="PL"/>
      </w:pPr>
      <w:r>
        <w:t xml:space="preserve">          - WEST: WEST direction.</w:t>
      </w:r>
    </w:p>
    <w:p w14:paraId="377B841B" w14:textId="77777777" w:rsidR="007862A2" w:rsidRDefault="007862A2" w:rsidP="007862A2">
      <w:pPr>
        <w:pStyle w:val="PL"/>
      </w:pPr>
      <w:r>
        <w:rPr>
          <w:lang w:val="en-US"/>
        </w:rPr>
        <w:t xml:space="preserve">          - NORTHWEST</w:t>
      </w:r>
      <w:r>
        <w:t>: Northwest direction.</w:t>
      </w:r>
    </w:p>
    <w:p w14:paraId="1887D9A6" w14:textId="77777777" w:rsidR="007862A2" w:rsidRDefault="007862A2" w:rsidP="007862A2">
      <w:pPr>
        <w:pStyle w:val="PL"/>
      </w:pPr>
      <w:r>
        <w:rPr>
          <w:lang w:val="en-US"/>
        </w:rPr>
        <w:t xml:space="preserve">          - NORTHEAST</w:t>
      </w:r>
      <w:r>
        <w:t>: Northeast direction.</w:t>
      </w:r>
    </w:p>
    <w:p w14:paraId="2EB586FA" w14:textId="77777777" w:rsidR="007862A2" w:rsidRDefault="007862A2" w:rsidP="007862A2">
      <w:pPr>
        <w:pStyle w:val="PL"/>
      </w:pPr>
      <w:r>
        <w:rPr>
          <w:lang w:val="en-US"/>
        </w:rPr>
        <w:t xml:space="preserve">          - SOUTHWEST</w:t>
      </w:r>
      <w:r>
        <w:t>: Southwest direction.</w:t>
      </w:r>
    </w:p>
    <w:p w14:paraId="0507FE37" w14:textId="77777777" w:rsidR="007862A2" w:rsidRDefault="007862A2" w:rsidP="007862A2">
      <w:pPr>
        <w:pStyle w:val="PL"/>
      </w:pPr>
      <w:r>
        <w:rPr>
          <w:lang w:val="en-US"/>
        </w:rPr>
        <w:t xml:space="preserve">          - SOUTHEAST</w:t>
      </w:r>
      <w:r>
        <w:t>: Southeast direction.</w:t>
      </w:r>
    </w:p>
    <w:p w14:paraId="1EB02BD8" w14:textId="77777777" w:rsidR="007862A2" w:rsidRDefault="007862A2" w:rsidP="007862A2">
      <w:pPr>
        <w:pStyle w:val="PL"/>
      </w:pPr>
    </w:p>
    <w:p w14:paraId="678EC938" w14:textId="77777777" w:rsidR="007862A2" w:rsidRDefault="007862A2" w:rsidP="007862A2">
      <w:pPr>
        <w:pStyle w:val="PL"/>
        <w:rPr>
          <w:lang w:val="en-US"/>
        </w:rPr>
      </w:pPr>
      <w:r>
        <w:rPr>
          <w:lang w:val="en-US"/>
        </w:rPr>
        <w:t xml:space="preserve">    </w:t>
      </w:r>
      <w:r>
        <w:t>ProximityCriterion</w:t>
      </w:r>
      <w:r>
        <w:rPr>
          <w:lang w:val="en-US"/>
        </w:rPr>
        <w:t>:</w:t>
      </w:r>
    </w:p>
    <w:p w14:paraId="6BCA5BAF" w14:textId="77777777" w:rsidR="007862A2" w:rsidRDefault="007862A2" w:rsidP="007862A2">
      <w:pPr>
        <w:pStyle w:val="PL"/>
        <w:rPr>
          <w:lang w:val="en-US"/>
        </w:rPr>
      </w:pPr>
      <w:r>
        <w:rPr>
          <w:lang w:val="en-US"/>
        </w:rPr>
        <w:t xml:space="preserve">      anyOf:</w:t>
      </w:r>
    </w:p>
    <w:p w14:paraId="4D2C2975" w14:textId="77777777" w:rsidR="007862A2" w:rsidRDefault="007862A2" w:rsidP="007862A2">
      <w:pPr>
        <w:pStyle w:val="PL"/>
        <w:rPr>
          <w:lang w:val="en-US"/>
        </w:rPr>
      </w:pPr>
      <w:r>
        <w:rPr>
          <w:lang w:val="en-US"/>
        </w:rPr>
        <w:t xml:space="preserve">      - type: string</w:t>
      </w:r>
    </w:p>
    <w:p w14:paraId="323F4219" w14:textId="77777777" w:rsidR="007862A2" w:rsidRDefault="007862A2" w:rsidP="007862A2">
      <w:pPr>
        <w:pStyle w:val="PL"/>
        <w:rPr>
          <w:lang w:val="en-US"/>
        </w:rPr>
      </w:pPr>
      <w:r>
        <w:rPr>
          <w:lang w:val="en-US"/>
        </w:rPr>
        <w:t xml:space="preserve">        enum:</w:t>
      </w:r>
    </w:p>
    <w:p w14:paraId="3FD795B2" w14:textId="77777777" w:rsidR="007862A2" w:rsidRDefault="007862A2" w:rsidP="007862A2">
      <w:pPr>
        <w:pStyle w:val="PL"/>
        <w:rPr>
          <w:lang w:val="en-US"/>
        </w:rPr>
      </w:pPr>
      <w:r>
        <w:rPr>
          <w:lang w:val="en-US"/>
        </w:rPr>
        <w:t xml:space="preserve">          - VELOCITY</w:t>
      </w:r>
    </w:p>
    <w:p w14:paraId="4C96949F" w14:textId="77777777" w:rsidR="007862A2" w:rsidRDefault="007862A2" w:rsidP="007862A2">
      <w:pPr>
        <w:pStyle w:val="PL"/>
        <w:rPr>
          <w:lang w:val="en-US"/>
        </w:rPr>
      </w:pPr>
      <w:r>
        <w:rPr>
          <w:lang w:val="en-US"/>
        </w:rPr>
        <w:t xml:space="preserve">          - AVG_SPD</w:t>
      </w:r>
    </w:p>
    <w:p w14:paraId="47D07220" w14:textId="77777777" w:rsidR="007862A2" w:rsidRDefault="007862A2" w:rsidP="007862A2">
      <w:pPr>
        <w:pStyle w:val="PL"/>
        <w:rPr>
          <w:lang w:val="en-US"/>
        </w:rPr>
      </w:pPr>
      <w:r>
        <w:rPr>
          <w:lang w:val="en-US"/>
        </w:rPr>
        <w:t xml:space="preserve">          - ORIENTATION</w:t>
      </w:r>
    </w:p>
    <w:p w14:paraId="22B711B7" w14:textId="77777777" w:rsidR="007862A2" w:rsidRDefault="007862A2" w:rsidP="007862A2">
      <w:pPr>
        <w:pStyle w:val="PL"/>
        <w:rPr>
          <w:lang w:val="en-US"/>
        </w:rPr>
      </w:pPr>
      <w:r>
        <w:rPr>
          <w:lang w:val="en-US"/>
        </w:rPr>
        <w:t xml:space="preserve">          - TRAJECTORY</w:t>
      </w:r>
    </w:p>
    <w:p w14:paraId="642F5605" w14:textId="77777777" w:rsidR="007862A2" w:rsidRDefault="007862A2" w:rsidP="007862A2">
      <w:pPr>
        <w:pStyle w:val="PL"/>
        <w:rPr>
          <w:lang w:val="en-US"/>
        </w:rPr>
      </w:pPr>
      <w:r>
        <w:rPr>
          <w:lang w:val="en-US"/>
        </w:rPr>
        <w:t xml:space="preserve">      - type: string</w:t>
      </w:r>
    </w:p>
    <w:p w14:paraId="0703F508" w14:textId="77777777" w:rsidR="007862A2" w:rsidRDefault="007862A2" w:rsidP="007862A2">
      <w:pPr>
        <w:pStyle w:val="PL"/>
        <w:rPr>
          <w:lang w:val="en-US"/>
        </w:rPr>
      </w:pPr>
      <w:r>
        <w:rPr>
          <w:lang w:val="en-US"/>
        </w:rPr>
        <w:lastRenderedPageBreak/>
        <w:t xml:space="preserve">        description: &gt;</w:t>
      </w:r>
    </w:p>
    <w:p w14:paraId="3DDBE702" w14:textId="77777777" w:rsidR="007862A2" w:rsidRDefault="007862A2" w:rsidP="007862A2">
      <w:pPr>
        <w:pStyle w:val="PL"/>
        <w:rPr>
          <w:lang w:val="en-US"/>
        </w:rPr>
      </w:pPr>
      <w:r>
        <w:rPr>
          <w:lang w:val="en-US"/>
        </w:rPr>
        <w:t xml:space="preserve">          This string provides forward-compatibility with future extensions to the enumeration but</w:t>
      </w:r>
    </w:p>
    <w:p w14:paraId="383A0CEC" w14:textId="77777777" w:rsidR="007862A2" w:rsidRDefault="007862A2" w:rsidP="007862A2">
      <w:pPr>
        <w:pStyle w:val="PL"/>
        <w:rPr>
          <w:lang w:val="en-US"/>
        </w:rPr>
      </w:pPr>
      <w:r>
        <w:rPr>
          <w:lang w:val="en-US"/>
        </w:rPr>
        <w:t xml:space="preserve">          is not used to encode content defined in the present version of this API.</w:t>
      </w:r>
    </w:p>
    <w:p w14:paraId="260E815E" w14:textId="77777777" w:rsidR="007862A2" w:rsidRDefault="007862A2" w:rsidP="007862A2">
      <w:pPr>
        <w:pStyle w:val="PL"/>
        <w:rPr>
          <w:lang w:val="en-US"/>
        </w:rPr>
      </w:pPr>
      <w:r>
        <w:rPr>
          <w:lang w:val="en-US"/>
        </w:rPr>
        <w:t xml:space="preserve">      description: |</w:t>
      </w:r>
    </w:p>
    <w:p w14:paraId="1585BF81" w14:textId="77777777" w:rsidR="007862A2" w:rsidRDefault="007862A2" w:rsidP="007862A2">
      <w:pPr>
        <w:pStyle w:val="PL"/>
        <w:rPr>
          <w:lang w:val="en-US"/>
        </w:rPr>
      </w:pPr>
      <w:r>
        <w:rPr>
          <w:lang w:val="en-US"/>
        </w:rPr>
        <w:t xml:space="preserve">        Possible values are:  </w:t>
      </w:r>
    </w:p>
    <w:p w14:paraId="47106EDC" w14:textId="77777777" w:rsidR="007862A2" w:rsidRDefault="007862A2" w:rsidP="007862A2">
      <w:pPr>
        <w:pStyle w:val="PL"/>
      </w:pPr>
      <w:r>
        <w:rPr>
          <w:lang w:val="en-US"/>
        </w:rPr>
        <w:t xml:space="preserve">          - VELOCITY</w:t>
      </w:r>
      <w:r>
        <w:t>: Velocity.</w:t>
      </w:r>
    </w:p>
    <w:p w14:paraId="5C79D433" w14:textId="77777777" w:rsidR="007862A2" w:rsidRDefault="007862A2" w:rsidP="007862A2">
      <w:pPr>
        <w:pStyle w:val="PL"/>
      </w:pPr>
      <w:r>
        <w:t xml:space="preserve">          - AVG_SPD: Average speed.</w:t>
      </w:r>
    </w:p>
    <w:p w14:paraId="48CE800B" w14:textId="77777777" w:rsidR="007862A2" w:rsidRDefault="007862A2" w:rsidP="007862A2">
      <w:pPr>
        <w:pStyle w:val="PL"/>
      </w:pPr>
      <w:r>
        <w:t xml:space="preserve">          - ORIENTATION: Orientation.</w:t>
      </w:r>
    </w:p>
    <w:p w14:paraId="351305D5" w14:textId="77777777" w:rsidR="007862A2" w:rsidRDefault="007862A2" w:rsidP="007862A2">
      <w:pPr>
        <w:pStyle w:val="PL"/>
      </w:pPr>
      <w:r>
        <w:t xml:space="preserve">          - TRAJECTORY: Mobility trajectory.</w:t>
      </w:r>
    </w:p>
    <w:p w14:paraId="35D37C12" w14:textId="77777777" w:rsidR="00143F25" w:rsidRDefault="00143F25" w:rsidP="007862A2">
      <w:pPr>
        <w:pStyle w:val="PL"/>
      </w:pPr>
    </w:p>
    <w:p w14:paraId="0D4B8127" w14:textId="77777777" w:rsidR="00A42460" w:rsidRPr="00E67CA7" w:rsidRDefault="00A42460" w:rsidP="00A42460">
      <w:pPr>
        <w:pStyle w:val="PL"/>
        <w:rPr>
          <w:lang w:val="en-US"/>
        </w:rPr>
      </w:pPr>
      <w:r w:rsidRPr="00E67CA7">
        <w:rPr>
          <w:lang w:val="en-US"/>
        </w:rPr>
        <w:t xml:space="preserve">    </w:t>
      </w:r>
      <w:r>
        <w:rPr>
          <w:lang w:val="en-US"/>
        </w:rPr>
        <w:t>Target</w:t>
      </w:r>
      <w:r>
        <w:rPr>
          <w:rFonts w:hint="eastAsia"/>
          <w:lang w:val="en-US" w:eastAsia="zh-CN"/>
        </w:rPr>
        <w:t>Cause</w:t>
      </w:r>
      <w:r w:rsidRPr="00E67CA7">
        <w:rPr>
          <w:lang w:val="en-US"/>
        </w:rPr>
        <w:t>Id:</w:t>
      </w:r>
    </w:p>
    <w:p w14:paraId="24A67B01" w14:textId="77777777" w:rsidR="00143F25" w:rsidRPr="00E67CA7" w:rsidRDefault="00143F25" w:rsidP="00143F25">
      <w:pPr>
        <w:pStyle w:val="PL"/>
        <w:rPr>
          <w:lang w:val="en-US"/>
        </w:rPr>
      </w:pPr>
      <w:r w:rsidRPr="00E67CA7">
        <w:rPr>
          <w:lang w:val="en-US"/>
        </w:rPr>
        <w:t xml:space="preserve">      anyOf:</w:t>
      </w:r>
    </w:p>
    <w:p w14:paraId="21C993EE" w14:textId="77777777" w:rsidR="00143F25" w:rsidRPr="00E67CA7" w:rsidRDefault="00143F25" w:rsidP="00143F25">
      <w:pPr>
        <w:pStyle w:val="PL"/>
        <w:rPr>
          <w:lang w:val="en-US"/>
        </w:rPr>
      </w:pPr>
      <w:r w:rsidRPr="00E67CA7">
        <w:rPr>
          <w:lang w:val="en-US"/>
        </w:rPr>
        <w:t xml:space="preserve">      - type: string</w:t>
      </w:r>
    </w:p>
    <w:p w14:paraId="4D3CDEA3" w14:textId="77777777" w:rsidR="00143F25" w:rsidRPr="00E67CA7" w:rsidRDefault="00143F25" w:rsidP="00143F25">
      <w:pPr>
        <w:pStyle w:val="PL"/>
        <w:rPr>
          <w:lang w:val="en-US"/>
        </w:rPr>
      </w:pPr>
      <w:r w:rsidRPr="00E67CA7">
        <w:rPr>
          <w:lang w:val="en-US"/>
        </w:rPr>
        <w:t xml:space="preserve">        enum:</w:t>
      </w:r>
    </w:p>
    <w:p w14:paraId="3335F080" w14:textId="77777777" w:rsidR="00143F25" w:rsidRPr="00E67CA7" w:rsidRDefault="00143F25" w:rsidP="00143F25">
      <w:pPr>
        <w:pStyle w:val="PL"/>
        <w:rPr>
          <w:lang w:val="en-US"/>
        </w:rPr>
      </w:pPr>
      <w:r w:rsidRPr="00E67CA7">
        <w:rPr>
          <w:lang w:val="en-US"/>
        </w:rPr>
        <w:t xml:space="preserve">          - SIGNALLING_STORM_CAUSED_BY_UE</w:t>
      </w:r>
    </w:p>
    <w:p w14:paraId="37583DCF" w14:textId="77777777" w:rsidR="00143F25" w:rsidRPr="00E67CA7" w:rsidRDefault="00143F25" w:rsidP="00143F25">
      <w:pPr>
        <w:pStyle w:val="PL"/>
        <w:rPr>
          <w:lang w:val="en-US"/>
        </w:rPr>
      </w:pPr>
      <w:r w:rsidRPr="00E67CA7">
        <w:rPr>
          <w:lang w:val="en-US"/>
        </w:rPr>
        <w:t xml:space="preserve">          - SIGNALLING_STORM_CAUSED_BY_NF</w:t>
      </w:r>
    </w:p>
    <w:p w14:paraId="4F4809D6" w14:textId="77777777" w:rsidR="00143F25" w:rsidRPr="00E67CA7" w:rsidRDefault="00143F25" w:rsidP="00143F25">
      <w:pPr>
        <w:pStyle w:val="PL"/>
        <w:rPr>
          <w:lang w:val="en-US"/>
        </w:rPr>
      </w:pPr>
      <w:r w:rsidRPr="00E67CA7">
        <w:rPr>
          <w:lang w:val="en-US"/>
        </w:rPr>
        <w:t xml:space="preserve">      - type: string</w:t>
      </w:r>
    </w:p>
    <w:p w14:paraId="19AE3634" w14:textId="77777777" w:rsidR="00143F25" w:rsidRPr="00E67CA7" w:rsidRDefault="00143F25" w:rsidP="00143F25">
      <w:pPr>
        <w:pStyle w:val="PL"/>
        <w:rPr>
          <w:lang w:val="en-US"/>
        </w:rPr>
      </w:pPr>
      <w:r w:rsidRPr="00E67CA7">
        <w:rPr>
          <w:lang w:val="en-US"/>
        </w:rPr>
        <w:t xml:space="preserve">        description: &gt;</w:t>
      </w:r>
    </w:p>
    <w:p w14:paraId="4B622C1A" w14:textId="77777777" w:rsidR="00143F25" w:rsidRPr="00E67CA7" w:rsidRDefault="00143F25" w:rsidP="00143F25">
      <w:pPr>
        <w:pStyle w:val="PL"/>
        <w:rPr>
          <w:lang w:val="en-US"/>
        </w:rPr>
      </w:pPr>
      <w:r w:rsidRPr="00E67CA7">
        <w:rPr>
          <w:lang w:val="en-US"/>
        </w:rPr>
        <w:t xml:space="preserve">          This string provides forward-compatibility with future extensions to the enumeration but</w:t>
      </w:r>
    </w:p>
    <w:p w14:paraId="1042B8AA" w14:textId="77777777" w:rsidR="00143F25" w:rsidRPr="00E67CA7" w:rsidRDefault="00143F25" w:rsidP="00143F25">
      <w:pPr>
        <w:pStyle w:val="PL"/>
        <w:rPr>
          <w:lang w:val="en-US"/>
        </w:rPr>
      </w:pPr>
      <w:r w:rsidRPr="00E67CA7">
        <w:rPr>
          <w:lang w:val="en-US"/>
        </w:rPr>
        <w:t xml:space="preserve">          is not used to encode content defined in the present version of this API.</w:t>
      </w:r>
    </w:p>
    <w:p w14:paraId="6AB315B7" w14:textId="77777777" w:rsidR="00143F25" w:rsidRPr="00E67CA7" w:rsidRDefault="00143F25" w:rsidP="00143F25">
      <w:pPr>
        <w:pStyle w:val="PL"/>
        <w:rPr>
          <w:lang w:val="en-US"/>
        </w:rPr>
      </w:pPr>
      <w:r w:rsidRPr="00E67CA7">
        <w:rPr>
          <w:lang w:val="en-US"/>
        </w:rPr>
        <w:t xml:space="preserve">      description: |</w:t>
      </w:r>
    </w:p>
    <w:p w14:paraId="73550404" w14:textId="77777777" w:rsidR="00143F25" w:rsidRPr="00E67CA7" w:rsidRDefault="00143F25" w:rsidP="00143F25">
      <w:pPr>
        <w:pStyle w:val="PL"/>
        <w:rPr>
          <w:lang w:val="en-US"/>
        </w:rPr>
      </w:pPr>
      <w:r w:rsidRPr="00E67CA7">
        <w:rPr>
          <w:lang w:val="en-US"/>
        </w:rPr>
        <w:t xml:space="preserve">        Possible values are:  </w:t>
      </w:r>
    </w:p>
    <w:p w14:paraId="1F87F4EE" w14:textId="77777777" w:rsidR="00143F25" w:rsidRPr="00E67CA7" w:rsidRDefault="00143F25" w:rsidP="00143F25">
      <w:pPr>
        <w:pStyle w:val="PL"/>
        <w:rPr>
          <w:lang w:val="en-US"/>
        </w:rPr>
      </w:pPr>
      <w:r w:rsidRPr="00E67CA7">
        <w:rPr>
          <w:lang w:val="en-US"/>
        </w:rPr>
        <w:t xml:space="preserve">          - SIGNALLING_STORM_CAUSED_BY_UE: The signalling storm is caused by UEs.</w:t>
      </w:r>
    </w:p>
    <w:p w14:paraId="3DCC2275" w14:textId="77777777" w:rsidR="00143F25" w:rsidRPr="00E67CA7" w:rsidRDefault="00143F25" w:rsidP="00143F25">
      <w:pPr>
        <w:pStyle w:val="PL"/>
        <w:rPr>
          <w:lang w:val="en-US"/>
        </w:rPr>
      </w:pPr>
      <w:r w:rsidRPr="00E67CA7">
        <w:rPr>
          <w:lang w:val="en-US"/>
        </w:rPr>
        <w:t xml:space="preserve">          - SIGNALLING_STORM_CAUSED_BY_NF: The signalling storm is caused by NF.</w:t>
      </w:r>
    </w:p>
    <w:p w14:paraId="5B52ADBB" w14:textId="77777777" w:rsidR="00143F25" w:rsidRPr="00E67CA7" w:rsidRDefault="00143F25" w:rsidP="00143F25">
      <w:pPr>
        <w:pStyle w:val="PL"/>
        <w:rPr>
          <w:lang w:val="en-US"/>
        </w:rPr>
      </w:pPr>
    </w:p>
    <w:p w14:paraId="0DDFC6DD" w14:textId="77777777" w:rsidR="00143F25" w:rsidRPr="00E67CA7" w:rsidRDefault="00143F25" w:rsidP="00143F25">
      <w:pPr>
        <w:pStyle w:val="PL"/>
        <w:rPr>
          <w:lang w:val="en-US"/>
        </w:rPr>
      </w:pPr>
      <w:r w:rsidRPr="00E67CA7">
        <w:rPr>
          <w:lang w:val="en-US"/>
        </w:rPr>
        <w:t xml:space="preserve">    TimerType:</w:t>
      </w:r>
    </w:p>
    <w:p w14:paraId="5CDCBD49" w14:textId="77777777" w:rsidR="00143F25" w:rsidRPr="00E67CA7" w:rsidRDefault="00143F25" w:rsidP="00143F25">
      <w:pPr>
        <w:pStyle w:val="PL"/>
        <w:rPr>
          <w:lang w:val="en-US"/>
        </w:rPr>
      </w:pPr>
      <w:r w:rsidRPr="00E67CA7">
        <w:rPr>
          <w:lang w:val="en-US"/>
        </w:rPr>
        <w:t xml:space="preserve">      anyOf:</w:t>
      </w:r>
    </w:p>
    <w:p w14:paraId="1B5691C8" w14:textId="77777777" w:rsidR="00143F25" w:rsidRPr="00E67CA7" w:rsidRDefault="00143F25" w:rsidP="00143F25">
      <w:pPr>
        <w:pStyle w:val="PL"/>
        <w:rPr>
          <w:lang w:val="en-US"/>
        </w:rPr>
      </w:pPr>
      <w:r w:rsidRPr="00E67CA7">
        <w:rPr>
          <w:lang w:val="en-US"/>
        </w:rPr>
        <w:t xml:space="preserve">      - type: string</w:t>
      </w:r>
    </w:p>
    <w:p w14:paraId="63236D96" w14:textId="77777777" w:rsidR="00143F25" w:rsidRPr="00E67CA7" w:rsidRDefault="00143F25" w:rsidP="00143F25">
      <w:pPr>
        <w:pStyle w:val="PL"/>
        <w:rPr>
          <w:lang w:val="en-US"/>
        </w:rPr>
      </w:pPr>
      <w:r w:rsidRPr="00E67CA7">
        <w:rPr>
          <w:lang w:val="en-US"/>
        </w:rPr>
        <w:t xml:space="preserve">        enum:</w:t>
      </w:r>
    </w:p>
    <w:p w14:paraId="612FFBB7" w14:textId="77777777" w:rsidR="00143F25" w:rsidRPr="00E67CA7" w:rsidRDefault="00143F25" w:rsidP="00143F25">
      <w:pPr>
        <w:pStyle w:val="PL"/>
        <w:rPr>
          <w:lang w:val="en-US"/>
        </w:rPr>
      </w:pPr>
      <w:r w:rsidRPr="00E67CA7">
        <w:rPr>
          <w:lang w:val="en-US"/>
        </w:rPr>
        <w:t xml:space="preserve">          - PERIODICITY_TIMER</w:t>
      </w:r>
    </w:p>
    <w:p w14:paraId="08D88EB9" w14:textId="77777777" w:rsidR="00143F25" w:rsidRPr="00E67CA7" w:rsidRDefault="00143F25" w:rsidP="00143F25">
      <w:pPr>
        <w:pStyle w:val="PL"/>
        <w:rPr>
          <w:lang w:val="en-US"/>
        </w:rPr>
      </w:pPr>
      <w:r w:rsidRPr="00E67CA7">
        <w:rPr>
          <w:lang w:val="en-US"/>
        </w:rPr>
        <w:t xml:space="preserve">          - BACKOFF_TIMER</w:t>
      </w:r>
    </w:p>
    <w:p w14:paraId="76E8109E" w14:textId="77777777" w:rsidR="00143F25" w:rsidRPr="00E67CA7" w:rsidRDefault="00143F25" w:rsidP="00143F25">
      <w:pPr>
        <w:pStyle w:val="PL"/>
        <w:rPr>
          <w:lang w:val="en-US"/>
        </w:rPr>
      </w:pPr>
      <w:r w:rsidRPr="00E67CA7">
        <w:rPr>
          <w:lang w:val="en-US"/>
        </w:rPr>
        <w:t xml:space="preserve">      - type: string</w:t>
      </w:r>
    </w:p>
    <w:p w14:paraId="3FD26D31" w14:textId="77777777" w:rsidR="00143F25" w:rsidRPr="00E67CA7" w:rsidRDefault="00143F25" w:rsidP="00143F25">
      <w:pPr>
        <w:pStyle w:val="PL"/>
        <w:rPr>
          <w:lang w:val="en-US"/>
        </w:rPr>
      </w:pPr>
      <w:r w:rsidRPr="00E67CA7">
        <w:rPr>
          <w:lang w:val="en-US"/>
        </w:rPr>
        <w:t xml:space="preserve">        description: &gt;</w:t>
      </w:r>
    </w:p>
    <w:p w14:paraId="06B3CAF1" w14:textId="77777777" w:rsidR="00143F25" w:rsidRPr="00E67CA7" w:rsidRDefault="00143F25" w:rsidP="00143F25">
      <w:pPr>
        <w:pStyle w:val="PL"/>
        <w:rPr>
          <w:lang w:val="en-US"/>
        </w:rPr>
      </w:pPr>
      <w:r w:rsidRPr="00E67CA7">
        <w:rPr>
          <w:lang w:val="en-US"/>
        </w:rPr>
        <w:t xml:space="preserve">          This string provides forward-compatibility with future extensions to the enumeration but</w:t>
      </w:r>
    </w:p>
    <w:p w14:paraId="3A7D46BC" w14:textId="77777777" w:rsidR="00143F25" w:rsidRPr="00E67CA7" w:rsidRDefault="00143F25" w:rsidP="00143F25">
      <w:pPr>
        <w:pStyle w:val="PL"/>
        <w:rPr>
          <w:lang w:val="en-US"/>
        </w:rPr>
      </w:pPr>
      <w:r w:rsidRPr="00E67CA7">
        <w:rPr>
          <w:lang w:val="en-US"/>
        </w:rPr>
        <w:t xml:space="preserve">          is not used to encode content defined in the present version of this API.</w:t>
      </w:r>
    </w:p>
    <w:p w14:paraId="730F6333" w14:textId="77777777" w:rsidR="00143F25" w:rsidRPr="00E67CA7" w:rsidRDefault="00143F25" w:rsidP="00143F25">
      <w:pPr>
        <w:pStyle w:val="PL"/>
        <w:rPr>
          <w:lang w:val="en-US"/>
        </w:rPr>
      </w:pPr>
      <w:r w:rsidRPr="00E67CA7">
        <w:rPr>
          <w:lang w:val="en-US"/>
        </w:rPr>
        <w:t xml:space="preserve">      description: |</w:t>
      </w:r>
    </w:p>
    <w:p w14:paraId="305D919E" w14:textId="77777777" w:rsidR="00143F25" w:rsidRPr="00E67CA7" w:rsidRDefault="00143F25" w:rsidP="00143F25">
      <w:pPr>
        <w:pStyle w:val="PL"/>
        <w:rPr>
          <w:lang w:val="en-US"/>
        </w:rPr>
      </w:pPr>
      <w:r w:rsidRPr="00E67CA7">
        <w:rPr>
          <w:lang w:val="en-US"/>
        </w:rPr>
        <w:t xml:space="preserve">        Possible values are:  </w:t>
      </w:r>
    </w:p>
    <w:p w14:paraId="10A81811" w14:textId="77777777" w:rsidR="00143F25" w:rsidRPr="00E67CA7" w:rsidRDefault="00143F25" w:rsidP="00143F25">
      <w:pPr>
        <w:pStyle w:val="PL"/>
        <w:rPr>
          <w:lang w:val="en-US"/>
        </w:rPr>
      </w:pPr>
      <w:r w:rsidRPr="00E67CA7">
        <w:rPr>
          <w:lang w:val="en-US"/>
        </w:rPr>
        <w:t xml:space="preserve">          - PERIODICITY_TIMER: The type of the timer is periodicity.</w:t>
      </w:r>
    </w:p>
    <w:p w14:paraId="1BB00A76" w14:textId="77777777" w:rsidR="00143F25" w:rsidRDefault="00143F25" w:rsidP="00143F25">
      <w:pPr>
        <w:pStyle w:val="PL"/>
        <w:rPr>
          <w:lang w:val="en-US"/>
        </w:rPr>
      </w:pPr>
      <w:r w:rsidRPr="00E67CA7">
        <w:rPr>
          <w:lang w:val="en-US"/>
        </w:rPr>
        <w:t xml:space="preserve">          - BACKOFF_TIMER: The type of the timer is back-off.</w:t>
      </w:r>
    </w:p>
    <w:p w14:paraId="4B8E12E1" w14:textId="77777777" w:rsidR="00445D8C" w:rsidRDefault="00445D8C" w:rsidP="00445D8C">
      <w:pPr>
        <w:pStyle w:val="PL"/>
        <w:rPr>
          <w:lang w:val="en-US"/>
        </w:rPr>
      </w:pPr>
    </w:p>
    <w:p w14:paraId="24771C8E" w14:textId="77777777" w:rsidR="00445D8C" w:rsidRDefault="00445D8C" w:rsidP="00445D8C">
      <w:pPr>
        <w:pStyle w:val="PL"/>
        <w:rPr>
          <w:lang w:val="en-US"/>
        </w:rPr>
      </w:pPr>
    </w:p>
    <w:p w14:paraId="088F2CC3" w14:textId="77777777" w:rsidR="00445D8C" w:rsidRPr="00E67CA7" w:rsidRDefault="00445D8C" w:rsidP="00445D8C">
      <w:pPr>
        <w:pStyle w:val="PL"/>
        <w:rPr>
          <w:lang w:val="en-US"/>
        </w:rPr>
      </w:pPr>
      <w:r w:rsidRPr="00E67CA7">
        <w:rPr>
          <w:lang w:val="en-US"/>
        </w:rPr>
        <w:t xml:space="preserve">    </w:t>
      </w:r>
      <w:r>
        <w:rPr>
          <w:lang w:val="en-US"/>
        </w:rPr>
        <w:t>QosPolOrderCriterion</w:t>
      </w:r>
      <w:r w:rsidRPr="00E67CA7">
        <w:rPr>
          <w:lang w:val="en-US"/>
        </w:rPr>
        <w:t>:</w:t>
      </w:r>
    </w:p>
    <w:p w14:paraId="77B4D8A7" w14:textId="77777777" w:rsidR="00445D8C" w:rsidRPr="00E67CA7" w:rsidRDefault="00445D8C" w:rsidP="00445D8C">
      <w:pPr>
        <w:pStyle w:val="PL"/>
        <w:rPr>
          <w:lang w:val="en-US"/>
        </w:rPr>
      </w:pPr>
      <w:r w:rsidRPr="00E67CA7">
        <w:rPr>
          <w:lang w:val="en-US"/>
        </w:rPr>
        <w:t xml:space="preserve">      anyOf:</w:t>
      </w:r>
    </w:p>
    <w:p w14:paraId="6FE87820" w14:textId="77777777" w:rsidR="00445D8C" w:rsidRPr="00E67CA7" w:rsidRDefault="00445D8C" w:rsidP="00445D8C">
      <w:pPr>
        <w:pStyle w:val="PL"/>
        <w:rPr>
          <w:lang w:val="en-US"/>
        </w:rPr>
      </w:pPr>
      <w:r w:rsidRPr="00E67CA7">
        <w:rPr>
          <w:lang w:val="en-US"/>
        </w:rPr>
        <w:t xml:space="preserve">      - type: string</w:t>
      </w:r>
    </w:p>
    <w:p w14:paraId="44554E66" w14:textId="77777777" w:rsidR="00445D8C" w:rsidRPr="00E67CA7" w:rsidRDefault="00445D8C" w:rsidP="00445D8C">
      <w:pPr>
        <w:pStyle w:val="PL"/>
        <w:rPr>
          <w:lang w:val="en-US"/>
        </w:rPr>
      </w:pPr>
      <w:r w:rsidRPr="00E67CA7">
        <w:rPr>
          <w:lang w:val="en-US"/>
        </w:rPr>
        <w:t xml:space="preserve">        enum:</w:t>
      </w:r>
    </w:p>
    <w:p w14:paraId="17AD72C1" w14:textId="77777777" w:rsidR="00445D8C" w:rsidRPr="00E67CA7" w:rsidRDefault="00445D8C" w:rsidP="00445D8C">
      <w:pPr>
        <w:pStyle w:val="PL"/>
        <w:rPr>
          <w:lang w:val="en-US"/>
        </w:rPr>
      </w:pPr>
      <w:r w:rsidRPr="00E67CA7">
        <w:rPr>
          <w:lang w:val="en-US"/>
        </w:rPr>
        <w:t xml:space="preserve">          - </w:t>
      </w:r>
      <w:r>
        <w:rPr>
          <w:lang w:val="en-US"/>
        </w:rPr>
        <w:t>QOE</w:t>
      </w:r>
    </w:p>
    <w:p w14:paraId="74180577" w14:textId="77777777" w:rsidR="00445D8C" w:rsidRDefault="00445D8C" w:rsidP="00445D8C">
      <w:pPr>
        <w:pStyle w:val="PL"/>
        <w:rPr>
          <w:lang w:val="en-US"/>
        </w:rPr>
      </w:pPr>
      <w:r w:rsidRPr="00E67CA7">
        <w:rPr>
          <w:lang w:val="en-US"/>
        </w:rPr>
        <w:t xml:space="preserve">          - </w:t>
      </w:r>
      <w:r>
        <w:rPr>
          <w:lang w:val="en-US"/>
        </w:rPr>
        <w:t>USAGE_DURATION</w:t>
      </w:r>
    </w:p>
    <w:p w14:paraId="58969EA4" w14:textId="77777777" w:rsidR="00445D8C" w:rsidRPr="00E67CA7" w:rsidRDefault="00445D8C" w:rsidP="00445D8C">
      <w:pPr>
        <w:pStyle w:val="PL"/>
        <w:rPr>
          <w:lang w:val="en-US"/>
        </w:rPr>
      </w:pPr>
      <w:r w:rsidRPr="00E67CA7">
        <w:rPr>
          <w:lang w:val="en-US"/>
        </w:rPr>
        <w:t xml:space="preserve">          - </w:t>
      </w:r>
      <w:r>
        <w:rPr>
          <w:lang w:val="en-US"/>
        </w:rPr>
        <w:t>NUMBER_OF_USAGES</w:t>
      </w:r>
    </w:p>
    <w:p w14:paraId="2550CF86" w14:textId="77777777" w:rsidR="00445D8C" w:rsidRPr="00E67CA7" w:rsidRDefault="00445D8C" w:rsidP="00445D8C">
      <w:pPr>
        <w:pStyle w:val="PL"/>
        <w:rPr>
          <w:lang w:val="en-US"/>
        </w:rPr>
      </w:pPr>
      <w:r w:rsidRPr="00E67CA7">
        <w:rPr>
          <w:lang w:val="en-US"/>
        </w:rPr>
        <w:t xml:space="preserve">      - type: string</w:t>
      </w:r>
    </w:p>
    <w:p w14:paraId="28360845" w14:textId="77777777" w:rsidR="00445D8C" w:rsidRPr="00E67CA7" w:rsidRDefault="00445D8C" w:rsidP="00445D8C">
      <w:pPr>
        <w:pStyle w:val="PL"/>
        <w:rPr>
          <w:lang w:val="en-US"/>
        </w:rPr>
      </w:pPr>
      <w:r w:rsidRPr="00E67CA7">
        <w:rPr>
          <w:lang w:val="en-US"/>
        </w:rPr>
        <w:t xml:space="preserve">        description: &gt;</w:t>
      </w:r>
    </w:p>
    <w:p w14:paraId="3BE80892" w14:textId="77777777" w:rsidR="00445D8C" w:rsidRPr="00E67CA7" w:rsidRDefault="00445D8C" w:rsidP="00445D8C">
      <w:pPr>
        <w:pStyle w:val="PL"/>
        <w:rPr>
          <w:lang w:val="en-US"/>
        </w:rPr>
      </w:pPr>
      <w:r w:rsidRPr="00E67CA7">
        <w:rPr>
          <w:lang w:val="en-US"/>
        </w:rPr>
        <w:t xml:space="preserve">          This string provides forward-compatibility with future extensions to the enumeration but</w:t>
      </w:r>
    </w:p>
    <w:p w14:paraId="4F9DAA25" w14:textId="77777777" w:rsidR="00445D8C" w:rsidRPr="00E67CA7" w:rsidRDefault="00445D8C" w:rsidP="00445D8C">
      <w:pPr>
        <w:pStyle w:val="PL"/>
        <w:rPr>
          <w:lang w:val="en-US"/>
        </w:rPr>
      </w:pPr>
      <w:r w:rsidRPr="00E67CA7">
        <w:rPr>
          <w:lang w:val="en-US"/>
        </w:rPr>
        <w:t xml:space="preserve">          is not used to encode content defined in the present version of this API.</w:t>
      </w:r>
    </w:p>
    <w:p w14:paraId="6E9536DD" w14:textId="77777777" w:rsidR="00445D8C" w:rsidRPr="00E67CA7" w:rsidRDefault="00445D8C" w:rsidP="00445D8C">
      <w:pPr>
        <w:pStyle w:val="PL"/>
        <w:rPr>
          <w:lang w:val="en-US"/>
        </w:rPr>
      </w:pPr>
      <w:r w:rsidRPr="00E67CA7">
        <w:rPr>
          <w:lang w:val="en-US"/>
        </w:rPr>
        <w:t xml:space="preserve">      description: |</w:t>
      </w:r>
    </w:p>
    <w:p w14:paraId="6D66ABED" w14:textId="77777777" w:rsidR="00445D8C" w:rsidRDefault="00445D8C" w:rsidP="00445D8C">
      <w:pPr>
        <w:pStyle w:val="PL"/>
        <w:rPr>
          <w:lang w:val="en-US"/>
        </w:rPr>
      </w:pPr>
      <w:r w:rsidRPr="00E67CA7">
        <w:rPr>
          <w:lang w:val="en-US"/>
        </w:rPr>
        <w:t xml:space="preserve">        Possible values are: </w:t>
      </w:r>
    </w:p>
    <w:p w14:paraId="16DE95D1" w14:textId="77777777" w:rsidR="00445D8C" w:rsidRPr="00E67CA7" w:rsidRDefault="00445D8C" w:rsidP="00445D8C">
      <w:pPr>
        <w:pStyle w:val="PL"/>
        <w:rPr>
          <w:lang w:val="en-US"/>
        </w:rPr>
      </w:pPr>
      <w:r w:rsidRPr="00E67CA7">
        <w:rPr>
          <w:lang w:val="en-US"/>
        </w:rPr>
        <w:t xml:space="preserve">          - </w:t>
      </w:r>
      <w:r>
        <w:rPr>
          <w:lang w:val="en-US"/>
        </w:rPr>
        <w:t>QOE</w:t>
      </w:r>
      <w:r w:rsidRPr="00E67CA7">
        <w:rPr>
          <w:lang w:val="en-US"/>
        </w:rPr>
        <w:t xml:space="preserve">: </w:t>
      </w:r>
      <w:r>
        <w:rPr>
          <w:lang w:val="en-US"/>
        </w:rPr>
        <w:t>Indicates the order is the QoE</w:t>
      </w:r>
      <w:r w:rsidRPr="00E67CA7">
        <w:rPr>
          <w:lang w:val="en-US"/>
        </w:rPr>
        <w:t>.</w:t>
      </w:r>
    </w:p>
    <w:p w14:paraId="742629FF" w14:textId="77777777" w:rsidR="00445D8C" w:rsidRPr="00E67CA7" w:rsidRDefault="00445D8C" w:rsidP="00445D8C">
      <w:pPr>
        <w:pStyle w:val="PL"/>
        <w:rPr>
          <w:lang w:val="en-US"/>
        </w:rPr>
      </w:pPr>
      <w:r w:rsidRPr="00E67CA7">
        <w:rPr>
          <w:lang w:val="en-US"/>
        </w:rPr>
        <w:t xml:space="preserve">          - </w:t>
      </w:r>
      <w:r>
        <w:rPr>
          <w:lang w:val="en-US"/>
        </w:rPr>
        <w:t>USAGE_DURATION</w:t>
      </w:r>
      <w:r w:rsidRPr="00E67CA7">
        <w:rPr>
          <w:lang w:val="en-US"/>
        </w:rPr>
        <w:t xml:space="preserve">: </w:t>
      </w:r>
      <w:r>
        <w:rPr>
          <w:lang w:val="en-US"/>
        </w:rPr>
        <w:t>Indicates t</w:t>
      </w:r>
      <w:r w:rsidRPr="00E67CA7">
        <w:rPr>
          <w:lang w:val="en-US"/>
        </w:rPr>
        <w:t xml:space="preserve">he </w:t>
      </w:r>
      <w:r>
        <w:rPr>
          <w:lang w:val="en-US"/>
        </w:rPr>
        <w:t>order is the QoS Flow Usage Duration</w:t>
      </w:r>
      <w:r w:rsidRPr="00E67CA7">
        <w:rPr>
          <w:lang w:val="en-US"/>
        </w:rPr>
        <w:t>.</w:t>
      </w:r>
    </w:p>
    <w:p w14:paraId="772608E1" w14:textId="77777777" w:rsidR="00445D8C" w:rsidRDefault="00445D8C" w:rsidP="00445D8C">
      <w:pPr>
        <w:pStyle w:val="PL"/>
        <w:rPr>
          <w:lang w:val="en-US"/>
        </w:rPr>
      </w:pPr>
      <w:r w:rsidRPr="00E67CA7">
        <w:rPr>
          <w:lang w:val="en-US"/>
        </w:rPr>
        <w:t xml:space="preserve">          - </w:t>
      </w:r>
      <w:r>
        <w:rPr>
          <w:lang w:val="en-US"/>
        </w:rPr>
        <w:t>NUMBER_OF_USAGES</w:t>
      </w:r>
      <w:r w:rsidRPr="00E67CA7">
        <w:rPr>
          <w:lang w:val="en-US"/>
        </w:rPr>
        <w:t xml:space="preserve">: </w:t>
      </w:r>
      <w:r>
        <w:rPr>
          <w:lang w:val="en-US"/>
        </w:rPr>
        <w:t>Indicates t</w:t>
      </w:r>
      <w:r w:rsidRPr="00E67CA7">
        <w:rPr>
          <w:lang w:val="en-US"/>
        </w:rPr>
        <w:t xml:space="preserve">he </w:t>
      </w:r>
      <w:r>
        <w:rPr>
          <w:lang w:val="en-US"/>
        </w:rPr>
        <w:t>order is the number of usages of the QoS Flow.</w:t>
      </w:r>
    </w:p>
    <w:p w14:paraId="092F99A6" w14:textId="77777777" w:rsidR="00143F25" w:rsidRDefault="00143F25" w:rsidP="00143F25">
      <w:pPr>
        <w:pStyle w:val="PL"/>
      </w:pPr>
    </w:p>
    <w:p w14:paraId="02263D2A" w14:textId="77777777" w:rsidR="00A10B25" w:rsidRDefault="00A10B25">
      <w:pPr>
        <w:pStyle w:val="1"/>
        <w:rPr>
          <w:lang w:val="en-US" w:eastAsia="zh-CN"/>
        </w:rPr>
      </w:pPr>
      <w:bookmarkStart w:id="17222" w:name="_Toc175859075"/>
      <w:bookmarkStart w:id="17223" w:name="_Toc175860150"/>
      <w:bookmarkStart w:id="17224" w:name="_Toc180606440"/>
      <w:bookmarkStart w:id="17225" w:name="_Toc185517701"/>
      <w:bookmarkStart w:id="17226" w:name="_Toc191576753"/>
      <w:bookmarkStart w:id="17227" w:name="_Toc191577493"/>
      <w:bookmarkStart w:id="17228" w:name="_Toc192880563"/>
      <w:bookmarkStart w:id="17229" w:name="_Toc195815452"/>
      <w:bookmarkStart w:id="17230" w:name="_Toc199453513"/>
      <w:bookmarkEnd w:id="17199"/>
      <w:r>
        <w:t>A.3</w:t>
      </w:r>
      <w:r>
        <w:tab/>
      </w:r>
      <w:r>
        <w:rPr>
          <w:lang w:val="en-US" w:eastAsia="zh-CN"/>
        </w:rPr>
        <w:t>Nnwdaf_AnalyticsInfo API</w:t>
      </w:r>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6"/>
      <w:bookmarkEnd w:id="17167"/>
      <w:bookmarkEnd w:id="17222"/>
      <w:bookmarkEnd w:id="17223"/>
      <w:bookmarkEnd w:id="17224"/>
      <w:bookmarkEnd w:id="17225"/>
      <w:bookmarkEnd w:id="17226"/>
      <w:bookmarkEnd w:id="17227"/>
      <w:bookmarkEnd w:id="17228"/>
      <w:bookmarkEnd w:id="17229"/>
      <w:bookmarkEnd w:id="17230"/>
    </w:p>
    <w:p w14:paraId="10052F28" w14:textId="77777777" w:rsidR="007862A2" w:rsidRDefault="007862A2" w:rsidP="007862A2">
      <w:pPr>
        <w:pStyle w:val="PL"/>
      </w:pPr>
      <w:bookmarkStart w:id="17231" w:name="_Toc113031920"/>
      <w:bookmarkStart w:id="17232" w:name="_Toc85557266"/>
      <w:bookmarkStart w:id="17233" w:name="_Toc85553167"/>
      <w:bookmarkStart w:id="17234" w:name="_Toc83233238"/>
      <w:bookmarkStart w:id="17235" w:name="_Toc104539257"/>
      <w:bookmarkStart w:id="17236" w:name="_Toc101244651"/>
      <w:bookmarkStart w:id="17237" w:name="_Toc70550754"/>
      <w:bookmarkStart w:id="17238" w:name="_Toc112951380"/>
      <w:bookmarkStart w:id="17239" w:name="_Toc88667776"/>
      <w:bookmarkStart w:id="17240" w:name="_Toc90656061"/>
      <w:bookmarkStart w:id="17241" w:name="_Toc120702560"/>
      <w:bookmarkStart w:id="17242" w:name="_Toc98233870"/>
      <w:bookmarkStart w:id="17243" w:name="_Toc94064468"/>
      <w:bookmarkStart w:id="17244" w:name="_Toc114134059"/>
      <w:bookmarkStart w:id="17245" w:name="_Hlk56636744"/>
      <w:bookmarkEnd w:id="17165"/>
      <w:r>
        <w:t>openapi: 3.0.0</w:t>
      </w:r>
    </w:p>
    <w:p w14:paraId="31EEBC2B" w14:textId="77777777" w:rsidR="007862A2" w:rsidRDefault="007862A2" w:rsidP="007862A2">
      <w:pPr>
        <w:pStyle w:val="PL"/>
      </w:pPr>
    </w:p>
    <w:p w14:paraId="2EB595AA" w14:textId="77777777" w:rsidR="007862A2" w:rsidRDefault="007862A2" w:rsidP="007862A2">
      <w:pPr>
        <w:pStyle w:val="PL"/>
      </w:pPr>
      <w:r>
        <w:t>info:</w:t>
      </w:r>
    </w:p>
    <w:p w14:paraId="073B5EA6" w14:textId="2839F1BF" w:rsidR="007862A2" w:rsidRDefault="007862A2" w:rsidP="007862A2">
      <w:pPr>
        <w:pStyle w:val="PL"/>
      </w:pPr>
      <w:r>
        <w:t xml:space="preserve">  version: 1.</w:t>
      </w:r>
      <w:r w:rsidR="009B01A5">
        <w:t>4</w:t>
      </w:r>
      <w:r>
        <w:t>.</w:t>
      </w:r>
      <w:r w:rsidR="009B01A5">
        <w:t>0-alpha.</w:t>
      </w:r>
      <w:r w:rsidR="00CA1A16">
        <w:t>3</w:t>
      </w:r>
    </w:p>
    <w:p w14:paraId="0BAAA926" w14:textId="77777777" w:rsidR="007862A2" w:rsidRDefault="007862A2" w:rsidP="007862A2">
      <w:pPr>
        <w:pStyle w:val="PL"/>
      </w:pPr>
      <w:r>
        <w:t xml:space="preserve">  title: Nnwdaf_AnalyticsInfo</w:t>
      </w:r>
    </w:p>
    <w:p w14:paraId="2D27DC0A" w14:textId="77777777" w:rsidR="007862A2" w:rsidRDefault="007862A2" w:rsidP="007862A2">
      <w:pPr>
        <w:pStyle w:val="PL"/>
      </w:pPr>
      <w:r>
        <w:t xml:space="preserve">  description: |</w:t>
      </w:r>
    </w:p>
    <w:p w14:paraId="6D313F2D" w14:textId="77777777" w:rsidR="007862A2" w:rsidRDefault="007862A2" w:rsidP="007862A2">
      <w:pPr>
        <w:pStyle w:val="PL"/>
      </w:pPr>
      <w:r>
        <w:t xml:space="preserve">    Nnwdaf_AnalyticsInfo Service API.  </w:t>
      </w:r>
    </w:p>
    <w:p w14:paraId="15518F7F" w14:textId="77777777" w:rsidR="007862A2" w:rsidRDefault="007862A2" w:rsidP="007862A2">
      <w:pPr>
        <w:pStyle w:val="PL"/>
      </w:pPr>
      <w:r>
        <w:t xml:space="preserve">    © </w:t>
      </w:r>
      <w:r w:rsidR="0020689F">
        <w:t>2025</w:t>
      </w:r>
      <w:r>
        <w:t xml:space="preserve">, 3GPP Organizational Partners (ARIB, ATIS, CCSA, ETSI, TSDSI, TTA, TTC).  </w:t>
      </w:r>
    </w:p>
    <w:p w14:paraId="74FAAF35" w14:textId="77777777" w:rsidR="007862A2" w:rsidRDefault="007862A2" w:rsidP="007862A2">
      <w:pPr>
        <w:pStyle w:val="PL"/>
      </w:pPr>
      <w:r>
        <w:t xml:space="preserve">    All rights reserved.</w:t>
      </w:r>
    </w:p>
    <w:p w14:paraId="50208DAC" w14:textId="77777777" w:rsidR="007862A2" w:rsidRDefault="007862A2" w:rsidP="007862A2">
      <w:pPr>
        <w:pStyle w:val="PL"/>
        <w:rPr>
          <w:rFonts w:eastAsia="等线"/>
        </w:rPr>
      </w:pPr>
    </w:p>
    <w:p w14:paraId="0BE7DE6C" w14:textId="77777777" w:rsidR="007862A2" w:rsidRDefault="007862A2" w:rsidP="007862A2">
      <w:pPr>
        <w:pStyle w:val="PL"/>
        <w:rPr>
          <w:rFonts w:eastAsia="等线"/>
        </w:rPr>
      </w:pPr>
      <w:r>
        <w:rPr>
          <w:rFonts w:eastAsia="等线"/>
        </w:rPr>
        <w:t>externalDocs:</w:t>
      </w:r>
    </w:p>
    <w:p w14:paraId="594C8E07" w14:textId="51FBEF86" w:rsidR="007862A2" w:rsidRDefault="007862A2" w:rsidP="007862A2">
      <w:pPr>
        <w:pStyle w:val="PL"/>
        <w:rPr>
          <w:rFonts w:eastAsia="等线"/>
        </w:rPr>
      </w:pPr>
      <w:r>
        <w:rPr>
          <w:rFonts w:eastAsia="等线"/>
        </w:rPr>
        <w:t xml:space="preserve">  description: 3GPP TS 29.520 V1</w:t>
      </w:r>
      <w:r w:rsidR="009B01A5">
        <w:rPr>
          <w:rFonts w:eastAsia="等线"/>
        </w:rPr>
        <w:t>9</w:t>
      </w:r>
      <w:r>
        <w:rPr>
          <w:rFonts w:eastAsia="等线"/>
        </w:rPr>
        <w:t>.</w:t>
      </w:r>
      <w:r w:rsidR="00CA1A16">
        <w:rPr>
          <w:rFonts w:eastAsia="等线"/>
          <w:lang w:eastAsia="zh-CN"/>
        </w:rPr>
        <w:t>3</w:t>
      </w:r>
      <w:r>
        <w:rPr>
          <w:rFonts w:eastAsia="等线"/>
        </w:rPr>
        <w:t>.0; 5G System; Network Data Analytics Services.</w:t>
      </w:r>
    </w:p>
    <w:p w14:paraId="68F1969B" w14:textId="77777777" w:rsidR="007862A2" w:rsidRDefault="007862A2" w:rsidP="007862A2">
      <w:pPr>
        <w:pStyle w:val="PL"/>
        <w:rPr>
          <w:rFonts w:eastAsia="等线"/>
        </w:rPr>
      </w:pPr>
      <w:r>
        <w:rPr>
          <w:rFonts w:eastAsia="等线"/>
        </w:rPr>
        <w:t xml:space="preserve">  url: 'https://www.3gpp.org/ftp/Specs/archive/29_series/29.520/'</w:t>
      </w:r>
    </w:p>
    <w:p w14:paraId="172BA003" w14:textId="77777777" w:rsidR="007862A2" w:rsidRDefault="007862A2" w:rsidP="007862A2">
      <w:pPr>
        <w:pStyle w:val="PL"/>
        <w:rPr>
          <w:rFonts w:eastAsia="等线"/>
          <w:lang w:val="en-US"/>
        </w:rPr>
      </w:pPr>
    </w:p>
    <w:p w14:paraId="7FA6558C" w14:textId="77777777" w:rsidR="007862A2" w:rsidRDefault="007862A2" w:rsidP="007862A2">
      <w:pPr>
        <w:pStyle w:val="PL"/>
        <w:rPr>
          <w:rFonts w:eastAsia="等线"/>
          <w:lang w:val="en-US"/>
        </w:rPr>
      </w:pPr>
      <w:r>
        <w:rPr>
          <w:rFonts w:eastAsia="等线"/>
          <w:lang w:val="en-US"/>
        </w:rPr>
        <w:t>security:</w:t>
      </w:r>
    </w:p>
    <w:p w14:paraId="2B2CE07C" w14:textId="77777777" w:rsidR="007862A2" w:rsidRDefault="007862A2" w:rsidP="007862A2">
      <w:pPr>
        <w:pStyle w:val="PL"/>
        <w:rPr>
          <w:rFonts w:eastAsia="等线"/>
          <w:lang w:val="en-US"/>
        </w:rPr>
      </w:pPr>
      <w:r>
        <w:rPr>
          <w:rFonts w:eastAsia="等线"/>
          <w:lang w:val="en-US"/>
        </w:rPr>
        <w:lastRenderedPageBreak/>
        <w:t xml:space="preserve">  - {}</w:t>
      </w:r>
    </w:p>
    <w:p w14:paraId="73ACBC00" w14:textId="77777777" w:rsidR="007862A2" w:rsidRDefault="007862A2" w:rsidP="007862A2">
      <w:pPr>
        <w:pStyle w:val="PL"/>
        <w:rPr>
          <w:rFonts w:eastAsia="等线"/>
          <w:lang w:val="en-US"/>
        </w:rPr>
      </w:pPr>
      <w:r>
        <w:rPr>
          <w:rFonts w:eastAsia="等线"/>
          <w:lang w:val="en-US"/>
        </w:rPr>
        <w:t xml:space="preserve">  - oAuth2ClientCredentials:</w:t>
      </w:r>
    </w:p>
    <w:p w14:paraId="44B54CBA" w14:textId="77777777" w:rsidR="007862A2" w:rsidRDefault="007862A2" w:rsidP="007862A2">
      <w:pPr>
        <w:pStyle w:val="PL"/>
        <w:rPr>
          <w:rFonts w:eastAsia="等线"/>
          <w:lang w:val="en-US"/>
        </w:rPr>
      </w:pPr>
      <w:r>
        <w:rPr>
          <w:rFonts w:eastAsia="等线"/>
          <w:lang w:val="en-US"/>
        </w:rPr>
        <w:t xml:space="preserve">    - </w:t>
      </w:r>
      <w:r>
        <w:rPr>
          <w:rFonts w:eastAsia="等线"/>
        </w:rPr>
        <w:t>nnwdaf-analyticsinfo</w:t>
      </w:r>
    </w:p>
    <w:p w14:paraId="7A4D57CE" w14:textId="77777777" w:rsidR="007862A2" w:rsidRDefault="007862A2" w:rsidP="007862A2">
      <w:pPr>
        <w:pStyle w:val="PL"/>
      </w:pPr>
    </w:p>
    <w:p w14:paraId="042E6AAF" w14:textId="77777777" w:rsidR="007862A2" w:rsidRDefault="007862A2" w:rsidP="007862A2">
      <w:pPr>
        <w:pStyle w:val="PL"/>
      </w:pPr>
      <w:r>
        <w:t>servers:</w:t>
      </w:r>
    </w:p>
    <w:p w14:paraId="03BF5DF8" w14:textId="77777777" w:rsidR="007862A2" w:rsidRDefault="007862A2" w:rsidP="007862A2">
      <w:pPr>
        <w:pStyle w:val="PL"/>
      </w:pPr>
      <w:r>
        <w:t xml:space="preserve">  - url: '{apiRoot}/nnwdaf-analyticsinfo/v1'</w:t>
      </w:r>
    </w:p>
    <w:p w14:paraId="5F84B4E1" w14:textId="77777777" w:rsidR="007862A2" w:rsidRDefault="007862A2" w:rsidP="007862A2">
      <w:pPr>
        <w:pStyle w:val="PL"/>
      </w:pPr>
      <w:r>
        <w:t xml:space="preserve">    variables:</w:t>
      </w:r>
    </w:p>
    <w:p w14:paraId="011C0804" w14:textId="77777777" w:rsidR="007862A2" w:rsidRDefault="007862A2" w:rsidP="007862A2">
      <w:pPr>
        <w:pStyle w:val="PL"/>
      </w:pPr>
      <w:r>
        <w:t xml:space="preserve">      apiRoot:</w:t>
      </w:r>
    </w:p>
    <w:p w14:paraId="2B6C20A0" w14:textId="77777777" w:rsidR="007862A2" w:rsidRDefault="007862A2" w:rsidP="007862A2">
      <w:pPr>
        <w:pStyle w:val="PL"/>
      </w:pPr>
      <w:r>
        <w:t xml:space="preserve">        default: https://example.com</w:t>
      </w:r>
    </w:p>
    <w:p w14:paraId="6E2C632E" w14:textId="77777777" w:rsidR="007862A2" w:rsidRDefault="007862A2" w:rsidP="007862A2">
      <w:pPr>
        <w:pStyle w:val="PL"/>
      </w:pPr>
      <w:r>
        <w:t xml:space="preserve">        description: apiRoot as defined in clause 4.4 of 3GPP TS 29.501.</w:t>
      </w:r>
    </w:p>
    <w:p w14:paraId="37E5C4E0" w14:textId="77777777" w:rsidR="007862A2" w:rsidRDefault="007862A2" w:rsidP="007862A2">
      <w:pPr>
        <w:pStyle w:val="PL"/>
      </w:pPr>
    </w:p>
    <w:p w14:paraId="04BE897D" w14:textId="77777777" w:rsidR="007862A2" w:rsidRDefault="007862A2" w:rsidP="007862A2">
      <w:pPr>
        <w:pStyle w:val="PL"/>
      </w:pPr>
      <w:r>
        <w:t>paths:</w:t>
      </w:r>
    </w:p>
    <w:p w14:paraId="1CAD3829" w14:textId="77777777" w:rsidR="007862A2" w:rsidRDefault="007862A2" w:rsidP="007862A2">
      <w:pPr>
        <w:pStyle w:val="PL"/>
      </w:pPr>
      <w:r>
        <w:t xml:space="preserve">  /analytics:</w:t>
      </w:r>
    </w:p>
    <w:p w14:paraId="3C5035C4" w14:textId="77777777" w:rsidR="007862A2" w:rsidRDefault="007862A2" w:rsidP="007862A2">
      <w:pPr>
        <w:pStyle w:val="PL"/>
      </w:pPr>
      <w:r>
        <w:t xml:space="preserve">    get:</w:t>
      </w:r>
    </w:p>
    <w:p w14:paraId="6C2B74DF" w14:textId="77777777" w:rsidR="007862A2" w:rsidRDefault="007862A2" w:rsidP="007862A2">
      <w:pPr>
        <w:pStyle w:val="PL"/>
      </w:pPr>
      <w:r>
        <w:t xml:space="preserve">      summary: Read a NWDAF Analytics</w:t>
      </w:r>
    </w:p>
    <w:p w14:paraId="5A2F7297" w14:textId="77777777" w:rsidR="007862A2" w:rsidRDefault="007862A2" w:rsidP="007862A2">
      <w:pPr>
        <w:pStyle w:val="PL"/>
      </w:pPr>
      <w:r>
        <w:t xml:space="preserve">      operationId: GetNWDAFAnalytics</w:t>
      </w:r>
    </w:p>
    <w:p w14:paraId="694BF421" w14:textId="77777777" w:rsidR="007862A2" w:rsidRDefault="007862A2" w:rsidP="007862A2">
      <w:pPr>
        <w:pStyle w:val="PL"/>
      </w:pPr>
      <w:r>
        <w:t xml:space="preserve">      tags:</w:t>
      </w:r>
    </w:p>
    <w:p w14:paraId="21E177B2" w14:textId="77777777" w:rsidR="007862A2" w:rsidRDefault="007862A2" w:rsidP="007862A2">
      <w:pPr>
        <w:pStyle w:val="PL"/>
      </w:pPr>
      <w:r>
        <w:t xml:space="preserve">        - NWDAF Analytics (Document)</w:t>
      </w:r>
    </w:p>
    <w:p w14:paraId="61B9BC1B" w14:textId="77777777" w:rsidR="007862A2" w:rsidRDefault="007862A2" w:rsidP="007862A2">
      <w:pPr>
        <w:pStyle w:val="PL"/>
      </w:pPr>
      <w:r>
        <w:t xml:space="preserve">      parameters:</w:t>
      </w:r>
    </w:p>
    <w:p w14:paraId="2D724CD9" w14:textId="77777777" w:rsidR="007862A2" w:rsidRDefault="007862A2" w:rsidP="007862A2">
      <w:pPr>
        <w:pStyle w:val="PL"/>
      </w:pPr>
      <w:r>
        <w:t xml:space="preserve">        - name: event-id</w:t>
      </w:r>
    </w:p>
    <w:p w14:paraId="14FAF009" w14:textId="77777777" w:rsidR="007862A2" w:rsidRDefault="007862A2" w:rsidP="007862A2">
      <w:pPr>
        <w:pStyle w:val="PL"/>
      </w:pPr>
      <w:r>
        <w:t xml:space="preserve">          in: query</w:t>
      </w:r>
    </w:p>
    <w:p w14:paraId="79D73C84" w14:textId="77777777" w:rsidR="007862A2" w:rsidRDefault="007862A2" w:rsidP="007862A2">
      <w:pPr>
        <w:pStyle w:val="PL"/>
      </w:pPr>
      <w:r>
        <w:t xml:space="preserve">          description: Identify the analytics.</w:t>
      </w:r>
    </w:p>
    <w:p w14:paraId="51399D72" w14:textId="77777777" w:rsidR="007862A2" w:rsidRDefault="007862A2" w:rsidP="007862A2">
      <w:pPr>
        <w:pStyle w:val="PL"/>
      </w:pPr>
      <w:r>
        <w:t xml:space="preserve">          required: true</w:t>
      </w:r>
    </w:p>
    <w:p w14:paraId="2A5A043E" w14:textId="77777777" w:rsidR="007862A2" w:rsidRDefault="007862A2" w:rsidP="007862A2">
      <w:pPr>
        <w:pStyle w:val="PL"/>
      </w:pPr>
      <w:r>
        <w:t xml:space="preserve">          schema:</w:t>
      </w:r>
    </w:p>
    <w:p w14:paraId="5A619297" w14:textId="77777777" w:rsidR="007862A2" w:rsidRDefault="007862A2" w:rsidP="007862A2">
      <w:pPr>
        <w:pStyle w:val="PL"/>
      </w:pPr>
      <w:r>
        <w:t xml:space="preserve">            $ref: '#/components/schemas/EventId'</w:t>
      </w:r>
    </w:p>
    <w:p w14:paraId="6C41A36A" w14:textId="77777777" w:rsidR="007862A2" w:rsidRDefault="007862A2" w:rsidP="007862A2">
      <w:pPr>
        <w:pStyle w:val="PL"/>
      </w:pPr>
      <w:r>
        <w:t xml:space="preserve">        - name: ana-req</w:t>
      </w:r>
    </w:p>
    <w:p w14:paraId="2D26FD50" w14:textId="77777777" w:rsidR="007862A2" w:rsidRDefault="007862A2" w:rsidP="007862A2">
      <w:pPr>
        <w:pStyle w:val="PL"/>
      </w:pPr>
      <w:r>
        <w:t xml:space="preserve">          in: query</w:t>
      </w:r>
    </w:p>
    <w:p w14:paraId="4BD0BDCE" w14:textId="77777777" w:rsidR="007862A2" w:rsidRDefault="007862A2" w:rsidP="007862A2">
      <w:pPr>
        <w:pStyle w:val="PL"/>
      </w:pPr>
      <w:r>
        <w:t xml:space="preserve">          description: Identifies the analytics reporting requirement information.</w:t>
      </w:r>
    </w:p>
    <w:p w14:paraId="220E5637" w14:textId="77777777" w:rsidR="007862A2" w:rsidRDefault="007862A2" w:rsidP="007862A2">
      <w:pPr>
        <w:pStyle w:val="PL"/>
      </w:pPr>
      <w:r>
        <w:t xml:space="preserve">          required: false</w:t>
      </w:r>
    </w:p>
    <w:p w14:paraId="1B0E2F4F" w14:textId="77777777" w:rsidR="007862A2" w:rsidRDefault="007862A2" w:rsidP="007862A2">
      <w:pPr>
        <w:pStyle w:val="PL"/>
      </w:pPr>
      <w:r>
        <w:t xml:space="preserve">          content:</w:t>
      </w:r>
    </w:p>
    <w:p w14:paraId="0A39AD70" w14:textId="77777777" w:rsidR="007862A2" w:rsidRDefault="007862A2" w:rsidP="007862A2">
      <w:pPr>
        <w:pStyle w:val="PL"/>
      </w:pPr>
      <w:r>
        <w:t xml:space="preserve">            application/json:</w:t>
      </w:r>
    </w:p>
    <w:p w14:paraId="61BF5CF4" w14:textId="77777777" w:rsidR="007862A2" w:rsidRDefault="007862A2" w:rsidP="007862A2">
      <w:pPr>
        <w:pStyle w:val="PL"/>
      </w:pPr>
      <w:r>
        <w:t xml:space="preserve">              schema:</w:t>
      </w:r>
    </w:p>
    <w:p w14:paraId="055DF07C" w14:textId="77777777" w:rsidR="007862A2" w:rsidRDefault="007862A2" w:rsidP="007862A2">
      <w:pPr>
        <w:pStyle w:val="PL"/>
      </w:pPr>
      <w:r>
        <w:t xml:space="preserve">                $ref: 'TS29520_Nnwdaf_EventsSubscription.yaml#/components/schemas/EventReportingRequirement'</w:t>
      </w:r>
    </w:p>
    <w:p w14:paraId="7FDF717A" w14:textId="77777777" w:rsidR="007862A2" w:rsidRDefault="007862A2" w:rsidP="007862A2">
      <w:pPr>
        <w:pStyle w:val="PL"/>
      </w:pPr>
      <w:r>
        <w:t xml:space="preserve">        - name: event-filter</w:t>
      </w:r>
    </w:p>
    <w:p w14:paraId="3A114A82" w14:textId="77777777" w:rsidR="007862A2" w:rsidRDefault="007862A2" w:rsidP="007862A2">
      <w:pPr>
        <w:pStyle w:val="PL"/>
      </w:pPr>
      <w:r>
        <w:t xml:space="preserve">          in: query</w:t>
      </w:r>
    </w:p>
    <w:p w14:paraId="44643A5D" w14:textId="77777777" w:rsidR="007862A2" w:rsidRDefault="007862A2" w:rsidP="007862A2">
      <w:pPr>
        <w:pStyle w:val="PL"/>
      </w:pPr>
      <w:r>
        <w:t xml:space="preserve">          description: Identify the analytics.</w:t>
      </w:r>
    </w:p>
    <w:p w14:paraId="541FD328" w14:textId="77777777" w:rsidR="007862A2" w:rsidRDefault="007862A2" w:rsidP="007862A2">
      <w:pPr>
        <w:pStyle w:val="PL"/>
      </w:pPr>
      <w:r>
        <w:t xml:space="preserve">          required: false</w:t>
      </w:r>
    </w:p>
    <w:p w14:paraId="63F48969" w14:textId="77777777" w:rsidR="007862A2" w:rsidRDefault="007862A2" w:rsidP="007862A2">
      <w:pPr>
        <w:pStyle w:val="PL"/>
      </w:pPr>
      <w:r>
        <w:t xml:space="preserve">          content:</w:t>
      </w:r>
    </w:p>
    <w:p w14:paraId="37485FDB" w14:textId="77777777" w:rsidR="007862A2" w:rsidRDefault="007862A2" w:rsidP="007862A2">
      <w:pPr>
        <w:pStyle w:val="PL"/>
      </w:pPr>
      <w:r>
        <w:t xml:space="preserve">            application/json:</w:t>
      </w:r>
    </w:p>
    <w:p w14:paraId="6E921ECF" w14:textId="77777777" w:rsidR="007862A2" w:rsidRDefault="007862A2" w:rsidP="007862A2">
      <w:pPr>
        <w:pStyle w:val="PL"/>
      </w:pPr>
      <w:r>
        <w:t xml:space="preserve">              schema:</w:t>
      </w:r>
    </w:p>
    <w:p w14:paraId="76B4EBA0" w14:textId="77777777" w:rsidR="007862A2" w:rsidRDefault="007862A2" w:rsidP="007862A2">
      <w:pPr>
        <w:pStyle w:val="PL"/>
      </w:pPr>
      <w:r>
        <w:t xml:space="preserve">                $ref: '#/components/schemas/EventFilter'</w:t>
      </w:r>
    </w:p>
    <w:p w14:paraId="15C03FDB" w14:textId="77777777" w:rsidR="007862A2" w:rsidRDefault="007862A2" w:rsidP="007862A2">
      <w:pPr>
        <w:pStyle w:val="PL"/>
      </w:pPr>
      <w:r>
        <w:t xml:space="preserve">        - name: supported-features</w:t>
      </w:r>
    </w:p>
    <w:p w14:paraId="0B5E693D" w14:textId="77777777" w:rsidR="007862A2" w:rsidRDefault="007862A2" w:rsidP="007862A2">
      <w:pPr>
        <w:pStyle w:val="PL"/>
      </w:pPr>
      <w:r>
        <w:t xml:space="preserve">          in: query</w:t>
      </w:r>
    </w:p>
    <w:p w14:paraId="3FF7F0DF" w14:textId="77777777" w:rsidR="007862A2" w:rsidRDefault="007862A2" w:rsidP="007862A2">
      <w:pPr>
        <w:pStyle w:val="PL"/>
      </w:pPr>
      <w:r>
        <w:t xml:space="preserve">          description: To filter irrelevant responses related to unsupported features.</w:t>
      </w:r>
    </w:p>
    <w:p w14:paraId="25E07F31" w14:textId="77777777" w:rsidR="007862A2" w:rsidRDefault="007862A2" w:rsidP="007862A2">
      <w:pPr>
        <w:pStyle w:val="PL"/>
      </w:pPr>
      <w:r>
        <w:t xml:space="preserve">          schema:</w:t>
      </w:r>
    </w:p>
    <w:p w14:paraId="307C4F05" w14:textId="77777777" w:rsidR="007862A2" w:rsidRDefault="007862A2" w:rsidP="007862A2">
      <w:pPr>
        <w:pStyle w:val="PL"/>
      </w:pPr>
      <w:r>
        <w:t xml:space="preserve">            $ref: 'TS29571_CommonData.yaml#/components/schemas/SupportedFeatures'</w:t>
      </w:r>
    </w:p>
    <w:p w14:paraId="2BF052F3" w14:textId="77777777" w:rsidR="007862A2" w:rsidRDefault="007862A2" w:rsidP="007862A2">
      <w:pPr>
        <w:pStyle w:val="PL"/>
      </w:pPr>
      <w:r>
        <w:t xml:space="preserve">        - name: tgt-ue</w:t>
      </w:r>
    </w:p>
    <w:p w14:paraId="3DAB0FD7" w14:textId="77777777" w:rsidR="007862A2" w:rsidRDefault="007862A2" w:rsidP="007862A2">
      <w:pPr>
        <w:pStyle w:val="PL"/>
      </w:pPr>
      <w:r>
        <w:t xml:space="preserve">          in: query</w:t>
      </w:r>
    </w:p>
    <w:p w14:paraId="668B8398" w14:textId="77777777" w:rsidR="007862A2" w:rsidRDefault="007862A2" w:rsidP="007862A2">
      <w:pPr>
        <w:pStyle w:val="PL"/>
      </w:pPr>
      <w:r>
        <w:t xml:space="preserve">          description: Identify the target UE information.</w:t>
      </w:r>
    </w:p>
    <w:p w14:paraId="11444BEB" w14:textId="77777777" w:rsidR="007862A2" w:rsidRDefault="007862A2" w:rsidP="007862A2">
      <w:pPr>
        <w:pStyle w:val="PL"/>
      </w:pPr>
      <w:r>
        <w:t xml:space="preserve">          required: false</w:t>
      </w:r>
    </w:p>
    <w:p w14:paraId="042126DB" w14:textId="77777777" w:rsidR="007862A2" w:rsidRDefault="007862A2" w:rsidP="007862A2">
      <w:pPr>
        <w:pStyle w:val="PL"/>
      </w:pPr>
      <w:r>
        <w:t xml:space="preserve">          content:</w:t>
      </w:r>
    </w:p>
    <w:p w14:paraId="06DC40AE" w14:textId="77777777" w:rsidR="007862A2" w:rsidRDefault="007862A2" w:rsidP="007862A2">
      <w:pPr>
        <w:pStyle w:val="PL"/>
      </w:pPr>
      <w:r>
        <w:t xml:space="preserve">            application/json:</w:t>
      </w:r>
    </w:p>
    <w:p w14:paraId="4AAA11A0" w14:textId="77777777" w:rsidR="007862A2" w:rsidRDefault="007862A2" w:rsidP="007862A2">
      <w:pPr>
        <w:pStyle w:val="PL"/>
      </w:pPr>
      <w:r>
        <w:t xml:space="preserve">              schema:</w:t>
      </w:r>
    </w:p>
    <w:p w14:paraId="79730CB9" w14:textId="77777777" w:rsidR="007862A2" w:rsidRDefault="007862A2" w:rsidP="007862A2">
      <w:pPr>
        <w:pStyle w:val="PL"/>
      </w:pPr>
      <w:r>
        <w:t xml:space="preserve">                $ref: 'TS29520_Nnwdaf_EventsSubscription.yaml#/components/schemas/TargetUeInformation'</w:t>
      </w:r>
    </w:p>
    <w:p w14:paraId="4DBC2119" w14:textId="77777777" w:rsidR="007862A2" w:rsidRDefault="007862A2" w:rsidP="007862A2">
      <w:pPr>
        <w:pStyle w:val="PL"/>
      </w:pPr>
      <w:r>
        <w:t xml:space="preserve">      responses:</w:t>
      </w:r>
    </w:p>
    <w:p w14:paraId="454E9AB7" w14:textId="77777777" w:rsidR="007862A2" w:rsidRDefault="007862A2" w:rsidP="007862A2">
      <w:pPr>
        <w:pStyle w:val="PL"/>
      </w:pPr>
      <w:r>
        <w:t xml:space="preserve">        '200':</w:t>
      </w:r>
    </w:p>
    <w:p w14:paraId="73924820" w14:textId="77777777" w:rsidR="007862A2" w:rsidRDefault="007862A2" w:rsidP="007862A2">
      <w:pPr>
        <w:pStyle w:val="PL"/>
      </w:pPr>
      <w:r>
        <w:t xml:space="preserve">          description: &gt;</w:t>
      </w:r>
    </w:p>
    <w:p w14:paraId="4DE5F82C" w14:textId="77777777" w:rsidR="007862A2" w:rsidRDefault="007862A2" w:rsidP="007862A2">
      <w:pPr>
        <w:pStyle w:val="PL"/>
      </w:pPr>
      <w:r>
        <w:t xml:space="preserve">            Containing the analytics with parameters as relevant for the requesting NF service</w:t>
      </w:r>
    </w:p>
    <w:p w14:paraId="0A6E9644" w14:textId="77777777" w:rsidR="007862A2" w:rsidRDefault="007862A2" w:rsidP="007862A2">
      <w:pPr>
        <w:pStyle w:val="PL"/>
      </w:pPr>
      <w:r>
        <w:t xml:space="preserve">            consumer.</w:t>
      </w:r>
    </w:p>
    <w:p w14:paraId="4F875FDB" w14:textId="77777777" w:rsidR="007862A2" w:rsidRDefault="007862A2" w:rsidP="007862A2">
      <w:pPr>
        <w:pStyle w:val="PL"/>
      </w:pPr>
      <w:r>
        <w:t xml:space="preserve">          content:</w:t>
      </w:r>
    </w:p>
    <w:p w14:paraId="17753465" w14:textId="77777777" w:rsidR="007862A2" w:rsidRDefault="007862A2" w:rsidP="007862A2">
      <w:pPr>
        <w:pStyle w:val="PL"/>
      </w:pPr>
      <w:r>
        <w:t xml:space="preserve">            application/json:</w:t>
      </w:r>
    </w:p>
    <w:p w14:paraId="0667C662" w14:textId="77777777" w:rsidR="007862A2" w:rsidRDefault="007862A2" w:rsidP="007862A2">
      <w:pPr>
        <w:pStyle w:val="PL"/>
      </w:pPr>
      <w:r>
        <w:t xml:space="preserve">              schema:</w:t>
      </w:r>
    </w:p>
    <w:p w14:paraId="56326036" w14:textId="77777777" w:rsidR="007862A2" w:rsidRDefault="007862A2" w:rsidP="007862A2">
      <w:pPr>
        <w:pStyle w:val="PL"/>
      </w:pPr>
      <w:r>
        <w:t xml:space="preserve">                $ref: '#/components/schemas/AnalyticsData'</w:t>
      </w:r>
    </w:p>
    <w:p w14:paraId="65A1E3D0" w14:textId="77777777" w:rsidR="007862A2" w:rsidRDefault="007862A2" w:rsidP="007862A2">
      <w:pPr>
        <w:pStyle w:val="PL"/>
        <w:rPr>
          <w:rFonts w:eastAsia="等线"/>
        </w:rPr>
      </w:pPr>
      <w:r>
        <w:rPr>
          <w:rFonts w:eastAsia="等线"/>
        </w:rPr>
        <w:t xml:space="preserve">        '204':</w:t>
      </w:r>
    </w:p>
    <w:p w14:paraId="0EAD877F" w14:textId="77777777" w:rsidR="007862A2" w:rsidRDefault="007862A2" w:rsidP="007862A2">
      <w:pPr>
        <w:pStyle w:val="PL"/>
        <w:rPr>
          <w:rFonts w:eastAsia="等线"/>
        </w:rPr>
      </w:pPr>
      <w:r>
        <w:rPr>
          <w:rFonts w:eastAsia="等线"/>
        </w:rPr>
        <w:t xml:space="preserve">          description: No Content. The requested NWDAF Analytics data does not exist.</w:t>
      </w:r>
    </w:p>
    <w:p w14:paraId="3233B9F3" w14:textId="77777777" w:rsidR="004D166F" w:rsidRDefault="004D166F" w:rsidP="004D166F">
      <w:pPr>
        <w:pStyle w:val="PL"/>
      </w:pPr>
      <w:r>
        <w:t xml:space="preserve">        '307':</w:t>
      </w:r>
    </w:p>
    <w:p w14:paraId="05717C91" w14:textId="77777777" w:rsidR="004D166F" w:rsidRDefault="004D166F" w:rsidP="004D166F">
      <w:pPr>
        <w:pStyle w:val="PL"/>
      </w:pPr>
      <w:r>
        <w:t xml:space="preserve">          $ref: 'TS29571_CommonData.yaml#/components/responses/307'</w:t>
      </w:r>
    </w:p>
    <w:p w14:paraId="6DC47F9E" w14:textId="77777777" w:rsidR="004D166F" w:rsidRDefault="004D166F" w:rsidP="004D166F">
      <w:pPr>
        <w:pStyle w:val="PL"/>
      </w:pPr>
      <w:r>
        <w:t xml:space="preserve">        '308':</w:t>
      </w:r>
    </w:p>
    <w:p w14:paraId="2660D267" w14:textId="77777777" w:rsidR="004D166F" w:rsidRDefault="004D166F" w:rsidP="004D166F">
      <w:pPr>
        <w:pStyle w:val="PL"/>
      </w:pPr>
      <w:r>
        <w:t xml:space="preserve">          $ref: 'TS29571_CommonData.yaml#/components/responses/308'</w:t>
      </w:r>
    </w:p>
    <w:p w14:paraId="6B747296" w14:textId="77777777" w:rsidR="007862A2" w:rsidRDefault="007862A2" w:rsidP="007862A2">
      <w:pPr>
        <w:pStyle w:val="PL"/>
      </w:pPr>
      <w:r>
        <w:t xml:space="preserve">        '400':</w:t>
      </w:r>
    </w:p>
    <w:p w14:paraId="6D5CD508" w14:textId="77777777" w:rsidR="007862A2" w:rsidRDefault="007862A2" w:rsidP="007862A2">
      <w:pPr>
        <w:pStyle w:val="PL"/>
      </w:pPr>
      <w:r>
        <w:t xml:space="preserve">          $ref: 'TS29571_CommonData.yaml#/components/responses/400'</w:t>
      </w:r>
    </w:p>
    <w:p w14:paraId="1D658D84" w14:textId="77777777" w:rsidR="007862A2" w:rsidRDefault="007862A2" w:rsidP="007862A2">
      <w:pPr>
        <w:pStyle w:val="PL"/>
      </w:pPr>
      <w:r>
        <w:t xml:space="preserve">        '401':</w:t>
      </w:r>
    </w:p>
    <w:p w14:paraId="5BF2D34C" w14:textId="77777777" w:rsidR="007862A2" w:rsidRDefault="007862A2" w:rsidP="007862A2">
      <w:pPr>
        <w:pStyle w:val="PL"/>
      </w:pPr>
      <w:r>
        <w:t xml:space="preserve">          $ref: 'TS29571_CommonData.yaml#/components/responses/401'</w:t>
      </w:r>
    </w:p>
    <w:p w14:paraId="0DA0FC5B" w14:textId="77777777" w:rsidR="007862A2" w:rsidRDefault="007862A2" w:rsidP="007862A2">
      <w:pPr>
        <w:pStyle w:val="PL"/>
        <w:rPr>
          <w:rFonts w:eastAsia="等线"/>
        </w:rPr>
      </w:pPr>
      <w:r>
        <w:rPr>
          <w:rFonts w:eastAsia="等线"/>
        </w:rPr>
        <w:t xml:space="preserve">        '403':</w:t>
      </w:r>
    </w:p>
    <w:p w14:paraId="73FDD831" w14:textId="77777777" w:rsidR="007862A2" w:rsidRDefault="007862A2" w:rsidP="007862A2">
      <w:pPr>
        <w:pStyle w:val="PL"/>
        <w:rPr>
          <w:rFonts w:eastAsia="等线"/>
        </w:rPr>
      </w:pPr>
      <w:r>
        <w:rPr>
          <w:rFonts w:eastAsia="等线"/>
        </w:rPr>
        <w:t xml:space="preserve">          $ref: 'TS29571_CommonData.yaml#/components/responses/403'</w:t>
      </w:r>
    </w:p>
    <w:p w14:paraId="6C5BC549" w14:textId="77777777" w:rsidR="007862A2" w:rsidRDefault="007862A2" w:rsidP="007862A2">
      <w:pPr>
        <w:pStyle w:val="PL"/>
      </w:pPr>
      <w:r>
        <w:t xml:space="preserve">        '404':</w:t>
      </w:r>
    </w:p>
    <w:p w14:paraId="17AC7A88" w14:textId="77777777" w:rsidR="007862A2" w:rsidRDefault="007862A2" w:rsidP="007862A2">
      <w:pPr>
        <w:pStyle w:val="PL"/>
      </w:pPr>
      <w:r>
        <w:t xml:space="preserve">          description: Indicates that the NWDAF Analytics resource does not exist.</w:t>
      </w:r>
    </w:p>
    <w:p w14:paraId="4EE5745E" w14:textId="77777777" w:rsidR="007862A2" w:rsidRDefault="007862A2" w:rsidP="007862A2">
      <w:pPr>
        <w:pStyle w:val="PL"/>
      </w:pPr>
      <w:r>
        <w:lastRenderedPageBreak/>
        <w:t xml:space="preserve">          content:</w:t>
      </w:r>
    </w:p>
    <w:p w14:paraId="53AE267E" w14:textId="77777777" w:rsidR="007862A2" w:rsidRDefault="007862A2" w:rsidP="007862A2">
      <w:pPr>
        <w:pStyle w:val="PL"/>
      </w:pPr>
      <w:r>
        <w:t xml:space="preserve">            application/problem+json:</w:t>
      </w:r>
    </w:p>
    <w:p w14:paraId="5B07A2A3" w14:textId="77777777" w:rsidR="007862A2" w:rsidRDefault="007862A2" w:rsidP="007862A2">
      <w:pPr>
        <w:pStyle w:val="PL"/>
      </w:pPr>
      <w:r>
        <w:t xml:space="preserve">              schema:</w:t>
      </w:r>
    </w:p>
    <w:p w14:paraId="4EF73283" w14:textId="77777777" w:rsidR="007862A2" w:rsidRDefault="007862A2" w:rsidP="007862A2">
      <w:pPr>
        <w:pStyle w:val="PL"/>
      </w:pPr>
      <w:r>
        <w:t xml:space="preserve">                $ref: 'TS29571_CommonData.yaml#/components/schemas/ProblemDetails'</w:t>
      </w:r>
    </w:p>
    <w:p w14:paraId="7C59A99F" w14:textId="77777777" w:rsidR="007862A2" w:rsidRDefault="007862A2" w:rsidP="007862A2">
      <w:pPr>
        <w:pStyle w:val="PL"/>
        <w:rPr>
          <w:rFonts w:eastAsia="等线"/>
        </w:rPr>
      </w:pPr>
      <w:r>
        <w:rPr>
          <w:rFonts w:eastAsia="等线"/>
        </w:rPr>
        <w:t xml:space="preserve">        '406':</w:t>
      </w:r>
    </w:p>
    <w:p w14:paraId="16CD3765" w14:textId="77777777" w:rsidR="007862A2" w:rsidRDefault="007862A2" w:rsidP="007862A2">
      <w:pPr>
        <w:pStyle w:val="PL"/>
        <w:rPr>
          <w:rFonts w:eastAsia="等线"/>
        </w:rPr>
      </w:pPr>
      <w:r>
        <w:rPr>
          <w:rFonts w:eastAsia="等线"/>
        </w:rPr>
        <w:t xml:space="preserve">          $ref: 'TS29571_CommonData.yaml#/components/responses/406'</w:t>
      </w:r>
    </w:p>
    <w:p w14:paraId="59D2D044" w14:textId="77777777" w:rsidR="007862A2" w:rsidRDefault="007862A2" w:rsidP="007862A2">
      <w:pPr>
        <w:pStyle w:val="PL"/>
      </w:pPr>
      <w:r>
        <w:t xml:space="preserve">        '414':</w:t>
      </w:r>
    </w:p>
    <w:p w14:paraId="078CB1D9" w14:textId="77777777" w:rsidR="007862A2" w:rsidRDefault="007862A2" w:rsidP="007862A2">
      <w:pPr>
        <w:pStyle w:val="PL"/>
      </w:pPr>
      <w:r>
        <w:t xml:space="preserve">          $ref: 'TS29571_CommonData.yaml#/components/responses/414'</w:t>
      </w:r>
    </w:p>
    <w:p w14:paraId="3B8F8FF3" w14:textId="77777777" w:rsidR="007862A2" w:rsidRDefault="007862A2" w:rsidP="007862A2">
      <w:pPr>
        <w:pStyle w:val="PL"/>
        <w:rPr>
          <w:rFonts w:eastAsia="等线"/>
        </w:rPr>
      </w:pPr>
      <w:r>
        <w:rPr>
          <w:rFonts w:eastAsia="等线"/>
        </w:rPr>
        <w:t xml:space="preserve">        '429':</w:t>
      </w:r>
    </w:p>
    <w:p w14:paraId="0D922703" w14:textId="77777777" w:rsidR="007862A2" w:rsidRDefault="007862A2" w:rsidP="007862A2">
      <w:pPr>
        <w:pStyle w:val="PL"/>
        <w:rPr>
          <w:rFonts w:eastAsia="等线"/>
        </w:rPr>
      </w:pPr>
      <w:r>
        <w:rPr>
          <w:rFonts w:eastAsia="等线"/>
        </w:rPr>
        <w:t xml:space="preserve">          $ref: 'TS29571_CommonData.yaml#/components/responses/429'</w:t>
      </w:r>
    </w:p>
    <w:p w14:paraId="3AEF4760" w14:textId="77777777" w:rsidR="007862A2" w:rsidRDefault="007862A2" w:rsidP="007862A2">
      <w:pPr>
        <w:pStyle w:val="PL"/>
      </w:pPr>
      <w:r>
        <w:t xml:space="preserve">        '500':</w:t>
      </w:r>
    </w:p>
    <w:p w14:paraId="08920AF1" w14:textId="77777777" w:rsidR="007862A2" w:rsidRDefault="007862A2" w:rsidP="007862A2">
      <w:pPr>
        <w:pStyle w:val="PL"/>
      </w:pPr>
      <w:r>
        <w:t xml:space="preserve">          description: &gt;</w:t>
      </w:r>
    </w:p>
    <w:p w14:paraId="65BA6397" w14:textId="77777777" w:rsidR="007862A2" w:rsidRDefault="007862A2" w:rsidP="007862A2">
      <w:pPr>
        <w:pStyle w:val="PL"/>
      </w:pPr>
      <w:r>
        <w:t xml:space="preserve">            The request is rejected by the NWDAF and more details (not only the ProblemDetails) are</w:t>
      </w:r>
    </w:p>
    <w:p w14:paraId="3A8B7FDB" w14:textId="77777777" w:rsidR="007862A2" w:rsidRDefault="007862A2" w:rsidP="007862A2">
      <w:pPr>
        <w:pStyle w:val="PL"/>
        <w:rPr>
          <w:lang w:eastAsia="zh-CN"/>
        </w:rPr>
      </w:pPr>
      <w:r>
        <w:t xml:space="preserve">            returned</w:t>
      </w:r>
      <w:r>
        <w:rPr>
          <w:lang w:eastAsia="zh-CN"/>
        </w:rPr>
        <w:t>.</w:t>
      </w:r>
    </w:p>
    <w:p w14:paraId="14B4D2E5" w14:textId="77777777" w:rsidR="007862A2" w:rsidRDefault="007862A2" w:rsidP="007862A2">
      <w:pPr>
        <w:pStyle w:val="PL"/>
      </w:pPr>
      <w:r>
        <w:t xml:space="preserve">          content:</w:t>
      </w:r>
    </w:p>
    <w:p w14:paraId="780B68F7" w14:textId="77777777" w:rsidR="007862A2" w:rsidRDefault="007862A2" w:rsidP="007862A2">
      <w:pPr>
        <w:pStyle w:val="PL"/>
      </w:pPr>
      <w:r>
        <w:t xml:space="preserve">            </w:t>
      </w:r>
      <w:r>
        <w:rPr>
          <w:rFonts w:cs="Courier New"/>
          <w:szCs w:val="16"/>
        </w:rPr>
        <w:t>application/problem+json</w:t>
      </w:r>
      <w:r>
        <w:t>:</w:t>
      </w:r>
    </w:p>
    <w:p w14:paraId="68C6BA66" w14:textId="77777777" w:rsidR="007862A2" w:rsidRDefault="007862A2" w:rsidP="007862A2">
      <w:pPr>
        <w:pStyle w:val="PL"/>
      </w:pPr>
      <w:r>
        <w:t xml:space="preserve">              schema:</w:t>
      </w:r>
    </w:p>
    <w:p w14:paraId="2AE9BFD6" w14:textId="77777777" w:rsidR="007862A2" w:rsidRDefault="007862A2" w:rsidP="007862A2">
      <w:pPr>
        <w:pStyle w:val="PL"/>
      </w:pPr>
      <w:r>
        <w:t xml:space="preserve">                $ref: '#/components/schemas/</w:t>
      </w:r>
      <w:r>
        <w:rPr>
          <w:rStyle w:val="B1Char"/>
        </w:rPr>
        <w:t>ProblemDetailsAnalyticsInfo</w:t>
      </w:r>
      <w:r>
        <w:t>Request'</w:t>
      </w:r>
    </w:p>
    <w:p w14:paraId="647133FB" w14:textId="77777777" w:rsidR="007862A2" w:rsidRDefault="007862A2" w:rsidP="007862A2">
      <w:pPr>
        <w:pStyle w:val="PL"/>
      </w:pPr>
      <w:r>
        <w:t xml:space="preserve">        '502':</w:t>
      </w:r>
    </w:p>
    <w:p w14:paraId="65E409B6" w14:textId="77777777" w:rsidR="007862A2" w:rsidRDefault="007862A2" w:rsidP="007862A2">
      <w:pPr>
        <w:pStyle w:val="PL"/>
      </w:pPr>
      <w:r>
        <w:t xml:space="preserve">          $ref: 'TS29571_CommonData.yaml#/components/responses/502'</w:t>
      </w:r>
    </w:p>
    <w:p w14:paraId="785569AC" w14:textId="77777777" w:rsidR="007862A2" w:rsidRDefault="007862A2" w:rsidP="007862A2">
      <w:pPr>
        <w:pStyle w:val="PL"/>
      </w:pPr>
      <w:r>
        <w:t xml:space="preserve">        '503':</w:t>
      </w:r>
    </w:p>
    <w:p w14:paraId="7FC3F486" w14:textId="77777777" w:rsidR="007862A2" w:rsidRDefault="007862A2" w:rsidP="007862A2">
      <w:pPr>
        <w:pStyle w:val="PL"/>
      </w:pPr>
      <w:r>
        <w:t xml:space="preserve">          $ref: 'TS29571_CommonData.yaml#/components/responses/503'</w:t>
      </w:r>
    </w:p>
    <w:p w14:paraId="1B88C16D" w14:textId="77777777" w:rsidR="007862A2" w:rsidRDefault="007862A2" w:rsidP="007862A2">
      <w:pPr>
        <w:pStyle w:val="PL"/>
      </w:pPr>
      <w:r>
        <w:t xml:space="preserve">        default:</w:t>
      </w:r>
    </w:p>
    <w:p w14:paraId="6871391A" w14:textId="77777777" w:rsidR="007862A2" w:rsidRDefault="007862A2" w:rsidP="007862A2">
      <w:pPr>
        <w:pStyle w:val="PL"/>
      </w:pPr>
      <w:r>
        <w:t xml:space="preserve">          $ref: 'TS29571_CommonData.yaml#/components/responses/default'</w:t>
      </w:r>
    </w:p>
    <w:p w14:paraId="5AA897B9" w14:textId="77777777" w:rsidR="007862A2" w:rsidRDefault="007862A2" w:rsidP="007862A2">
      <w:pPr>
        <w:pStyle w:val="PL"/>
      </w:pPr>
    </w:p>
    <w:p w14:paraId="10D18906" w14:textId="77777777" w:rsidR="007862A2" w:rsidRDefault="007862A2" w:rsidP="007862A2">
      <w:pPr>
        <w:pStyle w:val="PL"/>
      </w:pPr>
      <w:r>
        <w:t xml:space="preserve">  /context:</w:t>
      </w:r>
    </w:p>
    <w:p w14:paraId="51826579" w14:textId="77777777" w:rsidR="007862A2" w:rsidRDefault="007862A2" w:rsidP="007862A2">
      <w:pPr>
        <w:pStyle w:val="PL"/>
      </w:pPr>
      <w:r>
        <w:t xml:space="preserve">    get:</w:t>
      </w:r>
    </w:p>
    <w:p w14:paraId="127BB8F0" w14:textId="77777777" w:rsidR="007862A2" w:rsidRDefault="007862A2" w:rsidP="007862A2">
      <w:pPr>
        <w:pStyle w:val="PL"/>
      </w:pPr>
      <w:r>
        <w:t xml:space="preserve">      summary: Get context information related to analytics subscriptions.</w:t>
      </w:r>
    </w:p>
    <w:p w14:paraId="2F728AD5" w14:textId="77777777" w:rsidR="007862A2" w:rsidRDefault="007862A2" w:rsidP="007862A2">
      <w:pPr>
        <w:pStyle w:val="PL"/>
      </w:pPr>
      <w:r>
        <w:t xml:space="preserve">      operationId: GetNwdafContext</w:t>
      </w:r>
    </w:p>
    <w:p w14:paraId="5844D755" w14:textId="77777777" w:rsidR="007862A2" w:rsidRDefault="007862A2" w:rsidP="007862A2">
      <w:pPr>
        <w:pStyle w:val="PL"/>
      </w:pPr>
      <w:r>
        <w:t xml:space="preserve">      tags:</w:t>
      </w:r>
    </w:p>
    <w:p w14:paraId="6405BC6E" w14:textId="77777777" w:rsidR="007862A2" w:rsidRDefault="007862A2" w:rsidP="007862A2">
      <w:pPr>
        <w:pStyle w:val="PL"/>
      </w:pPr>
      <w:r>
        <w:t xml:space="preserve">        - NWDAF Context (Document)</w:t>
      </w:r>
    </w:p>
    <w:p w14:paraId="4B1ABF06" w14:textId="77777777" w:rsidR="007862A2" w:rsidRDefault="007862A2" w:rsidP="007862A2">
      <w:pPr>
        <w:pStyle w:val="PL"/>
      </w:pPr>
      <w:r>
        <w:t xml:space="preserve">      security:</w:t>
      </w:r>
    </w:p>
    <w:p w14:paraId="5C1F14B5" w14:textId="77777777" w:rsidR="007862A2" w:rsidRDefault="007862A2" w:rsidP="007862A2">
      <w:pPr>
        <w:pStyle w:val="PL"/>
      </w:pPr>
      <w:r>
        <w:t xml:space="preserve">        - {}</w:t>
      </w:r>
    </w:p>
    <w:p w14:paraId="2F6A4131" w14:textId="77777777" w:rsidR="007862A2" w:rsidRDefault="007862A2" w:rsidP="007862A2">
      <w:pPr>
        <w:pStyle w:val="PL"/>
      </w:pPr>
      <w:r>
        <w:t xml:space="preserve">        - oAuth2ClientCredentials:</w:t>
      </w:r>
    </w:p>
    <w:p w14:paraId="1A53BBB0" w14:textId="77777777" w:rsidR="007862A2" w:rsidRDefault="007862A2" w:rsidP="007862A2">
      <w:pPr>
        <w:pStyle w:val="PL"/>
      </w:pPr>
      <w:r>
        <w:t xml:space="preserve">          - nnwdaf-analyticsinfo</w:t>
      </w:r>
    </w:p>
    <w:p w14:paraId="1953FBF9" w14:textId="77777777" w:rsidR="007862A2" w:rsidRDefault="007862A2" w:rsidP="007862A2">
      <w:pPr>
        <w:pStyle w:val="PL"/>
      </w:pPr>
      <w:r>
        <w:t xml:space="preserve">        - oAuth2ClientCredentials:</w:t>
      </w:r>
    </w:p>
    <w:p w14:paraId="45F6394D" w14:textId="77777777" w:rsidR="007862A2" w:rsidRDefault="007862A2" w:rsidP="007862A2">
      <w:pPr>
        <w:pStyle w:val="PL"/>
      </w:pPr>
      <w:r>
        <w:t xml:space="preserve">          - nnwdaf-analyticsinfo</w:t>
      </w:r>
    </w:p>
    <w:p w14:paraId="12012182" w14:textId="77777777" w:rsidR="007862A2" w:rsidRDefault="007862A2" w:rsidP="007862A2">
      <w:pPr>
        <w:pStyle w:val="PL"/>
      </w:pPr>
      <w:r>
        <w:t xml:space="preserve">          - nnwdaf-analyticsinfo:contexttransfer</w:t>
      </w:r>
    </w:p>
    <w:p w14:paraId="506F263B" w14:textId="77777777" w:rsidR="007862A2" w:rsidRDefault="007862A2" w:rsidP="007862A2">
      <w:pPr>
        <w:pStyle w:val="PL"/>
      </w:pPr>
      <w:r>
        <w:t xml:space="preserve">      parameters:</w:t>
      </w:r>
    </w:p>
    <w:p w14:paraId="531A9381" w14:textId="77777777" w:rsidR="007862A2" w:rsidRDefault="007862A2" w:rsidP="007862A2">
      <w:pPr>
        <w:pStyle w:val="PL"/>
      </w:pPr>
      <w:r>
        <w:t xml:space="preserve">        - name: context-ids</w:t>
      </w:r>
    </w:p>
    <w:p w14:paraId="3D998F2F" w14:textId="77777777" w:rsidR="007862A2" w:rsidRDefault="007862A2" w:rsidP="007862A2">
      <w:pPr>
        <w:pStyle w:val="PL"/>
      </w:pPr>
      <w:r>
        <w:t xml:space="preserve">          in: query</w:t>
      </w:r>
    </w:p>
    <w:p w14:paraId="4716D750" w14:textId="77777777" w:rsidR="007862A2" w:rsidRDefault="007862A2" w:rsidP="007862A2">
      <w:pPr>
        <w:pStyle w:val="PL"/>
      </w:pPr>
      <w:r>
        <w:t xml:space="preserve">          description: Identifies specific context information related to analytics subscriptions.</w:t>
      </w:r>
    </w:p>
    <w:p w14:paraId="524EFEB7" w14:textId="77777777" w:rsidR="007862A2" w:rsidRDefault="007862A2" w:rsidP="007862A2">
      <w:pPr>
        <w:pStyle w:val="PL"/>
      </w:pPr>
      <w:r>
        <w:t xml:space="preserve">          required: true</w:t>
      </w:r>
    </w:p>
    <w:p w14:paraId="3B8E867A" w14:textId="77777777" w:rsidR="007862A2" w:rsidRDefault="007862A2" w:rsidP="007862A2">
      <w:pPr>
        <w:pStyle w:val="PL"/>
      </w:pPr>
      <w:r>
        <w:t xml:space="preserve">          content:</w:t>
      </w:r>
    </w:p>
    <w:p w14:paraId="65C9C18C" w14:textId="77777777" w:rsidR="007862A2" w:rsidRDefault="007862A2" w:rsidP="007862A2">
      <w:pPr>
        <w:pStyle w:val="PL"/>
      </w:pPr>
      <w:r>
        <w:t xml:space="preserve">            application/json:</w:t>
      </w:r>
    </w:p>
    <w:p w14:paraId="0812FFCA" w14:textId="77777777" w:rsidR="007862A2" w:rsidRDefault="007862A2" w:rsidP="007862A2">
      <w:pPr>
        <w:pStyle w:val="PL"/>
      </w:pPr>
      <w:r>
        <w:t xml:space="preserve">              schema:</w:t>
      </w:r>
    </w:p>
    <w:p w14:paraId="5BEB9962" w14:textId="77777777" w:rsidR="007862A2" w:rsidRDefault="007862A2" w:rsidP="007862A2">
      <w:pPr>
        <w:pStyle w:val="PL"/>
      </w:pPr>
      <w:r>
        <w:t xml:space="preserve">                $ref: '#/components/schemas/ContextIdList'</w:t>
      </w:r>
    </w:p>
    <w:p w14:paraId="78683CDC" w14:textId="77777777" w:rsidR="007862A2" w:rsidRDefault="007862A2" w:rsidP="007862A2">
      <w:pPr>
        <w:pStyle w:val="PL"/>
      </w:pPr>
      <w:r>
        <w:t xml:space="preserve">        - name: req-context</w:t>
      </w:r>
    </w:p>
    <w:p w14:paraId="51F3B237" w14:textId="77777777" w:rsidR="007862A2" w:rsidRDefault="007862A2" w:rsidP="007862A2">
      <w:pPr>
        <w:pStyle w:val="PL"/>
      </w:pPr>
      <w:r>
        <w:t xml:space="preserve">          in: query</w:t>
      </w:r>
    </w:p>
    <w:p w14:paraId="0D08D036" w14:textId="77777777" w:rsidR="007862A2" w:rsidRDefault="007862A2" w:rsidP="007862A2">
      <w:pPr>
        <w:pStyle w:val="PL"/>
      </w:pPr>
      <w:r>
        <w:t xml:space="preserve">          description: &gt;</w:t>
      </w:r>
    </w:p>
    <w:p w14:paraId="26284E22" w14:textId="77777777" w:rsidR="007862A2" w:rsidRDefault="007862A2" w:rsidP="007862A2">
      <w:pPr>
        <w:pStyle w:val="PL"/>
        <w:rPr>
          <w:lang w:eastAsia="ko-KR"/>
        </w:rPr>
      </w:pPr>
      <w:r>
        <w:t xml:space="preserve">            Identfies the type(s) </w:t>
      </w:r>
      <w:r>
        <w:rPr>
          <w:lang w:eastAsia="ko-KR"/>
        </w:rPr>
        <w:t>of the analytics context information the consumer wishes</w:t>
      </w:r>
    </w:p>
    <w:p w14:paraId="734A2FC3" w14:textId="77777777" w:rsidR="007862A2" w:rsidRDefault="007862A2" w:rsidP="007862A2">
      <w:pPr>
        <w:pStyle w:val="PL"/>
      </w:pPr>
      <w:r>
        <w:rPr>
          <w:lang w:eastAsia="ko-KR"/>
        </w:rPr>
        <w:t xml:space="preserve">            to receive.</w:t>
      </w:r>
    </w:p>
    <w:p w14:paraId="00173BA3" w14:textId="77777777" w:rsidR="007862A2" w:rsidRDefault="007862A2" w:rsidP="007862A2">
      <w:pPr>
        <w:pStyle w:val="PL"/>
      </w:pPr>
      <w:r>
        <w:t xml:space="preserve">          required: false</w:t>
      </w:r>
    </w:p>
    <w:p w14:paraId="16578FFE" w14:textId="77777777" w:rsidR="007862A2" w:rsidRDefault="007862A2" w:rsidP="007862A2">
      <w:pPr>
        <w:pStyle w:val="PL"/>
      </w:pPr>
      <w:r>
        <w:t xml:space="preserve">          content:</w:t>
      </w:r>
    </w:p>
    <w:p w14:paraId="383BCA75" w14:textId="77777777" w:rsidR="007862A2" w:rsidRDefault="007862A2" w:rsidP="007862A2">
      <w:pPr>
        <w:pStyle w:val="PL"/>
      </w:pPr>
      <w:r>
        <w:t xml:space="preserve">            application/json:</w:t>
      </w:r>
    </w:p>
    <w:p w14:paraId="68D2C110" w14:textId="77777777" w:rsidR="007862A2" w:rsidRDefault="007862A2" w:rsidP="007862A2">
      <w:pPr>
        <w:pStyle w:val="PL"/>
      </w:pPr>
      <w:r>
        <w:t xml:space="preserve">              schema:</w:t>
      </w:r>
    </w:p>
    <w:p w14:paraId="78457347" w14:textId="77777777" w:rsidR="007862A2" w:rsidRDefault="007862A2" w:rsidP="007862A2">
      <w:pPr>
        <w:pStyle w:val="PL"/>
      </w:pPr>
      <w:r>
        <w:t xml:space="preserve">                $ref: '#/components/schemas/RequestedContext'</w:t>
      </w:r>
    </w:p>
    <w:p w14:paraId="1B645D49" w14:textId="77777777" w:rsidR="007862A2" w:rsidRDefault="007862A2" w:rsidP="007862A2">
      <w:pPr>
        <w:pStyle w:val="PL"/>
      </w:pPr>
      <w:r>
        <w:t xml:space="preserve">        - name: supported-features</w:t>
      </w:r>
    </w:p>
    <w:p w14:paraId="745B81F9" w14:textId="77777777" w:rsidR="007862A2" w:rsidRDefault="007862A2" w:rsidP="007862A2">
      <w:pPr>
        <w:pStyle w:val="PL"/>
      </w:pPr>
      <w:r>
        <w:t xml:space="preserve">          in: query</w:t>
      </w:r>
    </w:p>
    <w:p w14:paraId="75962018" w14:textId="77777777" w:rsidR="007862A2" w:rsidRDefault="007862A2" w:rsidP="007862A2">
      <w:pPr>
        <w:pStyle w:val="PL"/>
      </w:pPr>
      <w:r>
        <w:t xml:space="preserve">          description: The features supported by the NF service consumer.</w:t>
      </w:r>
    </w:p>
    <w:p w14:paraId="1B5A35A0" w14:textId="77777777" w:rsidR="007862A2" w:rsidRDefault="007862A2" w:rsidP="007862A2">
      <w:pPr>
        <w:pStyle w:val="PL"/>
      </w:pPr>
      <w:r>
        <w:t xml:space="preserve">          schema:</w:t>
      </w:r>
    </w:p>
    <w:p w14:paraId="6EC80D2B" w14:textId="77777777" w:rsidR="007862A2" w:rsidRDefault="007862A2" w:rsidP="007862A2">
      <w:pPr>
        <w:pStyle w:val="PL"/>
      </w:pPr>
      <w:r>
        <w:t xml:space="preserve">            $ref: 'TS29571_CommonData.yaml#/components/schemas/SupportedFeatures'</w:t>
      </w:r>
    </w:p>
    <w:p w14:paraId="0BAE26DB" w14:textId="77777777" w:rsidR="007862A2" w:rsidRDefault="007862A2" w:rsidP="007862A2">
      <w:pPr>
        <w:pStyle w:val="PL"/>
      </w:pPr>
      <w:r>
        <w:t xml:space="preserve">          required: false</w:t>
      </w:r>
    </w:p>
    <w:p w14:paraId="33155954" w14:textId="77777777" w:rsidR="007862A2" w:rsidRDefault="007862A2" w:rsidP="007862A2">
      <w:pPr>
        <w:pStyle w:val="PL"/>
      </w:pPr>
      <w:r>
        <w:t xml:space="preserve">      responses:</w:t>
      </w:r>
    </w:p>
    <w:p w14:paraId="5510C714" w14:textId="77777777" w:rsidR="007862A2" w:rsidRDefault="007862A2" w:rsidP="007862A2">
      <w:pPr>
        <w:pStyle w:val="PL"/>
      </w:pPr>
      <w:r>
        <w:t xml:space="preserve">        '200':</w:t>
      </w:r>
    </w:p>
    <w:p w14:paraId="7FB222C1" w14:textId="77777777" w:rsidR="007862A2" w:rsidRDefault="007862A2" w:rsidP="007862A2">
      <w:pPr>
        <w:pStyle w:val="PL"/>
      </w:pPr>
      <w:r>
        <w:t xml:space="preserve">          description: &gt;</w:t>
      </w:r>
    </w:p>
    <w:p w14:paraId="6FEC33CE" w14:textId="77777777" w:rsidR="007862A2" w:rsidRDefault="007862A2" w:rsidP="007862A2">
      <w:pPr>
        <w:pStyle w:val="PL"/>
      </w:pPr>
      <w:r>
        <w:t xml:space="preserve">            Contains context information related to analytics subscriptions corresponding with</w:t>
      </w:r>
    </w:p>
    <w:p w14:paraId="538C630A" w14:textId="77777777" w:rsidR="007862A2" w:rsidRDefault="007862A2" w:rsidP="007862A2">
      <w:pPr>
        <w:pStyle w:val="PL"/>
      </w:pPr>
      <w:r>
        <w:t xml:space="preserve">            one or more context identifiers.</w:t>
      </w:r>
    </w:p>
    <w:p w14:paraId="4BC0648D" w14:textId="77777777" w:rsidR="007862A2" w:rsidRDefault="007862A2" w:rsidP="007862A2">
      <w:pPr>
        <w:pStyle w:val="PL"/>
      </w:pPr>
      <w:r>
        <w:t xml:space="preserve">          content:</w:t>
      </w:r>
    </w:p>
    <w:p w14:paraId="2EDE60F9" w14:textId="77777777" w:rsidR="007862A2" w:rsidRDefault="007862A2" w:rsidP="007862A2">
      <w:pPr>
        <w:pStyle w:val="PL"/>
      </w:pPr>
      <w:r>
        <w:t xml:space="preserve">            application/json:</w:t>
      </w:r>
    </w:p>
    <w:p w14:paraId="243AEB94" w14:textId="77777777" w:rsidR="007862A2" w:rsidRDefault="007862A2" w:rsidP="007862A2">
      <w:pPr>
        <w:pStyle w:val="PL"/>
      </w:pPr>
      <w:r>
        <w:t xml:space="preserve">              schema:</w:t>
      </w:r>
    </w:p>
    <w:p w14:paraId="036C4C4F" w14:textId="77777777" w:rsidR="007862A2" w:rsidRDefault="007862A2" w:rsidP="007862A2">
      <w:pPr>
        <w:pStyle w:val="PL"/>
      </w:pPr>
      <w:r>
        <w:t xml:space="preserve">                $ref: '#/components/schemas/ContextData'</w:t>
      </w:r>
    </w:p>
    <w:p w14:paraId="6CB8275F" w14:textId="77777777" w:rsidR="007862A2" w:rsidRDefault="007862A2" w:rsidP="007862A2">
      <w:pPr>
        <w:pStyle w:val="PL"/>
        <w:rPr>
          <w:rFonts w:eastAsia="等线"/>
        </w:rPr>
      </w:pPr>
      <w:r>
        <w:rPr>
          <w:rFonts w:eastAsia="等线"/>
        </w:rPr>
        <w:t xml:space="preserve">        '204':</w:t>
      </w:r>
    </w:p>
    <w:p w14:paraId="6FCB5BF3" w14:textId="77777777" w:rsidR="007862A2" w:rsidRDefault="007862A2" w:rsidP="007862A2">
      <w:pPr>
        <w:pStyle w:val="PL"/>
        <w:rPr>
          <w:rFonts w:eastAsia="等线"/>
        </w:rPr>
      </w:pPr>
      <w:r>
        <w:rPr>
          <w:rFonts w:eastAsia="等线"/>
        </w:rPr>
        <w:t xml:space="preserve">          description: &gt;</w:t>
      </w:r>
    </w:p>
    <w:p w14:paraId="67935D9B" w14:textId="77777777" w:rsidR="007862A2" w:rsidRDefault="007862A2" w:rsidP="007862A2">
      <w:pPr>
        <w:pStyle w:val="PL"/>
        <w:rPr>
          <w:rFonts w:eastAsia="等线"/>
        </w:rPr>
      </w:pPr>
      <w:r>
        <w:t xml:space="preserve">            </w:t>
      </w:r>
      <w:r>
        <w:rPr>
          <w:rFonts w:eastAsia="等线"/>
        </w:rPr>
        <w:t>No Content. No context information could be retrieved for the requested context</w:t>
      </w:r>
    </w:p>
    <w:p w14:paraId="1B7AE58B" w14:textId="77777777" w:rsidR="007862A2" w:rsidRDefault="007862A2" w:rsidP="007862A2">
      <w:pPr>
        <w:pStyle w:val="PL"/>
        <w:rPr>
          <w:rFonts w:eastAsia="等线"/>
        </w:rPr>
      </w:pPr>
      <w:r>
        <w:t xml:space="preserve">            </w:t>
      </w:r>
      <w:r>
        <w:rPr>
          <w:rFonts w:eastAsia="等线"/>
        </w:rPr>
        <w:t>Identifiers.</w:t>
      </w:r>
    </w:p>
    <w:p w14:paraId="54C4BDFE" w14:textId="77777777" w:rsidR="004D166F" w:rsidRDefault="004D166F" w:rsidP="004D166F">
      <w:pPr>
        <w:pStyle w:val="PL"/>
      </w:pPr>
      <w:r>
        <w:t xml:space="preserve">        '307':</w:t>
      </w:r>
    </w:p>
    <w:p w14:paraId="1AB99177" w14:textId="77777777" w:rsidR="004D166F" w:rsidRDefault="004D166F" w:rsidP="004D166F">
      <w:pPr>
        <w:pStyle w:val="PL"/>
      </w:pPr>
      <w:r>
        <w:t xml:space="preserve">          $ref: 'TS29571_CommonData.yaml#/components/responses/307'</w:t>
      </w:r>
    </w:p>
    <w:p w14:paraId="5C0E540D" w14:textId="77777777" w:rsidR="004D166F" w:rsidRDefault="004D166F" w:rsidP="004D166F">
      <w:pPr>
        <w:pStyle w:val="PL"/>
      </w:pPr>
      <w:r>
        <w:lastRenderedPageBreak/>
        <w:t xml:space="preserve">        '308':</w:t>
      </w:r>
    </w:p>
    <w:p w14:paraId="2CBB5E0D" w14:textId="77777777" w:rsidR="004D166F" w:rsidRDefault="004D166F" w:rsidP="004D166F">
      <w:pPr>
        <w:pStyle w:val="PL"/>
      </w:pPr>
      <w:r>
        <w:t xml:space="preserve">          $ref: 'TS29571_CommonData.yaml#/components/responses/308'</w:t>
      </w:r>
    </w:p>
    <w:p w14:paraId="2B13DEB5" w14:textId="77777777" w:rsidR="007862A2" w:rsidRDefault="007862A2" w:rsidP="007862A2">
      <w:pPr>
        <w:pStyle w:val="PL"/>
      </w:pPr>
      <w:r>
        <w:t xml:space="preserve">        '400':</w:t>
      </w:r>
    </w:p>
    <w:p w14:paraId="34539242" w14:textId="77777777" w:rsidR="007862A2" w:rsidRDefault="007862A2" w:rsidP="007862A2">
      <w:pPr>
        <w:pStyle w:val="PL"/>
      </w:pPr>
      <w:r>
        <w:t xml:space="preserve">          $ref: 'TS29571_CommonData.yaml#/components/responses/400'</w:t>
      </w:r>
    </w:p>
    <w:p w14:paraId="051EB2EA" w14:textId="77777777" w:rsidR="007862A2" w:rsidRDefault="007862A2" w:rsidP="007862A2">
      <w:pPr>
        <w:pStyle w:val="PL"/>
      </w:pPr>
      <w:r>
        <w:t xml:space="preserve">        '401':</w:t>
      </w:r>
    </w:p>
    <w:p w14:paraId="05C272AF" w14:textId="77777777" w:rsidR="007862A2" w:rsidRDefault="007862A2" w:rsidP="007862A2">
      <w:pPr>
        <w:pStyle w:val="PL"/>
      </w:pPr>
      <w:r>
        <w:t xml:space="preserve">          $ref: 'TS29571_CommonData.yaml#/components/responses/401'</w:t>
      </w:r>
    </w:p>
    <w:p w14:paraId="0FB6557B" w14:textId="77777777" w:rsidR="007862A2" w:rsidRDefault="007862A2" w:rsidP="007862A2">
      <w:pPr>
        <w:pStyle w:val="PL"/>
        <w:rPr>
          <w:rFonts w:eastAsia="等线"/>
        </w:rPr>
      </w:pPr>
      <w:r>
        <w:rPr>
          <w:rFonts w:eastAsia="等线"/>
        </w:rPr>
        <w:t xml:space="preserve">        '403':</w:t>
      </w:r>
    </w:p>
    <w:p w14:paraId="60FA021C" w14:textId="77777777" w:rsidR="007862A2" w:rsidRDefault="007862A2" w:rsidP="007862A2">
      <w:pPr>
        <w:pStyle w:val="PL"/>
        <w:rPr>
          <w:rFonts w:eastAsia="等线"/>
        </w:rPr>
      </w:pPr>
      <w:r>
        <w:rPr>
          <w:rFonts w:eastAsia="等线"/>
        </w:rPr>
        <w:t xml:space="preserve">          $ref: 'TS29571_CommonData.yaml#/components/responses/403'</w:t>
      </w:r>
    </w:p>
    <w:p w14:paraId="722FCF60" w14:textId="77777777" w:rsidR="007862A2" w:rsidRDefault="007862A2" w:rsidP="007862A2">
      <w:pPr>
        <w:pStyle w:val="PL"/>
      </w:pPr>
      <w:r>
        <w:t xml:space="preserve">        '404':</w:t>
      </w:r>
    </w:p>
    <w:p w14:paraId="2F338299" w14:textId="77777777" w:rsidR="007862A2" w:rsidRDefault="007862A2" w:rsidP="007862A2">
      <w:pPr>
        <w:pStyle w:val="PL"/>
      </w:pPr>
      <w:r>
        <w:t xml:space="preserve">          </w:t>
      </w:r>
      <w:r>
        <w:rPr>
          <w:rFonts w:eastAsia="等线"/>
        </w:rPr>
        <w:t>$ref: 'TS29571_CommonData.yaml#/components/responses/404'</w:t>
      </w:r>
    </w:p>
    <w:p w14:paraId="6625F0A3" w14:textId="77777777" w:rsidR="007862A2" w:rsidRDefault="007862A2" w:rsidP="007862A2">
      <w:pPr>
        <w:pStyle w:val="PL"/>
        <w:rPr>
          <w:rFonts w:eastAsia="等线"/>
        </w:rPr>
      </w:pPr>
      <w:r>
        <w:rPr>
          <w:rFonts w:eastAsia="等线"/>
        </w:rPr>
        <w:t xml:space="preserve">        '406':</w:t>
      </w:r>
    </w:p>
    <w:p w14:paraId="588D7AE0" w14:textId="77777777" w:rsidR="007862A2" w:rsidRDefault="007862A2" w:rsidP="007862A2">
      <w:pPr>
        <w:pStyle w:val="PL"/>
        <w:rPr>
          <w:rFonts w:eastAsia="等线"/>
        </w:rPr>
      </w:pPr>
      <w:r>
        <w:rPr>
          <w:rFonts w:eastAsia="等线"/>
        </w:rPr>
        <w:t xml:space="preserve">          $ref: 'TS29571_CommonData.yaml#/components/responses/406'</w:t>
      </w:r>
    </w:p>
    <w:p w14:paraId="46AFBF29" w14:textId="77777777" w:rsidR="007862A2" w:rsidRDefault="007862A2" w:rsidP="007862A2">
      <w:pPr>
        <w:pStyle w:val="PL"/>
      </w:pPr>
      <w:r>
        <w:t xml:space="preserve">        '414':</w:t>
      </w:r>
    </w:p>
    <w:p w14:paraId="5F45754A" w14:textId="77777777" w:rsidR="007862A2" w:rsidRDefault="007862A2" w:rsidP="007862A2">
      <w:pPr>
        <w:pStyle w:val="PL"/>
      </w:pPr>
      <w:r>
        <w:t xml:space="preserve">          $ref: 'TS29571_CommonData.yaml#/components/responses/414'</w:t>
      </w:r>
    </w:p>
    <w:p w14:paraId="06B17938" w14:textId="77777777" w:rsidR="007862A2" w:rsidRDefault="007862A2" w:rsidP="007862A2">
      <w:pPr>
        <w:pStyle w:val="PL"/>
        <w:rPr>
          <w:rFonts w:eastAsia="等线"/>
        </w:rPr>
      </w:pPr>
      <w:r>
        <w:rPr>
          <w:rFonts w:eastAsia="等线"/>
        </w:rPr>
        <w:t xml:space="preserve">        '429':</w:t>
      </w:r>
    </w:p>
    <w:p w14:paraId="61840AF2" w14:textId="77777777" w:rsidR="007862A2" w:rsidRDefault="007862A2" w:rsidP="007862A2">
      <w:pPr>
        <w:pStyle w:val="PL"/>
        <w:rPr>
          <w:rFonts w:eastAsia="等线"/>
        </w:rPr>
      </w:pPr>
      <w:r>
        <w:rPr>
          <w:rFonts w:eastAsia="等线"/>
        </w:rPr>
        <w:t xml:space="preserve">          $ref: 'TS29571_CommonData.yaml#/components/responses/429'</w:t>
      </w:r>
    </w:p>
    <w:p w14:paraId="21A4C932" w14:textId="77777777" w:rsidR="007862A2" w:rsidRDefault="007862A2" w:rsidP="007862A2">
      <w:pPr>
        <w:pStyle w:val="PL"/>
      </w:pPr>
      <w:r>
        <w:t xml:space="preserve">        '500':</w:t>
      </w:r>
    </w:p>
    <w:p w14:paraId="49C7507D" w14:textId="77777777" w:rsidR="007862A2" w:rsidRDefault="007862A2" w:rsidP="007862A2">
      <w:pPr>
        <w:pStyle w:val="PL"/>
      </w:pPr>
      <w:r>
        <w:t xml:space="preserve">          $ref: 'TS29571_CommonData.yaml#/components/responses/500'</w:t>
      </w:r>
    </w:p>
    <w:p w14:paraId="7E67B6A1" w14:textId="77777777" w:rsidR="007862A2" w:rsidRDefault="007862A2" w:rsidP="007862A2">
      <w:pPr>
        <w:pStyle w:val="PL"/>
      </w:pPr>
      <w:r>
        <w:t xml:space="preserve">        '502':</w:t>
      </w:r>
    </w:p>
    <w:p w14:paraId="6BD63BEA" w14:textId="77777777" w:rsidR="007862A2" w:rsidRDefault="007862A2" w:rsidP="007862A2">
      <w:pPr>
        <w:pStyle w:val="PL"/>
      </w:pPr>
      <w:r>
        <w:t xml:space="preserve">          $ref: 'TS29571_CommonData.yaml#/components/responses/502'</w:t>
      </w:r>
    </w:p>
    <w:p w14:paraId="14C582E9" w14:textId="77777777" w:rsidR="007862A2" w:rsidRDefault="007862A2" w:rsidP="007862A2">
      <w:pPr>
        <w:pStyle w:val="PL"/>
      </w:pPr>
      <w:r>
        <w:t xml:space="preserve">        '503':</w:t>
      </w:r>
    </w:p>
    <w:p w14:paraId="783BE4B5" w14:textId="77777777" w:rsidR="007862A2" w:rsidRDefault="007862A2" w:rsidP="007862A2">
      <w:pPr>
        <w:pStyle w:val="PL"/>
      </w:pPr>
      <w:r>
        <w:t xml:space="preserve">          $ref: 'TS29571_CommonData.yaml#/components/responses/503'</w:t>
      </w:r>
    </w:p>
    <w:p w14:paraId="2CC1D935" w14:textId="77777777" w:rsidR="007862A2" w:rsidRDefault="007862A2" w:rsidP="007862A2">
      <w:pPr>
        <w:pStyle w:val="PL"/>
      </w:pPr>
      <w:r>
        <w:t xml:space="preserve">        default:</w:t>
      </w:r>
    </w:p>
    <w:p w14:paraId="23B69DFF" w14:textId="77777777" w:rsidR="007862A2" w:rsidRDefault="007862A2" w:rsidP="007862A2">
      <w:pPr>
        <w:pStyle w:val="PL"/>
      </w:pPr>
      <w:r>
        <w:t xml:space="preserve">          $ref: 'TS29571_CommonData.yaml#/components/responses/default'</w:t>
      </w:r>
    </w:p>
    <w:p w14:paraId="2FD80E03" w14:textId="77777777" w:rsidR="007862A2" w:rsidRDefault="007862A2" w:rsidP="007862A2">
      <w:pPr>
        <w:pStyle w:val="PL"/>
      </w:pPr>
    </w:p>
    <w:p w14:paraId="0E9E62C8" w14:textId="77777777" w:rsidR="007862A2" w:rsidRDefault="007862A2" w:rsidP="007862A2">
      <w:pPr>
        <w:pStyle w:val="PL"/>
      </w:pPr>
      <w:r>
        <w:t>components:</w:t>
      </w:r>
    </w:p>
    <w:p w14:paraId="6D405664" w14:textId="77777777" w:rsidR="007862A2" w:rsidRDefault="007862A2" w:rsidP="007862A2">
      <w:pPr>
        <w:pStyle w:val="PL"/>
        <w:rPr>
          <w:rFonts w:eastAsia="等线"/>
          <w:lang w:val="en-US"/>
        </w:rPr>
      </w:pPr>
    </w:p>
    <w:p w14:paraId="583F1BF5" w14:textId="77777777" w:rsidR="007862A2" w:rsidRDefault="007862A2" w:rsidP="007862A2">
      <w:pPr>
        <w:pStyle w:val="PL"/>
        <w:rPr>
          <w:rFonts w:eastAsia="等线"/>
          <w:lang w:val="en-US"/>
        </w:rPr>
      </w:pPr>
      <w:r>
        <w:rPr>
          <w:rFonts w:eastAsia="等线"/>
          <w:lang w:val="en-US"/>
        </w:rPr>
        <w:t xml:space="preserve">  securitySchemes:</w:t>
      </w:r>
    </w:p>
    <w:p w14:paraId="082079EC" w14:textId="77777777" w:rsidR="007862A2" w:rsidRDefault="007862A2" w:rsidP="007862A2">
      <w:pPr>
        <w:pStyle w:val="PL"/>
        <w:rPr>
          <w:rFonts w:eastAsia="等线"/>
          <w:lang w:val="en-US"/>
        </w:rPr>
      </w:pPr>
      <w:r>
        <w:rPr>
          <w:rFonts w:eastAsia="等线"/>
          <w:lang w:val="en-US"/>
        </w:rPr>
        <w:t xml:space="preserve">    oAuth2ClientCredentials:</w:t>
      </w:r>
    </w:p>
    <w:p w14:paraId="60F20622" w14:textId="77777777" w:rsidR="007862A2" w:rsidRDefault="007862A2" w:rsidP="007862A2">
      <w:pPr>
        <w:pStyle w:val="PL"/>
        <w:rPr>
          <w:rFonts w:eastAsia="等线"/>
          <w:lang w:val="en-US"/>
        </w:rPr>
      </w:pPr>
      <w:r>
        <w:rPr>
          <w:rFonts w:eastAsia="等线"/>
          <w:lang w:val="en-US"/>
        </w:rPr>
        <w:t xml:space="preserve">      type: oauth2</w:t>
      </w:r>
    </w:p>
    <w:p w14:paraId="3FE2376B" w14:textId="77777777" w:rsidR="007862A2" w:rsidRDefault="007862A2" w:rsidP="007862A2">
      <w:pPr>
        <w:pStyle w:val="PL"/>
        <w:rPr>
          <w:rFonts w:eastAsia="等线"/>
          <w:lang w:val="en-US"/>
        </w:rPr>
      </w:pPr>
      <w:r>
        <w:rPr>
          <w:rFonts w:eastAsia="等线"/>
          <w:lang w:val="en-US"/>
        </w:rPr>
        <w:t xml:space="preserve">      flows:</w:t>
      </w:r>
    </w:p>
    <w:p w14:paraId="6474E161" w14:textId="77777777" w:rsidR="007862A2" w:rsidRDefault="007862A2" w:rsidP="007862A2">
      <w:pPr>
        <w:pStyle w:val="PL"/>
        <w:rPr>
          <w:rFonts w:eastAsia="等线"/>
          <w:lang w:val="en-US"/>
        </w:rPr>
      </w:pPr>
      <w:r>
        <w:rPr>
          <w:rFonts w:eastAsia="等线"/>
          <w:lang w:val="en-US"/>
        </w:rPr>
        <w:t xml:space="preserve">        clientCredentials:</w:t>
      </w:r>
    </w:p>
    <w:p w14:paraId="72F73A73" w14:textId="77777777" w:rsidR="007862A2" w:rsidRDefault="007862A2" w:rsidP="007862A2">
      <w:pPr>
        <w:pStyle w:val="PL"/>
        <w:rPr>
          <w:rFonts w:eastAsia="等线"/>
          <w:lang w:val="en-US"/>
        </w:rPr>
      </w:pPr>
      <w:r>
        <w:rPr>
          <w:rFonts w:eastAsia="等线"/>
          <w:lang w:val="en-US"/>
        </w:rPr>
        <w:t xml:space="preserve">          tokenUrl: '{nrfApiRoot}/oauth2/token'</w:t>
      </w:r>
    </w:p>
    <w:p w14:paraId="118A436B" w14:textId="77777777" w:rsidR="007862A2" w:rsidRDefault="007862A2" w:rsidP="007862A2">
      <w:pPr>
        <w:pStyle w:val="PL"/>
        <w:rPr>
          <w:rFonts w:eastAsia="等线"/>
          <w:lang w:val="en-US"/>
        </w:rPr>
      </w:pPr>
      <w:r>
        <w:rPr>
          <w:rFonts w:eastAsia="等线"/>
          <w:lang w:val="en-US"/>
        </w:rPr>
        <w:t xml:space="preserve">          scopes:</w:t>
      </w:r>
    </w:p>
    <w:p w14:paraId="00491A3F" w14:textId="77777777" w:rsidR="007862A2" w:rsidRDefault="007862A2" w:rsidP="007862A2">
      <w:pPr>
        <w:pStyle w:val="PL"/>
        <w:rPr>
          <w:rFonts w:eastAsia="等线"/>
          <w:lang w:val="en-US"/>
        </w:rPr>
      </w:pPr>
      <w:r>
        <w:rPr>
          <w:rFonts w:eastAsia="等线"/>
          <w:lang w:val="en-US"/>
        </w:rPr>
        <w:t xml:space="preserve">            </w:t>
      </w:r>
      <w:r>
        <w:rPr>
          <w:rFonts w:eastAsia="等线"/>
        </w:rPr>
        <w:t>nnwdaf-analyticsinfo</w:t>
      </w:r>
      <w:r>
        <w:rPr>
          <w:rFonts w:eastAsia="等线"/>
          <w:lang w:val="en-US"/>
        </w:rPr>
        <w:t xml:space="preserve">: Access to the </w:t>
      </w:r>
      <w:r>
        <w:rPr>
          <w:rFonts w:eastAsia="等线"/>
        </w:rPr>
        <w:t xml:space="preserve">Nnwdaf_AnalyticsInfo </w:t>
      </w:r>
      <w:r>
        <w:rPr>
          <w:rFonts w:eastAsia="等线"/>
          <w:lang w:val="en-US"/>
        </w:rPr>
        <w:t>API</w:t>
      </w:r>
    </w:p>
    <w:p w14:paraId="0F80831C" w14:textId="77777777" w:rsidR="007862A2" w:rsidRDefault="007862A2" w:rsidP="007862A2">
      <w:pPr>
        <w:pStyle w:val="PL"/>
      </w:pPr>
      <w:r>
        <w:t xml:space="preserve">            </w:t>
      </w:r>
      <w:r>
        <w:rPr>
          <w:rFonts w:eastAsia="等线"/>
        </w:rPr>
        <w:t>nnwdaf-analyticsinfo</w:t>
      </w:r>
      <w:r>
        <w:rPr>
          <w:rFonts w:eastAsia="等线"/>
          <w:lang w:val="en-US"/>
        </w:rPr>
        <w:t>:</w:t>
      </w:r>
      <w:r>
        <w:t>contexttransfer: &gt;</w:t>
      </w:r>
    </w:p>
    <w:p w14:paraId="503280B2" w14:textId="77777777" w:rsidR="007862A2" w:rsidRDefault="007862A2" w:rsidP="007862A2">
      <w:pPr>
        <w:pStyle w:val="PL"/>
      </w:pPr>
      <w:r>
        <w:t xml:space="preserve">              Access to service operations applying to NWDAF context transfer related service</w:t>
      </w:r>
    </w:p>
    <w:p w14:paraId="3C80055C" w14:textId="77777777" w:rsidR="007862A2" w:rsidRDefault="007862A2" w:rsidP="007862A2">
      <w:pPr>
        <w:pStyle w:val="PL"/>
      </w:pPr>
      <w:r>
        <w:t xml:space="preserve">              operations, i.e. ContextTransfer.</w:t>
      </w:r>
    </w:p>
    <w:p w14:paraId="165A7E87" w14:textId="77777777" w:rsidR="007862A2" w:rsidRDefault="007862A2" w:rsidP="007862A2">
      <w:pPr>
        <w:pStyle w:val="PL"/>
      </w:pPr>
    </w:p>
    <w:p w14:paraId="28B4CE4C" w14:textId="77777777" w:rsidR="007862A2" w:rsidRDefault="007862A2" w:rsidP="007862A2">
      <w:pPr>
        <w:pStyle w:val="PL"/>
      </w:pPr>
      <w:r>
        <w:t xml:space="preserve">  schemas:</w:t>
      </w:r>
    </w:p>
    <w:p w14:paraId="3B5AF780" w14:textId="77777777" w:rsidR="007862A2" w:rsidRDefault="007862A2" w:rsidP="007862A2">
      <w:pPr>
        <w:pStyle w:val="PL"/>
      </w:pPr>
    </w:p>
    <w:p w14:paraId="2BD5C4B0" w14:textId="77777777" w:rsidR="007862A2" w:rsidRDefault="007862A2" w:rsidP="007862A2">
      <w:pPr>
        <w:pStyle w:val="PL"/>
      </w:pPr>
      <w:r>
        <w:t xml:space="preserve">    AnalyticsData:</w:t>
      </w:r>
    </w:p>
    <w:p w14:paraId="42E76FF3" w14:textId="77777777" w:rsidR="007862A2" w:rsidRDefault="007862A2" w:rsidP="007862A2">
      <w:pPr>
        <w:pStyle w:val="PL"/>
      </w:pPr>
      <w:r>
        <w:t xml:space="preserve">      description: &gt;</w:t>
      </w:r>
    </w:p>
    <w:p w14:paraId="43BE9937" w14:textId="77777777" w:rsidR="007862A2" w:rsidRDefault="007862A2" w:rsidP="007862A2">
      <w:pPr>
        <w:pStyle w:val="PL"/>
      </w:pPr>
      <w:r>
        <w:t xml:space="preserve">        Represents the description of analytics with parameters as relevant for the requesting NF</w:t>
      </w:r>
    </w:p>
    <w:p w14:paraId="0208A7F4" w14:textId="77777777" w:rsidR="007862A2" w:rsidRDefault="007862A2" w:rsidP="007862A2">
      <w:pPr>
        <w:pStyle w:val="PL"/>
      </w:pPr>
      <w:r>
        <w:t xml:space="preserve">        service consumer.</w:t>
      </w:r>
    </w:p>
    <w:p w14:paraId="211FEE5F" w14:textId="77777777" w:rsidR="007862A2" w:rsidRDefault="007862A2" w:rsidP="007862A2">
      <w:pPr>
        <w:pStyle w:val="PL"/>
      </w:pPr>
      <w:r>
        <w:t xml:space="preserve">      type: object</w:t>
      </w:r>
    </w:p>
    <w:p w14:paraId="610864DD" w14:textId="77777777" w:rsidR="007862A2" w:rsidRDefault="007862A2" w:rsidP="007862A2">
      <w:pPr>
        <w:pStyle w:val="PL"/>
      </w:pPr>
      <w:r>
        <w:t xml:space="preserve">      properties:</w:t>
      </w:r>
    </w:p>
    <w:p w14:paraId="1A126587" w14:textId="77777777" w:rsidR="007862A2" w:rsidRDefault="007862A2" w:rsidP="007862A2">
      <w:pPr>
        <w:pStyle w:val="PL"/>
      </w:pPr>
      <w:r>
        <w:t xml:space="preserve">        start:</w:t>
      </w:r>
    </w:p>
    <w:p w14:paraId="4ECDAD74" w14:textId="77777777" w:rsidR="007862A2" w:rsidRDefault="007862A2" w:rsidP="007862A2">
      <w:pPr>
        <w:pStyle w:val="PL"/>
      </w:pPr>
      <w:r>
        <w:t xml:space="preserve">          $ref: 'TS29571_CommonData.yaml#/components/schemas/DateTime'</w:t>
      </w:r>
    </w:p>
    <w:p w14:paraId="43842AEF" w14:textId="77777777" w:rsidR="007862A2" w:rsidRDefault="007862A2" w:rsidP="007862A2">
      <w:pPr>
        <w:pStyle w:val="PL"/>
      </w:pPr>
      <w:r>
        <w:t xml:space="preserve">        expiry:</w:t>
      </w:r>
    </w:p>
    <w:p w14:paraId="406FECF7" w14:textId="77777777" w:rsidR="007862A2" w:rsidRDefault="007862A2" w:rsidP="007862A2">
      <w:pPr>
        <w:pStyle w:val="PL"/>
      </w:pPr>
      <w:r>
        <w:t xml:space="preserve">          $ref: 'TS29571_CommonData.yaml#/components/schemas/DateTime'</w:t>
      </w:r>
    </w:p>
    <w:p w14:paraId="20E286EA" w14:textId="77777777" w:rsidR="007862A2" w:rsidRDefault="007862A2" w:rsidP="007862A2">
      <w:pPr>
        <w:pStyle w:val="PL"/>
      </w:pPr>
      <w:r>
        <w:t xml:space="preserve">        timeStampGen:</w:t>
      </w:r>
    </w:p>
    <w:p w14:paraId="2D5E87EA" w14:textId="77777777" w:rsidR="007862A2" w:rsidRDefault="007862A2" w:rsidP="007862A2">
      <w:pPr>
        <w:pStyle w:val="PL"/>
      </w:pPr>
      <w:r>
        <w:t xml:space="preserve">          $ref: 'TS29571_CommonData.yaml#/components/schemas/DateTime'</w:t>
      </w:r>
    </w:p>
    <w:p w14:paraId="1E90EBBC" w14:textId="77777777" w:rsidR="007862A2" w:rsidRDefault="007862A2" w:rsidP="007862A2">
      <w:pPr>
        <w:pStyle w:val="PL"/>
      </w:pPr>
      <w:r>
        <w:t xml:space="preserve">        anaMetaInfo:</w:t>
      </w:r>
    </w:p>
    <w:p w14:paraId="38B048F7" w14:textId="77777777" w:rsidR="007862A2" w:rsidRDefault="007862A2" w:rsidP="007862A2">
      <w:pPr>
        <w:pStyle w:val="PL"/>
      </w:pPr>
      <w:r>
        <w:t xml:space="preserve">          $ref: 'TS29520_Nnwdaf_EventsSubscription.yaml#/components/schemas/AnalyticsMetadataInfo'</w:t>
      </w:r>
    </w:p>
    <w:p w14:paraId="5DEBF203" w14:textId="77777777" w:rsidR="007862A2" w:rsidRDefault="007862A2" w:rsidP="007862A2">
      <w:pPr>
        <w:pStyle w:val="PL"/>
      </w:pPr>
      <w:r>
        <w:t xml:space="preserve">        sliceLoadLevelInfos:</w:t>
      </w:r>
    </w:p>
    <w:p w14:paraId="3FB04577" w14:textId="77777777" w:rsidR="007862A2" w:rsidRDefault="007862A2" w:rsidP="007862A2">
      <w:pPr>
        <w:pStyle w:val="PL"/>
      </w:pPr>
      <w:r>
        <w:t xml:space="preserve">          type: array</w:t>
      </w:r>
    </w:p>
    <w:p w14:paraId="6865C10B" w14:textId="77777777" w:rsidR="007862A2" w:rsidRDefault="007862A2" w:rsidP="007862A2">
      <w:pPr>
        <w:pStyle w:val="PL"/>
      </w:pPr>
      <w:r>
        <w:t xml:space="preserve">          items:</w:t>
      </w:r>
    </w:p>
    <w:p w14:paraId="22ABA288" w14:textId="77777777" w:rsidR="007862A2" w:rsidRDefault="007862A2" w:rsidP="007862A2">
      <w:pPr>
        <w:pStyle w:val="PL"/>
      </w:pPr>
      <w:r>
        <w:t xml:space="preserve">            $ref: 'TS2952</w:t>
      </w:r>
      <w:r>
        <w:rPr>
          <w:lang w:eastAsia="zh-CN"/>
        </w:rPr>
        <w:t>0</w:t>
      </w:r>
      <w:r>
        <w:t>_Nnwdaf_EventsSubscription.yaml#/components/schemas/SliceLoadLevelInformation'</w:t>
      </w:r>
    </w:p>
    <w:p w14:paraId="2D870596" w14:textId="77777777" w:rsidR="007862A2" w:rsidRDefault="007862A2" w:rsidP="007862A2">
      <w:pPr>
        <w:pStyle w:val="PL"/>
      </w:pPr>
      <w:r>
        <w:t xml:space="preserve">          minItems: 1</w:t>
      </w:r>
    </w:p>
    <w:p w14:paraId="2FEE1E97" w14:textId="77777777" w:rsidR="007862A2" w:rsidRDefault="007862A2" w:rsidP="007862A2">
      <w:pPr>
        <w:pStyle w:val="PL"/>
      </w:pPr>
      <w:r>
        <w:t xml:space="preserve">          description: The slices and their load level information.</w:t>
      </w:r>
    </w:p>
    <w:p w14:paraId="5D184B30" w14:textId="77777777" w:rsidR="007862A2" w:rsidRDefault="007862A2" w:rsidP="007862A2">
      <w:pPr>
        <w:pStyle w:val="PL"/>
      </w:pPr>
      <w:r>
        <w:t xml:space="preserve">        nsiLoadLevelInfos:</w:t>
      </w:r>
    </w:p>
    <w:p w14:paraId="08096375" w14:textId="77777777" w:rsidR="007862A2" w:rsidRDefault="007862A2" w:rsidP="007862A2">
      <w:pPr>
        <w:pStyle w:val="PL"/>
      </w:pPr>
      <w:r>
        <w:t xml:space="preserve">          type: array</w:t>
      </w:r>
    </w:p>
    <w:p w14:paraId="6B392C02" w14:textId="77777777" w:rsidR="007862A2" w:rsidRDefault="007862A2" w:rsidP="007862A2">
      <w:pPr>
        <w:pStyle w:val="PL"/>
      </w:pPr>
      <w:r>
        <w:t xml:space="preserve">          items:</w:t>
      </w:r>
    </w:p>
    <w:p w14:paraId="0B5A44E3" w14:textId="77777777" w:rsidR="007862A2" w:rsidRDefault="007862A2" w:rsidP="007862A2">
      <w:pPr>
        <w:pStyle w:val="PL"/>
      </w:pPr>
      <w:r>
        <w:t xml:space="preserve">            $ref: 'TS29520_Nnwdaf_EventsSubscription.yaml#/components/schemas/NsiLoadLevelInfo'</w:t>
      </w:r>
    </w:p>
    <w:p w14:paraId="21116B32" w14:textId="77777777" w:rsidR="007862A2" w:rsidRDefault="007862A2" w:rsidP="007862A2">
      <w:pPr>
        <w:pStyle w:val="PL"/>
      </w:pPr>
      <w:r>
        <w:t xml:space="preserve">          minItems: 1</w:t>
      </w:r>
    </w:p>
    <w:p w14:paraId="344A0F84" w14:textId="77777777" w:rsidR="007862A2" w:rsidRDefault="007862A2" w:rsidP="007862A2">
      <w:pPr>
        <w:pStyle w:val="PL"/>
      </w:pPr>
      <w:r>
        <w:t xml:space="preserve">        nfLoadLevelInfos:</w:t>
      </w:r>
    </w:p>
    <w:p w14:paraId="18421731" w14:textId="77777777" w:rsidR="007862A2" w:rsidRDefault="007862A2" w:rsidP="007862A2">
      <w:pPr>
        <w:pStyle w:val="PL"/>
      </w:pPr>
      <w:r>
        <w:t xml:space="preserve">          type: array</w:t>
      </w:r>
    </w:p>
    <w:p w14:paraId="3A807D48" w14:textId="77777777" w:rsidR="007862A2" w:rsidRDefault="007862A2" w:rsidP="007862A2">
      <w:pPr>
        <w:pStyle w:val="PL"/>
      </w:pPr>
      <w:r>
        <w:t xml:space="preserve">          items:</w:t>
      </w:r>
    </w:p>
    <w:p w14:paraId="6E52FBC2" w14:textId="77777777" w:rsidR="007862A2" w:rsidRDefault="007862A2" w:rsidP="007862A2">
      <w:pPr>
        <w:pStyle w:val="PL"/>
      </w:pPr>
      <w:r>
        <w:t xml:space="preserve">            $ref: 'TS29520_Nnwdaf_EventsSubscription.yaml#/components/schemas/NfLoadLevelInformation'</w:t>
      </w:r>
    </w:p>
    <w:p w14:paraId="0091420F" w14:textId="77777777" w:rsidR="007862A2" w:rsidRDefault="007862A2" w:rsidP="007862A2">
      <w:pPr>
        <w:pStyle w:val="PL"/>
      </w:pPr>
      <w:r>
        <w:t xml:space="preserve">          minItems: 1</w:t>
      </w:r>
    </w:p>
    <w:p w14:paraId="5F9FE13C" w14:textId="77777777" w:rsidR="007862A2" w:rsidRDefault="007862A2" w:rsidP="007862A2">
      <w:pPr>
        <w:pStyle w:val="PL"/>
      </w:pPr>
      <w:r>
        <w:t xml:space="preserve">        nwPerfs:</w:t>
      </w:r>
    </w:p>
    <w:p w14:paraId="1390A5F3" w14:textId="77777777" w:rsidR="007862A2" w:rsidRDefault="007862A2" w:rsidP="007862A2">
      <w:pPr>
        <w:pStyle w:val="PL"/>
      </w:pPr>
      <w:r>
        <w:t xml:space="preserve">          type: array</w:t>
      </w:r>
    </w:p>
    <w:p w14:paraId="2F3B107A" w14:textId="77777777" w:rsidR="007862A2" w:rsidRDefault="007862A2" w:rsidP="007862A2">
      <w:pPr>
        <w:pStyle w:val="PL"/>
      </w:pPr>
      <w:r>
        <w:t xml:space="preserve">          items:</w:t>
      </w:r>
    </w:p>
    <w:p w14:paraId="07F3F0D0" w14:textId="77777777" w:rsidR="007862A2" w:rsidRDefault="007862A2" w:rsidP="007862A2">
      <w:pPr>
        <w:pStyle w:val="PL"/>
      </w:pPr>
      <w:r>
        <w:t xml:space="preserve">            $ref: 'TS29520_Nnwdaf_EventsSubscription.yaml#/components/schemas/NetworkPerfInfo'</w:t>
      </w:r>
    </w:p>
    <w:p w14:paraId="346A22E5" w14:textId="77777777" w:rsidR="007862A2" w:rsidRDefault="007862A2" w:rsidP="007862A2">
      <w:pPr>
        <w:pStyle w:val="PL"/>
      </w:pPr>
      <w:r>
        <w:t xml:space="preserve">          minItems: 1</w:t>
      </w:r>
    </w:p>
    <w:p w14:paraId="66C98208" w14:textId="77777777" w:rsidR="007862A2" w:rsidRDefault="007862A2" w:rsidP="007862A2">
      <w:pPr>
        <w:pStyle w:val="PL"/>
      </w:pPr>
      <w:r>
        <w:t xml:space="preserve">        svcExps:</w:t>
      </w:r>
    </w:p>
    <w:p w14:paraId="5B8E5AC0" w14:textId="77777777" w:rsidR="007862A2" w:rsidRDefault="007862A2" w:rsidP="007862A2">
      <w:pPr>
        <w:pStyle w:val="PL"/>
      </w:pPr>
      <w:r>
        <w:lastRenderedPageBreak/>
        <w:t xml:space="preserve">          type: array</w:t>
      </w:r>
    </w:p>
    <w:p w14:paraId="7F3C5C86" w14:textId="77777777" w:rsidR="007862A2" w:rsidRDefault="007862A2" w:rsidP="007862A2">
      <w:pPr>
        <w:pStyle w:val="PL"/>
      </w:pPr>
      <w:r>
        <w:t xml:space="preserve">          items:</w:t>
      </w:r>
    </w:p>
    <w:p w14:paraId="49B68CA5" w14:textId="77777777" w:rsidR="007862A2" w:rsidRDefault="007862A2" w:rsidP="007862A2">
      <w:pPr>
        <w:pStyle w:val="PL"/>
      </w:pPr>
      <w:r>
        <w:t xml:space="preserve">            $ref: 'TS29520_Nnwdaf_EventsSubscription.yaml#/components/schemas/ServiceExperienceInfo'</w:t>
      </w:r>
    </w:p>
    <w:p w14:paraId="7B3E7B77" w14:textId="77777777" w:rsidR="007862A2" w:rsidRDefault="007862A2" w:rsidP="007862A2">
      <w:pPr>
        <w:pStyle w:val="PL"/>
      </w:pPr>
      <w:r>
        <w:t xml:space="preserve">          minItems: 1</w:t>
      </w:r>
    </w:p>
    <w:p w14:paraId="27138928" w14:textId="77777777" w:rsidR="007862A2" w:rsidRDefault="007862A2" w:rsidP="007862A2">
      <w:pPr>
        <w:pStyle w:val="PL"/>
      </w:pPr>
      <w:r>
        <w:t xml:space="preserve">        qosSustainInfos:</w:t>
      </w:r>
    </w:p>
    <w:p w14:paraId="33818000" w14:textId="77777777" w:rsidR="007862A2" w:rsidRDefault="007862A2" w:rsidP="007862A2">
      <w:pPr>
        <w:pStyle w:val="PL"/>
      </w:pPr>
      <w:r>
        <w:t xml:space="preserve">          type: array</w:t>
      </w:r>
    </w:p>
    <w:p w14:paraId="0A1849E2" w14:textId="77777777" w:rsidR="007862A2" w:rsidRDefault="007862A2" w:rsidP="007862A2">
      <w:pPr>
        <w:pStyle w:val="PL"/>
      </w:pPr>
      <w:r>
        <w:t xml:space="preserve">          items:</w:t>
      </w:r>
    </w:p>
    <w:p w14:paraId="60D71A52" w14:textId="77777777" w:rsidR="007862A2" w:rsidRDefault="007862A2" w:rsidP="007862A2">
      <w:pPr>
        <w:pStyle w:val="PL"/>
      </w:pPr>
      <w:r>
        <w:t xml:space="preserve">            $ref: 'TS29520_Nnwdaf_EventsSubscription.yaml#/components/schemas/QosSustainabilityInfo'</w:t>
      </w:r>
    </w:p>
    <w:p w14:paraId="3719B6F9" w14:textId="77777777" w:rsidR="007862A2" w:rsidRDefault="007862A2" w:rsidP="007862A2">
      <w:pPr>
        <w:pStyle w:val="PL"/>
      </w:pPr>
      <w:r>
        <w:t xml:space="preserve">          minItems: 1</w:t>
      </w:r>
    </w:p>
    <w:p w14:paraId="708D399C" w14:textId="77777777" w:rsidR="007862A2" w:rsidRDefault="007862A2" w:rsidP="007862A2">
      <w:pPr>
        <w:pStyle w:val="PL"/>
      </w:pPr>
      <w:r>
        <w:t xml:space="preserve">        ueMobs:</w:t>
      </w:r>
    </w:p>
    <w:p w14:paraId="74E7F6A0" w14:textId="77777777" w:rsidR="007862A2" w:rsidRDefault="007862A2" w:rsidP="007862A2">
      <w:pPr>
        <w:pStyle w:val="PL"/>
      </w:pPr>
      <w:r>
        <w:t xml:space="preserve">          type: array</w:t>
      </w:r>
    </w:p>
    <w:p w14:paraId="01ED5A21" w14:textId="77777777" w:rsidR="007862A2" w:rsidRDefault="007862A2" w:rsidP="007862A2">
      <w:pPr>
        <w:pStyle w:val="PL"/>
      </w:pPr>
      <w:r>
        <w:t xml:space="preserve">          items:</w:t>
      </w:r>
    </w:p>
    <w:p w14:paraId="09A75D2A" w14:textId="77777777" w:rsidR="007862A2" w:rsidRDefault="007862A2" w:rsidP="007862A2">
      <w:pPr>
        <w:pStyle w:val="PL"/>
      </w:pPr>
      <w:r>
        <w:t xml:space="preserve">            $ref: 'TS29520_Nnwdaf_EventsSubscription.yaml#/components/schemas/UeMobility'</w:t>
      </w:r>
    </w:p>
    <w:p w14:paraId="74ADB813" w14:textId="77777777" w:rsidR="007862A2" w:rsidRDefault="007862A2" w:rsidP="007862A2">
      <w:pPr>
        <w:pStyle w:val="PL"/>
      </w:pPr>
      <w:r>
        <w:t xml:space="preserve">          minItems: 1</w:t>
      </w:r>
    </w:p>
    <w:p w14:paraId="477B9AFE" w14:textId="77777777" w:rsidR="007862A2" w:rsidRDefault="007862A2" w:rsidP="007862A2">
      <w:pPr>
        <w:pStyle w:val="PL"/>
      </w:pPr>
      <w:r>
        <w:t xml:space="preserve">        ueComms:</w:t>
      </w:r>
    </w:p>
    <w:p w14:paraId="6BF5D4C4" w14:textId="77777777" w:rsidR="007862A2" w:rsidRDefault="007862A2" w:rsidP="007862A2">
      <w:pPr>
        <w:pStyle w:val="PL"/>
      </w:pPr>
      <w:r>
        <w:t xml:space="preserve">          type: array</w:t>
      </w:r>
    </w:p>
    <w:p w14:paraId="50F062E1" w14:textId="77777777" w:rsidR="007862A2" w:rsidRDefault="007862A2" w:rsidP="007862A2">
      <w:pPr>
        <w:pStyle w:val="PL"/>
      </w:pPr>
      <w:r>
        <w:t xml:space="preserve">          items:</w:t>
      </w:r>
    </w:p>
    <w:p w14:paraId="310E3F5C" w14:textId="77777777" w:rsidR="007862A2" w:rsidRDefault="007862A2" w:rsidP="007862A2">
      <w:pPr>
        <w:pStyle w:val="PL"/>
      </w:pPr>
      <w:r>
        <w:t xml:space="preserve">            $ref: 'TS29520_Nnwdaf_EventsSubscription.yaml#/components/schemas/UeCommunication'</w:t>
      </w:r>
    </w:p>
    <w:p w14:paraId="0AA17C4D" w14:textId="77777777" w:rsidR="007862A2" w:rsidRDefault="007862A2" w:rsidP="007862A2">
      <w:pPr>
        <w:pStyle w:val="PL"/>
      </w:pPr>
      <w:r>
        <w:t xml:space="preserve">          minItems: 1</w:t>
      </w:r>
    </w:p>
    <w:p w14:paraId="702A3B36" w14:textId="77777777" w:rsidR="007862A2" w:rsidRDefault="007862A2" w:rsidP="007862A2">
      <w:pPr>
        <w:pStyle w:val="PL"/>
      </w:pPr>
      <w:r>
        <w:t xml:space="preserve">        userDataCongInfos:</w:t>
      </w:r>
    </w:p>
    <w:p w14:paraId="1F2E6B06" w14:textId="77777777" w:rsidR="007862A2" w:rsidRDefault="007862A2" w:rsidP="007862A2">
      <w:pPr>
        <w:pStyle w:val="PL"/>
      </w:pPr>
      <w:r>
        <w:t xml:space="preserve">          type: array</w:t>
      </w:r>
    </w:p>
    <w:p w14:paraId="52CC87F1" w14:textId="77777777" w:rsidR="007862A2" w:rsidRDefault="007862A2" w:rsidP="007862A2">
      <w:pPr>
        <w:pStyle w:val="PL"/>
      </w:pPr>
      <w:r>
        <w:t xml:space="preserve">          items:</w:t>
      </w:r>
    </w:p>
    <w:p w14:paraId="0B87FC53" w14:textId="77777777" w:rsidR="007862A2" w:rsidRDefault="007862A2" w:rsidP="007862A2">
      <w:pPr>
        <w:pStyle w:val="PL"/>
      </w:pPr>
      <w:r>
        <w:t xml:space="preserve">            $ref: 'TS29520_Nnwdaf_EventsSubscription.yaml#/components/schemas/UserDataCongestionInfo'</w:t>
      </w:r>
    </w:p>
    <w:p w14:paraId="7AE7B279" w14:textId="77777777" w:rsidR="007862A2" w:rsidRDefault="007862A2" w:rsidP="007862A2">
      <w:pPr>
        <w:pStyle w:val="PL"/>
      </w:pPr>
      <w:r>
        <w:t xml:space="preserve">          minItems: 1</w:t>
      </w:r>
    </w:p>
    <w:p w14:paraId="25B6C03F" w14:textId="77777777" w:rsidR="007862A2" w:rsidRDefault="007862A2" w:rsidP="007862A2">
      <w:pPr>
        <w:pStyle w:val="PL"/>
      </w:pPr>
      <w:r>
        <w:t xml:space="preserve">        abnorBehavrs:</w:t>
      </w:r>
    </w:p>
    <w:p w14:paraId="6EFA0720" w14:textId="77777777" w:rsidR="007862A2" w:rsidRDefault="007862A2" w:rsidP="007862A2">
      <w:pPr>
        <w:pStyle w:val="PL"/>
      </w:pPr>
      <w:r>
        <w:t xml:space="preserve">          type: array</w:t>
      </w:r>
    </w:p>
    <w:p w14:paraId="08F05974" w14:textId="77777777" w:rsidR="007862A2" w:rsidRDefault="007862A2" w:rsidP="007862A2">
      <w:pPr>
        <w:pStyle w:val="PL"/>
      </w:pPr>
      <w:r>
        <w:t xml:space="preserve">          items:</w:t>
      </w:r>
    </w:p>
    <w:p w14:paraId="07A47051" w14:textId="77777777" w:rsidR="007862A2" w:rsidRDefault="007862A2" w:rsidP="007862A2">
      <w:pPr>
        <w:pStyle w:val="PL"/>
      </w:pPr>
      <w:r>
        <w:t xml:space="preserve">            $ref: 'TS29520_Nnwdaf_EventsSubscription.yaml#/components/schemas/AbnormalBehaviour'</w:t>
      </w:r>
    </w:p>
    <w:p w14:paraId="4A75773E" w14:textId="77777777" w:rsidR="007862A2" w:rsidRDefault="007862A2" w:rsidP="007862A2">
      <w:pPr>
        <w:pStyle w:val="PL"/>
      </w:pPr>
      <w:r>
        <w:t xml:space="preserve">          minItems: 1</w:t>
      </w:r>
    </w:p>
    <w:p w14:paraId="176C589F" w14:textId="77777777" w:rsidR="007862A2" w:rsidRDefault="007862A2" w:rsidP="007862A2">
      <w:pPr>
        <w:pStyle w:val="PL"/>
      </w:pPr>
      <w:r>
        <w:t xml:space="preserve">        </w:t>
      </w:r>
      <w:r>
        <w:rPr>
          <w:lang w:eastAsia="ko-KR"/>
        </w:rPr>
        <w:t>smccExps</w:t>
      </w:r>
      <w:r>
        <w:t>:</w:t>
      </w:r>
    </w:p>
    <w:p w14:paraId="32909019" w14:textId="77777777" w:rsidR="007862A2" w:rsidRDefault="007862A2" w:rsidP="007862A2">
      <w:pPr>
        <w:pStyle w:val="PL"/>
      </w:pPr>
      <w:r>
        <w:t xml:space="preserve">          type: array</w:t>
      </w:r>
    </w:p>
    <w:p w14:paraId="6EF4DBBB" w14:textId="77777777" w:rsidR="007862A2" w:rsidRDefault="007862A2" w:rsidP="007862A2">
      <w:pPr>
        <w:pStyle w:val="PL"/>
      </w:pPr>
      <w:r>
        <w:t xml:space="preserve">          items:</w:t>
      </w:r>
    </w:p>
    <w:p w14:paraId="429E8E2B" w14:textId="77777777" w:rsidR="007862A2" w:rsidRDefault="007862A2" w:rsidP="007862A2">
      <w:pPr>
        <w:pStyle w:val="PL"/>
      </w:pPr>
      <w:r>
        <w:t xml:space="preserve">            $ref: '#/components/schemas/SmcceInfo'</w:t>
      </w:r>
    </w:p>
    <w:p w14:paraId="57C0DD90" w14:textId="77777777" w:rsidR="007862A2" w:rsidRDefault="007862A2" w:rsidP="007862A2">
      <w:pPr>
        <w:pStyle w:val="PL"/>
      </w:pPr>
      <w:r>
        <w:t xml:space="preserve">          minItems: 1</w:t>
      </w:r>
    </w:p>
    <w:p w14:paraId="1D00C444" w14:textId="77777777" w:rsidR="007862A2" w:rsidRDefault="007862A2" w:rsidP="007862A2">
      <w:pPr>
        <w:pStyle w:val="PL"/>
      </w:pPr>
      <w:r>
        <w:t xml:space="preserve">        disperInfos:</w:t>
      </w:r>
    </w:p>
    <w:p w14:paraId="41762E35" w14:textId="77777777" w:rsidR="007862A2" w:rsidRDefault="007862A2" w:rsidP="007862A2">
      <w:pPr>
        <w:pStyle w:val="PL"/>
      </w:pPr>
      <w:r>
        <w:t xml:space="preserve">          type: array</w:t>
      </w:r>
    </w:p>
    <w:p w14:paraId="6DD7885C" w14:textId="77777777" w:rsidR="007862A2" w:rsidRDefault="007862A2" w:rsidP="007862A2">
      <w:pPr>
        <w:pStyle w:val="PL"/>
      </w:pPr>
      <w:r>
        <w:t xml:space="preserve">          items:</w:t>
      </w:r>
    </w:p>
    <w:p w14:paraId="00971ADA" w14:textId="77777777" w:rsidR="007862A2" w:rsidRDefault="007862A2" w:rsidP="007862A2">
      <w:pPr>
        <w:pStyle w:val="PL"/>
      </w:pPr>
      <w:r>
        <w:t xml:space="preserve">            $ref: 'TS29520_Nnwdaf_EventsSubscription.yaml#/components/schemas/DispersionInfo'</w:t>
      </w:r>
    </w:p>
    <w:p w14:paraId="3FEDC030" w14:textId="77777777" w:rsidR="007862A2" w:rsidRDefault="007862A2" w:rsidP="007862A2">
      <w:pPr>
        <w:pStyle w:val="PL"/>
      </w:pPr>
      <w:r>
        <w:t xml:space="preserve">          minItems: 1</w:t>
      </w:r>
    </w:p>
    <w:p w14:paraId="1EF2C49D" w14:textId="77777777" w:rsidR="007862A2" w:rsidRDefault="007862A2" w:rsidP="007862A2">
      <w:pPr>
        <w:pStyle w:val="PL"/>
      </w:pPr>
      <w:r>
        <w:t xml:space="preserve">        redTransInfos:</w:t>
      </w:r>
    </w:p>
    <w:p w14:paraId="626D6B70" w14:textId="77777777" w:rsidR="007862A2" w:rsidRDefault="007862A2" w:rsidP="007862A2">
      <w:pPr>
        <w:pStyle w:val="PL"/>
      </w:pPr>
      <w:r>
        <w:t xml:space="preserve">          type: array</w:t>
      </w:r>
    </w:p>
    <w:p w14:paraId="1ABF8E91" w14:textId="77777777" w:rsidR="007862A2" w:rsidRDefault="007862A2" w:rsidP="007862A2">
      <w:pPr>
        <w:pStyle w:val="PL"/>
      </w:pPr>
      <w:r>
        <w:t xml:space="preserve">          items:</w:t>
      </w:r>
    </w:p>
    <w:p w14:paraId="41CD1336" w14:textId="77777777" w:rsidR="007862A2" w:rsidRDefault="007862A2" w:rsidP="007862A2">
      <w:pPr>
        <w:pStyle w:val="PL"/>
      </w:pPr>
      <w:r>
        <w:t xml:space="preserve">            $ref: 'TS29520_Nnwdaf_EventsSubscription.yaml#/components/schemas/RedundantTransmissionExpInfo'</w:t>
      </w:r>
    </w:p>
    <w:p w14:paraId="7366E3D8" w14:textId="77777777" w:rsidR="007862A2" w:rsidRDefault="007862A2" w:rsidP="007862A2">
      <w:pPr>
        <w:pStyle w:val="PL"/>
      </w:pPr>
      <w:r>
        <w:t xml:space="preserve">          minItems: 1</w:t>
      </w:r>
    </w:p>
    <w:p w14:paraId="4D3FBE85" w14:textId="77777777" w:rsidR="007862A2" w:rsidRDefault="007862A2" w:rsidP="007862A2">
      <w:pPr>
        <w:pStyle w:val="PL"/>
      </w:pPr>
      <w:r>
        <w:t xml:space="preserve">        wlanInfos:</w:t>
      </w:r>
    </w:p>
    <w:p w14:paraId="217CC145" w14:textId="77777777" w:rsidR="007862A2" w:rsidRDefault="007862A2" w:rsidP="007862A2">
      <w:pPr>
        <w:pStyle w:val="PL"/>
      </w:pPr>
      <w:r>
        <w:t xml:space="preserve">          type: array</w:t>
      </w:r>
    </w:p>
    <w:p w14:paraId="4A0F3C72" w14:textId="77777777" w:rsidR="007862A2" w:rsidRDefault="007862A2" w:rsidP="007862A2">
      <w:pPr>
        <w:pStyle w:val="PL"/>
      </w:pPr>
      <w:r>
        <w:t xml:space="preserve">          items:</w:t>
      </w:r>
    </w:p>
    <w:p w14:paraId="458ECD16" w14:textId="77777777" w:rsidR="007862A2" w:rsidRDefault="007862A2" w:rsidP="007862A2">
      <w:pPr>
        <w:pStyle w:val="PL"/>
      </w:pPr>
      <w:r>
        <w:t xml:space="preserve">            $ref: 'TS29520_Nnwdaf_EventsSubscription.yaml#/components/schemas/WlanPerformanceInfo'</w:t>
      </w:r>
    </w:p>
    <w:p w14:paraId="125E9F82" w14:textId="77777777" w:rsidR="007862A2" w:rsidRDefault="007862A2" w:rsidP="007862A2">
      <w:pPr>
        <w:pStyle w:val="PL"/>
      </w:pPr>
      <w:r>
        <w:t xml:space="preserve">          minItems: 1</w:t>
      </w:r>
    </w:p>
    <w:p w14:paraId="531A01E3" w14:textId="77777777" w:rsidR="007862A2" w:rsidRDefault="007862A2" w:rsidP="007862A2">
      <w:pPr>
        <w:pStyle w:val="PL"/>
      </w:pPr>
      <w:r>
        <w:t xml:space="preserve">        </w:t>
      </w:r>
      <w:r>
        <w:rPr>
          <w:lang w:eastAsia="zh-CN"/>
        </w:rPr>
        <w:t>dnPerfInfos</w:t>
      </w:r>
      <w:r>
        <w:t>:</w:t>
      </w:r>
    </w:p>
    <w:p w14:paraId="27C73C21" w14:textId="77777777" w:rsidR="007862A2" w:rsidRDefault="007862A2" w:rsidP="007862A2">
      <w:pPr>
        <w:pStyle w:val="PL"/>
      </w:pPr>
      <w:r>
        <w:t xml:space="preserve">          type: array</w:t>
      </w:r>
    </w:p>
    <w:p w14:paraId="215A8F96" w14:textId="77777777" w:rsidR="007862A2" w:rsidRDefault="007862A2" w:rsidP="007862A2">
      <w:pPr>
        <w:pStyle w:val="PL"/>
      </w:pPr>
      <w:r>
        <w:t xml:space="preserve">          items:</w:t>
      </w:r>
    </w:p>
    <w:p w14:paraId="2A433FEA" w14:textId="77777777" w:rsidR="007862A2" w:rsidRDefault="007862A2" w:rsidP="007862A2">
      <w:pPr>
        <w:pStyle w:val="PL"/>
      </w:pPr>
      <w:r>
        <w:t xml:space="preserve">            $ref: 'TS29520_Nnwdaf_EventsSubscription.yaml#/components/schemas/DnPerfInfo'</w:t>
      </w:r>
    </w:p>
    <w:p w14:paraId="70F7C65A" w14:textId="77777777" w:rsidR="007862A2" w:rsidRDefault="007862A2" w:rsidP="007862A2">
      <w:pPr>
        <w:pStyle w:val="PL"/>
      </w:pPr>
      <w:r>
        <w:t xml:space="preserve">          minItems: 1</w:t>
      </w:r>
    </w:p>
    <w:p w14:paraId="6C815C6F" w14:textId="77777777" w:rsidR="007862A2" w:rsidRDefault="007862A2" w:rsidP="007862A2">
      <w:pPr>
        <w:pStyle w:val="PL"/>
      </w:pPr>
      <w:r>
        <w:t xml:space="preserve">        pduSesTrafInfos:</w:t>
      </w:r>
    </w:p>
    <w:p w14:paraId="39C40456" w14:textId="77777777" w:rsidR="007862A2" w:rsidRDefault="007862A2" w:rsidP="007862A2">
      <w:pPr>
        <w:pStyle w:val="PL"/>
      </w:pPr>
      <w:r>
        <w:t xml:space="preserve">          type: array</w:t>
      </w:r>
    </w:p>
    <w:p w14:paraId="2FE73461" w14:textId="77777777" w:rsidR="007862A2" w:rsidRDefault="007862A2" w:rsidP="007862A2">
      <w:pPr>
        <w:pStyle w:val="PL"/>
      </w:pPr>
      <w:r>
        <w:t xml:space="preserve">          items:</w:t>
      </w:r>
    </w:p>
    <w:p w14:paraId="53D13E9C" w14:textId="77777777" w:rsidR="007862A2" w:rsidRDefault="007862A2" w:rsidP="007862A2">
      <w:pPr>
        <w:pStyle w:val="PL"/>
      </w:pPr>
      <w:r>
        <w:t xml:space="preserve">            $ref: 'TS29520_Nnwdaf_EventsSubscription.yaml#/components/schemas/PduSesTrafficInfo'</w:t>
      </w:r>
    </w:p>
    <w:p w14:paraId="1D5BCA8E" w14:textId="77777777" w:rsidR="007862A2" w:rsidRDefault="007862A2" w:rsidP="007862A2">
      <w:pPr>
        <w:pStyle w:val="PL"/>
      </w:pPr>
      <w:r>
        <w:t xml:space="preserve">          minItems: 1</w:t>
      </w:r>
    </w:p>
    <w:p w14:paraId="657661EE" w14:textId="77777777" w:rsidR="007862A2" w:rsidRDefault="007862A2" w:rsidP="007862A2">
      <w:pPr>
        <w:pStyle w:val="PL"/>
      </w:pPr>
      <w:r>
        <w:t xml:space="preserve">        dataVlTrnsTmInfos:</w:t>
      </w:r>
    </w:p>
    <w:p w14:paraId="0997D815" w14:textId="77777777" w:rsidR="007862A2" w:rsidRDefault="007862A2" w:rsidP="007862A2">
      <w:pPr>
        <w:pStyle w:val="PL"/>
      </w:pPr>
      <w:r>
        <w:t xml:space="preserve">          type: array</w:t>
      </w:r>
    </w:p>
    <w:p w14:paraId="21495155" w14:textId="77777777" w:rsidR="007862A2" w:rsidRDefault="007862A2" w:rsidP="007862A2">
      <w:pPr>
        <w:pStyle w:val="PL"/>
      </w:pPr>
      <w:r>
        <w:t xml:space="preserve">          items:</w:t>
      </w:r>
    </w:p>
    <w:p w14:paraId="14C1EA18" w14:textId="77777777" w:rsidR="007862A2" w:rsidRDefault="007862A2" w:rsidP="007862A2">
      <w:pPr>
        <w:pStyle w:val="PL"/>
      </w:pPr>
      <w:r>
        <w:t xml:space="preserve">            $ref: 'TS29520_Nnwdaf_EventsSubscription.yaml#/components/schemas/</w:t>
      </w:r>
      <w:r>
        <w:rPr>
          <w:lang w:eastAsia="zh-CN"/>
        </w:rPr>
        <w:t>E2eDataVolTransTimeInfo</w:t>
      </w:r>
      <w:r>
        <w:t>'</w:t>
      </w:r>
    </w:p>
    <w:p w14:paraId="6E3E67BE" w14:textId="77777777" w:rsidR="007862A2" w:rsidRDefault="007862A2" w:rsidP="007862A2">
      <w:pPr>
        <w:pStyle w:val="PL"/>
      </w:pPr>
      <w:r>
        <w:t xml:space="preserve">          minItems: 1</w:t>
      </w:r>
    </w:p>
    <w:p w14:paraId="6B1ED9B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locAccInfos:</w:t>
      </w:r>
    </w:p>
    <w:p w14:paraId="1993E8E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5A5B87A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4706E1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w:t>
      </w:r>
      <w:r>
        <w:rPr>
          <w:rFonts w:ascii="Courier New" w:hAnsi="Courier New"/>
          <w:sz w:val="16"/>
          <w:lang w:eastAsia="zh-CN"/>
        </w:rPr>
        <w:t>LocAccuracyInfo</w:t>
      </w:r>
      <w:r>
        <w:rPr>
          <w:rFonts w:ascii="Courier New" w:hAnsi="Courier New"/>
          <w:sz w:val="16"/>
        </w:rPr>
        <w:t>'</w:t>
      </w:r>
    </w:p>
    <w:p w14:paraId="683CEA7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03FC6760" w14:textId="77777777" w:rsidR="007862A2" w:rsidRDefault="007862A2" w:rsidP="007862A2">
      <w:pPr>
        <w:pStyle w:val="PL"/>
      </w:pPr>
      <w:r>
        <w:t xml:space="preserve">        </w:t>
      </w:r>
      <w:r>
        <w:rPr>
          <w:lang w:eastAsia="zh-CN"/>
        </w:rPr>
        <w:t>accuInfo</w:t>
      </w:r>
      <w:r>
        <w:t>:</w:t>
      </w:r>
    </w:p>
    <w:p w14:paraId="05167691" w14:textId="77777777" w:rsidR="007862A2" w:rsidRDefault="007862A2" w:rsidP="007862A2">
      <w:pPr>
        <w:pStyle w:val="PL"/>
      </w:pPr>
      <w:r>
        <w:t xml:space="preserve">          $ref: 'TS29520_Nnwdaf_EventsSubscription.yaml#/components/schemas/AccuracyInfo'</w:t>
      </w:r>
    </w:p>
    <w:p w14:paraId="49CF3DFD" w14:textId="77777777" w:rsidR="007862A2" w:rsidRDefault="007862A2" w:rsidP="007862A2">
      <w:pPr>
        <w:pStyle w:val="PL"/>
      </w:pPr>
      <w:r>
        <w:t xml:space="preserve">        </w:t>
      </w:r>
      <w:r>
        <w:rPr>
          <w:lang w:eastAsia="zh-CN"/>
        </w:rPr>
        <w:t>cancelAccuInd</w:t>
      </w:r>
      <w:r>
        <w:t>:</w:t>
      </w:r>
    </w:p>
    <w:p w14:paraId="2E89FE49" w14:textId="77777777" w:rsidR="007862A2" w:rsidRDefault="007862A2" w:rsidP="007862A2">
      <w:pPr>
        <w:pStyle w:val="PL"/>
      </w:pPr>
      <w:r>
        <w:t xml:space="preserve">          type: boolean</w:t>
      </w:r>
    </w:p>
    <w:p w14:paraId="7EECF528" w14:textId="77777777" w:rsidR="007862A2" w:rsidRDefault="007862A2" w:rsidP="007862A2">
      <w:pPr>
        <w:pStyle w:val="PL"/>
      </w:pPr>
      <w:r>
        <w:t xml:space="preserve">          description: &gt;</w:t>
      </w:r>
    </w:p>
    <w:p w14:paraId="6385FA0A" w14:textId="77777777" w:rsidR="007862A2" w:rsidRDefault="007862A2" w:rsidP="007862A2">
      <w:pPr>
        <w:pStyle w:val="PL"/>
      </w:pPr>
      <w:r>
        <w:t xml:space="preserve">            Indicates cancelled request of the analytics accuracy information.</w:t>
      </w:r>
    </w:p>
    <w:p w14:paraId="25D62AE0" w14:textId="77777777" w:rsidR="007862A2" w:rsidRDefault="007862A2" w:rsidP="007862A2">
      <w:pPr>
        <w:pStyle w:val="PL"/>
      </w:pPr>
      <w:r>
        <w:t xml:space="preserve">            Set to "true" indicates the NWDAF cancelled request of analytics accuracy</w:t>
      </w:r>
    </w:p>
    <w:p w14:paraId="243793AA" w14:textId="77777777" w:rsidR="007862A2" w:rsidRDefault="007862A2" w:rsidP="007862A2">
      <w:pPr>
        <w:pStyle w:val="PL"/>
      </w:pPr>
      <w:r>
        <w:t xml:space="preserve">            information as the NWDAF does not support the accuracy checking capability.</w:t>
      </w:r>
    </w:p>
    <w:p w14:paraId="0328B4C2" w14:textId="77777777" w:rsidR="007862A2" w:rsidRDefault="007862A2" w:rsidP="007862A2">
      <w:pPr>
        <w:pStyle w:val="PL"/>
      </w:pPr>
      <w:r>
        <w:lastRenderedPageBreak/>
        <w:t xml:space="preserve">            Otherwise set to "false". Default value is "false" if omitted.</w:t>
      </w:r>
    </w:p>
    <w:p w14:paraId="4BAB1B57" w14:textId="77777777" w:rsidR="007862A2" w:rsidRDefault="007862A2" w:rsidP="007862A2">
      <w:pPr>
        <w:pStyle w:val="PL"/>
      </w:pPr>
      <w:r>
        <w:t xml:space="preserve">        </w:t>
      </w:r>
      <w:r>
        <w:rPr>
          <w:lang w:eastAsia="zh-CN"/>
        </w:rPr>
        <w:t>movBehavInfos</w:t>
      </w:r>
      <w:r>
        <w:t>:</w:t>
      </w:r>
    </w:p>
    <w:p w14:paraId="7E44C088" w14:textId="77777777" w:rsidR="007862A2" w:rsidRDefault="007862A2" w:rsidP="007862A2">
      <w:pPr>
        <w:pStyle w:val="PL"/>
      </w:pPr>
      <w:r>
        <w:t xml:space="preserve">          type: array</w:t>
      </w:r>
    </w:p>
    <w:p w14:paraId="2E9B0FC7" w14:textId="77777777" w:rsidR="007862A2" w:rsidRDefault="007862A2" w:rsidP="007862A2">
      <w:pPr>
        <w:pStyle w:val="PL"/>
      </w:pPr>
      <w:r>
        <w:t xml:space="preserve">          items:</w:t>
      </w:r>
    </w:p>
    <w:p w14:paraId="0DB90E34" w14:textId="77777777" w:rsidR="007862A2" w:rsidRDefault="007862A2" w:rsidP="007862A2">
      <w:pPr>
        <w:pStyle w:val="PL"/>
      </w:pPr>
      <w:r>
        <w:t xml:space="preserve">            $ref: 'TS29520_Nnwdaf_EventsSubscription.yaml#/components/schemas/MovBehavInfo'</w:t>
      </w:r>
    </w:p>
    <w:p w14:paraId="0F628A41" w14:textId="77777777" w:rsidR="007862A2" w:rsidRDefault="007862A2" w:rsidP="007862A2">
      <w:pPr>
        <w:pStyle w:val="PL"/>
      </w:pPr>
      <w:r>
        <w:t xml:space="preserve">          minItems: 1</w:t>
      </w:r>
    </w:p>
    <w:p w14:paraId="525E9D4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relProxInfos:</w:t>
      </w:r>
    </w:p>
    <w:p w14:paraId="12C49971" w14:textId="77777777" w:rsidR="007862A2" w:rsidRDefault="007862A2" w:rsidP="007862A2">
      <w:pPr>
        <w:pStyle w:val="PL"/>
      </w:pPr>
      <w:r>
        <w:t xml:space="preserve">          type: array</w:t>
      </w:r>
    </w:p>
    <w:p w14:paraId="1B3F4611" w14:textId="77777777" w:rsidR="007862A2" w:rsidRDefault="007862A2" w:rsidP="007862A2">
      <w:pPr>
        <w:pStyle w:val="PL"/>
      </w:pPr>
      <w:r>
        <w:t xml:space="preserve">          items:</w:t>
      </w:r>
    </w:p>
    <w:p w14:paraId="656FAEA0" w14:textId="77777777" w:rsidR="007862A2" w:rsidRDefault="007862A2" w:rsidP="007862A2">
      <w:pPr>
        <w:pStyle w:val="PL"/>
      </w:pPr>
      <w:r>
        <w:t xml:space="preserve">            $ref: 'TS29520_Nnwdaf_EventsSubscription.yaml#/components/schemas/RelProxInfo'</w:t>
      </w:r>
    </w:p>
    <w:p w14:paraId="088B0FAA" w14:textId="77777777" w:rsidR="007862A2" w:rsidRDefault="007862A2" w:rsidP="007862A2">
      <w:pPr>
        <w:pStyle w:val="PL"/>
      </w:pPr>
      <w:r>
        <w:t xml:space="preserve">          minItems: 1</w:t>
      </w:r>
    </w:p>
    <w:p w14:paraId="59E49093"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signalStorm</w:t>
      </w:r>
      <w:r w:rsidRPr="009B7B15">
        <w:rPr>
          <w:rFonts w:ascii="Courier New" w:hAnsi="Courier New"/>
          <w:sz w:val="16"/>
        </w:rPr>
        <w:t>Info</w:t>
      </w:r>
      <w:r w:rsidRPr="00E67CA7">
        <w:rPr>
          <w:rFonts w:ascii="Courier New" w:hAnsi="Courier New"/>
          <w:sz w:val="16"/>
        </w:rPr>
        <w:t>s:</w:t>
      </w:r>
    </w:p>
    <w:p w14:paraId="308B2A80"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65EA34D5"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64F9C264" w14:textId="77777777" w:rsidR="00432DC2" w:rsidRPr="00E67CA7" w:rsidRDefault="00432DC2" w:rsidP="00432D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sidRPr="007975F1">
        <w:rPr>
          <w:rFonts w:ascii="Courier New" w:hAnsi="Courier New"/>
          <w:sz w:val="16"/>
        </w:rPr>
        <w:t>$ref: 'TS29520_Nnwdaf_EventsSubscription.yaml#/</w:t>
      </w:r>
      <w:r w:rsidRPr="00E67CA7">
        <w:rPr>
          <w:rFonts w:ascii="Courier New" w:hAnsi="Courier New"/>
          <w:sz w:val="16"/>
        </w:rPr>
        <w:t>components/schemas/SignalStormInfo'</w:t>
      </w:r>
    </w:p>
    <w:p w14:paraId="5CA36F90" w14:textId="77777777" w:rsidR="0023062A" w:rsidRDefault="00432DC2" w:rsidP="007862A2">
      <w:pPr>
        <w:pStyle w:val="PL"/>
      </w:pPr>
      <w:r w:rsidRPr="00E67CA7">
        <w:t xml:space="preserve">          minItems: 1</w:t>
      </w:r>
    </w:p>
    <w:p w14:paraId="04FBBD1C"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sidRPr="000F6AE2">
        <w:rPr>
          <w:rFonts w:ascii="Courier New" w:hAnsi="Courier New"/>
          <w:sz w:val="16"/>
        </w:rPr>
        <w:t>qosPlyAsstInfos</w:t>
      </w:r>
      <w:r w:rsidRPr="00E67CA7">
        <w:rPr>
          <w:rFonts w:ascii="Courier New" w:hAnsi="Courier New"/>
          <w:sz w:val="16"/>
        </w:rPr>
        <w:t>:</w:t>
      </w:r>
    </w:p>
    <w:p w14:paraId="48928DD3"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type: array</w:t>
      </w:r>
    </w:p>
    <w:p w14:paraId="3957A966"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items:</w:t>
      </w:r>
    </w:p>
    <w:p w14:paraId="730A8E69" w14:textId="77777777" w:rsidR="00CD748D" w:rsidRPr="00E67CA7" w:rsidRDefault="00CD748D" w:rsidP="00CD7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67CA7">
        <w:rPr>
          <w:rFonts w:ascii="Courier New" w:hAnsi="Courier New"/>
          <w:sz w:val="16"/>
        </w:rPr>
        <w:t xml:space="preserve">            </w:t>
      </w:r>
      <w:r w:rsidRPr="007975F1">
        <w:rPr>
          <w:rFonts w:ascii="Courier New" w:hAnsi="Courier New"/>
          <w:sz w:val="16"/>
        </w:rPr>
        <w:t>$ref: 'TS29520_Nnwdaf_EventsSubscription.yaml#/</w:t>
      </w:r>
      <w:r w:rsidRPr="00E67CA7">
        <w:rPr>
          <w:rFonts w:ascii="Courier New" w:hAnsi="Courier New"/>
          <w:sz w:val="16"/>
        </w:rPr>
        <w:t>components/schemas/</w:t>
      </w:r>
      <w:r w:rsidRPr="003B4EA3">
        <w:rPr>
          <w:rFonts w:ascii="Courier New" w:hAnsi="Courier New"/>
          <w:sz w:val="16"/>
        </w:rPr>
        <w:t>QosPolicyAssistInfo</w:t>
      </w:r>
      <w:r w:rsidRPr="00E67CA7">
        <w:rPr>
          <w:rFonts w:ascii="Courier New" w:hAnsi="Courier New"/>
          <w:sz w:val="16"/>
        </w:rPr>
        <w:t>'</w:t>
      </w:r>
    </w:p>
    <w:p w14:paraId="7706429C" w14:textId="77777777" w:rsidR="00CD748D" w:rsidRDefault="00CD748D" w:rsidP="00CD748D">
      <w:pPr>
        <w:pStyle w:val="PL"/>
      </w:pPr>
      <w:r w:rsidRPr="00E67CA7">
        <w:t xml:space="preserve">          minItems: 1</w:t>
      </w:r>
    </w:p>
    <w:p w14:paraId="46364D3D" w14:textId="77777777" w:rsidR="007862A2" w:rsidRDefault="007862A2" w:rsidP="007862A2">
      <w:pPr>
        <w:pStyle w:val="PL"/>
      </w:pPr>
      <w:r>
        <w:t xml:space="preserve">        suppFeat:</w:t>
      </w:r>
    </w:p>
    <w:p w14:paraId="2C3DECA9" w14:textId="77777777" w:rsidR="007862A2" w:rsidRDefault="007862A2" w:rsidP="007862A2">
      <w:pPr>
        <w:pStyle w:val="PL"/>
      </w:pPr>
      <w:r>
        <w:t xml:space="preserve">          $ref: 'TS29571_CommonData.yaml#/components/schemas/SupportedFeatures'</w:t>
      </w:r>
    </w:p>
    <w:p w14:paraId="5EACDE84" w14:textId="77777777" w:rsidR="007862A2" w:rsidRDefault="007862A2" w:rsidP="007862A2">
      <w:pPr>
        <w:pStyle w:val="PL"/>
      </w:pPr>
    </w:p>
    <w:p w14:paraId="28E166F7" w14:textId="77777777" w:rsidR="007862A2" w:rsidRDefault="007862A2" w:rsidP="007862A2">
      <w:pPr>
        <w:pStyle w:val="PL"/>
      </w:pPr>
      <w:r>
        <w:t xml:space="preserve">    EventFilter:</w:t>
      </w:r>
    </w:p>
    <w:p w14:paraId="6A37D29E" w14:textId="77777777" w:rsidR="007862A2" w:rsidRDefault="007862A2" w:rsidP="007862A2">
      <w:pPr>
        <w:pStyle w:val="PL"/>
      </w:pPr>
      <w:r>
        <w:t xml:space="preserve">      description: Represents the event filters used to identify the requested analytics.</w:t>
      </w:r>
    </w:p>
    <w:p w14:paraId="7A97DCC6" w14:textId="77777777" w:rsidR="007862A2" w:rsidRDefault="007862A2" w:rsidP="007862A2">
      <w:pPr>
        <w:pStyle w:val="PL"/>
      </w:pPr>
      <w:r>
        <w:t xml:space="preserve">      type: object</w:t>
      </w:r>
    </w:p>
    <w:p w14:paraId="2EFD8EEB" w14:textId="77777777" w:rsidR="007862A2" w:rsidRDefault="007862A2" w:rsidP="007862A2">
      <w:pPr>
        <w:pStyle w:val="PL"/>
      </w:pPr>
      <w:r>
        <w:t xml:space="preserve">      properties:</w:t>
      </w:r>
    </w:p>
    <w:p w14:paraId="506091EE" w14:textId="77777777" w:rsidR="007862A2" w:rsidRDefault="007862A2" w:rsidP="007862A2">
      <w:pPr>
        <w:pStyle w:val="PL"/>
      </w:pPr>
      <w:r>
        <w:t xml:space="preserve">        anySlice:</w:t>
      </w:r>
    </w:p>
    <w:p w14:paraId="23CB3905" w14:textId="77777777" w:rsidR="007862A2" w:rsidRDefault="007862A2" w:rsidP="007862A2">
      <w:pPr>
        <w:pStyle w:val="PL"/>
        <w:rPr>
          <w:rFonts w:eastAsia="等线"/>
        </w:rPr>
      </w:pPr>
      <w:r>
        <w:t xml:space="preserve">          $ref: 'TS2952</w:t>
      </w:r>
      <w:r>
        <w:rPr>
          <w:lang w:eastAsia="zh-CN"/>
        </w:rPr>
        <w:t>0</w:t>
      </w:r>
      <w:r>
        <w:rPr>
          <w:rFonts w:eastAsia="等线"/>
        </w:rPr>
        <w:t>_Nnwdaf_EventsSubscription.yaml#/components/schemas/AnySlice'</w:t>
      </w:r>
    </w:p>
    <w:p w14:paraId="46573B53" w14:textId="77777777" w:rsidR="007862A2" w:rsidRDefault="007862A2" w:rsidP="007862A2">
      <w:pPr>
        <w:pStyle w:val="PL"/>
      </w:pPr>
      <w:r>
        <w:rPr>
          <w:rFonts w:eastAsia="等线"/>
        </w:rPr>
        <w:t xml:space="preserve">        snssais</w:t>
      </w:r>
      <w:r>
        <w:t>:</w:t>
      </w:r>
    </w:p>
    <w:p w14:paraId="1B8BB612" w14:textId="77777777" w:rsidR="007862A2" w:rsidRDefault="007862A2" w:rsidP="007862A2">
      <w:pPr>
        <w:pStyle w:val="PL"/>
      </w:pPr>
      <w:r>
        <w:t xml:space="preserve">          type: array</w:t>
      </w:r>
    </w:p>
    <w:p w14:paraId="59D49EFD" w14:textId="77777777" w:rsidR="007862A2" w:rsidRDefault="007862A2" w:rsidP="007862A2">
      <w:pPr>
        <w:pStyle w:val="PL"/>
      </w:pPr>
      <w:r>
        <w:t xml:space="preserve">          items:</w:t>
      </w:r>
    </w:p>
    <w:p w14:paraId="4CE43091" w14:textId="77777777" w:rsidR="007862A2" w:rsidRDefault="007862A2" w:rsidP="007862A2">
      <w:pPr>
        <w:pStyle w:val="PL"/>
      </w:pPr>
      <w:r>
        <w:t xml:space="preserve">            $ref: 'TS29571_CommonData.yaml#/components/schemas/Snssai'</w:t>
      </w:r>
    </w:p>
    <w:p w14:paraId="692810A7" w14:textId="77777777" w:rsidR="007862A2" w:rsidRDefault="007862A2" w:rsidP="007862A2">
      <w:pPr>
        <w:pStyle w:val="PL"/>
      </w:pPr>
      <w:r>
        <w:t xml:space="preserve">          minItems: 1</w:t>
      </w:r>
    </w:p>
    <w:p w14:paraId="4113B8A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Identification(s) of network slice.</w:t>
      </w:r>
    </w:p>
    <w:p w14:paraId="2CA08EC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roamingInfo:</w:t>
      </w:r>
    </w:p>
    <w:p w14:paraId="269333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w:t>
      </w:r>
      <w:r>
        <w:rPr>
          <w:rFonts w:ascii="Courier New" w:hAnsi="Courier New"/>
          <w:sz w:val="16"/>
          <w:lang w:eastAsia="zh-CN"/>
        </w:rPr>
        <w:t>0</w:t>
      </w:r>
      <w:r>
        <w:rPr>
          <w:rFonts w:ascii="Courier New" w:eastAsia="等线" w:hAnsi="Courier New"/>
          <w:sz w:val="16"/>
        </w:rPr>
        <w:t>_Nnwdaf_EventsSubscription.yaml</w:t>
      </w:r>
      <w:r>
        <w:rPr>
          <w:rFonts w:ascii="Courier New" w:hAnsi="Courier New"/>
          <w:sz w:val="16"/>
        </w:rPr>
        <w:t>#/components/schemas/RoamingInfo'</w:t>
      </w:r>
    </w:p>
    <w:p w14:paraId="7819643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appIds:</w:t>
      </w:r>
    </w:p>
    <w:p w14:paraId="01276A0E" w14:textId="77777777" w:rsidR="007862A2" w:rsidRDefault="007862A2" w:rsidP="007862A2">
      <w:pPr>
        <w:pStyle w:val="PL"/>
      </w:pPr>
      <w:r>
        <w:t xml:space="preserve">          type: array</w:t>
      </w:r>
    </w:p>
    <w:p w14:paraId="601C5228" w14:textId="77777777" w:rsidR="007862A2" w:rsidRDefault="007862A2" w:rsidP="007862A2">
      <w:pPr>
        <w:pStyle w:val="PL"/>
      </w:pPr>
      <w:r>
        <w:t xml:space="preserve">          items:</w:t>
      </w:r>
    </w:p>
    <w:p w14:paraId="3988B5C7" w14:textId="77777777" w:rsidR="007862A2" w:rsidRDefault="007862A2" w:rsidP="007862A2">
      <w:pPr>
        <w:pStyle w:val="PL"/>
      </w:pPr>
      <w:r>
        <w:t xml:space="preserve">            $ref: 'TS29571_CommonData.yaml#/components/schemas/ApplicationId'</w:t>
      </w:r>
    </w:p>
    <w:p w14:paraId="4CB27227" w14:textId="77777777" w:rsidR="007862A2" w:rsidRDefault="007862A2" w:rsidP="007862A2">
      <w:pPr>
        <w:pStyle w:val="PL"/>
      </w:pPr>
      <w:r>
        <w:t xml:space="preserve">          minItems: 1</w:t>
      </w:r>
    </w:p>
    <w:p w14:paraId="74D21A5B" w14:textId="77777777" w:rsidR="007862A2" w:rsidRDefault="007862A2" w:rsidP="007862A2">
      <w:pPr>
        <w:pStyle w:val="PL"/>
      </w:pPr>
      <w:r>
        <w:t xml:space="preserve">        dnns:</w:t>
      </w:r>
    </w:p>
    <w:p w14:paraId="3B4A0D3F" w14:textId="77777777" w:rsidR="007862A2" w:rsidRDefault="007862A2" w:rsidP="007862A2">
      <w:pPr>
        <w:pStyle w:val="PL"/>
      </w:pPr>
      <w:r>
        <w:t xml:space="preserve">          type: array</w:t>
      </w:r>
    </w:p>
    <w:p w14:paraId="22EAEADA" w14:textId="77777777" w:rsidR="007862A2" w:rsidRDefault="007862A2" w:rsidP="007862A2">
      <w:pPr>
        <w:pStyle w:val="PL"/>
      </w:pPr>
      <w:r>
        <w:t xml:space="preserve">          items:</w:t>
      </w:r>
    </w:p>
    <w:p w14:paraId="2940732E" w14:textId="77777777" w:rsidR="007862A2" w:rsidRDefault="007862A2" w:rsidP="007862A2">
      <w:pPr>
        <w:pStyle w:val="PL"/>
      </w:pPr>
      <w:r>
        <w:t xml:space="preserve">            $ref: 'TS29571_CommonData.yaml#/components/schemas/Dnn'</w:t>
      </w:r>
    </w:p>
    <w:p w14:paraId="288F7837" w14:textId="77777777" w:rsidR="007862A2" w:rsidRDefault="007862A2" w:rsidP="007862A2">
      <w:pPr>
        <w:pStyle w:val="PL"/>
      </w:pPr>
      <w:r>
        <w:t xml:space="preserve">          minItems: 1</w:t>
      </w:r>
    </w:p>
    <w:p w14:paraId="23039AEB" w14:textId="77777777" w:rsidR="007862A2" w:rsidRDefault="007862A2" w:rsidP="007862A2">
      <w:pPr>
        <w:pStyle w:val="PL"/>
      </w:pPr>
      <w:r>
        <w:t xml:space="preserve">        dnais:</w:t>
      </w:r>
    </w:p>
    <w:p w14:paraId="5C5AE10B" w14:textId="77777777" w:rsidR="007862A2" w:rsidRDefault="007862A2" w:rsidP="007862A2">
      <w:pPr>
        <w:pStyle w:val="PL"/>
      </w:pPr>
      <w:r>
        <w:t xml:space="preserve">          type: array</w:t>
      </w:r>
    </w:p>
    <w:p w14:paraId="25783B43" w14:textId="77777777" w:rsidR="007862A2" w:rsidRDefault="007862A2" w:rsidP="007862A2">
      <w:pPr>
        <w:pStyle w:val="PL"/>
      </w:pPr>
      <w:r>
        <w:t xml:space="preserve">          items:</w:t>
      </w:r>
    </w:p>
    <w:p w14:paraId="10865222" w14:textId="77777777" w:rsidR="007862A2" w:rsidRDefault="007862A2" w:rsidP="007862A2">
      <w:pPr>
        <w:pStyle w:val="PL"/>
      </w:pPr>
      <w:r>
        <w:t xml:space="preserve">            $ref: 'TS29571_CommonData.yaml#/components/schemas/Dnai'</w:t>
      </w:r>
    </w:p>
    <w:p w14:paraId="0C099F32" w14:textId="77777777" w:rsidR="007862A2" w:rsidRDefault="007862A2" w:rsidP="007862A2">
      <w:pPr>
        <w:pStyle w:val="PL"/>
      </w:pPr>
      <w:r>
        <w:t xml:space="preserve">          minItems: 1</w:t>
      </w:r>
    </w:p>
    <w:p w14:paraId="682D0785" w14:textId="77777777" w:rsidR="007862A2" w:rsidRDefault="007862A2" w:rsidP="007862A2">
      <w:pPr>
        <w:pStyle w:val="PL"/>
      </w:pPr>
      <w:r>
        <w:t xml:space="preserve">        ladnDnns:</w:t>
      </w:r>
    </w:p>
    <w:p w14:paraId="228668A9" w14:textId="77777777" w:rsidR="007862A2" w:rsidRDefault="007862A2" w:rsidP="007862A2">
      <w:pPr>
        <w:pStyle w:val="PL"/>
      </w:pPr>
      <w:r>
        <w:t xml:space="preserve">          type: array</w:t>
      </w:r>
    </w:p>
    <w:p w14:paraId="1969F217" w14:textId="77777777" w:rsidR="007862A2" w:rsidRDefault="007862A2" w:rsidP="007862A2">
      <w:pPr>
        <w:pStyle w:val="PL"/>
      </w:pPr>
      <w:r>
        <w:t xml:space="preserve">          items:</w:t>
      </w:r>
    </w:p>
    <w:p w14:paraId="107915E7" w14:textId="77777777" w:rsidR="007862A2" w:rsidRDefault="007862A2" w:rsidP="007862A2">
      <w:pPr>
        <w:pStyle w:val="PL"/>
      </w:pPr>
      <w:r>
        <w:t xml:space="preserve">            $ref: 'TS29571_CommonData.yaml#/components/schemas/Dnn'</w:t>
      </w:r>
    </w:p>
    <w:p w14:paraId="104A0594" w14:textId="77777777" w:rsidR="007862A2" w:rsidRDefault="007862A2" w:rsidP="007862A2">
      <w:pPr>
        <w:pStyle w:val="PL"/>
      </w:pPr>
      <w:r>
        <w:t xml:space="preserve">          minItems: 1</w:t>
      </w:r>
    </w:p>
    <w:p w14:paraId="02C4BD43" w14:textId="77777777" w:rsidR="007862A2" w:rsidRDefault="007862A2" w:rsidP="007862A2">
      <w:pPr>
        <w:pStyle w:val="PL"/>
      </w:pPr>
      <w:r>
        <w:t xml:space="preserve">          description: Identification(s) of LADN DNN to indicate the LADN service area as the AOI.</w:t>
      </w:r>
    </w:p>
    <w:p w14:paraId="509D532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location:</w:t>
      </w:r>
    </w:p>
    <w:p w14:paraId="3E8D137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'TS29520_Nnwdaf_EventsSubscription.yaml#/components/schemas/GeoLocation'</w:t>
      </w:r>
    </w:p>
    <w:p w14:paraId="45314B9F" w14:textId="77777777" w:rsidR="007862A2" w:rsidRDefault="007862A2" w:rsidP="007862A2">
      <w:pPr>
        <w:pStyle w:val="PL"/>
      </w:pPr>
      <w:r>
        <w:t xml:space="preserve">        networkArea:</w:t>
      </w:r>
    </w:p>
    <w:p w14:paraId="0F2EE8DC" w14:textId="77777777" w:rsidR="007862A2" w:rsidRDefault="007862A2" w:rsidP="007862A2">
      <w:pPr>
        <w:pStyle w:val="PL"/>
      </w:pPr>
      <w:r>
        <w:t xml:space="preserve">          $ref: 'TS29554_Npcf_BDTPolicyControl.yaml#/components/schemas/NetworkAreaInfo'</w:t>
      </w:r>
    </w:p>
    <w:p w14:paraId="15A7E816" w14:textId="77777777" w:rsidR="007862A2" w:rsidRDefault="007862A2" w:rsidP="007862A2">
      <w:pPr>
        <w:pStyle w:val="PL"/>
      </w:pPr>
      <w:r>
        <w:t xml:space="preserve">        temporalGranSize:</w:t>
      </w:r>
    </w:p>
    <w:p w14:paraId="657F5541" w14:textId="77777777" w:rsidR="007862A2" w:rsidRDefault="007862A2" w:rsidP="007862A2">
      <w:pPr>
        <w:pStyle w:val="PL"/>
      </w:pPr>
      <w:r>
        <w:t xml:space="preserve">          $ref: 'TS29571_CommonData.yaml#/components/schemas/DurationSec'</w:t>
      </w:r>
    </w:p>
    <w:p w14:paraId="60F68078" w14:textId="77777777" w:rsidR="007862A2" w:rsidRDefault="007862A2" w:rsidP="007862A2">
      <w:pPr>
        <w:pStyle w:val="PL"/>
      </w:pPr>
      <w:r>
        <w:t xml:space="preserve">        spatialGranSizeTa:</w:t>
      </w:r>
    </w:p>
    <w:p w14:paraId="6BAB5DF9" w14:textId="77777777" w:rsidR="007862A2" w:rsidRDefault="007862A2" w:rsidP="007862A2">
      <w:pPr>
        <w:pStyle w:val="PL"/>
      </w:pPr>
      <w:r>
        <w:t xml:space="preserve">          $ref: 'TS29571_CommonData.yaml#/components/schemas/Uinteger'</w:t>
      </w:r>
    </w:p>
    <w:p w14:paraId="28410641" w14:textId="77777777" w:rsidR="007862A2" w:rsidRDefault="007862A2" w:rsidP="007862A2">
      <w:pPr>
        <w:pStyle w:val="PL"/>
      </w:pPr>
      <w:r>
        <w:t xml:space="preserve">        spatialGranSizeCell:</w:t>
      </w:r>
    </w:p>
    <w:p w14:paraId="6199BB8F" w14:textId="77777777" w:rsidR="007862A2" w:rsidRDefault="007862A2" w:rsidP="007862A2">
      <w:pPr>
        <w:pStyle w:val="PL"/>
      </w:pPr>
      <w:r>
        <w:t xml:space="preserve">          $ref: 'TS29571_CommonData.yaml#/components/schemas/Uinteger'</w:t>
      </w:r>
    </w:p>
    <w:p w14:paraId="61BD55E2" w14:textId="77777777" w:rsidR="007862A2" w:rsidRDefault="007862A2" w:rsidP="007862A2">
      <w:pPr>
        <w:pStyle w:val="PL"/>
      </w:pPr>
      <w:r>
        <w:t xml:space="preserve">        fineGranAreas:</w:t>
      </w:r>
    </w:p>
    <w:p w14:paraId="37949F63" w14:textId="77777777" w:rsidR="007862A2" w:rsidRDefault="007862A2" w:rsidP="007862A2">
      <w:pPr>
        <w:pStyle w:val="PL"/>
      </w:pPr>
      <w:r>
        <w:t xml:space="preserve">          type: array</w:t>
      </w:r>
    </w:p>
    <w:p w14:paraId="5BB35C19" w14:textId="77777777" w:rsidR="007862A2" w:rsidRDefault="007862A2" w:rsidP="007862A2">
      <w:pPr>
        <w:pStyle w:val="PL"/>
      </w:pPr>
      <w:r>
        <w:t xml:space="preserve">          items:</w:t>
      </w:r>
    </w:p>
    <w:p w14:paraId="0AE121B2" w14:textId="77777777" w:rsidR="007862A2" w:rsidRDefault="007862A2" w:rsidP="007862A2">
      <w:pPr>
        <w:pStyle w:val="PL"/>
      </w:pPr>
      <w:r>
        <w:t xml:space="preserve">            </w:t>
      </w:r>
      <w:r>
        <w:rPr>
          <w:rFonts w:cs="Courier New"/>
          <w:szCs w:val="16"/>
        </w:rPr>
        <w:t>$ref: 'TS29522_AMPolicyAuthorization.yaml#/components/schemas/GeographicalArea'</w:t>
      </w:r>
    </w:p>
    <w:p w14:paraId="79D671BE" w14:textId="77777777" w:rsidR="007862A2" w:rsidRDefault="007862A2" w:rsidP="007862A2">
      <w:pPr>
        <w:pStyle w:val="PL"/>
      </w:pPr>
      <w:r>
        <w:t xml:space="preserve">          minItems: 1</w:t>
      </w:r>
    </w:p>
    <w:p w14:paraId="32D67C30" w14:textId="77777777" w:rsidR="007862A2" w:rsidRDefault="007862A2" w:rsidP="007862A2">
      <w:pPr>
        <w:pStyle w:val="PL"/>
      </w:pPr>
      <w:r>
        <w:t xml:space="preserve">          description: </w:t>
      </w:r>
      <w:r>
        <w:rPr>
          <w:lang w:eastAsia="zh-CN"/>
        </w:rPr>
        <w:t>Indicates th</w:t>
      </w:r>
      <w:r>
        <w:t>e fine granularity areas to which the request applies.</w:t>
      </w:r>
    </w:p>
    <w:p w14:paraId="69670225" w14:textId="77777777" w:rsidR="007862A2" w:rsidRDefault="007862A2" w:rsidP="007862A2">
      <w:pPr>
        <w:pStyle w:val="PL"/>
      </w:pPr>
      <w:r>
        <w:t xml:space="preserve">        visitedAreas:</w:t>
      </w:r>
    </w:p>
    <w:p w14:paraId="2FCA34F0" w14:textId="77777777" w:rsidR="007862A2" w:rsidRDefault="007862A2" w:rsidP="007862A2">
      <w:pPr>
        <w:pStyle w:val="PL"/>
      </w:pPr>
      <w:r>
        <w:t xml:space="preserve">          type: array</w:t>
      </w:r>
    </w:p>
    <w:p w14:paraId="7B5D9973" w14:textId="77777777" w:rsidR="007862A2" w:rsidRDefault="007862A2" w:rsidP="007862A2">
      <w:pPr>
        <w:pStyle w:val="PL"/>
      </w:pPr>
      <w:r>
        <w:t xml:space="preserve">          items:</w:t>
      </w:r>
    </w:p>
    <w:p w14:paraId="50D4CECE" w14:textId="77777777" w:rsidR="007862A2" w:rsidRDefault="007862A2" w:rsidP="007862A2">
      <w:pPr>
        <w:pStyle w:val="PL"/>
      </w:pPr>
      <w:r>
        <w:lastRenderedPageBreak/>
        <w:t xml:space="preserve">            $ref: 'TS29554_Npcf_BDTPolicyControl.yaml#/components/schemas/NetworkAreaInfo'</w:t>
      </w:r>
    </w:p>
    <w:p w14:paraId="0F0EA2C2" w14:textId="77777777" w:rsidR="007862A2" w:rsidRDefault="007862A2" w:rsidP="007862A2">
      <w:pPr>
        <w:pStyle w:val="PL"/>
      </w:pPr>
      <w:r>
        <w:t xml:space="preserve">          minItems: 1</w:t>
      </w:r>
    </w:p>
    <w:p w14:paraId="3F86B1DC" w14:textId="77777777" w:rsidR="007862A2" w:rsidRDefault="007862A2" w:rsidP="007862A2">
      <w:pPr>
        <w:pStyle w:val="PL"/>
      </w:pPr>
      <w:r>
        <w:t xml:space="preserve">        maxTopAppUlNbr:</w:t>
      </w:r>
    </w:p>
    <w:p w14:paraId="2D622668" w14:textId="77777777" w:rsidR="007862A2" w:rsidRDefault="007862A2" w:rsidP="007862A2">
      <w:pPr>
        <w:pStyle w:val="PL"/>
      </w:pPr>
      <w:r>
        <w:t xml:space="preserve">          $ref: 'TS29571_CommonData.yaml#/components/schemas/Uinteger'</w:t>
      </w:r>
    </w:p>
    <w:p w14:paraId="29682352" w14:textId="77777777" w:rsidR="007862A2" w:rsidRDefault="007862A2" w:rsidP="007862A2">
      <w:pPr>
        <w:pStyle w:val="PL"/>
      </w:pPr>
      <w:r>
        <w:t xml:space="preserve">        maxTopAppDlNbr:</w:t>
      </w:r>
    </w:p>
    <w:p w14:paraId="1B1FDBD4" w14:textId="77777777" w:rsidR="007862A2" w:rsidRDefault="007862A2" w:rsidP="007862A2">
      <w:pPr>
        <w:pStyle w:val="PL"/>
      </w:pPr>
      <w:r>
        <w:t xml:space="preserve">          $ref: 'TS29571_CommonData.yaml#/components/schemas/Uinteger'</w:t>
      </w:r>
    </w:p>
    <w:p w14:paraId="30412218" w14:textId="77777777" w:rsidR="007862A2" w:rsidRDefault="007862A2" w:rsidP="007862A2">
      <w:pPr>
        <w:pStyle w:val="PL"/>
      </w:pPr>
      <w:r>
        <w:t xml:space="preserve">        nfInstanceIds:</w:t>
      </w:r>
    </w:p>
    <w:p w14:paraId="4DC5B089" w14:textId="77777777" w:rsidR="007862A2" w:rsidRDefault="007862A2" w:rsidP="007862A2">
      <w:pPr>
        <w:pStyle w:val="PL"/>
      </w:pPr>
      <w:r>
        <w:t xml:space="preserve">          type: array</w:t>
      </w:r>
    </w:p>
    <w:p w14:paraId="34124BFD" w14:textId="77777777" w:rsidR="007862A2" w:rsidRDefault="007862A2" w:rsidP="007862A2">
      <w:pPr>
        <w:pStyle w:val="PL"/>
      </w:pPr>
      <w:r>
        <w:t xml:space="preserve">          items:</w:t>
      </w:r>
    </w:p>
    <w:p w14:paraId="3CFA090B" w14:textId="77777777" w:rsidR="007862A2" w:rsidRDefault="007862A2" w:rsidP="007862A2">
      <w:pPr>
        <w:pStyle w:val="PL"/>
      </w:pPr>
      <w:r>
        <w:t xml:space="preserve">            $ref: 'TS29571_CommonData.yaml#/components/schemas/NfInstanceId'</w:t>
      </w:r>
    </w:p>
    <w:p w14:paraId="5F39C68F" w14:textId="77777777" w:rsidR="007862A2" w:rsidRDefault="007862A2" w:rsidP="007862A2">
      <w:pPr>
        <w:pStyle w:val="PL"/>
      </w:pPr>
      <w:r>
        <w:t xml:space="preserve">          minItems: 1</w:t>
      </w:r>
    </w:p>
    <w:p w14:paraId="46833471" w14:textId="77777777" w:rsidR="007862A2" w:rsidRDefault="007862A2" w:rsidP="007862A2">
      <w:pPr>
        <w:pStyle w:val="PL"/>
      </w:pPr>
      <w:r>
        <w:t xml:space="preserve">        nfSetIds:</w:t>
      </w:r>
    </w:p>
    <w:p w14:paraId="327F9A62" w14:textId="77777777" w:rsidR="007862A2" w:rsidRDefault="007862A2" w:rsidP="007862A2">
      <w:pPr>
        <w:pStyle w:val="PL"/>
      </w:pPr>
      <w:r>
        <w:t xml:space="preserve">          type: array</w:t>
      </w:r>
    </w:p>
    <w:p w14:paraId="64527871" w14:textId="77777777" w:rsidR="007862A2" w:rsidRDefault="007862A2" w:rsidP="007862A2">
      <w:pPr>
        <w:pStyle w:val="PL"/>
      </w:pPr>
      <w:r>
        <w:t xml:space="preserve">          items:</w:t>
      </w:r>
    </w:p>
    <w:p w14:paraId="4AE374E5" w14:textId="77777777" w:rsidR="007862A2" w:rsidRDefault="007862A2" w:rsidP="007862A2">
      <w:pPr>
        <w:pStyle w:val="PL"/>
      </w:pPr>
      <w:r>
        <w:t xml:space="preserve">            $ref: 'TS29571_CommonData.yaml#/components/schemas/NfSetId'</w:t>
      </w:r>
    </w:p>
    <w:p w14:paraId="130859F9" w14:textId="77777777" w:rsidR="007862A2" w:rsidRDefault="007862A2" w:rsidP="007862A2">
      <w:pPr>
        <w:pStyle w:val="PL"/>
      </w:pPr>
      <w:r>
        <w:t xml:space="preserve">          minItems: 1</w:t>
      </w:r>
    </w:p>
    <w:p w14:paraId="427064B2" w14:textId="77777777" w:rsidR="007862A2" w:rsidRDefault="007862A2" w:rsidP="007862A2">
      <w:pPr>
        <w:pStyle w:val="PL"/>
      </w:pPr>
      <w:r>
        <w:t xml:space="preserve">        nfTypes:</w:t>
      </w:r>
    </w:p>
    <w:p w14:paraId="6CD3E631" w14:textId="77777777" w:rsidR="007862A2" w:rsidRDefault="007862A2" w:rsidP="007862A2">
      <w:pPr>
        <w:pStyle w:val="PL"/>
      </w:pPr>
      <w:r>
        <w:t xml:space="preserve">          type: array</w:t>
      </w:r>
    </w:p>
    <w:p w14:paraId="1832C45D" w14:textId="77777777" w:rsidR="007862A2" w:rsidRDefault="007862A2" w:rsidP="007862A2">
      <w:pPr>
        <w:pStyle w:val="PL"/>
      </w:pPr>
      <w:r>
        <w:t xml:space="preserve">          items:</w:t>
      </w:r>
    </w:p>
    <w:p w14:paraId="6EA3E040" w14:textId="77777777" w:rsidR="007862A2" w:rsidRDefault="007862A2" w:rsidP="007862A2">
      <w:pPr>
        <w:pStyle w:val="PL"/>
      </w:pPr>
      <w:r>
        <w:t xml:space="preserve">            $ref: 'TS29510_Nnrf_NFManagement.yaml#/components/schemas/NFType'</w:t>
      </w:r>
    </w:p>
    <w:p w14:paraId="1FDEE77F" w14:textId="77777777" w:rsidR="007862A2" w:rsidRDefault="007862A2" w:rsidP="007862A2">
      <w:pPr>
        <w:pStyle w:val="PL"/>
      </w:pPr>
      <w:r>
        <w:t xml:space="preserve">          minItems: 1</w:t>
      </w:r>
    </w:p>
    <w:p w14:paraId="4563AA82" w14:textId="77777777" w:rsidR="007862A2" w:rsidRDefault="007862A2" w:rsidP="007862A2">
      <w:pPr>
        <w:pStyle w:val="PL"/>
      </w:pPr>
      <w:r>
        <w:t xml:space="preserve">        nsiIdInfos:</w:t>
      </w:r>
    </w:p>
    <w:p w14:paraId="1B911FFC" w14:textId="77777777" w:rsidR="007862A2" w:rsidRDefault="007862A2" w:rsidP="007862A2">
      <w:pPr>
        <w:pStyle w:val="PL"/>
      </w:pPr>
      <w:r>
        <w:t xml:space="preserve">          type: array</w:t>
      </w:r>
    </w:p>
    <w:p w14:paraId="2984C976" w14:textId="77777777" w:rsidR="007862A2" w:rsidRDefault="007862A2" w:rsidP="007862A2">
      <w:pPr>
        <w:pStyle w:val="PL"/>
      </w:pPr>
      <w:r>
        <w:t xml:space="preserve">          items:</w:t>
      </w:r>
    </w:p>
    <w:p w14:paraId="66316F35" w14:textId="77777777" w:rsidR="007862A2" w:rsidRDefault="007862A2" w:rsidP="007862A2">
      <w:pPr>
        <w:pStyle w:val="PL"/>
      </w:pPr>
      <w:r>
        <w:t xml:space="preserve">            $ref: 'TS29520_Nnwdaf_EventsSubscription.yaml#/components/schemas/NsiIdInfo'</w:t>
      </w:r>
    </w:p>
    <w:p w14:paraId="11843F11" w14:textId="77777777" w:rsidR="007862A2" w:rsidRDefault="007862A2" w:rsidP="007862A2">
      <w:pPr>
        <w:pStyle w:val="PL"/>
      </w:pPr>
      <w:r>
        <w:t xml:space="preserve">          minItems: 1</w:t>
      </w:r>
    </w:p>
    <w:p w14:paraId="1974177D" w14:textId="77777777" w:rsidR="007862A2" w:rsidRDefault="007862A2" w:rsidP="007862A2">
      <w:pPr>
        <w:pStyle w:val="PL"/>
      </w:pPr>
      <w:r>
        <w:t xml:space="preserve">        qosRequ:</w:t>
      </w:r>
    </w:p>
    <w:p w14:paraId="15B5E59D" w14:textId="77777777" w:rsidR="007862A2" w:rsidRDefault="007862A2" w:rsidP="007862A2">
      <w:pPr>
        <w:pStyle w:val="PL"/>
      </w:pPr>
      <w:r>
        <w:t xml:space="preserve">          $ref: 'TS29520_Nnwdaf_EventsSubscription.yaml#/components/schemas/QosRequirement'</w:t>
      </w:r>
    </w:p>
    <w:p w14:paraId="7E366B48" w14:textId="77777777" w:rsidR="007862A2" w:rsidRDefault="007862A2" w:rsidP="007862A2">
      <w:pPr>
        <w:pStyle w:val="PL"/>
      </w:pPr>
      <w:r>
        <w:t xml:space="preserve">        </w:t>
      </w:r>
      <w:r>
        <w:rPr>
          <w:lang w:eastAsia="zh-CN"/>
        </w:rPr>
        <w:t>n</w:t>
      </w:r>
      <w:r>
        <w:t>wPerfReqs:</w:t>
      </w:r>
    </w:p>
    <w:p w14:paraId="08BEB2A7" w14:textId="77777777" w:rsidR="007862A2" w:rsidRDefault="007862A2" w:rsidP="007862A2">
      <w:pPr>
        <w:pStyle w:val="PL"/>
      </w:pPr>
      <w:r>
        <w:t xml:space="preserve">          type: array</w:t>
      </w:r>
    </w:p>
    <w:p w14:paraId="16D87023" w14:textId="77777777" w:rsidR="007862A2" w:rsidRDefault="007862A2" w:rsidP="007862A2">
      <w:pPr>
        <w:pStyle w:val="PL"/>
      </w:pPr>
      <w:r>
        <w:t xml:space="preserve">          items:</w:t>
      </w:r>
    </w:p>
    <w:p w14:paraId="08529C6D" w14:textId="77777777" w:rsidR="007862A2" w:rsidRDefault="007862A2" w:rsidP="007862A2">
      <w:pPr>
        <w:pStyle w:val="PL"/>
      </w:pPr>
      <w:r>
        <w:t xml:space="preserve">            $ref: '#/components/schemas/NetworkPerfReq'</w:t>
      </w:r>
    </w:p>
    <w:p w14:paraId="6447AD6E" w14:textId="77777777" w:rsidR="007862A2" w:rsidRDefault="007862A2" w:rsidP="007862A2">
      <w:pPr>
        <w:pStyle w:val="PL"/>
      </w:pPr>
      <w:r>
        <w:t xml:space="preserve">          minItems: 1</w:t>
      </w:r>
    </w:p>
    <w:p w14:paraId="2CD538C4" w14:textId="77777777" w:rsidR="007862A2" w:rsidRDefault="007862A2" w:rsidP="007862A2">
      <w:pPr>
        <w:pStyle w:val="PL"/>
      </w:pPr>
      <w:r>
        <w:t xml:space="preserve">        nwPerfTypes:</w:t>
      </w:r>
    </w:p>
    <w:p w14:paraId="0AEF8EF3" w14:textId="77777777" w:rsidR="007862A2" w:rsidRDefault="007862A2" w:rsidP="007862A2">
      <w:pPr>
        <w:pStyle w:val="PL"/>
      </w:pPr>
      <w:r>
        <w:t xml:space="preserve">          type: array</w:t>
      </w:r>
    </w:p>
    <w:p w14:paraId="234BA84B" w14:textId="77777777" w:rsidR="007862A2" w:rsidRDefault="007862A2" w:rsidP="007862A2">
      <w:pPr>
        <w:pStyle w:val="PL"/>
      </w:pPr>
      <w:r>
        <w:t xml:space="preserve">          items:</w:t>
      </w:r>
    </w:p>
    <w:p w14:paraId="2883F893" w14:textId="77777777" w:rsidR="007862A2" w:rsidRDefault="007862A2" w:rsidP="007862A2">
      <w:pPr>
        <w:pStyle w:val="PL"/>
      </w:pPr>
      <w:r>
        <w:t xml:space="preserve">            $ref: 'TS29520_Nnwdaf_EventsSubscription.yaml#/components/schemas/NetworkPerfType'</w:t>
      </w:r>
    </w:p>
    <w:p w14:paraId="69E3E323" w14:textId="77777777" w:rsidR="007862A2" w:rsidRDefault="007862A2" w:rsidP="007862A2">
      <w:pPr>
        <w:pStyle w:val="PL"/>
      </w:pPr>
      <w:r>
        <w:t xml:space="preserve">          minItems: 1</w:t>
      </w:r>
    </w:p>
    <w:p w14:paraId="668D9758" w14:textId="77777777" w:rsidR="007862A2" w:rsidRDefault="007862A2" w:rsidP="007862A2">
      <w:pPr>
        <w:pStyle w:val="PL"/>
      </w:pPr>
      <w:r>
        <w:t xml:space="preserve">        addNwPerfReqs:</w:t>
      </w:r>
    </w:p>
    <w:p w14:paraId="60F3FECE" w14:textId="77777777" w:rsidR="007862A2" w:rsidRDefault="007862A2" w:rsidP="007862A2">
      <w:pPr>
        <w:pStyle w:val="PL"/>
      </w:pPr>
      <w:r>
        <w:t xml:space="preserve">          type: array</w:t>
      </w:r>
    </w:p>
    <w:p w14:paraId="0B831E00" w14:textId="77777777" w:rsidR="007862A2" w:rsidRDefault="007862A2" w:rsidP="007862A2">
      <w:pPr>
        <w:pStyle w:val="PL"/>
      </w:pPr>
      <w:r>
        <w:t xml:space="preserve">          items:</w:t>
      </w:r>
    </w:p>
    <w:p w14:paraId="40228E76" w14:textId="77777777" w:rsidR="007862A2" w:rsidRDefault="007862A2" w:rsidP="007862A2">
      <w:pPr>
        <w:pStyle w:val="PL"/>
      </w:pPr>
      <w:r>
        <w:t xml:space="preserve">            $ref: '#/components/schemas/</w:t>
      </w:r>
      <w:r>
        <w:rPr>
          <w:lang w:eastAsia="zh-CN"/>
        </w:rPr>
        <w:t>ResourceUsageRequPerNwPerfType</w:t>
      </w:r>
      <w:r>
        <w:t>'</w:t>
      </w:r>
    </w:p>
    <w:p w14:paraId="08C02202" w14:textId="77777777" w:rsidR="007862A2" w:rsidRDefault="007862A2" w:rsidP="007862A2">
      <w:pPr>
        <w:pStyle w:val="PL"/>
      </w:pPr>
      <w:r>
        <w:t xml:space="preserve">          minItems: 1</w:t>
      </w:r>
    </w:p>
    <w:p w14:paraId="4DE551BC" w14:textId="77777777" w:rsidR="007862A2" w:rsidRDefault="007862A2" w:rsidP="007862A2">
      <w:pPr>
        <w:pStyle w:val="PL"/>
      </w:pPr>
      <w:r>
        <w:t xml:space="preserve">        userDataConReqs:</w:t>
      </w:r>
    </w:p>
    <w:p w14:paraId="717D7D2C" w14:textId="77777777" w:rsidR="007862A2" w:rsidRDefault="007862A2" w:rsidP="007862A2">
      <w:pPr>
        <w:pStyle w:val="PL"/>
      </w:pPr>
      <w:r>
        <w:t xml:space="preserve">          type: array</w:t>
      </w:r>
    </w:p>
    <w:p w14:paraId="7638060E" w14:textId="77777777" w:rsidR="007862A2" w:rsidRDefault="007862A2" w:rsidP="007862A2">
      <w:pPr>
        <w:pStyle w:val="PL"/>
      </w:pPr>
      <w:r>
        <w:t xml:space="preserve">          items:</w:t>
      </w:r>
    </w:p>
    <w:p w14:paraId="5E4D37B4" w14:textId="77777777" w:rsidR="007862A2" w:rsidRDefault="007862A2" w:rsidP="007862A2">
      <w:pPr>
        <w:pStyle w:val="PL"/>
      </w:pPr>
      <w:r>
        <w:t xml:space="preserve">            $ref: '#/components/schemas/UserDataCongestReq'</w:t>
      </w:r>
    </w:p>
    <w:p w14:paraId="535ECE87" w14:textId="77777777" w:rsidR="007862A2" w:rsidRDefault="007862A2" w:rsidP="007862A2">
      <w:pPr>
        <w:pStyle w:val="PL"/>
      </w:pPr>
      <w:r>
        <w:t xml:space="preserve">          minItems: 1</w:t>
      </w:r>
    </w:p>
    <w:p w14:paraId="7725FE96" w14:textId="77777777" w:rsidR="007862A2" w:rsidRDefault="007862A2" w:rsidP="007862A2">
      <w:pPr>
        <w:pStyle w:val="PL"/>
      </w:pPr>
      <w:r>
        <w:t xml:space="preserve">        bwRequs:</w:t>
      </w:r>
    </w:p>
    <w:p w14:paraId="07A4AFC4" w14:textId="77777777" w:rsidR="007862A2" w:rsidRDefault="007862A2" w:rsidP="007862A2">
      <w:pPr>
        <w:pStyle w:val="PL"/>
      </w:pPr>
      <w:r>
        <w:t xml:space="preserve">          type: array</w:t>
      </w:r>
    </w:p>
    <w:p w14:paraId="53F79BA3" w14:textId="77777777" w:rsidR="007862A2" w:rsidRDefault="007862A2" w:rsidP="007862A2">
      <w:pPr>
        <w:pStyle w:val="PL"/>
      </w:pPr>
      <w:r>
        <w:t xml:space="preserve">          items:</w:t>
      </w:r>
    </w:p>
    <w:p w14:paraId="5D1AA736" w14:textId="77777777" w:rsidR="007862A2" w:rsidRDefault="007862A2" w:rsidP="007862A2">
      <w:pPr>
        <w:pStyle w:val="PL"/>
      </w:pPr>
      <w:r>
        <w:t xml:space="preserve">            $ref: 'TS29520_Nnwdaf_EventsSubscription.yaml#/components/schemas/BwRequirement'</w:t>
      </w:r>
    </w:p>
    <w:p w14:paraId="628DAB24" w14:textId="77777777" w:rsidR="007862A2" w:rsidRDefault="007862A2" w:rsidP="007862A2">
      <w:pPr>
        <w:pStyle w:val="PL"/>
      </w:pPr>
      <w:r>
        <w:t xml:space="preserve">          minItems: 1</w:t>
      </w:r>
    </w:p>
    <w:p w14:paraId="6FEB6CD3" w14:textId="77777777" w:rsidR="007862A2" w:rsidRDefault="007862A2" w:rsidP="007862A2">
      <w:pPr>
        <w:pStyle w:val="PL"/>
      </w:pPr>
      <w:r>
        <w:t xml:space="preserve">        excepIds:</w:t>
      </w:r>
    </w:p>
    <w:p w14:paraId="35BAD84F" w14:textId="77777777" w:rsidR="007862A2" w:rsidRDefault="007862A2" w:rsidP="007862A2">
      <w:pPr>
        <w:pStyle w:val="PL"/>
      </w:pPr>
      <w:r>
        <w:t xml:space="preserve">          type: array</w:t>
      </w:r>
    </w:p>
    <w:p w14:paraId="5C0919B3" w14:textId="77777777" w:rsidR="007862A2" w:rsidRDefault="007862A2" w:rsidP="007862A2">
      <w:pPr>
        <w:pStyle w:val="PL"/>
      </w:pPr>
      <w:r>
        <w:t xml:space="preserve">          items:</w:t>
      </w:r>
    </w:p>
    <w:p w14:paraId="642BE169" w14:textId="77777777" w:rsidR="007862A2" w:rsidRDefault="007862A2" w:rsidP="007862A2">
      <w:pPr>
        <w:pStyle w:val="PL"/>
      </w:pPr>
      <w:r>
        <w:t xml:space="preserve">            $ref: 'TS29520_Nnwdaf_EventsSubscription.yaml#/components/schemas/ExceptionId'</w:t>
      </w:r>
    </w:p>
    <w:p w14:paraId="02735CE1" w14:textId="77777777" w:rsidR="007862A2" w:rsidRDefault="007862A2" w:rsidP="007862A2">
      <w:pPr>
        <w:pStyle w:val="PL"/>
      </w:pPr>
      <w:r>
        <w:t xml:space="preserve">          minItems: 1</w:t>
      </w:r>
    </w:p>
    <w:p w14:paraId="1EBECE26" w14:textId="77777777" w:rsidR="007862A2" w:rsidRDefault="007862A2" w:rsidP="007862A2">
      <w:pPr>
        <w:pStyle w:val="PL"/>
      </w:pPr>
      <w:r>
        <w:t xml:space="preserve">        exptAnaType:</w:t>
      </w:r>
    </w:p>
    <w:p w14:paraId="18F75A4E" w14:textId="77777777" w:rsidR="007862A2" w:rsidRDefault="007862A2" w:rsidP="007862A2">
      <w:pPr>
        <w:pStyle w:val="PL"/>
      </w:pPr>
      <w:r>
        <w:t xml:space="preserve">          $ref: 'TS29520_Nnwdaf_EventsSubscription.yaml#/components/schemas/ExpectedAnalyticsType'</w:t>
      </w:r>
    </w:p>
    <w:p w14:paraId="64502C4A" w14:textId="77777777" w:rsidR="007862A2" w:rsidRDefault="007862A2" w:rsidP="007862A2">
      <w:pPr>
        <w:pStyle w:val="PL"/>
      </w:pPr>
      <w:r>
        <w:t xml:space="preserve">        exptUeBehav:</w:t>
      </w:r>
    </w:p>
    <w:p w14:paraId="72BFF76F" w14:textId="77777777" w:rsidR="007862A2" w:rsidRDefault="007862A2" w:rsidP="007862A2">
      <w:pPr>
        <w:pStyle w:val="PL"/>
      </w:pPr>
      <w:r>
        <w:t xml:space="preserve">          $ref: 'TS29503_Nudm_SDM.yaml#/components/schemas/ExpectedUeBehaviourData'</w:t>
      </w:r>
    </w:p>
    <w:p w14:paraId="49845463" w14:textId="77777777" w:rsidR="007862A2" w:rsidRDefault="007862A2" w:rsidP="007862A2">
      <w:pPr>
        <w:pStyle w:val="PL"/>
        <w:rPr>
          <w:lang w:eastAsia="zh-CN"/>
        </w:rPr>
      </w:pPr>
      <w:r>
        <w:rPr>
          <w:lang w:eastAsia="zh-CN"/>
        </w:rPr>
        <w:t xml:space="preserve">        ratFreqs:</w:t>
      </w:r>
    </w:p>
    <w:p w14:paraId="74A62591" w14:textId="77777777" w:rsidR="007862A2" w:rsidRDefault="007862A2" w:rsidP="007862A2">
      <w:pPr>
        <w:pStyle w:val="PL"/>
      </w:pPr>
      <w:r>
        <w:t xml:space="preserve">          type: array</w:t>
      </w:r>
    </w:p>
    <w:p w14:paraId="24FC1015" w14:textId="77777777" w:rsidR="007862A2" w:rsidRDefault="007862A2" w:rsidP="007862A2">
      <w:pPr>
        <w:pStyle w:val="PL"/>
        <w:rPr>
          <w:lang w:eastAsia="zh-CN"/>
        </w:rPr>
      </w:pPr>
      <w:r>
        <w:rPr>
          <w:lang w:eastAsia="zh-CN"/>
        </w:rPr>
        <w:t xml:space="preserve">          items:</w:t>
      </w:r>
    </w:p>
    <w:p w14:paraId="7501B863" w14:textId="77777777" w:rsidR="007862A2" w:rsidRDefault="007862A2" w:rsidP="007862A2">
      <w:pPr>
        <w:pStyle w:val="PL"/>
      </w:pPr>
      <w:r>
        <w:t xml:space="preserve">            $ref: 'TS29520_Nnwdaf_EventsSubscription.yaml#/components/schemas/RatFreqInformation'</w:t>
      </w:r>
    </w:p>
    <w:p w14:paraId="5E0BA819" w14:textId="77777777" w:rsidR="007862A2" w:rsidRDefault="007862A2" w:rsidP="007862A2">
      <w:pPr>
        <w:pStyle w:val="PL"/>
      </w:pPr>
      <w:r>
        <w:t xml:space="preserve">          minItems: 1</w:t>
      </w:r>
    </w:p>
    <w:p w14:paraId="003CA3EC" w14:textId="77777777" w:rsidR="007862A2" w:rsidRDefault="007862A2" w:rsidP="007862A2">
      <w:pPr>
        <w:pStyle w:val="PL"/>
      </w:pPr>
      <w:r>
        <w:t xml:space="preserve">        disperReqs:</w:t>
      </w:r>
    </w:p>
    <w:p w14:paraId="31694A3C" w14:textId="77777777" w:rsidR="007862A2" w:rsidRDefault="007862A2" w:rsidP="007862A2">
      <w:pPr>
        <w:pStyle w:val="PL"/>
      </w:pPr>
      <w:r>
        <w:t xml:space="preserve">          type: array</w:t>
      </w:r>
    </w:p>
    <w:p w14:paraId="2F51ADCD" w14:textId="77777777" w:rsidR="007862A2" w:rsidRDefault="007862A2" w:rsidP="007862A2">
      <w:pPr>
        <w:pStyle w:val="PL"/>
      </w:pPr>
      <w:r>
        <w:t xml:space="preserve">          items:</w:t>
      </w:r>
    </w:p>
    <w:p w14:paraId="6B8556B4" w14:textId="77777777" w:rsidR="007862A2" w:rsidRDefault="007862A2" w:rsidP="007862A2">
      <w:pPr>
        <w:pStyle w:val="PL"/>
      </w:pPr>
      <w:r>
        <w:t xml:space="preserve">            $ref: 'TS29520_Nnwdaf_EventsSubscription.yaml#/components/schemas/DispersionRequirement'</w:t>
      </w:r>
    </w:p>
    <w:p w14:paraId="755C314C" w14:textId="77777777" w:rsidR="007862A2" w:rsidRDefault="007862A2" w:rsidP="007862A2">
      <w:pPr>
        <w:pStyle w:val="PL"/>
      </w:pPr>
      <w:r>
        <w:t xml:space="preserve">          minItems: 1</w:t>
      </w:r>
    </w:p>
    <w:p w14:paraId="6CDC1ED4" w14:textId="77777777" w:rsidR="007862A2" w:rsidRDefault="007862A2" w:rsidP="007862A2">
      <w:pPr>
        <w:pStyle w:val="PL"/>
      </w:pPr>
      <w:r>
        <w:t xml:space="preserve">        redTransReqs:</w:t>
      </w:r>
    </w:p>
    <w:p w14:paraId="53978C59" w14:textId="77777777" w:rsidR="007862A2" w:rsidRDefault="007862A2" w:rsidP="007862A2">
      <w:pPr>
        <w:pStyle w:val="PL"/>
      </w:pPr>
      <w:r>
        <w:t xml:space="preserve">          type: array</w:t>
      </w:r>
    </w:p>
    <w:p w14:paraId="77F00A5F" w14:textId="77777777" w:rsidR="007862A2" w:rsidRDefault="007862A2" w:rsidP="007862A2">
      <w:pPr>
        <w:pStyle w:val="PL"/>
      </w:pPr>
      <w:r>
        <w:t xml:space="preserve">          items:</w:t>
      </w:r>
    </w:p>
    <w:p w14:paraId="4ECAC8C2" w14:textId="77777777" w:rsidR="007862A2" w:rsidRDefault="007862A2" w:rsidP="007862A2">
      <w:pPr>
        <w:pStyle w:val="PL"/>
      </w:pPr>
      <w:r>
        <w:t xml:space="preserve">            $ref: 'TS29520_Nnwdaf_EventsSubscription.yaml#/components/schemas/RedundantTransmissionExpReq'</w:t>
      </w:r>
    </w:p>
    <w:p w14:paraId="5484AA32" w14:textId="77777777" w:rsidR="007862A2" w:rsidRDefault="007862A2" w:rsidP="007862A2">
      <w:pPr>
        <w:pStyle w:val="PL"/>
      </w:pPr>
      <w:r>
        <w:t xml:space="preserve">          minItems: 1</w:t>
      </w:r>
    </w:p>
    <w:p w14:paraId="00821357" w14:textId="77777777" w:rsidR="007862A2" w:rsidRDefault="007862A2" w:rsidP="007862A2">
      <w:pPr>
        <w:pStyle w:val="PL"/>
      </w:pPr>
      <w:r>
        <w:lastRenderedPageBreak/>
        <w:t xml:space="preserve">        wlanReqs:</w:t>
      </w:r>
    </w:p>
    <w:p w14:paraId="192C958C" w14:textId="77777777" w:rsidR="007862A2" w:rsidRDefault="007862A2" w:rsidP="007862A2">
      <w:pPr>
        <w:pStyle w:val="PL"/>
      </w:pPr>
      <w:r>
        <w:t xml:space="preserve">          type: array</w:t>
      </w:r>
    </w:p>
    <w:p w14:paraId="5E71E464" w14:textId="77777777" w:rsidR="007862A2" w:rsidRDefault="007862A2" w:rsidP="007862A2">
      <w:pPr>
        <w:pStyle w:val="PL"/>
      </w:pPr>
      <w:r>
        <w:t xml:space="preserve">          items:</w:t>
      </w:r>
    </w:p>
    <w:p w14:paraId="5253AF13" w14:textId="77777777" w:rsidR="007862A2" w:rsidRDefault="007862A2" w:rsidP="007862A2">
      <w:pPr>
        <w:pStyle w:val="PL"/>
      </w:pPr>
      <w:r>
        <w:t xml:space="preserve">            $ref: 'TS29520_Nnwdaf_EventsSubscription.yaml#/components/schemas/WlanPerformanceReq'</w:t>
      </w:r>
    </w:p>
    <w:p w14:paraId="6F704CDB" w14:textId="77777777" w:rsidR="007862A2" w:rsidRDefault="007862A2" w:rsidP="007862A2">
      <w:pPr>
        <w:pStyle w:val="PL"/>
      </w:pPr>
      <w:r>
        <w:t xml:space="preserve">          minItems: 1</w:t>
      </w:r>
    </w:p>
    <w:p w14:paraId="42416F69" w14:textId="77777777" w:rsidR="007862A2" w:rsidRDefault="007862A2" w:rsidP="007862A2">
      <w:pPr>
        <w:pStyle w:val="PL"/>
      </w:pPr>
      <w:r>
        <w:t xml:space="preserve">        listOfAnaSubsets:</w:t>
      </w:r>
    </w:p>
    <w:p w14:paraId="635BE0BD" w14:textId="77777777" w:rsidR="007862A2" w:rsidRDefault="007862A2" w:rsidP="007862A2">
      <w:pPr>
        <w:pStyle w:val="PL"/>
      </w:pPr>
      <w:r>
        <w:t xml:space="preserve">          type: array</w:t>
      </w:r>
    </w:p>
    <w:p w14:paraId="56C9AB72" w14:textId="77777777" w:rsidR="007862A2" w:rsidRDefault="007862A2" w:rsidP="007862A2">
      <w:pPr>
        <w:pStyle w:val="PL"/>
      </w:pPr>
      <w:r>
        <w:t xml:space="preserve">          items:</w:t>
      </w:r>
    </w:p>
    <w:p w14:paraId="11C306C3" w14:textId="77777777" w:rsidR="007862A2" w:rsidRDefault="007862A2" w:rsidP="007862A2">
      <w:pPr>
        <w:pStyle w:val="PL"/>
      </w:pPr>
      <w:r>
        <w:t xml:space="preserve">            $ref: 'TS29520_Nnwdaf_EventsSubscription.yaml#/components/schemas/</w:t>
      </w:r>
      <w:r>
        <w:rPr>
          <w:lang w:eastAsia="zh-CN"/>
        </w:rPr>
        <w:t>AnalyticsSubset</w:t>
      </w:r>
      <w:r>
        <w:t>'</w:t>
      </w:r>
    </w:p>
    <w:p w14:paraId="01E73239" w14:textId="77777777" w:rsidR="007862A2" w:rsidRDefault="007862A2" w:rsidP="007862A2">
      <w:pPr>
        <w:pStyle w:val="PL"/>
      </w:pPr>
      <w:r>
        <w:t xml:space="preserve">          minItems: 1</w:t>
      </w:r>
    </w:p>
    <w:p w14:paraId="1D7E5DD8" w14:textId="77777777" w:rsidR="007862A2" w:rsidRDefault="007862A2" w:rsidP="007862A2">
      <w:pPr>
        <w:pStyle w:val="PL"/>
      </w:pPr>
      <w:r>
        <w:t xml:space="preserve">        upfInfo:</w:t>
      </w:r>
    </w:p>
    <w:p w14:paraId="13E2F699" w14:textId="77777777" w:rsidR="007862A2" w:rsidRDefault="007862A2" w:rsidP="007862A2">
      <w:pPr>
        <w:pStyle w:val="PL"/>
      </w:pPr>
      <w:r>
        <w:rPr>
          <w:lang w:val="en-US"/>
        </w:rPr>
        <w:t xml:space="preserve">          $ref: 'TS29508_Nsmf_EventExposure.yaml#/components/schemas/UpfInformation'</w:t>
      </w:r>
    </w:p>
    <w:p w14:paraId="051B0EDF" w14:textId="77777777" w:rsidR="007862A2" w:rsidRDefault="007862A2" w:rsidP="007862A2">
      <w:pPr>
        <w:pStyle w:val="PL"/>
      </w:pPr>
      <w:r>
        <w:t xml:space="preserve">        </w:t>
      </w:r>
      <w:r>
        <w:rPr>
          <w:lang w:eastAsia="zh-CN"/>
        </w:rPr>
        <w:t>appServerAddrs</w:t>
      </w:r>
      <w:r>
        <w:t>:</w:t>
      </w:r>
    </w:p>
    <w:p w14:paraId="7A1638D5" w14:textId="77777777" w:rsidR="007862A2" w:rsidRDefault="007862A2" w:rsidP="007862A2">
      <w:pPr>
        <w:pStyle w:val="PL"/>
      </w:pPr>
      <w:r>
        <w:t xml:space="preserve">          type: array</w:t>
      </w:r>
    </w:p>
    <w:p w14:paraId="418F2995" w14:textId="77777777" w:rsidR="007862A2" w:rsidRDefault="007862A2" w:rsidP="007862A2">
      <w:pPr>
        <w:pStyle w:val="PL"/>
      </w:pPr>
      <w:r>
        <w:t xml:space="preserve">          items:</w:t>
      </w:r>
    </w:p>
    <w:p w14:paraId="2C3B09AE" w14:textId="77777777" w:rsidR="007862A2" w:rsidRDefault="007862A2" w:rsidP="007862A2">
      <w:pPr>
        <w:pStyle w:val="PL"/>
      </w:pPr>
      <w:r>
        <w:t xml:space="preserve">            $ref: 'TS29517_Naf_EventExposure.yaml#/components/schemas/</w:t>
      </w:r>
      <w:r>
        <w:rPr>
          <w:lang w:eastAsia="zh-CN"/>
        </w:rPr>
        <w:t>AddrFqdn</w:t>
      </w:r>
      <w:r>
        <w:t>'</w:t>
      </w:r>
    </w:p>
    <w:p w14:paraId="6FEF15CD" w14:textId="77777777" w:rsidR="007862A2" w:rsidRDefault="007862A2" w:rsidP="007862A2">
      <w:pPr>
        <w:pStyle w:val="PL"/>
      </w:pPr>
      <w:r>
        <w:t xml:space="preserve">          minItems: 1</w:t>
      </w:r>
    </w:p>
    <w:p w14:paraId="42243F27" w14:textId="77777777" w:rsidR="007862A2" w:rsidRDefault="007862A2" w:rsidP="007862A2">
      <w:pPr>
        <w:pStyle w:val="PL"/>
      </w:pPr>
      <w:r>
        <w:t xml:space="preserve">        dnPerfReqs:</w:t>
      </w:r>
    </w:p>
    <w:p w14:paraId="03978161" w14:textId="77777777" w:rsidR="007862A2" w:rsidRDefault="007862A2" w:rsidP="007862A2">
      <w:pPr>
        <w:pStyle w:val="PL"/>
      </w:pPr>
      <w:r>
        <w:t xml:space="preserve">          type: array</w:t>
      </w:r>
    </w:p>
    <w:p w14:paraId="664B2148" w14:textId="77777777" w:rsidR="007862A2" w:rsidRDefault="007862A2" w:rsidP="007862A2">
      <w:pPr>
        <w:pStyle w:val="PL"/>
      </w:pPr>
      <w:r>
        <w:t xml:space="preserve">          items:</w:t>
      </w:r>
    </w:p>
    <w:p w14:paraId="6B48A617" w14:textId="77777777" w:rsidR="007862A2" w:rsidRDefault="007862A2" w:rsidP="007862A2">
      <w:pPr>
        <w:pStyle w:val="PL"/>
      </w:pPr>
      <w:r>
        <w:t xml:space="preserve">            $ref: 'TS29520_Nnwdaf_EventsSubscription.yaml#/components/schemas/DnPerformanceReq'</w:t>
      </w:r>
    </w:p>
    <w:p w14:paraId="5D189F83" w14:textId="77777777" w:rsidR="007862A2" w:rsidRDefault="007862A2" w:rsidP="007862A2">
      <w:pPr>
        <w:pStyle w:val="PL"/>
      </w:pPr>
      <w:r>
        <w:t xml:space="preserve">          minItems: 1</w:t>
      </w:r>
    </w:p>
    <w:p w14:paraId="14AC58CE" w14:textId="77777777" w:rsidR="007862A2" w:rsidRDefault="007862A2" w:rsidP="007862A2">
      <w:pPr>
        <w:pStyle w:val="PL"/>
      </w:pPr>
      <w:r>
        <w:t xml:space="preserve">        ueMobilityReqs:</w:t>
      </w:r>
    </w:p>
    <w:p w14:paraId="32D7A61C" w14:textId="77777777" w:rsidR="007862A2" w:rsidRDefault="007862A2" w:rsidP="007862A2">
      <w:pPr>
        <w:pStyle w:val="PL"/>
      </w:pPr>
      <w:r>
        <w:t xml:space="preserve">          type: array</w:t>
      </w:r>
    </w:p>
    <w:p w14:paraId="160C60C2" w14:textId="77777777" w:rsidR="007862A2" w:rsidRDefault="007862A2" w:rsidP="007862A2">
      <w:pPr>
        <w:pStyle w:val="PL"/>
      </w:pPr>
      <w:r>
        <w:t xml:space="preserve">          items:</w:t>
      </w:r>
    </w:p>
    <w:p w14:paraId="73E8AB1F" w14:textId="77777777" w:rsidR="007862A2" w:rsidRDefault="007862A2" w:rsidP="007862A2">
      <w:pPr>
        <w:pStyle w:val="PL"/>
      </w:pPr>
      <w:r>
        <w:t xml:space="preserve">            $ref: 'TS29520_Nnwdaf_EventsSubscription.yaml#/components/schemas/UeMobilityReq'</w:t>
      </w:r>
    </w:p>
    <w:p w14:paraId="3FF9AA64" w14:textId="77777777" w:rsidR="007862A2" w:rsidRDefault="007862A2" w:rsidP="007862A2">
      <w:pPr>
        <w:pStyle w:val="PL"/>
      </w:pPr>
      <w:r>
        <w:t xml:space="preserve">          minItems: 1</w:t>
      </w:r>
    </w:p>
    <w:p w14:paraId="680A87FB" w14:textId="77777777" w:rsidR="007862A2" w:rsidRDefault="007862A2" w:rsidP="007862A2">
      <w:pPr>
        <w:pStyle w:val="PL"/>
      </w:pPr>
      <w:r>
        <w:t xml:space="preserve">        ueCommReqs:</w:t>
      </w:r>
    </w:p>
    <w:p w14:paraId="770F9739" w14:textId="77777777" w:rsidR="007862A2" w:rsidRDefault="007862A2" w:rsidP="007862A2">
      <w:pPr>
        <w:pStyle w:val="PL"/>
      </w:pPr>
      <w:r>
        <w:t xml:space="preserve">          type: array</w:t>
      </w:r>
    </w:p>
    <w:p w14:paraId="2C296D41" w14:textId="77777777" w:rsidR="007862A2" w:rsidRDefault="007862A2" w:rsidP="007862A2">
      <w:pPr>
        <w:pStyle w:val="PL"/>
      </w:pPr>
      <w:r>
        <w:t xml:space="preserve">          items:</w:t>
      </w:r>
    </w:p>
    <w:p w14:paraId="4C5120B8" w14:textId="77777777" w:rsidR="007862A2" w:rsidRDefault="007862A2" w:rsidP="007862A2">
      <w:pPr>
        <w:pStyle w:val="PL"/>
      </w:pPr>
      <w:r>
        <w:t xml:space="preserve">            $ref: 'TS29520_Nnwdaf_EventsSubscription.yaml#/components/schemas/UeCommReq'</w:t>
      </w:r>
    </w:p>
    <w:p w14:paraId="5F60FEF8" w14:textId="77777777" w:rsidR="007862A2" w:rsidRDefault="007862A2" w:rsidP="007862A2">
      <w:pPr>
        <w:pStyle w:val="PL"/>
      </w:pPr>
      <w:r>
        <w:t xml:space="preserve">          minItems: 1</w:t>
      </w:r>
    </w:p>
    <w:p w14:paraId="27225EEA" w14:textId="77777777" w:rsidR="007862A2" w:rsidRDefault="007862A2" w:rsidP="007862A2">
      <w:pPr>
        <w:pStyle w:val="PL"/>
      </w:pPr>
      <w:r>
        <w:t xml:space="preserve">        pduSesInfos:</w:t>
      </w:r>
    </w:p>
    <w:p w14:paraId="6CA00348" w14:textId="77777777" w:rsidR="007862A2" w:rsidRDefault="007862A2" w:rsidP="007862A2">
      <w:pPr>
        <w:pStyle w:val="PL"/>
      </w:pPr>
      <w:r>
        <w:t xml:space="preserve">          type: array</w:t>
      </w:r>
    </w:p>
    <w:p w14:paraId="51AADDE9" w14:textId="77777777" w:rsidR="007862A2" w:rsidRDefault="007862A2" w:rsidP="007862A2">
      <w:pPr>
        <w:pStyle w:val="PL"/>
      </w:pPr>
      <w:r>
        <w:t xml:space="preserve">          items:</w:t>
      </w:r>
    </w:p>
    <w:p w14:paraId="23101E1F" w14:textId="77777777" w:rsidR="007862A2" w:rsidRDefault="007862A2" w:rsidP="007862A2">
      <w:pPr>
        <w:pStyle w:val="PL"/>
      </w:pPr>
      <w:r>
        <w:t xml:space="preserve">            $ref: 'TS29520_Nnwdaf_EventsSubscription.yaml#/components/schemas/PduSessionInfo'</w:t>
      </w:r>
    </w:p>
    <w:p w14:paraId="3C604302" w14:textId="77777777" w:rsidR="007862A2" w:rsidRDefault="007862A2" w:rsidP="007862A2">
      <w:pPr>
        <w:pStyle w:val="PL"/>
      </w:pPr>
      <w:r>
        <w:t xml:space="preserve">          minItems: 1</w:t>
      </w:r>
    </w:p>
    <w:p w14:paraId="53F782F6" w14:textId="77777777" w:rsidR="007862A2" w:rsidRDefault="007862A2" w:rsidP="007862A2">
      <w:pPr>
        <w:pStyle w:val="PL"/>
      </w:pPr>
      <w:r>
        <w:t xml:space="preserve">        pduSesTrafReqs:</w:t>
      </w:r>
    </w:p>
    <w:p w14:paraId="5967EC09" w14:textId="77777777" w:rsidR="007862A2" w:rsidRDefault="007862A2" w:rsidP="007862A2">
      <w:pPr>
        <w:pStyle w:val="PL"/>
      </w:pPr>
      <w:r>
        <w:t xml:space="preserve">          type: array</w:t>
      </w:r>
    </w:p>
    <w:p w14:paraId="02D6F8DA" w14:textId="77777777" w:rsidR="007862A2" w:rsidRDefault="007862A2" w:rsidP="007862A2">
      <w:pPr>
        <w:pStyle w:val="PL"/>
      </w:pPr>
      <w:r>
        <w:t xml:space="preserve">          items:</w:t>
      </w:r>
    </w:p>
    <w:p w14:paraId="0C158609" w14:textId="77777777" w:rsidR="007862A2" w:rsidRDefault="007862A2" w:rsidP="007862A2">
      <w:pPr>
        <w:pStyle w:val="PL"/>
      </w:pPr>
      <w:r>
        <w:t xml:space="preserve">            $ref: 'TS29520_Nnwdaf_EventsSubscription.yaml#/components/schemas/PduSesTrafficReq'</w:t>
      </w:r>
    </w:p>
    <w:p w14:paraId="30C3BBA6" w14:textId="77777777" w:rsidR="007862A2" w:rsidRDefault="007862A2" w:rsidP="007862A2">
      <w:pPr>
        <w:pStyle w:val="PL"/>
      </w:pPr>
      <w:r>
        <w:t xml:space="preserve">          minItems: 1</w:t>
      </w:r>
    </w:p>
    <w:p w14:paraId="6002988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locAccReqs</w:t>
      </w:r>
      <w:r>
        <w:rPr>
          <w:rFonts w:ascii="Courier New" w:hAnsi="Courier New"/>
          <w:sz w:val="16"/>
        </w:rPr>
        <w:t>:</w:t>
      </w:r>
    </w:p>
    <w:p w14:paraId="5EA142D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B8E66F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111977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en-US"/>
        </w:rPr>
        <w:t>$ref: '</w:t>
      </w:r>
      <w:r>
        <w:rPr>
          <w:rFonts w:ascii="Courier New" w:hAnsi="Courier New"/>
          <w:sz w:val="16"/>
        </w:rPr>
        <w:t>TS29520_Nnwdaf_EventsSubscription.yaml</w:t>
      </w:r>
      <w:r>
        <w:rPr>
          <w:rFonts w:ascii="Courier New" w:hAnsi="Courier New"/>
          <w:sz w:val="16"/>
          <w:lang w:val="en-US"/>
        </w:rPr>
        <w:t>#/components/schemas/</w:t>
      </w:r>
      <w:r>
        <w:rPr>
          <w:rFonts w:ascii="Courier New" w:hAnsi="Courier New"/>
          <w:sz w:val="16"/>
          <w:lang w:eastAsia="zh-CN"/>
        </w:rPr>
        <w:t>LocAccuracyReq</w:t>
      </w:r>
      <w:r>
        <w:rPr>
          <w:rFonts w:ascii="Courier New" w:hAnsi="Courier New"/>
          <w:sz w:val="16"/>
          <w:lang w:val="en-US"/>
        </w:rPr>
        <w:t>'</w:t>
      </w:r>
    </w:p>
    <w:p w14:paraId="2AEC291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0F20D8F" w14:textId="77777777" w:rsidR="007862A2" w:rsidRDefault="007862A2" w:rsidP="007862A2">
      <w:pPr>
        <w:pStyle w:val="PL"/>
      </w:pPr>
      <w:r>
        <w:t xml:space="preserve">        </w:t>
      </w:r>
      <w:r>
        <w:rPr>
          <w:lang w:eastAsia="zh-CN"/>
        </w:rPr>
        <w:t>locGranularity</w:t>
      </w:r>
      <w:r>
        <w:t>:</w:t>
      </w:r>
    </w:p>
    <w:p w14:paraId="20FF007E" w14:textId="77777777" w:rsidR="007862A2" w:rsidRDefault="007862A2" w:rsidP="007862A2">
      <w:pPr>
        <w:pStyle w:val="PL"/>
      </w:pPr>
      <w:r>
        <w:rPr>
          <w:lang w:val="en-US"/>
        </w:rPr>
        <w:t xml:space="preserve">          $ref: </w:t>
      </w:r>
      <w:r>
        <w:t>'TS29520_Nnwdaf_EventsSubscription.yaml</w:t>
      </w:r>
      <w:r>
        <w:rPr>
          <w:lang w:val="en-US"/>
        </w:rPr>
        <w:t>#/components/schemas/</w:t>
      </w:r>
      <w:r>
        <w:rPr>
          <w:lang w:eastAsia="zh-CN"/>
        </w:rPr>
        <w:t>LocInfoGranularity</w:t>
      </w:r>
      <w:r>
        <w:rPr>
          <w:lang w:val="en-US"/>
        </w:rPr>
        <w:t>'</w:t>
      </w:r>
    </w:p>
    <w:p w14:paraId="71C29792" w14:textId="77777777" w:rsidR="007862A2" w:rsidRDefault="007862A2" w:rsidP="007862A2">
      <w:pPr>
        <w:pStyle w:val="PL"/>
      </w:pPr>
      <w:r>
        <w:t xml:space="preserve">        </w:t>
      </w:r>
      <w:r>
        <w:rPr>
          <w:lang w:eastAsia="zh-CN"/>
        </w:rPr>
        <w:t>locOrientation</w:t>
      </w:r>
      <w:r>
        <w:t>:</w:t>
      </w:r>
    </w:p>
    <w:p w14:paraId="513DA5E9" w14:textId="77777777" w:rsidR="007862A2" w:rsidRDefault="007862A2" w:rsidP="007862A2">
      <w:pPr>
        <w:pStyle w:val="PL"/>
      </w:pPr>
      <w:r>
        <w:t xml:space="preserve">            $ref: 'TS29520_Nnwdaf_EventsSubscription.yaml#/components/schemas/</w:t>
      </w:r>
      <w:r>
        <w:rPr>
          <w:lang w:eastAsia="zh-CN"/>
        </w:rPr>
        <w:t>LocationOrientation</w:t>
      </w:r>
      <w:r>
        <w:t>'</w:t>
      </w:r>
    </w:p>
    <w:p w14:paraId="4512CECF" w14:textId="77777777" w:rsidR="007862A2" w:rsidRDefault="007862A2" w:rsidP="007862A2">
      <w:pPr>
        <w:pStyle w:val="PL"/>
      </w:pPr>
      <w:r>
        <w:t xml:space="preserve">        useCaseCxt:</w:t>
      </w:r>
    </w:p>
    <w:p w14:paraId="7D94BC01" w14:textId="77777777" w:rsidR="007862A2" w:rsidRDefault="007862A2" w:rsidP="007862A2">
      <w:pPr>
        <w:pStyle w:val="PL"/>
      </w:pPr>
      <w:r>
        <w:t xml:space="preserve">          type: string</w:t>
      </w:r>
    </w:p>
    <w:p w14:paraId="4DFD6647" w14:textId="77777777" w:rsidR="007862A2" w:rsidRDefault="007862A2" w:rsidP="007862A2">
      <w:pPr>
        <w:pStyle w:val="PL"/>
      </w:pPr>
      <w:r>
        <w:t xml:space="preserve">          description: &gt;</w:t>
      </w:r>
    </w:p>
    <w:p w14:paraId="0D498BA3" w14:textId="77777777" w:rsidR="007862A2" w:rsidRDefault="007862A2" w:rsidP="007862A2">
      <w:pPr>
        <w:pStyle w:val="PL"/>
      </w:pPr>
      <w:r>
        <w:t xml:space="preserve">            Indicates the context of usage of the analytics. The value and format of this parameter</w:t>
      </w:r>
    </w:p>
    <w:p w14:paraId="597E9786" w14:textId="77777777" w:rsidR="007862A2" w:rsidRDefault="007862A2" w:rsidP="007862A2">
      <w:pPr>
        <w:pStyle w:val="PL"/>
      </w:pPr>
      <w:r>
        <w:t xml:space="preserve">            are not standardized.</w:t>
      </w:r>
    </w:p>
    <w:p w14:paraId="6887C911" w14:textId="77777777" w:rsidR="007862A2" w:rsidRDefault="007862A2" w:rsidP="007862A2">
      <w:pPr>
        <w:pStyle w:val="PL"/>
      </w:pPr>
      <w:r>
        <w:t xml:space="preserve">        </w:t>
      </w:r>
      <w:r>
        <w:rPr>
          <w:lang w:eastAsia="zh-CN"/>
        </w:rPr>
        <w:t>dataVlTrnsTmRqs</w:t>
      </w:r>
      <w:r>
        <w:t>:</w:t>
      </w:r>
    </w:p>
    <w:p w14:paraId="3C3985C4" w14:textId="77777777" w:rsidR="007862A2" w:rsidRDefault="007862A2" w:rsidP="007862A2">
      <w:pPr>
        <w:pStyle w:val="PL"/>
      </w:pPr>
      <w:r>
        <w:t xml:space="preserve">          type: array</w:t>
      </w:r>
    </w:p>
    <w:p w14:paraId="05CD7BF6" w14:textId="77777777" w:rsidR="007862A2" w:rsidRDefault="007862A2" w:rsidP="007862A2">
      <w:pPr>
        <w:pStyle w:val="PL"/>
      </w:pPr>
      <w:r>
        <w:t xml:space="preserve">          items:</w:t>
      </w:r>
    </w:p>
    <w:p w14:paraId="371931FB" w14:textId="77777777" w:rsidR="007862A2" w:rsidRDefault="007862A2" w:rsidP="007862A2">
      <w:pPr>
        <w:pStyle w:val="PL"/>
      </w:pPr>
      <w:r>
        <w:t xml:space="preserve">            $ref: 'TS29520_Nnwdaf_EventsSubscription.yaml#/components/schemas/</w:t>
      </w:r>
      <w:r>
        <w:rPr>
          <w:bCs/>
          <w:lang w:eastAsia="zh-CN"/>
        </w:rPr>
        <w:t>E2eDataVolTransTime</w:t>
      </w:r>
      <w:r>
        <w:rPr>
          <w:rFonts w:eastAsia="等线"/>
        </w:rPr>
        <w:t>Req</w:t>
      </w:r>
      <w:r>
        <w:t>'</w:t>
      </w:r>
    </w:p>
    <w:p w14:paraId="5C9F4B11" w14:textId="77777777" w:rsidR="007862A2" w:rsidRDefault="007862A2" w:rsidP="007862A2">
      <w:pPr>
        <w:pStyle w:val="PL"/>
      </w:pPr>
      <w:r>
        <w:t xml:space="preserve">          minItems: 1</w:t>
      </w:r>
    </w:p>
    <w:p w14:paraId="660F9FB1" w14:textId="77777777" w:rsidR="007862A2" w:rsidRDefault="007862A2" w:rsidP="007862A2">
      <w:pPr>
        <w:pStyle w:val="PL"/>
      </w:pPr>
      <w:r>
        <w:t xml:space="preserve">        </w:t>
      </w:r>
      <w:r>
        <w:rPr>
          <w:lang w:eastAsia="zh-CN"/>
        </w:rPr>
        <w:t>accuReq</w:t>
      </w:r>
      <w:r>
        <w:t>:</w:t>
      </w:r>
    </w:p>
    <w:p w14:paraId="006E4550" w14:textId="77777777" w:rsidR="007862A2" w:rsidRDefault="007862A2" w:rsidP="007862A2">
      <w:pPr>
        <w:pStyle w:val="PL"/>
      </w:pPr>
      <w:r>
        <w:t xml:space="preserve">          $ref: 'TS29520_Nnwdaf_EventsSubscription.yaml#/components/schemas/AccuracyReq'</w:t>
      </w:r>
    </w:p>
    <w:p w14:paraId="2165B2C8" w14:textId="77777777" w:rsidR="007862A2" w:rsidRDefault="007862A2" w:rsidP="007862A2">
      <w:pPr>
        <w:pStyle w:val="PL"/>
      </w:pPr>
      <w:r>
        <w:t xml:space="preserve">        </w:t>
      </w:r>
      <w:r>
        <w:rPr>
          <w:lang w:eastAsia="zh-CN"/>
        </w:rPr>
        <w:t>movBehavReqs</w:t>
      </w:r>
      <w:r>
        <w:t>:</w:t>
      </w:r>
    </w:p>
    <w:p w14:paraId="55885648" w14:textId="77777777" w:rsidR="007862A2" w:rsidRDefault="007862A2" w:rsidP="007862A2">
      <w:pPr>
        <w:pStyle w:val="PL"/>
      </w:pPr>
      <w:r>
        <w:t xml:space="preserve">          type: array</w:t>
      </w:r>
    </w:p>
    <w:p w14:paraId="6A62F344" w14:textId="77777777" w:rsidR="007862A2" w:rsidRDefault="007862A2" w:rsidP="007862A2">
      <w:pPr>
        <w:pStyle w:val="PL"/>
      </w:pPr>
      <w:r>
        <w:t xml:space="preserve">          items:</w:t>
      </w:r>
    </w:p>
    <w:p w14:paraId="711B5775" w14:textId="77777777" w:rsidR="007862A2" w:rsidRDefault="007862A2" w:rsidP="007862A2">
      <w:pPr>
        <w:pStyle w:val="PL"/>
      </w:pPr>
      <w:r>
        <w:t xml:space="preserve">            $ref: 'TS29520_Nnwdaf_EventsSubscription.yaml#/components/schemas/</w:t>
      </w:r>
      <w:r>
        <w:rPr>
          <w:lang w:eastAsia="zh-CN"/>
        </w:rPr>
        <w:t>MovBehavReq</w:t>
      </w:r>
      <w:r>
        <w:t>'</w:t>
      </w:r>
    </w:p>
    <w:p w14:paraId="40F728F4" w14:textId="77777777" w:rsidR="007862A2" w:rsidRDefault="007862A2" w:rsidP="007862A2">
      <w:pPr>
        <w:pStyle w:val="PL"/>
      </w:pPr>
      <w:r>
        <w:t xml:space="preserve">          minItems: 1</w:t>
      </w:r>
    </w:p>
    <w:p w14:paraId="64EADF72" w14:textId="77777777" w:rsidR="007862A2" w:rsidRDefault="007862A2" w:rsidP="007862A2">
      <w:pPr>
        <w:pStyle w:val="PL"/>
      </w:pPr>
      <w:r>
        <w:t xml:space="preserve">        </w:t>
      </w:r>
      <w:r>
        <w:rPr>
          <w:lang w:eastAsia="zh-CN"/>
        </w:rPr>
        <w:t>relProxReqs</w:t>
      </w:r>
      <w:r>
        <w:t>:</w:t>
      </w:r>
    </w:p>
    <w:p w14:paraId="218B0B35" w14:textId="77777777" w:rsidR="007862A2" w:rsidRDefault="007862A2" w:rsidP="007862A2">
      <w:pPr>
        <w:pStyle w:val="PL"/>
      </w:pPr>
      <w:r>
        <w:t xml:space="preserve">          type: array</w:t>
      </w:r>
    </w:p>
    <w:p w14:paraId="6E39AE38" w14:textId="77777777" w:rsidR="007862A2" w:rsidRDefault="007862A2" w:rsidP="007862A2">
      <w:pPr>
        <w:pStyle w:val="PL"/>
      </w:pPr>
      <w:r>
        <w:t xml:space="preserve">          items:</w:t>
      </w:r>
    </w:p>
    <w:p w14:paraId="35DD7C80" w14:textId="77777777" w:rsidR="007862A2" w:rsidRDefault="007862A2" w:rsidP="007862A2">
      <w:pPr>
        <w:pStyle w:val="PL"/>
      </w:pPr>
      <w:r>
        <w:t xml:space="preserve">            $ref: 'TS29520_Nnwdaf_EventsSubscription.yaml#/components/schemas/RelProxReq'</w:t>
      </w:r>
    </w:p>
    <w:p w14:paraId="0CFE128B" w14:textId="77777777" w:rsidR="007862A2" w:rsidRDefault="007862A2" w:rsidP="007862A2">
      <w:pPr>
        <w:pStyle w:val="PL"/>
      </w:pPr>
      <w:r>
        <w:t xml:space="preserve">          minItems: 1</w:t>
      </w:r>
    </w:p>
    <w:p w14:paraId="0A1A2262" w14:textId="77777777" w:rsidR="00432DC2" w:rsidRDefault="00432DC2" w:rsidP="00432DC2">
      <w:pPr>
        <w:pStyle w:val="PL"/>
      </w:pPr>
      <w:r>
        <w:t xml:space="preserve">        sigStormReqs:</w:t>
      </w:r>
    </w:p>
    <w:p w14:paraId="27A5D2CF" w14:textId="77777777" w:rsidR="00432DC2" w:rsidRDefault="00432DC2" w:rsidP="00432DC2">
      <w:pPr>
        <w:pStyle w:val="PL"/>
      </w:pPr>
      <w:r>
        <w:t xml:space="preserve">          type: array</w:t>
      </w:r>
    </w:p>
    <w:p w14:paraId="1F95146F" w14:textId="77777777" w:rsidR="00432DC2" w:rsidRDefault="00432DC2" w:rsidP="00432DC2">
      <w:pPr>
        <w:pStyle w:val="PL"/>
      </w:pPr>
      <w:r>
        <w:t xml:space="preserve">          items:</w:t>
      </w:r>
    </w:p>
    <w:p w14:paraId="353DB9DF" w14:textId="77777777" w:rsidR="00432DC2" w:rsidRDefault="00432DC2" w:rsidP="00432DC2">
      <w:pPr>
        <w:pStyle w:val="PL"/>
      </w:pPr>
      <w:r>
        <w:t xml:space="preserve">            $ref: 'TS29520_Nnwdaf_EventsSubscription.yaml#/components/schemas/SignalStormReq'</w:t>
      </w:r>
    </w:p>
    <w:p w14:paraId="1C1067CC" w14:textId="77777777" w:rsidR="00432DC2" w:rsidRDefault="00432DC2" w:rsidP="00432DC2">
      <w:pPr>
        <w:pStyle w:val="PL"/>
      </w:pPr>
      <w:r>
        <w:t xml:space="preserve">          minItems: 1</w:t>
      </w:r>
    </w:p>
    <w:p w14:paraId="3C6AB109" w14:textId="77777777" w:rsidR="00CD748D" w:rsidRDefault="00CD748D" w:rsidP="00CD748D">
      <w:pPr>
        <w:pStyle w:val="PL"/>
      </w:pPr>
      <w:r>
        <w:lastRenderedPageBreak/>
        <w:t xml:space="preserve">        </w:t>
      </w:r>
      <w:r>
        <w:rPr>
          <w:rFonts w:hint="eastAsia"/>
          <w:lang w:eastAsia="zh-CN"/>
        </w:rPr>
        <w:t>q</w:t>
      </w:r>
      <w:r>
        <w:rPr>
          <w:lang w:eastAsia="zh-CN"/>
        </w:rPr>
        <w:t>osPlyAssistReqs</w:t>
      </w:r>
      <w:r>
        <w:t>:</w:t>
      </w:r>
    </w:p>
    <w:p w14:paraId="64167B63" w14:textId="77777777" w:rsidR="00CD748D" w:rsidRDefault="00CD748D" w:rsidP="00CD748D">
      <w:pPr>
        <w:pStyle w:val="PL"/>
      </w:pPr>
      <w:r>
        <w:t xml:space="preserve">          type: array</w:t>
      </w:r>
    </w:p>
    <w:p w14:paraId="4D886BFE" w14:textId="77777777" w:rsidR="00CD748D" w:rsidRDefault="00CD748D" w:rsidP="00CD748D">
      <w:pPr>
        <w:pStyle w:val="PL"/>
      </w:pPr>
      <w:r>
        <w:t xml:space="preserve">          items:</w:t>
      </w:r>
    </w:p>
    <w:p w14:paraId="05A3BFC0" w14:textId="77777777" w:rsidR="00CD748D" w:rsidRDefault="00CD748D" w:rsidP="00CD748D">
      <w:pPr>
        <w:pStyle w:val="PL"/>
      </w:pPr>
      <w:r>
        <w:t xml:space="preserve">            $ref: 'TS29520_Nnwdaf_EventsSubscription.yaml#/components/schemas/QosPolicyAssistReq'</w:t>
      </w:r>
    </w:p>
    <w:p w14:paraId="75FFDF5F" w14:textId="77777777" w:rsidR="00CD748D" w:rsidRDefault="00CD748D" w:rsidP="00CD748D">
      <w:pPr>
        <w:pStyle w:val="PL"/>
      </w:pPr>
      <w:r>
        <w:t xml:space="preserve">          minItems: 1</w:t>
      </w:r>
    </w:p>
    <w:p w14:paraId="7429294F" w14:textId="77777777" w:rsidR="007862A2" w:rsidRDefault="007862A2" w:rsidP="00CD748D">
      <w:pPr>
        <w:pStyle w:val="PL"/>
      </w:pPr>
      <w:r>
        <w:t xml:space="preserve">      not:</w:t>
      </w:r>
    </w:p>
    <w:p w14:paraId="6A22A7D2" w14:textId="77777777" w:rsidR="007862A2" w:rsidRDefault="007862A2" w:rsidP="007862A2">
      <w:pPr>
        <w:pStyle w:val="PL"/>
      </w:pPr>
      <w:r>
        <w:t xml:space="preserve">        required: [anySlice, snssais]</w:t>
      </w:r>
    </w:p>
    <w:p w14:paraId="4E8D0153" w14:textId="77777777" w:rsidR="007862A2" w:rsidRDefault="007862A2" w:rsidP="007862A2">
      <w:pPr>
        <w:pStyle w:val="PL"/>
        <w:rPr>
          <w:rFonts w:cs="Courier New"/>
          <w:szCs w:val="16"/>
        </w:rPr>
      </w:pPr>
    </w:p>
    <w:p w14:paraId="1278A56C" w14:textId="77777777" w:rsidR="007862A2" w:rsidRDefault="007862A2" w:rsidP="007862A2">
      <w:pPr>
        <w:pStyle w:val="PL"/>
        <w:rPr>
          <w:rFonts w:cs="Courier New"/>
          <w:szCs w:val="16"/>
        </w:rPr>
      </w:pPr>
      <w:r>
        <w:rPr>
          <w:rFonts w:cs="Courier New"/>
          <w:szCs w:val="16"/>
        </w:rPr>
        <w:t xml:space="preserve">    ProblemDetailsAnalyticsInfo</w:t>
      </w:r>
      <w:r>
        <w:t>Req</w:t>
      </w:r>
      <w:r>
        <w:rPr>
          <w:lang w:eastAsia="zh-CN"/>
        </w:rPr>
        <w:t>uest</w:t>
      </w:r>
      <w:r>
        <w:rPr>
          <w:rFonts w:cs="Courier New"/>
          <w:szCs w:val="16"/>
        </w:rPr>
        <w:t>:</w:t>
      </w:r>
    </w:p>
    <w:p w14:paraId="396ED2A9" w14:textId="77777777" w:rsidR="007862A2" w:rsidRDefault="007862A2" w:rsidP="007862A2">
      <w:pPr>
        <w:pStyle w:val="PL"/>
        <w:rPr>
          <w:rFonts w:cs="Courier New"/>
          <w:szCs w:val="16"/>
        </w:rPr>
      </w:pPr>
      <w:r>
        <w:rPr>
          <w:rFonts w:cs="Courier New"/>
          <w:szCs w:val="16"/>
        </w:rPr>
        <w:t xml:space="preserve">      description: &gt;</w:t>
      </w:r>
    </w:p>
    <w:p w14:paraId="6B948099" w14:textId="77777777" w:rsidR="007862A2" w:rsidRDefault="007862A2" w:rsidP="007862A2">
      <w:pPr>
        <w:pStyle w:val="PL"/>
        <w:rPr>
          <w:rFonts w:cs="Courier New"/>
          <w:szCs w:val="16"/>
        </w:rPr>
      </w:pPr>
      <w:r>
        <w:t xml:space="preserve">        </w:t>
      </w:r>
      <w:r>
        <w:rPr>
          <w:rFonts w:cs="Courier New"/>
          <w:szCs w:val="16"/>
        </w:rPr>
        <w:t xml:space="preserve">Extends ProblemDetails to indicate </w:t>
      </w:r>
      <w:r>
        <w:rPr>
          <w:lang w:eastAsia="zh-CN"/>
        </w:rPr>
        <w:t xml:space="preserve">more details why the analytics </w:t>
      </w:r>
      <w:r>
        <w:t>request is rejected.</w:t>
      </w:r>
    </w:p>
    <w:p w14:paraId="3B165A4E" w14:textId="77777777" w:rsidR="007862A2" w:rsidRDefault="007862A2" w:rsidP="007862A2">
      <w:pPr>
        <w:pStyle w:val="PL"/>
        <w:rPr>
          <w:rFonts w:cs="Courier New"/>
          <w:szCs w:val="16"/>
        </w:rPr>
      </w:pPr>
      <w:r>
        <w:rPr>
          <w:rFonts w:cs="Courier New"/>
          <w:szCs w:val="16"/>
        </w:rPr>
        <w:t xml:space="preserve">      allOf:</w:t>
      </w:r>
    </w:p>
    <w:p w14:paraId="63932B64" w14:textId="77777777" w:rsidR="007862A2" w:rsidRDefault="007862A2" w:rsidP="007862A2">
      <w:pPr>
        <w:pStyle w:val="PL"/>
      </w:pPr>
      <w:r>
        <w:t xml:space="preserve">        - $ref: '</w:t>
      </w:r>
      <w:r>
        <w:rPr>
          <w:rFonts w:cs="Courier New"/>
          <w:szCs w:val="16"/>
        </w:rPr>
        <w:t>TS29571_CommonData.yaml</w:t>
      </w:r>
      <w:r>
        <w:t>#/components/schemas/ProblemDetails'</w:t>
      </w:r>
    </w:p>
    <w:p w14:paraId="1FF478FE" w14:textId="77777777" w:rsidR="007862A2" w:rsidRDefault="007862A2" w:rsidP="007862A2">
      <w:pPr>
        <w:pStyle w:val="PL"/>
        <w:rPr>
          <w:rFonts w:cs="Courier New"/>
          <w:szCs w:val="16"/>
        </w:rPr>
      </w:pPr>
      <w:r>
        <w:rPr>
          <w:rFonts w:cs="Courier New"/>
          <w:szCs w:val="16"/>
        </w:rPr>
        <w:t xml:space="preserve">        - </w:t>
      </w:r>
      <w:r>
        <w:t>$ref: '#/components/schemas/AdditionInfoAnalyticsInfoRequest</w:t>
      </w:r>
      <w:r>
        <w:rPr>
          <w:lang w:eastAsia="zh-CN"/>
        </w:rPr>
        <w:t>'</w:t>
      </w:r>
    </w:p>
    <w:p w14:paraId="00D25DB4" w14:textId="77777777" w:rsidR="007862A2" w:rsidRDefault="007862A2" w:rsidP="007862A2">
      <w:pPr>
        <w:pStyle w:val="PL"/>
      </w:pPr>
    </w:p>
    <w:p w14:paraId="21616310" w14:textId="77777777" w:rsidR="007862A2" w:rsidRDefault="007862A2" w:rsidP="007862A2">
      <w:pPr>
        <w:pStyle w:val="PL"/>
      </w:pPr>
      <w:r>
        <w:t xml:space="preserve">    AdditionInfoAnalyticsInfoRequest:</w:t>
      </w:r>
    </w:p>
    <w:p w14:paraId="302217C9" w14:textId="77777777" w:rsidR="007862A2" w:rsidRDefault="007862A2" w:rsidP="007862A2">
      <w:pPr>
        <w:pStyle w:val="PL"/>
      </w:pPr>
      <w:r>
        <w:t xml:space="preserve">      description: Indicates </w:t>
      </w:r>
      <w:r>
        <w:rPr>
          <w:rFonts w:cs="Arial"/>
          <w:szCs w:val="18"/>
        </w:rPr>
        <w:t>additional information</w:t>
      </w:r>
      <w:r>
        <w:rPr>
          <w:lang w:eastAsia="zh-CN"/>
        </w:rPr>
        <w:t xml:space="preserve"> why </w:t>
      </w:r>
      <w:r>
        <w:t>the analytics request is rejected.</w:t>
      </w:r>
    </w:p>
    <w:p w14:paraId="26F73720" w14:textId="77777777" w:rsidR="007862A2" w:rsidRDefault="007862A2" w:rsidP="007862A2">
      <w:pPr>
        <w:pStyle w:val="PL"/>
      </w:pPr>
      <w:r>
        <w:t xml:space="preserve">      type: object</w:t>
      </w:r>
    </w:p>
    <w:p w14:paraId="750A9230" w14:textId="77777777" w:rsidR="007862A2" w:rsidRDefault="007862A2" w:rsidP="007862A2">
      <w:pPr>
        <w:pStyle w:val="PL"/>
      </w:pPr>
      <w:r>
        <w:t xml:space="preserve">      properties:</w:t>
      </w:r>
    </w:p>
    <w:p w14:paraId="31972F8A" w14:textId="77777777" w:rsidR="007862A2" w:rsidRDefault="007862A2" w:rsidP="007862A2">
      <w:pPr>
        <w:pStyle w:val="PL"/>
      </w:pPr>
      <w:r>
        <w:t xml:space="preserve">        rvWaitTime:</w:t>
      </w:r>
    </w:p>
    <w:p w14:paraId="1007992D" w14:textId="77777777" w:rsidR="007862A2" w:rsidRDefault="007862A2" w:rsidP="007862A2">
      <w:pPr>
        <w:pStyle w:val="PL"/>
      </w:pPr>
      <w:r>
        <w:t xml:space="preserve">          $ref: 'TS29571_CommonData.yaml#/components/schemas/DurationSec'</w:t>
      </w:r>
    </w:p>
    <w:p w14:paraId="0E8C173C" w14:textId="77777777" w:rsidR="007862A2" w:rsidRDefault="007862A2" w:rsidP="007862A2">
      <w:pPr>
        <w:pStyle w:val="PL"/>
      </w:pPr>
    </w:p>
    <w:p w14:paraId="2F642201" w14:textId="77777777" w:rsidR="007862A2" w:rsidRDefault="007862A2" w:rsidP="007862A2">
      <w:pPr>
        <w:pStyle w:val="PL"/>
      </w:pPr>
      <w:r>
        <w:t xml:space="preserve">    ContextData:</w:t>
      </w:r>
    </w:p>
    <w:p w14:paraId="2F794599" w14:textId="77777777" w:rsidR="007862A2" w:rsidRDefault="007862A2" w:rsidP="007862A2">
      <w:pPr>
        <w:pStyle w:val="PL"/>
      </w:pPr>
      <w:r>
        <w:t xml:space="preserve">      description: &gt;</w:t>
      </w:r>
    </w:p>
    <w:p w14:paraId="5A6FD220" w14:textId="77777777" w:rsidR="007862A2" w:rsidRDefault="007862A2" w:rsidP="007862A2">
      <w:pPr>
        <w:pStyle w:val="PL"/>
      </w:pPr>
      <w:r>
        <w:t xml:space="preserve">        Contains context information related to analytics subscriptions corresponding with one or</w:t>
      </w:r>
    </w:p>
    <w:p w14:paraId="0EDD03C6" w14:textId="77777777" w:rsidR="007862A2" w:rsidRDefault="007862A2" w:rsidP="007862A2">
      <w:pPr>
        <w:pStyle w:val="PL"/>
      </w:pPr>
      <w:r>
        <w:t xml:space="preserve">        more context identifiers.</w:t>
      </w:r>
    </w:p>
    <w:p w14:paraId="4FE676DB" w14:textId="77777777" w:rsidR="007862A2" w:rsidRDefault="007862A2" w:rsidP="007862A2">
      <w:pPr>
        <w:pStyle w:val="PL"/>
      </w:pPr>
      <w:r>
        <w:t xml:space="preserve">      type: object</w:t>
      </w:r>
    </w:p>
    <w:p w14:paraId="576A84AD" w14:textId="77777777" w:rsidR="007862A2" w:rsidRDefault="007862A2" w:rsidP="007862A2">
      <w:pPr>
        <w:pStyle w:val="PL"/>
      </w:pPr>
      <w:r>
        <w:t xml:space="preserve">      properties:</w:t>
      </w:r>
    </w:p>
    <w:p w14:paraId="2C70C7E0" w14:textId="77777777" w:rsidR="007862A2" w:rsidRDefault="007862A2" w:rsidP="007862A2">
      <w:pPr>
        <w:pStyle w:val="PL"/>
      </w:pPr>
      <w:r>
        <w:t xml:space="preserve">        contextElems:</w:t>
      </w:r>
    </w:p>
    <w:p w14:paraId="7DB0ACD8" w14:textId="77777777" w:rsidR="007862A2" w:rsidRDefault="007862A2" w:rsidP="007862A2">
      <w:pPr>
        <w:pStyle w:val="PL"/>
      </w:pPr>
      <w:r>
        <w:t xml:space="preserve">          type: array</w:t>
      </w:r>
    </w:p>
    <w:p w14:paraId="7DE3DDD1" w14:textId="77777777" w:rsidR="007862A2" w:rsidRDefault="007862A2" w:rsidP="007862A2">
      <w:pPr>
        <w:pStyle w:val="PL"/>
      </w:pPr>
      <w:r>
        <w:t xml:space="preserve">          items:</w:t>
      </w:r>
    </w:p>
    <w:p w14:paraId="29C184CD" w14:textId="77777777" w:rsidR="007862A2" w:rsidRDefault="007862A2" w:rsidP="007862A2">
      <w:pPr>
        <w:pStyle w:val="PL"/>
      </w:pPr>
      <w:r>
        <w:t xml:space="preserve">            $ref: '#/components/schemas/ContextElement'</w:t>
      </w:r>
    </w:p>
    <w:p w14:paraId="00107947" w14:textId="77777777" w:rsidR="007862A2" w:rsidRDefault="007862A2" w:rsidP="007862A2">
      <w:pPr>
        <w:pStyle w:val="PL"/>
      </w:pPr>
      <w:r>
        <w:t xml:space="preserve">          minItems: 1</w:t>
      </w:r>
    </w:p>
    <w:p w14:paraId="1309533D" w14:textId="77777777" w:rsidR="007862A2" w:rsidRDefault="007862A2" w:rsidP="007862A2">
      <w:pPr>
        <w:pStyle w:val="PL"/>
      </w:pPr>
      <w:r>
        <w:t xml:space="preserve">          description: &gt;</w:t>
      </w:r>
    </w:p>
    <w:p w14:paraId="67CB18B6" w14:textId="77777777" w:rsidR="007862A2" w:rsidRDefault="007862A2" w:rsidP="007862A2">
      <w:pPr>
        <w:pStyle w:val="PL"/>
      </w:pPr>
      <w:r>
        <w:t xml:space="preserve">            List of items that contain context information corresponding with a context identifier.</w:t>
      </w:r>
    </w:p>
    <w:p w14:paraId="757FE589" w14:textId="77777777" w:rsidR="007862A2" w:rsidRDefault="007862A2" w:rsidP="007862A2">
      <w:pPr>
        <w:pStyle w:val="PL"/>
      </w:pPr>
      <w:r>
        <w:t xml:space="preserve">        suppFeat:</w:t>
      </w:r>
    </w:p>
    <w:p w14:paraId="4695A437" w14:textId="77777777" w:rsidR="007862A2" w:rsidRDefault="007862A2" w:rsidP="007862A2">
      <w:pPr>
        <w:pStyle w:val="PL"/>
      </w:pPr>
      <w:r>
        <w:t xml:space="preserve">          $ref: 'TS29571_CommonData.yaml#/components/schemas/SupportedFeatures'</w:t>
      </w:r>
    </w:p>
    <w:p w14:paraId="75C9BE19" w14:textId="77777777" w:rsidR="007862A2" w:rsidRDefault="007862A2" w:rsidP="007862A2">
      <w:pPr>
        <w:pStyle w:val="PL"/>
      </w:pPr>
      <w:r>
        <w:t xml:space="preserve">      required:</w:t>
      </w:r>
    </w:p>
    <w:p w14:paraId="578EC967" w14:textId="77777777" w:rsidR="007862A2" w:rsidRDefault="007862A2" w:rsidP="007862A2">
      <w:pPr>
        <w:pStyle w:val="PL"/>
      </w:pPr>
      <w:r>
        <w:t xml:space="preserve">        - contextElems</w:t>
      </w:r>
    </w:p>
    <w:p w14:paraId="1BD16C3B" w14:textId="77777777" w:rsidR="007862A2" w:rsidRDefault="007862A2" w:rsidP="007862A2">
      <w:pPr>
        <w:pStyle w:val="PL"/>
      </w:pPr>
    </w:p>
    <w:p w14:paraId="4C31D7EB" w14:textId="77777777" w:rsidR="007862A2" w:rsidRDefault="007862A2" w:rsidP="007862A2">
      <w:pPr>
        <w:pStyle w:val="PL"/>
      </w:pPr>
      <w:r>
        <w:t xml:space="preserve">    ContextElement:</w:t>
      </w:r>
    </w:p>
    <w:p w14:paraId="2F352CF6" w14:textId="77777777" w:rsidR="007862A2" w:rsidRDefault="007862A2" w:rsidP="007862A2">
      <w:pPr>
        <w:pStyle w:val="PL"/>
      </w:pPr>
      <w:r>
        <w:t xml:space="preserve">      description: Contains context information corresponding with a specific context identifier.</w:t>
      </w:r>
    </w:p>
    <w:p w14:paraId="260AA3FF" w14:textId="77777777" w:rsidR="007862A2" w:rsidRDefault="007862A2" w:rsidP="007862A2">
      <w:pPr>
        <w:pStyle w:val="PL"/>
      </w:pPr>
      <w:r>
        <w:t xml:space="preserve">      type: object</w:t>
      </w:r>
    </w:p>
    <w:p w14:paraId="0142442F" w14:textId="77777777" w:rsidR="007862A2" w:rsidRDefault="007862A2" w:rsidP="007862A2">
      <w:pPr>
        <w:pStyle w:val="PL"/>
      </w:pPr>
      <w:r>
        <w:t xml:space="preserve">      properties:</w:t>
      </w:r>
    </w:p>
    <w:p w14:paraId="663E6AAE" w14:textId="77777777" w:rsidR="007862A2" w:rsidRDefault="007862A2" w:rsidP="007862A2">
      <w:pPr>
        <w:pStyle w:val="PL"/>
      </w:pPr>
      <w:r>
        <w:t xml:space="preserve">        contextId:</w:t>
      </w:r>
    </w:p>
    <w:p w14:paraId="038F8A7B" w14:textId="77777777" w:rsidR="007862A2" w:rsidRDefault="007862A2" w:rsidP="007862A2">
      <w:pPr>
        <w:pStyle w:val="PL"/>
        <w:rPr>
          <w:rFonts w:eastAsia="等线"/>
        </w:rPr>
      </w:pPr>
      <w:r>
        <w:t xml:space="preserve">          $ref: 'TS29520_Nnwdaf_EventsSubscription.yaml#/components/schemas/AnalyticsContextIdentifier</w:t>
      </w:r>
      <w:r>
        <w:rPr>
          <w:rFonts w:eastAsia="等线"/>
        </w:rPr>
        <w:t>'</w:t>
      </w:r>
    </w:p>
    <w:p w14:paraId="34C03387" w14:textId="77777777" w:rsidR="007862A2" w:rsidRDefault="007862A2" w:rsidP="007862A2">
      <w:pPr>
        <w:pStyle w:val="PL"/>
      </w:pPr>
      <w:r>
        <w:t xml:space="preserve">        pendAnalytics:</w:t>
      </w:r>
    </w:p>
    <w:p w14:paraId="4C858747" w14:textId="77777777" w:rsidR="007862A2" w:rsidRDefault="007862A2" w:rsidP="007862A2">
      <w:pPr>
        <w:pStyle w:val="PL"/>
      </w:pPr>
      <w:r>
        <w:t xml:space="preserve">          type: array</w:t>
      </w:r>
    </w:p>
    <w:p w14:paraId="39A38257" w14:textId="77777777" w:rsidR="007862A2" w:rsidRDefault="007862A2" w:rsidP="007862A2">
      <w:pPr>
        <w:pStyle w:val="PL"/>
      </w:pPr>
      <w:r>
        <w:t xml:space="preserve">          items:</w:t>
      </w:r>
    </w:p>
    <w:p w14:paraId="50CC0B63" w14:textId="77777777" w:rsidR="007862A2" w:rsidRDefault="007862A2" w:rsidP="007862A2">
      <w:pPr>
        <w:pStyle w:val="PL"/>
      </w:pPr>
      <w:r>
        <w:t xml:space="preserve">            $ref: 'TS29520_Nnwdaf_EventsSubscription.yaml#/components/schemas/EventNotification</w:t>
      </w:r>
      <w:r>
        <w:rPr>
          <w:rFonts w:eastAsia="等线"/>
        </w:rPr>
        <w:t>'</w:t>
      </w:r>
    </w:p>
    <w:p w14:paraId="3EDDAF41" w14:textId="77777777" w:rsidR="007862A2" w:rsidRDefault="007862A2" w:rsidP="007862A2">
      <w:pPr>
        <w:pStyle w:val="PL"/>
      </w:pPr>
      <w:r>
        <w:t xml:space="preserve">          minItems: 1</w:t>
      </w:r>
    </w:p>
    <w:p w14:paraId="599925BB" w14:textId="77777777" w:rsidR="007862A2" w:rsidRDefault="007862A2" w:rsidP="007862A2">
      <w:pPr>
        <w:pStyle w:val="PL"/>
      </w:pPr>
      <w:r>
        <w:t xml:space="preserve">          description: &gt;</w:t>
      </w:r>
    </w:p>
    <w:p w14:paraId="63495DF5" w14:textId="77777777" w:rsidR="007862A2" w:rsidRDefault="007862A2" w:rsidP="007862A2">
      <w:pPr>
        <w:pStyle w:val="PL"/>
      </w:pPr>
      <w:r>
        <w:t xml:space="preserve">            Output analytics for the analytics subscription which have not yet been sent to the</w:t>
      </w:r>
    </w:p>
    <w:p w14:paraId="10A676D8" w14:textId="77777777" w:rsidR="007862A2" w:rsidRDefault="007862A2" w:rsidP="007862A2">
      <w:pPr>
        <w:pStyle w:val="PL"/>
      </w:pPr>
      <w:r>
        <w:t xml:space="preserve">            analytics consumer.</w:t>
      </w:r>
    </w:p>
    <w:p w14:paraId="5D29F317" w14:textId="77777777" w:rsidR="007862A2" w:rsidRDefault="007862A2" w:rsidP="007862A2">
      <w:pPr>
        <w:pStyle w:val="PL"/>
      </w:pPr>
      <w:r>
        <w:t xml:space="preserve">        histAnalytics:</w:t>
      </w:r>
    </w:p>
    <w:p w14:paraId="2D5FA328" w14:textId="77777777" w:rsidR="007862A2" w:rsidRDefault="007862A2" w:rsidP="007862A2">
      <w:pPr>
        <w:pStyle w:val="PL"/>
      </w:pPr>
      <w:r>
        <w:t xml:space="preserve">          type: array</w:t>
      </w:r>
    </w:p>
    <w:p w14:paraId="4902FB4A" w14:textId="77777777" w:rsidR="007862A2" w:rsidRDefault="007862A2" w:rsidP="007862A2">
      <w:pPr>
        <w:pStyle w:val="PL"/>
      </w:pPr>
      <w:r>
        <w:t xml:space="preserve">          items:</w:t>
      </w:r>
    </w:p>
    <w:p w14:paraId="126F23D9" w14:textId="77777777" w:rsidR="007862A2" w:rsidRDefault="007862A2" w:rsidP="007862A2">
      <w:pPr>
        <w:pStyle w:val="PL"/>
      </w:pPr>
      <w:r>
        <w:t xml:space="preserve">            $ref: 'TS29520_Nnwdaf_EventsSubscription.yaml#/components/schemas/EventNotification</w:t>
      </w:r>
      <w:r>
        <w:rPr>
          <w:rFonts w:eastAsia="等线"/>
        </w:rPr>
        <w:t>'</w:t>
      </w:r>
    </w:p>
    <w:p w14:paraId="4CBEE6C4" w14:textId="77777777" w:rsidR="007862A2" w:rsidRDefault="007862A2" w:rsidP="007862A2">
      <w:pPr>
        <w:pStyle w:val="PL"/>
      </w:pPr>
      <w:r>
        <w:t xml:space="preserve">          minItems: 1</w:t>
      </w:r>
    </w:p>
    <w:p w14:paraId="52A7CA1D" w14:textId="77777777" w:rsidR="007862A2" w:rsidRDefault="007862A2" w:rsidP="007862A2">
      <w:pPr>
        <w:pStyle w:val="PL"/>
      </w:pPr>
      <w:r>
        <w:t xml:space="preserve">          description: Historical output analytics.</w:t>
      </w:r>
    </w:p>
    <w:p w14:paraId="0A019D5F" w14:textId="77777777" w:rsidR="007862A2" w:rsidRDefault="007862A2" w:rsidP="007862A2">
      <w:pPr>
        <w:pStyle w:val="PL"/>
      </w:pPr>
      <w:r>
        <w:t xml:space="preserve">        lastOutputTime:</w:t>
      </w:r>
    </w:p>
    <w:p w14:paraId="7AFEE906" w14:textId="77777777" w:rsidR="007862A2" w:rsidRDefault="007862A2" w:rsidP="007862A2">
      <w:pPr>
        <w:pStyle w:val="PL"/>
      </w:pPr>
      <w:r>
        <w:t xml:space="preserve">          $ref: 'TS29571_CommonData.yaml#/components/schemas/DateTime'</w:t>
      </w:r>
    </w:p>
    <w:p w14:paraId="203E8F21" w14:textId="77777777" w:rsidR="007862A2" w:rsidRDefault="007862A2" w:rsidP="007862A2">
      <w:pPr>
        <w:pStyle w:val="PL"/>
      </w:pPr>
      <w:r>
        <w:t xml:space="preserve">        aggrSubs:</w:t>
      </w:r>
    </w:p>
    <w:p w14:paraId="1B05B9E2" w14:textId="77777777" w:rsidR="007862A2" w:rsidRDefault="007862A2" w:rsidP="007862A2">
      <w:pPr>
        <w:pStyle w:val="PL"/>
      </w:pPr>
      <w:r>
        <w:t xml:space="preserve">          type: array</w:t>
      </w:r>
    </w:p>
    <w:p w14:paraId="45B8E539" w14:textId="77777777" w:rsidR="007862A2" w:rsidRDefault="007862A2" w:rsidP="007862A2">
      <w:pPr>
        <w:pStyle w:val="PL"/>
      </w:pPr>
      <w:r>
        <w:t xml:space="preserve">          items:</w:t>
      </w:r>
    </w:p>
    <w:p w14:paraId="613E988B" w14:textId="77777777" w:rsidR="007862A2" w:rsidRDefault="007862A2" w:rsidP="007862A2">
      <w:pPr>
        <w:pStyle w:val="PL"/>
      </w:pPr>
      <w:r>
        <w:t xml:space="preserve">            $ref: '#/components/schemas/SpecificAnalyticsSubscription</w:t>
      </w:r>
      <w:r>
        <w:rPr>
          <w:rFonts w:eastAsia="等线"/>
        </w:rPr>
        <w:t>'</w:t>
      </w:r>
    </w:p>
    <w:p w14:paraId="396EE85C" w14:textId="77777777" w:rsidR="007862A2" w:rsidRDefault="007862A2" w:rsidP="007862A2">
      <w:pPr>
        <w:pStyle w:val="PL"/>
      </w:pPr>
      <w:r>
        <w:t xml:space="preserve">          minItems: 1</w:t>
      </w:r>
    </w:p>
    <w:p w14:paraId="6ED4DF6B" w14:textId="77777777" w:rsidR="007862A2" w:rsidRDefault="007862A2" w:rsidP="007862A2">
      <w:pPr>
        <w:pStyle w:val="PL"/>
      </w:pPr>
      <w:r>
        <w:t xml:space="preserve">          description: &gt;</w:t>
      </w:r>
    </w:p>
    <w:p w14:paraId="778C0F71" w14:textId="77777777" w:rsidR="007862A2" w:rsidRDefault="007862A2" w:rsidP="007862A2">
      <w:pPr>
        <w:pStyle w:val="PL"/>
      </w:pPr>
      <w:r>
        <w:t xml:space="preserve">            Information about analytics subscriptions that the NWDAF has with other NWDAFs to</w:t>
      </w:r>
    </w:p>
    <w:p w14:paraId="533960C1" w14:textId="77777777" w:rsidR="007862A2" w:rsidRDefault="007862A2" w:rsidP="007862A2">
      <w:pPr>
        <w:pStyle w:val="PL"/>
      </w:pPr>
      <w:r>
        <w:t xml:space="preserve">            perform </w:t>
      </w:r>
      <w:r>
        <w:rPr>
          <w:lang w:val="en-US" w:eastAsia="zh-CN"/>
        </w:rPr>
        <w:t>aggregation.</w:t>
      </w:r>
    </w:p>
    <w:p w14:paraId="5B41ABF2" w14:textId="77777777" w:rsidR="007862A2" w:rsidRDefault="007862A2" w:rsidP="007862A2">
      <w:pPr>
        <w:pStyle w:val="PL"/>
      </w:pPr>
      <w:r>
        <w:t xml:space="preserve">        histData:</w:t>
      </w:r>
    </w:p>
    <w:p w14:paraId="016E48F8" w14:textId="77777777" w:rsidR="007862A2" w:rsidRDefault="007862A2" w:rsidP="007862A2">
      <w:pPr>
        <w:pStyle w:val="PL"/>
      </w:pPr>
      <w:r>
        <w:t xml:space="preserve">          type: array</w:t>
      </w:r>
    </w:p>
    <w:p w14:paraId="7EF214B4" w14:textId="77777777" w:rsidR="007862A2" w:rsidRDefault="007862A2" w:rsidP="007862A2">
      <w:pPr>
        <w:pStyle w:val="PL"/>
      </w:pPr>
      <w:r>
        <w:t xml:space="preserve">          items:</w:t>
      </w:r>
    </w:p>
    <w:p w14:paraId="28112997" w14:textId="77777777" w:rsidR="007862A2" w:rsidRDefault="007862A2" w:rsidP="007862A2">
      <w:pPr>
        <w:pStyle w:val="PL"/>
      </w:pPr>
      <w:r>
        <w:t xml:space="preserve">            $ref: '#/components/schemas/HistoricalData</w:t>
      </w:r>
      <w:r>
        <w:rPr>
          <w:rFonts w:eastAsia="等线"/>
        </w:rPr>
        <w:t>'</w:t>
      </w:r>
    </w:p>
    <w:p w14:paraId="35754FF6" w14:textId="77777777" w:rsidR="007862A2" w:rsidRDefault="007862A2" w:rsidP="007862A2">
      <w:pPr>
        <w:pStyle w:val="PL"/>
      </w:pPr>
      <w:r>
        <w:t xml:space="preserve">          minItems: 1</w:t>
      </w:r>
    </w:p>
    <w:p w14:paraId="70895C7E" w14:textId="77777777" w:rsidR="007862A2" w:rsidRDefault="007862A2" w:rsidP="007862A2">
      <w:pPr>
        <w:pStyle w:val="PL"/>
      </w:pPr>
      <w:r>
        <w:t xml:space="preserve">          description: Historical data related to the analytics subscription.</w:t>
      </w:r>
    </w:p>
    <w:p w14:paraId="60AE3C97" w14:textId="77777777" w:rsidR="007862A2" w:rsidRDefault="007862A2" w:rsidP="007862A2">
      <w:pPr>
        <w:pStyle w:val="PL"/>
      </w:pPr>
      <w:r>
        <w:t xml:space="preserve">        adrfId:</w:t>
      </w:r>
    </w:p>
    <w:p w14:paraId="17575F93" w14:textId="77777777" w:rsidR="007862A2" w:rsidRDefault="007862A2" w:rsidP="007862A2">
      <w:pPr>
        <w:pStyle w:val="PL"/>
        <w:rPr>
          <w:rFonts w:eastAsia="等线"/>
        </w:rPr>
      </w:pPr>
      <w:r>
        <w:lastRenderedPageBreak/>
        <w:t xml:space="preserve">          $ref: 'TS29571_CommonData.yaml#/components/schemas/NfInstanceId</w:t>
      </w:r>
      <w:r>
        <w:rPr>
          <w:rFonts w:eastAsia="等线"/>
        </w:rPr>
        <w:t>'</w:t>
      </w:r>
    </w:p>
    <w:p w14:paraId="0DFA4167" w14:textId="77777777" w:rsidR="007862A2" w:rsidRDefault="007862A2" w:rsidP="007862A2">
      <w:pPr>
        <w:pStyle w:val="PL"/>
      </w:pPr>
      <w:r>
        <w:t xml:space="preserve">        adrfDataTypes:</w:t>
      </w:r>
    </w:p>
    <w:p w14:paraId="54ABCC55" w14:textId="77777777" w:rsidR="007862A2" w:rsidRDefault="007862A2" w:rsidP="007862A2">
      <w:pPr>
        <w:pStyle w:val="PL"/>
      </w:pPr>
      <w:r>
        <w:t xml:space="preserve">          type: array</w:t>
      </w:r>
    </w:p>
    <w:p w14:paraId="5DCAB065" w14:textId="77777777" w:rsidR="007862A2" w:rsidRDefault="007862A2" w:rsidP="007862A2">
      <w:pPr>
        <w:pStyle w:val="PL"/>
      </w:pPr>
      <w:r>
        <w:t xml:space="preserve">          items:</w:t>
      </w:r>
    </w:p>
    <w:p w14:paraId="43DDF286" w14:textId="77777777" w:rsidR="007862A2" w:rsidRDefault="007862A2" w:rsidP="007862A2">
      <w:pPr>
        <w:pStyle w:val="PL"/>
      </w:pPr>
      <w:r>
        <w:t xml:space="preserve">            $ref: '#/components/schemas/AdrfDataType</w:t>
      </w:r>
      <w:r>
        <w:rPr>
          <w:rFonts w:eastAsia="等线"/>
        </w:rPr>
        <w:t>'</w:t>
      </w:r>
    </w:p>
    <w:p w14:paraId="34ADE4BC" w14:textId="77777777" w:rsidR="007862A2" w:rsidRDefault="007862A2" w:rsidP="007862A2">
      <w:pPr>
        <w:pStyle w:val="PL"/>
      </w:pPr>
      <w:r>
        <w:t xml:space="preserve">          minItems: 1</w:t>
      </w:r>
    </w:p>
    <w:p w14:paraId="0E2CC2E9" w14:textId="77777777" w:rsidR="007862A2" w:rsidRDefault="007862A2" w:rsidP="007862A2">
      <w:pPr>
        <w:pStyle w:val="PL"/>
      </w:pPr>
      <w:r>
        <w:t xml:space="preserve">          description: Type(s) of data stored in the ADRF by the NWDAF.</w:t>
      </w:r>
    </w:p>
    <w:p w14:paraId="663E2A7A" w14:textId="77777777" w:rsidR="007862A2" w:rsidRDefault="007862A2" w:rsidP="007862A2">
      <w:pPr>
        <w:pStyle w:val="PL"/>
      </w:pPr>
      <w:r>
        <w:t xml:space="preserve">        aggrNwdafIds:</w:t>
      </w:r>
    </w:p>
    <w:p w14:paraId="79F06F3F" w14:textId="77777777" w:rsidR="007862A2" w:rsidRDefault="007862A2" w:rsidP="007862A2">
      <w:pPr>
        <w:pStyle w:val="PL"/>
      </w:pPr>
      <w:r>
        <w:t xml:space="preserve">          type: array</w:t>
      </w:r>
    </w:p>
    <w:p w14:paraId="17E8B76E" w14:textId="77777777" w:rsidR="007862A2" w:rsidRDefault="007862A2" w:rsidP="007862A2">
      <w:pPr>
        <w:pStyle w:val="PL"/>
      </w:pPr>
      <w:r>
        <w:t xml:space="preserve">          items:</w:t>
      </w:r>
    </w:p>
    <w:p w14:paraId="55D1AE08" w14:textId="77777777" w:rsidR="007862A2" w:rsidRDefault="007862A2" w:rsidP="007862A2">
      <w:pPr>
        <w:pStyle w:val="PL"/>
      </w:pPr>
      <w:r>
        <w:t xml:space="preserve">            $ref: 'TS29571_CommonData.yaml#/components/schemas/NfInstanceId</w:t>
      </w:r>
      <w:r>
        <w:rPr>
          <w:rFonts w:eastAsia="等线"/>
        </w:rPr>
        <w:t>'</w:t>
      </w:r>
    </w:p>
    <w:p w14:paraId="680E5626" w14:textId="77777777" w:rsidR="007862A2" w:rsidRDefault="007862A2" w:rsidP="007862A2">
      <w:pPr>
        <w:pStyle w:val="PL"/>
      </w:pPr>
      <w:r>
        <w:t xml:space="preserve">          minItems: 1</w:t>
      </w:r>
    </w:p>
    <w:p w14:paraId="090BE991" w14:textId="77777777" w:rsidR="007862A2" w:rsidRDefault="007862A2" w:rsidP="007862A2">
      <w:pPr>
        <w:pStyle w:val="PL"/>
      </w:pPr>
      <w:r>
        <w:t xml:space="preserve">          description: &gt;</w:t>
      </w:r>
    </w:p>
    <w:p w14:paraId="290C1986" w14:textId="77777777" w:rsidR="007862A2" w:rsidRDefault="007862A2" w:rsidP="007862A2">
      <w:pPr>
        <w:pStyle w:val="PL"/>
      </w:pPr>
      <w:r>
        <w:t xml:space="preserve">            NWDAF identifiers of NWDAF instances used by the NWDAF service consumer when aggregating</w:t>
      </w:r>
    </w:p>
    <w:p w14:paraId="503BE5D9" w14:textId="77777777" w:rsidR="007862A2" w:rsidRDefault="007862A2" w:rsidP="007862A2">
      <w:pPr>
        <w:pStyle w:val="PL"/>
      </w:pPr>
      <w:r>
        <w:t xml:space="preserve">            multiple analytics subscriptions.</w:t>
      </w:r>
    </w:p>
    <w:p w14:paraId="24ED8A34" w14:textId="77777777" w:rsidR="007862A2" w:rsidRDefault="007862A2" w:rsidP="007862A2">
      <w:pPr>
        <w:pStyle w:val="PL"/>
      </w:pPr>
      <w:r>
        <w:t xml:space="preserve">        modelInfo:</w:t>
      </w:r>
    </w:p>
    <w:p w14:paraId="47DBB499" w14:textId="77777777" w:rsidR="007862A2" w:rsidRDefault="007862A2" w:rsidP="007862A2">
      <w:pPr>
        <w:pStyle w:val="PL"/>
      </w:pPr>
      <w:r>
        <w:t xml:space="preserve">          type: array</w:t>
      </w:r>
    </w:p>
    <w:p w14:paraId="52AC24E7" w14:textId="77777777" w:rsidR="007862A2" w:rsidRDefault="007862A2" w:rsidP="007862A2">
      <w:pPr>
        <w:pStyle w:val="PL"/>
      </w:pPr>
      <w:r>
        <w:t xml:space="preserve">          items:</w:t>
      </w:r>
    </w:p>
    <w:p w14:paraId="31108B29" w14:textId="77777777" w:rsidR="007862A2" w:rsidRDefault="007862A2" w:rsidP="007862A2">
      <w:pPr>
        <w:pStyle w:val="PL"/>
      </w:pPr>
      <w:r>
        <w:t xml:space="preserve">            $ref: 'TS29520_Nnwdaf_EventsSubscription.yaml#/components/schemas/ModelInfo'</w:t>
      </w:r>
    </w:p>
    <w:p w14:paraId="62B7642E" w14:textId="77777777" w:rsidR="007862A2" w:rsidRDefault="007862A2" w:rsidP="007862A2">
      <w:pPr>
        <w:pStyle w:val="PL"/>
      </w:pPr>
      <w:r>
        <w:t xml:space="preserve">          minItems: 1</w:t>
      </w:r>
    </w:p>
    <w:p w14:paraId="308B3312" w14:textId="77777777" w:rsidR="007862A2" w:rsidRDefault="007862A2" w:rsidP="007862A2">
      <w:pPr>
        <w:pStyle w:val="PL"/>
        <w:rPr>
          <w:rFonts w:eastAsia="等线"/>
        </w:rPr>
      </w:pPr>
      <w:r>
        <w:t xml:space="preserve">          description: &gt;</w:t>
      </w:r>
    </w:p>
    <w:p w14:paraId="673304C4" w14:textId="77777777" w:rsidR="007862A2" w:rsidRDefault="007862A2" w:rsidP="007862A2">
      <w:pPr>
        <w:pStyle w:val="PL"/>
      </w:pPr>
      <w:r>
        <w:t xml:space="preserve">            Contains information identifying the ML model(s) that the consumer NWDAF is currently</w:t>
      </w:r>
    </w:p>
    <w:p w14:paraId="2B4ABB21" w14:textId="77777777" w:rsidR="007862A2" w:rsidRDefault="007862A2" w:rsidP="007862A2">
      <w:pPr>
        <w:pStyle w:val="PL"/>
      </w:pPr>
      <w:r>
        <w:t xml:space="preserve">            subscribing for the analytics.</w:t>
      </w:r>
    </w:p>
    <w:p w14:paraId="6CF9B85A" w14:textId="77777777" w:rsidR="007862A2" w:rsidRDefault="007862A2" w:rsidP="007862A2">
      <w:pPr>
        <w:pStyle w:val="PL"/>
      </w:pPr>
      <w:r>
        <w:t xml:space="preserve">        </w:t>
      </w:r>
      <w:r>
        <w:rPr>
          <w:lang w:eastAsia="zh-CN"/>
        </w:rPr>
        <w:t>anaAccuInfos</w:t>
      </w:r>
      <w:r>
        <w:t>:</w:t>
      </w:r>
    </w:p>
    <w:p w14:paraId="43224CF5" w14:textId="77777777" w:rsidR="007862A2" w:rsidRDefault="007862A2" w:rsidP="007862A2">
      <w:pPr>
        <w:pStyle w:val="PL"/>
      </w:pPr>
      <w:r>
        <w:t xml:space="preserve">          type: array</w:t>
      </w:r>
    </w:p>
    <w:p w14:paraId="15EF1B03" w14:textId="77777777" w:rsidR="007862A2" w:rsidRDefault="007862A2" w:rsidP="007862A2">
      <w:pPr>
        <w:pStyle w:val="PL"/>
      </w:pPr>
      <w:r>
        <w:t xml:space="preserve">          items:</w:t>
      </w:r>
    </w:p>
    <w:p w14:paraId="10EC0AEC" w14:textId="77777777" w:rsidR="007862A2" w:rsidRDefault="007862A2" w:rsidP="007862A2">
      <w:pPr>
        <w:pStyle w:val="PL"/>
      </w:pPr>
      <w:r>
        <w:t xml:space="preserve">            $ref: '#/components/schemas/AnalyticsAccuracyInfo</w:t>
      </w:r>
      <w:r>
        <w:rPr>
          <w:rFonts w:eastAsia="等线"/>
        </w:rPr>
        <w:t>'</w:t>
      </w:r>
    </w:p>
    <w:p w14:paraId="4A6BC87D" w14:textId="77777777" w:rsidR="007862A2" w:rsidRDefault="007862A2" w:rsidP="007862A2">
      <w:pPr>
        <w:pStyle w:val="PL"/>
      </w:pPr>
      <w:r>
        <w:t xml:space="preserve">          minItems: 1</w:t>
      </w:r>
    </w:p>
    <w:p w14:paraId="23F74B90" w14:textId="77777777" w:rsidR="007862A2" w:rsidRDefault="007862A2" w:rsidP="007862A2">
      <w:pPr>
        <w:pStyle w:val="PL"/>
      </w:pPr>
      <w:r>
        <w:t xml:space="preserve">          description: The </w:t>
      </w:r>
      <w:r>
        <w:rPr>
          <w:lang w:eastAsia="ko-KR"/>
        </w:rPr>
        <w:t>Analytics Accuracy related information</w:t>
      </w:r>
      <w:r>
        <w:t>.</w:t>
      </w:r>
    </w:p>
    <w:p w14:paraId="611A9938" w14:textId="77777777" w:rsidR="007862A2" w:rsidRDefault="007862A2" w:rsidP="007862A2">
      <w:pPr>
        <w:pStyle w:val="PL"/>
      </w:pPr>
      <w:r>
        <w:t xml:space="preserve">        modelAccuInfos:</w:t>
      </w:r>
    </w:p>
    <w:p w14:paraId="5474E53D" w14:textId="77777777" w:rsidR="007862A2" w:rsidRDefault="007862A2" w:rsidP="007862A2">
      <w:pPr>
        <w:pStyle w:val="PL"/>
      </w:pPr>
      <w:r>
        <w:t xml:space="preserve">          type: array</w:t>
      </w:r>
    </w:p>
    <w:p w14:paraId="238B4495" w14:textId="77777777" w:rsidR="007862A2" w:rsidRDefault="007862A2" w:rsidP="007862A2">
      <w:pPr>
        <w:pStyle w:val="PL"/>
      </w:pPr>
      <w:r>
        <w:t xml:space="preserve">          items:</w:t>
      </w:r>
    </w:p>
    <w:p w14:paraId="30D2BF6D" w14:textId="77777777" w:rsidR="007862A2" w:rsidRDefault="007862A2" w:rsidP="007862A2">
      <w:pPr>
        <w:pStyle w:val="PL"/>
      </w:pPr>
      <w:r>
        <w:t xml:space="preserve">            $ref: '#/components/schemas/MlModelAccuracyInfo</w:t>
      </w:r>
      <w:r>
        <w:rPr>
          <w:rFonts w:eastAsia="等线"/>
        </w:rPr>
        <w:t>'</w:t>
      </w:r>
    </w:p>
    <w:p w14:paraId="20069463" w14:textId="77777777" w:rsidR="007862A2" w:rsidRDefault="007862A2" w:rsidP="007862A2">
      <w:pPr>
        <w:pStyle w:val="PL"/>
      </w:pPr>
      <w:r>
        <w:t xml:space="preserve">          minItems: 1</w:t>
      </w:r>
    </w:p>
    <w:p w14:paraId="377760FF" w14:textId="77777777" w:rsidR="007862A2" w:rsidRDefault="007862A2" w:rsidP="007862A2">
      <w:pPr>
        <w:pStyle w:val="PL"/>
      </w:pPr>
      <w:r>
        <w:t xml:space="preserve">          description: The ML Model accuracy related information.</w:t>
      </w:r>
    </w:p>
    <w:p w14:paraId="79D0F7F7" w14:textId="77777777" w:rsidR="007862A2" w:rsidRDefault="007862A2" w:rsidP="007862A2">
      <w:pPr>
        <w:pStyle w:val="PL"/>
      </w:pPr>
      <w:r>
        <w:t xml:space="preserve">      required:</w:t>
      </w:r>
    </w:p>
    <w:p w14:paraId="60C5BD0F" w14:textId="77777777" w:rsidR="007862A2" w:rsidRDefault="007862A2" w:rsidP="007862A2">
      <w:pPr>
        <w:pStyle w:val="PL"/>
      </w:pPr>
      <w:r>
        <w:t xml:space="preserve">        - contextId</w:t>
      </w:r>
    </w:p>
    <w:p w14:paraId="1CF2CBE2" w14:textId="77777777" w:rsidR="007862A2" w:rsidRDefault="007862A2" w:rsidP="007862A2">
      <w:pPr>
        <w:pStyle w:val="PL"/>
      </w:pPr>
    </w:p>
    <w:p w14:paraId="29845201" w14:textId="77777777" w:rsidR="007862A2" w:rsidRDefault="007862A2" w:rsidP="007862A2">
      <w:pPr>
        <w:pStyle w:val="PL"/>
      </w:pPr>
      <w:r>
        <w:t xml:space="preserve">    ContextIdList:</w:t>
      </w:r>
    </w:p>
    <w:p w14:paraId="544AACFB" w14:textId="77777777" w:rsidR="007862A2" w:rsidRDefault="007862A2" w:rsidP="007862A2">
      <w:pPr>
        <w:pStyle w:val="PL"/>
      </w:pPr>
      <w:r>
        <w:t xml:space="preserve">      description: &gt;</w:t>
      </w:r>
    </w:p>
    <w:p w14:paraId="4FDAF100" w14:textId="77777777" w:rsidR="007862A2" w:rsidRDefault="007862A2" w:rsidP="007862A2">
      <w:pPr>
        <w:pStyle w:val="PL"/>
      </w:pPr>
      <w:r>
        <w:t xml:space="preserve">            Contains a list of context identifiers of context information of analytics</w:t>
      </w:r>
    </w:p>
    <w:p w14:paraId="1D5C6259" w14:textId="77777777" w:rsidR="007862A2" w:rsidRDefault="007862A2" w:rsidP="007862A2">
      <w:pPr>
        <w:pStyle w:val="PL"/>
      </w:pPr>
      <w:r>
        <w:t xml:space="preserve">            subscriptions.</w:t>
      </w:r>
    </w:p>
    <w:p w14:paraId="7C359F89" w14:textId="77777777" w:rsidR="007862A2" w:rsidRDefault="007862A2" w:rsidP="007862A2">
      <w:pPr>
        <w:pStyle w:val="PL"/>
      </w:pPr>
      <w:r>
        <w:t xml:space="preserve">      type: object</w:t>
      </w:r>
    </w:p>
    <w:p w14:paraId="3036353E" w14:textId="77777777" w:rsidR="007862A2" w:rsidRDefault="007862A2" w:rsidP="007862A2">
      <w:pPr>
        <w:pStyle w:val="PL"/>
      </w:pPr>
      <w:r>
        <w:t xml:space="preserve">      properties:</w:t>
      </w:r>
    </w:p>
    <w:p w14:paraId="2AA569B6" w14:textId="77777777" w:rsidR="007862A2" w:rsidRDefault="007862A2" w:rsidP="007862A2">
      <w:pPr>
        <w:pStyle w:val="PL"/>
      </w:pPr>
      <w:r>
        <w:t xml:space="preserve">        contextIds:</w:t>
      </w:r>
    </w:p>
    <w:p w14:paraId="26D52AF5" w14:textId="77777777" w:rsidR="007862A2" w:rsidRDefault="007862A2" w:rsidP="007862A2">
      <w:pPr>
        <w:pStyle w:val="PL"/>
      </w:pPr>
      <w:r>
        <w:t xml:space="preserve">          type: array</w:t>
      </w:r>
    </w:p>
    <w:p w14:paraId="5ADDC98D" w14:textId="77777777" w:rsidR="007862A2" w:rsidRDefault="007862A2" w:rsidP="007862A2">
      <w:pPr>
        <w:pStyle w:val="PL"/>
      </w:pPr>
      <w:r>
        <w:t xml:space="preserve">          items:</w:t>
      </w:r>
    </w:p>
    <w:p w14:paraId="098A0A2E" w14:textId="77777777" w:rsidR="007862A2" w:rsidRDefault="007862A2" w:rsidP="007862A2">
      <w:pPr>
        <w:pStyle w:val="PL"/>
      </w:pPr>
      <w:r>
        <w:t xml:space="preserve">            $ref: 'TS29520_Nnwdaf_EventsSubscription.yaml#/components/schemas/AnalyticsContextIdentifier</w:t>
      </w:r>
      <w:r>
        <w:rPr>
          <w:rFonts w:eastAsia="等线"/>
        </w:rPr>
        <w:t>'</w:t>
      </w:r>
    </w:p>
    <w:p w14:paraId="0FB54607" w14:textId="77777777" w:rsidR="007862A2" w:rsidRDefault="007862A2" w:rsidP="007862A2">
      <w:pPr>
        <w:pStyle w:val="PL"/>
        <w:rPr>
          <w:rFonts w:eastAsia="等线"/>
        </w:rPr>
      </w:pPr>
      <w:r>
        <w:t xml:space="preserve">          minItems: 1</w:t>
      </w:r>
    </w:p>
    <w:p w14:paraId="384C40AD" w14:textId="77777777" w:rsidR="007862A2" w:rsidRDefault="007862A2" w:rsidP="007862A2">
      <w:pPr>
        <w:pStyle w:val="PL"/>
      </w:pPr>
      <w:r>
        <w:t xml:space="preserve">      required:</w:t>
      </w:r>
    </w:p>
    <w:p w14:paraId="605A0749" w14:textId="77777777" w:rsidR="007862A2" w:rsidRDefault="007862A2" w:rsidP="007862A2">
      <w:pPr>
        <w:pStyle w:val="PL"/>
      </w:pPr>
      <w:r>
        <w:t xml:space="preserve">        - contextIds</w:t>
      </w:r>
    </w:p>
    <w:p w14:paraId="78D65E92" w14:textId="77777777" w:rsidR="007862A2" w:rsidRDefault="007862A2" w:rsidP="007862A2">
      <w:pPr>
        <w:pStyle w:val="PL"/>
      </w:pPr>
    </w:p>
    <w:p w14:paraId="52F70C30" w14:textId="77777777" w:rsidR="007862A2" w:rsidRDefault="007862A2" w:rsidP="007862A2">
      <w:pPr>
        <w:pStyle w:val="PL"/>
      </w:pPr>
      <w:r>
        <w:t xml:space="preserve">    HistoricalData:</w:t>
      </w:r>
    </w:p>
    <w:p w14:paraId="6A9B5EBC" w14:textId="77777777" w:rsidR="007862A2" w:rsidRDefault="007862A2" w:rsidP="007862A2">
      <w:pPr>
        <w:pStyle w:val="PL"/>
      </w:pPr>
      <w:r>
        <w:t xml:space="preserve">      description: Contains </w:t>
      </w:r>
      <w:r>
        <w:rPr>
          <w:lang w:eastAsia="ko-KR"/>
        </w:rPr>
        <w:t>historical data</w:t>
      </w:r>
      <w:r>
        <w:t xml:space="preserve"> related to an analytics subscription.</w:t>
      </w:r>
    </w:p>
    <w:p w14:paraId="658E2F35" w14:textId="77777777" w:rsidR="007862A2" w:rsidRDefault="007862A2" w:rsidP="007862A2">
      <w:pPr>
        <w:pStyle w:val="PL"/>
      </w:pPr>
      <w:r>
        <w:t xml:space="preserve">      type: object</w:t>
      </w:r>
    </w:p>
    <w:p w14:paraId="1AB5E716" w14:textId="77777777" w:rsidR="007862A2" w:rsidRDefault="007862A2" w:rsidP="007862A2">
      <w:pPr>
        <w:pStyle w:val="PL"/>
      </w:pPr>
      <w:r>
        <w:t xml:space="preserve">      properties:</w:t>
      </w:r>
    </w:p>
    <w:p w14:paraId="4F6F00DF" w14:textId="77777777" w:rsidR="007862A2" w:rsidRDefault="007862A2" w:rsidP="007862A2">
      <w:pPr>
        <w:pStyle w:val="PL"/>
      </w:pPr>
      <w:r>
        <w:t xml:space="preserve">        startTime:</w:t>
      </w:r>
    </w:p>
    <w:p w14:paraId="70814898" w14:textId="77777777" w:rsidR="007862A2" w:rsidRDefault="007862A2" w:rsidP="007862A2">
      <w:pPr>
        <w:pStyle w:val="PL"/>
      </w:pPr>
      <w:r>
        <w:t xml:space="preserve">          $ref: 'TS29571_CommonData.yaml#/components/schemas/DateTime'</w:t>
      </w:r>
    </w:p>
    <w:p w14:paraId="2ACAEA67" w14:textId="77777777" w:rsidR="007862A2" w:rsidRDefault="007862A2" w:rsidP="007862A2">
      <w:pPr>
        <w:pStyle w:val="PL"/>
      </w:pPr>
      <w:r>
        <w:t xml:space="preserve">        endTime:</w:t>
      </w:r>
    </w:p>
    <w:p w14:paraId="458F3C92" w14:textId="77777777" w:rsidR="007862A2" w:rsidRDefault="007862A2" w:rsidP="007862A2">
      <w:pPr>
        <w:pStyle w:val="PL"/>
      </w:pPr>
      <w:r>
        <w:t xml:space="preserve">          $ref: 'TS29571_CommonData.yaml#/components/schemas/DateTime'</w:t>
      </w:r>
    </w:p>
    <w:p w14:paraId="23138E00" w14:textId="77777777" w:rsidR="007862A2" w:rsidRDefault="007862A2" w:rsidP="007862A2">
      <w:pPr>
        <w:pStyle w:val="PL"/>
      </w:pPr>
      <w:r>
        <w:t xml:space="preserve">        subsWithSources:</w:t>
      </w:r>
    </w:p>
    <w:p w14:paraId="403B4B20" w14:textId="77777777" w:rsidR="007862A2" w:rsidRDefault="007862A2" w:rsidP="007862A2">
      <w:pPr>
        <w:pStyle w:val="PL"/>
      </w:pPr>
      <w:r>
        <w:t xml:space="preserve">          type: array</w:t>
      </w:r>
    </w:p>
    <w:p w14:paraId="3DBDDC26" w14:textId="77777777" w:rsidR="007862A2" w:rsidRDefault="007862A2" w:rsidP="007862A2">
      <w:pPr>
        <w:pStyle w:val="PL"/>
      </w:pPr>
      <w:r>
        <w:t xml:space="preserve">          items:</w:t>
      </w:r>
    </w:p>
    <w:p w14:paraId="37B36942" w14:textId="77777777" w:rsidR="007862A2" w:rsidRDefault="007862A2" w:rsidP="007862A2">
      <w:pPr>
        <w:pStyle w:val="PL"/>
      </w:pPr>
      <w:r>
        <w:t xml:space="preserve">            $ref: '#/components/schemas/SpecificDataSubscription</w:t>
      </w:r>
      <w:r>
        <w:rPr>
          <w:rFonts w:eastAsia="等线"/>
        </w:rPr>
        <w:t>'</w:t>
      </w:r>
    </w:p>
    <w:p w14:paraId="78D9DF71" w14:textId="77777777" w:rsidR="007862A2" w:rsidRDefault="007862A2" w:rsidP="007862A2">
      <w:pPr>
        <w:pStyle w:val="PL"/>
      </w:pPr>
      <w:r>
        <w:t xml:space="preserve">          minItems: 1</w:t>
      </w:r>
    </w:p>
    <w:p w14:paraId="595DE36B" w14:textId="77777777" w:rsidR="007862A2" w:rsidRDefault="007862A2" w:rsidP="007862A2">
      <w:pPr>
        <w:pStyle w:val="PL"/>
        <w:rPr>
          <w:szCs w:val="18"/>
        </w:rPr>
      </w:pPr>
      <w:r>
        <w:t xml:space="preserve">          description: Information about subscriptions with the data sources.</w:t>
      </w:r>
    </w:p>
    <w:p w14:paraId="01EA52F8" w14:textId="77777777" w:rsidR="007862A2" w:rsidRDefault="007862A2" w:rsidP="007862A2">
      <w:pPr>
        <w:pStyle w:val="PL"/>
      </w:pPr>
      <w:r>
        <w:t xml:space="preserve">        data:</w:t>
      </w:r>
    </w:p>
    <w:p w14:paraId="157DB86E" w14:textId="77777777" w:rsidR="007862A2" w:rsidRDefault="007862A2" w:rsidP="007862A2">
      <w:pPr>
        <w:pStyle w:val="PL"/>
      </w:pPr>
      <w:r>
        <w:t xml:space="preserve">          type: array</w:t>
      </w:r>
    </w:p>
    <w:p w14:paraId="1319209E" w14:textId="77777777" w:rsidR="007862A2" w:rsidRDefault="007862A2" w:rsidP="007862A2">
      <w:pPr>
        <w:pStyle w:val="PL"/>
      </w:pPr>
      <w:r>
        <w:t xml:space="preserve">          items:</w:t>
      </w:r>
    </w:p>
    <w:p w14:paraId="460510E9" w14:textId="77777777" w:rsidR="007862A2" w:rsidRDefault="007862A2" w:rsidP="007862A2">
      <w:pPr>
        <w:pStyle w:val="PL"/>
      </w:pPr>
      <w:r>
        <w:t xml:space="preserve">            $ref: 'TS29575_Nadrf_DataManagement.yaml#/components/schemas/DataNotification'</w:t>
      </w:r>
    </w:p>
    <w:p w14:paraId="4B66875F" w14:textId="77777777" w:rsidR="007862A2" w:rsidRDefault="007862A2" w:rsidP="007862A2">
      <w:pPr>
        <w:pStyle w:val="PL"/>
      </w:pPr>
      <w:r>
        <w:t xml:space="preserve">          minItems: 1</w:t>
      </w:r>
    </w:p>
    <w:p w14:paraId="3764215A" w14:textId="77777777" w:rsidR="007862A2" w:rsidRDefault="007862A2" w:rsidP="007862A2">
      <w:pPr>
        <w:pStyle w:val="PL"/>
        <w:rPr>
          <w:rFonts w:eastAsia="等线"/>
        </w:rPr>
      </w:pPr>
      <w:r>
        <w:t xml:space="preserve">          description: Historical data related to the analytics</w:t>
      </w:r>
      <w:r>
        <w:rPr>
          <w:szCs w:val="18"/>
        </w:rPr>
        <w:t>.</w:t>
      </w:r>
    </w:p>
    <w:p w14:paraId="17604B5F" w14:textId="77777777" w:rsidR="007862A2" w:rsidRDefault="007862A2" w:rsidP="007862A2">
      <w:pPr>
        <w:pStyle w:val="PL"/>
      </w:pPr>
      <w:r>
        <w:t xml:space="preserve">      required:</w:t>
      </w:r>
    </w:p>
    <w:p w14:paraId="64382E89" w14:textId="77777777" w:rsidR="007862A2" w:rsidRDefault="007862A2" w:rsidP="007862A2">
      <w:pPr>
        <w:pStyle w:val="PL"/>
      </w:pPr>
      <w:r>
        <w:t xml:space="preserve">        - data</w:t>
      </w:r>
    </w:p>
    <w:p w14:paraId="5A5E325B" w14:textId="77777777" w:rsidR="007862A2" w:rsidRDefault="007862A2" w:rsidP="007862A2">
      <w:pPr>
        <w:pStyle w:val="PL"/>
      </w:pPr>
    </w:p>
    <w:p w14:paraId="6ABEBF2C" w14:textId="77777777" w:rsidR="007862A2" w:rsidRDefault="007862A2" w:rsidP="007862A2">
      <w:pPr>
        <w:pStyle w:val="PL"/>
      </w:pPr>
      <w:r>
        <w:t xml:space="preserve">    NetworkPerfReq:</w:t>
      </w:r>
    </w:p>
    <w:p w14:paraId="32B8ED53" w14:textId="77777777" w:rsidR="007862A2" w:rsidRDefault="007862A2" w:rsidP="007862A2">
      <w:pPr>
        <w:pStyle w:val="PL"/>
      </w:pPr>
      <w:r>
        <w:t xml:space="preserve">      description: </w:t>
      </w:r>
      <w:r>
        <w:rPr>
          <w:lang w:eastAsia="zh-CN"/>
        </w:rPr>
        <w:t>Represents a network performance requirement.</w:t>
      </w:r>
    </w:p>
    <w:p w14:paraId="7B756A08" w14:textId="77777777" w:rsidR="007862A2" w:rsidRDefault="007862A2" w:rsidP="007862A2">
      <w:pPr>
        <w:pStyle w:val="PL"/>
      </w:pPr>
      <w:r>
        <w:lastRenderedPageBreak/>
        <w:t xml:space="preserve">      type: object</w:t>
      </w:r>
    </w:p>
    <w:p w14:paraId="6271AFC9" w14:textId="77777777" w:rsidR="007862A2" w:rsidRDefault="007862A2" w:rsidP="007862A2">
      <w:pPr>
        <w:pStyle w:val="PL"/>
      </w:pPr>
      <w:r>
        <w:t xml:space="preserve">      properties:</w:t>
      </w:r>
    </w:p>
    <w:p w14:paraId="3E71AE07" w14:textId="77777777" w:rsidR="007862A2" w:rsidRDefault="007862A2" w:rsidP="007862A2">
      <w:pPr>
        <w:pStyle w:val="PL"/>
      </w:pPr>
      <w:r>
        <w:t xml:space="preserve">        </w:t>
      </w:r>
      <w:r>
        <w:rPr>
          <w:lang w:eastAsia="zh-CN"/>
        </w:rPr>
        <w:t>orderCriterion</w:t>
      </w:r>
      <w:r>
        <w:t>:</w:t>
      </w:r>
    </w:p>
    <w:p w14:paraId="2A2E0D9F" w14:textId="77777777" w:rsidR="007862A2" w:rsidRDefault="007862A2" w:rsidP="007862A2">
      <w:pPr>
        <w:pStyle w:val="PL"/>
      </w:pPr>
      <w:r>
        <w:t xml:space="preserve">          $ref: 'TS29520_Nnwdaf_EventsSubscription.yaml#/components/schemas/NetworkPerfOrderCriterion'</w:t>
      </w:r>
    </w:p>
    <w:p w14:paraId="43CD66C0" w14:textId="77777777" w:rsidR="007862A2" w:rsidRDefault="007862A2" w:rsidP="007862A2">
      <w:pPr>
        <w:pStyle w:val="PL"/>
      </w:pPr>
      <w:r>
        <w:t xml:space="preserve">        </w:t>
      </w:r>
      <w:r>
        <w:rPr>
          <w:lang w:eastAsia="zh-CN"/>
        </w:rPr>
        <w:t>orderDirection</w:t>
      </w:r>
      <w:r>
        <w:t>:</w:t>
      </w:r>
    </w:p>
    <w:p w14:paraId="39EBB35C" w14:textId="77777777" w:rsidR="007862A2" w:rsidRDefault="007862A2" w:rsidP="007862A2">
      <w:pPr>
        <w:pStyle w:val="PL"/>
      </w:pPr>
      <w:r>
        <w:t xml:space="preserve">          $ref: 'TS29520_Nnwdaf_EventsSubscription.yaml#/components/schemas/MatchingDirection'</w:t>
      </w:r>
    </w:p>
    <w:p w14:paraId="224CA192" w14:textId="77777777" w:rsidR="007862A2" w:rsidRDefault="007862A2" w:rsidP="007862A2">
      <w:pPr>
        <w:pStyle w:val="PL"/>
      </w:pPr>
    </w:p>
    <w:p w14:paraId="70DF2D03" w14:textId="77777777" w:rsidR="007862A2" w:rsidRDefault="007862A2" w:rsidP="007862A2">
      <w:pPr>
        <w:pStyle w:val="PL"/>
      </w:pPr>
      <w:r>
        <w:t xml:space="preserve">    SpecificAnalyticsSubscription:</w:t>
      </w:r>
    </w:p>
    <w:p w14:paraId="3CCEB72A" w14:textId="77777777" w:rsidR="007862A2" w:rsidRDefault="007862A2" w:rsidP="007862A2">
      <w:pPr>
        <w:pStyle w:val="PL"/>
      </w:pPr>
      <w:r>
        <w:t xml:space="preserve">      description: &gt;</w:t>
      </w:r>
    </w:p>
    <w:p w14:paraId="61558F76" w14:textId="77777777" w:rsidR="007862A2" w:rsidRDefault="007862A2" w:rsidP="007862A2">
      <w:pPr>
        <w:pStyle w:val="PL"/>
      </w:pPr>
      <w:r>
        <w:t xml:space="preserve">        </w:t>
      </w:r>
      <w:r>
        <w:rPr>
          <w:lang w:eastAsia="zh-CN"/>
        </w:rPr>
        <w:t>Represents an existing subscription for a specific type of analytics to a specific NWDAF.</w:t>
      </w:r>
    </w:p>
    <w:p w14:paraId="2A6D8D77" w14:textId="77777777" w:rsidR="007862A2" w:rsidRDefault="007862A2" w:rsidP="007862A2">
      <w:pPr>
        <w:pStyle w:val="PL"/>
      </w:pPr>
      <w:r>
        <w:t xml:space="preserve">      type: object</w:t>
      </w:r>
    </w:p>
    <w:p w14:paraId="47D8E1C6" w14:textId="77777777" w:rsidR="007862A2" w:rsidRDefault="007862A2" w:rsidP="007862A2">
      <w:pPr>
        <w:pStyle w:val="PL"/>
      </w:pPr>
      <w:r>
        <w:t xml:space="preserve">      properties:</w:t>
      </w:r>
    </w:p>
    <w:p w14:paraId="665A5712" w14:textId="77777777" w:rsidR="007862A2" w:rsidRDefault="007862A2" w:rsidP="007862A2">
      <w:pPr>
        <w:pStyle w:val="PL"/>
      </w:pPr>
      <w:r>
        <w:t xml:space="preserve">        subscriptionId:</w:t>
      </w:r>
    </w:p>
    <w:p w14:paraId="32CB4E31" w14:textId="77777777" w:rsidR="007862A2" w:rsidRDefault="007862A2" w:rsidP="007862A2">
      <w:pPr>
        <w:pStyle w:val="PL"/>
      </w:pPr>
      <w:r>
        <w:t xml:space="preserve">          type: string</w:t>
      </w:r>
    </w:p>
    <w:p w14:paraId="3C8382EB" w14:textId="77777777" w:rsidR="007862A2" w:rsidRDefault="007862A2" w:rsidP="007862A2">
      <w:pPr>
        <w:pStyle w:val="PL"/>
      </w:pPr>
      <w:r>
        <w:t xml:space="preserve">        producerId:</w:t>
      </w:r>
    </w:p>
    <w:p w14:paraId="1C425866" w14:textId="77777777" w:rsidR="007862A2" w:rsidRDefault="007862A2" w:rsidP="007862A2">
      <w:pPr>
        <w:pStyle w:val="PL"/>
      </w:pPr>
      <w:r>
        <w:t xml:space="preserve">          $ref: 'TS29571_CommonData.yaml#/components/schemas/NfInstanceId'</w:t>
      </w:r>
    </w:p>
    <w:p w14:paraId="38461187" w14:textId="77777777" w:rsidR="007862A2" w:rsidRDefault="007862A2" w:rsidP="007862A2">
      <w:pPr>
        <w:pStyle w:val="PL"/>
      </w:pPr>
      <w:r>
        <w:t xml:space="preserve">        producerSetId:</w:t>
      </w:r>
    </w:p>
    <w:p w14:paraId="731B4507" w14:textId="77777777" w:rsidR="007862A2" w:rsidRDefault="007862A2" w:rsidP="007862A2">
      <w:pPr>
        <w:pStyle w:val="PL"/>
      </w:pPr>
      <w:r>
        <w:t xml:space="preserve">          $ref: 'TS29571_CommonData.yaml#/components/schemas/NfSetId'</w:t>
      </w:r>
    </w:p>
    <w:p w14:paraId="78340757" w14:textId="77777777" w:rsidR="007862A2" w:rsidRDefault="007862A2" w:rsidP="007862A2">
      <w:pPr>
        <w:pStyle w:val="PL"/>
      </w:pPr>
      <w:r>
        <w:t xml:space="preserve">        nwdafEvSub:</w:t>
      </w:r>
    </w:p>
    <w:p w14:paraId="7F0A80B9" w14:textId="77777777" w:rsidR="007862A2" w:rsidRDefault="007862A2" w:rsidP="007862A2">
      <w:pPr>
        <w:pStyle w:val="PL"/>
      </w:pPr>
      <w:r>
        <w:t xml:space="preserve">          $ref: 'TS29520_Nnwdaf_EventsSubscription.yaml#/components/schemas/NnwdafEventsSubscription'</w:t>
      </w:r>
    </w:p>
    <w:p w14:paraId="50F93D9B" w14:textId="77777777" w:rsidR="007862A2" w:rsidRDefault="007862A2" w:rsidP="007862A2">
      <w:pPr>
        <w:pStyle w:val="PL"/>
      </w:pPr>
      <w:r>
        <w:t xml:space="preserve">      allOf:</w:t>
      </w:r>
    </w:p>
    <w:p w14:paraId="04BD3BA7" w14:textId="77777777" w:rsidR="007862A2" w:rsidRDefault="007862A2" w:rsidP="007862A2">
      <w:pPr>
        <w:pStyle w:val="PL"/>
      </w:pPr>
      <w:r>
        <w:t xml:space="preserve">        - oneOf:</w:t>
      </w:r>
    </w:p>
    <w:p w14:paraId="6AA62F10" w14:textId="77777777" w:rsidR="007862A2" w:rsidRDefault="007862A2" w:rsidP="007862A2">
      <w:pPr>
        <w:pStyle w:val="PL"/>
      </w:pPr>
      <w:r>
        <w:t xml:space="preserve">          - required: [producerId]</w:t>
      </w:r>
    </w:p>
    <w:p w14:paraId="046857E7" w14:textId="77777777" w:rsidR="007862A2" w:rsidRDefault="007862A2" w:rsidP="007862A2">
      <w:pPr>
        <w:pStyle w:val="PL"/>
      </w:pPr>
      <w:r>
        <w:t xml:space="preserve">          - required: [producerSetId]</w:t>
      </w:r>
    </w:p>
    <w:p w14:paraId="3200D94A" w14:textId="77777777" w:rsidR="007862A2" w:rsidRDefault="007862A2" w:rsidP="007862A2">
      <w:pPr>
        <w:pStyle w:val="PL"/>
      </w:pPr>
      <w:r>
        <w:t xml:space="preserve">        - required: [subscriptionId]</w:t>
      </w:r>
    </w:p>
    <w:p w14:paraId="659CB157" w14:textId="77777777" w:rsidR="007862A2" w:rsidRDefault="007862A2" w:rsidP="007862A2">
      <w:pPr>
        <w:pStyle w:val="PL"/>
      </w:pPr>
      <w:r>
        <w:t xml:space="preserve">        - required: [nwdafEvSub]</w:t>
      </w:r>
    </w:p>
    <w:p w14:paraId="474C3F0E" w14:textId="77777777" w:rsidR="007862A2" w:rsidRDefault="007862A2" w:rsidP="007862A2">
      <w:pPr>
        <w:pStyle w:val="PL"/>
      </w:pPr>
    </w:p>
    <w:p w14:paraId="531BDDDE" w14:textId="77777777" w:rsidR="007862A2" w:rsidRDefault="007862A2" w:rsidP="007862A2">
      <w:pPr>
        <w:pStyle w:val="PL"/>
      </w:pPr>
      <w:r>
        <w:t xml:space="preserve">    RequestedContext:</w:t>
      </w:r>
    </w:p>
    <w:p w14:paraId="6F1B690F" w14:textId="77777777" w:rsidR="007862A2" w:rsidRDefault="007862A2" w:rsidP="007862A2">
      <w:pPr>
        <w:pStyle w:val="PL"/>
      </w:pPr>
      <w:r>
        <w:t xml:space="preserve">      description: Contains types </w:t>
      </w:r>
      <w:r>
        <w:rPr>
          <w:lang w:eastAsia="ko-KR"/>
        </w:rPr>
        <w:t>of analytics context information</w:t>
      </w:r>
      <w:r>
        <w:t>.</w:t>
      </w:r>
    </w:p>
    <w:p w14:paraId="099A555F" w14:textId="77777777" w:rsidR="007862A2" w:rsidRDefault="007862A2" w:rsidP="007862A2">
      <w:pPr>
        <w:pStyle w:val="PL"/>
      </w:pPr>
      <w:r>
        <w:t xml:space="preserve">      type: object</w:t>
      </w:r>
    </w:p>
    <w:p w14:paraId="00C9C6CD" w14:textId="77777777" w:rsidR="007862A2" w:rsidRDefault="007862A2" w:rsidP="007862A2">
      <w:pPr>
        <w:pStyle w:val="PL"/>
      </w:pPr>
      <w:r>
        <w:t xml:space="preserve">      properties:</w:t>
      </w:r>
    </w:p>
    <w:p w14:paraId="57DC5D2B" w14:textId="77777777" w:rsidR="007862A2" w:rsidRDefault="007862A2" w:rsidP="007862A2">
      <w:pPr>
        <w:pStyle w:val="PL"/>
      </w:pPr>
      <w:r>
        <w:t xml:space="preserve">        contexts:</w:t>
      </w:r>
    </w:p>
    <w:p w14:paraId="3BEF2B64" w14:textId="77777777" w:rsidR="007862A2" w:rsidRDefault="007862A2" w:rsidP="007862A2">
      <w:pPr>
        <w:pStyle w:val="PL"/>
      </w:pPr>
      <w:r>
        <w:t xml:space="preserve">          type: array</w:t>
      </w:r>
    </w:p>
    <w:p w14:paraId="6160686D" w14:textId="77777777" w:rsidR="007862A2" w:rsidRDefault="007862A2" w:rsidP="007862A2">
      <w:pPr>
        <w:pStyle w:val="PL"/>
      </w:pPr>
      <w:r>
        <w:t xml:space="preserve">          items:</w:t>
      </w:r>
    </w:p>
    <w:p w14:paraId="4A931A47" w14:textId="77777777" w:rsidR="007862A2" w:rsidRDefault="007862A2" w:rsidP="007862A2">
      <w:pPr>
        <w:pStyle w:val="PL"/>
      </w:pPr>
      <w:r>
        <w:t xml:space="preserve">            $ref: '#/components/schemas/ContextType</w:t>
      </w:r>
      <w:r>
        <w:rPr>
          <w:rFonts w:eastAsia="等线"/>
        </w:rPr>
        <w:t>'</w:t>
      </w:r>
    </w:p>
    <w:p w14:paraId="0863F93A" w14:textId="77777777" w:rsidR="007862A2" w:rsidRDefault="007862A2" w:rsidP="007862A2">
      <w:pPr>
        <w:pStyle w:val="PL"/>
      </w:pPr>
      <w:r>
        <w:t xml:space="preserve">          minItems: 1</w:t>
      </w:r>
    </w:p>
    <w:p w14:paraId="7E5CDAF7" w14:textId="77777777" w:rsidR="007862A2" w:rsidRDefault="007862A2" w:rsidP="007862A2">
      <w:pPr>
        <w:pStyle w:val="PL"/>
        <w:rPr>
          <w:lang w:eastAsia="ko-KR"/>
        </w:rPr>
      </w:pPr>
      <w:r>
        <w:rPr>
          <w:rFonts w:eastAsia="等线"/>
        </w:rPr>
        <w:t xml:space="preserve">          description: </w:t>
      </w:r>
      <w:r>
        <w:t>List of analytics context types</w:t>
      </w:r>
      <w:r>
        <w:rPr>
          <w:lang w:eastAsia="ko-KR"/>
        </w:rPr>
        <w:t>.</w:t>
      </w:r>
    </w:p>
    <w:p w14:paraId="4B493F13" w14:textId="77777777" w:rsidR="007862A2" w:rsidRDefault="007862A2" w:rsidP="007862A2">
      <w:pPr>
        <w:pStyle w:val="PL"/>
      </w:pPr>
      <w:r>
        <w:t xml:space="preserve">        nfConsumerInfo:</w:t>
      </w:r>
    </w:p>
    <w:p w14:paraId="540593CB" w14:textId="77777777" w:rsidR="007862A2" w:rsidRDefault="007862A2" w:rsidP="007862A2">
      <w:pPr>
        <w:pStyle w:val="PL"/>
      </w:pPr>
      <w:r>
        <w:t xml:space="preserve">          $ref: 'TS29510_Nnrf_NFManagement.yaml#/components/schemas/VendorId'</w:t>
      </w:r>
    </w:p>
    <w:p w14:paraId="7503AF0E" w14:textId="77777777" w:rsidR="007862A2" w:rsidRDefault="007862A2" w:rsidP="007862A2">
      <w:pPr>
        <w:pStyle w:val="PL"/>
      </w:pPr>
      <w:r>
        <w:t xml:space="preserve">      required:</w:t>
      </w:r>
    </w:p>
    <w:p w14:paraId="295FA3E6" w14:textId="77777777" w:rsidR="007862A2" w:rsidRDefault="007862A2" w:rsidP="007862A2">
      <w:pPr>
        <w:pStyle w:val="PL"/>
      </w:pPr>
      <w:r>
        <w:t xml:space="preserve">        - contexts</w:t>
      </w:r>
    </w:p>
    <w:p w14:paraId="551F731D" w14:textId="77777777" w:rsidR="007862A2" w:rsidRDefault="007862A2" w:rsidP="007862A2">
      <w:pPr>
        <w:pStyle w:val="PL"/>
      </w:pPr>
    </w:p>
    <w:p w14:paraId="32900118" w14:textId="77777777" w:rsidR="007862A2" w:rsidRDefault="007862A2" w:rsidP="007862A2">
      <w:pPr>
        <w:pStyle w:val="PL"/>
      </w:pPr>
      <w:r>
        <w:t xml:space="preserve">    SmcceInfo:</w:t>
      </w:r>
    </w:p>
    <w:p w14:paraId="5986BC3A" w14:textId="77777777" w:rsidR="007862A2" w:rsidRDefault="007862A2" w:rsidP="007862A2">
      <w:pPr>
        <w:pStyle w:val="PL"/>
      </w:pPr>
      <w:r>
        <w:t xml:space="preserve">      description: Represents the Session Management congestion control experience information.</w:t>
      </w:r>
    </w:p>
    <w:p w14:paraId="20EFD3FD" w14:textId="77777777" w:rsidR="007862A2" w:rsidRDefault="007862A2" w:rsidP="007862A2">
      <w:pPr>
        <w:pStyle w:val="PL"/>
      </w:pPr>
      <w:r>
        <w:t xml:space="preserve">      type: object</w:t>
      </w:r>
    </w:p>
    <w:p w14:paraId="2BA45F5D" w14:textId="77777777" w:rsidR="007862A2" w:rsidRDefault="007862A2" w:rsidP="007862A2">
      <w:pPr>
        <w:pStyle w:val="PL"/>
      </w:pPr>
      <w:r>
        <w:t xml:space="preserve">      properties:</w:t>
      </w:r>
    </w:p>
    <w:p w14:paraId="5BEB2D14" w14:textId="77777777" w:rsidR="007862A2" w:rsidRDefault="007862A2" w:rsidP="007862A2">
      <w:pPr>
        <w:pStyle w:val="PL"/>
      </w:pPr>
      <w:r>
        <w:t xml:space="preserve">        dnn:</w:t>
      </w:r>
    </w:p>
    <w:p w14:paraId="682D3E3E" w14:textId="77777777" w:rsidR="007862A2" w:rsidRDefault="007862A2" w:rsidP="007862A2">
      <w:pPr>
        <w:pStyle w:val="PL"/>
      </w:pPr>
      <w:r>
        <w:t xml:space="preserve">          $ref: 'TS29571_CommonData.yaml#/components/schemas/Dnn'</w:t>
      </w:r>
    </w:p>
    <w:p w14:paraId="2AB9B288" w14:textId="77777777" w:rsidR="007862A2" w:rsidRDefault="007862A2" w:rsidP="007862A2">
      <w:pPr>
        <w:pStyle w:val="PL"/>
      </w:pPr>
      <w:r>
        <w:t xml:space="preserve">        snssai:</w:t>
      </w:r>
    </w:p>
    <w:p w14:paraId="3102D55D" w14:textId="77777777" w:rsidR="007862A2" w:rsidRDefault="007862A2" w:rsidP="007862A2">
      <w:pPr>
        <w:pStyle w:val="PL"/>
      </w:pPr>
      <w:r>
        <w:t xml:space="preserve">          $ref: 'TS29571_CommonData.yaml#/components/schemas/Snssai'</w:t>
      </w:r>
    </w:p>
    <w:p w14:paraId="54C00EFA" w14:textId="77777777" w:rsidR="007862A2" w:rsidRDefault="007862A2" w:rsidP="007862A2">
      <w:pPr>
        <w:pStyle w:val="PL"/>
      </w:pPr>
      <w:r>
        <w:t xml:space="preserve">        smcceUeList:</w:t>
      </w:r>
    </w:p>
    <w:p w14:paraId="670B5D84" w14:textId="77777777" w:rsidR="007862A2" w:rsidRDefault="007862A2" w:rsidP="007862A2">
      <w:pPr>
        <w:pStyle w:val="PL"/>
      </w:pPr>
      <w:r>
        <w:t xml:space="preserve">          $ref: '#/components/schemas/SmcceUeList'</w:t>
      </w:r>
    </w:p>
    <w:p w14:paraId="3A0F82D8" w14:textId="77777777" w:rsidR="007862A2" w:rsidRDefault="007862A2" w:rsidP="007862A2">
      <w:pPr>
        <w:pStyle w:val="PL"/>
      </w:pPr>
      <w:r>
        <w:t xml:space="preserve">      required:</w:t>
      </w:r>
    </w:p>
    <w:p w14:paraId="001B75E9" w14:textId="77777777" w:rsidR="007862A2" w:rsidRDefault="007862A2" w:rsidP="007862A2">
      <w:pPr>
        <w:pStyle w:val="PL"/>
      </w:pPr>
      <w:r>
        <w:t xml:space="preserve">        - smcceUeList</w:t>
      </w:r>
    </w:p>
    <w:p w14:paraId="38870C2A" w14:textId="77777777" w:rsidR="007862A2" w:rsidRDefault="007862A2" w:rsidP="007862A2">
      <w:pPr>
        <w:pStyle w:val="PL"/>
      </w:pPr>
    </w:p>
    <w:p w14:paraId="2FEA7AA8" w14:textId="77777777" w:rsidR="007862A2" w:rsidRDefault="007862A2" w:rsidP="007862A2">
      <w:pPr>
        <w:pStyle w:val="PL"/>
      </w:pPr>
      <w:r>
        <w:t xml:space="preserve">    SmcceUeList:</w:t>
      </w:r>
    </w:p>
    <w:p w14:paraId="51704743" w14:textId="77777777" w:rsidR="007862A2" w:rsidRDefault="007862A2" w:rsidP="007862A2">
      <w:pPr>
        <w:pStyle w:val="PL"/>
      </w:pPr>
      <w:r>
        <w:t xml:space="preserve">      description: &gt;</w:t>
      </w:r>
    </w:p>
    <w:p w14:paraId="5B6AB313" w14:textId="77777777" w:rsidR="007862A2" w:rsidRDefault="007862A2" w:rsidP="007862A2">
      <w:pPr>
        <w:pStyle w:val="PL"/>
        <w:rPr>
          <w:lang w:eastAsia="ko-KR"/>
        </w:rPr>
      </w:pPr>
      <w:r>
        <w:t xml:space="preserve">        Represents the </w:t>
      </w:r>
      <w:r>
        <w:rPr>
          <w:lang w:eastAsia="ko-KR"/>
        </w:rPr>
        <w:t xml:space="preserve">List of UEs classified based on </w:t>
      </w:r>
      <w:r>
        <w:t xml:space="preserve">experience level of </w:t>
      </w:r>
      <w:r>
        <w:rPr>
          <w:lang w:eastAsia="ko-KR"/>
        </w:rPr>
        <w:t>Session Management</w:t>
      </w:r>
    </w:p>
    <w:p w14:paraId="2764C2A9" w14:textId="77777777" w:rsidR="007862A2" w:rsidRDefault="007862A2" w:rsidP="007862A2">
      <w:pPr>
        <w:pStyle w:val="PL"/>
      </w:pPr>
      <w:r>
        <w:t xml:space="preserve">        </w:t>
      </w:r>
      <w:r>
        <w:rPr>
          <w:lang w:eastAsia="ko-KR"/>
        </w:rPr>
        <w:t>congestion control</w:t>
      </w:r>
      <w:r>
        <w:t>.</w:t>
      </w:r>
    </w:p>
    <w:p w14:paraId="5F8C904E" w14:textId="77777777" w:rsidR="007862A2" w:rsidRDefault="007862A2" w:rsidP="007862A2">
      <w:pPr>
        <w:pStyle w:val="PL"/>
      </w:pPr>
      <w:r>
        <w:t xml:space="preserve">      type: object</w:t>
      </w:r>
    </w:p>
    <w:p w14:paraId="2E88E20B" w14:textId="77777777" w:rsidR="007862A2" w:rsidRDefault="007862A2" w:rsidP="007862A2">
      <w:pPr>
        <w:pStyle w:val="PL"/>
      </w:pPr>
      <w:r>
        <w:t xml:space="preserve">      properties:</w:t>
      </w:r>
    </w:p>
    <w:p w14:paraId="54549470" w14:textId="77777777" w:rsidR="007862A2" w:rsidRDefault="007862A2" w:rsidP="007862A2">
      <w:pPr>
        <w:pStyle w:val="PL"/>
      </w:pPr>
      <w:r>
        <w:t xml:space="preserve">        highLevel:</w:t>
      </w:r>
    </w:p>
    <w:p w14:paraId="4BCF81BA" w14:textId="77777777" w:rsidR="007862A2" w:rsidRDefault="007862A2" w:rsidP="007862A2">
      <w:pPr>
        <w:pStyle w:val="PL"/>
      </w:pPr>
      <w:r>
        <w:t xml:space="preserve">          type: array</w:t>
      </w:r>
    </w:p>
    <w:p w14:paraId="72B08BC4" w14:textId="77777777" w:rsidR="007862A2" w:rsidRDefault="007862A2" w:rsidP="007862A2">
      <w:pPr>
        <w:pStyle w:val="PL"/>
      </w:pPr>
      <w:r>
        <w:t xml:space="preserve">          items:</w:t>
      </w:r>
    </w:p>
    <w:p w14:paraId="79EEDE2D" w14:textId="77777777" w:rsidR="007862A2" w:rsidRDefault="007862A2" w:rsidP="007862A2">
      <w:pPr>
        <w:pStyle w:val="PL"/>
      </w:pPr>
      <w:r>
        <w:t xml:space="preserve">            $ref: 'TS29571_CommonData.yaml#/components/schemas/Supi'</w:t>
      </w:r>
    </w:p>
    <w:p w14:paraId="5BCE6DD7" w14:textId="77777777" w:rsidR="007862A2" w:rsidRDefault="007862A2" w:rsidP="007862A2">
      <w:pPr>
        <w:pStyle w:val="PL"/>
      </w:pPr>
      <w:r>
        <w:t xml:space="preserve">          minItems: 1</w:t>
      </w:r>
    </w:p>
    <w:p w14:paraId="1958B6F0" w14:textId="77777777" w:rsidR="007862A2" w:rsidRDefault="007862A2" w:rsidP="007862A2">
      <w:pPr>
        <w:pStyle w:val="PL"/>
      </w:pPr>
      <w:r>
        <w:t xml:space="preserve">        mediumLevel:</w:t>
      </w:r>
    </w:p>
    <w:p w14:paraId="7B6EC2E4" w14:textId="77777777" w:rsidR="007862A2" w:rsidRDefault="007862A2" w:rsidP="007862A2">
      <w:pPr>
        <w:pStyle w:val="PL"/>
      </w:pPr>
      <w:r>
        <w:t xml:space="preserve">          type: array</w:t>
      </w:r>
    </w:p>
    <w:p w14:paraId="63379D63" w14:textId="77777777" w:rsidR="007862A2" w:rsidRDefault="007862A2" w:rsidP="007862A2">
      <w:pPr>
        <w:pStyle w:val="PL"/>
      </w:pPr>
      <w:r>
        <w:t xml:space="preserve">          items:</w:t>
      </w:r>
    </w:p>
    <w:p w14:paraId="679DC2D8" w14:textId="77777777" w:rsidR="007862A2" w:rsidRDefault="007862A2" w:rsidP="007862A2">
      <w:pPr>
        <w:pStyle w:val="PL"/>
      </w:pPr>
      <w:r>
        <w:t xml:space="preserve">            $ref: 'TS29571_CommonData.yaml#/components/schemas/Supi'</w:t>
      </w:r>
    </w:p>
    <w:p w14:paraId="2A48B72E" w14:textId="77777777" w:rsidR="007862A2" w:rsidRDefault="007862A2" w:rsidP="007862A2">
      <w:pPr>
        <w:pStyle w:val="PL"/>
      </w:pPr>
      <w:r>
        <w:t xml:space="preserve">          minItems: 1</w:t>
      </w:r>
    </w:p>
    <w:p w14:paraId="42A829F7" w14:textId="77777777" w:rsidR="007862A2" w:rsidRDefault="007862A2" w:rsidP="007862A2">
      <w:pPr>
        <w:pStyle w:val="PL"/>
      </w:pPr>
      <w:r>
        <w:t xml:space="preserve">        lowLevel:</w:t>
      </w:r>
    </w:p>
    <w:p w14:paraId="485EC2CB" w14:textId="77777777" w:rsidR="007862A2" w:rsidRDefault="007862A2" w:rsidP="007862A2">
      <w:pPr>
        <w:pStyle w:val="PL"/>
      </w:pPr>
      <w:r>
        <w:t xml:space="preserve">          type: array</w:t>
      </w:r>
    </w:p>
    <w:p w14:paraId="7663CC52" w14:textId="77777777" w:rsidR="007862A2" w:rsidRDefault="007862A2" w:rsidP="007862A2">
      <w:pPr>
        <w:pStyle w:val="PL"/>
      </w:pPr>
      <w:r>
        <w:t xml:space="preserve">          items:</w:t>
      </w:r>
    </w:p>
    <w:p w14:paraId="6DA2592D" w14:textId="77777777" w:rsidR="007862A2" w:rsidRDefault="007862A2" w:rsidP="007862A2">
      <w:pPr>
        <w:pStyle w:val="PL"/>
      </w:pPr>
      <w:r>
        <w:t xml:space="preserve">            $ref: 'TS29571_CommonData.yaml#/components/schemas/Supi'</w:t>
      </w:r>
    </w:p>
    <w:p w14:paraId="08440910" w14:textId="77777777" w:rsidR="007862A2" w:rsidRDefault="007862A2" w:rsidP="007862A2">
      <w:pPr>
        <w:pStyle w:val="PL"/>
      </w:pPr>
      <w:r>
        <w:t xml:space="preserve">          minItems: 1</w:t>
      </w:r>
    </w:p>
    <w:p w14:paraId="351C6C13" w14:textId="77777777" w:rsidR="007862A2" w:rsidRDefault="007862A2" w:rsidP="007862A2">
      <w:pPr>
        <w:pStyle w:val="PL"/>
      </w:pPr>
      <w:r>
        <w:t xml:space="preserve">      anyOf:</w:t>
      </w:r>
    </w:p>
    <w:p w14:paraId="1E6AF6C3" w14:textId="77777777" w:rsidR="007862A2" w:rsidRDefault="007862A2" w:rsidP="007862A2">
      <w:pPr>
        <w:pStyle w:val="PL"/>
      </w:pPr>
      <w:r>
        <w:t xml:space="preserve">        - required: [highLevel]</w:t>
      </w:r>
    </w:p>
    <w:p w14:paraId="088952DC" w14:textId="77777777" w:rsidR="007862A2" w:rsidRDefault="007862A2" w:rsidP="007862A2">
      <w:pPr>
        <w:pStyle w:val="PL"/>
      </w:pPr>
      <w:r>
        <w:lastRenderedPageBreak/>
        <w:t xml:space="preserve">        - required: [mediumLevel]</w:t>
      </w:r>
    </w:p>
    <w:p w14:paraId="173C885B" w14:textId="77777777" w:rsidR="007862A2" w:rsidRDefault="007862A2" w:rsidP="007862A2">
      <w:pPr>
        <w:pStyle w:val="PL"/>
      </w:pPr>
      <w:r>
        <w:t xml:space="preserve">        - required: [lowLevel]</w:t>
      </w:r>
    </w:p>
    <w:p w14:paraId="0847DB03" w14:textId="77777777" w:rsidR="007862A2" w:rsidRDefault="007862A2" w:rsidP="007862A2">
      <w:pPr>
        <w:pStyle w:val="PL"/>
      </w:pPr>
    </w:p>
    <w:p w14:paraId="47A9AE4C" w14:textId="77777777" w:rsidR="007862A2" w:rsidRDefault="007862A2" w:rsidP="007862A2">
      <w:pPr>
        <w:pStyle w:val="PL"/>
      </w:pPr>
      <w:r>
        <w:t xml:space="preserve">    SpecificDataSubscription:</w:t>
      </w:r>
    </w:p>
    <w:p w14:paraId="539079E4" w14:textId="77777777" w:rsidR="007862A2" w:rsidRDefault="007862A2" w:rsidP="007862A2">
      <w:pPr>
        <w:pStyle w:val="PL"/>
      </w:pPr>
      <w:r>
        <w:t xml:space="preserve">      description: &gt;</w:t>
      </w:r>
    </w:p>
    <w:p w14:paraId="68A10953" w14:textId="77777777" w:rsidR="007862A2" w:rsidRDefault="007862A2" w:rsidP="007862A2">
      <w:pPr>
        <w:pStyle w:val="PL"/>
      </w:pPr>
      <w:r>
        <w:rPr>
          <w:lang w:eastAsia="zh-CN"/>
        </w:rPr>
        <w:t xml:space="preserve">        Represents an existing subscription for data collection to a specific data source NF.</w:t>
      </w:r>
    </w:p>
    <w:p w14:paraId="04EFABC5" w14:textId="77777777" w:rsidR="007862A2" w:rsidRDefault="007862A2" w:rsidP="007862A2">
      <w:pPr>
        <w:pStyle w:val="PL"/>
      </w:pPr>
      <w:r>
        <w:t xml:space="preserve">      type: object</w:t>
      </w:r>
    </w:p>
    <w:p w14:paraId="799D4648" w14:textId="77777777" w:rsidR="007862A2" w:rsidRDefault="007862A2" w:rsidP="007862A2">
      <w:pPr>
        <w:pStyle w:val="PL"/>
      </w:pPr>
      <w:r>
        <w:t xml:space="preserve">      properties:</w:t>
      </w:r>
    </w:p>
    <w:p w14:paraId="219E2E52" w14:textId="77777777" w:rsidR="007862A2" w:rsidRDefault="007862A2" w:rsidP="007862A2">
      <w:pPr>
        <w:pStyle w:val="PL"/>
      </w:pPr>
      <w:r>
        <w:t xml:space="preserve">        subscriptionId:</w:t>
      </w:r>
    </w:p>
    <w:p w14:paraId="4C63C47F" w14:textId="77777777" w:rsidR="007862A2" w:rsidRDefault="007862A2" w:rsidP="007862A2">
      <w:pPr>
        <w:pStyle w:val="PL"/>
      </w:pPr>
      <w:r>
        <w:t xml:space="preserve">          type: string</w:t>
      </w:r>
    </w:p>
    <w:p w14:paraId="2A762BA2" w14:textId="77777777" w:rsidR="007862A2" w:rsidRDefault="007862A2" w:rsidP="007862A2">
      <w:pPr>
        <w:pStyle w:val="PL"/>
      </w:pPr>
      <w:r>
        <w:t xml:space="preserve">        producerId:</w:t>
      </w:r>
    </w:p>
    <w:p w14:paraId="1274A41F" w14:textId="77777777" w:rsidR="007862A2" w:rsidRDefault="007862A2" w:rsidP="007862A2">
      <w:pPr>
        <w:pStyle w:val="PL"/>
      </w:pPr>
      <w:r>
        <w:t xml:space="preserve">          $ref: 'TS29571_CommonData.yaml#/components/schemas/NfInstanceId'</w:t>
      </w:r>
    </w:p>
    <w:p w14:paraId="1FC8EA91" w14:textId="77777777" w:rsidR="007862A2" w:rsidRDefault="007862A2" w:rsidP="007862A2">
      <w:pPr>
        <w:pStyle w:val="PL"/>
      </w:pPr>
      <w:r>
        <w:t xml:space="preserve">        producerSetId:</w:t>
      </w:r>
    </w:p>
    <w:p w14:paraId="79DB8414" w14:textId="77777777" w:rsidR="007862A2" w:rsidRDefault="007862A2" w:rsidP="007862A2">
      <w:pPr>
        <w:pStyle w:val="PL"/>
      </w:pPr>
      <w:r>
        <w:t xml:space="preserve">          $ref: 'TS29571_CommonData.yaml#/components/schemas/NfSetId'</w:t>
      </w:r>
    </w:p>
    <w:p w14:paraId="7566F770" w14:textId="77777777" w:rsidR="007862A2" w:rsidRDefault="007862A2" w:rsidP="007862A2">
      <w:pPr>
        <w:pStyle w:val="PL"/>
      </w:pPr>
      <w:r>
        <w:t xml:space="preserve">        dataSub:</w:t>
      </w:r>
    </w:p>
    <w:p w14:paraId="0A2F6D6A" w14:textId="77777777" w:rsidR="007862A2" w:rsidRDefault="007862A2" w:rsidP="007862A2">
      <w:pPr>
        <w:pStyle w:val="PL"/>
      </w:pPr>
      <w:r>
        <w:t xml:space="preserve">          $ref: 'TS29575_Nadrf_DataManagement.yaml#/components/schemas/DataSubscription</w:t>
      </w:r>
      <w:r>
        <w:rPr>
          <w:rFonts w:eastAsia="等线"/>
        </w:rPr>
        <w:t>'</w:t>
      </w:r>
    </w:p>
    <w:p w14:paraId="58853A5F" w14:textId="77777777" w:rsidR="007862A2" w:rsidRDefault="007862A2" w:rsidP="007862A2">
      <w:pPr>
        <w:pStyle w:val="PL"/>
      </w:pPr>
      <w:r>
        <w:t xml:space="preserve">      allOf:</w:t>
      </w:r>
    </w:p>
    <w:p w14:paraId="0A1D3791" w14:textId="77777777" w:rsidR="007862A2" w:rsidRDefault="007862A2" w:rsidP="007862A2">
      <w:pPr>
        <w:pStyle w:val="PL"/>
      </w:pPr>
      <w:r>
        <w:t xml:space="preserve">        - oneOf:</w:t>
      </w:r>
    </w:p>
    <w:p w14:paraId="1DE95C1E" w14:textId="77777777" w:rsidR="007862A2" w:rsidRDefault="007862A2" w:rsidP="007862A2">
      <w:pPr>
        <w:pStyle w:val="PL"/>
      </w:pPr>
      <w:r>
        <w:t xml:space="preserve">          - required: [producerId]</w:t>
      </w:r>
    </w:p>
    <w:p w14:paraId="1C7FA558" w14:textId="77777777" w:rsidR="007862A2" w:rsidRDefault="007862A2" w:rsidP="007862A2">
      <w:pPr>
        <w:pStyle w:val="PL"/>
      </w:pPr>
      <w:r>
        <w:t xml:space="preserve">          - required: [producerSetId]</w:t>
      </w:r>
    </w:p>
    <w:p w14:paraId="67F6EE84" w14:textId="77777777" w:rsidR="007862A2" w:rsidRDefault="007862A2" w:rsidP="007862A2">
      <w:pPr>
        <w:pStyle w:val="PL"/>
      </w:pPr>
      <w:r>
        <w:t xml:space="preserve">        - required: [subscriptionId]</w:t>
      </w:r>
    </w:p>
    <w:p w14:paraId="07293E16" w14:textId="77777777" w:rsidR="007862A2" w:rsidRDefault="007862A2" w:rsidP="007862A2">
      <w:pPr>
        <w:pStyle w:val="PL"/>
      </w:pPr>
      <w:r>
        <w:t xml:space="preserve">        - required: [dataSub]</w:t>
      </w:r>
    </w:p>
    <w:p w14:paraId="543F7655" w14:textId="77777777" w:rsidR="007862A2" w:rsidRDefault="007862A2" w:rsidP="007862A2">
      <w:pPr>
        <w:pStyle w:val="PL"/>
      </w:pPr>
    </w:p>
    <w:p w14:paraId="21AB7864" w14:textId="77777777" w:rsidR="007862A2" w:rsidRDefault="007862A2" w:rsidP="007862A2">
      <w:pPr>
        <w:pStyle w:val="PL"/>
      </w:pPr>
      <w:r>
        <w:t xml:space="preserve">    UserDataCongestReq:</w:t>
      </w:r>
    </w:p>
    <w:p w14:paraId="4A36622E" w14:textId="77777777" w:rsidR="007862A2" w:rsidRDefault="007862A2" w:rsidP="007862A2">
      <w:pPr>
        <w:pStyle w:val="PL"/>
      </w:pPr>
      <w:r>
        <w:t xml:space="preserve">      description: &gt;</w:t>
      </w:r>
    </w:p>
    <w:p w14:paraId="23614DFD" w14:textId="77777777" w:rsidR="007862A2" w:rsidRDefault="007862A2" w:rsidP="007862A2">
      <w:pPr>
        <w:pStyle w:val="PL"/>
      </w:pPr>
      <w:r>
        <w:t xml:space="preserve">        Represents a user data congesion requirement.</w:t>
      </w:r>
    </w:p>
    <w:p w14:paraId="66F99D21" w14:textId="77777777" w:rsidR="007862A2" w:rsidRDefault="007862A2" w:rsidP="007862A2">
      <w:pPr>
        <w:pStyle w:val="PL"/>
      </w:pPr>
      <w:r>
        <w:t xml:space="preserve">      type: object</w:t>
      </w:r>
    </w:p>
    <w:p w14:paraId="110DDA00" w14:textId="77777777" w:rsidR="007862A2" w:rsidRDefault="007862A2" w:rsidP="007862A2">
      <w:pPr>
        <w:pStyle w:val="PL"/>
      </w:pPr>
      <w:r>
        <w:t xml:space="preserve">      properties:</w:t>
      </w:r>
    </w:p>
    <w:p w14:paraId="5B70F1C3" w14:textId="77777777" w:rsidR="007862A2" w:rsidRDefault="007862A2" w:rsidP="007862A2">
      <w:pPr>
        <w:pStyle w:val="PL"/>
      </w:pPr>
      <w:r>
        <w:t xml:space="preserve">        orderCriterion:</w:t>
      </w:r>
    </w:p>
    <w:p w14:paraId="16F7B5C9" w14:textId="77777777" w:rsidR="007862A2" w:rsidRDefault="007862A2" w:rsidP="007862A2">
      <w:pPr>
        <w:pStyle w:val="PL"/>
      </w:pPr>
      <w:r>
        <w:t xml:space="preserve">          $ref: 'TS29520_Nnwdaf_EventsSubscription.yaml#/components/schemas/UserDataConOrderCrit'</w:t>
      </w:r>
    </w:p>
    <w:p w14:paraId="3805A1BC" w14:textId="77777777" w:rsidR="007862A2" w:rsidRDefault="007862A2" w:rsidP="007862A2">
      <w:pPr>
        <w:pStyle w:val="PL"/>
      </w:pPr>
      <w:r>
        <w:t xml:space="preserve">        orderDirection:</w:t>
      </w:r>
    </w:p>
    <w:p w14:paraId="4B1A683C" w14:textId="77777777" w:rsidR="007862A2" w:rsidRDefault="007862A2" w:rsidP="007862A2">
      <w:pPr>
        <w:pStyle w:val="PL"/>
      </w:pPr>
      <w:r>
        <w:t xml:space="preserve">          $ref: 'TS29520_Nnwdaf_EventsSubscription.yaml#/components/schemas/MatchingDirection'</w:t>
      </w:r>
    </w:p>
    <w:p w14:paraId="4F1DB5D0" w14:textId="77777777" w:rsidR="007862A2" w:rsidRDefault="007862A2" w:rsidP="007862A2">
      <w:pPr>
        <w:pStyle w:val="PL"/>
      </w:pPr>
    </w:p>
    <w:p w14:paraId="41D4DB9B" w14:textId="77777777" w:rsidR="007862A2" w:rsidRDefault="007862A2" w:rsidP="007862A2">
      <w:pPr>
        <w:pStyle w:val="PL"/>
      </w:pPr>
      <w:r>
        <w:t xml:space="preserve">    </w:t>
      </w:r>
      <w:r>
        <w:rPr>
          <w:lang w:eastAsia="zh-CN"/>
        </w:rPr>
        <w:t>ResourceUsageRequPerNwPerfType</w:t>
      </w:r>
      <w:r>
        <w:t>:</w:t>
      </w:r>
    </w:p>
    <w:p w14:paraId="1DF9AA7E" w14:textId="77777777" w:rsidR="007862A2" w:rsidRDefault="007862A2" w:rsidP="007862A2">
      <w:pPr>
        <w:pStyle w:val="PL"/>
      </w:pPr>
      <w:r>
        <w:t xml:space="preserve">      description: </w:t>
      </w:r>
      <w:r>
        <w:rPr>
          <w:lang w:eastAsia="zh-CN"/>
        </w:rPr>
        <w:t>More requirement for each network performance type</w:t>
      </w:r>
      <w:r>
        <w:t>.</w:t>
      </w:r>
    </w:p>
    <w:p w14:paraId="0E0E6DCE" w14:textId="77777777" w:rsidR="007862A2" w:rsidRDefault="007862A2" w:rsidP="007862A2">
      <w:pPr>
        <w:pStyle w:val="PL"/>
      </w:pPr>
      <w:r>
        <w:t xml:space="preserve">      type: object</w:t>
      </w:r>
    </w:p>
    <w:p w14:paraId="5A973CFE" w14:textId="77777777" w:rsidR="007862A2" w:rsidRDefault="007862A2" w:rsidP="007862A2">
      <w:pPr>
        <w:pStyle w:val="PL"/>
      </w:pPr>
      <w:r>
        <w:t xml:space="preserve">      properties:</w:t>
      </w:r>
    </w:p>
    <w:p w14:paraId="770BCF36" w14:textId="77777777" w:rsidR="007862A2" w:rsidRDefault="007862A2" w:rsidP="007862A2">
      <w:pPr>
        <w:pStyle w:val="PL"/>
      </w:pPr>
      <w:r>
        <w:t xml:space="preserve">        nwPerfType:</w:t>
      </w:r>
    </w:p>
    <w:p w14:paraId="1B193CE3" w14:textId="77777777" w:rsidR="007862A2" w:rsidRDefault="007862A2" w:rsidP="007862A2">
      <w:pPr>
        <w:pStyle w:val="PL"/>
      </w:pPr>
      <w:r>
        <w:t xml:space="preserve">          $ref: 'TS29520_Nnwdaf_EventsSubscription.yaml#/components/schemas/NetworkPerfType'</w:t>
      </w:r>
    </w:p>
    <w:p w14:paraId="32418417" w14:textId="77777777" w:rsidR="007862A2" w:rsidRDefault="007862A2" w:rsidP="007862A2">
      <w:pPr>
        <w:pStyle w:val="PL"/>
      </w:pPr>
      <w:r>
        <w:t xml:space="preserve">        </w:t>
      </w:r>
      <w:r>
        <w:rPr>
          <w:lang w:eastAsia="zh-CN"/>
        </w:rPr>
        <w:t>rscUsgReq</w:t>
      </w:r>
      <w:r>
        <w:t>:</w:t>
      </w:r>
    </w:p>
    <w:p w14:paraId="167545F8" w14:textId="77777777" w:rsidR="007862A2" w:rsidRDefault="007862A2" w:rsidP="007862A2">
      <w:pPr>
        <w:pStyle w:val="PL"/>
      </w:pPr>
      <w:r>
        <w:t xml:space="preserve">          $ref: 'TS29520_Nnwdaf_EventsSubscription.yaml#/components/schemas/</w:t>
      </w:r>
      <w:r>
        <w:rPr>
          <w:lang w:eastAsia="zh-CN"/>
        </w:rPr>
        <w:t>ResourceUsageRequirement</w:t>
      </w:r>
      <w:r>
        <w:t>'</w:t>
      </w:r>
    </w:p>
    <w:p w14:paraId="2C09E5E1" w14:textId="77777777" w:rsidR="007862A2" w:rsidRDefault="007862A2" w:rsidP="007862A2">
      <w:pPr>
        <w:pStyle w:val="PL"/>
      </w:pPr>
      <w:r>
        <w:t xml:space="preserve">      required:</w:t>
      </w:r>
    </w:p>
    <w:p w14:paraId="12C4B7B7" w14:textId="77777777" w:rsidR="007862A2" w:rsidRDefault="007862A2" w:rsidP="007862A2">
      <w:pPr>
        <w:pStyle w:val="PL"/>
      </w:pPr>
      <w:r>
        <w:t xml:space="preserve">        - nwPerfType</w:t>
      </w:r>
    </w:p>
    <w:p w14:paraId="1FC8AC31" w14:textId="77777777" w:rsidR="007862A2" w:rsidRDefault="007862A2" w:rsidP="007862A2">
      <w:pPr>
        <w:pStyle w:val="PL"/>
      </w:pPr>
    </w:p>
    <w:p w14:paraId="70829CEE" w14:textId="77777777" w:rsidR="007862A2" w:rsidRDefault="007862A2" w:rsidP="007862A2">
      <w:pPr>
        <w:pStyle w:val="PL"/>
      </w:pPr>
      <w:r>
        <w:t xml:space="preserve">    AnalyticsAccuracyInfo:</w:t>
      </w:r>
    </w:p>
    <w:p w14:paraId="5DCB3B17" w14:textId="77777777" w:rsidR="007862A2" w:rsidRDefault="007862A2" w:rsidP="007862A2">
      <w:pPr>
        <w:pStyle w:val="PL"/>
      </w:pPr>
      <w:r>
        <w:t xml:space="preserve">      description: </w:t>
      </w:r>
      <w:r>
        <w:rPr>
          <w:lang w:eastAsia="ko-KR"/>
        </w:rPr>
        <w:t xml:space="preserve">Analytics Accuracy related information needs to </w:t>
      </w:r>
      <w:r>
        <w:rPr>
          <w:lang w:eastAsia="zh-CN"/>
        </w:rPr>
        <w:t>be transferred</w:t>
      </w:r>
      <w:r>
        <w:t>.</w:t>
      </w:r>
    </w:p>
    <w:p w14:paraId="58A6B918" w14:textId="77777777" w:rsidR="007862A2" w:rsidRDefault="007862A2" w:rsidP="007862A2">
      <w:pPr>
        <w:pStyle w:val="PL"/>
      </w:pPr>
      <w:r>
        <w:t xml:space="preserve">      type: object</w:t>
      </w:r>
    </w:p>
    <w:p w14:paraId="0F17C276" w14:textId="77777777" w:rsidR="007862A2" w:rsidRDefault="007862A2" w:rsidP="007862A2">
      <w:pPr>
        <w:pStyle w:val="PL"/>
      </w:pPr>
      <w:r>
        <w:t xml:space="preserve">      properties:</w:t>
      </w:r>
    </w:p>
    <w:p w14:paraId="1D8BDC32" w14:textId="77777777" w:rsidR="007862A2" w:rsidRDefault="007862A2" w:rsidP="007862A2">
      <w:pPr>
        <w:pStyle w:val="PL"/>
      </w:pPr>
      <w:r>
        <w:t xml:space="preserve">        </w:t>
      </w:r>
      <w:r>
        <w:rPr>
          <w:lang w:val="de-DE"/>
        </w:rPr>
        <w:t>reportTime</w:t>
      </w:r>
      <w:r>
        <w:t>:</w:t>
      </w:r>
    </w:p>
    <w:p w14:paraId="198B2DE7" w14:textId="77777777" w:rsidR="007862A2" w:rsidRDefault="007862A2" w:rsidP="007862A2">
      <w:pPr>
        <w:pStyle w:val="PL"/>
      </w:pPr>
      <w:r>
        <w:t xml:space="preserve">          $ref: 'TS29571_CommonData.yaml#/components/schemas/DateTime'</w:t>
      </w:r>
    </w:p>
    <w:p w14:paraId="0B6CB231" w14:textId="77777777" w:rsidR="007862A2" w:rsidRDefault="007862A2" w:rsidP="007862A2">
      <w:pPr>
        <w:pStyle w:val="PL"/>
      </w:pPr>
      <w:r>
        <w:t xml:space="preserve">        pauseInd:</w:t>
      </w:r>
    </w:p>
    <w:p w14:paraId="63FCA8E9" w14:textId="77777777" w:rsidR="007862A2" w:rsidRDefault="007862A2" w:rsidP="007862A2">
      <w:pPr>
        <w:pStyle w:val="PL"/>
      </w:pPr>
      <w:r>
        <w:t xml:space="preserve">          type: boolean</w:t>
      </w:r>
    </w:p>
    <w:p w14:paraId="6EE8EBCD" w14:textId="77777777" w:rsidR="007862A2" w:rsidRDefault="007862A2" w:rsidP="007862A2">
      <w:pPr>
        <w:pStyle w:val="PL"/>
      </w:pPr>
      <w:r>
        <w:t xml:space="preserve">          description: &gt;</w:t>
      </w:r>
    </w:p>
    <w:p w14:paraId="78AB0CA8" w14:textId="77777777" w:rsidR="007862A2" w:rsidRDefault="007862A2" w:rsidP="007862A2">
      <w:pPr>
        <w:pStyle w:val="PL"/>
      </w:pPr>
      <w:r>
        <w:t xml:space="preserve">            Indicates whether the analytics subscription has been paused. Set to "true" if it has</w:t>
      </w:r>
    </w:p>
    <w:p w14:paraId="55118C88" w14:textId="77777777" w:rsidR="007862A2" w:rsidRDefault="007862A2" w:rsidP="007862A2">
      <w:pPr>
        <w:pStyle w:val="PL"/>
      </w:pPr>
      <w:r>
        <w:t xml:space="preserve">            been paused, otherwise set to "false".</w:t>
      </w:r>
    </w:p>
    <w:p w14:paraId="1D490ED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remainTimeWin:</w:t>
      </w:r>
    </w:p>
    <w:p w14:paraId="16CBAC0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IN" w:eastAsia="en-IN"/>
        </w:rPr>
      </w:pPr>
      <w:r>
        <w:rPr>
          <w:rFonts w:ascii="Courier New" w:hAnsi="Courier New"/>
          <w:sz w:val="16"/>
          <w:lang w:eastAsia="zh-CN"/>
        </w:rPr>
        <w:t xml:space="preserve">          </w:t>
      </w:r>
      <w:r>
        <w:rPr>
          <w:rFonts w:ascii="Courier New" w:hAnsi="Courier New"/>
          <w:sz w:val="16"/>
          <w:lang w:val="en-IN" w:eastAsia="en-IN"/>
        </w:rPr>
        <w:t>$ref: 'TS29122_CommonData.yaml#/components/schemas/TimeWindow'</w:t>
      </w:r>
    </w:p>
    <w:p w14:paraId="1E93FC96" w14:textId="77777777" w:rsidR="007862A2" w:rsidRDefault="007862A2" w:rsidP="007862A2">
      <w:pPr>
        <w:pStyle w:val="PL"/>
        <w:rPr>
          <w:lang w:val="en-IN"/>
        </w:rPr>
      </w:pPr>
      <w:r>
        <w:rPr>
          <w:lang w:val="en-IN"/>
        </w:rPr>
        <w:t xml:space="preserve"> </w:t>
      </w:r>
      <w:r>
        <w:t xml:space="preserve">       groundTruthInfo:</w:t>
      </w:r>
    </w:p>
    <w:p w14:paraId="2E4DD11F" w14:textId="77777777" w:rsidR="007862A2" w:rsidRDefault="007862A2" w:rsidP="007862A2">
      <w:pPr>
        <w:pStyle w:val="PL"/>
      </w:pPr>
      <w:r>
        <w:t xml:space="preserve">            $ref: '#/components/schemas/GroundTruthInfo</w:t>
      </w:r>
      <w:r>
        <w:rPr>
          <w:rFonts w:eastAsia="等线"/>
        </w:rPr>
        <w:t>'</w:t>
      </w:r>
    </w:p>
    <w:p w14:paraId="7A5C68CD" w14:textId="77777777" w:rsidR="007862A2" w:rsidRDefault="007862A2" w:rsidP="007862A2">
      <w:pPr>
        <w:pStyle w:val="PL"/>
        <w:rPr>
          <w:lang w:val="en-IN"/>
        </w:rPr>
      </w:pPr>
    </w:p>
    <w:p w14:paraId="462D78CF" w14:textId="77777777" w:rsidR="007862A2" w:rsidRDefault="007862A2" w:rsidP="007862A2">
      <w:pPr>
        <w:pStyle w:val="PL"/>
      </w:pPr>
      <w:r>
        <w:t xml:space="preserve">    GroundTruthInfo:</w:t>
      </w:r>
    </w:p>
    <w:p w14:paraId="59806C3F" w14:textId="77777777" w:rsidR="007862A2" w:rsidRDefault="007862A2" w:rsidP="007862A2">
      <w:pPr>
        <w:pStyle w:val="PL"/>
      </w:pPr>
      <w:r>
        <w:t xml:space="preserve">      description: The ground truth information used for the accuracy information computation.</w:t>
      </w:r>
    </w:p>
    <w:p w14:paraId="2EC59EEE" w14:textId="77777777" w:rsidR="007862A2" w:rsidRDefault="007862A2" w:rsidP="007862A2">
      <w:pPr>
        <w:pStyle w:val="PL"/>
      </w:pPr>
      <w:r>
        <w:t xml:space="preserve">      type: object</w:t>
      </w:r>
    </w:p>
    <w:p w14:paraId="6E6ED578" w14:textId="77777777" w:rsidR="007862A2" w:rsidRDefault="007862A2" w:rsidP="007862A2">
      <w:pPr>
        <w:pStyle w:val="PL"/>
      </w:pPr>
      <w:r>
        <w:t xml:space="preserve">      properties:</w:t>
      </w:r>
    </w:p>
    <w:p w14:paraId="2D004199" w14:textId="77777777" w:rsidR="007862A2" w:rsidRDefault="007862A2" w:rsidP="007862A2">
      <w:pPr>
        <w:pStyle w:val="PL"/>
      </w:pPr>
      <w:r>
        <w:t xml:space="preserve">        </w:t>
      </w:r>
      <w:r>
        <w:rPr>
          <w:lang w:eastAsia="zh-CN"/>
        </w:rPr>
        <w:t>analyticsId</w:t>
      </w:r>
      <w:r>
        <w:t>:</w:t>
      </w:r>
    </w:p>
    <w:p w14:paraId="7DE15EB9" w14:textId="77777777" w:rsidR="007862A2" w:rsidRDefault="007862A2" w:rsidP="007862A2">
      <w:pPr>
        <w:pStyle w:val="PL"/>
      </w:pPr>
      <w:r>
        <w:t xml:space="preserve">            $ref: '#/components/schemas/EventId'</w:t>
      </w:r>
    </w:p>
    <w:p w14:paraId="49FBDEBC" w14:textId="77777777" w:rsidR="007862A2" w:rsidRDefault="007862A2" w:rsidP="007862A2">
      <w:pPr>
        <w:pStyle w:val="PL"/>
      </w:pPr>
      <w:r>
        <w:t xml:space="preserve">        </w:t>
      </w:r>
      <w:r>
        <w:rPr>
          <w:lang w:eastAsia="zh-CN"/>
        </w:rPr>
        <w:t>dataSourceIds</w:t>
      </w:r>
      <w:r>
        <w:t>:</w:t>
      </w:r>
    </w:p>
    <w:p w14:paraId="5E9CB221" w14:textId="77777777" w:rsidR="007862A2" w:rsidRDefault="007862A2" w:rsidP="007862A2">
      <w:pPr>
        <w:pStyle w:val="PL"/>
      </w:pPr>
      <w:r>
        <w:t xml:space="preserve">          type: array</w:t>
      </w:r>
    </w:p>
    <w:p w14:paraId="3C6A820B" w14:textId="77777777" w:rsidR="007862A2" w:rsidRDefault="007862A2" w:rsidP="007862A2">
      <w:pPr>
        <w:pStyle w:val="PL"/>
      </w:pPr>
      <w:r>
        <w:t xml:space="preserve">          items:</w:t>
      </w:r>
    </w:p>
    <w:p w14:paraId="5D0BA29B" w14:textId="77777777" w:rsidR="007862A2" w:rsidRDefault="007862A2" w:rsidP="007862A2">
      <w:pPr>
        <w:pStyle w:val="PL"/>
      </w:pPr>
      <w:r>
        <w:t xml:space="preserve">            $ref: 'TS29571_CommonData.yaml#/components/schemas/NfInstanceId'</w:t>
      </w:r>
    </w:p>
    <w:p w14:paraId="226A0082" w14:textId="77777777" w:rsidR="007862A2" w:rsidRDefault="007862A2" w:rsidP="007862A2">
      <w:pPr>
        <w:pStyle w:val="PL"/>
      </w:pPr>
      <w:r>
        <w:t xml:space="preserve">          minItems: 1</w:t>
      </w:r>
    </w:p>
    <w:p w14:paraId="57A239CA" w14:textId="77777777" w:rsidR="007862A2" w:rsidRDefault="007862A2" w:rsidP="007862A2">
      <w:pPr>
        <w:pStyle w:val="PL"/>
      </w:pPr>
      <w:r>
        <w:t xml:space="preserve">          description: </w:t>
      </w:r>
      <w:r>
        <w:rPr>
          <w:rFonts w:cs="Arial"/>
          <w:szCs w:val="18"/>
        </w:rPr>
        <w:t>The NF instance ID(s) of the data source for ground truth data.</w:t>
      </w:r>
    </w:p>
    <w:p w14:paraId="058FEDED" w14:textId="77777777" w:rsidR="007862A2" w:rsidRDefault="007862A2" w:rsidP="007862A2">
      <w:pPr>
        <w:pStyle w:val="PL"/>
      </w:pPr>
      <w:r>
        <w:t xml:space="preserve">        </w:t>
      </w:r>
      <w:r>
        <w:rPr>
          <w:lang w:eastAsia="zh-CN"/>
        </w:rPr>
        <w:t>dataSourceSetIds</w:t>
      </w:r>
      <w:r>
        <w:t>:</w:t>
      </w:r>
    </w:p>
    <w:p w14:paraId="7DA75404" w14:textId="77777777" w:rsidR="007862A2" w:rsidRDefault="007862A2" w:rsidP="007862A2">
      <w:pPr>
        <w:pStyle w:val="PL"/>
      </w:pPr>
      <w:r>
        <w:t xml:space="preserve">          type: array</w:t>
      </w:r>
    </w:p>
    <w:p w14:paraId="174F2321" w14:textId="77777777" w:rsidR="007862A2" w:rsidRDefault="007862A2" w:rsidP="007862A2">
      <w:pPr>
        <w:pStyle w:val="PL"/>
      </w:pPr>
      <w:r>
        <w:t xml:space="preserve">          items:</w:t>
      </w:r>
    </w:p>
    <w:p w14:paraId="52035E43" w14:textId="77777777" w:rsidR="007862A2" w:rsidRDefault="007862A2" w:rsidP="007862A2">
      <w:pPr>
        <w:pStyle w:val="PL"/>
      </w:pPr>
      <w:r>
        <w:t xml:space="preserve">            $ref: 'TS29571_CommonData.yaml#/components/schemas/NfSetId'</w:t>
      </w:r>
    </w:p>
    <w:p w14:paraId="66440FCC" w14:textId="77777777" w:rsidR="007862A2" w:rsidRDefault="007862A2" w:rsidP="007862A2">
      <w:pPr>
        <w:pStyle w:val="PL"/>
      </w:pPr>
      <w:r>
        <w:t xml:space="preserve">          minItems: 1</w:t>
      </w:r>
    </w:p>
    <w:p w14:paraId="5C1EEEAF" w14:textId="77777777" w:rsidR="007862A2" w:rsidRDefault="007862A2" w:rsidP="007862A2">
      <w:pPr>
        <w:pStyle w:val="PL"/>
      </w:pPr>
      <w:r>
        <w:t xml:space="preserve">          description: </w:t>
      </w:r>
      <w:r>
        <w:rPr>
          <w:rFonts w:cs="Arial"/>
          <w:szCs w:val="18"/>
        </w:rPr>
        <w:t>The NF Set ID(s) of the data source for ground truth data</w:t>
      </w:r>
      <w:r>
        <w:t>.</w:t>
      </w:r>
    </w:p>
    <w:p w14:paraId="29B786CB" w14:textId="77777777" w:rsidR="007862A2" w:rsidRDefault="007862A2" w:rsidP="007862A2">
      <w:pPr>
        <w:pStyle w:val="PL"/>
      </w:pPr>
      <w:r>
        <w:lastRenderedPageBreak/>
        <w:t xml:space="preserve">        dataSubs:</w:t>
      </w:r>
    </w:p>
    <w:p w14:paraId="00BADDB6" w14:textId="77777777" w:rsidR="007862A2" w:rsidRDefault="007862A2" w:rsidP="007862A2">
      <w:pPr>
        <w:pStyle w:val="PL"/>
      </w:pPr>
      <w:r>
        <w:t xml:space="preserve">          type: array</w:t>
      </w:r>
    </w:p>
    <w:p w14:paraId="1BD838EE" w14:textId="77777777" w:rsidR="007862A2" w:rsidRDefault="007862A2" w:rsidP="007862A2">
      <w:pPr>
        <w:pStyle w:val="PL"/>
      </w:pPr>
      <w:r>
        <w:t xml:space="preserve">          items:</w:t>
      </w:r>
    </w:p>
    <w:p w14:paraId="510CC393" w14:textId="77777777" w:rsidR="007862A2" w:rsidRDefault="007862A2" w:rsidP="007862A2">
      <w:pPr>
        <w:pStyle w:val="PL"/>
      </w:pPr>
      <w:r>
        <w:t xml:space="preserve">            $ref: 'TS29575_Nadrf_DataManagement.yaml#/components/schemas/DataSubscription'</w:t>
      </w:r>
    </w:p>
    <w:p w14:paraId="71B7BDD2" w14:textId="77777777" w:rsidR="007862A2" w:rsidRDefault="007862A2" w:rsidP="007862A2">
      <w:pPr>
        <w:pStyle w:val="PL"/>
      </w:pPr>
      <w:r>
        <w:t xml:space="preserve">          minItems: 1</w:t>
      </w:r>
    </w:p>
    <w:p w14:paraId="30FA1A86" w14:textId="77777777" w:rsidR="007862A2" w:rsidRDefault="007862A2" w:rsidP="007862A2">
      <w:pPr>
        <w:pStyle w:val="PL"/>
      </w:pPr>
      <w:r>
        <w:t xml:space="preserve">        groundTruthDatas:</w:t>
      </w:r>
    </w:p>
    <w:p w14:paraId="05D85CA0" w14:textId="77777777" w:rsidR="007862A2" w:rsidRDefault="007862A2" w:rsidP="007862A2">
      <w:pPr>
        <w:pStyle w:val="PL"/>
      </w:pPr>
      <w:r>
        <w:t xml:space="preserve">          type: array</w:t>
      </w:r>
    </w:p>
    <w:p w14:paraId="586626B6" w14:textId="77777777" w:rsidR="007862A2" w:rsidRDefault="007862A2" w:rsidP="007862A2">
      <w:pPr>
        <w:pStyle w:val="PL"/>
      </w:pPr>
      <w:r>
        <w:t xml:space="preserve">          items:</w:t>
      </w:r>
    </w:p>
    <w:p w14:paraId="61E803FC" w14:textId="77777777" w:rsidR="007862A2" w:rsidRDefault="007862A2" w:rsidP="007862A2">
      <w:pPr>
        <w:pStyle w:val="PL"/>
      </w:pPr>
      <w:r>
        <w:t xml:space="preserve">            $ref: 'TS29575_Nadrf_DataManagement.yaml#/components/schemas/DataNotification'</w:t>
      </w:r>
    </w:p>
    <w:p w14:paraId="1CEDBBA8" w14:textId="77777777" w:rsidR="007862A2" w:rsidRDefault="007862A2" w:rsidP="007862A2">
      <w:pPr>
        <w:pStyle w:val="PL"/>
      </w:pPr>
      <w:r>
        <w:t xml:space="preserve">          minItems: 1</w:t>
      </w:r>
    </w:p>
    <w:p w14:paraId="6744DF17" w14:textId="77777777" w:rsidR="007862A2" w:rsidRDefault="007862A2" w:rsidP="007862A2">
      <w:pPr>
        <w:pStyle w:val="PL"/>
      </w:pPr>
      <w:r>
        <w:t xml:space="preserve">      required:</w:t>
      </w:r>
    </w:p>
    <w:p w14:paraId="582F64FF" w14:textId="77777777" w:rsidR="007862A2" w:rsidRDefault="007862A2" w:rsidP="007862A2">
      <w:pPr>
        <w:pStyle w:val="PL"/>
        <w:rPr>
          <w:lang w:eastAsia="zh-CN"/>
        </w:rPr>
      </w:pPr>
      <w:r>
        <w:t xml:space="preserve">        - </w:t>
      </w:r>
      <w:r>
        <w:rPr>
          <w:lang w:eastAsia="zh-CN"/>
        </w:rPr>
        <w:t>analyticsId</w:t>
      </w:r>
    </w:p>
    <w:p w14:paraId="2D427D34" w14:textId="77777777" w:rsidR="007862A2" w:rsidRDefault="007862A2" w:rsidP="007862A2">
      <w:pPr>
        <w:pStyle w:val="PL"/>
        <w:rPr>
          <w:lang w:eastAsia="zh-CN"/>
        </w:rPr>
      </w:pPr>
      <w:r>
        <w:t xml:space="preserve">        - groundTruthDatas</w:t>
      </w:r>
    </w:p>
    <w:p w14:paraId="6ACA0350" w14:textId="77777777" w:rsidR="007862A2" w:rsidRDefault="007862A2" w:rsidP="007862A2">
      <w:pPr>
        <w:pStyle w:val="PL"/>
      </w:pPr>
    </w:p>
    <w:p w14:paraId="62EE0294" w14:textId="77777777" w:rsidR="007862A2" w:rsidRDefault="007862A2" w:rsidP="007862A2">
      <w:pPr>
        <w:pStyle w:val="PL"/>
      </w:pPr>
      <w:r>
        <w:t xml:space="preserve">    MlModelAccuracyInfo:</w:t>
      </w:r>
    </w:p>
    <w:p w14:paraId="5FE5E4F8" w14:textId="77777777" w:rsidR="007862A2" w:rsidRDefault="007862A2" w:rsidP="007862A2">
      <w:pPr>
        <w:pStyle w:val="PL"/>
      </w:pPr>
      <w:r>
        <w:t xml:space="preserve">      description: The ML Model Accuracy Subscription Information needs to be </w:t>
      </w:r>
      <w:r>
        <w:rPr>
          <w:lang w:eastAsia="zh-CN"/>
        </w:rPr>
        <w:t>transferred.</w:t>
      </w:r>
    </w:p>
    <w:p w14:paraId="118DEBF1" w14:textId="77777777" w:rsidR="007862A2" w:rsidRDefault="007862A2" w:rsidP="007862A2">
      <w:pPr>
        <w:pStyle w:val="PL"/>
      </w:pPr>
      <w:r>
        <w:t xml:space="preserve">      type: object</w:t>
      </w:r>
    </w:p>
    <w:p w14:paraId="0CA13AF8" w14:textId="77777777" w:rsidR="007862A2" w:rsidRDefault="007862A2" w:rsidP="007862A2">
      <w:pPr>
        <w:pStyle w:val="PL"/>
      </w:pPr>
      <w:r>
        <w:t xml:space="preserve">      properties:</w:t>
      </w:r>
    </w:p>
    <w:p w14:paraId="205FFB56" w14:textId="77777777" w:rsidR="007862A2" w:rsidRDefault="007862A2" w:rsidP="007862A2">
      <w:pPr>
        <w:pStyle w:val="PL"/>
      </w:pPr>
      <w:r>
        <w:t xml:space="preserve">        subscriptionId:</w:t>
      </w:r>
    </w:p>
    <w:p w14:paraId="1D39D169" w14:textId="77777777" w:rsidR="007862A2" w:rsidRDefault="007862A2" w:rsidP="007862A2">
      <w:pPr>
        <w:pStyle w:val="PL"/>
      </w:pPr>
      <w:r>
        <w:t xml:space="preserve">          type: string</w:t>
      </w:r>
    </w:p>
    <w:p w14:paraId="4E236157" w14:textId="77777777" w:rsidR="007862A2" w:rsidRDefault="007862A2" w:rsidP="007862A2">
      <w:pPr>
        <w:pStyle w:val="PL"/>
      </w:pPr>
      <w:r>
        <w:t xml:space="preserve">          description: The identifier of the subscription for the ML Model accuracy information.</w:t>
      </w:r>
    </w:p>
    <w:p w14:paraId="3E5A2949" w14:textId="77777777" w:rsidR="007862A2" w:rsidRDefault="007862A2" w:rsidP="007862A2">
      <w:pPr>
        <w:pStyle w:val="PL"/>
      </w:pPr>
      <w:r>
        <w:t xml:space="preserve">        </w:t>
      </w:r>
      <w:r>
        <w:rPr>
          <w:lang w:eastAsia="zh-CN"/>
        </w:rPr>
        <w:t>sourceId</w:t>
      </w:r>
      <w:r>
        <w:t>:</w:t>
      </w:r>
    </w:p>
    <w:p w14:paraId="23EEB7D4" w14:textId="77777777" w:rsidR="007862A2" w:rsidRDefault="007862A2" w:rsidP="007862A2">
      <w:pPr>
        <w:pStyle w:val="PL"/>
      </w:pPr>
      <w:r>
        <w:t xml:space="preserve">          $ref: 'TS29571_CommonData.yaml#/components/schemas/NfInstanceId'</w:t>
      </w:r>
    </w:p>
    <w:p w14:paraId="180EFF7C" w14:textId="77777777" w:rsidR="007862A2" w:rsidRDefault="007862A2" w:rsidP="007862A2">
      <w:pPr>
        <w:pStyle w:val="PL"/>
      </w:pPr>
      <w:r>
        <w:t xml:space="preserve">        </w:t>
      </w:r>
      <w:r>
        <w:rPr>
          <w:lang w:eastAsia="zh-CN"/>
        </w:rPr>
        <w:t>sourceSetId</w:t>
      </w:r>
      <w:r>
        <w:t>:</w:t>
      </w:r>
    </w:p>
    <w:p w14:paraId="126BE5C2" w14:textId="77777777" w:rsidR="007862A2" w:rsidRDefault="007862A2" w:rsidP="007862A2">
      <w:pPr>
        <w:pStyle w:val="PL"/>
      </w:pPr>
      <w:r>
        <w:t xml:space="preserve">          $ref: 'TS29571_CommonData.yaml#/components/schemas/NfSetId'</w:t>
      </w:r>
    </w:p>
    <w:p w14:paraId="5059EF4F" w14:textId="77777777" w:rsidR="007862A2" w:rsidRDefault="007862A2" w:rsidP="007862A2">
      <w:pPr>
        <w:pStyle w:val="PL"/>
      </w:pPr>
      <w:r>
        <w:t xml:space="preserve">        accuSubInfo:</w:t>
      </w:r>
    </w:p>
    <w:p w14:paraId="253E8D81" w14:textId="77777777" w:rsidR="007862A2" w:rsidRDefault="007862A2" w:rsidP="007862A2">
      <w:pPr>
        <w:pStyle w:val="PL"/>
      </w:pPr>
      <w:r>
        <w:t xml:space="preserve">          $ref: 'TS29520_Nnwdaf_MLModelMonitor.yaml#/components/schemas/MLModelAccuracyInfo'</w:t>
      </w:r>
    </w:p>
    <w:p w14:paraId="6BC7659A" w14:textId="77777777" w:rsidR="007862A2" w:rsidRDefault="007862A2" w:rsidP="007862A2">
      <w:pPr>
        <w:pStyle w:val="PL"/>
      </w:pPr>
      <w:r>
        <w:t xml:space="preserve">      required:</w:t>
      </w:r>
    </w:p>
    <w:p w14:paraId="5B91B9AF" w14:textId="77777777" w:rsidR="007862A2" w:rsidRDefault="007862A2" w:rsidP="007862A2">
      <w:pPr>
        <w:pStyle w:val="PL"/>
      </w:pPr>
      <w:r>
        <w:t xml:space="preserve">        - subscriptionId</w:t>
      </w:r>
    </w:p>
    <w:p w14:paraId="008D486B" w14:textId="77777777" w:rsidR="007862A2" w:rsidRDefault="007862A2" w:rsidP="007862A2">
      <w:pPr>
        <w:pStyle w:val="PL"/>
      </w:pPr>
    </w:p>
    <w:p w14:paraId="471FDC2E" w14:textId="77777777" w:rsidR="007862A2" w:rsidRDefault="007862A2" w:rsidP="007862A2">
      <w:pPr>
        <w:pStyle w:val="PL"/>
        <w:rPr>
          <w:rFonts w:cs="Courier New"/>
          <w:szCs w:val="16"/>
        </w:rPr>
      </w:pPr>
      <w:r>
        <w:rPr>
          <w:rFonts w:cs="Courier New"/>
          <w:szCs w:val="16"/>
        </w:rPr>
        <w:t>#</w:t>
      </w:r>
    </w:p>
    <w:p w14:paraId="2C4EAA1A" w14:textId="77777777" w:rsidR="007862A2" w:rsidRDefault="007862A2" w:rsidP="007862A2">
      <w:pPr>
        <w:pStyle w:val="PL"/>
      </w:pPr>
      <w:r>
        <w:t># ENUMERATIONS DATA TYPES</w:t>
      </w:r>
    </w:p>
    <w:p w14:paraId="60E08122" w14:textId="77777777" w:rsidR="007862A2" w:rsidRDefault="007862A2" w:rsidP="007862A2">
      <w:pPr>
        <w:pStyle w:val="PL"/>
      </w:pPr>
      <w:r>
        <w:t>#</w:t>
      </w:r>
    </w:p>
    <w:p w14:paraId="1FC6DF74" w14:textId="77777777" w:rsidR="007862A2" w:rsidRDefault="007862A2" w:rsidP="007862A2">
      <w:pPr>
        <w:pStyle w:val="PL"/>
      </w:pPr>
      <w:r>
        <w:t xml:space="preserve">    EventId:</w:t>
      </w:r>
    </w:p>
    <w:p w14:paraId="2B772069" w14:textId="77777777" w:rsidR="007862A2" w:rsidRDefault="007862A2" w:rsidP="007862A2">
      <w:pPr>
        <w:pStyle w:val="PL"/>
      </w:pPr>
      <w:r>
        <w:t xml:space="preserve">      anyOf:</w:t>
      </w:r>
    </w:p>
    <w:p w14:paraId="142329A0" w14:textId="77777777" w:rsidR="007862A2" w:rsidRDefault="007862A2" w:rsidP="007862A2">
      <w:pPr>
        <w:pStyle w:val="PL"/>
      </w:pPr>
      <w:r>
        <w:t xml:space="preserve">      - type: string</w:t>
      </w:r>
    </w:p>
    <w:p w14:paraId="24008B8F" w14:textId="77777777" w:rsidR="007862A2" w:rsidRDefault="007862A2" w:rsidP="007862A2">
      <w:pPr>
        <w:pStyle w:val="PL"/>
      </w:pPr>
      <w:r>
        <w:t xml:space="preserve">        enum:</w:t>
      </w:r>
    </w:p>
    <w:p w14:paraId="43F6BBC6" w14:textId="77777777" w:rsidR="007862A2" w:rsidRDefault="007862A2" w:rsidP="007862A2">
      <w:pPr>
        <w:pStyle w:val="PL"/>
      </w:pPr>
      <w:r>
        <w:t xml:space="preserve">          - LOAD_LEVEL_INFORMATION</w:t>
      </w:r>
    </w:p>
    <w:p w14:paraId="6B8E7810" w14:textId="77777777" w:rsidR="007862A2" w:rsidRDefault="007862A2" w:rsidP="007862A2">
      <w:pPr>
        <w:pStyle w:val="PL"/>
      </w:pPr>
      <w:r>
        <w:t xml:space="preserve">          - NETWORK_PERFORMANCE</w:t>
      </w:r>
    </w:p>
    <w:p w14:paraId="53A0F58C" w14:textId="77777777" w:rsidR="007862A2" w:rsidRDefault="007862A2" w:rsidP="007862A2">
      <w:pPr>
        <w:pStyle w:val="PL"/>
      </w:pPr>
      <w:r>
        <w:t xml:space="preserve">          - NF_LOAD</w:t>
      </w:r>
    </w:p>
    <w:p w14:paraId="60F8DFE3" w14:textId="77777777" w:rsidR="007862A2" w:rsidRDefault="007862A2" w:rsidP="007862A2">
      <w:pPr>
        <w:pStyle w:val="PL"/>
      </w:pPr>
      <w:r>
        <w:t xml:space="preserve">          - SERVICE_EXPERIENCE</w:t>
      </w:r>
    </w:p>
    <w:p w14:paraId="46B1F41C" w14:textId="77777777" w:rsidR="007862A2" w:rsidRDefault="007862A2" w:rsidP="007862A2">
      <w:pPr>
        <w:pStyle w:val="PL"/>
      </w:pPr>
      <w:r>
        <w:t xml:space="preserve">          - UE_MOBILITY</w:t>
      </w:r>
    </w:p>
    <w:p w14:paraId="33EEBE8C" w14:textId="77777777" w:rsidR="007862A2" w:rsidRDefault="007862A2" w:rsidP="007862A2">
      <w:pPr>
        <w:pStyle w:val="PL"/>
      </w:pPr>
      <w:r>
        <w:t xml:space="preserve">          - UE_COMMUNICATION</w:t>
      </w:r>
    </w:p>
    <w:p w14:paraId="6910DBAC" w14:textId="77777777" w:rsidR="007862A2" w:rsidRDefault="007862A2" w:rsidP="007862A2">
      <w:pPr>
        <w:pStyle w:val="PL"/>
      </w:pPr>
      <w:r>
        <w:t xml:space="preserve">          - QOS_SUSTAINABILITY</w:t>
      </w:r>
    </w:p>
    <w:p w14:paraId="46C83505" w14:textId="77777777" w:rsidR="007862A2" w:rsidRDefault="007862A2" w:rsidP="007862A2">
      <w:pPr>
        <w:pStyle w:val="PL"/>
      </w:pPr>
      <w:r>
        <w:t xml:space="preserve">          - ABNORMAL_BEHAVIOUR</w:t>
      </w:r>
    </w:p>
    <w:p w14:paraId="09A6CB00" w14:textId="77777777" w:rsidR="007862A2" w:rsidRDefault="007862A2" w:rsidP="007862A2">
      <w:pPr>
        <w:pStyle w:val="PL"/>
      </w:pPr>
      <w:r>
        <w:t xml:space="preserve">          - USER_DATA_CONGESTION</w:t>
      </w:r>
    </w:p>
    <w:p w14:paraId="5EC66BBB" w14:textId="77777777" w:rsidR="007862A2" w:rsidRDefault="007862A2" w:rsidP="007862A2">
      <w:pPr>
        <w:pStyle w:val="PL"/>
      </w:pPr>
      <w:r>
        <w:t xml:space="preserve">          - NSI_LOAD_LEVEL</w:t>
      </w:r>
    </w:p>
    <w:p w14:paraId="7D1FCFA1" w14:textId="77777777" w:rsidR="007862A2" w:rsidRDefault="007862A2" w:rsidP="007862A2">
      <w:pPr>
        <w:pStyle w:val="PL"/>
      </w:pPr>
      <w:r>
        <w:t xml:space="preserve">          - </w:t>
      </w:r>
      <w:r>
        <w:rPr>
          <w:lang w:eastAsia="zh-CN"/>
        </w:rPr>
        <w:t>SM_</w:t>
      </w:r>
      <w:r>
        <w:t>CONGESTION</w:t>
      </w:r>
    </w:p>
    <w:p w14:paraId="486D4681" w14:textId="77777777" w:rsidR="007862A2" w:rsidRDefault="007862A2" w:rsidP="007862A2">
      <w:pPr>
        <w:pStyle w:val="PL"/>
      </w:pPr>
      <w:r>
        <w:t xml:space="preserve">          - DISPERSION</w:t>
      </w:r>
    </w:p>
    <w:p w14:paraId="233695D0" w14:textId="77777777" w:rsidR="007862A2" w:rsidRDefault="007862A2" w:rsidP="007862A2">
      <w:pPr>
        <w:pStyle w:val="PL"/>
      </w:pPr>
      <w:r>
        <w:t xml:space="preserve">          - RED_TRANS_EXP</w:t>
      </w:r>
    </w:p>
    <w:p w14:paraId="001E02F7" w14:textId="77777777" w:rsidR="007862A2" w:rsidRDefault="007862A2" w:rsidP="007862A2">
      <w:pPr>
        <w:pStyle w:val="PL"/>
      </w:pPr>
      <w:r>
        <w:t xml:space="preserve">          - WLAN_PERFORMANCE</w:t>
      </w:r>
    </w:p>
    <w:p w14:paraId="1A646C43" w14:textId="77777777" w:rsidR="007862A2" w:rsidRDefault="007862A2" w:rsidP="007862A2">
      <w:pPr>
        <w:pStyle w:val="PL"/>
      </w:pPr>
      <w:r>
        <w:t xml:space="preserve">          - DN_PERFORMANCE</w:t>
      </w:r>
    </w:p>
    <w:p w14:paraId="199A1877" w14:textId="77777777" w:rsidR="007862A2" w:rsidRDefault="007862A2" w:rsidP="007862A2">
      <w:pPr>
        <w:pStyle w:val="PL"/>
      </w:pPr>
      <w:r>
        <w:t xml:space="preserve">          - PDU_SESSION_TRAFFIC</w:t>
      </w:r>
    </w:p>
    <w:p w14:paraId="47A95212" w14:textId="77777777" w:rsidR="007862A2" w:rsidRDefault="007862A2" w:rsidP="007862A2">
      <w:pPr>
        <w:pStyle w:val="PL"/>
        <w:rPr>
          <w:lang w:eastAsia="zh-CN"/>
        </w:rPr>
      </w:pPr>
      <w:r>
        <w:t xml:space="preserve">          - </w:t>
      </w:r>
      <w:r>
        <w:rPr>
          <w:lang w:eastAsia="zh-CN"/>
        </w:rPr>
        <w:t>E2E_DATA_VOL_TRANS_TIME</w:t>
      </w:r>
    </w:p>
    <w:p w14:paraId="45BE5B74" w14:textId="77777777" w:rsidR="007862A2" w:rsidRDefault="007862A2" w:rsidP="007862A2">
      <w:pPr>
        <w:pStyle w:val="PL"/>
      </w:pPr>
      <w:r>
        <w:t xml:space="preserve">          - </w:t>
      </w:r>
      <w:r>
        <w:rPr>
          <w:lang w:eastAsia="ja-JP"/>
        </w:rPr>
        <w:t>MOVEMENT_BEHAVIOUR</w:t>
      </w:r>
    </w:p>
    <w:p w14:paraId="32C7582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LOC_ACCURACY</w:t>
      </w:r>
    </w:p>
    <w:p w14:paraId="248E3A19" w14:textId="77777777" w:rsidR="007862A2" w:rsidRDefault="007862A2" w:rsidP="007862A2">
      <w:pPr>
        <w:pStyle w:val="PL"/>
      </w:pPr>
      <w:r>
        <w:rPr>
          <w:lang w:eastAsia="zh-CN"/>
        </w:rPr>
        <w:t xml:space="preserve">          - RELATIVE_PROXIMITY</w:t>
      </w:r>
    </w:p>
    <w:p w14:paraId="7F5787B4" w14:textId="77777777" w:rsidR="00432DC2" w:rsidRDefault="00432DC2" w:rsidP="00432DC2">
      <w:pPr>
        <w:pStyle w:val="PL"/>
      </w:pPr>
      <w:r>
        <w:rPr>
          <w:lang w:eastAsia="zh-CN"/>
        </w:rPr>
        <w:t xml:space="preserve">          - </w:t>
      </w:r>
      <w:r w:rsidRPr="00141EDC">
        <w:rPr>
          <w:lang w:eastAsia="zh-CN"/>
        </w:rPr>
        <w:t>SIGNALLING_STORM</w:t>
      </w:r>
    </w:p>
    <w:p w14:paraId="5BFDEE30" w14:textId="77777777" w:rsidR="007862A2" w:rsidRDefault="007862A2" w:rsidP="007862A2">
      <w:pPr>
        <w:pStyle w:val="PL"/>
      </w:pPr>
      <w:r>
        <w:t xml:space="preserve">      - type: string</w:t>
      </w:r>
    </w:p>
    <w:p w14:paraId="37A7938F" w14:textId="77777777" w:rsidR="007862A2" w:rsidRDefault="007862A2" w:rsidP="007862A2">
      <w:pPr>
        <w:pStyle w:val="PL"/>
      </w:pPr>
      <w:r>
        <w:t xml:space="preserve">        description: &gt;</w:t>
      </w:r>
    </w:p>
    <w:p w14:paraId="32D4B2E9" w14:textId="77777777" w:rsidR="007862A2" w:rsidRDefault="007862A2" w:rsidP="007862A2">
      <w:pPr>
        <w:pStyle w:val="PL"/>
      </w:pPr>
      <w:r>
        <w:t xml:space="preserve">          This string provides forward-compatibility with future</w:t>
      </w:r>
    </w:p>
    <w:p w14:paraId="24E065F2" w14:textId="77777777" w:rsidR="007862A2" w:rsidRDefault="007862A2" w:rsidP="007862A2">
      <w:pPr>
        <w:pStyle w:val="PL"/>
      </w:pPr>
      <w:r>
        <w:t xml:space="preserve">          extensions to the enumeration but is not used to encode</w:t>
      </w:r>
    </w:p>
    <w:p w14:paraId="4FB3AB76" w14:textId="77777777" w:rsidR="007862A2" w:rsidRDefault="007862A2" w:rsidP="007862A2">
      <w:pPr>
        <w:pStyle w:val="PL"/>
      </w:pPr>
      <w:r>
        <w:t xml:space="preserve">          content defined in the present version of this API.</w:t>
      </w:r>
    </w:p>
    <w:p w14:paraId="3AC5B0B3" w14:textId="77777777" w:rsidR="007862A2" w:rsidRDefault="007862A2" w:rsidP="007862A2">
      <w:pPr>
        <w:pStyle w:val="PL"/>
      </w:pPr>
      <w:bookmarkStart w:id="17246" w:name="_Hlk85735569"/>
      <w:r>
        <w:t xml:space="preserve">      description: |</w:t>
      </w:r>
    </w:p>
    <w:p w14:paraId="4D188CE8" w14:textId="77777777" w:rsidR="007862A2" w:rsidRDefault="007862A2" w:rsidP="007862A2">
      <w:pPr>
        <w:pStyle w:val="PL"/>
      </w:pPr>
      <w:r>
        <w:t xml:space="preserve">        </w:t>
      </w:r>
      <w:r>
        <w:rPr>
          <w:lang w:eastAsia="zh-CN"/>
        </w:rPr>
        <w:t xml:space="preserve">Represents the analytics type.  </w:t>
      </w:r>
    </w:p>
    <w:p w14:paraId="41E27DDE" w14:textId="77777777" w:rsidR="007862A2" w:rsidRDefault="007862A2" w:rsidP="007862A2">
      <w:pPr>
        <w:pStyle w:val="PL"/>
      </w:pPr>
      <w:r>
        <w:t xml:space="preserve">        Possible values are:</w:t>
      </w:r>
    </w:p>
    <w:p w14:paraId="29038278" w14:textId="77777777" w:rsidR="007862A2" w:rsidRDefault="007862A2" w:rsidP="007862A2">
      <w:pPr>
        <w:pStyle w:val="PL"/>
      </w:pPr>
      <w:r>
        <w:t xml:space="preserve">        - LOAD_LEVEL_INFORMATION: Represent the analytics of load level information of corresponding</w:t>
      </w:r>
    </w:p>
    <w:p w14:paraId="06B100C0" w14:textId="77777777" w:rsidR="007862A2" w:rsidRDefault="007862A2" w:rsidP="007862A2">
      <w:pPr>
        <w:pStyle w:val="PL"/>
      </w:pPr>
      <w:r>
        <w:t xml:space="preserve">          network slice.</w:t>
      </w:r>
    </w:p>
    <w:p w14:paraId="4F768058" w14:textId="77777777" w:rsidR="007862A2" w:rsidRDefault="007862A2" w:rsidP="007862A2">
      <w:pPr>
        <w:pStyle w:val="PL"/>
        <w:rPr>
          <w:lang w:val="en-US"/>
        </w:rPr>
      </w:pPr>
      <w:r>
        <w:rPr>
          <w:lang w:val="en-US"/>
        </w:rPr>
        <w:t xml:space="preserve">        - NETWORK_PERFORMANCE: Represent the analytics of network performance information.</w:t>
      </w:r>
    </w:p>
    <w:p w14:paraId="10268B76" w14:textId="77777777" w:rsidR="007862A2" w:rsidRDefault="007862A2" w:rsidP="007862A2">
      <w:pPr>
        <w:pStyle w:val="PL"/>
        <w:rPr>
          <w:lang w:val="en-US"/>
        </w:rPr>
      </w:pPr>
      <w:r>
        <w:rPr>
          <w:lang w:val="en-US"/>
        </w:rPr>
        <w:t xml:space="preserve">        - NF_LOAD: Indicates that the event subscribed is NF Load.</w:t>
      </w:r>
    </w:p>
    <w:p w14:paraId="31C0D907" w14:textId="77777777" w:rsidR="007862A2" w:rsidRDefault="007862A2" w:rsidP="007862A2">
      <w:pPr>
        <w:pStyle w:val="PL"/>
        <w:rPr>
          <w:lang w:val="en-US"/>
        </w:rPr>
      </w:pPr>
      <w:r>
        <w:rPr>
          <w:lang w:val="en-US"/>
        </w:rPr>
        <w:t xml:space="preserve">        - SERVICE_EXPERIENCE: Represent the analytics of service experience information of the</w:t>
      </w:r>
    </w:p>
    <w:p w14:paraId="4E52ACFF" w14:textId="77777777" w:rsidR="007862A2" w:rsidRDefault="007862A2" w:rsidP="007862A2">
      <w:pPr>
        <w:pStyle w:val="PL"/>
        <w:rPr>
          <w:lang w:val="en-US"/>
        </w:rPr>
      </w:pPr>
      <w:r>
        <w:rPr>
          <w:lang w:val="en-US"/>
        </w:rPr>
        <w:t xml:space="preserve">          specific applications.</w:t>
      </w:r>
    </w:p>
    <w:p w14:paraId="54C3891A" w14:textId="77777777" w:rsidR="007862A2" w:rsidRDefault="007862A2" w:rsidP="007862A2">
      <w:pPr>
        <w:pStyle w:val="PL"/>
        <w:rPr>
          <w:lang w:val="en-US"/>
        </w:rPr>
      </w:pPr>
      <w:r>
        <w:rPr>
          <w:lang w:val="en-US"/>
        </w:rPr>
        <w:t xml:space="preserve">        - UE_MOBILITY: Represent the analytics of UE mobility.</w:t>
      </w:r>
    </w:p>
    <w:p w14:paraId="6C6F9BCF" w14:textId="77777777" w:rsidR="007862A2" w:rsidRDefault="007862A2" w:rsidP="007862A2">
      <w:pPr>
        <w:pStyle w:val="PL"/>
        <w:rPr>
          <w:lang w:val="en-US"/>
        </w:rPr>
      </w:pPr>
      <w:r>
        <w:rPr>
          <w:lang w:val="en-US"/>
        </w:rPr>
        <w:t xml:space="preserve">        - UE_COMMUNICATION: Represent the analytics of UE communication.</w:t>
      </w:r>
    </w:p>
    <w:p w14:paraId="10B94D96" w14:textId="77777777" w:rsidR="007862A2" w:rsidRDefault="007862A2" w:rsidP="007862A2">
      <w:pPr>
        <w:pStyle w:val="PL"/>
        <w:rPr>
          <w:lang w:val="en-US"/>
        </w:rPr>
      </w:pPr>
      <w:r>
        <w:rPr>
          <w:lang w:val="en-US"/>
        </w:rPr>
        <w:t xml:space="preserve">        - QOS_SUSTAINABILITY: Represent the analytics of QoS sustainability information in the</w:t>
      </w:r>
    </w:p>
    <w:p w14:paraId="2FE230DC" w14:textId="77777777" w:rsidR="007862A2" w:rsidRDefault="007862A2" w:rsidP="007862A2">
      <w:pPr>
        <w:pStyle w:val="PL"/>
        <w:rPr>
          <w:lang w:val="en-US"/>
        </w:rPr>
      </w:pPr>
      <w:r>
        <w:rPr>
          <w:lang w:val="en-US"/>
        </w:rPr>
        <w:t xml:space="preserve">          certain area.</w:t>
      </w:r>
    </w:p>
    <w:p w14:paraId="137938B3" w14:textId="77777777" w:rsidR="007862A2" w:rsidRDefault="007862A2" w:rsidP="007862A2">
      <w:pPr>
        <w:pStyle w:val="PL"/>
        <w:rPr>
          <w:lang w:val="en-US"/>
        </w:rPr>
      </w:pPr>
      <w:r>
        <w:rPr>
          <w:lang w:val="en-US"/>
        </w:rPr>
        <w:t xml:space="preserve">        - ABNORMAL_BEHAVIOUR: Indicates that the event subscribed is abnormal behaviour information.</w:t>
      </w:r>
    </w:p>
    <w:p w14:paraId="2C80D729" w14:textId="77777777" w:rsidR="007862A2" w:rsidRDefault="007862A2" w:rsidP="007862A2">
      <w:pPr>
        <w:pStyle w:val="PL"/>
        <w:rPr>
          <w:lang w:val="en-US"/>
        </w:rPr>
      </w:pPr>
      <w:r>
        <w:rPr>
          <w:lang w:val="en-US"/>
        </w:rPr>
        <w:t xml:space="preserve">        - USER_DATA_CONGESTION: Represent the analytics of the user data congestion in the certain</w:t>
      </w:r>
    </w:p>
    <w:p w14:paraId="65CB1935" w14:textId="77777777" w:rsidR="007862A2" w:rsidRDefault="007862A2" w:rsidP="007862A2">
      <w:pPr>
        <w:pStyle w:val="PL"/>
        <w:rPr>
          <w:lang w:val="en-US"/>
        </w:rPr>
      </w:pPr>
      <w:r>
        <w:rPr>
          <w:lang w:val="en-US"/>
        </w:rPr>
        <w:lastRenderedPageBreak/>
        <w:t xml:space="preserve">          area.</w:t>
      </w:r>
    </w:p>
    <w:p w14:paraId="3B92F3E0" w14:textId="77777777" w:rsidR="007862A2" w:rsidRDefault="007862A2" w:rsidP="007862A2">
      <w:pPr>
        <w:pStyle w:val="PL"/>
        <w:rPr>
          <w:lang w:val="en-US"/>
        </w:rPr>
      </w:pPr>
      <w:r>
        <w:rPr>
          <w:lang w:val="en-US"/>
        </w:rPr>
        <w:t xml:space="preserve">        - NSI_LOAD_LEVEL: Represent the analytics of Network Slice and the optionally associated</w:t>
      </w:r>
    </w:p>
    <w:p w14:paraId="0FA2A840" w14:textId="77777777" w:rsidR="007862A2" w:rsidRDefault="007862A2" w:rsidP="007862A2">
      <w:pPr>
        <w:pStyle w:val="PL"/>
        <w:rPr>
          <w:lang w:val="en-US"/>
        </w:rPr>
      </w:pPr>
      <w:r>
        <w:rPr>
          <w:lang w:val="en-US"/>
        </w:rPr>
        <w:t xml:space="preserve">          Network Slice Instance.</w:t>
      </w:r>
    </w:p>
    <w:p w14:paraId="6E1D6ADA" w14:textId="77777777" w:rsidR="007862A2" w:rsidRDefault="007862A2" w:rsidP="007862A2">
      <w:pPr>
        <w:pStyle w:val="PL"/>
        <w:rPr>
          <w:lang w:val="en-US"/>
        </w:rPr>
      </w:pPr>
      <w:r>
        <w:rPr>
          <w:lang w:val="en-US"/>
        </w:rPr>
        <w:t xml:space="preserve">        - </w:t>
      </w:r>
      <w:r>
        <w:rPr>
          <w:lang w:eastAsia="zh-CN"/>
        </w:rPr>
        <w:t>SM_</w:t>
      </w:r>
      <w:r>
        <w:t>CONGESTION</w:t>
      </w:r>
      <w:r>
        <w:rPr>
          <w:lang w:val="en-US"/>
        </w:rPr>
        <w:t>: Represent the analytics of Session Management congestion control experience</w:t>
      </w:r>
    </w:p>
    <w:p w14:paraId="79991199" w14:textId="77777777" w:rsidR="007862A2" w:rsidRDefault="007862A2" w:rsidP="007862A2">
      <w:pPr>
        <w:pStyle w:val="PL"/>
        <w:rPr>
          <w:lang w:val="en-US"/>
        </w:rPr>
      </w:pPr>
      <w:r>
        <w:rPr>
          <w:lang w:val="en-US"/>
        </w:rPr>
        <w:t xml:space="preserve">          information </w:t>
      </w:r>
      <w:r>
        <w:t>for specific DNN and/or S-NSSAI</w:t>
      </w:r>
      <w:r>
        <w:rPr>
          <w:lang w:val="en-US"/>
        </w:rPr>
        <w:t>.</w:t>
      </w:r>
    </w:p>
    <w:p w14:paraId="004503B6" w14:textId="77777777" w:rsidR="007862A2" w:rsidRDefault="007862A2" w:rsidP="007862A2">
      <w:pPr>
        <w:pStyle w:val="PL"/>
      </w:pPr>
      <w:r>
        <w:t xml:space="preserve">        - DISPERSION: Represents the analytics of dispersion.</w:t>
      </w:r>
    </w:p>
    <w:p w14:paraId="72AC0A99" w14:textId="77777777" w:rsidR="007862A2" w:rsidRDefault="007862A2" w:rsidP="007862A2">
      <w:pPr>
        <w:pStyle w:val="PL"/>
      </w:pPr>
      <w:r>
        <w:t xml:space="preserve">        - RED_TRANS_EXP: Represents the analytics of Redundant Transmission Experience.</w:t>
      </w:r>
    </w:p>
    <w:p w14:paraId="4D1F733D" w14:textId="77777777" w:rsidR="007862A2" w:rsidRDefault="007862A2" w:rsidP="007862A2">
      <w:pPr>
        <w:pStyle w:val="PL"/>
      </w:pPr>
      <w:r>
        <w:t xml:space="preserve">        - WLAN_PERFORMANCE: Represents the analytics of WLAN performance.</w:t>
      </w:r>
    </w:p>
    <w:p w14:paraId="4A94C35A" w14:textId="77777777" w:rsidR="007862A2" w:rsidRDefault="007862A2" w:rsidP="007862A2">
      <w:pPr>
        <w:pStyle w:val="PL"/>
      </w:pPr>
      <w:r>
        <w:t xml:space="preserve">        - DN_PERFORMANCE: Represents the analytics of DN performance.</w:t>
      </w:r>
    </w:p>
    <w:p w14:paraId="48172584" w14:textId="77777777" w:rsidR="007862A2" w:rsidRDefault="007862A2" w:rsidP="007862A2">
      <w:pPr>
        <w:pStyle w:val="PL"/>
        <w:rPr>
          <w:lang w:eastAsia="zh-CN"/>
        </w:rPr>
      </w:pPr>
      <w:r>
        <w:t xml:space="preserve">        - PDU_SESSION_TRAFFIC: Represents the analytics of</w:t>
      </w:r>
      <w:r>
        <w:rPr>
          <w:lang w:val="en-US"/>
        </w:rPr>
        <w:t xml:space="preserve"> PDU Session traffic.</w:t>
      </w:r>
    </w:p>
    <w:p w14:paraId="3B072048" w14:textId="77777777" w:rsidR="007862A2" w:rsidRDefault="007862A2" w:rsidP="007862A2">
      <w:pPr>
        <w:pStyle w:val="PL"/>
      </w:pPr>
      <w:r>
        <w:t xml:space="preserve">        - </w:t>
      </w:r>
      <w:r>
        <w:rPr>
          <w:lang w:eastAsia="zh-CN"/>
        </w:rPr>
        <w:t>E2E_DATA_VOL_TRANS_TIME</w:t>
      </w:r>
      <w:r>
        <w:t xml:space="preserve">: Represents the analytics of </w:t>
      </w:r>
      <w:r>
        <w:rPr>
          <w:lang w:eastAsia="ko-KR"/>
        </w:rPr>
        <w:t>E2E data volume transfer time</w:t>
      </w:r>
      <w:r>
        <w:t>.</w:t>
      </w:r>
    </w:p>
    <w:p w14:paraId="1B6E3024" w14:textId="77777777" w:rsidR="007862A2" w:rsidRDefault="007862A2" w:rsidP="007862A2">
      <w:pPr>
        <w:pStyle w:val="PL"/>
        <w:rPr>
          <w:lang w:val="en-US"/>
        </w:rPr>
      </w:pPr>
      <w:r>
        <w:t xml:space="preserve">        - </w:t>
      </w:r>
      <w:r>
        <w:rPr>
          <w:lang w:eastAsia="ja-JP"/>
        </w:rPr>
        <w:t>MOVEMENT_BEHAVIOUR</w:t>
      </w:r>
      <w:r>
        <w:t xml:space="preserve">: Represents the analytics of </w:t>
      </w:r>
      <w:r>
        <w:rPr>
          <w:lang w:val="en-US"/>
        </w:rPr>
        <w:t xml:space="preserve">the Movement Behaviour </w:t>
      </w:r>
      <w:r>
        <w:t>information</w:t>
      </w:r>
      <w:r>
        <w:rPr>
          <w:lang w:val="en-US"/>
        </w:rPr>
        <w:t>.</w:t>
      </w:r>
    </w:p>
    <w:p w14:paraId="6D39A19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Pr>
          <w:rFonts w:ascii="Courier New" w:hAnsi="Courier New"/>
          <w:sz w:val="16"/>
          <w:lang w:eastAsia="zh-CN"/>
        </w:rPr>
        <w:t>LOC_ACCURACY</w:t>
      </w:r>
      <w:r>
        <w:rPr>
          <w:rFonts w:ascii="Courier New" w:hAnsi="Courier New"/>
          <w:sz w:val="16"/>
        </w:rPr>
        <w:t xml:space="preserve">: Represents the analytics of </w:t>
      </w:r>
      <w:r>
        <w:rPr>
          <w:rFonts w:ascii="Courier New" w:hAnsi="Courier New"/>
          <w:sz w:val="16"/>
          <w:lang w:eastAsia="ko-KR"/>
        </w:rPr>
        <w:t>location accuracy</w:t>
      </w:r>
      <w:r>
        <w:rPr>
          <w:rFonts w:ascii="Courier New" w:hAnsi="Courier New"/>
          <w:sz w:val="16"/>
        </w:rPr>
        <w:t>.</w:t>
      </w:r>
    </w:p>
    <w:p w14:paraId="56F89610" w14:textId="77777777" w:rsidR="007862A2" w:rsidRDefault="007862A2" w:rsidP="007862A2">
      <w:pPr>
        <w:pStyle w:val="PL"/>
      </w:pPr>
      <w:r>
        <w:rPr>
          <w:lang w:eastAsia="zh-CN"/>
        </w:rPr>
        <w:t xml:space="preserve">        - RELATIVE_PROXIMITY: Represents the analytics of Relative Proximity information.</w:t>
      </w:r>
    </w:p>
    <w:p w14:paraId="19A1C1DA" w14:textId="77777777" w:rsidR="007862A2" w:rsidRDefault="00432DC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 </w:t>
      </w:r>
      <w:r w:rsidRPr="00141EDC">
        <w:rPr>
          <w:rFonts w:ascii="Courier New" w:hAnsi="Courier New"/>
          <w:sz w:val="16"/>
          <w:lang w:eastAsia="zh-CN"/>
        </w:rPr>
        <w:t>SIGNALLING_STORM</w:t>
      </w:r>
      <w:r>
        <w:rPr>
          <w:rFonts w:ascii="Courier New" w:hAnsi="Courier New" w:hint="eastAsia"/>
          <w:sz w:val="16"/>
          <w:lang w:eastAsia="zh-CN"/>
        </w:rPr>
        <w:t>:</w:t>
      </w:r>
      <w:r>
        <w:rPr>
          <w:rFonts w:ascii="Courier New" w:hAnsi="Courier New"/>
          <w:sz w:val="16"/>
          <w:lang w:eastAsia="zh-CN"/>
        </w:rPr>
        <w:t xml:space="preserve"> </w:t>
      </w:r>
      <w:r w:rsidRPr="00F413D6">
        <w:rPr>
          <w:rFonts w:ascii="Courier New" w:hAnsi="Courier New"/>
          <w:sz w:val="16"/>
          <w:lang w:eastAsia="zh-CN"/>
        </w:rPr>
        <w:t>Represents the analytics of Signalling Storm information</w:t>
      </w:r>
      <w:r w:rsidRPr="00141EDC">
        <w:rPr>
          <w:rFonts w:ascii="Courier New" w:hAnsi="Courier New"/>
          <w:sz w:val="16"/>
          <w:lang w:eastAsia="zh-CN"/>
        </w:rPr>
        <w:t>.</w:t>
      </w:r>
    </w:p>
    <w:p w14:paraId="6D967A18" w14:textId="77777777" w:rsidR="00432DC2" w:rsidRDefault="00432DC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0D6E9DF" w14:textId="77777777" w:rsidR="007862A2" w:rsidRDefault="007862A2" w:rsidP="007862A2">
      <w:pPr>
        <w:pStyle w:val="PL"/>
      </w:pPr>
    </w:p>
    <w:bookmarkEnd w:id="17246"/>
    <w:p w14:paraId="0FD6F34C" w14:textId="77777777" w:rsidR="007862A2" w:rsidRDefault="007862A2" w:rsidP="007862A2">
      <w:pPr>
        <w:pStyle w:val="PL"/>
      </w:pPr>
      <w:r>
        <w:t xml:space="preserve">    ContextType:</w:t>
      </w:r>
    </w:p>
    <w:p w14:paraId="44405192" w14:textId="77777777" w:rsidR="007862A2" w:rsidRDefault="007862A2" w:rsidP="007862A2">
      <w:pPr>
        <w:pStyle w:val="PL"/>
      </w:pPr>
      <w:r>
        <w:t xml:space="preserve">      anyOf:</w:t>
      </w:r>
    </w:p>
    <w:p w14:paraId="72863942" w14:textId="77777777" w:rsidR="007862A2" w:rsidRDefault="007862A2" w:rsidP="007862A2">
      <w:pPr>
        <w:pStyle w:val="PL"/>
      </w:pPr>
      <w:r>
        <w:t xml:space="preserve">      - type: string</w:t>
      </w:r>
    </w:p>
    <w:p w14:paraId="224F9669" w14:textId="77777777" w:rsidR="007862A2" w:rsidRDefault="007862A2" w:rsidP="007862A2">
      <w:pPr>
        <w:pStyle w:val="PL"/>
      </w:pPr>
      <w:r>
        <w:t xml:space="preserve">        enum:</w:t>
      </w:r>
    </w:p>
    <w:p w14:paraId="6249F051" w14:textId="77777777" w:rsidR="007862A2" w:rsidRDefault="007862A2" w:rsidP="007862A2">
      <w:pPr>
        <w:pStyle w:val="PL"/>
      </w:pPr>
      <w:r>
        <w:t xml:space="preserve">          - PENDING_ANALYTICS</w:t>
      </w:r>
    </w:p>
    <w:p w14:paraId="499539C7" w14:textId="77777777" w:rsidR="007862A2" w:rsidRDefault="007862A2" w:rsidP="007862A2">
      <w:pPr>
        <w:pStyle w:val="PL"/>
      </w:pPr>
      <w:r>
        <w:t xml:space="preserve">          - HISTORICAL_ANALYTICS</w:t>
      </w:r>
    </w:p>
    <w:p w14:paraId="7CD665C6" w14:textId="77777777" w:rsidR="007862A2" w:rsidRDefault="007862A2" w:rsidP="007862A2">
      <w:pPr>
        <w:pStyle w:val="PL"/>
      </w:pPr>
      <w:r>
        <w:t xml:space="preserve">          - AGGR_SUBS</w:t>
      </w:r>
    </w:p>
    <w:p w14:paraId="480B5F01" w14:textId="77777777" w:rsidR="007862A2" w:rsidRDefault="007862A2" w:rsidP="007862A2">
      <w:pPr>
        <w:pStyle w:val="PL"/>
      </w:pPr>
      <w:r>
        <w:t xml:space="preserve">          - DATA</w:t>
      </w:r>
    </w:p>
    <w:p w14:paraId="77488FCA" w14:textId="77777777" w:rsidR="007862A2" w:rsidRDefault="007862A2" w:rsidP="007862A2">
      <w:pPr>
        <w:pStyle w:val="PL"/>
      </w:pPr>
      <w:r>
        <w:t xml:space="preserve">          - AGGR_INFO</w:t>
      </w:r>
    </w:p>
    <w:p w14:paraId="35C11DD6" w14:textId="77777777" w:rsidR="007862A2" w:rsidRDefault="007862A2" w:rsidP="007862A2">
      <w:pPr>
        <w:pStyle w:val="PL"/>
      </w:pPr>
      <w:r>
        <w:t xml:space="preserve">          - ML_MODELS</w:t>
      </w:r>
    </w:p>
    <w:p w14:paraId="4CA2727C" w14:textId="77777777" w:rsidR="007862A2" w:rsidRDefault="007862A2" w:rsidP="007862A2">
      <w:pPr>
        <w:pStyle w:val="PL"/>
        <w:rPr>
          <w:lang w:eastAsia="zh-CN"/>
        </w:rPr>
      </w:pPr>
      <w:r>
        <w:t xml:space="preserve">          - ANALYTICS_ACCU_INFO</w:t>
      </w:r>
    </w:p>
    <w:p w14:paraId="0F0ECD6D" w14:textId="77777777" w:rsidR="007862A2" w:rsidRDefault="007862A2" w:rsidP="007862A2">
      <w:pPr>
        <w:pStyle w:val="PL"/>
        <w:rPr>
          <w:lang w:eastAsia="zh-CN"/>
        </w:rPr>
      </w:pPr>
      <w:r>
        <w:t xml:space="preserve">          - ML_MODEL_ACCU_INFO</w:t>
      </w:r>
    </w:p>
    <w:p w14:paraId="45EB81EC" w14:textId="77777777" w:rsidR="007862A2" w:rsidRDefault="007862A2" w:rsidP="007862A2">
      <w:pPr>
        <w:pStyle w:val="PL"/>
      </w:pPr>
      <w:r>
        <w:t xml:space="preserve">      - type: string</w:t>
      </w:r>
    </w:p>
    <w:p w14:paraId="76E424D4" w14:textId="77777777" w:rsidR="007862A2" w:rsidRDefault="007862A2" w:rsidP="007862A2">
      <w:pPr>
        <w:pStyle w:val="PL"/>
      </w:pPr>
      <w:r>
        <w:t xml:space="preserve">        description: &gt;</w:t>
      </w:r>
    </w:p>
    <w:p w14:paraId="2965E103" w14:textId="77777777" w:rsidR="007862A2" w:rsidRDefault="007862A2" w:rsidP="007862A2">
      <w:pPr>
        <w:pStyle w:val="PL"/>
      </w:pPr>
      <w:r>
        <w:t xml:space="preserve">          This string provides forward-compatibility with future</w:t>
      </w:r>
    </w:p>
    <w:p w14:paraId="4475FDA4" w14:textId="77777777" w:rsidR="007862A2" w:rsidRDefault="007862A2" w:rsidP="007862A2">
      <w:pPr>
        <w:pStyle w:val="PL"/>
      </w:pPr>
      <w:r>
        <w:t xml:space="preserve">          extensions to the enumeration but is not used to encode</w:t>
      </w:r>
    </w:p>
    <w:p w14:paraId="7D905657" w14:textId="77777777" w:rsidR="007862A2" w:rsidRDefault="007862A2" w:rsidP="007862A2">
      <w:pPr>
        <w:pStyle w:val="PL"/>
      </w:pPr>
      <w:r>
        <w:t xml:space="preserve">          content defined in the present version of this API.</w:t>
      </w:r>
    </w:p>
    <w:p w14:paraId="254D38AD" w14:textId="77777777" w:rsidR="007862A2" w:rsidRDefault="007862A2" w:rsidP="007862A2">
      <w:pPr>
        <w:pStyle w:val="PL"/>
      </w:pPr>
      <w:r>
        <w:t xml:space="preserve">      description: |</w:t>
      </w:r>
    </w:p>
    <w:p w14:paraId="1E83FC12" w14:textId="77777777" w:rsidR="007862A2" w:rsidRDefault="007862A2" w:rsidP="007862A2">
      <w:pPr>
        <w:pStyle w:val="PL"/>
      </w:pPr>
      <w:r>
        <w:t xml:space="preserve">        Represents the </w:t>
      </w:r>
      <w:r>
        <w:rPr>
          <w:lang w:eastAsia="ko-KR"/>
        </w:rPr>
        <w:t xml:space="preserve">analytics context information </w:t>
      </w:r>
      <w:r>
        <w:t>type</w:t>
      </w:r>
      <w:r>
        <w:rPr>
          <w:lang w:eastAsia="ko-KR"/>
        </w:rPr>
        <w:t xml:space="preserve">.  </w:t>
      </w:r>
    </w:p>
    <w:p w14:paraId="486A135C" w14:textId="77777777" w:rsidR="007862A2" w:rsidRDefault="007862A2" w:rsidP="007862A2">
      <w:pPr>
        <w:pStyle w:val="PL"/>
      </w:pPr>
      <w:r>
        <w:t xml:space="preserve">        Possible values are:</w:t>
      </w:r>
    </w:p>
    <w:p w14:paraId="28757B94" w14:textId="77777777" w:rsidR="007862A2" w:rsidRDefault="007862A2" w:rsidP="007862A2">
      <w:pPr>
        <w:pStyle w:val="PL"/>
      </w:pPr>
      <w:r>
        <w:t xml:space="preserve">        - PENDING_ANALYTICS: Represents context information that relates to pending output</w:t>
      </w:r>
    </w:p>
    <w:p w14:paraId="3E12975C" w14:textId="77777777" w:rsidR="007862A2" w:rsidRDefault="007862A2" w:rsidP="007862A2">
      <w:pPr>
        <w:pStyle w:val="PL"/>
      </w:pPr>
      <w:r>
        <w:t xml:space="preserve">          analytics.</w:t>
      </w:r>
    </w:p>
    <w:p w14:paraId="6A457FE8" w14:textId="77777777" w:rsidR="007862A2" w:rsidRDefault="007862A2" w:rsidP="007862A2">
      <w:pPr>
        <w:pStyle w:val="PL"/>
      </w:pPr>
      <w:r>
        <w:rPr>
          <w:lang w:val="en-US"/>
        </w:rPr>
        <w:t xml:space="preserve">        - </w:t>
      </w:r>
      <w:r>
        <w:t>HISTORICAL_ANALYTICS</w:t>
      </w:r>
      <w:r>
        <w:rPr>
          <w:lang w:val="en-US"/>
        </w:rPr>
        <w:t xml:space="preserve">: </w:t>
      </w:r>
      <w:r>
        <w:t>Represents context information that relates to historical output</w:t>
      </w:r>
    </w:p>
    <w:p w14:paraId="0748DF2C" w14:textId="77777777" w:rsidR="007862A2" w:rsidRDefault="007862A2" w:rsidP="007862A2">
      <w:pPr>
        <w:pStyle w:val="PL"/>
        <w:rPr>
          <w:lang w:val="en-US"/>
        </w:rPr>
      </w:pPr>
      <w:r>
        <w:t xml:space="preserve">          analytics.</w:t>
      </w:r>
    </w:p>
    <w:p w14:paraId="11A64014" w14:textId="77777777" w:rsidR="007862A2" w:rsidRDefault="007862A2" w:rsidP="007862A2">
      <w:pPr>
        <w:pStyle w:val="PL"/>
      </w:pPr>
      <w:r>
        <w:rPr>
          <w:lang w:val="en-US"/>
        </w:rPr>
        <w:t xml:space="preserve">        - </w:t>
      </w:r>
      <w:r>
        <w:t>AGGR_SUBS</w:t>
      </w:r>
      <w:r>
        <w:rPr>
          <w:lang w:val="en-US"/>
        </w:rPr>
        <w:t xml:space="preserve">: </w:t>
      </w:r>
      <w:r>
        <w:t>Represents context information about the analytics subscriptions that an NWDAF</w:t>
      </w:r>
    </w:p>
    <w:p w14:paraId="31F4EF5F" w14:textId="77777777" w:rsidR="007862A2" w:rsidRDefault="007862A2" w:rsidP="007862A2">
      <w:pPr>
        <w:pStyle w:val="PL"/>
        <w:rPr>
          <w:lang w:val="en-US"/>
        </w:rPr>
      </w:pPr>
      <w:r>
        <w:t xml:space="preserve">          has with other NWDAFs that collectively serve an analytics subscription.</w:t>
      </w:r>
    </w:p>
    <w:p w14:paraId="1C8FDA84" w14:textId="77777777" w:rsidR="007862A2" w:rsidRDefault="007862A2" w:rsidP="007862A2">
      <w:pPr>
        <w:pStyle w:val="PL"/>
        <w:rPr>
          <w:lang w:val="en-US"/>
        </w:rPr>
      </w:pPr>
      <w:r>
        <w:rPr>
          <w:lang w:val="en-US"/>
        </w:rPr>
        <w:t xml:space="preserve">        - </w:t>
      </w:r>
      <w:r>
        <w:t>DATA</w:t>
      </w:r>
      <w:r>
        <w:rPr>
          <w:lang w:val="en-US"/>
        </w:rPr>
        <w:t xml:space="preserve">: </w:t>
      </w:r>
      <w:r>
        <w:t>Represents context information about historical data that is available.</w:t>
      </w:r>
    </w:p>
    <w:p w14:paraId="55BECCF9" w14:textId="77777777" w:rsidR="007862A2" w:rsidRDefault="007862A2" w:rsidP="007862A2">
      <w:pPr>
        <w:pStyle w:val="PL"/>
      </w:pPr>
      <w:r>
        <w:rPr>
          <w:lang w:val="en-US"/>
        </w:rPr>
        <w:t xml:space="preserve">        - </w:t>
      </w:r>
      <w:r>
        <w:t>AGGR_INFO</w:t>
      </w:r>
      <w:r>
        <w:rPr>
          <w:lang w:val="en-US"/>
        </w:rPr>
        <w:t xml:space="preserve">: </w:t>
      </w:r>
      <w:r>
        <w:t>Represents context information that is related to aggregation of analytics</w:t>
      </w:r>
    </w:p>
    <w:p w14:paraId="13CA5031" w14:textId="77777777" w:rsidR="007862A2" w:rsidRDefault="007862A2" w:rsidP="007862A2">
      <w:pPr>
        <w:pStyle w:val="PL"/>
        <w:rPr>
          <w:lang w:val="en-US"/>
        </w:rPr>
      </w:pPr>
      <w:r>
        <w:t xml:space="preserve">          from multiple NWDAF subscriptions.</w:t>
      </w:r>
    </w:p>
    <w:p w14:paraId="53731236" w14:textId="77777777" w:rsidR="007862A2" w:rsidRDefault="007862A2" w:rsidP="007862A2">
      <w:pPr>
        <w:pStyle w:val="PL"/>
      </w:pPr>
      <w:r>
        <w:rPr>
          <w:lang w:val="en-US"/>
        </w:rPr>
        <w:t xml:space="preserve">        - </w:t>
      </w:r>
      <w:r>
        <w:t>ML_MODELS</w:t>
      </w:r>
      <w:r>
        <w:rPr>
          <w:lang w:val="en-US"/>
        </w:rPr>
        <w:t xml:space="preserve">: </w:t>
      </w:r>
      <w:r>
        <w:t>Represents context information about used ML models.</w:t>
      </w:r>
    </w:p>
    <w:p w14:paraId="008E741E" w14:textId="77777777" w:rsidR="007862A2" w:rsidRDefault="007862A2" w:rsidP="007862A2">
      <w:pPr>
        <w:pStyle w:val="PL"/>
      </w:pPr>
      <w:r>
        <w:rPr>
          <w:lang w:val="en-US"/>
        </w:rPr>
        <w:t xml:space="preserve">        - </w:t>
      </w:r>
      <w:r>
        <w:t>ANALYTICS_ACCU_INFO</w:t>
      </w:r>
      <w:r>
        <w:rPr>
          <w:lang w:val="en-US"/>
        </w:rPr>
        <w:t xml:space="preserve">: </w:t>
      </w:r>
      <w:r>
        <w:rPr>
          <w:lang w:eastAsia="zh-CN"/>
        </w:rPr>
        <w:t xml:space="preserve">Represents the </w:t>
      </w:r>
      <w:r>
        <w:rPr>
          <w:lang w:eastAsia="ko-KR"/>
        </w:rPr>
        <w:t>Analytics Accuracy related information</w:t>
      </w:r>
      <w:r>
        <w:t>.</w:t>
      </w:r>
    </w:p>
    <w:p w14:paraId="740955D9" w14:textId="77777777" w:rsidR="007862A2" w:rsidRDefault="007862A2" w:rsidP="007862A2">
      <w:pPr>
        <w:pStyle w:val="PL"/>
      </w:pPr>
      <w:r>
        <w:rPr>
          <w:lang w:val="en-US"/>
        </w:rPr>
        <w:t xml:space="preserve">        - </w:t>
      </w:r>
      <w:r>
        <w:t>ML_MODEL_ACCU_INFO</w:t>
      </w:r>
      <w:r>
        <w:rPr>
          <w:lang w:val="en-US"/>
        </w:rPr>
        <w:t xml:space="preserve">: </w:t>
      </w:r>
      <w:r>
        <w:rPr>
          <w:lang w:eastAsia="zh-CN"/>
        </w:rPr>
        <w:t xml:space="preserve">Represents the </w:t>
      </w:r>
      <w:r>
        <w:t>ML Model accuracy related information.</w:t>
      </w:r>
    </w:p>
    <w:p w14:paraId="252F5375" w14:textId="77777777" w:rsidR="007862A2" w:rsidRDefault="007862A2" w:rsidP="007862A2">
      <w:pPr>
        <w:pStyle w:val="PL"/>
      </w:pPr>
    </w:p>
    <w:p w14:paraId="23A164A1" w14:textId="77777777" w:rsidR="007862A2" w:rsidRDefault="007862A2" w:rsidP="007862A2">
      <w:pPr>
        <w:pStyle w:val="PL"/>
      </w:pPr>
      <w:r>
        <w:t xml:space="preserve">    AdrfDataType:</w:t>
      </w:r>
    </w:p>
    <w:p w14:paraId="019E4604" w14:textId="77777777" w:rsidR="007862A2" w:rsidRDefault="007862A2" w:rsidP="007862A2">
      <w:pPr>
        <w:pStyle w:val="PL"/>
      </w:pPr>
      <w:r>
        <w:t xml:space="preserve">      anyOf:</w:t>
      </w:r>
    </w:p>
    <w:p w14:paraId="2FF0AC8B" w14:textId="77777777" w:rsidR="007862A2" w:rsidRDefault="007862A2" w:rsidP="007862A2">
      <w:pPr>
        <w:pStyle w:val="PL"/>
      </w:pPr>
      <w:r>
        <w:t xml:space="preserve">      - type: string</w:t>
      </w:r>
    </w:p>
    <w:p w14:paraId="3F1826F7" w14:textId="77777777" w:rsidR="007862A2" w:rsidRDefault="007862A2" w:rsidP="007862A2">
      <w:pPr>
        <w:pStyle w:val="PL"/>
      </w:pPr>
      <w:r>
        <w:t xml:space="preserve">        enum:</w:t>
      </w:r>
    </w:p>
    <w:p w14:paraId="1C9BA83D" w14:textId="77777777" w:rsidR="007862A2" w:rsidRDefault="007862A2" w:rsidP="007862A2">
      <w:pPr>
        <w:pStyle w:val="PL"/>
      </w:pPr>
      <w:r>
        <w:t xml:space="preserve">          - HISTORICAL_ANALYTICS</w:t>
      </w:r>
    </w:p>
    <w:p w14:paraId="1A91E782" w14:textId="77777777" w:rsidR="007862A2" w:rsidRDefault="007862A2" w:rsidP="007862A2">
      <w:pPr>
        <w:pStyle w:val="PL"/>
      </w:pPr>
      <w:r>
        <w:t xml:space="preserve">          - HISTORICAL_DATA</w:t>
      </w:r>
    </w:p>
    <w:p w14:paraId="6A6B144E" w14:textId="77777777" w:rsidR="007862A2" w:rsidRDefault="007862A2" w:rsidP="007862A2">
      <w:pPr>
        <w:pStyle w:val="PL"/>
      </w:pPr>
      <w:r>
        <w:t xml:space="preserve">      - type: string</w:t>
      </w:r>
    </w:p>
    <w:p w14:paraId="28F6E960" w14:textId="77777777" w:rsidR="007862A2" w:rsidRDefault="007862A2" w:rsidP="007862A2">
      <w:pPr>
        <w:pStyle w:val="PL"/>
      </w:pPr>
      <w:r>
        <w:t xml:space="preserve">        description: &gt;</w:t>
      </w:r>
    </w:p>
    <w:p w14:paraId="2363D714" w14:textId="77777777" w:rsidR="007862A2" w:rsidRDefault="007862A2" w:rsidP="007862A2">
      <w:pPr>
        <w:pStyle w:val="PL"/>
      </w:pPr>
      <w:r>
        <w:t xml:space="preserve">          This string provides forward-compatibility with future</w:t>
      </w:r>
    </w:p>
    <w:p w14:paraId="483ECD84" w14:textId="77777777" w:rsidR="007862A2" w:rsidRDefault="007862A2" w:rsidP="007862A2">
      <w:pPr>
        <w:pStyle w:val="PL"/>
      </w:pPr>
      <w:r>
        <w:t xml:space="preserve">          extensions to the enumeration but is not used to encode</w:t>
      </w:r>
    </w:p>
    <w:p w14:paraId="2C5F2416" w14:textId="77777777" w:rsidR="007862A2" w:rsidRDefault="007862A2" w:rsidP="007862A2">
      <w:pPr>
        <w:pStyle w:val="PL"/>
      </w:pPr>
      <w:r>
        <w:t xml:space="preserve">          content defined in the present version of this API.</w:t>
      </w:r>
    </w:p>
    <w:p w14:paraId="58F81F61" w14:textId="77777777" w:rsidR="007862A2" w:rsidRDefault="007862A2" w:rsidP="007862A2">
      <w:pPr>
        <w:pStyle w:val="PL"/>
      </w:pPr>
      <w:r>
        <w:t xml:space="preserve">      description: |</w:t>
      </w:r>
    </w:p>
    <w:p w14:paraId="41D8BFB4" w14:textId="77777777" w:rsidR="007862A2" w:rsidRDefault="007862A2" w:rsidP="007862A2">
      <w:pPr>
        <w:pStyle w:val="PL"/>
      </w:pPr>
      <w:r>
        <w:t xml:space="preserve">        </w:t>
      </w:r>
      <w:r>
        <w:rPr>
          <w:lang w:eastAsia="zh-CN"/>
        </w:rPr>
        <w:t xml:space="preserve">Represents a type of data that is stored in the ADRF.  </w:t>
      </w:r>
    </w:p>
    <w:p w14:paraId="333F32B6" w14:textId="77777777" w:rsidR="007862A2" w:rsidRDefault="007862A2" w:rsidP="007862A2">
      <w:pPr>
        <w:pStyle w:val="PL"/>
      </w:pPr>
      <w:r>
        <w:t xml:space="preserve">        Possible values are:</w:t>
      </w:r>
    </w:p>
    <w:p w14:paraId="1A892D30" w14:textId="77777777" w:rsidR="007862A2" w:rsidRDefault="007862A2" w:rsidP="007862A2">
      <w:pPr>
        <w:pStyle w:val="PL"/>
        <w:rPr>
          <w:lang w:val="en-US"/>
        </w:rPr>
      </w:pPr>
      <w:r>
        <w:rPr>
          <w:lang w:val="en-US"/>
        </w:rPr>
        <w:t xml:space="preserve">        - </w:t>
      </w:r>
      <w:r>
        <w:t>HISTORICAL_ANALYTICS</w:t>
      </w:r>
      <w:r>
        <w:rPr>
          <w:lang w:val="en-US"/>
        </w:rPr>
        <w:t xml:space="preserve">: Indicates that historical analytics are stored in the </w:t>
      </w:r>
      <w:r>
        <w:t>ADRF</w:t>
      </w:r>
      <w:r>
        <w:rPr>
          <w:lang w:val="en-US"/>
        </w:rPr>
        <w:t>.</w:t>
      </w:r>
    </w:p>
    <w:p w14:paraId="1B973F57" w14:textId="77777777" w:rsidR="007862A2" w:rsidRDefault="007862A2" w:rsidP="007862A2">
      <w:pPr>
        <w:pStyle w:val="PL"/>
      </w:pPr>
      <w:r>
        <w:rPr>
          <w:lang w:val="en-US"/>
        </w:rPr>
        <w:t xml:space="preserve">        - </w:t>
      </w:r>
      <w:r>
        <w:t>HISTORICAL_DATA</w:t>
      </w:r>
      <w:r>
        <w:rPr>
          <w:lang w:val="en-US"/>
        </w:rPr>
        <w:t xml:space="preserve">: Indicates that historical data are stored in the </w:t>
      </w:r>
      <w:r>
        <w:t>ADRF</w:t>
      </w:r>
      <w:r>
        <w:rPr>
          <w:lang w:val="en-US"/>
        </w:rPr>
        <w:t>.</w:t>
      </w:r>
    </w:p>
    <w:p w14:paraId="1465A93A" w14:textId="77777777" w:rsidR="00A10B25" w:rsidRDefault="00A10B25">
      <w:pPr>
        <w:pStyle w:val="PL"/>
      </w:pPr>
    </w:p>
    <w:p w14:paraId="1B19C787" w14:textId="77777777" w:rsidR="00A10B25" w:rsidRDefault="00A10B25">
      <w:pPr>
        <w:pStyle w:val="1"/>
        <w:rPr>
          <w:lang w:val="en-US" w:eastAsia="zh-CN"/>
        </w:rPr>
      </w:pPr>
      <w:bookmarkStart w:id="17247" w:name="_Toc138754553"/>
      <w:bookmarkStart w:id="17248" w:name="_Toc145706051"/>
      <w:bookmarkStart w:id="17249" w:name="_Toc148523024"/>
      <w:bookmarkStart w:id="17250" w:name="_Toc136562719"/>
      <w:bookmarkStart w:id="17251" w:name="_Toc164921289"/>
      <w:bookmarkStart w:id="17252" w:name="_Toc170120831"/>
      <w:bookmarkStart w:id="17253" w:name="_Toc175859076"/>
      <w:bookmarkStart w:id="17254" w:name="_Toc175860151"/>
      <w:bookmarkStart w:id="17255" w:name="_Toc180606441"/>
      <w:bookmarkStart w:id="17256" w:name="_Toc185517702"/>
      <w:bookmarkStart w:id="17257" w:name="_Toc191576754"/>
      <w:bookmarkStart w:id="17258" w:name="_Toc191577494"/>
      <w:bookmarkStart w:id="17259" w:name="_Toc192880564"/>
      <w:bookmarkStart w:id="17260" w:name="_Toc195815453"/>
      <w:bookmarkStart w:id="17261" w:name="_Toc199453514"/>
      <w:r>
        <w:t>A.4</w:t>
      </w:r>
      <w:r>
        <w:tab/>
      </w:r>
      <w:r>
        <w:rPr>
          <w:lang w:eastAsia="ja-JP"/>
        </w:rPr>
        <w:t>Nnwdaf_DataManagement</w:t>
      </w:r>
      <w:r>
        <w:rPr>
          <w:lang w:val="en-US" w:eastAsia="zh-CN"/>
        </w:rPr>
        <w:t xml:space="preserve"> API</w:t>
      </w:r>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p>
    <w:p w14:paraId="47083506" w14:textId="77777777" w:rsidR="007862A2" w:rsidRDefault="007862A2" w:rsidP="007862A2">
      <w:pPr>
        <w:pStyle w:val="PL"/>
      </w:pPr>
      <w:r>
        <w:t>openapi: 3.0.0</w:t>
      </w:r>
    </w:p>
    <w:p w14:paraId="20E6FCC0" w14:textId="77777777" w:rsidR="007862A2" w:rsidRDefault="007862A2" w:rsidP="007862A2">
      <w:pPr>
        <w:pStyle w:val="PL"/>
        <w:rPr>
          <w:lang w:val="fr-FR"/>
        </w:rPr>
      </w:pPr>
    </w:p>
    <w:p w14:paraId="587B15DC" w14:textId="77777777" w:rsidR="007862A2" w:rsidRDefault="007862A2" w:rsidP="007862A2">
      <w:pPr>
        <w:pStyle w:val="PL"/>
        <w:rPr>
          <w:lang w:val="fr-FR"/>
        </w:rPr>
      </w:pPr>
      <w:r>
        <w:rPr>
          <w:lang w:val="fr-FR"/>
        </w:rPr>
        <w:t>info:</w:t>
      </w:r>
    </w:p>
    <w:p w14:paraId="05027709" w14:textId="77777777" w:rsidR="007862A2" w:rsidRDefault="007862A2" w:rsidP="007862A2">
      <w:pPr>
        <w:pStyle w:val="PL"/>
        <w:rPr>
          <w:lang w:val="fr-FR"/>
        </w:rPr>
      </w:pPr>
      <w:r>
        <w:rPr>
          <w:lang w:val="fr-FR"/>
        </w:rPr>
        <w:t xml:space="preserve">  title: </w:t>
      </w:r>
      <w:r>
        <w:rPr>
          <w:lang w:eastAsia="ja-JP"/>
        </w:rPr>
        <w:t>Nnwdaf_DataManagement</w:t>
      </w:r>
    </w:p>
    <w:p w14:paraId="4A9D4D24" w14:textId="4920B7ED" w:rsidR="007862A2" w:rsidRDefault="007862A2" w:rsidP="007862A2">
      <w:pPr>
        <w:pStyle w:val="PL"/>
        <w:rPr>
          <w:lang w:val="fr-FR"/>
        </w:rPr>
      </w:pPr>
      <w:r>
        <w:rPr>
          <w:lang w:val="fr-FR"/>
        </w:rPr>
        <w:t xml:space="preserve">  version: 1.</w:t>
      </w:r>
      <w:r w:rsidR="0020689F">
        <w:rPr>
          <w:lang w:val="fr-FR"/>
        </w:rPr>
        <w:t>2</w:t>
      </w:r>
      <w:r>
        <w:rPr>
          <w:lang w:val="fr-FR"/>
        </w:rPr>
        <w:t>.</w:t>
      </w:r>
      <w:r w:rsidR="0020689F">
        <w:rPr>
          <w:lang w:val="fr-FR"/>
        </w:rPr>
        <w:t>0-alpha.</w:t>
      </w:r>
      <w:r w:rsidR="00CA1A16">
        <w:rPr>
          <w:lang w:val="fr-FR"/>
        </w:rPr>
        <w:t>2</w:t>
      </w:r>
    </w:p>
    <w:p w14:paraId="0FA532C0" w14:textId="77777777" w:rsidR="007862A2" w:rsidRDefault="007862A2" w:rsidP="007862A2">
      <w:pPr>
        <w:pStyle w:val="PL"/>
      </w:pPr>
      <w:r>
        <w:rPr>
          <w:lang w:val="fr-FR"/>
        </w:rPr>
        <w:t xml:space="preserve">  description: </w:t>
      </w:r>
      <w:r>
        <w:t>|</w:t>
      </w:r>
    </w:p>
    <w:p w14:paraId="4F98ACF7" w14:textId="77777777" w:rsidR="007862A2" w:rsidRDefault="007862A2" w:rsidP="007862A2">
      <w:pPr>
        <w:pStyle w:val="PL"/>
        <w:rPr>
          <w:lang w:val="fr-FR"/>
        </w:rPr>
      </w:pPr>
      <w:r>
        <w:rPr>
          <w:lang w:val="fr-FR"/>
        </w:rPr>
        <w:lastRenderedPageBreak/>
        <w:t xml:space="preserve">    </w:t>
      </w:r>
      <w:r>
        <w:rPr>
          <w:lang w:eastAsia="ja-JP"/>
        </w:rPr>
        <w:t>Nnwdaf_DataManagement</w:t>
      </w:r>
      <w:r>
        <w:rPr>
          <w:lang w:val="fr-FR"/>
        </w:rPr>
        <w:t xml:space="preserve"> </w:t>
      </w:r>
      <w:r>
        <w:t>API</w:t>
      </w:r>
      <w:r>
        <w:rPr>
          <w:lang w:val="fr-FR"/>
        </w:rPr>
        <w:t xml:space="preserve"> Service.  </w:t>
      </w:r>
    </w:p>
    <w:p w14:paraId="2F3068EE" w14:textId="77777777" w:rsidR="007862A2" w:rsidRDefault="007862A2" w:rsidP="007862A2">
      <w:pPr>
        <w:pStyle w:val="PL"/>
      </w:pPr>
      <w:r>
        <w:t xml:space="preserve">    © </w:t>
      </w:r>
      <w:r w:rsidR="0020689F">
        <w:t>202</w:t>
      </w:r>
      <w:r w:rsidR="0020689F">
        <w:rPr>
          <w:lang w:eastAsia="zh-CN"/>
        </w:rPr>
        <w:t>5</w:t>
      </w:r>
      <w:r>
        <w:t xml:space="preserve">, 3GPP Organizational Partners (ARIB, ATIS, CCSA, ETSI, TSDSI, TTA, TTC).  </w:t>
      </w:r>
    </w:p>
    <w:p w14:paraId="6F364D32" w14:textId="77777777" w:rsidR="007862A2" w:rsidRDefault="007862A2" w:rsidP="007862A2">
      <w:pPr>
        <w:pStyle w:val="PL"/>
      </w:pPr>
      <w:r>
        <w:t xml:space="preserve">    All rights reserved.</w:t>
      </w:r>
    </w:p>
    <w:p w14:paraId="113C7619" w14:textId="77777777" w:rsidR="007862A2" w:rsidRDefault="007862A2" w:rsidP="007862A2">
      <w:pPr>
        <w:pStyle w:val="PL"/>
        <w:rPr>
          <w:lang w:val="fr-FR"/>
        </w:rPr>
      </w:pPr>
    </w:p>
    <w:p w14:paraId="578B452B" w14:textId="77777777" w:rsidR="007862A2" w:rsidRDefault="007862A2" w:rsidP="007862A2">
      <w:pPr>
        <w:pStyle w:val="PL"/>
        <w:rPr>
          <w:lang w:val="fr-FR"/>
        </w:rPr>
      </w:pPr>
      <w:r>
        <w:rPr>
          <w:lang w:val="fr-FR"/>
        </w:rPr>
        <w:t>externalDocs:</w:t>
      </w:r>
    </w:p>
    <w:p w14:paraId="14E96348" w14:textId="073CED8C" w:rsidR="007862A2" w:rsidRDefault="007862A2" w:rsidP="007862A2">
      <w:pPr>
        <w:pStyle w:val="PL"/>
        <w:rPr>
          <w:lang w:val="fr-FR"/>
        </w:rPr>
      </w:pPr>
      <w:r>
        <w:rPr>
          <w:lang w:val="fr-FR"/>
        </w:rPr>
        <w:t xml:space="preserve">  description: 3GPP TS 29.520 V1</w:t>
      </w:r>
      <w:r w:rsidR="0020689F">
        <w:rPr>
          <w:lang w:val="fr-FR"/>
        </w:rPr>
        <w:t>9</w:t>
      </w:r>
      <w:r>
        <w:rPr>
          <w:lang w:val="fr-FR"/>
        </w:rPr>
        <w:t>.</w:t>
      </w:r>
      <w:r w:rsidR="00CA1A16">
        <w:rPr>
          <w:lang w:val="fr-FR" w:eastAsia="zh-CN"/>
        </w:rPr>
        <w:t>3</w:t>
      </w:r>
      <w:r>
        <w:rPr>
          <w:lang w:val="fr-FR"/>
        </w:rPr>
        <w:t xml:space="preserve">.0; </w:t>
      </w:r>
      <w:r>
        <w:rPr>
          <w:rFonts w:eastAsia="等线"/>
        </w:rPr>
        <w:t>5G System; Network Data Analytics Services</w:t>
      </w:r>
      <w:r>
        <w:rPr>
          <w:lang w:val="fr-FR"/>
        </w:rPr>
        <w:t>.</w:t>
      </w:r>
    </w:p>
    <w:p w14:paraId="589280C5" w14:textId="77777777" w:rsidR="007862A2" w:rsidRDefault="007862A2" w:rsidP="007862A2">
      <w:pPr>
        <w:pStyle w:val="PL"/>
        <w:rPr>
          <w:lang w:val="fr-FR"/>
        </w:rPr>
      </w:pPr>
      <w:r>
        <w:rPr>
          <w:lang w:val="fr-FR"/>
        </w:rPr>
        <w:t xml:space="preserve">  url: </w:t>
      </w:r>
      <w:r>
        <w:rPr>
          <w:rFonts w:eastAsia="等线"/>
        </w:rPr>
        <w:t>'</w:t>
      </w:r>
      <w:r>
        <w:rPr>
          <w:lang w:val="fr-FR"/>
        </w:rPr>
        <w:t>https://www.3gpp.org/ftp</w:t>
      </w:r>
      <w:r>
        <w:rPr>
          <w:rFonts w:eastAsia="等线"/>
        </w:rPr>
        <w:t>/Specs/archive/29_series/29.520/'</w:t>
      </w:r>
    </w:p>
    <w:p w14:paraId="0762E794" w14:textId="77777777" w:rsidR="007862A2" w:rsidRDefault="007862A2" w:rsidP="007862A2">
      <w:pPr>
        <w:pStyle w:val="PL"/>
      </w:pPr>
    </w:p>
    <w:p w14:paraId="785ABC5A" w14:textId="77777777" w:rsidR="007862A2" w:rsidRDefault="007862A2" w:rsidP="007862A2">
      <w:pPr>
        <w:pStyle w:val="PL"/>
      </w:pPr>
      <w:r>
        <w:t>servers:</w:t>
      </w:r>
    </w:p>
    <w:p w14:paraId="4BF8D39D" w14:textId="77777777" w:rsidR="007862A2" w:rsidRDefault="007862A2" w:rsidP="007862A2">
      <w:pPr>
        <w:pStyle w:val="PL"/>
      </w:pPr>
      <w:r>
        <w:t xml:space="preserve">  - url: '{apiRoot}/nnwdaf-datamanagement/v1'</w:t>
      </w:r>
    </w:p>
    <w:p w14:paraId="23DAFEE3" w14:textId="77777777" w:rsidR="007862A2" w:rsidRDefault="007862A2" w:rsidP="007862A2">
      <w:pPr>
        <w:pStyle w:val="PL"/>
      </w:pPr>
      <w:r>
        <w:t xml:space="preserve">    variables:</w:t>
      </w:r>
    </w:p>
    <w:p w14:paraId="2370FD91" w14:textId="77777777" w:rsidR="007862A2" w:rsidRDefault="007862A2" w:rsidP="007862A2">
      <w:pPr>
        <w:pStyle w:val="PL"/>
      </w:pPr>
      <w:r>
        <w:t xml:space="preserve">      apiRoot:</w:t>
      </w:r>
    </w:p>
    <w:p w14:paraId="40BC78DF" w14:textId="77777777" w:rsidR="007862A2" w:rsidRDefault="007862A2" w:rsidP="007862A2">
      <w:pPr>
        <w:pStyle w:val="PL"/>
      </w:pPr>
      <w:r>
        <w:t xml:space="preserve">        default: https://example.com</w:t>
      </w:r>
    </w:p>
    <w:p w14:paraId="1975CAA5" w14:textId="77777777" w:rsidR="007862A2" w:rsidRDefault="007862A2" w:rsidP="007862A2">
      <w:pPr>
        <w:pStyle w:val="PL"/>
      </w:pPr>
      <w:r>
        <w:t xml:space="preserve">        description: apiRoot as defined in clause 4.4 of 3GPP TS 29.501</w:t>
      </w:r>
    </w:p>
    <w:p w14:paraId="56EBE84B" w14:textId="77777777" w:rsidR="007862A2" w:rsidRDefault="007862A2" w:rsidP="007862A2">
      <w:pPr>
        <w:pStyle w:val="PL"/>
      </w:pPr>
    </w:p>
    <w:p w14:paraId="333B629C" w14:textId="77777777" w:rsidR="007862A2" w:rsidRDefault="007862A2" w:rsidP="007862A2">
      <w:pPr>
        <w:pStyle w:val="PL"/>
      </w:pPr>
      <w:r>
        <w:t>security:</w:t>
      </w:r>
    </w:p>
    <w:p w14:paraId="0842BA97" w14:textId="77777777" w:rsidR="007862A2" w:rsidRDefault="007862A2" w:rsidP="007862A2">
      <w:pPr>
        <w:pStyle w:val="PL"/>
      </w:pPr>
      <w:r>
        <w:t xml:space="preserve">  - {}</w:t>
      </w:r>
    </w:p>
    <w:p w14:paraId="02FCE403" w14:textId="77777777" w:rsidR="007862A2" w:rsidRDefault="007862A2" w:rsidP="007862A2">
      <w:pPr>
        <w:pStyle w:val="PL"/>
      </w:pPr>
      <w:r>
        <w:t xml:space="preserve">  - oAuth2ClientCredentials:</w:t>
      </w:r>
    </w:p>
    <w:p w14:paraId="3AC4008F" w14:textId="77777777" w:rsidR="007862A2" w:rsidRDefault="007862A2" w:rsidP="007862A2">
      <w:pPr>
        <w:pStyle w:val="PL"/>
      </w:pPr>
      <w:r>
        <w:t xml:space="preserve">    - n</w:t>
      </w:r>
      <w:r>
        <w:rPr>
          <w:lang w:eastAsia="ja-JP"/>
        </w:rPr>
        <w:t>nwdaf-datamanagement</w:t>
      </w:r>
    </w:p>
    <w:p w14:paraId="0C565402" w14:textId="77777777" w:rsidR="007862A2" w:rsidRDefault="007862A2" w:rsidP="007862A2">
      <w:pPr>
        <w:pStyle w:val="PL"/>
      </w:pPr>
    </w:p>
    <w:p w14:paraId="66E183FA" w14:textId="77777777" w:rsidR="007862A2" w:rsidRDefault="007862A2" w:rsidP="007862A2">
      <w:pPr>
        <w:pStyle w:val="PL"/>
      </w:pPr>
      <w:r>
        <w:t>paths:</w:t>
      </w:r>
    </w:p>
    <w:p w14:paraId="7490F0F3" w14:textId="77777777" w:rsidR="007862A2" w:rsidRDefault="007862A2" w:rsidP="007862A2">
      <w:pPr>
        <w:pStyle w:val="PL"/>
      </w:pPr>
      <w:r>
        <w:t xml:space="preserve">  /subscriptions:</w:t>
      </w:r>
    </w:p>
    <w:p w14:paraId="77788007" w14:textId="77777777" w:rsidR="007862A2" w:rsidRDefault="007862A2" w:rsidP="007862A2">
      <w:pPr>
        <w:pStyle w:val="PL"/>
      </w:pPr>
      <w:r>
        <w:t xml:space="preserve">    post:</w:t>
      </w:r>
    </w:p>
    <w:p w14:paraId="64D48028" w14:textId="77777777" w:rsidR="007862A2" w:rsidRDefault="007862A2" w:rsidP="007862A2">
      <w:pPr>
        <w:pStyle w:val="PL"/>
      </w:pPr>
      <w:r>
        <w:t xml:space="preserve">      summary: subscribe to notifications</w:t>
      </w:r>
    </w:p>
    <w:p w14:paraId="474562DC" w14:textId="77777777" w:rsidR="007862A2" w:rsidRDefault="007862A2" w:rsidP="007862A2">
      <w:pPr>
        <w:pStyle w:val="PL"/>
      </w:pPr>
      <w:r>
        <w:t xml:space="preserve">      operationId: CreateIndividualSubcription</w:t>
      </w:r>
    </w:p>
    <w:p w14:paraId="4BEE7414" w14:textId="77777777" w:rsidR="007862A2" w:rsidRDefault="007862A2" w:rsidP="007862A2">
      <w:pPr>
        <w:pStyle w:val="PL"/>
      </w:pPr>
      <w:r>
        <w:t xml:space="preserve">      tags:</w:t>
      </w:r>
    </w:p>
    <w:p w14:paraId="15E7FB29" w14:textId="77777777" w:rsidR="007862A2" w:rsidRDefault="007862A2" w:rsidP="007862A2">
      <w:pPr>
        <w:pStyle w:val="PL"/>
      </w:pPr>
      <w:r>
        <w:t xml:space="preserve">        - Subscriptions (Collection)</w:t>
      </w:r>
    </w:p>
    <w:p w14:paraId="7F9B09D7" w14:textId="77777777" w:rsidR="007862A2" w:rsidRDefault="007862A2" w:rsidP="007862A2">
      <w:pPr>
        <w:pStyle w:val="PL"/>
      </w:pPr>
      <w:r>
        <w:t xml:space="preserve">      requestBody:</w:t>
      </w:r>
    </w:p>
    <w:p w14:paraId="79D574EA" w14:textId="77777777" w:rsidR="007862A2" w:rsidRDefault="007862A2" w:rsidP="007862A2">
      <w:pPr>
        <w:pStyle w:val="PL"/>
      </w:pPr>
      <w:r>
        <w:t xml:space="preserve">        required: true</w:t>
      </w:r>
    </w:p>
    <w:p w14:paraId="0CF31FEF" w14:textId="77777777" w:rsidR="007862A2" w:rsidRDefault="007862A2" w:rsidP="007862A2">
      <w:pPr>
        <w:pStyle w:val="PL"/>
      </w:pPr>
      <w:r>
        <w:t xml:space="preserve">        content:</w:t>
      </w:r>
    </w:p>
    <w:p w14:paraId="661CCF17" w14:textId="77777777" w:rsidR="007862A2" w:rsidRDefault="007862A2" w:rsidP="007862A2">
      <w:pPr>
        <w:pStyle w:val="PL"/>
      </w:pPr>
      <w:r>
        <w:t xml:space="preserve">          application/json:</w:t>
      </w:r>
    </w:p>
    <w:p w14:paraId="7A419931" w14:textId="77777777" w:rsidR="007862A2" w:rsidRDefault="007862A2" w:rsidP="007862A2">
      <w:pPr>
        <w:pStyle w:val="PL"/>
      </w:pPr>
      <w:r>
        <w:t xml:space="preserve">            schema:</w:t>
      </w:r>
    </w:p>
    <w:p w14:paraId="419EE5F6" w14:textId="77777777" w:rsidR="007862A2" w:rsidRDefault="007862A2" w:rsidP="007862A2">
      <w:pPr>
        <w:pStyle w:val="PL"/>
      </w:pPr>
      <w:r>
        <w:t xml:space="preserve">              $ref: '#/components/schemas/</w:t>
      </w:r>
      <w:r>
        <w:rPr>
          <w:rFonts w:eastAsia="等线"/>
        </w:rPr>
        <w:t>NnwdafDataManagementSubsc</w:t>
      </w:r>
      <w:r>
        <w:t>'</w:t>
      </w:r>
    </w:p>
    <w:p w14:paraId="07E8DD45" w14:textId="77777777" w:rsidR="007862A2" w:rsidRDefault="007862A2" w:rsidP="007862A2">
      <w:pPr>
        <w:pStyle w:val="PL"/>
      </w:pPr>
      <w:r>
        <w:t xml:space="preserve">      responses:</w:t>
      </w:r>
    </w:p>
    <w:p w14:paraId="0B7D5DD0" w14:textId="77777777" w:rsidR="007862A2" w:rsidRDefault="007862A2" w:rsidP="007862A2">
      <w:pPr>
        <w:pStyle w:val="PL"/>
      </w:pPr>
      <w:r>
        <w:t xml:space="preserve">        '201':</w:t>
      </w:r>
    </w:p>
    <w:p w14:paraId="63849B73" w14:textId="77777777" w:rsidR="007862A2" w:rsidRDefault="007862A2" w:rsidP="007862A2">
      <w:pPr>
        <w:pStyle w:val="PL"/>
      </w:pPr>
      <w:r>
        <w:t xml:space="preserve">          description: Success</w:t>
      </w:r>
    </w:p>
    <w:p w14:paraId="714C6F07" w14:textId="77777777" w:rsidR="007862A2" w:rsidRDefault="007862A2" w:rsidP="007862A2">
      <w:pPr>
        <w:pStyle w:val="PL"/>
      </w:pPr>
      <w:r>
        <w:t xml:space="preserve">          content:</w:t>
      </w:r>
    </w:p>
    <w:p w14:paraId="1C4C6119" w14:textId="77777777" w:rsidR="007862A2" w:rsidRDefault="007862A2" w:rsidP="007862A2">
      <w:pPr>
        <w:pStyle w:val="PL"/>
      </w:pPr>
      <w:r>
        <w:t xml:space="preserve">            application/json:</w:t>
      </w:r>
    </w:p>
    <w:p w14:paraId="3935B1CE" w14:textId="77777777" w:rsidR="007862A2" w:rsidRDefault="007862A2" w:rsidP="007862A2">
      <w:pPr>
        <w:pStyle w:val="PL"/>
      </w:pPr>
      <w:r>
        <w:t xml:space="preserve">              schema:</w:t>
      </w:r>
    </w:p>
    <w:p w14:paraId="5BF30EBD" w14:textId="77777777" w:rsidR="007862A2" w:rsidRDefault="007862A2" w:rsidP="007862A2">
      <w:pPr>
        <w:pStyle w:val="PL"/>
      </w:pPr>
      <w:r>
        <w:t xml:space="preserve">                $ref: '#/components/schemas/</w:t>
      </w:r>
      <w:r>
        <w:rPr>
          <w:rFonts w:eastAsia="等线"/>
        </w:rPr>
        <w:t>NnwdafDataManagementSubsc</w:t>
      </w:r>
      <w:r>
        <w:t>'</w:t>
      </w:r>
    </w:p>
    <w:p w14:paraId="16895FE0" w14:textId="77777777" w:rsidR="007862A2" w:rsidRDefault="007862A2" w:rsidP="007862A2">
      <w:pPr>
        <w:pStyle w:val="PL"/>
      </w:pPr>
      <w:r>
        <w:t xml:space="preserve">          headers:</w:t>
      </w:r>
    </w:p>
    <w:p w14:paraId="2F2FC77A" w14:textId="77777777" w:rsidR="007862A2" w:rsidRDefault="007862A2" w:rsidP="007862A2">
      <w:pPr>
        <w:pStyle w:val="PL"/>
      </w:pPr>
      <w:r>
        <w:t xml:space="preserve">            Location:</w:t>
      </w:r>
    </w:p>
    <w:p w14:paraId="57046883" w14:textId="77777777" w:rsidR="007862A2" w:rsidRDefault="007862A2" w:rsidP="007862A2">
      <w:pPr>
        <w:pStyle w:val="PL"/>
      </w:pPr>
      <w:r>
        <w:t xml:space="preserve">              description: &gt;</w:t>
      </w:r>
    </w:p>
    <w:p w14:paraId="5F2A5795" w14:textId="77777777" w:rsidR="007862A2" w:rsidRDefault="007862A2" w:rsidP="007862A2">
      <w:pPr>
        <w:pStyle w:val="PL"/>
      </w:pPr>
      <w:r>
        <w:t xml:space="preserve">                Contains the URI of the newly created resource, according to the structure</w:t>
      </w:r>
    </w:p>
    <w:p w14:paraId="766EE1D7" w14:textId="77777777" w:rsidR="007862A2" w:rsidRDefault="007862A2" w:rsidP="007862A2">
      <w:pPr>
        <w:pStyle w:val="PL"/>
      </w:pPr>
      <w:r>
        <w:t xml:space="preserve">                {apiRoot}/nnwdaf-datamanagement/&lt;apiVersion&gt;/subscriptions/{subscriptionId}.</w:t>
      </w:r>
    </w:p>
    <w:p w14:paraId="16DAF8D5" w14:textId="77777777" w:rsidR="007862A2" w:rsidRDefault="007862A2" w:rsidP="007862A2">
      <w:pPr>
        <w:pStyle w:val="PL"/>
      </w:pPr>
      <w:r>
        <w:t xml:space="preserve">              required: true</w:t>
      </w:r>
    </w:p>
    <w:p w14:paraId="6988C371" w14:textId="77777777" w:rsidR="007862A2" w:rsidRDefault="007862A2" w:rsidP="007862A2">
      <w:pPr>
        <w:pStyle w:val="PL"/>
      </w:pPr>
      <w:r>
        <w:t xml:space="preserve">              schema:</w:t>
      </w:r>
    </w:p>
    <w:p w14:paraId="3EBEAB81" w14:textId="77777777" w:rsidR="007862A2" w:rsidRDefault="007862A2" w:rsidP="007862A2">
      <w:pPr>
        <w:pStyle w:val="PL"/>
      </w:pPr>
      <w:r>
        <w:t xml:space="preserve">                type: string</w:t>
      </w:r>
    </w:p>
    <w:p w14:paraId="33C64B75" w14:textId="77777777" w:rsidR="007862A2" w:rsidRDefault="007862A2" w:rsidP="007862A2">
      <w:pPr>
        <w:pStyle w:val="PL"/>
      </w:pPr>
      <w:r>
        <w:t xml:space="preserve">        '400':</w:t>
      </w:r>
    </w:p>
    <w:p w14:paraId="594987F1" w14:textId="77777777" w:rsidR="007862A2" w:rsidRDefault="007862A2" w:rsidP="007862A2">
      <w:pPr>
        <w:pStyle w:val="PL"/>
      </w:pPr>
      <w:r>
        <w:t xml:space="preserve">          $ref: 'TS29571_CommonData.yaml#/components/responses/400'</w:t>
      </w:r>
    </w:p>
    <w:p w14:paraId="74F10A7B" w14:textId="77777777" w:rsidR="007862A2" w:rsidRDefault="007862A2" w:rsidP="007862A2">
      <w:pPr>
        <w:pStyle w:val="PL"/>
      </w:pPr>
      <w:r>
        <w:t xml:space="preserve">        '401':</w:t>
      </w:r>
    </w:p>
    <w:p w14:paraId="5E2BFA08" w14:textId="77777777" w:rsidR="007862A2" w:rsidRDefault="007862A2" w:rsidP="007862A2">
      <w:pPr>
        <w:pStyle w:val="PL"/>
      </w:pPr>
      <w:r>
        <w:t xml:space="preserve">          $ref: 'TS29571_CommonData.yaml#/components/responses/401'</w:t>
      </w:r>
    </w:p>
    <w:p w14:paraId="5823EDBB" w14:textId="77777777" w:rsidR="007862A2" w:rsidRDefault="007862A2" w:rsidP="007862A2">
      <w:pPr>
        <w:pStyle w:val="PL"/>
      </w:pPr>
      <w:r>
        <w:t xml:space="preserve">        '403':</w:t>
      </w:r>
    </w:p>
    <w:p w14:paraId="7563FD31" w14:textId="77777777" w:rsidR="007862A2" w:rsidRDefault="007862A2" w:rsidP="007862A2">
      <w:pPr>
        <w:pStyle w:val="PL"/>
      </w:pPr>
      <w:r>
        <w:t xml:space="preserve">          $ref: 'TS29571_CommonData.yaml#/components/responses/403'</w:t>
      </w:r>
    </w:p>
    <w:p w14:paraId="17F52DF9" w14:textId="77777777" w:rsidR="007862A2" w:rsidRDefault="007862A2" w:rsidP="007862A2">
      <w:pPr>
        <w:pStyle w:val="PL"/>
      </w:pPr>
      <w:r>
        <w:t xml:space="preserve">        '404':</w:t>
      </w:r>
    </w:p>
    <w:p w14:paraId="33F175F6" w14:textId="77777777" w:rsidR="007862A2" w:rsidRDefault="007862A2" w:rsidP="007862A2">
      <w:pPr>
        <w:pStyle w:val="PL"/>
      </w:pPr>
      <w:r>
        <w:t xml:space="preserve">          $ref: 'TS29571_CommonData.yaml#/components/responses/404'</w:t>
      </w:r>
    </w:p>
    <w:p w14:paraId="5147234D" w14:textId="77777777" w:rsidR="007862A2" w:rsidRDefault="007862A2" w:rsidP="007862A2">
      <w:pPr>
        <w:pStyle w:val="PL"/>
      </w:pPr>
      <w:r>
        <w:t xml:space="preserve">        '411':</w:t>
      </w:r>
    </w:p>
    <w:p w14:paraId="31221F02" w14:textId="77777777" w:rsidR="007862A2" w:rsidRDefault="007862A2" w:rsidP="007862A2">
      <w:pPr>
        <w:pStyle w:val="PL"/>
      </w:pPr>
      <w:r>
        <w:t xml:space="preserve">          $ref: 'TS29571_CommonData.yaml#/components/responses/411'</w:t>
      </w:r>
    </w:p>
    <w:p w14:paraId="050C67FF" w14:textId="77777777" w:rsidR="007862A2" w:rsidRDefault="007862A2" w:rsidP="007862A2">
      <w:pPr>
        <w:pStyle w:val="PL"/>
      </w:pPr>
      <w:r>
        <w:t xml:space="preserve">        '413':</w:t>
      </w:r>
    </w:p>
    <w:p w14:paraId="47FE5410" w14:textId="77777777" w:rsidR="007862A2" w:rsidRDefault="007862A2" w:rsidP="007862A2">
      <w:pPr>
        <w:pStyle w:val="PL"/>
      </w:pPr>
      <w:r>
        <w:t xml:space="preserve">          $ref: 'TS29571_CommonData.yaml#/components/responses/413'</w:t>
      </w:r>
    </w:p>
    <w:p w14:paraId="02EBCD06" w14:textId="77777777" w:rsidR="007862A2" w:rsidRDefault="007862A2" w:rsidP="007862A2">
      <w:pPr>
        <w:pStyle w:val="PL"/>
      </w:pPr>
      <w:r>
        <w:t xml:space="preserve">        '415':</w:t>
      </w:r>
    </w:p>
    <w:p w14:paraId="2B24FF2D" w14:textId="77777777" w:rsidR="007862A2" w:rsidRDefault="007862A2" w:rsidP="007862A2">
      <w:pPr>
        <w:pStyle w:val="PL"/>
      </w:pPr>
      <w:r>
        <w:t xml:space="preserve">          $ref: 'TS29571_CommonData.yaml#/components/responses/415'</w:t>
      </w:r>
    </w:p>
    <w:p w14:paraId="455E2A55" w14:textId="77777777" w:rsidR="007862A2" w:rsidRDefault="007862A2" w:rsidP="007862A2">
      <w:pPr>
        <w:pStyle w:val="PL"/>
      </w:pPr>
      <w:r>
        <w:t xml:space="preserve">        '429':</w:t>
      </w:r>
    </w:p>
    <w:p w14:paraId="488AC636" w14:textId="77777777" w:rsidR="007862A2" w:rsidRDefault="007862A2" w:rsidP="007862A2">
      <w:pPr>
        <w:pStyle w:val="PL"/>
      </w:pPr>
      <w:r>
        <w:t xml:space="preserve">          $ref: 'TS29571_CommonData.yaml#/components/responses/429'</w:t>
      </w:r>
    </w:p>
    <w:p w14:paraId="0EE2DC76" w14:textId="77777777" w:rsidR="007862A2" w:rsidRDefault="007862A2" w:rsidP="007862A2">
      <w:pPr>
        <w:pStyle w:val="PL"/>
      </w:pPr>
      <w:r>
        <w:t xml:space="preserve">        '500':</w:t>
      </w:r>
    </w:p>
    <w:p w14:paraId="3030625A" w14:textId="77777777" w:rsidR="007862A2" w:rsidRDefault="007862A2" w:rsidP="007862A2">
      <w:pPr>
        <w:pStyle w:val="PL"/>
      </w:pPr>
      <w:r>
        <w:t xml:space="preserve">          $ref: 'TS29571_CommonData.yaml#/components/responses/500'</w:t>
      </w:r>
    </w:p>
    <w:p w14:paraId="4B39D51C" w14:textId="77777777" w:rsidR="007862A2" w:rsidRDefault="007862A2" w:rsidP="007862A2">
      <w:pPr>
        <w:pStyle w:val="PL"/>
      </w:pPr>
      <w:r>
        <w:t xml:space="preserve">        '502':</w:t>
      </w:r>
    </w:p>
    <w:p w14:paraId="04B178C7" w14:textId="77777777" w:rsidR="007862A2" w:rsidRDefault="007862A2" w:rsidP="007862A2">
      <w:pPr>
        <w:pStyle w:val="PL"/>
      </w:pPr>
      <w:r>
        <w:t xml:space="preserve">          $ref: 'TS29571_CommonData.yaml#/components/responses/502'</w:t>
      </w:r>
    </w:p>
    <w:p w14:paraId="27732976" w14:textId="77777777" w:rsidR="007862A2" w:rsidRDefault="007862A2" w:rsidP="007862A2">
      <w:pPr>
        <w:pStyle w:val="PL"/>
      </w:pPr>
      <w:r>
        <w:t xml:space="preserve">        '503':</w:t>
      </w:r>
    </w:p>
    <w:p w14:paraId="080A4C11" w14:textId="77777777" w:rsidR="007862A2" w:rsidRDefault="007862A2" w:rsidP="007862A2">
      <w:pPr>
        <w:pStyle w:val="PL"/>
      </w:pPr>
      <w:r>
        <w:t xml:space="preserve">          $ref: 'TS29571_CommonData.yaml#/components/responses/503'</w:t>
      </w:r>
    </w:p>
    <w:p w14:paraId="0E14E47F" w14:textId="77777777" w:rsidR="007862A2" w:rsidRDefault="007862A2" w:rsidP="007862A2">
      <w:pPr>
        <w:pStyle w:val="PL"/>
      </w:pPr>
      <w:r>
        <w:t xml:space="preserve">        default:</w:t>
      </w:r>
    </w:p>
    <w:p w14:paraId="528E9814" w14:textId="77777777" w:rsidR="007862A2" w:rsidRDefault="007862A2" w:rsidP="007862A2">
      <w:pPr>
        <w:pStyle w:val="PL"/>
      </w:pPr>
      <w:r>
        <w:t xml:space="preserve">          $ref: 'TS29571_CommonData.yaml#/components/responses/default'</w:t>
      </w:r>
    </w:p>
    <w:p w14:paraId="436D1D18" w14:textId="77777777" w:rsidR="007862A2" w:rsidRDefault="007862A2" w:rsidP="007862A2">
      <w:pPr>
        <w:pStyle w:val="PL"/>
      </w:pPr>
      <w:r>
        <w:t xml:space="preserve">      callbacks:</w:t>
      </w:r>
    </w:p>
    <w:p w14:paraId="4C01F5CA" w14:textId="77777777" w:rsidR="007862A2" w:rsidRDefault="007862A2" w:rsidP="007862A2">
      <w:pPr>
        <w:pStyle w:val="PL"/>
      </w:pPr>
      <w:r>
        <w:t xml:space="preserve">        myNotification:</w:t>
      </w:r>
    </w:p>
    <w:p w14:paraId="023F1895" w14:textId="77777777" w:rsidR="007862A2" w:rsidRDefault="007862A2" w:rsidP="007862A2">
      <w:pPr>
        <w:pStyle w:val="PL"/>
      </w:pPr>
      <w:r>
        <w:t xml:space="preserve">          '{$request.body#/notificURI}':</w:t>
      </w:r>
    </w:p>
    <w:p w14:paraId="499EC992" w14:textId="77777777" w:rsidR="007862A2" w:rsidRDefault="007862A2" w:rsidP="007862A2">
      <w:pPr>
        <w:pStyle w:val="PL"/>
      </w:pPr>
      <w:r>
        <w:t xml:space="preserve">            post:</w:t>
      </w:r>
    </w:p>
    <w:p w14:paraId="6BA7BDC8" w14:textId="77777777" w:rsidR="007862A2" w:rsidRDefault="007862A2" w:rsidP="007862A2">
      <w:pPr>
        <w:pStyle w:val="PL"/>
      </w:pPr>
      <w:r>
        <w:t xml:space="preserve">              requestBody:</w:t>
      </w:r>
    </w:p>
    <w:p w14:paraId="1D288709" w14:textId="77777777" w:rsidR="007862A2" w:rsidRDefault="007862A2" w:rsidP="007862A2">
      <w:pPr>
        <w:pStyle w:val="PL"/>
      </w:pPr>
      <w:r>
        <w:t xml:space="preserve">                required: true</w:t>
      </w:r>
    </w:p>
    <w:p w14:paraId="36D134F8" w14:textId="77777777" w:rsidR="007862A2" w:rsidRDefault="007862A2" w:rsidP="007862A2">
      <w:pPr>
        <w:pStyle w:val="PL"/>
      </w:pPr>
      <w:r>
        <w:lastRenderedPageBreak/>
        <w:t xml:space="preserve">                content:</w:t>
      </w:r>
    </w:p>
    <w:p w14:paraId="12E9D9A0" w14:textId="77777777" w:rsidR="007862A2" w:rsidRDefault="007862A2" w:rsidP="007862A2">
      <w:pPr>
        <w:pStyle w:val="PL"/>
      </w:pPr>
      <w:r>
        <w:t xml:space="preserve">                  application/json:</w:t>
      </w:r>
    </w:p>
    <w:p w14:paraId="304E8633" w14:textId="77777777" w:rsidR="007862A2" w:rsidRDefault="007862A2" w:rsidP="007862A2">
      <w:pPr>
        <w:pStyle w:val="PL"/>
      </w:pPr>
      <w:r>
        <w:t xml:space="preserve">                    schema:</w:t>
      </w:r>
    </w:p>
    <w:p w14:paraId="4F7F1969" w14:textId="77777777" w:rsidR="007862A2" w:rsidRDefault="007862A2" w:rsidP="007862A2">
      <w:pPr>
        <w:pStyle w:val="PL"/>
      </w:pPr>
      <w:r>
        <w:t xml:space="preserve">                      $ref: '#/components/schemas/</w:t>
      </w:r>
      <w:r>
        <w:rPr>
          <w:rFonts w:eastAsia="等线"/>
        </w:rPr>
        <w:t>NnwdafDataManagementNotif</w:t>
      </w:r>
      <w:r>
        <w:t>'</w:t>
      </w:r>
    </w:p>
    <w:p w14:paraId="59FEA48A" w14:textId="77777777" w:rsidR="007862A2" w:rsidRDefault="007862A2" w:rsidP="007862A2">
      <w:pPr>
        <w:pStyle w:val="PL"/>
      </w:pPr>
      <w:r>
        <w:t xml:space="preserve">              responses:</w:t>
      </w:r>
    </w:p>
    <w:p w14:paraId="18FB225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'200':</w:t>
      </w:r>
    </w:p>
    <w:p w14:paraId="7561462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description: The notification is acknowledged and a planned action is provided.</w:t>
      </w:r>
    </w:p>
    <w:p w14:paraId="2FCC811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content:</w:t>
      </w:r>
    </w:p>
    <w:p w14:paraId="5380F0D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application/json:</w:t>
      </w:r>
    </w:p>
    <w:p w14:paraId="14A4961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val="en-IN" w:eastAsia="en-IN"/>
        </w:rPr>
      </w:pPr>
      <w:r>
        <w:rPr>
          <w:rFonts w:ascii="Courier New" w:eastAsia="等线" w:hAnsi="Courier New"/>
          <w:sz w:val="16"/>
          <w:lang w:val="en-IN" w:eastAsia="en-IN"/>
        </w:rPr>
        <w:t xml:space="preserve">                      schema:</w:t>
      </w:r>
    </w:p>
    <w:p w14:paraId="091EC15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eastAsia="等线" w:hAnsi="Courier New"/>
          <w:sz w:val="16"/>
          <w:lang w:val="en-IN" w:eastAsia="en-IN"/>
        </w:rPr>
        <w:t xml:space="preserve">                        $ref: '</w:t>
      </w:r>
      <w:r>
        <w:rPr>
          <w:rFonts w:ascii="Courier New" w:hAnsi="Courier New"/>
          <w:sz w:val="16"/>
          <w:lang w:val="en-IN" w:eastAsia="en-IN"/>
        </w:rPr>
        <w:t>TS29574_Ndccf_DataManagement.yaml</w:t>
      </w:r>
      <w:r>
        <w:rPr>
          <w:rFonts w:ascii="Courier New" w:eastAsia="等线" w:hAnsi="Courier New"/>
          <w:sz w:val="16"/>
          <w:lang w:val="en-IN" w:eastAsia="en-IN"/>
        </w:rPr>
        <w:t>#/components/schemas/NotifResponse'</w:t>
      </w:r>
    </w:p>
    <w:p w14:paraId="7BEC8118" w14:textId="77777777" w:rsidR="007862A2" w:rsidRDefault="007862A2" w:rsidP="007862A2">
      <w:pPr>
        <w:pStyle w:val="PL"/>
      </w:pPr>
      <w:r>
        <w:t xml:space="preserve">                '204':</w:t>
      </w:r>
    </w:p>
    <w:p w14:paraId="3B216909" w14:textId="77777777" w:rsidR="007862A2" w:rsidRDefault="007862A2" w:rsidP="007862A2">
      <w:pPr>
        <w:pStyle w:val="PL"/>
      </w:pPr>
      <w:r>
        <w:t xml:space="preserve">                  description: No Content, Notification was succesfull</w:t>
      </w:r>
    </w:p>
    <w:p w14:paraId="0BC746BB" w14:textId="77777777" w:rsidR="007862A2" w:rsidRDefault="007862A2" w:rsidP="007862A2">
      <w:pPr>
        <w:pStyle w:val="PL"/>
      </w:pPr>
      <w:r>
        <w:t xml:space="preserve">                '307':</w:t>
      </w:r>
    </w:p>
    <w:p w14:paraId="76F119D8" w14:textId="77777777" w:rsidR="007862A2" w:rsidRDefault="007862A2" w:rsidP="007862A2">
      <w:pPr>
        <w:pStyle w:val="PL"/>
      </w:pPr>
      <w:r>
        <w:t xml:space="preserve">                  $ref: 'TS29571_CommonData.yaml#/components/responses/307'</w:t>
      </w:r>
    </w:p>
    <w:p w14:paraId="1A79703A" w14:textId="77777777" w:rsidR="007862A2" w:rsidRDefault="007862A2" w:rsidP="007862A2">
      <w:pPr>
        <w:pStyle w:val="PL"/>
      </w:pPr>
      <w:r>
        <w:t xml:space="preserve">                '308':</w:t>
      </w:r>
    </w:p>
    <w:p w14:paraId="3FD3252E" w14:textId="77777777" w:rsidR="007862A2" w:rsidRDefault="007862A2" w:rsidP="007862A2">
      <w:pPr>
        <w:pStyle w:val="PL"/>
      </w:pPr>
      <w:r>
        <w:t xml:space="preserve">                  $ref: 'TS29571_CommonData.yaml#/components/responses/308'</w:t>
      </w:r>
    </w:p>
    <w:p w14:paraId="224633D3" w14:textId="77777777" w:rsidR="007862A2" w:rsidRDefault="007862A2" w:rsidP="007862A2">
      <w:pPr>
        <w:pStyle w:val="PL"/>
      </w:pPr>
      <w:r>
        <w:t xml:space="preserve">                '400':</w:t>
      </w:r>
    </w:p>
    <w:p w14:paraId="7A3EDE85" w14:textId="77777777" w:rsidR="007862A2" w:rsidRDefault="007862A2" w:rsidP="007862A2">
      <w:pPr>
        <w:pStyle w:val="PL"/>
      </w:pPr>
      <w:r>
        <w:t xml:space="preserve">                  $ref: 'TS29571_CommonData.yaml#/components/responses/400'</w:t>
      </w:r>
    </w:p>
    <w:p w14:paraId="58EB8F59" w14:textId="77777777" w:rsidR="007862A2" w:rsidRDefault="007862A2" w:rsidP="007862A2">
      <w:pPr>
        <w:pStyle w:val="PL"/>
      </w:pPr>
      <w:r>
        <w:t xml:space="preserve">                '401':</w:t>
      </w:r>
    </w:p>
    <w:p w14:paraId="5FE72D0F" w14:textId="77777777" w:rsidR="007862A2" w:rsidRDefault="007862A2" w:rsidP="007862A2">
      <w:pPr>
        <w:pStyle w:val="PL"/>
      </w:pPr>
      <w:r>
        <w:t xml:space="preserve">                  $ref: 'TS29571_CommonData.yaml#/components/responses/401'</w:t>
      </w:r>
    </w:p>
    <w:p w14:paraId="42B88F96" w14:textId="77777777" w:rsidR="007862A2" w:rsidRDefault="007862A2" w:rsidP="007862A2">
      <w:pPr>
        <w:pStyle w:val="PL"/>
      </w:pPr>
      <w:r>
        <w:t xml:space="preserve">                '403':</w:t>
      </w:r>
    </w:p>
    <w:p w14:paraId="3D693FFD" w14:textId="77777777" w:rsidR="007862A2" w:rsidRDefault="007862A2" w:rsidP="007862A2">
      <w:pPr>
        <w:pStyle w:val="PL"/>
      </w:pPr>
      <w:r>
        <w:t xml:space="preserve">                  $ref: 'TS29571_CommonData.yaml#/components/responses/403'</w:t>
      </w:r>
    </w:p>
    <w:p w14:paraId="09C8A63A" w14:textId="77777777" w:rsidR="007862A2" w:rsidRDefault="007862A2" w:rsidP="007862A2">
      <w:pPr>
        <w:pStyle w:val="PL"/>
      </w:pPr>
      <w:r>
        <w:t xml:space="preserve">                '404':</w:t>
      </w:r>
    </w:p>
    <w:p w14:paraId="719DC653" w14:textId="77777777" w:rsidR="007862A2" w:rsidRDefault="007862A2" w:rsidP="007862A2">
      <w:pPr>
        <w:pStyle w:val="PL"/>
      </w:pPr>
      <w:r>
        <w:t xml:space="preserve">                  $ref: 'TS29571_CommonData.yaml#/components/responses/404'</w:t>
      </w:r>
    </w:p>
    <w:p w14:paraId="4CCE5464" w14:textId="77777777" w:rsidR="007862A2" w:rsidRDefault="007862A2" w:rsidP="007862A2">
      <w:pPr>
        <w:pStyle w:val="PL"/>
      </w:pPr>
      <w:r>
        <w:t xml:space="preserve">                '411':</w:t>
      </w:r>
    </w:p>
    <w:p w14:paraId="22884C15" w14:textId="77777777" w:rsidR="007862A2" w:rsidRDefault="007862A2" w:rsidP="007862A2">
      <w:pPr>
        <w:pStyle w:val="PL"/>
      </w:pPr>
      <w:r>
        <w:t xml:space="preserve">                  $ref: 'TS29571_CommonData.yaml#/components/responses/411'</w:t>
      </w:r>
    </w:p>
    <w:p w14:paraId="61DB8D9B" w14:textId="77777777" w:rsidR="007862A2" w:rsidRDefault="007862A2" w:rsidP="007862A2">
      <w:pPr>
        <w:pStyle w:val="PL"/>
      </w:pPr>
      <w:r>
        <w:t xml:space="preserve">                '413':</w:t>
      </w:r>
    </w:p>
    <w:p w14:paraId="3ED45431" w14:textId="77777777" w:rsidR="007862A2" w:rsidRDefault="007862A2" w:rsidP="007862A2">
      <w:pPr>
        <w:pStyle w:val="PL"/>
      </w:pPr>
      <w:r>
        <w:t xml:space="preserve">                  $ref: 'TS29571_CommonData.yaml#/components/responses/413'</w:t>
      </w:r>
    </w:p>
    <w:p w14:paraId="72AEB051" w14:textId="77777777" w:rsidR="007862A2" w:rsidRDefault="007862A2" w:rsidP="007862A2">
      <w:pPr>
        <w:pStyle w:val="PL"/>
      </w:pPr>
      <w:r>
        <w:t xml:space="preserve">                '415':</w:t>
      </w:r>
    </w:p>
    <w:p w14:paraId="32AF0F6F" w14:textId="77777777" w:rsidR="007862A2" w:rsidRDefault="007862A2" w:rsidP="007862A2">
      <w:pPr>
        <w:pStyle w:val="PL"/>
      </w:pPr>
      <w:r>
        <w:t xml:space="preserve">                  $ref: 'TS29571_CommonData.yaml#/components/responses/415'</w:t>
      </w:r>
    </w:p>
    <w:p w14:paraId="00EFE07B" w14:textId="77777777" w:rsidR="007862A2" w:rsidRDefault="007862A2" w:rsidP="007862A2">
      <w:pPr>
        <w:pStyle w:val="PL"/>
      </w:pPr>
      <w:r>
        <w:t xml:space="preserve">                '429':</w:t>
      </w:r>
    </w:p>
    <w:p w14:paraId="0D838948" w14:textId="77777777" w:rsidR="007862A2" w:rsidRDefault="007862A2" w:rsidP="007862A2">
      <w:pPr>
        <w:pStyle w:val="PL"/>
      </w:pPr>
      <w:r>
        <w:t xml:space="preserve">                  $ref: 'TS29571_CommonData.yaml#/components/responses/429'</w:t>
      </w:r>
    </w:p>
    <w:p w14:paraId="0A364449" w14:textId="77777777" w:rsidR="007862A2" w:rsidRDefault="007862A2" w:rsidP="007862A2">
      <w:pPr>
        <w:pStyle w:val="PL"/>
      </w:pPr>
      <w:r>
        <w:t xml:space="preserve">                '500':</w:t>
      </w:r>
    </w:p>
    <w:p w14:paraId="5EE65B2E" w14:textId="77777777" w:rsidR="007862A2" w:rsidRDefault="007862A2" w:rsidP="007862A2">
      <w:pPr>
        <w:pStyle w:val="PL"/>
      </w:pPr>
      <w:r>
        <w:t xml:space="preserve">                  $ref: 'TS29571_CommonData.yaml#/components/responses/500'</w:t>
      </w:r>
    </w:p>
    <w:p w14:paraId="4644CDD0" w14:textId="77777777" w:rsidR="007862A2" w:rsidRDefault="007862A2" w:rsidP="007862A2">
      <w:pPr>
        <w:pStyle w:val="PL"/>
      </w:pPr>
      <w:r>
        <w:t xml:space="preserve">                '502':</w:t>
      </w:r>
    </w:p>
    <w:p w14:paraId="58987B7A" w14:textId="77777777" w:rsidR="007862A2" w:rsidRDefault="007862A2" w:rsidP="007862A2">
      <w:pPr>
        <w:pStyle w:val="PL"/>
      </w:pPr>
      <w:r>
        <w:t xml:space="preserve">                  $ref: 'TS29571_CommonData.yaml#/components/responses/502'</w:t>
      </w:r>
    </w:p>
    <w:p w14:paraId="6CC5EC22" w14:textId="77777777" w:rsidR="007862A2" w:rsidRDefault="007862A2" w:rsidP="007862A2">
      <w:pPr>
        <w:pStyle w:val="PL"/>
      </w:pPr>
      <w:r>
        <w:t xml:space="preserve">                '503':</w:t>
      </w:r>
    </w:p>
    <w:p w14:paraId="0000B503" w14:textId="77777777" w:rsidR="007862A2" w:rsidRDefault="007862A2" w:rsidP="007862A2">
      <w:pPr>
        <w:pStyle w:val="PL"/>
      </w:pPr>
      <w:r>
        <w:t xml:space="preserve">                  $ref: 'TS29571_CommonData.yaml#/components/responses/503'</w:t>
      </w:r>
    </w:p>
    <w:p w14:paraId="362CF3DB" w14:textId="77777777" w:rsidR="007862A2" w:rsidRDefault="007862A2" w:rsidP="007862A2">
      <w:pPr>
        <w:pStyle w:val="PL"/>
      </w:pPr>
      <w:r>
        <w:t xml:space="preserve">                default:</w:t>
      </w:r>
    </w:p>
    <w:p w14:paraId="7593E223" w14:textId="77777777" w:rsidR="007862A2" w:rsidRDefault="007862A2" w:rsidP="007862A2">
      <w:pPr>
        <w:pStyle w:val="PL"/>
      </w:pPr>
      <w:r>
        <w:t xml:space="preserve">                  $ref: 'TS29571_CommonData.yaml#/components/responses/default'</w:t>
      </w:r>
    </w:p>
    <w:p w14:paraId="45574E94" w14:textId="77777777" w:rsidR="007862A2" w:rsidRDefault="007862A2" w:rsidP="007862A2">
      <w:pPr>
        <w:pStyle w:val="PL"/>
      </w:pPr>
      <w:r>
        <w:t xml:space="preserve">              callbacks:</w:t>
      </w:r>
    </w:p>
    <w:p w14:paraId="416E52F7" w14:textId="77777777" w:rsidR="007862A2" w:rsidRDefault="007862A2" w:rsidP="007862A2">
      <w:pPr>
        <w:pStyle w:val="PL"/>
      </w:pPr>
      <w:r>
        <w:t xml:space="preserve">                Fetch:</w:t>
      </w:r>
    </w:p>
    <w:p w14:paraId="4071A75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val="fr-FR"/>
        </w:rPr>
        <w:t>'{$request.body#/fetchInstruct/</w:t>
      </w:r>
      <w:r>
        <w:rPr>
          <w:rFonts w:ascii="Courier New" w:hAnsi="Courier New"/>
          <w:sz w:val="16"/>
        </w:rPr>
        <w:t>fetchUri</w:t>
      </w:r>
      <w:r>
        <w:rPr>
          <w:rFonts w:ascii="Courier New" w:hAnsi="Courier New"/>
          <w:sz w:val="16"/>
          <w:lang w:val="fr-FR"/>
        </w:rPr>
        <w:t>}'</w:t>
      </w:r>
      <w:r>
        <w:rPr>
          <w:rFonts w:ascii="Courier New" w:hAnsi="Courier New"/>
          <w:sz w:val="16"/>
        </w:rPr>
        <w:t>:</w:t>
      </w:r>
    </w:p>
    <w:p w14:paraId="632DBE19" w14:textId="77777777" w:rsidR="007862A2" w:rsidRDefault="007862A2" w:rsidP="007862A2">
      <w:pPr>
        <w:pStyle w:val="PL"/>
      </w:pPr>
      <w:r>
        <w:t xml:space="preserve">                    post:</w:t>
      </w:r>
    </w:p>
    <w:p w14:paraId="6CE2AAD5" w14:textId="77777777" w:rsidR="007862A2" w:rsidRDefault="007862A2" w:rsidP="007862A2">
      <w:pPr>
        <w:pStyle w:val="PL"/>
      </w:pPr>
      <w:r>
        <w:t xml:space="preserve">                      requestBody:</w:t>
      </w:r>
    </w:p>
    <w:p w14:paraId="4EC0A0D8" w14:textId="77777777" w:rsidR="007862A2" w:rsidRDefault="007862A2" w:rsidP="007862A2">
      <w:pPr>
        <w:pStyle w:val="PL"/>
      </w:pPr>
      <w:r>
        <w:t xml:space="preserve">                        required: true</w:t>
      </w:r>
    </w:p>
    <w:p w14:paraId="4EE754DC" w14:textId="77777777" w:rsidR="007862A2" w:rsidRDefault="007862A2" w:rsidP="007862A2">
      <w:pPr>
        <w:pStyle w:val="PL"/>
      </w:pPr>
      <w:r>
        <w:t xml:space="preserve">                        content:</w:t>
      </w:r>
    </w:p>
    <w:p w14:paraId="1BAF6653" w14:textId="77777777" w:rsidR="007862A2" w:rsidRDefault="007862A2" w:rsidP="007862A2">
      <w:pPr>
        <w:pStyle w:val="PL"/>
      </w:pPr>
      <w:r>
        <w:t xml:space="preserve">                          application/json:</w:t>
      </w:r>
    </w:p>
    <w:p w14:paraId="32F52EEF" w14:textId="77777777" w:rsidR="007862A2" w:rsidRDefault="007862A2" w:rsidP="007862A2">
      <w:pPr>
        <w:pStyle w:val="PL"/>
        <w:rPr>
          <w:lang w:eastAsia="zh-CN"/>
        </w:rPr>
      </w:pPr>
      <w:r>
        <w:t xml:space="preserve">                </w:t>
      </w:r>
      <w:r>
        <w:rPr>
          <w:lang w:eastAsia="zh-CN"/>
        </w:rPr>
        <w:t xml:space="preserve">            schema: </w:t>
      </w:r>
    </w:p>
    <w:p w14:paraId="031643D2" w14:textId="77777777" w:rsidR="007862A2" w:rsidRDefault="007862A2" w:rsidP="007862A2">
      <w:pPr>
        <w:pStyle w:val="PL"/>
        <w:rPr>
          <w:lang w:eastAsia="zh-CN"/>
        </w:rPr>
      </w:pPr>
      <w:r>
        <w:t xml:space="preserve">                  </w:t>
      </w:r>
      <w:r>
        <w:rPr>
          <w:lang w:eastAsia="zh-CN"/>
        </w:rPr>
        <w:t xml:space="preserve">            type: array</w:t>
      </w:r>
    </w:p>
    <w:p w14:paraId="08347D39" w14:textId="77777777" w:rsidR="007862A2" w:rsidRDefault="007862A2" w:rsidP="007862A2">
      <w:pPr>
        <w:pStyle w:val="PL"/>
        <w:rPr>
          <w:lang w:eastAsia="zh-CN"/>
        </w:rPr>
      </w:pPr>
      <w:r>
        <w:t xml:space="preserve">                  </w:t>
      </w:r>
      <w:r>
        <w:rPr>
          <w:lang w:eastAsia="zh-CN"/>
        </w:rPr>
        <w:t xml:space="preserve">            items:</w:t>
      </w:r>
    </w:p>
    <w:p w14:paraId="60B4B472" w14:textId="77777777" w:rsidR="007862A2" w:rsidRDefault="007862A2" w:rsidP="007862A2">
      <w:pPr>
        <w:pStyle w:val="PL"/>
        <w:rPr>
          <w:lang w:eastAsia="zh-CN"/>
        </w:rPr>
      </w:pPr>
      <w:r>
        <w:t xml:space="preserve">                  </w:t>
      </w:r>
      <w:r>
        <w:rPr>
          <w:lang w:eastAsia="zh-CN"/>
        </w:rPr>
        <w:t xml:space="preserve">              type: string</w:t>
      </w:r>
    </w:p>
    <w:p w14:paraId="0F7B67DA" w14:textId="77777777" w:rsidR="007862A2" w:rsidRDefault="007862A2" w:rsidP="007862A2">
      <w:pPr>
        <w:pStyle w:val="PL"/>
      </w:pPr>
      <w:r>
        <w:t xml:space="preserve">                              minItems: 1</w:t>
      </w:r>
    </w:p>
    <w:p w14:paraId="0C4BD6B6" w14:textId="77777777" w:rsidR="007862A2" w:rsidRDefault="007862A2" w:rsidP="007862A2">
      <w:pPr>
        <w:pStyle w:val="PL"/>
      </w:pPr>
      <w:r>
        <w:t xml:space="preserve">                              description: Indicate the fetch correlation identifier.</w:t>
      </w:r>
    </w:p>
    <w:p w14:paraId="5478C6A7" w14:textId="77777777" w:rsidR="007862A2" w:rsidRDefault="007862A2" w:rsidP="007862A2">
      <w:pPr>
        <w:pStyle w:val="PL"/>
      </w:pPr>
      <w:r>
        <w:t xml:space="preserve">                      responses:</w:t>
      </w:r>
    </w:p>
    <w:p w14:paraId="3869D9E6" w14:textId="77777777" w:rsidR="007862A2" w:rsidRDefault="007862A2" w:rsidP="007862A2">
      <w:pPr>
        <w:pStyle w:val="PL"/>
      </w:pPr>
      <w:r>
        <w:t xml:space="preserve">                        '200':</w:t>
      </w:r>
    </w:p>
    <w:p w14:paraId="4FD90F3D" w14:textId="77777777" w:rsidR="007862A2" w:rsidRDefault="007862A2" w:rsidP="007862A2">
      <w:pPr>
        <w:pStyle w:val="PL"/>
      </w:pPr>
      <w:r>
        <w:t xml:space="preserve">                          description: Expected response to a valid request</w:t>
      </w:r>
    </w:p>
    <w:p w14:paraId="552A8A53" w14:textId="77777777" w:rsidR="007862A2" w:rsidRDefault="007862A2" w:rsidP="007862A2">
      <w:pPr>
        <w:pStyle w:val="PL"/>
      </w:pPr>
      <w:r>
        <w:t xml:space="preserve">                          content:</w:t>
      </w:r>
    </w:p>
    <w:p w14:paraId="5C0972F5" w14:textId="77777777" w:rsidR="007862A2" w:rsidRDefault="007862A2" w:rsidP="007862A2">
      <w:pPr>
        <w:pStyle w:val="PL"/>
      </w:pPr>
      <w:r>
        <w:t xml:space="preserve">                            application/json:</w:t>
      </w:r>
    </w:p>
    <w:p w14:paraId="718C14EA" w14:textId="77777777" w:rsidR="007862A2" w:rsidRDefault="007862A2" w:rsidP="007862A2">
      <w:pPr>
        <w:pStyle w:val="PL"/>
      </w:pPr>
      <w:r>
        <w:t xml:space="preserve">                              schema:</w:t>
      </w:r>
    </w:p>
    <w:p w14:paraId="260B5523" w14:textId="77777777" w:rsidR="007862A2" w:rsidRDefault="007862A2" w:rsidP="007862A2">
      <w:pPr>
        <w:pStyle w:val="PL"/>
      </w:pPr>
      <w:r>
        <w:t xml:space="preserve">                                $ref: '#/components/schemas/</w:t>
      </w:r>
      <w:r>
        <w:rPr>
          <w:rFonts w:eastAsia="等线"/>
        </w:rPr>
        <w:t>NnwdafDataManagementNotif</w:t>
      </w:r>
      <w:r>
        <w:t>'</w:t>
      </w:r>
    </w:p>
    <w:p w14:paraId="1BCDEA92" w14:textId="77777777" w:rsidR="007862A2" w:rsidRDefault="007862A2" w:rsidP="007862A2">
      <w:pPr>
        <w:pStyle w:val="PL"/>
      </w:pPr>
      <w:r>
        <w:t xml:space="preserve">                        '307':</w:t>
      </w:r>
    </w:p>
    <w:p w14:paraId="45ACA81F" w14:textId="77777777" w:rsidR="007862A2" w:rsidRDefault="007862A2" w:rsidP="007862A2">
      <w:pPr>
        <w:pStyle w:val="PL"/>
      </w:pPr>
      <w:r>
        <w:t xml:space="preserve">                          $ref: 'TS29571_CommonData.yaml#/components/responses/307'</w:t>
      </w:r>
    </w:p>
    <w:p w14:paraId="0BBA993D" w14:textId="77777777" w:rsidR="007862A2" w:rsidRDefault="007862A2" w:rsidP="007862A2">
      <w:pPr>
        <w:pStyle w:val="PL"/>
      </w:pPr>
      <w:r>
        <w:t xml:space="preserve">                        '308':</w:t>
      </w:r>
    </w:p>
    <w:p w14:paraId="109562D3" w14:textId="77777777" w:rsidR="007862A2" w:rsidRDefault="007862A2" w:rsidP="007862A2">
      <w:pPr>
        <w:pStyle w:val="PL"/>
      </w:pPr>
      <w:r>
        <w:t xml:space="preserve">                          $ref: 'TS29571_CommonData.yaml#/components/responses/308'</w:t>
      </w:r>
    </w:p>
    <w:p w14:paraId="4DFCEBD4" w14:textId="77777777" w:rsidR="007862A2" w:rsidRDefault="007862A2" w:rsidP="007862A2">
      <w:pPr>
        <w:pStyle w:val="PL"/>
      </w:pPr>
      <w:r>
        <w:t xml:space="preserve">                        '400':</w:t>
      </w:r>
    </w:p>
    <w:p w14:paraId="7AF0002D" w14:textId="77777777" w:rsidR="007862A2" w:rsidRDefault="007862A2" w:rsidP="007862A2">
      <w:pPr>
        <w:pStyle w:val="PL"/>
      </w:pPr>
      <w:r>
        <w:t xml:space="preserve">                          $ref: 'TS29571_CommonData.yaml#/components/responses/400'</w:t>
      </w:r>
    </w:p>
    <w:p w14:paraId="6443A838" w14:textId="77777777" w:rsidR="007862A2" w:rsidRDefault="007862A2" w:rsidP="007862A2">
      <w:pPr>
        <w:pStyle w:val="PL"/>
      </w:pPr>
      <w:r>
        <w:t xml:space="preserve">                        '401':</w:t>
      </w:r>
    </w:p>
    <w:p w14:paraId="12995F83" w14:textId="77777777" w:rsidR="007862A2" w:rsidRDefault="007862A2" w:rsidP="007862A2">
      <w:pPr>
        <w:pStyle w:val="PL"/>
      </w:pPr>
      <w:r>
        <w:t xml:space="preserve">                          $ref: 'TS29571_CommonData.yaml#/components/responses/401'</w:t>
      </w:r>
    </w:p>
    <w:p w14:paraId="20F1DF09" w14:textId="77777777" w:rsidR="007862A2" w:rsidRDefault="007862A2" w:rsidP="007862A2">
      <w:pPr>
        <w:pStyle w:val="PL"/>
      </w:pPr>
      <w:r>
        <w:t xml:space="preserve">                        '403':</w:t>
      </w:r>
    </w:p>
    <w:p w14:paraId="7A0629D1" w14:textId="77777777" w:rsidR="007862A2" w:rsidRDefault="007862A2" w:rsidP="007862A2">
      <w:pPr>
        <w:pStyle w:val="PL"/>
      </w:pPr>
      <w:r>
        <w:t xml:space="preserve">                          $ref: 'TS29571_CommonData.yaml#/components/responses/403'</w:t>
      </w:r>
    </w:p>
    <w:p w14:paraId="597F370D" w14:textId="77777777" w:rsidR="007862A2" w:rsidRDefault="007862A2" w:rsidP="007862A2">
      <w:pPr>
        <w:pStyle w:val="PL"/>
      </w:pPr>
      <w:r>
        <w:t xml:space="preserve">                        '404':</w:t>
      </w:r>
    </w:p>
    <w:p w14:paraId="006FDEF2" w14:textId="77777777" w:rsidR="007862A2" w:rsidRDefault="007862A2" w:rsidP="007862A2">
      <w:pPr>
        <w:pStyle w:val="PL"/>
      </w:pPr>
      <w:r>
        <w:t xml:space="preserve">                          $ref: 'TS29571_CommonData.yaml#/components/responses/404'</w:t>
      </w:r>
    </w:p>
    <w:p w14:paraId="5EC888A2" w14:textId="77777777" w:rsidR="007862A2" w:rsidRDefault="007862A2" w:rsidP="007862A2">
      <w:pPr>
        <w:pStyle w:val="PL"/>
      </w:pPr>
      <w:r>
        <w:t xml:space="preserve">                        '406':</w:t>
      </w:r>
    </w:p>
    <w:p w14:paraId="4E2E9AD3" w14:textId="77777777" w:rsidR="007862A2" w:rsidRDefault="007862A2" w:rsidP="007862A2">
      <w:pPr>
        <w:pStyle w:val="PL"/>
      </w:pPr>
      <w:r>
        <w:t xml:space="preserve">                          $ref: 'TS29571_CommonData.yaml#/components/responses/406'</w:t>
      </w:r>
    </w:p>
    <w:p w14:paraId="6CF66C23" w14:textId="77777777" w:rsidR="007862A2" w:rsidRDefault="007862A2" w:rsidP="007862A2">
      <w:pPr>
        <w:pStyle w:val="PL"/>
      </w:pPr>
      <w:r>
        <w:t xml:space="preserve">                        '411':</w:t>
      </w:r>
    </w:p>
    <w:p w14:paraId="449F729A" w14:textId="77777777" w:rsidR="007862A2" w:rsidRDefault="007862A2" w:rsidP="007862A2">
      <w:pPr>
        <w:pStyle w:val="PL"/>
      </w:pPr>
      <w:r>
        <w:t xml:space="preserve">                          $ref: 'TS29571_CommonData.yaml#/components/responses/411'</w:t>
      </w:r>
    </w:p>
    <w:p w14:paraId="33FC4966" w14:textId="77777777" w:rsidR="007862A2" w:rsidRDefault="007862A2" w:rsidP="007862A2">
      <w:pPr>
        <w:pStyle w:val="PL"/>
      </w:pPr>
      <w:r>
        <w:lastRenderedPageBreak/>
        <w:t xml:space="preserve">                        '413':</w:t>
      </w:r>
    </w:p>
    <w:p w14:paraId="7098A485" w14:textId="77777777" w:rsidR="007862A2" w:rsidRDefault="007862A2" w:rsidP="007862A2">
      <w:pPr>
        <w:pStyle w:val="PL"/>
      </w:pPr>
      <w:r>
        <w:t xml:space="preserve">                          $ref: 'TS29571_CommonData.yaml#/components/responses/413'</w:t>
      </w:r>
    </w:p>
    <w:p w14:paraId="2AEC73AF" w14:textId="77777777" w:rsidR="007862A2" w:rsidRDefault="007862A2" w:rsidP="007862A2">
      <w:pPr>
        <w:pStyle w:val="PL"/>
      </w:pPr>
      <w:r>
        <w:t xml:space="preserve">                        '415':</w:t>
      </w:r>
    </w:p>
    <w:p w14:paraId="4C1ED3AB" w14:textId="77777777" w:rsidR="007862A2" w:rsidRDefault="007862A2" w:rsidP="007862A2">
      <w:pPr>
        <w:pStyle w:val="PL"/>
      </w:pPr>
      <w:r>
        <w:t xml:space="preserve">                          $ref: 'TS29571_CommonData.yaml#/components/responses/415'</w:t>
      </w:r>
    </w:p>
    <w:p w14:paraId="55AB31D1" w14:textId="77777777" w:rsidR="007862A2" w:rsidRDefault="007862A2" w:rsidP="007862A2">
      <w:pPr>
        <w:pStyle w:val="PL"/>
      </w:pPr>
      <w:r>
        <w:t xml:space="preserve">                        '429':</w:t>
      </w:r>
    </w:p>
    <w:p w14:paraId="23A311F1" w14:textId="77777777" w:rsidR="007862A2" w:rsidRDefault="007862A2" w:rsidP="007862A2">
      <w:pPr>
        <w:pStyle w:val="PL"/>
      </w:pPr>
      <w:r>
        <w:t xml:space="preserve">                          $ref: 'TS29571_CommonData.yaml#/components/responses/429'</w:t>
      </w:r>
    </w:p>
    <w:p w14:paraId="41F41D6C" w14:textId="77777777" w:rsidR="007862A2" w:rsidRDefault="007862A2" w:rsidP="007862A2">
      <w:pPr>
        <w:pStyle w:val="PL"/>
      </w:pPr>
      <w:r>
        <w:t xml:space="preserve">                        '500':</w:t>
      </w:r>
    </w:p>
    <w:p w14:paraId="4D198E07" w14:textId="77777777" w:rsidR="007862A2" w:rsidRDefault="007862A2" w:rsidP="007862A2">
      <w:pPr>
        <w:pStyle w:val="PL"/>
      </w:pPr>
      <w:r>
        <w:t xml:space="preserve">                          $ref: 'TS29571_CommonData.yaml#/components/responses/500'</w:t>
      </w:r>
    </w:p>
    <w:p w14:paraId="686A7B8E" w14:textId="77777777" w:rsidR="007862A2" w:rsidRDefault="007862A2" w:rsidP="007862A2">
      <w:pPr>
        <w:pStyle w:val="PL"/>
      </w:pPr>
      <w:r>
        <w:t xml:space="preserve">                        '502':</w:t>
      </w:r>
    </w:p>
    <w:p w14:paraId="5812EEB2" w14:textId="77777777" w:rsidR="007862A2" w:rsidRDefault="007862A2" w:rsidP="007862A2">
      <w:pPr>
        <w:pStyle w:val="PL"/>
      </w:pPr>
      <w:r>
        <w:t xml:space="preserve">                          $ref: 'TS29571_CommonData.yaml#/components/responses/502'</w:t>
      </w:r>
    </w:p>
    <w:p w14:paraId="695C0305" w14:textId="77777777" w:rsidR="007862A2" w:rsidRDefault="007862A2" w:rsidP="007862A2">
      <w:pPr>
        <w:pStyle w:val="PL"/>
      </w:pPr>
      <w:r>
        <w:t xml:space="preserve">                        '503':</w:t>
      </w:r>
    </w:p>
    <w:p w14:paraId="09ECC74A" w14:textId="77777777" w:rsidR="007862A2" w:rsidRDefault="007862A2" w:rsidP="007862A2">
      <w:pPr>
        <w:pStyle w:val="PL"/>
      </w:pPr>
      <w:r>
        <w:t xml:space="preserve">                          $ref: 'TS29571_CommonData.yaml#/components/responses/503'</w:t>
      </w:r>
    </w:p>
    <w:p w14:paraId="5BA607A5" w14:textId="77777777" w:rsidR="007862A2" w:rsidRDefault="007862A2" w:rsidP="007862A2">
      <w:pPr>
        <w:pStyle w:val="PL"/>
      </w:pPr>
      <w:r>
        <w:t xml:space="preserve">                        default:</w:t>
      </w:r>
    </w:p>
    <w:p w14:paraId="0B8033C4" w14:textId="77777777" w:rsidR="007862A2" w:rsidRDefault="007862A2" w:rsidP="007862A2">
      <w:pPr>
        <w:pStyle w:val="PL"/>
        <w:rPr>
          <w:lang w:val="en-IN" w:eastAsia="en-IN"/>
        </w:rPr>
      </w:pPr>
      <w:r>
        <w:t xml:space="preserve">                          $ref: 'TS29571_CommonData.yaml#/components/responses/default'</w:t>
      </w:r>
    </w:p>
    <w:p w14:paraId="504E8C1E" w14:textId="77777777" w:rsidR="007862A2" w:rsidRDefault="007862A2" w:rsidP="007862A2">
      <w:pPr>
        <w:pStyle w:val="PL"/>
      </w:pPr>
      <w:r>
        <w:t xml:space="preserve">  /subscriptions/{subscriptionId}:</w:t>
      </w:r>
    </w:p>
    <w:p w14:paraId="7062314A" w14:textId="77777777" w:rsidR="007862A2" w:rsidRDefault="007862A2" w:rsidP="007862A2">
      <w:pPr>
        <w:pStyle w:val="PL"/>
      </w:pPr>
      <w:r>
        <w:t xml:space="preserve">    put:</w:t>
      </w:r>
    </w:p>
    <w:p w14:paraId="0209CE49" w14:textId="77777777" w:rsidR="007862A2" w:rsidRDefault="007862A2" w:rsidP="007862A2">
      <w:pPr>
        <w:pStyle w:val="PL"/>
      </w:pPr>
      <w:r>
        <w:t xml:space="preserve">      summary: Update an existing Individual NWDAF Data Subscription.</w:t>
      </w:r>
    </w:p>
    <w:p w14:paraId="4D3B774C" w14:textId="77777777" w:rsidR="007862A2" w:rsidRDefault="007862A2" w:rsidP="007862A2">
      <w:pPr>
        <w:pStyle w:val="PL"/>
      </w:pPr>
      <w:r>
        <w:t xml:space="preserve">      operationId: UpdateNWDAFDataSubscription</w:t>
      </w:r>
    </w:p>
    <w:p w14:paraId="7D5C81F7" w14:textId="77777777" w:rsidR="007862A2" w:rsidRDefault="007862A2" w:rsidP="007862A2">
      <w:pPr>
        <w:pStyle w:val="PL"/>
      </w:pPr>
      <w:r>
        <w:t xml:space="preserve">      tags:</w:t>
      </w:r>
    </w:p>
    <w:p w14:paraId="60F2CC07" w14:textId="77777777" w:rsidR="007862A2" w:rsidRDefault="007862A2" w:rsidP="007862A2">
      <w:pPr>
        <w:pStyle w:val="PL"/>
      </w:pPr>
      <w:r>
        <w:t xml:space="preserve">        - Individual NWDAF Data Management Subscription (Document)</w:t>
      </w:r>
    </w:p>
    <w:p w14:paraId="5D8A0694" w14:textId="77777777" w:rsidR="007862A2" w:rsidRDefault="007862A2" w:rsidP="007862A2">
      <w:pPr>
        <w:pStyle w:val="PL"/>
      </w:pPr>
      <w:r>
        <w:t xml:space="preserve">      requestBody:</w:t>
      </w:r>
    </w:p>
    <w:p w14:paraId="132B3409" w14:textId="77777777" w:rsidR="007862A2" w:rsidRDefault="007862A2" w:rsidP="007862A2">
      <w:pPr>
        <w:pStyle w:val="PL"/>
      </w:pPr>
      <w:r>
        <w:t xml:space="preserve">        required: true</w:t>
      </w:r>
    </w:p>
    <w:p w14:paraId="7B77EFB1" w14:textId="77777777" w:rsidR="007862A2" w:rsidRDefault="007862A2" w:rsidP="007862A2">
      <w:pPr>
        <w:pStyle w:val="PL"/>
      </w:pPr>
      <w:r>
        <w:t xml:space="preserve">        content:</w:t>
      </w:r>
    </w:p>
    <w:p w14:paraId="433362DF" w14:textId="77777777" w:rsidR="007862A2" w:rsidRDefault="007862A2" w:rsidP="007862A2">
      <w:pPr>
        <w:pStyle w:val="PL"/>
      </w:pPr>
      <w:r>
        <w:t xml:space="preserve">          application/json:</w:t>
      </w:r>
    </w:p>
    <w:p w14:paraId="2564CB5F" w14:textId="77777777" w:rsidR="007862A2" w:rsidRDefault="007862A2" w:rsidP="007862A2">
      <w:pPr>
        <w:pStyle w:val="PL"/>
      </w:pPr>
      <w:r>
        <w:t xml:space="preserve">            schema:</w:t>
      </w:r>
    </w:p>
    <w:p w14:paraId="26DAC47E" w14:textId="77777777" w:rsidR="007862A2" w:rsidRDefault="007862A2" w:rsidP="007862A2">
      <w:pPr>
        <w:pStyle w:val="PL"/>
      </w:pPr>
      <w:r>
        <w:t xml:space="preserve">              $ref: '#/components/schemas/</w:t>
      </w:r>
      <w:r>
        <w:rPr>
          <w:rFonts w:eastAsia="等线"/>
        </w:rPr>
        <w:t>NnwdafDataManagementSubsc</w:t>
      </w:r>
      <w:r>
        <w:t>'</w:t>
      </w:r>
    </w:p>
    <w:p w14:paraId="31B0EC77" w14:textId="77777777" w:rsidR="007862A2" w:rsidRDefault="007862A2" w:rsidP="007862A2">
      <w:pPr>
        <w:pStyle w:val="PL"/>
      </w:pPr>
      <w:r>
        <w:t xml:space="preserve">      parameters:</w:t>
      </w:r>
    </w:p>
    <w:p w14:paraId="6B6C7123" w14:textId="77777777" w:rsidR="007862A2" w:rsidRDefault="007862A2" w:rsidP="007862A2">
      <w:pPr>
        <w:pStyle w:val="PL"/>
      </w:pPr>
      <w:r>
        <w:t xml:space="preserve">        - name: subscriptionId</w:t>
      </w:r>
    </w:p>
    <w:p w14:paraId="3A3D38BC" w14:textId="77777777" w:rsidR="007862A2" w:rsidRDefault="007862A2" w:rsidP="007862A2">
      <w:pPr>
        <w:pStyle w:val="PL"/>
      </w:pPr>
      <w:r>
        <w:t xml:space="preserve">          in: path</w:t>
      </w:r>
    </w:p>
    <w:p w14:paraId="59B66939" w14:textId="77777777" w:rsidR="007862A2" w:rsidRDefault="007862A2" w:rsidP="007862A2">
      <w:pPr>
        <w:pStyle w:val="PL"/>
      </w:pPr>
      <w:r>
        <w:t xml:space="preserve">          description: Event Subscription ID</w:t>
      </w:r>
    </w:p>
    <w:p w14:paraId="45EFA33F" w14:textId="77777777" w:rsidR="007862A2" w:rsidRDefault="007862A2" w:rsidP="007862A2">
      <w:pPr>
        <w:pStyle w:val="PL"/>
      </w:pPr>
      <w:r>
        <w:t xml:space="preserve">          required: true</w:t>
      </w:r>
    </w:p>
    <w:p w14:paraId="1556852D" w14:textId="77777777" w:rsidR="007862A2" w:rsidRDefault="007862A2" w:rsidP="007862A2">
      <w:pPr>
        <w:pStyle w:val="PL"/>
      </w:pPr>
      <w:r>
        <w:t xml:space="preserve">          schema:</w:t>
      </w:r>
    </w:p>
    <w:p w14:paraId="333FC84B" w14:textId="77777777" w:rsidR="007862A2" w:rsidRDefault="007862A2" w:rsidP="007862A2">
      <w:pPr>
        <w:pStyle w:val="PL"/>
      </w:pPr>
      <w:r>
        <w:t xml:space="preserve">            type: string</w:t>
      </w:r>
    </w:p>
    <w:p w14:paraId="30F3C0E2" w14:textId="77777777" w:rsidR="007862A2" w:rsidRDefault="007862A2" w:rsidP="007862A2">
      <w:pPr>
        <w:pStyle w:val="PL"/>
      </w:pPr>
      <w:r>
        <w:t xml:space="preserve">      responses:</w:t>
      </w:r>
    </w:p>
    <w:p w14:paraId="123B7D90" w14:textId="77777777" w:rsidR="007862A2" w:rsidRDefault="007862A2" w:rsidP="007862A2">
      <w:pPr>
        <w:pStyle w:val="PL"/>
      </w:pPr>
      <w:r>
        <w:t xml:space="preserve">        '200':</w:t>
      </w:r>
    </w:p>
    <w:p w14:paraId="0F4CC087" w14:textId="77777777" w:rsidR="007862A2" w:rsidRDefault="007862A2" w:rsidP="007862A2">
      <w:pPr>
        <w:pStyle w:val="PL"/>
      </w:pPr>
      <w:r>
        <w:t xml:space="preserve">          description: OK. Resource was succesfully modified and representation is returned</w:t>
      </w:r>
    </w:p>
    <w:p w14:paraId="0E82ABE6" w14:textId="77777777" w:rsidR="007862A2" w:rsidRDefault="007862A2" w:rsidP="007862A2">
      <w:pPr>
        <w:pStyle w:val="PL"/>
      </w:pPr>
      <w:r>
        <w:t xml:space="preserve">          content:</w:t>
      </w:r>
    </w:p>
    <w:p w14:paraId="46095A84" w14:textId="77777777" w:rsidR="007862A2" w:rsidRDefault="007862A2" w:rsidP="007862A2">
      <w:pPr>
        <w:pStyle w:val="PL"/>
      </w:pPr>
      <w:r>
        <w:t xml:space="preserve">            application/json:</w:t>
      </w:r>
    </w:p>
    <w:p w14:paraId="6FE24A20" w14:textId="77777777" w:rsidR="007862A2" w:rsidRDefault="007862A2" w:rsidP="007862A2">
      <w:pPr>
        <w:pStyle w:val="PL"/>
      </w:pPr>
      <w:r>
        <w:t xml:space="preserve">              schema:</w:t>
      </w:r>
    </w:p>
    <w:p w14:paraId="5742951A" w14:textId="77777777" w:rsidR="007862A2" w:rsidRDefault="007862A2" w:rsidP="007862A2">
      <w:pPr>
        <w:pStyle w:val="PL"/>
      </w:pPr>
      <w:r>
        <w:t xml:space="preserve">                $ref: '#/components/schemas/</w:t>
      </w:r>
      <w:r>
        <w:rPr>
          <w:rFonts w:eastAsia="等线"/>
        </w:rPr>
        <w:t>NnwdafDataManagementSubsc</w:t>
      </w:r>
      <w:r>
        <w:t>'</w:t>
      </w:r>
    </w:p>
    <w:p w14:paraId="305EDA71" w14:textId="77777777" w:rsidR="007862A2" w:rsidRDefault="007862A2" w:rsidP="007862A2">
      <w:pPr>
        <w:pStyle w:val="PL"/>
      </w:pPr>
      <w:r>
        <w:t xml:space="preserve">        '204':</w:t>
      </w:r>
    </w:p>
    <w:p w14:paraId="41EEEC47" w14:textId="77777777" w:rsidR="007862A2" w:rsidRDefault="007862A2" w:rsidP="007862A2">
      <w:pPr>
        <w:pStyle w:val="PL"/>
      </w:pPr>
      <w:r>
        <w:t xml:space="preserve">          description: No Content. Resource was succesfully modified</w:t>
      </w:r>
    </w:p>
    <w:p w14:paraId="05EB47B9" w14:textId="77777777" w:rsidR="007862A2" w:rsidRDefault="007862A2" w:rsidP="007862A2">
      <w:pPr>
        <w:pStyle w:val="PL"/>
      </w:pPr>
      <w:r>
        <w:t xml:space="preserve">        '307':</w:t>
      </w:r>
    </w:p>
    <w:p w14:paraId="2E2B3536" w14:textId="77777777" w:rsidR="007862A2" w:rsidRDefault="007862A2" w:rsidP="007862A2">
      <w:pPr>
        <w:pStyle w:val="PL"/>
      </w:pPr>
      <w:r>
        <w:t xml:space="preserve">          $ref: 'TS29571_CommonData.yaml#/components/responses/307'</w:t>
      </w:r>
    </w:p>
    <w:p w14:paraId="4AA52A83" w14:textId="77777777" w:rsidR="007862A2" w:rsidRDefault="007862A2" w:rsidP="007862A2">
      <w:pPr>
        <w:pStyle w:val="PL"/>
      </w:pPr>
      <w:r>
        <w:t xml:space="preserve">        '308':</w:t>
      </w:r>
    </w:p>
    <w:p w14:paraId="3D5CD1E3" w14:textId="77777777" w:rsidR="007862A2" w:rsidRDefault="007862A2" w:rsidP="007862A2">
      <w:pPr>
        <w:pStyle w:val="PL"/>
      </w:pPr>
      <w:r>
        <w:t xml:space="preserve">          $ref: 'TS29571_CommonData.yaml#/components/responses/308'</w:t>
      </w:r>
    </w:p>
    <w:p w14:paraId="2CECB354" w14:textId="77777777" w:rsidR="007862A2" w:rsidRDefault="007862A2" w:rsidP="007862A2">
      <w:pPr>
        <w:pStyle w:val="PL"/>
      </w:pPr>
      <w:r>
        <w:t xml:space="preserve">        '400':</w:t>
      </w:r>
    </w:p>
    <w:p w14:paraId="0FA86A65" w14:textId="77777777" w:rsidR="007862A2" w:rsidRDefault="007862A2" w:rsidP="007862A2">
      <w:pPr>
        <w:pStyle w:val="PL"/>
      </w:pPr>
      <w:r>
        <w:t xml:space="preserve">          $ref: 'TS29571_CommonData.yaml#/components/responses/400'</w:t>
      </w:r>
    </w:p>
    <w:p w14:paraId="4B06661A" w14:textId="77777777" w:rsidR="007862A2" w:rsidRDefault="007862A2" w:rsidP="007862A2">
      <w:pPr>
        <w:pStyle w:val="PL"/>
      </w:pPr>
      <w:r>
        <w:t xml:space="preserve">        '401':</w:t>
      </w:r>
    </w:p>
    <w:p w14:paraId="4F87E33D" w14:textId="77777777" w:rsidR="007862A2" w:rsidRDefault="007862A2" w:rsidP="007862A2">
      <w:pPr>
        <w:pStyle w:val="PL"/>
      </w:pPr>
      <w:r>
        <w:t xml:space="preserve">          $ref: 'TS29571_CommonData.yaml#/components/responses/401'</w:t>
      </w:r>
    </w:p>
    <w:p w14:paraId="2B25754D" w14:textId="77777777" w:rsidR="007862A2" w:rsidRDefault="007862A2" w:rsidP="007862A2">
      <w:pPr>
        <w:pStyle w:val="PL"/>
      </w:pPr>
      <w:r>
        <w:t xml:space="preserve">        '403':</w:t>
      </w:r>
    </w:p>
    <w:p w14:paraId="5711D227" w14:textId="77777777" w:rsidR="007862A2" w:rsidRDefault="007862A2" w:rsidP="007862A2">
      <w:pPr>
        <w:pStyle w:val="PL"/>
      </w:pPr>
      <w:r>
        <w:t xml:space="preserve">          $ref: 'TS29571_CommonData.yaml#/components/responses/403'</w:t>
      </w:r>
    </w:p>
    <w:p w14:paraId="61B8116F" w14:textId="77777777" w:rsidR="007862A2" w:rsidRDefault="007862A2" w:rsidP="007862A2">
      <w:pPr>
        <w:pStyle w:val="PL"/>
      </w:pPr>
      <w:r>
        <w:t xml:space="preserve">        '404':</w:t>
      </w:r>
    </w:p>
    <w:p w14:paraId="6D81C569" w14:textId="77777777" w:rsidR="007862A2" w:rsidRDefault="007862A2" w:rsidP="007862A2">
      <w:pPr>
        <w:pStyle w:val="PL"/>
      </w:pPr>
      <w:r>
        <w:t xml:space="preserve">          $ref: 'TS29571_CommonData.yaml#/components/responses/404'</w:t>
      </w:r>
    </w:p>
    <w:p w14:paraId="267F312D" w14:textId="77777777" w:rsidR="007862A2" w:rsidRDefault="007862A2" w:rsidP="007862A2">
      <w:pPr>
        <w:pStyle w:val="PL"/>
      </w:pPr>
      <w:r>
        <w:t xml:space="preserve">        '411':</w:t>
      </w:r>
    </w:p>
    <w:p w14:paraId="788E51B4" w14:textId="77777777" w:rsidR="007862A2" w:rsidRDefault="007862A2" w:rsidP="007862A2">
      <w:pPr>
        <w:pStyle w:val="PL"/>
      </w:pPr>
      <w:r>
        <w:t xml:space="preserve">          $ref: 'TS29571_CommonData.yaml#/components/responses/411'</w:t>
      </w:r>
    </w:p>
    <w:p w14:paraId="06E155BD" w14:textId="77777777" w:rsidR="007862A2" w:rsidRDefault="007862A2" w:rsidP="007862A2">
      <w:pPr>
        <w:pStyle w:val="PL"/>
      </w:pPr>
      <w:r>
        <w:t xml:space="preserve">        '413':</w:t>
      </w:r>
    </w:p>
    <w:p w14:paraId="0DA2E424" w14:textId="77777777" w:rsidR="007862A2" w:rsidRDefault="007862A2" w:rsidP="007862A2">
      <w:pPr>
        <w:pStyle w:val="PL"/>
      </w:pPr>
      <w:r>
        <w:t xml:space="preserve">          $ref: 'TS29571_CommonData.yaml#/components/responses/413'</w:t>
      </w:r>
    </w:p>
    <w:p w14:paraId="3D17008F" w14:textId="77777777" w:rsidR="007862A2" w:rsidRDefault="007862A2" w:rsidP="007862A2">
      <w:pPr>
        <w:pStyle w:val="PL"/>
      </w:pPr>
      <w:r>
        <w:t xml:space="preserve">        '415':</w:t>
      </w:r>
    </w:p>
    <w:p w14:paraId="367D52BB" w14:textId="77777777" w:rsidR="007862A2" w:rsidRDefault="007862A2" w:rsidP="007862A2">
      <w:pPr>
        <w:pStyle w:val="PL"/>
      </w:pPr>
      <w:r>
        <w:t xml:space="preserve">          $ref: 'TS29571_CommonData.yaml#/components/responses/415'</w:t>
      </w:r>
    </w:p>
    <w:p w14:paraId="00DB8F2D" w14:textId="77777777" w:rsidR="007862A2" w:rsidRDefault="007862A2" w:rsidP="007862A2">
      <w:pPr>
        <w:pStyle w:val="PL"/>
      </w:pPr>
      <w:r>
        <w:t xml:space="preserve">        '429':</w:t>
      </w:r>
    </w:p>
    <w:p w14:paraId="02107084" w14:textId="77777777" w:rsidR="007862A2" w:rsidRDefault="007862A2" w:rsidP="007862A2">
      <w:pPr>
        <w:pStyle w:val="PL"/>
      </w:pPr>
      <w:r>
        <w:t xml:space="preserve">          $ref: 'TS29571_CommonData.yaml#/components/responses/429'</w:t>
      </w:r>
    </w:p>
    <w:p w14:paraId="4BB93026" w14:textId="77777777" w:rsidR="007862A2" w:rsidRDefault="007862A2" w:rsidP="007862A2">
      <w:pPr>
        <w:pStyle w:val="PL"/>
      </w:pPr>
      <w:r>
        <w:t xml:space="preserve">        '500':</w:t>
      </w:r>
    </w:p>
    <w:p w14:paraId="1A790FFD" w14:textId="77777777" w:rsidR="007862A2" w:rsidRDefault="007862A2" w:rsidP="007862A2">
      <w:pPr>
        <w:pStyle w:val="PL"/>
      </w:pPr>
      <w:r>
        <w:t xml:space="preserve">          $ref: 'TS29571_CommonData.yaml#/components/responses/500'</w:t>
      </w:r>
    </w:p>
    <w:p w14:paraId="31671089" w14:textId="77777777" w:rsidR="007862A2" w:rsidRDefault="007862A2" w:rsidP="007862A2">
      <w:pPr>
        <w:pStyle w:val="PL"/>
      </w:pPr>
      <w:r>
        <w:t xml:space="preserve">        '502':</w:t>
      </w:r>
    </w:p>
    <w:p w14:paraId="59F23760" w14:textId="77777777" w:rsidR="007862A2" w:rsidRDefault="007862A2" w:rsidP="007862A2">
      <w:pPr>
        <w:pStyle w:val="PL"/>
      </w:pPr>
      <w:r>
        <w:t xml:space="preserve">          $ref: 'TS29571_CommonData.yaml#/components/responses/502'</w:t>
      </w:r>
    </w:p>
    <w:p w14:paraId="3C435563" w14:textId="77777777" w:rsidR="007862A2" w:rsidRDefault="007862A2" w:rsidP="007862A2">
      <w:pPr>
        <w:pStyle w:val="PL"/>
      </w:pPr>
      <w:r>
        <w:t xml:space="preserve">        '503':</w:t>
      </w:r>
    </w:p>
    <w:p w14:paraId="7E2F85F0" w14:textId="77777777" w:rsidR="007862A2" w:rsidRDefault="007862A2" w:rsidP="007862A2">
      <w:pPr>
        <w:pStyle w:val="PL"/>
      </w:pPr>
      <w:r>
        <w:t xml:space="preserve">          $ref: 'TS29571_CommonData.yaml#/components/responses/503'</w:t>
      </w:r>
    </w:p>
    <w:p w14:paraId="00323344" w14:textId="77777777" w:rsidR="007862A2" w:rsidRDefault="007862A2" w:rsidP="007862A2">
      <w:pPr>
        <w:pStyle w:val="PL"/>
      </w:pPr>
      <w:r>
        <w:t xml:space="preserve">        default:</w:t>
      </w:r>
    </w:p>
    <w:p w14:paraId="20E55A8C" w14:textId="77777777" w:rsidR="007862A2" w:rsidRDefault="007862A2" w:rsidP="007862A2">
      <w:pPr>
        <w:pStyle w:val="PL"/>
      </w:pPr>
      <w:r>
        <w:t xml:space="preserve">          $ref: 'TS29571_CommonData.yaml#/components/responses/default'</w:t>
      </w:r>
    </w:p>
    <w:p w14:paraId="19CF7219" w14:textId="77777777" w:rsidR="007862A2" w:rsidRDefault="007862A2" w:rsidP="007862A2">
      <w:pPr>
        <w:pStyle w:val="PL"/>
      </w:pPr>
      <w:r>
        <w:t xml:space="preserve">    delete:</w:t>
      </w:r>
    </w:p>
    <w:p w14:paraId="4658E4A6" w14:textId="77777777" w:rsidR="007862A2" w:rsidRDefault="007862A2" w:rsidP="007862A2">
      <w:pPr>
        <w:pStyle w:val="PL"/>
      </w:pPr>
      <w:r>
        <w:t xml:space="preserve">      summary: unsubscribe from notifications</w:t>
      </w:r>
    </w:p>
    <w:p w14:paraId="5B489DA7" w14:textId="77777777" w:rsidR="007862A2" w:rsidRDefault="007862A2" w:rsidP="007862A2">
      <w:pPr>
        <w:pStyle w:val="PL"/>
      </w:pPr>
      <w:r>
        <w:t xml:space="preserve">      operationId: DeleteNWDAFDataSubscription</w:t>
      </w:r>
    </w:p>
    <w:p w14:paraId="0BD4F859" w14:textId="77777777" w:rsidR="007862A2" w:rsidRDefault="007862A2" w:rsidP="007862A2">
      <w:pPr>
        <w:pStyle w:val="PL"/>
      </w:pPr>
      <w:r>
        <w:t xml:space="preserve">      tags:</w:t>
      </w:r>
    </w:p>
    <w:p w14:paraId="0448184C" w14:textId="77777777" w:rsidR="007862A2" w:rsidRDefault="007862A2" w:rsidP="007862A2">
      <w:pPr>
        <w:pStyle w:val="PL"/>
      </w:pPr>
      <w:r>
        <w:t xml:space="preserve">        - Individual NWDAF Data Management Subscription (Document)</w:t>
      </w:r>
    </w:p>
    <w:p w14:paraId="5CD8C44B" w14:textId="77777777" w:rsidR="007862A2" w:rsidRDefault="007862A2" w:rsidP="007862A2">
      <w:pPr>
        <w:pStyle w:val="PL"/>
      </w:pPr>
      <w:r>
        <w:t xml:space="preserve">      parameters:</w:t>
      </w:r>
    </w:p>
    <w:p w14:paraId="02EF634A" w14:textId="77777777" w:rsidR="007862A2" w:rsidRDefault="007862A2" w:rsidP="007862A2">
      <w:pPr>
        <w:pStyle w:val="PL"/>
      </w:pPr>
      <w:r>
        <w:t xml:space="preserve">        - name: subscriptionId</w:t>
      </w:r>
    </w:p>
    <w:p w14:paraId="34C0D2E5" w14:textId="77777777" w:rsidR="007862A2" w:rsidRDefault="007862A2" w:rsidP="007862A2">
      <w:pPr>
        <w:pStyle w:val="PL"/>
      </w:pPr>
      <w:r>
        <w:t xml:space="preserve">          in: path</w:t>
      </w:r>
    </w:p>
    <w:p w14:paraId="646759D5" w14:textId="77777777" w:rsidR="007862A2" w:rsidRDefault="007862A2" w:rsidP="007862A2">
      <w:pPr>
        <w:pStyle w:val="PL"/>
      </w:pPr>
      <w:r>
        <w:lastRenderedPageBreak/>
        <w:t xml:space="preserve">          description: Event Subscription ID</w:t>
      </w:r>
    </w:p>
    <w:p w14:paraId="6BEE2B86" w14:textId="77777777" w:rsidR="007862A2" w:rsidRDefault="007862A2" w:rsidP="007862A2">
      <w:pPr>
        <w:pStyle w:val="PL"/>
      </w:pPr>
      <w:r>
        <w:t xml:space="preserve">          required: true</w:t>
      </w:r>
    </w:p>
    <w:p w14:paraId="2B08AA25" w14:textId="77777777" w:rsidR="007862A2" w:rsidRDefault="007862A2" w:rsidP="007862A2">
      <w:pPr>
        <w:pStyle w:val="PL"/>
      </w:pPr>
      <w:r>
        <w:t xml:space="preserve">          schema:</w:t>
      </w:r>
    </w:p>
    <w:p w14:paraId="067407AA" w14:textId="77777777" w:rsidR="007862A2" w:rsidRDefault="007862A2" w:rsidP="007862A2">
      <w:pPr>
        <w:pStyle w:val="PL"/>
      </w:pPr>
      <w:r>
        <w:t xml:space="preserve">            type: string</w:t>
      </w:r>
    </w:p>
    <w:p w14:paraId="2C56BD68" w14:textId="77777777" w:rsidR="007862A2" w:rsidRDefault="007862A2" w:rsidP="007862A2">
      <w:pPr>
        <w:pStyle w:val="PL"/>
      </w:pPr>
      <w:r>
        <w:t xml:space="preserve">      responses:</w:t>
      </w:r>
    </w:p>
    <w:p w14:paraId="16ACFE8C" w14:textId="77777777" w:rsidR="007862A2" w:rsidRDefault="007862A2" w:rsidP="007862A2">
      <w:pPr>
        <w:pStyle w:val="PL"/>
      </w:pPr>
      <w:r>
        <w:t xml:space="preserve">        '204':</w:t>
      </w:r>
    </w:p>
    <w:p w14:paraId="05AE0A71" w14:textId="77777777" w:rsidR="007862A2" w:rsidRDefault="007862A2" w:rsidP="007862A2">
      <w:pPr>
        <w:pStyle w:val="PL"/>
      </w:pPr>
      <w:r>
        <w:t xml:space="preserve">          description: No Content. Resource was succesfully deleted</w:t>
      </w:r>
    </w:p>
    <w:p w14:paraId="00D352C4" w14:textId="77777777" w:rsidR="007862A2" w:rsidRDefault="007862A2" w:rsidP="007862A2">
      <w:pPr>
        <w:pStyle w:val="PL"/>
      </w:pPr>
      <w:r>
        <w:t xml:space="preserve">        </w:t>
      </w:r>
      <w:bookmarkStart w:id="17262" w:name="_Hlk146628964"/>
      <w:r>
        <w:t>'200':</w:t>
      </w:r>
    </w:p>
    <w:p w14:paraId="461AE825" w14:textId="77777777" w:rsidR="007862A2" w:rsidRDefault="007862A2" w:rsidP="007862A2">
      <w:pPr>
        <w:pStyle w:val="PL"/>
      </w:pPr>
      <w:r>
        <w:t xml:space="preserve">          description: &gt;</w:t>
      </w:r>
    </w:p>
    <w:p w14:paraId="11489D1A" w14:textId="77777777" w:rsidR="007862A2" w:rsidRDefault="007862A2" w:rsidP="007862A2">
      <w:pPr>
        <w:pStyle w:val="PL"/>
      </w:pPr>
      <w:r>
        <w:t xml:space="preserve">            Resource was succesfully deleted and including the stored unsent events in the response.</w:t>
      </w:r>
    </w:p>
    <w:p w14:paraId="29BF9C3A" w14:textId="77777777" w:rsidR="007862A2" w:rsidRDefault="007862A2" w:rsidP="007862A2">
      <w:pPr>
        <w:pStyle w:val="PL"/>
      </w:pPr>
      <w:r>
        <w:t xml:space="preserve">                  content:</w:t>
      </w:r>
    </w:p>
    <w:p w14:paraId="36D9363C" w14:textId="77777777" w:rsidR="007862A2" w:rsidRDefault="007862A2" w:rsidP="007862A2">
      <w:pPr>
        <w:pStyle w:val="PL"/>
      </w:pPr>
      <w:r>
        <w:t xml:space="preserve">                    application/json:</w:t>
      </w:r>
    </w:p>
    <w:p w14:paraId="46027B7B" w14:textId="77777777" w:rsidR="007862A2" w:rsidRDefault="007862A2" w:rsidP="007862A2">
      <w:pPr>
        <w:pStyle w:val="PL"/>
      </w:pPr>
      <w:r>
        <w:t xml:space="preserve">                      schema:</w:t>
      </w:r>
    </w:p>
    <w:p w14:paraId="6847F5CC" w14:textId="77777777" w:rsidR="007862A2" w:rsidRDefault="007862A2" w:rsidP="007862A2">
      <w:pPr>
        <w:pStyle w:val="PL"/>
      </w:pPr>
      <w:r>
        <w:t xml:space="preserve">                        $ref: '#/components/schemas/NwdafDataManagementNotif'</w:t>
      </w:r>
      <w:bookmarkEnd w:id="17262"/>
    </w:p>
    <w:p w14:paraId="2BAD8454" w14:textId="77777777" w:rsidR="007862A2" w:rsidRDefault="007862A2" w:rsidP="007862A2">
      <w:pPr>
        <w:pStyle w:val="PL"/>
      </w:pPr>
      <w:r>
        <w:t xml:space="preserve">        '307':</w:t>
      </w:r>
    </w:p>
    <w:p w14:paraId="3ABA4F9A" w14:textId="77777777" w:rsidR="007862A2" w:rsidRDefault="007862A2" w:rsidP="007862A2">
      <w:pPr>
        <w:pStyle w:val="PL"/>
      </w:pPr>
      <w:r>
        <w:t xml:space="preserve">          $ref: 'TS29571_CommonData.yaml#/components/responses/307'</w:t>
      </w:r>
    </w:p>
    <w:p w14:paraId="188C8C8E" w14:textId="77777777" w:rsidR="007862A2" w:rsidRDefault="007862A2" w:rsidP="007862A2">
      <w:pPr>
        <w:pStyle w:val="PL"/>
      </w:pPr>
      <w:r>
        <w:t xml:space="preserve">        '308':</w:t>
      </w:r>
    </w:p>
    <w:p w14:paraId="62F8F39C" w14:textId="77777777" w:rsidR="007862A2" w:rsidRDefault="007862A2" w:rsidP="007862A2">
      <w:pPr>
        <w:pStyle w:val="PL"/>
      </w:pPr>
      <w:r>
        <w:t xml:space="preserve">          $ref: 'TS29571_CommonData.yaml#/components/responses/308'</w:t>
      </w:r>
    </w:p>
    <w:p w14:paraId="03A68137" w14:textId="77777777" w:rsidR="007862A2" w:rsidRDefault="007862A2" w:rsidP="007862A2">
      <w:pPr>
        <w:pStyle w:val="PL"/>
      </w:pPr>
      <w:r>
        <w:t xml:space="preserve">        '400':</w:t>
      </w:r>
    </w:p>
    <w:p w14:paraId="25B7D0C8" w14:textId="77777777" w:rsidR="007862A2" w:rsidRDefault="007862A2" w:rsidP="007862A2">
      <w:pPr>
        <w:pStyle w:val="PL"/>
      </w:pPr>
      <w:r>
        <w:t xml:space="preserve">          $ref: 'TS29571_CommonData.yaml#/components/responses/400'</w:t>
      </w:r>
    </w:p>
    <w:p w14:paraId="17D14C2B" w14:textId="77777777" w:rsidR="007862A2" w:rsidRDefault="007862A2" w:rsidP="007862A2">
      <w:pPr>
        <w:pStyle w:val="PL"/>
      </w:pPr>
      <w:r>
        <w:t xml:space="preserve">        '401':</w:t>
      </w:r>
    </w:p>
    <w:p w14:paraId="5363DA59" w14:textId="77777777" w:rsidR="007862A2" w:rsidRDefault="007862A2" w:rsidP="007862A2">
      <w:pPr>
        <w:pStyle w:val="PL"/>
      </w:pPr>
      <w:r>
        <w:t xml:space="preserve">          $ref: 'TS29571_CommonData.yaml#/components/responses/401'</w:t>
      </w:r>
    </w:p>
    <w:p w14:paraId="38BC622C" w14:textId="77777777" w:rsidR="007862A2" w:rsidRDefault="007862A2" w:rsidP="007862A2">
      <w:pPr>
        <w:pStyle w:val="PL"/>
      </w:pPr>
      <w:r>
        <w:t xml:space="preserve">        '403':</w:t>
      </w:r>
    </w:p>
    <w:p w14:paraId="2E0F03A8" w14:textId="77777777" w:rsidR="007862A2" w:rsidRDefault="007862A2" w:rsidP="007862A2">
      <w:pPr>
        <w:pStyle w:val="PL"/>
      </w:pPr>
      <w:r>
        <w:t xml:space="preserve">          $ref: 'TS29571_CommonData.yaml#/components/responses/403'</w:t>
      </w:r>
    </w:p>
    <w:p w14:paraId="110C1D6D" w14:textId="77777777" w:rsidR="007862A2" w:rsidRDefault="007862A2" w:rsidP="007862A2">
      <w:pPr>
        <w:pStyle w:val="PL"/>
      </w:pPr>
      <w:r>
        <w:t xml:space="preserve">        '404':</w:t>
      </w:r>
    </w:p>
    <w:p w14:paraId="18D18676" w14:textId="77777777" w:rsidR="007862A2" w:rsidRDefault="007862A2" w:rsidP="007862A2">
      <w:pPr>
        <w:pStyle w:val="PL"/>
      </w:pPr>
      <w:r>
        <w:t xml:space="preserve">          $ref: 'TS29571_CommonData.yaml#/components/responses/404'</w:t>
      </w:r>
    </w:p>
    <w:p w14:paraId="3920289F" w14:textId="77777777" w:rsidR="007862A2" w:rsidRDefault="007862A2" w:rsidP="007862A2">
      <w:pPr>
        <w:pStyle w:val="PL"/>
      </w:pPr>
      <w:r>
        <w:t xml:space="preserve">        '429':</w:t>
      </w:r>
    </w:p>
    <w:p w14:paraId="21C327BE" w14:textId="77777777" w:rsidR="007862A2" w:rsidRDefault="007862A2" w:rsidP="007862A2">
      <w:pPr>
        <w:pStyle w:val="PL"/>
      </w:pPr>
      <w:r>
        <w:t xml:space="preserve">          $ref: 'TS29571_CommonData.yaml#/components/responses/429'</w:t>
      </w:r>
    </w:p>
    <w:p w14:paraId="56D85E8B" w14:textId="77777777" w:rsidR="007862A2" w:rsidRDefault="007862A2" w:rsidP="007862A2">
      <w:pPr>
        <w:pStyle w:val="PL"/>
      </w:pPr>
      <w:r>
        <w:t xml:space="preserve">        '500':</w:t>
      </w:r>
    </w:p>
    <w:p w14:paraId="45AFCF04" w14:textId="77777777" w:rsidR="007862A2" w:rsidRDefault="007862A2" w:rsidP="007862A2">
      <w:pPr>
        <w:pStyle w:val="PL"/>
      </w:pPr>
      <w:r>
        <w:t xml:space="preserve">          $ref: 'TS29571_CommonData.yaml#/components/responses/500'</w:t>
      </w:r>
    </w:p>
    <w:p w14:paraId="04A5A21A" w14:textId="77777777" w:rsidR="007862A2" w:rsidRDefault="007862A2" w:rsidP="007862A2">
      <w:pPr>
        <w:pStyle w:val="PL"/>
      </w:pPr>
      <w:r>
        <w:t xml:space="preserve">        '502':</w:t>
      </w:r>
    </w:p>
    <w:p w14:paraId="61486429" w14:textId="77777777" w:rsidR="007862A2" w:rsidRDefault="007862A2" w:rsidP="007862A2">
      <w:pPr>
        <w:pStyle w:val="PL"/>
      </w:pPr>
      <w:r>
        <w:t xml:space="preserve">          $ref: 'TS29571_CommonData.yaml#/components/responses/502'</w:t>
      </w:r>
    </w:p>
    <w:p w14:paraId="313752E2" w14:textId="77777777" w:rsidR="007862A2" w:rsidRDefault="007862A2" w:rsidP="007862A2">
      <w:pPr>
        <w:pStyle w:val="PL"/>
      </w:pPr>
      <w:r>
        <w:t xml:space="preserve">        '503':</w:t>
      </w:r>
    </w:p>
    <w:p w14:paraId="327387B6" w14:textId="77777777" w:rsidR="007862A2" w:rsidRDefault="007862A2" w:rsidP="007862A2">
      <w:pPr>
        <w:pStyle w:val="PL"/>
      </w:pPr>
      <w:r>
        <w:t xml:space="preserve">          $ref: 'TS29571_CommonData.yaml#/components/responses/503'</w:t>
      </w:r>
    </w:p>
    <w:p w14:paraId="152A2244" w14:textId="77777777" w:rsidR="007862A2" w:rsidRDefault="007862A2" w:rsidP="007862A2">
      <w:pPr>
        <w:pStyle w:val="PL"/>
      </w:pPr>
      <w:r>
        <w:t xml:space="preserve">        default:</w:t>
      </w:r>
    </w:p>
    <w:p w14:paraId="0C7159AE" w14:textId="77777777" w:rsidR="007862A2" w:rsidRDefault="007862A2" w:rsidP="007862A2">
      <w:pPr>
        <w:pStyle w:val="PL"/>
      </w:pPr>
      <w:r>
        <w:t xml:space="preserve">          $ref: 'TS29571_CommonData.yaml#/components/responses/default'</w:t>
      </w:r>
    </w:p>
    <w:p w14:paraId="738A2CEB" w14:textId="77777777" w:rsidR="007862A2" w:rsidRDefault="007862A2" w:rsidP="007862A2">
      <w:pPr>
        <w:pStyle w:val="PL"/>
      </w:pPr>
    </w:p>
    <w:p w14:paraId="16EA22DE" w14:textId="77777777" w:rsidR="007862A2" w:rsidRDefault="007862A2" w:rsidP="007862A2">
      <w:pPr>
        <w:pStyle w:val="PL"/>
      </w:pPr>
      <w:r>
        <w:t>components:</w:t>
      </w:r>
    </w:p>
    <w:p w14:paraId="2F485CEA" w14:textId="77777777" w:rsidR="007862A2" w:rsidRDefault="007862A2" w:rsidP="007862A2">
      <w:pPr>
        <w:pStyle w:val="PL"/>
      </w:pPr>
      <w:r>
        <w:t xml:space="preserve">  securitySchemes:</w:t>
      </w:r>
    </w:p>
    <w:p w14:paraId="062154AE" w14:textId="77777777" w:rsidR="007862A2" w:rsidRDefault="007862A2" w:rsidP="007862A2">
      <w:pPr>
        <w:pStyle w:val="PL"/>
      </w:pPr>
      <w:r>
        <w:t xml:space="preserve">    oAuth2ClientCredentials:</w:t>
      </w:r>
    </w:p>
    <w:p w14:paraId="47BA3841" w14:textId="77777777" w:rsidR="007862A2" w:rsidRDefault="007862A2" w:rsidP="007862A2">
      <w:pPr>
        <w:pStyle w:val="PL"/>
      </w:pPr>
      <w:r>
        <w:t xml:space="preserve">      type: oauth2</w:t>
      </w:r>
    </w:p>
    <w:p w14:paraId="4E0CF36C" w14:textId="77777777" w:rsidR="007862A2" w:rsidRDefault="007862A2" w:rsidP="007862A2">
      <w:pPr>
        <w:pStyle w:val="PL"/>
      </w:pPr>
      <w:r>
        <w:t xml:space="preserve">      flows:</w:t>
      </w:r>
    </w:p>
    <w:p w14:paraId="61E35FF5" w14:textId="77777777" w:rsidR="007862A2" w:rsidRDefault="007862A2" w:rsidP="007862A2">
      <w:pPr>
        <w:pStyle w:val="PL"/>
      </w:pPr>
      <w:r>
        <w:t xml:space="preserve">        clientCredentials:</w:t>
      </w:r>
    </w:p>
    <w:p w14:paraId="6AE51F28" w14:textId="77777777" w:rsidR="007862A2" w:rsidRDefault="007862A2" w:rsidP="007862A2">
      <w:pPr>
        <w:pStyle w:val="PL"/>
      </w:pPr>
      <w:r>
        <w:t xml:space="preserve">          tokenUrl: '{nrfApiRoot}/oauth2/token'</w:t>
      </w:r>
    </w:p>
    <w:p w14:paraId="72E9239C" w14:textId="77777777" w:rsidR="007862A2" w:rsidRDefault="007862A2" w:rsidP="007862A2">
      <w:pPr>
        <w:pStyle w:val="PL"/>
      </w:pPr>
      <w:r>
        <w:t xml:space="preserve">          scopes:</w:t>
      </w:r>
    </w:p>
    <w:p w14:paraId="75080F08" w14:textId="77777777" w:rsidR="007862A2" w:rsidRDefault="007862A2" w:rsidP="007862A2">
      <w:pPr>
        <w:pStyle w:val="PL"/>
      </w:pPr>
      <w:r>
        <w:t xml:space="preserve">            n</w:t>
      </w:r>
      <w:r>
        <w:rPr>
          <w:lang w:eastAsia="ja-JP"/>
        </w:rPr>
        <w:t>nwdaf-datamanagement</w:t>
      </w:r>
      <w:r>
        <w:t xml:space="preserve">: Access to the </w:t>
      </w:r>
      <w:r>
        <w:rPr>
          <w:lang w:eastAsia="ja-JP"/>
        </w:rPr>
        <w:t>Nnwdaf_DataManagement</w:t>
      </w:r>
      <w:r>
        <w:rPr>
          <w:lang w:eastAsia="zh-CN"/>
        </w:rPr>
        <w:t xml:space="preserve"> </w:t>
      </w:r>
      <w:r>
        <w:t>API</w:t>
      </w:r>
    </w:p>
    <w:p w14:paraId="51358D62" w14:textId="77777777" w:rsidR="007862A2" w:rsidRDefault="007862A2" w:rsidP="007862A2">
      <w:pPr>
        <w:pStyle w:val="PL"/>
      </w:pPr>
    </w:p>
    <w:p w14:paraId="0E7DBC99" w14:textId="77777777" w:rsidR="007862A2" w:rsidRDefault="007862A2" w:rsidP="007862A2">
      <w:pPr>
        <w:pStyle w:val="PL"/>
      </w:pPr>
      <w:r>
        <w:t xml:space="preserve">  schemas:</w:t>
      </w:r>
    </w:p>
    <w:p w14:paraId="08B904D0" w14:textId="77777777" w:rsidR="007862A2" w:rsidRDefault="007862A2" w:rsidP="007862A2">
      <w:pPr>
        <w:pStyle w:val="PL"/>
      </w:pPr>
      <w:r>
        <w:t xml:space="preserve">    </w:t>
      </w:r>
      <w:r>
        <w:rPr>
          <w:rFonts w:eastAsia="等线"/>
        </w:rPr>
        <w:t>NnwdafDataManagementSubsc</w:t>
      </w:r>
      <w:r>
        <w:t>:</w:t>
      </w:r>
    </w:p>
    <w:p w14:paraId="3CFA6120" w14:textId="77777777" w:rsidR="007862A2" w:rsidRDefault="007862A2" w:rsidP="007862A2">
      <w:pPr>
        <w:pStyle w:val="PL"/>
      </w:pPr>
      <w:r>
        <w:t xml:space="preserve">      description: Represents an Individual NWDAF </w:t>
      </w:r>
      <w:r>
        <w:rPr>
          <w:lang w:eastAsia="zh-CN"/>
        </w:rPr>
        <w:t>Data Management</w:t>
      </w:r>
      <w:r>
        <w:t xml:space="preserve"> Subscription resource.</w:t>
      </w:r>
    </w:p>
    <w:p w14:paraId="6C6CDFFD" w14:textId="77777777" w:rsidR="007862A2" w:rsidRDefault="007862A2" w:rsidP="007862A2">
      <w:pPr>
        <w:pStyle w:val="PL"/>
      </w:pPr>
      <w:r>
        <w:t xml:space="preserve">      type: object</w:t>
      </w:r>
    </w:p>
    <w:p w14:paraId="27D9E52C" w14:textId="77777777" w:rsidR="007862A2" w:rsidRDefault="007862A2" w:rsidP="007862A2">
      <w:pPr>
        <w:pStyle w:val="PL"/>
      </w:pPr>
      <w:r>
        <w:t xml:space="preserve">      properties:</w:t>
      </w:r>
    </w:p>
    <w:p w14:paraId="6D3990FD" w14:textId="77777777" w:rsidR="007862A2" w:rsidRDefault="007862A2" w:rsidP="007862A2">
      <w:pPr>
        <w:pStyle w:val="PL"/>
      </w:pPr>
      <w:r>
        <w:t xml:space="preserve">        adrfId:</w:t>
      </w:r>
    </w:p>
    <w:p w14:paraId="547C291A" w14:textId="77777777" w:rsidR="007862A2" w:rsidRDefault="007862A2" w:rsidP="007862A2">
      <w:pPr>
        <w:pStyle w:val="PL"/>
      </w:pPr>
      <w:r>
        <w:t xml:space="preserve">          $ref: 'TS29571_CommonData.yaml#/components/schemas/NfInstanceId'</w:t>
      </w:r>
    </w:p>
    <w:p w14:paraId="3A41B991" w14:textId="77777777" w:rsidR="007862A2" w:rsidRDefault="007862A2" w:rsidP="007862A2">
      <w:pPr>
        <w:pStyle w:val="PL"/>
      </w:pPr>
      <w:r>
        <w:t xml:space="preserve">        adrfSetId:</w:t>
      </w:r>
    </w:p>
    <w:p w14:paraId="0678B177" w14:textId="77777777" w:rsidR="007862A2" w:rsidRDefault="007862A2" w:rsidP="007862A2">
      <w:pPr>
        <w:pStyle w:val="PL"/>
      </w:pPr>
      <w:r>
        <w:t xml:space="preserve">          $ref: 'TS29571_CommonData.yaml#/components/schemas/NfSetId'</w:t>
      </w:r>
    </w:p>
    <w:p w14:paraId="5F3CE823" w14:textId="77777777" w:rsidR="007862A2" w:rsidRDefault="007862A2" w:rsidP="007862A2">
      <w:pPr>
        <w:pStyle w:val="PL"/>
      </w:pPr>
      <w:r>
        <w:t xml:space="preserve">        anaSub:</w:t>
      </w:r>
    </w:p>
    <w:p w14:paraId="3EA2729D" w14:textId="77777777" w:rsidR="007862A2" w:rsidRDefault="007862A2" w:rsidP="007862A2">
      <w:pPr>
        <w:pStyle w:val="PL"/>
      </w:pPr>
      <w:r>
        <w:t xml:space="preserve">          $ref: 'TS29520_Nnwdaf_EventsSubscription.yaml#/components/schemas/NnwdafEventsSubscription'</w:t>
      </w:r>
    </w:p>
    <w:p w14:paraId="7913BA16" w14:textId="77777777" w:rsidR="007862A2" w:rsidRDefault="007862A2" w:rsidP="007862A2">
      <w:pPr>
        <w:pStyle w:val="PL"/>
      </w:pPr>
      <w:r>
        <w:t xml:space="preserve">        </w:t>
      </w:r>
      <w:r>
        <w:rPr>
          <w:lang w:eastAsia="zh-CN"/>
        </w:rPr>
        <w:t>dataCollectPurposes</w:t>
      </w:r>
      <w:r>
        <w:t>:</w:t>
      </w:r>
    </w:p>
    <w:p w14:paraId="04D6E205" w14:textId="77777777" w:rsidR="007862A2" w:rsidRDefault="007862A2" w:rsidP="007862A2">
      <w:pPr>
        <w:pStyle w:val="PL"/>
        <w:rPr>
          <w:lang w:eastAsia="zh-CN"/>
        </w:rPr>
      </w:pPr>
      <w:r>
        <w:rPr>
          <w:lang w:eastAsia="zh-CN"/>
        </w:rPr>
        <w:t xml:space="preserve">          type: array</w:t>
      </w:r>
    </w:p>
    <w:p w14:paraId="42A98F64" w14:textId="77777777" w:rsidR="007862A2" w:rsidRDefault="007862A2" w:rsidP="007862A2">
      <w:pPr>
        <w:pStyle w:val="PL"/>
        <w:rPr>
          <w:lang w:eastAsia="zh-CN"/>
        </w:rPr>
      </w:pPr>
      <w:r>
        <w:rPr>
          <w:lang w:eastAsia="zh-CN"/>
        </w:rPr>
        <w:t xml:space="preserve">          items:</w:t>
      </w:r>
    </w:p>
    <w:p w14:paraId="7DEEC44B" w14:textId="77777777" w:rsidR="007862A2" w:rsidRDefault="007862A2" w:rsidP="007862A2">
      <w:pPr>
        <w:pStyle w:val="PL"/>
      </w:pPr>
      <w:r>
        <w:t xml:space="preserve">            $ref: 'TS29574_Ndccf_DataManagement.yaml#/components/schemas/DataCollectionPurpose'</w:t>
      </w:r>
    </w:p>
    <w:p w14:paraId="4BED70B3" w14:textId="77777777" w:rsidR="007862A2" w:rsidRDefault="007862A2" w:rsidP="007862A2">
      <w:pPr>
        <w:pStyle w:val="PL"/>
        <w:rPr>
          <w:lang w:eastAsia="zh-CN"/>
        </w:rPr>
      </w:pPr>
      <w:r>
        <w:rPr>
          <w:lang w:eastAsia="zh-CN"/>
        </w:rPr>
        <w:t xml:space="preserve">          minItems: 1</w:t>
      </w:r>
    </w:p>
    <w:p w14:paraId="6F095BD1" w14:textId="77777777" w:rsidR="007862A2" w:rsidRDefault="007862A2" w:rsidP="007862A2">
      <w:pPr>
        <w:pStyle w:val="PL"/>
        <w:rPr>
          <w:lang w:eastAsia="zh-CN"/>
        </w:rPr>
      </w:pPr>
      <w:r>
        <w:t xml:space="preserve">          description: </w:t>
      </w:r>
      <w:r>
        <w:rPr>
          <w:lang w:eastAsia="zh-CN"/>
        </w:rPr>
        <w:t>&gt;</w:t>
      </w:r>
    </w:p>
    <w:p w14:paraId="55144421" w14:textId="77777777" w:rsidR="007862A2" w:rsidRDefault="007862A2" w:rsidP="007862A2">
      <w:pPr>
        <w:pStyle w:val="PL"/>
        <w:rPr>
          <w:lang w:eastAsia="zh-CN"/>
        </w:rPr>
      </w:pPr>
      <w:r>
        <w:t xml:space="preserve">            </w:t>
      </w:r>
      <w:r>
        <w:rPr>
          <w:lang w:eastAsia="zh-CN"/>
        </w:rPr>
        <w:t>The purposes of data collection. This attribute may only be provided if user consent</w:t>
      </w:r>
    </w:p>
    <w:p w14:paraId="058692B7" w14:textId="77777777" w:rsidR="007862A2" w:rsidRDefault="007862A2" w:rsidP="007862A2">
      <w:pPr>
        <w:pStyle w:val="PL"/>
        <w:rPr>
          <w:lang w:eastAsia="zh-CN"/>
        </w:rPr>
      </w:pPr>
      <w:r>
        <w:rPr>
          <w:lang w:eastAsia="zh-CN"/>
        </w:rPr>
        <w:t xml:space="preserve">            is reqiured depending on local policy and regulations and the consumer has</w:t>
      </w:r>
    </w:p>
    <w:p w14:paraId="16B7191A" w14:textId="77777777" w:rsidR="007862A2" w:rsidRDefault="007862A2" w:rsidP="007862A2">
      <w:pPr>
        <w:pStyle w:val="PL"/>
        <w:rPr>
          <w:lang w:eastAsia="zh-CN"/>
        </w:rPr>
      </w:pPr>
      <w:r>
        <w:t xml:space="preserve">           </w:t>
      </w:r>
      <w:r>
        <w:rPr>
          <w:lang w:eastAsia="zh-CN"/>
        </w:rPr>
        <w:t xml:space="preserve"> not checked user consent.</w:t>
      </w:r>
    </w:p>
    <w:p w14:paraId="094AAAC7" w14:textId="77777777" w:rsidR="007862A2" w:rsidRDefault="007862A2" w:rsidP="007862A2">
      <w:pPr>
        <w:pStyle w:val="PL"/>
      </w:pPr>
      <w:r>
        <w:t xml:space="preserve">        checkedConsentInd:</w:t>
      </w:r>
    </w:p>
    <w:p w14:paraId="10864DD7" w14:textId="77777777" w:rsidR="007862A2" w:rsidRDefault="007862A2" w:rsidP="007862A2">
      <w:pPr>
        <w:pStyle w:val="PL"/>
        <w:rPr>
          <w:lang w:eastAsia="zh-CN"/>
        </w:rPr>
      </w:pPr>
      <w:r>
        <w:rPr>
          <w:lang w:eastAsia="zh-CN"/>
        </w:rPr>
        <w:t xml:space="preserve">          type: boolean</w:t>
      </w:r>
    </w:p>
    <w:p w14:paraId="0B64F7C4" w14:textId="77777777" w:rsidR="007862A2" w:rsidRDefault="007862A2" w:rsidP="007862A2">
      <w:pPr>
        <w:pStyle w:val="PL"/>
        <w:rPr>
          <w:lang w:eastAsia="zh-CN"/>
        </w:rPr>
      </w:pPr>
      <w:r>
        <w:t xml:space="preserve">          description: </w:t>
      </w:r>
      <w:r>
        <w:rPr>
          <w:lang w:eastAsia="zh-CN"/>
        </w:rPr>
        <w:t>Indication that the NF service consumer has already checked the user consent.</w:t>
      </w:r>
    </w:p>
    <w:p w14:paraId="3B81D8B2" w14:textId="77777777" w:rsidR="007862A2" w:rsidRDefault="007862A2" w:rsidP="007862A2">
      <w:pPr>
        <w:pStyle w:val="PL"/>
      </w:pPr>
      <w:r>
        <w:t xml:space="preserve">        </w:t>
      </w:r>
      <w:r>
        <w:rPr>
          <w:lang w:eastAsia="zh-CN"/>
        </w:rPr>
        <w:t>dataSub</w:t>
      </w:r>
      <w:r>
        <w:t>:</w:t>
      </w:r>
    </w:p>
    <w:p w14:paraId="7F62EADE" w14:textId="77777777" w:rsidR="007862A2" w:rsidRDefault="007862A2" w:rsidP="007862A2">
      <w:pPr>
        <w:pStyle w:val="PL"/>
      </w:pPr>
      <w:r>
        <w:t xml:space="preserve">          $ref: 'TS29575_Nadrf_DataManagement.yaml#/components/schemas/DataSubscription'</w:t>
      </w:r>
    </w:p>
    <w:p w14:paraId="10D94E6C" w14:textId="77777777" w:rsidR="007862A2" w:rsidRDefault="007862A2" w:rsidP="007862A2">
      <w:pPr>
        <w:pStyle w:val="PL"/>
      </w:pPr>
      <w:r>
        <w:t xml:space="preserve">        </w:t>
      </w:r>
      <w:r>
        <w:rPr>
          <w:lang w:eastAsia="zh-CN"/>
        </w:rPr>
        <w:t>formatInstruct</w:t>
      </w:r>
      <w:r>
        <w:t>:</w:t>
      </w:r>
    </w:p>
    <w:p w14:paraId="7BA23DCD" w14:textId="77777777" w:rsidR="007862A2" w:rsidRDefault="007862A2" w:rsidP="007862A2">
      <w:pPr>
        <w:pStyle w:val="PL"/>
      </w:pPr>
      <w:r>
        <w:t xml:space="preserve">          $ref: 'TS29574_Ndccf_DataManagement.yaml#/components/schemas/FormattingInstruction'</w:t>
      </w:r>
    </w:p>
    <w:p w14:paraId="1A29E6FF" w14:textId="77777777" w:rsidR="007862A2" w:rsidRDefault="007862A2" w:rsidP="007862A2">
      <w:pPr>
        <w:pStyle w:val="PL"/>
      </w:pPr>
      <w:r>
        <w:t xml:space="preserve">        notifCorrId:</w:t>
      </w:r>
    </w:p>
    <w:p w14:paraId="548F927C" w14:textId="77777777" w:rsidR="007862A2" w:rsidRDefault="007862A2" w:rsidP="007862A2">
      <w:pPr>
        <w:pStyle w:val="PL"/>
      </w:pPr>
      <w:r>
        <w:t xml:space="preserve">          type: string</w:t>
      </w:r>
    </w:p>
    <w:p w14:paraId="22F394B0" w14:textId="77777777" w:rsidR="007862A2" w:rsidRDefault="007862A2" w:rsidP="007862A2">
      <w:pPr>
        <w:pStyle w:val="PL"/>
      </w:pPr>
      <w:r>
        <w:t xml:space="preserve">          description: Notification correlation identifier.</w:t>
      </w:r>
    </w:p>
    <w:p w14:paraId="759BDE27" w14:textId="77777777" w:rsidR="007862A2" w:rsidRDefault="007862A2" w:rsidP="007862A2">
      <w:pPr>
        <w:pStyle w:val="PL"/>
      </w:pPr>
      <w:r>
        <w:t xml:space="preserve">        notificURI:</w:t>
      </w:r>
    </w:p>
    <w:p w14:paraId="77A6838A" w14:textId="77777777" w:rsidR="007862A2" w:rsidRDefault="007862A2" w:rsidP="007862A2">
      <w:pPr>
        <w:pStyle w:val="PL"/>
      </w:pPr>
      <w:r>
        <w:lastRenderedPageBreak/>
        <w:t xml:space="preserve">          $ref: 'TS29571_CommonData.yaml#/components/schemas/Uri'</w:t>
      </w:r>
    </w:p>
    <w:p w14:paraId="4A112B43" w14:textId="77777777" w:rsidR="007862A2" w:rsidRDefault="007862A2" w:rsidP="007862A2">
      <w:pPr>
        <w:pStyle w:val="PL"/>
      </w:pPr>
      <w:r>
        <w:t xml:space="preserve">        notifEndpoints:</w:t>
      </w:r>
    </w:p>
    <w:p w14:paraId="0FB572FF" w14:textId="77777777" w:rsidR="007862A2" w:rsidRDefault="007862A2" w:rsidP="007862A2">
      <w:pPr>
        <w:pStyle w:val="PL"/>
      </w:pPr>
      <w:r>
        <w:t xml:space="preserve">          type: array</w:t>
      </w:r>
    </w:p>
    <w:p w14:paraId="3F096951" w14:textId="77777777" w:rsidR="007862A2" w:rsidRDefault="007862A2" w:rsidP="007862A2">
      <w:pPr>
        <w:pStyle w:val="PL"/>
      </w:pPr>
      <w:r>
        <w:t xml:space="preserve">          items:</w:t>
      </w:r>
    </w:p>
    <w:p w14:paraId="671A299B" w14:textId="77777777" w:rsidR="007862A2" w:rsidRDefault="007862A2" w:rsidP="007862A2">
      <w:pPr>
        <w:pStyle w:val="PL"/>
      </w:pPr>
      <w:r>
        <w:t xml:space="preserve">            $ref: 'TS29574_Ndccf_DataManagement.yaml#/components/schemas/NotifyEndpoint'</w:t>
      </w:r>
    </w:p>
    <w:p w14:paraId="71BB0FB3" w14:textId="77777777" w:rsidR="007862A2" w:rsidRDefault="007862A2" w:rsidP="007862A2">
      <w:pPr>
        <w:pStyle w:val="PL"/>
      </w:pPr>
      <w:r>
        <w:t xml:space="preserve">          minItems: 1</w:t>
      </w:r>
    </w:p>
    <w:p w14:paraId="3056318D" w14:textId="77777777" w:rsidR="007862A2" w:rsidRDefault="007862A2" w:rsidP="007862A2">
      <w:pPr>
        <w:pStyle w:val="PL"/>
      </w:pPr>
      <w:r>
        <w:t xml:space="preserve">          description: The information of notification endpoints.</w:t>
      </w:r>
    </w:p>
    <w:p w14:paraId="75B7BADF" w14:textId="77777777" w:rsidR="007862A2" w:rsidRDefault="007862A2" w:rsidP="007862A2">
      <w:pPr>
        <w:pStyle w:val="PL"/>
      </w:pPr>
      <w:r>
        <w:t xml:space="preserve">        </w:t>
      </w:r>
      <w:r>
        <w:rPr>
          <w:lang w:eastAsia="zh-CN"/>
        </w:rPr>
        <w:t>procInstruct</w:t>
      </w:r>
      <w:r>
        <w:t>:</w:t>
      </w:r>
    </w:p>
    <w:p w14:paraId="2488F63F" w14:textId="77777777" w:rsidR="007862A2" w:rsidRDefault="007862A2" w:rsidP="007862A2">
      <w:pPr>
        <w:pStyle w:val="PL"/>
      </w:pPr>
      <w:r>
        <w:t xml:space="preserve">          </w:t>
      </w:r>
      <w:r>
        <w:rPr>
          <w:lang w:val="en-IN" w:eastAsia="en-IN"/>
        </w:rPr>
        <w:t>$ref: 'TS29574_Ndccf_DataManagement.yaml#/components/schemas/</w:t>
      </w:r>
      <w:r>
        <w:t>ProcessingInstruction'</w:t>
      </w:r>
    </w:p>
    <w:p w14:paraId="355BA4D5" w14:textId="77777777" w:rsidR="007862A2" w:rsidRDefault="007862A2" w:rsidP="007862A2">
      <w:pPr>
        <w:pStyle w:val="PL"/>
      </w:pPr>
      <w:r>
        <w:t xml:space="preserve">        </w:t>
      </w:r>
      <w:r>
        <w:rPr>
          <w:lang w:val="en-US" w:eastAsia="zh-CN"/>
        </w:rPr>
        <w:t>multiProcInstructs</w:t>
      </w:r>
      <w:r>
        <w:t>:</w:t>
      </w:r>
    </w:p>
    <w:p w14:paraId="17CF3FF8" w14:textId="77777777" w:rsidR="007862A2" w:rsidRDefault="007862A2" w:rsidP="007862A2">
      <w:pPr>
        <w:pStyle w:val="PL"/>
        <w:rPr>
          <w:lang w:eastAsia="zh-CN"/>
        </w:rPr>
      </w:pPr>
      <w:r>
        <w:rPr>
          <w:lang w:eastAsia="zh-CN"/>
        </w:rPr>
        <w:t xml:space="preserve">          type: array</w:t>
      </w:r>
    </w:p>
    <w:p w14:paraId="04D5D69A" w14:textId="77777777" w:rsidR="007862A2" w:rsidRDefault="007862A2" w:rsidP="007862A2">
      <w:pPr>
        <w:pStyle w:val="PL"/>
      </w:pPr>
      <w:r>
        <w:rPr>
          <w:lang w:eastAsia="zh-CN"/>
        </w:rPr>
        <w:t xml:space="preserve">          items:</w:t>
      </w:r>
    </w:p>
    <w:p w14:paraId="1A968CB1" w14:textId="77777777" w:rsidR="007862A2" w:rsidRDefault="007862A2" w:rsidP="007862A2">
      <w:pPr>
        <w:pStyle w:val="PL"/>
      </w:pPr>
      <w:r>
        <w:t xml:space="preserve">            </w:t>
      </w:r>
      <w:r>
        <w:rPr>
          <w:lang w:val="en-IN" w:eastAsia="en-IN"/>
        </w:rPr>
        <w:t>$ref: 'TS29574_Ndccf_DataManagement.yaml#/components/schemas/</w:t>
      </w:r>
      <w:r>
        <w:t>ProcessingInstruction'</w:t>
      </w:r>
    </w:p>
    <w:p w14:paraId="1CA0255D" w14:textId="77777777" w:rsidR="007862A2" w:rsidRDefault="007862A2" w:rsidP="007862A2">
      <w:pPr>
        <w:pStyle w:val="PL"/>
        <w:rPr>
          <w:lang w:eastAsia="zh-CN"/>
        </w:rPr>
      </w:pPr>
      <w:r>
        <w:rPr>
          <w:lang w:eastAsia="zh-CN"/>
        </w:rPr>
        <w:t xml:space="preserve">          minItems: 1</w:t>
      </w:r>
    </w:p>
    <w:p w14:paraId="46C62A11" w14:textId="77777777" w:rsidR="007862A2" w:rsidRDefault="007862A2" w:rsidP="007862A2">
      <w:pPr>
        <w:pStyle w:val="PL"/>
      </w:pPr>
      <w:r>
        <w:t xml:space="preserve">          description: </w:t>
      </w:r>
      <w:r>
        <w:rPr>
          <w:lang w:eastAsia="ja-JP"/>
        </w:rPr>
        <w:t>Processing instructions to be used for sending event notifications.</w:t>
      </w:r>
    </w:p>
    <w:p w14:paraId="3B489A61" w14:textId="77777777" w:rsidR="007862A2" w:rsidRDefault="007862A2" w:rsidP="007862A2">
      <w:pPr>
        <w:pStyle w:val="PL"/>
      </w:pPr>
      <w:r>
        <w:t xml:space="preserve">        suppFeat:</w:t>
      </w:r>
    </w:p>
    <w:p w14:paraId="6B574AA9" w14:textId="77777777" w:rsidR="007862A2" w:rsidRDefault="007862A2" w:rsidP="007862A2">
      <w:pPr>
        <w:pStyle w:val="PL"/>
      </w:pPr>
      <w:r>
        <w:t xml:space="preserve">          $ref: 'TS29571_CommonData.yaml#/components/schemas/SupportedFeatures'</w:t>
      </w:r>
    </w:p>
    <w:p w14:paraId="0ED823EB" w14:textId="77777777" w:rsidR="007862A2" w:rsidRDefault="007862A2" w:rsidP="007862A2">
      <w:pPr>
        <w:pStyle w:val="PL"/>
      </w:pPr>
      <w:r>
        <w:t xml:space="preserve">        targetNfId:</w:t>
      </w:r>
    </w:p>
    <w:p w14:paraId="14E69EDA" w14:textId="77777777" w:rsidR="007862A2" w:rsidRDefault="007862A2" w:rsidP="007862A2">
      <w:pPr>
        <w:pStyle w:val="PL"/>
      </w:pPr>
      <w:r>
        <w:t xml:space="preserve">          $ref: 'TS29571_CommonData.yaml#/components/schemas/NfInstanceId'</w:t>
      </w:r>
    </w:p>
    <w:p w14:paraId="6E68D8AD" w14:textId="77777777" w:rsidR="007862A2" w:rsidRDefault="007862A2" w:rsidP="007862A2">
      <w:pPr>
        <w:pStyle w:val="PL"/>
      </w:pPr>
      <w:r>
        <w:t xml:space="preserve">        targetNfSetId:</w:t>
      </w:r>
    </w:p>
    <w:p w14:paraId="474D49A0" w14:textId="77777777" w:rsidR="007862A2" w:rsidRDefault="007862A2" w:rsidP="007862A2">
      <w:pPr>
        <w:pStyle w:val="PL"/>
      </w:pPr>
      <w:r>
        <w:t xml:space="preserve">          $ref: 'TS29571_CommonData.yaml#/components/schemas/NfSetId'</w:t>
      </w:r>
    </w:p>
    <w:p w14:paraId="7B0E64CD"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timePeriod:</w:t>
      </w:r>
    </w:p>
    <w:p w14:paraId="723DF8F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IN" w:eastAsia="en-IN"/>
        </w:rPr>
      </w:pPr>
      <w:r>
        <w:rPr>
          <w:rFonts w:ascii="Courier New" w:hAnsi="Courier New"/>
          <w:sz w:val="16"/>
          <w:lang w:eastAsia="zh-CN"/>
        </w:rPr>
        <w:t xml:space="preserve">          </w:t>
      </w:r>
      <w:r>
        <w:rPr>
          <w:rFonts w:ascii="Courier New" w:hAnsi="Courier New"/>
          <w:sz w:val="16"/>
          <w:lang w:val="en-IN" w:eastAsia="en-IN"/>
        </w:rPr>
        <w:t>$ref: 'TS29122_CommonData.yaml#/components/schemas/TimeWindow'</w:t>
      </w:r>
    </w:p>
    <w:p w14:paraId="4E851C8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immReport:</w:t>
      </w:r>
    </w:p>
    <w:p w14:paraId="63A4708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w:t>
      </w:r>
      <w:r>
        <w:rPr>
          <w:rFonts w:ascii="Courier New" w:hAnsi="Courier New"/>
          <w:sz w:val="16"/>
          <w:lang w:val="en-IN" w:eastAsia="en-IN"/>
        </w:rPr>
        <w:t>$ref: '#/components/schemas/</w:t>
      </w:r>
      <w:r>
        <w:rPr>
          <w:rFonts w:ascii="Courier New" w:eastAsia="等线" w:hAnsi="Courier New"/>
          <w:sz w:val="16"/>
        </w:rPr>
        <w:t>NnwdafDataManagementNotif</w:t>
      </w:r>
      <w:r>
        <w:rPr>
          <w:rFonts w:ascii="Courier New" w:hAnsi="Courier New"/>
          <w:sz w:val="16"/>
          <w:lang w:val="en-IN" w:eastAsia="en-IN"/>
        </w:rPr>
        <w:t>'</w:t>
      </w:r>
    </w:p>
    <w:p w14:paraId="367E1D8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Pr>
          <w:rFonts w:ascii="Courier New" w:eastAsia="等线" w:hAnsi="Courier New"/>
          <w:sz w:val="16"/>
        </w:rPr>
        <w:t xml:space="preserve">        storeHandl:</w:t>
      </w:r>
    </w:p>
    <w:p w14:paraId="1F3F6AC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eastAsia="等线" w:hAnsi="Courier New"/>
          <w:sz w:val="16"/>
          <w:lang w:val="en-IN" w:eastAsia="en-IN"/>
        </w:rPr>
        <w:t xml:space="preserve">          $ref: '</w:t>
      </w:r>
      <w:r>
        <w:rPr>
          <w:rFonts w:ascii="Courier New" w:hAnsi="Courier New"/>
          <w:sz w:val="16"/>
          <w:lang w:val="en-IN" w:eastAsia="en-IN"/>
        </w:rPr>
        <w:t>TS29574_Ndccf_DataManagement.yaml</w:t>
      </w:r>
      <w:r>
        <w:rPr>
          <w:rFonts w:ascii="Courier New" w:eastAsia="等线" w:hAnsi="Courier New"/>
          <w:sz w:val="16"/>
          <w:lang w:val="en-IN" w:eastAsia="en-IN"/>
        </w:rPr>
        <w:t>#/components/schemas/</w:t>
      </w:r>
      <w:r>
        <w:rPr>
          <w:rFonts w:ascii="Courier New" w:eastAsia="等线" w:hAnsi="Courier New"/>
          <w:sz w:val="16"/>
        </w:rPr>
        <w:t>StorageHandlingInformation</w:t>
      </w:r>
      <w:r>
        <w:rPr>
          <w:rFonts w:ascii="Courier New" w:eastAsia="等线" w:hAnsi="Courier New"/>
          <w:sz w:val="16"/>
          <w:lang w:val="en-IN" w:eastAsia="en-IN"/>
        </w:rPr>
        <w:t>'</w:t>
      </w:r>
    </w:p>
    <w:p w14:paraId="5EF050F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445F43E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notifCorrId</w:t>
      </w:r>
    </w:p>
    <w:p w14:paraId="15BC36B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notificURI</w:t>
      </w:r>
    </w:p>
    <w:p w14:paraId="708C608C" w14:textId="77777777" w:rsidR="007862A2" w:rsidRDefault="007862A2" w:rsidP="007862A2">
      <w:pPr>
        <w:pStyle w:val="PL"/>
        <w:rPr>
          <w:lang w:val="en-IN" w:eastAsia="en-IN"/>
        </w:rPr>
      </w:pPr>
      <w:r>
        <w:rPr>
          <w:lang w:val="en-IN" w:eastAsia="en-IN"/>
        </w:rPr>
        <w:t xml:space="preserve">      oneOf:</w:t>
      </w:r>
    </w:p>
    <w:p w14:paraId="5460D90A" w14:textId="77777777" w:rsidR="007862A2" w:rsidRDefault="007862A2" w:rsidP="007862A2">
      <w:pPr>
        <w:pStyle w:val="PL"/>
        <w:rPr>
          <w:lang w:val="en-IN" w:eastAsia="en-IN"/>
        </w:rPr>
      </w:pPr>
      <w:r>
        <w:rPr>
          <w:lang w:val="en-IN" w:eastAsia="en-IN"/>
        </w:rPr>
        <w:t xml:space="preserve">        - required: [anaSub]</w:t>
      </w:r>
    </w:p>
    <w:p w14:paraId="227329FA" w14:textId="77777777" w:rsidR="007862A2" w:rsidRDefault="007862A2" w:rsidP="007862A2">
      <w:pPr>
        <w:pStyle w:val="PL"/>
        <w:rPr>
          <w:lang w:val="en-IN" w:eastAsia="en-IN"/>
        </w:rPr>
      </w:pPr>
      <w:r>
        <w:rPr>
          <w:lang w:val="en-IN" w:eastAsia="en-IN"/>
        </w:rPr>
        <w:t xml:space="preserve">        - required: [</w:t>
      </w:r>
      <w:r>
        <w:rPr>
          <w:lang w:eastAsia="ja-JP"/>
        </w:rPr>
        <w:t>dataSub</w:t>
      </w:r>
      <w:r>
        <w:rPr>
          <w:lang w:val="en-IN" w:eastAsia="en-IN"/>
        </w:rPr>
        <w:t>]</w:t>
      </w:r>
    </w:p>
    <w:p w14:paraId="371E3164" w14:textId="77777777" w:rsidR="007862A2" w:rsidRDefault="007862A2" w:rsidP="007862A2">
      <w:pPr>
        <w:pStyle w:val="PL"/>
      </w:pPr>
    </w:p>
    <w:p w14:paraId="1C598D71" w14:textId="77777777" w:rsidR="007862A2" w:rsidRDefault="007862A2" w:rsidP="007862A2">
      <w:pPr>
        <w:pStyle w:val="PL"/>
      </w:pPr>
      <w:r>
        <w:t xml:space="preserve">    </w:t>
      </w:r>
      <w:r>
        <w:rPr>
          <w:rFonts w:eastAsia="等线"/>
        </w:rPr>
        <w:t>NnwdafDataManagementNotif</w:t>
      </w:r>
      <w:r>
        <w:t>:</w:t>
      </w:r>
    </w:p>
    <w:p w14:paraId="3293DFCC" w14:textId="77777777" w:rsidR="007862A2" w:rsidRDefault="007862A2" w:rsidP="007862A2">
      <w:pPr>
        <w:pStyle w:val="PL"/>
      </w:pPr>
      <w:r>
        <w:t xml:space="preserve">      description: Represents an Individual Notification.</w:t>
      </w:r>
    </w:p>
    <w:p w14:paraId="6DFD7457" w14:textId="77777777" w:rsidR="007862A2" w:rsidRDefault="007862A2" w:rsidP="007862A2">
      <w:pPr>
        <w:pStyle w:val="PL"/>
      </w:pPr>
      <w:r>
        <w:t xml:space="preserve">      type: object</w:t>
      </w:r>
    </w:p>
    <w:p w14:paraId="2F6528A4" w14:textId="77777777" w:rsidR="007862A2" w:rsidRDefault="007862A2" w:rsidP="007862A2">
      <w:pPr>
        <w:pStyle w:val="PL"/>
      </w:pPr>
      <w:r>
        <w:t xml:space="preserve">      properties:</w:t>
      </w:r>
    </w:p>
    <w:p w14:paraId="56D4D8F1" w14:textId="77777777" w:rsidR="007862A2" w:rsidRDefault="007862A2" w:rsidP="007862A2">
      <w:pPr>
        <w:pStyle w:val="PL"/>
      </w:pPr>
      <w:r>
        <w:t xml:space="preserve">        </w:t>
      </w:r>
      <w:r>
        <w:rPr>
          <w:lang w:eastAsia="zh-CN"/>
        </w:rPr>
        <w:t>dataNotification</w:t>
      </w:r>
      <w:r>
        <w:t>:</w:t>
      </w:r>
    </w:p>
    <w:p w14:paraId="3E938CB0" w14:textId="77777777" w:rsidR="007862A2" w:rsidRDefault="007862A2" w:rsidP="007862A2">
      <w:pPr>
        <w:pStyle w:val="PL"/>
        <w:rPr>
          <w:lang w:val="en-IN" w:eastAsia="en-IN"/>
        </w:rPr>
      </w:pPr>
      <w:r>
        <w:rPr>
          <w:lang w:val="en-IN" w:eastAsia="en-IN"/>
        </w:rPr>
        <w:t xml:space="preserve">          </w:t>
      </w:r>
      <w:r>
        <w:t>$ref: 'TS29575_Nadrf_DataManagement.yaml#/components/schemas/DataNotification'</w:t>
      </w:r>
    </w:p>
    <w:p w14:paraId="3D890E6F" w14:textId="77777777" w:rsidR="007862A2" w:rsidRDefault="007862A2" w:rsidP="007862A2">
      <w:pPr>
        <w:pStyle w:val="PL"/>
      </w:pPr>
      <w:r>
        <w:t xml:space="preserve">        dataReports:</w:t>
      </w:r>
    </w:p>
    <w:p w14:paraId="4DFB91A3" w14:textId="77777777" w:rsidR="007862A2" w:rsidRDefault="007862A2" w:rsidP="007862A2">
      <w:pPr>
        <w:pStyle w:val="PL"/>
      </w:pPr>
      <w:r>
        <w:t xml:space="preserve">          type: array</w:t>
      </w:r>
    </w:p>
    <w:p w14:paraId="470F07D6" w14:textId="77777777" w:rsidR="007862A2" w:rsidRDefault="007862A2" w:rsidP="007862A2">
      <w:pPr>
        <w:pStyle w:val="PL"/>
      </w:pPr>
      <w:r>
        <w:t xml:space="preserve">          items:</w:t>
      </w:r>
    </w:p>
    <w:p w14:paraId="26AC6C9E" w14:textId="77777777" w:rsidR="007862A2" w:rsidRDefault="007862A2" w:rsidP="007862A2">
      <w:pPr>
        <w:pStyle w:val="PL"/>
      </w:pPr>
      <w:r>
        <w:rPr>
          <w:lang w:val="en-IN" w:eastAsia="en-IN"/>
        </w:rPr>
        <w:t xml:space="preserve">            </w:t>
      </w:r>
      <w:r>
        <w:t>$ref: 'TS29574_Ndccf_DataManagement.yaml#/components/schemas/NotifSummaryReport'</w:t>
      </w:r>
    </w:p>
    <w:p w14:paraId="3FCFB500" w14:textId="77777777" w:rsidR="007862A2" w:rsidRDefault="007862A2" w:rsidP="007862A2">
      <w:pPr>
        <w:pStyle w:val="PL"/>
      </w:pPr>
      <w:r>
        <w:t xml:space="preserve">          minItems: 1</w:t>
      </w:r>
    </w:p>
    <w:p w14:paraId="1E5FA568" w14:textId="77777777" w:rsidR="007862A2" w:rsidRDefault="007862A2" w:rsidP="007862A2">
      <w:pPr>
        <w:pStyle w:val="PL"/>
        <w:rPr>
          <w:lang w:val="en-IN" w:eastAsia="en-IN"/>
        </w:rPr>
      </w:pPr>
      <w:r>
        <w:t xml:space="preserve">          description: List of summary reports of processed notifications.</w:t>
      </w:r>
    </w:p>
    <w:p w14:paraId="5659498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Pr>
          <w:rFonts w:ascii="Courier New" w:eastAsia="等线" w:hAnsi="Courier New"/>
          <w:sz w:val="16"/>
        </w:rPr>
        <w:t xml:space="preserve">        delAlert:</w:t>
      </w:r>
    </w:p>
    <w:p w14:paraId="3A672D44" w14:textId="77777777" w:rsidR="007862A2" w:rsidRDefault="007862A2" w:rsidP="007862A2">
      <w:pPr>
        <w:pStyle w:val="PL"/>
        <w:rPr>
          <w:rFonts w:eastAsia="等线"/>
        </w:rPr>
      </w:pPr>
      <w:r>
        <w:rPr>
          <w:rFonts w:eastAsia="等线"/>
        </w:rPr>
        <w:t xml:space="preserve">          $ref: '</w:t>
      </w:r>
      <w:r>
        <w:t>TS29574_Ndccf_DataManagement.yaml</w:t>
      </w:r>
      <w:r>
        <w:rPr>
          <w:rFonts w:eastAsia="等线"/>
        </w:rPr>
        <w:t>#/components/schemas/DeletionAlert'</w:t>
      </w:r>
    </w:p>
    <w:p w14:paraId="23406664" w14:textId="77777777" w:rsidR="007862A2" w:rsidRDefault="007862A2" w:rsidP="007862A2">
      <w:pPr>
        <w:pStyle w:val="PL"/>
      </w:pPr>
      <w:r>
        <w:t xml:space="preserve">        notifCorrId:</w:t>
      </w:r>
    </w:p>
    <w:p w14:paraId="78A4D840" w14:textId="77777777" w:rsidR="007862A2" w:rsidRDefault="007862A2" w:rsidP="007862A2">
      <w:pPr>
        <w:pStyle w:val="PL"/>
        <w:rPr>
          <w:lang w:val="en-IN" w:eastAsia="en-IN"/>
        </w:rPr>
      </w:pPr>
      <w:r>
        <w:rPr>
          <w:lang w:val="en-IN" w:eastAsia="en-IN"/>
        </w:rPr>
        <w:t xml:space="preserve">          type: string</w:t>
      </w:r>
    </w:p>
    <w:p w14:paraId="67090BDB" w14:textId="77777777" w:rsidR="007862A2" w:rsidRDefault="007862A2" w:rsidP="007862A2">
      <w:pPr>
        <w:pStyle w:val="PL"/>
        <w:rPr>
          <w:lang w:val="en-IN" w:eastAsia="en-IN"/>
        </w:rPr>
      </w:pPr>
      <w:r>
        <w:rPr>
          <w:lang w:val="en-IN" w:eastAsia="en-IN"/>
        </w:rPr>
        <w:t xml:space="preserve">          description: Notification correlation identifier.</w:t>
      </w:r>
    </w:p>
    <w:p w14:paraId="6118AD18" w14:textId="77777777" w:rsidR="007862A2" w:rsidRDefault="007862A2" w:rsidP="007862A2">
      <w:pPr>
        <w:pStyle w:val="PL"/>
      </w:pPr>
      <w:r>
        <w:t xml:space="preserve">        </w:t>
      </w:r>
      <w:r>
        <w:rPr>
          <w:lang w:eastAsia="zh-CN"/>
        </w:rPr>
        <w:t>terminationReq</w:t>
      </w:r>
      <w:r>
        <w:t>:</w:t>
      </w:r>
    </w:p>
    <w:p w14:paraId="0AB55813" w14:textId="77777777" w:rsidR="007862A2" w:rsidRDefault="007862A2" w:rsidP="007862A2">
      <w:pPr>
        <w:pStyle w:val="PL"/>
        <w:rPr>
          <w:lang w:val="en-IN" w:eastAsia="en-IN"/>
        </w:rPr>
      </w:pPr>
      <w:r>
        <w:rPr>
          <w:lang w:val="en-IN" w:eastAsia="en-IN"/>
        </w:rPr>
        <w:t xml:space="preserve">          type: string</w:t>
      </w:r>
    </w:p>
    <w:p w14:paraId="6A008905" w14:textId="77777777" w:rsidR="007862A2" w:rsidRDefault="007862A2" w:rsidP="007862A2">
      <w:pPr>
        <w:pStyle w:val="PL"/>
        <w:rPr>
          <w:lang w:eastAsia="zh-CN"/>
        </w:rPr>
      </w:pPr>
      <w:r>
        <w:rPr>
          <w:lang w:val="en-IN" w:eastAsia="en-IN"/>
        </w:rPr>
        <w:t xml:space="preserve">          description: </w:t>
      </w:r>
      <w:r>
        <w:rPr>
          <w:lang w:eastAsia="zh-CN"/>
        </w:rPr>
        <w:t>&gt;</w:t>
      </w:r>
    </w:p>
    <w:p w14:paraId="319586E5" w14:textId="77777777" w:rsidR="007862A2" w:rsidRDefault="007862A2" w:rsidP="007862A2">
      <w:pPr>
        <w:pStyle w:val="PL"/>
        <w:rPr>
          <w:lang w:eastAsia="zh-CN"/>
        </w:rPr>
      </w:pPr>
      <w:r>
        <w:rPr>
          <w:lang w:val="en-IN" w:eastAsia="en-IN"/>
        </w:rPr>
        <w:t xml:space="preserve">            </w:t>
      </w:r>
      <w:r>
        <w:rPr>
          <w:lang w:eastAsia="zh-CN"/>
        </w:rPr>
        <w:t>It indicates that the termination of the data management subscription</w:t>
      </w:r>
    </w:p>
    <w:p w14:paraId="5064BF41" w14:textId="77777777" w:rsidR="007862A2" w:rsidRDefault="007862A2" w:rsidP="007862A2">
      <w:pPr>
        <w:pStyle w:val="PL"/>
        <w:rPr>
          <w:lang w:val="en-IN" w:eastAsia="en-IN"/>
        </w:rPr>
      </w:pPr>
      <w:r>
        <w:rPr>
          <w:lang w:val="en-IN" w:eastAsia="en-IN"/>
        </w:rPr>
        <w:t xml:space="preserve">           </w:t>
      </w:r>
      <w:r>
        <w:rPr>
          <w:lang w:eastAsia="zh-CN"/>
        </w:rPr>
        <w:t xml:space="preserve"> is requested by the NWDAF</w:t>
      </w:r>
      <w:r>
        <w:rPr>
          <w:lang w:val="en-IN" w:eastAsia="en-IN"/>
        </w:rPr>
        <w:t>.</w:t>
      </w:r>
    </w:p>
    <w:p w14:paraId="440A0611" w14:textId="77777777" w:rsidR="007862A2" w:rsidRDefault="007862A2" w:rsidP="007862A2">
      <w:pPr>
        <w:pStyle w:val="PL"/>
      </w:pPr>
      <w:r>
        <w:t xml:space="preserve">        </w:t>
      </w:r>
      <w:bookmarkStart w:id="17263" w:name="_Hlk96682415"/>
      <w:r>
        <w:rPr>
          <w:lang w:eastAsia="ja-JP"/>
        </w:rPr>
        <w:t>fetch</w:t>
      </w:r>
      <w:bookmarkEnd w:id="17263"/>
      <w:r>
        <w:t>Instruct:</w:t>
      </w:r>
    </w:p>
    <w:p w14:paraId="4F9791C4" w14:textId="77777777" w:rsidR="007862A2" w:rsidRDefault="007862A2" w:rsidP="007862A2">
      <w:pPr>
        <w:pStyle w:val="PL"/>
      </w:pPr>
      <w:r>
        <w:t xml:space="preserve">          $ref: 'TS29576_Nmfaf_3caDataManagement.yaml#/components/schemas/FetchInstruction'</w:t>
      </w:r>
    </w:p>
    <w:p w14:paraId="04BFF302" w14:textId="77777777" w:rsidR="007862A2" w:rsidRDefault="007862A2" w:rsidP="007862A2">
      <w:pPr>
        <w:pStyle w:val="PL"/>
        <w:rPr>
          <w:lang w:eastAsia="zh-CN"/>
        </w:rPr>
      </w:pPr>
      <w:r>
        <w:rPr>
          <w:lang w:eastAsia="zh-CN"/>
        </w:rPr>
        <w:t xml:space="preserve">        notifTimestamp:</w:t>
      </w:r>
    </w:p>
    <w:p w14:paraId="52DA4F4B" w14:textId="77777777" w:rsidR="007862A2" w:rsidRDefault="007862A2" w:rsidP="007862A2">
      <w:pPr>
        <w:pStyle w:val="PL"/>
      </w:pPr>
      <w:r>
        <w:t xml:space="preserve">          $ref: 'TS29571_CommonData.yaml#/components/schemas/DateTime'</w:t>
      </w:r>
    </w:p>
    <w:p w14:paraId="1C20D999" w14:textId="77777777" w:rsidR="007862A2" w:rsidRDefault="007862A2" w:rsidP="007862A2">
      <w:pPr>
        <w:pStyle w:val="PL"/>
        <w:rPr>
          <w:lang w:val="en-IN" w:eastAsia="en-IN"/>
        </w:rPr>
      </w:pPr>
      <w:r>
        <w:rPr>
          <w:lang w:val="en-IN" w:eastAsia="en-IN"/>
        </w:rPr>
        <w:t xml:space="preserve">        pendNotifCause:</w:t>
      </w:r>
    </w:p>
    <w:p w14:paraId="334884E5" w14:textId="77777777" w:rsidR="007862A2" w:rsidRDefault="007862A2" w:rsidP="007862A2">
      <w:pPr>
        <w:pStyle w:val="PL"/>
        <w:rPr>
          <w:lang w:val="en-IN" w:eastAsia="en-IN"/>
        </w:rPr>
      </w:pPr>
      <w:r>
        <w:rPr>
          <w:lang w:val="en-IN" w:eastAsia="en-IN"/>
        </w:rPr>
        <w:t xml:space="preserve">          $ref: '#/components/schemas/PendingNotificationCause'</w:t>
      </w:r>
    </w:p>
    <w:p w14:paraId="001F1585" w14:textId="77777777" w:rsidR="007862A2" w:rsidRDefault="007862A2" w:rsidP="007862A2">
      <w:pPr>
        <w:pStyle w:val="PL"/>
        <w:rPr>
          <w:lang w:val="en-IN" w:eastAsia="en-IN"/>
        </w:rPr>
      </w:pPr>
      <w:r>
        <w:rPr>
          <w:lang w:val="en-IN" w:eastAsia="en-IN"/>
        </w:rPr>
        <w:t xml:space="preserve">      required:  </w:t>
      </w:r>
    </w:p>
    <w:p w14:paraId="43893801" w14:textId="77777777" w:rsidR="007862A2" w:rsidRDefault="007862A2" w:rsidP="007862A2">
      <w:pPr>
        <w:pStyle w:val="PL"/>
      </w:pPr>
      <w:r>
        <w:rPr>
          <w:lang w:val="en-IN" w:eastAsia="en-IN"/>
        </w:rPr>
        <w:t xml:space="preserve">        - </w:t>
      </w:r>
      <w:r>
        <w:t>notifCorrId</w:t>
      </w:r>
    </w:p>
    <w:p w14:paraId="02364A0C" w14:textId="77777777" w:rsidR="007862A2" w:rsidRDefault="007862A2" w:rsidP="007862A2">
      <w:pPr>
        <w:pStyle w:val="PL"/>
        <w:rPr>
          <w:lang w:val="en-IN" w:eastAsia="en-IN"/>
        </w:rPr>
      </w:pPr>
      <w:r>
        <w:rPr>
          <w:lang w:val="en-IN" w:eastAsia="en-IN"/>
        </w:rPr>
        <w:t xml:space="preserve">        - </w:t>
      </w:r>
      <w:r>
        <w:rPr>
          <w:lang w:eastAsia="zh-CN"/>
        </w:rPr>
        <w:t>notifTimestamp</w:t>
      </w:r>
    </w:p>
    <w:p w14:paraId="77C35B63" w14:textId="77777777" w:rsidR="007862A2" w:rsidRDefault="007862A2" w:rsidP="007862A2">
      <w:pPr>
        <w:pStyle w:val="PL"/>
        <w:rPr>
          <w:lang w:val="en-IN" w:eastAsia="en-IN"/>
        </w:rPr>
      </w:pPr>
      <w:r>
        <w:rPr>
          <w:lang w:val="en-IN" w:eastAsia="en-IN"/>
        </w:rPr>
        <w:t xml:space="preserve">      oneOf:</w:t>
      </w:r>
    </w:p>
    <w:p w14:paraId="1C95EB8A" w14:textId="77777777" w:rsidR="007862A2" w:rsidRDefault="007862A2" w:rsidP="007862A2">
      <w:pPr>
        <w:pStyle w:val="PL"/>
        <w:rPr>
          <w:lang w:val="en-IN" w:eastAsia="en-IN"/>
        </w:rPr>
      </w:pPr>
      <w:r>
        <w:rPr>
          <w:lang w:val="en-IN" w:eastAsia="en-IN"/>
        </w:rPr>
        <w:t xml:space="preserve">        - required: [dataNotification]</w:t>
      </w:r>
    </w:p>
    <w:p w14:paraId="3E79E061" w14:textId="77777777" w:rsidR="007862A2" w:rsidRDefault="007862A2" w:rsidP="007862A2">
      <w:pPr>
        <w:pStyle w:val="PL"/>
        <w:rPr>
          <w:lang w:val="en-IN" w:eastAsia="en-IN"/>
        </w:rPr>
      </w:pPr>
      <w:r>
        <w:rPr>
          <w:lang w:val="en-IN" w:eastAsia="en-IN"/>
        </w:rPr>
        <w:t xml:space="preserve">        - required: [dataReports]</w:t>
      </w:r>
    </w:p>
    <w:p w14:paraId="64A1BB82" w14:textId="77777777" w:rsidR="007862A2" w:rsidRDefault="007862A2" w:rsidP="007862A2">
      <w:pPr>
        <w:pStyle w:val="PL"/>
        <w:rPr>
          <w:lang w:val="en-IN" w:eastAsia="en-IN"/>
        </w:rPr>
      </w:pPr>
      <w:r>
        <w:rPr>
          <w:lang w:val="en-IN" w:eastAsia="en-IN"/>
        </w:rPr>
        <w:t xml:space="preserve">        - required: [</w:t>
      </w:r>
      <w:r>
        <w:rPr>
          <w:lang w:eastAsia="ja-JP"/>
        </w:rPr>
        <w:t>fetch</w:t>
      </w:r>
      <w:r>
        <w:t>Instruct</w:t>
      </w:r>
      <w:r>
        <w:rPr>
          <w:lang w:val="en-IN" w:eastAsia="en-IN"/>
        </w:rPr>
        <w:t>]</w:t>
      </w:r>
    </w:p>
    <w:p w14:paraId="2BA35500" w14:textId="77777777" w:rsidR="007862A2" w:rsidRDefault="007862A2" w:rsidP="007862A2">
      <w:pPr>
        <w:pStyle w:val="PL"/>
        <w:rPr>
          <w:lang w:val="en-IN" w:eastAsia="en-IN"/>
        </w:rPr>
      </w:pPr>
    </w:p>
    <w:p w14:paraId="3400B49F"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w:t>
      </w:r>
    </w:p>
    <w:p w14:paraId="1A1E0684"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ENUMERATIONS DATA TYPES</w:t>
      </w:r>
    </w:p>
    <w:p w14:paraId="0CECA5C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w:t>
      </w:r>
    </w:p>
    <w:p w14:paraId="6D9FD8F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rPr>
        <w:t>PendingNotificationCause</w:t>
      </w:r>
      <w:r>
        <w:rPr>
          <w:rFonts w:ascii="Courier New" w:hAnsi="Courier New"/>
          <w:sz w:val="16"/>
          <w:lang w:val="en-US"/>
        </w:rPr>
        <w:t>:</w:t>
      </w:r>
    </w:p>
    <w:p w14:paraId="2853859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anyOf:</w:t>
      </w:r>
    </w:p>
    <w:p w14:paraId="273920D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type: string</w:t>
      </w:r>
    </w:p>
    <w:p w14:paraId="55ACAA6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enum:</w:t>
      </w:r>
    </w:p>
    <w:p w14:paraId="5C12C96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val="en-US"/>
        </w:rPr>
        <w:t xml:space="preserve">          - </w:t>
      </w:r>
      <w:r>
        <w:rPr>
          <w:rFonts w:ascii="Courier New" w:hAnsi="Courier New"/>
          <w:sz w:val="16"/>
          <w:lang w:eastAsia="zh-CN"/>
        </w:rPr>
        <w:t>UE_OUT_OF_NF_SERVING_AREA</w:t>
      </w:r>
    </w:p>
    <w:p w14:paraId="57C62C6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lastRenderedPageBreak/>
        <w:t xml:space="preserve">          - OTHER</w:t>
      </w:r>
    </w:p>
    <w:p w14:paraId="68A2EC3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type: string</w:t>
      </w:r>
    </w:p>
    <w:p w14:paraId="4D4C268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description: &gt;</w:t>
      </w:r>
    </w:p>
    <w:p w14:paraId="7D6E3C1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This string provides forward-compatibility with future extensions to the enumeration but</w:t>
      </w:r>
    </w:p>
    <w:p w14:paraId="090429A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is not used to encode content defined in the present version of this API.</w:t>
      </w:r>
    </w:p>
    <w:p w14:paraId="7FBEC9B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description: |</w:t>
      </w:r>
    </w:p>
    <w:p w14:paraId="554CD6A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rPr>
        <w:t xml:space="preserve">        Represents the </w:t>
      </w:r>
      <w:bookmarkStart w:id="17264" w:name="_Hlk146628768"/>
      <w:r>
        <w:rPr>
          <w:rFonts w:ascii="Courier New" w:hAnsi="Courier New"/>
          <w:sz w:val="16"/>
        </w:rPr>
        <w:t>Pending Notification Cause for the stored unsent data</w:t>
      </w:r>
      <w:bookmarkEnd w:id="17264"/>
      <w:r>
        <w:rPr>
          <w:rFonts w:ascii="Courier New" w:hAnsi="Courier New"/>
          <w:sz w:val="16"/>
        </w:rPr>
        <w:t xml:space="preserve">.  </w:t>
      </w:r>
    </w:p>
    <w:p w14:paraId="7FD3C3F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Possible values are:</w:t>
      </w:r>
    </w:p>
    <w:p w14:paraId="7A11F23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w:t>
      </w:r>
      <w:r>
        <w:rPr>
          <w:rFonts w:ascii="Courier New" w:hAnsi="Courier New"/>
          <w:sz w:val="16"/>
          <w:lang w:eastAsia="zh-CN"/>
        </w:rPr>
        <w:t>UE_OUT_OF_NF_SERVING_AREA</w:t>
      </w:r>
      <w:r>
        <w:rPr>
          <w:rFonts w:ascii="Courier New" w:hAnsi="Courier New"/>
          <w:sz w:val="16"/>
        </w:rPr>
        <w:t xml:space="preserve">: </w:t>
      </w:r>
      <w:r>
        <w:rPr>
          <w:rFonts w:ascii="Courier New" w:hAnsi="Courier New"/>
          <w:sz w:val="16"/>
          <w:lang w:eastAsia="zh-CN"/>
        </w:rPr>
        <w:t>The UE moved out of the NF serving area</w:t>
      </w:r>
      <w:r>
        <w:rPr>
          <w:rFonts w:ascii="Courier New" w:hAnsi="Courier New"/>
          <w:sz w:val="16"/>
        </w:rPr>
        <w:t>.</w:t>
      </w:r>
    </w:p>
    <w:p w14:paraId="1D86CC6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OTHER: Other cause.</w:t>
      </w:r>
    </w:p>
    <w:p w14:paraId="575D4956" w14:textId="77777777" w:rsidR="00A10B25" w:rsidRDefault="00A10B25">
      <w:pPr>
        <w:rPr>
          <w:rFonts w:hint="eastAsia"/>
          <w:lang w:val="en-IN" w:eastAsia="zh-CN"/>
        </w:rPr>
      </w:pPr>
    </w:p>
    <w:p w14:paraId="30D35CFB" w14:textId="77777777" w:rsidR="00A10B25" w:rsidRDefault="00A10B25">
      <w:pPr>
        <w:pStyle w:val="1"/>
        <w:rPr>
          <w:lang w:val="en-US" w:eastAsia="zh-CN"/>
        </w:rPr>
      </w:pPr>
      <w:bookmarkStart w:id="17265" w:name="_Toc88667777"/>
      <w:bookmarkStart w:id="17266" w:name="_Toc85557267"/>
      <w:bookmarkStart w:id="17267" w:name="_Toc101244652"/>
      <w:bookmarkStart w:id="17268" w:name="_Toc85553168"/>
      <w:bookmarkStart w:id="17269" w:name="_Toc112951381"/>
      <w:bookmarkStart w:id="17270" w:name="_Toc104539258"/>
      <w:bookmarkStart w:id="17271" w:name="_Toc90656062"/>
      <w:bookmarkStart w:id="17272" w:name="_Toc94064469"/>
      <w:bookmarkStart w:id="17273" w:name="_Toc70550755"/>
      <w:bookmarkStart w:id="17274" w:name="_Toc113031921"/>
      <w:bookmarkStart w:id="17275" w:name="_Toc145706052"/>
      <w:bookmarkStart w:id="17276" w:name="_Toc148523025"/>
      <w:bookmarkStart w:id="17277" w:name="_Toc114134060"/>
      <w:bookmarkStart w:id="17278" w:name="_Toc136562720"/>
      <w:bookmarkStart w:id="17279" w:name="_Toc98233871"/>
      <w:bookmarkStart w:id="17280" w:name="_Toc83233239"/>
      <w:bookmarkStart w:id="17281" w:name="_Toc120702561"/>
      <w:bookmarkStart w:id="17282" w:name="_Toc138754554"/>
      <w:bookmarkStart w:id="17283" w:name="_Toc164921290"/>
      <w:bookmarkStart w:id="17284" w:name="_Toc170120832"/>
      <w:bookmarkStart w:id="17285" w:name="_Toc175859077"/>
      <w:bookmarkStart w:id="17286" w:name="_Toc175860152"/>
      <w:bookmarkStart w:id="17287" w:name="_Toc180606442"/>
      <w:bookmarkStart w:id="17288" w:name="_Toc185517703"/>
      <w:bookmarkStart w:id="17289" w:name="_Toc191576755"/>
      <w:bookmarkStart w:id="17290" w:name="_Toc191577495"/>
      <w:bookmarkStart w:id="17291" w:name="_Toc192880565"/>
      <w:bookmarkStart w:id="17292" w:name="_Toc195815454"/>
      <w:bookmarkStart w:id="17293" w:name="_Toc199453515"/>
      <w:r>
        <w:t>A.5</w:t>
      </w:r>
      <w:r>
        <w:tab/>
      </w:r>
      <w:r>
        <w:rPr>
          <w:lang w:val="en-US" w:eastAsia="zh-CN"/>
        </w:rPr>
        <w:t>Nnwdaf_MLModelProvision API</w:t>
      </w:r>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p>
    <w:p w14:paraId="37A2E2E0" w14:textId="77777777" w:rsidR="007862A2" w:rsidRDefault="007862A2" w:rsidP="007862A2">
      <w:pPr>
        <w:pStyle w:val="PL"/>
      </w:pPr>
      <w:bookmarkStart w:id="17294" w:name="_Hlk514243590"/>
      <w:r>
        <w:t>openapi: 3.0.0</w:t>
      </w:r>
    </w:p>
    <w:p w14:paraId="7EE66F1B" w14:textId="77777777" w:rsidR="007862A2" w:rsidRDefault="007862A2" w:rsidP="007862A2">
      <w:pPr>
        <w:pStyle w:val="PL"/>
        <w:rPr>
          <w:lang w:val="fr-FR"/>
        </w:rPr>
      </w:pPr>
    </w:p>
    <w:p w14:paraId="694166CD" w14:textId="77777777" w:rsidR="007862A2" w:rsidRDefault="007862A2" w:rsidP="007862A2">
      <w:pPr>
        <w:pStyle w:val="PL"/>
        <w:rPr>
          <w:lang w:val="fr-FR"/>
        </w:rPr>
      </w:pPr>
      <w:r>
        <w:rPr>
          <w:lang w:val="fr-FR"/>
        </w:rPr>
        <w:t>info:</w:t>
      </w:r>
    </w:p>
    <w:p w14:paraId="0D11BA64" w14:textId="77777777" w:rsidR="007862A2" w:rsidRDefault="007862A2" w:rsidP="007862A2">
      <w:pPr>
        <w:pStyle w:val="PL"/>
        <w:rPr>
          <w:lang w:val="fr-FR"/>
        </w:rPr>
      </w:pPr>
      <w:r>
        <w:rPr>
          <w:lang w:val="fr-FR"/>
        </w:rPr>
        <w:t xml:space="preserve">  title: </w:t>
      </w:r>
      <w:r>
        <w:t>Nnwdaf_MLModelProvision</w:t>
      </w:r>
    </w:p>
    <w:p w14:paraId="7C2841BA" w14:textId="4771BD4B" w:rsidR="007862A2" w:rsidRDefault="007862A2" w:rsidP="007862A2">
      <w:pPr>
        <w:pStyle w:val="PL"/>
        <w:rPr>
          <w:lang w:val="fr-FR"/>
        </w:rPr>
      </w:pPr>
      <w:r>
        <w:rPr>
          <w:lang w:val="fr-FR"/>
        </w:rPr>
        <w:t xml:space="preserve">  version: 1.</w:t>
      </w:r>
      <w:r w:rsidR="009B01A5">
        <w:rPr>
          <w:lang w:val="fr-FR"/>
        </w:rPr>
        <w:t>2</w:t>
      </w:r>
      <w:r>
        <w:rPr>
          <w:lang w:val="fr-FR"/>
        </w:rPr>
        <w:t>.</w:t>
      </w:r>
      <w:r w:rsidR="009B01A5">
        <w:rPr>
          <w:lang w:val="fr-FR"/>
        </w:rPr>
        <w:t>0-alpha.</w:t>
      </w:r>
      <w:r w:rsidR="00CA1A16">
        <w:rPr>
          <w:lang w:val="fr-FR"/>
        </w:rPr>
        <w:t>3</w:t>
      </w:r>
    </w:p>
    <w:p w14:paraId="2F6E6DA3" w14:textId="77777777" w:rsidR="007862A2" w:rsidRDefault="007862A2" w:rsidP="007862A2">
      <w:pPr>
        <w:pStyle w:val="PL"/>
      </w:pPr>
      <w:r>
        <w:rPr>
          <w:lang w:val="fr-FR"/>
        </w:rPr>
        <w:t xml:space="preserve">  description: </w:t>
      </w:r>
      <w:r>
        <w:t>|</w:t>
      </w:r>
    </w:p>
    <w:p w14:paraId="3A70E3CD" w14:textId="77777777" w:rsidR="007862A2" w:rsidRDefault="007862A2" w:rsidP="007862A2">
      <w:pPr>
        <w:pStyle w:val="PL"/>
        <w:rPr>
          <w:lang w:val="fr-FR"/>
        </w:rPr>
      </w:pPr>
      <w:r>
        <w:rPr>
          <w:lang w:val="fr-FR"/>
        </w:rPr>
        <w:t xml:space="preserve">    </w:t>
      </w:r>
      <w:r>
        <w:t>Nnwdaf_MLModelProvision API</w:t>
      </w:r>
      <w:r>
        <w:rPr>
          <w:lang w:val="fr-FR"/>
        </w:rPr>
        <w:t xml:space="preserve"> Service.  </w:t>
      </w:r>
    </w:p>
    <w:p w14:paraId="17E0044B" w14:textId="77777777" w:rsidR="007862A2" w:rsidRDefault="007862A2" w:rsidP="007862A2">
      <w:pPr>
        <w:pStyle w:val="PL"/>
      </w:pPr>
      <w:r>
        <w:t xml:space="preserve">    © 202</w:t>
      </w:r>
      <w:r w:rsidR="0020689F">
        <w:t>5</w:t>
      </w:r>
      <w:r>
        <w:t xml:space="preserve">, 3GPP Organizational Partners (ARIB, ATIS, CCSA, ETSI, TSDSI, TTA, TTC).  </w:t>
      </w:r>
    </w:p>
    <w:p w14:paraId="08117C67" w14:textId="77777777" w:rsidR="007862A2" w:rsidRDefault="007862A2" w:rsidP="007862A2">
      <w:pPr>
        <w:pStyle w:val="PL"/>
      </w:pPr>
      <w:r>
        <w:t xml:space="preserve">    All rights reserved.</w:t>
      </w:r>
    </w:p>
    <w:p w14:paraId="21DE3604" w14:textId="77777777" w:rsidR="007862A2" w:rsidRDefault="007862A2" w:rsidP="007862A2">
      <w:pPr>
        <w:pStyle w:val="PL"/>
        <w:rPr>
          <w:lang w:val="fr-FR"/>
        </w:rPr>
      </w:pPr>
    </w:p>
    <w:p w14:paraId="64CAEC93" w14:textId="77777777" w:rsidR="007862A2" w:rsidRDefault="007862A2" w:rsidP="007862A2">
      <w:pPr>
        <w:pStyle w:val="PL"/>
        <w:rPr>
          <w:lang w:val="fr-FR"/>
        </w:rPr>
      </w:pPr>
      <w:r>
        <w:rPr>
          <w:lang w:val="fr-FR"/>
        </w:rPr>
        <w:t>externalDocs:</w:t>
      </w:r>
    </w:p>
    <w:p w14:paraId="57E2BB49" w14:textId="7177D13E" w:rsidR="007862A2" w:rsidRDefault="007862A2" w:rsidP="007862A2">
      <w:pPr>
        <w:pStyle w:val="PL"/>
        <w:rPr>
          <w:lang w:val="fr-FR"/>
        </w:rPr>
      </w:pPr>
      <w:r>
        <w:rPr>
          <w:lang w:val="fr-FR"/>
        </w:rPr>
        <w:t xml:space="preserve">  description: 3GPP TS 29.520 V</w:t>
      </w:r>
      <w:r>
        <w:rPr>
          <w:rFonts w:eastAsia="等线"/>
        </w:rPr>
        <w:t>1</w:t>
      </w:r>
      <w:r w:rsidR="009B01A5">
        <w:rPr>
          <w:rFonts w:eastAsia="等线"/>
        </w:rPr>
        <w:t>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3037D156" w14:textId="77777777" w:rsidR="007862A2" w:rsidRDefault="007862A2" w:rsidP="007862A2">
      <w:pPr>
        <w:pStyle w:val="PL"/>
        <w:rPr>
          <w:lang w:val="fr-FR"/>
        </w:rPr>
      </w:pPr>
      <w:r>
        <w:rPr>
          <w:lang w:val="fr-FR"/>
        </w:rPr>
        <w:t xml:space="preserve">  url: https://www.3gpp.org/ftp/Specs/archive/29_series/29.</w:t>
      </w:r>
      <w:r>
        <w:rPr>
          <w:rFonts w:eastAsia="等线"/>
        </w:rPr>
        <w:t>520</w:t>
      </w:r>
      <w:r>
        <w:rPr>
          <w:lang w:val="fr-FR"/>
        </w:rPr>
        <w:t>/</w:t>
      </w:r>
    </w:p>
    <w:bookmarkEnd w:id="17294"/>
    <w:p w14:paraId="6866A6B5" w14:textId="77777777" w:rsidR="007862A2" w:rsidRDefault="007862A2" w:rsidP="007862A2">
      <w:pPr>
        <w:pStyle w:val="PL"/>
      </w:pPr>
    </w:p>
    <w:p w14:paraId="45165F1F" w14:textId="77777777" w:rsidR="007862A2" w:rsidRDefault="007862A2" w:rsidP="007862A2">
      <w:pPr>
        <w:pStyle w:val="PL"/>
      </w:pPr>
      <w:r>
        <w:t>servers:</w:t>
      </w:r>
    </w:p>
    <w:p w14:paraId="064BFB49" w14:textId="77777777" w:rsidR="007862A2" w:rsidRDefault="007862A2" w:rsidP="007862A2">
      <w:pPr>
        <w:pStyle w:val="PL"/>
      </w:pPr>
      <w:r>
        <w:t xml:space="preserve">  - url: '{apiRoot}/nnwdaf-mlmodelprovision/v1'</w:t>
      </w:r>
    </w:p>
    <w:p w14:paraId="2BF3DCE3" w14:textId="77777777" w:rsidR="007862A2" w:rsidRDefault="007862A2" w:rsidP="007862A2">
      <w:pPr>
        <w:pStyle w:val="PL"/>
      </w:pPr>
      <w:r>
        <w:t xml:space="preserve">    variables:</w:t>
      </w:r>
    </w:p>
    <w:p w14:paraId="456DC13D" w14:textId="77777777" w:rsidR="007862A2" w:rsidRDefault="007862A2" w:rsidP="007862A2">
      <w:pPr>
        <w:pStyle w:val="PL"/>
      </w:pPr>
      <w:r>
        <w:t xml:space="preserve">      apiRoot:</w:t>
      </w:r>
    </w:p>
    <w:p w14:paraId="1E9B13A9" w14:textId="77777777" w:rsidR="007862A2" w:rsidRDefault="007862A2" w:rsidP="007862A2">
      <w:pPr>
        <w:pStyle w:val="PL"/>
      </w:pPr>
      <w:r>
        <w:t xml:space="preserve">        default: https://example.com</w:t>
      </w:r>
    </w:p>
    <w:p w14:paraId="3E4DED59" w14:textId="77777777" w:rsidR="007862A2" w:rsidRDefault="007862A2" w:rsidP="007862A2">
      <w:pPr>
        <w:pStyle w:val="PL"/>
      </w:pPr>
      <w:r>
        <w:t xml:space="preserve">        description: apiRoot as defined in clause 4.4 of 3GPP TS 29.501</w:t>
      </w:r>
    </w:p>
    <w:p w14:paraId="4E973697" w14:textId="77777777" w:rsidR="007862A2" w:rsidRDefault="007862A2" w:rsidP="007862A2">
      <w:pPr>
        <w:pStyle w:val="PL"/>
      </w:pPr>
    </w:p>
    <w:p w14:paraId="1A160EBB" w14:textId="77777777" w:rsidR="007862A2" w:rsidRDefault="007862A2" w:rsidP="007862A2">
      <w:pPr>
        <w:pStyle w:val="PL"/>
      </w:pPr>
      <w:r>
        <w:t>security:</w:t>
      </w:r>
    </w:p>
    <w:p w14:paraId="5B3FE789" w14:textId="77777777" w:rsidR="007862A2" w:rsidRDefault="007862A2" w:rsidP="007862A2">
      <w:pPr>
        <w:pStyle w:val="PL"/>
      </w:pPr>
      <w:r>
        <w:t xml:space="preserve">  - {}</w:t>
      </w:r>
    </w:p>
    <w:p w14:paraId="3DA2572D" w14:textId="77777777" w:rsidR="007862A2" w:rsidRDefault="007862A2" w:rsidP="007862A2">
      <w:pPr>
        <w:pStyle w:val="PL"/>
      </w:pPr>
      <w:r>
        <w:t xml:space="preserve">  - oAuth2ClientCredentials:</w:t>
      </w:r>
    </w:p>
    <w:p w14:paraId="17F71C1D" w14:textId="77777777" w:rsidR="007862A2" w:rsidRDefault="007862A2" w:rsidP="007862A2">
      <w:pPr>
        <w:pStyle w:val="PL"/>
      </w:pPr>
      <w:r>
        <w:t xml:space="preserve">    - nnwdaf-mlmodelprovision</w:t>
      </w:r>
    </w:p>
    <w:p w14:paraId="7DFE31F0" w14:textId="77777777" w:rsidR="007862A2" w:rsidRDefault="007862A2" w:rsidP="007862A2">
      <w:pPr>
        <w:pStyle w:val="PL"/>
      </w:pPr>
    </w:p>
    <w:p w14:paraId="1BCEC73D" w14:textId="77777777" w:rsidR="007862A2" w:rsidRDefault="007862A2" w:rsidP="007862A2">
      <w:pPr>
        <w:pStyle w:val="PL"/>
      </w:pPr>
      <w:r>
        <w:t>paths:</w:t>
      </w:r>
    </w:p>
    <w:p w14:paraId="66BE3D29" w14:textId="77777777" w:rsidR="007862A2" w:rsidRDefault="007862A2" w:rsidP="007862A2">
      <w:pPr>
        <w:pStyle w:val="PL"/>
      </w:pPr>
      <w:r>
        <w:t xml:space="preserve">  /subscriptions:</w:t>
      </w:r>
    </w:p>
    <w:p w14:paraId="2B3D2B1B" w14:textId="77777777" w:rsidR="007862A2" w:rsidRDefault="007862A2" w:rsidP="007862A2">
      <w:pPr>
        <w:pStyle w:val="PL"/>
      </w:pPr>
      <w:r>
        <w:t xml:space="preserve">    post:</w:t>
      </w:r>
    </w:p>
    <w:p w14:paraId="64AB8326" w14:textId="77777777" w:rsidR="007862A2" w:rsidRDefault="007862A2" w:rsidP="007862A2">
      <w:pPr>
        <w:pStyle w:val="PL"/>
      </w:pPr>
      <w:r>
        <w:t xml:space="preserve">      summary: Create a new Individual NWDAF ML Model Provision Subscription resource.</w:t>
      </w:r>
    </w:p>
    <w:p w14:paraId="22D32891" w14:textId="77777777" w:rsidR="007862A2" w:rsidRDefault="007862A2" w:rsidP="007862A2">
      <w:pPr>
        <w:pStyle w:val="PL"/>
      </w:pPr>
      <w:r>
        <w:t xml:space="preserve">      operationId: CreateNWDAFMLModelProvisionSubcription</w:t>
      </w:r>
    </w:p>
    <w:p w14:paraId="19C7FB66" w14:textId="77777777" w:rsidR="007862A2" w:rsidRDefault="007862A2" w:rsidP="007862A2">
      <w:pPr>
        <w:pStyle w:val="PL"/>
      </w:pPr>
      <w:r>
        <w:t xml:space="preserve">      tags:</w:t>
      </w:r>
    </w:p>
    <w:p w14:paraId="28043ECA" w14:textId="77777777" w:rsidR="007862A2" w:rsidRDefault="007862A2" w:rsidP="007862A2">
      <w:pPr>
        <w:pStyle w:val="PL"/>
      </w:pPr>
      <w:r>
        <w:t xml:space="preserve">        - Subscriptions (Collection)</w:t>
      </w:r>
    </w:p>
    <w:p w14:paraId="45E990D7" w14:textId="77777777" w:rsidR="007862A2" w:rsidRDefault="007862A2" w:rsidP="007862A2">
      <w:pPr>
        <w:pStyle w:val="PL"/>
      </w:pPr>
      <w:r>
        <w:t xml:space="preserve">      requestBody:</w:t>
      </w:r>
    </w:p>
    <w:p w14:paraId="2C66708F" w14:textId="77777777" w:rsidR="007862A2" w:rsidRDefault="007862A2" w:rsidP="007862A2">
      <w:pPr>
        <w:pStyle w:val="PL"/>
      </w:pPr>
      <w:r>
        <w:t xml:space="preserve">        required: true</w:t>
      </w:r>
    </w:p>
    <w:p w14:paraId="70F8D95D" w14:textId="77777777" w:rsidR="007862A2" w:rsidRDefault="007862A2" w:rsidP="007862A2">
      <w:pPr>
        <w:pStyle w:val="PL"/>
      </w:pPr>
      <w:r>
        <w:t xml:space="preserve">        content:</w:t>
      </w:r>
    </w:p>
    <w:p w14:paraId="15B7C690" w14:textId="77777777" w:rsidR="007862A2" w:rsidRDefault="007862A2" w:rsidP="007862A2">
      <w:pPr>
        <w:pStyle w:val="PL"/>
      </w:pPr>
      <w:r>
        <w:t xml:space="preserve">          application/json:</w:t>
      </w:r>
    </w:p>
    <w:p w14:paraId="46494CDE" w14:textId="77777777" w:rsidR="007862A2" w:rsidRDefault="007862A2" w:rsidP="007862A2">
      <w:pPr>
        <w:pStyle w:val="PL"/>
      </w:pPr>
      <w:r>
        <w:t xml:space="preserve">            schema:</w:t>
      </w:r>
    </w:p>
    <w:p w14:paraId="0516B03A" w14:textId="77777777" w:rsidR="007862A2" w:rsidRDefault="007862A2" w:rsidP="007862A2">
      <w:pPr>
        <w:pStyle w:val="PL"/>
      </w:pPr>
      <w:r>
        <w:t xml:space="preserve">              $ref: '#/components/schemas/</w:t>
      </w:r>
      <w:r>
        <w:rPr>
          <w:rFonts w:eastAsia="等线"/>
        </w:rPr>
        <w:t>NwdafMLModelProvSubsc</w:t>
      </w:r>
      <w:r>
        <w:t>'</w:t>
      </w:r>
    </w:p>
    <w:p w14:paraId="527350CD" w14:textId="77777777" w:rsidR="007862A2" w:rsidRDefault="007862A2" w:rsidP="007862A2">
      <w:pPr>
        <w:pStyle w:val="PL"/>
      </w:pPr>
      <w:r>
        <w:t xml:space="preserve">      responses:</w:t>
      </w:r>
    </w:p>
    <w:p w14:paraId="2CEF9700" w14:textId="77777777" w:rsidR="007862A2" w:rsidRDefault="007862A2" w:rsidP="007862A2">
      <w:pPr>
        <w:pStyle w:val="PL"/>
      </w:pPr>
      <w:r>
        <w:t xml:space="preserve">        '201':</w:t>
      </w:r>
    </w:p>
    <w:p w14:paraId="7E809C42" w14:textId="77777777" w:rsidR="007862A2" w:rsidRDefault="007862A2" w:rsidP="007862A2">
      <w:pPr>
        <w:pStyle w:val="PL"/>
      </w:pPr>
      <w:r>
        <w:t xml:space="preserve">          description: Create a new Individual NWDAF ML Model Provision Subscription resource.</w:t>
      </w:r>
    </w:p>
    <w:p w14:paraId="26F79833" w14:textId="77777777" w:rsidR="007862A2" w:rsidRDefault="007862A2" w:rsidP="007862A2">
      <w:pPr>
        <w:pStyle w:val="PL"/>
      </w:pPr>
      <w:r>
        <w:t xml:space="preserve">          content:</w:t>
      </w:r>
    </w:p>
    <w:p w14:paraId="039698B3" w14:textId="77777777" w:rsidR="007862A2" w:rsidRDefault="007862A2" w:rsidP="007862A2">
      <w:pPr>
        <w:pStyle w:val="PL"/>
      </w:pPr>
      <w:r>
        <w:t xml:space="preserve">            application/json:</w:t>
      </w:r>
    </w:p>
    <w:p w14:paraId="436CB909" w14:textId="77777777" w:rsidR="007862A2" w:rsidRDefault="007862A2" w:rsidP="007862A2">
      <w:pPr>
        <w:pStyle w:val="PL"/>
      </w:pPr>
      <w:r>
        <w:t xml:space="preserve">              schema:</w:t>
      </w:r>
    </w:p>
    <w:p w14:paraId="3D0355FA" w14:textId="77777777" w:rsidR="007862A2" w:rsidRDefault="007862A2" w:rsidP="007862A2">
      <w:pPr>
        <w:pStyle w:val="PL"/>
      </w:pPr>
      <w:r>
        <w:t xml:space="preserve">                $ref: '#/components/schemas/</w:t>
      </w:r>
      <w:r>
        <w:rPr>
          <w:rFonts w:eastAsia="等线"/>
        </w:rPr>
        <w:t>NwdafMLModelProvSubsc</w:t>
      </w:r>
      <w:r>
        <w:t>'</w:t>
      </w:r>
    </w:p>
    <w:p w14:paraId="44062B24" w14:textId="77777777" w:rsidR="007862A2" w:rsidRDefault="007862A2" w:rsidP="007862A2">
      <w:pPr>
        <w:pStyle w:val="PL"/>
      </w:pPr>
      <w:r>
        <w:t xml:space="preserve">          headers:</w:t>
      </w:r>
    </w:p>
    <w:p w14:paraId="3BB1DD51" w14:textId="77777777" w:rsidR="007862A2" w:rsidRDefault="007862A2" w:rsidP="007862A2">
      <w:pPr>
        <w:pStyle w:val="PL"/>
      </w:pPr>
      <w:r>
        <w:t xml:space="preserve">            Location:</w:t>
      </w:r>
    </w:p>
    <w:p w14:paraId="31845314" w14:textId="77777777" w:rsidR="007862A2" w:rsidRDefault="007862A2" w:rsidP="007862A2">
      <w:pPr>
        <w:pStyle w:val="PL"/>
      </w:pPr>
      <w:r>
        <w:t xml:space="preserve">              description: </w:t>
      </w:r>
      <w:r>
        <w:rPr>
          <w:lang w:val="en-US"/>
        </w:rPr>
        <w:t>&gt;</w:t>
      </w:r>
    </w:p>
    <w:p w14:paraId="3C73FA43" w14:textId="77777777" w:rsidR="007862A2" w:rsidRDefault="007862A2" w:rsidP="007862A2">
      <w:pPr>
        <w:pStyle w:val="PL"/>
      </w:pPr>
      <w:r>
        <w:t xml:space="preserve">                Contains the URI of the newly created resource, according to the structure</w:t>
      </w:r>
    </w:p>
    <w:p w14:paraId="4854A791" w14:textId="77777777" w:rsidR="007862A2" w:rsidRDefault="007862A2" w:rsidP="007862A2">
      <w:pPr>
        <w:pStyle w:val="PL"/>
      </w:pPr>
      <w:r>
        <w:t xml:space="preserve">                {apiRoot}/nnwdaf-mlmodelprovision/v1/subscriptions/{subscriptionId}.</w:t>
      </w:r>
    </w:p>
    <w:p w14:paraId="72AD4D99" w14:textId="77777777" w:rsidR="007862A2" w:rsidRDefault="007862A2" w:rsidP="007862A2">
      <w:pPr>
        <w:pStyle w:val="PL"/>
      </w:pPr>
      <w:r>
        <w:t xml:space="preserve">              required: true</w:t>
      </w:r>
    </w:p>
    <w:p w14:paraId="7D86E44F" w14:textId="77777777" w:rsidR="007862A2" w:rsidRDefault="007862A2" w:rsidP="007862A2">
      <w:pPr>
        <w:pStyle w:val="PL"/>
      </w:pPr>
      <w:r>
        <w:t xml:space="preserve">              schema:</w:t>
      </w:r>
    </w:p>
    <w:p w14:paraId="3AF1A31C" w14:textId="77777777" w:rsidR="007862A2" w:rsidRDefault="007862A2" w:rsidP="007862A2">
      <w:pPr>
        <w:pStyle w:val="PL"/>
      </w:pPr>
      <w:r>
        <w:t xml:space="preserve">                type: string</w:t>
      </w:r>
    </w:p>
    <w:p w14:paraId="630B3F1D" w14:textId="77777777" w:rsidR="007862A2" w:rsidRDefault="007862A2" w:rsidP="007862A2">
      <w:pPr>
        <w:pStyle w:val="PL"/>
      </w:pPr>
      <w:r>
        <w:t xml:space="preserve">        '400':</w:t>
      </w:r>
    </w:p>
    <w:p w14:paraId="4181227D" w14:textId="77777777" w:rsidR="007862A2" w:rsidRDefault="007862A2" w:rsidP="007862A2">
      <w:pPr>
        <w:pStyle w:val="PL"/>
      </w:pPr>
      <w:r>
        <w:t xml:space="preserve">          $ref: 'TS29571_CommonData.yaml#/components/responses/400'</w:t>
      </w:r>
    </w:p>
    <w:p w14:paraId="1214DEEB" w14:textId="77777777" w:rsidR="007862A2" w:rsidRDefault="007862A2" w:rsidP="007862A2">
      <w:pPr>
        <w:pStyle w:val="PL"/>
      </w:pPr>
      <w:r>
        <w:t xml:space="preserve">        '401':</w:t>
      </w:r>
    </w:p>
    <w:p w14:paraId="45B8981D" w14:textId="77777777" w:rsidR="007862A2" w:rsidRDefault="007862A2" w:rsidP="007862A2">
      <w:pPr>
        <w:pStyle w:val="PL"/>
      </w:pPr>
      <w:r>
        <w:t xml:space="preserve">          $ref: 'TS29571_CommonData.yaml#/components/responses/401'</w:t>
      </w:r>
    </w:p>
    <w:p w14:paraId="55B079F5" w14:textId="77777777" w:rsidR="007862A2" w:rsidRDefault="007862A2" w:rsidP="007862A2">
      <w:pPr>
        <w:pStyle w:val="PL"/>
      </w:pPr>
      <w:r>
        <w:t xml:space="preserve">        '403':</w:t>
      </w:r>
    </w:p>
    <w:p w14:paraId="6E439BA5" w14:textId="77777777" w:rsidR="007862A2" w:rsidRDefault="007862A2" w:rsidP="007862A2">
      <w:pPr>
        <w:pStyle w:val="PL"/>
      </w:pPr>
      <w:r>
        <w:t xml:space="preserve">          $ref: 'TS29571_CommonData.yaml#/components/responses/403'</w:t>
      </w:r>
    </w:p>
    <w:p w14:paraId="32B6FB82" w14:textId="77777777" w:rsidR="007862A2" w:rsidRDefault="007862A2" w:rsidP="007862A2">
      <w:pPr>
        <w:pStyle w:val="PL"/>
      </w:pPr>
      <w:r>
        <w:t xml:space="preserve">        '404':</w:t>
      </w:r>
    </w:p>
    <w:p w14:paraId="30DB79BA" w14:textId="77777777" w:rsidR="007862A2" w:rsidRDefault="007862A2" w:rsidP="007862A2">
      <w:pPr>
        <w:pStyle w:val="PL"/>
      </w:pPr>
      <w:r>
        <w:lastRenderedPageBreak/>
        <w:t xml:space="preserve">          $ref: 'TS29571_CommonData.yaml#/components/responses/404'</w:t>
      </w:r>
    </w:p>
    <w:p w14:paraId="6ED9A3B1" w14:textId="77777777" w:rsidR="007862A2" w:rsidRDefault="007862A2" w:rsidP="007862A2">
      <w:pPr>
        <w:pStyle w:val="PL"/>
      </w:pPr>
      <w:r>
        <w:t xml:space="preserve">        '411':</w:t>
      </w:r>
    </w:p>
    <w:p w14:paraId="2E69B650" w14:textId="77777777" w:rsidR="007862A2" w:rsidRDefault="007862A2" w:rsidP="007862A2">
      <w:pPr>
        <w:pStyle w:val="PL"/>
      </w:pPr>
      <w:r>
        <w:t xml:space="preserve">          $ref: 'TS29571_CommonData.yaml#/components/responses/411'</w:t>
      </w:r>
    </w:p>
    <w:p w14:paraId="2883DC07" w14:textId="77777777" w:rsidR="007862A2" w:rsidRDefault="007862A2" w:rsidP="007862A2">
      <w:pPr>
        <w:pStyle w:val="PL"/>
      </w:pPr>
      <w:r>
        <w:t xml:space="preserve">        '413':</w:t>
      </w:r>
    </w:p>
    <w:p w14:paraId="659CBE86" w14:textId="77777777" w:rsidR="007862A2" w:rsidRDefault="007862A2" w:rsidP="007862A2">
      <w:pPr>
        <w:pStyle w:val="PL"/>
      </w:pPr>
      <w:r>
        <w:t xml:space="preserve">          $ref: 'TS29571_CommonData.yaml#/components/responses/413'</w:t>
      </w:r>
    </w:p>
    <w:p w14:paraId="49460D8B" w14:textId="77777777" w:rsidR="007862A2" w:rsidRDefault="007862A2" w:rsidP="007862A2">
      <w:pPr>
        <w:pStyle w:val="PL"/>
      </w:pPr>
      <w:r>
        <w:t xml:space="preserve">        '415':</w:t>
      </w:r>
    </w:p>
    <w:p w14:paraId="1F8278CC" w14:textId="77777777" w:rsidR="007862A2" w:rsidRDefault="007862A2" w:rsidP="007862A2">
      <w:pPr>
        <w:pStyle w:val="PL"/>
      </w:pPr>
      <w:r>
        <w:t xml:space="preserve">          $ref: 'TS29571_CommonData.yaml#/components/responses/415'</w:t>
      </w:r>
    </w:p>
    <w:p w14:paraId="6B60E1C7" w14:textId="77777777" w:rsidR="007862A2" w:rsidRDefault="007862A2" w:rsidP="007862A2">
      <w:pPr>
        <w:pStyle w:val="PL"/>
      </w:pPr>
      <w:r>
        <w:t xml:space="preserve">        '429':</w:t>
      </w:r>
    </w:p>
    <w:p w14:paraId="7EC28DEB" w14:textId="77777777" w:rsidR="007862A2" w:rsidRDefault="007862A2" w:rsidP="007862A2">
      <w:pPr>
        <w:pStyle w:val="PL"/>
      </w:pPr>
      <w:r>
        <w:t xml:space="preserve">          $ref: 'TS29571_CommonData.yaml#/components/responses/429'</w:t>
      </w:r>
    </w:p>
    <w:p w14:paraId="08CB6FAE" w14:textId="77777777" w:rsidR="007862A2" w:rsidRDefault="007862A2" w:rsidP="007862A2">
      <w:pPr>
        <w:pStyle w:val="PL"/>
      </w:pPr>
      <w:r>
        <w:t xml:space="preserve">        '500':</w:t>
      </w:r>
    </w:p>
    <w:p w14:paraId="7F880AB3" w14:textId="77777777" w:rsidR="007862A2" w:rsidRDefault="007862A2" w:rsidP="007862A2">
      <w:pPr>
        <w:pStyle w:val="PL"/>
      </w:pPr>
      <w:r>
        <w:t xml:space="preserve">          $ref: 'TS29571_CommonData.yaml#/components/responses/500'</w:t>
      </w:r>
    </w:p>
    <w:p w14:paraId="210F607A" w14:textId="77777777" w:rsidR="007862A2" w:rsidRDefault="007862A2" w:rsidP="007862A2">
      <w:pPr>
        <w:pStyle w:val="PL"/>
      </w:pPr>
      <w:r>
        <w:t xml:space="preserve">        '502':</w:t>
      </w:r>
    </w:p>
    <w:p w14:paraId="65F4EE14" w14:textId="77777777" w:rsidR="007862A2" w:rsidRDefault="007862A2" w:rsidP="007862A2">
      <w:pPr>
        <w:pStyle w:val="PL"/>
      </w:pPr>
      <w:r>
        <w:t xml:space="preserve">          $ref: 'TS29571_CommonData.yaml#/components/responses/502'</w:t>
      </w:r>
    </w:p>
    <w:p w14:paraId="005E533B" w14:textId="77777777" w:rsidR="007862A2" w:rsidRDefault="007862A2" w:rsidP="007862A2">
      <w:pPr>
        <w:pStyle w:val="PL"/>
      </w:pPr>
      <w:r>
        <w:t xml:space="preserve">        '503':</w:t>
      </w:r>
    </w:p>
    <w:p w14:paraId="3DABA95E" w14:textId="77777777" w:rsidR="007862A2" w:rsidRDefault="007862A2" w:rsidP="007862A2">
      <w:pPr>
        <w:pStyle w:val="PL"/>
      </w:pPr>
      <w:r>
        <w:t xml:space="preserve">          $ref: 'TS29571_CommonData.yaml#/components/responses/503'</w:t>
      </w:r>
    </w:p>
    <w:p w14:paraId="7D8D580F" w14:textId="77777777" w:rsidR="007862A2" w:rsidRDefault="007862A2" w:rsidP="007862A2">
      <w:pPr>
        <w:pStyle w:val="PL"/>
      </w:pPr>
      <w:r>
        <w:t xml:space="preserve">        default:</w:t>
      </w:r>
    </w:p>
    <w:p w14:paraId="327828AB" w14:textId="77777777" w:rsidR="007862A2" w:rsidRDefault="007862A2" w:rsidP="007862A2">
      <w:pPr>
        <w:pStyle w:val="PL"/>
      </w:pPr>
      <w:r>
        <w:t xml:space="preserve">          $ref: 'TS29571_CommonData.yaml#/components/responses/default'</w:t>
      </w:r>
    </w:p>
    <w:p w14:paraId="46BCED48" w14:textId="77777777" w:rsidR="007862A2" w:rsidRDefault="007862A2" w:rsidP="007862A2">
      <w:pPr>
        <w:pStyle w:val="PL"/>
      </w:pPr>
      <w:r>
        <w:t xml:space="preserve">      callbacks:</w:t>
      </w:r>
    </w:p>
    <w:p w14:paraId="58E7AFBB" w14:textId="77777777" w:rsidR="007862A2" w:rsidRDefault="007862A2" w:rsidP="007862A2">
      <w:pPr>
        <w:pStyle w:val="PL"/>
      </w:pPr>
      <w:r>
        <w:t xml:space="preserve">        myNotification:</w:t>
      </w:r>
    </w:p>
    <w:p w14:paraId="4B4D8B33" w14:textId="77777777" w:rsidR="007862A2" w:rsidRDefault="007862A2" w:rsidP="007862A2">
      <w:pPr>
        <w:pStyle w:val="PL"/>
      </w:pPr>
      <w:r>
        <w:t xml:space="preserve">          '{$request.body#/notifUri}':</w:t>
      </w:r>
    </w:p>
    <w:p w14:paraId="78E1FD70" w14:textId="77777777" w:rsidR="007862A2" w:rsidRDefault="007862A2" w:rsidP="007862A2">
      <w:pPr>
        <w:pStyle w:val="PL"/>
      </w:pPr>
      <w:r>
        <w:t xml:space="preserve">            post:</w:t>
      </w:r>
    </w:p>
    <w:p w14:paraId="10C4B0B2" w14:textId="77777777" w:rsidR="007862A2" w:rsidRDefault="007862A2" w:rsidP="007862A2">
      <w:pPr>
        <w:pStyle w:val="PL"/>
      </w:pPr>
      <w:r>
        <w:t xml:space="preserve">              requestBody:</w:t>
      </w:r>
    </w:p>
    <w:p w14:paraId="64BB4BA4" w14:textId="77777777" w:rsidR="007862A2" w:rsidRDefault="007862A2" w:rsidP="007862A2">
      <w:pPr>
        <w:pStyle w:val="PL"/>
      </w:pPr>
      <w:r>
        <w:t xml:space="preserve">                required: true</w:t>
      </w:r>
    </w:p>
    <w:p w14:paraId="0051CE84" w14:textId="77777777" w:rsidR="007862A2" w:rsidRDefault="007862A2" w:rsidP="007862A2">
      <w:pPr>
        <w:pStyle w:val="PL"/>
      </w:pPr>
      <w:r>
        <w:t xml:space="preserve">                content:</w:t>
      </w:r>
    </w:p>
    <w:p w14:paraId="5D6C3BB3" w14:textId="77777777" w:rsidR="007862A2" w:rsidRDefault="007862A2" w:rsidP="007862A2">
      <w:pPr>
        <w:pStyle w:val="PL"/>
      </w:pPr>
      <w:r>
        <w:t xml:space="preserve">                  application/json:</w:t>
      </w:r>
    </w:p>
    <w:p w14:paraId="1C3B2024" w14:textId="77777777" w:rsidR="007862A2" w:rsidRDefault="007862A2" w:rsidP="007862A2">
      <w:pPr>
        <w:pStyle w:val="PL"/>
      </w:pPr>
      <w:r>
        <w:t xml:space="preserve">                    schema:</w:t>
      </w:r>
    </w:p>
    <w:p w14:paraId="234CCC56" w14:textId="77777777" w:rsidR="007862A2" w:rsidRDefault="007862A2" w:rsidP="007862A2">
      <w:pPr>
        <w:pStyle w:val="PL"/>
      </w:pPr>
      <w:r>
        <w:t xml:space="preserve">                      type: array</w:t>
      </w:r>
    </w:p>
    <w:p w14:paraId="5447CF1D" w14:textId="77777777" w:rsidR="007862A2" w:rsidRDefault="007862A2" w:rsidP="007862A2">
      <w:pPr>
        <w:pStyle w:val="PL"/>
      </w:pPr>
      <w:r>
        <w:t xml:space="preserve">                      items:</w:t>
      </w:r>
    </w:p>
    <w:p w14:paraId="61E17D80" w14:textId="77777777" w:rsidR="007862A2" w:rsidRDefault="007862A2" w:rsidP="007862A2">
      <w:pPr>
        <w:pStyle w:val="PL"/>
      </w:pPr>
      <w:r>
        <w:t xml:space="preserve">                        $ref: '#/components/schemas/</w:t>
      </w:r>
      <w:r>
        <w:rPr>
          <w:rFonts w:eastAsia="等线"/>
        </w:rPr>
        <w:t>NwdafMLModelProvNotif</w:t>
      </w:r>
      <w:r>
        <w:t>'</w:t>
      </w:r>
    </w:p>
    <w:p w14:paraId="22987BE8" w14:textId="77777777" w:rsidR="007862A2" w:rsidRDefault="007862A2" w:rsidP="007862A2">
      <w:pPr>
        <w:pStyle w:val="PL"/>
      </w:pPr>
      <w:r>
        <w:t xml:space="preserve">                      minItems: 1</w:t>
      </w:r>
    </w:p>
    <w:p w14:paraId="4ED6360B" w14:textId="77777777" w:rsidR="007862A2" w:rsidRDefault="007862A2" w:rsidP="007862A2">
      <w:pPr>
        <w:pStyle w:val="PL"/>
      </w:pPr>
      <w:r>
        <w:t xml:space="preserve">              responses:</w:t>
      </w:r>
    </w:p>
    <w:p w14:paraId="0AE417C5" w14:textId="77777777" w:rsidR="007862A2" w:rsidRDefault="007862A2" w:rsidP="007862A2">
      <w:pPr>
        <w:pStyle w:val="PL"/>
      </w:pPr>
      <w:r>
        <w:t xml:space="preserve">                '204':</w:t>
      </w:r>
    </w:p>
    <w:p w14:paraId="6B7096E3" w14:textId="77777777" w:rsidR="007862A2" w:rsidRDefault="007862A2" w:rsidP="007862A2">
      <w:pPr>
        <w:pStyle w:val="PL"/>
      </w:pPr>
      <w:r>
        <w:t xml:space="preserve">                  description: No Content, Notification was succesfull</w:t>
      </w:r>
    </w:p>
    <w:p w14:paraId="595976C1" w14:textId="77777777" w:rsidR="007862A2" w:rsidRDefault="007862A2" w:rsidP="007862A2">
      <w:pPr>
        <w:pStyle w:val="PL"/>
      </w:pPr>
      <w:r>
        <w:t xml:space="preserve">                '307':</w:t>
      </w:r>
    </w:p>
    <w:p w14:paraId="582DA05B" w14:textId="77777777" w:rsidR="007862A2" w:rsidRDefault="007862A2" w:rsidP="007862A2">
      <w:pPr>
        <w:pStyle w:val="PL"/>
      </w:pPr>
      <w:r>
        <w:t xml:space="preserve">                  $ref: 'TS29571_CommonData.yaml#/components/responses/307'</w:t>
      </w:r>
    </w:p>
    <w:p w14:paraId="696D9F85" w14:textId="77777777" w:rsidR="007862A2" w:rsidRDefault="007862A2" w:rsidP="007862A2">
      <w:pPr>
        <w:pStyle w:val="PL"/>
      </w:pPr>
      <w:r>
        <w:t xml:space="preserve">                '308':</w:t>
      </w:r>
    </w:p>
    <w:p w14:paraId="2D8D90B4" w14:textId="77777777" w:rsidR="007862A2" w:rsidRDefault="007862A2" w:rsidP="007862A2">
      <w:pPr>
        <w:pStyle w:val="PL"/>
      </w:pPr>
      <w:r>
        <w:t xml:space="preserve">                  $ref: 'TS29571_CommonData.yaml#/components/responses/308'</w:t>
      </w:r>
    </w:p>
    <w:p w14:paraId="2AF505A2" w14:textId="77777777" w:rsidR="007862A2" w:rsidRDefault="007862A2" w:rsidP="007862A2">
      <w:pPr>
        <w:pStyle w:val="PL"/>
      </w:pPr>
      <w:r>
        <w:t xml:space="preserve">                '400':</w:t>
      </w:r>
    </w:p>
    <w:p w14:paraId="14E5F331" w14:textId="77777777" w:rsidR="007862A2" w:rsidRDefault="007862A2" w:rsidP="007862A2">
      <w:pPr>
        <w:pStyle w:val="PL"/>
      </w:pPr>
      <w:r>
        <w:t xml:space="preserve">                  $ref: 'TS29571_CommonData.yaml#/components/responses/400'</w:t>
      </w:r>
    </w:p>
    <w:p w14:paraId="54AF6263" w14:textId="77777777" w:rsidR="007862A2" w:rsidRDefault="007862A2" w:rsidP="007862A2">
      <w:pPr>
        <w:pStyle w:val="PL"/>
      </w:pPr>
      <w:r>
        <w:t xml:space="preserve">                '401':</w:t>
      </w:r>
    </w:p>
    <w:p w14:paraId="675E43A8" w14:textId="77777777" w:rsidR="007862A2" w:rsidRDefault="007862A2" w:rsidP="007862A2">
      <w:pPr>
        <w:pStyle w:val="PL"/>
      </w:pPr>
      <w:r>
        <w:t xml:space="preserve">                  $ref: 'TS29571_CommonData.yaml#/components/responses/401'</w:t>
      </w:r>
    </w:p>
    <w:p w14:paraId="2656801D" w14:textId="77777777" w:rsidR="007862A2" w:rsidRDefault="007862A2" w:rsidP="007862A2">
      <w:pPr>
        <w:pStyle w:val="PL"/>
      </w:pPr>
      <w:r>
        <w:t xml:space="preserve">                '403':</w:t>
      </w:r>
    </w:p>
    <w:p w14:paraId="5F7DAA94" w14:textId="77777777" w:rsidR="007862A2" w:rsidRDefault="007862A2" w:rsidP="007862A2">
      <w:pPr>
        <w:pStyle w:val="PL"/>
      </w:pPr>
      <w:r>
        <w:t xml:space="preserve">                  $ref: 'TS29571_CommonData.yaml#/components/responses/403'</w:t>
      </w:r>
    </w:p>
    <w:p w14:paraId="7305EBFE" w14:textId="77777777" w:rsidR="007862A2" w:rsidRDefault="007862A2" w:rsidP="007862A2">
      <w:pPr>
        <w:pStyle w:val="PL"/>
      </w:pPr>
      <w:r>
        <w:t xml:space="preserve">                '404':</w:t>
      </w:r>
    </w:p>
    <w:p w14:paraId="453B759F" w14:textId="77777777" w:rsidR="007862A2" w:rsidRDefault="007862A2" w:rsidP="007862A2">
      <w:pPr>
        <w:pStyle w:val="PL"/>
      </w:pPr>
      <w:r>
        <w:t xml:space="preserve">                  $ref: 'TS29571_CommonData.yaml#/components/responses/404'</w:t>
      </w:r>
    </w:p>
    <w:p w14:paraId="151C2277" w14:textId="77777777" w:rsidR="007862A2" w:rsidRDefault="007862A2" w:rsidP="007862A2">
      <w:pPr>
        <w:pStyle w:val="PL"/>
      </w:pPr>
      <w:r>
        <w:t xml:space="preserve">                '411':</w:t>
      </w:r>
    </w:p>
    <w:p w14:paraId="7362F091" w14:textId="77777777" w:rsidR="007862A2" w:rsidRDefault="007862A2" w:rsidP="007862A2">
      <w:pPr>
        <w:pStyle w:val="PL"/>
      </w:pPr>
      <w:r>
        <w:t xml:space="preserve">                  $ref: 'TS29571_CommonData.yaml#/components/responses/411'</w:t>
      </w:r>
    </w:p>
    <w:p w14:paraId="35B3D380" w14:textId="77777777" w:rsidR="007862A2" w:rsidRDefault="007862A2" w:rsidP="007862A2">
      <w:pPr>
        <w:pStyle w:val="PL"/>
      </w:pPr>
      <w:r>
        <w:t xml:space="preserve">                '413':</w:t>
      </w:r>
    </w:p>
    <w:p w14:paraId="4EC5B3D6" w14:textId="77777777" w:rsidR="007862A2" w:rsidRDefault="007862A2" w:rsidP="007862A2">
      <w:pPr>
        <w:pStyle w:val="PL"/>
      </w:pPr>
      <w:r>
        <w:t xml:space="preserve">                  $ref: 'TS29571_CommonData.yaml#/components/responses/413'</w:t>
      </w:r>
    </w:p>
    <w:p w14:paraId="1190E685" w14:textId="77777777" w:rsidR="007862A2" w:rsidRDefault="007862A2" w:rsidP="007862A2">
      <w:pPr>
        <w:pStyle w:val="PL"/>
      </w:pPr>
      <w:r>
        <w:t xml:space="preserve">                '415':</w:t>
      </w:r>
    </w:p>
    <w:p w14:paraId="7EE8449E" w14:textId="77777777" w:rsidR="007862A2" w:rsidRDefault="007862A2" w:rsidP="007862A2">
      <w:pPr>
        <w:pStyle w:val="PL"/>
      </w:pPr>
      <w:r>
        <w:t xml:space="preserve">                  $ref: 'TS29571_CommonData.yaml#/components/responses/415'</w:t>
      </w:r>
    </w:p>
    <w:p w14:paraId="2F9D6C77" w14:textId="77777777" w:rsidR="007862A2" w:rsidRDefault="007862A2" w:rsidP="007862A2">
      <w:pPr>
        <w:pStyle w:val="PL"/>
      </w:pPr>
      <w:r>
        <w:t xml:space="preserve">                '429':</w:t>
      </w:r>
    </w:p>
    <w:p w14:paraId="4556EFDD" w14:textId="77777777" w:rsidR="007862A2" w:rsidRDefault="007862A2" w:rsidP="007862A2">
      <w:pPr>
        <w:pStyle w:val="PL"/>
      </w:pPr>
      <w:r>
        <w:t xml:space="preserve">                  $ref: 'TS29571_CommonData.yaml#/components/responses/429'</w:t>
      </w:r>
    </w:p>
    <w:p w14:paraId="333CDAEF" w14:textId="77777777" w:rsidR="007862A2" w:rsidRDefault="007862A2" w:rsidP="007862A2">
      <w:pPr>
        <w:pStyle w:val="PL"/>
      </w:pPr>
      <w:r>
        <w:t xml:space="preserve">                '500':</w:t>
      </w:r>
    </w:p>
    <w:p w14:paraId="40A7E102" w14:textId="77777777" w:rsidR="007862A2" w:rsidRDefault="007862A2" w:rsidP="007862A2">
      <w:pPr>
        <w:pStyle w:val="PL"/>
      </w:pPr>
      <w:r>
        <w:t xml:space="preserve">                  $ref: 'TS29571_CommonData.yaml#/components/responses/500'</w:t>
      </w:r>
    </w:p>
    <w:p w14:paraId="036FEFEF" w14:textId="77777777" w:rsidR="007862A2" w:rsidRDefault="007862A2" w:rsidP="007862A2">
      <w:pPr>
        <w:pStyle w:val="PL"/>
      </w:pPr>
      <w:r>
        <w:t xml:space="preserve">                '502':</w:t>
      </w:r>
    </w:p>
    <w:p w14:paraId="78544E01" w14:textId="77777777" w:rsidR="007862A2" w:rsidRDefault="007862A2" w:rsidP="007862A2">
      <w:pPr>
        <w:pStyle w:val="PL"/>
      </w:pPr>
      <w:r>
        <w:t xml:space="preserve">                  $ref: 'TS29571_CommonData.yaml#/components/responses/502'</w:t>
      </w:r>
    </w:p>
    <w:p w14:paraId="554186AE" w14:textId="77777777" w:rsidR="007862A2" w:rsidRDefault="007862A2" w:rsidP="007862A2">
      <w:pPr>
        <w:pStyle w:val="PL"/>
      </w:pPr>
      <w:r>
        <w:t xml:space="preserve">                '503':</w:t>
      </w:r>
    </w:p>
    <w:p w14:paraId="4DD8A70A" w14:textId="77777777" w:rsidR="007862A2" w:rsidRDefault="007862A2" w:rsidP="007862A2">
      <w:pPr>
        <w:pStyle w:val="PL"/>
      </w:pPr>
      <w:r>
        <w:t xml:space="preserve">                  $ref: 'TS29571_CommonData.yaml#/components/responses/503'</w:t>
      </w:r>
    </w:p>
    <w:p w14:paraId="0B8CFEB5" w14:textId="77777777" w:rsidR="007862A2" w:rsidRDefault="007862A2" w:rsidP="007862A2">
      <w:pPr>
        <w:pStyle w:val="PL"/>
      </w:pPr>
      <w:r>
        <w:t xml:space="preserve">                default:</w:t>
      </w:r>
    </w:p>
    <w:p w14:paraId="3B141196" w14:textId="77777777" w:rsidR="007862A2" w:rsidRDefault="007862A2" w:rsidP="007862A2">
      <w:pPr>
        <w:pStyle w:val="PL"/>
      </w:pPr>
      <w:r>
        <w:t xml:space="preserve">                  $ref: 'TS29571_CommonData.yaml#/components/responses/default'</w:t>
      </w:r>
    </w:p>
    <w:p w14:paraId="0BF38B4D" w14:textId="77777777" w:rsidR="007862A2" w:rsidRDefault="007862A2" w:rsidP="007862A2">
      <w:pPr>
        <w:pStyle w:val="PL"/>
      </w:pPr>
      <w:r>
        <w:t xml:space="preserve">  /subscriptions/{subscriptionId}:</w:t>
      </w:r>
    </w:p>
    <w:p w14:paraId="1933BA5A" w14:textId="77777777" w:rsidR="007862A2" w:rsidRDefault="007862A2" w:rsidP="007862A2">
      <w:pPr>
        <w:pStyle w:val="PL"/>
      </w:pPr>
      <w:r>
        <w:t xml:space="preserve">    put:</w:t>
      </w:r>
    </w:p>
    <w:p w14:paraId="7080DD11" w14:textId="77777777" w:rsidR="007862A2" w:rsidRDefault="007862A2" w:rsidP="007862A2">
      <w:pPr>
        <w:pStyle w:val="PL"/>
      </w:pPr>
      <w:r>
        <w:t xml:space="preserve">      summary: update an existing Individual NWDAF ML Model Provision Subscription</w:t>
      </w:r>
    </w:p>
    <w:p w14:paraId="1AADD53B" w14:textId="77777777" w:rsidR="007862A2" w:rsidRDefault="007862A2" w:rsidP="007862A2">
      <w:pPr>
        <w:pStyle w:val="PL"/>
      </w:pPr>
      <w:r>
        <w:t xml:space="preserve">      operationId: UpdateNWDAFMLModelProvisionSubcription</w:t>
      </w:r>
    </w:p>
    <w:p w14:paraId="19D9FC3F" w14:textId="77777777" w:rsidR="007862A2" w:rsidRDefault="007862A2" w:rsidP="007862A2">
      <w:pPr>
        <w:pStyle w:val="PL"/>
      </w:pPr>
      <w:r>
        <w:t xml:space="preserve">      tags:</w:t>
      </w:r>
    </w:p>
    <w:p w14:paraId="5AAEBF1F" w14:textId="77777777" w:rsidR="007862A2" w:rsidRDefault="007862A2" w:rsidP="007862A2">
      <w:pPr>
        <w:pStyle w:val="PL"/>
      </w:pPr>
      <w:r>
        <w:t xml:space="preserve">        - Individual NWDAF ML Model Provision Subscription (Document)</w:t>
      </w:r>
    </w:p>
    <w:p w14:paraId="7CE6F7FA" w14:textId="77777777" w:rsidR="007862A2" w:rsidRDefault="007862A2" w:rsidP="007862A2">
      <w:pPr>
        <w:pStyle w:val="PL"/>
      </w:pPr>
      <w:r>
        <w:t xml:space="preserve">      requestBody:</w:t>
      </w:r>
    </w:p>
    <w:p w14:paraId="43C42B5B" w14:textId="77777777" w:rsidR="007862A2" w:rsidRDefault="007862A2" w:rsidP="007862A2">
      <w:pPr>
        <w:pStyle w:val="PL"/>
      </w:pPr>
      <w:r>
        <w:t xml:space="preserve">        required: true</w:t>
      </w:r>
    </w:p>
    <w:p w14:paraId="57C00D83" w14:textId="77777777" w:rsidR="007862A2" w:rsidRDefault="007862A2" w:rsidP="007862A2">
      <w:pPr>
        <w:pStyle w:val="PL"/>
      </w:pPr>
      <w:r>
        <w:t xml:space="preserve">        content:</w:t>
      </w:r>
    </w:p>
    <w:p w14:paraId="7DD3310E" w14:textId="77777777" w:rsidR="007862A2" w:rsidRDefault="007862A2" w:rsidP="007862A2">
      <w:pPr>
        <w:pStyle w:val="PL"/>
      </w:pPr>
      <w:r>
        <w:t xml:space="preserve">          application/json:</w:t>
      </w:r>
    </w:p>
    <w:p w14:paraId="2A0DD774" w14:textId="77777777" w:rsidR="007862A2" w:rsidRDefault="007862A2" w:rsidP="007862A2">
      <w:pPr>
        <w:pStyle w:val="PL"/>
      </w:pPr>
      <w:r>
        <w:t xml:space="preserve">            schema:</w:t>
      </w:r>
    </w:p>
    <w:p w14:paraId="700F503C" w14:textId="77777777" w:rsidR="007862A2" w:rsidRDefault="007862A2" w:rsidP="007862A2">
      <w:pPr>
        <w:pStyle w:val="PL"/>
      </w:pPr>
      <w:r>
        <w:t xml:space="preserve">              $ref: '#/components/schemas/</w:t>
      </w:r>
      <w:r>
        <w:rPr>
          <w:rFonts w:eastAsia="等线"/>
        </w:rPr>
        <w:t>NwdafMLModelProvSubsc</w:t>
      </w:r>
      <w:r>
        <w:t>'</w:t>
      </w:r>
    </w:p>
    <w:p w14:paraId="1685F87F" w14:textId="77777777" w:rsidR="007862A2" w:rsidRDefault="007862A2" w:rsidP="007862A2">
      <w:pPr>
        <w:pStyle w:val="PL"/>
      </w:pPr>
      <w:r>
        <w:t xml:space="preserve">      parameters:</w:t>
      </w:r>
    </w:p>
    <w:p w14:paraId="2C9AECCA" w14:textId="77777777" w:rsidR="007862A2" w:rsidRDefault="007862A2" w:rsidP="007862A2">
      <w:pPr>
        <w:pStyle w:val="PL"/>
      </w:pPr>
      <w:r>
        <w:t xml:space="preserve">        - name: subscriptionId</w:t>
      </w:r>
    </w:p>
    <w:p w14:paraId="4E7AD441" w14:textId="77777777" w:rsidR="007862A2" w:rsidRDefault="007862A2" w:rsidP="007862A2">
      <w:pPr>
        <w:pStyle w:val="PL"/>
      </w:pPr>
      <w:r>
        <w:t xml:space="preserve">          in: path</w:t>
      </w:r>
    </w:p>
    <w:p w14:paraId="592D9768" w14:textId="77777777" w:rsidR="007862A2" w:rsidRDefault="007862A2" w:rsidP="007862A2">
      <w:pPr>
        <w:pStyle w:val="PL"/>
      </w:pPr>
      <w:r>
        <w:t xml:space="preserve">          description: String identifying a subscription to the Nnwdaf_MLModelProvision Service.</w:t>
      </w:r>
    </w:p>
    <w:p w14:paraId="451649CC" w14:textId="77777777" w:rsidR="007862A2" w:rsidRDefault="007862A2" w:rsidP="007862A2">
      <w:pPr>
        <w:pStyle w:val="PL"/>
      </w:pPr>
      <w:r>
        <w:t xml:space="preserve">          required: true</w:t>
      </w:r>
    </w:p>
    <w:p w14:paraId="0319E8DC" w14:textId="77777777" w:rsidR="007862A2" w:rsidRDefault="007862A2" w:rsidP="007862A2">
      <w:pPr>
        <w:pStyle w:val="PL"/>
      </w:pPr>
      <w:r>
        <w:lastRenderedPageBreak/>
        <w:t xml:space="preserve">          schema:</w:t>
      </w:r>
    </w:p>
    <w:p w14:paraId="1406F9EB" w14:textId="77777777" w:rsidR="007862A2" w:rsidRDefault="007862A2" w:rsidP="007862A2">
      <w:pPr>
        <w:pStyle w:val="PL"/>
      </w:pPr>
      <w:r>
        <w:t xml:space="preserve">            type: string</w:t>
      </w:r>
    </w:p>
    <w:p w14:paraId="6AAE767A" w14:textId="77777777" w:rsidR="007862A2" w:rsidRDefault="007862A2" w:rsidP="007862A2">
      <w:pPr>
        <w:pStyle w:val="PL"/>
      </w:pPr>
      <w:r>
        <w:t xml:space="preserve">      responses:</w:t>
      </w:r>
    </w:p>
    <w:p w14:paraId="42040973" w14:textId="77777777" w:rsidR="007862A2" w:rsidRDefault="007862A2" w:rsidP="007862A2">
      <w:pPr>
        <w:pStyle w:val="PL"/>
      </w:pPr>
      <w:r>
        <w:t xml:space="preserve">        '200':</w:t>
      </w:r>
    </w:p>
    <w:p w14:paraId="2FEB6688" w14:textId="77777777" w:rsidR="007862A2" w:rsidRDefault="007862A2" w:rsidP="007862A2">
      <w:pPr>
        <w:pStyle w:val="PL"/>
      </w:pPr>
      <w:r>
        <w:t xml:space="preserve">          description: &gt;</w:t>
      </w:r>
    </w:p>
    <w:p w14:paraId="74C93C81" w14:textId="77777777" w:rsidR="007862A2" w:rsidRDefault="007862A2" w:rsidP="007862A2">
      <w:pPr>
        <w:pStyle w:val="PL"/>
      </w:pPr>
      <w:r>
        <w:t xml:space="preserve">            The Individual NWDAF ML Model Provision Subscription resource was modified successfully</w:t>
      </w:r>
    </w:p>
    <w:p w14:paraId="67231D8B" w14:textId="77777777" w:rsidR="007862A2" w:rsidRDefault="007862A2" w:rsidP="007862A2">
      <w:pPr>
        <w:pStyle w:val="PL"/>
      </w:pPr>
      <w:r>
        <w:t xml:space="preserve">            and a representation of that resource is returned.</w:t>
      </w:r>
    </w:p>
    <w:p w14:paraId="493140ED" w14:textId="77777777" w:rsidR="007862A2" w:rsidRDefault="007862A2" w:rsidP="007862A2">
      <w:pPr>
        <w:pStyle w:val="PL"/>
      </w:pPr>
      <w:r>
        <w:t xml:space="preserve">          content:</w:t>
      </w:r>
    </w:p>
    <w:p w14:paraId="01949F5D" w14:textId="77777777" w:rsidR="007862A2" w:rsidRDefault="007862A2" w:rsidP="007862A2">
      <w:pPr>
        <w:pStyle w:val="PL"/>
      </w:pPr>
      <w:r>
        <w:t xml:space="preserve">            application/json:</w:t>
      </w:r>
    </w:p>
    <w:p w14:paraId="3DB26F67" w14:textId="77777777" w:rsidR="007862A2" w:rsidRDefault="007862A2" w:rsidP="007862A2">
      <w:pPr>
        <w:pStyle w:val="PL"/>
      </w:pPr>
      <w:r>
        <w:t xml:space="preserve">              schema:</w:t>
      </w:r>
    </w:p>
    <w:p w14:paraId="01689A3D" w14:textId="77777777" w:rsidR="007862A2" w:rsidRDefault="007862A2" w:rsidP="007862A2">
      <w:pPr>
        <w:pStyle w:val="PL"/>
      </w:pPr>
      <w:r>
        <w:t xml:space="preserve">                $ref: '#/components/schemas/</w:t>
      </w:r>
      <w:r>
        <w:rPr>
          <w:rFonts w:eastAsia="等线"/>
        </w:rPr>
        <w:t>NwdafMLModelProvSubsc</w:t>
      </w:r>
      <w:r>
        <w:t>'</w:t>
      </w:r>
    </w:p>
    <w:p w14:paraId="24F1D09B" w14:textId="77777777" w:rsidR="007862A2" w:rsidRDefault="007862A2" w:rsidP="007862A2">
      <w:pPr>
        <w:pStyle w:val="PL"/>
      </w:pPr>
      <w:r>
        <w:t xml:space="preserve">        '204':</w:t>
      </w:r>
    </w:p>
    <w:p w14:paraId="6BDC97DC" w14:textId="77777777" w:rsidR="007862A2" w:rsidRDefault="007862A2" w:rsidP="007862A2">
      <w:pPr>
        <w:pStyle w:val="PL"/>
      </w:pPr>
      <w:r>
        <w:t xml:space="preserve">          description: &gt;</w:t>
      </w:r>
    </w:p>
    <w:p w14:paraId="08BAB831" w14:textId="77777777" w:rsidR="007862A2" w:rsidRDefault="007862A2" w:rsidP="007862A2">
      <w:pPr>
        <w:pStyle w:val="PL"/>
      </w:pPr>
      <w:r>
        <w:t xml:space="preserve">            The Individual NWDAF ML Model Provision Subscription resource was modified successfully.</w:t>
      </w:r>
    </w:p>
    <w:p w14:paraId="7E38E2D3" w14:textId="77777777" w:rsidR="007862A2" w:rsidRDefault="007862A2" w:rsidP="007862A2">
      <w:pPr>
        <w:pStyle w:val="PL"/>
      </w:pPr>
      <w:r>
        <w:t xml:space="preserve">        '307':</w:t>
      </w:r>
    </w:p>
    <w:p w14:paraId="6762AD3D" w14:textId="77777777" w:rsidR="007862A2" w:rsidRDefault="007862A2" w:rsidP="007862A2">
      <w:pPr>
        <w:pStyle w:val="PL"/>
      </w:pPr>
      <w:r>
        <w:t xml:space="preserve">          $ref: 'TS29571_CommonData.yaml#/components/responses/307'</w:t>
      </w:r>
    </w:p>
    <w:p w14:paraId="4F9CEF46" w14:textId="77777777" w:rsidR="007862A2" w:rsidRDefault="007862A2" w:rsidP="007862A2">
      <w:pPr>
        <w:pStyle w:val="PL"/>
      </w:pPr>
      <w:r>
        <w:t xml:space="preserve">        '308':</w:t>
      </w:r>
    </w:p>
    <w:p w14:paraId="529442C5" w14:textId="77777777" w:rsidR="007862A2" w:rsidRDefault="007862A2" w:rsidP="007862A2">
      <w:pPr>
        <w:pStyle w:val="PL"/>
      </w:pPr>
      <w:r>
        <w:t xml:space="preserve">          $ref: 'TS29571_CommonData.yaml#/components/responses/308'</w:t>
      </w:r>
    </w:p>
    <w:p w14:paraId="1CD26073" w14:textId="77777777" w:rsidR="007862A2" w:rsidRDefault="007862A2" w:rsidP="007862A2">
      <w:pPr>
        <w:pStyle w:val="PL"/>
      </w:pPr>
      <w:r>
        <w:t xml:space="preserve">        '400':</w:t>
      </w:r>
    </w:p>
    <w:p w14:paraId="4DCAF04C" w14:textId="77777777" w:rsidR="007862A2" w:rsidRDefault="007862A2" w:rsidP="007862A2">
      <w:pPr>
        <w:pStyle w:val="PL"/>
      </w:pPr>
      <w:r>
        <w:t xml:space="preserve">          $ref: 'TS29571_CommonData.yaml#/components/responses/400'</w:t>
      </w:r>
    </w:p>
    <w:p w14:paraId="7D716940" w14:textId="77777777" w:rsidR="007862A2" w:rsidRDefault="007862A2" w:rsidP="007862A2">
      <w:pPr>
        <w:pStyle w:val="PL"/>
      </w:pPr>
      <w:r>
        <w:t xml:space="preserve">        '401':</w:t>
      </w:r>
    </w:p>
    <w:p w14:paraId="02DFADB2" w14:textId="77777777" w:rsidR="007862A2" w:rsidRDefault="007862A2" w:rsidP="007862A2">
      <w:pPr>
        <w:pStyle w:val="PL"/>
      </w:pPr>
      <w:r>
        <w:t xml:space="preserve">          $ref: 'TS29571_CommonData.yaml#/components/responses/401'</w:t>
      </w:r>
    </w:p>
    <w:p w14:paraId="5A173970" w14:textId="77777777" w:rsidR="007862A2" w:rsidRDefault="007862A2" w:rsidP="007862A2">
      <w:pPr>
        <w:pStyle w:val="PL"/>
      </w:pPr>
      <w:r>
        <w:t xml:space="preserve">        '403':</w:t>
      </w:r>
    </w:p>
    <w:p w14:paraId="48036B3C" w14:textId="77777777" w:rsidR="007862A2" w:rsidRDefault="007862A2" w:rsidP="007862A2">
      <w:pPr>
        <w:pStyle w:val="PL"/>
      </w:pPr>
      <w:r>
        <w:t xml:space="preserve">          $ref: 'TS29571_CommonData.yaml#/components/responses/403'</w:t>
      </w:r>
    </w:p>
    <w:p w14:paraId="4635BCB4" w14:textId="77777777" w:rsidR="007862A2" w:rsidRDefault="007862A2" w:rsidP="007862A2">
      <w:pPr>
        <w:pStyle w:val="PL"/>
      </w:pPr>
      <w:r>
        <w:t xml:space="preserve">        '404':</w:t>
      </w:r>
    </w:p>
    <w:p w14:paraId="1695326A" w14:textId="77777777" w:rsidR="007862A2" w:rsidRDefault="007862A2" w:rsidP="007862A2">
      <w:pPr>
        <w:pStyle w:val="PL"/>
      </w:pPr>
      <w:r>
        <w:t xml:space="preserve">          $ref: 'TS29571_CommonData.yaml#/components/responses/404'</w:t>
      </w:r>
    </w:p>
    <w:p w14:paraId="74BBCAFF" w14:textId="77777777" w:rsidR="007862A2" w:rsidRDefault="007862A2" w:rsidP="007862A2">
      <w:pPr>
        <w:pStyle w:val="PL"/>
      </w:pPr>
      <w:r>
        <w:t xml:space="preserve">        '411':</w:t>
      </w:r>
    </w:p>
    <w:p w14:paraId="63678535" w14:textId="77777777" w:rsidR="007862A2" w:rsidRDefault="007862A2" w:rsidP="007862A2">
      <w:pPr>
        <w:pStyle w:val="PL"/>
      </w:pPr>
      <w:r>
        <w:t xml:space="preserve">          $ref: 'TS29571_CommonData.yaml#/components/responses/411'</w:t>
      </w:r>
    </w:p>
    <w:p w14:paraId="156E23BD" w14:textId="77777777" w:rsidR="007862A2" w:rsidRDefault="007862A2" w:rsidP="007862A2">
      <w:pPr>
        <w:pStyle w:val="PL"/>
      </w:pPr>
      <w:r>
        <w:t xml:space="preserve">        '413':</w:t>
      </w:r>
    </w:p>
    <w:p w14:paraId="3D5DC933" w14:textId="77777777" w:rsidR="007862A2" w:rsidRDefault="007862A2" w:rsidP="007862A2">
      <w:pPr>
        <w:pStyle w:val="PL"/>
      </w:pPr>
      <w:r>
        <w:t xml:space="preserve">          $ref: 'TS29571_CommonData.yaml#/components/responses/413'</w:t>
      </w:r>
    </w:p>
    <w:p w14:paraId="51FC8490" w14:textId="77777777" w:rsidR="007862A2" w:rsidRDefault="007862A2" w:rsidP="007862A2">
      <w:pPr>
        <w:pStyle w:val="PL"/>
      </w:pPr>
      <w:r>
        <w:t xml:space="preserve">        '415':</w:t>
      </w:r>
    </w:p>
    <w:p w14:paraId="5F767CC0" w14:textId="77777777" w:rsidR="007862A2" w:rsidRDefault="007862A2" w:rsidP="007862A2">
      <w:pPr>
        <w:pStyle w:val="PL"/>
      </w:pPr>
      <w:r>
        <w:t xml:space="preserve">          $ref: 'TS29571_CommonData.yaml#/components/responses/415'</w:t>
      </w:r>
    </w:p>
    <w:p w14:paraId="5F9CB5ED" w14:textId="77777777" w:rsidR="007862A2" w:rsidRDefault="007862A2" w:rsidP="007862A2">
      <w:pPr>
        <w:pStyle w:val="PL"/>
      </w:pPr>
      <w:r>
        <w:t xml:space="preserve">        '429':</w:t>
      </w:r>
    </w:p>
    <w:p w14:paraId="19FC3FAF" w14:textId="77777777" w:rsidR="007862A2" w:rsidRDefault="007862A2" w:rsidP="007862A2">
      <w:pPr>
        <w:pStyle w:val="PL"/>
      </w:pPr>
      <w:r>
        <w:t xml:space="preserve">          $ref: 'TS29571_CommonData.yaml#/components/responses/429'</w:t>
      </w:r>
    </w:p>
    <w:p w14:paraId="7D23D657" w14:textId="77777777" w:rsidR="007862A2" w:rsidRDefault="007862A2" w:rsidP="007862A2">
      <w:pPr>
        <w:pStyle w:val="PL"/>
      </w:pPr>
      <w:r>
        <w:t xml:space="preserve">        '500':</w:t>
      </w:r>
    </w:p>
    <w:p w14:paraId="62E2C988" w14:textId="77777777" w:rsidR="007862A2" w:rsidRDefault="007862A2" w:rsidP="007862A2">
      <w:pPr>
        <w:pStyle w:val="PL"/>
      </w:pPr>
      <w:r>
        <w:t xml:space="preserve">          $ref: 'TS29571_CommonData.yaml#/components/responses/500'</w:t>
      </w:r>
    </w:p>
    <w:p w14:paraId="315A3F0C" w14:textId="77777777" w:rsidR="007862A2" w:rsidRDefault="007862A2" w:rsidP="007862A2">
      <w:pPr>
        <w:pStyle w:val="PL"/>
      </w:pPr>
      <w:r>
        <w:t xml:space="preserve">        '502':</w:t>
      </w:r>
    </w:p>
    <w:p w14:paraId="6E3184A0" w14:textId="77777777" w:rsidR="007862A2" w:rsidRDefault="007862A2" w:rsidP="007862A2">
      <w:pPr>
        <w:pStyle w:val="PL"/>
      </w:pPr>
      <w:r>
        <w:t xml:space="preserve">          $ref: 'TS29571_CommonData.yaml#/components/responses/502'</w:t>
      </w:r>
    </w:p>
    <w:p w14:paraId="7CB9E316" w14:textId="77777777" w:rsidR="007862A2" w:rsidRDefault="007862A2" w:rsidP="007862A2">
      <w:pPr>
        <w:pStyle w:val="PL"/>
      </w:pPr>
      <w:r>
        <w:t xml:space="preserve">        '503':</w:t>
      </w:r>
    </w:p>
    <w:p w14:paraId="0249B1AA" w14:textId="77777777" w:rsidR="007862A2" w:rsidRDefault="007862A2" w:rsidP="007862A2">
      <w:pPr>
        <w:pStyle w:val="PL"/>
      </w:pPr>
      <w:r>
        <w:t xml:space="preserve">          $ref: 'TS29571_CommonData.yaml#/components/responses/503'</w:t>
      </w:r>
    </w:p>
    <w:p w14:paraId="6031852C" w14:textId="77777777" w:rsidR="007862A2" w:rsidRDefault="007862A2" w:rsidP="007862A2">
      <w:pPr>
        <w:pStyle w:val="PL"/>
      </w:pPr>
      <w:r>
        <w:t xml:space="preserve">        default:</w:t>
      </w:r>
    </w:p>
    <w:p w14:paraId="66CECE96" w14:textId="77777777" w:rsidR="007862A2" w:rsidRDefault="007862A2" w:rsidP="007862A2">
      <w:pPr>
        <w:pStyle w:val="PL"/>
      </w:pPr>
      <w:r>
        <w:t xml:space="preserve">          $ref: 'TS29571_CommonData.yaml#/components/responses/default'</w:t>
      </w:r>
    </w:p>
    <w:p w14:paraId="26D84D06" w14:textId="77777777" w:rsidR="007862A2" w:rsidRDefault="007862A2" w:rsidP="007862A2">
      <w:pPr>
        <w:pStyle w:val="PL"/>
      </w:pPr>
      <w:r>
        <w:t xml:space="preserve">    delete:</w:t>
      </w:r>
    </w:p>
    <w:p w14:paraId="530FB4AC" w14:textId="77777777" w:rsidR="007862A2" w:rsidRDefault="007862A2" w:rsidP="007862A2">
      <w:pPr>
        <w:pStyle w:val="PL"/>
      </w:pPr>
      <w:r>
        <w:t xml:space="preserve">      summary: Delete an existing Individual NWDAF ML Model Provision Subscription.</w:t>
      </w:r>
    </w:p>
    <w:p w14:paraId="1C930DFE" w14:textId="77777777" w:rsidR="007862A2" w:rsidRDefault="007862A2" w:rsidP="007862A2">
      <w:pPr>
        <w:pStyle w:val="PL"/>
      </w:pPr>
      <w:r>
        <w:t xml:space="preserve">      operationId: DeleteNWDAFMLModelProvisionSubcription</w:t>
      </w:r>
    </w:p>
    <w:p w14:paraId="508C8524" w14:textId="77777777" w:rsidR="007862A2" w:rsidRDefault="007862A2" w:rsidP="007862A2">
      <w:pPr>
        <w:pStyle w:val="PL"/>
      </w:pPr>
      <w:r>
        <w:t xml:space="preserve">      tags:</w:t>
      </w:r>
    </w:p>
    <w:p w14:paraId="39DC94F0" w14:textId="77777777" w:rsidR="007862A2" w:rsidRDefault="007862A2" w:rsidP="007862A2">
      <w:pPr>
        <w:pStyle w:val="PL"/>
      </w:pPr>
      <w:r>
        <w:t xml:space="preserve">        - Individual NWDAF ML Model Provision Subscription (Document)</w:t>
      </w:r>
    </w:p>
    <w:p w14:paraId="5E4A9360" w14:textId="77777777" w:rsidR="007862A2" w:rsidRDefault="007862A2" w:rsidP="007862A2">
      <w:pPr>
        <w:pStyle w:val="PL"/>
      </w:pPr>
      <w:r>
        <w:t xml:space="preserve">      parameters:</w:t>
      </w:r>
    </w:p>
    <w:p w14:paraId="6E04C20F" w14:textId="77777777" w:rsidR="007862A2" w:rsidRDefault="007862A2" w:rsidP="007862A2">
      <w:pPr>
        <w:pStyle w:val="PL"/>
      </w:pPr>
      <w:r>
        <w:t xml:space="preserve">        - name: subscriptionId</w:t>
      </w:r>
    </w:p>
    <w:p w14:paraId="4795A0C6" w14:textId="77777777" w:rsidR="007862A2" w:rsidRDefault="007862A2" w:rsidP="007862A2">
      <w:pPr>
        <w:pStyle w:val="PL"/>
      </w:pPr>
      <w:r>
        <w:t xml:space="preserve">          in: path</w:t>
      </w:r>
    </w:p>
    <w:p w14:paraId="5245B85A" w14:textId="77777777" w:rsidR="007862A2" w:rsidRDefault="007862A2" w:rsidP="007862A2">
      <w:pPr>
        <w:pStyle w:val="PL"/>
      </w:pPr>
      <w:r>
        <w:t xml:space="preserve">          description: String identifying a subscription to the Nnwdaf_MLModelProvision Service.</w:t>
      </w:r>
    </w:p>
    <w:p w14:paraId="57BE282A" w14:textId="77777777" w:rsidR="007862A2" w:rsidRDefault="007862A2" w:rsidP="007862A2">
      <w:pPr>
        <w:pStyle w:val="PL"/>
      </w:pPr>
      <w:r>
        <w:t xml:space="preserve">          required: true</w:t>
      </w:r>
    </w:p>
    <w:p w14:paraId="3517BA6F" w14:textId="77777777" w:rsidR="007862A2" w:rsidRDefault="007862A2" w:rsidP="007862A2">
      <w:pPr>
        <w:pStyle w:val="PL"/>
      </w:pPr>
      <w:r>
        <w:t xml:space="preserve">          schema:</w:t>
      </w:r>
    </w:p>
    <w:p w14:paraId="6A5812BB" w14:textId="77777777" w:rsidR="007862A2" w:rsidRDefault="007862A2" w:rsidP="007862A2">
      <w:pPr>
        <w:pStyle w:val="PL"/>
      </w:pPr>
      <w:r>
        <w:t xml:space="preserve">            type: string</w:t>
      </w:r>
    </w:p>
    <w:p w14:paraId="4FD38B0A" w14:textId="77777777" w:rsidR="007862A2" w:rsidRDefault="007862A2" w:rsidP="007862A2">
      <w:pPr>
        <w:pStyle w:val="PL"/>
      </w:pPr>
      <w:r>
        <w:t xml:space="preserve">      responses:</w:t>
      </w:r>
    </w:p>
    <w:p w14:paraId="0189E92F" w14:textId="77777777" w:rsidR="007862A2" w:rsidRDefault="007862A2" w:rsidP="007862A2">
      <w:pPr>
        <w:pStyle w:val="PL"/>
      </w:pPr>
      <w:r>
        <w:t xml:space="preserve">        '204':</w:t>
      </w:r>
    </w:p>
    <w:p w14:paraId="22C36ECB" w14:textId="77777777" w:rsidR="007862A2" w:rsidRDefault="007862A2" w:rsidP="007862A2">
      <w:pPr>
        <w:pStyle w:val="PL"/>
      </w:pPr>
      <w:r>
        <w:t xml:space="preserve">          description: &gt;</w:t>
      </w:r>
    </w:p>
    <w:p w14:paraId="3E7E167F" w14:textId="77777777" w:rsidR="007862A2" w:rsidRDefault="007862A2" w:rsidP="007862A2">
      <w:pPr>
        <w:pStyle w:val="PL"/>
      </w:pPr>
      <w:r>
        <w:t xml:space="preserve">            No Content. The Individual NWDAF ML Model Provision Subscription matching the</w:t>
      </w:r>
    </w:p>
    <w:p w14:paraId="0631E6B0" w14:textId="77777777" w:rsidR="007862A2" w:rsidRDefault="007862A2" w:rsidP="007862A2">
      <w:pPr>
        <w:pStyle w:val="PL"/>
      </w:pPr>
      <w:r>
        <w:t xml:space="preserve">            subscriptionId was deleted.</w:t>
      </w:r>
    </w:p>
    <w:p w14:paraId="436B8FF4" w14:textId="77777777" w:rsidR="007862A2" w:rsidRDefault="007862A2" w:rsidP="007862A2">
      <w:pPr>
        <w:pStyle w:val="PL"/>
      </w:pPr>
      <w:r>
        <w:t xml:space="preserve">        '307':</w:t>
      </w:r>
    </w:p>
    <w:p w14:paraId="107E6F51" w14:textId="77777777" w:rsidR="007862A2" w:rsidRDefault="007862A2" w:rsidP="007862A2">
      <w:pPr>
        <w:pStyle w:val="PL"/>
      </w:pPr>
      <w:r>
        <w:t xml:space="preserve">          $ref: 'TS29571_CommonData.yaml#/components/responses/307'</w:t>
      </w:r>
    </w:p>
    <w:p w14:paraId="5D812A93" w14:textId="77777777" w:rsidR="007862A2" w:rsidRDefault="007862A2" w:rsidP="007862A2">
      <w:pPr>
        <w:pStyle w:val="PL"/>
      </w:pPr>
      <w:r>
        <w:t xml:space="preserve">        '308':</w:t>
      </w:r>
    </w:p>
    <w:p w14:paraId="3F4B336D" w14:textId="77777777" w:rsidR="007862A2" w:rsidRDefault="007862A2" w:rsidP="007862A2">
      <w:pPr>
        <w:pStyle w:val="PL"/>
      </w:pPr>
      <w:r>
        <w:t xml:space="preserve">          $ref: 'TS29571_CommonData.yaml#/components/responses/308'</w:t>
      </w:r>
    </w:p>
    <w:p w14:paraId="4300B743" w14:textId="77777777" w:rsidR="007862A2" w:rsidRDefault="007862A2" w:rsidP="007862A2">
      <w:pPr>
        <w:pStyle w:val="PL"/>
      </w:pPr>
      <w:r>
        <w:t xml:space="preserve">        '400':</w:t>
      </w:r>
    </w:p>
    <w:p w14:paraId="0D8356F1" w14:textId="77777777" w:rsidR="007862A2" w:rsidRDefault="007862A2" w:rsidP="007862A2">
      <w:pPr>
        <w:pStyle w:val="PL"/>
      </w:pPr>
      <w:r>
        <w:t xml:space="preserve">          $ref: 'TS29571_CommonData.yaml#/components/responses/400'</w:t>
      </w:r>
    </w:p>
    <w:p w14:paraId="02AB079D" w14:textId="77777777" w:rsidR="007862A2" w:rsidRDefault="007862A2" w:rsidP="007862A2">
      <w:pPr>
        <w:pStyle w:val="PL"/>
      </w:pPr>
      <w:r>
        <w:t xml:space="preserve">        '401':</w:t>
      </w:r>
    </w:p>
    <w:p w14:paraId="764FBE04" w14:textId="77777777" w:rsidR="007862A2" w:rsidRDefault="007862A2" w:rsidP="007862A2">
      <w:pPr>
        <w:pStyle w:val="PL"/>
      </w:pPr>
      <w:r>
        <w:t xml:space="preserve">          $ref: 'TS29571_CommonData.yaml#/components/responses/401'</w:t>
      </w:r>
    </w:p>
    <w:p w14:paraId="6C399132" w14:textId="77777777" w:rsidR="007862A2" w:rsidRDefault="007862A2" w:rsidP="007862A2">
      <w:pPr>
        <w:pStyle w:val="PL"/>
      </w:pPr>
      <w:r>
        <w:t xml:space="preserve">        '403':</w:t>
      </w:r>
    </w:p>
    <w:p w14:paraId="778411BD" w14:textId="77777777" w:rsidR="007862A2" w:rsidRDefault="007862A2" w:rsidP="007862A2">
      <w:pPr>
        <w:pStyle w:val="PL"/>
      </w:pPr>
      <w:r>
        <w:t xml:space="preserve">          $ref: 'TS29571_CommonData.yaml#/components/responses/403'</w:t>
      </w:r>
    </w:p>
    <w:p w14:paraId="20A97320" w14:textId="77777777" w:rsidR="007862A2" w:rsidRDefault="007862A2" w:rsidP="007862A2">
      <w:pPr>
        <w:pStyle w:val="PL"/>
      </w:pPr>
      <w:r>
        <w:t xml:space="preserve">        '404':</w:t>
      </w:r>
    </w:p>
    <w:p w14:paraId="1FB26905" w14:textId="77777777" w:rsidR="007862A2" w:rsidRDefault="007862A2" w:rsidP="007862A2">
      <w:pPr>
        <w:pStyle w:val="PL"/>
      </w:pPr>
      <w:r>
        <w:t xml:space="preserve">          $ref: 'TS29571_CommonData.yaml#/components/responses/404'</w:t>
      </w:r>
    </w:p>
    <w:p w14:paraId="1A73A8DB" w14:textId="77777777" w:rsidR="007862A2" w:rsidRDefault="007862A2" w:rsidP="007862A2">
      <w:pPr>
        <w:pStyle w:val="PL"/>
      </w:pPr>
      <w:r>
        <w:t xml:space="preserve">        '429':</w:t>
      </w:r>
    </w:p>
    <w:p w14:paraId="62218A56" w14:textId="77777777" w:rsidR="007862A2" w:rsidRDefault="007862A2" w:rsidP="007862A2">
      <w:pPr>
        <w:pStyle w:val="PL"/>
      </w:pPr>
      <w:r>
        <w:t xml:space="preserve">          $ref: 'TS29571_CommonData.yaml#/components/responses/429'</w:t>
      </w:r>
    </w:p>
    <w:p w14:paraId="3BC4E899" w14:textId="77777777" w:rsidR="007862A2" w:rsidRDefault="007862A2" w:rsidP="007862A2">
      <w:pPr>
        <w:pStyle w:val="PL"/>
      </w:pPr>
      <w:r>
        <w:t xml:space="preserve">        '500':</w:t>
      </w:r>
    </w:p>
    <w:p w14:paraId="0C1C09E1" w14:textId="77777777" w:rsidR="007862A2" w:rsidRDefault="007862A2" w:rsidP="007862A2">
      <w:pPr>
        <w:pStyle w:val="PL"/>
      </w:pPr>
      <w:r>
        <w:t xml:space="preserve">          $ref: 'TS29571_CommonData.yaml#/components/responses/500'</w:t>
      </w:r>
    </w:p>
    <w:p w14:paraId="2AB3BD7A" w14:textId="77777777" w:rsidR="007862A2" w:rsidRDefault="007862A2" w:rsidP="007862A2">
      <w:pPr>
        <w:pStyle w:val="PL"/>
      </w:pPr>
      <w:r>
        <w:t xml:space="preserve">        '502':</w:t>
      </w:r>
    </w:p>
    <w:p w14:paraId="4C78C8C3" w14:textId="77777777" w:rsidR="007862A2" w:rsidRDefault="007862A2" w:rsidP="007862A2">
      <w:pPr>
        <w:pStyle w:val="PL"/>
      </w:pPr>
      <w:r>
        <w:t xml:space="preserve">          $ref: 'TS29571_CommonData.yaml#/components/responses/502'</w:t>
      </w:r>
    </w:p>
    <w:p w14:paraId="50BAB9B4" w14:textId="77777777" w:rsidR="007862A2" w:rsidRDefault="007862A2" w:rsidP="007862A2">
      <w:pPr>
        <w:pStyle w:val="PL"/>
      </w:pPr>
      <w:r>
        <w:t xml:space="preserve">        '503':</w:t>
      </w:r>
    </w:p>
    <w:p w14:paraId="26731891" w14:textId="77777777" w:rsidR="007862A2" w:rsidRDefault="007862A2" w:rsidP="007862A2">
      <w:pPr>
        <w:pStyle w:val="PL"/>
      </w:pPr>
      <w:r>
        <w:lastRenderedPageBreak/>
        <w:t xml:space="preserve">          $ref: 'TS29571_CommonData.yaml#/components/responses/503'</w:t>
      </w:r>
    </w:p>
    <w:p w14:paraId="288234EA" w14:textId="77777777" w:rsidR="007862A2" w:rsidRDefault="007862A2" w:rsidP="007862A2">
      <w:pPr>
        <w:pStyle w:val="PL"/>
      </w:pPr>
      <w:r>
        <w:t xml:space="preserve">        default:</w:t>
      </w:r>
    </w:p>
    <w:p w14:paraId="2634BE5D" w14:textId="77777777" w:rsidR="007862A2" w:rsidRDefault="007862A2" w:rsidP="007862A2">
      <w:pPr>
        <w:pStyle w:val="PL"/>
      </w:pPr>
      <w:r>
        <w:t xml:space="preserve">          $ref: 'TS29571_CommonData.yaml#/components/responses/default'</w:t>
      </w:r>
    </w:p>
    <w:p w14:paraId="5077C8F4" w14:textId="77777777" w:rsidR="007862A2" w:rsidRDefault="007862A2" w:rsidP="007862A2">
      <w:pPr>
        <w:pStyle w:val="PL"/>
      </w:pPr>
    </w:p>
    <w:p w14:paraId="1E652A4F" w14:textId="77777777" w:rsidR="007862A2" w:rsidRDefault="007862A2" w:rsidP="007862A2">
      <w:pPr>
        <w:pStyle w:val="PL"/>
      </w:pPr>
      <w:r>
        <w:t>components:</w:t>
      </w:r>
    </w:p>
    <w:p w14:paraId="2A14E13B" w14:textId="77777777" w:rsidR="007862A2" w:rsidRDefault="007862A2" w:rsidP="007862A2">
      <w:pPr>
        <w:pStyle w:val="PL"/>
      </w:pPr>
      <w:r>
        <w:t xml:space="preserve">  securitySchemes:</w:t>
      </w:r>
    </w:p>
    <w:p w14:paraId="7E1167AD" w14:textId="77777777" w:rsidR="007862A2" w:rsidRDefault="007862A2" w:rsidP="007862A2">
      <w:pPr>
        <w:pStyle w:val="PL"/>
      </w:pPr>
      <w:r>
        <w:t xml:space="preserve">    oAuth2ClientCredentials:</w:t>
      </w:r>
    </w:p>
    <w:p w14:paraId="7CC3507B" w14:textId="77777777" w:rsidR="007862A2" w:rsidRDefault="007862A2" w:rsidP="007862A2">
      <w:pPr>
        <w:pStyle w:val="PL"/>
      </w:pPr>
      <w:r>
        <w:t xml:space="preserve">      type: oauth2</w:t>
      </w:r>
    </w:p>
    <w:p w14:paraId="6BF3699B" w14:textId="77777777" w:rsidR="007862A2" w:rsidRDefault="007862A2" w:rsidP="007862A2">
      <w:pPr>
        <w:pStyle w:val="PL"/>
      </w:pPr>
      <w:r>
        <w:t xml:space="preserve">      flows:</w:t>
      </w:r>
    </w:p>
    <w:p w14:paraId="742740F0" w14:textId="77777777" w:rsidR="007862A2" w:rsidRDefault="007862A2" w:rsidP="007862A2">
      <w:pPr>
        <w:pStyle w:val="PL"/>
      </w:pPr>
      <w:r>
        <w:t xml:space="preserve">        clientCredentials:</w:t>
      </w:r>
    </w:p>
    <w:p w14:paraId="20F32B1B" w14:textId="77777777" w:rsidR="007862A2" w:rsidRDefault="007862A2" w:rsidP="007862A2">
      <w:pPr>
        <w:pStyle w:val="PL"/>
      </w:pPr>
      <w:r>
        <w:t xml:space="preserve">          tokenUrl: '{nrfApiRoot}/oauth2/token'</w:t>
      </w:r>
    </w:p>
    <w:p w14:paraId="2BC95E49" w14:textId="77777777" w:rsidR="007862A2" w:rsidRDefault="007862A2" w:rsidP="007862A2">
      <w:pPr>
        <w:pStyle w:val="PL"/>
      </w:pPr>
      <w:r>
        <w:t xml:space="preserve">          scopes:</w:t>
      </w:r>
    </w:p>
    <w:p w14:paraId="6732E830" w14:textId="77777777" w:rsidR="007862A2" w:rsidRDefault="007862A2" w:rsidP="007862A2">
      <w:pPr>
        <w:pStyle w:val="PL"/>
      </w:pPr>
      <w:r>
        <w:t xml:space="preserve">            nnwdaf-mlmodelprovision: Access to the Nnwdaf_MLModelProvision</w:t>
      </w:r>
      <w:r>
        <w:rPr>
          <w:lang w:eastAsia="zh-CN"/>
        </w:rPr>
        <w:t xml:space="preserve"> </w:t>
      </w:r>
      <w:r>
        <w:t>API</w:t>
      </w:r>
    </w:p>
    <w:p w14:paraId="27027931" w14:textId="77777777" w:rsidR="007862A2" w:rsidRDefault="007862A2" w:rsidP="007862A2">
      <w:pPr>
        <w:pStyle w:val="PL"/>
      </w:pPr>
    </w:p>
    <w:p w14:paraId="24F01B07" w14:textId="77777777" w:rsidR="007862A2" w:rsidRDefault="007862A2" w:rsidP="007862A2">
      <w:pPr>
        <w:pStyle w:val="PL"/>
      </w:pPr>
      <w:r>
        <w:t xml:space="preserve">  schemas:</w:t>
      </w:r>
    </w:p>
    <w:p w14:paraId="2A49A74C" w14:textId="77777777" w:rsidR="007862A2" w:rsidRDefault="007862A2" w:rsidP="007862A2">
      <w:pPr>
        <w:pStyle w:val="PL"/>
        <w:rPr>
          <w:rFonts w:eastAsia="等线"/>
        </w:rPr>
      </w:pPr>
      <w:r>
        <w:t xml:space="preserve">    </w:t>
      </w:r>
      <w:r>
        <w:rPr>
          <w:rFonts w:eastAsia="等线"/>
        </w:rPr>
        <w:t>NwdafMLModelProvSubsc:</w:t>
      </w:r>
    </w:p>
    <w:p w14:paraId="66A3DA96" w14:textId="77777777" w:rsidR="007862A2" w:rsidRDefault="007862A2" w:rsidP="007862A2">
      <w:pPr>
        <w:pStyle w:val="PL"/>
      </w:pPr>
      <w:r>
        <w:t xml:space="preserve">      description: Represents NWDAF Event Subscription resources.</w:t>
      </w:r>
    </w:p>
    <w:p w14:paraId="37058D60" w14:textId="77777777" w:rsidR="007862A2" w:rsidRDefault="007862A2" w:rsidP="007862A2">
      <w:pPr>
        <w:pStyle w:val="PL"/>
      </w:pPr>
      <w:r>
        <w:t xml:space="preserve">      type: object</w:t>
      </w:r>
    </w:p>
    <w:p w14:paraId="6B0D7064" w14:textId="77777777" w:rsidR="007862A2" w:rsidRDefault="007862A2" w:rsidP="007862A2">
      <w:pPr>
        <w:pStyle w:val="PL"/>
      </w:pPr>
      <w:r>
        <w:t xml:space="preserve">      properties:</w:t>
      </w:r>
    </w:p>
    <w:p w14:paraId="7D9DA855" w14:textId="77777777" w:rsidR="007862A2" w:rsidRDefault="007862A2" w:rsidP="007862A2">
      <w:pPr>
        <w:pStyle w:val="PL"/>
      </w:pPr>
      <w:r>
        <w:t xml:space="preserve">        mLEventSubscs:</w:t>
      </w:r>
    </w:p>
    <w:p w14:paraId="244FB666" w14:textId="77777777" w:rsidR="007862A2" w:rsidRDefault="007862A2" w:rsidP="007862A2">
      <w:pPr>
        <w:pStyle w:val="PL"/>
      </w:pPr>
      <w:r>
        <w:t xml:space="preserve">          type: array</w:t>
      </w:r>
    </w:p>
    <w:p w14:paraId="211521BA" w14:textId="77777777" w:rsidR="007862A2" w:rsidRDefault="007862A2" w:rsidP="007862A2">
      <w:pPr>
        <w:pStyle w:val="PL"/>
      </w:pPr>
      <w:r>
        <w:t xml:space="preserve">          items:</w:t>
      </w:r>
    </w:p>
    <w:p w14:paraId="42BB98AA" w14:textId="77777777" w:rsidR="007862A2" w:rsidRDefault="007862A2" w:rsidP="007862A2">
      <w:pPr>
        <w:pStyle w:val="PL"/>
      </w:pPr>
      <w:r>
        <w:t xml:space="preserve">            $ref: '#/components/schemas/MLEventSubscription'</w:t>
      </w:r>
    </w:p>
    <w:p w14:paraId="31DC7F29" w14:textId="77777777" w:rsidR="007862A2" w:rsidRDefault="007862A2" w:rsidP="007862A2">
      <w:pPr>
        <w:pStyle w:val="PL"/>
      </w:pPr>
      <w:r>
        <w:t xml:space="preserve">          minItems: 1</w:t>
      </w:r>
    </w:p>
    <w:p w14:paraId="730713B8" w14:textId="77777777" w:rsidR="007862A2" w:rsidRDefault="007862A2" w:rsidP="007862A2">
      <w:pPr>
        <w:pStyle w:val="PL"/>
      </w:pPr>
      <w:r>
        <w:t xml:space="preserve">          description: Subscribed events</w:t>
      </w:r>
    </w:p>
    <w:p w14:paraId="718C7326" w14:textId="77777777" w:rsidR="007862A2" w:rsidRDefault="007862A2" w:rsidP="007862A2">
      <w:pPr>
        <w:pStyle w:val="PL"/>
      </w:pPr>
      <w:r>
        <w:t xml:space="preserve">        notifUri:</w:t>
      </w:r>
    </w:p>
    <w:p w14:paraId="342A7C01" w14:textId="77777777" w:rsidR="007862A2" w:rsidRDefault="007862A2" w:rsidP="007862A2">
      <w:pPr>
        <w:pStyle w:val="PL"/>
      </w:pPr>
      <w:r>
        <w:t xml:space="preserve">          $ref: 'TS29571_CommonData.yaml#/components/schemas/Uri'</w:t>
      </w:r>
    </w:p>
    <w:p w14:paraId="5CE40E4D" w14:textId="77777777" w:rsidR="007862A2" w:rsidRDefault="007862A2" w:rsidP="007862A2">
      <w:pPr>
        <w:pStyle w:val="PL"/>
      </w:pPr>
      <w:r>
        <w:t xml:space="preserve">        mLEventNotifs:</w:t>
      </w:r>
    </w:p>
    <w:p w14:paraId="340574F1" w14:textId="77777777" w:rsidR="007862A2" w:rsidRDefault="007862A2" w:rsidP="007862A2">
      <w:pPr>
        <w:pStyle w:val="PL"/>
      </w:pPr>
      <w:r>
        <w:t xml:space="preserve">          type: array</w:t>
      </w:r>
    </w:p>
    <w:p w14:paraId="50641AA4" w14:textId="77777777" w:rsidR="007862A2" w:rsidRDefault="007862A2" w:rsidP="007862A2">
      <w:pPr>
        <w:pStyle w:val="PL"/>
      </w:pPr>
      <w:r>
        <w:t xml:space="preserve">          items:</w:t>
      </w:r>
    </w:p>
    <w:p w14:paraId="2B5EDE4B" w14:textId="77777777" w:rsidR="007862A2" w:rsidRDefault="007862A2" w:rsidP="007862A2">
      <w:pPr>
        <w:pStyle w:val="PL"/>
      </w:pPr>
      <w:r>
        <w:t xml:space="preserve">            $ref: '#/components/schemas/MLEventNotif'</w:t>
      </w:r>
    </w:p>
    <w:p w14:paraId="7182BF7B" w14:textId="77777777" w:rsidR="007862A2" w:rsidRDefault="007862A2" w:rsidP="007862A2">
      <w:pPr>
        <w:pStyle w:val="PL"/>
      </w:pPr>
      <w:r>
        <w:t xml:space="preserve">          minItems: 1</w:t>
      </w:r>
    </w:p>
    <w:p w14:paraId="3FF8C287" w14:textId="77777777" w:rsidR="007862A2" w:rsidRDefault="007862A2" w:rsidP="007862A2">
      <w:pPr>
        <w:pStyle w:val="PL"/>
      </w:pPr>
      <w:r>
        <w:t xml:space="preserve">          description: &gt;</w:t>
      </w:r>
    </w:p>
    <w:p w14:paraId="454B7DCC" w14:textId="77777777" w:rsidR="007862A2" w:rsidRDefault="007862A2" w:rsidP="007862A2">
      <w:pPr>
        <w:pStyle w:val="PL"/>
      </w:pPr>
      <w:r>
        <w:t xml:space="preserve">            Notifications about Individual Events.Shall only be present if the immediate reporting</w:t>
      </w:r>
    </w:p>
    <w:p w14:paraId="7C25E342" w14:textId="77777777" w:rsidR="007862A2" w:rsidRDefault="007862A2" w:rsidP="007862A2">
      <w:pPr>
        <w:pStyle w:val="PL"/>
      </w:pPr>
      <w:r>
        <w:t xml:space="preserve">            indication in the "immRep" attribute within the "eventReq" attribute sets to true in the</w:t>
      </w:r>
    </w:p>
    <w:p w14:paraId="548C473F" w14:textId="77777777" w:rsidR="007862A2" w:rsidRDefault="007862A2" w:rsidP="007862A2">
      <w:pPr>
        <w:pStyle w:val="PL"/>
      </w:pPr>
      <w:r>
        <w:t xml:space="preserve">            event subscription, and the reports are available.</w:t>
      </w:r>
    </w:p>
    <w:p w14:paraId="249627DC" w14:textId="77777777" w:rsidR="007862A2" w:rsidRDefault="007862A2" w:rsidP="007862A2">
      <w:pPr>
        <w:pStyle w:val="PL"/>
      </w:pPr>
      <w:r>
        <w:t xml:space="preserve">        suppFeats:</w:t>
      </w:r>
    </w:p>
    <w:p w14:paraId="2F83F2F2" w14:textId="77777777" w:rsidR="007862A2" w:rsidRDefault="007862A2" w:rsidP="007862A2">
      <w:pPr>
        <w:pStyle w:val="PL"/>
      </w:pPr>
      <w:r>
        <w:t xml:space="preserve">          $ref: 'TS29571_CommonData.yaml#/components/schemas/SupportedFeatures'</w:t>
      </w:r>
    </w:p>
    <w:p w14:paraId="740C0773" w14:textId="77777777" w:rsidR="007862A2" w:rsidRDefault="007862A2" w:rsidP="007862A2">
      <w:pPr>
        <w:pStyle w:val="PL"/>
      </w:pPr>
      <w:r>
        <w:t xml:space="preserve">        </w:t>
      </w:r>
      <w:r>
        <w:rPr>
          <w:lang w:eastAsia="zh-CN"/>
        </w:rPr>
        <w:t>notifCorreId</w:t>
      </w:r>
      <w:r>
        <w:t>:</w:t>
      </w:r>
    </w:p>
    <w:p w14:paraId="0C86C94E" w14:textId="77777777" w:rsidR="007862A2" w:rsidRDefault="007862A2" w:rsidP="007862A2">
      <w:pPr>
        <w:pStyle w:val="PL"/>
      </w:pPr>
      <w:r>
        <w:t xml:space="preserve">          type: string</w:t>
      </w:r>
    </w:p>
    <w:p w14:paraId="29E578FF" w14:textId="77777777" w:rsidR="007862A2" w:rsidRDefault="007862A2" w:rsidP="007862A2">
      <w:pPr>
        <w:pStyle w:val="PL"/>
      </w:pPr>
      <w:r>
        <w:t xml:space="preserve">        </w:t>
      </w:r>
      <w:r>
        <w:rPr>
          <w:lang w:eastAsia="zh-CN"/>
        </w:rPr>
        <w:t>eventReq</w:t>
      </w:r>
      <w:r>
        <w:t>:</w:t>
      </w:r>
    </w:p>
    <w:p w14:paraId="635FA94C" w14:textId="77777777" w:rsidR="007862A2" w:rsidRDefault="007862A2" w:rsidP="007862A2">
      <w:pPr>
        <w:pStyle w:val="PL"/>
      </w:pPr>
      <w:r>
        <w:t xml:space="preserve">          $ref: 'TS29523_Npcf_EventExposure.yaml#/components/schemas/ReportingInformation'</w:t>
      </w:r>
    </w:p>
    <w:p w14:paraId="67EEC091" w14:textId="77777777" w:rsidR="007862A2" w:rsidRDefault="007862A2" w:rsidP="007862A2">
      <w:pPr>
        <w:pStyle w:val="PL"/>
      </w:pPr>
      <w:r>
        <w:t xml:space="preserve">        failEventReports:</w:t>
      </w:r>
    </w:p>
    <w:p w14:paraId="4D5E7376" w14:textId="77777777" w:rsidR="007862A2" w:rsidRDefault="007862A2" w:rsidP="007862A2">
      <w:pPr>
        <w:pStyle w:val="PL"/>
      </w:pPr>
      <w:r>
        <w:t xml:space="preserve">          type: array</w:t>
      </w:r>
    </w:p>
    <w:p w14:paraId="3B804837" w14:textId="77777777" w:rsidR="007862A2" w:rsidRDefault="007862A2" w:rsidP="007862A2">
      <w:pPr>
        <w:pStyle w:val="PL"/>
      </w:pPr>
      <w:r>
        <w:t xml:space="preserve">          items:</w:t>
      </w:r>
    </w:p>
    <w:p w14:paraId="435F315C" w14:textId="77777777" w:rsidR="007862A2" w:rsidRDefault="007862A2" w:rsidP="007862A2">
      <w:pPr>
        <w:pStyle w:val="PL"/>
      </w:pPr>
      <w:r>
        <w:t xml:space="preserve">            $ref: '#/components/schemas/</w:t>
      </w:r>
      <w:r>
        <w:rPr>
          <w:lang w:eastAsia="zh-CN"/>
        </w:rPr>
        <w:t>FailureEventInfoForMLModel</w:t>
      </w:r>
      <w:r>
        <w:t>'</w:t>
      </w:r>
    </w:p>
    <w:p w14:paraId="35F565EC" w14:textId="77777777" w:rsidR="007862A2" w:rsidRDefault="007862A2" w:rsidP="007862A2">
      <w:pPr>
        <w:pStyle w:val="PL"/>
      </w:pPr>
      <w:r>
        <w:t xml:space="preserve">          minItems: 1</w:t>
      </w:r>
    </w:p>
    <w:p w14:paraId="2253DDDC" w14:textId="77777777" w:rsidR="007862A2" w:rsidRDefault="007862A2" w:rsidP="007862A2">
      <w:pPr>
        <w:pStyle w:val="PL"/>
      </w:pPr>
      <w:r>
        <w:t xml:space="preserve">          description: &gt;</w:t>
      </w:r>
    </w:p>
    <w:p w14:paraId="06731392" w14:textId="77777777" w:rsidR="007862A2" w:rsidRDefault="007862A2" w:rsidP="007862A2">
      <w:pPr>
        <w:pStyle w:val="PL"/>
      </w:pPr>
      <w:r>
        <w:t xml:space="preserve">            Supplied by the NWDAF containing MTLF when available, shall contain the event(s) that</w:t>
      </w:r>
    </w:p>
    <w:p w14:paraId="07C288EE" w14:textId="77777777" w:rsidR="007862A2" w:rsidRDefault="007862A2" w:rsidP="007862A2">
      <w:pPr>
        <w:pStyle w:val="PL"/>
      </w:pPr>
      <w:r>
        <w:t xml:space="preserve">            the subscription is not successful including the failure reason(s).</w:t>
      </w:r>
    </w:p>
    <w:p w14:paraId="4D0BD17A" w14:textId="77777777" w:rsidR="007862A2" w:rsidRDefault="007862A2" w:rsidP="007862A2">
      <w:pPr>
        <w:pStyle w:val="PL"/>
      </w:pPr>
      <w:r>
        <w:t xml:space="preserve">      required:</w:t>
      </w:r>
    </w:p>
    <w:p w14:paraId="597005F1" w14:textId="77777777" w:rsidR="007862A2" w:rsidRDefault="007862A2" w:rsidP="007862A2">
      <w:pPr>
        <w:pStyle w:val="PL"/>
      </w:pPr>
      <w:r>
        <w:t xml:space="preserve">        - mLEventSubscs</w:t>
      </w:r>
    </w:p>
    <w:p w14:paraId="39A0D979" w14:textId="77777777" w:rsidR="007862A2" w:rsidRDefault="007862A2" w:rsidP="007862A2">
      <w:pPr>
        <w:pStyle w:val="PL"/>
        <w:rPr>
          <w:rFonts w:eastAsia="等线"/>
        </w:rPr>
      </w:pPr>
      <w:r>
        <w:t xml:space="preserve">        - notifUri</w:t>
      </w:r>
    </w:p>
    <w:p w14:paraId="6AC3D883" w14:textId="77777777" w:rsidR="007862A2" w:rsidRDefault="007862A2" w:rsidP="007862A2">
      <w:pPr>
        <w:pStyle w:val="PL"/>
      </w:pPr>
    </w:p>
    <w:p w14:paraId="76560675" w14:textId="77777777" w:rsidR="007862A2" w:rsidRDefault="007862A2" w:rsidP="007862A2">
      <w:pPr>
        <w:pStyle w:val="PL"/>
      </w:pPr>
      <w:r>
        <w:t xml:space="preserve">    ModelProvisionParamsExt:</w:t>
      </w:r>
    </w:p>
    <w:p w14:paraId="5D42B3C8" w14:textId="77777777" w:rsidR="007862A2" w:rsidRDefault="007862A2" w:rsidP="007862A2">
      <w:pPr>
        <w:pStyle w:val="PL"/>
      </w:pPr>
      <w:r>
        <w:t xml:space="preserve">      description: &gt;</w:t>
      </w:r>
    </w:p>
    <w:p w14:paraId="62F7F478" w14:textId="77777777" w:rsidR="007862A2" w:rsidRDefault="007862A2" w:rsidP="007862A2">
      <w:pPr>
        <w:pStyle w:val="PL"/>
      </w:pPr>
      <w:r>
        <w:t xml:space="preserve">        Extended parameters for ML model provisioning which can optionally be set by a service</w:t>
      </w:r>
    </w:p>
    <w:p w14:paraId="5D6A8040" w14:textId="77777777" w:rsidR="007862A2" w:rsidRDefault="007862A2" w:rsidP="007862A2">
      <w:pPr>
        <w:pStyle w:val="PL"/>
      </w:pPr>
      <w:r>
        <w:t xml:space="preserve">        consuumer NF.</w:t>
      </w:r>
    </w:p>
    <w:p w14:paraId="59C6FD3A" w14:textId="77777777" w:rsidR="007862A2" w:rsidRDefault="007862A2" w:rsidP="007862A2">
      <w:pPr>
        <w:pStyle w:val="PL"/>
      </w:pPr>
      <w:r>
        <w:t xml:space="preserve">      type: object</w:t>
      </w:r>
    </w:p>
    <w:p w14:paraId="41ED7C14" w14:textId="77777777" w:rsidR="007862A2" w:rsidRDefault="007862A2" w:rsidP="007862A2">
      <w:pPr>
        <w:pStyle w:val="PL"/>
      </w:pPr>
      <w:r>
        <w:t xml:space="preserve">      properties:</w:t>
      </w:r>
    </w:p>
    <w:p w14:paraId="4EBDD538" w14:textId="77777777" w:rsidR="007862A2" w:rsidRDefault="007862A2" w:rsidP="007862A2">
      <w:pPr>
        <w:pStyle w:val="PL"/>
      </w:pPr>
      <w:r>
        <w:t xml:space="preserve">        modelInterInfo:</w:t>
      </w:r>
    </w:p>
    <w:p w14:paraId="63A9A9E5" w14:textId="77777777" w:rsidR="007862A2" w:rsidRDefault="007862A2" w:rsidP="007862A2">
      <w:pPr>
        <w:pStyle w:val="PL"/>
      </w:pPr>
      <w:r>
        <w:t xml:space="preserve">          type: string</w:t>
      </w:r>
    </w:p>
    <w:p w14:paraId="7EE7AD40" w14:textId="77777777" w:rsidR="007862A2" w:rsidRPr="00BC2126" w:rsidRDefault="007862A2" w:rsidP="007862A2">
      <w:pPr>
        <w:pStyle w:val="PL"/>
      </w:pPr>
      <w:r>
        <w:t xml:space="preserve">          description: String r</w:t>
      </w:r>
      <w:r>
        <w:rPr>
          <w:rFonts w:cs="Arial"/>
          <w:szCs w:val="18"/>
          <w:lang w:eastAsia="zh-CN"/>
        </w:rPr>
        <w:t xml:space="preserve">epresenting </w:t>
      </w:r>
      <w:r>
        <w:rPr>
          <w:lang w:eastAsia="zh-CN"/>
        </w:rPr>
        <w:t>the ML Model Interoperability Information</w:t>
      </w:r>
      <w:r>
        <w:t>.</w:t>
      </w:r>
    </w:p>
    <w:p w14:paraId="18EE6225" w14:textId="77777777" w:rsidR="007862A2" w:rsidRDefault="007862A2" w:rsidP="007862A2">
      <w:pPr>
        <w:pStyle w:val="PL"/>
      </w:pPr>
      <w:r>
        <w:t xml:space="preserve">        reqRepRatio:</w:t>
      </w:r>
    </w:p>
    <w:p w14:paraId="0C37DC84" w14:textId="77777777" w:rsidR="007862A2" w:rsidRDefault="007862A2" w:rsidP="007862A2">
      <w:pPr>
        <w:pStyle w:val="PL"/>
      </w:pPr>
      <w:r>
        <w:t xml:space="preserve">          $ref: 'TS29571_CommonData.yaml#/components/schemas/Uinteger'</w:t>
      </w:r>
    </w:p>
    <w:p w14:paraId="56137AD6" w14:textId="77777777" w:rsidR="007862A2" w:rsidRDefault="007862A2" w:rsidP="007862A2">
      <w:pPr>
        <w:pStyle w:val="PL"/>
      </w:pPr>
      <w:r>
        <w:rPr>
          <w:lang w:bidi="fa-IR"/>
        </w:rPr>
        <w:t xml:space="preserve">        </w:t>
      </w:r>
      <w:r>
        <w:t>inferInpDataInfos:</w:t>
      </w:r>
    </w:p>
    <w:p w14:paraId="445C3723" w14:textId="77777777" w:rsidR="007862A2" w:rsidRDefault="007862A2" w:rsidP="007862A2">
      <w:pPr>
        <w:pStyle w:val="PL"/>
      </w:pPr>
      <w:bookmarkStart w:id="17295" w:name="_Hlk135914254"/>
      <w:r>
        <w:t xml:space="preserve">          type: array</w:t>
      </w:r>
    </w:p>
    <w:p w14:paraId="20BC19ED" w14:textId="77777777" w:rsidR="007862A2" w:rsidRDefault="007862A2" w:rsidP="007862A2">
      <w:pPr>
        <w:pStyle w:val="PL"/>
      </w:pPr>
      <w:r>
        <w:t xml:space="preserve">          items:</w:t>
      </w:r>
    </w:p>
    <w:bookmarkEnd w:id="17295"/>
    <w:p w14:paraId="6B3B5543" w14:textId="77777777" w:rsidR="007862A2" w:rsidRDefault="007862A2" w:rsidP="007862A2">
      <w:pPr>
        <w:pStyle w:val="PL"/>
      </w:pPr>
      <w:r>
        <w:t xml:space="preserve">            $ref: '#/components/schemas/InputDataInfo'</w:t>
      </w:r>
    </w:p>
    <w:p w14:paraId="5E42E612" w14:textId="77777777" w:rsidR="007862A2" w:rsidRDefault="007862A2" w:rsidP="007862A2">
      <w:pPr>
        <w:pStyle w:val="PL"/>
      </w:pPr>
      <w:r>
        <w:t xml:space="preserve">          minItems: 1</w:t>
      </w:r>
    </w:p>
    <w:p w14:paraId="47812EC2" w14:textId="77777777" w:rsidR="007862A2" w:rsidRDefault="007862A2" w:rsidP="007862A2">
      <w:pPr>
        <w:pStyle w:val="PL"/>
        <w:rPr>
          <w:lang w:bidi="fa-IR"/>
        </w:rPr>
      </w:pPr>
      <w:r>
        <w:t xml:space="preserve">          description: </w:t>
      </w:r>
      <w:r>
        <w:rPr>
          <w:lang w:bidi="fa-IR"/>
        </w:rPr>
        <w:t>&gt;</w:t>
      </w:r>
    </w:p>
    <w:p w14:paraId="41EBA9BC" w14:textId="77777777" w:rsidR="007862A2" w:rsidRDefault="007862A2" w:rsidP="007862A2">
      <w:pPr>
        <w:pStyle w:val="PL"/>
        <w:rPr>
          <w:lang w:bidi="fa-IR"/>
        </w:rPr>
      </w:pPr>
      <w:r>
        <w:rPr>
          <w:lang w:bidi="fa-IR"/>
        </w:rPr>
        <w:t xml:space="preserve">            Inference information that is used by NWDAF containing AnLF during inference.</w:t>
      </w:r>
    </w:p>
    <w:p w14:paraId="08DB624C" w14:textId="77777777" w:rsidR="007862A2" w:rsidRDefault="007862A2" w:rsidP="007862A2">
      <w:pPr>
        <w:pStyle w:val="PL"/>
        <w:rPr>
          <w:lang w:bidi="fa-IR"/>
        </w:rPr>
      </w:pPr>
      <w:r>
        <w:rPr>
          <w:lang w:bidi="fa-IR"/>
        </w:rPr>
        <w:t xml:space="preserve">        multModelsInd:</w:t>
      </w:r>
    </w:p>
    <w:p w14:paraId="6356BEA5" w14:textId="77777777" w:rsidR="007862A2" w:rsidRDefault="007862A2" w:rsidP="007862A2">
      <w:pPr>
        <w:pStyle w:val="PL"/>
        <w:rPr>
          <w:lang w:bidi="fa-IR"/>
        </w:rPr>
      </w:pPr>
      <w:r>
        <w:rPr>
          <w:lang w:bidi="fa-IR"/>
        </w:rPr>
        <w:t xml:space="preserve">          type: boolean</w:t>
      </w:r>
    </w:p>
    <w:p w14:paraId="11DCB342" w14:textId="77777777" w:rsidR="007862A2" w:rsidRDefault="007862A2" w:rsidP="007862A2">
      <w:pPr>
        <w:pStyle w:val="PL"/>
        <w:rPr>
          <w:lang w:bidi="fa-IR"/>
        </w:rPr>
      </w:pPr>
      <w:r>
        <w:rPr>
          <w:lang w:bidi="fa-IR"/>
        </w:rPr>
        <w:t xml:space="preserve">          description: Indicates if the NF service consumer supports multiple models.</w:t>
      </w:r>
    </w:p>
    <w:p w14:paraId="5AD5B35B" w14:textId="77777777" w:rsidR="007862A2" w:rsidRDefault="007862A2" w:rsidP="007862A2">
      <w:pPr>
        <w:pStyle w:val="PL"/>
      </w:pPr>
      <w:r>
        <w:t xml:space="preserve">        numModels:</w:t>
      </w:r>
    </w:p>
    <w:p w14:paraId="534E95BB" w14:textId="77777777" w:rsidR="007862A2" w:rsidRDefault="007862A2" w:rsidP="007862A2">
      <w:pPr>
        <w:pStyle w:val="PL"/>
      </w:pPr>
      <w:r>
        <w:t xml:space="preserve">          $ref: 'TS29571_CommonData.yaml#/components/schemas/Uinteger'</w:t>
      </w:r>
    </w:p>
    <w:p w14:paraId="08D30173" w14:textId="77777777" w:rsidR="007862A2" w:rsidRDefault="007862A2" w:rsidP="007862A2">
      <w:pPr>
        <w:pStyle w:val="PL"/>
      </w:pPr>
      <w:r>
        <w:rPr>
          <w:lang w:bidi="fa-IR"/>
        </w:rPr>
        <w:t xml:space="preserve">        </w:t>
      </w:r>
      <w:r>
        <w:t>accuLevels:</w:t>
      </w:r>
    </w:p>
    <w:p w14:paraId="21EB5C71" w14:textId="77777777" w:rsidR="007862A2" w:rsidRDefault="007862A2" w:rsidP="007862A2">
      <w:pPr>
        <w:pStyle w:val="PL"/>
      </w:pPr>
      <w:r>
        <w:lastRenderedPageBreak/>
        <w:t xml:space="preserve">          type: array</w:t>
      </w:r>
    </w:p>
    <w:p w14:paraId="5D460F59" w14:textId="77777777" w:rsidR="007862A2" w:rsidRDefault="007862A2" w:rsidP="007862A2">
      <w:pPr>
        <w:pStyle w:val="PL"/>
      </w:pPr>
      <w:r>
        <w:t xml:space="preserve">          items:</w:t>
      </w:r>
    </w:p>
    <w:p w14:paraId="63C7C14A" w14:textId="77777777" w:rsidR="007862A2" w:rsidRDefault="007862A2" w:rsidP="007862A2">
      <w:pPr>
        <w:pStyle w:val="PL"/>
      </w:pPr>
      <w:r>
        <w:t xml:space="preserve">            $ref: 'TS29520_Nnwdaf_EventsSubscription.yaml#/components/schemas/Accuracy'</w:t>
      </w:r>
    </w:p>
    <w:p w14:paraId="014F2CAC" w14:textId="77777777" w:rsidR="007862A2" w:rsidRDefault="007862A2" w:rsidP="007862A2">
      <w:pPr>
        <w:pStyle w:val="PL"/>
      </w:pPr>
      <w:r>
        <w:t xml:space="preserve">          minItems: 1</w:t>
      </w:r>
    </w:p>
    <w:p w14:paraId="55716E77" w14:textId="77777777" w:rsidR="007862A2" w:rsidRDefault="007862A2" w:rsidP="007862A2">
      <w:pPr>
        <w:pStyle w:val="PL"/>
        <w:rPr>
          <w:lang w:bidi="fa-IR"/>
        </w:rPr>
      </w:pPr>
      <w:r>
        <w:t xml:space="preserve">          description: </w:t>
      </w:r>
      <w:r>
        <w:rPr>
          <w:lang w:bidi="fa-IR"/>
        </w:rPr>
        <w:t>&gt;</w:t>
      </w:r>
    </w:p>
    <w:p w14:paraId="7BA7BCF8" w14:textId="77777777" w:rsidR="007862A2" w:rsidRDefault="007862A2" w:rsidP="007862A2">
      <w:pPr>
        <w:pStyle w:val="PL"/>
        <w:rPr>
          <w:lang w:bidi="fa-IR"/>
        </w:rPr>
      </w:pPr>
      <w:r>
        <w:rPr>
          <w:lang w:bidi="fa-IR"/>
        </w:rPr>
        <w:t xml:space="preserve">            Provided accuracy levels of interest for ML models.</w:t>
      </w:r>
    </w:p>
    <w:p w14:paraId="6D09776B" w14:textId="77777777" w:rsidR="007862A2" w:rsidRDefault="007862A2" w:rsidP="007862A2">
      <w:pPr>
        <w:pStyle w:val="PL"/>
      </w:pPr>
    </w:p>
    <w:p w14:paraId="1F37317E" w14:textId="77777777" w:rsidR="007862A2" w:rsidRDefault="007862A2" w:rsidP="007862A2">
      <w:pPr>
        <w:pStyle w:val="PL"/>
      </w:pPr>
      <w:r>
        <w:t xml:space="preserve">    InputDataInfo:</w:t>
      </w:r>
    </w:p>
    <w:p w14:paraId="23727EB9" w14:textId="77777777" w:rsidR="007862A2" w:rsidRDefault="007862A2" w:rsidP="007862A2">
      <w:pPr>
        <w:pStyle w:val="PL"/>
      </w:pPr>
      <w:r>
        <w:t xml:space="preserve">      description: Contains information about inference that is used by NWDAF containing AnLF.</w:t>
      </w:r>
    </w:p>
    <w:p w14:paraId="7A7451C6" w14:textId="77777777" w:rsidR="007862A2" w:rsidRDefault="007862A2" w:rsidP="007862A2">
      <w:pPr>
        <w:pStyle w:val="PL"/>
      </w:pPr>
      <w:r>
        <w:t xml:space="preserve">      type: object</w:t>
      </w:r>
    </w:p>
    <w:p w14:paraId="5B721F93" w14:textId="77777777" w:rsidR="007862A2" w:rsidRDefault="007862A2" w:rsidP="007862A2">
      <w:pPr>
        <w:pStyle w:val="PL"/>
      </w:pPr>
      <w:r>
        <w:t xml:space="preserve">      properties:</w:t>
      </w:r>
    </w:p>
    <w:p w14:paraId="443233FA" w14:textId="77777777" w:rsidR="007862A2" w:rsidRDefault="007862A2" w:rsidP="007862A2">
      <w:pPr>
        <w:pStyle w:val="PL"/>
      </w:pPr>
      <w:r>
        <w:t xml:space="preserve">        ratio:</w:t>
      </w:r>
    </w:p>
    <w:p w14:paraId="5500D509" w14:textId="77777777" w:rsidR="007862A2" w:rsidRDefault="007862A2" w:rsidP="007862A2">
      <w:pPr>
        <w:pStyle w:val="PL"/>
      </w:pPr>
      <w:r>
        <w:t xml:space="preserve">          $ref: 'TS29571_CommonData.yaml#/components/schemas/Uinteger'</w:t>
      </w:r>
    </w:p>
    <w:p w14:paraId="1BF9A498" w14:textId="77777777" w:rsidR="007862A2" w:rsidRDefault="007862A2" w:rsidP="007862A2">
      <w:pPr>
        <w:pStyle w:val="PL"/>
      </w:pPr>
      <w:r>
        <w:t xml:space="preserve">        maxNumSamples:</w:t>
      </w:r>
    </w:p>
    <w:p w14:paraId="532C2B64" w14:textId="77777777" w:rsidR="007862A2" w:rsidRDefault="007862A2" w:rsidP="007862A2">
      <w:pPr>
        <w:pStyle w:val="PL"/>
      </w:pPr>
      <w:r>
        <w:t xml:space="preserve">          $ref: 'TS29571_CommonData.yaml#/components/schemas/Uinteger'</w:t>
      </w:r>
    </w:p>
    <w:p w14:paraId="608982CD" w14:textId="77777777" w:rsidR="007862A2" w:rsidRDefault="007862A2" w:rsidP="007862A2">
      <w:pPr>
        <w:pStyle w:val="PL"/>
      </w:pPr>
      <w:r>
        <w:t xml:space="preserve">        maxTimeInterval:</w:t>
      </w:r>
    </w:p>
    <w:p w14:paraId="166BECC2" w14:textId="77777777" w:rsidR="007862A2" w:rsidRDefault="007862A2" w:rsidP="007862A2">
      <w:pPr>
        <w:pStyle w:val="PL"/>
      </w:pPr>
      <w:r>
        <w:t xml:space="preserve">          $ref: 'TS29571_CommonData.yaml#/components/schemas/Uinteger'</w:t>
      </w:r>
    </w:p>
    <w:p w14:paraId="456692BC" w14:textId="77777777" w:rsidR="007862A2" w:rsidRDefault="007862A2" w:rsidP="007862A2">
      <w:pPr>
        <w:pStyle w:val="PL"/>
      </w:pPr>
      <w:r>
        <w:t xml:space="preserve">        inpEvent:</w:t>
      </w:r>
    </w:p>
    <w:p w14:paraId="0B182259" w14:textId="77777777" w:rsidR="007862A2" w:rsidRDefault="007862A2" w:rsidP="007862A2">
      <w:pPr>
        <w:pStyle w:val="PL"/>
      </w:pPr>
      <w:r>
        <w:t xml:space="preserve">          $ref: 'TS29574_Ndccf_DataManagement.yaml#/components/schemas/DccfEvent'</w:t>
      </w:r>
    </w:p>
    <w:p w14:paraId="37EA60F6" w14:textId="77777777" w:rsidR="007862A2" w:rsidRDefault="007862A2" w:rsidP="007862A2">
      <w:pPr>
        <w:pStyle w:val="PL"/>
      </w:pPr>
      <w:r>
        <w:t xml:space="preserve">        nfInstanceIds:</w:t>
      </w:r>
    </w:p>
    <w:p w14:paraId="359692C9" w14:textId="77777777" w:rsidR="007862A2" w:rsidRDefault="007862A2" w:rsidP="007862A2">
      <w:pPr>
        <w:pStyle w:val="PL"/>
      </w:pPr>
      <w:r>
        <w:t xml:space="preserve">          type: array</w:t>
      </w:r>
    </w:p>
    <w:p w14:paraId="6C8A058E" w14:textId="77777777" w:rsidR="007862A2" w:rsidRDefault="007862A2" w:rsidP="007862A2">
      <w:pPr>
        <w:pStyle w:val="PL"/>
      </w:pPr>
      <w:r>
        <w:t xml:space="preserve">          items:</w:t>
      </w:r>
    </w:p>
    <w:p w14:paraId="0603FEF1" w14:textId="77777777" w:rsidR="007862A2" w:rsidRDefault="007862A2" w:rsidP="007862A2">
      <w:pPr>
        <w:pStyle w:val="PL"/>
      </w:pPr>
      <w:r>
        <w:t xml:space="preserve">            $ref: 'TS29571_CommonData.yaml#/components/schemas/NfInstanceId'</w:t>
      </w:r>
    </w:p>
    <w:p w14:paraId="62581BD2" w14:textId="77777777" w:rsidR="007862A2" w:rsidRDefault="007862A2" w:rsidP="007862A2">
      <w:pPr>
        <w:pStyle w:val="PL"/>
      </w:pPr>
      <w:r>
        <w:t xml:space="preserve">          minItems: 1</w:t>
      </w:r>
    </w:p>
    <w:p w14:paraId="693030F0" w14:textId="77777777" w:rsidR="007862A2" w:rsidRDefault="007862A2" w:rsidP="007862A2">
      <w:pPr>
        <w:pStyle w:val="PL"/>
      </w:pPr>
      <w:r>
        <w:t xml:space="preserve">        nfSetIds:</w:t>
      </w:r>
    </w:p>
    <w:p w14:paraId="78D2455F" w14:textId="77777777" w:rsidR="007862A2" w:rsidRDefault="007862A2" w:rsidP="007862A2">
      <w:pPr>
        <w:pStyle w:val="PL"/>
      </w:pPr>
      <w:r>
        <w:t xml:space="preserve">          type: array</w:t>
      </w:r>
    </w:p>
    <w:p w14:paraId="35BC33B7" w14:textId="77777777" w:rsidR="007862A2" w:rsidRDefault="007862A2" w:rsidP="007862A2">
      <w:pPr>
        <w:pStyle w:val="PL"/>
      </w:pPr>
      <w:r>
        <w:t xml:space="preserve">          items:</w:t>
      </w:r>
    </w:p>
    <w:p w14:paraId="1018C408" w14:textId="77777777" w:rsidR="007862A2" w:rsidRDefault="007862A2" w:rsidP="007862A2">
      <w:pPr>
        <w:pStyle w:val="PL"/>
      </w:pPr>
      <w:r>
        <w:t xml:space="preserve">            $ref: 'TS29571_CommonData.yaml#/components/schemas/NfSetId'</w:t>
      </w:r>
    </w:p>
    <w:p w14:paraId="21252480" w14:textId="77777777" w:rsidR="007862A2" w:rsidRDefault="007862A2" w:rsidP="007862A2">
      <w:pPr>
        <w:pStyle w:val="PL"/>
      </w:pPr>
      <w:r>
        <w:t xml:space="preserve">          minItems: 1</w:t>
      </w:r>
    </w:p>
    <w:p w14:paraId="28F601D1"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00B0751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inpEvent</w:t>
      </w:r>
    </w:p>
    <w:p w14:paraId="0C879AE4" w14:textId="77777777" w:rsidR="007862A2" w:rsidRDefault="007862A2" w:rsidP="007862A2">
      <w:pPr>
        <w:pStyle w:val="PL"/>
      </w:pPr>
    </w:p>
    <w:p w14:paraId="494DD985" w14:textId="77777777" w:rsidR="007862A2" w:rsidRDefault="007862A2" w:rsidP="007862A2">
      <w:pPr>
        <w:pStyle w:val="PL"/>
      </w:pPr>
    </w:p>
    <w:p w14:paraId="4A9EAD9A" w14:textId="77777777" w:rsidR="007862A2" w:rsidRDefault="007862A2" w:rsidP="007862A2">
      <w:pPr>
        <w:pStyle w:val="PL"/>
        <w:rPr>
          <w:rFonts w:eastAsia="等线"/>
        </w:rPr>
      </w:pPr>
      <w:r>
        <w:t xml:space="preserve">    MLEventSubscription</w:t>
      </w:r>
      <w:r>
        <w:rPr>
          <w:rFonts w:eastAsia="等线"/>
        </w:rPr>
        <w:t>:</w:t>
      </w:r>
    </w:p>
    <w:p w14:paraId="4476CCDB" w14:textId="77777777" w:rsidR="007862A2" w:rsidRDefault="007862A2" w:rsidP="007862A2">
      <w:pPr>
        <w:pStyle w:val="PL"/>
      </w:pPr>
      <w:r>
        <w:t xml:space="preserve">      description: Represents a subscription to a single event.</w:t>
      </w:r>
    </w:p>
    <w:p w14:paraId="1C9DB438" w14:textId="77777777" w:rsidR="007862A2" w:rsidRDefault="007862A2" w:rsidP="007862A2">
      <w:pPr>
        <w:pStyle w:val="PL"/>
      </w:pPr>
      <w:r>
        <w:t xml:space="preserve">      type: object</w:t>
      </w:r>
    </w:p>
    <w:p w14:paraId="691786D5" w14:textId="77777777" w:rsidR="007862A2" w:rsidRDefault="007862A2" w:rsidP="007862A2">
      <w:pPr>
        <w:pStyle w:val="PL"/>
        <w:rPr>
          <w:rFonts w:eastAsia="等线"/>
        </w:rPr>
      </w:pPr>
      <w:r>
        <w:t xml:space="preserve">      properties:</w:t>
      </w:r>
    </w:p>
    <w:p w14:paraId="469C85F3" w14:textId="77777777" w:rsidR="007862A2" w:rsidRDefault="007862A2" w:rsidP="007862A2">
      <w:pPr>
        <w:pStyle w:val="PL"/>
      </w:pPr>
      <w:r>
        <w:t xml:space="preserve">        mLEvent:</w:t>
      </w:r>
    </w:p>
    <w:p w14:paraId="7DCB9CAE" w14:textId="77777777" w:rsidR="007862A2" w:rsidRDefault="007862A2" w:rsidP="007862A2">
      <w:pPr>
        <w:pStyle w:val="PL"/>
      </w:pPr>
      <w:r>
        <w:t xml:space="preserve">          $ref: 'TS29520_Nnwdaf_EventsSubscription.yaml#/components/schemas/NwdafEvent'</w:t>
      </w:r>
    </w:p>
    <w:p w14:paraId="0746C483" w14:textId="77777777" w:rsidR="007862A2" w:rsidRDefault="007862A2" w:rsidP="007862A2">
      <w:pPr>
        <w:pStyle w:val="PL"/>
      </w:pPr>
      <w:r>
        <w:t xml:space="preserve">        mLEventFilter:</w:t>
      </w:r>
    </w:p>
    <w:p w14:paraId="40ED8E76" w14:textId="77777777" w:rsidR="007862A2" w:rsidRDefault="007862A2" w:rsidP="007862A2">
      <w:pPr>
        <w:pStyle w:val="PL"/>
      </w:pPr>
      <w:r>
        <w:t xml:space="preserve">          $ref: 'TS29520_Nnwdaf_AnalyticsInfo.yaml#/components/schemas/EventFilter'</w:t>
      </w:r>
    </w:p>
    <w:p w14:paraId="747F1989" w14:textId="77777777" w:rsidR="007862A2" w:rsidRDefault="007862A2" w:rsidP="007862A2">
      <w:pPr>
        <w:pStyle w:val="PL"/>
      </w:pPr>
      <w:r>
        <w:t xml:space="preserve">        tgtUe:</w:t>
      </w:r>
    </w:p>
    <w:p w14:paraId="4B038059" w14:textId="77777777" w:rsidR="007862A2" w:rsidRDefault="007862A2" w:rsidP="007862A2">
      <w:pPr>
        <w:pStyle w:val="PL"/>
      </w:pPr>
      <w:r>
        <w:t xml:space="preserve">          $ref: 'TS29520_Nnwdaf_EventsSubscription.yaml#/components/schemas/TargetUeInformation'</w:t>
      </w:r>
    </w:p>
    <w:p w14:paraId="605FBF9B" w14:textId="77777777" w:rsidR="007862A2" w:rsidRDefault="007862A2" w:rsidP="007862A2">
      <w:pPr>
        <w:pStyle w:val="PL"/>
      </w:pPr>
      <w:r>
        <w:t xml:space="preserve">        </w:t>
      </w:r>
      <w:r>
        <w:rPr>
          <w:lang w:eastAsia="zh-CN"/>
        </w:rPr>
        <w:t>mLTargetPeriod</w:t>
      </w:r>
      <w:r>
        <w:t>:</w:t>
      </w:r>
    </w:p>
    <w:p w14:paraId="54467F04" w14:textId="77777777" w:rsidR="007862A2" w:rsidRDefault="007862A2" w:rsidP="007862A2">
      <w:pPr>
        <w:pStyle w:val="PL"/>
      </w:pPr>
      <w:r>
        <w:t xml:space="preserve">          $ref: 'TS29122_CommonData.yaml#/components/schemas/TimeWindow'</w:t>
      </w:r>
    </w:p>
    <w:p w14:paraId="2F8390E6" w14:textId="77777777" w:rsidR="007862A2" w:rsidRDefault="007862A2" w:rsidP="007862A2">
      <w:pPr>
        <w:pStyle w:val="PL"/>
      </w:pPr>
      <w:r>
        <w:t xml:space="preserve">        </w:t>
      </w:r>
      <w:r>
        <w:rPr>
          <w:lang w:eastAsia="ja-JP"/>
        </w:rPr>
        <w:t>expiryTime</w:t>
      </w:r>
      <w:r>
        <w:t>:</w:t>
      </w:r>
    </w:p>
    <w:p w14:paraId="655A963A" w14:textId="77777777" w:rsidR="007862A2" w:rsidRDefault="007862A2" w:rsidP="007862A2">
      <w:pPr>
        <w:pStyle w:val="PL"/>
      </w:pPr>
      <w:r>
        <w:t xml:space="preserve">          $ref: 'TS29571_CommonData.yaml#/components/schemas/DateTime'</w:t>
      </w:r>
    </w:p>
    <w:p w14:paraId="5F4224A2" w14:textId="77777777" w:rsidR="007862A2" w:rsidRDefault="007862A2" w:rsidP="007862A2">
      <w:pPr>
        <w:pStyle w:val="PL"/>
      </w:pPr>
      <w:r>
        <w:t xml:space="preserve">        timeModelNeeded:</w:t>
      </w:r>
    </w:p>
    <w:p w14:paraId="07843478" w14:textId="77777777" w:rsidR="007862A2" w:rsidRDefault="007862A2" w:rsidP="007862A2">
      <w:pPr>
        <w:pStyle w:val="PL"/>
      </w:pPr>
      <w:r>
        <w:t xml:space="preserve">          $ref: 'TS29571_CommonData.yaml#/components/schemas/DateTime'</w:t>
      </w:r>
    </w:p>
    <w:p w14:paraId="75DD9C5C" w14:textId="77777777" w:rsidR="007862A2" w:rsidRDefault="007862A2" w:rsidP="007862A2">
      <w:pPr>
        <w:pStyle w:val="PL"/>
        <w:rPr>
          <w:lang w:eastAsia="ko-KR"/>
        </w:rPr>
      </w:pPr>
      <w:r>
        <w:t xml:space="preserve">        </w:t>
      </w:r>
      <w:r>
        <w:rPr>
          <w:lang w:eastAsia="ko-KR"/>
        </w:rPr>
        <w:t>mlEvRepCon:</w:t>
      </w:r>
    </w:p>
    <w:p w14:paraId="51C45B2C" w14:textId="77777777" w:rsidR="007862A2" w:rsidRDefault="007862A2" w:rsidP="007862A2">
      <w:pPr>
        <w:pStyle w:val="PL"/>
      </w:pPr>
      <w:r>
        <w:t xml:space="preserve">          $ref: '#/components/schemas/MLRepEventCondition'</w:t>
      </w:r>
    </w:p>
    <w:p w14:paraId="74EA9A99" w14:textId="77777777" w:rsidR="007862A2" w:rsidRDefault="007862A2" w:rsidP="007862A2">
      <w:pPr>
        <w:pStyle w:val="PL"/>
      </w:pPr>
      <w:r>
        <w:t xml:space="preserve">        modelInterInfo:</w:t>
      </w:r>
    </w:p>
    <w:p w14:paraId="6739C3D6" w14:textId="77777777" w:rsidR="007862A2" w:rsidRDefault="007862A2" w:rsidP="007862A2">
      <w:pPr>
        <w:pStyle w:val="PL"/>
      </w:pPr>
      <w:r>
        <w:t xml:space="preserve">          type: string</w:t>
      </w:r>
    </w:p>
    <w:p w14:paraId="2E1AC415" w14:textId="77777777" w:rsidR="007862A2" w:rsidRDefault="007862A2" w:rsidP="007862A2">
      <w:pPr>
        <w:pStyle w:val="PL"/>
      </w:pPr>
      <w:r>
        <w:t xml:space="preserve">          description: String r</w:t>
      </w:r>
      <w:r>
        <w:rPr>
          <w:rFonts w:cs="Arial"/>
          <w:szCs w:val="18"/>
          <w:lang w:eastAsia="zh-CN"/>
        </w:rPr>
        <w:t xml:space="preserve">epresenting </w:t>
      </w:r>
      <w:r>
        <w:rPr>
          <w:lang w:eastAsia="zh-CN"/>
        </w:rPr>
        <w:t>the ML Model Interoperability Information</w:t>
      </w:r>
      <w:r>
        <w:t>.</w:t>
      </w:r>
    </w:p>
    <w:p w14:paraId="53E11D37" w14:textId="77777777" w:rsidR="007862A2" w:rsidRDefault="007862A2" w:rsidP="007862A2">
      <w:pPr>
        <w:pStyle w:val="PL"/>
      </w:pPr>
      <w:r>
        <w:t xml:space="preserve">        nfConsumerInfo:</w:t>
      </w:r>
    </w:p>
    <w:p w14:paraId="7E2A9AAC" w14:textId="77777777" w:rsidR="007862A2" w:rsidRDefault="007862A2" w:rsidP="007862A2">
      <w:pPr>
        <w:pStyle w:val="PL"/>
      </w:pPr>
      <w:r>
        <w:t xml:space="preserve">          $ref: 'TS29510_Nnrf_NFManagement.yaml#/components/schemas/VendorId'</w:t>
      </w:r>
    </w:p>
    <w:p w14:paraId="437CB491" w14:textId="77777777" w:rsidR="007862A2" w:rsidRDefault="007862A2" w:rsidP="007862A2">
      <w:pPr>
        <w:pStyle w:val="PL"/>
      </w:pPr>
      <w:r>
        <w:t xml:space="preserve">        modelProvExt:</w:t>
      </w:r>
    </w:p>
    <w:p w14:paraId="2227F0B9" w14:textId="77777777" w:rsidR="007862A2" w:rsidRDefault="007862A2" w:rsidP="007862A2">
      <w:pPr>
        <w:pStyle w:val="PL"/>
      </w:pPr>
      <w:r>
        <w:t xml:space="preserve">          $ref: '#/components/schemas/ModelProvisionParamsExt'</w:t>
      </w:r>
    </w:p>
    <w:p w14:paraId="714ABF12" w14:textId="77777777" w:rsidR="007862A2" w:rsidRDefault="007862A2" w:rsidP="007862A2">
      <w:pPr>
        <w:pStyle w:val="PL"/>
      </w:pPr>
      <w:r>
        <w:t xml:space="preserve">        useCaseCxt:</w:t>
      </w:r>
    </w:p>
    <w:p w14:paraId="5B911BE2" w14:textId="77777777" w:rsidR="007862A2" w:rsidRDefault="007862A2" w:rsidP="007862A2">
      <w:pPr>
        <w:pStyle w:val="PL"/>
      </w:pPr>
      <w:r>
        <w:t xml:space="preserve">          type: string</w:t>
      </w:r>
    </w:p>
    <w:p w14:paraId="68E7A12A" w14:textId="77777777" w:rsidR="007862A2" w:rsidRDefault="007862A2" w:rsidP="007862A2">
      <w:pPr>
        <w:pStyle w:val="PL"/>
      </w:pPr>
      <w:r>
        <w:t xml:space="preserve">          description: &gt;</w:t>
      </w:r>
    </w:p>
    <w:p w14:paraId="191EAFF6" w14:textId="77777777" w:rsidR="007862A2" w:rsidRDefault="007862A2" w:rsidP="007862A2">
      <w:pPr>
        <w:pStyle w:val="PL"/>
      </w:pPr>
      <w:r>
        <w:t xml:space="preserve">            Indicates the context of usage of the analytics. The value and format of this parameter </w:t>
      </w:r>
    </w:p>
    <w:p w14:paraId="495132D4" w14:textId="77777777" w:rsidR="007862A2" w:rsidRDefault="007862A2" w:rsidP="007862A2">
      <w:pPr>
        <w:pStyle w:val="PL"/>
      </w:pPr>
      <w:r>
        <w:t xml:space="preserve">            are not standardized.</w:t>
      </w:r>
    </w:p>
    <w:p w14:paraId="4B17CD46" w14:textId="77777777" w:rsidR="007862A2" w:rsidRDefault="007862A2" w:rsidP="007862A2">
      <w:pPr>
        <w:pStyle w:val="PL"/>
      </w:pPr>
      <w:r>
        <w:t xml:space="preserve">        </w:t>
      </w:r>
      <w:r>
        <w:rPr>
          <w:lang w:eastAsia="zh-CN"/>
        </w:rPr>
        <w:t>inferDataForM</w:t>
      </w:r>
      <w:r>
        <w:rPr>
          <w:rFonts w:hint="eastAsia"/>
          <w:lang w:eastAsia="zh-CN"/>
        </w:rPr>
        <w:t>od</w:t>
      </w:r>
      <w:r>
        <w:rPr>
          <w:lang w:eastAsia="zh-CN"/>
        </w:rPr>
        <w:t>el</w:t>
      </w:r>
      <w:r>
        <w:t>:</w:t>
      </w:r>
    </w:p>
    <w:p w14:paraId="6B2AE399" w14:textId="77777777" w:rsidR="007862A2" w:rsidRDefault="007862A2" w:rsidP="007862A2">
      <w:pPr>
        <w:pStyle w:val="PL"/>
      </w:pPr>
      <w:r>
        <w:t xml:space="preserve">          $ref: '#/components/schemas/</w:t>
      </w:r>
      <w:r>
        <w:rPr>
          <w:lang w:val="en-US" w:eastAsia="zh-CN"/>
        </w:rPr>
        <w:t>InferenceDataForModelTrain</w:t>
      </w:r>
      <w:r>
        <w:t>'</w:t>
      </w:r>
    </w:p>
    <w:p w14:paraId="676A575F" w14:textId="77777777" w:rsidR="007862A2" w:rsidRDefault="007862A2" w:rsidP="007862A2">
      <w:pPr>
        <w:pStyle w:val="PL"/>
      </w:pPr>
      <w:r>
        <w:t xml:space="preserve">        modelId:</w:t>
      </w:r>
    </w:p>
    <w:p w14:paraId="75A6BBD6" w14:textId="77777777" w:rsidR="007862A2" w:rsidRDefault="007862A2" w:rsidP="007862A2">
      <w:pPr>
        <w:pStyle w:val="PL"/>
      </w:pPr>
      <w:r>
        <w:t xml:space="preserve">          $ref: 'TS29571_CommonData.yaml#/components/schemas/Uinteger'</w:t>
      </w:r>
    </w:p>
    <w:p w14:paraId="18810944" w14:textId="77777777" w:rsidR="007862A2" w:rsidRDefault="007862A2" w:rsidP="007862A2">
      <w:pPr>
        <w:pStyle w:val="PL"/>
      </w:pPr>
      <w:r>
        <w:t xml:space="preserve">      required:</w:t>
      </w:r>
    </w:p>
    <w:p w14:paraId="294D2762" w14:textId="77777777" w:rsidR="007862A2" w:rsidRDefault="007862A2" w:rsidP="007862A2">
      <w:pPr>
        <w:pStyle w:val="PL"/>
      </w:pPr>
      <w:r>
        <w:t xml:space="preserve">        - mLEvent</w:t>
      </w:r>
    </w:p>
    <w:p w14:paraId="0FEC9E7D" w14:textId="77777777" w:rsidR="007862A2" w:rsidRDefault="007862A2" w:rsidP="007862A2">
      <w:pPr>
        <w:pStyle w:val="PL"/>
      </w:pPr>
      <w:r>
        <w:t xml:space="preserve">        - mLEventFilter</w:t>
      </w:r>
    </w:p>
    <w:p w14:paraId="0388EA9E" w14:textId="77777777" w:rsidR="007862A2" w:rsidRDefault="007862A2" w:rsidP="007862A2">
      <w:pPr>
        <w:pStyle w:val="PL"/>
      </w:pPr>
    </w:p>
    <w:p w14:paraId="369D74A2" w14:textId="77777777" w:rsidR="007862A2" w:rsidRDefault="007862A2" w:rsidP="007862A2">
      <w:pPr>
        <w:pStyle w:val="PL"/>
        <w:rPr>
          <w:rFonts w:eastAsia="等线"/>
        </w:rPr>
      </w:pPr>
      <w:r>
        <w:t xml:space="preserve">    </w:t>
      </w:r>
      <w:r>
        <w:rPr>
          <w:rFonts w:eastAsia="等线"/>
        </w:rPr>
        <w:t>NwdafMLModelProvNotif:</w:t>
      </w:r>
    </w:p>
    <w:p w14:paraId="51903E65" w14:textId="77777777" w:rsidR="007862A2" w:rsidRDefault="007862A2" w:rsidP="007862A2">
      <w:pPr>
        <w:pStyle w:val="PL"/>
      </w:pPr>
      <w:r>
        <w:t xml:space="preserve">      description: Represents notifications on events that occurred.</w:t>
      </w:r>
    </w:p>
    <w:p w14:paraId="25B696D7" w14:textId="77777777" w:rsidR="007862A2" w:rsidRDefault="007862A2" w:rsidP="007862A2">
      <w:pPr>
        <w:pStyle w:val="PL"/>
      </w:pPr>
      <w:r>
        <w:t xml:space="preserve">      type: object</w:t>
      </w:r>
    </w:p>
    <w:p w14:paraId="68C56A07" w14:textId="77777777" w:rsidR="007862A2" w:rsidRDefault="007862A2" w:rsidP="007862A2">
      <w:pPr>
        <w:pStyle w:val="PL"/>
        <w:rPr>
          <w:rFonts w:eastAsia="等线"/>
        </w:rPr>
      </w:pPr>
      <w:r>
        <w:t xml:space="preserve">      properties:</w:t>
      </w:r>
    </w:p>
    <w:p w14:paraId="78818A06" w14:textId="77777777" w:rsidR="007862A2" w:rsidRDefault="007862A2" w:rsidP="007862A2">
      <w:pPr>
        <w:pStyle w:val="PL"/>
      </w:pPr>
      <w:r>
        <w:t xml:space="preserve">        eventNotifs:</w:t>
      </w:r>
    </w:p>
    <w:p w14:paraId="1C98EF35" w14:textId="77777777" w:rsidR="007862A2" w:rsidRDefault="007862A2" w:rsidP="007862A2">
      <w:pPr>
        <w:pStyle w:val="PL"/>
      </w:pPr>
      <w:r>
        <w:t xml:space="preserve">          type: array</w:t>
      </w:r>
    </w:p>
    <w:p w14:paraId="321D94CE" w14:textId="77777777" w:rsidR="007862A2" w:rsidRDefault="007862A2" w:rsidP="007862A2">
      <w:pPr>
        <w:pStyle w:val="PL"/>
      </w:pPr>
      <w:r>
        <w:t xml:space="preserve">          items:</w:t>
      </w:r>
    </w:p>
    <w:p w14:paraId="33E2606E" w14:textId="77777777" w:rsidR="007862A2" w:rsidRDefault="007862A2" w:rsidP="007862A2">
      <w:pPr>
        <w:pStyle w:val="PL"/>
      </w:pPr>
      <w:r>
        <w:lastRenderedPageBreak/>
        <w:t xml:space="preserve">            $ref: '#/components/schemas/MLEventNotif'</w:t>
      </w:r>
    </w:p>
    <w:p w14:paraId="0E9A1B47" w14:textId="77777777" w:rsidR="007862A2" w:rsidRDefault="007862A2" w:rsidP="007862A2">
      <w:pPr>
        <w:pStyle w:val="PL"/>
      </w:pPr>
      <w:r>
        <w:t xml:space="preserve">          minItems: 1</w:t>
      </w:r>
    </w:p>
    <w:p w14:paraId="491538ED" w14:textId="77777777" w:rsidR="007862A2" w:rsidRDefault="007862A2" w:rsidP="007862A2">
      <w:pPr>
        <w:pStyle w:val="PL"/>
      </w:pPr>
      <w:r>
        <w:t xml:space="preserve">          description: Notifications about Individual Events.</w:t>
      </w:r>
    </w:p>
    <w:p w14:paraId="4E35B689" w14:textId="77777777" w:rsidR="007862A2" w:rsidRDefault="007862A2" w:rsidP="007862A2">
      <w:pPr>
        <w:pStyle w:val="PL"/>
      </w:pPr>
      <w:r>
        <w:t xml:space="preserve">        subscriptionId:</w:t>
      </w:r>
    </w:p>
    <w:p w14:paraId="7DA888D2" w14:textId="77777777" w:rsidR="007862A2" w:rsidRDefault="007862A2" w:rsidP="007862A2">
      <w:pPr>
        <w:pStyle w:val="PL"/>
      </w:pPr>
      <w:r>
        <w:t xml:space="preserve">          type: string</w:t>
      </w:r>
    </w:p>
    <w:p w14:paraId="4595E570" w14:textId="77777777" w:rsidR="007862A2" w:rsidRDefault="007862A2" w:rsidP="007862A2">
      <w:pPr>
        <w:pStyle w:val="PL"/>
      </w:pPr>
      <w:r>
        <w:t xml:space="preserve">          description: String identifying a subscription to the Nnwdaf_MLModelProvision Service.</w:t>
      </w:r>
    </w:p>
    <w:p w14:paraId="228FCAFD" w14:textId="77777777" w:rsidR="007862A2" w:rsidRDefault="007862A2" w:rsidP="007862A2">
      <w:pPr>
        <w:pStyle w:val="PL"/>
      </w:pPr>
      <w:r>
        <w:t xml:space="preserve">      required:</w:t>
      </w:r>
    </w:p>
    <w:p w14:paraId="016B0276" w14:textId="77777777" w:rsidR="007862A2" w:rsidRDefault="007862A2" w:rsidP="007862A2">
      <w:pPr>
        <w:pStyle w:val="PL"/>
      </w:pPr>
      <w:r>
        <w:t xml:space="preserve">        - eventNotifs</w:t>
      </w:r>
    </w:p>
    <w:p w14:paraId="014A2557" w14:textId="77777777" w:rsidR="007862A2" w:rsidRDefault="007862A2" w:rsidP="007862A2">
      <w:pPr>
        <w:pStyle w:val="PL"/>
        <w:rPr>
          <w:rFonts w:eastAsia="等线"/>
        </w:rPr>
      </w:pPr>
      <w:r>
        <w:t xml:space="preserve">        - subscriptionId</w:t>
      </w:r>
    </w:p>
    <w:p w14:paraId="14871E20" w14:textId="77777777" w:rsidR="007862A2" w:rsidRDefault="007862A2" w:rsidP="007862A2">
      <w:pPr>
        <w:pStyle w:val="PL"/>
      </w:pPr>
    </w:p>
    <w:p w14:paraId="1E9B7459" w14:textId="77777777" w:rsidR="007862A2" w:rsidRDefault="007862A2" w:rsidP="007862A2">
      <w:pPr>
        <w:pStyle w:val="PL"/>
        <w:rPr>
          <w:rFonts w:eastAsia="等线"/>
        </w:rPr>
      </w:pPr>
      <w:r>
        <w:t xml:space="preserve">    MLEventNotif</w:t>
      </w:r>
      <w:r>
        <w:rPr>
          <w:rFonts w:eastAsia="等线"/>
        </w:rPr>
        <w:t>:</w:t>
      </w:r>
    </w:p>
    <w:p w14:paraId="4CCB46CC" w14:textId="77777777" w:rsidR="007862A2" w:rsidRDefault="007862A2" w:rsidP="007862A2">
      <w:pPr>
        <w:pStyle w:val="PL"/>
      </w:pPr>
      <w:r>
        <w:t xml:space="preserve">      description: Represents a notification related to a single event that occurred.</w:t>
      </w:r>
    </w:p>
    <w:p w14:paraId="2D67D4BE" w14:textId="77777777" w:rsidR="007862A2" w:rsidRDefault="007862A2" w:rsidP="007862A2">
      <w:pPr>
        <w:pStyle w:val="PL"/>
      </w:pPr>
      <w:r>
        <w:t xml:space="preserve">      type: object</w:t>
      </w:r>
    </w:p>
    <w:p w14:paraId="035949E7" w14:textId="77777777" w:rsidR="007862A2" w:rsidRDefault="007862A2" w:rsidP="007862A2">
      <w:pPr>
        <w:pStyle w:val="PL"/>
        <w:rPr>
          <w:rFonts w:eastAsia="等线"/>
        </w:rPr>
      </w:pPr>
      <w:r>
        <w:t xml:space="preserve">      properties:</w:t>
      </w:r>
    </w:p>
    <w:p w14:paraId="1374E455" w14:textId="77777777" w:rsidR="007862A2" w:rsidRDefault="007862A2" w:rsidP="007862A2">
      <w:pPr>
        <w:pStyle w:val="PL"/>
      </w:pPr>
      <w:r>
        <w:t xml:space="preserve">        e</w:t>
      </w:r>
      <w:r>
        <w:rPr>
          <w:rFonts w:hint="eastAsia"/>
        </w:rPr>
        <w:t>vent</w:t>
      </w:r>
      <w:r>
        <w:t>:</w:t>
      </w:r>
    </w:p>
    <w:p w14:paraId="06685A50" w14:textId="77777777" w:rsidR="007862A2" w:rsidRDefault="007862A2" w:rsidP="007862A2">
      <w:pPr>
        <w:pStyle w:val="PL"/>
      </w:pPr>
      <w:r>
        <w:t xml:space="preserve">          $ref: 'TS29520_Nnwdaf_EventsSubscription.yaml#/components/schemas/NwdafEvent'</w:t>
      </w:r>
    </w:p>
    <w:p w14:paraId="6C5D62D6" w14:textId="77777777" w:rsidR="007862A2" w:rsidRDefault="007862A2" w:rsidP="007862A2">
      <w:pPr>
        <w:pStyle w:val="PL"/>
      </w:pPr>
      <w:r>
        <w:t xml:space="preserve">        </w:t>
      </w:r>
      <w:r>
        <w:rPr>
          <w:lang w:eastAsia="zh-CN"/>
        </w:rPr>
        <w:t>notifCorreId</w:t>
      </w:r>
      <w:r>
        <w:t>:</w:t>
      </w:r>
    </w:p>
    <w:p w14:paraId="55A59949" w14:textId="77777777" w:rsidR="007862A2" w:rsidRDefault="007862A2" w:rsidP="007862A2">
      <w:pPr>
        <w:pStyle w:val="PL"/>
      </w:pPr>
      <w:r>
        <w:t xml:space="preserve">          type: string</w:t>
      </w:r>
    </w:p>
    <w:p w14:paraId="4CF674F0" w14:textId="77777777" w:rsidR="007862A2" w:rsidRDefault="007862A2" w:rsidP="007862A2">
      <w:pPr>
        <w:pStyle w:val="PL"/>
      </w:pPr>
      <w:r>
        <w:t xml:space="preserve">          description: &gt;</w:t>
      </w:r>
    </w:p>
    <w:p w14:paraId="25F0F8DA" w14:textId="77777777" w:rsidR="007862A2" w:rsidRDefault="007862A2" w:rsidP="007862A2">
      <w:pPr>
        <w:pStyle w:val="PL"/>
        <w:rPr>
          <w:lang w:eastAsia="zh-CN"/>
        </w:rPr>
      </w:pPr>
      <w:r>
        <w:t xml:space="preserve">            Contains </w:t>
      </w:r>
      <w:r>
        <w:rPr>
          <w:lang w:eastAsia="zh-CN"/>
        </w:rPr>
        <w:t>n</w:t>
      </w:r>
      <w:r>
        <w:rPr>
          <w:lang w:eastAsia="zh-CN"/>
        </w:rPr>
        <w:t>otification correlation ID used to identify the subscription to which the</w:t>
      </w:r>
    </w:p>
    <w:p w14:paraId="2887789F" w14:textId="77777777" w:rsidR="007862A2" w:rsidRDefault="007862A2" w:rsidP="007862A2">
      <w:pPr>
        <w:pStyle w:val="PL"/>
        <w:rPr>
          <w:lang w:eastAsia="zh-CN"/>
        </w:rPr>
      </w:pPr>
      <w:r>
        <w:t xml:space="preserve">            </w:t>
      </w:r>
      <w:r>
        <w:rPr>
          <w:lang w:eastAsia="zh-CN"/>
        </w:rPr>
        <w:t>notification relates. It shall be set to the same value as the "</w:t>
      </w:r>
      <w:r>
        <w:rPr>
          <w:lang w:eastAsia="zh-CN"/>
        </w:rPr>
        <w:t>notifCorreId</w:t>
      </w:r>
      <w:r>
        <w:rPr>
          <w:lang w:eastAsia="zh-CN"/>
        </w:rPr>
        <w:t>" attribute</w:t>
      </w:r>
    </w:p>
    <w:p w14:paraId="702B32CB" w14:textId="77777777" w:rsidR="007862A2" w:rsidRDefault="007862A2" w:rsidP="007862A2">
      <w:pPr>
        <w:pStyle w:val="PL"/>
        <w:rPr>
          <w:lang w:val="en-US"/>
        </w:rPr>
      </w:pPr>
      <w:r>
        <w:t xml:space="preserve">            </w:t>
      </w:r>
      <w:r>
        <w:rPr>
          <w:lang w:eastAsia="zh-CN"/>
        </w:rPr>
        <w:t xml:space="preserve">of </w:t>
      </w:r>
      <w:r>
        <w:rPr>
          <w:rFonts w:eastAsia="等线"/>
        </w:rPr>
        <w:t>NwdafMLModelProvSubsc</w:t>
      </w:r>
      <w:r>
        <w:rPr>
          <w:lang w:eastAsia="zh-CN"/>
        </w:rPr>
        <w:t xml:space="preserve"> data type</w:t>
      </w:r>
      <w:r>
        <w:rPr>
          <w:lang w:val="en-US" w:eastAsia="zh-CN"/>
        </w:rPr>
        <w:t>.</w:t>
      </w:r>
    </w:p>
    <w:p w14:paraId="44487714" w14:textId="77777777" w:rsidR="007862A2" w:rsidRDefault="007862A2" w:rsidP="007862A2">
      <w:pPr>
        <w:pStyle w:val="PL"/>
      </w:pPr>
      <w:r>
        <w:t xml:space="preserve">        mlFile:</w:t>
      </w:r>
    </w:p>
    <w:p w14:paraId="2B0D124F" w14:textId="77777777" w:rsidR="007862A2" w:rsidRDefault="007862A2" w:rsidP="007862A2">
      <w:pPr>
        <w:pStyle w:val="PL"/>
      </w:pPr>
      <w:r>
        <w:t xml:space="preserve">          type: string</w:t>
      </w:r>
    </w:p>
    <w:p w14:paraId="2F842496" w14:textId="77777777" w:rsidR="007862A2" w:rsidRDefault="007862A2" w:rsidP="007862A2">
      <w:pPr>
        <w:pStyle w:val="PL"/>
      </w:pPr>
      <w:r>
        <w:t xml:space="preserve">          description: Contains the ML model file.</w:t>
      </w:r>
    </w:p>
    <w:p w14:paraId="7B7C57B2" w14:textId="77777777" w:rsidR="007862A2" w:rsidRDefault="007862A2" w:rsidP="007862A2">
      <w:pPr>
        <w:pStyle w:val="PL"/>
      </w:pPr>
      <w:r>
        <w:t xml:space="preserve">        mLFileAddr:</w:t>
      </w:r>
    </w:p>
    <w:p w14:paraId="6C3D3342" w14:textId="77777777" w:rsidR="007862A2" w:rsidRDefault="007862A2" w:rsidP="007862A2">
      <w:pPr>
        <w:pStyle w:val="PL"/>
      </w:pPr>
      <w:r>
        <w:t xml:space="preserve">          $ref: '#/components/schemas/MLModelAddr'</w:t>
      </w:r>
    </w:p>
    <w:p w14:paraId="02E464E4" w14:textId="77777777" w:rsidR="007862A2" w:rsidRDefault="007862A2" w:rsidP="007862A2">
      <w:pPr>
        <w:pStyle w:val="PL"/>
      </w:pPr>
      <w:r>
        <w:t xml:space="preserve">        mLModelAdrf:</w:t>
      </w:r>
    </w:p>
    <w:p w14:paraId="0EFF2053" w14:textId="77777777" w:rsidR="007862A2" w:rsidRDefault="007862A2" w:rsidP="007862A2">
      <w:pPr>
        <w:pStyle w:val="PL"/>
      </w:pPr>
      <w:r>
        <w:t xml:space="preserve">          $ref: '#/components/schemas/MLModelAdrf'</w:t>
      </w:r>
    </w:p>
    <w:p w14:paraId="6C87CB0C" w14:textId="77777777" w:rsidR="007862A2" w:rsidRDefault="007862A2" w:rsidP="007862A2">
      <w:pPr>
        <w:pStyle w:val="PL"/>
      </w:pPr>
      <w:r>
        <w:t xml:space="preserve">        </w:t>
      </w:r>
      <w:r>
        <w:rPr>
          <w:lang w:eastAsia="zh-CN"/>
        </w:rPr>
        <w:t>validityPeriod</w:t>
      </w:r>
      <w:r>
        <w:t>:</w:t>
      </w:r>
    </w:p>
    <w:p w14:paraId="3085735C" w14:textId="77777777" w:rsidR="007862A2" w:rsidRDefault="007862A2" w:rsidP="007862A2">
      <w:pPr>
        <w:pStyle w:val="PL"/>
      </w:pPr>
      <w:r>
        <w:t xml:space="preserve">          $ref: 'TS29122_CommonData.yaml#/components/schemas/TimeWindow'</w:t>
      </w:r>
    </w:p>
    <w:p w14:paraId="0AA76EC3" w14:textId="77777777" w:rsidR="007862A2" w:rsidRDefault="007862A2" w:rsidP="007862A2">
      <w:pPr>
        <w:pStyle w:val="PL"/>
      </w:pPr>
      <w:r>
        <w:t xml:space="preserve">        </w:t>
      </w:r>
      <w:r>
        <w:rPr>
          <w:lang w:eastAsia="zh-CN"/>
        </w:rPr>
        <w:t>spatialValidity</w:t>
      </w:r>
      <w:r>
        <w:t>:</w:t>
      </w:r>
    </w:p>
    <w:p w14:paraId="5450D640" w14:textId="77777777" w:rsidR="007862A2" w:rsidRDefault="007862A2" w:rsidP="007862A2">
      <w:pPr>
        <w:pStyle w:val="PL"/>
      </w:pPr>
      <w:r>
        <w:t xml:space="preserve">          $ref: 'TS29554_Npcf_BDTPolicyControl.yaml#/components/schemas/NetworkAreaInfo'</w:t>
      </w:r>
    </w:p>
    <w:p w14:paraId="3C3843EB" w14:textId="77777777" w:rsidR="007862A2" w:rsidRDefault="007862A2" w:rsidP="007862A2">
      <w:pPr>
        <w:pStyle w:val="PL"/>
      </w:pPr>
      <w:r>
        <w:t xml:space="preserve">        addModelInfo:</w:t>
      </w:r>
    </w:p>
    <w:p w14:paraId="55927313" w14:textId="77777777" w:rsidR="007862A2" w:rsidRDefault="007862A2" w:rsidP="007862A2">
      <w:pPr>
        <w:pStyle w:val="PL"/>
      </w:pPr>
      <w:r>
        <w:t xml:space="preserve">          type: array</w:t>
      </w:r>
    </w:p>
    <w:p w14:paraId="6E557E89" w14:textId="77777777" w:rsidR="007862A2" w:rsidRDefault="007862A2" w:rsidP="007862A2">
      <w:pPr>
        <w:pStyle w:val="PL"/>
      </w:pPr>
      <w:r>
        <w:t xml:space="preserve">          items:</w:t>
      </w:r>
    </w:p>
    <w:p w14:paraId="60E4376B" w14:textId="77777777" w:rsidR="007862A2" w:rsidRDefault="007862A2" w:rsidP="007862A2">
      <w:pPr>
        <w:pStyle w:val="PL"/>
      </w:pPr>
      <w:r>
        <w:t xml:space="preserve">            $ref: '#/components/schemas/AdditionalMLModelInformation'</w:t>
      </w:r>
    </w:p>
    <w:p w14:paraId="2E2EE235" w14:textId="77777777" w:rsidR="007862A2" w:rsidRDefault="007862A2" w:rsidP="007862A2">
      <w:pPr>
        <w:pStyle w:val="PL"/>
      </w:pPr>
      <w:r>
        <w:t xml:space="preserve">          minItems: 1</w:t>
      </w:r>
    </w:p>
    <w:p w14:paraId="57A8D907" w14:textId="77777777" w:rsidR="007862A2" w:rsidRDefault="007862A2" w:rsidP="007862A2">
      <w:pPr>
        <w:pStyle w:val="PL"/>
        <w:rPr>
          <w:lang w:eastAsia="zh-CN"/>
        </w:rPr>
      </w:pPr>
      <w:r>
        <w:t xml:space="preserve">          description: Contains </w:t>
      </w:r>
      <w:r>
        <w:rPr>
          <w:lang w:eastAsia="zh-CN"/>
        </w:rPr>
        <w:t>the additional ML Model Information besides the ML Model Address</w:t>
      </w:r>
    </w:p>
    <w:p w14:paraId="039AD037" w14:textId="77777777" w:rsidR="007862A2" w:rsidRDefault="007862A2" w:rsidP="007862A2">
      <w:pPr>
        <w:pStyle w:val="PL"/>
        <w:rPr>
          <w:rFonts w:cs="Courier New"/>
          <w:szCs w:val="16"/>
        </w:rPr>
      </w:pPr>
      <w:r>
        <w:rPr>
          <w:rFonts w:cs="Courier New"/>
          <w:szCs w:val="16"/>
        </w:rPr>
        <w:t xml:space="preserve">        modelUniqueId:</w:t>
      </w:r>
    </w:p>
    <w:p w14:paraId="65328C52" w14:textId="77777777" w:rsidR="007862A2" w:rsidRPr="005B3671" w:rsidRDefault="007862A2" w:rsidP="007862A2">
      <w:pPr>
        <w:pStyle w:val="PL"/>
        <w:rPr>
          <w:rFonts w:ascii="宋体" w:hAnsi="宋体"/>
          <w:lang w:val="en-US" w:eastAsia="zh-CN"/>
        </w:rPr>
      </w:pPr>
      <w:r>
        <w:rPr>
          <w:rFonts w:cs="Courier New"/>
          <w:szCs w:val="16"/>
        </w:rPr>
        <w:t xml:space="preserve">          $ref: 'TS29571_CommonData.yaml#/components/schemas/Uinteger'</w:t>
      </w:r>
    </w:p>
    <w:p w14:paraId="5F3E046C" w14:textId="77777777" w:rsidR="00956830" w:rsidRDefault="00956830" w:rsidP="00956830">
      <w:pPr>
        <w:pStyle w:val="PL"/>
      </w:pPr>
      <w:r>
        <w:t xml:space="preserve">        modelProviderId:</w:t>
      </w:r>
    </w:p>
    <w:p w14:paraId="693C8CE2" w14:textId="77777777" w:rsidR="00956830" w:rsidRDefault="00956830" w:rsidP="00956830">
      <w:pPr>
        <w:pStyle w:val="PL"/>
      </w:pPr>
      <w:r>
        <w:t xml:space="preserve">          $ref: 'TS29571_CommonData.yaml#/components/schemas/NfInstanceId</w:t>
      </w:r>
      <w:r>
        <w:rPr>
          <w:rFonts w:eastAsia="等线"/>
        </w:rPr>
        <w:t>'</w:t>
      </w:r>
    </w:p>
    <w:p w14:paraId="52F59849" w14:textId="77777777" w:rsidR="007862A2" w:rsidRDefault="007862A2" w:rsidP="007862A2">
      <w:pPr>
        <w:pStyle w:val="PL"/>
      </w:pPr>
      <w:r>
        <w:t xml:space="preserve">        </w:t>
      </w:r>
      <w:r>
        <w:rPr>
          <w:lang w:eastAsia="ja-JP"/>
        </w:rPr>
        <w:t>useCaseCxt</w:t>
      </w:r>
      <w:r>
        <w:t>:</w:t>
      </w:r>
    </w:p>
    <w:p w14:paraId="32E00EB9" w14:textId="77777777" w:rsidR="007862A2" w:rsidRDefault="007862A2" w:rsidP="007862A2">
      <w:pPr>
        <w:pStyle w:val="PL"/>
      </w:pPr>
      <w:r>
        <w:t xml:space="preserve">          type: string</w:t>
      </w:r>
    </w:p>
    <w:p w14:paraId="58A19FC1" w14:textId="77777777" w:rsidR="007862A2" w:rsidRDefault="007862A2" w:rsidP="007862A2">
      <w:pPr>
        <w:pStyle w:val="PL"/>
      </w:pPr>
      <w:r>
        <w:t xml:space="preserve">          description: &gt;</w:t>
      </w:r>
    </w:p>
    <w:p w14:paraId="4B7A9311" w14:textId="77777777" w:rsidR="007862A2" w:rsidRDefault="007862A2" w:rsidP="007862A2">
      <w:pPr>
        <w:pStyle w:val="PL"/>
      </w:pPr>
      <w:r>
        <w:t xml:space="preserve">            String identifying the context of use of ML model. The value and format of this</w:t>
      </w:r>
    </w:p>
    <w:p w14:paraId="3868D8DB" w14:textId="77777777" w:rsidR="007862A2" w:rsidRPr="005B3671" w:rsidRDefault="007862A2" w:rsidP="007862A2">
      <w:pPr>
        <w:pStyle w:val="PL"/>
        <w:rPr>
          <w:rFonts w:ascii="宋体" w:hAnsi="宋体"/>
          <w:lang w:val="en-US" w:eastAsia="zh-CN"/>
        </w:rPr>
      </w:pPr>
      <w:r>
        <w:t xml:space="preserve">            parameter are not standardized.</w:t>
      </w:r>
    </w:p>
    <w:p w14:paraId="29540FB1" w14:textId="77777777" w:rsidR="007862A2" w:rsidRPr="00003579" w:rsidRDefault="007862A2" w:rsidP="007862A2">
      <w:pPr>
        <w:pStyle w:val="PL"/>
      </w:pPr>
      <w:r w:rsidRPr="00003579">
        <w:t xml:space="preserve">        </w:t>
      </w:r>
      <w:r>
        <w:t>mLEventFilter</w:t>
      </w:r>
      <w:r w:rsidRPr="00003579">
        <w:t>:</w:t>
      </w:r>
    </w:p>
    <w:p w14:paraId="18EAD3BE" w14:textId="77777777" w:rsidR="007862A2" w:rsidRPr="00003579" w:rsidRDefault="007862A2" w:rsidP="007862A2">
      <w:pPr>
        <w:pStyle w:val="PL"/>
      </w:pPr>
      <w:r w:rsidRPr="00003579">
        <w:t xml:space="preserve">          $ref: 'TS29520_Nnwdaf_AnalyticsInfo.yaml#/components/schemas/EventFilter'</w:t>
      </w:r>
    </w:p>
    <w:p w14:paraId="03C9DCB8" w14:textId="77777777" w:rsidR="007862A2" w:rsidRPr="00003579" w:rsidRDefault="007862A2" w:rsidP="007862A2">
      <w:pPr>
        <w:pStyle w:val="PL"/>
      </w:pPr>
      <w:r w:rsidRPr="00003579">
        <w:t xml:space="preserve">        tgtUe:</w:t>
      </w:r>
    </w:p>
    <w:p w14:paraId="72253743" w14:textId="77777777" w:rsidR="007862A2" w:rsidRDefault="007862A2" w:rsidP="007862A2">
      <w:pPr>
        <w:pStyle w:val="PL"/>
      </w:pPr>
      <w:r w:rsidRPr="00003579">
        <w:t xml:space="preserve">          $ref: 'TS29520_Nnwdaf_EventsSubscription.yaml#/components/schemas/TargetUeInformation'</w:t>
      </w:r>
    </w:p>
    <w:p w14:paraId="18C5FCEE" w14:textId="77777777" w:rsidR="00BD381F" w:rsidRDefault="00BD381F" w:rsidP="00BD381F">
      <w:pPr>
        <w:pStyle w:val="PL"/>
        <w:rPr>
          <w:rFonts w:cs="Courier New"/>
          <w:szCs w:val="16"/>
        </w:rPr>
      </w:pPr>
      <w:r>
        <w:rPr>
          <w:rFonts w:cs="Courier New"/>
          <w:szCs w:val="16"/>
        </w:rPr>
        <w:t xml:space="preserve">        </w:t>
      </w:r>
      <w:r>
        <w:t>modelUpdateInd</w:t>
      </w:r>
      <w:r>
        <w:rPr>
          <w:rFonts w:cs="Courier New"/>
          <w:szCs w:val="16"/>
        </w:rPr>
        <w:t>:</w:t>
      </w:r>
    </w:p>
    <w:p w14:paraId="7E84E609" w14:textId="77777777" w:rsidR="00BD381F" w:rsidRDefault="00BD381F" w:rsidP="00BD381F">
      <w:pPr>
        <w:pStyle w:val="PL"/>
        <w:rPr>
          <w:rFonts w:cs="Courier New"/>
          <w:szCs w:val="16"/>
        </w:rPr>
      </w:pPr>
      <w:r>
        <w:rPr>
          <w:rFonts w:cs="Courier New"/>
          <w:szCs w:val="16"/>
        </w:rPr>
        <w:t xml:space="preserve">          type: boolean</w:t>
      </w:r>
    </w:p>
    <w:p w14:paraId="4B79F495" w14:textId="77777777" w:rsidR="00BD381F" w:rsidRDefault="00BD381F" w:rsidP="00BD381F">
      <w:pPr>
        <w:pStyle w:val="PL"/>
        <w:rPr>
          <w:rFonts w:cs="Courier New"/>
          <w:szCs w:val="16"/>
        </w:rPr>
      </w:pPr>
      <w:r>
        <w:rPr>
          <w:rFonts w:cs="Courier New"/>
          <w:szCs w:val="16"/>
        </w:rPr>
        <w:t xml:space="preserve">          description: &gt;</w:t>
      </w:r>
    </w:p>
    <w:p w14:paraId="20A8E826" w14:textId="77777777" w:rsidR="00BD381F" w:rsidRDefault="00BD381F" w:rsidP="00BD381F">
      <w:pPr>
        <w:pStyle w:val="PL"/>
        <w:rPr>
          <w:rFonts w:cs="Courier New"/>
          <w:szCs w:val="16"/>
        </w:rPr>
      </w:pPr>
      <w:r>
        <w:rPr>
          <w:rFonts w:cs="Courier New"/>
          <w:szCs w:val="16"/>
        </w:rPr>
        <w:t xml:space="preserve">            </w:t>
      </w:r>
      <w:r w:rsidRPr="008C44CC">
        <w:rPr>
          <w:rFonts w:cs="Courier New"/>
          <w:szCs w:val="16"/>
        </w:rPr>
        <w:t>Set to "true" to indicate that the ML model is updated. Set to "false" to indicate the</w:t>
      </w:r>
    </w:p>
    <w:p w14:paraId="0ADEC27D" w14:textId="77777777" w:rsidR="00BD381F" w:rsidRPr="0011692E" w:rsidRDefault="00BD381F" w:rsidP="00BD381F">
      <w:pPr>
        <w:pStyle w:val="PL"/>
        <w:rPr>
          <w:rFonts w:cs="Courier New"/>
          <w:szCs w:val="16"/>
        </w:rPr>
      </w:pPr>
      <w:r>
        <w:rPr>
          <w:rFonts w:cs="Courier New"/>
          <w:szCs w:val="16"/>
        </w:rPr>
        <w:t xml:space="preserve">           </w:t>
      </w:r>
      <w:r w:rsidRPr="008C44CC">
        <w:rPr>
          <w:rFonts w:cs="Courier New"/>
          <w:szCs w:val="16"/>
        </w:rPr>
        <w:t xml:space="preserve"> ML model is not updated. Default value is "false" if omitted.</w:t>
      </w:r>
    </w:p>
    <w:p w14:paraId="1ED7F03B" w14:textId="77777777" w:rsidR="007862A2" w:rsidRDefault="007862A2" w:rsidP="007862A2">
      <w:pPr>
        <w:pStyle w:val="PL"/>
      </w:pPr>
      <w:r>
        <w:t xml:space="preserve">      allOf:</w:t>
      </w:r>
    </w:p>
    <w:p w14:paraId="5D27D176" w14:textId="77777777" w:rsidR="007862A2" w:rsidRDefault="007862A2" w:rsidP="007862A2">
      <w:pPr>
        <w:pStyle w:val="PL"/>
      </w:pPr>
      <w:r>
        <w:t xml:space="preserve">        - required: [e</w:t>
      </w:r>
      <w:r>
        <w:rPr>
          <w:rFonts w:hint="eastAsia"/>
        </w:rPr>
        <w:t>vent</w:t>
      </w:r>
      <w:r>
        <w:t>]</w:t>
      </w:r>
    </w:p>
    <w:p w14:paraId="5B9B8763" w14:textId="77777777" w:rsidR="007862A2" w:rsidRDefault="007862A2" w:rsidP="007862A2">
      <w:pPr>
        <w:pStyle w:val="PL"/>
      </w:pPr>
      <w:r>
        <w:t xml:space="preserve">        - oneOf:</w:t>
      </w:r>
    </w:p>
    <w:p w14:paraId="78A5D3E7" w14:textId="77777777" w:rsidR="007862A2" w:rsidRDefault="007862A2" w:rsidP="007862A2">
      <w:pPr>
        <w:pStyle w:val="PL"/>
      </w:pPr>
      <w:r>
        <w:t xml:space="preserve">          - required: [mLFileAddr]</w:t>
      </w:r>
    </w:p>
    <w:p w14:paraId="0CBF3730" w14:textId="77777777" w:rsidR="007862A2" w:rsidRDefault="007862A2" w:rsidP="007862A2">
      <w:pPr>
        <w:pStyle w:val="PL"/>
      </w:pPr>
      <w:r>
        <w:t xml:space="preserve">          - required: [mLModelAdrf]</w:t>
      </w:r>
    </w:p>
    <w:p w14:paraId="1EB4E011" w14:textId="77777777" w:rsidR="007862A2" w:rsidRDefault="007862A2" w:rsidP="007862A2">
      <w:pPr>
        <w:pStyle w:val="PL"/>
      </w:pPr>
    </w:p>
    <w:p w14:paraId="1C04A56C" w14:textId="77777777" w:rsidR="007862A2" w:rsidRDefault="007862A2" w:rsidP="007862A2">
      <w:pPr>
        <w:pStyle w:val="PL"/>
        <w:rPr>
          <w:rFonts w:eastAsia="等线"/>
        </w:rPr>
      </w:pPr>
      <w:r>
        <w:t xml:space="preserve">    </w:t>
      </w:r>
      <w:r>
        <w:rPr>
          <w:lang w:eastAsia="zh-CN"/>
        </w:rPr>
        <w:t>FailureEventInfoForMLModel</w:t>
      </w:r>
      <w:r>
        <w:rPr>
          <w:rFonts w:eastAsia="等线"/>
        </w:rPr>
        <w:t>:</w:t>
      </w:r>
    </w:p>
    <w:p w14:paraId="794AF161" w14:textId="77777777" w:rsidR="007862A2" w:rsidRDefault="007862A2" w:rsidP="007862A2">
      <w:pPr>
        <w:pStyle w:val="PL"/>
      </w:pPr>
      <w:r>
        <w:t xml:space="preserve">      description: &gt;</w:t>
      </w:r>
    </w:p>
    <w:p w14:paraId="4B1B0B93" w14:textId="77777777" w:rsidR="007862A2" w:rsidRDefault="007862A2" w:rsidP="007862A2">
      <w:pPr>
        <w:pStyle w:val="PL"/>
      </w:pPr>
      <w:r>
        <w:t xml:space="preserve">        Represents the event(s) that the subscription is not successful including the failure</w:t>
      </w:r>
    </w:p>
    <w:p w14:paraId="6797F19F" w14:textId="77777777" w:rsidR="007862A2" w:rsidRDefault="007862A2" w:rsidP="007862A2">
      <w:pPr>
        <w:pStyle w:val="PL"/>
      </w:pPr>
      <w:r>
        <w:t xml:space="preserve">        reason(s).</w:t>
      </w:r>
    </w:p>
    <w:p w14:paraId="4B1D5E31" w14:textId="77777777" w:rsidR="007862A2" w:rsidRDefault="007862A2" w:rsidP="007862A2">
      <w:pPr>
        <w:pStyle w:val="PL"/>
      </w:pPr>
      <w:r>
        <w:t xml:space="preserve">      type: object</w:t>
      </w:r>
    </w:p>
    <w:p w14:paraId="40B35A30" w14:textId="77777777" w:rsidR="007862A2" w:rsidRDefault="007862A2" w:rsidP="007862A2">
      <w:pPr>
        <w:pStyle w:val="PL"/>
        <w:rPr>
          <w:rFonts w:eastAsia="等线"/>
        </w:rPr>
      </w:pPr>
      <w:r>
        <w:t xml:space="preserve">      properties:</w:t>
      </w:r>
    </w:p>
    <w:p w14:paraId="3B97BBDA" w14:textId="77777777" w:rsidR="007862A2" w:rsidRDefault="007862A2" w:rsidP="007862A2">
      <w:pPr>
        <w:pStyle w:val="PL"/>
      </w:pPr>
      <w:r>
        <w:t xml:space="preserve">        e</w:t>
      </w:r>
      <w:r>
        <w:rPr>
          <w:rFonts w:hint="eastAsia"/>
        </w:rPr>
        <w:t>vent</w:t>
      </w:r>
      <w:r>
        <w:t>:</w:t>
      </w:r>
    </w:p>
    <w:p w14:paraId="470E80EC" w14:textId="77777777" w:rsidR="007862A2" w:rsidRDefault="007862A2" w:rsidP="007862A2">
      <w:pPr>
        <w:pStyle w:val="PL"/>
      </w:pPr>
      <w:r>
        <w:t xml:space="preserve">          $ref: 'TS29520_Nnwdaf_EventsSubscription.yaml#/components/schemas/NwdafEvent'</w:t>
      </w:r>
    </w:p>
    <w:p w14:paraId="1274B8B3" w14:textId="77777777" w:rsidR="007862A2" w:rsidRDefault="007862A2" w:rsidP="007862A2">
      <w:pPr>
        <w:pStyle w:val="PL"/>
      </w:pPr>
      <w:r>
        <w:t xml:space="preserve">        </w:t>
      </w:r>
      <w:r>
        <w:rPr>
          <w:lang w:eastAsia="zh-CN"/>
        </w:rPr>
        <w:t>failureCode</w:t>
      </w:r>
      <w:r>
        <w:t>:</w:t>
      </w:r>
    </w:p>
    <w:p w14:paraId="22DE7223" w14:textId="77777777" w:rsidR="007862A2" w:rsidRDefault="007862A2" w:rsidP="007862A2">
      <w:pPr>
        <w:pStyle w:val="PL"/>
      </w:pPr>
      <w:r>
        <w:t xml:space="preserve">          $ref: '#/components/schemas/</w:t>
      </w:r>
      <w:r>
        <w:rPr>
          <w:lang w:eastAsia="zh-CN"/>
        </w:rPr>
        <w:t>FailureCode</w:t>
      </w:r>
      <w:r>
        <w:t>'</w:t>
      </w:r>
    </w:p>
    <w:p w14:paraId="4ACD6AA7" w14:textId="77777777" w:rsidR="007862A2" w:rsidRDefault="007862A2" w:rsidP="007862A2">
      <w:pPr>
        <w:pStyle w:val="PL"/>
      </w:pPr>
      <w:r>
        <w:t xml:space="preserve">      required:</w:t>
      </w:r>
    </w:p>
    <w:p w14:paraId="45815C83" w14:textId="77777777" w:rsidR="007862A2" w:rsidRDefault="007862A2" w:rsidP="007862A2">
      <w:pPr>
        <w:pStyle w:val="PL"/>
      </w:pPr>
      <w:r>
        <w:t xml:space="preserve">        - e</w:t>
      </w:r>
      <w:r>
        <w:rPr>
          <w:rFonts w:hint="eastAsia"/>
        </w:rPr>
        <w:t>vent</w:t>
      </w:r>
    </w:p>
    <w:p w14:paraId="0EC6F13F" w14:textId="77777777" w:rsidR="007862A2" w:rsidRDefault="007862A2" w:rsidP="007862A2">
      <w:pPr>
        <w:pStyle w:val="PL"/>
        <w:rPr>
          <w:rFonts w:eastAsia="等线"/>
        </w:rPr>
      </w:pPr>
      <w:r>
        <w:t xml:space="preserve">        - </w:t>
      </w:r>
      <w:r>
        <w:rPr>
          <w:lang w:eastAsia="zh-CN"/>
        </w:rPr>
        <w:t>failureCode</w:t>
      </w:r>
    </w:p>
    <w:p w14:paraId="0121C7B2" w14:textId="77777777" w:rsidR="007862A2" w:rsidRDefault="007862A2" w:rsidP="007862A2">
      <w:pPr>
        <w:pStyle w:val="PL"/>
      </w:pPr>
    </w:p>
    <w:p w14:paraId="07F6A7EC" w14:textId="77777777" w:rsidR="007862A2" w:rsidRDefault="007862A2" w:rsidP="007862A2">
      <w:pPr>
        <w:pStyle w:val="PL"/>
      </w:pPr>
      <w:r>
        <w:t xml:space="preserve">    MLModelAddr:</w:t>
      </w:r>
    </w:p>
    <w:p w14:paraId="1C94BB51" w14:textId="77777777" w:rsidR="007862A2" w:rsidRDefault="007862A2" w:rsidP="007862A2">
      <w:pPr>
        <w:pStyle w:val="PL"/>
      </w:pPr>
      <w:r>
        <w:lastRenderedPageBreak/>
        <w:t xml:space="preserve">      description: Addresses of ML model files.</w:t>
      </w:r>
    </w:p>
    <w:p w14:paraId="10E2C258" w14:textId="77777777" w:rsidR="007862A2" w:rsidRDefault="007862A2" w:rsidP="007862A2">
      <w:pPr>
        <w:pStyle w:val="PL"/>
      </w:pPr>
      <w:r>
        <w:t xml:space="preserve">      type: object</w:t>
      </w:r>
    </w:p>
    <w:p w14:paraId="664676BB" w14:textId="77777777" w:rsidR="007862A2" w:rsidRDefault="007862A2" w:rsidP="007862A2">
      <w:pPr>
        <w:pStyle w:val="PL"/>
      </w:pPr>
      <w:r>
        <w:t xml:space="preserve">      properties:</w:t>
      </w:r>
    </w:p>
    <w:p w14:paraId="3845D470" w14:textId="77777777" w:rsidR="007862A2" w:rsidRDefault="007862A2" w:rsidP="007862A2">
      <w:pPr>
        <w:pStyle w:val="PL"/>
      </w:pPr>
      <w:r>
        <w:t xml:space="preserve">        mLModelUrl:</w:t>
      </w:r>
    </w:p>
    <w:p w14:paraId="69F3AF71" w14:textId="77777777" w:rsidR="007862A2" w:rsidRDefault="007862A2" w:rsidP="007862A2">
      <w:pPr>
        <w:pStyle w:val="PL"/>
      </w:pPr>
      <w:r>
        <w:t xml:space="preserve">          $ref: 'TS29571_CommonData.yaml#/components/schemas/Uri'</w:t>
      </w:r>
    </w:p>
    <w:p w14:paraId="449E6B53" w14:textId="77777777" w:rsidR="007862A2" w:rsidRDefault="007862A2" w:rsidP="007862A2">
      <w:pPr>
        <w:pStyle w:val="PL"/>
      </w:pPr>
      <w:r>
        <w:t xml:space="preserve">        mlFileFqdn:</w:t>
      </w:r>
    </w:p>
    <w:p w14:paraId="0C8830DD" w14:textId="77777777" w:rsidR="007862A2" w:rsidRDefault="007862A2" w:rsidP="007862A2">
      <w:pPr>
        <w:pStyle w:val="PL"/>
      </w:pPr>
      <w:r>
        <w:t xml:space="preserve">          type: string</w:t>
      </w:r>
    </w:p>
    <w:p w14:paraId="5FC73C5D" w14:textId="77777777" w:rsidR="007862A2" w:rsidRDefault="007862A2" w:rsidP="007862A2">
      <w:pPr>
        <w:pStyle w:val="PL"/>
      </w:pPr>
      <w:r>
        <w:t xml:space="preserve">          description: The FQDN of the ML Model file.</w:t>
      </w:r>
    </w:p>
    <w:p w14:paraId="7963B0D2" w14:textId="77777777" w:rsidR="007862A2" w:rsidRDefault="007862A2" w:rsidP="007862A2">
      <w:pPr>
        <w:pStyle w:val="PL"/>
      </w:pPr>
      <w:r>
        <w:t xml:space="preserve">      oneOf:</w:t>
      </w:r>
    </w:p>
    <w:p w14:paraId="00835DDB" w14:textId="77777777" w:rsidR="007862A2" w:rsidRDefault="007862A2" w:rsidP="007862A2">
      <w:pPr>
        <w:pStyle w:val="PL"/>
      </w:pPr>
      <w:r>
        <w:t xml:space="preserve">        - required: [mLModelUrl]</w:t>
      </w:r>
    </w:p>
    <w:p w14:paraId="4AB44DE2" w14:textId="77777777" w:rsidR="007862A2" w:rsidRDefault="007862A2" w:rsidP="007862A2">
      <w:pPr>
        <w:pStyle w:val="PL"/>
      </w:pPr>
      <w:r>
        <w:t xml:space="preserve">        - required: [mlFileFqdn]</w:t>
      </w:r>
    </w:p>
    <w:p w14:paraId="021CC135" w14:textId="77777777" w:rsidR="007862A2" w:rsidRDefault="007862A2" w:rsidP="007862A2">
      <w:pPr>
        <w:pStyle w:val="PL"/>
        <w:rPr>
          <w:rFonts w:cs="Courier New"/>
          <w:szCs w:val="16"/>
        </w:rPr>
      </w:pPr>
    </w:p>
    <w:p w14:paraId="242CAEA0" w14:textId="77777777" w:rsidR="007862A2" w:rsidRDefault="007862A2" w:rsidP="007862A2">
      <w:pPr>
        <w:pStyle w:val="PL"/>
      </w:pPr>
    </w:p>
    <w:p w14:paraId="6133F596" w14:textId="77777777" w:rsidR="007862A2" w:rsidRDefault="007862A2" w:rsidP="007862A2">
      <w:pPr>
        <w:pStyle w:val="PL"/>
      </w:pPr>
      <w:r>
        <w:t xml:space="preserve">    MLRepEventCondition:</w:t>
      </w:r>
    </w:p>
    <w:p w14:paraId="21615496" w14:textId="77777777" w:rsidR="007862A2" w:rsidRDefault="007862A2" w:rsidP="007862A2">
      <w:pPr>
        <w:pStyle w:val="PL"/>
      </w:pPr>
      <w:r>
        <w:t xml:space="preserve">      description: Indicates the </w:t>
      </w:r>
      <w:r>
        <w:rPr>
          <w:lang w:eastAsia="ko-KR"/>
        </w:rPr>
        <w:t>ML event reporting condition</w:t>
      </w:r>
      <w:r>
        <w:t>.</w:t>
      </w:r>
    </w:p>
    <w:p w14:paraId="2DF6B0D8" w14:textId="77777777" w:rsidR="007862A2" w:rsidRDefault="007862A2" w:rsidP="007862A2">
      <w:pPr>
        <w:pStyle w:val="PL"/>
      </w:pPr>
      <w:r>
        <w:t xml:space="preserve">      type: object</w:t>
      </w:r>
    </w:p>
    <w:p w14:paraId="6BEB2AB4" w14:textId="77777777" w:rsidR="007862A2" w:rsidRDefault="007862A2" w:rsidP="007862A2">
      <w:pPr>
        <w:pStyle w:val="PL"/>
      </w:pPr>
      <w:r>
        <w:t xml:space="preserve">      properties:</w:t>
      </w:r>
    </w:p>
    <w:p w14:paraId="37D22C3C" w14:textId="77777777" w:rsidR="007862A2" w:rsidRDefault="007862A2" w:rsidP="007862A2">
      <w:pPr>
        <w:pStyle w:val="PL"/>
      </w:pPr>
      <w:r>
        <w:t xml:space="preserve">        mlTrainRound:</w:t>
      </w:r>
    </w:p>
    <w:p w14:paraId="14F7C28E" w14:textId="77777777" w:rsidR="007862A2" w:rsidRDefault="007862A2" w:rsidP="007862A2">
      <w:pPr>
        <w:pStyle w:val="PL"/>
      </w:pPr>
      <w:r>
        <w:t xml:space="preserve">          $ref: 'TS29571_CommonData.yaml#/components/schemas/Uinteger'</w:t>
      </w:r>
    </w:p>
    <w:p w14:paraId="7FEF835F" w14:textId="77777777" w:rsidR="007862A2" w:rsidRDefault="007862A2" w:rsidP="007862A2">
      <w:pPr>
        <w:pStyle w:val="PL"/>
      </w:pPr>
      <w:r>
        <w:t xml:space="preserve">        </w:t>
      </w:r>
      <w:r>
        <w:rPr>
          <w:lang w:eastAsia="zh-CN"/>
        </w:rPr>
        <w:t>mlTrainRepTime</w:t>
      </w:r>
      <w:r>
        <w:t>:</w:t>
      </w:r>
    </w:p>
    <w:p w14:paraId="228FBFC9" w14:textId="77777777" w:rsidR="007862A2" w:rsidRDefault="007862A2" w:rsidP="007862A2">
      <w:pPr>
        <w:pStyle w:val="PL"/>
      </w:pPr>
      <w:r>
        <w:t xml:space="preserve">          $ref: 'TS29122_CommonData.yaml#/components/schemas/TimeWindow'</w:t>
      </w:r>
    </w:p>
    <w:p w14:paraId="7FBD47A0" w14:textId="77777777" w:rsidR="007862A2" w:rsidRDefault="007862A2" w:rsidP="007862A2">
      <w:pPr>
        <w:pStyle w:val="PL"/>
      </w:pPr>
      <w:r>
        <w:t xml:space="preserve">        mlAccuracyThreshold:</w:t>
      </w:r>
    </w:p>
    <w:p w14:paraId="1B71BB84" w14:textId="77777777" w:rsidR="007862A2" w:rsidRDefault="007862A2" w:rsidP="007862A2">
      <w:pPr>
        <w:pStyle w:val="PL"/>
      </w:pPr>
      <w:r>
        <w:t xml:space="preserve">          $ref: 'TS29571_CommonData.yaml#/components/schemas/Uinteger'</w:t>
      </w:r>
    </w:p>
    <w:p w14:paraId="75336A20" w14:textId="77777777" w:rsidR="007862A2" w:rsidRDefault="007862A2" w:rsidP="007862A2">
      <w:pPr>
        <w:pStyle w:val="PL"/>
      </w:pPr>
      <w:r>
        <w:t xml:space="preserve">        modelMetric:</w:t>
      </w:r>
    </w:p>
    <w:p w14:paraId="507B5026" w14:textId="77777777" w:rsidR="007862A2" w:rsidRDefault="007862A2" w:rsidP="007862A2">
      <w:pPr>
        <w:pStyle w:val="PL"/>
      </w:pPr>
      <w:r>
        <w:t xml:space="preserve">          $ref: '#/components/schemas/MLModelMetric'</w:t>
      </w:r>
    </w:p>
    <w:p w14:paraId="25BEABD5" w14:textId="77777777" w:rsidR="007862A2" w:rsidRDefault="007862A2" w:rsidP="007862A2">
      <w:pPr>
        <w:pStyle w:val="PL"/>
        <w:rPr>
          <w:rFonts w:cs="Courier New"/>
          <w:szCs w:val="16"/>
        </w:rPr>
      </w:pPr>
    </w:p>
    <w:p w14:paraId="1ED2BEAE" w14:textId="77777777" w:rsidR="007862A2" w:rsidRDefault="007862A2" w:rsidP="007862A2">
      <w:pPr>
        <w:pStyle w:val="PL"/>
        <w:rPr>
          <w:rFonts w:cs="Courier New"/>
          <w:szCs w:val="16"/>
        </w:rPr>
      </w:pPr>
      <w:r>
        <w:rPr>
          <w:rFonts w:cs="Courier New"/>
          <w:szCs w:val="16"/>
        </w:rPr>
        <w:t xml:space="preserve">    AdditionalMLModelInformation:</w:t>
      </w:r>
    </w:p>
    <w:p w14:paraId="15E9EAD0" w14:textId="77777777" w:rsidR="007862A2" w:rsidRDefault="007862A2" w:rsidP="007862A2">
      <w:pPr>
        <w:pStyle w:val="PL"/>
        <w:rPr>
          <w:rFonts w:cs="Courier New"/>
          <w:szCs w:val="16"/>
        </w:rPr>
      </w:pPr>
      <w:r>
        <w:rPr>
          <w:rFonts w:cs="Courier New"/>
          <w:szCs w:val="16"/>
        </w:rPr>
        <w:t xml:space="preserve">      description: Represents the additional ML Model Information.</w:t>
      </w:r>
    </w:p>
    <w:p w14:paraId="49E1D99F" w14:textId="77777777" w:rsidR="007862A2" w:rsidRDefault="007862A2" w:rsidP="007862A2">
      <w:pPr>
        <w:pStyle w:val="PL"/>
        <w:rPr>
          <w:rFonts w:cs="Courier New"/>
          <w:szCs w:val="16"/>
        </w:rPr>
      </w:pPr>
      <w:r>
        <w:rPr>
          <w:rFonts w:cs="Courier New"/>
          <w:szCs w:val="16"/>
        </w:rPr>
        <w:t xml:space="preserve">      type: object</w:t>
      </w:r>
    </w:p>
    <w:p w14:paraId="78667B1B" w14:textId="77777777" w:rsidR="007862A2" w:rsidRDefault="007862A2" w:rsidP="007862A2">
      <w:pPr>
        <w:pStyle w:val="PL"/>
        <w:rPr>
          <w:rFonts w:cs="Courier New"/>
          <w:szCs w:val="16"/>
        </w:rPr>
      </w:pPr>
      <w:r>
        <w:rPr>
          <w:rFonts w:cs="Courier New"/>
          <w:szCs w:val="16"/>
        </w:rPr>
        <w:t xml:space="preserve">      properties:</w:t>
      </w:r>
    </w:p>
    <w:p w14:paraId="0E8DAC8E" w14:textId="77777777" w:rsidR="007862A2" w:rsidRDefault="007862A2" w:rsidP="007862A2">
      <w:pPr>
        <w:pStyle w:val="PL"/>
        <w:rPr>
          <w:rFonts w:cs="Courier New"/>
          <w:szCs w:val="16"/>
        </w:rPr>
      </w:pPr>
      <w:r>
        <w:rPr>
          <w:rFonts w:cs="Courier New"/>
          <w:szCs w:val="16"/>
        </w:rPr>
        <w:t xml:space="preserve">        mLFileAddr:</w:t>
      </w:r>
    </w:p>
    <w:p w14:paraId="6C216CDE" w14:textId="77777777" w:rsidR="007862A2" w:rsidRDefault="007862A2" w:rsidP="007862A2">
      <w:pPr>
        <w:pStyle w:val="PL"/>
        <w:rPr>
          <w:rFonts w:cs="Courier New"/>
          <w:szCs w:val="16"/>
        </w:rPr>
      </w:pPr>
      <w:r>
        <w:rPr>
          <w:rFonts w:cs="Courier New"/>
          <w:szCs w:val="16"/>
        </w:rPr>
        <w:t xml:space="preserve">          $ref: '#/components/schemas/MLModelAddr'</w:t>
      </w:r>
    </w:p>
    <w:p w14:paraId="595A8412" w14:textId="77777777" w:rsidR="007862A2" w:rsidRDefault="007862A2" w:rsidP="007862A2">
      <w:pPr>
        <w:pStyle w:val="PL"/>
      </w:pPr>
      <w:r>
        <w:t xml:space="preserve">        mLModelAdrf:</w:t>
      </w:r>
    </w:p>
    <w:p w14:paraId="00899776" w14:textId="77777777" w:rsidR="007862A2" w:rsidRDefault="007862A2" w:rsidP="007862A2">
      <w:pPr>
        <w:pStyle w:val="PL"/>
      </w:pPr>
      <w:r>
        <w:t xml:space="preserve">          $ref: '#/components/schemas/MLModelAdrf'</w:t>
      </w:r>
    </w:p>
    <w:p w14:paraId="39843314" w14:textId="77777777" w:rsidR="007862A2" w:rsidRDefault="007862A2" w:rsidP="007862A2">
      <w:pPr>
        <w:pStyle w:val="PL"/>
        <w:rPr>
          <w:rFonts w:cs="Courier New"/>
          <w:szCs w:val="16"/>
        </w:rPr>
      </w:pPr>
      <w:r>
        <w:rPr>
          <w:rFonts w:cs="Courier New"/>
          <w:szCs w:val="16"/>
        </w:rPr>
        <w:t xml:space="preserve">        validityPeriod:</w:t>
      </w:r>
    </w:p>
    <w:p w14:paraId="1FA85C5D" w14:textId="77777777" w:rsidR="007862A2" w:rsidRDefault="007862A2" w:rsidP="007862A2">
      <w:pPr>
        <w:pStyle w:val="PL"/>
        <w:rPr>
          <w:rFonts w:cs="Courier New"/>
          <w:szCs w:val="16"/>
        </w:rPr>
      </w:pPr>
      <w:r>
        <w:rPr>
          <w:rFonts w:cs="Courier New"/>
          <w:szCs w:val="16"/>
        </w:rPr>
        <w:t xml:space="preserve">          $ref: 'TS29122_CommonData.yaml#/components/schemas/TimeWindow'</w:t>
      </w:r>
    </w:p>
    <w:p w14:paraId="18EC0F6A" w14:textId="77777777" w:rsidR="007862A2" w:rsidRDefault="007862A2" w:rsidP="007862A2">
      <w:pPr>
        <w:pStyle w:val="PL"/>
        <w:rPr>
          <w:rFonts w:cs="Courier New"/>
          <w:szCs w:val="16"/>
        </w:rPr>
      </w:pPr>
      <w:r>
        <w:rPr>
          <w:rFonts w:cs="Courier New"/>
          <w:szCs w:val="16"/>
        </w:rPr>
        <w:t xml:space="preserve">        spatialValidity:</w:t>
      </w:r>
    </w:p>
    <w:p w14:paraId="33180EC1" w14:textId="77777777" w:rsidR="007862A2" w:rsidRDefault="007862A2" w:rsidP="007862A2">
      <w:pPr>
        <w:pStyle w:val="PL"/>
        <w:rPr>
          <w:rFonts w:cs="Courier New"/>
          <w:szCs w:val="16"/>
        </w:rPr>
      </w:pPr>
      <w:r>
        <w:rPr>
          <w:rFonts w:cs="Courier New"/>
          <w:szCs w:val="16"/>
        </w:rPr>
        <w:t xml:space="preserve">          $ref: 'TS29554_Npcf_BDTPolicyControl.yaml#/components/schemas/NetworkAreaInfo'</w:t>
      </w:r>
    </w:p>
    <w:p w14:paraId="3CFAD343" w14:textId="77777777" w:rsidR="007862A2" w:rsidRDefault="007862A2" w:rsidP="007862A2">
      <w:pPr>
        <w:pStyle w:val="PL"/>
        <w:rPr>
          <w:rFonts w:cs="Courier New"/>
          <w:szCs w:val="16"/>
        </w:rPr>
      </w:pPr>
      <w:r>
        <w:rPr>
          <w:rFonts w:cs="Courier New"/>
          <w:szCs w:val="16"/>
        </w:rPr>
        <w:t xml:space="preserve">        modelUniqueId:</w:t>
      </w:r>
    </w:p>
    <w:p w14:paraId="7D878050" w14:textId="77777777" w:rsidR="007862A2" w:rsidRDefault="007862A2" w:rsidP="007862A2">
      <w:pPr>
        <w:pStyle w:val="PL"/>
        <w:rPr>
          <w:rFonts w:cs="Courier New"/>
          <w:szCs w:val="16"/>
        </w:rPr>
      </w:pPr>
      <w:r>
        <w:rPr>
          <w:rFonts w:cs="Courier New"/>
          <w:szCs w:val="16"/>
        </w:rPr>
        <w:t xml:space="preserve">          $ref: 'TS29571_CommonData.yaml#/components/schemas/Uinteger'</w:t>
      </w:r>
    </w:p>
    <w:p w14:paraId="52526822" w14:textId="77777777" w:rsidR="007862A2" w:rsidRDefault="007862A2" w:rsidP="007862A2">
      <w:pPr>
        <w:pStyle w:val="PL"/>
        <w:rPr>
          <w:rFonts w:cs="Courier New"/>
          <w:szCs w:val="16"/>
        </w:rPr>
      </w:pPr>
      <w:r>
        <w:rPr>
          <w:rFonts w:cs="Courier New"/>
          <w:szCs w:val="16"/>
        </w:rPr>
        <w:t xml:space="preserve">        modelRepRatio:</w:t>
      </w:r>
    </w:p>
    <w:p w14:paraId="3E71CFEC" w14:textId="77777777" w:rsidR="007862A2" w:rsidRDefault="007862A2" w:rsidP="007862A2">
      <w:pPr>
        <w:pStyle w:val="PL"/>
        <w:rPr>
          <w:rFonts w:cs="Courier New"/>
          <w:szCs w:val="16"/>
        </w:rPr>
      </w:pPr>
      <w:r>
        <w:rPr>
          <w:rFonts w:cs="Courier New"/>
          <w:szCs w:val="16"/>
        </w:rPr>
        <w:t xml:space="preserve">          $ref: 'TS29571_CommonData.yaml#/components/schemas/Uinteger'</w:t>
      </w:r>
    </w:p>
    <w:p w14:paraId="2F4255F8" w14:textId="77777777" w:rsidR="007862A2" w:rsidRDefault="007862A2" w:rsidP="007862A2">
      <w:pPr>
        <w:pStyle w:val="PL"/>
        <w:rPr>
          <w:rFonts w:cs="Courier New"/>
          <w:szCs w:val="16"/>
        </w:rPr>
      </w:pPr>
      <w:r>
        <w:rPr>
          <w:rFonts w:cs="Courier New"/>
          <w:szCs w:val="16"/>
        </w:rPr>
        <w:t xml:space="preserve">        mlDegradInd:</w:t>
      </w:r>
    </w:p>
    <w:p w14:paraId="1EE8DEA4" w14:textId="77777777" w:rsidR="007862A2" w:rsidRDefault="007862A2" w:rsidP="007862A2">
      <w:pPr>
        <w:pStyle w:val="PL"/>
        <w:rPr>
          <w:rFonts w:cs="Courier New"/>
          <w:szCs w:val="16"/>
        </w:rPr>
      </w:pPr>
      <w:r>
        <w:rPr>
          <w:rFonts w:cs="Courier New"/>
          <w:szCs w:val="16"/>
        </w:rPr>
        <w:t xml:space="preserve">          type: boolean</w:t>
      </w:r>
    </w:p>
    <w:p w14:paraId="66B2015B" w14:textId="77777777" w:rsidR="007862A2" w:rsidRDefault="007862A2" w:rsidP="007862A2">
      <w:pPr>
        <w:pStyle w:val="PL"/>
        <w:rPr>
          <w:rFonts w:cs="Courier New"/>
          <w:szCs w:val="16"/>
        </w:rPr>
      </w:pPr>
      <w:r>
        <w:rPr>
          <w:rFonts w:cs="Courier New"/>
          <w:szCs w:val="16"/>
        </w:rPr>
        <w:t xml:space="preserve">          description: &gt;</w:t>
      </w:r>
    </w:p>
    <w:p w14:paraId="55EB00B6" w14:textId="77777777" w:rsidR="007862A2" w:rsidRDefault="007862A2" w:rsidP="007862A2">
      <w:pPr>
        <w:pStyle w:val="PL"/>
        <w:rPr>
          <w:rFonts w:cs="Courier New"/>
          <w:szCs w:val="16"/>
        </w:rPr>
      </w:pPr>
      <w:r>
        <w:rPr>
          <w:rFonts w:cs="Courier New"/>
          <w:szCs w:val="16"/>
        </w:rPr>
        <w:t xml:space="preserve">            Set to "true" to indicate support degration of an ML model. Set to "false" to indicate</w:t>
      </w:r>
    </w:p>
    <w:p w14:paraId="33871B3D" w14:textId="77777777" w:rsidR="007862A2" w:rsidRDefault="007862A2" w:rsidP="007862A2">
      <w:pPr>
        <w:pStyle w:val="PL"/>
        <w:rPr>
          <w:rFonts w:cs="Courier New"/>
          <w:szCs w:val="16"/>
        </w:rPr>
      </w:pPr>
      <w:r>
        <w:rPr>
          <w:rFonts w:cs="Courier New"/>
          <w:szCs w:val="16"/>
        </w:rPr>
        <w:t xml:space="preserve">            not support degration of an ML model. Default value is "false" if omitted.</w:t>
      </w:r>
    </w:p>
    <w:p w14:paraId="612CB3D2" w14:textId="77777777" w:rsidR="007862A2" w:rsidRDefault="007862A2" w:rsidP="007862A2">
      <w:pPr>
        <w:pStyle w:val="PL"/>
        <w:rPr>
          <w:rFonts w:cs="Courier New"/>
          <w:szCs w:val="16"/>
        </w:rPr>
      </w:pPr>
      <w:r>
        <w:rPr>
          <w:rFonts w:cs="Courier New"/>
          <w:szCs w:val="16"/>
        </w:rPr>
        <w:t xml:space="preserve">        trainInpInfos:</w:t>
      </w:r>
    </w:p>
    <w:p w14:paraId="0AFB7621" w14:textId="77777777" w:rsidR="007862A2" w:rsidRDefault="007862A2" w:rsidP="007862A2">
      <w:pPr>
        <w:pStyle w:val="PL"/>
        <w:rPr>
          <w:rFonts w:cs="Courier New"/>
          <w:szCs w:val="16"/>
        </w:rPr>
      </w:pPr>
      <w:r>
        <w:rPr>
          <w:rFonts w:cs="Courier New"/>
          <w:szCs w:val="16"/>
        </w:rPr>
        <w:t xml:space="preserve">          type: array</w:t>
      </w:r>
    </w:p>
    <w:p w14:paraId="6BEF869C" w14:textId="77777777" w:rsidR="007862A2" w:rsidRDefault="007862A2" w:rsidP="007862A2">
      <w:pPr>
        <w:pStyle w:val="PL"/>
        <w:rPr>
          <w:rFonts w:cs="Courier New"/>
          <w:szCs w:val="16"/>
        </w:rPr>
      </w:pPr>
      <w:r>
        <w:rPr>
          <w:rFonts w:cs="Courier New"/>
          <w:szCs w:val="16"/>
        </w:rPr>
        <w:t xml:space="preserve">          items:</w:t>
      </w:r>
    </w:p>
    <w:p w14:paraId="5F0BF878" w14:textId="77777777" w:rsidR="007862A2" w:rsidRDefault="007862A2" w:rsidP="007862A2">
      <w:pPr>
        <w:pStyle w:val="PL"/>
        <w:rPr>
          <w:rFonts w:cs="Courier New"/>
          <w:szCs w:val="16"/>
        </w:rPr>
      </w:pPr>
      <w:r>
        <w:rPr>
          <w:rFonts w:cs="Courier New"/>
          <w:szCs w:val="16"/>
        </w:rPr>
        <w:t xml:space="preserve">            $ref: '#/components/schemas/TrainInput</w:t>
      </w:r>
      <w:r>
        <w:t>Data</w:t>
      </w:r>
      <w:r>
        <w:rPr>
          <w:rFonts w:cs="Courier New"/>
          <w:szCs w:val="16"/>
        </w:rPr>
        <w:t>Info'</w:t>
      </w:r>
    </w:p>
    <w:p w14:paraId="6947FFB7" w14:textId="77777777" w:rsidR="007862A2" w:rsidRDefault="007862A2" w:rsidP="007862A2">
      <w:pPr>
        <w:pStyle w:val="PL"/>
        <w:rPr>
          <w:rFonts w:cs="Courier New"/>
          <w:szCs w:val="16"/>
        </w:rPr>
      </w:pPr>
      <w:r>
        <w:rPr>
          <w:rFonts w:cs="Courier New"/>
          <w:szCs w:val="16"/>
        </w:rPr>
        <w:t xml:space="preserve">          minItems: 1</w:t>
      </w:r>
    </w:p>
    <w:p w14:paraId="0A29ED72" w14:textId="77777777" w:rsidR="007862A2" w:rsidRDefault="007862A2" w:rsidP="007862A2">
      <w:pPr>
        <w:pStyle w:val="PL"/>
        <w:rPr>
          <w:rFonts w:cs="Courier New"/>
          <w:szCs w:val="16"/>
        </w:rPr>
      </w:pPr>
      <w:r>
        <w:rPr>
          <w:rFonts w:cs="Courier New"/>
          <w:szCs w:val="16"/>
        </w:rPr>
        <w:t xml:space="preserve">          description: &gt;</w:t>
      </w:r>
    </w:p>
    <w:p w14:paraId="0586D95A" w14:textId="77777777" w:rsidR="007862A2" w:rsidRDefault="007862A2" w:rsidP="007862A2">
      <w:pPr>
        <w:pStyle w:val="PL"/>
        <w:rPr>
          <w:rFonts w:cs="Courier New"/>
          <w:szCs w:val="16"/>
        </w:rPr>
      </w:pPr>
      <w:r>
        <w:rPr>
          <w:rFonts w:cs="Courier New"/>
          <w:szCs w:val="16"/>
        </w:rPr>
        <w:t xml:space="preserve">            Training information that is used by NWDAF containing MTLF during training.</w:t>
      </w:r>
    </w:p>
    <w:p w14:paraId="214D083F" w14:textId="77777777" w:rsidR="007862A2" w:rsidRDefault="007862A2" w:rsidP="007862A2">
      <w:pPr>
        <w:pStyle w:val="PL"/>
      </w:pPr>
      <w:r>
        <w:t xml:space="preserve">        modelMetric:</w:t>
      </w:r>
    </w:p>
    <w:p w14:paraId="2342155B" w14:textId="77777777" w:rsidR="007862A2" w:rsidRDefault="007862A2" w:rsidP="007862A2">
      <w:pPr>
        <w:pStyle w:val="PL"/>
      </w:pPr>
      <w:r>
        <w:t xml:space="preserve">          $ref: '#/components/schemas/MLModelMetric'</w:t>
      </w:r>
    </w:p>
    <w:p w14:paraId="393A0DF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accMLModel:</w:t>
      </w:r>
    </w:p>
    <w:p w14:paraId="03358DC7" w14:textId="77777777" w:rsidR="007862A2" w:rsidRDefault="007862A2" w:rsidP="007862A2">
      <w:pPr>
        <w:pStyle w:val="PL"/>
        <w:rPr>
          <w:rFonts w:cs="Courier New"/>
          <w:szCs w:val="16"/>
        </w:rPr>
      </w:pPr>
      <w:r>
        <w:rPr>
          <w:rFonts w:cs="Courier New"/>
          <w:szCs w:val="16"/>
        </w:rPr>
        <w:t xml:space="preserve">          $ref: 'TS29571_CommonData.yaml#/components/schemas/Uinteger'</w:t>
      </w:r>
    </w:p>
    <w:p w14:paraId="388CB9C0" w14:textId="77777777" w:rsidR="00A42460" w:rsidRDefault="00A42460" w:rsidP="00A42460">
      <w:pPr>
        <w:pStyle w:val="PL"/>
        <w:rPr>
          <w:rFonts w:cs="Courier New"/>
          <w:szCs w:val="16"/>
        </w:rPr>
      </w:pPr>
      <w:r>
        <w:rPr>
          <w:rFonts w:cs="Courier New"/>
          <w:szCs w:val="16"/>
        </w:rPr>
        <w:t xml:space="preserve">        </w:t>
      </w:r>
      <w:r>
        <w:t>modelUpdateInd</w:t>
      </w:r>
      <w:r>
        <w:rPr>
          <w:rFonts w:cs="Courier New"/>
          <w:szCs w:val="16"/>
        </w:rPr>
        <w:t>:</w:t>
      </w:r>
    </w:p>
    <w:p w14:paraId="09BEC5E9" w14:textId="77777777" w:rsidR="00A42460" w:rsidRDefault="00A42460" w:rsidP="00A42460">
      <w:pPr>
        <w:pStyle w:val="PL"/>
        <w:rPr>
          <w:rFonts w:cs="Courier New"/>
          <w:szCs w:val="16"/>
        </w:rPr>
      </w:pPr>
      <w:r>
        <w:rPr>
          <w:rFonts w:cs="Courier New"/>
          <w:szCs w:val="16"/>
        </w:rPr>
        <w:t xml:space="preserve">          type: boolean</w:t>
      </w:r>
    </w:p>
    <w:p w14:paraId="76BB26E0" w14:textId="77777777" w:rsidR="00A42460" w:rsidRDefault="00A42460" w:rsidP="00A42460">
      <w:pPr>
        <w:pStyle w:val="PL"/>
        <w:rPr>
          <w:rFonts w:cs="Courier New"/>
          <w:szCs w:val="16"/>
        </w:rPr>
      </w:pPr>
      <w:r>
        <w:rPr>
          <w:rFonts w:cs="Courier New"/>
          <w:szCs w:val="16"/>
        </w:rPr>
        <w:t xml:space="preserve">          description: &gt;</w:t>
      </w:r>
    </w:p>
    <w:p w14:paraId="04CF582A" w14:textId="77777777" w:rsidR="00A42460" w:rsidRDefault="00A42460" w:rsidP="00A42460">
      <w:pPr>
        <w:pStyle w:val="PL"/>
        <w:rPr>
          <w:rFonts w:cs="Courier New"/>
          <w:szCs w:val="16"/>
        </w:rPr>
      </w:pPr>
      <w:r>
        <w:rPr>
          <w:rFonts w:cs="Courier New"/>
          <w:szCs w:val="16"/>
        </w:rPr>
        <w:t xml:space="preserve">            </w:t>
      </w:r>
      <w:r w:rsidRPr="008C44CC">
        <w:rPr>
          <w:rFonts w:cs="Courier New"/>
          <w:szCs w:val="16"/>
        </w:rPr>
        <w:t>Set to "true" to indicate that the ML model is updated. Set to "false" to indicate the</w:t>
      </w:r>
    </w:p>
    <w:p w14:paraId="2175EF3E" w14:textId="77777777" w:rsidR="00A42460" w:rsidRDefault="00A42460" w:rsidP="00A42460">
      <w:pPr>
        <w:pStyle w:val="PL"/>
        <w:rPr>
          <w:rFonts w:cs="Courier New"/>
          <w:szCs w:val="16"/>
        </w:rPr>
      </w:pPr>
      <w:r>
        <w:rPr>
          <w:rFonts w:cs="Courier New"/>
          <w:szCs w:val="16"/>
        </w:rPr>
        <w:t xml:space="preserve">           </w:t>
      </w:r>
      <w:r w:rsidRPr="008C44CC">
        <w:rPr>
          <w:rFonts w:cs="Courier New"/>
          <w:szCs w:val="16"/>
        </w:rPr>
        <w:t xml:space="preserve"> ML model is not updated. Default value is "false" if omitted.</w:t>
      </w:r>
    </w:p>
    <w:p w14:paraId="4467E8E7" w14:textId="77777777" w:rsidR="00A42460" w:rsidRDefault="00A42460" w:rsidP="00A42460">
      <w:pPr>
        <w:pStyle w:val="PL"/>
      </w:pPr>
      <w:r>
        <w:t xml:space="preserve">        modelProviderId:</w:t>
      </w:r>
    </w:p>
    <w:p w14:paraId="615EB56A" w14:textId="77777777" w:rsidR="00A42460" w:rsidRDefault="00A42460" w:rsidP="00A42460">
      <w:pPr>
        <w:pStyle w:val="PL"/>
        <w:rPr>
          <w:rFonts w:cs="Courier New"/>
          <w:szCs w:val="16"/>
        </w:rPr>
      </w:pPr>
      <w:r>
        <w:t xml:space="preserve">          $ref: 'TS29571_CommonData.yaml#/components/schemas/NfInstanceId</w:t>
      </w:r>
      <w:r>
        <w:rPr>
          <w:rFonts w:eastAsia="等线"/>
        </w:rPr>
        <w:t>'</w:t>
      </w:r>
    </w:p>
    <w:p w14:paraId="09629900" w14:textId="77777777" w:rsidR="007862A2" w:rsidRDefault="007862A2" w:rsidP="007862A2">
      <w:pPr>
        <w:pStyle w:val="PL"/>
      </w:pPr>
      <w:r>
        <w:t xml:space="preserve">      oneOf:</w:t>
      </w:r>
    </w:p>
    <w:p w14:paraId="26944149" w14:textId="77777777" w:rsidR="007862A2" w:rsidRDefault="007862A2" w:rsidP="007862A2">
      <w:pPr>
        <w:pStyle w:val="PL"/>
      </w:pPr>
      <w:r>
        <w:t xml:space="preserve">        - required: [mLFileAddr]</w:t>
      </w:r>
    </w:p>
    <w:p w14:paraId="20994E69" w14:textId="77777777" w:rsidR="007862A2" w:rsidRDefault="007862A2" w:rsidP="007862A2">
      <w:pPr>
        <w:pStyle w:val="PL"/>
      </w:pPr>
      <w:r>
        <w:t xml:space="preserve">        - required: [mLModelAdrf]</w:t>
      </w:r>
    </w:p>
    <w:p w14:paraId="3461D129" w14:textId="77777777" w:rsidR="007862A2" w:rsidRDefault="007862A2" w:rsidP="007862A2">
      <w:pPr>
        <w:pStyle w:val="PL"/>
      </w:pPr>
      <w:r>
        <w:t xml:space="preserve">      required:</w:t>
      </w:r>
    </w:p>
    <w:p w14:paraId="27A1E285" w14:textId="77777777" w:rsidR="007862A2" w:rsidRDefault="007862A2" w:rsidP="007862A2">
      <w:pPr>
        <w:pStyle w:val="PL"/>
      </w:pPr>
      <w:r>
        <w:t xml:space="preserve">        - </w:t>
      </w:r>
      <w:r>
        <w:rPr>
          <w:rFonts w:cs="Courier New"/>
          <w:szCs w:val="16"/>
        </w:rPr>
        <w:t>modelUniqueId</w:t>
      </w:r>
    </w:p>
    <w:p w14:paraId="087BCCE1" w14:textId="77777777" w:rsidR="007862A2" w:rsidRPr="00D654A6" w:rsidRDefault="007862A2" w:rsidP="007862A2">
      <w:pPr>
        <w:pStyle w:val="PL"/>
      </w:pPr>
    </w:p>
    <w:p w14:paraId="106F8EEF" w14:textId="77777777" w:rsidR="007862A2" w:rsidRDefault="007862A2" w:rsidP="007862A2">
      <w:pPr>
        <w:pStyle w:val="PL"/>
        <w:rPr>
          <w:rFonts w:cs="Courier New"/>
          <w:szCs w:val="16"/>
        </w:rPr>
      </w:pPr>
    </w:p>
    <w:p w14:paraId="22CB2D55" w14:textId="77777777" w:rsidR="007862A2" w:rsidRDefault="007862A2" w:rsidP="007862A2">
      <w:pPr>
        <w:pStyle w:val="PL"/>
      </w:pPr>
      <w:r>
        <w:t xml:space="preserve">    MLModelAdrf:</w:t>
      </w:r>
    </w:p>
    <w:p w14:paraId="6796ECCB" w14:textId="77777777" w:rsidR="007862A2" w:rsidRDefault="007862A2" w:rsidP="007862A2">
      <w:pPr>
        <w:pStyle w:val="PL"/>
      </w:pPr>
      <w:r>
        <w:t xml:space="preserve">      description: ADRF (Set) information of the ML Model.</w:t>
      </w:r>
    </w:p>
    <w:p w14:paraId="24071C90" w14:textId="77777777" w:rsidR="007862A2" w:rsidRDefault="007862A2" w:rsidP="007862A2">
      <w:pPr>
        <w:pStyle w:val="PL"/>
      </w:pPr>
      <w:r>
        <w:t xml:space="preserve">      type: object</w:t>
      </w:r>
    </w:p>
    <w:p w14:paraId="3FDF7A9B" w14:textId="77777777" w:rsidR="007862A2" w:rsidRDefault="007862A2" w:rsidP="007862A2">
      <w:pPr>
        <w:pStyle w:val="PL"/>
      </w:pPr>
      <w:r>
        <w:t xml:space="preserve">      properties:</w:t>
      </w:r>
    </w:p>
    <w:p w14:paraId="7B6F7248" w14:textId="77777777" w:rsidR="007862A2" w:rsidRDefault="007862A2" w:rsidP="007862A2">
      <w:pPr>
        <w:pStyle w:val="PL"/>
      </w:pPr>
      <w:r>
        <w:t xml:space="preserve">        </w:t>
      </w:r>
      <w:r>
        <w:rPr>
          <w:lang w:val="en-US" w:eastAsia="zh-CN"/>
        </w:rPr>
        <w:t>adrfId</w:t>
      </w:r>
      <w:r>
        <w:t>:</w:t>
      </w:r>
    </w:p>
    <w:p w14:paraId="7D803C86" w14:textId="77777777" w:rsidR="007862A2" w:rsidRDefault="007862A2" w:rsidP="007862A2">
      <w:pPr>
        <w:pStyle w:val="PL"/>
      </w:pPr>
      <w:r>
        <w:t xml:space="preserve">          $ref: 'TS29571_CommonData.yaml#/components/schemas/NfInstanceId</w:t>
      </w:r>
      <w:r>
        <w:rPr>
          <w:rFonts w:eastAsia="等线"/>
        </w:rPr>
        <w:t>'</w:t>
      </w:r>
    </w:p>
    <w:p w14:paraId="3B9ED0FF" w14:textId="77777777" w:rsidR="007862A2" w:rsidRDefault="007862A2" w:rsidP="007862A2">
      <w:pPr>
        <w:pStyle w:val="PL"/>
      </w:pPr>
      <w:r>
        <w:lastRenderedPageBreak/>
        <w:t xml:space="preserve">        </w:t>
      </w:r>
      <w:r>
        <w:rPr>
          <w:lang w:val="en-US" w:eastAsia="zh-CN"/>
        </w:rPr>
        <w:t>adrfSetId</w:t>
      </w:r>
      <w:r>
        <w:t>:</w:t>
      </w:r>
    </w:p>
    <w:p w14:paraId="56C4AB44" w14:textId="77777777" w:rsidR="007862A2" w:rsidRDefault="007862A2" w:rsidP="007862A2">
      <w:pPr>
        <w:pStyle w:val="PL"/>
      </w:pPr>
      <w:r>
        <w:t xml:space="preserve">          $ref: 'TS29571_CommonData.yaml#/components/schemas/NfSetId'</w:t>
      </w:r>
    </w:p>
    <w:p w14:paraId="51EB275E" w14:textId="77777777" w:rsidR="007862A2" w:rsidRDefault="007862A2" w:rsidP="007862A2">
      <w:pPr>
        <w:pStyle w:val="PL"/>
      </w:pPr>
      <w:r>
        <w:t xml:space="preserve">        </w:t>
      </w:r>
      <w:r>
        <w:rPr>
          <w:lang w:val="en-US" w:eastAsia="zh-CN"/>
        </w:rPr>
        <w:t>storTransId</w:t>
      </w:r>
      <w:r>
        <w:t>:</w:t>
      </w:r>
    </w:p>
    <w:p w14:paraId="45522EEB" w14:textId="77777777" w:rsidR="007862A2" w:rsidRDefault="007862A2" w:rsidP="007862A2">
      <w:pPr>
        <w:pStyle w:val="PL"/>
      </w:pPr>
      <w:r>
        <w:t xml:space="preserve">          type: string</w:t>
      </w:r>
    </w:p>
    <w:p w14:paraId="7CDECB2E" w14:textId="77777777" w:rsidR="007862A2" w:rsidRDefault="007862A2" w:rsidP="007862A2">
      <w:pPr>
        <w:pStyle w:val="PL"/>
      </w:pPr>
      <w:r>
        <w:t xml:space="preserve">          description: String identifying a Storage Transaction ID.</w:t>
      </w:r>
    </w:p>
    <w:p w14:paraId="0A258D70" w14:textId="77777777" w:rsidR="007862A2" w:rsidRDefault="007862A2" w:rsidP="007862A2">
      <w:pPr>
        <w:pStyle w:val="PL"/>
      </w:pPr>
      <w:r>
        <w:t xml:space="preserve">      oneOf:</w:t>
      </w:r>
    </w:p>
    <w:p w14:paraId="5DAFC08D" w14:textId="77777777" w:rsidR="007862A2" w:rsidRDefault="007862A2" w:rsidP="007862A2">
      <w:pPr>
        <w:pStyle w:val="PL"/>
      </w:pPr>
      <w:r>
        <w:t xml:space="preserve">        - required: [</w:t>
      </w:r>
      <w:r>
        <w:rPr>
          <w:lang w:val="en-US" w:eastAsia="zh-CN"/>
        </w:rPr>
        <w:t>adrfId</w:t>
      </w:r>
      <w:r>
        <w:t>]</w:t>
      </w:r>
    </w:p>
    <w:p w14:paraId="3A7ACA46" w14:textId="77777777" w:rsidR="007862A2" w:rsidRDefault="007862A2" w:rsidP="007862A2">
      <w:pPr>
        <w:pStyle w:val="PL"/>
      </w:pPr>
      <w:r>
        <w:t xml:space="preserve">        - required: [</w:t>
      </w:r>
      <w:r>
        <w:rPr>
          <w:lang w:val="en-US" w:eastAsia="zh-CN"/>
        </w:rPr>
        <w:t>adrfSetId</w:t>
      </w:r>
      <w:r>
        <w:t>]</w:t>
      </w:r>
    </w:p>
    <w:p w14:paraId="13AEAC3C" w14:textId="77777777" w:rsidR="007862A2" w:rsidRDefault="007862A2" w:rsidP="007862A2">
      <w:pPr>
        <w:pStyle w:val="PL"/>
        <w:rPr>
          <w:rFonts w:cs="Courier New"/>
          <w:szCs w:val="16"/>
        </w:rPr>
      </w:pPr>
    </w:p>
    <w:p w14:paraId="2F12343E" w14:textId="77777777" w:rsidR="007862A2" w:rsidRDefault="007862A2" w:rsidP="007862A2">
      <w:pPr>
        <w:pStyle w:val="PL"/>
      </w:pPr>
      <w:r>
        <w:t xml:space="preserve">    TrainInputDataInfo:</w:t>
      </w:r>
    </w:p>
    <w:p w14:paraId="686AFC12" w14:textId="77777777" w:rsidR="007862A2" w:rsidRDefault="007862A2" w:rsidP="007862A2">
      <w:pPr>
        <w:pStyle w:val="PL"/>
      </w:pPr>
      <w:r>
        <w:t xml:space="preserve">      description: Contains </w:t>
      </w:r>
      <w:r>
        <w:rPr>
          <w:lang w:eastAsia="zh-CN"/>
        </w:rPr>
        <w:t>Training input data information that is used by NWDAF containing MTLF</w:t>
      </w:r>
      <w:r>
        <w:t>.</w:t>
      </w:r>
    </w:p>
    <w:p w14:paraId="6B553EAA" w14:textId="77777777" w:rsidR="007862A2" w:rsidRDefault="007862A2" w:rsidP="007862A2">
      <w:pPr>
        <w:pStyle w:val="PL"/>
      </w:pPr>
      <w:r>
        <w:t xml:space="preserve">      type: object</w:t>
      </w:r>
    </w:p>
    <w:p w14:paraId="4051F0D3" w14:textId="77777777" w:rsidR="007862A2" w:rsidRDefault="007862A2" w:rsidP="007862A2">
      <w:pPr>
        <w:pStyle w:val="PL"/>
      </w:pPr>
      <w:r>
        <w:t xml:space="preserve">      properties:</w:t>
      </w:r>
    </w:p>
    <w:p w14:paraId="2290AC3D" w14:textId="77777777" w:rsidR="007862A2" w:rsidRDefault="007862A2" w:rsidP="007862A2">
      <w:pPr>
        <w:pStyle w:val="PL"/>
      </w:pPr>
      <w:r>
        <w:t xml:space="preserve">        dataInfo:</w:t>
      </w:r>
    </w:p>
    <w:p w14:paraId="232C74FB" w14:textId="77777777" w:rsidR="007862A2" w:rsidRDefault="007862A2" w:rsidP="007862A2">
      <w:pPr>
        <w:pStyle w:val="PL"/>
      </w:pPr>
      <w:r>
        <w:t xml:space="preserve">          $ref: '#/components/schemas/InputDataInfo'</w:t>
      </w:r>
    </w:p>
    <w:p w14:paraId="7B908C55" w14:textId="77777777" w:rsidR="007862A2" w:rsidRDefault="007862A2" w:rsidP="007862A2">
      <w:pPr>
        <w:pStyle w:val="PL"/>
      </w:pPr>
      <w:r>
        <w:t xml:space="preserve">        time:</w:t>
      </w:r>
    </w:p>
    <w:p w14:paraId="7364A032" w14:textId="77777777" w:rsidR="007862A2" w:rsidRDefault="007862A2" w:rsidP="007862A2">
      <w:pPr>
        <w:pStyle w:val="PL"/>
      </w:pPr>
      <w:r>
        <w:t xml:space="preserve">          $ref: 'TS29122_CommonData.yaml#/components/schemas/TimeWindow'</w:t>
      </w:r>
    </w:p>
    <w:p w14:paraId="7662A029" w14:textId="77777777" w:rsidR="007862A2" w:rsidRDefault="007862A2" w:rsidP="007862A2">
      <w:pPr>
        <w:pStyle w:val="PL"/>
      </w:pPr>
      <w:r>
        <w:t xml:space="preserve">        dataStatisticsInfos:</w:t>
      </w:r>
    </w:p>
    <w:p w14:paraId="40A74ACB" w14:textId="77777777" w:rsidR="007862A2" w:rsidRDefault="007862A2" w:rsidP="007862A2">
      <w:pPr>
        <w:pStyle w:val="PL"/>
      </w:pPr>
      <w:r>
        <w:t xml:space="preserve">          type: string</w:t>
      </w:r>
    </w:p>
    <w:p w14:paraId="6CED17FF" w14:textId="77777777" w:rsidR="007862A2" w:rsidRDefault="007862A2" w:rsidP="007862A2">
      <w:pPr>
        <w:pStyle w:val="PL"/>
        <w:rPr>
          <w:rFonts w:cs="Courier New"/>
          <w:szCs w:val="16"/>
        </w:rPr>
      </w:pPr>
    </w:p>
    <w:p w14:paraId="5EBE9210" w14:textId="77777777" w:rsidR="007862A2" w:rsidRDefault="007862A2" w:rsidP="007862A2">
      <w:pPr>
        <w:pStyle w:val="PL"/>
      </w:pPr>
      <w:r>
        <w:t xml:space="preserve">    </w:t>
      </w:r>
      <w:r>
        <w:rPr>
          <w:lang w:val="en-US" w:eastAsia="zh-CN"/>
        </w:rPr>
        <w:t>InferenceDataForModelTrain</w:t>
      </w:r>
      <w:r>
        <w:t>:</w:t>
      </w:r>
    </w:p>
    <w:p w14:paraId="4FF6568A" w14:textId="77777777" w:rsidR="007862A2" w:rsidRDefault="007862A2" w:rsidP="007862A2">
      <w:pPr>
        <w:pStyle w:val="PL"/>
        <w:rPr>
          <w:lang w:bidi="fa-IR"/>
        </w:rPr>
      </w:pPr>
      <w:r>
        <w:t xml:space="preserve">      description: </w:t>
      </w:r>
      <w:r>
        <w:rPr>
          <w:lang w:bidi="fa-IR"/>
        </w:rPr>
        <w:t>&gt;</w:t>
      </w:r>
    </w:p>
    <w:p w14:paraId="3862C719" w14:textId="77777777" w:rsidR="007862A2" w:rsidRDefault="007862A2" w:rsidP="007862A2">
      <w:pPr>
        <w:pStyle w:val="PL"/>
        <w:rPr>
          <w:lang w:eastAsia="zh-CN"/>
        </w:rPr>
      </w:pPr>
      <w:r>
        <w:t xml:space="preserve">        </w:t>
      </w:r>
      <w:r>
        <w:rPr>
          <w:rFonts w:hint="eastAsia"/>
          <w:lang w:eastAsia="zh-CN"/>
        </w:rPr>
        <w:t>Indicates</w:t>
      </w:r>
      <w:r>
        <w:rPr>
          <w:lang w:eastAsia="zh-CN"/>
        </w:rPr>
        <w:t xml:space="preserve"> the inference data stored in ADRF which can be used by MTLF to retrain or</w:t>
      </w:r>
    </w:p>
    <w:p w14:paraId="407CD130" w14:textId="77777777" w:rsidR="007862A2" w:rsidRDefault="007862A2" w:rsidP="007862A2">
      <w:pPr>
        <w:pStyle w:val="PL"/>
      </w:pPr>
      <w:r>
        <w:t xml:space="preserve">       </w:t>
      </w:r>
      <w:r>
        <w:rPr>
          <w:lang w:eastAsia="zh-CN"/>
        </w:rPr>
        <w:t xml:space="preserve"> reprovision of the ML model.</w:t>
      </w:r>
    </w:p>
    <w:p w14:paraId="0F7206BE" w14:textId="77777777" w:rsidR="007862A2" w:rsidRDefault="007862A2" w:rsidP="007862A2">
      <w:pPr>
        <w:pStyle w:val="PL"/>
      </w:pPr>
      <w:r>
        <w:t xml:space="preserve">      type: object</w:t>
      </w:r>
    </w:p>
    <w:p w14:paraId="24795482" w14:textId="77777777" w:rsidR="007862A2" w:rsidRDefault="007862A2" w:rsidP="007862A2">
      <w:pPr>
        <w:pStyle w:val="PL"/>
      </w:pPr>
      <w:r>
        <w:t xml:space="preserve">      properties:</w:t>
      </w:r>
    </w:p>
    <w:p w14:paraId="5DABBC84" w14:textId="77777777" w:rsidR="007862A2" w:rsidRDefault="007862A2" w:rsidP="007862A2">
      <w:pPr>
        <w:pStyle w:val="PL"/>
      </w:pPr>
      <w:r>
        <w:t xml:space="preserve">        </w:t>
      </w:r>
      <w:r>
        <w:rPr>
          <w:lang w:val="en-US" w:eastAsia="zh-CN"/>
        </w:rPr>
        <w:t>adrfId</w:t>
      </w:r>
      <w:r>
        <w:t>:</w:t>
      </w:r>
    </w:p>
    <w:p w14:paraId="206C041F" w14:textId="77777777" w:rsidR="007862A2" w:rsidRDefault="007862A2" w:rsidP="007862A2">
      <w:pPr>
        <w:pStyle w:val="PL"/>
      </w:pPr>
      <w:r>
        <w:t xml:space="preserve">          $ref: 'TS29571_CommonData.yaml#/components/schemas/NfInstanceId'</w:t>
      </w:r>
    </w:p>
    <w:p w14:paraId="6AE6EFE0" w14:textId="77777777" w:rsidR="007862A2" w:rsidRDefault="007862A2" w:rsidP="007862A2">
      <w:pPr>
        <w:pStyle w:val="PL"/>
      </w:pPr>
      <w:r>
        <w:t xml:space="preserve">        adrfSetId:</w:t>
      </w:r>
    </w:p>
    <w:p w14:paraId="388D63AE" w14:textId="77777777" w:rsidR="007862A2" w:rsidRDefault="007862A2" w:rsidP="007862A2">
      <w:pPr>
        <w:pStyle w:val="PL"/>
      </w:pPr>
      <w:r>
        <w:t xml:space="preserve">          $ref: 'TS29571_CommonData.yaml#/components/schemas/NfSetId'</w:t>
      </w:r>
    </w:p>
    <w:p w14:paraId="2335D511" w14:textId="77777777" w:rsidR="007862A2" w:rsidRDefault="007862A2" w:rsidP="007862A2">
      <w:pPr>
        <w:pStyle w:val="PL"/>
      </w:pPr>
      <w:r>
        <w:t xml:space="preserve">        dataSetTag:</w:t>
      </w:r>
    </w:p>
    <w:p w14:paraId="633BB242" w14:textId="77777777" w:rsidR="007862A2" w:rsidRDefault="007862A2" w:rsidP="007862A2">
      <w:pPr>
        <w:pStyle w:val="PL"/>
      </w:pPr>
      <w:r>
        <w:t xml:space="preserve">          $ref: 'TS29575_Nadrf_DataManagement.yaml#/components/schemas/DataSetTag'</w:t>
      </w:r>
    </w:p>
    <w:p w14:paraId="043279F4" w14:textId="77777777" w:rsidR="007862A2" w:rsidRDefault="007862A2" w:rsidP="007862A2">
      <w:pPr>
        <w:pStyle w:val="PL"/>
      </w:pPr>
      <w:r>
        <w:t xml:space="preserve">        modelId:</w:t>
      </w:r>
    </w:p>
    <w:p w14:paraId="1F7D2F4E" w14:textId="77777777" w:rsidR="007862A2" w:rsidRDefault="007862A2" w:rsidP="007862A2">
      <w:pPr>
        <w:pStyle w:val="PL"/>
      </w:pPr>
      <w:r>
        <w:t xml:space="preserve">          $ref: 'TS29571_CommonData.yaml#/components/schemas/Uinteger'</w:t>
      </w:r>
    </w:p>
    <w:p w14:paraId="208C7684" w14:textId="77777777" w:rsidR="007862A2" w:rsidRDefault="007862A2" w:rsidP="007862A2">
      <w:pPr>
        <w:pStyle w:val="PL"/>
      </w:pPr>
      <w:r>
        <w:t xml:space="preserve">      oneOf:</w:t>
      </w:r>
    </w:p>
    <w:p w14:paraId="47AB5BC0" w14:textId="77777777" w:rsidR="007862A2" w:rsidRDefault="007862A2" w:rsidP="007862A2">
      <w:pPr>
        <w:pStyle w:val="PL"/>
      </w:pPr>
      <w:r>
        <w:t xml:space="preserve">        - required: [adrfId]</w:t>
      </w:r>
    </w:p>
    <w:p w14:paraId="13EBBEA0" w14:textId="77777777" w:rsidR="007862A2" w:rsidRDefault="007862A2" w:rsidP="007862A2">
      <w:pPr>
        <w:pStyle w:val="PL"/>
      </w:pPr>
      <w:r>
        <w:t xml:space="preserve">        - required: [adrfSetId]</w:t>
      </w:r>
    </w:p>
    <w:p w14:paraId="55FCCCDA" w14:textId="77777777" w:rsidR="007862A2" w:rsidRDefault="007862A2" w:rsidP="007862A2">
      <w:pPr>
        <w:pStyle w:val="PL"/>
        <w:rPr>
          <w:rFonts w:cs="Courier New"/>
          <w:szCs w:val="16"/>
          <w:lang w:val="en-US" w:eastAsia="zh-CN"/>
        </w:rPr>
      </w:pPr>
    </w:p>
    <w:p w14:paraId="5E4BA108" w14:textId="77777777" w:rsidR="007862A2" w:rsidRDefault="007862A2" w:rsidP="007862A2">
      <w:pPr>
        <w:pStyle w:val="PL"/>
        <w:rPr>
          <w:rFonts w:cs="Courier New"/>
          <w:szCs w:val="16"/>
        </w:rPr>
      </w:pPr>
      <w:r>
        <w:rPr>
          <w:rFonts w:cs="Courier New"/>
          <w:szCs w:val="16"/>
        </w:rPr>
        <w:t>#</w:t>
      </w:r>
    </w:p>
    <w:p w14:paraId="166DA7F2" w14:textId="77777777" w:rsidR="007862A2" w:rsidRDefault="007862A2" w:rsidP="007862A2">
      <w:pPr>
        <w:pStyle w:val="PL"/>
      </w:pPr>
      <w:r>
        <w:t># ENUMERATIONS DATA TYPES</w:t>
      </w:r>
    </w:p>
    <w:p w14:paraId="07D0A1F2" w14:textId="77777777" w:rsidR="007862A2" w:rsidRDefault="007862A2" w:rsidP="007862A2">
      <w:pPr>
        <w:pStyle w:val="PL"/>
      </w:pPr>
      <w:r>
        <w:t>#</w:t>
      </w:r>
    </w:p>
    <w:p w14:paraId="69E168C6" w14:textId="77777777" w:rsidR="007862A2" w:rsidRDefault="007862A2" w:rsidP="007862A2">
      <w:pPr>
        <w:pStyle w:val="PL"/>
      </w:pPr>
      <w:r>
        <w:t xml:space="preserve">    </w:t>
      </w:r>
      <w:r>
        <w:rPr>
          <w:lang w:eastAsia="zh-CN"/>
        </w:rPr>
        <w:t>FailureCode</w:t>
      </w:r>
      <w:r>
        <w:t>:</w:t>
      </w:r>
    </w:p>
    <w:p w14:paraId="077D660D" w14:textId="77777777" w:rsidR="007862A2" w:rsidRDefault="007862A2" w:rsidP="007862A2">
      <w:pPr>
        <w:pStyle w:val="PL"/>
      </w:pPr>
      <w:r>
        <w:t xml:space="preserve">      anyOf:</w:t>
      </w:r>
    </w:p>
    <w:p w14:paraId="70C0A656" w14:textId="77777777" w:rsidR="007862A2" w:rsidRDefault="007862A2" w:rsidP="007862A2">
      <w:pPr>
        <w:pStyle w:val="PL"/>
      </w:pPr>
      <w:r>
        <w:t xml:space="preserve">      - type: string</w:t>
      </w:r>
    </w:p>
    <w:p w14:paraId="29BA1220" w14:textId="77777777" w:rsidR="007862A2" w:rsidRDefault="007862A2" w:rsidP="007862A2">
      <w:pPr>
        <w:pStyle w:val="PL"/>
      </w:pPr>
      <w:r>
        <w:t xml:space="preserve">        enum:</w:t>
      </w:r>
    </w:p>
    <w:p w14:paraId="62562A38" w14:textId="77777777" w:rsidR="007862A2" w:rsidRDefault="007862A2" w:rsidP="007862A2">
      <w:pPr>
        <w:pStyle w:val="PL"/>
      </w:pPr>
      <w:r>
        <w:t xml:space="preserve">          - </w:t>
      </w:r>
      <w:r>
        <w:rPr>
          <w:lang w:eastAsia="zh-CN"/>
        </w:rPr>
        <w:t>UNAVAILABLE_ML_MODEL</w:t>
      </w:r>
    </w:p>
    <w:p w14:paraId="1E9E82F5" w14:textId="77777777" w:rsidR="007862A2" w:rsidRDefault="007862A2" w:rsidP="007862A2">
      <w:pPr>
        <w:pStyle w:val="PL"/>
      </w:pPr>
      <w:r>
        <w:t xml:space="preserve">      - type: string</w:t>
      </w:r>
    </w:p>
    <w:p w14:paraId="4212B7F6" w14:textId="77777777" w:rsidR="007862A2" w:rsidRDefault="007862A2" w:rsidP="007862A2">
      <w:pPr>
        <w:pStyle w:val="PL"/>
      </w:pPr>
      <w:r>
        <w:t xml:space="preserve">        description: &gt;</w:t>
      </w:r>
    </w:p>
    <w:p w14:paraId="632832BB" w14:textId="77777777" w:rsidR="007862A2" w:rsidRDefault="007862A2" w:rsidP="007862A2">
      <w:pPr>
        <w:pStyle w:val="PL"/>
      </w:pPr>
      <w:r>
        <w:t xml:space="preserve">          This string provides forward-compatibility with future extensions to the enumeration but</w:t>
      </w:r>
    </w:p>
    <w:p w14:paraId="182F0C06" w14:textId="77777777" w:rsidR="007862A2" w:rsidRDefault="007862A2" w:rsidP="007862A2">
      <w:pPr>
        <w:pStyle w:val="PL"/>
      </w:pPr>
      <w:r>
        <w:t xml:space="preserve">          is not used to encode content defined in the present version of this API.</w:t>
      </w:r>
    </w:p>
    <w:p w14:paraId="5FECFEB8" w14:textId="77777777" w:rsidR="007862A2" w:rsidRDefault="007862A2" w:rsidP="007862A2">
      <w:pPr>
        <w:pStyle w:val="PL"/>
      </w:pPr>
      <w:r>
        <w:t xml:space="preserve">      description: </w:t>
      </w:r>
      <w:r>
        <w:rPr>
          <w:lang w:val="en-US"/>
        </w:rPr>
        <w:t>|</w:t>
      </w:r>
    </w:p>
    <w:p w14:paraId="21F4D00F" w14:textId="77777777" w:rsidR="007862A2" w:rsidRDefault="007862A2" w:rsidP="007862A2">
      <w:pPr>
        <w:pStyle w:val="PL"/>
      </w:pPr>
      <w:r>
        <w:t xml:space="preserve">        Represents the failure code.  </w:t>
      </w:r>
    </w:p>
    <w:p w14:paraId="47DE828D" w14:textId="77777777" w:rsidR="007862A2" w:rsidRDefault="007862A2" w:rsidP="007862A2">
      <w:pPr>
        <w:pStyle w:val="PL"/>
        <w:rPr>
          <w:lang w:eastAsia="zh-CN"/>
        </w:rPr>
      </w:pPr>
      <w:r>
        <w:t xml:space="preserve">        Possible values are:</w:t>
      </w:r>
    </w:p>
    <w:p w14:paraId="3E43306B" w14:textId="77777777" w:rsidR="007862A2" w:rsidRDefault="007862A2" w:rsidP="007862A2">
      <w:pPr>
        <w:pStyle w:val="PL"/>
      </w:pPr>
      <w:r>
        <w:t xml:space="preserve">        - </w:t>
      </w:r>
      <w:r>
        <w:rPr>
          <w:lang w:eastAsia="zh-CN"/>
        </w:rPr>
        <w:t>UNAVAILABLE_ML_MODEL</w:t>
      </w:r>
      <w:r>
        <w:t xml:space="preserve">: </w:t>
      </w:r>
      <w:r>
        <w:rPr>
          <w:rFonts w:hint="eastAsia"/>
          <w:lang w:eastAsia="zh-CN"/>
        </w:rPr>
        <w:t>I</w:t>
      </w:r>
      <w:r>
        <w:rPr>
          <w:lang w:eastAsia="zh-CN"/>
        </w:rPr>
        <w:t>ndicates the requested ML model for the event is unavailable</w:t>
      </w:r>
      <w:r>
        <w:t>.</w:t>
      </w:r>
    </w:p>
    <w:p w14:paraId="32A54081" w14:textId="77777777" w:rsidR="007862A2" w:rsidRDefault="007862A2" w:rsidP="007862A2">
      <w:pPr>
        <w:pStyle w:val="PL"/>
      </w:pPr>
    </w:p>
    <w:p w14:paraId="08A86138" w14:textId="77777777" w:rsidR="007862A2" w:rsidRDefault="007862A2" w:rsidP="007862A2">
      <w:pPr>
        <w:pStyle w:val="PL"/>
      </w:pPr>
      <w:r>
        <w:t xml:space="preserve">    MLModelMetric:</w:t>
      </w:r>
    </w:p>
    <w:p w14:paraId="3EA65857" w14:textId="77777777" w:rsidR="007862A2" w:rsidRDefault="007862A2" w:rsidP="007862A2">
      <w:pPr>
        <w:pStyle w:val="PL"/>
      </w:pPr>
      <w:r>
        <w:t xml:space="preserve">      anyOf:</w:t>
      </w:r>
    </w:p>
    <w:p w14:paraId="0E97E7E3" w14:textId="77777777" w:rsidR="007862A2" w:rsidRDefault="007862A2" w:rsidP="007862A2">
      <w:pPr>
        <w:pStyle w:val="PL"/>
      </w:pPr>
      <w:r>
        <w:t xml:space="preserve">      - type: string</w:t>
      </w:r>
    </w:p>
    <w:p w14:paraId="74A7A09D" w14:textId="77777777" w:rsidR="007862A2" w:rsidRDefault="007862A2" w:rsidP="007862A2">
      <w:pPr>
        <w:pStyle w:val="PL"/>
      </w:pPr>
      <w:r>
        <w:t xml:space="preserve">        enum:</w:t>
      </w:r>
    </w:p>
    <w:p w14:paraId="5DC9AD3B" w14:textId="77777777" w:rsidR="007862A2" w:rsidRDefault="007862A2" w:rsidP="007862A2">
      <w:pPr>
        <w:pStyle w:val="PL"/>
      </w:pPr>
      <w:r>
        <w:t xml:space="preserve">          - </w:t>
      </w:r>
      <w:r>
        <w:rPr>
          <w:lang w:eastAsia="zh-CN"/>
        </w:rPr>
        <w:t>ACCURACY</w:t>
      </w:r>
    </w:p>
    <w:p w14:paraId="1D079690" w14:textId="77777777" w:rsidR="007862A2" w:rsidRDefault="007862A2" w:rsidP="007862A2">
      <w:pPr>
        <w:pStyle w:val="PL"/>
      </w:pPr>
      <w:r>
        <w:t xml:space="preserve">      - type: string</w:t>
      </w:r>
    </w:p>
    <w:p w14:paraId="4727DBE4" w14:textId="77777777" w:rsidR="007862A2" w:rsidRDefault="007862A2" w:rsidP="007862A2">
      <w:pPr>
        <w:pStyle w:val="PL"/>
      </w:pPr>
      <w:r>
        <w:t xml:space="preserve">        description: &gt;</w:t>
      </w:r>
    </w:p>
    <w:p w14:paraId="5F2BA1E7" w14:textId="77777777" w:rsidR="007862A2" w:rsidRDefault="007862A2" w:rsidP="007862A2">
      <w:pPr>
        <w:pStyle w:val="PL"/>
      </w:pPr>
      <w:r>
        <w:t xml:space="preserve">          This string provides forward-compatibility with future extensions to the enumeration but</w:t>
      </w:r>
    </w:p>
    <w:p w14:paraId="27EF0039" w14:textId="77777777" w:rsidR="007862A2" w:rsidRDefault="007862A2" w:rsidP="007862A2">
      <w:pPr>
        <w:pStyle w:val="PL"/>
      </w:pPr>
      <w:r>
        <w:t xml:space="preserve">          is not used to encode content defined in the present version of this API.</w:t>
      </w:r>
    </w:p>
    <w:p w14:paraId="16E8545D" w14:textId="77777777" w:rsidR="007862A2" w:rsidRDefault="007862A2" w:rsidP="007862A2">
      <w:pPr>
        <w:pStyle w:val="PL"/>
      </w:pPr>
      <w:r>
        <w:t xml:space="preserve">      description: </w:t>
      </w:r>
      <w:r>
        <w:rPr>
          <w:lang w:val="en-US"/>
        </w:rPr>
        <w:t>|</w:t>
      </w:r>
    </w:p>
    <w:p w14:paraId="69F93C77" w14:textId="77777777" w:rsidR="007862A2" w:rsidRDefault="007862A2" w:rsidP="007862A2">
      <w:pPr>
        <w:pStyle w:val="PL"/>
      </w:pPr>
      <w:r>
        <w:t xml:space="preserve">        Represents the metric of the ML model.  </w:t>
      </w:r>
    </w:p>
    <w:p w14:paraId="1991826A" w14:textId="77777777" w:rsidR="007862A2" w:rsidRDefault="007862A2" w:rsidP="007862A2">
      <w:pPr>
        <w:pStyle w:val="PL"/>
        <w:rPr>
          <w:lang w:eastAsia="zh-CN"/>
        </w:rPr>
      </w:pPr>
      <w:r>
        <w:t xml:space="preserve">        Possible values are:</w:t>
      </w:r>
    </w:p>
    <w:p w14:paraId="7E44E689" w14:textId="77777777" w:rsidR="007862A2" w:rsidRDefault="007862A2" w:rsidP="007862A2">
      <w:pPr>
        <w:pStyle w:val="PL"/>
      </w:pPr>
      <w:r>
        <w:t xml:space="preserve">        - </w:t>
      </w:r>
      <w:r>
        <w:rPr>
          <w:lang w:eastAsia="zh-CN"/>
        </w:rPr>
        <w:t>ACCURACY</w:t>
      </w:r>
      <w:r>
        <w:t>: ML Model Accuracy metric.</w:t>
      </w:r>
    </w:p>
    <w:p w14:paraId="344D014B" w14:textId="77777777" w:rsidR="00A10B25" w:rsidRPr="007862A2" w:rsidRDefault="00A10B25">
      <w:pPr>
        <w:pStyle w:val="PL"/>
      </w:pPr>
    </w:p>
    <w:p w14:paraId="093766E7" w14:textId="77777777" w:rsidR="00A10B25" w:rsidRDefault="00A10B25">
      <w:pPr>
        <w:pStyle w:val="1"/>
        <w:rPr>
          <w:lang w:val="en-US" w:eastAsia="zh-CN"/>
        </w:rPr>
      </w:pPr>
      <w:bookmarkStart w:id="17296" w:name="_Toc138754555"/>
      <w:bookmarkStart w:id="17297" w:name="_Toc136562722"/>
      <w:bookmarkStart w:id="17298" w:name="_Toc148523026"/>
      <w:bookmarkStart w:id="17299" w:name="_Toc145706053"/>
      <w:bookmarkStart w:id="17300" w:name="_Toc164921291"/>
      <w:bookmarkStart w:id="17301" w:name="_Toc170120833"/>
      <w:bookmarkStart w:id="17302" w:name="_Toc175859078"/>
      <w:bookmarkStart w:id="17303" w:name="_Toc175860153"/>
      <w:bookmarkStart w:id="17304" w:name="_Toc180606443"/>
      <w:bookmarkStart w:id="17305" w:name="_Toc185517704"/>
      <w:bookmarkStart w:id="17306" w:name="_Toc191576756"/>
      <w:bookmarkStart w:id="17307" w:name="_Toc191577496"/>
      <w:bookmarkStart w:id="17308" w:name="_Toc192880566"/>
      <w:bookmarkStart w:id="17309" w:name="_Toc195815455"/>
      <w:bookmarkStart w:id="17310" w:name="_Toc199453516"/>
      <w:r>
        <w:t>A.6</w:t>
      </w:r>
      <w:r>
        <w:tab/>
      </w:r>
      <w:r>
        <w:rPr>
          <w:lang w:val="en-US" w:eastAsia="zh-CN"/>
        </w:rPr>
        <w:t>Nnwdaf_MLModelTraining API</w:t>
      </w:r>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p>
    <w:p w14:paraId="2D73586D" w14:textId="77777777" w:rsidR="007862A2" w:rsidRDefault="007862A2" w:rsidP="007862A2">
      <w:pPr>
        <w:pStyle w:val="PL"/>
      </w:pPr>
      <w:r>
        <w:t>openapi: 3.0.0</w:t>
      </w:r>
    </w:p>
    <w:p w14:paraId="3D142364" w14:textId="77777777" w:rsidR="007862A2" w:rsidRDefault="007862A2" w:rsidP="007862A2">
      <w:pPr>
        <w:pStyle w:val="PL"/>
        <w:rPr>
          <w:lang w:val="fr-FR"/>
        </w:rPr>
      </w:pPr>
    </w:p>
    <w:p w14:paraId="489E8C58" w14:textId="77777777" w:rsidR="007862A2" w:rsidRDefault="007862A2" w:rsidP="007862A2">
      <w:pPr>
        <w:pStyle w:val="PL"/>
        <w:rPr>
          <w:lang w:val="fr-FR"/>
        </w:rPr>
      </w:pPr>
      <w:r>
        <w:rPr>
          <w:lang w:val="fr-FR"/>
        </w:rPr>
        <w:t>info:</w:t>
      </w:r>
    </w:p>
    <w:p w14:paraId="057ADDB8" w14:textId="77777777" w:rsidR="007862A2" w:rsidRDefault="007862A2" w:rsidP="007862A2">
      <w:pPr>
        <w:pStyle w:val="PL"/>
        <w:rPr>
          <w:lang w:val="fr-FR"/>
        </w:rPr>
      </w:pPr>
      <w:r>
        <w:rPr>
          <w:lang w:val="fr-FR"/>
        </w:rPr>
        <w:t xml:space="preserve">  title: </w:t>
      </w:r>
      <w:r>
        <w:t>Nnwdaf_MLModelTraining</w:t>
      </w:r>
    </w:p>
    <w:p w14:paraId="559895D6" w14:textId="1CA3200D" w:rsidR="007862A2" w:rsidRDefault="007862A2" w:rsidP="007862A2">
      <w:pPr>
        <w:pStyle w:val="PL"/>
        <w:rPr>
          <w:lang w:val="fr-FR"/>
        </w:rPr>
      </w:pPr>
      <w:r>
        <w:rPr>
          <w:lang w:val="fr-FR"/>
        </w:rPr>
        <w:lastRenderedPageBreak/>
        <w:t xml:space="preserve">  version: 1.</w:t>
      </w:r>
      <w:r w:rsidR="00AC4D38">
        <w:rPr>
          <w:lang w:val="fr-FR"/>
        </w:rPr>
        <w:t>1</w:t>
      </w:r>
      <w:r>
        <w:rPr>
          <w:lang w:val="fr-FR"/>
        </w:rPr>
        <w:t>.0</w:t>
      </w:r>
      <w:r w:rsidR="00AC4D38">
        <w:rPr>
          <w:lang w:val="fr-FR"/>
        </w:rPr>
        <w:t>-alpha.</w:t>
      </w:r>
      <w:r w:rsidR="00CA1A16">
        <w:rPr>
          <w:lang w:val="fr-FR"/>
        </w:rPr>
        <w:t>4</w:t>
      </w:r>
    </w:p>
    <w:p w14:paraId="59B92335" w14:textId="77777777" w:rsidR="007862A2" w:rsidRDefault="007862A2" w:rsidP="007862A2">
      <w:pPr>
        <w:pStyle w:val="PL"/>
      </w:pPr>
      <w:r>
        <w:rPr>
          <w:lang w:val="fr-FR"/>
        </w:rPr>
        <w:t xml:space="preserve">  description: </w:t>
      </w:r>
      <w:r>
        <w:t>|</w:t>
      </w:r>
    </w:p>
    <w:p w14:paraId="2E889ABF" w14:textId="77777777" w:rsidR="007862A2" w:rsidRDefault="007862A2" w:rsidP="007862A2">
      <w:pPr>
        <w:pStyle w:val="PL"/>
        <w:rPr>
          <w:lang w:val="fr-FR"/>
        </w:rPr>
      </w:pPr>
      <w:r>
        <w:rPr>
          <w:lang w:val="fr-FR"/>
        </w:rPr>
        <w:t xml:space="preserve">    </w:t>
      </w:r>
      <w:r>
        <w:t>Nnwdaf_MLModelTraining API</w:t>
      </w:r>
      <w:r>
        <w:rPr>
          <w:lang w:val="fr-FR"/>
        </w:rPr>
        <w:t xml:space="preserve"> Service.  </w:t>
      </w:r>
    </w:p>
    <w:p w14:paraId="49A559D8" w14:textId="77777777" w:rsidR="007862A2" w:rsidRDefault="007862A2" w:rsidP="007862A2">
      <w:pPr>
        <w:pStyle w:val="PL"/>
      </w:pPr>
      <w:r>
        <w:t xml:space="preserve">    © 202</w:t>
      </w:r>
      <w:r w:rsidR="0020689F">
        <w:rPr>
          <w:lang w:eastAsia="zh-CN"/>
        </w:rPr>
        <w:t>5</w:t>
      </w:r>
      <w:r>
        <w:t xml:space="preserve">, 3GPP Organizational Partners (ARIB, ATIS, CCSA, ETSI, TSDSI, TTA, TTC).  </w:t>
      </w:r>
    </w:p>
    <w:p w14:paraId="67747FBE" w14:textId="77777777" w:rsidR="007862A2" w:rsidRDefault="007862A2" w:rsidP="007862A2">
      <w:pPr>
        <w:pStyle w:val="PL"/>
      </w:pPr>
      <w:r>
        <w:t xml:space="preserve">    All rights reserved.</w:t>
      </w:r>
    </w:p>
    <w:p w14:paraId="7B5598C7" w14:textId="77777777" w:rsidR="007862A2" w:rsidRDefault="007862A2" w:rsidP="007862A2">
      <w:pPr>
        <w:pStyle w:val="PL"/>
        <w:rPr>
          <w:lang w:val="fr-FR"/>
        </w:rPr>
      </w:pPr>
    </w:p>
    <w:p w14:paraId="1DD2F4B2" w14:textId="77777777" w:rsidR="007862A2" w:rsidRDefault="007862A2" w:rsidP="007862A2">
      <w:pPr>
        <w:pStyle w:val="PL"/>
        <w:rPr>
          <w:lang w:val="fr-FR"/>
        </w:rPr>
      </w:pPr>
      <w:r>
        <w:rPr>
          <w:lang w:val="fr-FR"/>
        </w:rPr>
        <w:t>externalDocs:</w:t>
      </w:r>
    </w:p>
    <w:p w14:paraId="41020171" w14:textId="3911552F" w:rsidR="007862A2" w:rsidRDefault="007862A2" w:rsidP="007862A2">
      <w:pPr>
        <w:pStyle w:val="PL"/>
        <w:rPr>
          <w:lang w:val="fr-FR"/>
        </w:rPr>
      </w:pPr>
      <w:r>
        <w:rPr>
          <w:lang w:val="fr-FR"/>
        </w:rPr>
        <w:t xml:space="preserve">  description: 3GPP TS 29.520 </w:t>
      </w:r>
      <w:r w:rsidR="00AC4D38">
        <w:rPr>
          <w:lang w:val="fr-FR"/>
        </w:rPr>
        <w:t>V</w:t>
      </w:r>
      <w:r w:rsidR="00AC4D38">
        <w:rPr>
          <w:rFonts w:eastAsia="等线"/>
        </w:rPr>
        <w:t>19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04FE2F69" w14:textId="77777777" w:rsidR="007862A2" w:rsidRDefault="007862A2" w:rsidP="007862A2">
      <w:pPr>
        <w:pStyle w:val="PL"/>
        <w:rPr>
          <w:lang w:val="fr-FR"/>
        </w:rPr>
      </w:pPr>
      <w:r>
        <w:rPr>
          <w:lang w:val="fr-FR"/>
        </w:rPr>
        <w:t xml:space="preserve">  url: https://www.3gpp.org/ftp/Specs/archive/29_series/29.</w:t>
      </w:r>
      <w:r>
        <w:rPr>
          <w:rFonts w:eastAsia="等线"/>
        </w:rPr>
        <w:t>520</w:t>
      </w:r>
      <w:r>
        <w:rPr>
          <w:lang w:val="fr-FR"/>
        </w:rPr>
        <w:t>/</w:t>
      </w:r>
    </w:p>
    <w:p w14:paraId="266D7D14" w14:textId="77777777" w:rsidR="007862A2" w:rsidRDefault="007862A2" w:rsidP="007862A2">
      <w:pPr>
        <w:pStyle w:val="PL"/>
      </w:pPr>
    </w:p>
    <w:p w14:paraId="51642901" w14:textId="77777777" w:rsidR="007862A2" w:rsidRDefault="007862A2" w:rsidP="007862A2">
      <w:pPr>
        <w:pStyle w:val="PL"/>
      </w:pPr>
      <w:r>
        <w:t>servers:</w:t>
      </w:r>
    </w:p>
    <w:p w14:paraId="0A85E2CF" w14:textId="77777777" w:rsidR="007862A2" w:rsidRDefault="007862A2" w:rsidP="007862A2">
      <w:pPr>
        <w:pStyle w:val="PL"/>
      </w:pPr>
      <w:r>
        <w:t xml:space="preserve">  - url: '{apiRoot}/nnwdaf-mlmodeltraining/v1'</w:t>
      </w:r>
    </w:p>
    <w:p w14:paraId="4D5AD1B3" w14:textId="77777777" w:rsidR="007862A2" w:rsidRDefault="007862A2" w:rsidP="007862A2">
      <w:pPr>
        <w:pStyle w:val="PL"/>
      </w:pPr>
      <w:r>
        <w:t xml:space="preserve">    variables:</w:t>
      </w:r>
    </w:p>
    <w:p w14:paraId="302BAA34" w14:textId="77777777" w:rsidR="007862A2" w:rsidRDefault="007862A2" w:rsidP="007862A2">
      <w:pPr>
        <w:pStyle w:val="PL"/>
      </w:pPr>
      <w:r>
        <w:t xml:space="preserve">      apiRoot:</w:t>
      </w:r>
    </w:p>
    <w:p w14:paraId="162D4F21" w14:textId="77777777" w:rsidR="007862A2" w:rsidRDefault="007862A2" w:rsidP="007862A2">
      <w:pPr>
        <w:pStyle w:val="PL"/>
      </w:pPr>
      <w:r>
        <w:t xml:space="preserve">        default: https://example.com</w:t>
      </w:r>
    </w:p>
    <w:p w14:paraId="63416E57" w14:textId="77777777" w:rsidR="007862A2" w:rsidRDefault="007862A2" w:rsidP="007862A2">
      <w:pPr>
        <w:pStyle w:val="PL"/>
      </w:pPr>
      <w:r>
        <w:t xml:space="preserve">        description: apiRoot as defined in clause 4.4 of 3GPP TS 29.501</w:t>
      </w:r>
    </w:p>
    <w:p w14:paraId="6032F923" w14:textId="77777777" w:rsidR="007862A2" w:rsidRDefault="007862A2" w:rsidP="007862A2">
      <w:pPr>
        <w:pStyle w:val="PL"/>
      </w:pPr>
    </w:p>
    <w:p w14:paraId="1E8CA562" w14:textId="77777777" w:rsidR="007862A2" w:rsidRDefault="007862A2" w:rsidP="007862A2">
      <w:pPr>
        <w:pStyle w:val="PL"/>
      </w:pPr>
      <w:r>
        <w:t>security:</w:t>
      </w:r>
    </w:p>
    <w:p w14:paraId="14B16923" w14:textId="77777777" w:rsidR="007862A2" w:rsidRDefault="007862A2" w:rsidP="007862A2">
      <w:pPr>
        <w:pStyle w:val="PL"/>
      </w:pPr>
      <w:r>
        <w:t xml:space="preserve">  - {}</w:t>
      </w:r>
    </w:p>
    <w:p w14:paraId="751B1098" w14:textId="77777777" w:rsidR="007862A2" w:rsidRDefault="007862A2" w:rsidP="007862A2">
      <w:pPr>
        <w:pStyle w:val="PL"/>
      </w:pPr>
      <w:r>
        <w:t xml:space="preserve">  - oAuth2ClientCredentials:</w:t>
      </w:r>
    </w:p>
    <w:p w14:paraId="2A588FDB" w14:textId="77777777" w:rsidR="007862A2" w:rsidRDefault="007862A2" w:rsidP="007862A2">
      <w:pPr>
        <w:pStyle w:val="PL"/>
      </w:pPr>
      <w:r>
        <w:t xml:space="preserve">    - nnwdaf-mlmodeltraining</w:t>
      </w:r>
    </w:p>
    <w:p w14:paraId="2293891F" w14:textId="77777777" w:rsidR="007862A2" w:rsidRDefault="007862A2" w:rsidP="007862A2">
      <w:pPr>
        <w:pStyle w:val="PL"/>
      </w:pPr>
    </w:p>
    <w:p w14:paraId="11002575" w14:textId="77777777" w:rsidR="007862A2" w:rsidRDefault="007862A2" w:rsidP="007862A2">
      <w:pPr>
        <w:pStyle w:val="PL"/>
      </w:pPr>
      <w:r>
        <w:t>paths:</w:t>
      </w:r>
    </w:p>
    <w:p w14:paraId="4DA9C003" w14:textId="77777777" w:rsidR="007862A2" w:rsidRDefault="007862A2" w:rsidP="007862A2">
      <w:pPr>
        <w:pStyle w:val="PL"/>
      </w:pPr>
      <w:r>
        <w:t xml:space="preserve">  /subscriptions:</w:t>
      </w:r>
    </w:p>
    <w:p w14:paraId="04380A03" w14:textId="77777777" w:rsidR="007862A2" w:rsidRDefault="007862A2" w:rsidP="007862A2">
      <w:pPr>
        <w:pStyle w:val="PL"/>
      </w:pPr>
      <w:r>
        <w:t xml:space="preserve">    post:</w:t>
      </w:r>
    </w:p>
    <w:p w14:paraId="74E4BD2C" w14:textId="77777777" w:rsidR="007862A2" w:rsidRDefault="007862A2" w:rsidP="007862A2">
      <w:pPr>
        <w:pStyle w:val="PL"/>
      </w:pPr>
      <w:r>
        <w:t xml:space="preserve">      summary: Create a new Individual NWDAF ML Model Training Subscription resource.</w:t>
      </w:r>
    </w:p>
    <w:p w14:paraId="063A4802" w14:textId="77777777" w:rsidR="007862A2" w:rsidRDefault="007862A2" w:rsidP="007862A2">
      <w:pPr>
        <w:pStyle w:val="PL"/>
      </w:pPr>
      <w:r>
        <w:t xml:space="preserve">      operationId: CreateNWDAFMLModelTrainingSubcription</w:t>
      </w:r>
    </w:p>
    <w:p w14:paraId="04E9347F" w14:textId="77777777" w:rsidR="007862A2" w:rsidRDefault="007862A2" w:rsidP="007862A2">
      <w:pPr>
        <w:pStyle w:val="PL"/>
      </w:pPr>
      <w:r>
        <w:t xml:space="preserve">      tags:</w:t>
      </w:r>
    </w:p>
    <w:p w14:paraId="018F8F5B" w14:textId="77777777" w:rsidR="007862A2" w:rsidRDefault="007862A2" w:rsidP="007862A2">
      <w:pPr>
        <w:pStyle w:val="PL"/>
      </w:pPr>
      <w:r>
        <w:t xml:space="preserve">        - Subscriptions (Collection)</w:t>
      </w:r>
    </w:p>
    <w:p w14:paraId="7B7B57C4" w14:textId="77777777" w:rsidR="007862A2" w:rsidRDefault="007862A2" w:rsidP="007862A2">
      <w:pPr>
        <w:pStyle w:val="PL"/>
      </w:pPr>
      <w:r>
        <w:t xml:space="preserve">      requestBody:</w:t>
      </w:r>
    </w:p>
    <w:p w14:paraId="45E305DF" w14:textId="77777777" w:rsidR="007862A2" w:rsidRDefault="007862A2" w:rsidP="007862A2">
      <w:pPr>
        <w:pStyle w:val="PL"/>
      </w:pPr>
      <w:r>
        <w:t xml:space="preserve">        required: true</w:t>
      </w:r>
    </w:p>
    <w:p w14:paraId="31651135" w14:textId="77777777" w:rsidR="007862A2" w:rsidRDefault="007862A2" w:rsidP="007862A2">
      <w:pPr>
        <w:pStyle w:val="PL"/>
      </w:pPr>
      <w:r>
        <w:t xml:space="preserve">        content:</w:t>
      </w:r>
    </w:p>
    <w:p w14:paraId="0D51E5E4" w14:textId="77777777" w:rsidR="007862A2" w:rsidRDefault="007862A2" w:rsidP="007862A2">
      <w:pPr>
        <w:pStyle w:val="PL"/>
      </w:pPr>
      <w:r>
        <w:t xml:space="preserve">          application/json:</w:t>
      </w:r>
    </w:p>
    <w:p w14:paraId="19ED01D2" w14:textId="77777777" w:rsidR="007862A2" w:rsidRDefault="007862A2" w:rsidP="007862A2">
      <w:pPr>
        <w:pStyle w:val="PL"/>
      </w:pPr>
      <w:r>
        <w:t xml:space="preserve">            schema:</w:t>
      </w:r>
    </w:p>
    <w:p w14:paraId="346B8C4A" w14:textId="77777777" w:rsidR="007862A2" w:rsidRDefault="007862A2" w:rsidP="007862A2">
      <w:pPr>
        <w:pStyle w:val="PL"/>
      </w:pPr>
      <w:r>
        <w:t xml:space="preserve">              $ref: '#/components/schemas/</w:t>
      </w:r>
      <w:r>
        <w:rPr>
          <w:rFonts w:eastAsia="等线"/>
        </w:rPr>
        <w:t>NwdafMLModelTrainSubsc</w:t>
      </w:r>
      <w:r>
        <w:t>'</w:t>
      </w:r>
    </w:p>
    <w:p w14:paraId="1CF1B2CD" w14:textId="77777777" w:rsidR="007862A2" w:rsidRDefault="007862A2" w:rsidP="007862A2">
      <w:pPr>
        <w:pStyle w:val="PL"/>
      </w:pPr>
      <w:r>
        <w:t xml:space="preserve">      responses:</w:t>
      </w:r>
    </w:p>
    <w:p w14:paraId="7F65139F" w14:textId="77777777" w:rsidR="007862A2" w:rsidRDefault="007862A2" w:rsidP="007862A2">
      <w:pPr>
        <w:pStyle w:val="PL"/>
      </w:pPr>
      <w:r>
        <w:t xml:space="preserve">        '201':</w:t>
      </w:r>
    </w:p>
    <w:p w14:paraId="63AEC0F5" w14:textId="77777777" w:rsidR="007862A2" w:rsidRDefault="007862A2" w:rsidP="007862A2">
      <w:pPr>
        <w:pStyle w:val="PL"/>
      </w:pPr>
      <w:r>
        <w:t xml:space="preserve">          description: Create a new Individual NWDAF ML Model Training Subscription resource.</w:t>
      </w:r>
    </w:p>
    <w:p w14:paraId="422D5D22" w14:textId="77777777" w:rsidR="007862A2" w:rsidRDefault="007862A2" w:rsidP="007862A2">
      <w:pPr>
        <w:pStyle w:val="PL"/>
      </w:pPr>
      <w:r>
        <w:t xml:space="preserve">          content:</w:t>
      </w:r>
    </w:p>
    <w:p w14:paraId="615AAAEE" w14:textId="77777777" w:rsidR="007862A2" w:rsidRDefault="007862A2" w:rsidP="007862A2">
      <w:pPr>
        <w:pStyle w:val="PL"/>
      </w:pPr>
      <w:r>
        <w:t xml:space="preserve">            application/json:</w:t>
      </w:r>
    </w:p>
    <w:p w14:paraId="6E5C5489" w14:textId="77777777" w:rsidR="007862A2" w:rsidRDefault="007862A2" w:rsidP="007862A2">
      <w:pPr>
        <w:pStyle w:val="PL"/>
      </w:pPr>
      <w:r>
        <w:t xml:space="preserve">              schema:</w:t>
      </w:r>
    </w:p>
    <w:p w14:paraId="6723F112" w14:textId="77777777" w:rsidR="007862A2" w:rsidRDefault="007862A2" w:rsidP="007862A2">
      <w:pPr>
        <w:pStyle w:val="PL"/>
      </w:pPr>
      <w:r>
        <w:t xml:space="preserve">                $ref: '#/components/schemas/</w:t>
      </w:r>
      <w:r>
        <w:rPr>
          <w:rFonts w:eastAsia="等线"/>
        </w:rPr>
        <w:t>NwdafMLModelTrainSubsc</w:t>
      </w:r>
      <w:r>
        <w:t>'</w:t>
      </w:r>
    </w:p>
    <w:p w14:paraId="68E42F8E" w14:textId="77777777" w:rsidR="007862A2" w:rsidRDefault="007862A2" w:rsidP="007862A2">
      <w:pPr>
        <w:pStyle w:val="PL"/>
      </w:pPr>
      <w:r>
        <w:t xml:space="preserve">          headers:</w:t>
      </w:r>
    </w:p>
    <w:p w14:paraId="150149A2" w14:textId="77777777" w:rsidR="007862A2" w:rsidRDefault="007862A2" w:rsidP="007862A2">
      <w:pPr>
        <w:pStyle w:val="PL"/>
      </w:pPr>
      <w:r>
        <w:t xml:space="preserve">            Location:</w:t>
      </w:r>
    </w:p>
    <w:p w14:paraId="6D7286AB" w14:textId="77777777" w:rsidR="007862A2" w:rsidRDefault="007862A2" w:rsidP="007862A2">
      <w:pPr>
        <w:pStyle w:val="PL"/>
      </w:pPr>
      <w:r>
        <w:t xml:space="preserve">              description: </w:t>
      </w:r>
      <w:r>
        <w:rPr>
          <w:lang w:val="en-US"/>
        </w:rPr>
        <w:t>&gt;</w:t>
      </w:r>
    </w:p>
    <w:p w14:paraId="5DA53E83" w14:textId="77777777" w:rsidR="007862A2" w:rsidRDefault="007862A2" w:rsidP="007862A2">
      <w:pPr>
        <w:pStyle w:val="PL"/>
      </w:pPr>
      <w:r>
        <w:t xml:space="preserve">                Contains the URI of the newly created resource, according to the structure</w:t>
      </w:r>
    </w:p>
    <w:p w14:paraId="275C131D" w14:textId="77777777" w:rsidR="007862A2" w:rsidRDefault="007862A2" w:rsidP="007862A2">
      <w:pPr>
        <w:pStyle w:val="PL"/>
      </w:pPr>
      <w:r>
        <w:t xml:space="preserve">                {apiRoot}/nnwdaf-mlmodeltraining/v1/subscriptions/{subscriptionId}.</w:t>
      </w:r>
    </w:p>
    <w:p w14:paraId="12560C1D" w14:textId="77777777" w:rsidR="007862A2" w:rsidRDefault="007862A2" w:rsidP="007862A2">
      <w:pPr>
        <w:pStyle w:val="PL"/>
      </w:pPr>
      <w:r>
        <w:t xml:space="preserve">              required: true</w:t>
      </w:r>
    </w:p>
    <w:p w14:paraId="0A1B8071" w14:textId="77777777" w:rsidR="007862A2" w:rsidRDefault="007862A2" w:rsidP="007862A2">
      <w:pPr>
        <w:pStyle w:val="PL"/>
      </w:pPr>
      <w:r>
        <w:t xml:space="preserve">              schema:</w:t>
      </w:r>
    </w:p>
    <w:p w14:paraId="5C1B229A" w14:textId="77777777" w:rsidR="007862A2" w:rsidRDefault="007862A2" w:rsidP="007862A2">
      <w:pPr>
        <w:pStyle w:val="PL"/>
      </w:pPr>
      <w:r>
        <w:t xml:space="preserve">                type: string</w:t>
      </w:r>
    </w:p>
    <w:p w14:paraId="180B4697" w14:textId="77777777" w:rsidR="007862A2" w:rsidRDefault="007862A2" w:rsidP="007862A2">
      <w:pPr>
        <w:pStyle w:val="PL"/>
      </w:pPr>
      <w:r>
        <w:t xml:space="preserve">        '400':</w:t>
      </w:r>
    </w:p>
    <w:p w14:paraId="039FBDC4" w14:textId="77777777" w:rsidR="007862A2" w:rsidRDefault="007862A2" w:rsidP="007862A2">
      <w:pPr>
        <w:pStyle w:val="PL"/>
      </w:pPr>
      <w:r>
        <w:t xml:space="preserve">          $ref: 'TS29571_CommonData.yaml#/components/responses/400'</w:t>
      </w:r>
    </w:p>
    <w:p w14:paraId="223FB071" w14:textId="77777777" w:rsidR="007862A2" w:rsidRDefault="007862A2" w:rsidP="007862A2">
      <w:pPr>
        <w:pStyle w:val="PL"/>
      </w:pPr>
      <w:r>
        <w:t xml:space="preserve">        '401':</w:t>
      </w:r>
    </w:p>
    <w:p w14:paraId="0060A749" w14:textId="77777777" w:rsidR="007862A2" w:rsidRDefault="007862A2" w:rsidP="007862A2">
      <w:pPr>
        <w:pStyle w:val="PL"/>
      </w:pPr>
      <w:r>
        <w:t xml:space="preserve">          $ref: 'TS29571_CommonData.yaml#/components/responses/401'</w:t>
      </w:r>
    </w:p>
    <w:p w14:paraId="16FE52E5" w14:textId="77777777" w:rsidR="007862A2" w:rsidRDefault="007862A2" w:rsidP="007862A2">
      <w:pPr>
        <w:pStyle w:val="PL"/>
      </w:pPr>
      <w:r>
        <w:t xml:space="preserve">        '403':</w:t>
      </w:r>
    </w:p>
    <w:p w14:paraId="35BED796" w14:textId="77777777" w:rsidR="007862A2" w:rsidRDefault="007862A2" w:rsidP="007862A2">
      <w:pPr>
        <w:pStyle w:val="PL"/>
      </w:pPr>
      <w:r>
        <w:t xml:space="preserve">          $ref: 'TS29571_CommonData.yaml#/components/responses/403'</w:t>
      </w:r>
    </w:p>
    <w:p w14:paraId="756166C5" w14:textId="77777777" w:rsidR="007862A2" w:rsidRDefault="007862A2" w:rsidP="007862A2">
      <w:pPr>
        <w:pStyle w:val="PL"/>
      </w:pPr>
      <w:r>
        <w:t xml:space="preserve">        '404':</w:t>
      </w:r>
    </w:p>
    <w:p w14:paraId="34B07859" w14:textId="77777777" w:rsidR="007862A2" w:rsidRDefault="007862A2" w:rsidP="007862A2">
      <w:pPr>
        <w:pStyle w:val="PL"/>
      </w:pPr>
      <w:r>
        <w:t xml:space="preserve">          $ref: 'TS29571_CommonData.yaml#/components/responses/404'</w:t>
      </w:r>
    </w:p>
    <w:p w14:paraId="7105ADA5" w14:textId="77777777" w:rsidR="007862A2" w:rsidRDefault="007862A2" w:rsidP="007862A2">
      <w:pPr>
        <w:pStyle w:val="PL"/>
      </w:pPr>
      <w:r>
        <w:t xml:space="preserve">        '411':</w:t>
      </w:r>
    </w:p>
    <w:p w14:paraId="01E37F71" w14:textId="77777777" w:rsidR="007862A2" w:rsidRDefault="007862A2" w:rsidP="007862A2">
      <w:pPr>
        <w:pStyle w:val="PL"/>
      </w:pPr>
      <w:r>
        <w:t xml:space="preserve">          $ref: 'TS29571_CommonData.yaml#/components/responses/411'</w:t>
      </w:r>
    </w:p>
    <w:p w14:paraId="0F9CC621" w14:textId="77777777" w:rsidR="007862A2" w:rsidRDefault="007862A2" w:rsidP="007862A2">
      <w:pPr>
        <w:pStyle w:val="PL"/>
      </w:pPr>
      <w:r>
        <w:t xml:space="preserve">        '413':</w:t>
      </w:r>
    </w:p>
    <w:p w14:paraId="0C699CB0" w14:textId="77777777" w:rsidR="007862A2" w:rsidRDefault="007862A2" w:rsidP="007862A2">
      <w:pPr>
        <w:pStyle w:val="PL"/>
      </w:pPr>
      <w:r>
        <w:t xml:space="preserve">          $ref: 'TS29571_CommonData.yaml#/components/responses/413'</w:t>
      </w:r>
    </w:p>
    <w:p w14:paraId="4AACB4FF" w14:textId="77777777" w:rsidR="007862A2" w:rsidRDefault="007862A2" w:rsidP="007862A2">
      <w:pPr>
        <w:pStyle w:val="PL"/>
      </w:pPr>
      <w:r>
        <w:t xml:space="preserve">        '415':</w:t>
      </w:r>
    </w:p>
    <w:p w14:paraId="5EA88928" w14:textId="77777777" w:rsidR="007862A2" w:rsidRDefault="007862A2" w:rsidP="007862A2">
      <w:pPr>
        <w:pStyle w:val="PL"/>
      </w:pPr>
      <w:r>
        <w:t xml:space="preserve">          $ref: 'TS29571_CommonData.yaml#/components/responses/415'</w:t>
      </w:r>
    </w:p>
    <w:p w14:paraId="02A29A4D" w14:textId="77777777" w:rsidR="007862A2" w:rsidRDefault="007862A2" w:rsidP="007862A2">
      <w:pPr>
        <w:pStyle w:val="PL"/>
      </w:pPr>
      <w:r>
        <w:t xml:space="preserve">        '429':</w:t>
      </w:r>
    </w:p>
    <w:p w14:paraId="33063C7D" w14:textId="77777777" w:rsidR="007862A2" w:rsidRDefault="007862A2" w:rsidP="007862A2">
      <w:pPr>
        <w:pStyle w:val="PL"/>
      </w:pPr>
      <w:r>
        <w:t xml:space="preserve">          $ref: 'TS29571_CommonData.yaml#/components/responses/429'</w:t>
      </w:r>
    </w:p>
    <w:p w14:paraId="114B49F4" w14:textId="77777777" w:rsidR="007862A2" w:rsidRDefault="007862A2" w:rsidP="007862A2">
      <w:pPr>
        <w:pStyle w:val="PL"/>
      </w:pPr>
      <w:r>
        <w:t xml:space="preserve">        '500':</w:t>
      </w:r>
    </w:p>
    <w:p w14:paraId="1060C526" w14:textId="77777777" w:rsidR="007862A2" w:rsidRDefault="007862A2" w:rsidP="007862A2">
      <w:pPr>
        <w:pStyle w:val="PL"/>
      </w:pPr>
      <w:r>
        <w:t xml:space="preserve">          $ref: 'TS29571_CommonData.yaml#/components/responses/500'</w:t>
      </w:r>
    </w:p>
    <w:p w14:paraId="6B77FC6C" w14:textId="77777777" w:rsidR="007862A2" w:rsidRDefault="007862A2" w:rsidP="007862A2">
      <w:pPr>
        <w:pStyle w:val="PL"/>
      </w:pPr>
      <w:r>
        <w:t xml:space="preserve">        '502':</w:t>
      </w:r>
    </w:p>
    <w:p w14:paraId="751BAF38" w14:textId="77777777" w:rsidR="007862A2" w:rsidRDefault="007862A2" w:rsidP="007862A2">
      <w:pPr>
        <w:pStyle w:val="PL"/>
      </w:pPr>
      <w:r>
        <w:t xml:space="preserve">          $ref: 'TS29571_CommonData.yaml#/components/responses/502'</w:t>
      </w:r>
    </w:p>
    <w:p w14:paraId="421DFE71" w14:textId="77777777" w:rsidR="007862A2" w:rsidRDefault="007862A2" w:rsidP="007862A2">
      <w:pPr>
        <w:pStyle w:val="PL"/>
      </w:pPr>
      <w:r>
        <w:t xml:space="preserve">        '503':</w:t>
      </w:r>
    </w:p>
    <w:p w14:paraId="13B6FBB6" w14:textId="77777777" w:rsidR="007862A2" w:rsidRDefault="007862A2" w:rsidP="007862A2">
      <w:pPr>
        <w:pStyle w:val="PL"/>
      </w:pPr>
      <w:r>
        <w:t xml:space="preserve">          $ref: 'TS29571_CommonData.yaml#/components/responses/503'</w:t>
      </w:r>
    </w:p>
    <w:p w14:paraId="6DE3339B" w14:textId="77777777" w:rsidR="007862A2" w:rsidRDefault="007862A2" w:rsidP="007862A2">
      <w:pPr>
        <w:pStyle w:val="PL"/>
      </w:pPr>
      <w:r>
        <w:t xml:space="preserve">        default:</w:t>
      </w:r>
    </w:p>
    <w:p w14:paraId="403FADE1" w14:textId="77777777" w:rsidR="007862A2" w:rsidRDefault="007862A2" w:rsidP="007862A2">
      <w:pPr>
        <w:pStyle w:val="PL"/>
      </w:pPr>
      <w:r>
        <w:t xml:space="preserve">          $ref: 'TS29571_CommonData.yaml#/components/responses/default'</w:t>
      </w:r>
    </w:p>
    <w:p w14:paraId="65FE7238" w14:textId="77777777" w:rsidR="007862A2" w:rsidRDefault="007862A2" w:rsidP="007862A2">
      <w:pPr>
        <w:pStyle w:val="PL"/>
      </w:pPr>
      <w:r>
        <w:t xml:space="preserve">      callbacks:</w:t>
      </w:r>
    </w:p>
    <w:p w14:paraId="6D70B43E" w14:textId="77777777" w:rsidR="007862A2" w:rsidRDefault="007862A2" w:rsidP="007862A2">
      <w:pPr>
        <w:pStyle w:val="PL"/>
      </w:pPr>
      <w:r>
        <w:t xml:space="preserve">        myNotification:</w:t>
      </w:r>
    </w:p>
    <w:p w14:paraId="17BFAFED" w14:textId="77777777" w:rsidR="007862A2" w:rsidRDefault="007862A2" w:rsidP="007862A2">
      <w:pPr>
        <w:pStyle w:val="PL"/>
      </w:pPr>
      <w:r>
        <w:t xml:space="preserve">          '{$request.body#/notifUri}':</w:t>
      </w:r>
    </w:p>
    <w:p w14:paraId="2FCCE540" w14:textId="77777777" w:rsidR="007862A2" w:rsidRDefault="007862A2" w:rsidP="007862A2">
      <w:pPr>
        <w:pStyle w:val="PL"/>
      </w:pPr>
      <w:r>
        <w:t xml:space="preserve">            post:</w:t>
      </w:r>
    </w:p>
    <w:p w14:paraId="62838D08" w14:textId="77777777" w:rsidR="007862A2" w:rsidRDefault="007862A2" w:rsidP="007862A2">
      <w:pPr>
        <w:pStyle w:val="PL"/>
      </w:pPr>
      <w:r>
        <w:lastRenderedPageBreak/>
        <w:t xml:space="preserve">              requestBody:</w:t>
      </w:r>
    </w:p>
    <w:p w14:paraId="6BC6625E" w14:textId="77777777" w:rsidR="007862A2" w:rsidRDefault="007862A2" w:rsidP="007862A2">
      <w:pPr>
        <w:pStyle w:val="PL"/>
      </w:pPr>
      <w:r>
        <w:t xml:space="preserve">                required: true</w:t>
      </w:r>
    </w:p>
    <w:p w14:paraId="34B890A8" w14:textId="77777777" w:rsidR="007862A2" w:rsidRDefault="007862A2" w:rsidP="007862A2">
      <w:pPr>
        <w:pStyle w:val="PL"/>
      </w:pPr>
      <w:r>
        <w:t xml:space="preserve">                content:</w:t>
      </w:r>
    </w:p>
    <w:p w14:paraId="27925513" w14:textId="77777777" w:rsidR="007862A2" w:rsidRDefault="007862A2" w:rsidP="007862A2">
      <w:pPr>
        <w:pStyle w:val="PL"/>
      </w:pPr>
      <w:r>
        <w:t xml:space="preserve">                  application/json:</w:t>
      </w:r>
    </w:p>
    <w:p w14:paraId="33D67DCA" w14:textId="77777777" w:rsidR="007862A2" w:rsidRDefault="007862A2" w:rsidP="007862A2">
      <w:pPr>
        <w:pStyle w:val="PL"/>
      </w:pPr>
      <w:r>
        <w:t xml:space="preserve">                    schema:</w:t>
      </w:r>
    </w:p>
    <w:p w14:paraId="46A47796" w14:textId="77777777" w:rsidR="007862A2" w:rsidRDefault="007862A2" w:rsidP="007862A2">
      <w:pPr>
        <w:pStyle w:val="PL"/>
      </w:pPr>
      <w:r>
        <w:t xml:space="preserve">                      $ref: '#/components/schemas/</w:t>
      </w:r>
      <w:r>
        <w:rPr>
          <w:rFonts w:eastAsia="等线"/>
        </w:rPr>
        <w:t>NwdafMLModelTrainNotif</w:t>
      </w:r>
      <w:r>
        <w:t>'</w:t>
      </w:r>
    </w:p>
    <w:p w14:paraId="2E8CA117" w14:textId="77777777" w:rsidR="007862A2" w:rsidRDefault="007862A2" w:rsidP="007862A2">
      <w:pPr>
        <w:pStyle w:val="PL"/>
      </w:pPr>
      <w:r>
        <w:t xml:space="preserve">              responses:</w:t>
      </w:r>
    </w:p>
    <w:p w14:paraId="640CC2E6" w14:textId="77777777" w:rsidR="007862A2" w:rsidRDefault="007862A2" w:rsidP="007862A2">
      <w:pPr>
        <w:pStyle w:val="PL"/>
      </w:pPr>
      <w:r>
        <w:t xml:space="preserve">                '204':</w:t>
      </w:r>
    </w:p>
    <w:p w14:paraId="589DDFB3" w14:textId="77777777" w:rsidR="007862A2" w:rsidRDefault="007862A2" w:rsidP="007862A2">
      <w:pPr>
        <w:pStyle w:val="PL"/>
      </w:pPr>
      <w:r>
        <w:t xml:space="preserve">                  description: No Content, Notification was succesfull</w:t>
      </w:r>
    </w:p>
    <w:p w14:paraId="3B9BB051" w14:textId="77777777" w:rsidR="007862A2" w:rsidRDefault="007862A2" w:rsidP="007862A2">
      <w:pPr>
        <w:pStyle w:val="PL"/>
      </w:pPr>
      <w:r>
        <w:t xml:space="preserve">                '307':</w:t>
      </w:r>
    </w:p>
    <w:p w14:paraId="5EC7E88B" w14:textId="77777777" w:rsidR="007862A2" w:rsidRDefault="007862A2" w:rsidP="007862A2">
      <w:pPr>
        <w:pStyle w:val="PL"/>
      </w:pPr>
      <w:r>
        <w:t xml:space="preserve">                  $ref: 'TS29571_CommonData.yaml#/components/responses/307'</w:t>
      </w:r>
    </w:p>
    <w:p w14:paraId="36310386" w14:textId="77777777" w:rsidR="007862A2" w:rsidRDefault="007862A2" w:rsidP="007862A2">
      <w:pPr>
        <w:pStyle w:val="PL"/>
      </w:pPr>
      <w:r>
        <w:t xml:space="preserve">                '308':</w:t>
      </w:r>
    </w:p>
    <w:p w14:paraId="1160FC28" w14:textId="77777777" w:rsidR="007862A2" w:rsidRDefault="007862A2" w:rsidP="007862A2">
      <w:pPr>
        <w:pStyle w:val="PL"/>
      </w:pPr>
      <w:r>
        <w:t xml:space="preserve">                  $ref: 'TS29571_CommonData.yaml#/components/responses/308'</w:t>
      </w:r>
    </w:p>
    <w:p w14:paraId="50B64127" w14:textId="77777777" w:rsidR="007862A2" w:rsidRDefault="007862A2" w:rsidP="007862A2">
      <w:pPr>
        <w:pStyle w:val="PL"/>
      </w:pPr>
      <w:r>
        <w:t xml:space="preserve">                '400':</w:t>
      </w:r>
    </w:p>
    <w:p w14:paraId="7AEE5EF7" w14:textId="77777777" w:rsidR="007862A2" w:rsidRDefault="007862A2" w:rsidP="007862A2">
      <w:pPr>
        <w:pStyle w:val="PL"/>
      </w:pPr>
      <w:r>
        <w:t xml:space="preserve">                  $ref: 'TS29571_CommonData.yaml#/components/responses/400'</w:t>
      </w:r>
    </w:p>
    <w:p w14:paraId="25BE15DB" w14:textId="77777777" w:rsidR="007862A2" w:rsidRDefault="007862A2" w:rsidP="007862A2">
      <w:pPr>
        <w:pStyle w:val="PL"/>
      </w:pPr>
      <w:r>
        <w:t xml:space="preserve">                '401':</w:t>
      </w:r>
    </w:p>
    <w:p w14:paraId="08592A3C" w14:textId="77777777" w:rsidR="007862A2" w:rsidRDefault="007862A2" w:rsidP="007862A2">
      <w:pPr>
        <w:pStyle w:val="PL"/>
      </w:pPr>
      <w:r>
        <w:t xml:space="preserve">                  $ref: 'TS29571_CommonData.yaml#/components/responses/401'</w:t>
      </w:r>
    </w:p>
    <w:p w14:paraId="5FB5F1B3" w14:textId="77777777" w:rsidR="007862A2" w:rsidRDefault="007862A2" w:rsidP="007862A2">
      <w:pPr>
        <w:pStyle w:val="PL"/>
      </w:pPr>
      <w:r>
        <w:t xml:space="preserve">                '403':</w:t>
      </w:r>
    </w:p>
    <w:p w14:paraId="620638D1" w14:textId="77777777" w:rsidR="007862A2" w:rsidRDefault="007862A2" w:rsidP="007862A2">
      <w:pPr>
        <w:pStyle w:val="PL"/>
      </w:pPr>
      <w:r>
        <w:t xml:space="preserve">                  $ref: 'TS29571_CommonData.yaml#/components/responses/403'</w:t>
      </w:r>
    </w:p>
    <w:p w14:paraId="23BE8D22" w14:textId="77777777" w:rsidR="007862A2" w:rsidRDefault="007862A2" w:rsidP="007862A2">
      <w:pPr>
        <w:pStyle w:val="PL"/>
      </w:pPr>
      <w:r>
        <w:t xml:space="preserve">                '404':</w:t>
      </w:r>
    </w:p>
    <w:p w14:paraId="603917B5" w14:textId="77777777" w:rsidR="007862A2" w:rsidRDefault="007862A2" w:rsidP="007862A2">
      <w:pPr>
        <w:pStyle w:val="PL"/>
      </w:pPr>
      <w:r>
        <w:t xml:space="preserve">                  $ref: 'TS29571_CommonData.yaml#/components/responses/404'</w:t>
      </w:r>
    </w:p>
    <w:p w14:paraId="094F6A1A" w14:textId="77777777" w:rsidR="007862A2" w:rsidRDefault="007862A2" w:rsidP="007862A2">
      <w:pPr>
        <w:pStyle w:val="PL"/>
      </w:pPr>
      <w:r>
        <w:t xml:space="preserve">                '411':</w:t>
      </w:r>
    </w:p>
    <w:p w14:paraId="46A617C6" w14:textId="77777777" w:rsidR="007862A2" w:rsidRDefault="007862A2" w:rsidP="007862A2">
      <w:pPr>
        <w:pStyle w:val="PL"/>
      </w:pPr>
      <w:r>
        <w:t xml:space="preserve">                  $ref: 'TS29571_CommonData.yaml#/components/responses/411'</w:t>
      </w:r>
    </w:p>
    <w:p w14:paraId="6CEAE6D6" w14:textId="77777777" w:rsidR="007862A2" w:rsidRDefault="007862A2" w:rsidP="007862A2">
      <w:pPr>
        <w:pStyle w:val="PL"/>
      </w:pPr>
      <w:r>
        <w:t xml:space="preserve">                '413':</w:t>
      </w:r>
    </w:p>
    <w:p w14:paraId="0AA68CC4" w14:textId="77777777" w:rsidR="007862A2" w:rsidRDefault="007862A2" w:rsidP="007862A2">
      <w:pPr>
        <w:pStyle w:val="PL"/>
      </w:pPr>
      <w:r>
        <w:t xml:space="preserve">                  $ref: 'TS29571_CommonData.yaml#/components/responses/413'</w:t>
      </w:r>
    </w:p>
    <w:p w14:paraId="3272F9C5" w14:textId="77777777" w:rsidR="007862A2" w:rsidRDefault="007862A2" w:rsidP="007862A2">
      <w:pPr>
        <w:pStyle w:val="PL"/>
      </w:pPr>
      <w:r>
        <w:t xml:space="preserve">                '415':</w:t>
      </w:r>
    </w:p>
    <w:p w14:paraId="7FE4C7BD" w14:textId="77777777" w:rsidR="007862A2" w:rsidRDefault="007862A2" w:rsidP="007862A2">
      <w:pPr>
        <w:pStyle w:val="PL"/>
      </w:pPr>
      <w:r>
        <w:t xml:space="preserve">                  $ref: 'TS29571_CommonData.yaml#/components/responses/415'</w:t>
      </w:r>
    </w:p>
    <w:p w14:paraId="06CFA150" w14:textId="77777777" w:rsidR="007862A2" w:rsidRDefault="007862A2" w:rsidP="007862A2">
      <w:pPr>
        <w:pStyle w:val="PL"/>
      </w:pPr>
      <w:r>
        <w:t xml:space="preserve">                '429':</w:t>
      </w:r>
    </w:p>
    <w:p w14:paraId="666C3315" w14:textId="77777777" w:rsidR="007862A2" w:rsidRDefault="007862A2" w:rsidP="007862A2">
      <w:pPr>
        <w:pStyle w:val="PL"/>
      </w:pPr>
      <w:r>
        <w:t xml:space="preserve">                  $ref: 'TS29571_CommonData.yaml#/components/responses/429'</w:t>
      </w:r>
    </w:p>
    <w:p w14:paraId="5FF08F3C" w14:textId="77777777" w:rsidR="007862A2" w:rsidRDefault="007862A2" w:rsidP="007862A2">
      <w:pPr>
        <w:pStyle w:val="PL"/>
      </w:pPr>
      <w:r>
        <w:t xml:space="preserve">                '500':</w:t>
      </w:r>
    </w:p>
    <w:p w14:paraId="2AB3CC23" w14:textId="77777777" w:rsidR="007862A2" w:rsidRDefault="007862A2" w:rsidP="007862A2">
      <w:pPr>
        <w:pStyle w:val="PL"/>
      </w:pPr>
      <w:r>
        <w:t xml:space="preserve">                  $ref: 'TS29571_CommonData.yaml#/components/responses/500'</w:t>
      </w:r>
    </w:p>
    <w:p w14:paraId="4EAB1E4D" w14:textId="77777777" w:rsidR="007862A2" w:rsidRDefault="007862A2" w:rsidP="007862A2">
      <w:pPr>
        <w:pStyle w:val="PL"/>
      </w:pPr>
      <w:r>
        <w:t xml:space="preserve">                '502':</w:t>
      </w:r>
    </w:p>
    <w:p w14:paraId="15B643AC" w14:textId="77777777" w:rsidR="007862A2" w:rsidRDefault="007862A2" w:rsidP="007862A2">
      <w:pPr>
        <w:pStyle w:val="PL"/>
      </w:pPr>
      <w:r>
        <w:t xml:space="preserve">                  $ref: 'TS29571_CommonData.yaml#/components/responses/502'</w:t>
      </w:r>
    </w:p>
    <w:p w14:paraId="0C4ECCD8" w14:textId="77777777" w:rsidR="007862A2" w:rsidRDefault="007862A2" w:rsidP="007862A2">
      <w:pPr>
        <w:pStyle w:val="PL"/>
      </w:pPr>
      <w:r>
        <w:t xml:space="preserve">                '503':</w:t>
      </w:r>
    </w:p>
    <w:p w14:paraId="46152627" w14:textId="77777777" w:rsidR="007862A2" w:rsidRDefault="007862A2" w:rsidP="007862A2">
      <w:pPr>
        <w:pStyle w:val="PL"/>
      </w:pPr>
      <w:r>
        <w:t xml:space="preserve">                  $ref: 'TS29571_CommonData.yaml#/components/responses/503'</w:t>
      </w:r>
    </w:p>
    <w:p w14:paraId="34657C09" w14:textId="77777777" w:rsidR="007862A2" w:rsidRDefault="007862A2" w:rsidP="007862A2">
      <w:pPr>
        <w:pStyle w:val="PL"/>
      </w:pPr>
      <w:r>
        <w:t xml:space="preserve">                default:</w:t>
      </w:r>
    </w:p>
    <w:p w14:paraId="34544541" w14:textId="77777777" w:rsidR="007862A2" w:rsidRDefault="007862A2" w:rsidP="007862A2">
      <w:pPr>
        <w:pStyle w:val="PL"/>
      </w:pPr>
      <w:r>
        <w:t xml:space="preserve">                  $ref: 'TS29571_CommonData.yaml#/components/responses/default'</w:t>
      </w:r>
    </w:p>
    <w:p w14:paraId="1FF19C3E" w14:textId="77777777" w:rsidR="007862A2" w:rsidRDefault="007862A2" w:rsidP="007862A2">
      <w:pPr>
        <w:pStyle w:val="PL"/>
      </w:pPr>
      <w:r>
        <w:t xml:space="preserve">  /subscriptions/{subscriptionId}:</w:t>
      </w:r>
    </w:p>
    <w:p w14:paraId="1303B0E5" w14:textId="77777777" w:rsidR="007862A2" w:rsidRDefault="007862A2" w:rsidP="007862A2">
      <w:pPr>
        <w:pStyle w:val="PL"/>
      </w:pPr>
      <w:r>
        <w:t xml:space="preserve">    put:</w:t>
      </w:r>
    </w:p>
    <w:p w14:paraId="0FA607C7" w14:textId="77777777" w:rsidR="007862A2" w:rsidRDefault="007862A2" w:rsidP="007862A2">
      <w:pPr>
        <w:pStyle w:val="PL"/>
      </w:pPr>
      <w:r>
        <w:t xml:space="preserve">      summary: update an existing Individual NWDAF ML Model Training Subscription</w:t>
      </w:r>
    </w:p>
    <w:p w14:paraId="6F8514D0" w14:textId="77777777" w:rsidR="007862A2" w:rsidRDefault="007862A2" w:rsidP="007862A2">
      <w:pPr>
        <w:pStyle w:val="PL"/>
      </w:pPr>
      <w:r>
        <w:t xml:space="preserve">      operationId: UpdateNWDAFMLModelTrainingSubcription</w:t>
      </w:r>
    </w:p>
    <w:p w14:paraId="5F7C6041" w14:textId="77777777" w:rsidR="007862A2" w:rsidRDefault="007862A2" w:rsidP="007862A2">
      <w:pPr>
        <w:pStyle w:val="PL"/>
      </w:pPr>
      <w:r>
        <w:t xml:space="preserve">      tags:</w:t>
      </w:r>
    </w:p>
    <w:p w14:paraId="41857EA5" w14:textId="77777777" w:rsidR="007862A2" w:rsidRDefault="007862A2" w:rsidP="007862A2">
      <w:pPr>
        <w:pStyle w:val="PL"/>
      </w:pPr>
      <w:r>
        <w:t xml:space="preserve">        - Individual NWDAF ML Model Training Subscription (Document)</w:t>
      </w:r>
    </w:p>
    <w:p w14:paraId="39586266" w14:textId="77777777" w:rsidR="007862A2" w:rsidRDefault="007862A2" w:rsidP="007862A2">
      <w:pPr>
        <w:pStyle w:val="PL"/>
      </w:pPr>
      <w:r>
        <w:t xml:space="preserve">      requestBody:</w:t>
      </w:r>
    </w:p>
    <w:p w14:paraId="0EC3B075" w14:textId="77777777" w:rsidR="007862A2" w:rsidRDefault="007862A2" w:rsidP="007862A2">
      <w:pPr>
        <w:pStyle w:val="PL"/>
      </w:pPr>
      <w:r>
        <w:t xml:space="preserve">        required: true</w:t>
      </w:r>
    </w:p>
    <w:p w14:paraId="04554456" w14:textId="77777777" w:rsidR="007862A2" w:rsidRDefault="007862A2" w:rsidP="007862A2">
      <w:pPr>
        <w:pStyle w:val="PL"/>
      </w:pPr>
      <w:r>
        <w:t xml:space="preserve">        content:</w:t>
      </w:r>
    </w:p>
    <w:p w14:paraId="562B43D3" w14:textId="77777777" w:rsidR="007862A2" w:rsidRDefault="007862A2" w:rsidP="007862A2">
      <w:pPr>
        <w:pStyle w:val="PL"/>
      </w:pPr>
      <w:r>
        <w:t xml:space="preserve">          application/json:</w:t>
      </w:r>
    </w:p>
    <w:p w14:paraId="54D5D26A" w14:textId="77777777" w:rsidR="007862A2" w:rsidRDefault="007862A2" w:rsidP="007862A2">
      <w:pPr>
        <w:pStyle w:val="PL"/>
      </w:pPr>
      <w:r>
        <w:t xml:space="preserve">            schema:</w:t>
      </w:r>
    </w:p>
    <w:p w14:paraId="29F60167" w14:textId="77777777" w:rsidR="007862A2" w:rsidRDefault="007862A2" w:rsidP="007862A2">
      <w:pPr>
        <w:pStyle w:val="PL"/>
      </w:pPr>
      <w:r>
        <w:t xml:space="preserve">              $ref: '#/components/schemas/</w:t>
      </w:r>
      <w:r>
        <w:rPr>
          <w:rFonts w:eastAsia="等线"/>
        </w:rPr>
        <w:t>NwdafMLModelTrainSubsc</w:t>
      </w:r>
      <w:r>
        <w:t>'</w:t>
      </w:r>
    </w:p>
    <w:p w14:paraId="5DA09E8A" w14:textId="77777777" w:rsidR="007862A2" w:rsidRDefault="007862A2" w:rsidP="007862A2">
      <w:pPr>
        <w:pStyle w:val="PL"/>
      </w:pPr>
      <w:r>
        <w:t xml:space="preserve">      parameters:</w:t>
      </w:r>
    </w:p>
    <w:p w14:paraId="75EEF0F7" w14:textId="77777777" w:rsidR="007862A2" w:rsidRDefault="007862A2" w:rsidP="007862A2">
      <w:pPr>
        <w:pStyle w:val="PL"/>
      </w:pPr>
      <w:r>
        <w:t xml:space="preserve">        - name: subscriptionId</w:t>
      </w:r>
    </w:p>
    <w:p w14:paraId="6A9F35F4" w14:textId="77777777" w:rsidR="007862A2" w:rsidRDefault="007862A2" w:rsidP="007862A2">
      <w:pPr>
        <w:pStyle w:val="PL"/>
      </w:pPr>
      <w:r>
        <w:t xml:space="preserve">          in: path</w:t>
      </w:r>
    </w:p>
    <w:p w14:paraId="78E5C627" w14:textId="77777777" w:rsidR="007862A2" w:rsidRDefault="007862A2" w:rsidP="007862A2">
      <w:pPr>
        <w:pStyle w:val="PL"/>
      </w:pPr>
      <w:r>
        <w:t xml:space="preserve">          description: String identifying a subscription to the Nnwdaf_MLModelTraining Service.</w:t>
      </w:r>
    </w:p>
    <w:p w14:paraId="21EFB151" w14:textId="77777777" w:rsidR="007862A2" w:rsidRDefault="007862A2" w:rsidP="007862A2">
      <w:pPr>
        <w:pStyle w:val="PL"/>
      </w:pPr>
      <w:r>
        <w:t xml:space="preserve">          required: true</w:t>
      </w:r>
    </w:p>
    <w:p w14:paraId="037240AE" w14:textId="77777777" w:rsidR="007862A2" w:rsidRDefault="007862A2" w:rsidP="007862A2">
      <w:pPr>
        <w:pStyle w:val="PL"/>
      </w:pPr>
      <w:r>
        <w:t xml:space="preserve">          schema:</w:t>
      </w:r>
    </w:p>
    <w:p w14:paraId="5127F4EE" w14:textId="77777777" w:rsidR="007862A2" w:rsidRDefault="007862A2" w:rsidP="007862A2">
      <w:pPr>
        <w:pStyle w:val="PL"/>
      </w:pPr>
      <w:r>
        <w:t xml:space="preserve">            type: string</w:t>
      </w:r>
    </w:p>
    <w:p w14:paraId="04EC1E43" w14:textId="77777777" w:rsidR="007862A2" w:rsidRDefault="007862A2" w:rsidP="007862A2">
      <w:pPr>
        <w:pStyle w:val="PL"/>
      </w:pPr>
      <w:r>
        <w:t xml:space="preserve">      responses:</w:t>
      </w:r>
    </w:p>
    <w:p w14:paraId="7151B4F9" w14:textId="77777777" w:rsidR="007862A2" w:rsidRDefault="007862A2" w:rsidP="007862A2">
      <w:pPr>
        <w:pStyle w:val="PL"/>
      </w:pPr>
      <w:r>
        <w:t xml:space="preserve">        '200':</w:t>
      </w:r>
    </w:p>
    <w:p w14:paraId="66989CFB" w14:textId="77777777" w:rsidR="007862A2" w:rsidRDefault="007862A2" w:rsidP="007862A2">
      <w:pPr>
        <w:pStyle w:val="PL"/>
      </w:pPr>
      <w:r>
        <w:t xml:space="preserve">          description: &gt;</w:t>
      </w:r>
    </w:p>
    <w:p w14:paraId="07CB3203" w14:textId="77777777" w:rsidR="007862A2" w:rsidRDefault="007862A2" w:rsidP="007862A2">
      <w:pPr>
        <w:pStyle w:val="PL"/>
      </w:pPr>
      <w:r>
        <w:t xml:space="preserve">            The Individual NWDAF ML Model Training Subscription resource was modified successfully</w:t>
      </w:r>
    </w:p>
    <w:p w14:paraId="194A54FD" w14:textId="77777777" w:rsidR="007862A2" w:rsidRDefault="007862A2" w:rsidP="007862A2">
      <w:pPr>
        <w:pStyle w:val="PL"/>
      </w:pPr>
      <w:r>
        <w:t xml:space="preserve">            and a representation of that resource is returned.</w:t>
      </w:r>
    </w:p>
    <w:p w14:paraId="53AB34B7" w14:textId="77777777" w:rsidR="007862A2" w:rsidRDefault="007862A2" w:rsidP="007862A2">
      <w:pPr>
        <w:pStyle w:val="PL"/>
      </w:pPr>
      <w:r>
        <w:t xml:space="preserve">          content:</w:t>
      </w:r>
    </w:p>
    <w:p w14:paraId="6A124345" w14:textId="77777777" w:rsidR="007862A2" w:rsidRDefault="007862A2" w:rsidP="007862A2">
      <w:pPr>
        <w:pStyle w:val="PL"/>
      </w:pPr>
      <w:r>
        <w:t xml:space="preserve">            application/json:</w:t>
      </w:r>
    </w:p>
    <w:p w14:paraId="59AB9265" w14:textId="77777777" w:rsidR="007862A2" w:rsidRDefault="007862A2" w:rsidP="007862A2">
      <w:pPr>
        <w:pStyle w:val="PL"/>
      </w:pPr>
      <w:r>
        <w:t xml:space="preserve">              schema:</w:t>
      </w:r>
    </w:p>
    <w:p w14:paraId="261C0ED9" w14:textId="77777777" w:rsidR="007862A2" w:rsidRDefault="007862A2" w:rsidP="007862A2">
      <w:pPr>
        <w:pStyle w:val="PL"/>
      </w:pPr>
      <w:r>
        <w:t xml:space="preserve">                $ref: '#/components/schemas/</w:t>
      </w:r>
      <w:r>
        <w:rPr>
          <w:rFonts w:eastAsia="等线"/>
        </w:rPr>
        <w:t>NwdafMLModelTrainSubsc</w:t>
      </w:r>
      <w:r>
        <w:t>'</w:t>
      </w:r>
    </w:p>
    <w:p w14:paraId="1D7272BA" w14:textId="77777777" w:rsidR="007862A2" w:rsidRDefault="007862A2" w:rsidP="007862A2">
      <w:pPr>
        <w:pStyle w:val="PL"/>
      </w:pPr>
      <w:r>
        <w:t xml:space="preserve">        '204':</w:t>
      </w:r>
    </w:p>
    <w:p w14:paraId="4AA7FF85" w14:textId="77777777" w:rsidR="007862A2" w:rsidRDefault="007862A2" w:rsidP="007862A2">
      <w:pPr>
        <w:pStyle w:val="PL"/>
      </w:pPr>
      <w:r>
        <w:t xml:space="preserve">          description: &gt;</w:t>
      </w:r>
    </w:p>
    <w:p w14:paraId="2A0262C4" w14:textId="77777777" w:rsidR="007862A2" w:rsidRDefault="007862A2" w:rsidP="007862A2">
      <w:pPr>
        <w:pStyle w:val="PL"/>
      </w:pPr>
      <w:r>
        <w:t xml:space="preserve">            The Individual NWDAF ML Model Training Subscription resource was modified successfully.</w:t>
      </w:r>
    </w:p>
    <w:p w14:paraId="3893BDB0" w14:textId="77777777" w:rsidR="007862A2" w:rsidRDefault="007862A2" w:rsidP="007862A2">
      <w:pPr>
        <w:pStyle w:val="PL"/>
      </w:pPr>
      <w:r>
        <w:t xml:space="preserve">        '307':</w:t>
      </w:r>
    </w:p>
    <w:p w14:paraId="16E0E387" w14:textId="77777777" w:rsidR="007862A2" w:rsidRDefault="007862A2" w:rsidP="007862A2">
      <w:pPr>
        <w:pStyle w:val="PL"/>
      </w:pPr>
      <w:r>
        <w:t xml:space="preserve">          $ref: 'TS29571_CommonData.yaml#/components/responses/307'</w:t>
      </w:r>
    </w:p>
    <w:p w14:paraId="4C857CAC" w14:textId="77777777" w:rsidR="007862A2" w:rsidRDefault="007862A2" w:rsidP="007862A2">
      <w:pPr>
        <w:pStyle w:val="PL"/>
      </w:pPr>
      <w:r>
        <w:t xml:space="preserve">        '308':</w:t>
      </w:r>
    </w:p>
    <w:p w14:paraId="380CA907" w14:textId="77777777" w:rsidR="007862A2" w:rsidRDefault="007862A2" w:rsidP="007862A2">
      <w:pPr>
        <w:pStyle w:val="PL"/>
      </w:pPr>
      <w:r>
        <w:t xml:space="preserve">          $ref: 'TS29571_CommonData.yaml#/components/responses/308'</w:t>
      </w:r>
    </w:p>
    <w:p w14:paraId="58BD4383" w14:textId="77777777" w:rsidR="007862A2" w:rsidRDefault="007862A2" w:rsidP="007862A2">
      <w:pPr>
        <w:pStyle w:val="PL"/>
      </w:pPr>
      <w:r>
        <w:t xml:space="preserve">        '400':</w:t>
      </w:r>
    </w:p>
    <w:p w14:paraId="6FD3EDDA" w14:textId="77777777" w:rsidR="007862A2" w:rsidRDefault="007862A2" w:rsidP="007862A2">
      <w:pPr>
        <w:pStyle w:val="PL"/>
      </w:pPr>
      <w:r>
        <w:t xml:space="preserve">          $ref: 'TS29571_CommonData.yaml#/components/responses/400'</w:t>
      </w:r>
    </w:p>
    <w:p w14:paraId="3058A84D" w14:textId="77777777" w:rsidR="007862A2" w:rsidRDefault="007862A2" w:rsidP="007862A2">
      <w:pPr>
        <w:pStyle w:val="PL"/>
      </w:pPr>
      <w:r>
        <w:t xml:space="preserve">        '401':</w:t>
      </w:r>
    </w:p>
    <w:p w14:paraId="543D5F39" w14:textId="77777777" w:rsidR="007862A2" w:rsidRDefault="007862A2" w:rsidP="007862A2">
      <w:pPr>
        <w:pStyle w:val="PL"/>
      </w:pPr>
      <w:r>
        <w:t xml:space="preserve">          $ref: 'TS29571_CommonData.yaml#/components/responses/401'</w:t>
      </w:r>
    </w:p>
    <w:p w14:paraId="517AF1F6" w14:textId="77777777" w:rsidR="007862A2" w:rsidRDefault="007862A2" w:rsidP="007862A2">
      <w:pPr>
        <w:pStyle w:val="PL"/>
      </w:pPr>
      <w:r>
        <w:t xml:space="preserve">        '403':</w:t>
      </w:r>
    </w:p>
    <w:p w14:paraId="74A1458D" w14:textId="77777777" w:rsidR="007862A2" w:rsidRDefault="007862A2" w:rsidP="007862A2">
      <w:pPr>
        <w:pStyle w:val="PL"/>
      </w:pPr>
      <w:r>
        <w:t xml:space="preserve">          $ref: 'TS29571_CommonData.yaml#/components/responses/403'</w:t>
      </w:r>
    </w:p>
    <w:p w14:paraId="69F63498" w14:textId="77777777" w:rsidR="007862A2" w:rsidRDefault="007862A2" w:rsidP="007862A2">
      <w:pPr>
        <w:pStyle w:val="PL"/>
      </w:pPr>
      <w:r>
        <w:lastRenderedPageBreak/>
        <w:t xml:space="preserve">        '404':</w:t>
      </w:r>
    </w:p>
    <w:p w14:paraId="254CAD85" w14:textId="77777777" w:rsidR="007862A2" w:rsidRDefault="007862A2" w:rsidP="007862A2">
      <w:pPr>
        <w:pStyle w:val="PL"/>
      </w:pPr>
      <w:r>
        <w:t xml:space="preserve">          $ref: 'TS29571_CommonData.yaml#/components/responses/404'</w:t>
      </w:r>
    </w:p>
    <w:p w14:paraId="09A99C4A" w14:textId="77777777" w:rsidR="007862A2" w:rsidRDefault="007862A2" w:rsidP="007862A2">
      <w:pPr>
        <w:pStyle w:val="PL"/>
      </w:pPr>
      <w:r>
        <w:t xml:space="preserve">        '411':</w:t>
      </w:r>
    </w:p>
    <w:p w14:paraId="4ADD759C" w14:textId="77777777" w:rsidR="007862A2" w:rsidRDefault="007862A2" w:rsidP="007862A2">
      <w:pPr>
        <w:pStyle w:val="PL"/>
      </w:pPr>
      <w:r>
        <w:t xml:space="preserve">          $ref: 'TS29571_CommonData.yaml#/components/responses/411'</w:t>
      </w:r>
    </w:p>
    <w:p w14:paraId="2CF5BA63" w14:textId="77777777" w:rsidR="007862A2" w:rsidRDefault="007862A2" w:rsidP="007862A2">
      <w:pPr>
        <w:pStyle w:val="PL"/>
      </w:pPr>
      <w:r>
        <w:t xml:space="preserve">        '413':</w:t>
      </w:r>
    </w:p>
    <w:p w14:paraId="69FC4433" w14:textId="77777777" w:rsidR="007862A2" w:rsidRDefault="007862A2" w:rsidP="007862A2">
      <w:pPr>
        <w:pStyle w:val="PL"/>
      </w:pPr>
      <w:r>
        <w:t xml:space="preserve">          $ref: 'TS29571_CommonData.yaml#/components/responses/413'</w:t>
      </w:r>
    </w:p>
    <w:p w14:paraId="0DD1495F" w14:textId="77777777" w:rsidR="007862A2" w:rsidRDefault="007862A2" w:rsidP="007862A2">
      <w:pPr>
        <w:pStyle w:val="PL"/>
      </w:pPr>
      <w:r>
        <w:t xml:space="preserve">        '415':</w:t>
      </w:r>
    </w:p>
    <w:p w14:paraId="30F88A1E" w14:textId="77777777" w:rsidR="007862A2" w:rsidRDefault="007862A2" w:rsidP="007862A2">
      <w:pPr>
        <w:pStyle w:val="PL"/>
      </w:pPr>
      <w:r>
        <w:t xml:space="preserve">          $ref: 'TS29571_CommonData.yaml#/components/responses/415'</w:t>
      </w:r>
    </w:p>
    <w:p w14:paraId="49D77B1D" w14:textId="77777777" w:rsidR="007862A2" w:rsidRDefault="007862A2" w:rsidP="007862A2">
      <w:pPr>
        <w:pStyle w:val="PL"/>
      </w:pPr>
      <w:r>
        <w:t xml:space="preserve">        '429':</w:t>
      </w:r>
    </w:p>
    <w:p w14:paraId="6A9AD5AF" w14:textId="77777777" w:rsidR="007862A2" w:rsidRDefault="007862A2" w:rsidP="007862A2">
      <w:pPr>
        <w:pStyle w:val="PL"/>
      </w:pPr>
      <w:r>
        <w:t xml:space="preserve">          $ref: 'TS29571_CommonData.yaml#/components/responses/429'</w:t>
      </w:r>
    </w:p>
    <w:p w14:paraId="510485B9" w14:textId="77777777" w:rsidR="007862A2" w:rsidRDefault="007862A2" w:rsidP="007862A2">
      <w:pPr>
        <w:pStyle w:val="PL"/>
      </w:pPr>
      <w:r>
        <w:t xml:space="preserve">        '500':</w:t>
      </w:r>
    </w:p>
    <w:p w14:paraId="358ADA4E" w14:textId="77777777" w:rsidR="007862A2" w:rsidRDefault="007862A2" w:rsidP="007862A2">
      <w:pPr>
        <w:pStyle w:val="PL"/>
      </w:pPr>
      <w:r>
        <w:t xml:space="preserve">          $ref: 'TS29571_CommonData.yaml#/components/responses/500'</w:t>
      </w:r>
    </w:p>
    <w:p w14:paraId="2AE5C2D8" w14:textId="77777777" w:rsidR="007862A2" w:rsidRDefault="007862A2" w:rsidP="007862A2">
      <w:pPr>
        <w:pStyle w:val="PL"/>
      </w:pPr>
      <w:r>
        <w:t xml:space="preserve">        '502':</w:t>
      </w:r>
    </w:p>
    <w:p w14:paraId="4B70B082" w14:textId="77777777" w:rsidR="007862A2" w:rsidRDefault="007862A2" w:rsidP="007862A2">
      <w:pPr>
        <w:pStyle w:val="PL"/>
      </w:pPr>
      <w:r>
        <w:t xml:space="preserve">          $ref: 'TS29571_CommonData.yaml#/components/responses/502'</w:t>
      </w:r>
    </w:p>
    <w:p w14:paraId="3D30557A" w14:textId="77777777" w:rsidR="007862A2" w:rsidRDefault="007862A2" w:rsidP="007862A2">
      <w:pPr>
        <w:pStyle w:val="PL"/>
      </w:pPr>
      <w:r>
        <w:t xml:space="preserve">        '503':</w:t>
      </w:r>
    </w:p>
    <w:p w14:paraId="024BF288" w14:textId="77777777" w:rsidR="007862A2" w:rsidRDefault="007862A2" w:rsidP="007862A2">
      <w:pPr>
        <w:pStyle w:val="PL"/>
      </w:pPr>
      <w:r>
        <w:t xml:space="preserve">          $ref: 'TS29571_CommonData.yaml#/components/responses/503'</w:t>
      </w:r>
    </w:p>
    <w:p w14:paraId="36A3EA47" w14:textId="77777777" w:rsidR="007862A2" w:rsidRDefault="007862A2" w:rsidP="007862A2">
      <w:pPr>
        <w:pStyle w:val="PL"/>
      </w:pPr>
      <w:r>
        <w:t xml:space="preserve">        default:</w:t>
      </w:r>
    </w:p>
    <w:p w14:paraId="495F7957" w14:textId="77777777" w:rsidR="007862A2" w:rsidRDefault="007862A2" w:rsidP="007862A2">
      <w:pPr>
        <w:pStyle w:val="PL"/>
      </w:pPr>
      <w:r>
        <w:t xml:space="preserve">          $ref: 'TS29571_CommonData.yaml#/components/responses/default'</w:t>
      </w:r>
    </w:p>
    <w:p w14:paraId="6EBEDD63" w14:textId="77777777" w:rsidR="007862A2" w:rsidRDefault="007862A2" w:rsidP="007862A2">
      <w:pPr>
        <w:pStyle w:val="PL"/>
      </w:pPr>
      <w:r>
        <w:t xml:space="preserve">    patch:</w:t>
      </w:r>
    </w:p>
    <w:p w14:paraId="2B40168D" w14:textId="77777777" w:rsidR="007862A2" w:rsidRDefault="007862A2" w:rsidP="007862A2">
      <w:pPr>
        <w:pStyle w:val="PL"/>
      </w:pPr>
      <w:r>
        <w:t xml:space="preserve">      summary: partial update an existing Individual NWDAF ML Model Training Subscription</w:t>
      </w:r>
    </w:p>
    <w:p w14:paraId="54ADF52A" w14:textId="77777777" w:rsidR="007862A2" w:rsidRDefault="007862A2" w:rsidP="007862A2">
      <w:pPr>
        <w:pStyle w:val="PL"/>
      </w:pPr>
      <w:r>
        <w:t xml:space="preserve">      operationId: PartialUpdateNWDAFMLModelTrainingSubcription</w:t>
      </w:r>
    </w:p>
    <w:p w14:paraId="30A33336" w14:textId="77777777" w:rsidR="007862A2" w:rsidRDefault="007862A2" w:rsidP="007862A2">
      <w:pPr>
        <w:pStyle w:val="PL"/>
      </w:pPr>
      <w:r>
        <w:t xml:space="preserve">      tags:</w:t>
      </w:r>
    </w:p>
    <w:p w14:paraId="7FF0681E" w14:textId="77777777" w:rsidR="007862A2" w:rsidRDefault="007862A2" w:rsidP="007862A2">
      <w:pPr>
        <w:pStyle w:val="PL"/>
      </w:pPr>
      <w:r>
        <w:t xml:space="preserve">        - Individual NWDAF ML Model Training Subscription (Document)</w:t>
      </w:r>
    </w:p>
    <w:p w14:paraId="44D74E5E" w14:textId="77777777" w:rsidR="007862A2" w:rsidRDefault="007862A2" w:rsidP="007862A2">
      <w:pPr>
        <w:pStyle w:val="PL"/>
      </w:pPr>
      <w:r>
        <w:t xml:space="preserve">      requestBody:</w:t>
      </w:r>
    </w:p>
    <w:p w14:paraId="12E65593" w14:textId="77777777" w:rsidR="007862A2" w:rsidRDefault="007862A2" w:rsidP="007862A2">
      <w:pPr>
        <w:pStyle w:val="PL"/>
      </w:pPr>
      <w:r>
        <w:t xml:space="preserve">        required: true</w:t>
      </w:r>
    </w:p>
    <w:p w14:paraId="296DB1AF" w14:textId="77777777" w:rsidR="007862A2" w:rsidRDefault="007862A2" w:rsidP="007862A2">
      <w:pPr>
        <w:pStyle w:val="PL"/>
      </w:pPr>
      <w:r>
        <w:t xml:space="preserve">        content:</w:t>
      </w:r>
    </w:p>
    <w:p w14:paraId="704652C6" w14:textId="77777777" w:rsidR="007862A2" w:rsidRDefault="007862A2" w:rsidP="007862A2">
      <w:pPr>
        <w:pStyle w:val="PL"/>
      </w:pPr>
      <w:r>
        <w:t xml:space="preserve">          application/merge-patch+json:</w:t>
      </w:r>
    </w:p>
    <w:p w14:paraId="54E26BB7" w14:textId="77777777" w:rsidR="007862A2" w:rsidRDefault="007862A2" w:rsidP="007862A2">
      <w:pPr>
        <w:pStyle w:val="PL"/>
      </w:pPr>
      <w:r>
        <w:t xml:space="preserve">            schema:</w:t>
      </w:r>
    </w:p>
    <w:p w14:paraId="0D4B3A01" w14:textId="77777777" w:rsidR="007862A2" w:rsidRDefault="007862A2" w:rsidP="007862A2">
      <w:pPr>
        <w:pStyle w:val="PL"/>
      </w:pPr>
      <w:r>
        <w:t xml:space="preserve">              $ref: '#/components/schemas/</w:t>
      </w:r>
      <w:r>
        <w:rPr>
          <w:rFonts w:eastAsia="等线"/>
        </w:rPr>
        <w:t>NwdafMLModelTrainSubscPatch</w:t>
      </w:r>
      <w:r>
        <w:t>'</w:t>
      </w:r>
    </w:p>
    <w:p w14:paraId="19FCE8C5" w14:textId="77777777" w:rsidR="007862A2" w:rsidRDefault="007862A2" w:rsidP="007862A2">
      <w:pPr>
        <w:pStyle w:val="PL"/>
      </w:pPr>
      <w:r>
        <w:t xml:space="preserve">      parameters:</w:t>
      </w:r>
    </w:p>
    <w:p w14:paraId="167A8E15" w14:textId="77777777" w:rsidR="007862A2" w:rsidRDefault="007862A2" w:rsidP="007862A2">
      <w:pPr>
        <w:pStyle w:val="PL"/>
      </w:pPr>
      <w:r>
        <w:t xml:space="preserve">        - name: subscriptionId</w:t>
      </w:r>
    </w:p>
    <w:p w14:paraId="76A97E2A" w14:textId="77777777" w:rsidR="007862A2" w:rsidRDefault="007862A2" w:rsidP="007862A2">
      <w:pPr>
        <w:pStyle w:val="PL"/>
      </w:pPr>
      <w:r>
        <w:t xml:space="preserve">          in: path</w:t>
      </w:r>
    </w:p>
    <w:p w14:paraId="5F59F67C" w14:textId="77777777" w:rsidR="007862A2" w:rsidRDefault="007862A2" w:rsidP="007862A2">
      <w:pPr>
        <w:pStyle w:val="PL"/>
      </w:pPr>
      <w:r>
        <w:t xml:space="preserve">          description: String identifying a subscription to the Nnwdaf_MLModelTraining Service.</w:t>
      </w:r>
    </w:p>
    <w:p w14:paraId="1951DC2D" w14:textId="77777777" w:rsidR="007862A2" w:rsidRDefault="007862A2" w:rsidP="007862A2">
      <w:pPr>
        <w:pStyle w:val="PL"/>
      </w:pPr>
      <w:r>
        <w:t xml:space="preserve">          required: true</w:t>
      </w:r>
    </w:p>
    <w:p w14:paraId="747857C0" w14:textId="77777777" w:rsidR="007862A2" w:rsidRDefault="007862A2" w:rsidP="007862A2">
      <w:pPr>
        <w:pStyle w:val="PL"/>
      </w:pPr>
      <w:r>
        <w:t xml:space="preserve">          schema:</w:t>
      </w:r>
    </w:p>
    <w:p w14:paraId="47CB63CD" w14:textId="77777777" w:rsidR="007862A2" w:rsidRDefault="007862A2" w:rsidP="007862A2">
      <w:pPr>
        <w:pStyle w:val="PL"/>
      </w:pPr>
      <w:r>
        <w:t xml:space="preserve">            type: string</w:t>
      </w:r>
    </w:p>
    <w:p w14:paraId="60C07D79" w14:textId="77777777" w:rsidR="007862A2" w:rsidRDefault="007862A2" w:rsidP="007862A2">
      <w:pPr>
        <w:pStyle w:val="PL"/>
      </w:pPr>
      <w:r>
        <w:t xml:space="preserve">      responses:</w:t>
      </w:r>
    </w:p>
    <w:p w14:paraId="539A682B" w14:textId="77777777" w:rsidR="007862A2" w:rsidRDefault="007862A2" w:rsidP="007862A2">
      <w:pPr>
        <w:pStyle w:val="PL"/>
      </w:pPr>
      <w:r>
        <w:t xml:space="preserve">        '200':</w:t>
      </w:r>
    </w:p>
    <w:p w14:paraId="659B11F6" w14:textId="77777777" w:rsidR="007862A2" w:rsidRDefault="007862A2" w:rsidP="007862A2">
      <w:pPr>
        <w:pStyle w:val="PL"/>
      </w:pPr>
      <w:r>
        <w:t xml:space="preserve">          description: &gt;</w:t>
      </w:r>
    </w:p>
    <w:p w14:paraId="090CEA21" w14:textId="77777777" w:rsidR="007862A2" w:rsidRDefault="007862A2" w:rsidP="007862A2">
      <w:pPr>
        <w:pStyle w:val="PL"/>
      </w:pPr>
      <w:r>
        <w:t xml:space="preserve">            The Individual NWDAF ML Model Training Subscription resource was partial modified</w:t>
      </w:r>
    </w:p>
    <w:p w14:paraId="4F7EACB5" w14:textId="77777777" w:rsidR="007862A2" w:rsidRDefault="007862A2" w:rsidP="007862A2">
      <w:pPr>
        <w:pStyle w:val="PL"/>
      </w:pPr>
      <w:r>
        <w:t xml:space="preserve">            successfully and a representation of that resource is returned.</w:t>
      </w:r>
    </w:p>
    <w:p w14:paraId="49B488D9" w14:textId="77777777" w:rsidR="007862A2" w:rsidRDefault="007862A2" w:rsidP="007862A2">
      <w:pPr>
        <w:pStyle w:val="PL"/>
      </w:pPr>
      <w:r>
        <w:t xml:space="preserve">          content:</w:t>
      </w:r>
    </w:p>
    <w:p w14:paraId="2DF2D8A8" w14:textId="77777777" w:rsidR="007862A2" w:rsidRDefault="007862A2" w:rsidP="007862A2">
      <w:pPr>
        <w:pStyle w:val="PL"/>
      </w:pPr>
      <w:r>
        <w:t xml:space="preserve">            application/json:</w:t>
      </w:r>
    </w:p>
    <w:p w14:paraId="586E671E" w14:textId="77777777" w:rsidR="007862A2" w:rsidRDefault="007862A2" w:rsidP="007862A2">
      <w:pPr>
        <w:pStyle w:val="PL"/>
      </w:pPr>
      <w:r>
        <w:t xml:space="preserve">              schema:</w:t>
      </w:r>
    </w:p>
    <w:p w14:paraId="1E76CBAF" w14:textId="77777777" w:rsidR="007862A2" w:rsidRDefault="007862A2" w:rsidP="007862A2">
      <w:pPr>
        <w:pStyle w:val="PL"/>
      </w:pPr>
      <w:r>
        <w:t xml:space="preserve">                $ref: '#/components/schemas/</w:t>
      </w:r>
      <w:r>
        <w:rPr>
          <w:rFonts w:eastAsia="等线"/>
        </w:rPr>
        <w:t>NwdafMLModelTrainSubsc</w:t>
      </w:r>
      <w:r>
        <w:t>'</w:t>
      </w:r>
    </w:p>
    <w:p w14:paraId="4E70AD9F" w14:textId="77777777" w:rsidR="007862A2" w:rsidRDefault="007862A2" w:rsidP="007862A2">
      <w:pPr>
        <w:pStyle w:val="PL"/>
      </w:pPr>
      <w:r>
        <w:t xml:space="preserve">        '204':</w:t>
      </w:r>
    </w:p>
    <w:p w14:paraId="53C19DAE" w14:textId="77777777" w:rsidR="007862A2" w:rsidRDefault="007862A2" w:rsidP="007862A2">
      <w:pPr>
        <w:pStyle w:val="PL"/>
      </w:pPr>
      <w:r>
        <w:t xml:space="preserve">          description: &gt;</w:t>
      </w:r>
    </w:p>
    <w:p w14:paraId="45CAEBC9" w14:textId="77777777" w:rsidR="007862A2" w:rsidRDefault="007862A2" w:rsidP="007862A2">
      <w:pPr>
        <w:pStyle w:val="PL"/>
      </w:pPr>
      <w:r>
        <w:t xml:space="preserve">            The Individual NWDAF ML Model Training Subscription resource was partial modified</w:t>
      </w:r>
    </w:p>
    <w:p w14:paraId="14C4541D" w14:textId="77777777" w:rsidR="007862A2" w:rsidRDefault="007862A2" w:rsidP="007862A2">
      <w:pPr>
        <w:pStyle w:val="PL"/>
      </w:pPr>
      <w:r>
        <w:t xml:space="preserve">            successfully.</w:t>
      </w:r>
    </w:p>
    <w:p w14:paraId="4ADBAB0F" w14:textId="77777777" w:rsidR="007862A2" w:rsidRDefault="007862A2" w:rsidP="007862A2">
      <w:pPr>
        <w:pStyle w:val="PL"/>
      </w:pPr>
      <w:r>
        <w:t xml:space="preserve">        '307':</w:t>
      </w:r>
    </w:p>
    <w:p w14:paraId="683E4613" w14:textId="77777777" w:rsidR="007862A2" w:rsidRDefault="007862A2" w:rsidP="007862A2">
      <w:pPr>
        <w:pStyle w:val="PL"/>
      </w:pPr>
      <w:r>
        <w:t xml:space="preserve">          $ref: 'TS29571_CommonData.yaml#/components/responses/307'</w:t>
      </w:r>
    </w:p>
    <w:p w14:paraId="381328C2" w14:textId="77777777" w:rsidR="007862A2" w:rsidRDefault="007862A2" w:rsidP="007862A2">
      <w:pPr>
        <w:pStyle w:val="PL"/>
      </w:pPr>
      <w:r>
        <w:t xml:space="preserve">        '308':</w:t>
      </w:r>
    </w:p>
    <w:p w14:paraId="520F7CDB" w14:textId="77777777" w:rsidR="007862A2" w:rsidRDefault="007862A2" w:rsidP="007862A2">
      <w:pPr>
        <w:pStyle w:val="PL"/>
      </w:pPr>
      <w:r>
        <w:t xml:space="preserve">          $ref: 'TS29571_CommonData.yaml#/components/responses/308'</w:t>
      </w:r>
    </w:p>
    <w:p w14:paraId="3735CA5B" w14:textId="77777777" w:rsidR="007862A2" w:rsidRDefault="007862A2" w:rsidP="007862A2">
      <w:pPr>
        <w:pStyle w:val="PL"/>
      </w:pPr>
      <w:r>
        <w:t xml:space="preserve">        '400':</w:t>
      </w:r>
    </w:p>
    <w:p w14:paraId="25A0D502" w14:textId="77777777" w:rsidR="007862A2" w:rsidRDefault="007862A2" w:rsidP="007862A2">
      <w:pPr>
        <w:pStyle w:val="PL"/>
      </w:pPr>
      <w:r>
        <w:t xml:space="preserve">          $ref: 'TS29571_CommonData.yaml#/components/responses/400'</w:t>
      </w:r>
    </w:p>
    <w:p w14:paraId="2618804D" w14:textId="77777777" w:rsidR="007862A2" w:rsidRDefault="007862A2" w:rsidP="007862A2">
      <w:pPr>
        <w:pStyle w:val="PL"/>
      </w:pPr>
      <w:r>
        <w:t xml:space="preserve">        '401':</w:t>
      </w:r>
    </w:p>
    <w:p w14:paraId="14FEC3E5" w14:textId="77777777" w:rsidR="007862A2" w:rsidRDefault="007862A2" w:rsidP="007862A2">
      <w:pPr>
        <w:pStyle w:val="PL"/>
      </w:pPr>
      <w:r>
        <w:t xml:space="preserve">          $ref: 'TS29571_CommonData.yaml#/components/responses/401'</w:t>
      </w:r>
    </w:p>
    <w:p w14:paraId="0CADEB55" w14:textId="77777777" w:rsidR="007862A2" w:rsidRDefault="007862A2" w:rsidP="007862A2">
      <w:pPr>
        <w:pStyle w:val="PL"/>
      </w:pPr>
      <w:r>
        <w:t xml:space="preserve">        '403':</w:t>
      </w:r>
    </w:p>
    <w:p w14:paraId="0729C5C5" w14:textId="77777777" w:rsidR="007862A2" w:rsidRDefault="007862A2" w:rsidP="007862A2">
      <w:pPr>
        <w:pStyle w:val="PL"/>
      </w:pPr>
      <w:r>
        <w:t xml:space="preserve">          $ref: 'TS29571_CommonData.yaml#/components/responses/403'</w:t>
      </w:r>
    </w:p>
    <w:p w14:paraId="6894B848" w14:textId="77777777" w:rsidR="007862A2" w:rsidRDefault="007862A2" w:rsidP="007862A2">
      <w:pPr>
        <w:pStyle w:val="PL"/>
      </w:pPr>
      <w:r>
        <w:t xml:space="preserve">        '404':</w:t>
      </w:r>
    </w:p>
    <w:p w14:paraId="2C6E9852" w14:textId="77777777" w:rsidR="007862A2" w:rsidRDefault="007862A2" w:rsidP="007862A2">
      <w:pPr>
        <w:pStyle w:val="PL"/>
      </w:pPr>
      <w:r>
        <w:t xml:space="preserve">          $ref: 'TS29571_CommonData.yaml#/components/responses/404'</w:t>
      </w:r>
    </w:p>
    <w:p w14:paraId="29D6466D" w14:textId="77777777" w:rsidR="007862A2" w:rsidRDefault="007862A2" w:rsidP="007862A2">
      <w:pPr>
        <w:pStyle w:val="PL"/>
      </w:pPr>
      <w:r>
        <w:t xml:space="preserve">        '411':</w:t>
      </w:r>
    </w:p>
    <w:p w14:paraId="1C5885C3" w14:textId="77777777" w:rsidR="007862A2" w:rsidRDefault="007862A2" w:rsidP="007862A2">
      <w:pPr>
        <w:pStyle w:val="PL"/>
      </w:pPr>
      <w:r>
        <w:t xml:space="preserve">          $ref: 'TS29571_CommonData.yaml#/components/responses/411'</w:t>
      </w:r>
    </w:p>
    <w:p w14:paraId="0B104C3B" w14:textId="77777777" w:rsidR="007862A2" w:rsidRDefault="007862A2" w:rsidP="007862A2">
      <w:pPr>
        <w:pStyle w:val="PL"/>
      </w:pPr>
      <w:r>
        <w:t xml:space="preserve">        '413':</w:t>
      </w:r>
    </w:p>
    <w:p w14:paraId="0B49245E" w14:textId="77777777" w:rsidR="007862A2" w:rsidRDefault="007862A2" w:rsidP="007862A2">
      <w:pPr>
        <w:pStyle w:val="PL"/>
      </w:pPr>
      <w:r>
        <w:t xml:space="preserve">          $ref: 'TS29571_CommonData.yaml#/components/responses/413'</w:t>
      </w:r>
    </w:p>
    <w:p w14:paraId="1004CEB7" w14:textId="77777777" w:rsidR="007862A2" w:rsidRDefault="007862A2" w:rsidP="007862A2">
      <w:pPr>
        <w:pStyle w:val="PL"/>
      </w:pPr>
      <w:r>
        <w:t xml:space="preserve">        '415':</w:t>
      </w:r>
    </w:p>
    <w:p w14:paraId="237B0E89" w14:textId="77777777" w:rsidR="007862A2" w:rsidRDefault="007862A2" w:rsidP="007862A2">
      <w:pPr>
        <w:pStyle w:val="PL"/>
      </w:pPr>
      <w:r>
        <w:t xml:space="preserve">          $ref: 'TS29571_CommonData.yaml#/components/responses/415'</w:t>
      </w:r>
    </w:p>
    <w:p w14:paraId="42E95F42" w14:textId="77777777" w:rsidR="007862A2" w:rsidRDefault="007862A2" w:rsidP="007862A2">
      <w:pPr>
        <w:pStyle w:val="PL"/>
      </w:pPr>
      <w:r>
        <w:t xml:space="preserve">        '429':</w:t>
      </w:r>
    </w:p>
    <w:p w14:paraId="0DF83761" w14:textId="77777777" w:rsidR="007862A2" w:rsidRDefault="007862A2" w:rsidP="007862A2">
      <w:pPr>
        <w:pStyle w:val="PL"/>
      </w:pPr>
      <w:r>
        <w:t xml:space="preserve">          $ref: 'TS29571_CommonData.yaml#/components/responses/429'</w:t>
      </w:r>
    </w:p>
    <w:p w14:paraId="067133E6" w14:textId="77777777" w:rsidR="007862A2" w:rsidRDefault="007862A2" w:rsidP="007862A2">
      <w:pPr>
        <w:pStyle w:val="PL"/>
      </w:pPr>
      <w:r>
        <w:t xml:space="preserve">        '500':</w:t>
      </w:r>
    </w:p>
    <w:p w14:paraId="3FE09FC0" w14:textId="77777777" w:rsidR="007862A2" w:rsidRDefault="007862A2" w:rsidP="007862A2">
      <w:pPr>
        <w:pStyle w:val="PL"/>
      </w:pPr>
      <w:r>
        <w:t xml:space="preserve">          $ref: 'TS29571_CommonData.yaml#/components/responses/500'</w:t>
      </w:r>
    </w:p>
    <w:p w14:paraId="275D4E23" w14:textId="77777777" w:rsidR="007862A2" w:rsidRDefault="007862A2" w:rsidP="007862A2">
      <w:pPr>
        <w:pStyle w:val="PL"/>
      </w:pPr>
      <w:r>
        <w:t xml:space="preserve">        '502':</w:t>
      </w:r>
    </w:p>
    <w:p w14:paraId="418B4FD5" w14:textId="77777777" w:rsidR="007862A2" w:rsidRDefault="007862A2" w:rsidP="007862A2">
      <w:pPr>
        <w:pStyle w:val="PL"/>
      </w:pPr>
      <w:r>
        <w:t xml:space="preserve">          $ref: 'TS29571_CommonData.yaml#/components/responses/502'</w:t>
      </w:r>
    </w:p>
    <w:p w14:paraId="18828449" w14:textId="77777777" w:rsidR="007862A2" w:rsidRDefault="007862A2" w:rsidP="007862A2">
      <w:pPr>
        <w:pStyle w:val="PL"/>
      </w:pPr>
      <w:r>
        <w:t xml:space="preserve">        '503':</w:t>
      </w:r>
    </w:p>
    <w:p w14:paraId="62199931" w14:textId="77777777" w:rsidR="007862A2" w:rsidRDefault="007862A2" w:rsidP="007862A2">
      <w:pPr>
        <w:pStyle w:val="PL"/>
      </w:pPr>
      <w:r>
        <w:t xml:space="preserve">          $ref: 'TS29571_CommonData.yaml#/components/responses/503'</w:t>
      </w:r>
    </w:p>
    <w:p w14:paraId="0B16E13E" w14:textId="77777777" w:rsidR="007862A2" w:rsidRDefault="007862A2" w:rsidP="007862A2">
      <w:pPr>
        <w:pStyle w:val="PL"/>
      </w:pPr>
      <w:r>
        <w:t xml:space="preserve">        default:</w:t>
      </w:r>
    </w:p>
    <w:p w14:paraId="07CBC558" w14:textId="77777777" w:rsidR="007862A2" w:rsidRDefault="007862A2" w:rsidP="007862A2">
      <w:pPr>
        <w:pStyle w:val="PL"/>
      </w:pPr>
      <w:r>
        <w:t xml:space="preserve">          $ref: 'TS29571_CommonData.yaml#/components/responses/default'</w:t>
      </w:r>
    </w:p>
    <w:p w14:paraId="2F5E6ED4" w14:textId="77777777" w:rsidR="007862A2" w:rsidRDefault="007862A2" w:rsidP="007862A2">
      <w:pPr>
        <w:pStyle w:val="PL"/>
      </w:pPr>
      <w:r>
        <w:t xml:space="preserve">    delete:</w:t>
      </w:r>
    </w:p>
    <w:p w14:paraId="54CE74C9" w14:textId="77777777" w:rsidR="007862A2" w:rsidRDefault="007862A2" w:rsidP="007862A2">
      <w:pPr>
        <w:pStyle w:val="PL"/>
      </w:pPr>
      <w:r>
        <w:lastRenderedPageBreak/>
        <w:t xml:space="preserve">      summary: Delete an existing Individual NWDAF ML Model Training Subscription.</w:t>
      </w:r>
    </w:p>
    <w:p w14:paraId="0F631E96" w14:textId="77777777" w:rsidR="007862A2" w:rsidRDefault="007862A2" w:rsidP="007862A2">
      <w:pPr>
        <w:pStyle w:val="PL"/>
      </w:pPr>
      <w:r>
        <w:t xml:space="preserve">      operationId: DeleteNWDAFMLModelTrainingSubcription</w:t>
      </w:r>
    </w:p>
    <w:p w14:paraId="6899129E" w14:textId="77777777" w:rsidR="007862A2" w:rsidRDefault="007862A2" w:rsidP="007862A2">
      <w:pPr>
        <w:pStyle w:val="PL"/>
      </w:pPr>
      <w:r>
        <w:t xml:space="preserve">      tags:</w:t>
      </w:r>
    </w:p>
    <w:p w14:paraId="536C2518" w14:textId="77777777" w:rsidR="007862A2" w:rsidRDefault="007862A2" w:rsidP="007862A2">
      <w:pPr>
        <w:pStyle w:val="PL"/>
      </w:pPr>
      <w:r>
        <w:t xml:space="preserve">        - Individual NWDAF ML Model Training Subscription (Document)</w:t>
      </w:r>
    </w:p>
    <w:p w14:paraId="76D7E08F" w14:textId="77777777" w:rsidR="007862A2" w:rsidRDefault="007862A2" w:rsidP="007862A2">
      <w:pPr>
        <w:pStyle w:val="PL"/>
      </w:pPr>
      <w:r>
        <w:t xml:space="preserve">      parameters:</w:t>
      </w:r>
    </w:p>
    <w:p w14:paraId="52CEBBCB" w14:textId="77777777" w:rsidR="007862A2" w:rsidRDefault="007862A2" w:rsidP="007862A2">
      <w:pPr>
        <w:pStyle w:val="PL"/>
      </w:pPr>
      <w:r>
        <w:t xml:space="preserve">        - name: subscriptionId</w:t>
      </w:r>
    </w:p>
    <w:p w14:paraId="60073FAC" w14:textId="77777777" w:rsidR="007862A2" w:rsidRDefault="007862A2" w:rsidP="007862A2">
      <w:pPr>
        <w:pStyle w:val="PL"/>
      </w:pPr>
      <w:r>
        <w:t xml:space="preserve">          in: path</w:t>
      </w:r>
    </w:p>
    <w:p w14:paraId="11229D07" w14:textId="77777777" w:rsidR="007862A2" w:rsidRDefault="007862A2" w:rsidP="007862A2">
      <w:pPr>
        <w:pStyle w:val="PL"/>
      </w:pPr>
      <w:r>
        <w:t xml:space="preserve">          description: String identifying a subscription to the Nnwdaf_MLModelTraining Service.</w:t>
      </w:r>
    </w:p>
    <w:p w14:paraId="77EECC76" w14:textId="77777777" w:rsidR="007862A2" w:rsidRDefault="007862A2" w:rsidP="007862A2">
      <w:pPr>
        <w:pStyle w:val="PL"/>
      </w:pPr>
      <w:r>
        <w:t xml:space="preserve">          required: true</w:t>
      </w:r>
    </w:p>
    <w:p w14:paraId="1F26D08B" w14:textId="77777777" w:rsidR="007862A2" w:rsidRDefault="007862A2" w:rsidP="007862A2">
      <w:pPr>
        <w:pStyle w:val="PL"/>
      </w:pPr>
      <w:r>
        <w:t xml:space="preserve">          schema:</w:t>
      </w:r>
    </w:p>
    <w:p w14:paraId="2F1B19C5" w14:textId="77777777" w:rsidR="007862A2" w:rsidRDefault="007862A2" w:rsidP="007862A2">
      <w:pPr>
        <w:pStyle w:val="PL"/>
      </w:pPr>
      <w:r>
        <w:t xml:space="preserve">            type: string</w:t>
      </w:r>
    </w:p>
    <w:p w14:paraId="3DB87A07" w14:textId="77777777" w:rsidR="007862A2" w:rsidRDefault="007862A2" w:rsidP="007862A2">
      <w:pPr>
        <w:pStyle w:val="PL"/>
      </w:pPr>
      <w:r>
        <w:t xml:space="preserve">      responses:</w:t>
      </w:r>
    </w:p>
    <w:p w14:paraId="692E21C0" w14:textId="77777777" w:rsidR="007862A2" w:rsidRDefault="007862A2" w:rsidP="007862A2">
      <w:pPr>
        <w:pStyle w:val="PL"/>
      </w:pPr>
      <w:r>
        <w:t xml:space="preserve">        '204':</w:t>
      </w:r>
    </w:p>
    <w:p w14:paraId="29D1C055" w14:textId="77777777" w:rsidR="007862A2" w:rsidRDefault="007862A2" w:rsidP="007862A2">
      <w:pPr>
        <w:pStyle w:val="PL"/>
      </w:pPr>
      <w:r>
        <w:t xml:space="preserve">          description: &gt;</w:t>
      </w:r>
    </w:p>
    <w:p w14:paraId="6ECC40D6" w14:textId="77777777" w:rsidR="007862A2" w:rsidRDefault="007862A2" w:rsidP="007862A2">
      <w:pPr>
        <w:pStyle w:val="PL"/>
      </w:pPr>
      <w:r>
        <w:t xml:space="preserve">            No Content. The Individual NWDAF ML Model Training Subscription matching the</w:t>
      </w:r>
    </w:p>
    <w:p w14:paraId="2CE04848" w14:textId="77777777" w:rsidR="007862A2" w:rsidRDefault="007862A2" w:rsidP="007862A2">
      <w:pPr>
        <w:pStyle w:val="PL"/>
      </w:pPr>
      <w:r>
        <w:t xml:space="preserve">            subscriptionId was deleted.</w:t>
      </w:r>
    </w:p>
    <w:p w14:paraId="3341B36B" w14:textId="77777777" w:rsidR="007862A2" w:rsidRDefault="007862A2" w:rsidP="007862A2">
      <w:pPr>
        <w:pStyle w:val="PL"/>
      </w:pPr>
      <w:r>
        <w:t xml:space="preserve">        '307':</w:t>
      </w:r>
    </w:p>
    <w:p w14:paraId="7A8CF1B9" w14:textId="77777777" w:rsidR="007862A2" w:rsidRDefault="007862A2" w:rsidP="007862A2">
      <w:pPr>
        <w:pStyle w:val="PL"/>
      </w:pPr>
      <w:r>
        <w:t xml:space="preserve">          $ref: 'TS29571_CommonData.yaml#/components/responses/307'</w:t>
      </w:r>
    </w:p>
    <w:p w14:paraId="0C224EF4" w14:textId="77777777" w:rsidR="007862A2" w:rsidRDefault="007862A2" w:rsidP="007862A2">
      <w:pPr>
        <w:pStyle w:val="PL"/>
      </w:pPr>
      <w:r>
        <w:t xml:space="preserve">        '308':</w:t>
      </w:r>
    </w:p>
    <w:p w14:paraId="1B3BAD27" w14:textId="77777777" w:rsidR="007862A2" w:rsidRDefault="007862A2" w:rsidP="007862A2">
      <w:pPr>
        <w:pStyle w:val="PL"/>
      </w:pPr>
      <w:r>
        <w:t xml:space="preserve">          $ref: 'TS29571_CommonData.yaml#/components/responses/308'</w:t>
      </w:r>
    </w:p>
    <w:p w14:paraId="5B6E61B8" w14:textId="77777777" w:rsidR="007862A2" w:rsidRDefault="007862A2" w:rsidP="007862A2">
      <w:pPr>
        <w:pStyle w:val="PL"/>
      </w:pPr>
      <w:r>
        <w:t xml:space="preserve">        '400':</w:t>
      </w:r>
    </w:p>
    <w:p w14:paraId="34A7C4A8" w14:textId="77777777" w:rsidR="007862A2" w:rsidRDefault="007862A2" w:rsidP="007862A2">
      <w:pPr>
        <w:pStyle w:val="PL"/>
      </w:pPr>
      <w:r>
        <w:t xml:space="preserve">          $ref: 'TS29571_CommonData.yaml#/components/responses/400'</w:t>
      </w:r>
    </w:p>
    <w:p w14:paraId="233041B1" w14:textId="77777777" w:rsidR="007862A2" w:rsidRDefault="007862A2" w:rsidP="007862A2">
      <w:pPr>
        <w:pStyle w:val="PL"/>
      </w:pPr>
      <w:r>
        <w:t xml:space="preserve">        '401':</w:t>
      </w:r>
    </w:p>
    <w:p w14:paraId="0D54E2EB" w14:textId="77777777" w:rsidR="007862A2" w:rsidRDefault="007862A2" w:rsidP="007862A2">
      <w:pPr>
        <w:pStyle w:val="PL"/>
      </w:pPr>
      <w:r>
        <w:t xml:space="preserve">          $ref: 'TS29571_CommonData.yaml#/components/responses/401'</w:t>
      </w:r>
    </w:p>
    <w:p w14:paraId="0C920D04" w14:textId="77777777" w:rsidR="007862A2" w:rsidRDefault="007862A2" w:rsidP="007862A2">
      <w:pPr>
        <w:pStyle w:val="PL"/>
      </w:pPr>
      <w:r>
        <w:t xml:space="preserve">        '403':</w:t>
      </w:r>
    </w:p>
    <w:p w14:paraId="5A0A1C68" w14:textId="77777777" w:rsidR="007862A2" w:rsidRDefault="007862A2" w:rsidP="007862A2">
      <w:pPr>
        <w:pStyle w:val="PL"/>
      </w:pPr>
      <w:r>
        <w:t xml:space="preserve">          $ref: 'TS29571_CommonData.yaml#/components/responses/403'</w:t>
      </w:r>
    </w:p>
    <w:p w14:paraId="50F0A656" w14:textId="77777777" w:rsidR="007862A2" w:rsidRDefault="007862A2" w:rsidP="007862A2">
      <w:pPr>
        <w:pStyle w:val="PL"/>
      </w:pPr>
      <w:r>
        <w:t xml:space="preserve">        '404':</w:t>
      </w:r>
    </w:p>
    <w:p w14:paraId="3B2A01F1" w14:textId="77777777" w:rsidR="007862A2" w:rsidRDefault="007862A2" w:rsidP="007862A2">
      <w:pPr>
        <w:pStyle w:val="PL"/>
      </w:pPr>
      <w:r>
        <w:t xml:space="preserve">          $ref: 'TS29571_CommonData.yaml#/components/responses/404'</w:t>
      </w:r>
    </w:p>
    <w:p w14:paraId="55994614" w14:textId="77777777" w:rsidR="007862A2" w:rsidRDefault="007862A2" w:rsidP="007862A2">
      <w:pPr>
        <w:pStyle w:val="PL"/>
      </w:pPr>
      <w:r>
        <w:t xml:space="preserve">        '429':</w:t>
      </w:r>
    </w:p>
    <w:p w14:paraId="74224AB3" w14:textId="77777777" w:rsidR="007862A2" w:rsidRDefault="007862A2" w:rsidP="007862A2">
      <w:pPr>
        <w:pStyle w:val="PL"/>
      </w:pPr>
      <w:r>
        <w:t xml:space="preserve">          $ref: 'TS29571_CommonData.yaml#/components/responses/429'</w:t>
      </w:r>
    </w:p>
    <w:p w14:paraId="6298A245" w14:textId="77777777" w:rsidR="007862A2" w:rsidRDefault="007862A2" w:rsidP="007862A2">
      <w:pPr>
        <w:pStyle w:val="PL"/>
      </w:pPr>
      <w:r>
        <w:t xml:space="preserve">        '500':</w:t>
      </w:r>
    </w:p>
    <w:p w14:paraId="14962AFA" w14:textId="77777777" w:rsidR="007862A2" w:rsidRDefault="007862A2" w:rsidP="007862A2">
      <w:pPr>
        <w:pStyle w:val="PL"/>
      </w:pPr>
      <w:r>
        <w:t xml:space="preserve">          $ref: 'TS29571_CommonData.yaml#/components/responses/500'</w:t>
      </w:r>
    </w:p>
    <w:p w14:paraId="5FFB809A" w14:textId="77777777" w:rsidR="007862A2" w:rsidRDefault="007862A2" w:rsidP="007862A2">
      <w:pPr>
        <w:pStyle w:val="PL"/>
      </w:pPr>
      <w:r>
        <w:t xml:space="preserve">        '502':</w:t>
      </w:r>
    </w:p>
    <w:p w14:paraId="4E816E3C" w14:textId="77777777" w:rsidR="007862A2" w:rsidRDefault="007862A2" w:rsidP="007862A2">
      <w:pPr>
        <w:pStyle w:val="PL"/>
      </w:pPr>
      <w:r>
        <w:t xml:space="preserve">          $ref: 'TS29571_CommonData.yaml#/components/responses/502'</w:t>
      </w:r>
    </w:p>
    <w:p w14:paraId="566EC8EA" w14:textId="77777777" w:rsidR="007862A2" w:rsidRDefault="007862A2" w:rsidP="007862A2">
      <w:pPr>
        <w:pStyle w:val="PL"/>
      </w:pPr>
      <w:r>
        <w:t xml:space="preserve">        '503':</w:t>
      </w:r>
    </w:p>
    <w:p w14:paraId="731EA008" w14:textId="77777777" w:rsidR="007862A2" w:rsidRDefault="007862A2" w:rsidP="007862A2">
      <w:pPr>
        <w:pStyle w:val="PL"/>
      </w:pPr>
      <w:r>
        <w:t xml:space="preserve">          $ref: 'TS29571_CommonData.yaml#/components/responses/503'</w:t>
      </w:r>
    </w:p>
    <w:p w14:paraId="78EE49BD" w14:textId="77777777" w:rsidR="007862A2" w:rsidRDefault="007862A2" w:rsidP="007862A2">
      <w:pPr>
        <w:pStyle w:val="PL"/>
      </w:pPr>
      <w:r>
        <w:t xml:space="preserve">        default:</w:t>
      </w:r>
    </w:p>
    <w:p w14:paraId="688FDB28" w14:textId="77777777" w:rsidR="007862A2" w:rsidRDefault="007862A2" w:rsidP="007862A2">
      <w:pPr>
        <w:pStyle w:val="PL"/>
      </w:pPr>
      <w:r>
        <w:t xml:space="preserve">          $ref: 'TS29571_CommonData.yaml#/components/responses/default'</w:t>
      </w:r>
    </w:p>
    <w:p w14:paraId="71D78557" w14:textId="77777777" w:rsidR="007862A2" w:rsidRDefault="007862A2" w:rsidP="007862A2">
      <w:pPr>
        <w:pStyle w:val="PL"/>
      </w:pPr>
    </w:p>
    <w:p w14:paraId="74234573" w14:textId="77777777" w:rsidR="007862A2" w:rsidRDefault="007862A2" w:rsidP="007862A2">
      <w:pPr>
        <w:pStyle w:val="PL"/>
      </w:pPr>
      <w:r>
        <w:t>components:</w:t>
      </w:r>
    </w:p>
    <w:p w14:paraId="082C4DE2" w14:textId="77777777" w:rsidR="007862A2" w:rsidRDefault="007862A2" w:rsidP="007862A2">
      <w:pPr>
        <w:pStyle w:val="PL"/>
      </w:pPr>
      <w:r>
        <w:t xml:space="preserve">  securitySchemes:</w:t>
      </w:r>
    </w:p>
    <w:p w14:paraId="26B48961" w14:textId="77777777" w:rsidR="007862A2" w:rsidRDefault="007862A2" w:rsidP="007862A2">
      <w:pPr>
        <w:pStyle w:val="PL"/>
      </w:pPr>
      <w:r>
        <w:t xml:space="preserve">    oAuth2ClientCredentials:</w:t>
      </w:r>
    </w:p>
    <w:p w14:paraId="77072381" w14:textId="77777777" w:rsidR="007862A2" w:rsidRDefault="007862A2" w:rsidP="007862A2">
      <w:pPr>
        <w:pStyle w:val="PL"/>
      </w:pPr>
      <w:r>
        <w:t xml:space="preserve">      type: oauth2</w:t>
      </w:r>
    </w:p>
    <w:p w14:paraId="67EA00D3" w14:textId="77777777" w:rsidR="007862A2" w:rsidRDefault="007862A2" w:rsidP="007862A2">
      <w:pPr>
        <w:pStyle w:val="PL"/>
      </w:pPr>
      <w:r>
        <w:t xml:space="preserve">      flows:</w:t>
      </w:r>
    </w:p>
    <w:p w14:paraId="172E8D53" w14:textId="77777777" w:rsidR="007862A2" w:rsidRDefault="007862A2" w:rsidP="007862A2">
      <w:pPr>
        <w:pStyle w:val="PL"/>
      </w:pPr>
      <w:r>
        <w:t xml:space="preserve">        clientCredentials:</w:t>
      </w:r>
    </w:p>
    <w:p w14:paraId="6FF0677D" w14:textId="77777777" w:rsidR="007862A2" w:rsidRDefault="007862A2" w:rsidP="007862A2">
      <w:pPr>
        <w:pStyle w:val="PL"/>
      </w:pPr>
      <w:r>
        <w:t xml:space="preserve">          tokenUrl: '{nrfApiRoot}/oauth2/token'</w:t>
      </w:r>
    </w:p>
    <w:p w14:paraId="74BF2B68" w14:textId="77777777" w:rsidR="007862A2" w:rsidRDefault="007862A2" w:rsidP="007862A2">
      <w:pPr>
        <w:pStyle w:val="PL"/>
      </w:pPr>
      <w:r>
        <w:t xml:space="preserve">          scopes:</w:t>
      </w:r>
    </w:p>
    <w:p w14:paraId="64F11E81" w14:textId="77777777" w:rsidR="007862A2" w:rsidRDefault="007862A2" w:rsidP="007862A2">
      <w:pPr>
        <w:pStyle w:val="PL"/>
      </w:pPr>
      <w:r>
        <w:t xml:space="preserve">            nnwdaf-mlmodeltraining: Access to the Nnwdaf_MLModelTraining</w:t>
      </w:r>
      <w:r>
        <w:rPr>
          <w:lang w:eastAsia="zh-CN"/>
        </w:rPr>
        <w:t xml:space="preserve"> </w:t>
      </w:r>
      <w:r>
        <w:t>API</w:t>
      </w:r>
    </w:p>
    <w:p w14:paraId="112C2018" w14:textId="77777777" w:rsidR="007862A2" w:rsidRDefault="007862A2" w:rsidP="007862A2">
      <w:pPr>
        <w:pStyle w:val="PL"/>
      </w:pPr>
    </w:p>
    <w:p w14:paraId="64D7FB67" w14:textId="77777777" w:rsidR="007862A2" w:rsidRDefault="007862A2" w:rsidP="007862A2">
      <w:pPr>
        <w:pStyle w:val="PL"/>
      </w:pPr>
      <w:r>
        <w:t xml:space="preserve">  schemas:</w:t>
      </w:r>
    </w:p>
    <w:p w14:paraId="4CD49195" w14:textId="77777777" w:rsidR="007862A2" w:rsidRDefault="007862A2" w:rsidP="007862A2">
      <w:pPr>
        <w:pStyle w:val="PL"/>
        <w:rPr>
          <w:rFonts w:eastAsia="等线"/>
        </w:rPr>
      </w:pPr>
      <w:r>
        <w:t xml:space="preserve">    </w:t>
      </w:r>
      <w:r>
        <w:rPr>
          <w:rFonts w:eastAsia="等线"/>
        </w:rPr>
        <w:t>NwdafMLModelTrainSubsc:</w:t>
      </w:r>
    </w:p>
    <w:p w14:paraId="11E1E1F0" w14:textId="77777777" w:rsidR="007862A2" w:rsidRDefault="007862A2" w:rsidP="007862A2">
      <w:pPr>
        <w:pStyle w:val="PL"/>
      </w:pPr>
      <w:r>
        <w:t xml:space="preserve">      description: Represents a ML Model Training subscription.</w:t>
      </w:r>
    </w:p>
    <w:p w14:paraId="21A581BE" w14:textId="77777777" w:rsidR="007862A2" w:rsidRDefault="007862A2" w:rsidP="007862A2">
      <w:pPr>
        <w:pStyle w:val="PL"/>
      </w:pPr>
      <w:r>
        <w:t xml:space="preserve">      type: object</w:t>
      </w:r>
    </w:p>
    <w:p w14:paraId="656F096C" w14:textId="77777777" w:rsidR="007862A2" w:rsidRDefault="007862A2" w:rsidP="007862A2">
      <w:pPr>
        <w:pStyle w:val="PL"/>
      </w:pPr>
      <w:r>
        <w:t xml:space="preserve">      properties:</w:t>
      </w:r>
    </w:p>
    <w:p w14:paraId="6FC9654C" w14:textId="77777777" w:rsidR="007862A2" w:rsidRDefault="007862A2" w:rsidP="007862A2">
      <w:pPr>
        <w:pStyle w:val="PL"/>
      </w:pPr>
      <w:r>
        <w:t xml:space="preserve">        mLEventSubscs:</w:t>
      </w:r>
    </w:p>
    <w:p w14:paraId="1C40187C" w14:textId="77777777" w:rsidR="007862A2" w:rsidRDefault="007862A2" w:rsidP="007862A2">
      <w:pPr>
        <w:pStyle w:val="PL"/>
      </w:pPr>
      <w:r>
        <w:t xml:space="preserve">          type: array</w:t>
      </w:r>
    </w:p>
    <w:p w14:paraId="61F81AE5" w14:textId="77777777" w:rsidR="007862A2" w:rsidRDefault="007862A2" w:rsidP="007862A2">
      <w:pPr>
        <w:pStyle w:val="PL"/>
      </w:pPr>
      <w:r>
        <w:t xml:space="preserve">          items:</w:t>
      </w:r>
    </w:p>
    <w:p w14:paraId="062CB8D5" w14:textId="77777777" w:rsidR="007862A2" w:rsidRDefault="007862A2" w:rsidP="007862A2">
      <w:pPr>
        <w:pStyle w:val="PL"/>
      </w:pPr>
      <w:r>
        <w:t xml:space="preserve">            $ref: 'TS29520_Nnwdaf_MLModelProvision.yaml#/components/schemas/MLEventSubscription'</w:t>
      </w:r>
    </w:p>
    <w:p w14:paraId="7CBB7D98" w14:textId="77777777" w:rsidR="007862A2" w:rsidRDefault="007862A2" w:rsidP="007862A2">
      <w:pPr>
        <w:pStyle w:val="PL"/>
      </w:pPr>
      <w:r>
        <w:t xml:space="preserve">          minItems: 1</w:t>
      </w:r>
    </w:p>
    <w:p w14:paraId="3FCE3597" w14:textId="77777777" w:rsidR="007862A2" w:rsidRDefault="007862A2" w:rsidP="007862A2">
      <w:pPr>
        <w:pStyle w:val="PL"/>
      </w:pPr>
      <w:r>
        <w:t xml:space="preserve">          description: Subscribed events</w:t>
      </w:r>
    </w:p>
    <w:p w14:paraId="64EAC7FB" w14:textId="77777777" w:rsidR="007862A2" w:rsidRDefault="007862A2" w:rsidP="007862A2">
      <w:pPr>
        <w:pStyle w:val="PL"/>
      </w:pPr>
      <w:r>
        <w:t xml:space="preserve">        notifUri:</w:t>
      </w:r>
    </w:p>
    <w:p w14:paraId="1E06D821" w14:textId="77777777" w:rsidR="007862A2" w:rsidRDefault="007862A2" w:rsidP="007862A2">
      <w:pPr>
        <w:pStyle w:val="PL"/>
      </w:pPr>
      <w:r>
        <w:t xml:space="preserve">          $ref: 'TS29571_CommonData.yaml#/components/schemas/Uri'</w:t>
      </w:r>
    </w:p>
    <w:p w14:paraId="079E2BB4" w14:textId="77777777" w:rsidR="007862A2" w:rsidRDefault="007862A2" w:rsidP="007862A2">
      <w:pPr>
        <w:pStyle w:val="PL"/>
      </w:pPr>
      <w:r>
        <w:t xml:space="preserve">        suppFeats:</w:t>
      </w:r>
    </w:p>
    <w:p w14:paraId="59FF5754" w14:textId="77777777" w:rsidR="007862A2" w:rsidRDefault="007862A2" w:rsidP="007862A2">
      <w:pPr>
        <w:pStyle w:val="PL"/>
      </w:pPr>
      <w:r>
        <w:t xml:space="preserve">          $ref: 'TS29571_CommonData.yaml#/components/schemas/SupportedFeatures'</w:t>
      </w:r>
    </w:p>
    <w:p w14:paraId="33C62189" w14:textId="77777777" w:rsidR="007862A2" w:rsidRDefault="007862A2" w:rsidP="007862A2">
      <w:pPr>
        <w:pStyle w:val="PL"/>
      </w:pPr>
      <w:r>
        <w:t xml:space="preserve">        </w:t>
      </w:r>
      <w:r>
        <w:rPr>
          <w:lang w:eastAsia="zh-CN"/>
        </w:rPr>
        <w:t>eventReq</w:t>
      </w:r>
      <w:r>
        <w:t>:</w:t>
      </w:r>
    </w:p>
    <w:p w14:paraId="53014D73" w14:textId="77777777" w:rsidR="007862A2" w:rsidRDefault="007862A2" w:rsidP="007862A2">
      <w:pPr>
        <w:pStyle w:val="PL"/>
      </w:pPr>
      <w:r>
        <w:t xml:space="preserve">          $ref: 'TS29523_Npcf_EventExposure.yaml#/components/schemas/ReportingInformation'</w:t>
      </w:r>
    </w:p>
    <w:p w14:paraId="740515F5" w14:textId="77777777" w:rsidR="007862A2" w:rsidRDefault="007862A2" w:rsidP="007862A2">
      <w:pPr>
        <w:pStyle w:val="PL"/>
      </w:pPr>
      <w:r>
        <w:t xml:space="preserve">        failEventReports:</w:t>
      </w:r>
    </w:p>
    <w:p w14:paraId="02284867" w14:textId="77777777" w:rsidR="007862A2" w:rsidRDefault="007862A2" w:rsidP="007862A2">
      <w:pPr>
        <w:pStyle w:val="PL"/>
      </w:pPr>
      <w:r>
        <w:t xml:space="preserve">          type: array</w:t>
      </w:r>
    </w:p>
    <w:p w14:paraId="5E6E3636" w14:textId="77777777" w:rsidR="007862A2" w:rsidRDefault="007862A2" w:rsidP="007862A2">
      <w:pPr>
        <w:pStyle w:val="PL"/>
      </w:pPr>
      <w:r>
        <w:t xml:space="preserve">          items:</w:t>
      </w:r>
    </w:p>
    <w:p w14:paraId="4522A88F" w14:textId="77777777" w:rsidR="007862A2" w:rsidRDefault="007862A2" w:rsidP="007862A2">
      <w:pPr>
        <w:pStyle w:val="PL"/>
      </w:pPr>
      <w:r>
        <w:t xml:space="preserve">            $ref: '#/components/schemas/</w:t>
      </w:r>
      <w:r>
        <w:rPr>
          <w:lang w:eastAsia="zh-CN"/>
        </w:rPr>
        <w:t>FailureEventInfoForMLModelTrain</w:t>
      </w:r>
      <w:r>
        <w:t>'</w:t>
      </w:r>
    </w:p>
    <w:p w14:paraId="5DA958DA" w14:textId="77777777" w:rsidR="007862A2" w:rsidRDefault="007862A2" w:rsidP="007862A2">
      <w:pPr>
        <w:pStyle w:val="PL"/>
      </w:pPr>
      <w:r>
        <w:t xml:space="preserve">          minItems: 1</w:t>
      </w:r>
    </w:p>
    <w:p w14:paraId="44C29A68" w14:textId="77777777" w:rsidR="007862A2" w:rsidRDefault="007862A2" w:rsidP="007862A2">
      <w:pPr>
        <w:pStyle w:val="PL"/>
      </w:pPr>
      <w:r>
        <w:t xml:space="preserve">          description: &gt;</w:t>
      </w:r>
    </w:p>
    <w:p w14:paraId="78AA613E" w14:textId="77777777" w:rsidR="007862A2" w:rsidRDefault="007862A2" w:rsidP="007862A2">
      <w:pPr>
        <w:pStyle w:val="PL"/>
      </w:pPr>
      <w:r>
        <w:t xml:space="preserve">            Supplied by the NWDAF containing MTLF when available, shall contain the event(s) that</w:t>
      </w:r>
    </w:p>
    <w:p w14:paraId="3B618315" w14:textId="77777777" w:rsidR="007862A2" w:rsidRDefault="007862A2" w:rsidP="007862A2">
      <w:pPr>
        <w:pStyle w:val="PL"/>
      </w:pPr>
      <w:r>
        <w:t xml:space="preserve">            the subscription is not successful including the failure reason(s).</w:t>
      </w:r>
    </w:p>
    <w:p w14:paraId="26EE8456" w14:textId="77777777" w:rsidR="007862A2" w:rsidRDefault="007862A2" w:rsidP="007862A2">
      <w:pPr>
        <w:pStyle w:val="PL"/>
      </w:pPr>
      <w:r>
        <w:t xml:space="preserve">        mlCorreId:</w:t>
      </w:r>
    </w:p>
    <w:p w14:paraId="2757AA90" w14:textId="77777777" w:rsidR="007862A2" w:rsidRDefault="007862A2" w:rsidP="007862A2">
      <w:pPr>
        <w:pStyle w:val="PL"/>
      </w:pPr>
      <w:r>
        <w:t xml:space="preserve">          type: string</w:t>
      </w:r>
    </w:p>
    <w:p w14:paraId="69372F8D" w14:textId="77777777" w:rsidR="007862A2" w:rsidRDefault="007862A2" w:rsidP="007862A2">
      <w:pPr>
        <w:pStyle w:val="PL"/>
      </w:pPr>
      <w:r>
        <w:t xml:space="preserve">          description: String identifying the subscription is for a Federated Learning procedure.</w:t>
      </w:r>
    </w:p>
    <w:p w14:paraId="05281AE1" w14:textId="77777777" w:rsidR="007862A2" w:rsidRDefault="007862A2" w:rsidP="007862A2">
      <w:pPr>
        <w:pStyle w:val="PL"/>
      </w:pPr>
      <w:r>
        <w:t xml:space="preserve">        mLModelInfos:</w:t>
      </w:r>
    </w:p>
    <w:p w14:paraId="6E9BD75E" w14:textId="77777777" w:rsidR="007862A2" w:rsidRDefault="007862A2" w:rsidP="007862A2">
      <w:pPr>
        <w:pStyle w:val="PL"/>
      </w:pPr>
      <w:r>
        <w:lastRenderedPageBreak/>
        <w:t xml:space="preserve">          type: array</w:t>
      </w:r>
    </w:p>
    <w:p w14:paraId="6BA222BD" w14:textId="77777777" w:rsidR="007862A2" w:rsidRDefault="007862A2" w:rsidP="007862A2">
      <w:pPr>
        <w:pStyle w:val="PL"/>
      </w:pPr>
      <w:r>
        <w:t xml:space="preserve">          items:</w:t>
      </w:r>
    </w:p>
    <w:p w14:paraId="461B949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w:t>
      </w:r>
      <w:bookmarkStart w:id="17311" w:name="_Hlk143783509"/>
      <w:r>
        <w:rPr>
          <w:rFonts w:ascii="Courier New" w:hAnsi="Courier New"/>
          <w:sz w:val="16"/>
        </w:rPr>
        <w:t>TS29520_Nnwdaf_MLModelProvision.yaml</w:t>
      </w:r>
      <w:bookmarkEnd w:id="17311"/>
      <w:r>
        <w:rPr>
          <w:rFonts w:ascii="Courier New" w:hAnsi="Courier New"/>
          <w:sz w:val="16"/>
        </w:rPr>
        <w:t>#/components/schemas/MLEventNotif'</w:t>
      </w:r>
    </w:p>
    <w:p w14:paraId="2B2015EF" w14:textId="77777777" w:rsidR="007862A2" w:rsidRDefault="007862A2" w:rsidP="007862A2">
      <w:pPr>
        <w:pStyle w:val="PL"/>
      </w:pPr>
      <w:r>
        <w:t xml:space="preserve">          minItems: 1</w:t>
      </w:r>
    </w:p>
    <w:p w14:paraId="08F64AB1" w14:textId="77777777" w:rsidR="007862A2" w:rsidRDefault="007862A2" w:rsidP="007862A2">
      <w:pPr>
        <w:pStyle w:val="PL"/>
      </w:pPr>
      <w:r>
        <w:t xml:space="preserve">          description: Represents the ML Model information.</w:t>
      </w:r>
    </w:p>
    <w:p w14:paraId="6B9C2C1C"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immReport:</w:t>
      </w:r>
    </w:p>
    <w:p w14:paraId="615516C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'#/components/schemas/NwdafMLModelTrainNotif'</w:t>
      </w:r>
    </w:p>
    <w:p w14:paraId="1857734A" w14:textId="77777777" w:rsidR="007862A2" w:rsidRDefault="007862A2" w:rsidP="007862A2">
      <w:pPr>
        <w:pStyle w:val="PL"/>
      </w:pPr>
      <w:r>
        <w:t xml:space="preserve">        mLModelTrainInfos:</w:t>
      </w:r>
    </w:p>
    <w:p w14:paraId="6DEE8AB0" w14:textId="77777777" w:rsidR="007862A2" w:rsidRDefault="007862A2" w:rsidP="007862A2">
      <w:pPr>
        <w:pStyle w:val="PL"/>
      </w:pPr>
      <w:r>
        <w:t xml:space="preserve">          type: array</w:t>
      </w:r>
    </w:p>
    <w:p w14:paraId="734B739A" w14:textId="77777777" w:rsidR="007862A2" w:rsidRDefault="007862A2" w:rsidP="007862A2">
      <w:pPr>
        <w:pStyle w:val="PL"/>
      </w:pPr>
      <w:r>
        <w:t xml:space="preserve">          items:</w:t>
      </w:r>
    </w:p>
    <w:p w14:paraId="309EC9EA" w14:textId="77777777" w:rsidR="007862A2" w:rsidRDefault="007862A2" w:rsidP="007862A2">
      <w:pPr>
        <w:pStyle w:val="PL"/>
      </w:pPr>
      <w:r>
        <w:t xml:space="preserve">            $ref: '#/components/schemas/MLModelTrainInfo'</w:t>
      </w:r>
    </w:p>
    <w:p w14:paraId="56B4F04C" w14:textId="77777777" w:rsidR="007862A2" w:rsidRDefault="007862A2" w:rsidP="007862A2">
      <w:pPr>
        <w:pStyle w:val="PL"/>
      </w:pPr>
      <w:r>
        <w:t xml:space="preserve">          minItems: 1</w:t>
      </w:r>
    </w:p>
    <w:p w14:paraId="767368BA" w14:textId="77777777" w:rsidR="007862A2" w:rsidRDefault="007862A2" w:rsidP="007862A2">
      <w:pPr>
        <w:pStyle w:val="PL"/>
      </w:pPr>
      <w:r>
        <w:t xml:space="preserve">          description: Represents the ML Model training information.</w:t>
      </w:r>
    </w:p>
    <w:p w14:paraId="44858E99" w14:textId="77777777" w:rsidR="007862A2" w:rsidRDefault="007862A2" w:rsidP="007862A2">
      <w:pPr>
        <w:pStyle w:val="PL"/>
      </w:pPr>
      <w:r>
        <w:t xml:space="preserve">        mLPreFlag:</w:t>
      </w:r>
    </w:p>
    <w:p w14:paraId="52BC5421" w14:textId="77777777" w:rsidR="007862A2" w:rsidRDefault="007862A2" w:rsidP="007862A2">
      <w:pPr>
        <w:pStyle w:val="PL"/>
      </w:pPr>
      <w:r>
        <w:t xml:space="preserve">          type: boolean</w:t>
      </w:r>
    </w:p>
    <w:p w14:paraId="1DF459F2" w14:textId="77777777" w:rsidR="007862A2" w:rsidRDefault="007862A2" w:rsidP="007862A2">
      <w:pPr>
        <w:pStyle w:val="PL"/>
      </w:pPr>
      <w:r>
        <w:t xml:space="preserve">          description: &gt;</w:t>
      </w:r>
    </w:p>
    <w:p w14:paraId="422B583B" w14:textId="77777777" w:rsidR="007862A2" w:rsidRDefault="007862A2" w:rsidP="007862A2">
      <w:pPr>
        <w:pStyle w:val="PL"/>
      </w:pPr>
      <w:r>
        <w:t xml:space="preserve">            Indicates whether the subscription is for preparation of ML Model training. Set to</w:t>
      </w:r>
    </w:p>
    <w:p w14:paraId="13E49592" w14:textId="77777777" w:rsidR="007862A2" w:rsidRDefault="007862A2" w:rsidP="007862A2">
      <w:pPr>
        <w:pStyle w:val="PL"/>
        <w:rPr>
          <w:lang w:eastAsia="zh-CN"/>
        </w:rPr>
      </w:pPr>
      <w:r>
        <w:t xml:space="preserve">            "true" if it is for ML training preparation, otherwise set to "false".</w:t>
      </w:r>
    </w:p>
    <w:p w14:paraId="434AB61D" w14:textId="77777777" w:rsidR="007862A2" w:rsidRDefault="007862A2" w:rsidP="007862A2">
      <w:pPr>
        <w:pStyle w:val="PL"/>
      </w:pPr>
      <w:r>
        <w:t xml:space="preserve">        </w:t>
      </w:r>
      <w:r>
        <w:rPr>
          <w:color w:val="000000"/>
          <w:lang w:val="en-US" w:eastAsia="zh-CN"/>
        </w:rPr>
        <w:t>mLAccChkFlg</w:t>
      </w:r>
      <w:r>
        <w:t>:</w:t>
      </w:r>
    </w:p>
    <w:p w14:paraId="24395998" w14:textId="77777777" w:rsidR="007862A2" w:rsidRDefault="007862A2" w:rsidP="007862A2">
      <w:pPr>
        <w:pStyle w:val="PL"/>
      </w:pPr>
      <w:r>
        <w:t xml:space="preserve">          type: boolean</w:t>
      </w:r>
    </w:p>
    <w:p w14:paraId="472ED4A4" w14:textId="77777777" w:rsidR="007862A2" w:rsidRDefault="007862A2" w:rsidP="007862A2">
      <w:pPr>
        <w:pStyle w:val="PL"/>
      </w:pPr>
      <w:r>
        <w:t xml:space="preserve">          description: &gt;</w:t>
      </w:r>
    </w:p>
    <w:p w14:paraId="6AA068CC" w14:textId="77777777" w:rsidR="007862A2" w:rsidRDefault="007862A2" w:rsidP="007862A2">
      <w:pPr>
        <w:pStyle w:val="PL"/>
      </w:pPr>
      <w:r>
        <w:t xml:space="preserve">            Indicates whether request using the local training data as the testing dataset to</w:t>
      </w:r>
    </w:p>
    <w:p w14:paraId="26E1566B" w14:textId="77777777" w:rsidR="007862A2" w:rsidRDefault="007862A2" w:rsidP="007862A2">
      <w:pPr>
        <w:pStyle w:val="PL"/>
      </w:pPr>
      <w:r>
        <w:t xml:space="preserve">            calculate the Model Accuracy of the global ML model provided by the consumer. Set to</w:t>
      </w:r>
    </w:p>
    <w:p w14:paraId="2DBD0776" w14:textId="77777777" w:rsidR="007862A2" w:rsidRDefault="007862A2" w:rsidP="007862A2">
      <w:pPr>
        <w:pStyle w:val="PL"/>
      </w:pPr>
      <w:r>
        <w:t xml:space="preserve">            "true" if it is requested, otherwise set to "false".</w:t>
      </w:r>
    </w:p>
    <w:p w14:paraId="47D4035F" w14:textId="77777777" w:rsidR="007862A2" w:rsidRDefault="007862A2" w:rsidP="007862A2">
      <w:pPr>
        <w:pStyle w:val="PL"/>
      </w:pPr>
      <w:r>
        <w:t xml:space="preserve">        mLTrainRepInfo:</w:t>
      </w:r>
    </w:p>
    <w:p w14:paraId="2B92349F" w14:textId="77777777" w:rsidR="007862A2" w:rsidRDefault="007862A2" w:rsidP="007862A2">
      <w:pPr>
        <w:pStyle w:val="PL"/>
      </w:pPr>
      <w:r>
        <w:t xml:space="preserve">          $ref: '#/components/schemas/MLTrainReportInfo'</w:t>
      </w:r>
    </w:p>
    <w:p w14:paraId="22F97AD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notifCorreId:</w:t>
      </w:r>
    </w:p>
    <w:p w14:paraId="57E9B9E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string</w:t>
      </w:r>
    </w:p>
    <w:p w14:paraId="3C8ED20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&gt;</w:t>
      </w:r>
    </w:p>
    <w:p w14:paraId="4E1C25F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String identifying the Notification Correlation ID in the corresponding notification.</w:t>
      </w:r>
    </w:p>
    <w:p w14:paraId="28E9634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zh-CN"/>
        </w:rPr>
        <w:t>roundInd</w:t>
      </w:r>
      <w:r>
        <w:rPr>
          <w:rFonts w:ascii="Courier New" w:hAnsi="Courier New"/>
          <w:sz w:val="16"/>
        </w:rPr>
        <w:t>:</w:t>
      </w:r>
    </w:p>
    <w:p w14:paraId="1C91650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10DD315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tgtRepUe:</w:t>
      </w:r>
    </w:p>
    <w:p w14:paraId="10BA4C6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'TS29520_Nnwdaf_EventsSubscription.yaml#/components/schemas/TargetUeInformation'</w:t>
      </w:r>
    </w:p>
    <w:p w14:paraId="561263BC"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16138">
        <w:rPr>
          <w:rFonts w:ascii="Courier New" w:hAnsi="Courier New"/>
          <w:sz w:val="16"/>
        </w:rPr>
        <w:t>skipF</w:t>
      </w:r>
      <w:r>
        <w:rPr>
          <w:rFonts w:ascii="Courier New" w:hAnsi="Courier New"/>
          <w:sz w:val="16"/>
        </w:rPr>
        <w:t>lInd:</w:t>
      </w:r>
    </w:p>
    <w:p w14:paraId="1A890C59"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16AB7F23"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hint="eastAsia"/>
          <w:sz w:val="16"/>
          <w:lang w:eastAsia="zh-CN"/>
        </w:rPr>
        <w:t xml:space="preserve"> </w:t>
      </w:r>
      <w:r>
        <w:rPr>
          <w:rFonts w:ascii="Courier New" w:hAnsi="Courier New"/>
          <w:sz w:val="16"/>
          <w:lang w:eastAsia="zh-CN"/>
        </w:rPr>
        <w:t xml:space="preserve">         description: Indicates whether to skip the current FL round or not.</w:t>
      </w:r>
    </w:p>
    <w:p w14:paraId="4C391C29"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45FA1E72"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mLEventSubscs</w:t>
      </w:r>
    </w:p>
    <w:p w14:paraId="276ED52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notifUri</w:t>
      </w:r>
    </w:p>
    <w:p w14:paraId="61F5106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Pr>
          <w:rFonts w:ascii="Courier New" w:hAnsi="Courier New"/>
          <w:sz w:val="16"/>
        </w:rPr>
        <w:t xml:space="preserve">        - notifCorreId</w:t>
      </w:r>
    </w:p>
    <w:p w14:paraId="11839005" w14:textId="77777777" w:rsidR="007862A2" w:rsidRDefault="007862A2" w:rsidP="007862A2">
      <w:pPr>
        <w:pStyle w:val="PL"/>
      </w:pPr>
    </w:p>
    <w:p w14:paraId="7F38DDAA" w14:textId="77777777" w:rsidR="007862A2" w:rsidRDefault="007862A2" w:rsidP="007862A2">
      <w:pPr>
        <w:pStyle w:val="PL"/>
        <w:rPr>
          <w:rFonts w:eastAsia="等线"/>
        </w:rPr>
      </w:pPr>
      <w:r>
        <w:t xml:space="preserve">    </w:t>
      </w:r>
      <w:r>
        <w:rPr>
          <w:rFonts w:eastAsia="等线"/>
        </w:rPr>
        <w:t>NwdafMLModelTrainSubscPatch:</w:t>
      </w:r>
    </w:p>
    <w:p w14:paraId="439CB865" w14:textId="77777777" w:rsidR="007862A2" w:rsidRDefault="007862A2" w:rsidP="007862A2">
      <w:pPr>
        <w:pStyle w:val="PL"/>
      </w:pPr>
      <w:r>
        <w:t xml:space="preserve">      description: &gt;</w:t>
      </w:r>
    </w:p>
    <w:p w14:paraId="6E5ADB6C" w14:textId="77777777" w:rsidR="007862A2" w:rsidRDefault="007862A2" w:rsidP="007862A2">
      <w:pPr>
        <w:pStyle w:val="PL"/>
      </w:pPr>
      <w:r>
        <w:t xml:space="preserve">        Represents parameters to request the modification of a ML Model Training subscription.</w:t>
      </w:r>
    </w:p>
    <w:p w14:paraId="2EA0AB2E" w14:textId="77777777" w:rsidR="007862A2" w:rsidRDefault="007862A2" w:rsidP="007862A2">
      <w:pPr>
        <w:pStyle w:val="PL"/>
      </w:pPr>
      <w:r>
        <w:t xml:space="preserve">      type: object</w:t>
      </w:r>
    </w:p>
    <w:p w14:paraId="64D3E1BE" w14:textId="77777777" w:rsidR="007862A2" w:rsidRDefault="007862A2" w:rsidP="007862A2">
      <w:pPr>
        <w:pStyle w:val="PL"/>
      </w:pPr>
      <w:r>
        <w:t xml:space="preserve">      properties:</w:t>
      </w:r>
    </w:p>
    <w:p w14:paraId="2F8834A7" w14:textId="77777777" w:rsidR="007862A2" w:rsidRDefault="007862A2" w:rsidP="007862A2">
      <w:pPr>
        <w:pStyle w:val="PL"/>
      </w:pPr>
      <w:r>
        <w:t xml:space="preserve">        notifUri:</w:t>
      </w:r>
    </w:p>
    <w:p w14:paraId="1758C376" w14:textId="77777777" w:rsidR="007862A2" w:rsidRDefault="007862A2" w:rsidP="007862A2">
      <w:pPr>
        <w:pStyle w:val="PL"/>
      </w:pPr>
      <w:r>
        <w:t xml:space="preserve">          $ref: 'TS29571_CommonData.yaml#/components/schemas/Uri'</w:t>
      </w:r>
    </w:p>
    <w:p w14:paraId="434F42B6" w14:textId="77777777" w:rsidR="007862A2" w:rsidRDefault="007862A2" w:rsidP="007862A2">
      <w:pPr>
        <w:pStyle w:val="PL"/>
      </w:pPr>
      <w:r>
        <w:t xml:space="preserve">        </w:t>
      </w:r>
      <w:r>
        <w:rPr>
          <w:lang w:eastAsia="zh-CN"/>
        </w:rPr>
        <w:t>eventReq</w:t>
      </w:r>
      <w:r>
        <w:t>:</w:t>
      </w:r>
    </w:p>
    <w:p w14:paraId="52BF0679" w14:textId="77777777" w:rsidR="007862A2" w:rsidRDefault="007862A2" w:rsidP="007862A2">
      <w:pPr>
        <w:pStyle w:val="PL"/>
      </w:pPr>
      <w:r>
        <w:t xml:space="preserve">          $ref: 'TS29523_Npcf_EventExposure.yaml#/components/schemas/ReportingInformation'</w:t>
      </w:r>
    </w:p>
    <w:p w14:paraId="05683F4E"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mLModelInfos:</w:t>
      </w:r>
    </w:p>
    <w:p w14:paraId="0B5143AB"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79DB0A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78F56C8"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'TS29520_Nnwdaf_MLModelProvision.yaml#/components/schemas/MLEventNotif'</w:t>
      </w:r>
    </w:p>
    <w:p w14:paraId="2100F52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CC9790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Represents the ML Model information.</w:t>
      </w:r>
    </w:p>
    <w:p w14:paraId="18344980"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mLModelTrainInfos:</w:t>
      </w:r>
    </w:p>
    <w:p w14:paraId="28F46C1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43E2CDB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EFA19BA"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'#/components/schemas/MLModelTrainInfo'</w:t>
      </w:r>
    </w:p>
    <w:p w14:paraId="0BB9DC46"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4442BE3"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Represents the ML Model training information.</w:t>
      </w:r>
    </w:p>
    <w:p w14:paraId="7654A816" w14:textId="77777777" w:rsidR="007862A2" w:rsidRDefault="007862A2" w:rsidP="007862A2">
      <w:pPr>
        <w:pStyle w:val="PL"/>
      </w:pPr>
      <w:r>
        <w:t xml:space="preserve">        mLPreFlag:</w:t>
      </w:r>
    </w:p>
    <w:p w14:paraId="28C14150" w14:textId="77777777" w:rsidR="007862A2" w:rsidRDefault="007862A2" w:rsidP="007862A2">
      <w:pPr>
        <w:pStyle w:val="PL"/>
      </w:pPr>
      <w:r>
        <w:t xml:space="preserve">          type: boolean</w:t>
      </w:r>
    </w:p>
    <w:p w14:paraId="18F37481" w14:textId="77777777" w:rsidR="007862A2" w:rsidRDefault="007862A2" w:rsidP="007862A2">
      <w:pPr>
        <w:pStyle w:val="PL"/>
      </w:pPr>
      <w:r>
        <w:t xml:space="preserve">          description: &gt;</w:t>
      </w:r>
    </w:p>
    <w:p w14:paraId="4EC9358E" w14:textId="77777777" w:rsidR="007862A2" w:rsidRDefault="007862A2" w:rsidP="007862A2">
      <w:pPr>
        <w:pStyle w:val="PL"/>
      </w:pPr>
      <w:r>
        <w:t xml:space="preserve">            Indicates whether the subscription is for preparation of ML Model training. Set to</w:t>
      </w:r>
    </w:p>
    <w:p w14:paraId="1818675F" w14:textId="77777777" w:rsidR="007862A2" w:rsidRDefault="007862A2" w:rsidP="007862A2">
      <w:pPr>
        <w:pStyle w:val="PL"/>
        <w:rPr>
          <w:lang w:eastAsia="zh-CN"/>
        </w:rPr>
      </w:pPr>
      <w:r>
        <w:t xml:space="preserve">            "true" if it is for ML training preparation, otherwise set to "false".</w:t>
      </w:r>
    </w:p>
    <w:p w14:paraId="7B4278BB" w14:textId="77777777" w:rsidR="007862A2" w:rsidRDefault="007862A2" w:rsidP="007862A2">
      <w:pPr>
        <w:pStyle w:val="PL"/>
      </w:pPr>
      <w:r>
        <w:t xml:space="preserve">        </w:t>
      </w:r>
      <w:r>
        <w:rPr>
          <w:color w:val="000000"/>
          <w:lang w:val="en-US" w:eastAsia="zh-CN"/>
        </w:rPr>
        <w:t>mLAccChkFlg</w:t>
      </w:r>
      <w:r>
        <w:t>:</w:t>
      </w:r>
    </w:p>
    <w:p w14:paraId="401E9A3D" w14:textId="77777777" w:rsidR="007862A2" w:rsidRDefault="007862A2" w:rsidP="007862A2">
      <w:pPr>
        <w:pStyle w:val="PL"/>
      </w:pPr>
      <w:r>
        <w:t xml:space="preserve">          type: boolean</w:t>
      </w:r>
    </w:p>
    <w:p w14:paraId="710FFD2F" w14:textId="77777777" w:rsidR="007862A2" w:rsidRDefault="007862A2" w:rsidP="007862A2">
      <w:pPr>
        <w:pStyle w:val="PL"/>
      </w:pPr>
      <w:r>
        <w:t xml:space="preserve">          description: &gt;</w:t>
      </w:r>
    </w:p>
    <w:p w14:paraId="0D70EAEA" w14:textId="77777777" w:rsidR="007862A2" w:rsidRDefault="007862A2" w:rsidP="007862A2">
      <w:pPr>
        <w:pStyle w:val="PL"/>
      </w:pPr>
      <w:r>
        <w:t xml:space="preserve">            Indicates whether request using the local training data as the testing dataset to</w:t>
      </w:r>
    </w:p>
    <w:p w14:paraId="3FF0C9C8" w14:textId="77777777" w:rsidR="007862A2" w:rsidRDefault="007862A2" w:rsidP="007862A2">
      <w:pPr>
        <w:pStyle w:val="PL"/>
      </w:pPr>
      <w:r>
        <w:t xml:space="preserve">            Calculate the Model Accuracy of the global ML model provided by the consumer. Set to</w:t>
      </w:r>
    </w:p>
    <w:p w14:paraId="1379CF08" w14:textId="77777777" w:rsidR="007862A2" w:rsidRDefault="007862A2" w:rsidP="007862A2">
      <w:pPr>
        <w:pStyle w:val="PL"/>
      </w:pPr>
      <w:r>
        <w:t xml:space="preserve">            "true" if it is requested, otherwise set to "false".</w:t>
      </w:r>
    </w:p>
    <w:p w14:paraId="4308236C" w14:textId="77777777" w:rsidR="007862A2" w:rsidRDefault="007862A2" w:rsidP="007862A2">
      <w:pPr>
        <w:pStyle w:val="PL"/>
      </w:pPr>
      <w:r>
        <w:t xml:space="preserve">        mLTrainRepInfo:</w:t>
      </w:r>
    </w:p>
    <w:p w14:paraId="2A43C4F2" w14:textId="77777777" w:rsidR="007862A2" w:rsidRDefault="007862A2" w:rsidP="007862A2">
      <w:pPr>
        <w:pStyle w:val="PL"/>
      </w:pPr>
      <w:r>
        <w:t xml:space="preserve">          $ref: '#/components/schemas/MLTrainReportInfo'</w:t>
      </w:r>
    </w:p>
    <w:p w14:paraId="04E7422C" w14:textId="77777777" w:rsidR="007862A2" w:rsidRDefault="007862A2" w:rsidP="007862A2">
      <w:pPr>
        <w:pStyle w:val="PL"/>
      </w:pPr>
      <w:r>
        <w:t xml:space="preserve">        </w:t>
      </w:r>
      <w:r>
        <w:rPr>
          <w:lang w:eastAsia="zh-CN"/>
        </w:rPr>
        <w:t>roundInd</w:t>
      </w:r>
      <w:r>
        <w:t>:</w:t>
      </w:r>
    </w:p>
    <w:p w14:paraId="36E245B0" w14:textId="77777777" w:rsidR="007862A2" w:rsidRDefault="007862A2" w:rsidP="007862A2">
      <w:pPr>
        <w:pStyle w:val="PL"/>
      </w:pPr>
      <w:r>
        <w:t xml:space="preserve">          $ref: 'TS29571_CommonData.yaml#/components/schemas/Uinteger'</w:t>
      </w:r>
    </w:p>
    <w:p w14:paraId="21983127" w14:textId="77777777" w:rsidR="007862A2" w:rsidRDefault="007862A2" w:rsidP="007862A2">
      <w:pPr>
        <w:pStyle w:val="PL"/>
      </w:pPr>
      <w:r>
        <w:lastRenderedPageBreak/>
        <w:t xml:space="preserve">        tgtRepUe:</w:t>
      </w:r>
    </w:p>
    <w:p w14:paraId="66A27231" w14:textId="77777777" w:rsidR="007862A2" w:rsidRDefault="007862A2" w:rsidP="007862A2">
      <w:pPr>
        <w:pStyle w:val="PL"/>
      </w:pPr>
      <w:r>
        <w:t xml:space="preserve">          $ref: 'TS29520_Nnwdaf_EventsSubscription.yaml#/components/schemas/TargetUeInformation'</w:t>
      </w:r>
    </w:p>
    <w:p w14:paraId="0103B784"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16138">
        <w:rPr>
          <w:rFonts w:ascii="Courier New" w:hAnsi="Courier New"/>
          <w:sz w:val="16"/>
        </w:rPr>
        <w:t>skipF</w:t>
      </w:r>
      <w:r>
        <w:rPr>
          <w:rFonts w:ascii="Courier New" w:hAnsi="Courier New"/>
          <w:sz w:val="16"/>
        </w:rPr>
        <w:t>lInd:</w:t>
      </w:r>
    </w:p>
    <w:p w14:paraId="06A40425"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boolean</w:t>
      </w:r>
    </w:p>
    <w:p w14:paraId="5D3FB3F7" w14:textId="77777777" w:rsidR="007862A2" w:rsidRDefault="007862A2" w:rsidP="007862A2">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hint="eastAsia"/>
          <w:sz w:val="16"/>
          <w:lang w:eastAsia="zh-CN"/>
        </w:rPr>
        <w:t xml:space="preserve"> </w:t>
      </w:r>
      <w:r>
        <w:rPr>
          <w:rFonts w:ascii="Courier New" w:hAnsi="Courier New"/>
          <w:sz w:val="16"/>
          <w:lang w:eastAsia="zh-CN"/>
        </w:rPr>
        <w:t xml:space="preserve">         description: Indicates whether to skip the current FL round or not.</w:t>
      </w:r>
    </w:p>
    <w:p w14:paraId="6FE7FCBA" w14:textId="77777777" w:rsidR="007862A2" w:rsidRDefault="007862A2" w:rsidP="007862A2">
      <w:pPr>
        <w:pStyle w:val="PL"/>
      </w:pPr>
    </w:p>
    <w:p w14:paraId="31D75F09" w14:textId="77777777" w:rsidR="007862A2" w:rsidRDefault="007862A2" w:rsidP="007862A2">
      <w:pPr>
        <w:pStyle w:val="PL"/>
        <w:rPr>
          <w:rFonts w:eastAsia="等线"/>
        </w:rPr>
      </w:pPr>
      <w:r>
        <w:t xml:space="preserve">    </w:t>
      </w:r>
      <w:r>
        <w:rPr>
          <w:rFonts w:eastAsia="等线"/>
        </w:rPr>
        <w:t>NwdafMLModelTrainNotif:</w:t>
      </w:r>
    </w:p>
    <w:p w14:paraId="2E65B2AA" w14:textId="77777777" w:rsidR="007862A2" w:rsidRDefault="007862A2" w:rsidP="007862A2">
      <w:pPr>
        <w:pStyle w:val="PL"/>
      </w:pPr>
      <w:r>
        <w:t xml:space="preserve">      description: Represents notifications on events that occurred.</w:t>
      </w:r>
    </w:p>
    <w:p w14:paraId="0E83E7CC" w14:textId="77777777" w:rsidR="007862A2" w:rsidRDefault="007862A2" w:rsidP="007862A2">
      <w:pPr>
        <w:pStyle w:val="PL"/>
      </w:pPr>
      <w:r>
        <w:t xml:space="preserve">      type: object</w:t>
      </w:r>
    </w:p>
    <w:p w14:paraId="75602DE2" w14:textId="77777777" w:rsidR="007862A2" w:rsidRDefault="007862A2" w:rsidP="007862A2">
      <w:pPr>
        <w:pStyle w:val="PL"/>
      </w:pPr>
      <w:r>
        <w:t xml:space="preserve">      properties:</w:t>
      </w:r>
    </w:p>
    <w:p w14:paraId="05CD40D3" w14:textId="77777777" w:rsidR="007862A2" w:rsidRDefault="007862A2" w:rsidP="007862A2">
      <w:pPr>
        <w:pStyle w:val="PL"/>
      </w:pPr>
      <w:r>
        <w:t xml:space="preserve">        delayEventNotif:</w:t>
      </w:r>
    </w:p>
    <w:p w14:paraId="2E3C8CBC" w14:textId="77777777" w:rsidR="007862A2" w:rsidRDefault="007862A2" w:rsidP="007862A2">
      <w:pPr>
        <w:pStyle w:val="PL"/>
      </w:pPr>
      <w:r>
        <w:t xml:space="preserve">          $ref: '#/components/schemas/DelayEventNotif'</w:t>
      </w:r>
    </w:p>
    <w:p w14:paraId="63EFD6F8" w14:textId="77777777" w:rsidR="007862A2" w:rsidRDefault="007862A2" w:rsidP="007862A2">
      <w:pPr>
        <w:pStyle w:val="PL"/>
      </w:pPr>
      <w:r>
        <w:t xml:space="preserve">        mlCorreId:</w:t>
      </w:r>
    </w:p>
    <w:p w14:paraId="0316DDA9" w14:textId="77777777" w:rsidR="007862A2" w:rsidRDefault="007862A2" w:rsidP="007862A2">
      <w:pPr>
        <w:pStyle w:val="PL"/>
      </w:pPr>
      <w:r>
        <w:t xml:space="preserve">          type: string</w:t>
      </w:r>
    </w:p>
    <w:p w14:paraId="1F424FA6" w14:textId="77777777" w:rsidR="007862A2" w:rsidRDefault="007862A2" w:rsidP="007862A2">
      <w:pPr>
        <w:pStyle w:val="PL"/>
      </w:pPr>
      <w:r>
        <w:t xml:space="preserve">          description: String identifying the subscription is for a Federated Learning procedure.</w:t>
      </w:r>
    </w:p>
    <w:p w14:paraId="4DF65013" w14:textId="77777777" w:rsidR="007862A2" w:rsidRDefault="007862A2" w:rsidP="007862A2">
      <w:pPr>
        <w:pStyle w:val="PL"/>
      </w:pPr>
      <w:r>
        <w:t xml:space="preserve">        mLModelInfos:</w:t>
      </w:r>
    </w:p>
    <w:p w14:paraId="7D6ABF4B" w14:textId="77777777" w:rsidR="007862A2" w:rsidRDefault="007862A2" w:rsidP="007862A2">
      <w:pPr>
        <w:pStyle w:val="PL"/>
      </w:pPr>
      <w:r>
        <w:t xml:space="preserve">          type: array</w:t>
      </w:r>
    </w:p>
    <w:p w14:paraId="03398AA6" w14:textId="77777777" w:rsidR="007862A2" w:rsidRDefault="007862A2" w:rsidP="007862A2">
      <w:pPr>
        <w:pStyle w:val="PL"/>
      </w:pPr>
      <w:r>
        <w:t xml:space="preserve">          items:</w:t>
      </w:r>
    </w:p>
    <w:p w14:paraId="5188B315"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'TS29520_Nnwdaf_MLModelProvision.yaml#/components/schemas/MLEventNotif'</w:t>
      </w:r>
    </w:p>
    <w:p w14:paraId="044B0FFD" w14:textId="77777777" w:rsidR="007862A2" w:rsidRDefault="007862A2" w:rsidP="007862A2">
      <w:pPr>
        <w:pStyle w:val="PL"/>
      </w:pPr>
      <w:r>
        <w:t xml:space="preserve">          minItems: 1</w:t>
      </w:r>
    </w:p>
    <w:p w14:paraId="4EB121D8" w14:textId="77777777" w:rsidR="007862A2" w:rsidRDefault="007862A2" w:rsidP="007862A2">
      <w:pPr>
        <w:pStyle w:val="PL"/>
      </w:pPr>
      <w:r>
        <w:t xml:space="preserve">          description: Represents the ML Model information.</w:t>
      </w:r>
    </w:p>
    <w:p w14:paraId="7C6C3980" w14:textId="77777777" w:rsidR="007862A2" w:rsidRDefault="007862A2" w:rsidP="007862A2">
      <w:pPr>
        <w:pStyle w:val="PL"/>
      </w:pPr>
      <w:r>
        <w:t xml:space="preserve">        notifCorreId:</w:t>
      </w:r>
    </w:p>
    <w:p w14:paraId="5EE6E221" w14:textId="77777777" w:rsidR="007862A2" w:rsidRDefault="007862A2" w:rsidP="007862A2">
      <w:pPr>
        <w:pStyle w:val="PL"/>
      </w:pPr>
      <w:r>
        <w:t xml:space="preserve">          type: string</w:t>
      </w:r>
    </w:p>
    <w:p w14:paraId="5A7DE4ED" w14:textId="77777777" w:rsidR="007862A2" w:rsidRDefault="007862A2" w:rsidP="007862A2">
      <w:pPr>
        <w:pStyle w:val="PL"/>
      </w:pPr>
      <w:r>
        <w:t xml:space="preserve">          description: &gt;</w:t>
      </w:r>
    </w:p>
    <w:p w14:paraId="2AC4493E" w14:textId="77777777" w:rsidR="007862A2" w:rsidRDefault="007862A2" w:rsidP="007862A2">
      <w:pPr>
        <w:pStyle w:val="PL"/>
      </w:pPr>
      <w:r>
        <w:t xml:space="preserve">            String identifying the Notification Correlation ID in the corresponding notification.</w:t>
      </w:r>
    </w:p>
    <w:p w14:paraId="473A8DA4" w14:textId="77777777" w:rsidR="007862A2" w:rsidRDefault="007862A2" w:rsidP="007862A2">
      <w:pPr>
        <w:pStyle w:val="PL"/>
      </w:pPr>
      <w:r>
        <w:t xml:space="preserve">        </w:t>
      </w:r>
      <w:r>
        <w:rPr>
          <w:lang w:eastAsia="zh-CN"/>
        </w:rPr>
        <w:t>roundInd</w:t>
      </w:r>
      <w:r>
        <w:t>:</w:t>
      </w:r>
    </w:p>
    <w:p w14:paraId="2C58964F" w14:textId="77777777" w:rsidR="007862A2" w:rsidRDefault="007862A2" w:rsidP="007862A2">
      <w:pPr>
        <w:pStyle w:val="PL"/>
      </w:pPr>
      <w:r>
        <w:t xml:space="preserve">          $ref: 'TS29571_CommonData.yaml#/components/schemas/Uinteger'</w:t>
      </w:r>
    </w:p>
    <w:p w14:paraId="5D8B2459" w14:textId="77777777" w:rsidR="007862A2" w:rsidRDefault="007862A2" w:rsidP="007862A2">
      <w:pPr>
        <w:pStyle w:val="PL"/>
      </w:pPr>
      <w:r>
        <w:t xml:space="preserve">        statusReport:</w:t>
      </w:r>
    </w:p>
    <w:p w14:paraId="3DFE4765" w14:textId="77777777" w:rsidR="007862A2" w:rsidRDefault="007862A2" w:rsidP="007862A2">
      <w:pPr>
        <w:pStyle w:val="PL"/>
      </w:pPr>
      <w:r>
        <w:t xml:space="preserve">          $ref: '#/components/schemas/StatusReportInfo'</w:t>
      </w:r>
    </w:p>
    <w:p w14:paraId="5F05B818" w14:textId="77777777" w:rsidR="007862A2" w:rsidRDefault="007862A2" w:rsidP="007862A2">
      <w:pPr>
        <w:pStyle w:val="PL"/>
      </w:pPr>
      <w:r>
        <w:t xml:space="preserve">        termTrainReq:</w:t>
      </w:r>
    </w:p>
    <w:p w14:paraId="797458B7" w14:textId="77777777" w:rsidR="007862A2" w:rsidRDefault="007862A2" w:rsidP="00786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'#/components/schemas/TermTrainCause'</w:t>
      </w:r>
    </w:p>
    <w:p w14:paraId="7F7C692D" w14:textId="77777777" w:rsidR="007862A2" w:rsidRDefault="007862A2" w:rsidP="007862A2">
      <w:pPr>
        <w:pStyle w:val="PL"/>
      </w:pPr>
      <w:r>
        <w:t xml:space="preserve">      required:</w:t>
      </w:r>
    </w:p>
    <w:p w14:paraId="62DBD78F" w14:textId="77777777" w:rsidR="007862A2" w:rsidRDefault="007862A2" w:rsidP="007862A2">
      <w:pPr>
        <w:pStyle w:val="PL"/>
      </w:pPr>
      <w:r>
        <w:rPr>
          <w:lang w:val="en-US" w:eastAsia="zh-CN"/>
        </w:rPr>
        <w:t xml:space="preserve">        - notifCorreId</w:t>
      </w:r>
    </w:p>
    <w:p w14:paraId="26E97EAA" w14:textId="77777777" w:rsidR="007862A2" w:rsidRDefault="007862A2" w:rsidP="007862A2">
      <w:pPr>
        <w:pStyle w:val="PL"/>
      </w:pPr>
      <w:r>
        <w:t xml:space="preserve">      oneOf:</w:t>
      </w:r>
    </w:p>
    <w:p w14:paraId="66AD00F2" w14:textId="77777777" w:rsidR="007862A2" w:rsidRDefault="007862A2" w:rsidP="007862A2">
      <w:pPr>
        <w:pStyle w:val="PL"/>
      </w:pPr>
      <w:r>
        <w:t xml:space="preserve">        - required: [delayEventNotif]</w:t>
      </w:r>
    </w:p>
    <w:p w14:paraId="160A1ECE" w14:textId="77777777" w:rsidR="007862A2" w:rsidRDefault="007862A2" w:rsidP="007862A2">
      <w:pPr>
        <w:pStyle w:val="PL"/>
      </w:pPr>
      <w:r>
        <w:t xml:space="preserve">        - required: [mLModelInfos]</w:t>
      </w:r>
    </w:p>
    <w:p w14:paraId="1D4C84FA" w14:textId="77777777" w:rsidR="007862A2" w:rsidRDefault="007862A2" w:rsidP="007862A2">
      <w:pPr>
        <w:pStyle w:val="PL"/>
      </w:pPr>
      <w:r>
        <w:t xml:space="preserve">        - required: [termTrainReq]</w:t>
      </w:r>
    </w:p>
    <w:p w14:paraId="1B9630E1" w14:textId="77777777" w:rsidR="007862A2" w:rsidRDefault="007862A2" w:rsidP="007862A2">
      <w:pPr>
        <w:pStyle w:val="PL"/>
      </w:pPr>
      <w:r>
        <w:t xml:space="preserve">        - required: [mLModelInfos, termTrainReq]</w:t>
      </w:r>
    </w:p>
    <w:p w14:paraId="6BDDFB35" w14:textId="77777777" w:rsidR="007862A2" w:rsidRDefault="007862A2" w:rsidP="007862A2">
      <w:pPr>
        <w:pStyle w:val="PL"/>
        <w:rPr>
          <w:rFonts w:cs="Courier New"/>
          <w:szCs w:val="16"/>
        </w:rPr>
      </w:pPr>
    </w:p>
    <w:p w14:paraId="3DFB076E" w14:textId="77777777" w:rsidR="007862A2" w:rsidRDefault="007862A2" w:rsidP="007862A2">
      <w:pPr>
        <w:pStyle w:val="PL"/>
        <w:rPr>
          <w:rFonts w:eastAsia="等线"/>
        </w:rPr>
      </w:pPr>
      <w:r>
        <w:t xml:space="preserve">    </w:t>
      </w:r>
      <w:r>
        <w:rPr>
          <w:rFonts w:eastAsia="等线"/>
        </w:rPr>
        <w:t>MLModelTrainInfo:</w:t>
      </w:r>
    </w:p>
    <w:p w14:paraId="6258E572" w14:textId="77777777" w:rsidR="007862A2" w:rsidRDefault="007862A2" w:rsidP="007862A2">
      <w:pPr>
        <w:pStyle w:val="PL"/>
      </w:pPr>
      <w:r>
        <w:t xml:space="preserve">      description: &gt;</w:t>
      </w:r>
    </w:p>
    <w:p w14:paraId="07672221" w14:textId="77777777" w:rsidR="007862A2" w:rsidRDefault="007862A2" w:rsidP="007862A2">
      <w:pPr>
        <w:pStyle w:val="PL"/>
      </w:pPr>
      <w:r>
        <w:t xml:space="preserve">        Represents the ML Model training information, include requirement on data availability and</w:t>
      </w:r>
    </w:p>
    <w:p w14:paraId="1A950C0E" w14:textId="77777777" w:rsidR="007862A2" w:rsidRDefault="007862A2" w:rsidP="007862A2">
      <w:pPr>
        <w:pStyle w:val="PL"/>
      </w:pPr>
      <w:r>
        <w:t xml:space="preserve">        time availability, training filter information.</w:t>
      </w:r>
    </w:p>
    <w:p w14:paraId="62FC342C" w14:textId="77777777" w:rsidR="007862A2" w:rsidRDefault="007862A2" w:rsidP="007862A2">
      <w:pPr>
        <w:pStyle w:val="PL"/>
      </w:pPr>
      <w:r>
        <w:t xml:space="preserve">      type: object</w:t>
      </w:r>
    </w:p>
    <w:p w14:paraId="006A79F1" w14:textId="77777777" w:rsidR="007862A2" w:rsidRDefault="007862A2" w:rsidP="007862A2">
      <w:pPr>
        <w:pStyle w:val="PL"/>
        <w:rPr>
          <w:rFonts w:eastAsia="等线"/>
        </w:rPr>
      </w:pPr>
      <w:r>
        <w:t xml:space="preserve">      properties:</w:t>
      </w:r>
    </w:p>
    <w:p w14:paraId="0FD4D2FE" w14:textId="77777777" w:rsidR="007862A2" w:rsidRDefault="007862A2" w:rsidP="007862A2">
      <w:pPr>
        <w:pStyle w:val="PL"/>
      </w:pPr>
      <w:r>
        <w:t xml:space="preserve">        dataAvReq:</w:t>
      </w:r>
    </w:p>
    <w:p w14:paraId="72AF15D7" w14:textId="77777777" w:rsidR="007862A2" w:rsidRDefault="007862A2" w:rsidP="007862A2">
      <w:pPr>
        <w:pStyle w:val="PL"/>
      </w:pPr>
      <w:r>
        <w:t xml:space="preserve">          $ref: '#/components/schemas/DataAvReq'</w:t>
      </w:r>
    </w:p>
    <w:p w14:paraId="41E5CDF5" w14:textId="77777777" w:rsidR="007862A2" w:rsidRDefault="007862A2" w:rsidP="007862A2">
      <w:pPr>
        <w:pStyle w:val="PL"/>
      </w:pPr>
      <w:r>
        <w:t xml:space="preserve">        timeAvReq:</w:t>
      </w:r>
    </w:p>
    <w:p w14:paraId="281B0101" w14:textId="77777777" w:rsidR="007862A2" w:rsidRDefault="007862A2" w:rsidP="007862A2">
      <w:pPr>
        <w:pStyle w:val="PL"/>
      </w:pPr>
      <w:r>
        <w:t xml:space="preserve">          type: string</w:t>
      </w:r>
    </w:p>
    <w:p w14:paraId="2F024467" w14:textId="77777777" w:rsidR="007862A2" w:rsidRDefault="007862A2" w:rsidP="007862A2">
      <w:pPr>
        <w:pStyle w:val="PL"/>
      </w:pPr>
      <w:r>
        <w:t xml:space="preserve">          description: &gt;</w:t>
      </w:r>
    </w:p>
    <w:p w14:paraId="0506F060" w14:textId="77777777" w:rsidR="007862A2" w:rsidRDefault="007862A2" w:rsidP="007862A2">
      <w:pPr>
        <w:pStyle w:val="PL"/>
      </w:pPr>
      <w:r>
        <w:t xml:space="preserve">            String representing the requirement on available time for the ML model training.</w:t>
      </w:r>
    </w:p>
    <w:p w14:paraId="764034E4" w14:textId="77777777" w:rsidR="007862A2" w:rsidRDefault="007862A2" w:rsidP="007862A2">
      <w:pPr>
        <w:pStyle w:val="PL"/>
        <w:rPr>
          <w:rFonts w:cs="Courier New"/>
          <w:szCs w:val="16"/>
        </w:rPr>
      </w:pPr>
    </w:p>
    <w:p w14:paraId="1839FA81" w14:textId="77777777" w:rsidR="007862A2" w:rsidRDefault="007862A2" w:rsidP="007862A2">
      <w:pPr>
        <w:pStyle w:val="PL"/>
        <w:rPr>
          <w:rFonts w:eastAsia="等线"/>
        </w:rPr>
      </w:pPr>
      <w:r>
        <w:t xml:space="preserve">    </w:t>
      </w:r>
      <w:r>
        <w:rPr>
          <w:rFonts w:eastAsia="等线"/>
        </w:rPr>
        <w:t>MLTrainReportInfo:</w:t>
      </w:r>
    </w:p>
    <w:p w14:paraId="034BDB18" w14:textId="77777777" w:rsidR="007862A2" w:rsidRDefault="007862A2" w:rsidP="007862A2">
      <w:pPr>
        <w:pStyle w:val="PL"/>
      </w:pPr>
      <w:r>
        <w:t xml:space="preserve">      description: Represents the ML Model training reporting information.</w:t>
      </w:r>
    </w:p>
    <w:p w14:paraId="1020CBFD" w14:textId="77777777" w:rsidR="007862A2" w:rsidRDefault="007862A2" w:rsidP="007862A2">
      <w:pPr>
        <w:pStyle w:val="PL"/>
      </w:pPr>
      <w:r>
        <w:t xml:space="preserve">      type: object</w:t>
      </w:r>
    </w:p>
    <w:p w14:paraId="553E5917" w14:textId="77777777" w:rsidR="007862A2" w:rsidRDefault="007862A2" w:rsidP="007862A2">
      <w:pPr>
        <w:pStyle w:val="PL"/>
        <w:rPr>
          <w:rFonts w:eastAsia="等线"/>
        </w:rPr>
      </w:pPr>
      <w:r>
        <w:t xml:space="preserve">      properties:</w:t>
      </w:r>
    </w:p>
    <w:p w14:paraId="53ECB054" w14:textId="77777777" w:rsidR="007862A2" w:rsidRDefault="007862A2" w:rsidP="007862A2">
      <w:pPr>
        <w:pStyle w:val="PL"/>
      </w:pPr>
      <w:r>
        <w:t xml:space="preserve">        maxResTime:</w:t>
      </w:r>
    </w:p>
    <w:p w14:paraId="3A3572B6" w14:textId="77777777" w:rsidR="007862A2" w:rsidRDefault="007862A2" w:rsidP="007862A2">
      <w:pPr>
        <w:pStyle w:val="PL"/>
        <w:rPr>
          <w:rFonts w:cs="Courier New"/>
          <w:szCs w:val="16"/>
        </w:rPr>
      </w:pPr>
      <w:r>
        <w:t xml:space="preserve">          $ref: 'TS29571_CommonData.yaml#/components/schemas/DurationSec'</w:t>
      </w:r>
    </w:p>
    <w:p w14:paraId="2F7E950C" w14:textId="77777777" w:rsidR="007862A2" w:rsidRDefault="007862A2" w:rsidP="007862A2">
      <w:pPr>
        <w:pStyle w:val="PL"/>
        <w:rPr>
          <w:rFonts w:cs="Courier New"/>
          <w:szCs w:val="16"/>
        </w:rPr>
      </w:pPr>
    </w:p>
    <w:p w14:paraId="2628BA8A" w14:textId="77777777" w:rsidR="007862A2" w:rsidRDefault="007862A2" w:rsidP="007862A2">
      <w:pPr>
        <w:pStyle w:val="PL"/>
        <w:rPr>
          <w:rFonts w:eastAsia="等线"/>
        </w:rPr>
      </w:pPr>
      <w:r>
        <w:t xml:space="preserve">    </w:t>
      </w:r>
      <w:r>
        <w:rPr>
          <w:rFonts w:eastAsia="等线"/>
        </w:rPr>
        <w:t>FailureEventInfoForMLModelTrain:</w:t>
      </w:r>
    </w:p>
    <w:p w14:paraId="0388F70F" w14:textId="77777777" w:rsidR="007862A2" w:rsidRDefault="007862A2" w:rsidP="007862A2">
      <w:pPr>
        <w:pStyle w:val="PL"/>
      </w:pPr>
      <w:r>
        <w:t xml:space="preserve">      description: Represents the failure event information for a ML Model Training subscription.</w:t>
      </w:r>
    </w:p>
    <w:p w14:paraId="387AB365" w14:textId="77777777" w:rsidR="007862A2" w:rsidRDefault="007862A2" w:rsidP="007862A2">
      <w:pPr>
        <w:pStyle w:val="PL"/>
      </w:pPr>
      <w:r>
        <w:t xml:space="preserve">      type: object</w:t>
      </w:r>
    </w:p>
    <w:p w14:paraId="56410554" w14:textId="77777777" w:rsidR="007862A2" w:rsidRDefault="007862A2" w:rsidP="007862A2">
      <w:pPr>
        <w:pStyle w:val="PL"/>
        <w:rPr>
          <w:rFonts w:eastAsia="等线"/>
        </w:rPr>
      </w:pPr>
      <w:r>
        <w:t xml:space="preserve">      properties:</w:t>
      </w:r>
    </w:p>
    <w:p w14:paraId="177646FA" w14:textId="77777777" w:rsidR="007862A2" w:rsidRDefault="007862A2" w:rsidP="007862A2">
      <w:pPr>
        <w:pStyle w:val="PL"/>
      </w:pPr>
      <w:r>
        <w:t xml:space="preserve">        mLTrainEvent:</w:t>
      </w:r>
    </w:p>
    <w:p w14:paraId="2F8DA808" w14:textId="77777777" w:rsidR="007862A2" w:rsidRDefault="007862A2" w:rsidP="007862A2">
      <w:pPr>
        <w:pStyle w:val="PL"/>
      </w:pPr>
      <w:r>
        <w:t xml:space="preserve">          $ref: 'TS29520_Nnwdaf_EventsSubscription.yaml#/components/schemas/NwdafEvent'</w:t>
      </w:r>
    </w:p>
    <w:p w14:paraId="6874121F" w14:textId="77777777" w:rsidR="007862A2" w:rsidRDefault="007862A2" w:rsidP="007862A2">
      <w:pPr>
        <w:pStyle w:val="PL"/>
      </w:pPr>
      <w:r>
        <w:t xml:space="preserve">        </w:t>
      </w:r>
      <w:r>
        <w:rPr>
          <w:lang w:eastAsia="zh-CN"/>
        </w:rPr>
        <w:t>failureCodeTrain</w:t>
      </w:r>
      <w:r>
        <w:t>:</w:t>
      </w:r>
    </w:p>
    <w:p w14:paraId="47E81996" w14:textId="77777777" w:rsidR="007862A2" w:rsidRDefault="007862A2" w:rsidP="007862A2">
      <w:pPr>
        <w:pStyle w:val="PL"/>
      </w:pPr>
      <w:r>
        <w:t xml:space="preserve">          $ref: '#/components/schemas/FailureCodeTrain'</w:t>
      </w:r>
    </w:p>
    <w:p w14:paraId="2E2A5FAB" w14:textId="77777777" w:rsidR="007862A2" w:rsidRDefault="007862A2" w:rsidP="007862A2">
      <w:pPr>
        <w:pStyle w:val="PL"/>
      </w:pPr>
      <w:r>
        <w:t xml:space="preserve">      required:</w:t>
      </w:r>
    </w:p>
    <w:p w14:paraId="2AA4E43C" w14:textId="77777777" w:rsidR="007862A2" w:rsidRDefault="007862A2" w:rsidP="007862A2">
      <w:pPr>
        <w:pStyle w:val="PL"/>
      </w:pPr>
      <w:r>
        <w:t xml:space="preserve">        - mLTrainEvent</w:t>
      </w:r>
    </w:p>
    <w:p w14:paraId="12D4A5B8" w14:textId="77777777" w:rsidR="007862A2" w:rsidRDefault="007862A2" w:rsidP="007862A2">
      <w:pPr>
        <w:pStyle w:val="PL"/>
        <w:rPr>
          <w:rFonts w:eastAsia="等线"/>
        </w:rPr>
      </w:pPr>
      <w:r>
        <w:t xml:space="preserve">        - </w:t>
      </w:r>
      <w:r>
        <w:rPr>
          <w:lang w:eastAsia="zh-CN"/>
        </w:rPr>
        <w:t>failureCodeTrain</w:t>
      </w:r>
    </w:p>
    <w:p w14:paraId="02E6481C" w14:textId="77777777" w:rsidR="007862A2" w:rsidRDefault="007862A2" w:rsidP="007862A2">
      <w:pPr>
        <w:pStyle w:val="PL"/>
      </w:pPr>
    </w:p>
    <w:p w14:paraId="5768F97E" w14:textId="77777777" w:rsidR="007862A2" w:rsidRDefault="007862A2" w:rsidP="007862A2">
      <w:pPr>
        <w:pStyle w:val="PL"/>
      </w:pPr>
      <w:r>
        <w:t xml:space="preserve">    DataAvReq</w:t>
      </w:r>
      <w:r>
        <w:rPr>
          <w:rFonts w:eastAsia="等线"/>
        </w:rPr>
        <w:t>:</w:t>
      </w:r>
    </w:p>
    <w:p w14:paraId="71382DC4" w14:textId="77777777" w:rsidR="007862A2" w:rsidRDefault="007862A2" w:rsidP="007862A2">
      <w:pPr>
        <w:pStyle w:val="PL"/>
      </w:pPr>
      <w:r>
        <w:t xml:space="preserve">      description: Represents the requirement on available data for the ML model training.</w:t>
      </w:r>
    </w:p>
    <w:p w14:paraId="1340A4A1" w14:textId="77777777" w:rsidR="007862A2" w:rsidRDefault="007862A2" w:rsidP="007862A2">
      <w:pPr>
        <w:pStyle w:val="PL"/>
      </w:pPr>
      <w:r>
        <w:t xml:space="preserve">      type: object</w:t>
      </w:r>
    </w:p>
    <w:p w14:paraId="31F861AC" w14:textId="77777777" w:rsidR="007862A2" w:rsidRDefault="007862A2" w:rsidP="007862A2">
      <w:pPr>
        <w:pStyle w:val="PL"/>
      </w:pPr>
      <w:r>
        <w:t xml:space="preserve">      properties:</w:t>
      </w:r>
    </w:p>
    <w:p w14:paraId="20C7CB45" w14:textId="77777777" w:rsidR="007862A2" w:rsidRDefault="007862A2" w:rsidP="007862A2">
      <w:pPr>
        <w:pStyle w:val="PL"/>
      </w:pPr>
      <w:r>
        <w:t xml:space="preserve">        </w:t>
      </w:r>
      <w:r>
        <w:rPr>
          <w:szCs w:val="18"/>
        </w:rPr>
        <w:t>dataStatProps</w:t>
      </w:r>
      <w:r>
        <w:t>:</w:t>
      </w:r>
    </w:p>
    <w:p w14:paraId="2BCDC9FE" w14:textId="77777777" w:rsidR="007862A2" w:rsidRDefault="007862A2" w:rsidP="007862A2">
      <w:pPr>
        <w:pStyle w:val="PL"/>
      </w:pPr>
      <w:r>
        <w:t xml:space="preserve">          type: array</w:t>
      </w:r>
    </w:p>
    <w:p w14:paraId="10CAEA65" w14:textId="77777777" w:rsidR="007862A2" w:rsidRDefault="007862A2" w:rsidP="007862A2">
      <w:pPr>
        <w:pStyle w:val="PL"/>
      </w:pPr>
      <w:r>
        <w:t xml:space="preserve">          items:</w:t>
      </w:r>
    </w:p>
    <w:p w14:paraId="538EE55B" w14:textId="77777777" w:rsidR="007862A2" w:rsidRDefault="007862A2" w:rsidP="007862A2">
      <w:pPr>
        <w:pStyle w:val="PL"/>
      </w:pPr>
      <w:r>
        <w:lastRenderedPageBreak/>
        <w:t xml:space="preserve">            $ref: 'TS29520_Nnwdaf_EventsSubscription.yaml#/components/schemas/DatasetStatisticalProperty'</w:t>
      </w:r>
    </w:p>
    <w:p w14:paraId="2C01A488" w14:textId="77777777" w:rsidR="007862A2" w:rsidRDefault="007862A2" w:rsidP="007862A2">
      <w:pPr>
        <w:pStyle w:val="PL"/>
      </w:pPr>
      <w:r>
        <w:t xml:space="preserve">          minItems: 1</w:t>
      </w:r>
    </w:p>
    <w:p w14:paraId="5611D264" w14:textId="77777777" w:rsidR="007862A2" w:rsidRDefault="007862A2" w:rsidP="007862A2">
      <w:pPr>
        <w:pStyle w:val="PL"/>
      </w:pPr>
      <w:r>
        <w:t xml:space="preserve">        </w:t>
      </w:r>
      <w:r>
        <w:rPr>
          <w:szCs w:val="18"/>
        </w:rPr>
        <w:t>inpEvents</w:t>
      </w:r>
      <w:r>
        <w:t>:</w:t>
      </w:r>
    </w:p>
    <w:p w14:paraId="04C13021" w14:textId="77777777" w:rsidR="007862A2" w:rsidRDefault="007862A2" w:rsidP="007862A2">
      <w:pPr>
        <w:pStyle w:val="PL"/>
      </w:pPr>
      <w:r>
        <w:t xml:space="preserve">          type: array</w:t>
      </w:r>
    </w:p>
    <w:p w14:paraId="026027C0" w14:textId="77777777" w:rsidR="007862A2" w:rsidRDefault="007862A2" w:rsidP="007862A2">
      <w:pPr>
        <w:pStyle w:val="PL"/>
      </w:pPr>
      <w:r>
        <w:t xml:space="preserve">          items:</w:t>
      </w:r>
    </w:p>
    <w:p w14:paraId="3DE1A859" w14:textId="77777777" w:rsidR="007862A2" w:rsidRDefault="007862A2" w:rsidP="007862A2">
      <w:pPr>
        <w:pStyle w:val="PL"/>
      </w:pPr>
      <w:r>
        <w:t xml:space="preserve">            $ref: 'TS29574_Ndccf_DataManagement.yaml#/components/schemas/</w:t>
      </w:r>
      <w:r>
        <w:rPr>
          <w:szCs w:val="18"/>
        </w:rPr>
        <w:t>DccfEvent</w:t>
      </w:r>
      <w:r>
        <w:t>'</w:t>
      </w:r>
    </w:p>
    <w:p w14:paraId="15042FA2" w14:textId="77777777" w:rsidR="007862A2" w:rsidRDefault="007862A2" w:rsidP="007862A2">
      <w:pPr>
        <w:pStyle w:val="PL"/>
      </w:pPr>
      <w:r>
        <w:t xml:space="preserve">          minItems: 1</w:t>
      </w:r>
    </w:p>
    <w:p w14:paraId="5CA42767" w14:textId="77777777" w:rsidR="007862A2" w:rsidRDefault="007862A2" w:rsidP="007862A2">
      <w:pPr>
        <w:pStyle w:val="PL"/>
      </w:pPr>
      <w:r>
        <w:t xml:space="preserve">        </w:t>
      </w:r>
      <w:r>
        <w:rPr>
          <w:szCs w:val="18"/>
        </w:rPr>
        <w:t>minNumSamples</w:t>
      </w:r>
      <w:r>
        <w:t>:</w:t>
      </w:r>
    </w:p>
    <w:p w14:paraId="2088742F" w14:textId="77777777" w:rsidR="007862A2" w:rsidRDefault="007862A2" w:rsidP="007862A2">
      <w:pPr>
        <w:pStyle w:val="PL"/>
      </w:pPr>
      <w:r>
        <w:t xml:space="preserve">          $ref: 'TS29571_CommonData.yaml#/components/schemas/Uinteger'</w:t>
      </w:r>
    </w:p>
    <w:p w14:paraId="2DDDF9C7" w14:textId="77777777" w:rsidR="007862A2" w:rsidRDefault="007862A2" w:rsidP="007862A2">
      <w:pPr>
        <w:pStyle w:val="PL"/>
      </w:pPr>
      <w:r>
        <w:t xml:space="preserve">        </w:t>
      </w:r>
      <w:r>
        <w:rPr>
          <w:szCs w:val="18"/>
        </w:rPr>
        <w:t>timeWindows</w:t>
      </w:r>
      <w:r>
        <w:t>:</w:t>
      </w:r>
    </w:p>
    <w:p w14:paraId="37C424CE" w14:textId="77777777" w:rsidR="007862A2" w:rsidRDefault="007862A2" w:rsidP="007862A2">
      <w:pPr>
        <w:pStyle w:val="PL"/>
      </w:pPr>
      <w:r>
        <w:t xml:space="preserve">          type: array</w:t>
      </w:r>
    </w:p>
    <w:p w14:paraId="7AC4C0AF" w14:textId="77777777" w:rsidR="007862A2" w:rsidRDefault="007862A2" w:rsidP="007862A2">
      <w:pPr>
        <w:pStyle w:val="PL"/>
      </w:pPr>
      <w:r>
        <w:t xml:space="preserve">          items:</w:t>
      </w:r>
    </w:p>
    <w:p w14:paraId="6920EF36" w14:textId="77777777" w:rsidR="007862A2" w:rsidRDefault="007862A2" w:rsidP="007862A2">
      <w:pPr>
        <w:pStyle w:val="PL"/>
      </w:pPr>
      <w:r>
        <w:t xml:space="preserve">            $ref: 'TS29122_CommonData.yaml#/components/schemas/TimeWindow'</w:t>
      </w:r>
    </w:p>
    <w:p w14:paraId="2F85CB5A" w14:textId="77777777" w:rsidR="007862A2" w:rsidRDefault="007862A2" w:rsidP="007862A2">
      <w:pPr>
        <w:pStyle w:val="PL"/>
      </w:pPr>
      <w:r>
        <w:t xml:space="preserve">          minItems: 1</w:t>
      </w:r>
    </w:p>
    <w:p w14:paraId="3AD70247" w14:textId="77777777" w:rsidR="007862A2" w:rsidRDefault="007862A2" w:rsidP="007862A2">
      <w:pPr>
        <w:pStyle w:val="PL"/>
      </w:pPr>
      <w:r>
        <w:t xml:space="preserve">      required:</w:t>
      </w:r>
    </w:p>
    <w:p w14:paraId="657F3BAD" w14:textId="77777777" w:rsidR="007862A2" w:rsidRDefault="007862A2" w:rsidP="007862A2">
      <w:pPr>
        <w:pStyle w:val="PL"/>
      </w:pPr>
      <w:r>
        <w:t xml:space="preserve">        - inpEvents</w:t>
      </w:r>
    </w:p>
    <w:p w14:paraId="5D214C8A" w14:textId="77777777" w:rsidR="007862A2" w:rsidRDefault="007862A2" w:rsidP="007862A2">
      <w:pPr>
        <w:pStyle w:val="PL"/>
      </w:pPr>
    </w:p>
    <w:p w14:paraId="61822B2A" w14:textId="77777777" w:rsidR="007862A2" w:rsidRDefault="007862A2" w:rsidP="007862A2">
      <w:pPr>
        <w:pStyle w:val="PL"/>
        <w:rPr>
          <w:rFonts w:eastAsia="等线"/>
        </w:rPr>
      </w:pPr>
      <w:r>
        <w:t xml:space="preserve">    DelayEventNotif</w:t>
      </w:r>
      <w:r>
        <w:rPr>
          <w:rFonts w:eastAsia="等线"/>
        </w:rPr>
        <w:t>:</w:t>
      </w:r>
    </w:p>
    <w:p w14:paraId="59BECCB6" w14:textId="77777777" w:rsidR="007862A2" w:rsidRDefault="007862A2" w:rsidP="007862A2">
      <w:pPr>
        <w:pStyle w:val="PL"/>
      </w:pPr>
      <w:r>
        <w:t xml:space="preserve">      description: &gt;</w:t>
      </w:r>
    </w:p>
    <w:p w14:paraId="07C055E3" w14:textId="77777777" w:rsidR="007862A2" w:rsidRDefault="007862A2" w:rsidP="007862A2">
      <w:pPr>
        <w:pStyle w:val="PL"/>
      </w:pPr>
      <w:r>
        <w:t xml:space="preserve">        Indicating that the NWDAF containing MTLF is not able to complete the training of ML model</w:t>
      </w:r>
    </w:p>
    <w:p w14:paraId="78AB8AED" w14:textId="77777777" w:rsidR="007862A2" w:rsidRDefault="007862A2" w:rsidP="007862A2">
      <w:pPr>
        <w:pStyle w:val="PL"/>
      </w:pPr>
      <w:r>
        <w:t xml:space="preserve">        within the maximum response time, the cause code, and the expected time complete the</w:t>
      </w:r>
    </w:p>
    <w:p w14:paraId="67FD9F68" w14:textId="77777777" w:rsidR="007862A2" w:rsidRDefault="007862A2" w:rsidP="007862A2">
      <w:pPr>
        <w:pStyle w:val="PL"/>
      </w:pPr>
      <w:r>
        <w:t xml:space="preserve">        training.</w:t>
      </w:r>
    </w:p>
    <w:p w14:paraId="07D9359F" w14:textId="77777777" w:rsidR="007862A2" w:rsidRDefault="007862A2" w:rsidP="007862A2">
      <w:pPr>
        <w:pStyle w:val="PL"/>
      </w:pPr>
      <w:r>
        <w:t xml:space="preserve">      type: object</w:t>
      </w:r>
    </w:p>
    <w:p w14:paraId="32EACA43" w14:textId="77777777" w:rsidR="007862A2" w:rsidRDefault="007862A2" w:rsidP="007862A2">
      <w:pPr>
        <w:pStyle w:val="PL"/>
      </w:pPr>
      <w:r>
        <w:t xml:space="preserve">      properties:</w:t>
      </w:r>
    </w:p>
    <w:p w14:paraId="745E3A56" w14:textId="77777777" w:rsidR="007862A2" w:rsidRDefault="007862A2" w:rsidP="007862A2">
      <w:pPr>
        <w:pStyle w:val="PL"/>
      </w:pPr>
      <w:r>
        <w:t xml:space="preserve">        delayEventInd:</w:t>
      </w:r>
    </w:p>
    <w:p w14:paraId="5DF0F8D1" w14:textId="77777777" w:rsidR="007862A2" w:rsidRDefault="007862A2" w:rsidP="007862A2">
      <w:pPr>
        <w:pStyle w:val="PL"/>
      </w:pPr>
      <w:r>
        <w:t xml:space="preserve">          type: boolean</w:t>
      </w:r>
    </w:p>
    <w:p w14:paraId="00864245" w14:textId="77777777" w:rsidR="007862A2" w:rsidRDefault="007862A2" w:rsidP="007862A2">
      <w:pPr>
        <w:pStyle w:val="PL"/>
      </w:pPr>
      <w:r>
        <w:t xml:space="preserve">          description: &gt;</w:t>
      </w:r>
    </w:p>
    <w:p w14:paraId="39A90A76" w14:textId="77777777" w:rsidR="007862A2" w:rsidRDefault="007862A2" w:rsidP="007862A2">
      <w:pPr>
        <w:pStyle w:val="PL"/>
      </w:pPr>
      <w:r>
        <w:t xml:space="preserve">            Indicates that the NWDAF containing MTLF is not able to complete the training of ML</w:t>
      </w:r>
    </w:p>
    <w:p w14:paraId="25032FF4" w14:textId="77777777" w:rsidR="007862A2" w:rsidRDefault="007862A2" w:rsidP="007862A2">
      <w:pPr>
        <w:pStyle w:val="PL"/>
      </w:pPr>
      <w:r>
        <w:t xml:space="preserve">            model within the maximum response time. Set to "true" if not able to complete the ML</w:t>
      </w:r>
    </w:p>
    <w:p w14:paraId="065375D7" w14:textId="77777777" w:rsidR="007862A2" w:rsidRDefault="007862A2" w:rsidP="007862A2">
      <w:pPr>
        <w:pStyle w:val="PL"/>
        <w:rPr>
          <w:lang w:eastAsia="zh-CN"/>
        </w:rPr>
      </w:pPr>
      <w:r>
        <w:t xml:space="preserve">            model training on time, otherwise set to "false".</w:t>
      </w:r>
    </w:p>
    <w:p w14:paraId="4ADC768C" w14:textId="77777777" w:rsidR="007862A2" w:rsidRDefault="007862A2" w:rsidP="007862A2">
      <w:pPr>
        <w:pStyle w:val="PL"/>
      </w:pPr>
      <w:r>
        <w:t xml:space="preserve">        delayCause:</w:t>
      </w:r>
    </w:p>
    <w:p w14:paraId="06BCB09B" w14:textId="77777777" w:rsidR="007862A2" w:rsidRDefault="007862A2" w:rsidP="007862A2">
      <w:pPr>
        <w:pStyle w:val="PL"/>
      </w:pPr>
      <w:r>
        <w:t xml:space="preserve">          $ref: '#/components/schemas/DelayCause'</w:t>
      </w:r>
    </w:p>
    <w:p w14:paraId="0FCFD253" w14:textId="77777777" w:rsidR="007862A2" w:rsidRDefault="007862A2" w:rsidP="007862A2">
      <w:pPr>
        <w:pStyle w:val="PL"/>
      </w:pPr>
      <w:r>
        <w:t xml:space="preserve">        expCompTime:</w:t>
      </w:r>
    </w:p>
    <w:p w14:paraId="32C46D7B" w14:textId="77777777" w:rsidR="007862A2" w:rsidRDefault="007862A2" w:rsidP="007862A2">
      <w:pPr>
        <w:pStyle w:val="PL"/>
      </w:pPr>
      <w:r>
        <w:t xml:space="preserve">          $ref: 'TS29571_CommonData.yaml#/components/schemas/DurationSec'</w:t>
      </w:r>
    </w:p>
    <w:p w14:paraId="34A8CB6B" w14:textId="77777777" w:rsidR="007862A2" w:rsidRDefault="007862A2" w:rsidP="007862A2">
      <w:pPr>
        <w:pStyle w:val="PL"/>
      </w:pPr>
      <w:r>
        <w:t xml:space="preserve">      required:</w:t>
      </w:r>
    </w:p>
    <w:p w14:paraId="4A90A981" w14:textId="77777777" w:rsidR="007862A2" w:rsidRDefault="007862A2" w:rsidP="007862A2">
      <w:pPr>
        <w:pStyle w:val="PL"/>
      </w:pPr>
      <w:r>
        <w:t xml:space="preserve">        - delayEventInd</w:t>
      </w:r>
    </w:p>
    <w:p w14:paraId="2AC38757" w14:textId="77777777" w:rsidR="007862A2" w:rsidRDefault="007862A2" w:rsidP="007862A2">
      <w:pPr>
        <w:pStyle w:val="PL"/>
      </w:pPr>
    </w:p>
    <w:p w14:paraId="2A2BE767" w14:textId="77777777" w:rsidR="007862A2" w:rsidRDefault="007862A2" w:rsidP="007862A2">
      <w:pPr>
        <w:pStyle w:val="PL"/>
        <w:rPr>
          <w:rFonts w:eastAsia="等线"/>
        </w:rPr>
      </w:pPr>
      <w:r>
        <w:t xml:space="preserve">    StatusReportInfo</w:t>
      </w:r>
      <w:r>
        <w:rPr>
          <w:rFonts w:eastAsia="等线"/>
        </w:rPr>
        <w:t>:</w:t>
      </w:r>
    </w:p>
    <w:p w14:paraId="7159293D" w14:textId="77777777" w:rsidR="007862A2" w:rsidRDefault="007862A2" w:rsidP="007862A2">
      <w:pPr>
        <w:pStyle w:val="PL"/>
      </w:pPr>
      <w:r>
        <w:t xml:space="preserve">      description: &gt;</w:t>
      </w:r>
    </w:p>
    <w:p w14:paraId="04900CAA" w14:textId="77777777" w:rsidR="007862A2" w:rsidRDefault="007862A2" w:rsidP="007862A2">
      <w:pPr>
        <w:pStyle w:val="PL"/>
      </w:pPr>
      <w:r>
        <w:t xml:space="preserve">        Indicating status information generated by the NWDAF containing MTLF during ML model</w:t>
      </w:r>
    </w:p>
    <w:p w14:paraId="254280D8" w14:textId="77777777" w:rsidR="007862A2" w:rsidRDefault="007862A2" w:rsidP="007862A2">
      <w:pPr>
        <w:pStyle w:val="PL"/>
      </w:pPr>
      <w:r>
        <w:t xml:space="preserve">        training.</w:t>
      </w:r>
    </w:p>
    <w:p w14:paraId="0355A2F5" w14:textId="77777777" w:rsidR="007862A2" w:rsidRDefault="007862A2" w:rsidP="007862A2">
      <w:pPr>
        <w:pStyle w:val="PL"/>
      </w:pPr>
      <w:r>
        <w:t xml:space="preserve">      type: object</w:t>
      </w:r>
    </w:p>
    <w:p w14:paraId="0759453C" w14:textId="77777777" w:rsidR="007862A2" w:rsidRDefault="007862A2" w:rsidP="007862A2">
      <w:pPr>
        <w:pStyle w:val="PL"/>
      </w:pPr>
      <w:r>
        <w:t xml:space="preserve">      properties:</w:t>
      </w:r>
    </w:p>
    <w:p w14:paraId="06C1B311" w14:textId="77777777" w:rsidR="007862A2" w:rsidRDefault="007862A2" w:rsidP="007862A2">
      <w:pPr>
        <w:pStyle w:val="PL"/>
      </w:pPr>
      <w:r>
        <w:t xml:space="preserve">        mlModelAcc:</w:t>
      </w:r>
    </w:p>
    <w:p w14:paraId="4FFF435B" w14:textId="77777777" w:rsidR="007862A2" w:rsidRDefault="007862A2" w:rsidP="007862A2">
      <w:pPr>
        <w:pStyle w:val="PL"/>
      </w:pPr>
      <w:r>
        <w:t xml:space="preserve">          $ref: 'TS29571_CommonData.yaml#/components/schemas/Uinteger'</w:t>
      </w:r>
    </w:p>
    <w:p w14:paraId="0EC7CC09" w14:textId="77777777" w:rsidR="007862A2" w:rsidRDefault="007862A2" w:rsidP="007862A2">
      <w:pPr>
        <w:pStyle w:val="PL"/>
      </w:pPr>
      <w:r>
        <w:t xml:space="preserve">        trainInDataInfo:</w:t>
      </w:r>
    </w:p>
    <w:p w14:paraId="21EB1DCF" w14:textId="77777777" w:rsidR="007862A2" w:rsidRDefault="007862A2" w:rsidP="007862A2">
      <w:pPr>
        <w:pStyle w:val="PL"/>
      </w:pPr>
      <w:r>
        <w:t xml:space="preserve">          $ref: '#/components/schemas/TrainDataInfo'</w:t>
      </w:r>
    </w:p>
    <w:p w14:paraId="53E34BF0" w14:textId="77777777" w:rsidR="007862A2" w:rsidRDefault="007862A2" w:rsidP="007862A2">
      <w:pPr>
        <w:pStyle w:val="PL"/>
      </w:pPr>
    </w:p>
    <w:p w14:paraId="51E529CD" w14:textId="77777777" w:rsidR="007862A2" w:rsidRDefault="007862A2" w:rsidP="007862A2">
      <w:pPr>
        <w:pStyle w:val="PL"/>
        <w:rPr>
          <w:rFonts w:eastAsia="等线"/>
        </w:rPr>
      </w:pPr>
      <w:r>
        <w:t xml:space="preserve">    TrainDataInfo</w:t>
      </w:r>
      <w:r>
        <w:rPr>
          <w:rFonts w:eastAsia="等线"/>
        </w:rPr>
        <w:t>:</w:t>
      </w:r>
    </w:p>
    <w:p w14:paraId="5F8181BA" w14:textId="77777777" w:rsidR="007862A2" w:rsidRDefault="007862A2" w:rsidP="007862A2">
      <w:pPr>
        <w:pStyle w:val="PL"/>
      </w:pPr>
      <w:r>
        <w:t xml:space="preserve">      description: Represents the training input data information.</w:t>
      </w:r>
    </w:p>
    <w:p w14:paraId="065A97C3" w14:textId="77777777" w:rsidR="007862A2" w:rsidRDefault="007862A2" w:rsidP="007862A2">
      <w:pPr>
        <w:pStyle w:val="PL"/>
      </w:pPr>
      <w:r>
        <w:t xml:space="preserve">      type: object</w:t>
      </w:r>
    </w:p>
    <w:p w14:paraId="5C7CC97D" w14:textId="77777777" w:rsidR="007862A2" w:rsidRDefault="007862A2" w:rsidP="007862A2">
      <w:pPr>
        <w:pStyle w:val="PL"/>
      </w:pPr>
      <w:r>
        <w:t xml:space="preserve">      properties:</w:t>
      </w:r>
    </w:p>
    <w:p w14:paraId="3A4A9C59" w14:textId="77777777" w:rsidR="007862A2" w:rsidRDefault="007862A2" w:rsidP="007862A2">
      <w:pPr>
        <w:pStyle w:val="PL"/>
      </w:pPr>
      <w:r>
        <w:t xml:space="preserve">        area</w:t>
      </w:r>
      <w:r>
        <w:rPr>
          <w:rFonts w:hint="eastAsia"/>
          <w:lang w:eastAsia="zh-CN"/>
        </w:rPr>
        <w:t>Info</w:t>
      </w:r>
      <w:r>
        <w:t>:</w:t>
      </w:r>
    </w:p>
    <w:p w14:paraId="5B5CD74D" w14:textId="77777777" w:rsidR="007862A2" w:rsidRDefault="007862A2" w:rsidP="007862A2">
      <w:pPr>
        <w:pStyle w:val="PL"/>
      </w:pPr>
      <w:r>
        <w:t xml:space="preserve">          $ref: 'TS29554_Npcf_BDTPolicyControl.yaml#/components/schemas/NetworkAreaInfo'</w:t>
      </w:r>
    </w:p>
    <w:p w14:paraId="13BC7E11" w14:textId="77777777" w:rsidR="007862A2" w:rsidRDefault="007862A2" w:rsidP="007862A2">
      <w:pPr>
        <w:pStyle w:val="PL"/>
      </w:pPr>
      <w:r>
        <w:t xml:space="preserve">        maxValues:</w:t>
      </w:r>
    </w:p>
    <w:p w14:paraId="413D0487" w14:textId="77777777" w:rsidR="007862A2" w:rsidRDefault="007862A2" w:rsidP="007862A2">
      <w:pPr>
        <w:pStyle w:val="PL"/>
      </w:pPr>
      <w:r>
        <w:t xml:space="preserve">          type: array</w:t>
      </w:r>
    </w:p>
    <w:p w14:paraId="5CE38B47" w14:textId="77777777" w:rsidR="007862A2" w:rsidRDefault="007862A2" w:rsidP="007862A2">
      <w:pPr>
        <w:pStyle w:val="PL"/>
      </w:pPr>
      <w:r>
        <w:t xml:space="preserve">          items:</w:t>
      </w:r>
    </w:p>
    <w:p w14:paraId="206313A3" w14:textId="77777777" w:rsidR="007862A2" w:rsidRDefault="007862A2" w:rsidP="007862A2">
      <w:pPr>
        <w:pStyle w:val="PL"/>
      </w:pPr>
      <w:r>
        <w:t xml:space="preserve">            type: string</w:t>
      </w:r>
    </w:p>
    <w:p w14:paraId="13F51CD3" w14:textId="77777777" w:rsidR="007862A2" w:rsidRDefault="007862A2" w:rsidP="007862A2">
      <w:pPr>
        <w:pStyle w:val="PL"/>
      </w:pPr>
      <w:r>
        <w:t xml:space="preserve">          minItems: 1</w:t>
      </w:r>
    </w:p>
    <w:p w14:paraId="3D5F7E81" w14:textId="77777777" w:rsidR="007862A2" w:rsidRDefault="007862A2" w:rsidP="007862A2">
      <w:pPr>
        <w:pStyle w:val="PL"/>
      </w:pPr>
      <w:r>
        <w:t xml:space="preserve">          description: &gt;</w:t>
      </w:r>
    </w:p>
    <w:p w14:paraId="1384E904" w14:textId="77777777" w:rsidR="007862A2" w:rsidRDefault="007862A2" w:rsidP="007862A2">
      <w:pPr>
        <w:pStyle w:val="PL"/>
      </w:pPr>
      <w:r>
        <w:t xml:space="preserve">            Represents the maximum value of one dimension of data.</w:t>
      </w:r>
      <w:r w:rsidRPr="00776D79">
        <w:t xml:space="preserve"> The format of its value is out of</w:t>
      </w:r>
    </w:p>
    <w:p w14:paraId="6CEC033C" w14:textId="77777777" w:rsidR="007862A2" w:rsidRDefault="007862A2" w:rsidP="007862A2">
      <w:pPr>
        <w:pStyle w:val="PL"/>
      </w:pPr>
      <w:r>
        <w:t xml:space="preserve">           </w:t>
      </w:r>
      <w:r w:rsidRPr="00776D79">
        <w:t xml:space="preserve"> 3GPP scope</w:t>
      </w:r>
      <w:r>
        <w:t>.</w:t>
      </w:r>
    </w:p>
    <w:p w14:paraId="35450B42" w14:textId="77777777" w:rsidR="007862A2" w:rsidRDefault="007862A2" w:rsidP="007862A2">
      <w:pPr>
        <w:pStyle w:val="PL"/>
      </w:pPr>
      <w:r>
        <w:t xml:space="preserve">        minValues:</w:t>
      </w:r>
    </w:p>
    <w:p w14:paraId="34CDC38F" w14:textId="77777777" w:rsidR="007862A2" w:rsidRDefault="007862A2" w:rsidP="007862A2">
      <w:pPr>
        <w:pStyle w:val="PL"/>
      </w:pPr>
      <w:r>
        <w:t xml:space="preserve">          type: array</w:t>
      </w:r>
    </w:p>
    <w:p w14:paraId="54D423F5" w14:textId="77777777" w:rsidR="007862A2" w:rsidRDefault="007862A2" w:rsidP="007862A2">
      <w:pPr>
        <w:pStyle w:val="PL"/>
      </w:pPr>
      <w:r>
        <w:t xml:space="preserve">          items:</w:t>
      </w:r>
    </w:p>
    <w:p w14:paraId="69745421" w14:textId="77777777" w:rsidR="007862A2" w:rsidRDefault="007862A2" w:rsidP="007862A2">
      <w:pPr>
        <w:pStyle w:val="PL"/>
      </w:pPr>
      <w:r>
        <w:t xml:space="preserve">            type: string</w:t>
      </w:r>
    </w:p>
    <w:p w14:paraId="2ECC65EF" w14:textId="77777777" w:rsidR="007862A2" w:rsidRDefault="007862A2" w:rsidP="007862A2">
      <w:pPr>
        <w:pStyle w:val="PL"/>
      </w:pPr>
      <w:r>
        <w:t xml:space="preserve">          minItems: 1</w:t>
      </w:r>
    </w:p>
    <w:p w14:paraId="726F4389" w14:textId="77777777" w:rsidR="007862A2" w:rsidRDefault="007862A2" w:rsidP="007862A2">
      <w:pPr>
        <w:pStyle w:val="PL"/>
      </w:pPr>
      <w:r>
        <w:t xml:space="preserve">          description: &gt;</w:t>
      </w:r>
    </w:p>
    <w:p w14:paraId="317EC413" w14:textId="77777777" w:rsidR="007862A2" w:rsidRDefault="007862A2" w:rsidP="007862A2">
      <w:pPr>
        <w:pStyle w:val="PL"/>
      </w:pPr>
      <w:r>
        <w:t xml:space="preserve">            </w:t>
      </w:r>
      <w:r w:rsidRPr="00EF52D9">
        <w:rPr>
          <w:lang w:val="en-US"/>
        </w:rPr>
        <w:t>Represents the minimum value of one dimension of dat</w:t>
      </w:r>
      <w:r w:rsidRPr="00776D79">
        <w:t>a. The format of its value is out of</w:t>
      </w:r>
    </w:p>
    <w:p w14:paraId="6734D68E" w14:textId="77777777" w:rsidR="007862A2" w:rsidRPr="00EF52D9" w:rsidRDefault="007862A2" w:rsidP="007862A2">
      <w:pPr>
        <w:pStyle w:val="PL"/>
        <w:rPr>
          <w:lang w:val="en-US"/>
        </w:rPr>
      </w:pPr>
      <w:r>
        <w:t xml:space="preserve">           </w:t>
      </w:r>
      <w:r w:rsidRPr="00776D79">
        <w:t xml:space="preserve"> 3GPP scope</w:t>
      </w:r>
      <w:r>
        <w:t>.</w:t>
      </w:r>
    </w:p>
    <w:p w14:paraId="7117F4A1" w14:textId="77777777" w:rsidR="007862A2" w:rsidRDefault="007862A2" w:rsidP="007862A2">
      <w:pPr>
        <w:pStyle w:val="PL"/>
      </w:pPr>
      <w:r>
        <w:t xml:space="preserve">        samplRatio:</w:t>
      </w:r>
    </w:p>
    <w:p w14:paraId="3F10A5AC" w14:textId="77777777" w:rsidR="007862A2" w:rsidRDefault="007862A2" w:rsidP="007862A2">
      <w:pPr>
        <w:pStyle w:val="PL"/>
        <w:rPr>
          <w:rFonts w:cs="Courier New"/>
          <w:szCs w:val="16"/>
        </w:rPr>
      </w:pPr>
      <w:r>
        <w:t xml:space="preserve">          $ref: 'TS29571_CommonData.yaml#/components/schemas/Uinteger'</w:t>
      </w:r>
    </w:p>
    <w:p w14:paraId="7CB08196" w14:textId="77777777" w:rsidR="007862A2" w:rsidRDefault="007862A2" w:rsidP="007862A2">
      <w:pPr>
        <w:pStyle w:val="PL"/>
        <w:rPr>
          <w:rFonts w:cs="Courier New"/>
          <w:szCs w:val="16"/>
        </w:rPr>
      </w:pPr>
      <w:r>
        <w:rPr>
          <w:rFonts w:cs="Courier New"/>
          <w:szCs w:val="16"/>
        </w:rPr>
        <w:t>#</w:t>
      </w:r>
    </w:p>
    <w:p w14:paraId="1A6849FC" w14:textId="77777777" w:rsidR="007862A2" w:rsidRDefault="007862A2" w:rsidP="007862A2">
      <w:pPr>
        <w:pStyle w:val="PL"/>
      </w:pPr>
      <w:r>
        <w:t># ENUMERATIONS DATA TYPES</w:t>
      </w:r>
    </w:p>
    <w:p w14:paraId="2DEB1101" w14:textId="77777777" w:rsidR="007862A2" w:rsidRDefault="007862A2" w:rsidP="007862A2">
      <w:pPr>
        <w:pStyle w:val="PL"/>
      </w:pPr>
      <w:r>
        <w:t>#</w:t>
      </w:r>
    </w:p>
    <w:p w14:paraId="2DF81FA4" w14:textId="77777777" w:rsidR="007862A2" w:rsidRDefault="007862A2" w:rsidP="007862A2">
      <w:pPr>
        <w:pStyle w:val="PL"/>
        <w:rPr>
          <w:lang w:val="en-US"/>
        </w:rPr>
      </w:pPr>
      <w:r>
        <w:rPr>
          <w:lang w:val="en-US"/>
        </w:rPr>
        <w:t xml:space="preserve">    </w:t>
      </w:r>
      <w:r>
        <w:t>FailureCodeTrain</w:t>
      </w:r>
      <w:r>
        <w:rPr>
          <w:lang w:val="en-US"/>
        </w:rPr>
        <w:t>:</w:t>
      </w:r>
    </w:p>
    <w:p w14:paraId="22E2ACF9" w14:textId="77777777" w:rsidR="007862A2" w:rsidRDefault="007862A2" w:rsidP="007862A2">
      <w:pPr>
        <w:pStyle w:val="PL"/>
        <w:rPr>
          <w:lang w:val="en-US"/>
        </w:rPr>
      </w:pPr>
      <w:r>
        <w:rPr>
          <w:lang w:val="en-US"/>
        </w:rPr>
        <w:t xml:space="preserve">      anyOf:</w:t>
      </w:r>
    </w:p>
    <w:p w14:paraId="6D12907D" w14:textId="77777777" w:rsidR="007862A2" w:rsidRDefault="007862A2" w:rsidP="007862A2">
      <w:pPr>
        <w:pStyle w:val="PL"/>
        <w:rPr>
          <w:lang w:val="en-US"/>
        </w:rPr>
      </w:pPr>
      <w:r>
        <w:rPr>
          <w:lang w:val="en-US"/>
        </w:rPr>
        <w:lastRenderedPageBreak/>
        <w:t xml:space="preserve">      - type: string</w:t>
      </w:r>
    </w:p>
    <w:p w14:paraId="7C3E08E9" w14:textId="77777777" w:rsidR="007862A2" w:rsidRDefault="007862A2" w:rsidP="007862A2">
      <w:pPr>
        <w:pStyle w:val="PL"/>
        <w:rPr>
          <w:lang w:val="en-US"/>
        </w:rPr>
      </w:pPr>
      <w:r>
        <w:rPr>
          <w:lang w:val="en-US"/>
        </w:rPr>
        <w:t xml:space="preserve">        enum:</w:t>
      </w:r>
    </w:p>
    <w:p w14:paraId="72E8DC6F" w14:textId="77777777" w:rsidR="007862A2" w:rsidRDefault="007862A2" w:rsidP="007862A2">
      <w:pPr>
        <w:pStyle w:val="PL"/>
        <w:rPr>
          <w:lang w:val="en-US"/>
        </w:rPr>
      </w:pPr>
      <w:r>
        <w:rPr>
          <w:lang w:val="en-US"/>
        </w:rPr>
        <w:t xml:space="preserve">          - </w:t>
      </w:r>
      <w:r>
        <w:rPr>
          <w:lang w:eastAsia="zh-CN"/>
        </w:rPr>
        <w:t>UNAVAILABLE_ML_MODEL_TRAIN</w:t>
      </w:r>
    </w:p>
    <w:p w14:paraId="6A5D9006" w14:textId="77777777" w:rsidR="007862A2" w:rsidRDefault="007862A2" w:rsidP="007862A2">
      <w:pPr>
        <w:pStyle w:val="PL"/>
        <w:rPr>
          <w:lang w:val="en-US"/>
        </w:rPr>
      </w:pPr>
      <w:r>
        <w:rPr>
          <w:lang w:val="en-US"/>
        </w:rPr>
        <w:t xml:space="preserve">      - type: string</w:t>
      </w:r>
    </w:p>
    <w:p w14:paraId="226B2035" w14:textId="77777777" w:rsidR="007862A2" w:rsidRDefault="007862A2" w:rsidP="007862A2">
      <w:pPr>
        <w:pStyle w:val="PL"/>
        <w:rPr>
          <w:lang w:val="en-US"/>
        </w:rPr>
      </w:pPr>
      <w:r>
        <w:rPr>
          <w:lang w:val="en-US"/>
        </w:rPr>
        <w:t xml:space="preserve">        description: &gt;</w:t>
      </w:r>
    </w:p>
    <w:p w14:paraId="02BF458F" w14:textId="77777777" w:rsidR="007862A2" w:rsidRDefault="007862A2" w:rsidP="007862A2">
      <w:pPr>
        <w:pStyle w:val="PL"/>
        <w:rPr>
          <w:lang w:val="en-US"/>
        </w:rPr>
      </w:pPr>
      <w:r>
        <w:rPr>
          <w:lang w:val="en-US"/>
        </w:rPr>
        <w:t xml:space="preserve">          This string provides forward-compatibility with future extensions to the enumeration but</w:t>
      </w:r>
    </w:p>
    <w:p w14:paraId="7EDC2A2E" w14:textId="77777777" w:rsidR="007862A2" w:rsidRDefault="007862A2" w:rsidP="007862A2">
      <w:pPr>
        <w:pStyle w:val="PL"/>
        <w:rPr>
          <w:lang w:val="en-US"/>
        </w:rPr>
      </w:pPr>
      <w:r>
        <w:rPr>
          <w:lang w:val="en-US"/>
        </w:rPr>
        <w:t xml:space="preserve">          is not used to encode content defined in the present version of this API.</w:t>
      </w:r>
    </w:p>
    <w:p w14:paraId="5F4B1F7F" w14:textId="77777777" w:rsidR="007862A2" w:rsidRDefault="007862A2" w:rsidP="007862A2">
      <w:pPr>
        <w:pStyle w:val="PL"/>
        <w:rPr>
          <w:lang w:val="en-US"/>
        </w:rPr>
      </w:pPr>
      <w:r>
        <w:rPr>
          <w:lang w:val="en-US"/>
        </w:rPr>
        <w:t xml:space="preserve">      description: |</w:t>
      </w:r>
    </w:p>
    <w:p w14:paraId="6004348F" w14:textId="77777777" w:rsidR="007862A2" w:rsidRDefault="007862A2" w:rsidP="007862A2">
      <w:pPr>
        <w:pStyle w:val="PL"/>
        <w:rPr>
          <w:lang w:val="en-US"/>
        </w:rPr>
      </w:pPr>
      <w:r>
        <w:t xml:space="preserve">        Represents the failure reason.  </w:t>
      </w:r>
    </w:p>
    <w:p w14:paraId="1C614198" w14:textId="77777777" w:rsidR="007862A2" w:rsidRDefault="007862A2" w:rsidP="007862A2">
      <w:pPr>
        <w:pStyle w:val="PL"/>
        <w:rPr>
          <w:lang w:val="en-US"/>
        </w:rPr>
      </w:pPr>
      <w:r>
        <w:rPr>
          <w:lang w:val="en-US"/>
        </w:rPr>
        <w:t xml:space="preserve">        Possible values are:</w:t>
      </w:r>
    </w:p>
    <w:p w14:paraId="5A1E306B" w14:textId="77777777" w:rsidR="007862A2" w:rsidRDefault="007862A2" w:rsidP="007862A2">
      <w:pPr>
        <w:pStyle w:val="PL"/>
      </w:pPr>
      <w:r>
        <w:rPr>
          <w:lang w:val="en-US"/>
        </w:rPr>
        <w:t xml:space="preserve">          - </w:t>
      </w:r>
      <w:r>
        <w:rPr>
          <w:lang w:eastAsia="zh-CN"/>
        </w:rPr>
        <w:t>UNAVAILABLE_ML_MODEL_TRAIN</w:t>
      </w:r>
      <w:r>
        <w:t xml:space="preserve">: The </w:t>
      </w:r>
      <w:r>
        <w:rPr>
          <w:lang w:eastAsia="zh-CN"/>
        </w:rPr>
        <w:t>ML model training is unavailable</w:t>
      </w:r>
      <w:r>
        <w:t>.</w:t>
      </w:r>
    </w:p>
    <w:p w14:paraId="53346EA8" w14:textId="77777777" w:rsidR="007862A2" w:rsidRDefault="007862A2" w:rsidP="007862A2">
      <w:pPr>
        <w:pStyle w:val="PL"/>
      </w:pPr>
    </w:p>
    <w:p w14:paraId="1D86118E" w14:textId="77777777" w:rsidR="007862A2" w:rsidRDefault="007862A2" w:rsidP="007862A2">
      <w:pPr>
        <w:pStyle w:val="PL"/>
        <w:rPr>
          <w:lang w:val="en-US"/>
        </w:rPr>
      </w:pPr>
      <w:r>
        <w:rPr>
          <w:lang w:val="en-US"/>
        </w:rPr>
        <w:t xml:space="preserve">    </w:t>
      </w:r>
      <w:r>
        <w:t>TermTrainCause</w:t>
      </w:r>
      <w:r>
        <w:rPr>
          <w:lang w:val="en-US"/>
        </w:rPr>
        <w:t>:</w:t>
      </w:r>
    </w:p>
    <w:p w14:paraId="3B5C24FD" w14:textId="77777777" w:rsidR="007862A2" w:rsidRDefault="007862A2" w:rsidP="007862A2">
      <w:pPr>
        <w:pStyle w:val="PL"/>
        <w:rPr>
          <w:lang w:val="en-US"/>
        </w:rPr>
      </w:pPr>
      <w:r>
        <w:rPr>
          <w:lang w:val="en-US"/>
        </w:rPr>
        <w:t xml:space="preserve">      anyOf:</w:t>
      </w:r>
    </w:p>
    <w:p w14:paraId="5903E4C9" w14:textId="77777777" w:rsidR="007862A2" w:rsidRDefault="007862A2" w:rsidP="007862A2">
      <w:pPr>
        <w:pStyle w:val="PL"/>
        <w:rPr>
          <w:lang w:val="en-US"/>
        </w:rPr>
      </w:pPr>
      <w:r>
        <w:rPr>
          <w:lang w:val="en-US"/>
        </w:rPr>
        <w:t xml:space="preserve">      - type: string</w:t>
      </w:r>
    </w:p>
    <w:p w14:paraId="056CDBEC" w14:textId="77777777" w:rsidR="007862A2" w:rsidRDefault="007862A2" w:rsidP="007862A2">
      <w:pPr>
        <w:pStyle w:val="PL"/>
        <w:rPr>
          <w:lang w:val="en-US"/>
        </w:rPr>
      </w:pPr>
      <w:r>
        <w:rPr>
          <w:lang w:val="en-US"/>
        </w:rPr>
        <w:t xml:space="preserve">        enum:</w:t>
      </w:r>
    </w:p>
    <w:p w14:paraId="3C3DAB9A" w14:textId="77777777" w:rsidR="007862A2" w:rsidRDefault="007862A2" w:rsidP="007862A2">
      <w:pPr>
        <w:pStyle w:val="PL"/>
        <w:rPr>
          <w:lang w:eastAsia="zh-CN"/>
        </w:rPr>
      </w:pPr>
      <w:r>
        <w:rPr>
          <w:lang w:val="en-US"/>
        </w:rPr>
        <w:t xml:space="preserve">          - </w:t>
      </w:r>
      <w:r>
        <w:rPr>
          <w:lang w:eastAsia="zh-CN"/>
        </w:rPr>
        <w:t>NWDAF_OVERLOAD</w:t>
      </w:r>
    </w:p>
    <w:p w14:paraId="24ECF5A2" w14:textId="77777777" w:rsidR="007862A2" w:rsidRDefault="007862A2" w:rsidP="007862A2">
      <w:pPr>
        <w:pStyle w:val="PL"/>
        <w:rPr>
          <w:lang w:eastAsia="zh-CN"/>
        </w:rPr>
      </w:pPr>
      <w:r>
        <w:rPr>
          <w:lang w:val="en-US"/>
        </w:rPr>
        <w:t xml:space="preserve">          - </w:t>
      </w:r>
      <w:r>
        <w:rPr>
          <w:lang w:eastAsia="zh-CN"/>
        </w:rPr>
        <w:t>NOT_AVAILABLE_ML_TRAIN</w:t>
      </w:r>
    </w:p>
    <w:p w14:paraId="319814A7" w14:textId="77777777" w:rsidR="007862A2" w:rsidRDefault="007862A2" w:rsidP="007862A2">
      <w:pPr>
        <w:pStyle w:val="PL"/>
        <w:rPr>
          <w:lang w:val="en-US"/>
        </w:rPr>
      </w:pPr>
      <w:r>
        <w:rPr>
          <w:lang w:val="en-US"/>
        </w:rPr>
        <w:t xml:space="preserve">          - OTHERS</w:t>
      </w:r>
    </w:p>
    <w:p w14:paraId="325D2B7A" w14:textId="77777777" w:rsidR="007862A2" w:rsidRDefault="007862A2" w:rsidP="007862A2">
      <w:pPr>
        <w:pStyle w:val="PL"/>
        <w:rPr>
          <w:lang w:val="en-US"/>
        </w:rPr>
      </w:pPr>
      <w:r>
        <w:rPr>
          <w:lang w:val="en-US"/>
        </w:rPr>
        <w:t xml:space="preserve">      - type: string</w:t>
      </w:r>
    </w:p>
    <w:p w14:paraId="3B59B4DF" w14:textId="77777777" w:rsidR="007862A2" w:rsidRDefault="007862A2" w:rsidP="007862A2">
      <w:pPr>
        <w:pStyle w:val="PL"/>
        <w:rPr>
          <w:lang w:val="en-US"/>
        </w:rPr>
      </w:pPr>
      <w:r>
        <w:rPr>
          <w:lang w:val="en-US"/>
        </w:rPr>
        <w:t xml:space="preserve">        description: &gt;</w:t>
      </w:r>
    </w:p>
    <w:p w14:paraId="7B7CA8C6" w14:textId="77777777" w:rsidR="007862A2" w:rsidRDefault="007862A2" w:rsidP="007862A2">
      <w:pPr>
        <w:pStyle w:val="PL"/>
        <w:rPr>
          <w:lang w:val="en-US"/>
        </w:rPr>
      </w:pPr>
      <w:r>
        <w:rPr>
          <w:lang w:val="en-US"/>
        </w:rPr>
        <w:t xml:space="preserve">          This string provides forward-compatibility with future extensions to the enumeration but</w:t>
      </w:r>
    </w:p>
    <w:p w14:paraId="7863A4FE" w14:textId="77777777" w:rsidR="007862A2" w:rsidRDefault="007862A2" w:rsidP="007862A2">
      <w:pPr>
        <w:pStyle w:val="PL"/>
        <w:rPr>
          <w:lang w:val="en-US"/>
        </w:rPr>
      </w:pPr>
      <w:r>
        <w:rPr>
          <w:lang w:val="en-US"/>
        </w:rPr>
        <w:t xml:space="preserve">          is not used to encode content defined in the present version of this API.</w:t>
      </w:r>
    </w:p>
    <w:p w14:paraId="21BDA839" w14:textId="77777777" w:rsidR="007862A2" w:rsidRDefault="007862A2" w:rsidP="007862A2">
      <w:pPr>
        <w:pStyle w:val="PL"/>
        <w:rPr>
          <w:lang w:val="en-US"/>
        </w:rPr>
      </w:pPr>
      <w:r>
        <w:rPr>
          <w:lang w:val="en-US"/>
        </w:rPr>
        <w:t xml:space="preserve">      description: |</w:t>
      </w:r>
    </w:p>
    <w:p w14:paraId="03EB679B" w14:textId="77777777" w:rsidR="007862A2" w:rsidRDefault="007862A2" w:rsidP="007862A2">
      <w:pPr>
        <w:pStyle w:val="PL"/>
        <w:rPr>
          <w:lang w:val="en-US"/>
        </w:rPr>
      </w:pPr>
      <w:r>
        <w:t xml:space="preserve">        Represents the reasons that ML Model Training to be terminated.  </w:t>
      </w:r>
    </w:p>
    <w:p w14:paraId="78F25110" w14:textId="77777777" w:rsidR="007862A2" w:rsidRDefault="007862A2" w:rsidP="007862A2">
      <w:pPr>
        <w:pStyle w:val="PL"/>
        <w:rPr>
          <w:lang w:val="en-US"/>
        </w:rPr>
      </w:pPr>
      <w:r>
        <w:rPr>
          <w:lang w:val="en-US"/>
        </w:rPr>
        <w:t xml:space="preserve">        Possible values are:</w:t>
      </w:r>
    </w:p>
    <w:p w14:paraId="031CD604" w14:textId="77777777" w:rsidR="007862A2" w:rsidRDefault="007862A2" w:rsidP="007862A2">
      <w:pPr>
        <w:pStyle w:val="PL"/>
        <w:rPr>
          <w:lang w:val="en-US"/>
        </w:rPr>
      </w:pPr>
      <w:r>
        <w:rPr>
          <w:lang w:val="en-US"/>
        </w:rPr>
        <w:t xml:space="preserve">          - </w:t>
      </w:r>
      <w:r>
        <w:rPr>
          <w:lang w:eastAsia="zh-CN"/>
        </w:rPr>
        <w:t>NWDAF_OVERLOAD</w:t>
      </w:r>
      <w:r>
        <w:t xml:space="preserve">: </w:t>
      </w:r>
      <w:r>
        <w:rPr>
          <w:lang w:eastAsia="zh-CN"/>
        </w:rPr>
        <w:t>The NWDAF is overloaded for the ML model training</w:t>
      </w:r>
      <w:r>
        <w:t>.</w:t>
      </w:r>
    </w:p>
    <w:p w14:paraId="044B0D08" w14:textId="77777777" w:rsidR="007862A2" w:rsidRDefault="007862A2" w:rsidP="007862A2">
      <w:pPr>
        <w:pStyle w:val="PL"/>
        <w:rPr>
          <w:lang w:val="en-US"/>
        </w:rPr>
      </w:pPr>
      <w:r>
        <w:rPr>
          <w:lang w:val="en-US"/>
        </w:rPr>
        <w:t xml:space="preserve">          - </w:t>
      </w:r>
      <w:r>
        <w:rPr>
          <w:lang w:eastAsia="zh-CN"/>
        </w:rPr>
        <w:t>NOT_AVAILABLE_ML_TRAIN</w:t>
      </w:r>
      <w:r>
        <w:t xml:space="preserve">: The </w:t>
      </w:r>
      <w:r>
        <w:rPr>
          <w:lang w:eastAsia="zh-CN"/>
        </w:rPr>
        <w:t>ML model training process is not available</w:t>
      </w:r>
      <w:r>
        <w:t>.</w:t>
      </w:r>
    </w:p>
    <w:p w14:paraId="4E3F9A83" w14:textId="77777777" w:rsidR="007862A2" w:rsidRDefault="007862A2" w:rsidP="007862A2">
      <w:pPr>
        <w:pStyle w:val="PL"/>
        <w:rPr>
          <w:lang w:val="en-US"/>
        </w:rPr>
      </w:pPr>
      <w:r>
        <w:rPr>
          <w:lang w:val="en-US"/>
        </w:rPr>
        <w:t xml:space="preserve">          - OTHERS: Other cause.</w:t>
      </w:r>
    </w:p>
    <w:p w14:paraId="791783AC" w14:textId="77777777" w:rsidR="007862A2" w:rsidRDefault="007862A2" w:rsidP="007862A2">
      <w:pPr>
        <w:pStyle w:val="PL"/>
        <w:rPr>
          <w:lang w:val="en-US"/>
        </w:rPr>
      </w:pPr>
    </w:p>
    <w:p w14:paraId="16234437" w14:textId="77777777" w:rsidR="007862A2" w:rsidRDefault="007862A2" w:rsidP="007862A2">
      <w:pPr>
        <w:pStyle w:val="PL"/>
        <w:rPr>
          <w:lang w:val="en-US"/>
        </w:rPr>
      </w:pPr>
      <w:r>
        <w:rPr>
          <w:lang w:val="en-US"/>
        </w:rPr>
        <w:t xml:space="preserve">    </w:t>
      </w:r>
      <w:r>
        <w:t>DelayCause</w:t>
      </w:r>
      <w:r>
        <w:rPr>
          <w:lang w:val="en-US"/>
        </w:rPr>
        <w:t>:</w:t>
      </w:r>
    </w:p>
    <w:p w14:paraId="61FCA6A7" w14:textId="77777777" w:rsidR="007862A2" w:rsidRDefault="007862A2" w:rsidP="007862A2">
      <w:pPr>
        <w:pStyle w:val="PL"/>
        <w:rPr>
          <w:lang w:val="en-US"/>
        </w:rPr>
      </w:pPr>
      <w:r>
        <w:rPr>
          <w:lang w:val="en-US"/>
        </w:rPr>
        <w:t xml:space="preserve">      anyOf:</w:t>
      </w:r>
    </w:p>
    <w:p w14:paraId="3492491C" w14:textId="77777777" w:rsidR="007862A2" w:rsidRDefault="007862A2" w:rsidP="007862A2">
      <w:pPr>
        <w:pStyle w:val="PL"/>
        <w:rPr>
          <w:lang w:val="en-US"/>
        </w:rPr>
      </w:pPr>
      <w:r>
        <w:rPr>
          <w:lang w:val="en-US"/>
        </w:rPr>
        <w:t xml:space="preserve">      - type: string</w:t>
      </w:r>
    </w:p>
    <w:p w14:paraId="6B0B74FC" w14:textId="77777777" w:rsidR="007862A2" w:rsidRDefault="007862A2" w:rsidP="007862A2">
      <w:pPr>
        <w:pStyle w:val="PL"/>
        <w:rPr>
          <w:lang w:val="en-US"/>
        </w:rPr>
      </w:pPr>
      <w:r>
        <w:rPr>
          <w:lang w:val="en-US"/>
        </w:rPr>
        <w:t xml:space="preserve">        enum:</w:t>
      </w:r>
    </w:p>
    <w:p w14:paraId="3193E221" w14:textId="77777777" w:rsidR="007862A2" w:rsidRDefault="007862A2" w:rsidP="007862A2">
      <w:pPr>
        <w:pStyle w:val="PL"/>
        <w:rPr>
          <w:lang w:eastAsia="zh-CN"/>
        </w:rPr>
      </w:pPr>
      <w:r>
        <w:rPr>
          <w:lang w:val="en-US"/>
        </w:rPr>
        <w:t xml:space="preserve">          - </w:t>
      </w:r>
      <w:r>
        <w:rPr>
          <w:lang w:eastAsia="zh-CN"/>
        </w:rPr>
        <w:t>ML_MODEL_TRAIN_FAILURE</w:t>
      </w:r>
    </w:p>
    <w:p w14:paraId="1156EC20" w14:textId="77777777" w:rsidR="007862A2" w:rsidRDefault="007862A2" w:rsidP="007862A2">
      <w:pPr>
        <w:pStyle w:val="PL"/>
        <w:rPr>
          <w:lang w:eastAsia="zh-CN"/>
        </w:rPr>
      </w:pPr>
      <w:r>
        <w:rPr>
          <w:lang w:val="en-US"/>
        </w:rPr>
        <w:t xml:space="preserve">          - </w:t>
      </w:r>
      <w:r>
        <w:rPr>
          <w:lang w:eastAsia="zh-CN"/>
        </w:rPr>
        <w:t>NEED_MORE_TIME</w:t>
      </w:r>
    </w:p>
    <w:p w14:paraId="4EAD3CD3" w14:textId="77777777" w:rsidR="007862A2" w:rsidRDefault="007862A2" w:rsidP="007862A2">
      <w:pPr>
        <w:pStyle w:val="PL"/>
        <w:rPr>
          <w:lang w:val="en-US"/>
        </w:rPr>
      </w:pPr>
      <w:r>
        <w:rPr>
          <w:lang w:val="en-US"/>
        </w:rPr>
        <w:t xml:space="preserve">          - OTHERS</w:t>
      </w:r>
    </w:p>
    <w:p w14:paraId="67034324" w14:textId="77777777" w:rsidR="007862A2" w:rsidRDefault="007862A2" w:rsidP="007862A2">
      <w:pPr>
        <w:pStyle w:val="PL"/>
        <w:rPr>
          <w:lang w:val="en-US"/>
        </w:rPr>
      </w:pPr>
      <w:r>
        <w:rPr>
          <w:lang w:val="en-US"/>
        </w:rPr>
        <w:t xml:space="preserve">      - type: string</w:t>
      </w:r>
    </w:p>
    <w:p w14:paraId="0333A9C7" w14:textId="77777777" w:rsidR="007862A2" w:rsidRDefault="007862A2" w:rsidP="007862A2">
      <w:pPr>
        <w:pStyle w:val="PL"/>
        <w:rPr>
          <w:lang w:val="en-US"/>
        </w:rPr>
      </w:pPr>
      <w:r>
        <w:rPr>
          <w:lang w:val="en-US"/>
        </w:rPr>
        <w:t xml:space="preserve">        description: &gt;</w:t>
      </w:r>
    </w:p>
    <w:p w14:paraId="7004E7C5" w14:textId="77777777" w:rsidR="007862A2" w:rsidRDefault="007862A2" w:rsidP="007862A2">
      <w:pPr>
        <w:pStyle w:val="PL"/>
        <w:rPr>
          <w:lang w:val="en-US"/>
        </w:rPr>
      </w:pPr>
      <w:r>
        <w:rPr>
          <w:lang w:val="en-US"/>
        </w:rPr>
        <w:t xml:space="preserve">          This string provides forward-compatibility with future extensions to the enumeration but</w:t>
      </w:r>
    </w:p>
    <w:p w14:paraId="073C5E6B" w14:textId="77777777" w:rsidR="007862A2" w:rsidRDefault="007862A2" w:rsidP="007862A2">
      <w:pPr>
        <w:pStyle w:val="PL"/>
        <w:rPr>
          <w:lang w:val="en-US"/>
        </w:rPr>
      </w:pPr>
      <w:r>
        <w:rPr>
          <w:lang w:val="en-US"/>
        </w:rPr>
        <w:t xml:space="preserve">          is not used to encode content defined in the present version of this API.</w:t>
      </w:r>
    </w:p>
    <w:p w14:paraId="31FEDE01" w14:textId="77777777" w:rsidR="007862A2" w:rsidRDefault="007862A2" w:rsidP="007862A2">
      <w:pPr>
        <w:pStyle w:val="PL"/>
        <w:rPr>
          <w:lang w:val="en-US"/>
        </w:rPr>
      </w:pPr>
      <w:r>
        <w:rPr>
          <w:lang w:val="en-US"/>
        </w:rPr>
        <w:t xml:space="preserve">      description: |</w:t>
      </w:r>
    </w:p>
    <w:p w14:paraId="19978982" w14:textId="77777777" w:rsidR="007862A2" w:rsidRDefault="007862A2" w:rsidP="007862A2">
      <w:pPr>
        <w:pStyle w:val="PL"/>
        <w:rPr>
          <w:lang w:val="en-US"/>
        </w:rPr>
      </w:pPr>
      <w:r>
        <w:t xml:space="preserve">        Represents the reasons for ML Model training delay.  </w:t>
      </w:r>
    </w:p>
    <w:p w14:paraId="6582FC18" w14:textId="77777777" w:rsidR="007862A2" w:rsidRDefault="007862A2" w:rsidP="007862A2">
      <w:pPr>
        <w:pStyle w:val="PL"/>
        <w:rPr>
          <w:lang w:val="en-US"/>
        </w:rPr>
      </w:pPr>
      <w:r>
        <w:rPr>
          <w:lang w:val="en-US"/>
        </w:rPr>
        <w:t xml:space="preserve">        Possible values are:</w:t>
      </w:r>
    </w:p>
    <w:p w14:paraId="6D0E0393" w14:textId="77777777" w:rsidR="007862A2" w:rsidRDefault="007862A2" w:rsidP="007862A2">
      <w:pPr>
        <w:pStyle w:val="PL"/>
        <w:rPr>
          <w:lang w:val="en-US"/>
        </w:rPr>
      </w:pPr>
      <w:r>
        <w:rPr>
          <w:lang w:val="en-US"/>
        </w:rPr>
        <w:t xml:space="preserve">          - </w:t>
      </w:r>
      <w:r>
        <w:rPr>
          <w:lang w:eastAsia="zh-CN"/>
        </w:rPr>
        <w:t>ML_MODEL_TRAIN_FAILURE</w:t>
      </w:r>
      <w:r>
        <w:t xml:space="preserve">: </w:t>
      </w:r>
      <w:r>
        <w:rPr>
          <w:lang w:eastAsia="zh-CN"/>
        </w:rPr>
        <w:t>The ML model training is failure</w:t>
      </w:r>
      <w:r>
        <w:t>.</w:t>
      </w:r>
    </w:p>
    <w:p w14:paraId="4DAC1CF5" w14:textId="77777777" w:rsidR="007862A2" w:rsidRDefault="007862A2" w:rsidP="007862A2">
      <w:pPr>
        <w:pStyle w:val="PL"/>
        <w:rPr>
          <w:lang w:val="en-US"/>
        </w:rPr>
      </w:pPr>
      <w:r>
        <w:rPr>
          <w:lang w:val="en-US"/>
        </w:rPr>
        <w:t xml:space="preserve">          - </w:t>
      </w:r>
      <w:r>
        <w:rPr>
          <w:lang w:eastAsia="zh-CN"/>
        </w:rPr>
        <w:t>NEED_MORE_TIME</w:t>
      </w:r>
      <w:r>
        <w:t xml:space="preserve">: The </w:t>
      </w:r>
      <w:r>
        <w:rPr>
          <w:lang w:eastAsia="zh-CN"/>
        </w:rPr>
        <w:t>ML model training needs more time</w:t>
      </w:r>
      <w:r>
        <w:t>.</w:t>
      </w:r>
    </w:p>
    <w:p w14:paraId="5EDFB4E6" w14:textId="77777777" w:rsidR="007862A2" w:rsidRDefault="007862A2" w:rsidP="007862A2">
      <w:pPr>
        <w:pStyle w:val="PL"/>
        <w:rPr>
          <w:lang w:val="en-US"/>
        </w:rPr>
      </w:pPr>
      <w:r>
        <w:rPr>
          <w:lang w:val="en-US"/>
        </w:rPr>
        <w:t xml:space="preserve">          - OTHERS: Other cause.</w:t>
      </w:r>
    </w:p>
    <w:p w14:paraId="472BC9D9" w14:textId="77777777" w:rsidR="00A10B25" w:rsidRDefault="00A10B25">
      <w:pPr>
        <w:pStyle w:val="PL"/>
        <w:rPr>
          <w:lang w:val="en-US"/>
        </w:rPr>
      </w:pPr>
    </w:p>
    <w:p w14:paraId="75EB720E" w14:textId="77777777" w:rsidR="00A10B25" w:rsidRDefault="00A10B25">
      <w:pPr>
        <w:pStyle w:val="PL"/>
        <w:rPr>
          <w:lang w:val="en-US"/>
        </w:rPr>
      </w:pPr>
    </w:p>
    <w:p w14:paraId="64837653" w14:textId="77777777" w:rsidR="00A10B25" w:rsidRDefault="00A10B25">
      <w:pPr>
        <w:pStyle w:val="1"/>
        <w:rPr>
          <w:lang w:val="en-US" w:eastAsia="zh-CN"/>
        </w:rPr>
      </w:pPr>
      <w:bookmarkStart w:id="17312" w:name="_Toc164921292"/>
      <w:bookmarkStart w:id="17313" w:name="_Toc170120834"/>
      <w:bookmarkStart w:id="17314" w:name="_Toc175859079"/>
      <w:bookmarkStart w:id="17315" w:name="_Toc175860154"/>
      <w:bookmarkStart w:id="17316" w:name="_Toc180606444"/>
      <w:bookmarkStart w:id="17317" w:name="_Toc185517705"/>
      <w:bookmarkStart w:id="17318" w:name="_Toc191576757"/>
      <w:bookmarkStart w:id="17319" w:name="_Toc191577497"/>
      <w:bookmarkStart w:id="17320" w:name="_Toc192880567"/>
      <w:bookmarkStart w:id="17321" w:name="_Toc195815456"/>
      <w:bookmarkStart w:id="17322" w:name="_Toc199453517"/>
      <w:r>
        <w:t>A.7</w:t>
      </w:r>
      <w:r>
        <w:tab/>
      </w:r>
      <w:r>
        <w:rPr>
          <w:lang w:val="en-US" w:eastAsia="zh-CN"/>
        </w:rPr>
        <w:t>Nnwdaf_MLModelMonitor</w:t>
      </w:r>
      <w:r>
        <w:rPr>
          <w:lang w:val="en-US" w:eastAsia="zh-CN"/>
        </w:rPr>
        <w:t xml:space="preserve"> API</w:t>
      </w:r>
      <w:bookmarkEnd w:id="17312"/>
      <w:bookmarkEnd w:id="17313"/>
      <w:bookmarkEnd w:id="17314"/>
      <w:bookmarkEnd w:id="17315"/>
      <w:bookmarkEnd w:id="17316"/>
      <w:bookmarkEnd w:id="17317"/>
      <w:bookmarkEnd w:id="17318"/>
      <w:bookmarkEnd w:id="17319"/>
      <w:bookmarkEnd w:id="17320"/>
      <w:bookmarkEnd w:id="17321"/>
      <w:bookmarkEnd w:id="17322"/>
    </w:p>
    <w:p w14:paraId="225F3614" w14:textId="77777777" w:rsidR="00A10B25" w:rsidRDefault="00A10B25">
      <w:pPr>
        <w:pStyle w:val="PL"/>
      </w:pPr>
      <w:r>
        <w:t>openapi: 3.0.0</w:t>
      </w:r>
    </w:p>
    <w:p w14:paraId="39AA74A2" w14:textId="77777777" w:rsidR="00A10B25" w:rsidRDefault="00A10B25">
      <w:pPr>
        <w:pStyle w:val="PL"/>
        <w:rPr>
          <w:lang w:val="fr-FR"/>
        </w:rPr>
      </w:pPr>
    </w:p>
    <w:p w14:paraId="5B493CBF" w14:textId="77777777" w:rsidR="00A10B25" w:rsidRDefault="00A10B25">
      <w:pPr>
        <w:pStyle w:val="PL"/>
        <w:rPr>
          <w:lang w:val="fr-FR"/>
        </w:rPr>
      </w:pPr>
      <w:r>
        <w:rPr>
          <w:lang w:val="fr-FR"/>
        </w:rPr>
        <w:t>info:</w:t>
      </w:r>
    </w:p>
    <w:p w14:paraId="23AC59AF" w14:textId="77777777" w:rsidR="00A10B25" w:rsidRDefault="00A10B25">
      <w:pPr>
        <w:pStyle w:val="PL"/>
        <w:rPr>
          <w:lang w:val="fr-FR"/>
        </w:rPr>
      </w:pPr>
      <w:r>
        <w:rPr>
          <w:lang w:val="fr-FR"/>
        </w:rPr>
        <w:t xml:space="preserve">  title: </w:t>
      </w:r>
      <w:r>
        <w:rPr>
          <w:lang w:val="en-US" w:eastAsia="zh-CN"/>
        </w:rPr>
        <w:t>Nnwdaf_MLModelMonitor</w:t>
      </w:r>
    </w:p>
    <w:p w14:paraId="25F95070" w14:textId="68FDCA55" w:rsidR="00A10B25" w:rsidRDefault="00A10B25">
      <w:pPr>
        <w:pStyle w:val="PL"/>
        <w:rPr>
          <w:lang w:val="fr-FR"/>
        </w:rPr>
      </w:pPr>
      <w:r>
        <w:rPr>
          <w:lang w:val="fr-FR"/>
        </w:rPr>
        <w:t xml:space="preserve">  version: 1.</w:t>
      </w:r>
      <w:r w:rsidR="0020689F">
        <w:rPr>
          <w:lang w:val="fr-FR"/>
        </w:rPr>
        <w:t>1</w:t>
      </w:r>
      <w:r>
        <w:rPr>
          <w:lang w:val="fr-FR"/>
        </w:rPr>
        <w:t>.0</w:t>
      </w:r>
      <w:r w:rsidR="0020689F">
        <w:rPr>
          <w:lang w:val="fr-FR"/>
        </w:rPr>
        <w:t>-alpha.</w:t>
      </w:r>
      <w:r w:rsidR="00CA1A16">
        <w:rPr>
          <w:lang w:val="fr-FR"/>
        </w:rPr>
        <w:t>2</w:t>
      </w:r>
    </w:p>
    <w:p w14:paraId="688FA590" w14:textId="77777777" w:rsidR="00A10B25" w:rsidRDefault="00A10B25">
      <w:pPr>
        <w:pStyle w:val="PL"/>
      </w:pPr>
      <w:r>
        <w:rPr>
          <w:lang w:val="fr-FR"/>
        </w:rPr>
        <w:t xml:space="preserve">  description: </w:t>
      </w:r>
      <w:r>
        <w:t>|</w:t>
      </w:r>
    </w:p>
    <w:p w14:paraId="69CF6D16" w14:textId="77777777" w:rsidR="00A10B25" w:rsidRDefault="00A10B25">
      <w:pPr>
        <w:pStyle w:val="PL"/>
        <w:rPr>
          <w:lang w:val="fr-FR"/>
        </w:rPr>
      </w:pPr>
      <w:r>
        <w:rPr>
          <w:lang w:val="fr-FR"/>
        </w:rPr>
        <w:t xml:space="preserve">    </w:t>
      </w:r>
      <w:r>
        <w:rPr>
          <w:lang w:val="en-US" w:eastAsia="zh-CN"/>
        </w:rPr>
        <w:t>Nnwdaf_MLModelMonitor</w:t>
      </w:r>
      <w:r>
        <w:t xml:space="preserve"> API</w:t>
      </w:r>
      <w:r>
        <w:rPr>
          <w:lang w:val="fr-FR"/>
        </w:rPr>
        <w:t xml:space="preserve"> Service.  </w:t>
      </w:r>
    </w:p>
    <w:p w14:paraId="5598D4C9" w14:textId="77777777" w:rsidR="00A10B25" w:rsidRDefault="00A10B25">
      <w:pPr>
        <w:pStyle w:val="PL"/>
      </w:pPr>
      <w:r>
        <w:t xml:space="preserve">    © </w:t>
      </w:r>
      <w:r w:rsidR="0020689F">
        <w:t>2025</w:t>
      </w:r>
      <w:r>
        <w:t xml:space="preserve">, 3GPP Organizational Partners (ARIB, ATIS, CCSA, ETSI, TSDSI, TTA, TTC).  </w:t>
      </w:r>
    </w:p>
    <w:p w14:paraId="6327FD28" w14:textId="77777777" w:rsidR="00A10B25" w:rsidRDefault="00A10B25">
      <w:pPr>
        <w:pStyle w:val="PL"/>
      </w:pPr>
      <w:r>
        <w:t xml:space="preserve">    All rights reserved.</w:t>
      </w:r>
    </w:p>
    <w:p w14:paraId="1027D514" w14:textId="77777777" w:rsidR="00A10B25" w:rsidRDefault="00A10B25">
      <w:pPr>
        <w:pStyle w:val="PL"/>
        <w:rPr>
          <w:lang w:val="fr-FR"/>
        </w:rPr>
      </w:pPr>
    </w:p>
    <w:p w14:paraId="6326292B" w14:textId="77777777" w:rsidR="00A10B25" w:rsidRDefault="00A10B25">
      <w:pPr>
        <w:pStyle w:val="PL"/>
        <w:rPr>
          <w:lang w:val="fr-FR"/>
        </w:rPr>
      </w:pPr>
      <w:r>
        <w:rPr>
          <w:lang w:val="fr-FR"/>
        </w:rPr>
        <w:t>externalDocs:</w:t>
      </w:r>
    </w:p>
    <w:p w14:paraId="4A064CB5" w14:textId="6B480C0C" w:rsidR="00A10B25" w:rsidRDefault="00A10B25">
      <w:pPr>
        <w:pStyle w:val="PL"/>
        <w:rPr>
          <w:lang w:val="fr-FR"/>
        </w:rPr>
      </w:pPr>
      <w:r>
        <w:rPr>
          <w:lang w:val="fr-FR"/>
        </w:rPr>
        <w:t xml:space="preserve">  description: 3GPP TS 29.520 </w:t>
      </w:r>
      <w:r w:rsidR="0020689F">
        <w:rPr>
          <w:lang w:val="fr-FR"/>
        </w:rPr>
        <w:t>V</w:t>
      </w:r>
      <w:r w:rsidR="0020689F">
        <w:rPr>
          <w:rFonts w:eastAsia="等线"/>
        </w:rPr>
        <w:t>19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6EB99FC8" w14:textId="77777777" w:rsidR="00A10B25" w:rsidRDefault="00A10B25">
      <w:pPr>
        <w:pStyle w:val="PL"/>
        <w:rPr>
          <w:lang w:val="fr-FR"/>
        </w:rPr>
      </w:pPr>
      <w:r>
        <w:rPr>
          <w:lang w:val="fr-FR"/>
        </w:rPr>
        <w:t xml:space="preserve">  url: https://www.3gpp.org/ftp/Specs/archive/29_series/29.</w:t>
      </w:r>
      <w:r>
        <w:rPr>
          <w:rFonts w:eastAsia="等线"/>
        </w:rPr>
        <w:t>520</w:t>
      </w:r>
      <w:r>
        <w:rPr>
          <w:lang w:val="fr-FR"/>
        </w:rPr>
        <w:t>/</w:t>
      </w:r>
    </w:p>
    <w:p w14:paraId="6233A84D" w14:textId="77777777" w:rsidR="00A10B25" w:rsidRDefault="00A10B25">
      <w:pPr>
        <w:pStyle w:val="PL"/>
      </w:pPr>
    </w:p>
    <w:p w14:paraId="72CC7A7F" w14:textId="77777777" w:rsidR="00A10B25" w:rsidRDefault="00A10B25">
      <w:pPr>
        <w:pStyle w:val="PL"/>
      </w:pPr>
      <w:r>
        <w:t>servers:</w:t>
      </w:r>
    </w:p>
    <w:p w14:paraId="298442E3" w14:textId="77777777" w:rsidR="00A10B25" w:rsidRDefault="00A10B25">
      <w:pPr>
        <w:pStyle w:val="PL"/>
      </w:pPr>
      <w:r>
        <w:t xml:space="preserve">  - url: '{apiRoot}/nnwdaf-mlmodelmonitor/v1'</w:t>
      </w:r>
    </w:p>
    <w:p w14:paraId="5206D5E8" w14:textId="77777777" w:rsidR="00A10B25" w:rsidRDefault="00A10B25">
      <w:pPr>
        <w:pStyle w:val="PL"/>
      </w:pPr>
      <w:r>
        <w:t xml:space="preserve">    variables:</w:t>
      </w:r>
    </w:p>
    <w:p w14:paraId="6B48FE25" w14:textId="77777777" w:rsidR="00A10B25" w:rsidRDefault="00A10B25">
      <w:pPr>
        <w:pStyle w:val="PL"/>
      </w:pPr>
      <w:r>
        <w:t xml:space="preserve">      apiRoot:</w:t>
      </w:r>
    </w:p>
    <w:p w14:paraId="6A4ABB9D" w14:textId="77777777" w:rsidR="00A10B25" w:rsidRDefault="00A10B25">
      <w:pPr>
        <w:pStyle w:val="PL"/>
      </w:pPr>
      <w:r>
        <w:t xml:space="preserve">        default: https://example.com</w:t>
      </w:r>
    </w:p>
    <w:p w14:paraId="500C5EB6" w14:textId="77777777" w:rsidR="00A10B25" w:rsidRDefault="00A10B25">
      <w:pPr>
        <w:pStyle w:val="PL"/>
      </w:pPr>
      <w:r>
        <w:t xml:space="preserve">        description: apiRoot as defined in clause 4.4 of 3GPP TS 29.501</w:t>
      </w:r>
    </w:p>
    <w:p w14:paraId="059A3C72" w14:textId="77777777" w:rsidR="00A10B25" w:rsidRDefault="00A10B25">
      <w:pPr>
        <w:pStyle w:val="PL"/>
      </w:pPr>
    </w:p>
    <w:p w14:paraId="090D8A1B" w14:textId="77777777" w:rsidR="00A10B25" w:rsidRDefault="00A10B25">
      <w:pPr>
        <w:pStyle w:val="PL"/>
      </w:pPr>
      <w:r>
        <w:t>security:</w:t>
      </w:r>
    </w:p>
    <w:p w14:paraId="6777D31F" w14:textId="77777777" w:rsidR="00A10B25" w:rsidRDefault="00A10B25">
      <w:pPr>
        <w:pStyle w:val="PL"/>
      </w:pPr>
      <w:r>
        <w:t xml:space="preserve">  - {}</w:t>
      </w:r>
    </w:p>
    <w:p w14:paraId="7AEB37A1" w14:textId="77777777" w:rsidR="00A10B25" w:rsidRDefault="00A10B25">
      <w:pPr>
        <w:pStyle w:val="PL"/>
      </w:pPr>
      <w:r>
        <w:t xml:space="preserve">  - oAuth2ClientCredentials:</w:t>
      </w:r>
    </w:p>
    <w:p w14:paraId="2CC226DB" w14:textId="77777777" w:rsidR="00A10B25" w:rsidRDefault="00A10B25">
      <w:pPr>
        <w:pStyle w:val="PL"/>
      </w:pPr>
      <w:r>
        <w:lastRenderedPageBreak/>
        <w:t xml:space="preserve">    - nnwdaf-mlmodelmonitor</w:t>
      </w:r>
    </w:p>
    <w:p w14:paraId="2F5973B4" w14:textId="77777777" w:rsidR="00A10B25" w:rsidRDefault="00A10B25">
      <w:pPr>
        <w:pStyle w:val="PL"/>
      </w:pPr>
    </w:p>
    <w:p w14:paraId="15B8998F" w14:textId="77777777" w:rsidR="00A10B25" w:rsidRDefault="00A10B25">
      <w:pPr>
        <w:pStyle w:val="PL"/>
      </w:pPr>
      <w:r>
        <w:t>paths:</w:t>
      </w:r>
    </w:p>
    <w:p w14:paraId="65E7BC44" w14:textId="77777777" w:rsidR="00A10B25" w:rsidRDefault="00A10B25">
      <w:pPr>
        <w:pStyle w:val="PL"/>
      </w:pPr>
      <w:r>
        <w:t xml:space="preserve">  /registrations:</w:t>
      </w:r>
    </w:p>
    <w:p w14:paraId="062E7B30" w14:textId="77777777" w:rsidR="00A10B25" w:rsidRDefault="00A10B25">
      <w:pPr>
        <w:pStyle w:val="PL"/>
      </w:pPr>
      <w:r>
        <w:t xml:space="preserve">    post:</w:t>
      </w:r>
    </w:p>
    <w:p w14:paraId="403884EE" w14:textId="77777777" w:rsidR="00A10B25" w:rsidRDefault="00A10B25">
      <w:pPr>
        <w:pStyle w:val="PL"/>
      </w:pPr>
      <w:r>
        <w:t xml:space="preserve">      summary: Create a new Individual NWDAF ML Model monitoring registration resource.</w:t>
      </w:r>
    </w:p>
    <w:p w14:paraId="5350638B" w14:textId="77777777" w:rsidR="00A10B25" w:rsidRDefault="00A10B25">
      <w:pPr>
        <w:pStyle w:val="PL"/>
      </w:pPr>
      <w:r>
        <w:t xml:space="preserve">      operationId: CreateNWDAFMLModelMonitoringRegistration</w:t>
      </w:r>
    </w:p>
    <w:p w14:paraId="4E07B778" w14:textId="77777777" w:rsidR="00A10B25" w:rsidRDefault="00A10B25">
      <w:pPr>
        <w:pStyle w:val="PL"/>
      </w:pPr>
      <w:r>
        <w:t xml:space="preserve">      tags:</w:t>
      </w:r>
    </w:p>
    <w:p w14:paraId="1916469F" w14:textId="77777777" w:rsidR="00A10B25" w:rsidRDefault="00A10B25">
      <w:pPr>
        <w:pStyle w:val="PL"/>
      </w:pPr>
      <w:r>
        <w:t xml:space="preserve">        - registrations (Collection)</w:t>
      </w:r>
    </w:p>
    <w:p w14:paraId="069FF4F1" w14:textId="77777777" w:rsidR="00A10B25" w:rsidRDefault="00A10B25">
      <w:pPr>
        <w:pStyle w:val="PL"/>
      </w:pPr>
      <w:r>
        <w:t xml:space="preserve">      requestBody:</w:t>
      </w:r>
    </w:p>
    <w:p w14:paraId="41847759" w14:textId="77777777" w:rsidR="00A10B25" w:rsidRDefault="00A10B25">
      <w:pPr>
        <w:pStyle w:val="PL"/>
      </w:pPr>
      <w:r>
        <w:t xml:space="preserve">        required: true</w:t>
      </w:r>
    </w:p>
    <w:p w14:paraId="11E37B35" w14:textId="77777777" w:rsidR="00A10B25" w:rsidRDefault="00A10B25">
      <w:pPr>
        <w:pStyle w:val="PL"/>
      </w:pPr>
      <w:r>
        <w:t xml:space="preserve">        content:</w:t>
      </w:r>
    </w:p>
    <w:p w14:paraId="5EFA6CFB" w14:textId="77777777" w:rsidR="00A10B25" w:rsidRDefault="00A10B25">
      <w:pPr>
        <w:pStyle w:val="PL"/>
      </w:pPr>
      <w:r>
        <w:t xml:space="preserve">          application/json:</w:t>
      </w:r>
    </w:p>
    <w:p w14:paraId="4833B306" w14:textId="77777777" w:rsidR="00A10B25" w:rsidRDefault="00A10B25">
      <w:pPr>
        <w:pStyle w:val="PL"/>
      </w:pPr>
      <w:r>
        <w:t xml:space="preserve">            schema:</w:t>
      </w:r>
    </w:p>
    <w:p w14:paraId="0267BEDB" w14:textId="77777777" w:rsidR="00A10B25" w:rsidRDefault="00A10B25">
      <w:pPr>
        <w:pStyle w:val="PL"/>
      </w:pPr>
      <w:r>
        <w:t xml:space="preserve">              $ref: '#/components/schemas/</w:t>
      </w:r>
      <w:r>
        <w:rPr>
          <w:rFonts w:eastAsia="等线"/>
        </w:rPr>
        <w:t>MLModelMonitorReg</w:t>
      </w:r>
      <w:r>
        <w:t>'</w:t>
      </w:r>
    </w:p>
    <w:p w14:paraId="61118A95" w14:textId="77777777" w:rsidR="00A10B25" w:rsidRDefault="00A10B25">
      <w:pPr>
        <w:pStyle w:val="PL"/>
      </w:pPr>
      <w:r>
        <w:t xml:space="preserve">      responses:</w:t>
      </w:r>
    </w:p>
    <w:p w14:paraId="78FE6AB7" w14:textId="77777777" w:rsidR="00A10B25" w:rsidRDefault="00A10B25">
      <w:pPr>
        <w:pStyle w:val="PL"/>
      </w:pPr>
      <w:r>
        <w:t xml:space="preserve">        '201':</w:t>
      </w:r>
    </w:p>
    <w:p w14:paraId="5350F799" w14:textId="77777777" w:rsidR="00A10B25" w:rsidRDefault="00A10B25">
      <w:pPr>
        <w:pStyle w:val="PL"/>
      </w:pPr>
      <w:r>
        <w:t xml:space="preserve">          description: Create a new Individual NWDAF ML Model monitoring registration resource.</w:t>
      </w:r>
    </w:p>
    <w:p w14:paraId="64379201" w14:textId="77777777" w:rsidR="00A10B25" w:rsidRDefault="00A10B25">
      <w:pPr>
        <w:pStyle w:val="PL"/>
      </w:pPr>
      <w:r>
        <w:t xml:space="preserve">          content:</w:t>
      </w:r>
    </w:p>
    <w:p w14:paraId="42E92002" w14:textId="77777777" w:rsidR="00A10B25" w:rsidRDefault="00A10B25">
      <w:pPr>
        <w:pStyle w:val="PL"/>
      </w:pPr>
      <w:r>
        <w:t xml:space="preserve">            application/json:</w:t>
      </w:r>
    </w:p>
    <w:p w14:paraId="047DB8EF" w14:textId="77777777" w:rsidR="00A10B25" w:rsidRDefault="00A10B25">
      <w:pPr>
        <w:pStyle w:val="PL"/>
      </w:pPr>
      <w:r>
        <w:t xml:space="preserve">              schema:</w:t>
      </w:r>
    </w:p>
    <w:p w14:paraId="662C51E2" w14:textId="77777777" w:rsidR="00A10B25" w:rsidRDefault="00A10B25">
      <w:pPr>
        <w:pStyle w:val="PL"/>
      </w:pPr>
      <w:r>
        <w:t xml:space="preserve">                $ref: '#/components/schemas/</w:t>
      </w:r>
      <w:r>
        <w:rPr>
          <w:rFonts w:eastAsia="等线"/>
        </w:rPr>
        <w:t>MLModelMonitorReg</w:t>
      </w:r>
      <w:r>
        <w:t>'</w:t>
      </w:r>
    </w:p>
    <w:p w14:paraId="4D4E399F" w14:textId="77777777" w:rsidR="00A10B25" w:rsidRDefault="00A10B25">
      <w:pPr>
        <w:pStyle w:val="PL"/>
      </w:pPr>
      <w:r>
        <w:t xml:space="preserve">          headers:</w:t>
      </w:r>
    </w:p>
    <w:p w14:paraId="4D055F87" w14:textId="77777777" w:rsidR="00A10B25" w:rsidRDefault="00A10B25">
      <w:pPr>
        <w:pStyle w:val="PL"/>
      </w:pPr>
      <w:r>
        <w:t xml:space="preserve">            Location:</w:t>
      </w:r>
    </w:p>
    <w:p w14:paraId="622EA4EB" w14:textId="77777777" w:rsidR="00A10B25" w:rsidRDefault="00A10B25">
      <w:pPr>
        <w:pStyle w:val="PL"/>
      </w:pPr>
      <w:r>
        <w:t xml:space="preserve">              description: </w:t>
      </w:r>
      <w:r>
        <w:rPr>
          <w:lang w:val="en-US"/>
        </w:rPr>
        <w:t>&gt;</w:t>
      </w:r>
    </w:p>
    <w:p w14:paraId="3279B446" w14:textId="77777777" w:rsidR="00A10B25" w:rsidRDefault="00A10B25">
      <w:pPr>
        <w:pStyle w:val="PL"/>
      </w:pPr>
      <w:r>
        <w:t xml:space="preserve">                Contains the URI of the newly created resource, according to the structure</w:t>
      </w:r>
    </w:p>
    <w:p w14:paraId="0205A04C" w14:textId="77777777" w:rsidR="00A10B25" w:rsidRDefault="00A10B25">
      <w:pPr>
        <w:pStyle w:val="PL"/>
      </w:pPr>
      <w:r>
        <w:t xml:space="preserve">                {apiRoot}/nnwdaf-mlmodelmonitor/</w:t>
      </w:r>
      <w:r>
        <w:rPr>
          <w:rFonts w:eastAsia="等线"/>
        </w:rPr>
        <w:t>&lt;apiVersion&gt;</w:t>
      </w:r>
      <w:r>
        <w:t>/registrations/{registrationId}.</w:t>
      </w:r>
    </w:p>
    <w:p w14:paraId="2CE3464C" w14:textId="77777777" w:rsidR="00A10B25" w:rsidRDefault="00A10B25">
      <w:pPr>
        <w:pStyle w:val="PL"/>
      </w:pPr>
      <w:r>
        <w:t xml:space="preserve">              required: true</w:t>
      </w:r>
    </w:p>
    <w:p w14:paraId="260C9E6A" w14:textId="77777777" w:rsidR="00A10B25" w:rsidRDefault="00A10B25">
      <w:pPr>
        <w:pStyle w:val="PL"/>
      </w:pPr>
      <w:r>
        <w:t xml:space="preserve">              schema:</w:t>
      </w:r>
    </w:p>
    <w:p w14:paraId="4D2619F4" w14:textId="77777777" w:rsidR="00A10B25" w:rsidRDefault="00A10B25">
      <w:pPr>
        <w:pStyle w:val="PL"/>
      </w:pPr>
      <w:r>
        <w:t xml:space="preserve">                type: string</w:t>
      </w:r>
    </w:p>
    <w:p w14:paraId="49BE907D" w14:textId="77777777" w:rsidR="00A10B25" w:rsidRDefault="00A10B25">
      <w:pPr>
        <w:pStyle w:val="PL"/>
      </w:pPr>
      <w:r>
        <w:t xml:space="preserve">        '400':</w:t>
      </w:r>
    </w:p>
    <w:p w14:paraId="2EB9E600" w14:textId="77777777" w:rsidR="00A10B25" w:rsidRDefault="00A10B25">
      <w:pPr>
        <w:pStyle w:val="PL"/>
      </w:pPr>
      <w:r>
        <w:t xml:space="preserve">          $ref: 'TS29571_CommonData.yaml#/components/responses/400'</w:t>
      </w:r>
    </w:p>
    <w:p w14:paraId="2CB958A1" w14:textId="77777777" w:rsidR="00A10B25" w:rsidRDefault="00A10B25">
      <w:pPr>
        <w:pStyle w:val="PL"/>
      </w:pPr>
      <w:r>
        <w:t xml:space="preserve">        '401':</w:t>
      </w:r>
    </w:p>
    <w:p w14:paraId="5D89EF07" w14:textId="77777777" w:rsidR="00A10B25" w:rsidRDefault="00A10B25">
      <w:pPr>
        <w:pStyle w:val="PL"/>
      </w:pPr>
      <w:r>
        <w:t xml:space="preserve">          $ref: 'TS29571_CommonData.yaml#/components/responses/401'</w:t>
      </w:r>
    </w:p>
    <w:p w14:paraId="0FA3D7E2" w14:textId="77777777" w:rsidR="00A10B25" w:rsidRDefault="00A10B25">
      <w:pPr>
        <w:pStyle w:val="PL"/>
      </w:pPr>
      <w:r>
        <w:t xml:space="preserve">        '403':</w:t>
      </w:r>
    </w:p>
    <w:p w14:paraId="1B9DA1A4" w14:textId="77777777" w:rsidR="00A10B25" w:rsidRDefault="00A10B25">
      <w:pPr>
        <w:pStyle w:val="PL"/>
      </w:pPr>
      <w:r>
        <w:t xml:space="preserve">          $ref: 'TS29571_CommonData.yaml#/components/responses/403'</w:t>
      </w:r>
    </w:p>
    <w:p w14:paraId="094ECE53" w14:textId="77777777" w:rsidR="00A10B25" w:rsidRDefault="00A10B25">
      <w:pPr>
        <w:pStyle w:val="PL"/>
      </w:pPr>
      <w:r>
        <w:t xml:space="preserve">        '404':</w:t>
      </w:r>
    </w:p>
    <w:p w14:paraId="2F4DED0B" w14:textId="77777777" w:rsidR="00A10B25" w:rsidRDefault="00A10B25">
      <w:pPr>
        <w:pStyle w:val="PL"/>
      </w:pPr>
      <w:r>
        <w:t xml:space="preserve">          $ref: 'TS29571_CommonData.yaml#/components/responses/404'</w:t>
      </w:r>
    </w:p>
    <w:p w14:paraId="5B8B7CE3" w14:textId="77777777" w:rsidR="00A10B25" w:rsidRDefault="00A10B25">
      <w:pPr>
        <w:pStyle w:val="PL"/>
      </w:pPr>
      <w:r>
        <w:t xml:space="preserve">        '411':</w:t>
      </w:r>
    </w:p>
    <w:p w14:paraId="1142EBA8" w14:textId="77777777" w:rsidR="00A10B25" w:rsidRDefault="00A10B25">
      <w:pPr>
        <w:pStyle w:val="PL"/>
      </w:pPr>
      <w:r>
        <w:t xml:space="preserve">          $ref: 'TS29571_CommonData.yaml#/components/responses/411'</w:t>
      </w:r>
    </w:p>
    <w:p w14:paraId="4F5741AE" w14:textId="77777777" w:rsidR="00A10B25" w:rsidRDefault="00A10B25">
      <w:pPr>
        <w:pStyle w:val="PL"/>
      </w:pPr>
      <w:r>
        <w:t xml:space="preserve">        '413':</w:t>
      </w:r>
    </w:p>
    <w:p w14:paraId="617F8C25" w14:textId="77777777" w:rsidR="00A10B25" w:rsidRDefault="00A10B25">
      <w:pPr>
        <w:pStyle w:val="PL"/>
      </w:pPr>
      <w:r>
        <w:t xml:space="preserve">          $ref: 'TS29571_CommonData.yaml#/components/responses/413'</w:t>
      </w:r>
    </w:p>
    <w:p w14:paraId="753062C5" w14:textId="77777777" w:rsidR="00A10B25" w:rsidRDefault="00A10B25">
      <w:pPr>
        <w:pStyle w:val="PL"/>
      </w:pPr>
      <w:r>
        <w:t xml:space="preserve">        '415':</w:t>
      </w:r>
    </w:p>
    <w:p w14:paraId="5C4A1F05" w14:textId="77777777" w:rsidR="00A10B25" w:rsidRDefault="00A10B25">
      <w:pPr>
        <w:pStyle w:val="PL"/>
      </w:pPr>
      <w:r>
        <w:t xml:space="preserve">          $ref: 'TS29571_CommonData.yaml#/components/responses/415'</w:t>
      </w:r>
    </w:p>
    <w:p w14:paraId="2294DB9C" w14:textId="77777777" w:rsidR="00A10B25" w:rsidRDefault="00A10B25">
      <w:pPr>
        <w:pStyle w:val="PL"/>
      </w:pPr>
      <w:r>
        <w:t xml:space="preserve">        '429':</w:t>
      </w:r>
    </w:p>
    <w:p w14:paraId="43B9AC84" w14:textId="77777777" w:rsidR="00A10B25" w:rsidRDefault="00A10B25">
      <w:pPr>
        <w:pStyle w:val="PL"/>
      </w:pPr>
      <w:r>
        <w:t xml:space="preserve">          $ref: 'TS29571_CommonData.yaml#/components/responses/429'</w:t>
      </w:r>
    </w:p>
    <w:p w14:paraId="451C0A50" w14:textId="77777777" w:rsidR="00A10B25" w:rsidRDefault="00A10B25">
      <w:pPr>
        <w:pStyle w:val="PL"/>
      </w:pPr>
      <w:r>
        <w:t xml:space="preserve">        '500':</w:t>
      </w:r>
    </w:p>
    <w:p w14:paraId="5FC4680B" w14:textId="77777777" w:rsidR="00A10B25" w:rsidRDefault="00A10B25">
      <w:pPr>
        <w:pStyle w:val="PL"/>
      </w:pPr>
      <w:r>
        <w:t xml:space="preserve">          $ref: 'TS29571_CommonData.yaml#/components/responses/500'</w:t>
      </w:r>
    </w:p>
    <w:p w14:paraId="0CD844B1" w14:textId="77777777" w:rsidR="00A10B25" w:rsidRDefault="00A10B25">
      <w:pPr>
        <w:pStyle w:val="PL"/>
      </w:pPr>
      <w:r>
        <w:t xml:space="preserve">        '502':</w:t>
      </w:r>
    </w:p>
    <w:p w14:paraId="5FCFF3D8" w14:textId="77777777" w:rsidR="00A10B25" w:rsidRDefault="00A10B25">
      <w:pPr>
        <w:pStyle w:val="PL"/>
      </w:pPr>
      <w:r>
        <w:t xml:space="preserve">          $ref: 'TS29571_CommonData.yaml#/components/responses/502'</w:t>
      </w:r>
    </w:p>
    <w:p w14:paraId="47CA927D" w14:textId="77777777" w:rsidR="00A10B25" w:rsidRDefault="00A10B25">
      <w:pPr>
        <w:pStyle w:val="PL"/>
      </w:pPr>
      <w:r>
        <w:t xml:space="preserve">        '503':</w:t>
      </w:r>
    </w:p>
    <w:p w14:paraId="4162AA44" w14:textId="77777777" w:rsidR="00A10B25" w:rsidRDefault="00A10B25">
      <w:pPr>
        <w:pStyle w:val="PL"/>
      </w:pPr>
      <w:r>
        <w:t xml:space="preserve">          $ref: 'TS29571_CommonData.yaml#/components/responses/503'</w:t>
      </w:r>
    </w:p>
    <w:p w14:paraId="012AB8EA" w14:textId="77777777" w:rsidR="00A10B25" w:rsidRDefault="00A10B25">
      <w:pPr>
        <w:pStyle w:val="PL"/>
      </w:pPr>
      <w:r>
        <w:t xml:space="preserve">        default:</w:t>
      </w:r>
    </w:p>
    <w:p w14:paraId="5F04A40D" w14:textId="77777777" w:rsidR="00A10B25" w:rsidRDefault="00A10B25">
      <w:pPr>
        <w:pStyle w:val="PL"/>
      </w:pPr>
      <w:r>
        <w:t xml:space="preserve">          $ref: 'TS29571_CommonData.yaml#/components/responses/default'</w:t>
      </w:r>
    </w:p>
    <w:p w14:paraId="501665A8" w14:textId="77777777" w:rsidR="00A10B25" w:rsidRDefault="00A10B25">
      <w:pPr>
        <w:pStyle w:val="PL"/>
      </w:pPr>
    </w:p>
    <w:p w14:paraId="0646C8A8" w14:textId="77777777" w:rsidR="00A10B25" w:rsidRDefault="00A10B25">
      <w:pPr>
        <w:pStyle w:val="PL"/>
      </w:pPr>
      <w:r>
        <w:t xml:space="preserve">  /registrations/{registrationId}:</w:t>
      </w:r>
    </w:p>
    <w:p w14:paraId="648C9AB6" w14:textId="77777777" w:rsidR="00A10B25" w:rsidRDefault="00A10B25">
      <w:pPr>
        <w:pStyle w:val="PL"/>
      </w:pPr>
      <w:r>
        <w:t xml:space="preserve">    delete:</w:t>
      </w:r>
    </w:p>
    <w:p w14:paraId="0118357A" w14:textId="77777777" w:rsidR="00A10B25" w:rsidRDefault="00A10B25">
      <w:pPr>
        <w:pStyle w:val="PL"/>
      </w:pPr>
      <w:r>
        <w:t xml:space="preserve">      summary: Delete an existing Individual NWDAF ML model monitoring registration.</w:t>
      </w:r>
    </w:p>
    <w:p w14:paraId="18C83861" w14:textId="77777777" w:rsidR="00A10B25" w:rsidRDefault="00A10B25">
      <w:pPr>
        <w:pStyle w:val="PL"/>
      </w:pPr>
      <w:r>
        <w:t xml:space="preserve">      operationId: DeleteNWDAFMLModelMonitoringRegistration</w:t>
      </w:r>
    </w:p>
    <w:p w14:paraId="54279769" w14:textId="77777777" w:rsidR="00A10B25" w:rsidRDefault="00A10B25">
      <w:pPr>
        <w:pStyle w:val="PL"/>
      </w:pPr>
      <w:r>
        <w:t xml:space="preserve">      tags:</w:t>
      </w:r>
    </w:p>
    <w:p w14:paraId="0DE88900" w14:textId="77777777" w:rsidR="00A10B25" w:rsidRDefault="00A10B25">
      <w:pPr>
        <w:pStyle w:val="PL"/>
      </w:pPr>
      <w:r>
        <w:t xml:space="preserve">        - Individual NWDAF ML model monitoring registration (Document)</w:t>
      </w:r>
    </w:p>
    <w:p w14:paraId="2CDC8BBC" w14:textId="77777777" w:rsidR="00A10B25" w:rsidRDefault="00A10B25">
      <w:pPr>
        <w:pStyle w:val="PL"/>
      </w:pPr>
      <w:r>
        <w:t xml:space="preserve">      parameters:</w:t>
      </w:r>
    </w:p>
    <w:p w14:paraId="23E970C2" w14:textId="77777777" w:rsidR="00A10B25" w:rsidRDefault="00A10B25">
      <w:pPr>
        <w:pStyle w:val="PL"/>
      </w:pPr>
      <w:r>
        <w:t xml:space="preserve">        - name: registrationId</w:t>
      </w:r>
    </w:p>
    <w:p w14:paraId="4D978490" w14:textId="77777777" w:rsidR="00A10B25" w:rsidRDefault="00A10B25">
      <w:pPr>
        <w:pStyle w:val="PL"/>
      </w:pPr>
      <w:r>
        <w:t xml:space="preserve">          in: path</w:t>
      </w:r>
    </w:p>
    <w:p w14:paraId="48C56A18" w14:textId="77777777" w:rsidR="00A10B25" w:rsidRDefault="00A10B25">
      <w:pPr>
        <w:pStyle w:val="PL"/>
      </w:pPr>
      <w:r>
        <w:t xml:space="preserve">          description: String identifying a registration to the </w:t>
      </w:r>
      <w:r>
        <w:rPr>
          <w:lang w:val="en-US" w:eastAsia="zh-CN"/>
        </w:rPr>
        <w:t>Nnwdaf_MLModelMonitor</w:t>
      </w:r>
      <w:r>
        <w:t xml:space="preserve"> Service.</w:t>
      </w:r>
    </w:p>
    <w:p w14:paraId="5883F621" w14:textId="77777777" w:rsidR="00A10B25" w:rsidRDefault="00A10B25">
      <w:pPr>
        <w:pStyle w:val="PL"/>
      </w:pPr>
      <w:r>
        <w:t xml:space="preserve">          required: true</w:t>
      </w:r>
    </w:p>
    <w:p w14:paraId="598640E7" w14:textId="77777777" w:rsidR="00A10B25" w:rsidRDefault="00A10B25">
      <w:pPr>
        <w:pStyle w:val="PL"/>
      </w:pPr>
      <w:r>
        <w:t xml:space="preserve">          schema:</w:t>
      </w:r>
    </w:p>
    <w:p w14:paraId="0E74D3DC" w14:textId="77777777" w:rsidR="00A10B25" w:rsidRDefault="00A10B25">
      <w:pPr>
        <w:pStyle w:val="PL"/>
      </w:pPr>
      <w:r>
        <w:t xml:space="preserve">            type: string</w:t>
      </w:r>
    </w:p>
    <w:p w14:paraId="32F04EA7" w14:textId="77777777" w:rsidR="00A10B25" w:rsidRDefault="00A10B25">
      <w:pPr>
        <w:pStyle w:val="PL"/>
      </w:pPr>
      <w:r>
        <w:t xml:space="preserve">      responses:</w:t>
      </w:r>
    </w:p>
    <w:p w14:paraId="48062B31" w14:textId="77777777" w:rsidR="00A10B25" w:rsidRDefault="00A10B25">
      <w:pPr>
        <w:pStyle w:val="PL"/>
      </w:pPr>
      <w:r>
        <w:t xml:space="preserve">        '204':</w:t>
      </w:r>
    </w:p>
    <w:p w14:paraId="2FB3DE6E" w14:textId="77777777" w:rsidR="00A10B25" w:rsidRDefault="00A10B25">
      <w:pPr>
        <w:pStyle w:val="PL"/>
      </w:pPr>
      <w:r>
        <w:t xml:space="preserve">          description: &gt;</w:t>
      </w:r>
    </w:p>
    <w:p w14:paraId="2268DD75" w14:textId="77777777" w:rsidR="00A10B25" w:rsidRDefault="00A10B25">
      <w:pPr>
        <w:pStyle w:val="PL"/>
      </w:pPr>
      <w:r>
        <w:t xml:space="preserve">            No Content. The Individual NWDAF ML Model monitoring registration matching the</w:t>
      </w:r>
    </w:p>
    <w:p w14:paraId="2C048D86" w14:textId="77777777" w:rsidR="00A10B25" w:rsidRDefault="00A10B25">
      <w:pPr>
        <w:pStyle w:val="PL"/>
      </w:pPr>
      <w:r>
        <w:t xml:space="preserve">            registrationId was deleted.</w:t>
      </w:r>
    </w:p>
    <w:p w14:paraId="45B6141D" w14:textId="77777777" w:rsidR="00A10B25" w:rsidRDefault="00A10B25">
      <w:pPr>
        <w:pStyle w:val="PL"/>
      </w:pPr>
      <w:r>
        <w:t xml:space="preserve">        '307':</w:t>
      </w:r>
    </w:p>
    <w:p w14:paraId="752E6C7B" w14:textId="77777777" w:rsidR="00A10B25" w:rsidRDefault="00A10B25">
      <w:pPr>
        <w:pStyle w:val="PL"/>
      </w:pPr>
      <w:r>
        <w:t xml:space="preserve">          $ref: 'TS29571_CommonData.yaml#/components/responses/307'</w:t>
      </w:r>
    </w:p>
    <w:p w14:paraId="1104A39F" w14:textId="77777777" w:rsidR="00A10B25" w:rsidRDefault="00A10B25">
      <w:pPr>
        <w:pStyle w:val="PL"/>
      </w:pPr>
      <w:r>
        <w:t xml:space="preserve">        '308':</w:t>
      </w:r>
    </w:p>
    <w:p w14:paraId="7A05C4D4" w14:textId="77777777" w:rsidR="00A10B25" w:rsidRDefault="00A10B25">
      <w:pPr>
        <w:pStyle w:val="PL"/>
      </w:pPr>
      <w:r>
        <w:t xml:space="preserve">          $ref: 'TS29571_CommonData.yaml#/components/responses/308'</w:t>
      </w:r>
    </w:p>
    <w:p w14:paraId="4A5CF073" w14:textId="77777777" w:rsidR="00A10B25" w:rsidRDefault="00A10B25">
      <w:pPr>
        <w:pStyle w:val="PL"/>
      </w:pPr>
      <w:r>
        <w:t xml:space="preserve">        '400':</w:t>
      </w:r>
    </w:p>
    <w:p w14:paraId="6A815A4B" w14:textId="77777777" w:rsidR="00A10B25" w:rsidRDefault="00A10B25">
      <w:pPr>
        <w:pStyle w:val="PL"/>
      </w:pPr>
      <w:r>
        <w:lastRenderedPageBreak/>
        <w:t xml:space="preserve">          $ref: 'TS29571_CommonData.yaml#/components/responses/400'</w:t>
      </w:r>
    </w:p>
    <w:p w14:paraId="7F71EC5F" w14:textId="77777777" w:rsidR="00A10B25" w:rsidRDefault="00A10B25">
      <w:pPr>
        <w:pStyle w:val="PL"/>
      </w:pPr>
      <w:r>
        <w:t xml:space="preserve">        '401':</w:t>
      </w:r>
    </w:p>
    <w:p w14:paraId="508605C0" w14:textId="77777777" w:rsidR="00A10B25" w:rsidRDefault="00A10B25">
      <w:pPr>
        <w:pStyle w:val="PL"/>
      </w:pPr>
      <w:r>
        <w:t xml:space="preserve">          $ref: 'TS29571_CommonData.yaml#/components/responses/401'</w:t>
      </w:r>
    </w:p>
    <w:p w14:paraId="40977FBA" w14:textId="77777777" w:rsidR="00A10B25" w:rsidRDefault="00A10B25">
      <w:pPr>
        <w:pStyle w:val="PL"/>
      </w:pPr>
      <w:r>
        <w:t xml:space="preserve">        '403':</w:t>
      </w:r>
    </w:p>
    <w:p w14:paraId="0F0BC868" w14:textId="77777777" w:rsidR="00A10B25" w:rsidRDefault="00A10B25">
      <w:pPr>
        <w:pStyle w:val="PL"/>
      </w:pPr>
      <w:r>
        <w:t xml:space="preserve">          $ref: 'TS29571_CommonData.yaml#/components/responses/403'</w:t>
      </w:r>
    </w:p>
    <w:p w14:paraId="5213FC58" w14:textId="77777777" w:rsidR="00A10B25" w:rsidRDefault="00A10B25">
      <w:pPr>
        <w:pStyle w:val="PL"/>
      </w:pPr>
      <w:r>
        <w:t xml:space="preserve">        '404':</w:t>
      </w:r>
    </w:p>
    <w:p w14:paraId="63C4AF82" w14:textId="77777777" w:rsidR="00A10B25" w:rsidRDefault="00A10B25">
      <w:pPr>
        <w:pStyle w:val="PL"/>
      </w:pPr>
      <w:r>
        <w:t xml:space="preserve">          $ref: 'TS29571_CommonData.yaml#/components/responses/404'</w:t>
      </w:r>
    </w:p>
    <w:p w14:paraId="0B8DEB84" w14:textId="77777777" w:rsidR="00A10B25" w:rsidRDefault="00A10B25">
      <w:pPr>
        <w:pStyle w:val="PL"/>
      </w:pPr>
      <w:r>
        <w:t xml:space="preserve">        '429':</w:t>
      </w:r>
    </w:p>
    <w:p w14:paraId="5E90DFE6" w14:textId="77777777" w:rsidR="00A10B25" w:rsidRDefault="00A10B25">
      <w:pPr>
        <w:pStyle w:val="PL"/>
      </w:pPr>
      <w:r>
        <w:t xml:space="preserve">          $ref: 'TS29571_CommonData.yaml#/components/responses/429'</w:t>
      </w:r>
    </w:p>
    <w:p w14:paraId="76EA5630" w14:textId="77777777" w:rsidR="00A10B25" w:rsidRDefault="00A10B25">
      <w:pPr>
        <w:pStyle w:val="PL"/>
      </w:pPr>
      <w:r>
        <w:t xml:space="preserve">        '500':</w:t>
      </w:r>
    </w:p>
    <w:p w14:paraId="16F97543" w14:textId="77777777" w:rsidR="00A10B25" w:rsidRDefault="00A10B25">
      <w:pPr>
        <w:pStyle w:val="PL"/>
      </w:pPr>
      <w:r>
        <w:t xml:space="preserve">          $ref: 'TS29571_CommonData.yaml#/components/responses/500'</w:t>
      </w:r>
    </w:p>
    <w:p w14:paraId="7B144EB2" w14:textId="77777777" w:rsidR="00A10B25" w:rsidRDefault="00A10B25">
      <w:pPr>
        <w:pStyle w:val="PL"/>
      </w:pPr>
      <w:r>
        <w:t xml:space="preserve">        '502':</w:t>
      </w:r>
    </w:p>
    <w:p w14:paraId="551C0E2E" w14:textId="77777777" w:rsidR="00A10B25" w:rsidRDefault="00A10B25">
      <w:pPr>
        <w:pStyle w:val="PL"/>
      </w:pPr>
      <w:r>
        <w:t xml:space="preserve">          $ref: 'TS29571_CommonData.yaml#/components/responses/502'</w:t>
      </w:r>
    </w:p>
    <w:p w14:paraId="3058DCF1" w14:textId="77777777" w:rsidR="00A10B25" w:rsidRDefault="00A10B25">
      <w:pPr>
        <w:pStyle w:val="PL"/>
      </w:pPr>
      <w:r>
        <w:t xml:space="preserve">        '503':</w:t>
      </w:r>
    </w:p>
    <w:p w14:paraId="5C20E869" w14:textId="77777777" w:rsidR="00A10B25" w:rsidRDefault="00A10B25">
      <w:pPr>
        <w:pStyle w:val="PL"/>
      </w:pPr>
      <w:r>
        <w:t xml:space="preserve">          $ref: 'TS29571_CommonData.yaml#/components/responses/503'</w:t>
      </w:r>
    </w:p>
    <w:p w14:paraId="7580DC55" w14:textId="77777777" w:rsidR="00A10B25" w:rsidRDefault="00A10B25">
      <w:pPr>
        <w:pStyle w:val="PL"/>
      </w:pPr>
      <w:r>
        <w:t xml:space="preserve">        default:</w:t>
      </w:r>
    </w:p>
    <w:p w14:paraId="6B91A110" w14:textId="77777777" w:rsidR="00A10B25" w:rsidRDefault="00A10B25">
      <w:pPr>
        <w:pStyle w:val="PL"/>
      </w:pPr>
      <w:r>
        <w:t xml:space="preserve">          $ref: 'TS29571_CommonData.yaml#/components/responses/default'</w:t>
      </w:r>
    </w:p>
    <w:p w14:paraId="4CDCCA23" w14:textId="77777777" w:rsidR="00A10B25" w:rsidRDefault="00A10B25">
      <w:pPr>
        <w:pStyle w:val="PL"/>
      </w:pPr>
    </w:p>
    <w:p w14:paraId="4D438D23" w14:textId="77777777" w:rsidR="00A10B25" w:rsidRDefault="00A10B25">
      <w:pPr>
        <w:pStyle w:val="PL"/>
      </w:pPr>
      <w:r>
        <w:t xml:space="preserve">  /subscriptions:</w:t>
      </w:r>
    </w:p>
    <w:p w14:paraId="338A4B30" w14:textId="77777777" w:rsidR="00A10B25" w:rsidRDefault="00A10B25">
      <w:pPr>
        <w:pStyle w:val="PL"/>
      </w:pPr>
      <w:r>
        <w:t xml:space="preserve">    post:</w:t>
      </w:r>
    </w:p>
    <w:p w14:paraId="5B733140" w14:textId="77777777" w:rsidR="00A10B25" w:rsidRDefault="00A10B25">
      <w:pPr>
        <w:pStyle w:val="PL"/>
      </w:pPr>
      <w:r>
        <w:t xml:space="preserve">      summary: Create a new Individual NWDAF ML model monitoring Subscription.</w:t>
      </w:r>
    </w:p>
    <w:p w14:paraId="6D3542A8" w14:textId="77777777" w:rsidR="00A10B25" w:rsidRDefault="00A10B25">
      <w:pPr>
        <w:pStyle w:val="PL"/>
      </w:pPr>
      <w:r>
        <w:t xml:space="preserve">      operationId: CreateNWDAFMLModelMonitoringSubscription</w:t>
      </w:r>
    </w:p>
    <w:p w14:paraId="2F4B2224" w14:textId="77777777" w:rsidR="00A10B25" w:rsidRDefault="00A10B25">
      <w:pPr>
        <w:pStyle w:val="PL"/>
      </w:pPr>
      <w:r>
        <w:t xml:space="preserve">      tags:</w:t>
      </w:r>
    </w:p>
    <w:p w14:paraId="70698356" w14:textId="77777777" w:rsidR="00A10B25" w:rsidRDefault="00A10B25">
      <w:pPr>
        <w:pStyle w:val="PL"/>
      </w:pPr>
      <w:r>
        <w:t xml:space="preserve">        - NWDAF ML model monitoring Subscriptions (Collection)</w:t>
      </w:r>
    </w:p>
    <w:p w14:paraId="1AE0664B" w14:textId="77777777" w:rsidR="00A10B25" w:rsidRDefault="00A10B25">
      <w:pPr>
        <w:pStyle w:val="PL"/>
      </w:pPr>
      <w:r>
        <w:t xml:space="preserve">      requestBody:</w:t>
      </w:r>
    </w:p>
    <w:p w14:paraId="2DC0FC07" w14:textId="77777777" w:rsidR="00A10B25" w:rsidRDefault="00A10B25">
      <w:pPr>
        <w:pStyle w:val="PL"/>
      </w:pPr>
      <w:r>
        <w:t xml:space="preserve">        required: true</w:t>
      </w:r>
    </w:p>
    <w:p w14:paraId="5F915588" w14:textId="77777777" w:rsidR="00A10B25" w:rsidRDefault="00A10B25">
      <w:pPr>
        <w:pStyle w:val="PL"/>
      </w:pPr>
      <w:r>
        <w:t xml:space="preserve">        content:</w:t>
      </w:r>
    </w:p>
    <w:p w14:paraId="658B3D10" w14:textId="77777777" w:rsidR="00A10B25" w:rsidRDefault="00A10B25">
      <w:pPr>
        <w:pStyle w:val="PL"/>
      </w:pPr>
      <w:r>
        <w:t xml:space="preserve">          application/json:</w:t>
      </w:r>
    </w:p>
    <w:p w14:paraId="29B275EA" w14:textId="77777777" w:rsidR="00A10B25" w:rsidRDefault="00A10B25">
      <w:pPr>
        <w:pStyle w:val="PL"/>
      </w:pPr>
      <w:r>
        <w:t xml:space="preserve">            schema:</w:t>
      </w:r>
    </w:p>
    <w:p w14:paraId="3E626973" w14:textId="77777777" w:rsidR="00A10B25" w:rsidRDefault="00A10B25">
      <w:pPr>
        <w:pStyle w:val="PL"/>
      </w:pPr>
      <w:r>
        <w:t xml:space="preserve">              $ref: '#/components/schemas/</w:t>
      </w:r>
      <w:r>
        <w:rPr>
          <w:rFonts w:eastAsia="等线"/>
        </w:rPr>
        <w:t>MLModelMonitor</w:t>
      </w:r>
      <w:r>
        <w:rPr>
          <w:rFonts w:eastAsia="等线" w:hint="eastAsia"/>
          <w:lang w:eastAsia="zh-CN"/>
        </w:rPr>
        <w:t>Sub</w:t>
      </w:r>
      <w:r>
        <w:t>'</w:t>
      </w:r>
    </w:p>
    <w:p w14:paraId="607439A4" w14:textId="77777777" w:rsidR="00A10B25" w:rsidRDefault="00A10B25">
      <w:pPr>
        <w:pStyle w:val="PL"/>
      </w:pPr>
      <w:r>
        <w:t xml:space="preserve">      responses:</w:t>
      </w:r>
    </w:p>
    <w:p w14:paraId="65D432C0" w14:textId="77777777" w:rsidR="00A10B25" w:rsidRDefault="00A10B25">
      <w:pPr>
        <w:pStyle w:val="PL"/>
      </w:pPr>
      <w:r>
        <w:t xml:space="preserve">        '201':</w:t>
      </w:r>
    </w:p>
    <w:p w14:paraId="18ABD85A" w14:textId="77777777" w:rsidR="00A10B25" w:rsidRDefault="00A10B25">
      <w:pPr>
        <w:pStyle w:val="PL"/>
      </w:pPr>
      <w:r>
        <w:t xml:space="preserve">          description: Create a new Individual NWDAF ML model monitoring Subscription resource.</w:t>
      </w:r>
    </w:p>
    <w:p w14:paraId="1397BE0E" w14:textId="77777777" w:rsidR="00A10B25" w:rsidRDefault="00A10B25">
      <w:pPr>
        <w:pStyle w:val="PL"/>
        <w:rPr>
          <w:rFonts w:eastAsia="等线"/>
        </w:rPr>
      </w:pPr>
      <w:r>
        <w:rPr>
          <w:rFonts w:eastAsia="等线"/>
        </w:rPr>
        <w:t xml:space="preserve">          headers:</w:t>
      </w:r>
    </w:p>
    <w:p w14:paraId="3F62CBE5" w14:textId="77777777" w:rsidR="00A10B25" w:rsidRDefault="00A10B25">
      <w:pPr>
        <w:pStyle w:val="PL"/>
        <w:rPr>
          <w:rFonts w:eastAsia="等线"/>
        </w:rPr>
      </w:pPr>
      <w:r>
        <w:rPr>
          <w:rFonts w:eastAsia="等线"/>
        </w:rPr>
        <w:t xml:space="preserve">            Location:</w:t>
      </w:r>
    </w:p>
    <w:p w14:paraId="4C34DB7E" w14:textId="77777777" w:rsidR="00A10B25" w:rsidRDefault="00A10B25">
      <w:pPr>
        <w:pStyle w:val="PL"/>
        <w:rPr>
          <w:rFonts w:eastAsia="等线"/>
        </w:rPr>
      </w:pPr>
      <w:r>
        <w:rPr>
          <w:rFonts w:eastAsia="等线"/>
        </w:rPr>
        <w:t xml:space="preserve">              description: &gt;</w:t>
      </w:r>
    </w:p>
    <w:p w14:paraId="22D55FAB" w14:textId="77777777" w:rsidR="00A10B25" w:rsidRDefault="00A10B25">
      <w:pPr>
        <w:pStyle w:val="PL"/>
        <w:rPr>
          <w:rFonts w:eastAsia="等线"/>
        </w:rPr>
      </w:pPr>
      <w:r>
        <w:rPr>
          <w:rFonts w:eastAsia="等线"/>
        </w:rPr>
        <w:t xml:space="preserve">                Contains the URI of the newly created resource, according to the structure</w:t>
      </w:r>
    </w:p>
    <w:p w14:paraId="6EC3F65D" w14:textId="77777777" w:rsidR="00A10B25" w:rsidRDefault="00A10B25">
      <w:pPr>
        <w:pStyle w:val="PL"/>
        <w:rPr>
          <w:rFonts w:eastAsia="等线"/>
        </w:rPr>
      </w:pPr>
      <w:r>
        <w:rPr>
          <w:rFonts w:eastAsia="等线"/>
        </w:rPr>
        <w:t xml:space="preserve">                {apiRoot}/</w:t>
      </w:r>
      <w:r>
        <w:t>nnwdaf-mlmodelmonitor</w:t>
      </w:r>
      <w:r>
        <w:rPr>
          <w:rFonts w:eastAsia="等线"/>
        </w:rPr>
        <w:t>/&lt;apiVersion&gt;/subscriptions/{subscriptionId}</w:t>
      </w:r>
    </w:p>
    <w:p w14:paraId="6ECF466B" w14:textId="77777777" w:rsidR="00A10B25" w:rsidRDefault="00A10B25">
      <w:pPr>
        <w:pStyle w:val="PL"/>
        <w:rPr>
          <w:rFonts w:eastAsia="等线"/>
        </w:rPr>
      </w:pPr>
      <w:r>
        <w:rPr>
          <w:rFonts w:eastAsia="等线"/>
        </w:rPr>
        <w:t xml:space="preserve">              required: true</w:t>
      </w:r>
    </w:p>
    <w:p w14:paraId="20CD61CC" w14:textId="77777777" w:rsidR="00A10B25" w:rsidRDefault="00A10B25">
      <w:pPr>
        <w:pStyle w:val="PL"/>
        <w:rPr>
          <w:rFonts w:eastAsia="等线"/>
        </w:rPr>
      </w:pPr>
      <w:r>
        <w:rPr>
          <w:rFonts w:eastAsia="等线"/>
        </w:rPr>
        <w:t xml:space="preserve">              schema:</w:t>
      </w:r>
    </w:p>
    <w:p w14:paraId="022D8A62" w14:textId="77777777" w:rsidR="00A10B25" w:rsidRDefault="00A10B25">
      <w:pPr>
        <w:pStyle w:val="PL"/>
        <w:rPr>
          <w:rFonts w:eastAsia="等线"/>
        </w:rPr>
      </w:pPr>
      <w:r>
        <w:rPr>
          <w:rFonts w:eastAsia="等线"/>
        </w:rPr>
        <w:t xml:space="preserve">                type: string</w:t>
      </w:r>
    </w:p>
    <w:p w14:paraId="282278B7" w14:textId="77777777" w:rsidR="00A10B25" w:rsidRDefault="00A10B25">
      <w:pPr>
        <w:pStyle w:val="PL"/>
      </w:pPr>
      <w:r>
        <w:t xml:space="preserve">          content:</w:t>
      </w:r>
    </w:p>
    <w:p w14:paraId="4D7DD747" w14:textId="77777777" w:rsidR="00A10B25" w:rsidRDefault="00A10B25">
      <w:pPr>
        <w:pStyle w:val="PL"/>
      </w:pPr>
      <w:r>
        <w:t xml:space="preserve">            application/json:</w:t>
      </w:r>
    </w:p>
    <w:p w14:paraId="6FB8A49E" w14:textId="77777777" w:rsidR="00A10B25" w:rsidRDefault="00A10B25">
      <w:pPr>
        <w:pStyle w:val="PL"/>
      </w:pPr>
      <w:r>
        <w:t xml:space="preserve">              schema:</w:t>
      </w:r>
    </w:p>
    <w:p w14:paraId="19903BD5" w14:textId="77777777" w:rsidR="00A10B25" w:rsidRDefault="00A10B25">
      <w:pPr>
        <w:pStyle w:val="PL"/>
      </w:pPr>
      <w:r>
        <w:t xml:space="preserve">                $ref: '#/components/schemas/</w:t>
      </w:r>
      <w:r>
        <w:rPr>
          <w:rFonts w:eastAsia="等线"/>
        </w:rPr>
        <w:t>MLModelMonitorSub</w:t>
      </w:r>
      <w:r>
        <w:t>'</w:t>
      </w:r>
    </w:p>
    <w:p w14:paraId="4D542CBA" w14:textId="77777777" w:rsidR="00A10B25" w:rsidRDefault="00A10B25">
      <w:pPr>
        <w:pStyle w:val="PL"/>
      </w:pPr>
      <w:r>
        <w:t xml:space="preserve">        '400':</w:t>
      </w:r>
    </w:p>
    <w:p w14:paraId="3144A6F3" w14:textId="77777777" w:rsidR="00A10B25" w:rsidRDefault="00A10B25">
      <w:pPr>
        <w:pStyle w:val="PL"/>
      </w:pPr>
      <w:r>
        <w:t xml:space="preserve">          $ref: 'TS29571_CommonData.yaml#/components/responses/400'</w:t>
      </w:r>
    </w:p>
    <w:p w14:paraId="31C587C7" w14:textId="77777777" w:rsidR="00A10B25" w:rsidRDefault="00A10B25">
      <w:pPr>
        <w:pStyle w:val="PL"/>
      </w:pPr>
      <w:r>
        <w:t xml:space="preserve">        '401':</w:t>
      </w:r>
    </w:p>
    <w:p w14:paraId="01F6AC6C" w14:textId="77777777" w:rsidR="00A10B25" w:rsidRDefault="00A10B25">
      <w:pPr>
        <w:pStyle w:val="PL"/>
      </w:pPr>
      <w:r>
        <w:t xml:space="preserve">          $ref: 'TS29571_CommonData.yaml#/components/responses/401'</w:t>
      </w:r>
    </w:p>
    <w:p w14:paraId="6F415784" w14:textId="77777777" w:rsidR="00A10B25" w:rsidRDefault="00A10B25">
      <w:pPr>
        <w:pStyle w:val="PL"/>
        <w:rPr>
          <w:rFonts w:eastAsia="等线"/>
        </w:rPr>
      </w:pPr>
      <w:r>
        <w:rPr>
          <w:rFonts w:eastAsia="等线"/>
        </w:rPr>
        <w:t xml:space="preserve">        '403':</w:t>
      </w:r>
    </w:p>
    <w:p w14:paraId="38C74A35" w14:textId="77777777" w:rsidR="00A10B25" w:rsidRDefault="00A10B25">
      <w:pPr>
        <w:pStyle w:val="PL"/>
        <w:rPr>
          <w:rFonts w:eastAsia="等线"/>
        </w:rPr>
      </w:pPr>
      <w:r>
        <w:rPr>
          <w:rFonts w:eastAsia="等线"/>
        </w:rPr>
        <w:t xml:space="preserve">          $ref: 'TS29571_CommonData.yaml#/components/responses/403'</w:t>
      </w:r>
    </w:p>
    <w:p w14:paraId="5076A959" w14:textId="77777777" w:rsidR="00A10B25" w:rsidRDefault="00A10B25">
      <w:pPr>
        <w:pStyle w:val="PL"/>
      </w:pPr>
      <w:r>
        <w:t xml:space="preserve">        '404':</w:t>
      </w:r>
    </w:p>
    <w:p w14:paraId="734B89DB" w14:textId="77777777" w:rsidR="00A10B25" w:rsidRDefault="00A10B25">
      <w:pPr>
        <w:pStyle w:val="PL"/>
      </w:pPr>
      <w:r>
        <w:t xml:space="preserve">          $ref: 'TS29571_CommonData.yaml#/components/responses/404'</w:t>
      </w:r>
    </w:p>
    <w:p w14:paraId="33F47E2F" w14:textId="77777777" w:rsidR="00A10B25" w:rsidRDefault="00A10B25">
      <w:pPr>
        <w:pStyle w:val="PL"/>
      </w:pPr>
      <w:r>
        <w:t xml:space="preserve">        '411':</w:t>
      </w:r>
    </w:p>
    <w:p w14:paraId="4599B301" w14:textId="77777777" w:rsidR="00A10B25" w:rsidRDefault="00A10B25">
      <w:pPr>
        <w:pStyle w:val="PL"/>
      </w:pPr>
      <w:r>
        <w:t xml:space="preserve">          $ref: 'TS29571_CommonData.yaml#/components/responses/411'</w:t>
      </w:r>
    </w:p>
    <w:p w14:paraId="347516B7" w14:textId="77777777" w:rsidR="00A10B25" w:rsidRDefault="00A10B25">
      <w:pPr>
        <w:pStyle w:val="PL"/>
      </w:pPr>
      <w:r>
        <w:t xml:space="preserve">        '413':</w:t>
      </w:r>
    </w:p>
    <w:p w14:paraId="0AF52CCC" w14:textId="77777777" w:rsidR="00A10B25" w:rsidRDefault="00A10B25">
      <w:pPr>
        <w:pStyle w:val="PL"/>
      </w:pPr>
      <w:r>
        <w:t xml:space="preserve">          $ref: 'TS29571_CommonData.yaml#/components/responses/413'</w:t>
      </w:r>
    </w:p>
    <w:p w14:paraId="7AC43811" w14:textId="77777777" w:rsidR="00A10B25" w:rsidRDefault="00A10B25">
      <w:pPr>
        <w:pStyle w:val="PL"/>
      </w:pPr>
      <w:r>
        <w:t xml:space="preserve">        '415':</w:t>
      </w:r>
    </w:p>
    <w:p w14:paraId="54A7D996" w14:textId="77777777" w:rsidR="00A10B25" w:rsidRDefault="00A10B25">
      <w:pPr>
        <w:pStyle w:val="PL"/>
      </w:pPr>
      <w:r>
        <w:t xml:space="preserve">          $ref: 'TS29571_CommonData.yaml#/components/responses/415'</w:t>
      </w:r>
    </w:p>
    <w:p w14:paraId="4653419C" w14:textId="77777777" w:rsidR="00A10B25" w:rsidRDefault="00A10B25">
      <w:pPr>
        <w:pStyle w:val="PL"/>
        <w:rPr>
          <w:rFonts w:eastAsia="等线"/>
        </w:rPr>
      </w:pPr>
      <w:r>
        <w:rPr>
          <w:rFonts w:eastAsia="等线"/>
        </w:rPr>
        <w:t xml:space="preserve">        '429':</w:t>
      </w:r>
    </w:p>
    <w:p w14:paraId="0308C9A7" w14:textId="77777777" w:rsidR="00A10B25" w:rsidRDefault="00A10B25">
      <w:pPr>
        <w:pStyle w:val="PL"/>
        <w:rPr>
          <w:rFonts w:eastAsia="等线"/>
        </w:rPr>
      </w:pPr>
      <w:r>
        <w:rPr>
          <w:rFonts w:eastAsia="等线"/>
        </w:rPr>
        <w:t xml:space="preserve">          $ref: 'TS29571_CommonData.yaml#/components/responses/429'</w:t>
      </w:r>
    </w:p>
    <w:p w14:paraId="032CC631" w14:textId="77777777" w:rsidR="00A10B25" w:rsidRDefault="00A10B25">
      <w:pPr>
        <w:pStyle w:val="PL"/>
      </w:pPr>
      <w:r>
        <w:t xml:space="preserve">        '500':</w:t>
      </w:r>
    </w:p>
    <w:p w14:paraId="67BBF3F5" w14:textId="77777777" w:rsidR="00A10B25" w:rsidRDefault="00A10B25">
      <w:pPr>
        <w:pStyle w:val="PL"/>
      </w:pPr>
      <w:r>
        <w:t xml:space="preserve">          $ref: 'TS29571_CommonData.yaml#/components/responses/500'</w:t>
      </w:r>
    </w:p>
    <w:p w14:paraId="308AEAA6" w14:textId="77777777" w:rsidR="00A10B25" w:rsidRDefault="00A10B25">
      <w:pPr>
        <w:pStyle w:val="PL"/>
      </w:pPr>
      <w:r>
        <w:t xml:space="preserve">        '502':</w:t>
      </w:r>
    </w:p>
    <w:p w14:paraId="5C589CAC" w14:textId="77777777" w:rsidR="00A10B25" w:rsidRDefault="00A10B25">
      <w:pPr>
        <w:pStyle w:val="PL"/>
      </w:pPr>
      <w:r>
        <w:t xml:space="preserve">          $ref: 'TS29571_CommonData.yaml#/components/responses/502'</w:t>
      </w:r>
    </w:p>
    <w:p w14:paraId="4E7F5F6E" w14:textId="77777777" w:rsidR="00A10B25" w:rsidRDefault="00A10B25">
      <w:pPr>
        <w:pStyle w:val="PL"/>
      </w:pPr>
      <w:r>
        <w:t xml:space="preserve">        '503':</w:t>
      </w:r>
    </w:p>
    <w:p w14:paraId="077CDCDA" w14:textId="77777777" w:rsidR="00A10B25" w:rsidRDefault="00A10B25">
      <w:pPr>
        <w:pStyle w:val="PL"/>
      </w:pPr>
      <w:r>
        <w:t xml:space="preserve">          $ref: 'TS29571_CommonData.yaml#/components/responses/503'</w:t>
      </w:r>
    </w:p>
    <w:p w14:paraId="5C313B29" w14:textId="77777777" w:rsidR="00A10B25" w:rsidRDefault="00A10B25">
      <w:pPr>
        <w:pStyle w:val="PL"/>
      </w:pPr>
      <w:r>
        <w:t xml:space="preserve">        default:</w:t>
      </w:r>
    </w:p>
    <w:p w14:paraId="67B774ED" w14:textId="77777777" w:rsidR="00A10B25" w:rsidRDefault="00A10B25">
      <w:pPr>
        <w:pStyle w:val="PL"/>
      </w:pPr>
      <w:r>
        <w:t xml:space="preserve">          $ref: 'TS29571_CommonData.yaml#/components/responses/default'</w:t>
      </w:r>
    </w:p>
    <w:p w14:paraId="040D8A8F" w14:textId="77777777" w:rsidR="00A10B25" w:rsidRDefault="00A10B25">
      <w:pPr>
        <w:pStyle w:val="PL"/>
      </w:pPr>
      <w:r>
        <w:t xml:space="preserve">      callbacks:</w:t>
      </w:r>
    </w:p>
    <w:p w14:paraId="168936FD" w14:textId="77777777" w:rsidR="00A10B25" w:rsidRDefault="00A10B25">
      <w:pPr>
        <w:pStyle w:val="PL"/>
      </w:pPr>
      <w:r>
        <w:t xml:space="preserve">        myNotification:</w:t>
      </w:r>
    </w:p>
    <w:p w14:paraId="290F53BD" w14:textId="77777777" w:rsidR="00A10B25" w:rsidRDefault="00A10B25">
      <w:pPr>
        <w:pStyle w:val="PL"/>
      </w:pPr>
      <w:r>
        <w:t xml:space="preserve">          '{$request.body#/notificationUri}': </w:t>
      </w:r>
    </w:p>
    <w:p w14:paraId="4C0C4C9B" w14:textId="77777777" w:rsidR="00A10B25" w:rsidRDefault="00A10B25">
      <w:pPr>
        <w:pStyle w:val="PL"/>
      </w:pPr>
      <w:r>
        <w:t xml:space="preserve">            post:</w:t>
      </w:r>
    </w:p>
    <w:p w14:paraId="0EE3B313" w14:textId="77777777" w:rsidR="00A10B25" w:rsidRDefault="00A10B25">
      <w:pPr>
        <w:pStyle w:val="PL"/>
      </w:pPr>
      <w:r>
        <w:t xml:space="preserve">              requestBody:</w:t>
      </w:r>
    </w:p>
    <w:p w14:paraId="50598E6F" w14:textId="77777777" w:rsidR="00A10B25" w:rsidRDefault="00A10B25">
      <w:pPr>
        <w:pStyle w:val="PL"/>
      </w:pPr>
      <w:r>
        <w:t xml:space="preserve">                required: true</w:t>
      </w:r>
    </w:p>
    <w:p w14:paraId="16BA0A73" w14:textId="77777777" w:rsidR="00A10B25" w:rsidRDefault="00A10B25">
      <w:pPr>
        <w:pStyle w:val="PL"/>
      </w:pPr>
      <w:r>
        <w:t xml:space="preserve">                content:</w:t>
      </w:r>
    </w:p>
    <w:p w14:paraId="7A2F943F" w14:textId="77777777" w:rsidR="00A10B25" w:rsidRDefault="00A10B25">
      <w:pPr>
        <w:pStyle w:val="PL"/>
      </w:pPr>
      <w:r>
        <w:t xml:space="preserve">                  application/json:</w:t>
      </w:r>
    </w:p>
    <w:p w14:paraId="0E57371E" w14:textId="77777777" w:rsidR="00A10B25" w:rsidRDefault="00A10B25">
      <w:pPr>
        <w:pStyle w:val="PL"/>
      </w:pPr>
      <w:r>
        <w:t xml:space="preserve">                    schema:</w:t>
      </w:r>
    </w:p>
    <w:p w14:paraId="42EA21AF" w14:textId="77777777" w:rsidR="00640768" w:rsidRDefault="00640768" w:rsidP="00640768">
      <w:pPr>
        <w:pStyle w:val="PL"/>
      </w:pPr>
      <w:r>
        <w:lastRenderedPageBreak/>
        <w:t xml:space="preserve">                      $ref: '#/components/schemas/</w:t>
      </w:r>
      <w:r>
        <w:rPr>
          <w:rFonts w:eastAsia="等线"/>
        </w:rPr>
        <w:t>MLModelMonitor</w:t>
      </w:r>
      <w:r>
        <w:rPr>
          <w:rFonts w:eastAsia="等线"/>
          <w:lang w:eastAsia="zh-CN"/>
        </w:rPr>
        <w:t>Notify</w:t>
      </w:r>
      <w:r>
        <w:t>'</w:t>
      </w:r>
    </w:p>
    <w:p w14:paraId="2B1B21B9" w14:textId="77777777" w:rsidR="00A10B25" w:rsidRDefault="00A10B25">
      <w:pPr>
        <w:pStyle w:val="PL"/>
      </w:pPr>
      <w:r>
        <w:t xml:space="preserve">              responses:</w:t>
      </w:r>
    </w:p>
    <w:p w14:paraId="4AE9864E" w14:textId="77777777" w:rsidR="00A10B25" w:rsidRDefault="00A10B25">
      <w:pPr>
        <w:pStyle w:val="PL"/>
      </w:pPr>
      <w:r>
        <w:t xml:space="preserve">                '204':</w:t>
      </w:r>
    </w:p>
    <w:p w14:paraId="7BD23ED7" w14:textId="77777777" w:rsidR="00A10B25" w:rsidRDefault="00A10B25">
      <w:pPr>
        <w:pStyle w:val="PL"/>
      </w:pPr>
      <w:r>
        <w:t xml:space="preserve">                  description: The receipt of the Notification is acknowledged.</w:t>
      </w:r>
    </w:p>
    <w:p w14:paraId="4BC1BC82" w14:textId="77777777" w:rsidR="00A10B25" w:rsidRDefault="00A10B25">
      <w:pPr>
        <w:pStyle w:val="PL"/>
      </w:pPr>
      <w:r>
        <w:t xml:space="preserve">                '307':</w:t>
      </w:r>
    </w:p>
    <w:p w14:paraId="6269B18C" w14:textId="77777777" w:rsidR="00A10B25" w:rsidRDefault="00A10B25">
      <w:pPr>
        <w:pStyle w:val="PL"/>
      </w:pPr>
      <w:r>
        <w:t xml:space="preserve">                  $ref: 'TS29571_CommonData.yaml#/components/responses/307'</w:t>
      </w:r>
    </w:p>
    <w:p w14:paraId="0BCD3E66" w14:textId="77777777" w:rsidR="00A10B25" w:rsidRDefault="00A10B25">
      <w:pPr>
        <w:pStyle w:val="PL"/>
      </w:pPr>
      <w:r>
        <w:t xml:space="preserve">                '308':</w:t>
      </w:r>
    </w:p>
    <w:p w14:paraId="5BDF902A" w14:textId="77777777" w:rsidR="00A10B25" w:rsidRDefault="00A10B25">
      <w:pPr>
        <w:pStyle w:val="PL"/>
      </w:pPr>
      <w:r>
        <w:t xml:space="preserve">                  $ref: 'TS29571_CommonData.yaml#/components/responses/308'</w:t>
      </w:r>
    </w:p>
    <w:p w14:paraId="2AAA958B" w14:textId="77777777" w:rsidR="00A10B25" w:rsidRDefault="00A10B25">
      <w:pPr>
        <w:pStyle w:val="PL"/>
      </w:pPr>
      <w:r>
        <w:t xml:space="preserve">                '400':</w:t>
      </w:r>
    </w:p>
    <w:p w14:paraId="6D37B9C1" w14:textId="77777777" w:rsidR="00A10B25" w:rsidRDefault="00A10B25">
      <w:pPr>
        <w:pStyle w:val="PL"/>
      </w:pPr>
      <w:r>
        <w:t xml:space="preserve">                  $ref: 'TS29571_CommonData.yaml#/components/responses/400'</w:t>
      </w:r>
    </w:p>
    <w:p w14:paraId="0DDE0D2A" w14:textId="77777777" w:rsidR="00A10B25" w:rsidRDefault="00A10B25">
      <w:pPr>
        <w:pStyle w:val="PL"/>
      </w:pPr>
      <w:r>
        <w:t xml:space="preserve">                '401':</w:t>
      </w:r>
    </w:p>
    <w:p w14:paraId="1AABB50A" w14:textId="77777777" w:rsidR="00A10B25" w:rsidRDefault="00A10B25">
      <w:pPr>
        <w:pStyle w:val="PL"/>
      </w:pPr>
      <w:r>
        <w:t xml:space="preserve">                  $ref: 'TS29571_CommonData.yaml#/components/responses/401'</w:t>
      </w:r>
    </w:p>
    <w:p w14:paraId="484CFDA0" w14:textId="77777777" w:rsidR="00A10B25" w:rsidRDefault="00A10B25">
      <w:pPr>
        <w:pStyle w:val="PL"/>
        <w:rPr>
          <w:rFonts w:eastAsia="等线"/>
        </w:rPr>
      </w:pPr>
      <w:r>
        <w:rPr>
          <w:rFonts w:eastAsia="等线"/>
        </w:rPr>
        <w:t xml:space="preserve">                '403':</w:t>
      </w:r>
    </w:p>
    <w:p w14:paraId="4CAAB76B" w14:textId="77777777" w:rsidR="00A10B25" w:rsidRDefault="00A10B25">
      <w:pPr>
        <w:pStyle w:val="PL"/>
        <w:rPr>
          <w:rFonts w:eastAsia="等线"/>
        </w:rPr>
      </w:pPr>
      <w:r>
        <w:rPr>
          <w:rFonts w:eastAsia="等线"/>
        </w:rPr>
        <w:t xml:space="preserve">                  $ref: 'TS29571_CommonData.yaml#/components/responses/403'</w:t>
      </w:r>
    </w:p>
    <w:p w14:paraId="4C4B6AF9" w14:textId="77777777" w:rsidR="00A10B25" w:rsidRDefault="00A10B25">
      <w:pPr>
        <w:pStyle w:val="PL"/>
      </w:pPr>
      <w:r>
        <w:t xml:space="preserve">                '404':</w:t>
      </w:r>
    </w:p>
    <w:p w14:paraId="0453A9E7" w14:textId="77777777" w:rsidR="00A10B25" w:rsidRDefault="00A10B25">
      <w:pPr>
        <w:pStyle w:val="PL"/>
      </w:pPr>
      <w:r>
        <w:t xml:space="preserve">                  $ref: 'TS29571_CommonData.yaml#/components/responses/404'</w:t>
      </w:r>
    </w:p>
    <w:p w14:paraId="18A9B56C" w14:textId="77777777" w:rsidR="00A10B25" w:rsidRDefault="00A10B25">
      <w:pPr>
        <w:pStyle w:val="PL"/>
      </w:pPr>
      <w:r>
        <w:t xml:space="preserve">                '411':</w:t>
      </w:r>
    </w:p>
    <w:p w14:paraId="41A1B40B" w14:textId="77777777" w:rsidR="00A10B25" w:rsidRDefault="00A10B25">
      <w:pPr>
        <w:pStyle w:val="PL"/>
      </w:pPr>
      <w:r>
        <w:t xml:space="preserve">                  $ref: 'TS29571_CommonData.yaml#/components/responses/411'</w:t>
      </w:r>
    </w:p>
    <w:p w14:paraId="7384F298" w14:textId="77777777" w:rsidR="00A10B25" w:rsidRDefault="00A10B25">
      <w:pPr>
        <w:pStyle w:val="PL"/>
      </w:pPr>
      <w:r>
        <w:t xml:space="preserve">                '413':</w:t>
      </w:r>
    </w:p>
    <w:p w14:paraId="4E5BA0F0" w14:textId="77777777" w:rsidR="00A10B25" w:rsidRDefault="00A10B25">
      <w:pPr>
        <w:pStyle w:val="PL"/>
      </w:pPr>
      <w:r>
        <w:t xml:space="preserve">                  $ref: 'TS29571_CommonData.yaml#/components/responses/413'</w:t>
      </w:r>
    </w:p>
    <w:p w14:paraId="2C39EA6F" w14:textId="77777777" w:rsidR="00A10B25" w:rsidRDefault="00A10B25">
      <w:pPr>
        <w:pStyle w:val="PL"/>
      </w:pPr>
      <w:r>
        <w:t xml:space="preserve">                '415':</w:t>
      </w:r>
    </w:p>
    <w:p w14:paraId="44E37698" w14:textId="77777777" w:rsidR="00A10B25" w:rsidRDefault="00A10B25">
      <w:pPr>
        <w:pStyle w:val="PL"/>
      </w:pPr>
      <w:r>
        <w:t xml:space="preserve">                  $ref: 'TS29571_CommonData.yaml#/components/responses/415'</w:t>
      </w:r>
    </w:p>
    <w:p w14:paraId="65498FFD" w14:textId="77777777" w:rsidR="00A10B25" w:rsidRDefault="00A10B25">
      <w:pPr>
        <w:pStyle w:val="PL"/>
        <w:rPr>
          <w:rFonts w:eastAsia="等线"/>
        </w:rPr>
      </w:pPr>
      <w:r>
        <w:rPr>
          <w:rFonts w:eastAsia="等线"/>
        </w:rPr>
        <w:t xml:space="preserve">                '429':</w:t>
      </w:r>
    </w:p>
    <w:p w14:paraId="5225D6E5" w14:textId="77777777" w:rsidR="00A10B25" w:rsidRDefault="00A10B25">
      <w:pPr>
        <w:pStyle w:val="PL"/>
        <w:rPr>
          <w:rFonts w:eastAsia="等线"/>
        </w:rPr>
      </w:pPr>
      <w:r>
        <w:rPr>
          <w:rFonts w:eastAsia="等线"/>
        </w:rPr>
        <w:t xml:space="preserve">                  $ref: 'TS29571_CommonData.yaml#/components/responses/429'</w:t>
      </w:r>
    </w:p>
    <w:p w14:paraId="10B1DDF2" w14:textId="77777777" w:rsidR="00A10B25" w:rsidRDefault="00A10B25">
      <w:pPr>
        <w:pStyle w:val="PL"/>
      </w:pPr>
      <w:r>
        <w:t xml:space="preserve">                '500':</w:t>
      </w:r>
    </w:p>
    <w:p w14:paraId="129C3CB9" w14:textId="77777777" w:rsidR="00A10B25" w:rsidRDefault="00A10B25">
      <w:pPr>
        <w:pStyle w:val="PL"/>
      </w:pPr>
      <w:r>
        <w:t xml:space="preserve">                  $ref: 'TS29571_CommonData.yaml#/components/responses/500'</w:t>
      </w:r>
    </w:p>
    <w:p w14:paraId="0ED23457" w14:textId="77777777" w:rsidR="00A10B25" w:rsidRDefault="00A10B25">
      <w:pPr>
        <w:pStyle w:val="PL"/>
      </w:pPr>
      <w:r>
        <w:t xml:space="preserve">                '502':</w:t>
      </w:r>
    </w:p>
    <w:p w14:paraId="312EAAC0" w14:textId="77777777" w:rsidR="00A10B25" w:rsidRDefault="00A10B25">
      <w:pPr>
        <w:pStyle w:val="PL"/>
      </w:pPr>
      <w:r>
        <w:t xml:space="preserve">                  $ref: 'TS29571_CommonData.yaml#/components/responses/502'</w:t>
      </w:r>
    </w:p>
    <w:p w14:paraId="6659439E" w14:textId="77777777" w:rsidR="00A10B25" w:rsidRDefault="00A10B25">
      <w:pPr>
        <w:pStyle w:val="PL"/>
      </w:pPr>
      <w:r>
        <w:t xml:space="preserve">                '503':</w:t>
      </w:r>
    </w:p>
    <w:p w14:paraId="0983E343" w14:textId="77777777" w:rsidR="00A10B25" w:rsidRDefault="00A10B25">
      <w:pPr>
        <w:pStyle w:val="PL"/>
      </w:pPr>
      <w:r>
        <w:t xml:space="preserve">                  $ref: 'TS29571_CommonData.yaml#/components/responses/503'</w:t>
      </w:r>
    </w:p>
    <w:p w14:paraId="23B2332B" w14:textId="77777777" w:rsidR="00A10B25" w:rsidRDefault="00A10B25">
      <w:pPr>
        <w:pStyle w:val="PL"/>
      </w:pPr>
      <w:r>
        <w:t xml:space="preserve">                default:</w:t>
      </w:r>
    </w:p>
    <w:p w14:paraId="0661CA72" w14:textId="77777777" w:rsidR="00A10B25" w:rsidRDefault="00A10B25">
      <w:pPr>
        <w:pStyle w:val="PL"/>
      </w:pPr>
      <w:r>
        <w:t xml:space="preserve">                  $ref: 'TS29571_CommonData.yaml#/components/responses/default'</w:t>
      </w:r>
    </w:p>
    <w:p w14:paraId="70A03860" w14:textId="77777777" w:rsidR="00A10B25" w:rsidRDefault="00A10B25">
      <w:pPr>
        <w:pStyle w:val="PL"/>
      </w:pPr>
    </w:p>
    <w:p w14:paraId="4D9FA739" w14:textId="77777777" w:rsidR="00A10B25" w:rsidRDefault="00A10B25">
      <w:pPr>
        <w:pStyle w:val="PL"/>
      </w:pPr>
      <w:r>
        <w:t xml:space="preserve">  /subscriptions/{subscriptionId}:</w:t>
      </w:r>
    </w:p>
    <w:p w14:paraId="00DF025D" w14:textId="77777777" w:rsidR="00A10B25" w:rsidRDefault="00A10B25">
      <w:pPr>
        <w:pStyle w:val="PL"/>
      </w:pPr>
      <w:r>
        <w:t xml:space="preserve">    put:</w:t>
      </w:r>
    </w:p>
    <w:p w14:paraId="066A564C" w14:textId="77777777" w:rsidR="00A10B25" w:rsidRDefault="00A10B25">
      <w:pPr>
        <w:pStyle w:val="PL"/>
      </w:pPr>
      <w:r>
        <w:t xml:space="preserve">      summary: Update an existing Individual NWDAF ML model monitoring Subscription resource</w:t>
      </w:r>
      <w:r>
        <w:rPr>
          <w:rFonts w:hint="eastAsia"/>
          <w:lang w:eastAsia="zh-CN"/>
        </w:rPr>
        <w:t>.</w:t>
      </w:r>
    </w:p>
    <w:p w14:paraId="387D510A" w14:textId="77777777" w:rsidR="00A10B25" w:rsidRDefault="00A10B25">
      <w:pPr>
        <w:pStyle w:val="PL"/>
      </w:pPr>
      <w:r>
        <w:t xml:space="preserve">      operationId: UpdateNWDAFMLModelMonitoringSubscription</w:t>
      </w:r>
    </w:p>
    <w:p w14:paraId="3A9AD125" w14:textId="77777777" w:rsidR="00A10B25" w:rsidRDefault="00A10B25">
      <w:pPr>
        <w:pStyle w:val="PL"/>
      </w:pPr>
      <w:r>
        <w:t xml:space="preserve">      tags:</w:t>
      </w:r>
    </w:p>
    <w:p w14:paraId="6056513B" w14:textId="77777777" w:rsidR="00A10B25" w:rsidRDefault="00A10B25">
      <w:pPr>
        <w:pStyle w:val="PL"/>
      </w:pPr>
      <w:r>
        <w:t xml:space="preserve">        - Individual NWDAF ML model monitoring Subscription resource (Document)</w:t>
      </w:r>
    </w:p>
    <w:p w14:paraId="6A7727A3" w14:textId="77777777" w:rsidR="00A10B25" w:rsidRDefault="00A10B25">
      <w:pPr>
        <w:pStyle w:val="PL"/>
      </w:pPr>
      <w:r>
        <w:t xml:space="preserve">      requestBody:</w:t>
      </w:r>
    </w:p>
    <w:p w14:paraId="783884EF" w14:textId="77777777" w:rsidR="00A10B25" w:rsidRDefault="00A10B25">
      <w:pPr>
        <w:pStyle w:val="PL"/>
      </w:pPr>
      <w:r>
        <w:t xml:space="preserve">        required: true</w:t>
      </w:r>
    </w:p>
    <w:p w14:paraId="2B50B42B" w14:textId="77777777" w:rsidR="00A10B25" w:rsidRDefault="00A10B25">
      <w:pPr>
        <w:pStyle w:val="PL"/>
      </w:pPr>
      <w:r>
        <w:t xml:space="preserve">        content:</w:t>
      </w:r>
    </w:p>
    <w:p w14:paraId="521CAC76" w14:textId="77777777" w:rsidR="00A10B25" w:rsidRDefault="00A10B25">
      <w:pPr>
        <w:pStyle w:val="PL"/>
      </w:pPr>
      <w:r>
        <w:t xml:space="preserve">          application/json:</w:t>
      </w:r>
    </w:p>
    <w:p w14:paraId="311118B7" w14:textId="77777777" w:rsidR="00A10B25" w:rsidRDefault="00A10B25">
      <w:pPr>
        <w:pStyle w:val="PL"/>
      </w:pPr>
      <w:r>
        <w:t xml:space="preserve">            schema:</w:t>
      </w:r>
    </w:p>
    <w:p w14:paraId="77EDE2E5" w14:textId="77777777" w:rsidR="00A10B25" w:rsidRDefault="00A10B25">
      <w:pPr>
        <w:pStyle w:val="PL"/>
      </w:pPr>
      <w:r>
        <w:t xml:space="preserve">              $ref: '#/components/schemas/</w:t>
      </w:r>
      <w:r>
        <w:rPr>
          <w:rFonts w:eastAsia="等线"/>
        </w:rPr>
        <w:t>MLModelMonitor</w:t>
      </w:r>
      <w:r>
        <w:rPr>
          <w:rFonts w:eastAsia="等线" w:hint="eastAsia"/>
          <w:lang w:eastAsia="zh-CN"/>
        </w:rPr>
        <w:t>Sub</w:t>
      </w:r>
      <w:r>
        <w:t>'</w:t>
      </w:r>
    </w:p>
    <w:p w14:paraId="7C2650CA" w14:textId="77777777" w:rsidR="00A10B25" w:rsidRDefault="00A10B25">
      <w:pPr>
        <w:pStyle w:val="PL"/>
      </w:pPr>
      <w:r>
        <w:t xml:space="preserve">      parameters:</w:t>
      </w:r>
    </w:p>
    <w:p w14:paraId="64F66146" w14:textId="77777777" w:rsidR="00A10B25" w:rsidRDefault="00A10B25">
      <w:pPr>
        <w:pStyle w:val="PL"/>
      </w:pPr>
      <w:r>
        <w:t xml:space="preserve">        - name: subscriptionId</w:t>
      </w:r>
    </w:p>
    <w:p w14:paraId="5AFE9910" w14:textId="77777777" w:rsidR="00A10B25" w:rsidRDefault="00A10B25">
      <w:pPr>
        <w:pStyle w:val="PL"/>
      </w:pPr>
      <w:r>
        <w:t xml:space="preserve">          in: path</w:t>
      </w:r>
    </w:p>
    <w:p w14:paraId="7442E475" w14:textId="77777777" w:rsidR="00A10B25" w:rsidRDefault="00A10B25">
      <w:pPr>
        <w:pStyle w:val="PL"/>
      </w:pPr>
      <w:r>
        <w:t xml:space="preserve">          description: String identifying a subscription to the </w:t>
      </w:r>
      <w:r>
        <w:rPr>
          <w:lang w:val="en-US" w:eastAsia="zh-CN"/>
        </w:rPr>
        <w:t>Nnwdaf_MLModelMonitor</w:t>
      </w:r>
      <w:r>
        <w:t xml:space="preserve"> Service.</w:t>
      </w:r>
    </w:p>
    <w:p w14:paraId="4543610D" w14:textId="77777777" w:rsidR="00A10B25" w:rsidRDefault="00A10B25">
      <w:pPr>
        <w:pStyle w:val="PL"/>
      </w:pPr>
      <w:r>
        <w:t xml:space="preserve">          required: true</w:t>
      </w:r>
    </w:p>
    <w:p w14:paraId="44EF1600" w14:textId="77777777" w:rsidR="00A10B25" w:rsidRDefault="00A10B25">
      <w:pPr>
        <w:pStyle w:val="PL"/>
      </w:pPr>
      <w:r>
        <w:t xml:space="preserve">          schema:</w:t>
      </w:r>
    </w:p>
    <w:p w14:paraId="232BD585" w14:textId="77777777" w:rsidR="00A10B25" w:rsidRDefault="00A10B25">
      <w:pPr>
        <w:pStyle w:val="PL"/>
      </w:pPr>
      <w:r>
        <w:t xml:space="preserve">            type: string</w:t>
      </w:r>
    </w:p>
    <w:p w14:paraId="63AB08C9" w14:textId="77777777" w:rsidR="00A10B25" w:rsidRDefault="00A10B25">
      <w:pPr>
        <w:pStyle w:val="PL"/>
      </w:pPr>
      <w:r>
        <w:t xml:space="preserve">      responses:</w:t>
      </w:r>
    </w:p>
    <w:p w14:paraId="337CED13" w14:textId="77777777" w:rsidR="00A10B25" w:rsidRDefault="00A10B25">
      <w:pPr>
        <w:pStyle w:val="PL"/>
      </w:pPr>
      <w:r>
        <w:t xml:space="preserve">        '200':</w:t>
      </w:r>
    </w:p>
    <w:p w14:paraId="5A9FB483" w14:textId="77777777" w:rsidR="00A10B25" w:rsidRDefault="00A10B25">
      <w:pPr>
        <w:pStyle w:val="PL"/>
      </w:pPr>
      <w:r>
        <w:t xml:space="preserve">          description: &gt;</w:t>
      </w:r>
    </w:p>
    <w:p w14:paraId="3BDCF1C9" w14:textId="77777777" w:rsidR="00A10B25" w:rsidRDefault="00A10B25">
      <w:pPr>
        <w:pStyle w:val="PL"/>
      </w:pPr>
      <w:r>
        <w:t xml:space="preserve">            The Individual NWDAF ML model monitoring Subscription resource was modified successfully</w:t>
      </w:r>
    </w:p>
    <w:p w14:paraId="263490F3" w14:textId="77777777" w:rsidR="00A10B25" w:rsidRDefault="00A10B25">
      <w:pPr>
        <w:pStyle w:val="PL"/>
      </w:pPr>
      <w:r>
        <w:t xml:space="preserve">            and a representation of that resource is returned.</w:t>
      </w:r>
    </w:p>
    <w:p w14:paraId="49A98774" w14:textId="77777777" w:rsidR="00A10B25" w:rsidRDefault="00A10B25">
      <w:pPr>
        <w:pStyle w:val="PL"/>
      </w:pPr>
      <w:r>
        <w:t xml:space="preserve">          content:</w:t>
      </w:r>
    </w:p>
    <w:p w14:paraId="07BE4A6E" w14:textId="77777777" w:rsidR="00A10B25" w:rsidRDefault="00A10B25">
      <w:pPr>
        <w:pStyle w:val="PL"/>
      </w:pPr>
      <w:r>
        <w:t xml:space="preserve">            application/json:</w:t>
      </w:r>
    </w:p>
    <w:p w14:paraId="2A3A16E8" w14:textId="77777777" w:rsidR="00A10B25" w:rsidRDefault="00A10B25">
      <w:pPr>
        <w:pStyle w:val="PL"/>
      </w:pPr>
      <w:r>
        <w:t xml:space="preserve">              schema:</w:t>
      </w:r>
    </w:p>
    <w:p w14:paraId="118D9DEC" w14:textId="77777777" w:rsidR="00A10B25" w:rsidRDefault="00A10B25">
      <w:pPr>
        <w:pStyle w:val="PL"/>
      </w:pPr>
      <w:r>
        <w:t xml:space="preserve">                $ref: '#/components/schemas/</w:t>
      </w:r>
      <w:r>
        <w:rPr>
          <w:rFonts w:eastAsia="等线"/>
        </w:rPr>
        <w:t>MLModelMonitor</w:t>
      </w:r>
      <w:r>
        <w:rPr>
          <w:rFonts w:eastAsia="等线" w:hint="eastAsia"/>
          <w:lang w:eastAsia="zh-CN"/>
        </w:rPr>
        <w:t>Sub</w:t>
      </w:r>
      <w:r>
        <w:t>'</w:t>
      </w:r>
    </w:p>
    <w:p w14:paraId="00F01FD5" w14:textId="77777777" w:rsidR="00A10B25" w:rsidRDefault="00A10B25">
      <w:pPr>
        <w:pStyle w:val="PL"/>
      </w:pPr>
      <w:r>
        <w:t xml:space="preserve">        '204':</w:t>
      </w:r>
    </w:p>
    <w:p w14:paraId="1701F198" w14:textId="77777777" w:rsidR="00A10B25" w:rsidRDefault="00A10B25">
      <w:pPr>
        <w:pStyle w:val="PL"/>
      </w:pPr>
      <w:r>
        <w:t xml:space="preserve">          description: &gt;</w:t>
      </w:r>
    </w:p>
    <w:p w14:paraId="409E0513" w14:textId="77777777" w:rsidR="00A10B25" w:rsidRDefault="00A10B25">
      <w:pPr>
        <w:pStyle w:val="PL"/>
      </w:pPr>
      <w:r>
        <w:t xml:space="preserve">            The Individual NWDAF ML model monitoring Subscription resource was modified</w:t>
      </w:r>
    </w:p>
    <w:p w14:paraId="0935795E" w14:textId="77777777" w:rsidR="00A10B25" w:rsidRDefault="00A10B25">
      <w:pPr>
        <w:pStyle w:val="PL"/>
      </w:pPr>
      <w:r>
        <w:t xml:space="preserve">            successfully.</w:t>
      </w:r>
    </w:p>
    <w:p w14:paraId="637DC3A4" w14:textId="77777777" w:rsidR="00A10B25" w:rsidRDefault="00A10B25">
      <w:pPr>
        <w:pStyle w:val="PL"/>
      </w:pPr>
      <w:r>
        <w:t xml:space="preserve">        '307':</w:t>
      </w:r>
    </w:p>
    <w:p w14:paraId="6AC76921" w14:textId="77777777" w:rsidR="00A10B25" w:rsidRDefault="00A10B25">
      <w:pPr>
        <w:pStyle w:val="PL"/>
      </w:pPr>
      <w:r>
        <w:t xml:space="preserve">          $ref: 'TS29571_CommonData.yaml#/components/responses/307'</w:t>
      </w:r>
    </w:p>
    <w:p w14:paraId="7F190F2B" w14:textId="77777777" w:rsidR="00A10B25" w:rsidRDefault="00A10B25">
      <w:pPr>
        <w:pStyle w:val="PL"/>
      </w:pPr>
      <w:r>
        <w:t xml:space="preserve">        '308':</w:t>
      </w:r>
    </w:p>
    <w:p w14:paraId="7F67F24F" w14:textId="77777777" w:rsidR="00A10B25" w:rsidRDefault="00A10B25">
      <w:pPr>
        <w:pStyle w:val="PL"/>
      </w:pPr>
      <w:r>
        <w:t xml:space="preserve">          $ref: 'TS29571_CommonData.yaml#/components/responses/308'</w:t>
      </w:r>
    </w:p>
    <w:p w14:paraId="51C7AD1F" w14:textId="77777777" w:rsidR="00A10B25" w:rsidRDefault="00A10B25">
      <w:pPr>
        <w:pStyle w:val="PL"/>
      </w:pPr>
      <w:r>
        <w:t xml:space="preserve">        '400':</w:t>
      </w:r>
    </w:p>
    <w:p w14:paraId="744951CE" w14:textId="77777777" w:rsidR="00A10B25" w:rsidRDefault="00A10B25">
      <w:pPr>
        <w:pStyle w:val="PL"/>
      </w:pPr>
      <w:r>
        <w:t xml:space="preserve">          $ref: 'TS29571_CommonData.yaml#/components/responses/400'</w:t>
      </w:r>
    </w:p>
    <w:p w14:paraId="3BD439FB" w14:textId="77777777" w:rsidR="00A10B25" w:rsidRDefault="00A10B25">
      <w:pPr>
        <w:pStyle w:val="PL"/>
      </w:pPr>
      <w:r>
        <w:t xml:space="preserve">        '401':</w:t>
      </w:r>
    </w:p>
    <w:p w14:paraId="57C12C9F" w14:textId="77777777" w:rsidR="00A10B25" w:rsidRDefault="00A10B25">
      <w:pPr>
        <w:pStyle w:val="PL"/>
      </w:pPr>
      <w:r>
        <w:t xml:space="preserve">          $ref: 'TS29571_CommonData.yaml#/components/responses/401'</w:t>
      </w:r>
    </w:p>
    <w:p w14:paraId="28D9B2D2" w14:textId="77777777" w:rsidR="00A10B25" w:rsidRDefault="00A10B25">
      <w:pPr>
        <w:pStyle w:val="PL"/>
        <w:rPr>
          <w:rFonts w:eastAsia="等线"/>
        </w:rPr>
      </w:pPr>
      <w:r>
        <w:rPr>
          <w:rFonts w:eastAsia="等线"/>
        </w:rPr>
        <w:t xml:space="preserve">        '403':</w:t>
      </w:r>
    </w:p>
    <w:p w14:paraId="42ADDAB6" w14:textId="77777777" w:rsidR="00A10B25" w:rsidRDefault="00A10B25">
      <w:pPr>
        <w:pStyle w:val="PL"/>
        <w:rPr>
          <w:rFonts w:eastAsia="等线"/>
        </w:rPr>
      </w:pPr>
      <w:r>
        <w:rPr>
          <w:rFonts w:eastAsia="等线"/>
        </w:rPr>
        <w:t xml:space="preserve">          $ref: 'TS29571_CommonData.yaml#/components/responses/403'</w:t>
      </w:r>
    </w:p>
    <w:p w14:paraId="22AC4957" w14:textId="77777777" w:rsidR="00A10B25" w:rsidRDefault="00A10B25">
      <w:pPr>
        <w:pStyle w:val="PL"/>
      </w:pPr>
      <w:r>
        <w:t xml:space="preserve">        '404':</w:t>
      </w:r>
    </w:p>
    <w:p w14:paraId="4686648C" w14:textId="77777777" w:rsidR="00A10B25" w:rsidRDefault="00A10B25">
      <w:pPr>
        <w:pStyle w:val="PL"/>
      </w:pPr>
      <w:r>
        <w:t xml:space="preserve">          $ref: 'TS29571_CommonData.yaml#/components/responses/404'</w:t>
      </w:r>
    </w:p>
    <w:p w14:paraId="2CCC35D0" w14:textId="77777777" w:rsidR="00A10B25" w:rsidRDefault="00A10B25">
      <w:pPr>
        <w:pStyle w:val="PL"/>
      </w:pPr>
      <w:r>
        <w:t xml:space="preserve">        '411':</w:t>
      </w:r>
    </w:p>
    <w:p w14:paraId="31393612" w14:textId="77777777" w:rsidR="00A10B25" w:rsidRDefault="00A10B25">
      <w:pPr>
        <w:pStyle w:val="PL"/>
      </w:pPr>
      <w:r>
        <w:lastRenderedPageBreak/>
        <w:t xml:space="preserve">          $ref: 'TS29571_CommonData.yaml#/components/responses/411'</w:t>
      </w:r>
    </w:p>
    <w:p w14:paraId="7ADC0B48" w14:textId="77777777" w:rsidR="00A10B25" w:rsidRDefault="00A10B25">
      <w:pPr>
        <w:pStyle w:val="PL"/>
      </w:pPr>
      <w:r>
        <w:t xml:space="preserve">        '413':</w:t>
      </w:r>
    </w:p>
    <w:p w14:paraId="66A9B294" w14:textId="77777777" w:rsidR="00A10B25" w:rsidRDefault="00A10B25">
      <w:pPr>
        <w:pStyle w:val="PL"/>
      </w:pPr>
      <w:r>
        <w:t xml:space="preserve">          $ref: 'TS29571_CommonData.yaml#/components/responses/413'</w:t>
      </w:r>
    </w:p>
    <w:p w14:paraId="1734C77D" w14:textId="77777777" w:rsidR="00A10B25" w:rsidRDefault="00A10B25">
      <w:pPr>
        <w:pStyle w:val="PL"/>
      </w:pPr>
      <w:r>
        <w:t xml:space="preserve">        '415':</w:t>
      </w:r>
    </w:p>
    <w:p w14:paraId="5ED5B337" w14:textId="77777777" w:rsidR="00A10B25" w:rsidRDefault="00A10B25">
      <w:pPr>
        <w:pStyle w:val="PL"/>
      </w:pPr>
      <w:r>
        <w:t xml:space="preserve">          $ref: 'TS29571_CommonData.yaml#/components/responses/415'</w:t>
      </w:r>
    </w:p>
    <w:p w14:paraId="474936A6" w14:textId="77777777" w:rsidR="00A10B25" w:rsidRDefault="00A10B25">
      <w:pPr>
        <w:pStyle w:val="PL"/>
        <w:rPr>
          <w:rFonts w:eastAsia="等线"/>
        </w:rPr>
      </w:pPr>
      <w:r>
        <w:rPr>
          <w:rFonts w:eastAsia="等线"/>
        </w:rPr>
        <w:t xml:space="preserve">        '429':</w:t>
      </w:r>
    </w:p>
    <w:p w14:paraId="5EC246D5" w14:textId="77777777" w:rsidR="00A10B25" w:rsidRDefault="00A10B25">
      <w:pPr>
        <w:pStyle w:val="PL"/>
        <w:rPr>
          <w:rFonts w:eastAsia="等线"/>
        </w:rPr>
      </w:pPr>
      <w:r>
        <w:rPr>
          <w:rFonts w:eastAsia="等线"/>
        </w:rPr>
        <w:t xml:space="preserve">          $ref: 'TS29571_CommonData.yaml#/components/responses/429'</w:t>
      </w:r>
    </w:p>
    <w:p w14:paraId="5E2452FC" w14:textId="77777777" w:rsidR="00A10B25" w:rsidRDefault="00A10B25">
      <w:pPr>
        <w:pStyle w:val="PL"/>
      </w:pPr>
      <w:r>
        <w:t xml:space="preserve">        '500':</w:t>
      </w:r>
    </w:p>
    <w:p w14:paraId="3290862F" w14:textId="77777777" w:rsidR="00A10B25" w:rsidRDefault="00A10B25">
      <w:pPr>
        <w:pStyle w:val="PL"/>
      </w:pPr>
      <w:r>
        <w:t xml:space="preserve">          $ref: 'TS29571_CommonData.yaml#/components/responses/500'</w:t>
      </w:r>
    </w:p>
    <w:p w14:paraId="6D787D7B" w14:textId="77777777" w:rsidR="00A10B25" w:rsidRDefault="00A10B25">
      <w:pPr>
        <w:pStyle w:val="PL"/>
      </w:pPr>
      <w:r>
        <w:t xml:space="preserve">        '501':</w:t>
      </w:r>
    </w:p>
    <w:p w14:paraId="4272D1AB" w14:textId="77777777" w:rsidR="00A10B25" w:rsidRDefault="00A10B25">
      <w:pPr>
        <w:pStyle w:val="PL"/>
      </w:pPr>
      <w:r>
        <w:t xml:space="preserve">          $ref: 'TS29571_CommonData.yaml#/components/responses/501'</w:t>
      </w:r>
    </w:p>
    <w:p w14:paraId="49E25BDF" w14:textId="77777777" w:rsidR="00A10B25" w:rsidRDefault="00A10B25">
      <w:pPr>
        <w:pStyle w:val="PL"/>
      </w:pPr>
      <w:r>
        <w:t xml:space="preserve">        '502':</w:t>
      </w:r>
    </w:p>
    <w:p w14:paraId="0BEB502F" w14:textId="77777777" w:rsidR="00A10B25" w:rsidRDefault="00A10B25">
      <w:pPr>
        <w:pStyle w:val="PL"/>
      </w:pPr>
      <w:r>
        <w:t xml:space="preserve">          $ref: 'TS29571_CommonData.yaml#/components/responses/502'</w:t>
      </w:r>
    </w:p>
    <w:p w14:paraId="5D6FCA34" w14:textId="77777777" w:rsidR="00A10B25" w:rsidRDefault="00A10B25">
      <w:pPr>
        <w:pStyle w:val="PL"/>
      </w:pPr>
      <w:r>
        <w:t xml:space="preserve">        '503':</w:t>
      </w:r>
    </w:p>
    <w:p w14:paraId="24AD1066" w14:textId="77777777" w:rsidR="00A10B25" w:rsidRDefault="00A10B25">
      <w:pPr>
        <w:pStyle w:val="PL"/>
      </w:pPr>
      <w:r>
        <w:t xml:space="preserve">          $ref: 'TS29571_CommonData.yaml#/components/responses/503'</w:t>
      </w:r>
    </w:p>
    <w:p w14:paraId="1E5AD4ED" w14:textId="77777777" w:rsidR="00A10B25" w:rsidRDefault="00A10B25">
      <w:pPr>
        <w:pStyle w:val="PL"/>
      </w:pPr>
      <w:r>
        <w:t xml:space="preserve">        default:</w:t>
      </w:r>
    </w:p>
    <w:p w14:paraId="1DA74099" w14:textId="77777777" w:rsidR="00A10B25" w:rsidRDefault="00A10B25">
      <w:pPr>
        <w:pStyle w:val="PL"/>
      </w:pPr>
      <w:r>
        <w:t xml:space="preserve">          $ref: 'TS29571_CommonData.yaml#/components/responses/default'</w:t>
      </w:r>
    </w:p>
    <w:p w14:paraId="3465DF69" w14:textId="77777777" w:rsidR="00A10B25" w:rsidRDefault="00A10B25">
      <w:pPr>
        <w:pStyle w:val="PL"/>
      </w:pPr>
      <w:r>
        <w:t xml:space="preserve">    delete:</w:t>
      </w:r>
    </w:p>
    <w:p w14:paraId="433890F7" w14:textId="77777777" w:rsidR="00A10B25" w:rsidRDefault="00A10B25">
      <w:pPr>
        <w:pStyle w:val="PL"/>
      </w:pPr>
      <w:r>
        <w:t xml:space="preserve">      summary: Delete an existing Individual NWDAF ML model monitoring Subscription</w:t>
      </w:r>
      <w:r>
        <w:rPr>
          <w:rFonts w:hint="eastAsia"/>
          <w:lang w:eastAsia="zh-CN"/>
        </w:rPr>
        <w:t>.</w:t>
      </w:r>
    </w:p>
    <w:p w14:paraId="6C1E3B0E" w14:textId="77777777" w:rsidR="00A10B25" w:rsidRDefault="00A10B25">
      <w:pPr>
        <w:pStyle w:val="PL"/>
      </w:pPr>
      <w:r>
        <w:t xml:space="preserve">      operationId: DeleteNWDAFMLModelMonitoringSubscription</w:t>
      </w:r>
    </w:p>
    <w:p w14:paraId="5ECC746E" w14:textId="77777777" w:rsidR="00A10B25" w:rsidRDefault="00A10B25">
      <w:pPr>
        <w:pStyle w:val="PL"/>
      </w:pPr>
      <w:r>
        <w:t xml:space="preserve">      tags:</w:t>
      </w:r>
    </w:p>
    <w:p w14:paraId="649B92F9" w14:textId="77777777" w:rsidR="00A10B25" w:rsidRDefault="00A10B25">
      <w:pPr>
        <w:pStyle w:val="PL"/>
      </w:pPr>
      <w:r>
        <w:t xml:space="preserve">        - Individual NWDAF ML model monitoring Subscription (Document)</w:t>
      </w:r>
    </w:p>
    <w:p w14:paraId="3F6253B1" w14:textId="77777777" w:rsidR="00A10B25" w:rsidRDefault="00A10B25">
      <w:pPr>
        <w:pStyle w:val="PL"/>
      </w:pPr>
      <w:r>
        <w:t xml:space="preserve">      parameters:</w:t>
      </w:r>
    </w:p>
    <w:p w14:paraId="3A318318" w14:textId="77777777" w:rsidR="00A10B25" w:rsidRDefault="00A10B25">
      <w:pPr>
        <w:pStyle w:val="PL"/>
      </w:pPr>
      <w:r>
        <w:t xml:space="preserve">        - name: subscriptionId</w:t>
      </w:r>
    </w:p>
    <w:p w14:paraId="187F08BC" w14:textId="77777777" w:rsidR="00A10B25" w:rsidRDefault="00A10B25">
      <w:pPr>
        <w:pStyle w:val="PL"/>
      </w:pPr>
      <w:r>
        <w:t xml:space="preserve">          in: path</w:t>
      </w:r>
    </w:p>
    <w:p w14:paraId="5C7EE60B" w14:textId="77777777" w:rsidR="00A10B25" w:rsidRDefault="00A10B25">
      <w:pPr>
        <w:pStyle w:val="PL"/>
      </w:pPr>
      <w:r>
        <w:t xml:space="preserve">          description: String identifying a subscription to the </w:t>
      </w:r>
      <w:r>
        <w:rPr>
          <w:lang w:val="en-US" w:eastAsia="zh-CN"/>
        </w:rPr>
        <w:t>Nnwdaf_MLModelMonitor</w:t>
      </w:r>
      <w:r>
        <w:t xml:space="preserve"> Service</w:t>
      </w:r>
    </w:p>
    <w:p w14:paraId="0B4C145B" w14:textId="77777777" w:rsidR="00A10B25" w:rsidRDefault="00A10B25">
      <w:pPr>
        <w:pStyle w:val="PL"/>
      </w:pPr>
      <w:r>
        <w:t xml:space="preserve">          required: true</w:t>
      </w:r>
    </w:p>
    <w:p w14:paraId="00B5B12B" w14:textId="77777777" w:rsidR="00A10B25" w:rsidRDefault="00A10B25">
      <w:pPr>
        <w:pStyle w:val="PL"/>
      </w:pPr>
      <w:r>
        <w:t xml:space="preserve">          schema:</w:t>
      </w:r>
    </w:p>
    <w:p w14:paraId="555A6462" w14:textId="77777777" w:rsidR="00A10B25" w:rsidRDefault="00A10B25">
      <w:pPr>
        <w:pStyle w:val="PL"/>
      </w:pPr>
      <w:r>
        <w:t xml:space="preserve">            type: string</w:t>
      </w:r>
    </w:p>
    <w:p w14:paraId="07C9F26D" w14:textId="77777777" w:rsidR="00A10B25" w:rsidRDefault="00A10B25">
      <w:pPr>
        <w:pStyle w:val="PL"/>
      </w:pPr>
      <w:r>
        <w:t xml:space="preserve">      responses:</w:t>
      </w:r>
    </w:p>
    <w:p w14:paraId="6965F0F9" w14:textId="77777777" w:rsidR="00A10B25" w:rsidRDefault="00A10B25">
      <w:pPr>
        <w:pStyle w:val="PL"/>
      </w:pPr>
      <w:r>
        <w:t xml:space="preserve">        '204':</w:t>
      </w:r>
    </w:p>
    <w:p w14:paraId="06DA7533" w14:textId="77777777" w:rsidR="00A10B25" w:rsidRDefault="00A10B25">
      <w:pPr>
        <w:pStyle w:val="PL"/>
      </w:pPr>
      <w:r>
        <w:t xml:space="preserve">          description: &gt;</w:t>
      </w:r>
    </w:p>
    <w:p w14:paraId="05CED8DB" w14:textId="77777777" w:rsidR="00A10B25" w:rsidRDefault="00A10B25">
      <w:pPr>
        <w:pStyle w:val="PL"/>
      </w:pPr>
      <w:r>
        <w:t xml:space="preserve">            No Content. The Individual NWDAF ML model monitoring Subscription resource matching the</w:t>
      </w:r>
    </w:p>
    <w:p w14:paraId="6B620D4B" w14:textId="77777777" w:rsidR="00A10B25" w:rsidRDefault="00A10B25">
      <w:pPr>
        <w:pStyle w:val="PL"/>
      </w:pPr>
      <w:r>
        <w:t xml:space="preserve">            subscriptionId was deleted.</w:t>
      </w:r>
    </w:p>
    <w:p w14:paraId="2BA4D7E1" w14:textId="77777777" w:rsidR="00A10B25" w:rsidRDefault="00A10B25">
      <w:pPr>
        <w:pStyle w:val="PL"/>
      </w:pPr>
      <w:r>
        <w:t xml:space="preserve">        '307':</w:t>
      </w:r>
    </w:p>
    <w:p w14:paraId="6DFAA049" w14:textId="77777777" w:rsidR="00A10B25" w:rsidRDefault="00A10B25">
      <w:pPr>
        <w:pStyle w:val="PL"/>
      </w:pPr>
      <w:r>
        <w:t xml:space="preserve">          $ref: 'TS29571_CommonData.yaml#/components/responses/307'</w:t>
      </w:r>
    </w:p>
    <w:p w14:paraId="42E410A6" w14:textId="77777777" w:rsidR="00A10B25" w:rsidRDefault="00A10B25">
      <w:pPr>
        <w:pStyle w:val="PL"/>
      </w:pPr>
      <w:r>
        <w:t xml:space="preserve">        '308':</w:t>
      </w:r>
    </w:p>
    <w:p w14:paraId="425F7B29" w14:textId="77777777" w:rsidR="00A10B25" w:rsidRDefault="00A10B25">
      <w:pPr>
        <w:pStyle w:val="PL"/>
      </w:pPr>
      <w:r>
        <w:t xml:space="preserve">          $ref: 'TS29571_CommonData.yaml#/components/responses/308'</w:t>
      </w:r>
    </w:p>
    <w:p w14:paraId="640498FA" w14:textId="77777777" w:rsidR="00A10B25" w:rsidRDefault="00A10B25">
      <w:pPr>
        <w:pStyle w:val="PL"/>
      </w:pPr>
      <w:r>
        <w:t xml:space="preserve">        '400':</w:t>
      </w:r>
    </w:p>
    <w:p w14:paraId="1F6D9ACB" w14:textId="77777777" w:rsidR="00A10B25" w:rsidRDefault="00A10B25">
      <w:pPr>
        <w:pStyle w:val="PL"/>
      </w:pPr>
      <w:r>
        <w:t xml:space="preserve">          $ref: 'TS29571_CommonData.yaml#/components/responses/400'</w:t>
      </w:r>
    </w:p>
    <w:p w14:paraId="4AD82DC5" w14:textId="77777777" w:rsidR="00A10B25" w:rsidRDefault="00A10B25">
      <w:pPr>
        <w:pStyle w:val="PL"/>
      </w:pPr>
      <w:r>
        <w:t xml:space="preserve">        '401':</w:t>
      </w:r>
    </w:p>
    <w:p w14:paraId="6260B81B" w14:textId="77777777" w:rsidR="00A10B25" w:rsidRDefault="00A10B25">
      <w:pPr>
        <w:pStyle w:val="PL"/>
      </w:pPr>
      <w:r>
        <w:t xml:space="preserve">          $ref: 'TS29571_CommonData.yaml#/components/responses/401'</w:t>
      </w:r>
    </w:p>
    <w:p w14:paraId="3383BFF9" w14:textId="77777777" w:rsidR="00A10B25" w:rsidRDefault="00A10B25">
      <w:pPr>
        <w:pStyle w:val="PL"/>
        <w:rPr>
          <w:rFonts w:eastAsia="等线"/>
        </w:rPr>
      </w:pPr>
      <w:r>
        <w:rPr>
          <w:rFonts w:eastAsia="等线"/>
        </w:rPr>
        <w:t xml:space="preserve">        '403':</w:t>
      </w:r>
    </w:p>
    <w:p w14:paraId="606876F7" w14:textId="77777777" w:rsidR="00A10B25" w:rsidRDefault="00A10B25">
      <w:pPr>
        <w:pStyle w:val="PL"/>
        <w:rPr>
          <w:rFonts w:eastAsia="等线"/>
        </w:rPr>
      </w:pPr>
      <w:r>
        <w:rPr>
          <w:rFonts w:eastAsia="等线"/>
        </w:rPr>
        <w:t xml:space="preserve">          $ref: 'TS29571_CommonData.yaml#/components/responses/403'</w:t>
      </w:r>
    </w:p>
    <w:p w14:paraId="22A8D4D3" w14:textId="77777777" w:rsidR="00A10B25" w:rsidRDefault="00A10B25">
      <w:pPr>
        <w:pStyle w:val="PL"/>
      </w:pPr>
      <w:r>
        <w:t xml:space="preserve">        '404':</w:t>
      </w:r>
    </w:p>
    <w:p w14:paraId="41F95621" w14:textId="77777777" w:rsidR="00A10B25" w:rsidRDefault="00A10B25">
      <w:pPr>
        <w:pStyle w:val="PL"/>
        <w:rPr>
          <w:rFonts w:eastAsia="等线"/>
        </w:rPr>
      </w:pPr>
      <w:r>
        <w:rPr>
          <w:rFonts w:eastAsia="等线"/>
        </w:rPr>
        <w:t xml:space="preserve">          $ref: 'TS29571_CommonData.yaml#/components/responses/404'</w:t>
      </w:r>
    </w:p>
    <w:p w14:paraId="156A01AA" w14:textId="77777777" w:rsidR="00A10B25" w:rsidRDefault="00A10B25">
      <w:pPr>
        <w:pStyle w:val="PL"/>
        <w:rPr>
          <w:rFonts w:eastAsia="等线"/>
        </w:rPr>
      </w:pPr>
      <w:r>
        <w:rPr>
          <w:rFonts w:eastAsia="等线"/>
        </w:rPr>
        <w:t xml:space="preserve">        '429':</w:t>
      </w:r>
    </w:p>
    <w:p w14:paraId="1ECE89C9" w14:textId="77777777" w:rsidR="00A10B25" w:rsidRDefault="00A10B25">
      <w:pPr>
        <w:pStyle w:val="PL"/>
        <w:rPr>
          <w:rFonts w:eastAsia="等线"/>
        </w:rPr>
      </w:pPr>
      <w:r>
        <w:rPr>
          <w:rFonts w:eastAsia="等线"/>
        </w:rPr>
        <w:t xml:space="preserve">          $ref: 'TS29571_CommonData.yaml#/components/responses/429'</w:t>
      </w:r>
    </w:p>
    <w:p w14:paraId="7488B23E" w14:textId="77777777" w:rsidR="00A10B25" w:rsidRDefault="00A10B25">
      <w:pPr>
        <w:pStyle w:val="PL"/>
      </w:pPr>
      <w:r>
        <w:t xml:space="preserve">        '500':</w:t>
      </w:r>
    </w:p>
    <w:p w14:paraId="3B2AE6A4" w14:textId="77777777" w:rsidR="00A10B25" w:rsidRDefault="00A10B25">
      <w:pPr>
        <w:pStyle w:val="PL"/>
      </w:pPr>
      <w:r>
        <w:t xml:space="preserve">          $ref: 'TS29571_CommonData.yaml#/components/responses/500'</w:t>
      </w:r>
    </w:p>
    <w:p w14:paraId="77DEEDA1" w14:textId="77777777" w:rsidR="00A10B25" w:rsidRDefault="00A10B25">
      <w:pPr>
        <w:pStyle w:val="PL"/>
      </w:pPr>
      <w:r>
        <w:t xml:space="preserve">        '501':</w:t>
      </w:r>
    </w:p>
    <w:p w14:paraId="3E4F2157" w14:textId="77777777" w:rsidR="00A10B25" w:rsidRDefault="00A10B25">
      <w:pPr>
        <w:pStyle w:val="PL"/>
      </w:pPr>
      <w:r>
        <w:t xml:space="preserve">          $ref: 'TS29571_CommonData.yaml#/components/responses/501'</w:t>
      </w:r>
    </w:p>
    <w:p w14:paraId="7CBED726" w14:textId="77777777" w:rsidR="00A10B25" w:rsidRDefault="00A10B25">
      <w:pPr>
        <w:pStyle w:val="PL"/>
      </w:pPr>
      <w:r>
        <w:t xml:space="preserve">        '502':</w:t>
      </w:r>
    </w:p>
    <w:p w14:paraId="4050D71F" w14:textId="77777777" w:rsidR="00A10B25" w:rsidRDefault="00A10B25">
      <w:pPr>
        <w:pStyle w:val="PL"/>
      </w:pPr>
      <w:r>
        <w:t xml:space="preserve">          $ref: 'TS29571_CommonData.yaml#/components/responses/502'</w:t>
      </w:r>
    </w:p>
    <w:p w14:paraId="7859A616" w14:textId="77777777" w:rsidR="00A10B25" w:rsidRDefault="00A10B25">
      <w:pPr>
        <w:pStyle w:val="PL"/>
      </w:pPr>
      <w:r>
        <w:t xml:space="preserve">        '503':</w:t>
      </w:r>
    </w:p>
    <w:p w14:paraId="2245946D" w14:textId="77777777" w:rsidR="00A10B25" w:rsidRDefault="00A10B25">
      <w:pPr>
        <w:pStyle w:val="PL"/>
      </w:pPr>
      <w:r>
        <w:t xml:space="preserve">          $ref: 'TS29571_CommonData.yaml#/components/responses/503'</w:t>
      </w:r>
    </w:p>
    <w:p w14:paraId="625BEBF1" w14:textId="77777777" w:rsidR="00A10B25" w:rsidRDefault="00A10B25">
      <w:pPr>
        <w:pStyle w:val="PL"/>
      </w:pPr>
      <w:r>
        <w:t xml:space="preserve">        default:</w:t>
      </w:r>
    </w:p>
    <w:p w14:paraId="7B776E4A" w14:textId="77777777" w:rsidR="00A10B25" w:rsidRDefault="00A10B25">
      <w:pPr>
        <w:pStyle w:val="PL"/>
      </w:pPr>
      <w:r>
        <w:t xml:space="preserve">          $ref: 'TS29571_CommonData.yaml#/components/responses/default'</w:t>
      </w:r>
    </w:p>
    <w:p w14:paraId="2FCF02BF" w14:textId="77777777" w:rsidR="00A10B25" w:rsidRDefault="00A10B25">
      <w:pPr>
        <w:pStyle w:val="PL"/>
      </w:pPr>
    </w:p>
    <w:p w14:paraId="33A92896" w14:textId="77777777" w:rsidR="00A10B25" w:rsidRDefault="00A10B25">
      <w:pPr>
        <w:pStyle w:val="PL"/>
      </w:pPr>
      <w:r>
        <w:t>components:</w:t>
      </w:r>
    </w:p>
    <w:p w14:paraId="7B86DC1A" w14:textId="77777777" w:rsidR="00A10B25" w:rsidRDefault="00A10B25">
      <w:pPr>
        <w:pStyle w:val="PL"/>
      </w:pPr>
      <w:r>
        <w:t xml:space="preserve">  securitySchemes:</w:t>
      </w:r>
    </w:p>
    <w:p w14:paraId="7FB6DAEF" w14:textId="77777777" w:rsidR="00A10B25" w:rsidRDefault="00A10B25">
      <w:pPr>
        <w:pStyle w:val="PL"/>
      </w:pPr>
      <w:r>
        <w:t xml:space="preserve">    oAuth2ClientCredentials:</w:t>
      </w:r>
    </w:p>
    <w:p w14:paraId="24FA0F04" w14:textId="77777777" w:rsidR="00A10B25" w:rsidRDefault="00A10B25">
      <w:pPr>
        <w:pStyle w:val="PL"/>
      </w:pPr>
      <w:r>
        <w:t xml:space="preserve">      type: oauth2</w:t>
      </w:r>
    </w:p>
    <w:p w14:paraId="281EE099" w14:textId="77777777" w:rsidR="00A10B25" w:rsidRDefault="00A10B25">
      <w:pPr>
        <w:pStyle w:val="PL"/>
      </w:pPr>
      <w:r>
        <w:t xml:space="preserve">      flows:</w:t>
      </w:r>
    </w:p>
    <w:p w14:paraId="439B26BF" w14:textId="77777777" w:rsidR="00A10B25" w:rsidRDefault="00A10B25">
      <w:pPr>
        <w:pStyle w:val="PL"/>
      </w:pPr>
      <w:r>
        <w:t xml:space="preserve">        clientCredentials:</w:t>
      </w:r>
    </w:p>
    <w:p w14:paraId="322A4D12" w14:textId="77777777" w:rsidR="00A10B25" w:rsidRDefault="00A10B25">
      <w:pPr>
        <w:pStyle w:val="PL"/>
      </w:pPr>
      <w:r>
        <w:t xml:space="preserve">          tokenUrl: '{nrfApiRoot}/oauth2/token'</w:t>
      </w:r>
    </w:p>
    <w:p w14:paraId="1BDB83A8" w14:textId="77777777" w:rsidR="00A10B25" w:rsidRDefault="00A10B25">
      <w:pPr>
        <w:pStyle w:val="PL"/>
      </w:pPr>
      <w:r>
        <w:t xml:space="preserve">          scopes:</w:t>
      </w:r>
    </w:p>
    <w:p w14:paraId="4F568EE2" w14:textId="77777777" w:rsidR="00A10B25" w:rsidRDefault="00A10B25">
      <w:pPr>
        <w:pStyle w:val="PL"/>
      </w:pPr>
      <w:r>
        <w:t xml:space="preserve">            nnwdaf-mlmodelmonitor: Access to the </w:t>
      </w:r>
      <w:r>
        <w:rPr>
          <w:lang w:val="en-US" w:eastAsia="zh-CN"/>
        </w:rPr>
        <w:t>Nnwdaf_MLModelMonitor</w:t>
      </w:r>
      <w:r>
        <w:rPr>
          <w:lang w:eastAsia="zh-CN"/>
        </w:rPr>
        <w:t xml:space="preserve"> </w:t>
      </w:r>
      <w:r>
        <w:t>API</w:t>
      </w:r>
    </w:p>
    <w:p w14:paraId="46B45F8C" w14:textId="77777777" w:rsidR="00A10B25" w:rsidRDefault="00A10B25">
      <w:pPr>
        <w:pStyle w:val="PL"/>
      </w:pPr>
    </w:p>
    <w:p w14:paraId="10C269D6" w14:textId="77777777" w:rsidR="00A10B25" w:rsidRDefault="00A10B25">
      <w:pPr>
        <w:pStyle w:val="PL"/>
      </w:pPr>
      <w:r>
        <w:t xml:space="preserve">  schemas:</w:t>
      </w:r>
    </w:p>
    <w:p w14:paraId="0D62E068" w14:textId="77777777" w:rsidR="00A10B25" w:rsidRDefault="00A10B25">
      <w:pPr>
        <w:pStyle w:val="PL"/>
        <w:rPr>
          <w:rFonts w:eastAsia="等线"/>
        </w:rPr>
      </w:pPr>
      <w:r>
        <w:t xml:space="preserve">    </w:t>
      </w:r>
      <w:r>
        <w:rPr>
          <w:rFonts w:eastAsia="等线"/>
        </w:rPr>
        <w:t>MLModelMonitorReg:</w:t>
      </w:r>
    </w:p>
    <w:p w14:paraId="2547A8F6" w14:textId="77777777" w:rsidR="00A10B25" w:rsidRDefault="00A10B25">
      <w:pPr>
        <w:pStyle w:val="PL"/>
      </w:pPr>
      <w:r>
        <w:t xml:space="preserve">      description: Represents a ML Model monitoring registration.</w:t>
      </w:r>
    </w:p>
    <w:p w14:paraId="49299B2A" w14:textId="77777777" w:rsidR="00A10B25" w:rsidRDefault="00A10B25">
      <w:pPr>
        <w:pStyle w:val="PL"/>
      </w:pPr>
      <w:r>
        <w:t xml:space="preserve">      type: object</w:t>
      </w:r>
    </w:p>
    <w:p w14:paraId="5C328421" w14:textId="77777777" w:rsidR="00A10B25" w:rsidRDefault="00A10B25">
      <w:pPr>
        <w:pStyle w:val="PL"/>
      </w:pPr>
      <w:r>
        <w:t xml:space="preserve">      properties:</w:t>
      </w:r>
    </w:p>
    <w:p w14:paraId="1903D915" w14:textId="77777777" w:rsidR="00A10B25" w:rsidRDefault="00A10B25">
      <w:pPr>
        <w:pStyle w:val="PL"/>
      </w:pPr>
      <w:r>
        <w:t xml:space="preserve">        consumerId:</w:t>
      </w:r>
    </w:p>
    <w:p w14:paraId="43ABAE1B" w14:textId="77777777" w:rsidR="00A10B25" w:rsidRDefault="00A10B25">
      <w:pPr>
        <w:pStyle w:val="PL"/>
      </w:pPr>
      <w:r>
        <w:t xml:space="preserve">          $ref: 'TS29571_CommonData.yaml#/components/schemas/NfInstanceId'</w:t>
      </w:r>
    </w:p>
    <w:p w14:paraId="2C43137B" w14:textId="77777777" w:rsidR="00A10B25" w:rsidRDefault="00A10B25">
      <w:pPr>
        <w:pStyle w:val="PL"/>
      </w:pPr>
      <w:r>
        <w:t xml:space="preserve">        consumerSetId:</w:t>
      </w:r>
    </w:p>
    <w:p w14:paraId="244F2F13" w14:textId="77777777" w:rsidR="00A10B25" w:rsidRDefault="00A10B25">
      <w:pPr>
        <w:pStyle w:val="PL"/>
      </w:pPr>
      <w:r>
        <w:t xml:space="preserve">          $ref: 'TS29571_CommonData.yaml#/components/schemas/NfSetId'</w:t>
      </w:r>
    </w:p>
    <w:p w14:paraId="0CCDBA22" w14:textId="77777777" w:rsidR="00A10B25" w:rsidRDefault="00A10B25">
      <w:pPr>
        <w:pStyle w:val="PL"/>
      </w:pPr>
      <w:r>
        <w:lastRenderedPageBreak/>
        <w:t xml:space="preserve">        modelId:</w:t>
      </w:r>
    </w:p>
    <w:p w14:paraId="4B6A4FBE" w14:textId="77777777" w:rsidR="00A10B25" w:rsidRDefault="00A10B25">
      <w:pPr>
        <w:pStyle w:val="PL"/>
      </w:pPr>
      <w:r>
        <w:t xml:space="preserve">          $ref: 'TS29571_CommonData.yaml#/components/schemas/Uinteger'</w:t>
      </w:r>
    </w:p>
    <w:p w14:paraId="4881F800" w14:textId="77777777" w:rsidR="00A10B25" w:rsidRDefault="00A10B25">
      <w:pPr>
        <w:pStyle w:val="PL"/>
      </w:pPr>
      <w:r>
        <w:t xml:space="preserve">        </w:t>
      </w:r>
      <w:r>
        <w:rPr>
          <w:lang w:eastAsia="zh-CN"/>
        </w:rPr>
        <w:t>modelAccuInd</w:t>
      </w:r>
      <w:r>
        <w:t>:</w:t>
      </w:r>
    </w:p>
    <w:p w14:paraId="3D13F8E2" w14:textId="77777777" w:rsidR="00A10B25" w:rsidRDefault="00A10B25">
      <w:pPr>
        <w:pStyle w:val="PL"/>
      </w:pPr>
      <w:r>
        <w:t xml:space="preserve">          type: boolean</w:t>
      </w:r>
    </w:p>
    <w:p w14:paraId="423FCA9F" w14:textId="77777777" w:rsidR="00A10B25" w:rsidRDefault="00A10B25">
      <w:pPr>
        <w:pStyle w:val="PL"/>
        <w:rPr>
          <w:lang w:eastAsia="zh-CN"/>
        </w:rPr>
      </w:pPr>
      <w:r>
        <w:t xml:space="preserve">          description: </w:t>
      </w:r>
      <w:r>
        <w:rPr>
          <w:lang w:eastAsia="zh-CN"/>
        </w:rPr>
        <w:t>&gt;</w:t>
      </w:r>
    </w:p>
    <w:p w14:paraId="244D0B68" w14:textId="77777777" w:rsidR="00E06B31" w:rsidRDefault="00E06B31" w:rsidP="00E06B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hint="eastAsia"/>
          <w:sz w:val="16"/>
        </w:rPr>
        <w:t>I</w:t>
      </w:r>
      <w:r>
        <w:rPr>
          <w:rFonts w:ascii="Courier New" w:hAnsi="Courier New"/>
          <w:sz w:val="16"/>
        </w:rPr>
        <w:t>ndicates the ML Model accuracy transfer indication.</w:t>
      </w:r>
    </w:p>
    <w:p w14:paraId="3ABB5FDC" w14:textId="77777777" w:rsidR="00640768" w:rsidRDefault="00640768" w:rsidP="00640768">
      <w:pPr>
        <w:pStyle w:val="PL"/>
      </w:pPr>
      <w:r>
        <w:t xml:space="preserve">        mLEvent:</w:t>
      </w:r>
    </w:p>
    <w:p w14:paraId="415954E9" w14:textId="77777777" w:rsidR="00640768" w:rsidRDefault="00640768" w:rsidP="00640768">
      <w:pPr>
        <w:pStyle w:val="PL"/>
      </w:pPr>
      <w:r>
        <w:t xml:space="preserve">          $ref: 'TS29520_Nnwdaf_EventsSubscription.yaml#/components/schemas/NwdafEvent'</w:t>
      </w:r>
    </w:p>
    <w:p w14:paraId="1B1B4E41" w14:textId="77777777" w:rsidR="00640768" w:rsidRDefault="00640768" w:rsidP="00640768">
      <w:pPr>
        <w:pStyle w:val="PL"/>
      </w:pPr>
      <w:r>
        <w:t xml:space="preserve">        mLEventFilter:</w:t>
      </w:r>
    </w:p>
    <w:p w14:paraId="0195E4C4" w14:textId="77777777" w:rsidR="00640768" w:rsidRDefault="00640768" w:rsidP="00640768">
      <w:pPr>
        <w:pStyle w:val="PL"/>
      </w:pPr>
      <w:r>
        <w:t xml:space="preserve">          $ref: 'TS29520_Nnwdaf_AnalyticsInfo.yaml#/components/schemas/EventFilter'</w:t>
      </w:r>
    </w:p>
    <w:p w14:paraId="6E75DBD0" w14:textId="77777777" w:rsidR="00AD5F95" w:rsidRDefault="00AD5F95" w:rsidP="00AD5F95">
      <w:pPr>
        <w:pStyle w:val="PL"/>
      </w:pPr>
      <w:r>
        <w:t xml:space="preserve">        suppFeat:</w:t>
      </w:r>
    </w:p>
    <w:p w14:paraId="3A7EA5A3" w14:textId="77777777" w:rsidR="00AD5F95" w:rsidRDefault="00AD5F95" w:rsidP="00AD5F95">
      <w:pPr>
        <w:pStyle w:val="PL"/>
      </w:pPr>
      <w:r>
        <w:t xml:space="preserve">          $ref: 'TS29571_CommonData.yaml#/components/schemas/SupportedFeatures'</w:t>
      </w:r>
    </w:p>
    <w:p w14:paraId="27A532F6" w14:textId="77777777" w:rsidR="00640768" w:rsidRDefault="00640768" w:rsidP="00640768">
      <w:pPr>
        <w:pStyle w:val="PL"/>
      </w:pPr>
      <w:r>
        <w:t xml:space="preserve">        tgtUe:</w:t>
      </w:r>
    </w:p>
    <w:p w14:paraId="07A0CB8E" w14:textId="77777777" w:rsidR="00640768" w:rsidRDefault="00640768" w:rsidP="00635E7C">
      <w:pPr>
        <w:pStyle w:val="PL"/>
      </w:pPr>
      <w:r>
        <w:t xml:space="preserve">          $ref: 'TS29520_Nnwdaf_EventsSubscription.yaml#/components/schemas/TargetUeInformation'</w:t>
      </w:r>
    </w:p>
    <w:p w14:paraId="3EADC54D"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2B76F616"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modelId</w:t>
      </w:r>
    </w:p>
    <w:p w14:paraId="0DCB7F0A" w14:textId="77777777" w:rsidR="00640768" w:rsidRDefault="00640768" w:rsidP="00640768">
      <w:pPr>
        <w:pStyle w:val="PL"/>
      </w:pPr>
      <w:r>
        <w:t xml:space="preserve">      oneOf:</w:t>
      </w:r>
    </w:p>
    <w:p w14:paraId="52D55C54" w14:textId="77777777" w:rsidR="00640768" w:rsidRDefault="00640768" w:rsidP="00640768">
      <w:pPr>
        <w:pStyle w:val="PL"/>
      </w:pPr>
      <w:r>
        <w:t xml:space="preserve">        - required: [consumerId]</w:t>
      </w:r>
    </w:p>
    <w:p w14:paraId="5E43D71C" w14:textId="77777777" w:rsidR="00640768" w:rsidRDefault="00640768" w:rsidP="00640768">
      <w:pPr>
        <w:pStyle w:val="PL"/>
      </w:pPr>
      <w:r>
        <w:t xml:space="preserve">        - required: [consumerSetId]</w:t>
      </w:r>
    </w:p>
    <w:p w14:paraId="6BA029C8" w14:textId="77777777" w:rsidR="00A10B25" w:rsidRDefault="00A10B25">
      <w:pPr>
        <w:pStyle w:val="PL"/>
      </w:pPr>
    </w:p>
    <w:p w14:paraId="7A6FCAF9" w14:textId="77777777" w:rsidR="00A10B25" w:rsidRDefault="00A10B25">
      <w:pPr>
        <w:pStyle w:val="PL"/>
        <w:rPr>
          <w:rFonts w:eastAsia="等线"/>
        </w:rPr>
      </w:pPr>
      <w:r>
        <w:t xml:space="preserve">    </w:t>
      </w:r>
      <w:r>
        <w:rPr>
          <w:rFonts w:eastAsia="等线"/>
        </w:rPr>
        <w:t>MLModelMonitor</w:t>
      </w:r>
      <w:r>
        <w:rPr>
          <w:rFonts w:eastAsia="等线" w:hint="eastAsia"/>
          <w:lang w:eastAsia="zh-CN"/>
        </w:rPr>
        <w:t>Sub</w:t>
      </w:r>
      <w:r>
        <w:rPr>
          <w:rFonts w:eastAsia="等线"/>
        </w:rPr>
        <w:t>:</w:t>
      </w:r>
    </w:p>
    <w:p w14:paraId="2DCAB343" w14:textId="77777777" w:rsidR="00A10B25" w:rsidRDefault="00A10B25">
      <w:pPr>
        <w:pStyle w:val="PL"/>
      </w:pPr>
      <w:r>
        <w:t xml:space="preserve">      description: &gt;</w:t>
      </w:r>
    </w:p>
    <w:p w14:paraId="544BCE1B" w14:textId="77777777" w:rsidR="00A10B25" w:rsidRDefault="00A10B25">
      <w:pPr>
        <w:pStyle w:val="PL"/>
      </w:pPr>
      <w:r>
        <w:t xml:space="preserve">        Represents parameters to request the modification of a ML Model monitoring registration.</w:t>
      </w:r>
    </w:p>
    <w:p w14:paraId="7B2EC78F" w14:textId="77777777" w:rsidR="00A10B25" w:rsidRDefault="00A10B25">
      <w:pPr>
        <w:pStyle w:val="PL"/>
      </w:pPr>
      <w:r>
        <w:t xml:space="preserve">      type: object</w:t>
      </w:r>
    </w:p>
    <w:p w14:paraId="4CAAAC6A" w14:textId="77777777" w:rsidR="00A10B25" w:rsidRDefault="00A10B25">
      <w:pPr>
        <w:pStyle w:val="PL"/>
      </w:pPr>
      <w:r>
        <w:t xml:space="preserve">      properties:</w:t>
      </w:r>
    </w:p>
    <w:p w14:paraId="4AA534E6" w14:textId="77777777" w:rsidR="00A10B25" w:rsidRDefault="00A10B25">
      <w:pPr>
        <w:pStyle w:val="PL"/>
      </w:pPr>
      <w:r>
        <w:t xml:space="preserve">        modelIds:</w:t>
      </w:r>
    </w:p>
    <w:p w14:paraId="3EEB45F4"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array</w:t>
      </w:r>
    </w:p>
    <w:p w14:paraId="62E778C8"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65117402"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'TS29571_CommonData.yaml#/components/schemas/Uinteger'</w:t>
      </w:r>
    </w:p>
    <w:p w14:paraId="699C6B62"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30D075B4"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Represents the ML Model IDs.</w:t>
      </w:r>
    </w:p>
    <w:p w14:paraId="484051D5" w14:textId="77777777" w:rsidR="00A10B25" w:rsidRDefault="00A10B25">
      <w:pPr>
        <w:pStyle w:val="PL"/>
      </w:pPr>
      <w:r>
        <w:t xml:space="preserve">        notificationUri:</w:t>
      </w:r>
    </w:p>
    <w:p w14:paraId="6690313E" w14:textId="77777777" w:rsidR="00A10B25" w:rsidRDefault="00A10B25">
      <w:pPr>
        <w:pStyle w:val="PL"/>
      </w:pPr>
      <w:r>
        <w:t xml:space="preserve">          $ref: 'TS29571_CommonData.yaml#/components/schemas/Uri'</w:t>
      </w:r>
    </w:p>
    <w:p w14:paraId="44BE01B2" w14:textId="77777777" w:rsidR="00A10B25" w:rsidRDefault="00A10B25">
      <w:pPr>
        <w:pStyle w:val="PL"/>
      </w:pPr>
      <w:r>
        <w:t xml:space="preserve">        notifCorrId:</w:t>
      </w:r>
    </w:p>
    <w:p w14:paraId="4853F244" w14:textId="77777777" w:rsidR="00A10B25" w:rsidRDefault="00A10B25">
      <w:pPr>
        <w:pStyle w:val="PL"/>
      </w:pPr>
      <w:r>
        <w:t xml:space="preserve">          type: string</w:t>
      </w:r>
    </w:p>
    <w:p w14:paraId="5781E40F" w14:textId="77777777" w:rsidR="00A10B25" w:rsidRDefault="00A10B25">
      <w:pPr>
        <w:pStyle w:val="PL"/>
      </w:pPr>
      <w:r>
        <w:t xml:space="preserve">          description: Notification correlation identifier.</w:t>
      </w:r>
    </w:p>
    <w:p w14:paraId="2D16E69F"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modelMetric:</w:t>
      </w:r>
    </w:p>
    <w:p w14:paraId="629A2D10"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'TS29520_Nnwdaf_MLModelProvision.yaml#/components/schemas/MLModelMetric'</w:t>
      </w:r>
    </w:p>
    <w:p w14:paraId="4FBFADB5"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accuThreshold:</w:t>
      </w:r>
    </w:p>
    <w:p w14:paraId="0777CC01" w14:textId="77777777" w:rsidR="00A10B25" w:rsidRDefault="00A10B25">
      <w:pPr>
        <w:pStyle w:val="PL"/>
      </w:pPr>
      <w:r>
        <w:t xml:space="preserve">          $ref: 'TS29571_CommonData.yaml#/components/schemas/Uinteger'</w:t>
      </w:r>
    </w:p>
    <w:p w14:paraId="19D9EE46" w14:textId="77777777" w:rsidR="00A10B25" w:rsidRDefault="00A10B25">
      <w:pPr>
        <w:pStyle w:val="PL"/>
      </w:pPr>
      <w:r>
        <w:t xml:space="preserve">        eventReportReq:</w:t>
      </w:r>
    </w:p>
    <w:p w14:paraId="5896B7D7" w14:textId="77777777" w:rsidR="00A10B25" w:rsidRDefault="00A10B25">
      <w:pPr>
        <w:pStyle w:val="PL"/>
      </w:pPr>
      <w:r>
        <w:t xml:space="preserve">          $ref: 'TS29523_Npcf_EventExposure.yaml#/components/schemas/ReportingInformation'</w:t>
      </w:r>
    </w:p>
    <w:p w14:paraId="291786BA" w14:textId="77777777" w:rsidR="00640768" w:rsidRDefault="00640768" w:rsidP="00640768">
      <w:pPr>
        <w:pStyle w:val="PL"/>
      </w:pPr>
      <w:r>
        <w:t xml:space="preserve">        immReport:</w:t>
      </w:r>
    </w:p>
    <w:p w14:paraId="06985C53" w14:textId="77777777" w:rsidR="00A10B25" w:rsidRDefault="00A10B25">
      <w:pPr>
        <w:pStyle w:val="PL"/>
      </w:pPr>
      <w:r>
        <w:t xml:space="preserve">          $ref: '#/components/schemas/MLModelMonitorNotify'</w:t>
      </w:r>
    </w:p>
    <w:p w14:paraId="1E1A8BF6" w14:textId="77777777" w:rsidR="00640768" w:rsidRDefault="00640768" w:rsidP="00640768">
      <w:pPr>
        <w:pStyle w:val="PL"/>
      </w:pPr>
      <w:r>
        <w:t xml:space="preserve">        mLEvent:</w:t>
      </w:r>
    </w:p>
    <w:p w14:paraId="7B780B7E" w14:textId="77777777" w:rsidR="00640768" w:rsidRDefault="00640768" w:rsidP="00640768">
      <w:pPr>
        <w:pStyle w:val="PL"/>
      </w:pPr>
      <w:r>
        <w:t xml:space="preserve">          $ref: 'TS29520_Nnwdaf_EventsSubscription.yaml#/components/schemas/NwdafEvent'</w:t>
      </w:r>
    </w:p>
    <w:p w14:paraId="475DEAA4" w14:textId="77777777" w:rsidR="00640768" w:rsidRDefault="00640768" w:rsidP="00640768">
      <w:pPr>
        <w:pStyle w:val="PL"/>
      </w:pPr>
      <w:r>
        <w:t xml:space="preserve">        mLEventFilter:</w:t>
      </w:r>
    </w:p>
    <w:p w14:paraId="78FF77CE" w14:textId="77777777" w:rsidR="00640768" w:rsidRDefault="00640768" w:rsidP="00640768">
      <w:pPr>
        <w:pStyle w:val="PL"/>
      </w:pPr>
      <w:r>
        <w:t xml:space="preserve">          $ref: 'TS29520_Nnwdaf_AnalyticsInfo.yaml#/components/schemas/EventFilter'</w:t>
      </w:r>
    </w:p>
    <w:p w14:paraId="7BA41F0E" w14:textId="77777777" w:rsidR="00640768" w:rsidRDefault="00640768" w:rsidP="00640768">
      <w:pPr>
        <w:pStyle w:val="PL"/>
      </w:pPr>
      <w:r>
        <w:t xml:space="preserve">        tgtUe:</w:t>
      </w:r>
    </w:p>
    <w:p w14:paraId="62485ACA" w14:textId="77777777" w:rsidR="00640768" w:rsidRDefault="00640768" w:rsidP="00640768">
      <w:pPr>
        <w:pStyle w:val="PL"/>
      </w:pPr>
      <w:r>
        <w:t xml:space="preserve">          $ref: 'TS29520_Nnwdaf_EventsSubscription.yaml#/components/schemas/TargetUeInformation'</w:t>
      </w:r>
    </w:p>
    <w:p w14:paraId="0CCFD738" w14:textId="77777777" w:rsidR="00640768" w:rsidRDefault="00640768" w:rsidP="00640768">
      <w:pPr>
        <w:pStyle w:val="PL"/>
      </w:pPr>
      <w:r>
        <w:t xml:space="preserve">        suppFeat:</w:t>
      </w:r>
    </w:p>
    <w:p w14:paraId="1C803F09" w14:textId="77777777" w:rsidR="00640768" w:rsidRDefault="00640768" w:rsidP="00640768">
      <w:pPr>
        <w:pStyle w:val="PL"/>
      </w:pPr>
      <w:r>
        <w:t xml:space="preserve">          $ref: 'TS29571_CommonData.yaml#/components/schemas/SupportedFeatures'</w:t>
      </w:r>
    </w:p>
    <w:p w14:paraId="7EFEFEE1"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1784E9F0"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modelIds</w:t>
      </w:r>
    </w:p>
    <w:p w14:paraId="610F5AC0"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notificationUri</w:t>
      </w:r>
    </w:p>
    <w:p w14:paraId="25196B4B" w14:textId="77777777" w:rsidR="00640768"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notifCorrId</w:t>
      </w:r>
    </w:p>
    <w:p w14:paraId="5B35D32B" w14:textId="77777777" w:rsidR="00A10B25" w:rsidRDefault="00A10B25">
      <w:pPr>
        <w:pStyle w:val="PL"/>
      </w:pPr>
    </w:p>
    <w:p w14:paraId="3AF2F7EE" w14:textId="77777777" w:rsidR="003E1F9F" w:rsidRDefault="003E1F9F" w:rsidP="003E1F9F">
      <w:pPr>
        <w:pStyle w:val="PL"/>
        <w:rPr>
          <w:rFonts w:eastAsia="等线"/>
        </w:rPr>
      </w:pPr>
      <w:r>
        <w:t xml:space="preserve">    </w:t>
      </w:r>
      <w:r>
        <w:rPr>
          <w:rFonts w:eastAsia="等线"/>
        </w:rPr>
        <w:t>MLModelMonitor</w:t>
      </w:r>
      <w:r>
        <w:rPr>
          <w:rFonts w:eastAsia="等线"/>
          <w:lang w:eastAsia="zh-CN"/>
        </w:rPr>
        <w:t>Notify</w:t>
      </w:r>
      <w:r>
        <w:rPr>
          <w:rFonts w:eastAsia="等线"/>
        </w:rPr>
        <w:t>:</w:t>
      </w:r>
    </w:p>
    <w:p w14:paraId="161E411A" w14:textId="77777777" w:rsidR="003E1F9F" w:rsidRDefault="003E1F9F" w:rsidP="003E1F9F">
      <w:pPr>
        <w:pStyle w:val="PL"/>
      </w:pPr>
      <w:r>
        <w:t xml:space="preserve">      description: Represents notifications on events that occurred.</w:t>
      </w:r>
    </w:p>
    <w:p w14:paraId="21B43B8B" w14:textId="77777777" w:rsidR="003E1F9F" w:rsidRDefault="003E1F9F" w:rsidP="003E1F9F">
      <w:pPr>
        <w:pStyle w:val="PL"/>
      </w:pPr>
      <w:r>
        <w:t xml:space="preserve">      type: object</w:t>
      </w:r>
    </w:p>
    <w:p w14:paraId="1A5D06B6" w14:textId="77777777" w:rsidR="003E1F9F" w:rsidRDefault="003E1F9F" w:rsidP="003E1F9F">
      <w:pPr>
        <w:pStyle w:val="PL"/>
      </w:pPr>
      <w:r>
        <w:t xml:space="preserve">      properties:</w:t>
      </w:r>
    </w:p>
    <w:p w14:paraId="7DD724F8" w14:textId="77777777" w:rsidR="003E1F9F" w:rsidRDefault="003E1F9F" w:rsidP="003E1F9F">
      <w:pPr>
        <w:pStyle w:val="PL"/>
      </w:pPr>
      <w:r>
        <w:t xml:space="preserve">        notifCorrId:</w:t>
      </w:r>
    </w:p>
    <w:p w14:paraId="41B2286B" w14:textId="77777777" w:rsidR="003E1F9F" w:rsidRDefault="003E1F9F" w:rsidP="003E1F9F">
      <w:pPr>
        <w:pStyle w:val="PL"/>
      </w:pPr>
      <w:r>
        <w:t xml:space="preserve">          type: string</w:t>
      </w:r>
    </w:p>
    <w:p w14:paraId="6AC5611E" w14:textId="77777777" w:rsidR="003E1F9F" w:rsidRDefault="003E1F9F" w:rsidP="003E1F9F">
      <w:pPr>
        <w:pStyle w:val="PL"/>
      </w:pPr>
      <w:r>
        <w:t xml:space="preserve">          description: Notification correlation identifier.</w:t>
      </w:r>
    </w:p>
    <w:p w14:paraId="312BAA58" w14:textId="77777777" w:rsidR="003E1F9F" w:rsidRDefault="003E1F9F" w:rsidP="003E1F9F">
      <w:pPr>
        <w:pStyle w:val="PL"/>
      </w:pPr>
      <w:r>
        <w:t xml:space="preserve">        </w:t>
      </w:r>
      <w:r>
        <w:rPr>
          <w:rFonts w:hint="eastAsia"/>
          <w:lang w:eastAsia="zh-CN"/>
        </w:rPr>
        <w:t>m</w:t>
      </w:r>
      <w:r>
        <w:rPr>
          <w:lang w:eastAsia="zh-CN"/>
        </w:rPr>
        <w:t>odelAccuInfos</w:t>
      </w:r>
      <w:r>
        <w:t>:</w:t>
      </w:r>
    </w:p>
    <w:p w14:paraId="7332C1EA" w14:textId="77777777" w:rsidR="003E1F9F" w:rsidRDefault="003E1F9F" w:rsidP="003E1F9F">
      <w:pPr>
        <w:pStyle w:val="PL"/>
      </w:pPr>
      <w:r>
        <w:t xml:space="preserve">          type: array</w:t>
      </w:r>
    </w:p>
    <w:p w14:paraId="7D4626F0" w14:textId="77777777" w:rsidR="003E1F9F" w:rsidRDefault="003E1F9F" w:rsidP="003E1F9F">
      <w:pPr>
        <w:pStyle w:val="PL"/>
      </w:pPr>
      <w:r>
        <w:t xml:space="preserve">          items:</w:t>
      </w:r>
    </w:p>
    <w:p w14:paraId="0750CBFD" w14:textId="77777777" w:rsidR="003E1F9F" w:rsidRDefault="003E1F9F" w:rsidP="003E1F9F">
      <w:pPr>
        <w:pStyle w:val="PL"/>
      </w:pPr>
      <w:r>
        <w:t xml:space="preserve">            $ref: '#/components/schemas/</w:t>
      </w:r>
      <w:r>
        <w:rPr>
          <w:rFonts w:eastAsia="等线"/>
        </w:rPr>
        <w:t>MLModelAccuracyInfo</w:t>
      </w:r>
      <w:r>
        <w:t>'</w:t>
      </w:r>
    </w:p>
    <w:p w14:paraId="41AE53B2" w14:textId="77777777" w:rsidR="003E1F9F" w:rsidRDefault="003E1F9F" w:rsidP="003E1F9F">
      <w:pPr>
        <w:pStyle w:val="PL"/>
      </w:pPr>
      <w:r>
        <w:t xml:space="preserve">          minItems: 1</w:t>
      </w:r>
    </w:p>
    <w:p w14:paraId="57CDA2A3" w14:textId="77777777" w:rsidR="003E1F9F" w:rsidRDefault="003E1F9F" w:rsidP="003E1F9F">
      <w:pPr>
        <w:pStyle w:val="PL"/>
      </w:pPr>
      <w:r>
        <w:t xml:space="preserve">          description: The accuracy related information of the ML model.</w:t>
      </w:r>
    </w:p>
    <w:p w14:paraId="06E5324B" w14:textId="77777777" w:rsidR="003E1F9F" w:rsidRDefault="003E1F9F" w:rsidP="003E1F9F">
      <w:pPr>
        <w:pStyle w:val="PL"/>
      </w:pPr>
      <w:r>
        <w:t xml:space="preserve">        </w:t>
      </w:r>
      <w:r>
        <w:rPr>
          <w:lang w:eastAsia="zh-CN"/>
        </w:rPr>
        <w:t>anaFeedbacks</w:t>
      </w:r>
      <w:r>
        <w:t>:</w:t>
      </w:r>
    </w:p>
    <w:p w14:paraId="21C70A04" w14:textId="77777777" w:rsidR="003E1F9F" w:rsidRDefault="003E1F9F" w:rsidP="003E1F9F">
      <w:pPr>
        <w:pStyle w:val="PL"/>
      </w:pPr>
      <w:r>
        <w:t xml:space="preserve">          type: array</w:t>
      </w:r>
    </w:p>
    <w:p w14:paraId="6BD7F9B7" w14:textId="77777777" w:rsidR="003E1F9F" w:rsidRDefault="003E1F9F" w:rsidP="003E1F9F">
      <w:pPr>
        <w:pStyle w:val="PL"/>
      </w:pPr>
      <w:r>
        <w:t xml:space="preserve">          items:</w:t>
      </w:r>
    </w:p>
    <w:p w14:paraId="5793DF82" w14:textId="77777777" w:rsidR="003E1F9F" w:rsidRDefault="003E1F9F" w:rsidP="003E1F9F">
      <w:pPr>
        <w:pStyle w:val="PL"/>
      </w:pPr>
      <w:r>
        <w:t xml:space="preserve">            $ref: '#/components/schemas/</w:t>
      </w:r>
      <w:r>
        <w:rPr>
          <w:rFonts w:eastAsia="等线"/>
        </w:rPr>
        <w:t>AnalyticsFeedback</w:t>
      </w:r>
      <w:r>
        <w:t>'</w:t>
      </w:r>
    </w:p>
    <w:p w14:paraId="5EF26C25" w14:textId="77777777" w:rsidR="003E1F9F" w:rsidRDefault="003E1F9F" w:rsidP="003E1F9F">
      <w:pPr>
        <w:pStyle w:val="PL"/>
      </w:pPr>
      <w:r>
        <w:t xml:space="preserve">          minItems: 1</w:t>
      </w:r>
    </w:p>
    <w:p w14:paraId="152BB331" w14:textId="77777777" w:rsidR="003E1F9F" w:rsidRDefault="003E1F9F" w:rsidP="003E1F9F">
      <w:pPr>
        <w:pStyle w:val="PL"/>
      </w:pPr>
      <w:r>
        <w:t xml:space="preserve">          description: The analytics feedback information.</w:t>
      </w:r>
    </w:p>
    <w:p w14:paraId="488619EB" w14:textId="77777777" w:rsidR="003E1F9F" w:rsidRDefault="003E1F9F" w:rsidP="003E1F9F">
      <w:pPr>
        <w:pStyle w:val="PL"/>
      </w:pPr>
      <w:r>
        <w:t xml:space="preserve">        </w:t>
      </w:r>
      <w:r>
        <w:rPr>
          <w:rFonts w:hint="eastAsia"/>
          <w:lang w:eastAsia="zh-CN"/>
        </w:rPr>
        <w:t>a</w:t>
      </w:r>
      <w:r>
        <w:rPr>
          <w:lang w:eastAsia="zh-CN"/>
        </w:rPr>
        <w:t>ccuMeetInd</w:t>
      </w:r>
      <w:r>
        <w:t>:</w:t>
      </w:r>
    </w:p>
    <w:p w14:paraId="5B9D3246" w14:textId="77777777" w:rsidR="003E1F9F" w:rsidRDefault="003E1F9F" w:rsidP="003E1F9F">
      <w:pPr>
        <w:pStyle w:val="PL"/>
      </w:pPr>
      <w:r>
        <w:t xml:space="preserve">          type: boolean</w:t>
      </w:r>
    </w:p>
    <w:p w14:paraId="389E8278" w14:textId="77777777" w:rsidR="003E1F9F" w:rsidRDefault="003E1F9F" w:rsidP="003E1F9F">
      <w:pPr>
        <w:pStyle w:val="PL"/>
        <w:rPr>
          <w:lang w:eastAsia="zh-CN"/>
        </w:rPr>
      </w:pPr>
      <w:r>
        <w:lastRenderedPageBreak/>
        <w:t xml:space="preserve">          description: </w:t>
      </w:r>
      <w:r>
        <w:rPr>
          <w:lang w:eastAsia="zh-CN"/>
        </w:rPr>
        <w:t>&gt;</w:t>
      </w:r>
    </w:p>
    <w:p w14:paraId="340003AC" w14:textId="77777777" w:rsidR="003E1F9F" w:rsidRDefault="003E1F9F" w:rsidP="003E1F9F">
      <w:pPr>
        <w:pStyle w:val="PL"/>
      </w:pP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w:t>
      </w:r>
      <w:r>
        <w:t xml:space="preserve"> the analytics accuracy of the ML model meet the</w:t>
      </w:r>
    </w:p>
    <w:p w14:paraId="7F999B4C" w14:textId="77777777" w:rsidR="003E1F9F" w:rsidRDefault="003E1F9F" w:rsidP="003E1F9F">
      <w:pPr>
        <w:pStyle w:val="PL"/>
      </w:pPr>
      <w:r>
        <w:t xml:space="preserve">            requirement of accuracy for the ML model</w:t>
      </w:r>
      <w:r>
        <w:rPr>
          <w:lang w:eastAsia="ja-JP"/>
        </w:rPr>
        <w:t>.</w:t>
      </w:r>
      <w:r>
        <w:t xml:space="preserve"> Otherwise, default value is </w:t>
      </w:r>
      <w:r>
        <w:rPr>
          <w:rFonts w:cs="Arial"/>
          <w:szCs w:val="18"/>
          <w:lang w:eastAsia="zh-CN"/>
        </w:rPr>
        <w:t>"</w:t>
      </w:r>
      <w:r>
        <w:t>false</w:t>
      </w:r>
      <w:r>
        <w:rPr>
          <w:rFonts w:cs="Arial"/>
          <w:szCs w:val="18"/>
          <w:lang w:eastAsia="zh-CN"/>
        </w:rPr>
        <w:t>"</w:t>
      </w:r>
      <w:r>
        <w:t xml:space="preserve"> if</w:t>
      </w:r>
    </w:p>
    <w:p w14:paraId="42E7AD31" w14:textId="77777777" w:rsidR="003E1F9F" w:rsidRPr="00390E2C" w:rsidRDefault="003E1F9F" w:rsidP="003E1F9F">
      <w:pPr>
        <w:pStyle w:val="PL"/>
      </w:pPr>
      <w:r>
        <w:t xml:space="preserve">            omitted.</w:t>
      </w:r>
    </w:p>
    <w:p w14:paraId="4CEC10EF" w14:textId="77777777" w:rsidR="00640768" w:rsidRDefault="00640768" w:rsidP="00640768">
      <w:pPr>
        <w:pStyle w:val="PL"/>
      </w:pPr>
      <w:r>
        <w:t xml:space="preserve">        mLEvent:</w:t>
      </w:r>
    </w:p>
    <w:p w14:paraId="17527C64" w14:textId="77777777" w:rsidR="00640768" w:rsidRDefault="00640768" w:rsidP="00640768">
      <w:pPr>
        <w:pStyle w:val="PL"/>
      </w:pPr>
      <w:r>
        <w:t xml:space="preserve">          $ref: 'TS29520_Nnwdaf_EventsSubscription.yaml#/components/schemas/NwdafEvent'</w:t>
      </w:r>
    </w:p>
    <w:p w14:paraId="527ABA74" w14:textId="77777777" w:rsidR="00640768" w:rsidRDefault="00640768" w:rsidP="00640768">
      <w:pPr>
        <w:pStyle w:val="PL"/>
      </w:pPr>
      <w:r>
        <w:t xml:space="preserve">        mLEventFilter:</w:t>
      </w:r>
    </w:p>
    <w:p w14:paraId="494FE1D6" w14:textId="77777777" w:rsidR="00640768" w:rsidRDefault="00640768" w:rsidP="00640768">
      <w:pPr>
        <w:pStyle w:val="PL"/>
      </w:pPr>
      <w:r>
        <w:t xml:space="preserve">          $ref: 'TS29520_Nnwdaf_AnalyticsInfo.yaml#/components/schemas/EventFilter'</w:t>
      </w:r>
    </w:p>
    <w:p w14:paraId="1897A596" w14:textId="77777777" w:rsidR="00640768" w:rsidRDefault="00640768" w:rsidP="00640768">
      <w:pPr>
        <w:pStyle w:val="PL"/>
      </w:pPr>
      <w:r>
        <w:t xml:space="preserve">        tgtUe:</w:t>
      </w:r>
    </w:p>
    <w:p w14:paraId="0CB832FA" w14:textId="77777777" w:rsidR="00640768" w:rsidRPr="00390E2C" w:rsidRDefault="00640768" w:rsidP="00640768">
      <w:pPr>
        <w:pStyle w:val="PL"/>
      </w:pPr>
      <w:r>
        <w:t xml:space="preserve">          $ref: 'TS29520_Nnwdaf_EventsSubscription.yaml#/components/schemas/TargetUeInformation'</w:t>
      </w:r>
    </w:p>
    <w:p w14:paraId="11885F3D" w14:textId="77777777" w:rsidR="00640768" w:rsidRDefault="00640768" w:rsidP="00640768">
      <w:pPr>
        <w:pStyle w:val="PL"/>
      </w:pPr>
      <w:r>
        <w:t xml:space="preserve">      required:</w:t>
      </w:r>
    </w:p>
    <w:p w14:paraId="37BA6667" w14:textId="77777777" w:rsidR="00640768" w:rsidRDefault="00640768" w:rsidP="00640768">
      <w:pPr>
        <w:pStyle w:val="PL"/>
      </w:pPr>
      <w:r>
        <w:rPr>
          <w:lang w:val="en-US" w:eastAsia="zh-CN"/>
        </w:rPr>
        <w:t xml:space="preserve">        - </w:t>
      </w:r>
      <w:r>
        <w:t>notifCorrId</w:t>
      </w:r>
    </w:p>
    <w:p w14:paraId="04F73C96" w14:textId="77777777" w:rsidR="00640768" w:rsidRDefault="00640768" w:rsidP="00640768">
      <w:pPr>
        <w:pStyle w:val="PL"/>
      </w:pPr>
      <w:r>
        <w:t xml:space="preserve">      anyOf:</w:t>
      </w:r>
    </w:p>
    <w:p w14:paraId="1BDBFEB1" w14:textId="77777777" w:rsidR="00640768" w:rsidRDefault="00640768" w:rsidP="00640768">
      <w:pPr>
        <w:pStyle w:val="PL"/>
      </w:pPr>
      <w:r>
        <w:t xml:space="preserve">        - required: [</w:t>
      </w:r>
      <w:r>
        <w:rPr>
          <w:rFonts w:hint="eastAsia"/>
          <w:lang w:eastAsia="zh-CN"/>
        </w:rPr>
        <w:t>m</w:t>
      </w:r>
      <w:r>
        <w:rPr>
          <w:lang w:eastAsia="zh-CN"/>
        </w:rPr>
        <w:t>odelAccuInfos</w:t>
      </w:r>
      <w:r>
        <w:t>]</w:t>
      </w:r>
    </w:p>
    <w:p w14:paraId="61C6889E" w14:textId="77777777" w:rsidR="00640768" w:rsidRDefault="00640768" w:rsidP="00640768">
      <w:pPr>
        <w:pStyle w:val="PL"/>
      </w:pPr>
      <w:r>
        <w:t xml:space="preserve">        - required: [</w:t>
      </w:r>
      <w:r>
        <w:rPr>
          <w:lang w:eastAsia="zh-CN"/>
        </w:rPr>
        <w:t>anaFeedbacks</w:t>
      </w:r>
      <w:r>
        <w:t>]</w:t>
      </w:r>
    </w:p>
    <w:p w14:paraId="1873F7B5" w14:textId="77777777" w:rsidR="00A10B25" w:rsidRDefault="00A10B25">
      <w:pPr>
        <w:pStyle w:val="PL"/>
        <w:rPr>
          <w:rFonts w:cs="Courier New"/>
          <w:szCs w:val="16"/>
        </w:rPr>
      </w:pPr>
    </w:p>
    <w:p w14:paraId="33F29A38" w14:textId="77777777" w:rsidR="003E1F9F" w:rsidRDefault="003E1F9F" w:rsidP="003E1F9F">
      <w:pPr>
        <w:pStyle w:val="PL"/>
        <w:rPr>
          <w:rFonts w:eastAsia="等线"/>
        </w:rPr>
      </w:pPr>
      <w:r>
        <w:t xml:space="preserve">    </w:t>
      </w:r>
      <w:r>
        <w:rPr>
          <w:rFonts w:eastAsia="等线"/>
        </w:rPr>
        <w:t>MLModelAccuracyInfo:</w:t>
      </w:r>
    </w:p>
    <w:p w14:paraId="7D132A69" w14:textId="77777777" w:rsidR="003E1F9F" w:rsidRDefault="003E1F9F" w:rsidP="003E1F9F">
      <w:pPr>
        <w:pStyle w:val="PL"/>
      </w:pPr>
      <w:r>
        <w:t xml:space="preserve">      description: Represents the ML Model accuracy information.</w:t>
      </w:r>
    </w:p>
    <w:p w14:paraId="634EF6B4" w14:textId="77777777" w:rsidR="003E1F9F" w:rsidRDefault="003E1F9F" w:rsidP="003E1F9F">
      <w:pPr>
        <w:pStyle w:val="PL"/>
      </w:pPr>
      <w:r>
        <w:t xml:space="preserve">      type: object</w:t>
      </w:r>
    </w:p>
    <w:p w14:paraId="675B3B45" w14:textId="77777777" w:rsidR="003E1F9F" w:rsidRDefault="003E1F9F" w:rsidP="003E1F9F">
      <w:pPr>
        <w:pStyle w:val="PL"/>
        <w:rPr>
          <w:rFonts w:eastAsia="等线"/>
        </w:rPr>
      </w:pPr>
      <w:r>
        <w:t xml:space="preserve">      properties:</w:t>
      </w:r>
    </w:p>
    <w:p w14:paraId="31FDA4C7" w14:textId="77777777" w:rsidR="003E1F9F" w:rsidRDefault="003E1F9F" w:rsidP="003E1F9F">
      <w:pPr>
        <w:pStyle w:val="PL"/>
      </w:pPr>
      <w:r>
        <w:t xml:space="preserve">        modelId:</w:t>
      </w:r>
    </w:p>
    <w:p w14:paraId="6AA7308B" w14:textId="77777777" w:rsidR="003E1F9F" w:rsidRDefault="003E1F9F" w:rsidP="003E1F9F">
      <w:pPr>
        <w:pStyle w:val="PL"/>
      </w:pPr>
      <w:r>
        <w:t xml:space="preserve">          $ref: 'TS29571_CommonData.yaml#/components/schemas/Uinteger'</w:t>
      </w:r>
    </w:p>
    <w:p w14:paraId="2AFE44ED" w14:textId="77777777" w:rsidR="003E1F9F" w:rsidRDefault="003E1F9F" w:rsidP="003E1F9F">
      <w:pPr>
        <w:pStyle w:val="PL"/>
      </w:pPr>
      <w:r>
        <w:t xml:space="preserve">        </w:t>
      </w:r>
      <w:r>
        <w:rPr>
          <w:rFonts w:hint="eastAsia"/>
          <w:lang w:eastAsia="zh-CN"/>
        </w:rPr>
        <w:t>d</w:t>
      </w:r>
      <w:r>
        <w:rPr>
          <w:lang w:eastAsia="zh-CN"/>
        </w:rPr>
        <w:t>eviation</w:t>
      </w:r>
      <w:r>
        <w:t>:</w:t>
      </w:r>
    </w:p>
    <w:p w14:paraId="77A6F84F" w14:textId="77777777" w:rsidR="003E1F9F" w:rsidRDefault="003E1F9F" w:rsidP="003E1F9F">
      <w:pPr>
        <w:pStyle w:val="PL"/>
      </w:pPr>
      <w:r>
        <w:t xml:space="preserve">          $ref: 'TS29571_CommonData.yaml#/components/schemas/Float'</w:t>
      </w:r>
    </w:p>
    <w:p w14:paraId="5B90E216" w14:textId="77777777" w:rsidR="003E1F9F" w:rsidRDefault="003E1F9F" w:rsidP="003E1F9F">
      <w:pPr>
        <w:pStyle w:val="PL"/>
      </w:pPr>
      <w:r>
        <w:t xml:space="preserve">        </w:t>
      </w:r>
      <w:r>
        <w:rPr>
          <w:lang w:eastAsia="zh-CN"/>
        </w:rPr>
        <w:t>inferenceNum</w:t>
      </w:r>
      <w:r>
        <w:t>:</w:t>
      </w:r>
    </w:p>
    <w:p w14:paraId="603E5BB4" w14:textId="77777777" w:rsidR="003E1F9F" w:rsidRDefault="003E1F9F" w:rsidP="003E1F9F">
      <w:pPr>
        <w:pStyle w:val="PL"/>
      </w:pPr>
      <w:r>
        <w:t xml:space="preserve">          $ref: 'TS29571_CommonData.yaml#/components/schemas/Uinteger'</w:t>
      </w:r>
    </w:p>
    <w:p w14:paraId="5350EFF1" w14:textId="77777777" w:rsidR="003E1F9F" w:rsidRDefault="003E1F9F" w:rsidP="003E1F9F">
      <w:pPr>
        <w:pStyle w:val="PL"/>
      </w:pPr>
      <w:r>
        <w:t xml:space="preserve">        adrfId:</w:t>
      </w:r>
    </w:p>
    <w:p w14:paraId="6311CB70" w14:textId="77777777" w:rsidR="003E1F9F" w:rsidRDefault="003E1F9F" w:rsidP="003E1F9F">
      <w:pPr>
        <w:pStyle w:val="PL"/>
      </w:pPr>
      <w:r>
        <w:t xml:space="preserve">          $ref: 'TS29571_CommonData.yaml#/components/schemas/NfInstanceId'</w:t>
      </w:r>
    </w:p>
    <w:p w14:paraId="3CB66E31" w14:textId="77777777" w:rsidR="003E1F9F" w:rsidRDefault="003E1F9F" w:rsidP="003E1F9F">
      <w:pPr>
        <w:pStyle w:val="PL"/>
      </w:pPr>
      <w:r>
        <w:t xml:space="preserve">        adrfSetId:</w:t>
      </w:r>
    </w:p>
    <w:p w14:paraId="3DAE13DC" w14:textId="77777777" w:rsidR="003E1F9F" w:rsidRDefault="003E1F9F" w:rsidP="003E1F9F">
      <w:pPr>
        <w:pStyle w:val="PL"/>
      </w:pPr>
      <w:r>
        <w:t xml:space="preserve">          $ref: 'TS29571_CommonData.yaml#/components/schemas/NfSetId'</w:t>
      </w:r>
    </w:p>
    <w:p w14:paraId="5A3CB264" w14:textId="77777777" w:rsidR="003E1F9F" w:rsidRDefault="003E1F9F" w:rsidP="003E1F9F">
      <w:pPr>
        <w:pStyle w:val="PL"/>
      </w:pPr>
      <w:r>
        <w:t xml:space="preserve">        dataSetTag:</w:t>
      </w:r>
    </w:p>
    <w:p w14:paraId="65948D81" w14:textId="77777777" w:rsidR="003E1F9F" w:rsidRDefault="003E1F9F" w:rsidP="003E1F9F">
      <w:pPr>
        <w:pStyle w:val="PL"/>
      </w:pPr>
      <w:r>
        <w:t xml:space="preserve">          $ref: 'TS29575_Nadrf_DataManagement.yaml#/components/schemas/DataSetTag'</w:t>
      </w:r>
    </w:p>
    <w:p w14:paraId="0F056C47" w14:textId="77777777" w:rsidR="003E1F9F" w:rsidRDefault="003E1F9F" w:rsidP="003E1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modelMetric:</w:t>
      </w:r>
    </w:p>
    <w:p w14:paraId="5E178E2C" w14:textId="77777777" w:rsidR="003E1F9F" w:rsidRDefault="003E1F9F" w:rsidP="003E1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'TS29520_Nnwdaf_MLModelProvision.yaml#/components/schemas/MLModelMetric'</w:t>
      </w:r>
    </w:p>
    <w:p w14:paraId="48B61888" w14:textId="77777777" w:rsidR="003E1F9F" w:rsidRDefault="003E1F9F" w:rsidP="003E1F9F">
      <w:pPr>
        <w:pStyle w:val="PL"/>
      </w:pPr>
      <w:r>
        <w:t xml:space="preserve">        </w:t>
      </w:r>
      <w:bookmarkStart w:id="17323" w:name="_Hlk157009188"/>
      <w:r>
        <w:t>mlModelAcc:</w:t>
      </w:r>
    </w:p>
    <w:p w14:paraId="0CD7FE7D" w14:textId="77777777" w:rsidR="003E1F9F" w:rsidRDefault="003E1F9F" w:rsidP="003E1F9F">
      <w:pPr>
        <w:pStyle w:val="PL"/>
      </w:pPr>
      <w:r>
        <w:t xml:space="preserve">          $ref: 'TS29571_CommonData.yaml#/components/schemas/Uinteger'</w:t>
      </w:r>
      <w:bookmarkEnd w:id="17323"/>
    </w:p>
    <w:p w14:paraId="554AB629" w14:textId="77777777" w:rsidR="003E1F9F" w:rsidRDefault="003E1F9F" w:rsidP="003E1F9F">
      <w:pPr>
        <w:pStyle w:val="PL"/>
      </w:pPr>
      <w:r>
        <w:t xml:space="preserve">        </w:t>
      </w:r>
      <w:r>
        <w:rPr>
          <w:lang w:eastAsia="zh-CN"/>
        </w:rPr>
        <w:t>monitorInterval</w:t>
      </w:r>
      <w:r>
        <w:t>:</w:t>
      </w:r>
    </w:p>
    <w:p w14:paraId="2E3B17F1" w14:textId="77777777" w:rsidR="003E1F9F" w:rsidRPr="00775198" w:rsidRDefault="003E1F9F" w:rsidP="003E1F9F">
      <w:pPr>
        <w:pStyle w:val="PL"/>
      </w:pPr>
      <w:r>
        <w:t xml:space="preserve">          $ref: 'TS29122_CommonData.yaml#/components/schemas/TimeWindow'</w:t>
      </w:r>
    </w:p>
    <w:p w14:paraId="2C12323F" w14:textId="77777777" w:rsidR="003E1F9F" w:rsidRDefault="003E1F9F" w:rsidP="003E1F9F">
      <w:pPr>
        <w:pStyle w:val="PL"/>
      </w:pPr>
      <w:r>
        <w:t xml:space="preserve">      required:</w:t>
      </w:r>
    </w:p>
    <w:p w14:paraId="511E6F7B" w14:textId="77777777" w:rsidR="003E1F9F" w:rsidRDefault="003E1F9F" w:rsidP="003E1F9F">
      <w:pPr>
        <w:pStyle w:val="PL"/>
      </w:pPr>
      <w:r>
        <w:t xml:space="preserve">        - modelId</w:t>
      </w:r>
    </w:p>
    <w:p w14:paraId="17A79E4C" w14:textId="77777777" w:rsidR="00A10B25" w:rsidRDefault="00A10B25">
      <w:pPr>
        <w:pStyle w:val="PL"/>
      </w:pPr>
    </w:p>
    <w:p w14:paraId="14709092" w14:textId="77777777" w:rsidR="00A10B25" w:rsidRDefault="00A10B25">
      <w:pPr>
        <w:pStyle w:val="PL"/>
      </w:pPr>
      <w:r>
        <w:t xml:space="preserve">    </w:t>
      </w:r>
      <w:r>
        <w:rPr>
          <w:rFonts w:eastAsia="等线"/>
        </w:rPr>
        <w:t>AnalyticsFeedback:</w:t>
      </w:r>
    </w:p>
    <w:p w14:paraId="3D66E50A" w14:textId="77777777" w:rsidR="00A10B25" w:rsidRDefault="00A10B25">
      <w:pPr>
        <w:pStyle w:val="PL"/>
      </w:pPr>
      <w:r>
        <w:t xml:space="preserve">      description: Represents the </w:t>
      </w:r>
      <w:r>
        <w:rPr>
          <w:rFonts w:eastAsia="等线"/>
        </w:rPr>
        <w:t>analytics feedback</w:t>
      </w:r>
      <w:r>
        <w:t>.</w:t>
      </w:r>
    </w:p>
    <w:p w14:paraId="2F6D8CB9" w14:textId="77777777" w:rsidR="00A10B25" w:rsidRDefault="00A10B25">
      <w:pPr>
        <w:pStyle w:val="PL"/>
      </w:pPr>
      <w:r>
        <w:t xml:space="preserve">      type: object</w:t>
      </w:r>
    </w:p>
    <w:p w14:paraId="18BC51C0" w14:textId="77777777" w:rsidR="00A10B25" w:rsidRDefault="00A10B25">
      <w:pPr>
        <w:pStyle w:val="PL"/>
      </w:pPr>
      <w:r>
        <w:t xml:space="preserve">      properties:</w:t>
      </w:r>
    </w:p>
    <w:p w14:paraId="0B99039A" w14:textId="77777777" w:rsidR="00A10B25" w:rsidRDefault="00A10B25">
      <w:pPr>
        <w:pStyle w:val="PL"/>
      </w:pPr>
      <w:r>
        <w:t xml:space="preserve">        e</w:t>
      </w:r>
      <w:r>
        <w:rPr>
          <w:rFonts w:hint="eastAsia"/>
        </w:rPr>
        <w:t>vent</w:t>
      </w:r>
      <w:r>
        <w:t>s:</w:t>
      </w:r>
    </w:p>
    <w:p w14:paraId="082BDE0D" w14:textId="77777777" w:rsidR="00A10B25" w:rsidRDefault="00A10B25">
      <w:pPr>
        <w:pStyle w:val="PL"/>
      </w:pPr>
      <w:r>
        <w:t xml:space="preserve">          type: array</w:t>
      </w:r>
    </w:p>
    <w:p w14:paraId="15F2478E" w14:textId="77777777" w:rsidR="00A10B25" w:rsidRDefault="00A10B25">
      <w:pPr>
        <w:pStyle w:val="PL"/>
      </w:pPr>
      <w:r>
        <w:t xml:space="preserve">          items:</w:t>
      </w:r>
    </w:p>
    <w:p w14:paraId="0AAFDA39" w14:textId="77777777" w:rsidR="00A10B25" w:rsidRDefault="00A10B25">
      <w:pPr>
        <w:pStyle w:val="PL"/>
      </w:pPr>
      <w:r>
        <w:t xml:space="preserve">            $ref: 'TS29520_Nnwdaf_EventsSubscription.yaml#/components/schemas/NwdafEvent'</w:t>
      </w:r>
    </w:p>
    <w:p w14:paraId="175362B3" w14:textId="77777777" w:rsidR="00A10B25" w:rsidRDefault="00A10B25">
      <w:pPr>
        <w:pStyle w:val="PL"/>
      </w:pPr>
      <w:r>
        <w:t xml:space="preserve">          minItems: 1</w:t>
      </w:r>
    </w:p>
    <w:p w14:paraId="74FE2406" w14:textId="77777777" w:rsidR="00A10B25" w:rsidRDefault="00A10B25">
      <w:pPr>
        <w:pStyle w:val="PL"/>
      </w:pPr>
      <w:r>
        <w:t xml:space="preserve">          description: Indicates the Analytics IDs that were used to take this action.</w:t>
      </w:r>
    </w:p>
    <w:p w14:paraId="54B8E075" w14:textId="77777777" w:rsidR="00A10B25" w:rsidRDefault="00A10B25">
      <w:pPr>
        <w:pStyle w:val="PL"/>
      </w:pPr>
      <w:r>
        <w:t xml:space="preserve">        modelIds:</w:t>
      </w:r>
    </w:p>
    <w:p w14:paraId="5387C018" w14:textId="77777777" w:rsidR="00A10B25" w:rsidRDefault="00A10B25">
      <w:pPr>
        <w:pStyle w:val="PL"/>
      </w:pPr>
      <w:r>
        <w:t xml:space="preserve">          type: array</w:t>
      </w:r>
    </w:p>
    <w:p w14:paraId="19E13F86" w14:textId="77777777" w:rsidR="00A10B25" w:rsidRDefault="00A10B25">
      <w:pPr>
        <w:pStyle w:val="PL"/>
      </w:pPr>
      <w:r>
        <w:t xml:space="preserve">          items:</w:t>
      </w:r>
    </w:p>
    <w:p w14:paraId="714EB33F" w14:textId="77777777" w:rsidR="00A10B25" w:rsidRDefault="00A10B25">
      <w:pPr>
        <w:pStyle w:val="PL"/>
      </w:pPr>
      <w:r>
        <w:t xml:space="preserve">            $ref: 'TS29571_CommonData.yaml#/components/schemas/Uinteger'</w:t>
      </w:r>
    </w:p>
    <w:p w14:paraId="733F613C" w14:textId="77777777" w:rsidR="00A10B25" w:rsidRDefault="00A10B25">
      <w:pPr>
        <w:pStyle w:val="PL"/>
      </w:pPr>
      <w:r>
        <w:t xml:space="preserve">          minItems: 1</w:t>
      </w:r>
    </w:p>
    <w:p w14:paraId="6182239F" w14:textId="77777777" w:rsidR="00A10B25" w:rsidRDefault="00A10B25">
      <w:pPr>
        <w:pStyle w:val="PL"/>
      </w:pPr>
      <w:r>
        <w:t xml:space="preserve">          description: Indicates the ML Model identifier that were used to take this action.</w:t>
      </w:r>
    </w:p>
    <w:p w14:paraId="589D6918" w14:textId="77777777" w:rsidR="00A10B25" w:rsidRDefault="00A10B25">
      <w:pPr>
        <w:pStyle w:val="PL"/>
      </w:pPr>
      <w:r>
        <w:t xml:space="preserve">        </w:t>
      </w:r>
      <w:r>
        <w:rPr>
          <w:lang w:eastAsia="zh-CN"/>
        </w:rPr>
        <w:t>groundDataImpactInd</w:t>
      </w:r>
      <w:r>
        <w:t>:</w:t>
      </w:r>
    </w:p>
    <w:p w14:paraId="29D5B1DC" w14:textId="77777777" w:rsidR="00A10B25" w:rsidRDefault="00A10B25">
      <w:pPr>
        <w:pStyle w:val="PL"/>
      </w:pPr>
      <w:r>
        <w:t xml:space="preserve">          type: boolean</w:t>
      </w:r>
    </w:p>
    <w:p w14:paraId="06150D3B" w14:textId="77777777" w:rsidR="00A10B25" w:rsidRDefault="00A10B25">
      <w:pPr>
        <w:pStyle w:val="PL"/>
        <w:rPr>
          <w:lang w:eastAsia="zh-CN"/>
        </w:rPr>
      </w:pPr>
      <w:r>
        <w:t xml:space="preserve">          description: </w:t>
      </w:r>
      <w:r>
        <w:rPr>
          <w:lang w:eastAsia="zh-CN"/>
        </w:rPr>
        <w:t>&gt;</w:t>
      </w:r>
    </w:p>
    <w:p w14:paraId="70A94EC5" w14:textId="77777777" w:rsidR="00A10B25" w:rsidRDefault="00A10B25">
      <w:pPr>
        <w:pStyle w:val="PL"/>
      </w:pPr>
      <w:r>
        <w:t xml:space="preserve">            Indication whether the action will affect on ground truth data. </w:t>
      </w:r>
      <w:r>
        <w:rPr>
          <w:rFonts w:hint="eastAsia"/>
        </w:rPr>
        <w:t>S</w:t>
      </w:r>
      <w:r>
        <w:t>et to "true" to</w:t>
      </w:r>
    </w:p>
    <w:p w14:paraId="2A3FE091" w14:textId="77777777" w:rsidR="00A10B25" w:rsidRDefault="00A10B25">
      <w:pPr>
        <w:pStyle w:val="PL"/>
      </w:pPr>
      <w:r>
        <w:t xml:space="preserve">            indicate that the action will affect on ground truth data. Otherwise set to "false",</w:t>
      </w:r>
    </w:p>
    <w:p w14:paraId="6F96DE09" w14:textId="77777777" w:rsidR="00A10B25" w:rsidRDefault="00A10B25">
      <w:pPr>
        <w:pStyle w:val="PL"/>
      </w:pPr>
      <w:r>
        <w:t xml:space="preserve">            default value is "false" if omitted.</w:t>
      </w:r>
    </w:p>
    <w:p w14:paraId="09D0E46D" w14:textId="77777777" w:rsidR="00A10B25" w:rsidRDefault="00A10B25">
      <w:pPr>
        <w:pStyle w:val="PL"/>
      </w:pPr>
      <w:r>
        <w:t xml:space="preserve">        </w:t>
      </w:r>
      <w:r>
        <w:rPr>
          <w:lang w:eastAsia="zh-CN"/>
        </w:rPr>
        <w:t>timeStamp</w:t>
      </w:r>
      <w:r>
        <w:t>:</w:t>
      </w:r>
    </w:p>
    <w:p w14:paraId="2DD7E578" w14:textId="77777777" w:rsidR="00A10B25" w:rsidRDefault="00A10B25">
      <w:pPr>
        <w:pStyle w:val="PL"/>
      </w:pPr>
      <w:r>
        <w:t xml:space="preserve">          $ref: 'TS29571_CommonData.yaml#/components/schemas/DateTime'</w:t>
      </w:r>
    </w:p>
    <w:p w14:paraId="4E8AE517" w14:textId="77777777" w:rsidR="00A10B25" w:rsidRDefault="00A10B25">
      <w:pPr>
        <w:pStyle w:val="PL"/>
      </w:pPr>
      <w:r>
        <w:t xml:space="preserve">      required:</w:t>
      </w:r>
    </w:p>
    <w:p w14:paraId="41837B8C" w14:textId="77777777" w:rsidR="00A10B25" w:rsidRDefault="00A10B25">
      <w:pPr>
        <w:pStyle w:val="PL"/>
      </w:pPr>
      <w:r>
        <w:t xml:space="preserve">        - e</w:t>
      </w:r>
      <w:r>
        <w:rPr>
          <w:rFonts w:hint="eastAsia"/>
        </w:rPr>
        <w:t>vent</w:t>
      </w:r>
      <w:r>
        <w:t>s</w:t>
      </w:r>
    </w:p>
    <w:p w14:paraId="6C277BAE" w14:textId="77777777" w:rsidR="00A10B25" w:rsidRDefault="00A10B25">
      <w:pPr>
        <w:pStyle w:val="PL"/>
      </w:pPr>
      <w:r>
        <w:t xml:space="preserve">        - modelIds</w:t>
      </w:r>
    </w:p>
    <w:p w14:paraId="41C0A98A" w14:textId="77777777" w:rsidR="00A10B25" w:rsidRDefault="00A10B25">
      <w:pPr>
        <w:pStyle w:val="PL"/>
      </w:pPr>
    </w:p>
    <w:p w14:paraId="1734D932" w14:textId="77777777" w:rsidR="00A10B25" w:rsidRDefault="00A10B25">
      <w:pPr>
        <w:pStyle w:val="1"/>
        <w:rPr>
          <w:lang w:val="en-US" w:eastAsia="zh-CN"/>
        </w:rPr>
      </w:pPr>
      <w:bookmarkStart w:id="17324" w:name="_Toc164921293"/>
      <w:bookmarkStart w:id="17325" w:name="_Toc170120835"/>
      <w:bookmarkStart w:id="17326" w:name="_Toc175859080"/>
      <w:bookmarkStart w:id="17327" w:name="_Toc175860155"/>
      <w:bookmarkStart w:id="17328" w:name="_Toc180606445"/>
      <w:bookmarkStart w:id="17329" w:name="_Toc185517706"/>
      <w:bookmarkStart w:id="17330" w:name="_Toc191576758"/>
      <w:bookmarkStart w:id="17331" w:name="_Toc191577498"/>
      <w:bookmarkStart w:id="17332" w:name="_Toc192880568"/>
      <w:bookmarkStart w:id="17333" w:name="_Toc195815457"/>
      <w:bookmarkStart w:id="17334" w:name="_Toc199453518"/>
      <w:r>
        <w:t>A.8</w:t>
      </w:r>
      <w:r>
        <w:tab/>
      </w:r>
      <w:r>
        <w:rPr>
          <w:lang w:val="en-US" w:eastAsia="zh-CN"/>
        </w:rPr>
        <w:t>Nnwdaf_RoamingData</w:t>
      </w:r>
      <w:r>
        <w:rPr>
          <w:lang w:val="en-US" w:eastAsia="zh-CN"/>
        </w:rPr>
        <w:t xml:space="preserve"> API</w:t>
      </w:r>
      <w:bookmarkEnd w:id="17324"/>
      <w:bookmarkEnd w:id="17325"/>
      <w:bookmarkEnd w:id="17326"/>
      <w:bookmarkEnd w:id="17327"/>
      <w:bookmarkEnd w:id="17328"/>
      <w:bookmarkEnd w:id="17329"/>
      <w:bookmarkEnd w:id="17330"/>
      <w:bookmarkEnd w:id="17331"/>
      <w:bookmarkEnd w:id="17332"/>
      <w:bookmarkEnd w:id="17333"/>
      <w:bookmarkEnd w:id="17334"/>
    </w:p>
    <w:p w14:paraId="617D0045" w14:textId="77777777" w:rsidR="00A10B25" w:rsidRDefault="00A10B25">
      <w:pPr>
        <w:pStyle w:val="PL"/>
      </w:pPr>
      <w:r>
        <w:t>openapi: 3.0.0</w:t>
      </w:r>
    </w:p>
    <w:p w14:paraId="13803E3F" w14:textId="77777777" w:rsidR="00A10B25" w:rsidRDefault="00A10B25">
      <w:pPr>
        <w:pStyle w:val="PL"/>
        <w:rPr>
          <w:lang w:val="fr-FR"/>
        </w:rPr>
      </w:pPr>
    </w:p>
    <w:p w14:paraId="39E0AEEF" w14:textId="77777777" w:rsidR="00A10B25" w:rsidRDefault="00A10B25">
      <w:pPr>
        <w:pStyle w:val="PL"/>
        <w:rPr>
          <w:lang w:val="fr-FR"/>
        </w:rPr>
      </w:pPr>
      <w:r>
        <w:rPr>
          <w:lang w:val="fr-FR"/>
        </w:rPr>
        <w:t>info:</w:t>
      </w:r>
    </w:p>
    <w:p w14:paraId="7BA3DB91" w14:textId="77777777" w:rsidR="00A10B25" w:rsidRDefault="00A10B25">
      <w:pPr>
        <w:pStyle w:val="PL"/>
        <w:rPr>
          <w:lang w:val="fr-FR"/>
        </w:rPr>
      </w:pPr>
      <w:r>
        <w:rPr>
          <w:lang w:val="fr-FR"/>
        </w:rPr>
        <w:t xml:space="preserve">  title: </w:t>
      </w:r>
      <w:r>
        <w:rPr>
          <w:lang w:val="en-US" w:eastAsia="zh-CN"/>
        </w:rPr>
        <w:t>Nnwdaf_RoamingData</w:t>
      </w:r>
    </w:p>
    <w:p w14:paraId="582B3439" w14:textId="46031B26" w:rsidR="00A10B25" w:rsidRDefault="00A10B25">
      <w:pPr>
        <w:pStyle w:val="PL"/>
        <w:rPr>
          <w:lang w:val="fr-FR"/>
        </w:rPr>
      </w:pPr>
      <w:r>
        <w:rPr>
          <w:lang w:val="fr-FR"/>
        </w:rPr>
        <w:lastRenderedPageBreak/>
        <w:t xml:space="preserve">  version: 1.</w:t>
      </w:r>
      <w:r w:rsidR="0020689F">
        <w:rPr>
          <w:lang w:val="fr-FR"/>
        </w:rPr>
        <w:t>1</w:t>
      </w:r>
      <w:r>
        <w:rPr>
          <w:lang w:val="fr-FR"/>
        </w:rPr>
        <w:t>.0</w:t>
      </w:r>
      <w:r w:rsidR="0020689F">
        <w:rPr>
          <w:lang w:val="fr-FR"/>
        </w:rPr>
        <w:t>-alpha.</w:t>
      </w:r>
      <w:r w:rsidR="00CA1A16">
        <w:rPr>
          <w:lang w:val="fr-FR"/>
        </w:rPr>
        <w:t>2</w:t>
      </w:r>
    </w:p>
    <w:p w14:paraId="0C7F53F0" w14:textId="77777777" w:rsidR="00A10B25" w:rsidRDefault="00A10B25">
      <w:pPr>
        <w:pStyle w:val="PL"/>
      </w:pPr>
      <w:r>
        <w:rPr>
          <w:lang w:val="fr-FR"/>
        </w:rPr>
        <w:t xml:space="preserve">  description: </w:t>
      </w:r>
      <w:r>
        <w:t>|</w:t>
      </w:r>
    </w:p>
    <w:p w14:paraId="0BC3E0E1" w14:textId="77777777" w:rsidR="00A10B25" w:rsidRDefault="00A10B25">
      <w:pPr>
        <w:pStyle w:val="PL"/>
        <w:rPr>
          <w:lang w:val="fr-FR"/>
        </w:rPr>
      </w:pPr>
      <w:r>
        <w:rPr>
          <w:lang w:val="fr-FR"/>
        </w:rPr>
        <w:t xml:space="preserve">    </w:t>
      </w:r>
      <w:r>
        <w:rPr>
          <w:lang w:val="en-US" w:eastAsia="zh-CN"/>
        </w:rPr>
        <w:t>Nnwdaf_RoamingData</w:t>
      </w:r>
      <w:r>
        <w:t xml:space="preserve"> API</w:t>
      </w:r>
      <w:r>
        <w:rPr>
          <w:lang w:val="fr-FR"/>
        </w:rPr>
        <w:t xml:space="preserve"> Service.  </w:t>
      </w:r>
    </w:p>
    <w:p w14:paraId="7496BE2C" w14:textId="77777777" w:rsidR="00A10B25" w:rsidRDefault="00A10B25">
      <w:pPr>
        <w:pStyle w:val="PL"/>
      </w:pPr>
      <w:r>
        <w:t xml:space="preserve">    © 202</w:t>
      </w:r>
      <w:r w:rsidR="0020689F">
        <w:rPr>
          <w:lang w:eastAsia="zh-CN"/>
        </w:rPr>
        <w:t>5</w:t>
      </w:r>
      <w:r>
        <w:t xml:space="preserve">, 3GPP Organizational Partners (ARIB, ATIS, CCSA, ETSI, TSDSI, TTA, TTC).  </w:t>
      </w:r>
    </w:p>
    <w:p w14:paraId="560AA527" w14:textId="77777777" w:rsidR="00A10B25" w:rsidRDefault="00A10B25">
      <w:pPr>
        <w:pStyle w:val="PL"/>
      </w:pPr>
      <w:r>
        <w:t xml:space="preserve">    All rights reserved.</w:t>
      </w:r>
    </w:p>
    <w:p w14:paraId="716EBD14" w14:textId="77777777" w:rsidR="00A10B25" w:rsidRDefault="00A10B25">
      <w:pPr>
        <w:pStyle w:val="PL"/>
        <w:rPr>
          <w:lang w:val="fr-FR"/>
        </w:rPr>
      </w:pPr>
    </w:p>
    <w:p w14:paraId="4058A865" w14:textId="77777777" w:rsidR="00A10B25" w:rsidRDefault="00A10B25">
      <w:pPr>
        <w:pStyle w:val="PL"/>
        <w:rPr>
          <w:lang w:val="fr-FR"/>
        </w:rPr>
      </w:pPr>
      <w:r>
        <w:rPr>
          <w:lang w:val="fr-FR"/>
        </w:rPr>
        <w:t>externalDocs:</w:t>
      </w:r>
    </w:p>
    <w:p w14:paraId="2440F58C" w14:textId="00356523" w:rsidR="00A10B25" w:rsidRDefault="00A10B25">
      <w:pPr>
        <w:pStyle w:val="PL"/>
        <w:rPr>
          <w:lang w:val="fr-FR"/>
        </w:rPr>
      </w:pPr>
      <w:r>
        <w:rPr>
          <w:lang w:val="fr-FR"/>
        </w:rPr>
        <w:t xml:space="preserve">  description: 3GPP TS 29.520 </w:t>
      </w:r>
      <w:r w:rsidR="0020689F">
        <w:rPr>
          <w:lang w:val="fr-FR"/>
        </w:rPr>
        <w:t>V</w:t>
      </w:r>
      <w:r w:rsidR="0020689F">
        <w:rPr>
          <w:rFonts w:eastAsia="等线"/>
        </w:rPr>
        <w:t>19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6B18C0F1" w14:textId="77777777" w:rsidR="00A10B25" w:rsidRDefault="00A10B25">
      <w:pPr>
        <w:pStyle w:val="PL"/>
        <w:rPr>
          <w:lang w:val="fr-FR"/>
        </w:rPr>
      </w:pPr>
      <w:r>
        <w:rPr>
          <w:lang w:val="fr-FR"/>
        </w:rPr>
        <w:t xml:space="preserve">  url: https://www.3gpp.org/ftp/Specs/archive/29_series/29.</w:t>
      </w:r>
      <w:r>
        <w:rPr>
          <w:rFonts w:eastAsia="等线"/>
        </w:rPr>
        <w:t>520</w:t>
      </w:r>
      <w:r>
        <w:rPr>
          <w:lang w:val="fr-FR"/>
        </w:rPr>
        <w:t>/</w:t>
      </w:r>
    </w:p>
    <w:p w14:paraId="2FAEC986" w14:textId="77777777" w:rsidR="00A10B25" w:rsidRDefault="00A10B25">
      <w:pPr>
        <w:pStyle w:val="PL"/>
      </w:pPr>
    </w:p>
    <w:p w14:paraId="5F75E9C7" w14:textId="77777777" w:rsidR="00A10B25" w:rsidRDefault="00A10B25">
      <w:pPr>
        <w:pStyle w:val="PL"/>
      </w:pPr>
      <w:r>
        <w:t>servers:</w:t>
      </w:r>
    </w:p>
    <w:p w14:paraId="499657CD" w14:textId="77777777" w:rsidR="00A10B25" w:rsidRDefault="00A10B25">
      <w:pPr>
        <w:pStyle w:val="PL"/>
      </w:pPr>
      <w:r>
        <w:t xml:space="preserve">  - url: '{apiRoot}/nnwdaf-roamingdata/v1'</w:t>
      </w:r>
    </w:p>
    <w:p w14:paraId="27B32B84" w14:textId="77777777" w:rsidR="00A10B25" w:rsidRDefault="00A10B25">
      <w:pPr>
        <w:pStyle w:val="PL"/>
      </w:pPr>
      <w:r>
        <w:t xml:space="preserve">    variables:</w:t>
      </w:r>
    </w:p>
    <w:p w14:paraId="1F992AD7" w14:textId="77777777" w:rsidR="00A10B25" w:rsidRDefault="00A10B25">
      <w:pPr>
        <w:pStyle w:val="PL"/>
      </w:pPr>
      <w:r>
        <w:t xml:space="preserve">      apiRoot:</w:t>
      </w:r>
    </w:p>
    <w:p w14:paraId="520D434F" w14:textId="77777777" w:rsidR="00A10B25" w:rsidRDefault="00A10B25">
      <w:pPr>
        <w:pStyle w:val="PL"/>
      </w:pPr>
      <w:r>
        <w:t xml:space="preserve">        default: https://example.com</w:t>
      </w:r>
    </w:p>
    <w:p w14:paraId="61DC194B" w14:textId="77777777" w:rsidR="00A10B25" w:rsidRDefault="00A10B25">
      <w:pPr>
        <w:pStyle w:val="PL"/>
      </w:pPr>
      <w:r>
        <w:t xml:space="preserve">        description: apiRoot as defined in clause 4.4 of 3GPP TS 29.501</w:t>
      </w:r>
    </w:p>
    <w:p w14:paraId="53C34C27" w14:textId="77777777" w:rsidR="00A10B25" w:rsidRDefault="00A10B25">
      <w:pPr>
        <w:pStyle w:val="PL"/>
      </w:pPr>
    </w:p>
    <w:p w14:paraId="064D6251" w14:textId="77777777" w:rsidR="00A10B25" w:rsidRDefault="00A10B25">
      <w:pPr>
        <w:pStyle w:val="PL"/>
      </w:pPr>
      <w:r>
        <w:t>security:</w:t>
      </w:r>
    </w:p>
    <w:p w14:paraId="61C17159" w14:textId="77777777" w:rsidR="00A10B25" w:rsidRDefault="00A10B25">
      <w:pPr>
        <w:pStyle w:val="PL"/>
      </w:pPr>
      <w:r>
        <w:t xml:space="preserve">  - {}</w:t>
      </w:r>
    </w:p>
    <w:p w14:paraId="55265ED0" w14:textId="77777777" w:rsidR="00A10B25" w:rsidRDefault="00A10B25">
      <w:pPr>
        <w:pStyle w:val="PL"/>
      </w:pPr>
      <w:r>
        <w:t xml:space="preserve">  - oAuth2ClientCredentials:</w:t>
      </w:r>
    </w:p>
    <w:p w14:paraId="3C103897" w14:textId="77777777" w:rsidR="00A10B25" w:rsidRDefault="00A10B25">
      <w:pPr>
        <w:pStyle w:val="PL"/>
      </w:pPr>
      <w:r>
        <w:t xml:space="preserve">    - nnwdaf-roamingdata</w:t>
      </w:r>
    </w:p>
    <w:p w14:paraId="5557C954" w14:textId="77777777" w:rsidR="00A10B25" w:rsidRDefault="00A10B25">
      <w:pPr>
        <w:pStyle w:val="PL"/>
      </w:pPr>
    </w:p>
    <w:p w14:paraId="23D37881" w14:textId="77777777" w:rsidR="00A10B25" w:rsidRDefault="00A10B25">
      <w:pPr>
        <w:pStyle w:val="PL"/>
      </w:pPr>
      <w:r>
        <w:t>paths:</w:t>
      </w:r>
    </w:p>
    <w:p w14:paraId="02C2B04E" w14:textId="77777777" w:rsidR="00A10B25" w:rsidRDefault="00A10B25">
      <w:pPr>
        <w:pStyle w:val="PL"/>
      </w:pPr>
      <w:r>
        <w:t xml:space="preserve">  /subscriptions:</w:t>
      </w:r>
    </w:p>
    <w:p w14:paraId="01F23FBC" w14:textId="77777777" w:rsidR="00A10B25" w:rsidRDefault="00A10B25">
      <w:pPr>
        <w:pStyle w:val="PL"/>
      </w:pPr>
      <w:r>
        <w:t xml:space="preserve">    post:</w:t>
      </w:r>
    </w:p>
    <w:p w14:paraId="4583C6E5" w14:textId="77777777" w:rsidR="00A10B25" w:rsidRDefault="00A10B25">
      <w:pPr>
        <w:pStyle w:val="PL"/>
      </w:pPr>
      <w:r>
        <w:t xml:space="preserve">      summary: Create a new Individual NWDAF Roaming Data Subscription</w:t>
      </w:r>
    </w:p>
    <w:p w14:paraId="6B72277C" w14:textId="77777777" w:rsidR="00A10B25" w:rsidRDefault="00A10B25">
      <w:pPr>
        <w:pStyle w:val="PL"/>
      </w:pPr>
      <w:r>
        <w:t xml:space="preserve">      operationId: CreateNWDAFRoamingDataSubscription</w:t>
      </w:r>
    </w:p>
    <w:p w14:paraId="1561B29D" w14:textId="77777777" w:rsidR="00A10B25" w:rsidRDefault="00A10B25">
      <w:pPr>
        <w:pStyle w:val="PL"/>
      </w:pPr>
      <w:r>
        <w:t xml:space="preserve">      tags:</w:t>
      </w:r>
    </w:p>
    <w:p w14:paraId="600E0088" w14:textId="77777777" w:rsidR="00A10B25" w:rsidRDefault="00A10B25">
      <w:pPr>
        <w:pStyle w:val="PL"/>
      </w:pPr>
      <w:r>
        <w:t xml:space="preserve">        - NWDAF Roaming Data Subscriptions (Collection)</w:t>
      </w:r>
    </w:p>
    <w:p w14:paraId="143756E6" w14:textId="77777777" w:rsidR="00A10B25" w:rsidRDefault="00A10B25">
      <w:pPr>
        <w:pStyle w:val="PL"/>
      </w:pPr>
      <w:r>
        <w:t xml:space="preserve">      requestBody:</w:t>
      </w:r>
    </w:p>
    <w:p w14:paraId="2A0D61D7" w14:textId="77777777" w:rsidR="00A10B25" w:rsidRDefault="00A10B25">
      <w:pPr>
        <w:pStyle w:val="PL"/>
      </w:pPr>
      <w:r>
        <w:t xml:space="preserve">        required: true</w:t>
      </w:r>
    </w:p>
    <w:p w14:paraId="5E6F35FE" w14:textId="77777777" w:rsidR="00A10B25" w:rsidRDefault="00A10B25">
      <w:pPr>
        <w:pStyle w:val="PL"/>
      </w:pPr>
      <w:r>
        <w:t xml:space="preserve">        content:</w:t>
      </w:r>
    </w:p>
    <w:p w14:paraId="6B7736A6" w14:textId="77777777" w:rsidR="00A10B25" w:rsidRDefault="00A10B25">
      <w:pPr>
        <w:pStyle w:val="PL"/>
      </w:pPr>
      <w:r>
        <w:t xml:space="preserve">          application/json:</w:t>
      </w:r>
    </w:p>
    <w:p w14:paraId="5778754A" w14:textId="77777777" w:rsidR="00A10B25" w:rsidRDefault="00A10B25">
      <w:pPr>
        <w:pStyle w:val="PL"/>
      </w:pPr>
      <w:r>
        <w:t xml:space="preserve">            schema:</w:t>
      </w:r>
    </w:p>
    <w:p w14:paraId="433882CE" w14:textId="77777777" w:rsidR="00A10B25" w:rsidRDefault="00A10B25">
      <w:pPr>
        <w:pStyle w:val="PL"/>
      </w:pPr>
      <w:r>
        <w:t xml:space="preserve">              $ref: '#/components/schemas/</w:t>
      </w:r>
      <w:r>
        <w:rPr>
          <w:lang w:eastAsia="ja-JP"/>
        </w:rPr>
        <w:t>RoamingData</w:t>
      </w:r>
      <w:r>
        <w:rPr>
          <w:rFonts w:eastAsia="等线" w:hint="eastAsia"/>
          <w:lang w:eastAsia="zh-CN"/>
        </w:rPr>
        <w:t>Sub</w:t>
      </w:r>
      <w:r>
        <w:t>'</w:t>
      </w:r>
    </w:p>
    <w:p w14:paraId="69FEFA64" w14:textId="77777777" w:rsidR="00A10B25" w:rsidRDefault="00A10B25">
      <w:pPr>
        <w:pStyle w:val="PL"/>
      </w:pPr>
      <w:r>
        <w:t xml:space="preserve">      responses:</w:t>
      </w:r>
    </w:p>
    <w:p w14:paraId="75D8BB32" w14:textId="77777777" w:rsidR="00A10B25" w:rsidRDefault="00A10B25">
      <w:pPr>
        <w:pStyle w:val="PL"/>
      </w:pPr>
      <w:r>
        <w:t xml:space="preserve">        '201':</w:t>
      </w:r>
    </w:p>
    <w:p w14:paraId="16926A72" w14:textId="77777777" w:rsidR="00A10B25" w:rsidRDefault="00A10B25">
      <w:pPr>
        <w:pStyle w:val="PL"/>
      </w:pPr>
      <w:r>
        <w:t xml:space="preserve">          description: Create a new Individual NWDAF Roaming Data Subscription resource.</w:t>
      </w:r>
    </w:p>
    <w:p w14:paraId="0A0A65DE" w14:textId="77777777" w:rsidR="00A10B25" w:rsidRDefault="00A10B25">
      <w:pPr>
        <w:pStyle w:val="PL"/>
        <w:rPr>
          <w:rFonts w:eastAsia="等线"/>
        </w:rPr>
      </w:pPr>
      <w:r>
        <w:rPr>
          <w:rFonts w:eastAsia="等线"/>
        </w:rPr>
        <w:t xml:space="preserve">          headers:</w:t>
      </w:r>
    </w:p>
    <w:p w14:paraId="4BF2AFF1" w14:textId="77777777" w:rsidR="00A10B25" w:rsidRDefault="00A10B25">
      <w:pPr>
        <w:pStyle w:val="PL"/>
        <w:rPr>
          <w:rFonts w:eastAsia="等线"/>
        </w:rPr>
      </w:pPr>
      <w:r>
        <w:rPr>
          <w:rFonts w:eastAsia="等线"/>
        </w:rPr>
        <w:t xml:space="preserve">            Location:</w:t>
      </w:r>
    </w:p>
    <w:p w14:paraId="38549687" w14:textId="77777777" w:rsidR="00A10B25" w:rsidRDefault="00A10B25">
      <w:pPr>
        <w:pStyle w:val="PL"/>
        <w:rPr>
          <w:rFonts w:eastAsia="等线"/>
        </w:rPr>
      </w:pPr>
      <w:r>
        <w:rPr>
          <w:rFonts w:eastAsia="等线"/>
        </w:rPr>
        <w:t xml:space="preserve">              description: &gt;</w:t>
      </w:r>
    </w:p>
    <w:p w14:paraId="201F9B0D" w14:textId="77777777" w:rsidR="00A10B25" w:rsidRDefault="00A10B25">
      <w:pPr>
        <w:pStyle w:val="PL"/>
        <w:rPr>
          <w:rFonts w:eastAsia="等线"/>
        </w:rPr>
      </w:pPr>
      <w:r>
        <w:rPr>
          <w:rFonts w:eastAsia="等线"/>
        </w:rPr>
        <w:t xml:space="preserve">                Contains the URI of the newly created resource, according to the structure</w:t>
      </w:r>
    </w:p>
    <w:p w14:paraId="778C0BAC" w14:textId="77777777" w:rsidR="00A10B25" w:rsidRDefault="00A10B25">
      <w:pPr>
        <w:pStyle w:val="PL"/>
        <w:rPr>
          <w:rFonts w:eastAsia="等线"/>
        </w:rPr>
      </w:pPr>
      <w:r>
        <w:rPr>
          <w:rFonts w:eastAsia="等线"/>
        </w:rPr>
        <w:t xml:space="preserve">                {apiRoot}/</w:t>
      </w:r>
      <w:r>
        <w:t>nnwdaf-roamingdata</w:t>
      </w:r>
      <w:r>
        <w:rPr>
          <w:rFonts w:eastAsia="等线"/>
        </w:rPr>
        <w:t>/&lt;apiVersion&gt;/subscriptions/{subscriptionId}</w:t>
      </w:r>
    </w:p>
    <w:p w14:paraId="52A8D067" w14:textId="77777777" w:rsidR="00A10B25" w:rsidRDefault="00A10B25">
      <w:pPr>
        <w:pStyle w:val="PL"/>
        <w:rPr>
          <w:rFonts w:eastAsia="等线"/>
        </w:rPr>
      </w:pPr>
      <w:r>
        <w:rPr>
          <w:rFonts w:eastAsia="等线"/>
        </w:rPr>
        <w:t xml:space="preserve">              required: true</w:t>
      </w:r>
    </w:p>
    <w:p w14:paraId="314FD044" w14:textId="77777777" w:rsidR="00A10B25" w:rsidRDefault="00A10B25">
      <w:pPr>
        <w:pStyle w:val="PL"/>
        <w:rPr>
          <w:rFonts w:eastAsia="等线"/>
        </w:rPr>
      </w:pPr>
      <w:r>
        <w:rPr>
          <w:rFonts w:eastAsia="等线"/>
        </w:rPr>
        <w:t xml:space="preserve">              schema:</w:t>
      </w:r>
    </w:p>
    <w:p w14:paraId="5DF59A2A" w14:textId="77777777" w:rsidR="00A10B25" w:rsidRDefault="00A10B25">
      <w:pPr>
        <w:pStyle w:val="PL"/>
        <w:rPr>
          <w:rFonts w:eastAsia="等线"/>
        </w:rPr>
      </w:pPr>
      <w:r>
        <w:rPr>
          <w:rFonts w:eastAsia="等线"/>
        </w:rPr>
        <w:t xml:space="preserve">                type: string</w:t>
      </w:r>
    </w:p>
    <w:p w14:paraId="322838D1" w14:textId="77777777" w:rsidR="00A10B25" w:rsidRDefault="00A10B25">
      <w:pPr>
        <w:pStyle w:val="PL"/>
      </w:pPr>
      <w:r>
        <w:t xml:space="preserve">          content:</w:t>
      </w:r>
    </w:p>
    <w:p w14:paraId="4C18718F" w14:textId="77777777" w:rsidR="00A10B25" w:rsidRDefault="00A10B25">
      <w:pPr>
        <w:pStyle w:val="PL"/>
      </w:pPr>
      <w:r>
        <w:t xml:space="preserve">            application/json:</w:t>
      </w:r>
    </w:p>
    <w:p w14:paraId="60C9474D" w14:textId="77777777" w:rsidR="00A10B25" w:rsidRDefault="00A10B25">
      <w:pPr>
        <w:pStyle w:val="PL"/>
      </w:pPr>
      <w:r>
        <w:t xml:space="preserve">              schema:</w:t>
      </w:r>
    </w:p>
    <w:p w14:paraId="24C13256" w14:textId="77777777" w:rsidR="00A10B25" w:rsidRDefault="00A10B25">
      <w:pPr>
        <w:pStyle w:val="PL"/>
      </w:pPr>
      <w:r>
        <w:t xml:space="preserve">                $ref: '#/components/schemas/</w:t>
      </w:r>
      <w:r>
        <w:rPr>
          <w:lang w:eastAsia="ja-JP"/>
        </w:rPr>
        <w:t>RoamingData</w:t>
      </w:r>
      <w:r>
        <w:rPr>
          <w:rFonts w:eastAsia="等线" w:hint="eastAsia"/>
          <w:lang w:eastAsia="zh-CN"/>
        </w:rPr>
        <w:t>Sub</w:t>
      </w:r>
      <w:r>
        <w:t>'</w:t>
      </w:r>
    </w:p>
    <w:p w14:paraId="22B4CD28" w14:textId="77777777" w:rsidR="00A10B25" w:rsidRDefault="00A10B25">
      <w:pPr>
        <w:pStyle w:val="PL"/>
      </w:pPr>
      <w:r>
        <w:t xml:space="preserve">        '400':</w:t>
      </w:r>
    </w:p>
    <w:p w14:paraId="0D2F4F0D" w14:textId="77777777" w:rsidR="00A10B25" w:rsidRDefault="00A10B25">
      <w:pPr>
        <w:pStyle w:val="PL"/>
      </w:pPr>
      <w:r>
        <w:t xml:space="preserve">          $ref: 'TS29571_CommonData.yaml#/components/responses/400'</w:t>
      </w:r>
    </w:p>
    <w:p w14:paraId="6AF85F31" w14:textId="77777777" w:rsidR="00A10B25" w:rsidRDefault="00A10B25">
      <w:pPr>
        <w:pStyle w:val="PL"/>
      </w:pPr>
      <w:r>
        <w:t xml:space="preserve">        '401':</w:t>
      </w:r>
    </w:p>
    <w:p w14:paraId="5568C0DA" w14:textId="77777777" w:rsidR="00A10B25" w:rsidRDefault="00A10B25">
      <w:pPr>
        <w:pStyle w:val="PL"/>
      </w:pPr>
      <w:r>
        <w:t xml:space="preserve">          $ref: 'TS29571_CommonData.yaml#/components/responses/401'</w:t>
      </w:r>
    </w:p>
    <w:p w14:paraId="2EBB5452" w14:textId="77777777" w:rsidR="00A10B25" w:rsidRDefault="00A10B25">
      <w:pPr>
        <w:pStyle w:val="PL"/>
        <w:rPr>
          <w:rFonts w:eastAsia="等线"/>
        </w:rPr>
      </w:pPr>
      <w:r>
        <w:rPr>
          <w:rFonts w:eastAsia="等线"/>
        </w:rPr>
        <w:t xml:space="preserve">        '403':</w:t>
      </w:r>
    </w:p>
    <w:p w14:paraId="639EA18F" w14:textId="77777777" w:rsidR="00A10B25" w:rsidRDefault="00A10B25">
      <w:pPr>
        <w:pStyle w:val="PL"/>
        <w:rPr>
          <w:rFonts w:eastAsia="等线"/>
        </w:rPr>
      </w:pPr>
      <w:r>
        <w:rPr>
          <w:rFonts w:eastAsia="等线"/>
        </w:rPr>
        <w:t xml:space="preserve">          $ref: 'TS29571_CommonData.yaml#/components/responses/403'</w:t>
      </w:r>
    </w:p>
    <w:p w14:paraId="57A8C7A2" w14:textId="77777777" w:rsidR="00A10B25" w:rsidRDefault="00A10B25">
      <w:pPr>
        <w:pStyle w:val="PL"/>
      </w:pPr>
      <w:r>
        <w:t xml:space="preserve">        '404':</w:t>
      </w:r>
    </w:p>
    <w:p w14:paraId="00FF8625" w14:textId="77777777" w:rsidR="00A10B25" w:rsidRDefault="00A10B25">
      <w:pPr>
        <w:pStyle w:val="PL"/>
      </w:pPr>
      <w:r>
        <w:t xml:space="preserve">          $ref: 'TS29571_CommonData.yaml#/components/responses/404'</w:t>
      </w:r>
    </w:p>
    <w:p w14:paraId="65C9E952" w14:textId="77777777" w:rsidR="00A10B25" w:rsidRDefault="00A10B25">
      <w:pPr>
        <w:pStyle w:val="PL"/>
      </w:pPr>
      <w:r>
        <w:t xml:space="preserve">        '411':</w:t>
      </w:r>
    </w:p>
    <w:p w14:paraId="0E08CB41" w14:textId="77777777" w:rsidR="00A10B25" w:rsidRDefault="00A10B25">
      <w:pPr>
        <w:pStyle w:val="PL"/>
      </w:pPr>
      <w:r>
        <w:t xml:space="preserve">          $ref: 'TS29571_CommonData.yaml#/components/responses/411'</w:t>
      </w:r>
    </w:p>
    <w:p w14:paraId="026A411A" w14:textId="77777777" w:rsidR="00A10B25" w:rsidRDefault="00A10B25">
      <w:pPr>
        <w:pStyle w:val="PL"/>
      </w:pPr>
      <w:r>
        <w:t xml:space="preserve">        '413':</w:t>
      </w:r>
    </w:p>
    <w:p w14:paraId="415036AC" w14:textId="77777777" w:rsidR="00A10B25" w:rsidRDefault="00A10B25">
      <w:pPr>
        <w:pStyle w:val="PL"/>
      </w:pPr>
      <w:r>
        <w:t xml:space="preserve">          $ref: 'TS29571_CommonData.yaml#/components/responses/413'</w:t>
      </w:r>
    </w:p>
    <w:p w14:paraId="3D4E2F1E" w14:textId="77777777" w:rsidR="00A10B25" w:rsidRDefault="00A10B25">
      <w:pPr>
        <w:pStyle w:val="PL"/>
      </w:pPr>
      <w:r>
        <w:t xml:space="preserve">        '415':</w:t>
      </w:r>
    </w:p>
    <w:p w14:paraId="7B725914" w14:textId="77777777" w:rsidR="00A10B25" w:rsidRDefault="00A10B25">
      <w:pPr>
        <w:pStyle w:val="PL"/>
      </w:pPr>
      <w:r>
        <w:t xml:space="preserve">          $ref: 'TS29571_CommonData.yaml#/components/responses/415'</w:t>
      </w:r>
    </w:p>
    <w:p w14:paraId="6CD04388" w14:textId="77777777" w:rsidR="00A10B25" w:rsidRDefault="00A10B25">
      <w:pPr>
        <w:pStyle w:val="PL"/>
        <w:rPr>
          <w:rFonts w:eastAsia="等线"/>
        </w:rPr>
      </w:pPr>
      <w:r>
        <w:rPr>
          <w:rFonts w:eastAsia="等线"/>
        </w:rPr>
        <w:t xml:space="preserve">        '429':</w:t>
      </w:r>
    </w:p>
    <w:p w14:paraId="0CBBAE92" w14:textId="77777777" w:rsidR="00A10B25" w:rsidRDefault="00A10B25">
      <w:pPr>
        <w:pStyle w:val="PL"/>
        <w:rPr>
          <w:rFonts w:eastAsia="等线"/>
        </w:rPr>
      </w:pPr>
      <w:r>
        <w:rPr>
          <w:rFonts w:eastAsia="等线"/>
        </w:rPr>
        <w:t xml:space="preserve">          $ref: 'TS29571_CommonData.yaml#/components/responses/429'</w:t>
      </w:r>
    </w:p>
    <w:p w14:paraId="1724DBC0" w14:textId="77777777" w:rsidR="00A10B25" w:rsidRDefault="00A10B25">
      <w:pPr>
        <w:pStyle w:val="PL"/>
      </w:pPr>
      <w:r>
        <w:t xml:space="preserve">        '500':</w:t>
      </w:r>
    </w:p>
    <w:p w14:paraId="7C0F1DE0" w14:textId="77777777" w:rsidR="00A10B25" w:rsidRDefault="00A10B25">
      <w:pPr>
        <w:pStyle w:val="PL"/>
      </w:pPr>
      <w:r>
        <w:t xml:space="preserve">          $ref: 'TS29571_CommonData.yaml#/components/responses/500'</w:t>
      </w:r>
    </w:p>
    <w:p w14:paraId="6AFA255D" w14:textId="77777777" w:rsidR="00A10B25" w:rsidRDefault="00A10B25">
      <w:pPr>
        <w:pStyle w:val="PL"/>
      </w:pPr>
      <w:r>
        <w:t xml:space="preserve">        '502':</w:t>
      </w:r>
    </w:p>
    <w:p w14:paraId="19785EE4" w14:textId="77777777" w:rsidR="00A10B25" w:rsidRDefault="00A10B25">
      <w:pPr>
        <w:pStyle w:val="PL"/>
      </w:pPr>
      <w:r>
        <w:t xml:space="preserve">          $ref: 'TS29571_CommonData.yaml#/components/responses/502'</w:t>
      </w:r>
    </w:p>
    <w:p w14:paraId="39DD1F47" w14:textId="77777777" w:rsidR="00A10B25" w:rsidRDefault="00A10B25">
      <w:pPr>
        <w:pStyle w:val="PL"/>
      </w:pPr>
      <w:r>
        <w:t xml:space="preserve">        '503':</w:t>
      </w:r>
    </w:p>
    <w:p w14:paraId="7305C773" w14:textId="77777777" w:rsidR="00A10B25" w:rsidRDefault="00A10B25">
      <w:pPr>
        <w:pStyle w:val="PL"/>
      </w:pPr>
      <w:r>
        <w:t xml:space="preserve">          $ref: 'TS29571_CommonData.yaml#/components/responses/503'</w:t>
      </w:r>
    </w:p>
    <w:p w14:paraId="3FC16CC1" w14:textId="77777777" w:rsidR="00A10B25" w:rsidRDefault="00A10B25">
      <w:pPr>
        <w:pStyle w:val="PL"/>
      </w:pPr>
      <w:r>
        <w:t xml:space="preserve">        default:</w:t>
      </w:r>
    </w:p>
    <w:p w14:paraId="7A760A31" w14:textId="77777777" w:rsidR="00A10B25" w:rsidRDefault="00A10B25">
      <w:pPr>
        <w:pStyle w:val="PL"/>
      </w:pPr>
      <w:r>
        <w:t xml:space="preserve">          $ref: 'TS29571_CommonData.yaml#/components/responses/default'</w:t>
      </w:r>
    </w:p>
    <w:p w14:paraId="1D71F117" w14:textId="77777777" w:rsidR="00A10B25" w:rsidRDefault="00A10B25">
      <w:pPr>
        <w:pStyle w:val="PL"/>
      </w:pPr>
      <w:r>
        <w:t xml:space="preserve">      callbacks:</w:t>
      </w:r>
    </w:p>
    <w:p w14:paraId="373AB96D" w14:textId="77777777" w:rsidR="00A10B25" w:rsidRDefault="00A10B25">
      <w:pPr>
        <w:pStyle w:val="PL"/>
      </w:pPr>
      <w:r>
        <w:t xml:space="preserve">        myNotification:</w:t>
      </w:r>
    </w:p>
    <w:p w14:paraId="62E85BAB" w14:textId="77777777" w:rsidR="00A10B25" w:rsidRDefault="00A10B25">
      <w:pPr>
        <w:pStyle w:val="PL"/>
      </w:pPr>
      <w:r>
        <w:t xml:space="preserve">          '{$request.body#/notificationUri}': </w:t>
      </w:r>
    </w:p>
    <w:p w14:paraId="07119D7F" w14:textId="77777777" w:rsidR="00A10B25" w:rsidRDefault="00A10B25">
      <w:pPr>
        <w:pStyle w:val="PL"/>
      </w:pPr>
      <w:r>
        <w:t xml:space="preserve">            post:</w:t>
      </w:r>
    </w:p>
    <w:p w14:paraId="49D3B39A" w14:textId="77777777" w:rsidR="00A10B25" w:rsidRDefault="00A10B25">
      <w:pPr>
        <w:pStyle w:val="PL"/>
      </w:pPr>
      <w:r>
        <w:lastRenderedPageBreak/>
        <w:t xml:space="preserve">              requestBody:</w:t>
      </w:r>
    </w:p>
    <w:p w14:paraId="599E0A10" w14:textId="77777777" w:rsidR="00A10B25" w:rsidRDefault="00A10B25">
      <w:pPr>
        <w:pStyle w:val="PL"/>
      </w:pPr>
      <w:r>
        <w:t xml:space="preserve">                required: true</w:t>
      </w:r>
    </w:p>
    <w:p w14:paraId="1EF4EFF7" w14:textId="77777777" w:rsidR="00A10B25" w:rsidRDefault="00A10B25">
      <w:pPr>
        <w:pStyle w:val="PL"/>
      </w:pPr>
      <w:r>
        <w:t xml:space="preserve">                content:</w:t>
      </w:r>
    </w:p>
    <w:p w14:paraId="35A69CA4" w14:textId="77777777" w:rsidR="00A10B25" w:rsidRDefault="00A10B25">
      <w:pPr>
        <w:pStyle w:val="PL"/>
      </w:pPr>
      <w:r>
        <w:t xml:space="preserve">                  application/json:</w:t>
      </w:r>
    </w:p>
    <w:p w14:paraId="53D4051C" w14:textId="77777777" w:rsidR="00640768" w:rsidRPr="000C2412"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C2412">
        <w:rPr>
          <w:rFonts w:ascii="Courier New" w:hAnsi="Courier New"/>
          <w:sz w:val="16"/>
        </w:rPr>
        <w:t xml:space="preserve">                    schema:</w:t>
      </w:r>
    </w:p>
    <w:p w14:paraId="07D4F298" w14:textId="77777777" w:rsidR="00640768" w:rsidRPr="000C2412" w:rsidRDefault="00640768" w:rsidP="006407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C2412">
        <w:rPr>
          <w:rFonts w:ascii="Courier New" w:hAnsi="Courier New"/>
          <w:sz w:val="16"/>
        </w:rPr>
        <w:t xml:space="preserve">                      $ref: 'TS29520_Nnwdaf_DataManagement.yaml#/components/schemas/</w:t>
      </w:r>
      <w:r w:rsidRPr="000C2412">
        <w:rPr>
          <w:rFonts w:ascii="Courier New" w:eastAsia="等线" w:hAnsi="Courier New"/>
          <w:sz w:val="16"/>
        </w:rPr>
        <w:t>NnwdafDataManagementNotif</w:t>
      </w:r>
      <w:r w:rsidRPr="000C2412">
        <w:rPr>
          <w:rFonts w:ascii="Courier New" w:hAnsi="Courier New"/>
          <w:sz w:val="16"/>
        </w:rPr>
        <w:t>'</w:t>
      </w:r>
    </w:p>
    <w:p w14:paraId="0F6B6885" w14:textId="77777777" w:rsidR="00A10B25" w:rsidRDefault="00A10B25">
      <w:pPr>
        <w:pStyle w:val="PL"/>
      </w:pPr>
      <w:r>
        <w:t xml:space="preserve">              responses:</w:t>
      </w:r>
    </w:p>
    <w:p w14:paraId="26956BBE" w14:textId="77777777" w:rsidR="00A10B25" w:rsidRDefault="00A10B25">
      <w:pPr>
        <w:pStyle w:val="PL"/>
      </w:pPr>
      <w:r>
        <w:t xml:space="preserve">                '204':</w:t>
      </w:r>
    </w:p>
    <w:p w14:paraId="4D531F0E" w14:textId="77777777" w:rsidR="00A10B25" w:rsidRDefault="00A10B25">
      <w:pPr>
        <w:pStyle w:val="PL"/>
      </w:pPr>
      <w:r>
        <w:t xml:space="preserve">                  description: The receipt of the Notification is acknowledged.</w:t>
      </w:r>
    </w:p>
    <w:p w14:paraId="08DB3D6C" w14:textId="77777777" w:rsidR="00A10B25" w:rsidRDefault="00A10B25">
      <w:pPr>
        <w:pStyle w:val="PL"/>
      </w:pPr>
      <w:r>
        <w:t xml:space="preserve">                '307':</w:t>
      </w:r>
    </w:p>
    <w:p w14:paraId="5DD009D6" w14:textId="77777777" w:rsidR="00A10B25" w:rsidRDefault="00A10B25">
      <w:pPr>
        <w:pStyle w:val="PL"/>
      </w:pPr>
      <w:r>
        <w:t xml:space="preserve">                  $ref: 'TS29571_CommonData.yaml#/components/responses/307'</w:t>
      </w:r>
    </w:p>
    <w:p w14:paraId="11163A06" w14:textId="77777777" w:rsidR="00A10B25" w:rsidRDefault="00A10B25">
      <w:pPr>
        <w:pStyle w:val="PL"/>
      </w:pPr>
      <w:r>
        <w:t xml:space="preserve">                '308':</w:t>
      </w:r>
    </w:p>
    <w:p w14:paraId="1CBCC582" w14:textId="77777777" w:rsidR="00A10B25" w:rsidRDefault="00A10B25">
      <w:pPr>
        <w:pStyle w:val="PL"/>
      </w:pPr>
      <w:r>
        <w:t xml:space="preserve">                  $ref: 'TS29571_CommonData.yaml#/components/responses/308'</w:t>
      </w:r>
    </w:p>
    <w:p w14:paraId="10F1D117" w14:textId="77777777" w:rsidR="00A10B25" w:rsidRDefault="00A10B25">
      <w:pPr>
        <w:pStyle w:val="PL"/>
      </w:pPr>
      <w:r>
        <w:t xml:space="preserve">                '400':</w:t>
      </w:r>
    </w:p>
    <w:p w14:paraId="27EF1010" w14:textId="77777777" w:rsidR="00A10B25" w:rsidRDefault="00A10B25">
      <w:pPr>
        <w:pStyle w:val="PL"/>
      </w:pPr>
      <w:r>
        <w:t xml:space="preserve">                  $ref: 'TS29571_CommonData.yaml#/components/responses/400'</w:t>
      </w:r>
    </w:p>
    <w:p w14:paraId="1947EBD7" w14:textId="77777777" w:rsidR="00A10B25" w:rsidRDefault="00A10B25">
      <w:pPr>
        <w:pStyle w:val="PL"/>
      </w:pPr>
      <w:r>
        <w:t xml:space="preserve">                '401':</w:t>
      </w:r>
    </w:p>
    <w:p w14:paraId="772F4928" w14:textId="77777777" w:rsidR="00A10B25" w:rsidRDefault="00A10B25">
      <w:pPr>
        <w:pStyle w:val="PL"/>
      </w:pPr>
      <w:r>
        <w:t xml:space="preserve">                  $ref: 'TS29571_CommonData.yaml#/components/responses/401'</w:t>
      </w:r>
    </w:p>
    <w:p w14:paraId="6C166A41" w14:textId="77777777" w:rsidR="00A10B25" w:rsidRDefault="00A10B25">
      <w:pPr>
        <w:pStyle w:val="PL"/>
        <w:rPr>
          <w:rFonts w:eastAsia="等线"/>
        </w:rPr>
      </w:pPr>
      <w:r>
        <w:rPr>
          <w:rFonts w:eastAsia="等线"/>
        </w:rPr>
        <w:t xml:space="preserve">                '403':</w:t>
      </w:r>
    </w:p>
    <w:p w14:paraId="32F74104" w14:textId="77777777" w:rsidR="00A10B25" w:rsidRDefault="00A10B25">
      <w:pPr>
        <w:pStyle w:val="PL"/>
        <w:rPr>
          <w:rFonts w:eastAsia="等线"/>
        </w:rPr>
      </w:pPr>
      <w:r>
        <w:rPr>
          <w:rFonts w:eastAsia="等线"/>
        </w:rPr>
        <w:t xml:space="preserve">                  $ref: 'TS29571_CommonData.yaml#/components/responses/403'</w:t>
      </w:r>
    </w:p>
    <w:p w14:paraId="5286049A" w14:textId="77777777" w:rsidR="00A10B25" w:rsidRDefault="00A10B25">
      <w:pPr>
        <w:pStyle w:val="PL"/>
      </w:pPr>
      <w:r>
        <w:t xml:space="preserve">                '404':</w:t>
      </w:r>
    </w:p>
    <w:p w14:paraId="7A6B7317" w14:textId="77777777" w:rsidR="00A10B25" w:rsidRDefault="00A10B25">
      <w:pPr>
        <w:pStyle w:val="PL"/>
      </w:pPr>
      <w:r>
        <w:t xml:space="preserve">                  $ref: 'TS29571_CommonData.yaml#/components/responses/404'</w:t>
      </w:r>
    </w:p>
    <w:p w14:paraId="072B2FD2" w14:textId="77777777" w:rsidR="00A10B25" w:rsidRDefault="00A10B25">
      <w:pPr>
        <w:pStyle w:val="PL"/>
      </w:pPr>
      <w:r>
        <w:t xml:space="preserve">                '411':</w:t>
      </w:r>
    </w:p>
    <w:p w14:paraId="1ED64583" w14:textId="77777777" w:rsidR="00A10B25" w:rsidRDefault="00A10B25">
      <w:pPr>
        <w:pStyle w:val="PL"/>
      </w:pPr>
      <w:r>
        <w:t xml:space="preserve">                  $ref: 'TS29571_CommonData.yaml#/components/responses/411'</w:t>
      </w:r>
    </w:p>
    <w:p w14:paraId="1D356B3D" w14:textId="77777777" w:rsidR="00A10B25" w:rsidRDefault="00A10B25">
      <w:pPr>
        <w:pStyle w:val="PL"/>
      </w:pPr>
      <w:r>
        <w:t xml:space="preserve">                '413':</w:t>
      </w:r>
    </w:p>
    <w:p w14:paraId="255FC2ED" w14:textId="77777777" w:rsidR="00A10B25" w:rsidRDefault="00A10B25">
      <w:pPr>
        <w:pStyle w:val="PL"/>
      </w:pPr>
      <w:r>
        <w:t xml:space="preserve">                  $ref: 'TS29571_CommonData.yaml#/components/responses/413'</w:t>
      </w:r>
    </w:p>
    <w:p w14:paraId="65C5C7AD" w14:textId="77777777" w:rsidR="00A10B25" w:rsidRDefault="00A10B25">
      <w:pPr>
        <w:pStyle w:val="PL"/>
      </w:pPr>
      <w:r>
        <w:t xml:space="preserve">                '415':</w:t>
      </w:r>
    </w:p>
    <w:p w14:paraId="6F8A1FEC" w14:textId="77777777" w:rsidR="00A10B25" w:rsidRDefault="00A10B25">
      <w:pPr>
        <w:pStyle w:val="PL"/>
      </w:pPr>
      <w:r>
        <w:t xml:space="preserve">                  $ref: 'TS29571_CommonData.yaml#/components/responses/415'</w:t>
      </w:r>
    </w:p>
    <w:p w14:paraId="20F7860A" w14:textId="77777777" w:rsidR="00A10B25" w:rsidRDefault="00A10B25">
      <w:pPr>
        <w:pStyle w:val="PL"/>
        <w:rPr>
          <w:rFonts w:eastAsia="等线"/>
        </w:rPr>
      </w:pPr>
      <w:r>
        <w:rPr>
          <w:rFonts w:eastAsia="等线"/>
        </w:rPr>
        <w:t xml:space="preserve">                '429':</w:t>
      </w:r>
    </w:p>
    <w:p w14:paraId="52DDF749" w14:textId="77777777" w:rsidR="00A10B25" w:rsidRDefault="00A10B25">
      <w:pPr>
        <w:pStyle w:val="PL"/>
        <w:rPr>
          <w:rFonts w:eastAsia="等线"/>
        </w:rPr>
      </w:pPr>
      <w:r>
        <w:rPr>
          <w:rFonts w:eastAsia="等线"/>
        </w:rPr>
        <w:t xml:space="preserve">                  $ref: 'TS29571_CommonData.yaml#/components/responses/429'</w:t>
      </w:r>
    </w:p>
    <w:p w14:paraId="28649A91" w14:textId="77777777" w:rsidR="00A10B25" w:rsidRDefault="00A10B25">
      <w:pPr>
        <w:pStyle w:val="PL"/>
      </w:pPr>
      <w:r>
        <w:t xml:space="preserve">                '500':</w:t>
      </w:r>
    </w:p>
    <w:p w14:paraId="368A677F" w14:textId="77777777" w:rsidR="00A10B25" w:rsidRDefault="00A10B25">
      <w:pPr>
        <w:pStyle w:val="PL"/>
      </w:pPr>
      <w:r>
        <w:t xml:space="preserve">                  $ref: 'TS29571_CommonData.yaml#/components/responses/500'</w:t>
      </w:r>
    </w:p>
    <w:p w14:paraId="76B13D2A" w14:textId="77777777" w:rsidR="00A10B25" w:rsidRDefault="00A10B25">
      <w:pPr>
        <w:pStyle w:val="PL"/>
      </w:pPr>
      <w:r>
        <w:t xml:space="preserve">                '502':</w:t>
      </w:r>
    </w:p>
    <w:p w14:paraId="08845FC9" w14:textId="77777777" w:rsidR="00A10B25" w:rsidRDefault="00A10B25">
      <w:pPr>
        <w:pStyle w:val="PL"/>
      </w:pPr>
      <w:r>
        <w:t xml:space="preserve">                  $ref: 'TS29571_CommonData.yaml#/components/responses/502'</w:t>
      </w:r>
    </w:p>
    <w:p w14:paraId="595B484F" w14:textId="77777777" w:rsidR="00A10B25" w:rsidRDefault="00A10B25">
      <w:pPr>
        <w:pStyle w:val="PL"/>
      </w:pPr>
      <w:r>
        <w:t xml:space="preserve">                '503':</w:t>
      </w:r>
    </w:p>
    <w:p w14:paraId="1DF1D193" w14:textId="77777777" w:rsidR="00A10B25" w:rsidRDefault="00A10B25">
      <w:pPr>
        <w:pStyle w:val="PL"/>
      </w:pPr>
      <w:r>
        <w:t xml:space="preserve">                  $ref: 'TS29571_CommonData.yaml#/components/responses/503'</w:t>
      </w:r>
    </w:p>
    <w:p w14:paraId="6101A3D5" w14:textId="77777777" w:rsidR="00A10B25" w:rsidRDefault="00A10B25">
      <w:pPr>
        <w:pStyle w:val="PL"/>
      </w:pPr>
      <w:r>
        <w:t xml:space="preserve">                default:</w:t>
      </w:r>
    </w:p>
    <w:p w14:paraId="16F6FB66" w14:textId="77777777" w:rsidR="00A10B25" w:rsidRDefault="00A10B25">
      <w:pPr>
        <w:pStyle w:val="PL"/>
      </w:pPr>
      <w:r>
        <w:t xml:space="preserve">                  $ref: 'TS29571_CommonData.yaml#/components/responses/default'</w:t>
      </w:r>
    </w:p>
    <w:p w14:paraId="1C172371" w14:textId="77777777" w:rsidR="00A10B25" w:rsidRDefault="00A10B25">
      <w:pPr>
        <w:pStyle w:val="PL"/>
      </w:pPr>
    </w:p>
    <w:p w14:paraId="3EB7600C" w14:textId="77777777" w:rsidR="00A10B25" w:rsidRDefault="00A10B25">
      <w:pPr>
        <w:pStyle w:val="PL"/>
      </w:pPr>
      <w:r>
        <w:t xml:space="preserve">  /subscriptions/{subscriptionId}:</w:t>
      </w:r>
    </w:p>
    <w:p w14:paraId="1BEC7677" w14:textId="77777777" w:rsidR="00A10B25" w:rsidRDefault="00A10B25">
      <w:pPr>
        <w:pStyle w:val="PL"/>
      </w:pPr>
      <w:r>
        <w:t xml:space="preserve">    put:</w:t>
      </w:r>
    </w:p>
    <w:p w14:paraId="59897F5B" w14:textId="77777777" w:rsidR="00A10B25" w:rsidRDefault="00A10B25">
      <w:pPr>
        <w:pStyle w:val="PL"/>
      </w:pPr>
      <w:r>
        <w:t xml:space="preserve">      summary: Update an existing Individual NWDAF Roaming Data Subscription resource</w:t>
      </w:r>
      <w:r>
        <w:rPr>
          <w:rFonts w:hint="eastAsia"/>
          <w:lang w:eastAsia="zh-CN"/>
        </w:rPr>
        <w:t>.</w:t>
      </w:r>
    </w:p>
    <w:p w14:paraId="0AE7B4E2" w14:textId="77777777" w:rsidR="00A10B25" w:rsidRDefault="00A10B25">
      <w:pPr>
        <w:pStyle w:val="PL"/>
      </w:pPr>
      <w:r>
        <w:t xml:space="preserve">      operationId: UpdateNWDAFRoamingDataSubscription</w:t>
      </w:r>
    </w:p>
    <w:p w14:paraId="7612E803" w14:textId="77777777" w:rsidR="00A10B25" w:rsidRDefault="00A10B25">
      <w:pPr>
        <w:pStyle w:val="PL"/>
      </w:pPr>
      <w:r>
        <w:t xml:space="preserve">      tags:</w:t>
      </w:r>
    </w:p>
    <w:p w14:paraId="4E5BB7D8" w14:textId="77777777" w:rsidR="00A10B25" w:rsidRDefault="00A10B25">
      <w:pPr>
        <w:pStyle w:val="PL"/>
      </w:pPr>
      <w:r>
        <w:t xml:space="preserve">        - Individual NWDAF Roaming Data Subscription resource (Document)</w:t>
      </w:r>
    </w:p>
    <w:p w14:paraId="2FA8C3F1" w14:textId="77777777" w:rsidR="00A10B25" w:rsidRDefault="00A10B25">
      <w:pPr>
        <w:pStyle w:val="PL"/>
      </w:pPr>
      <w:r>
        <w:t xml:space="preserve">      requestBody:</w:t>
      </w:r>
    </w:p>
    <w:p w14:paraId="7871D2A8" w14:textId="77777777" w:rsidR="00A10B25" w:rsidRDefault="00A10B25">
      <w:pPr>
        <w:pStyle w:val="PL"/>
      </w:pPr>
      <w:r>
        <w:t xml:space="preserve">        required: true</w:t>
      </w:r>
    </w:p>
    <w:p w14:paraId="41AB7CA1" w14:textId="77777777" w:rsidR="00A10B25" w:rsidRDefault="00A10B25">
      <w:pPr>
        <w:pStyle w:val="PL"/>
      </w:pPr>
      <w:r>
        <w:t xml:space="preserve">        content:</w:t>
      </w:r>
    </w:p>
    <w:p w14:paraId="6AD9013B" w14:textId="77777777" w:rsidR="00A10B25" w:rsidRDefault="00A10B25">
      <w:pPr>
        <w:pStyle w:val="PL"/>
      </w:pPr>
      <w:r>
        <w:t xml:space="preserve">          application/json:</w:t>
      </w:r>
    </w:p>
    <w:p w14:paraId="22111EFC" w14:textId="77777777" w:rsidR="00A10B25" w:rsidRDefault="00A10B25">
      <w:pPr>
        <w:pStyle w:val="PL"/>
      </w:pPr>
      <w:r>
        <w:t xml:space="preserve">            schema:</w:t>
      </w:r>
    </w:p>
    <w:p w14:paraId="05DE686A" w14:textId="77777777" w:rsidR="00A10B25" w:rsidRDefault="00A10B25">
      <w:pPr>
        <w:pStyle w:val="PL"/>
      </w:pPr>
      <w:r>
        <w:t xml:space="preserve">              $ref: '#/components/schemas/</w:t>
      </w:r>
      <w:r>
        <w:rPr>
          <w:lang w:eastAsia="ja-JP"/>
        </w:rPr>
        <w:t>RoamingData</w:t>
      </w:r>
      <w:r>
        <w:rPr>
          <w:rFonts w:eastAsia="等线" w:hint="eastAsia"/>
          <w:lang w:eastAsia="zh-CN"/>
        </w:rPr>
        <w:t>Sub</w:t>
      </w:r>
      <w:r>
        <w:t>'</w:t>
      </w:r>
    </w:p>
    <w:p w14:paraId="40586D32" w14:textId="77777777" w:rsidR="00A10B25" w:rsidRDefault="00A10B25">
      <w:pPr>
        <w:pStyle w:val="PL"/>
      </w:pPr>
      <w:r>
        <w:t xml:space="preserve">      parameters:</w:t>
      </w:r>
    </w:p>
    <w:p w14:paraId="1B61E3F8" w14:textId="77777777" w:rsidR="00A10B25" w:rsidRDefault="00A10B25">
      <w:pPr>
        <w:pStyle w:val="PL"/>
      </w:pPr>
      <w:r>
        <w:t xml:space="preserve">        - name: subscriptionId</w:t>
      </w:r>
    </w:p>
    <w:p w14:paraId="15735B8A" w14:textId="77777777" w:rsidR="00A10B25" w:rsidRDefault="00A10B25">
      <w:pPr>
        <w:pStyle w:val="PL"/>
      </w:pPr>
      <w:r>
        <w:t xml:space="preserve">          in: path</w:t>
      </w:r>
    </w:p>
    <w:p w14:paraId="058B8AB0" w14:textId="77777777" w:rsidR="00A10B25" w:rsidRDefault="00A10B25">
      <w:pPr>
        <w:pStyle w:val="PL"/>
      </w:pPr>
      <w:r>
        <w:t xml:space="preserve">          description: String identifying a subscription to the </w:t>
      </w:r>
      <w:r>
        <w:rPr>
          <w:lang w:val="en-US" w:eastAsia="zh-CN"/>
        </w:rPr>
        <w:t>Nnwdaf_RoamingData</w:t>
      </w:r>
      <w:r>
        <w:t xml:space="preserve"> Service.</w:t>
      </w:r>
    </w:p>
    <w:p w14:paraId="55543556" w14:textId="77777777" w:rsidR="00A10B25" w:rsidRDefault="00A10B25">
      <w:pPr>
        <w:pStyle w:val="PL"/>
      </w:pPr>
      <w:r>
        <w:t xml:space="preserve">          required: true</w:t>
      </w:r>
    </w:p>
    <w:p w14:paraId="1A8F1550" w14:textId="77777777" w:rsidR="00A10B25" w:rsidRDefault="00A10B25">
      <w:pPr>
        <w:pStyle w:val="PL"/>
      </w:pPr>
      <w:r>
        <w:t xml:space="preserve">          schema:</w:t>
      </w:r>
    </w:p>
    <w:p w14:paraId="7E315535" w14:textId="77777777" w:rsidR="00A10B25" w:rsidRDefault="00A10B25">
      <w:pPr>
        <w:pStyle w:val="PL"/>
      </w:pPr>
      <w:r>
        <w:t xml:space="preserve">            type: string</w:t>
      </w:r>
    </w:p>
    <w:p w14:paraId="459EC678" w14:textId="77777777" w:rsidR="00A10B25" w:rsidRDefault="00A10B25">
      <w:pPr>
        <w:pStyle w:val="PL"/>
      </w:pPr>
      <w:r>
        <w:t xml:space="preserve">      responses:</w:t>
      </w:r>
    </w:p>
    <w:p w14:paraId="7730B8F1" w14:textId="77777777" w:rsidR="00A10B25" w:rsidRDefault="00A10B25">
      <w:pPr>
        <w:pStyle w:val="PL"/>
      </w:pPr>
      <w:r>
        <w:t xml:space="preserve">        '200':</w:t>
      </w:r>
    </w:p>
    <w:p w14:paraId="2333DD1B" w14:textId="77777777" w:rsidR="00A10B25" w:rsidRDefault="00A10B25">
      <w:pPr>
        <w:pStyle w:val="PL"/>
      </w:pPr>
      <w:r>
        <w:t xml:space="preserve">          description: &gt;</w:t>
      </w:r>
    </w:p>
    <w:p w14:paraId="17B6097C" w14:textId="77777777" w:rsidR="00A10B25" w:rsidRDefault="00A10B25">
      <w:pPr>
        <w:pStyle w:val="PL"/>
      </w:pPr>
      <w:r>
        <w:t xml:space="preserve">            The Individual NWDAF Roaming Data Subscription resource was modified successfully</w:t>
      </w:r>
    </w:p>
    <w:p w14:paraId="3D96A81F" w14:textId="77777777" w:rsidR="00A10B25" w:rsidRDefault="00A10B25">
      <w:pPr>
        <w:pStyle w:val="PL"/>
      </w:pPr>
      <w:r>
        <w:t xml:space="preserve">            and a representation of that resource is returned.</w:t>
      </w:r>
    </w:p>
    <w:p w14:paraId="57BC9171" w14:textId="77777777" w:rsidR="00A10B25" w:rsidRDefault="00A10B25">
      <w:pPr>
        <w:pStyle w:val="PL"/>
      </w:pPr>
      <w:r>
        <w:t xml:space="preserve">          content:</w:t>
      </w:r>
    </w:p>
    <w:p w14:paraId="78247044" w14:textId="77777777" w:rsidR="00A10B25" w:rsidRDefault="00A10B25">
      <w:pPr>
        <w:pStyle w:val="PL"/>
      </w:pPr>
      <w:r>
        <w:t xml:space="preserve">            application/json:</w:t>
      </w:r>
    </w:p>
    <w:p w14:paraId="28F3E733" w14:textId="77777777" w:rsidR="00A10B25" w:rsidRDefault="00A10B25">
      <w:pPr>
        <w:pStyle w:val="PL"/>
      </w:pPr>
      <w:r>
        <w:t xml:space="preserve">              schema:</w:t>
      </w:r>
    </w:p>
    <w:p w14:paraId="2FF96B2A" w14:textId="77777777" w:rsidR="00A10B25" w:rsidRDefault="00A10B25">
      <w:pPr>
        <w:pStyle w:val="PL"/>
      </w:pPr>
      <w:r>
        <w:t xml:space="preserve">                $ref: '#/components/schemas/</w:t>
      </w:r>
      <w:r>
        <w:rPr>
          <w:lang w:eastAsia="ja-JP"/>
        </w:rPr>
        <w:t>RoamingData</w:t>
      </w:r>
      <w:r>
        <w:rPr>
          <w:rFonts w:eastAsia="等线" w:hint="eastAsia"/>
          <w:lang w:eastAsia="zh-CN"/>
        </w:rPr>
        <w:t>Sub</w:t>
      </w:r>
      <w:r>
        <w:t>'</w:t>
      </w:r>
    </w:p>
    <w:p w14:paraId="0E9109B8" w14:textId="77777777" w:rsidR="00A10B25" w:rsidRDefault="00A10B25">
      <w:pPr>
        <w:pStyle w:val="PL"/>
      </w:pPr>
      <w:r>
        <w:t xml:space="preserve">        '204':</w:t>
      </w:r>
    </w:p>
    <w:p w14:paraId="6D2E9B0D" w14:textId="77777777" w:rsidR="00A10B25" w:rsidRDefault="00A10B25">
      <w:pPr>
        <w:pStyle w:val="PL"/>
      </w:pPr>
      <w:r>
        <w:t xml:space="preserve">          description: &gt;</w:t>
      </w:r>
    </w:p>
    <w:p w14:paraId="2FFF3F4E" w14:textId="77777777" w:rsidR="00A10B25" w:rsidRDefault="00A10B25">
      <w:pPr>
        <w:pStyle w:val="PL"/>
      </w:pPr>
      <w:r>
        <w:t xml:space="preserve">            The Individual NWDAF Roaming Data Subscription resource was modified successfully.</w:t>
      </w:r>
    </w:p>
    <w:p w14:paraId="6E2C574B" w14:textId="77777777" w:rsidR="00A10B25" w:rsidRDefault="00A10B25">
      <w:pPr>
        <w:pStyle w:val="PL"/>
      </w:pPr>
      <w:r>
        <w:t xml:space="preserve">        '307':</w:t>
      </w:r>
    </w:p>
    <w:p w14:paraId="361DCEC9" w14:textId="77777777" w:rsidR="00A10B25" w:rsidRDefault="00A10B25">
      <w:pPr>
        <w:pStyle w:val="PL"/>
      </w:pPr>
      <w:r>
        <w:t xml:space="preserve">          $ref: 'TS29571_CommonData.yaml#/components/responses/307'</w:t>
      </w:r>
    </w:p>
    <w:p w14:paraId="3092B649" w14:textId="77777777" w:rsidR="00A10B25" w:rsidRDefault="00A10B25">
      <w:pPr>
        <w:pStyle w:val="PL"/>
      </w:pPr>
      <w:r>
        <w:t xml:space="preserve">        '308':</w:t>
      </w:r>
    </w:p>
    <w:p w14:paraId="0767CA04" w14:textId="77777777" w:rsidR="00A10B25" w:rsidRDefault="00A10B25">
      <w:pPr>
        <w:pStyle w:val="PL"/>
      </w:pPr>
      <w:r>
        <w:t xml:space="preserve">          $ref: 'TS29571_CommonData.yaml#/components/responses/308'</w:t>
      </w:r>
    </w:p>
    <w:p w14:paraId="33BDB779" w14:textId="77777777" w:rsidR="00A10B25" w:rsidRDefault="00A10B25">
      <w:pPr>
        <w:pStyle w:val="PL"/>
      </w:pPr>
      <w:r>
        <w:t xml:space="preserve">        '400':</w:t>
      </w:r>
    </w:p>
    <w:p w14:paraId="10346365" w14:textId="77777777" w:rsidR="00A10B25" w:rsidRDefault="00A10B25">
      <w:pPr>
        <w:pStyle w:val="PL"/>
      </w:pPr>
      <w:r>
        <w:t xml:space="preserve">          $ref: 'TS29571_CommonData.yaml#/components/responses/400'</w:t>
      </w:r>
    </w:p>
    <w:p w14:paraId="44D5C347" w14:textId="77777777" w:rsidR="00A10B25" w:rsidRDefault="00A10B25">
      <w:pPr>
        <w:pStyle w:val="PL"/>
      </w:pPr>
      <w:r>
        <w:t xml:space="preserve">        '401':</w:t>
      </w:r>
    </w:p>
    <w:p w14:paraId="57B14D5D" w14:textId="77777777" w:rsidR="00A10B25" w:rsidRDefault="00A10B25">
      <w:pPr>
        <w:pStyle w:val="PL"/>
      </w:pPr>
      <w:r>
        <w:t xml:space="preserve">          $ref: 'TS29571_CommonData.yaml#/components/responses/401'</w:t>
      </w:r>
    </w:p>
    <w:p w14:paraId="47F1C911" w14:textId="77777777" w:rsidR="00A10B25" w:rsidRDefault="00A10B25">
      <w:pPr>
        <w:pStyle w:val="PL"/>
        <w:rPr>
          <w:rFonts w:eastAsia="等线"/>
        </w:rPr>
      </w:pPr>
      <w:r>
        <w:rPr>
          <w:rFonts w:eastAsia="等线"/>
        </w:rPr>
        <w:lastRenderedPageBreak/>
        <w:t xml:space="preserve">        '403':</w:t>
      </w:r>
    </w:p>
    <w:p w14:paraId="21BB7AAD" w14:textId="77777777" w:rsidR="00A10B25" w:rsidRDefault="00A10B25">
      <w:pPr>
        <w:pStyle w:val="PL"/>
        <w:rPr>
          <w:rFonts w:eastAsia="等线"/>
        </w:rPr>
      </w:pPr>
      <w:r>
        <w:rPr>
          <w:rFonts w:eastAsia="等线"/>
        </w:rPr>
        <w:t xml:space="preserve">          $ref: 'TS29571_CommonData.yaml#/components/responses/403'</w:t>
      </w:r>
    </w:p>
    <w:p w14:paraId="305E0F19" w14:textId="77777777" w:rsidR="00A10B25" w:rsidRDefault="00A10B25">
      <w:pPr>
        <w:pStyle w:val="PL"/>
      </w:pPr>
      <w:r>
        <w:t xml:space="preserve">        '404':</w:t>
      </w:r>
    </w:p>
    <w:p w14:paraId="2375FA2A" w14:textId="77777777" w:rsidR="00A10B25" w:rsidRDefault="00A10B25">
      <w:pPr>
        <w:pStyle w:val="PL"/>
      </w:pPr>
      <w:r>
        <w:t xml:space="preserve">          $ref: 'TS29571_CommonData.yaml#/components/responses/404'</w:t>
      </w:r>
    </w:p>
    <w:p w14:paraId="000AED10" w14:textId="77777777" w:rsidR="00A10B25" w:rsidRDefault="00A10B25">
      <w:pPr>
        <w:pStyle w:val="PL"/>
      </w:pPr>
      <w:r>
        <w:t xml:space="preserve">        '411':</w:t>
      </w:r>
    </w:p>
    <w:p w14:paraId="3E351D15" w14:textId="77777777" w:rsidR="00A10B25" w:rsidRDefault="00A10B25">
      <w:pPr>
        <w:pStyle w:val="PL"/>
      </w:pPr>
      <w:r>
        <w:t xml:space="preserve">          $ref: 'TS29571_CommonData.yaml#/components/responses/411'</w:t>
      </w:r>
    </w:p>
    <w:p w14:paraId="16A99728" w14:textId="77777777" w:rsidR="00A10B25" w:rsidRDefault="00A10B25">
      <w:pPr>
        <w:pStyle w:val="PL"/>
      </w:pPr>
      <w:r>
        <w:t xml:space="preserve">        '413':</w:t>
      </w:r>
    </w:p>
    <w:p w14:paraId="0318A98F" w14:textId="77777777" w:rsidR="00A10B25" w:rsidRDefault="00A10B25">
      <w:pPr>
        <w:pStyle w:val="PL"/>
      </w:pPr>
      <w:r>
        <w:t xml:space="preserve">          $ref: 'TS29571_CommonData.yaml#/components/responses/413'</w:t>
      </w:r>
    </w:p>
    <w:p w14:paraId="642D8620" w14:textId="77777777" w:rsidR="00A10B25" w:rsidRDefault="00A10B25">
      <w:pPr>
        <w:pStyle w:val="PL"/>
      </w:pPr>
      <w:r>
        <w:t xml:space="preserve">        '415':</w:t>
      </w:r>
    </w:p>
    <w:p w14:paraId="417F55CA" w14:textId="77777777" w:rsidR="00A10B25" w:rsidRDefault="00A10B25">
      <w:pPr>
        <w:pStyle w:val="PL"/>
      </w:pPr>
      <w:r>
        <w:t xml:space="preserve">          $ref: 'TS29571_CommonData.yaml#/components/responses/415'</w:t>
      </w:r>
    </w:p>
    <w:p w14:paraId="4D0B00E5" w14:textId="77777777" w:rsidR="00A10B25" w:rsidRDefault="00A10B25">
      <w:pPr>
        <w:pStyle w:val="PL"/>
        <w:rPr>
          <w:rFonts w:eastAsia="等线"/>
        </w:rPr>
      </w:pPr>
      <w:r>
        <w:rPr>
          <w:rFonts w:eastAsia="等线"/>
        </w:rPr>
        <w:t xml:space="preserve">        '429':</w:t>
      </w:r>
    </w:p>
    <w:p w14:paraId="3A2E3B37" w14:textId="77777777" w:rsidR="00A10B25" w:rsidRDefault="00A10B25">
      <w:pPr>
        <w:pStyle w:val="PL"/>
        <w:rPr>
          <w:rFonts w:eastAsia="等线"/>
        </w:rPr>
      </w:pPr>
      <w:r>
        <w:rPr>
          <w:rFonts w:eastAsia="等线"/>
        </w:rPr>
        <w:t xml:space="preserve">          $ref: 'TS29571_CommonData.yaml#/components/responses/429'</w:t>
      </w:r>
    </w:p>
    <w:p w14:paraId="1AA287A5" w14:textId="77777777" w:rsidR="00A10B25" w:rsidRDefault="00A10B25">
      <w:pPr>
        <w:pStyle w:val="PL"/>
      </w:pPr>
      <w:r>
        <w:t xml:space="preserve">        '500':</w:t>
      </w:r>
    </w:p>
    <w:p w14:paraId="683A9689" w14:textId="77777777" w:rsidR="00A10B25" w:rsidRDefault="00A10B25">
      <w:pPr>
        <w:pStyle w:val="PL"/>
      </w:pPr>
      <w:r>
        <w:t xml:space="preserve">          $ref: 'TS29571_CommonData.yaml#/components/responses/500'</w:t>
      </w:r>
    </w:p>
    <w:p w14:paraId="2AADFE8E" w14:textId="77777777" w:rsidR="00A10B25" w:rsidRDefault="00A10B25">
      <w:pPr>
        <w:pStyle w:val="PL"/>
      </w:pPr>
      <w:r>
        <w:t xml:space="preserve">        '501':</w:t>
      </w:r>
    </w:p>
    <w:p w14:paraId="700B5FEE" w14:textId="77777777" w:rsidR="00A10B25" w:rsidRDefault="00A10B25">
      <w:pPr>
        <w:pStyle w:val="PL"/>
      </w:pPr>
      <w:r>
        <w:t xml:space="preserve">          $ref: 'TS29571_CommonData.yaml#/components/responses/501'</w:t>
      </w:r>
    </w:p>
    <w:p w14:paraId="7F6C1F33" w14:textId="77777777" w:rsidR="00A10B25" w:rsidRDefault="00A10B25">
      <w:pPr>
        <w:pStyle w:val="PL"/>
      </w:pPr>
      <w:r>
        <w:t xml:space="preserve">        '502':</w:t>
      </w:r>
    </w:p>
    <w:p w14:paraId="71F5DD89" w14:textId="77777777" w:rsidR="00A10B25" w:rsidRDefault="00A10B25">
      <w:pPr>
        <w:pStyle w:val="PL"/>
      </w:pPr>
      <w:r>
        <w:t xml:space="preserve">          $ref: 'TS29571_CommonData.yaml#/components/responses/502'</w:t>
      </w:r>
    </w:p>
    <w:p w14:paraId="0040D446" w14:textId="77777777" w:rsidR="00A10B25" w:rsidRDefault="00A10B25">
      <w:pPr>
        <w:pStyle w:val="PL"/>
      </w:pPr>
      <w:r>
        <w:t xml:space="preserve">        '503':</w:t>
      </w:r>
    </w:p>
    <w:p w14:paraId="521C2C83" w14:textId="77777777" w:rsidR="00A10B25" w:rsidRDefault="00A10B25">
      <w:pPr>
        <w:pStyle w:val="PL"/>
      </w:pPr>
      <w:r>
        <w:t xml:space="preserve">          $ref: 'TS29571_CommonData.yaml#/components/responses/503'</w:t>
      </w:r>
    </w:p>
    <w:p w14:paraId="1DE48871" w14:textId="77777777" w:rsidR="00A10B25" w:rsidRDefault="00A10B25">
      <w:pPr>
        <w:pStyle w:val="PL"/>
      </w:pPr>
      <w:r>
        <w:t xml:space="preserve">        default:</w:t>
      </w:r>
    </w:p>
    <w:p w14:paraId="635319A9" w14:textId="77777777" w:rsidR="00A10B25" w:rsidRDefault="00A10B25">
      <w:pPr>
        <w:pStyle w:val="PL"/>
      </w:pPr>
      <w:r>
        <w:t xml:space="preserve">          $ref: 'TS29571_CommonData.yaml#/components/responses/default'</w:t>
      </w:r>
    </w:p>
    <w:p w14:paraId="060C5498" w14:textId="77777777" w:rsidR="00A10B25" w:rsidRDefault="00A10B25">
      <w:pPr>
        <w:pStyle w:val="PL"/>
      </w:pPr>
      <w:r>
        <w:t xml:space="preserve">    delete:</w:t>
      </w:r>
    </w:p>
    <w:p w14:paraId="221609C9" w14:textId="77777777" w:rsidR="00A10B25" w:rsidRDefault="00A10B25">
      <w:pPr>
        <w:pStyle w:val="PL"/>
      </w:pPr>
      <w:r>
        <w:t xml:space="preserve">      summary: Delete an existing Individual NWDAF Roaming Data Subscription</w:t>
      </w:r>
      <w:r>
        <w:rPr>
          <w:rFonts w:hint="eastAsia"/>
          <w:lang w:eastAsia="zh-CN"/>
        </w:rPr>
        <w:t>.</w:t>
      </w:r>
    </w:p>
    <w:p w14:paraId="42823132" w14:textId="77777777" w:rsidR="00A10B25" w:rsidRDefault="00A10B25">
      <w:pPr>
        <w:pStyle w:val="PL"/>
      </w:pPr>
      <w:r>
        <w:t xml:space="preserve">      operationId: DeleteNWDAFRoamingDataSubscription</w:t>
      </w:r>
    </w:p>
    <w:p w14:paraId="17A62874" w14:textId="77777777" w:rsidR="00A10B25" w:rsidRDefault="00A10B25">
      <w:pPr>
        <w:pStyle w:val="PL"/>
      </w:pPr>
      <w:r>
        <w:t xml:space="preserve">      tags:</w:t>
      </w:r>
    </w:p>
    <w:p w14:paraId="5C6AA316" w14:textId="77777777" w:rsidR="00A10B25" w:rsidRDefault="00A10B25">
      <w:pPr>
        <w:pStyle w:val="PL"/>
      </w:pPr>
      <w:r>
        <w:t xml:space="preserve">        - Individual NWDAF Roaming Data Subscription (Document)</w:t>
      </w:r>
    </w:p>
    <w:p w14:paraId="01FF5EA2" w14:textId="77777777" w:rsidR="00A10B25" w:rsidRDefault="00A10B25">
      <w:pPr>
        <w:pStyle w:val="PL"/>
      </w:pPr>
      <w:r>
        <w:t xml:space="preserve">      parameters:</w:t>
      </w:r>
    </w:p>
    <w:p w14:paraId="3CDE25F3" w14:textId="77777777" w:rsidR="00A10B25" w:rsidRDefault="00A10B25">
      <w:pPr>
        <w:pStyle w:val="PL"/>
      </w:pPr>
      <w:r>
        <w:t xml:space="preserve">        - name: subscriptionId</w:t>
      </w:r>
    </w:p>
    <w:p w14:paraId="31629E7E" w14:textId="77777777" w:rsidR="00A10B25" w:rsidRDefault="00A10B25">
      <w:pPr>
        <w:pStyle w:val="PL"/>
      </w:pPr>
      <w:r>
        <w:t xml:space="preserve">          in: path</w:t>
      </w:r>
    </w:p>
    <w:p w14:paraId="2F670FA2" w14:textId="77777777" w:rsidR="00A10B25" w:rsidRDefault="00A10B25">
      <w:pPr>
        <w:pStyle w:val="PL"/>
      </w:pPr>
      <w:r>
        <w:t xml:space="preserve">          description: String identifying a subscription to the </w:t>
      </w:r>
      <w:r>
        <w:rPr>
          <w:lang w:val="en-US" w:eastAsia="zh-CN"/>
        </w:rPr>
        <w:t>Nnwdaf_RoamingData</w:t>
      </w:r>
      <w:r>
        <w:t xml:space="preserve"> Service</w:t>
      </w:r>
    </w:p>
    <w:p w14:paraId="1FCF74BF" w14:textId="77777777" w:rsidR="00A10B25" w:rsidRDefault="00A10B25">
      <w:pPr>
        <w:pStyle w:val="PL"/>
      </w:pPr>
      <w:r>
        <w:t xml:space="preserve">          required: true</w:t>
      </w:r>
    </w:p>
    <w:p w14:paraId="74BE9462" w14:textId="77777777" w:rsidR="00A10B25" w:rsidRDefault="00A10B25">
      <w:pPr>
        <w:pStyle w:val="PL"/>
      </w:pPr>
      <w:r>
        <w:t xml:space="preserve">          schema:</w:t>
      </w:r>
    </w:p>
    <w:p w14:paraId="4E4F5B01" w14:textId="77777777" w:rsidR="00A10B25" w:rsidRDefault="00A10B25">
      <w:pPr>
        <w:pStyle w:val="PL"/>
      </w:pPr>
      <w:r>
        <w:t xml:space="preserve">            type: string</w:t>
      </w:r>
    </w:p>
    <w:p w14:paraId="55630250" w14:textId="77777777" w:rsidR="00A10B25" w:rsidRDefault="00A10B25">
      <w:pPr>
        <w:pStyle w:val="PL"/>
      </w:pPr>
      <w:r>
        <w:t xml:space="preserve">      responses:</w:t>
      </w:r>
    </w:p>
    <w:p w14:paraId="525CA5CE" w14:textId="77777777" w:rsidR="00A10B25" w:rsidRDefault="00A10B25">
      <w:pPr>
        <w:pStyle w:val="PL"/>
      </w:pPr>
      <w:r>
        <w:t xml:space="preserve">        '204':</w:t>
      </w:r>
    </w:p>
    <w:p w14:paraId="4751BB82" w14:textId="77777777" w:rsidR="00A10B25" w:rsidRDefault="00A10B25">
      <w:pPr>
        <w:pStyle w:val="PL"/>
      </w:pPr>
      <w:r>
        <w:t xml:space="preserve">          description: &gt;</w:t>
      </w:r>
    </w:p>
    <w:p w14:paraId="259344BE" w14:textId="77777777" w:rsidR="00A10B25" w:rsidRDefault="00A10B25">
      <w:pPr>
        <w:pStyle w:val="PL"/>
      </w:pPr>
      <w:r>
        <w:t xml:space="preserve">            No Content. The Individual NWDAF Roaming Data Subscription resource matching the</w:t>
      </w:r>
    </w:p>
    <w:p w14:paraId="1DC0F0B0" w14:textId="77777777" w:rsidR="00A10B25" w:rsidRDefault="00A10B25">
      <w:pPr>
        <w:pStyle w:val="PL"/>
      </w:pPr>
      <w:r>
        <w:t xml:space="preserve">            subscriptionId was deleted.</w:t>
      </w:r>
    </w:p>
    <w:p w14:paraId="0DDE443E" w14:textId="77777777" w:rsidR="00A10B25" w:rsidRDefault="00A10B25">
      <w:pPr>
        <w:pStyle w:val="PL"/>
      </w:pPr>
      <w:r>
        <w:t xml:space="preserve">        '307':</w:t>
      </w:r>
    </w:p>
    <w:p w14:paraId="22ECA9C2" w14:textId="77777777" w:rsidR="00A10B25" w:rsidRDefault="00A10B25">
      <w:pPr>
        <w:pStyle w:val="PL"/>
      </w:pPr>
      <w:r>
        <w:t xml:space="preserve">          $ref: 'TS29571_CommonData.yaml#/components/responses/307'</w:t>
      </w:r>
    </w:p>
    <w:p w14:paraId="6C3949E5" w14:textId="77777777" w:rsidR="00A10B25" w:rsidRDefault="00A10B25">
      <w:pPr>
        <w:pStyle w:val="PL"/>
      </w:pPr>
      <w:r>
        <w:t xml:space="preserve">        '308':</w:t>
      </w:r>
    </w:p>
    <w:p w14:paraId="6CD4CEE6" w14:textId="77777777" w:rsidR="00A10B25" w:rsidRDefault="00A10B25">
      <w:pPr>
        <w:pStyle w:val="PL"/>
      </w:pPr>
      <w:r>
        <w:t xml:space="preserve">          $ref: 'TS29571_CommonData.yaml#/components/responses/308'</w:t>
      </w:r>
    </w:p>
    <w:p w14:paraId="3B123F5F" w14:textId="77777777" w:rsidR="00A10B25" w:rsidRDefault="00A10B25">
      <w:pPr>
        <w:pStyle w:val="PL"/>
      </w:pPr>
      <w:r>
        <w:t xml:space="preserve">        '400':</w:t>
      </w:r>
    </w:p>
    <w:p w14:paraId="4615F60E" w14:textId="77777777" w:rsidR="00A10B25" w:rsidRDefault="00A10B25">
      <w:pPr>
        <w:pStyle w:val="PL"/>
      </w:pPr>
      <w:r>
        <w:t xml:space="preserve">          $ref: 'TS29571_CommonData.yaml#/components/responses/400'</w:t>
      </w:r>
    </w:p>
    <w:p w14:paraId="538D490E" w14:textId="77777777" w:rsidR="00A10B25" w:rsidRDefault="00A10B25">
      <w:pPr>
        <w:pStyle w:val="PL"/>
      </w:pPr>
      <w:r>
        <w:t xml:space="preserve">        '401':</w:t>
      </w:r>
    </w:p>
    <w:p w14:paraId="6E389359" w14:textId="77777777" w:rsidR="00A10B25" w:rsidRDefault="00A10B25">
      <w:pPr>
        <w:pStyle w:val="PL"/>
      </w:pPr>
      <w:r>
        <w:t xml:space="preserve">          $ref: 'TS29571_CommonData.yaml#/components/responses/401'</w:t>
      </w:r>
    </w:p>
    <w:p w14:paraId="0B79A171" w14:textId="77777777" w:rsidR="00A10B25" w:rsidRDefault="00A10B25">
      <w:pPr>
        <w:pStyle w:val="PL"/>
        <w:rPr>
          <w:rFonts w:eastAsia="等线"/>
        </w:rPr>
      </w:pPr>
      <w:r>
        <w:rPr>
          <w:rFonts w:eastAsia="等线"/>
        </w:rPr>
        <w:t xml:space="preserve">        '403':</w:t>
      </w:r>
    </w:p>
    <w:p w14:paraId="543312F0" w14:textId="77777777" w:rsidR="00A10B25" w:rsidRDefault="00A10B25">
      <w:pPr>
        <w:pStyle w:val="PL"/>
        <w:rPr>
          <w:rFonts w:eastAsia="等线"/>
        </w:rPr>
      </w:pPr>
      <w:r>
        <w:rPr>
          <w:rFonts w:eastAsia="等线"/>
        </w:rPr>
        <w:t xml:space="preserve">          $ref: 'TS29571_CommonData.yaml#/components/responses/403'</w:t>
      </w:r>
    </w:p>
    <w:p w14:paraId="466A6571" w14:textId="77777777" w:rsidR="00A10B25" w:rsidRDefault="00A10B25">
      <w:pPr>
        <w:pStyle w:val="PL"/>
      </w:pPr>
      <w:r>
        <w:t xml:space="preserve">        '404':</w:t>
      </w:r>
    </w:p>
    <w:p w14:paraId="7AC27B3C" w14:textId="77777777" w:rsidR="00A10B25" w:rsidRDefault="00A10B25">
      <w:pPr>
        <w:pStyle w:val="PL"/>
        <w:rPr>
          <w:rFonts w:eastAsia="等线"/>
        </w:rPr>
      </w:pPr>
      <w:r>
        <w:rPr>
          <w:rFonts w:eastAsia="等线"/>
        </w:rPr>
        <w:t xml:space="preserve">          $ref: 'TS29571_CommonData.yaml#/components/responses/404'</w:t>
      </w:r>
    </w:p>
    <w:p w14:paraId="11FEAF2D" w14:textId="77777777" w:rsidR="00A10B25" w:rsidRDefault="00A10B25">
      <w:pPr>
        <w:pStyle w:val="PL"/>
        <w:rPr>
          <w:rFonts w:eastAsia="等线"/>
        </w:rPr>
      </w:pPr>
      <w:r>
        <w:rPr>
          <w:rFonts w:eastAsia="等线"/>
        </w:rPr>
        <w:t xml:space="preserve">        '429':</w:t>
      </w:r>
    </w:p>
    <w:p w14:paraId="729306EB" w14:textId="77777777" w:rsidR="00A10B25" w:rsidRDefault="00A10B25">
      <w:pPr>
        <w:pStyle w:val="PL"/>
        <w:rPr>
          <w:rFonts w:eastAsia="等线"/>
        </w:rPr>
      </w:pPr>
      <w:r>
        <w:rPr>
          <w:rFonts w:eastAsia="等线"/>
        </w:rPr>
        <w:t xml:space="preserve">          $ref: 'TS29571_CommonData.yaml#/components/responses/429'</w:t>
      </w:r>
    </w:p>
    <w:p w14:paraId="0D7D60B5" w14:textId="77777777" w:rsidR="00A10B25" w:rsidRDefault="00A10B25">
      <w:pPr>
        <w:pStyle w:val="PL"/>
      </w:pPr>
      <w:r>
        <w:t xml:space="preserve">        '500':</w:t>
      </w:r>
    </w:p>
    <w:p w14:paraId="1DF3B2A2" w14:textId="77777777" w:rsidR="00A10B25" w:rsidRDefault="00A10B25">
      <w:pPr>
        <w:pStyle w:val="PL"/>
      </w:pPr>
      <w:r>
        <w:t xml:space="preserve">          $ref: 'TS29571_CommonData.yaml#/components/responses/500'</w:t>
      </w:r>
    </w:p>
    <w:p w14:paraId="2918B124" w14:textId="77777777" w:rsidR="00A10B25" w:rsidRDefault="00A10B25">
      <w:pPr>
        <w:pStyle w:val="PL"/>
      </w:pPr>
      <w:r>
        <w:t xml:space="preserve">        '501':</w:t>
      </w:r>
    </w:p>
    <w:p w14:paraId="33508613" w14:textId="77777777" w:rsidR="00A10B25" w:rsidRDefault="00A10B25">
      <w:pPr>
        <w:pStyle w:val="PL"/>
      </w:pPr>
      <w:r>
        <w:t xml:space="preserve">          $ref: 'TS29571_CommonData.yaml#/components/responses/501'</w:t>
      </w:r>
    </w:p>
    <w:p w14:paraId="33345222" w14:textId="77777777" w:rsidR="00A10B25" w:rsidRDefault="00A10B25">
      <w:pPr>
        <w:pStyle w:val="PL"/>
      </w:pPr>
      <w:r>
        <w:t xml:space="preserve">        '502':</w:t>
      </w:r>
    </w:p>
    <w:p w14:paraId="793FA3E9" w14:textId="77777777" w:rsidR="00A10B25" w:rsidRDefault="00A10B25">
      <w:pPr>
        <w:pStyle w:val="PL"/>
      </w:pPr>
      <w:r>
        <w:t xml:space="preserve">          $ref: 'TS29571_CommonData.yaml#/components/responses/502'</w:t>
      </w:r>
    </w:p>
    <w:p w14:paraId="19801F60" w14:textId="77777777" w:rsidR="00A10B25" w:rsidRDefault="00A10B25">
      <w:pPr>
        <w:pStyle w:val="PL"/>
      </w:pPr>
      <w:r>
        <w:t xml:space="preserve">        '503':</w:t>
      </w:r>
    </w:p>
    <w:p w14:paraId="634077EB" w14:textId="77777777" w:rsidR="00A10B25" w:rsidRDefault="00A10B25">
      <w:pPr>
        <w:pStyle w:val="PL"/>
      </w:pPr>
      <w:r>
        <w:t xml:space="preserve">          $ref: 'TS29571_CommonData.yaml#/components/responses/503'</w:t>
      </w:r>
    </w:p>
    <w:p w14:paraId="3B456E9A" w14:textId="77777777" w:rsidR="00A10B25" w:rsidRDefault="00A10B25">
      <w:pPr>
        <w:pStyle w:val="PL"/>
      </w:pPr>
      <w:r>
        <w:t xml:space="preserve">        default:</w:t>
      </w:r>
    </w:p>
    <w:p w14:paraId="71B0E9ED" w14:textId="77777777" w:rsidR="00A10B25" w:rsidRDefault="00A10B25">
      <w:pPr>
        <w:pStyle w:val="PL"/>
      </w:pPr>
      <w:r>
        <w:t xml:space="preserve">          $ref: 'TS29571_CommonData.yaml#/components/responses/default'</w:t>
      </w:r>
    </w:p>
    <w:p w14:paraId="2B0B1D17" w14:textId="77777777" w:rsidR="00A10B25" w:rsidRDefault="00A10B25">
      <w:pPr>
        <w:pStyle w:val="PL"/>
      </w:pPr>
    </w:p>
    <w:p w14:paraId="6467B5B9" w14:textId="77777777" w:rsidR="00A10B25" w:rsidRDefault="00A10B25">
      <w:pPr>
        <w:pStyle w:val="PL"/>
      </w:pPr>
      <w:r>
        <w:t>components:</w:t>
      </w:r>
    </w:p>
    <w:p w14:paraId="79B36726" w14:textId="77777777" w:rsidR="00A10B25" w:rsidRDefault="00A10B25">
      <w:pPr>
        <w:pStyle w:val="PL"/>
      </w:pPr>
      <w:r>
        <w:t xml:space="preserve">  securitySchemes:</w:t>
      </w:r>
    </w:p>
    <w:p w14:paraId="7289210D" w14:textId="77777777" w:rsidR="00A10B25" w:rsidRDefault="00A10B25">
      <w:pPr>
        <w:pStyle w:val="PL"/>
      </w:pPr>
      <w:r>
        <w:t xml:space="preserve">    oAuth2ClientCredentials:</w:t>
      </w:r>
    </w:p>
    <w:p w14:paraId="11C5E07E" w14:textId="77777777" w:rsidR="00A10B25" w:rsidRDefault="00A10B25">
      <w:pPr>
        <w:pStyle w:val="PL"/>
      </w:pPr>
      <w:r>
        <w:t xml:space="preserve">      type: oauth2</w:t>
      </w:r>
    </w:p>
    <w:p w14:paraId="6F42037C" w14:textId="77777777" w:rsidR="00A10B25" w:rsidRDefault="00A10B25">
      <w:pPr>
        <w:pStyle w:val="PL"/>
      </w:pPr>
      <w:r>
        <w:t xml:space="preserve">      flows:</w:t>
      </w:r>
    </w:p>
    <w:p w14:paraId="528C9159" w14:textId="77777777" w:rsidR="00A10B25" w:rsidRDefault="00A10B25">
      <w:pPr>
        <w:pStyle w:val="PL"/>
      </w:pPr>
      <w:r>
        <w:t xml:space="preserve">        clientCredentials:</w:t>
      </w:r>
    </w:p>
    <w:p w14:paraId="75B0F359" w14:textId="77777777" w:rsidR="00A10B25" w:rsidRDefault="00A10B25">
      <w:pPr>
        <w:pStyle w:val="PL"/>
      </w:pPr>
      <w:r>
        <w:t xml:space="preserve">          tokenUrl: '{nrfApiRoot}/oauth2/token'</w:t>
      </w:r>
    </w:p>
    <w:p w14:paraId="20748C61" w14:textId="77777777" w:rsidR="00A10B25" w:rsidRDefault="00A10B25">
      <w:pPr>
        <w:pStyle w:val="PL"/>
      </w:pPr>
      <w:r>
        <w:t xml:space="preserve">          scopes:</w:t>
      </w:r>
    </w:p>
    <w:p w14:paraId="323A2035" w14:textId="77777777" w:rsidR="00A10B25" w:rsidRDefault="00A10B25">
      <w:pPr>
        <w:pStyle w:val="PL"/>
      </w:pPr>
      <w:r>
        <w:t xml:space="preserve">            nnwdaf-roamingdata: Access to the </w:t>
      </w:r>
      <w:r>
        <w:rPr>
          <w:lang w:val="en-US" w:eastAsia="zh-CN"/>
        </w:rPr>
        <w:t>Nnwdaf_RoamingData</w:t>
      </w:r>
      <w:r>
        <w:rPr>
          <w:lang w:eastAsia="zh-CN"/>
        </w:rPr>
        <w:t xml:space="preserve"> </w:t>
      </w:r>
      <w:r>
        <w:t>API</w:t>
      </w:r>
    </w:p>
    <w:p w14:paraId="7AF26937" w14:textId="77777777" w:rsidR="00A10B25" w:rsidRDefault="00A10B25">
      <w:pPr>
        <w:pStyle w:val="PL"/>
      </w:pPr>
    </w:p>
    <w:p w14:paraId="40BB6CA0" w14:textId="77777777" w:rsidR="00A10B25" w:rsidRDefault="00A10B25">
      <w:pPr>
        <w:pStyle w:val="PL"/>
      </w:pPr>
      <w:r>
        <w:t xml:space="preserve">  schemas:</w:t>
      </w:r>
    </w:p>
    <w:p w14:paraId="71430386" w14:textId="77777777" w:rsidR="00A10B25" w:rsidRDefault="00A10B25">
      <w:pPr>
        <w:pStyle w:val="PL"/>
        <w:rPr>
          <w:rFonts w:eastAsia="等线"/>
        </w:rPr>
      </w:pPr>
      <w:r>
        <w:t xml:space="preserve">    </w:t>
      </w:r>
      <w:r>
        <w:rPr>
          <w:lang w:eastAsia="ja-JP"/>
        </w:rPr>
        <w:t>RoamingData</w:t>
      </w:r>
      <w:r>
        <w:rPr>
          <w:rFonts w:eastAsia="等线" w:hint="eastAsia"/>
          <w:lang w:eastAsia="zh-CN"/>
        </w:rPr>
        <w:t>Sub</w:t>
      </w:r>
      <w:r>
        <w:rPr>
          <w:rFonts w:eastAsia="等线"/>
        </w:rPr>
        <w:t>:</w:t>
      </w:r>
    </w:p>
    <w:p w14:paraId="32EB1DDF" w14:textId="77777777" w:rsidR="00A10B25" w:rsidRDefault="00A10B25">
      <w:pPr>
        <w:pStyle w:val="PL"/>
      </w:pPr>
      <w:r>
        <w:t xml:space="preserve">      description: &gt;</w:t>
      </w:r>
    </w:p>
    <w:p w14:paraId="00E5C6F6" w14:textId="77777777" w:rsidR="00A10B25" w:rsidRDefault="00A10B25">
      <w:pPr>
        <w:pStyle w:val="PL"/>
      </w:pPr>
      <w:r>
        <w:t xml:space="preserve">        </w:t>
      </w:r>
      <w:r>
        <w:rPr>
          <w:lang w:eastAsia="zh-CN"/>
        </w:rPr>
        <w:t>Represents roaming data subscription information</w:t>
      </w:r>
      <w:r>
        <w:t>.</w:t>
      </w:r>
    </w:p>
    <w:p w14:paraId="0A0E81C5" w14:textId="77777777" w:rsidR="00A10B25" w:rsidRDefault="00A10B25">
      <w:pPr>
        <w:pStyle w:val="PL"/>
      </w:pPr>
      <w:r>
        <w:lastRenderedPageBreak/>
        <w:t xml:space="preserve">      type: object</w:t>
      </w:r>
    </w:p>
    <w:p w14:paraId="69951119" w14:textId="77777777" w:rsidR="00A10B25" w:rsidRDefault="00A10B25">
      <w:pPr>
        <w:pStyle w:val="PL"/>
      </w:pPr>
      <w:r>
        <w:t xml:space="preserve">      properties:</w:t>
      </w:r>
    </w:p>
    <w:p w14:paraId="16BDC9B5" w14:textId="77777777" w:rsidR="00A10B25" w:rsidRDefault="00A10B25">
      <w:pPr>
        <w:pStyle w:val="PL"/>
      </w:pPr>
      <w:r>
        <w:t xml:space="preserve">        notificationUri:</w:t>
      </w:r>
    </w:p>
    <w:p w14:paraId="09EFE9D7" w14:textId="77777777" w:rsidR="00A10B25" w:rsidRDefault="00A10B25">
      <w:pPr>
        <w:pStyle w:val="PL"/>
      </w:pPr>
      <w:r>
        <w:t xml:space="preserve">          $ref: 'TS29571_CommonData.yaml#/components/schemas/Uri'</w:t>
      </w:r>
    </w:p>
    <w:p w14:paraId="53EAA2B7" w14:textId="77777777" w:rsidR="00A10B25" w:rsidRDefault="00A10B25">
      <w:pPr>
        <w:pStyle w:val="PL"/>
      </w:pPr>
      <w:r>
        <w:t xml:space="preserve">        notifCorrId:</w:t>
      </w:r>
    </w:p>
    <w:p w14:paraId="6B711680" w14:textId="77777777" w:rsidR="00A10B25" w:rsidRDefault="00A10B25">
      <w:pPr>
        <w:pStyle w:val="PL"/>
      </w:pPr>
      <w:r>
        <w:t xml:space="preserve">          type: string</w:t>
      </w:r>
    </w:p>
    <w:p w14:paraId="6C792C66" w14:textId="77777777" w:rsidR="00A10B25" w:rsidRDefault="00A10B25">
      <w:pPr>
        <w:pStyle w:val="PL"/>
      </w:pPr>
      <w:r>
        <w:t xml:space="preserve">          description: Notification correlation identifier.</w:t>
      </w:r>
    </w:p>
    <w:p w14:paraId="7FA947A7" w14:textId="77777777" w:rsidR="00A10B25" w:rsidRDefault="00A10B25">
      <w:pPr>
        <w:pStyle w:val="PL"/>
      </w:pPr>
      <w:r>
        <w:t xml:space="preserve">        p</w:t>
      </w:r>
      <w:r>
        <w:rPr>
          <w:rFonts w:hint="eastAsia"/>
        </w:rPr>
        <w:t>lmn</w:t>
      </w:r>
      <w:r>
        <w:t>Id:</w:t>
      </w:r>
    </w:p>
    <w:p w14:paraId="1C2EC296" w14:textId="77777777" w:rsidR="00A10B25" w:rsidRDefault="00A10B25">
      <w:pPr>
        <w:pStyle w:val="PL"/>
      </w:pPr>
      <w:r>
        <w:t xml:space="preserve">          $ref: 'TS29571_CommonData.yaml#/components/schemas/PlmnId'</w:t>
      </w:r>
    </w:p>
    <w:p w14:paraId="48EBC424" w14:textId="77777777" w:rsidR="00A10B25" w:rsidRDefault="00A10B25">
      <w:pPr>
        <w:pStyle w:val="PL"/>
      </w:pPr>
      <w:r>
        <w:t xml:space="preserve">        dataSub:</w:t>
      </w:r>
    </w:p>
    <w:p w14:paraId="17D07624" w14:textId="77777777" w:rsidR="00A10B25" w:rsidRDefault="00A10B25">
      <w:pPr>
        <w:pStyle w:val="PL"/>
      </w:pPr>
      <w:r>
        <w:t xml:space="preserve">          $ref: 'TS29575_Nadrf_DataManagement.yaml#/components/schemas/DataSubscription'</w:t>
      </w:r>
    </w:p>
    <w:p w14:paraId="33510D7C" w14:textId="77777777" w:rsidR="00A10B25" w:rsidRDefault="00A10B25">
      <w:pPr>
        <w:pStyle w:val="PL"/>
      </w:pPr>
      <w:r>
        <w:t xml:space="preserve">        anaSub:</w:t>
      </w:r>
    </w:p>
    <w:p w14:paraId="477F0FAF" w14:textId="77777777" w:rsidR="00A10B25" w:rsidRDefault="00A10B25">
      <w:pPr>
        <w:pStyle w:val="PL"/>
      </w:pPr>
      <w:r>
        <w:t xml:space="preserve">          $ref: 'TS29520_Nnwdaf_EventsSubscription.yaml#/components/schemas/NnwdafEventsSubscription'</w:t>
      </w:r>
    </w:p>
    <w:p w14:paraId="70898AE8" w14:textId="77777777" w:rsidR="00A10B25" w:rsidRDefault="00A10B25">
      <w:pPr>
        <w:pStyle w:val="PL"/>
      </w:pPr>
      <w:r>
        <w:t xml:space="preserve">        formatInstruct:</w:t>
      </w:r>
    </w:p>
    <w:p w14:paraId="67A2DA6B" w14:textId="77777777" w:rsidR="00A10B25" w:rsidRDefault="00A10B25">
      <w:pPr>
        <w:pStyle w:val="PL"/>
      </w:pPr>
      <w:r>
        <w:t xml:space="preserve">          $ref: 'TS29574_Ndccf_DataManagement.yaml#/components/schemas/FormattingInstruction'</w:t>
      </w:r>
    </w:p>
    <w:p w14:paraId="6DA229B0" w14:textId="77777777" w:rsidR="00A10B25" w:rsidRDefault="00A10B25">
      <w:pPr>
        <w:pStyle w:val="PL"/>
      </w:pPr>
      <w:r>
        <w:t xml:space="preserve">        </w:t>
      </w:r>
      <w:r>
        <w:rPr>
          <w:lang w:val="en-US" w:eastAsia="zh-CN"/>
        </w:rPr>
        <w:t>procInstructs</w:t>
      </w:r>
      <w:r w:rsidR="003E70B9">
        <w:rPr>
          <w:lang w:val="en-US" w:eastAsia="zh-CN"/>
        </w:rPr>
        <w:t>:</w:t>
      </w:r>
    </w:p>
    <w:p w14:paraId="01263795" w14:textId="77777777" w:rsidR="00A10B25" w:rsidRDefault="00A10B25">
      <w:pPr>
        <w:pStyle w:val="PL"/>
        <w:rPr>
          <w:lang w:eastAsia="zh-CN"/>
        </w:rPr>
      </w:pPr>
      <w:r>
        <w:rPr>
          <w:rFonts w:hint="eastAsia"/>
          <w:lang w:eastAsia="zh-CN"/>
        </w:rPr>
        <w:t xml:space="preserve"> </w:t>
      </w:r>
      <w:r>
        <w:rPr>
          <w:lang w:eastAsia="zh-CN"/>
        </w:rPr>
        <w:t xml:space="preserve">         type: array</w:t>
      </w:r>
    </w:p>
    <w:p w14:paraId="322EFF4F" w14:textId="77777777" w:rsidR="00A10B25" w:rsidRDefault="00A10B25">
      <w:pPr>
        <w:pStyle w:val="PL"/>
      </w:pPr>
      <w:r>
        <w:rPr>
          <w:rFonts w:hint="eastAsia"/>
          <w:lang w:eastAsia="zh-CN"/>
        </w:rPr>
        <w:t xml:space="preserve"> </w:t>
      </w:r>
      <w:r>
        <w:rPr>
          <w:lang w:eastAsia="zh-CN"/>
        </w:rPr>
        <w:t xml:space="preserve">         items:</w:t>
      </w:r>
    </w:p>
    <w:p w14:paraId="50054BAC" w14:textId="77777777" w:rsidR="00A10B25" w:rsidRDefault="00A10B25">
      <w:pPr>
        <w:pStyle w:val="PL"/>
      </w:pPr>
      <w:r>
        <w:t xml:space="preserve">            </w:t>
      </w:r>
      <w:r>
        <w:rPr>
          <w:lang w:val="en-IN" w:eastAsia="en-IN"/>
        </w:rPr>
        <w:t>$ref: 'TS29574_Ndccf_DataManagement.yaml#/components/schemas/</w:t>
      </w:r>
      <w:r>
        <w:t>ProcessingInstruction'</w:t>
      </w:r>
    </w:p>
    <w:p w14:paraId="7634DFE2" w14:textId="77777777" w:rsidR="00A10B25" w:rsidRDefault="00A10B25">
      <w:pPr>
        <w:pStyle w:val="PL"/>
        <w:rPr>
          <w:lang w:eastAsia="zh-CN"/>
        </w:rPr>
      </w:pPr>
      <w:r>
        <w:rPr>
          <w:lang w:eastAsia="zh-CN"/>
        </w:rPr>
        <w:t xml:space="preserve">          minItems: 1</w:t>
      </w:r>
    </w:p>
    <w:p w14:paraId="657DD3E4" w14:textId="77777777" w:rsidR="00A10B25" w:rsidRDefault="00A10B25">
      <w:pPr>
        <w:pStyle w:val="PL"/>
        <w:rPr>
          <w:lang w:eastAsia="zh-CN"/>
        </w:rPr>
      </w:pPr>
      <w:r>
        <w:rPr>
          <w:lang w:eastAsia="zh-CN"/>
        </w:rPr>
        <w:t xml:space="preserve">          description: Processing instructions to be used for sending event notifications.</w:t>
      </w:r>
    </w:p>
    <w:p w14:paraId="2736B629" w14:textId="77777777" w:rsidR="00A10B25" w:rsidRDefault="00A10B25">
      <w:pPr>
        <w:pStyle w:val="PL"/>
        <w:rPr>
          <w:lang w:eastAsia="zh-CN"/>
        </w:rPr>
      </w:pPr>
      <w:r>
        <w:rPr>
          <w:rFonts w:hint="eastAsia"/>
          <w:lang w:eastAsia="zh-CN"/>
        </w:rPr>
        <w:t xml:space="preserve"> </w:t>
      </w:r>
      <w:r>
        <w:rPr>
          <w:lang w:eastAsia="zh-CN"/>
        </w:rPr>
        <w:t xml:space="preserve">       </w:t>
      </w:r>
      <w:r>
        <w:rPr>
          <w:rFonts w:hint="eastAsia"/>
          <w:lang w:eastAsia="zh-CN"/>
        </w:rPr>
        <w:t>t</w:t>
      </w:r>
      <w:r>
        <w:rPr>
          <w:lang w:eastAsia="zh-CN"/>
        </w:rPr>
        <w:t>imePeriod:</w:t>
      </w:r>
    </w:p>
    <w:p w14:paraId="78F6FEAF"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IN" w:eastAsia="en-IN"/>
        </w:rPr>
      </w:pPr>
      <w:r>
        <w:rPr>
          <w:rFonts w:ascii="Courier New" w:hAnsi="Courier New"/>
          <w:sz w:val="16"/>
          <w:lang w:eastAsia="zh-CN"/>
        </w:rPr>
        <w:t xml:space="preserve">          </w:t>
      </w:r>
      <w:r>
        <w:rPr>
          <w:rFonts w:ascii="Courier New" w:hAnsi="Courier New"/>
          <w:sz w:val="16"/>
          <w:lang w:val="en-IN" w:eastAsia="en-IN"/>
        </w:rPr>
        <w:t>$ref: 'TS29122_CommonData.yaml#/components/schemas/TimeWindow'</w:t>
      </w:r>
    </w:p>
    <w:p w14:paraId="36957DD4" w14:textId="77777777" w:rsidR="00A10B25" w:rsidRDefault="00A10B25">
      <w:pPr>
        <w:pStyle w:val="PL"/>
      </w:pPr>
      <w:r>
        <w:t xml:space="preserve">        targetNfId:</w:t>
      </w:r>
    </w:p>
    <w:p w14:paraId="20090A68" w14:textId="77777777" w:rsidR="00A10B25" w:rsidRDefault="00A10B25">
      <w:pPr>
        <w:pStyle w:val="PL"/>
      </w:pPr>
      <w:r>
        <w:t xml:space="preserve">          $ref: 'TS29571_CommonData.yaml#/components/schemas/NfInstanceId'</w:t>
      </w:r>
    </w:p>
    <w:p w14:paraId="15E0E9D6" w14:textId="77777777" w:rsidR="00A10B25" w:rsidRDefault="00A10B25">
      <w:pPr>
        <w:pStyle w:val="PL"/>
      </w:pPr>
      <w:r>
        <w:t xml:space="preserve">        targetNfSetId:</w:t>
      </w:r>
    </w:p>
    <w:p w14:paraId="7077771A" w14:textId="77777777" w:rsidR="00A10B25" w:rsidRDefault="00A10B25">
      <w:pPr>
        <w:pStyle w:val="PL"/>
      </w:pPr>
      <w:r>
        <w:t xml:space="preserve">          $ref: 'TS29571_CommonData.yaml#/components/schemas/NfSetId'</w:t>
      </w:r>
    </w:p>
    <w:p w14:paraId="322121C6" w14:textId="77777777" w:rsidR="00A10B25" w:rsidRDefault="00A10B25">
      <w:pPr>
        <w:pStyle w:val="PL"/>
      </w:pPr>
      <w:r>
        <w:rPr>
          <w:rFonts w:hint="eastAsia"/>
          <w:lang w:eastAsia="zh-CN"/>
        </w:rPr>
        <w:t xml:space="preserve"> </w:t>
      </w:r>
      <w:r>
        <w:rPr>
          <w:lang w:eastAsia="zh-CN"/>
        </w:rPr>
        <w:t xml:space="preserve">       </w:t>
      </w:r>
      <w:r>
        <w:t>immReport</w:t>
      </w:r>
      <w:r w:rsidR="003E70B9">
        <w:t>:</w:t>
      </w:r>
    </w:p>
    <w:p w14:paraId="3C197030" w14:textId="77777777" w:rsidR="00A10B25" w:rsidRDefault="00A10B25">
      <w:pPr>
        <w:pStyle w:val="PL"/>
        <w:rPr>
          <w:lang w:val="en-IN" w:eastAsia="en-IN"/>
        </w:rPr>
      </w:pPr>
      <w:r>
        <w:rPr>
          <w:lang w:val="en-IN" w:eastAsia="en-IN"/>
        </w:rPr>
        <w:t xml:space="preserve">          $ref: 'TS29520_Nnwdaf_DataManagement.yaml#/components/schemas/NnwdafDataManagementNotif'</w:t>
      </w:r>
    </w:p>
    <w:p w14:paraId="36F1B150" w14:textId="77777777" w:rsidR="00A10B25" w:rsidRDefault="00A10B25">
      <w:pPr>
        <w:pStyle w:val="PL"/>
        <w:rPr>
          <w:lang w:val="en-IN" w:eastAsia="en-IN"/>
        </w:rPr>
      </w:pPr>
      <w:r>
        <w:rPr>
          <w:lang w:val="en-IN" w:eastAsia="en-IN"/>
        </w:rPr>
        <w:t xml:space="preserve">        suppFeat:</w:t>
      </w:r>
    </w:p>
    <w:p w14:paraId="712C15AA" w14:textId="77777777" w:rsidR="00A10B25" w:rsidRDefault="00A10B25">
      <w:pPr>
        <w:pStyle w:val="PL"/>
        <w:rPr>
          <w:lang w:val="en-IN" w:eastAsia="en-IN"/>
        </w:rPr>
      </w:pPr>
      <w:r>
        <w:rPr>
          <w:lang w:val="en-IN" w:eastAsia="en-IN"/>
        </w:rPr>
        <w:t xml:space="preserve">          $ref: 'TS29571_CommonData.yaml#/components/schemas/SupportedFeatures'</w:t>
      </w:r>
    </w:p>
    <w:p w14:paraId="4347FF29" w14:textId="77777777" w:rsidR="00A10B25" w:rsidRDefault="00A10B25">
      <w:pPr>
        <w:pStyle w:val="PL"/>
        <w:rPr>
          <w:lang w:val="en-IN" w:eastAsia="en-IN"/>
        </w:rPr>
      </w:pPr>
      <w:r>
        <w:rPr>
          <w:lang w:val="en-IN" w:eastAsia="en-IN"/>
        </w:rPr>
        <w:t xml:space="preserve">      required:</w:t>
      </w:r>
    </w:p>
    <w:p w14:paraId="3C14B105" w14:textId="77777777" w:rsidR="00A10B25" w:rsidRDefault="00A10B25">
      <w:pPr>
        <w:pStyle w:val="PL"/>
        <w:rPr>
          <w:lang w:val="en-IN" w:eastAsia="en-IN"/>
        </w:rPr>
      </w:pPr>
      <w:r>
        <w:rPr>
          <w:lang w:val="en-IN" w:eastAsia="en-IN"/>
        </w:rPr>
        <w:t xml:space="preserve">        - notificationUri</w:t>
      </w:r>
    </w:p>
    <w:p w14:paraId="00D7E097" w14:textId="77777777" w:rsidR="00A10B25" w:rsidRDefault="00A10B25">
      <w:pPr>
        <w:pStyle w:val="PL"/>
        <w:rPr>
          <w:lang w:val="en-IN" w:eastAsia="en-IN"/>
        </w:rPr>
      </w:pPr>
      <w:r>
        <w:rPr>
          <w:lang w:val="en-IN" w:eastAsia="en-IN"/>
        </w:rPr>
        <w:t xml:space="preserve">        - notifCorrId</w:t>
      </w:r>
    </w:p>
    <w:p w14:paraId="74CFB72D" w14:textId="77777777" w:rsidR="00A10B25" w:rsidRDefault="00A10B25">
      <w:pPr>
        <w:pStyle w:val="PL"/>
        <w:rPr>
          <w:lang w:val="en-IN" w:eastAsia="en-IN"/>
        </w:rPr>
      </w:pPr>
      <w:r>
        <w:rPr>
          <w:lang w:val="en-IN" w:eastAsia="en-IN"/>
        </w:rPr>
        <w:t xml:space="preserve">        - p</w:t>
      </w:r>
      <w:r>
        <w:rPr>
          <w:rFonts w:hint="eastAsia"/>
          <w:lang w:val="en-IN" w:eastAsia="en-IN"/>
        </w:rPr>
        <w:t>lmn</w:t>
      </w:r>
      <w:r>
        <w:rPr>
          <w:lang w:val="en-IN" w:eastAsia="en-IN"/>
        </w:rPr>
        <w:t>Id</w:t>
      </w:r>
    </w:p>
    <w:p w14:paraId="5FB32DA3" w14:textId="77777777" w:rsidR="00A10B25" w:rsidRDefault="00A10B25">
      <w:pPr>
        <w:pStyle w:val="PL"/>
        <w:rPr>
          <w:lang w:val="en-IN" w:eastAsia="en-IN"/>
        </w:rPr>
      </w:pPr>
      <w:r>
        <w:rPr>
          <w:lang w:val="en-IN" w:eastAsia="en-IN"/>
        </w:rPr>
        <w:t xml:space="preserve">      oneOf:</w:t>
      </w:r>
    </w:p>
    <w:p w14:paraId="77EAA7FE" w14:textId="77777777" w:rsidR="00A10B25" w:rsidRDefault="00A10B25">
      <w:pPr>
        <w:pStyle w:val="PL"/>
        <w:rPr>
          <w:lang w:val="en-IN" w:eastAsia="en-IN"/>
        </w:rPr>
      </w:pPr>
      <w:r>
        <w:rPr>
          <w:lang w:val="en-IN" w:eastAsia="en-IN"/>
        </w:rPr>
        <w:t xml:space="preserve">        - required: [anaSub]</w:t>
      </w:r>
    </w:p>
    <w:p w14:paraId="003BBD0E" w14:textId="77777777" w:rsidR="00A10B25" w:rsidRDefault="00A10B25">
      <w:pPr>
        <w:pStyle w:val="PL"/>
        <w:rPr>
          <w:lang w:val="en-IN" w:eastAsia="en-IN"/>
        </w:rPr>
      </w:pPr>
      <w:r>
        <w:rPr>
          <w:lang w:val="en-IN" w:eastAsia="en-IN"/>
        </w:rPr>
        <w:t xml:space="preserve">        - required: [</w:t>
      </w:r>
      <w:r>
        <w:rPr>
          <w:lang w:eastAsia="ja-JP"/>
        </w:rPr>
        <w:t>dataSub</w:t>
      </w:r>
      <w:r>
        <w:rPr>
          <w:lang w:val="en-IN" w:eastAsia="en-IN"/>
        </w:rPr>
        <w:t>]</w:t>
      </w:r>
    </w:p>
    <w:p w14:paraId="0ED06648" w14:textId="77777777" w:rsidR="00A10B25" w:rsidRDefault="00A10B25">
      <w:pPr>
        <w:rPr>
          <w:lang w:val="en-IN"/>
        </w:rPr>
      </w:pPr>
    </w:p>
    <w:p w14:paraId="6BF0815E" w14:textId="77777777" w:rsidR="00A10B25" w:rsidRDefault="00A10B25">
      <w:pPr>
        <w:keepNext/>
        <w:keepLines/>
        <w:pBdr>
          <w:top w:val="single" w:sz="12" w:space="3" w:color="auto"/>
        </w:pBdr>
        <w:spacing w:before="240"/>
        <w:ind w:left="1134" w:hanging="1134"/>
        <w:outlineLvl w:val="0"/>
        <w:rPr>
          <w:rFonts w:ascii="Arial" w:hAnsi="Arial"/>
          <w:sz w:val="36"/>
          <w:lang w:val="en-US" w:eastAsia="zh-CN"/>
        </w:rPr>
      </w:pPr>
      <w:r>
        <w:rPr>
          <w:rFonts w:ascii="Arial" w:hAnsi="Arial"/>
          <w:sz w:val="36"/>
        </w:rPr>
        <w:t>A.9</w:t>
      </w:r>
      <w:r>
        <w:rPr>
          <w:rFonts w:ascii="Arial" w:hAnsi="Arial"/>
          <w:sz w:val="36"/>
        </w:rPr>
        <w:tab/>
      </w:r>
      <w:r>
        <w:rPr>
          <w:rFonts w:ascii="Arial" w:hAnsi="Arial"/>
          <w:sz w:val="36"/>
          <w:lang w:val="en-US" w:eastAsia="zh-CN"/>
        </w:rPr>
        <w:t>Nnwdaf_RoamingAnalytics</w:t>
      </w:r>
      <w:r>
        <w:rPr>
          <w:rFonts w:ascii="Arial" w:hAnsi="Arial"/>
          <w:sz w:val="36"/>
          <w:lang w:val="en-US" w:eastAsia="zh-CN"/>
        </w:rPr>
        <w:t xml:space="preserve"> API</w:t>
      </w:r>
    </w:p>
    <w:p w14:paraId="049FD79D" w14:textId="77777777" w:rsidR="00A10B25" w:rsidRDefault="00A10B25">
      <w:pPr>
        <w:pStyle w:val="PL"/>
      </w:pPr>
      <w:r>
        <w:t>openapi: 3.0.0</w:t>
      </w:r>
    </w:p>
    <w:p w14:paraId="031F4D46" w14:textId="77777777" w:rsidR="00A10B25" w:rsidRDefault="00A10B25">
      <w:pPr>
        <w:pStyle w:val="PL"/>
        <w:rPr>
          <w:lang w:val="fr-FR"/>
        </w:rPr>
      </w:pPr>
    </w:p>
    <w:p w14:paraId="62E4227C" w14:textId="77777777" w:rsidR="00A10B25" w:rsidRDefault="00A10B25">
      <w:pPr>
        <w:pStyle w:val="PL"/>
        <w:rPr>
          <w:lang w:val="fr-FR"/>
        </w:rPr>
      </w:pPr>
      <w:r>
        <w:rPr>
          <w:lang w:val="fr-FR"/>
        </w:rPr>
        <w:t>info:</w:t>
      </w:r>
    </w:p>
    <w:p w14:paraId="650BE7C2" w14:textId="77777777" w:rsidR="00A10B25" w:rsidRDefault="00A10B25">
      <w:pPr>
        <w:pStyle w:val="PL"/>
        <w:rPr>
          <w:lang w:val="fr-FR"/>
        </w:rPr>
      </w:pPr>
      <w:r>
        <w:rPr>
          <w:lang w:val="fr-FR"/>
        </w:rPr>
        <w:t xml:space="preserve">  title: </w:t>
      </w:r>
      <w:r>
        <w:rPr>
          <w:lang w:val="en-US" w:eastAsia="zh-CN"/>
        </w:rPr>
        <w:t>Nnwdaf_RoamingAnalytics</w:t>
      </w:r>
    </w:p>
    <w:p w14:paraId="14C6DFDC" w14:textId="1B75AB83" w:rsidR="00A10B25" w:rsidRDefault="00A10B25">
      <w:pPr>
        <w:pStyle w:val="PL"/>
        <w:rPr>
          <w:lang w:val="fr-FR"/>
        </w:rPr>
      </w:pPr>
      <w:r>
        <w:rPr>
          <w:lang w:val="fr-FR"/>
        </w:rPr>
        <w:t xml:space="preserve">  version: 1.</w:t>
      </w:r>
      <w:r w:rsidR="0020689F">
        <w:rPr>
          <w:lang w:val="fr-FR"/>
        </w:rPr>
        <w:t>1</w:t>
      </w:r>
      <w:r>
        <w:rPr>
          <w:lang w:val="fr-FR"/>
        </w:rPr>
        <w:t>.0</w:t>
      </w:r>
      <w:r w:rsidR="0020689F">
        <w:rPr>
          <w:lang w:val="fr-FR"/>
        </w:rPr>
        <w:t>-alpha.</w:t>
      </w:r>
      <w:r w:rsidR="00CA1A16">
        <w:rPr>
          <w:lang w:val="fr-FR"/>
        </w:rPr>
        <w:t>2</w:t>
      </w:r>
    </w:p>
    <w:p w14:paraId="2C86C15B" w14:textId="77777777" w:rsidR="00A10B25" w:rsidRDefault="00A10B25">
      <w:pPr>
        <w:pStyle w:val="PL"/>
      </w:pPr>
      <w:r>
        <w:rPr>
          <w:lang w:val="fr-FR"/>
        </w:rPr>
        <w:t xml:space="preserve">  description: </w:t>
      </w:r>
      <w:r>
        <w:t>|</w:t>
      </w:r>
    </w:p>
    <w:p w14:paraId="48B49002" w14:textId="77777777" w:rsidR="00A10B25" w:rsidRDefault="00A10B25">
      <w:pPr>
        <w:pStyle w:val="PL"/>
        <w:rPr>
          <w:lang w:val="fr-FR"/>
        </w:rPr>
      </w:pPr>
      <w:r>
        <w:rPr>
          <w:lang w:val="fr-FR"/>
        </w:rPr>
        <w:t xml:space="preserve">    </w:t>
      </w:r>
      <w:r>
        <w:rPr>
          <w:lang w:val="en-US" w:eastAsia="zh-CN"/>
        </w:rPr>
        <w:t>Nnwdaf_RoamingAnalytics</w:t>
      </w:r>
      <w:r>
        <w:t xml:space="preserve"> API</w:t>
      </w:r>
      <w:r>
        <w:rPr>
          <w:lang w:val="fr-FR"/>
        </w:rPr>
        <w:t xml:space="preserve"> Service.  </w:t>
      </w:r>
    </w:p>
    <w:p w14:paraId="52056F4C" w14:textId="77777777" w:rsidR="00A10B25" w:rsidRDefault="00A10B25">
      <w:pPr>
        <w:pStyle w:val="PL"/>
      </w:pPr>
      <w:r>
        <w:t xml:space="preserve">    © </w:t>
      </w:r>
      <w:r w:rsidR="00C86C2F">
        <w:t>202</w:t>
      </w:r>
      <w:r w:rsidR="0020689F">
        <w:rPr>
          <w:lang w:eastAsia="zh-CN"/>
        </w:rPr>
        <w:t>5</w:t>
      </w:r>
      <w:r>
        <w:t xml:space="preserve">, 3GPP Organizational Partners (ARIB, ATIS, CCSA, ETSI, TSDSI, TTA, TTC).  </w:t>
      </w:r>
    </w:p>
    <w:p w14:paraId="358B96E5" w14:textId="77777777" w:rsidR="00A10B25" w:rsidRDefault="00A10B25">
      <w:pPr>
        <w:pStyle w:val="PL"/>
      </w:pPr>
      <w:r>
        <w:t xml:space="preserve">    All rights reserved.</w:t>
      </w:r>
    </w:p>
    <w:p w14:paraId="47289254" w14:textId="77777777" w:rsidR="00A10B25" w:rsidRDefault="00A10B25">
      <w:pPr>
        <w:pStyle w:val="PL"/>
        <w:rPr>
          <w:lang w:val="fr-FR"/>
        </w:rPr>
      </w:pPr>
    </w:p>
    <w:p w14:paraId="7A8270C3" w14:textId="77777777" w:rsidR="00A10B25" w:rsidRDefault="00A10B25">
      <w:pPr>
        <w:pStyle w:val="PL"/>
        <w:rPr>
          <w:lang w:val="fr-FR"/>
        </w:rPr>
      </w:pPr>
      <w:r>
        <w:rPr>
          <w:lang w:val="fr-FR"/>
        </w:rPr>
        <w:t>externalDocs:</w:t>
      </w:r>
    </w:p>
    <w:p w14:paraId="792CD748" w14:textId="0C41721F" w:rsidR="00A10B25" w:rsidRDefault="00A10B25">
      <w:pPr>
        <w:pStyle w:val="PL"/>
        <w:rPr>
          <w:lang w:val="fr-FR"/>
        </w:rPr>
      </w:pPr>
      <w:r>
        <w:rPr>
          <w:lang w:val="fr-FR"/>
        </w:rPr>
        <w:t xml:space="preserve">  description: 3GPP TS 29.520 V</w:t>
      </w:r>
      <w:r>
        <w:rPr>
          <w:rFonts w:eastAsia="等线"/>
        </w:rPr>
        <w:t>1</w:t>
      </w:r>
      <w:r w:rsidR="0020689F">
        <w:rPr>
          <w:rFonts w:eastAsia="等线"/>
        </w:rPr>
        <w:t>9</w:t>
      </w:r>
      <w:r>
        <w:rPr>
          <w:rFonts w:eastAsia="等线"/>
        </w:rPr>
        <w:t>.</w:t>
      </w:r>
      <w:r w:rsidR="00CA1A16">
        <w:rPr>
          <w:rFonts w:eastAsia="等线"/>
          <w:lang w:eastAsia="zh-CN"/>
        </w:rPr>
        <w:t>3</w:t>
      </w:r>
      <w:r>
        <w:rPr>
          <w:rFonts w:eastAsia="等线"/>
        </w:rPr>
        <w:t>.0</w:t>
      </w:r>
      <w:r>
        <w:rPr>
          <w:lang w:val="fr-FR"/>
        </w:rPr>
        <w:t>;</w:t>
      </w:r>
      <w:r>
        <w:rPr>
          <w:rFonts w:eastAsia="等线"/>
        </w:rPr>
        <w:t xml:space="preserve"> 5G System; Network Data Analytics Services</w:t>
      </w:r>
      <w:r>
        <w:rPr>
          <w:lang w:val="fr-FR"/>
        </w:rPr>
        <w:t>.</w:t>
      </w:r>
    </w:p>
    <w:p w14:paraId="484BDB78" w14:textId="77777777" w:rsidR="00A10B25" w:rsidRDefault="00A10B25">
      <w:pPr>
        <w:pStyle w:val="PL"/>
        <w:rPr>
          <w:lang w:val="fr-FR"/>
        </w:rPr>
      </w:pPr>
      <w:r>
        <w:rPr>
          <w:lang w:val="fr-FR"/>
        </w:rPr>
        <w:t xml:space="preserve">  url: https://www.3gpp.org/ftp/Specs/archive/29_series/29.</w:t>
      </w:r>
      <w:r>
        <w:rPr>
          <w:rFonts w:eastAsia="等线"/>
        </w:rPr>
        <w:t>520</w:t>
      </w:r>
      <w:r>
        <w:rPr>
          <w:lang w:val="fr-FR"/>
        </w:rPr>
        <w:t>/</w:t>
      </w:r>
    </w:p>
    <w:p w14:paraId="212F5D3E" w14:textId="77777777" w:rsidR="00A10B25" w:rsidRDefault="00A10B25">
      <w:pPr>
        <w:pStyle w:val="PL"/>
      </w:pPr>
    </w:p>
    <w:p w14:paraId="3118D46A" w14:textId="77777777" w:rsidR="00A10B25" w:rsidRDefault="00A10B25">
      <w:pPr>
        <w:pStyle w:val="PL"/>
      </w:pPr>
      <w:r>
        <w:t>servers:</w:t>
      </w:r>
    </w:p>
    <w:p w14:paraId="2099A586" w14:textId="77777777" w:rsidR="00A10B25" w:rsidRDefault="00A10B25">
      <w:pPr>
        <w:pStyle w:val="PL"/>
      </w:pPr>
      <w:r>
        <w:t xml:space="preserve">  - url: '{apiRoot}/nnwdaf-roaminganalytics/v1'</w:t>
      </w:r>
    </w:p>
    <w:p w14:paraId="416FD64E" w14:textId="77777777" w:rsidR="00A10B25" w:rsidRDefault="00A10B25">
      <w:pPr>
        <w:pStyle w:val="PL"/>
      </w:pPr>
      <w:r>
        <w:t xml:space="preserve">    variables:</w:t>
      </w:r>
    </w:p>
    <w:p w14:paraId="7A7D32E4" w14:textId="77777777" w:rsidR="00A10B25" w:rsidRDefault="00A10B25">
      <w:pPr>
        <w:pStyle w:val="PL"/>
      </w:pPr>
      <w:r>
        <w:t xml:space="preserve">      apiRoot:</w:t>
      </w:r>
    </w:p>
    <w:p w14:paraId="30165CC0" w14:textId="77777777" w:rsidR="00A10B25" w:rsidRDefault="00A10B25">
      <w:pPr>
        <w:pStyle w:val="PL"/>
      </w:pPr>
      <w:r>
        <w:t xml:space="preserve">        default: https://example.com</w:t>
      </w:r>
    </w:p>
    <w:p w14:paraId="64F0F868" w14:textId="77777777" w:rsidR="00A10B25" w:rsidRDefault="00A10B25">
      <w:pPr>
        <w:pStyle w:val="PL"/>
      </w:pPr>
      <w:r>
        <w:t xml:space="preserve">        description: apiRoot as defined in clause 4.4 of 3GPP TS 29.501</w:t>
      </w:r>
    </w:p>
    <w:p w14:paraId="0B7692A3" w14:textId="77777777" w:rsidR="00A10B25" w:rsidRDefault="00A10B25">
      <w:pPr>
        <w:pStyle w:val="PL"/>
      </w:pPr>
    </w:p>
    <w:p w14:paraId="5EE43D6C" w14:textId="77777777" w:rsidR="00A10B25" w:rsidRDefault="00A10B25">
      <w:pPr>
        <w:pStyle w:val="PL"/>
      </w:pPr>
      <w:r>
        <w:t>security:</w:t>
      </w:r>
    </w:p>
    <w:p w14:paraId="751539A3" w14:textId="77777777" w:rsidR="00A10B25" w:rsidRDefault="00A10B25">
      <w:pPr>
        <w:pStyle w:val="PL"/>
      </w:pPr>
      <w:r>
        <w:t xml:space="preserve">  - {}</w:t>
      </w:r>
    </w:p>
    <w:p w14:paraId="4A512783" w14:textId="77777777" w:rsidR="00A10B25" w:rsidRDefault="00A10B25">
      <w:pPr>
        <w:pStyle w:val="PL"/>
      </w:pPr>
      <w:r>
        <w:t xml:space="preserve">  - oAuth2ClientCredentials:</w:t>
      </w:r>
    </w:p>
    <w:p w14:paraId="2665ABD3" w14:textId="77777777" w:rsidR="00A10B25" w:rsidRDefault="00A10B25">
      <w:pPr>
        <w:pStyle w:val="PL"/>
      </w:pPr>
      <w:r>
        <w:t xml:space="preserve">    - nnwdaf-</w:t>
      </w:r>
      <w:r>
        <w:rPr>
          <w:lang w:val="en-US" w:eastAsia="zh-CN"/>
        </w:rPr>
        <w:t>roaminganalytics</w:t>
      </w:r>
    </w:p>
    <w:p w14:paraId="257D9253" w14:textId="77777777" w:rsidR="00A10B25" w:rsidRDefault="00A10B25">
      <w:pPr>
        <w:pStyle w:val="PL"/>
      </w:pPr>
    </w:p>
    <w:p w14:paraId="5D63375E" w14:textId="77777777" w:rsidR="00A10B25" w:rsidRDefault="00A10B25">
      <w:pPr>
        <w:pStyle w:val="PL"/>
      </w:pPr>
      <w:r>
        <w:t>paths:</w:t>
      </w:r>
    </w:p>
    <w:p w14:paraId="424FFA59" w14:textId="77777777" w:rsidR="00A10B25" w:rsidRDefault="00A10B25">
      <w:pPr>
        <w:pStyle w:val="PL"/>
      </w:pPr>
      <w:r>
        <w:t xml:space="preserve">  /subscriptions:</w:t>
      </w:r>
    </w:p>
    <w:p w14:paraId="11440313" w14:textId="77777777" w:rsidR="00A10B25" w:rsidRDefault="00A10B25">
      <w:pPr>
        <w:pStyle w:val="PL"/>
      </w:pPr>
      <w:r>
        <w:t xml:space="preserve">    post:</w:t>
      </w:r>
    </w:p>
    <w:p w14:paraId="7936A21A" w14:textId="77777777" w:rsidR="00A10B25" w:rsidRDefault="00A10B25">
      <w:pPr>
        <w:pStyle w:val="PL"/>
      </w:pPr>
      <w:r>
        <w:t xml:space="preserve">      summary: Create a new Individual NWDAF </w:t>
      </w:r>
      <w:r>
        <w:rPr>
          <w:lang w:val="en-US" w:eastAsia="zh-CN"/>
        </w:rPr>
        <w:t>Roaming Analytics</w:t>
      </w:r>
      <w:r>
        <w:t xml:space="preserve"> Subscription</w:t>
      </w:r>
    </w:p>
    <w:p w14:paraId="3FF5B41C" w14:textId="77777777" w:rsidR="00A10B25" w:rsidRDefault="00A10B25">
      <w:pPr>
        <w:pStyle w:val="PL"/>
      </w:pPr>
      <w:r>
        <w:t xml:space="preserve">      operationId: CreateNwdaf</w:t>
      </w:r>
      <w:r>
        <w:rPr>
          <w:lang w:val="en-US" w:eastAsia="zh-CN"/>
        </w:rPr>
        <w:t>RoamingAnalytics</w:t>
      </w:r>
      <w:r>
        <w:t>Subscription</w:t>
      </w:r>
    </w:p>
    <w:p w14:paraId="500B68F8" w14:textId="77777777" w:rsidR="00A10B25" w:rsidRDefault="00A10B25">
      <w:pPr>
        <w:pStyle w:val="PL"/>
      </w:pPr>
      <w:r>
        <w:t xml:space="preserve">      tags:</w:t>
      </w:r>
    </w:p>
    <w:p w14:paraId="60C6C0EB" w14:textId="77777777" w:rsidR="00A10B25" w:rsidRDefault="00A10B25">
      <w:pPr>
        <w:pStyle w:val="PL"/>
      </w:pPr>
      <w:r>
        <w:t xml:space="preserve">        - NWDAF </w:t>
      </w:r>
      <w:r>
        <w:rPr>
          <w:lang w:val="en-US" w:eastAsia="zh-CN"/>
        </w:rPr>
        <w:t>Roaming Analytics</w:t>
      </w:r>
      <w:r>
        <w:t xml:space="preserve"> Subscriptions (Collection)</w:t>
      </w:r>
    </w:p>
    <w:p w14:paraId="43E3D482" w14:textId="77777777" w:rsidR="00A10B25" w:rsidRDefault="00A10B25">
      <w:pPr>
        <w:pStyle w:val="PL"/>
      </w:pPr>
      <w:r>
        <w:lastRenderedPageBreak/>
        <w:t xml:space="preserve">      requestBody:</w:t>
      </w:r>
    </w:p>
    <w:p w14:paraId="165C509A" w14:textId="77777777" w:rsidR="00A10B25" w:rsidRDefault="00A10B25">
      <w:pPr>
        <w:pStyle w:val="PL"/>
      </w:pPr>
      <w:r>
        <w:t xml:space="preserve">        required: true</w:t>
      </w:r>
    </w:p>
    <w:p w14:paraId="6E8CE175" w14:textId="77777777" w:rsidR="00A10B25" w:rsidRDefault="00A10B25">
      <w:pPr>
        <w:pStyle w:val="PL"/>
      </w:pPr>
      <w:r>
        <w:t xml:space="preserve">        content:</w:t>
      </w:r>
    </w:p>
    <w:p w14:paraId="2DB24A94" w14:textId="77777777" w:rsidR="00A10B25" w:rsidRDefault="00A10B25">
      <w:pPr>
        <w:pStyle w:val="PL"/>
      </w:pPr>
      <w:r>
        <w:t xml:space="preserve">          application/json:</w:t>
      </w:r>
    </w:p>
    <w:p w14:paraId="2BE3DA05" w14:textId="77777777" w:rsidR="00A10B25" w:rsidRDefault="00A10B25">
      <w:pPr>
        <w:pStyle w:val="PL"/>
      </w:pPr>
      <w:r>
        <w:t xml:space="preserve">            schema:</w:t>
      </w:r>
    </w:p>
    <w:p w14:paraId="5F2FCBE1" w14:textId="77777777" w:rsidR="00A10B25" w:rsidRDefault="00A10B25">
      <w:pPr>
        <w:pStyle w:val="PL"/>
      </w:pPr>
      <w:r>
        <w:t xml:space="preserve">              $ref: '#/components/schemas/</w:t>
      </w:r>
      <w:r>
        <w:rPr>
          <w:lang w:val="en-US" w:eastAsia="zh-CN"/>
        </w:rPr>
        <w:t>RoamingAnalyticsSubscription</w:t>
      </w:r>
      <w:r>
        <w:t>'</w:t>
      </w:r>
    </w:p>
    <w:p w14:paraId="47AD5D51" w14:textId="77777777" w:rsidR="00A10B25" w:rsidRDefault="00A10B25">
      <w:pPr>
        <w:pStyle w:val="PL"/>
      </w:pPr>
      <w:r>
        <w:t xml:space="preserve">      responses:</w:t>
      </w:r>
    </w:p>
    <w:p w14:paraId="60E1B973" w14:textId="77777777" w:rsidR="00A10B25" w:rsidRDefault="00A10B25">
      <w:pPr>
        <w:pStyle w:val="PL"/>
      </w:pPr>
      <w:r>
        <w:t xml:space="preserve">        '201':</w:t>
      </w:r>
    </w:p>
    <w:p w14:paraId="4E94667D" w14:textId="77777777" w:rsidR="00A10B25" w:rsidRDefault="00A10B25">
      <w:pPr>
        <w:pStyle w:val="PL"/>
      </w:pPr>
      <w:r>
        <w:t xml:space="preserve">          description: Create a new Individual </w:t>
      </w:r>
      <w:r>
        <w:rPr>
          <w:lang w:val="en-US" w:eastAsia="zh-CN"/>
        </w:rPr>
        <w:t>Roaming Analytics</w:t>
      </w:r>
      <w:r>
        <w:t xml:space="preserve"> Subscription resource.</w:t>
      </w:r>
    </w:p>
    <w:p w14:paraId="2E2CB0F6" w14:textId="77777777" w:rsidR="00A10B25" w:rsidRDefault="00A10B25">
      <w:pPr>
        <w:pStyle w:val="PL"/>
        <w:rPr>
          <w:rFonts w:eastAsia="等线"/>
        </w:rPr>
      </w:pPr>
      <w:r>
        <w:rPr>
          <w:rFonts w:eastAsia="等线"/>
        </w:rPr>
        <w:t xml:space="preserve">          headers:</w:t>
      </w:r>
    </w:p>
    <w:p w14:paraId="038DA842" w14:textId="77777777" w:rsidR="00A10B25" w:rsidRDefault="00A10B25">
      <w:pPr>
        <w:pStyle w:val="PL"/>
        <w:rPr>
          <w:rFonts w:eastAsia="等线"/>
        </w:rPr>
      </w:pPr>
      <w:r>
        <w:rPr>
          <w:rFonts w:eastAsia="等线"/>
        </w:rPr>
        <w:t xml:space="preserve">            Location:</w:t>
      </w:r>
    </w:p>
    <w:p w14:paraId="6C7CAC1D" w14:textId="77777777" w:rsidR="00A10B25" w:rsidRDefault="00A10B25">
      <w:pPr>
        <w:pStyle w:val="PL"/>
        <w:rPr>
          <w:rFonts w:eastAsia="等线"/>
        </w:rPr>
      </w:pPr>
      <w:r>
        <w:rPr>
          <w:rFonts w:eastAsia="等线"/>
        </w:rPr>
        <w:t xml:space="preserve">              description: &gt;</w:t>
      </w:r>
    </w:p>
    <w:p w14:paraId="05E3C0F6" w14:textId="77777777" w:rsidR="00A10B25" w:rsidRDefault="00A10B25">
      <w:pPr>
        <w:pStyle w:val="PL"/>
        <w:rPr>
          <w:rFonts w:eastAsia="等线"/>
        </w:rPr>
      </w:pPr>
      <w:r>
        <w:rPr>
          <w:rFonts w:eastAsia="等线"/>
        </w:rPr>
        <w:t xml:space="preserve">                Contains the URI of the newly created resource.</w:t>
      </w:r>
    </w:p>
    <w:p w14:paraId="0D6E4A8D" w14:textId="77777777" w:rsidR="00A10B25" w:rsidRDefault="00A10B25">
      <w:pPr>
        <w:pStyle w:val="PL"/>
        <w:rPr>
          <w:rFonts w:eastAsia="等线"/>
        </w:rPr>
      </w:pPr>
      <w:r>
        <w:rPr>
          <w:rFonts w:eastAsia="等线"/>
        </w:rPr>
        <w:t xml:space="preserve">              required: true</w:t>
      </w:r>
    </w:p>
    <w:p w14:paraId="5B2ECB01" w14:textId="77777777" w:rsidR="00A10B25" w:rsidRDefault="00A10B25">
      <w:pPr>
        <w:pStyle w:val="PL"/>
        <w:rPr>
          <w:rFonts w:eastAsia="等线"/>
        </w:rPr>
      </w:pPr>
      <w:r>
        <w:rPr>
          <w:rFonts w:eastAsia="等线"/>
        </w:rPr>
        <w:t xml:space="preserve">              schema:</w:t>
      </w:r>
    </w:p>
    <w:p w14:paraId="2D2EBFA7" w14:textId="77777777" w:rsidR="00A10B25" w:rsidRDefault="00A10B25">
      <w:pPr>
        <w:pStyle w:val="PL"/>
        <w:rPr>
          <w:rFonts w:eastAsia="等线"/>
        </w:rPr>
      </w:pPr>
      <w:r>
        <w:rPr>
          <w:rFonts w:eastAsia="等线"/>
        </w:rPr>
        <w:t xml:space="preserve">                type: string</w:t>
      </w:r>
    </w:p>
    <w:p w14:paraId="757B3EC9" w14:textId="77777777" w:rsidR="00A10B25" w:rsidRDefault="00A10B25">
      <w:pPr>
        <w:pStyle w:val="PL"/>
      </w:pPr>
      <w:r>
        <w:t xml:space="preserve">          content:</w:t>
      </w:r>
    </w:p>
    <w:p w14:paraId="14248C0D" w14:textId="77777777" w:rsidR="00A10B25" w:rsidRDefault="00A10B25">
      <w:pPr>
        <w:pStyle w:val="PL"/>
      </w:pPr>
      <w:r>
        <w:t xml:space="preserve">            application/json:</w:t>
      </w:r>
    </w:p>
    <w:p w14:paraId="591D78E8" w14:textId="77777777" w:rsidR="00A10B25" w:rsidRDefault="00A10B25">
      <w:pPr>
        <w:pStyle w:val="PL"/>
      </w:pPr>
      <w:r>
        <w:t xml:space="preserve">              schema:</w:t>
      </w:r>
    </w:p>
    <w:p w14:paraId="5AB4403C" w14:textId="77777777" w:rsidR="00A10B25" w:rsidRDefault="00A10B25">
      <w:pPr>
        <w:pStyle w:val="PL"/>
      </w:pPr>
      <w:r>
        <w:t xml:space="preserve">                $ref: '#/components/schemas/</w:t>
      </w:r>
      <w:r>
        <w:rPr>
          <w:lang w:val="en-US" w:eastAsia="zh-CN"/>
        </w:rPr>
        <w:t>RoamingAnalyticsSubscription</w:t>
      </w:r>
      <w:r>
        <w:t>'</w:t>
      </w:r>
    </w:p>
    <w:p w14:paraId="50112379" w14:textId="77777777" w:rsidR="00A10B25" w:rsidRDefault="00A10B25">
      <w:pPr>
        <w:pStyle w:val="PL"/>
      </w:pPr>
      <w:r>
        <w:t xml:space="preserve">        '400':</w:t>
      </w:r>
    </w:p>
    <w:p w14:paraId="3C8AC574" w14:textId="77777777" w:rsidR="00A10B25" w:rsidRDefault="00A10B25">
      <w:pPr>
        <w:pStyle w:val="PL"/>
      </w:pPr>
      <w:r>
        <w:t xml:space="preserve">          $ref: 'TS29571_CommonData.yaml#/components/responses/400'</w:t>
      </w:r>
    </w:p>
    <w:p w14:paraId="32C5CD95" w14:textId="77777777" w:rsidR="00A10B25" w:rsidRDefault="00A10B25">
      <w:pPr>
        <w:pStyle w:val="PL"/>
      </w:pPr>
      <w:r>
        <w:t xml:space="preserve">        '401':</w:t>
      </w:r>
    </w:p>
    <w:p w14:paraId="696C89D2" w14:textId="77777777" w:rsidR="00A10B25" w:rsidRDefault="00A10B25">
      <w:pPr>
        <w:pStyle w:val="PL"/>
      </w:pPr>
      <w:r>
        <w:t xml:space="preserve">          $ref: 'TS29571_CommonData.yaml#/components/responses/401'</w:t>
      </w:r>
    </w:p>
    <w:p w14:paraId="03F01C14" w14:textId="77777777" w:rsidR="00A10B25" w:rsidRDefault="00A10B25">
      <w:pPr>
        <w:pStyle w:val="PL"/>
        <w:rPr>
          <w:rFonts w:eastAsia="等线"/>
        </w:rPr>
      </w:pPr>
      <w:r>
        <w:rPr>
          <w:rFonts w:eastAsia="等线"/>
        </w:rPr>
        <w:t xml:space="preserve">        '403':</w:t>
      </w:r>
    </w:p>
    <w:p w14:paraId="2D71D620" w14:textId="77777777" w:rsidR="00A10B25" w:rsidRDefault="00A10B25">
      <w:pPr>
        <w:pStyle w:val="PL"/>
        <w:rPr>
          <w:rFonts w:eastAsia="等线"/>
        </w:rPr>
      </w:pPr>
      <w:r>
        <w:rPr>
          <w:rFonts w:eastAsia="等线"/>
        </w:rPr>
        <w:t xml:space="preserve">          $ref: 'TS29571_CommonData.yaml#/components/responses/403'</w:t>
      </w:r>
    </w:p>
    <w:p w14:paraId="03305F92" w14:textId="77777777" w:rsidR="00A10B25" w:rsidRDefault="00A10B25">
      <w:pPr>
        <w:pStyle w:val="PL"/>
      </w:pPr>
      <w:r>
        <w:t xml:space="preserve">        '404':</w:t>
      </w:r>
    </w:p>
    <w:p w14:paraId="71CF24A0" w14:textId="77777777" w:rsidR="00A10B25" w:rsidRDefault="00A10B25">
      <w:pPr>
        <w:pStyle w:val="PL"/>
      </w:pPr>
      <w:r>
        <w:t xml:space="preserve">          $ref: 'TS29571_CommonData.yaml#/components/responses/404'</w:t>
      </w:r>
    </w:p>
    <w:p w14:paraId="32BCFDFF" w14:textId="77777777" w:rsidR="00A10B25" w:rsidRDefault="00A10B25">
      <w:pPr>
        <w:pStyle w:val="PL"/>
      </w:pPr>
      <w:r>
        <w:t xml:space="preserve">        '411':</w:t>
      </w:r>
    </w:p>
    <w:p w14:paraId="1768F163" w14:textId="77777777" w:rsidR="00A10B25" w:rsidRDefault="00A10B25">
      <w:pPr>
        <w:pStyle w:val="PL"/>
      </w:pPr>
      <w:r>
        <w:t xml:space="preserve">          $ref: 'TS29571_CommonData.yaml#/components/responses/411'</w:t>
      </w:r>
    </w:p>
    <w:p w14:paraId="30011CF6" w14:textId="77777777" w:rsidR="00A10B25" w:rsidRDefault="00A10B25">
      <w:pPr>
        <w:pStyle w:val="PL"/>
      </w:pPr>
      <w:r>
        <w:t xml:space="preserve">        '413':</w:t>
      </w:r>
    </w:p>
    <w:p w14:paraId="35C0D379" w14:textId="77777777" w:rsidR="00A10B25" w:rsidRDefault="00A10B25">
      <w:pPr>
        <w:pStyle w:val="PL"/>
      </w:pPr>
      <w:r>
        <w:t xml:space="preserve">          $ref: 'TS29571_CommonData.yaml#/components/responses/413'</w:t>
      </w:r>
    </w:p>
    <w:p w14:paraId="417D9516" w14:textId="77777777" w:rsidR="00A10B25" w:rsidRDefault="00A10B25">
      <w:pPr>
        <w:pStyle w:val="PL"/>
      </w:pPr>
      <w:r>
        <w:t xml:space="preserve">        '415':</w:t>
      </w:r>
    </w:p>
    <w:p w14:paraId="09CD3574" w14:textId="77777777" w:rsidR="00A10B25" w:rsidRDefault="00A10B25">
      <w:pPr>
        <w:pStyle w:val="PL"/>
      </w:pPr>
      <w:r>
        <w:t xml:space="preserve">          $ref: 'TS29571_CommonData.yaml#/components/responses/415'</w:t>
      </w:r>
    </w:p>
    <w:p w14:paraId="2088490E" w14:textId="77777777" w:rsidR="00A10B25" w:rsidRDefault="00A10B25">
      <w:pPr>
        <w:pStyle w:val="PL"/>
        <w:rPr>
          <w:rFonts w:eastAsia="等线"/>
        </w:rPr>
      </w:pPr>
      <w:r>
        <w:rPr>
          <w:rFonts w:eastAsia="等线"/>
        </w:rPr>
        <w:t xml:space="preserve">        '429':</w:t>
      </w:r>
    </w:p>
    <w:p w14:paraId="2767747B" w14:textId="77777777" w:rsidR="00A10B25" w:rsidRDefault="00A10B25">
      <w:pPr>
        <w:pStyle w:val="PL"/>
        <w:rPr>
          <w:rFonts w:eastAsia="等线"/>
        </w:rPr>
      </w:pPr>
      <w:r>
        <w:rPr>
          <w:rFonts w:eastAsia="等线"/>
        </w:rPr>
        <w:t xml:space="preserve">          $ref: 'TS29571_CommonData.yaml#/components/responses/429'</w:t>
      </w:r>
    </w:p>
    <w:p w14:paraId="46EC56B8" w14:textId="77777777" w:rsidR="00A10B25" w:rsidRDefault="00A10B25">
      <w:pPr>
        <w:pStyle w:val="PL"/>
      </w:pPr>
      <w:r>
        <w:t xml:space="preserve">        '500':</w:t>
      </w:r>
    </w:p>
    <w:p w14:paraId="73C7A7FC" w14:textId="77777777" w:rsidR="00A10B25" w:rsidRDefault="00A10B25">
      <w:pPr>
        <w:pStyle w:val="PL"/>
      </w:pPr>
      <w:r>
        <w:t xml:space="preserve">          $ref: 'TS29571_CommonData.yaml#/components/responses/500'</w:t>
      </w:r>
    </w:p>
    <w:p w14:paraId="4D8451E7" w14:textId="77777777" w:rsidR="00A10B25" w:rsidRDefault="00A10B25">
      <w:pPr>
        <w:pStyle w:val="PL"/>
      </w:pPr>
      <w:r>
        <w:t xml:space="preserve">        '502':</w:t>
      </w:r>
    </w:p>
    <w:p w14:paraId="6846DF5C" w14:textId="77777777" w:rsidR="00A10B25" w:rsidRDefault="00A10B25">
      <w:pPr>
        <w:pStyle w:val="PL"/>
      </w:pPr>
      <w:r>
        <w:t xml:space="preserve">          $ref: 'TS29571_CommonData.yaml#/components/responses/502'</w:t>
      </w:r>
    </w:p>
    <w:p w14:paraId="01F3C177" w14:textId="77777777" w:rsidR="00A10B25" w:rsidRDefault="00A10B25">
      <w:pPr>
        <w:pStyle w:val="PL"/>
      </w:pPr>
      <w:r>
        <w:t xml:space="preserve">        '503':</w:t>
      </w:r>
    </w:p>
    <w:p w14:paraId="7F519B10" w14:textId="77777777" w:rsidR="00A10B25" w:rsidRDefault="00A10B25">
      <w:pPr>
        <w:pStyle w:val="PL"/>
      </w:pPr>
      <w:r>
        <w:t xml:space="preserve">          $ref: 'TS29571_CommonData.yaml#/components/responses/503'</w:t>
      </w:r>
    </w:p>
    <w:p w14:paraId="78B6B4CA" w14:textId="77777777" w:rsidR="00A10B25" w:rsidRDefault="00A10B25">
      <w:pPr>
        <w:pStyle w:val="PL"/>
      </w:pPr>
      <w:r>
        <w:t xml:space="preserve">        default:</w:t>
      </w:r>
    </w:p>
    <w:p w14:paraId="1442A398" w14:textId="77777777" w:rsidR="00A10B25" w:rsidRDefault="00A10B25">
      <w:pPr>
        <w:pStyle w:val="PL"/>
      </w:pPr>
      <w:r>
        <w:t xml:space="preserve">          $ref: 'TS29571_CommonData.yaml#/components/responses/default'</w:t>
      </w:r>
    </w:p>
    <w:p w14:paraId="5B8ABB95" w14:textId="77777777" w:rsidR="00A10B25" w:rsidRDefault="00A10B25">
      <w:pPr>
        <w:pStyle w:val="PL"/>
      </w:pPr>
      <w:r>
        <w:t xml:space="preserve">      callbacks:</w:t>
      </w:r>
    </w:p>
    <w:p w14:paraId="744B3A43" w14:textId="77777777" w:rsidR="00A10B25" w:rsidRDefault="00A10B25">
      <w:pPr>
        <w:pStyle w:val="PL"/>
      </w:pPr>
      <w:r>
        <w:t xml:space="preserve">        myNotification:</w:t>
      </w:r>
    </w:p>
    <w:p w14:paraId="05071534" w14:textId="77777777" w:rsidR="00A10B25" w:rsidRDefault="00A10B25">
      <w:pPr>
        <w:pStyle w:val="PL"/>
      </w:pPr>
      <w:r>
        <w:t xml:space="preserve">          '{$request.body#/notifUri}': </w:t>
      </w:r>
    </w:p>
    <w:p w14:paraId="7BC51EEA" w14:textId="77777777" w:rsidR="00A10B25" w:rsidRDefault="00A10B25">
      <w:pPr>
        <w:pStyle w:val="PL"/>
      </w:pPr>
      <w:r>
        <w:t xml:space="preserve">            post:</w:t>
      </w:r>
    </w:p>
    <w:p w14:paraId="543FEB98" w14:textId="77777777" w:rsidR="00A10B25" w:rsidRDefault="00A10B25">
      <w:pPr>
        <w:pStyle w:val="PL"/>
      </w:pPr>
      <w:r>
        <w:t xml:space="preserve">              requestBody:</w:t>
      </w:r>
    </w:p>
    <w:p w14:paraId="333E1856" w14:textId="77777777" w:rsidR="00A10B25" w:rsidRDefault="00A10B25">
      <w:pPr>
        <w:pStyle w:val="PL"/>
      </w:pPr>
      <w:r>
        <w:t xml:space="preserve">                required: true</w:t>
      </w:r>
    </w:p>
    <w:p w14:paraId="70386738" w14:textId="77777777" w:rsidR="00A10B25" w:rsidRDefault="00A10B25">
      <w:pPr>
        <w:pStyle w:val="PL"/>
      </w:pPr>
      <w:r>
        <w:t xml:space="preserve">                content:</w:t>
      </w:r>
    </w:p>
    <w:p w14:paraId="3EDCB03A" w14:textId="77777777" w:rsidR="00A10B25" w:rsidRDefault="00A10B25">
      <w:pPr>
        <w:pStyle w:val="PL"/>
      </w:pPr>
      <w:r>
        <w:t xml:space="preserve">                  application/json:</w:t>
      </w:r>
    </w:p>
    <w:p w14:paraId="336175AA" w14:textId="77777777" w:rsidR="00A10B25" w:rsidRDefault="00A10B25">
      <w:pPr>
        <w:pStyle w:val="PL"/>
      </w:pPr>
      <w:r>
        <w:t xml:space="preserve">                    schema:</w:t>
      </w:r>
    </w:p>
    <w:p w14:paraId="3CEBD75F" w14:textId="77777777" w:rsidR="00A10B25" w:rsidRDefault="00A10B25">
      <w:pPr>
        <w:pStyle w:val="PL"/>
      </w:pPr>
      <w:r>
        <w:t xml:space="preserve">                      type: array</w:t>
      </w:r>
    </w:p>
    <w:p w14:paraId="3EB21E78" w14:textId="77777777" w:rsidR="00A10B25" w:rsidRDefault="00A10B25">
      <w:pPr>
        <w:pStyle w:val="PL"/>
      </w:pPr>
      <w:r>
        <w:t xml:space="preserve">                      items:</w:t>
      </w:r>
    </w:p>
    <w:p w14:paraId="5247BBF5" w14:textId="77777777" w:rsidR="00A10B25" w:rsidRPr="0076721C" w:rsidRDefault="00A10B25">
      <w:pPr>
        <w:pStyle w:val="PL"/>
        <w:rPr>
          <w:lang w:val="en-US"/>
        </w:rPr>
      </w:pPr>
      <w:r>
        <w:t xml:space="preserve">                        $ref: '#/components/schemas/</w:t>
      </w:r>
      <w:r>
        <w:rPr>
          <w:rFonts w:eastAsia="等线"/>
        </w:rPr>
        <w:t>RoamingAnalyticsNotification</w:t>
      </w:r>
      <w:r w:rsidR="005B01D4">
        <w:rPr>
          <w:rFonts w:eastAsia="等线"/>
          <w:lang w:val="en-US" w:eastAsia="zh-CN"/>
        </w:rPr>
        <w:t>'</w:t>
      </w:r>
    </w:p>
    <w:p w14:paraId="25028218" w14:textId="77777777" w:rsidR="00A10B25" w:rsidRDefault="00A10B25">
      <w:pPr>
        <w:pStyle w:val="PL"/>
      </w:pPr>
      <w:r>
        <w:t xml:space="preserve">                      minItems: 1</w:t>
      </w:r>
    </w:p>
    <w:p w14:paraId="6C458F42" w14:textId="77777777" w:rsidR="00A10B25" w:rsidRDefault="00A10B25">
      <w:pPr>
        <w:pStyle w:val="PL"/>
      </w:pPr>
      <w:r>
        <w:t xml:space="preserve">              responses:</w:t>
      </w:r>
    </w:p>
    <w:p w14:paraId="4395CE30" w14:textId="77777777" w:rsidR="00A10B25" w:rsidRDefault="00A10B25">
      <w:pPr>
        <w:pStyle w:val="PL"/>
      </w:pPr>
      <w:r>
        <w:t xml:space="preserve">                '204':</w:t>
      </w:r>
    </w:p>
    <w:p w14:paraId="6513E0FA" w14:textId="77777777" w:rsidR="00A10B25" w:rsidRDefault="00A10B25">
      <w:pPr>
        <w:pStyle w:val="PL"/>
      </w:pPr>
      <w:r>
        <w:t xml:space="preserve">                  description: The receipt of the Notification is acknowledged.</w:t>
      </w:r>
    </w:p>
    <w:p w14:paraId="46AAB2FB" w14:textId="77777777" w:rsidR="00A10B25" w:rsidRDefault="00A10B25">
      <w:pPr>
        <w:pStyle w:val="PL"/>
      </w:pPr>
      <w:r>
        <w:t xml:space="preserve">                '307':</w:t>
      </w:r>
    </w:p>
    <w:p w14:paraId="1DA1310F" w14:textId="77777777" w:rsidR="00A10B25" w:rsidRDefault="00A10B25">
      <w:pPr>
        <w:pStyle w:val="PL"/>
      </w:pPr>
      <w:r>
        <w:t xml:space="preserve">                  $ref: 'TS29571_CommonData.yaml#/components/responses/307'</w:t>
      </w:r>
    </w:p>
    <w:p w14:paraId="4BE3D92D" w14:textId="77777777" w:rsidR="00A10B25" w:rsidRDefault="00A10B25">
      <w:pPr>
        <w:pStyle w:val="PL"/>
      </w:pPr>
      <w:r>
        <w:t xml:space="preserve">                '308':</w:t>
      </w:r>
    </w:p>
    <w:p w14:paraId="7F0F6D2F" w14:textId="77777777" w:rsidR="00A10B25" w:rsidRDefault="00A10B25">
      <w:pPr>
        <w:pStyle w:val="PL"/>
      </w:pPr>
      <w:r>
        <w:t xml:space="preserve">                  $ref: 'TS29571_CommonData.yaml#/components/responses/308'</w:t>
      </w:r>
    </w:p>
    <w:p w14:paraId="0DDC9C1D" w14:textId="77777777" w:rsidR="00A10B25" w:rsidRDefault="00A10B25">
      <w:pPr>
        <w:pStyle w:val="PL"/>
      </w:pPr>
      <w:r>
        <w:t xml:space="preserve">                '400':</w:t>
      </w:r>
    </w:p>
    <w:p w14:paraId="635DB7B6" w14:textId="77777777" w:rsidR="00A10B25" w:rsidRDefault="00A10B25">
      <w:pPr>
        <w:pStyle w:val="PL"/>
      </w:pPr>
      <w:r>
        <w:t xml:space="preserve">                  $ref: 'TS29571_CommonData.yaml#/components/responses/400'</w:t>
      </w:r>
    </w:p>
    <w:p w14:paraId="1D5D9D48" w14:textId="77777777" w:rsidR="00A10B25" w:rsidRDefault="00A10B25">
      <w:pPr>
        <w:pStyle w:val="PL"/>
      </w:pPr>
      <w:r>
        <w:t xml:space="preserve">                '401':</w:t>
      </w:r>
    </w:p>
    <w:p w14:paraId="2B6796AB" w14:textId="77777777" w:rsidR="00A10B25" w:rsidRDefault="00A10B25">
      <w:pPr>
        <w:pStyle w:val="PL"/>
      </w:pPr>
      <w:r>
        <w:t xml:space="preserve">                  $ref: 'TS29571_CommonData.yaml#/components/responses/401'</w:t>
      </w:r>
    </w:p>
    <w:p w14:paraId="400BEAD9" w14:textId="77777777" w:rsidR="00A10B25" w:rsidRDefault="00A10B25">
      <w:pPr>
        <w:pStyle w:val="PL"/>
        <w:rPr>
          <w:rFonts w:eastAsia="等线"/>
        </w:rPr>
      </w:pPr>
      <w:r>
        <w:rPr>
          <w:rFonts w:eastAsia="等线"/>
        </w:rPr>
        <w:t xml:space="preserve">                '403':</w:t>
      </w:r>
    </w:p>
    <w:p w14:paraId="243D60AC" w14:textId="77777777" w:rsidR="00A10B25" w:rsidRDefault="00A10B25">
      <w:pPr>
        <w:pStyle w:val="PL"/>
        <w:rPr>
          <w:rFonts w:eastAsia="等线"/>
        </w:rPr>
      </w:pPr>
      <w:r>
        <w:rPr>
          <w:rFonts w:eastAsia="等线"/>
        </w:rPr>
        <w:t xml:space="preserve">                  $ref: 'TS29571_CommonData.yaml#/components/responses/403'</w:t>
      </w:r>
    </w:p>
    <w:p w14:paraId="61B27828" w14:textId="77777777" w:rsidR="00A10B25" w:rsidRDefault="00A10B25">
      <w:pPr>
        <w:pStyle w:val="PL"/>
      </w:pPr>
      <w:r>
        <w:t xml:space="preserve">                '404':</w:t>
      </w:r>
    </w:p>
    <w:p w14:paraId="16B86FEC" w14:textId="77777777" w:rsidR="00A10B25" w:rsidRDefault="00A10B25">
      <w:pPr>
        <w:pStyle w:val="PL"/>
      </w:pPr>
      <w:r>
        <w:t xml:space="preserve">                  $ref: 'TS29571_CommonData.yaml#/components/responses/404'</w:t>
      </w:r>
    </w:p>
    <w:p w14:paraId="3CAA7EF6" w14:textId="77777777" w:rsidR="00A10B25" w:rsidRDefault="00A10B25">
      <w:pPr>
        <w:pStyle w:val="PL"/>
      </w:pPr>
      <w:r>
        <w:t xml:space="preserve">                '411':</w:t>
      </w:r>
    </w:p>
    <w:p w14:paraId="73D56F1E" w14:textId="77777777" w:rsidR="00A10B25" w:rsidRDefault="00A10B25">
      <w:pPr>
        <w:pStyle w:val="PL"/>
      </w:pPr>
      <w:r>
        <w:t xml:space="preserve">                  $ref: 'TS29571_CommonData.yaml#/components/responses/411'</w:t>
      </w:r>
    </w:p>
    <w:p w14:paraId="5E14C43D" w14:textId="77777777" w:rsidR="00A10B25" w:rsidRDefault="00A10B25">
      <w:pPr>
        <w:pStyle w:val="PL"/>
      </w:pPr>
      <w:r>
        <w:t xml:space="preserve">                '413':</w:t>
      </w:r>
    </w:p>
    <w:p w14:paraId="5DB93931" w14:textId="77777777" w:rsidR="00A10B25" w:rsidRDefault="00A10B25">
      <w:pPr>
        <w:pStyle w:val="PL"/>
      </w:pPr>
      <w:r>
        <w:t xml:space="preserve">                  $ref: 'TS29571_CommonData.yaml#/components/responses/413'</w:t>
      </w:r>
    </w:p>
    <w:p w14:paraId="25D3EF42" w14:textId="77777777" w:rsidR="00A10B25" w:rsidRDefault="00A10B25">
      <w:pPr>
        <w:pStyle w:val="PL"/>
      </w:pPr>
      <w:r>
        <w:t xml:space="preserve">                '415':</w:t>
      </w:r>
    </w:p>
    <w:p w14:paraId="4E8E8460" w14:textId="77777777" w:rsidR="00A10B25" w:rsidRDefault="00A10B25">
      <w:pPr>
        <w:pStyle w:val="PL"/>
      </w:pPr>
      <w:r>
        <w:t xml:space="preserve">                  $ref: 'TS29571_CommonData.yaml#/components/responses/415'</w:t>
      </w:r>
    </w:p>
    <w:p w14:paraId="4C794911" w14:textId="77777777" w:rsidR="00A10B25" w:rsidRDefault="00A10B25">
      <w:pPr>
        <w:pStyle w:val="PL"/>
        <w:rPr>
          <w:rFonts w:eastAsia="等线"/>
        </w:rPr>
      </w:pPr>
      <w:r>
        <w:rPr>
          <w:rFonts w:eastAsia="等线"/>
        </w:rPr>
        <w:lastRenderedPageBreak/>
        <w:t xml:space="preserve">                '429':</w:t>
      </w:r>
    </w:p>
    <w:p w14:paraId="63F4E41F" w14:textId="77777777" w:rsidR="00A10B25" w:rsidRDefault="00A10B25">
      <w:pPr>
        <w:pStyle w:val="PL"/>
        <w:rPr>
          <w:rFonts w:eastAsia="等线"/>
        </w:rPr>
      </w:pPr>
      <w:r>
        <w:rPr>
          <w:rFonts w:eastAsia="等线"/>
        </w:rPr>
        <w:t xml:space="preserve">                  $ref: 'TS29571_CommonData.yaml#/components/responses/429'</w:t>
      </w:r>
    </w:p>
    <w:p w14:paraId="44E05606" w14:textId="77777777" w:rsidR="00A10B25" w:rsidRDefault="00A10B25">
      <w:pPr>
        <w:pStyle w:val="PL"/>
      </w:pPr>
      <w:r>
        <w:t xml:space="preserve">                '500':</w:t>
      </w:r>
    </w:p>
    <w:p w14:paraId="6D50F912" w14:textId="77777777" w:rsidR="00A10B25" w:rsidRDefault="00A10B25">
      <w:pPr>
        <w:pStyle w:val="PL"/>
      </w:pPr>
      <w:r>
        <w:t xml:space="preserve">                  $ref: 'TS29571_CommonData.yaml#/components/responses/500'</w:t>
      </w:r>
    </w:p>
    <w:p w14:paraId="56702006" w14:textId="77777777" w:rsidR="00A10B25" w:rsidRDefault="00A10B25">
      <w:pPr>
        <w:pStyle w:val="PL"/>
      </w:pPr>
      <w:r>
        <w:t xml:space="preserve">                '502':</w:t>
      </w:r>
    </w:p>
    <w:p w14:paraId="26896305" w14:textId="77777777" w:rsidR="00A10B25" w:rsidRDefault="00A10B25">
      <w:pPr>
        <w:pStyle w:val="PL"/>
      </w:pPr>
      <w:r>
        <w:t xml:space="preserve">                  $ref: 'TS29571_CommonData.yaml#/components/responses/502'</w:t>
      </w:r>
    </w:p>
    <w:p w14:paraId="7FA86C50" w14:textId="77777777" w:rsidR="00A10B25" w:rsidRDefault="00A10B25">
      <w:pPr>
        <w:pStyle w:val="PL"/>
      </w:pPr>
      <w:r>
        <w:t xml:space="preserve">                '503':</w:t>
      </w:r>
    </w:p>
    <w:p w14:paraId="7B502D6C" w14:textId="77777777" w:rsidR="00A10B25" w:rsidRDefault="00A10B25">
      <w:pPr>
        <w:pStyle w:val="PL"/>
      </w:pPr>
      <w:r>
        <w:t xml:space="preserve">                  $ref: 'TS29571_CommonData.yaml#/components/responses/503'</w:t>
      </w:r>
    </w:p>
    <w:p w14:paraId="4DEB8BE2" w14:textId="77777777" w:rsidR="00A10B25" w:rsidRDefault="00A10B25">
      <w:pPr>
        <w:pStyle w:val="PL"/>
      </w:pPr>
      <w:r>
        <w:t xml:space="preserve">                default:</w:t>
      </w:r>
    </w:p>
    <w:p w14:paraId="60623C7C" w14:textId="77777777" w:rsidR="00A10B25" w:rsidRDefault="00A10B25">
      <w:pPr>
        <w:pStyle w:val="PL"/>
      </w:pPr>
      <w:r>
        <w:t xml:space="preserve">                  $ref: 'TS29571_CommonData.yaml#/components/responses/default'</w:t>
      </w:r>
    </w:p>
    <w:p w14:paraId="33B743A7" w14:textId="77777777" w:rsidR="00A10B25" w:rsidRDefault="00A10B25">
      <w:pPr>
        <w:pStyle w:val="PL"/>
      </w:pPr>
    </w:p>
    <w:p w14:paraId="18AB3902" w14:textId="77777777" w:rsidR="00A10B25" w:rsidRDefault="00A10B25">
      <w:pPr>
        <w:pStyle w:val="PL"/>
      </w:pPr>
      <w:r>
        <w:t xml:space="preserve">  /subscriptions/{subscriptionId}:</w:t>
      </w:r>
    </w:p>
    <w:p w14:paraId="7BB6C54F" w14:textId="77777777" w:rsidR="00A10B25" w:rsidRDefault="00A10B25">
      <w:pPr>
        <w:pStyle w:val="PL"/>
      </w:pPr>
      <w:r>
        <w:t xml:space="preserve">    put:</w:t>
      </w:r>
    </w:p>
    <w:p w14:paraId="2DBC61C2" w14:textId="77777777" w:rsidR="00A10B25" w:rsidRDefault="00A10B25">
      <w:pPr>
        <w:pStyle w:val="PL"/>
      </w:pPr>
      <w:r>
        <w:t xml:space="preserve">      summary: Update an existing Individual Roaming Analytics Subscription resource</w:t>
      </w:r>
      <w:r>
        <w:rPr>
          <w:rFonts w:hint="eastAsia"/>
          <w:lang w:eastAsia="zh-CN"/>
        </w:rPr>
        <w:t>.</w:t>
      </w:r>
    </w:p>
    <w:p w14:paraId="2EFF2545" w14:textId="77777777" w:rsidR="00A10B25" w:rsidRDefault="00A10B25">
      <w:pPr>
        <w:pStyle w:val="PL"/>
      </w:pPr>
      <w:r>
        <w:t xml:space="preserve">      operationId: UpdateNwdafRoamingAnalyticsSubscription</w:t>
      </w:r>
    </w:p>
    <w:p w14:paraId="0D45A116" w14:textId="77777777" w:rsidR="00A10B25" w:rsidRDefault="00A10B25">
      <w:pPr>
        <w:pStyle w:val="PL"/>
      </w:pPr>
      <w:r>
        <w:t xml:space="preserve">      tags:</w:t>
      </w:r>
    </w:p>
    <w:p w14:paraId="43417460" w14:textId="77777777" w:rsidR="00A10B25" w:rsidRDefault="00A10B25">
      <w:pPr>
        <w:pStyle w:val="PL"/>
      </w:pPr>
      <w:r>
        <w:t xml:space="preserve">        - Individual NWDAF Roaming Analytics Subscription resource (Document)</w:t>
      </w:r>
    </w:p>
    <w:p w14:paraId="411A673C" w14:textId="77777777" w:rsidR="00A10B25" w:rsidRDefault="00A10B25">
      <w:pPr>
        <w:pStyle w:val="PL"/>
      </w:pPr>
      <w:r>
        <w:t xml:space="preserve">      requestBody:</w:t>
      </w:r>
    </w:p>
    <w:p w14:paraId="2CF732E7" w14:textId="77777777" w:rsidR="00A10B25" w:rsidRDefault="00A10B25">
      <w:pPr>
        <w:pStyle w:val="PL"/>
      </w:pPr>
      <w:r>
        <w:t xml:space="preserve">        required: true</w:t>
      </w:r>
    </w:p>
    <w:p w14:paraId="2268940C" w14:textId="77777777" w:rsidR="00A10B25" w:rsidRDefault="00A10B25">
      <w:pPr>
        <w:pStyle w:val="PL"/>
      </w:pPr>
      <w:r>
        <w:t xml:space="preserve">        content:</w:t>
      </w:r>
    </w:p>
    <w:p w14:paraId="210458D1" w14:textId="77777777" w:rsidR="00A10B25" w:rsidRDefault="00A10B25">
      <w:pPr>
        <w:pStyle w:val="PL"/>
      </w:pPr>
      <w:r>
        <w:t xml:space="preserve">          application/json:</w:t>
      </w:r>
    </w:p>
    <w:p w14:paraId="3ED01634" w14:textId="77777777" w:rsidR="00A10B25" w:rsidRDefault="00A10B25">
      <w:pPr>
        <w:pStyle w:val="PL"/>
      </w:pPr>
      <w:r>
        <w:t xml:space="preserve">            schema:</w:t>
      </w:r>
    </w:p>
    <w:p w14:paraId="4FF09F48" w14:textId="77777777" w:rsidR="00A10B25" w:rsidRDefault="00A10B25">
      <w:pPr>
        <w:pStyle w:val="PL"/>
      </w:pPr>
      <w:r>
        <w:t xml:space="preserve">              $ref: '#/components/schemas/RoamingAnalyticsSubscription'</w:t>
      </w:r>
    </w:p>
    <w:p w14:paraId="5D1B778E" w14:textId="77777777" w:rsidR="00A10B25" w:rsidRDefault="00A10B25">
      <w:pPr>
        <w:pStyle w:val="PL"/>
      </w:pPr>
      <w:r>
        <w:t xml:space="preserve">      parameters:</w:t>
      </w:r>
    </w:p>
    <w:p w14:paraId="01C659BB" w14:textId="77777777" w:rsidR="00A10B25" w:rsidRDefault="00A10B25">
      <w:pPr>
        <w:pStyle w:val="PL"/>
      </w:pPr>
      <w:r>
        <w:t xml:space="preserve">        - name: subscriptionId</w:t>
      </w:r>
    </w:p>
    <w:p w14:paraId="316D17ED" w14:textId="77777777" w:rsidR="00A10B25" w:rsidRDefault="00A10B25">
      <w:pPr>
        <w:pStyle w:val="PL"/>
      </w:pPr>
      <w:r>
        <w:t xml:space="preserve">          in: path</w:t>
      </w:r>
    </w:p>
    <w:p w14:paraId="413BB365" w14:textId="77777777" w:rsidR="00A10B25" w:rsidRDefault="00A10B25">
      <w:pPr>
        <w:pStyle w:val="PL"/>
      </w:pPr>
      <w:r>
        <w:t xml:space="preserve">          description: String identifying a subscription to the </w:t>
      </w:r>
      <w:r>
        <w:rPr>
          <w:lang w:val="en-US" w:eastAsia="zh-CN"/>
        </w:rPr>
        <w:t>Nnwdaf_</w:t>
      </w:r>
      <w:r>
        <w:t>RoamingAnalytics service.</w:t>
      </w:r>
    </w:p>
    <w:p w14:paraId="2A5E016F" w14:textId="77777777" w:rsidR="00A10B25" w:rsidRDefault="00A10B25">
      <w:pPr>
        <w:pStyle w:val="PL"/>
      </w:pPr>
      <w:r>
        <w:t xml:space="preserve">          required: true</w:t>
      </w:r>
    </w:p>
    <w:p w14:paraId="7369CDB2" w14:textId="77777777" w:rsidR="00A10B25" w:rsidRDefault="00A10B25">
      <w:pPr>
        <w:pStyle w:val="PL"/>
      </w:pPr>
      <w:r>
        <w:t xml:space="preserve">          schema:</w:t>
      </w:r>
    </w:p>
    <w:p w14:paraId="3D0525B8" w14:textId="77777777" w:rsidR="00A10B25" w:rsidRDefault="00A10B25">
      <w:pPr>
        <w:pStyle w:val="PL"/>
      </w:pPr>
      <w:r>
        <w:t xml:space="preserve">            type: string</w:t>
      </w:r>
    </w:p>
    <w:p w14:paraId="0984C7A8" w14:textId="77777777" w:rsidR="00A10B25" w:rsidRDefault="00A10B25">
      <w:pPr>
        <w:pStyle w:val="PL"/>
      </w:pPr>
      <w:r>
        <w:t xml:space="preserve">      responses:</w:t>
      </w:r>
    </w:p>
    <w:p w14:paraId="45EC3A45" w14:textId="77777777" w:rsidR="00A10B25" w:rsidRDefault="00A10B25">
      <w:pPr>
        <w:pStyle w:val="PL"/>
      </w:pPr>
      <w:r>
        <w:t xml:space="preserve">        '200':</w:t>
      </w:r>
    </w:p>
    <w:p w14:paraId="1284326D" w14:textId="77777777" w:rsidR="00A10B25" w:rsidRDefault="00A10B25">
      <w:pPr>
        <w:pStyle w:val="PL"/>
      </w:pPr>
      <w:r>
        <w:t xml:space="preserve">          description: &gt;</w:t>
      </w:r>
    </w:p>
    <w:p w14:paraId="748F2C67" w14:textId="77777777" w:rsidR="00A10B25" w:rsidRDefault="00A10B25">
      <w:pPr>
        <w:pStyle w:val="PL"/>
      </w:pPr>
      <w:r>
        <w:t xml:space="preserve">            The Individual NWDAF Roaming Analytics Subscription resource was modified successfully</w:t>
      </w:r>
    </w:p>
    <w:p w14:paraId="33A75D16" w14:textId="77777777" w:rsidR="00A10B25" w:rsidRDefault="00A10B25">
      <w:pPr>
        <w:pStyle w:val="PL"/>
      </w:pPr>
      <w:r>
        <w:t xml:space="preserve">            and a representation of that resource is returned.</w:t>
      </w:r>
    </w:p>
    <w:p w14:paraId="36AADD99" w14:textId="77777777" w:rsidR="00A10B25" w:rsidRDefault="00A10B25">
      <w:pPr>
        <w:pStyle w:val="PL"/>
      </w:pPr>
      <w:r>
        <w:t xml:space="preserve">          content:</w:t>
      </w:r>
    </w:p>
    <w:p w14:paraId="540410CB" w14:textId="77777777" w:rsidR="00A10B25" w:rsidRDefault="00A10B25">
      <w:pPr>
        <w:pStyle w:val="PL"/>
      </w:pPr>
      <w:r>
        <w:t xml:space="preserve">            application/json:</w:t>
      </w:r>
    </w:p>
    <w:p w14:paraId="3B053043" w14:textId="77777777" w:rsidR="00A10B25" w:rsidRDefault="00A10B25">
      <w:pPr>
        <w:pStyle w:val="PL"/>
      </w:pPr>
      <w:r>
        <w:t xml:space="preserve">              schema:</w:t>
      </w:r>
    </w:p>
    <w:p w14:paraId="51193F20" w14:textId="77777777" w:rsidR="00A10B25" w:rsidRDefault="00A10B25">
      <w:pPr>
        <w:pStyle w:val="PL"/>
      </w:pPr>
      <w:r>
        <w:t xml:space="preserve">                $ref: '#/components/schemas/RoamingAnalyticsSubscription'</w:t>
      </w:r>
    </w:p>
    <w:p w14:paraId="50977EB9" w14:textId="77777777" w:rsidR="00A10B25" w:rsidRDefault="00A10B25">
      <w:pPr>
        <w:pStyle w:val="PL"/>
      </w:pPr>
      <w:r>
        <w:t xml:space="preserve">        '204':</w:t>
      </w:r>
    </w:p>
    <w:p w14:paraId="5EE55FB7" w14:textId="77777777" w:rsidR="00A10B25" w:rsidRDefault="00A10B25">
      <w:pPr>
        <w:pStyle w:val="PL"/>
      </w:pPr>
      <w:r>
        <w:t xml:space="preserve">          description: &gt;</w:t>
      </w:r>
    </w:p>
    <w:p w14:paraId="2095C786" w14:textId="77777777" w:rsidR="00A10B25" w:rsidRDefault="00A10B25">
      <w:pPr>
        <w:pStyle w:val="PL"/>
      </w:pPr>
      <w:r>
        <w:t xml:space="preserve">            The Individual NWDAF Roaming Analytics Subscription resource was modified</w:t>
      </w:r>
    </w:p>
    <w:p w14:paraId="2D142391" w14:textId="77777777" w:rsidR="00A10B25" w:rsidRDefault="00A10B25">
      <w:pPr>
        <w:pStyle w:val="PL"/>
      </w:pPr>
      <w:r>
        <w:t xml:space="preserve">            successfully.</w:t>
      </w:r>
    </w:p>
    <w:p w14:paraId="78A53AE1" w14:textId="77777777" w:rsidR="00A10B25" w:rsidRDefault="00A10B25">
      <w:pPr>
        <w:pStyle w:val="PL"/>
      </w:pPr>
      <w:r>
        <w:t xml:space="preserve">        '307':</w:t>
      </w:r>
    </w:p>
    <w:p w14:paraId="75D0B555" w14:textId="77777777" w:rsidR="00A10B25" w:rsidRDefault="00A10B25">
      <w:pPr>
        <w:pStyle w:val="PL"/>
      </w:pPr>
      <w:r>
        <w:t xml:space="preserve">          $ref: 'TS29571_CommonData.yaml#/components/responses/307'</w:t>
      </w:r>
    </w:p>
    <w:p w14:paraId="62C977C9" w14:textId="77777777" w:rsidR="00A10B25" w:rsidRDefault="00A10B25">
      <w:pPr>
        <w:pStyle w:val="PL"/>
      </w:pPr>
      <w:r>
        <w:t xml:space="preserve">        '308':</w:t>
      </w:r>
    </w:p>
    <w:p w14:paraId="6605483D" w14:textId="77777777" w:rsidR="00A10B25" w:rsidRDefault="00A10B25">
      <w:pPr>
        <w:pStyle w:val="PL"/>
      </w:pPr>
      <w:r>
        <w:t xml:space="preserve">          $ref: 'TS29571_CommonData.yaml#/components/responses/308'</w:t>
      </w:r>
    </w:p>
    <w:p w14:paraId="73B12D6A" w14:textId="77777777" w:rsidR="00A10B25" w:rsidRDefault="00A10B25">
      <w:pPr>
        <w:pStyle w:val="PL"/>
      </w:pPr>
      <w:r>
        <w:t xml:space="preserve">        '400':</w:t>
      </w:r>
    </w:p>
    <w:p w14:paraId="6F2832DE" w14:textId="77777777" w:rsidR="00A10B25" w:rsidRDefault="00A10B25">
      <w:pPr>
        <w:pStyle w:val="PL"/>
      </w:pPr>
      <w:r>
        <w:t xml:space="preserve">          $ref: 'TS29571_CommonData.yaml#/components/responses/400'</w:t>
      </w:r>
    </w:p>
    <w:p w14:paraId="7434561F" w14:textId="77777777" w:rsidR="00A10B25" w:rsidRDefault="00A10B25">
      <w:pPr>
        <w:pStyle w:val="PL"/>
      </w:pPr>
      <w:r>
        <w:t xml:space="preserve">        '401':</w:t>
      </w:r>
    </w:p>
    <w:p w14:paraId="16D8DD9F" w14:textId="77777777" w:rsidR="00A10B25" w:rsidRDefault="00A10B25">
      <w:pPr>
        <w:pStyle w:val="PL"/>
      </w:pPr>
      <w:r>
        <w:t xml:space="preserve">          $ref: 'TS29571_CommonData.yaml#/components/responses/401'</w:t>
      </w:r>
    </w:p>
    <w:p w14:paraId="18BAE811" w14:textId="77777777" w:rsidR="00A10B25" w:rsidRDefault="00A10B25">
      <w:pPr>
        <w:pStyle w:val="PL"/>
        <w:rPr>
          <w:rFonts w:eastAsia="等线"/>
        </w:rPr>
      </w:pPr>
      <w:r>
        <w:rPr>
          <w:rFonts w:eastAsia="等线"/>
        </w:rPr>
        <w:t xml:space="preserve">        '403':</w:t>
      </w:r>
    </w:p>
    <w:p w14:paraId="55659CB5" w14:textId="77777777" w:rsidR="00A10B25" w:rsidRDefault="00A10B25">
      <w:pPr>
        <w:pStyle w:val="PL"/>
        <w:rPr>
          <w:rFonts w:eastAsia="等线"/>
        </w:rPr>
      </w:pPr>
      <w:r>
        <w:rPr>
          <w:rFonts w:eastAsia="等线"/>
        </w:rPr>
        <w:t xml:space="preserve">          $ref: 'TS29571_CommonData.yaml#/components/responses/403'</w:t>
      </w:r>
    </w:p>
    <w:p w14:paraId="36399F00" w14:textId="77777777" w:rsidR="00A10B25" w:rsidRDefault="00A10B25">
      <w:pPr>
        <w:pStyle w:val="PL"/>
      </w:pPr>
      <w:r>
        <w:t xml:space="preserve">        '404':</w:t>
      </w:r>
    </w:p>
    <w:p w14:paraId="5B959545" w14:textId="77777777" w:rsidR="00A10B25" w:rsidRDefault="00A10B25">
      <w:pPr>
        <w:pStyle w:val="PL"/>
      </w:pPr>
      <w:r>
        <w:t xml:space="preserve">          $ref: 'TS29571_CommonData.yaml#/components/responses/404'</w:t>
      </w:r>
    </w:p>
    <w:p w14:paraId="148C62D8" w14:textId="77777777" w:rsidR="00A10B25" w:rsidRDefault="00A10B25">
      <w:pPr>
        <w:pStyle w:val="PL"/>
      </w:pPr>
      <w:r>
        <w:t xml:space="preserve">        '411':</w:t>
      </w:r>
    </w:p>
    <w:p w14:paraId="68B8A5B9" w14:textId="77777777" w:rsidR="00A10B25" w:rsidRDefault="00A10B25">
      <w:pPr>
        <w:pStyle w:val="PL"/>
      </w:pPr>
      <w:r>
        <w:t xml:space="preserve">          $ref: 'TS29571_CommonData.yaml#/components/responses/411'</w:t>
      </w:r>
    </w:p>
    <w:p w14:paraId="0EBA9F53" w14:textId="77777777" w:rsidR="00A10B25" w:rsidRDefault="00A10B25">
      <w:pPr>
        <w:pStyle w:val="PL"/>
      </w:pPr>
      <w:r>
        <w:t xml:space="preserve">        '413':</w:t>
      </w:r>
    </w:p>
    <w:p w14:paraId="287EE2F5" w14:textId="77777777" w:rsidR="00A10B25" w:rsidRDefault="00A10B25">
      <w:pPr>
        <w:pStyle w:val="PL"/>
      </w:pPr>
      <w:r>
        <w:t xml:space="preserve">          $ref: 'TS29571_CommonData.yaml#/components/responses/413'</w:t>
      </w:r>
    </w:p>
    <w:p w14:paraId="26D5A680" w14:textId="77777777" w:rsidR="00A10B25" w:rsidRDefault="00A10B25">
      <w:pPr>
        <w:pStyle w:val="PL"/>
      </w:pPr>
      <w:r>
        <w:t xml:space="preserve">        '415':</w:t>
      </w:r>
    </w:p>
    <w:p w14:paraId="6D6139A4" w14:textId="77777777" w:rsidR="00A10B25" w:rsidRDefault="00A10B25">
      <w:pPr>
        <w:pStyle w:val="PL"/>
      </w:pPr>
      <w:r>
        <w:t xml:space="preserve">          $ref: 'TS29571_CommonData.yaml#/components/responses/415'</w:t>
      </w:r>
    </w:p>
    <w:p w14:paraId="45ED2ACF" w14:textId="77777777" w:rsidR="00A10B25" w:rsidRDefault="00A10B25">
      <w:pPr>
        <w:pStyle w:val="PL"/>
        <w:rPr>
          <w:rFonts w:eastAsia="等线"/>
        </w:rPr>
      </w:pPr>
      <w:r>
        <w:rPr>
          <w:rFonts w:eastAsia="等线"/>
        </w:rPr>
        <w:t xml:space="preserve">        '429':</w:t>
      </w:r>
    </w:p>
    <w:p w14:paraId="36902622" w14:textId="77777777" w:rsidR="00A10B25" w:rsidRDefault="00A10B25">
      <w:pPr>
        <w:pStyle w:val="PL"/>
        <w:rPr>
          <w:rFonts w:eastAsia="等线"/>
        </w:rPr>
      </w:pPr>
      <w:r>
        <w:rPr>
          <w:rFonts w:eastAsia="等线"/>
        </w:rPr>
        <w:t xml:space="preserve">          $ref: 'TS29571_CommonData.yaml#/components/responses/429'</w:t>
      </w:r>
    </w:p>
    <w:p w14:paraId="5313C582" w14:textId="77777777" w:rsidR="00A10B25" w:rsidRDefault="00A10B25">
      <w:pPr>
        <w:pStyle w:val="PL"/>
      </w:pPr>
      <w:r>
        <w:t xml:space="preserve">        '500':</w:t>
      </w:r>
    </w:p>
    <w:p w14:paraId="388D004B" w14:textId="77777777" w:rsidR="00A10B25" w:rsidRDefault="00A10B25">
      <w:pPr>
        <w:pStyle w:val="PL"/>
      </w:pPr>
      <w:r>
        <w:t xml:space="preserve">          $ref: 'TS29571_CommonData.yaml#/components/responses/500'</w:t>
      </w:r>
    </w:p>
    <w:p w14:paraId="1450FE96" w14:textId="77777777" w:rsidR="00A10B25" w:rsidRDefault="00A10B25">
      <w:pPr>
        <w:pStyle w:val="PL"/>
      </w:pPr>
      <w:r>
        <w:t xml:space="preserve">        '501':</w:t>
      </w:r>
    </w:p>
    <w:p w14:paraId="024382F5" w14:textId="77777777" w:rsidR="00A10B25" w:rsidRDefault="00A10B25">
      <w:pPr>
        <w:pStyle w:val="PL"/>
      </w:pPr>
      <w:r>
        <w:t xml:space="preserve">          $ref: 'TS29571_CommonData.yaml#/components/responses/501'</w:t>
      </w:r>
    </w:p>
    <w:p w14:paraId="7303A8E6" w14:textId="77777777" w:rsidR="00A10B25" w:rsidRDefault="00A10B25">
      <w:pPr>
        <w:pStyle w:val="PL"/>
      </w:pPr>
      <w:r>
        <w:t xml:space="preserve">        '502':</w:t>
      </w:r>
    </w:p>
    <w:p w14:paraId="6E736CBA" w14:textId="77777777" w:rsidR="00A10B25" w:rsidRDefault="00A10B25">
      <w:pPr>
        <w:pStyle w:val="PL"/>
      </w:pPr>
      <w:r>
        <w:t xml:space="preserve">          $ref: 'TS29571_CommonData.yaml#/components/responses/502'</w:t>
      </w:r>
    </w:p>
    <w:p w14:paraId="5D1EFF00" w14:textId="77777777" w:rsidR="00A10B25" w:rsidRDefault="00A10B25">
      <w:pPr>
        <w:pStyle w:val="PL"/>
      </w:pPr>
      <w:r>
        <w:t xml:space="preserve">        '503':</w:t>
      </w:r>
    </w:p>
    <w:p w14:paraId="09297E57" w14:textId="77777777" w:rsidR="00A10B25" w:rsidRDefault="00A10B25">
      <w:pPr>
        <w:pStyle w:val="PL"/>
      </w:pPr>
      <w:r>
        <w:t xml:space="preserve">          $ref: 'TS29571_CommonData.yaml#/components/responses/503'</w:t>
      </w:r>
    </w:p>
    <w:p w14:paraId="17E09332" w14:textId="77777777" w:rsidR="00A10B25" w:rsidRDefault="00A10B25">
      <w:pPr>
        <w:pStyle w:val="PL"/>
      </w:pPr>
      <w:r>
        <w:t xml:space="preserve">        default:</w:t>
      </w:r>
    </w:p>
    <w:p w14:paraId="1D7B9280" w14:textId="77777777" w:rsidR="00A10B25" w:rsidRDefault="00A10B25">
      <w:pPr>
        <w:pStyle w:val="PL"/>
      </w:pPr>
      <w:r>
        <w:t xml:space="preserve">          $ref: 'TS29571_CommonData.yaml#/components/responses/default'</w:t>
      </w:r>
    </w:p>
    <w:p w14:paraId="28AFE7DB" w14:textId="77777777" w:rsidR="00A10B25" w:rsidRDefault="00A10B25">
      <w:pPr>
        <w:pStyle w:val="PL"/>
      </w:pPr>
      <w:r>
        <w:t xml:space="preserve">    delete:</w:t>
      </w:r>
    </w:p>
    <w:p w14:paraId="7F5E8E9A" w14:textId="77777777" w:rsidR="00A10B25" w:rsidRDefault="00A10B25">
      <w:pPr>
        <w:pStyle w:val="PL"/>
      </w:pPr>
      <w:r>
        <w:t xml:space="preserve">      summary: Delete an existing Individual NWDAF Roaming Analytics Subscription</w:t>
      </w:r>
      <w:r>
        <w:rPr>
          <w:rFonts w:hint="eastAsia"/>
          <w:lang w:eastAsia="zh-CN"/>
        </w:rPr>
        <w:t>.</w:t>
      </w:r>
    </w:p>
    <w:p w14:paraId="6991A62D" w14:textId="77777777" w:rsidR="00A10B25" w:rsidRDefault="00A10B25">
      <w:pPr>
        <w:pStyle w:val="PL"/>
      </w:pPr>
      <w:r>
        <w:t xml:space="preserve">      operationId: DeleteNwdafRoamingAnalyticsSubscription</w:t>
      </w:r>
    </w:p>
    <w:p w14:paraId="13A0EC7C" w14:textId="77777777" w:rsidR="00A10B25" w:rsidRDefault="00A10B25">
      <w:pPr>
        <w:pStyle w:val="PL"/>
      </w:pPr>
      <w:r>
        <w:t xml:space="preserve">      tags:</w:t>
      </w:r>
    </w:p>
    <w:p w14:paraId="1F9D0640" w14:textId="77777777" w:rsidR="00A10B25" w:rsidRDefault="00A10B25">
      <w:pPr>
        <w:pStyle w:val="PL"/>
      </w:pPr>
      <w:r>
        <w:t xml:space="preserve">        - Individual NWDAF Roaming Analytics Subscription (Document)</w:t>
      </w:r>
    </w:p>
    <w:p w14:paraId="66057760" w14:textId="77777777" w:rsidR="00A10B25" w:rsidRDefault="00A10B25">
      <w:pPr>
        <w:pStyle w:val="PL"/>
      </w:pPr>
      <w:r>
        <w:lastRenderedPageBreak/>
        <w:t xml:space="preserve">      parameters:</w:t>
      </w:r>
    </w:p>
    <w:p w14:paraId="7AC18B91" w14:textId="77777777" w:rsidR="00A10B25" w:rsidRDefault="00A10B25">
      <w:pPr>
        <w:pStyle w:val="PL"/>
      </w:pPr>
      <w:r>
        <w:t xml:space="preserve">        - name: subscriptionId</w:t>
      </w:r>
    </w:p>
    <w:p w14:paraId="6E1436E1" w14:textId="77777777" w:rsidR="00A10B25" w:rsidRDefault="00A10B25">
      <w:pPr>
        <w:pStyle w:val="PL"/>
      </w:pPr>
      <w:r>
        <w:t xml:space="preserve">          in: path</w:t>
      </w:r>
    </w:p>
    <w:p w14:paraId="188A43A9" w14:textId="77777777" w:rsidR="00A10B25" w:rsidRDefault="00A10B25">
      <w:pPr>
        <w:pStyle w:val="PL"/>
      </w:pPr>
      <w:r>
        <w:t xml:space="preserve">          description: String identifying a subscription to the </w:t>
      </w:r>
      <w:r>
        <w:rPr>
          <w:lang w:val="en-US" w:eastAsia="zh-CN"/>
        </w:rPr>
        <w:t>Nnwdaf_</w:t>
      </w:r>
      <w:r>
        <w:t>RoamingAnalytics service</w:t>
      </w:r>
    </w:p>
    <w:p w14:paraId="0B526FDB" w14:textId="77777777" w:rsidR="00A10B25" w:rsidRDefault="00A10B25">
      <w:pPr>
        <w:pStyle w:val="PL"/>
      </w:pPr>
      <w:r>
        <w:t xml:space="preserve">          required: true</w:t>
      </w:r>
    </w:p>
    <w:p w14:paraId="7499E6A4" w14:textId="77777777" w:rsidR="00A10B25" w:rsidRDefault="00A10B25">
      <w:pPr>
        <w:pStyle w:val="PL"/>
      </w:pPr>
      <w:r>
        <w:t xml:space="preserve">          schema:</w:t>
      </w:r>
    </w:p>
    <w:p w14:paraId="4F3229B9" w14:textId="77777777" w:rsidR="00A10B25" w:rsidRDefault="00A10B25">
      <w:pPr>
        <w:pStyle w:val="PL"/>
      </w:pPr>
      <w:r>
        <w:t xml:space="preserve">            type: string</w:t>
      </w:r>
    </w:p>
    <w:p w14:paraId="527779B2" w14:textId="77777777" w:rsidR="00A10B25" w:rsidRDefault="00A10B25">
      <w:pPr>
        <w:pStyle w:val="PL"/>
      </w:pPr>
      <w:r>
        <w:t xml:space="preserve">      responses:</w:t>
      </w:r>
    </w:p>
    <w:p w14:paraId="4C847330" w14:textId="77777777" w:rsidR="00A10B25" w:rsidRDefault="00A10B25">
      <w:pPr>
        <w:pStyle w:val="PL"/>
      </w:pPr>
      <w:r>
        <w:t xml:space="preserve">        '204':</w:t>
      </w:r>
    </w:p>
    <w:p w14:paraId="1043C3E5" w14:textId="77777777" w:rsidR="00A10B25" w:rsidRDefault="00A10B25">
      <w:pPr>
        <w:pStyle w:val="PL"/>
      </w:pPr>
      <w:r>
        <w:t xml:space="preserve">          description: &gt;</w:t>
      </w:r>
    </w:p>
    <w:p w14:paraId="12BED84C" w14:textId="77777777" w:rsidR="00A10B25" w:rsidRDefault="00A10B25">
      <w:pPr>
        <w:pStyle w:val="PL"/>
      </w:pPr>
      <w:r>
        <w:t xml:space="preserve">            No Content. The Individual NWDAF Roaming Analytics Subscription resource matching the</w:t>
      </w:r>
    </w:p>
    <w:p w14:paraId="3E7CA69D" w14:textId="77777777" w:rsidR="00A10B25" w:rsidRDefault="00A10B25">
      <w:pPr>
        <w:pStyle w:val="PL"/>
      </w:pPr>
      <w:r>
        <w:t xml:space="preserve">            subscriptionId was deleted.</w:t>
      </w:r>
    </w:p>
    <w:p w14:paraId="4F10A80E" w14:textId="77777777" w:rsidR="00A10B25" w:rsidRDefault="00A10B25">
      <w:pPr>
        <w:pStyle w:val="PL"/>
      </w:pPr>
      <w:r>
        <w:t xml:space="preserve">        '307':</w:t>
      </w:r>
    </w:p>
    <w:p w14:paraId="4D0C04D1" w14:textId="77777777" w:rsidR="00A10B25" w:rsidRDefault="00A10B25">
      <w:pPr>
        <w:pStyle w:val="PL"/>
      </w:pPr>
      <w:r>
        <w:t xml:space="preserve">          $ref: 'TS29571_CommonData.yaml#/components/responses/307'</w:t>
      </w:r>
    </w:p>
    <w:p w14:paraId="612196B2" w14:textId="77777777" w:rsidR="00A10B25" w:rsidRDefault="00A10B25">
      <w:pPr>
        <w:pStyle w:val="PL"/>
      </w:pPr>
      <w:r>
        <w:t xml:space="preserve">        '308':</w:t>
      </w:r>
    </w:p>
    <w:p w14:paraId="609F2386" w14:textId="77777777" w:rsidR="00A10B25" w:rsidRDefault="00A10B25">
      <w:pPr>
        <w:pStyle w:val="PL"/>
      </w:pPr>
      <w:r>
        <w:t xml:space="preserve">          $ref: 'TS29571_CommonData.yaml#/components/responses/308'</w:t>
      </w:r>
    </w:p>
    <w:p w14:paraId="5422A4FE" w14:textId="77777777" w:rsidR="00A10B25" w:rsidRDefault="00A10B25">
      <w:pPr>
        <w:pStyle w:val="PL"/>
      </w:pPr>
      <w:r>
        <w:t xml:space="preserve">        '400':</w:t>
      </w:r>
    </w:p>
    <w:p w14:paraId="502091E5" w14:textId="77777777" w:rsidR="00A10B25" w:rsidRDefault="00A10B25">
      <w:pPr>
        <w:pStyle w:val="PL"/>
      </w:pPr>
      <w:r>
        <w:t xml:space="preserve">          $ref: 'TS29571_CommonData.yaml#/components/responses/400'</w:t>
      </w:r>
    </w:p>
    <w:p w14:paraId="0C89CE12" w14:textId="77777777" w:rsidR="00A10B25" w:rsidRDefault="00A10B25">
      <w:pPr>
        <w:pStyle w:val="PL"/>
      </w:pPr>
      <w:r>
        <w:t xml:space="preserve">        '401':</w:t>
      </w:r>
    </w:p>
    <w:p w14:paraId="1DB32DC8" w14:textId="77777777" w:rsidR="00A10B25" w:rsidRDefault="00A10B25">
      <w:pPr>
        <w:pStyle w:val="PL"/>
      </w:pPr>
      <w:r>
        <w:t xml:space="preserve">          $ref: 'TS29571_CommonData.yaml#/components/responses/401'</w:t>
      </w:r>
    </w:p>
    <w:p w14:paraId="7DF00FB2" w14:textId="77777777" w:rsidR="00A10B25" w:rsidRDefault="00A10B25">
      <w:pPr>
        <w:pStyle w:val="PL"/>
        <w:rPr>
          <w:rFonts w:eastAsia="等线"/>
        </w:rPr>
      </w:pPr>
      <w:r>
        <w:rPr>
          <w:rFonts w:eastAsia="等线"/>
        </w:rPr>
        <w:t xml:space="preserve">        '403':</w:t>
      </w:r>
    </w:p>
    <w:p w14:paraId="7D9708C9" w14:textId="77777777" w:rsidR="00A10B25" w:rsidRDefault="00A10B25">
      <w:pPr>
        <w:pStyle w:val="PL"/>
        <w:rPr>
          <w:rFonts w:eastAsia="等线"/>
        </w:rPr>
      </w:pPr>
      <w:r>
        <w:rPr>
          <w:rFonts w:eastAsia="等线"/>
        </w:rPr>
        <w:t xml:space="preserve">          $ref: 'TS29571_CommonData.yaml#/components/responses/403'</w:t>
      </w:r>
    </w:p>
    <w:p w14:paraId="2639013B" w14:textId="77777777" w:rsidR="00A10B25" w:rsidRDefault="00A10B25">
      <w:pPr>
        <w:pStyle w:val="PL"/>
      </w:pPr>
      <w:r>
        <w:t xml:space="preserve">        '404':</w:t>
      </w:r>
    </w:p>
    <w:p w14:paraId="73F0F1CC" w14:textId="77777777" w:rsidR="00A10B25" w:rsidRDefault="00A10B25">
      <w:pPr>
        <w:pStyle w:val="PL"/>
        <w:rPr>
          <w:rFonts w:eastAsia="等线"/>
        </w:rPr>
      </w:pPr>
      <w:r>
        <w:rPr>
          <w:rFonts w:eastAsia="等线"/>
        </w:rPr>
        <w:t xml:space="preserve">          $ref: 'TS29571_CommonData.yaml#/components/responses/404'</w:t>
      </w:r>
    </w:p>
    <w:p w14:paraId="7D79163E" w14:textId="77777777" w:rsidR="00A10B25" w:rsidRDefault="00A10B25">
      <w:pPr>
        <w:pStyle w:val="PL"/>
        <w:rPr>
          <w:rFonts w:eastAsia="等线"/>
        </w:rPr>
      </w:pPr>
      <w:r>
        <w:rPr>
          <w:rFonts w:eastAsia="等线"/>
        </w:rPr>
        <w:t xml:space="preserve">        '429':</w:t>
      </w:r>
    </w:p>
    <w:p w14:paraId="29574189" w14:textId="77777777" w:rsidR="00A10B25" w:rsidRDefault="00A10B25">
      <w:pPr>
        <w:pStyle w:val="PL"/>
        <w:rPr>
          <w:rFonts w:eastAsia="等线"/>
        </w:rPr>
      </w:pPr>
      <w:r>
        <w:rPr>
          <w:rFonts w:eastAsia="等线"/>
        </w:rPr>
        <w:t xml:space="preserve">          $ref: 'TS29571_CommonData.yaml#/components/responses/429'</w:t>
      </w:r>
    </w:p>
    <w:p w14:paraId="1379E5BC" w14:textId="77777777" w:rsidR="00A10B25" w:rsidRDefault="00A10B25">
      <w:pPr>
        <w:pStyle w:val="PL"/>
      </w:pPr>
      <w:r>
        <w:t xml:space="preserve">        '500':</w:t>
      </w:r>
    </w:p>
    <w:p w14:paraId="466F2348" w14:textId="77777777" w:rsidR="00A10B25" w:rsidRDefault="00A10B25">
      <w:pPr>
        <w:pStyle w:val="PL"/>
      </w:pPr>
      <w:r>
        <w:t xml:space="preserve">          $ref: 'TS29571_CommonData.yaml#/components/responses/500'</w:t>
      </w:r>
    </w:p>
    <w:p w14:paraId="30A94DA9" w14:textId="77777777" w:rsidR="00A10B25" w:rsidRDefault="00A10B25">
      <w:pPr>
        <w:pStyle w:val="PL"/>
      </w:pPr>
      <w:r>
        <w:t xml:space="preserve">        '501':</w:t>
      </w:r>
    </w:p>
    <w:p w14:paraId="6A151154" w14:textId="77777777" w:rsidR="00A10B25" w:rsidRDefault="00A10B25">
      <w:pPr>
        <w:pStyle w:val="PL"/>
      </w:pPr>
      <w:r>
        <w:t xml:space="preserve">          $ref: 'TS29571_CommonData.yaml#/components/responses/501'</w:t>
      </w:r>
    </w:p>
    <w:p w14:paraId="4546A18D" w14:textId="77777777" w:rsidR="00A10B25" w:rsidRDefault="00A10B25">
      <w:pPr>
        <w:pStyle w:val="PL"/>
      </w:pPr>
      <w:r>
        <w:t xml:space="preserve">        '502':</w:t>
      </w:r>
    </w:p>
    <w:p w14:paraId="41B0767D" w14:textId="77777777" w:rsidR="00A10B25" w:rsidRDefault="00A10B25">
      <w:pPr>
        <w:pStyle w:val="PL"/>
      </w:pPr>
      <w:r>
        <w:t xml:space="preserve">          $ref: 'TS29571_CommonData.yaml#/components/responses/502'</w:t>
      </w:r>
    </w:p>
    <w:p w14:paraId="29BE7234" w14:textId="77777777" w:rsidR="00A10B25" w:rsidRDefault="00A10B25">
      <w:pPr>
        <w:pStyle w:val="PL"/>
      </w:pPr>
      <w:r>
        <w:t xml:space="preserve">        '503':</w:t>
      </w:r>
    </w:p>
    <w:p w14:paraId="0A2FF1BC" w14:textId="77777777" w:rsidR="00A10B25" w:rsidRDefault="00A10B25">
      <w:pPr>
        <w:pStyle w:val="PL"/>
      </w:pPr>
      <w:r>
        <w:t xml:space="preserve">          $ref: 'TS29571_CommonData.yaml#/components/responses/503'</w:t>
      </w:r>
    </w:p>
    <w:p w14:paraId="6C597FA7" w14:textId="77777777" w:rsidR="00A10B25" w:rsidRDefault="00A10B25">
      <w:pPr>
        <w:pStyle w:val="PL"/>
      </w:pPr>
      <w:r>
        <w:t xml:space="preserve">        default:</w:t>
      </w:r>
    </w:p>
    <w:p w14:paraId="40831903" w14:textId="77777777" w:rsidR="00A10B25" w:rsidRDefault="00A10B25">
      <w:pPr>
        <w:pStyle w:val="PL"/>
      </w:pPr>
      <w:r>
        <w:t xml:space="preserve">          $ref: 'TS29571_CommonData.yaml#/components/responses/default'</w:t>
      </w:r>
    </w:p>
    <w:p w14:paraId="00635EF0" w14:textId="77777777" w:rsidR="00A10B25" w:rsidRDefault="00A10B25">
      <w:pPr>
        <w:pStyle w:val="PL"/>
      </w:pPr>
    </w:p>
    <w:p w14:paraId="7F3DBE4D" w14:textId="77777777" w:rsidR="00A10B25" w:rsidRDefault="00A10B25">
      <w:pPr>
        <w:pStyle w:val="PL"/>
      </w:pPr>
      <w:r>
        <w:t>components:</w:t>
      </w:r>
    </w:p>
    <w:p w14:paraId="7EBA9B1D" w14:textId="77777777" w:rsidR="00A10B25" w:rsidRDefault="00A10B25">
      <w:pPr>
        <w:pStyle w:val="PL"/>
      </w:pPr>
      <w:r>
        <w:t xml:space="preserve">  securitySchemes:</w:t>
      </w:r>
    </w:p>
    <w:p w14:paraId="57DD9B99" w14:textId="77777777" w:rsidR="00A10B25" w:rsidRDefault="00A10B25">
      <w:pPr>
        <w:pStyle w:val="PL"/>
      </w:pPr>
      <w:r>
        <w:t xml:space="preserve">    oAuth2ClientCredentials:</w:t>
      </w:r>
    </w:p>
    <w:p w14:paraId="6BA7245B" w14:textId="77777777" w:rsidR="00A10B25" w:rsidRDefault="00A10B25">
      <w:pPr>
        <w:pStyle w:val="PL"/>
      </w:pPr>
      <w:r>
        <w:t xml:space="preserve">      type: oauth2</w:t>
      </w:r>
    </w:p>
    <w:p w14:paraId="062AA6DB" w14:textId="77777777" w:rsidR="00A10B25" w:rsidRDefault="00A10B25">
      <w:pPr>
        <w:pStyle w:val="PL"/>
      </w:pPr>
      <w:r>
        <w:t xml:space="preserve">      flows:</w:t>
      </w:r>
    </w:p>
    <w:p w14:paraId="2D4FD356" w14:textId="77777777" w:rsidR="00A10B25" w:rsidRDefault="00A10B25">
      <w:pPr>
        <w:pStyle w:val="PL"/>
      </w:pPr>
      <w:r>
        <w:t xml:space="preserve">        clientCredentials:</w:t>
      </w:r>
    </w:p>
    <w:p w14:paraId="6A6B516C" w14:textId="77777777" w:rsidR="00A10B25" w:rsidRDefault="00A10B25">
      <w:pPr>
        <w:pStyle w:val="PL"/>
      </w:pPr>
      <w:r>
        <w:t xml:space="preserve">          tokenUrl: '{nrfApiRoot}/oauth2/token'</w:t>
      </w:r>
    </w:p>
    <w:p w14:paraId="321F8B81" w14:textId="77777777" w:rsidR="00A10B25" w:rsidRDefault="00A10B25">
      <w:pPr>
        <w:pStyle w:val="PL"/>
      </w:pPr>
      <w:r>
        <w:t xml:space="preserve">          scopes:</w:t>
      </w:r>
    </w:p>
    <w:p w14:paraId="7F37A395" w14:textId="77777777" w:rsidR="00A10B25" w:rsidRDefault="00A10B25">
      <w:pPr>
        <w:pStyle w:val="PL"/>
      </w:pPr>
      <w:r>
        <w:t xml:space="preserve">            nnwdaf-roaminganalytics: Access to the </w:t>
      </w:r>
      <w:r>
        <w:rPr>
          <w:lang w:val="en-US" w:eastAsia="zh-CN"/>
        </w:rPr>
        <w:t>Nnwdaf_</w:t>
      </w:r>
      <w:r>
        <w:t>RoamingAnalytics</w:t>
      </w:r>
      <w:r>
        <w:rPr>
          <w:lang w:eastAsia="zh-CN"/>
        </w:rPr>
        <w:t xml:space="preserve"> </w:t>
      </w:r>
      <w:r>
        <w:t>API</w:t>
      </w:r>
    </w:p>
    <w:p w14:paraId="148B9586" w14:textId="77777777" w:rsidR="00A10B25" w:rsidRDefault="00A10B25">
      <w:pPr>
        <w:pStyle w:val="PL"/>
      </w:pPr>
    </w:p>
    <w:p w14:paraId="49F3FC09" w14:textId="77777777" w:rsidR="00A10B25" w:rsidRDefault="00A10B25">
      <w:pPr>
        <w:pStyle w:val="PL"/>
      </w:pPr>
      <w:r>
        <w:t xml:space="preserve">  schemas:</w:t>
      </w:r>
    </w:p>
    <w:p w14:paraId="3018D49D" w14:textId="77777777" w:rsidR="00A10B25" w:rsidRDefault="00A10B25">
      <w:pPr>
        <w:pStyle w:val="PL"/>
        <w:rPr>
          <w:rFonts w:eastAsia="等线"/>
        </w:rPr>
      </w:pPr>
      <w:r>
        <w:t xml:space="preserve">    RoamingAnalyticsSubscription</w:t>
      </w:r>
      <w:r>
        <w:rPr>
          <w:rFonts w:eastAsia="等线"/>
        </w:rPr>
        <w:t>:</w:t>
      </w:r>
    </w:p>
    <w:p w14:paraId="43A161BA" w14:textId="77777777" w:rsidR="00A10B25" w:rsidRDefault="00A10B25">
      <w:pPr>
        <w:pStyle w:val="PL"/>
      </w:pPr>
      <w:r>
        <w:t xml:space="preserve">      description: Represents a Roaming Analytics subscription.</w:t>
      </w:r>
    </w:p>
    <w:p w14:paraId="212EFC7B" w14:textId="77777777" w:rsidR="00A10B25" w:rsidRDefault="00A10B25">
      <w:pPr>
        <w:pStyle w:val="PL"/>
      </w:pPr>
      <w:r>
        <w:t xml:space="preserve">      type: object</w:t>
      </w:r>
    </w:p>
    <w:p w14:paraId="2298C158" w14:textId="77777777" w:rsidR="00A10B25" w:rsidRDefault="00A10B25">
      <w:pPr>
        <w:pStyle w:val="PL"/>
      </w:pPr>
      <w:r>
        <w:t xml:space="preserve">      properties:</w:t>
      </w:r>
    </w:p>
    <w:p w14:paraId="593E0B75" w14:textId="77777777" w:rsidR="00A10B25" w:rsidRDefault="00A10B25">
      <w:pPr>
        <w:pStyle w:val="PL"/>
      </w:pPr>
      <w:r>
        <w:t xml:space="preserve">        roamEventSubs:</w:t>
      </w:r>
    </w:p>
    <w:p w14:paraId="3C4A7413" w14:textId="77777777" w:rsidR="00A10B25" w:rsidRDefault="00A10B25">
      <w:pPr>
        <w:pStyle w:val="PL"/>
      </w:pPr>
      <w:r>
        <w:t xml:space="preserve">          type: array</w:t>
      </w:r>
    </w:p>
    <w:p w14:paraId="0F53DE50" w14:textId="77777777" w:rsidR="00A10B25" w:rsidRDefault="00A10B25">
      <w:pPr>
        <w:pStyle w:val="PL"/>
      </w:pPr>
      <w:r>
        <w:t xml:space="preserve">          items:</w:t>
      </w:r>
    </w:p>
    <w:p w14:paraId="1F845BA3" w14:textId="77777777" w:rsidR="00A10B25" w:rsidRDefault="00A10B25">
      <w:pPr>
        <w:pStyle w:val="PL"/>
      </w:pPr>
      <w:r>
        <w:t xml:space="preserve">            $ref: 'TS29520_Nnwdaf_EventsSubscription.yaml#/components/schemas/EventSubscription'</w:t>
      </w:r>
    </w:p>
    <w:p w14:paraId="33BC3503" w14:textId="77777777" w:rsidR="00A10B25" w:rsidRDefault="00A10B25">
      <w:pPr>
        <w:pStyle w:val="PL"/>
      </w:pPr>
      <w:r>
        <w:t xml:space="preserve">          minItems: 1</w:t>
      </w:r>
    </w:p>
    <w:p w14:paraId="564A81CA" w14:textId="77777777" w:rsidR="00A10B25" w:rsidRDefault="00A10B25">
      <w:pPr>
        <w:pStyle w:val="PL"/>
      </w:pPr>
      <w:r>
        <w:t xml:space="preserve">          description: Represents Roaming Analytics subscription for a specific event.</w:t>
      </w:r>
    </w:p>
    <w:p w14:paraId="03620A16" w14:textId="77777777" w:rsidR="00A10B25" w:rsidRDefault="00A10B25">
      <w:pPr>
        <w:pStyle w:val="PL"/>
      </w:pPr>
      <w:r>
        <w:t xml:space="preserve">        evtReq:</w:t>
      </w:r>
    </w:p>
    <w:p w14:paraId="6329B074" w14:textId="77777777" w:rsidR="00A10B25" w:rsidRDefault="00A10B25">
      <w:pPr>
        <w:pStyle w:val="PL"/>
      </w:pPr>
      <w:r>
        <w:t xml:space="preserve">          $ref: 'TS29523_Npcf_EventExposure.yaml#/components/schemas/ReportingInformation'</w:t>
      </w:r>
    </w:p>
    <w:p w14:paraId="51633066"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notifUri:</w:t>
      </w:r>
    </w:p>
    <w:p w14:paraId="6544A639"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'TS29571_CommonData.yaml#/components/schemas/Uri'</w:t>
      </w:r>
    </w:p>
    <w:p w14:paraId="15A9CB80"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notifCorrId:</w:t>
      </w:r>
    </w:p>
    <w:p w14:paraId="2DF0AB78"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string</w:t>
      </w:r>
    </w:p>
    <w:p w14:paraId="04EED664"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description: Notification correlation identifier.</w:t>
      </w:r>
    </w:p>
    <w:p w14:paraId="59A36BDB" w14:textId="77777777" w:rsidR="00A10B25" w:rsidRDefault="00A10B25">
      <w:pPr>
        <w:pStyle w:val="PL"/>
      </w:pPr>
      <w:r>
        <w:t xml:space="preserve">        consPlmnId:</w:t>
      </w:r>
    </w:p>
    <w:p w14:paraId="6D6D8CDE" w14:textId="77777777" w:rsidR="00A10B25" w:rsidRDefault="00A10B25">
      <w:pPr>
        <w:pStyle w:val="PL"/>
      </w:pPr>
      <w:r>
        <w:t xml:space="preserve">          $ref: 'TS29571_CommonData.yaml#/components/schemas/PlmnId'</w:t>
      </w:r>
    </w:p>
    <w:p w14:paraId="1EC21876" w14:textId="77777777" w:rsidR="00A10B25" w:rsidRDefault="00A10B25">
      <w:pPr>
        <w:pStyle w:val="PL"/>
      </w:pPr>
      <w:r>
        <w:t xml:space="preserve">        roamEventNotifs:</w:t>
      </w:r>
    </w:p>
    <w:p w14:paraId="17312B6E" w14:textId="77777777" w:rsidR="00A10B25" w:rsidRDefault="00A10B25">
      <w:pPr>
        <w:pStyle w:val="PL"/>
      </w:pPr>
      <w:r>
        <w:t xml:space="preserve">          type: array</w:t>
      </w:r>
    </w:p>
    <w:p w14:paraId="545BD627" w14:textId="77777777" w:rsidR="00A10B25" w:rsidRDefault="00A10B25">
      <w:pPr>
        <w:pStyle w:val="PL"/>
      </w:pPr>
      <w:r>
        <w:t xml:space="preserve">          items:</w:t>
      </w:r>
    </w:p>
    <w:p w14:paraId="62338309" w14:textId="77777777" w:rsidR="00A10B25" w:rsidRDefault="00A10B25">
      <w:pPr>
        <w:pStyle w:val="PL"/>
      </w:pPr>
      <w:r>
        <w:t xml:space="preserve">            $ref: 'TS29520_Nnwdaf_EventsSubscription.yaml#/components/schemas/EventNotification'</w:t>
      </w:r>
    </w:p>
    <w:p w14:paraId="6D36ED8C" w14:textId="77777777" w:rsidR="00A10B25" w:rsidRDefault="00A10B25">
      <w:pPr>
        <w:pStyle w:val="PL"/>
      </w:pPr>
      <w:r>
        <w:t xml:space="preserve">          minItems: 1</w:t>
      </w:r>
    </w:p>
    <w:p w14:paraId="6F4408AC" w14:textId="77777777" w:rsidR="00A10B25" w:rsidRDefault="00A10B25">
      <w:pPr>
        <w:pStyle w:val="PL"/>
      </w:pPr>
      <w:r>
        <w:t xml:space="preserve">          description: Contains immediate reports for Roaming Analytics.</w:t>
      </w:r>
    </w:p>
    <w:p w14:paraId="200D8F38" w14:textId="77777777" w:rsidR="00A10B25" w:rsidRDefault="00A10B25">
      <w:pPr>
        <w:pStyle w:val="PL"/>
      </w:pPr>
      <w:r>
        <w:t xml:space="preserve">        failEventReports:</w:t>
      </w:r>
    </w:p>
    <w:p w14:paraId="433C1E00" w14:textId="77777777" w:rsidR="00A10B25" w:rsidRDefault="00A10B25">
      <w:pPr>
        <w:pStyle w:val="PL"/>
      </w:pPr>
      <w:r>
        <w:t xml:space="preserve">          type: array</w:t>
      </w:r>
    </w:p>
    <w:p w14:paraId="7457CADA" w14:textId="77777777" w:rsidR="00A10B25" w:rsidRDefault="00A10B25">
      <w:pPr>
        <w:pStyle w:val="PL"/>
      </w:pPr>
      <w:r>
        <w:t xml:space="preserve">          items:</w:t>
      </w:r>
    </w:p>
    <w:p w14:paraId="670DF9C4" w14:textId="77777777" w:rsidR="00A10B25" w:rsidRDefault="00A10B25">
      <w:pPr>
        <w:pStyle w:val="PL"/>
      </w:pPr>
      <w:r>
        <w:t xml:space="preserve">            $ref: 'TS29520_Nnwdaf_EventsSubscription.yaml#/components/schemas/FailureEventInfo'</w:t>
      </w:r>
    </w:p>
    <w:p w14:paraId="1E33B5B0" w14:textId="77777777" w:rsidR="00A10B25" w:rsidRDefault="00A10B25">
      <w:pPr>
        <w:pStyle w:val="PL"/>
      </w:pPr>
      <w:r>
        <w:t xml:space="preserve">          minItems: 1</w:t>
      </w:r>
    </w:p>
    <w:p w14:paraId="40CDE07A" w14:textId="77777777" w:rsidR="00A10B25" w:rsidRDefault="00A10B25">
      <w:pPr>
        <w:pStyle w:val="PL"/>
      </w:pPr>
      <w:r>
        <w:lastRenderedPageBreak/>
        <w:t xml:space="preserve">          description: Contains information about failed events.</w:t>
      </w:r>
    </w:p>
    <w:p w14:paraId="3529835C" w14:textId="77777777" w:rsidR="00A10B25" w:rsidRDefault="00A10B25">
      <w:pPr>
        <w:pStyle w:val="PL"/>
      </w:pPr>
      <w:r>
        <w:t xml:space="preserve">        suppFeat:</w:t>
      </w:r>
    </w:p>
    <w:p w14:paraId="14A12E80" w14:textId="77777777" w:rsidR="00A10B25" w:rsidRDefault="00A10B25">
      <w:pPr>
        <w:pStyle w:val="PL"/>
      </w:pPr>
      <w:r>
        <w:t xml:space="preserve">          $ref: 'TS29571_CommonData.yaml#/components/schemas/SupportedFeatures'</w:t>
      </w:r>
    </w:p>
    <w:p w14:paraId="0681A252" w14:textId="77777777" w:rsidR="00A10B25" w:rsidRDefault="00A10B25">
      <w:pPr>
        <w:pStyle w:val="PL"/>
      </w:pPr>
      <w:r>
        <w:t xml:space="preserve">      required:</w:t>
      </w:r>
    </w:p>
    <w:p w14:paraId="363CD1A5" w14:textId="77777777" w:rsidR="00A10B25" w:rsidRDefault="00A10B25">
      <w:pPr>
        <w:pStyle w:val="PL"/>
      </w:pPr>
      <w:r>
        <w:t xml:space="preserve">        - roamEventSubs</w:t>
      </w:r>
    </w:p>
    <w:p w14:paraId="56438713" w14:textId="77777777" w:rsidR="00A10B25" w:rsidRDefault="00A10B25">
      <w:pPr>
        <w:pStyle w:val="PL"/>
      </w:pPr>
      <w:r>
        <w:t xml:space="preserve">        - notifUri</w:t>
      </w:r>
    </w:p>
    <w:p w14:paraId="77A1BF76" w14:textId="77777777" w:rsidR="00A10B25" w:rsidRDefault="00A10B25">
      <w:pPr>
        <w:pStyle w:val="PL"/>
      </w:pPr>
      <w:r>
        <w:t xml:space="preserve">        - notifCorrId</w:t>
      </w:r>
    </w:p>
    <w:p w14:paraId="133B10B9" w14:textId="77777777" w:rsidR="00A10B25" w:rsidRDefault="00A10B25">
      <w:pPr>
        <w:pStyle w:val="PL"/>
      </w:pPr>
      <w:r>
        <w:t xml:space="preserve">        - consPlmnId</w:t>
      </w:r>
    </w:p>
    <w:p w14:paraId="5BFD509D" w14:textId="77777777" w:rsidR="00A10B25" w:rsidRDefault="00A10B25">
      <w:pPr>
        <w:pStyle w:val="PL"/>
      </w:pPr>
    </w:p>
    <w:p w14:paraId="200A74D9" w14:textId="77777777" w:rsidR="00A10B25" w:rsidRDefault="00A10B25">
      <w:pPr>
        <w:pStyle w:val="PL"/>
        <w:rPr>
          <w:rFonts w:eastAsia="等线"/>
        </w:rPr>
      </w:pPr>
      <w:r>
        <w:t xml:space="preserve">    RoamingAnalyticsNotification</w:t>
      </w:r>
      <w:r>
        <w:rPr>
          <w:rFonts w:eastAsia="等线"/>
        </w:rPr>
        <w:t>:</w:t>
      </w:r>
    </w:p>
    <w:p w14:paraId="4C316C31" w14:textId="77777777" w:rsidR="00A10B25" w:rsidRDefault="00A10B25">
      <w:pPr>
        <w:pStyle w:val="PL"/>
      </w:pPr>
      <w:r>
        <w:t xml:space="preserve">      description: Represents a Roaming Analytics notification.</w:t>
      </w:r>
    </w:p>
    <w:p w14:paraId="1F1078F5" w14:textId="77777777" w:rsidR="00A10B25" w:rsidRDefault="00A10B25">
      <w:pPr>
        <w:pStyle w:val="PL"/>
      </w:pPr>
      <w:r>
        <w:t xml:space="preserve">      type: object</w:t>
      </w:r>
    </w:p>
    <w:p w14:paraId="55FD0AB9" w14:textId="77777777" w:rsidR="00A10B25" w:rsidRDefault="00A10B25">
      <w:pPr>
        <w:pStyle w:val="PL"/>
      </w:pPr>
      <w:r>
        <w:t xml:space="preserve">      properties:</w:t>
      </w:r>
    </w:p>
    <w:p w14:paraId="67912C21" w14:textId="77777777" w:rsidR="00A10B25" w:rsidRDefault="00A10B25">
      <w:pPr>
        <w:pStyle w:val="PL"/>
      </w:pPr>
      <w:r>
        <w:t xml:space="preserve">        roamEventNotifs:</w:t>
      </w:r>
    </w:p>
    <w:p w14:paraId="4756CE6C" w14:textId="77777777" w:rsidR="00A10B25" w:rsidRDefault="00A10B25">
      <w:pPr>
        <w:pStyle w:val="PL"/>
      </w:pPr>
      <w:r>
        <w:t xml:space="preserve">          type: array</w:t>
      </w:r>
    </w:p>
    <w:p w14:paraId="6839D64E" w14:textId="77777777" w:rsidR="00A10B25" w:rsidRDefault="00A10B25">
      <w:pPr>
        <w:pStyle w:val="PL"/>
      </w:pPr>
      <w:r>
        <w:t xml:space="preserve">          items:</w:t>
      </w:r>
    </w:p>
    <w:p w14:paraId="0DDF5CB5" w14:textId="77777777" w:rsidR="00A10B25" w:rsidRDefault="00A10B25">
      <w:pPr>
        <w:pStyle w:val="PL"/>
      </w:pPr>
      <w:r>
        <w:t xml:space="preserve">            $ref: 'TS29520_Nnwdaf_EventsSubscription.yaml#/components/schemas/EventNotification'</w:t>
      </w:r>
    </w:p>
    <w:p w14:paraId="4CF45495" w14:textId="77777777" w:rsidR="00A10B25" w:rsidRDefault="00A10B25">
      <w:pPr>
        <w:pStyle w:val="PL"/>
      </w:pPr>
      <w:r>
        <w:t xml:space="preserve">          minItems: 1</w:t>
      </w:r>
    </w:p>
    <w:p w14:paraId="545DC73F" w14:textId="77777777" w:rsidR="00A10B25" w:rsidRDefault="00A10B25">
      <w:pPr>
        <w:pStyle w:val="PL"/>
      </w:pPr>
      <w:r>
        <w:t xml:space="preserve">          description: Contains Roaming Analytics notification for a specific event.</w:t>
      </w:r>
    </w:p>
    <w:p w14:paraId="2CB1A40A" w14:textId="77777777" w:rsidR="00A10B25" w:rsidRDefault="00A10B25">
      <w:pPr>
        <w:pStyle w:val="PL"/>
      </w:pPr>
      <w:r>
        <w:t xml:space="preserve">        notifCorrId:</w:t>
      </w:r>
    </w:p>
    <w:p w14:paraId="35EED98B" w14:textId="77777777" w:rsidR="00A10B25" w:rsidRDefault="00A10B25">
      <w:pPr>
        <w:pStyle w:val="PL"/>
      </w:pPr>
      <w:r>
        <w:t xml:space="preserve">          type: string</w:t>
      </w:r>
    </w:p>
    <w:p w14:paraId="271C6F08" w14:textId="77777777" w:rsidR="00A10B25" w:rsidRDefault="00A10B25">
      <w:pPr>
        <w:pStyle w:val="PL"/>
      </w:pPr>
      <w:r>
        <w:t xml:space="preserve">          description: Notification correlation identifier.</w:t>
      </w:r>
    </w:p>
    <w:p w14:paraId="08DC4EF7"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termCause:</w:t>
      </w:r>
    </w:p>
    <w:p w14:paraId="06CE1108" w14:textId="77777777" w:rsidR="00A10B25" w:rsidRDefault="00A10B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$ref: 'TS29520_Nnwdaf_EventsSubscription.yaml#/components/schemas/TermCause'</w:t>
      </w:r>
    </w:p>
    <w:p w14:paraId="2A701555" w14:textId="77777777" w:rsidR="00A10B25" w:rsidRDefault="00A10B25">
      <w:pPr>
        <w:pStyle w:val="PL"/>
      </w:pPr>
      <w:r>
        <w:t xml:space="preserve">      required:</w:t>
      </w:r>
    </w:p>
    <w:p w14:paraId="28EF24EA" w14:textId="77777777" w:rsidR="00A10B25" w:rsidRDefault="00A10B25">
      <w:pPr>
        <w:pStyle w:val="PL"/>
      </w:pPr>
      <w:r>
        <w:t xml:space="preserve">        - roamEventNotifs</w:t>
      </w:r>
    </w:p>
    <w:p w14:paraId="7967DFF9" w14:textId="77777777" w:rsidR="00A10B25" w:rsidRDefault="00A10B25">
      <w:pPr>
        <w:pStyle w:val="PL"/>
      </w:pPr>
      <w:r>
        <w:t xml:space="preserve">        - notifCorrId</w:t>
      </w:r>
    </w:p>
    <w:p w14:paraId="0F13FF29" w14:textId="77777777" w:rsidR="00183EFC" w:rsidRDefault="00183EFC" w:rsidP="00183EFC">
      <w:pPr>
        <w:pStyle w:val="1"/>
        <w:rPr>
          <w:lang w:val="en-US" w:eastAsia="zh-CN"/>
        </w:rPr>
      </w:pPr>
      <w:bookmarkStart w:id="17335" w:name="_Toc199453519"/>
      <w:r>
        <w:t>A.10</w:t>
      </w:r>
      <w:r>
        <w:tab/>
      </w:r>
      <w:r>
        <w:rPr>
          <w:lang w:val="en-US" w:eastAsia="zh-CN"/>
        </w:rPr>
        <w:t>Nnwdaf_VFLTraining API</w:t>
      </w:r>
      <w:bookmarkEnd w:id="17335"/>
    </w:p>
    <w:p w14:paraId="0D307096" w14:textId="77777777" w:rsidR="00183EFC" w:rsidRDefault="00183EFC" w:rsidP="00183EFC">
      <w:pPr>
        <w:pStyle w:val="PL"/>
      </w:pPr>
      <w:r>
        <w:t>openapi: 3.0.0</w:t>
      </w:r>
    </w:p>
    <w:p w14:paraId="165BCFCF" w14:textId="77777777" w:rsidR="00183EFC" w:rsidRDefault="00183EFC" w:rsidP="00183EFC">
      <w:pPr>
        <w:pStyle w:val="PL"/>
        <w:rPr>
          <w:lang w:val="fr-FR"/>
        </w:rPr>
      </w:pPr>
    </w:p>
    <w:p w14:paraId="5B3FFD35" w14:textId="77777777" w:rsidR="00183EFC" w:rsidRDefault="00183EFC" w:rsidP="00183EFC">
      <w:pPr>
        <w:pStyle w:val="PL"/>
        <w:rPr>
          <w:lang w:val="fr-FR"/>
        </w:rPr>
      </w:pPr>
      <w:r>
        <w:rPr>
          <w:lang w:val="fr-FR"/>
        </w:rPr>
        <w:t>info:</w:t>
      </w:r>
    </w:p>
    <w:p w14:paraId="40E1BF42" w14:textId="77777777" w:rsidR="00183EFC" w:rsidRDefault="00183EFC" w:rsidP="00183EFC">
      <w:pPr>
        <w:pStyle w:val="PL"/>
        <w:rPr>
          <w:lang w:val="fr-FR"/>
        </w:rPr>
      </w:pPr>
      <w:r>
        <w:rPr>
          <w:lang w:val="fr-FR"/>
        </w:rPr>
        <w:t xml:space="preserve">  title: </w:t>
      </w:r>
      <w:r>
        <w:t>Nnwdaf_VFLTraining</w:t>
      </w:r>
    </w:p>
    <w:p w14:paraId="2F731B1F" w14:textId="77777777" w:rsidR="00183EFC" w:rsidRDefault="00183EFC" w:rsidP="00183EFC">
      <w:pPr>
        <w:pStyle w:val="PL"/>
        <w:rPr>
          <w:lang w:val="fr-FR"/>
        </w:rPr>
      </w:pPr>
      <w:r>
        <w:rPr>
          <w:lang w:val="fr-FR"/>
        </w:rPr>
        <w:t xml:space="preserve">  version: 1.0.0-alpha.1</w:t>
      </w:r>
    </w:p>
    <w:p w14:paraId="6DE44D6D" w14:textId="77777777" w:rsidR="00183EFC" w:rsidRDefault="00183EFC" w:rsidP="00183EFC">
      <w:pPr>
        <w:pStyle w:val="PL"/>
      </w:pPr>
      <w:r>
        <w:rPr>
          <w:lang w:val="fr-FR"/>
        </w:rPr>
        <w:t xml:space="preserve">  description: </w:t>
      </w:r>
      <w:r>
        <w:t>|</w:t>
      </w:r>
    </w:p>
    <w:p w14:paraId="6A7B2E47" w14:textId="77777777" w:rsidR="00183EFC" w:rsidRDefault="00183EFC" w:rsidP="00183EFC">
      <w:pPr>
        <w:pStyle w:val="PL"/>
        <w:rPr>
          <w:lang w:val="fr-FR"/>
        </w:rPr>
      </w:pPr>
      <w:r>
        <w:rPr>
          <w:lang w:val="fr-FR"/>
        </w:rPr>
        <w:t xml:space="preserve">    </w:t>
      </w:r>
      <w:r>
        <w:t>Nnwdaf_VFLTraining API</w:t>
      </w:r>
      <w:r>
        <w:rPr>
          <w:lang w:val="fr-FR"/>
        </w:rPr>
        <w:t xml:space="preserve"> Service.  </w:t>
      </w:r>
    </w:p>
    <w:p w14:paraId="12AB585A" w14:textId="77777777" w:rsidR="00183EFC" w:rsidRDefault="00183EFC" w:rsidP="00183EFC">
      <w:pPr>
        <w:pStyle w:val="PL"/>
      </w:pPr>
      <w:r>
        <w:t xml:space="preserve">    © 202</w:t>
      </w:r>
      <w:r>
        <w:rPr>
          <w:lang w:eastAsia="zh-CN"/>
        </w:rPr>
        <w:t>5</w:t>
      </w:r>
      <w:r>
        <w:t xml:space="preserve">, 3GPP Organizational Partners (ARIB, ATIS, CCSA, ETSI, TSDSI, TTA, TTC).  </w:t>
      </w:r>
    </w:p>
    <w:p w14:paraId="52692027" w14:textId="77777777" w:rsidR="00183EFC" w:rsidRDefault="00183EFC" w:rsidP="00183EFC">
      <w:pPr>
        <w:pStyle w:val="PL"/>
      </w:pPr>
      <w:r>
        <w:t xml:space="preserve">    All rights reserved.</w:t>
      </w:r>
    </w:p>
    <w:p w14:paraId="26035F7F" w14:textId="77777777" w:rsidR="00183EFC" w:rsidRDefault="00183EFC" w:rsidP="00183EFC">
      <w:pPr>
        <w:pStyle w:val="PL"/>
        <w:rPr>
          <w:lang w:val="fr-FR"/>
        </w:rPr>
      </w:pPr>
    </w:p>
    <w:p w14:paraId="6A73511E" w14:textId="77777777" w:rsidR="00183EFC" w:rsidRDefault="00183EFC" w:rsidP="00183EFC">
      <w:pPr>
        <w:pStyle w:val="PL"/>
        <w:rPr>
          <w:lang w:val="fr-FR"/>
        </w:rPr>
      </w:pPr>
      <w:r>
        <w:rPr>
          <w:lang w:val="fr-FR"/>
        </w:rPr>
        <w:t>externalDocs:</w:t>
      </w:r>
    </w:p>
    <w:p w14:paraId="64FBDEC3" w14:textId="77777777" w:rsidR="00183EFC" w:rsidRDefault="00183EFC" w:rsidP="00183EFC">
      <w:pPr>
        <w:pStyle w:val="PL"/>
        <w:rPr>
          <w:lang w:val="fr-FR"/>
        </w:rPr>
      </w:pPr>
      <w:r>
        <w:rPr>
          <w:lang w:val="fr-FR"/>
        </w:rPr>
        <w:t xml:space="preserve">  description: 3GPP TS 29.520 V</w:t>
      </w:r>
      <w:r>
        <w:rPr>
          <w:rFonts w:eastAsia="等线"/>
        </w:rPr>
        <w:t>19.</w:t>
      </w:r>
      <w:r>
        <w:rPr>
          <w:rFonts w:eastAsia="等线"/>
          <w:lang w:eastAsia="zh-CN"/>
        </w:rPr>
        <w:t>2</w:t>
      </w:r>
      <w:r>
        <w:rPr>
          <w:rFonts w:eastAsia="等线"/>
        </w:rPr>
        <w:t>.0</w:t>
      </w:r>
      <w:r>
        <w:rPr>
          <w:lang w:val="fr-FR"/>
        </w:rPr>
        <w:t>;</w:t>
      </w:r>
      <w:r>
        <w:rPr>
          <w:rFonts w:eastAsia="等线"/>
        </w:rPr>
        <w:t xml:space="preserve"> 5G System; Network Data Analytics Services</w:t>
      </w:r>
      <w:r>
        <w:rPr>
          <w:lang w:val="fr-FR"/>
        </w:rPr>
        <w:t>.</w:t>
      </w:r>
    </w:p>
    <w:p w14:paraId="2D9DCA23" w14:textId="77777777" w:rsidR="00183EFC" w:rsidRDefault="00183EFC" w:rsidP="00183EFC">
      <w:pPr>
        <w:pStyle w:val="PL"/>
        <w:rPr>
          <w:lang w:val="fr-FR"/>
        </w:rPr>
      </w:pPr>
      <w:r>
        <w:rPr>
          <w:lang w:val="fr-FR"/>
        </w:rPr>
        <w:t xml:space="preserve">  url: https://www.3gpp.org/ftp/Specs/archive/29_series/29.</w:t>
      </w:r>
      <w:r>
        <w:rPr>
          <w:rFonts w:eastAsia="等线"/>
        </w:rPr>
        <w:t>520</w:t>
      </w:r>
      <w:r>
        <w:rPr>
          <w:lang w:val="fr-FR"/>
        </w:rPr>
        <w:t>/</w:t>
      </w:r>
    </w:p>
    <w:p w14:paraId="19607EC1" w14:textId="77777777" w:rsidR="00183EFC" w:rsidRDefault="00183EFC" w:rsidP="00183EFC">
      <w:pPr>
        <w:pStyle w:val="PL"/>
      </w:pPr>
    </w:p>
    <w:p w14:paraId="25EB6404" w14:textId="77777777" w:rsidR="00183EFC" w:rsidRDefault="00183EFC" w:rsidP="00183EFC">
      <w:pPr>
        <w:pStyle w:val="PL"/>
      </w:pPr>
      <w:r>
        <w:t>servers:</w:t>
      </w:r>
    </w:p>
    <w:p w14:paraId="5268C63E" w14:textId="77777777" w:rsidR="00183EFC" w:rsidRDefault="00183EFC" w:rsidP="00183EFC">
      <w:pPr>
        <w:pStyle w:val="PL"/>
      </w:pPr>
      <w:r>
        <w:t xml:space="preserve">  - url: '{apiRoot}/nnwdaf-vfltraining/v1'</w:t>
      </w:r>
    </w:p>
    <w:p w14:paraId="188A1BBB" w14:textId="77777777" w:rsidR="00183EFC" w:rsidRDefault="00183EFC" w:rsidP="00183EFC">
      <w:pPr>
        <w:pStyle w:val="PL"/>
      </w:pPr>
      <w:r>
        <w:t xml:space="preserve">    variables:</w:t>
      </w:r>
    </w:p>
    <w:p w14:paraId="05569B4C" w14:textId="77777777" w:rsidR="00183EFC" w:rsidRDefault="00183EFC" w:rsidP="00183EFC">
      <w:pPr>
        <w:pStyle w:val="PL"/>
      </w:pPr>
      <w:r>
        <w:t xml:space="preserve">      apiRoot:</w:t>
      </w:r>
    </w:p>
    <w:p w14:paraId="66905539" w14:textId="77777777" w:rsidR="00183EFC" w:rsidRDefault="00183EFC" w:rsidP="00183EFC">
      <w:pPr>
        <w:pStyle w:val="PL"/>
      </w:pPr>
      <w:r>
        <w:t xml:space="preserve">        default: https://example.com</w:t>
      </w:r>
    </w:p>
    <w:p w14:paraId="4A2268C3" w14:textId="77777777" w:rsidR="00183EFC" w:rsidRDefault="00183EFC" w:rsidP="00183EFC">
      <w:pPr>
        <w:pStyle w:val="PL"/>
      </w:pPr>
      <w:r>
        <w:t xml:space="preserve">        description: apiRoot as defined in clause 4.4 of 3GPP TS 29.501</w:t>
      </w:r>
    </w:p>
    <w:p w14:paraId="2519E0C0" w14:textId="77777777" w:rsidR="00183EFC" w:rsidRDefault="00183EFC" w:rsidP="00183EFC">
      <w:pPr>
        <w:pStyle w:val="PL"/>
      </w:pPr>
    </w:p>
    <w:p w14:paraId="6CCFEC68" w14:textId="77777777" w:rsidR="00183EFC" w:rsidRDefault="00183EFC" w:rsidP="00183EFC">
      <w:pPr>
        <w:pStyle w:val="PL"/>
      </w:pPr>
      <w:r>
        <w:t>security:</w:t>
      </w:r>
    </w:p>
    <w:p w14:paraId="7FAD36A2" w14:textId="77777777" w:rsidR="00183EFC" w:rsidRDefault="00183EFC" w:rsidP="00183EFC">
      <w:pPr>
        <w:pStyle w:val="PL"/>
      </w:pPr>
      <w:r>
        <w:t xml:space="preserve">  - {}</w:t>
      </w:r>
    </w:p>
    <w:p w14:paraId="3315D193" w14:textId="77777777" w:rsidR="00183EFC" w:rsidRDefault="00183EFC" w:rsidP="00183EFC">
      <w:pPr>
        <w:pStyle w:val="PL"/>
      </w:pPr>
      <w:r>
        <w:t xml:space="preserve">  - oAuth2ClientCredentials:</w:t>
      </w:r>
    </w:p>
    <w:p w14:paraId="6715BD75" w14:textId="77777777" w:rsidR="00183EFC" w:rsidRDefault="00183EFC" w:rsidP="00183EFC">
      <w:pPr>
        <w:pStyle w:val="PL"/>
      </w:pPr>
      <w:r>
        <w:t xml:space="preserve">    - nnwdaf-vfltraining</w:t>
      </w:r>
    </w:p>
    <w:p w14:paraId="48120F2A" w14:textId="77777777" w:rsidR="00183EFC" w:rsidRDefault="00183EFC" w:rsidP="00183EFC">
      <w:pPr>
        <w:pStyle w:val="PL"/>
      </w:pPr>
    </w:p>
    <w:p w14:paraId="77DC9A0B" w14:textId="77777777" w:rsidR="00183EFC" w:rsidRDefault="00183EFC" w:rsidP="00183EFC">
      <w:pPr>
        <w:pStyle w:val="PL"/>
      </w:pPr>
      <w:r>
        <w:t>paths:</w:t>
      </w:r>
    </w:p>
    <w:p w14:paraId="650E8564" w14:textId="77777777" w:rsidR="00183EFC" w:rsidRDefault="00183EFC" w:rsidP="00183EFC">
      <w:pPr>
        <w:pStyle w:val="PL"/>
      </w:pPr>
      <w:r>
        <w:t xml:space="preserve">  /</w:t>
      </w:r>
      <w:r w:rsidRPr="00804553">
        <w:t>subscriptions</w:t>
      </w:r>
      <w:r>
        <w:t>:</w:t>
      </w:r>
    </w:p>
    <w:p w14:paraId="79202EA8" w14:textId="77777777" w:rsidR="00183EFC" w:rsidRDefault="00183EFC" w:rsidP="00183EFC">
      <w:pPr>
        <w:pStyle w:val="PL"/>
      </w:pPr>
      <w:r>
        <w:t xml:space="preserve">    post:</w:t>
      </w:r>
    </w:p>
    <w:p w14:paraId="62AAE15C" w14:textId="77777777" w:rsidR="00183EFC" w:rsidRDefault="00183EFC" w:rsidP="00183EFC">
      <w:pPr>
        <w:pStyle w:val="PL"/>
      </w:pPr>
      <w:r>
        <w:t xml:space="preserve">      summary: Create a new Individual VFL </w:t>
      </w:r>
      <w:r w:rsidRPr="00804553">
        <w:t>Training</w:t>
      </w:r>
      <w:r>
        <w:t xml:space="preserve"> Subscription resource.</w:t>
      </w:r>
    </w:p>
    <w:p w14:paraId="509469DA" w14:textId="77777777" w:rsidR="00183EFC" w:rsidRDefault="00183EFC" w:rsidP="00183EFC">
      <w:pPr>
        <w:pStyle w:val="PL"/>
      </w:pPr>
      <w:r>
        <w:t xml:space="preserve">      operationId: CreateNWDAFVFLTrainingSubcription</w:t>
      </w:r>
    </w:p>
    <w:p w14:paraId="68ADAB75" w14:textId="77777777" w:rsidR="00183EFC" w:rsidRDefault="00183EFC" w:rsidP="00183EFC">
      <w:pPr>
        <w:pStyle w:val="PL"/>
      </w:pPr>
      <w:r>
        <w:t xml:space="preserve">      tags:</w:t>
      </w:r>
    </w:p>
    <w:p w14:paraId="69978A7B" w14:textId="77777777" w:rsidR="00183EFC" w:rsidRDefault="00183EFC" w:rsidP="00183EFC">
      <w:pPr>
        <w:pStyle w:val="PL"/>
      </w:pPr>
      <w:r>
        <w:t xml:space="preserve">        - Subscriptions (Collection)</w:t>
      </w:r>
    </w:p>
    <w:p w14:paraId="75A88EDC" w14:textId="77777777" w:rsidR="00183EFC" w:rsidRDefault="00183EFC" w:rsidP="00183EFC">
      <w:pPr>
        <w:pStyle w:val="PL"/>
      </w:pPr>
      <w:r>
        <w:t xml:space="preserve">      requestBody:</w:t>
      </w:r>
    </w:p>
    <w:p w14:paraId="5E7D89A1" w14:textId="77777777" w:rsidR="00183EFC" w:rsidRDefault="00183EFC" w:rsidP="00183EFC">
      <w:pPr>
        <w:pStyle w:val="PL"/>
      </w:pPr>
      <w:r>
        <w:t xml:space="preserve">        required: true</w:t>
      </w:r>
    </w:p>
    <w:p w14:paraId="1115BB22" w14:textId="77777777" w:rsidR="00183EFC" w:rsidRDefault="00183EFC" w:rsidP="00183EFC">
      <w:pPr>
        <w:pStyle w:val="PL"/>
      </w:pPr>
      <w:r>
        <w:t xml:space="preserve">        content:</w:t>
      </w:r>
    </w:p>
    <w:p w14:paraId="09B8D26F" w14:textId="77777777" w:rsidR="00183EFC" w:rsidRDefault="00183EFC" w:rsidP="00183EFC">
      <w:pPr>
        <w:pStyle w:val="PL"/>
      </w:pPr>
      <w:r>
        <w:t xml:space="preserve">          application/json:</w:t>
      </w:r>
    </w:p>
    <w:p w14:paraId="126D9FF4" w14:textId="77777777" w:rsidR="00183EFC" w:rsidRDefault="00183EFC" w:rsidP="00183EFC">
      <w:pPr>
        <w:pStyle w:val="PL"/>
      </w:pPr>
      <w:r>
        <w:t xml:space="preserve">            schema:</w:t>
      </w:r>
    </w:p>
    <w:p w14:paraId="129E0CE4" w14:textId="77777777" w:rsidR="00183EFC" w:rsidRDefault="00183EFC" w:rsidP="00183EFC">
      <w:pPr>
        <w:pStyle w:val="PL"/>
      </w:pPr>
      <w:r>
        <w:t xml:space="preserve">              $ref: '#/components/schemas/VflTrainingSub</w:t>
      </w:r>
      <w:r>
        <w:rPr>
          <w:rFonts w:hint="eastAsia"/>
          <w:lang w:eastAsia="zh-CN"/>
        </w:rPr>
        <w:t>s</w:t>
      </w:r>
      <w:r>
        <w:t>'</w:t>
      </w:r>
    </w:p>
    <w:p w14:paraId="5461319C" w14:textId="77777777" w:rsidR="00183EFC" w:rsidRDefault="00183EFC" w:rsidP="00183EFC">
      <w:pPr>
        <w:pStyle w:val="PL"/>
      </w:pPr>
      <w:r>
        <w:t xml:space="preserve">      responses:</w:t>
      </w:r>
    </w:p>
    <w:p w14:paraId="2FB92303" w14:textId="77777777" w:rsidR="00183EFC" w:rsidRDefault="00183EFC" w:rsidP="00183EFC">
      <w:pPr>
        <w:pStyle w:val="PL"/>
      </w:pPr>
      <w:r>
        <w:t xml:space="preserve">        '201':</w:t>
      </w:r>
    </w:p>
    <w:p w14:paraId="6C80EECC" w14:textId="77777777" w:rsidR="00183EFC" w:rsidRDefault="00183EFC" w:rsidP="00183EFC">
      <w:pPr>
        <w:pStyle w:val="PL"/>
      </w:pPr>
      <w:r>
        <w:t xml:space="preserve">          description: Create a new Individual VFL </w:t>
      </w:r>
      <w:r w:rsidRPr="00804553">
        <w:t>Training</w:t>
      </w:r>
      <w:r>
        <w:t xml:space="preserve"> Subscription resource.</w:t>
      </w:r>
    </w:p>
    <w:p w14:paraId="2955F79B" w14:textId="77777777" w:rsidR="00183EFC" w:rsidRDefault="00183EFC" w:rsidP="00183EFC">
      <w:pPr>
        <w:pStyle w:val="PL"/>
      </w:pPr>
      <w:r>
        <w:t xml:space="preserve">          content:</w:t>
      </w:r>
    </w:p>
    <w:p w14:paraId="6208B392" w14:textId="77777777" w:rsidR="00183EFC" w:rsidRDefault="00183EFC" w:rsidP="00183EFC">
      <w:pPr>
        <w:pStyle w:val="PL"/>
      </w:pPr>
      <w:r>
        <w:t xml:space="preserve">            application/json:</w:t>
      </w:r>
    </w:p>
    <w:p w14:paraId="02DDE613" w14:textId="77777777" w:rsidR="00183EFC" w:rsidRDefault="00183EFC" w:rsidP="00183EFC">
      <w:pPr>
        <w:pStyle w:val="PL"/>
      </w:pPr>
      <w:r>
        <w:t xml:space="preserve">              schema:</w:t>
      </w:r>
    </w:p>
    <w:p w14:paraId="15D007F3" w14:textId="77777777" w:rsidR="00183EFC" w:rsidRDefault="00183EFC" w:rsidP="00183EFC">
      <w:pPr>
        <w:pStyle w:val="PL"/>
      </w:pPr>
      <w:r>
        <w:t xml:space="preserve">                $ref: '#/components/schemas/VflTrainingSub</w:t>
      </w:r>
      <w:r>
        <w:rPr>
          <w:rFonts w:hint="eastAsia"/>
          <w:lang w:eastAsia="zh-CN"/>
        </w:rPr>
        <w:t>s</w:t>
      </w:r>
      <w:r>
        <w:t>'</w:t>
      </w:r>
    </w:p>
    <w:p w14:paraId="68CDACB9" w14:textId="77777777" w:rsidR="00183EFC" w:rsidRDefault="00183EFC" w:rsidP="00183EFC">
      <w:pPr>
        <w:pStyle w:val="PL"/>
      </w:pPr>
      <w:r>
        <w:lastRenderedPageBreak/>
        <w:t xml:space="preserve">          headers:</w:t>
      </w:r>
    </w:p>
    <w:p w14:paraId="356835EF" w14:textId="77777777" w:rsidR="00183EFC" w:rsidRDefault="00183EFC" w:rsidP="00183EFC">
      <w:pPr>
        <w:pStyle w:val="PL"/>
      </w:pPr>
      <w:r>
        <w:t xml:space="preserve">            Location:</w:t>
      </w:r>
    </w:p>
    <w:p w14:paraId="79E9EDE8" w14:textId="77777777" w:rsidR="00183EFC" w:rsidRDefault="00183EFC" w:rsidP="00183EFC">
      <w:pPr>
        <w:pStyle w:val="PL"/>
      </w:pPr>
      <w:r>
        <w:t xml:space="preserve">              description: </w:t>
      </w:r>
      <w:r>
        <w:rPr>
          <w:lang w:val="en-US"/>
        </w:rPr>
        <w:t>&gt;</w:t>
      </w:r>
    </w:p>
    <w:p w14:paraId="1E58E68D" w14:textId="77777777" w:rsidR="00183EFC" w:rsidRDefault="00183EFC" w:rsidP="00183EFC">
      <w:pPr>
        <w:pStyle w:val="PL"/>
      </w:pPr>
      <w:r>
        <w:t xml:space="preserve">                Contains the URI of the newly created resource, according to the structure</w:t>
      </w:r>
    </w:p>
    <w:p w14:paraId="53918012" w14:textId="77777777" w:rsidR="00183EFC" w:rsidRDefault="00183EFC" w:rsidP="00183EFC">
      <w:pPr>
        <w:pStyle w:val="PL"/>
      </w:pPr>
      <w:r>
        <w:t xml:space="preserve">                {apiRoot}/</w:t>
      </w:r>
      <w:r w:rsidRPr="00A45842">
        <w:t>nnwdaf-vfl</w:t>
      </w:r>
      <w:r>
        <w:t>training/v1/</w:t>
      </w:r>
      <w:r w:rsidRPr="00A45842">
        <w:t>subscriptions</w:t>
      </w:r>
      <w:r>
        <w:t>/{subscriptionId}.</w:t>
      </w:r>
    </w:p>
    <w:p w14:paraId="0FEB0C02" w14:textId="77777777" w:rsidR="00183EFC" w:rsidRDefault="00183EFC" w:rsidP="00183EFC">
      <w:pPr>
        <w:pStyle w:val="PL"/>
      </w:pPr>
      <w:r>
        <w:t xml:space="preserve">              required: true</w:t>
      </w:r>
    </w:p>
    <w:p w14:paraId="4738578E" w14:textId="77777777" w:rsidR="00183EFC" w:rsidRDefault="00183EFC" w:rsidP="00183EFC">
      <w:pPr>
        <w:pStyle w:val="PL"/>
      </w:pPr>
      <w:r>
        <w:t xml:space="preserve">              schema:</w:t>
      </w:r>
    </w:p>
    <w:p w14:paraId="5783D094" w14:textId="77777777" w:rsidR="00183EFC" w:rsidRDefault="00183EFC" w:rsidP="00183EFC">
      <w:pPr>
        <w:pStyle w:val="PL"/>
      </w:pPr>
      <w:r>
        <w:t xml:space="preserve">                type: string</w:t>
      </w:r>
    </w:p>
    <w:p w14:paraId="76E5B07A" w14:textId="77777777" w:rsidR="00183EFC" w:rsidRDefault="00183EFC" w:rsidP="00183EFC">
      <w:pPr>
        <w:pStyle w:val="PL"/>
      </w:pPr>
      <w:r>
        <w:t xml:space="preserve">        '400':</w:t>
      </w:r>
    </w:p>
    <w:p w14:paraId="64B03C0B" w14:textId="77777777" w:rsidR="00183EFC" w:rsidRDefault="00183EFC" w:rsidP="00183EFC">
      <w:pPr>
        <w:pStyle w:val="PL"/>
      </w:pPr>
      <w:r>
        <w:t xml:space="preserve">          $ref: 'TS29571_CommonData.yaml#/components/responses/400'</w:t>
      </w:r>
    </w:p>
    <w:p w14:paraId="57FC586C" w14:textId="77777777" w:rsidR="00183EFC" w:rsidRDefault="00183EFC" w:rsidP="00183EFC">
      <w:pPr>
        <w:pStyle w:val="PL"/>
      </w:pPr>
      <w:r>
        <w:t xml:space="preserve">        '401':</w:t>
      </w:r>
    </w:p>
    <w:p w14:paraId="06D90CB1" w14:textId="77777777" w:rsidR="00183EFC" w:rsidRDefault="00183EFC" w:rsidP="00183EFC">
      <w:pPr>
        <w:pStyle w:val="PL"/>
      </w:pPr>
      <w:r>
        <w:t xml:space="preserve">          $ref: 'TS29571_CommonData.yaml#/components/responses/401'</w:t>
      </w:r>
    </w:p>
    <w:p w14:paraId="4FC89387" w14:textId="77777777" w:rsidR="00183EFC" w:rsidRDefault="00183EFC" w:rsidP="00183EFC">
      <w:pPr>
        <w:pStyle w:val="PL"/>
      </w:pPr>
      <w:r>
        <w:t xml:space="preserve">        '403':</w:t>
      </w:r>
    </w:p>
    <w:p w14:paraId="5CD088D8" w14:textId="77777777" w:rsidR="00183EFC" w:rsidRDefault="00183EFC" w:rsidP="00183EFC">
      <w:pPr>
        <w:pStyle w:val="PL"/>
      </w:pPr>
      <w:r>
        <w:t xml:space="preserve">          $ref: 'TS29571_CommonData.yaml#/components/responses/403'</w:t>
      </w:r>
    </w:p>
    <w:p w14:paraId="471EA866" w14:textId="77777777" w:rsidR="00183EFC" w:rsidRDefault="00183EFC" w:rsidP="00183EFC">
      <w:pPr>
        <w:pStyle w:val="PL"/>
      </w:pPr>
      <w:r>
        <w:t xml:space="preserve">        '404':</w:t>
      </w:r>
    </w:p>
    <w:p w14:paraId="7E2F3A67" w14:textId="77777777" w:rsidR="00183EFC" w:rsidRDefault="00183EFC" w:rsidP="00183EFC">
      <w:pPr>
        <w:pStyle w:val="PL"/>
      </w:pPr>
      <w:r>
        <w:t xml:space="preserve">          $ref: 'TS29571_CommonData.yaml#/components/responses/404'</w:t>
      </w:r>
    </w:p>
    <w:p w14:paraId="74E06A17" w14:textId="77777777" w:rsidR="00183EFC" w:rsidRDefault="00183EFC" w:rsidP="00183EFC">
      <w:pPr>
        <w:pStyle w:val="PL"/>
      </w:pPr>
      <w:r>
        <w:t xml:space="preserve">        '411':</w:t>
      </w:r>
    </w:p>
    <w:p w14:paraId="6052EB1D" w14:textId="77777777" w:rsidR="00183EFC" w:rsidRDefault="00183EFC" w:rsidP="00183EFC">
      <w:pPr>
        <w:pStyle w:val="PL"/>
      </w:pPr>
      <w:r>
        <w:t xml:space="preserve">          $ref: 'TS29571_CommonData.yaml#/components/responses/411'</w:t>
      </w:r>
    </w:p>
    <w:p w14:paraId="6812B3FD" w14:textId="77777777" w:rsidR="00183EFC" w:rsidRDefault="00183EFC" w:rsidP="00183EFC">
      <w:pPr>
        <w:pStyle w:val="PL"/>
      </w:pPr>
      <w:r>
        <w:t xml:space="preserve">        '413':</w:t>
      </w:r>
    </w:p>
    <w:p w14:paraId="308FE5CD" w14:textId="77777777" w:rsidR="00183EFC" w:rsidRDefault="00183EFC" w:rsidP="00183EFC">
      <w:pPr>
        <w:pStyle w:val="PL"/>
      </w:pPr>
      <w:r>
        <w:t xml:space="preserve">          $ref: 'TS29571_CommonData.yaml#/components/responses/413'</w:t>
      </w:r>
    </w:p>
    <w:p w14:paraId="1B6FAABD" w14:textId="77777777" w:rsidR="00183EFC" w:rsidRDefault="00183EFC" w:rsidP="00183EFC">
      <w:pPr>
        <w:pStyle w:val="PL"/>
      </w:pPr>
      <w:r>
        <w:t xml:space="preserve">        '415':</w:t>
      </w:r>
    </w:p>
    <w:p w14:paraId="25F5D028" w14:textId="77777777" w:rsidR="00183EFC" w:rsidRDefault="00183EFC" w:rsidP="00183EFC">
      <w:pPr>
        <w:pStyle w:val="PL"/>
      </w:pPr>
      <w:r>
        <w:t xml:space="preserve">          $ref: 'TS29571_CommonData.yaml#/components/responses/415'</w:t>
      </w:r>
    </w:p>
    <w:p w14:paraId="623F4A8C" w14:textId="77777777" w:rsidR="00183EFC" w:rsidRDefault="00183EFC" w:rsidP="00183EFC">
      <w:pPr>
        <w:pStyle w:val="PL"/>
      </w:pPr>
      <w:r>
        <w:t xml:space="preserve">        '429':</w:t>
      </w:r>
    </w:p>
    <w:p w14:paraId="311BC9A8" w14:textId="77777777" w:rsidR="00183EFC" w:rsidRDefault="00183EFC" w:rsidP="00183EFC">
      <w:pPr>
        <w:pStyle w:val="PL"/>
      </w:pPr>
      <w:r>
        <w:t xml:space="preserve">          $ref: 'TS29571_CommonData.yaml#/components/responses/429'</w:t>
      </w:r>
    </w:p>
    <w:p w14:paraId="121401FC" w14:textId="77777777" w:rsidR="00183EFC" w:rsidRDefault="00183EFC" w:rsidP="00183EFC">
      <w:pPr>
        <w:pStyle w:val="PL"/>
      </w:pPr>
      <w:r>
        <w:t xml:space="preserve">        '500':</w:t>
      </w:r>
    </w:p>
    <w:p w14:paraId="249CCCC2" w14:textId="77777777" w:rsidR="00183EFC" w:rsidRDefault="00183EFC" w:rsidP="00183EFC">
      <w:pPr>
        <w:pStyle w:val="PL"/>
      </w:pPr>
      <w:r>
        <w:t xml:space="preserve">          $ref: 'TS29571_CommonData.yaml#/components/responses/500'</w:t>
      </w:r>
    </w:p>
    <w:p w14:paraId="2E67E866" w14:textId="77777777" w:rsidR="00183EFC" w:rsidRDefault="00183EFC" w:rsidP="00183EFC">
      <w:pPr>
        <w:pStyle w:val="PL"/>
      </w:pPr>
      <w:r>
        <w:t xml:space="preserve">        '502':</w:t>
      </w:r>
    </w:p>
    <w:p w14:paraId="634B5430" w14:textId="77777777" w:rsidR="00183EFC" w:rsidRDefault="00183EFC" w:rsidP="00183EFC">
      <w:pPr>
        <w:pStyle w:val="PL"/>
      </w:pPr>
      <w:r>
        <w:t xml:space="preserve">          $ref: 'TS29571_CommonData.yaml#/components/responses/502'</w:t>
      </w:r>
    </w:p>
    <w:p w14:paraId="5BE9AC0C" w14:textId="77777777" w:rsidR="00183EFC" w:rsidRDefault="00183EFC" w:rsidP="00183EFC">
      <w:pPr>
        <w:pStyle w:val="PL"/>
      </w:pPr>
      <w:r>
        <w:t xml:space="preserve">        '503':</w:t>
      </w:r>
    </w:p>
    <w:p w14:paraId="2E7A36CE" w14:textId="77777777" w:rsidR="00183EFC" w:rsidRDefault="00183EFC" w:rsidP="00183EFC">
      <w:pPr>
        <w:pStyle w:val="PL"/>
      </w:pPr>
      <w:r>
        <w:t xml:space="preserve">          $ref: 'TS29571_CommonData.yaml#/components/responses/503'</w:t>
      </w:r>
    </w:p>
    <w:p w14:paraId="21954CA3" w14:textId="77777777" w:rsidR="00183EFC" w:rsidRDefault="00183EFC" w:rsidP="00183EFC">
      <w:pPr>
        <w:pStyle w:val="PL"/>
      </w:pPr>
      <w:r>
        <w:t xml:space="preserve">        default:</w:t>
      </w:r>
    </w:p>
    <w:p w14:paraId="77A9CDD9" w14:textId="77777777" w:rsidR="00183EFC" w:rsidRDefault="00183EFC" w:rsidP="00183EFC">
      <w:pPr>
        <w:pStyle w:val="PL"/>
      </w:pPr>
      <w:r>
        <w:t xml:space="preserve">          $ref: 'TS29571_CommonData.yaml#/components/responses/default'</w:t>
      </w:r>
    </w:p>
    <w:p w14:paraId="484AE65B" w14:textId="77777777" w:rsidR="00183EFC" w:rsidRDefault="00183EFC" w:rsidP="00183EFC">
      <w:pPr>
        <w:pStyle w:val="PL"/>
      </w:pPr>
      <w:r>
        <w:t xml:space="preserve">      callbacks:</w:t>
      </w:r>
    </w:p>
    <w:p w14:paraId="7C7419E1" w14:textId="77777777" w:rsidR="00183EFC" w:rsidRDefault="00183EFC" w:rsidP="00183EFC">
      <w:pPr>
        <w:pStyle w:val="PL"/>
      </w:pPr>
      <w:r>
        <w:t xml:space="preserve">        nwdafVflTrainingNotification:</w:t>
      </w:r>
    </w:p>
    <w:p w14:paraId="0D11D15D" w14:textId="77777777" w:rsidR="00183EFC" w:rsidRDefault="00183EFC" w:rsidP="00183EFC">
      <w:pPr>
        <w:pStyle w:val="PL"/>
      </w:pPr>
      <w:r>
        <w:t xml:space="preserve">          '{$request.body#/</w:t>
      </w:r>
      <w:r>
        <w:rPr>
          <w:rFonts w:hint="eastAsia"/>
          <w:lang w:eastAsia="zh-CN"/>
        </w:rPr>
        <w:t>n</w:t>
      </w:r>
      <w:r>
        <w:rPr>
          <w:lang w:eastAsia="zh-CN"/>
        </w:rPr>
        <w:t>otifUri</w:t>
      </w:r>
      <w:r>
        <w:t>}':</w:t>
      </w:r>
    </w:p>
    <w:p w14:paraId="7F99A3BD" w14:textId="77777777" w:rsidR="00183EFC" w:rsidRDefault="00183EFC" w:rsidP="00183EFC">
      <w:pPr>
        <w:pStyle w:val="PL"/>
      </w:pPr>
      <w:r>
        <w:t xml:space="preserve">            post:</w:t>
      </w:r>
    </w:p>
    <w:p w14:paraId="442B8A63" w14:textId="77777777" w:rsidR="00183EFC" w:rsidRDefault="00183EFC" w:rsidP="00183EFC">
      <w:pPr>
        <w:pStyle w:val="PL"/>
      </w:pPr>
      <w:r>
        <w:t xml:space="preserve">              requestBody:</w:t>
      </w:r>
    </w:p>
    <w:p w14:paraId="5568D433" w14:textId="77777777" w:rsidR="00183EFC" w:rsidRDefault="00183EFC" w:rsidP="00183EFC">
      <w:pPr>
        <w:pStyle w:val="PL"/>
      </w:pPr>
      <w:r>
        <w:t xml:space="preserve">                required: true</w:t>
      </w:r>
    </w:p>
    <w:p w14:paraId="31A1995F" w14:textId="77777777" w:rsidR="00183EFC" w:rsidRDefault="00183EFC" w:rsidP="00183EFC">
      <w:pPr>
        <w:pStyle w:val="PL"/>
      </w:pPr>
      <w:r>
        <w:t xml:space="preserve">                content:</w:t>
      </w:r>
    </w:p>
    <w:p w14:paraId="1F859A1F" w14:textId="77777777" w:rsidR="00183EFC" w:rsidRDefault="00183EFC" w:rsidP="00183EFC">
      <w:pPr>
        <w:pStyle w:val="PL"/>
      </w:pPr>
      <w:r>
        <w:t xml:space="preserve">                  application/json:</w:t>
      </w:r>
    </w:p>
    <w:p w14:paraId="63764B1C" w14:textId="77777777" w:rsidR="00183EFC" w:rsidRDefault="00183EFC" w:rsidP="00183EFC">
      <w:pPr>
        <w:pStyle w:val="PL"/>
      </w:pPr>
      <w:r>
        <w:t xml:space="preserve">                    schema:</w:t>
      </w:r>
    </w:p>
    <w:p w14:paraId="4C2C65AF" w14:textId="77777777" w:rsidR="00183EFC" w:rsidRDefault="00183EFC" w:rsidP="00183EFC">
      <w:pPr>
        <w:pStyle w:val="PL"/>
      </w:pPr>
      <w:r>
        <w:t xml:space="preserve">                      $ref: '#/components/schemas/VflTrainingNotify'</w:t>
      </w:r>
    </w:p>
    <w:p w14:paraId="5E45D5B8" w14:textId="77777777" w:rsidR="00183EFC" w:rsidRDefault="00183EFC" w:rsidP="00183EFC">
      <w:pPr>
        <w:pStyle w:val="PL"/>
      </w:pPr>
      <w:r>
        <w:t xml:space="preserve">              responses:</w:t>
      </w:r>
    </w:p>
    <w:p w14:paraId="3824EA4E" w14:textId="77777777" w:rsidR="00183EFC" w:rsidRDefault="00183EFC" w:rsidP="00183EFC">
      <w:pPr>
        <w:pStyle w:val="PL"/>
      </w:pPr>
      <w:r>
        <w:t xml:space="preserve">                '204':</w:t>
      </w:r>
    </w:p>
    <w:p w14:paraId="7B3D92D7" w14:textId="77777777" w:rsidR="00183EFC" w:rsidRDefault="00183EFC" w:rsidP="00183EFC">
      <w:pPr>
        <w:pStyle w:val="PL"/>
      </w:pPr>
      <w:r>
        <w:t xml:space="preserve">                  description: No Content, Notification was succesfull</w:t>
      </w:r>
    </w:p>
    <w:p w14:paraId="04374083" w14:textId="77777777" w:rsidR="00183EFC" w:rsidRDefault="00183EFC" w:rsidP="00183EFC">
      <w:pPr>
        <w:pStyle w:val="PL"/>
      </w:pPr>
      <w:r>
        <w:t xml:space="preserve">                '307':</w:t>
      </w:r>
    </w:p>
    <w:p w14:paraId="56B2A58C" w14:textId="77777777" w:rsidR="00183EFC" w:rsidRDefault="00183EFC" w:rsidP="00183EFC">
      <w:pPr>
        <w:pStyle w:val="PL"/>
      </w:pPr>
      <w:r>
        <w:t xml:space="preserve">                  $ref: 'TS29571_CommonData.yaml#/components/responses/307'</w:t>
      </w:r>
    </w:p>
    <w:p w14:paraId="1E85E266" w14:textId="77777777" w:rsidR="00183EFC" w:rsidRDefault="00183EFC" w:rsidP="00183EFC">
      <w:pPr>
        <w:pStyle w:val="PL"/>
      </w:pPr>
      <w:r>
        <w:t xml:space="preserve">                '308':</w:t>
      </w:r>
    </w:p>
    <w:p w14:paraId="114B242C" w14:textId="77777777" w:rsidR="00183EFC" w:rsidRDefault="00183EFC" w:rsidP="00183EFC">
      <w:pPr>
        <w:pStyle w:val="PL"/>
      </w:pPr>
      <w:r>
        <w:t xml:space="preserve">                  $ref: 'TS29571_CommonData.yaml#/components/responses/308'</w:t>
      </w:r>
    </w:p>
    <w:p w14:paraId="0AB7598B" w14:textId="77777777" w:rsidR="00183EFC" w:rsidRDefault="00183EFC" w:rsidP="00183EFC">
      <w:pPr>
        <w:pStyle w:val="PL"/>
      </w:pPr>
      <w:r>
        <w:t xml:space="preserve">                '400':</w:t>
      </w:r>
    </w:p>
    <w:p w14:paraId="36F2EDC2" w14:textId="77777777" w:rsidR="00183EFC" w:rsidRDefault="00183EFC" w:rsidP="00183EFC">
      <w:pPr>
        <w:pStyle w:val="PL"/>
      </w:pPr>
      <w:r>
        <w:t xml:space="preserve">                  $ref: 'TS29571_CommonData.yaml#/components/responses/400'</w:t>
      </w:r>
    </w:p>
    <w:p w14:paraId="2097F12A" w14:textId="77777777" w:rsidR="00183EFC" w:rsidRDefault="00183EFC" w:rsidP="00183EFC">
      <w:pPr>
        <w:pStyle w:val="PL"/>
      </w:pPr>
      <w:r>
        <w:t xml:space="preserve">                '401':</w:t>
      </w:r>
    </w:p>
    <w:p w14:paraId="000B88E4" w14:textId="77777777" w:rsidR="00183EFC" w:rsidRDefault="00183EFC" w:rsidP="00183EFC">
      <w:pPr>
        <w:pStyle w:val="PL"/>
      </w:pPr>
      <w:r>
        <w:t xml:space="preserve">                  $ref: 'TS29571_CommonData.yaml#/components/responses/401'</w:t>
      </w:r>
    </w:p>
    <w:p w14:paraId="558F41E2" w14:textId="77777777" w:rsidR="00183EFC" w:rsidRDefault="00183EFC" w:rsidP="00183EFC">
      <w:pPr>
        <w:pStyle w:val="PL"/>
      </w:pPr>
      <w:r>
        <w:t xml:space="preserve">                '403':</w:t>
      </w:r>
    </w:p>
    <w:p w14:paraId="73DF57A3" w14:textId="77777777" w:rsidR="00183EFC" w:rsidRDefault="00183EFC" w:rsidP="00183EFC">
      <w:pPr>
        <w:pStyle w:val="PL"/>
      </w:pPr>
      <w:r>
        <w:t xml:space="preserve">                  $ref: 'TS29571_CommonData.yaml#/components/responses/403'</w:t>
      </w:r>
    </w:p>
    <w:p w14:paraId="5A31FC34" w14:textId="77777777" w:rsidR="00183EFC" w:rsidRDefault="00183EFC" w:rsidP="00183EFC">
      <w:pPr>
        <w:pStyle w:val="PL"/>
      </w:pPr>
      <w:r>
        <w:t xml:space="preserve">                '404':</w:t>
      </w:r>
    </w:p>
    <w:p w14:paraId="4AA5379F" w14:textId="77777777" w:rsidR="00183EFC" w:rsidRDefault="00183EFC" w:rsidP="00183EFC">
      <w:pPr>
        <w:pStyle w:val="PL"/>
      </w:pPr>
      <w:r>
        <w:t xml:space="preserve">                  $ref: 'TS29571_CommonData.yaml#/components/responses/404'</w:t>
      </w:r>
    </w:p>
    <w:p w14:paraId="3F53BBB5" w14:textId="77777777" w:rsidR="00183EFC" w:rsidRDefault="00183EFC" w:rsidP="00183EFC">
      <w:pPr>
        <w:pStyle w:val="PL"/>
      </w:pPr>
      <w:r>
        <w:t xml:space="preserve">                '411':</w:t>
      </w:r>
    </w:p>
    <w:p w14:paraId="0A54ECA5" w14:textId="77777777" w:rsidR="00183EFC" w:rsidRDefault="00183EFC" w:rsidP="00183EFC">
      <w:pPr>
        <w:pStyle w:val="PL"/>
      </w:pPr>
      <w:r>
        <w:t xml:space="preserve">                  $ref: 'TS29571_CommonData.yaml#/components/responses/411'</w:t>
      </w:r>
    </w:p>
    <w:p w14:paraId="770719E7" w14:textId="77777777" w:rsidR="00183EFC" w:rsidRDefault="00183EFC" w:rsidP="00183EFC">
      <w:pPr>
        <w:pStyle w:val="PL"/>
      </w:pPr>
      <w:r>
        <w:t xml:space="preserve">                '413':</w:t>
      </w:r>
    </w:p>
    <w:p w14:paraId="6679BA50" w14:textId="77777777" w:rsidR="00183EFC" w:rsidRDefault="00183EFC" w:rsidP="00183EFC">
      <w:pPr>
        <w:pStyle w:val="PL"/>
      </w:pPr>
      <w:r>
        <w:t xml:space="preserve">                  $ref: 'TS29571_CommonData.yaml#/components/responses/413'</w:t>
      </w:r>
    </w:p>
    <w:p w14:paraId="66ED7197" w14:textId="77777777" w:rsidR="00183EFC" w:rsidRDefault="00183EFC" w:rsidP="00183EFC">
      <w:pPr>
        <w:pStyle w:val="PL"/>
      </w:pPr>
      <w:r>
        <w:t xml:space="preserve">                '415':</w:t>
      </w:r>
    </w:p>
    <w:p w14:paraId="3E2BA897" w14:textId="77777777" w:rsidR="00183EFC" w:rsidRDefault="00183EFC" w:rsidP="00183EFC">
      <w:pPr>
        <w:pStyle w:val="PL"/>
      </w:pPr>
      <w:r>
        <w:t xml:space="preserve">                  $ref: 'TS29571_CommonData.yaml#/components/responses/415'</w:t>
      </w:r>
    </w:p>
    <w:p w14:paraId="2BEF7090" w14:textId="77777777" w:rsidR="00183EFC" w:rsidRDefault="00183EFC" w:rsidP="00183EFC">
      <w:pPr>
        <w:pStyle w:val="PL"/>
      </w:pPr>
      <w:r>
        <w:t xml:space="preserve">                '429':</w:t>
      </w:r>
    </w:p>
    <w:p w14:paraId="1BBE17A3" w14:textId="77777777" w:rsidR="00183EFC" w:rsidRDefault="00183EFC" w:rsidP="00183EFC">
      <w:pPr>
        <w:pStyle w:val="PL"/>
      </w:pPr>
      <w:r>
        <w:t xml:space="preserve">                  $ref: 'TS29571_CommonData.yaml#/components/responses/429'</w:t>
      </w:r>
    </w:p>
    <w:p w14:paraId="669D7B17" w14:textId="77777777" w:rsidR="00183EFC" w:rsidRDefault="00183EFC" w:rsidP="00183EFC">
      <w:pPr>
        <w:pStyle w:val="PL"/>
      </w:pPr>
      <w:r>
        <w:t xml:space="preserve">                '500':</w:t>
      </w:r>
    </w:p>
    <w:p w14:paraId="42880802" w14:textId="77777777" w:rsidR="00183EFC" w:rsidRDefault="00183EFC" w:rsidP="00183EFC">
      <w:pPr>
        <w:pStyle w:val="PL"/>
      </w:pPr>
      <w:r>
        <w:t xml:space="preserve">                  $ref: 'TS29571_CommonData.yaml#/components/responses/500'</w:t>
      </w:r>
    </w:p>
    <w:p w14:paraId="77A808B8" w14:textId="77777777" w:rsidR="00183EFC" w:rsidRDefault="00183EFC" w:rsidP="00183EFC">
      <w:pPr>
        <w:pStyle w:val="PL"/>
      </w:pPr>
      <w:r>
        <w:t xml:space="preserve">                '502':</w:t>
      </w:r>
    </w:p>
    <w:p w14:paraId="04636C70" w14:textId="77777777" w:rsidR="00183EFC" w:rsidRDefault="00183EFC" w:rsidP="00183EFC">
      <w:pPr>
        <w:pStyle w:val="PL"/>
      </w:pPr>
      <w:r>
        <w:t xml:space="preserve">                  $ref: 'TS29571_CommonData.yaml#/components/responses/502'</w:t>
      </w:r>
    </w:p>
    <w:p w14:paraId="7543C63F" w14:textId="77777777" w:rsidR="00183EFC" w:rsidRDefault="00183EFC" w:rsidP="00183EFC">
      <w:pPr>
        <w:pStyle w:val="PL"/>
      </w:pPr>
      <w:r>
        <w:t xml:space="preserve">                '503':</w:t>
      </w:r>
    </w:p>
    <w:p w14:paraId="44195C9E" w14:textId="77777777" w:rsidR="00183EFC" w:rsidRDefault="00183EFC" w:rsidP="00183EFC">
      <w:pPr>
        <w:pStyle w:val="PL"/>
      </w:pPr>
      <w:r>
        <w:t xml:space="preserve">                  $ref: 'TS29571_CommonData.yaml#/components/responses/503'</w:t>
      </w:r>
    </w:p>
    <w:p w14:paraId="1C02EB73" w14:textId="77777777" w:rsidR="00183EFC" w:rsidRDefault="00183EFC" w:rsidP="00183EFC">
      <w:pPr>
        <w:pStyle w:val="PL"/>
      </w:pPr>
      <w:r>
        <w:t xml:space="preserve">                default:</w:t>
      </w:r>
    </w:p>
    <w:p w14:paraId="370F4A48" w14:textId="77777777" w:rsidR="00183EFC" w:rsidRDefault="00183EFC" w:rsidP="00183EFC">
      <w:pPr>
        <w:pStyle w:val="PL"/>
      </w:pPr>
      <w:r>
        <w:t xml:space="preserve">                  $ref: 'TS29571_CommonData.yaml#/components/responses/default'</w:t>
      </w:r>
    </w:p>
    <w:p w14:paraId="60A18C23" w14:textId="77777777" w:rsidR="00183EFC" w:rsidRDefault="00183EFC" w:rsidP="00183EFC">
      <w:pPr>
        <w:pStyle w:val="PL"/>
      </w:pPr>
      <w:r>
        <w:t xml:space="preserve">  /</w:t>
      </w:r>
      <w:r w:rsidRPr="00804553">
        <w:t>subscriptions</w:t>
      </w:r>
      <w:r>
        <w:t>/{subscriptionId}:</w:t>
      </w:r>
    </w:p>
    <w:p w14:paraId="308A0EB5" w14:textId="77777777" w:rsidR="00183EFC" w:rsidRDefault="00183EFC" w:rsidP="00183EFC">
      <w:pPr>
        <w:pStyle w:val="PL"/>
      </w:pPr>
      <w:r>
        <w:t xml:space="preserve">    put:</w:t>
      </w:r>
    </w:p>
    <w:p w14:paraId="3B62F020" w14:textId="77777777" w:rsidR="00183EFC" w:rsidRDefault="00183EFC" w:rsidP="00183EFC">
      <w:pPr>
        <w:pStyle w:val="PL"/>
      </w:pPr>
      <w:r>
        <w:t xml:space="preserve">      summary: update an existing Individual VFL </w:t>
      </w:r>
      <w:r w:rsidRPr="00804553">
        <w:t>Training</w:t>
      </w:r>
      <w:r>
        <w:t xml:space="preserve"> Subscription</w:t>
      </w:r>
    </w:p>
    <w:p w14:paraId="5DA2C235" w14:textId="77777777" w:rsidR="00183EFC" w:rsidRDefault="00183EFC" w:rsidP="00183EFC">
      <w:pPr>
        <w:pStyle w:val="PL"/>
      </w:pPr>
      <w:r>
        <w:t xml:space="preserve">      operationId: UpdateNWDAFVFLTrainingSubcription</w:t>
      </w:r>
    </w:p>
    <w:p w14:paraId="48014924" w14:textId="77777777" w:rsidR="00183EFC" w:rsidRDefault="00183EFC" w:rsidP="00183EFC">
      <w:pPr>
        <w:pStyle w:val="PL"/>
      </w:pPr>
      <w:r>
        <w:t xml:space="preserve">      tags:</w:t>
      </w:r>
    </w:p>
    <w:p w14:paraId="745FB467" w14:textId="77777777" w:rsidR="00183EFC" w:rsidRDefault="00183EFC" w:rsidP="00183EFC">
      <w:pPr>
        <w:pStyle w:val="PL"/>
      </w:pPr>
      <w:r>
        <w:lastRenderedPageBreak/>
        <w:t xml:space="preserve">        - Individual VFL </w:t>
      </w:r>
      <w:r w:rsidRPr="00804553">
        <w:t>Training</w:t>
      </w:r>
      <w:r>
        <w:t xml:space="preserve"> Subscription (Document)</w:t>
      </w:r>
    </w:p>
    <w:p w14:paraId="1698DAD1" w14:textId="77777777" w:rsidR="00183EFC" w:rsidRDefault="00183EFC" w:rsidP="00183EFC">
      <w:pPr>
        <w:pStyle w:val="PL"/>
      </w:pPr>
      <w:r>
        <w:t xml:space="preserve">      requestBody:</w:t>
      </w:r>
    </w:p>
    <w:p w14:paraId="010F4019" w14:textId="77777777" w:rsidR="00183EFC" w:rsidRDefault="00183EFC" w:rsidP="00183EFC">
      <w:pPr>
        <w:pStyle w:val="PL"/>
      </w:pPr>
      <w:r>
        <w:t xml:space="preserve">        required: true</w:t>
      </w:r>
    </w:p>
    <w:p w14:paraId="411AAD17" w14:textId="77777777" w:rsidR="00183EFC" w:rsidRDefault="00183EFC" w:rsidP="00183EFC">
      <w:pPr>
        <w:pStyle w:val="PL"/>
      </w:pPr>
      <w:r>
        <w:t xml:space="preserve">        content:</w:t>
      </w:r>
    </w:p>
    <w:p w14:paraId="376F1310" w14:textId="77777777" w:rsidR="00183EFC" w:rsidRDefault="00183EFC" w:rsidP="00183EFC">
      <w:pPr>
        <w:pStyle w:val="PL"/>
      </w:pPr>
      <w:r>
        <w:t xml:space="preserve">          application/json:</w:t>
      </w:r>
    </w:p>
    <w:p w14:paraId="3B3B2B99" w14:textId="77777777" w:rsidR="00183EFC" w:rsidRDefault="00183EFC" w:rsidP="00183EFC">
      <w:pPr>
        <w:pStyle w:val="PL"/>
      </w:pPr>
      <w:r>
        <w:t xml:space="preserve">            schema:</w:t>
      </w:r>
    </w:p>
    <w:p w14:paraId="68045DCD" w14:textId="77777777" w:rsidR="00183EFC" w:rsidRDefault="00183EFC" w:rsidP="00183EFC">
      <w:pPr>
        <w:pStyle w:val="PL"/>
      </w:pPr>
      <w:r>
        <w:t xml:space="preserve">              $ref: '#/components/schemas/VflTrainingSub</w:t>
      </w:r>
      <w:r>
        <w:rPr>
          <w:rFonts w:hint="eastAsia"/>
          <w:lang w:eastAsia="zh-CN"/>
        </w:rPr>
        <w:t>s</w:t>
      </w:r>
      <w:r>
        <w:t>'</w:t>
      </w:r>
    </w:p>
    <w:p w14:paraId="0A8F7DC8" w14:textId="77777777" w:rsidR="00183EFC" w:rsidRDefault="00183EFC" w:rsidP="00183EFC">
      <w:pPr>
        <w:pStyle w:val="PL"/>
      </w:pPr>
      <w:r>
        <w:t xml:space="preserve">      parameters:</w:t>
      </w:r>
    </w:p>
    <w:p w14:paraId="3DD9223F" w14:textId="77777777" w:rsidR="00183EFC" w:rsidRDefault="00183EFC" w:rsidP="00183EFC">
      <w:pPr>
        <w:pStyle w:val="PL"/>
      </w:pPr>
      <w:r>
        <w:t xml:space="preserve">        - name: subscriptionId</w:t>
      </w:r>
    </w:p>
    <w:p w14:paraId="4E039464" w14:textId="77777777" w:rsidR="00183EFC" w:rsidRDefault="00183EFC" w:rsidP="00183EFC">
      <w:pPr>
        <w:pStyle w:val="PL"/>
      </w:pPr>
      <w:r>
        <w:t xml:space="preserve">          in: path</w:t>
      </w:r>
    </w:p>
    <w:p w14:paraId="7A60A16F" w14:textId="77777777" w:rsidR="00183EFC" w:rsidRDefault="00183EFC" w:rsidP="00183EFC">
      <w:pPr>
        <w:pStyle w:val="PL"/>
      </w:pPr>
      <w:r>
        <w:t xml:space="preserve">          description: String identifying a subscription to the Nnwdaf_VFLTraining Service.</w:t>
      </w:r>
    </w:p>
    <w:p w14:paraId="681E08BF" w14:textId="77777777" w:rsidR="00183EFC" w:rsidRDefault="00183EFC" w:rsidP="00183EFC">
      <w:pPr>
        <w:pStyle w:val="PL"/>
      </w:pPr>
      <w:r>
        <w:t xml:space="preserve">          required: true</w:t>
      </w:r>
    </w:p>
    <w:p w14:paraId="6342771A" w14:textId="77777777" w:rsidR="00183EFC" w:rsidRDefault="00183EFC" w:rsidP="00183EFC">
      <w:pPr>
        <w:pStyle w:val="PL"/>
      </w:pPr>
      <w:r>
        <w:t xml:space="preserve">          schema:</w:t>
      </w:r>
    </w:p>
    <w:p w14:paraId="07E019FC" w14:textId="77777777" w:rsidR="00183EFC" w:rsidRDefault="00183EFC" w:rsidP="00183EFC">
      <w:pPr>
        <w:pStyle w:val="PL"/>
      </w:pPr>
      <w:r>
        <w:t xml:space="preserve">            type: string</w:t>
      </w:r>
    </w:p>
    <w:p w14:paraId="3B517D7D" w14:textId="77777777" w:rsidR="00183EFC" w:rsidRDefault="00183EFC" w:rsidP="00183EFC">
      <w:pPr>
        <w:pStyle w:val="PL"/>
      </w:pPr>
      <w:r>
        <w:t xml:space="preserve">      responses:</w:t>
      </w:r>
    </w:p>
    <w:p w14:paraId="4047ECF1" w14:textId="77777777" w:rsidR="00183EFC" w:rsidRDefault="00183EFC" w:rsidP="00183EFC">
      <w:pPr>
        <w:pStyle w:val="PL"/>
      </w:pPr>
      <w:r>
        <w:t xml:space="preserve">        '200':</w:t>
      </w:r>
    </w:p>
    <w:p w14:paraId="2259ACCC" w14:textId="77777777" w:rsidR="00183EFC" w:rsidRDefault="00183EFC" w:rsidP="00183EFC">
      <w:pPr>
        <w:pStyle w:val="PL"/>
      </w:pPr>
      <w:r>
        <w:t xml:space="preserve">          description: &gt;</w:t>
      </w:r>
    </w:p>
    <w:p w14:paraId="6546E061" w14:textId="77777777" w:rsidR="00183EFC" w:rsidRDefault="00183EFC" w:rsidP="00183EFC">
      <w:pPr>
        <w:pStyle w:val="PL"/>
      </w:pPr>
      <w:r>
        <w:t xml:space="preserve">            The Individual VFL </w:t>
      </w:r>
      <w:r w:rsidRPr="00804553">
        <w:t>Training</w:t>
      </w:r>
      <w:r>
        <w:t xml:space="preserve"> Subscription resource was modified successfully and a</w:t>
      </w:r>
    </w:p>
    <w:p w14:paraId="6B1AD402" w14:textId="77777777" w:rsidR="00183EFC" w:rsidRDefault="00183EFC" w:rsidP="00183EFC">
      <w:pPr>
        <w:pStyle w:val="PL"/>
      </w:pPr>
      <w:r>
        <w:t xml:space="preserve">            representation of that resource is returned.</w:t>
      </w:r>
    </w:p>
    <w:p w14:paraId="7F444AB5" w14:textId="77777777" w:rsidR="00183EFC" w:rsidRDefault="00183EFC" w:rsidP="00183EFC">
      <w:pPr>
        <w:pStyle w:val="PL"/>
      </w:pPr>
      <w:r>
        <w:t xml:space="preserve">          content:</w:t>
      </w:r>
    </w:p>
    <w:p w14:paraId="79F2F6DD" w14:textId="77777777" w:rsidR="00183EFC" w:rsidRDefault="00183EFC" w:rsidP="00183EFC">
      <w:pPr>
        <w:pStyle w:val="PL"/>
      </w:pPr>
      <w:r>
        <w:t xml:space="preserve">            application/json:</w:t>
      </w:r>
    </w:p>
    <w:p w14:paraId="78F578E3" w14:textId="77777777" w:rsidR="00183EFC" w:rsidRDefault="00183EFC" w:rsidP="00183EFC">
      <w:pPr>
        <w:pStyle w:val="PL"/>
      </w:pPr>
      <w:r>
        <w:t xml:space="preserve">              schema:</w:t>
      </w:r>
    </w:p>
    <w:p w14:paraId="7C2B9F5C" w14:textId="77777777" w:rsidR="00183EFC" w:rsidRDefault="00183EFC" w:rsidP="00183EFC">
      <w:pPr>
        <w:pStyle w:val="PL"/>
      </w:pPr>
      <w:r>
        <w:t xml:space="preserve">                $ref: '#/components/schemas/VflTrainingSub</w:t>
      </w:r>
      <w:r>
        <w:rPr>
          <w:rFonts w:hint="eastAsia"/>
          <w:lang w:eastAsia="zh-CN"/>
        </w:rPr>
        <w:t>s</w:t>
      </w:r>
      <w:r>
        <w:t>'</w:t>
      </w:r>
    </w:p>
    <w:p w14:paraId="308D9937" w14:textId="77777777" w:rsidR="00183EFC" w:rsidRDefault="00183EFC" w:rsidP="00183EFC">
      <w:pPr>
        <w:pStyle w:val="PL"/>
      </w:pPr>
      <w:r>
        <w:t xml:space="preserve">        '204':</w:t>
      </w:r>
    </w:p>
    <w:p w14:paraId="433B9225" w14:textId="77777777" w:rsidR="00183EFC" w:rsidRDefault="00183EFC" w:rsidP="00183EFC">
      <w:pPr>
        <w:pStyle w:val="PL"/>
      </w:pPr>
      <w:r>
        <w:t xml:space="preserve">          description: &gt;</w:t>
      </w:r>
    </w:p>
    <w:p w14:paraId="5F627400" w14:textId="77777777" w:rsidR="00183EFC" w:rsidRDefault="00183EFC" w:rsidP="00183EFC">
      <w:pPr>
        <w:pStyle w:val="PL"/>
      </w:pPr>
      <w:r>
        <w:t xml:space="preserve">            The Individual VFL </w:t>
      </w:r>
      <w:r w:rsidRPr="00804553">
        <w:t>Training</w:t>
      </w:r>
      <w:r>
        <w:t xml:space="preserve"> Subscription resource was modified successfully.</w:t>
      </w:r>
    </w:p>
    <w:p w14:paraId="5F0906AE" w14:textId="77777777" w:rsidR="00183EFC" w:rsidRDefault="00183EFC" w:rsidP="00183EFC">
      <w:pPr>
        <w:pStyle w:val="PL"/>
      </w:pPr>
      <w:r>
        <w:t xml:space="preserve">        '307':</w:t>
      </w:r>
    </w:p>
    <w:p w14:paraId="78522384" w14:textId="77777777" w:rsidR="00183EFC" w:rsidRDefault="00183EFC" w:rsidP="00183EFC">
      <w:pPr>
        <w:pStyle w:val="PL"/>
      </w:pPr>
      <w:r>
        <w:t xml:space="preserve">          $ref: 'TS29571_CommonData.yaml#/components/responses/307'</w:t>
      </w:r>
    </w:p>
    <w:p w14:paraId="022964C9" w14:textId="77777777" w:rsidR="00183EFC" w:rsidRDefault="00183EFC" w:rsidP="00183EFC">
      <w:pPr>
        <w:pStyle w:val="PL"/>
      </w:pPr>
      <w:r>
        <w:t xml:space="preserve">        '308':</w:t>
      </w:r>
    </w:p>
    <w:p w14:paraId="090C20CE" w14:textId="77777777" w:rsidR="00183EFC" w:rsidRDefault="00183EFC" w:rsidP="00183EFC">
      <w:pPr>
        <w:pStyle w:val="PL"/>
      </w:pPr>
      <w:r>
        <w:t xml:space="preserve">          $ref: 'TS29571_CommonData.yaml#/components/responses/308'</w:t>
      </w:r>
    </w:p>
    <w:p w14:paraId="315331A4" w14:textId="77777777" w:rsidR="00183EFC" w:rsidRDefault="00183EFC" w:rsidP="00183EFC">
      <w:pPr>
        <w:pStyle w:val="PL"/>
      </w:pPr>
      <w:r>
        <w:t xml:space="preserve">        '400':</w:t>
      </w:r>
    </w:p>
    <w:p w14:paraId="5FA430E4" w14:textId="77777777" w:rsidR="00183EFC" w:rsidRDefault="00183EFC" w:rsidP="00183EFC">
      <w:pPr>
        <w:pStyle w:val="PL"/>
      </w:pPr>
      <w:r>
        <w:t xml:space="preserve">          $ref: 'TS29571_CommonData.yaml#/components/responses/400'</w:t>
      </w:r>
    </w:p>
    <w:p w14:paraId="38F480FE" w14:textId="77777777" w:rsidR="00183EFC" w:rsidRDefault="00183EFC" w:rsidP="00183EFC">
      <w:pPr>
        <w:pStyle w:val="PL"/>
      </w:pPr>
      <w:r>
        <w:t xml:space="preserve">        '401':</w:t>
      </w:r>
    </w:p>
    <w:p w14:paraId="1705707C" w14:textId="77777777" w:rsidR="00183EFC" w:rsidRDefault="00183EFC" w:rsidP="00183EFC">
      <w:pPr>
        <w:pStyle w:val="PL"/>
      </w:pPr>
      <w:r>
        <w:t xml:space="preserve">          $ref: 'TS29571_CommonData.yaml#/components/responses/401'</w:t>
      </w:r>
    </w:p>
    <w:p w14:paraId="46B90137" w14:textId="77777777" w:rsidR="00183EFC" w:rsidRDefault="00183EFC" w:rsidP="00183EFC">
      <w:pPr>
        <w:pStyle w:val="PL"/>
      </w:pPr>
      <w:r>
        <w:t xml:space="preserve">        '403':</w:t>
      </w:r>
    </w:p>
    <w:p w14:paraId="42706F5A" w14:textId="77777777" w:rsidR="00183EFC" w:rsidRDefault="00183EFC" w:rsidP="00183EFC">
      <w:pPr>
        <w:pStyle w:val="PL"/>
      </w:pPr>
      <w:r>
        <w:t xml:space="preserve">          $ref: 'TS29571_CommonData.yaml#/components/responses/403'</w:t>
      </w:r>
    </w:p>
    <w:p w14:paraId="6E6C9766" w14:textId="77777777" w:rsidR="00183EFC" w:rsidRDefault="00183EFC" w:rsidP="00183EFC">
      <w:pPr>
        <w:pStyle w:val="PL"/>
      </w:pPr>
      <w:r>
        <w:t xml:space="preserve">        '404':</w:t>
      </w:r>
    </w:p>
    <w:p w14:paraId="56F91DBD" w14:textId="77777777" w:rsidR="00183EFC" w:rsidRDefault="00183EFC" w:rsidP="00183EFC">
      <w:pPr>
        <w:pStyle w:val="PL"/>
      </w:pPr>
      <w:r>
        <w:t xml:space="preserve">          $ref: 'TS29571_CommonData.yaml#/components/responses/404'</w:t>
      </w:r>
    </w:p>
    <w:p w14:paraId="2DF6B4E7" w14:textId="77777777" w:rsidR="00183EFC" w:rsidRDefault="00183EFC" w:rsidP="00183EFC">
      <w:pPr>
        <w:pStyle w:val="PL"/>
      </w:pPr>
      <w:r>
        <w:t xml:space="preserve">        '411':</w:t>
      </w:r>
    </w:p>
    <w:p w14:paraId="6C86C234" w14:textId="77777777" w:rsidR="00183EFC" w:rsidRDefault="00183EFC" w:rsidP="00183EFC">
      <w:pPr>
        <w:pStyle w:val="PL"/>
      </w:pPr>
      <w:r>
        <w:t xml:space="preserve">          $ref: 'TS29571_CommonData.yaml#/components/responses/411'</w:t>
      </w:r>
    </w:p>
    <w:p w14:paraId="08D53F41" w14:textId="77777777" w:rsidR="00183EFC" w:rsidRDefault="00183EFC" w:rsidP="00183EFC">
      <w:pPr>
        <w:pStyle w:val="PL"/>
      </w:pPr>
      <w:r>
        <w:t xml:space="preserve">        '413':</w:t>
      </w:r>
    </w:p>
    <w:p w14:paraId="77E8458D" w14:textId="77777777" w:rsidR="00183EFC" w:rsidRDefault="00183EFC" w:rsidP="00183EFC">
      <w:pPr>
        <w:pStyle w:val="PL"/>
      </w:pPr>
      <w:r>
        <w:t xml:space="preserve">          $ref: 'TS29571_CommonData.yaml#/components/responses/413'</w:t>
      </w:r>
    </w:p>
    <w:p w14:paraId="24C1211E" w14:textId="77777777" w:rsidR="00183EFC" w:rsidRDefault="00183EFC" w:rsidP="00183EFC">
      <w:pPr>
        <w:pStyle w:val="PL"/>
      </w:pPr>
      <w:r>
        <w:t xml:space="preserve">        '415':</w:t>
      </w:r>
    </w:p>
    <w:p w14:paraId="20204F25" w14:textId="77777777" w:rsidR="00183EFC" w:rsidRDefault="00183EFC" w:rsidP="00183EFC">
      <w:pPr>
        <w:pStyle w:val="PL"/>
      </w:pPr>
      <w:r>
        <w:t xml:space="preserve">          $ref: 'TS29571_CommonData.yaml#/components/responses/415'</w:t>
      </w:r>
    </w:p>
    <w:p w14:paraId="128910B7" w14:textId="77777777" w:rsidR="00183EFC" w:rsidRDefault="00183EFC" w:rsidP="00183EFC">
      <w:pPr>
        <w:pStyle w:val="PL"/>
      </w:pPr>
      <w:r>
        <w:t xml:space="preserve">        '429':</w:t>
      </w:r>
    </w:p>
    <w:p w14:paraId="2F5300E4" w14:textId="77777777" w:rsidR="00183EFC" w:rsidRDefault="00183EFC" w:rsidP="00183EFC">
      <w:pPr>
        <w:pStyle w:val="PL"/>
      </w:pPr>
      <w:r>
        <w:t xml:space="preserve">          $ref: 'TS29571_CommonData.yaml#/components/responses/429'</w:t>
      </w:r>
    </w:p>
    <w:p w14:paraId="1E55FE73" w14:textId="77777777" w:rsidR="00183EFC" w:rsidRDefault="00183EFC" w:rsidP="00183EFC">
      <w:pPr>
        <w:pStyle w:val="PL"/>
      </w:pPr>
      <w:r>
        <w:t xml:space="preserve">        '500':</w:t>
      </w:r>
    </w:p>
    <w:p w14:paraId="640F5086" w14:textId="77777777" w:rsidR="00183EFC" w:rsidRDefault="00183EFC" w:rsidP="00183EFC">
      <w:pPr>
        <w:pStyle w:val="PL"/>
      </w:pPr>
      <w:r>
        <w:t xml:space="preserve">          $ref: 'TS29571_CommonData.yaml#/components/responses/500'</w:t>
      </w:r>
    </w:p>
    <w:p w14:paraId="3A912136" w14:textId="77777777" w:rsidR="00183EFC" w:rsidRDefault="00183EFC" w:rsidP="00183EFC">
      <w:pPr>
        <w:pStyle w:val="PL"/>
      </w:pPr>
      <w:r>
        <w:t xml:space="preserve">        '502':</w:t>
      </w:r>
    </w:p>
    <w:p w14:paraId="6CB3EA1C" w14:textId="77777777" w:rsidR="00183EFC" w:rsidRDefault="00183EFC" w:rsidP="00183EFC">
      <w:pPr>
        <w:pStyle w:val="PL"/>
      </w:pPr>
      <w:r>
        <w:t xml:space="preserve">          $ref: 'TS29571_CommonData.yaml#/components/responses/502'</w:t>
      </w:r>
    </w:p>
    <w:p w14:paraId="4D2917AD" w14:textId="77777777" w:rsidR="00183EFC" w:rsidRDefault="00183EFC" w:rsidP="00183EFC">
      <w:pPr>
        <w:pStyle w:val="PL"/>
      </w:pPr>
      <w:r>
        <w:t xml:space="preserve">        '503':</w:t>
      </w:r>
    </w:p>
    <w:p w14:paraId="3C7E2A14" w14:textId="77777777" w:rsidR="00183EFC" w:rsidRDefault="00183EFC" w:rsidP="00183EFC">
      <w:pPr>
        <w:pStyle w:val="PL"/>
      </w:pPr>
      <w:r>
        <w:t xml:space="preserve">          $ref: 'TS29571_CommonData.yaml#/components/responses/503'</w:t>
      </w:r>
    </w:p>
    <w:p w14:paraId="4F212020" w14:textId="77777777" w:rsidR="00183EFC" w:rsidRDefault="00183EFC" w:rsidP="00183EFC">
      <w:pPr>
        <w:pStyle w:val="PL"/>
      </w:pPr>
      <w:r>
        <w:t xml:space="preserve">        default:</w:t>
      </w:r>
    </w:p>
    <w:p w14:paraId="44DA43D1" w14:textId="77777777" w:rsidR="00183EFC" w:rsidRDefault="00183EFC" w:rsidP="00183EFC">
      <w:pPr>
        <w:pStyle w:val="PL"/>
      </w:pPr>
      <w:r>
        <w:t xml:space="preserve">          $ref: 'TS29571_CommonData.yaml#/components/responses/default'</w:t>
      </w:r>
    </w:p>
    <w:p w14:paraId="04687AC0" w14:textId="77777777" w:rsidR="00183EFC" w:rsidRDefault="00183EFC" w:rsidP="00183EFC">
      <w:pPr>
        <w:pStyle w:val="PL"/>
      </w:pPr>
      <w:r>
        <w:t xml:space="preserve">    delete:</w:t>
      </w:r>
    </w:p>
    <w:p w14:paraId="3739D8B7" w14:textId="77777777" w:rsidR="00183EFC" w:rsidRDefault="00183EFC" w:rsidP="00183EFC">
      <w:pPr>
        <w:pStyle w:val="PL"/>
      </w:pPr>
      <w:r>
        <w:t xml:space="preserve">      summary: Delete an existing Individual VFL </w:t>
      </w:r>
      <w:r w:rsidRPr="00804553">
        <w:t>Training</w:t>
      </w:r>
      <w:r>
        <w:t xml:space="preserve"> Subscription.</w:t>
      </w:r>
    </w:p>
    <w:p w14:paraId="413BAA77" w14:textId="77777777" w:rsidR="00183EFC" w:rsidRDefault="00183EFC" w:rsidP="00183EFC">
      <w:pPr>
        <w:pStyle w:val="PL"/>
      </w:pPr>
      <w:r>
        <w:t xml:space="preserve">      operationId: DeleteNWDAFVFLTrainingSubcription</w:t>
      </w:r>
    </w:p>
    <w:p w14:paraId="290763BC" w14:textId="77777777" w:rsidR="00183EFC" w:rsidRDefault="00183EFC" w:rsidP="00183EFC">
      <w:pPr>
        <w:pStyle w:val="PL"/>
      </w:pPr>
      <w:r>
        <w:t xml:space="preserve">      tags:</w:t>
      </w:r>
    </w:p>
    <w:p w14:paraId="1B89E83C" w14:textId="77777777" w:rsidR="00183EFC" w:rsidRDefault="00183EFC" w:rsidP="00183EFC">
      <w:pPr>
        <w:pStyle w:val="PL"/>
      </w:pPr>
      <w:r>
        <w:t xml:space="preserve">        - Individual VFL </w:t>
      </w:r>
      <w:r w:rsidRPr="00804553">
        <w:t>Training</w:t>
      </w:r>
      <w:r>
        <w:t xml:space="preserve"> Subscription (Document)</w:t>
      </w:r>
    </w:p>
    <w:p w14:paraId="149EFD79" w14:textId="77777777" w:rsidR="00183EFC" w:rsidRDefault="00183EFC" w:rsidP="00183EFC">
      <w:pPr>
        <w:pStyle w:val="PL"/>
      </w:pPr>
      <w:r>
        <w:t xml:space="preserve">      parameters:</w:t>
      </w:r>
    </w:p>
    <w:p w14:paraId="326EBCDC" w14:textId="77777777" w:rsidR="00183EFC" w:rsidRDefault="00183EFC" w:rsidP="00183EFC">
      <w:pPr>
        <w:pStyle w:val="PL"/>
      </w:pPr>
      <w:r>
        <w:t xml:space="preserve">        - name: subscriptionId</w:t>
      </w:r>
    </w:p>
    <w:p w14:paraId="5D501CB6" w14:textId="77777777" w:rsidR="00183EFC" w:rsidRDefault="00183EFC" w:rsidP="00183EFC">
      <w:pPr>
        <w:pStyle w:val="PL"/>
      </w:pPr>
      <w:r>
        <w:t xml:space="preserve">          in: path</w:t>
      </w:r>
    </w:p>
    <w:p w14:paraId="656A5552" w14:textId="77777777" w:rsidR="00183EFC" w:rsidRDefault="00183EFC" w:rsidP="00183EFC">
      <w:pPr>
        <w:pStyle w:val="PL"/>
      </w:pPr>
      <w:r>
        <w:t xml:space="preserve">          description: String identifying a subscription to the Nnwdaf_VFLTraining Service.</w:t>
      </w:r>
    </w:p>
    <w:p w14:paraId="3B581783" w14:textId="77777777" w:rsidR="00183EFC" w:rsidRDefault="00183EFC" w:rsidP="00183EFC">
      <w:pPr>
        <w:pStyle w:val="PL"/>
      </w:pPr>
      <w:r>
        <w:t xml:space="preserve">          required: true</w:t>
      </w:r>
    </w:p>
    <w:p w14:paraId="3D8AC592" w14:textId="77777777" w:rsidR="00183EFC" w:rsidRDefault="00183EFC" w:rsidP="00183EFC">
      <w:pPr>
        <w:pStyle w:val="PL"/>
      </w:pPr>
      <w:r>
        <w:t xml:space="preserve">          schema:</w:t>
      </w:r>
    </w:p>
    <w:p w14:paraId="0FCA48BC" w14:textId="77777777" w:rsidR="00183EFC" w:rsidRDefault="00183EFC" w:rsidP="00183EFC">
      <w:pPr>
        <w:pStyle w:val="PL"/>
      </w:pPr>
      <w:r>
        <w:t xml:space="preserve">            type: string</w:t>
      </w:r>
    </w:p>
    <w:p w14:paraId="5E550DD7" w14:textId="77777777" w:rsidR="00183EFC" w:rsidRDefault="00183EFC" w:rsidP="00183EFC">
      <w:pPr>
        <w:pStyle w:val="PL"/>
      </w:pPr>
      <w:r>
        <w:t xml:space="preserve">      responses:</w:t>
      </w:r>
    </w:p>
    <w:p w14:paraId="0000DE21" w14:textId="77777777" w:rsidR="00183EFC" w:rsidRDefault="00183EFC" w:rsidP="00183EFC">
      <w:pPr>
        <w:pStyle w:val="PL"/>
      </w:pPr>
      <w:r>
        <w:t xml:space="preserve">        '204':</w:t>
      </w:r>
    </w:p>
    <w:p w14:paraId="3C56567B" w14:textId="77777777" w:rsidR="00183EFC" w:rsidRDefault="00183EFC" w:rsidP="00183EFC">
      <w:pPr>
        <w:pStyle w:val="PL"/>
      </w:pPr>
      <w:r>
        <w:t xml:space="preserve">          description: &gt;</w:t>
      </w:r>
    </w:p>
    <w:p w14:paraId="574072E4" w14:textId="77777777" w:rsidR="00183EFC" w:rsidRDefault="00183EFC" w:rsidP="00183EFC">
      <w:pPr>
        <w:pStyle w:val="PL"/>
      </w:pPr>
      <w:r>
        <w:t xml:space="preserve">            No Content. The</w:t>
      </w:r>
      <w:r w:rsidRPr="00DB3E24">
        <w:t xml:space="preserve"> </w:t>
      </w:r>
      <w:r>
        <w:t xml:space="preserve">Individual VFL </w:t>
      </w:r>
      <w:r w:rsidRPr="00804553">
        <w:t>Training</w:t>
      </w:r>
      <w:r>
        <w:t xml:space="preserve"> Subscription matching the subscriptionId was</w:t>
      </w:r>
    </w:p>
    <w:p w14:paraId="5E848405" w14:textId="77777777" w:rsidR="00183EFC" w:rsidRDefault="00183EFC" w:rsidP="00183EFC">
      <w:pPr>
        <w:pStyle w:val="PL"/>
      </w:pPr>
      <w:r>
        <w:t xml:space="preserve">            deleted.</w:t>
      </w:r>
    </w:p>
    <w:p w14:paraId="1CC9A2F0" w14:textId="77777777" w:rsidR="00183EFC" w:rsidRDefault="00183EFC" w:rsidP="00183EFC">
      <w:pPr>
        <w:pStyle w:val="PL"/>
      </w:pPr>
      <w:r>
        <w:t xml:space="preserve">        '307':</w:t>
      </w:r>
    </w:p>
    <w:p w14:paraId="7E7C92F9" w14:textId="77777777" w:rsidR="00183EFC" w:rsidRDefault="00183EFC" w:rsidP="00183EFC">
      <w:pPr>
        <w:pStyle w:val="PL"/>
      </w:pPr>
      <w:r>
        <w:t xml:space="preserve">          $ref: 'TS29571_CommonData.yaml#/components/responses/307'</w:t>
      </w:r>
    </w:p>
    <w:p w14:paraId="0C1F46BB" w14:textId="77777777" w:rsidR="00183EFC" w:rsidRDefault="00183EFC" w:rsidP="00183EFC">
      <w:pPr>
        <w:pStyle w:val="PL"/>
      </w:pPr>
      <w:r>
        <w:t xml:space="preserve">        '308':</w:t>
      </w:r>
    </w:p>
    <w:p w14:paraId="26E9398B" w14:textId="77777777" w:rsidR="00183EFC" w:rsidRDefault="00183EFC" w:rsidP="00183EFC">
      <w:pPr>
        <w:pStyle w:val="PL"/>
      </w:pPr>
      <w:r>
        <w:t xml:space="preserve">          $ref: 'TS29571_CommonData.yaml#/components/responses/308'</w:t>
      </w:r>
    </w:p>
    <w:p w14:paraId="5C515985" w14:textId="77777777" w:rsidR="00183EFC" w:rsidRDefault="00183EFC" w:rsidP="00183EFC">
      <w:pPr>
        <w:pStyle w:val="PL"/>
      </w:pPr>
      <w:r>
        <w:t xml:space="preserve">        '400':</w:t>
      </w:r>
    </w:p>
    <w:p w14:paraId="37E41CDB" w14:textId="77777777" w:rsidR="00183EFC" w:rsidRDefault="00183EFC" w:rsidP="00183EFC">
      <w:pPr>
        <w:pStyle w:val="PL"/>
      </w:pPr>
      <w:r>
        <w:t xml:space="preserve">          $ref: 'TS29571_CommonData.yaml#/components/responses/400'</w:t>
      </w:r>
    </w:p>
    <w:p w14:paraId="4533D9B8" w14:textId="77777777" w:rsidR="00183EFC" w:rsidRDefault="00183EFC" w:rsidP="00183EFC">
      <w:pPr>
        <w:pStyle w:val="PL"/>
      </w:pPr>
      <w:r>
        <w:t xml:space="preserve">        '401':</w:t>
      </w:r>
    </w:p>
    <w:p w14:paraId="713451B7" w14:textId="77777777" w:rsidR="00183EFC" w:rsidRDefault="00183EFC" w:rsidP="00183EFC">
      <w:pPr>
        <w:pStyle w:val="PL"/>
      </w:pPr>
      <w:r>
        <w:lastRenderedPageBreak/>
        <w:t xml:space="preserve">          $ref: 'TS29571_CommonData.yaml#/components/responses/401'</w:t>
      </w:r>
    </w:p>
    <w:p w14:paraId="7F2FCC91" w14:textId="77777777" w:rsidR="00183EFC" w:rsidRDefault="00183EFC" w:rsidP="00183EFC">
      <w:pPr>
        <w:pStyle w:val="PL"/>
      </w:pPr>
      <w:r>
        <w:t xml:space="preserve">        '403':</w:t>
      </w:r>
    </w:p>
    <w:p w14:paraId="67C7D6E0" w14:textId="77777777" w:rsidR="00183EFC" w:rsidRDefault="00183EFC" w:rsidP="00183EFC">
      <w:pPr>
        <w:pStyle w:val="PL"/>
      </w:pPr>
      <w:r>
        <w:t xml:space="preserve">          $ref: 'TS29571_CommonData.yaml#/components/responses/403'</w:t>
      </w:r>
    </w:p>
    <w:p w14:paraId="788B477B" w14:textId="77777777" w:rsidR="00183EFC" w:rsidRDefault="00183EFC" w:rsidP="00183EFC">
      <w:pPr>
        <w:pStyle w:val="PL"/>
      </w:pPr>
      <w:r>
        <w:t xml:space="preserve">        '404':</w:t>
      </w:r>
    </w:p>
    <w:p w14:paraId="12424068" w14:textId="77777777" w:rsidR="00183EFC" w:rsidRDefault="00183EFC" w:rsidP="00183EFC">
      <w:pPr>
        <w:pStyle w:val="PL"/>
      </w:pPr>
      <w:r>
        <w:t xml:space="preserve">          $ref: 'TS29571_CommonData.yaml#/components/responses/404'</w:t>
      </w:r>
    </w:p>
    <w:p w14:paraId="12ADA00A" w14:textId="77777777" w:rsidR="00183EFC" w:rsidRDefault="00183EFC" w:rsidP="00183EFC">
      <w:pPr>
        <w:pStyle w:val="PL"/>
      </w:pPr>
      <w:r>
        <w:t xml:space="preserve">        '429':</w:t>
      </w:r>
    </w:p>
    <w:p w14:paraId="29E15356" w14:textId="77777777" w:rsidR="00183EFC" w:rsidRDefault="00183EFC" w:rsidP="00183EFC">
      <w:pPr>
        <w:pStyle w:val="PL"/>
      </w:pPr>
      <w:r>
        <w:t xml:space="preserve">          $ref: 'TS29571_CommonData.yaml#/components/responses/429'</w:t>
      </w:r>
    </w:p>
    <w:p w14:paraId="4446CA75" w14:textId="77777777" w:rsidR="00183EFC" w:rsidRDefault="00183EFC" w:rsidP="00183EFC">
      <w:pPr>
        <w:pStyle w:val="PL"/>
      </w:pPr>
      <w:r>
        <w:t xml:space="preserve">        '500':</w:t>
      </w:r>
    </w:p>
    <w:p w14:paraId="6AD1B787" w14:textId="77777777" w:rsidR="00183EFC" w:rsidRDefault="00183EFC" w:rsidP="00183EFC">
      <w:pPr>
        <w:pStyle w:val="PL"/>
      </w:pPr>
      <w:r>
        <w:t xml:space="preserve">          $ref: 'TS29571_CommonData.yaml#/components/responses/500'</w:t>
      </w:r>
    </w:p>
    <w:p w14:paraId="0A7AABC2" w14:textId="77777777" w:rsidR="00183EFC" w:rsidRDefault="00183EFC" w:rsidP="00183EFC">
      <w:pPr>
        <w:pStyle w:val="PL"/>
      </w:pPr>
      <w:r>
        <w:t xml:space="preserve">        '502':</w:t>
      </w:r>
    </w:p>
    <w:p w14:paraId="1F1BF2BE" w14:textId="77777777" w:rsidR="00183EFC" w:rsidRDefault="00183EFC" w:rsidP="00183EFC">
      <w:pPr>
        <w:pStyle w:val="PL"/>
      </w:pPr>
      <w:r>
        <w:t xml:space="preserve">          $ref: 'TS29571_CommonData.yaml#/components/responses/502'</w:t>
      </w:r>
    </w:p>
    <w:p w14:paraId="0E3C1E85" w14:textId="77777777" w:rsidR="00183EFC" w:rsidRDefault="00183EFC" w:rsidP="00183EFC">
      <w:pPr>
        <w:pStyle w:val="PL"/>
      </w:pPr>
      <w:r>
        <w:t xml:space="preserve">        '503':</w:t>
      </w:r>
    </w:p>
    <w:p w14:paraId="336B9056" w14:textId="77777777" w:rsidR="00183EFC" w:rsidRDefault="00183EFC" w:rsidP="00183EFC">
      <w:pPr>
        <w:pStyle w:val="PL"/>
      </w:pPr>
      <w:r>
        <w:t xml:space="preserve">          $ref: 'TS29571_CommonData.yaml#/components/responses/503'</w:t>
      </w:r>
    </w:p>
    <w:p w14:paraId="408CF9AD" w14:textId="77777777" w:rsidR="00183EFC" w:rsidRDefault="00183EFC" w:rsidP="00183EFC">
      <w:pPr>
        <w:pStyle w:val="PL"/>
      </w:pPr>
      <w:r>
        <w:t xml:space="preserve">        default:</w:t>
      </w:r>
    </w:p>
    <w:p w14:paraId="7B5331CB" w14:textId="77777777" w:rsidR="00183EFC" w:rsidRDefault="00183EFC" w:rsidP="00183EFC">
      <w:pPr>
        <w:pStyle w:val="PL"/>
      </w:pPr>
      <w:r>
        <w:t xml:space="preserve">          $ref: 'TS29571_CommonData.yaml#/components/responses/default'</w:t>
      </w:r>
    </w:p>
    <w:p w14:paraId="41AA31AE" w14:textId="77777777" w:rsidR="00183EFC" w:rsidRDefault="00183EFC" w:rsidP="00183EFC">
      <w:pPr>
        <w:pStyle w:val="PL"/>
      </w:pPr>
    </w:p>
    <w:p w14:paraId="3940C0A5" w14:textId="77777777" w:rsidR="00183EFC" w:rsidRDefault="00183EFC" w:rsidP="00183EFC">
      <w:pPr>
        <w:pStyle w:val="PL"/>
      </w:pPr>
      <w:r>
        <w:t>components:</w:t>
      </w:r>
    </w:p>
    <w:p w14:paraId="042B4B05" w14:textId="77777777" w:rsidR="00183EFC" w:rsidRDefault="00183EFC" w:rsidP="00183EFC">
      <w:pPr>
        <w:pStyle w:val="PL"/>
      </w:pPr>
      <w:r>
        <w:t xml:space="preserve">  securitySchemes:</w:t>
      </w:r>
    </w:p>
    <w:p w14:paraId="0BE9A076" w14:textId="77777777" w:rsidR="00183EFC" w:rsidRDefault="00183EFC" w:rsidP="00183EFC">
      <w:pPr>
        <w:pStyle w:val="PL"/>
      </w:pPr>
      <w:r>
        <w:t xml:space="preserve">    oAuth2ClientCredentials:</w:t>
      </w:r>
    </w:p>
    <w:p w14:paraId="1CBD97B3" w14:textId="77777777" w:rsidR="00183EFC" w:rsidRDefault="00183EFC" w:rsidP="00183EFC">
      <w:pPr>
        <w:pStyle w:val="PL"/>
      </w:pPr>
      <w:r>
        <w:t xml:space="preserve">      type: oauth2</w:t>
      </w:r>
    </w:p>
    <w:p w14:paraId="307176C9" w14:textId="77777777" w:rsidR="00183EFC" w:rsidRDefault="00183EFC" w:rsidP="00183EFC">
      <w:pPr>
        <w:pStyle w:val="PL"/>
      </w:pPr>
      <w:r>
        <w:t xml:space="preserve">      flows:</w:t>
      </w:r>
    </w:p>
    <w:p w14:paraId="0BE6BECF" w14:textId="77777777" w:rsidR="00183EFC" w:rsidRDefault="00183EFC" w:rsidP="00183EFC">
      <w:pPr>
        <w:pStyle w:val="PL"/>
      </w:pPr>
      <w:r>
        <w:t xml:space="preserve">        clientCredentials:</w:t>
      </w:r>
    </w:p>
    <w:p w14:paraId="2E32D11C" w14:textId="77777777" w:rsidR="00183EFC" w:rsidRDefault="00183EFC" w:rsidP="00183EFC">
      <w:pPr>
        <w:pStyle w:val="PL"/>
      </w:pPr>
      <w:r>
        <w:t xml:space="preserve">          tokenUrl: '{nrfApiRoot}/oauth2/token'</w:t>
      </w:r>
    </w:p>
    <w:p w14:paraId="6E8CE4B4" w14:textId="77777777" w:rsidR="00183EFC" w:rsidRDefault="00183EFC" w:rsidP="00183EFC">
      <w:pPr>
        <w:pStyle w:val="PL"/>
      </w:pPr>
      <w:r>
        <w:t xml:space="preserve">          scopes:</w:t>
      </w:r>
    </w:p>
    <w:p w14:paraId="2E2EBCCF" w14:textId="77777777" w:rsidR="00183EFC" w:rsidRDefault="00183EFC" w:rsidP="00183EFC">
      <w:pPr>
        <w:pStyle w:val="PL"/>
      </w:pPr>
      <w:r>
        <w:t xml:space="preserve">            nnwdaf-vfltraining: Access to the Nnwdaf_VFLTraining</w:t>
      </w:r>
      <w:r>
        <w:rPr>
          <w:lang w:eastAsia="zh-CN"/>
        </w:rPr>
        <w:t xml:space="preserve"> </w:t>
      </w:r>
      <w:r>
        <w:t>API</w:t>
      </w:r>
    </w:p>
    <w:p w14:paraId="520E2EEF" w14:textId="77777777" w:rsidR="00183EFC" w:rsidRDefault="00183EFC" w:rsidP="00183EFC">
      <w:pPr>
        <w:pStyle w:val="PL"/>
      </w:pPr>
    </w:p>
    <w:p w14:paraId="052B6995" w14:textId="77777777" w:rsidR="00183EFC" w:rsidRDefault="00183EFC" w:rsidP="00183EFC">
      <w:pPr>
        <w:pStyle w:val="PL"/>
      </w:pPr>
      <w:r>
        <w:t xml:space="preserve">  schemas:</w:t>
      </w:r>
    </w:p>
    <w:p w14:paraId="6D7E3C0A" w14:textId="77777777" w:rsidR="00183EFC" w:rsidRDefault="00183EFC" w:rsidP="00183EFC">
      <w:pPr>
        <w:pStyle w:val="PL"/>
        <w:rPr>
          <w:rFonts w:eastAsia="等线"/>
        </w:rPr>
      </w:pPr>
      <w:r>
        <w:t xml:space="preserve">    VflTrainingSub</w:t>
      </w:r>
      <w:r>
        <w:rPr>
          <w:rFonts w:hint="eastAsia"/>
          <w:lang w:eastAsia="zh-CN"/>
        </w:rPr>
        <w:t>s</w:t>
      </w:r>
      <w:r>
        <w:rPr>
          <w:rFonts w:eastAsia="等线"/>
        </w:rPr>
        <w:t>:</w:t>
      </w:r>
    </w:p>
    <w:p w14:paraId="1ED22D57" w14:textId="77777777" w:rsidR="00183EFC" w:rsidRDefault="00183EFC" w:rsidP="00183EFC">
      <w:pPr>
        <w:pStyle w:val="PL"/>
      </w:pPr>
      <w:r>
        <w:t xml:space="preserve">      description: Represents VFL Training subscription.</w:t>
      </w:r>
    </w:p>
    <w:p w14:paraId="0022370E" w14:textId="77777777" w:rsidR="00183EFC" w:rsidRDefault="00183EFC" w:rsidP="00183EFC">
      <w:pPr>
        <w:pStyle w:val="PL"/>
      </w:pPr>
      <w:r>
        <w:t xml:space="preserve">      type: object</w:t>
      </w:r>
    </w:p>
    <w:p w14:paraId="3BA6BC66" w14:textId="77777777" w:rsidR="00183EFC" w:rsidRDefault="00183EFC" w:rsidP="00183EFC">
      <w:pPr>
        <w:pStyle w:val="PL"/>
      </w:pPr>
      <w:r>
        <w:t xml:space="preserve">      properties:</w:t>
      </w:r>
    </w:p>
    <w:p w14:paraId="06966442" w14:textId="77777777" w:rsidR="00183EFC" w:rsidRDefault="00183EFC" w:rsidP="00183EFC">
      <w:pPr>
        <w:pStyle w:val="PL"/>
      </w:pPr>
      <w:r>
        <w:t xml:space="preserve">        </w:t>
      </w:r>
      <w:r>
        <w:rPr>
          <w:lang w:eastAsia="zh-CN"/>
        </w:rPr>
        <w:t>notifUri</w:t>
      </w:r>
      <w:r>
        <w:t>:</w:t>
      </w:r>
    </w:p>
    <w:p w14:paraId="5290F99D" w14:textId="77777777" w:rsidR="00183EFC" w:rsidRDefault="00183EFC" w:rsidP="00183EFC">
      <w:pPr>
        <w:pStyle w:val="PL"/>
      </w:pPr>
      <w:r>
        <w:t xml:space="preserve">          $ref: 'TS29571_CommonData.yaml#/components/schemas/Uri'</w:t>
      </w:r>
    </w:p>
    <w:p w14:paraId="1EC4DA5F" w14:textId="77777777" w:rsidR="00183EFC" w:rsidRDefault="00183EFC" w:rsidP="00183EFC">
      <w:pPr>
        <w:pStyle w:val="PL"/>
      </w:pPr>
      <w:r>
        <w:t xml:space="preserve">        </w:t>
      </w:r>
      <w:r>
        <w:rPr>
          <w:lang w:eastAsia="zh-CN"/>
        </w:rPr>
        <w:t>notifCorrId</w:t>
      </w:r>
      <w:r>
        <w:t>:</w:t>
      </w:r>
    </w:p>
    <w:p w14:paraId="00FA3C4B" w14:textId="77777777" w:rsidR="00183EFC" w:rsidRDefault="00183EFC" w:rsidP="00183EFC">
      <w:pPr>
        <w:pStyle w:val="PL"/>
      </w:pPr>
      <w:r>
        <w:t xml:space="preserve">          type: string</w:t>
      </w:r>
    </w:p>
    <w:p w14:paraId="1AE7AB31" w14:textId="77777777" w:rsidR="00183EFC" w:rsidRDefault="00183EFC" w:rsidP="00183EFC">
      <w:pPr>
        <w:pStyle w:val="PL"/>
      </w:pPr>
      <w:r>
        <w:t xml:space="preserve">          description: Notification correlation identifier.</w:t>
      </w:r>
    </w:p>
    <w:p w14:paraId="449F3524" w14:textId="77777777" w:rsidR="00183EFC" w:rsidRDefault="00183EFC" w:rsidP="00183EFC">
      <w:pPr>
        <w:pStyle w:val="PL"/>
      </w:pPr>
      <w:r>
        <w:t xml:space="preserve">        </w:t>
      </w:r>
      <w:r>
        <w:rPr>
          <w:lang w:eastAsia="zh-CN"/>
        </w:rPr>
        <w:t>vflTrainSub</w:t>
      </w:r>
      <w:r>
        <w:t>:</w:t>
      </w:r>
    </w:p>
    <w:p w14:paraId="2AC69037" w14:textId="77777777" w:rsidR="00183EFC" w:rsidRDefault="00183EFC" w:rsidP="00183EFC">
      <w:pPr>
        <w:pStyle w:val="PL"/>
      </w:pPr>
      <w:r>
        <w:t xml:space="preserve">          type: array</w:t>
      </w:r>
    </w:p>
    <w:p w14:paraId="1E975FF4" w14:textId="77777777" w:rsidR="00183EFC" w:rsidRDefault="00183EFC" w:rsidP="00183EFC">
      <w:pPr>
        <w:pStyle w:val="PL"/>
      </w:pPr>
      <w:r>
        <w:t xml:space="preserve">          items:</w:t>
      </w:r>
    </w:p>
    <w:p w14:paraId="3048E28B" w14:textId="77777777" w:rsidR="00183EFC" w:rsidRDefault="00183EFC" w:rsidP="00183EFC">
      <w:pPr>
        <w:pStyle w:val="PL"/>
      </w:pPr>
      <w:r>
        <w:t xml:space="preserve">            $ref: '#/components/schemas/VflTrainingSub'</w:t>
      </w:r>
    </w:p>
    <w:p w14:paraId="7727AC3C" w14:textId="77777777" w:rsidR="00183EFC" w:rsidRDefault="00183EFC" w:rsidP="00183EFC">
      <w:pPr>
        <w:pStyle w:val="PL"/>
      </w:pPr>
      <w:r>
        <w:t xml:space="preserve">          minItems: 1</w:t>
      </w:r>
    </w:p>
    <w:p w14:paraId="48076D69" w14:textId="77777777" w:rsidR="00183EFC" w:rsidRDefault="00183EFC" w:rsidP="00183EFC">
      <w:pPr>
        <w:pStyle w:val="PL"/>
      </w:pPr>
      <w:r>
        <w:t xml:space="preserve">        </w:t>
      </w:r>
      <w:r>
        <w:rPr>
          <w:lang w:eastAsia="zh-CN"/>
        </w:rPr>
        <w:t>eventReq</w:t>
      </w:r>
      <w:r>
        <w:t>:</w:t>
      </w:r>
    </w:p>
    <w:p w14:paraId="5FFD3979" w14:textId="77777777" w:rsidR="00183EFC" w:rsidRDefault="00183EFC" w:rsidP="00183EFC">
      <w:pPr>
        <w:pStyle w:val="PL"/>
      </w:pPr>
      <w:r>
        <w:t xml:space="preserve">          $ref: 'TS29523_Npcf_EventExposure.yaml#/components/schemas/ReportingInformation'</w:t>
      </w:r>
    </w:p>
    <w:p w14:paraId="1092B91E" w14:textId="77777777" w:rsidR="00183EFC" w:rsidRDefault="00183EFC" w:rsidP="00183EFC">
      <w:pPr>
        <w:pStyle w:val="PL"/>
      </w:pPr>
      <w:r>
        <w:t xml:space="preserve">        suppFeat:</w:t>
      </w:r>
    </w:p>
    <w:p w14:paraId="67D4656D" w14:textId="77777777" w:rsidR="00183EFC" w:rsidRDefault="00183EFC" w:rsidP="00183EFC">
      <w:pPr>
        <w:pStyle w:val="PL"/>
      </w:pPr>
      <w:r>
        <w:t xml:space="preserve">          $ref: 'TS29571_CommonData.yaml#/components/schemas/SupportedFeatures'</w:t>
      </w:r>
    </w:p>
    <w:p w14:paraId="5A43E2E8"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7964D617"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2B48D8">
        <w:rPr>
          <w:rFonts w:ascii="Courier New" w:hAnsi="Courier New"/>
          <w:sz w:val="16"/>
        </w:rPr>
        <w:t>notifUri</w:t>
      </w:r>
    </w:p>
    <w:p w14:paraId="2C761B34"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2B48D8">
        <w:rPr>
          <w:rFonts w:ascii="Courier New" w:hAnsi="Courier New"/>
          <w:sz w:val="16"/>
        </w:rPr>
        <w:t>notifCorrId</w:t>
      </w:r>
    </w:p>
    <w:p w14:paraId="49FE74A1"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2B48D8">
        <w:rPr>
          <w:rFonts w:ascii="Courier New" w:hAnsi="Courier New"/>
          <w:sz w:val="16"/>
        </w:rPr>
        <w:t>vflTrainSub</w:t>
      </w:r>
    </w:p>
    <w:p w14:paraId="41CD1D0E" w14:textId="77777777" w:rsidR="00183EFC" w:rsidRPr="00E32BE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4E07062" w14:textId="77777777" w:rsidR="00183EFC" w:rsidRDefault="00183EFC" w:rsidP="00183EFC">
      <w:pPr>
        <w:pStyle w:val="PL"/>
        <w:rPr>
          <w:rFonts w:eastAsia="等线"/>
        </w:rPr>
      </w:pPr>
      <w:r>
        <w:t xml:space="preserve">    VflTrainingSub</w:t>
      </w:r>
      <w:r>
        <w:rPr>
          <w:rFonts w:eastAsia="等线"/>
        </w:rPr>
        <w:t>:</w:t>
      </w:r>
    </w:p>
    <w:p w14:paraId="614458AF" w14:textId="77777777" w:rsidR="00183EFC" w:rsidRDefault="00183EFC" w:rsidP="00183EFC">
      <w:pPr>
        <w:pStyle w:val="PL"/>
      </w:pPr>
      <w:r>
        <w:t xml:space="preserve">      description: Represents VFL Training subscription for a analytics ID.</w:t>
      </w:r>
    </w:p>
    <w:p w14:paraId="160B1FCC" w14:textId="77777777" w:rsidR="00183EFC" w:rsidRDefault="00183EFC" w:rsidP="00183EFC">
      <w:pPr>
        <w:pStyle w:val="PL"/>
      </w:pPr>
      <w:r>
        <w:t xml:space="preserve">      type: object</w:t>
      </w:r>
    </w:p>
    <w:p w14:paraId="43CF9001" w14:textId="77777777" w:rsidR="00183EFC" w:rsidRDefault="00183EFC" w:rsidP="00183EFC">
      <w:pPr>
        <w:pStyle w:val="PL"/>
      </w:pPr>
      <w:r>
        <w:t xml:space="preserve">      properties:</w:t>
      </w:r>
    </w:p>
    <w:p w14:paraId="0CD4475D" w14:textId="77777777" w:rsidR="00183EFC" w:rsidRDefault="00183EFC" w:rsidP="00183EFC">
      <w:pPr>
        <w:pStyle w:val="PL"/>
      </w:pPr>
      <w:r>
        <w:t xml:space="preserve">        event:</w:t>
      </w:r>
    </w:p>
    <w:p w14:paraId="46C27BD3" w14:textId="77777777" w:rsidR="00183EFC" w:rsidRDefault="00183EFC" w:rsidP="00183EFC">
      <w:pPr>
        <w:pStyle w:val="PL"/>
      </w:pPr>
      <w:r>
        <w:t xml:space="preserve">          $ref: 'TS29520_Nnwdaf_EventsSubscription.yaml#/components/schemas/NwdafEvent'</w:t>
      </w:r>
    </w:p>
    <w:p w14:paraId="2E151A9B" w14:textId="77777777" w:rsidR="00183EFC" w:rsidRDefault="00183EFC" w:rsidP="00183EFC">
      <w:pPr>
        <w:pStyle w:val="PL"/>
      </w:pPr>
      <w:r>
        <w:t xml:space="preserve">        </w:t>
      </w:r>
      <w:r>
        <w:rPr>
          <w:lang w:eastAsia="zh-CN"/>
        </w:rPr>
        <w:t>vflCorrId</w:t>
      </w:r>
      <w:r>
        <w:t>:</w:t>
      </w:r>
    </w:p>
    <w:p w14:paraId="7AAA74B0" w14:textId="77777777" w:rsidR="00183EFC" w:rsidRDefault="00183EFC" w:rsidP="00183EFC">
      <w:pPr>
        <w:pStyle w:val="PL"/>
      </w:pPr>
      <w:r>
        <w:t xml:space="preserve">          type: string</w:t>
      </w:r>
    </w:p>
    <w:p w14:paraId="784B6F9B" w14:textId="77777777" w:rsidR="00183EFC" w:rsidRDefault="00183EFC" w:rsidP="00183EFC">
      <w:pPr>
        <w:pStyle w:val="PL"/>
      </w:pPr>
      <w:r>
        <w:t xml:space="preserve">          description: Represents the VFL Correlation ID.</w:t>
      </w:r>
    </w:p>
    <w:p w14:paraId="01058E44" w14:textId="77777777" w:rsidR="00183EFC" w:rsidRDefault="00183EFC" w:rsidP="00183EFC">
      <w:pPr>
        <w:pStyle w:val="PL"/>
      </w:pPr>
      <w:r>
        <w:t xml:space="preserve">        </w:t>
      </w:r>
      <w:r>
        <w:rPr>
          <w:lang w:eastAsia="zh-CN"/>
        </w:rPr>
        <w:t>interopInfo</w:t>
      </w:r>
      <w:r>
        <w:t>:</w:t>
      </w:r>
    </w:p>
    <w:p w14:paraId="4D2F6B0B" w14:textId="77777777" w:rsidR="00183EFC" w:rsidRDefault="00183EFC" w:rsidP="00183EFC">
      <w:pPr>
        <w:pStyle w:val="PL"/>
      </w:pPr>
      <w:r>
        <w:t xml:space="preserve">          $ref: '#/components/schemas/</w:t>
      </w:r>
      <w:r w:rsidRPr="002B48D8">
        <w:t>VflInteropInfo</w:t>
      </w:r>
      <w:r>
        <w:t>'</w:t>
      </w:r>
    </w:p>
    <w:p w14:paraId="2F2A6282" w14:textId="77777777" w:rsidR="00183EFC" w:rsidRDefault="00183EFC" w:rsidP="00183EFC">
      <w:pPr>
        <w:pStyle w:val="PL"/>
      </w:pPr>
      <w:r>
        <w:t xml:space="preserve">        </w:t>
      </w:r>
      <w:r>
        <w:rPr>
          <w:rFonts w:hint="eastAsia"/>
          <w:lang w:eastAsia="zh-CN"/>
        </w:rPr>
        <w:t>m</w:t>
      </w:r>
      <w:r>
        <w:rPr>
          <w:lang w:eastAsia="zh-CN"/>
        </w:rPr>
        <w:t>axRspTime</w:t>
      </w:r>
      <w:r>
        <w:t>:</w:t>
      </w:r>
    </w:p>
    <w:p w14:paraId="0811EE8B" w14:textId="77777777" w:rsidR="00183EFC" w:rsidRDefault="00183EFC" w:rsidP="00183EFC">
      <w:pPr>
        <w:pStyle w:val="PL"/>
      </w:pPr>
      <w:r>
        <w:t xml:space="preserve">          $ref: 'TS29571_CommonData.yaml#/components/schemas/DurationSec'</w:t>
      </w:r>
    </w:p>
    <w:p w14:paraId="32F911C1" w14:textId="77777777" w:rsidR="00183EFC" w:rsidRDefault="00183EFC" w:rsidP="00183EFC">
      <w:pPr>
        <w:pStyle w:val="PL"/>
      </w:pPr>
      <w:r>
        <w:t xml:space="preserve">        </w:t>
      </w:r>
      <w:r>
        <w:rPr>
          <w:rFonts w:hint="eastAsia"/>
          <w:lang w:eastAsia="zh-CN"/>
        </w:rPr>
        <w:t>t</w:t>
      </w:r>
      <w:r>
        <w:rPr>
          <w:lang w:eastAsia="zh-CN"/>
        </w:rPr>
        <w:t>rainFilter</w:t>
      </w:r>
      <w:r>
        <w:t>:</w:t>
      </w:r>
    </w:p>
    <w:p w14:paraId="182AE8FD" w14:textId="77777777" w:rsidR="00183EFC" w:rsidRDefault="00183EFC" w:rsidP="00183EFC">
      <w:pPr>
        <w:pStyle w:val="PL"/>
      </w:pPr>
      <w:r>
        <w:t xml:space="preserve">          $ref: 'TS29520_Nnwdaf_AnalyticsInfo.yaml#/components/schemas/EventFilter'</w:t>
      </w:r>
    </w:p>
    <w:p w14:paraId="4138FD83" w14:textId="77777777" w:rsidR="00183EFC" w:rsidRDefault="00183EFC" w:rsidP="00183EFC">
      <w:pPr>
        <w:pStyle w:val="PL"/>
      </w:pPr>
      <w:r>
        <w:t xml:space="preserve">        </w:t>
      </w:r>
      <w:r>
        <w:rPr>
          <w:rFonts w:hint="eastAsia"/>
          <w:lang w:eastAsia="zh-CN"/>
        </w:rPr>
        <w:t>i</w:t>
      </w:r>
      <w:r>
        <w:rPr>
          <w:lang w:eastAsia="zh-CN"/>
        </w:rPr>
        <w:t>ntermediateInfo</w:t>
      </w:r>
      <w:r>
        <w:t>:</w:t>
      </w:r>
    </w:p>
    <w:p w14:paraId="42626EFE" w14:textId="77777777" w:rsidR="00183EFC" w:rsidRDefault="00183EFC" w:rsidP="00183EFC">
      <w:pPr>
        <w:pStyle w:val="PL"/>
      </w:pPr>
      <w:r>
        <w:t xml:space="preserve">          $ref: '#/components/schemas/</w:t>
      </w:r>
      <w:r w:rsidRPr="002B48D8">
        <w:t>VflIntermed</w:t>
      </w:r>
      <w:r w:rsidRPr="002B48D8">
        <w:rPr>
          <w:rFonts w:hint="eastAsia"/>
        </w:rPr>
        <w:t>Train</w:t>
      </w:r>
      <w:r w:rsidRPr="002B48D8">
        <w:t>Info</w:t>
      </w:r>
      <w:r>
        <w:t>'</w:t>
      </w:r>
    </w:p>
    <w:p w14:paraId="5548EF66" w14:textId="77777777" w:rsidR="00183EFC" w:rsidRDefault="00183EFC" w:rsidP="00183EFC">
      <w:pPr>
        <w:pStyle w:val="PL"/>
      </w:pPr>
      <w:r>
        <w:t xml:space="preserve">        </w:t>
      </w:r>
      <w:r>
        <w:rPr>
          <w:rFonts w:hint="eastAsia"/>
          <w:lang w:eastAsia="zh-CN"/>
        </w:rPr>
        <w:t>c</w:t>
      </w:r>
      <w:r>
        <w:rPr>
          <w:lang w:eastAsia="zh-CN"/>
        </w:rPr>
        <w:t>hkFlg</w:t>
      </w:r>
      <w:r>
        <w:t>:</w:t>
      </w:r>
    </w:p>
    <w:p w14:paraId="6A14EFD3" w14:textId="77777777" w:rsidR="00183EFC" w:rsidRDefault="00183EFC" w:rsidP="00183EFC">
      <w:pPr>
        <w:pStyle w:val="PL"/>
      </w:pPr>
      <w:r>
        <w:t xml:space="preserve">          type: boolean</w:t>
      </w:r>
    </w:p>
    <w:p w14:paraId="40414E57" w14:textId="77777777" w:rsidR="00183EFC" w:rsidRDefault="00183EFC" w:rsidP="00183EFC">
      <w:pPr>
        <w:pStyle w:val="PL"/>
      </w:pPr>
      <w:r>
        <w:t xml:space="preserve">          description: &gt;</w:t>
      </w:r>
    </w:p>
    <w:p w14:paraId="24672D88" w14:textId="77777777" w:rsidR="00183EFC" w:rsidRDefault="00183EFC" w:rsidP="00183EFC">
      <w:pPr>
        <w:pStyle w:val="PL"/>
        <w:rPr>
          <w:lang w:eastAsia="ko-KR"/>
        </w:rPr>
      </w:pPr>
      <w:r>
        <w:t xml:space="preserve">            </w:t>
      </w:r>
      <w:r>
        <w:rPr>
          <w:lang w:eastAsia="ko-KR"/>
        </w:rPr>
        <w:t xml:space="preserve">Set to </w:t>
      </w:r>
      <w:r>
        <w:t>"</w:t>
      </w:r>
      <w:r>
        <w:rPr>
          <w:lang w:eastAsia="zh-CN"/>
        </w:rPr>
        <w:t>true</w:t>
      </w:r>
      <w:r>
        <w:t>"</w:t>
      </w:r>
      <w:r>
        <w:rPr>
          <w:lang w:eastAsia="zh-CN"/>
        </w:rPr>
        <w:t xml:space="preserve"> to indicate that</w:t>
      </w:r>
      <w:r>
        <w:t xml:space="preserve"> the</w:t>
      </w:r>
      <w:r>
        <w:rPr>
          <w:lang w:eastAsia="ko-KR"/>
        </w:rPr>
        <w:t xml:space="preserve"> ML model accuracy monitoring information is</w:t>
      </w:r>
    </w:p>
    <w:p w14:paraId="254A90A7" w14:textId="77777777" w:rsidR="00183EFC" w:rsidRDefault="00183EFC" w:rsidP="00183EFC">
      <w:pPr>
        <w:pStyle w:val="PL"/>
        <w:rPr>
          <w:lang w:eastAsia="zh-CN"/>
        </w:rPr>
      </w:pPr>
      <w:r>
        <w:t xml:space="preserve">           </w:t>
      </w:r>
      <w:r>
        <w:rPr>
          <w:lang w:eastAsia="ko-KR"/>
        </w:rPr>
        <w:t xml:space="preserve"> requested.The</w:t>
      </w:r>
      <w:r>
        <w:t xml:space="preserve"> default value is </w:t>
      </w:r>
      <w:r>
        <w:rPr>
          <w:rFonts w:cs="Arial"/>
          <w:szCs w:val="18"/>
          <w:lang w:eastAsia="zh-CN"/>
        </w:rPr>
        <w:t>"</w:t>
      </w:r>
      <w:r>
        <w:t>false</w:t>
      </w:r>
      <w:r>
        <w:rPr>
          <w:rFonts w:cs="Arial"/>
          <w:szCs w:val="18"/>
          <w:lang w:eastAsia="zh-CN"/>
        </w:rPr>
        <w:t>"</w:t>
      </w:r>
      <w:r>
        <w:t xml:space="preserve"> if omitted.</w:t>
      </w:r>
    </w:p>
    <w:p w14:paraId="389C0CC4" w14:textId="77777777" w:rsidR="00183EFC" w:rsidRDefault="00183EFC" w:rsidP="00183EFC">
      <w:pPr>
        <w:pStyle w:val="PL"/>
      </w:pPr>
      <w:r>
        <w:t xml:space="preserve">        </w:t>
      </w:r>
      <w:r>
        <w:rPr>
          <w:rFonts w:hint="eastAsia"/>
          <w:lang w:eastAsia="zh-CN"/>
        </w:rPr>
        <w:t>s</w:t>
      </w:r>
      <w:r>
        <w:rPr>
          <w:lang w:eastAsia="zh-CN"/>
        </w:rPr>
        <w:t>ampIds</w:t>
      </w:r>
      <w:r>
        <w:t>:</w:t>
      </w:r>
    </w:p>
    <w:p w14:paraId="55A29A96" w14:textId="77777777" w:rsidR="00183EFC" w:rsidRDefault="00183EFC" w:rsidP="00183EFC">
      <w:pPr>
        <w:pStyle w:val="PL"/>
      </w:pPr>
      <w:r>
        <w:t xml:space="preserve">          type: array</w:t>
      </w:r>
    </w:p>
    <w:p w14:paraId="5A114F19" w14:textId="77777777" w:rsidR="00183EFC" w:rsidRDefault="00183EFC" w:rsidP="00183EFC">
      <w:pPr>
        <w:pStyle w:val="PL"/>
      </w:pPr>
      <w:r>
        <w:t xml:space="preserve">          items:</w:t>
      </w:r>
    </w:p>
    <w:p w14:paraId="65144D6B" w14:textId="77777777" w:rsidR="00183EFC" w:rsidRDefault="00183EFC" w:rsidP="00183EFC">
      <w:pPr>
        <w:pStyle w:val="PL"/>
      </w:pPr>
      <w:r>
        <w:t xml:space="preserve">            $ref: 'TS29571_CommonData.yaml#/components/schemas/Supi'</w:t>
      </w:r>
    </w:p>
    <w:p w14:paraId="56EAEBD2" w14:textId="77777777" w:rsidR="00183EFC" w:rsidRDefault="00183EFC" w:rsidP="00183EFC">
      <w:pPr>
        <w:pStyle w:val="PL"/>
      </w:pPr>
      <w:r>
        <w:t xml:space="preserve">          minItems: 1</w:t>
      </w:r>
    </w:p>
    <w:p w14:paraId="0D65AAFD" w14:textId="77777777" w:rsidR="00183EFC" w:rsidRDefault="00183EFC" w:rsidP="00183EFC">
      <w:pPr>
        <w:pStyle w:val="PL"/>
      </w:pPr>
      <w:r>
        <w:t xml:space="preserve">          description: </w:t>
      </w:r>
      <w:r>
        <w:rPr>
          <w:rFonts w:cs="Arial"/>
          <w:szCs w:val="18"/>
        </w:rPr>
        <w:t>R</w:t>
      </w:r>
      <w:r>
        <w:t xml:space="preserve">epresents the </w:t>
      </w:r>
      <w:r>
        <w:rPr>
          <w:lang w:eastAsia="ko-KR"/>
        </w:rPr>
        <w:t xml:space="preserve">initial </w:t>
      </w:r>
      <w:r>
        <w:t>sample list provided by the VFL server.</w:t>
      </w:r>
    </w:p>
    <w:p w14:paraId="105D5B45" w14:textId="77777777" w:rsidR="00183EFC" w:rsidRDefault="00183EFC" w:rsidP="00183EFC">
      <w:pPr>
        <w:pStyle w:val="PL"/>
      </w:pPr>
      <w:r>
        <w:lastRenderedPageBreak/>
        <w:t xml:space="preserve">        </w:t>
      </w:r>
      <w:r>
        <w:rPr>
          <w:rFonts w:hint="eastAsia"/>
          <w:lang w:eastAsia="zh-CN"/>
        </w:rPr>
        <w:t>s</w:t>
      </w:r>
      <w:r>
        <w:rPr>
          <w:lang w:eastAsia="zh-CN"/>
        </w:rPr>
        <w:t>electedSampIds</w:t>
      </w:r>
      <w:r>
        <w:t>:</w:t>
      </w:r>
    </w:p>
    <w:p w14:paraId="688311BF" w14:textId="77777777" w:rsidR="00183EFC" w:rsidRDefault="00183EFC" w:rsidP="00183EFC">
      <w:pPr>
        <w:pStyle w:val="PL"/>
      </w:pPr>
      <w:r>
        <w:t xml:space="preserve">          type: array</w:t>
      </w:r>
    </w:p>
    <w:p w14:paraId="074CC89F" w14:textId="77777777" w:rsidR="00183EFC" w:rsidRDefault="00183EFC" w:rsidP="00183EFC">
      <w:pPr>
        <w:pStyle w:val="PL"/>
      </w:pPr>
      <w:r>
        <w:t xml:space="preserve">          items:</w:t>
      </w:r>
    </w:p>
    <w:p w14:paraId="27B93562" w14:textId="77777777" w:rsidR="00183EFC" w:rsidRDefault="00183EFC" w:rsidP="00183EFC">
      <w:pPr>
        <w:pStyle w:val="PL"/>
      </w:pPr>
      <w:r>
        <w:t xml:space="preserve">            $ref: 'TS29571_CommonData.yaml#/components/schemas/Supi'</w:t>
      </w:r>
    </w:p>
    <w:p w14:paraId="0741BE3B" w14:textId="77777777" w:rsidR="00183EFC" w:rsidRDefault="00183EFC" w:rsidP="00183EFC">
      <w:pPr>
        <w:pStyle w:val="PL"/>
      </w:pPr>
      <w:r>
        <w:t xml:space="preserve">          minItems: 1</w:t>
      </w:r>
    </w:p>
    <w:p w14:paraId="002B97CF" w14:textId="77777777" w:rsidR="00183EFC" w:rsidRDefault="00183EFC" w:rsidP="00183EFC">
      <w:pPr>
        <w:pStyle w:val="PL"/>
      </w:pPr>
      <w:r>
        <w:t xml:space="preserve">          description: </w:t>
      </w:r>
      <w:r>
        <w:rPr>
          <w:rFonts w:cs="Arial"/>
          <w:szCs w:val="18"/>
        </w:rPr>
        <w:t>R</w:t>
      </w:r>
      <w:r>
        <w:t xml:space="preserve">epresents the samples which are </w:t>
      </w:r>
      <w:r>
        <w:rPr>
          <w:rFonts w:hint="eastAsia"/>
          <w:lang w:eastAsia="zh-CN"/>
        </w:rPr>
        <w:t>s</w:t>
      </w:r>
      <w:r>
        <w:rPr>
          <w:lang w:eastAsia="zh-CN"/>
        </w:rPr>
        <w:t xml:space="preserve">elected </w:t>
      </w:r>
      <w:r>
        <w:rPr>
          <w:lang w:eastAsia="ko-KR"/>
        </w:rPr>
        <w:t>from the initial sample list</w:t>
      </w:r>
      <w:r>
        <w:t>.</w:t>
      </w:r>
    </w:p>
    <w:p w14:paraId="236B806C" w14:textId="77777777" w:rsidR="00183EFC" w:rsidRDefault="00183EFC" w:rsidP="00183EFC">
      <w:pPr>
        <w:pStyle w:val="PL"/>
      </w:pPr>
      <w:r>
        <w:t xml:space="preserve">        </w:t>
      </w:r>
      <w:r>
        <w:rPr>
          <w:rFonts w:hint="eastAsia"/>
          <w:lang w:eastAsia="zh-CN"/>
        </w:rPr>
        <w:t>c</w:t>
      </w:r>
      <w:r>
        <w:rPr>
          <w:lang w:eastAsia="zh-CN"/>
        </w:rPr>
        <w:t>hkPoint</w:t>
      </w:r>
      <w:r>
        <w:t>:</w:t>
      </w:r>
    </w:p>
    <w:p w14:paraId="6E2A66C1" w14:textId="77777777" w:rsidR="00183EFC" w:rsidRDefault="00183EFC" w:rsidP="00183EFC">
      <w:pPr>
        <w:pStyle w:val="PL"/>
        <w:rPr>
          <w:lang w:eastAsia="zh-CN"/>
        </w:rPr>
      </w:pPr>
      <w:r>
        <w:t xml:space="preserve">      </w:t>
      </w:r>
      <w:r>
        <w:rPr>
          <w:lang w:eastAsia="zh-CN"/>
        </w:rPr>
        <w:t xml:space="preserve">    $ref: '#/components/schemas/Vfl</w:t>
      </w:r>
      <w:r w:rsidRPr="002B48D8">
        <w:rPr>
          <w:lang w:eastAsia="zh-CN"/>
        </w:rPr>
        <w:t>CheckpointInfo</w:t>
      </w:r>
      <w:r>
        <w:rPr>
          <w:lang w:eastAsia="zh-CN"/>
        </w:rPr>
        <w:t>'</w:t>
      </w:r>
    </w:p>
    <w:p w14:paraId="6BB4F930" w14:textId="77777777" w:rsidR="00183EFC" w:rsidRDefault="00183EFC" w:rsidP="00183EFC">
      <w:pPr>
        <w:pStyle w:val="PL"/>
      </w:pPr>
      <w:r>
        <w:t xml:space="preserve">     </w:t>
      </w:r>
      <w:r>
        <w:rPr>
          <w:lang w:eastAsia="zh-CN"/>
        </w:rPr>
        <w:t xml:space="preserve">   </w:t>
      </w:r>
      <w:r w:rsidRPr="009343C3">
        <w:rPr>
          <w:lang w:eastAsia="zh-CN"/>
        </w:rPr>
        <w:t>vflFeatIds</w:t>
      </w:r>
      <w:r>
        <w:rPr>
          <w:lang w:eastAsia="zh-CN"/>
        </w:rPr>
        <w:t>:</w:t>
      </w:r>
    </w:p>
    <w:p w14:paraId="18C8A90A" w14:textId="77777777" w:rsidR="00183EFC" w:rsidRDefault="00183EFC" w:rsidP="00183EFC">
      <w:pPr>
        <w:pStyle w:val="PL"/>
      </w:pPr>
      <w:r>
        <w:t xml:space="preserve">          type: array</w:t>
      </w:r>
    </w:p>
    <w:p w14:paraId="6509AF2F" w14:textId="77777777" w:rsidR="00183EFC" w:rsidRDefault="00183EFC" w:rsidP="00183EFC">
      <w:pPr>
        <w:pStyle w:val="PL"/>
      </w:pPr>
      <w:r>
        <w:t xml:space="preserve">          items:</w:t>
      </w:r>
    </w:p>
    <w:p w14:paraId="3F929403" w14:textId="77777777" w:rsidR="00183EFC" w:rsidRDefault="00183EFC" w:rsidP="00183EFC">
      <w:pPr>
        <w:pStyle w:val="PL"/>
      </w:pPr>
      <w:r>
        <w:t xml:space="preserve">            </w:t>
      </w:r>
      <w:r>
        <w:rPr>
          <w:rFonts w:hint="eastAsia"/>
          <w:lang w:eastAsia="zh-CN"/>
        </w:rPr>
        <w:t>string</w:t>
      </w:r>
    </w:p>
    <w:p w14:paraId="75450D2E" w14:textId="77777777" w:rsidR="00183EFC" w:rsidRDefault="00183EFC" w:rsidP="00183EFC">
      <w:pPr>
        <w:pStyle w:val="PL"/>
      </w:pPr>
      <w:r>
        <w:t xml:space="preserve">          minItems: 1</w:t>
      </w:r>
    </w:p>
    <w:p w14:paraId="75179299" w14:textId="77777777" w:rsidR="00183EFC" w:rsidRDefault="00183EFC" w:rsidP="00183EFC">
      <w:pPr>
        <w:pStyle w:val="PL"/>
        <w:rPr>
          <w:lang w:eastAsia="zh-CN"/>
        </w:rPr>
      </w:pPr>
      <w:r>
        <w:rPr>
          <w:lang w:eastAsia="zh-CN"/>
        </w:rPr>
        <w:t xml:space="preserve">        </w:t>
      </w:r>
      <w:r w:rsidRPr="002B48D8">
        <w:rPr>
          <w:lang w:eastAsia="zh-CN"/>
        </w:rPr>
        <w:t>minNumSamples</w:t>
      </w:r>
      <w:r>
        <w:rPr>
          <w:lang w:eastAsia="zh-CN"/>
        </w:rPr>
        <w:t>:</w:t>
      </w:r>
    </w:p>
    <w:p w14:paraId="245FDF36" w14:textId="77777777" w:rsidR="00183EFC" w:rsidRDefault="00183EFC" w:rsidP="00183EFC">
      <w:pPr>
        <w:pStyle w:val="PL"/>
        <w:rPr>
          <w:lang w:eastAsia="zh-CN"/>
        </w:rPr>
      </w:pPr>
      <w:r>
        <w:rPr>
          <w:lang w:eastAsia="zh-CN"/>
        </w:rPr>
        <w:t xml:space="preserve">          $ref: 'TS29571_CommonData.yaml#/components/schemas/Uinteger'</w:t>
      </w:r>
    </w:p>
    <w:p w14:paraId="0D02D630" w14:textId="77777777" w:rsidR="00183EFC" w:rsidRDefault="00183EFC" w:rsidP="00183EFC">
      <w:pPr>
        <w:pStyle w:val="PL"/>
        <w:rPr>
          <w:lang w:eastAsia="zh-CN"/>
        </w:rPr>
      </w:pPr>
      <w:r>
        <w:rPr>
          <w:lang w:eastAsia="zh-CN"/>
        </w:rPr>
        <w:t xml:space="preserve">        </w:t>
      </w:r>
      <w:r w:rsidRPr="002B48D8">
        <w:rPr>
          <w:lang w:eastAsia="zh-CN"/>
        </w:rPr>
        <w:t>timeWindows</w:t>
      </w:r>
      <w:r>
        <w:rPr>
          <w:lang w:eastAsia="zh-CN"/>
        </w:rPr>
        <w:t>:</w:t>
      </w:r>
    </w:p>
    <w:p w14:paraId="40DFB26C" w14:textId="77777777" w:rsidR="00183EFC" w:rsidRDefault="00183EFC" w:rsidP="00183EFC">
      <w:pPr>
        <w:pStyle w:val="PL"/>
        <w:rPr>
          <w:lang w:eastAsia="zh-CN"/>
        </w:rPr>
      </w:pPr>
      <w:r>
        <w:rPr>
          <w:lang w:eastAsia="zh-CN"/>
        </w:rPr>
        <w:t xml:space="preserve">          type: array</w:t>
      </w:r>
    </w:p>
    <w:p w14:paraId="60CCC1E8" w14:textId="77777777" w:rsidR="00183EFC" w:rsidRDefault="00183EFC" w:rsidP="00183EFC">
      <w:pPr>
        <w:pStyle w:val="PL"/>
      </w:pPr>
      <w:r>
        <w:t xml:space="preserve">          items:</w:t>
      </w:r>
    </w:p>
    <w:p w14:paraId="2A37D7F8" w14:textId="77777777" w:rsidR="00183EFC" w:rsidRDefault="00183EFC" w:rsidP="00183EFC">
      <w:pPr>
        <w:pStyle w:val="PL"/>
      </w:pPr>
      <w:r>
        <w:t xml:space="preserve">            $ref: 'TS29122_CommonData.yaml#/components/schemas/TimeWindow'</w:t>
      </w:r>
    </w:p>
    <w:p w14:paraId="3B651425" w14:textId="77777777" w:rsidR="00183EFC" w:rsidRDefault="00183EFC" w:rsidP="00183EFC">
      <w:pPr>
        <w:pStyle w:val="PL"/>
      </w:pPr>
      <w:r>
        <w:t xml:space="preserve">          minItems: 1</w:t>
      </w:r>
    </w:p>
    <w:p w14:paraId="2FC29B1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57C5B945"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E32BEC">
        <w:rPr>
          <w:rFonts w:ascii="Courier New" w:hAnsi="Courier New"/>
          <w:sz w:val="16"/>
        </w:rPr>
        <w:t>event</w:t>
      </w:r>
    </w:p>
    <w:p w14:paraId="57617112" w14:textId="77777777" w:rsidR="00183EFC" w:rsidRPr="00E32BE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E32BEC">
        <w:rPr>
          <w:rFonts w:ascii="Courier New" w:hAnsi="Courier New"/>
          <w:sz w:val="16"/>
        </w:rPr>
        <w:t>vflCorrId</w:t>
      </w:r>
    </w:p>
    <w:p w14:paraId="503B93AF" w14:textId="77777777" w:rsidR="00183EFC" w:rsidRDefault="00183EFC" w:rsidP="00183EFC">
      <w:pPr>
        <w:pStyle w:val="PL"/>
      </w:pPr>
    </w:p>
    <w:p w14:paraId="189D79BE" w14:textId="77777777" w:rsidR="00183EFC" w:rsidRDefault="00183EFC" w:rsidP="00183EFC">
      <w:pPr>
        <w:pStyle w:val="PL"/>
        <w:rPr>
          <w:rFonts w:eastAsia="等线"/>
        </w:rPr>
      </w:pPr>
      <w:r>
        <w:t xml:space="preserve">    Vfl</w:t>
      </w:r>
      <w:r>
        <w:rPr>
          <w:rFonts w:eastAsia="等线"/>
        </w:rPr>
        <w:t>CheckpointInfo:</w:t>
      </w:r>
    </w:p>
    <w:p w14:paraId="6C542757" w14:textId="77777777" w:rsidR="00183EFC" w:rsidRDefault="00183EFC" w:rsidP="00183EFC">
      <w:pPr>
        <w:pStyle w:val="PL"/>
      </w:pPr>
      <w:r>
        <w:t xml:space="preserve">      description: Represents VFL Training check point information.</w:t>
      </w:r>
    </w:p>
    <w:p w14:paraId="73763315" w14:textId="77777777" w:rsidR="00183EFC" w:rsidRDefault="00183EFC" w:rsidP="00183EFC">
      <w:pPr>
        <w:pStyle w:val="PL"/>
      </w:pPr>
      <w:r>
        <w:t xml:space="preserve">      type: object</w:t>
      </w:r>
    </w:p>
    <w:p w14:paraId="18929DD9" w14:textId="77777777" w:rsidR="00183EFC" w:rsidRDefault="00183EFC" w:rsidP="00183EFC">
      <w:pPr>
        <w:pStyle w:val="PL"/>
      </w:pPr>
      <w:r>
        <w:t xml:space="preserve">      properties:</w:t>
      </w:r>
    </w:p>
    <w:p w14:paraId="4BBE52FE" w14:textId="77777777" w:rsidR="00183EFC" w:rsidRDefault="00183EFC" w:rsidP="00183EFC">
      <w:pPr>
        <w:pStyle w:val="PL"/>
      </w:pPr>
      <w:r>
        <w:t xml:space="preserve">        save</w:t>
      </w:r>
      <w:r w:rsidRPr="007B198E">
        <w:t>Checkpoint</w:t>
      </w:r>
      <w:r>
        <w:t>:</w:t>
      </w:r>
    </w:p>
    <w:p w14:paraId="5F82A6D9" w14:textId="77777777" w:rsidR="00183EFC" w:rsidRDefault="00183EFC" w:rsidP="00183EFC">
      <w:pPr>
        <w:pStyle w:val="PL"/>
      </w:pPr>
      <w:r>
        <w:t xml:space="preserve">          $ref: 'TS29571_CommonData.yaml#/components/schemas/DateTime'</w:t>
      </w:r>
    </w:p>
    <w:p w14:paraId="3247C519" w14:textId="77777777" w:rsidR="00183EFC" w:rsidRDefault="00183EFC" w:rsidP="00183EFC">
      <w:pPr>
        <w:pStyle w:val="PL"/>
      </w:pPr>
      <w:r>
        <w:t xml:space="preserve">        resRoundInd:</w:t>
      </w:r>
    </w:p>
    <w:p w14:paraId="06612A00" w14:textId="77777777" w:rsidR="00183EFC" w:rsidRDefault="00183EFC" w:rsidP="00183EFC">
      <w:pPr>
        <w:pStyle w:val="PL"/>
        <w:rPr>
          <w:lang w:eastAsia="zh-CN"/>
        </w:rPr>
      </w:pPr>
      <w:r>
        <w:rPr>
          <w:lang w:eastAsia="zh-CN"/>
        </w:rPr>
        <w:t xml:space="preserve">          $ref: 'TS29571_CommonData.yaml#/components/schemas/Uinteger'</w:t>
      </w:r>
    </w:p>
    <w:p w14:paraId="5894F447" w14:textId="77777777" w:rsidR="00183EFC" w:rsidRDefault="00183EFC" w:rsidP="00183EFC">
      <w:pPr>
        <w:pStyle w:val="PL"/>
      </w:pPr>
      <w:r>
        <w:t xml:space="preserve">      oneOf:</w:t>
      </w:r>
    </w:p>
    <w:p w14:paraId="656C1D0F" w14:textId="77777777" w:rsidR="00183EFC" w:rsidRDefault="00183EFC" w:rsidP="00183EFC">
      <w:pPr>
        <w:pStyle w:val="PL"/>
      </w:pPr>
      <w:r>
        <w:t xml:space="preserve">        - required: [save</w:t>
      </w:r>
      <w:r w:rsidRPr="007B198E">
        <w:t>Checkpoint</w:t>
      </w:r>
      <w:r>
        <w:t>]</w:t>
      </w:r>
    </w:p>
    <w:p w14:paraId="7FA3BD69" w14:textId="77777777" w:rsidR="00183EFC" w:rsidRDefault="00183EFC" w:rsidP="00183EFC">
      <w:pPr>
        <w:pStyle w:val="PL"/>
      </w:pPr>
      <w:r>
        <w:t xml:space="preserve">        - required: [resRoundInd]</w:t>
      </w:r>
    </w:p>
    <w:p w14:paraId="47A653BD" w14:textId="77777777" w:rsidR="00183EFC" w:rsidRDefault="00183EFC" w:rsidP="00183EFC">
      <w:pPr>
        <w:pStyle w:val="PL"/>
      </w:pPr>
    </w:p>
    <w:p w14:paraId="52E75765" w14:textId="77777777" w:rsidR="00183EFC" w:rsidRPr="001031AC" w:rsidRDefault="00183EFC" w:rsidP="00183EFC">
      <w:pPr>
        <w:pStyle w:val="PL"/>
      </w:pPr>
      <w:r>
        <w:t xml:space="preserve">    </w:t>
      </w:r>
      <w:r w:rsidRPr="001031AC">
        <w:t>VflInteropInfo:</w:t>
      </w:r>
    </w:p>
    <w:p w14:paraId="1010A073" w14:textId="77777777" w:rsidR="00183EFC" w:rsidRDefault="00183EFC" w:rsidP="00183EFC">
      <w:pPr>
        <w:pStyle w:val="PL"/>
      </w:pPr>
      <w:r>
        <w:t xml:space="preserve">      description: Represents VFL </w:t>
      </w:r>
      <w:r>
        <w:rPr>
          <w:rFonts w:hint="eastAsia"/>
        </w:rPr>
        <w:t>interoperability</w:t>
      </w:r>
      <w:r>
        <w:t xml:space="preserve"> information.</w:t>
      </w:r>
    </w:p>
    <w:p w14:paraId="68E81EB0" w14:textId="77777777" w:rsidR="00183EFC" w:rsidRDefault="00183EFC" w:rsidP="00183EFC">
      <w:pPr>
        <w:pStyle w:val="PL"/>
      </w:pPr>
      <w:r>
        <w:t xml:space="preserve">      type: object</w:t>
      </w:r>
    </w:p>
    <w:p w14:paraId="2BEE27A5" w14:textId="77777777" w:rsidR="00183EFC" w:rsidRDefault="00183EFC" w:rsidP="00183EFC">
      <w:pPr>
        <w:pStyle w:val="PL"/>
      </w:pPr>
      <w:r>
        <w:t xml:space="preserve">      properties:</w:t>
      </w:r>
    </w:p>
    <w:p w14:paraId="6A73B962" w14:textId="77777777" w:rsidR="00183EFC" w:rsidRDefault="00183EFC" w:rsidP="00183EFC">
      <w:pPr>
        <w:pStyle w:val="PL"/>
      </w:pPr>
      <w:r>
        <w:t xml:space="preserve">        </w:t>
      </w:r>
      <w:r w:rsidRPr="001031AC">
        <w:t>interopInfo</w:t>
      </w:r>
      <w:r>
        <w:t>:</w:t>
      </w:r>
    </w:p>
    <w:p w14:paraId="749BD9A3" w14:textId="77777777" w:rsidR="00183EFC" w:rsidRDefault="00183EFC" w:rsidP="00183EFC">
      <w:pPr>
        <w:pStyle w:val="PL"/>
      </w:pPr>
      <w:r>
        <w:t xml:space="preserve">          type: array</w:t>
      </w:r>
    </w:p>
    <w:p w14:paraId="19F937C8" w14:textId="77777777" w:rsidR="00183EFC" w:rsidRDefault="00183EFC" w:rsidP="00183EFC">
      <w:pPr>
        <w:pStyle w:val="PL"/>
      </w:pPr>
      <w:r>
        <w:t xml:space="preserve">          items:</w:t>
      </w:r>
    </w:p>
    <w:p w14:paraId="08DDA6FC" w14:textId="77777777" w:rsidR="00183EFC" w:rsidRDefault="00183EFC" w:rsidP="00183EFC">
      <w:pPr>
        <w:pStyle w:val="PL"/>
      </w:pPr>
      <w:r>
        <w:t xml:space="preserve">            </w:t>
      </w:r>
      <w:r>
        <w:rPr>
          <w:rFonts w:hint="eastAsia"/>
          <w:lang w:eastAsia="zh-CN"/>
        </w:rPr>
        <w:t>string</w:t>
      </w:r>
    </w:p>
    <w:p w14:paraId="3A5BD548" w14:textId="77777777" w:rsidR="00183EFC" w:rsidRDefault="00183EFC" w:rsidP="00183EFC">
      <w:pPr>
        <w:pStyle w:val="PL"/>
      </w:pPr>
      <w:r>
        <w:t xml:space="preserve">          minItems: 1</w:t>
      </w:r>
    </w:p>
    <w:p w14:paraId="70120CC9" w14:textId="77777777" w:rsidR="00183EFC" w:rsidRDefault="00183EFC" w:rsidP="00183EFC">
      <w:pPr>
        <w:pStyle w:val="PL"/>
      </w:pPr>
      <w:r>
        <w:t xml:space="preserve">      required:</w:t>
      </w:r>
    </w:p>
    <w:p w14:paraId="7F816EDB" w14:textId="77777777" w:rsidR="00183EFC" w:rsidRDefault="00183EFC" w:rsidP="00183EFC">
      <w:pPr>
        <w:pStyle w:val="PL"/>
      </w:pPr>
      <w:r>
        <w:t xml:space="preserve">        - </w:t>
      </w:r>
      <w:r w:rsidRPr="001031AC">
        <w:t>interopInfo</w:t>
      </w:r>
    </w:p>
    <w:p w14:paraId="2386C0DF" w14:textId="77777777" w:rsidR="00183EFC" w:rsidRPr="001031AC" w:rsidRDefault="00183EFC" w:rsidP="00183EFC">
      <w:pPr>
        <w:pStyle w:val="PL"/>
      </w:pPr>
    </w:p>
    <w:p w14:paraId="03A1E17D" w14:textId="77777777" w:rsidR="00183EFC" w:rsidRDefault="00183EFC" w:rsidP="00183EFC">
      <w:pPr>
        <w:pStyle w:val="PL"/>
        <w:rPr>
          <w:rFonts w:eastAsia="等线"/>
        </w:rPr>
      </w:pPr>
      <w:r>
        <w:t xml:space="preserve">    VflTrainingNotify</w:t>
      </w:r>
      <w:r>
        <w:rPr>
          <w:rFonts w:eastAsia="等线"/>
        </w:rPr>
        <w:t>:</w:t>
      </w:r>
    </w:p>
    <w:p w14:paraId="74542DE8" w14:textId="77777777" w:rsidR="00183EFC" w:rsidRDefault="00183EFC" w:rsidP="00183EFC">
      <w:pPr>
        <w:pStyle w:val="PL"/>
      </w:pPr>
      <w:r>
        <w:t xml:space="preserve">      description: Represents a ML Model Training notification.</w:t>
      </w:r>
    </w:p>
    <w:p w14:paraId="5C7211A5" w14:textId="77777777" w:rsidR="00183EFC" w:rsidRDefault="00183EFC" w:rsidP="00183EFC">
      <w:pPr>
        <w:pStyle w:val="PL"/>
      </w:pPr>
      <w:r>
        <w:t xml:space="preserve">      type: object</w:t>
      </w:r>
    </w:p>
    <w:p w14:paraId="1F1BC43B" w14:textId="77777777" w:rsidR="00183EFC" w:rsidRDefault="00183EFC" w:rsidP="00183EFC">
      <w:pPr>
        <w:pStyle w:val="PL"/>
      </w:pPr>
      <w:r>
        <w:t xml:space="preserve">      properties:</w:t>
      </w:r>
    </w:p>
    <w:p w14:paraId="0743C462" w14:textId="77777777" w:rsidR="00183EFC" w:rsidRDefault="00183EFC" w:rsidP="00183EFC">
      <w:pPr>
        <w:pStyle w:val="PL"/>
      </w:pPr>
      <w:r>
        <w:t xml:space="preserve">        </w:t>
      </w:r>
      <w:r>
        <w:rPr>
          <w:lang w:eastAsia="zh-CN"/>
        </w:rPr>
        <w:t>notifCorrId</w:t>
      </w:r>
      <w:r>
        <w:t>:</w:t>
      </w:r>
    </w:p>
    <w:p w14:paraId="4DD198E0" w14:textId="77777777" w:rsidR="00183EFC" w:rsidRDefault="00183EFC" w:rsidP="00183EFC">
      <w:pPr>
        <w:pStyle w:val="PL"/>
      </w:pPr>
      <w:r>
        <w:t xml:space="preserve">          type: string</w:t>
      </w:r>
    </w:p>
    <w:p w14:paraId="7CE2A8D5" w14:textId="77777777" w:rsidR="00183EFC" w:rsidRDefault="00183EFC" w:rsidP="00183EFC">
      <w:pPr>
        <w:pStyle w:val="PL"/>
      </w:pPr>
      <w:r>
        <w:t xml:space="preserve">          description: </w:t>
      </w:r>
      <w:r w:rsidRPr="00F766E8">
        <w:t>Notification correlation identifier</w:t>
      </w:r>
      <w:r>
        <w:t>.</w:t>
      </w:r>
    </w:p>
    <w:p w14:paraId="1E73DCF5" w14:textId="77777777" w:rsidR="00183EFC" w:rsidRDefault="00183EFC" w:rsidP="00183EFC">
      <w:pPr>
        <w:pStyle w:val="PL"/>
      </w:pPr>
      <w:r>
        <w:t xml:space="preserve">        </w:t>
      </w:r>
      <w:r>
        <w:rPr>
          <w:rFonts w:hint="eastAsia"/>
          <w:lang w:eastAsia="zh-CN"/>
        </w:rPr>
        <w:t>i</w:t>
      </w:r>
      <w:r>
        <w:rPr>
          <w:lang w:eastAsia="zh-CN"/>
        </w:rPr>
        <w:t>ntermediateInfo</w:t>
      </w:r>
      <w:r>
        <w:t>:</w:t>
      </w:r>
    </w:p>
    <w:p w14:paraId="5DF053EE" w14:textId="77777777" w:rsidR="00183EFC" w:rsidRDefault="00183EFC" w:rsidP="00183EFC">
      <w:pPr>
        <w:pStyle w:val="PL"/>
      </w:pPr>
      <w:r>
        <w:t xml:space="preserve">          $ref: '#/components/schemas/</w:t>
      </w:r>
      <w:r w:rsidRPr="002B48D8">
        <w:t>VflIntermed</w:t>
      </w:r>
      <w:r w:rsidRPr="002B48D8">
        <w:rPr>
          <w:rFonts w:hint="eastAsia"/>
        </w:rPr>
        <w:t>Train</w:t>
      </w:r>
      <w:r w:rsidRPr="002B48D8">
        <w:t>Info</w:t>
      </w:r>
      <w:r>
        <w:t>'</w:t>
      </w:r>
    </w:p>
    <w:p w14:paraId="67D0C2C0"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 xml:space="preserve">        </w:t>
      </w:r>
      <w:r w:rsidRPr="006F06AF">
        <w:rPr>
          <w:rFonts w:ascii="Courier New" w:hAnsi="Courier New"/>
          <w:noProof/>
          <w:sz w:val="16"/>
          <w:lang w:eastAsia="zh-CN"/>
        </w:rPr>
        <w:t>modelMetric</w:t>
      </w:r>
      <w:r>
        <w:rPr>
          <w:rFonts w:ascii="Courier New" w:hAnsi="Courier New"/>
          <w:noProof/>
          <w:sz w:val="16"/>
          <w:lang w:eastAsia="zh-CN"/>
        </w:rPr>
        <w:t>:</w:t>
      </w:r>
    </w:p>
    <w:p w14:paraId="4ECC322A"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 xml:space="preserve">          $ref: 'TS29520_Nnwdaf_MLModelProvision.yaml#/components/schemas/MLModelMetric'</w:t>
      </w:r>
    </w:p>
    <w:p w14:paraId="0AAD5D1D"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 xml:space="preserve">        </w:t>
      </w:r>
      <w:r w:rsidRPr="006F06AF">
        <w:rPr>
          <w:rFonts w:ascii="Courier New" w:hAnsi="Courier New"/>
          <w:noProof/>
          <w:sz w:val="16"/>
          <w:lang w:eastAsia="zh-CN"/>
        </w:rPr>
        <w:t>accMlModel</w:t>
      </w:r>
      <w:r>
        <w:rPr>
          <w:rFonts w:ascii="Courier New" w:hAnsi="Courier New"/>
          <w:noProof/>
          <w:sz w:val="16"/>
          <w:lang w:eastAsia="zh-CN"/>
        </w:rPr>
        <w:t>:</w:t>
      </w:r>
    </w:p>
    <w:p w14:paraId="37D9CB92" w14:textId="77777777" w:rsidR="00183EFC" w:rsidRDefault="00183EFC" w:rsidP="00183EFC">
      <w:pPr>
        <w:pStyle w:val="PL"/>
        <w:rPr>
          <w:lang w:eastAsia="zh-CN"/>
        </w:rPr>
      </w:pPr>
      <w:r>
        <w:rPr>
          <w:lang w:eastAsia="zh-CN"/>
        </w:rPr>
        <w:t xml:space="preserve">          $ref: 'TS29571_CommonData.yaml#/components/schemas/Uinteger'</w:t>
      </w:r>
    </w:p>
    <w:p w14:paraId="3963760F"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37B4E502" w14:textId="77777777" w:rsidR="00183EFC" w:rsidRDefault="00183EFC" w:rsidP="00183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 </w:t>
      </w:r>
      <w:r w:rsidRPr="008F676E">
        <w:rPr>
          <w:rFonts w:ascii="Courier New" w:hAnsi="Courier New"/>
          <w:sz w:val="16"/>
        </w:rPr>
        <w:t>notifCorrId</w:t>
      </w:r>
    </w:p>
    <w:p w14:paraId="0F5CD45E" w14:textId="77777777" w:rsidR="003513BE" w:rsidRDefault="003513BE" w:rsidP="003513BE">
      <w:pPr>
        <w:keepNext/>
        <w:keepLines/>
        <w:pBdr>
          <w:top w:val="single" w:sz="12" w:space="3" w:color="auto"/>
        </w:pBdr>
        <w:spacing w:before="240"/>
        <w:ind w:left="1134" w:hanging="1134"/>
        <w:outlineLvl w:val="0"/>
        <w:rPr>
          <w:rFonts w:ascii="Arial" w:hAnsi="Arial"/>
          <w:sz w:val="36"/>
          <w:lang w:val="en-US" w:eastAsia="zh-CN"/>
        </w:rPr>
      </w:pPr>
      <w:r>
        <w:rPr>
          <w:rFonts w:ascii="Arial" w:hAnsi="Arial"/>
          <w:sz w:val="36"/>
        </w:rPr>
        <w:t>A.11</w:t>
      </w:r>
      <w:r>
        <w:rPr>
          <w:rFonts w:ascii="Arial" w:hAnsi="Arial"/>
          <w:sz w:val="36"/>
        </w:rPr>
        <w:tab/>
      </w:r>
      <w:r>
        <w:rPr>
          <w:rFonts w:ascii="Arial" w:hAnsi="Arial"/>
          <w:sz w:val="36"/>
          <w:lang w:val="en-US" w:eastAsia="zh-CN"/>
        </w:rPr>
        <w:t>Nnwdaf_VFLInference API</w:t>
      </w:r>
    </w:p>
    <w:p w14:paraId="774BC694" w14:textId="77777777" w:rsidR="003513BE" w:rsidRPr="0008502E" w:rsidRDefault="003513BE" w:rsidP="003513BE">
      <w:pPr>
        <w:pStyle w:val="PL"/>
        <w:rPr>
          <w:lang w:val="en-US"/>
        </w:rPr>
      </w:pPr>
      <w:r w:rsidRPr="0008502E">
        <w:rPr>
          <w:lang w:val="en-US"/>
        </w:rPr>
        <w:t>openapi: 3.0.0</w:t>
      </w:r>
    </w:p>
    <w:p w14:paraId="310E10F4" w14:textId="77777777" w:rsidR="003513BE" w:rsidRPr="0008502E" w:rsidRDefault="003513BE" w:rsidP="003513BE">
      <w:pPr>
        <w:pStyle w:val="PL"/>
        <w:rPr>
          <w:lang w:val="en-US"/>
        </w:rPr>
      </w:pPr>
    </w:p>
    <w:p w14:paraId="03AD3DC8" w14:textId="77777777" w:rsidR="003513BE" w:rsidRPr="0008502E" w:rsidRDefault="003513BE" w:rsidP="003513BE">
      <w:pPr>
        <w:pStyle w:val="PL"/>
        <w:rPr>
          <w:lang w:val="en-US"/>
        </w:rPr>
      </w:pPr>
      <w:r w:rsidRPr="0008502E">
        <w:rPr>
          <w:lang w:val="en-US"/>
        </w:rPr>
        <w:t>info:</w:t>
      </w:r>
    </w:p>
    <w:p w14:paraId="2827CCAB" w14:textId="77777777" w:rsidR="003513BE" w:rsidRPr="0008502E" w:rsidRDefault="003513BE" w:rsidP="003513BE">
      <w:pPr>
        <w:pStyle w:val="PL"/>
        <w:rPr>
          <w:lang w:val="en-US"/>
        </w:rPr>
      </w:pPr>
      <w:r w:rsidRPr="0008502E">
        <w:rPr>
          <w:lang w:val="en-US"/>
        </w:rPr>
        <w:t xml:space="preserve">  title: Nnwdaf_VFLInference</w:t>
      </w:r>
    </w:p>
    <w:p w14:paraId="19E379A4" w14:textId="77777777" w:rsidR="003513BE" w:rsidRPr="0008502E" w:rsidRDefault="003513BE" w:rsidP="003513BE">
      <w:pPr>
        <w:pStyle w:val="PL"/>
        <w:rPr>
          <w:lang w:val="en-US"/>
        </w:rPr>
      </w:pPr>
      <w:r w:rsidRPr="0008502E">
        <w:rPr>
          <w:lang w:val="en-US"/>
        </w:rPr>
        <w:t xml:space="preserve">  version: 1.0.0-alpha.1</w:t>
      </w:r>
    </w:p>
    <w:p w14:paraId="46BE40ED" w14:textId="77777777" w:rsidR="003513BE" w:rsidRPr="0008502E" w:rsidRDefault="003513BE" w:rsidP="003513BE">
      <w:pPr>
        <w:pStyle w:val="PL"/>
        <w:rPr>
          <w:lang w:val="en-US"/>
        </w:rPr>
      </w:pPr>
      <w:r w:rsidRPr="0008502E">
        <w:rPr>
          <w:lang w:val="en-US"/>
        </w:rPr>
        <w:t xml:space="preserve">  description: |</w:t>
      </w:r>
    </w:p>
    <w:p w14:paraId="0BCD8E5B" w14:textId="77777777" w:rsidR="003513BE" w:rsidRPr="0008502E" w:rsidRDefault="003513BE" w:rsidP="003513BE">
      <w:pPr>
        <w:pStyle w:val="PL"/>
        <w:rPr>
          <w:lang w:val="en-US"/>
        </w:rPr>
      </w:pPr>
      <w:r w:rsidRPr="0008502E">
        <w:rPr>
          <w:lang w:val="en-US"/>
        </w:rPr>
        <w:t xml:space="preserve">    Nnwdaf_VflInference API Service.  </w:t>
      </w:r>
    </w:p>
    <w:p w14:paraId="67DAECC2" w14:textId="77777777" w:rsidR="003513BE" w:rsidRPr="0008502E" w:rsidRDefault="003513BE" w:rsidP="003513BE">
      <w:pPr>
        <w:pStyle w:val="PL"/>
        <w:rPr>
          <w:lang w:val="en-US"/>
        </w:rPr>
      </w:pPr>
      <w:r w:rsidRPr="0008502E">
        <w:rPr>
          <w:lang w:val="en-US"/>
        </w:rPr>
        <w:t xml:space="preserve">    © 2025, 3GPP Organizational Partners (ARIB, ATIS, CCSA, ETSI, TSDSI, TTA, TTC).  </w:t>
      </w:r>
    </w:p>
    <w:p w14:paraId="54B9B50D" w14:textId="77777777" w:rsidR="003513BE" w:rsidRPr="0008502E" w:rsidRDefault="003513BE" w:rsidP="003513BE">
      <w:pPr>
        <w:pStyle w:val="PL"/>
        <w:rPr>
          <w:lang w:val="en-US"/>
        </w:rPr>
      </w:pPr>
      <w:r w:rsidRPr="0008502E">
        <w:rPr>
          <w:lang w:val="en-US"/>
        </w:rPr>
        <w:t xml:space="preserve">    All rights reserved.</w:t>
      </w:r>
    </w:p>
    <w:p w14:paraId="7363A71C" w14:textId="77777777" w:rsidR="003513BE" w:rsidRPr="0008502E" w:rsidRDefault="003513BE" w:rsidP="003513BE">
      <w:pPr>
        <w:pStyle w:val="PL"/>
        <w:rPr>
          <w:lang w:val="en-US"/>
        </w:rPr>
      </w:pPr>
    </w:p>
    <w:p w14:paraId="510ED2E2" w14:textId="77777777" w:rsidR="003513BE" w:rsidRPr="0008502E" w:rsidRDefault="003513BE" w:rsidP="003513BE">
      <w:pPr>
        <w:pStyle w:val="PL"/>
        <w:rPr>
          <w:lang w:val="en-US"/>
        </w:rPr>
      </w:pPr>
      <w:r w:rsidRPr="0008502E">
        <w:rPr>
          <w:lang w:val="en-US"/>
        </w:rPr>
        <w:lastRenderedPageBreak/>
        <w:t>externalDocs:</w:t>
      </w:r>
    </w:p>
    <w:p w14:paraId="40BD0FBA" w14:textId="77777777" w:rsidR="003513BE" w:rsidRPr="0008502E" w:rsidRDefault="003513BE" w:rsidP="003513BE">
      <w:pPr>
        <w:pStyle w:val="PL"/>
        <w:rPr>
          <w:lang w:val="en-US"/>
        </w:rPr>
      </w:pPr>
      <w:r w:rsidRPr="0008502E">
        <w:rPr>
          <w:lang w:val="en-US"/>
        </w:rPr>
        <w:t xml:space="preserve">  description: 3GPP TS 29.520 V19.3.0; 5G System; Network Data Analytics Services.</w:t>
      </w:r>
    </w:p>
    <w:p w14:paraId="3011346E" w14:textId="77777777" w:rsidR="003513BE" w:rsidRPr="0008502E" w:rsidRDefault="003513BE" w:rsidP="003513BE">
      <w:pPr>
        <w:pStyle w:val="PL"/>
        <w:rPr>
          <w:lang w:val="en-US"/>
        </w:rPr>
      </w:pPr>
      <w:r w:rsidRPr="0008502E">
        <w:rPr>
          <w:lang w:val="en-US"/>
        </w:rPr>
        <w:t xml:space="preserve">  url: https://www.3gpp.org/ftp/Specs/archive/29_series/29.520/</w:t>
      </w:r>
    </w:p>
    <w:p w14:paraId="1F151BFB" w14:textId="77777777" w:rsidR="003513BE" w:rsidRPr="0008502E" w:rsidRDefault="003513BE" w:rsidP="003513BE">
      <w:pPr>
        <w:pStyle w:val="PL"/>
        <w:rPr>
          <w:lang w:val="en-US"/>
        </w:rPr>
      </w:pPr>
    </w:p>
    <w:p w14:paraId="07DF329F" w14:textId="77777777" w:rsidR="003513BE" w:rsidRPr="0008502E" w:rsidRDefault="003513BE" w:rsidP="003513BE">
      <w:pPr>
        <w:pStyle w:val="PL"/>
        <w:rPr>
          <w:lang w:val="en-US"/>
        </w:rPr>
      </w:pPr>
      <w:r w:rsidRPr="0008502E">
        <w:rPr>
          <w:lang w:val="en-US"/>
        </w:rPr>
        <w:t>servers:</w:t>
      </w:r>
    </w:p>
    <w:p w14:paraId="18A5A75A" w14:textId="77777777" w:rsidR="003513BE" w:rsidRPr="0008502E" w:rsidRDefault="003513BE" w:rsidP="003513BE">
      <w:pPr>
        <w:pStyle w:val="PL"/>
        <w:rPr>
          <w:lang w:val="en-US"/>
        </w:rPr>
      </w:pPr>
      <w:r w:rsidRPr="0008502E">
        <w:rPr>
          <w:lang w:val="en-US"/>
        </w:rPr>
        <w:t xml:space="preserve">  - url: '{apiRoot}/nnwdaf-vflinference/v1'</w:t>
      </w:r>
    </w:p>
    <w:p w14:paraId="2611D3E8" w14:textId="77777777" w:rsidR="003513BE" w:rsidRPr="0008502E" w:rsidRDefault="003513BE" w:rsidP="003513BE">
      <w:pPr>
        <w:pStyle w:val="PL"/>
        <w:rPr>
          <w:lang w:val="en-US"/>
        </w:rPr>
      </w:pPr>
      <w:r w:rsidRPr="0008502E">
        <w:rPr>
          <w:lang w:val="en-US"/>
        </w:rPr>
        <w:t xml:space="preserve">    variables:</w:t>
      </w:r>
    </w:p>
    <w:p w14:paraId="14FB2534" w14:textId="77777777" w:rsidR="003513BE" w:rsidRPr="0008502E" w:rsidRDefault="003513BE" w:rsidP="003513BE">
      <w:pPr>
        <w:pStyle w:val="PL"/>
        <w:rPr>
          <w:lang w:val="en-US"/>
        </w:rPr>
      </w:pPr>
      <w:r w:rsidRPr="0008502E">
        <w:rPr>
          <w:lang w:val="en-US"/>
        </w:rPr>
        <w:t xml:space="preserve">      apiRoot:</w:t>
      </w:r>
    </w:p>
    <w:p w14:paraId="01CEFF08" w14:textId="77777777" w:rsidR="003513BE" w:rsidRPr="0008502E" w:rsidRDefault="003513BE" w:rsidP="003513BE">
      <w:pPr>
        <w:pStyle w:val="PL"/>
        <w:rPr>
          <w:lang w:val="en-US"/>
        </w:rPr>
      </w:pPr>
      <w:r w:rsidRPr="0008502E">
        <w:rPr>
          <w:lang w:val="en-US"/>
        </w:rPr>
        <w:t xml:space="preserve">        default: https://example.com</w:t>
      </w:r>
    </w:p>
    <w:p w14:paraId="7D1A7FCA" w14:textId="77777777" w:rsidR="003513BE" w:rsidRPr="0008502E" w:rsidRDefault="003513BE" w:rsidP="003513BE">
      <w:pPr>
        <w:pStyle w:val="PL"/>
        <w:rPr>
          <w:lang w:val="en-US"/>
        </w:rPr>
      </w:pPr>
      <w:r w:rsidRPr="0008502E">
        <w:rPr>
          <w:lang w:val="en-US"/>
        </w:rPr>
        <w:t xml:space="preserve">        description: apiRoot as defined in clause 4.4 of 3GPP TS 29.501</w:t>
      </w:r>
    </w:p>
    <w:p w14:paraId="7CA556D3" w14:textId="77777777" w:rsidR="003513BE" w:rsidRPr="0008502E" w:rsidRDefault="003513BE" w:rsidP="003513BE">
      <w:pPr>
        <w:pStyle w:val="PL"/>
        <w:rPr>
          <w:lang w:val="en-US"/>
        </w:rPr>
      </w:pPr>
    </w:p>
    <w:p w14:paraId="6E00E9E4" w14:textId="77777777" w:rsidR="003513BE" w:rsidRPr="0008502E" w:rsidRDefault="003513BE" w:rsidP="003513BE">
      <w:pPr>
        <w:pStyle w:val="PL"/>
        <w:rPr>
          <w:lang w:val="en-US"/>
        </w:rPr>
      </w:pPr>
      <w:r w:rsidRPr="0008502E">
        <w:rPr>
          <w:lang w:val="en-US"/>
        </w:rPr>
        <w:t>security:</w:t>
      </w:r>
    </w:p>
    <w:p w14:paraId="3419B8CE" w14:textId="77777777" w:rsidR="003513BE" w:rsidRPr="0008502E" w:rsidRDefault="003513BE" w:rsidP="003513BE">
      <w:pPr>
        <w:pStyle w:val="PL"/>
        <w:rPr>
          <w:lang w:val="en-US"/>
        </w:rPr>
      </w:pPr>
      <w:r w:rsidRPr="0008502E">
        <w:rPr>
          <w:lang w:val="en-US"/>
        </w:rPr>
        <w:t xml:space="preserve">  - {}</w:t>
      </w:r>
    </w:p>
    <w:p w14:paraId="59D37CBE" w14:textId="77777777" w:rsidR="003513BE" w:rsidRPr="0008502E" w:rsidRDefault="003513BE" w:rsidP="003513BE">
      <w:pPr>
        <w:pStyle w:val="PL"/>
        <w:rPr>
          <w:lang w:val="en-US"/>
        </w:rPr>
      </w:pPr>
      <w:r w:rsidRPr="0008502E">
        <w:rPr>
          <w:lang w:val="en-US"/>
        </w:rPr>
        <w:t xml:space="preserve">  - oAuth2ClientCredentials:</w:t>
      </w:r>
    </w:p>
    <w:p w14:paraId="216570EC" w14:textId="77777777" w:rsidR="003513BE" w:rsidRPr="0008502E" w:rsidRDefault="003513BE" w:rsidP="003513BE">
      <w:pPr>
        <w:pStyle w:val="PL"/>
        <w:rPr>
          <w:lang w:val="en-US"/>
        </w:rPr>
      </w:pPr>
      <w:r w:rsidRPr="0008502E">
        <w:rPr>
          <w:lang w:val="en-US"/>
        </w:rPr>
        <w:t xml:space="preserve">    - nnwdaf-vflinference</w:t>
      </w:r>
    </w:p>
    <w:p w14:paraId="4BA9D6CA" w14:textId="77777777" w:rsidR="003513BE" w:rsidRPr="0008502E" w:rsidRDefault="003513BE" w:rsidP="003513BE">
      <w:pPr>
        <w:pStyle w:val="PL"/>
        <w:rPr>
          <w:lang w:val="en-US"/>
        </w:rPr>
      </w:pPr>
      <w:r w:rsidRPr="0008502E">
        <w:rPr>
          <w:lang w:val="en-US"/>
        </w:rPr>
        <w:t xml:space="preserve">    </w:t>
      </w:r>
    </w:p>
    <w:p w14:paraId="4DA1E10B" w14:textId="77777777" w:rsidR="003513BE" w:rsidRPr="0008502E" w:rsidRDefault="003513BE" w:rsidP="003513BE">
      <w:pPr>
        <w:pStyle w:val="PL"/>
        <w:rPr>
          <w:lang w:val="en-US"/>
        </w:rPr>
      </w:pPr>
      <w:r w:rsidRPr="0008502E">
        <w:rPr>
          <w:lang w:val="en-US"/>
        </w:rPr>
        <w:t>paths:</w:t>
      </w:r>
    </w:p>
    <w:p w14:paraId="56433EC8" w14:textId="77777777" w:rsidR="003513BE" w:rsidRPr="0008502E" w:rsidRDefault="003513BE" w:rsidP="003513BE">
      <w:pPr>
        <w:pStyle w:val="PL"/>
        <w:rPr>
          <w:lang w:val="en-US"/>
        </w:rPr>
      </w:pPr>
      <w:r w:rsidRPr="0008502E">
        <w:rPr>
          <w:lang w:val="en-US"/>
        </w:rPr>
        <w:t xml:space="preserve">  /subscriptions:</w:t>
      </w:r>
    </w:p>
    <w:p w14:paraId="6CCC6C0D" w14:textId="77777777" w:rsidR="003513BE" w:rsidRPr="0008502E" w:rsidRDefault="003513BE" w:rsidP="003513BE">
      <w:pPr>
        <w:pStyle w:val="PL"/>
        <w:rPr>
          <w:lang w:val="en-US"/>
        </w:rPr>
      </w:pPr>
      <w:r w:rsidRPr="0008502E">
        <w:rPr>
          <w:lang w:val="en-US"/>
        </w:rPr>
        <w:t xml:space="preserve">    post:</w:t>
      </w:r>
    </w:p>
    <w:p w14:paraId="795A100D" w14:textId="77777777" w:rsidR="003513BE" w:rsidRPr="0008502E" w:rsidRDefault="003513BE" w:rsidP="003513BE">
      <w:pPr>
        <w:pStyle w:val="PL"/>
        <w:rPr>
          <w:lang w:val="en-US"/>
        </w:rPr>
      </w:pPr>
      <w:r w:rsidRPr="0008502E">
        <w:rPr>
          <w:lang w:val="en-US"/>
        </w:rPr>
        <w:t xml:space="preserve">      summary: Create a new Individual NWDAF VFL Inference Subscription resource.</w:t>
      </w:r>
    </w:p>
    <w:p w14:paraId="0F26C121" w14:textId="77777777" w:rsidR="003513BE" w:rsidRPr="0008502E" w:rsidRDefault="003513BE" w:rsidP="003513BE">
      <w:pPr>
        <w:pStyle w:val="PL"/>
        <w:rPr>
          <w:lang w:val="en-US"/>
        </w:rPr>
      </w:pPr>
      <w:r w:rsidRPr="0008502E">
        <w:rPr>
          <w:lang w:val="en-US"/>
        </w:rPr>
        <w:t xml:space="preserve">      operationId: CreateNWDAFVFLInferenceSubcription</w:t>
      </w:r>
    </w:p>
    <w:p w14:paraId="5CCBD2F2" w14:textId="77777777" w:rsidR="003513BE" w:rsidRPr="0008502E" w:rsidRDefault="003513BE" w:rsidP="003513BE">
      <w:pPr>
        <w:pStyle w:val="PL"/>
        <w:rPr>
          <w:lang w:val="en-US"/>
        </w:rPr>
      </w:pPr>
      <w:r w:rsidRPr="0008502E">
        <w:rPr>
          <w:lang w:val="en-US"/>
        </w:rPr>
        <w:t xml:space="preserve">      tags:</w:t>
      </w:r>
    </w:p>
    <w:p w14:paraId="12688474" w14:textId="77777777" w:rsidR="003513BE" w:rsidRPr="0008502E" w:rsidRDefault="003513BE" w:rsidP="003513BE">
      <w:pPr>
        <w:pStyle w:val="PL"/>
        <w:rPr>
          <w:lang w:val="en-US"/>
        </w:rPr>
      </w:pPr>
      <w:r w:rsidRPr="0008502E">
        <w:rPr>
          <w:lang w:val="en-US"/>
        </w:rPr>
        <w:t xml:space="preserve">        - Subscriptions (Collection)</w:t>
      </w:r>
    </w:p>
    <w:p w14:paraId="4EAE1741" w14:textId="77777777" w:rsidR="003513BE" w:rsidRPr="0008502E" w:rsidRDefault="003513BE" w:rsidP="003513BE">
      <w:pPr>
        <w:pStyle w:val="PL"/>
        <w:rPr>
          <w:lang w:val="en-US"/>
        </w:rPr>
      </w:pPr>
      <w:r w:rsidRPr="0008502E">
        <w:rPr>
          <w:lang w:val="en-US"/>
        </w:rPr>
        <w:t xml:space="preserve">      requestBody:</w:t>
      </w:r>
    </w:p>
    <w:p w14:paraId="07BEEC89" w14:textId="77777777" w:rsidR="003513BE" w:rsidRPr="0008502E" w:rsidRDefault="003513BE" w:rsidP="003513BE">
      <w:pPr>
        <w:pStyle w:val="PL"/>
        <w:rPr>
          <w:lang w:val="en-US"/>
        </w:rPr>
      </w:pPr>
      <w:r w:rsidRPr="0008502E">
        <w:rPr>
          <w:lang w:val="en-US"/>
        </w:rPr>
        <w:t xml:space="preserve">        required: true</w:t>
      </w:r>
    </w:p>
    <w:p w14:paraId="42850808" w14:textId="77777777" w:rsidR="003513BE" w:rsidRPr="0008502E" w:rsidRDefault="003513BE" w:rsidP="003513BE">
      <w:pPr>
        <w:pStyle w:val="PL"/>
        <w:rPr>
          <w:lang w:val="en-US"/>
        </w:rPr>
      </w:pPr>
      <w:r w:rsidRPr="0008502E">
        <w:rPr>
          <w:lang w:val="en-US"/>
        </w:rPr>
        <w:t xml:space="preserve">        content:</w:t>
      </w:r>
    </w:p>
    <w:p w14:paraId="0491E098" w14:textId="77777777" w:rsidR="003513BE" w:rsidRPr="0008502E" w:rsidRDefault="003513BE" w:rsidP="003513BE">
      <w:pPr>
        <w:pStyle w:val="PL"/>
        <w:rPr>
          <w:lang w:val="en-US"/>
        </w:rPr>
      </w:pPr>
      <w:r w:rsidRPr="0008502E">
        <w:rPr>
          <w:lang w:val="en-US"/>
        </w:rPr>
        <w:t xml:space="preserve">          application/json:</w:t>
      </w:r>
    </w:p>
    <w:p w14:paraId="6B61D7D8" w14:textId="77777777" w:rsidR="003513BE" w:rsidRPr="0008502E" w:rsidRDefault="003513BE" w:rsidP="003513BE">
      <w:pPr>
        <w:pStyle w:val="PL"/>
        <w:rPr>
          <w:lang w:val="en-US"/>
        </w:rPr>
      </w:pPr>
      <w:r w:rsidRPr="0008502E">
        <w:rPr>
          <w:lang w:val="en-US"/>
        </w:rPr>
        <w:t xml:space="preserve">            schema:</w:t>
      </w:r>
    </w:p>
    <w:p w14:paraId="23A27541" w14:textId="77777777" w:rsidR="003513BE" w:rsidRPr="0008502E" w:rsidRDefault="003513BE" w:rsidP="003513BE">
      <w:pPr>
        <w:pStyle w:val="PL"/>
        <w:rPr>
          <w:lang w:val="en-US"/>
        </w:rPr>
      </w:pPr>
      <w:r w:rsidRPr="0008502E">
        <w:rPr>
          <w:lang w:val="en-US"/>
        </w:rPr>
        <w:t xml:space="preserve">              $ref: '#/components/schemas/VflInferSub'</w:t>
      </w:r>
    </w:p>
    <w:p w14:paraId="2A78F4CA" w14:textId="77777777" w:rsidR="003513BE" w:rsidRPr="0008502E" w:rsidRDefault="003513BE" w:rsidP="003513BE">
      <w:pPr>
        <w:pStyle w:val="PL"/>
        <w:rPr>
          <w:lang w:val="en-US"/>
        </w:rPr>
      </w:pPr>
      <w:r w:rsidRPr="0008502E">
        <w:rPr>
          <w:lang w:val="en-US"/>
        </w:rPr>
        <w:t xml:space="preserve">      responses:</w:t>
      </w:r>
    </w:p>
    <w:p w14:paraId="7D53A95E" w14:textId="77777777" w:rsidR="003513BE" w:rsidRPr="0008502E" w:rsidRDefault="003513BE" w:rsidP="003513BE">
      <w:pPr>
        <w:pStyle w:val="PL"/>
        <w:rPr>
          <w:lang w:val="en-US"/>
        </w:rPr>
      </w:pPr>
      <w:r w:rsidRPr="0008502E">
        <w:rPr>
          <w:lang w:val="en-US"/>
        </w:rPr>
        <w:t xml:space="preserve">        '201':</w:t>
      </w:r>
    </w:p>
    <w:p w14:paraId="0D958000" w14:textId="77777777" w:rsidR="003513BE" w:rsidRPr="0008502E" w:rsidRDefault="003513BE" w:rsidP="003513BE">
      <w:pPr>
        <w:pStyle w:val="PL"/>
        <w:rPr>
          <w:lang w:val="en-US"/>
        </w:rPr>
      </w:pPr>
      <w:r w:rsidRPr="0008502E">
        <w:rPr>
          <w:lang w:val="en-US"/>
        </w:rPr>
        <w:t xml:space="preserve">          description: Create a new Individual NWDAF VFL Inference Subscription resource.</w:t>
      </w:r>
    </w:p>
    <w:p w14:paraId="3B5C356D" w14:textId="77777777" w:rsidR="003513BE" w:rsidRPr="0008502E" w:rsidRDefault="003513BE" w:rsidP="003513BE">
      <w:pPr>
        <w:pStyle w:val="PL"/>
        <w:rPr>
          <w:lang w:val="en-US"/>
        </w:rPr>
      </w:pPr>
      <w:r w:rsidRPr="0008502E">
        <w:rPr>
          <w:lang w:val="en-US"/>
        </w:rPr>
        <w:t xml:space="preserve">          content:</w:t>
      </w:r>
    </w:p>
    <w:p w14:paraId="5B7A5DA1" w14:textId="77777777" w:rsidR="003513BE" w:rsidRPr="0008502E" w:rsidRDefault="003513BE" w:rsidP="003513BE">
      <w:pPr>
        <w:pStyle w:val="PL"/>
        <w:rPr>
          <w:lang w:val="en-US"/>
        </w:rPr>
      </w:pPr>
      <w:r w:rsidRPr="0008502E">
        <w:rPr>
          <w:lang w:val="en-US"/>
        </w:rPr>
        <w:t xml:space="preserve">            application/json:</w:t>
      </w:r>
    </w:p>
    <w:p w14:paraId="0066CAD3" w14:textId="77777777" w:rsidR="003513BE" w:rsidRPr="0008502E" w:rsidRDefault="003513BE" w:rsidP="003513BE">
      <w:pPr>
        <w:pStyle w:val="PL"/>
        <w:rPr>
          <w:lang w:val="en-US"/>
        </w:rPr>
      </w:pPr>
      <w:r w:rsidRPr="0008502E">
        <w:rPr>
          <w:lang w:val="en-US"/>
        </w:rPr>
        <w:t xml:space="preserve">              schema:</w:t>
      </w:r>
    </w:p>
    <w:p w14:paraId="027FB242" w14:textId="77777777" w:rsidR="003513BE" w:rsidRPr="0008502E" w:rsidRDefault="003513BE" w:rsidP="003513BE">
      <w:pPr>
        <w:pStyle w:val="PL"/>
        <w:rPr>
          <w:lang w:val="en-US"/>
        </w:rPr>
      </w:pPr>
      <w:r w:rsidRPr="0008502E">
        <w:rPr>
          <w:lang w:val="en-US"/>
        </w:rPr>
        <w:t xml:space="preserve">                $ref: '#/components/schemas/VflInferSub'</w:t>
      </w:r>
    </w:p>
    <w:p w14:paraId="77E64AE4" w14:textId="77777777" w:rsidR="003513BE" w:rsidRPr="0008502E" w:rsidRDefault="003513BE" w:rsidP="003513BE">
      <w:pPr>
        <w:pStyle w:val="PL"/>
        <w:rPr>
          <w:lang w:val="en-US"/>
        </w:rPr>
      </w:pPr>
      <w:r w:rsidRPr="0008502E">
        <w:rPr>
          <w:lang w:val="en-US"/>
        </w:rPr>
        <w:t xml:space="preserve">          headers:</w:t>
      </w:r>
    </w:p>
    <w:p w14:paraId="58D40EE4" w14:textId="77777777" w:rsidR="003513BE" w:rsidRPr="0008502E" w:rsidRDefault="003513BE" w:rsidP="003513BE">
      <w:pPr>
        <w:pStyle w:val="PL"/>
        <w:rPr>
          <w:lang w:val="en-US"/>
        </w:rPr>
      </w:pPr>
      <w:r w:rsidRPr="0008502E">
        <w:rPr>
          <w:lang w:val="en-US"/>
        </w:rPr>
        <w:t xml:space="preserve">            Location:</w:t>
      </w:r>
    </w:p>
    <w:p w14:paraId="5A4C2767" w14:textId="77777777" w:rsidR="003513BE" w:rsidRPr="0008502E" w:rsidRDefault="003513BE" w:rsidP="003513BE">
      <w:pPr>
        <w:pStyle w:val="PL"/>
        <w:rPr>
          <w:lang w:val="en-US"/>
        </w:rPr>
      </w:pPr>
      <w:r w:rsidRPr="0008502E">
        <w:rPr>
          <w:lang w:val="en-US"/>
        </w:rPr>
        <w:t xml:space="preserve">              description: &gt;</w:t>
      </w:r>
    </w:p>
    <w:p w14:paraId="36908DCF" w14:textId="77777777" w:rsidR="003513BE" w:rsidRPr="0008502E" w:rsidRDefault="003513BE" w:rsidP="003513BE">
      <w:pPr>
        <w:pStyle w:val="PL"/>
        <w:rPr>
          <w:lang w:val="en-US"/>
        </w:rPr>
      </w:pPr>
      <w:r w:rsidRPr="0008502E">
        <w:rPr>
          <w:lang w:val="en-US"/>
        </w:rPr>
        <w:t xml:space="preserve">                Contains the URI of the newly created resource, according to the</w:t>
      </w:r>
    </w:p>
    <w:p w14:paraId="629D0D8C" w14:textId="77777777" w:rsidR="003513BE" w:rsidRPr="0008502E" w:rsidRDefault="003513BE" w:rsidP="003513BE">
      <w:pPr>
        <w:pStyle w:val="PL"/>
        <w:rPr>
          <w:lang w:val="en-US"/>
        </w:rPr>
      </w:pPr>
      <w:r w:rsidRPr="0008502E">
        <w:rPr>
          <w:lang w:val="en-US"/>
        </w:rPr>
        <w:t xml:space="preserve">                structure </w:t>
      </w:r>
    </w:p>
    <w:p w14:paraId="3E1D9B69" w14:textId="77777777" w:rsidR="003513BE" w:rsidRPr="0008502E" w:rsidRDefault="003513BE" w:rsidP="003513BE">
      <w:pPr>
        <w:pStyle w:val="PL"/>
        <w:rPr>
          <w:lang w:val="en-US"/>
        </w:rPr>
      </w:pPr>
      <w:r w:rsidRPr="0008502E">
        <w:rPr>
          <w:lang w:val="en-US"/>
        </w:rPr>
        <w:t xml:space="preserve">                {apiRoot}/nnwdaf-vflinference/v1/subscriptions/{subscriptionId}.</w:t>
      </w:r>
    </w:p>
    <w:p w14:paraId="10DFE609" w14:textId="77777777" w:rsidR="003513BE" w:rsidRPr="0008502E" w:rsidRDefault="003513BE" w:rsidP="003513BE">
      <w:pPr>
        <w:pStyle w:val="PL"/>
        <w:rPr>
          <w:lang w:val="en-US"/>
        </w:rPr>
      </w:pPr>
      <w:r w:rsidRPr="0008502E">
        <w:rPr>
          <w:lang w:val="en-US"/>
        </w:rPr>
        <w:t xml:space="preserve">              required: true</w:t>
      </w:r>
    </w:p>
    <w:p w14:paraId="7888A768" w14:textId="77777777" w:rsidR="003513BE" w:rsidRPr="0008502E" w:rsidRDefault="003513BE" w:rsidP="003513BE">
      <w:pPr>
        <w:pStyle w:val="PL"/>
        <w:rPr>
          <w:lang w:val="en-US"/>
        </w:rPr>
      </w:pPr>
      <w:r w:rsidRPr="0008502E">
        <w:rPr>
          <w:lang w:val="en-US"/>
        </w:rPr>
        <w:t xml:space="preserve">              schema:</w:t>
      </w:r>
    </w:p>
    <w:p w14:paraId="2D8B2D34" w14:textId="77777777" w:rsidR="003513BE" w:rsidRPr="0008502E" w:rsidRDefault="003513BE" w:rsidP="003513BE">
      <w:pPr>
        <w:pStyle w:val="PL"/>
        <w:rPr>
          <w:lang w:val="en-US"/>
        </w:rPr>
      </w:pPr>
      <w:r w:rsidRPr="0008502E">
        <w:rPr>
          <w:lang w:val="en-US"/>
        </w:rPr>
        <w:t xml:space="preserve">                type: string</w:t>
      </w:r>
    </w:p>
    <w:p w14:paraId="4F51F76F" w14:textId="77777777" w:rsidR="003513BE" w:rsidRPr="0008502E" w:rsidRDefault="003513BE" w:rsidP="003513BE">
      <w:pPr>
        <w:pStyle w:val="PL"/>
        <w:rPr>
          <w:lang w:val="en-US"/>
        </w:rPr>
      </w:pPr>
      <w:r w:rsidRPr="0008502E">
        <w:rPr>
          <w:lang w:val="en-US"/>
        </w:rPr>
        <w:t xml:space="preserve">        '400':</w:t>
      </w:r>
    </w:p>
    <w:p w14:paraId="168E4B79" w14:textId="77777777" w:rsidR="003513BE" w:rsidRPr="0008502E" w:rsidRDefault="003513BE" w:rsidP="003513BE">
      <w:pPr>
        <w:pStyle w:val="PL"/>
        <w:rPr>
          <w:lang w:val="en-US"/>
        </w:rPr>
      </w:pPr>
      <w:r w:rsidRPr="0008502E">
        <w:rPr>
          <w:lang w:val="en-US"/>
        </w:rPr>
        <w:t xml:space="preserve">          $ref: 'TS29571_CommonData.yaml#/components/responses/400'</w:t>
      </w:r>
    </w:p>
    <w:p w14:paraId="6BF214E1" w14:textId="77777777" w:rsidR="003513BE" w:rsidRPr="0008502E" w:rsidRDefault="003513BE" w:rsidP="003513BE">
      <w:pPr>
        <w:pStyle w:val="PL"/>
        <w:rPr>
          <w:lang w:val="en-US"/>
        </w:rPr>
      </w:pPr>
      <w:r w:rsidRPr="0008502E">
        <w:rPr>
          <w:lang w:val="en-US"/>
        </w:rPr>
        <w:t xml:space="preserve">        '401':</w:t>
      </w:r>
    </w:p>
    <w:p w14:paraId="4117F738" w14:textId="77777777" w:rsidR="003513BE" w:rsidRPr="0008502E" w:rsidRDefault="003513BE" w:rsidP="003513BE">
      <w:pPr>
        <w:pStyle w:val="PL"/>
        <w:rPr>
          <w:lang w:val="en-US"/>
        </w:rPr>
      </w:pPr>
      <w:r w:rsidRPr="0008502E">
        <w:rPr>
          <w:lang w:val="en-US"/>
        </w:rPr>
        <w:t xml:space="preserve">          $ref: 'TS29571_CommonData.yaml#/components/responses/401'</w:t>
      </w:r>
    </w:p>
    <w:p w14:paraId="4F74065F" w14:textId="77777777" w:rsidR="003513BE" w:rsidRPr="0008502E" w:rsidRDefault="003513BE" w:rsidP="003513BE">
      <w:pPr>
        <w:pStyle w:val="PL"/>
        <w:rPr>
          <w:lang w:val="en-US"/>
        </w:rPr>
      </w:pPr>
      <w:r w:rsidRPr="0008502E">
        <w:rPr>
          <w:lang w:val="en-US"/>
        </w:rPr>
        <w:t xml:space="preserve">        '403':</w:t>
      </w:r>
    </w:p>
    <w:p w14:paraId="31253AFC" w14:textId="77777777" w:rsidR="003513BE" w:rsidRPr="0008502E" w:rsidRDefault="003513BE" w:rsidP="003513BE">
      <w:pPr>
        <w:pStyle w:val="PL"/>
        <w:rPr>
          <w:lang w:val="en-US"/>
        </w:rPr>
      </w:pPr>
      <w:r w:rsidRPr="0008502E">
        <w:rPr>
          <w:lang w:val="en-US"/>
        </w:rPr>
        <w:t xml:space="preserve">          $ref: 'TS29571_CommonData.yaml#/components/responses/403'</w:t>
      </w:r>
    </w:p>
    <w:p w14:paraId="7C54B288" w14:textId="77777777" w:rsidR="003513BE" w:rsidRPr="0008502E" w:rsidRDefault="003513BE" w:rsidP="003513BE">
      <w:pPr>
        <w:pStyle w:val="PL"/>
        <w:rPr>
          <w:lang w:val="en-US"/>
        </w:rPr>
      </w:pPr>
      <w:r w:rsidRPr="0008502E">
        <w:rPr>
          <w:lang w:val="en-US"/>
        </w:rPr>
        <w:t xml:space="preserve">        '404':</w:t>
      </w:r>
    </w:p>
    <w:p w14:paraId="5851F534" w14:textId="77777777" w:rsidR="003513BE" w:rsidRPr="0008502E" w:rsidRDefault="003513BE" w:rsidP="003513BE">
      <w:pPr>
        <w:pStyle w:val="PL"/>
        <w:rPr>
          <w:lang w:val="en-US"/>
        </w:rPr>
      </w:pPr>
      <w:r w:rsidRPr="0008502E">
        <w:rPr>
          <w:lang w:val="en-US"/>
        </w:rPr>
        <w:t xml:space="preserve">          $ref: 'TS29571_CommonData.yaml#/components/responses/404'</w:t>
      </w:r>
    </w:p>
    <w:p w14:paraId="5B38B803" w14:textId="77777777" w:rsidR="003513BE" w:rsidRPr="0008502E" w:rsidRDefault="003513BE" w:rsidP="003513BE">
      <w:pPr>
        <w:pStyle w:val="PL"/>
        <w:rPr>
          <w:lang w:val="en-US"/>
        </w:rPr>
      </w:pPr>
      <w:r w:rsidRPr="0008502E">
        <w:rPr>
          <w:lang w:val="en-US"/>
        </w:rPr>
        <w:t xml:space="preserve">        '411':</w:t>
      </w:r>
    </w:p>
    <w:p w14:paraId="29F8290D" w14:textId="77777777" w:rsidR="003513BE" w:rsidRPr="0008502E" w:rsidRDefault="003513BE" w:rsidP="003513BE">
      <w:pPr>
        <w:pStyle w:val="PL"/>
        <w:rPr>
          <w:lang w:val="en-US"/>
        </w:rPr>
      </w:pPr>
      <w:r w:rsidRPr="0008502E">
        <w:rPr>
          <w:lang w:val="en-US"/>
        </w:rPr>
        <w:t xml:space="preserve">          $ref: 'TS29571_CommonData.yaml#/components/responses/411'</w:t>
      </w:r>
    </w:p>
    <w:p w14:paraId="304BA905" w14:textId="77777777" w:rsidR="003513BE" w:rsidRPr="0008502E" w:rsidRDefault="003513BE" w:rsidP="003513BE">
      <w:pPr>
        <w:pStyle w:val="PL"/>
        <w:rPr>
          <w:lang w:val="en-US"/>
        </w:rPr>
      </w:pPr>
      <w:r w:rsidRPr="0008502E">
        <w:rPr>
          <w:lang w:val="en-US"/>
        </w:rPr>
        <w:t xml:space="preserve">        '413':</w:t>
      </w:r>
    </w:p>
    <w:p w14:paraId="61A001BA" w14:textId="77777777" w:rsidR="003513BE" w:rsidRPr="0008502E" w:rsidRDefault="003513BE" w:rsidP="003513BE">
      <w:pPr>
        <w:pStyle w:val="PL"/>
        <w:rPr>
          <w:lang w:val="en-US"/>
        </w:rPr>
      </w:pPr>
      <w:r w:rsidRPr="0008502E">
        <w:rPr>
          <w:lang w:val="en-US"/>
        </w:rPr>
        <w:t xml:space="preserve">          $ref: 'TS29571_CommonData.yaml#/components/responses/413'</w:t>
      </w:r>
    </w:p>
    <w:p w14:paraId="526F1F66" w14:textId="77777777" w:rsidR="003513BE" w:rsidRPr="0008502E" w:rsidRDefault="003513BE" w:rsidP="003513BE">
      <w:pPr>
        <w:pStyle w:val="PL"/>
        <w:rPr>
          <w:lang w:val="en-US"/>
        </w:rPr>
      </w:pPr>
      <w:r w:rsidRPr="0008502E">
        <w:rPr>
          <w:lang w:val="en-US"/>
        </w:rPr>
        <w:t xml:space="preserve">        '415':</w:t>
      </w:r>
    </w:p>
    <w:p w14:paraId="0C147C4D" w14:textId="77777777" w:rsidR="003513BE" w:rsidRPr="0008502E" w:rsidRDefault="003513BE" w:rsidP="003513BE">
      <w:pPr>
        <w:pStyle w:val="PL"/>
        <w:rPr>
          <w:lang w:val="en-US"/>
        </w:rPr>
      </w:pPr>
      <w:r w:rsidRPr="0008502E">
        <w:rPr>
          <w:lang w:val="en-US"/>
        </w:rPr>
        <w:t xml:space="preserve">          $ref: 'TS29571_CommonData.yaml#/components/responses/415'</w:t>
      </w:r>
    </w:p>
    <w:p w14:paraId="08F14D33" w14:textId="77777777" w:rsidR="003513BE" w:rsidRPr="0008502E" w:rsidRDefault="003513BE" w:rsidP="003513BE">
      <w:pPr>
        <w:pStyle w:val="PL"/>
        <w:rPr>
          <w:lang w:val="en-US"/>
        </w:rPr>
      </w:pPr>
      <w:r w:rsidRPr="0008502E">
        <w:rPr>
          <w:lang w:val="en-US"/>
        </w:rPr>
        <w:t xml:space="preserve">        '429':</w:t>
      </w:r>
    </w:p>
    <w:p w14:paraId="2C2B4BFC" w14:textId="77777777" w:rsidR="003513BE" w:rsidRPr="0008502E" w:rsidRDefault="003513BE" w:rsidP="003513BE">
      <w:pPr>
        <w:pStyle w:val="PL"/>
        <w:rPr>
          <w:lang w:val="en-US"/>
        </w:rPr>
      </w:pPr>
      <w:r w:rsidRPr="0008502E">
        <w:rPr>
          <w:lang w:val="en-US"/>
        </w:rPr>
        <w:t xml:space="preserve">          $ref: 'TS29571_CommonData.yaml#/components/responses/429'</w:t>
      </w:r>
    </w:p>
    <w:p w14:paraId="140ECDB4" w14:textId="77777777" w:rsidR="003513BE" w:rsidRPr="0008502E" w:rsidRDefault="003513BE" w:rsidP="003513BE">
      <w:pPr>
        <w:pStyle w:val="PL"/>
        <w:rPr>
          <w:lang w:val="en-US"/>
        </w:rPr>
      </w:pPr>
      <w:r w:rsidRPr="0008502E">
        <w:rPr>
          <w:lang w:val="en-US"/>
        </w:rPr>
        <w:t xml:space="preserve">        '500':</w:t>
      </w:r>
    </w:p>
    <w:p w14:paraId="16F62CFD" w14:textId="77777777" w:rsidR="003513BE" w:rsidRPr="0008502E" w:rsidRDefault="003513BE" w:rsidP="003513BE">
      <w:pPr>
        <w:pStyle w:val="PL"/>
        <w:rPr>
          <w:lang w:val="en-US"/>
        </w:rPr>
      </w:pPr>
      <w:r w:rsidRPr="0008502E">
        <w:rPr>
          <w:lang w:val="en-US"/>
        </w:rPr>
        <w:t xml:space="preserve">          $ref: 'TS29571_CommonData.yaml#/components/responses/500'</w:t>
      </w:r>
    </w:p>
    <w:p w14:paraId="7D289B08" w14:textId="77777777" w:rsidR="003513BE" w:rsidRPr="0008502E" w:rsidRDefault="003513BE" w:rsidP="003513BE">
      <w:pPr>
        <w:pStyle w:val="PL"/>
        <w:rPr>
          <w:lang w:val="en-US"/>
        </w:rPr>
      </w:pPr>
      <w:r w:rsidRPr="0008502E">
        <w:rPr>
          <w:lang w:val="en-US"/>
        </w:rPr>
        <w:t xml:space="preserve">        '502':</w:t>
      </w:r>
    </w:p>
    <w:p w14:paraId="19D079CB" w14:textId="77777777" w:rsidR="003513BE" w:rsidRPr="0008502E" w:rsidRDefault="003513BE" w:rsidP="003513BE">
      <w:pPr>
        <w:pStyle w:val="PL"/>
        <w:rPr>
          <w:lang w:val="en-US"/>
        </w:rPr>
      </w:pPr>
      <w:r w:rsidRPr="0008502E">
        <w:rPr>
          <w:lang w:val="en-US"/>
        </w:rPr>
        <w:t xml:space="preserve">          $ref: 'TS29571_CommonData.yaml#/components/responses/502'</w:t>
      </w:r>
    </w:p>
    <w:p w14:paraId="6DDD2C32" w14:textId="77777777" w:rsidR="003513BE" w:rsidRPr="0008502E" w:rsidRDefault="003513BE" w:rsidP="003513BE">
      <w:pPr>
        <w:pStyle w:val="PL"/>
        <w:rPr>
          <w:lang w:val="en-US"/>
        </w:rPr>
      </w:pPr>
      <w:r w:rsidRPr="0008502E">
        <w:rPr>
          <w:lang w:val="en-US"/>
        </w:rPr>
        <w:t xml:space="preserve">        '503':</w:t>
      </w:r>
    </w:p>
    <w:p w14:paraId="58F576FE" w14:textId="77777777" w:rsidR="003513BE" w:rsidRPr="0008502E" w:rsidRDefault="003513BE" w:rsidP="003513BE">
      <w:pPr>
        <w:pStyle w:val="PL"/>
        <w:rPr>
          <w:lang w:val="en-US"/>
        </w:rPr>
      </w:pPr>
      <w:r w:rsidRPr="0008502E">
        <w:rPr>
          <w:lang w:val="en-US"/>
        </w:rPr>
        <w:t xml:space="preserve">          $ref: 'TS29571_CommonData.yaml#/components/responses/503'</w:t>
      </w:r>
    </w:p>
    <w:p w14:paraId="5BE2DFCA" w14:textId="77777777" w:rsidR="003513BE" w:rsidRPr="0008502E" w:rsidRDefault="003513BE" w:rsidP="003513BE">
      <w:pPr>
        <w:pStyle w:val="PL"/>
        <w:rPr>
          <w:lang w:val="en-US"/>
        </w:rPr>
      </w:pPr>
      <w:r w:rsidRPr="0008502E">
        <w:rPr>
          <w:lang w:val="en-US"/>
        </w:rPr>
        <w:t xml:space="preserve">        default:</w:t>
      </w:r>
    </w:p>
    <w:p w14:paraId="29B02957" w14:textId="77777777" w:rsidR="003513BE" w:rsidRPr="0008502E" w:rsidRDefault="003513BE" w:rsidP="003513BE">
      <w:pPr>
        <w:pStyle w:val="PL"/>
        <w:rPr>
          <w:lang w:val="en-US"/>
        </w:rPr>
      </w:pPr>
      <w:r w:rsidRPr="0008502E">
        <w:rPr>
          <w:lang w:val="en-US"/>
        </w:rPr>
        <w:t xml:space="preserve">          $ref: 'TS29571_CommonData.yaml#/components/responses/default'</w:t>
      </w:r>
    </w:p>
    <w:p w14:paraId="662ECA17" w14:textId="77777777" w:rsidR="003513BE" w:rsidRPr="0008502E" w:rsidRDefault="003513BE" w:rsidP="003513BE">
      <w:pPr>
        <w:pStyle w:val="PL"/>
        <w:rPr>
          <w:lang w:val="en-US"/>
        </w:rPr>
      </w:pPr>
      <w:r w:rsidRPr="0008502E">
        <w:rPr>
          <w:lang w:val="en-US"/>
        </w:rPr>
        <w:t xml:space="preserve">      callbacks:</w:t>
      </w:r>
    </w:p>
    <w:p w14:paraId="2C0BCC3E" w14:textId="77777777" w:rsidR="003513BE" w:rsidRPr="0008502E" w:rsidRDefault="003513BE" w:rsidP="003513BE">
      <w:pPr>
        <w:pStyle w:val="PL"/>
        <w:rPr>
          <w:lang w:val="en-US"/>
        </w:rPr>
      </w:pPr>
      <w:r w:rsidRPr="0008502E">
        <w:rPr>
          <w:lang w:val="en-US"/>
        </w:rPr>
        <w:t xml:space="preserve">        myNotification:</w:t>
      </w:r>
    </w:p>
    <w:p w14:paraId="5BA731FA" w14:textId="77777777" w:rsidR="003513BE" w:rsidRPr="0008502E" w:rsidRDefault="003513BE" w:rsidP="003513BE">
      <w:pPr>
        <w:pStyle w:val="PL"/>
        <w:rPr>
          <w:lang w:val="en-US"/>
        </w:rPr>
      </w:pPr>
      <w:r w:rsidRPr="0008502E">
        <w:rPr>
          <w:lang w:val="en-US"/>
        </w:rPr>
        <w:t xml:space="preserve">          '{$request.body#/notifUri}':</w:t>
      </w:r>
    </w:p>
    <w:p w14:paraId="38351A4A" w14:textId="77777777" w:rsidR="003513BE" w:rsidRPr="0008502E" w:rsidRDefault="003513BE" w:rsidP="003513BE">
      <w:pPr>
        <w:pStyle w:val="PL"/>
        <w:rPr>
          <w:lang w:val="en-US"/>
        </w:rPr>
      </w:pPr>
      <w:r w:rsidRPr="0008502E">
        <w:rPr>
          <w:lang w:val="en-US"/>
        </w:rPr>
        <w:t xml:space="preserve">            post:</w:t>
      </w:r>
    </w:p>
    <w:p w14:paraId="683E53E2" w14:textId="77777777" w:rsidR="003513BE" w:rsidRPr="0008502E" w:rsidRDefault="003513BE" w:rsidP="003513BE">
      <w:pPr>
        <w:pStyle w:val="PL"/>
        <w:rPr>
          <w:lang w:val="en-US"/>
        </w:rPr>
      </w:pPr>
      <w:r w:rsidRPr="0008502E">
        <w:rPr>
          <w:lang w:val="en-US"/>
        </w:rPr>
        <w:t xml:space="preserve">              requestBody:</w:t>
      </w:r>
    </w:p>
    <w:p w14:paraId="3A24FE7C" w14:textId="77777777" w:rsidR="003513BE" w:rsidRPr="0008502E" w:rsidRDefault="003513BE" w:rsidP="003513BE">
      <w:pPr>
        <w:pStyle w:val="PL"/>
        <w:rPr>
          <w:lang w:val="en-US"/>
        </w:rPr>
      </w:pPr>
      <w:r w:rsidRPr="0008502E">
        <w:rPr>
          <w:lang w:val="en-US"/>
        </w:rPr>
        <w:t xml:space="preserve">                required: true</w:t>
      </w:r>
    </w:p>
    <w:p w14:paraId="3843BEC7" w14:textId="77777777" w:rsidR="003513BE" w:rsidRPr="0008502E" w:rsidRDefault="003513BE" w:rsidP="003513BE">
      <w:pPr>
        <w:pStyle w:val="PL"/>
        <w:rPr>
          <w:lang w:val="en-US"/>
        </w:rPr>
      </w:pPr>
      <w:r w:rsidRPr="0008502E">
        <w:rPr>
          <w:lang w:val="en-US"/>
        </w:rPr>
        <w:t xml:space="preserve">                content:</w:t>
      </w:r>
    </w:p>
    <w:p w14:paraId="19FAA911" w14:textId="77777777" w:rsidR="003513BE" w:rsidRPr="0008502E" w:rsidRDefault="003513BE" w:rsidP="003513BE">
      <w:pPr>
        <w:pStyle w:val="PL"/>
        <w:rPr>
          <w:lang w:val="en-US"/>
        </w:rPr>
      </w:pPr>
      <w:r w:rsidRPr="0008502E">
        <w:rPr>
          <w:lang w:val="en-US"/>
        </w:rPr>
        <w:t xml:space="preserve">                  application/json:</w:t>
      </w:r>
    </w:p>
    <w:p w14:paraId="4034C3AC" w14:textId="77777777" w:rsidR="003513BE" w:rsidRPr="0008502E" w:rsidRDefault="003513BE" w:rsidP="003513BE">
      <w:pPr>
        <w:pStyle w:val="PL"/>
        <w:rPr>
          <w:lang w:val="en-US"/>
        </w:rPr>
      </w:pPr>
      <w:r w:rsidRPr="0008502E">
        <w:rPr>
          <w:lang w:val="en-US"/>
        </w:rPr>
        <w:t xml:space="preserve">                    schema:</w:t>
      </w:r>
    </w:p>
    <w:p w14:paraId="434376CD" w14:textId="77777777" w:rsidR="003513BE" w:rsidRPr="0008502E" w:rsidRDefault="003513BE" w:rsidP="003513BE">
      <w:pPr>
        <w:pStyle w:val="PL"/>
        <w:rPr>
          <w:lang w:val="en-US"/>
        </w:rPr>
      </w:pPr>
      <w:r w:rsidRPr="0008502E">
        <w:rPr>
          <w:lang w:val="en-US"/>
        </w:rPr>
        <w:lastRenderedPageBreak/>
        <w:t xml:space="preserve">                      $ref: '#/components/schemas/VflInferNotif'</w:t>
      </w:r>
    </w:p>
    <w:p w14:paraId="0E315DBC" w14:textId="77777777" w:rsidR="003513BE" w:rsidRPr="0008502E" w:rsidRDefault="003513BE" w:rsidP="003513BE">
      <w:pPr>
        <w:pStyle w:val="PL"/>
        <w:rPr>
          <w:lang w:val="en-US"/>
        </w:rPr>
      </w:pPr>
      <w:r w:rsidRPr="0008502E">
        <w:rPr>
          <w:lang w:val="en-US"/>
        </w:rPr>
        <w:t xml:space="preserve">              responses:</w:t>
      </w:r>
    </w:p>
    <w:p w14:paraId="16E59ECF" w14:textId="77777777" w:rsidR="003513BE" w:rsidRPr="0008502E" w:rsidRDefault="003513BE" w:rsidP="003513BE">
      <w:pPr>
        <w:pStyle w:val="PL"/>
        <w:rPr>
          <w:lang w:val="en-US"/>
        </w:rPr>
      </w:pPr>
      <w:r w:rsidRPr="0008502E">
        <w:rPr>
          <w:lang w:val="en-US"/>
        </w:rPr>
        <w:t xml:space="preserve">                '204':</w:t>
      </w:r>
    </w:p>
    <w:p w14:paraId="020A36CE" w14:textId="77777777" w:rsidR="003513BE" w:rsidRPr="0008502E" w:rsidRDefault="003513BE" w:rsidP="003513BE">
      <w:pPr>
        <w:pStyle w:val="PL"/>
        <w:rPr>
          <w:lang w:val="en-US"/>
        </w:rPr>
      </w:pPr>
      <w:r w:rsidRPr="0008502E">
        <w:rPr>
          <w:lang w:val="en-US"/>
        </w:rPr>
        <w:t xml:space="preserve">                  description: No Content, Notification was succesfull</w:t>
      </w:r>
    </w:p>
    <w:p w14:paraId="5CE53AE0" w14:textId="77777777" w:rsidR="003513BE" w:rsidRPr="0008502E" w:rsidRDefault="003513BE" w:rsidP="003513BE">
      <w:pPr>
        <w:pStyle w:val="PL"/>
        <w:rPr>
          <w:lang w:val="en-US"/>
        </w:rPr>
      </w:pPr>
      <w:r w:rsidRPr="0008502E">
        <w:rPr>
          <w:lang w:val="en-US"/>
        </w:rPr>
        <w:t xml:space="preserve">                '307':</w:t>
      </w:r>
    </w:p>
    <w:p w14:paraId="61108C80" w14:textId="77777777" w:rsidR="003513BE" w:rsidRPr="0008502E" w:rsidRDefault="003513BE" w:rsidP="003513BE">
      <w:pPr>
        <w:pStyle w:val="PL"/>
        <w:rPr>
          <w:lang w:val="en-US"/>
        </w:rPr>
      </w:pPr>
      <w:r w:rsidRPr="0008502E">
        <w:rPr>
          <w:lang w:val="en-US"/>
        </w:rPr>
        <w:t xml:space="preserve">                  $ref: 'TS29571_CommonData.yaml#/components/responses/307'</w:t>
      </w:r>
    </w:p>
    <w:p w14:paraId="52EAF546" w14:textId="77777777" w:rsidR="003513BE" w:rsidRPr="0008502E" w:rsidRDefault="003513BE" w:rsidP="003513BE">
      <w:pPr>
        <w:pStyle w:val="PL"/>
        <w:rPr>
          <w:lang w:val="en-US"/>
        </w:rPr>
      </w:pPr>
      <w:r w:rsidRPr="0008502E">
        <w:rPr>
          <w:lang w:val="en-US"/>
        </w:rPr>
        <w:t xml:space="preserve">                '308':</w:t>
      </w:r>
    </w:p>
    <w:p w14:paraId="1AD0520D" w14:textId="77777777" w:rsidR="003513BE" w:rsidRPr="0008502E" w:rsidRDefault="003513BE" w:rsidP="003513BE">
      <w:pPr>
        <w:pStyle w:val="PL"/>
        <w:rPr>
          <w:lang w:val="en-US"/>
        </w:rPr>
      </w:pPr>
      <w:r w:rsidRPr="0008502E">
        <w:rPr>
          <w:lang w:val="en-US"/>
        </w:rPr>
        <w:t xml:space="preserve">                  $ref: 'TS29571_CommonData.yaml#/components/responses/308'</w:t>
      </w:r>
    </w:p>
    <w:p w14:paraId="44E88B79" w14:textId="77777777" w:rsidR="003513BE" w:rsidRPr="0008502E" w:rsidRDefault="003513BE" w:rsidP="003513BE">
      <w:pPr>
        <w:pStyle w:val="PL"/>
        <w:rPr>
          <w:lang w:val="en-US"/>
        </w:rPr>
      </w:pPr>
      <w:r w:rsidRPr="0008502E">
        <w:rPr>
          <w:lang w:val="en-US"/>
        </w:rPr>
        <w:t xml:space="preserve">                '400':</w:t>
      </w:r>
    </w:p>
    <w:p w14:paraId="283B7720" w14:textId="77777777" w:rsidR="003513BE" w:rsidRPr="0008502E" w:rsidRDefault="003513BE" w:rsidP="003513BE">
      <w:pPr>
        <w:pStyle w:val="PL"/>
        <w:rPr>
          <w:lang w:val="en-US"/>
        </w:rPr>
      </w:pPr>
      <w:r w:rsidRPr="0008502E">
        <w:rPr>
          <w:lang w:val="en-US"/>
        </w:rPr>
        <w:t xml:space="preserve">                  $ref: 'TS29571_CommonData.yaml#/components/responses/400'</w:t>
      </w:r>
    </w:p>
    <w:p w14:paraId="0C55DC1F" w14:textId="77777777" w:rsidR="003513BE" w:rsidRPr="0008502E" w:rsidRDefault="003513BE" w:rsidP="003513BE">
      <w:pPr>
        <w:pStyle w:val="PL"/>
        <w:rPr>
          <w:lang w:val="en-US"/>
        </w:rPr>
      </w:pPr>
      <w:r w:rsidRPr="0008502E">
        <w:rPr>
          <w:lang w:val="en-US"/>
        </w:rPr>
        <w:t xml:space="preserve">                '401':</w:t>
      </w:r>
    </w:p>
    <w:p w14:paraId="54EA4E67" w14:textId="77777777" w:rsidR="003513BE" w:rsidRPr="0008502E" w:rsidRDefault="003513BE" w:rsidP="003513BE">
      <w:pPr>
        <w:pStyle w:val="PL"/>
        <w:rPr>
          <w:lang w:val="en-US"/>
        </w:rPr>
      </w:pPr>
      <w:r w:rsidRPr="0008502E">
        <w:rPr>
          <w:lang w:val="en-US"/>
        </w:rPr>
        <w:t xml:space="preserve">                  $ref: 'TS29571_CommonData.yaml#/components/responses/401'</w:t>
      </w:r>
    </w:p>
    <w:p w14:paraId="3BCEA7A6" w14:textId="77777777" w:rsidR="003513BE" w:rsidRPr="0008502E" w:rsidRDefault="003513BE" w:rsidP="003513BE">
      <w:pPr>
        <w:pStyle w:val="PL"/>
        <w:rPr>
          <w:lang w:val="en-US"/>
        </w:rPr>
      </w:pPr>
      <w:r w:rsidRPr="0008502E">
        <w:rPr>
          <w:lang w:val="en-US"/>
        </w:rPr>
        <w:t xml:space="preserve">                '403':</w:t>
      </w:r>
    </w:p>
    <w:p w14:paraId="02026A2B" w14:textId="77777777" w:rsidR="003513BE" w:rsidRPr="0008502E" w:rsidRDefault="003513BE" w:rsidP="003513BE">
      <w:pPr>
        <w:pStyle w:val="PL"/>
        <w:rPr>
          <w:lang w:val="en-US"/>
        </w:rPr>
      </w:pPr>
      <w:r w:rsidRPr="0008502E">
        <w:rPr>
          <w:lang w:val="en-US"/>
        </w:rPr>
        <w:t xml:space="preserve">                  $ref: 'TS29571_CommonData.yaml#/components/responses/403'</w:t>
      </w:r>
    </w:p>
    <w:p w14:paraId="31AFA573" w14:textId="77777777" w:rsidR="003513BE" w:rsidRPr="0008502E" w:rsidRDefault="003513BE" w:rsidP="003513BE">
      <w:pPr>
        <w:pStyle w:val="PL"/>
        <w:rPr>
          <w:lang w:val="en-US"/>
        </w:rPr>
      </w:pPr>
      <w:r w:rsidRPr="0008502E">
        <w:rPr>
          <w:lang w:val="en-US"/>
        </w:rPr>
        <w:t xml:space="preserve">                '404':</w:t>
      </w:r>
    </w:p>
    <w:p w14:paraId="3A6AFE9A" w14:textId="77777777" w:rsidR="003513BE" w:rsidRPr="0008502E" w:rsidRDefault="003513BE" w:rsidP="003513BE">
      <w:pPr>
        <w:pStyle w:val="PL"/>
        <w:rPr>
          <w:lang w:val="en-US"/>
        </w:rPr>
      </w:pPr>
      <w:r w:rsidRPr="0008502E">
        <w:rPr>
          <w:lang w:val="en-US"/>
        </w:rPr>
        <w:t xml:space="preserve">                  $ref: 'TS29571_CommonData.yaml#/components/responses/404'</w:t>
      </w:r>
    </w:p>
    <w:p w14:paraId="35B631E9" w14:textId="77777777" w:rsidR="003513BE" w:rsidRPr="0008502E" w:rsidRDefault="003513BE" w:rsidP="003513BE">
      <w:pPr>
        <w:pStyle w:val="PL"/>
        <w:rPr>
          <w:lang w:val="en-US"/>
        </w:rPr>
      </w:pPr>
      <w:r w:rsidRPr="0008502E">
        <w:rPr>
          <w:lang w:val="en-US"/>
        </w:rPr>
        <w:t xml:space="preserve">                '411':</w:t>
      </w:r>
    </w:p>
    <w:p w14:paraId="29A59AED" w14:textId="77777777" w:rsidR="003513BE" w:rsidRPr="0008502E" w:rsidRDefault="003513BE" w:rsidP="003513BE">
      <w:pPr>
        <w:pStyle w:val="PL"/>
        <w:rPr>
          <w:lang w:val="en-US"/>
        </w:rPr>
      </w:pPr>
      <w:r w:rsidRPr="0008502E">
        <w:rPr>
          <w:lang w:val="en-US"/>
        </w:rPr>
        <w:t xml:space="preserve">                  $ref: 'TS29571_CommonData.yaml#/components/responses/411'</w:t>
      </w:r>
    </w:p>
    <w:p w14:paraId="5135436C" w14:textId="77777777" w:rsidR="003513BE" w:rsidRPr="0008502E" w:rsidRDefault="003513BE" w:rsidP="003513BE">
      <w:pPr>
        <w:pStyle w:val="PL"/>
        <w:rPr>
          <w:lang w:val="en-US"/>
        </w:rPr>
      </w:pPr>
      <w:r w:rsidRPr="0008502E">
        <w:rPr>
          <w:lang w:val="en-US"/>
        </w:rPr>
        <w:t xml:space="preserve">                '413':</w:t>
      </w:r>
    </w:p>
    <w:p w14:paraId="03687176" w14:textId="77777777" w:rsidR="003513BE" w:rsidRPr="0008502E" w:rsidRDefault="003513BE" w:rsidP="003513BE">
      <w:pPr>
        <w:pStyle w:val="PL"/>
        <w:rPr>
          <w:lang w:val="en-US"/>
        </w:rPr>
      </w:pPr>
      <w:r w:rsidRPr="0008502E">
        <w:rPr>
          <w:lang w:val="en-US"/>
        </w:rPr>
        <w:t xml:space="preserve">                  $ref: 'TS29571_CommonData.yaml#/components/responses/413'</w:t>
      </w:r>
    </w:p>
    <w:p w14:paraId="58D56C92" w14:textId="77777777" w:rsidR="003513BE" w:rsidRPr="0008502E" w:rsidRDefault="003513BE" w:rsidP="003513BE">
      <w:pPr>
        <w:pStyle w:val="PL"/>
        <w:rPr>
          <w:lang w:val="en-US"/>
        </w:rPr>
      </w:pPr>
      <w:r w:rsidRPr="0008502E">
        <w:rPr>
          <w:lang w:val="en-US"/>
        </w:rPr>
        <w:t xml:space="preserve">                '415':</w:t>
      </w:r>
    </w:p>
    <w:p w14:paraId="0EB2F96E" w14:textId="77777777" w:rsidR="003513BE" w:rsidRPr="0008502E" w:rsidRDefault="003513BE" w:rsidP="003513BE">
      <w:pPr>
        <w:pStyle w:val="PL"/>
        <w:rPr>
          <w:lang w:val="en-US"/>
        </w:rPr>
      </w:pPr>
      <w:r w:rsidRPr="0008502E">
        <w:rPr>
          <w:lang w:val="en-US"/>
        </w:rPr>
        <w:t xml:space="preserve">                  $ref: 'TS29571_CommonData.yaml#/components/responses/415'</w:t>
      </w:r>
    </w:p>
    <w:p w14:paraId="0317A304" w14:textId="77777777" w:rsidR="003513BE" w:rsidRPr="0008502E" w:rsidRDefault="003513BE" w:rsidP="003513BE">
      <w:pPr>
        <w:pStyle w:val="PL"/>
        <w:rPr>
          <w:lang w:val="en-US"/>
        </w:rPr>
      </w:pPr>
      <w:r w:rsidRPr="0008502E">
        <w:rPr>
          <w:lang w:val="en-US"/>
        </w:rPr>
        <w:t xml:space="preserve">                '429':</w:t>
      </w:r>
    </w:p>
    <w:p w14:paraId="3CD590D1" w14:textId="77777777" w:rsidR="003513BE" w:rsidRPr="0008502E" w:rsidRDefault="003513BE" w:rsidP="003513BE">
      <w:pPr>
        <w:pStyle w:val="PL"/>
        <w:rPr>
          <w:lang w:val="en-US"/>
        </w:rPr>
      </w:pPr>
      <w:r w:rsidRPr="0008502E">
        <w:rPr>
          <w:lang w:val="en-US"/>
        </w:rPr>
        <w:t xml:space="preserve">                  $ref: 'TS29571_CommonData.yaml#/components/responses/429'</w:t>
      </w:r>
    </w:p>
    <w:p w14:paraId="68217CE4" w14:textId="77777777" w:rsidR="003513BE" w:rsidRPr="0008502E" w:rsidRDefault="003513BE" w:rsidP="003513BE">
      <w:pPr>
        <w:pStyle w:val="PL"/>
        <w:rPr>
          <w:lang w:val="en-US"/>
        </w:rPr>
      </w:pPr>
      <w:r w:rsidRPr="0008502E">
        <w:rPr>
          <w:lang w:val="en-US"/>
        </w:rPr>
        <w:t xml:space="preserve">                '500':</w:t>
      </w:r>
    </w:p>
    <w:p w14:paraId="67C114F0" w14:textId="77777777" w:rsidR="003513BE" w:rsidRPr="0008502E" w:rsidRDefault="003513BE" w:rsidP="003513BE">
      <w:pPr>
        <w:pStyle w:val="PL"/>
        <w:rPr>
          <w:lang w:val="en-US"/>
        </w:rPr>
      </w:pPr>
      <w:r w:rsidRPr="0008502E">
        <w:rPr>
          <w:lang w:val="en-US"/>
        </w:rPr>
        <w:t xml:space="preserve">                  $ref: 'TS29571_CommonData.yaml#/components/responses/500'</w:t>
      </w:r>
    </w:p>
    <w:p w14:paraId="754D1A6B" w14:textId="77777777" w:rsidR="003513BE" w:rsidRPr="0008502E" w:rsidRDefault="003513BE" w:rsidP="003513BE">
      <w:pPr>
        <w:pStyle w:val="PL"/>
        <w:rPr>
          <w:lang w:val="en-US"/>
        </w:rPr>
      </w:pPr>
      <w:r w:rsidRPr="0008502E">
        <w:rPr>
          <w:lang w:val="en-US"/>
        </w:rPr>
        <w:t xml:space="preserve">                '502':</w:t>
      </w:r>
    </w:p>
    <w:p w14:paraId="29FB75E8" w14:textId="77777777" w:rsidR="003513BE" w:rsidRPr="0008502E" w:rsidRDefault="003513BE" w:rsidP="003513BE">
      <w:pPr>
        <w:pStyle w:val="PL"/>
        <w:rPr>
          <w:lang w:val="en-US"/>
        </w:rPr>
      </w:pPr>
      <w:r w:rsidRPr="0008502E">
        <w:rPr>
          <w:lang w:val="en-US"/>
        </w:rPr>
        <w:t xml:space="preserve">                  $ref: 'TS29571_CommonData.yaml#/components/responses/502'</w:t>
      </w:r>
    </w:p>
    <w:p w14:paraId="2EE702A6" w14:textId="77777777" w:rsidR="003513BE" w:rsidRPr="0008502E" w:rsidRDefault="003513BE" w:rsidP="003513BE">
      <w:pPr>
        <w:pStyle w:val="PL"/>
        <w:rPr>
          <w:lang w:val="en-US"/>
        </w:rPr>
      </w:pPr>
      <w:r w:rsidRPr="0008502E">
        <w:rPr>
          <w:lang w:val="en-US"/>
        </w:rPr>
        <w:t xml:space="preserve">                '503':</w:t>
      </w:r>
    </w:p>
    <w:p w14:paraId="6F5D6B13" w14:textId="77777777" w:rsidR="003513BE" w:rsidRPr="0008502E" w:rsidRDefault="003513BE" w:rsidP="003513BE">
      <w:pPr>
        <w:pStyle w:val="PL"/>
        <w:rPr>
          <w:lang w:val="en-US"/>
        </w:rPr>
      </w:pPr>
      <w:r w:rsidRPr="0008502E">
        <w:rPr>
          <w:lang w:val="en-US"/>
        </w:rPr>
        <w:t xml:space="preserve">                  $ref: 'TS29571_CommonData.yaml#/components/responses/503'</w:t>
      </w:r>
    </w:p>
    <w:p w14:paraId="6DE1B0C2" w14:textId="77777777" w:rsidR="003513BE" w:rsidRPr="0008502E" w:rsidRDefault="003513BE" w:rsidP="003513BE">
      <w:pPr>
        <w:pStyle w:val="PL"/>
        <w:rPr>
          <w:lang w:val="en-US"/>
        </w:rPr>
      </w:pPr>
      <w:r w:rsidRPr="0008502E">
        <w:rPr>
          <w:lang w:val="en-US"/>
        </w:rPr>
        <w:t xml:space="preserve">                default:</w:t>
      </w:r>
    </w:p>
    <w:p w14:paraId="0647023C" w14:textId="77777777" w:rsidR="003513BE" w:rsidRPr="0008502E" w:rsidRDefault="003513BE" w:rsidP="003513BE">
      <w:pPr>
        <w:pStyle w:val="PL"/>
        <w:rPr>
          <w:lang w:val="en-US"/>
        </w:rPr>
      </w:pPr>
      <w:r w:rsidRPr="0008502E">
        <w:rPr>
          <w:lang w:val="en-US"/>
        </w:rPr>
        <w:t xml:space="preserve">                  $ref: 'TS29571_CommonData.yaml#/components/responses/default'</w:t>
      </w:r>
    </w:p>
    <w:p w14:paraId="6D2D5FBB" w14:textId="77777777" w:rsidR="003513BE" w:rsidRPr="0008502E" w:rsidRDefault="003513BE" w:rsidP="003513BE">
      <w:pPr>
        <w:pStyle w:val="PL"/>
        <w:rPr>
          <w:lang w:val="en-US"/>
        </w:rPr>
      </w:pPr>
      <w:r w:rsidRPr="0008502E">
        <w:rPr>
          <w:lang w:val="en-US"/>
        </w:rPr>
        <w:t xml:space="preserve">  /subscriptions/{subscriptionId}:</w:t>
      </w:r>
    </w:p>
    <w:p w14:paraId="00BE8206" w14:textId="77777777" w:rsidR="003513BE" w:rsidRPr="0008502E" w:rsidRDefault="003513BE" w:rsidP="003513BE">
      <w:pPr>
        <w:pStyle w:val="PL"/>
        <w:rPr>
          <w:lang w:val="en-US"/>
        </w:rPr>
      </w:pPr>
      <w:r w:rsidRPr="0008502E">
        <w:rPr>
          <w:lang w:val="en-US"/>
        </w:rPr>
        <w:t xml:space="preserve">    put:</w:t>
      </w:r>
    </w:p>
    <w:p w14:paraId="278EC1AD" w14:textId="77777777" w:rsidR="003513BE" w:rsidRPr="0008502E" w:rsidRDefault="003513BE" w:rsidP="003513BE">
      <w:pPr>
        <w:pStyle w:val="PL"/>
        <w:rPr>
          <w:lang w:val="en-US"/>
        </w:rPr>
      </w:pPr>
      <w:r w:rsidRPr="0008502E">
        <w:rPr>
          <w:lang w:val="en-US"/>
        </w:rPr>
        <w:t xml:space="preserve">      summary: update an existing Individual NWDAF VFL Inference Subscription</w:t>
      </w:r>
    </w:p>
    <w:p w14:paraId="2AA8C4BE" w14:textId="77777777" w:rsidR="003513BE" w:rsidRPr="0008502E" w:rsidRDefault="003513BE" w:rsidP="003513BE">
      <w:pPr>
        <w:pStyle w:val="PL"/>
        <w:rPr>
          <w:lang w:val="en-US"/>
        </w:rPr>
      </w:pPr>
      <w:r w:rsidRPr="0008502E">
        <w:rPr>
          <w:lang w:val="en-US"/>
        </w:rPr>
        <w:t xml:space="preserve">      operationId: UpdateNWDAFVFLInferenceSubcription</w:t>
      </w:r>
    </w:p>
    <w:p w14:paraId="27908986" w14:textId="77777777" w:rsidR="003513BE" w:rsidRPr="0008502E" w:rsidRDefault="003513BE" w:rsidP="003513BE">
      <w:pPr>
        <w:pStyle w:val="PL"/>
        <w:rPr>
          <w:lang w:val="en-US"/>
        </w:rPr>
      </w:pPr>
      <w:r w:rsidRPr="0008502E">
        <w:rPr>
          <w:lang w:val="en-US"/>
        </w:rPr>
        <w:t xml:space="preserve">      tags:</w:t>
      </w:r>
    </w:p>
    <w:p w14:paraId="6EF8A95D" w14:textId="77777777" w:rsidR="003513BE" w:rsidRPr="0008502E" w:rsidRDefault="003513BE" w:rsidP="003513BE">
      <w:pPr>
        <w:pStyle w:val="PL"/>
        <w:rPr>
          <w:lang w:val="en-US"/>
        </w:rPr>
      </w:pPr>
      <w:r w:rsidRPr="0008502E">
        <w:rPr>
          <w:lang w:val="en-US"/>
        </w:rPr>
        <w:t xml:space="preserve">        - Individual NWDAF VFL Inference Subscription (Document)</w:t>
      </w:r>
    </w:p>
    <w:p w14:paraId="54864883" w14:textId="77777777" w:rsidR="003513BE" w:rsidRPr="0008502E" w:rsidRDefault="003513BE" w:rsidP="003513BE">
      <w:pPr>
        <w:pStyle w:val="PL"/>
        <w:rPr>
          <w:lang w:val="en-US"/>
        </w:rPr>
      </w:pPr>
      <w:r w:rsidRPr="0008502E">
        <w:rPr>
          <w:lang w:val="en-US"/>
        </w:rPr>
        <w:t xml:space="preserve">      requestBody:</w:t>
      </w:r>
    </w:p>
    <w:p w14:paraId="3E98A53A" w14:textId="77777777" w:rsidR="003513BE" w:rsidRPr="0008502E" w:rsidRDefault="003513BE" w:rsidP="003513BE">
      <w:pPr>
        <w:pStyle w:val="PL"/>
        <w:rPr>
          <w:lang w:val="en-US"/>
        </w:rPr>
      </w:pPr>
      <w:r w:rsidRPr="0008502E">
        <w:rPr>
          <w:lang w:val="en-US"/>
        </w:rPr>
        <w:t xml:space="preserve">        required: true</w:t>
      </w:r>
    </w:p>
    <w:p w14:paraId="01078188" w14:textId="77777777" w:rsidR="003513BE" w:rsidRPr="0008502E" w:rsidRDefault="003513BE" w:rsidP="003513BE">
      <w:pPr>
        <w:pStyle w:val="PL"/>
        <w:rPr>
          <w:lang w:val="en-US"/>
        </w:rPr>
      </w:pPr>
      <w:r w:rsidRPr="0008502E">
        <w:rPr>
          <w:lang w:val="en-US"/>
        </w:rPr>
        <w:t xml:space="preserve">        content:</w:t>
      </w:r>
    </w:p>
    <w:p w14:paraId="1801019F" w14:textId="77777777" w:rsidR="003513BE" w:rsidRPr="0008502E" w:rsidRDefault="003513BE" w:rsidP="003513BE">
      <w:pPr>
        <w:pStyle w:val="PL"/>
        <w:rPr>
          <w:lang w:val="en-US"/>
        </w:rPr>
      </w:pPr>
      <w:r w:rsidRPr="0008502E">
        <w:rPr>
          <w:lang w:val="en-US"/>
        </w:rPr>
        <w:t xml:space="preserve">          application/json:</w:t>
      </w:r>
    </w:p>
    <w:p w14:paraId="79A7E19D" w14:textId="77777777" w:rsidR="003513BE" w:rsidRPr="0008502E" w:rsidRDefault="003513BE" w:rsidP="003513BE">
      <w:pPr>
        <w:pStyle w:val="PL"/>
        <w:rPr>
          <w:lang w:val="en-US"/>
        </w:rPr>
      </w:pPr>
      <w:r w:rsidRPr="0008502E">
        <w:rPr>
          <w:lang w:val="en-US"/>
        </w:rPr>
        <w:t xml:space="preserve">            schema:</w:t>
      </w:r>
    </w:p>
    <w:p w14:paraId="388739DC" w14:textId="77777777" w:rsidR="003513BE" w:rsidRPr="0008502E" w:rsidRDefault="003513BE" w:rsidP="003513BE">
      <w:pPr>
        <w:pStyle w:val="PL"/>
        <w:rPr>
          <w:lang w:val="en-US"/>
        </w:rPr>
      </w:pPr>
      <w:r w:rsidRPr="0008502E">
        <w:rPr>
          <w:lang w:val="en-US"/>
        </w:rPr>
        <w:t xml:space="preserve">              $ref: '#/components/schemas/VflInferSub'</w:t>
      </w:r>
    </w:p>
    <w:p w14:paraId="36C38BDB" w14:textId="77777777" w:rsidR="003513BE" w:rsidRPr="0008502E" w:rsidRDefault="003513BE" w:rsidP="003513BE">
      <w:pPr>
        <w:pStyle w:val="PL"/>
        <w:rPr>
          <w:lang w:val="en-US"/>
        </w:rPr>
      </w:pPr>
      <w:r w:rsidRPr="0008502E">
        <w:rPr>
          <w:lang w:val="en-US"/>
        </w:rPr>
        <w:t xml:space="preserve">      parameters:</w:t>
      </w:r>
    </w:p>
    <w:p w14:paraId="06D92FB9" w14:textId="77777777" w:rsidR="003513BE" w:rsidRPr="0008502E" w:rsidRDefault="003513BE" w:rsidP="003513BE">
      <w:pPr>
        <w:pStyle w:val="PL"/>
        <w:rPr>
          <w:lang w:val="en-US"/>
        </w:rPr>
      </w:pPr>
      <w:r w:rsidRPr="0008502E">
        <w:rPr>
          <w:lang w:val="en-US"/>
        </w:rPr>
        <w:t xml:space="preserve">        - name: subscriptionId</w:t>
      </w:r>
    </w:p>
    <w:p w14:paraId="5508738B" w14:textId="77777777" w:rsidR="003513BE" w:rsidRPr="0008502E" w:rsidRDefault="003513BE" w:rsidP="003513BE">
      <w:pPr>
        <w:pStyle w:val="PL"/>
        <w:rPr>
          <w:lang w:val="en-US"/>
        </w:rPr>
      </w:pPr>
      <w:r w:rsidRPr="0008502E">
        <w:rPr>
          <w:lang w:val="en-US"/>
        </w:rPr>
        <w:t xml:space="preserve">          in: path</w:t>
      </w:r>
    </w:p>
    <w:p w14:paraId="40458332" w14:textId="77777777" w:rsidR="003513BE" w:rsidRPr="0008502E" w:rsidRDefault="003513BE" w:rsidP="003513BE">
      <w:pPr>
        <w:pStyle w:val="PL"/>
        <w:rPr>
          <w:lang w:val="en-US"/>
        </w:rPr>
      </w:pPr>
      <w:r w:rsidRPr="0008502E">
        <w:rPr>
          <w:lang w:val="en-US"/>
        </w:rPr>
        <w:t xml:space="preserve">          description: String identifying a subscription to the Nnwdaf_VFLInference Service.</w:t>
      </w:r>
    </w:p>
    <w:p w14:paraId="45C6FDFD" w14:textId="77777777" w:rsidR="003513BE" w:rsidRPr="0008502E" w:rsidRDefault="003513BE" w:rsidP="003513BE">
      <w:pPr>
        <w:pStyle w:val="PL"/>
        <w:rPr>
          <w:lang w:val="en-US"/>
        </w:rPr>
      </w:pPr>
      <w:r w:rsidRPr="0008502E">
        <w:rPr>
          <w:lang w:val="en-US"/>
        </w:rPr>
        <w:t xml:space="preserve">          required: true</w:t>
      </w:r>
    </w:p>
    <w:p w14:paraId="7E0AB12B" w14:textId="77777777" w:rsidR="003513BE" w:rsidRPr="0008502E" w:rsidRDefault="003513BE" w:rsidP="003513BE">
      <w:pPr>
        <w:pStyle w:val="PL"/>
        <w:rPr>
          <w:lang w:val="en-US"/>
        </w:rPr>
      </w:pPr>
      <w:r w:rsidRPr="0008502E">
        <w:rPr>
          <w:lang w:val="en-US"/>
        </w:rPr>
        <w:t xml:space="preserve">          schema:</w:t>
      </w:r>
    </w:p>
    <w:p w14:paraId="7B3BABCA" w14:textId="77777777" w:rsidR="003513BE" w:rsidRPr="0008502E" w:rsidRDefault="003513BE" w:rsidP="003513BE">
      <w:pPr>
        <w:pStyle w:val="PL"/>
        <w:rPr>
          <w:lang w:val="en-US"/>
        </w:rPr>
      </w:pPr>
      <w:r w:rsidRPr="0008502E">
        <w:rPr>
          <w:lang w:val="en-US"/>
        </w:rPr>
        <w:t xml:space="preserve">            type: string</w:t>
      </w:r>
    </w:p>
    <w:p w14:paraId="3B3A5740" w14:textId="77777777" w:rsidR="003513BE" w:rsidRPr="0008502E" w:rsidRDefault="003513BE" w:rsidP="003513BE">
      <w:pPr>
        <w:pStyle w:val="PL"/>
        <w:rPr>
          <w:lang w:val="en-US"/>
        </w:rPr>
      </w:pPr>
      <w:r w:rsidRPr="0008502E">
        <w:rPr>
          <w:lang w:val="en-US"/>
        </w:rPr>
        <w:t xml:space="preserve">      responses:</w:t>
      </w:r>
    </w:p>
    <w:p w14:paraId="4831F742" w14:textId="77777777" w:rsidR="003513BE" w:rsidRPr="0008502E" w:rsidRDefault="003513BE" w:rsidP="003513BE">
      <w:pPr>
        <w:pStyle w:val="PL"/>
        <w:rPr>
          <w:lang w:val="en-US"/>
        </w:rPr>
      </w:pPr>
      <w:r w:rsidRPr="0008502E">
        <w:rPr>
          <w:lang w:val="en-US"/>
        </w:rPr>
        <w:t xml:space="preserve">        '200':</w:t>
      </w:r>
    </w:p>
    <w:p w14:paraId="3FE783FB" w14:textId="77777777" w:rsidR="003513BE" w:rsidRPr="0008502E" w:rsidRDefault="003513BE" w:rsidP="003513BE">
      <w:pPr>
        <w:pStyle w:val="PL"/>
        <w:rPr>
          <w:lang w:val="en-US"/>
        </w:rPr>
      </w:pPr>
      <w:r w:rsidRPr="0008502E">
        <w:rPr>
          <w:lang w:val="en-US"/>
        </w:rPr>
        <w:t xml:space="preserve">          description: &gt;</w:t>
      </w:r>
    </w:p>
    <w:p w14:paraId="2FBF0854" w14:textId="77777777" w:rsidR="003513BE" w:rsidRPr="0008502E" w:rsidRDefault="003513BE" w:rsidP="003513BE">
      <w:pPr>
        <w:pStyle w:val="PL"/>
        <w:rPr>
          <w:lang w:val="en-US"/>
        </w:rPr>
      </w:pPr>
      <w:r w:rsidRPr="0008502E">
        <w:rPr>
          <w:lang w:val="en-US"/>
        </w:rPr>
        <w:t xml:space="preserve">            The Individual NWDAF VFL Inference Subscription resource was modified</w:t>
      </w:r>
    </w:p>
    <w:p w14:paraId="4EAF57AE" w14:textId="77777777" w:rsidR="003513BE" w:rsidRPr="0008502E" w:rsidRDefault="003513BE" w:rsidP="003513BE">
      <w:pPr>
        <w:pStyle w:val="PL"/>
        <w:rPr>
          <w:lang w:val="en-US"/>
        </w:rPr>
      </w:pPr>
      <w:r w:rsidRPr="0008502E">
        <w:rPr>
          <w:lang w:val="en-US"/>
        </w:rPr>
        <w:t xml:space="preserve">            successfully and a representation of that resource is returned.</w:t>
      </w:r>
    </w:p>
    <w:p w14:paraId="37C38DE5" w14:textId="77777777" w:rsidR="003513BE" w:rsidRPr="0008502E" w:rsidRDefault="003513BE" w:rsidP="003513BE">
      <w:pPr>
        <w:pStyle w:val="PL"/>
        <w:rPr>
          <w:lang w:val="en-US"/>
        </w:rPr>
      </w:pPr>
      <w:r w:rsidRPr="0008502E">
        <w:rPr>
          <w:lang w:val="en-US"/>
        </w:rPr>
        <w:t xml:space="preserve">          content:</w:t>
      </w:r>
    </w:p>
    <w:p w14:paraId="6427624E" w14:textId="77777777" w:rsidR="003513BE" w:rsidRPr="0008502E" w:rsidRDefault="003513BE" w:rsidP="003513BE">
      <w:pPr>
        <w:pStyle w:val="PL"/>
        <w:rPr>
          <w:lang w:val="en-US"/>
        </w:rPr>
      </w:pPr>
      <w:r w:rsidRPr="0008502E">
        <w:rPr>
          <w:lang w:val="en-US"/>
        </w:rPr>
        <w:t xml:space="preserve">            application/json:</w:t>
      </w:r>
    </w:p>
    <w:p w14:paraId="55F33B8D" w14:textId="77777777" w:rsidR="003513BE" w:rsidRPr="0008502E" w:rsidRDefault="003513BE" w:rsidP="003513BE">
      <w:pPr>
        <w:pStyle w:val="PL"/>
        <w:rPr>
          <w:lang w:val="en-US"/>
        </w:rPr>
      </w:pPr>
      <w:r w:rsidRPr="0008502E">
        <w:rPr>
          <w:lang w:val="en-US"/>
        </w:rPr>
        <w:t xml:space="preserve">              schema:</w:t>
      </w:r>
    </w:p>
    <w:p w14:paraId="6F407BAB" w14:textId="77777777" w:rsidR="003513BE" w:rsidRPr="0008502E" w:rsidRDefault="003513BE" w:rsidP="003513BE">
      <w:pPr>
        <w:pStyle w:val="PL"/>
        <w:rPr>
          <w:lang w:val="en-US"/>
        </w:rPr>
      </w:pPr>
      <w:r w:rsidRPr="0008502E">
        <w:rPr>
          <w:lang w:val="en-US"/>
        </w:rPr>
        <w:t xml:space="preserve">                $ref: '#/components/schemas/VflInferSub'</w:t>
      </w:r>
    </w:p>
    <w:p w14:paraId="17D53B18" w14:textId="77777777" w:rsidR="003513BE" w:rsidRPr="0008502E" w:rsidRDefault="003513BE" w:rsidP="003513BE">
      <w:pPr>
        <w:pStyle w:val="PL"/>
        <w:rPr>
          <w:lang w:val="en-US"/>
        </w:rPr>
      </w:pPr>
      <w:r w:rsidRPr="0008502E">
        <w:rPr>
          <w:lang w:val="en-US"/>
        </w:rPr>
        <w:t xml:space="preserve">        '204':</w:t>
      </w:r>
    </w:p>
    <w:p w14:paraId="6A48D7D1" w14:textId="77777777" w:rsidR="003513BE" w:rsidRPr="0008502E" w:rsidRDefault="003513BE" w:rsidP="003513BE">
      <w:pPr>
        <w:pStyle w:val="PL"/>
        <w:rPr>
          <w:lang w:val="en-US"/>
        </w:rPr>
      </w:pPr>
      <w:r w:rsidRPr="0008502E">
        <w:rPr>
          <w:lang w:val="en-US"/>
        </w:rPr>
        <w:t xml:space="preserve">          description: &gt;</w:t>
      </w:r>
    </w:p>
    <w:p w14:paraId="078C4D70" w14:textId="77777777" w:rsidR="003513BE" w:rsidRPr="0008502E" w:rsidRDefault="003513BE" w:rsidP="003513BE">
      <w:pPr>
        <w:pStyle w:val="PL"/>
        <w:rPr>
          <w:lang w:val="en-US"/>
        </w:rPr>
      </w:pPr>
      <w:r w:rsidRPr="0008502E">
        <w:rPr>
          <w:lang w:val="en-US"/>
        </w:rPr>
        <w:t xml:space="preserve">            The Individual NWDAF VFL Inference Subscription resource was modified</w:t>
      </w:r>
    </w:p>
    <w:p w14:paraId="2C83735E" w14:textId="77777777" w:rsidR="003513BE" w:rsidRPr="0008502E" w:rsidRDefault="003513BE" w:rsidP="003513BE">
      <w:pPr>
        <w:pStyle w:val="PL"/>
        <w:rPr>
          <w:lang w:val="en-US"/>
        </w:rPr>
      </w:pPr>
      <w:r w:rsidRPr="0008502E">
        <w:rPr>
          <w:lang w:val="en-US"/>
        </w:rPr>
        <w:t xml:space="preserve">            successfully.</w:t>
      </w:r>
    </w:p>
    <w:p w14:paraId="49EDA108" w14:textId="77777777" w:rsidR="003513BE" w:rsidRPr="0008502E" w:rsidRDefault="003513BE" w:rsidP="003513BE">
      <w:pPr>
        <w:pStyle w:val="PL"/>
        <w:rPr>
          <w:lang w:val="en-US"/>
        </w:rPr>
      </w:pPr>
      <w:r w:rsidRPr="0008502E">
        <w:rPr>
          <w:lang w:val="en-US"/>
        </w:rPr>
        <w:t xml:space="preserve">        '307':</w:t>
      </w:r>
    </w:p>
    <w:p w14:paraId="3C479F7A" w14:textId="77777777" w:rsidR="003513BE" w:rsidRPr="0008502E" w:rsidRDefault="003513BE" w:rsidP="003513BE">
      <w:pPr>
        <w:pStyle w:val="PL"/>
        <w:rPr>
          <w:lang w:val="en-US"/>
        </w:rPr>
      </w:pPr>
      <w:r w:rsidRPr="0008502E">
        <w:rPr>
          <w:lang w:val="en-US"/>
        </w:rPr>
        <w:t xml:space="preserve">          $ref: 'TS29571_CommonData.yaml#/components/responses/307'</w:t>
      </w:r>
    </w:p>
    <w:p w14:paraId="22BDD08E" w14:textId="77777777" w:rsidR="003513BE" w:rsidRPr="0008502E" w:rsidRDefault="003513BE" w:rsidP="003513BE">
      <w:pPr>
        <w:pStyle w:val="PL"/>
        <w:rPr>
          <w:lang w:val="en-US"/>
        </w:rPr>
      </w:pPr>
      <w:r w:rsidRPr="0008502E">
        <w:rPr>
          <w:lang w:val="en-US"/>
        </w:rPr>
        <w:t xml:space="preserve">        '308':</w:t>
      </w:r>
    </w:p>
    <w:p w14:paraId="66F6AB21" w14:textId="77777777" w:rsidR="003513BE" w:rsidRPr="0008502E" w:rsidRDefault="003513BE" w:rsidP="003513BE">
      <w:pPr>
        <w:pStyle w:val="PL"/>
        <w:rPr>
          <w:lang w:val="en-US"/>
        </w:rPr>
      </w:pPr>
      <w:r w:rsidRPr="0008502E">
        <w:rPr>
          <w:lang w:val="en-US"/>
        </w:rPr>
        <w:t xml:space="preserve">          $ref: 'TS29571_CommonData.yaml#/components/responses/308'</w:t>
      </w:r>
    </w:p>
    <w:p w14:paraId="200FFF23" w14:textId="77777777" w:rsidR="003513BE" w:rsidRPr="0008502E" w:rsidRDefault="003513BE" w:rsidP="003513BE">
      <w:pPr>
        <w:pStyle w:val="PL"/>
        <w:rPr>
          <w:lang w:val="en-US"/>
        </w:rPr>
      </w:pPr>
      <w:r w:rsidRPr="0008502E">
        <w:rPr>
          <w:lang w:val="en-US"/>
        </w:rPr>
        <w:t xml:space="preserve">        '400':</w:t>
      </w:r>
    </w:p>
    <w:p w14:paraId="20BB95A4" w14:textId="77777777" w:rsidR="003513BE" w:rsidRPr="0008502E" w:rsidRDefault="003513BE" w:rsidP="003513BE">
      <w:pPr>
        <w:pStyle w:val="PL"/>
        <w:rPr>
          <w:lang w:val="en-US"/>
        </w:rPr>
      </w:pPr>
      <w:r w:rsidRPr="0008502E">
        <w:rPr>
          <w:lang w:val="en-US"/>
        </w:rPr>
        <w:t xml:space="preserve">          $ref: 'TS29571_CommonData.yaml#/components/responses/400'</w:t>
      </w:r>
    </w:p>
    <w:p w14:paraId="576889B2" w14:textId="77777777" w:rsidR="003513BE" w:rsidRPr="0008502E" w:rsidRDefault="003513BE" w:rsidP="003513BE">
      <w:pPr>
        <w:pStyle w:val="PL"/>
        <w:rPr>
          <w:lang w:val="en-US"/>
        </w:rPr>
      </w:pPr>
      <w:r w:rsidRPr="0008502E">
        <w:rPr>
          <w:lang w:val="en-US"/>
        </w:rPr>
        <w:t xml:space="preserve">        '401':</w:t>
      </w:r>
    </w:p>
    <w:p w14:paraId="607758B0" w14:textId="77777777" w:rsidR="003513BE" w:rsidRPr="0008502E" w:rsidRDefault="003513BE" w:rsidP="003513BE">
      <w:pPr>
        <w:pStyle w:val="PL"/>
        <w:rPr>
          <w:lang w:val="en-US"/>
        </w:rPr>
      </w:pPr>
      <w:r w:rsidRPr="0008502E">
        <w:rPr>
          <w:lang w:val="en-US"/>
        </w:rPr>
        <w:t xml:space="preserve">          $ref: 'TS29571_CommonData.yaml#/components/responses/401'</w:t>
      </w:r>
    </w:p>
    <w:p w14:paraId="5D924EC6" w14:textId="77777777" w:rsidR="003513BE" w:rsidRPr="0008502E" w:rsidRDefault="003513BE" w:rsidP="003513BE">
      <w:pPr>
        <w:pStyle w:val="PL"/>
        <w:rPr>
          <w:lang w:val="en-US"/>
        </w:rPr>
      </w:pPr>
      <w:r w:rsidRPr="0008502E">
        <w:rPr>
          <w:lang w:val="en-US"/>
        </w:rPr>
        <w:t xml:space="preserve">        '403':</w:t>
      </w:r>
    </w:p>
    <w:p w14:paraId="50E4DEEA" w14:textId="77777777" w:rsidR="003513BE" w:rsidRPr="0008502E" w:rsidRDefault="003513BE" w:rsidP="003513BE">
      <w:pPr>
        <w:pStyle w:val="PL"/>
        <w:rPr>
          <w:lang w:val="en-US"/>
        </w:rPr>
      </w:pPr>
      <w:r w:rsidRPr="0008502E">
        <w:rPr>
          <w:lang w:val="en-US"/>
        </w:rPr>
        <w:t xml:space="preserve">          $ref: 'TS29571_CommonData.yaml#/components/responses/403'</w:t>
      </w:r>
    </w:p>
    <w:p w14:paraId="7748A0CE" w14:textId="77777777" w:rsidR="003513BE" w:rsidRPr="0008502E" w:rsidRDefault="003513BE" w:rsidP="003513BE">
      <w:pPr>
        <w:pStyle w:val="PL"/>
        <w:rPr>
          <w:lang w:val="en-US"/>
        </w:rPr>
      </w:pPr>
      <w:r w:rsidRPr="0008502E">
        <w:rPr>
          <w:lang w:val="en-US"/>
        </w:rPr>
        <w:t xml:space="preserve">        '404':</w:t>
      </w:r>
    </w:p>
    <w:p w14:paraId="384DEAF5" w14:textId="77777777" w:rsidR="003513BE" w:rsidRPr="0008502E" w:rsidRDefault="003513BE" w:rsidP="003513BE">
      <w:pPr>
        <w:pStyle w:val="PL"/>
        <w:rPr>
          <w:lang w:val="en-US"/>
        </w:rPr>
      </w:pPr>
      <w:r w:rsidRPr="0008502E">
        <w:rPr>
          <w:lang w:val="en-US"/>
        </w:rPr>
        <w:t xml:space="preserve">          $ref: 'TS29571_CommonData.yaml#/components/responses/404'</w:t>
      </w:r>
    </w:p>
    <w:p w14:paraId="203B970B" w14:textId="77777777" w:rsidR="003513BE" w:rsidRPr="0008502E" w:rsidRDefault="003513BE" w:rsidP="003513BE">
      <w:pPr>
        <w:pStyle w:val="PL"/>
        <w:rPr>
          <w:lang w:val="en-US"/>
        </w:rPr>
      </w:pPr>
      <w:r w:rsidRPr="0008502E">
        <w:rPr>
          <w:lang w:val="en-US"/>
        </w:rPr>
        <w:t xml:space="preserve">        '411':</w:t>
      </w:r>
    </w:p>
    <w:p w14:paraId="291E32E6" w14:textId="77777777" w:rsidR="003513BE" w:rsidRPr="0008502E" w:rsidRDefault="003513BE" w:rsidP="003513BE">
      <w:pPr>
        <w:pStyle w:val="PL"/>
        <w:rPr>
          <w:lang w:val="en-US"/>
        </w:rPr>
      </w:pPr>
      <w:r w:rsidRPr="0008502E">
        <w:rPr>
          <w:lang w:val="en-US"/>
        </w:rPr>
        <w:t xml:space="preserve">          $ref: 'TS29571_CommonData.yaml#/components/responses/411'</w:t>
      </w:r>
    </w:p>
    <w:p w14:paraId="06937A59" w14:textId="77777777" w:rsidR="003513BE" w:rsidRPr="0008502E" w:rsidRDefault="003513BE" w:rsidP="003513BE">
      <w:pPr>
        <w:pStyle w:val="PL"/>
        <w:rPr>
          <w:lang w:val="en-US"/>
        </w:rPr>
      </w:pPr>
      <w:r w:rsidRPr="0008502E">
        <w:rPr>
          <w:lang w:val="en-US"/>
        </w:rPr>
        <w:lastRenderedPageBreak/>
        <w:t xml:space="preserve">        '413':</w:t>
      </w:r>
    </w:p>
    <w:p w14:paraId="62C9652C" w14:textId="77777777" w:rsidR="003513BE" w:rsidRPr="0008502E" w:rsidRDefault="003513BE" w:rsidP="003513BE">
      <w:pPr>
        <w:pStyle w:val="PL"/>
        <w:rPr>
          <w:lang w:val="en-US"/>
        </w:rPr>
      </w:pPr>
      <w:r w:rsidRPr="0008502E">
        <w:rPr>
          <w:lang w:val="en-US"/>
        </w:rPr>
        <w:t xml:space="preserve">          $ref: 'TS29571_CommonData.yaml#/components/responses/413'</w:t>
      </w:r>
    </w:p>
    <w:p w14:paraId="633B35B4" w14:textId="77777777" w:rsidR="003513BE" w:rsidRPr="0008502E" w:rsidRDefault="003513BE" w:rsidP="003513BE">
      <w:pPr>
        <w:pStyle w:val="PL"/>
        <w:rPr>
          <w:lang w:val="en-US"/>
        </w:rPr>
      </w:pPr>
      <w:r w:rsidRPr="0008502E">
        <w:rPr>
          <w:lang w:val="en-US"/>
        </w:rPr>
        <w:t xml:space="preserve">        '415':</w:t>
      </w:r>
    </w:p>
    <w:p w14:paraId="718829BB" w14:textId="77777777" w:rsidR="003513BE" w:rsidRPr="0008502E" w:rsidRDefault="003513BE" w:rsidP="003513BE">
      <w:pPr>
        <w:pStyle w:val="PL"/>
        <w:rPr>
          <w:lang w:val="en-US"/>
        </w:rPr>
      </w:pPr>
      <w:r w:rsidRPr="0008502E">
        <w:rPr>
          <w:lang w:val="en-US"/>
        </w:rPr>
        <w:t xml:space="preserve">          $ref: 'TS29571_CommonData.yaml#/components/responses/415'</w:t>
      </w:r>
    </w:p>
    <w:p w14:paraId="0FB5E7FE" w14:textId="77777777" w:rsidR="003513BE" w:rsidRPr="0008502E" w:rsidRDefault="003513BE" w:rsidP="003513BE">
      <w:pPr>
        <w:pStyle w:val="PL"/>
        <w:rPr>
          <w:lang w:val="en-US"/>
        </w:rPr>
      </w:pPr>
      <w:r w:rsidRPr="0008502E">
        <w:rPr>
          <w:lang w:val="en-US"/>
        </w:rPr>
        <w:t xml:space="preserve">        '429':</w:t>
      </w:r>
    </w:p>
    <w:p w14:paraId="5091B4E5" w14:textId="77777777" w:rsidR="003513BE" w:rsidRPr="0008502E" w:rsidRDefault="003513BE" w:rsidP="003513BE">
      <w:pPr>
        <w:pStyle w:val="PL"/>
        <w:rPr>
          <w:lang w:val="en-US"/>
        </w:rPr>
      </w:pPr>
      <w:r w:rsidRPr="0008502E">
        <w:rPr>
          <w:lang w:val="en-US"/>
        </w:rPr>
        <w:t xml:space="preserve">          $ref: 'TS29571_CommonData.yaml#/components/responses/429'</w:t>
      </w:r>
    </w:p>
    <w:p w14:paraId="00D582D2" w14:textId="77777777" w:rsidR="003513BE" w:rsidRPr="0008502E" w:rsidRDefault="003513BE" w:rsidP="003513BE">
      <w:pPr>
        <w:pStyle w:val="PL"/>
        <w:rPr>
          <w:lang w:val="en-US"/>
        </w:rPr>
      </w:pPr>
      <w:r w:rsidRPr="0008502E">
        <w:rPr>
          <w:lang w:val="en-US"/>
        </w:rPr>
        <w:t xml:space="preserve">        '500':</w:t>
      </w:r>
    </w:p>
    <w:p w14:paraId="1A086CA9" w14:textId="77777777" w:rsidR="003513BE" w:rsidRPr="0008502E" w:rsidRDefault="003513BE" w:rsidP="003513BE">
      <w:pPr>
        <w:pStyle w:val="PL"/>
        <w:rPr>
          <w:lang w:val="en-US"/>
        </w:rPr>
      </w:pPr>
      <w:r w:rsidRPr="0008502E">
        <w:rPr>
          <w:lang w:val="en-US"/>
        </w:rPr>
        <w:t xml:space="preserve">          $ref: 'TS29571_CommonData.yaml#/components/responses/500'</w:t>
      </w:r>
    </w:p>
    <w:p w14:paraId="503D55FA" w14:textId="77777777" w:rsidR="003513BE" w:rsidRPr="0008502E" w:rsidRDefault="003513BE" w:rsidP="003513BE">
      <w:pPr>
        <w:pStyle w:val="PL"/>
        <w:rPr>
          <w:lang w:val="en-US"/>
        </w:rPr>
      </w:pPr>
      <w:r w:rsidRPr="0008502E">
        <w:rPr>
          <w:lang w:val="en-US"/>
        </w:rPr>
        <w:t xml:space="preserve">        '502':</w:t>
      </w:r>
    </w:p>
    <w:p w14:paraId="5C184135" w14:textId="77777777" w:rsidR="003513BE" w:rsidRPr="0008502E" w:rsidRDefault="003513BE" w:rsidP="003513BE">
      <w:pPr>
        <w:pStyle w:val="PL"/>
        <w:rPr>
          <w:lang w:val="en-US"/>
        </w:rPr>
      </w:pPr>
      <w:r w:rsidRPr="0008502E">
        <w:rPr>
          <w:lang w:val="en-US"/>
        </w:rPr>
        <w:t xml:space="preserve">          $ref: 'TS29571_CommonData.yaml#/components/responses/502'</w:t>
      </w:r>
    </w:p>
    <w:p w14:paraId="298A6745" w14:textId="77777777" w:rsidR="003513BE" w:rsidRPr="0008502E" w:rsidRDefault="003513BE" w:rsidP="003513BE">
      <w:pPr>
        <w:pStyle w:val="PL"/>
        <w:rPr>
          <w:lang w:val="en-US"/>
        </w:rPr>
      </w:pPr>
      <w:r w:rsidRPr="0008502E">
        <w:rPr>
          <w:lang w:val="en-US"/>
        </w:rPr>
        <w:t xml:space="preserve">        '503':</w:t>
      </w:r>
    </w:p>
    <w:p w14:paraId="3DA893D0" w14:textId="77777777" w:rsidR="003513BE" w:rsidRPr="0008502E" w:rsidRDefault="003513BE" w:rsidP="003513BE">
      <w:pPr>
        <w:pStyle w:val="PL"/>
        <w:rPr>
          <w:lang w:val="en-US"/>
        </w:rPr>
      </w:pPr>
      <w:r w:rsidRPr="0008502E">
        <w:rPr>
          <w:lang w:val="en-US"/>
        </w:rPr>
        <w:t xml:space="preserve">          $ref: 'TS29571_CommonData.yaml#/components/responses/503'</w:t>
      </w:r>
    </w:p>
    <w:p w14:paraId="073B72ED" w14:textId="77777777" w:rsidR="003513BE" w:rsidRPr="0008502E" w:rsidRDefault="003513BE" w:rsidP="003513BE">
      <w:pPr>
        <w:pStyle w:val="PL"/>
        <w:rPr>
          <w:lang w:val="en-US"/>
        </w:rPr>
      </w:pPr>
      <w:r w:rsidRPr="0008502E">
        <w:rPr>
          <w:lang w:val="en-US"/>
        </w:rPr>
        <w:t xml:space="preserve">        default:</w:t>
      </w:r>
    </w:p>
    <w:p w14:paraId="0EB491D7" w14:textId="77777777" w:rsidR="003513BE" w:rsidRPr="0008502E" w:rsidRDefault="003513BE" w:rsidP="003513BE">
      <w:pPr>
        <w:pStyle w:val="PL"/>
        <w:rPr>
          <w:lang w:val="en-US"/>
        </w:rPr>
      </w:pPr>
      <w:r w:rsidRPr="0008502E">
        <w:rPr>
          <w:lang w:val="en-US"/>
        </w:rPr>
        <w:t xml:space="preserve">          $ref: 'TS29571_CommonData.yaml#/components/responses/default'</w:t>
      </w:r>
    </w:p>
    <w:p w14:paraId="404BB13C" w14:textId="77777777" w:rsidR="003513BE" w:rsidRPr="0008502E" w:rsidRDefault="003513BE" w:rsidP="003513BE">
      <w:pPr>
        <w:pStyle w:val="PL"/>
        <w:rPr>
          <w:lang w:val="en-US"/>
        </w:rPr>
      </w:pPr>
      <w:r w:rsidRPr="0008502E">
        <w:rPr>
          <w:lang w:val="en-US"/>
        </w:rPr>
        <w:t xml:space="preserve">    patch:</w:t>
      </w:r>
    </w:p>
    <w:p w14:paraId="32DB1341" w14:textId="77777777" w:rsidR="003513BE" w:rsidRPr="0008502E" w:rsidRDefault="003513BE" w:rsidP="003513BE">
      <w:pPr>
        <w:pStyle w:val="PL"/>
        <w:rPr>
          <w:lang w:val="en-US"/>
        </w:rPr>
      </w:pPr>
      <w:r w:rsidRPr="0008502E">
        <w:rPr>
          <w:lang w:val="en-US"/>
        </w:rPr>
        <w:t xml:space="preserve">      summary: partial update an existing Individual NWDAF VFL Inference Subscription</w:t>
      </w:r>
    </w:p>
    <w:p w14:paraId="197E70E5" w14:textId="77777777" w:rsidR="003513BE" w:rsidRPr="0008502E" w:rsidRDefault="003513BE" w:rsidP="003513BE">
      <w:pPr>
        <w:pStyle w:val="PL"/>
        <w:rPr>
          <w:lang w:val="en-US"/>
        </w:rPr>
      </w:pPr>
      <w:r w:rsidRPr="0008502E">
        <w:rPr>
          <w:lang w:val="en-US"/>
        </w:rPr>
        <w:t xml:space="preserve">      operationId: PartialUpdateNWDAFVFLInferenceSubcription</w:t>
      </w:r>
    </w:p>
    <w:p w14:paraId="22BDB139" w14:textId="77777777" w:rsidR="003513BE" w:rsidRPr="0008502E" w:rsidRDefault="003513BE" w:rsidP="003513BE">
      <w:pPr>
        <w:pStyle w:val="PL"/>
        <w:rPr>
          <w:lang w:val="en-US"/>
        </w:rPr>
      </w:pPr>
      <w:r w:rsidRPr="0008502E">
        <w:rPr>
          <w:lang w:val="en-US"/>
        </w:rPr>
        <w:t xml:space="preserve">      tags:</w:t>
      </w:r>
    </w:p>
    <w:p w14:paraId="62449BBD" w14:textId="77777777" w:rsidR="003513BE" w:rsidRPr="0008502E" w:rsidRDefault="003513BE" w:rsidP="003513BE">
      <w:pPr>
        <w:pStyle w:val="PL"/>
        <w:rPr>
          <w:lang w:val="en-US"/>
        </w:rPr>
      </w:pPr>
      <w:r w:rsidRPr="0008502E">
        <w:rPr>
          <w:lang w:val="en-US"/>
        </w:rPr>
        <w:t xml:space="preserve">        - Individual NWDAF VFL Inference Subscription (Document)</w:t>
      </w:r>
    </w:p>
    <w:p w14:paraId="7D179F29" w14:textId="77777777" w:rsidR="003513BE" w:rsidRPr="0008502E" w:rsidRDefault="003513BE" w:rsidP="003513BE">
      <w:pPr>
        <w:pStyle w:val="PL"/>
        <w:rPr>
          <w:lang w:val="en-US"/>
        </w:rPr>
      </w:pPr>
      <w:r w:rsidRPr="0008502E">
        <w:rPr>
          <w:lang w:val="en-US"/>
        </w:rPr>
        <w:t xml:space="preserve">      requestBody:</w:t>
      </w:r>
    </w:p>
    <w:p w14:paraId="0E41F19E" w14:textId="77777777" w:rsidR="003513BE" w:rsidRPr="0008502E" w:rsidRDefault="003513BE" w:rsidP="003513BE">
      <w:pPr>
        <w:pStyle w:val="PL"/>
        <w:rPr>
          <w:lang w:val="en-US"/>
        </w:rPr>
      </w:pPr>
      <w:r w:rsidRPr="0008502E">
        <w:rPr>
          <w:lang w:val="en-US"/>
        </w:rPr>
        <w:t xml:space="preserve">        required: true</w:t>
      </w:r>
    </w:p>
    <w:p w14:paraId="12DEE87C" w14:textId="77777777" w:rsidR="003513BE" w:rsidRPr="0008502E" w:rsidRDefault="003513BE" w:rsidP="003513BE">
      <w:pPr>
        <w:pStyle w:val="PL"/>
        <w:rPr>
          <w:lang w:val="en-US"/>
        </w:rPr>
      </w:pPr>
      <w:r w:rsidRPr="0008502E">
        <w:rPr>
          <w:lang w:val="en-US"/>
        </w:rPr>
        <w:t xml:space="preserve">        content:</w:t>
      </w:r>
    </w:p>
    <w:p w14:paraId="0C89855D" w14:textId="77777777" w:rsidR="003513BE" w:rsidRPr="0008502E" w:rsidRDefault="003513BE" w:rsidP="003513BE">
      <w:pPr>
        <w:pStyle w:val="PL"/>
        <w:rPr>
          <w:lang w:val="en-US"/>
        </w:rPr>
      </w:pPr>
      <w:r w:rsidRPr="0008502E">
        <w:rPr>
          <w:lang w:val="en-US"/>
        </w:rPr>
        <w:t xml:space="preserve">          application/merge-patch+json:</w:t>
      </w:r>
    </w:p>
    <w:p w14:paraId="12CDE9A0" w14:textId="77777777" w:rsidR="003513BE" w:rsidRPr="0008502E" w:rsidRDefault="003513BE" w:rsidP="003513BE">
      <w:pPr>
        <w:pStyle w:val="PL"/>
        <w:rPr>
          <w:lang w:val="en-US"/>
        </w:rPr>
      </w:pPr>
      <w:r w:rsidRPr="0008502E">
        <w:rPr>
          <w:lang w:val="en-US"/>
        </w:rPr>
        <w:t xml:space="preserve">            schema:</w:t>
      </w:r>
    </w:p>
    <w:p w14:paraId="00885261" w14:textId="77777777" w:rsidR="003513BE" w:rsidRPr="0008502E" w:rsidRDefault="003513BE" w:rsidP="003513BE">
      <w:pPr>
        <w:pStyle w:val="PL"/>
        <w:rPr>
          <w:lang w:val="en-US"/>
        </w:rPr>
      </w:pPr>
      <w:r w:rsidRPr="0008502E">
        <w:rPr>
          <w:lang w:val="en-US"/>
        </w:rPr>
        <w:t xml:space="preserve">              $ref: '#/components/schemas/VflInferSubPatch'</w:t>
      </w:r>
    </w:p>
    <w:p w14:paraId="08CD1002" w14:textId="77777777" w:rsidR="003513BE" w:rsidRPr="0008502E" w:rsidRDefault="003513BE" w:rsidP="003513BE">
      <w:pPr>
        <w:pStyle w:val="PL"/>
        <w:rPr>
          <w:lang w:val="en-US"/>
        </w:rPr>
      </w:pPr>
      <w:r w:rsidRPr="0008502E">
        <w:rPr>
          <w:lang w:val="en-US"/>
        </w:rPr>
        <w:t xml:space="preserve">      parameters:</w:t>
      </w:r>
    </w:p>
    <w:p w14:paraId="3DEBDC1E" w14:textId="77777777" w:rsidR="003513BE" w:rsidRPr="0008502E" w:rsidRDefault="003513BE" w:rsidP="003513BE">
      <w:pPr>
        <w:pStyle w:val="PL"/>
        <w:rPr>
          <w:lang w:val="en-US"/>
        </w:rPr>
      </w:pPr>
      <w:r w:rsidRPr="0008502E">
        <w:rPr>
          <w:lang w:val="en-US"/>
        </w:rPr>
        <w:t xml:space="preserve">        - name: subscriptionId</w:t>
      </w:r>
    </w:p>
    <w:p w14:paraId="1C684381" w14:textId="77777777" w:rsidR="003513BE" w:rsidRPr="0008502E" w:rsidRDefault="003513BE" w:rsidP="003513BE">
      <w:pPr>
        <w:pStyle w:val="PL"/>
        <w:rPr>
          <w:lang w:val="en-US"/>
        </w:rPr>
      </w:pPr>
      <w:r w:rsidRPr="0008502E">
        <w:rPr>
          <w:lang w:val="en-US"/>
        </w:rPr>
        <w:t xml:space="preserve">          in: path</w:t>
      </w:r>
    </w:p>
    <w:p w14:paraId="66F26A80" w14:textId="77777777" w:rsidR="003513BE" w:rsidRPr="0008502E" w:rsidRDefault="003513BE" w:rsidP="003513BE">
      <w:pPr>
        <w:pStyle w:val="PL"/>
        <w:rPr>
          <w:lang w:val="en-US"/>
        </w:rPr>
      </w:pPr>
      <w:r w:rsidRPr="0008502E">
        <w:rPr>
          <w:lang w:val="en-US"/>
        </w:rPr>
        <w:t xml:space="preserve">          description: String identifying a subscription to the Nnwdaf_VflInference Service.</w:t>
      </w:r>
    </w:p>
    <w:p w14:paraId="7CECAB01" w14:textId="77777777" w:rsidR="003513BE" w:rsidRPr="0008502E" w:rsidRDefault="003513BE" w:rsidP="003513BE">
      <w:pPr>
        <w:pStyle w:val="PL"/>
        <w:rPr>
          <w:lang w:val="en-US"/>
        </w:rPr>
      </w:pPr>
      <w:r w:rsidRPr="0008502E">
        <w:rPr>
          <w:lang w:val="en-US"/>
        </w:rPr>
        <w:t xml:space="preserve">          required: true</w:t>
      </w:r>
    </w:p>
    <w:p w14:paraId="1E6944E5" w14:textId="77777777" w:rsidR="003513BE" w:rsidRPr="0008502E" w:rsidRDefault="003513BE" w:rsidP="003513BE">
      <w:pPr>
        <w:pStyle w:val="PL"/>
        <w:rPr>
          <w:lang w:val="en-US"/>
        </w:rPr>
      </w:pPr>
      <w:r w:rsidRPr="0008502E">
        <w:rPr>
          <w:lang w:val="en-US"/>
        </w:rPr>
        <w:t xml:space="preserve">          schema:</w:t>
      </w:r>
    </w:p>
    <w:p w14:paraId="4784BEA9" w14:textId="77777777" w:rsidR="003513BE" w:rsidRPr="0008502E" w:rsidRDefault="003513BE" w:rsidP="003513BE">
      <w:pPr>
        <w:pStyle w:val="PL"/>
        <w:rPr>
          <w:lang w:val="en-US"/>
        </w:rPr>
      </w:pPr>
      <w:r w:rsidRPr="0008502E">
        <w:rPr>
          <w:lang w:val="en-US"/>
        </w:rPr>
        <w:t xml:space="preserve">            type: string</w:t>
      </w:r>
    </w:p>
    <w:p w14:paraId="4A933F72" w14:textId="77777777" w:rsidR="003513BE" w:rsidRPr="0008502E" w:rsidRDefault="003513BE" w:rsidP="003513BE">
      <w:pPr>
        <w:pStyle w:val="PL"/>
        <w:rPr>
          <w:lang w:val="en-US"/>
        </w:rPr>
      </w:pPr>
      <w:r w:rsidRPr="0008502E">
        <w:rPr>
          <w:lang w:val="en-US"/>
        </w:rPr>
        <w:t xml:space="preserve">      responses:</w:t>
      </w:r>
    </w:p>
    <w:p w14:paraId="0DF5E164" w14:textId="77777777" w:rsidR="003513BE" w:rsidRPr="0008502E" w:rsidRDefault="003513BE" w:rsidP="003513BE">
      <w:pPr>
        <w:pStyle w:val="PL"/>
        <w:rPr>
          <w:lang w:val="en-US"/>
        </w:rPr>
      </w:pPr>
      <w:r w:rsidRPr="0008502E">
        <w:rPr>
          <w:lang w:val="en-US"/>
        </w:rPr>
        <w:t xml:space="preserve">        '200':</w:t>
      </w:r>
    </w:p>
    <w:p w14:paraId="2CD47F2A" w14:textId="77777777" w:rsidR="003513BE" w:rsidRPr="0008502E" w:rsidRDefault="003513BE" w:rsidP="003513BE">
      <w:pPr>
        <w:pStyle w:val="PL"/>
        <w:rPr>
          <w:lang w:val="en-US"/>
        </w:rPr>
      </w:pPr>
      <w:r w:rsidRPr="0008502E">
        <w:rPr>
          <w:lang w:val="en-US"/>
        </w:rPr>
        <w:t xml:space="preserve">          description: &gt;</w:t>
      </w:r>
    </w:p>
    <w:p w14:paraId="6F1F2CD2" w14:textId="77777777" w:rsidR="003513BE" w:rsidRPr="0008502E" w:rsidRDefault="003513BE" w:rsidP="003513BE">
      <w:pPr>
        <w:pStyle w:val="PL"/>
        <w:rPr>
          <w:lang w:val="en-US"/>
        </w:rPr>
      </w:pPr>
      <w:r w:rsidRPr="0008502E">
        <w:rPr>
          <w:lang w:val="en-US"/>
        </w:rPr>
        <w:t xml:space="preserve">            The Individual NWDAF VFL Inference Subscription resource was partial</w:t>
      </w:r>
    </w:p>
    <w:p w14:paraId="1A0767D5" w14:textId="77777777" w:rsidR="003513BE" w:rsidRPr="0008502E" w:rsidRDefault="003513BE" w:rsidP="003513BE">
      <w:pPr>
        <w:pStyle w:val="PL"/>
        <w:rPr>
          <w:lang w:val="en-US"/>
        </w:rPr>
      </w:pPr>
      <w:r w:rsidRPr="0008502E">
        <w:rPr>
          <w:lang w:val="en-US"/>
        </w:rPr>
        <w:t xml:space="preserve">            modified successfully and a representation of that resource is returned.</w:t>
      </w:r>
    </w:p>
    <w:p w14:paraId="29270D74" w14:textId="77777777" w:rsidR="003513BE" w:rsidRPr="0008502E" w:rsidRDefault="003513BE" w:rsidP="003513BE">
      <w:pPr>
        <w:pStyle w:val="PL"/>
        <w:rPr>
          <w:lang w:val="en-US"/>
        </w:rPr>
      </w:pPr>
      <w:r w:rsidRPr="0008502E">
        <w:rPr>
          <w:lang w:val="en-US"/>
        </w:rPr>
        <w:t xml:space="preserve">          content:</w:t>
      </w:r>
    </w:p>
    <w:p w14:paraId="5A3BE206" w14:textId="77777777" w:rsidR="003513BE" w:rsidRPr="0008502E" w:rsidRDefault="003513BE" w:rsidP="003513BE">
      <w:pPr>
        <w:pStyle w:val="PL"/>
        <w:rPr>
          <w:lang w:val="en-US"/>
        </w:rPr>
      </w:pPr>
      <w:r w:rsidRPr="0008502E">
        <w:rPr>
          <w:lang w:val="en-US"/>
        </w:rPr>
        <w:t xml:space="preserve">            application/json:</w:t>
      </w:r>
    </w:p>
    <w:p w14:paraId="465AD393" w14:textId="77777777" w:rsidR="003513BE" w:rsidRPr="0008502E" w:rsidRDefault="003513BE" w:rsidP="003513BE">
      <w:pPr>
        <w:pStyle w:val="PL"/>
        <w:rPr>
          <w:lang w:val="en-US"/>
        </w:rPr>
      </w:pPr>
      <w:r w:rsidRPr="0008502E">
        <w:rPr>
          <w:lang w:val="en-US"/>
        </w:rPr>
        <w:t xml:space="preserve">              schema:</w:t>
      </w:r>
    </w:p>
    <w:p w14:paraId="25738E9D" w14:textId="77777777" w:rsidR="003513BE" w:rsidRPr="0008502E" w:rsidRDefault="003513BE" w:rsidP="003513BE">
      <w:pPr>
        <w:pStyle w:val="PL"/>
        <w:rPr>
          <w:lang w:val="en-US"/>
        </w:rPr>
      </w:pPr>
      <w:r w:rsidRPr="0008502E">
        <w:rPr>
          <w:lang w:val="en-US"/>
        </w:rPr>
        <w:t xml:space="preserve">                $ref: '#/components/schemas/VflInferSub'</w:t>
      </w:r>
    </w:p>
    <w:p w14:paraId="5D32D933" w14:textId="77777777" w:rsidR="003513BE" w:rsidRPr="0008502E" w:rsidRDefault="003513BE" w:rsidP="003513BE">
      <w:pPr>
        <w:pStyle w:val="PL"/>
        <w:rPr>
          <w:lang w:val="en-US"/>
        </w:rPr>
      </w:pPr>
      <w:r w:rsidRPr="0008502E">
        <w:rPr>
          <w:lang w:val="en-US"/>
        </w:rPr>
        <w:t xml:space="preserve">        '204':</w:t>
      </w:r>
    </w:p>
    <w:p w14:paraId="02C37444" w14:textId="77777777" w:rsidR="003513BE" w:rsidRPr="0008502E" w:rsidRDefault="003513BE" w:rsidP="003513BE">
      <w:pPr>
        <w:pStyle w:val="PL"/>
        <w:rPr>
          <w:lang w:val="en-US"/>
        </w:rPr>
      </w:pPr>
      <w:r w:rsidRPr="0008502E">
        <w:rPr>
          <w:lang w:val="en-US"/>
        </w:rPr>
        <w:t xml:space="preserve">          description: &gt;</w:t>
      </w:r>
    </w:p>
    <w:p w14:paraId="1F4FF60C" w14:textId="77777777" w:rsidR="003513BE" w:rsidRPr="0008502E" w:rsidRDefault="003513BE" w:rsidP="003513BE">
      <w:pPr>
        <w:pStyle w:val="PL"/>
        <w:rPr>
          <w:lang w:val="en-US"/>
        </w:rPr>
      </w:pPr>
      <w:r w:rsidRPr="0008502E">
        <w:rPr>
          <w:lang w:val="en-US"/>
        </w:rPr>
        <w:t xml:space="preserve">            The Individual NWDAF VFL Inference Subscription resource was partial</w:t>
      </w:r>
    </w:p>
    <w:p w14:paraId="599EFDAE" w14:textId="77777777" w:rsidR="003513BE" w:rsidRPr="0008502E" w:rsidRDefault="003513BE" w:rsidP="003513BE">
      <w:pPr>
        <w:pStyle w:val="PL"/>
        <w:rPr>
          <w:lang w:val="en-US"/>
        </w:rPr>
      </w:pPr>
      <w:r w:rsidRPr="0008502E">
        <w:rPr>
          <w:lang w:val="en-US"/>
        </w:rPr>
        <w:t xml:space="preserve">            modified successfully.</w:t>
      </w:r>
    </w:p>
    <w:p w14:paraId="4376EC74" w14:textId="77777777" w:rsidR="003513BE" w:rsidRPr="0008502E" w:rsidRDefault="003513BE" w:rsidP="003513BE">
      <w:pPr>
        <w:pStyle w:val="PL"/>
        <w:rPr>
          <w:lang w:val="en-US"/>
        </w:rPr>
      </w:pPr>
      <w:r w:rsidRPr="0008502E">
        <w:rPr>
          <w:lang w:val="en-US"/>
        </w:rPr>
        <w:t xml:space="preserve">        '307':</w:t>
      </w:r>
    </w:p>
    <w:p w14:paraId="4459FBBA" w14:textId="77777777" w:rsidR="003513BE" w:rsidRPr="0008502E" w:rsidRDefault="003513BE" w:rsidP="003513BE">
      <w:pPr>
        <w:pStyle w:val="PL"/>
        <w:rPr>
          <w:lang w:val="en-US"/>
        </w:rPr>
      </w:pPr>
      <w:r w:rsidRPr="0008502E">
        <w:rPr>
          <w:lang w:val="en-US"/>
        </w:rPr>
        <w:t xml:space="preserve">          $ref: 'TS29571_CommonData.yaml#/components/responses/307'</w:t>
      </w:r>
    </w:p>
    <w:p w14:paraId="4B1AE364" w14:textId="77777777" w:rsidR="003513BE" w:rsidRPr="0008502E" w:rsidRDefault="003513BE" w:rsidP="003513BE">
      <w:pPr>
        <w:pStyle w:val="PL"/>
        <w:rPr>
          <w:lang w:val="en-US"/>
        </w:rPr>
      </w:pPr>
      <w:r w:rsidRPr="0008502E">
        <w:rPr>
          <w:lang w:val="en-US"/>
        </w:rPr>
        <w:t xml:space="preserve">        '308':</w:t>
      </w:r>
    </w:p>
    <w:p w14:paraId="61923E7B" w14:textId="77777777" w:rsidR="003513BE" w:rsidRPr="0008502E" w:rsidRDefault="003513BE" w:rsidP="003513BE">
      <w:pPr>
        <w:pStyle w:val="PL"/>
        <w:rPr>
          <w:lang w:val="en-US"/>
        </w:rPr>
      </w:pPr>
      <w:r w:rsidRPr="0008502E">
        <w:rPr>
          <w:lang w:val="en-US"/>
        </w:rPr>
        <w:t xml:space="preserve">          $ref: 'TS29571_CommonData.yaml#/components/responses/308'</w:t>
      </w:r>
    </w:p>
    <w:p w14:paraId="4273D5A4" w14:textId="77777777" w:rsidR="003513BE" w:rsidRPr="0008502E" w:rsidRDefault="003513BE" w:rsidP="003513BE">
      <w:pPr>
        <w:pStyle w:val="PL"/>
        <w:rPr>
          <w:lang w:val="en-US"/>
        </w:rPr>
      </w:pPr>
      <w:r w:rsidRPr="0008502E">
        <w:rPr>
          <w:lang w:val="en-US"/>
        </w:rPr>
        <w:t xml:space="preserve">        '400':</w:t>
      </w:r>
    </w:p>
    <w:p w14:paraId="70D7D010" w14:textId="77777777" w:rsidR="003513BE" w:rsidRPr="0008502E" w:rsidRDefault="003513BE" w:rsidP="003513BE">
      <w:pPr>
        <w:pStyle w:val="PL"/>
        <w:rPr>
          <w:lang w:val="en-US"/>
        </w:rPr>
      </w:pPr>
      <w:r w:rsidRPr="0008502E">
        <w:rPr>
          <w:lang w:val="en-US"/>
        </w:rPr>
        <w:t xml:space="preserve">          $ref: 'TS29571_CommonData.yaml#/components/responses/400'</w:t>
      </w:r>
    </w:p>
    <w:p w14:paraId="2255EDB3" w14:textId="77777777" w:rsidR="003513BE" w:rsidRPr="0008502E" w:rsidRDefault="003513BE" w:rsidP="003513BE">
      <w:pPr>
        <w:pStyle w:val="PL"/>
        <w:rPr>
          <w:lang w:val="en-US"/>
        </w:rPr>
      </w:pPr>
      <w:r w:rsidRPr="0008502E">
        <w:rPr>
          <w:lang w:val="en-US"/>
        </w:rPr>
        <w:t xml:space="preserve">        '401':</w:t>
      </w:r>
    </w:p>
    <w:p w14:paraId="558CB77B" w14:textId="77777777" w:rsidR="003513BE" w:rsidRPr="0008502E" w:rsidRDefault="003513BE" w:rsidP="003513BE">
      <w:pPr>
        <w:pStyle w:val="PL"/>
        <w:rPr>
          <w:lang w:val="en-US"/>
        </w:rPr>
      </w:pPr>
      <w:r w:rsidRPr="0008502E">
        <w:rPr>
          <w:lang w:val="en-US"/>
        </w:rPr>
        <w:t xml:space="preserve">          $ref: 'TS29571_CommonData.yaml#/components/responses/401'</w:t>
      </w:r>
    </w:p>
    <w:p w14:paraId="1267C027" w14:textId="77777777" w:rsidR="003513BE" w:rsidRPr="0008502E" w:rsidRDefault="003513BE" w:rsidP="003513BE">
      <w:pPr>
        <w:pStyle w:val="PL"/>
        <w:rPr>
          <w:lang w:val="en-US"/>
        </w:rPr>
      </w:pPr>
      <w:r w:rsidRPr="0008502E">
        <w:rPr>
          <w:lang w:val="en-US"/>
        </w:rPr>
        <w:t xml:space="preserve">        '403':</w:t>
      </w:r>
    </w:p>
    <w:p w14:paraId="3143632C" w14:textId="77777777" w:rsidR="003513BE" w:rsidRPr="0008502E" w:rsidRDefault="003513BE" w:rsidP="003513BE">
      <w:pPr>
        <w:pStyle w:val="PL"/>
        <w:rPr>
          <w:lang w:val="en-US"/>
        </w:rPr>
      </w:pPr>
      <w:r w:rsidRPr="0008502E">
        <w:rPr>
          <w:lang w:val="en-US"/>
        </w:rPr>
        <w:t xml:space="preserve">          $ref: 'TS29571_CommonData.yaml#/components/responses/403'</w:t>
      </w:r>
    </w:p>
    <w:p w14:paraId="01406202" w14:textId="77777777" w:rsidR="003513BE" w:rsidRPr="0008502E" w:rsidRDefault="003513BE" w:rsidP="003513BE">
      <w:pPr>
        <w:pStyle w:val="PL"/>
        <w:rPr>
          <w:lang w:val="en-US"/>
        </w:rPr>
      </w:pPr>
      <w:r w:rsidRPr="0008502E">
        <w:rPr>
          <w:lang w:val="en-US"/>
        </w:rPr>
        <w:t xml:space="preserve">        '404':</w:t>
      </w:r>
    </w:p>
    <w:p w14:paraId="1DFCA418" w14:textId="77777777" w:rsidR="003513BE" w:rsidRPr="0008502E" w:rsidRDefault="003513BE" w:rsidP="003513BE">
      <w:pPr>
        <w:pStyle w:val="PL"/>
        <w:rPr>
          <w:lang w:val="en-US"/>
        </w:rPr>
      </w:pPr>
      <w:r w:rsidRPr="0008502E">
        <w:rPr>
          <w:lang w:val="en-US"/>
        </w:rPr>
        <w:t xml:space="preserve">          $ref: 'TS29571_CommonData.yaml#/components/responses/404'</w:t>
      </w:r>
    </w:p>
    <w:p w14:paraId="002FFD7F" w14:textId="77777777" w:rsidR="003513BE" w:rsidRPr="0008502E" w:rsidRDefault="003513BE" w:rsidP="003513BE">
      <w:pPr>
        <w:pStyle w:val="PL"/>
        <w:rPr>
          <w:lang w:val="en-US"/>
        </w:rPr>
      </w:pPr>
      <w:r w:rsidRPr="0008502E">
        <w:rPr>
          <w:lang w:val="en-US"/>
        </w:rPr>
        <w:t xml:space="preserve">        '411':</w:t>
      </w:r>
    </w:p>
    <w:p w14:paraId="4C1CA8C5" w14:textId="77777777" w:rsidR="003513BE" w:rsidRPr="0008502E" w:rsidRDefault="003513BE" w:rsidP="003513BE">
      <w:pPr>
        <w:pStyle w:val="PL"/>
        <w:rPr>
          <w:lang w:val="en-US"/>
        </w:rPr>
      </w:pPr>
      <w:r w:rsidRPr="0008502E">
        <w:rPr>
          <w:lang w:val="en-US"/>
        </w:rPr>
        <w:t xml:space="preserve">          $ref: 'TS29571_CommonData.yaml#/components/responses/411'</w:t>
      </w:r>
    </w:p>
    <w:p w14:paraId="02837589" w14:textId="77777777" w:rsidR="003513BE" w:rsidRPr="0008502E" w:rsidRDefault="003513BE" w:rsidP="003513BE">
      <w:pPr>
        <w:pStyle w:val="PL"/>
        <w:rPr>
          <w:lang w:val="en-US"/>
        </w:rPr>
      </w:pPr>
      <w:r w:rsidRPr="0008502E">
        <w:rPr>
          <w:lang w:val="en-US"/>
        </w:rPr>
        <w:t xml:space="preserve">        '413':</w:t>
      </w:r>
    </w:p>
    <w:p w14:paraId="0840B86D" w14:textId="77777777" w:rsidR="003513BE" w:rsidRPr="0008502E" w:rsidRDefault="003513BE" w:rsidP="003513BE">
      <w:pPr>
        <w:pStyle w:val="PL"/>
        <w:rPr>
          <w:lang w:val="en-US"/>
        </w:rPr>
      </w:pPr>
      <w:r w:rsidRPr="0008502E">
        <w:rPr>
          <w:lang w:val="en-US"/>
        </w:rPr>
        <w:t xml:space="preserve">          $ref: 'TS29571_CommonData.yaml#/components/responses/413'</w:t>
      </w:r>
    </w:p>
    <w:p w14:paraId="35EFF528" w14:textId="77777777" w:rsidR="003513BE" w:rsidRPr="0008502E" w:rsidRDefault="003513BE" w:rsidP="003513BE">
      <w:pPr>
        <w:pStyle w:val="PL"/>
        <w:rPr>
          <w:lang w:val="en-US"/>
        </w:rPr>
      </w:pPr>
      <w:r w:rsidRPr="0008502E">
        <w:rPr>
          <w:lang w:val="en-US"/>
        </w:rPr>
        <w:t xml:space="preserve">        '415':</w:t>
      </w:r>
    </w:p>
    <w:p w14:paraId="519CDBE8" w14:textId="77777777" w:rsidR="003513BE" w:rsidRPr="0008502E" w:rsidRDefault="003513BE" w:rsidP="003513BE">
      <w:pPr>
        <w:pStyle w:val="PL"/>
        <w:rPr>
          <w:lang w:val="en-US"/>
        </w:rPr>
      </w:pPr>
      <w:r w:rsidRPr="0008502E">
        <w:rPr>
          <w:lang w:val="en-US"/>
        </w:rPr>
        <w:t xml:space="preserve">          $ref: 'TS29571_CommonData.yaml#/components/responses/415'</w:t>
      </w:r>
    </w:p>
    <w:p w14:paraId="09AD42C7" w14:textId="77777777" w:rsidR="003513BE" w:rsidRPr="0008502E" w:rsidRDefault="003513BE" w:rsidP="003513BE">
      <w:pPr>
        <w:pStyle w:val="PL"/>
        <w:rPr>
          <w:lang w:val="en-US"/>
        </w:rPr>
      </w:pPr>
      <w:r w:rsidRPr="0008502E">
        <w:rPr>
          <w:lang w:val="en-US"/>
        </w:rPr>
        <w:t xml:space="preserve">        '429':</w:t>
      </w:r>
    </w:p>
    <w:p w14:paraId="56E78A8F" w14:textId="77777777" w:rsidR="003513BE" w:rsidRPr="0008502E" w:rsidRDefault="003513BE" w:rsidP="003513BE">
      <w:pPr>
        <w:pStyle w:val="PL"/>
        <w:rPr>
          <w:lang w:val="en-US"/>
        </w:rPr>
      </w:pPr>
      <w:r w:rsidRPr="0008502E">
        <w:rPr>
          <w:lang w:val="en-US"/>
        </w:rPr>
        <w:t xml:space="preserve">          $ref: 'TS29571_CommonData.yaml#/components/responses/429'</w:t>
      </w:r>
    </w:p>
    <w:p w14:paraId="0BBB679E" w14:textId="77777777" w:rsidR="003513BE" w:rsidRPr="0008502E" w:rsidRDefault="003513BE" w:rsidP="003513BE">
      <w:pPr>
        <w:pStyle w:val="PL"/>
        <w:rPr>
          <w:lang w:val="en-US"/>
        </w:rPr>
      </w:pPr>
      <w:r w:rsidRPr="0008502E">
        <w:rPr>
          <w:lang w:val="en-US"/>
        </w:rPr>
        <w:t xml:space="preserve">        '500':</w:t>
      </w:r>
    </w:p>
    <w:p w14:paraId="2F82DFCE" w14:textId="77777777" w:rsidR="003513BE" w:rsidRPr="0008502E" w:rsidRDefault="003513BE" w:rsidP="003513BE">
      <w:pPr>
        <w:pStyle w:val="PL"/>
        <w:rPr>
          <w:lang w:val="en-US"/>
        </w:rPr>
      </w:pPr>
      <w:r w:rsidRPr="0008502E">
        <w:rPr>
          <w:lang w:val="en-US"/>
        </w:rPr>
        <w:t xml:space="preserve">          $ref: 'TS29571_CommonData.yaml#/components/responses/500'</w:t>
      </w:r>
    </w:p>
    <w:p w14:paraId="4AD0BFA5" w14:textId="77777777" w:rsidR="003513BE" w:rsidRPr="0008502E" w:rsidRDefault="003513BE" w:rsidP="003513BE">
      <w:pPr>
        <w:pStyle w:val="PL"/>
        <w:rPr>
          <w:lang w:val="en-US"/>
        </w:rPr>
      </w:pPr>
      <w:r w:rsidRPr="0008502E">
        <w:rPr>
          <w:lang w:val="en-US"/>
        </w:rPr>
        <w:t xml:space="preserve">        '502':</w:t>
      </w:r>
    </w:p>
    <w:p w14:paraId="455506AA" w14:textId="77777777" w:rsidR="003513BE" w:rsidRPr="0008502E" w:rsidRDefault="003513BE" w:rsidP="003513BE">
      <w:pPr>
        <w:pStyle w:val="PL"/>
        <w:rPr>
          <w:lang w:val="en-US"/>
        </w:rPr>
      </w:pPr>
      <w:r w:rsidRPr="0008502E">
        <w:rPr>
          <w:lang w:val="en-US"/>
        </w:rPr>
        <w:t xml:space="preserve">          $ref: 'TS29571_CommonData.yaml#/components/responses/502'</w:t>
      </w:r>
    </w:p>
    <w:p w14:paraId="69ED8CE9" w14:textId="77777777" w:rsidR="003513BE" w:rsidRPr="0008502E" w:rsidRDefault="003513BE" w:rsidP="003513BE">
      <w:pPr>
        <w:pStyle w:val="PL"/>
        <w:rPr>
          <w:lang w:val="en-US"/>
        </w:rPr>
      </w:pPr>
      <w:r w:rsidRPr="0008502E">
        <w:rPr>
          <w:lang w:val="en-US"/>
        </w:rPr>
        <w:t xml:space="preserve">        '503':</w:t>
      </w:r>
    </w:p>
    <w:p w14:paraId="5943A8B9" w14:textId="77777777" w:rsidR="003513BE" w:rsidRPr="0008502E" w:rsidRDefault="003513BE" w:rsidP="003513BE">
      <w:pPr>
        <w:pStyle w:val="PL"/>
        <w:rPr>
          <w:lang w:val="en-US"/>
        </w:rPr>
      </w:pPr>
      <w:r w:rsidRPr="0008502E">
        <w:rPr>
          <w:lang w:val="en-US"/>
        </w:rPr>
        <w:t xml:space="preserve">          $ref: 'TS29571_CommonData.yaml#/components/responses/503'</w:t>
      </w:r>
    </w:p>
    <w:p w14:paraId="13ACB87F" w14:textId="77777777" w:rsidR="003513BE" w:rsidRPr="0008502E" w:rsidRDefault="003513BE" w:rsidP="003513BE">
      <w:pPr>
        <w:pStyle w:val="PL"/>
        <w:rPr>
          <w:lang w:val="en-US"/>
        </w:rPr>
      </w:pPr>
      <w:r w:rsidRPr="0008502E">
        <w:rPr>
          <w:lang w:val="en-US"/>
        </w:rPr>
        <w:t xml:space="preserve">        default:</w:t>
      </w:r>
    </w:p>
    <w:p w14:paraId="642E9A34" w14:textId="77777777" w:rsidR="003513BE" w:rsidRPr="0008502E" w:rsidRDefault="003513BE" w:rsidP="003513BE">
      <w:pPr>
        <w:pStyle w:val="PL"/>
        <w:rPr>
          <w:lang w:val="en-US"/>
        </w:rPr>
      </w:pPr>
      <w:r w:rsidRPr="0008502E">
        <w:rPr>
          <w:lang w:val="en-US"/>
        </w:rPr>
        <w:t xml:space="preserve">          $ref: 'TS29571_CommonData.yaml#/components/responses/default'</w:t>
      </w:r>
    </w:p>
    <w:p w14:paraId="6ADEB453" w14:textId="77777777" w:rsidR="003513BE" w:rsidRPr="0008502E" w:rsidRDefault="003513BE" w:rsidP="003513BE">
      <w:pPr>
        <w:pStyle w:val="PL"/>
        <w:rPr>
          <w:lang w:val="en-US"/>
        </w:rPr>
      </w:pPr>
      <w:r w:rsidRPr="0008502E">
        <w:rPr>
          <w:lang w:val="en-US"/>
        </w:rPr>
        <w:t xml:space="preserve">    delete:</w:t>
      </w:r>
    </w:p>
    <w:p w14:paraId="7CB8C285" w14:textId="77777777" w:rsidR="003513BE" w:rsidRPr="0008502E" w:rsidRDefault="003513BE" w:rsidP="003513BE">
      <w:pPr>
        <w:pStyle w:val="PL"/>
        <w:rPr>
          <w:lang w:val="en-US"/>
        </w:rPr>
      </w:pPr>
      <w:r w:rsidRPr="0008502E">
        <w:rPr>
          <w:lang w:val="en-US"/>
        </w:rPr>
        <w:t xml:space="preserve">      summary: Delete an existing Individual NWDAF VFL Inference Subscription.</w:t>
      </w:r>
    </w:p>
    <w:p w14:paraId="570B5795" w14:textId="77777777" w:rsidR="003513BE" w:rsidRPr="0008502E" w:rsidRDefault="003513BE" w:rsidP="003513BE">
      <w:pPr>
        <w:pStyle w:val="PL"/>
        <w:rPr>
          <w:lang w:val="en-US"/>
        </w:rPr>
      </w:pPr>
      <w:r w:rsidRPr="0008502E">
        <w:rPr>
          <w:lang w:val="en-US"/>
        </w:rPr>
        <w:t xml:space="preserve">      operationId: DeleteNWDAFVFLInferenceSubcription</w:t>
      </w:r>
    </w:p>
    <w:p w14:paraId="692BE54A" w14:textId="77777777" w:rsidR="003513BE" w:rsidRPr="0008502E" w:rsidRDefault="003513BE" w:rsidP="003513BE">
      <w:pPr>
        <w:pStyle w:val="PL"/>
        <w:rPr>
          <w:lang w:val="en-US"/>
        </w:rPr>
      </w:pPr>
      <w:r w:rsidRPr="0008502E">
        <w:rPr>
          <w:lang w:val="en-US"/>
        </w:rPr>
        <w:t xml:space="preserve">      tags:</w:t>
      </w:r>
    </w:p>
    <w:p w14:paraId="540832E1" w14:textId="77777777" w:rsidR="003513BE" w:rsidRPr="0008502E" w:rsidRDefault="003513BE" w:rsidP="003513BE">
      <w:pPr>
        <w:pStyle w:val="PL"/>
        <w:rPr>
          <w:lang w:val="en-US"/>
        </w:rPr>
      </w:pPr>
      <w:r w:rsidRPr="0008502E">
        <w:rPr>
          <w:lang w:val="en-US"/>
        </w:rPr>
        <w:t xml:space="preserve">        - Individual NWDAF VFL Inference Subscription (Document)</w:t>
      </w:r>
    </w:p>
    <w:p w14:paraId="5994CA43" w14:textId="77777777" w:rsidR="003513BE" w:rsidRPr="0008502E" w:rsidRDefault="003513BE" w:rsidP="003513BE">
      <w:pPr>
        <w:pStyle w:val="PL"/>
        <w:rPr>
          <w:lang w:val="en-US"/>
        </w:rPr>
      </w:pPr>
      <w:r w:rsidRPr="0008502E">
        <w:rPr>
          <w:lang w:val="en-US"/>
        </w:rPr>
        <w:lastRenderedPageBreak/>
        <w:t xml:space="preserve">      parameters:</w:t>
      </w:r>
    </w:p>
    <w:p w14:paraId="3C205517" w14:textId="77777777" w:rsidR="003513BE" w:rsidRPr="0008502E" w:rsidRDefault="003513BE" w:rsidP="003513BE">
      <w:pPr>
        <w:pStyle w:val="PL"/>
        <w:rPr>
          <w:lang w:val="en-US"/>
        </w:rPr>
      </w:pPr>
      <w:r w:rsidRPr="0008502E">
        <w:rPr>
          <w:lang w:val="en-US"/>
        </w:rPr>
        <w:t xml:space="preserve">        - name: subscriptionId</w:t>
      </w:r>
    </w:p>
    <w:p w14:paraId="3F6D2AA6" w14:textId="77777777" w:rsidR="003513BE" w:rsidRPr="0008502E" w:rsidRDefault="003513BE" w:rsidP="003513BE">
      <w:pPr>
        <w:pStyle w:val="PL"/>
        <w:rPr>
          <w:lang w:val="en-US"/>
        </w:rPr>
      </w:pPr>
      <w:r w:rsidRPr="0008502E">
        <w:rPr>
          <w:lang w:val="en-US"/>
        </w:rPr>
        <w:t xml:space="preserve">          in: path</w:t>
      </w:r>
    </w:p>
    <w:p w14:paraId="5A09ED3B" w14:textId="77777777" w:rsidR="003513BE" w:rsidRPr="0008502E" w:rsidRDefault="003513BE" w:rsidP="003513BE">
      <w:pPr>
        <w:pStyle w:val="PL"/>
        <w:rPr>
          <w:lang w:val="en-US"/>
        </w:rPr>
      </w:pPr>
      <w:r w:rsidRPr="0008502E">
        <w:rPr>
          <w:lang w:val="en-US"/>
        </w:rPr>
        <w:t xml:space="preserve">          description: &gt;</w:t>
      </w:r>
    </w:p>
    <w:p w14:paraId="49DEE2D9" w14:textId="77777777" w:rsidR="003513BE" w:rsidRPr="0008502E" w:rsidRDefault="003513BE" w:rsidP="003513BE">
      <w:pPr>
        <w:pStyle w:val="PL"/>
        <w:rPr>
          <w:lang w:val="en-US"/>
        </w:rPr>
      </w:pPr>
      <w:r w:rsidRPr="0008502E">
        <w:rPr>
          <w:lang w:val="en-US"/>
        </w:rPr>
        <w:t xml:space="preserve">            String identifying a subscription to the Nnwdaf_VFLInference Service.</w:t>
      </w:r>
    </w:p>
    <w:p w14:paraId="06B186B0" w14:textId="77777777" w:rsidR="003513BE" w:rsidRPr="0008502E" w:rsidRDefault="003513BE" w:rsidP="003513BE">
      <w:pPr>
        <w:pStyle w:val="PL"/>
        <w:rPr>
          <w:lang w:val="en-US"/>
        </w:rPr>
      </w:pPr>
      <w:r w:rsidRPr="0008502E">
        <w:rPr>
          <w:lang w:val="en-US"/>
        </w:rPr>
        <w:t xml:space="preserve">          required: true</w:t>
      </w:r>
    </w:p>
    <w:p w14:paraId="6388B7F8" w14:textId="77777777" w:rsidR="003513BE" w:rsidRPr="0008502E" w:rsidRDefault="003513BE" w:rsidP="003513BE">
      <w:pPr>
        <w:pStyle w:val="PL"/>
        <w:rPr>
          <w:lang w:val="en-US"/>
        </w:rPr>
      </w:pPr>
      <w:r w:rsidRPr="0008502E">
        <w:rPr>
          <w:lang w:val="en-US"/>
        </w:rPr>
        <w:t xml:space="preserve">          schema:</w:t>
      </w:r>
    </w:p>
    <w:p w14:paraId="0F06A17A" w14:textId="77777777" w:rsidR="003513BE" w:rsidRPr="0008502E" w:rsidRDefault="003513BE" w:rsidP="003513BE">
      <w:pPr>
        <w:pStyle w:val="PL"/>
        <w:rPr>
          <w:lang w:val="en-US"/>
        </w:rPr>
      </w:pPr>
      <w:r w:rsidRPr="0008502E">
        <w:rPr>
          <w:lang w:val="en-US"/>
        </w:rPr>
        <w:t xml:space="preserve">            type: string</w:t>
      </w:r>
    </w:p>
    <w:p w14:paraId="0C6D8CE1" w14:textId="77777777" w:rsidR="003513BE" w:rsidRPr="0008502E" w:rsidRDefault="003513BE" w:rsidP="003513BE">
      <w:pPr>
        <w:pStyle w:val="PL"/>
        <w:rPr>
          <w:lang w:val="en-US"/>
        </w:rPr>
      </w:pPr>
      <w:r w:rsidRPr="0008502E">
        <w:rPr>
          <w:lang w:val="en-US"/>
        </w:rPr>
        <w:t xml:space="preserve">      responses:</w:t>
      </w:r>
    </w:p>
    <w:p w14:paraId="61C2591F" w14:textId="77777777" w:rsidR="003513BE" w:rsidRPr="0008502E" w:rsidRDefault="003513BE" w:rsidP="003513BE">
      <w:pPr>
        <w:pStyle w:val="PL"/>
        <w:rPr>
          <w:lang w:val="en-US"/>
        </w:rPr>
      </w:pPr>
      <w:r w:rsidRPr="0008502E">
        <w:rPr>
          <w:lang w:val="en-US"/>
        </w:rPr>
        <w:t xml:space="preserve">        '204':</w:t>
      </w:r>
    </w:p>
    <w:p w14:paraId="77E1DBBE" w14:textId="77777777" w:rsidR="003513BE" w:rsidRPr="0008502E" w:rsidRDefault="003513BE" w:rsidP="003513BE">
      <w:pPr>
        <w:pStyle w:val="PL"/>
        <w:rPr>
          <w:lang w:val="en-US"/>
        </w:rPr>
      </w:pPr>
      <w:r w:rsidRPr="0008502E">
        <w:rPr>
          <w:lang w:val="en-US"/>
        </w:rPr>
        <w:t xml:space="preserve">          description: &gt;</w:t>
      </w:r>
    </w:p>
    <w:p w14:paraId="2EB7EDED" w14:textId="77777777" w:rsidR="003513BE" w:rsidRPr="0008502E" w:rsidRDefault="003513BE" w:rsidP="003513BE">
      <w:pPr>
        <w:pStyle w:val="PL"/>
        <w:rPr>
          <w:lang w:val="en-US"/>
        </w:rPr>
      </w:pPr>
      <w:r w:rsidRPr="0008502E">
        <w:rPr>
          <w:lang w:val="en-US"/>
        </w:rPr>
        <w:t xml:space="preserve">            No Content. The Individual NWDAF VFL Inference Subscription matching the</w:t>
      </w:r>
    </w:p>
    <w:p w14:paraId="612F7822" w14:textId="77777777" w:rsidR="003513BE" w:rsidRPr="0008502E" w:rsidRDefault="003513BE" w:rsidP="003513BE">
      <w:pPr>
        <w:pStyle w:val="PL"/>
        <w:rPr>
          <w:lang w:val="en-US"/>
        </w:rPr>
      </w:pPr>
      <w:r w:rsidRPr="0008502E">
        <w:rPr>
          <w:lang w:val="en-US"/>
        </w:rPr>
        <w:t xml:space="preserve">            subscriptionId was deleted.</w:t>
      </w:r>
    </w:p>
    <w:p w14:paraId="7520A4CA" w14:textId="77777777" w:rsidR="003513BE" w:rsidRPr="0008502E" w:rsidRDefault="003513BE" w:rsidP="003513BE">
      <w:pPr>
        <w:pStyle w:val="PL"/>
        <w:rPr>
          <w:lang w:val="en-US"/>
        </w:rPr>
      </w:pPr>
      <w:r w:rsidRPr="0008502E">
        <w:rPr>
          <w:lang w:val="en-US"/>
        </w:rPr>
        <w:t xml:space="preserve">        '307':</w:t>
      </w:r>
    </w:p>
    <w:p w14:paraId="005EBD91" w14:textId="77777777" w:rsidR="003513BE" w:rsidRPr="0008502E" w:rsidRDefault="003513BE" w:rsidP="003513BE">
      <w:pPr>
        <w:pStyle w:val="PL"/>
        <w:rPr>
          <w:lang w:val="en-US"/>
        </w:rPr>
      </w:pPr>
      <w:r w:rsidRPr="0008502E">
        <w:rPr>
          <w:lang w:val="en-US"/>
        </w:rPr>
        <w:t xml:space="preserve">          $ref: 'TS29571_CommonData.yaml#/components/responses/307'</w:t>
      </w:r>
    </w:p>
    <w:p w14:paraId="4D9B119B" w14:textId="77777777" w:rsidR="003513BE" w:rsidRPr="0008502E" w:rsidRDefault="003513BE" w:rsidP="003513BE">
      <w:pPr>
        <w:pStyle w:val="PL"/>
        <w:rPr>
          <w:lang w:val="en-US"/>
        </w:rPr>
      </w:pPr>
      <w:r w:rsidRPr="0008502E">
        <w:rPr>
          <w:lang w:val="en-US"/>
        </w:rPr>
        <w:t xml:space="preserve">        '308':</w:t>
      </w:r>
    </w:p>
    <w:p w14:paraId="50FF4E69" w14:textId="77777777" w:rsidR="003513BE" w:rsidRPr="0008502E" w:rsidRDefault="003513BE" w:rsidP="003513BE">
      <w:pPr>
        <w:pStyle w:val="PL"/>
        <w:rPr>
          <w:lang w:val="en-US"/>
        </w:rPr>
      </w:pPr>
      <w:r w:rsidRPr="0008502E">
        <w:rPr>
          <w:lang w:val="en-US"/>
        </w:rPr>
        <w:t xml:space="preserve">          $ref: 'TS29571_CommonData.yaml#/components/responses/308'</w:t>
      </w:r>
    </w:p>
    <w:p w14:paraId="6D6FF7F8" w14:textId="77777777" w:rsidR="003513BE" w:rsidRPr="0008502E" w:rsidRDefault="003513BE" w:rsidP="003513BE">
      <w:pPr>
        <w:pStyle w:val="PL"/>
        <w:rPr>
          <w:lang w:val="en-US"/>
        </w:rPr>
      </w:pPr>
      <w:r w:rsidRPr="0008502E">
        <w:rPr>
          <w:lang w:val="en-US"/>
        </w:rPr>
        <w:t xml:space="preserve">        '400':</w:t>
      </w:r>
    </w:p>
    <w:p w14:paraId="7B88DF86" w14:textId="77777777" w:rsidR="003513BE" w:rsidRPr="0008502E" w:rsidRDefault="003513BE" w:rsidP="003513BE">
      <w:pPr>
        <w:pStyle w:val="PL"/>
        <w:rPr>
          <w:lang w:val="en-US"/>
        </w:rPr>
      </w:pPr>
      <w:r w:rsidRPr="0008502E">
        <w:rPr>
          <w:lang w:val="en-US"/>
        </w:rPr>
        <w:t xml:space="preserve">          $ref: 'TS29571_CommonData.yaml#/components/responses/400'</w:t>
      </w:r>
    </w:p>
    <w:p w14:paraId="4CF41064" w14:textId="77777777" w:rsidR="003513BE" w:rsidRPr="0008502E" w:rsidRDefault="003513BE" w:rsidP="003513BE">
      <w:pPr>
        <w:pStyle w:val="PL"/>
        <w:rPr>
          <w:lang w:val="en-US"/>
        </w:rPr>
      </w:pPr>
      <w:r w:rsidRPr="0008502E">
        <w:rPr>
          <w:lang w:val="en-US"/>
        </w:rPr>
        <w:t xml:space="preserve">        '401':</w:t>
      </w:r>
    </w:p>
    <w:p w14:paraId="4A2597C8" w14:textId="77777777" w:rsidR="003513BE" w:rsidRPr="0008502E" w:rsidRDefault="003513BE" w:rsidP="003513BE">
      <w:pPr>
        <w:pStyle w:val="PL"/>
        <w:rPr>
          <w:lang w:val="en-US"/>
        </w:rPr>
      </w:pPr>
      <w:r w:rsidRPr="0008502E">
        <w:rPr>
          <w:lang w:val="en-US"/>
        </w:rPr>
        <w:t xml:space="preserve">          $ref: 'TS29571_CommonData.yaml#/components/responses/401'</w:t>
      </w:r>
    </w:p>
    <w:p w14:paraId="1F3CAA20" w14:textId="77777777" w:rsidR="003513BE" w:rsidRPr="0008502E" w:rsidRDefault="003513BE" w:rsidP="003513BE">
      <w:pPr>
        <w:pStyle w:val="PL"/>
        <w:rPr>
          <w:lang w:val="en-US"/>
        </w:rPr>
      </w:pPr>
      <w:r w:rsidRPr="0008502E">
        <w:rPr>
          <w:lang w:val="en-US"/>
        </w:rPr>
        <w:t xml:space="preserve">        '403':</w:t>
      </w:r>
    </w:p>
    <w:p w14:paraId="755758A0" w14:textId="77777777" w:rsidR="003513BE" w:rsidRPr="0008502E" w:rsidRDefault="003513BE" w:rsidP="003513BE">
      <w:pPr>
        <w:pStyle w:val="PL"/>
        <w:rPr>
          <w:lang w:val="en-US"/>
        </w:rPr>
      </w:pPr>
      <w:r w:rsidRPr="0008502E">
        <w:rPr>
          <w:lang w:val="en-US"/>
        </w:rPr>
        <w:t xml:space="preserve">          $ref: 'TS29571_CommonData.yaml#/components/responses/403'</w:t>
      </w:r>
    </w:p>
    <w:p w14:paraId="32EFEB83" w14:textId="77777777" w:rsidR="003513BE" w:rsidRPr="0008502E" w:rsidRDefault="003513BE" w:rsidP="003513BE">
      <w:pPr>
        <w:pStyle w:val="PL"/>
        <w:rPr>
          <w:lang w:val="en-US"/>
        </w:rPr>
      </w:pPr>
      <w:r w:rsidRPr="0008502E">
        <w:rPr>
          <w:lang w:val="en-US"/>
        </w:rPr>
        <w:t xml:space="preserve">        '404':</w:t>
      </w:r>
    </w:p>
    <w:p w14:paraId="392ABDF5" w14:textId="77777777" w:rsidR="003513BE" w:rsidRPr="0008502E" w:rsidRDefault="003513BE" w:rsidP="003513BE">
      <w:pPr>
        <w:pStyle w:val="PL"/>
        <w:rPr>
          <w:lang w:val="en-US"/>
        </w:rPr>
      </w:pPr>
      <w:r w:rsidRPr="0008502E">
        <w:rPr>
          <w:lang w:val="en-US"/>
        </w:rPr>
        <w:t xml:space="preserve">          $ref: 'TS29571_CommonData.yaml#/components/responses/404'</w:t>
      </w:r>
    </w:p>
    <w:p w14:paraId="37C630C7" w14:textId="77777777" w:rsidR="003513BE" w:rsidRPr="0008502E" w:rsidRDefault="003513BE" w:rsidP="003513BE">
      <w:pPr>
        <w:pStyle w:val="PL"/>
        <w:rPr>
          <w:lang w:val="en-US"/>
        </w:rPr>
      </w:pPr>
      <w:r w:rsidRPr="0008502E">
        <w:rPr>
          <w:lang w:val="en-US"/>
        </w:rPr>
        <w:t xml:space="preserve">        '429':</w:t>
      </w:r>
    </w:p>
    <w:p w14:paraId="494A14CA" w14:textId="77777777" w:rsidR="003513BE" w:rsidRPr="0008502E" w:rsidRDefault="003513BE" w:rsidP="003513BE">
      <w:pPr>
        <w:pStyle w:val="PL"/>
        <w:rPr>
          <w:lang w:val="en-US"/>
        </w:rPr>
      </w:pPr>
      <w:r w:rsidRPr="0008502E">
        <w:rPr>
          <w:lang w:val="en-US"/>
        </w:rPr>
        <w:t xml:space="preserve">          $ref: 'TS29571_CommonData.yaml#/components/responses/429'</w:t>
      </w:r>
    </w:p>
    <w:p w14:paraId="3A0C62B3" w14:textId="77777777" w:rsidR="003513BE" w:rsidRPr="0008502E" w:rsidRDefault="003513BE" w:rsidP="003513BE">
      <w:pPr>
        <w:pStyle w:val="PL"/>
        <w:rPr>
          <w:lang w:val="en-US"/>
        </w:rPr>
      </w:pPr>
      <w:r w:rsidRPr="0008502E">
        <w:rPr>
          <w:lang w:val="en-US"/>
        </w:rPr>
        <w:t xml:space="preserve">        '500':</w:t>
      </w:r>
    </w:p>
    <w:p w14:paraId="0833344A" w14:textId="77777777" w:rsidR="003513BE" w:rsidRPr="0008502E" w:rsidRDefault="003513BE" w:rsidP="003513BE">
      <w:pPr>
        <w:pStyle w:val="PL"/>
        <w:rPr>
          <w:lang w:val="en-US"/>
        </w:rPr>
      </w:pPr>
      <w:r w:rsidRPr="0008502E">
        <w:rPr>
          <w:lang w:val="en-US"/>
        </w:rPr>
        <w:t xml:space="preserve">          $ref: 'TS29571_CommonData.yaml#/components/responses/500'</w:t>
      </w:r>
    </w:p>
    <w:p w14:paraId="2F69A465" w14:textId="77777777" w:rsidR="003513BE" w:rsidRPr="0008502E" w:rsidRDefault="003513BE" w:rsidP="003513BE">
      <w:pPr>
        <w:pStyle w:val="PL"/>
        <w:rPr>
          <w:lang w:val="en-US"/>
        </w:rPr>
      </w:pPr>
      <w:r w:rsidRPr="0008502E">
        <w:rPr>
          <w:lang w:val="en-US"/>
        </w:rPr>
        <w:t xml:space="preserve">        '502':</w:t>
      </w:r>
    </w:p>
    <w:p w14:paraId="02D4824C" w14:textId="77777777" w:rsidR="003513BE" w:rsidRPr="0008502E" w:rsidRDefault="003513BE" w:rsidP="003513BE">
      <w:pPr>
        <w:pStyle w:val="PL"/>
        <w:rPr>
          <w:lang w:val="en-US"/>
        </w:rPr>
      </w:pPr>
      <w:r w:rsidRPr="0008502E">
        <w:rPr>
          <w:lang w:val="en-US"/>
        </w:rPr>
        <w:t xml:space="preserve">          $ref: 'TS29571_CommonData.yaml#/components/responses/502'</w:t>
      </w:r>
    </w:p>
    <w:p w14:paraId="2D975BA7" w14:textId="77777777" w:rsidR="003513BE" w:rsidRPr="0008502E" w:rsidRDefault="003513BE" w:rsidP="003513BE">
      <w:pPr>
        <w:pStyle w:val="PL"/>
        <w:rPr>
          <w:lang w:val="en-US"/>
        </w:rPr>
      </w:pPr>
      <w:r w:rsidRPr="0008502E">
        <w:rPr>
          <w:lang w:val="en-US"/>
        </w:rPr>
        <w:t xml:space="preserve">        '503':</w:t>
      </w:r>
    </w:p>
    <w:p w14:paraId="22A3D86F" w14:textId="77777777" w:rsidR="003513BE" w:rsidRPr="0008502E" w:rsidRDefault="003513BE" w:rsidP="003513BE">
      <w:pPr>
        <w:pStyle w:val="PL"/>
        <w:rPr>
          <w:lang w:val="en-US"/>
        </w:rPr>
      </w:pPr>
      <w:r w:rsidRPr="0008502E">
        <w:rPr>
          <w:lang w:val="en-US"/>
        </w:rPr>
        <w:t xml:space="preserve">          $ref: 'TS29571_CommonData.yaml#/components/responses/503'</w:t>
      </w:r>
    </w:p>
    <w:p w14:paraId="02B2DEBD" w14:textId="77777777" w:rsidR="003513BE" w:rsidRPr="0008502E" w:rsidRDefault="003513BE" w:rsidP="003513BE">
      <w:pPr>
        <w:pStyle w:val="PL"/>
        <w:rPr>
          <w:lang w:val="en-US"/>
        </w:rPr>
      </w:pPr>
      <w:r w:rsidRPr="0008502E">
        <w:rPr>
          <w:lang w:val="en-US"/>
        </w:rPr>
        <w:t xml:space="preserve">        default:</w:t>
      </w:r>
    </w:p>
    <w:p w14:paraId="2317A5EB" w14:textId="77777777" w:rsidR="003513BE" w:rsidRPr="0008502E" w:rsidRDefault="003513BE" w:rsidP="003513BE">
      <w:pPr>
        <w:pStyle w:val="PL"/>
        <w:rPr>
          <w:lang w:val="en-US"/>
        </w:rPr>
      </w:pPr>
      <w:r w:rsidRPr="0008502E">
        <w:rPr>
          <w:lang w:val="en-US"/>
        </w:rPr>
        <w:t xml:space="preserve">          $ref: 'TS29571_CommonData.yaml#/components/responses/default'</w:t>
      </w:r>
    </w:p>
    <w:p w14:paraId="5D44F71F" w14:textId="77777777" w:rsidR="003513BE" w:rsidRPr="0008502E" w:rsidRDefault="003513BE" w:rsidP="003513BE">
      <w:pPr>
        <w:pStyle w:val="PL"/>
        <w:rPr>
          <w:lang w:val="en-US"/>
        </w:rPr>
      </w:pPr>
    </w:p>
    <w:p w14:paraId="39C94D6F" w14:textId="77777777" w:rsidR="003513BE" w:rsidRPr="0008502E" w:rsidRDefault="003513BE" w:rsidP="003513BE">
      <w:pPr>
        <w:pStyle w:val="PL"/>
        <w:rPr>
          <w:lang w:val="en-US"/>
        </w:rPr>
      </w:pPr>
      <w:r w:rsidRPr="0008502E">
        <w:rPr>
          <w:lang w:val="en-US"/>
        </w:rPr>
        <w:t>components:</w:t>
      </w:r>
    </w:p>
    <w:p w14:paraId="7AAC67BF" w14:textId="77777777" w:rsidR="003513BE" w:rsidRPr="0008502E" w:rsidRDefault="003513BE" w:rsidP="003513BE">
      <w:pPr>
        <w:pStyle w:val="PL"/>
        <w:rPr>
          <w:lang w:val="en-US"/>
        </w:rPr>
      </w:pPr>
      <w:r w:rsidRPr="0008502E">
        <w:rPr>
          <w:lang w:val="en-US"/>
        </w:rPr>
        <w:t xml:space="preserve">  securitySchemes:</w:t>
      </w:r>
    </w:p>
    <w:p w14:paraId="43151514" w14:textId="77777777" w:rsidR="003513BE" w:rsidRPr="0008502E" w:rsidRDefault="003513BE" w:rsidP="003513BE">
      <w:pPr>
        <w:pStyle w:val="PL"/>
        <w:rPr>
          <w:lang w:val="en-US"/>
        </w:rPr>
      </w:pPr>
      <w:r w:rsidRPr="0008502E">
        <w:rPr>
          <w:lang w:val="en-US"/>
        </w:rPr>
        <w:t xml:space="preserve">    oAuth2ClientCredentials:</w:t>
      </w:r>
    </w:p>
    <w:p w14:paraId="1AD68280" w14:textId="77777777" w:rsidR="003513BE" w:rsidRPr="0008502E" w:rsidRDefault="003513BE" w:rsidP="003513BE">
      <w:pPr>
        <w:pStyle w:val="PL"/>
        <w:rPr>
          <w:lang w:val="en-US"/>
        </w:rPr>
      </w:pPr>
      <w:r w:rsidRPr="0008502E">
        <w:rPr>
          <w:lang w:val="en-US"/>
        </w:rPr>
        <w:t xml:space="preserve">      type: oauth2</w:t>
      </w:r>
    </w:p>
    <w:p w14:paraId="325920FF" w14:textId="77777777" w:rsidR="003513BE" w:rsidRPr="0008502E" w:rsidRDefault="003513BE" w:rsidP="003513BE">
      <w:pPr>
        <w:pStyle w:val="PL"/>
        <w:rPr>
          <w:lang w:val="en-US"/>
        </w:rPr>
      </w:pPr>
      <w:r w:rsidRPr="0008502E">
        <w:rPr>
          <w:lang w:val="en-US"/>
        </w:rPr>
        <w:t xml:space="preserve">      flows:</w:t>
      </w:r>
    </w:p>
    <w:p w14:paraId="2053AED4" w14:textId="77777777" w:rsidR="003513BE" w:rsidRPr="0008502E" w:rsidRDefault="003513BE" w:rsidP="003513BE">
      <w:pPr>
        <w:pStyle w:val="PL"/>
        <w:rPr>
          <w:lang w:val="en-US"/>
        </w:rPr>
      </w:pPr>
      <w:r w:rsidRPr="0008502E">
        <w:rPr>
          <w:lang w:val="en-US"/>
        </w:rPr>
        <w:t xml:space="preserve">        clientCredentials:</w:t>
      </w:r>
    </w:p>
    <w:p w14:paraId="4566CCD6" w14:textId="77777777" w:rsidR="003513BE" w:rsidRPr="0008502E" w:rsidRDefault="003513BE" w:rsidP="003513BE">
      <w:pPr>
        <w:pStyle w:val="PL"/>
        <w:rPr>
          <w:lang w:val="en-US"/>
        </w:rPr>
      </w:pPr>
      <w:r w:rsidRPr="0008502E">
        <w:rPr>
          <w:lang w:val="en-US"/>
        </w:rPr>
        <w:t xml:space="preserve">          tokenUrl: '{nrfApiRoot}/oauth2/token'</w:t>
      </w:r>
    </w:p>
    <w:p w14:paraId="13CD1512" w14:textId="77777777" w:rsidR="003513BE" w:rsidRPr="0008502E" w:rsidRDefault="003513BE" w:rsidP="003513BE">
      <w:pPr>
        <w:pStyle w:val="PL"/>
        <w:rPr>
          <w:lang w:val="en-US"/>
        </w:rPr>
      </w:pPr>
      <w:r w:rsidRPr="0008502E">
        <w:rPr>
          <w:lang w:val="en-US"/>
        </w:rPr>
        <w:t xml:space="preserve">          scopes:</w:t>
      </w:r>
    </w:p>
    <w:p w14:paraId="3DAE1986" w14:textId="77777777" w:rsidR="003513BE" w:rsidRPr="0008502E" w:rsidRDefault="003513BE" w:rsidP="003513BE">
      <w:pPr>
        <w:pStyle w:val="PL"/>
        <w:rPr>
          <w:lang w:val="en-US"/>
        </w:rPr>
      </w:pPr>
      <w:r w:rsidRPr="0008502E">
        <w:rPr>
          <w:lang w:val="en-US"/>
        </w:rPr>
        <w:t xml:space="preserve">            nnwdaf-vflinference: Access to the Nnwdaf_VflInference API</w:t>
      </w:r>
    </w:p>
    <w:p w14:paraId="5B15F62E" w14:textId="77777777" w:rsidR="003513BE" w:rsidRPr="0008502E" w:rsidRDefault="003513BE" w:rsidP="003513BE">
      <w:pPr>
        <w:pStyle w:val="PL"/>
        <w:rPr>
          <w:lang w:val="en-US"/>
        </w:rPr>
      </w:pPr>
    </w:p>
    <w:p w14:paraId="74922E01" w14:textId="77777777" w:rsidR="003513BE" w:rsidRPr="0008502E" w:rsidRDefault="003513BE" w:rsidP="003513BE">
      <w:pPr>
        <w:pStyle w:val="PL"/>
        <w:rPr>
          <w:lang w:val="en-US"/>
        </w:rPr>
      </w:pPr>
      <w:r w:rsidRPr="0008502E">
        <w:rPr>
          <w:lang w:val="en-US"/>
        </w:rPr>
        <w:t xml:space="preserve">  schemas:</w:t>
      </w:r>
    </w:p>
    <w:p w14:paraId="26FBE0C3" w14:textId="77777777" w:rsidR="003513BE" w:rsidRPr="0008502E" w:rsidRDefault="003513BE" w:rsidP="003513BE">
      <w:pPr>
        <w:pStyle w:val="PL"/>
        <w:rPr>
          <w:lang w:val="en-US"/>
        </w:rPr>
      </w:pPr>
      <w:r w:rsidRPr="0008502E">
        <w:rPr>
          <w:lang w:val="en-US"/>
        </w:rPr>
        <w:t xml:space="preserve">    VflInferSub:</w:t>
      </w:r>
    </w:p>
    <w:p w14:paraId="27EA712F" w14:textId="77777777" w:rsidR="003513BE" w:rsidRPr="0008502E" w:rsidRDefault="003513BE" w:rsidP="003513BE">
      <w:pPr>
        <w:pStyle w:val="PL"/>
        <w:rPr>
          <w:lang w:val="en-US"/>
        </w:rPr>
      </w:pPr>
      <w:r w:rsidRPr="0008502E">
        <w:rPr>
          <w:lang w:val="en-US"/>
        </w:rPr>
        <w:t xml:space="preserve">      description: Represents a VFL Inference subscription.</w:t>
      </w:r>
    </w:p>
    <w:p w14:paraId="6804D178" w14:textId="77777777" w:rsidR="003513BE" w:rsidRPr="0008502E" w:rsidRDefault="003513BE" w:rsidP="003513BE">
      <w:pPr>
        <w:pStyle w:val="PL"/>
        <w:rPr>
          <w:lang w:val="en-US"/>
        </w:rPr>
      </w:pPr>
      <w:r w:rsidRPr="0008502E">
        <w:rPr>
          <w:lang w:val="en-US"/>
        </w:rPr>
        <w:t xml:space="preserve">      type: object</w:t>
      </w:r>
    </w:p>
    <w:p w14:paraId="1BE4C7AE" w14:textId="77777777" w:rsidR="003513BE" w:rsidRPr="0008502E" w:rsidRDefault="003513BE" w:rsidP="003513BE">
      <w:pPr>
        <w:pStyle w:val="PL"/>
        <w:rPr>
          <w:lang w:val="en-US"/>
        </w:rPr>
      </w:pPr>
      <w:r w:rsidRPr="0008502E">
        <w:rPr>
          <w:lang w:val="en-US"/>
        </w:rPr>
        <w:t xml:space="preserve">      properties:</w:t>
      </w:r>
    </w:p>
    <w:p w14:paraId="32CD24F2" w14:textId="77777777" w:rsidR="003513BE" w:rsidRPr="0008502E" w:rsidRDefault="003513BE" w:rsidP="003513BE">
      <w:pPr>
        <w:pStyle w:val="PL"/>
        <w:rPr>
          <w:lang w:val="en-US"/>
        </w:rPr>
      </w:pPr>
      <w:r w:rsidRPr="0008502E">
        <w:rPr>
          <w:lang w:val="en-US"/>
        </w:rPr>
        <w:t xml:space="preserve">        notifCorreId:</w:t>
      </w:r>
    </w:p>
    <w:p w14:paraId="030F1D60" w14:textId="77777777" w:rsidR="003513BE" w:rsidRPr="0008502E" w:rsidRDefault="003513BE" w:rsidP="003513BE">
      <w:pPr>
        <w:pStyle w:val="PL"/>
        <w:rPr>
          <w:lang w:val="en-US"/>
        </w:rPr>
      </w:pPr>
      <w:r w:rsidRPr="0008502E">
        <w:rPr>
          <w:lang w:val="en-US"/>
        </w:rPr>
        <w:t xml:space="preserve">          type: string</w:t>
      </w:r>
    </w:p>
    <w:p w14:paraId="75E6ADF5" w14:textId="77777777" w:rsidR="003513BE" w:rsidRPr="0008502E" w:rsidRDefault="003513BE" w:rsidP="003513BE">
      <w:pPr>
        <w:pStyle w:val="PL"/>
        <w:rPr>
          <w:lang w:val="en-US"/>
        </w:rPr>
      </w:pPr>
      <w:r w:rsidRPr="0008502E">
        <w:rPr>
          <w:lang w:val="en-US"/>
        </w:rPr>
        <w:t xml:space="preserve">          description: &gt;</w:t>
      </w:r>
    </w:p>
    <w:p w14:paraId="2DAC9827" w14:textId="77777777" w:rsidR="003513BE" w:rsidRPr="0008502E" w:rsidRDefault="003513BE" w:rsidP="003513BE">
      <w:pPr>
        <w:pStyle w:val="PL"/>
        <w:rPr>
          <w:lang w:val="en-US"/>
        </w:rPr>
      </w:pPr>
      <w:r w:rsidRPr="0008502E">
        <w:rPr>
          <w:lang w:val="en-US"/>
        </w:rPr>
        <w:t xml:space="preserve">            String identifying the Notification Correlation ID in the corresponding</w:t>
      </w:r>
    </w:p>
    <w:p w14:paraId="5155DC38" w14:textId="77777777" w:rsidR="003513BE" w:rsidRPr="0008502E" w:rsidRDefault="003513BE" w:rsidP="003513BE">
      <w:pPr>
        <w:pStyle w:val="PL"/>
        <w:rPr>
          <w:lang w:val="en-US"/>
        </w:rPr>
      </w:pPr>
      <w:r w:rsidRPr="0008502E">
        <w:rPr>
          <w:lang w:val="en-US"/>
        </w:rPr>
        <w:t xml:space="preserve">            notification.</w:t>
      </w:r>
    </w:p>
    <w:p w14:paraId="65EE3831" w14:textId="77777777" w:rsidR="003513BE" w:rsidRPr="0008502E" w:rsidRDefault="003513BE" w:rsidP="003513BE">
      <w:pPr>
        <w:pStyle w:val="PL"/>
        <w:rPr>
          <w:lang w:val="en-US"/>
        </w:rPr>
      </w:pPr>
      <w:r w:rsidRPr="0008502E">
        <w:rPr>
          <w:lang w:val="en-US"/>
        </w:rPr>
        <w:t xml:space="preserve">        notifUri:</w:t>
      </w:r>
    </w:p>
    <w:p w14:paraId="7EEEA68F" w14:textId="77777777" w:rsidR="003513BE" w:rsidRPr="0008502E" w:rsidRDefault="003513BE" w:rsidP="003513BE">
      <w:pPr>
        <w:pStyle w:val="PL"/>
        <w:rPr>
          <w:lang w:val="en-US"/>
        </w:rPr>
      </w:pPr>
      <w:r w:rsidRPr="0008502E">
        <w:rPr>
          <w:lang w:val="en-US"/>
        </w:rPr>
        <w:t xml:space="preserve">          $ref: 'TS29571_CommonData.yaml#/components/schemas/Uri'</w:t>
      </w:r>
    </w:p>
    <w:p w14:paraId="2478B855" w14:textId="77777777" w:rsidR="003513BE" w:rsidRPr="0008502E" w:rsidRDefault="003513BE" w:rsidP="003513BE">
      <w:pPr>
        <w:pStyle w:val="PL"/>
        <w:rPr>
          <w:lang w:val="en-US"/>
        </w:rPr>
      </w:pPr>
      <w:r w:rsidRPr="0008502E">
        <w:rPr>
          <w:lang w:val="en-US"/>
        </w:rPr>
        <w:t xml:space="preserve">        suppFeats:</w:t>
      </w:r>
    </w:p>
    <w:p w14:paraId="46445C6F" w14:textId="77777777" w:rsidR="003513BE" w:rsidRPr="0008502E" w:rsidRDefault="003513BE" w:rsidP="003513BE">
      <w:pPr>
        <w:pStyle w:val="PL"/>
        <w:rPr>
          <w:lang w:val="en-US"/>
        </w:rPr>
      </w:pPr>
      <w:r w:rsidRPr="0008502E">
        <w:rPr>
          <w:lang w:val="en-US"/>
        </w:rPr>
        <w:t xml:space="preserve">          $ref: 'TS29571_CommonData.yaml#/components/schemas/SupportedFeatures'</w:t>
      </w:r>
    </w:p>
    <w:p w14:paraId="479AFA12" w14:textId="77777777" w:rsidR="003513BE" w:rsidRPr="0008502E" w:rsidRDefault="003513BE" w:rsidP="003513BE">
      <w:pPr>
        <w:pStyle w:val="PL"/>
        <w:rPr>
          <w:lang w:val="en-US"/>
        </w:rPr>
      </w:pPr>
      <w:r w:rsidRPr="0008502E">
        <w:rPr>
          <w:lang w:val="en-US"/>
        </w:rPr>
        <w:t xml:space="preserve">        vflInferAnaSub:</w:t>
      </w:r>
    </w:p>
    <w:p w14:paraId="1F786606" w14:textId="77777777" w:rsidR="003513BE" w:rsidRPr="0008502E" w:rsidRDefault="003513BE" w:rsidP="003513BE">
      <w:pPr>
        <w:pStyle w:val="PL"/>
        <w:rPr>
          <w:lang w:val="en-US"/>
        </w:rPr>
      </w:pPr>
      <w:r w:rsidRPr="0008502E">
        <w:rPr>
          <w:lang w:val="en-US"/>
        </w:rPr>
        <w:t xml:space="preserve">          $ref: '#/components/schemas/VflInferAnaSub'</w:t>
      </w:r>
    </w:p>
    <w:p w14:paraId="68EEB3B7" w14:textId="77777777" w:rsidR="003513BE" w:rsidRPr="0008502E" w:rsidRDefault="003513BE" w:rsidP="003513BE">
      <w:pPr>
        <w:pStyle w:val="PL"/>
        <w:rPr>
          <w:lang w:val="en-US"/>
        </w:rPr>
      </w:pPr>
      <w:r w:rsidRPr="0008502E">
        <w:rPr>
          <w:lang w:val="en-US"/>
        </w:rPr>
        <w:t xml:space="preserve">        vflInferReq:</w:t>
      </w:r>
    </w:p>
    <w:p w14:paraId="287174E2" w14:textId="77777777" w:rsidR="003513BE" w:rsidRPr="0008502E" w:rsidRDefault="003513BE" w:rsidP="003513BE">
      <w:pPr>
        <w:pStyle w:val="PL"/>
        <w:rPr>
          <w:lang w:val="en-US"/>
        </w:rPr>
      </w:pPr>
      <w:r w:rsidRPr="0008502E">
        <w:rPr>
          <w:lang w:val="en-US"/>
        </w:rPr>
        <w:t xml:space="preserve">          $ref: '#/components/schemas/VflInferReq'</w:t>
      </w:r>
    </w:p>
    <w:p w14:paraId="239DD02E" w14:textId="77777777" w:rsidR="003513BE" w:rsidRPr="0008502E" w:rsidRDefault="003513BE" w:rsidP="003513BE">
      <w:pPr>
        <w:pStyle w:val="PL"/>
        <w:rPr>
          <w:lang w:val="en-US"/>
        </w:rPr>
      </w:pPr>
      <w:r w:rsidRPr="0008502E">
        <w:rPr>
          <w:lang w:val="en-US"/>
        </w:rPr>
        <w:t xml:space="preserve">        vflInferResults:</w:t>
      </w:r>
    </w:p>
    <w:p w14:paraId="78483286" w14:textId="77777777" w:rsidR="003513BE" w:rsidRPr="0008502E" w:rsidRDefault="003513BE" w:rsidP="003513BE">
      <w:pPr>
        <w:pStyle w:val="PL"/>
        <w:rPr>
          <w:lang w:val="en-US"/>
        </w:rPr>
      </w:pPr>
      <w:r w:rsidRPr="0008502E">
        <w:rPr>
          <w:lang w:val="en-US"/>
        </w:rPr>
        <w:t xml:space="preserve">          type: array</w:t>
      </w:r>
    </w:p>
    <w:p w14:paraId="04C73944" w14:textId="77777777" w:rsidR="003513BE" w:rsidRPr="0008502E" w:rsidRDefault="003513BE" w:rsidP="003513BE">
      <w:pPr>
        <w:pStyle w:val="PL"/>
        <w:rPr>
          <w:lang w:val="en-US"/>
        </w:rPr>
      </w:pPr>
      <w:r w:rsidRPr="0008502E">
        <w:rPr>
          <w:lang w:val="en-US"/>
        </w:rPr>
        <w:t xml:space="preserve">          items:</w:t>
      </w:r>
    </w:p>
    <w:p w14:paraId="69EC9F78" w14:textId="77777777" w:rsidR="003513BE" w:rsidRPr="0008502E" w:rsidRDefault="003513BE" w:rsidP="003513BE">
      <w:pPr>
        <w:pStyle w:val="PL"/>
        <w:rPr>
          <w:lang w:val="en-US"/>
        </w:rPr>
      </w:pPr>
      <w:r w:rsidRPr="0008502E">
        <w:rPr>
          <w:lang w:val="en-US"/>
        </w:rPr>
        <w:t xml:space="preserve">            $ref: '#/components/schemas/VflInferResult'</w:t>
      </w:r>
    </w:p>
    <w:p w14:paraId="35AEC085" w14:textId="77777777" w:rsidR="003513BE" w:rsidRPr="0008502E" w:rsidRDefault="003513BE" w:rsidP="003513BE">
      <w:pPr>
        <w:pStyle w:val="PL"/>
        <w:rPr>
          <w:lang w:val="en-US"/>
        </w:rPr>
      </w:pPr>
      <w:r w:rsidRPr="0008502E">
        <w:rPr>
          <w:lang w:val="en-US"/>
        </w:rPr>
        <w:t xml:space="preserve">          minItems: 1</w:t>
      </w:r>
    </w:p>
    <w:p w14:paraId="0C1C86CF" w14:textId="77777777" w:rsidR="003513BE" w:rsidRPr="0008502E" w:rsidRDefault="003513BE" w:rsidP="003513BE">
      <w:pPr>
        <w:pStyle w:val="PL"/>
        <w:rPr>
          <w:lang w:val="en-US"/>
        </w:rPr>
      </w:pPr>
      <w:r w:rsidRPr="0008502E">
        <w:rPr>
          <w:lang w:val="en-US"/>
        </w:rPr>
        <w:t xml:space="preserve">          description: Represents intermediate VFL Inference result.</w:t>
      </w:r>
    </w:p>
    <w:p w14:paraId="3D6C7A88" w14:textId="77777777" w:rsidR="003513BE" w:rsidRPr="0008502E" w:rsidRDefault="003513BE" w:rsidP="003513BE">
      <w:pPr>
        <w:pStyle w:val="PL"/>
        <w:rPr>
          <w:lang w:val="en-US"/>
        </w:rPr>
      </w:pPr>
      <w:r w:rsidRPr="0008502E">
        <w:rPr>
          <w:lang w:val="en-US"/>
        </w:rPr>
        <w:t xml:space="preserve">        vflReportInfo:</w:t>
      </w:r>
    </w:p>
    <w:p w14:paraId="05A58A41" w14:textId="77777777" w:rsidR="003513BE" w:rsidRPr="0008502E" w:rsidRDefault="003513BE" w:rsidP="003513BE">
      <w:pPr>
        <w:pStyle w:val="PL"/>
        <w:rPr>
          <w:lang w:val="en-US"/>
        </w:rPr>
      </w:pPr>
      <w:r w:rsidRPr="0008502E">
        <w:rPr>
          <w:lang w:val="en-US"/>
        </w:rPr>
        <w:t xml:space="preserve">          $ref: 'TS29523_Npcf_EventExposure.yaml#/components/schemas/ReportingInformation'</w:t>
      </w:r>
    </w:p>
    <w:p w14:paraId="3AB580BB" w14:textId="77777777" w:rsidR="003513BE" w:rsidRPr="0008502E" w:rsidRDefault="003513BE" w:rsidP="003513BE">
      <w:pPr>
        <w:pStyle w:val="PL"/>
        <w:rPr>
          <w:lang w:val="en-US"/>
        </w:rPr>
      </w:pPr>
      <w:r w:rsidRPr="0008502E">
        <w:rPr>
          <w:lang w:val="en-US"/>
        </w:rPr>
        <w:t xml:space="preserve">      required:</w:t>
      </w:r>
    </w:p>
    <w:p w14:paraId="60186AB6" w14:textId="77777777" w:rsidR="003513BE" w:rsidRPr="0008502E" w:rsidRDefault="003513BE" w:rsidP="003513BE">
      <w:pPr>
        <w:pStyle w:val="PL"/>
        <w:rPr>
          <w:lang w:val="en-US"/>
        </w:rPr>
      </w:pPr>
      <w:r w:rsidRPr="0008502E">
        <w:rPr>
          <w:lang w:val="en-US"/>
        </w:rPr>
        <w:t xml:space="preserve">        - notifUri</w:t>
      </w:r>
    </w:p>
    <w:p w14:paraId="23C2ADB9" w14:textId="77777777" w:rsidR="003513BE" w:rsidRPr="0008502E" w:rsidRDefault="003513BE" w:rsidP="003513BE">
      <w:pPr>
        <w:pStyle w:val="PL"/>
        <w:rPr>
          <w:lang w:val="en-US"/>
        </w:rPr>
      </w:pPr>
      <w:r w:rsidRPr="0008502E">
        <w:rPr>
          <w:lang w:val="en-US"/>
        </w:rPr>
        <w:t xml:space="preserve">        - notifCorreId</w:t>
      </w:r>
    </w:p>
    <w:p w14:paraId="7E8F515E" w14:textId="77777777" w:rsidR="003513BE" w:rsidRPr="0008502E" w:rsidRDefault="003513BE" w:rsidP="003513BE">
      <w:pPr>
        <w:pStyle w:val="PL"/>
        <w:rPr>
          <w:lang w:val="en-US"/>
        </w:rPr>
      </w:pPr>
      <w:r w:rsidRPr="0008502E">
        <w:rPr>
          <w:lang w:val="en-US"/>
        </w:rPr>
        <w:t xml:space="preserve">        - vflInferAnaSub</w:t>
      </w:r>
    </w:p>
    <w:p w14:paraId="5B318812" w14:textId="77777777" w:rsidR="003513BE" w:rsidRPr="0008502E" w:rsidRDefault="003513BE" w:rsidP="003513BE">
      <w:pPr>
        <w:pStyle w:val="PL"/>
        <w:rPr>
          <w:lang w:val="en-US"/>
        </w:rPr>
      </w:pPr>
    </w:p>
    <w:p w14:paraId="163DFD5F" w14:textId="77777777" w:rsidR="003513BE" w:rsidRPr="0008502E" w:rsidRDefault="003513BE" w:rsidP="003513BE">
      <w:pPr>
        <w:pStyle w:val="PL"/>
        <w:rPr>
          <w:lang w:val="en-US"/>
        </w:rPr>
      </w:pPr>
      <w:r w:rsidRPr="0008502E">
        <w:rPr>
          <w:lang w:val="en-US"/>
        </w:rPr>
        <w:t xml:space="preserve">    VflInferNotif:</w:t>
      </w:r>
    </w:p>
    <w:p w14:paraId="632DEF64" w14:textId="77777777" w:rsidR="003513BE" w:rsidRPr="0008502E" w:rsidRDefault="003513BE" w:rsidP="003513BE">
      <w:pPr>
        <w:pStyle w:val="PL"/>
        <w:rPr>
          <w:lang w:val="en-US"/>
        </w:rPr>
      </w:pPr>
      <w:r w:rsidRPr="0008502E">
        <w:rPr>
          <w:lang w:val="en-US"/>
        </w:rPr>
        <w:lastRenderedPageBreak/>
        <w:t xml:space="preserve">      description: Represents notifications on events that occurred.</w:t>
      </w:r>
    </w:p>
    <w:p w14:paraId="7445ACE9" w14:textId="77777777" w:rsidR="003513BE" w:rsidRPr="0008502E" w:rsidRDefault="003513BE" w:rsidP="003513BE">
      <w:pPr>
        <w:pStyle w:val="PL"/>
        <w:rPr>
          <w:lang w:val="en-US"/>
        </w:rPr>
      </w:pPr>
      <w:r w:rsidRPr="0008502E">
        <w:rPr>
          <w:lang w:val="en-US"/>
        </w:rPr>
        <w:t xml:space="preserve">      type: object</w:t>
      </w:r>
    </w:p>
    <w:p w14:paraId="300761D4" w14:textId="77777777" w:rsidR="003513BE" w:rsidRPr="0008502E" w:rsidRDefault="003513BE" w:rsidP="003513BE">
      <w:pPr>
        <w:pStyle w:val="PL"/>
        <w:rPr>
          <w:lang w:val="en-US"/>
        </w:rPr>
      </w:pPr>
      <w:r w:rsidRPr="0008502E">
        <w:rPr>
          <w:lang w:val="en-US"/>
        </w:rPr>
        <w:t xml:space="preserve">      properties:</w:t>
      </w:r>
    </w:p>
    <w:p w14:paraId="2640CD2C" w14:textId="77777777" w:rsidR="003513BE" w:rsidRPr="0008502E" w:rsidRDefault="003513BE" w:rsidP="003513BE">
      <w:pPr>
        <w:pStyle w:val="PL"/>
        <w:rPr>
          <w:lang w:val="en-US"/>
        </w:rPr>
      </w:pPr>
      <w:r w:rsidRPr="0008502E">
        <w:rPr>
          <w:lang w:val="en-US"/>
        </w:rPr>
        <w:t xml:space="preserve">        notifCorreId:</w:t>
      </w:r>
    </w:p>
    <w:p w14:paraId="1F0BCB95" w14:textId="77777777" w:rsidR="003513BE" w:rsidRPr="0008502E" w:rsidRDefault="003513BE" w:rsidP="003513BE">
      <w:pPr>
        <w:pStyle w:val="PL"/>
        <w:rPr>
          <w:lang w:val="en-US"/>
        </w:rPr>
      </w:pPr>
      <w:r w:rsidRPr="0008502E">
        <w:rPr>
          <w:lang w:val="en-US"/>
        </w:rPr>
        <w:t xml:space="preserve">          type: string</w:t>
      </w:r>
    </w:p>
    <w:p w14:paraId="228DC841" w14:textId="77777777" w:rsidR="003513BE" w:rsidRPr="0008502E" w:rsidRDefault="003513BE" w:rsidP="003513BE">
      <w:pPr>
        <w:pStyle w:val="PL"/>
        <w:rPr>
          <w:lang w:val="en-US"/>
        </w:rPr>
      </w:pPr>
      <w:r w:rsidRPr="0008502E">
        <w:rPr>
          <w:lang w:val="en-US"/>
        </w:rPr>
        <w:t xml:space="preserve">          description: &gt;</w:t>
      </w:r>
    </w:p>
    <w:p w14:paraId="34483723" w14:textId="77777777" w:rsidR="003513BE" w:rsidRPr="0008502E" w:rsidRDefault="003513BE" w:rsidP="003513BE">
      <w:pPr>
        <w:pStyle w:val="PL"/>
        <w:rPr>
          <w:lang w:val="en-US"/>
        </w:rPr>
      </w:pPr>
      <w:r w:rsidRPr="0008502E">
        <w:rPr>
          <w:lang w:val="en-US"/>
        </w:rPr>
        <w:t xml:space="preserve">            String identifying the Notification Correlation ID in the corresponding</w:t>
      </w:r>
    </w:p>
    <w:p w14:paraId="5178052B" w14:textId="77777777" w:rsidR="003513BE" w:rsidRPr="0008502E" w:rsidRDefault="003513BE" w:rsidP="003513BE">
      <w:pPr>
        <w:pStyle w:val="PL"/>
        <w:rPr>
          <w:lang w:val="en-US"/>
        </w:rPr>
      </w:pPr>
      <w:r w:rsidRPr="0008502E">
        <w:rPr>
          <w:lang w:val="en-US"/>
        </w:rPr>
        <w:t xml:space="preserve">            notification.</w:t>
      </w:r>
    </w:p>
    <w:p w14:paraId="046B1918" w14:textId="77777777" w:rsidR="003513BE" w:rsidRPr="0008502E" w:rsidRDefault="003513BE" w:rsidP="003513BE">
      <w:pPr>
        <w:pStyle w:val="PL"/>
        <w:rPr>
          <w:lang w:val="en-US"/>
        </w:rPr>
      </w:pPr>
      <w:r w:rsidRPr="0008502E">
        <w:rPr>
          <w:lang w:val="en-US"/>
        </w:rPr>
        <w:t xml:space="preserve">        vflInferResults:</w:t>
      </w:r>
    </w:p>
    <w:p w14:paraId="1BAE525C" w14:textId="77777777" w:rsidR="003513BE" w:rsidRPr="0008502E" w:rsidRDefault="003513BE" w:rsidP="003513BE">
      <w:pPr>
        <w:pStyle w:val="PL"/>
        <w:rPr>
          <w:lang w:val="en-US"/>
        </w:rPr>
      </w:pPr>
      <w:r w:rsidRPr="0008502E">
        <w:rPr>
          <w:lang w:val="en-US"/>
        </w:rPr>
        <w:t xml:space="preserve">          type: array</w:t>
      </w:r>
    </w:p>
    <w:p w14:paraId="099A6672" w14:textId="77777777" w:rsidR="003513BE" w:rsidRPr="0008502E" w:rsidRDefault="003513BE" w:rsidP="003513BE">
      <w:pPr>
        <w:pStyle w:val="PL"/>
        <w:rPr>
          <w:lang w:val="en-US"/>
        </w:rPr>
      </w:pPr>
      <w:r w:rsidRPr="0008502E">
        <w:rPr>
          <w:lang w:val="en-US"/>
        </w:rPr>
        <w:t xml:space="preserve">          items:</w:t>
      </w:r>
    </w:p>
    <w:p w14:paraId="0358E0C9" w14:textId="77777777" w:rsidR="003513BE" w:rsidRPr="0008502E" w:rsidRDefault="003513BE" w:rsidP="003513BE">
      <w:pPr>
        <w:pStyle w:val="PL"/>
        <w:rPr>
          <w:lang w:val="en-US"/>
        </w:rPr>
      </w:pPr>
      <w:r w:rsidRPr="0008502E">
        <w:rPr>
          <w:lang w:val="en-US"/>
        </w:rPr>
        <w:t xml:space="preserve">            $ref: '#/components/schemas/VflInferResult'</w:t>
      </w:r>
    </w:p>
    <w:p w14:paraId="03B4296F" w14:textId="77777777" w:rsidR="003513BE" w:rsidRPr="0008502E" w:rsidRDefault="003513BE" w:rsidP="003513BE">
      <w:pPr>
        <w:pStyle w:val="PL"/>
        <w:rPr>
          <w:lang w:val="en-US"/>
        </w:rPr>
      </w:pPr>
      <w:r w:rsidRPr="0008502E">
        <w:rPr>
          <w:lang w:val="en-US"/>
        </w:rPr>
        <w:t xml:space="preserve">          minItems: 1</w:t>
      </w:r>
    </w:p>
    <w:p w14:paraId="31A63375" w14:textId="77777777" w:rsidR="003513BE" w:rsidRPr="0008502E" w:rsidRDefault="003513BE" w:rsidP="003513BE">
      <w:pPr>
        <w:pStyle w:val="PL"/>
        <w:rPr>
          <w:lang w:val="en-US"/>
        </w:rPr>
      </w:pPr>
      <w:r w:rsidRPr="0008502E">
        <w:rPr>
          <w:lang w:val="en-US"/>
        </w:rPr>
        <w:t xml:space="preserve">          description: Represents intermediate VFL inference results.</w:t>
      </w:r>
    </w:p>
    <w:p w14:paraId="5010E8D1" w14:textId="77777777" w:rsidR="003513BE" w:rsidRPr="0008502E" w:rsidRDefault="003513BE" w:rsidP="003513BE">
      <w:pPr>
        <w:pStyle w:val="PL"/>
        <w:rPr>
          <w:lang w:val="en-US"/>
        </w:rPr>
      </w:pPr>
      <w:r w:rsidRPr="0008502E">
        <w:rPr>
          <w:lang w:val="en-US"/>
        </w:rPr>
        <w:t xml:space="preserve">      required:</w:t>
      </w:r>
    </w:p>
    <w:p w14:paraId="33C0878C" w14:textId="77777777" w:rsidR="003513BE" w:rsidRPr="0008502E" w:rsidRDefault="003513BE" w:rsidP="003513BE">
      <w:pPr>
        <w:pStyle w:val="PL"/>
        <w:rPr>
          <w:lang w:val="en-US"/>
        </w:rPr>
      </w:pPr>
      <w:r w:rsidRPr="0008502E">
        <w:rPr>
          <w:lang w:val="en-US"/>
        </w:rPr>
        <w:t xml:space="preserve">        - notifCorreId</w:t>
      </w:r>
    </w:p>
    <w:p w14:paraId="7C1CD5BB" w14:textId="77777777" w:rsidR="003513BE" w:rsidRPr="0008502E" w:rsidRDefault="003513BE" w:rsidP="003513BE">
      <w:pPr>
        <w:pStyle w:val="PL"/>
        <w:rPr>
          <w:lang w:val="en-US"/>
        </w:rPr>
      </w:pPr>
      <w:r w:rsidRPr="0008502E">
        <w:rPr>
          <w:lang w:val="en-US"/>
        </w:rPr>
        <w:t xml:space="preserve">        - vflInferResults</w:t>
      </w:r>
    </w:p>
    <w:p w14:paraId="794058E5" w14:textId="77777777" w:rsidR="003513BE" w:rsidRPr="0008502E" w:rsidRDefault="003513BE" w:rsidP="003513BE">
      <w:pPr>
        <w:pStyle w:val="PL"/>
        <w:rPr>
          <w:lang w:val="en-US"/>
        </w:rPr>
      </w:pPr>
    </w:p>
    <w:p w14:paraId="349F5409" w14:textId="77777777" w:rsidR="003513BE" w:rsidRPr="0008502E" w:rsidRDefault="003513BE" w:rsidP="003513BE">
      <w:pPr>
        <w:pStyle w:val="PL"/>
        <w:rPr>
          <w:lang w:val="en-US"/>
        </w:rPr>
      </w:pPr>
      <w:r w:rsidRPr="0008502E">
        <w:rPr>
          <w:lang w:val="en-US"/>
        </w:rPr>
        <w:t xml:space="preserve">    VflInferSubPatch:</w:t>
      </w:r>
    </w:p>
    <w:p w14:paraId="5F67A713" w14:textId="77777777" w:rsidR="003513BE" w:rsidRPr="0008502E" w:rsidRDefault="003513BE" w:rsidP="003513BE">
      <w:pPr>
        <w:pStyle w:val="PL"/>
        <w:rPr>
          <w:lang w:val="en-US"/>
        </w:rPr>
      </w:pPr>
      <w:r w:rsidRPr="0008502E">
        <w:rPr>
          <w:lang w:val="en-US"/>
        </w:rPr>
        <w:t xml:space="preserve">      description: &gt;</w:t>
      </w:r>
    </w:p>
    <w:p w14:paraId="26815A85" w14:textId="77777777" w:rsidR="003513BE" w:rsidRPr="0008502E" w:rsidRDefault="003513BE" w:rsidP="003513BE">
      <w:pPr>
        <w:pStyle w:val="PL"/>
        <w:rPr>
          <w:lang w:val="en-US"/>
        </w:rPr>
      </w:pPr>
      <w:r w:rsidRPr="0008502E">
        <w:rPr>
          <w:lang w:val="en-US"/>
        </w:rPr>
        <w:t xml:space="preserve">        Represents parameters to request the modification of a VFL Inference</w:t>
      </w:r>
    </w:p>
    <w:p w14:paraId="4B7A7942" w14:textId="77777777" w:rsidR="003513BE" w:rsidRPr="0008502E" w:rsidRDefault="003513BE" w:rsidP="003513BE">
      <w:pPr>
        <w:pStyle w:val="PL"/>
        <w:rPr>
          <w:lang w:val="en-US"/>
        </w:rPr>
      </w:pPr>
      <w:r w:rsidRPr="0008502E">
        <w:rPr>
          <w:lang w:val="en-US"/>
        </w:rPr>
        <w:t xml:space="preserve">        subscription.</w:t>
      </w:r>
    </w:p>
    <w:p w14:paraId="348AA3C2" w14:textId="77777777" w:rsidR="003513BE" w:rsidRPr="0008502E" w:rsidRDefault="003513BE" w:rsidP="003513BE">
      <w:pPr>
        <w:pStyle w:val="PL"/>
        <w:rPr>
          <w:lang w:val="en-US"/>
        </w:rPr>
      </w:pPr>
      <w:r w:rsidRPr="0008502E">
        <w:rPr>
          <w:lang w:val="en-US"/>
        </w:rPr>
        <w:t xml:space="preserve">      type: object</w:t>
      </w:r>
    </w:p>
    <w:p w14:paraId="45B90798" w14:textId="77777777" w:rsidR="003513BE" w:rsidRPr="0008502E" w:rsidRDefault="003513BE" w:rsidP="003513BE">
      <w:pPr>
        <w:pStyle w:val="PL"/>
        <w:rPr>
          <w:lang w:val="en-US"/>
        </w:rPr>
      </w:pPr>
      <w:r w:rsidRPr="0008502E">
        <w:rPr>
          <w:lang w:val="en-US"/>
        </w:rPr>
        <w:t xml:space="preserve">      properties:</w:t>
      </w:r>
    </w:p>
    <w:p w14:paraId="66651BF2" w14:textId="77777777" w:rsidR="003513BE" w:rsidRPr="0008502E" w:rsidRDefault="003513BE" w:rsidP="003513BE">
      <w:pPr>
        <w:pStyle w:val="PL"/>
        <w:rPr>
          <w:lang w:val="en-US"/>
        </w:rPr>
      </w:pPr>
      <w:r w:rsidRPr="0008502E">
        <w:rPr>
          <w:lang w:val="en-US"/>
        </w:rPr>
        <w:t xml:space="preserve">        notifUri:</w:t>
      </w:r>
    </w:p>
    <w:p w14:paraId="4FEE08ED" w14:textId="77777777" w:rsidR="003513BE" w:rsidRPr="0008502E" w:rsidRDefault="003513BE" w:rsidP="003513BE">
      <w:pPr>
        <w:pStyle w:val="PL"/>
        <w:rPr>
          <w:lang w:val="en-US"/>
        </w:rPr>
      </w:pPr>
      <w:r w:rsidRPr="0008502E">
        <w:rPr>
          <w:lang w:val="en-US"/>
        </w:rPr>
        <w:t xml:space="preserve">          $ref: 'TS29571_CommonData.yaml#/components/schemas/Uri'</w:t>
      </w:r>
    </w:p>
    <w:p w14:paraId="79D94928" w14:textId="77777777" w:rsidR="003513BE" w:rsidRPr="0008502E" w:rsidRDefault="003513BE" w:rsidP="003513BE">
      <w:pPr>
        <w:pStyle w:val="PL"/>
        <w:rPr>
          <w:lang w:val="en-US"/>
        </w:rPr>
      </w:pPr>
      <w:r w:rsidRPr="0008502E">
        <w:rPr>
          <w:lang w:val="en-US"/>
        </w:rPr>
        <w:t xml:space="preserve">        vflInferReq:</w:t>
      </w:r>
    </w:p>
    <w:p w14:paraId="1FD8744D" w14:textId="77777777" w:rsidR="003513BE" w:rsidRPr="0008502E" w:rsidRDefault="003513BE" w:rsidP="003513BE">
      <w:pPr>
        <w:pStyle w:val="PL"/>
        <w:rPr>
          <w:lang w:val="en-US"/>
        </w:rPr>
      </w:pPr>
      <w:r w:rsidRPr="0008502E">
        <w:rPr>
          <w:lang w:val="en-US"/>
        </w:rPr>
        <w:t xml:space="preserve">          $ref: '#/components/schemas/VflInferReq'</w:t>
      </w:r>
    </w:p>
    <w:p w14:paraId="4DF26FAF" w14:textId="77777777" w:rsidR="003513BE" w:rsidRPr="0008502E" w:rsidRDefault="003513BE" w:rsidP="003513BE">
      <w:pPr>
        <w:pStyle w:val="PL"/>
        <w:rPr>
          <w:lang w:val="en-US"/>
        </w:rPr>
      </w:pPr>
      <w:r w:rsidRPr="0008502E">
        <w:rPr>
          <w:lang w:val="en-US"/>
        </w:rPr>
        <w:t xml:space="preserve">        vflReportInfo:</w:t>
      </w:r>
    </w:p>
    <w:p w14:paraId="68B371E0" w14:textId="77777777" w:rsidR="003513BE" w:rsidRPr="0008502E" w:rsidRDefault="003513BE" w:rsidP="003513BE">
      <w:pPr>
        <w:pStyle w:val="PL"/>
        <w:rPr>
          <w:lang w:val="en-US"/>
        </w:rPr>
      </w:pPr>
      <w:r w:rsidRPr="0008502E">
        <w:rPr>
          <w:lang w:val="en-US"/>
        </w:rPr>
        <w:t xml:space="preserve">          $ref: 'TS29523_Npcf_EventExposure.yaml#/components/schemas/ReportingInformation'</w:t>
      </w:r>
    </w:p>
    <w:p w14:paraId="47248E65" w14:textId="77777777" w:rsidR="003513BE" w:rsidRPr="0008502E" w:rsidRDefault="003513BE" w:rsidP="003513BE">
      <w:pPr>
        <w:pStyle w:val="PL"/>
        <w:rPr>
          <w:lang w:val="en-US"/>
        </w:rPr>
      </w:pPr>
    </w:p>
    <w:p w14:paraId="6077815F" w14:textId="77777777" w:rsidR="003513BE" w:rsidRPr="0008502E" w:rsidRDefault="003513BE" w:rsidP="003513BE">
      <w:pPr>
        <w:pStyle w:val="PL"/>
        <w:rPr>
          <w:lang w:val="en-US"/>
        </w:rPr>
      </w:pPr>
      <w:r w:rsidRPr="0008502E">
        <w:rPr>
          <w:lang w:val="en-US"/>
        </w:rPr>
        <w:t xml:space="preserve">    VflInferAnaSub:</w:t>
      </w:r>
    </w:p>
    <w:p w14:paraId="63AAFAB1" w14:textId="77777777" w:rsidR="003513BE" w:rsidRPr="0008502E" w:rsidRDefault="003513BE" w:rsidP="003513BE">
      <w:pPr>
        <w:pStyle w:val="PL"/>
        <w:rPr>
          <w:lang w:val="en-US"/>
        </w:rPr>
      </w:pPr>
      <w:r w:rsidRPr="0008502E">
        <w:rPr>
          <w:lang w:val="en-US"/>
        </w:rPr>
        <w:t xml:space="preserve">      description: Represents a subscription to a single event.</w:t>
      </w:r>
    </w:p>
    <w:p w14:paraId="316048B2" w14:textId="77777777" w:rsidR="003513BE" w:rsidRPr="0008502E" w:rsidRDefault="003513BE" w:rsidP="003513BE">
      <w:pPr>
        <w:pStyle w:val="PL"/>
        <w:rPr>
          <w:lang w:val="en-US"/>
        </w:rPr>
      </w:pPr>
      <w:r w:rsidRPr="0008502E">
        <w:rPr>
          <w:lang w:val="en-US"/>
        </w:rPr>
        <w:t xml:space="preserve">      type: object</w:t>
      </w:r>
    </w:p>
    <w:p w14:paraId="55D199D2" w14:textId="77777777" w:rsidR="003513BE" w:rsidRPr="0008502E" w:rsidRDefault="003513BE" w:rsidP="003513BE">
      <w:pPr>
        <w:pStyle w:val="PL"/>
        <w:rPr>
          <w:lang w:val="en-US"/>
        </w:rPr>
      </w:pPr>
      <w:r w:rsidRPr="0008502E">
        <w:rPr>
          <w:lang w:val="en-US"/>
        </w:rPr>
        <w:t xml:space="preserve">      properties:</w:t>
      </w:r>
    </w:p>
    <w:p w14:paraId="6507003A" w14:textId="77777777" w:rsidR="003513BE" w:rsidRPr="0008502E" w:rsidRDefault="003513BE" w:rsidP="003513BE">
      <w:pPr>
        <w:pStyle w:val="PL"/>
        <w:rPr>
          <w:lang w:val="en-US"/>
        </w:rPr>
      </w:pPr>
      <w:r w:rsidRPr="0008502E">
        <w:rPr>
          <w:lang w:val="en-US"/>
        </w:rPr>
        <w:t xml:space="preserve">        anaEvent:</w:t>
      </w:r>
    </w:p>
    <w:p w14:paraId="58A0A356" w14:textId="77777777" w:rsidR="003513BE" w:rsidRPr="0008502E" w:rsidRDefault="003513BE" w:rsidP="003513BE">
      <w:pPr>
        <w:pStyle w:val="PL"/>
        <w:rPr>
          <w:lang w:val="en-US"/>
        </w:rPr>
      </w:pPr>
      <w:r w:rsidRPr="0008502E">
        <w:rPr>
          <w:lang w:val="en-US"/>
        </w:rPr>
        <w:t xml:space="preserve">          $ref: 'TS29520_Nnwdaf_EventsSubscription.yaml#/components/schemas/NwdafEvent'</w:t>
      </w:r>
    </w:p>
    <w:p w14:paraId="25A6F428" w14:textId="77777777" w:rsidR="003513BE" w:rsidRPr="0008502E" w:rsidRDefault="003513BE" w:rsidP="003513BE">
      <w:pPr>
        <w:pStyle w:val="PL"/>
        <w:rPr>
          <w:lang w:val="en-US"/>
        </w:rPr>
      </w:pPr>
      <w:r w:rsidRPr="0008502E">
        <w:rPr>
          <w:lang w:val="en-US"/>
        </w:rPr>
        <w:t xml:space="preserve">        vflCorreId:</w:t>
      </w:r>
    </w:p>
    <w:p w14:paraId="10F17B2D" w14:textId="77777777" w:rsidR="003513BE" w:rsidRPr="0008502E" w:rsidRDefault="003513BE" w:rsidP="003513BE">
      <w:pPr>
        <w:pStyle w:val="PL"/>
        <w:rPr>
          <w:lang w:val="en-US"/>
        </w:rPr>
      </w:pPr>
      <w:r w:rsidRPr="0008502E">
        <w:rPr>
          <w:lang w:val="en-US"/>
        </w:rPr>
        <w:t xml:space="preserve">          type: string</w:t>
      </w:r>
    </w:p>
    <w:p w14:paraId="1B0F1C41" w14:textId="77777777" w:rsidR="003513BE" w:rsidRPr="0008502E" w:rsidRDefault="003513BE" w:rsidP="003513BE">
      <w:pPr>
        <w:pStyle w:val="PL"/>
        <w:rPr>
          <w:lang w:val="en-US"/>
        </w:rPr>
      </w:pPr>
      <w:r w:rsidRPr="0008502E">
        <w:rPr>
          <w:lang w:val="en-US"/>
        </w:rPr>
        <w:t xml:space="preserve">          description: &gt;</w:t>
      </w:r>
    </w:p>
    <w:p w14:paraId="2DBBB837" w14:textId="77777777" w:rsidR="003513BE" w:rsidRPr="0008502E" w:rsidRDefault="003513BE" w:rsidP="003513BE">
      <w:pPr>
        <w:pStyle w:val="PL"/>
        <w:rPr>
          <w:lang w:val="en-US"/>
        </w:rPr>
      </w:pPr>
      <w:r w:rsidRPr="0008502E">
        <w:rPr>
          <w:lang w:val="en-US"/>
        </w:rPr>
        <w:t xml:space="preserve">            VFL correlation ID used to identify the VFL process to be executed among </w:t>
      </w:r>
    </w:p>
    <w:p w14:paraId="1596DE37" w14:textId="77777777" w:rsidR="003513BE" w:rsidRPr="0008502E" w:rsidRDefault="003513BE" w:rsidP="003513BE">
      <w:pPr>
        <w:pStyle w:val="PL"/>
        <w:rPr>
          <w:lang w:val="en-US"/>
        </w:rPr>
      </w:pPr>
      <w:r w:rsidRPr="0008502E">
        <w:rPr>
          <w:lang w:val="en-US"/>
        </w:rPr>
        <w:t xml:space="preserve">            the candidate VFL participants to which the VFL inference subscription</w:t>
      </w:r>
    </w:p>
    <w:p w14:paraId="57D79B5A" w14:textId="77777777" w:rsidR="003513BE" w:rsidRPr="0008502E" w:rsidRDefault="003513BE" w:rsidP="003513BE">
      <w:pPr>
        <w:pStyle w:val="PL"/>
        <w:rPr>
          <w:lang w:val="en-US"/>
        </w:rPr>
      </w:pPr>
      <w:r w:rsidRPr="0008502E">
        <w:rPr>
          <w:lang w:val="en-US"/>
        </w:rPr>
        <w:t xml:space="preserve">            procedure relates.</w:t>
      </w:r>
    </w:p>
    <w:p w14:paraId="056FAE74" w14:textId="77777777" w:rsidR="003513BE" w:rsidRPr="0008502E" w:rsidRDefault="003513BE" w:rsidP="003513BE">
      <w:pPr>
        <w:pStyle w:val="PL"/>
        <w:rPr>
          <w:lang w:val="en-US"/>
        </w:rPr>
      </w:pPr>
      <w:r w:rsidRPr="0008502E">
        <w:rPr>
          <w:lang w:val="en-US"/>
        </w:rPr>
        <w:t xml:space="preserve">        vflEventFilter:</w:t>
      </w:r>
    </w:p>
    <w:p w14:paraId="28845B0E" w14:textId="77777777" w:rsidR="003513BE" w:rsidRPr="0008502E" w:rsidRDefault="003513BE" w:rsidP="003513BE">
      <w:pPr>
        <w:pStyle w:val="PL"/>
        <w:rPr>
          <w:lang w:val="en-US"/>
        </w:rPr>
      </w:pPr>
      <w:r w:rsidRPr="0008502E">
        <w:rPr>
          <w:lang w:val="en-US"/>
        </w:rPr>
        <w:t xml:space="preserve">          $ref: 'TS29520_Nnwdaf_AnalyticsInfo.yaml#/components/schemas/EventFilter'</w:t>
      </w:r>
    </w:p>
    <w:p w14:paraId="78A5E36D" w14:textId="77777777" w:rsidR="003513BE" w:rsidRPr="0008502E" w:rsidRDefault="003513BE" w:rsidP="003513BE">
      <w:pPr>
        <w:pStyle w:val="PL"/>
        <w:rPr>
          <w:lang w:val="en-US"/>
        </w:rPr>
      </w:pPr>
      <w:r w:rsidRPr="0008502E">
        <w:rPr>
          <w:lang w:val="en-US"/>
        </w:rPr>
        <w:t xml:space="preserve">      required:</w:t>
      </w:r>
    </w:p>
    <w:p w14:paraId="0F12C769" w14:textId="77777777" w:rsidR="003513BE" w:rsidRPr="0008502E" w:rsidRDefault="003513BE" w:rsidP="003513BE">
      <w:pPr>
        <w:pStyle w:val="PL"/>
        <w:rPr>
          <w:lang w:val="en-US"/>
        </w:rPr>
      </w:pPr>
      <w:r w:rsidRPr="0008502E">
        <w:rPr>
          <w:lang w:val="en-US"/>
        </w:rPr>
        <w:t xml:space="preserve">        - anaEvent</w:t>
      </w:r>
    </w:p>
    <w:p w14:paraId="5E78AF88" w14:textId="77777777" w:rsidR="003513BE" w:rsidRPr="0008502E" w:rsidRDefault="003513BE" w:rsidP="003513BE">
      <w:pPr>
        <w:pStyle w:val="PL"/>
        <w:rPr>
          <w:lang w:val="en-US"/>
        </w:rPr>
      </w:pPr>
      <w:r w:rsidRPr="0008502E">
        <w:rPr>
          <w:lang w:val="en-US"/>
        </w:rPr>
        <w:t xml:space="preserve">        - vflCorreId</w:t>
      </w:r>
    </w:p>
    <w:p w14:paraId="56F2CA93" w14:textId="77777777" w:rsidR="003513BE" w:rsidRPr="0008502E" w:rsidRDefault="003513BE" w:rsidP="003513BE">
      <w:pPr>
        <w:pStyle w:val="PL"/>
        <w:rPr>
          <w:lang w:val="en-US"/>
        </w:rPr>
      </w:pPr>
    </w:p>
    <w:p w14:paraId="3B523EE5" w14:textId="77777777" w:rsidR="003513BE" w:rsidRPr="0008502E" w:rsidRDefault="003513BE" w:rsidP="003513BE">
      <w:pPr>
        <w:pStyle w:val="PL"/>
        <w:rPr>
          <w:lang w:val="en-US"/>
        </w:rPr>
      </w:pPr>
      <w:r w:rsidRPr="0008502E">
        <w:rPr>
          <w:lang w:val="en-US"/>
        </w:rPr>
        <w:t xml:space="preserve">    VflInferReq:</w:t>
      </w:r>
    </w:p>
    <w:p w14:paraId="5D43BAB2" w14:textId="77777777" w:rsidR="003513BE" w:rsidRPr="0008502E" w:rsidRDefault="003513BE" w:rsidP="003513BE">
      <w:pPr>
        <w:pStyle w:val="PL"/>
        <w:rPr>
          <w:lang w:val="en-US"/>
        </w:rPr>
      </w:pPr>
      <w:r w:rsidRPr="0008502E">
        <w:rPr>
          <w:lang w:val="en-US"/>
        </w:rPr>
        <w:t xml:space="preserve">      description: &gt;</w:t>
      </w:r>
    </w:p>
    <w:p w14:paraId="0A5E20E6" w14:textId="77777777" w:rsidR="003513BE" w:rsidRPr="0008502E" w:rsidRDefault="003513BE" w:rsidP="003513BE">
      <w:pPr>
        <w:pStyle w:val="PL"/>
        <w:rPr>
          <w:lang w:val="en-US"/>
        </w:rPr>
      </w:pPr>
      <w:r w:rsidRPr="0008502E">
        <w:rPr>
          <w:lang w:val="en-US"/>
        </w:rPr>
        <w:t xml:space="preserve">        Represents the requirement on conditions to be fulfilled for the VFL Inference.</w:t>
      </w:r>
    </w:p>
    <w:p w14:paraId="5820D00D" w14:textId="77777777" w:rsidR="003513BE" w:rsidRPr="0008502E" w:rsidRDefault="003513BE" w:rsidP="003513BE">
      <w:pPr>
        <w:pStyle w:val="PL"/>
        <w:rPr>
          <w:lang w:val="en-US"/>
        </w:rPr>
      </w:pPr>
      <w:r w:rsidRPr="0008502E">
        <w:rPr>
          <w:lang w:val="en-US"/>
        </w:rPr>
        <w:t xml:space="preserve">      type: object</w:t>
      </w:r>
    </w:p>
    <w:p w14:paraId="7DDA5AE9" w14:textId="77777777" w:rsidR="003513BE" w:rsidRPr="0008502E" w:rsidRDefault="003513BE" w:rsidP="003513BE">
      <w:pPr>
        <w:pStyle w:val="PL"/>
        <w:rPr>
          <w:lang w:val="en-US"/>
        </w:rPr>
      </w:pPr>
      <w:r w:rsidRPr="0008502E">
        <w:rPr>
          <w:lang w:val="en-US"/>
        </w:rPr>
        <w:t xml:space="preserve">      properties:</w:t>
      </w:r>
    </w:p>
    <w:p w14:paraId="3CDE94D4" w14:textId="77777777" w:rsidR="003513BE" w:rsidRPr="0008502E" w:rsidRDefault="003513BE" w:rsidP="003513BE">
      <w:pPr>
        <w:pStyle w:val="PL"/>
        <w:rPr>
          <w:lang w:val="en-US"/>
        </w:rPr>
      </w:pPr>
      <w:r w:rsidRPr="0008502E">
        <w:rPr>
          <w:lang w:val="en-US"/>
        </w:rPr>
        <w:t xml:space="preserve">        timeWindows:</w:t>
      </w:r>
    </w:p>
    <w:p w14:paraId="42007058" w14:textId="77777777" w:rsidR="003513BE" w:rsidRPr="0008502E" w:rsidRDefault="003513BE" w:rsidP="003513BE">
      <w:pPr>
        <w:pStyle w:val="PL"/>
        <w:rPr>
          <w:lang w:val="en-US"/>
        </w:rPr>
      </w:pPr>
      <w:r w:rsidRPr="0008502E">
        <w:rPr>
          <w:lang w:val="en-US"/>
        </w:rPr>
        <w:t xml:space="preserve">          type: array</w:t>
      </w:r>
    </w:p>
    <w:p w14:paraId="25E2A5F4" w14:textId="77777777" w:rsidR="003513BE" w:rsidRPr="0008502E" w:rsidRDefault="003513BE" w:rsidP="003513BE">
      <w:pPr>
        <w:pStyle w:val="PL"/>
        <w:rPr>
          <w:lang w:val="en-US"/>
        </w:rPr>
      </w:pPr>
      <w:r w:rsidRPr="0008502E">
        <w:rPr>
          <w:lang w:val="en-US"/>
        </w:rPr>
        <w:t xml:space="preserve">          items:</w:t>
      </w:r>
    </w:p>
    <w:p w14:paraId="03054E25" w14:textId="77777777" w:rsidR="003513BE" w:rsidRPr="0008502E" w:rsidRDefault="003513BE" w:rsidP="003513BE">
      <w:pPr>
        <w:pStyle w:val="PL"/>
        <w:rPr>
          <w:lang w:val="en-US"/>
        </w:rPr>
      </w:pPr>
      <w:r w:rsidRPr="0008502E">
        <w:rPr>
          <w:lang w:val="en-US"/>
        </w:rPr>
        <w:t xml:space="preserve">            $ref: 'TS29122_CommonData.yaml#/components/schemas/TimeWindow'</w:t>
      </w:r>
    </w:p>
    <w:p w14:paraId="7D93A65F" w14:textId="77777777" w:rsidR="003513BE" w:rsidRDefault="003513BE" w:rsidP="003513BE">
      <w:pPr>
        <w:pStyle w:val="PL"/>
        <w:rPr>
          <w:lang w:val="en-US"/>
        </w:rPr>
      </w:pPr>
      <w:r w:rsidRPr="0008502E">
        <w:rPr>
          <w:lang w:val="en-US"/>
        </w:rPr>
        <w:t xml:space="preserve">          minItems: 1</w:t>
      </w:r>
    </w:p>
    <w:p w14:paraId="24628EEA" w14:textId="77777777" w:rsidR="003513BE" w:rsidRDefault="003513BE" w:rsidP="003513BE">
      <w:pPr>
        <w:pStyle w:val="PL"/>
        <w:rPr>
          <w:lang w:val="en-US"/>
        </w:rPr>
      </w:pPr>
      <w:r>
        <w:rPr>
          <w:lang w:val="en-US"/>
        </w:rPr>
        <w:t xml:space="preserve">        resTime:</w:t>
      </w:r>
    </w:p>
    <w:p w14:paraId="5BFF33BB" w14:textId="45C3D399" w:rsidR="003513BE" w:rsidRPr="0008502E" w:rsidRDefault="003513BE" w:rsidP="003513BE">
      <w:pPr>
        <w:pStyle w:val="PL"/>
        <w:rPr>
          <w:lang w:val="en-US"/>
        </w:rPr>
      </w:pPr>
      <w:r w:rsidRPr="0008502E">
        <w:rPr>
          <w:lang w:val="en-US"/>
        </w:rPr>
        <w:t xml:space="preserve">          $ref: 'TS29571_CommonData.yaml#/components/schemas/</w:t>
      </w:r>
      <w:r>
        <w:rPr>
          <w:lang w:val="en-US"/>
        </w:rPr>
        <w:t>DateTime</w:t>
      </w:r>
      <w:r w:rsidRPr="0008502E">
        <w:rPr>
          <w:lang w:val="en-US"/>
        </w:rPr>
        <w:t>'</w:t>
      </w:r>
    </w:p>
    <w:p w14:paraId="687070F6" w14:textId="77777777" w:rsidR="003513BE" w:rsidRPr="0008502E" w:rsidRDefault="003513BE" w:rsidP="003513BE">
      <w:pPr>
        <w:pStyle w:val="PL"/>
        <w:rPr>
          <w:lang w:val="en-US"/>
        </w:rPr>
      </w:pPr>
      <w:r w:rsidRPr="0008502E">
        <w:rPr>
          <w:lang w:val="en-US"/>
        </w:rPr>
        <w:t xml:space="preserve">    VflInferResult:</w:t>
      </w:r>
    </w:p>
    <w:p w14:paraId="3CAA7A04" w14:textId="77777777" w:rsidR="003513BE" w:rsidRPr="0008502E" w:rsidRDefault="003513BE" w:rsidP="003513BE">
      <w:pPr>
        <w:pStyle w:val="PL"/>
        <w:rPr>
          <w:lang w:val="en-US"/>
        </w:rPr>
      </w:pPr>
      <w:r w:rsidRPr="0008502E">
        <w:rPr>
          <w:lang w:val="en-US"/>
        </w:rPr>
        <w:t xml:space="preserve">      description: &gt;</w:t>
      </w:r>
    </w:p>
    <w:p w14:paraId="7317AD76" w14:textId="77777777" w:rsidR="003513BE" w:rsidRPr="0008502E" w:rsidRDefault="003513BE" w:rsidP="003513BE">
      <w:pPr>
        <w:pStyle w:val="PL"/>
        <w:rPr>
          <w:lang w:val="en-US"/>
        </w:rPr>
      </w:pPr>
      <w:r w:rsidRPr="0008502E">
        <w:rPr>
          <w:lang w:val="en-US"/>
        </w:rPr>
        <w:t xml:space="preserve">        Represents intermediate VFL inference result per target UE.</w:t>
      </w:r>
    </w:p>
    <w:p w14:paraId="6E66890B" w14:textId="77777777" w:rsidR="003513BE" w:rsidRPr="0008502E" w:rsidRDefault="003513BE" w:rsidP="003513BE">
      <w:pPr>
        <w:pStyle w:val="PL"/>
        <w:rPr>
          <w:lang w:val="en-US"/>
        </w:rPr>
      </w:pPr>
      <w:r w:rsidRPr="0008502E">
        <w:rPr>
          <w:lang w:val="en-US"/>
        </w:rPr>
        <w:t xml:space="preserve">      type: object</w:t>
      </w:r>
    </w:p>
    <w:p w14:paraId="6EA44A87" w14:textId="77777777" w:rsidR="003513BE" w:rsidRPr="0008502E" w:rsidRDefault="003513BE" w:rsidP="003513BE">
      <w:pPr>
        <w:pStyle w:val="PL"/>
        <w:rPr>
          <w:lang w:val="en-US"/>
        </w:rPr>
      </w:pPr>
      <w:r w:rsidRPr="0008502E">
        <w:rPr>
          <w:lang w:val="en-US"/>
        </w:rPr>
        <w:t xml:space="preserve">      properties:</w:t>
      </w:r>
    </w:p>
    <w:p w14:paraId="2FCC0DA9" w14:textId="77777777" w:rsidR="003513BE" w:rsidRPr="0008502E" w:rsidRDefault="003513BE" w:rsidP="003513BE">
      <w:pPr>
        <w:pStyle w:val="PL"/>
        <w:rPr>
          <w:lang w:val="en-US"/>
        </w:rPr>
      </w:pPr>
      <w:r w:rsidRPr="0008502E">
        <w:rPr>
          <w:lang w:val="en-US"/>
        </w:rPr>
        <w:t xml:space="preserve">        vflInferRes:</w:t>
      </w:r>
    </w:p>
    <w:p w14:paraId="4234E689" w14:textId="77777777" w:rsidR="003513BE" w:rsidRPr="0008502E" w:rsidRDefault="003513BE" w:rsidP="003513BE">
      <w:pPr>
        <w:pStyle w:val="PL"/>
        <w:rPr>
          <w:lang w:val="en-US"/>
        </w:rPr>
      </w:pPr>
      <w:r w:rsidRPr="0008502E">
        <w:rPr>
          <w:lang w:val="en-US"/>
        </w:rPr>
        <w:t xml:space="preserve">          type: array</w:t>
      </w:r>
    </w:p>
    <w:p w14:paraId="027CDCF5" w14:textId="77777777" w:rsidR="003513BE" w:rsidRPr="0008502E" w:rsidRDefault="003513BE" w:rsidP="003513BE">
      <w:pPr>
        <w:pStyle w:val="PL"/>
        <w:rPr>
          <w:lang w:val="en-US"/>
        </w:rPr>
      </w:pPr>
      <w:r w:rsidRPr="0008502E">
        <w:rPr>
          <w:lang w:val="en-US"/>
        </w:rPr>
        <w:t xml:space="preserve">          items: </w:t>
      </w:r>
    </w:p>
    <w:p w14:paraId="0B35458D" w14:textId="77777777" w:rsidR="003513BE" w:rsidRPr="0008502E" w:rsidRDefault="003513BE" w:rsidP="003513BE">
      <w:pPr>
        <w:pStyle w:val="PL"/>
        <w:rPr>
          <w:lang w:val="en-US"/>
        </w:rPr>
      </w:pPr>
      <w:r w:rsidRPr="0008502E">
        <w:rPr>
          <w:lang w:val="en-US"/>
        </w:rPr>
        <w:t xml:space="preserve">            type: string</w:t>
      </w:r>
    </w:p>
    <w:p w14:paraId="15B9DB97" w14:textId="77777777" w:rsidR="003513BE" w:rsidRPr="0008502E" w:rsidRDefault="003513BE" w:rsidP="003513BE">
      <w:pPr>
        <w:pStyle w:val="PL"/>
        <w:rPr>
          <w:lang w:val="en-US"/>
        </w:rPr>
      </w:pPr>
      <w:r w:rsidRPr="0008502E">
        <w:rPr>
          <w:lang w:val="en-US"/>
        </w:rPr>
        <w:t xml:space="preserve">          minItems: 1</w:t>
      </w:r>
    </w:p>
    <w:p w14:paraId="1629DE28" w14:textId="77777777" w:rsidR="003513BE" w:rsidRPr="0008502E" w:rsidRDefault="003513BE" w:rsidP="003513BE">
      <w:pPr>
        <w:pStyle w:val="PL"/>
        <w:rPr>
          <w:lang w:val="en-US"/>
        </w:rPr>
      </w:pPr>
      <w:r w:rsidRPr="0008502E">
        <w:rPr>
          <w:lang w:val="en-US"/>
        </w:rPr>
        <w:t xml:space="preserve">      required:</w:t>
      </w:r>
    </w:p>
    <w:p w14:paraId="5F3C5280" w14:textId="77777777" w:rsidR="003513BE" w:rsidRDefault="003513BE" w:rsidP="003513BE">
      <w:pPr>
        <w:pStyle w:val="PL"/>
        <w:rPr>
          <w:lang w:val="en-US"/>
        </w:rPr>
      </w:pPr>
      <w:r w:rsidRPr="0008502E">
        <w:rPr>
          <w:lang w:val="en-US"/>
        </w:rPr>
        <w:t xml:space="preserve">        - vflInferRes</w:t>
      </w:r>
    </w:p>
    <w:p w14:paraId="210851CA" w14:textId="77777777" w:rsidR="00A10B25" w:rsidRDefault="00A10B25">
      <w:pPr>
        <w:rPr>
          <w:lang w:val="en-IN"/>
        </w:rPr>
      </w:pPr>
    </w:p>
    <w:p w14:paraId="57366F73" w14:textId="77777777" w:rsidR="00A10B25" w:rsidRDefault="00A10B25">
      <w:pPr>
        <w:pStyle w:val="8"/>
        <w:pageBreakBefore/>
      </w:pPr>
      <w:bookmarkStart w:id="17336" w:name="_Toc113031922"/>
      <w:bookmarkStart w:id="17337" w:name="_Toc114134061"/>
      <w:bookmarkStart w:id="17338" w:name="_Toc28012882"/>
      <w:bookmarkStart w:id="17339" w:name="_Toc70550756"/>
      <w:bookmarkStart w:id="17340" w:name="_Toc90656063"/>
      <w:bookmarkStart w:id="17341" w:name="_Toc50032064"/>
      <w:bookmarkStart w:id="17342" w:name="_Toc34266368"/>
      <w:bookmarkStart w:id="17343" w:name="_Toc68169050"/>
      <w:bookmarkStart w:id="17344" w:name="_Toc59018021"/>
      <w:bookmarkStart w:id="17345" w:name="_Toc85553169"/>
      <w:bookmarkStart w:id="17346" w:name="_Toc83233240"/>
      <w:bookmarkStart w:id="17347" w:name="_Toc51762984"/>
      <w:bookmarkStart w:id="17348" w:name="_Toc94064470"/>
      <w:bookmarkStart w:id="17349" w:name="_Toc112951382"/>
      <w:bookmarkStart w:id="17350" w:name="_Toc148523027"/>
      <w:bookmarkStart w:id="17351" w:name="_Toc36102539"/>
      <w:bookmarkStart w:id="17352" w:name="_Toc45134132"/>
      <w:bookmarkStart w:id="17353" w:name="_Toc66231889"/>
      <w:bookmarkStart w:id="17354" w:name="_Toc88667778"/>
      <w:bookmarkStart w:id="17355" w:name="_Toc138754556"/>
      <w:bookmarkStart w:id="17356" w:name="_Toc101244653"/>
      <w:bookmarkStart w:id="17357" w:name="_Toc104539259"/>
      <w:bookmarkStart w:id="17358" w:name="_Toc136562723"/>
      <w:bookmarkStart w:id="17359" w:name="_Toc85557268"/>
      <w:bookmarkStart w:id="17360" w:name="_Toc120702562"/>
      <w:bookmarkStart w:id="17361" w:name="_Toc56641053"/>
      <w:bookmarkStart w:id="17362" w:name="_Toc98233872"/>
      <w:bookmarkStart w:id="17363" w:name="_Toc145706054"/>
      <w:bookmarkStart w:id="17364" w:name="_Toc43563583"/>
      <w:bookmarkStart w:id="17365" w:name="_Toc164921294"/>
      <w:bookmarkStart w:id="17366" w:name="_Toc170120836"/>
      <w:bookmarkStart w:id="17367" w:name="_Toc175859081"/>
      <w:bookmarkStart w:id="17368" w:name="_Toc175860156"/>
      <w:bookmarkStart w:id="17369" w:name="_Toc180606446"/>
      <w:bookmarkStart w:id="17370" w:name="_Toc185517707"/>
      <w:bookmarkStart w:id="17371" w:name="_Toc191576759"/>
      <w:bookmarkStart w:id="17372" w:name="_Toc191577499"/>
      <w:bookmarkStart w:id="17373" w:name="_Toc192880569"/>
      <w:bookmarkStart w:id="17374" w:name="_Toc195815458"/>
      <w:bookmarkStart w:id="17375" w:name="_Toc199453520"/>
      <w:bookmarkEnd w:id="17245"/>
      <w:r>
        <w:lastRenderedPageBreak/>
        <w:t xml:space="preserve">Annex </w:t>
      </w:r>
      <w:r>
        <w:rPr>
          <w:lang w:eastAsia="zh-CN"/>
        </w:rPr>
        <w:t>B</w:t>
      </w:r>
      <w:r>
        <w:t xml:space="preserve"> (informative):</w:t>
      </w:r>
      <w:r>
        <w:rPr>
          <w:lang w:eastAsia="zh-CN"/>
        </w:rPr>
        <w:br/>
      </w:r>
      <w:r>
        <w:t>Change history</w:t>
      </w:r>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7"/>
        <w:gridCol w:w="823"/>
        <w:gridCol w:w="1067"/>
        <w:gridCol w:w="520"/>
        <w:gridCol w:w="421"/>
        <w:gridCol w:w="420"/>
        <w:gridCol w:w="4843"/>
        <w:gridCol w:w="704"/>
      </w:tblGrid>
      <w:tr w:rsidR="00A10B25" w14:paraId="6716E49C" w14:textId="77777777">
        <w:trPr>
          <w:cantSplit/>
        </w:trPr>
        <w:tc>
          <w:tcPr>
            <w:tcW w:w="9681" w:type="dxa"/>
            <w:gridSpan w:val="8"/>
            <w:tcBorders>
              <w:bottom w:val="nil"/>
            </w:tcBorders>
            <w:shd w:val="solid" w:color="FFFFFF" w:fill="auto"/>
          </w:tcPr>
          <w:p w14:paraId="5E5E6A0A" w14:textId="77777777" w:rsidR="00A10B25" w:rsidRDefault="00A10B25">
            <w:pPr>
              <w:pStyle w:val="TAL"/>
              <w:jc w:val="center"/>
              <w:rPr>
                <w:b/>
                <w:sz w:val="16"/>
              </w:rPr>
            </w:pPr>
            <w:r>
              <w:rPr>
                <w:b/>
              </w:rPr>
              <w:lastRenderedPageBreak/>
              <w:t>Change history</w:t>
            </w:r>
          </w:p>
        </w:tc>
      </w:tr>
      <w:tr w:rsidR="00A10B25" w14:paraId="226168C9" w14:textId="77777777">
        <w:tc>
          <w:tcPr>
            <w:tcW w:w="796" w:type="dxa"/>
            <w:shd w:val="pct10" w:color="auto" w:fill="FFFFFF"/>
          </w:tcPr>
          <w:p w14:paraId="744D32D9" w14:textId="77777777" w:rsidR="00A10B25" w:rsidRDefault="00A10B25">
            <w:pPr>
              <w:pStyle w:val="TAL"/>
              <w:rPr>
                <w:b/>
                <w:sz w:val="16"/>
              </w:rPr>
            </w:pPr>
            <w:r>
              <w:rPr>
                <w:b/>
                <w:sz w:val="16"/>
              </w:rPr>
              <w:t>Date</w:t>
            </w:r>
          </w:p>
        </w:tc>
        <w:tc>
          <w:tcPr>
            <w:tcW w:w="828" w:type="dxa"/>
            <w:shd w:val="pct10" w:color="auto" w:fill="FFFFFF"/>
          </w:tcPr>
          <w:p w14:paraId="50A4AA8A" w14:textId="77777777" w:rsidR="00A10B25" w:rsidRDefault="00A10B25">
            <w:pPr>
              <w:pStyle w:val="TAL"/>
              <w:rPr>
                <w:b/>
                <w:sz w:val="16"/>
              </w:rPr>
            </w:pPr>
            <w:r>
              <w:rPr>
                <w:b/>
                <w:sz w:val="16"/>
              </w:rPr>
              <w:t>Meeting</w:t>
            </w:r>
          </w:p>
        </w:tc>
        <w:tc>
          <w:tcPr>
            <w:tcW w:w="1083" w:type="dxa"/>
            <w:shd w:val="pct10" w:color="auto" w:fill="FFFFFF"/>
          </w:tcPr>
          <w:p w14:paraId="582F45C6" w14:textId="77777777" w:rsidR="00A10B25" w:rsidRDefault="00A10B25">
            <w:pPr>
              <w:pStyle w:val="TAL"/>
              <w:rPr>
                <w:b/>
                <w:sz w:val="16"/>
              </w:rPr>
            </w:pPr>
            <w:r>
              <w:rPr>
                <w:b/>
                <w:sz w:val="16"/>
              </w:rPr>
              <w:t>TDoc</w:t>
            </w:r>
          </w:p>
        </w:tc>
        <w:tc>
          <w:tcPr>
            <w:tcW w:w="523" w:type="dxa"/>
            <w:shd w:val="pct10" w:color="auto" w:fill="FFFFFF"/>
          </w:tcPr>
          <w:p w14:paraId="2894AE5F" w14:textId="77777777" w:rsidR="00A10B25" w:rsidRDefault="00A10B25">
            <w:pPr>
              <w:pStyle w:val="TAL"/>
              <w:rPr>
                <w:b/>
                <w:sz w:val="16"/>
              </w:rPr>
            </w:pPr>
            <w:r>
              <w:rPr>
                <w:b/>
                <w:sz w:val="16"/>
              </w:rPr>
              <w:t>CR</w:t>
            </w:r>
          </w:p>
        </w:tc>
        <w:tc>
          <w:tcPr>
            <w:tcW w:w="423" w:type="dxa"/>
            <w:shd w:val="pct10" w:color="auto" w:fill="FFFFFF"/>
          </w:tcPr>
          <w:p w14:paraId="6AF24C80" w14:textId="77777777" w:rsidR="00A10B25" w:rsidRDefault="00A10B25">
            <w:pPr>
              <w:pStyle w:val="TAL"/>
              <w:rPr>
                <w:b/>
                <w:sz w:val="16"/>
              </w:rPr>
            </w:pPr>
            <w:r>
              <w:rPr>
                <w:b/>
                <w:sz w:val="16"/>
              </w:rPr>
              <w:t>Rev</w:t>
            </w:r>
          </w:p>
        </w:tc>
        <w:tc>
          <w:tcPr>
            <w:tcW w:w="423" w:type="dxa"/>
            <w:shd w:val="pct10" w:color="auto" w:fill="FFFFFF"/>
          </w:tcPr>
          <w:p w14:paraId="6C6DAA1B" w14:textId="77777777" w:rsidR="00A10B25" w:rsidRDefault="00A10B25">
            <w:pPr>
              <w:pStyle w:val="TAL"/>
              <w:rPr>
                <w:b/>
                <w:sz w:val="16"/>
              </w:rPr>
            </w:pPr>
            <w:r>
              <w:rPr>
                <w:b/>
                <w:sz w:val="16"/>
              </w:rPr>
              <w:t>Cat</w:t>
            </w:r>
          </w:p>
        </w:tc>
        <w:tc>
          <w:tcPr>
            <w:tcW w:w="4899" w:type="dxa"/>
            <w:shd w:val="pct10" w:color="auto" w:fill="FFFFFF"/>
          </w:tcPr>
          <w:p w14:paraId="4623C552" w14:textId="77777777" w:rsidR="00A10B25" w:rsidRDefault="00A10B25">
            <w:pPr>
              <w:pStyle w:val="TAL"/>
              <w:rPr>
                <w:b/>
                <w:sz w:val="16"/>
              </w:rPr>
            </w:pPr>
            <w:r>
              <w:rPr>
                <w:b/>
                <w:sz w:val="16"/>
              </w:rPr>
              <w:t>Subject/Comment</w:t>
            </w:r>
          </w:p>
        </w:tc>
        <w:tc>
          <w:tcPr>
            <w:tcW w:w="706" w:type="dxa"/>
            <w:shd w:val="pct10" w:color="auto" w:fill="FFFFFF"/>
          </w:tcPr>
          <w:p w14:paraId="6555A9D6" w14:textId="77777777" w:rsidR="00A10B25" w:rsidRDefault="00A10B25">
            <w:pPr>
              <w:pStyle w:val="TAL"/>
              <w:rPr>
                <w:b/>
                <w:sz w:val="16"/>
              </w:rPr>
            </w:pPr>
            <w:r>
              <w:rPr>
                <w:b/>
                <w:sz w:val="16"/>
              </w:rPr>
              <w:t>New version</w:t>
            </w:r>
          </w:p>
        </w:tc>
      </w:tr>
      <w:tr w:rsidR="00A10B25" w14:paraId="10F802DC" w14:textId="77777777">
        <w:tc>
          <w:tcPr>
            <w:tcW w:w="796" w:type="dxa"/>
            <w:shd w:val="solid" w:color="FFFFFF" w:fill="auto"/>
          </w:tcPr>
          <w:p w14:paraId="0DFDAC08" w14:textId="77777777" w:rsidR="00A10B25" w:rsidRDefault="00A10B25">
            <w:pPr>
              <w:pStyle w:val="TAC"/>
              <w:rPr>
                <w:sz w:val="16"/>
                <w:szCs w:val="16"/>
              </w:rPr>
            </w:pPr>
            <w:r>
              <w:rPr>
                <w:sz w:val="16"/>
                <w:szCs w:val="16"/>
                <w:lang w:eastAsia="ko-KR"/>
              </w:rPr>
              <w:t>2017-10</w:t>
            </w:r>
          </w:p>
        </w:tc>
        <w:tc>
          <w:tcPr>
            <w:tcW w:w="828" w:type="dxa"/>
            <w:shd w:val="solid" w:color="FFFFFF" w:fill="auto"/>
          </w:tcPr>
          <w:p w14:paraId="57BD6D8C" w14:textId="77777777" w:rsidR="00A10B25" w:rsidRDefault="00A10B25">
            <w:pPr>
              <w:pStyle w:val="TAC"/>
              <w:rPr>
                <w:sz w:val="16"/>
                <w:szCs w:val="16"/>
              </w:rPr>
            </w:pPr>
          </w:p>
        </w:tc>
        <w:tc>
          <w:tcPr>
            <w:tcW w:w="1083" w:type="dxa"/>
            <w:shd w:val="solid" w:color="FFFFFF" w:fill="auto"/>
          </w:tcPr>
          <w:p w14:paraId="19206802" w14:textId="77777777" w:rsidR="00A10B25" w:rsidRDefault="00A10B25">
            <w:pPr>
              <w:pStyle w:val="TAC"/>
              <w:rPr>
                <w:sz w:val="16"/>
                <w:szCs w:val="16"/>
              </w:rPr>
            </w:pPr>
          </w:p>
        </w:tc>
        <w:tc>
          <w:tcPr>
            <w:tcW w:w="523" w:type="dxa"/>
            <w:shd w:val="solid" w:color="FFFFFF" w:fill="auto"/>
          </w:tcPr>
          <w:p w14:paraId="0B42C788" w14:textId="77777777" w:rsidR="00A10B25" w:rsidRDefault="00A10B25">
            <w:pPr>
              <w:pStyle w:val="TAL"/>
              <w:rPr>
                <w:sz w:val="16"/>
                <w:szCs w:val="16"/>
              </w:rPr>
            </w:pPr>
          </w:p>
        </w:tc>
        <w:tc>
          <w:tcPr>
            <w:tcW w:w="423" w:type="dxa"/>
            <w:shd w:val="solid" w:color="FFFFFF" w:fill="auto"/>
          </w:tcPr>
          <w:p w14:paraId="1BED65BB" w14:textId="77777777" w:rsidR="00A10B25" w:rsidRDefault="00A10B25">
            <w:pPr>
              <w:pStyle w:val="TAR"/>
              <w:rPr>
                <w:sz w:val="16"/>
                <w:szCs w:val="16"/>
              </w:rPr>
            </w:pPr>
          </w:p>
        </w:tc>
        <w:tc>
          <w:tcPr>
            <w:tcW w:w="423" w:type="dxa"/>
            <w:shd w:val="solid" w:color="FFFFFF" w:fill="auto"/>
          </w:tcPr>
          <w:p w14:paraId="7D6468AF" w14:textId="77777777" w:rsidR="00A10B25" w:rsidRDefault="00A10B25">
            <w:pPr>
              <w:pStyle w:val="TAC"/>
              <w:rPr>
                <w:sz w:val="16"/>
                <w:szCs w:val="16"/>
              </w:rPr>
            </w:pPr>
          </w:p>
        </w:tc>
        <w:tc>
          <w:tcPr>
            <w:tcW w:w="4899" w:type="dxa"/>
            <w:shd w:val="solid" w:color="FFFFFF" w:fill="auto"/>
          </w:tcPr>
          <w:p w14:paraId="1010F2CB" w14:textId="77777777" w:rsidR="00A10B25" w:rsidRDefault="00A10B25">
            <w:pPr>
              <w:pStyle w:val="TAL"/>
              <w:rPr>
                <w:sz w:val="16"/>
                <w:szCs w:val="16"/>
              </w:rPr>
            </w:pPr>
            <w:r>
              <w:rPr>
                <w:sz w:val="16"/>
                <w:szCs w:val="16"/>
              </w:rPr>
              <w:t>TS skeleton</w:t>
            </w:r>
            <w:r>
              <w:rPr>
                <w:sz w:val="16"/>
                <w:szCs w:val="16"/>
                <w:lang w:eastAsia="zh-CN"/>
              </w:rPr>
              <w:t xml:space="preserve"> of </w:t>
            </w:r>
            <w:r>
              <w:rPr>
                <w:sz w:val="16"/>
                <w:szCs w:val="16"/>
              </w:rPr>
              <w:t>Network Data Analytics Services.</w:t>
            </w:r>
          </w:p>
        </w:tc>
        <w:tc>
          <w:tcPr>
            <w:tcW w:w="706" w:type="dxa"/>
            <w:shd w:val="solid" w:color="FFFFFF" w:fill="auto"/>
          </w:tcPr>
          <w:p w14:paraId="753F1AE7" w14:textId="77777777" w:rsidR="00A10B25" w:rsidRDefault="00A10B25">
            <w:pPr>
              <w:pStyle w:val="TAC"/>
              <w:rPr>
                <w:sz w:val="16"/>
                <w:szCs w:val="16"/>
              </w:rPr>
            </w:pPr>
            <w:r>
              <w:rPr>
                <w:sz w:val="16"/>
                <w:szCs w:val="16"/>
                <w:lang w:eastAsia="zh-CN"/>
              </w:rPr>
              <w:t>0.0.0</w:t>
            </w:r>
          </w:p>
        </w:tc>
      </w:tr>
      <w:tr w:rsidR="00A10B25" w14:paraId="5629E721" w14:textId="77777777">
        <w:tc>
          <w:tcPr>
            <w:tcW w:w="796" w:type="dxa"/>
            <w:shd w:val="solid" w:color="FFFFFF" w:fill="auto"/>
          </w:tcPr>
          <w:p w14:paraId="15927DFA" w14:textId="77777777" w:rsidR="00A10B25" w:rsidRDefault="00A10B25">
            <w:pPr>
              <w:pStyle w:val="TAC"/>
              <w:rPr>
                <w:sz w:val="16"/>
                <w:szCs w:val="16"/>
              </w:rPr>
            </w:pPr>
            <w:r>
              <w:rPr>
                <w:sz w:val="16"/>
                <w:szCs w:val="16"/>
                <w:lang w:eastAsia="zh-CN"/>
              </w:rPr>
              <w:t>2017-11</w:t>
            </w:r>
          </w:p>
        </w:tc>
        <w:tc>
          <w:tcPr>
            <w:tcW w:w="828" w:type="dxa"/>
            <w:shd w:val="solid" w:color="FFFFFF" w:fill="auto"/>
          </w:tcPr>
          <w:p w14:paraId="2FF7A14F" w14:textId="77777777" w:rsidR="00A10B25" w:rsidRDefault="00A10B25">
            <w:pPr>
              <w:pStyle w:val="TAC"/>
              <w:rPr>
                <w:sz w:val="16"/>
                <w:szCs w:val="16"/>
              </w:rPr>
            </w:pPr>
            <w:r>
              <w:rPr>
                <w:sz w:val="16"/>
                <w:szCs w:val="16"/>
                <w:lang w:eastAsia="ko-KR"/>
              </w:rPr>
              <w:t>CT3#92</w:t>
            </w:r>
          </w:p>
        </w:tc>
        <w:tc>
          <w:tcPr>
            <w:tcW w:w="1083" w:type="dxa"/>
            <w:shd w:val="solid" w:color="FFFFFF" w:fill="auto"/>
          </w:tcPr>
          <w:p w14:paraId="49F42419" w14:textId="77777777" w:rsidR="00A10B25" w:rsidRDefault="00A10B25">
            <w:pPr>
              <w:pStyle w:val="TAC"/>
              <w:rPr>
                <w:sz w:val="16"/>
                <w:szCs w:val="16"/>
              </w:rPr>
            </w:pPr>
          </w:p>
        </w:tc>
        <w:tc>
          <w:tcPr>
            <w:tcW w:w="523" w:type="dxa"/>
            <w:shd w:val="solid" w:color="FFFFFF" w:fill="auto"/>
          </w:tcPr>
          <w:p w14:paraId="3619A91A" w14:textId="77777777" w:rsidR="00A10B25" w:rsidRDefault="00A10B25">
            <w:pPr>
              <w:pStyle w:val="TAL"/>
              <w:rPr>
                <w:sz w:val="16"/>
                <w:szCs w:val="16"/>
              </w:rPr>
            </w:pPr>
          </w:p>
        </w:tc>
        <w:tc>
          <w:tcPr>
            <w:tcW w:w="423" w:type="dxa"/>
            <w:shd w:val="solid" w:color="FFFFFF" w:fill="auto"/>
          </w:tcPr>
          <w:p w14:paraId="11791201" w14:textId="77777777" w:rsidR="00A10B25" w:rsidRDefault="00A10B25">
            <w:pPr>
              <w:pStyle w:val="TAR"/>
              <w:rPr>
                <w:sz w:val="16"/>
                <w:szCs w:val="16"/>
              </w:rPr>
            </w:pPr>
          </w:p>
        </w:tc>
        <w:tc>
          <w:tcPr>
            <w:tcW w:w="423" w:type="dxa"/>
            <w:shd w:val="solid" w:color="FFFFFF" w:fill="auto"/>
          </w:tcPr>
          <w:p w14:paraId="6CB475BF" w14:textId="77777777" w:rsidR="00A10B25" w:rsidRDefault="00A10B25">
            <w:pPr>
              <w:pStyle w:val="TAC"/>
              <w:rPr>
                <w:sz w:val="16"/>
                <w:szCs w:val="16"/>
              </w:rPr>
            </w:pPr>
          </w:p>
        </w:tc>
        <w:tc>
          <w:tcPr>
            <w:tcW w:w="4899" w:type="dxa"/>
            <w:shd w:val="solid" w:color="FFFFFF" w:fill="auto"/>
          </w:tcPr>
          <w:p w14:paraId="621601DE" w14:textId="77777777" w:rsidR="00A10B25" w:rsidRDefault="00A10B25">
            <w:pPr>
              <w:pStyle w:val="TAL"/>
              <w:rPr>
                <w:sz w:val="16"/>
                <w:szCs w:val="16"/>
              </w:rPr>
            </w:pPr>
            <w:r>
              <w:rPr>
                <w:sz w:val="16"/>
                <w:szCs w:val="16"/>
              </w:rPr>
              <w:t>Inclusion of documents agreed in CT3#</w:t>
            </w:r>
            <w:r>
              <w:rPr>
                <w:sz w:val="16"/>
                <w:szCs w:val="16"/>
                <w:lang w:eastAsia="zh-CN"/>
              </w:rPr>
              <w:t>92</w:t>
            </w:r>
            <w:r>
              <w:rPr>
                <w:sz w:val="16"/>
                <w:szCs w:val="16"/>
              </w:rPr>
              <w:t xml:space="preserve"> C3-1</w:t>
            </w:r>
            <w:r>
              <w:rPr>
                <w:sz w:val="16"/>
                <w:szCs w:val="16"/>
                <w:lang w:eastAsia="zh-CN"/>
              </w:rPr>
              <w:t>75356.</w:t>
            </w:r>
          </w:p>
        </w:tc>
        <w:tc>
          <w:tcPr>
            <w:tcW w:w="706" w:type="dxa"/>
            <w:shd w:val="solid" w:color="FFFFFF" w:fill="auto"/>
          </w:tcPr>
          <w:p w14:paraId="015287A1" w14:textId="77777777" w:rsidR="00A10B25" w:rsidRDefault="00A10B25">
            <w:pPr>
              <w:pStyle w:val="TAC"/>
              <w:rPr>
                <w:sz w:val="16"/>
                <w:szCs w:val="16"/>
              </w:rPr>
            </w:pPr>
            <w:r>
              <w:rPr>
                <w:sz w:val="16"/>
                <w:szCs w:val="16"/>
                <w:lang w:eastAsia="zh-CN"/>
              </w:rPr>
              <w:t>0.1.0</w:t>
            </w:r>
          </w:p>
        </w:tc>
      </w:tr>
      <w:tr w:rsidR="00A10B25" w14:paraId="11651BB5" w14:textId="77777777">
        <w:tc>
          <w:tcPr>
            <w:tcW w:w="796" w:type="dxa"/>
            <w:shd w:val="solid" w:color="FFFFFF" w:fill="auto"/>
          </w:tcPr>
          <w:p w14:paraId="2094CD4F" w14:textId="77777777" w:rsidR="00A10B25" w:rsidRDefault="00A10B25">
            <w:pPr>
              <w:pStyle w:val="TAC"/>
              <w:rPr>
                <w:sz w:val="16"/>
                <w:szCs w:val="16"/>
              </w:rPr>
            </w:pPr>
            <w:r>
              <w:rPr>
                <w:sz w:val="16"/>
                <w:szCs w:val="16"/>
                <w:lang w:eastAsia="zh-CN"/>
              </w:rPr>
              <w:t>2017-12</w:t>
            </w:r>
          </w:p>
        </w:tc>
        <w:tc>
          <w:tcPr>
            <w:tcW w:w="828" w:type="dxa"/>
            <w:shd w:val="solid" w:color="FFFFFF" w:fill="auto"/>
          </w:tcPr>
          <w:p w14:paraId="0795195C" w14:textId="77777777" w:rsidR="00A10B25" w:rsidRDefault="00A10B25">
            <w:pPr>
              <w:pStyle w:val="TAC"/>
              <w:rPr>
                <w:sz w:val="16"/>
                <w:szCs w:val="16"/>
              </w:rPr>
            </w:pPr>
            <w:r>
              <w:rPr>
                <w:sz w:val="16"/>
                <w:szCs w:val="16"/>
                <w:lang w:eastAsia="ko-KR"/>
              </w:rPr>
              <w:t>CT3#93</w:t>
            </w:r>
          </w:p>
        </w:tc>
        <w:tc>
          <w:tcPr>
            <w:tcW w:w="1083" w:type="dxa"/>
            <w:shd w:val="solid" w:color="FFFFFF" w:fill="auto"/>
          </w:tcPr>
          <w:p w14:paraId="7DFA80BC" w14:textId="77777777" w:rsidR="00A10B25" w:rsidRDefault="00A10B25">
            <w:pPr>
              <w:pStyle w:val="TAC"/>
              <w:rPr>
                <w:sz w:val="16"/>
                <w:szCs w:val="16"/>
              </w:rPr>
            </w:pPr>
          </w:p>
        </w:tc>
        <w:tc>
          <w:tcPr>
            <w:tcW w:w="523" w:type="dxa"/>
            <w:shd w:val="solid" w:color="FFFFFF" w:fill="auto"/>
          </w:tcPr>
          <w:p w14:paraId="0E29B3D8" w14:textId="77777777" w:rsidR="00A10B25" w:rsidRDefault="00A10B25">
            <w:pPr>
              <w:pStyle w:val="TAL"/>
              <w:rPr>
                <w:sz w:val="16"/>
                <w:szCs w:val="16"/>
              </w:rPr>
            </w:pPr>
          </w:p>
        </w:tc>
        <w:tc>
          <w:tcPr>
            <w:tcW w:w="423" w:type="dxa"/>
            <w:shd w:val="solid" w:color="FFFFFF" w:fill="auto"/>
          </w:tcPr>
          <w:p w14:paraId="70E52F92" w14:textId="77777777" w:rsidR="00A10B25" w:rsidRDefault="00A10B25">
            <w:pPr>
              <w:pStyle w:val="TAR"/>
              <w:rPr>
                <w:sz w:val="16"/>
                <w:szCs w:val="16"/>
              </w:rPr>
            </w:pPr>
          </w:p>
        </w:tc>
        <w:tc>
          <w:tcPr>
            <w:tcW w:w="423" w:type="dxa"/>
            <w:shd w:val="solid" w:color="FFFFFF" w:fill="auto"/>
          </w:tcPr>
          <w:p w14:paraId="235EE688" w14:textId="77777777" w:rsidR="00A10B25" w:rsidRDefault="00A10B25">
            <w:pPr>
              <w:pStyle w:val="TAC"/>
              <w:rPr>
                <w:sz w:val="16"/>
                <w:szCs w:val="16"/>
              </w:rPr>
            </w:pPr>
          </w:p>
        </w:tc>
        <w:tc>
          <w:tcPr>
            <w:tcW w:w="4899" w:type="dxa"/>
            <w:shd w:val="solid" w:color="FFFFFF" w:fill="auto"/>
          </w:tcPr>
          <w:p w14:paraId="0ABEB7DE" w14:textId="77777777" w:rsidR="00A10B25" w:rsidRDefault="00A10B25">
            <w:pPr>
              <w:pStyle w:val="TAL"/>
              <w:rPr>
                <w:sz w:val="16"/>
                <w:szCs w:val="16"/>
              </w:rPr>
            </w:pPr>
            <w:r>
              <w:rPr>
                <w:sz w:val="16"/>
                <w:szCs w:val="16"/>
              </w:rPr>
              <w:t>Inclusion of documents agreed in CT3#</w:t>
            </w:r>
            <w:r>
              <w:rPr>
                <w:sz w:val="16"/>
                <w:szCs w:val="16"/>
                <w:lang w:eastAsia="zh-CN"/>
              </w:rPr>
              <w:t>93</w:t>
            </w:r>
            <w:r>
              <w:rPr>
                <w:sz w:val="16"/>
                <w:szCs w:val="16"/>
              </w:rPr>
              <w:t xml:space="preserve"> C3-1</w:t>
            </w:r>
            <w:r>
              <w:rPr>
                <w:sz w:val="16"/>
                <w:szCs w:val="16"/>
                <w:lang w:eastAsia="zh-CN"/>
              </w:rPr>
              <w:t>76166</w:t>
            </w:r>
            <w:r>
              <w:rPr>
                <w:sz w:val="16"/>
                <w:szCs w:val="16"/>
                <w:lang w:val="en-US" w:eastAsia="zh-CN"/>
              </w:rPr>
              <w:t>, C3-176260, C3-176324, C3-176325, C3-176326, and C3-176327</w:t>
            </w:r>
            <w:r>
              <w:rPr>
                <w:sz w:val="16"/>
                <w:szCs w:val="16"/>
                <w:lang w:eastAsia="zh-CN"/>
              </w:rPr>
              <w:t>.</w:t>
            </w:r>
          </w:p>
        </w:tc>
        <w:tc>
          <w:tcPr>
            <w:tcW w:w="706" w:type="dxa"/>
            <w:shd w:val="solid" w:color="FFFFFF" w:fill="auto"/>
          </w:tcPr>
          <w:p w14:paraId="51A06590" w14:textId="77777777" w:rsidR="00A10B25" w:rsidRDefault="00A10B25">
            <w:pPr>
              <w:pStyle w:val="TAC"/>
              <w:rPr>
                <w:sz w:val="16"/>
                <w:szCs w:val="16"/>
              </w:rPr>
            </w:pPr>
            <w:r>
              <w:rPr>
                <w:sz w:val="16"/>
                <w:szCs w:val="16"/>
                <w:lang w:eastAsia="zh-CN"/>
              </w:rPr>
              <w:t>0.2.0</w:t>
            </w:r>
          </w:p>
        </w:tc>
      </w:tr>
      <w:tr w:rsidR="00A10B25" w14:paraId="26CD0535" w14:textId="77777777">
        <w:tc>
          <w:tcPr>
            <w:tcW w:w="796" w:type="dxa"/>
            <w:shd w:val="solid" w:color="FFFFFF" w:fill="auto"/>
          </w:tcPr>
          <w:p w14:paraId="6EE4B2C9" w14:textId="77777777" w:rsidR="00A10B25" w:rsidRDefault="00A10B25">
            <w:pPr>
              <w:pStyle w:val="TAC"/>
              <w:rPr>
                <w:sz w:val="16"/>
                <w:szCs w:val="16"/>
              </w:rPr>
            </w:pPr>
            <w:r>
              <w:rPr>
                <w:sz w:val="16"/>
                <w:szCs w:val="16"/>
                <w:lang w:eastAsia="zh-CN"/>
              </w:rPr>
              <w:t>2018-01</w:t>
            </w:r>
          </w:p>
        </w:tc>
        <w:tc>
          <w:tcPr>
            <w:tcW w:w="828" w:type="dxa"/>
            <w:shd w:val="solid" w:color="FFFFFF" w:fill="auto"/>
          </w:tcPr>
          <w:p w14:paraId="56ABC686" w14:textId="77777777" w:rsidR="00A10B25" w:rsidRDefault="00A10B25">
            <w:pPr>
              <w:pStyle w:val="TAC"/>
              <w:rPr>
                <w:sz w:val="16"/>
                <w:szCs w:val="16"/>
              </w:rPr>
            </w:pPr>
            <w:r>
              <w:rPr>
                <w:sz w:val="16"/>
                <w:szCs w:val="16"/>
                <w:lang w:eastAsia="ko-KR"/>
              </w:rPr>
              <w:t>CT3#94</w:t>
            </w:r>
          </w:p>
        </w:tc>
        <w:tc>
          <w:tcPr>
            <w:tcW w:w="1083" w:type="dxa"/>
            <w:shd w:val="solid" w:color="FFFFFF" w:fill="auto"/>
          </w:tcPr>
          <w:p w14:paraId="16EBE61D" w14:textId="77777777" w:rsidR="00A10B25" w:rsidRDefault="00A10B25">
            <w:pPr>
              <w:pStyle w:val="TAC"/>
              <w:rPr>
                <w:sz w:val="16"/>
                <w:szCs w:val="16"/>
              </w:rPr>
            </w:pPr>
          </w:p>
        </w:tc>
        <w:tc>
          <w:tcPr>
            <w:tcW w:w="523" w:type="dxa"/>
            <w:shd w:val="solid" w:color="FFFFFF" w:fill="auto"/>
          </w:tcPr>
          <w:p w14:paraId="72E79B6F" w14:textId="77777777" w:rsidR="00A10B25" w:rsidRDefault="00A10B25">
            <w:pPr>
              <w:pStyle w:val="TAL"/>
              <w:rPr>
                <w:sz w:val="16"/>
                <w:szCs w:val="16"/>
              </w:rPr>
            </w:pPr>
          </w:p>
        </w:tc>
        <w:tc>
          <w:tcPr>
            <w:tcW w:w="423" w:type="dxa"/>
            <w:shd w:val="solid" w:color="FFFFFF" w:fill="auto"/>
          </w:tcPr>
          <w:p w14:paraId="3A42D44E" w14:textId="77777777" w:rsidR="00A10B25" w:rsidRDefault="00A10B25">
            <w:pPr>
              <w:pStyle w:val="TAR"/>
              <w:rPr>
                <w:sz w:val="16"/>
                <w:szCs w:val="16"/>
              </w:rPr>
            </w:pPr>
          </w:p>
        </w:tc>
        <w:tc>
          <w:tcPr>
            <w:tcW w:w="423" w:type="dxa"/>
            <w:shd w:val="solid" w:color="FFFFFF" w:fill="auto"/>
          </w:tcPr>
          <w:p w14:paraId="30D78C3A" w14:textId="77777777" w:rsidR="00A10B25" w:rsidRDefault="00A10B25">
            <w:pPr>
              <w:pStyle w:val="TAC"/>
              <w:rPr>
                <w:sz w:val="16"/>
                <w:szCs w:val="16"/>
              </w:rPr>
            </w:pPr>
          </w:p>
        </w:tc>
        <w:tc>
          <w:tcPr>
            <w:tcW w:w="4899" w:type="dxa"/>
            <w:shd w:val="solid" w:color="FFFFFF" w:fill="auto"/>
          </w:tcPr>
          <w:p w14:paraId="582B6961" w14:textId="77777777" w:rsidR="00A10B25" w:rsidRDefault="00A10B25">
            <w:pPr>
              <w:pStyle w:val="TAL"/>
              <w:rPr>
                <w:sz w:val="16"/>
                <w:szCs w:val="16"/>
              </w:rPr>
            </w:pPr>
            <w:r>
              <w:rPr>
                <w:sz w:val="16"/>
                <w:szCs w:val="16"/>
              </w:rPr>
              <w:t>Inclusion of documents agreed in CT3#</w:t>
            </w:r>
            <w:r>
              <w:rPr>
                <w:sz w:val="16"/>
                <w:szCs w:val="16"/>
                <w:lang w:eastAsia="zh-CN"/>
              </w:rPr>
              <w:t>94</w:t>
            </w:r>
            <w:r>
              <w:rPr>
                <w:sz w:val="16"/>
                <w:szCs w:val="16"/>
              </w:rPr>
              <w:t xml:space="preserve"> C3-1</w:t>
            </w:r>
            <w:r>
              <w:rPr>
                <w:sz w:val="16"/>
                <w:szCs w:val="16"/>
                <w:lang w:eastAsia="zh-CN"/>
              </w:rPr>
              <w:t>80252</w:t>
            </w:r>
            <w:r>
              <w:rPr>
                <w:sz w:val="16"/>
                <w:szCs w:val="16"/>
                <w:lang w:val="en-US" w:eastAsia="zh-CN"/>
              </w:rPr>
              <w:t>, C3-180253, C3-180254, C3-180255, C3-180256, C3-180257, C3-180344, C3-180345, C3-180346, C3-180323 and C3-180347</w:t>
            </w:r>
            <w:r>
              <w:rPr>
                <w:sz w:val="16"/>
                <w:szCs w:val="16"/>
                <w:lang w:eastAsia="zh-CN"/>
              </w:rPr>
              <w:t>.</w:t>
            </w:r>
          </w:p>
        </w:tc>
        <w:tc>
          <w:tcPr>
            <w:tcW w:w="706" w:type="dxa"/>
            <w:shd w:val="solid" w:color="FFFFFF" w:fill="auto"/>
          </w:tcPr>
          <w:p w14:paraId="1476A60D" w14:textId="77777777" w:rsidR="00A10B25" w:rsidRDefault="00A10B25">
            <w:pPr>
              <w:pStyle w:val="TAC"/>
              <w:rPr>
                <w:sz w:val="16"/>
                <w:szCs w:val="16"/>
              </w:rPr>
            </w:pPr>
            <w:r>
              <w:rPr>
                <w:sz w:val="16"/>
                <w:szCs w:val="16"/>
                <w:lang w:eastAsia="zh-CN"/>
              </w:rPr>
              <w:t>0.3.0</w:t>
            </w:r>
          </w:p>
        </w:tc>
      </w:tr>
      <w:tr w:rsidR="00A10B25" w14:paraId="1C872980" w14:textId="77777777">
        <w:tc>
          <w:tcPr>
            <w:tcW w:w="796" w:type="dxa"/>
            <w:shd w:val="solid" w:color="FFFFFF" w:fill="auto"/>
          </w:tcPr>
          <w:p w14:paraId="224D9CD8" w14:textId="77777777" w:rsidR="00A10B25" w:rsidRDefault="00A10B25">
            <w:pPr>
              <w:pStyle w:val="TAC"/>
              <w:rPr>
                <w:sz w:val="16"/>
                <w:szCs w:val="16"/>
              </w:rPr>
            </w:pPr>
            <w:r>
              <w:rPr>
                <w:sz w:val="16"/>
                <w:szCs w:val="16"/>
                <w:lang w:eastAsia="zh-CN"/>
              </w:rPr>
              <w:t>2018-03</w:t>
            </w:r>
          </w:p>
        </w:tc>
        <w:tc>
          <w:tcPr>
            <w:tcW w:w="828" w:type="dxa"/>
            <w:shd w:val="solid" w:color="FFFFFF" w:fill="auto"/>
          </w:tcPr>
          <w:p w14:paraId="1686D51A" w14:textId="77777777" w:rsidR="00A10B25" w:rsidRDefault="00A10B25">
            <w:pPr>
              <w:pStyle w:val="TAC"/>
              <w:rPr>
                <w:sz w:val="16"/>
                <w:szCs w:val="16"/>
              </w:rPr>
            </w:pPr>
            <w:r>
              <w:rPr>
                <w:sz w:val="16"/>
                <w:szCs w:val="16"/>
                <w:lang w:eastAsia="ko-KR"/>
              </w:rPr>
              <w:t>CT3#95</w:t>
            </w:r>
          </w:p>
        </w:tc>
        <w:tc>
          <w:tcPr>
            <w:tcW w:w="1083" w:type="dxa"/>
            <w:shd w:val="solid" w:color="FFFFFF" w:fill="auto"/>
          </w:tcPr>
          <w:p w14:paraId="4DA9F6A0" w14:textId="77777777" w:rsidR="00A10B25" w:rsidRDefault="00A10B25">
            <w:pPr>
              <w:pStyle w:val="TAC"/>
              <w:rPr>
                <w:sz w:val="16"/>
                <w:szCs w:val="16"/>
              </w:rPr>
            </w:pPr>
          </w:p>
        </w:tc>
        <w:tc>
          <w:tcPr>
            <w:tcW w:w="523" w:type="dxa"/>
            <w:shd w:val="solid" w:color="FFFFFF" w:fill="auto"/>
          </w:tcPr>
          <w:p w14:paraId="0C672A1A" w14:textId="77777777" w:rsidR="00A10B25" w:rsidRDefault="00A10B25">
            <w:pPr>
              <w:pStyle w:val="TAL"/>
              <w:rPr>
                <w:sz w:val="16"/>
                <w:szCs w:val="16"/>
              </w:rPr>
            </w:pPr>
          </w:p>
        </w:tc>
        <w:tc>
          <w:tcPr>
            <w:tcW w:w="423" w:type="dxa"/>
            <w:shd w:val="solid" w:color="FFFFFF" w:fill="auto"/>
          </w:tcPr>
          <w:p w14:paraId="6CC6CFFB" w14:textId="77777777" w:rsidR="00A10B25" w:rsidRDefault="00A10B25">
            <w:pPr>
              <w:pStyle w:val="TAR"/>
              <w:rPr>
                <w:sz w:val="16"/>
                <w:szCs w:val="16"/>
              </w:rPr>
            </w:pPr>
          </w:p>
        </w:tc>
        <w:tc>
          <w:tcPr>
            <w:tcW w:w="423" w:type="dxa"/>
            <w:shd w:val="solid" w:color="FFFFFF" w:fill="auto"/>
          </w:tcPr>
          <w:p w14:paraId="2225B44A" w14:textId="77777777" w:rsidR="00A10B25" w:rsidRDefault="00A10B25">
            <w:pPr>
              <w:pStyle w:val="TAC"/>
              <w:rPr>
                <w:sz w:val="16"/>
                <w:szCs w:val="16"/>
              </w:rPr>
            </w:pPr>
          </w:p>
        </w:tc>
        <w:tc>
          <w:tcPr>
            <w:tcW w:w="4899" w:type="dxa"/>
            <w:shd w:val="solid" w:color="FFFFFF" w:fill="auto"/>
          </w:tcPr>
          <w:p w14:paraId="1B824823" w14:textId="77777777" w:rsidR="00A10B25" w:rsidRDefault="00A10B25">
            <w:pPr>
              <w:pStyle w:val="TAL"/>
              <w:rPr>
                <w:sz w:val="16"/>
                <w:szCs w:val="16"/>
              </w:rPr>
            </w:pPr>
            <w:r>
              <w:rPr>
                <w:sz w:val="16"/>
                <w:szCs w:val="16"/>
              </w:rPr>
              <w:t>Inclusion of documents agreed in CT3#</w:t>
            </w:r>
            <w:r>
              <w:rPr>
                <w:sz w:val="16"/>
                <w:szCs w:val="16"/>
                <w:lang w:eastAsia="zh-CN"/>
              </w:rPr>
              <w:t>95</w:t>
            </w:r>
            <w:r>
              <w:rPr>
                <w:sz w:val="16"/>
                <w:szCs w:val="16"/>
              </w:rPr>
              <w:t xml:space="preserve"> </w:t>
            </w:r>
            <w:r>
              <w:rPr>
                <w:sz w:val="16"/>
                <w:szCs w:val="16"/>
                <w:lang w:eastAsia="zh-CN"/>
              </w:rPr>
              <w:t>C3-181253, C3-181255, C3-181256, C3-181257, C3-181260, C3-181312, C3-181342 and C3-181343.</w:t>
            </w:r>
          </w:p>
        </w:tc>
        <w:tc>
          <w:tcPr>
            <w:tcW w:w="706" w:type="dxa"/>
            <w:shd w:val="solid" w:color="FFFFFF" w:fill="auto"/>
          </w:tcPr>
          <w:p w14:paraId="7016249A" w14:textId="77777777" w:rsidR="00A10B25" w:rsidRDefault="00A10B25">
            <w:pPr>
              <w:pStyle w:val="TAC"/>
              <w:rPr>
                <w:sz w:val="16"/>
                <w:szCs w:val="16"/>
              </w:rPr>
            </w:pPr>
            <w:r>
              <w:rPr>
                <w:sz w:val="16"/>
                <w:szCs w:val="16"/>
                <w:lang w:eastAsia="zh-CN"/>
              </w:rPr>
              <w:t>0.4.0</w:t>
            </w:r>
          </w:p>
        </w:tc>
      </w:tr>
      <w:tr w:rsidR="00A10B25" w14:paraId="14E5A8E7" w14:textId="77777777">
        <w:tc>
          <w:tcPr>
            <w:tcW w:w="796" w:type="dxa"/>
            <w:shd w:val="solid" w:color="FFFFFF" w:fill="auto"/>
          </w:tcPr>
          <w:p w14:paraId="084FC93A" w14:textId="77777777" w:rsidR="00A10B25" w:rsidRDefault="00A10B25">
            <w:pPr>
              <w:pStyle w:val="TAC"/>
              <w:rPr>
                <w:sz w:val="16"/>
                <w:szCs w:val="16"/>
              </w:rPr>
            </w:pPr>
            <w:r>
              <w:rPr>
                <w:sz w:val="16"/>
                <w:szCs w:val="16"/>
                <w:lang w:eastAsia="zh-CN"/>
              </w:rPr>
              <w:t>2018-03</w:t>
            </w:r>
          </w:p>
        </w:tc>
        <w:tc>
          <w:tcPr>
            <w:tcW w:w="828" w:type="dxa"/>
            <w:shd w:val="solid" w:color="FFFFFF" w:fill="auto"/>
          </w:tcPr>
          <w:p w14:paraId="77E7729C" w14:textId="77777777" w:rsidR="00A10B25" w:rsidRDefault="00A10B25">
            <w:pPr>
              <w:pStyle w:val="TAC"/>
              <w:rPr>
                <w:sz w:val="16"/>
                <w:szCs w:val="16"/>
              </w:rPr>
            </w:pPr>
            <w:r>
              <w:rPr>
                <w:sz w:val="16"/>
                <w:szCs w:val="16"/>
                <w:lang w:eastAsia="ko-KR"/>
              </w:rPr>
              <w:t>CT3#96</w:t>
            </w:r>
          </w:p>
        </w:tc>
        <w:tc>
          <w:tcPr>
            <w:tcW w:w="1083" w:type="dxa"/>
            <w:shd w:val="solid" w:color="FFFFFF" w:fill="auto"/>
          </w:tcPr>
          <w:p w14:paraId="0524C1E3" w14:textId="77777777" w:rsidR="00A10B25" w:rsidRDefault="00A10B25">
            <w:pPr>
              <w:pStyle w:val="TAC"/>
              <w:rPr>
                <w:sz w:val="16"/>
                <w:szCs w:val="16"/>
              </w:rPr>
            </w:pPr>
          </w:p>
        </w:tc>
        <w:tc>
          <w:tcPr>
            <w:tcW w:w="523" w:type="dxa"/>
            <w:shd w:val="solid" w:color="FFFFFF" w:fill="auto"/>
          </w:tcPr>
          <w:p w14:paraId="6E2ED4A3" w14:textId="77777777" w:rsidR="00A10B25" w:rsidRDefault="00A10B25">
            <w:pPr>
              <w:pStyle w:val="TAL"/>
              <w:rPr>
                <w:sz w:val="16"/>
                <w:szCs w:val="16"/>
              </w:rPr>
            </w:pPr>
          </w:p>
        </w:tc>
        <w:tc>
          <w:tcPr>
            <w:tcW w:w="423" w:type="dxa"/>
            <w:shd w:val="solid" w:color="FFFFFF" w:fill="auto"/>
          </w:tcPr>
          <w:p w14:paraId="15A073BE" w14:textId="77777777" w:rsidR="00A10B25" w:rsidRDefault="00A10B25">
            <w:pPr>
              <w:pStyle w:val="TAR"/>
              <w:rPr>
                <w:sz w:val="16"/>
                <w:szCs w:val="16"/>
              </w:rPr>
            </w:pPr>
          </w:p>
        </w:tc>
        <w:tc>
          <w:tcPr>
            <w:tcW w:w="423" w:type="dxa"/>
            <w:shd w:val="solid" w:color="FFFFFF" w:fill="auto"/>
          </w:tcPr>
          <w:p w14:paraId="478503AF" w14:textId="77777777" w:rsidR="00A10B25" w:rsidRDefault="00A10B25">
            <w:pPr>
              <w:pStyle w:val="TAC"/>
              <w:rPr>
                <w:sz w:val="16"/>
                <w:szCs w:val="16"/>
              </w:rPr>
            </w:pPr>
          </w:p>
        </w:tc>
        <w:tc>
          <w:tcPr>
            <w:tcW w:w="4899" w:type="dxa"/>
            <w:shd w:val="solid" w:color="FFFFFF" w:fill="auto"/>
          </w:tcPr>
          <w:p w14:paraId="54EB2B3D" w14:textId="77777777" w:rsidR="00A10B25" w:rsidRDefault="00A10B25">
            <w:pPr>
              <w:pStyle w:val="TAL"/>
              <w:rPr>
                <w:sz w:val="16"/>
                <w:szCs w:val="16"/>
              </w:rPr>
            </w:pPr>
            <w:r>
              <w:rPr>
                <w:sz w:val="16"/>
                <w:szCs w:val="16"/>
              </w:rPr>
              <w:t>Inclusion of documents agreed in CT3#</w:t>
            </w:r>
            <w:r>
              <w:rPr>
                <w:sz w:val="16"/>
                <w:szCs w:val="16"/>
                <w:lang w:eastAsia="zh-CN"/>
              </w:rPr>
              <w:t>96</w:t>
            </w:r>
            <w:r>
              <w:rPr>
                <w:sz w:val="16"/>
                <w:szCs w:val="16"/>
              </w:rPr>
              <w:t xml:space="preserve"> </w:t>
            </w:r>
            <w:r>
              <w:rPr>
                <w:sz w:val="16"/>
                <w:szCs w:val="16"/>
                <w:lang w:eastAsia="zh-CN"/>
              </w:rPr>
              <w:t>C3-182379 and C3-182380.</w:t>
            </w:r>
          </w:p>
        </w:tc>
        <w:tc>
          <w:tcPr>
            <w:tcW w:w="706" w:type="dxa"/>
            <w:shd w:val="solid" w:color="FFFFFF" w:fill="auto"/>
          </w:tcPr>
          <w:p w14:paraId="5CE694C1" w14:textId="77777777" w:rsidR="00A10B25" w:rsidRDefault="00A10B25">
            <w:pPr>
              <w:pStyle w:val="TAC"/>
              <w:rPr>
                <w:sz w:val="16"/>
                <w:szCs w:val="16"/>
              </w:rPr>
            </w:pPr>
            <w:r>
              <w:rPr>
                <w:sz w:val="16"/>
                <w:szCs w:val="16"/>
                <w:lang w:eastAsia="zh-CN"/>
              </w:rPr>
              <w:t>0.5.0</w:t>
            </w:r>
          </w:p>
        </w:tc>
      </w:tr>
      <w:tr w:rsidR="00A10B25" w14:paraId="3E307129" w14:textId="77777777">
        <w:tc>
          <w:tcPr>
            <w:tcW w:w="796" w:type="dxa"/>
            <w:shd w:val="solid" w:color="FFFFFF" w:fill="auto"/>
          </w:tcPr>
          <w:p w14:paraId="498D51E7" w14:textId="77777777" w:rsidR="00A10B25" w:rsidRDefault="00A10B25">
            <w:pPr>
              <w:pStyle w:val="TAC"/>
              <w:rPr>
                <w:sz w:val="16"/>
                <w:szCs w:val="16"/>
              </w:rPr>
            </w:pPr>
            <w:r>
              <w:rPr>
                <w:sz w:val="16"/>
                <w:szCs w:val="16"/>
                <w:lang w:eastAsia="zh-CN"/>
              </w:rPr>
              <w:t>2018-05</w:t>
            </w:r>
          </w:p>
        </w:tc>
        <w:tc>
          <w:tcPr>
            <w:tcW w:w="828" w:type="dxa"/>
            <w:shd w:val="solid" w:color="FFFFFF" w:fill="auto"/>
          </w:tcPr>
          <w:p w14:paraId="4D8BD64C" w14:textId="77777777" w:rsidR="00A10B25" w:rsidRDefault="00A10B25">
            <w:pPr>
              <w:pStyle w:val="TAC"/>
              <w:rPr>
                <w:sz w:val="16"/>
                <w:szCs w:val="16"/>
              </w:rPr>
            </w:pPr>
            <w:r>
              <w:rPr>
                <w:sz w:val="16"/>
                <w:szCs w:val="16"/>
                <w:lang w:eastAsia="ko-KR"/>
              </w:rPr>
              <w:t>CT3#97</w:t>
            </w:r>
          </w:p>
        </w:tc>
        <w:tc>
          <w:tcPr>
            <w:tcW w:w="1083" w:type="dxa"/>
            <w:shd w:val="solid" w:color="FFFFFF" w:fill="auto"/>
          </w:tcPr>
          <w:p w14:paraId="08A8F11D" w14:textId="77777777" w:rsidR="00A10B25" w:rsidRDefault="00A10B25">
            <w:pPr>
              <w:pStyle w:val="TAC"/>
              <w:rPr>
                <w:sz w:val="16"/>
                <w:szCs w:val="16"/>
              </w:rPr>
            </w:pPr>
          </w:p>
        </w:tc>
        <w:tc>
          <w:tcPr>
            <w:tcW w:w="523" w:type="dxa"/>
            <w:shd w:val="solid" w:color="FFFFFF" w:fill="auto"/>
          </w:tcPr>
          <w:p w14:paraId="54368E4C" w14:textId="77777777" w:rsidR="00A10B25" w:rsidRDefault="00A10B25">
            <w:pPr>
              <w:pStyle w:val="TAL"/>
              <w:rPr>
                <w:sz w:val="16"/>
                <w:szCs w:val="16"/>
              </w:rPr>
            </w:pPr>
          </w:p>
        </w:tc>
        <w:tc>
          <w:tcPr>
            <w:tcW w:w="423" w:type="dxa"/>
            <w:shd w:val="solid" w:color="FFFFFF" w:fill="auto"/>
          </w:tcPr>
          <w:p w14:paraId="4BFDCC41" w14:textId="77777777" w:rsidR="00A10B25" w:rsidRDefault="00A10B25">
            <w:pPr>
              <w:pStyle w:val="TAR"/>
              <w:rPr>
                <w:sz w:val="16"/>
                <w:szCs w:val="16"/>
              </w:rPr>
            </w:pPr>
          </w:p>
        </w:tc>
        <w:tc>
          <w:tcPr>
            <w:tcW w:w="423" w:type="dxa"/>
            <w:shd w:val="solid" w:color="FFFFFF" w:fill="auto"/>
          </w:tcPr>
          <w:p w14:paraId="6291C0DD" w14:textId="77777777" w:rsidR="00A10B25" w:rsidRDefault="00A10B25">
            <w:pPr>
              <w:pStyle w:val="TAC"/>
              <w:rPr>
                <w:sz w:val="16"/>
                <w:szCs w:val="16"/>
              </w:rPr>
            </w:pPr>
          </w:p>
        </w:tc>
        <w:tc>
          <w:tcPr>
            <w:tcW w:w="4899" w:type="dxa"/>
            <w:shd w:val="solid" w:color="FFFFFF" w:fill="auto"/>
          </w:tcPr>
          <w:p w14:paraId="0CA0C3AB" w14:textId="77777777" w:rsidR="00A10B25" w:rsidRDefault="00A10B25">
            <w:pPr>
              <w:pStyle w:val="TAL"/>
              <w:rPr>
                <w:sz w:val="16"/>
                <w:szCs w:val="16"/>
              </w:rPr>
            </w:pPr>
            <w:r>
              <w:rPr>
                <w:sz w:val="16"/>
                <w:szCs w:val="16"/>
              </w:rPr>
              <w:t>Inclusion of documents agreed in CT3#</w:t>
            </w:r>
            <w:r>
              <w:rPr>
                <w:sz w:val="16"/>
                <w:szCs w:val="16"/>
                <w:lang w:eastAsia="zh-CN"/>
              </w:rPr>
              <w:t>97</w:t>
            </w:r>
            <w:r>
              <w:rPr>
                <w:sz w:val="16"/>
                <w:szCs w:val="16"/>
              </w:rPr>
              <w:t xml:space="preserve"> </w:t>
            </w:r>
            <w:r>
              <w:rPr>
                <w:sz w:val="16"/>
                <w:szCs w:val="16"/>
                <w:lang w:eastAsia="zh-CN"/>
              </w:rPr>
              <w:t>C3-183285, C3-183532, C3-183533, C3-183534 and C3-183535.</w:t>
            </w:r>
          </w:p>
        </w:tc>
        <w:tc>
          <w:tcPr>
            <w:tcW w:w="706" w:type="dxa"/>
            <w:shd w:val="solid" w:color="FFFFFF" w:fill="auto"/>
          </w:tcPr>
          <w:p w14:paraId="0E7F2162" w14:textId="77777777" w:rsidR="00A10B25" w:rsidRDefault="00A10B25">
            <w:pPr>
              <w:pStyle w:val="TAC"/>
              <w:rPr>
                <w:sz w:val="16"/>
                <w:szCs w:val="16"/>
              </w:rPr>
            </w:pPr>
            <w:r>
              <w:rPr>
                <w:sz w:val="16"/>
                <w:szCs w:val="16"/>
                <w:lang w:eastAsia="zh-CN"/>
              </w:rPr>
              <w:t>0.6.0</w:t>
            </w:r>
          </w:p>
        </w:tc>
      </w:tr>
      <w:tr w:rsidR="00A10B25" w14:paraId="58673AE9" w14:textId="77777777">
        <w:tc>
          <w:tcPr>
            <w:tcW w:w="796" w:type="dxa"/>
            <w:shd w:val="solid" w:color="FFFFFF" w:fill="auto"/>
          </w:tcPr>
          <w:p w14:paraId="63721373" w14:textId="77777777" w:rsidR="00A10B25" w:rsidRDefault="00A10B25">
            <w:pPr>
              <w:pStyle w:val="TAC"/>
              <w:rPr>
                <w:sz w:val="16"/>
                <w:szCs w:val="16"/>
              </w:rPr>
            </w:pPr>
            <w:r>
              <w:rPr>
                <w:sz w:val="16"/>
                <w:szCs w:val="16"/>
                <w:lang w:eastAsia="zh-CN"/>
              </w:rPr>
              <w:t>2018-06</w:t>
            </w:r>
          </w:p>
        </w:tc>
        <w:tc>
          <w:tcPr>
            <w:tcW w:w="828" w:type="dxa"/>
            <w:shd w:val="solid" w:color="FFFFFF" w:fill="auto"/>
          </w:tcPr>
          <w:p w14:paraId="2A610FA6" w14:textId="77777777" w:rsidR="00A10B25" w:rsidRDefault="00A10B25">
            <w:pPr>
              <w:pStyle w:val="TAC"/>
              <w:rPr>
                <w:sz w:val="16"/>
                <w:szCs w:val="16"/>
              </w:rPr>
            </w:pPr>
            <w:r>
              <w:rPr>
                <w:sz w:val="16"/>
                <w:szCs w:val="16"/>
                <w:lang w:eastAsia="ko-KR"/>
              </w:rPr>
              <w:t>CT#80</w:t>
            </w:r>
          </w:p>
        </w:tc>
        <w:tc>
          <w:tcPr>
            <w:tcW w:w="1083" w:type="dxa"/>
            <w:shd w:val="solid" w:color="FFFFFF" w:fill="auto"/>
          </w:tcPr>
          <w:p w14:paraId="68A22A38" w14:textId="77777777" w:rsidR="00A10B25" w:rsidRDefault="00A10B25">
            <w:pPr>
              <w:pStyle w:val="TAC"/>
              <w:rPr>
                <w:sz w:val="16"/>
                <w:szCs w:val="16"/>
              </w:rPr>
            </w:pPr>
            <w:r>
              <w:rPr>
                <w:sz w:val="16"/>
                <w:szCs w:val="16"/>
                <w:lang w:eastAsia="ko-KR"/>
              </w:rPr>
              <w:t>CP-181032</w:t>
            </w:r>
          </w:p>
        </w:tc>
        <w:tc>
          <w:tcPr>
            <w:tcW w:w="523" w:type="dxa"/>
            <w:shd w:val="solid" w:color="FFFFFF" w:fill="auto"/>
          </w:tcPr>
          <w:p w14:paraId="303A9B29" w14:textId="77777777" w:rsidR="00A10B25" w:rsidRDefault="00A10B25">
            <w:pPr>
              <w:pStyle w:val="TAL"/>
              <w:rPr>
                <w:sz w:val="16"/>
                <w:szCs w:val="16"/>
              </w:rPr>
            </w:pPr>
          </w:p>
        </w:tc>
        <w:tc>
          <w:tcPr>
            <w:tcW w:w="423" w:type="dxa"/>
            <w:shd w:val="solid" w:color="FFFFFF" w:fill="auto"/>
          </w:tcPr>
          <w:p w14:paraId="535F2E30" w14:textId="77777777" w:rsidR="00A10B25" w:rsidRDefault="00A10B25">
            <w:pPr>
              <w:pStyle w:val="TAR"/>
              <w:rPr>
                <w:sz w:val="16"/>
                <w:szCs w:val="16"/>
              </w:rPr>
            </w:pPr>
          </w:p>
        </w:tc>
        <w:tc>
          <w:tcPr>
            <w:tcW w:w="423" w:type="dxa"/>
            <w:shd w:val="solid" w:color="FFFFFF" w:fill="auto"/>
          </w:tcPr>
          <w:p w14:paraId="057BCD6B" w14:textId="77777777" w:rsidR="00A10B25" w:rsidRDefault="00A10B25">
            <w:pPr>
              <w:pStyle w:val="TAC"/>
              <w:rPr>
                <w:sz w:val="16"/>
                <w:szCs w:val="16"/>
              </w:rPr>
            </w:pPr>
          </w:p>
        </w:tc>
        <w:tc>
          <w:tcPr>
            <w:tcW w:w="4899" w:type="dxa"/>
            <w:shd w:val="solid" w:color="FFFFFF" w:fill="auto"/>
          </w:tcPr>
          <w:p w14:paraId="79843D83" w14:textId="77777777" w:rsidR="00A10B25" w:rsidRDefault="00A10B25">
            <w:pPr>
              <w:pStyle w:val="TAL"/>
              <w:rPr>
                <w:sz w:val="16"/>
                <w:szCs w:val="16"/>
              </w:rPr>
            </w:pPr>
            <w:r>
              <w:rPr>
                <w:sz w:val="16"/>
                <w:szCs w:val="16"/>
              </w:rPr>
              <w:t>TS sent to plenary for approval</w:t>
            </w:r>
          </w:p>
        </w:tc>
        <w:tc>
          <w:tcPr>
            <w:tcW w:w="706" w:type="dxa"/>
            <w:shd w:val="solid" w:color="FFFFFF" w:fill="auto"/>
          </w:tcPr>
          <w:p w14:paraId="6138BAE8" w14:textId="77777777" w:rsidR="00A10B25" w:rsidRDefault="00A10B25">
            <w:pPr>
              <w:pStyle w:val="TAC"/>
              <w:rPr>
                <w:sz w:val="16"/>
                <w:szCs w:val="16"/>
              </w:rPr>
            </w:pPr>
            <w:r>
              <w:rPr>
                <w:sz w:val="16"/>
                <w:szCs w:val="16"/>
                <w:lang w:eastAsia="zh-CN"/>
              </w:rPr>
              <w:t>1.0.0</w:t>
            </w:r>
          </w:p>
        </w:tc>
      </w:tr>
      <w:tr w:rsidR="00A10B25" w14:paraId="584B4045" w14:textId="77777777">
        <w:tc>
          <w:tcPr>
            <w:tcW w:w="796" w:type="dxa"/>
            <w:shd w:val="solid" w:color="FFFFFF" w:fill="auto"/>
          </w:tcPr>
          <w:p w14:paraId="0B4BD450" w14:textId="77777777" w:rsidR="00A10B25" w:rsidRDefault="00A10B25">
            <w:pPr>
              <w:pStyle w:val="TAC"/>
              <w:rPr>
                <w:sz w:val="16"/>
                <w:szCs w:val="16"/>
              </w:rPr>
            </w:pPr>
            <w:r>
              <w:rPr>
                <w:sz w:val="16"/>
                <w:szCs w:val="16"/>
                <w:lang w:eastAsia="zh-CN"/>
              </w:rPr>
              <w:t>2018-06</w:t>
            </w:r>
          </w:p>
        </w:tc>
        <w:tc>
          <w:tcPr>
            <w:tcW w:w="828" w:type="dxa"/>
            <w:shd w:val="solid" w:color="FFFFFF" w:fill="auto"/>
          </w:tcPr>
          <w:p w14:paraId="771CC877" w14:textId="77777777" w:rsidR="00A10B25" w:rsidRDefault="00A10B25">
            <w:pPr>
              <w:pStyle w:val="TAC"/>
              <w:rPr>
                <w:sz w:val="16"/>
                <w:szCs w:val="16"/>
              </w:rPr>
            </w:pPr>
            <w:r>
              <w:rPr>
                <w:sz w:val="16"/>
                <w:szCs w:val="16"/>
                <w:lang w:eastAsia="ko-KR"/>
              </w:rPr>
              <w:t>CT#80</w:t>
            </w:r>
          </w:p>
        </w:tc>
        <w:tc>
          <w:tcPr>
            <w:tcW w:w="1083" w:type="dxa"/>
            <w:shd w:val="solid" w:color="FFFFFF" w:fill="auto"/>
          </w:tcPr>
          <w:p w14:paraId="26438168" w14:textId="77777777" w:rsidR="00A10B25" w:rsidRDefault="00A10B25">
            <w:pPr>
              <w:pStyle w:val="TAC"/>
              <w:rPr>
                <w:sz w:val="16"/>
                <w:szCs w:val="16"/>
              </w:rPr>
            </w:pPr>
            <w:r>
              <w:rPr>
                <w:sz w:val="16"/>
                <w:szCs w:val="16"/>
                <w:lang w:eastAsia="ko-KR"/>
              </w:rPr>
              <w:t>CP-181032</w:t>
            </w:r>
          </w:p>
        </w:tc>
        <w:tc>
          <w:tcPr>
            <w:tcW w:w="523" w:type="dxa"/>
            <w:shd w:val="solid" w:color="FFFFFF" w:fill="auto"/>
          </w:tcPr>
          <w:p w14:paraId="06C83625" w14:textId="77777777" w:rsidR="00A10B25" w:rsidRDefault="00A10B25">
            <w:pPr>
              <w:pStyle w:val="TAL"/>
              <w:rPr>
                <w:sz w:val="16"/>
                <w:szCs w:val="16"/>
              </w:rPr>
            </w:pPr>
          </w:p>
        </w:tc>
        <w:tc>
          <w:tcPr>
            <w:tcW w:w="423" w:type="dxa"/>
            <w:shd w:val="solid" w:color="FFFFFF" w:fill="auto"/>
          </w:tcPr>
          <w:p w14:paraId="49D1E83B" w14:textId="77777777" w:rsidR="00A10B25" w:rsidRDefault="00A10B25">
            <w:pPr>
              <w:pStyle w:val="TAR"/>
              <w:rPr>
                <w:sz w:val="16"/>
                <w:szCs w:val="16"/>
              </w:rPr>
            </w:pPr>
          </w:p>
        </w:tc>
        <w:tc>
          <w:tcPr>
            <w:tcW w:w="423" w:type="dxa"/>
            <w:shd w:val="solid" w:color="FFFFFF" w:fill="auto"/>
          </w:tcPr>
          <w:p w14:paraId="14C70185" w14:textId="77777777" w:rsidR="00A10B25" w:rsidRDefault="00A10B25">
            <w:pPr>
              <w:pStyle w:val="TAC"/>
              <w:rPr>
                <w:sz w:val="16"/>
                <w:szCs w:val="16"/>
              </w:rPr>
            </w:pPr>
          </w:p>
        </w:tc>
        <w:tc>
          <w:tcPr>
            <w:tcW w:w="4899" w:type="dxa"/>
            <w:shd w:val="solid" w:color="FFFFFF" w:fill="auto"/>
          </w:tcPr>
          <w:p w14:paraId="3191F5E0" w14:textId="77777777" w:rsidR="00A10B25" w:rsidRDefault="00A10B25">
            <w:pPr>
              <w:pStyle w:val="TAL"/>
              <w:rPr>
                <w:sz w:val="16"/>
                <w:szCs w:val="16"/>
              </w:rPr>
            </w:pPr>
            <w:r>
              <w:rPr>
                <w:sz w:val="16"/>
                <w:szCs w:val="16"/>
              </w:rPr>
              <w:t>TS approved by plenary</w:t>
            </w:r>
          </w:p>
        </w:tc>
        <w:tc>
          <w:tcPr>
            <w:tcW w:w="706" w:type="dxa"/>
            <w:shd w:val="solid" w:color="FFFFFF" w:fill="auto"/>
          </w:tcPr>
          <w:p w14:paraId="479272CF" w14:textId="77777777" w:rsidR="00A10B25" w:rsidRDefault="00A10B25">
            <w:pPr>
              <w:pStyle w:val="TAC"/>
              <w:rPr>
                <w:sz w:val="16"/>
                <w:szCs w:val="16"/>
              </w:rPr>
            </w:pPr>
            <w:r>
              <w:rPr>
                <w:sz w:val="16"/>
                <w:szCs w:val="16"/>
                <w:lang w:eastAsia="zh-CN"/>
              </w:rPr>
              <w:t>15.0.0</w:t>
            </w:r>
          </w:p>
        </w:tc>
      </w:tr>
      <w:tr w:rsidR="00A10B25" w14:paraId="3FB87AF0" w14:textId="77777777">
        <w:tc>
          <w:tcPr>
            <w:tcW w:w="796" w:type="dxa"/>
            <w:shd w:val="solid" w:color="FFFFFF" w:fill="auto"/>
          </w:tcPr>
          <w:p w14:paraId="59ED856F" w14:textId="77777777" w:rsidR="00A10B25" w:rsidRDefault="00A10B25">
            <w:pPr>
              <w:pStyle w:val="TAC"/>
              <w:rPr>
                <w:sz w:val="16"/>
                <w:szCs w:val="16"/>
              </w:rPr>
            </w:pPr>
            <w:r>
              <w:rPr>
                <w:sz w:val="16"/>
                <w:szCs w:val="16"/>
              </w:rPr>
              <w:t>2018-09</w:t>
            </w:r>
          </w:p>
        </w:tc>
        <w:tc>
          <w:tcPr>
            <w:tcW w:w="828" w:type="dxa"/>
            <w:shd w:val="solid" w:color="FFFFFF" w:fill="auto"/>
          </w:tcPr>
          <w:p w14:paraId="0824E286" w14:textId="77777777" w:rsidR="00A10B25" w:rsidRDefault="00A10B25">
            <w:pPr>
              <w:pStyle w:val="TAC"/>
              <w:rPr>
                <w:sz w:val="16"/>
                <w:szCs w:val="16"/>
              </w:rPr>
            </w:pPr>
            <w:r>
              <w:rPr>
                <w:sz w:val="16"/>
                <w:szCs w:val="16"/>
              </w:rPr>
              <w:t>CT#81</w:t>
            </w:r>
          </w:p>
        </w:tc>
        <w:tc>
          <w:tcPr>
            <w:tcW w:w="1083" w:type="dxa"/>
            <w:shd w:val="solid" w:color="FFFFFF" w:fill="auto"/>
          </w:tcPr>
          <w:p w14:paraId="0A12D113" w14:textId="77777777" w:rsidR="00A10B25" w:rsidRDefault="00A10B25">
            <w:pPr>
              <w:pStyle w:val="TAC"/>
              <w:rPr>
                <w:sz w:val="16"/>
                <w:szCs w:val="16"/>
              </w:rPr>
            </w:pPr>
            <w:r>
              <w:rPr>
                <w:sz w:val="16"/>
                <w:szCs w:val="16"/>
              </w:rPr>
              <w:t>CP-182015</w:t>
            </w:r>
          </w:p>
        </w:tc>
        <w:tc>
          <w:tcPr>
            <w:tcW w:w="523" w:type="dxa"/>
            <w:shd w:val="solid" w:color="FFFFFF" w:fill="auto"/>
          </w:tcPr>
          <w:p w14:paraId="0EEB87B1" w14:textId="77777777" w:rsidR="00A10B25" w:rsidRDefault="00A10B25">
            <w:pPr>
              <w:pStyle w:val="TAL"/>
              <w:rPr>
                <w:sz w:val="16"/>
                <w:szCs w:val="16"/>
              </w:rPr>
            </w:pPr>
            <w:r>
              <w:rPr>
                <w:sz w:val="16"/>
                <w:szCs w:val="16"/>
              </w:rPr>
              <w:t>0001</w:t>
            </w:r>
          </w:p>
        </w:tc>
        <w:tc>
          <w:tcPr>
            <w:tcW w:w="423" w:type="dxa"/>
            <w:shd w:val="solid" w:color="FFFFFF" w:fill="auto"/>
          </w:tcPr>
          <w:p w14:paraId="7CC15735" w14:textId="77777777" w:rsidR="00A10B25" w:rsidRDefault="00A10B25">
            <w:pPr>
              <w:pStyle w:val="TAR"/>
              <w:rPr>
                <w:sz w:val="16"/>
                <w:szCs w:val="16"/>
              </w:rPr>
            </w:pPr>
            <w:r>
              <w:rPr>
                <w:sz w:val="16"/>
                <w:szCs w:val="16"/>
              </w:rPr>
              <w:t>3</w:t>
            </w:r>
          </w:p>
        </w:tc>
        <w:tc>
          <w:tcPr>
            <w:tcW w:w="423" w:type="dxa"/>
            <w:shd w:val="solid" w:color="FFFFFF" w:fill="auto"/>
          </w:tcPr>
          <w:p w14:paraId="203B7827" w14:textId="77777777" w:rsidR="00A10B25" w:rsidRDefault="00A10B25">
            <w:pPr>
              <w:pStyle w:val="TAC"/>
              <w:rPr>
                <w:sz w:val="16"/>
                <w:szCs w:val="16"/>
              </w:rPr>
            </w:pPr>
            <w:r>
              <w:rPr>
                <w:sz w:val="16"/>
                <w:szCs w:val="16"/>
              </w:rPr>
              <w:t>F</w:t>
            </w:r>
          </w:p>
        </w:tc>
        <w:tc>
          <w:tcPr>
            <w:tcW w:w="4899" w:type="dxa"/>
            <w:shd w:val="solid" w:color="FFFFFF" w:fill="auto"/>
          </w:tcPr>
          <w:p w14:paraId="247D393A" w14:textId="77777777" w:rsidR="00A10B25" w:rsidRDefault="00A10B25">
            <w:pPr>
              <w:pStyle w:val="TAL"/>
              <w:rPr>
                <w:sz w:val="16"/>
                <w:szCs w:val="16"/>
              </w:rPr>
            </w:pPr>
            <w:r>
              <w:rPr>
                <w:sz w:val="16"/>
                <w:szCs w:val="16"/>
              </w:rPr>
              <w:t>Clarification on mandatory HTTP error status codes</w:t>
            </w:r>
          </w:p>
        </w:tc>
        <w:tc>
          <w:tcPr>
            <w:tcW w:w="706" w:type="dxa"/>
            <w:shd w:val="solid" w:color="FFFFFF" w:fill="auto"/>
          </w:tcPr>
          <w:p w14:paraId="73091D5D" w14:textId="77777777" w:rsidR="00A10B25" w:rsidRDefault="00A10B25">
            <w:pPr>
              <w:pStyle w:val="TAC"/>
              <w:rPr>
                <w:sz w:val="16"/>
                <w:szCs w:val="16"/>
              </w:rPr>
            </w:pPr>
            <w:r>
              <w:rPr>
                <w:sz w:val="16"/>
                <w:szCs w:val="16"/>
                <w:lang w:eastAsia="zh-CN"/>
              </w:rPr>
              <w:t>15.1.0</w:t>
            </w:r>
          </w:p>
        </w:tc>
      </w:tr>
      <w:tr w:rsidR="00A10B25" w14:paraId="1DBC8D47" w14:textId="77777777">
        <w:tc>
          <w:tcPr>
            <w:tcW w:w="796" w:type="dxa"/>
            <w:shd w:val="solid" w:color="FFFFFF" w:fill="auto"/>
          </w:tcPr>
          <w:p w14:paraId="2351104C" w14:textId="77777777" w:rsidR="00A10B25" w:rsidRDefault="00A10B25">
            <w:pPr>
              <w:pStyle w:val="TAC"/>
              <w:rPr>
                <w:sz w:val="16"/>
                <w:szCs w:val="16"/>
              </w:rPr>
            </w:pPr>
            <w:r>
              <w:rPr>
                <w:sz w:val="16"/>
                <w:szCs w:val="16"/>
              </w:rPr>
              <w:t>2018-09</w:t>
            </w:r>
          </w:p>
        </w:tc>
        <w:tc>
          <w:tcPr>
            <w:tcW w:w="828" w:type="dxa"/>
            <w:shd w:val="solid" w:color="FFFFFF" w:fill="auto"/>
          </w:tcPr>
          <w:p w14:paraId="77EAF58B" w14:textId="77777777" w:rsidR="00A10B25" w:rsidRDefault="00A10B25">
            <w:pPr>
              <w:pStyle w:val="TAC"/>
              <w:rPr>
                <w:sz w:val="16"/>
                <w:szCs w:val="16"/>
              </w:rPr>
            </w:pPr>
            <w:r>
              <w:rPr>
                <w:sz w:val="16"/>
                <w:szCs w:val="16"/>
              </w:rPr>
              <w:t>CT#81</w:t>
            </w:r>
          </w:p>
        </w:tc>
        <w:tc>
          <w:tcPr>
            <w:tcW w:w="1083" w:type="dxa"/>
            <w:shd w:val="solid" w:color="FFFFFF" w:fill="auto"/>
          </w:tcPr>
          <w:p w14:paraId="0BDACFB5" w14:textId="77777777" w:rsidR="00A10B25" w:rsidRDefault="00A10B25">
            <w:pPr>
              <w:pStyle w:val="TAC"/>
              <w:rPr>
                <w:sz w:val="16"/>
                <w:szCs w:val="16"/>
              </w:rPr>
            </w:pPr>
            <w:r>
              <w:rPr>
                <w:sz w:val="16"/>
                <w:szCs w:val="16"/>
              </w:rPr>
              <w:t>CP-182209</w:t>
            </w:r>
          </w:p>
        </w:tc>
        <w:tc>
          <w:tcPr>
            <w:tcW w:w="523" w:type="dxa"/>
            <w:shd w:val="solid" w:color="FFFFFF" w:fill="auto"/>
          </w:tcPr>
          <w:p w14:paraId="645F101E" w14:textId="77777777" w:rsidR="00A10B25" w:rsidRDefault="00A10B25">
            <w:pPr>
              <w:pStyle w:val="TAL"/>
              <w:rPr>
                <w:sz w:val="16"/>
                <w:szCs w:val="16"/>
              </w:rPr>
            </w:pPr>
            <w:r>
              <w:rPr>
                <w:sz w:val="16"/>
                <w:szCs w:val="16"/>
              </w:rPr>
              <w:t>0002</w:t>
            </w:r>
          </w:p>
        </w:tc>
        <w:tc>
          <w:tcPr>
            <w:tcW w:w="423" w:type="dxa"/>
            <w:shd w:val="solid" w:color="FFFFFF" w:fill="auto"/>
          </w:tcPr>
          <w:p w14:paraId="2DFA4609" w14:textId="77777777" w:rsidR="00A10B25" w:rsidRDefault="00A10B25">
            <w:pPr>
              <w:pStyle w:val="TAR"/>
              <w:rPr>
                <w:sz w:val="16"/>
                <w:szCs w:val="16"/>
              </w:rPr>
            </w:pPr>
            <w:r>
              <w:rPr>
                <w:sz w:val="16"/>
                <w:szCs w:val="16"/>
              </w:rPr>
              <w:t>4</w:t>
            </w:r>
          </w:p>
        </w:tc>
        <w:tc>
          <w:tcPr>
            <w:tcW w:w="423" w:type="dxa"/>
            <w:shd w:val="solid" w:color="FFFFFF" w:fill="auto"/>
          </w:tcPr>
          <w:p w14:paraId="755D99C3" w14:textId="77777777" w:rsidR="00A10B25" w:rsidRDefault="00A10B25">
            <w:pPr>
              <w:pStyle w:val="TAC"/>
              <w:rPr>
                <w:sz w:val="16"/>
                <w:szCs w:val="16"/>
              </w:rPr>
            </w:pPr>
            <w:r>
              <w:rPr>
                <w:sz w:val="16"/>
                <w:szCs w:val="16"/>
              </w:rPr>
              <w:t>B</w:t>
            </w:r>
          </w:p>
        </w:tc>
        <w:tc>
          <w:tcPr>
            <w:tcW w:w="4899" w:type="dxa"/>
            <w:shd w:val="solid" w:color="FFFFFF" w:fill="auto"/>
          </w:tcPr>
          <w:p w14:paraId="22E0CD85" w14:textId="77777777" w:rsidR="00A10B25" w:rsidRDefault="00A10B25">
            <w:pPr>
              <w:pStyle w:val="TAL"/>
              <w:rPr>
                <w:sz w:val="16"/>
                <w:szCs w:val="16"/>
              </w:rPr>
            </w:pPr>
            <w:r>
              <w:rPr>
                <w:sz w:val="16"/>
                <w:szCs w:val="16"/>
              </w:rPr>
              <w:t>OpenAPI for TS 29.520</w:t>
            </w:r>
          </w:p>
        </w:tc>
        <w:tc>
          <w:tcPr>
            <w:tcW w:w="706" w:type="dxa"/>
            <w:shd w:val="solid" w:color="FFFFFF" w:fill="auto"/>
          </w:tcPr>
          <w:p w14:paraId="25392E93" w14:textId="77777777" w:rsidR="00A10B25" w:rsidRDefault="00A10B25">
            <w:pPr>
              <w:pStyle w:val="TAC"/>
              <w:rPr>
                <w:sz w:val="16"/>
                <w:szCs w:val="16"/>
              </w:rPr>
            </w:pPr>
            <w:r>
              <w:rPr>
                <w:sz w:val="16"/>
                <w:szCs w:val="16"/>
                <w:lang w:eastAsia="zh-CN"/>
              </w:rPr>
              <w:t>15.1.0</w:t>
            </w:r>
          </w:p>
        </w:tc>
      </w:tr>
      <w:tr w:rsidR="00A10B25" w14:paraId="47F9C2B8" w14:textId="77777777">
        <w:tc>
          <w:tcPr>
            <w:tcW w:w="796" w:type="dxa"/>
            <w:shd w:val="solid" w:color="FFFFFF" w:fill="auto"/>
          </w:tcPr>
          <w:p w14:paraId="6584A865" w14:textId="77777777" w:rsidR="00A10B25" w:rsidRDefault="00A10B25">
            <w:pPr>
              <w:pStyle w:val="TAC"/>
              <w:rPr>
                <w:sz w:val="16"/>
                <w:szCs w:val="16"/>
              </w:rPr>
            </w:pPr>
            <w:r>
              <w:rPr>
                <w:sz w:val="16"/>
                <w:szCs w:val="16"/>
              </w:rPr>
              <w:t>2018-09</w:t>
            </w:r>
          </w:p>
        </w:tc>
        <w:tc>
          <w:tcPr>
            <w:tcW w:w="828" w:type="dxa"/>
            <w:shd w:val="solid" w:color="FFFFFF" w:fill="auto"/>
          </w:tcPr>
          <w:p w14:paraId="2D3D0F19" w14:textId="77777777" w:rsidR="00A10B25" w:rsidRDefault="00A10B25">
            <w:pPr>
              <w:pStyle w:val="TAC"/>
              <w:rPr>
                <w:sz w:val="16"/>
                <w:szCs w:val="16"/>
              </w:rPr>
            </w:pPr>
            <w:r>
              <w:rPr>
                <w:sz w:val="16"/>
                <w:szCs w:val="16"/>
              </w:rPr>
              <w:t>CT#81</w:t>
            </w:r>
          </w:p>
        </w:tc>
        <w:tc>
          <w:tcPr>
            <w:tcW w:w="1083" w:type="dxa"/>
            <w:shd w:val="solid" w:color="FFFFFF" w:fill="auto"/>
          </w:tcPr>
          <w:p w14:paraId="1A78F4D9" w14:textId="77777777" w:rsidR="00A10B25" w:rsidRDefault="00A10B25">
            <w:pPr>
              <w:pStyle w:val="TAC"/>
              <w:rPr>
                <w:sz w:val="16"/>
                <w:szCs w:val="16"/>
              </w:rPr>
            </w:pPr>
            <w:r>
              <w:rPr>
                <w:sz w:val="16"/>
                <w:szCs w:val="16"/>
              </w:rPr>
              <w:t>CP-182015</w:t>
            </w:r>
          </w:p>
        </w:tc>
        <w:tc>
          <w:tcPr>
            <w:tcW w:w="523" w:type="dxa"/>
            <w:shd w:val="solid" w:color="FFFFFF" w:fill="auto"/>
          </w:tcPr>
          <w:p w14:paraId="2D55D63D" w14:textId="77777777" w:rsidR="00A10B25" w:rsidRDefault="00A10B25">
            <w:pPr>
              <w:pStyle w:val="TAL"/>
              <w:rPr>
                <w:sz w:val="16"/>
                <w:szCs w:val="16"/>
              </w:rPr>
            </w:pPr>
            <w:r>
              <w:rPr>
                <w:sz w:val="16"/>
                <w:szCs w:val="16"/>
              </w:rPr>
              <w:t>0003</w:t>
            </w:r>
          </w:p>
        </w:tc>
        <w:tc>
          <w:tcPr>
            <w:tcW w:w="423" w:type="dxa"/>
            <w:shd w:val="solid" w:color="FFFFFF" w:fill="auto"/>
          </w:tcPr>
          <w:p w14:paraId="5108BED9" w14:textId="77777777" w:rsidR="00A10B25" w:rsidRDefault="00A10B25">
            <w:pPr>
              <w:pStyle w:val="TAR"/>
              <w:rPr>
                <w:sz w:val="16"/>
                <w:szCs w:val="16"/>
              </w:rPr>
            </w:pPr>
            <w:r>
              <w:rPr>
                <w:sz w:val="16"/>
                <w:szCs w:val="16"/>
              </w:rPr>
              <w:t>1</w:t>
            </w:r>
          </w:p>
        </w:tc>
        <w:tc>
          <w:tcPr>
            <w:tcW w:w="423" w:type="dxa"/>
            <w:shd w:val="solid" w:color="FFFFFF" w:fill="auto"/>
          </w:tcPr>
          <w:p w14:paraId="578E58C2" w14:textId="77777777" w:rsidR="00A10B25" w:rsidRDefault="00A10B25">
            <w:pPr>
              <w:pStyle w:val="TAC"/>
              <w:rPr>
                <w:sz w:val="16"/>
                <w:szCs w:val="16"/>
              </w:rPr>
            </w:pPr>
            <w:r>
              <w:rPr>
                <w:sz w:val="16"/>
                <w:szCs w:val="16"/>
              </w:rPr>
              <w:t>F</w:t>
            </w:r>
          </w:p>
        </w:tc>
        <w:tc>
          <w:tcPr>
            <w:tcW w:w="4899" w:type="dxa"/>
            <w:shd w:val="solid" w:color="FFFFFF" w:fill="auto"/>
          </w:tcPr>
          <w:p w14:paraId="0AEFE0B9" w14:textId="77777777" w:rsidR="00A10B25" w:rsidRDefault="00A10B25">
            <w:pPr>
              <w:pStyle w:val="TAL"/>
              <w:rPr>
                <w:sz w:val="16"/>
                <w:szCs w:val="16"/>
              </w:rPr>
            </w:pPr>
            <w:r>
              <w:rPr>
                <w:sz w:val="16"/>
                <w:szCs w:val="16"/>
              </w:rPr>
              <w:t>Description of Structured data types</w:t>
            </w:r>
          </w:p>
        </w:tc>
        <w:tc>
          <w:tcPr>
            <w:tcW w:w="706" w:type="dxa"/>
            <w:shd w:val="solid" w:color="FFFFFF" w:fill="auto"/>
          </w:tcPr>
          <w:p w14:paraId="2F8CCF4E" w14:textId="77777777" w:rsidR="00A10B25" w:rsidRDefault="00A10B25">
            <w:pPr>
              <w:pStyle w:val="TAC"/>
              <w:rPr>
                <w:sz w:val="16"/>
                <w:szCs w:val="16"/>
              </w:rPr>
            </w:pPr>
            <w:r>
              <w:rPr>
                <w:sz w:val="16"/>
                <w:szCs w:val="16"/>
                <w:lang w:eastAsia="zh-CN"/>
              </w:rPr>
              <w:t>15.1.0</w:t>
            </w:r>
          </w:p>
        </w:tc>
      </w:tr>
      <w:tr w:rsidR="00A10B25" w14:paraId="009A86D5" w14:textId="77777777">
        <w:tc>
          <w:tcPr>
            <w:tcW w:w="796" w:type="dxa"/>
            <w:shd w:val="solid" w:color="FFFFFF" w:fill="auto"/>
          </w:tcPr>
          <w:p w14:paraId="53AFEF73" w14:textId="77777777" w:rsidR="00A10B25" w:rsidRDefault="00A10B25">
            <w:pPr>
              <w:pStyle w:val="TAC"/>
              <w:rPr>
                <w:sz w:val="16"/>
                <w:szCs w:val="16"/>
              </w:rPr>
            </w:pPr>
            <w:r>
              <w:rPr>
                <w:sz w:val="16"/>
                <w:szCs w:val="16"/>
              </w:rPr>
              <w:t>2018-09</w:t>
            </w:r>
          </w:p>
        </w:tc>
        <w:tc>
          <w:tcPr>
            <w:tcW w:w="828" w:type="dxa"/>
            <w:shd w:val="solid" w:color="FFFFFF" w:fill="auto"/>
          </w:tcPr>
          <w:p w14:paraId="1F81EA1E" w14:textId="77777777" w:rsidR="00A10B25" w:rsidRDefault="00A10B25">
            <w:pPr>
              <w:pStyle w:val="TAC"/>
              <w:rPr>
                <w:sz w:val="16"/>
                <w:szCs w:val="16"/>
              </w:rPr>
            </w:pPr>
            <w:r>
              <w:rPr>
                <w:sz w:val="16"/>
                <w:szCs w:val="16"/>
              </w:rPr>
              <w:t>CT#81</w:t>
            </w:r>
          </w:p>
        </w:tc>
        <w:tc>
          <w:tcPr>
            <w:tcW w:w="1083" w:type="dxa"/>
            <w:shd w:val="solid" w:color="FFFFFF" w:fill="auto"/>
          </w:tcPr>
          <w:p w14:paraId="55FF447C" w14:textId="77777777" w:rsidR="00A10B25" w:rsidRDefault="00A10B25">
            <w:pPr>
              <w:pStyle w:val="TAC"/>
              <w:rPr>
                <w:sz w:val="16"/>
                <w:szCs w:val="16"/>
              </w:rPr>
            </w:pPr>
            <w:r>
              <w:rPr>
                <w:sz w:val="16"/>
                <w:szCs w:val="16"/>
              </w:rPr>
              <w:t>CP-182015</w:t>
            </w:r>
          </w:p>
        </w:tc>
        <w:tc>
          <w:tcPr>
            <w:tcW w:w="523" w:type="dxa"/>
            <w:shd w:val="solid" w:color="FFFFFF" w:fill="auto"/>
          </w:tcPr>
          <w:p w14:paraId="3CF31CBE" w14:textId="77777777" w:rsidR="00A10B25" w:rsidRDefault="00A10B25">
            <w:pPr>
              <w:pStyle w:val="TAL"/>
              <w:rPr>
                <w:sz w:val="16"/>
                <w:szCs w:val="16"/>
              </w:rPr>
            </w:pPr>
            <w:r>
              <w:rPr>
                <w:sz w:val="16"/>
                <w:szCs w:val="16"/>
              </w:rPr>
              <w:t>0004</w:t>
            </w:r>
          </w:p>
        </w:tc>
        <w:tc>
          <w:tcPr>
            <w:tcW w:w="423" w:type="dxa"/>
            <w:shd w:val="solid" w:color="FFFFFF" w:fill="auto"/>
          </w:tcPr>
          <w:p w14:paraId="55A27ABE" w14:textId="77777777" w:rsidR="00A10B25" w:rsidRDefault="00A10B25">
            <w:pPr>
              <w:pStyle w:val="TAR"/>
              <w:rPr>
                <w:sz w:val="16"/>
                <w:szCs w:val="16"/>
              </w:rPr>
            </w:pPr>
            <w:r>
              <w:rPr>
                <w:sz w:val="16"/>
                <w:szCs w:val="16"/>
              </w:rPr>
              <w:t>1</w:t>
            </w:r>
          </w:p>
        </w:tc>
        <w:tc>
          <w:tcPr>
            <w:tcW w:w="423" w:type="dxa"/>
            <w:shd w:val="solid" w:color="FFFFFF" w:fill="auto"/>
          </w:tcPr>
          <w:p w14:paraId="554B9D12" w14:textId="77777777" w:rsidR="00A10B25" w:rsidRDefault="00A10B25">
            <w:pPr>
              <w:pStyle w:val="TAC"/>
              <w:rPr>
                <w:sz w:val="16"/>
                <w:szCs w:val="16"/>
              </w:rPr>
            </w:pPr>
            <w:r>
              <w:rPr>
                <w:sz w:val="16"/>
                <w:szCs w:val="16"/>
              </w:rPr>
              <w:t>F</w:t>
            </w:r>
          </w:p>
        </w:tc>
        <w:tc>
          <w:tcPr>
            <w:tcW w:w="4899" w:type="dxa"/>
            <w:shd w:val="solid" w:color="FFFFFF" w:fill="auto"/>
          </w:tcPr>
          <w:p w14:paraId="50D59168" w14:textId="77777777" w:rsidR="00A10B25" w:rsidRDefault="00A10B25">
            <w:pPr>
              <w:pStyle w:val="TAL"/>
              <w:rPr>
                <w:sz w:val="16"/>
                <w:szCs w:val="16"/>
              </w:rPr>
            </w:pPr>
            <w:r>
              <w:rPr>
                <w:sz w:val="16"/>
                <w:szCs w:val="16"/>
              </w:rPr>
              <w:t>Resource structure presentation</w:t>
            </w:r>
          </w:p>
        </w:tc>
        <w:tc>
          <w:tcPr>
            <w:tcW w:w="706" w:type="dxa"/>
            <w:shd w:val="solid" w:color="FFFFFF" w:fill="auto"/>
          </w:tcPr>
          <w:p w14:paraId="2C3822C4" w14:textId="77777777" w:rsidR="00A10B25" w:rsidRDefault="00A10B25">
            <w:pPr>
              <w:pStyle w:val="TAC"/>
              <w:rPr>
                <w:sz w:val="16"/>
                <w:szCs w:val="16"/>
              </w:rPr>
            </w:pPr>
            <w:r>
              <w:rPr>
                <w:sz w:val="16"/>
                <w:szCs w:val="16"/>
                <w:lang w:eastAsia="zh-CN"/>
              </w:rPr>
              <w:t>15.1.0</w:t>
            </w:r>
          </w:p>
        </w:tc>
      </w:tr>
      <w:tr w:rsidR="00A10B25" w14:paraId="7659B913" w14:textId="77777777">
        <w:tc>
          <w:tcPr>
            <w:tcW w:w="796" w:type="dxa"/>
            <w:shd w:val="solid" w:color="FFFFFF" w:fill="auto"/>
          </w:tcPr>
          <w:p w14:paraId="433353C0"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2320B356" w14:textId="77777777" w:rsidR="00A10B25" w:rsidRDefault="00A10B25">
            <w:pPr>
              <w:pStyle w:val="TAC"/>
              <w:rPr>
                <w:sz w:val="16"/>
                <w:szCs w:val="16"/>
              </w:rPr>
            </w:pPr>
            <w:r>
              <w:rPr>
                <w:sz w:val="16"/>
                <w:szCs w:val="16"/>
              </w:rPr>
              <w:t>CT#82</w:t>
            </w:r>
          </w:p>
        </w:tc>
        <w:tc>
          <w:tcPr>
            <w:tcW w:w="1083" w:type="dxa"/>
            <w:shd w:val="solid" w:color="FFFFFF" w:fill="auto"/>
          </w:tcPr>
          <w:p w14:paraId="388CAD3B" w14:textId="77777777" w:rsidR="00A10B25" w:rsidRDefault="00A10B25">
            <w:pPr>
              <w:pStyle w:val="TAC"/>
              <w:rPr>
                <w:sz w:val="16"/>
                <w:szCs w:val="16"/>
              </w:rPr>
            </w:pPr>
            <w:r>
              <w:rPr>
                <w:sz w:val="16"/>
                <w:szCs w:val="16"/>
              </w:rPr>
              <w:t>CP-183205</w:t>
            </w:r>
          </w:p>
        </w:tc>
        <w:tc>
          <w:tcPr>
            <w:tcW w:w="523" w:type="dxa"/>
            <w:shd w:val="solid" w:color="FFFFFF" w:fill="auto"/>
          </w:tcPr>
          <w:p w14:paraId="07DE72C0" w14:textId="77777777" w:rsidR="00A10B25" w:rsidRDefault="00A10B25">
            <w:pPr>
              <w:pStyle w:val="TAL"/>
              <w:rPr>
                <w:sz w:val="16"/>
                <w:szCs w:val="16"/>
              </w:rPr>
            </w:pPr>
            <w:r>
              <w:rPr>
                <w:sz w:val="16"/>
                <w:szCs w:val="16"/>
              </w:rPr>
              <w:t>0006</w:t>
            </w:r>
          </w:p>
        </w:tc>
        <w:tc>
          <w:tcPr>
            <w:tcW w:w="423" w:type="dxa"/>
            <w:shd w:val="solid" w:color="FFFFFF" w:fill="auto"/>
          </w:tcPr>
          <w:p w14:paraId="7BE4D9B5" w14:textId="77777777" w:rsidR="00A10B25" w:rsidRDefault="00A10B25">
            <w:pPr>
              <w:pStyle w:val="TAR"/>
              <w:rPr>
                <w:sz w:val="16"/>
                <w:szCs w:val="16"/>
              </w:rPr>
            </w:pPr>
          </w:p>
        </w:tc>
        <w:tc>
          <w:tcPr>
            <w:tcW w:w="423" w:type="dxa"/>
            <w:shd w:val="solid" w:color="FFFFFF" w:fill="auto"/>
          </w:tcPr>
          <w:p w14:paraId="1580EA2B" w14:textId="77777777" w:rsidR="00A10B25" w:rsidRDefault="00A10B25">
            <w:pPr>
              <w:pStyle w:val="TAC"/>
              <w:rPr>
                <w:sz w:val="16"/>
                <w:szCs w:val="16"/>
              </w:rPr>
            </w:pPr>
            <w:r>
              <w:rPr>
                <w:sz w:val="16"/>
                <w:szCs w:val="16"/>
              </w:rPr>
              <w:t>F</w:t>
            </w:r>
          </w:p>
        </w:tc>
        <w:tc>
          <w:tcPr>
            <w:tcW w:w="4899" w:type="dxa"/>
            <w:shd w:val="solid" w:color="FFFFFF" w:fill="auto"/>
          </w:tcPr>
          <w:p w14:paraId="0DA43F61" w14:textId="77777777" w:rsidR="00A10B25" w:rsidRDefault="00A10B25">
            <w:pPr>
              <w:pStyle w:val="TAL"/>
              <w:rPr>
                <w:sz w:val="16"/>
                <w:szCs w:val="16"/>
              </w:rPr>
            </w:pPr>
            <w:r>
              <w:rPr>
                <w:sz w:val="16"/>
                <w:szCs w:val="16"/>
              </w:rPr>
              <w:t>Default value for apiRoot</w:t>
            </w:r>
          </w:p>
        </w:tc>
        <w:tc>
          <w:tcPr>
            <w:tcW w:w="706" w:type="dxa"/>
            <w:shd w:val="solid" w:color="FFFFFF" w:fill="auto"/>
          </w:tcPr>
          <w:p w14:paraId="712011DA" w14:textId="77777777" w:rsidR="00A10B25" w:rsidRDefault="00A10B25">
            <w:pPr>
              <w:pStyle w:val="TAC"/>
              <w:rPr>
                <w:sz w:val="16"/>
                <w:szCs w:val="16"/>
              </w:rPr>
            </w:pPr>
            <w:r>
              <w:rPr>
                <w:sz w:val="16"/>
                <w:szCs w:val="16"/>
                <w:lang w:eastAsia="zh-CN"/>
              </w:rPr>
              <w:t>15.2.0</w:t>
            </w:r>
          </w:p>
        </w:tc>
      </w:tr>
      <w:tr w:rsidR="00A10B25" w14:paraId="395F458B" w14:textId="77777777">
        <w:tc>
          <w:tcPr>
            <w:tcW w:w="796" w:type="dxa"/>
            <w:shd w:val="solid" w:color="FFFFFF" w:fill="auto"/>
          </w:tcPr>
          <w:p w14:paraId="6B1E08DB"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7A46BC9B" w14:textId="77777777" w:rsidR="00A10B25" w:rsidRDefault="00A10B25">
            <w:pPr>
              <w:pStyle w:val="TAC"/>
              <w:rPr>
                <w:sz w:val="16"/>
                <w:szCs w:val="16"/>
              </w:rPr>
            </w:pPr>
            <w:r>
              <w:rPr>
                <w:sz w:val="16"/>
                <w:szCs w:val="16"/>
                <w:lang w:eastAsia="zh-CN"/>
              </w:rPr>
              <w:t>CT#82</w:t>
            </w:r>
          </w:p>
        </w:tc>
        <w:tc>
          <w:tcPr>
            <w:tcW w:w="1083" w:type="dxa"/>
            <w:shd w:val="solid" w:color="FFFFFF" w:fill="auto"/>
          </w:tcPr>
          <w:p w14:paraId="06BE7AAD" w14:textId="77777777" w:rsidR="00A10B25" w:rsidRDefault="00A10B25">
            <w:pPr>
              <w:pStyle w:val="TAC"/>
              <w:rPr>
                <w:sz w:val="16"/>
                <w:szCs w:val="16"/>
              </w:rPr>
            </w:pPr>
            <w:r>
              <w:rPr>
                <w:sz w:val="16"/>
                <w:szCs w:val="16"/>
              </w:rPr>
              <w:t>CP-183205</w:t>
            </w:r>
          </w:p>
        </w:tc>
        <w:tc>
          <w:tcPr>
            <w:tcW w:w="523" w:type="dxa"/>
            <w:shd w:val="solid" w:color="FFFFFF" w:fill="auto"/>
          </w:tcPr>
          <w:p w14:paraId="5474F5C5" w14:textId="77777777" w:rsidR="00A10B25" w:rsidRDefault="00A10B25">
            <w:pPr>
              <w:pStyle w:val="TAL"/>
              <w:rPr>
                <w:sz w:val="16"/>
                <w:szCs w:val="16"/>
              </w:rPr>
            </w:pPr>
            <w:r>
              <w:rPr>
                <w:sz w:val="16"/>
                <w:szCs w:val="16"/>
              </w:rPr>
              <w:t>0007</w:t>
            </w:r>
          </w:p>
        </w:tc>
        <w:tc>
          <w:tcPr>
            <w:tcW w:w="423" w:type="dxa"/>
            <w:shd w:val="solid" w:color="FFFFFF" w:fill="auto"/>
          </w:tcPr>
          <w:p w14:paraId="260565E1" w14:textId="77777777" w:rsidR="00A10B25" w:rsidRDefault="00A10B25">
            <w:pPr>
              <w:pStyle w:val="TAR"/>
              <w:rPr>
                <w:sz w:val="16"/>
                <w:szCs w:val="16"/>
              </w:rPr>
            </w:pPr>
            <w:r>
              <w:rPr>
                <w:sz w:val="16"/>
                <w:szCs w:val="16"/>
              </w:rPr>
              <w:t>2</w:t>
            </w:r>
          </w:p>
        </w:tc>
        <w:tc>
          <w:tcPr>
            <w:tcW w:w="423" w:type="dxa"/>
            <w:shd w:val="solid" w:color="FFFFFF" w:fill="auto"/>
          </w:tcPr>
          <w:p w14:paraId="38221E03" w14:textId="77777777" w:rsidR="00A10B25" w:rsidRDefault="00A10B25">
            <w:pPr>
              <w:pStyle w:val="TAC"/>
              <w:rPr>
                <w:sz w:val="16"/>
                <w:szCs w:val="16"/>
              </w:rPr>
            </w:pPr>
            <w:r>
              <w:rPr>
                <w:sz w:val="16"/>
                <w:szCs w:val="16"/>
              </w:rPr>
              <w:t>F</w:t>
            </w:r>
          </w:p>
        </w:tc>
        <w:tc>
          <w:tcPr>
            <w:tcW w:w="4899" w:type="dxa"/>
            <w:shd w:val="solid" w:color="FFFFFF" w:fill="auto"/>
          </w:tcPr>
          <w:p w14:paraId="0FE6388D" w14:textId="77777777" w:rsidR="00A10B25" w:rsidRDefault="00A10B25">
            <w:pPr>
              <w:pStyle w:val="TAL"/>
              <w:rPr>
                <w:sz w:val="16"/>
                <w:szCs w:val="16"/>
              </w:rPr>
            </w:pPr>
            <w:r>
              <w:rPr>
                <w:sz w:val="16"/>
                <w:szCs w:val="16"/>
              </w:rPr>
              <w:t>Correct Nnwdaf service</w:t>
            </w:r>
          </w:p>
        </w:tc>
        <w:tc>
          <w:tcPr>
            <w:tcW w:w="706" w:type="dxa"/>
            <w:shd w:val="solid" w:color="FFFFFF" w:fill="auto"/>
          </w:tcPr>
          <w:p w14:paraId="0E143C70" w14:textId="77777777" w:rsidR="00A10B25" w:rsidRDefault="00A10B25">
            <w:pPr>
              <w:pStyle w:val="TAC"/>
              <w:rPr>
                <w:sz w:val="16"/>
                <w:szCs w:val="16"/>
              </w:rPr>
            </w:pPr>
            <w:r>
              <w:rPr>
                <w:sz w:val="16"/>
                <w:szCs w:val="16"/>
                <w:lang w:eastAsia="zh-CN"/>
              </w:rPr>
              <w:t>15.2.0</w:t>
            </w:r>
          </w:p>
        </w:tc>
      </w:tr>
      <w:tr w:rsidR="00A10B25" w14:paraId="740ADCBF" w14:textId="77777777">
        <w:tc>
          <w:tcPr>
            <w:tcW w:w="796" w:type="dxa"/>
            <w:shd w:val="solid" w:color="FFFFFF" w:fill="auto"/>
          </w:tcPr>
          <w:p w14:paraId="16FBA975"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4FA0BDAD" w14:textId="77777777" w:rsidR="00A10B25" w:rsidRDefault="00A10B25">
            <w:pPr>
              <w:pStyle w:val="TAC"/>
              <w:rPr>
                <w:sz w:val="16"/>
                <w:szCs w:val="16"/>
              </w:rPr>
            </w:pPr>
            <w:r>
              <w:rPr>
                <w:sz w:val="16"/>
                <w:szCs w:val="16"/>
                <w:lang w:eastAsia="zh-CN"/>
              </w:rPr>
              <w:t>CT#82</w:t>
            </w:r>
          </w:p>
        </w:tc>
        <w:tc>
          <w:tcPr>
            <w:tcW w:w="1083" w:type="dxa"/>
            <w:shd w:val="solid" w:color="FFFFFF" w:fill="auto"/>
          </w:tcPr>
          <w:p w14:paraId="64997D52" w14:textId="77777777" w:rsidR="00A10B25" w:rsidRDefault="00A10B25">
            <w:pPr>
              <w:pStyle w:val="TAC"/>
              <w:rPr>
                <w:sz w:val="16"/>
                <w:szCs w:val="16"/>
              </w:rPr>
            </w:pPr>
            <w:r>
              <w:rPr>
                <w:sz w:val="16"/>
                <w:szCs w:val="16"/>
              </w:rPr>
              <w:t>CP-183205</w:t>
            </w:r>
          </w:p>
        </w:tc>
        <w:tc>
          <w:tcPr>
            <w:tcW w:w="523" w:type="dxa"/>
            <w:shd w:val="solid" w:color="FFFFFF" w:fill="auto"/>
          </w:tcPr>
          <w:p w14:paraId="6F69AD12" w14:textId="77777777" w:rsidR="00A10B25" w:rsidRDefault="00A10B25">
            <w:pPr>
              <w:pStyle w:val="TAL"/>
              <w:rPr>
                <w:sz w:val="16"/>
                <w:szCs w:val="16"/>
              </w:rPr>
            </w:pPr>
            <w:r>
              <w:rPr>
                <w:sz w:val="16"/>
                <w:szCs w:val="16"/>
              </w:rPr>
              <w:t>0008</w:t>
            </w:r>
          </w:p>
        </w:tc>
        <w:tc>
          <w:tcPr>
            <w:tcW w:w="423" w:type="dxa"/>
            <w:shd w:val="solid" w:color="FFFFFF" w:fill="auto"/>
          </w:tcPr>
          <w:p w14:paraId="44217629" w14:textId="77777777" w:rsidR="00A10B25" w:rsidRDefault="00A10B25">
            <w:pPr>
              <w:pStyle w:val="TAR"/>
              <w:rPr>
                <w:sz w:val="16"/>
                <w:szCs w:val="16"/>
              </w:rPr>
            </w:pPr>
            <w:r>
              <w:rPr>
                <w:sz w:val="16"/>
                <w:szCs w:val="16"/>
              </w:rPr>
              <w:t>1</w:t>
            </w:r>
          </w:p>
        </w:tc>
        <w:tc>
          <w:tcPr>
            <w:tcW w:w="423" w:type="dxa"/>
            <w:shd w:val="solid" w:color="FFFFFF" w:fill="auto"/>
          </w:tcPr>
          <w:p w14:paraId="52BEEF04" w14:textId="77777777" w:rsidR="00A10B25" w:rsidRDefault="00A10B25">
            <w:pPr>
              <w:pStyle w:val="TAC"/>
              <w:rPr>
                <w:sz w:val="16"/>
                <w:szCs w:val="16"/>
              </w:rPr>
            </w:pPr>
            <w:r>
              <w:rPr>
                <w:sz w:val="16"/>
                <w:szCs w:val="16"/>
              </w:rPr>
              <w:t>F</w:t>
            </w:r>
          </w:p>
        </w:tc>
        <w:tc>
          <w:tcPr>
            <w:tcW w:w="4899" w:type="dxa"/>
            <w:shd w:val="solid" w:color="FFFFFF" w:fill="auto"/>
          </w:tcPr>
          <w:p w14:paraId="01E44A6B" w14:textId="77777777" w:rsidR="00A10B25" w:rsidRDefault="00A10B25">
            <w:pPr>
              <w:pStyle w:val="TAL"/>
              <w:rPr>
                <w:sz w:val="16"/>
                <w:szCs w:val="16"/>
              </w:rPr>
            </w:pPr>
            <w:r>
              <w:rPr>
                <w:sz w:val="16"/>
                <w:szCs w:val="16"/>
              </w:rPr>
              <w:t>Cardinality</w:t>
            </w:r>
          </w:p>
        </w:tc>
        <w:tc>
          <w:tcPr>
            <w:tcW w:w="706" w:type="dxa"/>
            <w:shd w:val="solid" w:color="FFFFFF" w:fill="auto"/>
          </w:tcPr>
          <w:p w14:paraId="2E0795CE" w14:textId="77777777" w:rsidR="00A10B25" w:rsidRDefault="00A10B25">
            <w:pPr>
              <w:pStyle w:val="TAC"/>
              <w:rPr>
                <w:sz w:val="16"/>
                <w:szCs w:val="16"/>
              </w:rPr>
            </w:pPr>
            <w:r>
              <w:rPr>
                <w:sz w:val="16"/>
                <w:szCs w:val="16"/>
                <w:lang w:eastAsia="zh-CN"/>
              </w:rPr>
              <w:t>15.2.0</w:t>
            </w:r>
          </w:p>
        </w:tc>
      </w:tr>
      <w:tr w:rsidR="00A10B25" w14:paraId="065F8950" w14:textId="77777777">
        <w:tc>
          <w:tcPr>
            <w:tcW w:w="796" w:type="dxa"/>
            <w:shd w:val="solid" w:color="FFFFFF" w:fill="auto"/>
          </w:tcPr>
          <w:p w14:paraId="5FC38538"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6ADA9CAB" w14:textId="77777777" w:rsidR="00A10B25" w:rsidRDefault="00A10B25">
            <w:pPr>
              <w:pStyle w:val="TAC"/>
              <w:rPr>
                <w:sz w:val="16"/>
                <w:szCs w:val="16"/>
              </w:rPr>
            </w:pPr>
            <w:r>
              <w:rPr>
                <w:sz w:val="16"/>
                <w:szCs w:val="16"/>
                <w:lang w:eastAsia="zh-CN"/>
              </w:rPr>
              <w:t>CT#82</w:t>
            </w:r>
          </w:p>
        </w:tc>
        <w:tc>
          <w:tcPr>
            <w:tcW w:w="1083" w:type="dxa"/>
            <w:shd w:val="solid" w:color="FFFFFF" w:fill="auto"/>
          </w:tcPr>
          <w:p w14:paraId="5FB93877" w14:textId="77777777" w:rsidR="00A10B25" w:rsidRDefault="00A10B25">
            <w:pPr>
              <w:pStyle w:val="TAC"/>
              <w:rPr>
                <w:sz w:val="16"/>
                <w:szCs w:val="16"/>
              </w:rPr>
            </w:pPr>
            <w:r>
              <w:rPr>
                <w:sz w:val="16"/>
                <w:szCs w:val="16"/>
              </w:rPr>
              <w:t>CP-183205</w:t>
            </w:r>
          </w:p>
        </w:tc>
        <w:tc>
          <w:tcPr>
            <w:tcW w:w="523" w:type="dxa"/>
            <w:shd w:val="solid" w:color="FFFFFF" w:fill="auto"/>
          </w:tcPr>
          <w:p w14:paraId="5FB8203E" w14:textId="77777777" w:rsidR="00A10B25" w:rsidRDefault="00A10B25">
            <w:pPr>
              <w:pStyle w:val="TAL"/>
              <w:rPr>
                <w:sz w:val="16"/>
                <w:szCs w:val="16"/>
              </w:rPr>
            </w:pPr>
            <w:r>
              <w:rPr>
                <w:sz w:val="16"/>
                <w:szCs w:val="16"/>
              </w:rPr>
              <w:t>0009</w:t>
            </w:r>
          </w:p>
        </w:tc>
        <w:tc>
          <w:tcPr>
            <w:tcW w:w="423" w:type="dxa"/>
            <w:shd w:val="solid" w:color="FFFFFF" w:fill="auto"/>
          </w:tcPr>
          <w:p w14:paraId="35B9E3C2" w14:textId="77777777" w:rsidR="00A10B25" w:rsidRDefault="00A10B25">
            <w:pPr>
              <w:pStyle w:val="TAR"/>
              <w:rPr>
                <w:sz w:val="16"/>
                <w:szCs w:val="16"/>
              </w:rPr>
            </w:pPr>
          </w:p>
        </w:tc>
        <w:tc>
          <w:tcPr>
            <w:tcW w:w="423" w:type="dxa"/>
            <w:shd w:val="solid" w:color="FFFFFF" w:fill="auto"/>
          </w:tcPr>
          <w:p w14:paraId="37635F45" w14:textId="77777777" w:rsidR="00A10B25" w:rsidRDefault="00A10B25">
            <w:pPr>
              <w:pStyle w:val="TAC"/>
              <w:rPr>
                <w:sz w:val="16"/>
                <w:szCs w:val="16"/>
              </w:rPr>
            </w:pPr>
            <w:r>
              <w:rPr>
                <w:sz w:val="16"/>
                <w:szCs w:val="16"/>
              </w:rPr>
              <w:t>F</w:t>
            </w:r>
          </w:p>
        </w:tc>
        <w:tc>
          <w:tcPr>
            <w:tcW w:w="4899" w:type="dxa"/>
            <w:shd w:val="solid" w:color="FFFFFF" w:fill="auto"/>
          </w:tcPr>
          <w:p w14:paraId="7A4AB314" w14:textId="77777777" w:rsidR="00A10B25" w:rsidRDefault="00A10B25">
            <w:pPr>
              <w:pStyle w:val="TAL"/>
              <w:rPr>
                <w:sz w:val="16"/>
                <w:szCs w:val="16"/>
              </w:rPr>
            </w:pPr>
            <w:r>
              <w:rPr>
                <w:sz w:val="16"/>
                <w:szCs w:val="16"/>
              </w:rPr>
              <w:t>API version</w:t>
            </w:r>
          </w:p>
        </w:tc>
        <w:tc>
          <w:tcPr>
            <w:tcW w:w="706" w:type="dxa"/>
            <w:shd w:val="solid" w:color="FFFFFF" w:fill="auto"/>
          </w:tcPr>
          <w:p w14:paraId="1EC4FE61" w14:textId="77777777" w:rsidR="00A10B25" w:rsidRDefault="00A10B25">
            <w:pPr>
              <w:pStyle w:val="TAC"/>
              <w:rPr>
                <w:sz w:val="16"/>
                <w:szCs w:val="16"/>
              </w:rPr>
            </w:pPr>
            <w:r>
              <w:rPr>
                <w:sz w:val="16"/>
                <w:szCs w:val="16"/>
                <w:lang w:eastAsia="zh-CN"/>
              </w:rPr>
              <w:t>15.2.0</w:t>
            </w:r>
          </w:p>
        </w:tc>
      </w:tr>
      <w:tr w:rsidR="00A10B25" w14:paraId="3A0919DE" w14:textId="77777777">
        <w:tc>
          <w:tcPr>
            <w:tcW w:w="796" w:type="dxa"/>
            <w:shd w:val="solid" w:color="FFFFFF" w:fill="auto"/>
          </w:tcPr>
          <w:p w14:paraId="1A236CC6"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5C10AFEF" w14:textId="77777777" w:rsidR="00A10B25" w:rsidRDefault="00A10B25">
            <w:pPr>
              <w:pStyle w:val="TAC"/>
              <w:rPr>
                <w:sz w:val="16"/>
                <w:szCs w:val="16"/>
              </w:rPr>
            </w:pPr>
            <w:r>
              <w:rPr>
                <w:sz w:val="16"/>
                <w:szCs w:val="16"/>
                <w:lang w:eastAsia="zh-CN"/>
              </w:rPr>
              <w:t>CT#82</w:t>
            </w:r>
          </w:p>
        </w:tc>
        <w:tc>
          <w:tcPr>
            <w:tcW w:w="1083" w:type="dxa"/>
            <w:shd w:val="solid" w:color="FFFFFF" w:fill="auto"/>
          </w:tcPr>
          <w:p w14:paraId="073A5306" w14:textId="77777777" w:rsidR="00A10B25" w:rsidRDefault="00A10B25">
            <w:pPr>
              <w:pStyle w:val="TAC"/>
              <w:rPr>
                <w:sz w:val="16"/>
                <w:szCs w:val="16"/>
              </w:rPr>
            </w:pPr>
            <w:r>
              <w:rPr>
                <w:sz w:val="16"/>
                <w:szCs w:val="16"/>
              </w:rPr>
              <w:t>CP-183205</w:t>
            </w:r>
          </w:p>
        </w:tc>
        <w:tc>
          <w:tcPr>
            <w:tcW w:w="523" w:type="dxa"/>
            <w:shd w:val="solid" w:color="FFFFFF" w:fill="auto"/>
          </w:tcPr>
          <w:p w14:paraId="638FAF92" w14:textId="77777777" w:rsidR="00A10B25" w:rsidRDefault="00A10B25">
            <w:pPr>
              <w:pStyle w:val="TAL"/>
              <w:rPr>
                <w:sz w:val="16"/>
                <w:szCs w:val="16"/>
              </w:rPr>
            </w:pPr>
            <w:r>
              <w:rPr>
                <w:sz w:val="16"/>
                <w:szCs w:val="16"/>
                <w:lang w:eastAsia="zh-CN"/>
              </w:rPr>
              <w:t>0010</w:t>
            </w:r>
          </w:p>
        </w:tc>
        <w:tc>
          <w:tcPr>
            <w:tcW w:w="423" w:type="dxa"/>
            <w:shd w:val="solid" w:color="FFFFFF" w:fill="auto"/>
          </w:tcPr>
          <w:p w14:paraId="1A4F5C31" w14:textId="77777777" w:rsidR="00A10B25" w:rsidRDefault="00A10B25">
            <w:pPr>
              <w:pStyle w:val="TAR"/>
              <w:rPr>
                <w:sz w:val="16"/>
                <w:szCs w:val="16"/>
              </w:rPr>
            </w:pPr>
          </w:p>
        </w:tc>
        <w:tc>
          <w:tcPr>
            <w:tcW w:w="423" w:type="dxa"/>
            <w:shd w:val="solid" w:color="FFFFFF" w:fill="auto"/>
          </w:tcPr>
          <w:p w14:paraId="719089B5" w14:textId="77777777" w:rsidR="00A10B25" w:rsidRDefault="00A10B25">
            <w:pPr>
              <w:pStyle w:val="TAC"/>
              <w:rPr>
                <w:sz w:val="16"/>
                <w:szCs w:val="16"/>
              </w:rPr>
            </w:pPr>
            <w:r>
              <w:rPr>
                <w:sz w:val="16"/>
                <w:szCs w:val="16"/>
                <w:lang w:eastAsia="zh-CN"/>
              </w:rPr>
              <w:t>F</w:t>
            </w:r>
          </w:p>
        </w:tc>
        <w:tc>
          <w:tcPr>
            <w:tcW w:w="4899" w:type="dxa"/>
            <w:shd w:val="solid" w:color="FFFFFF" w:fill="auto"/>
          </w:tcPr>
          <w:p w14:paraId="50FFD0A6" w14:textId="77777777" w:rsidR="00A10B25" w:rsidRDefault="00A10B25">
            <w:pPr>
              <w:pStyle w:val="TAL"/>
              <w:rPr>
                <w:sz w:val="16"/>
                <w:szCs w:val="16"/>
              </w:rPr>
            </w:pPr>
            <w:r>
              <w:rPr>
                <w:sz w:val="16"/>
                <w:szCs w:val="16"/>
              </w:rPr>
              <w:t>ExternalDocs OpenAPI field</w:t>
            </w:r>
          </w:p>
        </w:tc>
        <w:tc>
          <w:tcPr>
            <w:tcW w:w="706" w:type="dxa"/>
            <w:shd w:val="solid" w:color="FFFFFF" w:fill="auto"/>
          </w:tcPr>
          <w:p w14:paraId="00F45FBA" w14:textId="77777777" w:rsidR="00A10B25" w:rsidRDefault="00A10B25">
            <w:pPr>
              <w:pStyle w:val="TAC"/>
              <w:rPr>
                <w:sz w:val="16"/>
                <w:szCs w:val="16"/>
              </w:rPr>
            </w:pPr>
            <w:r>
              <w:rPr>
                <w:sz w:val="16"/>
                <w:szCs w:val="16"/>
                <w:lang w:eastAsia="zh-CN"/>
              </w:rPr>
              <w:t>15.2.0</w:t>
            </w:r>
          </w:p>
        </w:tc>
      </w:tr>
      <w:tr w:rsidR="00A10B25" w14:paraId="18F22563" w14:textId="77777777">
        <w:tc>
          <w:tcPr>
            <w:tcW w:w="796" w:type="dxa"/>
            <w:shd w:val="solid" w:color="FFFFFF" w:fill="auto"/>
          </w:tcPr>
          <w:p w14:paraId="0A323571"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4338DC2F" w14:textId="77777777" w:rsidR="00A10B25" w:rsidRDefault="00A10B25">
            <w:pPr>
              <w:pStyle w:val="TAC"/>
              <w:rPr>
                <w:sz w:val="16"/>
                <w:szCs w:val="16"/>
              </w:rPr>
            </w:pPr>
            <w:r>
              <w:rPr>
                <w:sz w:val="16"/>
                <w:szCs w:val="16"/>
                <w:lang w:eastAsia="zh-CN"/>
              </w:rPr>
              <w:t>CT#82</w:t>
            </w:r>
          </w:p>
        </w:tc>
        <w:tc>
          <w:tcPr>
            <w:tcW w:w="1083" w:type="dxa"/>
            <w:shd w:val="solid" w:color="FFFFFF" w:fill="auto"/>
          </w:tcPr>
          <w:p w14:paraId="7763D063" w14:textId="77777777" w:rsidR="00A10B25" w:rsidRDefault="00A10B25">
            <w:pPr>
              <w:pStyle w:val="TAC"/>
              <w:rPr>
                <w:sz w:val="16"/>
                <w:szCs w:val="16"/>
              </w:rPr>
            </w:pPr>
            <w:r>
              <w:rPr>
                <w:sz w:val="16"/>
                <w:szCs w:val="16"/>
              </w:rPr>
              <w:t>CP-183205</w:t>
            </w:r>
          </w:p>
        </w:tc>
        <w:tc>
          <w:tcPr>
            <w:tcW w:w="523" w:type="dxa"/>
            <w:shd w:val="solid" w:color="FFFFFF" w:fill="auto"/>
          </w:tcPr>
          <w:p w14:paraId="4B3E5396" w14:textId="77777777" w:rsidR="00A10B25" w:rsidRDefault="00A10B25">
            <w:pPr>
              <w:pStyle w:val="TAL"/>
              <w:rPr>
                <w:sz w:val="16"/>
                <w:szCs w:val="16"/>
              </w:rPr>
            </w:pPr>
            <w:r>
              <w:rPr>
                <w:sz w:val="16"/>
                <w:szCs w:val="16"/>
                <w:lang w:eastAsia="zh-CN"/>
              </w:rPr>
              <w:t>0011</w:t>
            </w:r>
          </w:p>
        </w:tc>
        <w:tc>
          <w:tcPr>
            <w:tcW w:w="423" w:type="dxa"/>
            <w:shd w:val="solid" w:color="FFFFFF" w:fill="auto"/>
          </w:tcPr>
          <w:p w14:paraId="31197171" w14:textId="77777777" w:rsidR="00A10B25" w:rsidRDefault="00A10B25">
            <w:pPr>
              <w:pStyle w:val="TAR"/>
              <w:rPr>
                <w:sz w:val="16"/>
                <w:szCs w:val="16"/>
              </w:rPr>
            </w:pPr>
            <w:r>
              <w:rPr>
                <w:sz w:val="16"/>
                <w:szCs w:val="16"/>
                <w:lang w:eastAsia="zh-CN"/>
              </w:rPr>
              <w:t>1</w:t>
            </w:r>
          </w:p>
        </w:tc>
        <w:tc>
          <w:tcPr>
            <w:tcW w:w="423" w:type="dxa"/>
            <w:shd w:val="solid" w:color="FFFFFF" w:fill="auto"/>
          </w:tcPr>
          <w:p w14:paraId="3821CE9F" w14:textId="77777777" w:rsidR="00A10B25" w:rsidRDefault="00A10B25">
            <w:pPr>
              <w:pStyle w:val="TAC"/>
              <w:rPr>
                <w:sz w:val="16"/>
                <w:szCs w:val="16"/>
              </w:rPr>
            </w:pPr>
            <w:r>
              <w:rPr>
                <w:sz w:val="16"/>
                <w:szCs w:val="16"/>
                <w:lang w:eastAsia="zh-CN"/>
              </w:rPr>
              <w:t>F</w:t>
            </w:r>
          </w:p>
        </w:tc>
        <w:tc>
          <w:tcPr>
            <w:tcW w:w="4899" w:type="dxa"/>
            <w:shd w:val="solid" w:color="FFFFFF" w:fill="auto"/>
          </w:tcPr>
          <w:p w14:paraId="04008A0C" w14:textId="77777777" w:rsidR="00A10B25" w:rsidRDefault="00A10B25">
            <w:pPr>
              <w:pStyle w:val="TAL"/>
              <w:rPr>
                <w:sz w:val="16"/>
                <w:szCs w:val="16"/>
              </w:rPr>
            </w:pPr>
            <w:r>
              <w:rPr>
                <w:sz w:val="16"/>
                <w:szCs w:val="16"/>
              </w:rPr>
              <w:t>Security</w:t>
            </w:r>
          </w:p>
        </w:tc>
        <w:tc>
          <w:tcPr>
            <w:tcW w:w="706" w:type="dxa"/>
            <w:shd w:val="solid" w:color="FFFFFF" w:fill="auto"/>
          </w:tcPr>
          <w:p w14:paraId="23BCB17F" w14:textId="77777777" w:rsidR="00A10B25" w:rsidRDefault="00A10B25">
            <w:pPr>
              <w:pStyle w:val="TAC"/>
              <w:rPr>
                <w:sz w:val="16"/>
                <w:szCs w:val="16"/>
              </w:rPr>
            </w:pPr>
            <w:r>
              <w:rPr>
                <w:sz w:val="16"/>
                <w:szCs w:val="16"/>
                <w:lang w:eastAsia="zh-CN"/>
              </w:rPr>
              <w:t>15.2.0</w:t>
            </w:r>
          </w:p>
        </w:tc>
      </w:tr>
      <w:tr w:rsidR="00A10B25" w14:paraId="2B39D80B" w14:textId="77777777">
        <w:tc>
          <w:tcPr>
            <w:tcW w:w="796" w:type="dxa"/>
            <w:shd w:val="solid" w:color="FFFFFF" w:fill="auto"/>
          </w:tcPr>
          <w:p w14:paraId="1C910F0C"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03FB0F29" w14:textId="77777777" w:rsidR="00A10B25" w:rsidRDefault="00A10B25">
            <w:pPr>
              <w:pStyle w:val="TAC"/>
              <w:rPr>
                <w:sz w:val="16"/>
                <w:szCs w:val="16"/>
              </w:rPr>
            </w:pPr>
            <w:r>
              <w:rPr>
                <w:sz w:val="16"/>
                <w:szCs w:val="16"/>
                <w:lang w:eastAsia="zh-CN"/>
              </w:rPr>
              <w:t>CT#82</w:t>
            </w:r>
          </w:p>
        </w:tc>
        <w:tc>
          <w:tcPr>
            <w:tcW w:w="1083" w:type="dxa"/>
            <w:shd w:val="solid" w:color="FFFFFF" w:fill="auto"/>
          </w:tcPr>
          <w:p w14:paraId="51815C87" w14:textId="77777777" w:rsidR="00A10B25" w:rsidRDefault="00A10B25">
            <w:pPr>
              <w:pStyle w:val="TAC"/>
              <w:rPr>
                <w:sz w:val="16"/>
                <w:szCs w:val="16"/>
              </w:rPr>
            </w:pPr>
            <w:r>
              <w:rPr>
                <w:sz w:val="16"/>
                <w:szCs w:val="16"/>
              </w:rPr>
              <w:t>CP-183205</w:t>
            </w:r>
          </w:p>
        </w:tc>
        <w:tc>
          <w:tcPr>
            <w:tcW w:w="523" w:type="dxa"/>
            <w:shd w:val="solid" w:color="FFFFFF" w:fill="auto"/>
          </w:tcPr>
          <w:p w14:paraId="6AC78F91" w14:textId="77777777" w:rsidR="00A10B25" w:rsidRDefault="00A10B25">
            <w:pPr>
              <w:pStyle w:val="TAL"/>
              <w:rPr>
                <w:sz w:val="16"/>
                <w:szCs w:val="16"/>
              </w:rPr>
            </w:pPr>
            <w:r>
              <w:rPr>
                <w:sz w:val="16"/>
                <w:szCs w:val="16"/>
                <w:lang w:eastAsia="zh-CN"/>
              </w:rPr>
              <w:t>0012</w:t>
            </w:r>
          </w:p>
        </w:tc>
        <w:tc>
          <w:tcPr>
            <w:tcW w:w="423" w:type="dxa"/>
            <w:shd w:val="solid" w:color="FFFFFF" w:fill="auto"/>
          </w:tcPr>
          <w:p w14:paraId="04DB966E" w14:textId="77777777" w:rsidR="00A10B25" w:rsidRDefault="00A10B25">
            <w:pPr>
              <w:pStyle w:val="TAR"/>
              <w:rPr>
                <w:sz w:val="16"/>
                <w:szCs w:val="16"/>
              </w:rPr>
            </w:pPr>
            <w:r>
              <w:rPr>
                <w:sz w:val="16"/>
                <w:szCs w:val="16"/>
                <w:lang w:eastAsia="zh-CN"/>
              </w:rPr>
              <w:t>1</w:t>
            </w:r>
          </w:p>
        </w:tc>
        <w:tc>
          <w:tcPr>
            <w:tcW w:w="423" w:type="dxa"/>
            <w:shd w:val="solid" w:color="FFFFFF" w:fill="auto"/>
          </w:tcPr>
          <w:p w14:paraId="7726AB09" w14:textId="77777777" w:rsidR="00A10B25" w:rsidRDefault="00A10B25">
            <w:pPr>
              <w:pStyle w:val="TAC"/>
              <w:rPr>
                <w:sz w:val="16"/>
                <w:szCs w:val="16"/>
              </w:rPr>
            </w:pPr>
            <w:r>
              <w:rPr>
                <w:sz w:val="16"/>
                <w:szCs w:val="16"/>
              </w:rPr>
              <w:t>F</w:t>
            </w:r>
          </w:p>
        </w:tc>
        <w:tc>
          <w:tcPr>
            <w:tcW w:w="4899" w:type="dxa"/>
            <w:shd w:val="solid" w:color="FFFFFF" w:fill="auto"/>
          </w:tcPr>
          <w:p w14:paraId="217C7780" w14:textId="77777777" w:rsidR="00A10B25" w:rsidRDefault="00A10B25">
            <w:pPr>
              <w:pStyle w:val="TAL"/>
              <w:rPr>
                <w:sz w:val="16"/>
                <w:szCs w:val="16"/>
              </w:rPr>
            </w:pPr>
            <w:r>
              <w:rPr>
                <w:sz w:val="16"/>
                <w:szCs w:val="16"/>
              </w:rPr>
              <w:t>Supported content types</w:t>
            </w:r>
          </w:p>
        </w:tc>
        <w:tc>
          <w:tcPr>
            <w:tcW w:w="706" w:type="dxa"/>
            <w:shd w:val="solid" w:color="FFFFFF" w:fill="auto"/>
          </w:tcPr>
          <w:p w14:paraId="3F012D76" w14:textId="77777777" w:rsidR="00A10B25" w:rsidRDefault="00A10B25">
            <w:pPr>
              <w:pStyle w:val="TAC"/>
              <w:rPr>
                <w:sz w:val="16"/>
                <w:szCs w:val="16"/>
              </w:rPr>
            </w:pPr>
            <w:r>
              <w:rPr>
                <w:sz w:val="16"/>
                <w:szCs w:val="16"/>
                <w:lang w:eastAsia="zh-CN"/>
              </w:rPr>
              <w:t>15.2.0</w:t>
            </w:r>
          </w:p>
        </w:tc>
      </w:tr>
      <w:tr w:rsidR="00A10B25" w14:paraId="5D29F8BA" w14:textId="77777777">
        <w:tc>
          <w:tcPr>
            <w:tcW w:w="796" w:type="dxa"/>
            <w:shd w:val="solid" w:color="FFFFFF" w:fill="auto"/>
          </w:tcPr>
          <w:p w14:paraId="6521DF1B"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5F790917" w14:textId="77777777" w:rsidR="00A10B25" w:rsidRDefault="00A10B25">
            <w:pPr>
              <w:pStyle w:val="TAC"/>
              <w:rPr>
                <w:sz w:val="16"/>
                <w:szCs w:val="16"/>
              </w:rPr>
            </w:pPr>
            <w:r>
              <w:rPr>
                <w:sz w:val="16"/>
                <w:szCs w:val="16"/>
                <w:lang w:eastAsia="zh-CN"/>
              </w:rPr>
              <w:t>CT#82</w:t>
            </w:r>
          </w:p>
        </w:tc>
        <w:tc>
          <w:tcPr>
            <w:tcW w:w="1083" w:type="dxa"/>
            <w:shd w:val="solid" w:color="FFFFFF" w:fill="auto"/>
          </w:tcPr>
          <w:p w14:paraId="415EA1FB" w14:textId="77777777" w:rsidR="00A10B25" w:rsidRDefault="00A10B25">
            <w:pPr>
              <w:pStyle w:val="TAC"/>
              <w:rPr>
                <w:sz w:val="16"/>
                <w:szCs w:val="16"/>
              </w:rPr>
            </w:pPr>
            <w:r>
              <w:rPr>
                <w:sz w:val="16"/>
                <w:szCs w:val="16"/>
              </w:rPr>
              <w:t>CP-183205</w:t>
            </w:r>
          </w:p>
        </w:tc>
        <w:tc>
          <w:tcPr>
            <w:tcW w:w="523" w:type="dxa"/>
            <w:shd w:val="solid" w:color="FFFFFF" w:fill="auto"/>
          </w:tcPr>
          <w:p w14:paraId="6678DFDD" w14:textId="77777777" w:rsidR="00A10B25" w:rsidRDefault="00A10B25">
            <w:pPr>
              <w:pStyle w:val="TAL"/>
              <w:rPr>
                <w:sz w:val="16"/>
                <w:szCs w:val="16"/>
              </w:rPr>
            </w:pPr>
            <w:r>
              <w:rPr>
                <w:sz w:val="16"/>
                <w:szCs w:val="16"/>
              </w:rPr>
              <w:t>0013</w:t>
            </w:r>
          </w:p>
        </w:tc>
        <w:tc>
          <w:tcPr>
            <w:tcW w:w="423" w:type="dxa"/>
            <w:shd w:val="solid" w:color="FFFFFF" w:fill="auto"/>
          </w:tcPr>
          <w:p w14:paraId="46311EA4" w14:textId="77777777" w:rsidR="00A10B25" w:rsidRDefault="00A10B25">
            <w:pPr>
              <w:pStyle w:val="TAR"/>
              <w:rPr>
                <w:sz w:val="16"/>
                <w:szCs w:val="16"/>
              </w:rPr>
            </w:pPr>
            <w:r>
              <w:rPr>
                <w:sz w:val="16"/>
                <w:szCs w:val="16"/>
              </w:rPr>
              <w:t>2</w:t>
            </w:r>
          </w:p>
        </w:tc>
        <w:tc>
          <w:tcPr>
            <w:tcW w:w="423" w:type="dxa"/>
            <w:shd w:val="solid" w:color="FFFFFF" w:fill="auto"/>
          </w:tcPr>
          <w:p w14:paraId="65714EFF" w14:textId="77777777" w:rsidR="00A10B25" w:rsidRDefault="00A10B25">
            <w:pPr>
              <w:pStyle w:val="TAC"/>
              <w:rPr>
                <w:sz w:val="16"/>
                <w:szCs w:val="16"/>
              </w:rPr>
            </w:pPr>
            <w:r>
              <w:rPr>
                <w:sz w:val="16"/>
                <w:szCs w:val="16"/>
              </w:rPr>
              <w:t>F</w:t>
            </w:r>
          </w:p>
        </w:tc>
        <w:tc>
          <w:tcPr>
            <w:tcW w:w="4899" w:type="dxa"/>
            <w:shd w:val="solid" w:color="FFFFFF" w:fill="auto"/>
          </w:tcPr>
          <w:p w14:paraId="46F0692C" w14:textId="77777777" w:rsidR="00A10B25" w:rsidRDefault="00A10B25">
            <w:pPr>
              <w:pStyle w:val="TAL"/>
              <w:rPr>
                <w:sz w:val="16"/>
                <w:szCs w:val="16"/>
              </w:rPr>
            </w:pPr>
            <w:r>
              <w:rPr>
                <w:sz w:val="16"/>
                <w:szCs w:val="16"/>
              </w:rPr>
              <w:t>HTTP Error responses</w:t>
            </w:r>
          </w:p>
        </w:tc>
        <w:tc>
          <w:tcPr>
            <w:tcW w:w="706" w:type="dxa"/>
            <w:shd w:val="solid" w:color="FFFFFF" w:fill="auto"/>
          </w:tcPr>
          <w:p w14:paraId="0FFFA357" w14:textId="77777777" w:rsidR="00A10B25" w:rsidRDefault="00A10B25">
            <w:pPr>
              <w:pStyle w:val="TAC"/>
              <w:rPr>
                <w:sz w:val="16"/>
                <w:szCs w:val="16"/>
              </w:rPr>
            </w:pPr>
            <w:r>
              <w:rPr>
                <w:sz w:val="16"/>
                <w:szCs w:val="16"/>
                <w:lang w:eastAsia="zh-CN"/>
              </w:rPr>
              <w:t>15.2.0</w:t>
            </w:r>
          </w:p>
        </w:tc>
      </w:tr>
      <w:tr w:rsidR="00A10B25" w14:paraId="7D698067" w14:textId="77777777">
        <w:tc>
          <w:tcPr>
            <w:tcW w:w="796" w:type="dxa"/>
            <w:shd w:val="solid" w:color="FFFFFF" w:fill="auto"/>
          </w:tcPr>
          <w:p w14:paraId="2E37D349"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2EB15796" w14:textId="77777777" w:rsidR="00A10B25" w:rsidRDefault="00A10B25">
            <w:pPr>
              <w:pStyle w:val="TAC"/>
              <w:rPr>
                <w:sz w:val="16"/>
                <w:szCs w:val="16"/>
              </w:rPr>
            </w:pPr>
            <w:r>
              <w:rPr>
                <w:sz w:val="16"/>
                <w:szCs w:val="16"/>
                <w:lang w:eastAsia="zh-CN"/>
              </w:rPr>
              <w:t>CT#82</w:t>
            </w:r>
          </w:p>
        </w:tc>
        <w:tc>
          <w:tcPr>
            <w:tcW w:w="1083" w:type="dxa"/>
            <w:shd w:val="solid" w:color="FFFFFF" w:fill="auto"/>
          </w:tcPr>
          <w:p w14:paraId="6479D494" w14:textId="77777777" w:rsidR="00A10B25" w:rsidRDefault="00A10B25">
            <w:pPr>
              <w:pStyle w:val="TAC"/>
              <w:rPr>
                <w:sz w:val="16"/>
                <w:szCs w:val="16"/>
              </w:rPr>
            </w:pPr>
            <w:r>
              <w:rPr>
                <w:sz w:val="16"/>
                <w:szCs w:val="16"/>
              </w:rPr>
              <w:t>CP-183205</w:t>
            </w:r>
          </w:p>
        </w:tc>
        <w:tc>
          <w:tcPr>
            <w:tcW w:w="523" w:type="dxa"/>
            <w:shd w:val="solid" w:color="FFFFFF" w:fill="auto"/>
          </w:tcPr>
          <w:p w14:paraId="30DD2FB9" w14:textId="77777777" w:rsidR="00A10B25" w:rsidRDefault="00A10B25">
            <w:pPr>
              <w:pStyle w:val="TAL"/>
              <w:rPr>
                <w:sz w:val="16"/>
                <w:szCs w:val="16"/>
              </w:rPr>
            </w:pPr>
            <w:r>
              <w:rPr>
                <w:sz w:val="16"/>
                <w:szCs w:val="16"/>
              </w:rPr>
              <w:t>0014</w:t>
            </w:r>
          </w:p>
        </w:tc>
        <w:tc>
          <w:tcPr>
            <w:tcW w:w="423" w:type="dxa"/>
            <w:shd w:val="solid" w:color="FFFFFF" w:fill="auto"/>
          </w:tcPr>
          <w:p w14:paraId="307C8CA6" w14:textId="77777777" w:rsidR="00A10B25" w:rsidRDefault="00A10B25">
            <w:pPr>
              <w:pStyle w:val="TAR"/>
              <w:rPr>
                <w:sz w:val="16"/>
                <w:szCs w:val="16"/>
              </w:rPr>
            </w:pPr>
            <w:r>
              <w:rPr>
                <w:sz w:val="16"/>
                <w:szCs w:val="16"/>
              </w:rPr>
              <w:t>2</w:t>
            </w:r>
          </w:p>
        </w:tc>
        <w:tc>
          <w:tcPr>
            <w:tcW w:w="423" w:type="dxa"/>
            <w:shd w:val="solid" w:color="FFFFFF" w:fill="auto"/>
          </w:tcPr>
          <w:p w14:paraId="352C77E0" w14:textId="77777777" w:rsidR="00A10B25" w:rsidRDefault="00A10B25">
            <w:pPr>
              <w:pStyle w:val="TAC"/>
              <w:rPr>
                <w:sz w:val="16"/>
                <w:szCs w:val="16"/>
              </w:rPr>
            </w:pPr>
            <w:r>
              <w:rPr>
                <w:sz w:val="16"/>
                <w:szCs w:val="16"/>
              </w:rPr>
              <w:t>F</w:t>
            </w:r>
          </w:p>
        </w:tc>
        <w:tc>
          <w:tcPr>
            <w:tcW w:w="4899" w:type="dxa"/>
            <w:shd w:val="solid" w:color="FFFFFF" w:fill="auto"/>
          </w:tcPr>
          <w:p w14:paraId="05FF8F5D" w14:textId="77777777" w:rsidR="00A10B25" w:rsidRDefault="00A10B25">
            <w:pPr>
              <w:pStyle w:val="TAL"/>
              <w:rPr>
                <w:sz w:val="16"/>
                <w:szCs w:val="16"/>
              </w:rPr>
            </w:pPr>
            <w:r>
              <w:rPr>
                <w:sz w:val="16"/>
                <w:szCs w:val="16"/>
                <w:lang w:val="en-US" w:eastAsia="zh-CN"/>
              </w:rPr>
              <w:t>Correct NWDAF resource</w:t>
            </w:r>
          </w:p>
        </w:tc>
        <w:tc>
          <w:tcPr>
            <w:tcW w:w="706" w:type="dxa"/>
            <w:shd w:val="solid" w:color="FFFFFF" w:fill="auto"/>
          </w:tcPr>
          <w:p w14:paraId="382BA519" w14:textId="77777777" w:rsidR="00A10B25" w:rsidRDefault="00A10B25">
            <w:pPr>
              <w:pStyle w:val="TAC"/>
              <w:rPr>
                <w:sz w:val="16"/>
                <w:szCs w:val="16"/>
              </w:rPr>
            </w:pPr>
            <w:r>
              <w:rPr>
                <w:sz w:val="16"/>
                <w:szCs w:val="16"/>
                <w:lang w:eastAsia="zh-CN"/>
              </w:rPr>
              <w:t>15.2.0</w:t>
            </w:r>
          </w:p>
        </w:tc>
      </w:tr>
      <w:tr w:rsidR="00A10B25" w14:paraId="7FB40974" w14:textId="77777777">
        <w:tc>
          <w:tcPr>
            <w:tcW w:w="796" w:type="dxa"/>
            <w:shd w:val="solid" w:color="FFFFFF" w:fill="auto"/>
          </w:tcPr>
          <w:p w14:paraId="536FE4D4"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06AA8B23" w14:textId="77777777" w:rsidR="00A10B25" w:rsidRDefault="00A10B25">
            <w:pPr>
              <w:pStyle w:val="TAC"/>
              <w:rPr>
                <w:sz w:val="16"/>
                <w:szCs w:val="16"/>
              </w:rPr>
            </w:pPr>
            <w:r>
              <w:rPr>
                <w:sz w:val="16"/>
                <w:szCs w:val="16"/>
                <w:lang w:eastAsia="zh-CN"/>
              </w:rPr>
              <w:t>CT#82</w:t>
            </w:r>
          </w:p>
        </w:tc>
        <w:tc>
          <w:tcPr>
            <w:tcW w:w="1083" w:type="dxa"/>
            <w:shd w:val="solid" w:color="FFFFFF" w:fill="auto"/>
          </w:tcPr>
          <w:p w14:paraId="57A86354" w14:textId="77777777" w:rsidR="00A10B25" w:rsidRDefault="00A10B25">
            <w:pPr>
              <w:pStyle w:val="TAC"/>
              <w:rPr>
                <w:sz w:val="16"/>
                <w:szCs w:val="16"/>
              </w:rPr>
            </w:pPr>
            <w:r>
              <w:rPr>
                <w:sz w:val="16"/>
                <w:szCs w:val="16"/>
              </w:rPr>
              <w:t>CP-183205</w:t>
            </w:r>
          </w:p>
        </w:tc>
        <w:tc>
          <w:tcPr>
            <w:tcW w:w="523" w:type="dxa"/>
            <w:shd w:val="solid" w:color="FFFFFF" w:fill="auto"/>
          </w:tcPr>
          <w:p w14:paraId="71F76E65" w14:textId="77777777" w:rsidR="00A10B25" w:rsidRDefault="00A10B25">
            <w:pPr>
              <w:pStyle w:val="TAL"/>
              <w:rPr>
                <w:sz w:val="16"/>
                <w:szCs w:val="16"/>
              </w:rPr>
            </w:pPr>
            <w:r>
              <w:rPr>
                <w:sz w:val="16"/>
                <w:szCs w:val="16"/>
              </w:rPr>
              <w:t>0016</w:t>
            </w:r>
          </w:p>
        </w:tc>
        <w:tc>
          <w:tcPr>
            <w:tcW w:w="423" w:type="dxa"/>
            <w:shd w:val="solid" w:color="FFFFFF" w:fill="auto"/>
          </w:tcPr>
          <w:p w14:paraId="3C531393" w14:textId="77777777" w:rsidR="00A10B25" w:rsidRDefault="00A10B25">
            <w:pPr>
              <w:pStyle w:val="TAR"/>
              <w:rPr>
                <w:sz w:val="16"/>
                <w:szCs w:val="16"/>
              </w:rPr>
            </w:pPr>
            <w:r>
              <w:rPr>
                <w:sz w:val="16"/>
                <w:szCs w:val="16"/>
              </w:rPr>
              <w:t>1</w:t>
            </w:r>
          </w:p>
        </w:tc>
        <w:tc>
          <w:tcPr>
            <w:tcW w:w="423" w:type="dxa"/>
            <w:shd w:val="solid" w:color="FFFFFF" w:fill="auto"/>
          </w:tcPr>
          <w:p w14:paraId="5A22C40B" w14:textId="77777777" w:rsidR="00A10B25" w:rsidRDefault="00A10B25">
            <w:pPr>
              <w:pStyle w:val="TAC"/>
              <w:rPr>
                <w:sz w:val="16"/>
                <w:szCs w:val="16"/>
              </w:rPr>
            </w:pPr>
            <w:r>
              <w:rPr>
                <w:sz w:val="16"/>
                <w:szCs w:val="16"/>
              </w:rPr>
              <w:t>F</w:t>
            </w:r>
          </w:p>
        </w:tc>
        <w:tc>
          <w:tcPr>
            <w:tcW w:w="4899" w:type="dxa"/>
            <w:shd w:val="solid" w:color="FFFFFF" w:fill="auto"/>
          </w:tcPr>
          <w:p w14:paraId="02C7CB71" w14:textId="77777777" w:rsidR="00A10B25" w:rsidRDefault="00A10B25">
            <w:pPr>
              <w:pStyle w:val="TAL"/>
              <w:rPr>
                <w:sz w:val="16"/>
                <w:szCs w:val="16"/>
              </w:rPr>
            </w:pPr>
            <w:r>
              <w:rPr>
                <w:sz w:val="16"/>
                <w:szCs w:val="16"/>
              </w:rPr>
              <w:t>Adding HTTP status code "204 No Content"</w:t>
            </w:r>
          </w:p>
        </w:tc>
        <w:tc>
          <w:tcPr>
            <w:tcW w:w="706" w:type="dxa"/>
            <w:shd w:val="solid" w:color="FFFFFF" w:fill="auto"/>
          </w:tcPr>
          <w:p w14:paraId="45D461AD" w14:textId="77777777" w:rsidR="00A10B25" w:rsidRDefault="00A10B25">
            <w:pPr>
              <w:pStyle w:val="TAC"/>
              <w:rPr>
                <w:sz w:val="16"/>
                <w:szCs w:val="16"/>
              </w:rPr>
            </w:pPr>
            <w:r>
              <w:rPr>
                <w:sz w:val="16"/>
                <w:szCs w:val="16"/>
                <w:lang w:eastAsia="zh-CN"/>
              </w:rPr>
              <w:t>15.2.0</w:t>
            </w:r>
          </w:p>
        </w:tc>
      </w:tr>
      <w:tr w:rsidR="00A10B25" w14:paraId="28553793" w14:textId="77777777">
        <w:tc>
          <w:tcPr>
            <w:tcW w:w="796" w:type="dxa"/>
            <w:shd w:val="solid" w:color="FFFFFF" w:fill="auto"/>
          </w:tcPr>
          <w:p w14:paraId="38DBB5A8" w14:textId="77777777" w:rsidR="00A10B25" w:rsidRDefault="00A10B25">
            <w:pPr>
              <w:pStyle w:val="TAC"/>
              <w:rPr>
                <w:sz w:val="16"/>
                <w:szCs w:val="16"/>
              </w:rPr>
            </w:pPr>
            <w:r>
              <w:rPr>
                <w:sz w:val="16"/>
                <w:szCs w:val="16"/>
                <w:lang w:eastAsia="zh-CN"/>
              </w:rPr>
              <w:t>2018-12</w:t>
            </w:r>
          </w:p>
        </w:tc>
        <w:tc>
          <w:tcPr>
            <w:tcW w:w="828" w:type="dxa"/>
            <w:shd w:val="solid" w:color="FFFFFF" w:fill="auto"/>
          </w:tcPr>
          <w:p w14:paraId="5FD4B416" w14:textId="77777777" w:rsidR="00A10B25" w:rsidRDefault="00A10B25">
            <w:pPr>
              <w:pStyle w:val="TAC"/>
              <w:rPr>
                <w:sz w:val="16"/>
                <w:szCs w:val="16"/>
              </w:rPr>
            </w:pPr>
            <w:r>
              <w:rPr>
                <w:sz w:val="16"/>
                <w:szCs w:val="16"/>
                <w:lang w:eastAsia="zh-CN"/>
              </w:rPr>
              <w:t>CT#82</w:t>
            </w:r>
          </w:p>
        </w:tc>
        <w:tc>
          <w:tcPr>
            <w:tcW w:w="1083" w:type="dxa"/>
            <w:shd w:val="solid" w:color="FFFFFF" w:fill="auto"/>
          </w:tcPr>
          <w:p w14:paraId="7E0DA9D2" w14:textId="77777777" w:rsidR="00A10B25" w:rsidRDefault="00A10B25">
            <w:pPr>
              <w:pStyle w:val="TAC"/>
              <w:rPr>
                <w:sz w:val="16"/>
                <w:szCs w:val="16"/>
              </w:rPr>
            </w:pPr>
            <w:r>
              <w:rPr>
                <w:sz w:val="16"/>
                <w:szCs w:val="16"/>
              </w:rPr>
              <w:t>CP-183205</w:t>
            </w:r>
          </w:p>
        </w:tc>
        <w:tc>
          <w:tcPr>
            <w:tcW w:w="523" w:type="dxa"/>
            <w:shd w:val="solid" w:color="FFFFFF" w:fill="auto"/>
          </w:tcPr>
          <w:p w14:paraId="6D38EAD4" w14:textId="77777777" w:rsidR="00A10B25" w:rsidRDefault="00A10B25">
            <w:pPr>
              <w:pStyle w:val="TAL"/>
              <w:rPr>
                <w:sz w:val="16"/>
                <w:szCs w:val="16"/>
              </w:rPr>
            </w:pPr>
            <w:r>
              <w:rPr>
                <w:sz w:val="16"/>
                <w:szCs w:val="16"/>
              </w:rPr>
              <w:t>0019</w:t>
            </w:r>
          </w:p>
        </w:tc>
        <w:tc>
          <w:tcPr>
            <w:tcW w:w="423" w:type="dxa"/>
            <w:shd w:val="solid" w:color="FFFFFF" w:fill="auto"/>
          </w:tcPr>
          <w:p w14:paraId="3B95A580" w14:textId="77777777" w:rsidR="00A10B25" w:rsidRDefault="00A10B25">
            <w:pPr>
              <w:pStyle w:val="TAR"/>
              <w:rPr>
                <w:sz w:val="16"/>
                <w:szCs w:val="16"/>
              </w:rPr>
            </w:pPr>
          </w:p>
        </w:tc>
        <w:tc>
          <w:tcPr>
            <w:tcW w:w="423" w:type="dxa"/>
            <w:shd w:val="solid" w:color="FFFFFF" w:fill="auto"/>
          </w:tcPr>
          <w:p w14:paraId="76FAFB49" w14:textId="77777777" w:rsidR="00A10B25" w:rsidRDefault="00A10B25">
            <w:pPr>
              <w:pStyle w:val="TAC"/>
              <w:rPr>
                <w:sz w:val="16"/>
                <w:szCs w:val="16"/>
              </w:rPr>
            </w:pPr>
            <w:r>
              <w:rPr>
                <w:sz w:val="16"/>
                <w:szCs w:val="16"/>
              </w:rPr>
              <w:t>F</w:t>
            </w:r>
          </w:p>
        </w:tc>
        <w:tc>
          <w:tcPr>
            <w:tcW w:w="4899" w:type="dxa"/>
            <w:shd w:val="solid" w:color="FFFFFF" w:fill="auto"/>
          </w:tcPr>
          <w:p w14:paraId="15870CEB" w14:textId="77777777" w:rsidR="00A10B25" w:rsidRDefault="00A10B25">
            <w:pPr>
              <w:pStyle w:val="TAL"/>
              <w:rPr>
                <w:sz w:val="16"/>
                <w:szCs w:val="16"/>
              </w:rPr>
            </w:pPr>
            <w:r>
              <w:rPr>
                <w:sz w:val="16"/>
                <w:szCs w:val="16"/>
              </w:rPr>
              <w:t>Location header field in OpenAPI</w:t>
            </w:r>
          </w:p>
        </w:tc>
        <w:tc>
          <w:tcPr>
            <w:tcW w:w="706" w:type="dxa"/>
            <w:shd w:val="solid" w:color="FFFFFF" w:fill="auto"/>
          </w:tcPr>
          <w:p w14:paraId="79074E56" w14:textId="77777777" w:rsidR="00A10B25" w:rsidRDefault="00A10B25">
            <w:pPr>
              <w:pStyle w:val="TAC"/>
              <w:rPr>
                <w:sz w:val="16"/>
                <w:szCs w:val="16"/>
              </w:rPr>
            </w:pPr>
            <w:r>
              <w:rPr>
                <w:sz w:val="16"/>
                <w:szCs w:val="16"/>
                <w:lang w:eastAsia="zh-CN"/>
              </w:rPr>
              <w:t>15.2.0</w:t>
            </w:r>
          </w:p>
        </w:tc>
      </w:tr>
      <w:tr w:rsidR="00A10B25" w14:paraId="197FE50E" w14:textId="77777777">
        <w:tc>
          <w:tcPr>
            <w:tcW w:w="796" w:type="dxa"/>
            <w:shd w:val="solid" w:color="FFFFFF" w:fill="auto"/>
          </w:tcPr>
          <w:p w14:paraId="6841BF77" w14:textId="77777777" w:rsidR="00A10B25" w:rsidRDefault="00A10B25">
            <w:pPr>
              <w:pStyle w:val="TAC"/>
              <w:rPr>
                <w:sz w:val="16"/>
                <w:szCs w:val="16"/>
              </w:rPr>
            </w:pPr>
            <w:r>
              <w:rPr>
                <w:sz w:val="16"/>
                <w:szCs w:val="16"/>
              </w:rPr>
              <w:t>2019-03</w:t>
            </w:r>
          </w:p>
        </w:tc>
        <w:tc>
          <w:tcPr>
            <w:tcW w:w="828" w:type="dxa"/>
            <w:shd w:val="solid" w:color="FFFFFF" w:fill="auto"/>
          </w:tcPr>
          <w:p w14:paraId="3D5B39DB" w14:textId="77777777" w:rsidR="00A10B25" w:rsidRDefault="00A10B25">
            <w:pPr>
              <w:pStyle w:val="TAC"/>
              <w:rPr>
                <w:sz w:val="16"/>
                <w:szCs w:val="16"/>
              </w:rPr>
            </w:pPr>
            <w:r>
              <w:rPr>
                <w:sz w:val="16"/>
                <w:szCs w:val="16"/>
              </w:rPr>
              <w:t>CT#83</w:t>
            </w:r>
          </w:p>
        </w:tc>
        <w:tc>
          <w:tcPr>
            <w:tcW w:w="1083" w:type="dxa"/>
            <w:shd w:val="solid" w:color="FFFFFF" w:fill="auto"/>
          </w:tcPr>
          <w:p w14:paraId="6FC76989" w14:textId="77777777" w:rsidR="00A10B25" w:rsidRDefault="00A10B25">
            <w:pPr>
              <w:pStyle w:val="TAC"/>
              <w:rPr>
                <w:sz w:val="16"/>
                <w:szCs w:val="16"/>
              </w:rPr>
            </w:pPr>
            <w:r>
              <w:rPr>
                <w:sz w:val="16"/>
                <w:szCs w:val="16"/>
              </w:rPr>
              <w:t>CP-190113</w:t>
            </w:r>
          </w:p>
        </w:tc>
        <w:tc>
          <w:tcPr>
            <w:tcW w:w="523" w:type="dxa"/>
            <w:shd w:val="solid" w:color="FFFFFF" w:fill="auto"/>
          </w:tcPr>
          <w:p w14:paraId="5028AAF3" w14:textId="77777777" w:rsidR="00A10B25" w:rsidRDefault="00A10B25">
            <w:pPr>
              <w:pStyle w:val="TAL"/>
              <w:rPr>
                <w:sz w:val="16"/>
                <w:szCs w:val="16"/>
              </w:rPr>
            </w:pPr>
            <w:r>
              <w:rPr>
                <w:sz w:val="16"/>
                <w:szCs w:val="16"/>
              </w:rPr>
              <w:t>0020</w:t>
            </w:r>
          </w:p>
        </w:tc>
        <w:tc>
          <w:tcPr>
            <w:tcW w:w="423" w:type="dxa"/>
            <w:shd w:val="solid" w:color="FFFFFF" w:fill="auto"/>
          </w:tcPr>
          <w:p w14:paraId="4333019F" w14:textId="77777777" w:rsidR="00A10B25" w:rsidRDefault="00A10B25">
            <w:pPr>
              <w:pStyle w:val="TAR"/>
              <w:rPr>
                <w:sz w:val="16"/>
                <w:szCs w:val="16"/>
              </w:rPr>
            </w:pPr>
          </w:p>
        </w:tc>
        <w:tc>
          <w:tcPr>
            <w:tcW w:w="423" w:type="dxa"/>
            <w:shd w:val="solid" w:color="FFFFFF" w:fill="auto"/>
          </w:tcPr>
          <w:p w14:paraId="16D20655" w14:textId="77777777" w:rsidR="00A10B25" w:rsidRDefault="00A10B25">
            <w:pPr>
              <w:pStyle w:val="TAC"/>
              <w:rPr>
                <w:sz w:val="16"/>
                <w:szCs w:val="16"/>
              </w:rPr>
            </w:pPr>
            <w:r>
              <w:rPr>
                <w:sz w:val="16"/>
                <w:szCs w:val="16"/>
              </w:rPr>
              <w:t>F</w:t>
            </w:r>
          </w:p>
        </w:tc>
        <w:tc>
          <w:tcPr>
            <w:tcW w:w="4899" w:type="dxa"/>
            <w:shd w:val="solid" w:color="FFFFFF" w:fill="auto"/>
          </w:tcPr>
          <w:p w14:paraId="1249AEFE" w14:textId="77777777" w:rsidR="00A10B25" w:rsidRDefault="00A10B25">
            <w:pPr>
              <w:pStyle w:val="TAL"/>
              <w:rPr>
                <w:sz w:val="16"/>
                <w:szCs w:val="16"/>
              </w:rPr>
            </w:pPr>
            <w:r>
              <w:rPr>
                <w:sz w:val="16"/>
                <w:szCs w:val="16"/>
                <w:lang w:val="en-US" w:eastAsia="zh-CN"/>
              </w:rPr>
              <w:t>Support of NSSF as the service consumer</w:t>
            </w:r>
          </w:p>
        </w:tc>
        <w:tc>
          <w:tcPr>
            <w:tcW w:w="706" w:type="dxa"/>
            <w:shd w:val="solid" w:color="FFFFFF" w:fill="auto"/>
          </w:tcPr>
          <w:p w14:paraId="2FCAFE05" w14:textId="77777777" w:rsidR="00A10B25" w:rsidRDefault="00A10B25">
            <w:pPr>
              <w:pStyle w:val="TAC"/>
              <w:rPr>
                <w:sz w:val="16"/>
                <w:szCs w:val="16"/>
              </w:rPr>
            </w:pPr>
            <w:r>
              <w:rPr>
                <w:sz w:val="16"/>
                <w:szCs w:val="16"/>
              </w:rPr>
              <w:t>15.3.0</w:t>
            </w:r>
          </w:p>
        </w:tc>
      </w:tr>
      <w:tr w:rsidR="00A10B25" w14:paraId="6663CBEF" w14:textId="77777777">
        <w:tc>
          <w:tcPr>
            <w:tcW w:w="796" w:type="dxa"/>
            <w:shd w:val="solid" w:color="FFFFFF" w:fill="auto"/>
          </w:tcPr>
          <w:p w14:paraId="5A82F864" w14:textId="77777777" w:rsidR="00A10B25" w:rsidRDefault="00A10B25">
            <w:pPr>
              <w:pStyle w:val="TAC"/>
              <w:rPr>
                <w:sz w:val="16"/>
                <w:szCs w:val="16"/>
              </w:rPr>
            </w:pPr>
            <w:r>
              <w:rPr>
                <w:sz w:val="16"/>
                <w:szCs w:val="16"/>
              </w:rPr>
              <w:t>2019-03</w:t>
            </w:r>
          </w:p>
        </w:tc>
        <w:tc>
          <w:tcPr>
            <w:tcW w:w="828" w:type="dxa"/>
            <w:shd w:val="solid" w:color="FFFFFF" w:fill="auto"/>
          </w:tcPr>
          <w:p w14:paraId="6D7FF7E8" w14:textId="77777777" w:rsidR="00A10B25" w:rsidRDefault="00A10B25">
            <w:pPr>
              <w:pStyle w:val="TAC"/>
              <w:rPr>
                <w:sz w:val="16"/>
                <w:szCs w:val="16"/>
              </w:rPr>
            </w:pPr>
            <w:r>
              <w:rPr>
                <w:sz w:val="16"/>
                <w:szCs w:val="16"/>
              </w:rPr>
              <w:t>CT#83</w:t>
            </w:r>
          </w:p>
        </w:tc>
        <w:tc>
          <w:tcPr>
            <w:tcW w:w="1083" w:type="dxa"/>
            <w:shd w:val="solid" w:color="FFFFFF" w:fill="auto"/>
          </w:tcPr>
          <w:p w14:paraId="6156687B" w14:textId="77777777" w:rsidR="00A10B25" w:rsidRDefault="00A10B25">
            <w:pPr>
              <w:pStyle w:val="TAC"/>
              <w:rPr>
                <w:sz w:val="16"/>
                <w:szCs w:val="16"/>
              </w:rPr>
            </w:pPr>
            <w:r>
              <w:rPr>
                <w:sz w:val="16"/>
                <w:szCs w:val="16"/>
              </w:rPr>
              <w:t>CP-190113</w:t>
            </w:r>
          </w:p>
        </w:tc>
        <w:tc>
          <w:tcPr>
            <w:tcW w:w="523" w:type="dxa"/>
            <w:shd w:val="solid" w:color="FFFFFF" w:fill="auto"/>
          </w:tcPr>
          <w:p w14:paraId="4AF3116C" w14:textId="77777777" w:rsidR="00A10B25" w:rsidRDefault="00A10B25">
            <w:pPr>
              <w:pStyle w:val="TAL"/>
              <w:rPr>
                <w:sz w:val="16"/>
                <w:szCs w:val="16"/>
              </w:rPr>
            </w:pPr>
            <w:r>
              <w:rPr>
                <w:sz w:val="16"/>
                <w:szCs w:val="16"/>
              </w:rPr>
              <w:t>0021</w:t>
            </w:r>
          </w:p>
        </w:tc>
        <w:tc>
          <w:tcPr>
            <w:tcW w:w="423" w:type="dxa"/>
            <w:shd w:val="solid" w:color="FFFFFF" w:fill="auto"/>
          </w:tcPr>
          <w:p w14:paraId="69F034CC" w14:textId="77777777" w:rsidR="00A10B25" w:rsidRDefault="00A10B25">
            <w:pPr>
              <w:pStyle w:val="TAR"/>
              <w:rPr>
                <w:sz w:val="16"/>
                <w:szCs w:val="16"/>
              </w:rPr>
            </w:pPr>
            <w:r>
              <w:rPr>
                <w:sz w:val="16"/>
                <w:szCs w:val="16"/>
              </w:rPr>
              <w:t>1</w:t>
            </w:r>
          </w:p>
        </w:tc>
        <w:tc>
          <w:tcPr>
            <w:tcW w:w="423" w:type="dxa"/>
            <w:shd w:val="solid" w:color="FFFFFF" w:fill="auto"/>
          </w:tcPr>
          <w:p w14:paraId="3F266AC6" w14:textId="77777777" w:rsidR="00A10B25" w:rsidRDefault="00A10B25">
            <w:pPr>
              <w:pStyle w:val="TAC"/>
              <w:rPr>
                <w:sz w:val="16"/>
                <w:szCs w:val="16"/>
              </w:rPr>
            </w:pPr>
            <w:r>
              <w:rPr>
                <w:sz w:val="16"/>
                <w:szCs w:val="16"/>
              </w:rPr>
              <w:t>F</w:t>
            </w:r>
          </w:p>
        </w:tc>
        <w:tc>
          <w:tcPr>
            <w:tcW w:w="4899" w:type="dxa"/>
            <w:shd w:val="solid" w:color="FFFFFF" w:fill="auto"/>
          </w:tcPr>
          <w:p w14:paraId="3FDB00A7" w14:textId="77777777" w:rsidR="00A10B25" w:rsidRDefault="00A10B25">
            <w:pPr>
              <w:pStyle w:val="TAL"/>
              <w:rPr>
                <w:sz w:val="16"/>
                <w:szCs w:val="16"/>
              </w:rPr>
            </w:pPr>
            <w:r>
              <w:rPr>
                <w:sz w:val="16"/>
                <w:szCs w:val="16"/>
                <w:lang w:val="en-US" w:eastAsia="zh-CN"/>
              </w:rPr>
              <w:t>Formatting of structured data types in query</w:t>
            </w:r>
          </w:p>
        </w:tc>
        <w:tc>
          <w:tcPr>
            <w:tcW w:w="706" w:type="dxa"/>
            <w:shd w:val="solid" w:color="FFFFFF" w:fill="auto"/>
          </w:tcPr>
          <w:p w14:paraId="4FB4CE86" w14:textId="77777777" w:rsidR="00A10B25" w:rsidRDefault="00A10B25">
            <w:pPr>
              <w:pStyle w:val="TAC"/>
              <w:rPr>
                <w:sz w:val="16"/>
                <w:szCs w:val="16"/>
              </w:rPr>
            </w:pPr>
            <w:r>
              <w:rPr>
                <w:sz w:val="16"/>
                <w:szCs w:val="16"/>
              </w:rPr>
              <w:t>15.3.0</w:t>
            </w:r>
          </w:p>
        </w:tc>
      </w:tr>
      <w:tr w:rsidR="00A10B25" w14:paraId="39FB54AF" w14:textId="77777777">
        <w:tc>
          <w:tcPr>
            <w:tcW w:w="796" w:type="dxa"/>
            <w:shd w:val="solid" w:color="FFFFFF" w:fill="auto"/>
          </w:tcPr>
          <w:p w14:paraId="1D938730" w14:textId="77777777" w:rsidR="00A10B25" w:rsidRDefault="00A10B25">
            <w:pPr>
              <w:pStyle w:val="TAC"/>
              <w:rPr>
                <w:sz w:val="16"/>
                <w:szCs w:val="16"/>
              </w:rPr>
            </w:pPr>
            <w:r>
              <w:rPr>
                <w:sz w:val="16"/>
                <w:szCs w:val="16"/>
              </w:rPr>
              <w:t>2019-03</w:t>
            </w:r>
          </w:p>
        </w:tc>
        <w:tc>
          <w:tcPr>
            <w:tcW w:w="828" w:type="dxa"/>
            <w:shd w:val="solid" w:color="FFFFFF" w:fill="auto"/>
          </w:tcPr>
          <w:p w14:paraId="3FB5FD7A" w14:textId="77777777" w:rsidR="00A10B25" w:rsidRDefault="00A10B25">
            <w:pPr>
              <w:pStyle w:val="TAC"/>
              <w:rPr>
                <w:sz w:val="16"/>
                <w:szCs w:val="16"/>
              </w:rPr>
            </w:pPr>
            <w:r>
              <w:rPr>
                <w:sz w:val="16"/>
                <w:szCs w:val="16"/>
              </w:rPr>
              <w:t>CT#83</w:t>
            </w:r>
          </w:p>
        </w:tc>
        <w:tc>
          <w:tcPr>
            <w:tcW w:w="1083" w:type="dxa"/>
            <w:shd w:val="solid" w:color="FFFFFF" w:fill="auto"/>
          </w:tcPr>
          <w:p w14:paraId="43C9FE46" w14:textId="77777777" w:rsidR="00A10B25" w:rsidRDefault="00A10B25">
            <w:pPr>
              <w:pStyle w:val="TAC"/>
              <w:rPr>
                <w:sz w:val="16"/>
                <w:szCs w:val="16"/>
              </w:rPr>
            </w:pPr>
            <w:r>
              <w:rPr>
                <w:sz w:val="16"/>
                <w:szCs w:val="16"/>
              </w:rPr>
              <w:t>CP-190113</w:t>
            </w:r>
          </w:p>
        </w:tc>
        <w:tc>
          <w:tcPr>
            <w:tcW w:w="523" w:type="dxa"/>
            <w:shd w:val="solid" w:color="FFFFFF" w:fill="auto"/>
          </w:tcPr>
          <w:p w14:paraId="372C8BD0" w14:textId="77777777" w:rsidR="00A10B25" w:rsidRDefault="00A10B25">
            <w:pPr>
              <w:pStyle w:val="TAL"/>
              <w:rPr>
                <w:sz w:val="16"/>
                <w:szCs w:val="16"/>
              </w:rPr>
            </w:pPr>
            <w:r>
              <w:rPr>
                <w:sz w:val="16"/>
                <w:szCs w:val="16"/>
              </w:rPr>
              <w:t>0022</w:t>
            </w:r>
          </w:p>
        </w:tc>
        <w:tc>
          <w:tcPr>
            <w:tcW w:w="423" w:type="dxa"/>
            <w:shd w:val="solid" w:color="FFFFFF" w:fill="auto"/>
          </w:tcPr>
          <w:p w14:paraId="42FC6FDF" w14:textId="77777777" w:rsidR="00A10B25" w:rsidRDefault="00A10B25">
            <w:pPr>
              <w:pStyle w:val="TAR"/>
              <w:rPr>
                <w:sz w:val="16"/>
                <w:szCs w:val="16"/>
              </w:rPr>
            </w:pPr>
          </w:p>
        </w:tc>
        <w:tc>
          <w:tcPr>
            <w:tcW w:w="423" w:type="dxa"/>
            <w:shd w:val="solid" w:color="FFFFFF" w:fill="auto"/>
          </w:tcPr>
          <w:p w14:paraId="695C9886" w14:textId="77777777" w:rsidR="00A10B25" w:rsidRDefault="00A10B25">
            <w:pPr>
              <w:pStyle w:val="TAC"/>
              <w:rPr>
                <w:sz w:val="16"/>
                <w:szCs w:val="16"/>
              </w:rPr>
            </w:pPr>
            <w:r>
              <w:rPr>
                <w:sz w:val="16"/>
                <w:szCs w:val="16"/>
              </w:rPr>
              <w:t>F</w:t>
            </w:r>
          </w:p>
        </w:tc>
        <w:tc>
          <w:tcPr>
            <w:tcW w:w="4899" w:type="dxa"/>
            <w:shd w:val="solid" w:color="FFFFFF" w:fill="auto"/>
          </w:tcPr>
          <w:p w14:paraId="205436B5" w14:textId="77777777" w:rsidR="00A10B25" w:rsidRDefault="00A10B25">
            <w:pPr>
              <w:pStyle w:val="TAL"/>
              <w:rPr>
                <w:sz w:val="16"/>
                <w:szCs w:val="16"/>
              </w:rPr>
            </w:pPr>
            <w:r>
              <w:rPr>
                <w:sz w:val="16"/>
                <w:szCs w:val="16"/>
                <w:lang w:val="en-US" w:eastAsia="zh-CN"/>
              </w:rPr>
              <w:t>OpenAPI info version update</w:t>
            </w:r>
          </w:p>
        </w:tc>
        <w:tc>
          <w:tcPr>
            <w:tcW w:w="706" w:type="dxa"/>
            <w:shd w:val="solid" w:color="FFFFFF" w:fill="auto"/>
          </w:tcPr>
          <w:p w14:paraId="59C3720D" w14:textId="77777777" w:rsidR="00A10B25" w:rsidRDefault="00A10B25">
            <w:pPr>
              <w:pStyle w:val="TAC"/>
              <w:rPr>
                <w:sz w:val="16"/>
                <w:szCs w:val="16"/>
              </w:rPr>
            </w:pPr>
            <w:r>
              <w:rPr>
                <w:sz w:val="16"/>
                <w:szCs w:val="16"/>
              </w:rPr>
              <w:t>15.3.0</w:t>
            </w:r>
          </w:p>
        </w:tc>
      </w:tr>
      <w:tr w:rsidR="00A10B25" w14:paraId="44995042" w14:textId="77777777">
        <w:tc>
          <w:tcPr>
            <w:tcW w:w="796" w:type="dxa"/>
            <w:shd w:val="solid" w:color="FFFFFF" w:fill="auto"/>
          </w:tcPr>
          <w:p w14:paraId="79EC8FFE" w14:textId="77777777" w:rsidR="00A10B25" w:rsidRDefault="00A10B25">
            <w:pPr>
              <w:pStyle w:val="TAC"/>
              <w:rPr>
                <w:sz w:val="16"/>
                <w:szCs w:val="16"/>
              </w:rPr>
            </w:pPr>
            <w:r>
              <w:rPr>
                <w:sz w:val="16"/>
                <w:szCs w:val="16"/>
              </w:rPr>
              <w:t>2019-03</w:t>
            </w:r>
          </w:p>
        </w:tc>
        <w:tc>
          <w:tcPr>
            <w:tcW w:w="828" w:type="dxa"/>
            <w:shd w:val="solid" w:color="FFFFFF" w:fill="auto"/>
          </w:tcPr>
          <w:p w14:paraId="035CFBFD" w14:textId="77777777" w:rsidR="00A10B25" w:rsidRDefault="00A10B25">
            <w:pPr>
              <w:pStyle w:val="TAC"/>
              <w:rPr>
                <w:sz w:val="16"/>
                <w:szCs w:val="16"/>
              </w:rPr>
            </w:pPr>
            <w:r>
              <w:rPr>
                <w:sz w:val="16"/>
                <w:szCs w:val="16"/>
              </w:rPr>
              <w:t>CT#83</w:t>
            </w:r>
          </w:p>
        </w:tc>
        <w:tc>
          <w:tcPr>
            <w:tcW w:w="1083" w:type="dxa"/>
            <w:shd w:val="solid" w:color="FFFFFF" w:fill="auto"/>
          </w:tcPr>
          <w:p w14:paraId="213BBE00" w14:textId="77777777" w:rsidR="00A10B25" w:rsidRDefault="00A10B25">
            <w:pPr>
              <w:pStyle w:val="TAC"/>
              <w:rPr>
                <w:sz w:val="16"/>
                <w:szCs w:val="16"/>
              </w:rPr>
            </w:pPr>
            <w:r>
              <w:rPr>
                <w:sz w:val="16"/>
                <w:szCs w:val="16"/>
              </w:rPr>
              <w:t>CP-190213</w:t>
            </w:r>
          </w:p>
        </w:tc>
        <w:tc>
          <w:tcPr>
            <w:tcW w:w="523" w:type="dxa"/>
            <w:shd w:val="solid" w:color="FFFFFF" w:fill="auto"/>
          </w:tcPr>
          <w:p w14:paraId="0BF4DC79" w14:textId="77777777" w:rsidR="00A10B25" w:rsidRDefault="00A10B25">
            <w:pPr>
              <w:pStyle w:val="TAL"/>
              <w:rPr>
                <w:sz w:val="16"/>
                <w:szCs w:val="16"/>
              </w:rPr>
            </w:pPr>
            <w:r>
              <w:rPr>
                <w:sz w:val="16"/>
                <w:szCs w:val="16"/>
              </w:rPr>
              <w:t>0023</w:t>
            </w:r>
          </w:p>
        </w:tc>
        <w:tc>
          <w:tcPr>
            <w:tcW w:w="423" w:type="dxa"/>
            <w:shd w:val="solid" w:color="FFFFFF" w:fill="auto"/>
          </w:tcPr>
          <w:p w14:paraId="4BBAB299" w14:textId="77777777" w:rsidR="00A10B25" w:rsidRDefault="00A10B25">
            <w:pPr>
              <w:pStyle w:val="TAR"/>
              <w:rPr>
                <w:sz w:val="16"/>
                <w:szCs w:val="16"/>
              </w:rPr>
            </w:pPr>
            <w:r>
              <w:rPr>
                <w:sz w:val="16"/>
                <w:szCs w:val="16"/>
              </w:rPr>
              <w:t>1</w:t>
            </w:r>
          </w:p>
        </w:tc>
        <w:tc>
          <w:tcPr>
            <w:tcW w:w="423" w:type="dxa"/>
            <w:shd w:val="solid" w:color="FFFFFF" w:fill="auto"/>
          </w:tcPr>
          <w:p w14:paraId="54626A9A" w14:textId="77777777" w:rsidR="00A10B25" w:rsidRDefault="00A10B25">
            <w:pPr>
              <w:pStyle w:val="TAC"/>
              <w:rPr>
                <w:sz w:val="16"/>
                <w:szCs w:val="16"/>
              </w:rPr>
            </w:pPr>
            <w:r>
              <w:rPr>
                <w:sz w:val="16"/>
                <w:szCs w:val="16"/>
              </w:rPr>
              <w:t>F</w:t>
            </w:r>
          </w:p>
        </w:tc>
        <w:tc>
          <w:tcPr>
            <w:tcW w:w="4899" w:type="dxa"/>
            <w:shd w:val="solid" w:color="FFFFFF" w:fill="auto"/>
          </w:tcPr>
          <w:p w14:paraId="5EA079AC" w14:textId="77777777" w:rsidR="00A10B25" w:rsidRDefault="00A10B25">
            <w:pPr>
              <w:pStyle w:val="TAL"/>
              <w:rPr>
                <w:sz w:val="16"/>
                <w:szCs w:val="16"/>
              </w:rPr>
            </w:pPr>
            <w:r>
              <w:rPr>
                <w:sz w:val="16"/>
                <w:szCs w:val="16"/>
                <w:lang w:val="en-US" w:eastAsia="zh-CN"/>
              </w:rPr>
              <w:t>Correction of Location header in Nnwdaf_EventsSubscription OPenAPI</w:t>
            </w:r>
          </w:p>
        </w:tc>
        <w:tc>
          <w:tcPr>
            <w:tcW w:w="706" w:type="dxa"/>
            <w:shd w:val="solid" w:color="FFFFFF" w:fill="auto"/>
          </w:tcPr>
          <w:p w14:paraId="4D68B29F" w14:textId="77777777" w:rsidR="00A10B25" w:rsidRDefault="00A10B25">
            <w:pPr>
              <w:pStyle w:val="TAC"/>
              <w:rPr>
                <w:sz w:val="16"/>
                <w:szCs w:val="16"/>
              </w:rPr>
            </w:pPr>
            <w:r>
              <w:rPr>
                <w:sz w:val="16"/>
                <w:szCs w:val="16"/>
              </w:rPr>
              <w:t>15.3.0</w:t>
            </w:r>
          </w:p>
        </w:tc>
      </w:tr>
      <w:tr w:rsidR="00A10B25" w14:paraId="3FFB4448" w14:textId="77777777">
        <w:tc>
          <w:tcPr>
            <w:tcW w:w="796" w:type="dxa"/>
            <w:shd w:val="solid" w:color="FFFFFF" w:fill="auto"/>
          </w:tcPr>
          <w:p w14:paraId="48A8CD4A"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0ED87D82"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22538DBD" w14:textId="77777777" w:rsidR="00A10B25" w:rsidRDefault="00A10B25">
            <w:pPr>
              <w:pStyle w:val="TAC"/>
              <w:rPr>
                <w:sz w:val="16"/>
                <w:szCs w:val="16"/>
              </w:rPr>
            </w:pPr>
            <w:r>
              <w:rPr>
                <w:rFonts w:cs="Arial"/>
                <w:color w:val="000000"/>
                <w:sz w:val="16"/>
                <w:szCs w:val="16"/>
              </w:rPr>
              <w:t>CP-191078</w:t>
            </w:r>
          </w:p>
        </w:tc>
        <w:tc>
          <w:tcPr>
            <w:tcW w:w="523" w:type="dxa"/>
            <w:shd w:val="solid" w:color="FFFFFF" w:fill="auto"/>
          </w:tcPr>
          <w:p w14:paraId="7A715742" w14:textId="77777777" w:rsidR="00A10B25" w:rsidRDefault="00A10B25">
            <w:pPr>
              <w:pStyle w:val="TAL"/>
              <w:rPr>
                <w:sz w:val="16"/>
                <w:szCs w:val="16"/>
              </w:rPr>
            </w:pPr>
            <w:r>
              <w:rPr>
                <w:rFonts w:cs="Arial"/>
                <w:color w:val="000000"/>
                <w:sz w:val="16"/>
                <w:szCs w:val="16"/>
              </w:rPr>
              <w:t>0024</w:t>
            </w:r>
          </w:p>
        </w:tc>
        <w:tc>
          <w:tcPr>
            <w:tcW w:w="423" w:type="dxa"/>
            <w:shd w:val="solid" w:color="FFFFFF" w:fill="auto"/>
          </w:tcPr>
          <w:p w14:paraId="692D89BE" w14:textId="77777777" w:rsidR="00A10B25" w:rsidRDefault="00A10B25">
            <w:pPr>
              <w:pStyle w:val="TAR"/>
              <w:rPr>
                <w:sz w:val="16"/>
                <w:szCs w:val="16"/>
              </w:rPr>
            </w:pPr>
            <w:r>
              <w:rPr>
                <w:rFonts w:cs="Arial"/>
                <w:color w:val="000000"/>
                <w:sz w:val="16"/>
                <w:szCs w:val="16"/>
              </w:rPr>
              <w:t>1</w:t>
            </w:r>
          </w:p>
        </w:tc>
        <w:tc>
          <w:tcPr>
            <w:tcW w:w="423" w:type="dxa"/>
            <w:shd w:val="solid" w:color="FFFFFF" w:fill="auto"/>
          </w:tcPr>
          <w:p w14:paraId="130A2727"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078CB094" w14:textId="77777777" w:rsidR="00A10B25" w:rsidRDefault="00A10B25">
            <w:pPr>
              <w:pStyle w:val="TAL"/>
              <w:rPr>
                <w:sz w:val="16"/>
                <w:szCs w:val="16"/>
              </w:rPr>
            </w:pPr>
            <w:r>
              <w:rPr>
                <w:rFonts w:cs="Arial"/>
                <w:color w:val="000000"/>
                <w:sz w:val="16"/>
                <w:szCs w:val="16"/>
                <w:lang w:val="en-US" w:eastAsia="zh-CN"/>
              </w:rPr>
              <w:t>Correction of Nnwdaf_EventsSubscription OpenAPI</w:t>
            </w:r>
          </w:p>
        </w:tc>
        <w:tc>
          <w:tcPr>
            <w:tcW w:w="706" w:type="dxa"/>
            <w:shd w:val="solid" w:color="FFFFFF" w:fill="auto"/>
          </w:tcPr>
          <w:p w14:paraId="3B5ED417" w14:textId="77777777" w:rsidR="00A10B25" w:rsidRDefault="00A10B25">
            <w:pPr>
              <w:pStyle w:val="TAC"/>
              <w:rPr>
                <w:sz w:val="16"/>
                <w:szCs w:val="16"/>
              </w:rPr>
            </w:pPr>
            <w:r>
              <w:rPr>
                <w:rFonts w:cs="Arial"/>
                <w:color w:val="000000"/>
                <w:sz w:val="16"/>
                <w:szCs w:val="16"/>
              </w:rPr>
              <w:t>15.4.0</w:t>
            </w:r>
          </w:p>
        </w:tc>
      </w:tr>
      <w:tr w:rsidR="00A10B25" w14:paraId="5FFA7068" w14:textId="77777777">
        <w:tc>
          <w:tcPr>
            <w:tcW w:w="796" w:type="dxa"/>
            <w:shd w:val="solid" w:color="FFFFFF" w:fill="auto"/>
          </w:tcPr>
          <w:p w14:paraId="25775467"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6DEDA984"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518D0C56" w14:textId="77777777" w:rsidR="00A10B25" w:rsidRDefault="00A10B25">
            <w:pPr>
              <w:pStyle w:val="TAC"/>
              <w:rPr>
                <w:sz w:val="16"/>
                <w:szCs w:val="16"/>
              </w:rPr>
            </w:pPr>
            <w:r>
              <w:rPr>
                <w:rFonts w:cs="Arial"/>
                <w:color w:val="000000"/>
                <w:sz w:val="16"/>
                <w:szCs w:val="16"/>
              </w:rPr>
              <w:t>CP-191078</w:t>
            </w:r>
          </w:p>
        </w:tc>
        <w:tc>
          <w:tcPr>
            <w:tcW w:w="523" w:type="dxa"/>
            <w:shd w:val="solid" w:color="FFFFFF" w:fill="auto"/>
          </w:tcPr>
          <w:p w14:paraId="2B1F21ED" w14:textId="77777777" w:rsidR="00A10B25" w:rsidRDefault="00A10B25">
            <w:pPr>
              <w:pStyle w:val="TAL"/>
              <w:rPr>
                <w:sz w:val="16"/>
                <w:szCs w:val="16"/>
              </w:rPr>
            </w:pPr>
            <w:r>
              <w:rPr>
                <w:rFonts w:cs="Arial"/>
                <w:color w:val="000000"/>
                <w:sz w:val="16"/>
                <w:szCs w:val="16"/>
              </w:rPr>
              <w:t>0029</w:t>
            </w:r>
          </w:p>
        </w:tc>
        <w:tc>
          <w:tcPr>
            <w:tcW w:w="423" w:type="dxa"/>
            <w:shd w:val="solid" w:color="FFFFFF" w:fill="auto"/>
          </w:tcPr>
          <w:p w14:paraId="64653D0A" w14:textId="77777777" w:rsidR="00A10B25" w:rsidRDefault="00A10B25">
            <w:pPr>
              <w:pStyle w:val="TAR"/>
              <w:rPr>
                <w:sz w:val="16"/>
                <w:szCs w:val="16"/>
              </w:rPr>
            </w:pPr>
            <w:r>
              <w:rPr>
                <w:rFonts w:cs="Arial"/>
                <w:color w:val="000000"/>
                <w:sz w:val="16"/>
                <w:szCs w:val="16"/>
              </w:rPr>
              <w:t>7</w:t>
            </w:r>
          </w:p>
        </w:tc>
        <w:tc>
          <w:tcPr>
            <w:tcW w:w="423" w:type="dxa"/>
            <w:shd w:val="solid" w:color="FFFFFF" w:fill="auto"/>
          </w:tcPr>
          <w:p w14:paraId="1AE38E77"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26DD18F0" w14:textId="77777777" w:rsidR="00A10B25" w:rsidRDefault="00A10B25">
            <w:pPr>
              <w:pStyle w:val="TAL"/>
              <w:rPr>
                <w:sz w:val="16"/>
                <w:szCs w:val="16"/>
              </w:rPr>
            </w:pPr>
            <w:r>
              <w:rPr>
                <w:rFonts w:cs="Arial"/>
                <w:color w:val="000000"/>
                <w:sz w:val="16"/>
                <w:szCs w:val="16"/>
                <w:lang w:val="en-US" w:eastAsia="zh-CN"/>
              </w:rPr>
              <w:t>Corrections on TS 29.520</w:t>
            </w:r>
          </w:p>
        </w:tc>
        <w:tc>
          <w:tcPr>
            <w:tcW w:w="706" w:type="dxa"/>
            <w:shd w:val="solid" w:color="FFFFFF" w:fill="auto"/>
          </w:tcPr>
          <w:p w14:paraId="0B128163" w14:textId="77777777" w:rsidR="00A10B25" w:rsidRDefault="00A10B25">
            <w:pPr>
              <w:pStyle w:val="TAC"/>
              <w:rPr>
                <w:sz w:val="16"/>
                <w:szCs w:val="16"/>
              </w:rPr>
            </w:pPr>
            <w:r>
              <w:rPr>
                <w:rFonts w:cs="Arial"/>
                <w:color w:val="000000"/>
                <w:sz w:val="16"/>
                <w:szCs w:val="16"/>
              </w:rPr>
              <w:t>15.4.0</w:t>
            </w:r>
          </w:p>
        </w:tc>
      </w:tr>
      <w:tr w:rsidR="00A10B25" w14:paraId="0667EFFE" w14:textId="77777777">
        <w:tc>
          <w:tcPr>
            <w:tcW w:w="796" w:type="dxa"/>
            <w:shd w:val="solid" w:color="FFFFFF" w:fill="auto"/>
          </w:tcPr>
          <w:p w14:paraId="25B71D86"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7CF46C0D"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47E22EC6" w14:textId="77777777" w:rsidR="00A10B25" w:rsidRDefault="00A10B25">
            <w:pPr>
              <w:pStyle w:val="TAC"/>
              <w:rPr>
                <w:sz w:val="16"/>
                <w:szCs w:val="16"/>
              </w:rPr>
            </w:pPr>
            <w:r>
              <w:rPr>
                <w:rFonts w:cs="Arial"/>
                <w:color w:val="000000"/>
                <w:sz w:val="16"/>
                <w:szCs w:val="16"/>
              </w:rPr>
              <w:t>CP-191078</w:t>
            </w:r>
          </w:p>
        </w:tc>
        <w:tc>
          <w:tcPr>
            <w:tcW w:w="523" w:type="dxa"/>
            <w:shd w:val="solid" w:color="FFFFFF" w:fill="auto"/>
          </w:tcPr>
          <w:p w14:paraId="4B294C1A" w14:textId="77777777" w:rsidR="00A10B25" w:rsidRDefault="00A10B25">
            <w:pPr>
              <w:pStyle w:val="TAL"/>
              <w:rPr>
                <w:sz w:val="16"/>
                <w:szCs w:val="16"/>
              </w:rPr>
            </w:pPr>
            <w:r>
              <w:rPr>
                <w:rFonts w:cs="Arial"/>
                <w:color w:val="000000"/>
                <w:sz w:val="16"/>
                <w:szCs w:val="16"/>
              </w:rPr>
              <w:t>0035</w:t>
            </w:r>
          </w:p>
        </w:tc>
        <w:tc>
          <w:tcPr>
            <w:tcW w:w="423" w:type="dxa"/>
            <w:shd w:val="solid" w:color="FFFFFF" w:fill="auto"/>
          </w:tcPr>
          <w:p w14:paraId="0A596A0C" w14:textId="77777777" w:rsidR="00A10B25" w:rsidRDefault="00A10B25">
            <w:pPr>
              <w:pStyle w:val="TAR"/>
              <w:rPr>
                <w:sz w:val="16"/>
                <w:szCs w:val="16"/>
              </w:rPr>
            </w:pPr>
            <w:r>
              <w:rPr>
                <w:rFonts w:cs="Arial"/>
                <w:color w:val="000000"/>
                <w:sz w:val="16"/>
                <w:szCs w:val="16"/>
              </w:rPr>
              <w:t>1</w:t>
            </w:r>
          </w:p>
        </w:tc>
        <w:tc>
          <w:tcPr>
            <w:tcW w:w="423" w:type="dxa"/>
            <w:shd w:val="solid" w:color="FFFFFF" w:fill="auto"/>
          </w:tcPr>
          <w:p w14:paraId="234617B7"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53089AA6" w14:textId="77777777" w:rsidR="00A10B25" w:rsidRDefault="00A10B25">
            <w:pPr>
              <w:pStyle w:val="TAL"/>
              <w:rPr>
                <w:sz w:val="16"/>
                <w:szCs w:val="16"/>
              </w:rPr>
            </w:pPr>
            <w:r>
              <w:rPr>
                <w:rFonts w:cs="Arial"/>
                <w:color w:val="000000"/>
                <w:sz w:val="16"/>
                <w:szCs w:val="16"/>
                <w:lang w:val="en-US" w:eastAsia="zh-CN"/>
              </w:rPr>
              <w:t>Precedence of OpenAPI file</w:t>
            </w:r>
          </w:p>
        </w:tc>
        <w:tc>
          <w:tcPr>
            <w:tcW w:w="706" w:type="dxa"/>
            <w:shd w:val="solid" w:color="FFFFFF" w:fill="auto"/>
          </w:tcPr>
          <w:p w14:paraId="0C21C3F9" w14:textId="77777777" w:rsidR="00A10B25" w:rsidRDefault="00A10B25">
            <w:pPr>
              <w:pStyle w:val="TAC"/>
              <w:rPr>
                <w:sz w:val="16"/>
                <w:szCs w:val="16"/>
              </w:rPr>
            </w:pPr>
            <w:r>
              <w:rPr>
                <w:rFonts w:cs="Arial"/>
                <w:color w:val="000000"/>
                <w:sz w:val="16"/>
                <w:szCs w:val="16"/>
              </w:rPr>
              <w:t>15.4.0</w:t>
            </w:r>
          </w:p>
        </w:tc>
      </w:tr>
      <w:tr w:rsidR="00A10B25" w14:paraId="279D74D6" w14:textId="77777777">
        <w:tc>
          <w:tcPr>
            <w:tcW w:w="796" w:type="dxa"/>
            <w:shd w:val="solid" w:color="FFFFFF" w:fill="auto"/>
          </w:tcPr>
          <w:p w14:paraId="5C6E9027"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189D20CE"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5F00433E" w14:textId="77777777" w:rsidR="00A10B25" w:rsidRDefault="00A10B25">
            <w:pPr>
              <w:pStyle w:val="TAC"/>
              <w:rPr>
                <w:sz w:val="16"/>
                <w:szCs w:val="16"/>
              </w:rPr>
            </w:pPr>
            <w:r>
              <w:rPr>
                <w:rFonts w:cs="Arial"/>
                <w:color w:val="000000"/>
                <w:sz w:val="16"/>
                <w:szCs w:val="16"/>
              </w:rPr>
              <w:t>CP-191078</w:t>
            </w:r>
          </w:p>
        </w:tc>
        <w:tc>
          <w:tcPr>
            <w:tcW w:w="523" w:type="dxa"/>
            <w:shd w:val="solid" w:color="FFFFFF" w:fill="auto"/>
          </w:tcPr>
          <w:p w14:paraId="28209B82" w14:textId="77777777" w:rsidR="00A10B25" w:rsidRDefault="00A10B25">
            <w:pPr>
              <w:pStyle w:val="TAL"/>
              <w:rPr>
                <w:sz w:val="16"/>
                <w:szCs w:val="16"/>
              </w:rPr>
            </w:pPr>
            <w:r>
              <w:rPr>
                <w:rFonts w:cs="Arial"/>
                <w:color w:val="000000"/>
                <w:sz w:val="16"/>
                <w:szCs w:val="16"/>
              </w:rPr>
              <w:t>0037</w:t>
            </w:r>
          </w:p>
        </w:tc>
        <w:tc>
          <w:tcPr>
            <w:tcW w:w="423" w:type="dxa"/>
            <w:shd w:val="solid" w:color="FFFFFF" w:fill="auto"/>
          </w:tcPr>
          <w:p w14:paraId="05FA98FB" w14:textId="77777777" w:rsidR="00A10B25" w:rsidRDefault="00A10B25">
            <w:pPr>
              <w:pStyle w:val="TAR"/>
              <w:rPr>
                <w:sz w:val="16"/>
                <w:szCs w:val="16"/>
              </w:rPr>
            </w:pPr>
            <w:r>
              <w:rPr>
                <w:rFonts w:cs="Arial"/>
                <w:color w:val="000000"/>
                <w:sz w:val="16"/>
                <w:szCs w:val="16"/>
              </w:rPr>
              <w:t>1</w:t>
            </w:r>
          </w:p>
        </w:tc>
        <w:tc>
          <w:tcPr>
            <w:tcW w:w="423" w:type="dxa"/>
            <w:shd w:val="solid" w:color="FFFFFF" w:fill="auto"/>
          </w:tcPr>
          <w:p w14:paraId="79CB84FC"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0FB9B368" w14:textId="77777777" w:rsidR="00A10B25" w:rsidRDefault="00A10B25">
            <w:pPr>
              <w:pStyle w:val="TAL"/>
              <w:rPr>
                <w:sz w:val="16"/>
                <w:szCs w:val="16"/>
              </w:rPr>
            </w:pPr>
            <w:r>
              <w:rPr>
                <w:rFonts w:cs="Arial"/>
                <w:color w:val="000000"/>
                <w:sz w:val="16"/>
                <w:szCs w:val="16"/>
                <w:lang w:val="en-US" w:eastAsia="zh-CN"/>
              </w:rPr>
              <w:t xml:space="preserve">Copyright Note in YAML files </w:t>
            </w:r>
          </w:p>
        </w:tc>
        <w:tc>
          <w:tcPr>
            <w:tcW w:w="706" w:type="dxa"/>
            <w:shd w:val="solid" w:color="FFFFFF" w:fill="auto"/>
          </w:tcPr>
          <w:p w14:paraId="622459FF" w14:textId="77777777" w:rsidR="00A10B25" w:rsidRDefault="00A10B25">
            <w:pPr>
              <w:pStyle w:val="TAC"/>
              <w:rPr>
                <w:sz w:val="16"/>
                <w:szCs w:val="16"/>
              </w:rPr>
            </w:pPr>
            <w:r>
              <w:rPr>
                <w:rFonts w:cs="Arial"/>
                <w:color w:val="000000"/>
                <w:sz w:val="16"/>
                <w:szCs w:val="16"/>
              </w:rPr>
              <w:t>15.4.0</w:t>
            </w:r>
          </w:p>
        </w:tc>
      </w:tr>
      <w:tr w:rsidR="00A10B25" w14:paraId="564C1EA6" w14:textId="77777777">
        <w:tc>
          <w:tcPr>
            <w:tcW w:w="796" w:type="dxa"/>
            <w:shd w:val="solid" w:color="FFFFFF" w:fill="auto"/>
          </w:tcPr>
          <w:p w14:paraId="5E98107B"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0ABD1741"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1331C08E" w14:textId="77777777" w:rsidR="00A10B25" w:rsidRDefault="00A10B25">
            <w:pPr>
              <w:pStyle w:val="TAC"/>
              <w:rPr>
                <w:sz w:val="16"/>
                <w:szCs w:val="16"/>
              </w:rPr>
            </w:pPr>
            <w:r>
              <w:rPr>
                <w:rFonts w:cs="Arial"/>
                <w:color w:val="000000"/>
                <w:sz w:val="16"/>
                <w:szCs w:val="16"/>
              </w:rPr>
              <w:t>CP-191090</w:t>
            </w:r>
          </w:p>
        </w:tc>
        <w:tc>
          <w:tcPr>
            <w:tcW w:w="523" w:type="dxa"/>
            <w:shd w:val="solid" w:color="FFFFFF" w:fill="auto"/>
          </w:tcPr>
          <w:p w14:paraId="76B4B3F1" w14:textId="77777777" w:rsidR="00A10B25" w:rsidRDefault="00A10B25">
            <w:pPr>
              <w:pStyle w:val="TAL"/>
              <w:rPr>
                <w:sz w:val="16"/>
                <w:szCs w:val="16"/>
              </w:rPr>
            </w:pPr>
            <w:r>
              <w:rPr>
                <w:rFonts w:cs="Arial"/>
                <w:color w:val="000000"/>
                <w:sz w:val="16"/>
                <w:szCs w:val="16"/>
              </w:rPr>
              <w:t>0025</w:t>
            </w:r>
          </w:p>
        </w:tc>
        <w:tc>
          <w:tcPr>
            <w:tcW w:w="423" w:type="dxa"/>
            <w:shd w:val="solid" w:color="FFFFFF" w:fill="auto"/>
          </w:tcPr>
          <w:p w14:paraId="0D6812C6" w14:textId="77777777" w:rsidR="00A10B25" w:rsidRDefault="00A10B25">
            <w:pPr>
              <w:pStyle w:val="TAR"/>
              <w:rPr>
                <w:sz w:val="16"/>
                <w:szCs w:val="16"/>
              </w:rPr>
            </w:pPr>
            <w:r>
              <w:rPr>
                <w:rFonts w:cs="Arial"/>
                <w:color w:val="000000"/>
                <w:sz w:val="16"/>
                <w:szCs w:val="16"/>
              </w:rPr>
              <w:t>1</w:t>
            </w:r>
          </w:p>
        </w:tc>
        <w:tc>
          <w:tcPr>
            <w:tcW w:w="423" w:type="dxa"/>
            <w:shd w:val="solid" w:color="FFFFFF" w:fill="auto"/>
          </w:tcPr>
          <w:p w14:paraId="6CA4F0E5"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0EBA7F86" w14:textId="77777777" w:rsidR="00A10B25" w:rsidRDefault="00A10B25">
            <w:pPr>
              <w:pStyle w:val="TAL"/>
              <w:rPr>
                <w:sz w:val="16"/>
                <w:szCs w:val="16"/>
              </w:rPr>
            </w:pPr>
            <w:r>
              <w:rPr>
                <w:rFonts w:cs="Arial"/>
                <w:color w:val="000000"/>
                <w:sz w:val="16"/>
                <w:szCs w:val="16"/>
                <w:lang w:val="en-US" w:eastAsia="zh-CN"/>
              </w:rPr>
              <w:t>Reference update and service representation</w:t>
            </w:r>
          </w:p>
        </w:tc>
        <w:tc>
          <w:tcPr>
            <w:tcW w:w="706" w:type="dxa"/>
            <w:shd w:val="solid" w:color="FFFFFF" w:fill="auto"/>
          </w:tcPr>
          <w:p w14:paraId="23BAF4C0" w14:textId="77777777" w:rsidR="00A10B25" w:rsidRDefault="00A10B25">
            <w:pPr>
              <w:pStyle w:val="TAC"/>
              <w:rPr>
                <w:sz w:val="16"/>
                <w:szCs w:val="16"/>
              </w:rPr>
            </w:pPr>
            <w:r>
              <w:rPr>
                <w:rFonts w:cs="Arial"/>
                <w:color w:val="000000"/>
                <w:sz w:val="16"/>
                <w:szCs w:val="16"/>
              </w:rPr>
              <w:t>16.0.0</w:t>
            </w:r>
          </w:p>
        </w:tc>
      </w:tr>
      <w:tr w:rsidR="00A10B25" w14:paraId="42F416E6" w14:textId="77777777">
        <w:tc>
          <w:tcPr>
            <w:tcW w:w="796" w:type="dxa"/>
            <w:shd w:val="solid" w:color="FFFFFF" w:fill="auto"/>
          </w:tcPr>
          <w:p w14:paraId="4140A949"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68AB2D55"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09F71197" w14:textId="77777777" w:rsidR="00A10B25" w:rsidRDefault="00A10B25">
            <w:pPr>
              <w:pStyle w:val="TAC"/>
              <w:rPr>
                <w:sz w:val="16"/>
                <w:szCs w:val="16"/>
              </w:rPr>
            </w:pPr>
            <w:r>
              <w:rPr>
                <w:rFonts w:cs="Arial"/>
                <w:color w:val="000000"/>
                <w:sz w:val="16"/>
                <w:szCs w:val="16"/>
              </w:rPr>
              <w:t>CP-191090</w:t>
            </w:r>
          </w:p>
        </w:tc>
        <w:tc>
          <w:tcPr>
            <w:tcW w:w="523" w:type="dxa"/>
            <w:shd w:val="solid" w:color="FFFFFF" w:fill="auto"/>
          </w:tcPr>
          <w:p w14:paraId="666A7D0F" w14:textId="77777777" w:rsidR="00A10B25" w:rsidRDefault="00A10B25">
            <w:pPr>
              <w:pStyle w:val="TAL"/>
              <w:rPr>
                <w:sz w:val="16"/>
                <w:szCs w:val="16"/>
              </w:rPr>
            </w:pPr>
            <w:r>
              <w:rPr>
                <w:rFonts w:cs="Arial"/>
                <w:color w:val="000000"/>
                <w:sz w:val="16"/>
                <w:szCs w:val="16"/>
              </w:rPr>
              <w:t>0027</w:t>
            </w:r>
          </w:p>
        </w:tc>
        <w:tc>
          <w:tcPr>
            <w:tcW w:w="423" w:type="dxa"/>
            <w:shd w:val="solid" w:color="FFFFFF" w:fill="auto"/>
          </w:tcPr>
          <w:p w14:paraId="1E4C92ED" w14:textId="77777777" w:rsidR="00A10B25" w:rsidRDefault="00A10B25">
            <w:pPr>
              <w:pStyle w:val="TAR"/>
              <w:rPr>
                <w:sz w:val="16"/>
                <w:szCs w:val="16"/>
              </w:rPr>
            </w:pPr>
            <w:r>
              <w:rPr>
                <w:rFonts w:cs="Arial"/>
                <w:color w:val="000000"/>
                <w:sz w:val="16"/>
                <w:szCs w:val="16"/>
              </w:rPr>
              <w:t>3</w:t>
            </w:r>
          </w:p>
        </w:tc>
        <w:tc>
          <w:tcPr>
            <w:tcW w:w="423" w:type="dxa"/>
            <w:shd w:val="solid" w:color="FFFFFF" w:fill="auto"/>
          </w:tcPr>
          <w:p w14:paraId="7AAD45D7"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645D4EB3" w14:textId="77777777" w:rsidR="00A10B25" w:rsidRDefault="00A10B25">
            <w:pPr>
              <w:pStyle w:val="TAL"/>
              <w:rPr>
                <w:sz w:val="16"/>
                <w:szCs w:val="16"/>
              </w:rPr>
            </w:pPr>
            <w:r>
              <w:rPr>
                <w:rFonts w:cs="Arial"/>
                <w:color w:val="000000"/>
                <w:sz w:val="16"/>
                <w:szCs w:val="16"/>
              </w:rPr>
              <w:t>Support of more consumers</w:t>
            </w:r>
          </w:p>
        </w:tc>
        <w:tc>
          <w:tcPr>
            <w:tcW w:w="706" w:type="dxa"/>
            <w:shd w:val="solid" w:color="FFFFFF" w:fill="auto"/>
          </w:tcPr>
          <w:p w14:paraId="6AA12422" w14:textId="77777777" w:rsidR="00A10B25" w:rsidRDefault="00A10B25">
            <w:pPr>
              <w:pStyle w:val="TAC"/>
              <w:rPr>
                <w:sz w:val="16"/>
                <w:szCs w:val="16"/>
              </w:rPr>
            </w:pPr>
            <w:r>
              <w:rPr>
                <w:rFonts w:cs="Arial"/>
                <w:color w:val="000000"/>
                <w:sz w:val="16"/>
                <w:szCs w:val="16"/>
              </w:rPr>
              <w:t>16.0.0</w:t>
            </w:r>
          </w:p>
        </w:tc>
      </w:tr>
      <w:tr w:rsidR="00A10B25" w14:paraId="51477090" w14:textId="77777777">
        <w:tc>
          <w:tcPr>
            <w:tcW w:w="796" w:type="dxa"/>
            <w:shd w:val="solid" w:color="FFFFFF" w:fill="auto"/>
          </w:tcPr>
          <w:p w14:paraId="291F5AA2"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32E4D3F7"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0FA47FC7" w14:textId="77777777" w:rsidR="00A10B25" w:rsidRDefault="00A10B25">
            <w:pPr>
              <w:pStyle w:val="TAC"/>
              <w:rPr>
                <w:sz w:val="16"/>
                <w:szCs w:val="16"/>
              </w:rPr>
            </w:pPr>
            <w:r>
              <w:rPr>
                <w:rFonts w:cs="Arial"/>
                <w:color w:val="000000"/>
                <w:sz w:val="16"/>
                <w:szCs w:val="16"/>
              </w:rPr>
              <w:t>CP-191090</w:t>
            </w:r>
          </w:p>
        </w:tc>
        <w:tc>
          <w:tcPr>
            <w:tcW w:w="523" w:type="dxa"/>
            <w:shd w:val="solid" w:color="FFFFFF" w:fill="auto"/>
          </w:tcPr>
          <w:p w14:paraId="34C6AEFD" w14:textId="77777777" w:rsidR="00A10B25" w:rsidRDefault="00A10B25">
            <w:pPr>
              <w:pStyle w:val="TAL"/>
              <w:rPr>
                <w:sz w:val="16"/>
                <w:szCs w:val="16"/>
              </w:rPr>
            </w:pPr>
            <w:r>
              <w:rPr>
                <w:rFonts w:cs="Arial"/>
                <w:color w:val="000000"/>
                <w:sz w:val="16"/>
                <w:szCs w:val="16"/>
              </w:rPr>
              <w:t>0028</w:t>
            </w:r>
          </w:p>
        </w:tc>
        <w:tc>
          <w:tcPr>
            <w:tcW w:w="423" w:type="dxa"/>
            <w:shd w:val="solid" w:color="FFFFFF" w:fill="auto"/>
          </w:tcPr>
          <w:p w14:paraId="4533F481" w14:textId="77777777" w:rsidR="00A10B25" w:rsidRDefault="00A10B25">
            <w:pPr>
              <w:pStyle w:val="TAR"/>
              <w:rPr>
                <w:sz w:val="16"/>
                <w:szCs w:val="16"/>
              </w:rPr>
            </w:pPr>
            <w:r>
              <w:rPr>
                <w:rFonts w:cs="Arial"/>
                <w:color w:val="000000"/>
                <w:sz w:val="16"/>
                <w:szCs w:val="16"/>
              </w:rPr>
              <w:t>1</w:t>
            </w:r>
          </w:p>
        </w:tc>
        <w:tc>
          <w:tcPr>
            <w:tcW w:w="423" w:type="dxa"/>
            <w:shd w:val="solid" w:color="FFFFFF" w:fill="auto"/>
          </w:tcPr>
          <w:p w14:paraId="7537D579"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7A057046" w14:textId="77777777" w:rsidR="00A10B25" w:rsidRDefault="00A10B25">
            <w:pPr>
              <w:pStyle w:val="TAL"/>
              <w:rPr>
                <w:sz w:val="16"/>
                <w:szCs w:val="16"/>
              </w:rPr>
            </w:pPr>
            <w:r>
              <w:rPr>
                <w:rFonts w:cs="Arial"/>
                <w:color w:val="000000"/>
                <w:sz w:val="16"/>
                <w:szCs w:val="16"/>
              </w:rPr>
              <w:t>Support of more analytic events</w:t>
            </w:r>
          </w:p>
        </w:tc>
        <w:tc>
          <w:tcPr>
            <w:tcW w:w="706" w:type="dxa"/>
            <w:shd w:val="solid" w:color="FFFFFF" w:fill="auto"/>
          </w:tcPr>
          <w:p w14:paraId="3DB12E3B" w14:textId="77777777" w:rsidR="00A10B25" w:rsidRDefault="00A10B25">
            <w:pPr>
              <w:pStyle w:val="TAC"/>
              <w:rPr>
                <w:sz w:val="16"/>
                <w:szCs w:val="16"/>
              </w:rPr>
            </w:pPr>
            <w:r>
              <w:rPr>
                <w:rFonts w:cs="Arial"/>
                <w:color w:val="000000"/>
                <w:sz w:val="16"/>
                <w:szCs w:val="16"/>
              </w:rPr>
              <w:t>16.0.0</w:t>
            </w:r>
          </w:p>
        </w:tc>
      </w:tr>
      <w:tr w:rsidR="00A10B25" w14:paraId="1C465CCF" w14:textId="77777777">
        <w:tc>
          <w:tcPr>
            <w:tcW w:w="796" w:type="dxa"/>
            <w:shd w:val="solid" w:color="FFFFFF" w:fill="auto"/>
          </w:tcPr>
          <w:p w14:paraId="3CB62A11"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33789B47"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34E9C91D" w14:textId="77777777" w:rsidR="00A10B25" w:rsidRDefault="00A10B25">
            <w:pPr>
              <w:pStyle w:val="TAC"/>
              <w:rPr>
                <w:sz w:val="16"/>
                <w:szCs w:val="16"/>
              </w:rPr>
            </w:pPr>
            <w:r>
              <w:rPr>
                <w:rFonts w:cs="Arial"/>
                <w:color w:val="000000"/>
                <w:sz w:val="16"/>
                <w:szCs w:val="16"/>
              </w:rPr>
              <w:t>CP-191225</w:t>
            </w:r>
          </w:p>
        </w:tc>
        <w:tc>
          <w:tcPr>
            <w:tcW w:w="523" w:type="dxa"/>
            <w:shd w:val="solid" w:color="FFFFFF" w:fill="auto"/>
          </w:tcPr>
          <w:p w14:paraId="07D51A9B" w14:textId="77777777" w:rsidR="00A10B25" w:rsidRDefault="00A10B25">
            <w:pPr>
              <w:pStyle w:val="TAL"/>
              <w:rPr>
                <w:sz w:val="16"/>
                <w:szCs w:val="16"/>
              </w:rPr>
            </w:pPr>
            <w:r>
              <w:rPr>
                <w:rFonts w:cs="Arial"/>
                <w:color w:val="000000"/>
                <w:sz w:val="16"/>
                <w:szCs w:val="16"/>
              </w:rPr>
              <w:t>0031</w:t>
            </w:r>
          </w:p>
        </w:tc>
        <w:tc>
          <w:tcPr>
            <w:tcW w:w="423" w:type="dxa"/>
            <w:shd w:val="solid" w:color="FFFFFF" w:fill="auto"/>
          </w:tcPr>
          <w:p w14:paraId="156A6136" w14:textId="77777777" w:rsidR="00A10B25" w:rsidRDefault="00A10B25">
            <w:pPr>
              <w:pStyle w:val="TAR"/>
              <w:rPr>
                <w:sz w:val="16"/>
                <w:szCs w:val="16"/>
              </w:rPr>
            </w:pPr>
            <w:r>
              <w:rPr>
                <w:rFonts w:cs="Arial"/>
                <w:color w:val="000000"/>
                <w:sz w:val="16"/>
                <w:szCs w:val="16"/>
                <w:lang w:eastAsia="zh-CN"/>
              </w:rPr>
              <w:t>9</w:t>
            </w:r>
          </w:p>
        </w:tc>
        <w:tc>
          <w:tcPr>
            <w:tcW w:w="423" w:type="dxa"/>
            <w:shd w:val="solid" w:color="FFFFFF" w:fill="auto"/>
          </w:tcPr>
          <w:p w14:paraId="2D20113C"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4242029D" w14:textId="77777777" w:rsidR="00A10B25" w:rsidRDefault="00A10B25">
            <w:pPr>
              <w:pStyle w:val="TAL"/>
              <w:rPr>
                <w:sz w:val="16"/>
                <w:szCs w:val="16"/>
              </w:rPr>
            </w:pPr>
            <w:r>
              <w:rPr>
                <w:rFonts w:cs="Arial"/>
                <w:color w:val="000000"/>
                <w:sz w:val="16"/>
                <w:szCs w:val="16"/>
              </w:rPr>
              <w:t>Subscribing of service experience for the application</w:t>
            </w:r>
          </w:p>
        </w:tc>
        <w:tc>
          <w:tcPr>
            <w:tcW w:w="706" w:type="dxa"/>
            <w:shd w:val="solid" w:color="FFFFFF" w:fill="auto"/>
          </w:tcPr>
          <w:p w14:paraId="796B1660" w14:textId="77777777" w:rsidR="00A10B25" w:rsidRDefault="00A10B25">
            <w:pPr>
              <w:pStyle w:val="TAC"/>
              <w:rPr>
                <w:sz w:val="16"/>
                <w:szCs w:val="16"/>
              </w:rPr>
            </w:pPr>
            <w:r>
              <w:rPr>
                <w:rFonts w:cs="Arial"/>
                <w:color w:val="000000"/>
                <w:sz w:val="16"/>
                <w:szCs w:val="16"/>
              </w:rPr>
              <w:t>16.0.0</w:t>
            </w:r>
          </w:p>
        </w:tc>
      </w:tr>
      <w:tr w:rsidR="00A10B25" w14:paraId="69C4DFF0" w14:textId="77777777">
        <w:tc>
          <w:tcPr>
            <w:tcW w:w="796" w:type="dxa"/>
            <w:shd w:val="solid" w:color="FFFFFF" w:fill="auto"/>
          </w:tcPr>
          <w:p w14:paraId="52633575"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4306B58D"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736FB936" w14:textId="77777777" w:rsidR="00A10B25" w:rsidRDefault="00A10B25">
            <w:pPr>
              <w:pStyle w:val="TAC"/>
              <w:rPr>
                <w:sz w:val="16"/>
                <w:szCs w:val="16"/>
              </w:rPr>
            </w:pPr>
            <w:r>
              <w:rPr>
                <w:rFonts w:cs="Arial"/>
                <w:color w:val="000000"/>
                <w:sz w:val="16"/>
                <w:szCs w:val="16"/>
              </w:rPr>
              <w:t>CP-191090</w:t>
            </w:r>
          </w:p>
        </w:tc>
        <w:tc>
          <w:tcPr>
            <w:tcW w:w="523" w:type="dxa"/>
            <w:shd w:val="solid" w:color="FFFFFF" w:fill="auto"/>
          </w:tcPr>
          <w:p w14:paraId="20214867" w14:textId="77777777" w:rsidR="00A10B25" w:rsidRDefault="00A10B25">
            <w:pPr>
              <w:pStyle w:val="TAL"/>
              <w:rPr>
                <w:sz w:val="16"/>
                <w:szCs w:val="16"/>
              </w:rPr>
            </w:pPr>
            <w:r>
              <w:rPr>
                <w:rFonts w:cs="Arial"/>
                <w:color w:val="000000"/>
                <w:sz w:val="16"/>
                <w:szCs w:val="16"/>
              </w:rPr>
              <w:t>0033</w:t>
            </w:r>
          </w:p>
        </w:tc>
        <w:tc>
          <w:tcPr>
            <w:tcW w:w="423" w:type="dxa"/>
            <w:shd w:val="solid" w:color="FFFFFF" w:fill="auto"/>
          </w:tcPr>
          <w:p w14:paraId="37E34D98" w14:textId="77777777" w:rsidR="00A10B25" w:rsidRDefault="00A10B25">
            <w:pPr>
              <w:pStyle w:val="TAR"/>
              <w:rPr>
                <w:sz w:val="16"/>
                <w:szCs w:val="16"/>
              </w:rPr>
            </w:pPr>
            <w:r>
              <w:rPr>
                <w:rFonts w:cs="Arial"/>
                <w:color w:val="000000"/>
                <w:sz w:val="16"/>
                <w:szCs w:val="16"/>
              </w:rPr>
              <w:t>2</w:t>
            </w:r>
          </w:p>
        </w:tc>
        <w:tc>
          <w:tcPr>
            <w:tcW w:w="423" w:type="dxa"/>
            <w:shd w:val="solid" w:color="FFFFFF" w:fill="auto"/>
          </w:tcPr>
          <w:p w14:paraId="26248036"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61574FBD" w14:textId="77777777" w:rsidR="00A10B25" w:rsidRDefault="00A10B25">
            <w:pPr>
              <w:pStyle w:val="TAL"/>
              <w:rPr>
                <w:sz w:val="16"/>
                <w:szCs w:val="16"/>
              </w:rPr>
            </w:pPr>
            <w:r>
              <w:rPr>
                <w:rFonts w:cs="Arial"/>
                <w:color w:val="000000"/>
                <w:sz w:val="16"/>
                <w:szCs w:val="16"/>
              </w:rPr>
              <w:t>Delete the subscription of service experience for the application</w:t>
            </w:r>
          </w:p>
        </w:tc>
        <w:tc>
          <w:tcPr>
            <w:tcW w:w="706" w:type="dxa"/>
            <w:shd w:val="solid" w:color="FFFFFF" w:fill="auto"/>
          </w:tcPr>
          <w:p w14:paraId="6D9AE15F" w14:textId="77777777" w:rsidR="00A10B25" w:rsidRDefault="00A10B25">
            <w:pPr>
              <w:pStyle w:val="TAC"/>
              <w:rPr>
                <w:sz w:val="16"/>
                <w:szCs w:val="16"/>
              </w:rPr>
            </w:pPr>
            <w:r>
              <w:rPr>
                <w:rFonts w:cs="Arial"/>
                <w:color w:val="000000"/>
                <w:sz w:val="16"/>
                <w:szCs w:val="16"/>
              </w:rPr>
              <w:t>16.0.0</w:t>
            </w:r>
          </w:p>
        </w:tc>
      </w:tr>
      <w:tr w:rsidR="00A10B25" w14:paraId="66926A92" w14:textId="77777777">
        <w:tc>
          <w:tcPr>
            <w:tcW w:w="796" w:type="dxa"/>
            <w:shd w:val="solid" w:color="FFFFFF" w:fill="auto"/>
          </w:tcPr>
          <w:p w14:paraId="40CFDFB7"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01C64E0B"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2FACB851" w14:textId="77777777" w:rsidR="00A10B25" w:rsidRDefault="00A10B25">
            <w:pPr>
              <w:pStyle w:val="TAC"/>
              <w:rPr>
                <w:sz w:val="16"/>
                <w:szCs w:val="16"/>
              </w:rPr>
            </w:pPr>
            <w:r>
              <w:rPr>
                <w:rFonts w:cs="Arial"/>
                <w:color w:val="000000"/>
                <w:sz w:val="16"/>
                <w:szCs w:val="16"/>
              </w:rPr>
              <w:t>CP-191090</w:t>
            </w:r>
          </w:p>
        </w:tc>
        <w:tc>
          <w:tcPr>
            <w:tcW w:w="523" w:type="dxa"/>
            <w:shd w:val="solid" w:color="FFFFFF" w:fill="auto"/>
          </w:tcPr>
          <w:p w14:paraId="1027B760" w14:textId="77777777" w:rsidR="00A10B25" w:rsidRDefault="00A10B25">
            <w:pPr>
              <w:pStyle w:val="TAL"/>
              <w:rPr>
                <w:sz w:val="16"/>
                <w:szCs w:val="16"/>
              </w:rPr>
            </w:pPr>
            <w:r>
              <w:rPr>
                <w:rFonts w:cs="Arial"/>
                <w:color w:val="000000"/>
                <w:sz w:val="16"/>
                <w:szCs w:val="16"/>
              </w:rPr>
              <w:t>0034</w:t>
            </w:r>
          </w:p>
        </w:tc>
        <w:tc>
          <w:tcPr>
            <w:tcW w:w="423" w:type="dxa"/>
            <w:shd w:val="solid" w:color="FFFFFF" w:fill="auto"/>
          </w:tcPr>
          <w:p w14:paraId="5EB28DFA" w14:textId="77777777" w:rsidR="00A10B25" w:rsidRDefault="00A10B25">
            <w:pPr>
              <w:pStyle w:val="TAR"/>
              <w:rPr>
                <w:sz w:val="16"/>
                <w:szCs w:val="16"/>
              </w:rPr>
            </w:pPr>
            <w:r>
              <w:rPr>
                <w:rFonts w:cs="Arial"/>
                <w:color w:val="000000"/>
                <w:sz w:val="16"/>
                <w:szCs w:val="16"/>
              </w:rPr>
              <w:t>5</w:t>
            </w:r>
          </w:p>
        </w:tc>
        <w:tc>
          <w:tcPr>
            <w:tcW w:w="423" w:type="dxa"/>
            <w:shd w:val="solid" w:color="FFFFFF" w:fill="auto"/>
          </w:tcPr>
          <w:p w14:paraId="02FDA131"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571D8175" w14:textId="77777777" w:rsidR="00A10B25" w:rsidRDefault="00A10B25">
            <w:pPr>
              <w:pStyle w:val="TAL"/>
              <w:rPr>
                <w:sz w:val="16"/>
                <w:szCs w:val="16"/>
              </w:rPr>
            </w:pPr>
            <w:r>
              <w:rPr>
                <w:rFonts w:cs="Arial"/>
                <w:color w:val="000000"/>
                <w:sz w:val="16"/>
                <w:szCs w:val="16"/>
              </w:rPr>
              <w:t>Notification of service experience for the application</w:t>
            </w:r>
          </w:p>
        </w:tc>
        <w:tc>
          <w:tcPr>
            <w:tcW w:w="706" w:type="dxa"/>
            <w:shd w:val="solid" w:color="FFFFFF" w:fill="auto"/>
          </w:tcPr>
          <w:p w14:paraId="21FC493D" w14:textId="77777777" w:rsidR="00A10B25" w:rsidRDefault="00A10B25">
            <w:pPr>
              <w:pStyle w:val="TAC"/>
              <w:rPr>
                <w:sz w:val="16"/>
                <w:szCs w:val="16"/>
              </w:rPr>
            </w:pPr>
            <w:r>
              <w:rPr>
                <w:rFonts w:cs="Arial"/>
                <w:color w:val="000000"/>
                <w:sz w:val="16"/>
                <w:szCs w:val="16"/>
              </w:rPr>
              <w:t>16.0.0</w:t>
            </w:r>
          </w:p>
        </w:tc>
      </w:tr>
      <w:tr w:rsidR="00A10B25" w14:paraId="7889E8B0" w14:textId="77777777">
        <w:tc>
          <w:tcPr>
            <w:tcW w:w="796" w:type="dxa"/>
            <w:shd w:val="solid" w:color="FFFFFF" w:fill="auto"/>
          </w:tcPr>
          <w:p w14:paraId="1A0F52D6" w14:textId="77777777" w:rsidR="00A10B25" w:rsidRDefault="00A10B25">
            <w:pPr>
              <w:pStyle w:val="TAC"/>
              <w:rPr>
                <w:sz w:val="16"/>
                <w:szCs w:val="16"/>
              </w:rPr>
            </w:pPr>
            <w:r>
              <w:rPr>
                <w:rFonts w:cs="Arial"/>
                <w:color w:val="000000"/>
                <w:sz w:val="16"/>
                <w:szCs w:val="16"/>
              </w:rPr>
              <w:t>2019-06</w:t>
            </w:r>
          </w:p>
        </w:tc>
        <w:tc>
          <w:tcPr>
            <w:tcW w:w="828" w:type="dxa"/>
            <w:shd w:val="solid" w:color="FFFFFF" w:fill="auto"/>
          </w:tcPr>
          <w:p w14:paraId="58E98F84" w14:textId="77777777" w:rsidR="00A10B25" w:rsidRDefault="00A10B25">
            <w:pPr>
              <w:pStyle w:val="TAC"/>
              <w:rPr>
                <w:sz w:val="16"/>
                <w:szCs w:val="16"/>
              </w:rPr>
            </w:pPr>
            <w:r>
              <w:rPr>
                <w:rFonts w:cs="Arial"/>
                <w:color w:val="000000"/>
                <w:sz w:val="16"/>
                <w:szCs w:val="16"/>
              </w:rPr>
              <w:t>CT#84</w:t>
            </w:r>
          </w:p>
        </w:tc>
        <w:tc>
          <w:tcPr>
            <w:tcW w:w="1083" w:type="dxa"/>
            <w:shd w:val="solid" w:color="FFFFFF" w:fill="auto"/>
          </w:tcPr>
          <w:p w14:paraId="1333A880" w14:textId="77777777" w:rsidR="00A10B25" w:rsidRDefault="00A10B25">
            <w:pPr>
              <w:pStyle w:val="TAC"/>
              <w:rPr>
                <w:sz w:val="16"/>
                <w:szCs w:val="16"/>
              </w:rPr>
            </w:pPr>
            <w:r>
              <w:rPr>
                <w:rFonts w:cs="Arial"/>
                <w:color w:val="000000"/>
                <w:sz w:val="16"/>
                <w:szCs w:val="16"/>
              </w:rPr>
              <w:t>CP-191090</w:t>
            </w:r>
          </w:p>
        </w:tc>
        <w:tc>
          <w:tcPr>
            <w:tcW w:w="523" w:type="dxa"/>
            <w:shd w:val="solid" w:color="FFFFFF" w:fill="auto"/>
          </w:tcPr>
          <w:p w14:paraId="3FD3FF68" w14:textId="77777777" w:rsidR="00A10B25" w:rsidRDefault="00A10B25">
            <w:pPr>
              <w:pStyle w:val="TAL"/>
              <w:rPr>
                <w:sz w:val="16"/>
                <w:szCs w:val="16"/>
              </w:rPr>
            </w:pPr>
            <w:r>
              <w:rPr>
                <w:rFonts w:cs="Arial"/>
                <w:color w:val="000000"/>
                <w:sz w:val="16"/>
                <w:szCs w:val="16"/>
              </w:rPr>
              <w:t>0039</w:t>
            </w:r>
          </w:p>
        </w:tc>
        <w:tc>
          <w:tcPr>
            <w:tcW w:w="423" w:type="dxa"/>
            <w:shd w:val="solid" w:color="FFFFFF" w:fill="auto"/>
          </w:tcPr>
          <w:p w14:paraId="42FA0881" w14:textId="77777777" w:rsidR="00A10B25" w:rsidRDefault="00A10B25">
            <w:pPr>
              <w:pStyle w:val="TAR"/>
              <w:rPr>
                <w:sz w:val="16"/>
                <w:szCs w:val="16"/>
              </w:rPr>
            </w:pPr>
            <w:r>
              <w:rPr>
                <w:rFonts w:cs="Arial"/>
                <w:color w:val="000000"/>
                <w:sz w:val="16"/>
                <w:szCs w:val="16"/>
              </w:rPr>
              <w:t>2</w:t>
            </w:r>
          </w:p>
        </w:tc>
        <w:tc>
          <w:tcPr>
            <w:tcW w:w="423" w:type="dxa"/>
            <w:shd w:val="solid" w:color="FFFFFF" w:fill="auto"/>
          </w:tcPr>
          <w:p w14:paraId="0D2520E5"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646BB779" w14:textId="77777777" w:rsidR="00A10B25" w:rsidRDefault="00A10B25">
            <w:pPr>
              <w:pStyle w:val="TAL"/>
              <w:rPr>
                <w:sz w:val="16"/>
                <w:szCs w:val="16"/>
              </w:rPr>
            </w:pPr>
            <w:r>
              <w:rPr>
                <w:rFonts w:cs="Arial"/>
                <w:color w:val="000000"/>
                <w:sz w:val="16"/>
                <w:szCs w:val="16"/>
                <w:lang w:val="en-US" w:eastAsia="zh-CN"/>
              </w:rPr>
              <w:t xml:space="preserve">Copyright Note in YAML files </w:t>
            </w:r>
          </w:p>
        </w:tc>
        <w:tc>
          <w:tcPr>
            <w:tcW w:w="706" w:type="dxa"/>
            <w:shd w:val="solid" w:color="FFFFFF" w:fill="auto"/>
          </w:tcPr>
          <w:p w14:paraId="136A8556" w14:textId="77777777" w:rsidR="00A10B25" w:rsidRDefault="00A10B25">
            <w:pPr>
              <w:pStyle w:val="TAC"/>
              <w:rPr>
                <w:sz w:val="16"/>
                <w:szCs w:val="16"/>
              </w:rPr>
            </w:pPr>
            <w:r>
              <w:rPr>
                <w:rFonts w:cs="Arial"/>
                <w:color w:val="000000"/>
                <w:sz w:val="16"/>
                <w:szCs w:val="16"/>
              </w:rPr>
              <w:t>16.0.0</w:t>
            </w:r>
          </w:p>
        </w:tc>
      </w:tr>
      <w:tr w:rsidR="00A10B25" w14:paraId="3F2AC8A0" w14:textId="77777777">
        <w:tc>
          <w:tcPr>
            <w:tcW w:w="796" w:type="dxa"/>
            <w:shd w:val="solid" w:color="FFFFFF" w:fill="auto"/>
          </w:tcPr>
          <w:p w14:paraId="5DB0ADD5"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5E09B4FF"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357174B4" w14:textId="77777777" w:rsidR="00A10B25" w:rsidRDefault="00A10B25">
            <w:pPr>
              <w:pStyle w:val="TAC"/>
              <w:rPr>
                <w:sz w:val="16"/>
                <w:szCs w:val="16"/>
              </w:rPr>
            </w:pPr>
            <w:r>
              <w:rPr>
                <w:rFonts w:cs="Arial"/>
                <w:color w:val="000000"/>
                <w:sz w:val="16"/>
                <w:szCs w:val="16"/>
              </w:rPr>
              <w:t>CP-192146</w:t>
            </w:r>
          </w:p>
        </w:tc>
        <w:tc>
          <w:tcPr>
            <w:tcW w:w="523" w:type="dxa"/>
            <w:shd w:val="solid" w:color="FFFFFF" w:fill="auto"/>
          </w:tcPr>
          <w:p w14:paraId="5C96DD9A" w14:textId="77777777" w:rsidR="00A10B25" w:rsidRDefault="00A10B25">
            <w:pPr>
              <w:pStyle w:val="TAL"/>
              <w:rPr>
                <w:sz w:val="16"/>
                <w:szCs w:val="16"/>
              </w:rPr>
            </w:pPr>
            <w:r>
              <w:rPr>
                <w:rFonts w:cs="Arial"/>
                <w:color w:val="000000"/>
                <w:sz w:val="16"/>
                <w:szCs w:val="16"/>
              </w:rPr>
              <w:t>0041</w:t>
            </w:r>
          </w:p>
        </w:tc>
        <w:tc>
          <w:tcPr>
            <w:tcW w:w="423" w:type="dxa"/>
            <w:shd w:val="solid" w:color="FFFFFF" w:fill="auto"/>
          </w:tcPr>
          <w:p w14:paraId="22C05056" w14:textId="77777777" w:rsidR="00A10B25" w:rsidRDefault="00A10B25">
            <w:pPr>
              <w:pStyle w:val="TAR"/>
              <w:rPr>
                <w:sz w:val="16"/>
                <w:szCs w:val="16"/>
              </w:rPr>
            </w:pPr>
            <w:r>
              <w:rPr>
                <w:rFonts w:cs="Arial"/>
                <w:color w:val="000000"/>
                <w:sz w:val="16"/>
                <w:szCs w:val="16"/>
              </w:rPr>
              <w:t>2</w:t>
            </w:r>
          </w:p>
        </w:tc>
        <w:tc>
          <w:tcPr>
            <w:tcW w:w="423" w:type="dxa"/>
            <w:shd w:val="solid" w:color="FFFFFF" w:fill="auto"/>
          </w:tcPr>
          <w:p w14:paraId="46D6C297"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37F40268" w14:textId="77777777" w:rsidR="00A10B25" w:rsidRDefault="00A10B25">
            <w:pPr>
              <w:pStyle w:val="TAL"/>
              <w:rPr>
                <w:sz w:val="16"/>
                <w:szCs w:val="16"/>
              </w:rPr>
            </w:pPr>
            <w:r>
              <w:rPr>
                <w:rFonts w:cs="Arial"/>
                <w:color w:val="000000"/>
                <w:sz w:val="16"/>
                <w:szCs w:val="16"/>
                <w:lang w:val="en-US" w:eastAsia="zh-CN"/>
              </w:rPr>
              <w:t>Correct cardinality in NnwdafEventsSubscription</w:t>
            </w:r>
          </w:p>
        </w:tc>
        <w:tc>
          <w:tcPr>
            <w:tcW w:w="706" w:type="dxa"/>
            <w:shd w:val="solid" w:color="FFFFFF" w:fill="auto"/>
          </w:tcPr>
          <w:p w14:paraId="270D2AAC" w14:textId="77777777" w:rsidR="00A10B25" w:rsidRDefault="00A10B25">
            <w:pPr>
              <w:pStyle w:val="TAC"/>
              <w:rPr>
                <w:sz w:val="16"/>
                <w:szCs w:val="16"/>
              </w:rPr>
            </w:pPr>
            <w:r>
              <w:rPr>
                <w:rFonts w:cs="Arial"/>
                <w:color w:val="000000"/>
                <w:sz w:val="16"/>
                <w:szCs w:val="16"/>
              </w:rPr>
              <w:t>16.1.0</w:t>
            </w:r>
          </w:p>
        </w:tc>
      </w:tr>
      <w:tr w:rsidR="00A10B25" w14:paraId="63C50802" w14:textId="77777777">
        <w:tc>
          <w:tcPr>
            <w:tcW w:w="796" w:type="dxa"/>
            <w:shd w:val="solid" w:color="FFFFFF" w:fill="auto"/>
          </w:tcPr>
          <w:p w14:paraId="675F682E"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522CA68B"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15FE09AD" w14:textId="77777777" w:rsidR="00A10B25" w:rsidRDefault="00A10B25">
            <w:pPr>
              <w:pStyle w:val="TAC"/>
              <w:rPr>
                <w:sz w:val="16"/>
                <w:szCs w:val="16"/>
              </w:rPr>
            </w:pPr>
            <w:r>
              <w:rPr>
                <w:sz w:val="16"/>
                <w:szCs w:val="16"/>
              </w:rPr>
              <w:t>CP-192157</w:t>
            </w:r>
          </w:p>
        </w:tc>
        <w:tc>
          <w:tcPr>
            <w:tcW w:w="523" w:type="dxa"/>
            <w:shd w:val="solid" w:color="FFFFFF" w:fill="auto"/>
          </w:tcPr>
          <w:p w14:paraId="4DC5E9E5" w14:textId="77777777" w:rsidR="00A10B25" w:rsidRDefault="00A10B25">
            <w:pPr>
              <w:pStyle w:val="TAL"/>
              <w:rPr>
                <w:sz w:val="16"/>
                <w:szCs w:val="16"/>
              </w:rPr>
            </w:pPr>
            <w:r>
              <w:rPr>
                <w:rFonts w:cs="Arial"/>
                <w:color w:val="000000"/>
                <w:sz w:val="16"/>
                <w:szCs w:val="16"/>
              </w:rPr>
              <w:t>0042</w:t>
            </w:r>
          </w:p>
        </w:tc>
        <w:tc>
          <w:tcPr>
            <w:tcW w:w="423" w:type="dxa"/>
            <w:shd w:val="solid" w:color="FFFFFF" w:fill="auto"/>
          </w:tcPr>
          <w:p w14:paraId="3CAACAF0" w14:textId="77777777" w:rsidR="00A10B25" w:rsidRDefault="00A10B25">
            <w:pPr>
              <w:pStyle w:val="TAR"/>
              <w:rPr>
                <w:sz w:val="16"/>
                <w:szCs w:val="16"/>
              </w:rPr>
            </w:pPr>
            <w:r>
              <w:rPr>
                <w:rFonts w:cs="Arial"/>
                <w:color w:val="000000"/>
                <w:sz w:val="16"/>
                <w:szCs w:val="16"/>
                <w:lang w:eastAsia="zh-CN"/>
              </w:rPr>
              <w:t>4</w:t>
            </w:r>
          </w:p>
        </w:tc>
        <w:tc>
          <w:tcPr>
            <w:tcW w:w="423" w:type="dxa"/>
            <w:shd w:val="solid" w:color="FFFFFF" w:fill="auto"/>
          </w:tcPr>
          <w:p w14:paraId="7F381D5E"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26CBAA98" w14:textId="77777777" w:rsidR="00A10B25" w:rsidRDefault="00A10B25">
            <w:pPr>
              <w:pStyle w:val="TAL"/>
              <w:rPr>
                <w:sz w:val="16"/>
                <w:szCs w:val="16"/>
              </w:rPr>
            </w:pPr>
            <w:r>
              <w:rPr>
                <w:rFonts w:cs="Arial"/>
                <w:color w:val="000000"/>
                <w:sz w:val="16"/>
                <w:szCs w:val="16"/>
                <w:lang w:val="en-US" w:eastAsia="zh-CN"/>
              </w:rPr>
              <w:t>UE mobility and communication analytics</w:t>
            </w:r>
          </w:p>
        </w:tc>
        <w:tc>
          <w:tcPr>
            <w:tcW w:w="706" w:type="dxa"/>
            <w:shd w:val="solid" w:color="FFFFFF" w:fill="auto"/>
          </w:tcPr>
          <w:p w14:paraId="6E5C3E0A" w14:textId="77777777" w:rsidR="00A10B25" w:rsidRDefault="00A10B25">
            <w:pPr>
              <w:pStyle w:val="TAC"/>
              <w:rPr>
                <w:sz w:val="16"/>
                <w:szCs w:val="16"/>
              </w:rPr>
            </w:pPr>
            <w:r>
              <w:rPr>
                <w:rFonts w:cs="Arial"/>
                <w:color w:val="000000"/>
                <w:sz w:val="16"/>
                <w:szCs w:val="16"/>
              </w:rPr>
              <w:t>16.1.0</w:t>
            </w:r>
          </w:p>
        </w:tc>
      </w:tr>
      <w:tr w:rsidR="00A10B25" w14:paraId="13EE4A1E" w14:textId="77777777">
        <w:tc>
          <w:tcPr>
            <w:tcW w:w="796" w:type="dxa"/>
            <w:shd w:val="solid" w:color="FFFFFF" w:fill="auto"/>
          </w:tcPr>
          <w:p w14:paraId="18D110AB"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27791EBA"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6C9C9EA8" w14:textId="77777777" w:rsidR="00A10B25" w:rsidRDefault="00A10B25">
            <w:pPr>
              <w:pStyle w:val="TAC"/>
              <w:rPr>
                <w:sz w:val="16"/>
                <w:szCs w:val="16"/>
              </w:rPr>
            </w:pPr>
            <w:r>
              <w:rPr>
                <w:sz w:val="16"/>
                <w:szCs w:val="16"/>
              </w:rPr>
              <w:t>CP-192157</w:t>
            </w:r>
          </w:p>
        </w:tc>
        <w:tc>
          <w:tcPr>
            <w:tcW w:w="523" w:type="dxa"/>
            <w:shd w:val="solid" w:color="FFFFFF" w:fill="auto"/>
          </w:tcPr>
          <w:p w14:paraId="4F7F921C" w14:textId="77777777" w:rsidR="00A10B25" w:rsidRDefault="00A10B25">
            <w:pPr>
              <w:pStyle w:val="TAL"/>
              <w:rPr>
                <w:sz w:val="16"/>
                <w:szCs w:val="16"/>
              </w:rPr>
            </w:pPr>
            <w:r>
              <w:rPr>
                <w:rFonts w:cs="Arial"/>
                <w:color w:val="000000"/>
                <w:sz w:val="16"/>
                <w:szCs w:val="16"/>
              </w:rPr>
              <w:t>0043</w:t>
            </w:r>
          </w:p>
        </w:tc>
        <w:tc>
          <w:tcPr>
            <w:tcW w:w="423" w:type="dxa"/>
            <w:shd w:val="solid" w:color="FFFFFF" w:fill="auto"/>
          </w:tcPr>
          <w:p w14:paraId="6C151868"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00563EA1"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07AD48E2" w14:textId="77777777" w:rsidR="00A10B25" w:rsidRDefault="00A10B25">
            <w:pPr>
              <w:pStyle w:val="TAL"/>
              <w:rPr>
                <w:sz w:val="16"/>
                <w:szCs w:val="16"/>
              </w:rPr>
            </w:pPr>
            <w:r>
              <w:rPr>
                <w:sz w:val="16"/>
                <w:szCs w:val="16"/>
              </w:rPr>
              <w:t>Support of network performance analytics in Nnwdaf_AnalyticsInfo_Request</w:t>
            </w:r>
          </w:p>
        </w:tc>
        <w:tc>
          <w:tcPr>
            <w:tcW w:w="706" w:type="dxa"/>
            <w:shd w:val="solid" w:color="FFFFFF" w:fill="auto"/>
          </w:tcPr>
          <w:p w14:paraId="1DD1C7E4" w14:textId="77777777" w:rsidR="00A10B25" w:rsidRDefault="00A10B25">
            <w:pPr>
              <w:pStyle w:val="TAC"/>
              <w:rPr>
                <w:sz w:val="16"/>
                <w:szCs w:val="16"/>
              </w:rPr>
            </w:pPr>
            <w:r>
              <w:rPr>
                <w:rFonts w:cs="Arial"/>
                <w:color w:val="000000"/>
                <w:sz w:val="16"/>
                <w:szCs w:val="16"/>
              </w:rPr>
              <w:t>16.1.0</w:t>
            </w:r>
          </w:p>
        </w:tc>
      </w:tr>
      <w:tr w:rsidR="00A10B25" w14:paraId="2A24D4F9" w14:textId="77777777">
        <w:tc>
          <w:tcPr>
            <w:tcW w:w="796" w:type="dxa"/>
            <w:shd w:val="solid" w:color="FFFFFF" w:fill="auto"/>
          </w:tcPr>
          <w:p w14:paraId="379E1264"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46344BF9"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5F53761B" w14:textId="77777777" w:rsidR="00A10B25" w:rsidRDefault="00A10B25">
            <w:pPr>
              <w:pStyle w:val="TAC"/>
              <w:rPr>
                <w:sz w:val="16"/>
                <w:szCs w:val="16"/>
              </w:rPr>
            </w:pPr>
            <w:r>
              <w:rPr>
                <w:sz w:val="16"/>
                <w:szCs w:val="16"/>
              </w:rPr>
              <w:t>CP-192157</w:t>
            </w:r>
          </w:p>
        </w:tc>
        <w:tc>
          <w:tcPr>
            <w:tcW w:w="523" w:type="dxa"/>
            <w:shd w:val="solid" w:color="FFFFFF" w:fill="auto"/>
          </w:tcPr>
          <w:p w14:paraId="1FE6E42B" w14:textId="77777777" w:rsidR="00A10B25" w:rsidRDefault="00A10B25">
            <w:pPr>
              <w:pStyle w:val="TAL"/>
              <w:rPr>
                <w:sz w:val="16"/>
                <w:szCs w:val="16"/>
              </w:rPr>
            </w:pPr>
            <w:r>
              <w:rPr>
                <w:rFonts w:cs="Arial"/>
                <w:color w:val="000000"/>
                <w:sz w:val="16"/>
                <w:szCs w:val="16"/>
              </w:rPr>
              <w:t>0047</w:t>
            </w:r>
          </w:p>
        </w:tc>
        <w:tc>
          <w:tcPr>
            <w:tcW w:w="423" w:type="dxa"/>
            <w:shd w:val="solid" w:color="FFFFFF" w:fill="auto"/>
          </w:tcPr>
          <w:p w14:paraId="77CC10D9"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6AAF3CC1"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5FBAB5EB" w14:textId="77777777" w:rsidR="00A10B25" w:rsidRDefault="00A10B25">
            <w:pPr>
              <w:pStyle w:val="TAL"/>
              <w:rPr>
                <w:sz w:val="16"/>
                <w:szCs w:val="16"/>
              </w:rPr>
            </w:pPr>
            <w:r>
              <w:rPr>
                <w:sz w:val="16"/>
                <w:szCs w:val="16"/>
              </w:rPr>
              <w:t>OAM as service consumer</w:t>
            </w:r>
          </w:p>
        </w:tc>
        <w:tc>
          <w:tcPr>
            <w:tcW w:w="706" w:type="dxa"/>
            <w:shd w:val="solid" w:color="FFFFFF" w:fill="auto"/>
          </w:tcPr>
          <w:p w14:paraId="18E1D13D" w14:textId="77777777" w:rsidR="00A10B25" w:rsidRDefault="00A10B25">
            <w:pPr>
              <w:pStyle w:val="TAC"/>
              <w:rPr>
                <w:sz w:val="16"/>
                <w:szCs w:val="16"/>
              </w:rPr>
            </w:pPr>
            <w:r>
              <w:rPr>
                <w:rFonts w:cs="Arial"/>
                <w:color w:val="000000"/>
                <w:sz w:val="16"/>
                <w:szCs w:val="16"/>
              </w:rPr>
              <w:t>16.1.0</w:t>
            </w:r>
          </w:p>
        </w:tc>
      </w:tr>
      <w:tr w:rsidR="00A10B25" w14:paraId="58403FFB" w14:textId="77777777">
        <w:tc>
          <w:tcPr>
            <w:tcW w:w="796" w:type="dxa"/>
            <w:shd w:val="solid" w:color="FFFFFF" w:fill="auto"/>
          </w:tcPr>
          <w:p w14:paraId="620B16B1"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5E727404"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67D9B6FC" w14:textId="77777777" w:rsidR="00A10B25" w:rsidRDefault="00A10B25">
            <w:pPr>
              <w:pStyle w:val="TAC"/>
              <w:rPr>
                <w:sz w:val="16"/>
                <w:szCs w:val="16"/>
              </w:rPr>
            </w:pPr>
            <w:r>
              <w:rPr>
                <w:sz w:val="16"/>
                <w:szCs w:val="16"/>
              </w:rPr>
              <w:t>CP-192157</w:t>
            </w:r>
          </w:p>
        </w:tc>
        <w:tc>
          <w:tcPr>
            <w:tcW w:w="523" w:type="dxa"/>
            <w:shd w:val="solid" w:color="FFFFFF" w:fill="auto"/>
          </w:tcPr>
          <w:p w14:paraId="264DD337" w14:textId="77777777" w:rsidR="00A10B25" w:rsidRDefault="00A10B25">
            <w:pPr>
              <w:pStyle w:val="TAL"/>
              <w:rPr>
                <w:sz w:val="16"/>
                <w:szCs w:val="16"/>
              </w:rPr>
            </w:pPr>
            <w:r>
              <w:rPr>
                <w:rFonts w:cs="Arial"/>
                <w:color w:val="000000"/>
                <w:sz w:val="16"/>
                <w:szCs w:val="16"/>
                <w:lang w:eastAsia="zh-CN"/>
              </w:rPr>
              <w:t>0048</w:t>
            </w:r>
          </w:p>
        </w:tc>
        <w:tc>
          <w:tcPr>
            <w:tcW w:w="423" w:type="dxa"/>
            <w:shd w:val="solid" w:color="FFFFFF" w:fill="auto"/>
          </w:tcPr>
          <w:p w14:paraId="12ACAD84"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05894DD7"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7F7BDD03" w14:textId="77777777" w:rsidR="00A10B25" w:rsidRDefault="00A10B25">
            <w:pPr>
              <w:pStyle w:val="TAL"/>
              <w:rPr>
                <w:sz w:val="16"/>
                <w:szCs w:val="16"/>
              </w:rPr>
            </w:pPr>
            <w:r>
              <w:rPr>
                <w:sz w:val="16"/>
                <w:szCs w:val="16"/>
              </w:rPr>
              <w:t xml:space="preserve">Update Nnwdaf_EventSubscription service for service experience </w:t>
            </w:r>
          </w:p>
        </w:tc>
        <w:tc>
          <w:tcPr>
            <w:tcW w:w="706" w:type="dxa"/>
            <w:shd w:val="solid" w:color="FFFFFF" w:fill="auto"/>
          </w:tcPr>
          <w:p w14:paraId="4DDAA6DD" w14:textId="77777777" w:rsidR="00A10B25" w:rsidRDefault="00A10B25">
            <w:pPr>
              <w:pStyle w:val="TAC"/>
              <w:rPr>
                <w:sz w:val="16"/>
                <w:szCs w:val="16"/>
              </w:rPr>
            </w:pPr>
            <w:r>
              <w:rPr>
                <w:rFonts w:cs="Arial"/>
                <w:color w:val="000000"/>
                <w:sz w:val="16"/>
                <w:szCs w:val="16"/>
              </w:rPr>
              <w:t>16.1.0</w:t>
            </w:r>
          </w:p>
        </w:tc>
      </w:tr>
      <w:tr w:rsidR="00A10B25" w14:paraId="2E1C1352" w14:textId="77777777">
        <w:tc>
          <w:tcPr>
            <w:tcW w:w="796" w:type="dxa"/>
            <w:shd w:val="solid" w:color="FFFFFF" w:fill="auto"/>
          </w:tcPr>
          <w:p w14:paraId="33E355E7"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336350F7"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0425E99A" w14:textId="77777777" w:rsidR="00A10B25" w:rsidRDefault="00A10B25">
            <w:pPr>
              <w:pStyle w:val="TAC"/>
              <w:rPr>
                <w:sz w:val="16"/>
                <w:szCs w:val="16"/>
              </w:rPr>
            </w:pPr>
            <w:r>
              <w:rPr>
                <w:rFonts w:cs="Arial"/>
                <w:color w:val="000000"/>
                <w:sz w:val="16"/>
                <w:szCs w:val="16"/>
              </w:rPr>
              <w:t>CP-192261</w:t>
            </w:r>
          </w:p>
        </w:tc>
        <w:tc>
          <w:tcPr>
            <w:tcW w:w="523" w:type="dxa"/>
            <w:shd w:val="solid" w:color="FFFFFF" w:fill="auto"/>
          </w:tcPr>
          <w:p w14:paraId="3D7F7291" w14:textId="77777777" w:rsidR="00A10B25" w:rsidRDefault="00A10B25">
            <w:pPr>
              <w:pStyle w:val="TAL"/>
              <w:rPr>
                <w:sz w:val="16"/>
                <w:szCs w:val="16"/>
              </w:rPr>
            </w:pPr>
            <w:r>
              <w:rPr>
                <w:rFonts w:cs="Arial"/>
                <w:color w:val="000000"/>
                <w:sz w:val="16"/>
                <w:szCs w:val="16"/>
                <w:lang w:eastAsia="zh-CN"/>
              </w:rPr>
              <w:t>0049</w:t>
            </w:r>
          </w:p>
        </w:tc>
        <w:tc>
          <w:tcPr>
            <w:tcW w:w="423" w:type="dxa"/>
            <w:shd w:val="solid" w:color="FFFFFF" w:fill="auto"/>
          </w:tcPr>
          <w:p w14:paraId="5D5AF24D"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050E54B6"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11D46A57" w14:textId="77777777" w:rsidR="00A10B25" w:rsidRDefault="00A10B25">
            <w:pPr>
              <w:pStyle w:val="TAL"/>
              <w:rPr>
                <w:sz w:val="16"/>
                <w:szCs w:val="16"/>
              </w:rPr>
            </w:pPr>
            <w:r>
              <w:rPr>
                <w:sz w:val="16"/>
                <w:szCs w:val="16"/>
              </w:rPr>
              <w:t>Enhance the Nnwdaf_AnalyticsInfo service to support service experience</w:t>
            </w:r>
          </w:p>
        </w:tc>
        <w:tc>
          <w:tcPr>
            <w:tcW w:w="706" w:type="dxa"/>
            <w:shd w:val="solid" w:color="FFFFFF" w:fill="auto"/>
          </w:tcPr>
          <w:p w14:paraId="1D004321" w14:textId="77777777" w:rsidR="00A10B25" w:rsidRDefault="00A10B25">
            <w:pPr>
              <w:pStyle w:val="TAC"/>
              <w:rPr>
                <w:sz w:val="16"/>
                <w:szCs w:val="16"/>
              </w:rPr>
            </w:pPr>
            <w:r>
              <w:rPr>
                <w:rFonts w:cs="Arial"/>
                <w:color w:val="000000"/>
                <w:sz w:val="16"/>
                <w:szCs w:val="16"/>
              </w:rPr>
              <w:t>16.1.0</w:t>
            </w:r>
          </w:p>
        </w:tc>
      </w:tr>
      <w:tr w:rsidR="00A10B25" w14:paraId="39EADFC8" w14:textId="77777777">
        <w:tc>
          <w:tcPr>
            <w:tcW w:w="796" w:type="dxa"/>
            <w:shd w:val="solid" w:color="FFFFFF" w:fill="auto"/>
          </w:tcPr>
          <w:p w14:paraId="061DEB76"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44DEC9F6"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31F6AFC5" w14:textId="77777777" w:rsidR="00A10B25" w:rsidRDefault="00A10B25">
            <w:pPr>
              <w:pStyle w:val="TAC"/>
              <w:rPr>
                <w:sz w:val="16"/>
                <w:szCs w:val="16"/>
              </w:rPr>
            </w:pPr>
            <w:r>
              <w:rPr>
                <w:rFonts w:cs="Arial"/>
                <w:color w:val="000000"/>
                <w:sz w:val="16"/>
                <w:szCs w:val="16"/>
              </w:rPr>
              <w:t>CP-192177</w:t>
            </w:r>
          </w:p>
        </w:tc>
        <w:tc>
          <w:tcPr>
            <w:tcW w:w="523" w:type="dxa"/>
            <w:shd w:val="solid" w:color="FFFFFF" w:fill="auto"/>
          </w:tcPr>
          <w:p w14:paraId="5FC1E464" w14:textId="77777777" w:rsidR="00A10B25" w:rsidRDefault="00A10B25">
            <w:pPr>
              <w:pStyle w:val="TAL"/>
              <w:rPr>
                <w:sz w:val="16"/>
                <w:szCs w:val="16"/>
              </w:rPr>
            </w:pPr>
            <w:r>
              <w:rPr>
                <w:rFonts w:cs="Arial"/>
                <w:color w:val="000000"/>
                <w:sz w:val="16"/>
                <w:szCs w:val="16"/>
                <w:lang w:eastAsia="zh-CN"/>
              </w:rPr>
              <w:t>0050</w:t>
            </w:r>
          </w:p>
        </w:tc>
        <w:tc>
          <w:tcPr>
            <w:tcW w:w="423" w:type="dxa"/>
            <w:shd w:val="solid" w:color="FFFFFF" w:fill="auto"/>
          </w:tcPr>
          <w:p w14:paraId="2C63C9A3"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0B3B4EFB"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7D51A1B6" w14:textId="77777777" w:rsidR="00A10B25" w:rsidRDefault="00A10B25">
            <w:pPr>
              <w:pStyle w:val="TAL"/>
              <w:rPr>
                <w:sz w:val="16"/>
                <w:szCs w:val="16"/>
              </w:rPr>
            </w:pPr>
            <w:r>
              <w:rPr>
                <w:sz w:val="16"/>
                <w:szCs w:val="16"/>
              </w:rPr>
              <w:t>Enhance the Nnwdaf_EventsSubscription service to support QoS sustainability</w:t>
            </w:r>
          </w:p>
        </w:tc>
        <w:tc>
          <w:tcPr>
            <w:tcW w:w="706" w:type="dxa"/>
            <w:shd w:val="solid" w:color="FFFFFF" w:fill="auto"/>
          </w:tcPr>
          <w:p w14:paraId="3FB5BB9A" w14:textId="77777777" w:rsidR="00A10B25" w:rsidRDefault="00A10B25">
            <w:pPr>
              <w:pStyle w:val="TAC"/>
              <w:rPr>
                <w:sz w:val="16"/>
                <w:szCs w:val="16"/>
              </w:rPr>
            </w:pPr>
            <w:r>
              <w:rPr>
                <w:rFonts w:cs="Arial"/>
                <w:color w:val="000000"/>
                <w:sz w:val="16"/>
                <w:szCs w:val="16"/>
              </w:rPr>
              <w:t>16.1.0</w:t>
            </w:r>
          </w:p>
        </w:tc>
      </w:tr>
      <w:tr w:rsidR="00A10B25" w14:paraId="2A40B594" w14:textId="77777777">
        <w:tc>
          <w:tcPr>
            <w:tcW w:w="796" w:type="dxa"/>
            <w:shd w:val="solid" w:color="FFFFFF" w:fill="auto"/>
          </w:tcPr>
          <w:p w14:paraId="0297D786"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1633D752"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5DD81BA3" w14:textId="77777777" w:rsidR="00A10B25" w:rsidRDefault="00A10B25">
            <w:pPr>
              <w:pStyle w:val="TAC"/>
              <w:rPr>
                <w:sz w:val="16"/>
                <w:szCs w:val="16"/>
              </w:rPr>
            </w:pPr>
            <w:r>
              <w:rPr>
                <w:rFonts w:cs="Arial"/>
                <w:color w:val="000000"/>
                <w:sz w:val="16"/>
                <w:szCs w:val="16"/>
              </w:rPr>
              <w:t>CP-192177</w:t>
            </w:r>
          </w:p>
        </w:tc>
        <w:tc>
          <w:tcPr>
            <w:tcW w:w="523" w:type="dxa"/>
            <w:shd w:val="solid" w:color="FFFFFF" w:fill="auto"/>
          </w:tcPr>
          <w:p w14:paraId="46A92B8F" w14:textId="77777777" w:rsidR="00A10B25" w:rsidRDefault="00A10B25">
            <w:pPr>
              <w:pStyle w:val="TAL"/>
              <w:rPr>
                <w:sz w:val="16"/>
                <w:szCs w:val="16"/>
              </w:rPr>
            </w:pPr>
            <w:r>
              <w:rPr>
                <w:rFonts w:cs="Arial"/>
                <w:color w:val="000000"/>
                <w:sz w:val="16"/>
                <w:szCs w:val="16"/>
                <w:lang w:eastAsia="zh-CN"/>
              </w:rPr>
              <w:t>0051</w:t>
            </w:r>
          </w:p>
        </w:tc>
        <w:tc>
          <w:tcPr>
            <w:tcW w:w="423" w:type="dxa"/>
            <w:shd w:val="solid" w:color="FFFFFF" w:fill="auto"/>
          </w:tcPr>
          <w:p w14:paraId="62F8E3A4"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0141EA7E" w14:textId="77777777" w:rsidR="00A10B25" w:rsidRDefault="00A10B25">
            <w:pPr>
              <w:pStyle w:val="TAC"/>
              <w:rPr>
                <w:sz w:val="16"/>
                <w:szCs w:val="16"/>
              </w:rPr>
            </w:pPr>
            <w:r>
              <w:rPr>
                <w:rFonts w:cs="Arial"/>
                <w:color w:val="000000"/>
                <w:sz w:val="16"/>
                <w:szCs w:val="16"/>
              </w:rPr>
              <w:t>B</w:t>
            </w:r>
          </w:p>
        </w:tc>
        <w:tc>
          <w:tcPr>
            <w:tcW w:w="4899" w:type="dxa"/>
            <w:shd w:val="solid" w:color="FFFFFF" w:fill="auto"/>
          </w:tcPr>
          <w:p w14:paraId="58CD8411" w14:textId="77777777" w:rsidR="00A10B25" w:rsidRDefault="00A10B25">
            <w:pPr>
              <w:pStyle w:val="TAL"/>
              <w:rPr>
                <w:sz w:val="16"/>
                <w:szCs w:val="16"/>
              </w:rPr>
            </w:pPr>
            <w:r>
              <w:rPr>
                <w:sz w:val="16"/>
                <w:szCs w:val="16"/>
              </w:rPr>
              <w:t>Enhance the Nnwdaf_AnalyticsInfo service to support QoS sustainability</w:t>
            </w:r>
          </w:p>
        </w:tc>
        <w:tc>
          <w:tcPr>
            <w:tcW w:w="706" w:type="dxa"/>
            <w:shd w:val="solid" w:color="FFFFFF" w:fill="auto"/>
          </w:tcPr>
          <w:p w14:paraId="5F506507" w14:textId="77777777" w:rsidR="00A10B25" w:rsidRDefault="00A10B25">
            <w:pPr>
              <w:pStyle w:val="TAC"/>
              <w:rPr>
                <w:sz w:val="16"/>
                <w:szCs w:val="16"/>
              </w:rPr>
            </w:pPr>
            <w:r>
              <w:rPr>
                <w:rFonts w:cs="Arial"/>
                <w:color w:val="000000"/>
                <w:sz w:val="16"/>
                <w:szCs w:val="16"/>
              </w:rPr>
              <w:t>16.1.0</w:t>
            </w:r>
          </w:p>
        </w:tc>
      </w:tr>
      <w:tr w:rsidR="00A10B25" w14:paraId="7943531D" w14:textId="77777777">
        <w:tc>
          <w:tcPr>
            <w:tcW w:w="796" w:type="dxa"/>
            <w:shd w:val="solid" w:color="FFFFFF" w:fill="auto"/>
          </w:tcPr>
          <w:p w14:paraId="0F82C829" w14:textId="77777777" w:rsidR="00A10B25" w:rsidRDefault="00A10B25">
            <w:pPr>
              <w:pStyle w:val="TAC"/>
              <w:rPr>
                <w:sz w:val="16"/>
                <w:szCs w:val="16"/>
              </w:rPr>
            </w:pPr>
            <w:r>
              <w:rPr>
                <w:rFonts w:cs="Arial"/>
                <w:color w:val="000000"/>
                <w:sz w:val="16"/>
                <w:szCs w:val="16"/>
              </w:rPr>
              <w:t>2019-09</w:t>
            </w:r>
          </w:p>
        </w:tc>
        <w:tc>
          <w:tcPr>
            <w:tcW w:w="828" w:type="dxa"/>
            <w:shd w:val="solid" w:color="FFFFFF" w:fill="auto"/>
          </w:tcPr>
          <w:p w14:paraId="274574C2" w14:textId="77777777" w:rsidR="00A10B25" w:rsidRDefault="00A10B25">
            <w:pPr>
              <w:pStyle w:val="TAC"/>
              <w:rPr>
                <w:sz w:val="16"/>
                <w:szCs w:val="16"/>
              </w:rPr>
            </w:pPr>
            <w:r>
              <w:rPr>
                <w:rFonts w:cs="Arial"/>
                <w:color w:val="000000"/>
                <w:sz w:val="16"/>
                <w:szCs w:val="16"/>
              </w:rPr>
              <w:t>CT#85</w:t>
            </w:r>
          </w:p>
        </w:tc>
        <w:tc>
          <w:tcPr>
            <w:tcW w:w="1083" w:type="dxa"/>
            <w:shd w:val="solid" w:color="FFFFFF" w:fill="auto"/>
          </w:tcPr>
          <w:p w14:paraId="2E9D023B" w14:textId="77777777" w:rsidR="00A10B25" w:rsidRDefault="00A10B25">
            <w:pPr>
              <w:pStyle w:val="TAC"/>
              <w:rPr>
                <w:sz w:val="16"/>
                <w:szCs w:val="16"/>
              </w:rPr>
            </w:pPr>
            <w:r>
              <w:rPr>
                <w:rFonts w:cs="Arial"/>
                <w:color w:val="000000"/>
                <w:sz w:val="16"/>
                <w:szCs w:val="16"/>
              </w:rPr>
              <w:t>CP-192173</w:t>
            </w:r>
          </w:p>
        </w:tc>
        <w:tc>
          <w:tcPr>
            <w:tcW w:w="523" w:type="dxa"/>
            <w:shd w:val="solid" w:color="FFFFFF" w:fill="auto"/>
          </w:tcPr>
          <w:p w14:paraId="586B5D69" w14:textId="77777777" w:rsidR="00A10B25" w:rsidRDefault="00A10B25">
            <w:pPr>
              <w:pStyle w:val="TAL"/>
              <w:rPr>
                <w:sz w:val="16"/>
                <w:szCs w:val="16"/>
              </w:rPr>
            </w:pPr>
            <w:r>
              <w:rPr>
                <w:rFonts w:cs="Arial"/>
                <w:color w:val="000000"/>
                <w:sz w:val="16"/>
                <w:szCs w:val="16"/>
                <w:lang w:eastAsia="zh-CN"/>
              </w:rPr>
              <w:t>0054</w:t>
            </w:r>
          </w:p>
        </w:tc>
        <w:tc>
          <w:tcPr>
            <w:tcW w:w="423" w:type="dxa"/>
            <w:shd w:val="solid" w:color="FFFFFF" w:fill="auto"/>
          </w:tcPr>
          <w:p w14:paraId="29EB6607"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46B5EF10" w14:textId="77777777" w:rsidR="00A10B25" w:rsidRDefault="00A10B25">
            <w:pPr>
              <w:pStyle w:val="TAC"/>
              <w:rPr>
                <w:sz w:val="16"/>
                <w:szCs w:val="16"/>
              </w:rPr>
            </w:pPr>
            <w:r>
              <w:rPr>
                <w:rFonts w:cs="Arial"/>
                <w:color w:val="000000"/>
                <w:sz w:val="16"/>
                <w:szCs w:val="16"/>
              </w:rPr>
              <w:t>F</w:t>
            </w:r>
          </w:p>
        </w:tc>
        <w:tc>
          <w:tcPr>
            <w:tcW w:w="4899" w:type="dxa"/>
            <w:shd w:val="solid" w:color="FFFFFF" w:fill="auto"/>
          </w:tcPr>
          <w:p w14:paraId="4CA10E75" w14:textId="77777777" w:rsidR="00A10B25" w:rsidRDefault="00A10B25">
            <w:pPr>
              <w:pStyle w:val="TAL"/>
              <w:rPr>
                <w:sz w:val="16"/>
                <w:szCs w:val="16"/>
              </w:rPr>
            </w:pPr>
            <w:r>
              <w:rPr>
                <w:sz w:val="16"/>
                <w:szCs w:val="16"/>
              </w:rPr>
              <w:t>OpenAPI version update TS 29.520 Rel-16</w:t>
            </w:r>
          </w:p>
        </w:tc>
        <w:tc>
          <w:tcPr>
            <w:tcW w:w="706" w:type="dxa"/>
            <w:shd w:val="solid" w:color="FFFFFF" w:fill="auto"/>
          </w:tcPr>
          <w:p w14:paraId="59B46995" w14:textId="77777777" w:rsidR="00A10B25" w:rsidRDefault="00A10B25">
            <w:pPr>
              <w:pStyle w:val="TAC"/>
              <w:rPr>
                <w:sz w:val="16"/>
                <w:szCs w:val="16"/>
              </w:rPr>
            </w:pPr>
            <w:r>
              <w:rPr>
                <w:rFonts w:cs="Arial"/>
                <w:color w:val="000000"/>
                <w:sz w:val="16"/>
                <w:szCs w:val="16"/>
              </w:rPr>
              <w:t>16.1.0</w:t>
            </w:r>
          </w:p>
        </w:tc>
      </w:tr>
      <w:tr w:rsidR="00A10B25" w14:paraId="15E71A9D" w14:textId="77777777">
        <w:tc>
          <w:tcPr>
            <w:tcW w:w="796" w:type="dxa"/>
            <w:shd w:val="solid" w:color="FFFFFF" w:fill="auto"/>
          </w:tcPr>
          <w:p w14:paraId="26D88582"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5B869D5F" w14:textId="77777777" w:rsidR="00A10B25" w:rsidRDefault="00A10B25">
            <w:pPr>
              <w:pStyle w:val="TAC"/>
              <w:rPr>
                <w:sz w:val="16"/>
                <w:szCs w:val="16"/>
              </w:rPr>
            </w:pPr>
            <w:r>
              <w:rPr>
                <w:sz w:val="16"/>
                <w:szCs w:val="16"/>
              </w:rPr>
              <w:t>CT#86</w:t>
            </w:r>
          </w:p>
        </w:tc>
        <w:tc>
          <w:tcPr>
            <w:tcW w:w="1083" w:type="dxa"/>
            <w:shd w:val="solid" w:color="FFFFFF" w:fill="auto"/>
          </w:tcPr>
          <w:p w14:paraId="56503AD9" w14:textId="77777777" w:rsidR="00A10B25" w:rsidRDefault="00A10B25">
            <w:pPr>
              <w:pStyle w:val="TAC"/>
              <w:rPr>
                <w:sz w:val="16"/>
                <w:szCs w:val="16"/>
              </w:rPr>
            </w:pPr>
            <w:r>
              <w:rPr>
                <w:sz w:val="16"/>
                <w:szCs w:val="16"/>
              </w:rPr>
              <w:t>CP-193198</w:t>
            </w:r>
          </w:p>
        </w:tc>
        <w:tc>
          <w:tcPr>
            <w:tcW w:w="523" w:type="dxa"/>
            <w:shd w:val="solid" w:color="FFFFFF" w:fill="auto"/>
          </w:tcPr>
          <w:p w14:paraId="5EEE81E7" w14:textId="77777777" w:rsidR="00A10B25" w:rsidRDefault="00A10B25">
            <w:pPr>
              <w:pStyle w:val="TAL"/>
              <w:rPr>
                <w:sz w:val="16"/>
                <w:szCs w:val="16"/>
              </w:rPr>
            </w:pPr>
            <w:r>
              <w:rPr>
                <w:rFonts w:cs="Arial"/>
                <w:color w:val="000000"/>
                <w:sz w:val="16"/>
                <w:szCs w:val="16"/>
                <w:lang w:eastAsia="zh-CN"/>
              </w:rPr>
              <w:t>0055</w:t>
            </w:r>
          </w:p>
        </w:tc>
        <w:tc>
          <w:tcPr>
            <w:tcW w:w="423" w:type="dxa"/>
            <w:shd w:val="solid" w:color="FFFFFF" w:fill="auto"/>
          </w:tcPr>
          <w:p w14:paraId="7EFA6A68" w14:textId="77777777" w:rsidR="00A10B25" w:rsidRDefault="00A10B25">
            <w:pPr>
              <w:pStyle w:val="TAR"/>
              <w:rPr>
                <w:sz w:val="16"/>
                <w:szCs w:val="16"/>
              </w:rPr>
            </w:pPr>
            <w:r>
              <w:rPr>
                <w:rFonts w:cs="Arial"/>
                <w:color w:val="000000"/>
                <w:sz w:val="16"/>
                <w:szCs w:val="16"/>
                <w:lang w:eastAsia="zh-CN"/>
              </w:rPr>
              <w:t>3</w:t>
            </w:r>
          </w:p>
        </w:tc>
        <w:tc>
          <w:tcPr>
            <w:tcW w:w="423" w:type="dxa"/>
            <w:shd w:val="solid" w:color="FFFFFF" w:fill="auto"/>
          </w:tcPr>
          <w:p w14:paraId="67D122C5"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5D2FDDAB" w14:textId="77777777" w:rsidR="00A10B25" w:rsidRDefault="00A10B25">
            <w:pPr>
              <w:pStyle w:val="TAL"/>
              <w:rPr>
                <w:sz w:val="16"/>
                <w:szCs w:val="16"/>
              </w:rPr>
            </w:pPr>
            <w:r>
              <w:rPr>
                <w:sz w:val="16"/>
                <w:szCs w:val="16"/>
              </w:rPr>
              <w:t>Abnormal behaviour analytics</w:t>
            </w:r>
          </w:p>
        </w:tc>
        <w:tc>
          <w:tcPr>
            <w:tcW w:w="706" w:type="dxa"/>
            <w:shd w:val="solid" w:color="FFFFFF" w:fill="auto"/>
          </w:tcPr>
          <w:p w14:paraId="1057DDDD" w14:textId="77777777" w:rsidR="00A10B25" w:rsidRDefault="00A10B25">
            <w:pPr>
              <w:pStyle w:val="TAC"/>
              <w:rPr>
                <w:sz w:val="16"/>
                <w:szCs w:val="16"/>
              </w:rPr>
            </w:pPr>
            <w:r>
              <w:rPr>
                <w:rFonts w:cs="Arial"/>
                <w:color w:val="000000"/>
                <w:sz w:val="16"/>
                <w:szCs w:val="16"/>
              </w:rPr>
              <w:t>16.2.0</w:t>
            </w:r>
          </w:p>
        </w:tc>
      </w:tr>
      <w:tr w:rsidR="00A10B25" w14:paraId="6BF72666" w14:textId="77777777">
        <w:tc>
          <w:tcPr>
            <w:tcW w:w="796" w:type="dxa"/>
            <w:shd w:val="solid" w:color="FFFFFF" w:fill="auto"/>
          </w:tcPr>
          <w:p w14:paraId="5DF4BCC5"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10FAB333" w14:textId="77777777" w:rsidR="00A10B25" w:rsidRDefault="00A10B25">
            <w:pPr>
              <w:pStyle w:val="TAC"/>
              <w:rPr>
                <w:sz w:val="16"/>
                <w:szCs w:val="16"/>
              </w:rPr>
            </w:pPr>
            <w:r>
              <w:rPr>
                <w:sz w:val="16"/>
                <w:szCs w:val="16"/>
              </w:rPr>
              <w:t>CT#86</w:t>
            </w:r>
          </w:p>
        </w:tc>
        <w:tc>
          <w:tcPr>
            <w:tcW w:w="1083" w:type="dxa"/>
            <w:shd w:val="solid" w:color="FFFFFF" w:fill="auto"/>
          </w:tcPr>
          <w:p w14:paraId="7CB97900" w14:textId="77777777" w:rsidR="00A10B25" w:rsidRDefault="00A10B25">
            <w:pPr>
              <w:pStyle w:val="TAC"/>
              <w:rPr>
                <w:sz w:val="16"/>
                <w:szCs w:val="16"/>
              </w:rPr>
            </w:pPr>
            <w:r>
              <w:rPr>
                <w:sz w:val="16"/>
                <w:szCs w:val="16"/>
              </w:rPr>
              <w:t>CP-193198</w:t>
            </w:r>
          </w:p>
        </w:tc>
        <w:tc>
          <w:tcPr>
            <w:tcW w:w="523" w:type="dxa"/>
            <w:shd w:val="solid" w:color="FFFFFF" w:fill="auto"/>
          </w:tcPr>
          <w:p w14:paraId="7263EE28" w14:textId="77777777" w:rsidR="00A10B25" w:rsidRDefault="00A10B25">
            <w:pPr>
              <w:pStyle w:val="TAL"/>
              <w:rPr>
                <w:sz w:val="16"/>
                <w:szCs w:val="16"/>
              </w:rPr>
            </w:pPr>
            <w:r>
              <w:rPr>
                <w:rFonts w:cs="Arial"/>
                <w:color w:val="000000"/>
                <w:sz w:val="16"/>
                <w:szCs w:val="16"/>
                <w:lang w:eastAsia="zh-CN"/>
              </w:rPr>
              <w:t>0056</w:t>
            </w:r>
          </w:p>
        </w:tc>
        <w:tc>
          <w:tcPr>
            <w:tcW w:w="423" w:type="dxa"/>
            <w:shd w:val="solid" w:color="FFFFFF" w:fill="auto"/>
          </w:tcPr>
          <w:p w14:paraId="7EB469CA" w14:textId="77777777" w:rsidR="00A10B25" w:rsidRDefault="00A10B25">
            <w:pPr>
              <w:pStyle w:val="TAR"/>
              <w:rPr>
                <w:sz w:val="16"/>
                <w:szCs w:val="16"/>
              </w:rPr>
            </w:pPr>
            <w:r>
              <w:rPr>
                <w:rFonts w:cs="Arial"/>
                <w:color w:val="000000"/>
                <w:sz w:val="16"/>
                <w:szCs w:val="16"/>
                <w:lang w:eastAsia="zh-CN"/>
              </w:rPr>
              <w:t>4</w:t>
            </w:r>
          </w:p>
        </w:tc>
        <w:tc>
          <w:tcPr>
            <w:tcW w:w="423" w:type="dxa"/>
            <w:shd w:val="solid" w:color="FFFFFF" w:fill="auto"/>
          </w:tcPr>
          <w:p w14:paraId="6A4B74EC"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6BD17C64" w14:textId="77777777" w:rsidR="00A10B25" w:rsidRDefault="00A10B25">
            <w:pPr>
              <w:pStyle w:val="TAL"/>
              <w:rPr>
                <w:sz w:val="16"/>
                <w:szCs w:val="16"/>
              </w:rPr>
            </w:pPr>
            <w:r>
              <w:rPr>
                <w:sz w:val="16"/>
                <w:szCs w:val="16"/>
              </w:rPr>
              <w:t>Enhance the Nnwdaf_EventsSubscription service to support User Data Congestion</w:t>
            </w:r>
          </w:p>
        </w:tc>
        <w:tc>
          <w:tcPr>
            <w:tcW w:w="706" w:type="dxa"/>
            <w:shd w:val="solid" w:color="FFFFFF" w:fill="auto"/>
          </w:tcPr>
          <w:p w14:paraId="5E9DEF6E" w14:textId="77777777" w:rsidR="00A10B25" w:rsidRDefault="00A10B25">
            <w:pPr>
              <w:pStyle w:val="TAC"/>
              <w:rPr>
                <w:sz w:val="16"/>
                <w:szCs w:val="16"/>
              </w:rPr>
            </w:pPr>
            <w:r>
              <w:rPr>
                <w:rFonts w:cs="Arial"/>
                <w:color w:val="000000"/>
                <w:sz w:val="16"/>
                <w:szCs w:val="16"/>
              </w:rPr>
              <w:t>16.2.0</w:t>
            </w:r>
          </w:p>
        </w:tc>
      </w:tr>
      <w:tr w:rsidR="00A10B25" w14:paraId="403BC368" w14:textId="77777777">
        <w:tc>
          <w:tcPr>
            <w:tcW w:w="796" w:type="dxa"/>
            <w:shd w:val="solid" w:color="FFFFFF" w:fill="auto"/>
          </w:tcPr>
          <w:p w14:paraId="03891649"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3D28B27B" w14:textId="77777777" w:rsidR="00A10B25" w:rsidRDefault="00A10B25">
            <w:pPr>
              <w:pStyle w:val="TAC"/>
              <w:rPr>
                <w:sz w:val="16"/>
                <w:szCs w:val="16"/>
              </w:rPr>
            </w:pPr>
            <w:r>
              <w:rPr>
                <w:sz w:val="16"/>
                <w:szCs w:val="16"/>
              </w:rPr>
              <w:t>CT#86</w:t>
            </w:r>
          </w:p>
        </w:tc>
        <w:tc>
          <w:tcPr>
            <w:tcW w:w="1083" w:type="dxa"/>
            <w:shd w:val="solid" w:color="FFFFFF" w:fill="auto"/>
          </w:tcPr>
          <w:p w14:paraId="5D53E8DB" w14:textId="77777777" w:rsidR="00A10B25" w:rsidRDefault="00A10B25">
            <w:pPr>
              <w:pStyle w:val="TAC"/>
              <w:rPr>
                <w:sz w:val="16"/>
                <w:szCs w:val="16"/>
              </w:rPr>
            </w:pPr>
            <w:r>
              <w:rPr>
                <w:sz w:val="16"/>
                <w:szCs w:val="16"/>
              </w:rPr>
              <w:t>CP-193198</w:t>
            </w:r>
          </w:p>
        </w:tc>
        <w:tc>
          <w:tcPr>
            <w:tcW w:w="523" w:type="dxa"/>
            <w:shd w:val="solid" w:color="FFFFFF" w:fill="auto"/>
          </w:tcPr>
          <w:p w14:paraId="77190108" w14:textId="77777777" w:rsidR="00A10B25" w:rsidRDefault="00A10B25">
            <w:pPr>
              <w:pStyle w:val="TAL"/>
              <w:rPr>
                <w:sz w:val="16"/>
                <w:szCs w:val="16"/>
              </w:rPr>
            </w:pPr>
            <w:r>
              <w:rPr>
                <w:rFonts w:cs="Arial"/>
                <w:color w:val="000000"/>
                <w:sz w:val="16"/>
                <w:szCs w:val="16"/>
                <w:lang w:eastAsia="zh-CN"/>
              </w:rPr>
              <w:t>0057</w:t>
            </w:r>
          </w:p>
        </w:tc>
        <w:tc>
          <w:tcPr>
            <w:tcW w:w="423" w:type="dxa"/>
            <w:shd w:val="solid" w:color="FFFFFF" w:fill="auto"/>
          </w:tcPr>
          <w:p w14:paraId="15498A31"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41473E10"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6524B17E" w14:textId="77777777" w:rsidR="00A10B25" w:rsidRDefault="00A10B25">
            <w:pPr>
              <w:pStyle w:val="TAL"/>
              <w:rPr>
                <w:sz w:val="16"/>
                <w:szCs w:val="16"/>
              </w:rPr>
            </w:pPr>
            <w:r>
              <w:rPr>
                <w:sz w:val="16"/>
                <w:szCs w:val="16"/>
              </w:rPr>
              <w:t>Enhance the Nnwdaf_AnalyticsInfo service to support user data congestion</w:t>
            </w:r>
          </w:p>
        </w:tc>
        <w:tc>
          <w:tcPr>
            <w:tcW w:w="706" w:type="dxa"/>
            <w:shd w:val="solid" w:color="FFFFFF" w:fill="auto"/>
          </w:tcPr>
          <w:p w14:paraId="4BBA2C21" w14:textId="77777777" w:rsidR="00A10B25" w:rsidRDefault="00A10B25">
            <w:pPr>
              <w:pStyle w:val="TAC"/>
              <w:rPr>
                <w:sz w:val="16"/>
                <w:szCs w:val="16"/>
              </w:rPr>
            </w:pPr>
            <w:r>
              <w:rPr>
                <w:rFonts w:cs="Arial"/>
                <w:color w:val="000000"/>
                <w:sz w:val="16"/>
                <w:szCs w:val="16"/>
              </w:rPr>
              <w:t>16.2.0</w:t>
            </w:r>
          </w:p>
        </w:tc>
      </w:tr>
      <w:tr w:rsidR="00A10B25" w14:paraId="6F68A724" w14:textId="77777777">
        <w:tc>
          <w:tcPr>
            <w:tcW w:w="796" w:type="dxa"/>
            <w:shd w:val="solid" w:color="FFFFFF" w:fill="auto"/>
          </w:tcPr>
          <w:p w14:paraId="4FC44951"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383D8EC7" w14:textId="77777777" w:rsidR="00A10B25" w:rsidRDefault="00A10B25">
            <w:pPr>
              <w:pStyle w:val="TAC"/>
              <w:rPr>
                <w:sz w:val="16"/>
                <w:szCs w:val="16"/>
              </w:rPr>
            </w:pPr>
            <w:r>
              <w:rPr>
                <w:sz w:val="16"/>
                <w:szCs w:val="16"/>
              </w:rPr>
              <w:t>CT#86</w:t>
            </w:r>
          </w:p>
        </w:tc>
        <w:tc>
          <w:tcPr>
            <w:tcW w:w="1083" w:type="dxa"/>
            <w:shd w:val="solid" w:color="FFFFFF" w:fill="auto"/>
          </w:tcPr>
          <w:p w14:paraId="2C9B46C7" w14:textId="77777777" w:rsidR="00A10B25" w:rsidRDefault="00A10B25">
            <w:pPr>
              <w:pStyle w:val="TAC"/>
              <w:rPr>
                <w:sz w:val="16"/>
                <w:szCs w:val="16"/>
              </w:rPr>
            </w:pPr>
            <w:r>
              <w:rPr>
                <w:sz w:val="16"/>
                <w:szCs w:val="16"/>
              </w:rPr>
              <w:t>CP-193198</w:t>
            </w:r>
          </w:p>
        </w:tc>
        <w:tc>
          <w:tcPr>
            <w:tcW w:w="523" w:type="dxa"/>
            <w:shd w:val="solid" w:color="FFFFFF" w:fill="auto"/>
          </w:tcPr>
          <w:p w14:paraId="5BF71C01" w14:textId="77777777" w:rsidR="00A10B25" w:rsidRDefault="00A10B25">
            <w:pPr>
              <w:pStyle w:val="TAL"/>
              <w:rPr>
                <w:sz w:val="16"/>
                <w:szCs w:val="16"/>
              </w:rPr>
            </w:pPr>
            <w:r>
              <w:rPr>
                <w:rFonts w:cs="Arial"/>
                <w:color w:val="000000"/>
                <w:sz w:val="16"/>
                <w:szCs w:val="16"/>
                <w:lang w:eastAsia="zh-CN"/>
              </w:rPr>
              <w:t>0058</w:t>
            </w:r>
          </w:p>
        </w:tc>
        <w:tc>
          <w:tcPr>
            <w:tcW w:w="423" w:type="dxa"/>
            <w:shd w:val="solid" w:color="FFFFFF" w:fill="auto"/>
          </w:tcPr>
          <w:p w14:paraId="31FA38CB"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676182D5"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22E52356" w14:textId="77777777" w:rsidR="00A10B25" w:rsidRDefault="00A10B25">
            <w:pPr>
              <w:pStyle w:val="TAL"/>
              <w:rPr>
                <w:sz w:val="16"/>
                <w:szCs w:val="16"/>
              </w:rPr>
            </w:pPr>
            <w:r>
              <w:rPr>
                <w:sz w:val="16"/>
                <w:szCs w:val="16"/>
              </w:rPr>
              <w:t>Definination of QoS sustainability information</w:t>
            </w:r>
          </w:p>
        </w:tc>
        <w:tc>
          <w:tcPr>
            <w:tcW w:w="706" w:type="dxa"/>
            <w:shd w:val="solid" w:color="FFFFFF" w:fill="auto"/>
          </w:tcPr>
          <w:p w14:paraId="4B895AAE" w14:textId="77777777" w:rsidR="00A10B25" w:rsidRDefault="00A10B25">
            <w:pPr>
              <w:pStyle w:val="TAC"/>
              <w:rPr>
                <w:sz w:val="16"/>
                <w:szCs w:val="16"/>
              </w:rPr>
            </w:pPr>
            <w:r>
              <w:rPr>
                <w:rFonts w:cs="Arial"/>
                <w:color w:val="000000"/>
                <w:sz w:val="16"/>
                <w:szCs w:val="16"/>
              </w:rPr>
              <w:t>16.2.0</w:t>
            </w:r>
          </w:p>
        </w:tc>
      </w:tr>
      <w:tr w:rsidR="00A10B25" w14:paraId="05317970" w14:textId="77777777">
        <w:tc>
          <w:tcPr>
            <w:tcW w:w="796" w:type="dxa"/>
            <w:shd w:val="solid" w:color="FFFFFF" w:fill="auto"/>
          </w:tcPr>
          <w:p w14:paraId="1CE0F96E"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7DCDB36B" w14:textId="77777777" w:rsidR="00A10B25" w:rsidRDefault="00A10B25">
            <w:pPr>
              <w:pStyle w:val="TAC"/>
              <w:rPr>
                <w:sz w:val="16"/>
                <w:szCs w:val="16"/>
              </w:rPr>
            </w:pPr>
            <w:r>
              <w:rPr>
                <w:sz w:val="16"/>
                <w:szCs w:val="16"/>
              </w:rPr>
              <w:t>CT#86</w:t>
            </w:r>
          </w:p>
        </w:tc>
        <w:tc>
          <w:tcPr>
            <w:tcW w:w="1083" w:type="dxa"/>
            <w:shd w:val="solid" w:color="FFFFFF" w:fill="auto"/>
          </w:tcPr>
          <w:p w14:paraId="5769147E" w14:textId="77777777" w:rsidR="00A10B25" w:rsidRDefault="00A10B25">
            <w:pPr>
              <w:pStyle w:val="TAC"/>
              <w:rPr>
                <w:sz w:val="16"/>
                <w:szCs w:val="16"/>
              </w:rPr>
            </w:pPr>
            <w:r>
              <w:rPr>
                <w:sz w:val="16"/>
                <w:szCs w:val="16"/>
              </w:rPr>
              <w:t>CP-193198</w:t>
            </w:r>
          </w:p>
        </w:tc>
        <w:tc>
          <w:tcPr>
            <w:tcW w:w="523" w:type="dxa"/>
            <w:shd w:val="solid" w:color="FFFFFF" w:fill="auto"/>
          </w:tcPr>
          <w:p w14:paraId="75441317" w14:textId="77777777" w:rsidR="00A10B25" w:rsidRDefault="00A10B25">
            <w:pPr>
              <w:pStyle w:val="TAL"/>
              <w:rPr>
                <w:sz w:val="16"/>
                <w:szCs w:val="16"/>
              </w:rPr>
            </w:pPr>
            <w:r>
              <w:rPr>
                <w:rFonts w:cs="Arial"/>
                <w:color w:val="000000"/>
                <w:sz w:val="16"/>
                <w:szCs w:val="16"/>
                <w:lang w:eastAsia="zh-CN"/>
              </w:rPr>
              <w:t>0059</w:t>
            </w:r>
          </w:p>
        </w:tc>
        <w:tc>
          <w:tcPr>
            <w:tcW w:w="423" w:type="dxa"/>
            <w:shd w:val="solid" w:color="FFFFFF" w:fill="auto"/>
          </w:tcPr>
          <w:p w14:paraId="4F9D5A15" w14:textId="77777777" w:rsidR="00A10B25" w:rsidRDefault="00A10B25">
            <w:pPr>
              <w:pStyle w:val="TAR"/>
              <w:rPr>
                <w:sz w:val="16"/>
                <w:szCs w:val="16"/>
              </w:rPr>
            </w:pPr>
            <w:r>
              <w:rPr>
                <w:rFonts w:cs="Arial"/>
                <w:color w:val="000000"/>
                <w:sz w:val="16"/>
                <w:szCs w:val="16"/>
                <w:lang w:eastAsia="zh-CN"/>
              </w:rPr>
              <w:t>4</w:t>
            </w:r>
          </w:p>
        </w:tc>
        <w:tc>
          <w:tcPr>
            <w:tcW w:w="423" w:type="dxa"/>
            <w:shd w:val="solid" w:color="FFFFFF" w:fill="auto"/>
          </w:tcPr>
          <w:p w14:paraId="6295B3DD"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24221621" w14:textId="77777777" w:rsidR="00A10B25" w:rsidRDefault="00A10B25">
            <w:pPr>
              <w:pStyle w:val="TAL"/>
              <w:rPr>
                <w:sz w:val="16"/>
                <w:szCs w:val="16"/>
              </w:rPr>
            </w:pPr>
            <w:r>
              <w:rPr>
                <w:sz w:val="16"/>
                <w:szCs w:val="16"/>
              </w:rPr>
              <w:t>Inclusion of QoS requirements and thresholds for QoS Sustainability</w:t>
            </w:r>
          </w:p>
        </w:tc>
        <w:tc>
          <w:tcPr>
            <w:tcW w:w="706" w:type="dxa"/>
            <w:shd w:val="solid" w:color="FFFFFF" w:fill="auto"/>
          </w:tcPr>
          <w:p w14:paraId="4AB7B898" w14:textId="77777777" w:rsidR="00A10B25" w:rsidRDefault="00A10B25">
            <w:pPr>
              <w:pStyle w:val="TAC"/>
              <w:rPr>
                <w:sz w:val="16"/>
                <w:szCs w:val="16"/>
              </w:rPr>
            </w:pPr>
            <w:r>
              <w:rPr>
                <w:rFonts w:cs="Arial"/>
                <w:color w:val="000000"/>
                <w:sz w:val="16"/>
                <w:szCs w:val="16"/>
              </w:rPr>
              <w:t>16.2.0</w:t>
            </w:r>
          </w:p>
        </w:tc>
      </w:tr>
      <w:tr w:rsidR="00A10B25" w14:paraId="27161FE1" w14:textId="77777777">
        <w:tc>
          <w:tcPr>
            <w:tcW w:w="796" w:type="dxa"/>
            <w:shd w:val="solid" w:color="FFFFFF" w:fill="auto"/>
          </w:tcPr>
          <w:p w14:paraId="560C6579"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349DBE1B" w14:textId="77777777" w:rsidR="00A10B25" w:rsidRDefault="00A10B25">
            <w:pPr>
              <w:pStyle w:val="TAC"/>
              <w:rPr>
                <w:sz w:val="16"/>
                <w:szCs w:val="16"/>
              </w:rPr>
            </w:pPr>
            <w:r>
              <w:rPr>
                <w:sz w:val="16"/>
                <w:szCs w:val="16"/>
              </w:rPr>
              <w:t>CT#86</w:t>
            </w:r>
          </w:p>
        </w:tc>
        <w:tc>
          <w:tcPr>
            <w:tcW w:w="1083" w:type="dxa"/>
            <w:shd w:val="solid" w:color="FFFFFF" w:fill="auto"/>
          </w:tcPr>
          <w:p w14:paraId="2292E1E9" w14:textId="77777777" w:rsidR="00A10B25" w:rsidRDefault="00A10B25">
            <w:pPr>
              <w:pStyle w:val="TAC"/>
              <w:rPr>
                <w:sz w:val="16"/>
                <w:szCs w:val="16"/>
              </w:rPr>
            </w:pPr>
            <w:r>
              <w:rPr>
                <w:sz w:val="16"/>
                <w:szCs w:val="16"/>
              </w:rPr>
              <w:t>CP-193198</w:t>
            </w:r>
          </w:p>
        </w:tc>
        <w:tc>
          <w:tcPr>
            <w:tcW w:w="523" w:type="dxa"/>
            <w:shd w:val="solid" w:color="FFFFFF" w:fill="auto"/>
          </w:tcPr>
          <w:p w14:paraId="77F161C9" w14:textId="77777777" w:rsidR="00A10B25" w:rsidRDefault="00A10B25">
            <w:pPr>
              <w:pStyle w:val="TAL"/>
              <w:rPr>
                <w:sz w:val="16"/>
                <w:szCs w:val="16"/>
              </w:rPr>
            </w:pPr>
            <w:r>
              <w:rPr>
                <w:rFonts w:cs="Arial"/>
                <w:color w:val="000000"/>
                <w:sz w:val="16"/>
                <w:szCs w:val="16"/>
                <w:lang w:eastAsia="zh-CN"/>
              </w:rPr>
              <w:t>0062</w:t>
            </w:r>
          </w:p>
        </w:tc>
        <w:tc>
          <w:tcPr>
            <w:tcW w:w="423" w:type="dxa"/>
            <w:shd w:val="solid" w:color="FFFFFF" w:fill="auto"/>
          </w:tcPr>
          <w:p w14:paraId="02415A6D"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2036CB8F" w14:textId="77777777" w:rsidR="00A10B25" w:rsidRDefault="00A10B25">
            <w:pPr>
              <w:pStyle w:val="TAC"/>
              <w:rPr>
                <w:sz w:val="16"/>
                <w:szCs w:val="16"/>
              </w:rPr>
            </w:pPr>
            <w:r>
              <w:rPr>
                <w:rFonts w:cs="Arial"/>
                <w:color w:val="000000"/>
                <w:sz w:val="16"/>
                <w:szCs w:val="16"/>
                <w:lang w:eastAsia="zh-CN"/>
              </w:rPr>
              <w:t>F</w:t>
            </w:r>
          </w:p>
        </w:tc>
        <w:tc>
          <w:tcPr>
            <w:tcW w:w="4899" w:type="dxa"/>
            <w:shd w:val="solid" w:color="FFFFFF" w:fill="auto"/>
          </w:tcPr>
          <w:p w14:paraId="712BFD1F" w14:textId="77777777" w:rsidR="00A10B25" w:rsidRDefault="00A10B25">
            <w:pPr>
              <w:pStyle w:val="TAL"/>
              <w:rPr>
                <w:sz w:val="16"/>
                <w:szCs w:val="16"/>
              </w:rPr>
            </w:pPr>
            <w:r>
              <w:rPr>
                <w:sz w:val="16"/>
                <w:szCs w:val="16"/>
              </w:rPr>
              <w:t>Clarify references to QoS sustainability analytics</w:t>
            </w:r>
          </w:p>
        </w:tc>
        <w:tc>
          <w:tcPr>
            <w:tcW w:w="706" w:type="dxa"/>
            <w:shd w:val="solid" w:color="FFFFFF" w:fill="auto"/>
          </w:tcPr>
          <w:p w14:paraId="3F9A8CBE" w14:textId="77777777" w:rsidR="00A10B25" w:rsidRDefault="00A10B25">
            <w:pPr>
              <w:pStyle w:val="TAC"/>
              <w:rPr>
                <w:sz w:val="16"/>
                <w:szCs w:val="16"/>
              </w:rPr>
            </w:pPr>
            <w:r>
              <w:rPr>
                <w:rFonts w:cs="Arial"/>
                <w:color w:val="000000"/>
                <w:sz w:val="16"/>
                <w:szCs w:val="16"/>
              </w:rPr>
              <w:t>16.2.0</w:t>
            </w:r>
          </w:p>
        </w:tc>
      </w:tr>
      <w:tr w:rsidR="00A10B25" w14:paraId="4A4DAF81" w14:textId="77777777">
        <w:tc>
          <w:tcPr>
            <w:tcW w:w="796" w:type="dxa"/>
            <w:shd w:val="solid" w:color="FFFFFF" w:fill="auto"/>
          </w:tcPr>
          <w:p w14:paraId="16D1BFD3" w14:textId="77777777" w:rsidR="00A10B25" w:rsidRDefault="00A10B25">
            <w:pPr>
              <w:pStyle w:val="TAC"/>
              <w:rPr>
                <w:sz w:val="16"/>
                <w:szCs w:val="16"/>
              </w:rPr>
            </w:pPr>
            <w:r>
              <w:rPr>
                <w:rFonts w:cs="Arial"/>
                <w:color w:val="000000"/>
                <w:sz w:val="16"/>
                <w:szCs w:val="16"/>
              </w:rPr>
              <w:lastRenderedPageBreak/>
              <w:t>2019-12</w:t>
            </w:r>
          </w:p>
        </w:tc>
        <w:tc>
          <w:tcPr>
            <w:tcW w:w="828" w:type="dxa"/>
            <w:shd w:val="solid" w:color="FFFFFF" w:fill="auto"/>
          </w:tcPr>
          <w:p w14:paraId="07B8C744" w14:textId="77777777" w:rsidR="00A10B25" w:rsidRDefault="00A10B25">
            <w:pPr>
              <w:pStyle w:val="TAC"/>
              <w:rPr>
                <w:sz w:val="16"/>
                <w:szCs w:val="16"/>
              </w:rPr>
            </w:pPr>
            <w:r>
              <w:rPr>
                <w:sz w:val="16"/>
                <w:szCs w:val="16"/>
              </w:rPr>
              <w:t>CT#86</w:t>
            </w:r>
          </w:p>
        </w:tc>
        <w:tc>
          <w:tcPr>
            <w:tcW w:w="1083" w:type="dxa"/>
            <w:shd w:val="solid" w:color="FFFFFF" w:fill="auto"/>
          </w:tcPr>
          <w:p w14:paraId="56C1255D" w14:textId="77777777" w:rsidR="00A10B25" w:rsidRDefault="00A10B25">
            <w:pPr>
              <w:pStyle w:val="TAC"/>
              <w:rPr>
                <w:sz w:val="16"/>
                <w:szCs w:val="16"/>
              </w:rPr>
            </w:pPr>
            <w:r>
              <w:rPr>
                <w:sz w:val="16"/>
                <w:szCs w:val="16"/>
              </w:rPr>
              <w:t>CP-193198</w:t>
            </w:r>
          </w:p>
        </w:tc>
        <w:tc>
          <w:tcPr>
            <w:tcW w:w="523" w:type="dxa"/>
            <w:shd w:val="solid" w:color="FFFFFF" w:fill="auto"/>
          </w:tcPr>
          <w:p w14:paraId="4AC33A53" w14:textId="77777777" w:rsidR="00A10B25" w:rsidRDefault="00A10B25">
            <w:pPr>
              <w:pStyle w:val="TAL"/>
              <w:rPr>
                <w:sz w:val="16"/>
                <w:szCs w:val="16"/>
              </w:rPr>
            </w:pPr>
            <w:r>
              <w:rPr>
                <w:rFonts w:cs="Arial"/>
                <w:color w:val="000000"/>
                <w:sz w:val="16"/>
                <w:szCs w:val="16"/>
                <w:lang w:eastAsia="zh-CN"/>
              </w:rPr>
              <w:t>0063</w:t>
            </w:r>
          </w:p>
        </w:tc>
        <w:tc>
          <w:tcPr>
            <w:tcW w:w="423" w:type="dxa"/>
            <w:shd w:val="solid" w:color="FFFFFF" w:fill="auto"/>
          </w:tcPr>
          <w:p w14:paraId="3EA15E51"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4FAC0CEF" w14:textId="77777777" w:rsidR="00A10B25" w:rsidRDefault="00A10B25">
            <w:pPr>
              <w:pStyle w:val="TAC"/>
              <w:rPr>
                <w:sz w:val="16"/>
                <w:szCs w:val="16"/>
              </w:rPr>
            </w:pPr>
            <w:r>
              <w:rPr>
                <w:rFonts w:cs="Arial"/>
                <w:color w:val="000000"/>
                <w:sz w:val="16"/>
                <w:szCs w:val="16"/>
                <w:lang w:eastAsia="zh-CN"/>
              </w:rPr>
              <w:t>F</w:t>
            </w:r>
          </w:p>
        </w:tc>
        <w:tc>
          <w:tcPr>
            <w:tcW w:w="4899" w:type="dxa"/>
            <w:shd w:val="solid" w:color="FFFFFF" w:fill="auto"/>
          </w:tcPr>
          <w:p w14:paraId="16791FEB" w14:textId="77777777" w:rsidR="00A10B25" w:rsidRDefault="00A10B25">
            <w:pPr>
              <w:pStyle w:val="TAL"/>
              <w:rPr>
                <w:sz w:val="16"/>
                <w:szCs w:val="16"/>
              </w:rPr>
            </w:pPr>
            <w:r>
              <w:rPr>
                <w:sz w:val="16"/>
                <w:szCs w:val="16"/>
              </w:rPr>
              <w:t>Clarifications on NWDAF generalities</w:t>
            </w:r>
          </w:p>
        </w:tc>
        <w:tc>
          <w:tcPr>
            <w:tcW w:w="706" w:type="dxa"/>
            <w:shd w:val="solid" w:color="FFFFFF" w:fill="auto"/>
          </w:tcPr>
          <w:p w14:paraId="3FCA2DD9" w14:textId="77777777" w:rsidR="00A10B25" w:rsidRDefault="00A10B25">
            <w:pPr>
              <w:pStyle w:val="TAC"/>
              <w:rPr>
                <w:sz w:val="16"/>
                <w:szCs w:val="16"/>
              </w:rPr>
            </w:pPr>
            <w:r>
              <w:rPr>
                <w:rFonts w:cs="Arial"/>
                <w:color w:val="000000"/>
                <w:sz w:val="16"/>
                <w:szCs w:val="16"/>
              </w:rPr>
              <w:t>16.2.0</w:t>
            </w:r>
          </w:p>
        </w:tc>
      </w:tr>
      <w:tr w:rsidR="00A10B25" w14:paraId="105356C0" w14:textId="77777777">
        <w:tc>
          <w:tcPr>
            <w:tcW w:w="796" w:type="dxa"/>
            <w:shd w:val="solid" w:color="FFFFFF" w:fill="auto"/>
          </w:tcPr>
          <w:p w14:paraId="2152C141"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7ECCA8D6" w14:textId="77777777" w:rsidR="00A10B25" w:rsidRDefault="00A10B25">
            <w:pPr>
              <w:pStyle w:val="TAC"/>
              <w:rPr>
                <w:sz w:val="16"/>
                <w:szCs w:val="16"/>
              </w:rPr>
            </w:pPr>
            <w:r>
              <w:rPr>
                <w:sz w:val="16"/>
                <w:szCs w:val="16"/>
              </w:rPr>
              <w:t>CT#86</w:t>
            </w:r>
          </w:p>
        </w:tc>
        <w:tc>
          <w:tcPr>
            <w:tcW w:w="1083" w:type="dxa"/>
            <w:shd w:val="solid" w:color="FFFFFF" w:fill="auto"/>
          </w:tcPr>
          <w:p w14:paraId="0C760BDD" w14:textId="77777777" w:rsidR="00A10B25" w:rsidRDefault="00A10B25">
            <w:pPr>
              <w:pStyle w:val="TAC"/>
              <w:rPr>
                <w:sz w:val="16"/>
                <w:szCs w:val="16"/>
              </w:rPr>
            </w:pPr>
            <w:r>
              <w:rPr>
                <w:rFonts w:cs="Arial"/>
                <w:color w:val="000000"/>
                <w:sz w:val="16"/>
                <w:szCs w:val="16"/>
              </w:rPr>
              <w:t>CP-193267</w:t>
            </w:r>
          </w:p>
        </w:tc>
        <w:tc>
          <w:tcPr>
            <w:tcW w:w="523" w:type="dxa"/>
            <w:shd w:val="solid" w:color="FFFFFF" w:fill="auto"/>
          </w:tcPr>
          <w:p w14:paraId="27B1C2FA" w14:textId="77777777" w:rsidR="00A10B25" w:rsidRDefault="00A10B25">
            <w:pPr>
              <w:pStyle w:val="TAL"/>
              <w:rPr>
                <w:sz w:val="16"/>
                <w:szCs w:val="16"/>
              </w:rPr>
            </w:pPr>
            <w:r>
              <w:rPr>
                <w:rFonts w:cs="Arial"/>
                <w:color w:val="000000"/>
                <w:sz w:val="16"/>
                <w:szCs w:val="16"/>
                <w:lang w:eastAsia="zh-CN"/>
              </w:rPr>
              <w:t>0102</w:t>
            </w:r>
          </w:p>
        </w:tc>
        <w:tc>
          <w:tcPr>
            <w:tcW w:w="423" w:type="dxa"/>
            <w:shd w:val="solid" w:color="FFFFFF" w:fill="auto"/>
          </w:tcPr>
          <w:p w14:paraId="6991B24E" w14:textId="77777777" w:rsidR="00A10B25" w:rsidRDefault="00A10B25">
            <w:pPr>
              <w:pStyle w:val="TAR"/>
              <w:rPr>
                <w:sz w:val="16"/>
                <w:szCs w:val="16"/>
              </w:rPr>
            </w:pPr>
            <w:r>
              <w:rPr>
                <w:rFonts w:cs="Arial"/>
                <w:color w:val="000000"/>
                <w:sz w:val="16"/>
                <w:szCs w:val="16"/>
                <w:lang w:eastAsia="zh-CN"/>
              </w:rPr>
              <w:t>3</w:t>
            </w:r>
          </w:p>
        </w:tc>
        <w:tc>
          <w:tcPr>
            <w:tcW w:w="423" w:type="dxa"/>
            <w:shd w:val="solid" w:color="FFFFFF" w:fill="auto"/>
          </w:tcPr>
          <w:p w14:paraId="1572511A"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5D9E0219" w14:textId="77777777" w:rsidR="00A10B25" w:rsidRDefault="00A10B25">
            <w:pPr>
              <w:pStyle w:val="TAL"/>
              <w:rPr>
                <w:sz w:val="16"/>
                <w:szCs w:val="16"/>
              </w:rPr>
            </w:pPr>
            <w:r>
              <w:rPr>
                <w:sz w:val="16"/>
                <w:szCs w:val="16"/>
              </w:rPr>
              <w:t>OpenAPI file Update for Nnwdaf_EventsSubscription API</w:t>
            </w:r>
          </w:p>
        </w:tc>
        <w:tc>
          <w:tcPr>
            <w:tcW w:w="706" w:type="dxa"/>
            <w:shd w:val="solid" w:color="FFFFFF" w:fill="auto"/>
          </w:tcPr>
          <w:p w14:paraId="11C36701" w14:textId="77777777" w:rsidR="00A10B25" w:rsidRDefault="00A10B25">
            <w:pPr>
              <w:pStyle w:val="TAC"/>
              <w:rPr>
                <w:sz w:val="16"/>
                <w:szCs w:val="16"/>
              </w:rPr>
            </w:pPr>
            <w:r>
              <w:rPr>
                <w:rFonts w:cs="Arial"/>
                <w:color w:val="000000"/>
                <w:sz w:val="16"/>
                <w:szCs w:val="16"/>
              </w:rPr>
              <w:t>16.2.0</w:t>
            </w:r>
          </w:p>
        </w:tc>
      </w:tr>
      <w:tr w:rsidR="00A10B25" w14:paraId="075A5F27" w14:textId="77777777">
        <w:tc>
          <w:tcPr>
            <w:tcW w:w="796" w:type="dxa"/>
            <w:shd w:val="solid" w:color="FFFFFF" w:fill="auto"/>
          </w:tcPr>
          <w:p w14:paraId="6833BEDE"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242E308E" w14:textId="77777777" w:rsidR="00A10B25" w:rsidRDefault="00A10B25">
            <w:pPr>
              <w:pStyle w:val="TAC"/>
              <w:rPr>
                <w:sz w:val="16"/>
                <w:szCs w:val="16"/>
              </w:rPr>
            </w:pPr>
            <w:r>
              <w:rPr>
                <w:sz w:val="16"/>
                <w:szCs w:val="16"/>
              </w:rPr>
              <w:t>CT#86</w:t>
            </w:r>
          </w:p>
        </w:tc>
        <w:tc>
          <w:tcPr>
            <w:tcW w:w="1083" w:type="dxa"/>
            <w:shd w:val="solid" w:color="FFFFFF" w:fill="auto"/>
          </w:tcPr>
          <w:p w14:paraId="1B096C43" w14:textId="77777777" w:rsidR="00A10B25" w:rsidRDefault="00A10B25">
            <w:pPr>
              <w:pStyle w:val="TAC"/>
              <w:rPr>
                <w:sz w:val="16"/>
                <w:szCs w:val="16"/>
              </w:rPr>
            </w:pPr>
            <w:r>
              <w:rPr>
                <w:sz w:val="16"/>
                <w:szCs w:val="16"/>
              </w:rPr>
              <w:t>CP-193198</w:t>
            </w:r>
          </w:p>
        </w:tc>
        <w:tc>
          <w:tcPr>
            <w:tcW w:w="523" w:type="dxa"/>
            <w:shd w:val="solid" w:color="FFFFFF" w:fill="auto"/>
          </w:tcPr>
          <w:p w14:paraId="538B146A" w14:textId="77777777" w:rsidR="00A10B25" w:rsidRDefault="00A10B25">
            <w:pPr>
              <w:pStyle w:val="TAL"/>
              <w:rPr>
                <w:sz w:val="16"/>
                <w:szCs w:val="16"/>
              </w:rPr>
            </w:pPr>
            <w:r>
              <w:rPr>
                <w:rFonts w:cs="Arial"/>
                <w:color w:val="000000"/>
                <w:sz w:val="16"/>
                <w:szCs w:val="16"/>
                <w:lang w:eastAsia="zh-CN"/>
              </w:rPr>
              <w:t>0103</w:t>
            </w:r>
          </w:p>
        </w:tc>
        <w:tc>
          <w:tcPr>
            <w:tcW w:w="423" w:type="dxa"/>
            <w:shd w:val="solid" w:color="FFFFFF" w:fill="auto"/>
          </w:tcPr>
          <w:p w14:paraId="199B0AB1" w14:textId="77777777" w:rsidR="00A10B25" w:rsidRDefault="00A10B25">
            <w:pPr>
              <w:pStyle w:val="TAR"/>
              <w:rPr>
                <w:sz w:val="16"/>
                <w:szCs w:val="16"/>
              </w:rPr>
            </w:pPr>
          </w:p>
        </w:tc>
        <w:tc>
          <w:tcPr>
            <w:tcW w:w="423" w:type="dxa"/>
            <w:shd w:val="solid" w:color="FFFFFF" w:fill="auto"/>
          </w:tcPr>
          <w:p w14:paraId="6BF5D628"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51259CAA" w14:textId="77777777" w:rsidR="00A10B25" w:rsidRDefault="00A10B25">
            <w:pPr>
              <w:pStyle w:val="TAL"/>
              <w:rPr>
                <w:sz w:val="16"/>
                <w:szCs w:val="16"/>
              </w:rPr>
            </w:pPr>
            <w:r>
              <w:rPr>
                <w:sz w:val="16"/>
                <w:szCs w:val="16"/>
              </w:rPr>
              <w:t>OpenAPI file Update for Nnwdaf_AnalyticsInfo API</w:t>
            </w:r>
          </w:p>
        </w:tc>
        <w:tc>
          <w:tcPr>
            <w:tcW w:w="706" w:type="dxa"/>
            <w:shd w:val="solid" w:color="FFFFFF" w:fill="auto"/>
          </w:tcPr>
          <w:p w14:paraId="2AF80166" w14:textId="77777777" w:rsidR="00A10B25" w:rsidRDefault="00A10B25">
            <w:pPr>
              <w:pStyle w:val="TAC"/>
              <w:rPr>
                <w:sz w:val="16"/>
                <w:szCs w:val="16"/>
              </w:rPr>
            </w:pPr>
            <w:r>
              <w:rPr>
                <w:rFonts w:cs="Arial"/>
                <w:color w:val="000000"/>
                <w:sz w:val="16"/>
                <w:szCs w:val="16"/>
              </w:rPr>
              <w:t>16.2.0</w:t>
            </w:r>
          </w:p>
        </w:tc>
      </w:tr>
      <w:tr w:rsidR="00A10B25" w14:paraId="32A1B3BD" w14:textId="77777777">
        <w:tc>
          <w:tcPr>
            <w:tcW w:w="796" w:type="dxa"/>
            <w:shd w:val="solid" w:color="FFFFFF" w:fill="auto"/>
          </w:tcPr>
          <w:p w14:paraId="31011E61"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12F74675" w14:textId="77777777" w:rsidR="00A10B25" w:rsidRDefault="00A10B25">
            <w:pPr>
              <w:pStyle w:val="TAC"/>
              <w:rPr>
                <w:sz w:val="16"/>
                <w:szCs w:val="16"/>
              </w:rPr>
            </w:pPr>
            <w:r>
              <w:rPr>
                <w:sz w:val="16"/>
                <w:szCs w:val="16"/>
              </w:rPr>
              <w:t>CT#86</w:t>
            </w:r>
          </w:p>
        </w:tc>
        <w:tc>
          <w:tcPr>
            <w:tcW w:w="1083" w:type="dxa"/>
            <w:shd w:val="solid" w:color="FFFFFF" w:fill="auto"/>
          </w:tcPr>
          <w:p w14:paraId="3356BA77" w14:textId="77777777" w:rsidR="00A10B25" w:rsidRDefault="00A10B25">
            <w:pPr>
              <w:pStyle w:val="TAC"/>
              <w:rPr>
                <w:sz w:val="16"/>
                <w:szCs w:val="16"/>
              </w:rPr>
            </w:pPr>
            <w:r>
              <w:rPr>
                <w:sz w:val="16"/>
                <w:szCs w:val="16"/>
              </w:rPr>
              <w:t>CP-193198</w:t>
            </w:r>
          </w:p>
        </w:tc>
        <w:tc>
          <w:tcPr>
            <w:tcW w:w="523" w:type="dxa"/>
            <w:shd w:val="solid" w:color="FFFFFF" w:fill="auto"/>
          </w:tcPr>
          <w:p w14:paraId="213C3768" w14:textId="77777777" w:rsidR="00A10B25" w:rsidRDefault="00A10B25">
            <w:pPr>
              <w:pStyle w:val="TAL"/>
              <w:rPr>
                <w:sz w:val="16"/>
                <w:szCs w:val="16"/>
              </w:rPr>
            </w:pPr>
            <w:r>
              <w:rPr>
                <w:rFonts w:cs="Arial"/>
                <w:color w:val="000000"/>
                <w:sz w:val="16"/>
                <w:szCs w:val="16"/>
                <w:lang w:eastAsia="zh-CN"/>
              </w:rPr>
              <w:t>0104</w:t>
            </w:r>
          </w:p>
        </w:tc>
        <w:tc>
          <w:tcPr>
            <w:tcW w:w="423" w:type="dxa"/>
            <w:shd w:val="solid" w:color="FFFFFF" w:fill="auto"/>
          </w:tcPr>
          <w:p w14:paraId="1E2651E5"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3F20921D"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5F9226CB" w14:textId="77777777" w:rsidR="00A10B25" w:rsidRDefault="00A10B25">
            <w:pPr>
              <w:pStyle w:val="TAL"/>
              <w:rPr>
                <w:sz w:val="16"/>
                <w:szCs w:val="16"/>
              </w:rPr>
            </w:pPr>
            <w:r>
              <w:rPr>
                <w:sz w:val="16"/>
                <w:szCs w:val="16"/>
              </w:rPr>
              <w:t>Slice identification for all analytics types</w:t>
            </w:r>
          </w:p>
        </w:tc>
        <w:tc>
          <w:tcPr>
            <w:tcW w:w="706" w:type="dxa"/>
            <w:shd w:val="solid" w:color="FFFFFF" w:fill="auto"/>
          </w:tcPr>
          <w:p w14:paraId="04E725CC" w14:textId="77777777" w:rsidR="00A10B25" w:rsidRDefault="00A10B25">
            <w:pPr>
              <w:pStyle w:val="TAC"/>
              <w:rPr>
                <w:sz w:val="16"/>
                <w:szCs w:val="16"/>
              </w:rPr>
            </w:pPr>
            <w:r>
              <w:rPr>
                <w:rFonts w:cs="Arial"/>
                <w:color w:val="000000"/>
                <w:sz w:val="16"/>
                <w:szCs w:val="16"/>
              </w:rPr>
              <w:t>16.2.0</w:t>
            </w:r>
          </w:p>
        </w:tc>
      </w:tr>
      <w:tr w:rsidR="00A10B25" w14:paraId="0CED2E8B" w14:textId="77777777">
        <w:tc>
          <w:tcPr>
            <w:tcW w:w="796" w:type="dxa"/>
            <w:shd w:val="solid" w:color="FFFFFF" w:fill="auto"/>
          </w:tcPr>
          <w:p w14:paraId="00792F15"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440FEECD" w14:textId="77777777" w:rsidR="00A10B25" w:rsidRDefault="00A10B25">
            <w:pPr>
              <w:pStyle w:val="TAC"/>
              <w:rPr>
                <w:sz w:val="16"/>
                <w:szCs w:val="16"/>
              </w:rPr>
            </w:pPr>
            <w:r>
              <w:rPr>
                <w:sz w:val="16"/>
                <w:szCs w:val="16"/>
              </w:rPr>
              <w:t>CT#86</w:t>
            </w:r>
          </w:p>
        </w:tc>
        <w:tc>
          <w:tcPr>
            <w:tcW w:w="1083" w:type="dxa"/>
            <w:shd w:val="solid" w:color="FFFFFF" w:fill="auto"/>
          </w:tcPr>
          <w:p w14:paraId="324914D4" w14:textId="77777777" w:rsidR="00A10B25" w:rsidRDefault="00A10B25">
            <w:pPr>
              <w:pStyle w:val="TAC"/>
              <w:rPr>
                <w:sz w:val="16"/>
                <w:szCs w:val="16"/>
              </w:rPr>
            </w:pPr>
            <w:r>
              <w:rPr>
                <w:sz w:val="16"/>
                <w:szCs w:val="16"/>
              </w:rPr>
              <w:t>CP-193234</w:t>
            </w:r>
          </w:p>
        </w:tc>
        <w:tc>
          <w:tcPr>
            <w:tcW w:w="523" w:type="dxa"/>
            <w:shd w:val="solid" w:color="FFFFFF" w:fill="auto"/>
          </w:tcPr>
          <w:p w14:paraId="38B0CC9A" w14:textId="77777777" w:rsidR="00A10B25" w:rsidRDefault="00A10B25">
            <w:pPr>
              <w:pStyle w:val="TAL"/>
              <w:rPr>
                <w:sz w:val="16"/>
                <w:szCs w:val="16"/>
              </w:rPr>
            </w:pPr>
            <w:r>
              <w:rPr>
                <w:rFonts w:cs="Arial"/>
                <w:color w:val="000000"/>
                <w:sz w:val="16"/>
                <w:szCs w:val="16"/>
                <w:lang w:eastAsia="zh-CN"/>
              </w:rPr>
              <w:t>0106</w:t>
            </w:r>
          </w:p>
        </w:tc>
        <w:tc>
          <w:tcPr>
            <w:tcW w:w="423" w:type="dxa"/>
            <w:shd w:val="solid" w:color="FFFFFF" w:fill="auto"/>
          </w:tcPr>
          <w:p w14:paraId="71A603A3" w14:textId="77777777" w:rsidR="00A10B25" w:rsidRDefault="00A10B25">
            <w:pPr>
              <w:pStyle w:val="TAR"/>
              <w:rPr>
                <w:sz w:val="16"/>
                <w:szCs w:val="16"/>
              </w:rPr>
            </w:pPr>
            <w:r>
              <w:rPr>
                <w:rFonts w:cs="Arial"/>
                <w:color w:val="000000"/>
                <w:sz w:val="16"/>
                <w:szCs w:val="16"/>
                <w:lang w:eastAsia="zh-CN"/>
              </w:rPr>
              <w:t>2</w:t>
            </w:r>
          </w:p>
        </w:tc>
        <w:tc>
          <w:tcPr>
            <w:tcW w:w="423" w:type="dxa"/>
            <w:shd w:val="solid" w:color="FFFFFF" w:fill="auto"/>
          </w:tcPr>
          <w:p w14:paraId="08E6804D"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0DD4B5A9" w14:textId="77777777" w:rsidR="00A10B25" w:rsidRDefault="00A10B25">
            <w:pPr>
              <w:pStyle w:val="TAL"/>
              <w:rPr>
                <w:sz w:val="16"/>
                <w:szCs w:val="16"/>
              </w:rPr>
            </w:pPr>
            <w:r>
              <w:rPr>
                <w:sz w:val="16"/>
                <w:szCs w:val="16"/>
              </w:rPr>
              <w:t>NF Load analytics generalities</w:t>
            </w:r>
          </w:p>
        </w:tc>
        <w:tc>
          <w:tcPr>
            <w:tcW w:w="706" w:type="dxa"/>
            <w:shd w:val="solid" w:color="FFFFFF" w:fill="auto"/>
          </w:tcPr>
          <w:p w14:paraId="3449C3E6" w14:textId="77777777" w:rsidR="00A10B25" w:rsidRDefault="00A10B25">
            <w:pPr>
              <w:pStyle w:val="TAC"/>
              <w:rPr>
                <w:sz w:val="16"/>
                <w:szCs w:val="16"/>
              </w:rPr>
            </w:pPr>
            <w:r>
              <w:rPr>
                <w:rFonts w:cs="Arial"/>
                <w:color w:val="000000"/>
                <w:sz w:val="16"/>
                <w:szCs w:val="16"/>
              </w:rPr>
              <w:t>16.2.0</w:t>
            </w:r>
          </w:p>
        </w:tc>
      </w:tr>
      <w:tr w:rsidR="00A10B25" w14:paraId="4CD133A1" w14:textId="77777777">
        <w:tc>
          <w:tcPr>
            <w:tcW w:w="796" w:type="dxa"/>
            <w:shd w:val="solid" w:color="FFFFFF" w:fill="auto"/>
          </w:tcPr>
          <w:p w14:paraId="021F31C3" w14:textId="77777777" w:rsidR="00A10B25" w:rsidRDefault="00A10B25">
            <w:pPr>
              <w:pStyle w:val="TAC"/>
              <w:rPr>
                <w:sz w:val="16"/>
                <w:szCs w:val="16"/>
              </w:rPr>
            </w:pPr>
            <w:r>
              <w:rPr>
                <w:rFonts w:cs="Arial"/>
                <w:color w:val="000000"/>
                <w:sz w:val="16"/>
                <w:szCs w:val="16"/>
              </w:rPr>
              <w:t>2019-12</w:t>
            </w:r>
          </w:p>
        </w:tc>
        <w:tc>
          <w:tcPr>
            <w:tcW w:w="828" w:type="dxa"/>
            <w:shd w:val="solid" w:color="FFFFFF" w:fill="auto"/>
          </w:tcPr>
          <w:p w14:paraId="01C4C037" w14:textId="77777777" w:rsidR="00A10B25" w:rsidRDefault="00A10B25">
            <w:pPr>
              <w:pStyle w:val="TAC"/>
              <w:rPr>
                <w:sz w:val="16"/>
                <w:szCs w:val="16"/>
              </w:rPr>
            </w:pPr>
            <w:r>
              <w:rPr>
                <w:sz w:val="16"/>
                <w:szCs w:val="16"/>
              </w:rPr>
              <w:t>CT#86</w:t>
            </w:r>
          </w:p>
        </w:tc>
        <w:tc>
          <w:tcPr>
            <w:tcW w:w="1083" w:type="dxa"/>
            <w:shd w:val="solid" w:color="FFFFFF" w:fill="auto"/>
          </w:tcPr>
          <w:p w14:paraId="740E9E33" w14:textId="77777777" w:rsidR="00A10B25" w:rsidRDefault="00A10B25">
            <w:pPr>
              <w:pStyle w:val="TAC"/>
              <w:rPr>
                <w:sz w:val="16"/>
                <w:szCs w:val="16"/>
              </w:rPr>
            </w:pPr>
            <w:r>
              <w:rPr>
                <w:sz w:val="16"/>
                <w:szCs w:val="16"/>
              </w:rPr>
              <w:t>CP-193212</w:t>
            </w:r>
          </w:p>
        </w:tc>
        <w:tc>
          <w:tcPr>
            <w:tcW w:w="523" w:type="dxa"/>
            <w:shd w:val="solid" w:color="FFFFFF" w:fill="auto"/>
          </w:tcPr>
          <w:p w14:paraId="6FD7FF69" w14:textId="77777777" w:rsidR="00A10B25" w:rsidRDefault="00A10B25">
            <w:pPr>
              <w:pStyle w:val="TAL"/>
              <w:rPr>
                <w:sz w:val="16"/>
                <w:szCs w:val="16"/>
              </w:rPr>
            </w:pPr>
            <w:r>
              <w:rPr>
                <w:rFonts w:cs="Arial"/>
                <w:color w:val="000000"/>
                <w:sz w:val="16"/>
                <w:szCs w:val="16"/>
                <w:lang w:eastAsia="zh-CN"/>
              </w:rPr>
              <w:t>0107</w:t>
            </w:r>
          </w:p>
        </w:tc>
        <w:tc>
          <w:tcPr>
            <w:tcW w:w="423" w:type="dxa"/>
            <w:shd w:val="solid" w:color="FFFFFF" w:fill="auto"/>
          </w:tcPr>
          <w:p w14:paraId="4C6E3F47"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3C7E626E" w14:textId="77777777" w:rsidR="00A10B25" w:rsidRDefault="00A10B25">
            <w:pPr>
              <w:pStyle w:val="TAC"/>
              <w:rPr>
                <w:sz w:val="16"/>
                <w:szCs w:val="16"/>
              </w:rPr>
            </w:pPr>
            <w:r>
              <w:rPr>
                <w:rFonts w:cs="Arial"/>
                <w:color w:val="000000"/>
                <w:sz w:val="16"/>
                <w:szCs w:val="16"/>
                <w:lang w:eastAsia="zh-CN"/>
              </w:rPr>
              <w:t>F</w:t>
            </w:r>
          </w:p>
        </w:tc>
        <w:tc>
          <w:tcPr>
            <w:tcW w:w="4899" w:type="dxa"/>
            <w:shd w:val="solid" w:color="FFFFFF" w:fill="auto"/>
          </w:tcPr>
          <w:p w14:paraId="5792F56B" w14:textId="77777777" w:rsidR="00A10B25" w:rsidRDefault="00A10B25">
            <w:pPr>
              <w:pStyle w:val="TAL"/>
              <w:rPr>
                <w:sz w:val="16"/>
                <w:szCs w:val="16"/>
              </w:rPr>
            </w:pPr>
            <w:r>
              <w:rPr>
                <w:sz w:val="16"/>
                <w:szCs w:val="16"/>
              </w:rPr>
              <w:t>Update of API version and TS version in OpenAPI file</w:t>
            </w:r>
          </w:p>
        </w:tc>
        <w:tc>
          <w:tcPr>
            <w:tcW w:w="706" w:type="dxa"/>
            <w:shd w:val="solid" w:color="FFFFFF" w:fill="auto"/>
          </w:tcPr>
          <w:p w14:paraId="3BDDF372" w14:textId="77777777" w:rsidR="00A10B25" w:rsidRDefault="00A10B25">
            <w:pPr>
              <w:pStyle w:val="TAC"/>
              <w:rPr>
                <w:sz w:val="16"/>
                <w:szCs w:val="16"/>
              </w:rPr>
            </w:pPr>
            <w:r>
              <w:rPr>
                <w:rFonts w:cs="Arial"/>
                <w:color w:val="000000"/>
                <w:sz w:val="16"/>
                <w:szCs w:val="16"/>
              </w:rPr>
              <w:t>16.2.0</w:t>
            </w:r>
          </w:p>
        </w:tc>
      </w:tr>
      <w:tr w:rsidR="00A10B25" w14:paraId="7FFA75C5" w14:textId="77777777">
        <w:tc>
          <w:tcPr>
            <w:tcW w:w="796" w:type="dxa"/>
            <w:shd w:val="solid" w:color="FFFFFF" w:fill="auto"/>
          </w:tcPr>
          <w:p w14:paraId="10B691D1" w14:textId="77777777" w:rsidR="00A10B25" w:rsidRDefault="00A10B25">
            <w:pPr>
              <w:pStyle w:val="TAC"/>
              <w:rPr>
                <w:sz w:val="16"/>
                <w:szCs w:val="16"/>
              </w:rPr>
            </w:pPr>
            <w:r>
              <w:rPr>
                <w:rFonts w:cs="Arial"/>
                <w:color w:val="000000"/>
                <w:sz w:val="16"/>
                <w:szCs w:val="16"/>
              </w:rPr>
              <w:t>2020-03</w:t>
            </w:r>
          </w:p>
        </w:tc>
        <w:tc>
          <w:tcPr>
            <w:tcW w:w="828" w:type="dxa"/>
            <w:shd w:val="solid" w:color="FFFFFF" w:fill="auto"/>
          </w:tcPr>
          <w:p w14:paraId="4704A8BC" w14:textId="77777777" w:rsidR="00A10B25" w:rsidRDefault="00A10B25">
            <w:pPr>
              <w:pStyle w:val="TAC"/>
              <w:rPr>
                <w:sz w:val="16"/>
                <w:szCs w:val="16"/>
              </w:rPr>
            </w:pPr>
            <w:r>
              <w:rPr>
                <w:sz w:val="16"/>
                <w:szCs w:val="16"/>
              </w:rPr>
              <w:t>CT#87e</w:t>
            </w:r>
          </w:p>
        </w:tc>
        <w:tc>
          <w:tcPr>
            <w:tcW w:w="1083" w:type="dxa"/>
            <w:shd w:val="solid" w:color="FFFFFF" w:fill="auto"/>
          </w:tcPr>
          <w:p w14:paraId="18CA1BC7"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1C984EDA" w14:textId="77777777" w:rsidR="00A10B25" w:rsidRDefault="00A10B25">
            <w:pPr>
              <w:pStyle w:val="TAL"/>
              <w:rPr>
                <w:sz w:val="16"/>
                <w:szCs w:val="16"/>
              </w:rPr>
            </w:pPr>
            <w:r>
              <w:rPr>
                <w:rFonts w:cs="Arial"/>
                <w:color w:val="000000"/>
                <w:sz w:val="16"/>
                <w:szCs w:val="16"/>
                <w:lang w:eastAsia="zh-CN"/>
              </w:rPr>
              <w:t>0109</w:t>
            </w:r>
          </w:p>
        </w:tc>
        <w:tc>
          <w:tcPr>
            <w:tcW w:w="423" w:type="dxa"/>
            <w:shd w:val="solid" w:color="FFFFFF" w:fill="auto"/>
          </w:tcPr>
          <w:p w14:paraId="1A15C575"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5044DF30"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7D330B6D" w14:textId="77777777" w:rsidR="00A10B25" w:rsidRDefault="00A10B25">
            <w:pPr>
              <w:pStyle w:val="TAL"/>
              <w:rPr>
                <w:sz w:val="16"/>
                <w:szCs w:val="16"/>
              </w:rPr>
            </w:pPr>
            <w:r>
              <w:rPr>
                <w:sz w:val="16"/>
                <w:szCs w:val="16"/>
              </w:rPr>
              <w:t>Definition of QoS Requirement</w:t>
            </w:r>
          </w:p>
        </w:tc>
        <w:tc>
          <w:tcPr>
            <w:tcW w:w="706" w:type="dxa"/>
            <w:shd w:val="solid" w:color="FFFFFF" w:fill="auto"/>
          </w:tcPr>
          <w:p w14:paraId="2A4A5061" w14:textId="77777777" w:rsidR="00A10B25" w:rsidRDefault="00A10B25">
            <w:pPr>
              <w:pStyle w:val="TAC"/>
              <w:rPr>
                <w:sz w:val="16"/>
                <w:szCs w:val="16"/>
              </w:rPr>
            </w:pPr>
            <w:r>
              <w:rPr>
                <w:rFonts w:cs="Arial"/>
                <w:color w:val="000000"/>
                <w:sz w:val="16"/>
                <w:szCs w:val="16"/>
              </w:rPr>
              <w:t>16.3.0</w:t>
            </w:r>
          </w:p>
        </w:tc>
      </w:tr>
      <w:tr w:rsidR="00A10B25" w14:paraId="4D05A69F" w14:textId="77777777">
        <w:tc>
          <w:tcPr>
            <w:tcW w:w="796" w:type="dxa"/>
            <w:shd w:val="solid" w:color="FFFFFF" w:fill="auto"/>
          </w:tcPr>
          <w:p w14:paraId="46851348" w14:textId="77777777" w:rsidR="00A10B25" w:rsidRDefault="00A10B25">
            <w:pPr>
              <w:pStyle w:val="TAC"/>
              <w:rPr>
                <w:sz w:val="16"/>
                <w:szCs w:val="16"/>
              </w:rPr>
            </w:pPr>
            <w:r>
              <w:rPr>
                <w:rFonts w:cs="Arial"/>
                <w:color w:val="000000"/>
                <w:sz w:val="16"/>
                <w:szCs w:val="16"/>
              </w:rPr>
              <w:t>2020-03</w:t>
            </w:r>
          </w:p>
        </w:tc>
        <w:tc>
          <w:tcPr>
            <w:tcW w:w="828" w:type="dxa"/>
            <w:shd w:val="solid" w:color="FFFFFF" w:fill="auto"/>
          </w:tcPr>
          <w:p w14:paraId="7A418FCA" w14:textId="77777777" w:rsidR="00A10B25" w:rsidRDefault="00A10B25">
            <w:pPr>
              <w:pStyle w:val="TAC"/>
              <w:rPr>
                <w:sz w:val="16"/>
                <w:szCs w:val="16"/>
              </w:rPr>
            </w:pPr>
            <w:r>
              <w:rPr>
                <w:sz w:val="16"/>
                <w:szCs w:val="16"/>
              </w:rPr>
              <w:t>CT#87e</w:t>
            </w:r>
          </w:p>
        </w:tc>
        <w:tc>
          <w:tcPr>
            <w:tcW w:w="1083" w:type="dxa"/>
            <w:shd w:val="solid" w:color="FFFFFF" w:fill="auto"/>
          </w:tcPr>
          <w:p w14:paraId="40362208"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77C46B3D" w14:textId="77777777" w:rsidR="00A10B25" w:rsidRDefault="00A10B25">
            <w:pPr>
              <w:pStyle w:val="TAL"/>
              <w:rPr>
                <w:sz w:val="16"/>
                <w:szCs w:val="16"/>
              </w:rPr>
            </w:pPr>
            <w:r>
              <w:rPr>
                <w:rFonts w:cs="Arial"/>
                <w:color w:val="000000"/>
                <w:sz w:val="16"/>
                <w:szCs w:val="16"/>
                <w:lang w:eastAsia="zh-CN"/>
              </w:rPr>
              <w:t>0110</w:t>
            </w:r>
          </w:p>
        </w:tc>
        <w:tc>
          <w:tcPr>
            <w:tcW w:w="423" w:type="dxa"/>
            <w:shd w:val="solid" w:color="FFFFFF" w:fill="auto"/>
          </w:tcPr>
          <w:p w14:paraId="4552F74D"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1AE60D6E"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069E013E" w14:textId="77777777" w:rsidR="00A10B25" w:rsidRDefault="00A10B25">
            <w:pPr>
              <w:pStyle w:val="TAL"/>
              <w:rPr>
                <w:sz w:val="16"/>
                <w:szCs w:val="16"/>
              </w:rPr>
            </w:pPr>
            <w:r>
              <w:rPr>
                <w:sz w:val="16"/>
                <w:szCs w:val="16"/>
              </w:rPr>
              <w:t>Description of consumer functionalities</w:t>
            </w:r>
          </w:p>
        </w:tc>
        <w:tc>
          <w:tcPr>
            <w:tcW w:w="706" w:type="dxa"/>
            <w:shd w:val="solid" w:color="FFFFFF" w:fill="auto"/>
          </w:tcPr>
          <w:p w14:paraId="76A2578D" w14:textId="77777777" w:rsidR="00A10B25" w:rsidRDefault="00A10B25">
            <w:pPr>
              <w:pStyle w:val="TAC"/>
              <w:rPr>
                <w:sz w:val="16"/>
                <w:szCs w:val="16"/>
              </w:rPr>
            </w:pPr>
            <w:r>
              <w:rPr>
                <w:rFonts w:cs="Arial"/>
                <w:color w:val="000000"/>
                <w:sz w:val="16"/>
                <w:szCs w:val="16"/>
              </w:rPr>
              <w:t>16.3.0</w:t>
            </w:r>
          </w:p>
        </w:tc>
      </w:tr>
      <w:tr w:rsidR="00A10B25" w14:paraId="21CCCE9A" w14:textId="77777777">
        <w:tc>
          <w:tcPr>
            <w:tcW w:w="796" w:type="dxa"/>
            <w:shd w:val="solid" w:color="FFFFFF" w:fill="auto"/>
          </w:tcPr>
          <w:p w14:paraId="6CD5F8E7" w14:textId="77777777" w:rsidR="00A10B25" w:rsidRDefault="00A10B25">
            <w:pPr>
              <w:pStyle w:val="TAC"/>
              <w:rPr>
                <w:sz w:val="16"/>
                <w:szCs w:val="16"/>
              </w:rPr>
            </w:pPr>
            <w:r>
              <w:rPr>
                <w:rFonts w:cs="Arial"/>
                <w:color w:val="000000"/>
                <w:sz w:val="16"/>
                <w:szCs w:val="16"/>
              </w:rPr>
              <w:t>2020-03</w:t>
            </w:r>
          </w:p>
        </w:tc>
        <w:tc>
          <w:tcPr>
            <w:tcW w:w="828" w:type="dxa"/>
            <w:shd w:val="solid" w:color="FFFFFF" w:fill="auto"/>
          </w:tcPr>
          <w:p w14:paraId="67BA9945" w14:textId="77777777" w:rsidR="00A10B25" w:rsidRDefault="00A10B25">
            <w:pPr>
              <w:pStyle w:val="TAC"/>
              <w:rPr>
                <w:sz w:val="16"/>
                <w:szCs w:val="16"/>
              </w:rPr>
            </w:pPr>
            <w:r>
              <w:rPr>
                <w:sz w:val="16"/>
                <w:szCs w:val="16"/>
              </w:rPr>
              <w:t>CT#87e</w:t>
            </w:r>
          </w:p>
        </w:tc>
        <w:tc>
          <w:tcPr>
            <w:tcW w:w="1083" w:type="dxa"/>
            <w:shd w:val="solid" w:color="FFFFFF" w:fill="auto"/>
          </w:tcPr>
          <w:p w14:paraId="7C96E6DF"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4423EE0D" w14:textId="77777777" w:rsidR="00A10B25" w:rsidRDefault="00A10B25">
            <w:pPr>
              <w:pStyle w:val="TAL"/>
              <w:rPr>
                <w:sz w:val="16"/>
                <w:szCs w:val="16"/>
              </w:rPr>
            </w:pPr>
            <w:r>
              <w:rPr>
                <w:rFonts w:cs="Arial"/>
                <w:color w:val="000000"/>
                <w:sz w:val="16"/>
                <w:szCs w:val="16"/>
                <w:lang w:eastAsia="zh-CN"/>
              </w:rPr>
              <w:t>0111</w:t>
            </w:r>
          </w:p>
        </w:tc>
        <w:tc>
          <w:tcPr>
            <w:tcW w:w="423" w:type="dxa"/>
            <w:shd w:val="solid" w:color="FFFFFF" w:fill="auto"/>
          </w:tcPr>
          <w:p w14:paraId="31703813" w14:textId="77777777" w:rsidR="00A10B25" w:rsidRDefault="00A10B25">
            <w:pPr>
              <w:pStyle w:val="TAR"/>
              <w:rPr>
                <w:sz w:val="16"/>
                <w:szCs w:val="16"/>
              </w:rPr>
            </w:pPr>
            <w:r>
              <w:rPr>
                <w:rFonts w:cs="Arial"/>
                <w:color w:val="000000"/>
                <w:sz w:val="16"/>
                <w:szCs w:val="16"/>
                <w:lang w:eastAsia="zh-CN"/>
              </w:rPr>
              <w:t>1</w:t>
            </w:r>
          </w:p>
        </w:tc>
        <w:tc>
          <w:tcPr>
            <w:tcW w:w="423" w:type="dxa"/>
            <w:shd w:val="solid" w:color="FFFFFF" w:fill="auto"/>
          </w:tcPr>
          <w:p w14:paraId="3923F217"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330B373F" w14:textId="77777777" w:rsidR="00A10B25" w:rsidRDefault="00A10B25">
            <w:pPr>
              <w:pStyle w:val="TAL"/>
              <w:rPr>
                <w:sz w:val="16"/>
                <w:szCs w:val="16"/>
              </w:rPr>
            </w:pPr>
            <w:r>
              <w:rPr>
                <w:bCs/>
                <w:sz w:val="16"/>
                <w:szCs w:val="16"/>
              </w:rPr>
              <w:t>Update the types of analytics events</w:t>
            </w:r>
          </w:p>
        </w:tc>
        <w:tc>
          <w:tcPr>
            <w:tcW w:w="706" w:type="dxa"/>
            <w:shd w:val="solid" w:color="FFFFFF" w:fill="auto"/>
          </w:tcPr>
          <w:p w14:paraId="50532C06" w14:textId="77777777" w:rsidR="00A10B25" w:rsidRDefault="00A10B25">
            <w:pPr>
              <w:pStyle w:val="TAC"/>
              <w:rPr>
                <w:sz w:val="16"/>
                <w:szCs w:val="16"/>
              </w:rPr>
            </w:pPr>
            <w:r>
              <w:rPr>
                <w:rFonts w:cs="Arial"/>
                <w:color w:val="000000"/>
                <w:sz w:val="16"/>
                <w:szCs w:val="16"/>
              </w:rPr>
              <w:t>16.3.0</w:t>
            </w:r>
          </w:p>
        </w:tc>
      </w:tr>
      <w:tr w:rsidR="00A10B25" w14:paraId="3736D16D" w14:textId="77777777">
        <w:tc>
          <w:tcPr>
            <w:tcW w:w="796" w:type="dxa"/>
            <w:shd w:val="solid" w:color="FFFFFF" w:fill="auto"/>
          </w:tcPr>
          <w:p w14:paraId="491EBD6A" w14:textId="77777777" w:rsidR="00A10B25" w:rsidRDefault="00A10B25">
            <w:pPr>
              <w:pStyle w:val="TAC"/>
              <w:rPr>
                <w:sz w:val="16"/>
                <w:szCs w:val="16"/>
              </w:rPr>
            </w:pPr>
            <w:r>
              <w:rPr>
                <w:rFonts w:cs="Arial"/>
                <w:color w:val="000000"/>
                <w:sz w:val="16"/>
                <w:szCs w:val="16"/>
              </w:rPr>
              <w:t>2020-03</w:t>
            </w:r>
          </w:p>
        </w:tc>
        <w:tc>
          <w:tcPr>
            <w:tcW w:w="828" w:type="dxa"/>
            <w:shd w:val="solid" w:color="FFFFFF" w:fill="auto"/>
          </w:tcPr>
          <w:p w14:paraId="3B5572AF" w14:textId="77777777" w:rsidR="00A10B25" w:rsidRDefault="00A10B25">
            <w:pPr>
              <w:pStyle w:val="TAC"/>
              <w:rPr>
                <w:sz w:val="16"/>
                <w:szCs w:val="16"/>
              </w:rPr>
            </w:pPr>
            <w:r>
              <w:rPr>
                <w:sz w:val="16"/>
                <w:szCs w:val="16"/>
              </w:rPr>
              <w:t>CT#87e</w:t>
            </w:r>
          </w:p>
        </w:tc>
        <w:tc>
          <w:tcPr>
            <w:tcW w:w="1083" w:type="dxa"/>
            <w:shd w:val="solid" w:color="FFFFFF" w:fill="auto"/>
          </w:tcPr>
          <w:p w14:paraId="581D81FC" w14:textId="77777777" w:rsidR="00A10B25" w:rsidRDefault="00A10B25">
            <w:pPr>
              <w:pStyle w:val="TAC"/>
              <w:rPr>
                <w:sz w:val="16"/>
                <w:szCs w:val="16"/>
              </w:rPr>
            </w:pPr>
            <w:r>
              <w:rPr>
                <w:sz w:val="16"/>
                <w:szCs w:val="16"/>
              </w:rPr>
              <w:t>CP-200207</w:t>
            </w:r>
          </w:p>
        </w:tc>
        <w:tc>
          <w:tcPr>
            <w:tcW w:w="523" w:type="dxa"/>
            <w:shd w:val="solid" w:color="FFFFFF" w:fill="auto"/>
          </w:tcPr>
          <w:p w14:paraId="7F10754A" w14:textId="77777777" w:rsidR="00A10B25" w:rsidRDefault="00A10B25">
            <w:pPr>
              <w:pStyle w:val="TAL"/>
              <w:rPr>
                <w:sz w:val="16"/>
                <w:szCs w:val="16"/>
              </w:rPr>
            </w:pPr>
            <w:r>
              <w:rPr>
                <w:rFonts w:cs="Arial"/>
                <w:color w:val="000000"/>
                <w:sz w:val="16"/>
                <w:szCs w:val="16"/>
                <w:lang w:eastAsia="zh-CN"/>
              </w:rPr>
              <w:t>0114</w:t>
            </w:r>
          </w:p>
        </w:tc>
        <w:tc>
          <w:tcPr>
            <w:tcW w:w="423" w:type="dxa"/>
            <w:shd w:val="solid" w:color="FFFFFF" w:fill="auto"/>
          </w:tcPr>
          <w:p w14:paraId="3570826F" w14:textId="77777777" w:rsidR="00A10B25" w:rsidRDefault="00A10B25">
            <w:pPr>
              <w:pStyle w:val="TAR"/>
              <w:rPr>
                <w:sz w:val="16"/>
                <w:szCs w:val="16"/>
              </w:rPr>
            </w:pPr>
          </w:p>
        </w:tc>
        <w:tc>
          <w:tcPr>
            <w:tcW w:w="423" w:type="dxa"/>
            <w:shd w:val="solid" w:color="FFFFFF" w:fill="auto"/>
          </w:tcPr>
          <w:p w14:paraId="38489B31" w14:textId="77777777" w:rsidR="00A10B25" w:rsidRDefault="00A10B25">
            <w:pPr>
              <w:pStyle w:val="TAC"/>
              <w:rPr>
                <w:sz w:val="16"/>
                <w:szCs w:val="16"/>
              </w:rPr>
            </w:pPr>
            <w:r>
              <w:rPr>
                <w:rFonts w:cs="Arial"/>
                <w:color w:val="000000"/>
                <w:sz w:val="16"/>
                <w:szCs w:val="16"/>
                <w:lang w:eastAsia="zh-CN"/>
              </w:rPr>
              <w:t>B</w:t>
            </w:r>
          </w:p>
        </w:tc>
        <w:tc>
          <w:tcPr>
            <w:tcW w:w="4899" w:type="dxa"/>
            <w:shd w:val="solid" w:color="FFFFFF" w:fill="auto"/>
          </w:tcPr>
          <w:p w14:paraId="5476697C" w14:textId="77777777" w:rsidR="00A10B25" w:rsidRDefault="00A10B25">
            <w:pPr>
              <w:pStyle w:val="TAL"/>
              <w:rPr>
                <w:sz w:val="16"/>
                <w:szCs w:val="16"/>
              </w:rPr>
            </w:pPr>
            <w:r>
              <w:rPr>
                <w:sz w:val="16"/>
                <w:szCs w:val="16"/>
              </w:rPr>
              <w:t>DNN Clarification</w:t>
            </w:r>
          </w:p>
        </w:tc>
        <w:tc>
          <w:tcPr>
            <w:tcW w:w="706" w:type="dxa"/>
            <w:shd w:val="solid" w:color="FFFFFF" w:fill="auto"/>
          </w:tcPr>
          <w:p w14:paraId="5DB9AD36" w14:textId="77777777" w:rsidR="00A10B25" w:rsidRDefault="00A10B25">
            <w:pPr>
              <w:pStyle w:val="TAC"/>
              <w:rPr>
                <w:sz w:val="16"/>
                <w:szCs w:val="16"/>
              </w:rPr>
            </w:pPr>
            <w:r>
              <w:rPr>
                <w:rFonts w:cs="Arial"/>
                <w:color w:val="000000"/>
                <w:sz w:val="16"/>
                <w:szCs w:val="16"/>
              </w:rPr>
              <w:t>16.3.0</w:t>
            </w:r>
          </w:p>
        </w:tc>
      </w:tr>
      <w:tr w:rsidR="00A10B25" w14:paraId="4AB4F004" w14:textId="77777777">
        <w:tc>
          <w:tcPr>
            <w:tcW w:w="796" w:type="dxa"/>
            <w:shd w:val="solid" w:color="FFFFFF" w:fill="auto"/>
          </w:tcPr>
          <w:p w14:paraId="4D0D1026" w14:textId="77777777" w:rsidR="00A10B25" w:rsidRDefault="00A10B25">
            <w:pPr>
              <w:pStyle w:val="TAC"/>
              <w:rPr>
                <w:sz w:val="16"/>
                <w:szCs w:val="16"/>
              </w:rPr>
            </w:pPr>
            <w:r>
              <w:rPr>
                <w:sz w:val="16"/>
                <w:szCs w:val="16"/>
              </w:rPr>
              <w:t>2020-03</w:t>
            </w:r>
          </w:p>
        </w:tc>
        <w:tc>
          <w:tcPr>
            <w:tcW w:w="828" w:type="dxa"/>
            <w:shd w:val="solid" w:color="FFFFFF" w:fill="auto"/>
          </w:tcPr>
          <w:p w14:paraId="09315B93" w14:textId="77777777" w:rsidR="00A10B25" w:rsidRDefault="00A10B25">
            <w:pPr>
              <w:pStyle w:val="TAC"/>
              <w:rPr>
                <w:sz w:val="16"/>
                <w:szCs w:val="16"/>
              </w:rPr>
            </w:pPr>
            <w:r>
              <w:rPr>
                <w:sz w:val="16"/>
                <w:szCs w:val="16"/>
              </w:rPr>
              <w:t>CT#87e</w:t>
            </w:r>
          </w:p>
        </w:tc>
        <w:tc>
          <w:tcPr>
            <w:tcW w:w="1083" w:type="dxa"/>
            <w:shd w:val="solid" w:color="FFFFFF" w:fill="auto"/>
          </w:tcPr>
          <w:p w14:paraId="4592BABE"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2912E889" w14:textId="77777777" w:rsidR="00A10B25" w:rsidRDefault="00A10B25">
            <w:pPr>
              <w:pStyle w:val="TAL"/>
              <w:rPr>
                <w:sz w:val="16"/>
                <w:szCs w:val="16"/>
              </w:rPr>
            </w:pPr>
            <w:r>
              <w:rPr>
                <w:sz w:val="16"/>
                <w:szCs w:val="16"/>
              </w:rPr>
              <w:t>0115</w:t>
            </w:r>
          </w:p>
        </w:tc>
        <w:tc>
          <w:tcPr>
            <w:tcW w:w="423" w:type="dxa"/>
            <w:shd w:val="solid" w:color="FFFFFF" w:fill="auto"/>
          </w:tcPr>
          <w:p w14:paraId="556F9D9E" w14:textId="77777777" w:rsidR="00A10B25" w:rsidRDefault="00A10B25">
            <w:pPr>
              <w:pStyle w:val="TAR"/>
              <w:rPr>
                <w:sz w:val="16"/>
                <w:szCs w:val="16"/>
              </w:rPr>
            </w:pPr>
            <w:r>
              <w:rPr>
                <w:sz w:val="16"/>
                <w:szCs w:val="16"/>
              </w:rPr>
              <w:t>1</w:t>
            </w:r>
          </w:p>
        </w:tc>
        <w:tc>
          <w:tcPr>
            <w:tcW w:w="423" w:type="dxa"/>
            <w:shd w:val="solid" w:color="FFFFFF" w:fill="auto"/>
          </w:tcPr>
          <w:p w14:paraId="35FEAC09" w14:textId="77777777" w:rsidR="00A10B25" w:rsidRDefault="00A10B25">
            <w:pPr>
              <w:pStyle w:val="TAC"/>
              <w:rPr>
                <w:sz w:val="16"/>
                <w:szCs w:val="16"/>
              </w:rPr>
            </w:pPr>
            <w:r>
              <w:rPr>
                <w:sz w:val="16"/>
                <w:szCs w:val="16"/>
              </w:rPr>
              <w:t>F</w:t>
            </w:r>
          </w:p>
        </w:tc>
        <w:tc>
          <w:tcPr>
            <w:tcW w:w="4899" w:type="dxa"/>
            <w:shd w:val="solid" w:color="FFFFFF" w:fill="auto"/>
          </w:tcPr>
          <w:p w14:paraId="061AB5DB" w14:textId="77777777" w:rsidR="00A10B25" w:rsidRDefault="00A10B25">
            <w:pPr>
              <w:pStyle w:val="TAL"/>
              <w:rPr>
                <w:sz w:val="16"/>
                <w:szCs w:val="16"/>
              </w:rPr>
            </w:pPr>
            <w:r>
              <w:rPr>
                <w:sz w:val="16"/>
                <w:szCs w:val="16"/>
              </w:rPr>
              <w:t>Update Feature applicability for Rel-16 new data types</w:t>
            </w:r>
          </w:p>
        </w:tc>
        <w:tc>
          <w:tcPr>
            <w:tcW w:w="706" w:type="dxa"/>
            <w:shd w:val="solid" w:color="FFFFFF" w:fill="auto"/>
          </w:tcPr>
          <w:p w14:paraId="49BF4B34" w14:textId="77777777" w:rsidR="00A10B25" w:rsidRDefault="00A10B25">
            <w:pPr>
              <w:pStyle w:val="TAC"/>
              <w:rPr>
                <w:sz w:val="16"/>
                <w:szCs w:val="16"/>
              </w:rPr>
            </w:pPr>
            <w:r>
              <w:rPr>
                <w:sz w:val="16"/>
                <w:szCs w:val="16"/>
              </w:rPr>
              <w:t>16.3.0</w:t>
            </w:r>
          </w:p>
        </w:tc>
      </w:tr>
      <w:tr w:rsidR="00A10B25" w14:paraId="59141A93" w14:textId="77777777">
        <w:tc>
          <w:tcPr>
            <w:tcW w:w="796" w:type="dxa"/>
            <w:shd w:val="solid" w:color="FFFFFF" w:fill="auto"/>
          </w:tcPr>
          <w:p w14:paraId="1A68B966" w14:textId="77777777" w:rsidR="00A10B25" w:rsidRDefault="00A10B25">
            <w:pPr>
              <w:pStyle w:val="TAC"/>
              <w:rPr>
                <w:sz w:val="16"/>
                <w:szCs w:val="16"/>
              </w:rPr>
            </w:pPr>
            <w:r>
              <w:rPr>
                <w:sz w:val="16"/>
                <w:szCs w:val="16"/>
              </w:rPr>
              <w:t>2020-03</w:t>
            </w:r>
          </w:p>
        </w:tc>
        <w:tc>
          <w:tcPr>
            <w:tcW w:w="828" w:type="dxa"/>
            <w:shd w:val="solid" w:color="FFFFFF" w:fill="auto"/>
          </w:tcPr>
          <w:p w14:paraId="3E9D3FC4" w14:textId="77777777" w:rsidR="00A10B25" w:rsidRDefault="00A10B25">
            <w:pPr>
              <w:pStyle w:val="TAC"/>
              <w:rPr>
                <w:sz w:val="16"/>
                <w:szCs w:val="16"/>
              </w:rPr>
            </w:pPr>
            <w:r>
              <w:rPr>
                <w:sz w:val="16"/>
                <w:szCs w:val="16"/>
              </w:rPr>
              <w:t>CT#87e</w:t>
            </w:r>
          </w:p>
        </w:tc>
        <w:tc>
          <w:tcPr>
            <w:tcW w:w="1083" w:type="dxa"/>
            <w:shd w:val="solid" w:color="FFFFFF" w:fill="auto"/>
          </w:tcPr>
          <w:p w14:paraId="31A42782"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018C6FE3" w14:textId="77777777" w:rsidR="00A10B25" w:rsidRDefault="00A10B25">
            <w:pPr>
              <w:pStyle w:val="TAL"/>
              <w:rPr>
                <w:sz w:val="16"/>
                <w:szCs w:val="16"/>
              </w:rPr>
            </w:pPr>
            <w:r>
              <w:rPr>
                <w:sz w:val="16"/>
                <w:szCs w:val="16"/>
              </w:rPr>
              <w:t>0118</w:t>
            </w:r>
          </w:p>
        </w:tc>
        <w:tc>
          <w:tcPr>
            <w:tcW w:w="423" w:type="dxa"/>
            <w:shd w:val="solid" w:color="FFFFFF" w:fill="auto"/>
          </w:tcPr>
          <w:p w14:paraId="03ACF9C9" w14:textId="77777777" w:rsidR="00A10B25" w:rsidRDefault="00A10B25">
            <w:pPr>
              <w:pStyle w:val="TAR"/>
              <w:rPr>
                <w:sz w:val="16"/>
                <w:szCs w:val="16"/>
              </w:rPr>
            </w:pPr>
            <w:r>
              <w:rPr>
                <w:sz w:val="16"/>
                <w:szCs w:val="16"/>
              </w:rPr>
              <w:t>2</w:t>
            </w:r>
          </w:p>
        </w:tc>
        <w:tc>
          <w:tcPr>
            <w:tcW w:w="423" w:type="dxa"/>
            <w:shd w:val="solid" w:color="FFFFFF" w:fill="auto"/>
          </w:tcPr>
          <w:p w14:paraId="1DF74ED8" w14:textId="77777777" w:rsidR="00A10B25" w:rsidRDefault="00A10B25">
            <w:pPr>
              <w:pStyle w:val="TAC"/>
              <w:rPr>
                <w:sz w:val="16"/>
                <w:szCs w:val="16"/>
              </w:rPr>
            </w:pPr>
            <w:r>
              <w:rPr>
                <w:sz w:val="16"/>
                <w:szCs w:val="16"/>
              </w:rPr>
              <w:t>D</w:t>
            </w:r>
          </w:p>
        </w:tc>
        <w:tc>
          <w:tcPr>
            <w:tcW w:w="4899" w:type="dxa"/>
            <w:shd w:val="solid" w:color="FFFFFF" w:fill="auto"/>
          </w:tcPr>
          <w:p w14:paraId="339863A2" w14:textId="77777777" w:rsidR="00A10B25" w:rsidRDefault="00A10B25">
            <w:pPr>
              <w:pStyle w:val="TAL"/>
              <w:rPr>
                <w:sz w:val="16"/>
                <w:szCs w:val="16"/>
              </w:rPr>
            </w:pPr>
            <w:r>
              <w:rPr>
                <w:sz w:val="16"/>
                <w:szCs w:val="16"/>
                <w:lang w:val="en-US" w:eastAsia="zh-CN"/>
              </w:rPr>
              <w:t>Corrections in TS29.520</w:t>
            </w:r>
          </w:p>
        </w:tc>
        <w:tc>
          <w:tcPr>
            <w:tcW w:w="706" w:type="dxa"/>
            <w:shd w:val="solid" w:color="FFFFFF" w:fill="auto"/>
          </w:tcPr>
          <w:p w14:paraId="78330A03" w14:textId="77777777" w:rsidR="00A10B25" w:rsidRDefault="00A10B25">
            <w:pPr>
              <w:pStyle w:val="TAC"/>
              <w:rPr>
                <w:sz w:val="16"/>
                <w:szCs w:val="16"/>
              </w:rPr>
            </w:pPr>
            <w:r>
              <w:rPr>
                <w:sz w:val="16"/>
                <w:szCs w:val="16"/>
              </w:rPr>
              <w:t>16.3.0</w:t>
            </w:r>
          </w:p>
        </w:tc>
      </w:tr>
      <w:tr w:rsidR="00A10B25" w14:paraId="516A0505" w14:textId="77777777">
        <w:tc>
          <w:tcPr>
            <w:tcW w:w="796" w:type="dxa"/>
            <w:shd w:val="solid" w:color="FFFFFF" w:fill="auto"/>
          </w:tcPr>
          <w:p w14:paraId="734C56D6" w14:textId="77777777" w:rsidR="00A10B25" w:rsidRDefault="00A10B25">
            <w:pPr>
              <w:pStyle w:val="TAC"/>
              <w:rPr>
                <w:sz w:val="16"/>
                <w:szCs w:val="16"/>
              </w:rPr>
            </w:pPr>
            <w:r>
              <w:rPr>
                <w:sz w:val="16"/>
                <w:szCs w:val="16"/>
              </w:rPr>
              <w:t>2020-03</w:t>
            </w:r>
          </w:p>
        </w:tc>
        <w:tc>
          <w:tcPr>
            <w:tcW w:w="828" w:type="dxa"/>
            <w:shd w:val="solid" w:color="FFFFFF" w:fill="auto"/>
          </w:tcPr>
          <w:p w14:paraId="52AC3CFD" w14:textId="77777777" w:rsidR="00A10B25" w:rsidRDefault="00A10B25">
            <w:pPr>
              <w:pStyle w:val="TAC"/>
              <w:rPr>
                <w:sz w:val="16"/>
                <w:szCs w:val="16"/>
              </w:rPr>
            </w:pPr>
            <w:r>
              <w:rPr>
                <w:sz w:val="16"/>
                <w:szCs w:val="16"/>
              </w:rPr>
              <w:t>CT#87e</w:t>
            </w:r>
          </w:p>
        </w:tc>
        <w:tc>
          <w:tcPr>
            <w:tcW w:w="1083" w:type="dxa"/>
            <w:shd w:val="solid" w:color="FFFFFF" w:fill="auto"/>
          </w:tcPr>
          <w:p w14:paraId="34AC8975"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5A221549" w14:textId="77777777" w:rsidR="00A10B25" w:rsidRDefault="00A10B25">
            <w:pPr>
              <w:pStyle w:val="TAL"/>
              <w:rPr>
                <w:sz w:val="16"/>
                <w:szCs w:val="16"/>
              </w:rPr>
            </w:pPr>
            <w:r>
              <w:rPr>
                <w:sz w:val="16"/>
                <w:szCs w:val="16"/>
              </w:rPr>
              <w:t>0120</w:t>
            </w:r>
          </w:p>
        </w:tc>
        <w:tc>
          <w:tcPr>
            <w:tcW w:w="423" w:type="dxa"/>
            <w:shd w:val="solid" w:color="FFFFFF" w:fill="auto"/>
          </w:tcPr>
          <w:p w14:paraId="68976BCE" w14:textId="77777777" w:rsidR="00A10B25" w:rsidRDefault="00A10B25">
            <w:pPr>
              <w:pStyle w:val="TAR"/>
              <w:rPr>
                <w:sz w:val="16"/>
                <w:szCs w:val="16"/>
              </w:rPr>
            </w:pPr>
            <w:r>
              <w:rPr>
                <w:sz w:val="16"/>
                <w:szCs w:val="16"/>
              </w:rPr>
              <w:t>1</w:t>
            </w:r>
          </w:p>
        </w:tc>
        <w:tc>
          <w:tcPr>
            <w:tcW w:w="423" w:type="dxa"/>
            <w:shd w:val="solid" w:color="FFFFFF" w:fill="auto"/>
          </w:tcPr>
          <w:p w14:paraId="140FB952" w14:textId="77777777" w:rsidR="00A10B25" w:rsidRDefault="00A10B25">
            <w:pPr>
              <w:pStyle w:val="TAC"/>
              <w:rPr>
                <w:sz w:val="16"/>
                <w:szCs w:val="16"/>
              </w:rPr>
            </w:pPr>
            <w:r>
              <w:rPr>
                <w:sz w:val="16"/>
                <w:szCs w:val="16"/>
              </w:rPr>
              <w:t>F</w:t>
            </w:r>
          </w:p>
        </w:tc>
        <w:tc>
          <w:tcPr>
            <w:tcW w:w="4899" w:type="dxa"/>
            <w:shd w:val="solid" w:color="FFFFFF" w:fill="auto"/>
          </w:tcPr>
          <w:p w14:paraId="3A453F74" w14:textId="77777777" w:rsidR="00A10B25" w:rsidRDefault="00A10B25">
            <w:pPr>
              <w:pStyle w:val="TAL"/>
              <w:rPr>
                <w:sz w:val="16"/>
                <w:szCs w:val="16"/>
              </w:rPr>
            </w:pPr>
            <w:r>
              <w:rPr>
                <w:sz w:val="16"/>
                <w:szCs w:val="16"/>
                <w:lang w:val="en-US" w:eastAsia="zh-CN"/>
              </w:rPr>
              <w:t>Clarify start time and end time</w:t>
            </w:r>
          </w:p>
        </w:tc>
        <w:tc>
          <w:tcPr>
            <w:tcW w:w="706" w:type="dxa"/>
            <w:shd w:val="solid" w:color="FFFFFF" w:fill="auto"/>
          </w:tcPr>
          <w:p w14:paraId="0DA0159E" w14:textId="77777777" w:rsidR="00A10B25" w:rsidRDefault="00A10B25">
            <w:pPr>
              <w:pStyle w:val="TAC"/>
              <w:rPr>
                <w:sz w:val="16"/>
                <w:szCs w:val="16"/>
              </w:rPr>
            </w:pPr>
            <w:r>
              <w:rPr>
                <w:sz w:val="16"/>
                <w:szCs w:val="16"/>
              </w:rPr>
              <w:t>16.3.0</w:t>
            </w:r>
          </w:p>
        </w:tc>
      </w:tr>
      <w:tr w:rsidR="00A10B25" w14:paraId="38FF5932" w14:textId="77777777">
        <w:tc>
          <w:tcPr>
            <w:tcW w:w="796" w:type="dxa"/>
            <w:shd w:val="solid" w:color="FFFFFF" w:fill="auto"/>
          </w:tcPr>
          <w:p w14:paraId="6B4F7A9D" w14:textId="77777777" w:rsidR="00A10B25" w:rsidRDefault="00A10B25">
            <w:pPr>
              <w:pStyle w:val="TAC"/>
              <w:rPr>
                <w:sz w:val="16"/>
                <w:szCs w:val="16"/>
              </w:rPr>
            </w:pPr>
            <w:r>
              <w:rPr>
                <w:sz w:val="16"/>
                <w:szCs w:val="16"/>
              </w:rPr>
              <w:t>2020-03</w:t>
            </w:r>
          </w:p>
        </w:tc>
        <w:tc>
          <w:tcPr>
            <w:tcW w:w="828" w:type="dxa"/>
            <w:shd w:val="solid" w:color="FFFFFF" w:fill="auto"/>
          </w:tcPr>
          <w:p w14:paraId="631FC528" w14:textId="77777777" w:rsidR="00A10B25" w:rsidRDefault="00A10B25">
            <w:pPr>
              <w:pStyle w:val="TAC"/>
              <w:rPr>
                <w:sz w:val="16"/>
                <w:szCs w:val="16"/>
              </w:rPr>
            </w:pPr>
            <w:r>
              <w:rPr>
                <w:sz w:val="16"/>
                <w:szCs w:val="16"/>
              </w:rPr>
              <w:t>CT#87e</w:t>
            </w:r>
          </w:p>
        </w:tc>
        <w:tc>
          <w:tcPr>
            <w:tcW w:w="1083" w:type="dxa"/>
            <w:shd w:val="solid" w:color="FFFFFF" w:fill="auto"/>
          </w:tcPr>
          <w:p w14:paraId="54DB6D91" w14:textId="77777777" w:rsidR="00A10B25" w:rsidRDefault="00A10B25">
            <w:pPr>
              <w:pStyle w:val="TAC"/>
              <w:rPr>
                <w:sz w:val="16"/>
                <w:szCs w:val="16"/>
              </w:rPr>
            </w:pPr>
            <w:r>
              <w:rPr>
                <w:sz w:val="16"/>
                <w:szCs w:val="16"/>
              </w:rPr>
              <w:t>CP-200182</w:t>
            </w:r>
          </w:p>
        </w:tc>
        <w:tc>
          <w:tcPr>
            <w:tcW w:w="523" w:type="dxa"/>
            <w:shd w:val="solid" w:color="FFFFFF" w:fill="auto"/>
          </w:tcPr>
          <w:p w14:paraId="01072BF2" w14:textId="77777777" w:rsidR="00A10B25" w:rsidRDefault="00A10B25">
            <w:pPr>
              <w:pStyle w:val="TAL"/>
              <w:rPr>
                <w:sz w:val="16"/>
                <w:szCs w:val="16"/>
              </w:rPr>
            </w:pPr>
            <w:r>
              <w:rPr>
                <w:sz w:val="16"/>
                <w:szCs w:val="16"/>
              </w:rPr>
              <w:t>0121</w:t>
            </w:r>
          </w:p>
        </w:tc>
        <w:tc>
          <w:tcPr>
            <w:tcW w:w="423" w:type="dxa"/>
            <w:shd w:val="solid" w:color="FFFFFF" w:fill="auto"/>
          </w:tcPr>
          <w:p w14:paraId="0B2D9558" w14:textId="77777777" w:rsidR="00A10B25" w:rsidRDefault="00A10B25">
            <w:pPr>
              <w:pStyle w:val="TAR"/>
              <w:rPr>
                <w:sz w:val="16"/>
                <w:szCs w:val="16"/>
              </w:rPr>
            </w:pPr>
            <w:r>
              <w:rPr>
                <w:sz w:val="16"/>
                <w:szCs w:val="16"/>
              </w:rPr>
              <w:t>2</w:t>
            </w:r>
          </w:p>
        </w:tc>
        <w:tc>
          <w:tcPr>
            <w:tcW w:w="423" w:type="dxa"/>
            <w:shd w:val="solid" w:color="FFFFFF" w:fill="auto"/>
          </w:tcPr>
          <w:p w14:paraId="6EC70DCF" w14:textId="77777777" w:rsidR="00A10B25" w:rsidRDefault="00A10B25">
            <w:pPr>
              <w:pStyle w:val="TAC"/>
              <w:rPr>
                <w:sz w:val="16"/>
                <w:szCs w:val="16"/>
              </w:rPr>
            </w:pPr>
            <w:r>
              <w:rPr>
                <w:sz w:val="16"/>
                <w:szCs w:val="16"/>
              </w:rPr>
              <w:t>F</w:t>
            </w:r>
          </w:p>
        </w:tc>
        <w:tc>
          <w:tcPr>
            <w:tcW w:w="4899" w:type="dxa"/>
            <w:shd w:val="solid" w:color="FFFFFF" w:fill="auto"/>
          </w:tcPr>
          <w:p w14:paraId="6569B66B" w14:textId="77777777" w:rsidR="00A10B25" w:rsidRDefault="00A10B25">
            <w:pPr>
              <w:pStyle w:val="TAL"/>
              <w:rPr>
                <w:sz w:val="16"/>
                <w:szCs w:val="16"/>
              </w:rPr>
            </w:pPr>
            <w:r>
              <w:rPr>
                <w:sz w:val="16"/>
                <w:szCs w:val="16"/>
                <w:lang w:val="en-US" w:eastAsia="zh-CN"/>
              </w:rPr>
              <w:t>Correct QoS sustainability</w:t>
            </w:r>
          </w:p>
        </w:tc>
        <w:tc>
          <w:tcPr>
            <w:tcW w:w="706" w:type="dxa"/>
            <w:shd w:val="solid" w:color="FFFFFF" w:fill="auto"/>
          </w:tcPr>
          <w:p w14:paraId="238824FA" w14:textId="77777777" w:rsidR="00A10B25" w:rsidRDefault="00A10B25">
            <w:pPr>
              <w:pStyle w:val="TAC"/>
              <w:rPr>
                <w:sz w:val="16"/>
                <w:szCs w:val="16"/>
              </w:rPr>
            </w:pPr>
            <w:r>
              <w:rPr>
                <w:sz w:val="16"/>
                <w:szCs w:val="16"/>
              </w:rPr>
              <w:t>16.3.0</w:t>
            </w:r>
          </w:p>
        </w:tc>
      </w:tr>
      <w:tr w:rsidR="00A10B25" w14:paraId="2B3C9E76" w14:textId="77777777">
        <w:tc>
          <w:tcPr>
            <w:tcW w:w="796" w:type="dxa"/>
            <w:shd w:val="solid" w:color="FFFFFF" w:fill="auto"/>
          </w:tcPr>
          <w:p w14:paraId="370DACDB" w14:textId="77777777" w:rsidR="00A10B25" w:rsidRDefault="00A10B25">
            <w:pPr>
              <w:pStyle w:val="TAC"/>
              <w:rPr>
                <w:sz w:val="16"/>
                <w:szCs w:val="16"/>
              </w:rPr>
            </w:pPr>
            <w:r>
              <w:rPr>
                <w:sz w:val="16"/>
                <w:szCs w:val="16"/>
              </w:rPr>
              <w:t>2020-03</w:t>
            </w:r>
          </w:p>
        </w:tc>
        <w:tc>
          <w:tcPr>
            <w:tcW w:w="828" w:type="dxa"/>
            <w:shd w:val="solid" w:color="FFFFFF" w:fill="auto"/>
          </w:tcPr>
          <w:p w14:paraId="22AD114C" w14:textId="77777777" w:rsidR="00A10B25" w:rsidRDefault="00A10B25">
            <w:pPr>
              <w:pStyle w:val="TAC"/>
              <w:rPr>
                <w:sz w:val="16"/>
                <w:szCs w:val="16"/>
              </w:rPr>
            </w:pPr>
            <w:r>
              <w:rPr>
                <w:sz w:val="16"/>
                <w:szCs w:val="16"/>
              </w:rPr>
              <w:t>CT#87e</w:t>
            </w:r>
          </w:p>
        </w:tc>
        <w:tc>
          <w:tcPr>
            <w:tcW w:w="1083" w:type="dxa"/>
            <w:shd w:val="solid" w:color="FFFFFF" w:fill="auto"/>
          </w:tcPr>
          <w:p w14:paraId="647D4BE0" w14:textId="77777777" w:rsidR="00A10B25" w:rsidRDefault="00A10B25">
            <w:pPr>
              <w:pStyle w:val="TAC"/>
              <w:rPr>
                <w:sz w:val="16"/>
                <w:szCs w:val="16"/>
              </w:rPr>
            </w:pPr>
            <w:r>
              <w:rPr>
                <w:sz w:val="16"/>
                <w:szCs w:val="16"/>
              </w:rPr>
              <w:t>CP-200232</w:t>
            </w:r>
          </w:p>
        </w:tc>
        <w:tc>
          <w:tcPr>
            <w:tcW w:w="523" w:type="dxa"/>
            <w:shd w:val="solid" w:color="FFFFFF" w:fill="auto"/>
          </w:tcPr>
          <w:p w14:paraId="35D4C437" w14:textId="77777777" w:rsidR="00A10B25" w:rsidRDefault="00A10B25">
            <w:pPr>
              <w:pStyle w:val="TAL"/>
              <w:rPr>
                <w:sz w:val="16"/>
                <w:szCs w:val="16"/>
              </w:rPr>
            </w:pPr>
            <w:r>
              <w:rPr>
                <w:sz w:val="16"/>
                <w:szCs w:val="16"/>
              </w:rPr>
              <w:t>0122</w:t>
            </w:r>
          </w:p>
        </w:tc>
        <w:tc>
          <w:tcPr>
            <w:tcW w:w="423" w:type="dxa"/>
            <w:shd w:val="solid" w:color="FFFFFF" w:fill="auto"/>
          </w:tcPr>
          <w:p w14:paraId="3E7844C7" w14:textId="77777777" w:rsidR="00A10B25" w:rsidRDefault="00A10B25">
            <w:pPr>
              <w:pStyle w:val="TAR"/>
              <w:rPr>
                <w:sz w:val="16"/>
                <w:szCs w:val="16"/>
              </w:rPr>
            </w:pPr>
            <w:r>
              <w:rPr>
                <w:sz w:val="16"/>
                <w:szCs w:val="16"/>
              </w:rPr>
              <w:t>1</w:t>
            </w:r>
          </w:p>
        </w:tc>
        <w:tc>
          <w:tcPr>
            <w:tcW w:w="423" w:type="dxa"/>
            <w:shd w:val="solid" w:color="FFFFFF" w:fill="auto"/>
          </w:tcPr>
          <w:p w14:paraId="26F3551F" w14:textId="77777777" w:rsidR="00A10B25" w:rsidRDefault="00A10B25">
            <w:pPr>
              <w:pStyle w:val="TAC"/>
              <w:rPr>
                <w:sz w:val="16"/>
                <w:szCs w:val="16"/>
              </w:rPr>
            </w:pPr>
            <w:r>
              <w:rPr>
                <w:sz w:val="16"/>
                <w:szCs w:val="16"/>
              </w:rPr>
              <w:t>F</w:t>
            </w:r>
          </w:p>
        </w:tc>
        <w:tc>
          <w:tcPr>
            <w:tcW w:w="4899" w:type="dxa"/>
            <w:shd w:val="solid" w:color="FFFFFF" w:fill="auto"/>
          </w:tcPr>
          <w:p w14:paraId="60153D08" w14:textId="77777777" w:rsidR="00A10B25" w:rsidRDefault="00A10B25">
            <w:pPr>
              <w:pStyle w:val="TAL"/>
              <w:rPr>
                <w:sz w:val="16"/>
                <w:szCs w:val="16"/>
              </w:rPr>
            </w:pPr>
            <w:r>
              <w:rPr>
                <w:sz w:val="16"/>
                <w:szCs w:val="16"/>
                <w:lang w:val="en-US" w:eastAsia="zh-CN"/>
              </w:rPr>
              <w:t>Correct UE mobility and communication</w:t>
            </w:r>
          </w:p>
        </w:tc>
        <w:tc>
          <w:tcPr>
            <w:tcW w:w="706" w:type="dxa"/>
            <w:shd w:val="solid" w:color="FFFFFF" w:fill="auto"/>
          </w:tcPr>
          <w:p w14:paraId="29D353A5" w14:textId="77777777" w:rsidR="00A10B25" w:rsidRDefault="00A10B25">
            <w:pPr>
              <w:pStyle w:val="TAC"/>
              <w:rPr>
                <w:sz w:val="16"/>
                <w:szCs w:val="16"/>
              </w:rPr>
            </w:pPr>
            <w:r>
              <w:rPr>
                <w:sz w:val="16"/>
                <w:szCs w:val="16"/>
              </w:rPr>
              <w:t>16.3.0</w:t>
            </w:r>
          </w:p>
        </w:tc>
      </w:tr>
      <w:tr w:rsidR="00A10B25" w14:paraId="0BB85CA1" w14:textId="77777777">
        <w:tc>
          <w:tcPr>
            <w:tcW w:w="796" w:type="dxa"/>
            <w:shd w:val="solid" w:color="FFFFFF" w:fill="auto"/>
          </w:tcPr>
          <w:p w14:paraId="4F97CD36" w14:textId="77777777" w:rsidR="00A10B25" w:rsidRDefault="00A10B25">
            <w:pPr>
              <w:pStyle w:val="TAC"/>
              <w:rPr>
                <w:sz w:val="16"/>
                <w:szCs w:val="16"/>
              </w:rPr>
            </w:pPr>
            <w:r>
              <w:rPr>
                <w:sz w:val="16"/>
                <w:szCs w:val="16"/>
              </w:rPr>
              <w:t>2020-03</w:t>
            </w:r>
          </w:p>
        </w:tc>
        <w:tc>
          <w:tcPr>
            <w:tcW w:w="828" w:type="dxa"/>
            <w:shd w:val="solid" w:color="FFFFFF" w:fill="auto"/>
          </w:tcPr>
          <w:p w14:paraId="0DA8813D" w14:textId="77777777" w:rsidR="00A10B25" w:rsidRDefault="00A10B25">
            <w:pPr>
              <w:pStyle w:val="TAC"/>
              <w:rPr>
                <w:sz w:val="16"/>
                <w:szCs w:val="16"/>
              </w:rPr>
            </w:pPr>
            <w:r>
              <w:rPr>
                <w:sz w:val="16"/>
                <w:szCs w:val="16"/>
              </w:rPr>
              <w:t>CT#87e</w:t>
            </w:r>
          </w:p>
        </w:tc>
        <w:tc>
          <w:tcPr>
            <w:tcW w:w="1083" w:type="dxa"/>
            <w:shd w:val="solid" w:color="FFFFFF" w:fill="auto"/>
          </w:tcPr>
          <w:p w14:paraId="1472B4DD"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0F914281" w14:textId="77777777" w:rsidR="00A10B25" w:rsidRDefault="00A10B25">
            <w:pPr>
              <w:pStyle w:val="TAL"/>
              <w:rPr>
                <w:sz w:val="16"/>
                <w:szCs w:val="16"/>
              </w:rPr>
            </w:pPr>
            <w:r>
              <w:rPr>
                <w:sz w:val="16"/>
                <w:szCs w:val="16"/>
              </w:rPr>
              <w:t>0123</w:t>
            </w:r>
          </w:p>
        </w:tc>
        <w:tc>
          <w:tcPr>
            <w:tcW w:w="423" w:type="dxa"/>
            <w:shd w:val="solid" w:color="FFFFFF" w:fill="auto"/>
          </w:tcPr>
          <w:p w14:paraId="52B0F587" w14:textId="77777777" w:rsidR="00A10B25" w:rsidRDefault="00A10B25">
            <w:pPr>
              <w:pStyle w:val="TAR"/>
              <w:rPr>
                <w:sz w:val="16"/>
                <w:szCs w:val="16"/>
              </w:rPr>
            </w:pPr>
            <w:r>
              <w:rPr>
                <w:sz w:val="16"/>
                <w:szCs w:val="16"/>
              </w:rPr>
              <w:t>1</w:t>
            </w:r>
          </w:p>
        </w:tc>
        <w:tc>
          <w:tcPr>
            <w:tcW w:w="423" w:type="dxa"/>
            <w:shd w:val="solid" w:color="FFFFFF" w:fill="auto"/>
          </w:tcPr>
          <w:p w14:paraId="69C80B64" w14:textId="77777777" w:rsidR="00A10B25" w:rsidRDefault="00A10B25">
            <w:pPr>
              <w:pStyle w:val="TAC"/>
              <w:rPr>
                <w:sz w:val="16"/>
                <w:szCs w:val="16"/>
              </w:rPr>
            </w:pPr>
            <w:r>
              <w:rPr>
                <w:sz w:val="16"/>
                <w:szCs w:val="16"/>
              </w:rPr>
              <w:t>B</w:t>
            </w:r>
          </w:p>
        </w:tc>
        <w:tc>
          <w:tcPr>
            <w:tcW w:w="4899" w:type="dxa"/>
            <w:shd w:val="solid" w:color="FFFFFF" w:fill="auto"/>
          </w:tcPr>
          <w:p w14:paraId="3A69E2E1" w14:textId="77777777" w:rsidR="00A10B25" w:rsidRDefault="00A10B25">
            <w:pPr>
              <w:pStyle w:val="TAL"/>
              <w:rPr>
                <w:sz w:val="16"/>
                <w:szCs w:val="16"/>
              </w:rPr>
            </w:pPr>
            <w:r>
              <w:rPr>
                <w:sz w:val="16"/>
                <w:szCs w:val="16"/>
                <w:lang w:val="en-US" w:eastAsia="zh-CN"/>
              </w:rPr>
              <w:t>Support network performance analytics</w:t>
            </w:r>
          </w:p>
        </w:tc>
        <w:tc>
          <w:tcPr>
            <w:tcW w:w="706" w:type="dxa"/>
            <w:shd w:val="solid" w:color="FFFFFF" w:fill="auto"/>
          </w:tcPr>
          <w:p w14:paraId="0B31ACA1" w14:textId="77777777" w:rsidR="00A10B25" w:rsidRDefault="00A10B25">
            <w:pPr>
              <w:pStyle w:val="TAC"/>
              <w:rPr>
                <w:sz w:val="16"/>
                <w:szCs w:val="16"/>
              </w:rPr>
            </w:pPr>
            <w:r>
              <w:rPr>
                <w:sz w:val="16"/>
                <w:szCs w:val="16"/>
              </w:rPr>
              <w:t>16.3.0</w:t>
            </w:r>
          </w:p>
        </w:tc>
      </w:tr>
      <w:tr w:rsidR="00A10B25" w14:paraId="471BD868" w14:textId="77777777">
        <w:tc>
          <w:tcPr>
            <w:tcW w:w="796" w:type="dxa"/>
            <w:shd w:val="solid" w:color="FFFFFF" w:fill="auto"/>
          </w:tcPr>
          <w:p w14:paraId="3AC6528C" w14:textId="77777777" w:rsidR="00A10B25" w:rsidRDefault="00A10B25">
            <w:pPr>
              <w:pStyle w:val="TAC"/>
              <w:rPr>
                <w:sz w:val="16"/>
                <w:szCs w:val="16"/>
              </w:rPr>
            </w:pPr>
            <w:r>
              <w:rPr>
                <w:sz w:val="16"/>
                <w:szCs w:val="16"/>
              </w:rPr>
              <w:t>2020-03</w:t>
            </w:r>
          </w:p>
        </w:tc>
        <w:tc>
          <w:tcPr>
            <w:tcW w:w="828" w:type="dxa"/>
            <w:shd w:val="solid" w:color="FFFFFF" w:fill="auto"/>
          </w:tcPr>
          <w:p w14:paraId="65599854" w14:textId="77777777" w:rsidR="00A10B25" w:rsidRDefault="00A10B25">
            <w:pPr>
              <w:pStyle w:val="TAC"/>
              <w:rPr>
                <w:sz w:val="16"/>
                <w:szCs w:val="16"/>
              </w:rPr>
            </w:pPr>
            <w:r>
              <w:rPr>
                <w:sz w:val="16"/>
                <w:szCs w:val="16"/>
              </w:rPr>
              <w:t>CT#87e</w:t>
            </w:r>
          </w:p>
        </w:tc>
        <w:tc>
          <w:tcPr>
            <w:tcW w:w="1083" w:type="dxa"/>
            <w:shd w:val="solid" w:color="FFFFFF" w:fill="auto"/>
          </w:tcPr>
          <w:p w14:paraId="3935B5B1"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5C8825B6" w14:textId="77777777" w:rsidR="00A10B25" w:rsidRDefault="00A10B25">
            <w:pPr>
              <w:pStyle w:val="TAL"/>
              <w:rPr>
                <w:sz w:val="16"/>
                <w:szCs w:val="16"/>
              </w:rPr>
            </w:pPr>
            <w:r>
              <w:rPr>
                <w:sz w:val="16"/>
                <w:szCs w:val="16"/>
              </w:rPr>
              <w:t>0124</w:t>
            </w:r>
          </w:p>
        </w:tc>
        <w:tc>
          <w:tcPr>
            <w:tcW w:w="423" w:type="dxa"/>
            <w:shd w:val="solid" w:color="FFFFFF" w:fill="auto"/>
          </w:tcPr>
          <w:p w14:paraId="6E1B8BDC" w14:textId="77777777" w:rsidR="00A10B25" w:rsidRDefault="00A10B25">
            <w:pPr>
              <w:pStyle w:val="TAR"/>
              <w:rPr>
                <w:sz w:val="16"/>
                <w:szCs w:val="16"/>
              </w:rPr>
            </w:pPr>
            <w:r>
              <w:rPr>
                <w:sz w:val="16"/>
                <w:szCs w:val="16"/>
              </w:rPr>
              <w:t>1</w:t>
            </w:r>
          </w:p>
        </w:tc>
        <w:tc>
          <w:tcPr>
            <w:tcW w:w="423" w:type="dxa"/>
            <w:shd w:val="solid" w:color="FFFFFF" w:fill="auto"/>
          </w:tcPr>
          <w:p w14:paraId="31D16179" w14:textId="77777777" w:rsidR="00A10B25" w:rsidRDefault="00A10B25">
            <w:pPr>
              <w:pStyle w:val="TAC"/>
              <w:rPr>
                <w:sz w:val="16"/>
                <w:szCs w:val="16"/>
              </w:rPr>
            </w:pPr>
            <w:r>
              <w:rPr>
                <w:sz w:val="16"/>
                <w:szCs w:val="16"/>
              </w:rPr>
              <w:t>F</w:t>
            </w:r>
          </w:p>
        </w:tc>
        <w:tc>
          <w:tcPr>
            <w:tcW w:w="4899" w:type="dxa"/>
            <w:shd w:val="solid" w:color="FFFFFF" w:fill="auto"/>
          </w:tcPr>
          <w:p w14:paraId="48951DD2" w14:textId="77777777" w:rsidR="00A10B25" w:rsidRDefault="00A10B25">
            <w:pPr>
              <w:pStyle w:val="TAL"/>
              <w:rPr>
                <w:sz w:val="16"/>
                <w:szCs w:val="16"/>
              </w:rPr>
            </w:pPr>
            <w:r>
              <w:rPr>
                <w:sz w:val="16"/>
                <w:szCs w:val="16"/>
              </w:rPr>
              <w:t>Correcting QoS sustainability information</w:t>
            </w:r>
          </w:p>
        </w:tc>
        <w:tc>
          <w:tcPr>
            <w:tcW w:w="706" w:type="dxa"/>
            <w:shd w:val="solid" w:color="FFFFFF" w:fill="auto"/>
          </w:tcPr>
          <w:p w14:paraId="1BA5EA57" w14:textId="77777777" w:rsidR="00A10B25" w:rsidRDefault="00A10B25">
            <w:pPr>
              <w:pStyle w:val="TAC"/>
              <w:rPr>
                <w:sz w:val="16"/>
                <w:szCs w:val="16"/>
              </w:rPr>
            </w:pPr>
            <w:r>
              <w:rPr>
                <w:sz w:val="16"/>
                <w:szCs w:val="16"/>
              </w:rPr>
              <w:t>16.3.0</w:t>
            </w:r>
          </w:p>
        </w:tc>
      </w:tr>
      <w:tr w:rsidR="00A10B25" w14:paraId="6AFA129E" w14:textId="77777777">
        <w:tc>
          <w:tcPr>
            <w:tcW w:w="796" w:type="dxa"/>
            <w:shd w:val="solid" w:color="FFFFFF" w:fill="auto"/>
          </w:tcPr>
          <w:p w14:paraId="1249EE97" w14:textId="77777777" w:rsidR="00A10B25" w:rsidRDefault="00A10B25">
            <w:pPr>
              <w:pStyle w:val="TAC"/>
              <w:rPr>
                <w:sz w:val="16"/>
                <w:szCs w:val="16"/>
              </w:rPr>
            </w:pPr>
            <w:r>
              <w:rPr>
                <w:sz w:val="16"/>
                <w:szCs w:val="16"/>
              </w:rPr>
              <w:t>2020-03</w:t>
            </w:r>
          </w:p>
        </w:tc>
        <w:tc>
          <w:tcPr>
            <w:tcW w:w="828" w:type="dxa"/>
            <w:shd w:val="solid" w:color="FFFFFF" w:fill="auto"/>
          </w:tcPr>
          <w:p w14:paraId="3952E468" w14:textId="77777777" w:rsidR="00A10B25" w:rsidRDefault="00A10B25">
            <w:pPr>
              <w:pStyle w:val="TAC"/>
              <w:rPr>
                <w:sz w:val="16"/>
                <w:szCs w:val="16"/>
              </w:rPr>
            </w:pPr>
            <w:r>
              <w:rPr>
                <w:sz w:val="16"/>
                <w:szCs w:val="16"/>
              </w:rPr>
              <w:t>CT#87e</w:t>
            </w:r>
          </w:p>
        </w:tc>
        <w:tc>
          <w:tcPr>
            <w:tcW w:w="1083" w:type="dxa"/>
            <w:shd w:val="solid" w:color="FFFFFF" w:fill="auto"/>
          </w:tcPr>
          <w:p w14:paraId="3C11438C" w14:textId="77777777" w:rsidR="00A10B25" w:rsidRDefault="00A10B25">
            <w:pPr>
              <w:pStyle w:val="TAC"/>
              <w:rPr>
                <w:sz w:val="16"/>
                <w:szCs w:val="16"/>
              </w:rPr>
            </w:pPr>
            <w:r>
              <w:rPr>
                <w:sz w:val="16"/>
                <w:szCs w:val="16"/>
              </w:rPr>
              <w:t>CP-200214</w:t>
            </w:r>
          </w:p>
        </w:tc>
        <w:tc>
          <w:tcPr>
            <w:tcW w:w="523" w:type="dxa"/>
            <w:shd w:val="solid" w:color="FFFFFF" w:fill="auto"/>
          </w:tcPr>
          <w:p w14:paraId="7D591C8F" w14:textId="77777777" w:rsidR="00A10B25" w:rsidRDefault="00A10B25">
            <w:pPr>
              <w:pStyle w:val="TAL"/>
              <w:rPr>
                <w:sz w:val="16"/>
                <w:szCs w:val="16"/>
              </w:rPr>
            </w:pPr>
            <w:r>
              <w:rPr>
                <w:sz w:val="16"/>
                <w:szCs w:val="16"/>
              </w:rPr>
              <w:t>0125</w:t>
            </w:r>
          </w:p>
        </w:tc>
        <w:tc>
          <w:tcPr>
            <w:tcW w:w="423" w:type="dxa"/>
            <w:shd w:val="solid" w:color="FFFFFF" w:fill="auto"/>
          </w:tcPr>
          <w:p w14:paraId="5EA99DD2" w14:textId="77777777" w:rsidR="00A10B25" w:rsidRDefault="00A10B25">
            <w:pPr>
              <w:pStyle w:val="TAR"/>
              <w:rPr>
                <w:sz w:val="16"/>
                <w:szCs w:val="16"/>
              </w:rPr>
            </w:pPr>
          </w:p>
        </w:tc>
        <w:tc>
          <w:tcPr>
            <w:tcW w:w="423" w:type="dxa"/>
            <w:shd w:val="solid" w:color="FFFFFF" w:fill="auto"/>
          </w:tcPr>
          <w:p w14:paraId="2C187581" w14:textId="77777777" w:rsidR="00A10B25" w:rsidRDefault="00A10B25">
            <w:pPr>
              <w:pStyle w:val="TAC"/>
              <w:rPr>
                <w:sz w:val="16"/>
                <w:szCs w:val="16"/>
              </w:rPr>
            </w:pPr>
            <w:r>
              <w:rPr>
                <w:sz w:val="16"/>
                <w:szCs w:val="16"/>
              </w:rPr>
              <w:t>F</w:t>
            </w:r>
          </w:p>
        </w:tc>
        <w:tc>
          <w:tcPr>
            <w:tcW w:w="4899" w:type="dxa"/>
            <w:shd w:val="solid" w:color="FFFFFF" w:fill="auto"/>
          </w:tcPr>
          <w:p w14:paraId="4160A523" w14:textId="77777777" w:rsidR="00A10B25" w:rsidRDefault="00A10B25">
            <w:pPr>
              <w:pStyle w:val="TAL"/>
              <w:rPr>
                <w:sz w:val="16"/>
                <w:szCs w:val="16"/>
              </w:rPr>
            </w:pPr>
            <w:r>
              <w:rPr>
                <w:sz w:val="16"/>
                <w:szCs w:val="16"/>
              </w:rPr>
              <w:t>OpenAPI: usage of the "tags" keyword</w:t>
            </w:r>
          </w:p>
        </w:tc>
        <w:tc>
          <w:tcPr>
            <w:tcW w:w="706" w:type="dxa"/>
            <w:shd w:val="solid" w:color="FFFFFF" w:fill="auto"/>
          </w:tcPr>
          <w:p w14:paraId="33AC104C" w14:textId="77777777" w:rsidR="00A10B25" w:rsidRDefault="00A10B25">
            <w:pPr>
              <w:pStyle w:val="TAC"/>
              <w:rPr>
                <w:sz w:val="16"/>
                <w:szCs w:val="16"/>
              </w:rPr>
            </w:pPr>
            <w:r>
              <w:rPr>
                <w:sz w:val="16"/>
                <w:szCs w:val="16"/>
              </w:rPr>
              <w:t>16.3.0</w:t>
            </w:r>
          </w:p>
        </w:tc>
      </w:tr>
      <w:tr w:rsidR="00A10B25" w14:paraId="341CDD97" w14:textId="77777777">
        <w:tc>
          <w:tcPr>
            <w:tcW w:w="796" w:type="dxa"/>
            <w:shd w:val="solid" w:color="FFFFFF" w:fill="auto"/>
          </w:tcPr>
          <w:p w14:paraId="16A91D87" w14:textId="77777777" w:rsidR="00A10B25" w:rsidRDefault="00A10B25">
            <w:pPr>
              <w:pStyle w:val="TAC"/>
              <w:rPr>
                <w:sz w:val="16"/>
                <w:szCs w:val="16"/>
              </w:rPr>
            </w:pPr>
            <w:r>
              <w:rPr>
                <w:sz w:val="16"/>
                <w:szCs w:val="16"/>
              </w:rPr>
              <w:t>2020-03</w:t>
            </w:r>
          </w:p>
        </w:tc>
        <w:tc>
          <w:tcPr>
            <w:tcW w:w="828" w:type="dxa"/>
            <w:shd w:val="solid" w:color="FFFFFF" w:fill="auto"/>
          </w:tcPr>
          <w:p w14:paraId="70DE8DB2" w14:textId="77777777" w:rsidR="00A10B25" w:rsidRDefault="00A10B25">
            <w:pPr>
              <w:pStyle w:val="TAC"/>
              <w:rPr>
                <w:sz w:val="16"/>
                <w:szCs w:val="16"/>
              </w:rPr>
            </w:pPr>
            <w:r>
              <w:rPr>
                <w:sz w:val="16"/>
                <w:szCs w:val="16"/>
              </w:rPr>
              <w:t>CT#87e</w:t>
            </w:r>
          </w:p>
        </w:tc>
        <w:tc>
          <w:tcPr>
            <w:tcW w:w="1083" w:type="dxa"/>
            <w:shd w:val="solid" w:color="FFFFFF" w:fill="auto"/>
          </w:tcPr>
          <w:p w14:paraId="24EED4B6"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79630515" w14:textId="77777777" w:rsidR="00A10B25" w:rsidRDefault="00A10B25">
            <w:pPr>
              <w:pStyle w:val="TAL"/>
              <w:rPr>
                <w:sz w:val="16"/>
                <w:szCs w:val="16"/>
              </w:rPr>
            </w:pPr>
            <w:r>
              <w:rPr>
                <w:sz w:val="16"/>
                <w:szCs w:val="16"/>
              </w:rPr>
              <w:t>0126</w:t>
            </w:r>
          </w:p>
        </w:tc>
        <w:tc>
          <w:tcPr>
            <w:tcW w:w="423" w:type="dxa"/>
            <w:shd w:val="solid" w:color="FFFFFF" w:fill="auto"/>
          </w:tcPr>
          <w:p w14:paraId="66C6F4F5" w14:textId="77777777" w:rsidR="00A10B25" w:rsidRDefault="00A10B25">
            <w:pPr>
              <w:pStyle w:val="TAR"/>
              <w:rPr>
                <w:sz w:val="16"/>
                <w:szCs w:val="16"/>
              </w:rPr>
            </w:pPr>
            <w:r>
              <w:rPr>
                <w:sz w:val="16"/>
                <w:szCs w:val="16"/>
              </w:rPr>
              <w:t>1</w:t>
            </w:r>
          </w:p>
        </w:tc>
        <w:tc>
          <w:tcPr>
            <w:tcW w:w="423" w:type="dxa"/>
            <w:shd w:val="solid" w:color="FFFFFF" w:fill="auto"/>
          </w:tcPr>
          <w:p w14:paraId="79B03E6E" w14:textId="77777777" w:rsidR="00A10B25" w:rsidRDefault="00A10B25">
            <w:pPr>
              <w:pStyle w:val="TAC"/>
              <w:rPr>
                <w:sz w:val="16"/>
                <w:szCs w:val="16"/>
              </w:rPr>
            </w:pPr>
            <w:r>
              <w:rPr>
                <w:sz w:val="16"/>
                <w:szCs w:val="16"/>
              </w:rPr>
              <w:t>F</w:t>
            </w:r>
          </w:p>
        </w:tc>
        <w:tc>
          <w:tcPr>
            <w:tcW w:w="4899" w:type="dxa"/>
            <w:shd w:val="solid" w:color="FFFFFF" w:fill="auto"/>
          </w:tcPr>
          <w:p w14:paraId="79580395" w14:textId="77777777" w:rsidR="00A10B25" w:rsidRDefault="00A10B25">
            <w:pPr>
              <w:pStyle w:val="TAL"/>
              <w:rPr>
                <w:sz w:val="16"/>
                <w:szCs w:val="16"/>
              </w:rPr>
            </w:pPr>
            <w:r>
              <w:rPr>
                <w:sz w:val="16"/>
                <w:szCs w:val="16"/>
              </w:rPr>
              <w:t xml:space="preserve">Corrections on resource name </w:t>
            </w:r>
          </w:p>
        </w:tc>
        <w:tc>
          <w:tcPr>
            <w:tcW w:w="706" w:type="dxa"/>
            <w:shd w:val="solid" w:color="FFFFFF" w:fill="auto"/>
          </w:tcPr>
          <w:p w14:paraId="408E749F" w14:textId="77777777" w:rsidR="00A10B25" w:rsidRDefault="00A10B25">
            <w:pPr>
              <w:pStyle w:val="TAC"/>
              <w:rPr>
                <w:sz w:val="16"/>
                <w:szCs w:val="16"/>
              </w:rPr>
            </w:pPr>
            <w:r>
              <w:rPr>
                <w:sz w:val="16"/>
                <w:szCs w:val="16"/>
              </w:rPr>
              <w:t>16.3.0</w:t>
            </w:r>
          </w:p>
        </w:tc>
      </w:tr>
      <w:tr w:rsidR="00A10B25" w14:paraId="2521E8F0" w14:textId="77777777">
        <w:tc>
          <w:tcPr>
            <w:tcW w:w="796" w:type="dxa"/>
            <w:shd w:val="solid" w:color="FFFFFF" w:fill="auto"/>
          </w:tcPr>
          <w:p w14:paraId="526DBDED" w14:textId="77777777" w:rsidR="00A10B25" w:rsidRDefault="00A10B25">
            <w:pPr>
              <w:pStyle w:val="TAC"/>
              <w:rPr>
                <w:sz w:val="16"/>
                <w:szCs w:val="16"/>
              </w:rPr>
            </w:pPr>
            <w:r>
              <w:rPr>
                <w:sz w:val="16"/>
                <w:szCs w:val="16"/>
              </w:rPr>
              <w:t>2020-03</w:t>
            </w:r>
          </w:p>
        </w:tc>
        <w:tc>
          <w:tcPr>
            <w:tcW w:w="828" w:type="dxa"/>
            <w:shd w:val="solid" w:color="FFFFFF" w:fill="auto"/>
          </w:tcPr>
          <w:p w14:paraId="571BFF4B" w14:textId="77777777" w:rsidR="00A10B25" w:rsidRDefault="00A10B25">
            <w:pPr>
              <w:pStyle w:val="TAC"/>
              <w:rPr>
                <w:sz w:val="16"/>
                <w:szCs w:val="16"/>
              </w:rPr>
            </w:pPr>
            <w:r>
              <w:rPr>
                <w:sz w:val="16"/>
                <w:szCs w:val="16"/>
              </w:rPr>
              <w:t>CT#87e</w:t>
            </w:r>
          </w:p>
        </w:tc>
        <w:tc>
          <w:tcPr>
            <w:tcW w:w="1083" w:type="dxa"/>
            <w:shd w:val="solid" w:color="FFFFFF" w:fill="auto"/>
          </w:tcPr>
          <w:p w14:paraId="681DC40C"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58F6FE76" w14:textId="77777777" w:rsidR="00A10B25" w:rsidRDefault="00A10B25">
            <w:pPr>
              <w:pStyle w:val="TAL"/>
              <w:rPr>
                <w:sz w:val="16"/>
                <w:szCs w:val="16"/>
              </w:rPr>
            </w:pPr>
            <w:r>
              <w:rPr>
                <w:sz w:val="16"/>
                <w:szCs w:val="16"/>
              </w:rPr>
              <w:t>0127</w:t>
            </w:r>
          </w:p>
        </w:tc>
        <w:tc>
          <w:tcPr>
            <w:tcW w:w="423" w:type="dxa"/>
            <w:shd w:val="solid" w:color="FFFFFF" w:fill="auto"/>
          </w:tcPr>
          <w:p w14:paraId="168CE99C" w14:textId="77777777" w:rsidR="00A10B25" w:rsidRDefault="00A10B25">
            <w:pPr>
              <w:pStyle w:val="TAR"/>
              <w:rPr>
                <w:sz w:val="16"/>
                <w:szCs w:val="16"/>
              </w:rPr>
            </w:pPr>
            <w:r>
              <w:rPr>
                <w:sz w:val="16"/>
                <w:szCs w:val="16"/>
              </w:rPr>
              <w:t>1</w:t>
            </w:r>
          </w:p>
        </w:tc>
        <w:tc>
          <w:tcPr>
            <w:tcW w:w="423" w:type="dxa"/>
            <w:shd w:val="solid" w:color="FFFFFF" w:fill="auto"/>
          </w:tcPr>
          <w:p w14:paraId="36EAB900" w14:textId="77777777" w:rsidR="00A10B25" w:rsidRDefault="00A10B25">
            <w:pPr>
              <w:pStyle w:val="TAC"/>
              <w:rPr>
                <w:sz w:val="16"/>
                <w:szCs w:val="16"/>
              </w:rPr>
            </w:pPr>
            <w:r>
              <w:rPr>
                <w:sz w:val="16"/>
                <w:szCs w:val="16"/>
              </w:rPr>
              <w:t>F</w:t>
            </w:r>
          </w:p>
        </w:tc>
        <w:tc>
          <w:tcPr>
            <w:tcW w:w="4899" w:type="dxa"/>
            <w:shd w:val="solid" w:color="FFFFFF" w:fill="auto"/>
          </w:tcPr>
          <w:p w14:paraId="65C7F8BC" w14:textId="77777777" w:rsidR="00A10B25" w:rsidRDefault="00A10B25">
            <w:pPr>
              <w:pStyle w:val="TAL"/>
              <w:rPr>
                <w:sz w:val="16"/>
                <w:szCs w:val="16"/>
              </w:rPr>
            </w:pPr>
            <w:r>
              <w:rPr>
                <w:sz w:val="16"/>
                <w:szCs w:val="16"/>
              </w:rPr>
              <w:t>Data used for area of interest</w:t>
            </w:r>
          </w:p>
        </w:tc>
        <w:tc>
          <w:tcPr>
            <w:tcW w:w="706" w:type="dxa"/>
            <w:shd w:val="solid" w:color="FFFFFF" w:fill="auto"/>
          </w:tcPr>
          <w:p w14:paraId="439E25EE" w14:textId="77777777" w:rsidR="00A10B25" w:rsidRDefault="00A10B25">
            <w:pPr>
              <w:pStyle w:val="TAC"/>
              <w:rPr>
                <w:sz w:val="16"/>
                <w:szCs w:val="16"/>
              </w:rPr>
            </w:pPr>
            <w:r>
              <w:rPr>
                <w:sz w:val="16"/>
                <w:szCs w:val="16"/>
              </w:rPr>
              <w:t>16.3.0</w:t>
            </w:r>
          </w:p>
        </w:tc>
      </w:tr>
      <w:tr w:rsidR="00A10B25" w14:paraId="7BDDC049" w14:textId="77777777">
        <w:tc>
          <w:tcPr>
            <w:tcW w:w="796" w:type="dxa"/>
            <w:shd w:val="solid" w:color="FFFFFF" w:fill="auto"/>
          </w:tcPr>
          <w:p w14:paraId="20F211FC" w14:textId="77777777" w:rsidR="00A10B25" w:rsidRDefault="00A10B25">
            <w:pPr>
              <w:pStyle w:val="TAC"/>
              <w:rPr>
                <w:sz w:val="16"/>
                <w:szCs w:val="16"/>
              </w:rPr>
            </w:pPr>
            <w:r>
              <w:rPr>
                <w:sz w:val="16"/>
                <w:szCs w:val="16"/>
              </w:rPr>
              <w:t>2020-03</w:t>
            </w:r>
          </w:p>
        </w:tc>
        <w:tc>
          <w:tcPr>
            <w:tcW w:w="828" w:type="dxa"/>
            <w:shd w:val="solid" w:color="FFFFFF" w:fill="auto"/>
          </w:tcPr>
          <w:p w14:paraId="01A8BF60" w14:textId="77777777" w:rsidR="00A10B25" w:rsidRDefault="00A10B25">
            <w:pPr>
              <w:pStyle w:val="TAC"/>
              <w:rPr>
                <w:sz w:val="16"/>
                <w:szCs w:val="16"/>
              </w:rPr>
            </w:pPr>
            <w:r>
              <w:rPr>
                <w:sz w:val="16"/>
                <w:szCs w:val="16"/>
              </w:rPr>
              <w:t>CT#87e</w:t>
            </w:r>
          </w:p>
        </w:tc>
        <w:tc>
          <w:tcPr>
            <w:tcW w:w="1083" w:type="dxa"/>
            <w:shd w:val="solid" w:color="FFFFFF" w:fill="auto"/>
          </w:tcPr>
          <w:p w14:paraId="41C27CA6"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5D34BDAD" w14:textId="77777777" w:rsidR="00A10B25" w:rsidRDefault="00A10B25">
            <w:pPr>
              <w:pStyle w:val="TAL"/>
              <w:rPr>
                <w:sz w:val="16"/>
                <w:szCs w:val="16"/>
              </w:rPr>
            </w:pPr>
            <w:r>
              <w:rPr>
                <w:sz w:val="16"/>
                <w:szCs w:val="16"/>
              </w:rPr>
              <w:t>0128</w:t>
            </w:r>
          </w:p>
        </w:tc>
        <w:tc>
          <w:tcPr>
            <w:tcW w:w="423" w:type="dxa"/>
            <w:shd w:val="solid" w:color="FFFFFF" w:fill="auto"/>
          </w:tcPr>
          <w:p w14:paraId="4B5D8531" w14:textId="77777777" w:rsidR="00A10B25" w:rsidRDefault="00A10B25">
            <w:pPr>
              <w:pStyle w:val="TAR"/>
              <w:rPr>
                <w:sz w:val="16"/>
                <w:szCs w:val="16"/>
              </w:rPr>
            </w:pPr>
            <w:r>
              <w:rPr>
                <w:sz w:val="16"/>
                <w:szCs w:val="16"/>
              </w:rPr>
              <w:t>1</w:t>
            </w:r>
          </w:p>
        </w:tc>
        <w:tc>
          <w:tcPr>
            <w:tcW w:w="423" w:type="dxa"/>
            <w:shd w:val="solid" w:color="FFFFFF" w:fill="auto"/>
          </w:tcPr>
          <w:p w14:paraId="5DCB7F7E" w14:textId="77777777" w:rsidR="00A10B25" w:rsidRDefault="00A10B25">
            <w:pPr>
              <w:pStyle w:val="TAC"/>
              <w:rPr>
                <w:sz w:val="16"/>
                <w:szCs w:val="16"/>
              </w:rPr>
            </w:pPr>
            <w:r>
              <w:rPr>
                <w:sz w:val="16"/>
                <w:szCs w:val="16"/>
              </w:rPr>
              <w:t>F</w:t>
            </w:r>
          </w:p>
        </w:tc>
        <w:tc>
          <w:tcPr>
            <w:tcW w:w="4899" w:type="dxa"/>
            <w:shd w:val="solid" w:color="FFFFFF" w:fill="auto"/>
          </w:tcPr>
          <w:p w14:paraId="62E6E4AE" w14:textId="77777777" w:rsidR="00A10B25" w:rsidRDefault="00A10B25">
            <w:pPr>
              <w:pStyle w:val="TAL"/>
              <w:rPr>
                <w:sz w:val="16"/>
                <w:szCs w:val="16"/>
              </w:rPr>
            </w:pPr>
            <w:r>
              <w:rPr>
                <w:sz w:val="16"/>
                <w:szCs w:val="16"/>
              </w:rPr>
              <w:t>Any UE possibility for UE mobility and UE communication</w:t>
            </w:r>
          </w:p>
        </w:tc>
        <w:tc>
          <w:tcPr>
            <w:tcW w:w="706" w:type="dxa"/>
            <w:shd w:val="solid" w:color="FFFFFF" w:fill="auto"/>
          </w:tcPr>
          <w:p w14:paraId="4EDFD43B" w14:textId="77777777" w:rsidR="00A10B25" w:rsidRDefault="00A10B25">
            <w:pPr>
              <w:pStyle w:val="TAC"/>
              <w:rPr>
                <w:sz w:val="16"/>
                <w:szCs w:val="16"/>
              </w:rPr>
            </w:pPr>
            <w:r>
              <w:rPr>
                <w:sz w:val="16"/>
                <w:szCs w:val="16"/>
              </w:rPr>
              <w:t>16.3.0</w:t>
            </w:r>
          </w:p>
        </w:tc>
      </w:tr>
      <w:tr w:rsidR="00A10B25" w14:paraId="720FE88D" w14:textId="77777777">
        <w:tc>
          <w:tcPr>
            <w:tcW w:w="796" w:type="dxa"/>
            <w:shd w:val="solid" w:color="FFFFFF" w:fill="auto"/>
          </w:tcPr>
          <w:p w14:paraId="05269D18" w14:textId="77777777" w:rsidR="00A10B25" w:rsidRDefault="00A10B25">
            <w:pPr>
              <w:pStyle w:val="TAC"/>
              <w:rPr>
                <w:sz w:val="16"/>
                <w:szCs w:val="16"/>
              </w:rPr>
            </w:pPr>
            <w:r>
              <w:rPr>
                <w:sz w:val="16"/>
                <w:szCs w:val="16"/>
              </w:rPr>
              <w:t>2020-03</w:t>
            </w:r>
          </w:p>
        </w:tc>
        <w:tc>
          <w:tcPr>
            <w:tcW w:w="828" w:type="dxa"/>
            <w:shd w:val="solid" w:color="FFFFFF" w:fill="auto"/>
          </w:tcPr>
          <w:p w14:paraId="35655CD7" w14:textId="77777777" w:rsidR="00A10B25" w:rsidRDefault="00A10B25">
            <w:pPr>
              <w:pStyle w:val="TAC"/>
              <w:rPr>
                <w:sz w:val="16"/>
                <w:szCs w:val="16"/>
              </w:rPr>
            </w:pPr>
            <w:r>
              <w:rPr>
                <w:sz w:val="16"/>
                <w:szCs w:val="16"/>
              </w:rPr>
              <w:t>CT#87e</w:t>
            </w:r>
          </w:p>
        </w:tc>
        <w:tc>
          <w:tcPr>
            <w:tcW w:w="1083" w:type="dxa"/>
            <w:shd w:val="solid" w:color="FFFFFF" w:fill="auto"/>
          </w:tcPr>
          <w:p w14:paraId="0CA763A6"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0CA68BFC" w14:textId="77777777" w:rsidR="00A10B25" w:rsidRDefault="00A10B25">
            <w:pPr>
              <w:pStyle w:val="TAL"/>
              <w:rPr>
                <w:sz w:val="16"/>
                <w:szCs w:val="16"/>
              </w:rPr>
            </w:pPr>
            <w:r>
              <w:rPr>
                <w:sz w:val="16"/>
                <w:szCs w:val="16"/>
              </w:rPr>
              <w:t>0129</w:t>
            </w:r>
          </w:p>
        </w:tc>
        <w:tc>
          <w:tcPr>
            <w:tcW w:w="423" w:type="dxa"/>
            <w:shd w:val="solid" w:color="FFFFFF" w:fill="auto"/>
          </w:tcPr>
          <w:p w14:paraId="6C54EA42" w14:textId="77777777" w:rsidR="00A10B25" w:rsidRDefault="00A10B25">
            <w:pPr>
              <w:pStyle w:val="TAR"/>
              <w:rPr>
                <w:sz w:val="16"/>
                <w:szCs w:val="16"/>
              </w:rPr>
            </w:pPr>
            <w:r>
              <w:rPr>
                <w:sz w:val="16"/>
                <w:szCs w:val="16"/>
              </w:rPr>
              <w:t>1</w:t>
            </w:r>
          </w:p>
        </w:tc>
        <w:tc>
          <w:tcPr>
            <w:tcW w:w="423" w:type="dxa"/>
            <w:shd w:val="solid" w:color="FFFFFF" w:fill="auto"/>
          </w:tcPr>
          <w:p w14:paraId="10ABCA29" w14:textId="77777777" w:rsidR="00A10B25" w:rsidRDefault="00A10B25">
            <w:pPr>
              <w:pStyle w:val="TAC"/>
              <w:rPr>
                <w:sz w:val="16"/>
                <w:szCs w:val="16"/>
              </w:rPr>
            </w:pPr>
            <w:r>
              <w:rPr>
                <w:sz w:val="16"/>
                <w:szCs w:val="16"/>
              </w:rPr>
              <w:t>B</w:t>
            </w:r>
          </w:p>
        </w:tc>
        <w:tc>
          <w:tcPr>
            <w:tcW w:w="4899" w:type="dxa"/>
            <w:shd w:val="solid" w:color="FFFFFF" w:fill="auto"/>
          </w:tcPr>
          <w:p w14:paraId="297734D4" w14:textId="77777777" w:rsidR="00A10B25" w:rsidRDefault="00A10B25">
            <w:pPr>
              <w:pStyle w:val="TAL"/>
              <w:rPr>
                <w:sz w:val="16"/>
                <w:szCs w:val="16"/>
              </w:rPr>
            </w:pPr>
            <w:r>
              <w:rPr>
                <w:sz w:val="16"/>
                <w:szCs w:val="16"/>
              </w:rPr>
              <w:t>Nnwdaf_EventsSubscription API, Support of Service experience</w:t>
            </w:r>
          </w:p>
        </w:tc>
        <w:tc>
          <w:tcPr>
            <w:tcW w:w="706" w:type="dxa"/>
            <w:shd w:val="solid" w:color="FFFFFF" w:fill="auto"/>
          </w:tcPr>
          <w:p w14:paraId="5D3269C1" w14:textId="77777777" w:rsidR="00A10B25" w:rsidRDefault="00A10B25">
            <w:pPr>
              <w:pStyle w:val="TAC"/>
              <w:rPr>
                <w:sz w:val="16"/>
                <w:szCs w:val="16"/>
              </w:rPr>
            </w:pPr>
            <w:r>
              <w:rPr>
                <w:sz w:val="16"/>
                <w:szCs w:val="16"/>
              </w:rPr>
              <w:t>16.3.0</w:t>
            </w:r>
          </w:p>
        </w:tc>
      </w:tr>
      <w:tr w:rsidR="00A10B25" w14:paraId="22533E44" w14:textId="77777777">
        <w:tc>
          <w:tcPr>
            <w:tcW w:w="796" w:type="dxa"/>
            <w:shd w:val="solid" w:color="FFFFFF" w:fill="auto"/>
          </w:tcPr>
          <w:p w14:paraId="67596873" w14:textId="77777777" w:rsidR="00A10B25" w:rsidRDefault="00A10B25">
            <w:pPr>
              <w:pStyle w:val="TAC"/>
              <w:rPr>
                <w:sz w:val="16"/>
                <w:szCs w:val="16"/>
              </w:rPr>
            </w:pPr>
            <w:r>
              <w:rPr>
                <w:sz w:val="16"/>
                <w:szCs w:val="16"/>
              </w:rPr>
              <w:t>2020-03</w:t>
            </w:r>
          </w:p>
        </w:tc>
        <w:tc>
          <w:tcPr>
            <w:tcW w:w="828" w:type="dxa"/>
            <w:shd w:val="solid" w:color="FFFFFF" w:fill="auto"/>
          </w:tcPr>
          <w:p w14:paraId="6C08EE19" w14:textId="77777777" w:rsidR="00A10B25" w:rsidRDefault="00A10B25">
            <w:pPr>
              <w:pStyle w:val="TAC"/>
              <w:rPr>
                <w:sz w:val="16"/>
                <w:szCs w:val="16"/>
              </w:rPr>
            </w:pPr>
            <w:r>
              <w:rPr>
                <w:sz w:val="16"/>
                <w:szCs w:val="16"/>
              </w:rPr>
              <w:t>CT#87e</w:t>
            </w:r>
          </w:p>
        </w:tc>
        <w:tc>
          <w:tcPr>
            <w:tcW w:w="1083" w:type="dxa"/>
            <w:shd w:val="solid" w:color="FFFFFF" w:fill="auto"/>
          </w:tcPr>
          <w:p w14:paraId="2DA32B9F" w14:textId="77777777" w:rsidR="00A10B25" w:rsidRDefault="00A10B25">
            <w:pPr>
              <w:pStyle w:val="TAC"/>
              <w:rPr>
                <w:sz w:val="16"/>
                <w:szCs w:val="16"/>
              </w:rPr>
            </w:pPr>
            <w:r>
              <w:rPr>
                <w:sz w:val="16"/>
                <w:szCs w:val="16"/>
                <w:lang w:eastAsia="zh-CN"/>
              </w:rPr>
              <w:t>CP-200208</w:t>
            </w:r>
          </w:p>
        </w:tc>
        <w:tc>
          <w:tcPr>
            <w:tcW w:w="523" w:type="dxa"/>
            <w:shd w:val="solid" w:color="FFFFFF" w:fill="auto"/>
          </w:tcPr>
          <w:p w14:paraId="67CD3406" w14:textId="77777777" w:rsidR="00A10B25" w:rsidRDefault="00A10B25">
            <w:pPr>
              <w:pStyle w:val="TAL"/>
              <w:rPr>
                <w:sz w:val="16"/>
                <w:szCs w:val="16"/>
              </w:rPr>
            </w:pPr>
            <w:r>
              <w:rPr>
                <w:sz w:val="16"/>
                <w:szCs w:val="16"/>
              </w:rPr>
              <w:t>0130</w:t>
            </w:r>
          </w:p>
        </w:tc>
        <w:tc>
          <w:tcPr>
            <w:tcW w:w="423" w:type="dxa"/>
            <w:shd w:val="solid" w:color="FFFFFF" w:fill="auto"/>
          </w:tcPr>
          <w:p w14:paraId="4651AC09" w14:textId="77777777" w:rsidR="00A10B25" w:rsidRDefault="00A10B25">
            <w:pPr>
              <w:pStyle w:val="TAR"/>
              <w:rPr>
                <w:sz w:val="16"/>
                <w:szCs w:val="16"/>
              </w:rPr>
            </w:pPr>
            <w:r>
              <w:rPr>
                <w:sz w:val="16"/>
                <w:szCs w:val="16"/>
              </w:rPr>
              <w:t>1</w:t>
            </w:r>
          </w:p>
        </w:tc>
        <w:tc>
          <w:tcPr>
            <w:tcW w:w="423" w:type="dxa"/>
            <w:shd w:val="solid" w:color="FFFFFF" w:fill="auto"/>
          </w:tcPr>
          <w:p w14:paraId="4641B7A6" w14:textId="77777777" w:rsidR="00A10B25" w:rsidRDefault="00A10B25">
            <w:pPr>
              <w:pStyle w:val="TAC"/>
              <w:rPr>
                <w:sz w:val="16"/>
                <w:szCs w:val="16"/>
              </w:rPr>
            </w:pPr>
            <w:r>
              <w:rPr>
                <w:sz w:val="16"/>
                <w:szCs w:val="16"/>
              </w:rPr>
              <w:t>B</w:t>
            </w:r>
          </w:p>
        </w:tc>
        <w:tc>
          <w:tcPr>
            <w:tcW w:w="4899" w:type="dxa"/>
            <w:shd w:val="solid" w:color="FFFFFF" w:fill="auto"/>
          </w:tcPr>
          <w:p w14:paraId="622F4819" w14:textId="77777777" w:rsidR="00A10B25" w:rsidRDefault="00A10B25">
            <w:pPr>
              <w:pStyle w:val="TAL"/>
              <w:rPr>
                <w:sz w:val="16"/>
                <w:szCs w:val="16"/>
              </w:rPr>
            </w:pPr>
            <w:r>
              <w:rPr>
                <w:sz w:val="16"/>
                <w:szCs w:val="16"/>
              </w:rPr>
              <w:t>Nnwdaf_EventsSubscription API, Support of Service experience</w:t>
            </w:r>
          </w:p>
        </w:tc>
        <w:tc>
          <w:tcPr>
            <w:tcW w:w="706" w:type="dxa"/>
            <w:shd w:val="solid" w:color="FFFFFF" w:fill="auto"/>
          </w:tcPr>
          <w:p w14:paraId="4AEDDD65" w14:textId="77777777" w:rsidR="00A10B25" w:rsidRDefault="00A10B25">
            <w:pPr>
              <w:pStyle w:val="TAC"/>
              <w:rPr>
                <w:sz w:val="16"/>
                <w:szCs w:val="16"/>
              </w:rPr>
            </w:pPr>
            <w:r>
              <w:rPr>
                <w:sz w:val="16"/>
                <w:szCs w:val="16"/>
              </w:rPr>
              <w:t>16.3.0</w:t>
            </w:r>
          </w:p>
        </w:tc>
      </w:tr>
      <w:tr w:rsidR="00A10B25" w14:paraId="3022AB9F" w14:textId="77777777">
        <w:tc>
          <w:tcPr>
            <w:tcW w:w="796" w:type="dxa"/>
            <w:shd w:val="solid" w:color="FFFFFF" w:fill="auto"/>
          </w:tcPr>
          <w:p w14:paraId="6E88709F" w14:textId="77777777" w:rsidR="00A10B25" w:rsidRDefault="00A10B25">
            <w:pPr>
              <w:pStyle w:val="TAC"/>
              <w:rPr>
                <w:sz w:val="16"/>
                <w:szCs w:val="16"/>
              </w:rPr>
            </w:pPr>
            <w:r>
              <w:rPr>
                <w:sz w:val="16"/>
                <w:szCs w:val="16"/>
              </w:rPr>
              <w:t>2020-03</w:t>
            </w:r>
          </w:p>
        </w:tc>
        <w:tc>
          <w:tcPr>
            <w:tcW w:w="828" w:type="dxa"/>
            <w:shd w:val="solid" w:color="FFFFFF" w:fill="auto"/>
          </w:tcPr>
          <w:p w14:paraId="03556D44" w14:textId="77777777" w:rsidR="00A10B25" w:rsidRDefault="00A10B25">
            <w:pPr>
              <w:pStyle w:val="TAC"/>
              <w:rPr>
                <w:sz w:val="16"/>
                <w:szCs w:val="16"/>
              </w:rPr>
            </w:pPr>
            <w:r>
              <w:rPr>
                <w:sz w:val="16"/>
                <w:szCs w:val="16"/>
              </w:rPr>
              <w:t>CT#87e</w:t>
            </w:r>
          </w:p>
        </w:tc>
        <w:tc>
          <w:tcPr>
            <w:tcW w:w="1083" w:type="dxa"/>
            <w:shd w:val="solid" w:color="FFFFFF" w:fill="auto"/>
          </w:tcPr>
          <w:p w14:paraId="7F4D7396" w14:textId="77777777" w:rsidR="00A10B25" w:rsidRDefault="00A10B25">
            <w:pPr>
              <w:pStyle w:val="TAC"/>
              <w:rPr>
                <w:sz w:val="16"/>
                <w:szCs w:val="16"/>
              </w:rPr>
            </w:pPr>
            <w:r>
              <w:rPr>
                <w:sz w:val="16"/>
                <w:szCs w:val="16"/>
              </w:rPr>
              <w:t>CP-200236</w:t>
            </w:r>
          </w:p>
        </w:tc>
        <w:tc>
          <w:tcPr>
            <w:tcW w:w="523" w:type="dxa"/>
            <w:shd w:val="solid" w:color="FFFFFF" w:fill="auto"/>
          </w:tcPr>
          <w:p w14:paraId="59582FF0" w14:textId="77777777" w:rsidR="00A10B25" w:rsidRDefault="00A10B25">
            <w:pPr>
              <w:pStyle w:val="TAL"/>
              <w:rPr>
                <w:sz w:val="16"/>
                <w:szCs w:val="16"/>
              </w:rPr>
            </w:pPr>
            <w:r>
              <w:rPr>
                <w:sz w:val="16"/>
                <w:szCs w:val="16"/>
              </w:rPr>
              <w:t>0131</w:t>
            </w:r>
          </w:p>
        </w:tc>
        <w:tc>
          <w:tcPr>
            <w:tcW w:w="423" w:type="dxa"/>
            <w:shd w:val="solid" w:color="FFFFFF" w:fill="auto"/>
          </w:tcPr>
          <w:p w14:paraId="2733F111" w14:textId="77777777" w:rsidR="00A10B25" w:rsidRDefault="00A10B25">
            <w:pPr>
              <w:pStyle w:val="TAR"/>
              <w:rPr>
                <w:sz w:val="16"/>
                <w:szCs w:val="16"/>
              </w:rPr>
            </w:pPr>
            <w:r>
              <w:rPr>
                <w:sz w:val="16"/>
                <w:szCs w:val="16"/>
              </w:rPr>
              <w:t>2</w:t>
            </w:r>
          </w:p>
        </w:tc>
        <w:tc>
          <w:tcPr>
            <w:tcW w:w="423" w:type="dxa"/>
            <w:shd w:val="solid" w:color="FFFFFF" w:fill="auto"/>
          </w:tcPr>
          <w:p w14:paraId="0EB3DBB7" w14:textId="77777777" w:rsidR="00A10B25" w:rsidRDefault="00A10B25">
            <w:pPr>
              <w:pStyle w:val="TAC"/>
              <w:rPr>
                <w:sz w:val="16"/>
                <w:szCs w:val="16"/>
              </w:rPr>
            </w:pPr>
            <w:r>
              <w:rPr>
                <w:sz w:val="16"/>
                <w:szCs w:val="16"/>
              </w:rPr>
              <w:t>B</w:t>
            </w:r>
          </w:p>
        </w:tc>
        <w:tc>
          <w:tcPr>
            <w:tcW w:w="4899" w:type="dxa"/>
            <w:shd w:val="solid" w:color="FFFFFF" w:fill="auto"/>
          </w:tcPr>
          <w:p w14:paraId="2500BA59" w14:textId="77777777" w:rsidR="00A10B25" w:rsidRDefault="00A10B25">
            <w:pPr>
              <w:pStyle w:val="TAL"/>
              <w:rPr>
                <w:sz w:val="16"/>
                <w:szCs w:val="16"/>
              </w:rPr>
            </w:pPr>
            <w:r>
              <w:rPr>
                <w:sz w:val="16"/>
                <w:szCs w:val="16"/>
              </w:rPr>
              <w:t>Nnwdaf_EventsSubscription API, Support of abnormal behaviour</w:t>
            </w:r>
          </w:p>
        </w:tc>
        <w:tc>
          <w:tcPr>
            <w:tcW w:w="706" w:type="dxa"/>
            <w:shd w:val="solid" w:color="FFFFFF" w:fill="auto"/>
          </w:tcPr>
          <w:p w14:paraId="27F9AB05" w14:textId="77777777" w:rsidR="00A10B25" w:rsidRDefault="00A10B25">
            <w:pPr>
              <w:pStyle w:val="TAC"/>
              <w:rPr>
                <w:sz w:val="16"/>
                <w:szCs w:val="16"/>
              </w:rPr>
            </w:pPr>
            <w:r>
              <w:rPr>
                <w:sz w:val="16"/>
                <w:szCs w:val="16"/>
              </w:rPr>
              <w:t>16.3.0</w:t>
            </w:r>
          </w:p>
        </w:tc>
      </w:tr>
      <w:tr w:rsidR="00A10B25" w14:paraId="428943FC" w14:textId="77777777">
        <w:tc>
          <w:tcPr>
            <w:tcW w:w="796" w:type="dxa"/>
            <w:shd w:val="solid" w:color="FFFFFF" w:fill="auto"/>
          </w:tcPr>
          <w:p w14:paraId="3D1EAD35" w14:textId="77777777" w:rsidR="00A10B25" w:rsidRDefault="00A10B25">
            <w:pPr>
              <w:pStyle w:val="TAC"/>
              <w:rPr>
                <w:sz w:val="16"/>
                <w:szCs w:val="16"/>
              </w:rPr>
            </w:pPr>
            <w:r>
              <w:rPr>
                <w:sz w:val="16"/>
                <w:szCs w:val="16"/>
              </w:rPr>
              <w:t>2020-03</w:t>
            </w:r>
          </w:p>
        </w:tc>
        <w:tc>
          <w:tcPr>
            <w:tcW w:w="828" w:type="dxa"/>
            <w:shd w:val="solid" w:color="FFFFFF" w:fill="auto"/>
          </w:tcPr>
          <w:p w14:paraId="5CE797CE" w14:textId="77777777" w:rsidR="00A10B25" w:rsidRDefault="00A10B25">
            <w:pPr>
              <w:pStyle w:val="TAC"/>
              <w:rPr>
                <w:sz w:val="16"/>
                <w:szCs w:val="16"/>
              </w:rPr>
            </w:pPr>
            <w:r>
              <w:rPr>
                <w:sz w:val="16"/>
                <w:szCs w:val="16"/>
              </w:rPr>
              <w:t>CT#87e</w:t>
            </w:r>
          </w:p>
        </w:tc>
        <w:tc>
          <w:tcPr>
            <w:tcW w:w="1083" w:type="dxa"/>
            <w:shd w:val="solid" w:color="FFFFFF" w:fill="auto"/>
          </w:tcPr>
          <w:p w14:paraId="3BB7939A" w14:textId="77777777" w:rsidR="00A10B25" w:rsidRDefault="00A10B25">
            <w:pPr>
              <w:pStyle w:val="TAC"/>
              <w:rPr>
                <w:sz w:val="16"/>
                <w:szCs w:val="16"/>
              </w:rPr>
            </w:pPr>
            <w:r>
              <w:rPr>
                <w:sz w:val="16"/>
                <w:szCs w:val="16"/>
              </w:rPr>
              <w:t>CP-200224</w:t>
            </w:r>
          </w:p>
        </w:tc>
        <w:tc>
          <w:tcPr>
            <w:tcW w:w="523" w:type="dxa"/>
            <w:shd w:val="solid" w:color="FFFFFF" w:fill="auto"/>
          </w:tcPr>
          <w:p w14:paraId="0CA645A7" w14:textId="77777777" w:rsidR="00A10B25" w:rsidRDefault="00A10B25">
            <w:pPr>
              <w:pStyle w:val="TAL"/>
              <w:rPr>
                <w:sz w:val="16"/>
                <w:szCs w:val="16"/>
              </w:rPr>
            </w:pPr>
            <w:r>
              <w:rPr>
                <w:sz w:val="16"/>
                <w:szCs w:val="16"/>
              </w:rPr>
              <w:t>0132</w:t>
            </w:r>
          </w:p>
        </w:tc>
        <w:tc>
          <w:tcPr>
            <w:tcW w:w="423" w:type="dxa"/>
            <w:shd w:val="solid" w:color="FFFFFF" w:fill="auto"/>
          </w:tcPr>
          <w:p w14:paraId="61CACED0" w14:textId="77777777" w:rsidR="00A10B25" w:rsidRDefault="00A10B25">
            <w:pPr>
              <w:pStyle w:val="TAR"/>
              <w:rPr>
                <w:sz w:val="16"/>
                <w:szCs w:val="16"/>
              </w:rPr>
            </w:pPr>
            <w:r>
              <w:rPr>
                <w:sz w:val="16"/>
                <w:szCs w:val="16"/>
              </w:rPr>
              <w:t>1</w:t>
            </w:r>
          </w:p>
        </w:tc>
        <w:tc>
          <w:tcPr>
            <w:tcW w:w="423" w:type="dxa"/>
            <w:shd w:val="solid" w:color="FFFFFF" w:fill="auto"/>
          </w:tcPr>
          <w:p w14:paraId="3C6CF5C7" w14:textId="77777777" w:rsidR="00A10B25" w:rsidRDefault="00A10B25">
            <w:pPr>
              <w:pStyle w:val="TAC"/>
              <w:rPr>
                <w:sz w:val="16"/>
                <w:szCs w:val="16"/>
              </w:rPr>
            </w:pPr>
            <w:r>
              <w:rPr>
                <w:sz w:val="16"/>
                <w:szCs w:val="16"/>
              </w:rPr>
              <w:t>B</w:t>
            </w:r>
          </w:p>
        </w:tc>
        <w:tc>
          <w:tcPr>
            <w:tcW w:w="4899" w:type="dxa"/>
            <w:shd w:val="solid" w:color="FFFFFF" w:fill="auto"/>
          </w:tcPr>
          <w:p w14:paraId="3B1DA291" w14:textId="77777777" w:rsidR="00A10B25" w:rsidRDefault="00A10B25">
            <w:pPr>
              <w:pStyle w:val="TAL"/>
              <w:rPr>
                <w:sz w:val="16"/>
                <w:szCs w:val="16"/>
              </w:rPr>
            </w:pPr>
            <w:r>
              <w:rPr>
                <w:sz w:val="16"/>
                <w:szCs w:val="16"/>
              </w:rPr>
              <w:t>Nnwdaf_AnalyticsInfo API, Support of abnormal behaviour</w:t>
            </w:r>
          </w:p>
        </w:tc>
        <w:tc>
          <w:tcPr>
            <w:tcW w:w="706" w:type="dxa"/>
            <w:shd w:val="solid" w:color="FFFFFF" w:fill="auto"/>
          </w:tcPr>
          <w:p w14:paraId="7AF27541" w14:textId="77777777" w:rsidR="00A10B25" w:rsidRDefault="00A10B25">
            <w:pPr>
              <w:pStyle w:val="TAC"/>
              <w:rPr>
                <w:sz w:val="16"/>
                <w:szCs w:val="16"/>
              </w:rPr>
            </w:pPr>
            <w:r>
              <w:rPr>
                <w:sz w:val="16"/>
                <w:szCs w:val="16"/>
              </w:rPr>
              <w:t>16.3.0</w:t>
            </w:r>
          </w:p>
        </w:tc>
      </w:tr>
      <w:tr w:rsidR="00A10B25" w14:paraId="2B673588" w14:textId="77777777">
        <w:tc>
          <w:tcPr>
            <w:tcW w:w="796" w:type="dxa"/>
            <w:shd w:val="solid" w:color="FFFFFF" w:fill="auto"/>
          </w:tcPr>
          <w:p w14:paraId="270200AD" w14:textId="77777777" w:rsidR="00A10B25" w:rsidRDefault="00A10B25">
            <w:pPr>
              <w:pStyle w:val="TAC"/>
              <w:rPr>
                <w:sz w:val="16"/>
                <w:szCs w:val="16"/>
              </w:rPr>
            </w:pPr>
            <w:r>
              <w:rPr>
                <w:sz w:val="16"/>
                <w:szCs w:val="16"/>
              </w:rPr>
              <w:t>2020-03</w:t>
            </w:r>
          </w:p>
        </w:tc>
        <w:tc>
          <w:tcPr>
            <w:tcW w:w="828" w:type="dxa"/>
            <w:shd w:val="solid" w:color="FFFFFF" w:fill="auto"/>
          </w:tcPr>
          <w:p w14:paraId="12E0B66E" w14:textId="77777777" w:rsidR="00A10B25" w:rsidRDefault="00A10B25">
            <w:pPr>
              <w:pStyle w:val="TAC"/>
              <w:rPr>
                <w:sz w:val="16"/>
                <w:szCs w:val="16"/>
              </w:rPr>
            </w:pPr>
            <w:r>
              <w:rPr>
                <w:sz w:val="16"/>
                <w:szCs w:val="16"/>
              </w:rPr>
              <w:t>CT#87e</w:t>
            </w:r>
          </w:p>
        </w:tc>
        <w:tc>
          <w:tcPr>
            <w:tcW w:w="1083" w:type="dxa"/>
            <w:shd w:val="solid" w:color="FFFFFF" w:fill="auto"/>
          </w:tcPr>
          <w:p w14:paraId="51C35BAC" w14:textId="77777777" w:rsidR="00A10B25" w:rsidRDefault="00A10B25">
            <w:pPr>
              <w:pStyle w:val="TAC"/>
              <w:rPr>
                <w:sz w:val="16"/>
                <w:szCs w:val="16"/>
              </w:rPr>
            </w:pPr>
            <w:r>
              <w:rPr>
                <w:sz w:val="16"/>
                <w:szCs w:val="16"/>
              </w:rPr>
              <w:t>CP-200228</w:t>
            </w:r>
          </w:p>
        </w:tc>
        <w:tc>
          <w:tcPr>
            <w:tcW w:w="523" w:type="dxa"/>
            <w:shd w:val="solid" w:color="FFFFFF" w:fill="auto"/>
          </w:tcPr>
          <w:p w14:paraId="4EA0BAC9" w14:textId="77777777" w:rsidR="00A10B25" w:rsidRDefault="00A10B25">
            <w:pPr>
              <w:pStyle w:val="TAL"/>
              <w:rPr>
                <w:sz w:val="16"/>
                <w:szCs w:val="16"/>
              </w:rPr>
            </w:pPr>
            <w:r>
              <w:rPr>
                <w:sz w:val="16"/>
                <w:szCs w:val="16"/>
              </w:rPr>
              <w:t>0136</w:t>
            </w:r>
          </w:p>
        </w:tc>
        <w:tc>
          <w:tcPr>
            <w:tcW w:w="423" w:type="dxa"/>
            <w:shd w:val="solid" w:color="FFFFFF" w:fill="auto"/>
          </w:tcPr>
          <w:p w14:paraId="072AA10B" w14:textId="77777777" w:rsidR="00A10B25" w:rsidRDefault="00A10B25">
            <w:pPr>
              <w:pStyle w:val="TAR"/>
              <w:rPr>
                <w:sz w:val="16"/>
                <w:szCs w:val="16"/>
              </w:rPr>
            </w:pPr>
            <w:r>
              <w:rPr>
                <w:sz w:val="16"/>
                <w:szCs w:val="16"/>
              </w:rPr>
              <w:t>2</w:t>
            </w:r>
          </w:p>
        </w:tc>
        <w:tc>
          <w:tcPr>
            <w:tcW w:w="423" w:type="dxa"/>
            <w:shd w:val="solid" w:color="FFFFFF" w:fill="auto"/>
          </w:tcPr>
          <w:p w14:paraId="0970C551" w14:textId="77777777" w:rsidR="00A10B25" w:rsidRDefault="00A10B25">
            <w:pPr>
              <w:pStyle w:val="TAC"/>
              <w:rPr>
                <w:sz w:val="16"/>
                <w:szCs w:val="16"/>
              </w:rPr>
            </w:pPr>
            <w:r>
              <w:rPr>
                <w:sz w:val="16"/>
                <w:szCs w:val="16"/>
              </w:rPr>
              <w:t>B</w:t>
            </w:r>
          </w:p>
        </w:tc>
        <w:tc>
          <w:tcPr>
            <w:tcW w:w="4899" w:type="dxa"/>
            <w:shd w:val="solid" w:color="FFFFFF" w:fill="auto"/>
          </w:tcPr>
          <w:p w14:paraId="464E6F3F" w14:textId="77777777" w:rsidR="00A10B25" w:rsidRDefault="00A10B25">
            <w:pPr>
              <w:pStyle w:val="TAL"/>
              <w:rPr>
                <w:sz w:val="16"/>
                <w:szCs w:val="16"/>
              </w:rPr>
            </w:pPr>
            <w:r>
              <w:rPr>
                <w:sz w:val="16"/>
                <w:szCs w:val="16"/>
              </w:rPr>
              <w:t>Support of NF Load analytics</w:t>
            </w:r>
          </w:p>
        </w:tc>
        <w:tc>
          <w:tcPr>
            <w:tcW w:w="706" w:type="dxa"/>
            <w:shd w:val="solid" w:color="FFFFFF" w:fill="auto"/>
          </w:tcPr>
          <w:p w14:paraId="4A0E8DEA" w14:textId="77777777" w:rsidR="00A10B25" w:rsidRDefault="00A10B25">
            <w:pPr>
              <w:pStyle w:val="TAC"/>
              <w:rPr>
                <w:sz w:val="16"/>
                <w:szCs w:val="16"/>
              </w:rPr>
            </w:pPr>
            <w:r>
              <w:rPr>
                <w:sz w:val="16"/>
                <w:szCs w:val="16"/>
              </w:rPr>
              <w:t>16.3.0</w:t>
            </w:r>
          </w:p>
        </w:tc>
      </w:tr>
      <w:tr w:rsidR="00A10B25" w14:paraId="5E563820" w14:textId="77777777">
        <w:tc>
          <w:tcPr>
            <w:tcW w:w="796" w:type="dxa"/>
            <w:shd w:val="solid" w:color="FFFFFF" w:fill="auto"/>
          </w:tcPr>
          <w:p w14:paraId="317D6EFC" w14:textId="77777777" w:rsidR="00A10B25" w:rsidRDefault="00A10B25">
            <w:pPr>
              <w:pStyle w:val="TAC"/>
              <w:rPr>
                <w:sz w:val="16"/>
                <w:szCs w:val="16"/>
              </w:rPr>
            </w:pPr>
            <w:r>
              <w:rPr>
                <w:sz w:val="16"/>
                <w:szCs w:val="16"/>
              </w:rPr>
              <w:t>2020-03</w:t>
            </w:r>
          </w:p>
        </w:tc>
        <w:tc>
          <w:tcPr>
            <w:tcW w:w="828" w:type="dxa"/>
            <w:shd w:val="solid" w:color="FFFFFF" w:fill="auto"/>
          </w:tcPr>
          <w:p w14:paraId="34178573" w14:textId="77777777" w:rsidR="00A10B25" w:rsidRDefault="00A10B25">
            <w:pPr>
              <w:pStyle w:val="TAC"/>
              <w:rPr>
                <w:sz w:val="16"/>
                <w:szCs w:val="16"/>
              </w:rPr>
            </w:pPr>
            <w:r>
              <w:rPr>
                <w:sz w:val="16"/>
                <w:szCs w:val="16"/>
              </w:rPr>
              <w:t>CT#87e</w:t>
            </w:r>
          </w:p>
        </w:tc>
        <w:tc>
          <w:tcPr>
            <w:tcW w:w="1083" w:type="dxa"/>
            <w:shd w:val="solid" w:color="FFFFFF" w:fill="auto"/>
          </w:tcPr>
          <w:p w14:paraId="056766B2" w14:textId="77777777" w:rsidR="00A10B25" w:rsidRDefault="00A10B25">
            <w:pPr>
              <w:pStyle w:val="TAC"/>
              <w:rPr>
                <w:sz w:val="16"/>
                <w:szCs w:val="16"/>
              </w:rPr>
            </w:pPr>
            <w:r>
              <w:rPr>
                <w:sz w:val="16"/>
                <w:szCs w:val="16"/>
              </w:rPr>
              <w:t>CP-200216</w:t>
            </w:r>
          </w:p>
        </w:tc>
        <w:tc>
          <w:tcPr>
            <w:tcW w:w="523" w:type="dxa"/>
            <w:shd w:val="solid" w:color="FFFFFF" w:fill="auto"/>
          </w:tcPr>
          <w:p w14:paraId="6ADB6CF0" w14:textId="77777777" w:rsidR="00A10B25" w:rsidRDefault="00A10B25">
            <w:pPr>
              <w:pStyle w:val="TAL"/>
              <w:rPr>
                <w:sz w:val="16"/>
                <w:szCs w:val="16"/>
              </w:rPr>
            </w:pPr>
            <w:r>
              <w:rPr>
                <w:sz w:val="16"/>
                <w:szCs w:val="16"/>
              </w:rPr>
              <w:t>0140</w:t>
            </w:r>
          </w:p>
        </w:tc>
        <w:tc>
          <w:tcPr>
            <w:tcW w:w="423" w:type="dxa"/>
            <w:shd w:val="solid" w:color="FFFFFF" w:fill="auto"/>
          </w:tcPr>
          <w:p w14:paraId="7EEF2ED1" w14:textId="77777777" w:rsidR="00A10B25" w:rsidRDefault="00A10B25">
            <w:pPr>
              <w:pStyle w:val="TAR"/>
              <w:rPr>
                <w:sz w:val="16"/>
                <w:szCs w:val="16"/>
              </w:rPr>
            </w:pPr>
          </w:p>
        </w:tc>
        <w:tc>
          <w:tcPr>
            <w:tcW w:w="423" w:type="dxa"/>
            <w:shd w:val="solid" w:color="FFFFFF" w:fill="auto"/>
          </w:tcPr>
          <w:p w14:paraId="38E3FD0A" w14:textId="77777777" w:rsidR="00A10B25" w:rsidRDefault="00A10B25">
            <w:pPr>
              <w:pStyle w:val="TAC"/>
              <w:rPr>
                <w:sz w:val="16"/>
                <w:szCs w:val="16"/>
              </w:rPr>
            </w:pPr>
            <w:r>
              <w:rPr>
                <w:sz w:val="16"/>
                <w:szCs w:val="16"/>
              </w:rPr>
              <w:t>F</w:t>
            </w:r>
          </w:p>
        </w:tc>
        <w:tc>
          <w:tcPr>
            <w:tcW w:w="4899" w:type="dxa"/>
            <w:shd w:val="solid" w:color="FFFFFF" w:fill="auto"/>
          </w:tcPr>
          <w:p w14:paraId="1D6F3EE1" w14:textId="77777777" w:rsidR="00A10B25" w:rsidRDefault="00A10B25">
            <w:pPr>
              <w:pStyle w:val="TAL"/>
              <w:rPr>
                <w:sz w:val="16"/>
                <w:szCs w:val="16"/>
              </w:rPr>
            </w:pPr>
            <w:r>
              <w:rPr>
                <w:sz w:val="16"/>
                <w:szCs w:val="16"/>
              </w:rPr>
              <w:t>Update of OpenAPI version and TS version in externalDocs field</w:t>
            </w:r>
          </w:p>
        </w:tc>
        <w:tc>
          <w:tcPr>
            <w:tcW w:w="706" w:type="dxa"/>
            <w:shd w:val="solid" w:color="FFFFFF" w:fill="auto"/>
          </w:tcPr>
          <w:p w14:paraId="4FCBF3D6" w14:textId="77777777" w:rsidR="00A10B25" w:rsidRDefault="00A10B25">
            <w:pPr>
              <w:pStyle w:val="TAC"/>
              <w:rPr>
                <w:sz w:val="16"/>
                <w:szCs w:val="16"/>
              </w:rPr>
            </w:pPr>
            <w:r>
              <w:rPr>
                <w:sz w:val="16"/>
                <w:szCs w:val="16"/>
              </w:rPr>
              <w:t>16.3.0</w:t>
            </w:r>
          </w:p>
        </w:tc>
      </w:tr>
      <w:tr w:rsidR="00A10B25" w14:paraId="12EDB19B" w14:textId="77777777">
        <w:tc>
          <w:tcPr>
            <w:tcW w:w="796" w:type="dxa"/>
            <w:shd w:val="solid" w:color="FFFFFF" w:fill="auto"/>
          </w:tcPr>
          <w:p w14:paraId="2CB4063B" w14:textId="77777777" w:rsidR="00A10B25" w:rsidRDefault="00A10B25">
            <w:pPr>
              <w:pStyle w:val="TAC"/>
              <w:rPr>
                <w:sz w:val="16"/>
                <w:szCs w:val="16"/>
              </w:rPr>
            </w:pPr>
            <w:r>
              <w:rPr>
                <w:sz w:val="16"/>
                <w:szCs w:val="16"/>
              </w:rPr>
              <w:t>2020-06</w:t>
            </w:r>
          </w:p>
        </w:tc>
        <w:tc>
          <w:tcPr>
            <w:tcW w:w="828" w:type="dxa"/>
            <w:shd w:val="solid" w:color="FFFFFF" w:fill="auto"/>
          </w:tcPr>
          <w:p w14:paraId="115FE0C6" w14:textId="77777777" w:rsidR="00A10B25" w:rsidRDefault="00A10B25">
            <w:pPr>
              <w:pStyle w:val="TAC"/>
              <w:rPr>
                <w:sz w:val="16"/>
                <w:szCs w:val="16"/>
              </w:rPr>
            </w:pPr>
            <w:r>
              <w:rPr>
                <w:sz w:val="16"/>
                <w:szCs w:val="16"/>
              </w:rPr>
              <w:t>CT#88e</w:t>
            </w:r>
          </w:p>
        </w:tc>
        <w:tc>
          <w:tcPr>
            <w:tcW w:w="1083" w:type="dxa"/>
            <w:shd w:val="solid" w:color="FFFFFF" w:fill="auto"/>
          </w:tcPr>
          <w:p w14:paraId="263ECF84" w14:textId="77777777" w:rsidR="00A10B25" w:rsidRDefault="00A10B25">
            <w:pPr>
              <w:pStyle w:val="TAC"/>
              <w:rPr>
                <w:sz w:val="16"/>
                <w:szCs w:val="16"/>
              </w:rPr>
            </w:pPr>
            <w:r>
              <w:rPr>
                <w:sz w:val="16"/>
                <w:szCs w:val="16"/>
              </w:rPr>
              <w:t>CP-201234</w:t>
            </w:r>
          </w:p>
        </w:tc>
        <w:tc>
          <w:tcPr>
            <w:tcW w:w="523" w:type="dxa"/>
            <w:shd w:val="solid" w:color="FFFFFF" w:fill="auto"/>
          </w:tcPr>
          <w:p w14:paraId="52ABCEA6" w14:textId="77777777" w:rsidR="00A10B25" w:rsidRDefault="00A10B25">
            <w:pPr>
              <w:pStyle w:val="TAL"/>
              <w:rPr>
                <w:sz w:val="16"/>
                <w:szCs w:val="16"/>
              </w:rPr>
            </w:pPr>
            <w:r>
              <w:rPr>
                <w:sz w:val="16"/>
                <w:szCs w:val="16"/>
              </w:rPr>
              <w:t>0142</w:t>
            </w:r>
          </w:p>
        </w:tc>
        <w:tc>
          <w:tcPr>
            <w:tcW w:w="423" w:type="dxa"/>
            <w:shd w:val="solid" w:color="FFFFFF" w:fill="auto"/>
          </w:tcPr>
          <w:p w14:paraId="24238C06" w14:textId="77777777" w:rsidR="00A10B25" w:rsidRDefault="00A10B25">
            <w:pPr>
              <w:pStyle w:val="TAR"/>
              <w:rPr>
                <w:sz w:val="16"/>
                <w:szCs w:val="16"/>
              </w:rPr>
            </w:pPr>
            <w:r>
              <w:rPr>
                <w:sz w:val="16"/>
                <w:szCs w:val="16"/>
                <w:lang w:eastAsia="zh-CN"/>
              </w:rPr>
              <w:t>1</w:t>
            </w:r>
          </w:p>
        </w:tc>
        <w:tc>
          <w:tcPr>
            <w:tcW w:w="423" w:type="dxa"/>
            <w:shd w:val="solid" w:color="FFFFFF" w:fill="auto"/>
          </w:tcPr>
          <w:p w14:paraId="02BF943B" w14:textId="77777777" w:rsidR="00A10B25" w:rsidRDefault="00A10B25">
            <w:pPr>
              <w:pStyle w:val="TAC"/>
              <w:rPr>
                <w:sz w:val="16"/>
                <w:szCs w:val="16"/>
              </w:rPr>
            </w:pPr>
            <w:r>
              <w:rPr>
                <w:sz w:val="16"/>
                <w:szCs w:val="16"/>
              </w:rPr>
              <w:t>F</w:t>
            </w:r>
          </w:p>
        </w:tc>
        <w:tc>
          <w:tcPr>
            <w:tcW w:w="4899" w:type="dxa"/>
            <w:shd w:val="solid" w:color="FFFFFF" w:fill="auto"/>
          </w:tcPr>
          <w:p w14:paraId="0AA64AF1" w14:textId="77777777" w:rsidR="00A10B25" w:rsidRDefault="00A10B25">
            <w:pPr>
              <w:pStyle w:val="TAL"/>
              <w:rPr>
                <w:sz w:val="16"/>
                <w:szCs w:val="16"/>
              </w:rPr>
            </w:pPr>
            <w:r>
              <w:rPr>
                <w:sz w:val="16"/>
                <w:szCs w:val="16"/>
                <w:lang w:eastAsia="zh-CN"/>
              </w:rPr>
              <w:t>Condition description for threshold related attributes</w:t>
            </w:r>
          </w:p>
        </w:tc>
        <w:tc>
          <w:tcPr>
            <w:tcW w:w="706" w:type="dxa"/>
            <w:shd w:val="solid" w:color="FFFFFF" w:fill="auto"/>
          </w:tcPr>
          <w:p w14:paraId="2895B92D" w14:textId="77777777" w:rsidR="00A10B25" w:rsidRDefault="00A10B25">
            <w:pPr>
              <w:pStyle w:val="TAC"/>
              <w:rPr>
                <w:sz w:val="16"/>
                <w:szCs w:val="16"/>
              </w:rPr>
            </w:pPr>
            <w:r>
              <w:rPr>
                <w:sz w:val="16"/>
                <w:szCs w:val="16"/>
              </w:rPr>
              <w:t>16.4.0</w:t>
            </w:r>
          </w:p>
        </w:tc>
      </w:tr>
      <w:tr w:rsidR="00A10B25" w14:paraId="682FD953" w14:textId="77777777">
        <w:tc>
          <w:tcPr>
            <w:tcW w:w="796" w:type="dxa"/>
            <w:shd w:val="solid" w:color="FFFFFF" w:fill="auto"/>
          </w:tcPr>
          <w:p w14:paraId="43C34FBA" w14:textId="77777777" w:rsidR="00A10B25" w:rsidRDefault="00A10B25">
            <w:pPr>
              <w:pStyle w:val="TAC"/>
              <w:rPr>
                <w:sz w:val="16"/>
                <w:szCs w:val="16"/>
              </w:rPr>
            </w:pPr>
            <w:r>
              <w:rPr>
                <w:sz w:val="16"/>
                <w:szCs w:val="16"/>
              </w:rPr>
              <w:t>2020-06</w:t>
            </w:r>
          </w:p>
        </w:tc>
        <w:tc>
          <w:tcPr>
            <w:tcW w:w="828" w:type="dxa"/>
            <w:shd w:val="solid" w:color="FFFFFF" w:fill="auto"/>
          </w:tcPr>
          <w:p w14:paraId="36D66E8C" w14:textId="77777777" w:rsidR="00A10B25" w:rsidRDefault="00A10B25">
            <w:pPr>
              <w:pStyle w:val="TAC"/>
              <w:rPr>
                <w:sz w:val="16"/>
                <w:szCs w:val="16"/>
              </w:rPr>
            </w:pPr>
            <w:r>
              <w:rPr>
                <w:sz w:val="16"/>
                <w:szCs w:val="16"/>
              </w:rPr>
              <w:t>CT#88e</w:t>
            </w:r>
          </w:p>
        </w:tc>
        <w:tc>
          <w:tcPr>
            <w:tcW w:w="1083" w:type="dxa"/>
            <w:shd w:val="solid" w:color="FFFFFF" w:fill="auto"/>
          </w:tcPr>
          <w:p w14:paraId="5B5BB617" w14:textId="77777777" w:rsidR="00A10B25" w:rsidRDefault="00A10B25">
            <w:pPr>
              <w:pStyle w:val="TAC"/>
              <w:rPr>
                <w:sz w:val="16"/>
                <w:szCs w:val="16"/>
              </w:rPr>
            </w:pPr>
            <w:r>
              <w:rPr>
                <w:sz w:val="16"/>
                <w:szCs w:val="16"/>
              </w:rPr>
              <w:t>CP-201234</w:t>
            </w:r>
          </w:p>
        </w:tc>
        <w:tc>
          <w:tcPr>
            <w:tcW w:w="523" w:type="dxa"/>
            <w:shd w:val="solid" w:color="FFFFFF" w:fill="auto"/>
          </w:tcPr>
          <w:p w14:paraId="68658A43" w14:textId="77777777" w:rsidR="00A10B25" w:rsidRDefault="00A10B25">
            <w:pPr>
              <w:pStyle w:val="TAL"/>
              <w:rPr>
                <w:sz w:val="16"/>
                <w:szCs w:val="16"/>
              </w:rPr>
            </w:pPr>
            <w:r>
              <w:rPr>
                <w:sz w:val="16"/>
                <w:szCs w:val="16"/>
              </w:rPr>
              <w:t>0143</w:t>
            </w:r>
          </w:p>
        </w:tc>
        <w:tc>
          <w:tcPr>
            <w:tcW w:w="423" w:type="dxa"/>
            <w:shd w:val="solid" w:color="FFFFFF" w:fill="auto"/>
          </w:tcPr>
          <w:p w14:paraId="1A761A7D" w14:textId="77777777" w:rsidR="00A10B25" w:rsidRDefault="00A10B25">
            <w:pPr>
              <w:pStyle w:val="TAR"/>
              <w:rPr>
                <w:sz w:val="16"/>
                <w:szCs w:val="16"/>
              </w:rPr>
            </w:pPr>
            <w:r>
              <w:rPr>
                <w:sz w:val="16"/>
                <w:szCs w:val="16"/>
                <w:lang w:eastAsia="zh-CN"/>
              </w:rPr>
              <w:t>1</w:t>
            </w:r>
          </w:p>
        </w:tc>
        <w:tc>
          <w:tcPr>
            <w:tcW w:w="423" w:type="dxa"/>
            <w:shd w:val="solid" w:color="FFFFFF" w:fill="auto"/>
          </w:tcPr>
          <w:p w14:paraId="3FE2E156" w14:textId="77777777" w:rsidR="00A10B25" w:rsidRDefault="00A10B25">
            <w:pPr>
              <w:pStyle w:val="TAC"/>
              <w:rPr>
                <w:sz w:val="16"/>
                <w:szCs w:val="16"/>
              </w:rPr>
            </w:pPr>
            <w:r>
              <w:rPr>
                <w:sz w:val="16"/>
                <w:szCs w:val="16"/>
              </w:rPr>
              <w:t>F</w:t>
            </w:r>
          </w:p>
        </w:tc>
        <w:tc>
          <w:tcPr>
            <w:tcW w:w="4899" w:type="dxa"/>
            <w:shd w:val="solid" w:color="FFFFFF" w:fill="auto"/>
          </w:tcPr>
          <w:p w14:paraId="7DEB755B" w14:textId="77777777" w:rsidR="00A10B25" w:rsidRDefault="00A10B25">
            <w:pPr>
              <w:pStyle w:val="TAL"/>
              <w:rPr>
                <w:sz w:val="16"/>
                <w:szCs w:val="16"/>
              </w:rPr>
            </w:pPr>
            <w:r>
              <w:rPr>
                <w:sz w:val="16"/>
                <w:szCs w:val="16"/>
                <w:lang w:eastAsia="zh-CN"/>
              </w:rPr>
              <w:t>Some corrections to Nnwdaf_AnalyticsInfo Service</w:t>
            </w:r>
          </w:p>
        </w:tc>
        <w:tc>
          <w:tcPr>
            <w:tcW w:w="706" w:type="dxa"/>
            <w:shd w:val="solid" w:color="FFFFFF" w:fill="auto"/>
          </w:tcPr>
          <w:p w14:paraId="4D023173" w14:textId="77777777" w:rsidR="00A10B25" w:rsidRDefault="00A10B25">
            <w:pPr>
              <w:pStyle w:val="TAC"/>
              <w:rPr>
                <w:sz w:val="16"/>
                <w:szCs w:val="16"/>
              </w:rPr>
            </w:pPr>
            <w:r>
              <w:rPr>
                <w:sz w:val="16"/>
                <w:szCs w:val="16"/>
              </w:rPr>
              <w:t>16.4.0</w:t>
            </w:r>
          </w:p>
        </w:tc>
      </w:tr>
      <w:tr w:rsidR="00A10B25" w14:paraId="7EE0C0F2" w14:textId="77777777">
        <w:tc>
          <w:tcPr>
            <w:tcW w:w="796" w:type="dxa"/>
            <w:shd w:val="solid" w:color="FFFFFF" w:fill="auto"/>
          </w:tcPr>
          <w:p w14:paraId="0EB1291C" w14:textId="77777777" w:rsidR="00A10B25" w:rsidRDefault="00A10B25">
            <w:pPr>
              <w:pStyle w:val="TAC"/>
              <w:rPr>
                <w:sz w:val="16"/>
                <w:szCs w:val="16"/>
              </w:rPr>
            </w:pPr>
            <w:r>
              <w:rPr>
                <w:sz w:val="16"/>
                <w:szCs w:val="16"/>
              </w:rPr>
              <w:t>2020-06</w:t>
            </w:r>
          </w:p>
        </w:tc>
        <w:tc>
          <w:tcPr>
            <w:tcW w:w="828" w:type="dxa"/>
            <w:shd w:val="solid" w:color="FFFFFF" w:fill="auto"/>
          </w:tcPr>
          <w:p w14:paraId="3D82D67D" w14:textId="77777777" w:rsidR="00A10B25" w:rsidRDefault="00A10B25">
            <w:pPr>
              <w:pStyle w:val="TAC"/>
              <w:rPr>
                <w:sz w:val="16"/>
                <w:szCs w:val="16"/>
              </w:rPr>
            </w:pPr>
            <w:r>
              <w:rPr>
                <w:sz w:val="16"/>
                <w:szCs w:val="16"/>
              </w:rPr>
              <w:t>CT#88e</w:t>
            </w:r>
          </w:p>
        </w:tc>
        <w:tc>
          <w:tcPr>
            <w:tcW w:w="1083" w:type="dxa"/>
            <w:shd w:val="solid" w:color="FFFFFF" w:fill="auto"/>
          </w:tcPr>
          <w:p w14:paraId="5F6B3F8B" w14:textId="77777777" w:rsidR="00A10B25" w:rsidRDefault="00A10B25">
            <w:pPr>
              <w:pStyle w:val="TAC"/>
              <w:rPr>
                <w:sz w:val="16"/>
                <w:szCs w:val="16"/>
              </w:rPr>
            </w:pPr>
            <w:r>
              <w:rPr>
                <w:sz w:val="16"/>
                <w:szCs w:val="16"/>
              </w:rPr>
              <w:t>CP-201234</w:t>
            </w:r>
          </w:p>
        </w:tc>
        <w:tc>
          <w:tcPr>
            <w:tcW w:w="523" w:type="dxa"/>
            <w:shd w:val="solid" w:color="FFFFFF" w:fill="auto"/>
          </w:tcPr>
          <w:p w14:paraId="307191F0" w14:textId="77777777" w:rsidR="00A10B25" w:rsidRDefault="00A10B25">
            <w:pPr>
              <w:pStyle w:val="TAL"/>
              <w:rPr>
                <w:sz w:val="16"/>
                <w:szCs w:val="16"/>
              </w:rPr>
            </w:pPr>
            <w:r>
              <w:rPr>
                <w:sz w:val="16"/>
                <w:szCs w:val="16"/>
              </w:rPr>
              <w:t>0144</w:t>
            </w:r>
          </w:p>
        </w:tc>
        <w:tc>
          <w:tcPr>
            <w:tcW w:w="423" w:type="dxa"/>
            <w:shd w:val="solid" w:color="FFFFFF" w:fill="auto"/>
          </w:tcPr>
          <w:p w14:paraId="0FF860E2" w14:textId="77777777" w:rsidR="00A10B25" w:rsidRDefault="00A10B25">
            <w:pPr>
              <w:pStyle w:val="TAR"/>
              <w:rPr>
                <w:sz w:val="16"/>
                <w:szCs w:val="16"/>
              </w:rPr>
            </w:pPr>
            <w:r>
              <w:rPr>
                <w:sz w:val="16"/>
                <w:szCs w:val="16"/>
                <w:lang w:eastAsia="zh-CN"/>
              </w:rPr>
              <w:t>1</w:t>
            </w:r>
          </w:p>
        </w:tc>
        <w:tc>
          <w:tcPr>
            <w:tcW w:w="423" w:type="dxa"/>
            <w:shd w:val="solid" w:color="FFFFFF" w:fill="auto"/>
          </w:tcPr>
          <w:p w14:paraId="46A97686" w14:textId="77777777" w:rsidR="00A10B25" w:rsidRDefault="00A10B25">
            <w:pPr>
              <w:pStyle w:val="TAC"/>
              <w:rPr>
                <w:sz w:val="16"/>
                <w:szCs w:val="16"/>
              </w:rPr>
            </w:pPr>
            <w:r>
              <w:rPr>
                <w:sz w:val="16"/>
                <w:szCs w:val="16"/>
              </w:rPr>
              <w:t>F</w:t>
            </w:r>
          </w:p>
        </w:tc>
        <w:tc>
          <w:tcPr>
            <w:tcW w:w="4899" w:type="dxa"/>
            <w:shd w:val="solid" w:color="FFFFFF" w:fill="auto"/>
          </w:tcPr>
          <w:p w14:paraId="6E34C3E6" w14:textId="77777777" w:rsidR="00A10B25" w:rsidRDefault="00A10B25">
            <w:pPr>
              <w:pStyle w:val="TAL"/>
              <w:rPr>
                <w:sz w:val="16"/>
                <w:szCs w:val="16"/>
              </w:rPr>
            </w:pPr>
            <w:r>
              <w:rPr>
                <w:sz w:val="16"/>
                <w:szCs w:val="16"/>
              </w:rPr>
              <w:t xml:space="preserve">Clarification on applicability for </w:t>
            </w:r>
            <w:r>
              <w:rPr>
                <w:sz w:val="16"/>
                <w:szCs w:val="16"/>
                <w:lang w:val="en-US" w:eastAsia="zh-CN"/>
              </w:rPr>
              <w:t>network slice information</w:t>
            </w:r>
          </w:p>
        </w:tc>
        <w:tc>
          <w:tcPr>
            <w:tcW w:w="706" w:type="dxa"/>
            <w:shd w:val="solid" w:color="FFFFFF" w:fill="auto"/>
          </w:tcPr>
          <w:p w14:paraId="794C4ADC" w14:textId="77777777" w:rsidR="00A10B25" w:rsidRDefault="00A10B25">
            <w:pPr>
              <w:pStyle w:val="TAC"/>
              <w:rPr>
                <w:sz w:val="16"/>
                <w:szCs w:val="16"/>
              </w:rPr>
            </w:pPr>
            <w:r>
              <w:rPr>
                <w:sz w:val="16"/>
                <w:szCs w:val="16"/>
              </w:rPr>
              <w:t>16.4.0</w:t>
            </w:r>
          </w:p>
        </w:tc>
      </w:tr>
      <w:tr w:rsidR="00A10B25" w14:paraId="0DBC094A" w14:textId="77777777">
        <w:tc>
          <w:tcPr>
            <w:tcW w:w="796" w:type="dxa"/>
            <w:shd w:val="solid" w:color="FFFFFF" w:fill="auto"/>
          </w:tcPr>
          <w:p w14:paraId="0F56FAD4" w14:textId="77777777" w:rsidR="00A10B25" w:rsidRDefault="00A10B25">
            <w:pPr>
              <w:pStyle w:val="TAC"/>
              <w:rPr>
                <w:sz w:val="16"/>
                <w:szCs w:val="16"/>
              </w:rPr>
            </w:pPr>
            <w:r>
              <w:rPr>
                <w:sz w:val="16"/>
                <w:szCs w:val="16"/>
              </w:rPr>
              <w:t>2020-06</w:t>
            </w:r>
          </w:p>
        </w:tc>
        <w:tc>
          <w:tcPr>
            <w:tcW w:w="828" w:type="dxa"/>
            <w:shd w:val="solid" w:color="FFFFFF" w:fill="auto"/>
          </w:tcPr>
          <w:p w14:paraId="16E154AF" w14:textId="77777777" w:rsidR="00A10B25" w:rsidRDefault="00A10B25">
            <w:pPr>
              <w:pStyle w:val="TAC"/>
              <w:rPr>
                <w:sz w:val="16"/>
                <w:szCs w:val="16"/>
              </w:rPr>
            </w:pPr>
            <w:r>
              <w:rPr>
                <w:sz w:val="16"/>
                <w:szCs w:val="16"/>
              </w:rPr>
              <w:t>CT#88e</w:t>
            </w:r>
          </w:p>
        </w:tc>
        <w:tc>
          <w:tcPr>
            <w:tcW w:w="1083" w:type="dxa"/>
            <w:shd w:val="solid" w:color="FFFFFF" w:fill="auto"/>
          </w:tcPr>
          <w:p w14:paraId="5D7A83DB" w14:textId="77777777" w:rsidR="00A10B25" w:rsidRDefault="00A10B25">
            <w:pPr>
              <w:pStyle w:val="TAC"/>
              <w:rPr>
                <w:sz w:val="16"/>
                <w:szCs w:val="16"/>
              </w:rPr>
            </w:pPr>
            <w:r>
              <w:rPr>
                <w:sz w:val="16"/>
                <w:szCs w:val="16"/>
              </w:rPr>
              <w:t>CP-201234</w:t>
            </w:r>
          </w:p>
        </w:tc>
        <w:tc>
          <w:tcPr>
            <w:tcW w:w="523" w:type="dxa"/>
            <w:shd w:val="solid" w:color="FFFFFF" w:fill="auto"/>
          </w:tcPr>
          <w:p w14:paraId="402150EF" w14:textId="77777777" w:rsidR="00A10B25" w:rsidRDefault="00A10B25">
            <w:pPr>
              <w:pStyle w:val="TAL"/>
              <w:rPr>
                <w:sz w:val="16"/>
                <w:szCs w:val="16"/>
              </w:rPr>
            </w:pPr>
            <w:r>
              <w:rPr>
                <w:sz w:val="16"/>
                <w:szCs w:val="16"/>
              </w:rPr>
              <w:t>0145</w:t>
            </w:r>
          </w:p>
        </w:tc>
        <w:tc>
          <w:tcPr>
            <w:tcW w:w="423" w:type="dxa"/>
            <w:shd w:val="solid" w:color="FFFFFF" w:fill="auto"/>
          </w:tcPr>
          <w:p w14:paraId="592ABBA3" w14:textId="77777777" w:rsidR="00A10B25" w:rsidRDefault="00A10B25">
            <w:pPr>
              <w:pStyle w:val="TAR"/>
              <w:rPr>
                <w:sz w:val="16"/>
                <w:szCs w:val="16"/>
              </w:rPr>
            </w:pPr>
            <w:r>
              <w:rPr>
                <w:sz w:val="16"/>
                <w:szCs w:val="16"/>
                <w:lang w:eastAsia="zh-CN"/>
              </w:rPr>
              <w:t>1</w:t>
            </w:r>
          </w:p>
        </w:tc>
        <w:tc>
          <w:tcPr>
            <w:tcW w:w="423" w:type="dxa"/>
            <w:shd w:val="solid" w:color="FFFFFF" w:fill="auto"/>
          </w:tcPr>
          <w:p w14:paraId="576D3BBF" w14:textId="77777777" w:rsidR="00A10B25" w:rsidRDefault="00A10B25">
            <w:pPr>
              <w:pStyle w:val="TAC"/>
              <w:rPr>
                <w:sz w:val="16"/>
                <w:szCs w:val="16"/>
              </w:rPr>
            </w:pPr>
            <w:r>
              <w:rPr>
                <w:sz w:val="16"/>
                <w:szCs w:val="16"/>
              </w:rPr>
              <w:t>F</w:t>
            </w:r>
          </w:p>
        </w:tc>
        <w:tc>
          <w:tcPr>
            <w:tcW w:w="4899" w:type="dxa"/>
            <w:shd w:val="solid" w:color="FFFFFF" w:fill="auto"/>
          </w:tcPr>
          <w:p w14:paraId="1499FEEF" w14:textId="77777777" w:rsidR="00A10B25" w:rsidRDefault="00A10B25">
            <w:pPr>
              <w:pStyle w:val="TAL"/>
              <w:rPr>
                <w:sz w:val="16"/>
                <w:szCs w:val="16"/>
              </w:rPr>
            </w:pPr>
            <w:r>
              <w:rPr>
                <w:sz w:val="16"/>
                <w:szCs w:val="16"/>
              </w:rPr>
              <w:t>Analyticis result per DNN</w:t>
            </w:r>
          </w:p>
        </w:tc>
        <w:tc>
          <w:tcPr>
            <w:tcW w:w="706" w:type="dxa"/>
            <w:shd w:val="solid" w:color="FFFFFF" w:fill="auto"/>
          </w:tcPr>
          <w:p w14:paraId="72D5C38E" w14:textId="77777777" w:rsidR="00A10B25" w:rsidRDefault="00A10B25">
            <w:pPr>
              <w:pStyle w:val="TAC"/>
              <w:rPr>
                <w:sz w:val="16"/>
                <w:szCs w:val="16"/>
              </w:rPr>
            </w:pPr>
            <w:r>
              <w:rPr>
                <w:sz w:val="16"/>
                <w:szCs w:val="16"/>
              </w:rPr>
              <w:t>16.4.0</w:t>
            </w:r>
          </w:p>
        </w:tc>
      </w:tr>
      <w:tr w:rsidR="00A10B25" w14:paraId="18A74D25" w14:textId="77777777">
        <w:tc>
          <w:tcPr>
            <w:tcW w:w="796" w:type="dxa"/>
            <w:shd w:val="solid" w:color="FFFFFF" w:fill="auto"/>
          </w:tcPr>
          <w:p w14:paraId="01BD022D" w14:textId="77777777" w:rsidR="00A10B25" w:rsidRDefault="00A10B25">
            <w:pPr>
              <w:pStyle w:val="TAC"/>
              <w:rPr>
                <w:sz w:val="16"/>
                <w:szCs w:val="16"/>
              </w:rPr>
            </w:pPr>
            <w:r>
              <w:rPr>
                <w:sz w:val="16"/>
                <w:szCs w:val="16"/>
              </w:rPr>
              <w:t>2020-06</w:t>
            </w:r>
          </w:p>
        </w:tc>
        <w:tc>
          <w:tcPr>
            <w:tcW w:w="828" w:type="dxa"/>
            <w:shd w:val="solid" w:color="FFFFFF" w:fill="auto"/>
          </w:tcPr>
          <w:p w14:paraId="4B0924DB" w14:textId="77777777" w:rsidR="00A10B25" w:rsidRDefault="00A10B25">
            <w:pPr>
              <w:pStyle w:val="TAC"/>
              <w:rPr>
                <w:sz w:val="16"/>
                <w:szCs w:val="16"/>
              </w:rPr>
            </w:pPr>
            <w:r>
              <w:rPr>
                <w:sz w:val="16"/>
                <w:szCs w:val="16"/>
              </w:rPr>
              <w:t>CT#88e</w:t>
            </w:r>
          </w:p>
        </w:tc>
        <w:tc>
          <w:tcPr>
            <w:tcW w:w="1083" w:type="dxa"/>
            <w:shd w:val="solid" w:color="FFFFFF" w:fill="auto"/>
          </w:tcPr>
          <w:p w14:paraId="38D7BB5B" w14:textId="77777777" w:rsidR="00A10B25" w:rsidRDefault="00A10B25">
            <w:pPr>
              <w:pStyle w:val="TAC"/>
              <w:rPr>
                <w:sz w:val="16"/>
                <w:szCs w:val="16"/>
              </w:rPr>
            </w:pPr>
            <w:r>
              <w:rPr>
                <w:sz w:val="16"/>
                <w:szCs w:val="16"/>
              </w:rPr>
              <w:t>CP-201234</w:t>
            </w:r>
          </w:p>
        </w:tc>
        <w:tc>
          <w:tcPr>
            <w:tcW w:w="523" w:type="dxa"/>
            <w:shd w:val="solid" w:color="FFFFFF" w:fill="auto"/>
          </w:tcPr>
          <w:p w14:paraId="473B5BB7" w14:textId="77777777" w:rsidR="00A10B25" w:rsidRDefault="00A10B25">
            <w:pPr>
              <w:pStyle w:val="TAL"/>
              <w:rPr>
                <w:sz w:val="16"/>
                <w:szCs w:val="16"/>
              </w:rPr>
            </w:pPr>
            <w:r>
              <w:rPr>
                <w:sz w:val="16"/>
                <w:szCs w:val="16"/>
              </w:rPr>
              <w:t>0146</w:t>
            </w:r>
          </w:p>
        </w:tc>
        <w:tc>
          <w:tcPr>
            <w:tcW w:w="423" w:type="dxa"/>
            <w:shd w:val="solid" w:color="FFFFFF" w:fill="auto"/>
          </w:tcPr>
          <w:p w14:paraId="4B3A4429" w14:textId="77777777" w:rsidR="00A10B25" w:rsidRDefault="00A10B25">
            <w:pPr>
              <w:pStyle w:val="TAR"/>
              <w:rPr>
                <w:sz w:val="16"/>
                <w:szCs w:val="16"/>
              </w:rPr>
            </w:pPr>
            <w:r>
              <w:rPr>
                <w:sz w:val="16"/>
                <w:szCs w:val="16"/>
                <w:lang w:eastAsia="zh-CN"/>
              </w:rPr>
              <w:t>3</w:t>
            </w:r>
          </w:p>
        </w:tc>
        <w:tc>
          <w:tcPr>
            <w:tcW w:w="423" w:type="dxa"/>
            <w:shd w:val="solid" w:color="FFFFFF" w:fill="auto"/>
          </w:tcPr>
          <w:p w14:paraId="1555BA14" w14:textId="77777777" w:rsidR="00A10B25" w:rsidRDefault="00A10B25">
            <w:pPr>
              <w:pStyle w:val="TAC"/>
              <w:rPr>
                <w:sz w:val="16"/>
                <w:szCs w:val="16"/>
              </w:rPr>
            </w:pPr>
            <w:r>
              <w:rPr>
                <w:sz w:val="16"/>
                <w:szCs w:val="16"/>
              </w:rPr>
              <w:t>F</w:t>
            </w:r>
          </w:p>
        </w:tc>
        <w:tc>
          <w:tcPr>
            <w:tcW w:w="4899" w:type="dxa"/>
            <w:shd w:val="solid" w:color="FFFFFF" w:fill="auto"/>
          </w:tcPr>
          <w:p w14:paraId="14D05B4C" w14:textId="77777777" w:rsidR="00A10B25" w:rsidRDefault="00A10B25">
            <w:pPr>
              <w:pStyle w:val="TAL"/>
              <w:rPr>
                <w:sz w:val="16"/>
                <w:szCs w:val="16"/>
              </w:rPr>
            </w:pPr>
            <w:r>
              <w:rPr>
                <w:sz w:val="16"/>
                <w:szCs w:val="16"/>
              </w:rPr>
              <w:t>Maximum number of SUPIs</w:t>
            </w:r>
          </w:p>
        </w:tc>
        <w:tc>
          <w:tcPr>
            <w:tcW w:w="706" w:type="dxa"/>
            <w:shd w:val="solid" w:color="FFFFFF" w:fill="auto"/>
          </w:tcPr>
          <w:p w14:paraId="184B37C5" w14:textId="77777777" w:rsidR="00A10B25" w:rsidRDefault="00A10B25">
            <w:pPr>
              <w:pStyle w:val="TAC"/>
              <w:rPr>
                <w:sz w:val="16"/>
                <w:szCs w:val="16"/>
              </w:rPr>
            </w:pPr>
            <w:r>
              <w:rPr>
                <w:sz w:val="16"/>
                <w:szCs w:val="16"/>
              </w:rPr>
              <w:t>16.4.0</w:t>
            </w:r>
          </w:p>
        </w:tc>
      </w:tr>
      <w:tr w:rsidR="00A10B25" w14:paraId="6B691C4A" w14:textId="77777777">
        <w:tc>
          <w:tcPr>
            <w:tcW w:w="796" w:type="dxa"/>
            <w:shd w:val="solid" w:color="FFFFFF" w:fill="auto"/>
          </w:tcPr>
          <w:p w14:paraId="65475058" w14:textId="77777777" w:rsidR="00A10B25" w:rsidRDefault="00A10B25">
            <w:pPr>
              <w:pStyle w:val="TAC"/>
              <w:rPr>
                <w:sz w:val="16"/>
                <w:szCs w:val="16"/>
              </w:rPr>
            </w:pPr>
            <w:r>
              <w:rPr>
                <w:sz w:val="16"/>
                <w:szCs w:val="16"/>
              </w:rPr>
              <w:t>2020-06</w:t>
            </w:r>
          </w:p>
        </w:tc>
        <w:tc>
          <w:tcPr>
            <w:tcW w:w="828" w:type="dxa"/>
            <w:shd w:val="solid" w:color="FFFFFF" w:fill="auto"/>
          </w:tcPr>
          <w:p w14:paraId="7BE219E1" w14:textId="77777777" w:rsidR="00A10B25" w:rsidRDefault="00A10B25">
            <w:pPr>
              <w:pStyle w:val="TAC"/>
              <w:rPr>
                <w:sz w:val="16"/>
                <w:szCs w:val="16"/>
              </w:rPr>
            </w:pPr>
            <w:r>
              <w:rPr>
                <w:sz w:val="16"/>
                <w:szCs w:val="16"/>
              </w:rPr>
              <w:t>CT#88e</w:t>
            </w:r>
          </w:p>
        </w:tc>
        <w:tc>
          <w:tcPr>
            <w:tcW w:w="1083" w:type="dxa"/>
            <w:shd w:val="solid" w:color="FFFFFF" w:fill="auto"/>
          </w:tcPr>
          <w:p w14:paraId="2C07CBBE" w14:textId="77777777" w:rsidR="00A10B25" w:rsidRDefault="00A10B25">
            <w:pPr>
              <w:pStyle w:val="TAC"/>
              <w:rPr>
                <w:sz w:val="16"/>
                <w:szCs w:val="16"/>
              </w:rPr>
            </w:pPr>
            <w:r>
              <w:rPr>
                <w:sz w:val="16"/>
                <w:szCs w:val="16"/>
              </w:rPr>
              <w:t>CP-201234</w:t>
            </w:r>
          </w:p>
        </w:tc>
        <w:tc>
          <w:tcPr>
            <w:tcW w:w="523" w:type="dxa"/>
            <w:shd w:val="solid" w:color="FFFFFF" w:fill="auto"/>
          </w:tcPr>
          <w:p w14:paraId="42200D5E" w14:textId="77777777" w:rsidR="00A10B25" w:rsidRDefault="00A10B25">
            <w:pPr>
              <w:pStyle w:val="TAL"/>
              <w:rPr>
                <w:sz w:val="16"/>
                <w:szCs w:val="16"/>
              </w:rPr>
            </w:pPr>
            <w:r>
              <w:rPr>
                <w:sz w:val="16"/>
                <w:szCs w:val="16"/>
              </w:rPr>
              <w:t>0147</w:t>
            </w:r>
          </w:p>
        </w:tc>
        <w:tc>
          <w:tcPr>
            <w:tcW w:w="423" w:type="dxa"/>
            <w:shd w:val="solid" w:color="FFFFFF" w:fill="auto"/>
          </w:tcPr>
          <w:p w14:paraId="62ADA4B7" w14:textId="77777777" w:rsidR="00A10B25" w:rsidRDefault="00A10B25">
            <w:pPr>
              <w:pStyle w:val="TAR"/>
              <w:rPr>
                <w:sz w:val="16"/>
                <w:szCs w:val="16"/>
              </w:rPr>
            </w:pPr>
            <w:r>
              <w:rPr>
                <w:sz w:val="16"/>
                <w:szCs w:val="16"/>
                <w:lang w:eastAsia="zh-CN"/>
              </w:rPr>
              <w:t>1</w:t>
            </w:r>
          </w:p>
        </w:tc>
        <w:tc>
          <w:tcPr>
            <w:tcW w:w="423" w:type="dxa"/>
            <w:shd w:val="solid" w:color="FFFFFF" w:fill="auto"/>
          </w:tcPr>
          <w:p w14:paraId="3A94EAF4" w14:textId="77777777" w:rsidR="00A10B25" w:rsidRDefault="00A10B25">
            <w:pPr>
              <w:pStyle w:val="TAC"/>
              <w:rPr>
                <w:sz w:val="16"/>
                <w:szCs w:val="16"/>
              </w:rPr>
            </w:pPr>
            <w:r>
              <w:rPr>
                <w:sz w:val="16"/>
                <w:szCs w:val="16"/>
              </w:rPr>
              <w:t>F</w:t>
            </w:r>
          </w:p>
        </w:tc>
        <w:tc>
          <w:tcPr>
            <w:tcW w:w="4899" w:type="dxa"/>
            <w:shd w:val="solid" w:color="FFFFFF" w:fill="auto"/>
          </w:tcPr>
          <w:p w14:paraId="7E0670BF" w14:textId="77777777" w:rsidR="00A10B25" w:rsidRDefault="00A10B25">
            <w:pPr>
              <w:pStyle w:val="TAL"/>
              <w:rPr>
                <w:sz w:val="16"/>
                <w:szCs w:val="16"/>
              </w:rPr>
            </w:pPr>
            <w:r>
              <w:rPr>
                <w:sz w:val="16"/>
                <w:szCs w:val="16"/>
              </w:rPr>
              <w:t>Correction on FlowDescription</w:t>
            </w:r>
          </w:p>
        </w:tc>
        <w:tc>
          <w:tcPr>
            <w:tcW w:w="706" w:type="dxa"/>
            <w:shd w:val="solid" w:color="FFFFFF" w:fill="auto"/>
          </w:tcPr>
          <w:p w14:paraId="582054FC" w14:textId="77777777" w:rsidR="00A10B25" w:rsidRDefault="00A10B25">
            <w:pPr>
              <w:pStyle w:val="TAC"/>
              <w:rPr>
                <w:sz w:val="16"/>
                <w:szCs w:val="16"/>
              </w:rPr>
            </w:pPr>
            <w:r>
              <w:rPr>
                <w:sz w:val="16"/>
                <w:szCs w:val="16"/>
              </w:rPr>
              <w:t>16.4.0</w:t>
            </w:r>
          </w:p>
        </w:tc>
      </w:tr>
      <w:tr w:rsidR="00A10B25" w14:paraId="20847389" w14:textId="77777777">
        <w:tc>
          <w:tcPr>
            <w:tcW w:w="796" w:type="dxa"/>
            <w:shd w:val="solid" w:color="FFFFFF" w:fill="auto"/>
          </w:tcPr>
          <w:p w14:paraId="3A6F2D6E" w14:textId="77777777" w:rsidR="00A10B25" w:rsidRDefault="00A10B25">
            <w:pPr>
              <w:pStyle w:val="TAC"/>
              <w:rPr>
                <w:sz w:val="16"/>
                <w:szCs w:val="16"/>
              </w:rPr>
            </w:pPr>
            <w:r>
              <w:rPr>
                <w:sz w:val="16"/>
                <w:szCs w:val="16"/>
              </w:rPr>
              <w:t>2020-06</w:t>
            </w:r>
          </w:p>
        </w:tc>
        <w:tc>
          <w:tcPr>
            <w:tcW w:w="828" w:type="dxa"/>
            <w:shd w:val="solid" w:color="FFFFFF" w:fill="auto"/>
          </w:tcPr>
          <w:p w14:paraId="562EBA30" w14:textId="77777777" w:rsidR="00A10B25" w:rsidRDefault="00A10B25">
            <w:pPr>
              <w:pStyle w:val="TAC"/>
              <w:rPr>
                <w:sz w:val="16"/>
                <w:szCs w:val="16"/>
              </w:rPr>
            </w:pPr>
            <w:r>
              <w:rPr>
                <w:sz w:val="16"/>
                <w:szCs w:val="16"/>
              </w:rPr>
              <w:t>CT#88e</w:t>
            </w:r>
          </w:p>
        </w:tc>
        <w:tc>
          <w:tcPr>
            <w:tcW w:w="1083" w:type="dxa"/>
            <w:shd w:val="solid" w:color="FFFFFF" w:fill="auto"/>
          </w:tcPr>
          <w:p w14:paraId="59A9AC7C" w14:textId="77777777" w:rsidR="00A10B25" w:rsidRDefault="00A10B25">
            <w:pPr>
              <w:pStyle w:val="TAC"/>
              <w:rPr>
                <w:sz w:val="16"/>
                <w:szCs w:val="16"/>
              </w:rPr>
            </w:pPr>
            <w:r>
              <w:rPr>
                <w:sz w:val="16"/>
                <w:szCs w:val="16"/>
              </w:rPr>
              <w:t>CP-201234</w:t>
            </w:r>
          </w:p>
        </w:tc>
        <w:tc>
          <w:tcPr>
            <w:tcW w:w="523" w:type="dxa"/>
            <w:shd w:val="solid" w:color="FFFFFF" w:fill="auto"/>
          </w:tcPr>
          <w:p w14:paraId="5D4B0436" w14:textId="77777777" w:rsidR="00A10B25" w:rsidRDefault="00A10B25">
            <w:pPr>
              <w:pStyle w:val="TAL"/>
              <w:rPr>
                <w:sz w:val="16"/>
                <w:szCs w:val="16"/>
              </w:rPr>
            </w:pPr>
            <w:r>
              <w:rPr>
                <w:sz w:val="16"/>
                <w:szCs w:val="16"/>
              </w:rPr>
              <w:t>0149</w:t>
            </w:r>
          </w:p>
        </w:tc>
        <w:tc>
          <w:tcPr>
            <w:tcW w:w="423" w:type="dxa"/>
            <w:shd w:val="solid" w:color="FFFFFF" w:fill="auto"/>
          </w:tcPr>
          <w:p w14:paraId="21ED6C6D" w14:textId="77777777" w:rsidR="00A10B25" w:rsidRDefault="00A10B25">
            <w:pPr>
              <w:pStyle w:val="TAR"/>
              <w:rPr>
                <w:sz w:val="16"/>
                <w:szCs w:val="16"/>
              </w:rPr>
            </w:pPr>
            <w:r>
              <w:rPr>
                <w:sz w:val="16"/>
                <w:szCs w:val="16"/>
                <w:lang w:eastAsia="zh-CN"/>
              </w:rPr>
              <w:t>3</w:t>
            </w:r>
          </w:p>
        </w:tc>
        <w:tc>
          <w:tcPr>
            <w:tcW w:w="423" w:type="dxa"/>
            <w:shd w:val="solid" w:color="FFFFFF" w:fill="auto"/>
          </w:tcPr>
          <w:p w14:paraId="2C655F26" w14:textId="77777777" w:rsidR="00A10B25" w:rsidRDefault="00A10B25">
            <w:pPr>
              <w:pStyle w:val="TAC"/>
              <w:rPr>
                <w:sz w:val="16"/>
                <w:szCs w:val="16"/>
              </w:rPr>
            </w:pPr>
            <w:r>
              <w:rPr>
                <w:sz w:val="16"/>
                <w:szCs w:val="16"/>
              </w:rPr>
              <w:t>F</w:t>
            </w:r>
          </w:p>
        </w:tc>
        <w:tc>
          <w:tcPr>
            <w:tcW w:w="4899" w:type="dxa"/>
            <w:shd w:val="solid" w:color="FFFFFF" w:fill="auto"/>
          </w:tcPr>
          <w:p w14:paraId="48000E92" w14:textId="77777777" w:rsidR="00A10B25" w:rsidRDefault="00A10B25">
            <w:pPr>
              <w:pStyle w:val="TAL"/>
              <w:rPr>
                <w:sz w:val="16"/>
                <w:szCs w:val="16"/>
              </w:rPr>
            </w:pPr>
            <w:r>
              <w:rPr>
                <w:sz w:val="16"/>
                <w:szCs w:val="16"/>
              </w:rPr>
              <w:t>Support of Abnormal Behaviour</w:t>
            </w:r>
          </w:p>
        </w:tc>
        <w:tc>
          <w:tcPr>
            <w:tcW w:w="706" w:type="dxa"/>
            <w:shd w:val="solid" w:color="FFFFFF" w:fill="auto"/>
          </w:tcPr>
          <w:p w14:paraId="453BC1BE" w14:textId="77777777" w:rsidR="00A10B25" w:rsidRDefault="00A10B25">
            <w:pPr>
              <w:pStyle w:val="TAC"/>
              <w:rPr>
                <w:sz w:val="16"/>
                <w:szCs w:val="16"/>
              </w:rPr>
            </w:pPr>
            <w:r>
              <w:rPr>
                <w:sz w:val="16"/>
                <w:szCs w:val="16"/>
              </w:rPr>
              <w:t>16.4.0</w:t>
            </w:r>
          </w:p>
        </w:tc>
      </w:tr>
      <w:tr w:rsidR="00A10B25" w14:paraId="77854EE1" w14:textId="77777777">
        <w:tc>
          <w:tcPr>
            <w:tcW w:w="796" w:type="dxa"/>
            <w:shd w:val="solid" w:color="FFFFFF" w:fill="auto"/>
          </w:tcPr>
          <w:p w14:paraId="14511C9F" w14:textId="77777777" w:rsidR="00A10B25" w:rsidRDefault="00A10B25">
            <w:pPr>
              <w:pStyle w:val="TAC"/>
              <w:rPr>
                <w:sz w:val="16"/>
                <w:szCs w:val="16"/>
              </w:rPr>
            </w:pPr>
            <w:r>
              <w:rPr>
                <w:sz w:val="16"/>
                <w:szCs w:val="16"/>
              </w:rPr>
              <w:t>2020-06</w:t>
            </w:r>
          </w:p>
        </w:tc>
        <w:tc>
          <w:tcPr>
            <w:tcW w:w="828" w:type="dxa"/>
            <w:shd w:val="solid" w:color="FFFFFF" w:fill="auto"/>
          </w:tcPr>
          <w:p w14:paraId="06C3CF0A" w14:textId="77777777" w:rsidR="00A10B25" w:rsidRDefault="00A10B25">
            <w:pPr>
              <w:pStyle w:val="TAC"/>
              <w:rPr>
                <w:sz w:val="16"/>
                <w:szCs w:val="16"/>
              </w:rPr>
            </w:pPr>
            <w:r>
              <w:rPr>
                <w:sz w:val="16"/>
                <w:szCs w:val="16"/>
              </w:rPr>
              <w:t>CT#88e</w:t>
            </w:r>
          </w:p>
        </w:tc>
        <w:tc>
          <w:tcPr>
            <w:tcW w:w="1083" w:type="dxa"/>
            <w:shd w:val="solid" w:color="FFFFFF" w:fill="auto"/>
          </w:tcPr>
          <w:p w14:paraId="20EA6CDB" w14:textId="77777777" w:rsidR="00A10B25" w:rsidRDefault="00A10B25">
            <w:pPr>
              <w:pStyle w:val="TAC"/>
              <w:rPr>
                <w:sz w:val="16"/>
                <w:szCs w:val="16"/>
              </w:rPr>
            </w:pPr>
            <w:r>
              <w:rPr>
                <w:sz w:val="16"/>
                <w:szCs w:val="16"/>
              </w:rPr>
              <w:t>CP-201234</w:t>
            </w:r>
          </w:p>
        </w:tc>
        <w:tc>
          <w:tcPr>
            <w:tcW w:w="523" w:type="dxa"/>
            <w:shd w:val="solid" w:color="FFFFFF" w:fill="auto"/>
          </w:tcPr>
          <w:p w14:paraId="5C5EC634" w14:textId="77777777" w:rsidR="00A10B25" w:rsidRDefault="00A10B25">
            <w:pPr>
              <w:pStyle w:val="TAL"/>
              <w:rPr>
                <w:sz w:val="16"/>
                <w:szCs w:val="16"/>
              </w:rPr>
            </w:pPr>
            <w:r>
              <w:rPr>
                <w:sz w:val="16"/>
                <w:szCs w:val="16"/>
              </w:rPr>
              <w:t>0150</w:t>
            </w:r>
          </w:p>
        </w:tc>
        <w:tc>
          <w:tcPr>
            <w:tcW w:w="423" w:type="dxa"/>
            <w:shd w:val="solid" w:color="FFFFFF" w:fill="auto"/>
          </w:tcPr>
          <w:p w14:paraId="3AE69F05" w14:textId="77777777" w:rsidR="00A10B25" w:rsidRDefault="00A10B25">
            <w:pPr>
              <w:pStyle w:val="TAR"/>
              <w:rPr>
                <w:sz w:val="16"/>
                <w:szCs w:val="16"/>
              </w:rPr>
            </w:pPr>
            <w:r>
              <w:rPr>
                <w:sz w:val="16"/>
                <w:szCs w:val="16"/>
                <w:lang w:eastAsia="zh-CN"/>
              </w:rPr>
              <w:t>2</w:t>
            </w:r>
          </w:p>
        </w:tc>
        <w:tc>
          <w:tcPr>
            <w:tcW w:w="423" w:type="dxa"/>
            <w:shd w:val="solid" w:color="FFFFFF" w:fill="auto"/>
          </w:tcPr>
          <w:p w14:paraId="3C6F4C66" w14:textId="77777777" w:rsidR="00A10B25" w:rsidRDefault="00A10B25">
            <w:pPr>
              <w:pStyle w:val="TAC"/>
              <w:rPr>
                <w:sz w:val="16"/>
                <w:szCs w:val="16"/>
              </w:rPr>
            </w:pPr>
            <w:r>
              <w:rPr>
                <w:sz w:val="16"/>
                <w:szCs w:val="16"/>
              </w:rPr>
              <w:t>F</w:t>
            </w:r>
          </w:p>
        </w:tc>
        <w:tc>
          <w:tcPr>
            <w:tcW w:w="4899" w:type="dxa"/>
            <w:shd w:val="solid" w:color="FFFFFF" w:fill="auto"/>
          </w:tcPr>
          <w:p w14:paraId="14D2A6C5" w14:textId="77777777" w:rsidR="00A10B25" w:rsidRDefault="00A10B25">
            <w:pPr>
              <w:pStyle w:val="TAL"/>
              <w:rPr>
                <w:sz w:val="16"/>
                <w:szCs w:val="16"/>
              </w:rPr>
            </w:pPr>
            <w:r>
              <w:rPr>
                <w:sz w:val="16"/>
                <w:szCs w:val="16"/>
              </w:rPr>
              <w:t>Confidence for User Data Congestion Information.</w:t>
            </w:r>
          </w:p>
        </w:tc>
        <w:tc>
          <w:tcPr>
            <w:tcW w:w="706" w:type="dxa"/>
            <w:shd w:val="solid" w:color="FFFFFF" w:fill="auto"/>
          </w:tcPr>
          <w:p w14:paraId="70549281" w14:textId="77777777" w:rsidR="00A10B25" w:rsidRDefault="00A10B25">
            <w:pPr>
              <w:pStyle w:val="TAC"/>
              <w:rPr>
                <w:sz w:val="16"/>
                <w:szCs w:val="16"/>
              </w:rPr>
            </w:pPr>
            <w:r>
              <w:rPr>
                <w:sz w:val="16"/>
                <w:szCs w:val="16"/>
              </w:rPr>
              <w:t>16.4.0</w:t>
            </w:r>
          </w:p>
        </w:tc>
      </w:tr>
      <w:tr w:rsidR="00A10B25" w14:paraId="0822E416" w14:textId="77777777">
        <w:tc>
          <w:tcPr>
            <w:tcW w:w="796" w:type="dxa"/>
            <w:shd w:val="solid" w:color="FFFFFF" w:fill="auto"/>
          </w:tcPr>
          <w:p w14:paraId="502FFCDB" w14:textId="77777777" w:rsidR="00A10B25" w:rsidRDefault="00A10B25">
            <w:pPr>
              <w:pStyle w:val="TAC"/>
              <w:rPr>
                <w:sz w:val="16"/>
                <w:szCs w:val="16"/>
              </w:rPr>
            </w:pPr>
            <w:r>
              <w:rPr>
                <w:sz w:val="16"/>
                <w:szCs w:val="16"/>
              </w:rPr>
              <w:t>2020-06</w:t>
            </w:r>
          </w:p>
        </w:tc>
        <w:tc>
          <w:tcPr>
            <w:tcW w:w="828" w:type="dxa"/>
            <w:shd w:val="solid" w:color="FFFFFF" w:fill="auto"/>
          </w:tcPr>
          <w:p w14:paraId="5C0445C8" w14:textId="77777777" w:rsidR="00A10B25" w:rsidRDefault="00A10B25">
            <w:pPr>
              <w:pStyle w:val="TAC"/>
              <w:rPr>
                <w:sz w:val="16"/>
                <w:szCs w:val="16"/>
              </w:rPr>
            </w:pPr>
            <w:r>
              <w:rPr>
                <w:sz w:val="16"/>
                <w:szCs w:val="16"/>
              </w:rPr>
              <w:t>CT#88e</w:t>
            </w:r>
          </w:p>
        </w:tc>
        <w:tc>
          <w:tcPr>
            <w:tcW w:w="1083" w:type="dxa"/>
            <w:shd w:val="solid" w:color="FFFFFF" w:fill="auto"/>
          </w:tcPr>
          <w:p w14:paraId="2AF5FCE6" w14:textId="77777777" w:rsidR="00A10B25" w:rsidRDefault="00A10B25">
            <w:pPr>
              <w:pStyle w:val="TAC"/>
              <w:rPr>
                <w:sz w:val="16"/>
                <w:szCs w:val="16"/>
              </w:rPr>
            </w:pPr>
            <w:r>
              <w:rPr>
                <w:sz w:val="16"/>
                <w:szCs w:val="16"/>
              </w:rPr>
              <w:t>CP-201234</w:t>
            </w:r>
          </w:p>
        </w:tc>
        <w:tc>
          <w:tcPr>
            <w:tcW w:w="523" w:type="dxa"/>
            <w:shd w:val="solid" w:color="FFFFFF" w:fill="auto"/>
          </w:tcPr>
          <w:p w14:paraId="39F3C4F8" w14:textId="77777777" w:rsidR="00A10B25" w:rsidRDefault="00A10B25">
            <w:pPr>
              <w:pStyle w:val="TAL"/>
              <w:rPr>
                <w:sz w:val="16"/>
                <w:szCs w:val="16"/>
              </w:rPr>
            </w:pPr>
            <w:r>
              <w:rPr>
                <w:sz w:val="16"/>
                <w:szCs w:val="16"/>
              </w:rPr>
              <w:t>0151</w:t>
            </w:r>
          </w:p>
        </w:tc>
        <w:tc>
          <w:tcPr>
            <w:tcW w:w="423" w:type="dxa"/>
            <w:shd w:val="solid" w:color="FFFFFF" w:fill="auto"/>
          </w:tcPr>
          <w:p w14:paraId="57D82786" w14:textId="77777777" w:rsidR="00A10B25" w:rsidRDefault="00A10B25">
            <w:pPr>
              <w:pStyle w:val="TAR"/>
              <w:rPr>
                <w:sz w:val="16"/>
                <w:szCs w:val="16"/>
              </w:rPr>
            </w:pPr>
            <w:r>
              <w:rPr>
                <w:sz w:val="16"/>
                <w:szCs w:val="16"/>
                <w:lang w:eastAsia="zh-CN"/>
              </w:rPr>
              <w:t>1</w:t>
            </w:r>
          </w:p>
        </w:tc>
        <w:tc>
          <w:tcPr>
            <w:tcW w:w="423" w:type="dxa"/>
            <w:shd w:val="solid" w:color="FFFFFF" w:fill="auto"/>
          </w:tcPr>
          <w:p w14:paraId="1A7119D2" w14:textId="77777777" w:rsidR="00A10B25" w:rsidRDefault="00A10B25">
            <w:pPr>
              <w:pStyle w:val="TAC"/>
              <w:rPr>
                <w:sz w:val="16"/>
                <w:szCs w:val="16"/>
              </w:rPr>
            </w:pPr>
            <w:r>
              <w:rPr>
                <w:sz w:val="16"/>
                <w:szCs w:val="16"/>
              </w:rPr>
              <w:t>F</w:t>
            </w:r>
          </w:p>
        </w:tc>
        <w:tc>
          <w:tcPr>
            <w:tcW w:w="4899" w:type="dxa"/>
            <w:shd w:val="solid" w:color="FFFFFF" w:fill="auto"/>
          </w:tcPr>
          <w:p w14:paraId="7FF85478" w14:textId="77777777" w:rsidR="00A10B25" w:rsidRDefault="00A10B25">
            <w:pPr>
              <w:pStyle w:val="TAL"/>
              <w:rPr>
                <w:sz w:val="16"/>
                <w:szCs w:val="16"/>
              </w:rPr>
            </w:pPr>
            <w:r>
              <w:rPr>
                <w:sz w:val="16"/>
                <w:szCs w:val="16"/>
              </w:rPr>
              <w:t>Data types used for NWDAF services</w:t>
            </w:r>
          </w:p>
        </w:tc>
        <w:tc>
          <w:tcPr>
            <w:tcW w:w="706" w:type="dxa"/>
            <w:shd w:val="solid" w:color="FFFFFF" w:fill="auto"/>
          </w:tcPr>
          <w:p w14:paraId="74CD6EDC" w14:textId="77777777" w:rsidR="00A10B25" w:rsidRDefault="00A10B25">
            <w:pPr>
              <w:pStyle w:val="TAC"/>
              <w:rPr>
                <w:sz w:val="16"/>
                <w:szCs w:val="16"/>
              </w:rPr>
            </w:pPr>
            <w:r>
              <w:rPr>
                <w:sz w:val="16"/>
                <w:szCs w:val="16"/>
              </w:rPr>
              <w:t>16.4.0</w:t>
            </w:r>
          </w:p>
        </w:tc>
      </w:tr>
      <w:tr w:rsidR="00A10B25" w14:paraId="2B425844" w14:textId="77777777">
        <w:tc>
          <w:tcPr>
            <w:tcW w:w="796" w:type="dxa"/>
            <w:shd w:val="solid" w:color="FFFFFF" w:fill="auto"/>
          </w:tcPr>
          <w:p w14:paraId="3D94E4B4" w14:textId="77777777" w:rsidR="00A10B25" w:rsidRDefault="00A10B25">
            <w:pPr>
              <w:pStyle w:val="TAC"/>
              <w:rPr>
                <w:sz w:val="16"/>
                <w:szCs w:val="16"/>
              </w:rPr>
            </w:pPr>
            <w:r>
              <w:rPr>
                <w:sz w:val="16"/>
                <w:szCs w:val="16"/>
              </w:rPr>
              <w:t>2020-06</w:t>
            </w:r>
          </w:p>
        </w:tc>
        <w:tc>
          <w:tcPr>
            <w:tcW w:w="828" w:type="dxa"/>
            <w:shd w:val="solid" w:color="FFFFFF" w:fill="auto"/>
          </w:tcPr>
          <w:p w14:paraId="14169686" w14:textId="77777777" w:rsidR="00A10B25" w:rsidRDefault="00A10B25">
            <w:pPr>
              <w:pStyle w:val="TAC"/>
              <w:rPr>
                <w:sz w:val="16"/>
                <w:szCs w:val="16"/>
              </w:rPr>
            </w:pPr>
            <w:r>
              <w:rPr>
                <w:sz w:val="16"/>
                <w:szCs w:val="16"/>
              </w:rPr>
              <w:t>CT#88e</w:t>
            </w:r>
          </w:p>
        </w:tc>
        <w:tc>
          <w:tcPr>
            <w:tcW w:w="1083" w:type="dxa"/>
            <w:shd w:val="solid" w:color="FFFFFF" w:fill="auto"/>
          </w:tcPr>
          <w:p w14:paraId="419950F2" w14:textId="77777777" w:rsidR="00A10B25" w:rsidRDefault="00A10B25">
            <w:pPr>
              <w:pStyle w:val="TAC"/>
              <w:rPr>
                <w:sz w:val="16"/>
                <w:szCs w:val="16"/>
              </w:rPr>
            </w:pPr>
            <w:r>
              <w:rPr>
                <w:sz w:val="16"/>
                <w:szCs w:val="16"/>
              </w:rPr>
              <w:t>CP-201234</w:t>
            </w:r>
          </w:p>
        </w:tc>
        <w:tc>
          <w:tcPr>
            <w:tcW w:w="523" w:type="dxa"/>
            <w:shd w:val="solid" w:color="FFFFFF" w:fill="auto"/>
          </w:tcPr>
          <w:p w14:paraId="31C32B95" w14:textId="77777777" w:rsidR="00A10B25" w:rsidRDefault="00A10B25">
            <w:pPr>
              <w:pStyle w:val="TAL"/>
              <w:rPr>
                <w:sz w:val="16"/>
                <w:szCs w:val="16"/>
              </w:rPr>
            </w:pPr>
            <w:r>
              <w:rPr>
                <w:sz w:val="16"/>
                <w:szCs w:val="16"/>
              </w:rPr>
              <w:t>0153</w:t>
            </w:r>
          </w:p>
        </w:tc>
        <w:tc>
          <w:tcPr>
            <w:tcW w:w="423" w:type="dxa"/>
            <w:shd w:val="solid" w:color="FFFFFF" w:fill="auto"/>
          </w:tcPr>
          <w:p w14:paraId="276BBA8A" w14:textId="77777777" w:rsidR="00A10B25" w:rsidRDefault="00A10B25">
            <w:pPr>
              <w:pStyle w:val="TAR"/>
              <w:rPr>
                <w:sz w:val="16"/>
                <w:szCs w:val="16"/>
              </w:rPr>
            </w:pPr>
            <w:r>
              <w:rPr>
                <w:sz w:val="16"/>
                <w:szCs w:val="16"/>
                <w:lang w:eastAsia="zh-CN"/>
              </w:rPr>
              <w:t>2</w:t>
            </w:r>
          </w:p>
        </w:tc>
        <w:tc>
          <w:tcPr>
            <w:tcW w:w="423" w:type="dxa"/>
            <w:shd w:val="solid" w:color="FFFFFF" w:fill="auto"/>
          </w:tcPr>
          <w:p w14:paraId="6ADFF794" w14:textId="77777777" w:rsidR="00A10B25" w:rsidRDefault="00A10B25">
            <w:pPr>
              <w:pStyle w:val="TAC"/>
              <w:rPr>
                <w:sz w:val="16"/>
                <w:szCs w:val="16"/>
              </w:rPr>
            </w:pPr>
            <w:r>
              <w:rPr>
                <w:sz w:val="16"/>
                <w:szCs w:val="16"/>
              </w:rPr>
              <w:t>F</w:t>
            </w:r>
          </w:p>
        </w:tc>
        <w:tc>
          <w:tcPr>
            <w:tcW w:w="4899" w:type="dxa"/>
            <w:shd w:val="solid" w:color="FFFFFF" w:fill="auto"/>
          </w:tcPr>
          <w:p w14:paraId="2D29D27E" w14:textId="77777777" w:rsidR="00A10B25" w:rsidRDefault="00A10B25">
            <w:pPr>
              <w:pStyle w:val="TAL"/>
              <w:rPr>
                <w:sz w:val="16"/>
                <w:szCs w:val="16"/>
              </w:rPr>
            </w:pPr>
            <w:r>
              <w:rPr>
                <w:sz w:val="16"/>
                <w:szCs w:val="16"/>
                <w:lang w:val="en-US" w:eastAsia="zh-CN"/>
              </w:rPr>
              <w:t>Adding max</w:t>
            </w:r>
            <w:r>
              <w:rPr>
                <w:sz w:val="16"/>
                <w:szCs w:val="16"/>
              </w:rPr>
              <w:t>Object</w:t>
            </w:r>
            <w:r>
              <w:rPr>
                <w:sz w:val="16"/>
                <w:szCs w:val="16"/>
                <w:lang w:val="en-US" w:eastAsia="zh-CN"/>
              </w:rPr>
              <w:t>Nbr attribute in related feature of NWDAF analytics service</w:t>
            </w:r>
          </w:p>
        </w:tc>
        <w:tc>
          <w:tcPr>
            <w:tcW w:w="706" w:type="dxa"/>
            <w:shd w:val="solid" w:color="FFFFFF" w:fill="auto"/>
          </w:tcPr>
          <w:p w14:paraId="387CEAA4" w14:textId="77777777" w:rsidR="00A10B25" w:rsidRDefault="00A10B25">
            <w:pPr>
              <w:pStyle w:val="TAC"/>
              <w:rPr>
                <w:sz w:val="16"/>
                <w:szCs w:val="16"/>
              </w:rPr>
            </w:pPr>
            <w:r>
              <w:rPr>
                <w:sz w:val="16"/>
                <w:szCs w:val="16"/>
              </w:rPr>
              <w:t>16.4.0</w:t>
            </w:r>
          </w:p>
        </w:tc>
      </w:tr>
      <w:tr w:rsidR="00A10B25" w14:paraId="73488F4B" w14:textId="77777777">
        <w:tc>
          <w:tcPr>
            <w:tcW w:w="796" w:type="dxa"/>
            <w:shd w:val="solid" w:color="FFFFFF" w:fill="auto"/>
          </w:tcPr>
          <w:p w14:paraId="2B40F582" w14:textId="77777777" w:rsidR="00A10B25" w:rsidRDefault="00A10B25">
            <w:pPr>
              <w:pStyle w:val="TAC"/>
              <w:rPr>
                <w:sz w:val="16"/>
                <w:szCs w:val="16"/>
              </w:rPr>
            </w:pPr>
            <w:r>
              <w:rPr>
                <w:sz w:val="16"/>
                <w:szCs w:val="16"/>
              </w:rPr>
              <w:t>2020-06</w:t>
            </w:r>
          </w:p>
        </w:tc>
        <w:tc>
          <w:tcPr>
            <w:tcW w:w="828" w:type="dxa"/>
            <w:shd w:val="solid" w:color="FFFFFF" w:fill="auto"/>
          </w:tcPr>
          <w:p w14:paraId="761736AB" w14:textId="77777777" w:rsidR="00A10B25" w:rsidRDefault="00A10B25">
            <w:pPr>
              <w:pStyle w:val="TAC"/>
              <w:rPr>
                <w:sz w:val="16"/>
                <w:szCs w:val="16"/>
              </w:rPr>
            </w:pPr>
            <w:r>
              <w:rPr>
                <w:sz w:val="16"/>
                <w:szCs w:val="16"/>
              </w:rPr>
              <w:t>CT#88e</w:t>
            </w:r>
          </w:p>
        </w:tc>
        <w:tc>
          <w:tcPr>
            <w:tcW w:w="1083" w:type="dxa"/>
            <w:shd w:val="solid" w:color="FFFFFF" w:fill="auto"/>
          </w:tcPr>
          <w:p w14:paraId="73993208" w14:textId="77777777" w:rsidR="00A10B25" w:rsidRDefault="00A10B25">
            <w:pPr>
              <w:pStyle w:val="TAC"/>
              <w:rPr>
                <w:sz w:val="16"/>
                <w:szCs w:val="16"/>
              </w:rPr>
            </w:pPr>
            <w:r>
              <w:rPr>
                <w:sz w:val="16"/>
                <w:szCs w:val="16"/>
              </w:rPr>
              <w:t>CP-201234</w:t>
            </w:r>
          </w:p>
        </w:tc>
        <w:tc>
          <w:tcPr>
            <w:tcW w:w="523" w:type="dxa"/>
            <w:shd w:val="solid" w:color="FFFFFF" w:fill="auto"/>
          </w:tcPr>
          <w:p w14:paraId="57215D1C" w14:textId="77777777" w:rsidR="00A10B25" w:rsidRDefault="00A10B25">
            <w:pPr>
              <w:pStyle w:val="TAL"/>
              <w:rPr>
                <w:sz w:val="16"/>
                <w:szCs w:val="16"/>
              </w:rPr>
            </w:pPr>
            <w:r>
              <w:rPr>
                <w:sz w:val="16"/>
                <w:szCs w:val="16"/>
              </w:rPr>
              <w:t>0154</w:t>
            </w:r>
          </w:p>
        </w:tc>
        <w:tc>
          <w:tcPr>
            <w:tcW w:w="423" w:type="dxa"/>
            <w:shd w:val="solid" w:color="FFFFFF" w:fill="auto"/>
          </w:tcPr>
          <w:p w14:paraId="35FDCCEB" w14:textId="77777777" w:rsidR="00A10B25" w:rsidRDefault="00A10B25">
            <w:pPr>
              <w:pStyle w:val="TAR"/>
              <w:rPr>
                <w:sz w:val="16"/>
                <w:szCs w:val="16"/>
              </w:rPr>
            </w:pPr>
            <w:r>
              <w:rPr>
                <w:sz w:val="16"/>
                <w:szCs w:val="16"/>
                <w:lang w:eastAsia="zh-CN"/>
              </w:rPr>
              <w:t>1</w:t>
            </w:r>
          </w:p>
        </w:tc>
        <w:tc>
          <w:tcPr>
            <w:tcW w:w="423" w:type="dxa"/>
            <w:shd w:val="solid" w:color="FFFFFF" w:fill="auto"/>
          </w:tcPr>
          <w:p w14:paraId="64AB33BA" w14:textId="77777777" w:rsidR="00A10B25" w:rsidRDefault="00A10B25">
            <w:pPr>
              <w:pStyle w:val="TAC"/>
              <w:rPr>
                <w:sz w:val="16"/>
                <w:szCs w:val="16"/>
              </w:rPr>
            </w:pPr>
            <w:r>
              <w:rPr>
                <w:sz w:val="16"/>
                <w:szCs w:val="16"/>
              </w:rPr>
              <w:t>F</w:t>
            </w:r>
          </w:p>
        </w:tc>
        <w:tc>
          <w:tcPr>
            <w:tcW w:w="4899" w:type="dxa"/>
            <w:shd w:val="solid" w:color="FFFFFF" w:fill="auto"/>
          </w:tcPr>
          <w:p w14:paraId="16EC570A" w14:textId="77777777" w:rsidR="00A10B25" w:rsidRDefault="00A10B25">
            <w:pPr>
              <w:pStyle w:val="TAL"/>
              <w:rPr>
                <w:sz w:val="16"/>
                <w:szCs w:val="16"/>
              </w:rPr>
            </w:pPr>
            <w:r>
              <w:rPr>
                <w:sz w:val="16"/>
                <w:szCs w:val="16"/>
                <w:lang w:val="en-US" w:eastAsia="zh-CN"/>
              </w:rPr>
              <w:t>Adding UDM as consumer of services provided by NWDAF</w:t>
            </w:r>
          </w:p>
        </w:tc>
        <w:tc>
          <w:tcPr>
            <w:tcW w:w="706" w:type="dxa"/>
            <w:shd w:val="solid" w:color="FFFFFF" w:fill="auto"/>
          </w:tcPr>
          <w:p w14:paraId="03D3E6C4" w14:textId="77777777" w:rsidR="00A10B25" w:rsidRDefault="00A10B25">
            <w:pPr>
              <w:pStyle w:val="TAC"/>
              <w:rPr>
                <w:sz w:val="16"/>
                <w:szCs w:val="16"/>
              </w:rPr>
            </w:pPr>
            <w:r>
              <w:rPr>
                <w:sz w:val="16"/>
                <w:szCs w:val="16"/>
              </w:rPr>
              <w:t>16.4.0</w:t>
            </w:r>
          </w:p>
        </w:tc>
      </w:tr>
      <w:tr w:rsidR="00A10B25" w14:paraId="5D84FC8E" w14:textId="77777777">
        <w:tc>
          <w:tcPr>
            <w:tcW w:w="796" w:type="dxa"/>
            <w:shd w:val="solid" w:color="FFFFFF" w:fill="auto"/>
          </w:tcPr>
          <w:p w14:paraId="41AE22E3" w14:textId="77777777" w:rsidR="00A10B25" w:rsidRDefault="00A10B25">
            <w:pPr>
              <w:pStyle w:val="TAC"/>
              <w:rPr>
                <w:sz w:val="16"/>
                <w:szCs w:val="16"/>
              </w:rPr>
            </w:pPr>
            <w:r>
              <w:rPr>
                <w:sz w:val="16"/>
                <w:szCs w:val="16"/>
              </w:rPr>
              <w:t>2020-06</w:t>
            </w:r>
          </w:p>
        </w:tc>
        <w:tc>
          <w:tcPr>
            <w:tcW w:w="828" w:type="dxa"/>
            <w:shd w:val="solid" w:color="FFFFFF" w:fill="auto"/>
          </w:tcPr>
          <w:p w14:paraId="507D3502" w14:textId="77777777" w:rsidR="00A10B25" w:rsidRDefault="00A10B25">
            <w:pPr>
              <w:pStyle w:val="TAC"/>
              <w:rPr>
                <w:sz w:val="16"/>
                <w:szCs w:val="16"/>
              </w:rPr>
            </w:pPr>
            <w:r>
              <w:rPr>
                <w:sz w:val="16"/>
                <w:szCs w:val="16"/>
              </w:rPr>
              <w:t>CT#88e</w:t>
            </w:r>
          </w:p>
        </w:tc>
        <w:tc>
          <w:tcPr>
            <w:tcW w:w="1083" w:type="dxa"/>
            <w:shd w:val="solid" w:color="FFFFFF" w:fill="auto"/>
          </w:tcPr>
          <w:p w14:paraId="6E675FB2" w14:textId="77777777" w:rsidR="00A10B25" w:rsidRDefault="00A10B25">
            <w:pPr>
              <w:pStyle w:val="TAC"/>
              <w:rPr>
                <w:sz w:val="16"/>
                <w:szCs w:val="16"/>
              </w:rPr>
            </w:pPr>
            <w:r>
              <w:rPr>
                <w:sz w:val="16"/>
                <w:szCs w:val="16"/>
              </w:rPr>
              <w:t>CP-201234</w:t>
            </w:r>
          </w:p>
        </w:tc>
        <w:tc>
          <w:tcPr>
            <w:tcW w:w="523" w:type="dxa"/>
            <w:shd w:val="solid" w:color="FFFFFF" w:fill="auto"/>
          </w:tcPr>
          <w:p w14:paraId="0ECF24EE" w14:textId="77777777" w:rsidR="00A10B25" w:rsidRDefault="00A10B25">
            <w:pPr>
              <w:pStyle w:val="TAL"/>
              <w:rPr>
                <w:sz w:val="16"/>
                <w:szCs w:val="16"/>
              </w:rPr>
            </w:pPr>
            <w:r>
              <w:rPr>
                <w:sz w:val="16"/>
                <w:szCs w:val="16"/>
              </w:rPr>
              <w:t>0155</w:t>
            </w:r>
          </w:p>
        </w:tc>
        <w:tc>
          <w:tcPr>
            <w:tcW w:w="423" w:type="dxa"/>
            <w:shd w:val="solid" w:color="FFFFFF" w:fill="auto"/>
          </w:tcPr>
          <w:p w14:paraId="3BC87C47" w14:textId="77777777" w:rsidR="00A10B25" w:rsidRDefault="00A10B25">
            <w:pPr>
              <w:pStyle w:val="TAR"/>
              <w:rPr>
                <w:sz w:val="16"/>
                <w:szCs w:val="16"/>
              </w:rPr>
            </w:pPr>
          </w:p>
        </w:tc>
        <w:tc>
          <w:tcPr>
            <w:tcW w:w="423" w:type="dxa"/>
            <w:shd w:val="solid" w:color="FFFFFF" w:fill="auto"/>
          </w:tcPr>
          <w:p w14:paraId="15548404" w14:textId="77777777" w:rsidR="00A10B25" w:rsidRDefault="00A10B25">
            <w:pPr>
              <w:pStyle w:val="TAC"/>
              <w:rPr>
                <w:sz w:val="16"/>
                <w:szCs w:val="16"/>
              </w:rPr>
            </w:pPr>
            <w:r>
              <w:rPr>
                <w:sz w:val="16"/>
                <w:szCs w:val="16"/>
              </w:rPr>
              <w:t>F</w:t>
            </w:r>
          </w:p>
        </w:tc>
        <w:tc>
          <w:tcPr>
            <w:tcW w:w="4899" w:type="dxa"/>
            <w:shd w:val="solid" w:color="FFFFFF" w:fill="auto"/>
          </w:tcPr>
          <w:p w14:paraId="66594739" w14:textId="77777777" w:rsidR="00A10B25" w:rsidRDefault="00A10B25">
            <w:pPr>
              <w:pStyle w:val="TAL"/>
              <w:rPr>
                <w:sz w:val="16"/>
                <w:szCs w:val="16"/>
              </w:rPr>
            </w:pPr>
            <w:r>
              <w:rPr>
                <w:sz w:val="16"/>
                <w:szCs w:val="16"/>
                <w:lang w:val="en-US" w:eastAsia="zh-CN"/>
              </w:rPr>
              <w:t>Corrections on descriptions of NF service consumers offered by NWDAF</w:t>
            </w:r>
          </w:p>
        </w:tc>
        <w:tc>
          <w:tcPr>
            <w:tcW w:w="706" w:type="dxa"/>
            <w:shd w:val="solid" w:color="FFFFFF" w:fill="auto"/>
          </w:tcPr>
          <w:p w14:paraId="0A0E3146" w14:textId="77777777" w:rsidR="00A10B25" w:rsidRDefault="00A10B25">
            <w:pPr>
              <w:pStyle w:val="TAC"/>
              <w:rPr>
                <w:sz w:val="16"/>
                <w:szCs w:val="16"/>
              </w:rPr>
            </w:pPr>
            <w:r>
              <w:rPr>
                <w:sz w:val="16"/>
                <w:szCs w:val="16"/>
              </w:rPr>
              <w:t>16.4.0</w:t>
            </w:r>
          </w:p>
        </w:tc>
      </w:tr>
      <w:tr w:rsidR="00A10B25" w14:paraId="53FB820E" w14:textId="77777777">
        <w:tc>
          <w:tcPr>
            <w:tcW w:w="796" w:type="dxa"/>
            <w:shd w:val="solid" w:color="FFFFFF" w:fill="auto"/>
          </w:tcPr>
          <w:p w14:paraId="51D9C148" w14:textId="77777777" w:rsidR="00A10B25" w:rsidRDefault="00A10B25">
            <w:pPr>
              <w:pStyle w:val="TAC"/>
              <w:rPr>
                <w:sz w:val="16"/>
                <w:szCs w:val="16"/>
              </w:rPr>
            </w:pPr>
            <w:r>
              <w:rPr>
                <w:sz w:val="16"/>
                <w:szCs w:val="16"/>
              </w:rPr>
              <w:t>2020-06</w:t>
            </w:r>
          </w:p>
        </w:tc>
        <w:tc>
          <w:tcPr>
            <w:tcW w:w="828" w:type="dxa"/>
            <w:shd w:val="solid" w:color="FFFFFF" w:fill="auto"/>
          </w:tcPr>
          <w:p w14:paraId="29D8BE00" w14:textId="77777777" w:rsidR="00A10B25" w:rsidRDefault="00A10B25">
            <w:pPr>
              <w:pStyle w:val="TAC"/>
              <w:rPr>
                <w:sz w:val="16"/>
                <w:szCs w:val="16"/>
              </w:rPr>
            </w:pPr>
            <w:r>
              <w:rPr>
                <w:sz w:val="16"/>
                <w:szCs w:val="16"/>
              </w:rPr>
              <w:t>CT#88e</w:t>
            </w:r>
          </w:p>
        </w:tc>
        <w:tc>
          <w:tcPr>
            <w:tcW w:w="1083" w:type="dxa"/>
            <w:shd w:val="solid" w:color="FFFFFF" w:fill="auto"/>
          </w:tcPr>
          <w:p w14:paraId="7AFDCD7A" w14:textId="77777777" w:rsidR="00A10B25" w:rsidRDefault="00A10B25">
            <w:pPr>
              <w:pStyle w:val="TAC"/>
              <w:rPr>
                <w:sz w:val="16"/>
                <w:szCs w:val="16"/>
              </w:rPr>
            </w:pPr>
            <w:r>
              <w:rPr>
                <w:sz w:val="16"/>
                <w:szCs w:val="16"/>
              </w:rPr>
              <w:t>CP-201234</w:t>
            </w:r>
          </w:p>
        </w:tc>
        <w:tc>
          <w:tcPr>
            <w:tcW w:w="523" w:type="dxa"/>
            <w:shd w:val="solid" w:color="FFFFFF" w:fill="auto"/>
          </w:tcPr>
          <w:p w14:paraId="75C0CC76" w14:textId="77777777" w:rsidR="00A10B25" w:rsidRDefault="00A10B25">
            <w:pPr>
              <w:pStyle w:val="TAL"/>
              <w:rPr>
                <w:sz w:val="16"/>
                <w:szCs w:val="16"/>
              </w:rPr>
            </w:pPr>
            <w:r>
              <w:rPr>
                <w:sz w:val="16"/>
                <w:szCs w:val="16"/>
              </w:rPr>
              <w:t>0157</w:t>
            </w:r>
          </w:p>
        </w:tc>
        <w:tc>
          <w:tcPr>
            <w:tcW w:w="423" w:type="dxa"/>
            <w:shd w:val="solid" w:color="FFFFFF" w:fill="auto"/>
          </w:tcPr>
          <w:p w14:paraId="0070B08D" w14:textId="77777777" w:rsidR="00A10B25" w:rsidRDefault="00A10B25">
            <w:pPr>
              <w:pStyle w:val="TAR"/>
              <w:rPr>
                <w:sz w:val="16"/>
                <w:szCs w:val="16"/>
              </w:rPr>
            </w:pPr>
            <w:r>
              <w:rPr>
                <w:sz w:val="16"/>
                <w:szCs w:val="16"/>
                <w:lang w:eastAsia="zh-CN"/>
              </w:rPr>
              <w:t>1</w:t>
            </w:r>
          </w:p>
        </w:tc>
        <w:tc>
          <w:tcPr>
            <w:tcW w:w="423" w:type="dxa"/>
            <w:shd w:val="solid" w:color="FFFFFF" w:fill="auto"/>
          </w:tcPr>
          <w:p w14:paraId="7E31B110" w14:textId="77777777" w:rsidR="00A10B25" w:rsidRDefault="00A10B25">
            <w:pPr>
              <w:pStyle w:val="TAC"/>
              <w:rPr>
                <w:sz w:val="16"/>
                <w:szCs w:val="16"/>
              </w:rPr>
            </w:pPr>
            <w:r>
              <w:rPr>
                <w:sz w:val="16"/>
                <w:szCs w:val="16"/>
              </w:rPr>
              <w:t>D</w:t>
            </w:r>
          </w:p>
        </w:tc>
        <w:tc>
          <w:tcPr>
            <w:tcW w:w="4899" w:type="dxa"/>
            <w:shd w:val="solid" w:color="FFFFFF" w:fill="auto"/>
          </w:tcPr>
          <w:p w14:paraId="5362BA95" w14:textId="77777777" w:rsidR="00A10B25" w:rsidRDefault="00A10B25">
            <w:pPr>
              <w:pStyle w:val="TAL"/>
              <w:rPr>
                <w:sz w:val="16"/>
                <w:szCs w:val="16"/>
              </w:rPr>
            </w:pPr>
            <w:r>
              <w:rPr>
                <w:bCs/>
                <w:sz w:val="16"/>
                <w:szCs w:val="16"/>
              </w:rPr>
              <w:t>Updates to Abbreviations</w:t>
            </w:r>
          </w:p>
        </w:tc>
        <w:tc>
          <w:tcPr>
            <w:tcW w:w="706" w:type="dxa"/>
            <w:shd w:val="solid" w:color="FFFFFF" w:fill="auto"/>
          </w:tcPr>
          <w:p w14:paraId="0D9CD09B" w14:textId="77777777" w:rsidR="00A10B25" w:rsidRDefault="00A10B25">
            <w:pPr>
              <w:pStyle w:val="TAC"/>
              <w:rPr>
                <w:sz w:val="16"/>
                <w:szCs w:val="16"/>
              </w:rPr>
            </w:pPr>
            <w:r>
              <w:rPr>
                <w:sz w:val="16"/>
                <w:szCs w:val="16"/>
              </w:rPr>
              <w:t>16.4.0</w:t>
            </w:r>
          </w:p>
        </w:tc>
      </w:tr>
      <w:tr w:rsidR="00A10B25" w14:paraId="74171F3A" w14:textId="77777777">
        <w:tc>
          <w:tcPr>
            <w:tcW w:w="796" w:type="dxa"/>
            <w:shd w:val="solid" w:color="FFFFFF" w:fill="auto"/>
          </w:tcPr>
          <w:p w14:paraId="72B93251" w14:textId="77777777" w:rsidR="00A10B25" w:rsidRDefault="00A10B25">
            <w:pPr>
              <w:pStyle w:val="TAC"/>
              <w:rPr>
                <w:sz w:val="16"/>
                <w:szCs w:val="16"/>
              </w:rPr>
            </w:pPr>
            <w:r>
              <w:rPr>
                <w:sz w:val="16"/>
                <w:szCs w:val="16"/>
              </w:rPr>
              <w:t>2020-06</w:t>
            </w:r>
          </w:p>
        </w:tc>
        <w:tc>
          <w:tcPr>
            <w:tcW w:w="828" w:type="dxa"/>
            <w:shd w:val="solid" w:color="FFFFFF" w:fill="auto"/>
          </w:tcPr>
          <w:p w14:paraId="45CC4875" w14:textId="77777777" w:rsidR="00A10B25" w:rsidRDefault="00A10B25">
            <w:pPr>
              <w:pStyle w:val="TAC"/>
              <w:rPr>
                <w:sz w:val="16"/>
                <w:szCs w:val="16"/>
              </w:rPr>
            </w:pPr>
            <w:r>
              <w:rPr>
                <w:sz w:val="16"/>
                <w:szCs w:val="16"/>
              </w:rPr>
              <w:t>CT#88e</w:t>
            </w:r>
          </w:p>
        </w:tc>
        <w:tc>
          <w:tcPr>
            <w:tcW w:w="1083" w:type="dxa"/>
            <w:shd w:val="solid" w:color="FFFFFF" w:fill="auto"/>
          </w:tcPr>
          <w:p w14:paraId="4904943C" w14:textId="77777777" w:rsidR="00A10B25" w:rsidRDefault="00A10B25">
            <w:pPr>
              <w:pStyle w:val="TAC"/>
              <w:rPr>
                <w:sz w:val="16"/>
                <w:szCs w:val="16"/>
              </w:rPr>
            </w:pPr>
            <w:r>
              <w:rPr>
                <w:sz w:val="16"/>
                <w:szCs w:val="16"/>
              </w:rPr>
              <w:t>CP-201234</w:t>
            </w:r>
          </w:p>
        </w:tc>
        <w:tc>
          <w:tcPr>
            <w:tcW w:w="523" w:type="dxa"/>
            <w:shd w:val="solid" w:color="FFFFFF" w:fill="auto"/>
          </w:tcPr>
          <w:p w14:paraId="4FB79292" w14:textId="77777777" w:rsidR="00A10B25" w:rsidRDefault="00A10B25">
            <w:pPr>
              <w:pStyle w:val="TAL"/>
              <w:rPr>
                <w:sz w:val="16"/>
                <w:szCs w:val="16"/>
              </w:rPr>
            </w:pPr>
            <w:r>
              <w:rPr>
                <w:sz w:val="16"/>
                <w:szCs w:val="16"/>
              </w:rPr>
              <w:t>0158</w:t>
            </w:r>
          </w:p>
        </w:tc>
        <w:tc>
          <w:tcPr>
            <w:tcW w:w="423" w:type="dxa"/>
            <w:shd w:val="solid" w:color="FFFFFF" w:fill="auto"/>
          </w:tcPr>
          <w:p w14:paraId="507EBD89" w14:textId="77777777" w:rsidR="00A10B25" w:rsidRDefault="00A10B25">
            <w:pPr>
              <w:pStyle w:val="TAR"/>
              <w:rPr>
                <w:sz w:val="16"/>
                <w:szCs w:val="16"/>
              </w:rPr>
            </w:pPr>
            <w:r>
              <w:rPr>
                <w:sz w:val="16"/>
                <w:szCs w:val="16"/>
                <w:lang w:eastAsia="zh-CN"/>
              </w:rPr>
              <w:t>2</w:t>
            </w:r>
          </w:p>
        </w:tc>
        <w:tc>
          <w:tcPr>
            <w:tcW w:w="423" w:type="dxa"/>
            <w:shd w:val="solid" w:color="FFFFFF" w:fill="auto"/>
          </w:tcPr>
          <w:p w14:paraId="293A0A16" w14:textId="77777777" w:rsidR="00A10B25" w:rsidRDefault="00A10B25">
            <w:pPr>
              <w:pStyle w:val="TAC"/>
              <w:rPr>
                <w:sz w:val="16"/>
                <w:szCs w:val="16"/>
              </w:rPr>
            </w:pPr>
            <w:r>
              <w:rPr>
                <w:sz w:val="16"/>
                <w:szCs w:val="16"/>
              </w:rPr>
              <w:t>B</w:t>
            </w:r>
          </w:p>
        </w:tc>
        <w:tc>
          <w:tcPr>
            <w:tcW w:w="4899" w:type="dxa"/>
            <w:shd w:val="solid" w:color="FFFFFF" w:fill="auto"/>
          </w:tcPr>
          <w:p w14:paraId="32A1B540" w14:textId="77777777" w:rsidR="00A10B25" w:rsidRDefault="00A10B25">
            <w:pPr>
              <w:pStyle w:val="TAL"/>
              <w:rPr>
                <w:sz w:val="16"/>
                <w:szCs w:val="16"/>
              </w:rPr>
            </w:pPr>
            <w:r>
              <w:rPr>
                <w:bCs/>
                <w:sz w:val="16"/>
                <w:szCs w:val="16"/>
              </w:rPr>
              <w:t>Support NSI ID</w:t>
            </w:r>
          </w:p>
        </w:tc>
        <w:tc>
          <w:tcPr>
            <w:tcW w:w="706" w:type="dxa"/>
            <w:shd w:val="solid" w:color="FFFFFF" w:fill="auto"/>
          </w:tcPr>
          <w:p w14:paraId="00B32821" w14:textId="77777777" w:rsidR="00A10B25" w:rsidRDefault="00A10B25">
            <w:pPr>
              <w:pStyle w:val="TAC"/>
              <w:rPr>
                <w:sz w:val="16"/>
                <w:szCs w:val="16"/>
              </w:rPr>
            </w:pPr>
            <w:r>
              <w:rPr>
                <w:sz w:val="16"/>
                <w:szCs w:val="16"/>
              </w:rPr>
              <w:t>16.4.0</w:t>
            </w:r>
          </w:p>
        </w:tc>
      </w:tr>
      <w:tr w:rsidR="00A10B25" w14:paraId="3717739D" w14:textId="77777777">
        <w:tc>
          <w:tcPr>
            <w:tcW w:w="796" w:type="dxa"/>
            <w:shd w:val="solid" w:color="FFFFFF" w:fill="auto"/>
          </w:tcPr>
          <w:p w14:paraId="3615D87A" w14:textId="77777777" w:rsidR="00A10B25" w:rsidRDefault="00A10B25">
            <w:pPr>
              <w:pStyle w:val="TAC"/>
              <w:rPr>
                <w:sz w:val="16"/>
                <w:szCs w:val="16"/>
              </w:rPr>
            </w:pPr>
            <w:r>
              <w:rPr>
                <w:sz w:val="16"/>
                <w:szCs w:val="16"/>
              </w:rPr>
              <w:t>2020-06</w:t>
            </w:r>
          </w:p>
        </w:tc>
        <w:tc>
          <w:tcPr>
            <w:tcW w:w="828" w:type="dxa"/>
            <w:shd w:val="solid" w:color="FFFFFF" w:fill="auto"/>
          </w:tcPr>
          <w:p w14:paraId="7F1E8E9E" w14:textId="77777777" w:rsidR="00A10B25" w:rsidRDefault="00A10B25">
            <w:pPr>
              <w:pStyle w:val="TAC"/>
              <w:rPr>
                <w:sz w:val="16"/>
                <w:szCs w:val="16"/>
              </w:rPr>
            </w:pPr>
            <w:r>
              <w:rPr>
                <w:sz w:val="16"/>
                <w:szCs w:val="16"/>
              </w:rPr>
              <w:t>CT#88e</w:t>
            </w:r>
          </w:p>
        </w:tc>
        <w:tc>
          <w:tcPr>
            <w:tcW w:w="1083" w:type="dxa"/>
            <w:shd w:val="solid" w:color="FFFFFF" w:fill="auto"/>
          </w:tcPr>
          <w:p w14:paraId="52523C7B" w14:textId="77777777" w:rsidR="00A10B25" w:rsidRDefault="00A10B25">
            <w:pPr>
              <w:pStyle w:val="TAC"/>
              <w:rPr>
                <w:sz w:val="16"/>
                <w:szCs w:val="16"/>
              </w:rPr>
            </w:pPr>
            <w:r>
              <w:rPr>
                <w:sz w:val="16"/>
                <w:szCs w:val="16"/>
              </w:rPr>
              <w:t>CP-201234</w:t>
            </w:r>
          </w:p>
        </w:tc>
        <w:tc>
          <w:tcPr>
            <w:tcW w:w="523" w:type="dxa"/>
            <w:shd w:val="solid" w:color="FFFFFF" w:fill="auto"/>
          </w:tcPr>
          <w:p w14:paraId="37E728E7" w14:textId="77777777" w:rsidR="00A10B25" w:rsidRDefault="00A10B25">
            <w:pPr>
              <w:pStyle w:val="TAL"/>
              <w:rPr>
                <w:sz w:val="16"/>
                <w:szCs w:val="16"/>
              </w:rPr>
            </w:pPr>
            <w:r>
              <w:rPr>
                <w:sz w:val="16"/>
                <w:szCs w:val="16"/>
              </w:rPr>
              <w:t>0163</w:t>
            </w:r>
          </w:p>
        </w:tc>
        <w:tc>
          <w:tcPr>
            <w:tcW w:w="423" w:type="dxa"/>
            <w:shd w:val="solid" w:color="FFFFFF" w:fill="auto"/>
          </w:tcPr>
          <w:p w14:paraId="3A19072D" w14:textId="77777777" w:rsidR="00A10B25" w:rsidRDefault="00A10B25">
            <w:pPr>
              <w:pStyle w:val="TAR"/>
              <w:rPr>
                <w:sz w:val="16"/>
                <w:szCs w:val="16"/>
              </w:rPr>
            </w:pPr>
            <w:r>
              <w:rPr>
                <w:sz w:val="16"/>
                <w:szCs w:val="16"/>
                <w:lang w:eastAsia="zh-CN"/>
              </w:rPr>
              <w:t>3</w:t>
            </w:r>
          </w:p>
        </w:tc>
        <w:tc>
          <w:tcPr>
            <w:tcW w:w="423" w:type="dxa"/>
            <w:shd w:val="solid" w:color="FFFFFF" w:fill="auto"/>
          </w:tcPr>
          <w:p w14:paraId="6D351A58" w14:textId="77777777" w:rsidR="00A10B25" w:rsidRDefault="00A10B25">
            <w:pPr>
              <w:pStyle w:val="TAC"/>
              <w:rPr>
                <w:sz w:val="16"/>
                <w:szCs w:val="16"/>
              </w:rPr>
            </w:pPr>
            <w:r>
              <w:rPr>
                <w:sz w:val="16"/>
                <w:szCs w:val="16"/>
              </w:rPr>
              <w:t>B</w:t>
            </w:r>
          </w:p>
        </w:tc>
        <w:tc>
          <w:tcPr>
            <w:tcW w:w="4899" w:type="dxa"/>
            <w:shd w:val="solid" w:color="FFFFFF" w:fill="auto"/>
          </w:tcPr>
          <w:p w14:paraId="2940895F" w14:textId="77777777" w:rsidR="00A10B25" w:rsidRDefault="00A10B25">
            <w:pPr>
              <w:pStyle w:val="TAL"/>
              <w:rPr>
                <w:sz w:val="16"/>
                <w:szCs w:val="16"/>
              </w:rPr>
            </w:pPr>
            <w:r>
              <w:rPr>
                <w:bCs/>
                <w:sz w:val="16"/>
                <w:szCs w:val="16"/>
              </w:rPr>
              <w:t>Support Service Experience Variance</w:t>
            </w:r>
          </w:p>
        </w:tc>
        <w:tc>
          <w:tcPr>
            <w:tcW w:w="706" w:type="dxa"/>
            <w:shd w:val="solid" w:color="FFFFFF" w:fill="auto"/>
          </w:tcPr>
          <w:p w14:paraId="2BE2CE77" w14:textId="77777777" w:rsidR="00A10B25" w:rsidRDefault="00A10B25">
            <w:pPr>
              <w:pStyle w:val="TAC"/>
              <w:rPr>
                <w:sz w:val="16"/>
                <w:szCs w:val="16"/>
              </w:rPr>
            </w:pPr>
            <w:r>
              <w:rPr>
                <w:sz w:val="16"/>
                <w:szCs w:val="16"/>
              </w:rPr>
              <w:t>16.4.0</w:t>
            </w:r>
          </w:p>
        </w:tc>
      </w:tr>
      <w:tr w:rsidR="00A10B25" w14:paraId="6FD5E3B1" w14:textId="77777777">
        <w:tc>
          <w:tcPr>
            <w:tcW w:w="796" w:type="dxa"/>
            <w:shd w:val="solid" w:color="FFFFFF" w:fill="auto"/>
          </w:tcPr>
          <w:p w14:paraId="19BB1359" w14:textId="77777777" w:rsidR="00A10B25" w:rsidRDefault="00A10B25">
            <w:pPr>
              <w:pStyle w:val="TAC"/>
              <w:rPr>
                <w:sz w:val="16"/>
                <w:szCs w:val="16"/>
              </w:rPr>
            </w:pPr>
            <w:r>
              <w:rPr>
                <w:sz w:val="16"/>
                <w:szCs w:val="16"/>
              </w:rPr>
              <w:t>2020-06</w:t>
            </w:r>
          </w:p>
        </w:tc>
        <w:tc>
          <w:tcPr>
            <w:tcW w:w="828" w:type="dxa"/>
            <w:shd w:val="solid" w:color="FFFFFF" w:fill="auto"/>
          </w:tcPr>
          <w:p w14:paraId="38E1F17C" w14:textId="77777777" w:rsidR="00A10B25" w:rsidRDefault="00A10B25">
            <w:pPr>
              <w:pStyle w:val="TAC"/>
              <w:rPr>
                <w:sz w:val="16"/>
                <w:szCs w:val="16"/>
              </w:rPr>
            </w:pPr>
            <w:r>
              <w:rPr>
                <w:sz w:val="16"/>
                <w:szCs w:val="16"/>
              </w:rPr>
              <w:t>CT#88e</w:t>
            </w:r>
          </w:p>
        </w:tc>
        <w:tc>
          <w:tcPr>
            <w:tcW w:w="1083" w:type="dxa"/>
            <w:shd w:val="solid" w:color="FFFFFF" w:fill="auto"/>
          </w:tcPr>
          <w:p w14:paraId="4EF9E5B5" w14:textId="77777777" w:rsidR="00A10B25" w:rsidRDefault="00A10B25">
            <w:pPr>
              <w:pStyle w:val="TAC"/>
              <w:rPr>
                <w:sz w:val="16"/>
                <w:szCs w:val="16"/>
              </w:rPr>
            </w:pPr>
            <w:r>
              <w:rPr>
                <w:sz w:val="16"/>
                <w:szCs w:val="16"/>
              </w:rPr>
              <w:t>CP-201234</w:t>
            </w:r>
          </w:p>
        </w:tc>
        <w:tc>
          <w:tcPr>
            <w:tcW w:w="523" w:type="dxa"/>
            <w:shd w:val="solid" w:color="FFFFFF" w:fill="auto"/>
          </w:tcPr>
          <w:p w14:paraId="63EE2B6A" w14:textId="77777777" w:rsidR="00A10B25" w:rsidRDefault="00A10B25">
            <w:pPr>
              <w:pStyle w:val="TAL"/>
              <w:rPr>
                <w:sz w:val="16"/>
                <w:szCs w:val="16"/>
              </w:rPr>
            </w:pPr>
            <w:r>
              <w:rPr>
                <w:sz w:val="16"/>
                <w:szCs w:val="16"/>
              </w:rPr>
              <w:t>0165</w:t>
            </w:r>
          </w:p>
        </w:tc>
        <w:tc>
          <w:tcPr>
            <w:tcW w:w="423" w:type="dxa"/>
            <w:shd w:val="solid" w:color="FFFFFF" w:fill="auto"/>
          </w:tcPr>
          <w:p w14:paraId="43047978" w14:textId="77777777" w:rsidR="00A10B25" w:rsidRDefault="00A10B25">
            <w:pPr>
              <w:pStyle w:val="TAR"/>
              <w:rPr>
                <w:sz w:val="16"/>
                <w:szCs w:val="16"/>
              </w:rPr>
            </w:pPr>
            <w:r>
              <w:rPr>
                <w:sz w:val="16"/>
                <w:szCs w:val="16"/>
                <w:lang w:eastAsia="zh-CN"/>
              </w:rPr>
              <w:t>1</w:t>
            </w:r>
          </w:p>
        </w:tc>
        <w:tc>
          <w:tcPr>
            <w:tcW w:w="423" w:type="dxa"/>
            <w:shd w:val="solid" w:color="FFFFFF" w:fill="auto"/>
          </w:tcPr>
          <w:p w14:paraId="1DB4C304" w14:textId="77777777" w:rsidR="00A10B25" w:rsidRDefault="00A10B25">
            <w:pPr>
              <w:pStyle w:val="TAC"/>
              <w:rPr>
                <w:sz w:val="16"/>
                <w:szCs w:val="16"/>
              </w:rPr>
            </w:pPr>
            <w:r>
              <w:rPr>
                <w:sz w:val="16"/>
                <w:szCs w:val="16"/>
              </w:rPr>
              <w:t>F</w:t>
            </w:r>
          </w:p>
        </w:tc>
        <w:tc>
          <w:tcPr>
            <w:tcW w:w="4899" w:type="dxa"/>
            <w:shd w:val="solid" w:color="FFFFFF" w:fill="auto"/>
          </w:tcPr>
          <w:p w14:paraId="3AAA42CD" w14:textId="77777777" w:rsidR="00A10B25" w:rsidRDefault="00A10B25">
            <w:pPr>
              <w:pStyle w:val="TAL"/>
              <w:rPr>
                <w:sz w:val="16"/>
                <w:szCs w:val="16"/>
              </w:rPr>
            </w:pPr>
            <w:r>
              <w:rPr>
                <w:bCs/>
                <w:sz w:val="16"/>
                <w:szCs w:val="16"/>
                <w:lang w:val="en-US" w:eastAsia="zh-CN"/>
              </w:rPr>
              <w:t>Correction to Service Description</w:t>
            </w:r>
          </w:p>
        </w:tc>
        <w:tc>
          <w:tcPr>
            <w:tcW w:w="706" w:type="dxa"/>
            <w:shd w:val="solid" w:color="FFFFFF" w:fill="auto"/>
          </w:tcPr>
          <w:p w14:paraId="30D17DDA" w14:textId="77777777" w:rsidR="00A10B25" w:rsidRDefault="00A10B25">
            <w:pPr>
              <w:pStyle w:val="TAC"/>
              <w:rPr>
                <w:sz w:val="16"/>
                <w:szCs w:val="16"/>
              </w:rPr>
            </w:pPr>
            <w:r>
              <w:rPr>
                <w:sz w:val="16"/>
                <w:szCs w:val="16"/>
              </w:rPr>
              <w:t>16.4.0</w:t>
            </w:r>
          </w:p>
        </w:tc>
      </w:tr>
      <w:tr w:rsidR="00A10B25" w14:paraId="2172F04A" w14:textId="77777777">
        <w:tc>
          <w:tcPr>
            <w:tcW w:w="796" w:type="dxa"/>
            <w:shd w:val="solid" w:color="FFFFFF" w:fill="auto"/>
          </w:tcPr>
          <w:p w14:paraId="7B8CF2C9" w14:textId="77777777" w:rsidR="00A10B25" w:rsidRDefault="00A10B25">
            <w:pPr>
              <w:pStyle w:val="TAC"/>
              <w:rPr>
                <w:sz w:val="16"/>
                <w:szCs w:val="16"/>
              </w:rPr>
            </w:pPr>
            <w:r>
              <w:rPr>
                <w:sz w:val="16"/>
                <w:szCs w:val="16"/>
              </w:rPr>
              <w:t>2020-06</w:t>
            </w:r>
          </w:p>
        </w:tc>
        <w:tc>
          <w:tcPr>
            <w:tcW w:w="828" w:type="dxa"/>
            <w:shd w:val="solid" w:color="FFFFFF" w:fill="auto"/>
          </w:tcPr>
          <w:p w14:paraId="694B0207" w14:textId="77777777" w:rsidR="00A10B25" w:rsidRDefault="00A10B25">
            <w:pPr>
              <w:pStyle w:val="TAC"/>
              <w:rPr>
                <w:sz w:val="16"/>
                <w:szCs w:val="16"/>
              </w:rPr>
            </w:pPr>
            <w:r>
              <w:rPr>
                <w:sz w:val="16"/>
                <w:szCs w:val="16"/>
              </w:rPr>
              <w:t>CT#88e</w:t>
            </w:r>
          </w:p>
        </w:tc>
        <w:tc>
          <w:tcPr>
            <w:tcW w:w="1083" w:type="dxa"/>
            <w:shd w:val="solid" w:color="FFFFFF" w:fill="auto"/>
          </w:tcPr>
          <w:p w14:paraId="7D99ADDE" w14:textId="77777777" w:rsidR="00A10B25" w:rsidRDefault="00A10B25">
            <w:pPr>
              <w:pStyle w:val="TAC"/>
              <w:rPr>
                <w:sz w:val="16"/>
                <w:szCs w:val="16"/>
              </w:rPr>
            </w:pPr>
            <w:r>
              <w:rPr>
                <w:sz w:val="16"/>
                <w:szCs w:val="16"/>
              </w:rPr>
              <w:t>CP-201234</w:t>
            </w:r>
          </w:p>
        </w:tc>
        <w:tc>
          <w:tcPr>
            <w:tcW w:w="523" w:type="dxa"/>
            <w:shd w:val="solid" w:color="FFFFFF" w:fill="auto"/>
          </w:tcPr>
          <w:p w14:paraId="0BB00A00" w14:textId="77777777" w:rsidR="00A10B25" w:rsidRDefault="00A10B25">
            <w:pPr>
              <w:pStyle w:val="TAL"/>
              <w:rPr>
                <w:sz w:val="16"/>
                <w:szCs w:val="16"/>
              </w:rPr>
            </w:pPr>
            <w:r>
              <w:rPr>
                <w:sz w:val="16"/>
                <w:szCs w:val="16"/>
              </w:rPr>
              <w:t>0166</w:t>
            </w:r>
          </w:p>
        </w:tc>
        <w:tc>
          <w:tcPr>
            <w:tcW w:w="423" w:type="dxa"/>
            <w:shd w:val="solid" w:color="FFFFFF" w:fill="auto"/>
          </w:tcPr>
          <w:p w14:paraId="7B7C4849" w14:textId="77777777" w:rsidR="00A10B25" w:rsidRDefault="00A10B25">
            <w:pPr>
              <w:pStyle w:val="TAR"/>
              <w:rPr>
                <w:sz w:val="16"/>
                <w:szCs w:val="16"/>
              </w:rPr>
            </w:pPr>
            <w:r>
              <w:rPr>
                <w:sz w:val="16"/>
                <w:szCs w:val="16"/>
                <w:lang w:eastAsia="zh-CN"/>
              </w:rPr>
              <w:t>1</w:t>
            </w:r>
          </w:p>
        </w:tc>
        <w:tc>
          <w:tcPr>
            <w:tcW w:w="423" w:type="dxa"/>
            <w:shd w:val="solid" w:color="FFFFFF" w:fill="auto"/>
          </w:tcPr>
          <w:p w14:paraId="69EE11C0" w14:textId="77777777" w:rsidR="00A10B25" w:rsidRDefault="00A10B25">
            <w:pPr>
              <w:pStyle w:val="TAC"/>
              <w:rPr>
                <w:sz w:val="16"/>
                <w:szCs w:val="16"/>
              </w:rPr>
            </w:pPr>
            <w:r>
              <w:rPr>
                <w:sz w:val="16"/>
                <w:szCs w:val="16"/>
              </w:rPr>
              <w:t>F</w:t>
            </w:r>
          </w:p>
        </w:tc>
        <w:tc>
          <w:tcPr>
            <w:tcW w:w="4899" w:type="dxa"/>
            <w:shd w:val="solid" w:color="FFFFFF" w:fill="auto"/>
          </w:tcPr>
          <w:p w14:paraId="6D2BEF0E" w14:textId="77777777" w:rsidR="00A10B25" w:rsidRDefault="00A10B25">
            <w:pPr>
              <w:pStyle w:val="TAL"/>
              <w:rPr>
                <w:sz w:val="16"/>
                <w:szCs w:val="16"/>
              </w:rPr>
            </w:pPr>
            <w:r>
              <w:rPr>
                <w:bCs/>
                <w:sz w:val="16"/>
                <w:szCs w:val="16"/>
                <w:lang w:val="en-US" w:eastAsia="zh-CN"/>
              </w:rPr>
              <w:t>Correction to description of consumer functionalities</w:t>
            </w:r>
          </w:p>
        </w:tc>
        <w:tc>
          <w:tcPr>
            <w:tcW w:w="706" w:type="dxa"/>
            <w:shd w:val="solid" w:color="FFFFFF" w:fill="auto"/>
          </w:tcPr>
          <w:p w14:paraId="497ED30A" w14:textId="77777777" w:rsidR="00A10B25" w:rsidRDefault="00A10B25">
            <w:pPr>
              <w:pStyle w:val="TAC"/>
              <w:rPr>
                <w:sz w:val="16"/>
                <w:szCs w:val="16"/>
              </w:rPr>
            </w:pPr>
            <w:r>
              <w:rPr>
                <w:sz w:val="16"/>
                <w:szCs w:val="16"/>
              </w:rPr>
              <w:t>16.4.0</w:t>
            </w:r>
          </w:p>
        </w:tc>
      </w:tr>
      <w:tr w:rsidR="00A10B25" w14:paraId="5B0BE111" w14:textId="77777777">
        <w:tc>
          <w:tcPr>
            <w:tcW w:w="796" w:type="dxa"/>
            <w:shd w:val="solid" w:color="FFFFFF" w:fill="auto"/>
          </w:tcPr>
          <w:p w14:paraId="51790F90" w14:textId="77777777" w:rsidR="00A10B25" w:rsidRDefault="00A10B25">
            <w:pPr>
              <w:pStyle w:val="TAC"/>
              <w:rPr>
                <w:sz w:val="16"/>
                <w:szCs w:val="16"/>
              </w:rPr>
            </w:pPr>
            <w:r>
              <w:rPr>
                <w:sz w:val="16"/>
                <w:szCs w:val="16"/>
              </w:rPr>
              <w:t>2020-06</w:t>
            </w:r>
          </w:p>
        </w:tc>
        <w:tc>
          <w:tcPr>
            <w:tcW w:w="828" w:type="dxa"/>
            <w:shd w:val="solid" w:color="FFFFFF" w:fill="auto"/>
          </w:tcPr>
          <w:p w14:paraId="2C56E87F" w14:textId="77777777" w:rsidR="00A10B25" w:rsidRDefault="00A10B25">
            <w:pPr>
              <w:pStyle w:val="TAC"/>
              <w:rPr>
                <w:sz w:val="16"/>
                <w:szCs w:val="16"/>
              </w:rPr>
            </w:pPr>
            <w:r>
              <w:rPr>
                <w:sz w:val="16"/>
                <w:szCs w:val="16"/>
              </w:rPr>
              <w:t>CT#88e</w:t>
            </w:r>
          </w:p>
        </w:tc>
        <w:tc>
          <w:tcPr>
            <w:tcW w:w="1083" w:type="dxa"/>
            <w:shd w:val="solid" w:color="FFFFFF" w:fill="auto"/>
          </w:tcPr>
          <w:p w14:paraId="1D221A2B" w14:textId="77777777" w:rsidR="00A10B25" w:rsidRDefault="00A10B25">
            <w:pPr>
              <w:pStyle w:val="TAC"/>
              <w:rPr>
                <w:sz w:val="16"/>
                <w:szCs w:val="16"/>
              </w:rPr>
            </w:pPr>
            <w:r>
              <w:rPr>
                <w:sz w:val="16"/>
                <w:szCs w:val="16"/>
              </w:rPr>
              <w:t>CP-201234</w:t>
            </w:r>
          </w:p>
        </w:tc>
        <w:tc>
          <w:tcPr>
            <w:tcW w:w="523" w:type="dxa"/>
            <w:shd w:val="solid" w:color="FFFFFF" w:fill="auto"/>
          </w:tcPr>
          <w:p w14:paraId="4052A8C8" w14:textId="77777777" w:rsidR="00A10B25" w:rsidRDefault="00A10B25">
            <w:pPr>
              <w:pStyle w:val="TAL"/>
              <w:rPr>
                <w:sz w:val="16"/>
                <w:szCs w:val="16"/>
              </w:rPr>
            </w:pPr>
            <w:r>
              <w:rPr>
                <w:sz w:val="16"/>
                <w:szCs w:val="16"/>
              </w:rPr>
              <w:t>0167</w:t>
            </w:r>
          </w:p>
        </w:tc>
        <w:tc>
          <w:tcPr>
            <w:tcW w:w="423" w:type="dxa"/>
            <w:shd w:val="solid" w:color="FFFFFF" w:fill="auto"/>
          </w:tcPr>
          <w:p w14:paraId="3E21CD3C" w14:textId="77777777" w:rsidR="00A10B25" w:rsidRDefault="00A10B25">
            <w:pPr>
              <w:pStyle w:val="TAR"/>
              <w:rPr>
                <w:sz w:val="16"/>
                <w:szCs w:val="16"/>
              </w:rPr>
            </w:pPr>
            <w:r>
              <w:rPr>
                <w:sz w:val="16"/>
                <w:szCs w:val="16"/>
                <w:lang w:eastAsia="zh-CN"/>
              </w:rPr>
              <w:t>1</w:t>
            </w:r>
          </w:p>
        </w:tc>
        <w:tc>
          <w:tcPr>
            <w:tcW w:w="423" w:type="dxa"/>
            <w:shd w:val="solid" w:color="FFFFFF" w:fill="auto"/>
          </w:tcPr>
          <w:p w14:paraId="31CB42B3" w14:textId="77777777" w:rsidR="00A10B25" w:rsidRDefault="00A10B25">
            <w:pPr>
              <w:pStyle w:val="TAC"/>
              <w:rPr>
                <w:sz w:val="16"/>
                <w:szCs w:val="16"/>
              </w:rPr>
            </w:pPr>
            <w:r>
              <w:rPr>
                <w:sz w:val="16"/>
                <w:szCs w:val="16"/>
              </w:rPr>
              <w:t>F</w:t>
            </w:r>
          </w:p>
        </w:tc>
        <w:tc>
          <w:tcPr>
            <w:tcW w:w="4899" w:type="dxa"/>
            <w:shd w:val="solid" w:color="FFFFFF" w:fill="auto"/>
          </w:tcPr>
          <w:p w14:paraId="5DCAA6F1" w14:textId="77777777" w:rsidR="00A10B25" w:rsidRDefault="00A10B25">
            <w:pPr>
              <w:pStyle w:val="TAL"/>
              <w:rPr>
                <w:sz w:val="16"/>
                <w:szCs w:val="16"/>
              </w:rPr>
            </w:pPr>
            <w:r>
              <w:rPr>
                <w:bCs/>
                <w:sz w:val="16"/>
                <w:szCs w:val="16"/>
                <w:lang w:val="en-US" w:eastAsia="zh-CN"/>
              </w:rPr>
              <w:t>Correction to variance of Start time in UE Communication</w:t>
            </w:r>
          </w:p>
        </w:tc>
        <w:tc>
          <w:tcPr>
            <w:tcW w:w="706" w:type="dxa"/>
            <w:shd w:val="solid" w:color="FFFFFF" w:fill="auto"/>
          </w:tcPr>
          <w:p w14:paraId="42734431" w14:textId="77777777" w:rsidR="00A10B25" w:rsidRDefault="00A10B25">
            <w:pPr>
              <w:pStyle w:val="TAC"/>
              <w:rPr>
                <w:sz w:val="16"/>
                <w:szCs w:val="16"/>
              </w:rPr>
            </w:pPr>
            <w:r>
              <w:rPr>
                <w:sz w:val="16"/>
                <w:szCs w:val="16"/>
              </w:rPr>
              <w:t>16.4.0</w:t>
            </w:r>
          </w:p>
        </w:tc>
      </w:tr>
      <w:tr w:rsidR="00A10B25" w14:paraId="44F31CC1" w14:textId="77777777">
        <w:tc>
          <w:tcPr>
            <w:tcW w:w="796" w:type="dxa"/>
            <w:shd w:val="solid" w:color="FFFFFF" w:fill="auto"/>
          </w:tcPr>
          <w:p w14:paraId="71C63E23" w14:textId="77777777" w:rsidR="00A10B25" w:rsidRDefault="00A10B25">
            <w:pPr>
              <w:pStyle w:val="TAC"/>
              <w:rPr>
                <w:sz w:val="16"/>
                <w:szCs w:val="16"/>
              </w:rPr>
            </w:pPr>
            <w:r>
              <w:rPr>
                <w:sz w:val="16"/>
                <w:szCs w:val="16"/>
              </w:rPr>
              <w:t>2020-06</w:t>
            </w:r>
          </w:p>
        </w:tc>
        <w:tc>
          <w:tcPr>
            <w:tcW w:w="828" w:type="dxa"/>
            <w:shd w:val="solid" w:color="FFFFFF" w:fill="auto"/>
          </w:tcPr>
          <w:p w14:paraId="5D4AB34F" w14:textId="77777777" w:rsidR="00A10B25" w:rsidRDefault="00A10B25">
            <w:pPr>
              <w:pStyle w:val="TAC"/>
              <w:rPr>
                <w:sz w:val="16"/>
                <w:szCs w:val="16"/>
              </w:rPr>
            </w:pPr>
            <w:r>
              <w:rPr>
                <w:sz w:val="16"/>
                <w:szCs w:val="16"/>
              </w:rPr>
              <w:t>CT#88e</w:t>
            </w:r>
          </w:p>
        </w:tc>
        <w:tc>
          <w:tcPr>
            <w:tcW w:w="1083" w:type="dxa"/>
            <w:shd w:val="solid" w:color="FFFFFF" w:fill="auto"/>
          </w:tcPr>
          <w:p w14:paraId="15CDBB70" w14:textId="77777777" w:rsidR="00A10B25" w:rsidRDefault="00A10B25">
            <w:pPr>
              <w:pStyle w:val="TAC"/>
              <w:rPr>
                <w:sz w:val="16"/>
                <w:szCs w:val="16"/>
              </w:rPr>
            </w:pPr>
            <w:r>
              <w:rPr>
                <w:sz w:val="16"/>
                <w:szCs w:val="16"/>
              </w:rPr>
              <w:t>CP-201234</w:t>
            </w:r>
          </w:p>
        </w:tc>
        <w:tc>
          <w:tcPr>
            <w:tcW w:w="523" w:type="dxa"/>
            <w:shd w:val="solid" w:color="FFFFFF" w:fill="auto"/>
          </w:tcPr>
          <w:p w14:paraId="109C7415" w14:textId="77777777" w:rsidR="00A10B25" w:rsidRDefault="00A10B25">
            <w:pPr>
              <w:pStyle w:val="TAL"/>
              <w:rPr>
                <w:sz w:val="16"/>
                <w:szCs w:val="16"/>
              </w:rPr>
            </w:pPr>
            <w:r>
              <w:rPr>
                <w:sz w:val="16"/>
                <w:szCs w:val="16"/>
              </w:rPr>
              <w:t>0169</w:t>
            </w:r>
          </w:p>
        </w:tc>
        <w:tc>
          <w:tcPr>
            <w:tcW w:w="423" w:type="dxa"/>
            <w:shd w:val="solid" w:color="FFFFFF" w:fill="auto"/>
          </w:tcPr>
          <w:p w14:paraId="5D1E0C8A" w14:textId="77777777" w:rsidR="00A10B25" w:rsidRDefault="00A10B25">
            <w:pPr>
              <w:pStyle w:val="TAR"/>
              <w:rPr>
                <w:sz w:val="16"/>
                <w:szCs w:val="16"/>
              </w:rPr>
            </w:pPr>
            <w:r>
              <w:rPr>
                <w:sz w:val="16"/>
                <w:szCs w:val="16"/>
                <w:lang w:eastAsia="zh-CN"/>
              </w:rPr>
              <w:t>1</w:t>
            </w:r>
          </w:p>
        </w:tc>
        <w:tc>
          <w:tcPr>
            <w:tcW w:w="423" w:type="dxa"/>
            <w:shd w:val="solid" w:color="FFFFFF" w:fill="auto"/>
          </w:tcPr>
          <w:p w14:paraId="64D3EBD6" w14:textId="77777777" w:rsidR="00A10B25" w:rsidRDefault="00A10B25">
            <w:pPr>
              <w:pStyle w:val="TAC"/>
              <w:rPr>
                <w:sz w:val="16"/>
                <w:szCs w:val="16"/>
              </w:rPr>
            </w:pPr>
            <w:r>
              <w:rPr>
                <w:sz w:val="16"/>
                <w:szCs w:val="16"/>
              </w:rPr>
              <w:t>B</w:t>
            </w:r>
          </w:p>
        </w:tc>
        <w:tc>
          <w:tcPr>
            <w:tcW w:w="4899" w:type="dxa"/>
            <w:shd w:val="solid" w:color="FFFFFF" w:fill="auto"/>
          </w:tcPr>
          <w:p w14:paraId="310B6B8D" w14:textId="77777777" w:rsidR="00A10B25" w:rsidRDefault="00A10B25">
            <w:pPr>
              <w:pStyle w:val="TAL"/>
              <w:rPr>
                <w:sz w:val="16"/>
                <w:szCs w:val="16"/>
              </w:rPr>
            </w:pPr>
            <w:r>
              <w:rPr>
                <w:sz w:val="16"/>
                <w:szCs w:val="16"/>
              </w:rPr>
              <w:t>Correct supported feature in AnalyticsData</w:t>
            </w:r>
          </w:p>
        </w:tc>
        <w:tc>
          <w:tcPr>
            <w:tcW w:w="706" w:type="dxa"/>
            <w:shd w:val="solid" w:color="FFFFFF" w:fill="auto"/>
          </w:tcPr>
          <w:p w14:paraId="1E29CEE6" w14:textId="77777777" w:rsidR="00A10B25" w:rsidRDefault="00A10B25">
            <w:pPr>
              <w:pStyle w:val="TAC"/>
              <w:rPr>
                <w:sz w:val="16"/>
                <w:szCs w:val="16"/>
              </w:rPr>
            </w:pPr>
            <w:r>
              <w:rPr>
                <w:sz w:val="16"/>
                <w:szCs w:val="16"/>
              </w:rPr>
              <w:t>16.4.0</w:t>
            </w:r>
          </w:p>
        </w:tc>
      </w:tr>
      <w:tr w:rsidR="00A10B25" w14:paraId="0E681D7D" w14:textId="77777777">
        <w:tc>
          <w:tcPr>
            <w:tcW w:w="796" w:type="dxa"/>
            <w:shd w:val="solid" w:color="FFFFFF" w:fill="auto"/>
          </w:tcPr>
          <w:p w14:paraId="3DA2F1BA" w14:textId="77777777" w:rsidR="00A10B25" w:rsidRDefault="00A10B25">
            <w:pPr>
              <w:pStyle w:val="TAC"/>
              <w:rPr>
                <w:sz w:val="16"/>
                <w:szCs w:val="16"/>
              </w:rPr>
            </w:pPr>
            <w:r>
              <w:rPr>
                <w:sz w:val="16"/>
                <w:szCs w:val="16"/>
              </w:rPr>
              <w:t>2020-06</w:t>
            </w:r>
          </w:p>
        </w:tc>
        <w:tc>
          <w:tcPr>
            <w:tcW w:w="828" w:type="dxa"/>
            <w:shd w:val="solid" w:color="FFFFFF" w:fill="auto"/>
          </w:tcPr>
          <w:p w14:paraId="2F204FB4" w14:textId="77777777" w:rsidR="00A10B25" w:rsidRDefault="00A10B25">
            <w:pPr>
              <w:pStyle w:val="TAC"/>
              <w:rPr>
                <w:sz w:val="16"/>
                <w:szCs w:val="16"/>
              </w:rPr>
            </w:pPr>
            <w:r>
              <w:rPr>
                <w:sz w:val="16"/>
                <w:szCs w:val="16"/>
              </w:rPr>
              <w:t>CT#88e</w:t>
            </w:r>
          </w:p>
        </w:tc>
        <w:tc>
          <w:tcPr>
            <w:tcW w:w="1083" w:type="dxa"/>
            <w:shd w:val="solid" w:color="FFFFFF" w:fill="auto"/>
          </w:tcPr>
          <w:p w14:paraId="059E6BC9" w14:textId="77777777" w:rsidR="00A10B25" w:rsidRDefault="00A10B25">
            <w:pPr>
              <w:pStyle w:val="TAC"/>
              <w:rPr>
                <w:sz w:val="16"/>
                <w:szCs w:val="16"/>
              </w:rPr>
            </w:pPr>
            <w:r>
              <w:rPr>
                <w:sz w:val="16"/>
                <w:szCs w:val="16"/>
              </w:rPr>
              <w:t>CP-201234</w:t>
            </w:r>
          </w:p>
        </w:tc>
        <w:tc>
          <w:tcPr>
            <w:tcW w:w="523" w:type="dxa"/>
            <w:shd w:val="solid" w:color="FFFFFF" w:fill="auto"/>
          </w:tcPr>
          <w:p w14:paraId="2999A4C2" w14:textId="77777777" w:rsidR="00A10B25" w:rsidRDefault="00A10B25">
            <w:pPr>
              <w:pStyle w:val="TAL"/>
              <w:rPr>
                <w:sz w:val="16"/>
                <w:szCs w:val="16"/>
              </w:rPr>
            </w:pPr>
            <w:r>
              <w:rPr>
                <w:sz w:val="16"/>
                <w:szCs w:val="16"/>
              </w:rPr>
              <w:t>0170</w:t>
            </w:r>
          </w:p>
        </w:tc>
        <w:tc>
          <w:tcPr>
            <w:tcW w:w="423" w:type="dxa"/>
            <w:shd w:val="solid" w:color="FFFFFF" w:fill="auto"/>
          </w:tcPr>
          <w:p w14:paraId="06527CCC" w14:textId="77777777" w:rsidR="00A10B25" w:rsidRDefault="00A10B25">
            <w:pPr>
              <w:pStyle w:val="TAR"/>
              <w:rPr>
                <w:sz w:val="16"/>
                <w:szCs w:val="16"/>
              </w:rPr>
            </w:pPr>
            <w:r>
              <w:rPr>
                <w:sz w:val="16"/>
                <w:szCs w:val="16"/>
                <w:lang w:eastAsia="zh-CN"/>
              </w:rPr>
              <w:t>1</w:t>
            </w:r>
          </w:p>
        </w:tc>
        <w:tc>
          <w:tcPr>
            <w:tcW w:w="423" w:type="dxa"/>
            <w:shd w:val="solid" w:color="FFFFFF" w:fill="auto"/>
          </w:tcPr>
          <w:p w14:paraId="258A5B2E" w14:textId="77777777" w:rsidR="00A10B25" w:rsidRDefault="00A10B25">
            <w:pPr>
              <w:pStyle w:val="TAC"/>
              <w:rPr>
                <w:sz w:val="16"/>
                <w:szCs w:val="16"/>
              </w:rPr>
            </w:pPr>
            <w:r>
              <w:rPr>
                <w:sz w:val="16"/>
                <w:szCs w:val="16"/>
              </w:rPr>
              <w:t>F</w:t>
            </w:r>
          </w:p>
        </w:tc>
        <w:tc>
          <w:tcPr>
            <w:tcW w:w="4899" w:type="dxa"/>
            <w:shd w:val="solid" w:color="FFFFFF" w:fill="auto"/>
          </w:tcPr>
          <w:p w14:paraId="47D8A89C" w14:textId="77777777" w:rsidR="00A10B25" w:rsidRDefault="00A10B25">
            <w:pPr>
              <w:pStyle w:val="TAL"/>
              <w:rPr>
                <w:sz w:val="16"/>
                <w:szCs w:val="16"/>
              </w:rPr>
            </w:pPr>
            <w:r>
              <w:rPr>
                <w:sz w:val="16"/>
                <w:szCs w:val="16"/>
              </w:rPr>
              <w:t>Clarify service experience data</w:t>
            </w:r>
          </w:p>
        </w:tc>
        <w:tc>
          <w:tcPr>
            <w:tcW w:w="706" w:type="dxa"/>
            <w:shd w:val="solid" w:color="FFFFFF" w:fill="auto"/>
          </w:tcPr>
          <w:p w14:paraId="5DC94BA7" w14:textId="77777777" w:rsidR="00A10B25" w:rsidRDefault="00A10B25">
            <w:pPr>
              <w:pStyle w:val="TAC"/>
              <w:rPr>
                <w:sz w:val="16"/>
                <w:szCs w:val="16"/>
              </w:rPr>
            </w:pPr>
            <w:r>
              <w:rPr>
                <w:sz w:val="16"/>
                <w:szCs w:val="16"/>
              </w:rPr>
              <w:t>16.4.0</w:t>
            </w:r>
          </w:p>
        </w:tc>
      </w:tr>
      <w:tr w:rsidR="00A10B25" w14:paraId="663F031D" w14:textId="77777777">
        <w:tc>
          <w:tcPr>
            <w:tcW w:w="796" w:type="dxa"/>
            <w:shd w:val="solid" w:color="FFFFFF" w:fill="auto"/>
          </w:tcPr>
          <w:p w14:paraId="4B3FF364" w14:textId="77777777" w:rsidR="00A10B25" w:rsidRDefault="00A10B25">
            <w:pPr>
              <w:pStyle w:val="TAC"/>
              <w:rPr>
                <w:sz w:val="16"/>
                <w:szCs w:val="16"/>
              </w:rPr>
            </w:pPr>
            <w:r>
              <w:rPr>
                <w:sz w:val="16"/>
                <w:szCs w:val="16"/>
              </w:rPr>
              <w:t>2020-06</w:t>
            </w:r>
          </w:p>
        </w:tc>
        <w:tc>
          <w:tcPr>
            <w:tcW w:w="828" w:type="dxa"/>
            <w:shd w:val="solid" w:color="FFFFFF" w:fill="auto"/>
          </w:tcPr>
          <w:p w14:paraId="6F6918E5" w14:textId="77777777" w:rsidR="00A10B25" w:rsidRDefault="00A10B25">
            <w:pPr>
              <w:pStyle w:val="TAC"/>
              <w:rPr>
                <w:sz w:val="16"/>
                <w:szCs w:val="16"/>
              </w:rPr>
            </w:pPr>
            <w:r>
              <w:rPr>
                <w:sz w:val="16"/>
                <w:szCs w:val="16"/>
              </w:rPr>
              <w:t>CT#88e</w:t>
            </w:r>
          </w:p>
        </w:tc>
        <w:tc>
          <w:tcPr>
            <w:tcW w:w="1083" w:type="dxa"/>
            <w:shd w:val="solid" w:color="FFFFFF" w:fill="auto"/>
          </w:tcPr>
          <w:p w14:paraId="2DECF3AA" w14:textId="77777777" w:rsidR="00A10B25" w:rsidRDefault="00A10B25">
            <w:pPr>
              <w:pStyle w:val="TAC"/>
              <w:rPr>
                <w:sz w:val="16"/>
                <w:szCs w:val="16"/>
              </w:rPr>
            </w:pPr>
            <w:r>
              <w:rPr>
                <w:sz w:val="16"/>
                <w:szCs w:val="16"/>
              </w:rPr>
              <w:t>CP-201234</w:t>
            </w:r>
          </w:p>
        </w:tc>
        <w:tc>
          <w:tcPr>
            <w:tcW w:w="523" w:type="dxa"/>
            <w:shd w:val="solid" w:color="FFFFFF" w:fill="auto"/>
          </w:tcPr>
          <w:p w14:paraId="764C9EF1" w14:textId="77777777" w:rsidR="00A10B25" w:rsidRDefault="00A10B25">
            <w:pPr>
              <w:pStyle w:val="TAL"/>
              <w:rPr>
                <w:sz w:val="16"/>
                <w:szCs w:val="16"/>
              </w:rPr>
            </w:pPr>
            <w:r>
              <w:rPr>
                <w:sz w:val="16"/>
                <w:szCs w:val="16"/>
              </w:rPr>
              <w:t>0171</w:t>
            </w:r>
          </w:p>
        </w:tc>
        <w:tc>
          <w:tcPr>
            <w:tcW w:w="423" w:type="dxa"/>
            <w:shd w:val="solid" w:color="FFFFFF" w:fill="auto"/>
          </w:tcPr>
          <w:p w14:paraId="747A69C0" w14:textId="77777777" w:rsidR="00A10B25" w:rsidRDefault="00A10B25">
            <w:pPr>
              <w:pStyle w:val="TAR"/>
              <w:rPr>
                <w:sz w:val="16"/>
                <w:szCs w:val="16"/>
              </w:rPr>
            </w:pPr>
          </w:p>
        </w:tc>
        <w:tc>
          <w:tcPr>
            <w:tcW w:w="423" w:type="dxa"/>
            <w:shd w:val="solid" w:color="FFFFFF" w:fill="auto"/>
          </w:tcPr>
          <w:p w14:paraId="1737E1AA" w14:textId="77777777" w:rsidR="00A10B25" w:rsidRDefault="00A10B25">
            <w:pPr>
              <w:pStyle w:val="TAC"/>
              <w:rPr>
                <w:sz w:val="16"/>
                <w:szCs w:val="16"/>
              </w:rPr>
            </w:pPr>
            <w:r>
              <w:rPr>
                <w:sz w:val="16"/>
                <w:szCs w:val="16"/>
              </w:rPr>
              <w:t>F</w:t>
            </w:r>
          </w:p>
        </w:tc>
        <w:tc>
          <w:tcPr>
            <w:tcW w:w="4899" w:type="dxa"/>
            <w:shd w:val="solid" w:color="FFFFFF" w:fill="auto"/>
          </w:tcPr>
          <w:p w14:paraId="55D8F46C" w14:textId="77777777" w:rsidR="00A10B25" w:rsidRDefault="00A10B25">
            <w:pPr>
              <w:pStyle w:val="TAL"/>
              <w:rPr>
                <w:sz w:val="16"/>
                <w:szCs w:val="16"/>
              </w:rPr>
            </w:pPr>
            <w:r>
              <w:rPr>
                <w:sz w:val="16"/>
                <w:szCs w:val="16"/>
              </w:rPr>
              <w:t>Correct threshold</w:t>
            </w:r>
          </w:p>
        </w:tc>
        <w:tc>
          <w:tcPr>
            <w:tcW w:w="706" w:type="dxa"/>
            <w:shd w:val="solid" w:color="FFFFFF" w:fill="auto"/>
          </w:tcPr>
          <w:p w14:paraId="7F25BFE0" w14:textId="77777777" w:rsidR="00A10B25" w:rsidRDefault="00A10B25">
            <w:pPr>
              <w:pStyle w:val="TAC"/>
              <w:rPr>
                <w:sz w:val="16"/>
                <w:szCs w:val="16"/>
              </w:rPr>
            </w:pPr>
            <w:r>
              <w:rPr>
                <w:sz w:val="16"/>
                <w:szCs w:val="16"/>
              </w:rPr>
              <w:t>16.4.0</w:t>
            </w:r>
          </w:p>
        </w:tc>
      </w:tr>
      <w:tr w:rsidR="00A10B25" w14:paraId="102BFD7E" w14:textId="77777777">
        <w:tc>
          <w:tcPr>
            <w:tcW w:w="796" w:type="dxa"/>
            <w:shd w:val="solid" w:color="FFFFFF" w:fill="auto"/>
          </w:tcPr>
          <w:p w14:paraId="1A674A6D" w14:textId="77777777" w:rsidR="00A10B25" w:rsidRDefault="00A10B25">
            <w:pPr>
              <w:pStyle w:val="TAC"/>
              <w:rPr>
                <w:sz w:val="16"/>
                <w:szCs w:val="16"/>
              </w:rPr>
            </w:pPr>
            <w:r>
              <w:rPr>
                <w:sz w:val="16"/>
                <w:szCs w:val="16"/>
              </w:rPr>
              <w:t>2020-06</w:t>
            </w:r>
          </w:p>
        </w:tc>
        <w:tc>
          <w:tcPr>
            <w:tcW w:w="828" w:type="dxa"/>
            <w:shd w:val="solid" w:color="FFFFFF" w:fill="auto"/>
          </w:tcPr>
          <w:p w14:paraId="079EF7BD" w14:textId="77777777" w:rsidR="00A10B25" w:rsidRDefault="00A10B25">
            <w:pPr>
              <w:pStyle w:val="TAC"/>
              <w:rPr>
                <w:sz w:val="16"/>
                <w:szCs w:val="16"/>
              </w:rPr>
            </w:pPr>
            <w:r>
              <w:rPr>
                <w:sz w:val="16"/>
                <w:szCs w:val="16"/>
              </w:rPr>
              <w:t>CT#88e</w:t>
            </w:r>
          </w:p>
        </w:tc>
        <w:tc>
          <w:tcPr>
            <w:tcW w:w="1083" w:type="dxa"/>
            <w:shd w:val="solid" w:color="FFFFFF" w:fill="auto"/>
          </w:tcPr>
          <w:p w14:paraId="7892D3B7" w14:textId="77777777" w:rsidR="00A10B25" w:rsidRDefault="00A10B25">
            <w:pPr>
              <w:pStyle w:val="TAC"/>
              <w:rPr>
                <w:sz w:val="16"/>
                <w:szCs w:val="16"/>
              </w:rPr>
            </w:pPr>
            <w:r>
              <w:rPr>
                <w:sz w:val="16"/>
                <w:szCs w:val="16"/>
              </w:rPr>
              <w:t>CP-201234</w:t>
            </w:r>
          </w:p>
        </w:tc>
        <w:tc>
          <w:tcPr>
            <w:tcW w:w="523" w:type="dxa"/>
            <w:shd w:val="solid" w:color="FFFFFF" w:fill="auto"/>
          </w:tcPr>
          <w:p w14:paraId="33D10D51" w14:textId="77777777" w:rsidR="00A10B25" w:rsidRDefault="00A10B25">
            <w:pPr>
              <w:pStyle w:val="TAL"/>
              <w:rPr>
                <w:sz w:val="16"/>
                <w:szCs w:val="16"/>
              </w:rPr>
            </w:pPr>
            <w:r>
              <w:rPr>
                <w:sz w:val="16"/>
                <w:szCs w:val="16"/>
              </w:rPr>
              <w:t>0172</w:t>
            </w:r>
          </w:p>
        </w:tc>
        <w:tc>
          <w:tcPr>
            <w:tcW w:w="423" w:type="dxa"/>
            <w:shd w:val="solid" w:color="FFFFFF" w:fill="auto"/>
          </w:tcPr>
          <w:p w14:paraId="75F89D63" w14:textId="77777777" w:rsidR="00A10B25" w:rsidRDefault="00A10B25">
            <w:pPr>
              <w:pStyle w:val="TAR"/>
              <w:rPr>
                <w:sz w:val="16"/>
                <w:szCs w:val="16"/>
              </w:rPr>
            </w:pPr>
            <w:r>
              <w:rPr>
                <w:sz w:val="16"/>
                <w:szCs w:val="16"/>
                <w:lang w:eastAsia="zh-CN"/>
              </w:rPr>
              <w:t>1</w:t>
            </w:r>
          </w:p>
        </w:tc>
        <w:tc>
          <w:tcPr>
            <w:tcW w:w="423" w:type="dxa"/>
            <w:shd w:val="solid" w:color="FFFFFF" w:fill="auto"/>
          </w:tcPr>
          <w:p w14:paraId="5DBACB4F" w14:textId="77777777" w:rsidR="00A10B25" w:rsidRDefault="00A10B25">
            <w:pPr>
              <w:pStyle w:val="TAC"/>
              <w:rPr>
                <w:sz w:val="16"/>
                <w:szCs w:val="16"/>
              </w:rPr>
            </w:pPr>
            <w:r>
              <w:rPr>
                <w:sz w:val="16"/>
                <w:szCs w:val="16"/>
              </w:rPr>
              <w:t>F</w:t>
            </w:r>
          </w:p>
        </w:tc>
        <w:tc>
          <w:tcPr>
            <w:tcW w:w="4899" w:type="dxa"/>
            <w:shd w:val="solid" w:color="FFFFFF" w:fill="auto"/>
          </w:tcPr>
          <w:p w14:paraId="621688B6" w14:textId="77777777" w:rsidR="00A10B25" w:rsidRDefault="00A10B25">
            <w:pPr>
              <w:pStyle w:val="TAL"/>
              <w:rPr>
                <w:sz w:val="16"/>
                <w:szCs w:val="16"/>
              </w:rPr>
            </w:pPr>
            <w:r>
              <w:rPr>
                <w:sz w:val="16"/>
                <w:szCs w:val="16"/>
              </w:rPr>
              <w:t>Resource type in QoS requirement</w:t>
            </w:r>
          </w:p>
        </w:tc>
        <w:tc>
          <w:tcPr>
            <w:tcW w:w="706" w:type="dxa"/>
            <w:shd w:val="solid" w:color="FFFFFF" w:fill="auto"/>
          </w:tcPr>
          <w:p w14:paraId="1587A75B" w14:textId="77777777" w:rsidR="00A10B25" w:rsidRDefault="00A10B25">
            <w:pPr>
              <w:pStyle w:val="TAC"/>
              <w:rPr>
                <w:sz w:val="16"/>
                <w:szCs w:val="16"/>
              </w:rPr>
            </w:pPr>
            <w:r>
              <w:rPr>
                <w:sz w:val="16"/>
                <w:szCs w:val="16"/>
              </w:rPr>
              <w:t>16.4.0</w:t>
            </w:r>
          </w:p>
        </w:tc>
      </w:tr>
      <w:tr w:rsidR="00A10B25" w14:paraId="32B8D761" w14:textId="77777777">
        <w:tc>
          <w:tcPr>
            <w:tcW w:w="796" w:type="dxa"/>
            <w:shd w:val="solid" w:color="FFFFFF" w:fill="auto"/>
          </w:tcPr>
          <w:p w14:paraId="02A87D6E" w14:textId="77777777" w:rsidR="00A10B25" w:rsidRDefault="00A10B25">
            <w:pPr>
              <w:pStyle w:val="TAC"/>
              <w:rPr>
                <w:sz w:val="16"/>
                <w:szCs w:val="16"/>
              </w:rPr>
            </w:pPr>
            <w:r>
              <w:rPr>
                <w:sz w:val="16"/>
                <w:szCs w:val="16"/>
              </w:rPr>
              <w:t>2020-06</w:t>
            </w:r>
          </w:p>
        </w:tc>
        <w:tc>
          <w:tcPr>
            <w:tcW w:w="828" w:type="dxa"/>
            <w:shd w:val="solid" w:color="FFFFFF" w:fill="auto"/>
          </w:tcPr>
          <w:p w14:paraId="14E09059" w14:textId="77777777" w:rsidR="00A10B25" w:rsidRDefault="00A10B25">
            <w:pPr>
              <w:pStyle w:val="TAC"/>
              <w:rPr>
                <w:sz w:val="16"/>
                <w:szCs w:val="16"/>
              </w:rPr>
            </w:pPr>
            <w:r>
              <w:rPr>
                <w:sz w:val="16"/>
                <w:szCs w:val="16"/>
              </w:rPr>
              <w:t>CT#88e</w:t>
            </w:r>
          </w:p>
        </w:tc>
        <w:tc>
          <w:tcPr>
            <w:tcW w:w="1083" w:type="dxa"/>
            <w:shd w:val="solid" w:color="FFFFFF" w:fill="auto"/>
          </w:tcPr>
          <w:p w14:paraId="060E6055" w14:textId="77777777" w:rsidR="00A10B25" w:rsidRDefault="00A10B25">
            <w:pPr>
              <w:pStyle w:val="TAC"/>
              <w:rPr>
                <w:sz w:val="16"/>
                <w:szCs w:val="16"/>
              </w:rPr>
            </w:pPr>
            <w:r>
              <w:rPr>
                <w:sz w:val="16"/>
                <w:szCs w:val="16"/>
              </w:rPr>
              <w:t>CP-201244</w:t>
            </w:r>
          </w:p>
        </w:tc>
        <w:tc>
          <w:tcPr>
            <w:tcW w:w="523" w:type="dxa"/>
            <w:shd w:val="solid" w:color="FFFFFF" w:fill="auto"/>
          </w:tcPr>
          <w:p w14:paraId="7092579F" w14:textId="77777777" w:rsidR="00A10B25" w:rsidRDefault="00A10B25">
            <w:pPr>
              <w:pStyle w:val="TAL"/>
              <w:rPr>
                <w:sz w:val="16"/>
                <w:szCs w:val="16"/>
              </w:rPr>
            </w:pPr>
            <w:r>
              <w:rPr>
                <w:sz w:val="16"/>
                <w:szCs w:val="16"/>
              </w:rPr>
              <w:t>0173</w:t>
            </w:r>
          </w:p>
        </w:tc>
        <w:tc>
          <w:tcPr>
            <w:tcW w:w="423" w:type="dxa"/>
            <w:shd w:val="solid" w:color="FFFFFF" w:fill="auto"/>
          </w:tcPr>
          <w:p w14:paraId="39385830" w14:textId="77777777" w:rsidR="00A10B25" w:rsidRDefault="00A10B25">
            <w:pPr>
              <w:pStyle w:val="TAR"/>
              <w:rPr>
                <w:sz w:val="16"/>
                <w:szCs w:val="16"/>
              </w:rPr>
            </w:pPr>
            <w:r>
              <w:rPr>
                <w:sz w:val="16"/>
                <w:szCs w:val="16"/>
                <w:lang w:eastAsia="zh-CN"/>
              </w:rPr>
              <w:t>1</w:t>
            </w:r>
          </w:p>
        </w:tc>
        <w:tc>
          <w:tcPr>
            <w:tcW w:w="423" w:type="dxa"/>
            <w:shd w:val="solid" w:color="FFFFFF" w:fill="auto"/>
          </w:tcPr>
          <w:p w14:paraId="419BF2CB" w14:textId="77777777" w:rsidR="00A10B25" w:rsidRDefault="00A10B25">
            <w:pPr>
              <w:pStyle w:val="TAC"/>
              <w:rPr>
                <w:sz w:val="16"/>
                <w:szCs w:val="16"/>
              </w:rPr>
            </w:pPr>
            <w:r>
              <w:rPr>
                <w:sz w:val="16"/>
                <w:szCs w:val="16"/>
              </w:rPr>
              <w:t>F</w:t>
            </w:r>
          </w:p>
        </w:tc>
        <w:tc>
          <w:tcPr>
            <w:tcW w:w="4899" w:type="dxa"/>
            <w:shd w:val="solid" w:color="FFFFFF" w:fill="auto"/>
          </w:tcPr>
          <w:p w14:paraId="16BE28EB" w14:textId="77777777" w:rsidR="00A10B25" w:rsidRDefault="00A10B25">
            <w:pPr>
              <w:pStyle w:val="TAL"/>
              <w:rPr>
                <w:sz w:val="16"/>
                <w:szCs w:val="16"/>
              </w:rPr>
            </w:pPr>
            <w:r>
              <w:rPr>
                <w:sz w:val="16"/>
                <w:szCs w:val="16"/>
              </w:rPr>
              <w:t>Storage of YAML files in ETSI Forge</w:t>
            </w:r>
          </w:p>
        </w:tc>
        <w:tc>
          <w:tcPr>
            <w:tcW w:w="706" w:type="dxa"/>
            <w:shd w:val="solid" w:color="FFFFFF" w:fill="auto"/>
          </w:tcPr>
          <w:p w14:paraId="18348AAD" w14:textId="77777777" w:rsidR="00A10B25" w:rsidRDefault="00A10B25">
            <w:pPr>
              <w:pStyle w:val="TAC"/>
              <w:rPr>
                <w:sz w:val="16"/>
                <w:szCs w:val="16"/>
              </w:rPr>
            </w:pPr>
            <w:r>
              <w:rPr>
                <w:sz w:val="16"/>
                <w:szCs w:val="16"/>
              </w:rPr>
              <w:t>16.4.0</w:t>
            </w:r>
          </w:p>
        </w:tc>
      </w:tr>
      <w:tr w:rsidR="00A10B25" w14:paraId="0AF7510D" w14:textId="77777777">
        <w:tc>
          <w:tcPr>
            <w:tcW w:w="796" w:type="dxa"/>
            <w:shd w:val="solid" w:color="FFFFFF" w:fill="auto"/>
          </w:tcPr>
          <w:p w14:paraId="782B777B" w14:textId="77777777" w:rsidR="00A10B25" w:rsidRDefault="00A10B25">
            <w:pPr>
              <w:pStyle w:val="TAC"/>
              <w:rPr>
                <w:sz w:val="16"/>
                <w:szCs w:val="16"/>
              </w:rPr>
            </w:pPr>
            <w:r>
              <w:rPr>
                <w:sz w:val="16"/>
                <w:szCs w:val="16"/>
              </w:rPr>
              <w:t>2020-06</w:t>
            </w:r>
          </w:p>
        </w:tc>
        <w:tc>
          <w:tcPr>
            <w:tcW w:w="828" w:type="dxa"/>
            <w:shd w:val="solid" w:color="FFFFFF" w:fill="auto"/>
          </w:tcPr>
          <w:p w14:paraId="3693A252" w14:textId="77777777" w:rsidR="00A10B25" w:rsidRDefault="00A10B25">
            <w:pPr>
              <w:pStyle w:val="TAC"/>
              <w:rPr>
                <w:sz w:val="16"/>
                <w:szCs w:val="16"/>
              </w:rPr>
            </w:pPr>
            <w:r>
              <w:rPr>
                <w:sz w:val="16"/>
                <w:szCs w:val="16"/>
              </w:rPr>
              <w:t>CT#88e</w:t>
            </w:r>
          </w:p>
        </w:tc>
        <w:tc>
          <w:tcPr>
            <w:tcW w:w="1083" w:type="dxa"/>
            <w:shd w:val="solid" w:color="FFFFFF" w:fill="auto"/>
          </w:tcPr>
          <w:p w14:paraId="58C6E859" w14:textId="77777777" w:rsidR="00A10B25" w:rsidRDefault="00A10B25">
            <w:pPr>
              <w:pStyle w:val="TAC"/>
              <w:rPr>
                <w:sz w:val="16"/>
                <w:szCs w:val="16"/>
              </w:rPr>
            </w:pPr>
            <w:r>
              <w:rPr>
                <w:sz w:val="16"/>
                <w:szCs w:val="16"/>
              </w:rPr>
              <w:t>CP-201234</w:t>
            </w:r>
          </w:p>
        </w:tc>
        <w:tc>
          <w:tcPr>
            <w:tcW w:w="523" w:type="dxa"/>
            <w:shd w:val="solid" w:color="FFFFFF" w:fill="auto"/>
          </w:tcPr>
          <w:p w14:paraId="61CC7FE3" w14:textId="77777777" w:rsidR="00A10B25" w:rsidRDefault="00A10B25">
            <w:pPr>
              <w:pStyle w:val="TAL"/>
              <w:rPr>
                <w:sz w:val="16"/>
                <w:szCs w:val="16"/>
              </w:rPr>
            </w:pPr>
            <w:r>
              <w:rPr>
                <w:sz w:val="16"/>
                <w:szCs w:val="16"/>
              </w:rPr>
              <w:t>0176</w:t>
            </w:r>
          </w:p>
        </w:tc>
        <w:tc>
          <w:tcPr>
            <w:tcW w:w="423" w:type="dxa"/>
            <w:shd w:val="solid" w:color="FFFFFF" w:fill="auto"/>
          </w:tcPr>
          <w:p w14:paraId="7D531455" w14:textId="77777777" w:rsidR="00A10B25" w:rsidRDefault="00A10B25">
            <w:pPr>
              <w:pStyle w:val="TAR"/>
              <w:rPr>
                <w:sz w:val="16"/>
                <w:szCs w:val="16"/>
              </w:rPr>
            </w:pPr>
            <w:r>
              <w:rPr>
                <w:sz w:val="16"/>
                <w:szCs w:val="16"/>
                <w:lang w:eastAsia="zh-CN"/>
              </w:rPr>
              <w:t>2</w:t>
            </w:r>
          </w:p>
        </w:tc>
        <w:tc>
          <w:tcPr>
            <w:tcW w:w="423" w:type="dxa"/>
            <w:shd w:val="solid" w:color="FFFFFF" w:fill="auto"/>
          </w:tcPr>
          <w:p w14:paraId="773FFE28" w14:textId="77777777" w:rsidR="00A10B25" w:rsidRDefault="00A10B25">
            <w:pPr>
              <w:pStyle w:val="TAC"/>
              <w:rPr>
                <w:sz w:val="16"/>
                <w:szCs w:val="16"/>
              </w:rPr>
            </w:pPr>
            <w:r>
              <w:rPr>
                <w:sz w:val="16"/>
                <w:szCs w:val="16"/>
              </w:rPr>
              <w:t>F</w:t>
            </w:r>
          </w:p>
        </w:tc>
        <w:tc>
          <w:tcPr>
            <w:tcW w:w="4899" w:type="dxa"/>
            <w:shd w:val="solid" w:color="FFFFFF" w:fill="auto"/>
          </w:tcPr>
          <w:p w14:paraId="6D063958" w14:textId="77777777" w:rsidR="00A10B25" w:rsidRDefault="00A10B25">
            <w:pPr>
              <w:pStyle w:val="TAL"/>
              <w:rPr>
                <w:sz w:val="16"/>
                <w:szCs w:val="16"/>
              </w:rPr>
            </w:pPr>
            <w:r>
              <w:rPr>
                <w:sz w:val="16"/>
                <w:szCs w:val="16"/>
              </w:rPr>
              <w:t>Analytics result per S-NSSAI</w:t>
            </w:r>
          </w:p>
        </w:tc>
        <w:tc>
          <w:tcPr>
            <w:tcW w:w="706" w:type="dxa"/>
            <w:shd w:val="solid" w:color="FFFFFF" w:fill="auto"/>
          </w:tcPr>
          <w:p w14:paraId="22D2C5B4" w14:textId="77777777" w:rsidR="00A10B25" w:rsidRDefault="00A10B25">
            <w:pPr>
              <w:pStyle w:val="TAC"/>
              <w:rPr>
                <w:sz w:val="16"/>
                <w:szCs w:val="16"/>
              </w:rPr>
            </w:pPr>
            <w:r>
              <w:rPr>
                <w:sz w:val="16"/>
                <w:szCs w:val="16"/>
              </w:rPr>
              <w:t>16.4.0</w:t>
            </w:r>
          </w:p>
        </w:tc>
      </w:tr>
      <w:tr w:rsidR="00A10B25" w14:paraId="2E69D3C8" w14:textId="77777777">
        <w:tc>
          <w:tcPr>
            <w:tcW w:w="796" w:type="dxa"/>
            <w:shd w:val="solid" w:color="FFFFFF" w:fill="auto"/>
          </w:tcPr>
          <w:p w14:paraId="4CED1E36" w14:textId="77777777" w:rsidR="00A10B25" w:rsidRDefault="00A10B25">
            <w:pPr>
              <w:pStyle w:val="TAC"/>
              <w:rPr>
                <w:sz w:val="16"/>
                <w:szCs w:val="16"/>
              </w:rPr>
            </w:pPr>
            <w:r>
              <w:rPr>
                <w:sz w:val="16"/>
                <w:szCs w:val="16"/>
              </w:rPr>
              <w:t>2020-06</w:t>
            </w:r>
          </w:p>
        </w:tc>
        <w:tc>
          <w:tcPr>
            <w:tcW w:w="828" w:type="dxa"/>
            <w:shd w:val="solid" w:color="FFFFFF" w:fill="auto"/>
          </w:tcPr>
          <w:p w14:paraId="3FACEA30" w14:textId="77777777" w:rsidR="00A10B25" w:rsidRDefault="00A10B25">
            <w:pPr>
              <w:pStyle w:val="TAC"/>
              <w:rPr>
                <w:sz w:val="16"/>
                <w:szCs w:val="16"/>
              </w:rPr>
            </w:pPr>
            <w:r>
              <w:rPr>
                <w:sz w:val="16"/>
                <w:szCs w:val="16"/>
              </w:rPr>
              <w:t>CT#88e</w:t>
            </w:r>
          </w:p>
        </w:tc>
        <w:tc>
          <w:tcPr>
            <w:tcW w:w="1083" w:type="dxa"/>
            <w:shd w:val="solid" w:color="FFFFFF" w:fill="auto"/>
          </w:tcPr>
          <w:p w14:paraId="67A114D8" w14:textId="77777777" w:rsidR="00A10B25" w:rsidRDefault="00A10B25">
            <w:pPr>
              <w:pStyle w:val="TAC"/>
              <w:rPr>
                <w:sz w:val="16"/>
                <w:szCs w:val="16"/>
              </w:rPr>
            </w:pPr>
            <w:r>
              <w:rPr>
                <w:sz w:val="16"/>
                <w:szCs w:val="16"/>
              </w:rPr>
              <w:t>CP-201234</w:t>
            </w:r>
          </w:p>
        </w:tc>
        <w:tc>
          <w:tcPr>
            <w:tcW w:w="523" w:type="dxa"/>
            <w:shd w:val="solid" w:color="FFFFFF" w:fill="auto"/>
          </w:tcPr>
          <w:p w14:paraId="29A98168" w14:textId="77777777" w:rsidR="00A10B25" w:rsidRDefault="00A10B25">
            <w:pPr>
              <w:pStyle w:val="TAL"/>
              <w:rPr>
                <w:sz w:val="16"/>
                <w:szCs w:val="16"/>
              </w:rPr>
            </w:pPr>
            <w:r>
              <w:rPr>
                <w:sz w:val="16"/>
                <w:szCs w:val="16"/>
              </w:rPr>
              <w:t>0177</w:t>
            </w:r>
          </w:p>
        </w:tc>
        <w:tc>
          <w:tcPr>
            <w:tcW w:w="423" w:type="dxa"/>
            <w:shd w:val="solid" w:color="FFFFFF" w:fill="auto"/>
          </w:tcPr>
          <w:p w14:paraId="66D62B93" w14:textId="77777777" w:rsidR="00A10B25" w:rsidRDefault="00A10B25">
            <w:pPr>
              <w:pStyle w:val="TAR"/>
              <w:rPr>
                <w:sz w:val="16"/>
                <w:szCs w:val="16"/>
              </w:rPr>
            </w:pPr>
            <w:r>
              <w:rPr>
                <w:sz w:val="16"/>
                <w:szCs w:val="16"/>
                <w:lang w:eastAsia="zh-CN"/>
              </w:rPr>
              <w:t>1</w:t>
            </w:r>
          </w:p>
        </w:tc>
        <w:tc>
          <w:tcPr>
            <w:tcW w:w="423" w:type="dxa"/>
            <w:shd w:val="solid" w:color="FFFFFF" w:fill="auto"/>
          </w:tcPr>
          <w:p w14:paraId="41529A77" w14:textId="77777777" w:rsidR="00A10B25" w:rsidRDefault="00A10B25">
            <w:pPr>
              <w:pStyle w:val="TAC"/>
              <w:rPr>
                <w:sz w:val="16"/>
                <w:szCs w:val="16"/>
              </w:rPr>
            </w:pPr>
            <w:r>
              <w:rPr>
                <w:sz w:val="16"/>
                <w:szCs w:val="16"/>
              </w:rPr>
              <w:t>F</w:t>
            </w:r>
          </w:p>
        </w:tc>
        <w:tc>
          <w:tcPr>
            <w:tcW w:w="4899" w:type="dxa"/>
            <w:shd w:val="solid" w:color="FFFFFF" w:fill="auto"/>
          </w:tcPr>
          <w:p w14:paraId="18FCAEEF" w14:textId="77777777" w:rsidR="00A10B25" w:rsidRDefault="00A10B25">
            <w:pPr>
              <w:pStyle w:val="TAL"/>
              <w:rPr>
                <w:sz w:val="16"/>
                <w:szCs w:val="16"/>
              </w:rPr>
            </w:pPr>
            <w:r>
              <w:rPr>
                <w:sz w:val="16"/>
                <w:szCs w:val="16"/>
              </w:rPr>
              <w:t>Corrections on confidence for other NWDAF events</w:t>
            </w:r>
          </w:p>
        </w:tc>
        <w:tc>
          <w:tcPr>
            <w:tcW w:w="706" w:type="dxa"/>
            <w:shd w:val="solid" w:color="FFFFFF" w:fill="auto"/>
          </w:tcPr>
          <w:p w14:paraId="30CFC949" w14:textId="77777777" w:rsidR="00A10B25" w:rsidRDefault="00A10B25">
            <w:pPr>
              <w:pStyle w:val="TAC"/>
              <w:rPr>
                <w:sz w:val="16"/>
                <w:szCs w:val="16"/>
              </w:rPr>
            </w:pPr>
            <w:r>
              <w:rPr>
                <w:sz w:val="16"/>
                <w:szCs w:val="16"/>
              </w:rPr>
              <w:t>16.4.0</w:t>
            </w:r>
          </w:p>
        </w:tc>
      </w:tr>
      <w:tr w:rsidR="00A10B25" w14:paraId="588354A5" w14:textId="77777777">
        <w:tc>
          <w:tcPr>
            <w:tcW w:w="796" w:type="dxa"/>
            <w:shd w:val="solid" w:color="FFFFFF" w:fill="auto"/>
          </w:tcPr>
          <w:p w14:paraId="2CEE6677" w14:textId="77777777" w:rsidR="00A10B25" w:rsidRDefault="00A10B25">
            <w:pPr>
              <w:pStyle w:val="TAC"/>
              <w:rPr>
                <w:sz w:val="16"/>
                <w:szCs w:val="16"/>
              </w:rPr>
            </w:pPr>
            <w:r>
              <w:rPr>
                <w:sz w:val="16"/>
                <w:szCs w:val="16"/>
              </w:rPr>
              <w:t>2020-06</w:t>
            </w:r>
          </w:p>
        </w:tc>
        <w:tc>
          <w:tcPr>
            <w:tcW w:w="828" w:type="dxa"/>
            <w:shd w:val="solid" w:color="FFFFFF" w:fill="auto"/>
          </w:tcPr>
          <w:p w14:paraId="50DDAFA8" w14:textId="77777777" w:rsidR="00A10B25" w:rsidRDefault="00A10B25">
            <w:pPr>
              <w:pStyle w:val="TAC"/>
              <w:rPr>
                <w:sz w:val="16"/>
                <w:szCs w:val="16"/>
              </w:rPr>
            </w:pPr>
            <w:r>
              <w:rPr>
                <w:sz w:val="16"/>
                <w:szCs w:val="16"/>
              </w:rPr>
              <w:t>CT#88e</w:t>
            </w:r>
          </w:p>
        </w:tc>
        <w:tc>
          <w:tcPr>
            <w:tcW w:w="1083" w:type="dxa"/>
            <w:shd w:val="solid" w:color="FFFFFF" w:fill="auto"/>
          </w:tcPr>
          <w:p w14:paraId="63A8A45C" w14:textId="77777777" w:rsidR="00A10B25" w:rsidRDefault="00A10B25">
            <w:pPr>
              <w:pStyle w:val="TAC"/>
              <w:rPr>
                <w:sz w:val="16"/>
                <w:szCs w:val="16"/>
              </w:rPr>
            </w:pPr>
            <w:r>
              <w:rPr>
                <w:sz w:val="16"/>
                <w:szCs w:val="16"/>
              </w:rPr>
              <w:t>CP-201256</w:t>
            </w:r>
          </w:p>
        </w:tc>
        <w:tc>
          <w:tcPr>
            <w:tcW w:w="523" w:type="dxa"/>
            <w:shd w:val="solid" w:color="FFFFFF" w:fill="auto"/>
          </w:tcPr>
          <w:p w14:paraId="57B63F94" w14:textId="77777777" w:rsidR="00A10B25" w:rsidRDefault="00A10B25">
            <w:pPr>
              <w:pStyle w:val="TAL"/>
              <w:rPr>
                <w:sz w:val="16"/>
                <w:szCs w:val="16"/>
              </w:rPr>
            </w:pPr>
            <w:r>
              <w:rPr>
                <w:sz w:val="16"/>
                <w:szCs w:val="16"/>
              </w:rPr>
              <w:t>0179</w:t>
            </w:r>
          </w:p>
        </w:tc>
        <w:tc>
          <w:tcPr>
            <w:tcW w:w="423" w:type="dxa"/>
            <w:shd w:val="solid" w:color="FFFFFF" w:fill="auto"/>
          </w:tcPr>
          <w:p w14:paraId="05B1E8A9" w14:textId="77777777" w:rsidR="00A10B25" w:rsidRDefault="00A10B25">
            <w:pPr>
              <w:pStyle w:val="TAR"/>
              <w:rPr>
                <w:sz w:val="16"/>
                <w:szCs w:val="16"/>
              </w:rPr>
            </w:pPr>
            <w:r>
              <w:rPr>
                <w:sz w:val="16"/>
                <w:szCs w:val="16"/>
                <w:lang w:eastAsia="zh-CN"/>
              </w:rPr>
              <w:t>1</w:t>
            </w:r>
          </w:p>
        </w:tc>
        <w:tc>
          <w:tcPr>
            <w:tcW w:w="423" w:type="dxa"/>
            <w:shd w:val="solid" w:color="FFFFFF" w:fill="auto"/>
          </w:tcPr>
          <w:p w14:paraId="15375159" w14:textId="77777777" w:rsidR="00A10B25" w:rsidRDefault="00A10B25">
            <w:pPr>
              <w:pStyle w:val="TAC"/>
              <w:rPr>
                <w:sz w:val="16"/>
                <w:szCs w:val="16"/>
              </w:rPr>
            </w:pPr>
            <w:r>
              <w:rPr>
                <w:sz w:val="16"/>
                <w:szCs w:val="16"/>
              </w:rPr>
              <w:t>F</w:t>
            </w:r>
          </w:p>
        </w:tc>
        <w:tc>
          <w:tcPr>
            <w:tcW w:w="4899" w:type="dxa"/>
            <w:shd w:val="solid" w:color="FFFFFF" w:fill="auto"/>
          </w:tcPr>
          <w:p w14:paraId="06386E6B" w14:textId="77777777" w:rsidR="00A10B25" w:rsidRDefault="00A10B25">
            <w:pPr>
              <w:pStyle w:val="TAL"/>
              <w:rPr>
                <w:sz w:val="16"/>
                <w:szCs w:val="16"/>
              </w:rPr>
            </w:pPr>
            <w:r>
              <w:rPr>
                <w:sz w:val="16"/>
                <w:szCs w:val="16"/>
              </w:rPr>
              <w:t>URI of the Nnwdaf services</w:t>
            </w:r>
          </w:p>
        </w:tc>
        <w:tc>
          <w:tcPr>
            <w:tcW w:w="706" w:type="dxa"/>
            <w:shd w:val="solid" w:color="FFFFFF" w:fill="auto"/>
          </w:tcPr>
          <w:p w14:paraId="3DF0C35B" w14:textId="77777777" w:rsidR="00A10B25" w:rsidRDefault="00A10B25">
            <w:pPr>
              <w:pStyle w:val="TAC"/>
              <w:rPr>
                <w:sz w:val="16"/>
                <w:szCs w:val="16"/>
              </w:rPr>
            </w:pPr>
            <w:r>
              <w:rPr>
                <w:sz w:val="16"/>
                <w:szCs w:val="16"/>
              </w:rPr>
              <w:t>16.4.0</w:t>
            </w:r>
          </w:p>
        </w:tc>
      </w:tr>
      <w:tr w:rsidR="00A10B25" w14:paraId="05C014ED" w14:textId="77777777">
        <w:tc>
          <w:tcPr>
            <w:tcW w:w="796" w:type="dxa"/>
            <w:shd w:val="solid" w:color="FFFFFF" w:fill="auto"/>
          </w:tcPr>
          <w:p w14:paraId="41532EEF" w14:textId="77777777" w:rsidR="00A10B25" w:rsidRDefault="00A10B25">
            <w:pPr>
              <w:pStyle w:val="TAC"/>
              <w:rPr>
                <w:sz w:val="16"/>
                <w:szCs w:val="16"/>
              </w:rPr>
            </w:pPr>
            <w:r>
              <w:rPr>
                <w:sz w:val="16"/>
                <w:szCs w:val="16"/>
              </w:rPr>
              <w:t>2020-06</w:t>
            </w:r>
          </w:p>
        </w:tc>
        <w:tc>
          <w:tcPr>
            <w:tcW w:w="828" w:type="dxa"/>
            <w:shd w:val="solid" w:color="FFFFFF" w:fill="auto"/>
          </w:tcPr>
          <w:p w14:paraId="2F3C5D5E" w14:textId="77777777" w:rsidR="00A10B25" w:rsidRDefault="00A10B25">
            <w:pPr>
              <w:pStyle w:val="TAC"/>
              <w:rPr>
                <w:sz w:val="16"/>
                <w:szCs w:val="16"/>
              </w:rPr>
            </w:pPr>
            <w:r>
              <w:rPr>
                <w:sz w:val="16"/>
                <w:szCs w:val="16"/>
              </w:rPr>
              <w:t>CT#88e</w:t>
            </w:r>
          </w:p>
        </w:tc>
        <w:tc>
          <w:tcPr>
            <w:tcW w:w="1083" w:type="dxa"/>
            <w:shd w:val="solid" w:color="FFFFFF" w:fill="auto"/>
          </w:tcPr>
          <w:p w14:paraId="39D6B11F" w14:textId="77777777" w:rsidR="00A10B25" w:rsidRDefault="00A10B25">
            <w:pPr>
              <w:pStyle w:val="TAC"/>
              <w:rPr>
                <w:sz w:val="16"/>
                <w:szCs w:val="16"/>
              </w:rPr>
            </w:pPr>
            <w:r>
              <w:rPr>
                <w:sz w:val="16"/>
                <w:szCs w:val="16"/>
              </w:rPr>
              <w:t>CP-201234</w:t>
            </w:r>
          </w:p>
        </w:tc>
        <w:tc>
          <w:tcPr>
            <w:tcW w:w="523" w:type="dxa"/>
            <w:shd w:val="solid" w:color="FFFFFF" w:fill="auto"/>
          </w:tcPr>
          <w:p w14:paraId="7C55C128" w14:textId="77777777" w:rsidR="00A10B25" w:rsidRDefault="00A10B25">
            <w:pPr>
              <w:pStyle w:val="TAL"/>
              <w:rPr>
                <w:sz w:val="16"/>
                <w:szCs w:val="16"/>
              </w:rPr>
            </w:pPr>
            <w:r>
              <w:rPr>
                <w:sz w:val="16"/>
                <w:szCs w:val="16"/>
              </w:rPr>
              <w:t>0180</w:t>
            </w:r>
          </w:p>
        </w:tc>
        <w:tc>
          <w:tcPr>
            <w:tcW w:w="423" w:type="dxa"/>
            <w:shd w:val="solid" w:color="FFFFFF" w:fill="auto"/>
          </w:tcPr>
          <w:p w14:paraId="00E02601" w14:textId="77777777" w:rsidR="00A10B25" w:rsidRDefault="00A10B25">
            <w:pPr>
              <w:pStyle w:val="TAR"/>
              <w:rPr>
                <w:sz w:val="16"/>
                <w:szCs w:val="16"/>
              </w:rPr>
            </w:pPr>
            <w:r>
              <w:rPr>
                <w:sz w:val="16"/>
                <w:szCs w:val="16"/>
                <w:lang w:eastAsia="zh-CN"/>
              </w:rPr>
              <w:t>1</w:t>
            </w:r>
          </w:p>
        </w:tc>
        <w:tc>
          <w:tcPr>
            <w:tcW w:w="423" w:type="dxa"/>
            <w:shd w:val="solid" w:color="FFFFFF" w:fill="auto"/>
          </w:tcPr>
          <w:p w14:paraId="321E9B41" w14:textId="77777777" w:rsidR="00A10B25" w:rsidRDefault="00A10B25">
            <w:pPr>
              <w:pStyle w:val="TAC"/>
              <w:rPr>
                <w:sz w:val="16"/>
                <w:szCs w:val="16"/>
              </w:rPr>
            </w:pPr>
            <w:r>
              <w:rPr>
                <w:sz w:val="16"/>
                <w:szCs w:val="16"/>
              </w:rPr>
              <w:t>F</w:t>
            </w:r>
          </w:p>
        </w:tc>
        <w:tc>
          <w:tcPr>
            <w:tcW w:w="4899" w:type="dxa"/>
            <w:shd w:val="solid" w:color="FFFFFF" w:fill="auto"/>
          </w:tcPr>
          <w:p w14:paraId="5B36CA81" w14:textId="77777777" w:rsidR="00A10B25" w:rsidRDefault="00A10B25">
            <w:pPr>
              <w:pStyle w:val="TAL"/>
              <w:rPr>
                <w:sz w:val="16"/>
                <w:szCs w:val="16"/>
              </w:rPr>
            </w:pPr>
            <w:r>
              <w:rPr>
                <w:sz w:val="16"/>
                <w:szCs w:val="16"/>
              </w:rPr>
              <w:t>Default value for matching direction</w:t>
            </w:r>
          </w:p>
        </w:tc>
        <w:tc>
          <w:tcPr>
            <w:tcW w:w="706" w:type="dxa"/>
            <w:shd w:val="solid" w:color="FFFFFF" w:fill="auto"/>
          </w:tcPr>
          <w:p w14:paraId="60039D8D" w14:textId="77777777" w:rsidR="00A10B25" w:rsidRDefault="00A10B25">
            <w:pPr>
              <w:pStyle w:val="TAC"/>
              <w:rPr>
                <w:sz w:val="16"/>
                <w:szCs w:val="16"/>
              </w:rPr>
            </w:pPr>
            <w:r>
              <w:rPr>
                <w:sz w:val="16"/>
                <w:szCs w:val="16"/>
              </w:rPr>
              <w:t>16.4.0</w:t>
            </w:r>
          </w:p>
        </w:tc>
      </w:tr>
      <w:tr w:rsidR="00A10B25" w14:paraId="4F74D7A8" w14:textId="77777777">
        <w:tc>
          <w:tcPr>
            <w:tcW w:w="796" w:type="dxa"/>
            <w:shd w:val="solid" w:color="FFFFFF" w:fill="auto"/>
          </w:tcPr>
          <w:p w14:paraId="34EF6E63" w14:textId="77777777" w:rsidR="00A10B25" w:rsidRDefault="00A10B25">
            <w:pPr>
              <w:pStyle w:val="TAC"/>
              <w:rPr>
                <w:sz w:val="16"/>
                <w:szCs w:val="16"/>
              </w:rPr>
            </w:pPr>
            <w:r>
              <w:rPr>
                <w:sz w:val="16"/>
                <w:szCs w:val="16"/>
              </w:rPr>
              <w:t>2020-06</w:t>
            </w:r>
          </w:p>
        </w:tc>
        <w:tc>
          <w:tcPr>
            <w:tcW w:w="828" w:type="dxa"/>
            <w:shd w:val="solid" w:color="FFFFFF" w:fill="auto"/>
          </w:tcPr>
          <w:p w14:paraId="606A9ED5" w14:textId="77777777" w:rsidR="00A10B25" w:rsidRDefault="00A10B25">
            <w:pPr>
              <w:pStyle w:val="TAC"/>
              <w:rPr>
                <w:sz w:val="16"/>
                <w:szCs w:val="16"/>
              </w:rPr>
            </w:pPr>
            <w:r>
              <w:rPr>
                <w:sz w:val="16"/>
                <w:szCs w:val="16"/>
              </w:rPr>
              <w:t>CT#88e</w:t>
            </w:r>
          </w:p>
        </w:tc>
        <w:tc>
          <w:tcPr>
            <w:tcW w:w="1083" w:type="dxa"/>
            <w:shd w:val="solid" w:color="FFFFFF" w:fill="auto"/>
          </w:tcPr>
          <w:p w14:paraId="755C4D88" w14:textId="77777777" w:rsidR="00A10B25" w:rsidRDefault="00A10B25">
            <w:pPr>
              <w:pStyle w:val="TAC"/>
              <w:rPr>
                <w:sz w:val="16"/>
                <w:szCs w:val="16"/>
              </w:rPr>
            </w:pPr>
            <w:r>
              <w:rPr>
                <w:sz w:val="16"/>
                <w:szCs w:val="16"/>
              </w:rPr>
              <w:t>CP-201234</w:t>
            </w:r>
          </w:p>
        </w:tc>
        <w:tc>
          <w:tcPr>
            <w:tcW w:w="523" w:type="dxa"/>
            <w:shd w:val="solid" w:color="FFFFFF" w:fill="auto"/>
          </w:tcPr>
          <w:p w14:paraId="711759C8" w14:textId="77777777" w:rsidR="00A10B25" w:rsidRDefault="00A10B25">
            <w:pPr>
              <w:pStyle w:val="TAL"/>
              <w:rPr>
                <w:sz w:val="16"/>
                <w:szCs w:val="16"/>
              </w:rPr>
            </w:pPr>
            <w:r>
              <w:rPr>
                <w:sz w:val="16"/>
                <w:szCs w:val="16"/>
              </w:rPr>
              <w:t>0181</w:t>
            </w:r>
          </w:p>
        </w:tc>
        <w:tc>
          <w:tcPr>
            <w:tcW w:w="423" w:type="dxa"/>
            <w:shd w:val="solid" w:color="FFFFFF" w:fill="auto"/>
          </w:tcPr>
          <w:p w14:paraId="27DC45C5" w14:textId="77777777" w:rsidR="00A10B25" w:rsidRDefault="00A10B25">
            <w:pPr>
              <w:pStyle w:val="TAR"/>
              <w:rPr>
                <w:sz w:val="16"/>
                <w:szCs w:val="16"/>
              </w:rPr>
            </w:pPr>
          </w:p>
        </w:tc>
        <w:tc>
          <w:tcPr>
            <w:tcW w:w="423" w:type="dxa"/>
            <w:shd w:val="solid" w:color="FFFFFF" w:fill="auto"/>
          </w:tcPr>
          <w:p w14:paraId="486D50A3" w14:textId="77777777" w:rsidR="00A10B25" w:rsidRDefault="00A10B25">
            <w:pPr>
              <w:pStyle w:val="TAC"/>
              <w:rPr>
                <w:sz w:val="16"/>
                <w:szCs w:val="16"/>
              </w:rPr>
            </w:pPr>
            <w:r>
              <w:rPr>
                <w:sz w:val="16"/>
                <w:szCs w:val="16"/>
              </w:rPr>
              <w:t>F</w:t>
            </w:r>
          </w:p>
        </w:tc>
        <w:tc>
          <w:tcPr>
            <w:tcW w:w="4899" w:type="dxa"/>
            <w:shd w:val="solid" w:color="FFFFFF" w:fill="auto"/>
          </w:tcPr>
          <w:p w14:paraId="24BB4E4A" w14:textId="77777777" w:rsidR="00A10B25" w:rsidRDefault="00A10B25">
            <w:pPr>
              <w:pStyle w:val="TAL"/>
              <w:rPr>
                <w:sz w:val="16"/>
                <w:szCs w:val="16"/>
              </w:rPr>
            </w:pPr>
            <w:r>
              <w:rPr>
                <w:sz w:val="16"/>
                <w:szCs w:val="16"/>
              </w:rPr>
              <w:t>Support of immediate reporting</w:t>
            </w:r>
          </w:p>
        </w:tc>
        <w:tc>
          <w:tcPr>
            <w:tcW w:w="706" w:type="dxa"/>
            <w:shd w:val="solid" w:color="FFFFFF" w:fill="auto"/>
          </w:tcPr>
          <w:p w14:paraId="40B734E4" w14:textId="77777777" w:rsidR="00A10B25" w:rsidRDefault="00A10B25">
            <w:pPr>
              <w:pStyle w:val="TAC"/>
              <w:rPr>
                <w:sz w:val="16"/>
                <w:szCs w:val="16"/>
              </w:rPr>
            </w:pPr>
            <w:r>
              <w:rPr>
                <w:sz w:val="16"/>
                <w:szCs w:val="16"/>
              </w:rPr>
              <w:t>16.4.0</w:t>
            </w:r>
          </w:p>
        </w:tc>
      </w:tr>
      <w:tr w:rsidR="00A10B25" w14:paraId="2B0F0820" w14:textId="77777777">
        <w:tc>
          <w:tcPr>
            <w:tcW w:w="796" w:type="dxa"/>
            <w:shd w:val="solid" w:color="FFFFFF" w:fill="auto"/>
          </w:tcPr>
          <w:p w14:paraId="50823726" w14:textId="77777777" w:rsidR="00A10B25" w:rsidRDefault="00A10B25">
            <w:pPr>
              <w:pStyle w:val="TAC"/>
              <w:rPr>
                <w:sz w:val="16"/>
                <w:szCs w:val="16"/>
              </w:rPr>
            </w:pPr>
            <w:r>
              <w:rPr>
                <w:sz w:val="16"/>
                <w:szCs w:val="16"/>
              </w:rPr>
              <w:t>2020-06</w:t>
            </w:r>
          </w:p>
        </w:tc>
        <w:tc>
          <w:tcPr>
            <w:tcW w:w="828" w:type="dxa"/>
            <w:shd w:val="solid" w:color="FFFFFF" w:fill="auto"/>
          </w:tcPr>
          <w:p w14:paraId="2E8A94F5" w14:textId="77777777" w:rsidR="00A10B25" w:rsidRDefault="00A10B25">
            <w:pPr>
              <w:pStyle w:val="TAC"/>
              <w:rPr>
                <w:sz w:val="16"/>
                <w:szCs w:val="16"/>
              </w:rPr>
            </w:pPr>
            <w:r>
              <w:rPr>
                <w:sz w:val="16"/>
                <w:szCs w:val="16"/>
              </w:rPr>
              <w:t>CT#88e</w:t>
            </w:r>
          </w:p>
        </w:tc>
        <w:tc>
          <w:tcPr>
            <w:tcW w:w="1083" w:type="dxa"/>
            <w:shd w:val="solid" w:color="FFFFFF" w:fill="auto"/>
          </w:tcPr>
          <w:p w14:paraId="158140EA" w14:textId="77777777" w:rsidR="00A10B25" w:rsidRDefault="00A10B25">
            <w:pPr>
              <w:pStyle w:val="TAC"/>
              <w:rPr>
                <w:sz w:val="16"/>
                <w:szCs w:val="16"/>
              </w:rPr>
            </w:pPr>
            <w:r>
              <w:rPr>
                <w:sz w:val="16"/>
                <w:szCs w:val="16"/>
              </w:rPr>
              <w:t>CP-201244</w:t>
            </w:r>
          </w:p>
        </w:tc>
        <w:tc>
          <w:tcPr>
            <w:tcW w:w="523" w:type="dxa"/>
            <w:shd w:val="solid" w:color="FFFFFF" w:fill="auto"/>
          </w:tcPr>
          <w:p w14:paraId="1AA4168B" w14:textId="77777777" w:rsidR="00A10B25" w:rsidRDefault="00A10B25">
            <w:pPr>
              <w:pStyle w:val="TAL"/>
              <w:rPr>
                <w:sz w:val="16"/>
                <w:szCs w:val="16"/>
              </w:rPr>
            </w:pPr>
            <w:r>
              <w:rPr>
                <w:sz w:val="16"/>
                <w:szCs w:val="16"/>
              </w:rPr>
              <w:t>0182</w:t>
            </w:r>
          </w:p>
        </w:tc>
        <w:tc>
          <w:tcPr>
            <w:tcW w:w="423" w:type="dxa"/>
            <w:shd w:val="solid" w:color="FFFFFF" w:fill="auto"/>
          </w:tcPr>
          <w:p w14:paraId="24019B8E" w14:textId="77777777" w:rsidR="00A10B25" w:rsidRDefault="00A10B25">
            <w:pPr>
              <w:pStyle w:val="TAR"/>
              <w:rPr>
                <w:sz w:val="16"/>
                <w:szCs w:val="16"/>
              </w:rPr>
            </w:pPr>
            <w:r>
              <w:rPr>
                <w:sz w:val="16"/>
                <w:szCs w:val="16"/>
                <w:lang w:eastAsia="zh-CN"/>
              </w:rPr>
              <w:t>1</w:t>
            </w:r>
          </w:p>
        </w:tc>
        <w:tc>
          <w:tcPr>
            <w:tcW w:w="423" w:type="dxa"/>
            <w:shd w:val="solid" w:color="FFFFFF" w:fill="auto"/>
          </w:tcPr>
          <w:p w14:paraId="6CB94DE1" w14:textId="77777777" w:rsidR="00A10B25" w:rsidRDefault="00A10B25">
            <w:pPr>
              <w:pStyle w:val="TAC"/>
              <w:rPr>
                <w:sz w:val="16"/>
                <w:szCs w:val="16"/>
              </w:rPr>
            </w:pPr>
            <w:r>
              <w:rPr>
                <w:sz w:val="16"/>
                <w:szCs w:val="16"/>
              </w:rPr>
              <w:t>F</w:t>
            </w:r>
          </w:p>
        </w:tc>
        <w:tc>
          <w:tcPr>
            <w:tcW w:w="4899" w:type="dxa"/>
            <w:shd w:val="solid" w:color="FFFFFF" w:fill="auto"/>
          </w:tcPr>
          <w:p w14:paraId="1BEDB2E4" w14:textId="77777777" w:rsidR="00A10B25" w:rsidRDefault="00A10B25">
            <w:pPr>
              <w:pStyle w:val="TAL"/>
              <w:rPr>
                <w:sz w:val="16"/>
                <w:szCs w:val="16"/>
              </w:rPr>
            </w:pPr>
            <w:r>
              <w:rPr>
                <w:sz w:val="16"/>
                <w:szCs w:val="16"/>
                <w:lang w:eastAsia="zh-CN"/>
              </w:rPr>
              <w:t>Optionality of ProblemDetails</w:t>
            </w:r>
          </w:p>
        </w:tc>
        <w:tc>
          <w:tcPr>
            <w:tcW w:w="706" w:type="dxa"/>
            <w:shd w:val="solid" w:color="FFFFFF" w:fill="auto"/>
          </w:tcPr>
          <w:p w14:paraId="08F49BF0" w14:textId="77777777" w:rsidR="00A10B25" w:rsidRDefault="00A10B25">
            <w:pPr>
              <w:pStyle w:val="TAC"/>
              <w:rPr>
                <w:sz w:val="16"/>
                <w:szCs w:val="16"/>
              </w:rPr>
            </w:pPr>
            <w:r>
              <w:rPr>
                <w:sz w:val="16"/>
                <w:szCs w:val="16"/>
              </w:rPr>
              <w:t>16.4.0</w:t>
            </w:r>
          </w:p>
        </w:tc>
      </w:tr>
      <w:tr w:rsidR="00A10B25" w14:paraId="33BE17A7" w14:textId="77777777">
        <w:tc>
          <w:tcPr>
            <w:tcW w:w="796" w:type="dxa"/>
            <w:shd w:val="solid" w:color="FFFFFF" w:fill="auto"/>
          </w:tcPr>
          <w:p w14:paraId="7AB78777" w14:textId="77777777" w:rsidR="00A10B25" w:rsidRDefault="00A10B25">
            <w:pPr>
              <w:pStyle w:val="TAC"/>
              <w:rPr>
                <w:sz w:val="16"/>
                <w:szCs w:val="16"/>
              </w:rPr>
            </w:pPr>
            <w:r>
              <w:rPr>
                <w:sz w:val="16"/>
                <w:szCs w:val="16"/>
              </w:rPr>
              <w:t>2020-06</w:t>
            </w:r>
          </w:p>
        </w:tc>
        <w:tc>
          <w:tcPr>
            <w:tcW w:w="828" w:type="dxa"/>
            <w:shd w:val="solid" w:color="FFFFFF" w:fill="auto"/>
          </w:tcPr>
          <w:p w14:paraId="6DD4EA3F" w14:textId="77777777" w:rsidR="00A10B25" w:rsidRDefault="00A10B25">
            <w:pPr>
              <w:pStyle w:val="TAC"/>
              <w:rPr>
                <w:sz w:val="16"/>
                <w:szCs w:val="16"/>
              </w:rPr>
            </w:pPr>
            <w:r>
              <w:rPr>
                <w:sz w:val="16"/>
                <w:szCs w:val="16"/>
              </w:rPr>
              <w:t>CT#88e</w:t>
            </w:r>
          </w:p>
        </w:tc>
        <w:tc>
          <w:tcPr>
            <w:tcW w:w="1083" w:type="dxa"/>
            <w:shd w:val="solid" w:color="FFFFFF" w:fill="auto"/>
          </w:tcPr>
          <w:p w14:paraId="1C2B6335" w14:textId="77777777" w:rsidR="00A10B25" w:rsidRDefault="00A10B25">
            <w:pPr>
              <w:pStyle w:val="TAC"/>
              <w:rPr>
                <w:sz w:val="16"/>
                <w:szCs w:val="16"/>
              </w:rPr>
            </w:pPr>
            <w:r>
              <w:rPr>
                <w:sz w:val="16"/>
                <w:szCs w:val="16"/>
              </w:rPr>
              <w:t>CP-201234</w:t>
            </w:r>
          </w:p>
        </w:tc>
        <w:tc>
          <w:tcPr>
            <w:tcW w:w="523" w:type="dxa"/>
            <w:shd w:val="solid" w:color="FFFFFF" w:fill="auto"/>
          </w:tcPr>
          <w:p w14:paraId="4789A685" w14:textId="77777777" w:rsidR="00A10B25" w:rsidRDefault="00A10B25">
            <w:pPr>
              <w:pStyle w:val="TAL"/>
              <w:rPr>
                <w:sz w:val="16"/>
                <w:szCs w:val="16"/>
              </w:rPr>
            </w:pPr>
            <w:r>
              <w:rPr>
                <w:sz w:val="16"/>
                <w:szCs w:val="16"/>
              </w:rPr>
              <w:t>0183</w:t>
            </w:r>
          </w:p>
        </w:tc>
        <w:tc>
          <w:tcPr>
            <w:tcW w:w="423" w:type="dxa"/>
            <w:shd w:val="solid" w:color="FFFFFF" w:fill="auto"/>
          </w:tcPr>
          <w:p w14:paraId="06C613FC" w14:textId="77777777" w:rsidR="00A10B25" w:rsidRDefault="00A10B25">
            <w:pPr>
              <w:pStyle w:val="TAR"/>
              <w:rPr>
                <w:sz w:val="16"/>
                <w:szCs w:val="16"/>
              </w:rPr>
            </w:pPr>
            <w:r>
              <w:rPr>
                <w:sz w:val="16"/>
                <w:szCs w:val="16"/>
                <w:lang w:eastAsia="zh-CN"/>
              </w:rPr>
              <w:t>1</w:t>
            </w:r>
          </w:p>
        </w:tc>
        <w:tc>
          <w:tcPr>
            <w:tcW w:w="423" w:type="dxa"/>
            <w:shd w:val="solid" w:color="FFFFFF" w:fill="auto"/>
          </w:tcPr>
          <w:p w14:paraId="77F971F3" w14:textId="77777777" w:rsidR="00A10B25" w:rsidRDefault="00A10B25">
            <w:pPr>
              <w:pStyle w:val="TAC"/>
              <w:rPr>
                <w:sz w:val="16"/>
                <w:szCs w:val="16"/>
              </w:rPr>
            </w:pPr>
            <w:r>
              <w:rPr>
                <w:sz w:val="16"/>
                <w:szCs w:val="16"/>
              </w:rPr>
              <w:t>F</w:t>
            </w:r>
          </w:p>
        </w:tc>
        <w:tc>
          <w:tcPr>
            <w:tcW w:w="4899" w:type="dxa"/>
            <w:shd w:val="solid" w:color="FFFFFF" w:fill="auto"/>
          </w:tcPr>
          <w:p w14:paraId="37957B74" w14:textId="77777777" w:rsidR="00A10B25" w:rsidRDefault="00A10B25">
            <w:pPr>
              <w:pStyle w:val="TAL"/>
              <w:rPr>
                <w:sz w:val="16"/>
                <w:szCs w:val="16"/>
              </w:rPr>
            </w:pPr>
            <w:r>
              <w:rPr>
                <w:bCs/>
                <w:sz w:val="16"/>
                <w:szCs w:val="16"/>
              </w:rPr>
              <w:t>Correction to abnormal traffic volume</w:t>
            </w:r>
          </w:p>
        </w:tc>
        <w:tc>
          <w:tcPr>
            <w:tcW w:w="706" w:type="dxa"/>
            <w:shd w:val="solid" w:color="FFFFFF" w:fill="auto"/>
          </w:tcPr>
          <w:p w14:paraId="7CADD47F" w14:textId="77777777" w:rsidR="00A10B25" w:rsidRDefault="00A10B25">
            <w:pPr>
              <w:pStyle w:val="TAC"/>
              <w:rPr>
                <w:sz w:val="16"/>
                <w:szCs w:val="16"/>
              </w:rPr>
            </w:pPr>
            <w:r>
              <w:rPr>
                <w:sz w:val="16"/>
                <w:szCs w:val="16"/>
              </w:rPr>
              <w:t>16.4.0</w:t>
            </w:r>
          </w:p>
        </w:tc>
      </w:tr>
      <w:tr w:rsidR="00A10B25" w14:paraId="489A6A8A" w14:textId="77777777">
        <w:tc>
          <w:tcPr>
            <w:tcW w:w="796" w:type="dxa"/>
            <w:shd w:val="solid" w:color="FFFFFF" w:fill="auto"/>
          </w:tcPr>
          <w:p w14:paraId="1E9E43E7" w14:textId="77777777" w:rsidR="00A10B25" w:rsidRDefault="00A10B25">
            <w:pPr>
              <w:pStyle w:val="TAC"/>
              <w:rPr>
                <w:sz w:val="16"/>
                <w:szCs w:val="16"/>
              </w:rPr>
            </w:pPr>
            <w:r>
              <w:rPr>
                <w:sz w:val="16"/>
                <w:szCs w:val="16"/>
              </w:rPr>
              <w:t>2020-06</w:t>
            </w:r>
          </w:p>
        </w:tc>
        <w:tc>
          <w:tcPr>
            <w:tcW w:w="828" w:type="dxa"/>
            <w:shd w:val="solid" w:color="FFFFFF" w:fill="auto"/>
          </w:tcPr>
          <w:p w14:paraId="389FAD6A" w14:textId="77777777" w:rsidR="00A10B25" w:rsidRDefault="00A10B25">
            <w:pPr>
              <w:pStyle w:val="TAC"/>
              <w:rPr>
                <w:sz w:val="16"/>
                <w:szCs w:val="16"/>
              </w:rPr>
            </w:pPr>
            <w:r>
              <w:rPr>
                <w:sz w:val="16"/>
                <w:szCs w:val="16"/>
              </w:rPr>
              <w:t>CT#88e</w:t>
            </w:r>
          </w:p>
        </w:tc>
        <w:tc>
          <w:tcPr>
            <w:tcW w:w="1083" w:type="dxa"/>
            <w:shd w:val="solid" w:color="FFFFFF" w:fill="auto"/>
          </w:tcPr>
          <w:p w14:paraId="60CC93B2" w14:textId="77777777" w:rsidR="00A10B25" w:rsidRDefault="00A10B25">
            <w:pPr>
              <w:pStyle w:val="TAC"/>
              <w:rPr>
                <w:sz w:val="16"/>
                <w:szCs w:val="16"/>
              </w:rPr>
            </w:pPr>
            <w:r>
              <w:rPr>
                <w:sz w:val="16"/>
                <w:szCs w:val="16"/>
              </w:rPr>
              <w:t>CP-201234</w:t>
            </w:r>
          </w:p>
        </w:tc>
        <w:tc>
          <w:tcPr>
            <w:tcW w:w="523" w:type="dxa"/>
            <w:shd w:val="solid" w:color="FFFFFF" w:fill="auto"/>
          </w:tcPr>
          <w:p w14:paraId="234B0BDA" w14:textId="77777777" w:rsidR="00A10B25" w:rsidRDefault="00A10B25">
            <w:pPr>
              <w:pStyle w:val="TAL"/>
              <w:rPr>
                <w:sz w:val="16"/>
                <w:szCs w:val="16"/>
              </w:rPr>
            </w:pPr>
            <w:r>
              <w:rPr>
                <w:sz w:val="16"/>
                <w:szCs w:val="16"/>
              </w:rPr>
              <w:t>0186</w:t>
            </w:r>
          </w:p>
        </w:tc>
        <w:tc>
          <w:tcPr>
            <w:tcW w:w="423" w:type="dxa"/>
            <w:shd w:val="solid" w:color="FFFFFF" w:fill="auto"/>
          </w:tcPr>
          <w:p w14:paraId="11126B29" w14:textId="77777777" w:rsidR="00A10B25" w:rsidRDefault="00A10B25">
            <w:pPr>
              <w:pStyle w:val="TAR"/>
              <w:rPr>
                <w:sz w:val="16"/>
                <w:szCs w:val="16"/>
              </w:rPr>
            </w:pPr>
            <w:r>
              <w:rPr>
                <w:sz w:val="16"/>
                <w:szCs w:val="16"/>
                <w:lang w:eastAsia="zh-CN"/>
              </w:rPr>
              <w:t>2</w:t>
            </w:r>
          </w:p>
        </w:tc>
        <w:tc>
          <w:tcPr>
            <w:tcW w:w="423" w:type="dxa"/>
            <w:shd w:val="solid" w:color="FFFFFF" w:fill="auto"/>
          </w:tcPr>
          <w:p w14:paraId="0AA5C9E2" w14:textId="77777777" w:rsidR="00A10B25" w:rsidRDefault="00A10B25">
            <w:pPr>
              <w:pStyle w:val="TAC"/>
              <w:rPr>
                <w:sz w:val="16"/>
                <w:szCs w:val="16"/>
              </w:rPr>
            </w:pPr>
            <w:r>
              <w:rPr>
                <w:sz w:val="16"/>
                <w:szCs w:val="16"/>
              </w:rPr>
              <w:t>F</w:t>
            </w:r>
          </w:p>
        </w:tc>
        <w:tc>
          <w:tcPr>
            <w:tcW w:w="4899" w:type="dxa"/>
            <w:shd w:val="solid" w:color="FFFFFF" w:fill="auto"/>
          </w:tcPr>
          <w:p w14:paraId="153E893E" w14:textId="77777777" w:rsidR="00A10B25" w:rsidRDefault="00A10B25">
            <w:pPr>
              <w:pStyle w:val="TAL"/>
              <w:rPr>
                <w:sz w:val="16"/>
                <w:szCs w:val="16"/>
              </w:rPr>
            </w:pPr>
            <w:r>
              <w:rPr>
                <w:sz w:val="16"/>
                <w:szCs w:val="16"/>
              </w:rPr>
              <w:t>Corrections on ratio of UEs in NWDAF event reports</w:t>
            </w:r>
          </w:p>
        </w:tc>
        <w:tc>
          <w:tcPr>
            <w:tcW w:w="706" w:type="dxa"/>
            <w:shd w:val="solid" w:color="FFFFFF" w:fill="auto"/>
          </w:tcPr>
          <w:p w14:paraId="1B23D476" w14:textId="77777777" w:rsidR="00A10B25" w:rsidRDefault="00A10B25">
            <w:pPr>
              <w:pStyle w:val="TAC"/>
              <w:rPr>
                <w:sz w:val="16"/>
                <w:szCs w:val="16"/>
              </w:rPr>
            </w:pPr>
            <w:r>
              <w:rPr>
                <w:sz w:val="16"/>
                <w:szCs w:val="16"/>
              </w:rPr>
              <w:t>16.4.0</w:t>
            </w:r>
          </w:p>
        </w:tc>
      </w:tr>
      <w:tr w:rsidR="00A10B25" w14:paraId="66234844" w14:textId="77777777">
        <w:tc>
          <w:tcPr>
            <w:tcW w:w="796" w:type="dxa"/>
            <w:shd w:val="solid" w:color="FFFFFF" w:fill="auto"/>
          </w:tcPr>
          <w:p w14:paraId="66F60865" w14:textId="77777777" w:rsidR="00A10B25" w:rsidRDefault="00A10B25">
            <w:pPr>
              <w:pStyle w:val="TAC"/>
              <w:rPr>
                <w:sz w:val="16"/>
                <w:szCs w:val="16"/>
              </w:rPr>
            </w:pPr>
            <w:r>
              <w:rPr>
                <w:sz w:val="16"/>
                <w:szCs w:val="16"/>
              </w:rPr>
              <w:t>2020-06</w:t>
            </w:r>
          </w:p>
        </w:tc>
        <w:tc>
          <w:tcPr>
            <w:tcW w:w="828" w:type="dxa"/>
            <w:shd w:val="solid" w:color="FFFFFF" w:fill="auto"/>
          </w:tcPr>
          <w:p w14:paraId="07AD09D9" w14:textId="77777777" w:rsidR="00A10B25" w:rsidRDefault="00A10B25">
            <w:pPr>
              <w:pStyle w:val="TAC"/>
              <w:rPr>
                <w:sz w:val="16"/>
                <w:szCs w:val="16"/>
              </w:rPr>
            </w:pPr>
            <w:r>
              <w:rPr>
                <w:sz w:val="16"/>
                <w:szCs w:val="16"/>
              </w:rPr>
              <w:t>CT#88e</w:t>
            </w:r>
          </w:p>
        </w:tc>
        <w:tc>
          <w:tcPr>
            <w:tcW w:w="1083" w:type="dxa"/>
            <w:shd w:val="solid" w:color="FFFFFF" w:fill="auto"/>
          </w:tcPr>
          <w:p w14:paraId="145F86AD" w14:textId="77777777" w:rsidR="00A10B25" w:rsidRDefault="00A10B25">
            <w:pPr>
              <w:pStyle w:val="TAC"/>
              <w:rPr>
                <w:sz w:val="16"/>
                <w:szCs w:val="16"/>
              </w:rPr>
            </w:pPr>
            <w:r>
              <w:rPr>
                <w:sz w:val="16"/>
                <w:szCs w:val="16"/>
              </w:rPr>
              <w:t>CP-201234</w:t>
            </w:r>
          </w:p>
        </w:tc>
        <w:tc>
          <w:tcPr>
            <w:tcW w:w="523" w:type="dxa"/>
            <w:shd w:val="solid" w:color="FFFFFF" w:fill="auto"/>
          </w:tcPr>
          <w:p w14:paraId="2FBE6135" w14:textId="77777777" w:rsidR="00A10B25" w:rsidRDefault="00A10B25">
            <w:pPr>
              <w:pStyle w:val="TAL"/>
              <w:rPr>
                <w:sz w:val="16"/>
                <w:szCs w:val="16"/>
              </w:rPr>
            </w:pPr>
            <w:r>
              <w:rPr>
                <w:sz w:val="16"/>
                <w:szCs w:val="16"/>
              </w:rPr>
              <w:t>0187</w:t>
            </w:r>
          </w:p>
        </w:tc>
        <w:tc>
          <w:tcPr>
            <w:tcW w:w="423" w:type="dxa"/>
            <w:shd w:val="solid" w:color="FFFFFF" w:fill="auto"/>
          </w:tcPr>
          <w:p w14:paraId="35A3F73C" w14:textId="77777777" w:rsidR="00A10B25" w:rsidRDefault="00A10B25">
            <w:pPr>
              <w:pStyle w:val="TAR"/>
              <w:rPr>
                <w:sz w:val="16"/>
                <w:szCs w:val="16"/>
              </w:rPr>
            </w:pPr>
            <w:r>
              <w:rPr>
                <w:sz w:val="16"/>
                <w:szCs w:val="16"/>
                <w:lang w:eastAsia="zh-CN"/>
              </w:rPr>
              <w:t>1</w:t>
            </w:r>
          </w:p>
        </w:tc>
        <w:tc>
          <w:tcPr>
            <w:tcW w:w="423" w:type="dxa"/>
            <w:shd w:val="solid" w:color="FFFFFF" w:fill="auto"/>
          </w:tcPr>
          <w:p w14:paraId="6E508F7D" w14:textId="77777777" w:rsidR="00A10B25" w:rsidRDefault="00A10B25">
            <w:pPr>
              <w:pStyle w:val="TAC"/>
              <w:rPr>
                <w:sz w:val="16"/>
                <w:szCs w:val="16"/>
              </w:rPr>
            </w:pPr>
            <w:r>
              <w:rPr>
                <w:sz w:val="16"/>
                <w:szCs w:val="16"/>
              </w:rPr>
              <w:t>F</w:t>
            </w:r>
          </w:p>
        </w:tc>
        <w:tc>
          <w:tcPr>
            <w:tcW w:w="4899" w:type="dxa"/>
            <w:shd w:val="solid" w:color="FFFFFF" w:fill="auto"/>
          </w:tcPr>
          <w:p w14:paraId="239D8E52" w14:textId="77777777" w:rsidR="00A10B25" w:rsidRDefault="00A10B25">
            <w:pPr>
              <w:pStyle w:val="TAL"/>
              <w:rPr>
                <w:sz w:val="16"/>
                <w:szCs w:val="16"/>
              </w:rPr>
            </w:pPr>
            <w:r>
              <w:rPr>
                <w:sz w:val="16"/>
                <w:szCs w:val="16"/>
              </w:rPr>
              <w:t>Corrections to TargetUeInformation</w:t>
            </w:r>
          </w:p>
        </w:tc>
        <w:tc>
          <w:tcPr>
            <w:tcW w:w="706" w:type="dxa"/>
            <w:shd w:val="solid" w:color="FFFFFF" w:fill="auto"/>
          </w:tcPr>
          <w:p w14:paraId="6E69A672" w14:textId="77777777" w:rsidR="00A10B25" w:rsidRDefault="00A10B25">
            <w:pPr>
              <w:pStyle w:val="TAC"/>
              <w:rPr>
                <w:sz w:val="16"/>
                <w:szCs w:val="16"/>
              </w:rPr>
            </w:pPr>
            <w:r>
              <w:rPr>
                <w:sz w:val="16"/>
                <w:szCs w:val="16"/>
              </w:rPr>
              <w:t>16.4.0</w:t>
            </w:r>
          </w:p>
        </w:tc>
      </w:tr>
      <w:tr w:rsidR="00A10B25" w14:paraId="43568B34" w14:textId="77777777">
        <w:tc>
          <w:tcPr>
            <w:tcW w:w="796" w:type="dxa"/>
            <w:shd w:val="solid" w:color="FFFFFF" w:fill="auto"/>
          </w:tcPr>
          <w:p w14:paraId="7298456C" w14:textId="77777777" w:rsidR="00A10B25" w:rsidRDefault="00A10B25">
            <w:pPr>
              <w:pStyle w:val="TAC"/>
              <w:rPr>
                <w:sz w:val="16"/>
                <w:szCs w:val="16"/>
              </w:rPr>
            </w:pPr>
            <w:r>
              <w:rPr>
                <w:sz w:val="16"/>
                <w:szCs w:val="16"/>
              </w:rPr>
              <w:t>2020-06</w:t>
            </w:r>
          </w:p>
        </w:tc>
        <w:tc>
          <w:tcPr>
            <w:tcW w:w="828" w:type="dxa"/>
            <w:shd w:val="solid" w:color="FFFFFF" w:fill="auto"/>
          </w:tcPr>
          <w:p w14:paraId="56AC2F94" w14:textId="77777777" w:rsidR="00A10B25" w:rsidRDefault="00A10B25">
            <w:pPr>
              <w:pStyle w:val="TAC"/>
              <w:rPr>
                <w:sz w:val="16"/>
                <w:szCs w:val="16"/>
              </w:rPr>
            </w:pPr>
            <w:r>
              <w:rPr>
                <w:sz w:val="16"/>
                <w:szCs w:val="16"/>
              </w:rPr>
              <w:t>CT#88e</w:t>
            </w:r>
          </w:p>
        </w:tc>
        <w:tc>
          <w:tcPr>
            <w:tcW w:w="1083" w:type="dxa"/>
            <w:shd w:val="solid" w:color="FFFFFF" w:fill="auto"/>
          </w:tcPr>
          <w:p w14:paraId="26AA179C" w14:textId="77777777" w:rsidR="00A10B25" w:rsidRDefault="00A10B25">
            <w:pPr>
              <w:pStyle w:val="TAC"/>
              <w:rPr>
                <w:sz w:val="16"/>
                <w:szCs w:val="16"/>
              </w:rPr>
            </w:pPr>
            <w:r>
              <w:rPr>
                <w:sz w:val="16"/>
                <w:szCs w:val="16"/>
              </w:rPr>
              <w:t>CP-201234</w:t>
            </w:r>
          </w:p>
        </w:tc>
        <w:tc>
          <w:tcPr>
            <w:tcW w:w="523" w:type="dxa"/>
            <w:shd w:val="solid" w:color="FFFFFF" w:fill="auto"/>
          </w:tcPr>
          <w:p w14:paraId="66588327" w14:textId="77777777" w:rsidR="00A10B25" w:rsidRDefault="00A10B25">
            <w:pPr>
              <w:pStyle w:val="TAL"/>
              <w:rPr>
                <w:sz w:val="16"/>
                <w:szCs w:val="16"/>
              </w:rPr>
            </w:pPr>
            <w:r>
              <w:rPr>
                <w:sz w:val="16"/>
                <w:szCs w:val="16"/>
              </w:rPr>
              <w:t>0188</w:t>
            </w:r>
          </w:p>
        </w:tc>
        <w:tc>
          <w:tcPr>
            <w:tcW w:w="423" w:type="dxa"/>
            <w:shd w:val="solid" w:color="FFFFFF" w:fill="auto"/>
          </w:tcPr>
          <w:p w14:paraId="6CAC53F2" w14:textId="77777777" w:rsidR="00A10B25" w:rsidRDefault="00A10B25">
            <w:pPr>
              <w:pStyle w:val="TAR"/>
              <w:rPr>
                <w:sz w:val="16"/>
                <w:szCs w:val="16"/>
              </w:rPr>
            </w:pPr>
          </w:p>
        </w:tc>
        <w:tc>
          <w:tcPr>
            <w:tcW w:w="423" w:type="dxa"/>
            <w:shd w:val="solid" w:color="FFFFFF" w:fill="auto"/>
          </w:tcPr>
          <w:p w14:paraId="2A1D5085" w14:textId="77777777" w:rsidR="00A10B25" w:rsidRDefault="00A10B25">
            <w:pPr>
              <w:pStyle w:val="TAC"/>
              <w:rPr>
                <w:sz w:val="16"/>
                <w:szCs w:val="16"/>
              </w:rPr>
            </w:pPr>
            <w:r>
              <w:rPr>
                <w:sz w:val="16"/>
                <w:szCs w:val="16"/>
              </w:rPr>
              <w:t>F</w:t>
            </w:r>
          </w:p>
        </w:tc>
        <w:tc>
          <w:tcPr>
            <w:tcW w:w="4899" w:type="dxa"/>
            <w:shd w:val="solid" w:color="FFFFFF" w:fill="auto"/>
          </w:tcPr>
          <w:p w14:paraId="41A6BD7B" w14:textId="77777777" w:rsidR="00A10B25" w:rsidRDefault="00A10B25">
            <w:pPr>
              <w:pStyle w:val="TAL"/>
              <w:rPr>
                <w:sz w:val="16"/>
                <w:szCs w:val="16"/>
              </w:rPr>
            </w:pPr>
            <w:r>
              <w:rPr>
                <w:sz w:val="16"/>
                <w:szCs w:val="16"/>
              </w:rPr>
              <w:t>Corrections on AbnormalBehaviour</w:t>
            </w:r>
          </w:p>
        </w:tc>
        <w:tc>
          <w:tcPr>
            <w:tcW w:w="706" w:type="dxa"/>
            <w:shd w:val="solid" w:color="FFFFFF" w:fill="auto"/>
          </w:tcPr>
          <w:p w14:paraId="34BFF63E" w14:textId="77777777" w:rsidR="00A10B25" w:rsidRDefault="00A10B25">
            <w:pPr>
              <w:pStyle w:val="TAC"/>
              <w:rPr>
                <w:sz w:val="16"/>
                <w:szCs w:val="16"/>
              </w:rPr>
            </w:pPr>
            <w:r>
              <w:rPr>
                <w:sz w:val="16"/>
                <w:szCs w:val="16"/>
              </w:rPr>
              <w:t>16.4.0</w:t>
            </w:r>
          </w:p>
        </w:tc>
      </w:tr>
      <w:tr w:rsidR="00A10B25" w14:paraId="199EFA00" w14:textId="77777777">
        <w:tc>
          <w:tcPr>
            <w:tcW w:w="796" w:type="dxa"/>
            <w:shd w:val="solid" w:color="FFFFFF" w:fill="auto"/>
          </w:tcPr>
          <w:p w14:paraId="6A272C32" w14:textId="77777777" w:rsidR="00A10B25" w:rsidRDefault="00A10B25">
            <w:pPr>
              <w:pStyle w:val="TAC"/>
              <w:rPr>
                <w:sz w:val="16"/>
                <w:szCs w:val="16"/>
              </w:rPr>
            </w:pPr>
            <w:r>
              <w:rPr>
                <w:sz w:val="16"/>
                <w:szCs w:val="16"/>
              </w:rPr>
              <w:t>2020-06</w:t>
            </w:r>
          </w:p>
        </w:tc>
        <w:tc>
          <w:tcPr>
            <w:tcW w:w="828" w:type="dxa"/>
            <w:shd w:val="solid" w:color="FFFFFF" w:fill="auto"/>
          </w:tcPr>
          <w:p w14:paraId="7BD75FFD" w14:textId="77777777" w:rsidR="00A10B25" w:rsidRDefault="00A10B25">
            <w:pPr>
              <w:pStyle w:val="TAC"/>
              <w:rPr>
                <w:sz w:val="16"/>
                <w:szCs w:val="16"/>
              </w:rPr>
            </w:pPr>
            <w:r>
              <w:rPr>
                <w:sz w:val="16"/>
                <w:szCs w:val="16"/>
              </w:rPr>
              <w:t>CT#88e</w:t>
            </w:r>
          </w:p>
        </w:tc>
        <w:tc>
          <w:tcPr>
            <w:tcW w:w="1083" w:type="dxa"/>
            <w:shd w:val="solid" w:color="FFFFFF" w:fill="auto"/>
          </w:tcPr>
          <w:p w14:paraId="108A6759" w14:textId="77777777" w:rsidR="00A10B25" w:rsidRDefault="00A10B25">
            <w:pPr>
              <w:pStyle w:val="TAC"/>
              <w:rPr>
                <w:sz w:val="16"/>
                <w:szCs w:val="16"/>
              </w:rPr>
            </w:pPr>
            <w:r>
              <w:rPr>
                <w:sz w:val="16"/>
                <w:szCs w:val="16"/>
              </w:rPr>
              <w:t>CP-201234</w:t>
            </w:r>
          </w:p>
        </w:tc>
        <w:tc>
          <w:tcPr>
            <w:tcW w:w="523" w:type="dxa"/>
            <w:shd w:val="solid" w:color="FFFFFF" w:fill="auto"/>
          </w:tcPr>
          <w:p w14:paraId="28AB6D51" w14:textId="77777777" w:rsidR="00A10B25" w:rsidRDefault="00A10B25">
            <w:pPr>
              <w:pStyle w:val="TAL"/>
              <w:rPr>
                <w:sz w:val="16"/>
                <w:szCs w:val="16"/>
              </w:rPr>
            </w:pPr>
            <w:r>
              <w:rPr>
                <w:sz w:val="16"/>
                <w:szCs w:val="16"/>
              </w:rPr>
              <w:t>0189</w:t>
            </w:r>
          </w:p>
        </w:tc>
        <w:tc>
          <w:tcPr>
            <w:tcW w:w="423" w:type="dxa"/>
            <w:shd w:val="solid" w:color="FFFFFF" w:fill="auto"/>
          </w:tcPr>
          <w:p w14:paraId="538D87CE" w14:textId="77777777" w:rsidR="00A10B25" w:rsidRDefault="00A10B25">
            <w:pPr>
              <w:pStyle w:val="TAR"/>
              <w:rPr>
                <w:sz w:val="16"/>
                <w:szCs w:val="16"/>
              </w:rPr>
            </w:pPr>
          </w:p>
        </w:tc>
        <w:tc>
          <w:tcPr>
            <w:tcW w:w="423" w:type="dxa"/>
            <w:shd w:val="solid" w:color="FFFFFF" w:fill="auto"/>
          </w:tcPr>
          <w:p w14:paraId="779FB955" w14:textId="77777777" w:rsidR="00A10B25" w:rsidRDefault="00A10B25">
            <w:pPr>
              <w:pStyle w:val="TAC"/>
              <w:rPr>
                <w:sz w:val="16"/>
                <w:szCs w:val="16"/>
              </w:rPr>
            </w:pPr>
            <w:r>
              <w:rPr>
                <w:sz w:val="16"/>
                <w:szCs w:val="16"/>
              </w:rPr>
              <w:t>F</w:t>
            </w:r>
          </w:p>
        </w:tc>
        <w:tc>
          <w:tcPr>
            <w:tcW w:w="4899" w:type="dxa"/>
            <w:shd w:val="solid" w:color="FFFFFF" w:fill="auto"/>
          </w:tcPr>
          <w:p w14:paraId="4595E75E" w14:textId="77777777" w:rsidR="00A10B25" w:rsidRDefault="00A10B25">
            <w:pPr>
              <w:pStyle w:val="TAL"/>
              <w:rPr>
                <w:sz w:val="16"/>
                <w:szCs w:val="16"/>
              </w:rPr>
            </w:pPr>
            <w:r>
              <w:rPr>
                <w:sz w:val="16"/>
                <w:szCs w:val="16"/>
              </w:rPr>
              <w:t>Plural of NF load level information related attribute</w:t>
            </w:r>
          </w:p>
        </w:tc>
        <w:tc>
          <w:tcPr>
            <w:tcW w:w="706" w:type="dxa"/>
            <w:shd w:val="solid" w:color="FFFFFF" w:fill="auto"/>
          </w:tcPr>
          <w:p w14:paraId="22D9D3CC" w14:textId="77777777" w:rsidR="00A10B25" w:rsidRDefault="00A10B25">
            <w:pPr>
              <w:pStyle w:val="TAC"/>
              <w:rPr>
                <w:sz w:val="16"/>
                <w:szCs w:val="16"/>
              </w:rPr>
            </w:pPr>
            <w:r>
              <w:rPr>
                <w:sz w:val="16"/>
                <w:szCs w:val="16"/>
              </w:rPr>
              <w:t>16.4.0</w:t>
            </w:r>
          </w:p>
        </w:tc>
      </w:tr>
      <w:tr w:rsidR="00A10B25" w14:paraId="73751F4A" w14:textId="77777777">
        <w:tc>
          <w:tcPr>
            <w:tcW w:w="796" w:type="dxa"/>
            <w:shd w:val="solid" w:color="FFFFFF" w:fill="auto"/>
          </w:tcPr>
          <w:p w14:paraId="02E99105" w14:textId="77777777" w:rsidR="00A10B25" w:rsidRDefault="00A10B25">
            <w:pPr>
              <w:pStyle w:val="TAC"/>
              <w:rPr>
                <w:sz w:val="16"/>
                <w:szCs w:val="16"/>
              </w:rPr>
            </w:pPr>
            <w:r>
              <w:rPr>
                <w:sz w:val="16"/>
                <w:szCs w:val="16"/>
              </w:rPr>
              <w:t>2020-06</w:t>
            </w:r>
          </w:p>
        </w:tc>
        <w:tc>
          <w:tcPr>
            <w:tcW w:w="828" w:type="dxa"/>
            <w:shd w:val="solid" w:color="FFFFFF" w:fill="auto"/>
          </w:tcPr>
          <w:p w14:paraId="556D1713" w14:textId="77777777" w:rsidR="00A10B25" w:rsidRDefault="00A10B25">
            <w:pPr>
              <w:pStyle w:val="TAC"/>
              <w:rPr>
                <w:sz w:val="16"/>
                <w:szCs w:val="16"/>
              </w:rPr>
            </w:pPr>
            <w:r>
              <w:rPr>
                <w:sz w:val="16"/>
                <w:szCs w:val="16"/>
              </w:rPr>
              <w:t>CT#88e</w:t>
            </w:r>
          </w:p>
        </w:tc>
        <w:tc>
          <w:tcPr>
            <w:tcW w:w="1083" w:type="dxa"/>
            <w:shd w:val="solid" w:color="FFFFFF" w:fill="auto"/>
          </w:tcPr>
          <w:p w14:paraId="551B1ED4" w14:textId="77777777" w:rsidR="00A10B25" w:rsidRDefault="00A10B25">
            <w:pPr>
              <w:pStyle w:val="TAC"/>
              <w:rPr>
                <w:sz w:val="16"/>
                <w:szCs w:val="16"/>
              </w:rPr>
            </w:pPr>
            <w:r>
              <w:rPr>
                <w:sz w:val="16"/>
                <w:szCs w:val="16"/>
              </w:rPr>
              <w:t>CP-201234</w:t>
            </w:r>
          </w:p>
        </w:tc>
        <w:tc>
          <w:tcPr>
            <w:tcW w:w="523" w:type="dxa"/>
            <w:shd w:val="solid" w:color="FFFFFF" w:fill="auto"/>
          </w:tcPr>
          <w:p w14:paraId="0C7A7D37" w14:textId="77777777" w:rsidR="00A10B25" w:rsidRDefault="00A10B25">
            <w:pPr>
              <w:pStyle w:val="TAL"/>
              <w:rPr>
                <w:sz w:val="16"/>
                <w:szCs w:val="16"/>
              </w:rPr>
            </w:pPr>
            <w:r>
              <w:rPr>
                <w:sz w:val="16"/>
                <w:szCs w:val="16"/>
              </w:rPr>
              <w:t>0190</w:t>
            </w:r>
          </w:p>
        </w:tc>
        <w:tc>
          <w:tcPr>
            <w:tcW w:w="423" w:type="dxa"/>
            <w:shd w:val="solid" w:color="FFFFFF" w:fill="auto"/>
          </w:tcPr>
          <w:p w14:paraId="5222646C" w14:textId="77777777" w:rsidR="00A10B25" w:rsidRDefault="00A10B25">
            <w:pPr>
              <w:pStyle w:val="TAR"/>
              <w:rPr>
                <w:sz w:val="16"/>
                <w:szCs w:val="16"/>
              </w:rPr>
            </w:pPr>
            <w:r>
              <w:rPr>
                <w:sz w:val="16"/>
                <w:szCs w:val="16"/>
                <w:lang w:eastAsia="zh-CN"/>
              </w:rPr>
              <w:t>1</w:t>
            </w:r>
          </w:p>
        </w:tc>
        <w:tc>
          <w:tcPr>
            <w:tcW w:w="423" w:type="dxa"/>
            <w:shd w:val="solid" w:color="FFFFFF" w:fill="auto"/>
          </w:tcPr>
          <w:p w14:paraId="0C735AFB" w14:textId="77777777" w:rsidR="00A10B25" w:rsidRDefault="00A10B25">
            <w:pPr>
              <w:pStyle w:val="TAC"/>
              <w:rPr>
                <w:sz w:val="16"/>
                <w:szCs w:val="16"/>
              </w:rPr>
            </w:pPr>
            <w:r>
              <w:rPr>
                <w:sz w:val="16"/>
                <w:szCs w:val="16"/>
              </w:rPr>
              <w:t>F</w:t>
            </w:r>
          </w:p>
        </w:tc>
        <w:tc>
          <w:tcPr>
            <w:tcW w:w="4899" w:type="dxa"/>
            <w:shd w:val="solid" w:color="FFFFFF" w:fill="auto"/>
          </w:tcPr>
          <w:p w14:paraId="4075F732" w14:textId="77777777" w:rsidR="00A10B25" w:rsidRDefault="00A10B25">
            <w:pPr>
              <w:pStyle w:val="TAL"/>
              <w:rPr>
                <w:sz w:val="16"/>
                <w:szCs w:val="16"/>
              </w:rPr>
            </w:pPr>
            <w:r>
              <w:rPr>
                <w:sz w:val="16"/>
                <w:szCs w:val="16"/>
              </w:rPr>
              <w:t>locInfo attribute within the UeMobility data</w:t>
            </w:r>
          </w:p>
        </w:tc>
        <w:tc>
          <w:tcPr>
            <w:tcW w:w="706" w:type="dxa"/>
            <w:shd w:val="solid" w:color="FFFFFF" w:fill="auto"/>
          </w:tcPr>
          <w:p w14:paraId="089912DB" w14:textId="77777777" w:rsidR="00A10B25" w:rsidRDefault="00A10B25">
            <w:pPr>
              <w:pStyle w:val="TAC"/>
              <w:rPr>
                <w:sz w:val="16"/>
                <w:szCs w:val="16"/>
              </w:rPr>
            </w:pPr>
            <w:r>
              <w:rPr>
                <w:sz w:val="16"/>
                <w:szCs w:val="16"/>
              </w:rPr>
              <w:t>16.4.0</w:t>
            </w:r>
          </w:p>
        </w:tc>
      </w:tr>
      <w:tr w:rsidR="00A10B25" w14:paraId="27CBC450" w14:textId="77777777">
        <w:tc>
          <w:tcPr>
            <w:tcW w:w="796" w:type="dxa"/>
            <w:shd w:val="solid" w:color="FFFFFF" w:fill="auto"/>
          </w:tcPr>
          <w:p w14:paraId="6F3E61E0" w14:textId="77777777" w:rsidR="00A10B25" w:rsidRDefault="00A10B25">
            <w:pPr>
              <w:pStyle w:val="TAC"/>
              <w:rPr>
                <w:sz w:val="16"/>
                <w:szCs w:val="16"/>
              </w:rPr>
            </w:pPr>
            <w:r>
              <w:rPr>
                <w:sz w:val="16"/>
                <w:szCs w:val="16"/>
              </w:rPr>
              <w:t>2020-06</w:t>
            </w:r>
          </w:p>
        </w:tc>
        <w:tc>
          <w:tcPr>
            <w:tcW w:w="828" w:type="dxa"/>
            <w:shd w:val="solid" w:color="FFFFFF" w:fill="auto"/>
          </w:tcPr>
          <w:p w14:paraId="473DC24A" w14:textId="77777777" w:rsidR="00A10B25" w:rsidRDefault="00A10B25">
            <w:pPr>
              <w:pStyle w:val="TAC"/>
              <w:rPr>
                <w:sz w:val="16"/>
                <w:szCs w:val="16"/>
              </w:rPr>
            </w:pPr>
            <w:r>
              <w:rPr>
                <w:sz w:val="16"/>
                <w:szCs w:val="16"/>
              </w:rPr>
              <w:t>CT#88e</w:t>
            </w:r>
          </w:p>
        </w:tc>
        <w:tc>
          <w:tcPr>
            <w:tcW w:w="1083" w:type="dxa"/>
            <w:shd w:val="solid" w:color="FFFFFF" w:fill="auto"/>
          </w:tcPr>
          <w:p w14:paraId="27536AB9" w14:textId="77777777" w:rsidR="00A10B25" w:rsidRDefault="00A10B25">
            <w:pPr>
              <w:pStyle w:val="TAC"/>
              <w:rPr>
                <w:sz w:val="16"/>
                <w:szCs w:val="16"/>
              </w:rPr>
            </w:pPr>
            <w:r>
              <w:rPr>
                <w:sz w:val="16"/>
                <w:szCs w:val="16"/>
              </w:rPr>
              <w:t>CP-201234</w:t>
            </w:r>
          </w:p>
        </w:tc>
        <w:tc>
          <w:tcPr>
            <w:tcW w:w="523" w:type="dxa"/>
            <w:shd w:val="solid" w:color="FFFFFF" w:fill="auto"/>
          </w:tcPr>
          <w:p w14:paraId="46320CE1" w14:textId="77777777" w:rsidR="00A10B25" w:rsidRDefault="00A10B25">
            <w:pPr>
              <w:pStyle w:val="TAL"/>
              <w:rPr>
                <w:sz w:val="16"/>
                <w:szCs w:val="16"/>
              </w:rPr>
            </w:pPr>
            <w:r>
              <w:rPr>
                <w:sz w:val="16"/>
                <w:szCs w:val="16"/>
              </w:rPr>
              <w:t>0191</w:t>
            </w:r>
          </w:p>
        </w:tc>
        <w:tc>
          <w:tcPr>
            <w:tcW w:w="423" w:type="dxa"/>
            <w:shd w:val="solid" w:color="FFFFFF" w:fill="auto"/>
          </w:tcPr>
          <w:p w14:paraId="0924ED22" w14:textId="77777777" w:rsidR="00A10B25" w:rsidRDefault="00A10B25">
            <w:pPr>
              <w:pStyle w:val="TAR"/>
              <w:rPr>
                <w:sz w:val="16"/>
                <w:szCs w:val="16"/>
              </w:rPr>
            </w:pPr>
          </w:p>
        </w:tc>
        <w:tc>
          <w:tcPr>
            <w:tcW w:w="423" w:type="dxa"/>
            <w:shd w:val="solid" w:color="FFFFFF" w:fill="auto"/>
          </w:tcPr>
          <w:p w14:paraId="68A9D936" w14:textId="77777777" w:rsidR="00A10B25" w:rsidRDefault="00A10B25">
            <w:pPr>
              <w:pStyle w:val="TAC"/>
              <w:rPr>
                <w:sz w:val="16"/>
                <w:szCs w:val="16"/>
              </w:rPr>
            </w:pPr>
            <w:r>
              <w:rPr>
                <w:sz w:val="16"/>
                <w:szCs w:val="16"/>
              </w:rPr>
              <w:t>F</w:t>
            </w:r>
          </w:p>
        </w:tc>
        <w:tc>
          <w:tcPr>
            <w:tcW w:w="4899" w:type="dxa"/>
            <w:shd w:val="solid" w:color="FFFFFF" w:fill="auto"/>
          </w:tcPr>
          <w:p w14:paraId="56FEDEBB" w14:textId="77777777" w:rsidR="00A10B25" w:rsidRDefault="00A10B25">
            <w:pPr>
              <w:pStyle w:val="TAL"/>
              <w:rPr>
                <w:sz w:val="16"/>
                <w:szCs w:val="16"/>
              </w:rPr>
            </w:pPr>
            <w:r>
              <w:rPr>
                <w:sz w:val="16"/>
                <w:szCs w:val="16"/>
              </w:rPr>
              <w:t>Corrections on NfLoadLevelInformation</w:t>
            </w:r>
          </w:p>
        </w:tc>
        <w:tc>
          <w:tcPr>
            <w:tcW w:w="706" w:type="dxa"/>
            <w:shd w:val="solid" w:color="FFFFFF" w:fill="auto"/>
          </w:tcPr>
          <w:p w14:paraId="0AB39E47" w14:textId="77777777" w:rsidR="00A10B25" w:rsidRDefault="00A10B25">
            <w:pPr>
              <w:pStyle w:val="TAC"/>
              <w:rPr>
                <w:sz w:val="16"/>
                <w:szCs w:val="16"/>
              </w:rPr>
            </w:pPr>
            <w:r>
              <w:rPr>
                <w:sz w:val="16"/>
                <w:szCs w:val="16"/>
              </w:rPr>
              <w:t>16.4.0</w:t>
            </w:r>
          </w:p>
        </w:tc>
      </w:tr>
      <w:tr w:rsidR="00A10B25" w14:paraId="3266CC0F" w14:textId="77777777">
        <w:tc>
          <w:tcPr>
            <w:tcW w:w="796" w:type="dxa"/>
            <w:shd w:val="solid" w:color="FFFFFF" w:fill="auto"/>
          </w:tcPr>
          <w:p w14:paraId="4F370595" w14:textId="77777777" w:rsidR="00A10B25" w:rsidRDefault="00A10B25">
            <w:pPr>
              <w:pStyle w:val="TAC"/>
              <w:rPr>
                <w:sz w:val="16"/>
                <w:szCs w:val="16"/>
              </w:rPr>
            </w:pPr>
            <w:r>
              <w:rPr>
                <w:sz w:val="16"/>
                <w:szCs w:val="16"/>
              </w:rPr>
              <w:t>2020-06</w:t>
            </w:r>
          </w:p>
        </w:tc>
        <w:tc>
          <w:tcPr>
            <w:tcW w:w="828" w:type="dxa"/>
            <w:shd w:val="solid" w:color="FFFFFF" w:fill="auto"/>
          </w:tcPr>
          <w:p w14:paraId="0CDDFAC7" w14:textId="77777777" w:rsidR="00A10B25" w:rsidRDefault="00A10B25">
            <w:pPr>
              <w:pStyle w:val="TAC"/>
              <w:rPr>
                <w:sz w:val="16"/>
                <w:szCs w:val="16"/>
              </w:rPr>
            </w:pPr>
            <w:r>
              <w:rPr>
                <w:sz w:val="16"/>
                <w:szCs w:val="16"/>
              </w:rPr>
              <w:t>CT#88e</w:t>
            </w:r>
          </w:p>
        </w:tc>
        <w:tc>
          <w:tcPr>
            <w:tcW w:w="1083" w:type="dxa"/>
            <w:shd w:val="solid" w:color="FFFFFF" w:fill="auto"/>
          </w:tcPr>
          <w:p w14:paraId="3AEA4902" w14:textId="77777777" w:rsidR="00A10B25" w:rsidRDefault="00A10B25">
            <w:pPr>
              <w:pStyle w:val="TAC"/>
              <w:rPr>
                <w:sz w:val="16"/>
                <w:szCs w:val="16"/>
              </w:rPr>
            </w:pPr>
            <w:r>
              <w:rPr>
                <w:sz w:val="16"/>
                <w:szCs w:val="16"/>
              </w:rPr>
              <w:t>CP-201244</w:t>
            </w:r>
          </w:p>
        </w:tc>
        <w:tc>
          <w:tcPr>
            <w:tcW w:w="523" w:type="dxa"/>
            <w:shd w:val="solid" w:color="FFFFFF" w:fill="auto"/>
          </w:tcPr>
          <w:p w14:paraId="48FFABB7" w14:textId="77777777" w:rsidR="00A10B25" w:rsidRDefault="00A10B25">
            <w:pPr>
              <w:pStyle w:val="TAL"/>
              <w:rPr>
                <w:sz w:val="16"/>
                <w:szCs w:val="16"/>
              </w:rPr>
            </w:pPr>
            <w:r>
              <w:rPr>
                <w:sz w:val="16"/>
                <w:szCs w:val="16"/>
              </w:rPr>
              <w:t>0192</w:t>
            </w:r>
          </w:p>
        </w:tc>
        <w:tc>
          <w:tcPr>
            <w:tcW w:w="423" w:type="dxa"/>
            <w:shd w:val="solid" w:color="FFFFFF" w:fill="auto"/>
          </w:tcPr>
          <w:p w14:paraId="136B6B18" w14:textId="77777777" w:rsidR="00A10B25" w:rsidRDefault="00A10B25">
            <w:pPr>
              <w:pStyle w:val="TAR"/>
              <w:rPr>
                <w:sz w:val="16"/>
                <w:szCs w:val="16"/>
              </w:rPr>
            </w:pPr>
            <w:r>
              <w:rPr>
                <w:sz w:val="16"/>
                <w:szCs w:val="16"/>
                <w:lang w:eastAsia="zh-CN"/>
              </w:rPr>
              <w:t>1</w:t>
            </w:r>
          </w:p>
        </w:tc>
        <w:tc>
          <w:tcPr>
            <w:tcW w:w="423" w:type="dxa"/>
            <w:shd w:val="solid" w:color="FFFFFF" w:fill="auto"/>
          </w:tcPr>
          <w:p w14:paraId="1AF82281" w14:textId="77777777" w:rsidR="00A10B25" w:rsidRDefault="00A10B25">
            <w:pPr>
              <w:pStyle w:val="TAC"/>
              <w:rPr>
                <w:sz w:val="16"/>
                <w:szCs w:val="16"/>
              </w:rPr>
            </w:pPr>
            <w:r>
              <w:rPr>
                <w:sz w:val="16"/>
                <w:szCs w:val="16"/>
              </w:rPr>
              <w:t>F</w:t>
            </w:r>
          </w:p>
        </w:tc>
        <w:tc>
          <w:tcPr>
            <w:tcW w:w="4899" w:type="dxa"/>
            <w:shd w:val="solid" w:color="FFFFFF" w:fill="auto"/>
          </w:tcPr>
          <w:p w14:paraId="3C507DD7" w14:textId="77777777" w:rsidR="00A10B25" w:rsidRDefault="00A10B25">
            <w:pPr>
              <w:pStyle w:val="TAL"/>
              <w:rPr>
                <w:sz w:val="16"/>
                <w:szCs w:val="16"/>
              </w:rPr>
            </w:pPr>
            <w:r>
              <w:rPr>
                <w:sz w:val="16"/>
                <w:szCs w:val="16"/>
              </w:rPr>
              <w:t>Supported headers, Resource Data type, Operation Name and yaml mapping</w:t>
            </w:r>
          </w:p>
        </w:tc>
        <w:tc>
          <w:tcPr>
            <w:tcW w:w="706" w:type="dxa"/>
            <w:shd w:val="solid" w:color="FFFFFF" w:fill="auto"/>
          </w:tcPr>
          <w:p w14:paraId="76F865D0" w14:textId="77777777" w:rsidR="00A10B25" w:rsidRDefault="00A10B25">
            <w:pPr>
              <w:pStyle w:val="TAC"/>
              <w:rPr>
                <w:sz w:val="16"/>
                <w:szCs w:val="16"/>
              </w:rPr>
            </w:pPr>
            <w:r>
              <w:rPr>
                <w:sz w:val="16"/>
                <w:szCs w:val="16"/>
              </w:rPr>
              <w:t>16.4.0</w:t>
            </w:r>
          </w:p>
        </w:tc>
      </w:tr>
      <w:tr w:rsidR="00A10B25" w14:paraId="5461625D" w14:textId="77777777">
        <w:tc>
          <w:tcPr>
            <w:tcW w:w="796" w:type="dxa"/>
            <w:shd w:val="solid" w:color="FFFFFF" w:fill="auto"/>
          </w:tcPr>
          <w:p w14:paraId="2CAF19B7" w14:textId="77777777" w:rsidR="00A10B25" w:rsidRDefault="00A10B25">
            <w:pPr>
              <w:pStyle w:val="TAC"/>
              <w:rPr>
                <w:sz w:val="16"/>
                <w:szCs w:val="16"/>
              </w:rPr>
            </w:pPr>
            <w:r>
              <w:rPr>
                <w:sz w:val="16"/>
                <w:szCs w:val="16"/>
              </w:rPr>
              <w:t>2020-06</w:t>
            </w:r>
          </w:p>
        </w:tc>
        <w:tc>
          <w:tcPr>
            <w:tcW w:w="828" w:type="dxa"/>
            <w:shd w:val="solid" w:color="FFFFFF" w:fill="auto"/>
          </w:tcPr>
          <w:p w14:paraId="547A5925" w14:textId="77777777" w:rsidR="00A10B25" w:rsidRDefault="00A10B25">
            <w:pPr>
              <w:pStyle w:val="TAC"/>
              <w:rPr>
                <w:sz w:val="16"/>
                <w:szCs w:val="16"/>
              </w:rPr>
            </w:pPr>
            <w:r>
              <w:rPr>
                <w:sz w:val="16"/>
                <w:szCs w:val="16"/>
              </w:rPr>
              <w:t>CT#88e</w:t>
            </w:r>
          </w:p>
        </w:tc>
        <w:tc>
          <w:tcPr>
            <w:tcW w:w="1083" w:type="dxa"/>
            <w:shd w:val="solid" w:color="FFFFFF" w:fill="auto"/>
          </w:tcPr>
          <w:p w14:paraId="74BACE35" w14:textId="77777777" w:rsidR="00A10B25" w:rsidRDefault="00A10B25">
            <w:pPr>
              <w:pStyle w:val="TAC"/>
              <w:rPr>
                <w:sz w:val="16"/>
                <w:szCs w:val="16"/>
              </w:rPr>
            </w:pPr>
            <w:r>
              <w:rPr>
                <w:sz w:val="16"/>
                <w:szCs w:val="16"/>
              </w:rPr>
              <w:t>CP-201255</w:t>
            </w:r>
          </w:p>
        </w:tc>
        <w:tc>
          <w:tcPr>
            <w:tcW w:w="523" w:type="dxa"/>
            <w:shd w:val="solid" w:color="FFFFFF" w:fill="auto"/>
          </w:tcPr>
          <w:p w14:paraId="3D85CB6E" w14:textId="77777777" w:rsidR="00A10B25" w:rsidRDefault="00A10B25">
            <w:pPr>
              <w:pStyle w:val="TAL"/>
              <w:rPr>
                <w:sz w:val="16"/>
                <w:szCs w:val="16"/>
              </w:rPr>
            </w:pPr>
            <w:r>
              <w:rPr>
                <w:sz w:val="16"/>
                <w:szCs w:val="16"/>
              </w:rPr>
              <w:t>0193</w:t>
            </w:r>
          </w:p>
        </w:tc>
        <w:tc>
          <w:tcPr>
            <w:tcW w:w="423" w:type="dxa"/>
            <w:shd w:val="solid" w:color="FFFFFF" w:fill="auto"/>
          </w:tcPr>
          <w:p w14:paraId="50D9FE52" w14:textId="77777777" w:rsidR="00A10B25" w:rsidRDefault="00A10B25">
            <w:pPr>
              <w:pStyle w:val="TAR"/>
              <w:rPr>
                <w:sz w:val="16"/>
                <w:szCs w:val="16"/>
              </w:rPr>
            </w:pPr>
          </w:p>
        </w:tc>
        <w:tc>
          <w:tcPr>
            <w:tcW w:w="423" w:type="dxa"/>
            <w:shd w:val="solid" w:color="FFFFFF" w:fill="auto"/>
          </w:tcPr>
          <w:p w14:paraId="55FE74F1" w14:textId="77777777" w:rsidR="00A10B25" w:rsidRDefault="00A10B25">
            <w:pPr>
              <w:pStyle w:val="TAC"/>
              <w:rPr>
                <w:sz w:val="16"/>
                <w:szCs w:val="16"/>
              </w:rPr>
            </w:pPr>
            <w:r>
              <w:rPr>
                <w:sz w:val="16"/>
                <w:szCs w:val="16"/>
              </w:rPr>
              <w:t>F</w:t>
            </w:r>
          </w:p>
        </w:tc>
        <w:tc>
          <w:tcPr>
            <w:tcW w:w="4899" w:type="dxa"/>
            <w:shd w:val="solid" w:color="FFFFFF" w:fill="auto"/>
          </w:tcPr>
          <w:p w14:paraId="1DD923A2" w14:textId="77777777" w:rsidR="00A10B25" w:rsidRDefault="00A10B25">
            <w:pPr>
              <w:pStyle w:val="TAL"/>
              <w:rPr>
                <w:sz w:val="16"/>
                <w:szCs w:val="16"/>
              </w:rPr>
            </w:pPr>
            <w:r>
              <w:rPr>
                <w:sz w:val="16"/>
                <w:szCs w:val="16"/>
              </w:rPr>
              <w:t>Update of OpenAPI version and TS version in externalDocs field</w:t>
            </w:r>
          </w:p>
        </w:tc>
        <w:tc>
          <w:tcPr>
            <w:tcW w:w="706" w:type="dxa"/>
            <w:shd w:val="solid" w:color="FFFFFF" w:fill="auto"/>
          </w:tcPr>
          <w:p w14:paraId="2E38CEC7" w14:textId="77777777" w:rsidR="00A10B25" w:rsidRDefault="00A10B25">
            <w:pPr>
              <w:pStyle w:val="TAC"/>
              <w:rPr>
                <w:sz w:val="16"/>
                <w:szCs w:val="16"/>
              </w:rPr>
            </w:pPr>
            <w:r>
              <w:rPr>
                <w:sz w:val="16"/>
                <w:szCs w:val="16"/>
              </w:rPr>
              <w:t>16.4.0</w:t>
            </w:r>
          </w:p>
        </w:tc>
      </w:tr>
      <w:tr w:rsidR="00A10B25" w14:paraId="25EA65B5" w14:textId="77777777">
        <w:tc>
          <w:tcPr>
            <w:tcW w:w="796" w:type="dxa"/>
            <w:shd w:val="solid" w:color="FFFFFF" w:fill="auto"/>
          </w:tcPr>
          <w:p w14:paraId="37075ADC"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303571EE"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0D60804B" w14:textId="77777777" w:rsidR="00A10B25" w:rsidRDefault="00A10B25">
            <w:pPr>
              <w:pStyle w:val="TAC"/>
              <w:rPr>
                <w:sz w:val="16"/>
                <w:szCs w:val="16"/>
              </w:rPr>
            </w:pPr>
            <w:r>
              <w:rPr>
                <w:sz w:val="16"/>
                <w:szCs w:val="16"/>
              </w:rPr>
              <w:t>CP-202066</w:t>
            </w:r>
          </w:p>
        </w:tc>
        <w:tc>
          <w:tcPr>
            <w:tcW w:w="523" w:type="dxa"/>
            <w:shd w:val="solid" w:color="FFFFFF" w:fill="auto"/>
          </w:tcPr>
          <w:p w14:paraId="4A268600" w14:textId="77777777" w:rsidR="00A10B25" w:rsidRDefault="00A10B25">
            <w:pPr>
              <w:pStyle w:val="TAL"/>
              <w:rPr>
                <w:sz w:val="16"/>
                <w:szCs w:val="16"/>
              </w:rPr>
            </w:pPr>
            <w:r>
              <w:rPr>
                <w:sz w:val="16"/>
                <w:szCs w:val="16"/>
              </w:rPr>
              <w:t>0196</w:t>
            </w:r>
          </w:p>
        </w:tc>
        <w:tc>
          <w:tcPr>
            <w:tcW w:w="423" w:type="dxa"/>
            <w:shd w:val="solid" w:color="FFFFFF" w:fill="auto"/>
          </w:tcPr>
          <w:p w14:paraId="42EF9627" w14:textId="77777777" w:rsidR="00A10B25" w:rsidRDefault="00A10B25">
            <w:pPr>
              <w:pStyle w:val="TAR"/>
              <w:rPr>
                <w:sz w:val="16"/>
                <w:szCs w:val="16"/>
              </w:rPr>
            </w:pPr>
            <w:r>
              <w:rPr>
                <w:sz w:val="16"/>
                <w:szCs w:val="16"/>
                <w:lang w:eastAsia="zh-CN"/>
              </w:rPr>
              <w:t>1</w:t>
            </w:r>
          </w:p>
        </w:tc>
        <w:tc>
          <w:tcPr>
            <w:tcW w:w="423" w:type="dxa"/>
            <w:shd w:val="solid" w:color="FFFFFF" w:fill="auto"/>
          </w:tcPr>
          <w:p w14:paraId="7C601C13" w14:textId="77777777" w:rsidR="00A10B25" w:rsidRDefault="00A10B25">
            <w:pPr>
              <w:pStyle w:val="TAC"/>
              <w:rPr>
                <w:sz w:val="16"/>
                <w:szCs w:val="16"/>
              </w:rPr>
            </w:pPr>
            <w:r>
              <w:rPr>
                <w:sz w:val="16"/>
                <w:szCs w:val="16"/>
              </w:rPr>
              <w:t>F</w:t>
            </w:r>
          </w:p>
        </w:tc>
        <w:tc>
          <w:tcPr>
            <w:tcW w:w="4899" w:type="dxa"/>
            <w:shd w:val="solid" w:color="FFFFFF" w:fill="auto"/>
          </w:tcPr>
          <w:p w14:paraId="0E21F0CD" w14:textId="77777777" w:rsidR="00A10B25" w:rsidRDefault="00A10B25">
            <w:pPr>
              <w:pStyle w:val="TAL"/>
              <w:rPr>
                <w:sz w:val="16"/>
                <w:szCs w:val="16"/>
              </w:rPr>
            </w:pPr>
            <w:r>
              <w:rPr>
                <w:sz w:val="16"/>
                <w:szCs w:val="16"/>
              </w:rPr>
              <w:t>Description for NWDAF services</w:t>
            </w:r>
          </w:p>
        </w:tc>
        <w:tc>
          <w:tcPr>
            <w:tcW w:w="706" w:type="dxa"/>
            <w:shd w:val="solid" w:color="FFFFFF" w:fill="auto"/>
          </w:tcPr>
          <w:p w14:paraId="471FB187" w14:textId="77777777" w:rsidR="00A10B25" w:rsidRDefault="00A10B25">
            <w:pPr>
              <w:pStyle w:val="TAC"/>
              <w:rPr>
                <w:sz w:val="16"/>
                <w:szCs w:val="16"/>
              </w:rPr>
            </w:pPr>
            <w:r>
              <w:rPr>
                <w:sz w:val="16"/>
                <w:szCs w:val="16"/>
              </w:rPr>
              <w:t>16.5.0</w:t>
            </w:r>
          </w:p>
        </w:tc>
      </w:tr>
      <w:tr w:rsidR="00A10B25" w14:paraId="70AE0C45" w14:textId="77777777">
        <w:tc>
          <w:tcPr>
            <w:tcW w:w="796" w:type="dxa"/>
            <w:shd w:val="solid" w:color="FFFFFF" w:fill="auto"/>
          </w:tcPr>
          <w:p w14:paraId="2C4C862E"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0EC459BF"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1DB3AF5C" w14:textId="77777777" w:rsidR="00A10B25" w:rsidRDefault="00A10B25">
            <w:pPr>
              <w:pStyle w:val="TAC"/>
              <w:rPr>
                <w:sz w:val="16"/>
                <w:szCs w:val="16"/>
              </w:rPr>
            </w:pPr>
            <w:r>
              <w:rPr>
                <w:sz w:val="16"/>
                <w:szCs w:val="16"/>
              </w:rPr>
              <w:t>CP-202066</w:t>
            </w:r>
          </w:p>
        </w:tc>
        <w:tc>
          <w:tcPr>
            <w:tcW w:w="523" w:type="dxa"/>
            <w:shd w:val="solid" w:color="FFFFFF" w:fill="auto"/>
          </w:tcPr>
          <w:p w14:paraId="115B0E07" w14:textId="77777777" w:rsidR="00A10B25" w:rsidRDefault="00A10B25">
            <w:pPr>
              <w:pStyle w:val="TAL"/>
              <w:rPr>
                <w:sz w:val="16"/>
                <w:szCs w:val="16"/>
              </w:rPr>
            </w:pPr>
            <w:r>
              <w:rPr>
                <w:sz w:val="16"/>
                <w:szCs w:val="16"/>
              </w:rPr>
              <w:t>0197</w:t>
            </w:r>
          </w:p>
        </w:tc>
        <w:tc>
          <w:tcPr>
            <w:tcW w:w="423" w:type="dxa"/>
            <w:shd w:val="solid" w:color="FFFFFF" w:fill="auto"/>
          </w:tcPr>
          <w:p w14:paraId="6D35DF75" w14:textId="77777777" w:rsidR="00A10B25" w:rsidRDefault="00A10B25">
            <w:pPr>
              <w:pStyle w:val="TAR"/>
              <w:rPr>
                <w:sz w:val="16"/>
                <w:szCs w:val="16"/>
              </w:rPr>
            </w:pPr>
            <w:r>
              <w:rPr>
                <w:sz w:val="16"/>
                <w:szCs w:val="16"/>
                <w:lang w:eastAsia="zh-CN"/>
              </w:rPr>
              <w:t>1</w:t>
            </w:r>
          </w:p>
        </w:tc>
        <w:tc>
          <w:tcPr>
            <w:tcW w:w="423" w:type="dxa"/>
            <w:shd w:val="solid" w:color="FFFFFF" w:fill="auto"/>
          </w:tcPr>
          <w:p w14:paraId="46CA7F31" w14:textId="77777777" w:rsidR="00A10B25" w:rsidRDefault="00A10B25">
            <w:pPr>
              <w:pStyle w:val="TAC"/>
              <w:rPr>
                <w:sz w:val="16"/>
                <w:szCs w:val="16"/>
              </w:rPr>
            </w:pPr>
            <w:r>
              <w:rPr>
                <w:sz w:val="16"/>
                <w:szCs w:val="16"/>
              </w:rPr>
              <w:t>F</w:t>
            </w:r>
          </w:p>
        </w:tc>
        <w:tc>
          <w:tcPr>
            <w:tcW w:w="4899" w:type="dxa"/>
            <w:shd w:val="solid" w:color="FFFFFF" w:fill="auto"/>
          </w:tcPr>
          <w:p w14:paraId="617E6605" w14:textId="77777777" w:rsidR="00A10B25" w:rsidRDefault="00A10B25">
            <w:pPr>
              <w:pStyle w:val="TAL"/>
              <w:rPr>
                <w:sz w:val="16"/>
                <w:szCs w:val="16"/>
              </w:rPr>
            </w:pPr>
            <w:r>
              <w:rPr>
                <w:sz w:val="16"/>
                <w:szCs w:val="16"/>
              </w:rPr>
              <w:t>Z</w:t>
            </w:r>
            <w:r>
              <w:rPr>
                <w:sz w:val="16"/>
                <w:szCs w:val="16"/>
                <w:lang w:eastAsia="zh-CN"/>
              </w:rPr>
              <w:t xml:space="preserve">ero </w:t>
            </w:r>
            <w:r>
              <w:rPr>
                <w:sz w:val="16"/>
                <w:szCs w:val="16"/>
              </w:rPr>
              <w:t>confidence</w:t>
            </w:r>
          </w:p>
        </w:tc>
        <w:tc>
          <w:tcPr>
            <w:tcW w:w="706" w:type="dxa"/>
            <w:shd w:val="solid" w:color="FFFFFF" w:fill="auto"/>
          </w:tcPr>
          <w:p w14:paraId="491CCB3F" w14:textId="77777777" w:rsidR="00A10B25" w:rsidRDefault="00A10B25">
            <w:pPr>
              <w:pStyle w:val="TAC"/>
              <w:rPr>
                <w:sz w:val="16"/>
                <w:szCs w:val="16"/>
              </w:rPr>
            </w:pPr>
            <w:r>
              <w:rPr>
                <w:sz w:val="16"/>
                <w:szCs w:val="16"/>
              </w:rPr>
              <w:t>16.5.0</w:t>
            </w:r>
          </w:p>
        </w:tc>
      </w:tr>
      <w:tr w:rsidR="00A10B25" w14:paraId="5AD516B3" w14:textId="77777777">
        <w:tc>
          <w:tcPr>
            <w:tcW w:w="796" w:type="dxa"/>
            <w:shd w:val="solid" w:color="FFFFFF" w:fill="auto"/>
          </w:tcPr>
          <w:p w14:paraId="6019B1D8"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54C89232"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2D9D6321" w14:textId="77777777" w:rsidR="00A10B25" w:rsidRDefault="00A10B25">
            <w:pPr>
              <w:pStyle w:val="TAC"/>
              <w:rPr>
                <w:sz w:val="16"/>
                <w:szCs w:val="16"/>
              </w:rPr>
            </w:pPr>
            <w:r>
              <w:rPr>
                <w:sz w:val="16"/>
                <w:szCs w:val="16"/>
              </w:rPr>
              <w:t>CP-202066</w:t>
            </w:r>
          </w:p>
        </w:tc>
        <w:tc>
          <w:tcPr>
            <w:tcW w:w="523" w:type="dxa"/>
            <w:shd w:val="solid" w:color="FFFFFF" w:fill="auto"/>
          </w:tcPr>
          <w:p w14:paraId="09F0B019" w14:textId="77777777" w:rsidR="00A10B25" w:rsidRDefault="00A10B25">
            <w:pPr>
              <w:pStyle w:val="TAL"/>
              <w:rPr>
                <w:sz w:val="16"/>
                <w:szCs w:val="16"/>
              </w:rPr>
            </w:pPr>
            <w:r>
              <w:rPr>
                <w:sz w:val="16"/>
                <w:szCs w:val="16"/>
              </w:rPr>
              <w:t>0199</w:t>
            </w:r>
          </w:p>
        </w:tc>
        <w:tc>
          <w:tcPr>
            <w:tcW w:w="423" w:type="dxa"/>
            <w:shd w:val="solid" w:color="FFFFFF" w:fill="auto"/>
          </w:tcPr>
          <w:p w14:paraId="71A07104" w14:textId="77777777" w:rsidR="00A10B25" w:rsidRDefault="00A10B25">
            <w:pPr>
              <w:pStyle w:val="TAR"/>
              <w:rPr>
                <w:sz w:val="16"/>
                <w:szCs w:val="16"/>
              </w:rPr>
            </w:pPr>
          </w:p>
        </w:tc>
        <w:tc>
          <w:tcPr>
            <w:tcW w:w="423" w:type="dxa"/>
            <w:shd w:val="solid" w:color="FFFFFF" w:fill="auto"/>
          </w:tcPr>
          <w:p w14:paraId="331CA0AA" w14:textId="77777777" w:rsidR="00A10B25" w:rsidRDefault="00A10B25">
            <w:pPr>
              <w:pStyle w:val="TAC"/>
              <w:rPr>
                <w:sz w:val="16"/>
                <w:szCs w:val="16"/>
              </w:rPr>
            </w:pPr>
            <w:r>
              <w:rPr>
                <w:sz w:val="16"/>
                <w:szCs w:val="16"/>
              </w:rPr>
              <w:t>F</w:t>
            </w:r>
          </w:p>
        </w:tc>
        <w:tc>
          <w:tcPr>
            <w:tcW w:w="4899" w:type="dxa"/>
            <w:shd w:val="solid" w:color="FFFFFF" w:fill="auto"/>
          </w:tcPr>
          <w:p w14:paraId="6C4C571F" w14:textId="77777777" w:rsidR="00A10B25" w:rsidRDefault="00A10B25">
            <w:pPr>
              <w:pStyle w:val="TAL"/>
              <w:rPr>
                <w:sz w:val="16"/>
                <w:szCs w:val="16"/>
              </w:rPr>
            </w:pPr>
            <w:r>
              <w:rPr>
                <w:sz w:val="16"/>
                <w:szCs w:val="16"/>
              </w:rPr>
              <w:t>Correct QoS sustainability requirement</w:t>
            </w:r>
          </w:p>
        </w:tc>
        <w:tc>
          <w:tcPr>
            <w:tcW w:w="706" w:type="dxa"/>
            <w:shd w:val="solid" w:color="FFFFFF" w:fill="auto"/>
          </w:tcPr>
          <w:p w14:paraId="47B73766" w14:textId="77777777" w:rsidR="00A10B25" w:rsidRDefault="00A10B25">
            <w:pPr>
              <w:pStyle w:val="TAC"/>
              <w:rPr>
                <w:sz w:val="16"/>
                <w:szCs w:val="16"/>
              </w:rPr>
            </w:pPr>
            <w:r>
              <w:rPr>
                <w:sz w:val="16"/>
                <w:szCs w:val="16"/>
              </w:rPr>
              <w:t>16.5.0</w:t>
            </w:r>
          </w:p>
        </w:tc>
      </w:tr>
      <w:tr w:rsidR="00A10B25" w14:paraId="511837DA" w14:textId="77777777">
        <w:tc>
          <w:tcPr>
            <w:tcW w:w="796" w:type="dxa"/>
            <w:shd w:val="solid" w:color="FFFFFF" w:fill="auto"/>
          </w:tcPr>
          <w:p w14:paraId="3BD4B847" w14:textId="77777777" w:rsidR="00A10B25" w:rsidRDefault="00A10B25">
            <w:pPr>
              <w:pStyle w:val="TAC"/>
              <w:rPr>
                <w:sz w:val="16"/>
                <w:szCs w:val="16"/>
              </w:rPr>
            </w:pPr>
            <w:r>
              <w:rPr>
                <w:sz w:val="16"/>
                <w:szCs w:val="16"/>
                <w:lang w:val="en-US" w:eastAsia="zh-CN"/>
              </w:rPr>
              <w:lastRenderedPageBreak/>
              <w:t>2020-09</w:t>
            </w:r>
          </w:p>
        </w:tc>
        <w:tc>
          <w:tcPr>
            <w:tcW w:w="828" w:type="dxa"/>
            <w:shd w:val="solid" w:color="FFFFFF" w:fill="auto"/>
          </w:tcPr>
          <w:p w14:paraId="6AAE612B"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3ED2A59C" w14:textId="77777777" w:rsidR="00A10B25" w:rsidRDefault="00A10B25">
            <w:pPr>
              <w:pStyle w:val="TAC"/>
              <w:rPr>
                <w:sz w:val="16"/>
                <w:szCs w:val="16"/>
              </w:rPr>
            </w:pPr>
            <w:r>
              <w:rPr>
                <w:sz w:val="16"/>
                <w:szCs w:val="16"/>
              </w:rPr>
              <w:t>CP-202066</w:t>
            </w:r>
          </w:p>
        </w:tc>
        <w:tc>
          <w:tcPr>
            <w:tcW w:w="523" w:type="dxa"/>
            <w:shd w:val="solid" w:color="FFFFFF" w:fill="auto"/>
          </w:tcPr>
          <w:p w14:paraId="3228163C" w14:textId="77777777" w:rsidR="00A10B25" w:rsidRDefault="00A10B25">
            <w:pPr>
              <w:pStyle w:val="TAL"/>
              <w:rPr>
                <w:sz w:val="16"/>
                <w:szCs w:val="16"/>
              </w:rPr>
            </w:pPr>
            <w:r>
              <w:rPr>
                <w:sz w:val="16"/>
                <w:szCs w:val="16"/>
              </w:rPr>
              <w:t>0200</w:t>
            </w:r>
          </w:p>
        </w:tc>
        <w:tc>
          <w:tcPr>
            <w:tcW w:w="423" w:type="dxa"/>
            <w:shd w:val="solid" w:color="FFFFFF" w:fill="auto"/>
          </w:tcPr>
          <w:p w14:paraId="46E9B6FD" w14:textId="77777777" w:rsidR="00A10B25" w:rsidRDefault="00A10B25">
            <w:pPr>
              <w:pStyle w:val="TAR"/>
              <w:rPr>
                <w:sz w:val="16"/>
                <w:szCs w:val="16"/>
              </w:rPr>
            </w:pPr>
          </w:p>
        </w:tc>
        <w:tc>
          <w:tcPr>
            <w:tcW w:w="423" w:type="dxa"/>
            <w:shd w:val="solid" w:color="FFFFFF" w:fill="auto"/>
          </w:tcPr>
          <w:p w14:paraId="0F1DF4C9" w14:textId="77777777" w:rsidR="00A10B25" w:rsidRDefault="00A10B25">
            <w:pPr>
              <w:pStyle w:val="TAC"/>
              <w:rPr>
                <w:sz w:val="16"/>
                <w:szCs w:val="16"/>
              </w:rPr>
            </w:pPr>
            <w:r>
              <w:rPr>
                <w:sz w:val="16"/>
                <w:szCs w:val="16"/>
              </w:rPr>
              <w:t>F</w:t>
            </w:r>
          </w:p>
        </w:tc>
        <w:tc>
          <w:tcPr>
            <w:tcW w:w="4899" w:type="dxa"/>
            <w:shd w:val="solid" w:color="FFFFFF" w:fill="auto"/>
          </w:tcPr>
          <w:p w14:paraId="0B447394" w14:textId="77777777" w:rsidR="00A10B25" w:rsidRDefault="00A10B25">
            <w:pPr>
              <w:pStyle w:val="TAL"/>
              <w:rPr>
                <w:sz w:val="16"/>
                <w:szCs w:val="16"/>
              </w:rPr>
            </w:pPr>
            <w:r>
              <w:rPr>
                <w:sz w:val="16"/>
                <w:szCs w:val="16"/>
              </w:rPr>
              <w:t>Validity period for analytics information</w:t>
            </w:r>
          </w:p>
        </w:tc>
        <w:tc>
          <w:tcPr>
            <w:tcW w:w="706" w:type="dxa"/>
            <w:shd w:val="solid" w:color="FFFFFF" w:fill="auto"/>
          </w:tcPr>
          <w:p w14:paraId="5C129CDA" w14:textId="77777777" w:rsidR="00A10B25" w:rsidRDefault="00A10B25">
            <w:pPr>
              <w:pStyle w:val="TAC"/>
              <w:rPr>
                <w:sz w:val="16"/>
                <w:szCs w:val="16"/>
              </w:rPr>
            </w:pPr>
            <w:r>
              <w:rPr>
                <w:sz w:val="16"/>
                <w:szCs w:val="16"/>
              </w:rPr>
              <w:t>16.5.0</w:t>
            </w:r>
          </w:p>
        </w:tc>
      </w:tr>
      <w:tr w:rsidR="00A10B25" w14:paraId="46504D55" w14:textId="77777777">
        <w:tc>
          <w:tcPr>
            <w:tcW w:w="796" w:type="dxa"/>
            <w:shd w:val="solid" w:color="FFFFFF" w:fill="auto"/>
          </w:tcPr>
          <w:p w14:paraId="29238C2D"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53C555FD"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5480BB3A" w14:textId="77777777" w:rsidR="00A10B25" w:rsidRDefault="00A10B25">
            <w:pPr>
              <w:pStyle w:val="TAC"/>
              <w:rPr>
                <w:sz w:val="16"/>
                <w:szCs w:val="16"/>
              </w:rPr>
            </w:pPr>
            <w:r>
              <w:rPr>
                <w:sz w:val="16"/>
                <w:szCs w:val="16"/>
              </w:rPr>
              <w:t>CP-202066</w:t>
            </w:r>
          </w:p>
        </w:tc>
        <w:tc>
          <w:tcPr>
            <w:tcW w:w="523" w:type="dxa"/>
            <w:shd w:val="solid" w:color="FFFFFF" w:fill="auto"/>
          </w:tcPr>
          <w:p w14:paraId="699B849F" w14:textId="77777777" w:rsidR="00A10B25" w:rsidRDefault="00A10B25">
            <w:pPr>
              <w:pStyle w:val="TAL"/>
              <w:rPr>
                <w:sz w:val="16"/>
                <w:szCs w:val="16"/>
              </w:rPr>
            </w:pPr>
            <w:r>
              <w:rPr>
                <w:sz w:val="16"/>
                <w:szCs w:val="16"/>
              </w:rPr>
              <w:t>0201</w:t>
            </w:r>
          </w:p>
        </w:tc>
        <w:tc>
          <w:tcPr>
            <w:tcW w:w="423" w:type="dxa"/>
            <w:shd w:val="solid" w:color="FFFFFF" w:fill="auto"/>
          </w:tcPr>
          <w:p w14:paraId="0E3BBED3" w14:textId="77777777" w:rsidR="00A10B25" w:rsidRDefault="00A10B25">
            <w:pPr>
              <w:pStyle w:val="TAR"/>
              <w:rPr>
                <w:sz w:val="16"/>
                <w:szCs w:val="16"/>
              </w:rPr>
            </w:pPr>
            <w:r>
              <w:rPr>
                <w:sz w:val="16"/>
                <w:szCs w:val="16"/>
                <w:lang w:eastAsia="zh-CN"/>
              </w:rPr>
              <w:t>1</w:t>
            </w:r>
          </w:p>
        </w:tc>
        <w:tc>
          <w:tcPr>
            <w:tcW w:w="423" w:type="dxa"/>
            <w:shd w:val="solid" w:color="FFFFFF" w:fill="auto"/>
          </w:tcPr>
          <w:p w14:paraId="2514702F" w14:textId="77777777" w:rsidR="00A10B25" w:rsidRDefault="00A10B25">
            <w:pPr>
              <w:pStyle w:val="TAC"/>
              <w:rPr>
                <w:sz w:val="16"/>
                <w:szCs w:val="16"/>
              </w:rPr>
            </w:pPr>
            <w:r>
              <w:rPr>
                <w:sz w:val="16"/>
                <w:szCs w:val="16"/>
              </w:rPr>
              <w:t>F</w:t>
            </w:r>
          </w:p>
        </w:tc>
        <w:tc>
          <w:tcPr>
            <w:tcW w:w="4899" w:type="dxa"/>
            <w:shd w:val="solid" w:color="FFFFFF" w:fill="auto"/>
          </w:tcPr>
          <w:p w14:paraId="1C207226" w14:textId="77777777" w:rsidR="00A10B25" w:rsidRDefault="00A10B25">
            <w:pPr>
              <w:pStyle w:val="TAL"/>
              <w:rPr>
                <w:sz w:val="16"/>
                <w:szCs w:val="16"/>
              </w:rPr>
            </w:pPr>
            <w:r>
              <w:rPr>
                <w:sz w:val="16"/>
                <w:szCs w:val="16"/>
                <w:lang w:eastAsia="zh-CN"/>
              </w:rPr>
              <w:t>Timestamp of analytics generation</w:t>
            </w:r>
          </w:p>
        </w:tc>
        <w:tc>
          <w:tcPr>
            <w:tcW w:w="706" w:type="dxa"/>
            <w:shd w:val="solid" w:color="FFFFFF" w:fill="auto"/>
          </w:tcPr>
          <w:p w14:paraId="23C7E2B0" w14:textId="77777777" w:rsidR="00A10B25" w:rsidRDefault="00A10B25">
            <w:pPr>
              <w:pStyle w:val="TAC"/>
              <w:rPr>
                <w:sz w:val="16"/>
                <w:szCs w:val="16"/>
              </w:rPr>
            </w:pPr>
            <w:r>
              <w:rPr>
                <w:sz w:val="16"/>
                <w:szCs w:val="16"/>
              </w:rPr>
              <w:t>16.5.0</w:t>
            </w:r>
          </w:p>
        </w:tc>
      </w:tr>
      <w:tr w:rsidR="00A10B25" w14:paraId="670BB408" w14:textId="77777777">
        <w:tc>
          <w:tcPr>
            <w:tcW w:w="796" w:type="dxa"/>
            <w:shd w:val="solid" w:color="FFFFFF" w:fill="auto"/>
          </w:tcPr>
          <w:p w14:paraId="11B39617"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3191AC86"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3C94650D" w14:textId="77777777" w:rsidR="00A10B25" w:rsidRDefault="00A10B25">
            <w:pPr>
              <w:pStyle w:val="TAC"/>
              <w:rPr>
                <w:sz w:val="16"/>
                <w:szCs w:val="16"/>
              </w:rPr>
            </w:pPr>
            <w:r>
              <w:rPr>
                <w:sz w:val="16"/>
                <w:szCs w:val="16"/>
              </w:rPr>
              <w:t>CP-202066</w:t>
            </w:r>
          </w:p>
        </w:tc>
        <w:tc>
          <w:tcPr>
            <w:tcW w:w="523" w:type="dxa"/>
            <w:shd w:val="solid" w:color="FFFFFF" w:fill="auto"/>
          </w:tcPr>
          <w:p w14:paraId="23F56B6E" w14:textId="77777777" w:rsidR="00A10B25" w:rsidRDefault="00A10B25">
            <w:pPr>
              <w:pStyle w:val="TAL"/>
              <w:rPr>
                <w:sz w:val="16"/>
                <w:szCs w:val="16"/>
              </w:rPr>
            </w:pPr>
            <w:r>
              <w:rPr>
                <w:sz w:val="16"/>
                <w:szCs w:val="16"/>
              </w:rPr>
              <w:t>0202</w:t>
            </w:r>
          </w:p>
        </w:tc>
        <w:tc>
          <w:tcPr>
            <w:tcW w:w="423" w:type="dxa"/>
            <w:shd w:val="solid" w:color="FFFFFF" w:fill="auto"/>
          </w:tcPr>
          <w:p w14:paraId="19272E49" w14:textId="77777777" w:rsidR="00A10B25" w:rsidRDefault="00A10B25">
            <w:pPr>
              <w:pStyle w:val="TAR"/>
              <w:rPr>
                <w:sz w:val="16"/>
                <w:szCs w:val="16"/>
              </w:rPr>
            </w:pPr>
          </w:p>
        </w:tc>
        <w:tc>
          <w:tcPr>
            <w:tcW w:w="423" w:type="dxa"/>
            <w:shd w:val="solid" w:color="FFFFFF" w:fill="auto"/>
          </w:tcPr>
          <w:p w14:paraId="0F275966" w14:textId="77777777" w:rsidR="00A10B25" w:rsidRDefault="00A10B25">
            <w:pPr>
              <w:pStyle w:val="TAC"/>
              <w:rPr>
                <w:sz w:val="16"/>
                <w:szCs w:val="16"/>
              </w:rPr>
            </w:pPr>
            <w:r>
              <w:rPr>
                <w:sz w:val="16"/>
                <w:szCs w:val="16"/>
              </w:rPr>
              <w:t>F</w:t>
            </w:r>
          </w:p>
        </w:tc>
        <w:tc>
          <w:tcPr>
            <w:tcW w:w="4899" w:type="dxa"/>
            <w:shd w:val="solid" w:color="FFFFFF" w:fill="auto"/>
          </w:tcPr>
          <w:p w14:paraId="739D5E57" w14:textId="77777777" w:rsidR="00A10B25" w:rsidRDefault="00A10B25">
            <w:pPr>
              <w:pStyle w:val="TAL"/>
              <w:rPr>
                <w:sz w:val="16"/>
                <w:szCs w:val="16"/>
              </w:rPr>
            </w:pPr>
            <w:r>
              <w:rPr>
                <w:sz w:val="16"/>
                <w:szCs w:val="16"/>
              </w:rPr>
              <w:t>Notification about subscribed event</w:t>
            </w:r>
          </w:p>
        </w:tc>
        <w:tc>
          <w:tcPr>
            <w:tcW w:w="706" w:type="dxa"/>
            <w:shd w:val="solid" w:color="FFFFFF" w:fill="auto"/>
          </w:tcPr>
          <w:p w14:paraId="773929F6" w14:textId="77777777" w:rsidR="00A10B25" w:rsidRDefault="00A10B25">
            <w:pPr>
              <w:pStyle w:val="TAC"/>
              <w:rPr>
                <w:sz w:val="16"/>
                <w:szCs w:val="16"/>
              </w:rPr>
            </w:pPr>
            <w:r>
              <w:rPr>
                <w:sz w:val="16"/>
                <w:szCs w:val="16"/>
              </w:rPr>
              <w:t>16.5.0</w:t>
            </w:r>
          </w:p>
        </w:tc>
      </w:tr>
      <w:tr w:rsidR="00A10B25" w14:paraId="31F4F789" w14:textId="77777777">
        <w:tc>
          <w:tcPr>
            <w:tcW w:w="796" w:type="dxa"/>
            <w:shd w:val="solid" w:color="FFFFFF" w:fill="auto"/>
          </w:tcPr>
          <w:p w14:paraId="470685E0"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604ABC96"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2E31BB02" w14:textId="77777777" w:rsidR="00A10B25" w:rsidRDefault="00A10B25">
            <w:pPr>
              <w:pStyle w:val="TAC"/>
              <w:rPr>
                <w:sz w:val="16"/>
                <w:szCs w:val="16"/>
              </w:rPr>
            </w:pPr>
            <w:r>
              <w:rPr>
                <w:sz w:val="16"/>
                <w:szCs w:val="16"/>
              </w:rPr>
              <w:t>CP-202066</w:t>
            </w:r>
          </w:p>
        </w:tc>
        <w:tc>
          <w:tcPr>
            <w:tcW w:w="523" w:type="dxa"/>
            <w:shd w:val="solid" w:color="FFFFFF" w:fill="auto"/>
          </w:tcPr>
          <w:p w14:paraId="44E00083" w14:textId="77777777" w:rsidR="00A10B25" w:rsidRDefault="00A10B25">
            <w:pPr>
              <w:pStyle w:val="TAL"/>
              <w:rPr>
                <w:sz w:val="16"/>
                <w:szCs w:val="16"/>
              </w:rPr>
            </w:pPr>
            <w:r>
              <w:rPr>
                <w:sz w:val="16"/>
                <w:szCs w:val="16"/>
              </w:rPr>
              <w:t>0204</w:t>
            </w:r>
          </w:p>
        </w:tc>
        <w:tc>
          <w:tcPr>
            <w:tcW w:w="423" w:type="dxa"/>
            <w:shd w:val="solid" w:color="FFFFFF" w:fill="auto"/>
          </w:tcPr>
          <w:p w14:paraId="608071B0" w14:textId="77777777" w:rsidR="00A10B25" w:rsidRDefault="00A10B25">
            <w:pPr>
              <w:pStyle w:val="TAR"/>
              <w:rPr>
                <w:sz w:val="16"/>
                <w:szCs w:val="16"/>
              </w:rPr>
            </w:pPr>
            <w:r>
              <w:rPr>
                <w:sz w:val="16"/>
                <w:szCs w:val="16"/>
                <w:lang w:eastAsia="zh-CN"/>
              </w:rPr>
              <w:t>1</w:t>
            </w:r>
          </w:p>
        </w:tc>
        <w:tc>
          <w:tcPr>
            <w:tcW w:w="423" w:type="dxa"/>
            <w:shd w:val="solid" w:color="FFFFFF" w:fill="auto"/>
          </w:tcPr>
          <w:p w14:paraId="3A964D72" w14:textId="77777777" w:rsidR="00A10B25" w:rsidRDefault="00A10B25">
            <w:pPr>
              <w:pStyle w:val="TAC"/>
              <w:rPr>
                <w:sz w:val="16"/>
                <w:szCs w:val="16"/>
              </w:rPr>
            </w:pPr>
            <w:r>
              <w:rPr>
                <w:sz w:val="16"/>
                <w:szCs w:val="16"/>
              </w:rPr>
              <w:t>F</w:t>
            </w:r>
          </w:p>
        </w:tc>
        <w:tc>
          <w:tcPr>
            <w:tcW w:w="4899" w:type="dxa"/>
            <w:shd w:val="solid" w:color="FFFFFF" w:fill="auto"/>
          </w:tcPr>
          <w:p w14:paraId="3325E675" w14:textId="77777777" w:rsidR="00A10B25" w:rsidRDefault="00A10B25">
            <w:pPr>
              <w:pStyle w:val="TAL"/>
              <w:rPr>
                <w:sz w:val="16"/>
                <w:szCs w:val="16"/>
              </w:rPr>
            </w:pPr>
            <w:r>
              <w:rPr>
                <w:sz w:val="16"/>
                <w:szCs w:val="16"/>
              </w:rPr>
              <w:t>Omitted event reporting information</w:t>
            </w:r>
          </w:p>
        </w:tc>
        <w:tc>
          <w:tcPr>
            <w:tcW w:w="706" w:type="dxa"/>
            <w:shd w:val="solid" w:color="FFFFFF" w:fill="auto"/>
          </w:tcPr>
          <w:p w14:paraId="5006DA63" w14:textId="77777777" w:rsidR="00A10B25" w:rsidRDefault="00A10B25">
            <w:pPr>
              <w:pStyle w:val="TAC"/>
              <w:rPr>
                <w:sz w:val="16"/>
                <w:szCs w:val="16"/>
              </w:rPr>
            </w:pPr>
            <w:r>
              <w:rPr>
                <w:sz w:val="16"/>
                <w:szCs w:val="16"/>
              </w:rPr>
              <w:t>16.5.0</w:t>
            </w:r>
          </w:p>
        </w:tc>
      </w:tr>
      <w:tr w:rsidR="00A10B25" w14:paraId="041A8836" w14:textId="77777777">
        <w:tc>
          <w:tcPr>
            <w:tcW w:w="796" w:type="dxa"/>
            <w:shd w:val="solid" w:color="FFFFFF" w:fill="auto"/>
          </w:tcPr>
          <w:p w14:paraId="1DC90801"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4444E1E9"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219B6F6E" w14:textId="77777777" w:rsidR="00A10B25" w:rsidRDefault="00A10B25">
            <w:pPr>
              <w:pStyle w:val="TAC"/>
              <w:rPr>
                <w:sz w:val="16"/>
                <w:szCs w:val="16"/>
              </w:rPr>
            </w:pPr>
            <w:r>
              <w:rPr>
                <w:sz w:val="16"/>
                <w:szCs w:val="16"/>
              </w:rPr>
              <w:t>CP-202066</w:t>
            </w:r>
          </w:p>
        </w:tc>
        <w:tc>
          <w:tcPr>
            <w:tcW w:w="523" w:type="dxa"/>
            <w:shd w:val="solid" w:color="FFFFFF" w:fill="auto"/>
          </w:tcPr>
          <w:p w14:paraId="630E82E2" w14:textId="77777777" w:rsidR="00A10B25" w:rsidRDefault="00A10B25">
            <w:pPr>
              <w:pStyle w:val="TAL"/>
              <w:rPr>
                <w:sz w:val="16"/>
                <w:szCs w:val="16"/>
              </w:rPr>
            </w:pPr>
            <w:r>
              <w:rPr>
                <w:sz w:val="16"/>
                <w:szCs w:val="16"/>
              </w:rPr>
              <w:t>0205</w:t>
            </w:r>
          </w:p>
        </w:tc>
        <w:tc>
          <w:tcPr>
            <w:tcW w:w="423" w:type="dxa"/>
            <w:shd w:val="solid" w:color="FFFFFF" w:fill="auto"/>
          </w:tcPr>
          <w:p w14:paraId="3EC01395" w14:textId="77777777" w:rsidR="00A10B25" w:rsidRDefault="00A10B25">
            <w:pPr>
              <w:pStyle w:val="TAR"/>
              <w:rPr>
                <w:sz w:val="16"/>
                <w:szCs w:val="16"/>
              </w:rPr>
            </w:pPr>
          </w:p>
        </w:tc>
        <w:tc>
          <w:tcPr>
            <w:tcW w:w="423" w:type="dxa"/>
            <w:shd w:val="solid" w:color="FFFFFF" w:fill="auto"/>
          </w:tcPr>
          <w:p w14:paraId="69BC2227" w14:textId="77777777" w:rsidR="00A10B25" w:rsidRDefault="00A10B25">
            <w:pPr>
              <w:pStyle w:val="TAC"/>
              <w:rPr>
                <w:sz w:val="16"/>
                <w:szCs w:val="16"/>
              </w:rPr>
            </w:pPr>
            <w:r>
              <w:rPr>
                <w:sz w:val="16"/>
                <w:szCs w:val="16"/>
              </w:rPr>
              <w:t>F</w:t>
            </w:r>
          </w:p>
        </w:tc>
        <w:tc>
          <w:tcPr>
            <w:tcW w:w="4899" w:type="dxa"/>
            <w:shd w:val="solid" w:color="FFFFFF" w:fill="auto"/>
          </w:tcPr>
          <w:p w14:paraId="71772900" w14:textId="77777777" w:rsidR="00A10B25" w:rsidRDefault="00A10B25">
            <w:pPr>
              <w:pStyle w:val="TAL"/>
              <w:rPr>
                <w:sz w:val="16"/>
                <w:szCs w:val="16"/>
              </w:rPr>
            </w:pPr>
            <w:r>
              <w:rPr>
                <w:sz w:val="16"/>
                <w:szCs w:val="16"/>
                <w:lang w:val="en-US" w:eastAsia="zh-CN"/>
              </w:rPr>
              <w:t>Optional network slice identification</w:t>
            </w:r>
          </w:p>
        </w:tc>
        <w:tc>
          <w:tcPr>
            <w:tcW w:w="706" w:type="dxa"/>
            <w:shd w:val="solid" w:color="FFFFFF" w:fill="auto"/>
          </w:tcPr>
          <w:p w14:paraId="036CE85A" w14:textId="77777777" w:rsidR="00A10B25" w:rsidRDefault="00A10B25">
            <w:pPr>
              <w:pStyle w:val="TAC"/>
              <w:rPr>
                <w:sz w:val="16"/>
                <w:szCs w:val="16"/>
              </w:rPr>
            </w:pPr>
            <w:r>
              <w:rPr>
                <w:sz w:val="16"/>
                <w:szCs w:val="16"/>
              </w:rPr>
              <w:t>16.5.0</w:t>
            </w:r>
          </w:p>
        </w:tc>
      </w:tr>
      <w:tr w:rsidR="00A10B25" w14:paraId="7DA9C722" w14:textId="77777777">
        <w:tc>
          <w:tcPr>
            <w:tcW w:w="796" w:type="dxa"/>
            <w:shd w:val="solid" w:color="FFFFFF" w:fill="auto"/>
          </w:tcPr>
          <w:p w14:paraId="08E825FC"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4D05E806"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76A2FFD9" w14:textId="77777777" w:rsidR="00A10B25" w:rsidRDefault="00A10B25">
            <w:pPr>
              <w:pStyle w:val="TAC"/>
              <w:rPr>
                <w:sz w:val="16"/>
                <w:szCs w:val="16"/>
              </w:rPr>
            </w:pPr>
            <w:r>
              <w:rPr>
                <w:sz w:val="16"/>
                <w:szCs w:val="16"/>
              </w:rPr>
              <w:t>CP-202066</w:t>
            </w:r>
          </w:p>
        </w:tc>
        <w:tc>
          <w:tcPr>
            <w:tcW w:w="523" w:type="dxa"/>
            <w:shd w:val="solid" w:color="FFFFFF" w:fill="auto"/>
          </w:tcPr>
          <w:p w14:paraId="663E2795" w14:textId="77777777" w:rsidR="00A10B25" w:rsidRDefault="00A10B25">
            <w:pPr>
              <w:pStyle w:val="TAL"/>
              <w:rPr>
                <w:sz w:val="16"/>
                <w:szCs w:val="16"/>
              </w:rPr>
            </w:pPr>
            <w:r>
              <w:rPr>
                <w:sz w:val="16"/>
                <w:szCs w:val="16"/>
              </w:rPr>
              <w:t>0206</w:t>
            </w:r>
          </w:p>
        </w:tc>
        <w:tc>
          <w:tcPr>
            <w:tcW w:w="423" w:type="dxa"/>
            <w:shd w:val="solid" w:color="FFFFFF" w:fill="auto"/>
          </w:tcPr>
          <w:p w14:paraId="798173CA" w14:textId="77777777" w:rsidR="00A10B25" w:rsidRDefault="00A10B25">
            <w:pPr>
              <w:pStyle w:val="TAR"/>
              <w:rPr>
                <w:sz w:val="16"/>
                <w:szCs w:val="16"/>
              </w:rPr>
            </w:pPr>
          </w:p>
        </w:tc>
        <w:tc>
          <w:tcPr>
            <w:tcW w:w="423" w:type="dxa"/>
            <w:shd w:val="solid" w:color="FFFFFF" w:fill="auto"/>
          </w:tcPr>
          <w:p w14:paraId="76440577" w14:textId="77777777" w:rsidR="00A10B25" w:rsidRDefault="00A10B25">
            <w:pPr>
              <w:pStyle w:val="TAC"/>
              <w:rPr>
                <w:sz w:val="16"/>
                <w:szCs w:val="16"/>
              </w:rPr>
            </w:pPr>
            <w:r>
              <w:rPr>
                <w:sz w:val="16"/>
                <w:szCs w:val="16"/>
              </w:rPr>
              <w:t>F</w:t>
            </w:r>
          </w:p>
        </w:tc>
        <w:tc>
          <w:tcPr>
            <w:tcW w:w="4899" w:type="dxa"/>
            <w:shd w:val="solid" w:color="FFFFFF" w:fill="auto"/>
          </w:tcPr>
          <w:p w14:paraId="2A929474" w14:textId="77777777" w:rsidR="00A10B25" w:rsidRDefault="00A10B25">
            <w:pPr>
              <w:pStyle w:val="TAL"/>
              <w:rPr>
                <w:sz w:val="16"/>
                <w:szCs w:val="16"/>
              </w:rPr>
            </w:pPr>
            <w:r>
              <w:rPr>
                <w:sz w:val="16"/>
                <w:szCs w:val="16"/>
              </w:rPr>
              <w:t>Slice load level information</w:t>
            </w:r>
          </w:p>
        </w:tc>
        <w:tc>
          <w:tcPr>
            <w:tcW w:w="706" w:type="dxa"/>
            <w:shd w:val="solid" w:color="FFFFFF" w:fill="auto"/>
          </w:tcPr>
          <w:p w14:paraId="5455E11C" w14:textId="77777777" w:rsidR="00A10B25" w:rsidRDefault="00A10B25">
            <w:pPr>
              <w:pStyle w:val="TAC"/>
              <w:rPr>
                <w:sz w:val="16"/>
                <w:szCs w:val="16"/>
              </w:rPr>
            </w:pPr>
            <w:r>
              <w:rPr>
                <w:sz w:val="16"/>
                <w:szCs w:val="16"/>
              </w:rPr>
              <w:t>16.5.0</w:t>
            </w:r>
          </w:p>
        </w:tc>
      </w:tr>
      <w:tr w:rsidR="00A10B25" w14:paraId="2F6DB856" w14:textId="77777777">
        <w:tc>
          <w:tcPr>
            <w:tcW w:w="796" w:type="dxa"/>
            <w:shd w:val="solid" w:color="FFFFFF" w:fill="auto"/>
          </w:tcPr>
          <w:p w14:paraId="75496CFE"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1CE7400A"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6E908B88" w14:textId="77777777" w:rsidR="00A10B25" w:rsidRDefault="00A10B25">
            <w:pPr>
              <w:pStyle w:val="TAC"/>
              <w:rPr>
                <w:sz w:val="16"/>
                <w:szCs w:val="16"/>
              </w:rPr>
            </w:pPr>
            <w:r>
              <w:rPr>
                <w:sz w:val="16"/>
                <w:szCs w:val="16"/>
              </w:rPr>
              <w:t>CP-202066</w:t>
            </w:r>
          </w:p>
        </w:tc>
        <w:tc>
          <w:tcPr>
            <w:tcW w:w="523" w:type="dxa"/>
            <w:shd w:val="solid" w:color="FFFFFF" w:fill="auto"/>
          </w:tcPr>
          <w:p w14:paraId="3A45E0AF" w14:textId="77777777" w:rsidR="00A10B25" w:rsidRDefault="00A10B25">
            <w:pPr>
              <w:pStyle w:val="TAL"/>
              <w:rPr>
                <w:sz w:val="16"/>
                <w:szCs w:val="16"/>
              </w:rPr>
            </w:pPr>
            <w:r>
              <w:rPr>
                <w:sz w:val="16"/>
                <w:szCs w:val="16"/>
              </w:rPr>
              <w:t>0207</w:t>
            </w:r>
          </w:p>
        </w:tc>
        <w:tc>
          <w:tcPr>
            <w:tcW w:w="423" w:type="dxa"/>
            <w:shd w:val="solid" w:color="FFFFFF" w:fill="auto"/>
          </w:tcPr>
          <w:p w14:paraId="25C97237" w14:textId="77777777" w:rsidR="00A10B25" w:rsidRDefault="00A10B25">
            <w:pPr>
              <w:pStyle w:val="TAR"/>
              <w:rPr>
                <w:sz w:val="16"/>
                <w:szCs w:val="16"/>
              </w:rPr>
            </w:pPr>
            <w:r>
              <w:rPr>
                <w:sz w:val="16"/>
                <w:szCs w:val="16"/>
                <w:lang w:eastAsia="zh-CN"/>
              </w:rPr>
              <w:t>1</w:t>
            </w:r>
          </w:p>
        </w:tc>
        <w:tc>
          <w:tcPr>
            <w:tcW w:w="423" w:type="dxa"/>
            <w:shd w:val="solid" w:color="FFFFFF" w:fill="auto"/>
          </w:tcPr>
          <w:p w14:paraId="3C2F7D40" w14:textId="77777777" w:rsidR="00A10B25" w:rsidRDefault="00A10B25">
            <w:pPr>
              <w:pStyle w:val="TAC"/>
              <w:rPr>
                <w:sz w:val="16"/>
                <w:szCs w:val="16"/>
              </w:rPr>
            </w:pPr>
            <w:r>
              <w:rPr>
                <w:sz w:val="16"/>
                <w:szCs w:val="16"/>
              </w:rPr>
              <w:t>F</w:t>
            </w:r>
          </w:p>
        </w:tc>
        <w:tc>
          <w:tcPr>
            <w:tcW w:w="4899" w:type="dxa"/>
            <w:shd w:val="solid" w:color="FFFFFF" w:fill="auto"/>
          </w:tcPr>
          <w:p w14:paraId="04E4CEDB" w14:textId="77777777" w:rsidR="00A10B25" w:rsidRDefault="00A10B25">
            <w:pPr>
              <w:pStyle w:val="TAL"/>
              <w:rPr>
                <w:sz w:val="16"/>
                <w:szCs w:val="16"/>
              </w:rPr>
            </w:pPr>
            <w:r>
              <w:rPr>
                <w:sz w:val="16"/>
                <w:szCs w:val="16"/>
              </w:rPr>
              <w:t>Matching direction</w:t>
            </w:r>
          </w:p>
        </w:tc>
        <w:tc>
          <w:tcPr>
            <w:tcW w:w="706" w:type="dxa"/>
            <w:shd w:val="solid" w:color="FFFFFF" w:fill="auto"/>
          </w:tcPr>
          <w:p w14:paraId="58E0496D" w14:textId="77777777" w:rsidR="00A10B25" w:rsidRDefault="00A10B25">
            <w:pPr>
              <w:pStyle w:val="TAC"/>
              <w:rPr>
                <w:sz w:val="16"/>
                <w:szCs w:val="16"/>
              </w:rPr>
            </w:pPr>
            <w:r>
              <w:rPr>
                <w:sz w:val="16"/>
                <w:szCs w:val="16"/>
              </w:rPr>
              <w:t>16.5.0</w:t>
            </w:r>
          </w:p>
        </w:tc>
      </w:tr>
      <w:tr w:rsidR="00A10B25" w14:paraId="47477829" w14:textId="77777777">
        <w:tc>
          <w:tcPr>
            <w:tcW w:w="796" w:type="dxa"/>
            <w:shd w:val="solid" w:color="FFFFFF" w:fill="auto"/>
          </w:tcPr>
          <w:p w14:paraId="1F4577A3"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470B6B20"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1C198C56" w14:textId="77777777" w:rsidR="00A10B25" w:rsidRDefault="00A10B25">
            <w:pPr>
              <w:pStyle w:val="TAC"/>
              <w:rPr>
                <w:sz w:val="16"/>
                <w:szCs w:val="16"/>
              </w:rPr>
            </w:pPr>
            <w:r>
              <w:rPr>
                <w:sz w:val="16"/>
                <w:szCs w:val="16"/>
              </w:rPr>
              <w:t>CP-202066</w:t>
            </w:r>
          </w:p>
        </w:tc>
        <w:tc>
          <w:tcPr>
            <w:tcW w:w="523" w:type="dxa"/>
            <w:shd w:val="solid" w:color="FFFFFF" w:fill="auto"/>
          </w:tcPr>
          <w:p w14:paraId="1B296D53" w14:textId="77777777" w:rsidR="00A10B25" w:rsidRDefault="00A10B25">
            <w:pPr>
              <w:pStyle w:val="TAL"/>
              <w:rPr>
                <w:sz w:val="16"/>
                <w:szCs w:val="16"/>
              </w:rPr>
            </w:pPr>
            <w:r>
              <w:rPr>
                <w:sz w:val="16"/>
                <w:szCs w:val="16"/>
              </w:rPr>
              <w:t>0208</w:t>
            </w:r>
          </w:p>
        </w:tc>
        <w:tc>
          <w:tcPr>
            <w:tcW w:w="423" w:type="dxa"/>
            <w:shd w:val="solid" w:color="FFFFFF" w:fill="auto"/>
          </w:tcPr>
          <w:p w14:paraId="1F53D7D4" w14:textId="77777777" w:rsidR="00A10B25" w:rsidRDefault="00A10B25">
            <w:pPr>
              <w:pStyle w:val="TAR"/>
              <w:rPr>
                <w:sz w:val="16"/>
                <w:szCs w:val="16"/>
              </w:rPr>
            </w:pPr>
          </w:p>
        </w:tc>
        <w:tc>
          <w:tcPr>
            <w:tcW w:w="423" w:type="dxa"/>
            <w:shd w:val="solid" w:color="FFFFFF" w:fill="auto"/>
          </w:tcPr>
          <w:p w14:paraId="6E8BAF36" w14:textId="77777777" w:rsidR="00A10B25" w:rsidRDefault="00A10B25">
            <w:pPr>
              <w:pStyle w:val="TAC"/>
              <w:rPr>
                <w:sz w:val="16"/>
                <w:szCs w:val="16"/>
              </w:rPr>
            </w:pPr>
            <w:r>
              <w:rPr>
                <w:sz w:val="16"/>
                <w:szCs w:val="16"/>
              </w:rPr>
              <w:t>F</w:t>
            </w:r>
          </w:p>
        </w:tc>
        <w:tc>
          <w:tcPr>
            <w:tcW w:w="4899" w:type="dxa"/>
            <w:shd w:val="solid" w:color="FFFFFF" w:fill="auto"/>
          </w:tcPr>
          <w:p w14:paraId="7FCDAA97" w14:textId="77777777" w:rsidR="00A10B25" w:rsidRDefault="00A10B25">
            <w:pPr>
              <w:pStyle w:val="TAL"/>
              <w:rPr>
                <w:sz w:val="16"/>
                <w:szCs w:val="16"/>
              </w:rPr>
            </w:pPr>
            <w:r>
              <w:rPr>
                <w:sz w:val="16"/>
                <w:szCs w:val="16"/>
              </w:rPr>
              <w:t>Time when analytics information is needed</w:t>
            </w:r>
          </w:p>
        </w:tc>
        <w:tc>
          <w:tcPr>
            <w:tcW w:w="706" w:type="dxa"/>
            <w:shd w:val="solid" w:color="FFFFFF" w:fill="auto"/>
          </w:tcPr>
          <w:p w14:paraId="10166C5A" w14:textId="77777777" w:rsidR="00A10B25" w:rsidRDefault="00A10B25">
            <w:pPr>
              <w:pStyle w:val="TAC"/>
              <w:rPr>
                <w:sz w:val="16"/>
                <w:szCs w:val="16"/>
              </w:rPr>
            </w:pPr>
            <w:r>
              <w:rPr>
                <w:sz w:val="16"/>
                <w:szCs w:val="16"/>
              </w:rPr>
              <w:t>16.5.0</w:t>
            </w:r>
          </w:p>
        </w:tc>
      </w:tr>
      <w:tr w:rsidR="00A10B25" w14:paraId="6714B2A1" w14:textId="77777777">
        <w:tc>
          <w:tcPr>
            <w:tcW w:w="796" w:type="dxa"/>
            <w:shd w:val="solid" w:color="FFFFFF" w:fill="auto"/>
          </w:tcPr>
          <w:p w14:paraId="1BD990F7"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049B25EE"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4F0AD8E7" w14:textId="77777777" w:rsidR="00A10B25" w:rsidRDefault="00A10B25">
            <w:pPr>
              <w:pStyle w:val="TAC"/>
              <w:rPr>
                <w:sz w:val="16"/>
                <w:szCs w:val="16"/>
              </w:rPr>
            </w:pPr>
            <w:r>
              <w:rPr>
                <w:sz w:val="16"/>
                <w:szCs w:val="16"/>
              </w:rPr>
              <w:t>CP-202066</w:t>
            </w:r>
          </w:p>
        </w:tc>
        <w:tc>
          <w:tcPr>
            <w:tcW w:w="523" w:type="dxa"/>
            <w:shd w:val="solid" w:color="FFFFFF" w:fill="auto"/>
          </w:tcPr>
          <w:p w14:paraId="6E2FEDA8" w14:textId="77777777" w:rsidR="00A10B25" w:rsidRDefault="00A10B25">
            <w:pPr>
              <w:pStyle w:val="TAL"/>
              <w:rPr>
                <w:sz w:val="16"/>
                <w:szCs w:val="16"/>
              </w:rPr>
            </w:pPr>
            <w:r>
              <w:rPr>
                <w:sz w:val="16"/>
                <w:szCs w:val="16"/>
              </w:rPr>
              <w:t>0209</w:t>
            </w:r>
          </w:p>
        </w:tc>
        <w:tc>
          <w:tcPr>
            <w:tcW w:w="423" w:type="dxa"/>
            <w:shd w:val="solid" w:color="FFFFFF" w:fill="auto"/>
          </w:tcPr>
          <w:p w14:paraId="3FBD3AC5" w14:textId="77777777" w:rsidR="00A10B25" w:rsidRDefault="00A10B25">
            <w:pPr>
              <w:pStyle w:val="TAR"/>
              <w:rPr>
                <w:sz w:val="16"/>
                <w:szCs w:val="16"/>
              </w:rPr>
            </w:pPr>
            <w:r>
              <w:rPr>
                <w:sz w:val="16"/>
                <w:szCs w:val="16"/>
                <w:lang w:eastAsia="zh-CN"/>
              </w:rPr>
              <w:t>1</w:t>
            </w:r>
          </w:p>
        </w:tc>
        <w:tc>
          <w:tcPr>
            <w:tcW w:w="423" w:type="dxa"/>
            <w:shd w:val="solid" w:color="FFFFFF" w:fill="auto"/>
          </w:tcPr>
          <w:p w14:paraId="59847167" w14:textId="77777777" w:rsidR="00A10B25" w:rsidRDefault="00A10B25">
            <w:pPr>
              <w:pStyle w:val="TAC"/>
              <w:rPr>
                <w:sz w:val="16"/>
                <w:szCs w:val="16"/>
              </w:rPr>
            </w:pPr>
            <w:r>
              <w:rPr>
                <w:sz w:val="16"/>
                <w:szCs w:val="16"/>
              </w:rPr>
              <w:t>F</w:t>
            </w:r>
          </w:p>
        </w:tc>
        <w:tc>
          <w:tcPr>
            <w:tcW w:w="4899" w:type="dxa"/>
            <w:shd w:val="solid" w:color="FFFFFF" w:fill="auto"/>
          </w:tcPr>
          <w:p w14:paraId="48FF7474" w14:textId="77777777" w:rsidR="00A10B25" w:rsidRDefault="00A10B25">
            <w:pPr>
              <w:pStyle w:val="TAL"/>
              <w:rPr>
                <w:sz w:val="16"/>
                <w:szCs w:val="16"/>
              </w:rPr>
            </w:pPr>
            <w:r>
              <w:rPr>
                <w:sz w:val="16"/>
                <w:szCs w:val="16"/>
              </w:rPr>
              <w:t>Confidence for UE mobility</w:t>
            </w:r>
          </w:p>
        </w:tc>
        <w:tc>
          <w:tcPr>
            <w:tcW w:w="706" w:type="dxa"/>
            <w:shd w:val="solid" w:color="FFFFFF" w:fill="auto"/>
          </w:tcPr>
          <w:p w14:paraId="0B235F89" w14:textId="77777777" w:rsidR="00A10B25" w:rsidRDefault="00A10B25">
            <w:pPr>
              <w:pStyle w:val="TAC"/>
              <w:rPr>
                <w:sz w:val="16"/>
                <w:szCs w:val="16"/>
              </w:rPr>
            </w:pPr>
            <w:r>
              <w:rPr>
                <w:sz w:val="16"/>
                <w:szCs w:val="16"/>
              </w:rPr>
              <w:t>16.5.0</w:t>
            </w:r>
          </w:p>
        </w:tc>
      </w:tr>
      <w:tr w:rsidR="00A10B25" w14:paraId="37C180B2" w14:textId="77777777">
        <w:tc>
          <w:tcPr>
            <w:tcW w:w="796" w:type="dxa"/>
            <w:shd w:val="solid" w:color="FFFFFF" w:fill="auto"/>
          </w:tcPr>
          <w:p w14:paraId="2015BC9B"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7CF15248"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50EE9B67" w14:textId="77777777" w:rsidR="00A10B25" w:rsidRDefault="00A10B25">
            <w:pPr>
              <w:pStyle w:val="TAC"/>
              <w:rPr>
                <w:sz w:val="16"/>
                <w:szCs w:val="16"/>
              </w:rPr>
            </w:pPr>
            <w:r>
              <w:rPr>
                <w:sz w:val="16"/>
                <w:szCs w:val="16"/>
              </w:rPr>
              <w:t>CP-202066</w:t>
            </w:r>
          </w:p>
        </w:tc>
        <w:tc>
          <w:tcPr>
            <w:tcW w:w="523" w:type="dxa"/>
            <w:shd w:val="solid" w:color="FFFFFF" w:fill="auto"/>
          </w:tcPr>
          <w:p w14:paraId="6CCC9302" w14:textId="77777777" w:rsidR="00A10B25" w:rsidRDefault="00A10B25">
            <w:pPr>
              <w:pStyle w:val="TAL"/>
              <w:rPr>
                <w:sz w:val="16"/>
                <w:szCs w:val="16"/>
              </w:rPr>
            </w:pPr>
            <w:r>
              <w:rPr>
                <w:sz w:val="16"/>
                <w:szCs w:val="16"/>
              </w:rPr>
              <w:t>0210</w:t>
            </w:r>
          </w:p>
        </w:tc>
        <w:tc>
          <w:tcPr>
            <w:tcW w:w="423" w:type="dxa"/>
            <w:shd w:val="solid" w:color="FFFFFF" w:fill="auto"/>
          </w:tcPr>
          <w:p w14:paraId="7F30B6B3" w14:textId="77777777" w:rsidR="00A10B25" w:rsidRDefault="00A10B25">
            <w:pPr>
              <w:pStyle w:val="TAR"/>
              <w:rPr>
                <w:sz w:val="16"/>
                <w:szCs w:val="16"/>
              </w:rPr>
            </w:pPr>
          </w:p>
        </w:tc>
        <w:tc>
          <w:tcPr>
            <w:tcW w:w="423" w:type="dxa"/>
            <w:shd w:val="solid" w:color="FFFFFF" w:fill="auto"/>
          </w:tcPr>
          <w:p w14:paraId="0ADDDE5A" w14:textId="77777777" w:rsidR="00A10B25" w:rsidRDefault="00A10B25">
            <w:pPr>
              <w:pStyle w:val="TAC"/>
              <w:rPr>
                <w:sz w:val="16"/>
                <w:szCs w:val="16"/>
              </w:rPr>
            </w:pPr>
            <w:r>
              <w:rPr>
                <w:sz w:val="16"/>
                <w:szCs w:val="16"/>
              </w:rPr>
              <w:t>F</w:t>
            </w:r>
          </w:p>
        </w:tc>
        <w:tc>
          <w:tcPr>
            <w:tcW w:w="4899" w:type="dxa"/>
            <w:shd w:val="solid" w:color="FFFFFF" w:fill="auto"/>
          </w:tcPr>
          <w:p w14:paraId="7CA7D6C4" w14:textId="77777777" w:rsidR="00A10B25" w:rsidRDefault="00A10B25">
            <w:pPr>
              <w:pStyle w:val="TAL"/>
              <w:rPr>
                <w:sz w:val="16"/>
                <w:szCs w:val="16"/>
              </w:rPr>
            </w:pPr>
            <w:r>
              <w:rPr>
                <w:sz w:val="16"/>
                <w:szCs w:val="16"/>
              </w:rPr>
              <w:t>Supported feature in Nnwdaf_AnalyticsInfo API</w:t>
            </w:r>
          </w:p>
        </w:tc>
        <w:tc>
          <w:tcPr>
            <w:tcW w:w="706" w:type="dxa"/>
            <w:shd w:val="solid" w:color="FFFFFF" w:fill="auto"/>
          </w:tcPr>
          <w:p w14:paraId="4DE7269F" w14:textId="77777777" w:rsidR="00A10B25" w:rsidRDefault="00A10B25">
            <w:pPr>
              <w:pStyle w:val="TAC"/>
              <w:rPr>
                <w:sz w:val="16"/>
                <w:szCs w:val="16"/>
              </w:rPr>
            </w:pPr>
            <w:r>
              <w:rPr>
                <w:sz w:val="16"/>
                <w:szCs w:val="16"/>
              </w:rPr>
              <w:t>16.5.0</w:t>
            </w:r>
          </w:p>
        </w:tc>
      </w:tr>
      <w:tr w:rsidR="00A10B25" w14:paraId="2319CF59" w14:textId="77777777">
        <w:tc>
          <w:tcPr>
            <w:tcW w:w="796" w:type="dxa"/>
            <w:shd w:val="solid" w:color="FFFFFF" w:fill="auto"/>
          </w:tcPr>
          <w:p w14:paraId="15730BD3"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79996B5A"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0DB84366" w14:textId="77777777" w:rsidR="00A10B25" w:rsidRDefault="00A10B25">
            <w:pPr>
              <w:pStyle w:val="TAC"/>
              <w:rPr>
                <w:sz w:val="16"/>
                <w:szCs w:val="16"/>
              </w:rPr>
            </w:pPr>
            <w:r>
              <w:rPr>
                <w:sz w:val="16"/>
                <w:szCs w:val="16"/>
              </w:rPr>
              <w:t>CP-202066</w:t>
            </w:r>
          </w:p>
        </w:tc>
        <w:tc>
          <w:tcPr>
            <w:tcW w:w="523" w:type="dxa"/>
            <w:shd w:val="solid" w:color="FFFFFF" w:fill="auto"/>
          </w:tcPr>
          <w:p w14:paraId="70FE6283" w14:textId="77777777" w:rsidR="00A10B25" w:rsidRDefault="00A10B25">
            <w:pPr>
              <w:pStyle w:val="TAL"/>
              <w:rPr>
                <w:sz w:val="16"/>
                <w:szCs w:val="16"/>
              </w:rPr>
            </w:pPr>
            <w:r>
              <w:rPr>
                <w:sz w:val="16"/>
                <w:szCs w:val="16"/>
              </w:rPr>
              <w:t>0211</w:t>
            </w:r>
          </w:p>
        </w:tc>
        <w:tc>
          <w:tcPr>
            <w:tcW w:w="423" w:type="dxa"/>
            <w:shd w:val="solid" w:color="FFFFFF" w:fill="auto"/>
          </w:tcPr>
          <w:p w14:paraId="6A164036" w14:textId="77777777" w:rsidR="00A10B25" w:rsidRDefault="00A10B25">
            <w:pPr>
              <w:pStyle w:val="TAR"/>
              <w:rPr>
                <w:sz w:val="16"/>
                <w:szCs w:val="16"/>
              </w:rPr>
            </w:pPr>
          </w:p>
        </w:tc>
        <w:tc>
          <w:tcPr>
            <w:tcW w:w="423" w:type="dxa"/>
            <w:shd w:val="solid" w:color="FFFFFF" w:fill="auto"/>
          </w:tcPr>
          <w:p w14:paraId="72AA44EF" w14:textId="77777777" w:rsidR="00A10B25" w:rsidRDefault="00A10B25">
            <w:pPr>
              <w:pStyle w:val="TAC"/>
              <w:rPr>
                <w:sz w:val="16"/>
                <w:szCs w:val="16"/>
              </w:rPr>
            </w:pPr>
            <w:r>
              <w:rPr>
                <w:sz w:val="16"/>
                <w:szCs w:val="16"/>
              </w:rPr>
              <w:t>F</w:t>
            </w:r>
          </w:p>
        </w:tc>
        <w:tc>
          <w:tcPr>
            <w:tcW w:w="4899" w:type="dxa"/>
            <w:shd w:val="solid" w:color="FFFFFF" w:fill="auto"/>
          </w:tcPr>
          <w:p w14:paraId="0923858E" w14:textId="77777777" w:rsidR="00A10B25" w:rsidRDefault="00A10B25">
            <w:pPr>
              <w:pStyle w:val="TAL"/>
              <w:rPr>
                <w:sz w:val="16"/>
                <w:szCs w:val="16"/>
              </w:rPr>
            </w:pPr>
            <w:r>
              <w:rPr>
                <w:sz w:val="16"/>
                <w:szCs w:val="16"/>
                <w:lang w:val="en-US" w:eastAsia="zh-CN"/>
              </w:rPr>
              <w:t>Target UE identification</w:t>
            </w:r>
          </w:p>
        </w:tc>
        <w:tc>
          <w:tcPr>
            <w:tcW w:w="706" w:type="dxa"/>
            <w:shd w:val="solid" w:color="FFFFFF" w:fill="auto"/>
          </w:tcPr>
          <w:p w14:paraId="32C74E76" w14:textId="77777777" w:rsidR="00A10B25" w:rsidRDefault="00A10B25">
            <w:pPr>
              <w:pStyle w:val="TAC"/>
              <w:rPr>
                <w:sz w:val="16"/>
                <w:szCs w:val="16"/>
              </w:rPr>
            </w:pPr>
            <w:r>
              <w:rPr>
                <w:sz w:val="16"/>
                <w:szCs w:val="16"/>
              </w:rPr>
              <w:t>16.5.0</w:t>
            </w:r>
          </w:p>
        </w:tc>
      </w:tr>
      <w:tr w:rsidR="00A10B25" w14:paraId="5D82AD8A" w14:textId="77777777">
        <w:tc>
          <w:tcPr>
            <w:tcW w:w="796" w:type="dxa"/>
            <w:shd w:val="solid" w:color="FFFFFF" w:fill="auto"/>
          </w:tcPr>
          <w:p w14:paraId="303451F0"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62383E66"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22BEC392" w14:textId="77777777" w:rsidR="00A10B25" w:rsidRDefault="00A10B25">
            <w:pPr>
              <w:pStyle w:val="TAC"/>
              <w:rPr>
                <w:sz w:val="16"/>
                <w:szCs w:val="16"/>
              </w:rPr>
            </w:pPr>
            <w:r>
              <w:rPr>
                <w:sz w:val="16"/>
                <w:szCs w:val="16"/>
              </w:rPr>
              <w:t>CP-202066</w:t>
            </w:r>
          </w:p>
        </w:tc>
        <w:tc>
          <w:tcPr>
            <w:tcW w:w="523" w:type="dxa"/>
            <w:shd w:val="solid" w:color="FFFFFF" w:fill="auto"/>
          </w:tcPr>
          <w:p w14:paraId="0B617CD4" w14:textId="77777777" w:rsidR="00A10B25" w:rsidRDefault="00A10B25">
            <w:pPr>
              <w:pStyle w:val="TAL"/>
              <w:rPr>
                <w:sz w:val="16"/>
                <w:szCs w:val="16"/>
              </w:rPr>
            </w:pPr>
            <w:r>
              <w:rPr>
                <w:sz w:val="16"/>
                <w:szCs w:val="16"/>
              </w:rPr>
              <w:t>0212</w:t>
            </w:r>
          </w:p>
        </w:tc>
        <w:tc>
          <w:tcPr>
            <w:tcW w:w="423" w:type="dxa"/>
            <w:shd w:val="solid" w:color="FFFFFF" w:fill="auto"/>
          </w:tcPr>
          <w:p w14:paraId="35FE7AC0" w14:textId="77777777" w:rsidR="00A10B25" w:rsidRDefault="00A10B25">
            <w:pPr>
              <w:pStyle w:val="TAR"/>
              <w:rPr>
                <w:sz w:val="16"/>
                <w:szCs w:val="16"/>
              </w:rPr>
            </w:pPr>
          </w:p>
        </w:tc>
        <w:tc>
          <w:tcPr>
            <w:tcW w:w="423" w:type="dxa"/>
            <w:shd w:val="solid" w:color="FFFFFF" w:fill="auto"/>
          </w:tcPr>
          <w:p w14:paraId="7EB7F841" w14:textId="77777777" w:rsidR="00A10B25" w:rsidRDefault="00A10B25">
            <w:pPr>
              <w:pStyle w:val="TAC"/>
              <w:rPr>
                <w:sz w:val="16"/>
                <w:szCs w:val="16"/>
              </w:rPr>
            </w:pPr>
            <w:r>
              <w:rPr>
                <w:sz w:val="16"/>
                <w:szCs w:val="16"/>
              </w:rPr>
              <w:t>F</w:t>
            </w:r>
          </w:p>
        </w:tc>
        <w:tc>
          <w:tcPr>
            <w:tcW w:w="4899" w:type="dxa"/>
            <w:shd w:val="solid" w:color="FFFFFF" w:fill="auto"/>
          </w:tcPr>
          <w:p w14:paraId="72BBD404" w14:textId="77777777" w:rsidR="00A10B25" w:rsidRDefault="00A10B25">
            <w:pPr>
              <w:pStyle w:val="TAL"/>
              <w:rPr>
                <w:sz w:val="16"/>
                <w:szCs w:val="16"/>
              </w:rPr>
            </w:pPr>
            <w:r>
              <w:rPr>
                <w:sz w:val="16"/>
                <w:szCs w:val="16"/>
              </w:rPr>
              <w:t>Correction on NetworkPerfType</w:t>
            </w:r>
          </w:p>
        </w:tc>
        <w:tc>
          <w:tcPr>
            <w:tcW w:w="706" w:type="dxa"/>
            <w:shd w:val="solid" w:color="FFFFFF" w:fill="auto"/>
          </w:tcPr>
          <w:p w14:paraId="2AC187C7" w14:textId="77777777" w:rsidR="00A10B25" w:rsidRDefault="00A10B25">
            <w:pPr>
              <w:pStyle w:val="TAC"/>
              <w:rPr>
                <w:sz w:val="16"/>
                <w:szCs w:val="16"/>
              </w:rPr>
            </w:pPr>
            <w:r>
              <w:rPr>
                <w:sz w:val="16"/>
                <w:szCs w:val="16"/>
              </w:rPr>
              <w:t>16.5.0</w:t>
            </w:r>
          </w:p>
        </w:tc>
      </w:tr>
      <w:tr w:rsidR="00A10B25" w14:paraId="1338B67D" w14:textId="77777777">
        <w:tc>
          <w:tcPr>
            <w:tcW w:w="796" w:type="dxa"/>
            <w:shd w:val="solid" w:color="FFFFFF" w:fill="auto"/>
          </w:tcPr>
          <w:p w14:paraId="79487593"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6BD37E90"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2BAB4563" w14:textId="77777777" w:rsidR="00A10B25" w:rsidRDefault="00A10B25">
            <w:pPr>
              <w:pStyle w:val="TAC"/>
              <w:rPr>
                <w:sz w:val="16"/>
                <w:szCs w:val="16"/>
              </w:rPr>
            </w:pPr>
            <w:r>
              <w:rPr>
                <w:sz w:val="16"/>
                <w:szCs w:val="16"/>
              </w:rPr>
              <w:t>CP-202066</w:t>
            </w:r>
          </w:p>
        </w:tc>
        <w:tc>
          <w:tcPr>
            <w:tcW w:w="523" w:type="dxa"/>
            <w:shd w:val="solid" w:color="FFFFFF" w:fill="auto"/>
          </w:tcPr>
          <w:p w14:paraId="6491B02B" w14:textId="77777777" w:rsidR="00A10B25" w:rsidRDefault="00A10B25">
            <w:pPr>
              <w:pStyle w:val="TAL"/>
              <w:rPr>
                <w:sz w:val="16"/>
                <w:szCs w:val="16"/>
              </w:rPr>
            </w:pPr>
            <w:r>
              <w:rPr>
                <w:sz w:val="16"/>
                <w:szCs w:val="16"/>
              </w:rPr>
              <w:t>0214</w:t>
            </w:r>
          </w:p>
        </w:tc>
        <w:tc>
          <w:tcPr>
            <w:tcW w:w="423" w:type="dxa"/>
            <w:shd w:val="solid" w:color="FFFFFF" w:fill="auto"/>
          </w:tcPr>
          <w:p w14:paraId="44204D38" w14:textId="77777777" w:rsidR="00A10B25" w:rsidRDefault="00A10B25">
            <w:pPr>
              <w:pStyle w:val="TAR"/>
              <w:rPr>
                <w:sz w:val="16"/>
                <w:szCs w:val="16"/>
              </w:rPr>
            </w:pPr>
          </w:p>
        </w:tc>
        <w:tc>
          <w:tcPr>
            <w:tcW w:w="423" w:type="dxa"/>
            <w:shd w:val="solid" w:color="FFFFFF" w:fill="auto"/>
          </w:tcPr>
          <w:p w14:paraId="263F30E4" w14:textId="77777777" w:rsidR="00A10B25" w:rsidRDefault="00A10B25">
            <w:pPr>
              <w:pStyle w:val="TAC"/>
              <w:rPr>
                <w:sz w:val="16"/>
                <w:szCs w:val="16"/>
              </w:rPr>
            </w:pPr>
            <w:r>
              <w:rPr>
                <w:sz w:val="16"/>
                <w:szCs w:val="16"/>
              </w:rPr>
              <w:t>F</w:t>
            </w:r>
          </w:p>
        </w:tc>
        <w:tc>
          <w:tcPr>
            <w:tcW w:w="4899" w:type="dxa"/>
            <w:shd w:val="solid" w:color="FFFFFF" w:fill="auto"/>
          </w:tcPr>
          <w:p w14:paraId="6143629C" w14:textId="77777777" w:rsidR="00A10B25" w:rsidRDefault="00A10B25">
            <w:pPr>
              <w:pStyle w:val="TAL"/>
              <w:rPr>
                <w:sz w:val="16"/>
                <w:szCs w:val="16"/>
              </w:rPr>
            </w:pPr>
            <w:r>
              <w:rPr>
                <w:sz w:val="16"/>
                <w:szCs w:val="16"/>
              </w:rPr>
              <w:t>Corrections on appIds and dnns</w:t>
            </w:r>
          </w:p>
        </w:tc>
        <w:tc>
          <w:tcPr>
            <w:tcW w:w="706" w:type="dxa"/>
            <w:shd w:val="solid" w:color="FFFFFF" w:fill="auto"/>
          </w:tcPr>
          <w:p w14:paraId="712AD4F5" w14:textId="77777777" w:rsidR="00A10B25" w:rsidRDefault="00A10B25">
            <w:pPr>
              <w:pStyle w:val="TAC"/>
              <w:rPr>
                <w:sz w:val="16"/>
                <w:szCs w:val="16"/>
              </w:rPr>
            </w:pPr>
            <w:r>
              <w:rPr>
                <w:sz w:val="16"/>
                <w:szCs w:val="16"/>
              </w:rPr>
              <w:t>16.5.0</w:t>
            </w:r>
          </w:p>
        </w:tc>
      </w:tr>
      <w:tr w:rsidR="00A10B25" w14:paraId="7B735F1B" w14:textId="77777777">
        <w:tc>
          <w:tcPr>
            <w:tcW w:w="796" w:type="dxa"/>
            <w:shd w:val="solid" w:color="FFFFFF" w:fill="auto"/>
          </w:tcPr>
          <w:p w14:paraId="01BD9A14"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61CC9B60"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01718EDE" w14:textId="77777777" w:rsidR="00A10B25" w:rsidRDefault="00A10B25">
            <w:pPr>
              <w:pStyle w:val="TAC"/>
              <w:rPr>
                <w:sz w:val="16"/>
                <w:szCs w:val="16"/>
              </w:rPr>
            </w:pPr>
            <w:r>
              <w:rPr>
                <w:sz w:val="16"/>
                <w:szCs w:val="16"/>
              </w:rPr>
              <w:t>CP-202066</w:t>
            </w:r>
          </w:p>
        </w:tc>
        <w:tc>
          <w:tcPr>
            <w:tcW w:w="523" w:type="dxa"/>
            <w:shd w:val="solid" w:color="FFFFFF" w:fill="auto"/>
          </w:tcPr>
          <w:p w14:paraId="7C828EB8" w14:textId="77777777" w:rsidR="00A10B25" w:rsidRDefault="00A10B25">
            <w:pPr>
              <w:pStyle w:val="TAL"/>
              <w:rPr>
                <w:sz w:val="16"/>
                <w:szCs w:val="16"/>
              </w:rPr>
            </w:pPr>
            <w:r>
              <w:rPr>
                <w:sz w:val="16"/>
                <w:szCs w:val="16"/>
              </w:rPr>
              <w:t>0215</w:t>
            </w:r>
          </w:p>
        </w:tc>
        <w:tc>
          <w:tcPr>
            <w:tcW w:w="423" w:type="dxa"/>
            <w:shd w:val="solid" w:color="FFFFFF" w:fill="auto"/>
          </w:tcPr>
          <w:p w14:paraId="37AA3244" w14:textId="77777777" w:rsidR="00A10B25" w:rsidRDefault="00A10B25">
            <w:pPr>
              <w:pStyle w:val="TAR"/>
              <w:rPr>
                <w:sz w:val="16"/>
                <w:szCs w:val="16"/>
              </w:rPr>
            </w:pPr>
            <w:r>
              <w:rPr>
                <w:sz w:val="16"/>
                <w:szCs w:val="16"/>
                <w:lang w:eastAsia="zh-CN"/>
              </w:rPr>
              <w:t>1</w:t>
            </w:r>
          </w:p>
        </w:tc>
        <w:tc>
          <w:tcPr>
            <w:tcW w:w="423" w:type="dxa"/>
            <w:shd w:val="solid" w:color="FFFFFF" w:fill="auto"/>
          </w:tcPr>
          <w:p w14:paraId="17571EAA" w14:textId="77777777" w:rsidR="00A10B25" w:rsidRDefault="00A10B25">
            <w:pPr>
              <w:pStyle w:val="TAC"/>
              <w:rPr>
                <w:sz w:val="16"/>
                <w:szCs w:val="16"/>
              </w:rPr>
            </w:pPr>
            <w:r>
              <w:rPr>
                <w:sz w:val="16"/>
                <w:szCs w:val="16"/>
              </w:rPr>
              <w:t>F</w:t>
            </w:r>
          </w:p>
        </w:tc>
        <w:tc>
          <w:tcPr>
            <w:tcW w:w="4899" w:type="dxa"/>
            <w:shd w:val="solid" w:color="FFFFFF" w:fill="auto"/>
          </w:tcPr>
          <w:p w14:paraId="04402FEF" w14:textId="77777777" w:rsidR="00A10B25" w:rsidRDefault="00A10B25">
            <w:pPr>
              <w:pStyle w:val="TAL"/>
              <w:rPr>
                <w:sz w:val="16"/>
                <w:szCs w:val="16"/>
              </w:rPr>
            </w:pPr>
            <w:r>
              <w:rPr>
                <w:sz w:val="16"/>
                <w:szCs w:val="16"/>
              </w:rPr>
              <w:t>Corrections to networkArea with anyUE</w:t>
            </w:r>
          </w:p>
        </w:tc>
        <w:tc>
          <w:tcPr>
            <w:tcW w:w="706" w:type="dxa"/>
            <w:shd w:val="solid" w:color="FFFFFF" w:fill="auto"/>
          </w:tcPr>
          <w:p w14:paraId="2D7BA4F0" w14:textId="77777777" w:rsidR="00A10B25" w:rsidRDefault="00A10B25">
            <w:pPr>
              <w:pStyle w:val="TAC"/>
              <w:rPr>
                <w:sz w:val="16"/>
                <w:szCs w:val="16"/>
              </w:rPr>
            </w:pPr>
            <w:r>
              <w:rPr>
                <w:sz w:val="16"/>
                <w:szCs w:val="16"/>
              </w:rPr>
              <w:t>16.5.0</w:t>
            </w:r>
          </w:p>
        </w:tc>
      </w:tr>
      <w:tr w:rsidR="00A10B25" w14:paraId="7A1B39EF" w14:textId="77777777">
        <w:tc>
          <w:tcPr>
            <w:tcW w:w="796" w:type="dxa"/>
            <w:shd w:val="solid" w:color="FFFFFF" w:fill="auto"/>
          </w:tcPr>
          <w:p w14:paraId="1414796F"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70835D14"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7A96CC96" w14:textId="77777777" w:rsidR="00A10B25" w:rsidRDefault="00A10B25">
            <w:pPr>
              <w:pStyle w:val="TAC"/>
              <w:rPr>
                <w:sz w:val="16"/>
                <w:szCs w:val="16"/>
              </w:rPr>
            </w:pPr>
            <w:r>
              <w:rPr>
                <w:sz w:val="16"/>
                <w:szCs w:val="16"/>
              </w:rPr>
              <w:t>CP-202066</w:t>
            </w:r>
          </w:p>
        </w:tc>
        <w:tc>
          <w:tcPr>
            <w:tcW w:w="523" w:type="dxa"/>
            <w:shd w:val="solid" w:color="FFFFFF" w:fill="auto"/>
          </w:tcPr>
          <w:p w14:paraId="06338E4E" w14:textId="77777777" w:rsidR="00A10B25" w:rsidRDefault="00A10B25">
            <w:pPr>
              <w:pStyle w:val="TAL"/>
              <w:rPr>
                <w:sz w:val="16"/>
                <w:szCs w:val="16"/>
              </w:rPr>
            </w:pPr>
            <w:r>
              <w:rPr>
                <w:sz w:val="16"/>
                <w:szCs w:val="16"/>
              </w:rPr>
              <w:t>0216</w:t>
            </w:r>
          </w:p>
        </w:tc>
        <w:tc>
          <w:tcPr>
            <w:tcW w:w="423" w:type="dxa"/>
            <w:shd w:val="solid" w:color="FFFFFF" w:fill="auto"/>
          </w:tcPr>
          <w:p w14:paraId="02E70AE6" w14:textId="77777777" w:rsidR="00A10B25" w:rsidRDefault="00A10B25">
            <w:pPr>
              <w:pStyle w:val="TAR"/>
              <w:rPr>
                <w:sz w:val="16"/>
                <w:szCs w:val="16"/>
              </w:rPr>
            </w:pPr>
            <w:r>
              <w:rPr>
                <w:sz w:val="16"/>
                <w:szCs w:val="16"/>
                <w:lang w:eastAsia="zh-CN"/>
              </w:rPr>
              <w:t>1</w:t>
            </w:r>
          </w:p>
        </w:tc>
        <w:tc>
          <w:tcPr>
            <w:tcW w:w="423" w:type="dxa"/>
            <w:shd w:val="solid" w:color="FFFFFF" w:fill="auto"/>
          </w:tcPr>
          <w:p w14:paraId="7499D4BF" w14:textId="77777777" w:rsidR="00A10B25" w:rsidRDefault="00A10B25">
            <w:pPr>
              <w:pStyle w:val="TAC"/>
              <w:rPr>
                <w:sz w:val="16"/>
                <w:szCs w:val="16"/>
              </w:rPr>
            </w:pPr>
            <w:r>
              <w:rPr>
                <w:sz w:val="16"/>
                <w:szCs w:val="16"/>
              </w:rPr>
              <w:t>F</w:t>
            </w:r>
          </w:p>
        </w:tc>
        <w:tc>
          <w:tcPr>
            <w:tcW w:w="4899" w:type="dxa"/>
            <w:shd w:val="solid" w:color="FFFFFF" w:fill="auto"/>
          </w:tcPr>
          <w:p w14:paraId="4C839042" w14:textId="77777777" w:rsidR="00A10B25" w:rsidRDefault="00A10B25">
            <w:pPr>
              <w:pStyle w:val="TAL"/>
              <w:rPr>
                <w:sz w:val="16"/>
                <w:szCs w:val="16"/>
              </w:rPr>
            </w:pPr>
            <w:r>
              <w:rPr>
                <w:bCs/>
                <w:sz w:val="16"/>
                <w:szCs w:val="16"/>
                <w:lang w:val="en-US" w:eastAsia="zh-CN"/>
              </w:rPr>
              <w:t>Corrections to abnormal behaviour for any UE</w:t>
            </w:r>
          </w:p>
        </w:tc>
        <w:tc>
          <w:tcPr>
            <w:tcW w:w="706" w:type="dxa"/>
            <w:shd w:val="solid" w:color="FFFFFF" w:fill="auto"/>
          </w:tcPr>
          <w:p w14:paraId="6E4221E5" w14:textId="77777777" w:rsidR="00A10B25" w:rsidRDefault="00A10B25">
            <w:pPr>
              <w:pStyle w:val="TAC"/>
              <w:rPr>
                <w:sz w:val="16"/>
                <w:szCs w:val="16"/>
              </w:rPr>
            </w:pPr>
            <w:r>
              <w:rPr>
                <w:sz w:val="16"/>
                <w:szCs w:val="16"/>
              </w:rPr>
              <w:t>16.5.0</w:t>
            </w:r>
          </w:p>
        </w:tc>
      </w:tr>
      <w:tr w:rsidR="00A10B25" w14:paraId="2E98FB69" w14:textId="77777777">
        <w:tc>
          <w:tcPr>
            <w:tcW w:w="796" w:type="dxa"/>
            <w:shd w:val="solid" w:color="FFFFFF" w:fill="auto"/>
          </w:tcPr>
          <w:p w14:paraId="018A8DD3"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3B6F7ED7"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3F61D7DF" w14:textId="77777777" w:rsidR="00A10B25" w:rsidRDefault="00A10B25">
            <w:pPr>
              <w:pStyle w:val="TAC"/>
              <w:rPr>
                <w:sz w:val="16"/>
                <w:szCs w:val="16"/>
              </w:rPr>
            </w:pPr>
            <w:r>
              <w:rPr>
                <w:sz w:val="16"/>
                <w:szCs w:val="16"/>
              </w:rPr>
              <w:t>CP-202054</w:t>
            </w:r>
          </w:p>
        </w:tc>
        <w:tc>
          <w:tcPr>
            <w:tcW w:w="523" w:type="dxa"/>
            <w:shd w:val="solid" w:color="FFFFFF" w:fill="auto"/>
          </w:tcPr>
          <w:p w14:paraId="27A35C2E" w14:textId="77777777" w:rsidR="00A10B25" w:rsidRDefault="00A10B25">
            <w:pPr>
              <w:pStyle w:val="TAL"/>
              <w:rPr>
                <w:sz w:val="16"/>
                <w:szCs w:val="16"/>
              </w:rPr>
            </w:pPr>
            <w:r>
              <w:rPr>
                <w:sz w:val="16"/>
                <w:szCs w:val="16"/>
              </w:rPr>
              <w:t>0218</w:t>
            </w:r>
          </w:p>
        </w:tc>
        <w:tc>
          <w:tcPr>
            <w:tcW w:w="423" w:type="dxa"/>
            <w:shd w:val="solid" w:color="FFFFFF" w:fill="auto"/>
          </w:tcPr>
          <w:p w14:paraId="41142634" w14:textId="77777777" w:rsidR="00A10B25" w:rsidRDefault="00A10B25">
            <w:pPr>
              <w:pStyle w:val="TAR"/>
              <w:rPr>
                <w:sz w:val="16"/>
                <w:szCs w:val="16"/>
              </w:rPr>
            </w:pPr>
          </w:p>
        </w:tc>
        <w:tc>
          <w:tcPr>
            <w:tcW w:w="423" w:type="dxa"/>
            <w:shd w:val="solid" w:color="FFFFFF" w:fill="auto"/>
          </w:tcPr>
          <w:p w14:paraId="3D0A7C65" w14:textId="77777777" w:rsidR="00A10B25" w:rsidRDefault="00A10B25">
            <w:pPr>
              <w:pStyle w:val="TAC"/>
              <w:rPr>
                <w:sz w:val="16"/>
                <w:szCs w:val="16"/>
              </w:rPr>
            </w:pPr>
            <w:r>
              <w:rPr>
                <w:sz w:val="16"/>
                <w:szCs w:val="16"/>
              </w:rPr>
              <w:t>A</w:t>
            </w:r>
          </w:p>
        </w:tc>
        <w:tc>
          <w:tcPr>
            <w:tcW w:w="4899" w:type="dxa"/>
            <w:shd w:val="solid" w:color="FFFFFF" w:fill="auto"/>
          </w:tcPr>
          <w:p w14:paraId="565310EC" w14:textId="77777777" w:rsidR="00A10B25" w:rsidRDefault="00A10B25">
            <w:pPr>
              <w:pStyle w:val="TAL"/>
              <w:rPr>
                <w:sz w:val="16"/>
                <w:szCs w:val="16"/>
              </w:rPr>
            </w:pPr>
            <w:r>
              <w:rPr>
                <w:sz w:val="16"/>
                <w:szCs w:val="16"/>
              </w:rPr>
              <w:t>ResourceURI correction during subscription update</w:t>
            </w:r>
          </w:p>
        </w:tc>
        <w:tc>
          <w:tcPr>
            <w:tcW w:w="706" w:type="dxa"/>
            <w:shd w:val="solid" w:color="FFFFFF" w:fill="auto"/>
          </w:tcPr>
          <w:p w14:paraId="4BBD0C98" w14:textId="77777777" w:rsidR="00A10B25" w:rsidRDefault="00A10B25">
            <w:pPr>
              <w:pStyle w:val="TAC"/>
              <w:rPr>
                <w:sz w:val="16"/>
                <w:szCs w:val="16"/>
              </w:rPr>
            </w:pPr>
            <w:r>
              <w:rPr>
                <w:sz w:val="16"/>
                <w:szCs w:val="16"/>
              </w:rPr>
              <w:t>16.5.0</w:t>
            </w:r>
          </w:p>
        </w:tc>
      </w:tr>
      <w:tr w:rsidR="00A10B25" w14:paraId="31272A3F" w14:textId="77777777">
        <w:tc>
          <w:tcPr>
            <w:tcW w:w="796" w:type="dxa"/>
            <w:shd w:val="solid" w:color="FFFFFF" w:fill="auto"/>
          </w:tcPr>
          <w:p w14:paraId="3DF1BCF7"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7DEB370E"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43AC006F" w14:textId="77777777" w:rsidR="00A10B25" w:rsidRDefault="00A10B25">
            <w:pPr>
              <w:pStyle w:val="TAC"/>
              <w:rPr>
                <w:sz w:val="16"/>
                <w:szCs w:val="16"/>
              </w:rPr>
            </w:pPr>
            <w:r>
              <w:rPr>
                <w:sz w:val="16"/>
                <w:szCs w:val="16"/>
              </w:rPr>
              <w:t>CP-202084</w:t>
            </w:r>
          </w:p>
        </w:tc>
        <w:tc>
          <w:tcPr>
            <w:tcW w:w="523" w:type="dxa"/>
            <w:shd w:val="solid" w:color="FFFFFF" w:fill="auto"/>
          </w:tcPr>
          <w:p w14:paraId="38996EFA" w14:textId="77777777" w:rsidR="00A10B25" w:rsidRDefault="00A10B25">
            <w:pPr>
              <w:pStyle w:val="TAL"/>
              <w:rPr>
                <w:sz w:val="16"/>
                <w:szCs w:val="16"/>
              </w:rPr>
            </w:pPr>
            <w:r>
              <w:rPr>
                <w:sz w:val="16"/>
                <w:szCs w:val="16"/>
              </w:rPr>
              <w:t>0221</w:t>
            </w:r>
          </w:p>
        </w:tc>
        <w:tc>
          <w:tcPr>
            <w:tcW w:w="423" w:type="dxa"/>
            <w:shd w:val="solid" w:color="FFFFFF" w:fill="auto"/>
          </w:tcPr>
          <w:p w14:paraId="71433FB0" w14:textId="77777777" w:rsidR="00A10B25" w:rsidRDefault="00A10B25">
            <w:pPr>
              <w:pStyle w:val="TAR"/>
              <w:rPr>
                <w:sz w:val="16"/>
                <w:szCs w:val="16"/>
              </w:rPr>
            </w:pPr>
            <w:r>
              <w:rPr>
                <w:sz w:val="16"/>
                <w:szCs w:val="16"/>
                <w:lang w:eastAsia="zh-CN"/>
              </w:rPr>
              <w:t>1</w:t>
            </w:r>
          </w:p>
        </w:tc>
        <w:tc>
          <w:tcPr>
            <w:tcW w:w="423" w:type="dxa"/>
            <w:shd w:val="solid" w:color="FFFFFF" w:fill="auto"/>
          </w:tcPr>
          <w:p w14:paraId="3BEF3F18" w14:textId="77777777" w:rsidR="00A10B25" w:rsidRDefault="00A10B25">
            <w:pPr>
              <w:pStyle w:val="TAC"/>
              <w:rPr>
                <w:sz w:val="16"/>
                <w:szCs w:val="16"/>
              </w:rPr>
            </w:pPr>
            <w:r>
              <w:rPr>
                <w:sz w:val="16"/>
                <w:szCs w:val="16"/>
              </w:rPr>
              <w:t>F</w:t>
            </w:r>
          </w:p>
        </w:tc>
        <w:tc>
          <w:tcPr>
            <w:tcW w:w="4899" w:type="dxa"/>
            <w:shd w:val="solid" w:color="FFFFFF" w:fill="auto"/>
          </w:tcPr>
          <w:p w14:paraId="645454CE" w14:textId="77777777" w:rsidR="00A10B25" w:rsidRDefault="00A10B25">
            <w:pPr>
              <w:pStyle w:val="TAL"/>
              <w:rPr>
                <w:sz w:val="16"/>
                <w:szCs w:val="16"/>
              </w:rPr>
            </w:pPr>
            <w:r>
              <w:rPr>
                <w:sz w:val="16"/>
                <w:szCs w:val="16"/>
              </w:rPr>
              <w:t>Update of OpenAPI version and TS version in externalDocs field</w:t>
            </w:r>
          </w:p>
        </w:tc>
        <w:tc>
          <w:tcPr>
            <w:tcW w:w="706" w:type="dxa"/>
            <w:shd w:val="solid" w:color="FFFFFF" w:fill="auto"/>
          </w:tcPr>
          <w:p w14:paraId="124661EB" w14:textId="77777777" w:rsidR="00A10B25" w:rsidRDefault="00A10B25">
            <w:pPr>
              <w:pStyle w:val="TAC"/>
              <w:rPr>
                <w:sz w:val="16"/>
                <w:szCs w:val="16"/>
              </w:rPr>
            </w:pPr>
            <w:r>
              <w:rPr>
                <w:sz w:val="16"/>
                <w:szCs w:val="16"/>
              </w:rPr>
              <w:t>16.5.0</w:t>
            </w:r>
          </w:p>
        </w:tc>
      </w:tr>
      <w:tr w:rsidR="00A10B25" w14:paraId="537230D8" w14:textId="77777777">
        <w:tc>
          <w:tcPr>
            <w:tcW w:w="796" w:type="dxa"/>
            <w:shd w:val="solid" w:color="FFFFFF" w:fill="auto"/>
          </w:tcPr>
          <w:p w14:paraId="468C7D5E"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16B247C2"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50779154" w14:textId="77777777" w:rsidR="00A10B25" w:rsidRDefault="00A10B25">
            <w:pPr>
              <w:pStyle w:val="TAC"/>
              <w:rPr>
                <w:sz w:val="16"/>
                <w:szCs w:val="16"/>
              </w:rPr>
            </w:pPr>
            <w:r>
              <w:rPr>
                <w:sz w:val="16"/>
                <w:szCs w:val="16"/>
              </w:rPr>
              <w:t>CP-202073</w:t>
            </w:r>
          </w:p>
        </w:tc>
        <w:tc>
          <w:tcPr>
            <w:tcW w:w="523" w:type="dxa"/>
            <w:shd w:val="solid" w:color="FFFFFF" w:fill="auto"/>
          </w:tcPr>
          <w:p w14:paraId="160F11AB" w14:textId="77777777" w:rsidR="00A10B25" w:rsidRDefault="00A10B25">
            <w:pPr>
              <w:pStyle w:val="TAL"/>
              <w:rPr>
                <w:sz w:val="16"/>
                <w:szCs w:val="16"/>
              </w:rPr>
            </w:pPr>
            <w:r>
              <w:rPr>
                <w:sz w:val="16"/>
                <w:szCs w:val="16"/>
              </w:rPr>
              <w:t>0198</w:t>
            </w:r>
          </w:p>
        </w:tc>
        <w:tc>
          <w:tcPr>
            <w:tcW w:w="423" w:type="dxa"/>
            <w:shd w:val="solid" w:color="FFFFFF" w:fill="auto"/>
          </w:tcPr>
          <w:p w14:paraId="5B2591E7" w14:textId="77777777" w:rsidR="00A10B25" w:rsidRDefault="00A10B25">
            <w:pPr>
              <w:pStyle w:val="TAR"/>
              <w:rPr>
                <w:sz w:val="16"/>
                <w:szCs w:val="16"/>
              </w:rPr>
            </w:pPr>
          </w:p>
        </w:tc>
        <w:tc>
          <w:tcPr>
            <w:tcW w:w="423" w:type="dxa"/>
            <w:shd w:val="solid" w:color="FFFFFF" w:fill="auto"/>
          </w:tcPr>
          <w:p w14:paraId="4B5B4161" w14:textId="77777777" w:rsidR="00A10B25" w:rsidRDefault="00A10B25">
            <w:pPr>
              <w:pStyle w:val="TAC"/>
              <w:rPr>
                <w:sz w:val="16"/>
                <w:szCs w:val="16"/>
              </w:rPr>
            </w:pPr>
            <w:r>
              <w:rPr>
                <w:sz w:val="16"/>
                <w:szCs w:val="16"/>
              </w:rPr>
              <w:t>F</w:t>
            </w:r>
          </w:p>
        </w:tc>
        <w:tc>
          <w:tcPr>
            <w:tcW w:w="4899" w:type="dxa"/>
            <w:shd w:val="solid" w:color="FFFFFF" w:fill="auto"/>
          </w:tcPr>
          <w:p w14:paraId="06E806C0" w14:textId="77777777" w:rsidR="00A10B25" w:rsidRDefault="00A10B25">
            <w:pPr>
              <w:pStyle w:val="TAL"/>
              <w:rPr>
                <w:sz w:val="16"/>
                <w:szCs w:val="16"/>
              </w:rPr>
            </w:pPr>
            <w:r>
              <w:rPr>
                <w:sz w:val="16"/>
                <w:szCs w:val="16"/>
              </w:rPr>
              <w:t>Reference to enumeration Accuracy</w:t>
            </w:r>
          </w:p>
        </w:tc>
        <w:tc>
          <w:tcPr>
            <w:tcW w:w="706" w:type="dxa"/>
            <w:shd w:val="solid" w:color="FFFFFF" w:fill="auto"/>
          </w:tcPr>
          <w:p w14:paraId="0E57A56E" w14:textId="77777777" w:rsidR="00A10B25" w:rsidRDefault="00A10B25">
            <w:pPr>
              <w:pStyle w:val="TAC"/>
              <w:rPr>
                <w:sz w:val="16"/>
                <w:szCs w:val="16"/>
              </w:rPr>
            </w:pPr>
            <w:r>
              <w:rPr>
                <w:sz w:val="16"/>
                <w:szCs w:val="16"/>
              </w:rPr>
              <w:t>17.0.0</w:t>
            </w:r>
          </w:p>
        </w:tc>
      </w:tr>
      <w:tr w:rsidR="00A10B25" w14:paraId="13372617" w14:textId="77777777">
        <w:tc>
          <w:tcPr>
            <w:tcW w:w="796" w:type="dxa"/>
            <w:shd w:val="solid" w:color="FFFFFF" w:fill="auto"/>
          </w:tcPr>
          <w:p w14:paraId="5EC8BE09" w14:textId="77777777" w:rsidR="00A10B25" w:rsidRDefault="00A10B25">
            <w:pPr>
              <w:pStyle w:val="TAC"/>
              <w:rPr>
                <w:sz w:val="16"/>
                <w:szCs w:val="16"/>
              </w:rPr>
            </w:pPr>
            <w:r>
              <w:rPr>
                <w:sz w:val="16"/>
                <w:szCs w:val="16"/>
                <w:lang w:val="en-US" w:eastAsia="zh-CN"/>
              </w:rPr>
              <w:t>2020-09</w:t>
            </w:r>
          </w:p>
        </w:tc>
        <w:tc>
          <w:tcPr>
            <w:tcW w:w="828" w:type="dxa"/>
            <w:shd w:val="solid" w:color="FFFFFF" w:fill="auto"/>
          </w:tcPr>
          <w:p w14:paraId="562F4ADE" w14:textId="77777777" w:rsidR="00A10B25" w:rsidRDefault="00A10B25">
            <w:pPr>
              <w:pStyle w:val="TAC"/>
              <w:rPr>
                <w:sz w:val="16"/>
                <w:szCs w:val="16"/>
              </w:rPr>
            </w:pPr>
            <w:r>
              <w:rPr>
                <w:sz w:val="16"/>
                <w:szCs w:val="16"/>
                <w:lang w:val="en-US" w:eastAsia="zh-CN"/>
              </w:rPr>
              <w:t>CT#89e</w:t>
            </w:r>
          </w:p>
        </w:tc>
        <w:tc>
          <w:tcPr>
            <w:tcW w:w="1083" w:type="dxa"/>
            <w:shd w:val="solid" w:color="FFFFFF" w:fill="auto"/>
          </w:tcPr>
          <w:p w14:paraId="6F57FA31" w14:textId="77777777" w:rsidR="00A10B25" w:rsidRDefault="00A10B25">
            <w:pPr>
              <w:pStyle w:val="TAC"/>
              <w:rPr>
                <w:sz w:val="16"/>
                <w:szCs w:val="16"/>
              </w:rPr>
            </w:pPr>
            <w:r>
              <w:rPr>
                <w:sz w:val="16"/>
                <w:szCs w:val="16"/>
              </w:rPr>
              <w:t>CP-202085</w:t>
            </w:r>
          </w:p>
        </w:tc>
        <w:tc>
          <w:tcPr>
            <w:tcW w:w="523" w:type="dxa"/>
            <w:shd w:val="solid" w:color="FFFFFF" w:fill="auto"/>
          </w:tcPr>
          <w:p w14:paraId="1D2617F3" w14:textId="77777777" w:rsidR="00A10B25" w:rsidRDefault="00A10B25">
            <w:pPr>
              <w:pStyle w:val="TAL"/>
              <w:rPr>
                <w:sz w:val="16"/>
                <w:szCs w:val="16"/>
              </w:rPr>
            </w:pPr>
            <w:r>
              <w:rPr>
                <w:sz w:val="16"/>
                <w:szCs w:val="16"/>
              </w:rPr>
              <w:t>0220</w:t>
            </w:r>
          </w:p>
        </w:tc>
        <w:tc>
          <w:tcPr>
            <w:tcW w:w="423" w:type="dxa"/>
            <w:shd w:val="solid" w:color="FFFFFF" w:fill="auto"/>
          </w:tcPr>
          <w:p w14:paraId="5971795A" w14:textId="77777777" w:rsidR="00A10B25" w:rsidRDefault="00A10B25">
            <w:pPr>
              <w:pStyle w:val="TAR"/>
              <w:rPr>
                <w:sz w:val="16"/>
                <w:szCs w:val="16"/>
              </w:rPr>
            </w:pPr>
            <w:r>
              <w:rPr>
                <w:sz w:val="16"/>
                <w:szCs w:val="16"/>
                <w:lang w:eastAsia="zh-CN"/>
              </w:rPr>
              <w:t>1</w:t>
            </w:r>
          </w:p>
        </w:tc>
        <w:tc>
          <w:tcPr>
            <w:tcW w:w="423" w:type="dxa"/>
            <w:shd w:val="solid" w:color="FFFFFF" w:fill="auto"/>
          </w:tcPr>
          <w:p w14:paraId="714954BF" w14:textId="77777777" w:rsidR="00A10B25" w:rsidRDefault="00A10B25">
            <w:pPr>
              <w:pStyle w:val="TAC"/>
              <w:rPr>
                <w:sz w:val="16"/>
                <w:szCs w:val="16"/>
              </w:rPr>
            </w:pPr>
            <w:r>
              <w:rPr>
                <w:sz w:val="16"/>
                <w:szCs w:val="16"/>
              </w:rPr>
              <w:t>F</w:t>
            </w:r>
          </w:p>
        </w:tc>
        <w:tc>
          <w:tcPr>
            <w:tcW w:w="4899" w:type="dxa"/>
            <w:shd w:val="solid" w:color="FFFFFF" w:fill="auto"/>
          </w:tcPr>
          <w:p w14:paraId="25452889" w14:textId="77777777" w:rsidR="00A10B25" w:rsidRDefault="00A10B25">
            <w:pPr>
              <w:pStyle w:val="TAL"/>
              <w:rPr>
                <w:sz w:val="16"/>
                <w:szCs w:val="16"/>
              </w:rPr>
            </w:pPr>
            <w:r>
              <w:rPr>
                <w:sz w:val="16"/>
                <w:szCs w:val="16"/>
              </w:rPr>
              <w:t>Update of OpenAPI version and TS version in externalDocs field</w:t>
            </w:r>
          </w:p>
        </w:tc>
        <w:tc>
          <w:tcPr>
            <w:tcW w:w="706" w:type="dxa"/>
            <w:shd w:val="solid" w:color="FFFFFF" w:fill="auto"/>
          </w:tcPr>
          <w:p w14:paraId="6930E111" w14:textId="77777777" w:rsidR="00A10B25" w:rsidRDefault="00A10B25">
            <w:pPr>
              <w:pStyle w:val="TAC"/>
              <w:rPr>
                <w:sz w:val="16"/>
                <w:szCs w:val="16"/>
              </w:rPr>
            </w:pPr>
            <w:r>
              <w:rPr>
                <w:sz w:val="16"/>
                <w:szCs w:val="16"/>
              </w:rPr>
              <w:t>17.0.0</w:t>
            </w:r>
          </w:p>
        </w:tc>
      </w:tr>
      <w:tr w:rsidR="00A10B25" w14:paraId="7B9AD006" w14:textId="77777777">
        <w:tc>
          <w:tcPr>
            <w:tcW w:w="796" w:type="dxa"/>
            <w:shd w:val="solid" w:color="FFFFFF" w:fill="auto"/>
          </w:tcPr>
          <w:p w14:paraId="45BCFCD3"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7E3BF487"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5D20E2FE" w14:textId="77777777" w:rsidR="00A10B25" w:rsidRDefault="00A10B25">
            <w:pPr>
              <w:pStyle w:val="TAC"/>
              <w:rPr>
                <w:sz w:val="16"/>
                <w:szCs w:val="16"/>
              </w:rPr>
            </w:pPr>
            <w:r>
              <w:rPr>
                <w:sz w:val="16"/>
                <w:szCs w:val="16"/>
              </w:rPr>
              <w:t>CP-203139</w:t>
            </w:r>
          </w:p>
        </w:tc>
        <w:tc>
          <w:tcPr>
            <w:tcW w:w="523" w:type="dxa"/>
            <w:shd w:val="solid" w:color="FFFFFF" w:fill="auto"/>
          </w:tcPr>
          <w:p w14:paraId="51B0FF2B" w14:textId="77777777" w:rsidR="00A10B25" w:rsidRDefault="00A10B25">
            <w:pPr>
              <w:pStyle w:val="TAL"/>
              <w:rPr>
                <w:sz w:val="16"/>
                <w:szCs w:val="16"/>
              </w:rPr>
            </w:pPr>
            <w:r>
              <w:rPr>
                <w:sz w:val="16"/>
                <w:szCs w:val="16"/>
              </w:rPr>
              <w:t>0223</w:t>
            </w:r>
          </w:p>
        </w:tc>
        <w:tc>
          <w:tcPr>
            <w:tcW w:w="423" w:type="dxa"/>
            <w:shd w:val="solid" w:color="FFFFFF" w:fill="auto"/>
          </w:tcPr>
          <w:p w14:paraId="0E39E6BF" w14:textId="77777777" w:rsidR="00A10B25" w:rsidRDefault="00A10B25">
            <w:pPr>
              <w:pStyle w:val="TAR"/>
              <w:rPr>
                <w:sz w:val="16"/>
                <w:szCs w:val="16"/>
              </w:rPr>
            </w:pPr>
            <w:r>
              <w:rPr>
                <w:sz w:val="16"/>
                <w:szCs w:val="16"/>
                <w:lang w:eastAsia="zh-CN"/>
              </w:rPr>
              <w:t>1</w:t>
            </w:r>
          </w:p>
        </w:tc>
        <w:tc>
          <w:tcPr>
            <w:tcW w:w="423" w:type="dxa"/>
            <w:shd w:val="solid" w:color="FFFFFF" w:fill="auto"/>
          </w:tcPr>
          <w:p w14:paraId="5E55E3DC" w14:textId="77777777" w:rsidR="00A10B25" w:rsidRDefault="00A10B25">
            <w:pPr>
              <w:pStyle w:val="TAC"/>
              <w:rPr>
                <w:sz w:val="16"/>
                <w:szCs w:val="16"/>
              </w:rPr>
            </w:pPr>
            <w:r>
              <w:rPr>
                <w:sz w:val="16"/>
                <w:szCs w:val="16"/>
              </w:rPr>
              <w:t>A</w:t>
            </w:r>
          </w:p>
        </w:tc>
        <w:tc>
          <w:tcPr>
            <w:tcW w:w="4899" w:type="dxa"/>
            <w:shd w:val="solid" w:color="FFFFFF" w:fill="auto"/>
          </w:tcPr>
          <w:p w14:paraId="20134AC9" w14:textId="77777777" w:rsidR="00A10B25" w:rsidRDefault="00A10B25">
            <w:pPr>
              <w:pStyle w:val="TAL"/>
              <w:rPr>
                <w:sz w:val="16"/>
                <w:szCs w:val="16"/>
              </w:rPr>
            </w:pPr>
            <w:r>
              <w:rPr>
                <w:sz w:val="16"/>
                <w:szCs w:val="16"/>
              </w:rPr>
              <w:t>Essential corrections and alignments</w:t>
            </w:r>
          </w:p>
        </w:tc>
        <w:tc>
          <w:tcPr>
            <w:tcW w:w="706" w:type="dxa"/>
            <w:shd w:val="solid" w:color="FFFFFF" w:fill="auto"/>
          </w:tcPr>
          <w:p w14:paraId="1F28CF06" w14:textId="77777777" w:rsidR="00A10B25" w:rsidRDefault="00A10B25">
            <w:pPr>
              <w:pStyle w:val="TAC"/>
              <w:rPr>
                <w:sz w:val="16"/>
                <w:szCs w:val="16"/>
              </w:rPr>
            </w:pPr>
            <w:r>
              <w:rPr>
                <w:sz w:val="16"/>
                <w:szCs w:val="16"/>
              </w:rPr>
              <w:t>17.1.0</w:t>
            </w:r>
          </w:p>
        </w:tc>
      </w:tr>
      <w:tr w:rsidR="00A10B25" w14:paraId="37376154" w14:textId="77777777">
        <w:tc>
          <w:tcPr>
            <w:tcW w:w="796" w:type="dxa"/>
            <w:shd w:val="solid" w:color="FFFFFF" w:fill="auto"/>
          </w:tcPr>
          <w:p w14:paraId="7D2B74E1"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072FE1F0"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52FB73F3" w14:textId="77777777" w:rsidR="00A10B25" w:rsidRDefault="00A10B25">
            <w:pPr>
              <w:pStyle w:val="TAC"/>
              <w:rPr>
                <w:sz w:val="16"/>
                <w:szCs w:val="16"/>
              </w:rPr>
            </w:pPr>
            <w:r>
              <w:rPr>
                <w:sz w:val="16"/>
                <w:szCs w:val="16"/>
              </w:rPr>
              <w:t>CP-203117</w:t>
            </w:r>
          </w:p>
        </w:tc>
        <w:tc>
          <w:tcPr>
            <w:tcW w:w="523" w:type="dxa"/>
            <w:shd w:val="solid" w:color="FFFFFF" w:fill="auto"/>
          </w:tcPr>
          <w:p w14:paraId="139C2139" w14:textId="77777777" w:rsidR="00A10B25" w:rsidRDefault="00A10B25">
            <w:pPr>
              <w:pStyle w:val="TAL"/>
              <w:rPr>
                <w:sz w:val="16"/>
                <w:szCs w:val="16"/>
              </w:rPr>
            </w:pPr>
            <w:r>
              <w:rPr>
                <w:sz w:val="16"/>
                <w:szCs w:val="16"/>
              </w:rPr>
              <w:t>0226</w:t>
            </w:r>
          </w:p>
        </w:tc>
        <w:tc>
          <w:tcPr>
            <w:tcW w:w="423" w:type="dxa"/>
            <w:shd w:val="solid" w:color="FFFFFF" w:fill="auto"/>
          </w:tcPr>
          <w:p w14:paraId="67B3496B" w14:textId="77777777" w:rsidR="00A10B25" w:rsidRDefault="00A10B25">
            <w:pPr>
              <w:pStyle w:val="TAR"/>
              <w:rPr>
                <w:sz w:val="16"/>
                <w:szCs w:val="16"/>
              </w:rPr>
            </w:pPr>
            <w:r>
              <w:rPr>
                <w:sz w:val="16"/>
                <w:szCs w:val="16"/>
                <w:lang w:eastAsia="zh-CN"/>
              </w:rPr>
              <w:t>1</w:t>
            </w:r>
          </w:p>
        </w:tc>
        <w:tc>
          <w:tcPr>
            <w:tcW w:w="423" w:type="dxa"/>
            <w:shd w:val="solid" w:color="FFFFFF" w:fill="auto"/>
          </w:tcPr>
          <w:p w14:paraId="6414732C" w14:textId="77777777" w:rsidR="00A10B25" w:rsidRDefault="00A10B25">
            <w:pPr>
              <w:pStyle w:val="TAC"/>
              <w:rPr>
                <w:sz w:val="16"/>
                <w:szCs w:val="16"/>
              </w:rPr>
            </w:pPr>
            <w:r>
              <w:rPr>
                <w:sz w:val="16"/>
                <w:szCs w:val="16"/>
              </w:rPr>
              <w:t>A</w:t>
            </w:r>
          </w:p>
        </w:tc>
        <w:tc>
          <w:tcPr>
            <w:tcW w:w="4899" w:type="dxa"/>
            <w:shd w:val="solid" w:color="FFFFFF" w:fill="auto"/>
          </w:tcPr>
          <w:p w14:paraId="7F934F00" w14:textId="77777777" w:rsidR="00A10B25" w:rsidRDefault="00A10B25">
            <w:pPr>
              <w:pStyle w:val="TAL"/>
              <w:rPr>
                <w:sz w:val="16"/>
                <w:szCs w:val="16"/>
              </w:rPr>
            </w:pPr>
            <w:r>
              <w:rPr>
                <w:sz w:val="16"/>
                <w:szCs w:val="16"/>
                <w:lang w:val="en-US" w:eastAsia="zh-CN"/>
              </w:rPr>
              <w:t>Correction to notificationURI attribute</w:t>
            </w:r>
          </w:p>
        </w:tc>
        <w:tc>
          <w:tcPr>
            <w:tcW w:w="706" w:type="dxa"/>
            <w:shd w:val="solid" w:color="FFFFFF" w:fill="auto"/>
          </w:tcPr>
          <w:p w14:paraId="514AA20B" w14:textId="77777777" w:rsidR="00A10B25" w:rsidRDefault="00A10B25">
            <w:pPr>
              <w:pStyle w:val="TAC"/>
              <w:rPr>
                <w:sz w:val="16"/>
                <w:szCs w:val="16"/>
              </w:rPr>
            </w:pPr>
            <w:r>
              <w:rPr>
                <w:sz w:val="16"/>
                <w:szCs w:val="16"/>
              </w:rPr>
              <w:t>17.1.0</w:t>
            </w:r>
          </w:p>
        </w:tc>
      </w:tr>
      <w:tr w:rsidR="00A10B25" w14:paraId="660A21C8" w14:textId="77777777">
        <w:tc>
          <w:tcPr>
            <w:tcW w:w="796" w:type="dxa"/>
            <w:shd w:val="solid" w:color="FFFFFF" w:fill="auto"/>
          </w:tcPr>
          <w:p w14:paraId="629DAB7B"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55C870F6"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05A2810F" w14:textId="77777777" w:rsidR="00A10B25" w:rsidRDefault="00A10B25">
            <w:pPr>
              <w:pStyle w:val="TAC"/>
              <w:rPr>
                <w:sz w:val="16"/>
                <w:szCs w:val="16"/>
              </w:rPr>
            </w:pPr>
            <w:r>
              <w:rPr>
                <w:sz w:val="16"/>
                <w:szCs w:val="16"/>
              </w:rPr>
              <w:t>CP-203129</w:t>
            </w:r>
          </w:p>
        </w:tc>
        <w:tc>
          <w:tcPr>
            <w:tcW w:w="523" w:type="dxa"/>
            <w:shd w:val="solid" w:color="FFFFFF" w:fill="auto"/>
          </w:tcPr>
          <w:p w14:paraId="463DE14F" w14:textId="77777777" w:rsidR="00A10B25" w:rsidRDefault="00A10B25">
            <w:pPr>
              <w:pStyle w:val="TAL"/>
              <w:rPr>
                <w:sz w:val="16"/>
                <w:szCs w:val="16"/>
              </w:rPr>
            </w:pPr>
            <w:r>
              <w:rPr>
                <w:sz w:val="16"/>
                <w:szCs w:val="16"/>
              </w:rPr>
              <w:t>0228</w:t>
            </w:r>
          </w:p>
        </w:tc>
        <w:tc>
          <w:tcPr>
            <w:tcW w:w="423" w:type="dxa"/>
            <w:shd w:val="solid" w:color="FFFFFF" w:fill="auto"/>
          </w:tcPr>
          <w:p w14:paraId="4EF96AC4" w14:textId="77777777" w:rsidR="00A10B25" w:rsidRDefault="00A10B25">
            <w:pPr>
              <w:pStyle w:val="TAR"/>
              <w:rPr>
                <w:sz w:val="16"/>
                <w:szCs w:val="16"/>
              </w:rPr>
            </w:pPr>
          </w:p>
        </w:tc>
        <w:tc>
          <w:tcPr>
            <w:tcW w:w="423" w:type="dxa"/>
            <w:shd w:val="solid" w:color="FFFFFF" w:fill="auto"/>
          </w:tcPr>
          <w:p w14:paraId="5181BD97" w14:textId="77777777" w:rsidR="00A10B25" w:rsidRDefault="00A10B25">
            <w:pPr>
              <w:pStyle w:val="TAC"/>
              <w:rPr>
                <w:sz w:val="16"/>
                <w:szCs w:val="16"/>
              </w:rPr>
            </w:pPr>
            <w:r>
              <w:rPr>
                <w:sz w:val="16"/>
                <w:szCs w:val="16"/>
              </w:rPr>
              <w:t>A</w:t>
            </w:r>
          </w:p>
        </w:tc>
        <w:tc>
          <w:tcPr>
            <w:tcW w:w="4899" w:type="dxa"/>
            <w:shd w:val="solid" w:color="FFFFFF" w:fill="auto"/>
          </w:tcPr>
          <w:p w14:paraId="79532245" w14:textId="77777777" w:rsidR="00A10B25" w:rsidRDefault="00A10B25">
            <w:pPr>
              <w:pStyle w:val="TAL"/>
              <w:rPr>
                <w:sz w:val="16"/>
                <w:szCs w:val="16"/>
              </w:rPr>
            </w:pPr>
            <w:r>
              <w:rPr>
                <w:sz w:val="16"/>
                <w:szCs w:val="16"/>
              </w:rPr>
              <w:t>Mapping of expected analytics types and exception Ids</w:t>
            </w:r>
          </w:p>
        </w:tc>
        <w:tc>
          <w:tcPr>
            <w:tcW w:w="706" w:type="dxa"/>
            <w:shd w:val="solid" w:color="FFFFFF" w:fill="auto"/>
          </w:tcPr>
          <w:p w14:paraId="055697CC" w14:textId="77777777" w:rsidR="00A10B25" w:rsidRDefault="00A10B25">
            <w:pPr>
              <w:pStyle w:val="TAC"/>
              <w:rPr>
                <w:sz w:val="16"/>
                <w:szCs w:val="16"/>
              </w:rPr>
            </w:pPr>
            <w:r>
              <w:rPr>
                <w:sz w:val="16"/>
                <w:szCs w:val="16"/>
              </w:rPr>
              <w:t>17.1.0</w:t>
            </w:r>
          </w:p>
        </w:tc>
      </w:tr>
      <w:tr w:rsidR="00A10B25" w14:paraId="7F181585" w14:textId="77777777">
        <w:tc>
          <w:tcPr>
            <w:tcW w:w="796" w:type="dxa"/>
            <w:shd w:val="solid" w:color="FFFFFF" w:fill="auto"/>
          </w:tcPr>
          <w:p w14:paraId="2DBEEA19"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10277EE7"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563C11C6" w14:textId="77777777" w:rsidR="00A10B25" w:rsidRDefault="00A10B25">
            <w:pPr>
              <w:pStyle w:val="TAC"/>
              <w:rPr>
                <w:sz w:val="16"/>
                <w:szCs w:val="16"/>
              </w:rPr>
            </w:pPr>
            <w:r>
              <w:rPr>
                <w:sz w:val="16"/>
                <w:szCs w:val="16"/>
              </w:rPr>
              <w:t>CP-203129</w:t>
            </w:r>
          </w:p>
        </w:tc>
        <w:tc>
          <w:tcPr>
            <w:tcW w:w="523" w:type="dxa"/>
            <w:shd w:val="solid" w:color="FFFFFF" w:fill="auto"/>
          </w:tcPr>
          <w:p w14:paraId="5982B910" w14:textId="77777777" w:rsidR="00A10B25" w:rsidRDefault="00A10B25">
            <w:pPr>
              <w:pStyle w:val="TAL"/>
              <w:rPr>
                <w:sz w:val="16"/>
                <w:szCs w:val="16"/>
              </w:rPr>
            </w:pPr>
            <w:r>
              <w:rPr>
                <w:sz w:val="16"/>
                <w:szCs w:val="16"/>
              </w:rPr>
              <w:t>0230</w:t>
            </w:r>
          </w:p>
        </w:tc>
        <w:tc>
          <w:tcPr>
            <w:tcW w:w="423" w:type="dxa"/>
            <w:shd w:val="solid" w:color="FFFFFF" w:fill="auto"/>
          </w:tcPr>
          <w:p w14:paraId="07027661" w14:textId="77777777" w:rsidR="00A10B25" w:rsidRDefault="00A10B25">
            <w:pPr>
              <w:pStyle w:val="TAR"/>
              <w:rPr>
                <w:sz w:val="16"/>
                <w:szCs w:val="16"/>
              </w:rPr>
            </w:pPr>
            <w:r>
              <w:rPr>
                <w:sz w:val="16"/>
                <w:szCs w:val="16"/>
                <w:lang w:eastAsia="zh-CN"/>
              </w:rPr>
              <w:t>1</w:t>
            </w:r>
          </w:p>
        </w:tc>
        <w:tc>
          <w:tcPr>
            <w:tcW w:w="423" w:type="dxa"/>
            <w:shd w:val="solid" w:color="FFFFFF" w:fill="auto"/>
          </w:tcPr>
          <w:p w14:paraId="0484195F" w14:textId="77777777" w:rsidR="00A10B25" w:rsidRDefault="00A10B25">
            <w:pPr>
              <w:pStyle w:val="TAC"/>
              <w:rPr>
                <w:sz w:val="16"/>
                <w:szCs w:val="16"/>
              </w:rPr>
            </w:pPr>
            <w:r>
              <w:rPr>
                <w:sz w:val="16"/>
                <w:szCs w:val="16"/>
              </w:rPr>
              <w:t>A</w:t>
            </w:r>
          </w:p>
        </w:tc>
        <w:tc>
          <w:tcPr>
            <w:tcW w:w="4899" w:type="dxa"/>
            <w:shd w:val="solid" w:color="FFFFFF" w:fill="auto"/>
          </w:tcPr>
          <w:p w14:paraId="5ACDF27B" w14:textId="77777777" w:rsidR="00A10B25" w:rsidRDefault="00A10B25">
            <w:pPr>
              <w:pStyle w:val="TAL"/>
              <w:rPr>
                <w:sz w:val="16"/>
                <w:szCs w:val="16"/>
              </w:rPr>
            </w:pPr>
            <w:r>
              <w:rPr>
                <w:sz w:val="16"/>
                <w:szCs w:val="16"/>
              </w:rPr>
              <w:t>Analytics report correction</w:t>
            </w:r>
          </w:p>
        </w:tc>
        <w:tc>
          <w:tcPr>
            <w:tcW w:w="706" w:type="dxa"/>
            <w:shd w:val="solid" w:color="FFFFFF" w:fill="auto"/>
          </w:tcPr>
          <w:p w14:paraId="29DC2F87" w14:textId="77777777" w:rsidR="00A10B25" w:rsidRDefault="00A10B25">
            <w:pPr>
              <w:pStyle w:val="TAC"/>
              <w:rPr>
                <w:sz w:val="16"/>
                <w:szCs w:val="16"/>
              </w:rPr>
            </w:pPr>
            <w:r>
              <w:rPr>
                <w:sz w:val="16"/>
                <w:szCs w:val="16"/>
              </w:rPr>
              <w:t>17.1.0</w:t>
            </w:r>
          </w:p>
        </w:tc>
      </w:tr>
      <w:tr w:rsidR="00A10B25" w14:paraId="470A6945" w14:textId="77777777">
        <w:tc>
          <w:tcPr>
            <w:tcW w:w="796" w:type="dxa"/>
            <w:shd w:val="solid" w:color="FFFFFF" w:fill="auto"/>
          </w:tcPr>
          <w:p w14:paraId="59FE9A75"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1778602F"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000EB136" w14:textId="77777777" w:rsidR="00A10B25" w:rsidRDefault="00A10B25">
            <w:pPr>
              <w:pStyle w:val="TAC"/>
              <w:rPr>
                <w:sz w:val="16"/>
                <w:szCs w:val="16"/>
              </w:rPr>
            </w:pPr>
            <w:r>
              <w:rPr>
                <w:sz w:val="16"/>
                <w:szCs w:val="16"/>
              </w:rPr>
              <w:t>CP-203129</w:t>
            </w:r>
          </w:p>
        </w:tc>
        <w:tc>
          <w:tcPr>
            <w:tcW w:w="523" w:type="dxa"/>
            <w:shd w:val="solid" w:color="FFFFFF" w:fill="auto"/>
          </w:tcPr>
          <w:p w14:paraId="4EB118B1" w14:textId="77777777" w:rsidR="00A10B25" w:rsidRDefault="00A10B25">
            <w:pPr>
              <w:pStyle w:val="TAL"/>
              <w:rPr>
                <w:sz w:val="16"/>
                <w:szCs w:val="16"/>
              </w:rPr>
            </w:pPr>
            <w:r>
              <w:rPr>
                <w:sz w:val="16"/>
                <w:szCs w:val="16"/>
              </w:rPr>
              <w:t>0232</w:t>
            </w:r>
          </w:p>
        </w:tc>
        <w:tc>
          <w:tcPr>
            <w:tcW w:w="423" w:type="dxa"/>
            <w:shd w:val="solid" w:color="FFFFFF" w:fill="auto"/>
          </w:tcPr>
          <w:p w14:paraId="7B0D215B" w14:textId="77777777" w:rsidR="00A10B25" w:rsidRDefault="00A10B25">
            <w:pPr>
              <w:pStyle w:val="TAR"/>
              <w:rPr>
                <w:sz w:val="16"/>
                <w:szCs w:val="16"/>
              </w:rPr>
            </w:pPr>
            <w:r>
              <w:rPr>
                <w:sz w:val="16"/>
                <w:szCs w:val="16"/>
                <w:lang w:eastAsia="zh-CN"/>
              </w:rPr>
              <w:t>1</w:t>
            </w:r>
          </w:p>
        </w:tc>
        <w:tc>
          <w:tcPr>
            <w:tcW w:w="423" w:type="dxa"/>
            <w:shd w:val="solid" w:color="FFFFFF" w:fill="auto"/>
          </w:tcPr>
          <w:p w14:paraId="41C58C7B" w14:textId="77777777" w:rsidR="00A10B25" w:rsidRDefault="00A10B25">
            <w:pPr>
              <w:pStyle w:val="TAC"/>
              <w:rPr>
                <w:sz w:val="16"/>
                <w:szCs w:val="16"/>
              </w:rPr>
            </w:pPr>
            <w:r>
              <w:rPr>
                <w:sz w:val="16"/>
                <w:szCs w:val="16"/>
              </w:rPr>
              <w:t>A</w:t>
            </w:r>
          </w:p>
        </w:tc>
        <w:tc>
          <w:tcPr>
            <w:tcW w:w="4899" w:type="dxa"/>
            <w:shd w:val="solid" w:color="FFFFFF" w:fill="auto"/>
          </w:tcPr>
          <w:p w14:paraId="52AB1E3A" w14:textId="77777777" w:rsidR="00A10B25" w:rsidRDefault="00A10B25">
            <w:pPr>
              <w:pStyle w:val="TAL"/>
              <w:rPr>
                <w:sz w:val="16"/>
                <w:szCs w:val="16"/>
              </w:rPr>
            </w:pPr>
            <w:r>
              <w:rPr>
                <w:sz w:val="16"/>
                <w:szCs w:val="16"/>
                <w:lang w:val="en-US" w:eastAsia="zh-CN"/>
              </w:rPr>
              <w:t>Error response for statistics request</w:t>
            </w:r>
          </w:p>
        </w:tc>
        <w:tc>
          <w:tcPr>
            <w:tcW w:w="706" w:type="dxa"/>
            <w:shd w:val="solid" w:color="FFFFFF" w:fill="auto"/>
          </w:tcPr>
          <w:p w14:paraId="09B38538" w14:textId="77777777" w:rsidR="00A10B25" w:rsidRDefault="00A10B25">
            <w:pPr>
              <w:pStyle w:val="TAC"/>
              <w:rPr>
                <w:sz w:val="16"/>
                <w:szCs w:val="16"/>
              </w:rPr>
            </w:pPr>
            <w:r>
              <w:rPr>
                <w:sz w:val="16"/>
                <w:szCs w:val="16"/>
              </w:rPr>
              <w:t>17.1.0</w:t>
            </w:r>
          </w:p>
        </w:tc>
      </w:tr>
      <w:tr w:rsidR="00A10B25" w14:paraId="3F31BE39" w14:textId="77777777">
        <w:tc>
          <w:tcPr>
            <w:tcW w:w="796" w:type="dxa"/>
            <w:shd w:val="solid" w:color="FFFFFF" w:fill="auto"/>
          </w:tcPr>
          <w:p w14:paraId="7575512F"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30B85F1A"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2C2538FF" w14:textId="77777777" w:rsidR="00A10B25" w:rsidRDefault="00A10B25">
            <w:pPr>
              <w:pStyle w:val="TAC"/>
              <w:rPr>
                <w:sz w:val="16"/>
                <w:szCs w:val="16"/>
              </w:rPr>
            </w:pPr>
            <w:r>
              <w:rPr>
                <w:sz w:val="16"/>
                <w:szCs w:val="16"/>
              </w:rPr>
              <w:t>CP-203129</w:t>
            </w:r>
          </w:p>
        </w:tc>
        <w:tc>
          <w:tcPr>
            <w:tcW w:w="523" w:type="dxa"/>
            <w:shd w:val="solid" w:color="FFFFFF" w:fill="auto"/>
          </w:tcPr>
          <w:p w14:paraId="2B084C3B" w14:textId="77777777" w:rsidR="00A10B25" w:rsidRDefault="00A10B25">
            <w:pPr>
              <w:pStyle w:val="TAL"/>
              <w:rPr>
                <w:sz w:val="16"/>
                <w:szCs w:val="16"/>
              </w:rPr>
            </w:pPr>
            <w:r>
              <w:rPr>
                <w:sz w:val="16"/>
                <w:szCs w:val="16"/>
              </w:rPr>
              <w:t>0234</w:t>
            </w:r>
          </w:p>
        </w:tc>
        <w:tc>
          <w:tcPr>
            <w:tcW w:w="423" w:type="dxa"/>
            <w:shd w:val="solid" w:color="FFFFFF" w:fill="auto"/>
          </w:tcPr>
          <w:p w14:paraId="786132BF" w14:textId="77777777" w:rsidR="00A10B25" w:rsidRDefault="00A10B25">
            <w:pPr>
              <w:pStyle w:val="TAR"/>
              <w:rPr>
                <w:sz w:val="16"/>
                <w:szCs w:val="16"/>
              </w:rPr>
            </w:pPr>
          </w:p>
        </w:tc>
        <w:tc>
          <w:tcPr>
            <w:tcW w:w="423" w:type="dxa"/>
            <w:shd w:val="solid" w:color="FFFFFF" w:fill="auto"/>
          </w:tcPr>
          <w:p w14:paraId="43E4B5E2" w14:textId="77777777" w:rsidR="00A10B25" w:rsidRDefault="00A10B25">
            <w:pPr>
              <w:pStyle w:val="TAC"/>
              <w:rPr>
                <w:sz w:val="16"/>
                <w:szCs w:val="16"/>
              </w:rPr>
            </w:pPr>
            <w:r>
              <w:rPr>
                <w:sz w:val="16"/>
                <w:szCs w:val="16"/>
              </w:rPr>
              <w:t>A</w:t>
            </w:r>
          </w:p>
        </w:tc>
        <w:tc>
          <w:tcPr>
            <w:tcW w:w="4899" w:type="dxa"/>
            <w:shd w:val="solid" w:color="FFFFFF" w:fill="auto"/>
          </w:tcPr>
          <w:p w14:paraId="3822798A" w14:textId="77777777" w:rsidR="00A10B25" w:rsidRDefault="00A10B25">
            <w:pPr>
              <w:pStyle w:val="TAL"/>
              <w:rPr>
                <w:sz w:val="16"/>
                <w:szCs w:val="16"/>
              </w:rPr>
            </w:pPr>
            <w:r>
              <w:rPr>
                <w:sz w:val="16"/>
                <w:szCs w:val="16"/>
                <w:lang w:val="en-US" w:eastAsia="zh-CN"/>
              </w:rPr>
              <w:t>S-NSSAI applicability</w:t>
            </w:r>
          </w:p>
        </w:tc>
        <w:tc>
          <w:tcPr>
            <w:tcW w:w="706" w:type="dxa"/>
            <w:shd w:val="solid" w:color="FFFFFF" w:fill="auto"/>
          </w:tcPr>
          <w:p w14:paraId="1D9D8631" w14:textId="77777777" w:rsidR="00A10B25" w:rsidRDefault="00A10B25">
            <w:pPr>
              <w:pStyle w:val="TAC"/>
              <w:rPr>
                <w:sz w:val="16"/>
                <w:szCs w:val="16"/>
              </w:rPr>
            </w:pPr>
            <w:r>
              <w:rPr>
                <w:sz w:val="16"/>
                <w:szCs w:val="16"/>
              </w:rPr>
              <w:t>17.1.0</w:t>
            </w:r>
          </w:p>
        </w:tc>
      </w:tr>
      <w:tr w:rsidR="00A10B25" w14:paraId="03746BE1" w14:textId="77777777">
        <w:tc>
          <w:tcPr>
            <w:tcW w:w="796" w:type="dxa"/>
            <w:shd w:val="solid" w:color="FFFFFF" w:fill="auto"/>
          </w:tcPr>
          <w:p w14:paraId="725B61ED"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36C8BD68"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4E16FF72" w14:textId="77777777" w:rsidR="00A10B25" w:rsidRDefault="00A10B25">
            <w:pPr>
              <w:pStyle w:val="TAC"/>
              <w:rPr>
                <w:sz w:val="16"/>
                <w:szCs w:val="16"/>
              </w:rPr>
            </w:pPr>
            <w:r>
              <w:rPr>
                <w:sz w:val="16"/>
                <w:szCs w:val="16"/>
              </w:rPr>
              <w:t>CP-203129</w:t>
            </w:r>
          </w:p>
        </w:tc>
        <w:tc>
          <w:tcPr>
            <w:tcW w:w="523" w:type="dxa"/>
            <w:shd w:val="solid" w:color="FFFFFF" w:fill="auto"/>
          </w:tcPr>
          <w:p w14:paraId="635288E3" w14:textId="77777777" w:rsidR="00A10B25" w:rsidRDefault="00A10B25">
            <w:pPr>
              <w:pStyle w:val="TAL"/>
              <w:rPr>
                <w:sz w:val="16"/>
                <w:szCs w:val="16"/>
              </w:rPr>
            </w:pPr>
            <w:r>
              <w:rPr>
                <w:sz w:val="16"/>
                <w:szCs w:val="16"/>
              </w:rPr>
              <w:t>0236</w:t>
            </w:r>
          </w:p>
        </w:tc>
        <w:tc>
          <w:tcPr>
            <w:tcW w:w="423" w:type="dxa"/>
            <w:shd w:val="solid" w:color="FFFFFF" w:fill="auto"/>
          </w:tcPr>
          <w:p w14:paraId="705A4973" w14:textId="77777777" w:rsidR="00A10B25" w:rsidRDefault="00A10B25">
            <w:pPr>
              <w:pStyle w:val="TAR"/>
              <w:rPr>
                <w:sz w:val="16"/>
                <w:szCs w:val="16"/>
              </w:rPr>
            </w:pPr>
            <w:r>
              <w:rPr>
                <w:sz w:val="16"/>
                <w:szCs w:val="16"/>
                <w:lang w:eastAsia="zh-CN"/>
              </w:rPr>
              <w:t>1</w:t>
            </w:r>
          </w:p>
        </w:tc>
        <w:tc>
          <w:tcPr>
            <w:tcW w:w="423" w:type="dxa"/>
            <w:shd w:val="solid" w:color="FFFFFF" w:fill="auto"/>
          </w:tcPr>
          <w:p w14:paraId="52C0AA93" w14:textId="77777777" w:rsidR="00A10B25" w:rsidRDefault="00A10B25">
            <w:pPr>
              <w:pStyle w:val="TAC"/>
              <w:rPr>
                <w:sz w:val="16"/>
                <w:szCs w:val="16"/>
              </w:rPr>
            </w:pPr>
            <w:r>
              <w:rPr>
                <w:sz w:val="16"/>
                <w:szCs w:val="16"/>
              </w:rPr>
              <w:t>A</w:t>
            </w:r>
          </w:p>
        </w:tc>
        <w:tc>
          <w:tcPr>
            <w:tcW w:w="4899" w:type="dxa"/>
            <w:shd w:val="solid" w:color="FFFFFF" w:fill="auto"/>
          </w:tcPr>
          <w:p w14:paraId="445CB586" w14:textId="77777777" w:rsidR="00A10B25" w:rsidRDefault="00A10B25">
            <w:pPr>
              <w:pStyle w:val="TAL"/>
              <w:rPr>
                <w:sz w:val="16"/>
                <w:szCs w:val="16"/>
              </w:rPr>
            </w:pPr>
            <w:r>
              <w:rPr>
                <w:sz w:val="16"/>
                <w:szCs w:val="16"/>
                <w:lang w:val="en-US" w:eastAsia="zh-CN"/>
              </w:rPr>
              <w:t>Revomal of Servic</w:t>
            </w:r>
            <w:r>
              <w:rPr>
                <w:sz w:val="16"/>
                <w:szCs w:val="16"/>
              </w:rPr>
              <w:t>e Experience feature for nsiLevelThrds attribute</w:t>
            </w:r>
          </w:p>
        </w:tc>
        <w:tc>
          <w:tcPr>
            <w:tcW w:w="706" w:type="dxa"/>
            <w:shd w:val="solid" w:color="FFFFFF" w:fill="auto"/>
          </w:tcPr>
          <w:p w14:paraId="33ACB3A4" w14:textId="77777777" w:rsidR="00A10B25" w:rsidRDefault="00A10B25">
            <w:pPr>
              <w:pStyle w:val="TAC"/>
              <w:rPr>
                <w:sz w:val="16"/>
                <w:szCs w:val="16"/>
              </w:rPr>
            </w:pPr>
            <w:r>
              <w:rPr>
                <w:sz w:val="16"/>
                <w:szCs w:val="16"/>
              </w:rPr>
              <w:t>17.1.0</w:t>
            </w:r>
          </w:p>
        </w:tc>
      </w:tr>
      <w:tr w:rsidR="00A10B25" w14:paraId="2F12A6CD" w14:textId="77777777">
        <w:tc>
          <w:tcPr>
            <w:tcW w:w="796" w:type="dxa"/>
            <w:shd w:val="solid" w:color="FFFFFF" w:fill="auto"/>
          </w:tcPr>
          <w:p w14:paraId="245B4D4A"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5DB0CC59"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629C6293" w14:textId="77777777" w:rsidR="00A10B25" w:rsidRDefault="00A10B25">
            <w:pPr>
              <w:pStyle w:val="TAC"/>
              <w:rPr>
                <w:sz w:val="16"/>
                <w:szCs w:val="16"/>
              </w:rPr>
            </w:pPr>
            <w:r>
              <w:rPr>
                <w:sz w:val="16"/>
                <w:szCs w:val="16"/>
              </w:rPr>
              <w:t>CP-203129</w:t>
            </w:r>
          </w:p>
        </w:tc>
        <w:tc>
          <w:tcPr>
            <w:tcW w:w="523" w:type="dxa"/>
            <w:shd w:val="solid" w:color="FFFFFF" w:fill="auto"/>
          </w:tcPr>
          <w:p w14:paraId="247E7EFD" w14:textId="77777777" w:rsidR="00A10B25" w:rsidRDefault="00A10B25">
            <w:pPr>
              <w:pStyle w:val="TAL"/>
              <w:rPr>
                <w:sz w:val="16"/>
                <w:szCs w:val="16"/>
              </w:rPr>
            </w:pPr>
            <w:r>
              <w:rPr>
                <w:sz w:val="16"/>
                <w:szCs w:val="16"/>
              </w:rPr>
              <w:t>0238</w:t>
            </w:r>
          </w:p>
        </w:tc>
        <w:tc>
          <w:tcPr>
            <w:tcW w:w="423" w:type="dxa"/>
            <w:shd w:val="solid" w:color="FFFFFF" w:fill="auto"/>
          </w:tcPr>
          <w:p w14:paraId="23DA84BB" w14:textId="77777777" w:rsidR="00A10B25" w:rsidRDefault="00A10B25">
            <w:pPr>
              <w:pStyle w:val="TAR"/>
              <w:rPr>
                <w:sz w:val="16"/>
                <w:szCs w:val="16"/>
              </w:rPr>
            </w:pPr>
            <w:r>
              <w:rPr>
                <w:sz w:val="16"/>
                <w:szCs w:val="16"/>
                <w:lang w:eastAsia="zh-CN"/>
              </w:rPr>
              <w:t>1</w:t>
            </w:r>
          </w:p>
        </w:tc>
        <w:tc>
          <w:tcPr>
            <w:tcW w:w="423" w:type="dxa"/>
            <w:shd w:val="solid" w:color="FFFFFF" w:fill="auto"/>
          </w:tcPr>
          <w:p w14:paraId="1122C517" w14:textId="77777777" w:rsidR="00A10B25" w:rsidRDefault="00A10B25">
            <w:pPr>
              <w:pStyle w:val="TAC"/>
              <w:rPr>
                <w:sz w:val="16"/>
                <w:szCs w:val="16"/>
              </w:rPr>
            </w:pPr>
            <w:r>
              <w:rPr>
                <w:sz w:val="16"/>
                <w:szCs w:val="16"/>
              </w:rPr>
              <w:t>A</w:t>
            </w:r>
          </w:p>
        </w:tc>
        <w:tc>
          <w:tcPr>
            <w:tcW w:w="4899" w:type="dxa"/>
            <w:shd w:val="solid" w:color="FFFFFF" w:fill="auto"/>
          </w:tcPr>
          <w:p w14:paraId="7DEFBDF2" w14:textId="77777777" w:rsidR="00A10B25" w:rsidRDefault="00A10B25">
            <w:pPr>
              <w:pStyle w:val="TAL"/>
              <w:rPr>
                <w:sz w:val="16"/>
                <w:szCs w:val="16"/>
              </w:rPr>
            </w:pPr>
            <w:r>
              <w:rPr>
                <w:sz w:val="16"/>
                <w:szCs w:val="16"/>
                <w:lang w:val="en-US" w:eastAsia="zh-CN"/>
              </w:rPr>
              <w:t>Correction to supis of Service Experience Analytics</w:t>
            </w:r>
          </w:p>
        </w:tc>
        <w:tc>
          <w:tcPr>
            <w:tcW w:w="706" w:type="dxa"/>
            <w:shd w:val="solid" w:color="FFFFFF" w:fill="auto"/>
          </w:tcPr>
          <w:p w14:paraId="7156EEC3" w14:textId="77777777" w:rsidR="00A10B25" w:rsidRDefault="00A10B25">
            <w:pPr>
              <w:pStyle w:val="TAC"/>
              <w:rPr>
                <w:sz w:val="16"/>
                <w:szCs w:val="16"/>
              </w:rPr>
            </w:pPr>
            <w:r>
              <w:rPr>
                <w:sz w:val="16"/>
                <w:szCs w:val="16"/>
              </w:rPr>
              <w:t>17.1.0</w:t>
            </w:r>
          </w:p>
        </w:tc>
      </w:tr>
      <w:tr w:rsidR="00A10B25" w14:paraId="32D05EB3" w14:textId="77777777">
        <w:tc>
          <w:tcPr>
            <w:tcW w:w="796" w:type="dxa"/>
            <w:shd w:val="solid" w:color="FFFFFF" w:fill="auto"/>
          </w:tcPr>
          <w:p w14:paraId="7995D8F7"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04B17B6A"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27D83267" w14:textId="77777777" w:rsidR="00A10B25" w:rsidRDefault="00A10B25">
            <w:pPr>
              <w:pStyle w:val="TAC"/>
              <w:rPr>
                <w:sz w:val="16"/>
                <w:szCs w:val="16"/>
              </w:rPr>
            </w:pPr>
            <w:r>
              <w:rPr>
                <w:sz w:val="16"/>
                <w:szCs w:val="16"/>
              </w:rPr>
              <w:t>CP-203155</w:t>
            </w:r>
          </w:p>
        </w:tc>
        <w:tc>
          <w:tcPr>
            <w:tcW w:w="523" w:type="dxa"/>
            <w:shd w:val="solid" w:color="FFFFFF" w:fill="auto"/>
          </w:tcPr>
          <w:p w14:paraId="2C12694B" w14:textId="77777777" w:rsidR="00A10B25" w:rsidRDefault="00A10B25">
            <w:pPr>
              <w:pStyle w:val="TAL"/>
              <w:rPr>
                <w:sz w:val="16"/>
                <w:szCs w:val="16"/>
              </w:rPr>
            </w:pPr>
            <w:r>
              <w:rPr>
                <w:sz w:val="16"/>
                <w:szCs w:val="16"/>
              </w:rPr>
              <w:t>0240</w:t>
            </w:r>
          </w:p>
        </w:tc>
        <w:tc>
          <w:tcPr>
            <w:tcW w:w="423" w:type="dxa"/>
            <w:shd w:val="solid" w:color="FFFFFF" w:fill="auto"/>
          </w:tcPr>
          <w:p w14:paraId="595E2DD9" w14:textId="77777777" w:rsidR="00A10B25" w:rsidRDefault="00A10B25">
            <w:pPr>
              <w:pStyle w:val="TAR"/>
              <w:rPr>
                <w:sz w:val="16"/>
                <w:szCs w:val="16"/>
              </w:rPr>
            </w:pPr>
            <w:r>
              <w:rPr>
                <w:sz w:val="16"/>
                <w:szCs w:val="16"/>
                <w:lang w:eastAsia="zh-CN"/>
              </w:rPr>
              <w:t>1</w:t>
            </w:r>
          </w:p>
        </w:tc>
        <w:tc>
          <w:tcPr>
            <w:tcW w:w="423" w:type="dxa"/>
            <w:shd w:val="solid" w:color="FFFFFF" w:fill="auto"/>
          </w:tcPr>
          <w:p w14:paraId="0D11C23D" w14:textId="77777777" w:rsidR="00A10B25" w:rsidRDefault="00A10B25">
            <w:pPr>
              <w:pStyle w:val="TAC"/>
              <w:rPr>
                <w:sz w:val="16"/>
                <w:szCs w:val="16"/>
              </w:rPr>
            </w:pPr>
            <w:r>
              <w:rPr>
                <w:sz w:val="16"/>
                <w:szCs w:val="16"/>
              </w:rPr>
              <w:t>A</w:t>
            </w:r>
          </w:p>
        </w:tc>
        <w:tc>
          <w:tcPr>
            <w:tcW w:w="4899" w:type="dxa"/>
            <w:shd w:val="solid" w:color="FFFFFF" w:fill="auto"/>
          </w:tcPr>
          <w:p w14:paraId="7D5560EB" w14:textId="77777777" w:rsidR="00A10B25" w:rsidRDefault="00A10B25">
            <w:pPr>
              <w:pStyle w:val="TAL"/>
              <w:rPr>
                <w:sz w:val="16"/>
                <w:szCs w:val="16"/>
              </w:rPr>
            </w:pPr>
            <w:r>
              <w:rPr>
                <w:sz w:val="16"/>
                <w:szCs w:val="16"/>
                <w:lang w:val="en-US" w:eastAsia="zh-CN"/>
              </w:rPr>
              <w:t>Updates CEF as NWDAF consumer of Nnwdaf_EventsSubscription service</w:t>
            </w:r>
          </w:p>
        </w:tc>
        <w:tc>
          <w:tcPr>
            <w:tcW w:w="706" w:type="dxa"/>
            <w:shd w:val="solid" w:color="FFFFFF" w:fill="auto"/>
          </w:tcPr>
          <w:p w14:paraId="4F741181" w14:textId="77777777" w:rsidR="00A10B25" w:rsidRDefault="00A10B25">
            <w:pPr>
              <w:pStyle w:val="TAC"/>
              <w:rPr>
                <w:sz w:val="16"/>
                <w:szCs w:val="16"/>
              </w:rPr>
            </w:pPr>
            <w:r>
              <w:rPr>
                <w:sz w:val="16"/>
                <w:szCs w:val="16"/>
              </w:rPr>
              <w:t>17.1.0</w:t>
            </w:r>
          </w:p>
        </w:tc>
      </w:tr>
      <w:tr w:rsidR="00A10B25" w14:paraId="1576AEBE" w14:textId="77777777">
        <w:tc>
          <w:tcPr>
            <w:tcW w:w="796" w:type="dxa"/>
            <w:shd w:val="solid" w:color="FFFFFF" w:fill="auto"/>
          </w:tcPr>
          <w:p w14:paraId="7ECDD4E3"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396CFCD4"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252C2E4E" w14:textId="77777777" w:rsidR="00A10B25" w:rsidRDefault="00A10B25">
            <w:pPr>
              <w:pStyle w:val="TAC"/>
              <w:rPr>
                <w:sz w:val="16"/>
                <w:szCs w:val="16"/>
              </w:rPr>
            </w:pPr>
            <w:r>
              <w:rPr>
                <w:sz w:val="16"/>
                <w:szCs w:val="16"/>
              </w:rPr>
              <w:t>CP-203130</w:t>
            </w:r>
          </w:p>
        </w:tc>
        <w:tc>
          <w:tcPr>
            <w:tcW w:w="523" w:type="dxa"/>
            <w:shd w:val="solid" w:color="FFFFFF" w:fill="auto"/>
          </w:tcPr>
          <w:p w14:paraId="2AF91F48" w14:textId="77777777" w:rsidR="00A10B25" w:rsidRDefault="00A10B25">
            <w:pPr>
              <w:pStyle w:val="TAL"/>
              <w:rPr>
                <w:sz w:val="16"/>
                <w:szCs w:val="16"/>
              </w:rPr>
            </w:pPr>
            <w:r>
              <w:rPr>
                <w:sz w:val="16"/>
                <w:szCs w:val="16"/>
              </w:rPr>
              <w:t>0242</w:t>
            </w:r>
          </w:p>
        </w:tc>
        <w:tc>
          <w:tcPr>
            <w:tcW w:w="423" w:type="dxa"/>
            <w:shd w:val="solid" w:color="FFFFFF" w:fill="auto"/>
          </w:tcPr>
          <w:p w14:paraId="3231E8CB" w14:textId="77777777" w:rsidR="00A10B25" w:rsidRDefault="00A10B25">
            <w:pPr>
              <w:pStyle w:val="TAR"/>
              <w:rPr>
                <w:sz w:val="16"/>
                <w:szCs w:val="16"/>
              </w:rPr>
            </w:pPr>
            <w:r>
              <w:rPr>
                <w:sz w:val="16"/>
                <w:szCs w:val="16"/>
                <w:lang w:eastAsia="zh-CN"/>
              </w:rPr>
              <w:t>1</w:t>
            </w:r>
          </w:p>
        </w:tc>
        <w:tc>
          <w:tcPr>
            <w:tcW w:w="423" w:type="dxa"/>
            <w:shd w:val="solid" w:color="FFFFFF" w:fill="auto"/>
          </w:tcPr>
          <w:p w14:paraId="3FBC9335" w14:textId="77777777" w:rsidR="00A10B25" w:rsidRDefault="00A10B25">
            <w:pPr>
              <w:pStyle w:val="TAC"/>
              <w:rPr>
                <w:sz w:val="16"/>
                <w:szCs w:val="16"/>
              </w:rPr>
            </w:pPr>
            <w:r>
              <w:rPr>
                <w:sz w:val="16"/>
                <w:szCs w:val="16"/>
              </w:rPr>
              <w:t>F</w:t>
            </w:r>
          </w:p>
        </w:tc>
        <w:tc>
          <w:tcPr>
            <w:tcW w:w="4899" w:type="dxa"/>
            <w:shd w:val="solid" w:color="FFFFFF" w:fill="auto"/>
          </w:tcPr>
          <w:p w14:paraId="40681B77" w14:textId="77777777" w:rsidR="00A10B25" w:rsidRDefault="00A10B25">
            <w:pPr>
              <w:pStyle w:val="TAL"/>
              <w:rPr>
                <w:sz w:val="16"/>
                <w:szCs w:val="16"/>
              </w:rPr>
            </w:pPr>
            <w:r>
              <w:rPr>
                <w:bCs/>
                <w:sz w:val="16"/>
                <w:szCs w:val="16"/>
                <w:lang w:val="en-US" w:eastAsia="zh-CN"/>
              </w:rPr>
              <w:t>Corrections to Validity Period</w:t>
            </w:r>
          </w:p>
        </w:tc>
        <w:tc>
          <w:tcPr>
            <w:tcW w:w="706" w:type="dxa"/>
            <w:shd w:val="solid" w:color="FFFFFF" w:fill="auto"/>
          </w:tcPr>
          <w:p w14:paraId="74F27B72" w14:textId="77777777" w:rsidR="00A10B25" w:rsidRDefault="00A10B25">
            <w:pPr>
              <w:pStyle w:val="TAC"/>
              <w:rPr>
                <w:sz w:val="16"/>
                <w:szCs w:val="16"/>
              </w:rPr>
            </w:pPr>
            <w:r>
              <w:rPr>
                <w:sz w:val="16"/>
                <w:szCs w:val="16"/>
              </w:rPr>
              <w:t>17.1.0</w:t>
            </w:r>
          </w:p>
        </w:tc>
      </w:tr>
      <w:tr w:rsidR="00A10B25" w14:paraId="76CBD0CD" w14:textId="77777777">
        <w:tc>
          <w:tcPr>
            <w:tcW w:w="796" w:type="dxa"/>
            <w:shd w:val="solid" w:color="FFFFFF" w:fill="auto"/>
          </w:tcPr>
          <w:p w14:paraId="051A58EA"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5ED1AAB9"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2C8F715F" w14:textId="77777777" w:rsidR="00A10B25" w:rsidRDefault="00A10B25">
            <w:pPr>
              <w:pStyle w:val="TAC"/>
              <w:rPr>
                <w:sz w:val="16"/>
                <w:szCs w:val="16"/>
              </w:rPr>
            </w:pPr>
            <w:r>
              <w:rPr>
                <w:sz w:val="16"/>
                <w:szCs w:val="16"/>
              </w:rPr>
              <w:t>CP-203129</w:t>
            </w:r>
          </w:p>
        </w:tc>
        <w:tc>
          <w:tcPr>
            <w:tcW w:w="523" w:type="dxa"/>
            <w:shd w:val="solid" w:color="FFFFFF" w:fill="auto"/>
          </w:tcPr>
          <w:p w14:paraId="15FD0E26" w14:textId="77777777" w:rsidR="00A10B25" w:rsidRDefault="00A10B25">
            <w:pPr>
              <w:pStyle w:val="TAL"/>
              <w:rPr>
                <w:sz w:val="16"/>
                <w:szCs w:val="16"/>
              </w:rPr>
            </w:pPr>
            <w:r>
              <w:rPr>
                <w:sz w:val="16"/>
                <w:szCs w:val="16"/>
              </w:rPr>
              <w:t>0244</w:t>
            </w:r>
          </w:p>
        </w:tc>
        <w:tc>
          <w:tcPr>
            <w:tcW w:w="423" w:type="dxa"/>
            <w:shd w:val="solid" w:color="FFFFFF" w:fill="auto"/>
          </w:tcPr>
          <w:p w14:paraId="281489F8" w14:textId="77777777" w:rsidR="00A10B25" w:rsidRDefault="00A10B25">
            <w:pPr>
              <w:pStyle w:val="TAR"/>
              <w:rPr>
                <w:sz w:val="16"/>
                <w:szCs w:val="16"/>
              </w:rPr>
            </w:pPr>
            <w:r>
              <w:rPr>
                <w:sz w:val="16"/>
                <w:szCs w:val="16"/>
                <w:lang w:eastAsia="zh-CN"/>
              </w:rPr>
              <w:t>1</w:t>
            </w:r>
          </w:p>
        </w:tc>
        <w:tc>
          <w:tcPr>
            <w:tcW w:w="423" w:type="dxa"/>
            <w:shd w:val="solid" w:color="FFFFFF" w:fill="auto"/>
          </w:tcPr>
          <w:p w14:paraId="36FDB17B" w14:textId="77777777" w:rsidR="00A10B25" w:rsidRDefault="00A10B25">
            <w:pPr>
              <w:pStyle w:val="TAC"/>
              <w:rPr>
                <w:sz w:val="16"/>
                <w:szCs w:val="16"/>
              </w:rPr>
            </w:pPr>
            <w:r>
              <w:rPr>
                <w:sz w:val="16"/>
                <w:szCs w:val="16"/>
              </w:rPr>
              <w:t>A</w:t>
            </w:r>
          </w:p>
        </w:tc>
        <w:tc>
          <w:tcPr>
            <w:tcW w:w="4899" w:type="dxa"/>
            <w:shd w:val="solid" w:color="FFFFFF" w:fill="auto"/>
          </w:tcPr>
          <w:p w14:paraId="3D8E92FA" w14:textId="77777777" w:rsidR="00A10B25" w:rsidRDefault="00A10B25">
            <w:pPr>
              <w:pStyle w:val="TAL"/>
              <w:rPr>
                <w:sz w:val="16"/>
                <w:szCs w:val="16"/>
              </w:rPr>
            </w:pPr>
            <w:r>
              <w:rPr>
                <w:bCs/>
                <w:sz w:val="16"/>
                <w:szCs w:val="16"/>
                <w:lang w:val="en-US" w:eastAsia="zh-CN"/>
              </w:rPr>
              <w:t>Corrections to Threshold</w:t>
            </w:r>
          </w:p>
        </w:tc>
        <w:tc>
          <w:tcPr>
            <w:tcW w:w="706" w:type="dxa"/>
            <w:shd w:val="solid" w:color="FFFFFF" w:fill="auto"/>
          </w:tcPr>
          <w:p w14:paraId="21A94BC0" w14:textId="77777777" w:rsidR="00A10B25" w:rsidRDefault="00A10B25">
            <w:pPr>
              <w:pStyle w:val="TAC"/>
              <w:rPr>
                <w:sz w:val="16"/>
                <w:szCs w:val="16"/>
              </w:rPr>
            </w:pPr>
            <w:r>
              <w:rPr>
                <w:sz w:val="16"/>
                <w:szCs w:val="16"/>
              </w:rPr>
              <w:t>17.1.0</w:t>
            </w:r>
          </w:p>
        </w:tc>
      </w:tr>
      <w:tr w:rsidR="00A10B25" w14:paraId="6B28EB14" w14:textId="77777777">
        <w:tc>
          <w:tcPr>
            <w:tcW w:w="796" w:type="dxa"/>
            <w:shd w:val="solid" w:color="FFFFFF" w:fill="auto"/>
          </w:tcPr>
          <w:p w14:paraId="04163054" w14:textId="77777777" w:rsidR="00A10B25" w:rsidRDefault="00A10B25">
            <w:pPr>
              <w:pStyle w:val="TAC"/>
              <w:rPr>
                <w:sz w:val="16"/>
                <w:szCs w:val="16"/>
              </w:rPr>
            </w:pPr>
            <w:r>
              <w:rPr>
                <w:sz w:val="16"/>
                <w:szCs w:val="16"/>
                <w:lang w:val="en-US" w:eastAsia="zh-CN"/>
              </w:rPr>
              <w:t>2020-12</w:t>
            </w:r>
          </w:p>
        </w:tc>
        <w:tc>
          <w:tcPr>
            <w:tcW w:w="828" w:type="dxa"/>
            <w:shd w:val="solid" w:color="FFFFFF" w:fill="auto"/>
          </w:tcPr>
          <w:p w14:paraId="6248B0B3" w14:textId="77777777" w:rsidR="00A10B25" w:rsidRDefault="00A10B25">
            <w:pPr>
              <w:pStyle w:val="TAC"/>
              <w:rPr>
                <w:sz w:val="16"/>
                <w:szCs w:val="16"/>
              </w:rPr>
            </w:pPr>
            <w:r>
              <w:rPr>
                <w:sz w:val="16"/>
                <w:szCs w:val="16"/>
                <w:lang w:val="en-US" w:eastAsia="zh-CN"/>
              </w:rPr>
              <w:t>CT#90e</w:t>
            </w:r>
          </w:p>
        </w:tc>
        <w:tc>
          <w:tcPr>
            <w:tcW w:w="1083" w:type="dxa"/>
            <w:shd w:val="solid" w:color="FFFFFF" w:fill="auto"/>
          </w:tcPr>
          <w:p w14:paraId="19AFA6FC" w14:textId="77777777" w:rsidR="00A10B25" w:rsidRDefault="00A10B25">
            <w:pPr>
              <w:pStyle w:val="TAC"/>
              <w:rPr>
                <w:sz w:val="16"/>
                <w:szCs w:val="16"/>
              </w:rPr>
            </w:pPr>
            <w:r>
              <w:rPr>
                <w:sz w:val="16"/>
                <w:szCs w:val="16"/>
              </w:rPr>
              <w:t>CP-203153</w:t>
            </w:r>
          </w:p>
        </w:tc>
        <w:tc>
          <w:tcPr>
            <w:tcW w:w="523" w:type="dxa"/>
            <w:shd w:val="solid" w:color="FFFFFF" w:fill="auto"/>
          </w:tcPr>
          <w:p w14:paraId="02A5D0DE" w14:textId="77777777" w:rsidR="00A10B25" w:rsidRDefault="00A10B25">
            <w:pPr>
              <w:pStyle w:val="TAL"/>
              <w:rPr>
                <w:sz w:val="16"/>
                <w:szCs w:val="16"/>
              </w:rPr>
            </w:pPr>
            <w:r>
              <w:rPr>
                <w:sz w:val="16"/>
                <w:szCs w:val="16"/>
              </w:rPr>
              <w:t>0246</w:t>
            </w:r>
          </w:p>
        </w:tc>
        <w:tc>
          <w:tcPr>
            <w:tcW w:w="423" w:type="dxa"/>
            <w:shd w:val="solid" w:color="FFFFFF" w:fill="auto"/>
          </w:tcPr>
          <w:p w14:paraId="2E4A746B" w14:textId="77777777" w:rsidR="00A10B25" w:rsidRDefault="00A10B25">
            <w:pPr>
              <w:pStyle w:val="TAR"/>
              <w:rPr>
                <w:sz w:val="16"/>
                <w:szCs w:val="16"/>
              </w:rPr>
            </w:pPr>
          </w:p>
        </w:tc>
        <w:tc>
          <w:tcPr>
            <w:tcW w:w="423" w:type="dxa"/>
            <w:shd w:val="solid" w:color="FFFFFF" w:fill="auto"/>
          </w:tcPr>
          <w:p w14:paraId="7961074F" w14:textId="77777777" w:rsidR="00A10B25" w:rsidRDefault="00A10B25">
            <w:pPr>
              <w:pStyle w:val="TAC"/>
              <w:rPr>
                <w:sz w:val="16"/>
                <w:szCs w:val="16"/>
              </w:rPr>
            </w:pPr>
            <w:r>
              <w:rPr>
                <w:sz w:val="16"/>
                <w:szCs w:val="16"/>
              </w:rPr>
              <w:t>F</w:t>
            </w:r>
          </w:p>
        </w:tc>
        <w:tc>
          <w:tcPr>
            <w:tcW w:w="4899" w:type="dxa"/>
            <w:shd w:val="solid" w:color="FFFFFF" w:fill="auto"/>
          </w:tcPr>
          <w:p w14:paraId="1A625BC3" w14:textId="77777777" w:rsidR="00A10B25" w:rsidRDefault="00A10B25">
            <w:pPr>
              <w:pStyle w:val="TAL"/>
              <w:rPr>
                <w:sz w:val="16"/>
                <w:szCs w:val="16"/>
              </w:rPr>
            </w:pPr>
            <w:r>
              <w:rPr>
                <w:bCs/>
                <w:sz w:val="16"/>
                <w:szCs w:val="16"/>
                <w:lang w:val="en-US" w:eastAsia="zh-CN"/>
              </w:rPr>
              <w:t>Update of OpenAPI version and TS version in externalDocs field</w:t>
            </w:r>
          </w:p>
        </w:tc>
        <w:tc>
          <w:tcPr>
            <w:tcW w:w="706" w:type="dxa"/>
            <w:shd w:val="solid" w:color="FFFFFF" w:fill="auto"/>
          </w:tcPr>
          <w:p w14:paraId="4A66F745" w14:textId="77777777" w:rsidR="00A10B25" w:rsidRDefault="00A10B25">
            <w:pPr>
              <w:pStyle w:val="TAC"/>
              <w:rPr>
                <w:sz w:val="16"/>
                <w:szCs w:val="16"/>
              </w:rPr>
            </w:pPr>
            <w:r>
              <w:rPr>
                <w:sz w:val="16"/>
                <w:szCs w:val="16"/>
              </w:rPr>
              <w:t>17.1.0</w:t>
            </w:r>
          </w:p>
        </w:tc>
      </w:tr>
      <w:tr w:rsidR="00A10B25" w14:paraId="578DAE8A" w14:textId="77777777">
        <w:tc>
          <w:tcPr>
            <w:tcW w:w="796" w:type="dxa"/>
            <w:shd w:val="solid" w:color="FFFFFF" w:fill="auto"/>
          </w:tcPr>
          <w:p w14:paraId="1BCF566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7C31814E"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123A84C6" w14:textId="77777777" w:rsidR="00A10B25" w:rsidRDefault="00A10B25">
            <w:pPr>
              <w:pStyle w:val="TAC"/>
              <w:rPr>
                <w:sz w:val="16"/>
                <w:szCs w:val="16"/>
              </w:rPr>
            </w:pPr>
            <w:r>
              <w:rPr>
                <w:sz w:val="16"/>
                <w:szCs w:val="16"/>
              </w:rPr>
              <w:t>CP-210191</w:t>
            </w:r>
          </w:p>
        </w:tc>
        <w:tc>
          <w:tcPr>
            <w:tcW w:w="523" w:type="dxa"/>
            <w:shd w:val="solid" w:color="FFFFFF" w:fill="auto"/>
          </w:tcPr>
          <w:p w14:paraId="6A046815" w14:textId="77777777" w:rsidR="00A10B25" w:rsidRDefault="00A10B25">
            <w:pPr>
              <w:pStyle w:val="TAL"/>
              <w:rPr>
                <w:sz w:val="16"/>
                <w:szCs w:val="16"/>
              </w:rPr>
            </w:pPr>
            <w:r>
              <w:rPr>
                <w:sz w:val="16"/>
                <w:szCs w:val="16"/>
              </w:rPr>
              <w:t>0248</w:t>
            </w:r>
          </w:p>
        </w:tc>
        <w:tc>
          <w:tcPr>
            <w:tcW w:w="423" w:type="dxa"/>
            <w:shd w:val="solid" w:color="FFFFFF" w:fill="auto"/>
          </w:tcPr>
          <w:p w14:paraId="4619EAC2"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B4FFB5A" w14:textId="77777777" w:rsidR="00A10B25" w:rsidRDefault="00A10B25">
            <w:pPr>
              <w:pStyle w:val="TAC"/>
              <w:rPr>
                <w:sz w:val="16"/>
                <w:szCs w:val="16"/>
              </w:rPr>
            </w:pPr>
            <w:r>
              <w:rPr>
                <w:rFonts w:hint="eastAsia"/>
                <w:sz w:val="16"/>
                <w:szCs w:val="16"/>
              </w:rPr>
              <w:t>F</w:t>
            </w:r>
          </w:p>
        </w:tc>
        <w:tc>
          <w:tcPr>
            <w:tcW w:w="4899" w:type="dxa"/>
            <w:shd w:val="solid" w:color="FFFFFF" w:fill="auto"/>
          </w:tcPr>
          <w:p w14:paraId="766A9498" w14:textId="77777777" w:rsidR="00A10B25" w:rsidRDefault="00A10B25">
            <w:pPr>
              <w:pStyle w:val="TAL"/>
              <w:rPr>
                <w:sz w:val="16"/>
                <w:szCs w:val="16"/>
              </w:rPr>
            </w:pPr>
            <w:r>
              <w:rPr>
                <w:sz w:val="16"/>
                <w:szCs w:val="16"/>
                <w:lang w:val="en-US" w:eastAsia="zh-CN"/>
              </w:rPr>
              <w:t>Support of stateless NFs</w:t>
            </w:r>
          </w:p>
        </w:tc>
        <w:tc>
          <w:tcPr>
            <w:tcW w:w="706" w:type="dxa"/>
            <w:shd w:val="solid" w:color="FFFFFF" w:fill="auto"/>
          </w:tcPr>
          <w:p w14:paraId="71D37072" w14:textId="77777777" w:rsidR="00A10B25" w:rsidRDefault="00A10B25">
            <w:pPr>
              <w:pStyle w:val="TAC"/>
              <w:rPr>
                <w:sz w:val="16"/>
                <w:szCs w:val="16"/>
              </w:rPr>
            </w:pPr>
            <w:r>
              <w:rPr>
                <w:sz w:val="16"/>
                <w:szCs w:val="16"/>
              </w:rPr>
              <w:t>17.2.0</w:t>
            </w:r>
          </w:p>
        </w:tc>
      </w:tr>
      <w:tr w:rsidR="00A10B25" w14:paraId="267D02F1" w14:textId="77777777">
        <w:tc>
          <w:tcPr>
            <w:tcW w:w="796" w:type="dxa"/>
            <w:shd w:val="solid" w:color="FFFFFF" w:fill="auto"/>
          </w:tcPr>
          <w:p w14:paraId="716DB7F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1937D57A"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0E057347" w14:textId="77777777" w:rsidR="00A10B25" w:rsidRDefault="00A10B25">
            <w:pPr>
              <w:pStyle w:val="TAC"/>
              <w:rPr>
                <w:sz w:val="16"/>
                <w:szCs w:val="16"/>
              </w:rPr>
            </w:pPr>
            <w:r>
              <w:rPr>
                <w:sz w:val="16"/>
                <w:szCs w:val="16"/>
              </w:rPr>
              <w:t>CP-210217</w:t>
            </w:r>
          </w:p>
        </w:tc>
        <w:tc>
          <w:tcPr>
            <w:tcW w:w="523" w:type="dxa"/>
            <w:shd w:val="solid" w:color="FFFFFF" w:fill="auto"/>
          </w:tcPr>
          <w:p w14:paraId="022428FD" w14:textId="77777777" w:rsidR="00A10B25" w:rsidRDefault="00A10B25">
            <w:pPr>
              <w:pStyle w:val="TAL"/>
              <w:rPr>
                <w:sz w:val="16"/>
                <w:szCs w:val="16"/>
              </w:rPr>
            </w:pPr>
            <w:r>
              <w:rPr>
                <w:sz w:val="16"/>
                <w:szCs w:val="16"/>
              </w:rPr>
              <w:t>0250</w:t>
            </w:r>
          </w:p>
        </w:tc>
        <w:tc>
          <w:tcPr>
            <w:tcW w:w="423" w:type="dxa"/>
            <w:shd w:val="solid" w:color="FFFFFF" w:fill="auto"/>
          </w:tcPr>
          <w:p w14:paraId="40451C3F" w14:textId="77777777" w:rsidR="00A10B25" w:rsidRDefault="00A10B25">
            <w:pPr>
              <w:pStyle w:val="TAR"/>
              <w:rPr>
                <w:sz w:val="16"/>
                <w:szCs w:val="16"/>
              </w:rPr>
            </w:pPr>
          </w:p>
        </w:tc>
        <w:tc>
          <w:tcPr>
            <w:tcW w:w="423" w:type="dxa"/>
            <w:shd w:val="solid" w:color="FFFFFF" w:fill="auto"/>
          </w:tcPr>
          <w:p w14:paraId="3659686B" w14:textId="77777777" w:rsidR="00A10B25" w:rsidRDefault="00A10B25">
            <w:pPr>
              <w:pStyle w:val="TAC"/>
              <w:rPr>
                <w:sz w:val="16"/>
                <w:szCs w:val="16"/>
              </w:rPr>
            </w:pPr>
            <w:r>
              <w:rPr>
                <w:sz w:val="16"/>
                <w:szCs w:val="16"/>
              </w:rPr>
              <w:t>A</w:t>
            </w:r>
          </w:p>
        </w:tc>
        <w:tc>
          <w:tcPr>
            <w:tcW w:w="4899" w:type="dxa"/>
            <w:shd w:val="solid" w:color="FFFFFF" w:fill="auto"/>
          </w:tcPr>
          <w:p w14:paraId="1F079EF3" w14:textId="77777777" w:rsidR="00A10B25" w:rsidRDefault="00A10B25">
            <w:pPr>
              <w:pStyle w:val="TAL"/>
              <w:rPr>
                <w:sz w:val="16"/>
                <w:szCs w:val="16"/>
              </w:rPr>
            </w:pPr>
            <w:r>
              <w:rPr>
                <w:sz w:val="16"/>
                <w:szCs w:val="16"/>
              </w:rPr>
              <w:t>Storage of YAML files in ETSI Forge</w:t>
            </w:r>
          </w:p>
        </w:tc>
        <w:tc>
          <w:tcPr>
            <w:tcW w:w="706" w:type="dxa"/>
            <w:shd w:val="solid" w:color="FFFFFF" w:fill="auto"/>
          </w:tcPr>
          <w:p w14:paraId="02698E19" w14:textId="77777777" w:rsidR="00A10B25" w:rsidRDefault="00A10B25">
            <w:pPr>
              <w:pStyle w:val="TAC"/>
              <w:rPr>
                <w:sz w:val="16"/>
                <w:szCs w:val="16"/>
              </w:rPr>
            </w:pPr>
            <w:r>
              <w:rPr>
                <w:sz w:val="16"/>
                <w:szCs w:val="16"/>
              </w:rPr>
              <w:t>17.2.0</w:t>
            </w:r>
          </w:p>
        </w:tc>
      </w:tr>
      <w:tr w:rsidR="00A10B25" w14:paraId="590CE23C" w14:textId="77777777">
        <w:tc>
          <w:tcPr>
            <w:tcW w:w="796" w:type="dxa"/>
            <w:shd w:val="solid" w:color="FFFFFF" w:fill="auto"/>
          </w:tcPr>
          <w:p w14:paraId="24E6915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3C61E95B"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1342177C" w14:textId="77777777" w:rsidR="00A10B25" w:rsidRDefault="00A10B25">
            <w:pPr>
              <w:pStyle w:val="TAC"/>
              <w:rPr>
                <w:sz w:val="16"/>
                <w:szCs w:val="16"/>
              </w:rPr>
            </w:pPr>
            <w:r>
              <w:rPr>
                <w:sz w:val="16"/>
                <w:szCs w:val="16"/>
              </w:rPr>
              <w:t>CP-210218</w:t>
            </w:r>
          </w:p>
        </w:tc>
        <w:tc>
          <w:tcPr>
            <w:tcW w:w="523" w:type="dxa"/>
            <w:shd w:val="solid" w:color="FFFFFF" w:fill="auto"/>
          </w:tcPr>
          <w:p w14:paraId="698BB833" w14:textId="77777777" w:rsidR="00A10B25" w:rsidRDefault="00A10B25">
            <w:pPr>
              <w:pStyle w:val="TAL"/>
              <w:rPr>
                <w:sz w:val="16"/>
                <w:szCs w:val="16"/>
              </w:rPr>
            </w:pPr>
            <w:r>
              <w:rPr>
                <w:sz w:val="16"/>
                <w:szCs w:val="16"/>
              </w:rPr>
              <w:t>0251</w:t>
            </w:r>
          </w:p>
        </w:tc>
        <w:tc>
          <w:tcPr>
            <w:tcW w:w="423" w:type="dxa"/>
            <w:shd w:val="solid" w:color="FFFFFF" w:fill="auto"/>
          </w:tcPr>
          <w:p w14:paraId="302679A9" w14:textId="77777777" w:rsidR="00A10B25" w:rsidRDefault="00A10B25">
            <w:pPr>
              <w:pStyle w:val="TAR"/>
              <w:rPr>
                <w:sz w:val="16"/>
                <w:szCs w:val="16"/>
              </w:rPr>
            </w:pPr>
          </w:p>
        </w:tc>
        <w:tc>
          <w:tcPr>
            <w:tcW w:w="423" w:type="dxa"/>
            <w:shd w:val="solid" w:color="FFFFFF" w:fill="auto"/>
          </w:tcPr>
          <w:p w14:paraId="4F1608E8" w14:textId="77777777" w:rsidR="00A10B25" w:rsidRDefault="00A10B25">
            <w:pPr>
              <w:pStyle w:val="TAC"/>
              <w:rPr>
                <w:sz w:val="16"/>
                <w:szCs w:val="16"/>
              </w:rPr>
            </w:pPr>
            <w:r>
              <w:rPr>
                <w:rFonts w:hint="eastAsia"/>
                <w:sz w:val="16"/>
                <w:szCs w:val="16"/>
              </w:rPr>
              <w:t>F</w:t>
            </w:r>
          </w:p>
        </w:tc>
        <w:tc>
          <w:tcPr>
            <w:tcW w:w="4899" w:type="dxa"/>
            <w:shd w:val="solid" w:color="FFFFFF" w:fill="auto"/>
          </w:tcPr>
          <w:p w14:paraId="1B60952F" w14:textId="77777777" w:rsidR="00A10B25" w:rsidRDefault="00A10B25">
            <w:pPr>
              <w:pStyle w:val="TAL"/>
              <w:rPr>
                <w:sz w:val="16"/>
                <w:szCs w:val="16"/>
              </w:rPr>
            </w:pPr>
            <w:r>
              <w:rPr>
                <w:sz w:val="16"/>
                <w:szCs w:val="16"/>
              </w:rPr>
              <w:t>OpenAPI reference</w:t>
            </w:r>
          </w:p>
        </w:tc>
        <w:tc>
          <w:tcPr>
            <w:tcW w:w="706" w:type="dxa"/>
            <w:shd w:val="solid" w:color="FFFFFF" w:fill="auto"/>
          </w:tcPr>
          <w:p w14:paraId="6347EAF0" w14:textId="77777777" w:rsidR="00A10B25" w:rsidRDefault="00A10B25">
            <w:pPr>
              <w:pStyle w:val="TAC"/>
              <w:rPr>
                <w:sz w:val="16"/>
                <w:szCs w:val="16"/>
              </w:rPr>
            </w:pPr>
            <w:r>
              <w:rPr>
                <w:sz w:val="16"/>
                <w:szCs w:val="16"/>
              </w:rPr>
              <w:t>17.2.0</w:t>
            </w:r>
          </w:p>
        </w:tc>
      </w:tr>
      <w:tr w:rsidR="00A10B25" w14:paraId="28C75A58" w14:textId="77777777">
        <w:tc>
          <w:tcPr>
            <w:tcW w:w="796" w:type="dxa"/>
            <w:shd w:val="solid" w:color="FFFFFF" w:fill="auto"/>
          </w:tcPr>
          <w:p w14:paraId="5E500AF6"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3FC1602D"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78936BE5" w14:textId="77777777" w:rsidR="00A10B25" w:rsidRDefault="00A10B25">
            <w:pPr>
              <w:pStyle w:val="TAC"/>
              <w:rPr>
                <w:sz w:val="16"/>
                <w:szCs w:val="16"/>
              </w:rPr>
            </w:pPr>
            <w:r>
              <w:rPr>
                <w:sz w:val="16"/>
                <w:szCs w:val="16"/>
              </w:rPr>
              <w:t>CP-210206</w:t>
            </w:r>
          </w:p>
        </w:tc>
        <w:tc>
          <w:tcPr>
            <w:tcW w:w="523" w:type="dxa"/>
            <w:shd w:val="solid" w:color="FFFFFF" w:fill="auto"/>
          </w:tcPr>
          <w:p w14:paraId="4A9F3052" w14:textId="77777777" w:rsidR="00A10B25" w:rsidRDefault="00A10B25">
            <w:pPr>
              <w:pStyle w:val="TAL"/>
              <w:rPr>
                <w:sz w:val="16"/>
                <w:szCs w:val="16"/>
              </w:rPr>
            </w:pPr>
            <w:r>
              <w:rPr>
                <w:sz w:val="16"/>
                <w:szCs w:val="16"/>
              </w:rPr>
              <w:t>0253</w:t>
            </w:r>
          </w:p>
        </w:tc>
        <w:tc>
          <w:tcPr>
            <w:tcW w:w="423" w:type="dxa"/>
            <w:shd w:val="solid" w:color="FFFFFF" w:fill="auto"/>
          </w:tcPr>
          <w:p w14:paraId="580D84A4"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9A67307" w14:textId="77777777" w:rsidR="00A10B25" w:rsidRDefault="00A10B25">
            <w:pPr>
              <w:pStyle w:val="TAC"/>
              <w:rPr>
                <w:sz w:val="16"/>
                <w:szCs w:val="16"/>
              </w:rPr>
            </w:pPr>
            <w:r>
              <w:rPr>
                <w:sz w:val="16"/>
                <w:szCs w:val="16"/>
              </w:rPr>
              <w:t>A</w:t>
            </w:r>
          </w:p>
        </w:tc>
        <w:tc>
          <w:tcPr>
            <w:tcW w:w="4899" w:type="dxa"/>
            <w:shd w:val="solid" w:color="FFFFFF" w:fill="auto"/>
          </w:tcPr>
          <w:p w14:paraId="21979927" w14:textId="77777777" w:rsidR="00A10B25" w:rsidRDefault="00A10B25">
            <w:pPr>
              <w:pStyle w:val="TAL"/>
              <w:rPr>
                <w:sz w:val="16"/>
                <w:szCs w:val="16"/>
              </w:rPr>
            </w:pPr>
            <w:r>
              <w:rPr>
                <w:bCs/>
                <w:sz w:val="16"/>
                <w:szCs w:val="16"/>
                <w:lang w:val="en-US" w:eastAsia="zh-CN"/>
              </w:rPr>
              <w:t>Correction to S-NSSAI applicability</w:t>
            </w:r>
          </w:p>
        </w:tc>
        <w:tc>
          <w:tcPr>
            <w:tcW w:w="706" w:type="dxa"/>
            <w:shd w:val="solid" w:color="FFFFFF" w:fill="auto"/>
          </w:tcPr>
          <w:p w14:paraId="4FDB3D31" w14:textId="77777777" w:rsidR="00A10B25" w:rsidRDefault="00A10B25">
            <w:pPr>
              <w:pStyle w:val="TAC"/>
              <w:rPr>
                <w:sz w:val="16"/>
                <w:szCs w:val="16"/>
              </w:rPr>
            </w:pPr>
            <w:r>
              <w:rPr>
                <w:sz w:val="16"/>
                <w:szCs w:val="16"/>
              </w:rPr>
              <w:t>17.2.0</w:t>
            </w:r>
          </w:p>
        </w:tc>
      </w:tr>
      <w:tr w:rsidR="00A10B25" w14:paraId="1C860122" w14:textId="77777777">
        <w:tc>
          <w:tcPr>
            <w:tcW w:w="796" w:type="dxa"/>
            <w:shd w:val="solid" w:color="FFFFFF" w:fill="auto"/>
          </w:tcPr>
          <w:p w14:paraId="02E197C5"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23882414"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38DCDFFF" w14:textId="77777777" w:rsidR="00A10B25" w:rsidRDefault="00A10B25">
            <w:pPr>
              <w:pStyle w:val="TAC"/>
              <w:rPr>
                <w:sz w:val="16"/>
                <w:szCs w:val="16"/>
              </w:rPr>
            </w:pPr>
            <w:r>
              <w:rPr>
                <w:sz w:val="16"/>
                <w:szCs w:val="16"/>
              </w:rPr>
              <w:t>CP-210206</w:t>
            </w:r>
          </w:p>
        </w:tc>
        <w:tc>
          <w:tcPr>
            <w:tcW w:w="523" w:type="dxa"/>
            <w:shd w:val="solid" w:color="FFFFFF" w:fill="auto"/>
          </w:tcPr>
          <w:p w14:paraId="0C8A041E" w14:textId="77777777" w:rsidR="00A10B25" w:rsidRDefault="00A10B25">
            <w:pPr>
              <w:pStyle w:val="TAL"/>
              <w:rPr>
                <w:sz w:val="16"/>
                <w:szCs w:val="16"/>
              </w:rPr>
            </w:pPr>
            <w:r>
              <w:rPr>
                <w:sz w:val="16"/>
                <w:szCs w:val="16"/>
              </w:rPr>
              <w:t>0255</w:t>
            </w:r>
          </w:p>
        </w:tc>
        <w:tc>
          <w:tcPr>
            <w:tcW w:w="423" w:type="dxa"/>
            <w:shd w:val="solid" w:color="FFFFFF" w:fill="auto"/>
          </w:tcPr>
          <w:p w14:paraId="25CCBB82"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A421E14" w14:textId="77777777" w:rsidR="00A10B25" w:rsidRDefault="00A10B25">
            <w:pPr>
              <w:pStyle w:val="TAC"/>
              <w:rPr>
                <w:sz w:val="16"/>
                <w:szCs w:val="16"/>
              </w:rPr>
            </w:pPr>
            <w:r>
              <w:rPr>
                <w:sz w:val="16"/>
                <w:szCs w:val="16"/>
              </w:rPr>
              <w:t>A</w:t>
            </w:r>
          </w:p>
        </w:tc>
        <w:tc>
          <w:tcPr>
            <w:tcW w:w="4899" w:type="dxa"/>
            <w:shd w:val="solid" w:color="FFFFFF" w:fill="auto"/>
          </w:tcPr>
          <w:p w14:paraId="1588B36B" w14:textId="77777777" w:rsidR="00A10B25" w:rsidRDefault="00A10B25">
            <w:pPr>
              <w:pStyle w:val="TAL"/>
              <w:rPr>
                <w:sz w:val="16"/>
                <w:szCs w:val="16"/>
              </w:rPr>
            </w:pPr>
            <w:r>
              <w:rPr>
                <w:sz w:val="16"/>
                <w:szCs w:val="16"/>
              </w:rPr>
              <w:t>Adding network slice instance load level information</w:t>
            </w:r>
          </w:p>
        </w:tc>
        <w:tc>
          <w:tcPr>
            <w:tcW w:w="706" w:type="dxa"/>
            <w:shd w:val="solid" w:color="FFFFFF" w:fill="auto"/>
          </w:tcPr>
          <w:p w14:paraId="3857D4A8" w14:textId="77777777" w:rsidR="00A10B25" w:rsidRDefault="00A10B25">
            <w:pPr>
              <w:pStyle w:val="TAC"/>
              <w:rPr>
                <w:sz w:val="16"/>
                <w:szCs w:val="16"/>
              </w:rPr>
            </w:pPr>
            <w:r>
              <w:rPr>
                <w:sz w:val="16"/>
                <w:szCs w:val="16"/>
              </w:rPr>
              <w:t>17.2.0</w:t>
            </w:r>
          </w:p>
        </w:tc>
      </w:tr>
      <w:tr w:rsidR="00A10B25" w14:paraId="30839FA7" w14:textId="77777777">
        <w:tc>
          <w:tcPr>
            <w:tcW w:w="796" w:type="dxa"/>
            <w:shd w:val="solid" w:color="FFFFFF" w:fill="auto"/>
          </w:tcPr>
          <w:p w14:paraId="5BE62F7F"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28B8F32E"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5A55EF98" w14:textId="77777777" w:rsidR="00A10B25" w:rsidRDefault="00A10B25">
            <w:pPr>
              <w:pStyle w:val="TAC"/>
              <w:rPr>
                <w:sz w:val="16"/>
                <w:szCs w:val="16"/>
              </w:rPr>
            </w:pPr>
            <w:r>
              <w:rPr>
                <w:sz w:val="16"/>
                <w:szCs w:val="16"/>
              </w:rPr>
              <w:t>CP-210219</w:t>
            </w:r>
          </w:p>
        </w:tc>
        <w:tc>
          <w:tcPr>
            <w:tcW w:w="523" w:type="dxa"/>
            <w:shd w:val="solid" w:color="FFFFFF" w:fill="auto"/>
          </w:tcPr>
          <w:p w14:paraId="2DD589CA" w14:textId="77777777" w:rsidR="00A10B25" w:rsidRDefault="00A10B25">
            <w:pPr>
              <w:pStyle w:val="TAL"/>
              <w:rPr>
                <w:sz w:val="16"/>
                <w:szCs w:val="16"/>
              </w:rPr>
            </w:pPr>
            <w:r>
              <w:rPr>
                <w:sz w:val="16"/>
                <w:szCs w:val="16"/>
              </w:rPr>
              <w:t>0256</w:t>
            </w:r>
          </w:p>
        </w:tc>
        <w:tc>
          <w:tcPr>
            <w:tcW w:w="423" w:type="dxa"/>
            <w:shd w:val="solid" w:color="FFFFFF" w:fill="auto"/>
          </w:tcPr>
          <w:p w14:paraId="7413CF9D" w14:textId="77777777" w:rsidR="00A10B25" w:rsidRDefault="00A10B25">
            <w:pPr>
              <w:pStyle w:val="TAR"/>
              <w:rPr>
                <w:sz w:val="16"/>
                <w:szCs w:val="16"/>
              </w:rPr>
            </w:pPr>
          </w:p>
        </w:tc>
        <w:tc>
          <w:tcPr>
            <w:tcW w:w="423" w:type="dxa"/>
            <w:shd w:val="solid" w:color="FFFFFF" w:fill="auto"/>
          </w:tcPr>
          <w:p w14:paraId="3710B3F2" w14:textId="77777777" w:rsidR="00A10B25" w:rsidRDefault="00A10B25">
            <w:pPr>
              <w:pStyle w:val="TAC"/>
              <w:rPr>
                <w:sz w:val="16"/>
                <w:szCs w:val="16"/>
              </w:rPr>
            </w:pPr>
            <w:r>
              <w:rPr>
                <w:sz w:val="16"/>
                <w:szCs w:val="16"/>
              </w:rPr>
              <w:t>F</w:t>
            </w:r>
          </w:p>
        </w:tc>
        <w:tc>
          <w:tcPr>
            <w:tcW w:w="4899" w:type="dxa"/>
            <w:shd w:val="solid" w:color="FFFFFF" w:fill="auto"/>
          </w:tcPr>
          <w:p w14:paraId="16D412C6" w14:textId="77777777" w:rsidR="00A10B25" w:rsidRDefault="00A10B25">
            <w:pPr>
              <w:pStyle w:val="TAL"/>
              <w:rPr>
                <w:sz w:val="16"/>
                <w:szCs w:val="16"/>
              </w:rPr>
            </w:pPr>
            <w:r>
              <w:rPr>
                <w:sz w:val="16"/>
                <w:szCs w:val="16"/>
              </w:rPr>
              <w:t>Adding some missing description fields to data type definitions in OpenAPI specification files</w:t>
            </w:r>
          </w:p>
        </w:tc>
        <w:tc>
          <w:tcPr>
            <w:tcW w:w="706" w:type="dxa"/>
            <w:shd w:val="solid" w:color="FFFFFF" w:fill="auto"/>
          </w:tcPr>
          <w:p w14:paraId="60E0F0D2" w14:textId="77777777" w:rsidR="00A10B25" w:rsidRDefault="00A10B25">
            <w:pPr>
              <w:pStyle w:val="TAC"/>
              <w:rPr>
                <w:sz w:val="16"/>
                <w:szCs w:val="16"/>
              </w:rPr>
            </w:pPr>
            <w:r>
              <w:rPr>
                <w:sz w:val="16"/>
                <w:szCs w:val="16"/>
              </w:rPr>
              <w:t>17.2.0</w:t>
            </w:r>
          </w:p>
        </w:tc>
      </w:tr>
      <w:tr w:rsidR="00A10B25" w14:paraId="3DD8AFEA" w14:textId="77777777">
        <w:tc>
          <w:tcPr>
            <w:tcW w:w="796" w:type="dxa"/>
            <w:shd w:val="solid" w:color="FFFFFF" w:fill="auto"/>
          </w:tcPr>
          <w:p w14:paraId="44908AB5"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78260EB4"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670EFE22" w14:textId="77777777" w:rsidR="00A10B25" w:rsidRDefault="00A10B25">
            <w:pPr>
              <w:pStyle w:val="TAC"/>
              <w:rPr>
                <w:sz w:val="16"/>
                <w:szCs w:val="16"/>
              </w:rPr>
            </w:pPr>
            <w:r>
              <w:rPr>
                <w:sz w:val="16"/>
                <w:szCs w:val="16"/>
              </w:rPr>
              <w:t>CP-210219</w:t>
            </w:r>
          </w:p>
        </w:tc>
        <w:tc>
          <w:tcPr>
            <w:tcW w:w="523" w:type="dxa"/>
            <w:shd w:val="solid" w:color="FFFFFF" w:fill="auto"/>
          </w:tcPr>
          <w:p w14:paraId="45384A2C" w14:textId="77777777" w:rsidR="00A10B25" w:rsidRDefault="00A10B25">
            <w:pPr>
              <w:pStyle w:val="TAL"/>
              <w:rPr>
                <w:sz w:val="16"/>
                <w:szCs w:val="16"/>
              </w:rPr>
            </w:pPr>
            <w:r>
              <w:rPr>
                <w:sz w:val="16"/>
                <w:szCs w:val="16"/>
              </w:rPr>
              <w:t>0257</w:t>
            </w:r>
          </w:p>
        </w:tc>
        <w:tc>
          <w:tcPr>
            <w:tcW w:w="423" w:type="dxa"/>
            <w:shd w:val="solid" w:color="FFFFFF" w:fill="auto"/>
          </w:tcPr>
          <w:p w14:paraId="1B826270" w14:textId="77777777" w:rsidR="00A10B25" w:rsidRDefault="00A10B25">
            <w:pPr>
              <w:pStyle w:val="TAR"/>
              <w:rPr>
                <w:sz w:val="16"/>
                <w:szCs w:val="16"/>
              </w:rPr>
            </w:pPr>
          </w:p>
        </w:tc>
        <w:tc>
          <w:tcPr>
            <w:tcW w:w="423" w:type="dxa"/>
            <w:shd w:val="solid" w:color="FFFFFF" w:fill="auto"/>
          </w:tcPr>
          <w:p w14:paraId="74071E1A" w14:textId="77777777" w:rsidR="00A10B25" w:rsidRDefault="00A10B25">
            <w:pPr>
              <w:pStyle w:val="TAC"/>
              <w:rPr>
                <w:sz w:val="16"/>
                <w:szCs w:val="16"/>
              </w:rPr>
            </w:pPr>
            <w:r>
              <w:rPr>
                <w:sz w:val="16"/>
                <w:szCs w:val="16"/>
              </w:rPr>
              <w:t>F</w:t>
            </w:r>
          </w:p>
        </w:tc>
        <w:tc>
          <w:tcPr>
            <w:tcW w:w="4899" w:type="dxa"/>
            <w:shd w:val="solid" w:color="FFFFFF" w:fill="auto"/>
          </w:tcPr>
          <w:p w14:paraId="501ACD38" w14:textId="77777777" w:rsidR="00A10B25" w:rsidRDefault="00A10B25">
            <w:pPr>
              <w:pStyle w:val="TAL"/>
              <w:rPr>
                <w:sz w:val="16"/>
                <w:szCs w:val="16"/>
              </w:rPr>
            </w:pPr>
            <w:r>
              <w:rPr>
                <w:sz w:val="16"/>
                <w:szCs w:val="16"/>
              </w:rPr>
              <w:t>Removal of the NwdafFailureCode data type from the Nnwdaf_AnalyticsInfo API</w:t>
            </w:r>
          </w:p>
        </w:tc>
        <w:tc>
          <w:tcPr>
            <w:tcW w:w="706" w:type="dxa"/>
            <w:shd w:val="solid" w:color="FFFFFF" w:fill="auto"/>
          </w:tcPr>
          <w:p w14:paraId="2F3FCE43" w14:textId="77777777" w:rsidR="00A10B25" w:rsidRDefault="00A10B25">
            <w:pPr>
              <w:pStyle w:val="TAC"/>
              <w:rPr>
                <w:sz w:val="16"/>
                <w:szCs w:val="16"/>
              </w:rPr>
            </w:pPr>
            <w:r>
              <w:rPr>
                <w:sz w:val="16"/>
                <w:szCs w:val="16"/>
              </w:rPr>
              <w:t>17.2.0</w:t>
            </w:r>
          </w:p>
        </w:tc>
      </w:tr>
      <w:tr w:rsidR="00A10B25" w14:paraId="42A27035" w14:textId="77777777">
        <w:tc>
          <w:tcPr>
            <w:tcW w:w="796" w:type="dxa"/>
            <w:shd w:val="solid" w:color="FFFFFF" w:fill="auto"/>
          </w:tcPr>
          <w:p w14:paraId="3CE17A1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311605F9"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34EFE2B8" w14:textId="77777777" w:rsidR="00A10B25" w:rsidRDefault="00A10B25">
            <w:pPr>
              <w:pStyle w:val="TAC"/>
              <w:rPr>
                <w:sz w:val="16"/>
                <w:szCs w:val="16"/>
              </w:rPr>
            </w:pPr>
            <w:r>
              <w:rPr>
                <w:sz w:val="16"/>
                <w:szCs w:val="16"/>
              </w:rPr>
              <w:t>CP-210230</w:t>
            </w:r>
          </w:p>
        </w:tc>
        <w:tc>
          <w:tcPr>
            <w:tcW w:w="523" w:type="dxa"/>
            <w:shd w:val="solid" w:color="FFFFFF" w:fill="auto"/>
          </w:tcPr>
          <w:p w14:paraId="71D98EB3" w14:textId="77777777" w:rsidR="00A10B25" w:rsidRDefault="00A10B25">
            <w:pPr>
              <w:pStyle w:val="TAL"/>
              <w:rPr>
                <w:sz w:val="16"/>
                <w:szCs w:val="16"/>
              </w:rPr>
            </w:pPr>
            <w:r>
              <w:rPr>
                <w:sz w:val="16"/>
                <w:szCs w:val="16"/>
              </w:rPr>
              <w:t>0258</w:t>
            </w:r>
          </w:p>
        </w:tc>
        <w:tc>
          <w:tcPr>
            <w:tcW w:w="423" w:type="dxa"/>
            <w:shd w:val="solid" w:color="FFFFFF" w:fill="auto"/>
          </w:tcPr>
          <w:p w14:paraId="42444B69" w14:textId="77777777" w:rsidR="00A10B25" w:rsidRDefault="00A10B25">
            <w:pPr>
              <w:pStyle w:val="TAR"/>
              <w:rPr>
                <w:sz w:val="16"/>
                <w:szCs w:val="16"/>
              </w:rPr>
            </w:pPr>
          </w:p>
        </w:tc>
        <w:tc>
          <w:tcPr>
            <w:tcW w:w="423" w:type="dxa"/>
            <w:shd w:val="solid" w:color="FFFFFF" w:fill="auto"/>
          </w:tcPr>
          <w:p w14:paraId="510DC1A7" w14:textId="77777777" w:rsidR="00A10B25" w:rsidRDefault="00A10B25">
            <w:pPr>
              <w:pStyle w:val="TAC"/>
              <w:rPr>
                <w:sz w:val="16"/>
                <w:szCs w:val="16"/>
              </w:rPr>
            </w:pPr>
            <w:r>
              <w:rPr>
                <w:sz w:val="16"/>
                <w:szCs w:val="16"/>
              </w:rPr>
              <w:t>F</w:t>
            </w:r>
          </w:p>
        </w:tc>
        <w:tc>
          <w:tcPr>
            <w:tcW w:w="4899" w:type="dxa"/>
            <w:shd w:val="solid" w:color="FFFFFF" w:fill="auto"/>
          </w:tcPr>
          <w:p w14:paraId="17CAFA96" w14:textId="77777777" w:rsidR="00A10B25" w:rsidRDefault="00A10B25">
            <w:pPr>
              <w:pStyle w:val="TAL"/>
              <w:rPr>
                <w:sz w:val="16"/>
                <w:szCs w:val="16"/>
              </w:rPr>
            </w:pPr>
            <w:r>
              <w:rPr>
                <w:sz w:val="16"/>
                <w:szCs w:val="16"/>
              </w:rPr>
              <w:t>Missing data type in the Nnwdaf_EventsSubscription specific Data Types table</w:t>
            </w:r>
          </w:p>
        </w:tc>
        <w:tc>
          <w:tcPr>
            <w:tcW w:w="706" w:type="dxa"/>
            <w:shd w:val="solid" w:color="FFFFFF" w:fill="auto"/>
          </w:tcPr>
          <w:p w14:paraId="60FC1AF1" w14:textId="77777777" w:rsidR="00A10B25" w:rsidRDefault="00A10B25">
            <w:pPr>
              <w:pStyle w:val="TAC"/>
              <w:rPr>
                <w:sz w:val="16"/>
                <w:szCs w:val="16"/>
              </w:rPr>
            </w:pPr>
            <w:r>
              <w:rPr>
                <w:sz w:val="16"/>
                <w:szCs w:val="16"/>
              </w:rPr>
              <w:t>17.2.0</w:t>
            </w:r>
          </w:p>
        </w:tc>
      </w:tr>
      <w:tr w:rsidR="00A10B25" w14:paraId="3EB929F8" w14:textId="77777777">
        <w:tc>
          <w:tcPr>
            <w:tcW w:w="796" w:type="dxa"/>
            <w:shd w:val="solid" w:color="FFFFFF" w:fill="auto"/>
          </w:tcPr>
          <w:p w14:paraId="6CB7873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57CBC470"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3F3BED01" w14:textId="77777777" w:rsidR="00A10B25" w:rsidRDefault="00A10B25">
            <w:pPr>
              <w:pStyle w:val="TAC"/>
              <w:rPr>
                <w:sz w:val="16"/>
                <w:szCs w:val="16"/>
              </w:rPr>
            </w:pPr>
            <w:r>
              <w:rPr>
                <w:sz w:val="16"/>
                <w:szCs w:val="16"/>
              </w:rPr>
              <w:t>CP-210230</w:t>
            </w:r>
          </w:p>
        </w:tc>
        <w:tc>
          <w:tcPr>
            <w:tcW w:w="523" w:type="dxa"/>
            <w:shd w:val="solid" w:color="FFFFFF" w:fill="auto"/>
          </w:tcPr>
          <w:p w14:paraId="790023EA" w14:textId="77777777" w:rsidR="00A10B25" w:rsidRDefault="00A10B25">
            <w:pPr>
              <w:pStyle w:val="TAL"/>
              <w:rPr>
                <w:sz w:val="16"/>
                <w:szCs w:val="16"/>
              </w:rPr>
            </w:pPr>
            <w:r>
              <w:rPr>
                <w:sz w:val="16"/>
                <w:szCs w:val="16"/>
              </w:rPr>
              <w:t>0259</w:t>
            </w:r>
          </w:p>
        </w:tc>
        <w:tc>
          <w:tcPr>
            <w:tcW w:w="423" w:type="dxa"/>
            <w:shd w:val="solid" w:color="FFFFFF" w:fill="auto"/>
          </w:tcPr>
          <w:p w14:paraId="156EBF12" w14:textId="77777777" w:rsidR="00A10B25" w:rsidRDefault="00A10B25">
            <w:pPr>
              <w:pStyle w:val="TAR"/>
              <w:rPr>
                <w:sz w:val="16"/>
                <w:szCs w:val="16"/>
              </w:rPr>
            </w:pPr>
          </w:p>
        </w:tc>
        <w:tc>
          <w:tcPr>
            <w:tcW w:w="423" w:type="dxa"/>
            <w:shd w:val="solid" w:color="FFFFFF" w:fill="auto"/>
          </w:tcPr>
          <w:p w14:paraId="54A4E124" w14:textId="77777777" w:rsidR="00A10B25" w:rsidRDefault="00A10B25">
            <w:pPr>
              <w:pStyle w:val="TAC"/>
              <w:rPr>
                <w:sz w:val="16"/>
                <w:szCs w:val="16"/>
              </w:rPr>
            </w:pPr>
            <w:r>
              <w:rPr>
                <w:sz w:val="16"/>
                <w:szCs w:val="16"/>
              </w:rPr>
              <w:t>F</w:t>
            </w:r>
          </w:p>
        </w:tc>
        <w:tc>
          <w:tcPr>
            <w:tcW w:w="4899" w:type="dxa"/>
            <w:shd w:val="solid" w:color="FFFFFF" w:fill="auto"/>
          </w:tcPr>
          <w:p w14:paraId="545E067B" w14:textId="77777777" w:rsidR="00A10B25" w:rsidRDefault="00A10B25">
            <w:pPr>
              <w:pStyle w:val="TAL"/>
              <w:rPr>
                <w:sz w:val="16"/>
                <w:szCs w:val="16"/>
              </w:rPr>
            </w:pPr>
            <w:r>
              <w:rPr>
                <w:sz w:val="16"/>
                <w:szCs w:val="16"/>
              </w:rPr>
              <w:t>Wrong description of the EventFilter data type in the Nnwdaf_AnalyticsInfo specific Data Types table</w:t>
            </w:r>
          </w:p>
        </w:tc>
        <w:tc>
          <w:tcPr>
            <w:tcW w:w="706" w:type="dxa"/>
            <w:shd w:val="solid" w:color="FFFFFF" w:fill="auto"/>
          </w:tcPr>
          <w:p w14:paraId="362B85CF" w14:textId="77777777" w:rsidR="00A10B25" w:rsidRDefault="00A10B25">
            <w:pPr>
              <w:pStyle w:val="TAC"/>
              <w:rPr>
                <w:sz w:val="16"/>
                <w:szCs w:val="16"/>
              </w:rPr>
            </w:pPr>
            <w:r>
              <w:rPr>
                <w:sz w:val="16"/>
                <w:szCs w:val="16"/>
              </w:rPr>
              <w:t>17.2.0</w:t>
            </w:r>
          </w:p>
        </w:tc>
      </w:tr>
      <w:tr w:rsidR="00A10B25" w14:paraId="04D949F6" w14:textId="77777777">
        <w:tc>
          <w:tcPr>
            <w:tcW w:w="796" w:type="dxa"/>
            <w:shd w:val="solid" w:color="FFFFFF" w:fill="auto"/>
          </w:tcPr>
          <w:p w14:paraId="608BEBC7"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72E12594"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426B9B5F" w14:textId="77777777" w:rsidR="00A10B25" w:rsidRDefault="00A10B25">
            <w:pPr>
              <w:pStyle w:val="TAC"/>
              <w:rPr>
                <w:sz w:val="16"/>
                <w:szCs w:val="16"/>
              </w:rPr>
            </w:pPr>
            <w:r>
              <w:rPr>
                <w:sz w:val="16"/>
                <w:szCs w:val="16"/>
              </w:rPr>
              <w:t>CP-210206</w:t>
            </w:r>
          </w:p>
        </w:tc>
        <w:tc>
          <w:tcPr>
            <w:tcW w:w="523" w:type="dxa"/>
            <w:shd w:val="solid" w:color="FFFFFF" w:fill="auto"/>
          </w:tcPr>
          <w:p w14:paraId="3534680D" w14:textId="77777777" w:rsidR="00A10B25" w:rsidRDefault="00A10B25">
            <w:pPr>
              <w:pStyle w:val="TAL"/>
              <w:rPr>
                <w:sz w:val="16"/>
                <w:szCs w:val="16"/>
              </w:rPr>
            </w:pPr>
            <w:r>
              <w:rPr>
                <w:sz w:val="16"/>
                <w:szCs w:val="16"/>
              </w:rPr>
              <w:t>0261</w:t>
            </w:r>
          </w:p>
        </w:tc>
        <w:tc>
          <w:tcPr>
            <w:tcW w:w="423" w:type="dxa"/>
            <w:shd w:val="solid" w:color="FFFFFF" w:fill="auto"/>
          </w:tcPr>
          <w:p w14:paraId="36887AB6" w14:textId="77777777" w:rsidR="00A10B25" w:rsidRDefault="00A10B25">
            <w:pPr>
              <w:pStyle w:val="TAR"/>
              <w:rPr>
                <w:sz w:val="16"/>
                <w:szCs w:val="16"/>
              </w:rPr>
            </w:pPr>
          </w:p>
        </w:tc>
        <w:tc>
          <w:tcPr>
            <w:tcW w:w="423" w:type="dxa"/>
            <w:shd w:val="solid" w:color="FFFFFF" w:fill="auto"/>
          </w:tcPr>
          <w:p w14:paraId="2CD8769A" w14:textId="77777777" w:rsidR="00A10B25" w:rsidRDefault="00A10B25">
            <w:pPr>
              <w:pStyle w:val="TAC"/>
              <w:rPr>
                <w:sz w:val="16"/>
                <w:szCs w:val="16"/>
              </w:rPr>
            </w:pPr>
            <w:r>
              <w:rPr>
                <w:sz w:val="16"/>
                <w:szCs w:val="16"/>
              </w:rPr>
              <w:t>A</w:t>
            </w:r>
          </w:p>
        </w:tc>
        <w:tc>
          <w:tcPr>
            <w:tcW w:w="4899" w:type="dxa"/>
            <w:shd w:val="solid" w:color="FFFFFF" w:fill="auto"/>
          </w:tcPr>
          <w:p w14:paraId="074ACDA9" w14:textId="77777777" w:rsidR="00A10B25" w:rsidRDefault="00A10B25">
            <w:pPr>
              <w:pStyle w:val="TAL"/>
              <w:rPr>
                <w:sz w:val="16"/>
                <w:szCs w:val="16"/>
              </w:rPr>
            </w:pPr>
            <w:r>
              <w:rPr>
                <w:sz w:val="16"/>
                <w:szCs w:val="16"/>
              </w:rPr>
              <w:t>Any Slice applicability</w:t>
            </w:r>
          </w:p>
        </w:tc>
        <w:tc>
          <w:tcPr>
            <w:tcW w:w="706" w:type="dxa"/>
            <w:shd w:val="solid" w:color="FFFFFF" w:fill="auto"/>
          </w:tcPr>
          <w:p w14:paraId="5BC08C75" w14:textId="77777777" w:rsidR="00A10B25" w:rsidRDefault="00A10B25">
            <w:pPr>
              <w:pStyle w:val="TAC"/>
              <w:rPr>
                <w:sz w:val="16"/>
                <w:szCs w:val="16"/>
              </w:rPr>
            </w:pPr>
            <w:r>
              <w:rPr>
                <w:sz w:val="16"/>
                <w:szCs w:val="16"/>
              </w:rPr>
              <w:t>17.2.0</w:t>
            </w:r>
          </w:p>
        </w:tc>
      </w:tr>
      <w:tr w:rsidR="00A10B25" w14:paraId="4712D356" w14:textId="77777777">
        <w:tc>
          <w:tcPr>
            <w:tcW w:w="796" w:type="dxa"/>
            <w:shd w:val="solid" w:color="FFFFFF" w:fill="auto"/>
          </w:tcPr>
          <w:p w14:paraId="1EF71399"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07B79506"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28DCC2C0" w14:textId="77777777" w:rsidR="00A10B25" w:rsidRDefault="00A10B25">
            <w:pPr>
              <w:pStyle w:val="TAC"/>
              <w:rPr>
                <w:sz w:val="16"/>
                <w:szCs w:val="16"/>
              </w:rPr>
            </w:pPr>
            <w:r>
              <w:rPr>
                <w:sz w:val="16"/>
                <w:szCs w:val="16"/>
              </w:rPr>
              <w:t>CP-210206</w:t>
            </w:r>
          </w:p>
        </w:tc>
        <w:tc>
          <w:tcPr>
            <w:tcW w:w="523" w:type="dxa"/>
            <w:shd w:val="solid" w:color="FFFFFF" w:fill="auto"/>
          </w:tcPr>
          <w:p w14:paraId="382802BD" w14:textId="77777777" w:rsidR="00A10B25" w:rsidRDefault="00A10B25">
            <w:pPr>
              <w:pStyle w:val="TAL"/>
              <w:rPr>
                <w:sz w:val="16"/>
                <w:szCs w:val="16"/>
              </w:rPr>
            </w:pPr>
            <w:r>
              <w:rPr>
                <w:sz w:val="16"/>
                <w:szCs w:val="16"/>
              </w:rPr>
              <w:t>0263</w:t>
            </w:r>
          </w:p>
        </w:tc>
        <w:tc>
          <w:tcPr>
            <w:tcW w:w="423" w:type="dxa"/>
            <w:shd w:val="solid" w:color="FFFFFF" w:fill="auto"/>
          </w:tcPr>
          <w:p w14:paraId="71FDCEF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0F9F6C8" w14:textId="77777777" w:rsidR="00A10B25" w:rsidRDefault="00A10B25">
            <w:pPr>
              <w:pStyle w:val="TAC"/>
              <w:rPr>
                <w:sz w:val="16"/>
                <w:szCs w:val="16"/>
              </w:rPr>
            </w:pPr>
            <w:r>
              <w:rPr>
                <w:sz w:val="16"/>
                <w:szCs w:val="16"/>
              </w:rPr>
              <w:t>A</w:t>
            </w:r>
          </w:p>
        </w:tc>
        <w:tc>
          <w:tcPr>
            <w:tcW w:w="4899" w:type="dxa"/>
            <w:shd w:val="solid" w:color="FFFFFF" w:fill="auto"/>
          </w:tcPr>
          <w:p w14:paraId="007D25B6" w14:textId="77777777" w:rsidR="00A10B25" w:rsidRDefault="00A10B25">
            <w:pPr>
              <w:pStyle w:val="TAL"/>
              <w:rPr>
                <w:sz w:val="16"/>
                <w:szCs w:val="16"/>
              </w:rPr>
            </w:pPr>
            <w:r>
              <w:rPr>
                <w:sz w:val="16"/>
                <w:szCs w:val="16"/>
              </w:rPr>
              <w:t>Partial failure during event subscription</w:t>
            </w:r>
          </w:p>
        </w:tc>
        <w:tc>
          <w:tcPr>
            <w:tcW w:w="706" w:type="dxa"/>
            <w:shd w:val="solid" w:color="FFFFFF" w:fill="auto"/>
          </w:tcPr>
          <w:p w14:paraId="5C1C5C6E" w14:textId="77777777" w:rsidR="00A10B25" w:rsidRDefault="00A10B25">
            <w:pPr>
              <w:pStyle w:val="TAC"/>
              <w:rPr>
                <w:sz w:val="16"/>
                <w:szCs w:val="16"/>
              </w:rPr>
            </w:pPr>
            <w:r>
              <w:rPr>
                <w:sz w:val="16"/>
                <w:szCs w:val="16"/>
              </w:rPr>
              <w:t>17.2.0</w:t>
            </w:r>
          </w:p>
        </w:tc>
      </w:tr>
      <w:tr w:rsidR="00A10B25" w14:paraId="2E55EC17" w14:textId="77777777">
        <w:tc>
          <w:tcPr>
            <w:tcW w:w="796" w:type="dxa"/>
            <w:shd w:val="solid" w:color="FFFFFF" w:fill="auto"/>
          </w:tcPr>
          <w:p w14:paraId="38425459"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63AAA675"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24C0C553" w14:textId="77777777" w:rsidR="00A10B25" w:rsidRDefault="00A10B25">
            <w:pPr>
              <w:pStyle w:val="TAC"/>
              <w:rPr>
                <w:sz w:val="16"/>
                <w:szCs w:val="16"/>
              </w:rPr>
            </w:pPr>
            <w:r>
              <w:rPr>
                <w:sz w:val="16"/>
                <w:szCs w:val="16"/>
              </w:rPr>
              <w:t>CP-210206</w:t>
            </w:r>
          </w:p>
        </w:tc>
        <w:tc>
          <w:tcPr>
            <w:tcW w:w="523" w:type="dxa"/>
            <w:shd w:val="solid" w:color="FFFFFF" w:fill="auto"/>
          </w:tcPr>
          <w:p w14:paraId="125ECD6F" w14:textId="77777777" w:rsidR="00A10B25" w:rsidRDefault="00A10B25">
            <w:pPr>
              <w:pStyle w:val="TAL"/>
              <w:rPr>
                <w:sz w:val="16"/>
                <w:szCs w:val="16"/>
              </w:rPr>
            </w:pPr>
            <w:r>
              <w:rPr>
                <w:sz w:val="16"/>
                <w:szCs w:val="16"/>
              </w:rPr>
              <w:t>0265</w:t>
            </w:r>
          </w:p>
        </w:tc>
        <w:tc>
          <w:tcPr>
            <w:tcW w:w="423" w:type="dxa"/>
            <w:shd w:val="solid" w:color="FFFFFF" w:fill="auto"/>
          </w:tcPr>
          <w:p w14:paraId="59FBCB5A" w14:textId="77777777" w:rsidR="00A10B25" w:rsidRDefault="00A10B25">
            <w:pPr>
              <w:pStyle w:val="TAR"/>
              <w:rPr>
                <w:sz w:val="16"/>
                <w:szCs w:val="16"/>
              </w:rPr>
            </w:pPr>
          </w:p>
        </w:tc>
        <w:tc>
          <w:tcPr>
            <w:tcW w:w="423" w:type="dxa"/>
            <w:shd w:val="solid" w:color="FFFFFF" w:fill="auto"/>
          </w:tcPr>
          <w:p w14:paraId="2BB52618" w14:textId="77777777" w:rsidR="00A10B25" w:rsidRDefault="00A10B25">
            <w:pPr>
              <w:pStyle w:val="TAC"/>
              <w:rPr>
                <w:sz w:val="16"/>
                <w:szCs w:val="16"/>
              </w:rPr>
            </w:pPr>
            <w:r>
              <w:rPr>
                <w:sz w:val="16"/>
                <w:szCs w:val="16"/>
              </w:rPr>
              <w:t>A</w:t>
            </w:r>
          </w:p>
        </w:tc>
        <w:tc>
          <w:tcPr>
            <w:tcW w:w="4899" w:type="dxa"/>
            <w:shd w:val="solid" w:color="FFFFFF" w:fill="auto"/>
          </w:tcPr>
          <w:p w14:paraId="5F833DDC" w14:textId="77777777" w:rsidR="00A10B25" w:rsidRDefault="00A10B25">
            <w:pPr>
              <w:pStyle w:val="TAL"/>
              <w:rPr>
                <w:sz w:val="16"/>
                <w:szCs w:val="16"/>
              </w:rPr>
            </w:pPr>
            <w:r>
              <w:rPr>
                <w:sz w:val="16"/>
                <w:szCs w:val="16"/>
              </w:rPr>
              <w:t>Supported feature</w:t>
            </w:r>
          </w:p>
        </w:tc>
        <w:tc>
          <w:tcPr>
            <w:tcW w:w="706" w:type="dxa"/>
            <w:shd w:val="solid" w:color="FFFFFF" w:fill="auto"/>
          </w:tcPr>
          <w:p w14:paraId="48E90447" w14:textId="77777777" w:rsidR="00A10B25" w:rsidRDefault="00A10B25">
            <w:pPr>
              <w:pStyle w:val="TAC"/>
              <w:rPr>
                <w:sz w:val="16"/>
                <w:szCs w:val="16"/>
              </w:rPr>
            </w:pPr>
            <w:r>
              <w:rPr>
                <w:sz w:val="16"/>
                <w:szCs w:val="16"/>
              </w:rPr>
              <w:t>17.2.0</w:t>
            </w:r>
          </w:p>
        </w:tc>
      </w:tr>
      <w:tr w:rsidR="00A10B25" w14:paraId="257A6599" w14:textId="77777777">
        <w:tc>
          <w:tcPr>
            <w:tcW w:w="796" w:type="dxa"/>
            <w:shd w:val="solid" w:color="FFFFFF" w:fill="auto"/>
          </w:tcPr>
          <w:p w14:paraId="314EEF1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03</w:t>
            </w:r>
          </w:p>
        </w:tc>
        <w:tc>
          <w:tcPr>
            <w:tcW w:w="828" w:type="dxa"/>
            <w:shd w:val="solid" w:color="FFFFFF" w:fill="auto"/>
          </w:tcPr>
          <w:p w14:paraId="3C374329" w14:textId="77777777" w:rsidR="00A10B25" w:rsidRDefault="00A10B25">
            <w:pPr>
              <w:pStyle w:val="TAC"/>
              <w:rPr>
                <w:sz w:val="16"/>
                <w:szCs w:val="16"/>
              </w:rPr>
            </w:pPr>
            <w:r>
              <w:rPr>
                <w:sz w:val="16"/>
                <w:szCs w:val="16"/>
                <w:lang w:val="en-US" w:eastAsia="zh-CN"/>
              </w:rPr>
              <w:t>CT#91e</w:t>
            </w:r>
          </w:p>
        </w:tc>
        <w:tc>
          <w:tcPr>
            <w:tcW w:w="1083" w:type="dxa"/>
            <w:shd w:val="solid" w:color="FFFFFF" w:fill="auto"/>
          </w:tcPr>
          <w:p w14:paraId="2F1854C3" w14:textId="77777777" w:rsidR="00A10B25" w:rsidRDefault="00A10B25">
            <w:pPr>
              <w:pStyle w:val="TAC"/>
              <w:rPr>
                <w:sz w:val="16"/>
                <w:szCs w:val="16"/>
              </w:rPr>
            </w:pPr>
            <w:r>
              <w:rPr>
                <w:sz w:val="16"/>
                <w:szCs w:val="16"/>
              </w:rPr>
              <w:t>CP-210240</w:t>
            </w:r>
          </w:p>
        </w:tc>
        <w:tc>
          <w:tcPr>
            <w:tcW w:w="523" w:type="dxa"/>
            <w:shd w:val="solid" w:color="FFFFFF" w:fill="auto"/>
          </w:tcPr>
          <w:p w14:paraId="537880A6" w14:textId="77777777" w:rsidR="00A10B25" w:rsidRDefault="00A10B25">
            <w:pPr>
              <w:pStyle w:val="TAL"/>
              <w:rPr>
                <w:sz w:val="16"/>
                <w:szCs w:val="16"/>
              </w:rPr>
            </w:pPr>
            <w:r>
              <w:rPr>
                <w:sz w:val="16"/>
                <w:szCs w:val="16"/>
              </w:rPr>
              <w:t>0267</w:t>
            </w:r>
          </w:p>
        </w:tc>
        <w:tc>
          <w:tcPr>
            <w:tcW w:w="423" w:type="dxa"/>
            <w:shd w:val="solid" w:color="FFFFFF" w:fill="auto"/>
          </w:tcPr>
          <w:p w14:paraId="50EC48E7" w14:textId="77777777" w:rsidR="00A10B25" w:rsidRDefault="00A10B25">
            <w:pPr>
              <w:pStyle w:val="TAR"/>
              <w:rPr>
                <w:sz w:val="16"/>
                <w:szCs w:val="16"/>
              </w:rPr>
            </w:pPr>
          </w:p>
        </w:tc>
        <w:tc>
          <w:tcPr>
            <w:tcW w:w="423" w:type="dxa"/>
            <w:shd w:val="solid" w:color="FFFFFF" w:fill="auto"/>
          </w:tcPr>
          <w:p w14:paraId="13B5B5A4" w14:textId="77777777" w:rsidR="00A10B25" w:rsidRDefault="00A10B25">
            <w:pPr>
              <w:pStyle w:val="TAC"/>
              <w:rPr>
                <w:sz w:val="16"/>
                <w:szCs w:val="16"/>
              </w:rPr>
            </w:pPr>
            <w:r>
              <w:rPr>
                <w:sz w:val="16"/>
                <w:szCs w:val="16"/>
              </w:rPr>
              <w:t>F</w:t>
            </w:r>
          </w:p>
        </w:tc>
        <w:tc>
          <w:tcPr>
            <w:tcW w:w="4899" w:type="dxa"/>
            <w:shd w:val="solid" w:color="FFFFFF" w:fill="auto"/>
          </w:tcPr>
          <w:p w14:paraId="3D060163" w14:textId="77777777" w:rsidR="00A10B25" w:rsidRDefault="00A10B25">
            <w:pPr>
              <w:pStyle w:val="TAL"/>
              <w:rPr>
                <w:sz w:val="16"/>
                <w:szCs w:val="16"/>
              </w:rPr>
            </w:pPr>
            <w:r>
              <w:rPr>
                <w:bCs/>
                <w:sz w:val="16"/>
                <w:szCs w:val="16"/>
                <w:lang w:val="en-US" w:eastAsia="zh-CN"/>
              </w:rPr>
              <w:t>Update of OpenAPI version and TS version in externalDocs field</w:t>
            </w:r>
          </w:p>
        </w:tc>
        <w:tc>
          <w:tcPr>
            <w:tcW w:w="706" w:type="dxa"/>
            <w:shd w:val="solid" w:color="FFFFFF" w:fill="auto"/>
          </w:tcPr>
          <w:p w14:paraId="2A6FFE45" w14:textId="77777777" w:rsidR="00A10B25" w:rsidRDefault="00A10B25">
            <w:pPr>
              <w:pStyle w:val="TAC"/>
              <w:rPr>
                <w:sz w:val="16"/>
                <w:szCs w:val="16"/>
              </w:rPr>
            </w:pPr>
            <w:r>
              <w:rPr>
                <w:sz w:val="16"/>
                <w:szCs w:val="16"/>
              </w:rPr>
              <w:t>17.2.0</w:t>
            </w:r>
          </w:p>
        </w:tc>
      </w:tr>
      <w:tr w:rsidR="00A10B25" w14:paraId="48298202" w14:textId="77777777">
        <w:tc>
          <w:tcPr>
            <w:tcW w:w="796" w:type="dxa"/>
            <w:shd w:val="solid" w:color="FFFFFF" w:fill="auto"/>
          </w:tcPr>
          <w:p w14:paraId="639871D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6A53A449"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25D26F4B" w14:textId="77777777" w:rsidR="00A10B25" w:rsidRDefault="00A10B25">
            <w:pPr>
              <w:pStyle w:val="TAC"/>
              <w:rPr>
                <w:sz w:val="16"/>
                <w:szCs w:val="16"/>
              </w:rPr>
            </w:pPr>
            <w:r>
              <w:rPr>
                <w:sz w:val="16"/>
                <w:szCs w:val="16"/>
              </w:rPr>
              <w:t>CP-211220</w:t>
            </w:r>
          </w:p>
        </w:tc>
        <w:tc>
          <w:tcPr>
            <w:tcW w:w="523" w:type="dxa"/>
            <w:shd w:val="solid" w:color="FFFFFF" w:fill="auto"/>
          </w:tcPr>
          <w:p w14:paraId="150463DE" w14:textId="77777777" w:rsidR="00A10B25" w:rsidRDefault="00A10B25">
            <w:pPr>
              <w:pStyle w:val="TAL"/>
              <w:rPr>
                <w:sz w:val="16"/>
                <w:szCs w:val="16"/>
              </w:rPr>
            </w:pPr>
            <w:r>
              <w:rPr>
                <w:sz w:val="16"/>
                <w:szCs w:val="16"/>
              </w:rPr>
              <w:t>0269</w:t>
            </w:r>
          </w:p>
        </w:tc>
        <w:tc>
          <w:tcPr>
            <w:tcW w:w="423" w:type="dxa"/>
            <w:shd w:val="solid" w:color="FFFFFF" w:fill="auto"/>
          </w:tcPr>
          <w:p w14:paraId="64780A65" w14:textId="77777777" w:rsidR="00A10B25" w:rsidRDefault="00A10B25">
            <w:pPr>
              <w:pStyle w:val="TAR"/>
              <w:rPr>
                <w:sz w:val="16"/>
                <w:szCs w:val="16"/>
              </w:rPr>
            </w:pPr>
            <w:r>
              <w:rPr>
                <w:sz w:val="16"/>
                <w:szCs w:val="16"/>
              </w:rPr>
              <w:t>3</w:t>
            </w:r>
          </w:p>
        </w:tc>
        <w:tc>
          <w:tcPr>
            <w:tcW w:w="423" w:type="dxa"/>
            <w:shd w:val="solid" w:color="FFFFFF" w:fill="auto"/>
          </w:tcPr>
          <w:p w14:paraId="6C33C138" w14:textId="77777777" w:rsidR="00A10B25" w:rsidRDefault="00A10B25">
            <w:pPr>
              <w:pStyle w:val="TAC"/>
              <w:rPr>
                <w:sz w:val="16"/>
                <w:szCs w:val="16"/>
              </w:rPr>
            </w:pPr>
            <w:r>
              <w:rPr>
                <w:rFonts w:hint="eastAsia"/>
                <w:sz w:val="16"/>
                <w:szCs w:val="16"/>
                <w:lang w:eastAsia="zh-CN"/>
              </w:rPr>
              <w:t>A</w:t>
            </w:r>
          </w:p>
        </w:tc>
        <w:tc>
          <w:tcPr>
            <w:tcW w:w="4899" w:type="dxa"/>
            <w:shd w:val="solid" w:color="FFFFFF" w:fill="auto"/>
          </w:tcPr>
          <w:p w14:paraId="18887D34" w14:textId="77777777" w:rsidR="00A10B25" w:rsidRDefault="00A10B25">
            <w:pPr>
              <w:pStyle w:val="TAL"/>
              <w:rPr>
                <w:sz w:val="16"/>
                <w:szCs w:val="16"/>
              </w:rPr>
            </w:pPr>
            <w:r>
              <w:rPr>
                <w:sz w:val="16"/>
                <w:szCs w:val="16"/>
                <w:lang w:val="en-US" w:eastAsia="zh-CN"/>
              </w:rPr>
              <w:t>Adding missing description for partial failure operation</w:t>
            </w:r>
          </w:p>
        </w:tc>
        <w:tc>
          <w:tcPr>
            <w:tcW w:w="706" w:type="dxa"/>
            <w:shd w:val="solid" w:color="FFFFFF" w:fill="auto"/>
          </w:tcPr>
          <w:p w14:paraId="4737F11B" w14:textId="77777777" w:rsidR="00A10B25" w:rsidRDefault="00A10B25">
            <w:pPr>
              <w:pStyle w:val="TAC"/>
              <w:rPr>
                <w:sz w:val="16"/>
                <w:szCs w:val="16"/>
              </w:rPr>
            </w:pPr>
            <w:r>
              <w:rPr>
                <w:sz w:val="16"/>
                <w:szCs w:val="16"/>
              </w:rPr>
              <w:t>17.3.0</w:t>
            </w:r>
          </w:p>
        </w:tc>
      </w:tr>
      <w:tr w:rsidR="00A10B25" w14:paraId="133C1D80" w14:textId="77777777">
        <w:tc>
          <w:tcPr>
            <w:tcW w:w="796" w:type="dxa"/>
            <w:shd w:val="solid" w:color="FFFFFF" w:fill="auto"/>
          </w:tcPr>
          <w:p w14:paraId="7B6D6176"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2E40EACC"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0B7C6290" w14:textId="77777777" w:rsidR="00A10B25" w:rsidRDefault="00A10B25">
            <w:pPr>
              <w:pStyle w:val="TAC"/>
              <w:rPr>
                <w:sz w:val="16"/>
                <w:szCs w:val="16"/>
              </w:rPr>
            </w:pPr>
            <w:r>
              <w:rPr>
                <w:sz w:val="16"/>
                <w:szCs w:val="16"/>
              </w:rPr>
              <w:t>CP-211221</w:t>
            </w:r>
          </w:p>
        </w:tc>
        <w:tc>
          <w:tcPr>
            <w:tcW w:w="523" w:type="dxa"/>
            <w:shd w:val="solid" w:color="FFFFFF" w:fill="auto"/>
          </w:tcPr>
          <w:p w14:paraId="3DDDE89B" w14:textId="77777777" w:rsidR="00A10B25" w:rsidRDefault="00A10B25">
            <w:pPr>
              <w:pStyle w:val="TAL"/>
              <w:rPr>
                <w:sz w:val="16"/>
                <w:szCs w:val="16"/>
              </w:rPr>
            </w:pPr>
            <w:r>
              <w:rPr>
                <w:sz w:val="16"/>
                <w:szCs w:val="16"/>
              </w:rPr>
              <w:t>0270</w:t>
            </w:r>
          </w:p>
        </w:tc>
        <w:tc>
          <w:tcPr>
            <w:tcW w:w="423" w:type="dxa"/>
            <w:shd w:val="solid" w:color="FFFFFF" w:fill="auto"/>
          </w:tcPr>
          <w:p w14:paraId="0531684A" w14:textId="77777777" w:rsidR="00A10B25" w:rsidRDefault="00A10B25">
            <w:pPr>
              <w:pStyle w:val="TAR"/>
              <w:rPr>
                <w:sz w:val="16"/>
                <w:szCs w:val="16"/>
              </w:rPr>
            </w:pPr>
            <w:r>
              <w:rPr>
                <w:sz w:val="16"/>
                <w:szCs w:val="16"/>
              </w:rPr>
              <w:t>4</w:t>
            </w:r>
          </w:p>
        </w:tc>
        <w:tc>
          <w:tcPr>
            <w:tcW w:w="423" w:type="dxa"/>
            <w:shd w:val="solid" w:color="FFFFFF" w:fill="auto"/>
          </w:tcPr>
          <w:p w14:paraId="537A9A86" w14:textId="77777777" w:rsidR="00A10B25" w:rsidRDefault="00A10B25">
            <w:pPr>
              <w:pStyle w:val="TAC"/>
              <w:rPr>
                <w:sz w:val="16"/>
                <w:szCs w:val="16"/>
              </w:rPr>
            </w:pPr>
            <w:r>
              <w:rPr>
                <w:sz w:val="16"/>
                <w:szCs w:val="16"/>
              </w:rPr>
              <w:t>B</w:t>
            </w:r>
          </w:p>
        </w:tc>
        <w:tc>
          <w:tcPr>
            <w:tcW w:w="4899" w:type="dxa"/>
            <w:shd w:val="solid" w:color="FFFFFF" w:fill="auto"/>
          </w:tcPr>
          <w:p w14:paraId="2186F700" w14:textId="77777777" w:rsidR="00A10B25" w:rsidRDefault="00A10B25">
            <w:pPr>
              <w:pStyle w:val="TAL"/>
              <w:rPr>
                <w:sz w:val="16"/>
                <w:szCs w:val="16"/>
              </w:rPr>
            </w:pPr>
            <w:r>
              <w:rPr>
                <w:sz w:val="16"/>
                <w:szCs w:val="16"/>
              </w:rPr>
              <w:t>Adding time when analytics needed and revised time to analytics subscriptions</w:t>
            </w:r>
          </w:p>
        </w:tc>
        <w:tc>
          <w:tcPr>
            <w:tcW w:w="706" w:type="dxa"/>
            <w:shd w:val="solid" w:color="FFFFFF" w:fill="auto"/>
          </w:tcPr>
          <w:p w14:paraId="51BE7931" w14:textId="77777777" w:rsidR="00A10B25" w:rsidRDefault="00A10B25">
            <w:pPr>
              <w:pStyle w:val="TAC"/>
              <w:rPr>
                <w:sz w:val="16"/>
                <w:szCs w:val="16"/>
              </w:rPr>
            </w:pPr>
            <w:r>
              <w:rPr>
                <w:sz w:val="16"/>
                <w:szCs w:val="16"/>
              </w:rPr>
              <w:t>17.3.0</w:t>
            </w:r>
          </w:p>
        </w:tc>
      </w:tr>
      <w:tr w:rsidR="00A10B25" w14:paraId="5ABB20C1" w14:textId="77777777">
        <w:tc>
          <w:tcPr>
            <w:tcW w:w="796" w:type="dxa"/>
            <w:shd w:val="solid" w:color="FFFFFF" w:fill="auto"/>
          </w:tcPr>
          <w:p w14:paraId="0444830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536380FA"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2B57E411" w14:textId="77777777" w:rsidR="00A10B25" w:rsidRDefault="00A10B25">
            <w:pPr>
              <w:pStyle w:val="TAC"/>
              <w:rPr>
                <w:sz w:val="16"/>
                <w:szCs w:val="16"/>
              </w:rPr>
            </w:pPr>
            <w:r>
              <w:rPr>
                <w:sz w:val="16"/>
                <w:szCs w:val="16"/>
              </w:rPr>
              <w:t>CP-211221</w:t>
            </w:r>
          </w:p>
        </w:tc>
        <w:tc>
          <w:tcPr>
            <w:tcW w:w="523" w:type="dxa"/>
            <w:shd w:val="solid" w:color="FFFFFF" w:fill="auto"/>
          </w:tcPr>
          <w:p w14:paraId="65D53392" w14:textId="77777777" w:rsidR="00A10B25" w:rsidRDefault="00A10B25">
            <w:pPr>
              <w:pStyle w:val="TAL"/>
              <w:rPr>
                <w:sz w:val="16"/>
                <w:szCs w:val="16"/>
              </w:rPr>
            </w:pPr>
            <w:r>
              <w:rPr>
                <w:sz w:val="16"/>
                <w:szCs w:val="16"/>
              </w:rPr>
              <w:t>0271</w:t>
            </w:r>
          </w:p>
        </w:tc>
        <w:tc>
          <w:tcPr>
            <w:tcW w:w="423" w:type="dxa"/>
            <w:shd w:val="solid" w:color="FFFFFF" w:fill="auto"/>
          </w:tcPr>
          <w:p w14:paraId="3F28483F" w14:textId="77777777" w:rsidR="00A10B25" w:rsidRDefault="00A10B25">
            <w:pPr>
              <w:pStyle w:val="TAR"/>
              <w:rPr>
                <w:sz w:val="16"/>
                <w:szCs w:val="16"/>
              </w:rPr>
            </w:pPr>
            <w:r>
              <w:rPr>
                <w:sz w:val="16"/>
                <w:szCs w:val="16"/>
              </w:rPr>
              <w:t>2</w:t>
            </w:r>
          </w:p>
        </w:tc>
        <w:tc>
          <w:tcPr>
            <w:tcW w:w="423" w:type="dxa"/>
            <w:shd w:val="solid" w:color="FFFFFF" w:fill="auto"/>
          </w:tcPr>
          <w:p w14:paraId="07687B6C" w14:textId="77777777" w:rsidR="00A10B25" w:rsidRDefault="00A10B25">
            <w:pPr>
              <w:pStyle w:val="TAC"/>
              <w:rPr>
                <w:sz w:val="16"/>
                <w:szCs w:val="16"/>
              </w:rPr>
            </w:pPr>
            <w:r>
              <w:rPr>
                <w:sz w:val="16"/>
                <w:szCs w:val="16"/>
              </w:rPr>
              <w:t>B</w:t>
            </w:r>
          </w:p>
        </w:tc>
        <w:tc>
          <w:tcPr>
            <w:tcW w:w="4899" w:type="dxa"/>
            <w:shd w:val="solid" w:color="FFFFFF" w:fill="auto"/>
          </w:tcPr>
          <w:p w14:paraId="4E538C3D" w14:textId="77777777" w:rsidR="00A10B25" w:rsidRDefault="00A10B25">
            <w:pPr>
              <w:pStyle w:val="TAL"/>
              <w:rPr>
                <w:sz w:val="16"/>
                <w:szCs w:val="16"/>
              </w:rPr>
            </w:pPr>
            <w:r>
              <w:rPr>
                <w:sz w:val="16"/>
                <w:szCs w:val="16"/>
              </w:rPr>
              <w:t>Adding NWDAF as NWDAF services consumer due to analytics aggregation</w:t>
            </w:r>
          </w:p>
        </w:tc>
        <w:tc>
          <w:tcPr>
            <w:tcW w:w="706" w:type="dxa"/>
            <w:shd w:val="solid" w:color="FFFFFF" w:fill="auto"/>
          </w:tcPr>
          <w:p w14:paraId="7637EE3A" w14:textId="77777777" w:rsidR="00A10B25" w:rsidRDefault="00A10B25">
            <w:pPr>
              <w:pStyle w:val="TAC"/>
              <w:rPr>
                <w:sz w:val="16"/>
                <w:szCs w:val="16"/>
              </w:rPr>
            </w:pPr>
            <w:r>
              <w:rPr>
                <w:sz w:val="16"/>
                <w:szCs w:val="16"/>
              </w:rPr>
              <w:t>17.3.0</w:t>
            </w:r>
          </w:p>
        </w:tc>
      </w:tr>
      <w:tr w:rsidR="00A10B25" w14:paraId="6E07D766" w14:textId="77777777">
        <w:tc>
          <w:tcPr>
            <w:tcW w:w="796" w:type="dxa"/>
            <w:shd w:val="solid" w:color="FFFFFF" w:fill="auto"/>
          </w:tcPr>
          <w:p w14:paraId="57E4655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70111458"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5A466E53" w14:textId="77777777" w:rsidR="00A10B25" w:rsidRDefault="00A10B25">
            <w:pPr>
              <w:pStyle w:val="TAC"/>
              <w:rPr>
                <w:sz w:val="16"/>
                <w:szCs w:val="16"/>
              </w:rPr>
            </w:pPr>
            <w:r>
              <w:rPr>
                <w:sz w:val="16"/>
                <w:szCs w:val="16"/>
              </w:rPr>
              <w:t>CP-211234</w:t>
            </w:r>
          </w:p>
        </w:tc>
        <w:tc>
          <w:tcPr>
            <w:tcW w:w="523" w:type="dxa"/>
            <w:shd w:val="solid" w:color="FFFFFF" w:fill="auto"/>
          </w:tcPr>
          <w:p w14:paraId="5B0357D1" w14:textId="77777777" w:rsidR="00A10B25" w:rsidRDefault="00A10B25">
            <w:pPr>
              <w:pStyle w:val="TAL"/>
              <w:rPr>
                <w:sz w:val="16"/>
                <w:szCs w:val="16"/>
              </w:rPr>
            </w:pPr>
            <w:r>
              <w:rPr>
                <w:sz w:val="16"/>
                <w:szCs w:val="16"/>
              </w:rPr>
              <w:t>0272</w:t>
            </w:r>
          </w:p>
        </w:tc>
        <w:tc>
          <w:tcPr>
            <w:tcW w:w="423" w:type="dxa"/>
            <w:shd w:val="solid" w:color="FFFFFF" w:fill="auto"/>
          </w:tcPr>
          <w:p w14:paraId="2A4CDBD2" w14:textId="77777777" w:rsidR="00A10B25" w:rsidRDefault="00A10B25">
            <w:pPr>
              <w:pStyle w:val="TAR"/>
              <w:rPr>
                <w:sz w:val="16"/>
                <w:szCs w:val="16"/>
              </w:rPr>
            </w:pPr>
            <w:r>
              <w:rPr>
                <w:rFonts w:hint="eastAsia"/>
                <w:sz w:val="16"/>
                <w:szCs w:val="16"/>
              </w:rPr>
              <w:t>1</w:t>
            </w:r>
          </w:p>
        </w:tc>
        <w:tc>
          <w:tcPr>
            <w:tcW w:w="423" w:type="dxa"/>
            <w:shd w:val="solid" w:color="FFFFFF" w:fill="auto"/>
          </w:tcPr>
          <w:p w14:paraId="6199DA88" w14:textId="77777777" w:rsidR="00A10B25" w:rsidRDefault="00A10B25">
            <w:pPr>
              <w:pStyle w:val="TAC"/>
              <w:rPr>
                <w:sz w:val="16"/>
                <w:szCs w:val="16"/>
              </w:rPr>
            </w:pPr>
            <w:r>
              <w:rPr>
                <w:sz w:val="16"/>
                <w:szCs w:val="16"/>
              </w:rPr>
              <w:t>F</w:t>
            </w:r>
          </w:p>
        </w:tc>
        <w:tc>
          <w:tcPr>
            <w:tcW w:w="4899" w:type="dxa"/>
            <w:shd w:val="solid" w:color="FFFFFF" w:fill="auto"/>
          </w:tcPr>
          <w:p w14:paraId="66618C0A" w14:textId="77777777" w:rsidR="00A10B25" w:rsidRDefault="00A10B25">
            <w:pPr>
              <w:pStyle w:val="TAL"/>
              <w:rPr>
                <w:sz w:val="16"/>
                <w:szCs w:val="16"/>
              </w:rPr>
            </w:pPr>
            <w:r>
              <w:rPr>
                <w:sz w:val="16"/>
                <w:szCs w:val="16"/>
              </w:rPr>
              <w:t>Support of optional HTTP custom header fields</w:t>
            </w:r>
          </w:p>
        </w:tc>
        <w:tc>
          <w:tcPr>
            <w:tcW w:w="706" w:type="dxa"/>
            <w:shd w:val="solid" w:color="FFFFFF" w:fill="auto"/>
          </w:tcPr>
          <w:p w14:paraId="47464668" w14:textId="77777777" w:rsidR="00A10B25" w:rsidRDefault="00A10B25">
            <w:pPr>
              <w:pStyle w:val="TAC"/>
              <w:rPr>
                <w:sz w:val="16"/>
                <w:szCs w:val="16"/>
              </w:rPr>
            </w:pPr>
            <w:r>
              <w:rPr>
                <w:sz w:val="16"/>
                <w:szCs w:val="16"/>
              </w:rPr>
              <w:t>17.3.0</w:t>
            </w:r>
          </w:p>
        </w:tc>
      </w:tr>
      <w:tr w:rsidR="00A10B25" w14:paraId="626D54C6" w14:textId="77777777">
        <w:tc>
          <w:tcPr>
            <w:tcW w:w="796" w:type="dxa"/>
            <w:shd w:val="solid" w:color="FFFFFF" w:fill="auto"/>
          </w:tcPr>
          <w:p w14:paraId="3DDF592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3C6C9CDD"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2DCAA6C0" w14:textId="77777777" w:rsidR="00A10B25" w:rsidRDefault="00A10B25">
            <w:pPr>
              <w:pStyle w:val="TAC"/>
              <w:rPr>
                <w:sz w:val="16"/>
                <w:szCs w:val="16"/>
              </w:rPr>
            </w:pPr>
            <w:r>
              <w:rPr>
                <w:sz w:val="16"/>
                <w:szCs w:val="16"/>
              </w:rPr>
              <w:t>CP-211206</w:t>
            </w:r>
          </w:p>
        </w:tc>
        <w:tc>
          <w:tcPr>
            <w:tcW w:w="523" w:type="dxa"/>
            <w:shd w:val="solid" w:color="FFFFFF" w:fill="auto"/>
          </w:tcPr>
          <w:p w14:paraId="526BCCC5" w14:textId="77777777" w:rsidR="00A10B25" w:rsidRDefault="00A10B25">
            <w:pPr>
              <w:pStyle w:val="TAL"/>
              <w:rPr>
                <w:sz w:val="16"/>
                <w:szCs w:val="16"/>
              </w:rPr>
            </w:pPr>
            <w:r>
              <w:rPr>
                <w:sz w:val="16"/>
                <w:szCs w:val="16"/>
              </w:rPr>
              <w:t>0278</w:t>
            </w:r>
          </w:p>
        </w:tc>
        <w:tc>
          <w:tcPr>
            <w:tcW w:w="423" w:type="dxa"/>
            <w:shd w:val="solid" w:color="FFFFFF" w:fill="auto"/>
          </w:tcPr>
          <w:p w14:paraId="0C9B842D" w14:textId="77777777" w:rsidR="00A10B25" w:rsidRDefault="00A10B25">
            <w:pPr>
              <w:pStyle w:val="TAR"/>
              <w:rPr>
                <w:sz w:val="16"/>
                <w:szCs w:val="16"/>
              </w:rPr>
            </w:pPr>
            <w:r>
              <w:rPr>
                <w:rFonts w:hint="eastAsia"/>
                <w:sz w:val="16"/>
                <w:szCs w:val="16"/>
              </w:rPr>
              <w:t>1</w:t>
            </w:r>
          </w:p>
        </w:tc>
        <w:tc>
          <w:tcPr>
            <w:tcW w:w="423" w:type="dxa"/>
            <w:shd w:val="solid" w:color="FFFFFF" w:fill="auto"/>
          </w:tcPr>
          <w:p w14:paraId="452A6752" w14:textId="77777777" w:rsidR="00A10B25" w:rsidRDefault="00A10B25">
            <w:pPr>
              <w:pStyle w:val="TAC"/>
              <w:rPr>
                <w:sz w:val="16"/>
                <w:szCs w:val="16"/>
              </w:rPr>
            </w:pPr>
            <w:r>
              <w:rPr>
                <w:rFonts w:hint="eastAsia"/>
                <w:sz w:val="16"/>
                <w:szCs w:val="16"/>
              </w:rPr>
              <w:t>A</w:t>
            </w:r>
          </w:p>
        </w:tc>
        <w:tc>
          <w:tcPr>
            <w:tcW w:w="4899" w:type="dxa"/>
            <w:shd w:val="solid" w:color="FFFFFF" w:fill="auto"/>
          </w:tcPr>
          <w:p w14:paraId="06CA9EBE" w14:textId="77777777" w:rsidR="00A10B25" w:rsidRDefault="00A10B25">
            <w:pPr>
              <w:pStyle w:val="TAL"/>
              <w:rPr>
                <w:sz w:val="16"/>
                <w:szCs w:val="16"/>
              </w:rPr>
            </w:pPr>
            <w:r>
              <w:rPr>
                <w:sz w:val="16"/>
                <w:szCs w:val="16"/>
              </w:rPr>
              <w:t>Correction on 404 Not Found</w:t>
            </w:r>
          </w:p>
        </w:tc>
        <w:tc>
          <w:tcPr>
            <w:tcW w:w="706" w:type="dxa"/>
            <w:shd w:val="solid" w:color="FFFFFF" w:fill="auto"/>
          </w:tcPr>
          <w:p w14:paraId="26388C5B" w14:textId="77777777" w:rsidR="00A10B25" w:rsidRDefault="00A10B25">
            <w:pPr>
              <w:pStyle w:val="TAC"/>
              <w:rPr>
                <w:sz w:val="16"/>
                <w:szCs w:val="16"/>
              </w:rPr>
            </w:pPr>
            <w:r>
              <w:rPr>
                <w:sz w:val="16"/>
                <w:szCs w:val="16"/>
              </w:rPr>
              <w:t>17.3.0</w:t>
            </w:r>
          </w:p>
        </w:tc>
      </w:tr>
      <w:tr w:rsidR="00A10B25" w14:paraId="72DAA1BD" w14:textId="77777777">
        <w:tc>
          <w:tcPr>
            <w:tcW w:w="796" w:type="dxa"/>
            <w:shd w:val="solid" w:color="FFFFFF" w:fill="auto"/>
          </w:tcPr>
          <w:p w14:paraId="175A285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78CA6778"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07F06CF2" w14:textId="77777777" w:rsidR="00A10B25" w:rsidRDefault="00A10B25">
            <w:pPr>
              <w:pStyle w:val="TAC"/>
              <w:rPr>
                <w:sz w:val="16"/>
                <w:szCs w:val="16"/>
              </w:rPr>
            </w:pPr>
            <w:r>
              <w:rPr>
                <w:sz w:val="16"/>
                <w:szCs w:val="16"/>
              </w:rPr>
              <w:t>CP-211220</w:t>
            </w:r>
          </w:p>
        </w:tc>
        <w:tc>
          <w:tcPr>
            <w:tcW w:w="523" w:type="dxa"/>
            <w:shd w:val="solid" w:color="FFFFFF" w:fill="auto"/>
          </w:tcPr>
          <w:p w14:paraId="2D902741" w14:textId="77777777" w:rsidR="00A10B25" w:rsidRDefault="00A10B25">
            <w:pPr>
              <w:pStyle w:val="TAL"/>
              <w:rPr>
                <w:sz w:val="16"/>
                <w:szCs w:val="16"/>
              </w:rPr>
            </w:pPr>
            <w:r>
              <w:rPr>
                <w:sz w:val="16"/>
                <w:szCs w:val="16"/>
              </w:rPr>
              <w:t>0280</w:t>
            </w:r>
          </w:p>
        </w:tc>
        <w:tc>
          <w:tcPr>
            <w:tcW w:w="423" w:type="dxa"/>
            <w:shd w:val="solid" w:color="FFFFFF" w:fill="auto"/>
          </w:tcPr>
          <w:p w14:paraId="0E3EA9F4" w14:textId="77777777" w:rsidR="00A10B25" w:rsidRDefault="00A10B25">
            <w:pPr>
              <w:pStyle w:val="TAR"/>
              <w:rPr>
                <w:sz w:val="16"/>
                <w:szCs w:val="16"/>
              </w:rPr>
            </w:pPr>
          </w:p>
        </w:tc>
        <w:tc>
          <w:tcPr>
            <w:tcW w:w="423" w:type="dxa"/>
            <w:shd w:val="solid" w:color="FFFFFF" w:fill="auto"/>
          </w:tcPr>
          <w:p w14:paraId="150AB81B" w14:textId="77777777" w:rsidR="00A10B25" w:rsidRDefault="00A10B25">
            <w:pPr>
              <w:pStyle w:val="TAC"/>
              <w:rPr>
                <w:sz w:val="16"/>
                <w:szCs w:val="16"/>
              </w:rPr>
            </w:pPr>
            <w:r>
              <w:rPr>
                <w:rFonts w:hint="eastAsia"/>
                <w:sz w:val="16"/>
                <w:szCs w:val="16"/>
              </w:rPr>
              <w:t>A</w:t>
            </w:r>
          </w:p>
        </w:tc>
        <w:tc>
          <w:tcPr>
            <w:tcW w:w="4899" w:type="dxa"/>
            <w:shd w:val="solid" w:color="FFFFFF" w:fill="auto"/>
          </w:tcPr>
          <w:p w14:paraId="57459BB4" w14:textId="77777777" w:rsidR="00A10B25" w:rsidRDefault="00A10B25">
            <w:pPr>
              <w:pStyle w:val="TAL"/>
              <w:rPr>
                <w:sz w:val="16"/>
                <w:szCs w:val="16"/>
              </w:rPr>
            </w:pPr>
            <w:r>
              <w:rPr>
                <w:sz w:val="16"/>
                <w:szCs w:val="16"/>
              </w:rPr>
              <w:t>Missing attributes in subscription procedure</w:t>
            </w:r>
          </w:p>
        </w:tc>
        <w:tc>
          <w:tcPr>
            <w:tcW w:w="706" w:type="dxa"/>
            <w:shd w:val="solid" w:color="FFFFFF" w:fill="auto"/>
          </w:tcPr>
          <w:p w14:paraId="24733590" w14:textId="77777777" w:rsidR="00A10B25" w:rsidRDefault="00A10B25">
            <w:pPr>
              <w:pStyle w:val="TAC"/>
              <w:rPr>
                <w:sz w:val="16"/>
                <w:szCs w:val="16"/>
              </w:rPr>
            </w:pPr>
            <w:r>
              <w:rPr>
                <w:sz w:val="16"/>
                <w:szCs w:val="16"/>
              </w:rPr>
              <w:t>17.3.0</w:t>
            </w:r>
          </w:p>
        </w:tc>
      </w:tr>
      <w:tr w:rsidR="00A10B25" w14:paraId="6631B68B" w14:textId="77777777">
        <w:tc>
          <w:tcPr>
            <w:tcW w:w="796" w:type="dxa"/>
            <w:shd w:val="solid" w:color="FFFFFF" w:fill="auto"/>
          </w:tcPr>
          <w:p w14:paraId="487BB3FD"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4CB4D324"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5014EAF0" w14:textId="77777777" w:rsidR="00A10B25" w:rsidRDefault="00A10B25">
            <w:pPr>
              <w:pStyle w:val="TAC"/>
              <w:rPr>
                <w:sz w:val="16"/>
                <w:szCs w:val="16"/>
              </w:rPr>
            </w:pPr>
            <w:r>
              <w:rPr>
                <w:sz w:val="16"/>
                <w:szCs w:val="16"/>
              </w:rPr>
              <w:t>CP-211220</w:t>
            </w:r>
          </w:p>
        </w:tc>
        <w:tc>
          <w:tcPr>
            <w:tcW w:w="523" w:type="dxa"/>
            <w:shd w:val="solid" w:color="FFFFFF" w:fill="auto"/>
          </w:tcPr>
          <w:p w14:paraId="4D85D161" w14:textId="77777777" w:rsidR="00A10B25" w:rsidRDefault="00A10B25">
            <w:pPr>
              <w:pStyle w:val="TAL"/>
              <w:rPr>
                <w:sz w:val="16"/>
                <w:szCs w:val="16"/>
              </w:rPr>
            </w:pPr>
            <w:r>
              <w:rPr>
                <w:sz w:val="16"/>
                <w:szCs w:val="16"/>
              </w:rPr>
              <w:t>0282</w:t>
            </w:r>
          </w:p>
        </w:tc>
        <w:tc>
          <w:tcPr>
            <w:tcW w:w="423" w:type="dxa"/>
            <w:shd w:val="solid" w:color="FFFFFF" w:fill="auto"/>
          </w:tcPr>
          <w:p w14:paraId="21BE4810"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BDF4EC7" w14:textId="77777777" w:rsidR="00A10B25" w:rsidRDefault="00A10B25">
            <w:pPr>
              <w:pStyle w:val="TAC"/>
              <w:rPr>
                <w:sz w:val="16"/>
                <w:szCs w:val="16"/>
              </w:rPr>
            </w:pPr>
            <w:r>
              <w:rPr>
                <w:rFonts w:hint="eastAsia"/>
                <w:sz w:val="16"/>
                <w:szCs w:val="16"/>
              </w:rPr>
              <w:t>A</w:t>
            </w:r>
          </w:p>
        </w:tc>
        <w:tc>
          <w:tcPr>
            <w:tcW w:w="4899" w:type="dxa"/>
            <w:shd w:val="solid" w:color="FFFFFF" w:fill="auto"/>
          </w:tcPr>
          <w:p w14:paraId="60DDEE46" w14:textId="77777777" w:rsidR="00A10B25" w:rsidRDefault="00A10B25">
            <w:pPr>
              <w:pStyle w:val="TAL"/>
              <w:rPr>
                <w:sz w:val="16"/>
                <w:szCs w:val="16"/>
              </w:rPr>
            </w:pPr>
            <w:r>
              <w:rPr>
                <w:sz w:val="16"/>
                <w:szCs w:val="16"/>
              </w:rPr>
              <w:t>Correction on the value of confidence</w:t>
            </w:r>
          </w:p>
        </w:tc>
        <w:tc>
          <w:tcPr>
            <w:tcW w:w="706" w:type="dxa"/>
            <w:shd w:val="solid" w:color="FFFFFF" w:fill="auto"/>
          </w:tcPr>
          <w:p w14:paraId="3D0AE64C" w14:textId="77777777" w:rsidR="00A10B25" w:rsidRDefault="00A10B25">
            <w:pPr>
              <w:pStyle w:val="TAC"/>
              <w:rPr>
                <w:sz w:val="16"/>
                <w:szCs w:val="16"/>
              </w:rPr>
            </w:pPr>
            <w:r>
              <w:rPr>
                <w:sz w:val="16"/>
                <w:szCs w:val="16"/>
              </w:rPr>
              <w:t>17.3.0</w:t>
            </w:r>
          </w:p>
        </w:tc>
      </w:tr>
      <w:tr w:rsidR="00A10B25" w14:paraId="7FE01B2F" w14:textId="77777777">
        <w:tc>
          <w:tcPr>
            <w:tcW w:w="796" w:type="dxa"/>
            <w:shd w:val="solid" w:color="FFFFFF" w:fill="auto"/>
          </w:tcPr>
          <w:p w14:paraId="1C34D089"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3130C9AC"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37B5A446" w14:textId="77777777" w:rsidR="00A10B25" w:rsidRDefault="00A10B25">
            <w:pPr>
              <w:pStyle w:val="TAC"/>
              <w:rPr>
                <w:sz w:val="16"/>
                <w:szCs w:val="16"/>
              </w:rPr>
            </w:pPr>
            <w:r>
              <w:rPr>
                <w:sz w:val="16"/>
                <w:szCs w:val="16"/>
              </w:rPr>
              <w:t>CP-211206</w:t>
            </w:r>
          </w:p>
        </w:tc>
        <w:tc>
          <w:tcPr>
            <w:tcW w:w="523" w:type="dxa"/>
            <w:shd w:val="solid" w:color="FFFFFF" w:fill="auto"/>
          </w:tcPr>
          <w:p w14:paraId="4E6BF4A2" w14:textId="77777777" w:rsidR="00A10B25" w:rsidRDefault="00A10B25">
            <w:pPr>
              <w:pStyle w:val="TAL"/>
              <w:rPr>
                <w:sz w:val="16"/>
                <w:szCs w:val="16"/>
              </w:rPr>
            </w:pPr>
            <w:r>
              <w:rPr>
                <w:sz w:val="16"/>
                <w:szCs w:val="16"/>
              </w:rPr>
              <w:t>0285</w:t>
            </w:r>
          </w:p>
        </w:tc>
        <w:tc>
          <w:tcPr>
            <w:tcW w:w="423" w:type="dxa"/>
            <w:shd w:val="solid" w:color="FFFFFF" w:fill="auto"/>
          </w:tcPr>
          <w:p w14:paraId="1E94D793" w14:textId="77777777" w:rsidR="00A10B25" w:rsidRDefault="00A10B25">
            <w:pPr>
              <w:pStyle w:val="TAR"/>
              <w:rPr>
                <w:sz w:val="16"/>
                <w:szCs w:val="16"/>
              </w:rPr>
            </w:pPr>
            <w:r>
              <w:rPr>
                <w:rFonts w:hint="eastAsia"/>
                <w:sz w:val="16"/>
                <w:szCs w:val="16"/>
              </w:rPr>
              <w:t>1</w:t>
            </w:r>
          </w:p>
        </w:tc>
        <w:tc>
          <w:tcPr>
            <w:tcW w:w="423" w:type="dxa"/>
            <w:shd w:val="solid" w:color="FFFFFF" w:fill="auto"/>
          </w:tcPr>
          <w:p w14:paraId="4F1EEB62" w14:textId="77777777" w:rsidR="00A10B25" w:rsidRDefault="00A10B25">
            <w:pPr>
              <w:pStyle w:val="TAC"/>
              <w:rPr>
                <w:sz w:val="16"/>
                <w:szCs w:val="16"/>
              </w:rPr>
            </w:pPr>
            <w:r>
              <w:rPr>
                <w:rFonts w:hint="eastAsia"/>
                <w:sz w:val="16"/>
                <w:szCs w:val="16"/>
              </w:rPr>
              <w:t>A</w:t>
            </w:r>
          </w:p>
        </w:tc>
        <w:tc>
          <w:tcPr>
            <w:tcW w:w="4899" w:type="dxa"/>
            <w:shd w:val="solid" w:color="FFFFFF" w:fill="auto"/>
          </w:tcPr>
          <w:p w14:paraId="7038E54A" w14:textId="77777777" w:rsidR="00A10B25" w:rsidRDefault="00A10B25">
            <w:pPr>
              <w:pStyle w:val="TAL"/>
              <w:rPr>
                <w:sz w:val="16"/>
                <w:szCs w:val="16"/>
              </w:rPr>
            </w:pPr>
            <w:r>
              <w:rPr>
                <w:sz w:val="16"/>
                <w:szCs w:val="16"/>
              </w:rPr>
              <w:t>Correction to Load Level Information</w:t>
            </w:r>
          </w:p>
        </w:tc>
        <w:tc>
          <w:tcPr>
            <w:tcW w:w="706" w:type="dxa"/>
            <w:shd w:val="solid" w:color="FFFFFF" w:fill="auto"/>
          </w:tcPr>
          <w:p w14:paraId="51C14E27" w14:textId="77777777" w:rsidR="00A10B25" w:rsidRDefault="00A10B25">
            <w:pPr>
              <w:pStyle w:val="TAC"/>
              <w:rPr>
                <w:sz w:val="16"/>
                <w:szCs w:val="16"/>
              </w:rPr>
            </w:pPr>
            <w:r>
              <w:rPr>
                <w:sz w:val="16"/>
                <w:szCs w:val="16"/>
              </w:rPr>
              <w:t>17.3.0</w:t>
            </w:r>
          </w:p>
        </w:tc>
      </w:tr>
      <w:tr w:rsidR="00A10B25" w14:paraId="7191C717" w14:textId="77777777">
        <w:tc>
          <w:tcPr>
            <w:tcW w:w="796" w:type="dxa"/>
            <w:shd w:val="solid" w:color="FFFFFF" w:fill="auto"/>
          </w:tcPr>
          <w:p w14:paraId="537FE54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6C8C349A"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59CAE74A" w14:textId="77777777" w:rsidR="00A10B25" w:rsidRDefault="00A10B25">
            <w:pPr>
              <w:pStyle w:val="TAC"/>
              <w:rPr>
                <w:sz w:val="16"/>
                <w:szCs w:val="16"/>
              </w:rPr>
            </w:pPr>
            <w:r>
              <w:rPr>
                <w:sz w:val="16"/>
                <w:szCs w:val="16"/>
              </w:rPr>
              <w:t>CP-211220</w:t>
            </w:r>
          </w:p>
        </w:tc>
        <w:tc>
          <w:tcPr>
            <w:tcW w:w="523" w:type="dxa"/>
            <w:shd w:val="solid" w:color="FFFFFF" w:fill="auto"/>
          </w:tcPr>
          <w:p w14:paraId="5817D8B9" w14:textId="77777777" w:rsidR="00A10B25" w:rsidRDefault="00A10B25">
            <w:pPr>
              <w:pStyle w:val="TAL"/>
              <w:rPr>
                <w:sz w:val="16"/>
                <w:szCs w:val="16"/>
              </w:rPr>
            </w:pPr>
            <w:r>
              <w:rPr>
                <w:sz w:val="16"/>
                <w:szCs w:val="16"/>
              </w:rPr>
              <w:t>0287</w:t>
            </w:r>
          </w:p>
        </w:tc>
        <w:tc>
          <w:tcPr>
            <w:tcW w:w="423" w:type="dxa"/>
            <w:shd w:val="solid" w:color="FFFFFF" w:fill="auto"/>
          </w:tcPr>
          <w:p w14:paraId="25E21F0E" w14:textId="77777777" w:rsidR="00A10B25" w:rsidRDefault="00A10B25">
            <w:pPr>
              <w:pStyle w:val="TAR"/>
              <w:rPr>
                <w:sz w:val="16"/>
                <w:szCs w:val="16"/>
              </w:rPr>
            </w:pPr>
            <w:r>
              <w:rPr>
                <w:rFonts w:hint="eastAsia"/>
                <w:sz w:val="16"/>
                <w:szCs w:val="16"/>
              </w:rPr>
              <w:t>1</w:t>
            </w:r>
          </w:p>
        </w:tc>
        <w:tc>
          <w:tcPr>
            <w:tcW w:w="423" w:type="dxa"/>
            <w:shd w:val="solid" w:color="FFFFFF" w:fill="auto"/>
          </w:tcPr>
          <w:p w14:paraId="6ECE1A80" w14:textId="77777777" w:rsidR="00A10B25" w:rsidRDefault="00A10B25">
            <w:pPr>
              <w:pStyle w:val="TAC"/>
              <w:rPr>
                <w:sz w:val="16"/>
                <w:szCs w:val="16"/>
              </w:rPr>
            </w:pPr>
            <w:r>
              <w:rPr>
                <w:rFonts w:hint="eastAsia"/>
                <w:sz w:val="16"/>
                <w:szCs w:val="16"/>
              </w:rPr>
              <w:t>A</w:t>
            </w:r>
          </w:p>
        </w:tc>
        <w:tc>
          <w:tcPr>
            <w:tcW w:w="4899" w:type="dxa"/>
            <w:shd w:val="solid" w:color="FFFFFF" w:fill="auto"/>
          </w:tcPr>
          <w:p w14:paraId="73DB861A" w14:textId="77777777" w:rsidR="00A10B25" w:rsidRDefault="00A10B25">
            <w:pPr>
              <w:pStyle w:val="TAL"/>
              <w:rPr>
                <w:sz w:val="16"/>
                <w:szCs w:val="16"/>
              </w:rPr>
            </w:pPr>
            <w:r>
              <w:rPr>
                <w:bCs/>
                <w:sz w:val="16"/>
                <w:szCs w:val="16"/>
                <w:lang w:val="en-US" w:eastAsia="zh-CN"/>
              </w:rPr>
              <w:t>Correction to NSI Load Level Information</w:t>
            </w:r>
          </w:p>
        </w:tc>
        <w:tc>
          <w:tcPr>
            <w:tcW w:w="706" w:type="dxa"/>
            <w:shd w:val="solid" w:color="FFFFFF" w:fill="auto"/>
          </w:tcPr>
          <w:p w14:paraId="47B478F9" w14:textId="77777777" w:rsidR="00A10B25" w:rsidRDefault="00A10B25">
            <w:pPr>
              <w:pStyle w:val="TAC"/>
              <w:rPr>
                <w:sz w:val="16"/>
                <w:szCs w:val="16"/>
              </w:rPr>
            </w:pPr>
            <w:r>
              <w:rPr>
                <w:sz w:val="16"/>
                <w:szCs w:val="16"/>
              </w:rPr>
              <w:t>17.3.0</w:t>
            </w:r>
          </w:p>
        </w:tc>
      </w:tr>
      <w:tr w:rsidR="00A10B25" w14:paraId="2C402D40" w14:textId="77777777">
        <w:tc>
          <w:tcPr>
            <w:tcW w:w="796" w:type="dxa"/>
            <w:shd w:val="solid" w:color="FFFFFF" w:fill="auto"/>
          </w:tcPr>
          <w:p w14:paraId="008FA702"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2206AFB3"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758F33CD" w14:textId="77777777" w:rsidR="00A10B25" w:rsidRDefault="00A10B25">
            <w:pPr>
              <w:pStyle w:val="TAC"/>
              <w:rPr>
                <w:sz w:val="16"/>
                <w:szCs w:val="16"/>
              </w:rPr>
            </w:pPr>
            <w:r>
              <w:rPr>
                <w:sz w:val="16"/>
                <w:szCs w:val="16"/>
              </w:rPr>
              <w:t>CP-211221</w:t>
            </w:r>
          </w:p>
        </w:tc>
        <w:tc>
          <w:tcPr>
            <w:tcW w:w="523" w:type="dxa"/>
            <w:shd w:val="solid" w:color="FFFFFF" w:fill="auto"/>
          </w:tcPr>
          <w:p w14:paraId="11C339A5" w14:textId="77777777" w:rsidR="00A10B25" w:rsidRDefault="00A10B25">
            <w:pPr>
              <w:pStyle w:val="TAL"/>
              <w:rPr>
                <w:sz w:val="16"/>
                <w:szCs w:val="16"/>
              </w:rPr>
            </w:pPr>
            <w:r>
              <w:rPr>
                <w:sz w:val="16"/>
                <w:szCs w:val="16"/>
              </w:rPr>
              <w:t>0288</w:t>
            </w:r>
          </w:p>
        </w:tc>
        <w:tc>
          <w:tcPr>
            <w:tcW w:w="423" w:type="dxa"/>
            <w:shd w:val="solid" w:color="FFFFFF" w:fill="auto"/>
          </w:tcPr>
          <w:p w14:paraId="09873C0C" w14:textId="77777777" w:rsidR="00A10B25" w:rsidRDefault="00A10B25">
            <w:pPr>
              <w:pStyle w:val="TAR"/>
              <w:rPr>
                <w:sz w:val="16"/>
                <w:szCs w:val="16"/>
              </w:rPr>
            </w:pPr>
            <w:r>
              <w:rPr>
                <w:sz w:val="16"/>
                <w:szCs w:val="16"/>
              </w:rPr>
              <w:t>1</w:t>
            </w:r>
          </w:p>
        </w:tc>
        <w:tc>
          <w:tcPr>
            <w:tcW w:w="423" w:type="dxa"/>
            <w:shd w:val="solid" w:color="FFFFFF" w:fill="auto"/>
          </w:tcPr>
          <w:p w14:paraId="24174851" w14:textId="77777777" w:rsidR="00A10B25" w:rsidRDefault="00A10B25">
            <w:pPr>
              <w:pStyle w:val="TAC"/>
              <w:rPr>
                <w:sz w:val="16"/>
                <w:szCs w:val="16"/>
              </w:rPr>
            </w:pPr>
            <w:r>
              <w:rPr>
                <w:sz w:val="16"/>
                <w:szCs w:val="16"/>
              </w:rPr>
              <w:t>B</w:t>
            </w:r>
          </w:p>
        </w:tc>
        <w:tc>
          <w:tcPr>
            <w:tcW w:w="4899" w:type="dxa"/>
            <w:shd w:val="solid" w:color="FFFFFF" w:fill="auto"/>
          </w:tcPr>
          <w:p w14:paraId="2C3E087E" w14:textId="77777777" w:rsidR="00A10B25" w:rsidRDefault="00A10B25">
            <w:pPr>
              <w:pStyle w:val="TAL"/>
              <w:rPr>
                <w:sz w:val="16"/>
                <w:szCs w:val="16"/>
              </w:rPr>
            </w:pPr>
            <w:r>
              <w:rPr>
                <w:sz w:val="16"/>
                <w:szCs w:val="16"/>
                <w:lang w:eastAsia="ja-JP"/>
              </w:rPr>
              <w:t>Service introduction of Nnwdaf_DataManagement</w:t>
            </w:r>
            <w:r>
              <w:rPr>
                <w:sz w:val="16"/>
                <w:szCs w:val="16"/>
                <w:lang w:val="en-US" w:eastAsia="zh-CN"/>
              </w:rPr>
              <w:t xml:space="preserve"> service</w:t>
            </w:r>
          </w:p>
        </w:tc>
        <w:tc>
          <w:tcPr>
            <w:tcW w:w="706" w:type="dxa"/>
            <w:shd w:val="solid" w:color="FFFFFF" w:fill="auto"/>
          </w:tcPr>
          <w:p w14:paraId="62D8A509" w14:textId="77777777" w:rsidR="00A10B25" w:rsidRDefault="00A10B25">
            <w:pPr>
              <w:pStyle w:val="TAC"/>
              <w:rPr>
                <w:sz w:val="16"/>
                <w:szCs w:val="16"/>
              </w:rPr>
            </w:pPr>
            <w:r>
              <w:rPr>
                <w:sz w:val="16"/>
                <w:szCs w:val="16"/>
              </w:rPr>
              <w:t>17.3.0</w:t>
            </w:r>
          </w:p>
        </w:tc>
      </w:tr>
      <w:tr w:rsidR="00A10B25" w14:paraId="6B416587" w14:textId="77777777">
        <w:tc>
          <w:tcPr>
            <w:tcW w:w="796" w:type="dxa"/>
            <w:shd w:val="solid" w:color="FFFFFF" w:fill="auto"/>
          </w:tcPr>
          <w:p w14:paraId="3514C81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794C0984"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751608E2" w14:textId="77777777" w:rsidR="00A10B25" w:rsidRDefault="00A10B25">
            <w:pPr>
              <w:pStyle w:val="TAC"/>
              <w:rPr>
                <w:sz w:val="16"/>
                <w:szCs w:val="16"/>
              </w:rPr>
            </w:pPr>
            <w:r>
              <w:rPr>
                <w:sz w:val="16"/>
                <w:szCs w:val="16"/>
              </w:rPr>
              <w:t>CP-211221</w:t>
            </w:r>
          </w:p>
        </w:tc>
        <w:tc>
          <w:tcPr>
            <w:tcW w:w="523" w:type="dxa"/>
            <w:shd w:val="solid" w:color="FFFFFF" w:fill="auto"/>
          </w:tcPr>
          <w:p w14:paraId="695FB0B9" w14:textId="77777777" w:rsidR="00A10B25" w:rsidRDefault="00A10B25">
            <w:pPr>
              <w:pStyle w:val="TAL"/>
              <w:rPr>
                <w:sz w:val="16"/>
                <w:szCs w:val="16"/>
              </w:rPr>
            </w:pPr>
            <w:r>
              <w:rPr>
                <w:sz w:val="16"/>
                <w:szCs w:val="16"/>
              </w:rPr>
              <w:t>0289</w:t>
            </w:r>
          </w:p>
        </w:tc>
        <w:tc>
          <w:tcPr>
            <w:tcW w:w="423" w:type="dxa"/>
            <w:shd w:val="solid" w:color="FFFFFF" w:fill="auto"/>
          </w:tcPr>
          <w:p w14:paraId="170B9555" w14:textId="77777777" w:rsidR="00A10B25" w:rsidRDefault="00A10B25">
            <w:pPr>
              <w:pStyle w:val="TAR"/>
              <w:rPr>
                <w:sz w:val="16"/>
                <w:szCs w:val="16"/>
              </w:rPr>
            </w:pPr>
            <w:r>
              <w:rPr>
                <w:sz w:val="16"/>
                <w:szCs w:val="16"/>
              </w:rPr>
              <w:t>1</w:t>
            </w:r>
          </w:p>
        </w:tc>
        <w:tc>
          <w:tcPr>
            <w:tcW w:w="423" w:type="dxa"/>
            <w:shd w:val="solid" w:color="FFFFFF" w:fill="auto"/>
          </w:tcPr>
          <w:p w14:paraId="326C957A" w14:textId="77777777" w:rsidR="00A10B25" w:rsidRDefault="00A10B25">
            <w:pPr>
              <w:pStyle w:val="TAC"/>
              <w:rPr>
                <w:sz w:val="16"/>
                <w:szCs w:val="16"/>
              </w:rPr>
            </w:pPr>
            <w:r>
              <w:rPr>
                <w:sz w:val="16"/>
                <w:szCs w:val="16"/>
              </w:rPr>
              <w:t>B</w:t>
            </w:r>
          </w:p>
        </w:tc>
        <w:tc>
          <w:tcPr>
            <w:tcW w:w="4899" w:type="dxa"/>
            <w:shd w:val="solid" w:color="FFFFFF" w:fill="auto"/>
          </w:tcPr>
          <w:p w14:paraId="0AAF3A9F" w14:textId="77777777" w:rsidR="00A10B25" w:rsidRDefault="00A10B25">
            <w:pPr>
              <w:pStyle w:val="TAL"/>
              <w:rPr>
                <w:sz w:val="16"/>
                <w:szCs w:val="16"/>
              </w:rPr>
            </w:pPr>
            <w:r>
              <w:rPr>
                <w:sz w:val="16"/>
                <w:szCs w:val="16"/>
                <w:lang w:val="en-US" w:eastAsia="zh-CN"/>
              </w:rPr>
              <w:t xml:space="preserve">Service operations for </w:t>
            </w:r>
            <w:r>
              <w:rPr>
                <w:sz w:val="16"/>
                <w:szCs w:val="16"/>
                <w:lang w:eastAsia="ja-JP"/>
              </w:rPr>
              <w:t>Nnwdaf_DataManagement</w:t>
            </w:r>
          </w:p>
        </w:tc>
        <w:tc>
          <w:tcPr>
            <w:tcW w:w="706" w:type="dxa"/>
            <w:shd w:val="solid" w:color="FFFFFF" w:fill="auto"/>
          </w:tcPr>
          <w:p w14:paraId="7F689C4E" w14:textId="77777777" w:rsidR="00A10B25" w:rsidRDefault="00A10B25">
            <w:pPr>
              <w:pStyle w:val="TAC"/>
              <w:rPr>
                <w:sz w:val="16"/>
                <w:szCs w:val="16"/>
              </w:rPr>
            </w:pPr>
            <w:r>
              <w:rPr>
                <w:sz w:val="16"/>
                <w:szCs w:val="16"/>
              </w:rPr>
              <w:t>17.3.0</w:t>
            </w:r>
          </w:p>
        </w:tc>
      </w:tr>
      <w:tr w:rsidR="00A10B25" w14:paraId="29DCDFD5" w14:textId="77777777">
        <w:tc>
          <w:tcPr>
            <w:tcW w:w="796" w:type="dxa"/>
            <w:shd w:val="solid" w:color="FFFFFF" w:fill="auto"/>
          </w:tcPr>
          <w:p w14:paraId="46E0DC5C"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3B729A0D"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368CBC64" w14:textId="77777777" w:rsidR="00A10B25" w:rsidRDefault="00A10B25">
            <w:pPr>
              <w:pStyle w:val="TAC"/>
              <w:rPr>
                <w:sz w:val="16"/>
                <w:szCs w:val="16"/>
              </w:rPr>
            </w:pPr>
            <w:r>
              <w:rPr>
                <w:sz w:val="16"/>
                <w:szCs w:val="16"/>
              </w:rPr>
              <w:t>CP-211221</w:t>
            </w:r>
          </w:p>
        </w:tc>
        <w:tc>
          <w:tcPr>
            <w:tcW w:w="523" w:type="dxa"/>
            <w:shd w:val="solid" w:color="FFFFFF" w:fill="auto"/>
          </w:tcPr>
          <w:p w14:paraId="50240FBC" w14:textId="77777777" w:rsidR="00A10B25" w:rsidRDefault="00A10B25">
            <w:pPr>
              <w:pStyle w:val="TAL"/>
              <w:rPr>
                <w:sz w:val="16"/>
                <w:szCs w:val="16"/>
              </w:rPr>
            </w:pPr>
            <w:r>
              <w:rPr>
                <w:sz w:val="16"/>
                <w:szCs w:val="16"/>
              </w:rPr>
              <w:t>0290</w:t>
            </w:r>
          </w:p>
        </w:tc>
        <w:tc>
          <w:tcPr>
            <w:tcW w:w="423" w:type="dxa"/>
            <w:shd w:val="solid" w:color="FFFFFF" w:fill="auto"/>
          </w:tcPr>
          <w:p w14:paraId="127C7D1C" w14:textId="77777777" w:rsidR="00A10B25" w:rsidRDefault="00A10B25">
            <w:pPr>
              <w:pStyle w:val="TAR"/>
              <w:rPr>
                <w:sz w:val="16"/>
                <w:szCs w:val="16"/>
              </w:rPr>
            </w:pPr>
            <w:r>
              <w:rPr>
                <w:sz w:val="16"/>
                <w:szCs w:val="16"/>
              </w:rPr>
              <w:t>1</w:t>
            </w:r>
          </w:p>
        </w:tc>
        <w:tc>
          <w:tcPr>
            <w:tcW w:w="423" w:type="dxa"/>
            <w:shd w:val="solid" w:color="FFFFFF" w:fill="auto"/>
          </w:tcPr>
          <w:p w14:paraId="4CD85E88" w14:textId="77777777" w:rsidR="00A10B25" w:rsidRDefault="00A10B25">
            <w:pPr>
              <w:pStyle w:val="TAC"/>
              <w:rPr>
                <w:sz w:val="16"/>
                <w:szCs w:val="16"/>
              </w:rPr>
            </w:pPr>
            <w:r>
              <w:rPr>
                <w:sz w:val="16"/>
                <w:szCs w:val="16"/>
              </w:rPr>
              <w:t>B</w:t>
            </w:r>
          </w:p>
        </w:tc>
        <w:tc>
          <w:tcPr>
            <w:tcW w:w="4899" w:type="dxa"/>
            <w:shd w:val="solid" w:color="FFFFFF" w:fill="auto"/>
          </w:tcPr>
          <w:p w14:paraId="23AF6C90" w14:textId="77777777" w:rsidR="00A10B25" w:rsidRDefault="00A10B25">
            <w:pPr>
              <w:pStyle w:val="TAL"/>
              <w:rPr>
                <w:sz w:val="16"/>
                <w:szCs w:val="16"/>
              </w:rPr>
            </w:pPr>
            <w:r>
              <w:rPr>
                <w:sz w:val="16"/>
                <w:szCs w:val="16"/>
                <w:lang w:eastAsia="ja-JP"/>
              </w:rPr>
              <w:t xml:space="preserve">Nnwdaf_DataManagement </w:t>
            </w:r>
            <w:r>
              <w:rPr>
                <w:sz w:val="16"/>
                <w:szCs w:val="16"/>
              </w:rPr>
              <w:t>Service API</w:t>
            </w:r>
          </w:p>
        </w:tc>
        <w:tc>
          <w:tcPr>
            <w:tcW w:w="706" w:type="dxa"/>
            <w:shd w:val="solid" w:color="FFFFFF" w:fill="auto"/>
          </w:tcPr>
          <w:p w14:paraId="1BE48C08" w14:textId="77777777" w:rsidR="00A10B25" w:rsidRDefault="00A10B25">
            <w:pPr>
              <w:pStyle w:val="TAC"/>
              <w:rPr>
                <w:sz w:val="16"/>
                <w:szCs w:val="16"/>
              </w:rPr>
            </w:pPr>
            <w:r>
              <w:rPr>
                <w:sz w:val="16"/>
                <w:szCs w:val="16"/>
              </w:rPr>
              <w:t>17.3.0</w:t>
            </w:r>
          </w:p>
        </w:tc>
      </w:tr>
      <w:tr w:rsidR="00A10B25" w14:paraId="06C9BFEC" w14:textId="77777777">
        <w:tc>
          <w:tcPr>
            <w:tcW w:w="796" w:type="dxa"/>
            <w:shd w:val="solid" w:color="FFFFFF" w:fill="auto"/>
          </w:tcPr>
          <w:p w14:paraId="1983A87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6AE214D9"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7E46B733" w14:textId="77777777" w:rsidR="00A10B25" w:rsidRDefault="00A10B25">
            <w:pPr>
              <w:pStyle w:val="TAC"/>
              <w:rPr>
                <w:sz w:val="16"/>
                <w:szCs w:val="16"/>
              </w:rPr>
            </w:pPr>
            <w:r>
              <w:rPr>
                <w:sz w:val="16"/>
                <w:szCs w:val="16"/>
              </w:rPr>
              <w:t>CP-211221</w:t>
            </w:r>
          </w:p>
        </w:tc>
        <w:tc>
          <w:tcPr>
            <w:tcW w:w="523" w:type="dxa"/>
            <w:shd w:val="solid" w:color="FFFFFF" w:fill="auto"/>
          </w:tcPr>
          <w:p w14:paraId="79EF0ECB" w14:textId="77777777" w:rsidR="00A10B25" w:rsidRDefault="00A10B25">
            <w:pPr>
              <w:pStyle w:val="TAL"/>
              <w:rPr>
                <w:sz w:val="16"/>
                <w:szCs w:val="16"/>
              </w:rPr>
            </w:pPr>
            <w:r>
              <w:rPr>
                <w:sz w:val="16"/>
                <w:szCs w:val="16"/>
              </w:rPr>
              <w:t>0291</w:t>
            </w:r>
          </w:p>
        </w:tc>
        <w:tc>
          <w:tcPr>
            <w:tcW w:w="423" w:type="dxa"/>
            <w:shd w:val="solid" w:color="FFFFFF" w:fill="auto"/>
          </w:tcPr>
          <w:p w14:paraId="631777E8" w14:textId="77777777" w:rsidR="00A10B25" w:rsidRDefault="00A10B25">
            <w:pPr>
              <w:pStyle w:val="TAR"/>
              <w:rPr>
                <w:sz w:val="16"/>
                <w:szCs w:val="16"/>
              </w:rPr>
            </w:pPr>
            <w:r>
              <w:rPr>
                <w:sz w:val="16"/>
                <w:szCs w:val="16"/>
              </w:rPr>
              <w:t>1</w:t>
            </w:r>
          </w:p>
        </w:tc>
        <w:tc>
          <w:tcPr>
            <w:tcW w:w="423" w:type="dxa"/>
            <w:shd w:val="solid" w:color="FFFFFF" w:fill="auto"/>
          </w:tcPr>
          <w:p w14:paraId="165FEA5B" w14:textId="77777777" w:rsidR="00A10B25" w:rsidRDefault="00A10B25">
            <w:pPr>
              <w:pStyle w:val="TAC"/>
              <w:rPr>
                <w:sz w:val="16"/>
                <w:szCs w:val="16"/>
              </w:rPr>
            </w:pPr>
            <w:r>
              <w:rPr>
                <w:sz w:val="16"/>
                <w:szCs w:val="16"/>
              </w:rPr>
              <w:t>B</w:t>
            </w:r>
          </w:p>
        </w:tc>
        <w:tc>
          <w:tcPr>
            <w:tcW w:w="4899" w:type="dxa"/>
            <w:shd w:val="solid" w:color="FFFFFF" w:fill="auto"/>
          </w:tcPr>
          <w:p w14:paraId="78AE6E2F" w14:textId="77777777" w:rsidR="00A10B25" w:rsidRDefault="00A10B25">
            <w:pPr>
              <w:pStyle w:val="TAL"/>
              <w:rPr>
                <w:sz w:val="16"/>
                <w:szCs w:val="16"/>
              </w:rPr>
            </w:pPr>
            <w:r>
              <w:rPr>
                <w:sz w:val="16"/>
                <w:szCs w:val="16"/>
                <w:lang w:val="en-US" w:eastAsia="zh-CN"/>
              </w:rPr>
              <w:t>Service introduction of Nnwdaf_MLModelProvision service</w:t>
            </w:r>
          </w:p>
        </w:tc>
        <w:tc>
          <w:tcPr>
            <w:tcW w:w="706" w:type="dxa"/>
            <w:shd w:val="solid" w:color="FFFFFF" w:fill="auto"/>
          </w:tcPr>
          <w:p w14:paraId="56C60C11" w14:textId="77777777" w:rsidR="00A10B25" w:rsidRDefault="00A10B25">
            <w:pPr>
              <w:pStyle w:val="TAC"/>
              <w:rPr>
                <w:sz w:val="16"/>
                <w:szCs w:val="16"/>
              </w:rPr>
            </w:pPr>
            <w:r>
              <w:rPr>
                <w:sz w:val="16"/>
                <w:szCs w:val="16"/>
              </w:rPr>
              <w:t>17.3.0</w:t>
            </w:r>
          </w:p>
        </w:tc>
      </w:tr>
      <w:tr w:rsidR="00A10B25" w14:paraId="1AF61352" w14:textId="77777777">
        <w:tc>
          <w:tcPr>
            <w:tcW w:w="796" w:type="dxa"/>
            <w:shd w:val="solid" w:color="FFFFFF" w:fill="auto"/>
          </w:tcPr>
          <w:p w14:paraId="04D468C0"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63C34113"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54A46000" w14:textId="77777777" w:rsidR="00A10B25" w:rsidRDefault="00A10B25">
            <w:pPr>
              <w:pStyle w:val="TAC"/>
              <w:rPr>
                <w:sz w:val="16"/>
                <w:szCs w:val="16"/>
              </w:rPr>
            </w:pPr>
            <w:r>
              <w:rPr>
                <w:sz w:val="16"/>
                <w:szCs w:val="16"/>
              </w:rPr>
              <w:t>CP-211221</w:t>
            </w:r>
          </w:p>
        </w:tc>
        <w:tc>
          <w:tcPr>
            <w:tcW w:w="523" w:type="dxa"/>
            <w:shd w:val="solid" w:color="FFFFFF" w:fill="auto"/>
          </w:tcPr>
          <w:p w14:paraId="4103C1A2" w14:textId="77777777" w:rsidR="00A10B25" w:rsidRDefault="00A10B25">
            <w:pPr>
              <w:pStyle w:val="TAL"/>
              <w:rPr>
                <w:sz w:val="16"/>
                <w:szCs w:val="16"/>
              </w:rPr>
            </w:pPr>
            <w:r>
              <w:rPr>
                <w:sz w:val="16"/>
                <w:szCs w:val="16"/>
              </w:rPr>
              <w:t>0292</w:t>
            </w:r>
          </w:p>
        </w:tc>
        <w:tc>
          <w:tcPr>
            <w:tcW w:w="423" w:type="dxa"/>
            <w:shd w:val="solid" w:color="FFFFFF" w:fill="auto"/>
          </w:tcPr>
          <w:p w14:paraId="48283154" w14:textId="77777777" w:rsidR="00A10B25" w:rsidRDefault="00A10B25">
            <w:pPr>
              <w:pStyle w:val="TAR"/>
              <w:rPr>
                <w:sz w:val="16"/>
                <w:szCs w:val="16"/>
              </w:rPr>
            </w:pPr>
            <w:r>
              <w:rPr>
                <w:sz w:val="16"/>
                <w:szCs w:val="16"/>
              </w:rPr>
              <w:t>1</w:t>
            </w:r>
          </w:p>
        </w:tc>
        <w:tc>
          <w:tcPr>
            <w:tcW w:w="423" w:type="dxa"/>
            <w:shd w:val="solid" w:color="FFFFFF" w:fill="auto"/>
          </w:tcPr>
          <w:p w14:paraId="48F93650" w14:textId="77777777" w:rsidR="00A10B25" w:rsidRDefault="00A10B25">
            <w:pPr>
              <w:pStyle w:val="TAC"/>
              <w:rPr>
                <w:sz w:val="16"/>
                <w:szCs w:val="16"/>
              </w:rPr>
            </w:pPr>
            <w:r>
              <w:rPr>
                <w:sz w:val="16"/>
                <w:szCs w:val="16"/>
              </w:rPr>
              <w:t>B</w:t>
            </w:r>
          </w:p>
        </w:tc>
        <w:tc>
          <w:tcPr>
            <w:tcW w:w="4899" w:type="dxa"/>
            <w:shd w:val="solid" w:color="FFFFFF" w:fill="auto"/>
          </w:tcPr>
          <w:p w14:paraId="1BA569E4" w14:textId="77777777" w:rsidR="00A10B25" w:rsidRDefault="00A10B25">
            <w:pPr>
              <w:pStyle w:val="TAL"/>
              <w:rPr>
                <w:sz w:val="16"/>
                <w:szCs w:val="16"/>
              </w:rPr>
            </w:pPr>
            <w:r>
              <w:rPr>
                <w:sz w:val="16"/>
                <w:szCs w:val="16"/>
                <w:lang w:val="en-US" w:eastAsia="zh-CN"/>
              </w:rPr>
              <w:t>Service operations for Nnwdaf_MLModelProvision service</w:t>
            </w:r>
          </w:p>
        </w:tc>
        <w:tc>
          <w:tcPr>
            <w:tcW w:w="706" w:type="dxa"/>
            <w:shd w:val="solid" w:color="FFFFFF" w:fill="auto"/>
          </w:tcPr>
          <w:p w14:paraId="33DC069A" w14:textId="77777777" w:rsidR="00A10B25" w:rsidRDefault="00A10B25">
            <w:pPr>
              <w:pStyle w:val="TAC"/>
              <w:rPr>
                <w:sz w:val="16"/>
                <w:szCs w:val="16"/>
              </w:rPr>
            </w:pPr>
            <w:r>
              <w:rPr>
                <w:sz w:val="16"/>
                <w:szCs w:val="16"/>
              </w:rPr>
              <w:t>17.3.0</w:t>
            </w:r>
          </w:p>
        </w:tc>
      </w:tr>
      <w:tr w:rsidR="00A10B25" w14:paraId="6D5B8B9A" w14:textId="77777777">
        <w:tc>
          <w:tcPr>
            <w:tcW w:w="796" w:type="dxa"/>
            <w:shd w:val="solid" w:color="FFFFFF" w:fill="auto"/>
          </w:tcPr>
          <w:p w14:paraId="6D4FEE4E"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2E76050C"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00AC679E" w14:textId="77777777" w:rsidR="00A10B25" w:rsidRDefault="00A10B25">
            <w:pPr>
              <w:pStyle w:val="TAC"/>
              <w:rPr>
                <w:sz w:val="16"/>
                <w:szCs w:val="16"/>
              </w:rPr>
            </w:pPr>
            <w:r>
              <w:rPr>
                <w:sz w:val="16"/>
                <w:szCs w:val="16"/>
              </w:rPr>
              <w:t>CP-211221</w:t>
            </w:r>
          </w:p>
        </w:tc>
        <w:tc>
          <w:tcPr>
            <w:tcW w:w="523" w:type="dxa"/>
            <w:shd w:val="solid" w:color="FFFFFF" w:fill="auto"/>
          </w:tcPr>
          <w:p w14:paraId="710FCC19" w14:textId="77777777" w:rsidR="00A10B25" w:rsidRDefault="00A10B25">
            <w:pPr>
              <w:pStyle w:val="TAL"/>
              <w:rPr>
                <w:sz w:val="16"/>
                <w:szCs w:val="16"/>
              </w:rPr>
            </w:pPr>
            <w:r>
              <w:rPr>
                <w:sz w:val="16"/>
                <w:szCs w:val="16"/>
              </w:rPr>
              <w:t>0293</w:t>
            </w:r>
          </w:p>
        </w:tc>
        <w:tc>
          <w:tcPr>
            <w:tcW w:w="423" w:type="dxa"/>
            <w:shd w:val="solid" w:color="FFFFFF" w:fill="auto"/>
          </w:tcPr>
          <w:p w14:paraId="0615C1AA" w14:textId="77777777" w:rsidR="00A10B25" w:rsidRDefault="00A10B25">
            <w:pPr>
              <w:pStyle w:val="TAR"/>
              <w:rPr>
                <w:sz w:val="16"/>
                <w:szCs w:val="16"/>
              </w:rPr>
            </w:pPr>
            <w:r>
              <w:rPr>
                <w:sz w:val="16"/>
                <w:szCs w:val="16"/>
              </w:rPr>
              <w:t>1</w:t>
            </w:r>
          </w:p>
        </w:tc>
        <w:tc>
          <w:tcPr>
            <w:tcW w:w="423" w:type="dxa"/>
            <w:shd w:val="solid" w:color="FFFFFF" w:fill="auto"/>
          </w:tcPr>
          <w:p w14:paraId="0BB3490A" w14:textId="77777777" w:rsidR="00A10B25" w:rsidRDefault="00A10B25">
            <w:pPr>
              <w:pStyle w:val="TAC"/>
              <w:rPr>
                <w:sz w:val="16"/>
                <w:szCs w:val="16"/>
              </w:rPr>
            </w:pPr>
            <w:r>
              <w:rPr>
                <w:sz w:val="16"/>
                <w:szCs w:val="16"/>
              </w:rPr>
              <w:t>B</w:t>
            </w:r>
          </w:p>
        </w:tc>
        <w:tc>
          <w:tcPr>
            <w:tcW w:w="4899" w:type="dxa"/>
            <w:shd w:val="solid" w:color="FFFFFF" w:fill="auto"/>
          </w:tcPr>
          <w:p w14:paraId="7805B389" w14:textId="77777777" w:rsidR="00A10B25" w:rsidRDefault="00A10B25">
            <w:pPr>
              <w:pStyle w:val="TAL"/>
              <w:rPr>
                <w:sz w:val="16"/>
                <w:szCs w:val="16"/>
              </w:rPr>
            </w:pPr>
            <w:r>
              <w:rPr>
                <w:sz w:val="16"/>
                <w:szCs w:val="16"/>
                <w:lang w:val="en-US" w:eastAsia="zh-CN"/>
              </w:rPr>
              <w:t>Nnwdaf_MLModelProvision Service API</w:t>
            </w:r>
          </w:p>
        </w:tc>
        <w:tc>
          <w:tcPr>
            <w:tcW w:w="706" w:type="dxa"/>
            <w:shd w:val="solid" w:color="FFFFFF" w:fill="auto"/>
          </w:tcPr>
          <w:p w14:paraId="0DC583BC" w14:textId="77777777" w:rsidR="00A10B25" w:rsidRDefault="00A10B25">
            <w:pPr>
              <w:pStyle w:val="TAC"/>
              <w:rPr>
                <w:sz w:val="16"/>
                <w:szCs w:val="16"/>
              </w:rPr>
            </w:pPr>
            <w:r>
              <w:rPr>
                <w:sz w:val="16"/>
                <w:szCs w:val="16"/>
              </w:rPr>
              <w:t>17.3.0</w:t>
            </w:r>
          </w:p>
        </w:tc>
      </w:tr>
      <w:tr w:rsidR="00A10B25" w14:paraId="5B79F294" w14:textId="77777777">
        <w:tc>
          <w:tcPr>
            <w:tcW w:w="796" w:type="dxa"/>
            <w:shd w:val="solid" w:color="FFFFFF" w:fill="auto"/>
          </w:tcPr>
          <w:p w14:paraId="6C0777A6"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7585F9F0"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2FD255EA" w14:textId="77777777" w:rsidR="00A10B25" w:rsidRDefault="00A10B25">
            <w:pPr>
              <w:pStyle w:val="TAC"/>
              <w:rPr>
                <w:sz w:val="16"/>
                <w:szCs w:val="16"/>
              </w:rPr>
            </w:pPr>
            <w:r>
              <w:rPr>
                <w:sz w:val="16"/>
                <w:szCs w:val="16"/>
              </w:rPr>
              <w:t>CP-211221</w:t>
            </w:r>
          </w:p>
        </w:tc>
        <w:tc>
          <w:tcPr>
            <w:tcW w:w="523" w:type="dxa"/>
            <w:shd w:val="solid" w:color="FFFFFF" w:fill="auto"/>
          </w:tcPr>
          <w:p w14:paraId="3336B0E0" w14:textId="77777777" w:rsidR="00A10B25" w:rsidRDefault="00A10B25">
            <w:pPr>
              <w:pStyle w:val="TAL"/>
              <w:rPr>
                <w:sz w:val="16"/>
                <w:szCs w:val="16"/>
              </w:rPr>
            </w:pPr>
            <w:r>
              <w:rPr>
                <w:sz w:val="16"/>
                <w:szCs w:val="16"/>
              </w:rPr>
              <w:t>0294</w:t>
            </w:r>
          </w:p>
        </w:tc>
        <w:tc>
          <w:tcPr>
            <w:tcW w:w="423" w:type="dxa"/>
            <w:shd w:val="solid" w:color="FFFFFF" w:fill="auto"/>
          </w:tcPr>
          <w:p w14:paraId="542C440F" w14:textId="77777777" w:rsidR="00A10B25" w:rsidRDefault="00A10B25">
            <w:pPr>
              <w:pStyle w:val="TAR"/>
              <w:rPr>
                <w:sz w:val="16"/>
                <w:szCs w:val="16"/>
              </w:rPr>
            </w:pPr>
            <w:r>
              <w:rPr>
                <w:rFonts w:hint="eastAsia"/>
                <w:sz w:val="16"/>
                <w:szCs w:val="16"/>
              </w:rPr>
              <w:t>2</w:t>
            </w:r>
          </w:p>
        </w:tc>
        <w:tc>
          <w:tcPr>
            <w:tcW w:w="423" w:type="dxa"/>
            <w:shd w:val="solid" w:color="FFFFFF" w:fill="auto"/>
          </w:tcPr>
          <w:p w14:paraId="413BE69D" w14:textId="77777777" w:rsidR="00A10B25" w:rsidRDefault="00A10B25">
            <w:pPr>
              <w:pStyle w:val="TAC"/>
              <w:rPr>
                <w:sz w:val="16"/>
                <w:szCs w:val="16"/>
              </w:rPr>
            </w:pPr>
            <w:r>
              <w:rPr>
                <w:sz w:val="16"/>
                <w:szCs w:val="16"/>
              </w:rPr>
              <w:t>B</w:t>
            </w:r>
          </w:p>
        </w:tc>
        <w:tc>
          <w:tcPr>
            <w:tcW w:w="4899" w:type="dxa"/>
            <w:shd w:val="solid" w:color="FFFFFF" w:fill="auto"/>
          </w:tcPr>
          <w:p w14:paraId="320AF5D8" w14:textId="77777777" w:rsidR="00A10B25" w:rsidRDefault="00A10B25">
            <w:pPr>
              <w:pStyle w:val="TAL"/>
              <w:rPr>
                <w:sz w:val="16"/>
                <w:szCs w:val="16"/>
              </w:rPr>
            </w:pPr>
            <w:r>
              <w:rPr>
                <w:sz w:val="16"/>
                <w:szCs w:val="16"/>
              </w:rPr>
              <w:t>Partitioning criteria for applying sampling in specific UE partitions in NWDAF event exposure</w:t>
            </w:r>
          </w:p>
        </w:tc>
        <w:tc>
          <w:tcPr>
            <w:tcW w:w="706" w:type="dxa"/>
            <w:shd w:val="solid" w:color="FFFFFF" w:fill="auto"/>
          </w:tcPr>
          <w:p w14:paraId="69862D04" w14:textId="77777777" w:rsidR="00A10B25" w:rsidRDefault="00A10B25">
            <w:pPr>
              <w:pStyle w:val="TAC"/>
              <w:rPr>
                <w:sz w:val="16"/>
                <w:szCs w:val="16"/>
              </w:rPr>
            </w:pPr>
            <w:r>
              <w:rPr>
                <w:sz w:val="16"/>
                <w:szCs w:val="16"/>
              </w:rPr>
              <w:t>17.3.0</w:t>
            </w:r>
          </w:p>
        </w:tc>
      </w:tr>
      <w:tr w:rsidR="00A10B25" w14:paraId="7019C461" w14:textId="77777777">
        <w:tc>
          <w:tcPr>
            <w:tcW w:w="796" w:type="dxa"/>
            <w:shd w:val="solid" w:color="FFFFFF" w:fill="auto"/>
          </w:tcPr>
          <w:p w14:paraId="705C08D4"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15CBB0E4"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424DE8AE" w14:textId="77777777" w:rsidR="00A10B25" w:rsidRDefault="00A10B25">
            <w:pPr>
              <w:pStyle w:val="TAC"/>
              <w:rPr>
                <w:sz w:val="16"/>
                <w:szCs w:val="16"/>
              </w:rPr>
            </w:pPr>
            <w:r>
              <w:rPr>
                <w:sz w:val="16"/>
                <w:szCs w:val="16"/>
              </w:rPr>
              <w:t>CP-211221</w:t>
            </w:r>
          </w:p>
        </w:tc>
        <w:tc>
          <w:tcPr>
            <w:tcW w:w="523" w:type="dxa"/>
            <w:shd w:val="solid" w:color="FFFFFF" w:fill="auto"/>
          </w:tcPr>
          <w:p w14:paraId="41E42A7C" w14:textId="77777777" w:rsidR="00A10B25" w:rsidRDefault="00A10B25">
            <w:pPr>
              <w:pStyle w:val="TAL"/>
              <w:rPr>
                <w:sz w:val="16"/>
                <w:szCs w:val="16"/>
              </w:rPr>
            </w:pPr>
            <w:r>
              <w:rPr>
                <w:sz w:val="16"/>
                <w:szCs w:val="16"/>
              </w:rPr>
              <w:t>0295</w:t>
            </w:r>
          </w:p>
        </w:tc>
        <w:tc>
          <w:tcPr>
            <w:tcW w:w="423" w:type="dxa"/>
            <w:shd w:val="solid" w:color="FFFFFF" w:fill="auto"/>
          </w:tcPr>
          <w:p w14:paraId="693EB7A1"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6177A80" w14:textId="77777777" w:rsidR="00A10B25" w:rsidRDefault="00A10B25">
            <w:pPr>
              <w:pStyle w:val="TAC"/>
              <w:rPr>
                <w:sz w:val="16"/>
                <w:szCs w:val="16"/>
              </w:rPr>
            </w:pPr>
            <w:r>
              <w:rPr>
                <w:sz w:val="16"/>
                <w:szCs w:val="16"/>
              </w:rPr>
              <w:t>B</w:t>
            </w:r>
          </w:p>
        </w:tc>
        <w:tc>
          <w:tcPr>
            <w:tcW w:w="4899" w:type="dxa"/>
            <w:shd w:val="solid" w:color="FFFFFF" w:fill="auto"/>
          </w:tcPr>
          <w:p w14:paraId="6DC34043" w14:textId="77777777" w:rsidR="00A10B25" w:rsidRDefault="00A10B25">
            <w:pPr>
              <w:pStyle w:val="TAL"/>
              <w:rPr>
                <w:sz w:val="16"/>
                <w:szCs w:val="16"/>
              </w:rPr>
            </w:pPr>
            <w:r>
              <w:rPr>
                <w:sz w:val="16"/>
                <w:szCs w:val="16"/>
              </w:rPr>
              <w:t>Complete definition of the Nnwdaf_MLModelProvision API</w:t>
            </w:r>
          </w:p>
        </w:tc>
        <w:tc>
          <w:tcPr>
            <w:tcW w:w="706" w:type="dxa"/>
            <w:shd w:val="solid" w:color="FFFFFF" w:fill="auto"/>
          </w:tcPr>
          <w:p w14:paraId="76853A48" w14:textId="77777777" w:rsidR="00A10B25" w:rsidRDefault="00A10B25">
            <w:pPr>
              <w:pStyle w:val="TAC"/>
              <w:rPr>
                <w:sz w:val="16"/>
                <w:szCs w:val="16"/>
              </w:rPr>
            </w:pPr>
            <w:r>
              <w:rPr>
                <w:sz w:val="16"/>
                <w:szCs w:val="16"/>
              </w:rPr>
              <w:t>17.3.0</w:t>
            </w:r>
          </w:p>
        </w:tc>
      </w:tr>
      <w:tr w:rsidR="00A10B25" w14:paraId="15D75F8F" w14:textId="77777777">
        <w:tc>
          <w:tcPr>
            <w:tcW w:w="796" w:type="dxa"/>
            <w:shd w:val="solid" w:color="FFFFFF" w:fill="auto"/>
          </w:tcPr>
          <w:p w14:paraId="278FB08E"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4E75000B"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798F7245" w14:textId="77777777" w:rsidR="00A10B25" w:rsidRDefault="00A10B25">
            <w:pPr>
              <w:pStyle w:val="TAC"/>
              <w:rPr>
                <w:sz w:val="16"/>
                <w:szCs w:val="16"/>
              </w:rPr>
            </w:pPr>
            <w:r>
              <w:rPr>
                <w:sz w:val="16"/>
                <w:szCs w:val="16"/>
              </w:rPr>
              <w:t>CP-211200</w:t>
            </w:r>
          </w:p>
        </w:tc>
        <w:tc>
          <w:tcPr>
            <w:tcW w:w="523" w:type="dxa"/>
            <w:shd w:val="solid" w:color="FFFFFF" w:fill="auto"/>
          </w:tcPr>
          <w:p w14:paraId="0F1FBDD3" w14:textId="77777777" w:rsidR="00A10B25" w:rsidRDefault="00A10B25">
            <w:pPr>
              <w:pStyle w:val="TAL"/>
              <w:rPr>
                <w:sz w:val="16"/>
                <w:szCs w:val="16"/>
              </w:rPr>
            </w:pPr>
            <w:r>
              <w:rPr>
                <w:sz w:val="16"/>
                <w:szCs w:val="16"/>
              </w:rPr>
              <w:t>0297</w:t>
            </w:r>
          </w:p>
        </w:tc>
        <w:tc>
          <w:tcPr>
            <w:tcW w:w="423" w:type="dxa"/>
            <w:shd w:val="solid" w:color="FFFFFF" w:fill="auto"/>
          </w:tcPr>
          <w:p w14:paraId="4FC20BC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24A15F3" w14:textId="77777777" w:rsidR="00A10B25" w:rsidRDefault="00A10B25">
            <w:pPr>
              <w:pStyle w:val="TAC"/>
              <w:rPr>
                <w:sz w:val="16"/>
                <w:szCs w:val="16"/>
              </w:rPr>
            </w:pPr>
            <w:r>
              <w:rPr>
                <w:sz w:val="16"/>
                <w:szCs w:val="16"/>
              </w:rPr>
              <w:t>A</w:t>
            </w:r>
          </w:p>
        </w:tc>
        <w:tc>
          <w:tcPr>
            <w:tcW w:w="4899" w:type="dxa"/>
            <w:shd w:val="solid" w:color="FFFFFF" w:fill="auto"/>
          </w:tcPr>
          <w:p w14:paraId="4F38EA83" w14:textId="77777777" w:rsidR="00A10B25" w:rsidRDefault="00A10B25">
            <w:pPr>
              <w:pStyle w:val="TAL"/>
              <w:rPr>
                <w:sz w:val="16"/>
                <w:szCs w:val="16"/>
              </w:rPr>
            </w:pPr>
            <w:r>
              <w:rPr>
                <w:sz w:val="16"/>
                <w:szCs w:val="16"/>
              </w:rPr>
              <w:t>Redirect responses with "application/json" media type</w:t>
            </w:r>
          </w:p>
        </w:tc>
        <w:tc>
          <w:tcPr>
            <w:tcW w:w="706" w:type="dxa"/>
            <w:shd w:val="solid" w:color="FFFFFF" w:fill="auto"/>
          </w:tcPr>
          <w:p w14:paraId="55897842" w14:textId="77777777" w:rsidR="00A10B25" w:rsidRDefault="00A10B25">
            <w:pPr>
              <w:pStyle w:val="TAC"/>
              <w:rPr>
                <w:sz w:val="16"/>
                <w:szCs w:val="16"/>
              </w:rPr>
            </w:pPr>
            <w:r>
              <w:rPr>
                <w:sz w:val="16"/>
                <w:szCs w:val="16"/>
              </w:rPr>
              <w:t>17.3.0</w:t>
            </w:r>
          </w:p>
        </w:tc>
      </w:tr>
      <w:tr w:rsidR="00A10B25" w14:paraId="513265CE" w14:textId="77777777">
        <w:tc>
          <w:tcPr>
            <w:tcW w:w="796" w:type="dxa"/>
            <w:shd w:val="solid" w:color="FFFFFF" w:fill="auto"/>
          </w:tcPr>
          <w:p w14:paraId="0279B3CA"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11F300C3"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3270EB0C" w14:textId="77777777" w:rsidR="00A10B25" w:rsidRDefault="00A10B25">
            <w:pPr>
              <w:pStyle w:val="TAC"/>
              <w:rPr>
                <w:sz w:val="16"/>
                <w:szCs w:val="16"/>
              </w:rPr>
            </w:pPr>
            <w:r>
              <w:rPr>
                <w:sz w:val="16"/>
                <w:szCs w:val="16"/>
              </w:rPr>
              <w:t>CP-211251</w:t>
            </w:r>
          </w:p>
        </w:tc>
        <w:tc>
          <w:tcPr>
            <w:tcW w:w="523" w:type="dxa"/>
            <w:shd w:val="solid" w:color="FFFFFF" w:fill="auto"/>
          </w:tcPr>
          <w:p w14:paraId="30F5EA4D" w14:textId="77777777" w:rsidR="00A10B25" w:rsidRDefault="00A10B25">
            <w:pPr>
              <w:pStyle w:val="TAL"/>
              <w:rPr>
                <w:sz w:val="16"/>
                <w:szCs w:val="16"/>
              </w:rPr>
            </w:pPr>
            <w:r>
              <w:rPr>
                <w:sz w:val="16"/>
                <w:szCs w:val="16"/>
              </w:rPr>
              <w:t>0298</w:t>
            </w:r>
          </w:p>
        </w:tc>
        <w:tc>
          <w:tcPr>
            <w:tcW w:w="423" w:type="dxa"/>
            <w:shd w:val="solid" w:color="FFFFFF" w:fill="auto"/>
          </w:tcPr>
          <w:p w14:paraId="652A55A0"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423CA2C" w14:textId="77777777" w:rsidR="00A10B25" w:rsidRDefault="00A10B25">
            <w:pPr>
              <w:pStyle w:val="TAC"/>
              <w:rPr>
                <w:sz w:val="16"/>
                <w:szCs w:val="16"/>
              </w:rPr>
            </w:pPr>
            <w:r>
              <w:rPr>
                <w:sz w:val="16"/>
                <w:szCs w:val="16"/>
              </w:rPr>
              <w:t>F</w:t>
            </w:r>
          </w:p>
        </w:tc>
        <w:tc>
          <w:tcPr>
            <w:tcW w:w="4899" w:type="dxa"/>
            <w:shd w:val="solid" w:color="FFFFFF" w:fill="auto"/>
          </w:tcPr>
          <w:p w14:paraId="0C0FB4CE" w14:textId="77777777" w:rsidR="00A10B25" w:rsidRDefault="00A10B25">
            <w:pPr>
              <w:pStyle w:val="TAL"/>
              <w:rPr>
                <w:sz w:val="16"/>
                <w:szCs w:val="16"/>
              </w:rPr>
            </w:pPr>
            <w:r>
              <w:rPr>
                <w:sz w:val="16"/>
                <w:szCs w:val="16"/>
              </w:rPr>
              <w:t>analytics for a specific time</w:t>
            </w:r>
          </w:p>
        </w:tc>
        <w:tc>
          <w:tcPr>
            <w:tcW w:w="706" w:type="dxa"/>
            <w:shd w:val="solid" w:color="FFFFFF" w:fill="auto"/>
          </w:tcPr>
          <w:p w14:paraId="51980CDD" w14:textId="77777777" w:rsidR="00A10B25" w:rsidRDefault="00A10B25">
            <w:pPr>
              <w:pStyle w:val="TAC"/>
              <w:rPr>
                <w:sz w:val="16"/>
                <w:szCs w:val="16"/>
              </w:rPr>
            </w:pPr>
            <w:r>
              <w:rPr>
                <w:sz w:val="16"/>
                <w:szCs w:val="16"/>
              </w:rPr>
              <w:t>17.3.0</w:t>
            </w:r>
          </w:p>
        </w:tc>
      </w:tr>
      <w:tr w:rsidR="00A10B25" w14:paraId="19A4E893" w14:textId="77777777">
        <w:tc>
          <w:tcPr>
            <w:tcW w:w="796" w:type="dxa"/>
            <w:shd w:val="solid" w:color="FFFFFF" w:fill="auto"/>
          </w:tcPr>
          <w:p w14:paraId="157882C7"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4B3DD832"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1E9BD015" w14:textId="77777777" w:rsidR="00A10B25" w:rsidRDefault="00A10B25">
            <w:pPr>
              <w:pStyle w:val="TAC"/>
              <w:rPr>
                <w:sz w:val="16"/>
                <w:szCs w:val="16"/>
              </w:rPr>
            </w:pPr>
            <w:r>
              <w:rPr>
                <w:sz w:val="16"/>
                <w:szCs w:val="16"/>
              </w:rPr>
              <w:t>CP-211221</w:t>
            </w:r>
          </w:p>
        </w:tc>
        <w:tc>
          <w:tcPr>
            <w:tcW w:w="523" w:type="dxa"/>
            <w:shd w:val="solid" w:color="FFFFFF" w:fill="auto"/>
          </w:tcPr>
          <w:p w14:paraId="5A8A67E8" w14:textId="77777777" w:rsidR="00A10B25" w:rsidRDefault="00A10B25">
            <w:pPr>
              <w:pStyle w:val="TAL"/>
              <w:rPr>
                <w:sz w:val="16"/>
                <w:szCs w:val="16"/>
              </w:rPr>
            </w:pPr>
            <w:r>
              <w:rPr>
                <w:sz w:val="16"/>
                <w:szCs w:val="16"/>
              </w:rPr>
              <w:t>0299</w:t>
            </w:r>
          </w:p>
        </w:tc>
        <w:tc>
          <w:tcPr>
            <w:tcW w:w="423" w:type="dxa"/>
            <w:shd w:val="solid" w:color="FFFFFF" w:fill="auto"/>
          </w:tcPr>
          <w:p w14:paraId="0AC1048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9D863D3" w14:textId="77777777" w:rsidR="00A10B25" w:rsidRDefault="00A10B25">
            <w:pPr>
              <w:pStyle w:val="TAC"/>
              <w:rPr>
                <w:sz w:val="16"/>
                <w:szCs w:val="16"/>
              </w:rPr>
            </w:pPr>
            <w:r>
              <w:rPr>
                <w:sz w:val="16"/>
                <w:szCs w:val="16"/>
              </w:rPr>
              <w:t>B</w:t>
            </w:r>
          </w:p>
        </w:tc>
        <w:tc>
          <w:tcPr>
            <w:tcW w:w="4899" w:type="dxa"/>
            <w:shd w:val="solid" w:color="FFFFFF" w:fill="auto"/>
          </w:tcPr>
          <w:p w14:paraId="6D7A5DE1" w14:textId="77777777" w:rsidR="00A10B25" w:rsidRDefault="00A10B25">
            <w:pPr>
              <w:pStyle w:val="TAL"/>
              <w:rPr>
                <w:sz w:val="16"/>
                <w:szCs w:val="16"/>
              </w:rPr>
            </w:pPr>
            <w:r>
              <w:rPr>
                <w:sz w:val="16"/>
                <w:szCs w:val="16"/>
              </w:rPr>
              <w:t>Service operations of Nnwdaf_MLModelProvision service</w:t>
            </w:r>
          </w:p>
        </w:tc>
        <w:tc>
          <w:tcPr>
            <w:tcW w:w="706" w:type="dxa"/>
            <w:shd w:val="solid" w:color="FFFFFF" w:fill="auto"/>
          </w:tcPr>
          <w:p w14:paraId="0A7084D7" w14:textId="77777777" w:rsidR="00A10B25" w:rsidRDefault="00A10B25">
            <w:pPr>
              <w:pStyle w:val="TAC"/>
              <w:rPr>
                <w:sz w:val="16"/>
                <w:szCs w:val="16"/>
              </w:rPr>
            </w:pPr>
            <w:r>
              <w:rPr>
                <w:sz w:val="16"/>
                <w:szCs w:val="16"/>
              </w:rPr>
              <w:t>17.3.0</w:t>
            </w:r>
          </w:p>
        </w:tc>
      </w:tr>
      <w:tr w:rsidR="00A10B25" w14:paraId="42BC7CA1" w14:textId="77777777">
        <w:tc>
          <w:tcPr>
            <w:tcW w:w="796" w:type="dxa"/>
            <w:shd w:val="solid" w:color="FFFFFF" w:fill="auto"/>
          </w:tcPr>
          <w:p w14:paraId="667B1948" w14:textId="77777777" w:rsidR="00A10B25" w:rsidRDefault="00A10B25">
            <w:pPr>
              <w:pStyle w:val="TAC"/>
              <w:rPr>
                <w:sz w:val="16"/>
                <w:szCs w:val="16"/>
              </w:rPr>
            </w:pPr>
            <w:r>
              <w:rPr>
                <w:rFonts w:hint="eastAsia"/>
                <w:sz w:val="16"/>
                <w:szCs w:val="16"/>
                <w:lang w:val="en-US" w:eastAsia="zh-CN"/>
              </w:rPr>
              <w:lastRenderedPageBreak/>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1B85BCBF"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74A699D7" w14:textId="77777777" w:rsidR="00A10B25" w:rsidRDefault="00A10B25">
            <w:pPr>
              <w:pStyle w:val="TAC"/>
              <w:rPr>
                <w:sz w:val="16"/>
                <w:szCs w:val="16"/>
              </w:rPr>
            </w:pPr>
            <w:r>
              <w:rPr>
                <w:sz w:val="16"/>
                <w:szCs w:val="16"/>
              </w:rPr>
              <w:t>CP-211221</w:t>
            </w:r>
          </w:p>
        </w:tc>
        <w:tc>
          <w:tcPr>
            <w:tcW w:w="523" w:type="dxa"/>
            <w:shd w:val="solid" w:color="FFFFFF" w:fill="auto"/>
          </w:tcPr>
          <w:p w14:paraId="3668BE9F" w14:textId="77777777" w:rsidR="00A10B25" w:rsidRDefault="00A10B25">
            <w:pPr>
              <w:pStyle w:val="TAL"/>
              <w:rPr>
                <w:sz w:val="16"/>
                <w:szCs w:val="16"/>
              </w:rPr>
            </w:pPr>
            <w:r>
              <w:rPr>
                <w:sz w:val="16"/>
                <w:szCs w:val="16"/>
              </w:rPr>
              <w:t>0300</w:t>
            </w:r>
          </w:p>
        </w:tc>
        <w:tc>
          <w:tcPr>
            <w:tcW w:w="423" w:type="dxa"/>
            <w:shd w:val="solid" w:color="FFFFFF" w:fill="auto"/>
          </w:tcPr>
          <w:p w14:paraId="6B65BACB"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8BBE034" w14:textId="77777777" w:rsidR="00A10B25" w:rsidRDefault="00A10B25">
            <w:pPr>
              <w:pStyle w:val="TAC"/>
              <w:rPr>
                <w:sz w:val="16"/>
                <w:szCs w:val="16"/>
              </w:rPr>
            </w:pPr>
            <w:r>
              <w:rPr>
                <w:sz w:val="16"/>
                <w:szCs w:val="16"/>
              </w:rPr>
              <w:t>B</w:t>
            </w:r>
          </w:p>
        </w:tc>
        <w:tc>
          <w:tcPr>
            <w:tcW w:w="4899" w:type="dxa"/>
            <w:shd w:val="solid" w:color="FFFFFF" w:fill="auto"/>
          </w:tcPr>
          <w:p w14:paraId="1A94F872" w14:textId="77777777" w:rsidR="00A10B25" w:rsidRDefault="00A10B25">
            <w:pPr>
              <w:pStyle w:val="TAL"/>
              <w:rPr>
                <w:sz w:val="16"/>
                <w:szCs w:val="16"/>
              </w:rPr>
            </w:pPr>
            <w:r>
              <w:rPr>
                <w:sz w:val="16"/>
                <w:szCs w:val="16"/>
              </w:rPr>
              <w:t>Service description of Nnwdaf_MLModelProvision service</w:t>
            </w:r>
          </w:p>
        </w:tc>
        <w:tc>
          <w:tcPr>
            <w:tcW w:w="706" w:type="dxa"/>
            <w:shd w:val="solid" w:color="FFFFFF" w:fill="auto"/>
          </w:tcPr>
          <w:p w14:paraId="600BE0D0" w14:textId="77777777" w:rsidR="00A10B25" w:rsidRDefault="00A10B25">
            <w:pPr>
              <w:pStyle w:val="TAC"/>
              <w:rPr>
                <w:sz w:val="16"/>
                <w:szCs w:val="16"/>
              </w:rPr>
            </w:pPr>
            <w:r>
              <w:rPr>
                <w:sz w:val="16"/>
                <w:szCs w:val="16"/>
              </w:rPr>
              <w:t>17.3.0</w:t>
            </w:r>
          </w:p>
        </w:tc>
      </w:tr>
      <w:tr w:rsidR="00A10B25" w14:paraId="64279B58" w14:textId="77777777">
        <w:tc>
          <w:tcPr>
            <w:tcW w:w="796" w:type="dxa"/>
            <w:shd w:val="solid" w:color="FFFFFF" w:fill="auto"/>
          </w:tcPr>
          <w:p w14:paraId="540609FF"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06BA6FDB"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3961CD78" w14:textId="77777777" w:rsidR="00A10B25" w:rsidRDefault="00A10B25">
            <w:pPr>
              <w:pStyle w:val="TAC"/>
              <w:rPr>
                <w:sz w:val="16"/>
                <w:szCs w:val="16"/>
              </w:rPr>
            </w:pPr>
            <w:r>
              <w:rPr>
                <w:sz w:val="16"/>
                <w:szCs w:val="16"/>
              </w:rPr>
              <w:t>CP-211275</w:t>
            </w:r>
          </w:p>
        </w:tc>
        <w:tc>
          <w:tcPr>
            <w:tcW w:w="523" w:type="dxa"/>
            <w:shd w:val="solid" w:color="FFFFFF" w:fill="auto"/>
          </w:tcPr>
          <w:p w14:paraId="7814552C" w14:textId="77777777" w:rsidR="00A10B25" w:rsidRDefault="00A10B25">
            <w:pPr>
              <w:pStyle w:val="TAL"/>
              <w:rPr>
                <w:sz w:val="16"/>
                <w:szCs w:val="16"/>
              </w:rPr>
            </w:pPr>
            <w:r>
              <w:rPr>
                <w:sz w:val="16"/>
                <w:szCs w:val="16"/>
              </w:rPr>
              <w:t>0301</w:t>
            </w:r>
          </w:p>
        </w:tc>
        <w:tc>
          <w:tcPr>
            <w:tcW w:w="423" w:type="dxa"/>
            <w:shd w:val="solid" w:color="FFFFFF" w:fill="auto"/>
          </w:tcPr>
          <w:p w14:paraId="3F147E5B"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0404F30" w14:textId="77777777" w:rsidR="00A10B25" w:rsidRDefault="00A10B25">
            <w:pPr>
              <w:pStyle w:val="TAC"/>
              <w:rPr>
                <w:sz w:val="16"/>
                <w:szCs w:val="16"/>
              </w:rPr>
            </w:pPr>
            <w:r>
              <w:rPr>
                <w:sz w:val="16"/>
                <w:szCs w:val="16"/>
              </w:rPr>
              <w:t>B</w:t>
            </w:r>
          </w:p>
        </w:tc>
        <w:tc>
          <w:tcPr>
            <w:tcW w:w="4899" w:type="dxa"/>
            <w:shd w:val="solid" w:color="FFFFFF" w:fill="auto"/>
          </w:tcPr>
          <w:p w14:paraId="0E2AAE05" w14:textId="77777777" w:rsidR="00A10B25" w:rsidRDefault="00A10B25">
            <w:pPr>
              <w:pStyle w:val="TAL"/>
              <w:rPr>
                <w:sz w:val="16"/>
                <w:szCs w:val="16"/>
              </w:rPr>
            </w:pPr>
            <w:r>
              <w:rPr>
                <w:sz w:val="16"/>
                <w:szCs w:val="16"/>
              </w:rPr>
              <w:t>Extension to User Data Congestion Analytics with GPSI</w:t>
            </w:r>
          </w:p>
        </w:tc>
        <w:tc>
          <w:tcPr>
            <w:tcW w:w="706" w:type="dxa"/>
            <w:shd w:val="solid" w:color="FFFFFF" w:fill="auto"/>
          </w:tcPr>
          <w:p w14:paraId="1662B788" w14:textId="77777777" w:rsidR="00A10B25" w:rsidRDefault="00A10B25">
            <w:pPr>
              <w:pStyle w:val="TAC"/>
              <w:rPr>
                <w:sz w:val="16"/>
                <w:szCs w:val="16"/>
              </w:rPr>
            </w:pPr>
            <w:r>
              <w:rPr>
                <w:sz w:val="16"/>
                <w:szCs w:val="16"/>
              </w:rPr>
              <w:t>17.3.0</w:t>
            </w:r>
          </w:p>
        </w:tc>
      </w:tr>
      <w:tr w:rsidR="00A10B25" w14:paraId="6B710926" w14:textId="77777777">
        <w:tc>
          <w:tcPr>
            <w:tcW w:w="796" w:type="dxa"/>
            <w:shd w:val="solid" w:color="FFFFFF" w:fill="auto"/>
          </w:tcPr>
          <w:p w14:paraId="5E7F6EFC"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59D1A897"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5B3D8A09" w14:textId="77777777" w:rsidR="00A10B25" w:rsidRDefault="00A10B25">
            <w:pPr>
              <w:pStyle w:val="TAC"/>
              <w:rPr>
                <w:sz w:val="16"/>
                <w:szCs w:val="16"/>
              </w:rPr>
            </w:pPr>
            <w:r>
              <w:rPr>
                <w:sz w:val="16"/>
                <w:szCs w:val="16"/>
              </w:rPr>
              <w:t>CP-211221</w:t>
            </w:r>
          </w:p>
        </w:tc>
        <w:tc>
          <w:tcPr>
            <w:tcW w:w="523" w:type="dxa"/>
            <w:shd w:val="solid" w:color="FFFFFF" w:fill="auto"/>
          </w:tcPr>
          <w:p w14:paraId="62E56BA9" w14:textId="77777777" w:rsidR="00A10B25" w:rsidRDefault="00A10B25">
            <w:pPr>
              <w:pStyle w:val="TAL"/>
              <w:rPr>
                <w:sz w:val="16"/>
                <w:szCs w:val="16"/>
              </w:rPr>
            </w:pPr>
            <w:r>
              <w:rPr>
                <w:sz w:val="16"/>
                <w:szCs w:val="16"/>
              </w:rPr>
              <w:t>0302</w:t>
            </w:r>
          </w:p>
        </w:tc>
        <w:tc>
          <w:tcPr>
            <w:tcW w:w="423" w:type="dxa"/>
            <w:shd w:val="solid" w:color="FFFFFF" w:fill="auto"/>
          </w:tcPr>
          <w:p w14:paraId="16601DEB"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0688CF4" w14:textId="77777777" w:rsidR="00A10B25" w:rsidRDefault="00A10B25">
            <w:pPr>
              <w:pStyle w:val="TAC"/>
              <w:rPr>
                <w:sz w:val="16"/>
                <w:szCs w:val="16"/>
              </w:rPr>
            </w:pPr>
            <w:r>
              <w:rPr>
                <w:sz w:val="16"/>
                <w:szCs w:val="16"/>
              </w:rPr>
              <w:t>F</w:t>
            </w:r>
          </w:p>
        </w:tc>
        <w:tc>
          <w:tcPr>
            <w:tcW w:w="4899" w:type="dxa"/>
            <w:shd w:val="solid" w:color="FFFFFF" w:fill="auto"/>
          </w:tcPr>
          <w:p w14:paraId="45F4122E" w14:textId="77777777" w:rsidR="00A10B25" w:rsidRDefault="00A10B25">
            <w:pPr>
              <w:pStyle w:val="TAL"/>
              <w:rPr>
                <w:sz w:val="16"/>
                <w:szCs w:val="16"/>
              </w:rPr>
            </w:pPr>
            <w:r>
              <w:rPr>
                <w:sz w:val="16"/>
                <w:szCs w:val="16"/>
              </w:rPr>
              <w:t>Correction of the description of the snssaia attribute</w:t>
            </w:r>
          </w:p>
        </w:tc>
        <w:tc>
          <w:tcPr>
            <w:tcW w:w="706" w:type="dxa"/>
            <w:shd w:val="solid" w:color="FFFFFF" w:fill="auto"/>
          </w:tcPr>
          <w:p w14:paraId="3F6A48A0" w14:textId="77777777" w:rsidR="00A10B25" w:rsidRDefault="00A10B25">
            <w:pPr>
              <w:pStyle w:val="TAC"/>
              <w:rPr>
                <w:sz w:val="16"/>
                <w:szCs w:val="16"/>
              </w:rPr>
            </w:pPr>
            <w:r>
              <w:rPr>
                <w:sz w:val="16"/>
                <w:szCs w:val="16"/>
              </w:rPr>
              <w:t>17.3.0</w:t>
            </w:r>
          </w:p>
        </w:tc>
      </w:tr>
      <w:tr w:rsidR="00A10B25" w14:paraId="42FCF1CD" w14:textId="77777777">
        <w:tc>
          <w:tcPr>
            <w:tcW w:w="796" w:type="dxa"/>
            <w:shd w:val="solid" w:color="FFFFFF" w:fill="auto"/>
          </w:tcPr>
          <w:p w14:paraId="6A78EDA4"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06</w:t>
            </w:r>
          </w:p>
        </w:tc>
        <w:tc>
          <w:tcPr>
            <w:tcW w:w="828" w:type="dxa"/>
            <w:shd w:val="solid" w:color="FFFFFF" w:fill="auto"/>
          </w:tcPr>
          <w:p w14:paraId="3C4189B7" w14:textId="77777777" w:rsidR="00A10B25" w:rsidRDefault="00A10B25">
            <w:pPr>
              <w:pStyle w:val="TAC"/>
              <w:rPr>
                <w:sz w:val="16"/>
                <w:szCs w:val="16"/>
              </w:rPr>
            </w:pPr>
            <w:r>
              <w:rPr>
                <w:sz w:val="16"/>
                <w:szCs w:val="16"/>
                <w:lang w:val="en-US" w:eastAsia="zh-CN"/>
              </w:rPr>
              <w:t>CT#92e</w:t>
            </w:r>
          </w:p>
        </w:tc>
        <w:tc>
          <w:tcPr>
            <w:tcW w:w="1083" w:type="dxa"/>
            <w:shd w:val="solid" w:color="FFFFFF" w:fill="auto"/>
          </w:tcPr>
          <w:p w14:paraId="394D02DA" w14:textId="77777777" w:rsidR="00A10B25" w:rsidRDefault="00A10B25">
            <w:pPr>
              <w:pStyle w:val="TAC"/>
              <w:rPr>
                <w:sz w:val="16"/>
                <w:szCs w:val="16"/>
              </w:rPr>
            </w:pPr>
            <w:r>
              <w:rPr>
                <w:sz w:val="16"/>
                <w:szCs w:val="16"/>
              </w:rPr>
              <w:t>CP-211265</w:t>
            </w:r>
          </w:p>
        </w:tc>
        <w:tc>
          <w:tcPr>
            <w:tcW w:w="523" w:type="dxa"/>
            <w:shd w:val="solid" w:color="FFFFFF" w:fill="auto"/>
          </w:tcPr>
          <w:p w14:paraId="5A734913" w14:textId="77777777" w:rsidR="00A10B25" w:rsidRDefault="00A10B25">
            <w:pPr>
              <w:pStyle w:val="TAL"/>
              <w:rPr>
                <w:sz w:val="16"/>
                <w:szCs w:val="16"/>
              </w:rPr>
            </w:pPr>
            <w:r>
              <w:rPr>
                <w:sz w:val="16"/>
                <w:szCs w:val="16"/>
              </w:rPr>
              <w:t>0305</w:t>
            </w:r>
          </w:p>
        </w:tc>
        <w:tc>
          <w:tcPr>
            <w:tcW w:w="423" w:type="dxa"/>
            <w:shd w:val="solid" w:color="FFFFFF" w:fill="auto"/>
          </w:tcPr>
          <w:p w14:paraId="13C73C9D" w14:textId="77777777" w:rsidR="00A10B25" w:rsidRDefault="00A10B25">
            <w:pPr>
              <w:pStyle w:val="TAR"/>
              <w:rPr>
                <w:sz w:val="16"/>
                <w:szCs w:val="16"/>
              </w:rPr>
            </w:pPr>
          </w:p>
        </w:tc>
        <w:tc>
          <w:tcPr>
            <w:tcW w:w="423" w:type="dxa"/>
            <w:shd w:val="solid" w:color="FFFFFF" w:fill="auto"/>
          </w:tcPr>
          <w:p w14:paraId="5D6D1D4A" w14:textId="77777777" w:rsidR="00A10B25" w:rsidRDefault="00A10B25">
            <w:pPr>
              <w:pStyle w:val="TAC"/>
              <w:rPr>
                <w:sz w:val="16"/>
                <w:szCs w:val="16"/>
              </w:rPr>
            </w:pPr>
            <w:r>
              <w:rPr>
                <w:sz w:val="16"/>
                <w:szCs w:val="16"/>
              </w:rPr>
              <w:t>F</w:t>
            </w:r>
          </w:p>
        </w:tc>
        <w:tc>
          <w:tcPr>
            <w:tcW w:w="4899" w:type="dxa"/>
            <w:shd w:val="solid" w:color="FFFFFF" w:fill="auto"/>
          </w:tcPr>
          <w:p w14:paraId="3E0979F2" w14:textId="77777777" w:rsidR="00A10B25" w:rsidRDefault="00A10B25">
            <w:pPr>
              <w:pStyle w:val="TAL"/>
              <w:rPr>
                <w:sz w:val="16"/>
                <w:szCs w:val="16"/>
              </w:rPr>
            </w:pPr>
            <w:r>
              <w:rPr>
                <w:sz w:val="16"/>
                <w:szCs w:val="16"/>
              </w:rPr>
              <w:t>Update of OpenAPI version and TS version in externalDocs field</w:t>
            </w:r>
          </w:p>
        </w:tc>
        <w:tc>
          <w:tcPr>
            <w:tcW w:w="706" w:type="dxa"/>
            <w:shd w:val="solid" w:color="FFFFFF" w:fill="auto"/>
          </w:tcPr>
          <w:p w14:paraId="0C981F7F" w14:textId="77777777" w:rsidR="00A10B25" w:rsidRDefault="00A10B25">
            <w:pPr>
              <w:pStyle w:val="TAC"/>
              <w:rPr>
                <w:sz w:val="16"/>
                <w:szCs w:val="16"/>
              </w:rPr>
            </w:pPr>
            <w:r>
              <w:rPr>
                <w:sz w:val="16"/>
                <w:szCs w:val="16"/>
              </w:rPr>
              <w:t>17.3.0</w:t>
            </w:r>
          </w:p>
        </w:tc>
      </w:tr>
      <w:tr w:rsidR="00A10B25" w14:paraId="78ADAA38" w14:textId="77777777">
        <w:tc>
          <w:tcPr>
            <w:tcW w:w="796" w:type="dxa"/>
            <w:shd w:val="solid" w:color="FFFFFF" w:fill="auto"/>
          </w:tcPr>
          <w:p w14:paraId="7CD514D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158CA3D8"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4F764A25" w14:textId="77777777" w:rsidR="00A10B25" w:rsidRDefault="00A10B25">
            <w:pPr>
              <w:pStyle w:val="TAC"/>
              <w:rPr>
                <w:sz w:val="16"/>
                <w:szCs w:val="16"/>
              </w:rPr>
            </w:pPr>
            <w:r>
              <w:rPr>
                <w:sz w:val="16"/>
                <w:szCs w:val="16"/>
              </w:rPr>
              <w:t>CP-212203</w:t>
            </w:r>
          </w:p>
        </w:tc>
        <w:tc>
          <w:tcPr>
            <w:tcW w:w="523" w:type="dxa"/>
            <w:shd w:val="solid" w:color="FFFFFF" w:fill="auto"/>
          </w:tcPr>
          <w:p w14:paraId="08073B85" w14:textId="77777777" w:rsidR="00A10B25" w:rsidRDefault="00A10B25">
            <w:pPr>
              <w:pStyle w:val="TAL"/>
              <w:rPr>
                <w:sz w:val="16"/>
                <w:szCs w:val="16"/>
              </w:rPr>
            </w:pPr>
            <w:r>
              <w:rPr>
                <w:sz w:val="16"/>
                <w:szCs w:val="16"/>
              </w:rPr>
              <w:t>0306</w:t>
            </w:r>
          </w:p>
        </w:tc>
        <w:tc>
          <w:tcPr>
            <w:tcW w:w="423" w:type="dxa"/>
            <w:shd w:val="solid" w:color="FFFFFF" w:fill="auto"/>
          </w:tcPr>
          <w:p w14:paraId="18831B2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8B4BB91" w14:textId="77777777" w:rsidR="00A10B25" w:rsidRDefault="00A10B25">
            <w:pPr>
              <w:pStyle w:val="TAC"/>
              <w:rPr>
                <w:sz w:val="16"/>
                <w:szCs w:val="16"/>
              </w:rPr>
            </w:pPr>
            <w:r>
              <w:rPr>
                <w:sz w:val="16"/>
                <w:szCs w:val="16"/>
                <w:lang w:val="en-US"/>
              </w:rPr>
              <w:t>B</w:t>
            </w:r>
          </w:p>
        </w:tc>
        <w:tc>
          <w:tcPr>
            <w:tcW w:w="4899" w:type="dxa"/>
            <w:shd w:val="solid" w:color="FFFFFF" w:fill="auto"/>
          </w:tcPr>
          <w:p w14:paraId="488CB02C" w14:textId="77777777" w:rsidR="00A10B25" w:rsidRDefault="00A10B25">
            <w:pPr>
              <w:pStyle w:val="TAL"/>
              <w:rPr>
                <w:sz w:val="16"/>
                <w:szCs w:val="16"/>
              </w:rPr>
            </w:pPr>
            <w:r>
              <w:rPr>
                <w:sz w:val="16"/>
                <w:szCs w:val="16"/>
              </w:rPr>
              <w:t>Aggregation support in analytics requests</w:t>
            </w:r>
          </w:p>
        </w:tc>
        <w:tc>
          <w:tcPr>
            <w:tcW w:w="706" w:type="dxa"/>
            <w:shd w:val="solid" w:color="FFFFFF" w:fill="auto"/>
          </w:tcPr>
          <w:p w14:paraId="584F639F" w14:textId="77777777" w:rsidR="00A10B25" w:rsidRDefault="00A10B25">
            <w:pPr>
              <w:pStyle w:val="TAC"/>
              <w:rPr>
                <w:sz w:val="16"/>
                <w:szCs w:val="16"/>
              </w:rPr>
            </w:pPr>
            <w:r>
              <w:rPr>
                <w:sz w:val="16"/>
                <w:szCs w:val="16"/>
              </w:rPr>
              <w:t>17.4.0</w:t>
            </w:r>
          </w:p>
        </w:tc>
      </w:tr>
      <w:tr w:rsidR="00A10B25" w14:paraId="5135B873" w14:textId="77777777">
        <w:tc>
          <w:tcPr>
            <w:tcW w:w="796" w:type="dxa"/>
            <w:shd w:val="solid" w:color="FFFFFF" w:fill="auto"/>
          </w:tcPr>
          <w:p w14:paraId="39680FE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683781A9"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347621B0" w14:textId="77777777" w:rsidR="00A10B25" w:rsidRDefault="00A10B25">
            <w:pPr>
              <w:pStyle w:val="TAC"/>
              <w:rPr>
                <w:sz w:val="16"/>
                <w:szCs w:val="16"/>
              </w:rPr>
            </w:pPr>
            <w:r>
              <w:rPr>
                <w:sz w:val="16"/>
                <w:szCs w:val="16"/>
              </w:rPr>
              <w:t>CP-212203</w:t>
            </w:r>
          </w:p>
        </w:tc>
        <w:tc>
          <w:tcPr>
            <w:tcW w:w="523" w:type="dxa"/>
            <w:shd w:val="solid" w:color="FFFFFF" w:fill="auto"/>
          </w:tcPr>
          <w:p w14:paraId="32F728FE" w14:textId="77777777" w:rsidR="00A10B25" w:rsidRDefault="00A10B25">
            <w:pPr>
              <w:pStyle w:val="TAL"/>
              <w:rPr>
                <w:sz w:val="16"/>
                <w:szCs w:val="16"/>
              </w:rPr>
            </w:pPr>
            <w:r>
              <w:rPr>
                <w:sz w:val="16"/>
                <w:szCs w:val="16"/>
              </w:rPr>
              <w:t>0307</w:t>
            </w:r>
          </w:p>
        </w:tc>
        <w:tc>
          <w:tcPr>
            <w:tcW w:w="423" w:type="dxa"/>
            <w:shd w:val="solid" w:color="FFFFFF" w:fill="auto"/>
          </w:tcPr>
          <w:p w14:paraId="4EEC59C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C3C5E3D" w14:textId="77777777" w:rsidR="00A10B25" w:rsidRDefault="00A10B25">
            <w:pPr>
              <w:pStyle w:val="TAC"/>
              <w:rPr>
                <w:sz w:val="16"/>
                <w:szCs w:val="16"/>
              </w:rPr>
            </w:pPr>
            <w:r>
              <w:rPr>
                <w:sz w:val="16"/>
                <w:szCs w:val="16"/>
                <w:lang w:val="en-US"/>
              </w:rPr>
              <w:t>B</w:t>
            </w:r>
          </w:p>
        </w:tc>
        <w:tc>
          <w:tcPr>
            <w:tcW w:w="4899" w:type="dxa"/>
            <w:shd w:val="solid" w:color="FFFFFF" w:fill="auto"/>
          </w:tcPr>
          <w:p w14:paraId="12F8202E" w14:textId="77777777" w:rsidR="00A10B25" w:rsidRDefault="00A10B25">
            <w:pPr>
              <w:pStyle w:val="TAL"/>
              <w:rPr>
                <w:sz w:val="16"/>
                <w:szCs w:val="16"/>
              </w:rPr>
            </w:pPr>
            <w:r>
              <w:rPr>
                <w:sz w:val="16"/>
                <w:szCs w:val="16"/>
              </w:rPr>
              <w:t>Aggregation support in analytics subscriptions</w:t>
            </w:r>
          </w:p>
        </w:tc>
        <w:tc>
          <w:tcPr>
            <w:tcW w:w="706" w:type="dxa"/>
            <w:shd w:val="solid" w:color="FFFFFF" w:fill="auto"/>
          </w:tcPr>
          <w:p w14:paraId="53F74C44" w14:textId="77777777" w:rsidR="00A10B25" w:rsidRDefault="00A10B25">
            <w:pPr>
              <w:pStyle w:val="TAC"/>
              <w:rPr>
                <w:sz w:val="16"/>
                <w:szCs w:val="16"/>
              </w:rPr>
            </w:pPr>
            <w:r>
              <w:rPr>
                <w:sz w:val="16"/>
                <w:szCs w:val="16"/>
              </w:rPr>
              <w:t>17.4.0</w:t>
            </w:r>
          </w:p>
        </w:tc>
      </w:tr>
      <w:tr w:rsidR="00A10B25" w14:paraId="2DA0142C" w14:textId="77777777">
        <w:tc>
          <w:tcPr>
            <w:tcW w:w="796" w:type="dxa"/>
            <w:shd w:val="solid" w:color="FFFFFF" w:fill="auto"/>
          </w:tcPr>
          <w:p w14:paraId="14F1F54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215ACAE2"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3325F4C7" w14:textId="77777777" w:rsidR="00A10B25" w:rsidRDefault="00A10B25">
            <w:pPr>
              <w:pStyle w:val="TAC"/>
              <w:rPr>
                <w:sz w:val="16"/>
                <w:szCs w:val="16"/>
              </w:rPr>
            </w:pPr>
            <w:r>
              <w:rPr>
                <w:sz w:val="16"/>
                <w:szCs w:val="16"/>
              </w:rPr>
              <w:t>CP-212203</w:t>
            </w:r>
          </w:p>
        </w:tc>
        <w:tc>
          <w:tcPr>
            <w:tcW w:w="523" w:type="dxa"/>
            <w:shd w:val="solid" w:color="FFFFFF" w:fill="auto"/>
          </w:tcPr>
          <w:p w14:paraId="522C445E" w14:textId="77777777" w:rsidR="00A10B25" w:rsidRDefault="00A10B25">
            <w:pPr>
              <w:pStyle w:val="TAL"/>
              <w:rPr>
                <w:sz w:val="16"/>
                <w:szCs w:val="16"/>
              </w:rPr>
            </w:pPr>
            <w:r>
              <w:rPr>
                <w:sz w:val="16"/>
                <w:szCs w:val="16"/>
              </w:rPr>
              <w:t>0310</w:t>
            </w:r>
          </w:p>
        </w:tc>
        <w:tc>
          <w:tcPr>
            <w:tcW w:w="423" w:type="dxa"/>
            <w:shd w:val="solid" w:color="FFFFFF" w:fill="auto"/>
          </w:tcPr>
          <w:p w14:paraId="0747AE55" w14:textId="77777777" w:rsidR="00A10B25" w:rsidRDefault="00A10B25">
            <w:pPr>
              <w:pStyle w:val="TAR"/>
              <w:rPr>
                <w:sz w:val="16"/>
                <w:szCs w:val="16"/>
              </w:rPr>
            </w:pPr>
          </w:p>
        </w:tc>
        <w:tc>
          <w:tcPr>
            <w:tcW w:w="423" w:type="dxa"/>
            <w:shd w:val="solid" w:color="FFFFFF" w:fill="auto"/>
          </w:tcPr>
          <w:p w14:paraId="63F7A0BC" w14:textId="77777777" w:rsidR="00A10B25" w:rsidRDefault="00A10B25">
            <w:pPr>
              <w:pStyle w:val="TAC"/>
              <w:rPr>
                <w:sz w:val="16"/>
                <w:szCs w:val="16"/>
              </w:rPr>
            </w:pPr>
            <w:r>
              <w:rPr>
                <w:sz w:val="16"/>
                <w:szCs w:val="16"/>
                <w:lang w:val="en-US"/>
              </w:rPr>
              <w:t>F</w:t>
            </w:r>
          </w:p>
        </w:tc>
        <w:tc>
          <w:tcPr>
            <w:tcW w:w="4899" w:type="dxa"/>
            <w:shd w:val="solid" w:color="FFFFFF" w:fill="auto"/>
          </w:tcPr>
          <w:p w14:paraId="2DDE2C6E" w14:textId="77777777" w:rsidR="00A10B25" w:rsidRDefault="00A10B25">
            <w:pPr>
              <w:pStyle w:val="TAL"/>
              <w:rPr>
                <w:sz w:val="16"/>
                <w:szCs w:val="16"/>
              </w:rPr>
            </w:pPr>
            <w:r>
              <w:rPr>
                <w:sz w:val="16"/>
                <w:szCs w:val="16"/>
              </w:rPr>
              <w:t>Small corrections in NWDAF APIs</w:t>
            </w:r>
          </w:p>
        </w:tc>
        <w:tc>
          <w:tcPr>
            <w:tcW w:w="706" w:type="dxa"/>
            <w:shd w:val="solid" w:color="FFFFFF" w:fill="auto"/>
          </w:tcPr>
          <w:p w14:paraId="3F5B5386" w14:textId="77777777" w:rsidR="00A10B25" w:rsidRDefault="00A10B25">
            <w:pPr>
              <w:pStyle w:val="TAC"/>
              <w:rPr>
                <w:sz w:val="16"/>
                <w:szCs w:val="16"/>
              </w:rPr>
            </w:pPr>
            <w:r>
              <w:rPr>
                <w:sz w:val="16"/>
                <w:szCs w:val="16"/>
              </w:rPr>
              <w:t>17.4.0</w:t>
            </w:r>
          </w:p>
        </w:tc>
      </w:tr>
      <w:tr w:rsidR="00A10B25" w14:paraId="25272E37" w14:textId="77777777">
        <w:tc>
          <w:tcPr>
            <w:tcW w:w="796" w:type="dxa"/>
            <w:shd w:val="solid" w:color="FFFFFF" w:fill="auto"/>
          </w:tcPr>
          <w:p w14:paraId="7132A350"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3EB03145"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085EEBA0" w14:textId="77777777" w:rsidR="00A10B25" w:rsidRDefault="00A10B25">
            <w:pPr>
              <w:pStyle w:val="TAC"/>
              <w:rPr>
                <w:sz w:val="16"/>
                <w:szCs w:val="16"/>
              </w:rPr>
            </w:pPr>
            <w:r>
              <w:rPr>
                <w:sz w:val="16"/>
                <w:szCs w:val="16"/>
              </w:rPr>
              <w:t>CP-212232</w:t>
            </w:r>
          </w:p>
        </w:tc>
        <w:tc>
          <w:tcPr>
            <w:tcW w:w="523" w:type="dxa"/>
            <w:shd w:val="solid" w:color="FFFFFF" w:fill="auto"/>
          </w:tcPr>
          <w:p w14:paraId="3C821E82" w14:textId="77777777" w:rsidR="00A10B25" w:rsidRDefault="00A10B25">
            <w:pPr>
              <w:pStyle w:val="TAL"/>
              <w:rPr>
                <w:sz w:val="16"/>
                <w:szCs w:val="16"/>
              </w:rPr>
            </w:pPr>
            <w:r>
              <w:rPr>
                <w:sz w:val="16"/>
                <w:szCs w:val="16"/>
              </w:rPr>
              <w:t>0311</w:t>
            </w:r>
          </w:p>
        </w:tc>
        <w:tc>
          <w:tcPr>
            <w:tcW w:w="423" w:type="dxa"/>
            <w:shd w:val="solid" w:color="FFFFFF" w:fill="auto"/>
          </w:tcPr>
          <w:p w14:paraId="66D942B5"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7E0FFA8" w14:textId="77777777" w:rsidR="00A10B25" w:rsidRDefault="00A10B25">
            <w:pPr>
              <w:pStyle w:val="TAC"/>
              <w:rPr>
                <w:sz w:val="16"/>
                <w:szCs w:val="16"/>
              </w:rPr>
            </w:pPr>
            <w:r>
              <w:rPr>
                <w:sz w:val="16"/>
                <w:szCs w:val="16"/>
                <w:lang w:val="en-US"/>
              </w:rPr>
              <w:t>B</w:t>
            </w:r>
          </w:p>
        </w:tc>
        <w:tc>
          <w:tcPr>
            <w:tcW w:w="4899" w:type="dxa"/>
            <w:shd w:val="solid" w:color="FFFFFF" w:fill="auto"/>
          </w:tcPr>
          <w:p w14:paraId="4DBCAB12" w14:textId="77777777" w:rsidR="00A10B25" w:rsidRDefault="00A10B25">
            <w:pPr>
              <w:pStyle w:val="TAL"/>
              <w:rPr>
                <w:sz w:val="16"/>
                <w:szCs w:val="16"/>
              </w:rPr>
            </w:pPr>
            <w:r>
              <w:rPr>
                <w:sz w:val="16"/>
                <w:szCs w:val="16"/>
              </w:rPr>
              <w:t>Extensions of Slice load level related network data analytics</w:t>
            </w:r>
          </w:p>
        </w:tc>
        <w:tc>
          <w:tcPr>
            <w:tcW w:w="706" w:type="dxa"/>
            <w:shd w:val="solid" w:color="FFFFFF" w:fill="auto"/>
          </w:tcPr>
          <w:p w14:paraId="59FB9F9D" w14:textId="77777777" w:rsidR="00A10B25" w:rsidRDefault="00A10B25">
            <w:pPr>
              <w:pStyle w:val="TAC"/>
              <w:rPr>
                <w:sz w:val="16"/>
                <w:szCs w:val="16"/>
              </w:rPr>
            </w:pPr>
            <w:r>
              <w:rPr>
                <w:sz w:val="16"/>
                <w:szCs w:val="16"/>
              </w:rPr>
              <w:t>17.4.0</w:t>
            </w:r>
          </w:p>
        </w:tc>
      </w:tr>
      <w:tr w:rsidR="00A10B25" w14:paraId="00BFED17" w14:textId="77777777">
        <w:tc>
          <w:tcPr>
            <w:tcW w:w="796" w:type="dxa"/>
            <w:shd w:val="solid" w:color="FFFFFF" w:fill="auto"/>
          </w:tcPr>
          <w:p w14:paraId="6B24C833"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7D212CA8"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7CBB2B07" w14:textId="77777777" w:rsidR="00A10B25" w:rsidRDefault="00A10B25">
            <w:pPr>
              <w:pStyle w:val="TAC"/>
              <w:rPr>
                <w:sz w:val="16"/>
                <w:szCs w:val="16"/>
              </w:rPr>
            </w:pPr>
            <w:r>
              <w:rPr>
                <w:sz w:val="16"/>
                <w:szCs w:val="16"/>
              </w:rPr>
              <w:t>CP-212203</w:t>
            </w:r>
          </w:p>
        </w:tc>
        <w:tc>
          <w:tcPr>
            <w:tcW w:w="523" w:type="dxa"/>
            <w:shd w:val="solid" w:color="FFFFFF" w:fill="auto"/>
          </w:tcPr>
          <w:p w14:paraId="336EB171" w14:textId="77777777" w:rsidR="00A10B25" w:rsidRDefault="00A10B25">
            <w:pPr>
              <w:pStyle w:val="TAL"/>
              <w:rPr>
                <w:sz w:val="16"/>
                <w:szCs w:val="16"/>
              </w:rPr>
            </w:pPr>
            <w:r>
              <w:rPr>
                <w:sz w:val="16"/>
                <w:szCs w:val="16"/>
              </w:rPr>
              <w:t>0312</w:t>
            </w:r>
          </w:p>
        </w:tc>
        <w:tc>
          <w:tcPr>
            <w:tcW w:w="423" w:type="dxa"/>
            <w:shd w:val="solid" w:color="FFFFFF" w:fill="auto"/>
          </w:tcPr>
          <w:p w14:paraId="389A064E" w14:textId="77777777" w:rsidR="00A10B25" w:rsidRDefault="00A10B25">
            <w:pPr>
              <w:pStyle w:val="TAR"/>
              <w:rPr>
                <w:sz w:val="16"/>
                <w:szCs w:val="16"/>
              </w:rPr>
            </w:pPr>
          </w:p>
        </w:tc>
        <w:tc>
          <w:tcPr>
            <w:tcW w:w="423" w:type="dxa"/>
            <w:shd w:val="solid" w:color="FFFFFF" w:fill="auto"/>
          </w:tcPr>
          <w:p w14:paraId="07F0B867" w14:textId="77777777" w:rsidR="00A10B25" w:rsidRDefault="00A10B25">
            <w:pPr>
              <w:pStyle w:val="TAC"/>
              <w:rPr>
                <w:sz w:val="16"/>
                <w:szCs w:val="16"/>
              </w:rPr>
            </w:pPr>
            <w:r>
              <w:rPr>
                <w:sz w:val="16"/>
                <w:szCs w:val="16"/>
                <w:lang w:val="en-US"/>
              </w:rPr>
              <w:t>F</w:t>
            </w:r>
          </w:p>
        </w:tc>
        <w:tc>
          <w:tcPr>
            <w:tcW w:w="4899" w:type="dxa"/>
            <w:shd w:val="solid" w:color="FFFFFF" w:fill="auto"/>
          </w:tcPr>
          <w:p w14:paraId="38DF07A2" w14:textId="77777777" w:rsidR="00A10B25" w:rsidRDefault="00A10B25">
            <w:pPr>
              <w:pStyle w:val="TAL"/>
              <w:rPr>
                <w:sz w:val="16"/>
                <w:szCs w:val="16"/>
              </w:rPr>
            </w:pPr>
            <w:r>
              <w:rPr>
                <w:sz w:val="16"/>
                <w:szCs w:val="16"/>
              </w:rPr>
              <w:t>Extend General for OpenAPI specification</w:t>
            </w:r>
          </w:p>
        </w:tc>
        <w:tc>
          <w:tcPr>
            <w:tcW w:w="706" w:type="dxa"/>
            <w:shd w:val="solid" w:color="FFFFFF" w:fill="auto"/>
          </w:tcPr>
          <w:p w14:paraId="5F349EE0" w14:textId="77777777" w:rsidR="00A10B25" w:rsidRDefault="00A10B25">
            <w:pPr>
              <w:pStyle w:val="TAC"/>
              <w:rPr>
                <w:sz w:val="16"/>
                <w:szCs w:val="16"/>
              </w:rPr>
            </w:pPr>
            <w:r>
              <w:rPr>
                <w:sz w:val="16"/>
                <w:szCs w:val="16"/>
              </w:rPr>
              <w:t>17.4.0</w:t>
            </w:r>
          </w:p>
        </w:tc>
      </w:tr>
      <w:tr w:rsidR="00A10B25" w14:paraId="08CF5FED" w14:textId="77777777">
        <w:tc>
          <w:tcPr>
            <w:tcW w:w="796" w:type="dxa"/>
            <w:shd w:val="solid" w:color="FFFFFF" w:fill="auto"/>
          </w:tcPr>
          <w:p w14:paraId="5DF74C8B"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73404B62"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0498E092" w14:textId="77777777" w:rsidR="00A10B25" w:rsidRDefault="00A10B25">
            <w:pPr>
              <w:pStyle w:val="TAC"/>
              <w:rPr>
                <w:sz w:val="16"/>
                <w:szCs w:val="16"/>
              </w:rPr>
            </w:pPr>
            <w:r>
              <w:rPr>
                <w:sz w:val="16"/>
                <w:szCs w:val="16"/>
              </w:rPr>
              <w:t>CP-212203</w:t>
            </w:r>
          </w:p>
        </w:tc>
        <w:tc>
          <w:tcPr>
            <w:tcW w:w="523" w:type="dxa"/>
            <w:shd w:val="solid" w:color="FFFFFF" w:fill="auto"/>
          </w:tcPr>
          <w:p w14:paraId="77EBFF27" w14:textId="77777777" w:rsidR="00A10B25" w:rsidRDefault="00A10B25">
            <w:pPr>
              <w:pStyle w:val="TAL"/>
              <w:rPr>
                <w:sz w:val="16"/>
                <w:szCs w:val="16"/>
              </w:rPr>
            </w:pPr>
            <w:r>
              <w:rPr>
                <w:sz w:val="16"/>
                <w:szCs w:val="16"/>
              </w:rPr>
              <w:t>0313</w:t>
            </w:r>
          </w:p>
        </w:tc>
        <w:tc>
          <w:tcPr>
            <w:tcW w:w="423" w:type="dxa"/>
            <w:shd w:val="solid" w:color="FFFFFF" w:fill="auto"/>
          </w:tcPr>
          <w:p w14:paraId="33A86B43" w14:textId="77777777" w:rsidR="00A10B25" w:rsidRDefault="00A10B25">
            <w:pPr>
              <w:pStyle w:val="TAR"/>
              <w:rPr>
                <w:sz w:val="16"/>
                <w:szCs w:val="16"/>
              </w:rPr>
            </w:pPr>
          </w:p>
        </w:tc>
        <w:tc>
          <w:tcPr>
            <w:tcW w:w="423" w:type="dxa"/>
            <w:shd w:val="solid" w:color="FFFFFF" w:fill="auto"/>
          </w:tcPr>
          <w:p w14:paraId="5F27B8FD" w14:textId="77777777" w:rsidR="00A10B25" w:rsidRDefault="00A10B25">
            <w:pPr>
              <w:pStyle w:val="TAC"/>
              <w:rPr>
                <w:sz w:val="16"/>
                <w:szCs w:val="16"/>
              </w:rPr>
            </w:pPr>
            <w:r>
              <w:rPr>
                <w:sz w:val="16"/>
                <w:szCs w:val="16"/>
                <w:lang w:val="en-US"/>
              </w:rPr>
              <w:t>B</w:t>
            </w:r>
          </w:p>
        </w:tc>
        <w:tc>
          <w:tcPr>
            <w:tcW w:w="4899" w:type="dxa"/>
            <w:shd w:val="solid" w:color="FFFFFF" w:fill="auto"/>
          </w:tcPr>
          <w:p w14:paraId="11F09EF9" w14:textId="77777777" w:rsidR="00A10B25" w:rsidRDefault="00A10B25">
            <w:pPr>
              <w:pStyle w:val="TAL"/>
              <w:rPr>
                <w:sz w:val="16"/>
                <w:szCs w:val="16"/>
              </w:rPr>
            </w:pPr>
            <w:r>
              <w:rPr>
                <w:sz w:val="16"/>
                <w:szCs w:val="16"/>
              </w:rPr>
              <w:t>Redirection handling for Nnwdaf_MLModelProvision Service</w:t>
            </w:r>
          </w:p>
        </w:tc>
        <w:tc>
          <w:tcPr>
            <w:tcW w:w="706" w:type="dxa"/>
            <w:shd w:val="solid" w:color="FFFFFF" w:fill="auto"/>
          </w:tcPr>
          <w:p w14:paraId="570F80DC" w14:textId="77777777" w:rsidR="00A10B25" w:rsidRDefault="00A10B25">
            <w:pPr>
              <w:pStyle w:val="TAC"/>
              <w:rPr>
                <w:sz w:val="16"/>
                <w:szCs w:val="16"/>
              </w:rPr>
            </w:pPr>
            <w:r>
              <w:rPr>
                <w:sz w:val="16"/>
                <w:szCs w:val="16"/>
              </w:rPr>
              <w:t>17.4.0</w:t>
            </w:r>
          </w:p>
        </w:tc>
      </w:tr>
      <w:tr w:rsidR="00A10B25" w14:paraId="0C3CFB2E" w14:textId="77777777">
        <w:tc>
          <w:tcPr>
            <w:tcW w:w="796" w:type="dxa"/>
            <w:shd w:val="solid" w:color="FFFFFF" w:fill="auto"/>
          </w:tcPr>
          <w:p w14:paraId="169FBF12"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0971E351"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712A62BB" w14:textId="77777777" w:rsidR="00A10B25" w:rsidRDefault="00A10B25">
            <w:pPr>
              <w:pStyle w:val="TAC"/>
              <w:rPr>
                <w:sz w:val="16"/>
                <w:szCs w:val="16"/>
              </w:rPr>
            </w:pPr>
            <w:r>
              <w:rPr>
                <w:sz w:val="16"/>
                <w:szCs w:val="16"/>
              </w:rPr>
              <w:t>CP-212203</w:t>
            </w:r>
          </w:p>
        </w:tc>
        <w:tc>
          <w:tcPr>
            <w:tcW w:w="523" w:type="dxa"/>
            <w:shd w:val="solid" w:color="FFFFFF" w:fill="auto"/>
          </w:tcPr>
          <w:p w14:paraId="021A84A4" w14:textId="77777777" w:rsidR="00A10B25" w:rsidRDefault="00A10B25">
            <w:pPr>
              <w:pStyle w:val="TAL"/>
              <w:rPr>
                <w:sz w:val="16"/>
                <w:szCs w:val="16"/>
              </w:rPr>
            </w:pPr>
            <w:r>
              <w:rPr>
                <w:sz w:val="16"/>
                <w:szCs w:val="16"/>
              </w:rPr>
              <w:t>0314</w:t>
            </w:r>
          </w:p>
        </w:tc>
        <w:tc>
          <w:tcPr>
            <w:tcW w:w="423" w:type="dxa"/>
            <w:shd w:val="solid" w:color="FFFFFF" w:fill="auto"/>
          </w:tcPr>
          <w:p w14:paraId="4E5F3FD9" w14:textId="77777777" w:rsidR="00A10B25" w:rsidRDefault="00A10B25">
            <w:pPr>
              <w:pStyle w:val="TAR"/>
              <w:rPr>
                <w:sz w:val="16"/>
                <w:szCs w:val="16"/>
              </w:rPr>
            </w:pPr>
            <w:r>
              <w:rPr>
                <w:rFonts w:hint="eastAsia"/>
                <w:sz w:val="16"/>
                <w:szCs w:val="16"/>
                <w:lang w:eastAsia="zh-CN"/>
              </w:rPr>
              <w:t>2</w:t>
            </w:r>
          </w:p>
        </w:tc>
        <w:tc>
          <w:tcPr>
            <w:tcW w:w="423" w:type="dxa"/>
            <w:shd w:val="solid" w:color="FFFFFF" w:fill="auto"/>
          </w:tcPr>
          <w:p w14:paraId="3721517C" w14:textId="77777777" w:rsidR="00A10B25" w:rsidRDefault="00A10B25">
            <w:pPr>
              <w:pStyle w:val="TAC"/>
              <w:rPr>
                <w:sz w:val="16"/>
                <w:szCs w:val="16"/>
              </w:rPr>
            </w:pPr>
            <w:r>
              <w:rPr>
                <w:sz w:val="16"/>
                <w:szCs w:val="16"/>
                <w:lang w:val="en-US"/>
              </w:rPr>
              <w:t>B</w:t>
            </w:r>
          </w:p>
        </w:tc>
        <w:tc>
          <w:tcPr>
            <w:tcW w:w="4899" w:type="dxa"/>
            <w:shd w:val="solid" w:color="FFFFFF" w:fill="auto"/>
          </w:tcPr>
          <w:p w14:paraId="143FD0E0" w14:textId="77777777" w:rsidR="00A10B25" w:rsidRDefault="00A10B25">
            <w:pPr>
              <w:pStyle w:val="TAL"/>
              <w:rPr>
                <w:sz w:val="16"/>
                <w:szCs w:val="16"/>
              </w:rPr>
            </w:pPr>
            <w:r>
              <w:rPr>
                <w:sz w:val="16"/>
                <w:szCs w:val="16"/>
              </w:rPr>
              <w:t>Extension to User Data Congestion Analytics in Nnwdaf_EventsSubscription API</w:t>
            </w:r>
          </w:p>
        </w:tc>
        <w:tc>
          <w:tcPr>
            <w:tcW w:w="706" w:type="dxa"/>
            <w:shd w:val="solid" w:color="FFFFFF" w:fill="auto"/>
          </w:tcPr>
          <w:p w14:paraId="6F3CD825" w14:textId="77777777" w:rsidR="00A10B25" w:rsidRDefault="00A10B25">
            <w:pPr>
              <w:pStyle w:val="TAC"/>
              <w:rPr>
                <w:sz w:val="16"/>
                <w:szCs w:val="16"/>
              </w:rPr>
            </w:pPr>
            <w:r>
              <w:rPr>
                <w:sz w:val="16"/>
                <w:szCs w:val="16"/>
              </w:rPr>
              <w:t>17.4.0</w:t>
            </w:r>
          </w:p>
        </w:tc>
      </w:tr>
      <w:tr w:rsidR="00A10B25" w14:paraId="0C560472" w14:textId="77777777">
        <w:tc>
          <w:tcPr>
            <w:tcW w:w="796" w:type="dxa"/>
            <w:shd w:val="solid" w:color="FFFFFF" w:fill="auto"/>
          </w:tcPr>
          <w:p w14:paraId="1A7CD161"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41793C85"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6313A2B1" w14:textId="77777777" w:rsidR="00A10B25" w:rsidRDefault="00A10B25">
            <w:pPr>
              <w:pStyle w:val="TAC"/>
              <w:rPr>
                <w:sz w:val="16"/>
                <w:szCs w:val="16"/>
              </w:rPr>
            </w:pPr>
            <w:r>
              <w:rPr>
                <w:sz w:val="16"/>
                <w:szCs w:val="16"/>
              </w:rPr>
              <w:t>CP-212203</w:t>
            </w:r>
          </w:p>
        </w:tc>
        <w:tc>
          <w:tcPr>
            <w:tcW w:w="523" w:type="dxa"/>
            <w:shd w:val="solid" w:color="FFFFFF" w:fill="auto"/>
          </w:tcPr>
          <w:p w14:paraId="03553B1E" w14:textId="77777777" w:rsidR="00A10B25" w:rsidRDefault="00A10B25">
            <w:pPr>
              <w:pStyle w:val="TAL"/>
              <w:rPr>
                <w:sz w:val="16"/>
                <w:szCs w:val="16"/>
              </w:rPr>
            </w:pPr>
            <w:r>
              <w:rPr>
                <w:sz w:val="16"/>
                <w:szCs w:val="16"/>
              </w:rPr>
              <w:t>0315</w:t>
            </w:r>
          </w:p>
        </w:tc>
        <w:tc>
          <w:tcPr>
            <w:tcW w:w="423" w:type="dxa"/>
            <w:shd w:val="solid" w:color="FFFFFF" w:fill="auto"/>
          </w:tcPr>
          <w:p w14:paraId="77C9A711" w14:textId="77777777" w:rsidR="00A10B25" w:rsidRDefault="00A10B25">
            <w:pPr>
              <w:pStyle w:val="TAR"/>
              <w:rPr>
                <w:sz w:val="16"/>
                <w:szCs w:val="16"/>
              </w:rPr>
            </w:pPr>
            <w:r>
              <w:rPr>
                <w:sz w:val="16"/>
                <w:szCs w:val="16"/>
                <w:lang w:eastAsia="zh-CN"/>
              </w:rPr>
              <w:t>1</w:t>
            </w:r>
          </w:p>
        </w:tc>
        <w:tc>
          <w:tcPr>
            <w:tcW w:w="423" w:type="dxa"/>
            <w:shd w:val="solid" w:color="FFFFFF" w:fill="auto"/>
          </w:tcPr>
          <w:p w14:paraId="0E1B27B9" w14:textId="77777777" w:rsidR="00A10B25" w:rsidRDefault="00A10B25">
            <w:pPr>
              <w:pStyle w:val="TAC"/>
              <w:rPr>
                <w:sz w:val="16"/>
                <w:szCs w:val="16"/>
              </w:rPr>
            </w:pPr>
            <w:r>
              <w:rPr>
                <w:sz w:val="16"/>
                <w:szCs w:val="16"/>
                <w:lang w:val="en-US"/>
              </w:rPr>
              <w:t>B</w:t>
            </w:r>
          </w:p>
        </w:tc>
        <w:tc>
          <w:tcPr>
            <w:tcW w:w="4899" w:type="dxa"/>
            <w:shd w:val="solid" w:color="FFFFFF" w:fill="auto"/>
          </w:tcPr>
          <w:p w14:paraId="42CFA804" w14:textId="77777777" w:rsidR="00A10B25" w:rsidRDefault="00A10B25">
            <w:pPr>
              <w:pStyle w:val="TAL"/>
              <w:rPr>
                <w:sz w:val="16"/>
                <w:szCs w:val="16"/>
              </w:rPr>
            </w:pPr>
            <w:r>
              <w:rPr>
                <w:sz w:val="16"/>
                <w:szCs w:val="16"/>
              </w:rPr>
              <w:t>Extension to User Data Congestion Analytics in Nnwdaf_AnalyticsInfo API</w:t>
            </w:r>
          </w:p>
        </w:tc>
        <w:tc>
          <w:tcPr>
            <w:tcW w:w="706" w:type="dxa"/>
            <w:shd w:val="solid" w:color="FFFFFF" w:fill="auto"/>
          </w:tcPr>
          <w:p w14:paraId="336D8A0E" w14:textId="77777777" w:rsidR="00A10B25" w:rsidRDefault="00A10B25">
            <w:pPr>
              <w:pStyle w:val="TAC"/>
              <w:rPr>
                <w:sz w:val="16"/>
                <w:szCs w:val="16"/>
              </w:rPr>
            </w:pPr>
            <w:r>
              <w:rPr>
                <w:sz w:val="16"/>
                <w:szCs w:val="16"/>
              </w:rPr>
              <w:t>17.4.0</w:t>
            </w:r>
          </w:p>
        </w:tc>
      </w:tr>
      <w:tr w:rsidR="00A10B25" w14:paraId="63372C36" w14:textId="77777777">
        <w:tc>
          <w:tcPr>
            <w:tcW w:w="796" w:type="dxa"/>
            <w:shd w:val="solid" w:color="FFFFFF" w:fill="auto"/>
          </w:tcPr>
          <w:p w14:paraId="5AF53638"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0C2DF403"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59F6DF9F" w14:textId="77777777" w:rsidR="00A10B25" w:rsidRDefault="00A10B25">
            <w:pPr>
              <w:pStyle w:val="TAC"/>
              <w:rPr>
                <w:sz w:val="16"/>
                <w:szCs w:val="16"/>
              </w:rPr>
            </w:pPr>
            <w:r>
              <w:rPr>
                <w:sz w:val="16"/>
                <w:szCs w:val="16"/>
              </w:rPr>
              <w:t>CP-212202</w:t>
            </w:r>
          </w:p>
        </w:tc>
        <w:tc>
          <w:tcPr>
            <w:tcW w:w="523" w:type="dxa"/>
            <w:shd w:val="solid" w:color="FFFFFF" w:fill="auto"/>
          </w:tcPr>
          <w:p w14:paraId="6EEDAA01" w14:textId="77777777" w:rsidR="00A10B25" w:rsidRDefault="00A10B25">
            <w:pPr>
              <w:pStyle w:val="TAL"/>
              <w:rPr>
                <w:sz w:val="16"/>
                <w:szCs w:val="16"/>
              </w:rPr>
            </w:pPr>
            <w:r>
              <w:rPr>
                <w:sz w:val="16"/>
                <w:szCs w:val="16"/>
              </w:rPr>
              <w:t>0317</w:t>
            </w:r>
          </w:p>
        </w:tc>
        <w:tc>
          <w:tcPr>
            <w:tcW w:w="423" w:type="dxa"/>
            <w:shd w:val="solid" w:color="FFFFFF" w:fill="auto"/>
          </w:tcPr>
          <w:p w14:paraId="2E9FE100" w14:textId="77777777" w:rsidR="00A10B25" w:rsidRDefault="00A10B25">
            <w:pPr>
              <w:pStyle w:val="TAR"/>
              <w:rPr>
                <w:sz w:val="16"/>
                <w:szCs w:val="16"/>
              </w:rPr>
            </w:pPr>
          </w:p>
        </w:tc>
        <w:tc>
          <w:tcPr>
            <w:tcW w:w="423" w:type="dxa"/>
            <w:shd w:val="solid" w:color="FFFFFF" w:fill="auto"/>
          </w:tcPr>
          <w:p w14:paraId="4687818F" w14:textId="77777777" w:rsidR="00A10B25" w:rsidRDefault="00A10B25">
            <w:pPr>
              <w:pStyle w:val="TAC"/>
              <w:rPr>
                <w:sz w:val="16"/>
                <w:szCs w:val="16"/>
              </w:rPr>
            </w:pPr>
            <w:r>
              <w:rPr>
                <w:sz w:val="16"/>
                <w:szCs w:val="16"/>
                <w:lang w:val="en-US"/>
              </w:rPr>
              <w:t>A</w:t>
            </w:r>
          </w:p>
        </w:tc>
        <w:tc>
          <w:tcPr>
            <w:tcW w:w="4899" w:type="dxa"/>
            <w:shd w:val="solid" w:color="FFFFFF" w:fill="auto"/>
          </w:tcPr>
          <w:p w14:paraId="57822C81" w14:textId="77777777" w:rsidR="00A10B25" w:rsidRDefault="00A10B25">
            <w:pPr>
              <w:pStyle w:val="TAL"/>
              <w:rPr>
                <w:sz w:val="16"/>
                <w:szCs w:val="16"/>
              </w:rPr>
            </w:pPr>
            <w:r>
              <w:rPr>
                <w:sz w:val="16"/>
                <w:szCs w:val="16"/>
              </w:rPr>
              <w:t>Removal of NSI ID from PCF as consumer of NWDAF</w:t>
            </w:r>
          </w:p>
        </w:tc>
        <w:tc>
          <w:tcPr>
            <w:tcW w:w="706" w:type="dxa"/>
            <w:shd w:val="solid" w:color="FFFFFF" w:fill="auto"/>
          </w:tcPr>
          <w:p w14:paraId="37F23DBC" w14:textId="77777777" w:rsidR="00A10B25" w:rsidRDefault="00A10B25">
            <w:pPr>
              <w:pStyle w:val="TAC"/>
              <w:rPr>
                <w:sz w:val="16"/>
                <w:szCs w:val="16"/>
              </w:rPr>
            </w:pPr>
            <w:r>
              <w:rPr>
                <w:sz w:val="16"/>
                <w:szCs w:val="16"/>
              </w:rPr>
              <w:t>17.4.0</w:t>
            </w:r>
          </w:p>
        </w:tc>
      </w:tr>
      <w:tr w:rsidR="00A10B25" w14:paraId="1951FA3A" w14:textId="77777777">
        <w:tc>
          <w:tcPr>
            <w:tcW w:w="796" w:type="dxa"/>
            <w:shd w:val="solid" w:color="FFFFFF" w:fill="auto"/>
          </w:tcPr>
          <w:p w14:paraId="56A8086E" w14:textId="77777777" w:rsidR="00A10B25" w:rsidRDefault="00A10B25">
            <w:pPr>
              <w:pStyle w:val="TAC"/>
              <w:rPr>
                <w:sz w:val="16"/>
                <w:szCs w:val="16"/>
              </w:rPr>
            </w:pPr>
            <w:r>
              <w:rPr>
                <w:rFonts w:hint="eastAsia"/>
                <w:sz w:val="16"/>
                <w:szCs w:val="16"/>
                <w:lang w:val="en-US" w:eastAsia="zh-CN"/>
              </w:rPr>
              <w:t>202</w:t>
            </w:r>
            <w:r>
              <w:rPr>
                <w:sz w:val="16"/>
                <w:szCs w:val="16"/>
                <w:lang w:val="en-US" w:eastAsia="zh-CN"/>
              </w:rPr>
              <w:t>1</w:t>
            </w:r>
            <w:r>
              <w:rPr>
                <w:rFonts w:hint="eastAsia"/>
                <w:sz w:val="16"/>
                <w:szCs w:val="16"/>
                <w:lang w:val="en-US" w:eastAsia="zh-CN"/>
              </w:rPr>
              <w:t>-</w:t>
            </w:r>
            <w:r>
              <w:rPr>
                <w:sz w:val="16"/>
                <w:szCs w:val="16"/>
                <w:lang w:val="en-US" w:eastAsia="zh-CN"/>
              </w:rPr>
              <w:t>09</w:t>
            </w:r>
          </w:p>
        </w:tc>
        <w:tc>
          <w:tcPr>
            <w:tcW w:w="828" w:type="dxa"/>
            <w:shd w:val="solid" w:color="FFFFFF" w:fill="auto"/>
          </w:tcPr>
          <w:p w14:paraId="0758449F" w14:textId="77777777" w:rsidR="00A10B25" w:rsidRDefault="00A10B25">
            <w:pPr>
              <w:pStyle w:val="TAC"/>
              <w:rPr>
                <w:sz w:val="16"/>
                <w:szCs w:val="16"/>
              </w:rPr>
            </w:pPr>
            <w:r>
              <w:rPr>
                <w:sz w:val="16"/>
                <w:szCs w:val="16"/>
                <w:lang w:val="en-US" w:eastAsia="zh-CN"/>
              </w:rPr>
              <w:t>CT#93e</w:t>
            </w:r>
          </w:p>
        </w:tc>
        <w:tc>
          <w:tcPr>
            <w:tcW w:w="1083" w:type="dxa"/>
            <w:shd w:val="solid" w:color="FFFFFF" w:fill="auto"/>
          </w:tcPr>
          <w:p w14:paraId="604D4760" w14:textId="77777777" w:rsidR="00A10B25" w:rsidRDefault="00A10B25">
            <w:pPr>
              <w:pStyle w:val="TAC"/>
              <w:rPr>
                <w:sz w:val="16"/>
                <w:szCs w:val="16"/>
              </w:rPr>
            </w:pPr>
            <w:r>
              <w:rPr>
                <w:sz w:val="16"/>
                <w:szCs w:val="16"/>
              </w:rPr>
              <w:t>CP-212223</w:t>
            </w:r>
          </w:p>
        </w:tc>
        <w:tc>
          <w:tcPr>
            <w:tcW w:w="523" w:type="dxa"/>
            <w:shd w:val="solid" w:color="FFFFFF" w:fill="auto"/>
          </w:tcPr>
          <w:p w14:paraId="0FB80FE2" w14:textId="77777777" w:rsidR="00A10B25" w:rsidRDefault="00A10B25">
            <w:pPr>
              <w:pStyle w:val="TAL"/>
              <w:rPr>
                <w:sz w:val="16"/>
                <w:szCs w:val="16"/>
              </w:rPr>
            </w:pPr>
            <w:r>
              <w:rPr>
                <w:sz w:val="16"/>
                <w:szCs w:val="16"/>
              </w:rPr>
              <w:t>0318</w:t>
            </w:r>
          </w:p>
        </w:tc>
        <w:tc>
          <w:tcPr>
            <w:tcW w:w="423" w:type="dxa"/>
            <w:shd w:val="solid" w:color="FFFFFF" w:fill="auto"/>
          </w:tcPr>
          <w:p w14:paraId="23461B0F" w14:textId="77777777" w:rsidR="00A10B25" w:rsidRDefault="00A10B25">
            <w:pPr>
              <w:pStyle w:val="TAR"/>
              <w:rPr>
                <w:sz w:val="16"/>
                <w:szCs w:val="16"/>
              </w:rPr>
            </w:pPr>
          </w:p>
        </w:tc>
        <w:tc>
          <w:tcPr>
            <w:tcW w:w="423" w:type="dxa"/>
            <w:shd w:val="solid" w:color="FFFFFF" w:fill="auto"/>
          </w:tcPr>
          <w:p w14:paraId="5388CCA4" w14:textId="77777777" w:rsidR="00A10B25" w:rsidRDefault="00A10B25">
            <w:pPr>
              <w:pStyle w:val="TAC"/>
              <w:rPr>
                <w:sz w:val="16"/>
                <w:szCs w:val="16"/>
              </w:rPr>
            </w:pPr>
            <w:r>
              <w:rPr>
                <w:sz w:val="16"/>
                <w:szCs w:val="16"/>
                <w:lang w:val="en-US"/>
              </w:rPr>
              <w:t>F</w:t>
            </w:r>
          </w:p>
        </w:tc>
        <w:tc>
          <w:tcPr>
            <w:tcW w:w="4899" w:type="dxa"/>
            <w:shd w:val="solid" w:color="FFFFFF" w:fill="auto"/>
          </w:tcPr>
          <w:p w14:paraId="421F8047" w14:textId="77777777" w:rsidR="00A10B25" w:rsidRDefault="00A10B25">
            <w:pPr>
              <w:pStyle w:val="TAL"/>
              <w:rPr>
                <w:sz w:val="16"/>
                <w:szCs w:val="16"/>
              </w:rPr>
            </w:pPr>
            <w:r>
              <w:rPr>
                <w:sz w:val="16"/>
                <w:szCs w:val="16"/>
              </w:rPr>
              <w:t>Update of OpenAPI version and TS version in externalDocs field</w:t>
            </w:r>
          </w:p>
        </w:tc>
        <w:tc>
          <w:tcPr>
            <w:tcW w:w="706" w:type="dxa"/>
            <w:shd w:val="solid" w:color="FFFFFF" w:fill="auto"/>
          </w:tcPr>
          <w:p w14:paraId="4D88EF52" w14:textId="77777777" w:rsidR="00A10B25" w:rsidRDefault="00A10B25">
            <w:pPr>
              <w:pStyle w:val="TAC"/>
              <w:rPr>
                <w:sz w:val="16"/>
                <w:szCs w:val="16"/>
              </w:rPr>
            </w:pPr>
            <w:r>
              <w:rPr>
                <w:sz w:val="16"/>
                <w:szCs w:val="16"/>
              </w:rPr>
              <w:t>17.4.0</w:t>
            </w:r>
          </w:p>
        </w:tc>
      </w:tr>
      <w:tr w:rsidR="00A10B25" w14:paraId="57FBE8A2" w14:textId="77777777">
        <w:tc>
          <w:tcPr>
            <w:tcW w:w="796" w:type="dxa"/>
            <w:shd w:val="solid" w:color="FFFFFF" w:fill="auto"/>
          </w:tcPr>
          <w:p w14:paraId="78F949F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0E96E90A"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4E76DE8D" w14:textId="77777777" w:rsidR="00A10B25" w:rsidRDefault="00A10B25">
            <w:pPr>
              <w:pStyle w:val="TAC"/>
              <w:rPr>
                <w:sz w:val="16"/>
                <w:szCs w:val="16"/>
              </w:rPr>
            </w:pPr>
            <w:hyperlink r:id="rId144" w:history="1">
              <w:r>
                <w:rPr>
                  <w:sz w:val="16"/>
                  <w:szCs w:val="16"/>
                </w:rPr>
                <w:t>CP-213228</w:t>
              </w:r>
            </w:hyperlink>
          </w:p>
        </w:tc>
        <w:tc>
          <w:tcPr>
            <w:tcW w:w="523" w:type="dxa"/>
            <w:shd w:val="solid" w:color="FFFFFF" w:fill="auto"/>
          </w:tcPr>
          <w:p w14:paraId="4144B0B9" w14:textId="77777777" w:rsidR="00A10B25" w:rsidRDefault="00A10B25">
            <w:pPr>
              <w:pStyle w:val="TAL"/>
              <w:rPr>
                <w:sz w:val="16"/>
                <w:szCs w:val="16"/>
              </w:rPr>
            </w:pPr>
            <w:r>
              <w:rPr>
                <w:sz w:val="16"/>
                <w:szCs w:val="16"/>
              </w:rPr>
              <w:t>0322</w:t>
            </w:r>
          </w:p>
        </w:tc>
        <w:tc>
          <w:tcPr>
            <w:tcW w:w="423" w:type="dxa"/>
            <w:shd w:val="solid" w:color="FFFFFF" w:fill="auto"/>
          </w:tcPr>
          <w:p w14:paraId="033C7976" w14:textId="77777777" w:rsidR="00A10B25" w:rsidRDefault="00A10B25">
            <w:pPr>
              <w:pStyle w:val="TAR"/>
              <w:rPr>
                <w:sz w:val="16"/>
                <w:szCs w:val="16"/>
              </w:rPr>
            </w:pPr>
            <w:r>
              <w:rPr>
                <w:sz w:val="16"/>
                <w:szCs w:val="16"/>
                <w:lang w:eastAsia="zh-CN"/>
              </w:rPr>
              <w:t>3</w:t>
            </w:r>
          </w:p>
        </w:tc>
        <w:tc>
          <w:tcPr>
            <w:tcW w:w="423" w:type="dxa"/>
            <w:shd w:val="solid" w:color="FFFFFF" w:fill="auto"/>
          </w:tcPr>
          <w:p w14:paraId="420C4596"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6BD65B4A" w14:textId="77777777" w:rsidR="00A10B25" w:rsidRDefault="00A10B25">
            <w:pPr>
              <w:pStyle w:val="TAL"/>
              <w:rPr>
                <w:sz w:val="16"/>
                <w:szCs w:val="16"/>
              </w:rPr>
            </w:pPr>
            <w:r>
              <w:rPr>
                <w:sz w:val="16"/>
                <w:szCs w:val="16"/>
              </w:rPr>
              <w:t>Extension to Observed Service Experience in Nnwdaf_EventsSubscription Service API</w:t>
            </w:r>
          </w:p>
        </w:tc>
        <w:tc>
          <w:tcPr>
            <w:tcW w:w="706" w:type="dxa"/>
            <w:shd w:val="solid" w:color="FFFFFF" w:fill="auto"/>
          </w:tcPr>
          <w:p w14:paraId="197927E3" w14:textId="77777777" w:rsidR="00A10B25" w:rsidRDefault="00A10B25">
            <w:pPr>
              <w:pStyle w:val="TAC"/>
              <w:rPr>
                <w:sz w:val="16"/>
                <w:szCs w:val="16"/>
              </w:rPr>
            </w:pPr>
            <w:r>
              <w:rPr>
                <w:sz w:val="16"/>
                <w:szCs w:val="16"/>
              </w:rPr>
              <w:t>17.5.0</w:t>
            </w:r>
          </w:p>
        </w:tc>
      </w:tr>
      <w:tr w:rsidR="00A10B25" w14:paraId="714E9081" w14:textId="77777777">
        <w:tc>
          <w:tcPr>
            <w:tcW w:w="796" w:type="dxa"/>
            <w:shd w:val="solid" w:color="FFFFFF" w:fill="auto"/>
          </w:tcPr>
          <w:p w14:paraId="76187F6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24DC18CA"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2AAFC1CB" w14:textId="77777777" w:rsidR="00A10B25" w:rsidRDefault="00A10B25">
            <w:pPr>
              <w:pStyle w:val="TAC"/>
              <w:rPr>
                <w:sz w:val="16"/>
                <w:szCs w:val="16"/>
              </w:rPr>
            </w:pPr>
            <w:hyperlink r:id="rId145" w:history="1">
              <w:r>
                <w:rPr>
                  <w:sz w:val="16"/>
                  <w:szCs w:val="16"/>
                </w:rPr>
                <w:t>CP-213228</w:t>
              </w:r>
            </w:hyperlink>
          </w:p>
        </w:tc>
        <w:tc>
          <w:tcPr>
            <w:tcW w:w="523" w:type="dxa"/>
            <w:shd w:val="solid" w:color="FFFFFF" w:fill="auto"/>
          </w:tcPr>
          <w:p w14:paraId="33AA5C5E" w14:textId="77777777" w:rsidR="00A10B25" w:rsidRDefault="00A10B25">
            <w:pPr>
              <w:pStyle w:val="TAL"/>
              <w:rPr>
                <w:sz w:val="16"/>
                <w:szCs w:val="16"/>
              </w:rPr>
            </w:pPr>
            <w:r>
              <w:rPr>
                <w:sz w:val="16"/>
                <w:szCs w:val="16"/>
              </w:rPr>
              <w:t>0323</w:t>
            </w:r>
          </w:p>
        </w:tc>
        <w:tc>
          <w:tcPr>
            <w:tcW w:w="423" w:type="dxa"/>
            <w:shd w:val="solid" w:color="FFFFFF" w:fill="auto"/>
          </w:tcPr>
          <w:p w14:paraId="29A650E6" w14:textId="77777777" w:rsidR="00A10B25" w:rsidRDefault="00A10B25">
            <w:pPr>
              <w:pStyle w:val="TAR"/>
              <w:rPr>
                <w:sz w:val="16"/>
                <w:szCs w:val="16"/>
              </w:rPr>
            </w:pPr>
            <w:r>
              <w:rPr>
                <w:sz w:val="16"/>
                <w:szCs w:val="16"/>
                <w:lang w:eastAsia="zh-CN"/>
              </w:rPr>
              <w:t>3</w:t>
            </w:r>
          </w:p>
        </w:tc>
        <w:tc>
          <w:tcPr>
            <w:tcW w:w="423" w:type="dxa"/>
            <w:shd w:val="solid" w:color="FFFFFF" w:fill="auto"/>
          </w:tcPr>
          <w:p w14:paraId="6C7A5DB8" w14:textId="77777777" w:rsidR="00A10B25" w:rsidRDefault="00A10B25">
            <w:pPr>
              <w:pStyle w:val="TAC"/>
              <w:rPr>
                <w:sz w:val="16"/>
                <w:szCs w:val="16"/>
              </w:rPr>
            </w:pPr>
            <w:r>
              <w:rPr>
                <w:sz w:val="16"/>
                <w:szCs w:val="16"/>
                <w:lang w:val="en-US"/>
              </w:rPr>
              <w:t>F</w:t>
            </w:r>
          </w:p>
        </w:tc>
        <w:tc>
          <w:tcPr>
            <w:tcW w:w="4899" w:type="dxa"/>
            <w:shd w:val="solid" w:color="FFFFFF" w:fill="auto"/>
          </w:tcPr>
          <w:p w14:paraId="2D6A57B4" w14:textId="77777777" w:rsidR="00A10B25" w:rsidRDefault="00A10B25">
            <w:pPr>
              <w:pStyle w:val="TAL"/>
              <w:rPr>
                <w:sz w:val="16"/>
                <w:szCs w:val="16"/>
              </w:rPr>
            </w:pPr>
            <w:r>
              <w:rPr>
                <w:sz w:val="16"/>
                <w:szCs w:val="16"/>
              </w:rPr>
              <w:t>Extension to Observed Service Experience in Nnwdaf_AnalyticsInfo Service API</w:t>
            </w:r>
          </w:p>
        </w:tc>
        <w:tc>
          <w:tcPr>
            <w:tcW w:w="706" w:type="dxa"/>
            <w:shd w:val="solid" w:color="FFFFFF" w:fill="auto"/>
          </w:tcPr>
          <w:p w14:paraId="63B3519B" w14:textId="77777777" w:rsidR="00A10B25" w:rsidRDefault="00A10B25">
            <w:pPr>
              <w:pStyle w:val="TAC"/>
              <w:rPr>
                <w:sz w:val="16"/>
                <w:szCs w:val="16"/>
              </w:rPr>
            </w:pPr>
            <w:r>
              <w:rPr>
                <w:sz w:val="16"/>
                <w:szCs w:val="16"/>
              </w:rPr>
              <w:t>17.5.0</w:t>
            </w:r>
          </w:p>
        </w:tc>
      </w:tr>
      <w:tr w:rsidR="00A10B25" w14:paraId="7A6DFEB6" w14:textId="77777777">
        <w:tc>
          <w:tcPr>
            <w:tcW w:w="796" w:type="dxa"/>
            <w:shd w:val="solid" w:color="FFFFFF" w:fill="auto"/>
          </w:tcPr>
          <w:p w14:paraId="6E0AA5F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298DCD5F"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400C8ADB" w14:textId="77777777" w:rsidR="00A10B25" w:rsidRDefault="00A10B25">
            <w:pPr>
              <w:pStyle w:val="TAC"/>
              <w:rPr>
                <w:sz w:val="16"/>
                <w:szCs w:val="16"/>
              </w:rPr>
            </w:pPr>
            <w:hyperlink r:id="rId146" w:history="1">
              <w:r>
                <w:rPr>
                  <w:sz w:val="16"/>
                  <w:szCs w:val="16"/>
                </w:rPr>
                <w:t>CP-213227</w:t>
              </w:r>
            </w:hyperlink>
          </w:p>
        </w:tc>
        <w:tc>
          <w:tcPr>
            <w:tcW w:w="523" w:type="dxa"/>
            <w:shd w:val="solid" w:color="FFFFFF" w:fill="auto"/>
          </w:tcPr>
          <w:p w14:paraId="3C37C921" w14:textId="77777777" w:rsidR="00A10B25" w:rsidRDefault="00A10B25">
            <w:pPr>
              <w:pStyle w:val="TAL"/>
              <w:rPr>
                <w:sz w:val="16"/>
                <w:szCs w:val="16"/>
              </w:rPr>
            </w:pPr>
            <w:r>
              <w:rPr>
                <w:sz w:val="16"/>
                <w:szCs w:val="16"/>
              </w:rPr>
              <w:t>0324</w:t>
            </w:r>
          </w:p>
        </w:tc>
        <w:tc>
          <w:tcPr>
            <w:tcW w:w="423" w:type="dxa"/>
            <w:shd w:val="solid" w:color="FFFFFF" w:fill="auto"/>
          </w:tcPr>
          <w:p w14:paraId="432BBB19"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FB58C30" w14:textId="77777777" w:rsidR="00A10B25" w:rsidRDefault="00A10B25">
            <w:pPr>
              <w:pStyle w:val="TAC"/>
              <w:rPr>
                <w:sz w:val="16"/>
                <w:szCs w:val="16"/>
              </w:rPr>
            </w:pPr>
            <w:r>
              <w:rPr>
                <w:sz w:val="16"/>
                <w:szCs w:val="16"/>
                <w:lang w:val="en-US"/>
              </w:rPr>
              <w:t>B</w:t>
            </w:r>
          </w:p>
        </w:tc>
        <w:tc>
          <w:tcPr>
            <w:tcW w:w="4899" w:type="dxa"/>
            <w:shd w:val="solid" w:color="FFFFFF" w:fill="auto"/>
          </w:tcPr>
          <w:p w14:paraId="72D01308" w14:textId="77777777" w:rsidR="00A10B25" w:rsidRDefault="00A10B25">
            <w:pPr>
              <w:pStyle w:val="TAL"/>
              <w:rPr>
                <w:sz w:val="16"/>
                <w:szCs w:val="16"/>
              </w:rPr>
            </w:pPr>
            <w:r>
              <w:rPr>
                <w:sz w:val="16"/>
                <w:szCs w:val="16"/>
              </w:rPr>
              <w:t>Addition of network analytics for the PCF</w:t>
            </w:r>
          </w:p>
        </w:tc>
        <w:tc>
          <w:tcPr>
            <w:tcW w:w="706" w:type="dxa"/>
            <w:shd w:val="solid" w:color="FFFFFF" w:fill="auto"/>
          </w:tcPr>
          <w:p w14:paraId="33771504" w14:textId="77777777" w:rsidR="00A10B25" w:rsidRDefault="00A10B25">
            <w:pPr>
              <w:pStyle w:val="TAC"/>
              <w:rPr>
                <w:sz w:val="16"/>
                <w:szCs w:val="16"/>
              </w:rPr>
            </w:pPr>
            <w:r>
              <w:rPr>
                <w:sz w:val="16"/>
                <w:szCs w:val="16"/>
              </w:rPr>
              <w:t>17.5.0</w:t>
            </w:r>
          </w:p>
        </w:tc>
      </w:tr>
      <w:tr w:rsidR="00A10B25" w14:paraId="49865FFC" w14:textId="77777777">
        <w:tc>
          <w:tcPr>
            <w:tcW w:w="796" w:type="dxa"/>
            <w:shd w:val="solid" w:color="FFFFFF" w:fill="auto"/>
          </w:tcPr>
          <w:p w14:paraId="68D1782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6FBBA66"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422ABE69" w14:textId="77777777" w:rsidR="00A10B25" w:rsidRDefault="00A10B25">
            <w:pPr>
              <w:pStyle w:val="TAC"/>
              <w:rPr>
                <w:sz w:val="16"/>
                <w:szCs w:val="16"/>
              </w:rPr>
            </w:pPr>
            <w:hyperlink r:id="rId147" w:history="1">
              <w:r>
                <w:rPr>
                  <w:sz w:val="16"/>
                  <w:szCs w:val="16"/>
                </w:rPr>
                <w:t>CP-213228</w:t>
              </w:r>
            </w:hyperlink>
          </w:p>
        </w:tc>
        <w:tc>
          <w:tcPr>
            <w:tcW w:w="523" w:type="dxa"/>
            <w:shd w:val="solid" w:color="FFFFFF" w:fill="auto"/>
          </w:tcPr>
          <w:p w14:paraId="7CD7966F" w14:textId="77777777" w:rsidR="00A10B25" w:rsidRDefault="00A10B25">
            <w:pPr>
              <w:pStyle w:val="TAL"/>
              <w:rPr>
                <w:sz w:val="16"/>
                <w:szCs w:val="16"/>
              </w:rPr>
            </w:pPr>
            <w:r>
              <w:rPr>
                <w:sz w:val="16"/>
                <w:szCs w:val="16"/>
              </w:rPr>
              <w:t>0325</w:t>
            </w:r>
          </w:p>
        </w:tc>
        <w:tc>
          <w:tcPr>
            <w:tcW w:w="423" w:type="dxa"/>
            <w:shd w:val="solid" w:color="FFFFFF" w:fill="auto"/>
          </w:tcPr>
          <w:p w14:paraId="75B32DC9" w14:textId="77777777" w:rsidR="00A10B25" w:rsidRDefault="00A10B25">
            <w:pPr>
              <w:pStyle w:val="TAR"/>
              <w:rPr>
                <w:sz w:val="16"/>
                <w:szCs w:val="16"/>
              </w:rPr>
            </w:pPr>
            <w:r>
              <w:rPr>
                <w:sz w:val="16"/>
                <w:szCs w:val="16"/>
                <w:lang w:eastAsia="zh-CN"/>
              </w:rPr>
              <w:t>2</w:t>
            </w:r>
          </w:p>
        </w:tc>
        <w:tc>
          <w:tcPr>
            <w:tcW w:w="423" w:type="dxa"/>
            <w:shd w:val="solid" w:color="FFFFFF" w:fill="auto"/>
          </w:tcPr>
          <w:p w14:paraId="75F075D2" w14:textId="77777777" w:rsidR="00A10B25" w:rsidRDefault="00A10B25">
            <w:pPr>
              <w:pStyle w:val="TAC"/>
              <w:rPr>
                <w:sz w:val="16"/>
                <w:szCs w:val="16"/>
              </w:rPr>
            </w:pPr>
            <w:r>
              <w:rPr>
                <w:sz w:val="16"/>
                <w:szCs w:val="16"/>
                <w:lang w:val="en-US"/>
              </w:rPr>
              <w:t>B</w:t>
            </w:r>
          </w:p>
        </w:tc>
        <w:tc>
          <w:tcPr>
            <w:tcW w:w="4899" w:type="dxa"/>
            <w:shd w:val="solid" w:color="FFFFFF" w:fill="auto"/>
          </w:tcPr>
          <w:p w14:paraId="24E4F898" w14:textId="77777777" w:rsidR="00A10B25" w:rsidRDefault="00A10B25">
            <w:pPr>
              <w:pStyle w:val="TAL"/>
              <w:rPr>
                <w:sz w:val="16"/>
                <w:szCs w:val="16"/>
              </w:rPr>
            </w:pPr>
            <w:r>
              <w:rPr>
                <w:bCs/>
                <w:sz w:val="16"/>
                <w:szCs w:val="16"/>
                <w:lang w:val="en-US" w:eastAsia="zh-CN"/>
              </w:rPr>
              <w:t>Updates to User Data Congestion Extension in Nnwdaf_EventsSubscription API</w:t>
            </w:r>
          </w:p>
        </w:tc>
        <w:tc>
          <w:tcPr>
            <w:tcW w:w="706" w:type="dxa"/>
            <w:shd w:val="solid" w:color="FFFFFF" w:fill="auto"/>
          </w:tcPr>
          <w:p w14:paraId="7F21AA12" w14:textId="77777777" w:rsidR="00A10B25" w:rsidRDefault="00A10B25">
            <w:pPr>
              <w:pStyle w:val="TAC"/>
              <w:rPr>
                <w:sz w:val="16"/>
                <w:szCs w:val="16"/>
              </w:rPr>
            </w:pPr>
            <w:r>
              <w:rPr>
                <w:sz w:val="16"/>
                <w:szCs w:val="16"/>
              </w:rPr>
              <w:t>17.5.0</w:t>
            </w:r>
          </w:p>
        </w:tc>
      </w:tr>
      <w:tr w:rsidR="00A10B25" w14:paraId="0B32854A" w14:textId="77777777">
        <w:tc>
          <w:tcPr>
            <w:tcW w:w="796" w:type="dxa"/>
            <w:shd w:val="solid" w:color="FFFFFF" w:fill="auto"/>
          </w:tcPr>
          <w:p w14:paraId="431D32A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522DA815"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3C95FEED" w14:textId="77777777" w:rsidR="00A10B25" w:rsidRDefault="00A10B25">
            <w:pPr>
              <w:pStyle w:val="TAC"/>
              <w:rPr>
                <w:sz w:val="16"/>
                <w:szCs w:val="16"/>
              </w:rPr>
            </w:pPr>
            <w:hyperlink r:id="rId148" w:history="1">
              <w:r>
                <w:rPr>
                  <w:sz w:val="16"/>
                  <w:szCs w:val="16"/>
                </w:rPr>
                <w:t>CP-213228</w:t>
              </w:r>
            </w:hyperlink>
          </w:p>
        </w:tc>
        <w:tc>
          <w:tcPr>
            <w:tcW w:w="523" w:type="dxa"/>
            <w:shd w:val="solid" w:color="FFFFFF" w:fill="auto"/>
          </w:tcPr>
          <w:p w14:paraId="6161A702" w14:textId="77777777" w:rsidR="00A10B25" w:rsidRDefault="00A10B25">
            <w:pPr>
              <w:pStyle w:val="TAL"/>
              <w:rPr>
                <w:sz w:val="16"/>
                <w:szCs w:val="16"/>
              </w:rPr>
            </w:pPr>
            <w:r>
              <w:rPr>
                <w:sz w:val="16"/>
                <w:szCs w:val="16"/>
              </w:rPr>
              <w:t>0326</w:t>
            </w:r>
          </w:p>
        </w:tc>
        <w:tc>
          <w:tcPr>
            <w:tcW w:w="423" w:type="dxa"/>
            <w:shd w:val="solid" w:color="FFFFFF" w:fill="auto"/>
          </w:tcPr>
          <w:p w14:paraId="7A50DA8E" w14:textId="77777777" w:rsidR="00A10B25" w:rsidRDefault="00A10B25">
            <w:pPr>
              <w:pStyle w:val="TAR"/>
              <w:rPr>
                <w:sz w:val="16"/>
                <w:szCs w:val="16"/>
              </w:rPr>
            </w:pPr>
            <w:r>
              <w:rPr>
                <w:sz w:val="16"/>
                <w:szCs w:val="16"/>
                <w:lang w:eastAsia="zh-CN"/>
              </w:rPr>
              <w:t>1</w:t>
            </w:r>
          </w:p>
        </w:tc>
        <w:tc>
          <w:tcPr>
            <w:tcW w:w="423" w:type="dxa"/>
            <w:shd w:val="solid" w:color="FFFFFF" w:fill="auto"/>
          </w:tcPr>
          <w:p w14:paraId="0ADD69D5" w14:textId="77777777" w:rsidR="00A10B25" w:rsidRDefault="00A10B25">
            <w:pPr>
              <w:pStyle w:val="TAC"/>
              <w:rPr>
                <w:sz w:val="16"/>
                <w:szCs w:val="16"/>
              </w:rPr>
            </w:pPr>
            <w:r>
              <w:rPr>
                <w:sz w:val="16"/>
                <w:szCs w:val="16"/>
                <w:lang w:val="en-US"/>
              </w:rPr>
              <w:t>B</w:t>
            </w:r>
          </w:p>
        </w:tc>
        <w:tc>
          <w:tcPr>
            <w:tcW w:w="4899" w:type="dxa"/>
            <w:shd w:val="solid" w:color="FFFFFF" w:fill="auto"/>
          </w:tcPr>
          <w:p w14:paraId="6B31C7C0" w14:textId="77777777" w:rsidR="00A10B25" w:rsidRDefault="00A10B25">
            <w:pPr>
              <w:pStyle w:val="TAL"/>
              <w:rPr>
                <w:sz w:val="16"/>
                <w:szCs w:val="16"/>
              </w:rPr>
            </w:pPr>
            <w:r>
              <w:rPr>
                <w:bCs/>
                <w:sz w:val="16"/>
                <w:szCs w:val="16"/>
                <w:lang w:val="en-US" w:eastAsia="zh-CN"/>
              </w:rPr>
              <w:t>Updates to User Data Congestion Extension in Nnwdaf_AnalyticsInfo API</w:t>
            </w:r>
          </w:p>
        </w:tc>
        <w:tc>
          <w:tcPr>
            <w:tcW w:w="706" w:type="dxa"/>
            <w:shd w:val="solid" w:color="FFFFFF" w:fill="auto"/>
          </w:tcPr>
          <w:p w14:paraId="6FC8F381" w14:textId="77777777" w:rsidR="00A10B25" w:rsidRDefault="00A10B25">
            <w:pPr>
              <w:pStyle w:val="TAC"/>
              <w:rPr>
                <w:sz w:val="16"/>
                <w:szCs w:val="16"/>
              </w:rPr>
            </w:pPr>
            <w:r>
              <w:rPr>
                <w:sz w:val="16"/>
                <w:szCs w:val="16"/>
              </w:rPr>
              <w:t>17.5.0</w:t>
            </w:r>
          </w:p>
        </w:tc>
      </w:tr>
      <w:tr w:rsidR="00A10B25" w14:paraId="4053B640" w14:textId="77777777">
        <w:tc>
          <w:tcPr>
            <w:tcW w:w="796" w:type="dxa"/>
            <w:shd w:val="solid" w:color="FFFFFF" w:fill="auto"/>
          </w:tcPr>
          <w:p w14:paraId="2C30313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FDDC454"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09C1BC2F" w14:textId="77777777" w:rsidR="00A10B25" w:rsidRDefault="00A10B25">
            <w:pPr>
              <w:pStyle w:val="TAC"/>
              <w:rPr>
                <w:sz w:val="16"/>
                <w:szCs w:val="16"/>
              </w:rPr>
            </w:pPr>
            <w:hyperlink r:id="rId149" w:history="1">
              <w:r>
                <w:rPr>
                  <w:sz w:val="16"/>
                  <w:szCs w:val="16"/>
                </w:rPr>
                <w:t>CP-213227</w:t>
              </w:r>
            </w:hyperlink>
          </w:p>
        </w:tc>
        <w:tc>
          <w:tcPr>
            <w:tcW w:w="523" w:type="dxa"/>
            <w:shd w:val="solid" w:color="FFFFFF" w:fill="auto"/>
          </w:tcPr>
          <w:p w14:paraId="685D1F9A" w14:textId="77777777" w:rsidR="00A10B25" w:rsidRDefault="00A10B25">
            <w:pPr>
              <w:pStyle w:val="TAL"/>
              <w:rPr>
                <w:sz w:val="16"/>
                <w:szCs w:val="16"/>
              </w:rPr>
            </w:pPr>
            <w:r>
              <w:rPr>
                <w:sz w:val="16"/>
                <w:szCs w:val="16"/>
              </w:rPr>
              <w:t>0327</w:t>
            </w:r>
          </w:p>
        </w:tc>
        <w:tc>
          <w:tcPr>
            <w:tcW w:w="423" w:type="dxa"/>
            <w:shd w:val="solid" w:color="FFFFFF" w:fill="auto"/>
          </w:tcPr>
          <w:p w14:paraId="5792508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32929DC" w14:textId="77777777" w:rsidR="00A10B25" w:rsidRDefault="00A10B25">
            <w:pPr>
              <w:pStyle w:val="TAC"/>
              <w:rPr>
                <w:sz w:val="16"/>
                <w:szCs w:val="16"/>
              </w:rPr>
            </w:pPr>
            <w:r>
              <w:rPr>
                <w:sz w:val="16"/>
                <w:szCs w:val="16"/>
                <w:lang w:val="en-US"/>
              </w:rPr>
              <w:t>B</w:t>
            </w:r>
          </w:p>
        </w:tc>
        <w:tc>
          <w:tcPr>
            <w:tcW w:w="4899" w:type="dxa"/>
            <w:shd w:val="solid" w:color="FFFFFF" w:fill="auto"/>
          </w:tcPr>
          <w:p w14:paraId="7D37A154" w14:textId="77777777" w:rsidR="00A10B25" w:rsidRDefault="00A10B25">
            <w:pPr>
              <w:pStyle w:val="TAL"/>
              <w:rPr>
                <w:sz w:val="16"/>
                <w:szCs w:val="16"/>
              </w:rPr>
            </w:pPr>
            <w:r>
              <w:rPr>
                <w:sz w:val="16"/>
                <w:szCs w:val="16"/>
              </w:rPr>
              <w:t>Analytics info context transfer operation descriptions</w:t>
            </w:r>
          </w:p>
        </w:tc>
        <w:tc>
          <w:tcPr>
            <w:tcW w:w="706" w:type="dxa"/>
            <w:shd w:val="solid" w:color="FFFFFF" w:fill="auto"/>
          </w:tcPr>
          <w:p w14:paraId="5A350D7F" w14:textId="77777777" w:rsidR="00A10B25" w:rsidRDefault="00A10B25">
            <w:pPr>
              <w:pStyle w:val="TAC"/>
              <w:rPr>
                <w:sz w:val="16"/>
                <w:szCs w:val="16"/>
              </w:rPr>
            </w:pPr>
            <w:r>
              <w:rPr>
                <w:sz w:val="16"/>
                <w:szCs w:val="16"/>
              </w:rPr>
              <w:t>17.5.0</w:t>
            </w:r>
          </w:p>
        </w:tc>
      </w:tr>
      <w:tr w:rsidR="00A10B25" w14:paraId="64F2AC03" w14:textId="77777777">
        <w:tc>
          <w:tcPr>
            <w:tcW w:w="796" w:type="dxa"/>
            <w:shd w:val="solid" w:color="FFFFFF" w:fill="auto"/>
          </w:tcPr>
          <w:p w14:paraId="66838B6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5F885D5D"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0D729C4B" w14:textId="77777777" w:rsidR="00A10B25" w:rsidRDefault="00A10B25">
            <w:pPr>
              <w:pStyle w:val="TAC"/>
              <w:rPr>
                <w:sz w:val="16"/>
                <w:szCs w:val="16"/>
              </w:rPr>
            </w:pPr>
            <w:hyperlink r:id="rId150" w:history="1">
              <w:r>
                <w:rPr>
                  <w:sz w:val="16"/>
                  <w:szCs w:val="16"/>
                </w:rPr>
                <w:t>CP-213228</w:t>
              </w:r>
            </w:hyperlink>
          </w:p>
        </w:tc>
        <w:tc>
          <w:tcPr>
            <w:tcW w:w="523" w:type="dxa"/>
            <w:shd w:val="solid" w:color="FFFFFF" w:fill="auto"/>
          </w:tcPr>
          <w:p w14:paraId="00E2A51E" w14:textId="77777777" w:rsidR="00A10B25" w:rsidRDefault="00A10B25">
            <w:pPr>
              <w:pStyle w:val="TAL"/>
              <w:rPr>
                <w:sz w:val="16"/>
                <w:szCs w:val="16"/>
              </w:rPr>
            </w:pPr>
            <w:r>
              <w:rPr>
                <w:sz w:val="16"/>
                <w:szCs w:val="16"/>
              </w:rPr>
              <w:t>0328</w:t>
            </w:r>
          </w:p>
        </w:tc>
        <w:tc>
          <w:tcPr>
            <w:tcW w:w="423" w:type="dxa"/>
            <w:shd w:val="solid" w:color="FFFFFF" w:fill="auto"/>
          </w:tcPr>
          <w:p w14:paraId="11E52866" w14:textId="77777777" w:rsidR="00A10B25" w:rsidRDefault="00A10B25">
            <w:pPr>
              <w:pStyle w:val="TAR"/>
              <w:rPr>
                <w:sz w:val="16"/>
                <w:szCs w:val="16"/>
              </w:rPr>
            </w:pPr>
            <w:r>
              <w:rPr>
                <w:sz w:val="16"/>
                <w:szCs w:val="16"/>
                <w:lang w:eastAsia="zh-CN"/>
              </w:rPr>
              <w:t>2</w:t>
            </w:r>
          </w:p>
        </w:tc>
        <w:tc>
          <w:tcPr>
            <w:tcW w:w="423" w:type="dxa"/>
            <w:shd w:val="solid" w:color="FFFFFF" w:fill="auto"/>
          </w:tcPr>
          <w:p w14:paraId="1F4B82E3" w14:textId="77777777" w:rsidR="00A10B25" w:rsidRDefault="00A10B25">
            <w:pPr>
              <w:pStyle w:val="TAC"/>
              <w:rPr>
                <w:sz w:val="16"/>
                <w:szCs w:val="16"/>
              </w:rPr>
            </w:pPr>
            <w:r>
              <w:rPr>
                <w:sz w:val="16"/>
                <w:szCs w:val="16"/>
                <w:lang w:val="en-US"/>
              </w:rPr>
              <w:t>B</w:t>
            </w:r>
          </w:p>
        </w:tc>
        <w:tc>
          <w:tcPr>
            <w:tcW w:w="4899" w:type="dxa"/>
            <w:shd w:val="solid" w:color="FFFFFF" w:fill="auto"/>
          </w:tcPr>
          <w:p w14:paraId="2EE8F56D" w14:textId="77777777" w:rsidR="00A10B25" w:rsidRDefault="00A10B25">
            <w:pPr>
              <w:pStyle w:val="TAL"/>
              <w:rPr>
                <w:sz w:val="16"/>
                <w:szCs w:val="16"/>
              </w:rPr>
            </w:pPr>
            <w:r>
              <w:rPr>
                <w:sz w:val="16"/>
                <w:szCs w:val="16"/>
              </w:rPr>
              <w:t>Analytics info context transfer operation data model and OpenAPI</w:t>
            </w:r>
          </w:p>
        </w:tc>
        <w:tc>
          <w:tcPr>
            <w:tcW w:w="706" w:type="dxa"/>
            <w:shd w:val="solid" w:color="FFFFFF" w:fill="auto"/>
          </w:tcPr>
          <w:p w14:paraId="3A1C2636" w14:textId="77777777" w:rsidR="00A10B25" w:rsidRDefault="00A10B25">
            <w:pPr>
              <w:pStyle w:val="TAC"/>
              <w:rPr>
                <w:sz w:val="16"/>
                <w:szCs w:val="16"/>
              </w:rPr>
            </w:pPr>
            <w:r>
              <w:rPr>
                <w:sz w:val="16"/>
                <w:szCs w:val="16"/>
              </w:rPr>
              <w:t>17.5.0</w:t>
            </w:r>
          </w:p>
        </w:tc>
      </w:tr>
      <w:tr w:rsidR="00A10B25" w14:paraId="5A3EE7E8" w14:textId="77777777">
        <w:tc>
          <w:tcPr>
            <w:tcW w:w="796" w:type="dxa"/>
            <w:shd w:val="solid" w:color="FFFFFF" w:fill="auto"/>
          </w:tcPr>
          <w:p w14:paraId="4CBDCEB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28AF7A2D"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6EEEDF52" w14:textId="77777777" w:rsidR="00A10B25" w:rsidRDefault="00A10B25">
            <w:pPr>
              <w:pStyle w:val="TAC"/>
              <w:rPr>
                <w:sz w:val="16"/>
                <w:szCs w:val="16"/>
              </w:rPr>
            </w:pPr>
            <w:hyperlink r:id="rId151" w:history="1">
              <w:r>
                <w:rPr>
                  <w:sz w:val="16"/>
                  <w:szCs w:val="16"/>
                </w:rPr>
                <w:t>CP-213227</w:t>
              </w:r>
            </w:hyperlink>
          </w:p>
        </w:tc>
        <w:tc>
          <w:tcPr>
            <w:tcW w:w="523" w:type="dxa"/>
            <w:shd w:val="solid" w:color="FFFFFF" w:fill="auto"/>
          </w:tcPr>
          <w:p w14:paraId="5CFA37DC" w14:textId="77777777" w:rsidR="00A10B25" w:rsidRDefault="00A10B25">
            <w:pPr>
              <w:pStyle w:val="TAL"/>
              <w:rPr>
                <w:sz w:val="16"/>
                <w:szCs w:val="16"/>
              </w:rPr>
            </w:pPr>
            <w:r>
              <w:rPr>
                <w:sz w:val="16"/>
                <w:szCs w:val="16"/>
              </w:rPr>
              <w:t>0329</w:t>
            </w:r>
          </w:p>
        </w:tc>
        <w:tc>
          <w:tcPr>
            <w:tcW w:w="423" w:type="dxa"/>
            <w:shd w:val="solid" w:color="FFFFFF" w:fill="auto"/>
          </w:tcPr>
          <w:p w14:paraId="063DE27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F26C103" w14:textId="77777777" w:rsidR="00A10B25" w:rsidRDefault="00A10B25">
            <w:pPr>
              <w:pStyle w:val="TAC"/>
              <w:rPr>
                <w:sz w:val="16"/>
                <w:szCs w:val="16"/>
              </w:rPr>
            </w:pPr>
            <w:r>
              <w:rPr>
                <w:sz w:val="16"/>
                <w:szCs w:val="16"/>
                <w:lang w:val="en-US"/>
              </w:rPr>
              <w:t>B</w:t>
            </w:r>
          </w:p>
        </w:tc>
        <w:tc>
          <w:tcPr>
            <w:tcW w:w="4899" w:type="dxa"/>
            <w:shd w:val="solid" w:color="FFFFFF" w:fill="auto"/>
          </w:tcPr>
          <w:p w14:paraId="5CC73D45" w14:textId="77777777" w:rsidR="00A10B25" w:rsidRDefault="00A10B25">
            <w:pPr>
              <w:pStyle w:val="TAL"/>
              <w:rPr>
                <w:sz w:val="16"/>
                <w:szCs w:val="16"/>
              </w:rPr>
            </w:pPr>
            <w:r>
              <w:rPr>
                <w:sz w:val="16"/>
                <w:szCs w:val="16"/>
              </w:rPr>
              <w:t>Analytics info context transfer operation overview</w:t>
            </w:r>
          </w:p>
        </w:tc>
        <w:tc>
          <w:tcPr>
            <w:tcW w:w="706" w:type="dxa"/>
            <w:shd w:val="solid" w:color="FFFFFF" w:fill="auto"/>
          </w:tcPr>
          <w:p w14:paraId="62866E36" w14:textId="77777777" w:rsidR="00A10B25" w:rsidRDefault="00A10B25">
            <w:pPr>
              <w:pStyle w:val="TAC"/>
              <w:rPr>
                <w:sz w:val="16"/>
                <w:szCs w:val="16"/>
              </w:rPr>
            </w:pPr>
            <w:r>
              <w:rPr>
                <w:sz w:val="16"/>
                <w:szCs w:val="16"/>
              </w:rPr>
              <w:t>17.5.0</w:t>
            </w:r>
          </w:p>
        </w:tc>
      </w:tr>
      <w:tr w:rsidR="00A10B25" w14:paraId="06365B67" w14:textId="77777777">
        <w:tc>
          <w:tcPr>
            <w:tcW w:w="796" w:type="dxa"/>
            <w:shd w:val="solid" w:color="FFFFFF" w:fill="auto"/>
          </w:tcPr>
          <w:p w14:paraId="3A53846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310B2415"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13740A1B" w14:textId="77777777" w:rsidR="00A10B25" w:rsidRDefault="00A10B25">
            <w:pPr>
              <w:pStyle w:val="TAC"/>
              <w:rPr>
                <w:sz w:val="16"/>
                <w:szCs w:val="16"/>
              </w:rPr>
            </w:pPr>
            <w:hyperlink r:id="rId152" w:history="1">
              <w:r>
                <w:rPr>
                  <w:sz w:val="16"/>
                  <w:szCs w:val="16"/>
                </w:rPr>
                <w:t>CP-213227</w:t>
              </w:r>
            </w:hyperlink>
          </w:p>
        </w:tc>
        <w:tc>
          <w:tcPr>
            <w:tcW w:w="523" w:type="dxa"/>
            <w:shd w:val="solid" w:color="FFFFFF" w:fill="auto"/>
          </w:tcPr>
          <w:p w14:paraId="65B4646E" w14:textId="77777777" w:rsidR="00A10B25" w:rsidRDefault="00A10B25">
            <w:pPr>
              <w:pStyle w:val="TAL"/>
              <w:rPr>
                <w:sz w:val="16"/>
                <w:szCs w:val="16"/>
              </w:rPr>
            </w:pPr>
            <w:r>
              <w:rPr>
                <w:sz w:val="16"/>
                <w:szCs w:val="16"/>
              </w:rPr>
              <w:t>0330</w:t>
            </w:r>
          </w:p>
        </w:tc>
        <w:tc>
          <w:tcPr>
            <w:tcW w:w="423" w:type="dxa"/>
            <w:shd w:val="solid" w:color="FFFFFF" w:fill="auto"/>
          </w:tcPr>
          <w:p w14:paraId="547DB9C2"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64C3398" w14:textId="77777777" w:rsidR="00A10B25" w:rsidRDefault="00A10B25">
            <w:pPr>
              <w:pStyle w:val="TAC"/>
              <w:rPr>
                <w:sz w:val="16"/>
                <w:szCs w:val="16"/>
              </w:rPr>
            </w:pPr>
            <w:r>
              <w:rPr>
                <w:sz w:val="16"/>
                <w:szCs w:val="16"/>
                <w:lang w:val="en-US"/>
              </w:rPr>
              <w:t>B</w:t>
            </w:r>
          </w:p>
        </w:tc>
        <w:tc>
          <w:tcPr>
            <w:tcW w:w="4899" w:type="dxa"/>
            <w:shd w:val="solid" w:color="FFFFFF" w:fill="auto"/>
          </w:tcPr>
          <w:p w14:paraId="6464528A" w14:textId="77777777" w:rsidR="00A10B25" w:rsidRDefault="00A10B25">
            <w:pPr>
              <w:pStyle w:val="TAL"/>
              <w:rPr>
                <w:sz w:val="16"/>
                <w:szCs w:val="16"/>
              </w:rPr>
            </w:pPr>
            <w:r>
              <w:rPr>
                <w:sz w:val="16"/>
                <w:szCs w:val="16"/>
              </w:rPr>
              <w:t>Analytics info context transfer operation resources</w:t>
            </w:r>
          </w:p>
        </w:tc>
        <w:tc>
          <w:tcPr>
            <w:tcW w:w="706" w:type="dxa"/>
            <w:shd w:val="solid" w:color="FFFFFF" w:fill="auto"/>
          </w:tcPr>
          <w:p w14:paraId="77BF6FF1" w14:textId="77777777" w:rsidR="00A10B25" w:rsidRDefault="00A10B25">
            <w:pPr>
              <w:pStyle w:val="TAC"/>
              <w:rPr>
                <w:sz w:val="16"/>
                <w:szCs w:val="16"/>
              </w:rPr>
            </w:pPr>
            <w:r>
              <w:rPr>
                <w:sz w:val="16"/>
                <w:szCs w:val="16"/>
              </w:rPr>
              <w:t>17.5.0</w:t>
            </w:r>
          </w:p>
        </w:tc>
      </w:tr>
      <w:tr w:rsidR="00A10B25" w14:paraId="26E48333" w14:textId="77777777">
        <w:tc>
          <w:tcPr>
            <w:tcW w:w="796" w:type="dxa"/>
            <w:shd w:val="solid" w:color="FFFFFF" w:fill="auto"/>
          </w:tcPr>
          <w:p w14:paraId="6E5D32C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08726E51"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28FEC184" w14:textId="77777777" w:rsidR="00A10B25" w:rsidRDefault="00A10B25">
            <w:pPr>
              <w:pStyle w:val="TAC"/>
              <w:rPr>
                <w:sz w:val="16"/>
                <w:szCs w:val="16"/>
              </w:rPr>
            </w:pPr>
            <w:hyperlink r:id="rId153" w:history="1">
              <w:r>
                <w:rPr>
                  <w:sz w:val="16"/>
                  <w:szCs w:val="16"/>
                </w:rPr>
                <w:t>CP-213227</w:t>
              </w:r>
            </w:hyperlink>
          </w:p>
        </w:tc>
        <w:tc>
          <w:tcPr>
            <w:tcW w:w="523" w:type="dxa"/>
            <w:shd w:val="solid" w:color="FFFFFF" w:fill="auto"/>
          </w:tcPr>
          <w:p w14:paraId="50529F3F" w14:textId="77777777" w:rsidR="00A10B25" w:rsidRDefault="00A10B25">
            <w:pPr>
              <w:pStyle w:val="TAL"/>
              <w:rPr>
                <w:sz w:val="16"/>
                <w:szCs w:val="16"/>
              </w:rPr>
            </w:pPr>
            <w:r>
              <w:rPr>
                <w:sz w:val="16"/>
                <w:szCs w:val="16"/>
              </w:rPr>
              <w:t>0331</w:t>
            </w:r>
          </w:p>
        </w:tc>
        <w:tc>
          <w:tcPr>
            <w:tcW w:w="423" w:type="dxa"/>
            <w:shd w:val="solid" w:color="FFFFFF" w:fill="auto"/>
          </w:tcPr>
          <w:p w14:paraId="0CB419D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451154A" w14:textId="77777777" w:rsidR="00A10B25" w:rsidRDefault="00A10B25">
            <w:pPr>
              <w:pStyle w:val="TAC"/>
              <w:rPr>
                <w:sz w:val="16"/>
                <w:szCs w:val="16"/>
              </w:rPr>
            </w:pPr>
            <w:r>
              <w:rPr>
                <w:sz w:val="16"/>
                <w:szCs w:val="16"/>
                <w:lang w:val="en-US"/>
              </w:rPr>
              <w:t>B</w:t>
            </w:r>
          </w:p>
        </w:tc>
        <w:tc>
          <w:tcPr>
            <w:tcW w:w="4899" w:type="dxa"/>
            <w:shd w:val="solid" w:color="FFFFFF" w:fill="auto"/>
          </w:tcPr>
          <w:p w14:paraId="65AAA833" w14:textId="77777777" w:rsidR="00A10B25" w:rsidRDefault="00A10B25">
            <w:pPr>
              <w:pStyle w:val="TAL"/>
              <w:rPr>
                <w:sz w:val="16"/>
                <w:szCs w:val="16"/>
              </w:rPr>
            </w:pPr>
            <w:r>
              <w:rPr>
                <w:sz w:val="16"/>
                <w:szCs w:val="16"/>
              </w:rPr>
              <w:t>Analytics subscription transfer operation descriptions</w:t>
            </w:r>
          </w:p>
        </w:tc>
        <w:tc>
          <w:tcPr>
            <w:tcW w:w="706" w:type="dxa"/>
            <w:shd w:val="solid" w:color="FFFFFF" w:fill="auto"/>
          </w:tcPr>
          <w:p w14:paraId="5F039128" w14:textId="77777777" w:rsidR="00A10B25" w:rsidRDefault="00A10B25">
            <w:pPr>
              <w:pStyle w:val="TAC"/>
              <w:rPr>
                <w:sz w:val="16"/>
                <w:szCs w:val="16"/>
              </w:rPr>
            </w:pPr>
            <w:r>
              <w:rPr>
                <w:sz w:val="16"/>
                <w:szCs w:val="16"/>
              </w:rPr>
              <w:t>17.5.0</w:t>
            </w:r>
          </w:p>
        </w:tc>
      </w:tr>
      <w:tr w:rsidR="00A10B25" w14:paraId="7CB8F541" w14:textId="77777777">
        <w:tc>
          <w:tcPr>
            <w:tcW w:w="796" w:type="dxa"/>
            <w:shd w:val="solid" w:color="FFFFFF" w:fill="auto"/>
          </w:tcPr>
          <w:p w14:paraId="278A02F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749F68A2"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227DF894" w14:textId="77777777" w:rsidR="00A10B25" w:rsidRDefault="00A10B25">
            <w:pPr>
              <w:pStyle w:val="TAC"/>
              <w:rPr>
                <w:sz w:val="16"/>
                <w:szCs w:val="16"/>
              </w:rPr>
            </w:pPr>
            <w:hyperlink r:id="rId154" w:history="1">
              <w:r>
                <w:rPr>
                  <w:sz w:val="16"/>
                  <w:szCs w:val="16"/>
                </w:rPr>
                <w:t>CP-213228</w:t>
              </w:r>
            </w:hyperlink>
          </w:p>
        </w:tc>
        <w:tc>
          <w:tcPr>
            <w:tcW w:w="523" w:type="dxa"/>
            <w:shd w:val="solid" w:color="FFFFFF" w:fill="auto"/>
          </w:tcPr>
          <w:p w14:paraId="55B604A1" w14:textId="77777777" w:rsidR="00A10B25" w:rsidRDefault="00A10B25">
            <w:pPr>
              <w:pStyle w:val="TAL"/>
              <w:rPr>
                <w:sz w:val="16"/>
                <w:szCs w:val="16"/>
              </w:rPr>
            </w:pPr>
            <w:r>
              <w:rPr>
                <w:sz w:val="16"/>
                <w:szCs w:val="16"/>
              </w:rPr>
              <w:t>0332</w:t>
            </w:r>
          </w:p>
        </w:tc>
        <w:tc>
          <w:tcPr>
            <w:tcW w:w="423" w:type="dxa"/>
            <w:shd w:val="solid" w:color="FFFFFF" w:fill="auto"/>
          </w:tcPr>
          <w:p w14:paraId="42DC7D8A" w14:textId="77777777" w:rsidR="00A10B25" w:rsidRDefault="00A10B25">
            <w:pPr>
              <w:pStyle w:val="TAR"/>
              <w:rPr>
                <w:sz w:val="16"/>
                <w:szCs w:val="16"/>
              </w:rPr>
            </w:pPr>
            <w:r>
              <w:rPr>
                <w:sz w:val="16"/>
                <w:szCs w:val="16"/>
                <w:lang w:eastAsia="zh-CN"/>
              </w:rPr>
              <w:t>2</w:t>
            </w:r>
          </w:p>
        </w:tc>
        <w:tc>
          <w:tcPr>
            <w:tcW w:w="423" w:type="dxa"/>
            <w:shd w:val="solid" w:color="FFFFFF" w:fill="auto"/>
          </w:tcPr>
          <w:p w14:paraId="1FC8E3F0" w14:textId="77777777" w:rsidR="00A10B25" w:rsidRDefault="00A10B25">
            <w:pPr>
              <w:pStyle w:val="TAC"/>
              <w:rPr>
                <w:sz w:val="16"/>
                <w:szCs w:val="16"/>
              </w:rPr>
            </w:pPr>
            <w:r>
              <w:rPr>
                <w:sz w:val="16"/>
                <w:szCs w:val="16"/>
                <w:lang w:val="en-US"/>
              </w:rPr>
              <w:t>B</w:t>
            </w:r>
          </w:p>
        </w:tc>
        <w:tc>
          <w:tcPr>
            <w:tcW w:w="4899" w:type="dxa"/>
            <w:shd w:val="solid" w:color="FFFFFF" w:fill="auto"/>
          </w:tcPr>
          <w:p w14:paraId="78DD28A1" w14:textId="77777777" w:rsidR="00A10B25" w:rsidRDefault="00A10B25">
            <w:pPr>
              <w:pStyle w:val="TAL"/>
              <w:rPr>
                <w:sz w:val="16"/>
                <w:szCs w:val="16"/>
              </w:rPr>
            </w:pPr>
            <w:r>
              <w:rPr>
                <w:sz w:val="16"/>
                <w:szCs w:val="16"/>
              </w:rPr>
              <w:t>Analytics subscription transfer operation data model and OpenAPI</w:t>
            </w:r>
          </w:p>
        </w:tc>
        <w:tc>
          <w:tcPr>
            <w:tcW w:w="706" w:type="dxa"/>
            <w:shd w:val="solid" w:color="FFFFFF" w:fill="auto"/>
          </w:tcPr>
          <w:p w14:paraId="576C9C67" w14:textId="77777777" w:rsidR="00A10B25" w:rsidRDefault="00A10B25">
            <w:pPr>
              <w:pStyle w:val="TAC"/>
              <w:rPr>
                <w:sz w:val="16"/>
                <w:szCs w:val="16"/>
              </w:rPr>
            </w:pPr>
            <w:r>
              <w:rPr>
                <w:sz w:val="16"/>
                <w:szCs w:val="16"/>
              </w:rPr>
              <w:t>17.5.0</w:t>
            </w:r>
          </w:p>
        </w:tc>
      </w:tr>
      <w:tr w:rsidR="00A10B25" w14:paraId="1E06CE00" w14:textId="77777777">
        <w:tc>
          <w:tcPr>
            <w:tcW w:w="796" w:type="dxa"/>
            <w:shd w:val="solid" w:color="FFFFFF" w:fill="auto"/>
          </w:tcPr>
          <w:p w14:paraId="5EA5B6A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165CD7D9"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02D155A2" w14:textId="77777777" w:rsidR="00A10B25" w:rsidRDefault="00A10B25">
            <w:pPr>
              <w:pStyle w:val="TAC"/>
              <w:rPr>
                <w:sz w:val="16"/>
                <w:szCs w:val="16"/>
              </w:rPr>
            </w:pPr>
            <w:hyperlink r:id="rId155" w:history="1">
              <w:r>
                <w:rPr>
                  <w:sz w:val="16"/>
                  <w:szCs w:val="16"/>
                </w:rPr>
                <w:t>CP-213227</w:t>
              </w:r>
            </w:hyperlink>
          </w:p>
        </w:tc>
        <w:tc>
          <w:tcPr>
            <w:tcW w:w="523" w:type="dxa"/>
            <w:shd w:val="solid" w:color="FFFFFF" w:fill="auto"/>
          </w:tcPr>
          <w:p w14:paraId="33CEEB5D" w14:textId="77777777" w:rsidR="00A10B25" w:rsidRDefault="00A10B25">
            <w:pPr>
              <w:pStyle w:val="TAL"/>
              <w:rPr>
                <w:sz w:val="16"/>
                <w:szCs w:val="16"/>
              </w:rPr>
            </w:pPr>
            <w:r>
              <w:rPr>
                <w:sz w:val="16"/>
                <w:szCs w:val="16"/>
              </w:rPr>
              <w:t>0333</w:t>
            </w:r>
          </w:p>
        </w:tc>
        <w:tc>
          <w:tcPr>
            <w:tcW w:w="423" w:type="dxa"/>
            <w:shd w:val="solid" w:color="FFFFFF" w:fill="auto"/>
          </w:tcPr>
          <w:p w14:paraId="24281B84" w14:textId="77777777" w:rsidR="00A10B25" w:rsidRDefault="00A10B25">
            <w:pPr>
              <w:pStyle w:val="TAR"/>
              <w:rPr>
                <w:sz w:val="16"/>
                <w:szCs w:val="16"/>
              </w:rPr>
            </w:pPr>
          </w:p>
        </w:tc>
        <w:tc>
          <w:tcPr>
            <w:tcW w:w="423" w:type="dxa"/>
            <w:shd w:val="solid" w:color="FFFFFF" w:fill="auto"/>
          </w:tcPr>
          <w:p w14:paraId="31B4616F" w14:textId="77777777" w:rsidR="00A10B25" w:rsidRDefault="00A10B25">
            <w:pPr>
              <w:pStyle w:val="TAC"/>
              <w:rPr>
                <w:sz w:val="16"/>
                <w:szCs w:val="16"/>
              </w:rPr>
            </w:pPr>
            <w:r>
              <w:rPr>
                <w:sz w:val="16"/>
                <w:szCs w:val="16"/>
                <w:lang w:val="en-US"/>
              </w:rPr>
              <w:t>B</w:t>
            </w:r>
          </w:p>
        </w:tc>
        <w:tc>
          <w:tcPr>
            <w:tcW w:w="4899" w:type="dxa"/>
            <w:shd w:val="solid" w:color="FFFFFF" w:fill="auto"/>
          </w:tcPr>
          <w:p w14:paraId="700AA7ED" w14:textId="77777777" w:rsidR="00A10B25" w:rsidRDefault="00A10B25">
            <w:pPr>
              <w:pStyle w:val="TAL"/>
              <w:rPr>
                <w:sz w:val="16"/>
                <w:szCs w:val="16"/>
              </w:rPr>
            </w:pPr>
            <w:r>
              <w:rPr>
                <w:sz w:val="16"/>
                <w:szCs w:val="16"/>
              </w:rPr>
              <w:t>Analytics subscription transfer operation overview</w:t>
            </w:r>
          </w:p>
        </w:tc>
        <w:tc>
          <w:tcPr>
            <w:tcW w:w="706" w:type="dxa"/>
            <w:shd w:val="solid" w:color="FFFFFF" w:fill="auto"/>
          </w:tcPr>
          <w:p w14:paraId="63D92FAC" w14:textId="77777777" w:rsidR="00A10B25" w:rsidRDefault="00A10B25">
            <w:pPr>
              <w:pStyle w:val="TAC"/>
              <w:rPr>
                <w:sz w:val="16"/>
                <w:szCs w:val="16"/>
              </w:rPr>
            </w:pPr>
            <w:r>
              <w:rPr>
                <w:sz w:val="16"/>
                <w:szCs w:val="16"/>
              </w:rPr>
              <w:t>17.5.0</w:t>
            </w:r>
          </w:p>
        </w:tc>
      </w:tr>
      <w:tr w:rsidR="00A10B25" w14:paraId="63F773D2" w14:textId="77777777">
        <w:tc>
          <w:tcPr>
            <w:tcW w:w="796" w:type="dxa"/>
            <w:shd w:val="solid" w:color="FFFFFF" w:fill="auto"/>
          </w:tcPr>
          <w:p w14:paraId="06199AC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1F53E11F"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6FF01C67" w14:textId="77777777" w:rsidR="00A10B25" w:rsidRDefault="00A10B25">
            <w:pPr>
              <w:pStyle w:val="TAC"/>
              <w:rPr>
                <w:sz w:val="16"/>
                <w:szCs w:val="16"/>
              </w:rPr>
            </w:pPr>
            <w:hyperlink r:id="rId156" w:history="1">
              <w:r>
                <w:rPr>
                  <w:sz w:val="16"/>
                  <w:szCs w:val="16"/>
                </w:rPr>
                <w:t>CP-213227</w:t>
              </w:r>
            </w:hyperlink>
          </w:p>
        </w:tc>
        <w:tc>
          <w:tcPr>
            <w:tcW w:w="523" w:type="dxa"/>
            <w:shd w:val="solid" w:color="FFFFFF" w:fill="auto"/>
          </w:tcPr>
          <w:p w14:paraId="697E99D2" w14:textId="77777777" w:rsidR="00A10B25" w:rsidRDefault="00A10B25">
            <w:pPr>
              <w:pStyle w:val="TAL"/>
              <w:rPr>
                <w:sz w:val="16"/>
                <w:szCs w:val="16"/>
              </w:rPr>
            </w:pPr>
            <w:r>
              <w:rPr>
                <w:sz w:val="16"/>
                <w:szCs w:val="16"/>
              </w:rPr>
              <w:t>0334</w:t>
            </w:r>
          </w:p>
        </w:tc>
        <w:tc>
          <w:tcPr>
            <w:tcW w:w="423" w:type="dxa"/>
            <w:shd w:val="solid" w:color="FFFFFF" w:fill="auto"/>
          </w:tcPr>
          <w:p w14:paraId="38DFF79D"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32B1236" w14:textId="77777777" w:rsidR="00A10B25" w:rsidRDefault="00A10B25">
            <w:pPr>
              <w:pStyle w:val="TAC"/>
              <w:rPr>
                <w:sz w:val="16"/>
                <w:szCs w:val="16"/>
              </w:rPr>
            </w:pPr>
            <w:r>
              <w:rPr>
                <w:sz w:val="16"/>
                <w:szCs w:val="16"/>
                <w:lang w:val="en-US"/>
              </w:rPr>
              <w:t>B</w:t>
            </w:r>
          </w:p>
        </w:tc>
        <w:tc>
          <w:tcPr>
            <w:tcW w:w="4899" w:type="dxa"/>
            <w:shd w:val="solid" w:color="FFFFFF" w:fill="auto"/>
          </w:tcPr>
          <w:p w14:paraId="266662BB" w14:textId="77777777" w:rsidR="00A10B25" w:rsidRDefault="00A10B25">
            <w:pPr>
              <w:pStyle w:val="TAL"/>
              <w:rPr>
                <w:sz w:val="16"/>
                <w:szCs w:val="16"/>
              </w:rPr>
            </w:pPr>
            <w:r>
              <w:rPr>
                <w:sz w:val="16"/>
                <w:szCs w:val="16"/>
              </w:rPr>
              <w:t>Analytics subscription transfer operation resources</w:t>
            </w:r>
          </w:p>
        </w:tc>
        <w:tc>
          <w:tcPr>
            <w:tcW w:w="706" w:type="dxa"/>
            <w:shd w:val="solid" w:color="FFFFFF" w:fill="auto"/>
          </w:tcPr>
          <w:p w14:paraId="40E673DB" w14:textId="77777777" w:rsidR="00A10B25" w:rsidRDefault="00A10B25">
            <w:pPr>
              <w:pStyle w:val="TAC"/>
              <w:rPr>
                <w:sz w:val="16"/>
                <w:szCs w:val="16"/>
              </w:rPr>
            </w:pPr>
            <w:r>
              <w:rPr>
                <w:sz w:val="16"/>
                <w:szCs w:val="16"/>
              </w:rPr>
              <w:t>17.5.0</w:t>
            </w:r>
          </w:p>
        </w:tc>
      </w:tr>
      <w:tr w:rsidR="00A10B25" w14:paraId="0D519C41" w14:textId="77777777">
        <w:tc>
          <w:tcPr>
            <w:tcW w:w="796" w:type="dxa"/>
            <w:shd w:val="solid" w:color="FFFFFF" w:fill="auto"/>
          </w:tcPr>
          <w:p w14:paraId="2723224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09E688E3"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6C1E1B71" w14:textId="77777777" w:rsidR="00A10B25" w:rsidRDefault="00A10B25">
            <w:pPr>
              <w:pStyle w:val="TAC"/>
              <w:rPr>
                <w:sz w:val="16"/>
                <w:szCs w:val="16"/>
              </w:rPr>
            </w:pPr>
            <w:hyperlink r:id="rId157" w:history="1">
              <w:r>
                <w:rPr>
                  <w:sz w:val="16"/>
                  <w:szCs w:val="16"/>
                </w:rPr>
                <w:t>CP-213227</w:t>
              </w:r>
            </w:hyperlink>
          </w:p>
        </w:tc>
        <w:tc>
          <w:tcPr>
            <w:tcW w:w="523" w:type="dxa"/>
            <w:shd w:val="solid" w:color="FFFFFF" w:fill="auto"/>
          </w:tcPr>
          <w:p w14:paraId="5A0FB9FB" w14:textId="77777777" w:rsidR="00A10B25" w:rsidRDefault="00A10B25">
            <w:pPr>
              <w:pStyle w:val="TAL"/>
              <w:rPr>
                <w:sz w:val="16"/>
                <w:szCs w:val="16"/>
              </w:rPr>
            </w:pPr>
            <w:r>
              <w:rPr>
                <w:sz w:val="16"/>
                <w:szCs w:val="16"/>
              </w:rPr>
              <w:t>0335</w:t>
            </w:r>
          </w:p>
        </w:tc>
        <w:tc>
          <w:tcPr>
            <w:tcW w:w="423" w:type="dxa"/>
            <w:shd w:val="solid" w:color="FFFFFF" w:fill="auto"/>
          </w:tcPr>
          <w:p w14:paraId="285EBCCF"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57E16E2" w14:textId="77777777" w:rsidR="00A10B25" w:rsidRDefault="00A10B25">
            <w:pPr>
              <w:pStyle w:val="TAC"/>
              <w:rPr>
                <w:sz w:val="16"/>
                <w:szCs w:val="16"/>
              </w:rPr>
            </w:pPr>
            <w:r>
              <w:rPr>
                <w:sz w:val="16"/>
                <w:szCs w:val="16"/>
                <w:lang w:val="en-US"/>
              </w:rPr>
              <w:t>B</w:t>
            </w:r>
          </w:p>
        </w:tc>
        <w:tc>
          <w:tcPr>
            <w:tcW w:w="4899" w:type="dxa"/>
            <w:shd w:val="solid" w:color="FFFFFF" w:fill="auto"/>
          </w:tcPr>
          <w:p w14:paraId="6140B317" w14:textId="77777777" w:rsidR="00A10B25" w:rsidRDefault="00A10B25">
            <w:pPr>
              <w:pStyle w:val="TAL"/>
              <w:rPr>
                <w:sz w:val="16"/>
                <w:szCs w:val="16"/>
              </w:rPr>
            </w:pPr>
            <w:r>
              <w:rPr>
                <w:sz w:val="16"/>
                <w:szCs w:val="16"/>
              </w:rPr>
              <w:t>Extending analytics subscription to enable context transfer</w:t>
            </w:r>
          </w:p>
        </w:tc>
        <w:tc>
          <w:tcPr>
            <w:tcW w:w="706" w:type="dxa"/>
            <w:shd w:val="solid" w:color="FFFFFF" w:fill="auto"/>
          </w:tcPr>
          <w:p w14:paraId="0A237524" w14:textId="77777777" w:rsidR="00A10B25" w:rsidRDefault="00A10B25">
            <w:pPr>
              <w:pStyle w:val="TAC"/>
              <w:rPr>
                <w:sz w:val="16"/>
                <w:szCs w:val="16"/>
              </w:rPr>
            </w:pPr>
            <w:r>
              <w:rPr>
                <w:sz w:val="16"/>
                <w:szCs w:val="16"/>
              </w:rPr>
              <w:t>17.5.0</w:t>
            </w:r>
          </w:p>
        </w:tc>
      </w:tr>
      <w:tr w:rsidR="00A10B25" w14:paraId="0EA57722" w14:textId="77777777">
        <w:tc>
          <w:tcPr>
            <w:tcW w:w="796" w:type="dxa"/>
            <w:shd w:val="solid" w:color="FFFFFF" w:fill="auto"/>
          </w:tcPr>
          <w:p w14:paraId="0EE4299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621CD76E"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078172AD" w14:textId="77777777" w:rsidR="00A10B25" w:rsidRDefault="00A10B25">
            <w:pPr>
              <w:pStyle w:val="TAC"/>
              <w:rPr>
                <w:sz w:val="16"/>
                <w:szCs w:val="16"/>
              </w:rPr>
            </w:pPr>
            <w:hyperlink r:id="rId158" w:history="1">
              <w:r>
                <w:rPr>
                  <w:sz w:val="16"/>
                  <w:szCs w:val="16"/>
                </w:rPr>
                <w:t>CP-213227</w:t>
              </w:r>
            </w:hyperlink>
          </w:p>
        </w:tc>
        <w:tc>
          <w:tcPr>
            <w:tcW w:w="523" w:type="dxa"/>
            <w:shd w:val="solid" w:color="FFFFFF" w:fill="auto"/>
          </w:tcPr>
          <w:p w14:paraId="0C1916EA" w14:textId="77777777" w:rsidR="00A10B25" w:rsidRDefault="00A10B25">
            <w:pPr>
              <w:pStyle w:val="TAL"/>
              <w:rPr>
                <w:sz w:val="16"/>
                <w:szCs w:val="16"/>
              </w:rPr>
            </w:pPr>
            <w:r>
              <w:rPr>
                <w:sz w:val="16"/>
                <w:szCs w:val="16"/>
              </w:rPr>
              <w:t>0336</w:t>
            </w:r>
          </w:p>
        </w:tc>
        <w:tc>
          <w:tcPr>
            <w:tcW w:w="423" w:type="dxa"/>
            <w:shd w:val="solid" w:color="FFFFFF" w:fill="auto"/>
          </w:tcPr>
          <w:p w14:paraId="3990CE19" w14:textId="77777777" w:rsidR="00A10B25" w:rsidRDefault="00A10B25">
            <w:pPr>
              <w:pStyle w:val="TAR"/>
              <w:rPr>
                <w:sz w:val="16"/>
                <w:szCs w:val="16"/>
              </w:rPr>
            </w:pPr>
            <w:r>
              <w:rPr>
                <w:sz w:val="16"/>
                <w:szCs w:val="16"/>
                <w:lang w:eastAsia="zh-CN"/>
              </w:rPr>
              <w:t>1</w:t>
            </w:r>
          </w:p>
        </w:tc>
        <w:tc>
          <w:tcPr>
            <w:tcW w:w="423" w:type="dxa"/>
            <w:shd w:val="solid" w:color="FFFFFF" w:fill="auto"/>
          </w:tcPr>
          <w:p w14:paraId="033F6CAD" w14:textId="77777777" w:rsidR="00A10B25" w:rsidRDefault="00A10B25">
            <w:pPr>
              <w:pStyle w:val="TAC"/>
              <w:rPr>
                <w:sz w:val="16"/>
                <w:szCs w:val="16"/>
              </w:rPr>
            </w:pPr>
            <w:r>
              <w:rPr>
                <w:sz w:val="16"/>
                <w:szCs w:val="16"/>
                <w:lang w:val="en-US"/>
              </w:rPr>
              <w:t>B</w:t>
            </w:r>
          </w:p>
        </w:tc>
        <w:tc>
          <w:tcPr>
            <w:tcW w:w="4899" w:type="dxa"/>
            <w:shd w:val="solid" w:color="FFFFFF" w:fill="auto"/>
          </w:tcPr>
          <w:p w14:paraId="3338E949" w14:textId="77777777" w:rsidR="00A10B25" w:rsidRDefault="00A10B25">
            <w:pPr>
              <w:pStyle w:val="TAL"/>
              <w:rPr>
                <w:sz w:val="16"/>
                <w:szCs w:val="16"/>
              </w:rPr>
            </w:pPr>
            <w:r>
              <w:rPr>
                <w:sz w:val="16"/>
                <w:szCs w:val="16"/>
              </w:rPr>
              <w:t>Subscription modification procedure of Nnwdaf_MLModelProvision service</w:t>
            </w:r>
          </w:p>
        </w:tc>
        <w:tc>
          <w:tcPr>
            <w:tcW w:w="706" w:type="dxa"/>
            <w:shd w:val="solid" w:color="FFFFFF" w:fill="auto"/>
          </w:tcPr>
          <w:p w14:paraId="295A7774" w14:textId="77777777" w:rsidR="00A10B25" w:rsidRDefault="00A10B25">
            <w:pPr>
              <w:pStyle w:val="TAC"/>
              <w:rPr>
                <w:sz w:val="16"/>
                <w:szCs w:val="16"/>
              </w:rPr>
            </w:pPr>
            <w:r>
              <w:rPr>
                <w:sz w:val="16"/>
                <w:szCs w:val="16"/>
              </w:rPr>
              <w:t>17.5.0</w:t>
            </w:r>
          </w:p>
        </w:tc>
      </w:tr>
      <w:tr w:rsidR="00A10B25" w14:paraId="1263CE58" w14:textId="77777777">
        <w:tc>
          <w:tcPr>
            <w:tcW w:w="796" w:type="dxa"/>
            <w:shd w:val="solid" w:color="FFFFFF" w:fill="auto"/>
          </w:tcPr>
          <w:p w14:paraId="7CD80C9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07681ABC"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3FD646FC" w14:textId="77777777" w:rsidR="00A10B25" w:rsidRDefault="00A10B25">
            <w:pPr>
              <w:pStyle w:val="TAC"/>
              <w:rPr>
                <w:sz w:val="16"/>
                <w:szCs w:val="16"/>
              </w:rPr>
            </w:pPr>
            <w:hyperlink r:id="rId159" w:history="1">
              <w:r>
                <w:rPr>
                  <w:sz w:val="16"/>
                  <w:szCs w:val="16"/>
                </w:rPr>
                <w:t>CP-213227</w:t>
              </w:r>
            </w:hyperlink>
          </w:p>
        </w:tc>
        <w:tc>
          <w:tcPr>
            <w:tcW w:w="523" w:type="dxa"/>
            <w:shd w:val="solid" w:color="FFFFFF" w:fill="auto"/>
          </w:tcPr>
          <w:p w14:paraId="1A6DFD3A" w14:textId="77777777" w:rsidR="00A10B25" w:rsidRDefault="00A10B25">
            <w:pPr>
              <w:pStyle w:val="TAL"/>
              <w:rPr>
                <w:sz w:val="16"/>
                <w:szCs w:val="16"/>
              </w:rPr>
            </w:pPr>
            <w:r>
              <w:rPr>
                <w:sz w:val="16"/>
                <w:szCs w:val="16"/>
              </w:rPr>
              <w:t>0337</w:t>
            </w:r>
          </w:p>
        </w:tc>
        <w:tc>
          <w:tcPr>
            <w:tcW w:w="423" w:type="dxa"/>
            <w:shd w:val="solid" w:color="FFFFFF" w:fill="auto"/>
          </w:tcPr>
          <w:p w14:paraId="08985F15" w14:textId="77777777" w:rsidR="00A10B25" w:rsidRDefault="00A10B25">
            <w:pPr>
              <w:pStyle w:val="TAR"/>
              <w:rPr>
                <w:sz w:val="16"/>
                <w:szCs w:val="16"/>
              </w:rPr>
            </w:pPr>
            <w:r>
              <w:rPr>
                <w:sz w:val="16"/>
                <w:szCs w:val="16"/>
                <w:lang w:eastAsia="zh-CN"/>
              </w:rPr>
              <w:t>1</w:t>
            </w:r>
          </w:p>
        </w:tc>
        <w:tc>
          <w:tcPr>
            <w:tcW w:w="423" w:type="dxa"/>
            <w:shd w:val="solid" w:color="FFFFFF" w:fill="auto"/>
          </w:tcPr>
          <w:p w14:paraId="58846745" w14:textId="77777777" w:rsidR="00A10B25" w:rsidRDefault="00A10B25">
            <w:pPr>
              <w:pStyle w:val="TAC"/>
              <w:rPr>
                <w:sz w:val="16"/>
                <w:szCs w:val="16"/>
              </w:rPr>
            </w:pPr>
            <w:r>
              <w:rPr>
                <w:sz w:val="16"/>
                <w:szCs w:val="16"/>
                <w:lang w:val="en-US"/>
              </w:rPr>
              <w:t>B</w:t>
            </w:r>
          </w:p>
        </w:tc>
        <w:tc>
          <w:tcPr>
            <w:tcW w:w="4899" w:type="dxa"/>
            <w:shd w:val="solid" w:color="FFFFFF" w:fill="auto"/>
          </w:tcPr>
          <w:p w14:paraId="6A7A9635" w14:textId="77777777" w:rsidR="00A10B25" w:rsidRDefault="00A10B25">
            <w:pPr>
              <w:pStyle w:val="TAL"/>
              <w:rPr>
                <w:sz w:val="16"/>
                <w:szCs w:val="16"/>
              </w:rPr>
            </w:pPr>
            <w:r>
              <w:rPr>
                <w:sz w:val="16"/>
                <w:szCs w:val="16"/>
              </w:rPr>
              <w:t xml:space="preserve">Support of </w:t>
            </w:r>
            <w:r>
              <w:rPr>
                <w:rFonts w:hint="eastAsia"/>
                <w:sz w:val="16"/>
                <w:szCs w:val="16"/>
              </w:rPr>
              <w:t>N</w:t>
            </w:r>
            <w:r>
              <w:rPr>
                <w:sz w:val="16"/>
                <w:szCs w:val="16"/>
              </w:rPr>
              <w:t>nwdaf_MLModelInfo Service</w:t>
            </w:r>
          </w:p>
        </w:tc>
        <w:tc>
          <w:tcPr>
            <w:tcW w:w="706" w:type="dxa"/>
            <w:shd w:val="solid" w:color="FFFFFF" w:fill="auto"/>
          </w:tcPr>
          <w:p w14:paraId="7BE16EC7" w14:textId="77777777" w:rsidR="00A10B25" w:rsidRDefault="00A10B25">
            <w:pPr>
              <w:pStyle w:val="TAC"/>
              <w:rPr>
                <w:sz w:val="16"/>
                <w:szCs w:val="16"/>
              </w:rPr>
            </w:pPr>
            <w:r>
              <w:rPr>
                <w:sz w:val="16"/>
                <w:szCs w:val="16"/>
              </w:rPr>
              <w:t>17.5.0</w:t>
            </w:r>
          </w:p>
        </w:tc>
      </w:tr>
      <w:tr w:rsidR="00A10B25" w14:paraId="30ECD592" w14:textId="77777777">
        <w:tc>
          <w:tcPr>
            <w:tcW w:w="796" w:type="dxa"/>
            <w:shd w:val="solid" w:color="FFFFFF" w:fill="auto"/>
          </w:tcPr>
          <w:p w14:paraId="19EFB7C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1C6ADEEF"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4AF737C9" w14:textId="77777777" w:rsidR="00A10B25" w:rsidRDefault="00A10B25">
            <w:pPr>
              <w:pStyle w:val="TAC"/>
              <w:rPr>
                <w:sz w:val="16"/>
                <w:szCs w:val="16"/>
              </w:rPr>
            </w:pPr>
            <w:hyperlink r:id="rId160" w:history="1">
              <w:r>
                <w:rPr>
                  <w:sz w:val="16"/>
                  <w:szCs w:val="16"/>
                </w:rPr>
                <w:t>CP-213227</w:t>
              </w:r>
            </w:hyperlink>
          </w:p>
        </w:tc>
        <w:tc>
          <w:tcPr>
            <w:tcW w:w="523" w:type="dxa"/>
            <w:shd w:val="solid" w:color="FFFFFF" w:fill="auto"/>
          </w:tcPr>
          <w:p w14:paraId="0924065F" w14:textId="77777777" w:rsidR="00A10B25" w:rsidRDefault="00A10B25">
            <w:pPr>
              <w:pStyle w:val="TAL"/>
              <w:rPr>
                <w:sz w:val="16"/>
                <w:szCs w:val="16"/>
              </w:rPr>
            </w:pPr>
            <w:r>
              <w:rPr>
                <w:sz w:val="16"/>
                <w:szCs w:val="16"/>
              </w:rPr>
              <w:t>0338</w:t>
            </w:r>
          </w:p>
        </w:tc>
        <w:tc>
          <w:tcPr>
            <w:tcW w:w="423" w:type="dxa"/>
            <w:shd w:val="solid" w:color="FFFFFF" w:fill="auto"/>
          </w:tcPr>
          <w:p w14:paraId="461510A6" w14:textId="77777777" w:rsidR="00A10B25" w:rsidRDefault="00A10B25">
            <w:pPr>
              <w:pStyle w:val="TAR"/>
              <w:rPr>
                <w:sz w:val="16"/>
                <w:szCs w:val="16"/>
              </w:rPr>
            </w:pPr>
          </w:p>
        </w:tc>
        <w:tc>
          <w:tcPr>
            <w:tcW w:w="423" w:type="dxa"/>
            <w:shd w:val="solid" w:color="FFFFFF" w:fill="auto"/>
          </w:tcPr>
          <w:p w14:paraId="312C9B9A" w14:textId="77777777" w:rsidR="00A10B25" w:rsidRDefault="00A10B25">
            <w:pPr>
              <w:pStyle w:val="TAC"/>
              <w:rPr>
                <w:sz w:val="16"/>
                <w:szCs w:val="16"/>
              </w:rPr>
            </w:pPr>
            <w:r>
              <w:rPr>
                <w:sz w:val="16"/>
                <w:szCs w:val="16"/>
                <w:lang w:val="en-US"/>
              </w:rPr>
              <w:t>B</w:t>
            </w:r>
          </w:p>
        </w:tc>
        <w:tc>
          <w:tcPr>
            <w:tcW w:w="4899" w:type="dxa"/>
            <w:shd w:val="solid" w:color="FFFFFF" w:fill="auto"/>
          </w:tcPr>
          <w:p w14:paraId="175A40FC" w14:textId="77777777" w:rsidR="00A10B25" w:rsidRDefault="00A10B25">
            <w:pPr>
              <w:pStyle w:val="TAL"/>
              <w:rPr>
                <w:sz w:val="16"/>
                <w:szCs w:val="16"/>
              </w:rPr>
            </w:pPr>
            <w:r>
              <w:rPr>
                <w:sz w:val="16"/>
                <w:szCs w:val="16"/>
              </w:rPr>
              <w:t>The OpenAPI file for Nnwdaf_MLModelProvision</w:t>
            </w:r>
          </w:p>
        </w:tc>
        <w:tc>
          <w:tcPr>
            <w:tcW w:w="706" w:type="dxa"/>
            <w:shd w:val="solid" w:color="FFFFFF" w:fill="auto"/>
          </w:tcPr>
          <w:p w14:paraId="7C7BB572" w14:textId="77777777" w:rsidR="00A10B25" w:rsidRDefault="00A10B25">
            <w:pPr>
              <w:pStyle w:val="TAC"/>
              <w:rPr>
                <w:sz w:val="16"/>
                <w:szCs w:val="16"/>
              </w:rPr>
            </w:pPr>
            <w:r>
              <w:rPr>
                <w:sz w:val="16"/>
                <w:szCs w:val="16"/>
              </w:rPr>
              <w:t>17.5.0</w:t>
            </w:r>
          </w:p>
        </w:tc>
      </w:tr>
      <w:tr w:rsidR="00A10B25" w14:paraId="341EF73F" w14:textId="77777777">
        <w:tc>
          <w:tcPr>
            <w:tcW w:w="796" w:type="dxa"/>
            <w:shd w:val="solid" w:color="FFFFFF" w:fill="auto"/>
          </w:tcPr>
          <w:p w14:paraId="08C9FEF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846CA54"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5ECCE3BD" w14:textId="77777777" w:rsidR="00A10B25" w:rsidRDefault="00A10B25">
            <w:pPr>
              <w:pStyle w:val="TAC"/>
              <w:rPr>
                <w:sz w:val="16"/>
                <w:szCs w:val="16"/>
              </w:rPr>
            </w:pPr>
            <w:hyperlink r:id="rId161" w:history="1">
              <w:r>
                <w:rPr>
                  <w:sz w:val="16"/>
                  <w:szCs w:val="16"/>
                </w:rPr>
                <w:t>CP-213227</w:t>
              </w:r>
            </w:hyperlink>
          </w:p>
        </w:tc>
        <w:tc>
          <w:tcPr>
            <w:tcW w:w="523" w:type="dxa"/>
            <w:shd w:val="solid" w:color="FFFFFF" w:fill="auto"/>
          </w:tcPr>
          <w:p w14:paraId="7549A0B9" w14:textId="77777777" w:rsidR="00A10B25" w:rsidRDefault="00A10B25">
            <w:pPr>
              <w:pStyle w:val="TAL"/>
              <w:rPr>
                <w:sz w:val="16"/>
                <w:szCs w:val="16"/>
              </w:rPr>
            </w:pPr>
            <w:r>
              <w:rPr>
                <w:sz w:val="16"/>
                <w:szCs w:val="16"/>
              </w:rPr>
              <w:t>0339</w:t>
            </w:r>
          </w:p>
        </w:tc>
        <w:tc>
          <w:tcPr>
            <w:tcW w:w="423" w:type="dxa"/>
            <w:shd w:val="solid" w:color="FFFFFF" w:fill="auto"/>
          </w:tcPr>
          <w:p w14:paraId="24A7DBF5"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6AE1E7E" w14:textId="77777777" w:rsidR="00A10B25" w:rsidRDefault="00A10B25">
            <w:pPr>
              <w:pStyle w:val="TAC"/>
              <w:rPr>
                <w:sz w:val="16"/>
                <w:szCs w:val="16"/>
              </w:rPr>
            </w:pPr>
            <w:r>
              <w:rPr>
                <w:sz w:val="16"/>
                <w:szCs w:val="16"/>
                <w:lang w:val="en-US"/>
              </w:rPr>
              <w:t>B</w:t>
            </w:r>
          </w:p>
        </w:tc>
        <w:tc>
          <w:tcPr>
            <w:tcW w:w="4899" w:type="dxa"/>
            <w:shd w:val="solid" w:color="FFFFFF" w:fill="auto"/>
          </w:tcPr>
          <w:p w14:paraId="70D4B577" w14:textId="77777777" w:rsidR="00A10B25" w:rsidRDefault="00A10B25">
            <w:pPr>
              <w:pStyle w:val="TAL"/>
              <w:rPr>
                <w:sz w:val="16"/>
                <w:szCs w:val="16"/>
              </w:rPr>
            </w:pPr>
            <w:r>
              <w:rPr>
                <w:sz w:val="16"/>
                <w:szCs w:val="16"/>
              </w:rPr>
              <w:t>Update of procedures and data type definition for Nnwdaf_MLModelProvision</w:t>
            </w:r>
          </w:p>
        </w:tc>
        <w:tc>
          <w:tcPr>
            <w:tcW w:w="706" w:type="dxa"/>
            <w:shd w:val="solid" w:color="FFFFFF" w:fill="auto"/>
          </w:tcPr>
          <w:p w14:paraId="2B429370" w14:textId="77777777" w:rsidR="00A10B25" w:rsidRDefault="00A10B25">
            <w:pPr>
              <w:pStyle w:val="TAC"/>
              <w:rPr>
                <w:sz w:val="16"/>
                <w:szCs w:val="16"/>
              </w:rPr>
            </w:pPr>
            <w:r>
              <w:rPr>
                <w:sz w:val="16"/>
                <w:szCs w:val="16"/>
              </w:rPr>
              <w:t>17.5.0</w:t>
            </w:r>
          </w:p>
        </w:tc>
      </w:tr>
      <w:tr w:rsidR="00A10B25" w14:paraId="0514E001" w14:textId="77777777">
        <w:tc>
          <w:tcPr>
            <w:tcW w:w="796" w:type="dxa"/>
            <w:shd w:val="solid" w:color="FFFFFF" w:fill="auto"/>
          </w:tcPr>
          <w:p w14:paraId="22FFF14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FD7C58C"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23C271C4" w14:textId="77777777" w:rsidR="00A10B25" w:rsidRDefault="00A10B25">
            <w:pPr>
              <w:pStyle w:val="TAC"/>
              <w:rPr>
                <w:sz w:val="16"/>
                <w:szCs w:val="16"/>
              </w:rPr>
            </w:pPr>
            <w:hyperlink r:id="rId162" w:history="1">
              <w:r>
                <w:rPr>
                  <w:sz w:val="16"/>
                  <w:szCs w:val="16"/>
                </w:rPr>
                <w:t>CP-213239</w:t>
              </w:r>
            </w:hyperlink>
          </w:p>
        </w:tc>
        <w:tc>
          <w:tcPr>
            <w:tcW w:w="523" w:type="dxa"/>
            <w:shd w:val="solid" w:color="FFFFFF" w:fill="auto"/>
          </w:tcPr>
          <w:p w14:paraId="759320E0" w14:textId="77777777" w:rsidR="00A10B25" w:rsidRDefault="00A10B25">
            <w:pPr>
              <w:pStyle w:val="TAL"/>
              <w:rPr>
                <w:sz w:val="16"/>
                <w:szCs w:val="16"/>
              </w:rPr>
            </w:pPr>
            <w:r>
              <w:rPr>
                <w:sz w:val="16"/>
                <w:szCs w:val="16"/>
              </w:rPr>
              <w:t>0340</w:t>
            </w:r>
          </w:p>
        </w:tc>
        <w:tc>
          <w:tcPr>
            <w:tcW w:w="423" w:type="dxa"/>
            <w:shd w:val="solid" w:color="FFFFFF" w:fill="auto"/>
          </w:tcPr>
          <w:p w14:paraId="286125D1"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1F480E5" w14:textId="77777777" w:rsidR="00A10B25" w:rsidRDefault="00A10B25">
            <w:pPr>
              <w:pStyle w:val="TAC"/>
              <w:rPr>
                <w:sz w:val="16"/>
                <w:szCs w:val="16"/>
              </w:rPr>
            </w:pPr>
            <w:r>
              <w:rPr>
                <w:sz w:val="16"/>
                <w:szCs w:val="16"/>
                <w:lang w:val="en-US"/>
              </w:rPr>
              <w:t>F</w:t>
            </w:r>
          </w:p>
        </w:tc>
        <w:tc>
          <w:tcPr>
            <w:tcW w:w="4899" w:type="dxa"/>
            <w:shd w:val="solid" w:color="FFFFFF" w:fill="auto"/>
          </w:tcPr>
          <w:p w14:paraId="0C018CFD" w14:textId="77777777" w:rsidR="00A10B25" w:rsidRDefault="00A10B25">
            <w:pPr>
              <w:pStyle w:val="TAL"/>
              <w:rPr>
                <w:sz w:val="16"/>
                <w:szCs w:val="16"/>
              </w:rPr>
            </w:pPr>
            <w:r>
              <w:rPr>
                <w:sz w:val="16"/>
                <w:szCs w:val="16"/>
              </w:rPr>
              <w:t>Aligning API URI with SBI template</w:t>
            </w:r>
          </w:p>
        </w:tc>
        <w:tc>
          <w:tcPr>
            <w:tcW w:w="706" w:type="dxa"/>
            <w:shd w:val="solid" w:color="FFFFFF" w:fill="auto"/>
          </w:tcPr>
          <w:p w14:paraId="328A7770" w14:textId="77777777" w:rsidR="00A10B25" w:rsidRDefault="00A10B25">
            <w:pPr>
              <w:pStyle w:val="TAC"/>
              <w:rPr>
                <w:sz w:val="16"/>
                <w:szCs w:val="16"/>
              </w:rPr>
            </w:pPr>
            <w:r>
              <w:rPr>
                <w:sz w:val="16"/>
                <w:szCs w:val="16"/>
              </w:rPr>
              <w:t>17.5.0</w:t>
            </w:r>
          </w:p>
        </w:tc>
      </w:tr>
      <w:tr w:rsidR="00A10B25" w14:paraId="65390348" w14:textId="77777777">
        <w:tc>
          <w:tcPr>
            <w:tcW w:w="796" w:type="dxa"/>
            <w:shd w:val="solid" w:color="FFFFFF" w:fill="auto"/>
          </w:tcPr>
          <w:p w14:paraId="0CE2317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5C8FCD43"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13C25DEE" w14:textId="77777777" w:rsidR="00A10B25" w:rsidRDefault="00A10B25">
            <w:pPr>
              <w:pStyle w:val="TAC"/>
              <w:rPr>
                <w:sz w:val="16"/>
                <w:szCs w:val="16"/>
              </w:rPr>
            </w:pPr>
            <w:hyperlink r:id="rId163" w:history="1">
              <w:r>
                <w:rPr>
                  <w:sz w:val="16"/>
                  <w:szCs w:val="16"/>
                </w:rPr>
                <w:t>CP-213228</w:t>
              </w:r>
            </w:hyperlink>
          </w:p>
        </w:tc>
        <w:tc>
          <w:tcPr>
            <w:tcW w:w="523" w:type="dxa"/>
            <w:shd w:val="solid" w:color="FFFFFF" w:fill="auto"/>
          </w:tcPr>
          <w:p w14:paraId="229A3E17" w14:textId="77777777" w:rsidR="00A10B25" w:rsidRDefault="00A10B25">
            <w:pPr>
              <w:pStyle w:val="TAL"/>
              <w:rPr>
                <w:sz w:val="16"/>
                <w:szCs w:val="16"/>
              </w:rPr>
            </w:pPr>
            <w:r>
              <w:rPr>
                <w:sz w:val="16"/>
                <w:szCs w:val="16"/>
              </w:rPr>
              <w:t>0341</w:t>
            </w:r>
          </w:p>
        </w:tc>
        <w:tc>
          <w:tcPr>
            <w:tcW w:w="423" w:type="dxa"/>
            <w:shd w:val="solid" w:color="FFFFFF" w:fill="auto"/>
          </w:tcPr>
          <w:p w14:paraId="124CCEE7" w14:textId="77777777" w:rsidR="00A10B25" w:rsidRDefault="00A10B25">
            <w:pPr>
              <w:pStyle w:val="TAR"/>
              <w:rPr>
                <w:sz w:val="16"/>
                <w:szCs w:val="16"/>
              </w:rPr>
            </w:pPr>
            <w:r>
              <w:rPr>
                <w:sz w:val="16"/>
                <w:szCs w:val="16"/>
                <w:lang w:eastAsia="zh-CN"/>
              </w:rPr>
              <w:t>3</w:t>
            </w:r>
          </w:p>
        </w:tc>
        <w:tc>
          <w:tcPr>
            <w:tcW w:w="423" w:type="dxa"/>
            <w:shd w:val="solid" w:color="FFFFFF" w:fill="auto"/>
          </w:tcPr>
          <w:p w14:paraId="27AA1F87" w14:textId="77777777" w:rsidR="00A10B25" w:rsidRDefault="00A10B25">
            <w:pPr>
              <w:pStyle w:val="TAC"/>
              <w:rPr>
                <w:sz w:val="16"/>
                <w:szCs w:val="16"/>
              </w:rPr>
            </w:pPr>
            <w:r>
              <w:rPr>
                <w:sz w:val="16"/>
                <w:szCs w:val="16"/>
                <w:lang w:val="en-US"/>
              </w:rPr>
              <w:t>B</w:t>
            </w:r>
          </w:p>
        </w:tc>
        <w:tc>
          <w:tcPr>
            <w:tcW w:w="4899" w:type="dxa"/>
            <w:shd w:val="solid" w:color="FFFFFF" w:fill="auto"/>
          </w:tcPr>
          <w:p w14:paraId="44884CF1" w14:textId="77777777" w:rsidR="00A10B25" w:rsidRDefault="00A10B25">
            <w:pPr>
              <w:pStyle w:val="TAL"/>
              <w:rPr>
                <w:sz w:val="16"/>
                <w:szCs w:val="16"/>
              </w:rPr>
            </w:pPr>
            <w:r>
              <w:rPr>
                <w:sz w:val="16"/>
                <w:szCs w:val="16"/>
              </w:rPr>
              <w:t xml:space="preserve">Support of SM </w:t>
            </w:r>
            <w:r>
              <w:rPr>
                <w:rFonts w:hint="eastAsia"/>
                <w:sz w:val="16"/>
                <w:szCs w:val="16"/>
              </w:rPr>
              <w:t>c</w:t>
            </w:r>
            <w:r>
              <w:rPr>
                <w:sz w:val="16"/>
                <w:szCs w:val="16"/>
              </w:rPr>
              <w:t>ongestion control experience analytics by Nnwdaf_AnalyticsInfo service</w:t>
            </w:r>
          </w:p>
        </w:tc>
        <w:tc>
          <w:tcPr>
            <w:tcW w:w="706" w:type="dxa"/>
            <w:shd w:val="solid" w:color="FFFFFF" w:fill="auto"/>
          </w:tcPr>
          <w:p w14:paraId="3BFC9DA8" w14:textId="77777777" w:rsidR="00A10B25" w:rsidRDefault="00A10B25">
            <w:pPr>
              <w:pStyle w:val="TAC"/>
              <w:rPr>
                <w:sz w:val="16"/>
                <w:szCs w:val="16"/>
              </w:rPr>
            </w:pPr>
            <w:r>
              <w:rPr>
                <w:sz w:val="16"/>
                <w:szCs w:val="16"/>
              </w:rPr>
              <w:t>17.5.0</w:t>
            </w:r>
          </w:p>
        </w:tc>
      </w:tr>
      <w:tr w:rsidR="00A10B25" w14:paraId="30FE4CB2" w14:textId="77777777">
        <w:tc>
          <w:tcPr>
            <w:tcW w:w="796" w:type="dxa"/>
            <w:shd w:val="solid" w:color="FFFFFF" w:fill="auto"/>
          </w:tcPr>
          <w:p w14:paraId="573FC56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4852855"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436920E4" w14:textId="77777777" w:rsidR="00A10B25" w:rsidRDefault="00A10B25">
            <w:pPr>
              <w:pStyle w:val="TAC"/>
              <w:rPr>
                <w:sz w:val="16"/>
                <w:szCs w:val="16"/>
              </w:rPr>
            </w:pPr>
            <w:hyperlink r:id="rId164" w:history="1">
              <w:r>
                <w:rPr>
                  <w:sz w:val="16"/>
                  <w:szCs w:val="16"/>
                </w:rPr>
                <w:t>CP-213228</w:t>
              </w:r>
            </w:hyperlink>
          </w:p>
        </w:tc>
        <w:tc>
          <w:tcPr>
            <w:tcW w:w="523" w:type="dxa"/>
            <w:shd w:val="solid" w:color="FFFFFF" w:fill="auto"/>
          </w:tcPr>
          <w:p w14:paraId="331FA6C4" w14:textId="77777777" w:rsidR="00A10B25" w:rsidRDefault="00A10B25">
            <w:pPr>
              <w:pStyle w:val="TAL"/>
              <w:rPr>
                <w:sz w:val="16"/>
                <w:szCs w:val="16"/>
              </w:rPr>
            </w:pPr>
            <w:r>
              <w:rPr>
                <w:sz w:val="16"/>
                <w:szCs w:val="16"/>
              </w:rPr>
              <w:t>0342</w:t>
            </w:r>
          </w:p>
        </w:tc>
        <w:tc>
          <w:tcPr>
            <w:tcW w:w="423" w:type="dxa"/>
            <w:shd w:val="solid" w:color="FFFFFF" w:fill="auto"/>
          </w:tcPr>
          <w:p w14:paraId="604D822C" w14:textId="77777777" w:rsidR="00A10B25" w:rsidRDefault="00A10B25">
            <w:pPr>
              <w:pStyle w:val="TAR"/>
              <w:rPr>
                <w:sz w:val="16"/>
                <w:szCs w:val="16"/>
              </w:rPr>
            </w:pPr>
          </w:p>
        </w:tc>
        <w:tc>
          <w:tcPr>
            <w:tcW w:w="423" w:type="dxa"/>
            <w:shd w:val="solid" w:color="FFFFFF" w:fill="auto"/>
          </w:tcPr>
          <w:p w14:paraId="1887AB14" w14:textId="77777777" w:rsidR="00A10B25" w:rsidRDefault="00A10B25">
            <w:pPr>
              <w:pStyle w:val="TAC"/>
              <w:rPr>
                <w:sz w:val="16"/>
                <w:szCs w:val="16"/>
              </w:rPr>
            </w:pPr>
            <w:r>
              <w:rPr>
                <w:sz w:val="16"/>
                <w:szCs w:val="16"/>
                <w:lang w:val="en-US"/>
              </w:rPr>
              <w:t>B</w:t>
            </w:r>
          </w:p>
        </w:tc>
        <w:tc>
          <w:tcPr>
            <w:tcW w:w="4899" w:type="dxa"/>
            <w:shd w:val="solid" w:color="FFFFFF" w:fill="auto"/>
          </w:tcPr>
          <w:p w14:paraId="27BAD09F" w14:textId="77777777" w:rsidR="00A10B25" w:rsidRDefault="00A10B25">
            <w:pPr>
              <w:pStyle w:val="TAL"/>
              <w:rPr>
                <w:sz w:val="16"/>
                <w:szCs w:val="16"/>
              </w:rPr>
            </w:pPr>
            <w:r>
              <w:rPr>
                <w:sz w:val="16"/>
                <w:szCs w:val="16"/>
              </w:rPr>
              <w:t>Adding DCCF as NWDAF events subscription NF service consumer</w:t>
            </w:r>
          </w:p>
        </w:tc>
        <w:tc>
          <w:tcPr>
            <w:tcW w:w="706" w:type="dxa"/>
            <w:shd w:val="solid" w:color="FFFFFF" w:fill="auto"/>
          </w:tcPr>
          <w:p w14:paraId="44E219A3" w14:textId="77777777" w:rsidR="00A10B25" w:rsidRDefault="00A10B25">
            <w:pPr>
              <w:pStyle w:val="TAC"/>
              <w:rPr>
                <w:sz w:val="16"/>
                <w:szCs w:val="16"/>
              </w:rPr>
            </w:pPr>
            <w:r>
              <w:rPr>
                <w:sz w:val="16"/>
                <w:szCs w:val="16"/>
              </w:rPr>
              <w:t>17.5.0</w:t>
            </w:r>
          </w:p>
        </w:tc>
      </w:tr>
      <w:tr w:rsidR="00A10B25" w14:paraId="26495845" w14:textId="77777777">
        <w:tc>
          <w:tcPr>
            <w:tcW w:w="796" w:type="dxa"/>
            <w:shd w:val="solid" w:color="FFFFFF" w:fill="auto"/>
          </w:tcPr>
          <w:p w14:paraId="26D1114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3D905E48"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667DBE4E" w14:textId="77777777" w:rsidR="00A10B25" w:rsidRDefault="00A10B25">
            <w:pPr>
              <w:pStyle w:val="TAC"/>
              <w:rPr>
                <w:sz w:val="16"/>
                <w:szCs w:val="16"/>
              </w:rPr>
            </w:pPr>
            <w:hyperlink r:id="rId165" w:history="1">
              <w:r>
                <w:rPr>
                  <w:sz w:val="16"/>
                  <w:szCs w:val="16"/>
                </w:rPr>
                <w:t>CP-213226</w:t>
              </w:r>
            </w:hyperlink>
          </w:p>
        </w:tc>
        <w:tc>
          <w:tcPr>
            <w:tcW w:w="523" w:type="dxa"/>
            <w:shd w:val="solid" w:color="FFFFFF" w:fill="auto"/>
          </w:tcPr>
          <w:p w14:paraId="00FAA17D" w14:textId="77777777" w:rsidR="00A10B25" w:rsidRDefault="00A10B25">
            <w:pPr>
              <w:pStyle w:val="TAL"/>
              <w:rPr>
                <w:sz w:val="16"/>
                <w:szCs w:val="16"/>
              </w:rPr>
            </w:pPr>
            <w:r>
              <w:rPr>
                <w:sz w:val="16"/>
                <w:szCs w:val="16"/>
              </w:rPr>
              <w:t>0344</w:t>
            </w:r>
          </w:p>
        </w:tc>
        <w:tc>
          <w:tcPr>
            <w:tcW w:w="423" w:type="dxa"/>
            <w:shd w:val="solid" w:color="FFFFFF" w:fill="auto"/>
          </w:tcPr>
          <w:p w14:paraId="2A11E226" w14:textId="77777777" w:rsidR="00A10B25" w:rsidRDefault="00A10B25">
            <w:pPr>
              <w:pStyle w:val="TAR"/>
              <w:rPr>
                <w:sz w:val="16"/>
                <w:szCs w:val="16"/>
              </w:rPr>
            </w:pPr>
          </w:p>
        </w:tc>
        <w:tc>
          <w:tcPr>
            <w:tcW w:w="423" w:type="dxa"/>
            <w:shd w:val="solid" w:color="FFFFFF" w:fill="auto"/>
          </w:tcPr>
          <w:p w14:paraId="0B1D85F4" w14:textId="77777777" w:rsidR="00A10B25" w:rsidRDefault="00A10B25">
            <w:pPr>
              <w:pStyle w:val="TAC"/>
              <w:rPr>
                <w:sz w:val="16"/>
                <w:szCs w:val="16"/>
              </w:rPr>
            </w:pPr>
            <w:r>
              <w:rPr>
                <w:sz w:val="16"/>
                <w:szCs w:val="16"/>
                <w:lang w:val="en-US"/>
              </w:rPr>
              <w:t>A</w:t>
            </w:r>
          </w:p>
        </w:tc>
        <w:tc>
          <w:tcPr>
            <w:tcW w:w="4899" w:type="dxa"/>
            <w:shd w:val="solid" w:color="FFFFFF" w:fill="auto"/>
          </w:tcPr>
          <w:p w14:paraId="06A89ED3" w14:textId="77777777" w:rsidR="00A10B25" w:rsidRDefault="00A10B25">
            <w:pPr>
              <w:pStyle w:val="TAL"/>
              <w:rPr>
                <w:sz w:val="16"/>
                <w:szCs w:val="16"/>
              </w:rPr>
            </w:pPr>
            <w:r>
              <w:rPr>
                <w:sz w:val="16"/>
                <w:szCs w:val="16"/>
              </w:rPr>
              <w:t>Remove QoS sustainability as analytics for PCF</w:t>
            </w:r>
          </w:p>
        </w:tc>
        <w:tc>
          <w:tcPr>
            <w:tcW w:w="706" w:type="dxa"/>
            <w:shd w:val="solid" w:color="FFFFFF" w:fill="auto"/>
          </w:tcPr>
          <w:p w14:paraId="0DE1B0D3" w14:textId="77777777" w:rsidR="00A10B25" w:rsidRDefault="00A10B25">
            <w:pPr>
              <w:pStyle w:val="TAC"/>
              <w:rPr>
                <w:sz w:val="16"/>
                <w:szCs w:val="16"/>
              </w:rPr>
            </w:pPr>
            <w:r>
              <w:rPr>
                <w:sz w:val="16"/>
                <w:szCs w:val="16"/>
              </w:rPr>
              <w:t>17.5.0</w:t>
            </w:r>
          </w:p>
        </w:tc>
      </w:tr>
      <w:tr w:rsidR="00A10B25" w14:paraId="140044ED" w14:textId="77777777">
        <w:tc>
          <w:tcPr>
            <w:tcW w:w="796" w:type="dxa"/>
            <w:shd w:val="solid" w:color="FFFFFF" w:fill="auto"/>
          </w:tcPr>
          <w:p w14:paraId="66CC277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112107A"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6D0EE232" w14:textId="77777777" w:rsidR="00A10B25" w:rsidRDefault="00A10B25">
            <w:pPr>
              <w:pStyle w:val="TAC"/>
              <w:rPr>
                <w:sz w:val="16"/>
                <w:szCs w:val="16"/>
              </w:rPr>
            </w:pPr>
            <w:hyperlink r:id="rId166" w:history="1">
              <w:r>
                <w:rPr>
                  <w:sz w:val="16"/>
                  <w:szCs w:val="16"/>
                </w:rPr>
                <w:t>CP-213228</w:t>
              </w:r>
            </w:hyperlink>
          </w:p>
        </w:tc>
        <w:tc>
          <w:tcPr>
            <w:tcW w:w="523" w:type="dxa"/>
            <w:shd w:val="solid" w:color="FFFFFF" w:fill="auto"/>
          </w:tcPr>
          <w:p w14:paraId="6F089C1C" w14:textId="77777777" w:rsidR="00A10B25" w:rsidRDefault="00A10B25">
            <w:pPr>
              <w:pStyle w:val="TAL"/>
              <w:rPr>
                <w:sz w:val="16"/>
                <w:szCs w:val="16"/>
              </w:rPr>
            </w:pPr>
            <w:r>
              <w:rPr>
                <w:sz w:val="16"/>
                <w:szCs w:val="16"/>
              </w:rPr>
              <w:t>0347</w:t>
            </w:r>
          </w:p>
        </w:tc>
        <w:tc>
          <w:tcPr>
            <w:tcW w:w="423" w:type="dxa"/>
            <w:shd w:val="solid" w:color="FFFFFF" w:fill="auto"/>
          </w:tcPr>
          <w:p w14:paraId="3859D96E" w14:textId="77777777" w:rsidR="00A10B25" w:rsidRDefault="00A10B25">
            <w:pPr>
              <w:pStyle w:val="TAR"/>
              <w:rPr>
                <w:sz w:val="16"/>
                <w:szCs w:val="16"/>
              </w:rPr>
            </w:pPr>
            <w:r>
              <w:rPr>
                <w:sz w:val="16"/>
                <w:szCs w:val="16"/>
                <w:lang w:eastAsia="zh-CN"/>
              </w:rPr>
              <w:t>1</w:t>
            </w:r>
          </w:p>
        </w:tc>
        <w:tc>
          <w:tcPr>
            <w:tcW w:w="423" w:type="dxa"/>
            <w:shd w:val="solid" w:color="FFFFFF" w:fill="auto"/>
          </w:tcPr>
          <w:p w14:paraId="69F72328" w14:textId="77777777" w:rsidR="00A10B25" w:rsidRDefault="00A10B25">
            <w:pPr>
              <w:pStyle w:val="TAC"/>
              <w:rPr>
                <w:sz w:val="16"/>
                <w:szCs w:val="16"/>
              </w:rPr>
            </w:pPr>
            <w:r>
              <w:rPr>
                <w:sz w:val="16"/>
                <w:szCs w:val="16"/>
                <w:lang w:val="en-US"/>
              </w:rPr>
              <w:t>B</w:t>
            </w:r>
          </w:p>
        </w:tc>
        <w:tc>
          <w:tcPr>
            <w:tcW w:w="4899" w:type="dxa"/>
            <w:shd w:val="solid" w:color="FFFFFF" w:fill="auto"/>
          </w:tcPr>
          <w:p w14:paraId="490C9956" w14:textId="77777777" w:rsidR="00A10B25" w:rsidRDefault="00A10B25">
            <w:pPr>
              <w:pStyle w:val="TAL"/>
              <w:rPr>
                <w:sz w:val="16"/>
                <w:szCs w:val="16"/>
              </w:rPr>
            </w:pPr>
            <w:r>
              <w:rPr>
                <w:sz w:val="16"/>
                <w:szCs w:val="16"/>
                <w:lang w:val="en-US" w:eastAsia="zh-CN"/>
              </w:rPr>
              <w:t>Support of DN performance analytics</w:t>
            </w:r>
          </w:p>
        </w:tc>
        <w:tc>
          <w:tcPr>
            <w:tcW w:w="706" w:type="dxa"/>
            <w:shd w:val="solid" w:color="FFFFFF" w:fill="auto"/>
          </w:tcPr>
          <w:p w14:paraId="03634FFD" w14:textId="77777777" w:rsidR="00A10B25" w:rsidRDefault="00A10B25">
            <w:pPr>
              <w:pStyle w:val="TAC"/>
              <w:rPr>
                <w:sz w:val="16"/>
                <w:szCs w:val="16"/>
              </w:rPr>
            </w:pPr>
            <w:r>
              <w:rPr>
                <w:sz w:val="16"/>
                <w:szCs w:val="16"/>
              </w:rPr>
              <w:t>17.5.0</w:t>
            </w:r>
          </w:p>
        </w:tc>
      </w:tr>
      <w:tr w:rsidR="00A10B25" w14:paraId="7D270825" w14:textId="77777777">
        <w:tc>
          <w:tcPr>
            <w:tcW w:w="796" w:type="dxa"/>
            <w:shd w:val="solid" w:color="FFFFFF" w:fill="auto"/>
          </w:tcPr>
          <w:p w14:paraId="6960EB6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46347855"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65F93682" w14:textId="77777777" w:rsidR="00A10B25" w:rsidRDefault="00A10B25">
            <w:pPr>
              <w:pStyle w:val="TAC"/>
              <w:rPr>
                <w:sz w:val="16"/>
                <w:szCs w:val="16"/>
              </w:rPr>
            </w:pPr>
            <w:hyperlink r:id="rId167" w:history="1">
              <w:r>
                <w:rPr>
                  <w:sz w:val="16"/>
                  <w:szCs w:val="16"/>
                </w:rPr>
                <w:t>CP-213228</w:t>
              </w:r>
            </w:hyperlink>
          </w:p>
        </w:tc>
        <w:tc>
          <w:tcPr>
            <w:tcW w:w="523" w:type="dxa"/>
            <w:shd w:val="solid" w:color="FFFFFF" w:fill="auto"/>
          </w:tcPr>
          <w:p w14:paraId="24AD0D11" w14:textId="77777777" w:rsidR="00A10B25" w:rsidRDefault="00A10B25">
            <w:pPr>
              <w:pStyle w:val="TAL"/>
              <w:rPr>
                <w:sz w:val="16"/>
                <w:szCs w:val="16"/>
              </w:rPr>
            </w:pPr>
            <w:r>
              <w:rPr>
                <w:sz w:val="16"/>
                <w:szCs w:val="16"/>
              </w:rPr>
              <w:t>0348</w:t>
            </w:r>
          </w:p>
        </w:tc>
        <w:tc>
          <w:tcPr>
            <w:tcW w:w="423" w:type="dxa"/>
            <w:shd w:val="solid" w:color="FFFFFF" w:fill="auto"/>
          </w:tcPr>
          <w:p w14:paraId="1DDB17F9" w14:textId="77777777" w:rsidR="00A10B25" w:rsidRDefault="00A10B25">
            <w:pPr>
              <w:pStyle w:val="TAR"/>
              <w:rPr>
                <w:sz w:val="16"/>
                <w:szCs w:val="16"/>
              </w:rPr>
            </w:pPr>
            <w:r>
              <w:rPr>
                <w:sz w:val="16"/>
                <w:szCs w:val="16"/>
                <w:lang w:eastAsia="zh-CN"/>
              </w:rPr>
              <w:t>1</w:t>
            </w:r>
          </w:p>
        </w:tc>
        <w:tc>
          <w:tcPr>
            <w:tcW w:w="423" w:type="dxa"/>
            <w:shd w:val="solid" w:color="FFFFFF" w:fill="auto"/>
          </w:tcPr>
          <w:p w14:paraId="79337A47" w14:textId="77777777" w:rsidR="00A10B25" w:rsidRDefault="00A10B25">
            <w:pPr>
              <w:pStyle w:val="TAC"/>
              <w:rPr>
                <w:sz w:val="16"/>
                <w:szCs w:val="16"/>
              </w:rPr>
            </w:pPr>
            <w:r>
              <w:rPr>
                <w:sz w:val="16"/>
                <w:szCs w:val="16"/>
                <w:lang w:val="en-US"/>
              </w:rPr>
              <w:t>B</w:t>
            </w:r>
          </w:p>
        </w:tc>
        <w:tc>
          <w:tcPr>
            <w:tcW w:w="4899" w:type="dxa"/>
            <w:shd w:val="solid" w:color="FFFFFF" w:fill="auto"/>
          </w:tcPr>
          <w:p w14:paraId="46E6F94B" w14:textId="77777777" w:rsidR="00A10B25" w:rsidRDefault="00A10B25">
            <w:pPr>
              <w:pStyle w:val="TAL"/>
              <w:rPr>
                <w:sz w:val="16"/>
                <w:szCs w:val="16"/>
              </w:rPr>
            </w:pPr>
            <w:r>
              <w:rPr>
                <w:sz w:val="16"/>
                <w:szCs w:val="16"/>
                <w:lang w:val="en-US" w:eastAsia="zh-CN"/>
              </w:rPr>
              <w:t>Define the list of analytics subsets in the request</w:t>
            </w:r>
          </w:p>
        </w:tc>
        <w:tc>
          <w:tcPr>
            <w:tcW w:w="706" w:type="dxa"/>
            <w:shd w:val="solid" w:color="FFFFFF" w:fill="auto"/>
          </w:tcPr>
          <w:p w14:paraId="25F683B2" w14:textId="77777777" w:rsidR="00A10B25" w:rsidRDefault="00A10B25">
            <w:pPr>
              <w:pStyle w:val="TAC"/>
              <w:rPr>
                <w:sz w:val="16"/>
                <w:szCs w:val="16"/>
              </w:rPr>
            </w:pPr>
            <w:r>
              <w:rPr>
                <w:sz w:val="16"/>
                <w:szCs w:val="16"/>
              </w:rPr>
              <w:t>17.5.0</w:t>
            </w:r>
          </w:p>
        </w:tc>
      </w:tr>
      <w:tr w:rsidR="00A10B25" w14:paraId="01645E19" w14:textId="77777777">
        <w:tc>
          <w:tcPr>
            <w:tcW w:w="796" w:type="dxa"/>
            <w:shd w:val="solid" w:color="FFFFFF" w:fill="auto"/>
          </w:tcPr>
          <w:p w14:paraId="5D70746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3E2E1165"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085E2D35" w14:textId="77777777" w:rsidR="00A10B25" w:rsidRDefault="00A10B25">
            <w:pPr>
              <w:pStyle w:val="TAC"/>
              <w:rPr>
                <w:sz w:val="16"/>
                <w:szCs w:val="16"/>
              </w:rPr>
            </w:pPr>
            <w:hyperlink r:id="rId168" w:history="1">
              <w:r>
                <w:rPr>
                  <w:sz w:val="16"/>
                  <w:szCs w:val="16"/>
                </w:rPr>
                <w:t>CP-213228</w:t>
              </w:r>
            </w:hyperlink>
          </w:p>
        </w:tc>
        <w:tc>
          <w:tcPr>
            <w:tcW w:w="523" w:type="dxa"/>
            <w:shd w:val="solid" w:color="FFFFFF" w:fill="auto"/>
          </w:tcPr>
          <w:p w14:paraId="1FF8F1BE" w14:textId="77777777" w:rsidR="00A10B25" w:rsidRDefault="00A10B25">
            <w:pPr>
              <w:pStyle w:val="TAL"/>
              <w:rPr>
                <w:sz w:val="16"/>
                <w:szCs w:val="16"/>
              </w:rPr>
            </w:pPr>
            <w:r>
              <w:rPr>
                <w:sz w:val="16"/>
                <w:szCs w:val="16"/>
              </w:rPr>
              <w:t>0349</w:t>
            </w:r>
          </w:p>
        </w:tc>
        <w:tc>
          <w:tcPr>
            <w:tcW w:w="423" w:type="dxa"/>
            <w:shd w:val="solid" w:color="FFFFFF" w:fill="auto"/>
          </w:tcPr>
          <w:p w14:paraId="2C5ED54D" w14:textId="77777777" w:rsidR="00A10B25" w:rsidRDefault="00A10B25">
            <w:pPr>
              <w:pStyle w:val="TAR"/>
              <w:rPr>
                <w:sz w:val="16"/>
                <w:szCs w:val="16"/>
              </w:rPr>
            </w:pPr>
            <w:r>
              <w:rPr>
                <w:sz w:val="16"/>
                <w:szCs w:val="16"/>
                <w:lang w:eastAsia="zh-CN"/>
              </w:rPr>
              <w:t>1</w:t>
            </w:r>
          </w:p>
        </w:tc>
        <w:tc>
          <w:tcPr>
            <w:tcW w:w="423" w:type="dxa"/>
            <w:shd w:val="solid" w:color="FFFFFF" w:fill="auto"/>
          </w:tcPr>
          <w:p w14:paraId="4D29A531" w14:textId="77777777" w:rsidR="00A10B25" w:rsidRDefault="00A10B25">
            <w:pPr>
              <w:pStyle w:val="TAC"/>
              <w:rPr>
                <w:sz w:val="16"/>
                <w:szCs w:val="16"/>
              </w:rPr>
            </w:pPr>
            <w:r>
              <w:rPr>
                <w:sz w:val="16"/>
                <w:szCs w:val="16"/>
                <w:lang w:val="en-US"/>
              </w:rPr>
              <w:t>B</w:t>
            </w:r>
          </w:p>
        </w:tc>
        <w:tc>
          <w:tcPr>
            <w:tcW w:w="4899" w:type="dxa"/>
            <w:shd w:val="solid" w:color="FFFFFF" w:fill="auto"/>
          </w:tcPr>
          <w:p w14:paraId="51B327CF" w14:textId="77777777" w:rsidR="00A10B25" w:rsidRDefault="00A10B25">
            <w:pPr>
              <w:pStyle w:val="TAL"/>
              <w:rPr>
                <w:sz w:val="16"/>
                <w:szCs w:val="16"/>
              </w:rPr>
            </w:pPr>
            <w:r>
              <w:rPr>
                <w:sz w:val="16"/>
                <w:szCs w:val="16"/>
                <w:lang w:val="en-US" w:eastAsia="zh-CN"/>
              </w:rPr>
              <w:t>Add load level related information for NSI_LOAD_LEVEL event</w:t>
            </w:r>
          </w:p>
        </w:tc>
        <w:tc>
          <w:tcPr>
            <w:tcW w:w="706" w:type="dxa"/>
            <w:shd w:val="solid" w:color="FFFFFF" w:fill="auto"/>
          </w:tcPr>
          <w:p w14:paraId="610B1653" w14:textId="77777777" w:rsidR="00A10B25" w:rsidRDefault="00A10B25">
            <w:pPr>
              <w:pStyle w:val="TAC"/>
              <w:rPr>
                <w:sz w:val="16"/>
                <w:szCs w:val="16"/>
              </w:rPr>
            </w:pPr>
            <w:r>
              <w:rPr>
                <w:sz w:val="16"/>
                <w:szCs w:val="16"/>
              </w:rPr>
              <w:t>17.5.0</w:t>
            </w:r>
          </w:p>
        </w:tc>
      </w:tr>
      <w:tr w:rsidR="00A10B25" w14:paraId="7C0908D4" w14:textId="77777777">
        <w:tc>
          <w:tcPr>
            <w:tcW w:w="796" w:type="dxa"/>
            <w:shd w:val="solid" w:color="FFFFFF" w:fill="auto"/>
          </w:tcPr>
          <w:p w14:paraId="027AA6C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365D9F0D"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40AB8AE0" w14:textId="77777777" w:rsidR="00A10B25" w:rsidRDefault="00A10B25">
            <w:pPr>
              <w:pStyle w:val="TAC"/>
              <w:rPr>
                <w:sz w:val="16"/>
                <w:szCs w:val="16"/>
              </w:rPr>
            </w:pPr>
            <w:hyperlink r:id="rId169" w:history="1">
              <w:r>
                <w:rPr>
                  <w:sz w:val="16"/>
                  <w:szCs w:val="16"/>
                </w:rPr>
                <w:t>CP-213228</w:t>
              </w:r>
            </w:hyperlink>
          </w:p>
        </w:tc>
        <w:tc>
          <w:tcPr>
            <w:tcW w:w="523" w:type="dxa"/>
            <w:shd w:val="solid" w:color="FFFFFF" w:fill="auto"/>
          </w:tcPr>
          <w:p w14:paraId="0FFB9A1B" w14:textId="77777777" w:rsidR="00A10B25" w:rsidRDefault="00A10B25">
            <w:pPr>
              <w:pStyle w:val="TAL"/>
              <w:rPr>
                <w:sz w:val="16"/>
                <w:szCs w:val="16"/>
              </w:rPr>
            </w:pPr>
            <w:r>
              <w:rPr>
                <w:sz w:val="16"/>
                <w:szCs w:val="16"/>
              </w:rPr>
              <w:t>0350</w:t>
            </w:r>
          </w:p>
        </w:tc>
        <w:tc>
          <w:tcPr>
            <w:tcW w:w="423" w:type="dxa"/>
            <w:shd w:val="solid" w:color="FFFFFF" w:fill="auto"/>
          </w:tcPr>
          <w:p w14:paraId="4253B269" w14:textId="77777777" w:rsidR="00A10B25" w:rsidRDefault="00A10B25">
            <w:pPr>
              <w:pStyle w:val="TAR"/>
              <w:rPr>
                <w:sz w:val="16"/>
                <w:szCs w:val="16"/>
              </w:rPr>
            </w:pPr>
          </w:p>
        </w:tc>
        <w:tc>
          <w:tcPr>
            <w:tcW w:w="423" w:type="dxa"/>
            <w:shd w:val="solid" w:color="FFFFFF" w:fill="auto"/>
          </w:tcPr>
          <w:p w14:paraId="1FF02D41" w14:textId="77777777" w:rsidR="00A10B25" w:rsidRDefault="00A10B25">
            <w:pPr>
              <w:pStyle w:val="TAC"/>
              <w:rPr>
                <w:sz w:val="16"/>
                <w:szCs w:val="16"/>
              </w:rPr>
            </w:pPr>
            <w:r>
              <w:rPr>
                <w:sz w:val="16"/>
                <w:szCs w:val="16"/>
                <w:lang w:val="en-US"/>
              </w:rPr>
              <w:t>B</w:t>
            </w:r>
          </w:p>
        </w:tc>
        <w:tc>
          <w:tcPr>
            <w:tcW w:w="4899" w:type="dxa"/>
            <w:shd w:val="solid" w:color="FFFFFF" w:fill="auto"/>
          </w:tcPr>
          <w:p w14:paraId="5C04D88C" w14:textId="77777777" w:rsidR="00A10B25" w:rsidRDefault="00A10B25">
            <w:pPr>
              <w:pStyle w:val="TAL"/>
              <w:rPr>
                <w:sz w:val="16"/>
                <w:szCs w:val="16"/>
              </w:rPr>
            </w:pPr>
            <w:r>
              <w:rPr>
                <w:sz w:val="16"/>
                <w:szCs w:val="16"/>
                <w:lang w:val="en-US" w:eastAsia="zh-CN"/>
              </w:rPr>
              <w:t>Add load level related information for LOAD_LEVEL_INFORMATION event</w:t>
            </w:r>
          </w:p>
        </w:tc>
        <w:tc>
          <w:tcPr>
            <w:tcW w:w="706" w:type="dxa"/>
            <w:shd w:val="solid" w:color="FFFFFF" w:fill="auto"/>
          </w:tcPr>
          <w:p w14:paraId="40F46D11" w14:textId="77777777" w:rsidR="00A10B25" w:rsidRDefault="00A10B25">
            <w:pPr>
              <w:pStyle w:val="TAC"/>
              <w:rPr>
                <w:sz w:val="16"/>
                <w:szCs w:val="16"/>
              </w:rPr>
            </w:pPr>
            <w:r>
              <w:rPr>
                <w:sz w:val="16"/>
                <w:szCs w:val="16"/>
              </w:rPr>
              <w:t>17.5.0</w:t>
            </w:r>
          </w:p>
        </w:tc>
      </w:tr>
      <w:tr w:rsidR="00A10B25" w14:paraId="434412A7" w14:textId="77777777">
        <w:tc>
          <w:tcPr>
            <w:tcW w:w="796" w:type="dxa"/>
            <w:shd w:val="solid" w:color="FFFFFF" w:fill="auto"/>
          </w:tcPr>
          <w:p w14:paraId="01A49D3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232EEAC5"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59F1411C" w14:textId="77777777" w:rsidR="00A10B25" w:rsidRDefault="00A10B25">
            <w:pPr>
              <w:pStyle w:val="TAC"/>
              <w:rPr>
                <w:sz w:val="16"/>
                <w:szCs w:val="16"/>
              </w:rPr>
            </w:pPr>
            <w:hyperlink r:id="rId170" w:history="1">
              <w:r>
                <w:rPr>
                  <w:sz w:val="16"/>
                  <w:szCs w:val="16"/>
                </w:rPr>
                <w:t>CP-213244</w:t>
              </w:r>
            </w:hyperlink>
          </w:p>
        </w:tc>
        <w:tc>
          <w:tcPr>
            <w:tcW w:w="523" w:type="dxa"/>
            <w:shd w:val="solid" w:color="FFFFFF" w:fill="auto"/>
          </w:tcPr>
          <w:p w14:paraId="175BC7B2" w14:textId="77777777" w:rsidR="00A10B25" w:rsidRDefault="00A10B25">
            <w:pPr>
              <w:pStyle w:val="TAL"/>
              <w:rPr>
                <w:sz w:val="16"/>
                <w:szCs w:val="16"/>
              </w:rPr>
            </w:pPr>
            <w:r>
              <w:rPr>
                <w:sz w:val="16"/>
                <w:szCs w:val="16"/>
              </w:rPr>
              <w:t>0352</w:t>
            </w:r>
          </w:p>
        </w:tc>
        <w:tc>
          <w:tcPr>
            <w:tcW w:w="423" w:type="dxa"/>
            <w:shd w:val="solid" w:color="FFFFFF" w:fill="auto"/>
          </w:tcPr>
          <w:p w14:paraId="3708C4D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6744964" w14:textId="77777777" w:rsidR="00A10B25" w:rsidRDefault="00A10B25">
            <w:pPr>
              <w:pStyle w:val="TAC"/>
              <w:rPr>
                <w:sz w:val="16"/>
                <w:szCs w:val="16"/>
              </w:rPr>
            </w:pPr>
            <w:r>
              <w:rPr>
                <w:sz w:val="16"/>
                <w:szCs w:val="16"/>
                <w:lang w:val="en-US"/>
              </w:rPr>
              <w:t>F</w:t>
            </w:r>
          </w:p>
        </w:tc>
        <w:tc>
          <w:tcPr>
            <w:tcW w:w="4899" w:type="dxa"/>
            <w:shd w:val="solid" w:color="FFFFFF" w:fill="auto"/>
          </w:tcPr>
          <w:p w14:paraId="163060A4" w14:textId="77777777" w:rsidR="00A10B25" w:rsidRDefault="00A10B25">
            <w:pPr>
              <w:pStyle w:val="TAL"/>
              <w:rPr>
                <w:sz w:val="16"/>
                <w:szCs w:val="16"/>
              </w:rPr>
            </w:pPr>
            <w:r>
              <w:rPr>
                <w:bCs/>
                <w:sz w:val="16"/>
                <w:szCs w:val="16"/>
                <w:lang w:val="en-US" w:eastAsia="zh-CN"/>
              </w:rPr>
              <w:t>Corrections to EventReportingRequirement</w:t>
            </w:r>
          </w:p>
        </w:tc>
        <w:tc>
          <w:tcPr>
            <w:tcW w:w="706" w:type="dxa"/>
            <w:shd w:val="solid" w:color="FFFFFF" w:fill="auto"/>
          </w:tcPr>
          <w:p w14:paraId="58F828DA" w14:textId="77777777" w:rsidR="00A10B25" w:rsidRDefault="00A10B25">
            <w:pPr>
              <w:pStyle w:val="TAC"/>
              <w:rPr>
                <w:sz w:val="16"/>
                <w:szCs w:val="16"/>
              </w:rPr>
            </w:pPr>
            <w:r>
              <w:rPr>
                <w:sz w:val="16"/>
                <w:szCs w:val="16"/>
              </w:rPr>
              <w:t>17.5.0</w:t>
            </w:r>
          </w:p>
        </w:tc>
      </w:tr>
      <w:tr w:rsidR="00A10B25" w14:paraId="306C743F" w14:textId="77777777">
        <w:tc>
          <w:tcPr>
            <w:tcW w:w="796" w:type="dxa"/>
            <w:shd w:val="solid" w:color="FFFFFF" w:fill="auto"/>
          </w:tcPr>
          <w:p w14:paraId="258C7A3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193A73BE"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727703FB" w14:textId="77777777" w:rsidR="00A10B25" w:rsidRDefault="00A10B25">
            <w:pPr>
              <w:pStyle w:val="TAC"/>
              <w:rPr>
                <w:sz w:val="16"/>
                <w:szCs w:val="16"/>
              </w:rPr>
            </w:pPr>
            <w:hyperlink r:id="rId171" w:history="1">
              <w:r>
                <w:rPr>
                  <w:sz w:val="16"/>
                  <w:szCs w:val="16"/>
                </w:rPr>
                <w:t>CP-213228</w:t>
              </w:r>
            </w:hyperlink>
          </w:p>
        </w:tc>
        <w:tc>
          <w:tcPr>
            <w:tcW w:w="523" w:type="dxa"/>
            <w:shd w:val="solid" w:color="FFFFFF" w:fill="auto"/>
          </w:tcPr>
          <w:p w14:paraId="5AE0AAB8" w14:textId="77777777" w:rsidR="00A10B25" w:rsidRDefault="00A10B25">
            <w:pPr>
              <w:pStyle w:val="TAL"/>
              <w:rPr>
                <w:sz w:val="16"/>
                <w:szCs w:val="16"/>
              </w:rPr>
            </w:pPr>
            <w:r>
              <w:rPr>
                <w:sz w:val="16"/>
                <w:szCs w:val="16"/>
              </w:rPr>
              <w:t>0353</w:t>
            </w:r>
          </w:p>
        </w:tc>
        <w:tc>
          <w:tcPr>
            <w:tcW w:w="423" w:type="dxa"/>
            <w:shd w:val="solid" w:color="FFFFFF" w:fill="auto"/>
          </w:tcPr>
          <w:p w14:paraId="78023C7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8D6A974" w14:textId="77777777" w:rsidR="00A10B25" w:rsidRDefault="00A10B25">
            <w:pPr>
              <w:pStyle w:val="TAC"/>
              <w:rPr>
                <w:sz w:val="16"/>
                <w:szCs w:val="16"/>
              </w:rPr>
            </w:pPr>
            <w:r>
              <w:rPr>
                <w:sz w:val="16"/>
                <w:szCs w:val="16"/>
                <w:lang w:val="en-US"/>
              </w:rPr>
              <w:t>B</w:t>
            </w:r>
          </w:p>
        </w:tc>
        <w:tc>
          <w:tcPr>
            <w:tcW w:w="4899" w:type="dxa"/>
            <w:shd w:val="solid" w:color="FFFFFF" w:fill="auto"/>
          </w:tcPr>
          <w:p w14:paraId="2E2F834F" w14:textId="77777777" w:rsidR="00A10B25" w:rsidRDefault="00A10B25">
            <w:pPr>
              <w:pStyle w:val="TAL"/>
              <w:rPr>
                <w:sz w:val="16"/>
                <w:szCs w:val="16"/>
              </w:rPr>
            </w:pPr>
            <w:r>
              <w:rPr>
                <w:sz w:val="16"/>
                <w:szCs w:val="16"/>
                <w:lang w:val="en-US" w:eastAsia="zh-CN"/>
              </w:rPr>
              <w:t>Add consumer NF information in Subscription</w:t>
            </w:r>
          </w:p>
        </w:tc>
        <w:tc>
          <w:tcPr>
            <w:tcW w:w="706" w:type="dxa"/>
            <w:shd w:val="solid" w:color="FFFFFF" w:fill="auto"/>
          </w:tcPr>
          <w:p w14:paraId="6FCD4211" w14:textId="77777777" w:rsidR="00A10B25" w:rsidRDefault="00A10B25">
            <w:pPr>
              <w:pStyle w:val="TAC"/>
              <w:rPr>
                <w:sz w:val="16"/>
                <w:szCs w:val="16"/>
              </w:rPr>
            </w:pPr>
            <w:r>
              <w:rPr>
                <w:sz w:val="16"/>
                <w:szCs w:val="16"/>
              </w:rPr>
              <w:t>17.5.0</w:t>
            </w:r>
          </w:p>
        </w:tc>
      </w:tr>
      <w:tr w:rsidR="00A10B25" w14:paraId="1D6624CA" w14:textId="77777777">
        <w:tc>
          <w:tcPr>
            <w:tcW w:w="796" w:type="dxa"/>
            <w:shd w:val="solid" w:color="FFFFFF" w:fill="auto"/>
          </w:tcPr>
          <w:p w14:paraId="4BB4684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6311725D"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2F5D3C51" w14:textId="77777777" w:rsidR="00A10B25" w:rsidRDefault="00A10B25">
            <w:pPr>
              <w:pStyle w:val="TAC"/>
              <w:rPr>
                <w:sz w:val="16"/>
                <w:szCs w:val="16"/>
              </w:rPr>
            </w:pPr>
            <w:hyperlink r:id="rId172" w:history="1">
              <w:r>
                <w:rPr>
                  <w:sz w:val="16"/>
                  <w:szCs w:val="16"/>
                </w:rPr>
                <w:t>CP-213228</w:t>
              </w:r>
            </w:hyperlink>
          </w:p>
        </w:tc>
        <w:tc>
          <w:tcPr>
            <w:tcW w:w="523" w:type="dxa"/>
            <w:shd w:val="solid" w:color="FFFFFF" w:fill="auto"/>
          </w:tcPr>
          <w:p w14:paraId="26DFC3CC" w14:textId="77777777" w:rsidR="00A10B25" w:rsidRDefault="00A10B25">
            <w:pPr>
              <w:pStyle w:val="TAL"/>
              <w:rPr>
                <w:sz w:val="16"/>
                <w:szCs w:val="16"/>
              </w:rPr>
            </w:pPr>
            <w:r>
              <w:rPr>
                <w:sz w:val="16"/>
                <w:szCs w:val="16"/>
              </w:rPr>
              <w:t>0354</w:t>
            </w:r>
          </w:p>
        </w:tc>
        <w:tc>
          <w:tcPr>
            <w:tcW w:w="423" w:type="dxa"/>
            <w:shd w:val="solid" w:color="FFFFFF" w:fill="auto"/>
          </w:tcPr>
          <w:p w14:paraId="716730D0" w14:textId="77777777" w:rsidR="00A10B25" w:rsidRDefault="00A10B25">
            <w:pPr>
              <w:pStyle w:val="TAR"/>
              <w:rPr>
                <w:sz w:val="16"/>
                <w:szCs w:val="16"/>
              </w:rPr>
            </w:pPr>
          </w:p>
        </w:tc>
        <w:tc>
          <w:tcPr>
            <w:tcW w:w="423" w:type="dxa"/>
            <w:shd w:val="solid" w:color="FFFFFF" w:fill="auto"/>
          </w:tcPr>
          <w:p w14:paraId="1EC89540" w14:textId="77777777" w:rsidR="00A10B25" w:rsidRDefault="00A10B25">
            <w:pPr>
              <w:pStyle w:val="TAC"/>
              <w:rPr>
                <w:sz w:val="16"/>
                <w:szCs w:val="16"/>
              </w:rPr>
            </w:pPr>
            <w:r>
              <w:rPr>
                <w:sz w:val="16"/>
                <w:szCs w:val="16"/>
                <w:lang w:val="en-US"/>
              </w:rPr>
              <w:t>B</w:t>
            </w:r>
          </w:p>
        </w:tc>
        <w:tc>
          <w:tcPr>
            <w:tcW w:w="4899" w:type="dxa"/>
            <w:shd w:val="solid" w:color="FFFFFF" w:fill="auto"/>
          </w:tcPr>
          <w:p w14:paraId="10126B21" w14:textId="77777777" w:rsidR="00A10B25" w:rsidRDefault="00A10B25">
            <w:pPr>
              <w:pStyle w:val="TAL"/>
              <w:rPr>
                <w:sz w:val="16"/>
                <w:szCs w:val="16"/>
              </w:rPr>
            </w:pPr>
            <w:r>
              <w:rPr>
                <w:sz w:val="16"/>
                <w:szCs w:val="16"/>
                <w:lang w:val="en-US" w:eastAsia="zh-CN"/>
              </w:rPr>
              <w:t>Updates geenrak description to analytics subscription transfer operation</w:t>
            </w:r>
          </w:p>
        </w:tc>
        <w:tc>
          <w:tcPr>
            <w:tcW w:w="706" w:type="dxa"/>
            <w:shd w:val="solid" w:color="FFFFFF" w:fill="auto"/>
          </w:tcPr>
          <w:p w14:paraId="2DA49147" w14:textId="77777777" w:rsidR="00A10B25" w:rsidRDefault="00A10B25">
            <w:pPr>
              <w:pStyle w:val="TAC"/>
              <w:rPr>
                <w:sz w:val="16"/>
                <w:szCs w:val="16"/>
              </w:rPr>
            </w:pPr>
            <w:r>
              <w:rPr>
                <w:sz w:val="16"/>
                <w:szCs w:val="16"/>
              </w:rPr>
              <w:t>17.5.0</w:t>
            </w:r>
          </w:p>
        </w:tc>
      </w:tr>
      <w:tr w:rsidR="00A10B25" w14:paraId="2E257797" w14:textId="77777777">
        <w:tc>
          <w:tcPr>
            <w:tcW w:w="796" w:type="dxa"/>
            <w:shd w:val="solid" w:color="FFFFFF" w:fill="auto"/>
          </w:tcPr>
          <w:p w14:paraId="729E249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021-12</w:t>
            </w:r>
          </w:p>
        </w:tc>
        <w:tc>
          <w:tcPr>
            <w:tcW w:w="828" w:type="dxa"/>
            <w:shd w:val="solid" w:color="FFFFFF" w:fill="auto"/>
          </w:tcPr>
          <w:p w14:paraId="37EF5C99" w14:textId="77777777" w:rsidR="00A10B25" w:rsidRDefault="00A10B25">
            <w:pPr>
              <w:pStyle w:val="TAC"/>
              <w:rPr>
                <w:sz w:val="16"/>
                <w:szCs w:val="16"/>
              </w:rPr>
            </w:pPr>
            <w:r>
              <w:rPr>
                <w:sz w:val="16"/>
                <w:szCs w:val="16"/>
                <w:lang w:val="en-US" w:eastAsia="zh-CN"/>
              </w:rPr>
              <w:t>CT#94e</w:t>
            </w:r>
          </w:p>
        </w:tc>
        <w:tc>
          <w:tcPr>
            <w:tcW w:w="1083" w:type="dxa"/>
            <w:shd w:val="solid" w:color="FFFFFF" w:fill="auto"/>
          </w:tcPr>
          <w:p w14:paraId="74C03105" w14:textId="77777777" w:rsidR="00A10B25" w:rsidRDefault="00A10B25">
            <w:pPr>
              <w:pStyle w:val="TAC"/>
              <w:rPr>
                <w:sz w:val="16"/>
                <w:szCs w:val="16"/>
              </w:rPr>
            </w:pPr>
            <w:hyperlink r:id="rId173" w:history="1">
              <w:r>
                <w:rPr>
                  <w:sz w:val="16"/>
                  <w:szCs w:val="16"/>
                </w:rPr>
                <w:t>CP-213246</w:t>
              </w:r>
            </w:hyperlink>
          </w:p>
        </w:tc>
        <w:tc>
          <w:tcPr>
            <w:tcW w:w="523" w:type="dxa"/>
            <w:shd w:val="solid" w:color="FFFFFF" w:fill="auto"/>
          </w:tcPr>
          <w:p w14:paraId="0C258C0C" w14:textId="77777777" w:rsidR="00A10B25" w:rsidRDefault="00A10B25">
            <w:pPr>
              <w:pStyle w:val="TAL"/>
              <w:rPr>
                <w:sz w:val="16"/>
                <w:szCs w:val="16"/>
              </w:rPr>
            </w:pPr>
            <w:r>
              <w:rPr>
                <w:sz w:val="16"/>
                <w:szCs w:val="16"/>
              </w:rPr>
              <w:t>0355</w:t>
            </w:r>
          </w:p>
        </w:tc>
        <w:tc>
          <w:tcPr>
            <w:tcW w:w="423" w:type="dxa"/>
            <w:shd w:val="solid" w:color="FFFFFF" w:fill="auto"/>
          </w:tcPr>
          <w:p w14:paraId="177A6C52" w14:textId="77777777" w:rsidR="00A10B25" w:rsidRDefault="00A10B25">
            <w:pPr>
              <w:pStyle w:val="TAR"/>
              <w:rPr>
                <w:sz w:val="16"/>
                <w:szCs w:val="16"/>
              </w:rPr>
            </w:pPr>
          </w:p>
        </w:tc>
        <w:tc>
          <w:tcPr>
            <w:tcW w:w="423" w:type="dxa"/>
            <w:shd w:val="solid" w:color="FFFFFF" w:fill="auto"/>
          </w:tcPr>
          <w:p w14:paraId="4E9A55F6" w14:textId="77777777" w:rsidR="00A10B25" w:rsidRDefault="00A10B25">
            <w:pPr>
              <w:pStyle w:val="TAC"/>
              <w:rPr>
                <w:sz w:val="16"/>
                <w:szCs w:val="16"/>
              </w:rPr>
            </w:pPr>
            <w:r>
              <w:rPr>
                <w:sz w:val="16"/>
                <w:szCs w:val="16"/>
                <w:lang w:val="en-US"/>
              </w:rPr>
              <w:t>F</w:t>
            </w:r>
          </w:p>
        </w:tc>
        <w:tc>
          <w:tcPr>
            <w:tcW w:w="4899" w:type="dxa"/>
            <w:shd w:val="solid" w:color="FFFFFF" w:fill="auto"/>
          </w:tcPr>
          <w:p w14:paraId="11E0A5D9" w14:textId="77777777" w:rsidR="00A10B25" w:rsidRDefault="00A10B25">
            <w:pPr>
              <w:pStyle w:val="TAL"/>
              <w:rPr>
                <w:sz w:val="16"/>
                <w:szCs w:val="16"/>
              </w:rPr>
            </w:pPr>
            <w:r>
              <w:rPr>
                <w:sz w:val="16"/>
                <w:szCs w:val="16"/>
                <w:lang w:val="en-US" w:eastAsia="zh-CN"/>
              </w:rPr>
              <w:t>Update of OpenAPI version and TS version in externalDocs field</w:t>
            </w:r>
          </w:p>
        </w:tc>
        <w:tc>
          <w:tcPr>
            <w:tcW w:w="706" w:type="dxa"/>
            <w:shd w:val="solid" w:color="FFFFFF" w:fill="auto"/>
          </w:tcPr>
          <w:p w14:paraId="72472363" w14:textId="77777777" w:rsidR="00A10B25" w:rsidRDefault="00A10B25">
            <w:pPr>
              <w:pStyle w:val="TAC"/>
              <w:rPr>
                <w:sz w:val="16"/>
                <w:szCs w:val="16"/>
              </w:rPr>
            </w:pPr>
            <w:r>
              <w:rPr>
                <w:sz w:val="16"/>
                <w:szCs w:val="16"/>
              </w:rPr>
              <w:t>17.5.0</w:t>
            </w:r>
          </w:p>
        </w:tc>
      </w:tr>
      <w:tr w:rsidR="00A10B25" w14:paraId="3D9F27DC" w14:textId="77777777">
        <w:tc>
          <w:tcPr>
            <w:tcW w:w="796" w:type="dxa"/>
            <w:shd w:val="solid" w:color="FFFFFF" w:fill="auto"/>
          </w:tcPr>
          <w:p w14:paraId="6E69A19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6569E1FE"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A0FC516" w14:textId="77777777" w:rsidR="00A10B25" w:rsidRDefault="00A10B25">
            <w:pPr>
              <w:pStyle w:val="TAC"/>
              <w:rPr>
                <w:sz w:val="16"/>
                <w:szCs w:val="16"/>
              </w:rPr>
            </w:pPr>
            <w:r>
              <w:rPr>
                <w:sz w:val="16"/>
                <w:szCs w:val="16"/>
              </w:rPr>
              <w:t>CP-220190</w:t>
            </w:r>
          </w:p>
        </w:tc>
        <w:tc>
          <w:tcPr>
            <w:tcW w:w="523" w:type="dxa"/>
            <w:shd w:val="solid" w:color="FFFFFF" w:fill="auto"/>
          </w:tcPr>
          <w:p w14:paraId="3A08A17A" w14:textId="77777777" w:rsidR="00A10B25" w:rsidRDefault="00A10B25">
            <w:pPr>
              <w:pStyle w:val="TAL"/>
              <w:rPr>
                <w:sz w:val="16"/>
                <w:szCs w:val="16"/>
              </w:rPr>
            </w:pPr>
            <w:r>
              <w:rPr>
                <w:sz w:val="16"/>
                <w:szCs w:val="16"/>
              </w:rPr>
              <w:t>0357</w:t>
            </w:r>
          </w:p>
        </w:tc>
        <w:tc>
          <w:tcPr>
            <w:tcW w:w="423" w:type="dxa"/>
            <w:shd w:val="solid" w:color="FFFFFF" w:fill="auto"/>
          </w:tcPr>
          <w:p w14:paraId="78279FE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32E7846" w14:textId="77777777" w:rsidR="00A10B25" w:rsidRDefault="00A10B25">
            <w:pPr>
              <w:pStyle w:val="TAC"/>
              <w:rPr>
                <w:sz w:val="16"/>
                <w:szCs w:val="16"/>
              </w:rPr>
            </w:pPr>
            <w:r>
              <w:rPr>
                <w:sz w:val="16"/>
                <w:szCs w:val="16"/>
                <w:lang w:val="en-US"/>
              </w:rPr>
              <w:t>B</w:t>
            </w:r>
          </w:p>
        </w:tc>
        <w:tc>
          <w:tcPr>
            <w:tcW w:w="4899" w:type="dxa"/>
            <w:shd w:val="solid" w:color="FFFFFF" w:fill="auto"/>
          </w:tcPr>
          <w:p w14:paraId="48C8EBF9" w14:textId="77777777" w:rsidR="00A10B25" w:rsidRDefault="00A10B25">
            <w:pPr>
              <w:pStyle w:val="TAL"/>
              <w:rPr>
                <w:sz w:val="16"/>
                <w:szCs w:val="16"/>
              </w:rPr>
            </w:pPr>
            <w:r>
              <w:rPr>
                <w:sz w:val="16"/>
                <w:szCs w:val="16"/>
              </w:rPr>
              <w:t>Resolve Editor's Note on Slice load level related network data analytics</w:t>
            </w:r>
          </w:p>
        </w:tc>
        <w:tc>
          <w:tcPr>
            <w:tcW w:w="706" w:type="dxa"/>
            <w:shd w:val="solid" w:color="FFFFFF" w:fill="auto"/>
          </w:tcPr>
          <w:p w14:paraId="5F11816D" w14:textId="77777777" w:rsidR="00A10B25" w:rsidRDefault="00A10B25">
            <w:pPr>
              <w:pStyle w:val="TAC"/>
              <w:rPr>
                <w:sz w:val="16"/>
                <w:szCs w:val="16"/>
              </w:rPr>
            </w:pPr>
            <w:r>
              <w:rPr>
                <w:sz w:val="16"/>
                <w:szCs w:val="16"/>
              </w:rPr>
              <w:t>17.6.0</w:t>
            </w:r>
          </w:p>
        </w:tc>
      </w:tr>
      <w:tr w:rsidR="00A10B25" w14:paraId="45383D70" w14:textId="77777777">
        <w:tc>
          <w:tcPr>
            <w:tcW w:w="796" w:type="dxa"/>
            <w:shd w:val="solid" w:color="FFFFFF" w:fill="auto"/>
          </w:tcPr>
          <w:p w14:paraId="1DC9070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441F64CB"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036AA401" w14:textId="77777777" w:rsidR="00A10B25" w:rsidRDefault="00A10B25">
            <w:pPr>
              <w:pStyle w:val="TAC"/>
              <w:rPr>
                <w:sz w:val="16"/>
                <w:szCs w:val="16"/>
              </w:rPr>
            </w:pPr>
            <w:r>
              <w:rPr>
                <w:sz w:val="16"/>
                <w:szCs w:val="16"/>
              </w:rPr>
              <w:t>CP-220190</w:t>
            </w:r>
          </w:p>
        </w:tc>
        <w:tc>
          <w:tcPr>
            <w:tcW w:w="523" w:type="dxa"/>
            <w:shd w:val="solid" w:color="FFFFFF" w:fill="auto"/>
          </w:tcPr>
          <w:p w14:paraId="2D226F30" w14:textId="77777777" w:rsidR="00A10B25" w:rsidRDefault="00A10B25">
            <w:pPr>
              <w:pStyle w:val="TAL"/>
              <w:rPr>
                <w:sz w:val="16"/>
                <w:szCs w:val="16"/>
              </w:rPr>
            </w:pPr>
            <w:r>
              <w:rPr>
                <w:sz w:val="16"/>
                <w:szCs w:val="16"/>
              </w:rPr>
              <w:t>0358</w:t>
            </w:r>
          </w:p>
        </w:tc>
        <w:tc>
          <w:tcPr>
            <w:tcW w:w="423" w:type="dxa"/>
            <w:shd w:val="solid" w:color="FFFFFF" w:fill="auto"/>
          </w:tcPr>
          <w:p w14:paraId="1D106074"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850F7B8" w14:textId="77777777" w:rsidR="00A10B25" w:rsidRDefault="00A10B25">
            <w:pPr>
              <w:pStyle w:val="TAC"/>
              <w:rPr>
                <w:sz w:val="16"/>
                <w:szCs w:val="16"/>
              </w:rPr>
            </w:pPr>
            <w:r>
              <w:rPr>
                <w:sz w:val="16"/>
                <w:szCs w:val="16"/>
                <w:lang w:val="en-US"/>
              </w:rPr>
              <w:t>F</w:t>
            </w:r>
          </w:p>
        </w:tc>
        <w:tc>
          <w:tcPr>
            <w:tcW w:w="4899" w:type="dxa"/>
            <w:shd w:val="solid" w:color="FFFFFF" w:fill="auto"/>
          </w:tcPr>
          <w:p w14:paraId="753BFC72" w14:textId="77777777" w:rsidR="00A10B25" w:rsidRDefault="00A10B25">
            <w:pPr>
              <w:pStyle w:val="TAL"/>
              <w:rPr>
                <w:sz w:val="16"/>
                <w:szCs w:val="16"/>
              </w:rPr>
            </w:pPr>
            <w:r>
              <w:rPr>
                <w:sz w:val="16"/>
                <w:szCs w:val="16"/>
              </w:rPr>
              <w:t>Clarification about conditional description</w:t>
            </w:r>
            <w:r>
              <w:rPr>
                <w:rFonts w:hint="eastAsia"/>
                <w:sz w:val="16"/>
                <w:szCs w:val="16"/>
              </w:rPr>
              <w:t>s</w:t>
            </w:r>
            <w:r>
              <w:rPr>
                <w:sz w:val="16"/>
                <w:szCs w:val="16"/>
              </w:rPr>
              <w:t xml:space="preserve"> for Slice load level related network data analytics</w:t>
            </w:r>
          </w:p>
        </w:tc>
        <w:tc>
          <w:tcPr>
            <w:tcW w:w="706" w:type="dxa"/>
            <w:shd w:val="solid" w:color="FFFFFF" w:fill="auto"/>
          </w:tcPr>
          <w:p w14:paraId="1950A0DF" w14:textId="77777777" w:rsidR="00A10B25" w:rsidRDefault="00A10B25">
            <w:pPr>
              <w:pStyle w:val="TAC"/>
              <w:rPr>
                <w:sz w:val="16"/>
                <w:szCs w:val="16"/>
              </w:rPr>
            </w:pPr>
            <w:r>
              <w:rPr>
                <w:sz w:val="16"/>
                <w:szCs w:val="16"/>
              </w:rPr>
              <w:t>17.6.0</w:t>
            </w:r>
          </w:p>
        </w:tc>
      </w:tr>
      <w:tr w:rsidR="00A10B25" w14:paraId="4D838D23" w14:textId="77777777">
        <w:tc>
          <w:tcPr>
            <w:tcW w:w="796" w:type="dxa"/>
            <w:shd w:val="solid" w:color="FFFFFF" w:fill="auto"/>
          </w:tcPr>
          <w:p w14:paraId="1999D4E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D891B8D"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FF2B934" w14:textId="77777777" w:rsidR="00A10B25" w:rsidRDefault="00A10B25">
            <w:pPr>
              <w:pStyle w:val="TAC"/>
              <w:rPr>
                <w:sz w:val="16"/>
                <w:szCs w:val="16"/>
              </w:rPr>
            </w:pPr>
            <w:r>
              <w:rPr>
                <w:sz w:val="16"/>
                <w:szCs w:val="16"/>
              </w:rPr>
              <w:t>CP-220189</w:t>
            </w:r>
          </w:p>
        </w:tc>
        <w:tc>
          <w:tcPr>
            <w:tcW w:w="523" w:type="dxa"/>
            <w:shd w:val="solid" w:color="FFFFFF" w:fill="auto"/>
          </w:tcPr>
          <w:p w14:paraId="2DB7D696" w14:textId="77777777" w:rsidR="00A10B25" w:rsidRDefault="00A10B25">
            <w:pPr>
              <w:pStyle w:val="TAL"/>
              <w:rPr>
                <w:sz w:val="16"/>
                <w:szCs w:val="16"/>
              </w:rPr>
            </w:pPr>
            <w:r>
              <w:rPr>
                <w:sz w:val="16"/>
                <w:szCs w:val="16"/>
              </w:rPr>
              <w:t>0359</w:t>
            </w:r>
          </w:p>
        </w:tc>
        <w:tc>
          <w:tcPr>
            <w:tcW w:w="423" w:type="dxa"/>
            <w:shd w:val="solid" w:color="FFFFFF" w:fill="auto"/>
          </w:tcPr>
          <w:p w14:paraId="00AFF20B" w14:textId="77777777" w:rsidR="00A10B25" w:rsidRDefault="00A10B25">
            <w:pPr>
              <w:pStyle w:val="TAR"/>
              <w:rPr>
                <w:sz w:val="16"/>
                <w:szCs w:val="16"/>
              </w:rPr>
            </w:pPr>
          </w:p>
        </w:tc>
        <w:tc>
          <w:tcPr>
            <w:tcW w:w="423" w:type="dxa"/>
            <w:shd w:val="solid" w:color="FFFFFF" w:fill="auto"/>
          </w:tcPr>
          <w:p w14:paraId="78E53049" w14:textId="77777777" w:rsidR="00A10B25" w:rsidRDefault="00A10B25">
            <w:pPr>
              <w:pStyle w:val="TAC"/>
              <w:rPr>
                <w:sz w:val="16"/>
                <w:szCs w:val="16"/>
              </w:rPr>
            </w:pPr>
            <w:r>
              <w:rPr>
                <w:sz w:val="16"/>
                <w:szCs w:val="16"/>
                <w:lang w:val="en-US"/>
              </w:rPr>
              <w:t>F</w:t>
            </w:r>
          </w:p>
        </w:tc>
        <w:tc>
          <w:tcPr>
            <w:tcW w:w="4899" w:type="dxa"/>
            <w:shd w:val="solid" w:color="FFFFFF" w:fill="auto"/>
          </w:tcPr>
          <w:p w14:paraId="0B7A6BBE" w14:textId="77777777" w:rsidR="00A10B25" w:rsidRDefault="00A10B25">
            <w:pPr>
              <w:pStyle w:val="TAL"/>
              <w:rPr>
                <w:sz w:val="16"/>
                <w:szCs w:val="16"/>
              </w:rPr>
            </w:pPr>
            <w:r>
              <w:rPr>
                <w:sz w:val="16"/>
                <w:szCs w:val="16"/>
              </w:rPr>
              <w:t>Correction of DN performance analytics</w:t>
            </w:r>
          </w:p>
        </w:tc>
        <w:tc>
          <w:tcPr>
            <w:tcW w:w="706" w:type="dxa"/>
            <w:shd w:val="solid" w:color="FFFFFF" w:fill="auto"/>
          </w:tcPr>
          <w:p w14:paraId="72840367" w14:textId="77777777" w:rsidR="00A10B25" w:rsidRDefault="00A10B25">
            <w:pPr>
              <w:pStyle w:val="TAC"/>
              <w:rPr>
                <w:sz w:val="16"/>
                <w:szCs w:val="16"/>
              </w:rPr>
            </w:pPr>
            <w:r>
              <w:rPr>
                <w:sz w:val="16"/>
                <w:szCs w:val="16"/>
              </w:rPr>
              <w:t>17.6.0</w:t>
            </w:r>
          </w:p>
        </w:tc>
      </w:tr>
      <w:tr w:rsidR="00A10B25" w14:paraId="26C6C145" w14:textId="77777777">
        <w:tc>
          <w:tcPr>
            <w:tcW w:w="796" w:type="dxa"/>
            <w:shd w:val="solid" w:color="FFFFFF" w:fill="auto"/>
          </w:tcPr>
          <w:p w14:paraId="4ACA685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2115EF1"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F742A20" w14:textId="77777777" w:rsidR="00A10B25" w:rsidRDefault="00A10B25">
            <w:pPr>
              <w:pStyle w:val="TAC"/>
              <w:rPr>
                <w:sz w:val="16"/>
                <w:szCs w:val="16"/>
              </w:rPr>
            </w:pPr>
            <w:r>
              <w:rPr>
                <w:sz w:val="16"/>
                <w:szCs w:val="16"/>
              </w:rPr>
              <w:t>CP-220189</w:t>
            </w:r>
          </w:p>
        </w:tc>
        <w:tc>
          <w:tcPr>
            <w:tcW w:w="523" w:type="dxa"/>
            <w:shd w:val="solid" w:color="FFFFFF" w:fill="auto"/>
          </w:tcPr>
          <w:p w14:paraId="26810104" w14:textId="77777777" w:rsidR="00A10B25" w:rsidRDefault="00A10B25">
            <w:pPr>
              <w:pStyle w:val="TAL"/>
              <w:rPr>
                <w:sz w:val="16"/>
                <w:szCs w:val="16"/>
              </w:rPr>
            </w:pPr>
            <w:r>
              <w:rPr>
                <w:sz w:val="16"/>
                <w:szCs w:val="16"/>
              </w:rPr>
              <w:t>0360</w:t>
            </w:r>
          </w:p>
        </w:tc>
        <w:tc>
          <w:tcPr>
            <w:tcW w:w="423" w:type="dxa"/>
            <w:shd w:val="solid" w:color="FFFFFF" w:fill="auto"/>
          </w:tcPr>
          <w:p w14:paraId="3E10C5CD" w14:textId="77777777" w:rsidR="00A10B25" w:rsidRDefault="00A10B25">
            <w:pPr>
              <w:pStyle w:val="TAR"/>
              <w:rPr>
                <w:sz w:val="16"/>
                <w:szCs w:val="16"/>
              </w:rPr>
            </w:pPr>
          </w:p>
        </w:tc>
        <w:tc>
          <w:tcPr>
            <w:tcW w:w="423" w:type="dxa"/>
            <w:shd w:val="solid" w:color="FFFFFF" w:fill="auto"/>
          </w:tcPr>
          <w:p w14:paraId="24813107" w14:textId="77777777" w:rsidR="00A10B25" w:rsidRDefault="00A10B25">
            <w:pPr>
              <w:pStyle w:val="TAC"/>
              <w:rPr>
                <w:sz w:val="16"/>
                <w:szCs w:val="16"/>
              </w:rPr>
            </w:pPr>
            <w:r>
              <w:rPr>
                <w:sz w:val="16"/>
                <w:szCs w:val="16"/>
                <w:lang w:val="en-US"/>
              </w:rPr>
              <w:t>F</w:t>
            </w:r>
          </w:p>
        </w:tc>
        <w:tc>
          <w:tcPr>
            <w:tcW w:w="4899" w:type="dxa"/>
            <w:shd w:val="solid" w:color="FFFFFF" w:fill="auto"/>
          </w:tcPr>
          <w:p w14:paraId="0B428E12" w14:textId="77777777" w:rsidR="00A10B25" w:rsidRDefault="00A10B25">
            <w:pPr>
              <w:pStyle w:val="TAL"/>
              <w:rPr>
                <w:sz w:val="16"/>
                <w:szCs w:val="16"/>
              </w:rPr>
            </w:pPr>
            <w:r>
              <w:rPr>
                <w:sz w:val="16"/>
                <w:szCs w:val="16"/>
              </w:rPr>
              <w:t>Update the Nnwdaf_AnalyticsInfo Service API specific data types table</w:t>
            </w:r>
          </w:p>
        </w:tc>
        <w:tc>
          <w:tcPr>
            <w:tcW w:w="706" w:type="dxa"/>
            <w:shd w:val="solid" w:color="FFFFFF" w:fill="auto"/>
          </w:tcPr>
          <w:p w14:paraId="135108AE" w14:textId="77777777" w:rsidR="00A10B25" w:rsidRDefault="00A10B25">
            <w:pPr>
              <w:pStyle w:val="TAC"/>
              <w:rPr>
                <w:sz w:val="16"/>
                <w:szCs w:val="16"/>
              </w:rPr>
            </w:pPr>
            <w:r>
              <w:rPr>
                <w:sz w:val="16"/>
                <w:szCs w:val="16"/>
              </w:rPr>
              <w:t>17.6.0</w:t>
            </w:r>
          </w:p>
        </w:tc>
      </w:tr>
      <w:tr w:rsidR="00A10B25" w14:paraId="07583685" w14:textId="77777777">
        <w:tc>
          <w:tcPr>
            <w:tcW w:w="796" w:type="dxa"/>
            <w:shd w:val="solid" w:color="FFFFFF" w:fill="auto"/>
          </w:tcPr>
          <w:p w14:paraId="31F1478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05239F3"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D85D753" w14:textId="77777777" w:rsidR="00A10B25" w:rsidRDefault="00A10B25">
            <w:pPr>
              <w:pStyle w:val="TAC"/>
              <w:rPr>
                <w:sz w:val="16"/>
                <w:szCs w:val="16"/>
              </w:rPr>
            </w:pPr>
            <w:r>
              <w:rPr>
                <w:sz w:val="16"/>
                <w:szCs w:val="16"/>
              </w:rPr>
              <w:t>CP-220189</w:t>
            </w:r>
          </w:p>
        </w:tc>
        <w:tc>
          <w:tcPr>
            <w:tcW w:w="523" w:type="dxa"/>
            <w:shd w:val="solid" w:color="FFFFFF" w:fill="auto"/>
          </w:tcPr>
          <w:p w14:paraId="52A25FE5" w14:textId="77777777" w:rsidR="00A10B25" w:rsidRDefault="00A10B25">
            <w:pPr>
              <w:pStyle w:val="TAL"/>
              <w:rPr>
                <w:sz w:val="16"/>
                <w:szCs w:val="16"/>
              </w:rPr>
            </w:pPr>
            <w:r>
              <w:rPr>
                <w:sz w:val="16"/>
                <w:szCs w:val="16"/>
              </w:rPr>
              <w:t>0362</w:t>
            </w:r>
          </w:p>
        </w:tc>
        <w:tc>
          <w:tcPr>
            <w:tcW w:w="423" w:type="dxa"/>
            <w:shd w:val="solid" w:color="FFFFFF" w:fill="auto"/>
          </w:tcPr>
          <w:p w14:paraId="3A45BEBD" w14:textId="77777777" w:rsidR="00A10B25" w:rsidRDefault="00A10B25">
            <w:pPr>
              <w:pStyle w:val="TAR"/>
              <w:rPr>
                <w:sz w:val="16"/>
                <w:szCs w:val="16"/>
              </w:rPr>
            </w:pPr>
          </w:p>
        </w:tc>
        <w:tc>
          <w:tcPr>
            <w:tcW w:w="423" w:type="dxa"/>
            <w:shd w:val="solid" w:color="FFFFFF" w:fill="auto"/>
          </w:tcPr>
          <w:p w14:paraId="20B33DBE" w14:textId="77777777" w:rsidR="00A10B25" w:rsidRDefault="00A10B25">
            <w:pPr>
              <w:pStyle w:val="TAC"/>
              <w:rPr>
                <w:sz w:val="16"/>
                <w:szCs w:val="16"/>
              </w:rPr>
            </w:pPr>
            <w:r>
              <w:rPr>
                <w:sz w:val="16"/>
                <w:szCs w:val="16"/>
                <w:lang w:val="en-US"/>
              </w:rPr>
              <w:t>F</w:t>
            </w:r>
          </w:p>
        </w:tc>
        <w:tc>
          <w:tcPr>
            <w:tcW w:w="4899" w:type="dxa"/>
            <w:shd w:val="solid" w:color="FFFFFF" w:fill="auto"/>
          </w:tcPr>
          <w:p w14:paraId="175456C7" w14:textId="77777777" w:rsidR="00A10B25" w:rsidRDefault="00A10B25">
            <w:pPr>
              <w:pStyle w:val="TAL"/>
              <w:rPr>
                <w:sz w:val="16"/>
                <w:szCs w:val="16"/>
              </w:rPr>
            </w:pPr>
            <w:r>
              <w:rPr>
                <w:sz w:val="16"/>
                <w:szCs w:val="16"/>
              </w:rPr>
              <w:t>Editorial correction of offsetPeriod attribute for Nnwdaf_EventsSubscription API</w:t>
            </w:r>
          </w:p>
        </w:tc>
        <w:tc>
          <w:tcPr>
            <w:tcW w:w="706" w:type="dxa"/>
            <w:shd w:val="solid" w:color="FFFFFF" w:fill="auto"/>
          </w:tcPr>
          <w:p w14:paraId="1991BEFA" w14:textId="77777777" w:rsidR="00A10B25" w:rsidRDefault="00A10B25">
            <w:pPr>
              <w:pStyle w:val="TAC"/>
              <w:rPr>
                <w:sz w:val="16"/>
                <w:szCs w:val="16"/>
              </w:rPr>
            </w:pPr>
            <w:r>
              <w:rPr>
                <w:sz w:val="16"/>
                <w:szCs w:val="16"/>
              </w:rPr>
              <w:t>17.6.0</w:t>
            </w:r>
          </w:p>
        </w:tc>
      </w:tr>
      <w:tr w:rsidR="00A10B25" w14:paraId="41C89827" w14:textId="77777777">
        <w:tc>
          <w:tcPr>
            <w:tcW w:w="796" w:type="dxa"/>
            <w:shd w:val="solid" w:color="FFFFFF" w:fill="auto"/>
          </w:tcPr>
          <w:p w14:paraId="5E303A8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7B42E978"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1038DEA" w14:textId="77777777" w:rsidR="00A10B25" w:rsidRDefault="00A10B25">
            <w:pPr>
              <w:pStyle w:val="TAC"/>
              <w:rPr>
                <w:sz w:val="16"/>
                <w:szCs w:val="16"/>
              </w:rPr>
            </w:pPr>
            <w:r>
              <w:rPr>
                <w:sz w:val="16"/>
                <w:szCs w:val="16"/>
              </w:rPr>
              <w:t>CP-220189</w:t>
            </w:r>
          </w:p>
        </w:tc>
        <w:tc>
          <w:tcPr>
            <w:tcW w:w="523" w:type="dxa"/>
            <w:shd w:val="solid" w:color="FFFFFF" w:fill="auto"/>
          </w:tcPr>
          <w:p w14:paraId="10682473" w14:textId="77777777" w:rsidR="00A10B25" w:rsidRDefault="00A10B25">
            <w:pPr>
              <w:pStyle w:val="TAL"/>
              <w:rPr>
                <w:sz w:val="16"/>
                <w:szCs w:val="16"/>
              </w:rPr>
            </w:pPr>
            <w:r>
              <w:rPr>
                <w:sz w:val="16"/>
                <w:szCs w:val="16"/>
              </w:rPr>
              <w:t>0365</w:t>
            </w:r>
          </w:p>
        </w:tc>
        <w:tc>
          <w:tcPr>
            <w:tcW w:w="423" w:type="dxa"/>
            <w:shd w:val="solid" w:color="FFFFFF" w:fill="auto"/>
          </w:tcPr>
          <w:p w14:paraId="064B0C79"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82A3662"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5674F876" w14:textId="77777777" w:rsidR="00A10B25" w:rsidRDefault="00A10B25">
            <w:pPr>
              <w:pStyle w:val="TAL"/>
              <w:rPr>
                <w:sz w:val="16"/>
                <w:szCs w:val="16"/>
              </w:rPr>
            </w:pPr>
            <w:r>
              <w:rPr>
                <w:sz w:val="16"/>
                <w:szCs w:val="16"/>
              </w:rPr>
              <w:t>NF Load analytics extensions in Nnwdaf_EventsSubscription API</w:t>
            </w:r>
          </w:p>
        </w:tc>
        <w:tc>
          <w:tcPr>
            <w:tcW w:w="706" w:type="dxa"/>
            <w:shd w:val="solid" w:color="FFFFFF" w:fill="auto"/>
          </w:tcPr>
          <w:p w14:paraId="606C9CCF" w14:textId="77777777" w:rsidR="00A10B25" w:rsidRDefault="00A10B25">
            <w:pPr>
              <w:pStyle w:val="TAC"/>
              <w:rPr>
                <w:sz w:val="16"/>
                <w:szCs w:val="16"/>
              </w:rPr>
            </w:pPr>
            <w:r>
              <w:rPr>
                <w:sz w:val="16"/>
                <w:szCs w:val="16"/>
              </w:rPr>
              <w:t>17.6.0</w:t>
            </w:r>
          </w:p>
        </w:tc>
      </w:tr>
      <w:tr w:rsidR="00A10B25" w14:paraId="5DC6EFC1" w14:textId="77777777">
        <w:tc>
          <w:tcPr>
            <w:tcW w:w="796" w:type="dxa"/>
            <w:shd w:val="solid" w:color="FFFFFF" w:fill="auto"/>
          </w:tcPr>
          <w:p w14:paraId="4781D9A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B887C97"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1E209648" w14:textId="77777777" w:rsidR="00A10B25" w:rsidRDefault="00A10B25">
            <w:pPr>
              <w:pStyle w:val="TAC"/>
              <w:rPr>
                <w:sz w:val="16"/>
                <w:szCs w:val="16"/>
              </w:rPr>
            </w:pPr>
            <w:r>
              <w:rPr>
                <w:sz w:val="16"/>
                <w:szCs w:val="16"/>
              </w:rPr>
              <w:t>CP-220189</w:t>
            </w:r>
          </w:p>
        </w:tc>
        <w:tc>
          <w:tcPr>
            <w:tcW w:w="523" w:type="dxa"/>
            <w:shd w:val="solid" w:color="FFFFFF" w:fill="auto"/>
          </w:tcPr>
          <w:p w14:paraId="6332116F" w14:textId="77777777" w:rsidR="00A10B25" w:rsidRDefault="00A10B25">
            <w:pPr>
              <w:pStyle w:val="TAL"/>
              <w:rPr>
                <w:sz w:val="16"/>
                <w:szCs w:val="16"/>
              </w:rPr>
            </w:pPr>
            <w:r>
              <w:rPr>
                <w:sz w:val="16"/>
                <w:szCs w:val="16"/>
              </w:rPr>
              <w:t>0366</w:t>
            </w:r>
          </w:p>
        </w:tc>
        <w:tc>
          <w:tcPr>
            <w:tcW w:w="423" w:type="dxa"/>
            <w:shd w:val="solid" w:color="FFFFFF" w:fill="auto"/>
          </w:tcPr>
          <w:p w14:paraId="12D3C1E5"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0C21740"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1102E0C6" w14:textId="77777777" w:rsidR="00A10B25" w:rsidRDefault="00A10B25">
            <w:pPr>
              <w:pStyle w:val="TAL"/>
              <w:rPr>
                <w:sz w:val="16"/>
                <w:szCs w:val="16"/>
              </w:rPr>
            </w:pPr>
            <w:r>
              <w:rPr>
                <w:sz w:val="16"/>
                <w:szCs w:val="16"/>
              </w:rPr>
              <w:t>NF Load analytics extensions in Nnwdaf_AnalyticsInfo API</w:t>
            </w:r>
          </w:p>
        </w:tc>
        <w:tc>
          <w:tcPr>
            <w:tcW w:w="706" w:type="dxa"/>
            <w:shd w:val="solid" w:color="FFFFFF" w:fill="auto"/>
          </w:tcPr>
          <w:p w14:paraId="3675BC56" w14:textId="77777777" w:rsidR="00A10B25" w:rsidRDefault="00A10B25">
            <w:pPr>
              <w:pStyle w:val="TAC"/>
              <w:rPr>
                <w:sz w:val="16"/>
                <w:szCs w:val="16"/>
              </w:rPr>
            </w:pPr>
            <w:r>
              <w:rPr>
                <w:sz w:val="16"/>
                <w:szCs w:val="16"/>
              </w:rPr>
              <w:t>17.6.0</w:t>
            </w:r>
          </w:p>
        </w:tc>
      </w:tr>
      <w:tr w:rsidR="00A10B25" w14:paraId="3EF1C90E" w14:textId="77777777">
        <w:tc>
          <w:tcPr>
            <w:tcW w:w="796" w:type="dxa"/>
            <w:shd w:val="solid" w:color="FFFFFF" w:fill="auto"/>
          </w:tcPr>
          <w:p w14:paraId="33E8A80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7F826050"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7B5EC7A" w14:textId="77777777" w:rsidR="00A10B25" w:rsidRDefault="00A10B25">
            <w:pPr>
              <w:pStyle w:val="TAC"/>
              <w:rPr>
                <w:sz w:val="16"/>
                <w:szCs w:val="16"/>
              </w:rPr>
            </w:pPr>
            <w:r>
              <w:rPr>
                <w:sz w:val="16"/>
                <w:szCs w:val="16"/>
              </w:rPr>
              <w:t>CP-220191</w:t>
            </w:r>
          </w:p>
        </w:tc>
        <w:tc>
          <w:tcPr>
            <w:tcW w:w="523" w:type="dxa"/>
            <w:shd w:val="solid" w:color="FFFFFF" w:fill="auto"/>
          </w:tcPr>
          <w:p w14:paraId="293DD146" w14:textId="77777777" w:rsidR="00A10B25" w:rsidRDefault="00A10B25">
            <w:pPr>
              <w:pStyle w:val="TAL"/>
              <w:rPr>
                <w:sz w:val="16"/>
                <w:szCs w:val="16"/>
              </w:rPr>
            </w:pPr>
            <w:r>
              <w:rPr>
                <w:sz w:val="16"/>
                <w:szCs w:val="16"/>
              </w:rPr>
              <w:t>0367</w:t>
            </w:r>
          </w:p>
        </w:tc>
        <w:tc>
          <w:tcPr>
            <w:tcW w:w="423" w:type="dxa"/>
            <w:shd w:val="solid" w:color="FFFFFF" w:fill="auto"/>
          </w:tcPr>
          <w:p w14:paraId="439232CF" w14:textId="77777777" w:rsidR="00A10B25" w:rsidRDefault="00A10B25">
            <w:pPr>
              <w:pStyle w:val="TAR"/>
              <w:rPr>
                <w:sz w:val="16"/>
                <w:szCs w:val="16"/>
              </w:rPr>
            </w:pPr>
            <w:r>
              <w:rPr>
                <w:sz w:val="16"/>
                <w:szCs w:val="16"/>
                <w:lang w:eastAsia="zh-CN"/>
              </w:rPr>
              <w:t>3</w:t>
            </w:r>
          </w:p>
        </w:tc>
        <w:tc>
          <w:tcPr>
            <w:tcW w:w="423" w:type="dxa"/>
            <w:shd w:val="solid" w:color="FFFFFF" w:fill="auto"/>
          </w:tcPr>
          <w:p w14:paraId="5AB41ADF"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4A77B786" w14:textId="77777777" w:rsidR="00A10B25" w:rsidRDefault="00A10B25">
            <w:pPr>
              <w:pStyle w:val="TAL"/>
              <w:rPr>
                <w:sz w:val="16"/>
                <w:szCs w:val="16"/>
              </w:rPr>
            </w:pPr>
            <w:r>
              <w:rPr>
                <w:sz w:val="16"/>
                <w:szCs w:val="16"/>
              </w:rPr>
              <w:t>Support Dispersion Analytics in Nnwdaf_EventsSubscription API</w:t>
            </w:r>
          </w:p>
        </w:tc>
        <w:tc>
          <w:tcPr>
            <w:tcW w:w="706" w:type="dxa"/>
            <w:shd w:val="solid" w:color="FFFFFF" w:fill="auto"/>
          </w:tcPr>
          <w:p w14:paraId="6DC879B3" w14:textId="77777777" w:rsidR="00A10B25" w:rsidRDefault="00A10B25">
            <w:pPr>
              <w:pStyle w:val="TAC"/>
              <w:rPr>
                <w:sz w:val="16"/>
                <w:szCs w:val="16"/>
              </w:rPr>
            </w:pPr>
            <w:r>
              <w:rPr>
                <w:sz w:val="16"/>
                <w:szCs w:val="16"/>
              </w:rPr>
              <w:t>17.6.0</w:t>
            </w:r>
          </w:p>
        </w:tc>
      </w:tr>
      <w:tr w:rsidR="00A10B25" w14:paraId="7A918A16" w14:textId="77777777">
        <w:tc>
          <w:tcPr>
            <w:tcW w:w="796" w:type="dxa"/>
            <w:shd w:val="solid" w:color="FFFFFF" w:fill="auto"/>
          </w:tcPr>
          <w:p w14:paraId="5CBAEFD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0A8F9EBE"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2C982C4" w14:textId="77777777" w:rsidR="00A10B25" w:rsidRDefault="00A10B25">
            <w:pPr>
              <w:pStyle w:val="TAC"/>
              <w:rPr>
                <w:sz w:val="16"/>
                <w:szCs w:val="16"/>
              </w:rPr>
            </w:pPr>
            <w:r>
              <w:rPr>
                <w:sz w:val="16"/>
                <w:szCs w:val="16"/>
              </w:rPr>
              <w:t>CP-220190</w:t>
            </w:r>
          </w:p>
        </w:tc>
        <w:tc>
          <w:tcPr>
            <w:tcW w:w="523" w:type="dxa"/>
            <w:shd w:val="solid" w:color="FFFFFF" w:fill="auto"/>
          </w:tcPr>
          <w:p w14:paraId="47AA6555" w14:textId="77777777" w:rsidR="00A10B25" w:rsidRDefault="00A10B25">
            <w:pPr>
              <w:pStyle w:val="TAL"/>
              <w:rPr>
                <w:sz w:val="16"/>
                <w:szCs w:val="16"/>
              </w:rPr>
            </w:pPr>
            <w:r>
              <w:rPr>
                <w:sz w:val="16"/>
                <w:szCs w:val="16"/>
              </w:rPr>
              <w:t>0368</w:t>
            </w:r>
          </w:p>
        </w:tc>
        <w:tc>
          <w:tcPr>
            <w:tcW w:w="423" w:type="dxa"/>
            <w:shd w:val="solid" w:color="FFFFFF" w:fill="auto"/>
          </w:tcPr>
          <w:p w14:paraId="6EFE3655" w14:textId="77777777" w:rsidR="00A10B25" w:rsidRDefault="00A10B25">
            <w:pPr>
              <w:pStyle w:val="TAR"/>
              <w:rPr>
                <w:sz w:val="16"/>
                <w:szCs w:val="16"/>
              </w:rPr>
            </w:pPr>
            <w:r>
              <w:rPr>
                <w:sz w:val="16"/>
                <w:szCs w:val="16"/>
                <w:lang w:eastAsia="zh-CN"/>
              </w:rPr>
              <w:t>2</w:t>
            </w:r>
          </w:p>
        </w:tc>
        <w:tc>
          <w:tcPr>
            <w:tcW w:w="423" w:type="dxa"/>
            <w:shd w:val="solid" w:color="FFFFFF" w:fill="auto"/>
          </w:tcPr>
          <w:p w14:paraId="29774D85"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60E5BDDB" w14:textId="77777777" w:rsidR="00A10B25" w:rsidRDefault="00A10B25">
            <w:pPr>
              <w:pStyle w:val="TAL"/>
              <w:rPr>
                <w:sz w:val="16"/>
                <w:szCs w:val="16"/>
              </w:rPr>
            </w:pPr>
            <w:r>
              <w:rPr>
                <w:sz w:val="16"/>
                <w:szCs w:val="16"/>
              </w:rPr>
              <w:t>Support Dispersion Analytics in Nnwdaf_AnalyticsInfo API</w:t>
            </w:r>
          </w:p>
        </w:tc>
        <w:tc>
          <w:tcPr>
            <w:tcW w:w="706" w:type="dxa"/>
            <w:shd w:val="solid" w:color="FFFFFF" w:fill="auto"/>
          </w:tcPr>
          <w:p w14:paraId="68B172E4" w14:textId="77777777" w:rsidR="00A10B25" w:rsidRDefault="00A10B25">
            <w:pPr>
              <w:pStyle w:val="TAC"/>
              <w:rPr>
                <w:sz w:val="16"/>
                <w:szCs w:val="16"/>
              </w:rPr>
            </w:pPr>
            <w:r>
              <w:rPr>
                <w:sz w:val="16"/>
                <w:szCs w:val="16"/>
              </w:rPr>
              <w:t>17.6.0</w:t>
            </w:r>
          </w:p>
        </w:tc>
      </w:tr>
      <w:tr w:rsidR="00A10B25" w14:paraId="6C908274" w14:textId="77777777">
        <w:tc>
          <w:tcPr>
            <w:tcW w:w="796" w:type="dxa"/>
            <w:shd w:val="solid" w:color="FFFFFF" w:fill="auto"/>
          </w:tcPr>
          <w:p w14:paraId="3C6B787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01F9141F"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B85A727" w14:textId="77777777" w:rsidR="00A10B25" w:rsidRDefault="00A10B25">
            <w:pPr>
              <w:pStyle w:val="TAC"/>
              <w:rPr>
                <w:sz w:val="16"/>
                <w:szCs w:val="16"/>
              </w:rPr>
            </w:pPr>
            <w:r>
              <w:rPr>
                <w:sz w:val="16"/>
                <w:szCs w:val="16"/>
              </w:rPr>
              <w:t>CP-220189</w:t>
            </w:r>
          </w:p>
        </w:tc>
        <w:tc>
          <w:tcPr>
            <w:tcW w:w="523" w:type="dxa"/>
            <w:shd w:val="solid" w:color="FFFFFF" w:fill="auto"/>
          </w:tcPr>
          <w:p w14:paraId="616A5E5B" w14:textId="77777777" w:rsidR="00A10B25" w:rsidRDefault="00A10B25">
            <w:pPr>
              <w:pStyle w:val="TAL"/>
              <w:rPr>
                <w:sz w:val="16"/>
                <w:szCs w:val="16"/>
              </w:rPr>
            </w:pPr>
            <w:r>
              <w:rPr>
                <w:sz w:val="16"/>
                <w:szCs w:val="16"/>
              </w:rPr>
              <w:t>0369</w:t>
            </w:r>
          </w:p>
        </w:tc>
        <w:tc>
          <w:tcPr>
            <w:tcW w:w="423" w:type="dxa"/>
            <w:shd w:val="solid" w:color="FFFFFF" w:fill="auto"/>
          </w:tcPr>
          <w:p w14:paraId="48B2BC1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BE5F7C7"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105F3CBA" w14:textId="77777777" w:rsidR="00A10B25" w:rsidRDefault="00A10B25">
            <w:pPr>
              <w:pStyle w:val="TAL"/>
              <w:rPr>
                <w:sz w:val="16"/>
                <w:szCs w:val="16"/>
              </w:rPr>
            </w:pPr>
            <w:r>
              <w:rPr>
                <w:sz w:val="16"/>
                <w:szCs w:val="16"/>
              </w:rPr>
              <w:t>Support Redundant Transmission Experience Analytics in Nnwdaf_EventsSubscription API</w:t>
            </w:r>
          </w:p>
        </w:tc>
        <w:tc>
          <w:tcPr>
            <w:tcW w:w="706" w:type="dxa"/>
            <w:shd w:val="solid" w:color="FFFFFF" w:fill="auto"/>
          </w:tcPr>
          <w:p w14:paraId="30A95E39" w14:textId="77777777" w:rsidR="00A10B25" w:rsidRDefault="00A10B25">
            <w:pPr>
              <w:pStyle w:val="TAC"/>
              <w:rPr>
                <w:sz w:val="16"/>
                <w:szCs w:val="16"/>
              </w:rPr>
            </w:pPr>
            <w:r>
              <w:rPr>
                <w:sz w:val="16"/>
                <w:szCs w:val="16"/>
              </w:rPr>
              <w:t>17.6.0</w:t>
            </w:r>
          </w:p>
        </w:tc>
      </w:tr>
      <w:tr w:rsidR="00A10B25" w14:paraId="7C72F1D7" w14:textId="77777777">
        <w:tc>
          <w:tcPr>
            <w:tcW w:w="796" w:type="dxa"/>
            <w:shd w:val="solid" w:color="FFFFFF" w:fill="auto"/>
          </w:tcPr>
          <w:p w14:paraId="7EE97C7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E5A04C1"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E753A41" w14:textId="77777777" w:rsidR="00A10B25" w:rsidRDefault="00A10B25">
            <w:pPr>
              <w:pStyle w:val="TAC"/>
              <w:rPr>
                <w:sz w:val="16"/>
                <w:szCs w:val="16"/>
              </w:rPr>
            </w:pPr>
            <w:r>
              <w:rPr>
                <w:sz w:val="16"/>
                <w:szCs w:val="16"/>
              </w:rPr>
              <w:t>CP-220189</w:t>
            </w:r>
          </w:p>
        </w:tc>
        <w:tc>
          <w:tcPr>
            <w:tcW w:w="523" w:type="dxa"/>
            <w:shd w:val="solid" w:color="FFFFFF" w:fill="auto"/>
          </w:tcPr>
          <w:p w14:paraId="324896CC" w14:textId="77777777" w:rsidR="00A10B25" w:rsidRDefault="00A10B25">
            <w:pPr>
              <w:pStyle w:val="TAL"/>
              <w:rPr>
                <w:sz w:val="16"/>
                <w:szCs w:val="16"/>
              </w:rPr>
            </w:pPr>
            <w:r>
              <w:rPr>
                <w:sz w:val="16"/>
                <w:szCs w:val="16"/>
              </w:rPr>
              <w:t>0370</w:t>
            </w:r>
          </w:p>
        </w:tc>
        <w:tc>
          <w:tcPr>
            <w:tcW w:w="423" w:type="dxa"/>
            <w:shd w:val="solid" w:color="FFFFFF" w:fill="auto"/>
          </w:tcPr>
          <w:p w14:paraId="25CDD904" w14:textId="77777777" w:rsidR="00A10B25" w:rsidRDefault="00A10B25">
            <w:pPr>
              <w:pStyle w:val="TAR"/>
              <w:rPr>
                <w:sz w:val="16"/>
                <w:szCs w:val="16"/>
              </w:rPr>
            </w:pPr>
          </w:p>
        </w:tc>
        <w:tc>
          <w:tcPr>
            <w:tcW w:w="423" w:type="dxa"/>
            <w:shd w:val="solid" w:color="FFFFFF" w:fill="auto"/>
          </w:tcPr>
          <w:p w14:paraId="650B3E2D"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7B5D2860" w14:textId="77777777" w:rsidR="00A10B25" w:rsidRDefault="00A10B25">
            <w:pPr>
              <w:pStyle w:val="TAL"/>
              <w:rPr>
                <w:sz w:val="16"/>
                <w:szCs w:val="16"/>
              </w:rPr>
            </w:pPr>
            <w:r>
              <w:rPr>
                <w:sz w:val="16"/>
                <w:szCs w:val="16"/>
              </w:rPr>
              <w:t>Support Redundant Transmission Experience Analytics in Nnwdaf_AnalyticsInfo API</w:t>
            </w:r>
          </w:p>
        </w:tc>
        <w:tc>
          <w:tcPr>
            <w:tcW w:w="706" w:type="dxa"/>
            <w:shd w:val="solid" w:color="FFFFFF" w:fill="auto"/>
          </w:tcPr>
          <w:p w14:paraId="3FE2D785" w14:textId="77777777" w:rsidR="00A10B25" w:rsidRDefault="00A10B25">
            <w:pPr>
              <w:pStyle w:val="TAC"/>
              <w:rPr>
                <w:sz w:val="16"/>
                <w:szCs w:val="16"/>
              </w:rPr>
            </w:pPr>
            <w:r>
              <w:rPr>
                <w:sz w:val="16"/>
                <w:szCs w:val="16"/>
              </w:rPr>
              <w:t>17.6.0</w:t>
            </w:r>
          </w:p>
        </w:tc>
      </w:tr>
      <w:tr w:rsidR="00A10B25" w14:paraId="2A7D5020" w14:textId="77777777">
        <w:tc>
          <w:tcPr>
            <w:tcW w:w="796" w:type="dxa"/>
            <w:shd w:val="solid" w:color="FFFFFF" w:fill="auto"/>
          </w:tcPr>
          <w:p w14:paraId="60B4ADDB" w14:textId="77777777" w:rsidR="00A10B25" w:rsidRDefault="00A10B25">
            <w:pPr>
              <w:pStyle w:val="TAC"/>
              <w:rPr>
                <w:sz w:val="16"/>
                <w:szCs w:val="16"/>
              </w:rPr>
            </w:pPr>
            <w:r>
              <w:rPr>
                <w:rFonts w:hint="eastAsia"/>
                <w:sz w:val="16"/>
                <w:szCs w:val="16"/>
                <w:lang w:val="en-US" w:eastAsia="zh-CN"/>
              </w:rPr>
              <w:lastRenderedPageBreak/>
              <w:t>2</w:t>
            </w:r>
            <w:r>
              <w:rPr>
                <w:sz w:val="16"/>
                <w:szCs w:val="16"/>
                <w:lang w:val="en-US" w:eastAsia="zh-CN"/>
              </w:rPr>
              <w:t>022-03</w:t>
            </w:r>
          </w:p>
        </w:tc>
        <w:tc>
          <w:tcPr>
            <w:tcW w:w="828" w:type="dxa"/>
            <w:shd w:val="solid" w:color="FFFFFF" w:fill="auto"/>
          </w:tcPr>
          <w:p w14:paraId="0E7E8201"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64E12DE" w14:textId="77777777" w:rsidR="00A10B25" w:rsidRDefault="00A10B25">
            <w:pPr>
              <w:pStyle w:val="TAC"/>
              <w:rPr>
                <w:sz w:val="16"/>
                <w:szCs w:val="16"/>
              </w:rPr>
            </w:pPr>
            <w:r>
              <w:rPr>
                <w:sz w:val="16"/>
                <w:szCs w:val="16"/>
              </w:rPr>
              <w:t>CP-220191</w:t>
            </w:r>
          </w:p>
        </w:tc>
        <w:tc>
          <w:tcPr>
            <w:tcW w:w="523" w:type="dxa"/>
            <w:shd w:val="solid" w:color="FFFFFF" w:fill="auto"/>
          </w:tcPr>
          <w:p w14:paraId="1C369276" w14:textId="77777777" w:rsidR="00A10B25" w:rsidRDefault="00A10B25">
            <w:pPr>
              <w:pStyle w:val="TAL"/>
              <w:rPr>
                <w:sz w:val="16"/>
                <w:szCs w:val="16"/>
              </w:rPr>
            </w:pPr>
            <w:r>
              <w:rPr>
                <w:sz w:val="16"/>
                <w:szCs w:val="16"/>
              </w:rPr>
              <w:t>0371</w:t>
            </w:r>
          </w:p>
        </w:tc>
        <w:tc>
          <w:tcPr>
            <w:tcW w:w="423" w:type="dxa"/>
            <w:shd w:val="solid" w:color="FFFFFF" w:fill="auto"/>
          </w:tcPr>
          <w:p w14:paraId="749D7B1A" w14:textId="77777777" w:rsidR="00A10B25" w:rsidRDefault="00A10B25">
            <w:pPr>
              <w:pStyle w:val="TAR"/>
              <w:rPr>
                <w:sz w:val="16"/>
                <w:szCs w:val="16"/>
              </w:rPr>
            </w:pPr>
            <w:r>
              <w:rPr>
                <w:sz w:val="16"/>
                <w:szCs w:val="16"/>
                <w:lang w:eastAsia="zh-CN"/>
              </w:rPr>
              <w:t>2</w:t>
            </w:r>
          </w:p>
        </w:tc>
        <w:tc>
          <w:tcPr>
            <w:tcW w:w="423" w:type="dxa"/>
            <w:shd w:val="solid" w:color="FFFFFF" w:fill="auto"/>
          </w:tcPr>
          <w:p w14:paraId="5888842A"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08431282" w14:textId="77777777" w:rsidR="00A10B25" w:rsidRDefault="00A10B25">
            <w:pPr>
              <w:pStyle w:val="TAL"/>
              <w:rPr>
                <w:sz w:val="16"/>
                <w:szCs w:val="16"/>
              </w:rPr>
            </w:pPr>
            <w:r>
              <w:rPr>
                <w:sz w:val="16"/>
                <w:szCs w:val="16"/>
              </w:rPr>
              <w:t>Support WLAN performance analytics in Nnwdaf_EventsSubscription API</w:t>
            </w:r>
          </w:p>
        </w:tc>
        <w:tc>
          <w:tcPr>
            <w:tcW w:w="706" w:type="dxa"/>
            <w:shd w:val="solid" w:color="FFFFFF" w:fill="auto"/>
          </w:tcPr>
          <w:p w14:paraId="1029B123" w14:textId="77777777" w:rsidR="00A10B25" w:rsidRDefault="00A10B25">
            <w:pPr>
              <w:pStyle w:val="TAC"/>
              <w:rPr>
                <w:sz w:val="16"/>
                <w:szCs w:val="16"/>
              </w:rPr>
            </w:pPr>
            <w:r>
              <w:rPr>
                <w:sz w:val="16"/>
                <w:szCs w:val="16"/>
              </w:rPr>
              <w:t>17.6.0</w:t>
            </w:r>
          </w:p>
        </w:tc>
      </w:tr>
      <w:tr w:rsidR="00A10B25" w14:paraId="65F734EF" w14:textId="77777777">
        <w:tc>
          <w:tcPr>
            <w:tcW w:w="796" w:type="dxa"/>
            <w:shd w:val="solid" w:color="FFFFFF" w:fill="auto"/>
          </w:tcPr>
          <w:p w14:paraId="2477AF3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E8AD2A4"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EBF8D62" w14:textId="77777777" w:rsidR="00A10B25" w:rsidRDefault="00A10B25">
            <w:pPr>
              <w:pStyle w:val="TAC"/>
              <w:rPr>
                <w:sz w:val="16"/>
                <w:szCs w:val="16"/>
              </w:rPr>
            </w:pPr>
            <w:r>
              <w:rPr>
                <w:sz w:val="16"/>
                <w:szCs w:val="16"/>
              </w:rPr>
              <w:t>CP-220189</w:t>
            </w:r>
          </w:p>
        </w:tc>
        <w:tc>
          <w:tcPr>
            <w:tcW w:w="523" w:type="dxa"/>
            <w:shd w:val="solid" w:color="FFFFFF" w:fill="auto"/>
          </w:tcPr>
          <w:p w14:paraId="259FBE19" w14:textId="77777777" w:rsidR="00A10B25" w:rsidRDefault="00A10B25">
            <w:pPr>
              <w:pStyle w:val="TAL"/>
              <w:rPr>
                <w:sz w:val="16"/>
                <w:szCs w:val="16"/>
              </w:rPr>
            </w:pPr>
            <w:r>
              <w:rPr>
                <w:sz w:val="16"/>
                <w:szCs w:val="16"/>
              </w:rPr>
              <w:t>0372</w:t>
            </w:r>
          </w:p>
        </w:tc>
        <w:tc>
          <w:tcPr>
            <w:tcW w:w="423" w:type="dxa"/>
            <w:shd w:val="solid" w:color="FFFFFF" w:fill="auto"/>
          </w:tcPr>
          <w:p w14:paraId="7C4C823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E2CA6F1"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320D241F" w14:textId="77777777" w:rsidR="00A10B25" w:rsidRDefault="00A10B25">
            <w:pPr>
              <w:pStyle w:val="TAL"/>
              <w:rPr>
                <w:sz w:val="16"/>
                <w:szCs w:val="16"/>
              </w:rPr>
            </w:pPr>
            <w:r>
              <w:rPr>
                <w:sz w:val="16"/>
                <w:szCs w:val="16"/>
              </w:rPr>
              <w:t>Support WLAN performance analytics in Nnwdaf_AnalyticsInfo API</w:t>
            </w:r>
          </w:p>
        </w:tc>
        <w:tc>
          <w:tcPr>
            <w:tcW w:w="706" w:type="dxa"/>
            <w:shd w:val="solid" w:color="FFFFFF" w:fill="auto"/>
          </w:tcPr>
          <w:p w14:paraId="3D2F986C" w14:textId="77777777" w:rsidR="00A10B25" w:rsidRDefault="00A10B25">
            <w:pPr>
              <w:pStyle w:val="TAC"/>
              <w:rPr>
                <w:sz w:val="16"/>
                <w:szCs w:val="16"/>
              </w:rPr>
            </w:pPr>
            <w:r>
              <w:rPr>
                <w:sz w:val="16"/>
                <w:szCs w:val="16"/>
              </w:rPr>
              <w:t>17.6.0</w:t>
            </w:r>
          </w:p>
        </w:tc>
      </w:tr>
      <w:tr w:rsidR="00A10B25" w14:paraId="7116D54E" w14:textId="77777777">
        <w:tc>
          <w:tcPr>
            <w:tcW w:w="796" w:type="dxa"/>
            <w:shd w:val="solid" w:color="FFFFFF" w:fill="auto"/>
          </w:tcPr>
          <w:p w14:paraId="57B69C8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39FA982"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6F36981F" w14:textId="77777777" w:rsidR="00A10B25" w:rsidRDefault="00A10B25">
            <w:pPr>
              <w:pStyle w:val="TAC"/>
              <w:rPr>
                <w:sz w:val="16"/>
                <w:szCs w:val="16"/>
              </w:rPr>
            </w:pPr>
            <w:r>
              <w:rPr>
                <w:sz w:val="16"/>
                <w:szCs w:val="16"/>
              </w:rPr>
              <w:t>CP-220189</w:t>
            </w:r>
          </w:p>
        </w:tc>
        <w:tc>
          <w:tcPr>
            <w:tcW w:w="523" w:type="dxa"/>
            <w:shd w:val="solid" w:color="FFFFFF" w:fill="auto"/>
          </w:tcPr>
          <w:p w14:paraId="1C76CA6F" w14:textId="77777777" w:rsidR="00A10B25" w:rsidRDefault="00A10B25">
            <w:pPr>
              <w:pStyle w:val="TAL"/>
              <w:rPr>
                <w:sz w:val="16"/>
                <w:szCs w:val="16"/>
              </w:rPr>
            </w:pPr>
            <w:r>
              <w:rPr>
                <w:sz w:val="16"/>
                <w:szCs w:val="16"/>
              </w:rPr>
              <w:t>0373</w:t>
            </w:r>
          </w:p>
        </w:tc>
        <w:tc>
          <w:tcPr>
            <w:tcW w:w="423" w:type="dxa"/>
            <w:shd w:val="solid" w:color="FFFFFF" w:fill="auto"/>
          </w:tcPr>
          <w:p w14:paraId="1440D0D4" w14:textId="77777777" w:rsidR="00A10B25" w:rsidRDefault="00A10B25">
            <w:pPr>
              <w:pStyle w:val="TAR"/>
              <w:rPr>
                <w:sz w:val="16"/>
                <w:szCs w:val="16"/>
              </w:rPr>
            </w:pPr>
          </w:p>
        </w:tc>
        <w:tc>
          <w:tcPr>
            <w:tcW w:w="423" w:type="dxa"/>
            <w:shd w:val="solid" w:color="FFFFFF" w:fill="auto"/>
          </w:tcPr>
          <w:p w14:paraId="159819F4"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07285D51" w14:textId="77777777" w:rsidR="00A10B25" w:rsidRDefault="00A10B25">
            <w:pPr>
              <w:pStyle w:val="TAL"/>
              <w:rPr>
                <w:sz w:val="16"/>
                <w:szCs w:val="16"/>
              </w:rPr>
            </w:pPr>
            <w:r>
              <w:rPr>
                <w:sz w:val="16"/>
                <w:szCs w:val="16"/>
              </w:rPr>
              <w:t>Corrections to DN Performance Events</w:t>
            </w:r>
          </w:p>
        </w:tc>
        <w:tc>
          <w:tcPr>
            <w:tcW w:w="706" w:type="dxa"/>
            <w:shd w:val="solid" w:color="FFFFFF" w:fill="auto"/>
          </w:tcPr>
          <w:p w14:paraId="32909E54" w14:textId="77777777" w:rsidR="00A10B25" w:rsidRDefault="00A10B25">
            <w:pPr>
              <w:pStyle w:val="TAC"/>
              <w:rPr>
                <w:sz w:val="16"/>
                <w:szCs w:val="16"/>
              </w:rPr>
            </w:pPr>
            <w:r>
              <w:rPr>
                <w:sz w:val="16"/>
                <w:szCs w:val="16"/>
              </w:rPr>
              <w:t>17.6.0</w:t>
            </w:r>
          </w:p>
        </w:tc>
      </w:tr>
      <w:tr w:rsidR="00A10B25" w14:paraId="3CB49832" w14:textId="77777777">
        <w:tc>
          <w:tcPr>
            <w:tcW w:w="796" w:type="dxa"/>
            <w:shd w:val="solid" w:color="FFFFFF" w:fill="auto"/>
          </w:tcPr>
          <w:p w14:paraId="1401F48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2A0F3EDB"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5EB208A" w14:textId="77777777" w:rsidR="00A10B25" w:rsidRDefault="00A10B25">
            <w:pPr>
              <w:pStyle w:val="TAC"/>
              <w:rPr>
                <w:sz w:val="16"/>
                <w:szCs w:val="16"/>
              </w:rPr>
            </w:pPr>
            <w:r>
              <w:rPr>
                <w:sz w:val="16"/>
                <w:szCs w:val="16"/>
              </w:rPr>
              <w:t>CP-220189</w:t>
            </w:r>
          </w:p>
        </w:tc>
        <w:tc>
          <w:tcPr>
            <w:tcW w:w="523" w:type="dxa"/>
            <w:shd w:val="solid" w:color="FFFFFF" w:fill="auto"/>
          </w:tcPr>
          <w:p w14:paraId="484C24D3" w14:textId="77777777" w:rsidR="00A10B25" w:rsidRDefault="00A10B25">
            <w:pPr>
              <w:pStyle w:val="TAL"/>
              <w:rPr>
                <w:sz w:val="16"/>
                <w:szCs w:val="16"/>
              </w:rPr>
            </w:pPr>
            <w:r>
              <w:rPr>
                <w:sz w:val="16"/>
                <w:szCs w:val="16"/>
              </w:rPr>
              <w:t>0374</w:t>
            </w:r>
          </w:p>
        </w:tc>
        <w:tc>
          <w:tcPr>
            <w:tcW w:w="423" w:type="dxa"/>
            <w:shd w:val="solid" w:color="FFFFFF" w:fill="auto"/>
          </w:tcPr>
          <w:p w14:paraId="2C2D9290" w14:textId="77777777" w:rsidR="00A10B25" w:rsidRDefault="00A10B25">
            <w:pPr>
              <w:pStyle w:val="TAR"/>
              <w:rPr>
                <w:sz w:val="16"/>
                <w:szCs w:val="16"/>
              </w:rPr>
            </w:pPr>
            <w:r>
              <w:rPr>
                <w:sz w:val="16"/>
                <w:szCs w:val="16"/>
                <w:lang w:eastAsia="zh-CN"/>
              </w:rPr>
              <w:t>1</w:t>
            </w:r>
          </w:p>
        </w:tc>
        <w:tc>
          <w:tcPr>
            <w:tcW w:w="423" w:type="dxa"/>
            <w:shd w:val="solid" w:color="FFFFFF" w:fill="auto"/>
          </w:tcPr>
          <w:p w14:paraId="6B5C64F8" w14:textId="77777777" w:rsidR="00A10B25" w:rsidRDefault="00A10B25">
            <w:pPr>
              <w:pStyle w:val="TAC"/>
              <w:rPr>
                <w:sz w:val="16"/>
                <w:szCs w:val="16"/>
              </w:rPr>
            </w:pPr>
            <w:r>
              <w:rPr>
                <w:rFonts w:hint="eastAsia"/>
                <w:sz w:val="16"/>
                <w:szCs w:val="16"/>
                <w:lang w:val="en-US" w:eastAsia="zh-CN"/>
              </w:rPr>
              <w:t>B</w:t>
            </w:r>
          </w:p>
        </w:tc>
        <w:tc>
          <w:tcPr>
            <w:tcW w:w="4899" w:type="dxa"/>
            <w:shd w:val="solid" w:color="FFFFFF" w:fill="auto"/>
          </w:tcPr>
          <w:p w14:paraId="529A62F2" w14:textId="77777777" w:rsidR="00A10B25" w:rsidRDefault="00A10B25">
            <w:pPr>
              <w:pStyle w:val="TAL"/>
              <w:rPr>
                <w:sz w:val="16"/>
                <w:szCs w:val="16"/>
              </w:rPr>
            </w:pPr>
            <w:r>
              <w:rPr>
                <w:sz w:val="16"/>
                <w:szCs w:val="16"/>
              </w:rPr>
              <w:t>Update extended features description and analytics events applicability</w:t>
            </w:r>
          </w:p>
        </w:tc>
        <w:tc>
          <w:tcPr>
            <w:tcW w:w="706" w:type="dxa"/>
            <w:shd w:val="solid" w:color="FFFFFF" w:fill="auto"/>
          </w:tcPr>
          <w:p w14:paraId="07D2CAA4" w14:textId="77777777" w:rsidR="00A10B25" w:rsidRDefault="00A10B25">
            <w:pPr>
              <w:pStyle w:val="TAC"/>
              <w:rPr>
                <w:sz w:val="16"/>
                <w:szCs w:val="16"/>
              </w:rPr>
            </w:pPr>
            <w:r>
              <w:rPr>
                <w:sz w:val="16"/>
                <w:szCs w:val="16"/>
              </w:rPr>
              <w:t>17.6.0</w:t>
            </w:r>
          </w:p>
        </w:tc>
      </w:tr>
      <w:tr w:rsidR="00A10B25" w14:paraId="3EA0798B" w14:textId="77777777">
        <w:tc>
          <w:tcPr>
            <w:tcW w:w="796" w:type="dxa"/>
            <w:shd w:val="solid" w:color="FFFFFF" w:fill="auto"/>
          </w:tcPr>
          <w:p w14:paraId="773F8CD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C0B8D77"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23EFB40" w14:textId="77777777" w:rsidR="00A10B25" w:rsidRDefault="00A10B25">
            <w:pPr>
              <w:pStyle w:val="TAC"/>
              <w:rPr>
                <w:sz w:val="16"/>
                <w:szCs w:val="16"/>
              </w:rPr>
            </w:pPr>
            <w:r>
              <w:rPr>
                <w:sz w:val="16"/>
                <w:szCs w:val="16"/>
              </w:rPr>
              <w:t>CP-220189</w:t>
            </w:r>
          </w:p>
        </w:tc>
        <w:tc>
          <w:tcPr>
            <w:tcW w:w="523" w:type="dxa"/>
            <w:shd w:val="solid" w:color="FFFFFF" w:fill="auto"/>
          </w:tcPr>
          <w:p w14:paraId="0539AB1B" w14:textId="77777777" w:rsidR="00A10B25" w:rsidRDefault="00A10B25">
            <w:pPr>
              <w:pStyle w:val="TAL"/>
              <w:rPr>
                <w:sz w:val="16"/>
                <w:szCs w:val="16"/>
              </w:rPr>
            </w:pPr>
            <w:r>
              <w:rPr>
                <w:sz w:val="16"/>
                <w:szCs w:val="16"/>
              </w:rPr>
              <w:t>0375</w:t>
            </w:r>
          </w:p>
        </w:tc>
        <w:tc>
          <w:tcPr>
            <w:tcW w:w="423" w:type="dxa"/>
            <w:shd w:val="solid" w:color="FFFFFF" w:fill="auto"/>
          </w:tcPr>
          <w:p w14:paraId="1065F105" w14:textId="77777777" w:rsidR="00A10B25" w:rsidRDefault="00A10B25">
            <w:pPr>
              <w:pStyle w:val="TAR"/>
              <w:rPr>
                <w:sz w:val="16"/>
                <w:szCs w:val="16"/>
              </w:rPr>
            </w:pPr>
            <w:r>
              <w:rPr>
                <w:sz w:val="16"/>
                <w:szCs w:val="16"/>
                <w:lang w:eastAsia="zh-CN"/>
              </w:rPr>
              <w:t>1</w:t>
            </w:r>
          </w:p>
        </w:tc>
        <w:tc>
          <w:tcPr>
            <w:tcW w:w="423" w:type="dxa"/>
            <w:shd w:val="solid" w:color="FFFFFF" w:fill="auto"/>
          </w:tcPr>
          <w:p w14:paraId="31DC07DC"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612661DB" w14:textId="77777777" w:rsidR="00A10B25" w:rsidRDefault="00A10B25">
            <w:pPr>
              <w:pStyle w:val="TAL"/>
              <w:rPr>
                <w:sz w:val="16"/>
                <w:szCs w:val="16"/>
              </w:rPr>
            </w:pPr>
            <w:r>
              <w:rPr>
                <w:sz w:val="16"/>
                <w:szCs w:val="16"/>
              </w:rPr>
              <w:t>Corrections to Nnwdaf_AnalyticsInfo Service</w:t>
            </w:r>
          </w:p>
        </w:tc>
        <w:tc>
          <w:tcPr>
            <w:tcW w:w="706" w:type="dxa"/>
            <w:shd w:val="solid" w:color="FFFFFF" w:fill="auto"/>
          </w:tcPr>
          <w:p w14:paraId="1884EDB8" w14:textId="77777777" w:rsidR="00A10B25" w:rsidRDefault="00A10B25">
            <w:pPr>
              <w:pStyle w:val="TAC"/>
              <w:rPr>
                <w:sz w:val="16"/>
                <w:szCs w:val="16"/>
              </w:rPr>
            </w:pPr>
            <w:r>
              <w:rPr>
                <w:sz w:val="16"/>
                <w:szCs w:val="16"/>
              </w:rPr>
              <w:t>17.6.0</w:t>
            </w:r>
          </w:p>
        </w:tc>
      </w:tr>
      <w:tr w:rsidR="00A10B25" w14:paraId="598D1E1B" w14:textId="77777777">
        <w:tc>
          <w:tcPr>
            <w:tcW w:w="796" w:type="dxa"/>
            <w:shd w:val="solid" w:color="FFFFFF" w:fill="auto"/>
          </w:tcPr>
          <w:p w14:paraId="2D63B13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6491B3FD"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4B2CF2C" w14:textId="77777777" w:rsidR="00A10B25" w:rsidRDefault="00A10B25">
            <w:pPr>
              <w:pStyle w:val="TAC"/>
              <w:rPr>
                <w:sz w:val="16"/>
                <w:szCs w:val="16"/>
              </w:rPr>
            </w:pPr>
            <w:r>
              <w:rPr>
                <w:sz w:val="16"/>
                <w:szCs w:val="16"/>
              </w:rPr>
              <w:t>CP-220190</w:t>
            </w:r>
          </w:p>
        </w:tc>
        <w:tc>
          <w:tcPr>
            <w:tcW w:w="523" w:type="dxa"/>
            <w:shd w:val="solid" w:color="FFFFFF" w:fill="auto"/>
          </w:tcPr>
          <w:p w14:paraId="1AC291CB" w14:textId="77777777" w:rsidR="00A10B25" w:rsidRDefault="00A10B25">
            <w:pPr>
              <w:pStyle w:val="TAL"/>
              <w:rPr>
                <w:sz w:val="16"/>
                <w:szCs w:val="16"/>
              </w:rPr>
            </w:pPr>
            <w:r>
              <w:rPr>
                <w:sz w:val="16"/>
                <w:szCs w:val="16"/>
              </w:rPr>
              <w:t>0376</w:t>
            </w:r>
          </w:p>
        </w:tc>
        <w:tc>
          <w:tcPr>
            <w:tcW w:w="423" w:type="dxa"/>
            <w:shd w:val="solid" w:color="FFFFFF" w:fill="auto"/>
          </w:tcPr>
          <w:p w14:paraId="355FE52D" w14:textId="77777777" w:rsidR="00A10B25" w:rsidRDefault="00A10B25">
            <w:pPr>
              <w:pStyle w:val="TAR"/>
              <w:rPr>
                <w:sz w:val="16"/>
                <w:szCs w:val="16"/>
              </w:rPr>
            </w:pPr>
            <w:r>
              <w:rPr>
                <w:sz w:val="16"/>
                <w:szCs w:val="16"/>
                <w:lang w:eastAsia="zh-CN"/>
              </w:rPr>
              <w:t>1</w:t>
            </w:r>
          </w:p>
        </w:tc>
        <w:tc>
          <w:tcPr>
            <w:tcW w:w="423" w:type="dxa"/>
            <w:shd w:val="solid" w:color="FFFFFF" w:fill="auto"/>
          </w:tcPr>
          <w:p w14:paraId="3AE7AD50"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64F0B837" w14:textId="77777777" w:rsidR="00A10B25" w:rsidRDefault="00A10B25">
            <w:pPr>
              <w:pStyle w:val="TAL"/>
              <w:rPr>
                <w:sz w:val="16"/>
                <w:szCs w:val="16"/>
              </w:rPr>
            </w:pPr>
            <w:r>
              <w:rPr>
                <w:sz w:val="16"/>
                <w:szCs w:val="16"/>
              </w:rPr>
              <w:t>Clarification on GPSI for UserDataCongestionExt</w:t>
            </w:r>
          </w:p>
        </w:tc>
        <w:tc>
          <w:tcPr>
            <w:tcW w:w="706" w:type="dxa"/>
            <w:shd w:val="solid" w:color="FFFFFF" w:fill="auto"/>
          </w:tcPr>
          <w:p w14:paraId="01D8143D" w14:textId="77777777" w:rsidR="00A10B25" w:rsidRDefault="00A10B25">
            <w:pPr>
              <w:pStyle w:val="TAC"/>
              <w:rPr>
                <w:sz w:val="16"/>
                <w:szCs w:val="16"/>
              </w:rPr>
            </w:pPr>
            <w:r>
              <w:rPr>
                <w:sz w:val="16"/>
                <w:szCs w:val="16"/>
              </w:rPr>
              <w:t>17.6.0</w:t>
            </w:r>
          </w:p>
        </w:tc>
      </w:tr>
      <w:tr w:rsidR="00A10B25" w14:paraId="08D0565A" w14:textId="77777777">
        <w:tc>
          <w:tcPr>
            <w:tcW w:w="796" w:type="dxa"/>
            <w:shd w:val="solid" w:color="FFFFFF" w:fill="auto"/>
          </w:tcPr>
          <w:p w14:paraId="15C8E9A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7B7543F"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F27ECC6" w14:textId="77777777" w:rsidR="00A10B25" w:rsidRDefault="00A10B25">
            <w:pPr>
              <w:pStyle w:val="TAC"/>
              <w:rPr>
                <w:sz w:val="16"/>
                <w:szCs w:val="16"/>
              </w:rPr>
            </w:pPr>
            <w:r>
              <w:rPr>
                <w:sz w:val="16"/>
                <w:szCs w:val="16"/>
              </w:rPr>
              <w:t>CP-220190</w:t>
            </w:r>
          </w:p>
        </w:tc>
        <w:tc>
          <w:tcPr>
            <w:tcW w:w="523" w:type="dxa"/>
            <w:shd w:val="solid" w:color="FFFFFF" w:fill="auto"/>
          </w:tcPr>
          <w:p w14:paraId="29B33362" w14:textId="77777777" w:rsidR="00A10B25" w:rsidRDefault="00A10B25">
            <w:pPr>
              <w:pStyle w:val="TAL"/>
              <w:rPr>
                <w:sz w:val="16"/>
                <w:szCs w:val="16"/>
              </w:rPr>
            </w:pPr>
            <w:r>
              <w:rPr>
                <w:sz w:val="16"/>
                <w:szCs w:val="16"/>
              </w:rPr>
              <w:t>0377</w:t>
            </w:r>
          </w:p>
        </w:tc>
        <w:tc>
          <w:tcPr>
            <w:tcW w:w="423" w:type="dxa"/>
            <w:shd w:val="solid" w:color="FFFFFF" w:fill="auto"/>
          </w:tcPr>
          <w:p w14:paraId="5AC70D11" w14:textId="77777777" w:rsidR="00A10B25" w:rsidRDefault="00A10B25">
            <w:pPr>
              <w:pStyle w:val="TAR"/>
              <w:rPr>
                <w:sz w:val="16"/>
                <w:szCs w:val="16"/>
              </w:rPr>
            </w:pPr>
            <w:r>
              <w:rPr>
                <w:sz w:val="16"/>
                <w:szCs w:val="16"/>
                <w:lang w:eastAsia="zh-CN"/>
              </w:rPr>
              <w:t>1</w:t>
            </w:r>
          </w:p>
        </w:tc>
        <w:tc>
          <w:tcPr>
            <w:tcW w:w="423" w:type="dxa"/>
            <w:shd w:val="solid" w:color="FFFFFF" w:fill="auto"/>
          </w:tcPr>
          <w:p w14:paraId="214D368B"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A324585" w14:textId="77777777" w:rsidR="00A10B25" w:rsidRDefault="00A10B25">
            <w:pPr>
              <w:pStyle w:val="TAL"/>
              <w:rPr>
                <w:sz w:val="16"/>
                <w:szCs w:val="16"/>
              </w:rPr>
            </w:pPr>
            <w:r>
              <w:rPr>
                <w:sz w:val="16"/>
                <w:szCs w:val="16"/>
              </w:rPr>
              <w:t>Features in the applicability section</w:t>
            </w:r>
          </w:p>
        </w:tc>
        <w:tc>
          <w:tcPr>
            <w:tcW w:w="706" w:type="dxa"/>
            <w:shd w:val="solid" w:color="FFFFFF" w:fill="auto"/>
          </w:tcPr>
          <w:p w14:paraId="65A1BCAE" w14:textId="77777777" w:rsidR="00A10B25" w:rsidRDefault="00A10B25">
            <w:pPr>
              <w:pStyle w:val="TAC"/>
              <w:rPr>
                <w:sz w:val="16"/>
                <w:szCs w:val="16"/>
              </w:rPr>
            </w:pPr>
            <w:r>
              <w:rPr>
                <w:sz w:val="16"/>
                <w:szCs w:val="16"/>
              </w:rPr>
              <w:t>17.6.0</w:t>
            </w:r>
          </w:p>
        </w:tc>
      </w:tr>
      <w:tr w:rsidR="00A10B25" w14:paraId="04AE35EA" w14:textId="77777777">
        <w:tc>
          <w:tcPr>
            <w:tcW w:w="796" w:type="dxa"/>
            <w:shd w:val="solid" w:color="FFFFFF" w:fill="auto"/>
          </w:tcPr>
          <w:p w14:paraId="3B8D66D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AAEAC55"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A160022" w14:textId="77777777" w:rsidR="00A10B25" w:rsidRDefault="00A10B25">
            <w:pPr>
              <w:pStyle w:val="TAC"/>
              <w:rPr>
                <w:sz w:val="16"/>
                <w:szCs w:val="16"/>
              </w:rPr>
            </w:pPr>
            <w:r>
              <w:rPr>
                <w:sz w:val="16"/>
                <w:szCs w:val="16"/>
              </w:rPr>
              <w:t>CP-220190</w:t>
            </w:r>
          </w:p>
        </w:tc>
        <w:tc>
          <w:tcPr>
            <w:tcW w:w="523" w:type="dxa"/>
            <w:shd w:val="solid" w:color="FFFFFF" w:fill="auto"/>
          </w:tcPr>
          <w:p w14:paraId="19100E97" w14:textId="77777777" w:rsidR="00A10B25" w:rsidRDefault="00A10B25">
            <w:pPr>
              <w:pStyle w:val="TAL"/>
              <w:rPr>
                <w:sz w:val="16"/>
                <w:szCs w:val="16"/>
              </w:rPr>
            </w:pPr>
            <w:r>
              <w:rPr>
                <w:sz w:val="16"/>
                <w:szCs w:val="16"/>
              </w:rPr>
              <w:t>0378</w:t>
            </w:r>
          </w:p>
        </w:tc>
        <w:tc>
          <w:tcPr>
            <w:tcW w:w="423" w:type="dxa"/>
            <w:shd w:val="solid" w:color="FFFFFF" w:fill="auto"/>
          </w:tcPr>
          <w:p w14:paraId="180C8276" w14:textId="77777777" w:rsidR="00A10B25" w:rsidRDefault="00A10B25">
            <w:pPr>
              <w:pStyle w:val="TAR"/>
              <w:rPr>
                <w:sz w:val="16"/>
                <w:szCs w:val="16"/>
              </w:rPr>
            </w:pPr>
            <w:r>
              <w:rPr>
                <w:sz w:val="16"/>
                <w:szCs w:val="16"/>
                <w:lang w:eastAsia="zh-CN"/>
              </w:rPr>
              <w:t>1</w:t>
            </w:r>
          </w:p>
        </w:tc>
        <w:tc>
          <w:tcPr>
            <w:tcW w:w="423" w:type="dxa"/>
            <w:shd w:val="solid" w:color="FFFFFF" w:fill="auto"/>
          </w:tcPr>
          <w:p w14:paraId="32F5A6E9"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1510FB69" w14:textId="77777777" w:rsidR="00A10B25" w:rsidRDefault="00A10B25">
            <w:pPr>
              <w:pStyle w:val="TAL"/>
              <w:rPr>
                <w:sz w:val="16"/>
                <w:szCs w:val="16"/>
              </w:rPr>
            </w:pPr>
            <w:r>
              <w:rPr>
                <w:sz w:val="16"/>
                <w:szCs w:val="16"/>
              </w:rPr>
              <w:t>Update of 5.1.6.1</w:t>
            </w:r>
          </w:p>
        </w:tc>
        <w:tc>
          <w:tcPr>
            <w:tcW w:w="706" w:type="dxa"/>
            <w:shd w:val="solid" w:color="FFFFFF" w:fill="auto"/>
          </w:tcPr>
          <w:p w14:paraId="4789988D" w14:textId="77777777" w:rsidR="00A10B25" w:rsidRDefault="00A10B25">
            <w:pPr>
              <w:pStyle w:val="TAC"/>
              <w:rPr>
                <w:sz w:val="16"/>
                <w:szCs w:val="16"/>
              </w:rPr>
            </w:pPr>
            <w:r>
              <w:rPr>
                <w:sz w:val="16"/>
                <w:szCs w:val="16"/>
              </w:rPr>
              <w:t>17.6.0</w:t>
            </w:r>
          </w:p>
        </w:tc>
      </w:tr>
      <w:tr w:rsidR="00A10B25" w14:paraId="45CF1D8E" w14:textId="77777777">
        <w:tc>
          <w:tcPr>
            <w:tcW w:w="796" w:type="dxa"/>
            <w:shd w:val="solid" w:color="FFFFFF" w:fill="auto"/>
          </w:tcPr>
          <w:p w14:paraId="2A56F99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65B12C48"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8FCA29E" w14:textId="77777777" w:rsidR="00A10B25" w:rsidRDefault="00A10B25">
            <w:pPr>
              <w:pStyle w:val="TAC"/>
              <w:rPr>
                <w:sz w:val="16"/>
                <w:szCs w:val="16"/>
              </w:rPr>
            </w:pPr>
            <w:r>
              <w:rPr>
                <w:sz w:val="16"/>
                <w:szCs w:val="16"/>
              </w:rPr>
              <w:t>CP-220190</w:t>
            </w:r>
          </w:p>
        </w:tc>
        <w:tc>
          <w:tcPr>
            <w:tcW w:w="523" w:type="dxa"/>
            <w:shd w:val="solid" w:color="FFFFFF" w:fill="auto"/>
          </w:tcPr>
          <w:p w14:paraId="6EF766C8" w14:textId="77777777" w:rsidR="00A10B25" w:rsidRDefault="00A10B25">
            <w:pPr>
              <w:pStyle w:val="TAL"/>
              <w:rPr>
                <w:sz w:val="16"/>
                <w:szCs w:val="16"/>
              </w:rPr>
            </w:pPr>
            <w:r>
              <w:rPr>
                <w:sz w:val="16"/>
                <w:szCs w:val="16"/>
              </w:rPr>
              <w:t>0379</w:t>
            </w:r>
          </w:p>
        </w:tc>
        <w:tc>
          <w:tcPr>
            <w:tcW w:w="423" w:type="dxa"/>
            <w:shd w:val="solid" w:color="FFFFFF" w:fill="auto"/>
          </w:tcPr>
          <w:p w14:paraId="242EE944" w14:textId="77777777" w:rsidR="00A10B25" w:rsidRDefault="00A10B25">
            <w:pPr>
              <w:pStyle w:val="TAR"/>
              <w:rPr>
                <w:sz w:val="16"/>
                <w:szCs w:val="16"/>
              </w:rPr>
            </w:pPr>
            <w:r>
              <w:rPr>
                <w:sz w:val="16"/>
                <w:szCs w:val="16"/>
                <w:lang w:eastAsia="zh-CN"/>
              </w:rPr>
              <w:t>1</w:t>
            </w:r>
          </w:p>
        </w:tc>
        <w:tc>
          <w:tcPr>
            <w:tcW w:w="423" w:type="dxa"/>
            <w:shd w:val="solid" w:color="FFFFFF" w:fill="auto"/>
          </w:tcPr>
          <w:p w14:paraId="36B78AAE"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3A4FF8CC" w14:textId="77777777" w:rsidR="00A10B25" w:rsidRDefault="00A10B25">
            <w:pPr>
              <w:pStyle w:val="TAL"/>
              <w:rPr>
                <w:sz w:val="16"/>
                <w:szCs w:val="16"/>
              </w:rPr>
            </w:pPr>
            <w:r>
              <w:rPr>
                <w:sz w:val="16"/>
                <w:szCs w:val="16"/>
              </w:rPr>
              <w:t>Adding ADRF as a consumer of Nnwdaf_DataManagement Service</w:t>
            </w:r>
          </w:p>
        </w:tc>
        <w:tc>
          <w:tcPr>
            <w:tcW w:w="706" w:type="dxa"/>
            <w:shd w:val="solid" w:color="FFFFFF" w:fill="auto"/>
          </w:tcPr>
          <w:p w14:paraId="29087DCE" w14:textId="77777777" w:rsidR="00A10B25" w:rsidRDefault="00A10B25">
            <w:pPr>
              <w:pStyle w:val="TAC"/>
              <w:rPr>
                <w:sz w:val="16"/>
                <w:szCs w:val="16"/>
              </w:rPr>
            </w:pPr>
            <w:r>
              <w:rPr>
                <w:sz w:val="16"/>
                <w:szCs w:val="16"/>
              </w:rPr>
              <w:t>17.6.0</w:t>
            </w:r>
          </w:p>
        </w:tc>
      </w:tr>
      <w:tr w:rsidR="00A10B25" w14:paraId="45369000" w14:textId="77777777">
        <w:tc>
          <w:tcPr>
            <w:tcW w:w="796" w:type="dxa"/>
            <w:shd w:val="solid" w:color="FFFFFF" w:fill="auto"/>
          </w:tcPr>
          <w:p w14:paraId="35ADA2A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6144F6B8"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DB9D0D4" w14:textId="77777777" w:rsidR="00A10B25" w:rsidRDefault="00A10B25">
            <w:pPr>
              <w:pStyle w:val="TAC"/>
              <w:rPr>
                <w:sz w:val="16"/>
                <w:szCs w:val="16"/>
              </w:rPr>
            </w:pPr>
            <w:r>
              <w:rPr>
                <w:sz w:val="16"/>
                <w:szCs w:val="16"/>
              </w:rPr>
              <w:t>CP-220176</w:t>
            </w:r>
          </w:p>
        </w:tc>
        <w:tc>
          <w:tcPr>
            <w:tcW w:w="523" w:type="dxa"/>
            <w:shd w:val="solid" w:color="FFFFFF" w:fill="auto"/>
          </w:tcPr>
          <w:p w14:paraId="4C8D22A4" w14:textId="77777777" w:rsidR="00A10B25" w:rsidRDefault="00A10B25">
            <w:pPr>
              <w:pStyle w:val="TAL"/>
              <w:rPr>
                <w:sz w:val="16"/>
                <w:szCs w:val="16"/>
              </w:rPr>
            </w:pPr>
            <w:r>
              <w:rPr>
                <w:sz w:val="16"/>
                <w:szCs w:val="16"/>
              </w:rPr>
              <w:t>0381</w:t>
            </w:r>
          </w:p>
        </w:tc>
        <w:tc>
          <w:tcPr>
            <w:tcW w:w="423" w:type="dxa"/>
            <w:shd w:val="solid" w:color="FFFFFF" w:fill="auto"/>
          </w:tcPr>
          <w:p w14:paraId="5D76CE4F" w14:textId="77777777" w:rsidR="00A10B25" w:rsidRDefault="00A10B25">
            <w:pPr>
              <w:pStyle w:val="TAR"/>
              <w:rPr>
                <w:sz w:val="16"/>
                <w:szCs w:val="16"/>
              </w:rPr>
            </w:pPr>
            <w:r>
              <w:rPr>
                <w:sz w:val="16"/>
                <w:szCs w:val="16"/>
                <w:lang w:eastAsia="zh-CN"/>
              </w:rPr>
              <w:t>2</w:t>
            </w:r>
          </w:p>
        </w:tc>
        <w:tc>
          <w:tcPr>
            <w:tcW w:w="423" w:type="dxa"/>
            <w:shd w:val="solid" w:color="FFFFFF" w:fill="auto"/>
          </w:tcPr>
          <w:p w14:paraId="31D599A5" w14:textId="77777777" w:rsidR="00A10B25" w:rsidRDefault="00A10B25">
            <w:pPr>
              <w:pStyle w:val="TAC"/>
              <w:rPr>
                <w:sz w:val="16"/>
                <w:szCs w:val="16"/>
              </w:rPr>
            </w:pPr>
            <w:r>
              <w:rPr>
                <w:sz w:val="16"/>
                <w:szCs w:val="16"/>
                <w:lang w:val="en-US" w:eastAsia="zh-CN"/>
              </w:rPr>
              <w:t>A</w:t>
            </w:r>
          </w:p>
        </w:tc>
        <w:tc>
          <w:tcPr>
            <w:tcW w:w="4899" w:type="dxa"/>
            <w:shd w:val="solid" w:color="FFFFFF" w:fill="auto"/>
          </w:tcPr>
          <w:p w14:paraId="6A742CD3" w14:textId="77777777" w:rsidR="00A10B25" w:rsidRDefault="00A10B25">
            <w:pPr>
              <w:pStyle w:val="TAL"/>
              <w:rPr>
                <w:sz w:val="16"/>
                <w:szCs w:val="16"/>
              </w:rPr>
            </w:pPr>
            <w:r>
              <w:rPr>
                <w:sz w:val="16"/>
                <w:szCs w:val="16"/>
              </w:rPr>
              <w:t>Alignment of "Application Errors" clauses with SBI TS template</w:t>
            </w:r>
          </w:p>
        </w:tc>
        <w:tc>
          <w:tcPr>
            <w:tcW w:w="706" w:type="dxa"/>
            <w:shd w:val="solid" w:color="FFFFFF" w:fill="auto"/>
          </w:tcPr>
          <w:p w14:paraId="05E88B59" w14:textId="77777777" w:rsidR="00A10B25" w:rsidRDefault="00A10B25">
            <w:pPr>
              <w:pStyle w:val="TAC"/>
              <w:rPr>
                <w:sz w:val="16"/>
                <w:szCs w:val="16"/>
              </w:rPr>
            </w:pPr>
            <w:r>
              <w:rPr>
                <w:sz w:val="16"/>
                <w:szCs w:val="16"/>
              </w:rPr>
              <w:t>17.6.0</w:t>
            </w:r>
          </w:p>
        </w:tc>
      </w:tr>
      <w:tr w:rsidR="00A10B25" w14:paraId="6A7E9EC6" w14:textId="77777777">
        <w:tc>
          <w:tcPr>
            <w:tcW w:w="796" w:type="dxa"/>
            <w:shd w:val="solid" w:color="FFFFFF" w:fill="auto"/>
          </w:tcPr>
          <w:p w14:paraId="593F327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687F7FE7"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E5AB31B" w14:textId="77777777" w:rsidR="00A10B25" w:rsidRDefault="00A10B25">
            <w:pPr>
              <w:pStyle w:val="TAC"/>
              <w:rPr>
                <w:sz w:val="16"/>
                <w:szCs w:val="16"/>
              </w:rPr>
            </w:pPr>
            <w:r>
              <w:rPr>
                <w:sz w:val="16"/>
                <w:szCs w:val="16"/>
              </w:rPr>
              <w:t>CP-220189</w:t>
            </w:r>
          </w:p>
        </w:tc>
        <w:tc>
          <w:tcPr>
            <w:tcW w:w="523" w:type="dxa"/>
            <w:shd w:val="solid" w:color="FFFFFF" w:fill="auto"/>
          </w:tcPr>
          <w:p w14:paraId="78960C1D" w14:textId="77777777" w:rsidR="00A10B25" w:rsidRDefault="00A10B25">
            <w:pPr>
              <w:pStyle w:val="TAL"/>
              <w:rPr>
                <w:sz w:val="16"/>
                <w:szCs w:val="16"/>
              </w:rPr>
            </w:pPr>
            <w:r>
              <w:rPr>
                <w:sz w:val="16"/>
                <w:szCs w:val="16"/>
              </w:rPr>
              <w:t>0382</w:t>
            </w:r>
          </w:p>
        </w:tc>
        <w:tc>
          <w:tcPr>
            <w:tcW w:w="423" w:type="dxa"/>
            <w:shd w:val="solid" w:color="FFFFFF" w:fill="auto"/>
          </w:tcPr>
          <w:p w14:paraId="2F5BB7BC" w14:textId="77777777" w:rsidR="00A10B25" w:rsidRDefault="00A10B25">
            <w:pPr>
              <w:pStyle w:val="TAR"/>
              <w:rPr>
                <w:sz w:val="16"/>
                <w:szCs w:val="16"/>
              </w:rPr>
            </w:pPr>
          </w:p>
        </w:tc>
        <w:tc>
          <w:tcPr>
            <w:tcW w:w="423" w:type="dxa"/>
            <w:shd w:val="solid" w:color="FFFFFF" w:fill="auto"/>
          </w:tcPr>
          <w:p w14:paraId="6CA4833B"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E4B69C3" w14:textId="77777777" w:rsidR="00A10B25" w:rsidRDefault="00A10B25">
            <w:pPr>
              <w:pStyle w:val="TAL"/>
              <w:rPr>
                <w:sz w:val="16"/>
                <w:szCs w:val="16"/>
              </w:rPr>
            </w:pPr>
            <w:r>
              <w:rPr>
                <w:sz w:val="16"/>
                <w:szCs w:val="16"/>
              </w:rPr>
              <w:t>Adding DCCF as Nnwdaf_AnalyticsInfo service consumer</w:t>
            </w:r>
          </w:p>
        </w:tc>
        <w:tc>
          <w:tcPr>
            <w:tcW w:w="706" w:type="dxa"/>
            <w:shd w:val="solid" w:color="FFFFFF" w:fill="auto"/>
          </w:tcPr>
          <w:p w14:paraId="2E255D72" w14:textId="77777777" w:rsidR="00A10B25" w:rsidRDefault="00A10B25">
            <w:pPr>
              <w:pStyle w:val="TAC"/>
              <w:rPr>
                <w:sz w:val="16"/>
                <w:szCs w:val="16"/>
              </w:rPr>
            </w:pPr>
            <w:r>
              <w:rPr>
                <w:sz w:val="16"/>
                <w:szCs w:val="16"/>
              </w:rPr>
              <w:t>17.6.0</w:t>
            </w:r>
          </w:p>
        </w:tc>
      </w:tr>
      <w:tr w:rsidR="00A10B25" w14:paraId="05DDA867" w14:textId="77777777">
        <w:tc>
          <w:tcPr>
            <w:tcW w:w="796" w:type="dxa"/>
            <w:shd w:val="solid" w:color="FFFFFF" w:fill="auto"/>
          </w:tcPr>
          <w:p w14:paraId="169E134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49559215"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2D217ED" w14:textId="77777777" w:rsidR="00A10B25" w:rsidRDefault="00A10B25">
            <w:pPr>
              <w:pStyle w:val="TAC"/>
              <w:rPr>
                <w:sz w:val="16"/>
                <w:szCs w:val="16"/>
              </w:rPr>
            </w:pPr>
            <w:r>
              <w:rPr>
                <w:sz w:val="16"/>
                <w:szCs w:val="16"/>
              </w:rPr>
              <w:t>CP-220190</w:t>
            </w:r>
          </w:p>
        </w:tc>
        <w:tc>
          <w:tcPr>
            <w:tcW w:w="523" w:type="dxa"/>
            <w:shd w:val="solid" w:color="FFFFFF" w:fill="auto"/>
          </w:tcPr>
          <w:p w14:paraId="00ECD94F" w14:textId="77777777" w:rsidR="00A10B25" w:rsidRDefault="00A10B25">
            <w:pPr>
              <w:pStyle w:val="TAL"/>
              <w:rPr>
                <w:sz w:val="16"/>
                <w:szCs w:val="16"/>
              </w:rPr>
            </w:pPr>
            <w:r>
              <w:rPr>
                <w:sz w:val="16"/>
                <w:szCs w:val="16"/>
              </w:rPr>
              <w:t>0383</w:t>
            </w:r>
          </w:p>
        </w:tc>
        <w:tc>
          <w:tcPr>
            <w:tcW w:w="423" w:type="dxa"/>
            <w:shd w:val="solid" w:color="FFFFFF" w:fill="auto"/>
          </w:tcPr>
          <w:p w14:paraId="19596911"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62081F4"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8262546" w14:textId="77777777" w:rsidR="00A10B25" w:rsidRDefault="00A10B25">
            <w:pPr>
              <w:pStyle w:val="TAL"/>
              <w:rPr>
                <w:sz w:val="16"/>
                <w:szCs w:val="16"/>
              </w:rPr>
            </w:pPr>
            <w:r>
              <w:rPr>
                <w:sz w:val="16"/>
                <w:szCs w:val="16"/>
              </w:rPr>
              <w:t>Service Description of Nnwdaf_DataManagement Service</w:t>
            </w:r>
          </w:p>
        </w:tc>
        <w:tc>
          <w:tcPr>
            <w:tcW w:w="706" w:type="dxa"/>
            <w:shd w:val="solid" w:color="FFFFFF" w:fill="auto"/>
          </w:tcPr>
          <w:p w14:paraId="6A70D664" w14:textId="77777777" w:rsidR="00A10B25" w:rsidRDefault="00A10B25">
            <w:pPr>
              <w:pStyle w:val="TAC"/>
              <w:rPr>
                <w:sz w:val="16"/>
                <w:szCs w:val="16"/>
              </w:rPr>
            </w:pPr>
            <w:r>
              <w:rPr>
                <w:sz w:val="16"/>
                <w:szCs w:val="16"/>
              </w:rPr>
              <w:t>17.6.0</w:t>
            </w:r>
          </w:p>
        </w:tc>
      </w:tr>
      <w:tr w:rsidR="00A10B25" w14:paraId="005BC535" w14:textId="77777777">
        <w:tc>
          <w:tcPr>
            <w:tcW w:w="796" w:type="dxa"/>
            <w:shd w:val="solid" w:color="FFFFFF" w:fill="auto"/>
          </w:tcPr>
          <w:p w14:paraId="2392246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88A501E"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D304F30" w14:textId="77777777" w:rsidR="00A10B25" w:rsidRDefault="00A10B25">
            <w:pPr>
              <w:pStyle w:val="TAC"/>
              <w:rPr>
                <w:sz w:val="16"/>
                <w:szCs w:val="16"/>
              </w:rPr>
            </w:pPr>
            <w:r>
              <w:rPr>
                <w:sz w:val="16"/>
                <w:szCs w:val="16"/>
              </w:rPr>
              <w:t>CP-220189</w:t>
            </w:r>
          </w:p>
        </w:tc>
        <w:tc>
          <w:tcPr>
            <w:tcW w:w="523" w:type="dxa"/>
            <w:shd w:val="solid" w:color="FFFFFF" w:fill="auto"/>
          </w:tcPr>
          <w:p w14:paraId="315AB86F" w14:textId="77777777" w:rsidR="00A10B25" w:rsidRDefault="00A10B25">
            <w:pPr>
              <w:pStyle w:val="TAL"/>
              <w:rPr>
                <w:sz w:val="16"/>
                <w:szCs w:val="16"/>
              </w:rPr>
            </w:pPr>
            <w:r>
              <w:rPr>
                <w:sz w:val="16"/>
                <w:szCs w:val="16"/>
              </w:rPr>
              <w:t>0384</w:t>
            </w:r>
          </w:p>
        </w:tc>
        <w:tc>
          <w:tcPr>
            <w:tcW w:w="423" w:type="dxa"/>
            <w:shd w:val="solid" w:color="FFFFFF" w:fill="auto"/>
          </w:tcPr>
          <w:p w14:paraId="0062458E" w14:textId="77777777" w:rsidR="00A10B25" w:rsidRDefault="00A10B25">
            <w:pPr>
              <w:pStyle w:val="TAR"/>
              <w:rPr>
                <w:sz w:val="16"/>
                <w:szCs w:val="16"/>
              </w:rPr>
            </w:pPr>
          </w:p>
        </w:tc>
        <w:tc>
          <w:tcPr>
            <w:tcW w:w="423" w:type="dxa"/>
            <w:shd w:val="solid" w:color="FFFFFF" w:fill="auto"/>
          </w:tcPr>
          <w:p w14:paraId="55131A26"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58DEFB2C" w14:textId="77777777" w:rsidR="00A10B25" w:rsidRDefault="00A10B25">
            <w:pPr>
              <w:pStyle w:val="TAL"/>
              <w:rPr>
                <w:sz w:val="16"/>
                <w:szCs w:val="16"/>
              </w:rPr>
            </w:pPr>
            <w:r>
              <w:rPr>
                <w:sz w:val="16"/>
                <w:szCs w:val="16"/>
              </w:rPr>
              <w:t>Clarification on NF consumer of Nnwdaf_MLModelProvision Service</w:t>
            </w:r>
          </w:p>
        </w:tc>
        <w:tc>
          <w:tcPr>
            <w:tcW w:w="706" w:type="dxa"/>
            <w:shd w:val="solid" w:color="FFFFFF" w:fill="auto"/>
          </w:tcPr>
          <w:p w14:paraId="7D56A744" w14:textId="77777777" w:rsidR="00A10B25" w:rsidRDefault="00A10B25">
            <w:pPr>
              <w:pStyle w:val="TAC"/>
              <w:rPr>
                <w:sz w:val="16"/>
                <w:szCs w:val="16"/>
              </w:rPr>
            </w:pPr>
            <w:r>
              <w:rPr>
                <w:sz w:val="16"/>
                <w:szCs w:val="16"/>
              </w:rPr>
              <w:t>17.6.0</w:t>
            </w:r>
          </w:p>
        </w:tc>
      </w:tr>
      <w:tr w:rsidR="00A10B25" w14:paraId="4CEB8E90" w14:textId="77777777">
        <w:tc>
          <w:tcPr>
            <w:tcW w:w="796" w:type="dxa"/>
            <w:shd w:val="solid" w:color="FFFFFF" w:fill="auto"/>
          </w:tcPr>
          <w:p w14:paraId="5BA92C2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040F292A"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4AAE814" w14:textId="77777777" w:rsidR="00A10B25" w:rsidRDefault="00A10B25">
            <w:pPr>
              <w:pStyle w:val="TAC"/>
              <w:rPr>
                <w:sz w:val="16"/>
                <w:szCs w:val="16"/>
              </w:rPr>
            </w:pPr>
            <w:r>
              <w:rPr>
                <w:sz w:val="16"/>
                <w:szCs w:val="16"/>
              </w:rPr>
              <w:t>CP-220189</w:t>
            </w:r>
          </w:p>
        </w:tc>
        <w:tc>
          <w:tcPr>
            <w:tcW w:w="523" w:type="dxa"/>
            <w:shd w:val="solid" w:color="FFFFFF" w:fill="auto"/>
          </w:tcPr>
          <w:p w14:paraId="3B962D78" w14:textId="77777777" w:rsidR="00A10B25" w:rsidRDefault="00A10B25">
            <w:pPr>
              <w:pStyle w:val="TAL"/>
              <w:rPr>
                <w:sz w:val="16"/>
                <w:szCs w:val="16"/>
              </w:rPr>
            </w:pPr>
            <w:r>
              <w:rPr>
                <w:sz w:val="16"/>
                <w:szCs w:val="16"/>
              </w:rPr>
              <w:t>0385</w:t>
            </w:r>
          </w:p>
        </w:tc>
        <w:tc>
          <w:tcPr>
            <w:tcW w:w="423" w:type="dxa"/>
            <w:shd w:val="solid" w:color="FFFFFF" w:fill="auto"/>
          </w:tcPr>
          <w:p w14:paraId="0B5B2525" w14:textId="77777777" w:rsidR="00A10B25" w:rsidRDefault="00A10B25">
            <w:pPr>
              <w:pStyle w:val="TAR"/>
              <w:rPr>
                <w:sz w:val="16"/>
                <w:szCs w:val="16"/>
              </w:rPr>
            </w:pPr>
          </w:p>
        </w:tc>
        <w:tc>
          <w:tcPr>
            <w:tcW w:w="423" w:type="dxa"/>
            <w:shd w:val="solid" w:color="FFFFFF" w:fill="auto"/>
          </w:tcPr>
          <w:p w14:paraId="42ACBA08"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7769AA95" w14:textId="77777777" w:rsidR="00A10B25" w:rsidRDefault="00A10B25">
            <w:pPr>
              <w:pStyle w:val="TAL"/>
              <w:rPr>
                <w:sz w:val="16"/>
                <w:szCs w:val="16"/>
              </w:rPr>
            </w:pPr>
            <w:r>
              <w:rPr>
                <w:sz w:val="16"/>
                <w:szCs w:val="16"/>
              </w:rPr>
              <w:t>Corrections to Nnwdaf_MLModelProvision Service</w:t>
            </w:r>
          </w:p>
        </w:tc>
        <w:tc>
          <w:tcPr>
            <w:tcW w:w="706" w:type="dxa"/>
            <w:shd w:val="solid" w:color="FFFFFF" w:fill="auto"/>
          </w:tcPr>
          <w:p w14:paraId="2BC202A0" w14:textId="77777777" w:rsidR="00A10B25" w:rsidRDefault="00A10B25">
            <w:pPr>
              <w:pStyle w:val="TAC"/>
              <w:rPr>
                <w:sz w:val="16"/>
                <w:szCs w:val="16"/>
              </w:rPr>
            </w:pPr>
            <w:r>
              <w:rPr>
                <w:sz w:val="16"/>
                <w:szCs w:val="16"/>
              </w:rPr>
              <w:t>17.6.0</w:t>
            </w:r>
          </w:p>
        </w:tc>
      </w:tr>
      <w:tr w:rsidR="00A10B25" w14:paraId="4A28C078" w14:textId="77777777">
        <w:tc>
          <w:tcPr>
            <w:tcW w:w="796" w:type="dxa"/>
            <w:shd w:val="solid" w:color="FFFFFF" w:fill="auto"/>
          </w:tcPr>
          <w:p w14:paraId="03C90D5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312ADEF"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0EA77B0D" w14:textId="77777777" w:rsidR="00A10B25" w:rsidRDefault="00A10B25">
            <w:pPr>
              <w:pStyle w:val="TAC"/>
              <w:rPr>
                <w:sz w:val="16"/>
                <w:szCs w:val="16"/>
              </w:rPr>
            </w:pPr>
            <w:r>
              <w:rPr>
                <w:sz w:val="16"/>
                <w:szCs w:val="16"/>
              </w:rPr>
              <w:t>CP-220189</w:t>
            </w:r>
          </w:p>
        </w:tc>
        <w:tc>
          <w:tcPr>
            <w:tcW w:w="523" w:type="dxa"/>
            <w:shd w:val="solid" w:color="FFFFFF" w:fill="auto"/>
          </w:tcPr>
          <w:p w14:paraId="4A28514D" w14:textId="77777777" w:rsidR="00A10B25" w:rsidRDefault="00A10B25">
            <w:pPr>
              <w:pStyle w:val="TAL"/>
              <w:rPr>
                <w:sz w:val="16"/>
                <w:szCs w:val="16"/>
              </w:rPr>
            </w:pPr>
            <w:r>
              <w:rPr>
                <w:sz w:val="16"/>
                <w:szCs w:val="16"/>
              </w:rPr>
              <w:t>0386</w:t>
            </w:r>
          </w:p>
        </w:tc>
        <w:tc>
          <w:tcPr>
            <w:tcW w:w="423" w:type="dxa"/>
            <w:shd w:val="solid" w:color="FFFFFF" w:fill="auto"/>
          </w:tcPr>
          <w:p w14:paraId="07C3DDE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025969B"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D0F730E" w14:textId="77777777" w:rsidR="00A10B25" w:rsidRDefault="00A10B25">
            <w:pPr>
              <w:pStyle w:val="TAL"/>
              <w:rPr>
                <w:sz w:val="16"/>
                <w:szCs w:val="16"/>
              </w:rPr>
            </w:pPr>
            <w:r>
              <w:rPr>
                <w:sz w:val="16"/>
                <w:szCs w:val="16"/>
              </w:rPr>
              <w:t>Support reporting the analytics of the application list used by UE in the UE communication analytics</w:t>
            </w:r>
          </w:p>
        </w:tc>
        <w:tc>
          <w:tcPr>
            <w:tcW w:w="706" w:type="dxa"/>
            <w:shd w:val="solid" w:color="FFFFFF" w:fill="auto"/>
          </w:tcPr>
          <w:p w14:paraId="14BDA327" w14:textId="77777777" w:rsidR="00A10B25" w:rsidRDefault="00A10B25">
            <w:pPr>
              <w:pStyle w:val="TAC"/>
              <w:rPr>
                <w:sz w:val="16"/>
                <w:szCs w:val="16"/>
              </w:rPr>
            </w:pPr>
            <w:r>
              <w:rPr>
                <w:sz w:val="16"/>
                <w:szCs w:val="16"/>
              </w:rPr>
              <w:t>17.6.0</w:t>
            </w:r>
          </w:p>
        </w:tc>
      </w:tr>
      <w:tr w:rsidR="00A10B25" w14:paraId="1C5C964A" w14:textId="77777777">
        <w:tc>
          <w:tcPr>
            <w:tcW w:w="796" w:type="dxa"/>
            <w:shd w:val="solid" w:color="FFFFFF" w:fill="auto"/>
          </w:tcPr>
          <w:p w14:paraId="186CA95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BAA3299"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6B63DAF1" w14:textId="77777777" w:rsidR="00A10B25" w:rsidRDefault="00A10B25">
            <w:pPr>
              <w:pStyle w:val="TAC"/>
              <w:rPr>
                <w:sz w:val="16"/>
                <w:szCs w:val="16"/>
              </w:rPr>
            </w:pPr>
            <w:r>
              <w:rPr>
                <w:sz w:val="16"/>
                <w:szCs w:val="16"/>
              </w:rPr>
              <w:t>CP-220190</w:t>
            </w:r>
          </w:p>
        </w:tc>
        <w:tc>
          <w:tcPr>
            <w:tcW w:w="523" w:type="dxa"/>
            <w:shd w:val="solid" w:color="FFFFFF" w:fill="auto"/>
          </w:tcPr>
          <w:p w14:paraId="70D334B4" w14:textId="77777777" w:rsidR="00A10B25" w:rsidRDefault="00A10B25">
            <w:pPr>
              <w:pStyle w:val="TAL"/>
              <w:rPr>
                <w:sz w:val="16"/>
                <w:szCs w:val="16"/>
              </w:rPr>
            </w:pPr>
            <w:r>
              <w:rPr>
                <w:sz w:val="16"/>
                <w:szCs w:val="16"/>
              </w:rPr>
              <w:t>0387</w:t>
            </w:r>
          </w:p>
        </w:tc>
        <w:tc>
          <w:tcPr>
            <w:tcW w:w="423" w:type="dxa"/>
            <w:shd w:val="solid" w:color="FFFFFF" w:fill="auto"/>
          </w:tcPr>
          <w:p w14:paraId="7199BF9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25915B2"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EA22CE6" w14:textId="77777777" w:rsidR="00A10B25" w:rsidRDefault="00A10B25">
            <w:pPr>
              <w:pStyle w:val="TAL"/>
              <w:rPr>
                <w:sz w:val="16"/>
                <w:szCs w:val="16"/>
              </w:rPr>
            </w:pPr>
            <w:r>
              <w:rPr>
                <w:sz w:val="16"/>
                <w:szCs w:val="16"/>
              </w:rPr>
              <w:t>Support reporting N4 session inactivity timer in the UE communication analytics</w:t>
            </w:r>
          </w:p>
        </w:tc>
        <w:tc>
          <w:tcPr>
            <w:tcW w:w="706" w:type="dxa"/>
            <w:shd w:val="solid" w:color="FFFFFF" w:fill="auto"/>
          </w:tcPr>
          <w:p w14:paraId="4EA14839" w14:textId="77777777" w:rsidR="00A10B25" w:rsidRDefault="00A10B25">
            <w:pPr>
              <w:pStyle w:val="TAC"/>
              <w:rPr>
                <w:sz w:val="16"/>
                <w:szCs w:val="16"/>
              </w:rPr>
            </w:pPr>
            <w:r>
              <w:rPr>
                <w:sz w:val="16"/>
                <w:szCs w:val="16"/>
              </w:rPr>
              <w:t>17.6.0</w:t>
            </w:r>
          </w:p>
        </w:tc>
      </w:tr>
      <w:tr w:rsidR="00A10B25" w14:paraId="3DAA54BB" w14:textId="77777777">
        <w:tc>
          <w:tcPr>
            <w:tcW w:w="796" w:type="dxa"/>
            <w:shd w:val="solid" w:color="FFFFFF" w:fill="auto"/>
          </w:tcPr>
          <w:p w14:paraId="26FE57B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06780896"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5EE14B2" w14:textId="77777777" w:rsidR="00A10B25" w:rsidRDefault="00A10B25">
            <w:pPr>
              <w:pStyle w:val="TAC"/>
              <w:rPr>
                <w:sz w:val="16"/>
                <w:szCs w:val="16"/>
              </w:rPr>
            </w:pPr>
            <w:r>
              <w:rPr>
                <w:sz w:val="16"/>
                <w:szCs w:val="16"/>
              </w:rPr>
              <w:t>CP-220189</w:t>
            </w:r>
          </w:p>
        </w:tc>
        <w:tc>
          <w:tcPr>
            <w:tcW w:w="523" w:type="dxa"/>
            <w:shd w:val="solid" w:color="FFFFFF" w:fill="auto"/>
          </w:tcPr>
          <w:p w14:paraId="599CBEF7" w14:textId="77777777" w:rsidR="00A10B25" w:rsidRDefault="00A10B25">
            <w:pPr>
              <w:pStyle w:val="TAL"/>
              <w:rPr>
                <w:sz w:val="16"/>
                <w:szCs w:val="16"/>
              </w:rPr>
            </w:pPr>
            <w:r>
              <w:rPr>
                <w:sz w:val="16"/>
                <w:szCs w:val="16"/>
              </w:rPr>
              <w:t>0388</w:t>
            </w:r>
          </w:p>
        </w:tc>
        <w:tc>
          <w:tcPr>
            <w:tcW w:w="423" w:type="dxa"/>
            <w:shd w:val="solid" w:color="FFFFFF" w:fill="auto"/>
          </w:tcPr>
          <w:p w14:paraId="6D56DC7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85415FF"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0CDCB8F9" w14:textId="77777777" w:rsidR="00A10B25" w:rsidRDefault="00A10B25">
            <w:pPr>
              <w:pStyle w:val="TAL"/>
              <w:rPr>
                <w:sz w:val="16"/>
                <w:szCs w:val="16"/>
              </w:rPr>
            </w:pPr>
            <w:r>
              <w:rPr>
                <w:sz w:val="16"/>
                <w:szCs w:val="16"/>
              </w:rPr>
              <w:t>Support list of analytics subsets for Nnwdaf_AnalyticsInfo Service</w:t>
            </w:r>
          </w:p>
        </w:tc>
        <w:tc>
          <w:tcPr>
            <w:tcW w:w="706" w:type="dxa"/>
            <w:shd w:val="solid" w:color="FFFFFF" w:fill="auto"/>
          </w:tcPr>
          <w:p w14:paraId="0AB0DA10" w14:textId="77777777" w:rsidR="00A10B25" w:rsidRDefault="00A10B25">
            <w:pPr>
              <w:pStyle w:val="TAC"/>
              <w:rPr>
                <w:sz w:val="16"/>
                <w:szCs w:val="16"/>
              </w:rPr>
            </w:pPr>
            <w:r>
              <w:rPr>
                <w:sz w:val="16"/>
                <w:szCs w:val="16"/>
              </w:rPr>
              <w:t>17.6.0</w:t>
            </w:r>
          </w:p>
        </w:tc>
      </w:tr>
      <w:tr w:rsidR="00A10B25" w14:paraId="3AD5ABB6" w14:textId="77777777">
        <w:tc>
          <w:tcPr>
            <w:tcW w:w="796" w:type="dxa"/>
            <w:shd w:val="solid" w:color="FFFFFF" w:fill="auto"/>
          </w:tcPr>
          <w:p w14:paraId="4A81574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EFD6A33"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ADFFD98" w14:textId="77777777" w:rsidR="00A10B25" w:rsidRDefault="00A10B25">
            <w:pPr>
              <w:pStyle w:val="TAC"/>
              <w:rPr>
                <w:sz w:val="16"/>
                <w:szCs w:val="16"/>
              </w:rPr>
            </w:pPr>
            <w:r>
              <w:rPr>
                <w:sz w:val="16"/>
                <w:szCs w:val="16"/>
              </w:rPr>
              <w:t>CP-220189</w:t>
            </w:r>
          </w:p>
        </w:tc>
        <w:tc>
          <w:tcPr>
            <w:tcW w:w="523" w:type="dxa"/>
            <w:shd w:val="solid" w:color="FFFFFF" w:fill="auto"/>
          </w:tcPr>
          <w:p w14:paraId="3E108C9B" w14:textId="77777777" w:rsidR="00A10B25" w:rsidRDefault="00A10B25">
            <w:pPr>
              <w:pStyle w:val="TAL"/>
              <w:rPr>
                <w:sz w:val="16"/>
                <w:szCs w:val="16"/>
              </w:rPr>
            </w:pPr>
            <w:r>
              <w:rPr>
                <w:sz w:val="16"/>
                <w:szCs w:val="16"/>
              </w:rPr>
              <w:t>0389</w:t>
            </w:r>
          </w:p>
        </w:tc>
        <w:tc>
          <w:tcPr>
            <w:tcW w:w="423" w:type="dxa"/>
            <w:shd w:val="solid" w:color="FFFFFF" w:fill="auto"/>
          </w:tcPr>
          <w:p w14:paraId="1BEEEEBA" w14:textId="77777777" w:rsidR="00A10B25" w:rsidRDefault="00A10B25">
            <w:pPr>
              <w:pStyle w:val="TAR"/>
              <w:rPr>
                <w:sz w:val="16"/>
                <w:szCs w:val="16"/>
              </w:rPr>
            </w:pPr>
          </w:p>
        </w:tc>
        <w:tc>
          <w:tcPr>
            <w:tcW w:w="423" w:type="dxa"/>
            <w:shd w:val="solid" w:color="FFFFFF" w:fill="auto"/>
          </w:tcPr>
          <w:p w14:paraId="384915EF"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66DB4CC9" w14:textId="77777777" w:rsidR="00A10B25" w:rsidRDefault="00A10B25">
            <w:pPr>
              <w:pStyle w:val="TAL"/>
              <w:rPr>
                <w:sz w:val="16"/>
                <w:szCs w:val="16"/>
              </w:rPr>
            </w:pPr>
            <w:r>
              <w:rPr>
                <w:sz w:val="16"/>
                <w:szCs w:val="16"/>
              </w:rPr>
              <w:t>Resolve the Editor's Note for partial failure events handling in ML model subscription procedure</w:t>
            </w:r>
          </w:p>
        </w:tc>
        <w:tc>
          <w:tcPr>
            <w:tcW w:w="706" w:type="dxa"/>
            <w:shd w:val="solid" w:color="FFFFFF" w:fill="auto"/>
          </w:tcPr>
          <w:p w14:paraId="061DA87E" w14:textId="77777777" w:rsidR="00A10B25" w:rsidRDefault="00A10B25">
            <w:pPr>
              <w:pStyle w:val="TAC"/>
              <w:rPr>
                <w:sz w:val="16"/>
                <w:szCs w:val="16"/>
              </w:rPr>
            </w:pPr>
            <w:r>
              <w:rPr>
                <w:sz w:val="16"/>
                <w:szCs w:val="16"/>
              </w:rPr>
              <w:t>17.6.0</w:t>
            </w:r>
          </w:p>
        </w:tc>
      </w:tr>
      <w:tr w:rsidR="00A10B25" w14:paraId="07465EF6" w14:textId="77777777">
        <w:tc>
          <w:tcPr>
            <w:tcW w:w="796" w:type="dxa"/>
            <w:shd w:val="solid" w:color="FFFFFF" w:fill="auto"/>
          </w:tcPr>
          <w:p w14:paraId="322938F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727B1905"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77BC4FB" w14:textId="77777777" w:rsidR="00A10B25" w:rsidRDefault="00A10B25">
            <w:pPr>
              <w:pStyle w:val="TAC"/>
              <w:rPr>
                <w:sz w:val="16"/>
                <w:szCs w:val="16"/>
              </w:rPr>
            </w:pPr>
            <w:r>
              <w:rPr>
                <w:sz w:val="16"/>
                <w:szCs w:val="16"/>
              </w:rPr>
              <w:t>CP-220191</w:t>
            </w:r>
          </w:p>
        </w:tc>
        <w:tc>
          <w:tcPr>
            <w:tcW w:w="523" w:type="dxa"/>
            <w:shd w:val="solid" w:color="FFFFFF" w:fill="auto"/>
          </w:tcPr>
          <w:p w14:paraId="6240CE3D" w14:textId="77777777" w:rsidR="00A10B25" w:rsidRDefault="00A10B25">
            <w:pPr>
              <w:pStyle w:val="TAL"/>
              <w:rPr>
                <w:sz w:val="16"/>
                <w:szCs w:val="16"/>
              </w:rPr>
            </w:pPr>
            <w:r>
              <w:rPr>
                <w:sz w:val="16"/>
                <w:szCs w:val="16"/>
              </w:rPr>
              <w:t>0390</w:t>
            </w:r>
          </w:p>
        </w:tc>
        <w:tc>
          <w:tcPr>
            <w:tcW w:w="423" w:type="dxa"/>
            <w:shd w:val="solid" w:color="FFFFFF" w:fill="auto"/>
          </w:tcPr>
          <w:p w14:paraId="6B34DA24" w14:textId="77777777" w:rsidR="00A10B25" w:rsidRDefault="00A10B25">
            <w:pPr>
              <w:pStyle w:val="TAR"/>
              <w:rPr>
                <w:sz w:val="16"/>
                <w:szCs w:val="16"/>
              </w:rPr>
            </w:pPr>
            <w:r>
              <w:rPr>
                <w:rFonts w:hint="eastAsia"/>
                <w:sz w:val="16"/>
                <w:szCs w:val="16"/>
                <w:lang w:eastAsia="zh-CN"/>
              </w:rPr>
              <w:t>2</w:t>
            </w:r>
          </w:p>
        </w:tc>
        <w:tc>
          <w:tcPr>
            <w:tcW w:w="423" w:type="dxa"/>
            <w:shd w:val="solid" w:color="FFFFFF" w:fill="auto"/>
          </w:tcPr>
          <w:p w14:paraId="65A18B11"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0160EBEA" w14:textId="77777777" w:rsidR="00A10B25" w:rsidRDefault="00A10B25">
            <w:pPr>
              <w:pStyle w:val="TAL"/>
              <w:rPr>
                <w:sz w:val="16"/>
                <w:szCs w:val="16"/>
              </w:rPr>
            </w:pPr>
            <w:r>
              <w:rPr>
                <w:sz w:val="16"/>
                <w:szCs w:val="16"/>
              </w:rPr>
              <w:t>Resolve the Editor's Note for ML model filter information</w:t>
            </w:r>
          </w:p>
        </w:tc>
        <w:tc>
          <w:tcPr>
            <w:tcW w:w="706" w:type="dxa"/>
            <w:shd w:val="solid" w:color="FFFFFF" w:fill="auto"/>
          </w:tcPr>
          <w:p w14:paraId="7E471039" w14:textId="77777777" w:rsidR="00A10B25" w:rsidRDefault="00A10B25">
            <w:pPr>
              <w:pStyle w:val="TAC"/>
              <w:rPr>
                <w:sz w:val="16"/>
                <w:szCs w:val="16"/>
              </w:rPr>
            </w:pPr>
            <w:r>
              <w:rPr>
                <w:sz w:val="16"/>
                <w:szCs w:val="16"/>
              </w:rPr>
              <w:t>17.6.0</w:t>
            </w:r>
          </w:p>
        </w:tc>
      </w:tr>
      <w:tr w:rsidR="00A10B25" w14:paraId="4ED67132" w14:textId="77777777">
        <w:tc>
          <w:tcPr>
            <w:tcW w:w="796" w:type="dxa"/>
            <w:shd w:val="solid" w:color="FFFFFF" w:fill="auto"/>
          </w:tcPr>
          <w:p w14:paraId="31B5B2F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229ED4DE"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2591227" w14:textId="77777777" w:rsidR="00A10B25" w:rsidRDefault="00A10B25">
            <w:pPr>
              <w:pStyle w:val="TAC"/>
              <w:rPr>
                <w:sz w:val="16"/>
                <w:szCs w:val="16"/>
              </w:rPr>
            </w:pPr>
            <w:r>
              <w:rPr>
                <w:sz w:val="16"/>
                <w:szCs w:val="16"/>
              </w:rPr>
              <w:t>CP-220190</w:t>
            </w:r>
          </w:p>
        </w:tc>
        <w:tc>
          <w:tcPr>
            <w:tcW w:w="523" w:type="dxa"/>
            <w:shd w:val="solid" w:color="FFFFFF" w:fill="auto"/>
          </w:tcPr>
          <w:p w14:paraId="6E1A4346" w14:textId="77777777" w:rsidR="00A10B25" w:rsidRDefault="00A10B25">
            <w:pPr>
              <w:pStyle w:val="TAL"/>
              <w:rPr>
                <w:sz w:val="16"/>
                <w:szCs w:val="16"/>
              </w:rPr>
            </w:pPr>
            <w:r>
              <w:rPr>
                <w:sz w:val="16"/>
                <w:szCs w:val="16"/>
              </w:rPr>
              <w:t>0391</w:t>
            </w:r>
          </w:p>
        </w:tc>
        <w:tc>
          <w:tcPr>
            <w:tcW w:w="423" w:type="dxa"/>
            <w:shd w:val="solid" w:color="FFFFFF" w:fill="auto"/>
          </w:tcPr>
          <w:p w14:paraId="0093BDDC"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EE743EA"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49253B2E" w14:textId="77777777" w:rsidR="00A10B25" w:rsidRDefault="00A10B25">
            <w:pPr>
              <w:pStyle w:val="TAL"/>
              <w:rPr>
                <w:sz w:val="16"/>
                <w:szCs w:val="16"/>
              </w:rPr>
            </w:pPr>
            <w:r>
              <w:rPr>
                <w:sz w:val="16"/>
                <w:szCs w:val="16"/>
              </w:rPr>
              <w:t>Add visited AOI(s) to analytics filter for UE mobility analytics</w:t>
            </w:r>
          </w:p>
        </w:tc>
        <w:tc>
          <w:tcPr>
            <w:tcW w:w="706" w:type="dxa"/>
            <w:shd w:val="solid" w:color="FFFFFF" w:fill="auto"/>
          </w:tcPr>
          <w:p w14:paraId="345C2A7B" w14:textId="77777777" w:rsidR="00A10B25" w:rsidRDefault="00A10B25">
            <w:pPr>
              <w:pStyle w:val="TAC"/>
              <w:rPr>
                <w:sz w:val="16"/>
                <w:szCs w:val="16"/>
              </w:rPr>
            </w:pPr>
            <w:r>
              <w:rPr>
                <w:sz w:val="16"/>
                <w:szCs w:val="16"/>
              </w:rPr>
              <w:t>17.6.0</w:t>
            </w:r>
          </w:p>
        </w:tc>
      </w:tr>
      <w:tr w:rsidR="00A10B25" w14:paraId="64407F1E" w14:textId="77777777">
        <w:tc>
          <w:tcPr>
            <w:tcW w:w="796" w:type="dxa"/>
            <w:shd w:val="solid" w:color="FFFFFF" w:fill="auto"/>
          </w:tcPr>
          <w:p w14:paraId="13C1741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7F8E6F09"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1646BBAF" w14:textId="77777777" w:rsidR="00A10B25" w:rsidRDefault="00A10B25">
            <w:pPr>
              <w:pStyle w:val="TAC"/>
              <w:rPr>
                <w:sz w:val="16"/>
                <w:szCs w:val="16"/>
              </w:rPr>
            </w:pPr>
            <w:r>
              <w:rPr>
                <w:sz w:val="16"/>
                <w:szCs w:val="16"/>
              </w:rPr>
              <w:t>CP-220192</w:t>
            </w:r>
          </w:p>
        </w:tc>
        <w:tc>
          <w:tcPr>
            <w:tcW w:w="523" w:type="dxa"/>
            <w:shd w:val="solid" w:color="FFFFFF" w:fill="auto"/>
          </w:tcPr>
          <w:p w14:paraId="329AF587" w14:textId="77777777" w:rsidR="00A10B25" w:rsidRDefault="00A10B25">
            <w:pPr>
              <w:pStyle w:val="TAL"/>
              <w:rPr>
                <w:sz w:val="16"/>
                <w:szCs w:val="16"/>
              </w:rPr>
            </w:pPr>
            <w:r>
              <w:rPr>
                <w:sz w:val="16"/>
                <w:szCs w:val="16"/>
              </w:rPr>
              <w:t>0392</w:t>
            </w:r>
          </w:p>
        </w:tc>
        <w:tc>
          <w:tcPr>
            <w:tcW w:w="423" w:type="dxa"/>
            <w:shd w:val="solid" w:color="FFFFFF" w:fill="auto"/>
          </w:tcPr>
          <w:p w14:paraId="7DCA046C" w14:textId="77777777" w:rsidR="00A10B25" w:rsidRDefault="00A10B25">
            <w:pPr>
              <w:pStyle w:val="TAR"/>
              <w:rPr>
                <w:sz w:val="16"/>
                <w:szCs w:val="16"/>
              </w:rPr>
            </w:pPr>
            <w:r>
              <w:rPr>
                <w:rFonts w:hint="eastAsia"/>
                <w:sz w:val="16"/>
                <w:szCs w:val="16"/>
                <w:lang w:eastAsia="zh-CN"/>
              </w:rPr>
              <w:t>2</w:t>
            </w:r>
          </w:p>
        </w:tc>
        <w:tc>
          <w:tcPr>
            <w:tcW w:w="423" w:type="dxa"/>
            <w:shd w:val="solid" w:color="FFFFFF" w:fill="auto"/>
          </w:tcPr>
          <w:p w14:paraId="4A188EE8"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2B2F34DF" w14:textId="77777777" w:rsidR="00A10B25" w:rsidRDefault="00A10B25">
            <w:pPr>
              <w:pStyle w:val="TAL"/>
              <w:rPr>
                <w:sz w:val="16"/>
                <w:szCs w:val="16"/>
              </w:rPr>
            </w:pPr>
            <w:r>
              <w:rPr>
                <w:sz w:val="16"/>
                <w:szCs w:val="16"/>
              </w:rPr>
              <w:t>Add UPF ID to analytics filter for Service Experience analytics</w:t>
            </w:r>
          </w:p>
        </w:tc>
        <w:tc>
          <w:tcPr>
            <w:tcW w:w="706" w:type="dxa"/>
            <w:shd w:val="solid" w:color="FFFFFF" w:fill="auto"/>
          </w:tcPr>
          <w:p w14:paraId="4D0C19A4" w14:textId="77777777" w:rsidR="00A10B25" w:rsidRDefault="00A10B25">
            <w:pPr>
              <w:pStyle w:val="TAC"/>
              <w:rPr>
                <w:sz w:val="16"/>
                <w:szCs w:val="16"/>
              </w:rPr>
            </w:pPr>
            <w:r>
              <w:rPr>
                <w:sz w:val="16"/>
                <w:szCs w:val="16"/>
              </w:rPr>
              <w:t>17.6.0</w:t>
            </w:r>
          </w:p>
        </w:tc>
      </w:tr>
      <w:tr w:rsidR="00A10B25" w14:paraId="7165CFE4" w14:textId="77777777">
        <w:tc>
          <w:tcPr>
            <w:tcW w:w="796" w:type="dxa"/>
            <w:shd w:val="solid" w:color="FFFFFF" w:fill="auto"/>
          </w:tcPr>
          <w:p w14:paraId="19599A3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D7EBEB3"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26696C5" w14:textId="77777777" w:rsidR="00A10B25" w:rsidRDefault="00A10B25">
            <w:pPr>
              <w:pStyle w:val="TAC"/>
              <w:rPr>
                <w:sz w:val="16"/>
                <w:szCs w:val="16"/>
              </w:rPr>
            </w:pPr>
            <w:r>
              <w:rPr>
                <w:sz w:val="16"/>
                <w:szCs w:val="16"/>
              </w:rPr>
              <w:t>CP-220190</w:t>
            </w:r>
          </w:p>
        </w:tc>
        <w:tc>
          <w:tcPr>
            <w:tcW w:w="523" w:type="dxa"/>
            <w:shd w:val="solid" w:color="FFFFFF" w:fill="auto"/>
          </w:tcPr>
          <w:p w14:paraId="54B2D0D1" w14:textId="77777777" w:rsidR="00A10B25" w:rsidRDefault="00A10B25">
            <w:pPr>
              <w:pStyle w:val="TAL"/>
              <w:rPr>
                <w:sz w:val="16"/>
                <w:szCs w:val="16"/>
              </w:rPr>
            </w:pPr>
            <w:r>
              <w:rPr>
                <w:sz w:val="16"/>
                <w:szCs w:val="16"/>
              </w:rPr>
              <w:t>0393</w:t>
            </w:r>
          </w:p>
        </w:tc>
        <w:tc>
          <w:tcPr>
            <w:tcW w:w="423" w:type="dxa"/>
            <w:shd w:val="solid" w:color="FFFFFF" w:fill="auto"/>
          </w:tcPr>
          <w:p w14:paraId="6B01C62D"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E1CADE6"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6D482CA4" w14:textId="77777777" w:rsidR="00A10B25" w:rsidRDefault="00A10B25">
            <w:pPr>
              <w:pStyle w:val="TAL"/>
              <w:rPr>
                <w:sz w:val="16"/>
                <w:szCs w:val="16"/>
              </w:rPr>
            </w:pPr>
            <w:r>
              <w:rPr>
                <w:sz w:val="16"/>
                <w:szCs w:val="16"/>
              </w:rPr>
              <w:t>Add the periodic communication indicator to UeCommunication data type</w:t>
            </w:r>
          </w:p>
        </w:tc>
        <w:tc>
          <w:tcPr>
            <w:tcW w:w="706" w:type="dxa"/>
            <w:shd w:val="solid" w:color="FFFFFF" w:fill="auto"/>
          </w:tcPr>
          <w:p w14:paraId="04E5727D" w14:textId="77777777" w:rsidR="00A10B25" w:rsidRDefault="00A10B25">
            <w:pPr>
              <w:pStyle w:val="TAC"/>
              <w:rPr>
                <w:sz w:val="16"/>
                <w:szCs w:val="16"/>
              </w:rPr>
            </w:pPr>
            <w:r>
              <w:rPr>
                <w:sz w:val="16"/>
                <w:szCs w:val="16"/>
              </w:rPr>
              <w:t>17.6.0</w:t>
            </w:r>
          </w:p>
        </w:tc>
      </w:tr>
      <w:tr w:rsidR="00A10B25" w14:paraId="5A5C3B8D" w14:textId="77777777">
        <w:tc>
          <w:tcPr>
            <w:tcW w:w="796" w:type="dxa"/>
            <w:shd w:val="solid" w:color="FFFFFF" w:fill="auto"/>
          </w:tcPr>
          <w:p w14:paraId="69E55DA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F46CB60"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9F4F771" w14:textId="77777777" w:rsidR="00A10B25" w:rsidRDefault="00A10B25">
            <w:pPr>
              <w:pStyle w:val="TAC"/>
              <w:rPr>
                <w:sz w:val="16"/>
                <w:szCs w:val="16"/>
              </w:rPr>
            </w:pPr>
            <w:r>
              <w:rPr>
                <w:sz w:val="16"/>
                <w:szCs w:val="16"/>
              </w:rPr>
              <w:t>CP-220190</w:t>
            </w:r>
          </w:p>
        </w:tc>
        <w:tc>
          <w:tcPr>
            <w:tcW w:w="523" w:type="dxa"/>
            <w:shd w:val="solid" w:color="FFFFFF" w:fill="auto"/>
          </w:tcPr>
          <w:p w14:paraId="45C59486" w14:textId="77777777" w:rsidR="00A10B25" w:rsidRDefault="00A10B25">
            <w:pPr>
              <w:pStyle w:val="TAL"/>
              <w:rPr>
                <w:sz w:val="16"/>
                <w:szCs w:val="16"/>
              </w:rPr>
            </w:pPr>
            <w:r>
              <w:rPr>
                <w:sz w:val="16"/>
                <w:szCs w:val="16"/>
              </w:rPr>
              <w:t>0394</w:t>
            </w:r>
          </w:p>
        </w:tc>
        <w:tc>
          <w:tcPr>
            <w:tcW w:w="423" w:type="dxa"/>
            <w:shd w:val="solid" w:color="FFFFFF" w:fill="auto"/>
          </w:tcPr>
          <w:p w14:paraId="47DFB6DD"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C77227C"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172E5F6" w14:textId="77777777" w:rsidR="00A10B25" w:rsidRDefault="00A10B25">
            <w:pPr>
              <w:pStyle w:val="TAL"/>
              <w:rPr>
                <w:sz w:val="16"/>
                <w:szCs w:val="16"/>
              </w:rPr>
            </w:pPr>
            <w:r>
              <w:rPr>
                <w:sz w:val="16"/>
                <w:szCs w:val="16"/>
              </w:rPr>
              <w:t>Add Service Experience Type to Service Experience analytics</w:t>
            </w:r>
          </w:p>
        </w:tc>
        <w:tc>
          <w:tcPr>
            <w:tcW w:w="706" w:type="dxa"/>
            <w:shd w:val="solid" w:color="FFFFFF" w:fill="auto"/>
          </w:tcPr>
          <w:p w14:paraId="1FECCC09" w14:textId="77777777" w:rsidR="00A10B25" w:rsidRDefault="00A10B25">
            <w:pPr>
              <w:pStyle w:val="TAC"/>
              <w:rPr>
                <w:sz w:val="16"/>
                <w:szCs w:val="16"/>
              </w:rPr>
            </w:pPr>
            <w:r>
              <w:rPr>
                <w:sz w:val="16"/>
                <w:szCs w:val="16"/>
              </w:rPr>
              <w:t>17.6.0</w:t>
            </w:r>
          </w:p>
        </w:tc>
      </w:tr>
      <w:tr w:rsidR="00A10B25" w14:paraId="0448FD24" w14:textId="77777777">
        <w:tc>
          <w:tcPr>
            <w:tcW w:w="796" w:type="dxa"/>
            <w:shd w:val="solid" w:color="FFFFFF" w:fill="auto"/>
          </w:tcPr>
          <w:p w14:paraId="1F65789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2D06066"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F0EE239" w14:textId="77777777" w:rsidR="00A10B25" w:rsidRDefault="00A10B25">
            <w:pPr>
              <w:pStyle w:val="TAC"/>
              <w:rPr>
                <w:sz w:val="16"/>
                <w:szCs w:val="16"/>
              </w:rPr>
            </w:pPr>
            <w:r>
              <w:rPr>
                <w:sz w:val="16"/>
                <w:szCs w:val="16"/>
              </w:rPr>
              <w:t>CP-220192</w:t>
            </w:r>
          </w:p>
        </w:tc>
        <w:tc>
          <w:tcPr>
            <w:tcW w:w="523" w:type="dxa"/>
            <w:shd w:val="solid" w:color="FFFFFF" w:fill="auto"/>
          </w:tcPr>
          <w:p w14:paraId="59099540" w14:textId="77777777" w:rsidR="00A10B25" w:rsidRDefault="00A10B25">
            <w:pPr>
              <w:pStyle w:val="TAL"/>
              <w:rPr>
                <w:sz w:val="16"/>
                <w:szCs w:val="16"/>
              </w:rPr>
            </w:pPr>
            <w:r>
              <w:rPr>
                <w:sz w:val="16"/>
                <w:szCs w:val="16"/>
              </w:rPr>
              <w:t>0395</w:t>
            </w:r>
          </w:p>
        </w:tc>
        <w:tc>
          <w:tcPr>
            <w:tcW w:w="423" w:type="dxa"/>
            <w:shd w:val="solid" w:color="FFFFFF" w:fill="auto"/>
          </w:tcPr>
          <w:p w14:paraId="5FAF8B58" w14:textId="77777777" w:rsidR="00A10B25" w:rsidRDefault="00A10B25">
            <w:pPr>
              <w:pStyle w:val="TAR"/>
              <w:rPr>
                <w:sz w:val="16"/>
                <w:szCs w:val="16"/>
              </w:rPr>
            </w:pPr>
            <w:r>
              <w:rPr>
                <w:sz w:val="16"/>
                <w:szCs w:val="16"/>
                <w:lang w:eastAsia="zh-CN"/>
              </w:rPr>
              <w:t>3</w:t>
            </w:r>
          </w:p>
        </w:tc>
        <w:tc>
          <w:tcPr>
            <w:tcW w:w="423" w:type="dxa"/>
            <w:shd w:val="solid" w:color="FFFFFF" w:fill="auto"/>
          </w:tcPr>
          <w:p w14:paraId="6C8199AA"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42F101C6" w14:textId="77777777" w:rsidR="00A10B25" w:rsidRDefault="00A10B25">
            <w:pPr>
              <w:pStyle w:val="TAL"/>
              <w:rPr>
                <w:sz w:val="16"/>
                <w:szCs w:val="16"/>
              </w:rPr>
            </w:pPr>
            <w:r>
              <w:rPr>
                <w:sz w:val="16"/>
                <w:szCs w:val="16"/>
              </w:rPr>
              <w:t>Add Application Server Address(es) to analytics filter for Service Experience analytics</w:t>
            </w:r>
          </w:p>
        </w:tc>
        <w:tc>
          <w:tcPr>
            <w:tcW w:w="706" w:type="dxa"/>
            <w:shd w:val="solid" w:color="FFFFFF" w:fill="auto"/>
          </w:tcPr>
          <w:p w14:paraId="32DDDBE0" w14:textId="77777777" w:rsidR="00A10B25" w:rsidRDefault="00A10B25">
            <w:pPr>
              <w:pStyle w:val="TAC"/>
              <w:rPr>
                <w:sz w:val="16"/>
                <w:szCs w:val="16"/>
              </w:rPr>
            </w:pPr>
            <w:r>
              <w:rPr>
                <w:sz w:val="16"/>
                <w:szCs w:val="16"/>
              </w:rPr>
              <w:t>17.6.0</w:t>
            </w:r>
          </w:p>
        </w:tc>
      </w:tr>
      <w:tr w:rsidR="00A10B25" w14:paraId="396D2FF2" w14:textId="77777777">
        <w:tc>
          <w:tcPr>
            <w:tcW w:w="796" w:type="dxa"/>
            <w:shd w:val="solid" w:color="FFFFFF" w:fill="auto"/>
          </w:tcPr>
          <w:p w14:paraId="7F23FC9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229EBECC"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F0A4E95" w14:textId="77777777" w:rsidR="00A10B25" w:rsidRDefault="00A10B25">
            <w:pPr>
              <w:pStyle w:val="TAC"/>
              <w:rPr>
                <w:sz w:val="16"/>
                <w:szCs w:val="16"/>
              </w:rPr>
            </w:pPr>
            <w:r>
              <w:rPr>
                <w:sz w:val="16"/>
                <w:szCs w:val="16"/>
              </w:rPr>
              <w:t>CP-220190</w:t>
            </w:r>
          </w:p>
        </w:tc>
        <w:tc>
          <w:tcPr>
            <w:tcW w:w="523" w:type="dxa"/>
            <w:shd w:val="solid" w:color="FFFFFF" w:fill="auto"/>
          </w:tcPr>
          <w:p w14:paraId="097585FF" w14:textId="77777777" w:rsidR="00A10B25" w:rsidRDefault="00A10B25">
            <w:pPr>
              <w:pStyle w:val="TAL"/>
              <w:rPr>
                <w:sz w:val="16"/>
                <w:szCs w:val="16"/>
              </w:rPr>
            </w:pPr>
            <w:r>
              <w:rPr>
                <w:sz w:val="16"/>
                <w:szCs w:val="16"/>
              </w:rPr>
              <w:t>0400</w:t>
            </w:r>
          </w:p>
        </w:tc>
        <w:tc>
          <w:tcPr>
            <w:tcW w:w="423" w:type="dxa"/>
            <w:shd w:val="solid" w:color="FFFFFF" w:fill="auto"/>
          </w:tcPr>
          <w:p w14:paraId="7CA22F45" w14:textId="77777777" w:rsidR="00A10B25" w:rsidRDefault="00A10B25">
            <w:pPr>
              <w:pStyle w:val="TAR"/>
              <w:rPr>
                <w:sz w:val="16"/>
                <w:szCs w:val="16"/>
              </w:rPr>
            </w:pPr>
          </w:p>
        </w:tc>
        <w:tc>
          <w:tcPr>
            <w:tcW w:w="423" w:type="dxa"/>
            <w:shd w:val="solid" w:color="FFFFFF" w:fill="auto"/>
          </w:tcPr>
          <w:p w14:paraId="74FC6DA3"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30704EC" w14:textId="77777777" w:rsidR="00A10B25" w:rsidRDefault="00A10B25">
            <w:pPr>
              <w:pStyle w:val="TAL"/>
              <w:rPr>
                <w:sz w:val="16"/>
                <w:szCs w:val="16"/>
              </w:rPr>
            </w:pPr>
            <w:r>
              <w:rPr>
                <w:sz w:val="16"/>
                <w:szCs w:val="16"/>
              </w:rPr>
              <w:t>Extension of UE Mobility Analytics to support LADN DNN</w:t>
            </w:r>
          </w:p>
        </w:tc>
        <w:tc>
          <w:tcPr>
            <w:tcW w:w="706" w:type="dxa"/>
            <w:shd w:val="solid" w:color="FFFFFF" w:fill="auto"/>
          </w:tcPr>
          <w:p w14:paraId="0F548B35" w14:textId="77777777" w:rsidR="00A10B25" w:rsidRDefault="00A10B25">
            <w:pPr>
              <w:pStyle w:val="TAC"/>
              <w:rPr>
                <w:sz w:val="16"/>
                <w:szCs w:val="16"/>
              </w:rPr>
            </w:pPr>
            <w:r>
              <w:rPr>
                <w:sz w:val="16"/>
                <w:szCs w:val="16"/>
              </w:rPr>
              <w:t>17.6.0</w:t>
            </w:r>
          </w:p>
        </w:tc>
      </w:tr>
      <w:tr w:rsidR="00A10B25" w14:paraId="7215EEA0" w14:textId="77777777">
        <w:tc>
          <w:tcPr>
            <w:tcW w:w="796" w:type="dxa"/>
            <w:shd w:val="solid" w:color="FFFFFF" w:fill="auto"/>
          </w:tcPr>
          <w:p w14:paraId="2CD5198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064115E1"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09F1174F" w14:textId="77777777" w:rsidR="00A10B25" w:rsidRDefault="00A10B25">
            <w:pPr>
              <w:pStyle w:val="TAC"/>
              <w:rPr>
                <w:sz w:val="16"/>
                <w:szCs w:val="16"/>
              </w:rPr>
            </w:pPr>
            <w:r>
              <w:rPr>
                <w:sz w:val="16"/>
                <w:szCs w:val="16"/>
              </w:rPr>
              <w:t>CP-220191</w:t>
            </w:r>
          </w:p>
        </w:tc>
        <w:tc>
          <w:tcPr>
            <w:tcW w:w="523" w:type="dxa"/>
            <w:shd w:val="solid" w:color="FFFFFF" w:fill="auto"/>
          </w:tcPr>
          <w:p w14:paraId="0117D884" w14:textId="77777777" w:rsidR="00A10B25" w:rsidRDefault="00A10B25">
            <w:pPr>
              <w:pStyle w:val="TAL"/>
              <w:rPr>
                <w:sz w:val="16"/>
                <w:szCs w:val="16"/>
              </w:rPr>
            </w:pPr>
            <w:r>
              <w:rPr>
                <w:sz w:val="16"/>
                <w:szCs w:val="16"/>
              </w:rPr>
              <w:t>0401</w:t>
            </w:r>
          </w:p>
        </w:tc>
        <w:tc>
          <w:tcPr>
            <w:tcW w:w="423" w:type="dxa"/>
            <w:shd w:val="solid" w:color="FFFFFF" w:fill="auto"/>
          </w:tcPr>
          <w:p w14:paraId="0AD9F6E1"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6E0CEAF"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5965F6B6" w14:textId="77777777" w:rsidR="00A10B25" w:rsidRDefault="00A10B25">
            <w:pPr>
              <w:pStyle w:val="TAL"/>
              <w:rPr>
                <w:sz w:val="16"/>
                <w:szCs w:val="16"/>
              </w:rPr>
            </w:pPr>
            <w:r>
              <w:rPr>
                <w:sz w:val="16"/>
                <w:szCs w:val="16"/>
              </w:rPr>
              <w:t>References to apiSpecificResourceUriPart for Nnwdaf_DataManagement and Nnwdaf_MLModelProvision APIs</w:t>
            </w:r>
          </w:p>
        </w:tc>
        <w:tc>
          <w:tcPr>
            <w:tcW w:w="706" w:type="dxa"/>
            <w:shd w:val="solid" w:color="FFFFFF" w:fill="auto"/>
          </w:tcPr>
          <w:p w14:paraId="37B69243" w14:textId="77777777" w:rsidR="00A10B25" w:rsidRDefault="00A10B25">
            <w:pPr>
              <w:pStyle w:val="TAC"/>
              <w:rPr>
                <w:sz w:val="16"/>
                <w:szCs w:val="16"/>
              </w:rPr>
            </w:pPr>
            <w:r>
              <w:rPr>
                <w:sz w:val="16"/>
                <w:szCs w:val="16"/>
              </w:rPr>
              <w:t>17.6.0</w:t>
            </w:r>
          </w:p>
        </w:tc>
      </w:tr>
      <w:tr w:rsidR="00A10B25" w14:paraId="5BDFBBFD" w14:textId="77777777">
        <w:tc>
          <w:tcPr>
            <w:tcW w:w="796" w:type="dxa"/>
            <w:shd w:val="solid" w:color="FFFFFF" w:fill="auto"/>
          </w:tcPr>
          <w:p w14:paraId="4E706B9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49DD0056"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E62B3B7" w14:textId="77777777" w:rsidR="00A10B25" w:rsidRDefault="00A10B25">
            <w:pPr>
              <w:pStyle w:val="TAC"/>
              <w:rPr>
                <w:sz w:val="16"/>
                <w:szCs w:val="16"/>
              </w:rPr>
            </w:pPr>
            <w:r>
              <w:rPr>
                <w:sz w:val="16"/>
                <w:szCs w:val="16"/>
              </w:rPr>
              <w:t>CP-220191</w:t>
            </w:r>
          </w:p>
        </w:tc>
        <w:tc>
          <w:tcPr>
            <w:tcW w:w="523" w:type="dxa"/>
            <w:shd w:val="solid" w:color="FFFFFF" w:fill="auto"/>
          </w:tcPr>
          <w:p w14:paraId="6B955077" w14:textId="77777777" w:rsidR="00A10B25" w:rsidRDefault="00A10B25">
            <w:pPr>
              <w:pStyle w:val="TAL"/>
              <w:rPr>
                <w:sz w:val="16"/>
                <w:szCs w:val="16"/>
              </w:rPr>
            </w:pPr>
            <w:r>
              <w:rPr>
                <w:sz w:val="16"/>
                <w:szCs w:val="16"/>
              </w:rPr>
              <w:t>0402</w:t>
            </w:r>
          </w:p>
        </w:tc>
        <w:tc>
          <w:tcPr>
            <w:tcW w:w="423" w:type="dxa"/>
            <w:shd w:val="solid" w:color="FFFFFF" w:fill="auto"/>
          </w:tcPr>
          <w:p w14:paraId="5A3CCF0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9DF2BAA" w14:textId="77777777" w:rsidR="00A10B25" w:rsidRDefault="00A10B25">
            <w:pPr>
              <w:pStyle w:val="TAC"/>
              <w:rPr>
                <w:sz w:val="16"/>
                <w:szCs w:val="16"/>
              </w:rPr>
            </w:pPr>
            <w:r>
              <w:rPr>
                <w:sz w:val="16"/>
                <w:szCs w:val="16"/>
                <w:lang w:val="en-US" w:eastAsia="zh-CN"/>
              </w:rPr>
              <w:t>D</w:t>
            </w:r>
          </w:p>
        </w:tc>
        <w:tc>
          <w:tcPr>
            <w:tcW w:w="4899" w:type="dxa"/>
            <w:shd w:val="solid" w:color="FFFFFF" w:fill="auto"/>
          </w:tcPr>
          <w:p w14:paraId="319AF6B8" w14:textId="77777777" w:rsidR="00A10B25" w:rsidRDefault="00A10B25">
            <w:pPr>
              <w:pStyle w:val="TAL"/>
              <w:rPr>
                <w:sz w:val="16"/>
                <w:szCs w:val="16"/>
              </w:rPr>
            </w:pPr>
            <w:r>
              <w:rPr>
                <w:sz w:val="16"/>
                <w:szCs w:val="16"/>
              </w:rPr>
              <w:t>Editorial modifications</w:t>
            </w:r>
          </w:p>
        </w:tc>
        <w:tc>
          <w:tcPr>
            <w:tcW w:w="706" w:type="dxa"/>
            <w:shd w:val="solid" w:color="FFFFFF" w:fill="auto"/>
          </w:tcPr>
          <w:p w14:paraId="20F7C225" w14:textId="77777777" w:rsidR="00A10B25" w:rsidRDefault="00A10B25">
            <w:pPr>
              <w:pStyle w:val="TAC"/>
              <w:rPr>
                <w:sz w:val="16"/>
                <w:szCs w:val="16"/>
              </w:rPr>
            </w:pPr>
            <w:r>
              <w:rPr>
                <w:sz w:val="16"/>
                <w:szCs w:val="16"/>
              </w:rPr>
              <w:t>17.6.0</w:t>
            </w:r>
          </w:p>
        </w:tc>
      </w:tr>
      <w:tr w:rsidR="00A10B25" w14:paraId="13B6C6CA" w14:textId="77777777">
        <w:tc>
          <w:tcPr>
            <w:tcW w:w="796" w:type="dxa"/>
            <w:shd w:val="solid" w:color="FFFFFF" w:fill="auto"/>
          </w:tcPr>
          <w:p w14:paraId="313BBBB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B9E31E7"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EED4880" w14:textId="77777777" w:rsidR="00A10B25" w:rsidRDefault="00A10B25">
            <w:pPr>
              <w:pStyle w:val="TAC"/>
              <w:rPr>
                <w:sz w:val="16"/>
                <w:szCs w:val="16"/>
              </w:rPr>
            </w:pPr>
            <w:r>
              <w:rPr>
                <w:sz w:val="16"/>
                <w:szCs w:val="16"/>
              </w:rPr>
              <w:t>CP-220191</w:t>
            </w:r>
          </w:p>
        </w:tc>
        <w:tc>
          <w:tcPr>
            <w:tcW w:w="523" w:type="dxa"/>
            <w:shd w:val="solid" w:color="FFFFFF" w:fill="auto"/>
          </w:tcPr>
          <w:p w14:paraId="500351AE" w14:textId="77777777" w:rsidR="00A10B25" w:rsidRDefault="00A10B25">
            <w:pPr>
              <w:pStyle w:val="TAL"/>
              <w:rPr>
                <w:sz w:val="16"/>
                <w:szCs w:val="16"/>
              </w:rPr>
            </w:pPr>
            <w:r>
              <w:rPr>
                <w:sz w:val="16"/>
                <w:szCs w:val="16"/>
              </w:rPr>
              <w:t>0403</w:t>
            </w:r>
          </w:p>
        </w:tc>
        <w:tc>
          <w:tcPr>
            <w:tcW w:w="423" w:type="dxa"/>
            <w:shd w:val="solid" w:color="FFFFFF" w:fill="auto"/>
          </w:tcPr>
          <w:p w14:paraId="2A6171BB"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754CD86"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0B5D8F89" w14:textId="77777777" w:rsidR="00A10B25" w:rsidRDefault="00A10B25">
            <w:pPr>
              <w:pStyle w:val="TAL"/>
              <w:rPr>
                <w:sz w:val="16"/>
                <w:szCs w:val="16"/>
              </w:rPr>
            </w:pPr>
            <w:r>
              <w:rPr>
                <w:sz w:val="16"/>
                <w:szCs w:val="16"/>
              </w:rPr>
              <w:t>Add load level related information to analytics subset</w:t>
            </w:r>
          </w:p>
        </w:tc>
        <w:tc>
          <w:tcPr>
            <w:tcW w:w="706" w:type="dxa"/>
            <w:shd w:val="solid" w:color="FFFFFF" w:fill="auto"/>
          </w:tcPr>
          <w:p w14:paraId="1F582601" w14:textId="77777777" w:rsidR="00A10B25" w:rsidRDefault="00A10B25">
            <w:pPr>
              <w:pStyle w:val="TAC"/>
              <w:rPr>
                <w:sz w:val="16"/>
                <w:szCs w:val="16"/>
              </w:rPr>
            </w:pPr>
            <w:r>
              <w:rPr>
                <w:sz w:val="16"/>
                <w:szCs w:val="16"/>
              </w:rPr>
              <w:t>17.6.0</w:t>
            </w:r>
          </w:p>
        </w:tc>
      </w:tr>
      <w:tr w:rsidR="00A10B25" w14:paraId="5A7213E8" w14:textId="77777777">
        <w:tc>
          <w:tcPr>
            <w:tcW w:w="796" w:type="dxa"/>
            <w:shd w:val="solid" w:color="FFFFFF" w:fill="auto"/>
          </w:tcPr>
          <w:p w14:paraId="65F4DF5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7E29E486"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830DE8B" w14:textId="77777777" w:rsidR="00A10B25" w:rsidRDefault="00A10B25">
            <w:pPr>
              <w:pStyle w:val="TAC"/>
              <w:rPr>
                <w:sz w:val="16"/>
                <w:szCs w:val="16"/>
              </w:rPr>
            </w:pPr>
            <w:r>
              <w:rPr>
                <w:sz w:val="16"/>
                <w:szCs w:val="16"/>
              </w:rPr>
              <w:t>CP-220191</w:t>
            </w:r>
          </w:p>
        </w:tc>
        <w:tc>
          <w:tcPr>
            <w:tcW w:w="523" w:type="dxa"/>
            <w:shd w:val="solid" w:color="FFFFFF" w:fill="auto"/>
          </w:tcPr>
          <w:p w14:paraId="75D649B1" w14:textId="77777777" w:rsidR="00A10B25" w:rsidRDefault="00A10B25">
            <w:pPr>
              <w:pStyle w:val="TAL"/>
              <w:rPr>
                <w:sz w:val="16"/>
                <w:szCs w:val="16"/>
              </w:rPr>
            </w:pPr>
            <w:r>
              <w:rPr>
                <w:sz w:val="16"/>
                <w:szCs w:val="16"/>
              </w:rPr>
              <w:t>0404</w:t>
            </w:r>
          </w:p>
        </w:tc>
        <w:tc>
          <w:tcPr>
            <w:tcW w:w="423" w:type="dxa"/>
            <w:shd w:val="solid" w:color="FFFFFF" w:fill="auto"/>
          </w:tcPr>
          <w:p w14:paraId="38D60B4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67B85ED"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4BCD947D" w14:textId="77777777" w:rsidR="00A10B25" w:rsidRDefault="00A10B25">
            <w:pPr>
              <w:pStyle w:val="TAL"/>
              <w:rPr>
                <w:sz w:val="16"/>
                <w:szCs w:val="16"/>
              </w:rPr>
            </w:pPr>
            <w:r>
              <w:rPr>
                <w:sz w:val="16"/>
                <w:szCs w:val="16"/>
              </w:rPr>
              <w:t>Add missing attribute to SM congestion control experience analytics</w:t>
            </w:r>
          </w:p>
        </w:tc>
        <w:tc>
          <w:tcPr>
            <w:tcW w:w="706" w:type="dxa"/>
            <w:shd w:val="solid" w:color="FFFFFF" w:fill="auto"/>
          </w:tcPr>
          <w:p w14:paraId="28C64C83" w14:textId="77777777" w:rsidR="00A10B25" w:rsidRDefault="00A10B25">
            <w:pPr>
              <w:pStyle w:val="TAC"/>
              <w:rPr>
                <w:sz w:val="16"/>
                <w:szCs w:val="16"/>
              </w:rPr>
            </w:pPr>
            <w:r>
              <w:rPr>
                <w:sz w:val="16"/>
                <w:szCs w:val="16"/>
              </w:rPr>
              <w:t>17.6.0</w:t>
            </w:r>
          </w:p>
        </w:tc>
      </w:tr>
      <w:tr w:rsidR="00A10B25" w14:paraId="494937D7" w14:textId="77777777">
        <w:tc>
          <w:tcPr>
            <w:tcW w:w="796" w:type="dxa"/>
            <w:shd w:val="solid" w:color="FFFFFF" w:fill="auto"/>
          </w:tcPr>
          <w:p w14:paraId="65728EB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76D9B760"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195CE739" w14:textId="77777777" w:rsidR="00A10B25" w:rsidRDefault="00A10B25">
            <w:pPr>
              <w:pStyle w:val="TAC"/>
              <w:rPr>
                <w:sz w:val="16"/>
                <w:szCs w:val="16"/>
              </w:rPr>
            </w:pPr>
            <w:r>
              <w:rPr>
                <w:sz w:val="16"/>
                <w:szCs w:val="16"/>
              </w:rPr>
              <w:t>CP-220191</w:t>
            </w:r>
          </w:p>
        </w:tc>
        <w:tc>
          <w:tcPr>
            <w:tcW w:w="523" w:type="dxa"/>
            <w:shd w:val="solid" w:color="FFFFFF" w:fill="auto"/>
          </w:tcPr>
          <w:p w14:paraId="1C1F273D" w14:textId="77777777" w:rsidR="00A10B25" w:rsidRDefault="00A10B25">
            <w:pPr>
              <w:pStyle w:val="TAL"/>
              <w:rPr>
                <w:sz w:val="16"/>
                <w:szCs w:val="16"/>
              </w:rPr>
            </w:pPr>
            <w:r>
              <w:rPr>
                <w:sz w:val="16"/>
                <w:szCs w:val="16"/>
              </w:rPr>
              <w:t>0405</w:t>
            </w:r>
          </w:p>
        </w:tc>
        <w:tc>
          <w:tcPr>
            <w:tcW w:w="423" w:type="dxa"/>
            <w:shd w:val="solid" w:color="FFFFFF" w:fill="auto"/>
          </w:tcPr>
          <w:p w14:paraId="7231051B"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D9DD49E"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0AF29C53" w14:textId="77777777" w:rsidR="00A10B25" w:rsidRDefault="00A10B25">
            <w:pPr>
              <w:pStyle w:val="TAL"/>
              <w:rPr>
                <w:sz w:val="16"/>
                <w:szCs w:val="16"/>
              </w:rPr>
            </w:pPr>
            <w:r>
              <w:rPr>
                <w:sz w:val="16"/>
                <w:szCs w:val="16"/>
              </w:rPr>
              <w:t>Correction on freqs attribute for Nnwdaf_EventsSubscription API</w:t>
            </w:r>
          </w:p>
        </w:tc>
        <w:tc>
          <w:tcPr>
            <w:tcW w:w="706" w:type="dxa"/>
            <w:shd w:val="solid" w:color="FFFFFF" w:fill="auto"/>
          </w:tcPr>
          <w:p w14:paraId="1863D759" w14:textId="77777777" w:rsidR="00A10B25" w:rsidRDefault="00A10B25">
            <w:pPr>
              <w:pStyle w:val="TAC"/>
              <w:rPr>
                <w:sz w:val="16"/>
                <w:szCs w:val="16"/>
              </w:rPr>
            </w:pPr>
            <w:r>
              <w:rPr>
                <w:sz w:val="16"/>
                <w:szCs w:val="16"/>
              </w:rPr>
              <w:t>17.6.0</w:t>
            </w:r>
          </w:p>
        </w:tc>
      </w:tr>
      <w:tr w:rsidR="00A10B25" w14:paraId="3FEFD652" w14:textId="77777777">
        <w:tc>
          <w:tcPr>
            <w:tcW w:w="796" w:type="dxa"/>
            <w:shd w:val="solid" w:color="FFFFFF" w:fill="auto"/>
          </w:tcPr>
          <w:p w14:paraId="18F00A06"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4BBD56A1"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9B13F26" w14:textId="77777777" w:rsidR="00A10B25" w:rsidRDefault="00A10B25">
            <w:pPr>
              <w:pStyle w:val="TAC"/>
              <w:rPr>
                <w:sz w:val="16"/>
                <w:szCs w:val="16"/>
              </w:rPr>
            </w:pPr>
            <w:r>
              <w:rPr>
                <w:sz w:val="16"/>
                <w:szCs w:val="16"/>
              </w:rPr>
              <w:t>CP-220191</w:t>
            </w:r>
          </w:p>
        </w:tc>
        <w:tc>
          <w:tcPr>
            <w:tcW w:w="523" w:type="dxa"/>
            <w:shd w:val="solid" w:color="FFFFFF" w:fill="auto"/>
          </w:tcPr>
          <w:p w14:paraId="5FD0546B" w14:textId="77777777" w:rsidR="00A10B25" w:rsidRDefault="00A10B25">
            <w:pPr>
              <w:pStyle w:val="TAL"/>
              <w:rPr>
                <w:sz w:val="16"/>
                <w:szCs w:val="16"/>
              </w:rPr>
            </w:pPr>
            <w:r>
              <w:rPr>
                <w:sz w:val="16"/>
                <w:szCs w:val="16"/>
              </w:rPr>
              <w:t>0406</w:t>
            </w:r>
          </w:p>
        </w:tc>
        <w:tc>
          <w:tcPr>
            <w:tcW w:w="423" w:type="dxa"/>
            <w:shd w:val="solid" w:color="FFFFFF" w:fill="auto"/>
          </w:tcPr>
          <w:p w14:paraId="56436EE0"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40177B1"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759A5DA" w14:textId="77777777" w:rsidR="00A10B25" w:rsidRDefault="00A10B25">
            <w:pPr>
              <w:pStyle w:val="TAL"/>
              <w:rPr>
                <w:sz w:val="16"/>
                <w:szCs w:val="16"/>
              </w:rPr>
            </w:pPr>
            <w:r>
              <w:rPr>
                <w:sz w:val="16"/>
                <w:szCs w:val="16"/>
              </w:rPr>
              <w:t>Add missing attributes to DN Performance analytics</w:t>
            </w:r>
          </w:p>
        </w:tc>
        <w:tc>
          <w:tcPr>
            <w:tcW w:w="706" w:type="dxa"/>
            <w:shd w:val="solid" w:color="FFFFFF" w:fill="auto"/>
          </w:tcPr>
          <w:p w14:paraId="453C9368" w14:textId="77777777" w:rsidR="00A10B25" w:rsidRDefault="00A10B25">
            <w:pPr>
              <w:pStyle w:val="TAC"/>
              <w:rPr>
                <w:sz w:val="16"/>
                <w:szCs w:val="16"/>
              </w:rPr>
            </w:pPr>
            <w:r>
              <w:rPr>
                <w:sz w:val="16"/>
                <w:szCs w:val="16"/>
              </w:rPr>
              <w:t>17.6.0</w:t>
            </w:r>
          </w:p>
        </w:tc>
      </w:tr>
      <w:tr w:rsidR="00A10B25" w14:paraId="50631691" w14:textId="77777777">
        <w:tc>
          <w:tcPr>
            <w:tcW w:w="796" w:type="dxa"/>
            <w:shd w:val="solid" w:color="FFFFFF" w:fill="auto"/>
          </w:tcPr>
          <w:p w14:paraId="6EFDE3F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D1ECB27"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16463F8" w14:textId="77777777" w:rsidR="00A10B25" w:rsidRDefault="00A10B25">
            <w:pPr>
              <w:pStyle w:val="TAC"/>
              <w:rPr>
                <w:sz w:val="16"/>
                <w:szCs w:val="16"/>
              </w:rPr>
            </w:pPr>
            <w:r>
              <w:rPr>
                <w:sz w:val="16"/>
                <w:szCs w:val="16"/>
              </w:rPr>
              <w:t>CP-220191</w:t>
            </w:r>
          </w:p>
        </w:tc>
        <w:tc>
          <w:tcPr>
            <w:tcW w:w="523" w:type="dxa"/>
            <w:shd w:val="solid" w:color="FFFFFF" w:fill="auto"/>
          </w:tcPr>
          <w:p w14:paraId="435C01E7" w14:textId="77777777" w:rsidR="00A10B25" w:rsidRDefault="00A10B25">
            <w:pPr>
              <w:pStyle w:val="TAL"/>
              <w:rPr>
                <w:sz w:val="16"/>
                <w:szCs w:val="16"/>
              </w:rPr>
            </w:pPr>
            <w:r>
              <w:rPr>
                <w:sz w:val="16"/>
                <w:szCs w:val="16"/>
              </w:rPr>
              <w:t>0407</w:t>
            </w:r>
          </w:p>
        </w:tc>
        <w:tc>
          <w:tcPr>
            <w:tcW w:w="423" w:type="dxa"/>
            <w:shd w:val="solid" w:color="FFFFFF" w:fill="auto"/>
          </w:tcPr>
          <w:p w14:paraId="3BC1C87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4347D5C"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CB9FD20" w14:textId="77777777" w:rsidR="00A10B25" w:rsidRDefault="00A10B25">
            <w:pPr>
              <w:pStyle w:val="TAL"/>
              <w:rPr>
                <w:sz w:val="16"/>
                <w:szCs w:val="16"/>
              </w:rPr>
            </w:pPr>
            <w:r>
              <w:rPr>
                <w:sz w:val="16"/>
                <w:szCs w:val="16"/>
              </w:rPr>
              <w:t>Add service description and operations to DN Performance analytics</w:t>
            </w:r>
          </w:p>
        </w:tc>
        <w:tc>
          <w:tcPr>
            <w:tcW w:w="706" w:type="dxa"/>
            <w:shd w:val="solid" w:color="FFFFFF" w:fill="auto"/>
          </w:tcPr>
          <w:p w14:paraId="46309223" w14:textId="77777777" w:rsidR="00A10B25" w:rsidRDefault="00A10B25">
            <w:pPr>
              <w:pStyle w:val="TAC"/>
              <w:rPr>
                <w:sz w:val="16"/>
                <w:szCs w:val="16"/>
              </w:rPr>
            </w:pPr>
            <w:r>
              <w:rPr>
                <w:sz w:val="16"/>
                <w:szCs w:val="16"/>
              </w:rPr>
              <w:t>17.6.0</w:t>
            </w:r>
          </w:p>
        </w:tc>
      </w:tr>
      <w:tr w:rsidR="00A10B25" w14:paraId="6CE58F50" w14:textId="77777777">
        <w:tc>
          <w:tcPr>
            <w:tcW w:w="796" w:type="dxa"/>
            <w:shd w:val="solid" w:color="FFFFFF" w:fill="auto"/>
          </w:tcPr>
          <w:p w14:paraId="046587F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461D55DC"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6E73B7EE" w14:textId="77777777" w:rsidR="00A10B25" w:rsidRDefault="00A10B25">
            <w:pPr>
              <w:pStyle w:val="TAC"/>
              <w:rPr>
                <w:sz w:val="16"/>
                <w:szCs w:val="16"/>
              </w:rPr>
            </w:pPr>
            <w:r>
              <w:rPr>
                <w:sz w:val="16"/>
                <w:szCs w:val="16"/>
              </w:rPr>
              <w:t>CP-220173</w:t>
            </w:r>
          </w:p>
        </w:tc>
        <w:tc>
          <w:tcPr>
            <w:tcW w:w="523" w:type="dxa"/>
            <w:shd w:val="solid" w:color="FFFFFF" w:fill="auto"/>
          </w:tcPr>
          <w:p w14:paraId="68640B96" w14:textId="77777777" w:rsidR="00A10B25" w:rsidRDefault="00A10B25">
            <w:pPr>
              <w:pStyle w:val="TAL"/>
              <w:rPr>
                <w:sz w:val="16"/>
                <w:szCs w:val="16"/>
              </w:rPr>
            </w:pPr>
            <w:r>
              <w:rPr>
                <w:sz w:val="16"/>
                <w:szCs w:val="16"/>
              </w:rPr>
              <w:t>0409</w:t>
            </w:r>
          </w:p>
        </w:tc>
        <w:tc>
          <w:tcPr>
            <w:tcW w:w="423" w:type="dxa"/>
            <w:shd w:val="solid" w:color="FFFFFF" w:fill="auto"/>
          </w:tcPr>
          <w:p w14:paraId="611D6982"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0658F45" w14:textId="77777777" w:rsidR="00A10B25" w:rsidRDefault="00A10B25">
            <w:pPr>
              <w:pStyle w:val="TAC"/>
              <w:rPr>
                <w:sz w:val="16"/>
                <w:szCs w:val="16"/>
              </w:rPr>
            </w:pPr>
            <w:r>
              <w:rPr>
                <w:sz w:val="16"/>
                <w:szCs w:val="16"/>
                <w:lang w:val="en-US" w:eastAsia="zh-CN"/>
              </w:rPr>
              <w:t>A</w:t>
            </w:r>
          </w:p>
        </w:tc>
        <w:tc>
          <w:tcPr>
            <w:tcW w:w="4899" w:type="dxa"/>
            <w:shd w:val="solid" w:color="FFFFFF" w:fill="auto"/>
          </w:tcPr>
          <w:p w14:paraId="13362B40" w14:textId="77777777" w:rsidR="00A10B25" w:rsidRDefault="00A10B25">
            <w:pPr>
              <w:pStyle w:val="TAL"/>
              <w:rPr>
                <w:sz w:val="16"/>
                <w:szCs w:val="16"/>
              </w:rPr>
            </w:pPr>
            <w:r>
              <w:rPr>
                <w:sz w:val="16"/>
                <w:szCs w:val="16"/>
              </w:rPr>
              <w:t>Correction of the description of end time</w:t>
            </w:r>
          </w:p>
        </w:tc>
        <w:tc>
          <w:tcPr>
            <w:tcW w:w="706" w:type="dxa"/>
            <w:shd w:val="solid" w:color="FFFFFF" w:fill="auto"/>
          </w:tcPr>
          <w:p w14:paraId="20260048" w14:textId="77777777" w:rsidR="00A10B25" w:rsidRDefault="00A10B25">
            <w:pPr>
              <w:pStyle w:val="TAC"/>
              <w:rPr>
                <w:sz w:val="16"/>
                <w:szCs w:val="16"/>
              </w:rPr>
            </w:pPr>
            <w:r>
              <w:rPr>
                <w:sz w:val="16"/>
                <w:szCs w:val="16"/>
              </w:rPr>
              <w:t>17.6.0</w:t>
            </w:r>
          </w:p>
        </w:tc>
      </w:tr>
      <w:tr w:rsidR="00A10B25" w14:paraId="7B54CA56" w14:textId="77777777">
        <w:tc>
          <w:tcPr>
            <w:tcW w:w="796" w:type="dxa"/>
            <w:shd w:val="solid" w:color="FFFFFF" w:fill="auto"/>
          </w:tcPr>
          <w:p w14:paraId="3DB7E30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28C696A"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6FB4EF5B" w14:textId="77777777" w:rsidR="00A10B25" w:rsidRDefault="00A10B25">
            <w:pPr>
              <w:pStyle w:val="TAC"/>
              <w:rPr>
                <w:sz w:val="16"/>
                <w:szCs w:val="16"/>
              </w:rPr>
            </w:pPr>
            <w:r>
              <w:rPr>
                <w:sz w:val="16"/>
                <w:szCs w:val="16"/>
              </w:rPr>
              <w:t>CP-220192</w:t>
            </w:r>
          </w:p>
        </w:tc>
        <w:tc>
          <w:tcPr>
            <w:tcW w:w="523" w:type="dxa"/>
            <w:shd w:val="solid" w:color="FFFFFF" w:fill="auto"/>
          </w:tcPr>
          <w:p w14:paraId="0B4F6CD3" w14:textId="77777777" w:rsidR="00A10B25" w:rsidRDefault="00A10B25">
            <w:pPr>
              <w:pStyle w:val="TAL"/>
              <w:rPr>
                <w:sz w:val="16"/>
                <w:szCs w:val="16"/>
              </w:rPr>
            </w:pPr>
            <w:r>
              <w:rPr>
                <w:sz w:val="16"/>
                <w:szCs w:val="16"/>
              </w:rPr>
              <w:t>0410</w:t>
            </w:r>
          </w:p>
        </w:tc>
        <w:tc>
          <w:tcPr>
            <w:tcW w:w="423" w:type="dxa"/>
            <w:shd w:val="solid" w:color="FFFFFF" w:fill="auto"/>
          </w:tcPr>
          <w:p w14:paraId="010E8A6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5DFA021"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0F0ED341" w14:textId="77777777" w:rsidR="00A10B25" w:rsidRDefault="00A10B25">
            <w:pPr>
              <w:pStyle w:val="TAL"/>
              <w:rPr>
                <w:sz w:val="16"/>
                <w:szCs w:val="16"/>
              </w:rPr>
            </w:pPr>
            <w:r>
              <w:rPr>
                <w:sz w:val="16"/>
                <w:szCs w:val="16"/>
              </w:rPr>
              <w:t>Incorrect response code of PUT method for Event Subscription Transfer</w:t>
            </w:r>
          </w:p>
        </w:tc>
        <w:tc>
          <w:tcPr>
            <w:tcW w:w="706" w:type="dxa"/>
            <w:shd w:val="solid" w:color="FFFFFF" w:fill="auto"/>
          </w:tcPr>
          <w:p w14:paraId="46CB2B9C" w14:textId="77777777" w:rsidR="00A10B25" w:rsidRDefault="00A10B25">
            <w:pPr>
              <w:pStyle w:val="TAC"/>
              <w:rPr>
                <w:sz w:val="16"/>
                <w:szCs w:val="16"/>
              </w:rPr>
            </w:pPr>
            <w:r>
              <w:rPr>
                <w:sz w:val="16"/>
                <w:szCs w:val="16"/>
              </w:rPr>
              <w:t>17.6.0</w:t>
            </w:r>
          </w:p>
        </w:tc>
      </w:tr>
      <w:tr w:rsidR="00A10B25" w14:paraId="35FEE32D" w14:textId="77777777">
        <w:tc>
          <w:tcPr>
            <w:tcW w:w="796" w:type="dxa"/>
            <w:shd w:val="solid" w:color="FFFFFF" w:fill="auto"/>
          </w:tcPr>
          <w:p w14:paraId="7EE3327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6D14B8F4"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4F0856DC" w14:textId="77777777" w:rsidR="00A10B25" w:rsidRDefault="00A10B25">
            <w:pPr>
              <w:pStyle w:val="TAC"/>
              <w:rPr>
                <w:sz w:val="16"/>
                <w:szCs w:val="16"/>
              </w:rPr>
            </w:pPr>
            <w:r>
              <w:rPr>
                <w:sz w:val="16"/>
                <w:szCs w:val="16"/>
              </w:rPr>
              <w:t>CP-220196</w:t>
            </w:r>
          </w:p>
        </w:tc>
        <w:tc>
          <w:tcPr>
            <w:tcW w:w="523" w:type="dxa"/>
            <w:shd w:val="solid" w:color="FFFFFF" w:fill="auto"/>
          </w:tcPr>
          <w:p w14:paraId="0DF91742" w14:textId="77777777" w:rsidR="00A10B25" w:rsidRDefault="00A10B25">
            <w:pPr>
              <w:pStyle w:val="TAL"/>
              <w:rPr>
                <w:sz w:val="16"/>
                <w:szCs w:val="16"/>
              </w:rPr>
            </w:pPr>
            <w:r>
              <w:rPr>
                <w:sz w:val="16"/>
                <w:szCs w:val="16"/>
              </w:rPr>
              <w:t>0411</w:t>
            </w:r>
          </w:p>
        </w:tc>
        <w:tc>
          <w:tcPr>
            <w:tcW w:w="423" w:type="dxa"/>
            <w:shd w:val="solid" w:color="FFFFFF" w:fill="auto"/>
          </w:tcPr>
          <w:p w14:paraId="27FDF095" w14:textId="77777777" w:rsidR="00A10B25" w:rsidRDefault="00A10B25">
            <w:pPr>
              <w:pStyle w:val="TAR"/>
              <w:rPr>
                <w:sz w:val="16"/>
                <w:szCs w:val="16"/>
              </w:rPr>
            </w:pPr>
          </w:p>
        </w:tc>
        <w:tc>
          <w:tcPr>
            <w:tcW w:w="423" w:type="dxa"/>
            <w:shd w:val="solid" w:color="FFFFFF" w:fill="auto"/>
          </w:tcPr>
          <w:p w14:paraId="5403410B"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1BE336B0" w14:textId="77777777" w:rsidR="00A10B25" w:rsidRDefault="00A10B25">
            <w:pPr>
              <w:pStyle w:val="TAL"/>
              <w:rPr>
                <w:sz w:val="16"/>
                <w:szCs w:val="16"/>
              </w:rPr>
            </w:pPr>
            <w:r>
              <w:rPr>
                <w:sz w:val="16"/>
                <w:szCs w:val="16"/>
              </w:rPr>
              <w:t>Correction to descriptions in OpenAPI file</w:t>
            </w:r>
          </w:p>
        </w:tc>
        <w:tc>
          <w:tcPr>
            <w:tcW w:w="706" w:type="dxa"/>
            <w:shd w:val="solid" w:color="FFFFFF" w:fill="auto"/>
          </w:tcPr>
          <w:p w14:paraId="76B5C2CB" w14:textId="77777777" w:rsidR="00A10B25" w:rsidRDefault="00A10B25">
            <w:pPr>
              <w:pStyle w:val="TAC"/>
              <w:rPr>
                <w:sz w:val="16"/>
                <w:szCs w:val="16"/>
              </w:rPr>
            </w:pPr>
            <w:r>
              <w:rPr>
                <w:sz w:val="16"/>
                <w:szCs w:val="16"/>
              </w:rPr>
              <w:t>17.6.0</w:t>
            </w:r>
          </w:p>
        </w:tc>
      </w:tr>
      <w:tr w:rsidR="00A10B25" w14:paraId="58C60247" w14:textId="77777777">
        <w:tc>
          <w:tcPr>
            <w:tcW w:w="796" w:type="dxa"/>
            <w:shd w:val="solid" w:color="FFFFFF" w:fill="auto"/>
          </w:tcPr>
          <w:p w14:paraId="0E5E11E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49E0F174"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59BCDA0" w14:textId="77777777" w:rsidR="00A10B25" w:rsidRDefault="00A10B25">
            <w:pPr>
              <w:pStyle w:val="TAC"/>
              <w:rPr>
                <w:sz w:val="16"/>
                <w:szCs w:val="16"/>
              </w:rPr>
            </w:pPr>
            <w:r>
              <w:rPr>
                <w:sz w:val="16"/>
                <w:szCs w:val="16"/>
              </w:rPr>
              <w:t>CP-220191</w:t>
            </w:r>
          </w:p>
        </w:tc>
        <w:tc>
          <w:tcPr>
            <w:tcW w:w="523" w:type="dxa"/>
            <w:shd w:val="solid" w:color="FFFFFF" w:fill="auto"/>
          </w:tcPr>
          <w:p w14:paraId="552C4ED6" w14:textId="77777777" w:rsidR="00A10B25" w:rsidRDefault="00A10B25">
            <w:pPr>
              <w:pStyle w:val="TAL"/>
              <w:rPr>
                <w:sz w:val="16"/>
                <w:szCs w:val="16"/>
              </w:rPr>
            </w:pPr>
            <w:r>
              <w:rPr>
                <w:sz w:val="16"/>
                <w:szCs w:val="16"/>
              </w:rPr>
              <w:t>0412</w:t>
            </w:r>
          </w:p>
        </w:tc>
        <w:tc>
          <w:tcPr>
            <w:tcW w:w="423" w:type="dxa"/>
            <w:shd w:val="solid" w:color="FFFFFF" w:fill="auto"/>
          </w:tcPr>
          <w:p w14:paraId="1FD94E2C"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E98AD12"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234897E" w14:textId="77777777" w:rsidR="00A10B25" w:rsidRDefault="00A10B25">
            <w:pPr>
              <w:pStyle w:val="TAL"/>
              <w:rPr>
                <w:sz w:val="16"/>
                <w:szCs w:val="16"/>
              </w:rPr>
            </w:pPr>
            <w:r>
              <w:rPr>
                <w:sz w:val="16"/>
                <w:szCs w:val="16"/>
              </w:rPr>
              <w:t>Service Operation of Nnwdaf_DataManagement_Subscribe Service</w:t>
            </w:r>
          </w:p>
        </w:tc>
        <w:tc>
          <w:tcPr>
            <w:tcW w:w="706" w:type="dxa"/>
            <w:shd w:val="solid" w:color="FFFFFF" w:fill="auto"/>
          </w:tcPr>
          <w:p w14:paraId="648B8DA6" w14:textId="77777777" w:rsidR="00A10B25" w:rsidRDefault="00A10B25">
            <w:pPr>
              <w:pStyle w:val="TAC"/>
              <w:rPr>
                <w:sz w:val="16"/>
                <w:szCs w:val="16"/>
              </w:rPr>
            </w:pPr>
            <w:r>
              <w:rPr>
                <w:sz w:val="16"/>
                <w:szCs w:val="16"/>
              </w:rPr>
              <w:t>17.6.0</w:t>
            </w:r>
          </w:p>
        </w:tc>
      </w:tr>
      <w:tr w:rsidR="00A10B25" w14:paraId="6C8B3524" w14:textId="77777777">
        <w:tc>
          <w:tcPr>
            <w:tcW w:w="796" w:type="dxa"/>
            <w:shd w:val="solid" w:color="FFFFFF" w:fill="auto"/>
          </w:tcPr>
          <w:p w14:paraId="3F5249F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2ED53D6"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5B62C47" w14:textId="77777777" w:rsidR="00A10B25" w:rsidRDefault="00A10B25">
            <w:pPr>
              <w:pStyle w:val="TAC"/>
              <w:rPr>
                <w:sz w:val="16"/>
                <w:szCs w:val="16"/>
              </w:rPr>
            </w:pPr>
            <w:r>
              <w:rPr>
                <w:sz w:val="16"/>
                <w:szCs w:val="16"/>
              </w:rPr>
              <w:t>CP-220191</w:t>
            </w:r>
          </w:p>
        </w:tc>
        <w:tc>
          <w:tcPr>
            <w:tcW w:w="523" w:type="dxa"/>
            <w:shd w:val="solid" w:color="FFFFFF" w:fill="auto"/>
          </w:tcPr>
          <w:p w14:paraId="68CDA371" w14:textId="77777777" w:rsidR="00A10B25" w:rsidRDefault="00A10B25">
            <w:pPr>
              <w:pStyle w:val="TAL"/>
              <w:rPr>
                <w:sz w:val="16"/>
                <w:szCs w:val="16"/>
              </w:rPr>
            </w:pPr>
            <w:r>
              <w:rPr>
                <w:sz w:val="16"/>
                <w:szCs w:val="16"/>
              </w:rPr>
              <w:t>0413</w:t>
            </w:r>
          </w:p>
        </w:tc>
        <w:tc>
          <w:tcPr>
            <w:tcW w:w="423" w:type="dxa"/>
            <w:shd w:val="solid" w:color="FFFFFF" w:fill="auto"/>
          </w:tcPr>
          <w:p w14:paraId="34040570"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95155EF"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605A66CC" w14:textId="77777777" w:rsidR="00A10B25" w:rsidRDefault="00A10B25">
            <w:pPr>
              <w:pStyle w:val="TAL"/>
              <w:rPr>
                <w:sz w:val="16"/>
                <w:szCs w:val="16"/>
              </w:rPr>
            </w:pPr>
            <w:r>
              <w:rPr>
                <w:sz w:val="16"/>
                <w:szCs w:val="16"/>
              </w:rPr>
              <w:t>Service Operation of Nnwdaf_DataManagement_Unsubscribe Service</w:t>
            </w:r>
          </w:p>
        </w:tc>
        <w:tc>
          <w:tcPr>
            <w:tcW w:w="706" w:type="dxa"/>
            <w:shd w:val="solid" w:color="FFFFFF" w:fill="auto"/>
          </w:tcPr>
          <w:p w14:paraId="07268A10" w14:textId="77777777" w:rsidR="00A10B25" w:rsidRDefault="00A10B25">
            <w:pPr>
              <w:pStyle w:val="TAC"/>
              <w:rPr>
                <w:sz w:val="16"/>
                <w:szCs w:val="16"/>
              </w:rPr>
            </w:pPr>
            <w:r>
              <w:rPr>
                <w:sz w:val="16"/>
                <w:szCs w:val="16"/>
              </w:rPr>
              <w:t>17.6.0</w:t>
            </w:r>
          </w:p>
        </w:tc>
      </w:tr>
      <w:tr w:rsidR="00A10B25" w14:paraId="2BA5BADB" w14:textId="77777777">
        <w:tc>
          <w:tcPr>
            <w:tcW w:w="796" w:type="dxa"/>
            <w:shd w:val="solid" w:color="FFFFFF" w:fill="auto"/>
          </w:tcPr>
          <w:p w14:paraId="3382A22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593D0F1"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02C3836C" w14:textId="77777777" w:rsidR="00A10B25" w:rsidRDefault="00A10B25">
            <w:pPr>
              <w:pStyle w:val="TAC"/>
              <w:rPr>
                <w:sz w:val="16"/>
                <w:szCs w:val="16"/>
              </w:rPr>
            </w:pPr>
            <w:r>
              <w:rPr>
                <w:sz w:val="16"/>
                <w:szCs w:val="16"/>
              </w:rPr>
              <w:t>CP-220191</w:t>
            </w:r>
          </w:p>
        </w:tc>
        <w:tc>
          <w:tcPr>
            <w:tcW w:w="523" w:type="dxa"/>
            <w:shd w:val="solid" w:color="FFFFFF" w:fill="auto"/>
          </w:tcPr>
          <w:p w14:paraId="21957FDB" w14:textId="77777777" w:rsidR="00A10B25" w:rsidRDefault="00A10B25">
            <w:pPr>
              <w:pStyle w:val="TAL"/>
              <w:rPr>
                <w:sz w:val="16"/>
                <w:szCs w:val="16"/>
              </w:rPr>
            </w:pPr>
            <w:r>
              <w:rPr>
                <w:sz w:val="16"/>
                <w:szCs w:val="16"/>
              </w:rPr>
              <w:t>0414</w:t>
            </w:r>
          </w:p>
        </w:tc>
        <w:tc>
          <w:tcPr>
            <w:tcW w:w="423" w:type="dxa"/>
            <w:shd w:val="solid" w:color="FFFFFF" w:fill="auto"/>
          </w:tcPr>
          <w:p w14:paraId="7F56C22F"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E647CCF"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014F53B" w14:textId="77777777" w:rsidR="00A10B25" w:rsidRDefault="00A10B25">
            <w:pPr>
              <w:pStyle w:val="TAL"/>
              <w:rPr>
                <w:sz w:val="16"/>
                <w:szCs w:val="16"/>
              </w:rPr>
            </w:pPr>
            <w:r>
              <w:rPr>
                <w:sz w:val="16"/>
                <w:szCs w:val="16"/>
              </w:rPr>
              <w:t>Nnwdaf_DataManagement Service Resources</w:t>
            </w:r>
          </w:p>
        </w:tc>
        <w:tc>
          <w:tcPr>
            <w:tcW w:w="706" w:type="dxa"/>
            <w:shd w:val="solid" w:color="FFFFFF" w:fill="auto"/>
          </w:tcPr>
          <w:p w14:paraId="2F109EB8" w14:textId="77777777" w:rsidR="00A10B25" w:rsidRDefault="00A10B25">
            <w:pPr>
              <w:pStyle w:val="TAC"/>
              <w:rPr>
                <w:sz w:val="16"/>
                <w:szCs w:val="16"/>
              </w:rPr>
            </w:pPr>
            <w:r>
              <w:rPr>
                <w:sz w:val="16"/>
                <w:szCs w:val="16"/>
              </w:rPr>
              <w:t>17.6.0</w:t>
            </w:r>
          </w:p>
        </w:tc>
      </w:tr>
      <w:tr w:rsidR="00A10B25" w14:paraId="768BF44F" w14:textId="77777777">
        <w:tc>
          <w:tcPr>
            <w:tcW w:w="796" w:type="dxa"/>
            <w:shd w:val="solid" w:color="FFFFFF" w:fill="auto"/>
          </w:tcPr>
          <w:p w14:paraId="0FFE3E6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27ABA20C"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E747089" w14:textId="77777777" w:rsidR="00A10B25" w:rsidRDefault="00A10B25">
            <w:pPr>
              <w:pStyle w:val="TAC"/>
              <w:rPr>
                <w:sz w:val="16"/>
                <w:szCs w:val="16"/>
              </w:rPr>
            </w:pPr>
            <w:r>
              <w:rPr>
                <w:sz w:val="16"/>
                <w:szCs w:val="16"/>
              </w:rPr>
              <w:t>CP-220191</w:t>
            </w:r>
          </w:p>
        </w:tc>
        <w:tc>
          <w:tcPr>
            <w:tcW w:w="523" w:type="dxa"/>
            <w:shd w:val="solid" w:color="FFFFFF" w:fill="auto"/>
          </w:tcPr>
          <w:p w14:paraId="540E313A" w14:textId="77777777" w:rsidR="00A10B25" w:rsidRDefault="00A10B25">
            <w:pPr>
              <w:pStyle w:val="TAL"/>
              <w:rPr>
                <w:sz w:val="16"/>
                <w:szCs w:val="16"/>
              </w:rPr>
            </w:pPr>
            <w:r>
              <w:rPr>
                <w:sz w:val="16"/>
                <w:szCs w:val="16"/>
              </w:rPr>
              <w:t>0415</w:t>
            </w:r>
          </w:p>
        </w:tc>
        <w:tc>
          <w:tcPr>
            <w:tcW w:w="423" w:type="dxa"/>
            <w:shd w:val="solid" w:color="FFFFFF" w:fill="auto"/>
          </w:tcPr>
          <w:p w14:paraId="3F8368D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F59FA17"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29DC131B" w14:textId="77777777" w:rsidR="00A10B25" w:rsidRDefault="00A10B25">
            <w:pPr>
              <w:pStyle w:val="TAL"/>
              <w:rPr>
                <w:sz w:val="16"/>
                <w:szCs w:val="16"/>
              </w:rPr>
            </w:pPr>
            <w:r>
              <w:rPr>
                <w:sz w:val="16"/>
                <w:szCs w:val="16"/>
              </w:rPr>
              <w:t>Nnwdaf_DataManagement Service Data Model</w:t>
            </w:r>
          </w:p>
        </w:tc>
        <w:tc>
          <w:tcPr>
            <w:tcW w:w="706" w:type="dxa"/>
            <w:shd w:val="solid" w:color="FFFFFF" w:fill="auto"/>
          </w:tcPr>
          <w:p w14:paraId="7AD5C8F9" w14:textId="77777777" w:rsidR="00A10B25" w:rsidRDefault="00A10B25">
            <w:pPr>
              <w:pStyle w:val="TAC"/>
              <w:rPr>
                <w:sz w:val="16"/>
                <w:szCs w:val="16"/>
              </w:rPr>
            </w:pPr>
            <w:r>
              <w:rPr>
                <w:sz w:val="16"/>
                <w:szCs w:val="16"/>
              </w:rPr>
              <w:t>17.6.0</w:t>
            </w:r>
          </w:p>
        </w:tc>
      </w:tr>
      <w:tr w:rsidR="00A10B25" w14:paraId="3D1F66C6" w14:textId="77777777">
        <w:tc>
          <w:tcPr>
            <w:tcW w:w="796" w:type="dxa"/>
            <w:shd w:val="solid" w:color="FFFFFF" w:fill="auto"/>
          </w:tcPr>
          <w:p w14:paraId="722884A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77570DB"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0F773CFB" w14:textId="77777777" w:rsidR="00A10B25" w:rsidRDefault="00A10B25">
            <w:pPr>
              <w:pStyle w:val="TAC"/>
              <w:rPr>
                <w:sz w:val="16"/>
                <w:szCs w:val="16"/>
              </w:rPr>
            </w:pPr>
            <w:r>
              <w:rPr>
                <w:sz w:val="16"/>
                <w:szCs w:val="16"/>
              </w:rPr>
              <w:t>CP-220192</w:t>
            </w:r>
          </w:p>
        </w:tc>
        <w:tc>
          <w:tcPr>
            <w:tcW w:w="523" w:type="dxa"/>
            <w:shd w:val="solid" w:color="FFFFFF" w:fill="auto"/>
          </w:tcPr>
          <w:p w14:paraId="6C6B1E3B" w14:textId="77777777" w:rsidR="00A10B25" w:rsidRDefault="00A10B25">
            <w:pPr>
              <w:pStyle w:val="TAL"/>
              <w:rPr>
                <w:sz w:val="16"/>
                <w:szCs w:val="16"/>
              </w:rPr>
            </w:pPr>
            <w:r>
              <w:rPr>
                <w:sz w:val="16"/>
                <w:szCs w:val="16"/>
              </w:rPr>
              <w:t>0417</w:t>
            </w:r>
          </w:p>
        </w:tc>
        <w:tc>
          <w:tcPr>
            <w:tcW w:w="423" w:type="dxa"/>
            <w:shd w:val="solid" w:color="FFFFFF" w:fill="auto"/>
          </w:tcPr>
          <w:p w14:paraId="6473AE59"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4F48258"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3394707" w14:textId="77777777" w:rsidR="00A10B25" w:rsidRDefault="00A10B25">
            <w:pPr>
              <w:pStyle w:val="TAL"/>
              <w:rPr>
                <w:sz w:val="16"/>
                <w:szCs w:val="16"/>
              </w:rPr>
            </w:pPr>
            <w:r>
              <w:rPr>
                <w:sz w:val="16"/>
                <w:szCs w:val="16"/>
              </w:rPr>
              <w:t>Add accuracy per analytics subset for the specific events</w:t>
            </w:r>
          </w:p>
        </w:tc>
        <w:tc>
          <w:tcPr>
            <w:tcW w:w="706" w:type="dxa"/>
            <w:shd w:val="solid" w:color="FFFFFF" w:fill="auto"/>
          </w:tcPr>
          <w:p w14:paraId="7766C84F" w14:textId="77777777" w:rsidR="00A10B25" w:rsidRDefault="00A10B25">
            <w:pPr>
              <w:pStyle w:val="TAC"/>
              <w:rPr>
                <w:sz w:val="16"/>
                <w:szCs w:val="16"/>
              </w:rPr>
            </w:pPr>
            <w:r>
              <w:rPr>
                <w:sz w:val="16"/>
                <w:szCs w:val="16"/>
              </w:rPr>
              <w:t>17.6.0</w:t>
            </w:r>
          </w:p>
        </w:tc>
      </w:tr>
      <w:tr w:rsidR="00A10B25" w14:paraId="47EB282F" w14:textId="77777777">
        <w:tc>
          <w:tcPr>
            <w:tcW w:w="796" w:type="dxa"/>
            <w:shd w:val="solid" w:color="FFFFFF" w:fill="auto"/>
          </w:tcPr>
          <w:p w14:paraId="78B69F4E"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110A6A53"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579DB6B6" w14:textId="77777777" w:rsidR="00A10B25" w:rsidRDefault="00A10B25">
            <w:pPr>
              <w:pStyle w:val="TAC"/>
              <w:rPr>
                <w:sz w:val="16"/>
                <w:szCs w:val="16"/>
              </w:rPr>
            </w:pPr>
            <w:r>
              <w:rPr>
                <w:sz w:val="16"/>
                <w:szCs w:val="16"/>
              </w:rPr>
              <w:t>CP-220192</w:t>
            </w:r>
          </w:p>
        </w:tc>
        <w:tc>
          <w:tcPr>
            <w:tcW w:w="523" w:type="dxa"/>
            <w:shd w:val="solid" w:color="FFFFFF" w:fill="auto"/>
          </w:tcPr>
          <w:p w14:paraId="587745AC" w14:textId="77777777" w:rsidR="00A10B25" w:rsidRDefault="00A10B25">
            <w:pPr>
              <w:pStyle w:val="TAL"/>
              <w:rPr>
                <w:sz w:val="16"/>
                <w:szCs w:val="16"/>
              </w:rPr>
            </w:pPr>
            <w:r>
              <w:rPr>
                <w:sz w:val="16"/>
                <w:szCs w:val="16"/>
              </w:rPr>
              <w:t>0418</w:t>
            </w:r>
          </w:p>
        </w:tc>
        <w:tc>
          <w:tcPr>
            <w:tcW w:w="423" w:type="dxa"/>
            <w:shd w:val="solid" w:color="FFFFFF" w:fill="auto"/>
          </w:tcPr>
          <w:p w14:paraId="72B8C45A"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551ADFA"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98C1E46" w14:textId="77777777" w:rsidR="00A10B25" w:rsidRDefault="00A10B25">
            <w:pPr>
              <w:pStyle w:val="TAL"/>
              <w:rPr>
                <w:sz w:val="16"/>
                <w:szCs w:val="16"/>
              </w:rPr>
            </w:pPr>
            <w:r>
              <w:rPr>
                <w:sz w:val="16"/>
                <w:szCs w:val="16"/>
              </w:rPr>
              <w:t>Add list of analytics subsets to the Nnwdaf_AnalyticsInfo_Request procedure</w:t>
            </w:r>
          </w:p>
        </w:tc>
        <w:tc>
          <w:tcPr>
            <w:tcW w:w="706" w:type="dxa"/>
            <w:shd w:val="solid" w:color="FFFFFF" w:fill="auto"/>
          </w:tcPr>
          <w:p w14:paraId="2F721DBA" w14:textId="77777777" w:rsidR="00A10B25" w:rsidRDefault="00A10B25">
            <w:pPr>
              <w:pStyle w:val="TAC"/>
              <w:rPr>
                <w:sz w:val="16"/>
                <w:szCs w:val="16"/>
              </w:rPr>
            </w:pPr>
            <w:r>
              <w:rPr>
                <w:sz w:val="16"/>
                <w:szCs w:val="16"/>
              </w:rPr>
              <w:t>17.6.0</w:t>
            </w:r>
          </w:p>
        </w:tc>
      </w:tr>
      <w:tr w:rsidR="00A10B25" w14:paraId="7F2D8B8C" w14:textId="77777777">
        <w:tc>
          <w:tcPr>
            <w:tcW w:w="796" w:type="dxa"/>
            <w:shd w:val="solid" w:color="FFFFFF" w:fill="auto"/>
          </w:tcPr>
          <w:p w14:paraId="2371751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2A57095"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2FDCE8AF" w14:textId="77777777" w:rsidR="00A10B25" w:rsidRDefault="00A10B25">
            <w:pPr>
              <w:pStyle w:val="TAC"/>
              <w:rPr>
                <w:sz w:val="16"/>
                <w:szCs w:val="16"/>
              </w:rPr>
            </w:pPr>
            <w:r>
              <w:rPr>
                <w:sz w:val="16"/>
                <w:szCs w:val="16"/>
              </w:rPr>
              <w:t>CP-220191</w:t>
            </w:r>
          </w:p>
        </w:tc>
        <w:tc>
          <w:tcPr>
            <w:tcW w:w="523" w:type="dxa"/>
            <w:shd w:val="solid" w:color="FFFFFF" w:fill="auto"/>
          </w:tcPr>
          <w:p w14:paraId="48D75246" w14:textId="77777777" w:rsidR="00A10B25" w:rsidRDefault="00A10B25">
            <w:pPr>
              <w:pStyle w:val="TAL"/>
              <w:rPr>
                <w:sz w:val="16"/>
                <w:szCs w:val="16"/>
              </w:rPr>
            </w:pPr>
            <w:r>
              <w:rPr>
                <w:sz w:val="16"/>
                <w:szCs w:val="16"/>
              </w:rPr>
              <w:t>0419</w:t>
            </w:r>
          </w:p>
        </w:tc>
        <w:tc>
          <w:tcPr>
            <w:tcW w:w="423" w:type="dxa"/>
            <w:shd w:val="solid" w:color="FFFFFF" w:fill="auto"/>
          </w:tcPr>
          <w:p w14:paraId="077C12F6" w14:textId="77777777" w:rsidR="00A10B25" w:rsidRDefault="00A10B25">
            <w:pPr>
              <w:pStyle w:val="TAR"/>
              <w:rPr>
                <w:sz w:val="16"/>
                <w:szCs w:val="16"/>
              </w:rPr>
            </w:pPr>
          </w:p>
        </w:tc>
        <w:tc>
          <w:tcPr>
            <w:tcW w:w="423" w:type="dxa"/>
            <w:shd w:val="solid" w:color="FFFFFF" w:fill="auto"/>
          </w:tcPr>
          <w:p w14:paraId="3DF01E71"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FCC9BEF" w14:textId="77777777" w:rsidR="00A10B25" w:rsidRDefault="00A10B25">
            <w:pPr>
              <w:pStyle w:val="TAL"/>
              <w:rPr>
                <w:sz w:val="16"/>
                <w:szCs w:val="16"/>
              </w:rPr>
            </w:pPr>
            <w:r>
              <w:rPr>
                <w:rFonts w:hint="eastAsia"/>
                <w:sz w:val="16"/>
                <w:szCs w:val="16"/>
              </w:rPr>
              <w:t>A</w:t>
            </w:r>
            <w:r>
              <w:rPr>
                <w:sz w:val="16"/>
                <w:szCs w:val="16"/>
              </w:rPr>
              <w:t>dd list of analytics subsets to the subscription procedure</w:t>
            </w:r>
          </w:p>
        </w:tc>
        <w:tc>
          <w:tcPr>
            <w:tcW w:w="706" w:type="dxa"/>
            <w:shd w:val="solid" w:color="FFFFFF" w:fill="auto"/>
          </w:tcPr>
          <w:p w14:paraId="2786F339" w14:textId="77777777" w:rsidR="00A10B25" w:rsidRDefault="00A10B25">
            <w:pPr>
              <w:pStyle w:val="TAC"/>
              <w:rPr>
                <w:sz w:val="16"/>
                <w:szCs w:val="16"/>
              </w:rPr>
            </w:pPr>
            <w:r>
              <w:rPr>
                <w:sz w:val="16"/>
                <w:szCs w:val="16"/>
              </w:rPr>
              <w:t>17.6.0</w:t>
            </w:r>
          </w:p>
        </w:tc>
      </w:tr>
      <w:tr w:rsidR="00A10B25" w14:paraId="1B5CAD54" w14:textId="77777777">
        <w:tc>
          <w:tcPr>
            <w:tcW w:w="796" w:type="dxa"/>
            <w:shd w:val="solid" w:color="FFFFFF" w:fill="auto"/>
          </w:tcPr>
          <w:p w14:paraId="114F82C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257FA8F"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4340E9F" w14:textId="77777777" w:rsidR="00A10B25" w:rsidRDefault="00A10B25">
            <w:pPr>
              <w:pStyle w:val="TAC"/>
              <w:rPr>
                <w:sz w:val="16"/>
                <w:szCs w:val="16"/>
              </w:rPr>
            </w:pPr>
            <w:r>
              <w:rPr>
                <w:sz w:val="16"/>
                <w:szCs w:val="16"/>
              </w:rPr>
              <w:t>CP-220192</w:t>
            </w:r>
          </w:p>
        </w:tc>
        <w:tc>
          <w:tcPr>
            <w:tcW w:w="523" w:type="dxa"/>
            <w:shd w:val="solid" w:color="FFFFFF" w:fill="auto"/>
          </w:tcPr>
          <w:p w14:paraId="0C21DF54" w14:textId="77777777" w:rsidR="00A10B25" w:rsidRDefault="00A10B25">
            <w:pPr>
              <w:pStyle w:val="TAL"/>
              <w:rPr>
                <w:sz w:val="16"/>
                <w:szCs w:val="16"/>
              </w:rPr>
            </w:pPr>
            <w:r>
              <w:rPr>
                <w:sz w:val="16"/>
                <w:szCs w:val="16"/>
              </w:rPr>
              <w:t>0420</w:t>
            </w:r>
          </w:p>
        </w:tc>
        <w:tc>
          <w:tcPr>
            <w:tcW w:w="423" w:type="dxa"/>
            <w:shd w:val="solid" w:color="FFFFFF" w:fill="auto"/>
          </w:tcPr>
          <w:p w14:paraId="0A814CD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D6DBE35"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626B286" w14:textId="77777777" w:rsidR="00A10B25" w:rsidRDefault="00A10B25">
            <w:pPr>
              <w:pStyle w:val="TAL"/>
              <w:rPr>
                <w:sz w:val="16"/>
                <w:szCs w:val="16"/>
              </w:rPr>
            </w:pPr>
            <w:r>
              <w:rPr>
                <w:sz w:val="16"/>
                <w:szCs w:val="16"/>
              </w:rPr>
              <w:t>Add requirement for DN performance analytics</w:t>
            </w:r>
          </w:p>
        </w:tc>
        <w:tc>
          <w:tcPr>
            <w:tcW w:w="706" w:type="dxa"/>
            <w:shd w:val="solid" w:color="FFFFFF" w:fill="auto"/>
          </w:tcPr>
          <w:p w14:paraId="659B8C27" w14:textId="77777777" w:rsidR="00A10B25" w:rsidRDefault="00A10B25">
            <w:pPr>
              <w:pStyle w:val="TAC"/>
              <w:rPr>
                <w:sz w:val="16"/>
                <w:szCs w:val="16"/>
              </w:rPr>
            </w:pPr>
            <w:r>
              <w:rPr>
                <w:sz w:val="16"/>
                <w:szCs w:val="16"/>
              </w:rPr>
              <w:t>17.6.0</w:t>
            </w:r>
          </w:p>
        </w:tc>
      </w:tr>
      <w:tr w:rsidR="00A10B25" w14:paraId="191ABA60" w14:textId="77777777">
        <w:tc>
          <w:tcPr>
            <w:tcW w:w="796" w:type="dxa"/>
            <w:shd w:val="solid" w:color="FFFFFF" w:fill="auto"/>
          </w:tcPr>
          <w:p w14:paraId="4D723E5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2CE6CBE"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342E8666" w14:textId="77777777" w:rsidR="00A10B25" w:rsidRDefault="00A10B25">
            <w:pPr>
              <w:pStyle w:val="TAC"/>
              <w:rPr>
                <w:sz w:val="16"/>
                <w:szCs w:val="16"/>
              </w:rPr>
            </w:pPr>
            <w:r>
              <w:rPr>
                <w:sz w:val="16"/>
                <w:szCs w:val="16"/>
              </w:rPr>
              <w:t>CP-220192</w:t>
            </w:r>
          </w:p>
        </w:tc>
        <w:tc>
          <w:tcPr>
            <w:tcW w:w="523" w:type="dxa"/>
            <w:shd w:val="solid" w:color="FFFFFF" w:fill="auto"/>
          </w:tcPr>
          <w:p w14:paraId="77E6B491" w14:textId="77777777" w:rsidR="00A10B25" w:rsidRDefault="00A10B25">
            <w:pPr>
              <w:pStyle w:val="TAL"/>
              <w:rPr>
                <w:sz w:val="16"/>
                <w:szCs w:val="16"/>
              </w:rPr>
            </w:pPr>
            <w:r>
              <w:rPr>
                <w:sz w:val="16"/>
                <w:szCs w:val="16"/>
              </w:rPr>
              <w:t>0421</w:t>
            </w:r>
          </w:p>
        </w:tc>
        <w:tc>
          <w:tcPr>
            <w:tcW w:w="423" w:type="dxa"/>
            <w:shd w:val="solid" w:color="FFFFFF" w:fill="auto"/>
          </w:tcPr>
          <w:p w14:paraId="68AA23BF"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22A4701"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0AF2CB6E" w14:textId="77777777" w:rsidR="00A10B25" w:rsidRDefault="00A10B25">
            <w:pPr>
              <w:pStyle w:val="TAL"/>
              <w:rPr>
                <w:sz w:val="16"/>
                <w:szCs w:val="16"/>
              </w:rPr>
            </w:pPr>
            <w:r>
              <w:rPr>
                <w:sz w:val="16"/>
                <w:szCs w:val="16"/>
              </w:rPr>
              <w:t>Add the missing data structure to the specific Data Types table</w:t>
            </w:r>
          </w:p>
        </w:tc>
        <w:tc>
          <w:tcPr>
            <w:tcW w:w="706" w:type="dxa"/>
            <w:shd w:val="solid" w:color="FFFFFF" w:fill="auto"/>
          </w:tcPr>
          <w:p w14:paraId="1F72FB2D" w14:textId="77777777" w:rsidR="00A10B25" w:rsidRDefault="00A10B25">
            <w:pPr>
              <w:pStyle w:val="TAC"/>
              <w:rPr>
                <w:sz w:val="16"/>
                <w:szCs w:val="16"/>
              </w:rPr>
            </w:pPr>
            <w:r>
              <w:rPr>
                <w:sz w:val="16"/>
                <w:szCs w:val="16"/>
              </w:rPr>
              <w:t>17.6.0</w:t>
            </w:r>
          </w:p>
        </w:tc>
      </w:tr>
      <w:tr w:rsidR="00A10B25" w14:paraId="77473BE9" w14:textId="77777777">
        <w:tc>
          <w:tcPr>
            <w:tcW w:w="796" w:type="dxa"/>
            <w:shd w:val="solid" w:color="FFFFFF" w:fill="auto"/>
          </w:tcPr>
          <w:p w14:paraId="316CC43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34B0A642"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77E70CDD" w14:textId="77777777" w:rsidR="00A10B25" w:rsidRDefault="00A10B25">
            <w:pPr>
              <w:pStyle w:val="TAC"/>
              <w:rPr>
                <w:sz w:val="16"/>
                <w:szCs w:val="16"/>
              </w:rPr>
            </w:pPr>
            <w:r>
              <w:rPr>
                <w:sz w:val="16"/>
                <w:szCs w:val="16"/>
              </w:rPr>
              <w:t>CP-220191</w:t>
            </w:r>
          </w:p>
        </w:tc>
        <w:tc>
          <w:tcPr>
            <w:tcW w:w="523" w:type="dxa"/>
            <w:shd w:val="solid" w:color="FFFFFF" w:fill="auto"/>
          </w:tcPr>
          <w:p w14:paraId="75E560C9" w14:textId="77777777" w:rsidR="00A10B25" w:rsidRDefault="00A10B25">
            <w:pPr>
              <w:pStyle w:val="TAL"/>
              <w:rPr>
                <w:sz w:val="16"/>
                <w:szCs w:val="16"/>
              </w:rPr>
            </w:pPr>
            <w:r>
              <w:rPr>
                <w:sz w:val="16"/>
                <w:szCs w:val="16"/>
              </w:rPr>
              <w:t>0422</w:t>
            </w:r>
          </w:p>
        </w:tc>
        <w:tc>
          <w:tcPr>
            <w:tcW w:w="423" w:type="dxa"/>
            <w:shd w:val="solid" w:color="FFFFFF" w:fill="auto"/>
          </w:tcPr>
          <w:p w14:paraId="7BBEEB70" w14:textId="77777777" w:rsidR="00A10B25" w:rsidRDefault="00A10B25">
            <w:pPr>
              <w:pStyle w:val="TAR"/>
              <w:rPr>
                <w:sz w:val="16"/>
                <w:szCs w:val="16"/>
              </w:rPr>
            </w:pPr>
          </w:p>
        </w:tc>
        <w:tc>
          <w:tcPr>
            <w:tcW w:w="423" w:type="dxa"/>
            <w:shd w:val="solid" w:color="FFFFFF" w:fill="auto"/>
          </w:tcPr>
          <w:p w14:paraId="665B2198"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5124B270" w14:textId="77777777" w:rsidR="00A10B25" w:rsidRDefault="00A10B25">
            <w:pPr>
              <w:pStyle w:val="TAL"/>
              <w:rPr>
                <w:sz w:val="16"/>
                <w:szCs w:val="16"/>
              </w:rPr>
            </w:pPr>
            <w:r>
              <w:rPr>
                <w:sz w:val="16"/>
                <w:szCs w:val="16"/>
              </w:rPr>
              <w:t>Solve the Editor's Note for ML model filter information</w:t>
            </w:r>
          </w:p>
        </w:tc>
        <w:tc>
          <w:tcPr>
            <w:tcW w:w="706" w:type="dxa"/>
            <w:shd w:val="solid" w:color="FFFFFF" w:fill="auto"/>
          </w:tcPr>
          <w:p w14:paraId="07DE53F3" w14:textId="77777777" w:rsidR="00A10B25" w:rsidRDefault="00A10B25">
            <w:pPr>
              <w:pStyle w:val="TAC"/>
              <w:rPr>
                <w:sz w:val="16"/>
                <w:szCs w:val="16"/>
              </w:rPr>
            </w:pPr>
            <w:r>
              <w:rPr>
                <w:sz w:val="16"/>
                <w:szCs w:val="16"/>
              </w:rPr>
              <w:t>17.6.0</w:t>
            </w:r>
          </w:p>
        </w:tc>
      </w:tr>
      <w:tr w:rsidR="00A10B25" w14:paraId="07D2474F" w14:textId="77777777">
        <w:tc>
          <w:tcPr>
            <w:tcW w:w="796" w:type="dxa"/>
            <w:shd w:val="solid" w:color="FFFFFF" w:fill="auto"/>
          </w:tcPr>
          <w:p w14:paraId="02D2410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022-03</w:t>
            </w:r>
          </w:p>
        </w:tc>
        <w:tc>
          <w:tcPr>
            <w:tcW w:w="828" w:type="dxa"/>
            <w:shd w:val="solid" w:color="FFFFFF" w:fill="auto"/>
          </w:tcPr>
          <w:p w14:paraId="5716364F" w14:textId="77777777" w:rsidR="00A10B25" w:rsidRDefault="00A10B25">
            <w:pPr>
              <w:pStyle w:val="TAC"/>
              <w:rPr>
                <w:sz w:val="16"/>
                <w:szCs w:val="16"/>
              </w:rPr>
            </w:pPr>
            <w:r>
              <w:rPr>
                <w:sz w:val="16"/>
                <w:szCs w:val="16"/>
                <w:lang w:val="en-US" w:eastAsia="zh-CN"/>
              </w:rPr>
              <w:t>CT#95e</w:t>
            </w:r>
          </w:p>
        </w:tc>
        <w:tc>
          <w:tcPr>
            <w:tcW w:w="1083" w:type="dxa"/>
            <w:shd w:val="solid" w:color="FFFFFF" w:fill="auto"/>
          </w:tcPr>
          <w:p w14:paraId="0A2E6373" w14:textId="77777777" w:rsidR="00A10B25" w:rsidRDefault="00A10B25">
            <w:pPr>
              <w:pStyle w:val="TAC"/>
              <w:rPr>
                <w:sz w:val="16"/>
                <w:szCs w:val="16"/>
              </w:rPr>
            </w:pPr>
            <w:r>
              <w:rPr>
                <w:sz w:val="16"/>
                <w:szCs w:val="16"/>
              </w:rPr>
              <w:t>CP-220194</w:t>
            </w:r>
          </w:p>
        </w:tc>
        <w:tc>
          <w:tcPr>
            <w:tcW w:w="523" w:type="dxa"/>
            <w:shd w:val="solid" w:color="FFFFFF" w:fill="auto"/>
          </w:tcPr>
          <w:p w14:paraId="30A9E8BA" w14:textId="77777777" w:rsidR="00A10B25" w:rsidRDefault="00A10B25">
            <w:pPr>
              <w:pStyle w:val="TAL"/>
              <w:rPr>
                <w:sz w:val="16"/>
                <w:szCs w:val="16"/>
              </w:rPr>
            </w:pPr>
            <w:r>
              <w:rPr>
                <w:sz w:val="16"/>
                <w:szCs w:val="16"/>
              </w:rPr>
              <w:t>0423</w:t>
            </w:r>
          </w:p>
        </w:tc>
        <w:tc>
          <w:tcPr>
            <w:tcW w:w="423" w:type="dxa"/>
            <w:shd w:val="solid" w:color="FFFFFF" w:fill="auto"/>
          </w:tcPr>
          <w:p w14:paraId="0151F906" w14:textId="77777777" w:rsidR="00A10B25" w:rsidRDefault="00A10B25">
            <w:pPr>
              <w:pStyle w:val="TAR"/>
              <w:rPr>
                <w:sz w:val="16"/>
                <w:szCs w:val="16"/>
              </w:rPr>
            </w:pPr>
          </w:p>
        </w:tc>
        <w:tc>
          <w:tcPr>
            <w:tcW w:w="423" w:type="dxa"/>
            <w:shd w:val="solid" w:color="FFFFFF" w:fill="auto"/>
          </w:tcPr>
          <w:p w14:paraId="40CAF94D"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45CAD990" w14:textId="77777777" w:rsidR="00A10B25" w:rsidRDefault="00A10B25">
            <w:pPr>
              <w:pStyle w:val="TAL"/>
              <w:rPr>
                <w:sz w:val="16"/>
                <w:szCs w:val="16"/>
              </w:rPr>
            </w:pPr>
            <w:r>
              <w:rPr>
                <w:sz w:val="16"/>
                <w:szCs w:val="16"/>
              </w:rPr>
              <w:t>Update of info and externalDocs fields</w:t>
            </w:r>
          </w:p>
        </w:tc>
        <w:tc>
          <w:tcPr>
            <w:tcW w:w="706" w:type="dxa"/>
            <w:shd w:val="solid" w:color="FFFFFF" w:fill="auto"/>
          </w:tcPr>
          <w:p w14:paraId="12093F69" w14:textId="77777777" w:rsidR="00A10B25" w:rsidRDefault="00A10B25">
            <w:pPr>
              <w:pStyle w:val="TAC"/>
              <w:rPr>
                <w:sz w:val="16"/>
                <w:szCs w:val="16"/>
              </w:rPr>
            </w:pPr>
            <w:r>
              <w:rPr>
                <w:sz w:val="16"/>
                <w:szCs w:val="16"/>
              </w:rPr>
              <w:t>17.6.0</w:t>
            </w:r>
          </w:p>
        </w:tc>
      </w:tr>
      <w:tr w:rsidR="00A10B25" w14:paraId="6DB4BB6E" w14:textId="77777777">
        <w:tc>
          <w:tcPr>
            <w:tcW w:w="796" w:type="dxa"/>
            <w:shd w:val="solid" w:color="FFFFFF" w:fill="auto"/>
          </w:tcPr>
          <w:p w14:paraId="290662F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50F5938"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68DEC216" w14:textId="77777777" w:rsidR="00A10B25" w:rsidRDefault="00A10B25">
            <w:pPr>
              <w:pStyle w:val="TAC"/>
              <w:rPr>
                <w:sz w:val="16"/>
                <w:szCs w:val="16"/>
              </w:rPr>
            </w:pPr>
            <w:r>
              <w:rPr>
                <w:sz w:val="16"/>
                <w:szCs w:val="16"/>
              </w:rPr>
              <w:t>CP-221130</w:t>
            </w:r>
          </w:p>
        </w:tc>
        <w:tc>
          <w:tcPr>
            <w:tcW w:w="523" w:type="dxa"/>
            <w:shd w:val="solid" w:color="FFFFFF" w:fill="auto"/>
          </w:tcPr>
          <w:p w14:paraId="44C8B2DD" w14:textId="77777777" w:rsidR="00A10B25" w:rsidRDefault="00A10B25">
            <w:pPr>
              <w:pStyle w:val="TAL"/>
              <w:rPr>
                <w:sz w:val="16"/>
                <w:szCs w:val="16"/>
              </w:rPr>
            </w:pPr>
            <w:r>
              <w:rPr>
                <w:sz w:val="16"/>
                <w:szCs w:val="16"/>
              </w:rPr>
              <w:t>0426</w:t>
            </w:r>
          </w:p>
        </w:tc>
        <w:tc>
          <w:tcPr>
            <w:tcW w:w="423" w:type="dxa"/>
            <w:shd w:val="solid" w:color="FFFFFF" w:fill="auto"/>
          </w:tcPr>
          <w:p w14:paraId="62829F3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8225C57"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693D5643" w14:textId="77777777" w:rsidR="00A10B25" w:rsidRDefault="00A10B25">
            <w:pPr>
              <w:pStyle w:val="TAL"/>
              <w:rPr>
                <w:sz w:val="16"/>
                <w:szCs w:val="16"/>
              </w:rPr>
            </w:pPr>
            <w:r>
              <w:rPr>
                <w:sz w:val="16"/>
                <w:szCs w:val="16"/>
              </w:rPr>
              <w:t>Correction of DN Performance Analytics</w:t>
            </w:r>
          </w:p>
        </w:tc>
        <w:tc>
          <w:tcPr>
            <w:tcW w:w="706" w:type="dxa"/>
            <w:shd w:val="solid" w:color="FFFFFF" w:fill="auto"/>
          </w:tcPr>
          <w:p w14:paraId="71232E51" w14:textId="77777777" w:rsidR="00A10B25" w:rsidRDefault="00A10B25">
            <w:pPr>
              <w:pStyle w:val="TAC"/>
              <w:rPr>
                <w:sz w:val="16"/>
                <w:szCs w:val="16"/>
              </w:rPr>
            </w:pPr>
            <w:r>
              <w:rPr>
                <w:sz w:val="16"/>
                <w:szCs w:val="16"/>
              </w:rPr>
              <w:t>17.7.0</w:t>
            </w:r>
          </w:p>
        </w:tc>
      </w:tr>
      <w:tr w:rsidR="00A10B25" w14:paraId="6AFFB0DC" w14:textId="77777777">
        <w:tc>
          <w:tcPr>
            <w:tcW w:w="796" w:type="dxa"/>
            <w:shd w:val="solid" w:color="FFFFFF" w:fill="auto"/>
          </w:tcPr>
          <w:p w14:paraId="49875B4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8C5976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7F4EE1E6" w14:textId="77777777" w:rsidR="00A10B25" w:rsidRDefault="00A10B25">
            <w:pPr>
              <w:pStyle w:val="TAC"/>
              <w:rPr>
                <w:sz w:val="16"/>
                <w:szCs w:val="16"/>
              </w:rPr>
            </w:pPr>
            <w:r>
              <w:rPr>
                <w:sz w:val="16"/>
                <w:szCs w:val="16"/>
              </w:rPr>
              <w:t>CP-221130</w:t>
            </w:r>
          </w:p>
        </w:tc>
        <w:tc>
          <w:tcPr>
            <w:tcW w:w="523" w:type="dxa"/>
            <w:shd w:val="solid" w:color="FFFFFF" w:fill="auto"/>
          </w:tcPr>
          <w:p w14:paraId="103D2254" w14:textId="77777777" w:rsidR="00A10B25" w:rsidRDefault="00A10B25">
            <w:pPr>
              <w:pStyle w:val="TAL"/>
              <w:rPr>
                <w:sz w:val="16"/>
                <w:szCs w:val="16"/>
              </w:rPr>
            </w:pPr>
            <w:r>
              <w:rPr>
                <w:sz w:val="16"/>
                <w:szCs w:val="16"/>
              </w:rPr>
              <w:t>0427</w:t>
            </w:r>
          </w:p>
        </w:tc>
        <w:tc>
          <w:tcPr>
            <w:tcW w:w="423" w:type="dxa"/>
            <w:shd w:val="solid" w:color="FFFFFF" w:fill="auto"/>
          </w:tcPr>
          <w:p w14:paraId="145AA80A"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4ED51F5"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4F6E2B66" w14:textId="77777777" w:rsidR="00A10B25" w:rsidRDefault="00A10B25">
            <w:pPr>
              <w:pStyle w:val="TAL"/>
              <w:rPr>
                <w:sz w:val="16"/>
                <w:szCs w:val="16"/>
              </w:rPr>
            </w:pPr>
            <w:r>
              <w:rPr>
                <w:sz w:val="16"/>
                <w:szCs w:val="16"/>
              </w:rPr>
              <w:t>Update Observed Service Experience Analytics</w:t>
            </w:r>
          </w:p>
        </w:tc>
        <w:tc>
          <w:tcPr>
            <w:tcW w:w="706" w:type="dxa"/>
            <w:shd w:val="solid" w:color="FFFFFF" w:fill="auto"/>
          </w:tcPr>
          <w:p w14:paraId="5083CA96" w14:textId="77777777" w:rsidR="00A10B25" w:rsidRDefault="00A10B25">
            <w:pPr>
              <w:pStyle w:val="TAC"/>
              <w:rPr>
                <w:sz w:val="16"/>
                <w:szCs w:val="16"/>
              </w:rPr>
            </w:pPr>
            <w:r>
              <w:rPr>
                <w:sz w:val="16"/>
                <w:szCs w:val="16"/>
              </w:rPr>
              <w:t>17.7.0</w:t>
            </w:r>
          </w:p>
        </w:tc>
      </w:tr>
      <w:tr w:rsidR="00A10B25" w14:paraId="501AF28D" w14:textId="77777777">
        <w:tc>
          <w:tcPr>
            <w:tcW w:w="796" w:type="dxa"/>
            <w:shd w:val="solid" w:color="FFFFFF" w:fill="auto"/>
          </w:tcPr>
          <w:p w14:paraId="6E30D5FD"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28E44A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6ED3468" w14:textId="77777777" w:rsidR="00A10B25" w:rsidRDefault="00A10B25">
            <w:pPr>
              <w:pStyle w:val="TAC"/>
              <w:rPr>
                <w:sz w:val="16"/>
                <w:szCs w:val="16"/>
              </w:rPr>
            </w:pPr>
            <w:r>
              <w:rPr>
                <w:sz w:val="16"/>
                <w:szCs w:val="16"/>
              </w:rPr>
              <w:t>CP-221131</w:t>
            </w:r>
          </w:p>
        </w:tc>
        <w:tc>
          <w:tcPr>
            <w:tcW w:w="523" w:type="dxa"/>
            <w:shd w:val="solid" w:color="FFFFFF" w:fill="auto"/>
          </w:tcPr>
          <w:p w14:paraId="55003CEB" w14:textId="77777777" w:rsidR="00A10B25" w:rsidRDefault="00A10B25">
            <w:pPr>
              <w:pStyle w:val="TAL"/>
              <w:rPr>
                <w:sz w:val="16"/>
                <w:szCs w:val="16"/>
              </w:rPr>
            </w:pPr>
            <w:r>
              <w:rPr>
                <w:sz w:val="16"/>
                <w:szCs w:val="16"/>
              </w:rPr>
              <w:t>0429</w:t>
            </w:r>
          </w:p>
        </w:tc>
        <w:tc>
          <w:tcPr>
            <w:tcW w:w="423" w:type="dxa"/>
            <w:shd w:val="solid" w:color="FFFFFF" w:fill="auto"/>
          </w:tcPr>
          <w:p w14:paraId="052DD3A0"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A1C42D8"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393D2845" w14:textId="77777777" w:rsidR="00A10B25" w:rsidRDefault="00A10B25">
            <w:pPr>
              <w:pStyle w:val="TAL"/>
              <w:rPr>
                <w:sz w:val="16"/>
                <w:szCs w:val="16"/>
              </w:rPr>
            </w:pPr>
            <w:r>
              <w:rPr>
                <w:sz w:val="16"/>
                <w:szCs w:val="16"/>
              </w:rPr>
              <w:t>Resolving ENs about references in the Transfer procedures</w:t>
            </w:r>
          </w:p>
        </w:tc>
        <w:tc>
          <w:tcPr>
            <w:tcW w:w="706" w:type="dxa"/>
            <w:shd w:val="solid" w:color="FFFFFF" w:fill="auto"/>
          </w:tcPr>
          <w:p w14:paraId="7A3EA3B3" w14:textId="77777777" w:rsidR="00A10B25" w:rsidRDefault="00A10B25">
            <w:pPr>
              <w:pStyle w:val="TAC"/>
              <w:rPr>
                <w:sz w:val="16"/>
                <w:szCs w:val="16"/>
              </w:rPr>
            </w:pPr>
            <w:r>
              <w:rPr>
                <w:sz w:val="16"/>
                <w:szCs w:val="16"/>
              </w:rPr>
              <w:t>17.7.0</w:t>
            </w:r>
          </w:p>
        </w:tc>
      </w:tr>
      <w:tr w:rsidR="00A10B25" w14:paraId="4AC7AED5" w14:textId="77777777">
        <w:tc>
          <w:tcPr>
            <w:tcW w:w="796" w:type="dxa"/>
            <w:shd w:val="solid" w:color="FFFFFF" w:fill="auto"/>
          </w:tcPr>
          <w:p w14:paraId="34D7F40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BBA4E9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566F092" w14:textId="77777777" w:rsidR="00A10B25" w:rsidRDefault="00A10B25">
            <w:pPr>
              <w:pStyle w:val="TAC"/>
              <w:rPr>
                <w:sz w:val="16"/>
                <w:szCs w:val="16"/>
              </w:rPr>
            </w:pPr>
            <w:r>
              <w:rPr>
                <w:sz w:val="16"/>
                <w:szCs w:val="16"/>
              </w:rPr>
              <w:t>CP-221131</w:t>
            </w:r>
          </w:p>
        </w:tc>
        <w:tc>
          <w:tcPr>
            <w:tcW w:w="523" w:type="dxa"/>
            <w:shd w:val="solid" w:color="FFFFFF" w:fill="auto"/>
          </w:tcPr>
          <w:p w14:paraId="2927DD78" w14:textId="77777777" w:rsidR="00A10B25" w:rsidRDefault="00A10B25">
            <w:pPr>
              <w:pStyle w:val="TAL"/>
              <w:rPr>
                <w:sz w:val="16"/>
                <w:szCs w:val="16"/>
              </w:rPr>
            </w:pPr>
            <w:r>
              <w:rPr>
                <w:sz w:val="16"/>
                <w:szCs w:val="16"/>
              </w:rPr>
              <w:t>0430</w:t>
            </w:r>
          </w:p>
        </w:tc>
        <w:tc>
          <w:tcPr>
            <w:tcW w:w="423" w:type="dxa"/>
            <w:shd w:val="solid" w:color="FFFFFF" w:fill="auto"/>
          </w:tcPr>
          <w:p w14:paraId="7968028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6370A1B"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288B85DA" w14:textId="77777777" w:rsidR="00A10B25" w:rsidRDefault="00A10B25">
            <w:pPr>
              <w:pStyle w:val="TAL"/>
              <w:rPr>
                <w:sz w:val="16"/>
                <w:szCs w:val="16"/>
              </w:rPr>
            </w:pPr>
            <w:r>
              <w:rPr>
                <w:sz w:val="16"/>
                <w:szCs w:val="16"/>
              </w:rPr>
              <w:t>Resolving ENs about subscriptions with data sources in ContextTransfer</w:t>
            </w:r>
          </w:p>
        </w:tc>
        <w:tc>
          <w:tcPr>
            <w:tcW w:w="706" w:type="dxa"/>
            <w:shd w:val="solid" w:color="FFFFFF" w:fill="auto"/>
          </w:tcPr>
          <w:p w14:paraId="0B9AC015" w14:textId="77777777" w:rsidR="00A10B25" w:rsidRDefault="00A10B25">
            <w:pPr>
              <w:pStyle w:val="TAC"/>
              <w:rPr>
                <w:sz w:val="16"/>
                <w:szCs w:val="16"/>
              </w:rPr>
            </w:pPr>
            <w:r>
              <w:rPr>
                <w:sz w:val="16"/>
                <w:szCs w:val="16"/>
              </w:rPr>
              <w:t>17.7.0</w:t>
            </w:r>
          </w:p>
        </w:tc>
      </w:tr>
      <w:tr w:rsidR="00A10B25" w14:paraId="4583983F" w14:textId="77777777">
        <w:tc>
          <w:tcPr>
            <w:tcW w:w="796" w:type="dxa"/>
            <w:shd w:val="solid" w:color="FFFFFF" w:fill="auto"/>
          </w:tcPr>
          <w:p w14:paraId="698B0CF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67DA65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6D642BED" w14:textId="77777777" w:rsidR="00A10B25" w:rsidRDefault="00A10B25">
            <w:pPr>
              <w:pStyle w:val="TAC"/>
              <w:rPr>
                <w:sz w:val="16"/>
                <w:szCs w:val="16"/>
              </w:rPr>
            </w:pPr>
            <w:r>
              <w:rPr>
                <w:sz w:val="16"/>
                <w:szCs w:val="16"/>
              </w:rPr>
              <w:t>CP-221132</w:t>
            </w:r>
          </w:p>
        </w:tc>
        <w:tc>
          <w:tcPr>
            <w:tcW w:w="523" w:type="dxa"/>
            <w:shd w:val="solid" w:color="FFFFFF" w:fill="auto"/>
          </w:tcPr>
          <w:p w14:paraId="36F623C0" w14:textId="77777777" w:rsidR="00A10B25" w:rsidRDefault="00A10B25">
            <w:pPr>
              <w:pStyle w:val="TAL"/>
              <w:rPr>
                <w:sz w:val="16"/>
                <w:szCs w:val="16"/>
              </w:rPr>
            </w:pPr>
            <w:r>
              <w:rPr>
                <w:sz w:val="16"/>
                <w:szCs w:val="16"/>
              </w:rPr>
              <w:t>0431</w:t>
            </w:r>
          </w:p>
        </w:tc>
        <w:tc>
          <w:tcPr>
            <w:tcW w:w="423" w:type="dxa"/>
            <w:shd w:val="solid" w:color="FFFFFF" w:fill="auto"/>
          </w:tcPr>
          <w:p w14:paraId="1BC651F2"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242788C"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6B175F36" w14:textId="77777777" w:rsidR="00A10B25" w:rsidRDefault="00A10B25">
            <w:pPr>
              <w:pStyle w:val="TAL"/>
              <w:rPr>
                <w:sz w:val="16"/>
                <w:szCs w:val="16"/>
              </w:rPr>
            </w:pPr>
            <w:r>
              <w:rPr>
                <w:sz w:val="16"/>
                <w:szCs w:val="16"/>
              </w:rPr>
              <w:t>Resolving EN about the definition of previous subscription</w:t>
            </w:r>
          </w:p>
        </w:tc>
        <w:tc>
          <w:tcPr>
            <w:tcW w:w="706" w:type="dxa"/>
            <w:shd w:val="solid" w:color="FFFFFF" w:fill="auto"/>
          </w:tcPr>
          <w:p w14:paraId="7AAC77F9" w14:textId="77777777" w:rsidR="00A10B25" w:rsidRDefault="00A10B25">
            <w:pPr>
              <w:pStyle w:val="TAC"/>
              <w:rPr>
                <w:sz w:val="16"/>
                <w:szCs w:val="16"/>
              </w:rPr>
            </w:pPr>
            <w:r>
              <w:rPr>
                <w:sz w:val="16"/>
                <w:szCs w:val="16"/>
              </w:rPr>
              <w:t>17.7.0</w:t>
            </w:r>
          </w:p>
        </w:tc>
      </w:tr>
      <w:tr w:rsidR="00A10B25" w14:paraId="3AE3F3DD" w14:textId="77777777">
        <w:tc>
          <w:tcPr>
            <w:tcW w:w="796" w:type="dxa"/>
            <w:shd w:val="solid" w:color="FFFFFF" w:fill="auto"/>
          </w:tcPr>
          <w:p w14:paraId="64748E6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6885711"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78109DC" w14:textId="77777777" w:rsidR="00A10B25" w:rsidRDefault="00A10B25">
            <w:pPr>
              <w:pStyle w:val="TAC"/>
              <w:rPr>
                <w:sz w:val="16"/>
                <w:szCs w:val="16"/>
              </w:rPr>
            </w:pPr>
            <w:r>
              <w:rPr>
                <w:sz w:val="16"/>
                <w:szCs w:val="16"/>
              </w:rPr>
              <w:t>CP-221129</w:t>
            </w:r>
          </w:p>
        </w:tc>
        <w:tc>
          <w:tcPr>
            <w:tcW w:w="523" w:type="dxa"/>
            <w:shd w:val="solid" w:color="FFFFFF" w:fill="auto"/>
          </w:tcPr>
          <w:p w14:paraId="4C63F8DD" w14:textId="77777777" w:rsidR="00A10B25" w:rsidRDefault="00A10B25">
            <w:pPr>
              <w:pStyle w:val="TAL"/>
              <w:rPr>
                <w:sz w:val="16"/>
                <w:szCs w:val="16"/>
              </w:rPr>
            </w:pPr>
            <w:r>
              <w:rPr>
                <w:sz w:val="16"/>
                <w:szCs w:val="16"/>
              </w:rPr>
              <w:t>0432</w:t>
            </w:r>
          </w:p>
        </w:tc>
        <w:tc>
          <w:tcPr>
            <w:tcW w:w="423" w:type="dxa"/>
            <w:shd w:val="solid" w:color="FFFFFF" w:fill="auto"/>
          </w:tcPr>
          <w:p w14:paraId="324F1C1D" w14:textId="77777777" w:rsidR="00A10B25" w:rsidRDefault="00A10B25">
            <w:pPr>
              <w:pStyle w:val="TAR"/>
              <w:rPr>
                <w:sz w:val="16"/>
                <w:szCs w:val="16"/>
              </w:rPr>
            </w:pPr>
          </w:p>
        </w:tc>
        <w:tc>
          <w:tcPr>
            <w:tcW w:w="423" w:type="dxa"/>
            <w:shd w:val="solid" w:color="FFFFFF" w:fill="auto"/>
          </w:tcPr>
          <w:p w14:paraId="1FF6589B"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48B20481" w14:textId="77777777" w:rsidR="00A10B25" w:rsidRDefault="00A10B25">
            <w:pPr>
              <w:pStyle w:val="TAL"/>
              <w:rPr>
                <w:sz w:val="16"/>
                <w:szCs w:val="16"/>
              </w:rPr>
            </w:pPr>
            <w:r>
              <w:rPr>
                <w:sz w:val="16"/>
                <w:szCs w:val="16"/>
              </w:rPr>
              <w:t>Removing inapplicable feature ES3XX in Transfer operation</w:t>
            </w:r>
          </w:p>
        </w:tc>
        <w:tc>
          <w:tcPr>
            <w:tcW w:w="706" w:type="dxa"/>
            <w:shd w:val="solid" w:color="FFFFFF" w:fill="auto"/>
          </w:tcPr>
          <w:p w14:paraId="7063ACAA" w14:textId="77777777" w:rsidR="00A10B25" w:rsidRDefault="00A10B25">
            <w:pPr>
              <w:pStyle w:val="TAC"/>
              <w:rPr>
                <w:sz w:val="16"/>
                <w:szCs w:val="16"/>
              </w:rPr>
            </w:pPr>
            <w:r>
              <w:rPr>
                <w:sz w:val="16"/>
                <w:szCs w:val="16"/>
              </w:rPr>
              <w:t>17.7.0</w:t>
            </w:r>
          </w:p>
        </w:tc>
      </w:tr>
      <w:tr w:rsidR="00A10B25" w14:paraId="4928567B" w14:textId="77777777">
        <w:tc>
          <w:tcPr>
            <w:tcW w:w="796" w:type="dxa"/>
            <w:shd w:val="solid" w:color="FFFFFF" w:fill="auto"/>
          </w:tcPr>
          <w:p w14:paraId="560F33B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04093F5"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6878DD9E" w14:textId="77777777" w:rsidR="00A10B25" w:rsidRDefault="00A10B25">
            <w:pPr>
              <w:pStyle w:val="TAC"/>
              <w:rPr>
                <w:sz w:val="16"/>
                <w:szCs w:val="16"/>
              </w:rPr>
            </w:pPr>
            <w:r>
              <w:rPr>
                <w:sz w:val="16"/>
                <w:szCs w:val="16"/>
              </w:rPr>
              <w:t>CP-221129</w:t>
            </w:r>
          </w:p>
        </w:tc>
        <w:tc>
          <w:tcPr>
            <w:tcW w:w="523" w:type="dxa"/>
            <w:shd w:val="solid" w:color="FFFFFF" w:fill="auto"/>
          </w:tcPr>
          <w:p w14:paraId="7FDAD867" w14:textId="77777777" w:rsidR="00A10B25" w:rsidRDefault="00A10B25">
            <w:pPr>
              <w:pStyle w:val="TAL"/>
              <w:rPr>
                <w:sz w:val="16"/>
                <w:szCs w:val="16"/>
              </w:rPr>
            </w:pPr>
            <w:r>
              <w:rPr>
                <w:sz w:val="16"/>
                <w:szCs w:val="16"/>
              </w:rPr>
              <w:t>0433</w:t>
            </w:r>
          </w:p>
        </w:tc>
        <w:tc>
          <w:tcPr>
            <w:tcW w:w="423" w:type="dxa"/>
            <w:shd w:val="solid" w:color="FFFFFF" w:fill="auto"/>
          </w:tcPr>
          <w:p w14:paraId="09ACD7BD" w14:textId="77777777" w:rsidR="00A10B25" w:rsidRDefault="00A10B25">
            <w:pPr>
              <w:pStyle w:val="TAR"/>
              <w:rPr>
                <w:sz w:val="16"/>
                <w:szCs w:val="16"/>
              </w:rPr>
            </w:pPr>
          </w:p>
        </w:tc>
        <w:tc>
          <w:tcPr>
            <w:tcW w:w="423" w:type="dxa"/>
            <w:shd w:val="solid" w:color="FFFFFF" w:fill="auto"/>
          </w:tcPr>
          <w:p w14:paraId="46DD2BED"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DEAFAC4" w14:textId="77777777" w:rsidR="00A10B25" w:rsidRDefault="00A10B25">
            <w:pPr>
              <w:pStyle w:val="TAL"/>
              <w:rPr>
                <w:sz w:val="16"/>
                <w:szCs w:val="16"/>
              </w:rPr>
            </w:pPr>
            <w:r>
              <w:rPr>
                <w:sz w:val="16"/>
                <w:szCs w:val="16"/>
              </w:rPr>
              <w:t>Removing inapplicable feature ES3XX in ML provisioning</w:t>
            </w:r>
          </w:p>
        </w:tc>
        <w:tc>
          <w:tcPr>
            <w:tcW w:w="706" w:type="dxa"/>
            <w:shd w:val="solid" w:color="FFFFFF" w:fill="auto"/>
          </w:tcPr>
          <w:p w14:paraId="2AA2F89D" w14:textId="77777777" w:rsidR="00A10B25" w:rsidRDefault="00A10B25">
            <w:pPr>
              <w:pStyle w:val="TAC"/>
              <w:rPr>
                <w:sz w:val="16"/>
                <w:szCs w:val="16"/>
              </w:rPr>
            </w:pPr>
            <w:r>
              <w:rPr>
                <w:sz w:val="16"/>
                <w:szCs w:val="16"/>
              </w:rPr>
              <w:t>17.7.0</w:t>
            </w:r>
          </w:p>
        </w:tc>
      </w:tr>
      <w:tr w:rsidR="00A10B25" w14:paraId="2594FEBF" w14:textId="77777777">
        <w:tc>
          <w:tcPr>
            <w:tcW w:w="796" w:type="dxa"/>
            <w:shd w:val="solid" w:color="FFFFFF" w:fill="auto"/>
          </w:tcPr>
          <w:p w14:paraId="2B8A966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EB8F8E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932CAE8" w14:textId="77777777" w:rsidR="00A10B25" w:rsidRDefault="00A10B25">
            <w:pPr>
              <w:pStyle w:val="TAC"/>
              <w:rPr>
                <w:sz w:val="16"/>
                <w:szCs w:val="16"/>
              </w:rPr>
            </w:pPr>
            <w:r>
              <w:rPr>
                <w:sz w:val="16"/>
                <w:szCs w:val="16"/>
              </w:rPr>
              <w:t>CP-221129</w:t>
            </w:r>
          </w:p>
        </w:tc>
        <w:tc>
          <w:tcPr>
            <w:tcW w:w="523" w:type="dxa"/>
            <w:shd w:val="solid" w:color="FFFFFF" w:fill="auto"/>
          </w:tcPr>
          <w:p w14:paraId="4C9EF747" w14:textId="77777777" w:rsidR="00A10B25" w:rsidRDefault="00A10B25">
            <w:pPr>
              <w:pStyle w:val="TAL"/>
              <w:rPr>
                <w:sz w:val="16"/>
                <w:szCs w:val="16"/>
              </w:rPr>
            </w:pPr>
            <w:r>
              <w:rPr>
                <w:sz w:val="16"/>
                <w:szCs w:val="16"/>
              </w:rPr>
              <w:t>0434</w:t>
            </w:r>
          </w:p>
        </w:tc>
        <w:tc>
          <w:tcPr>
            <w:tcW w:w="423" w:type="dxa"/>
            <w:shd w:val="solid" w:color="FFFFFF" w:fill="auto"/>
          </w:tcPr>
          <w:p w14:paraId="09814633" w14:textId="77777777" w:rsidR="00A10B25" w:rsidRDefault="00A10B25">
            <w:pPr>
              <w:pStyle w:val="TAR"/>
              <w:rPr>
                <w:sz w:val="16"/>
                <w:szCs w:val="16"/>
              </w:rPr>
            </w:pPr>
          </w:p>
        </w:tc>
        <w:tc>
          <w:tcPr>
            <w:tcW w:w="423" w:type="dxa"/>
            <w:shd w:val="solid" w:color="FFFFFF" w:fill="auto"/>
          </w:tcPr>
          <w:p w14:paraId="3F6EB91E"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15C07C48" w14:textId="77777777" w:rsidR="00A10B25" w:rsidRDefault="00A10B25">
            <w:pPr>
              <w:pStyle w:val="TAL"/>
              <w:rPr>
                <w:sz w:val="16"/>
                <w:szCs w:val="16"/>
              </w:rPr>
            </w:pPr>
            <w:r>
              <w:rPr>
                <w:sz w:val="16"/>
                <w:szCs w:val="16"/>
              </w:rPr>
              <w:t>Resolving EN about partitioning criteria</w:t>
            </w:r>
          </w:p>
        </w:tc>
        <w:tc>
          <w:tcPr>
            <w:tcW w:w="706" w:type="dxa"/>
            <w:shd w:val="solid" w:color="FFFFFF" w:fill="auto"/>
          </w:tcPr>
          <w:p w14:paraId="146C9B78" w14:textId="77777777" w:rsidR="00A10B25" w:rsidRDefault="00A10B25">
            <w:pPr>
              <w:pStyle w:val="TAC"/>
              <w:rPr>
                <w:sz w:val="16"/>
                <w:szCs w:val="16"/>
              </w:rPr>
            </w:pPr>
            <w:r>
              <w:rPr>
                <w:sz w:val="16"/>
                <w:szCs w:val="16"/>
              </w:rPr>
              <w:t>17.7.0</w:t>
            </w:r>
          </w:p>
        </w:tc>
      </w:tr>
      <w:tr w:rsidR="00A10B25" w14:paraId="3F059406" w14:textId="77777777">
        <w:tc>
          <w:tcPr>
            <w:tcW w:w="796" w:type="dxa"/>
            <w:shd w:val="solid" w:color="FFFFFF" w:fill="auto"/>
          </w:tcPr>
          <w:p w14:paraId="5FFDA90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14B0C06"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571913C7" w14:textId="77777777" w:rsidR="00A10B25" w:rsidRDefault="00A10B25">
            <w:pPr>
              <w:pStyle w:val="TAC"/>
              <w:rPr>
                <w:sz w:val="16"/>
                <w:szCs w:val="16"/>
              </w:rPr>
            </w:pPr>
            <w:r>
              <w:rPr>
                <w:sz w:val="16"/>
                <w:szCs w:val="16"/>
              </w:rPr>
              <w:t>CP-221129</w:t>
            </w:r>
          </w:p>
        </w:tc>
        <w:tc>
          <w:tcPr>
            <w:tcW w:w="523" w:type="dxa"/>
            <w:shd w:val="solid" w:color="FFFFFF" w:fill="auto"/>
          </w:tcPr>
          <w:p w14:paraId="78188BB6" w14:textId="77777777" w:rsidR="00A10B25" w:rsidRDefault="00A10B25">
            <w:pPr>
              <w:pStyle w:val="TAL"/>
              <w:rPr>
                <w:sz w:val="16"/>
                <w:szCs w:val="16"/>
              </w:rPr>
            </w:pPr>
            <w:r>
              <w:rPr>
                <w:sz w:val="16"/>
                <w:szCs w:val="16"/>
              </w:rPr>
              <w:t>0435</w:t>
            </w:r>
          </w:p>
        </w:tc>
        <w:tc>
          <w:tcPr>
            <w:tcW w:w="423" w:type="dxa"/>
            <w:shd w:val="solid" w:color="FFFFFF" w:fill="auto"/>
          </w:tcPr>
          <w:p w14:paraId="60B4BDD3" w14:textId="77777777" w:rsidR="00A10B25" w:rsidRDefault="00A10B25">
            <w:pPr>
              <w:pStyle w:val="TAR"/>
              <w:rPr>
                <w:sz w:val="16"/>
                <w:szCs w:val="16"/>
              </w:rPr>
            </w:pPr>
          </w:p>
        </w:tc>
        <w:tc>
          <w:tcPr>
            <w:tcW w:w="423" w:type="dxa"/>
            <w:shd w:val="solid" w:color="FFFFFF" w:fill="auto"/>
          </w:tcPr>
          <w:p w14:paraId="10E33979"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820870F" w14:textId="77777777" w:rsidR="00A10B25" w:rsidRDefault="00A10B25">
            <w:pPr>
              <w:pStyle w:val="TAL"/>
              <w:rPr>
                <w:sz w:val="16"/>
                <w:szCs w:val="16"/>
              </w:rPr>
            </w:pPr>
            <w:r>
              <w:rPr>
                <w:sz w:val="16"/>
                <w:szCs w:val="16"/>
              </w:rPr>
              <w:t>Resolving ENs about how to implement NF ID in NF consumer information</w:t>
            </w:r>
          </w:p>
        </w:tc>
        <w:tc>
          <w:tcPr>
            <w:tcW w:w="706" w:type="dxa"/>
            <w:shd w:val="solid" w:color="FFFFFF" w:fill="auto"/>
          </w:tcPr>
          <w:p w14:paraId="12EA3BD2" w14:textId="77777777" w:rsidR="00A10B25" w:rsidRDefault="00A10B25">
            <w:pPr>
              <w:pStyle w:val="TAC"/>
              <w:rPr>
                <w:sz w:val="16"/>
                <w:szCs w:val="16"/>
              </w:rPr>
            </w:pPr>
            <w:r>
              <w:rPr>
                <w:sz w:val="16"/>
                <w:szCs w:val="16"/>
              </w:rPr>
              <w:t>17.7.0</w:t>
            </w:r>
          </w:p>
        </w:tc>
      </w:tr>
      <w:tr w:rsidR="00A10B25" w14:paraId="1AB1E968" w14:textId="77777777">
        <w:tc>
          <w:tcPr>
            <w:tcW w:w="796" w:type="dxa"/>
            <w:shd w:val="solid" w:color="FFFFFF" w:fill="auto"/>
          </w:tcPr>
          <w:p w14:paraId="540C6E83"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BF88A9A"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8EA2F2F" w14:textId="77777777" w:rsidR="00A10B25" w:rsidRDefault="00A10B25">
            <w:pPr>
              <w:pStyle w:val="TAC"/>
              <w:rPr>
                <w:sz w:val="16"/>
                <w:szCs w:val="16"/>
              </w:rPr>
            </w:pPr>
            <w:r>
              <w:rPr>
                <w:sz w:val="16"/>
                <w:szCs w:val="16"/>
              </w:rPr>
              <w:t>CP-221129</w:t>
            </w:r>
          </w:p>
        </w:tc>
        <w:tc>
          <w:tcPr>
            <w:tcW w:w="523" w:type="dxa"/>
            <w:shd w:val="solid" w:color="FFFFFF" w:fill="auto"/>
          </w:tcPr>
          <w:p w14:paraId="1B20CDA8" w14:textId="77777777" w:rsidR="00A10B25" w:rsidRDefault="00A10B25">
            <w:pPr>
              <w:pStyle w:val="TAL"/>
              <w:rPr>
                <w:sz w:val="16"/>
                <w:szCs w:val="16"/>
              </w:rPr>
            </w:pPr>
            <w:r>
              <w:rPr>
                <w:sz w:val="16"/>
                <w:szCs w:val="16"/>
              </w:rPr>
              <w:t>0436</w:t>
            </w:r>
          </w:p>
        </w:tc>
        <w:tc>
          <w:tcPr>
            <w:tcW w:w="423" w:type="dxa"/>
            <w:shd w:val="solid" w:color="FFFFFF" w:fill="auto"/>
          </w:tcPr>
          <w:p w14:paraId="547E669E" w14:textId="77777777" w:rsidR="00A10B25" w:rsidRDefault="00A10B25">
            <w:pPr>
              <w:pStyle w:val="TAR"/>
              <w:rPr>
                <w:sz w:val="16"/>
                <w:szCs w:val="16"/>
              </w:rPr>
            </w:pPr>
          </w:p>
        </w:tc>
        <w:tc>
          <w:tcPr>
            <w:tcW w:w="423" w:type="dxa"/>
            <w:shd w:val="solid" w:color="FFFFFF" w:fill="auto"/>
          </w:tcPr>
          <w:p w14:paraId="1033AB45"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93E30D0" w14:textId="77777777" w:rsidR="00A10B25" w:rsidRDefault="00A10B25">
            <w:pPr>
              <w:pStyle w:val="TAL"/>
              <w:rPr>
                <w:sz w:val="16"/>
                <w:szCs w:val="16"/>
              </w:rPr>
            </w:pPr>
            <w:r>
              <w:rPr>
                <w:sz w:val="16"/>
                <w:szCs w:val="16"/>
              </w:rPr>
              <w:t>Resolving EN about CANCEL type in Transfer request</w:t>
            </w:r>
          </w:p>
        </w:tc>
        <w:tc>
          <w:tcPr>
            <w:tcW w:w="706" w:type="dxa"/>
            <w:shd w:val="solid" w:color="FFFFFF" w:fill="auto"/>
          </w:tcPr>
          <w:p w14:paraId="51E35E9F" w14:textId="77777777" w:rsidR="00A10B25" w:rsidRDefault="00A10B25">
            <w:pPr>
              <w:pStyle w:val="TAC"/>
              <w:rPr>
                <w:sz w:val="16"/>
                <w:szCs w:val="16"/>
              </w:rPr>
            </w:pPr>
            <w:r>
              <w:rPr>
                <w:sz w:val="16"/>
                <w:szCs w:val="16"/>
              </w:rPr>
              <w:t>17.7.0</w:t>
            </w:r>
          </w:p>
        </w:tc>
      </w:tr>
      <w:tr w:rsidR="00A10B25" w14:paraId="248D8538" w14:textId="77777777">
        <w:tc>
          <w:tcPr>
            <w:tcW w:w="796" w:type="dxa"/>
            <w:shd w:val="solid" w:color="FFFFFF" w:fill="auto"/>
          </w:tcPr>
          <w:p w14:paraId="365406F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09CC0F8"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28A3D89D" w14:textId="77777777" w:rsidR="00A10B25" w:rsidRDefault="00A10B25">
            <w:pPr>
              <w:pStyle w:val="TAC"/>
              <w:rPr>
                <w:sz w:val="16"/>
                <w:szCs w:val="16"/>
              </w:rPr>
            </w:pPr>
            <w:r>
              <w:rPr>
                <w:sz w:val="16"/>
                <w:szCs w:val="16"/>
              </w:rPr>
              <w:t>CP-221129</w:t>
            </w:r>
          </w:p>
        </w:tc>
        <w:tc>
          <w:tcPr>
            <w:tcW w:w="523" w:type="dxa"/>
            <w:shd w:val="solid" w:color="FFFFFF" w:fill="auto"/>
          </w:tcPr>
          <w:p w14:paraId="30B9D5CE" w14:textId="77777777" w:rsidR="00A10B25" w:rsidRDefault="00A10B25">
            <w:pPr>
              <w:pStyle w:val="TAL"/>
              <w:rPr>
                <w:sz w:val="16"/>
                <w:szCs w:val="16"/>
              </w:rPr>
            </w:pPr>
            <w:r>
              <w:rPr>
                <w:sz w:val="16"/>
                <w:szCs w:val="16"/>
              </w:rPr>
              <w:t>0437</w:t>
            </w:r>
          </w:p>
        </w:tc>
        <w:tc>
          <w:tcPr>
            <w:tcW w:w="423" w:type="dxa"/>
            <w:shd w:val="solid" w:color="FFFFFF" w:fill="auto"/>
          </w:tcPr>
          <w:p w14:paraId="644C0059" w14:textId="77777777" w:rsidR="00A10B25" w:rsidRDefault="00A10B25">
            <w:pPr>
              <w:pStyle w:val="TAR"/>
              <w:rPr>
                <w:sz w:val="16"/>
                <w:szCs w:val="16"/>
              </w:rPr>
            </w:pPr>
          </w:p>
        </w:tc>
        <w:tc>
          <w:tcPr>
            <w:tcW w:w="423" w:type="dxa"/>
            <w:shd w:val="solid" w:color="FFFFFF" w:fill="auto"/>
          </w:tcPr>
          <w:p w14:paraId="52B63F3B"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34A49FAA" w14:textId="77777777" w:rsidR="00A10B25" w:rsidRDefault="00A10B25">
            <w:pPr>
              <w:pStyle w:val="TAL"/>
              <w:rPr>
                <w:sz w:val="16"/>
                <w:szCs w:val="16"/>
              </w:rPr>
            </w:pPr>
            <w:r>
              <w:rPr>
                <w:sz w:val="16"/>
                <w:szCs w:val="16"/>
              </w:rPr>
              <w:t xml:space="preserve">Resolving EN about redirection codes in Context Transfer </w:t>
            </w:r>
          </w:p>
        </w:tc>
        <w:tc>
          <w:tcPr>
            <w:tcW w:w="706" w:type="dxa"/>
            <w:shd w:val="solid" w:color="FFFFFF" w:fill="auto"/>
          </w:tcPr>
          <w:p w14:paraId="2A8DFF72" w14:textId="77777777" w:rsidR="00A10B25" w:rsidRDefault="00A10B25">
            <w:pPr>
              <w:pStyle w:val="TAC"/>
              <w:rPr>
                <w:sz w:val="16"/>
                <w:szCs w:val="16"/>
              </w:rPr>
            </w:pPr>
            <w:r>
              <w:rPr>
                <w:sz w:val="16"/>
                <w:szCs w:val="16"/>
              </w:rPr>
              <w:t>17.7.0</w:t>
            </w:r>
          </w:p>
        </w:tc>
      </w:tr>
      <w:tr w:rsidR="00A10B25" w14:paraId="35F020BC" w14:textId="77777777">
        <w:tc>
          <w:tcPr>
            <w:tcW w:w="796" w:type="dxa"/>
            <w:shd w:val="solid" w:color="FFFFFF" w:fill="auto"/>
          </w:tcPr>
          <w:p w14:paraId="643C6FC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D9965E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0E85B98" w14:textId="77777777" w:rsidR="00A10B25" w:rsidRDefault="00A10B25">
            <w:pPr>
              <w:pStyle w:val="TAC"/>
              <w:rPr>
                <w:sz w:val="16"/>
                <w:szCs w:val="16"/>
              </w:rPr>
            </w:pPr>
            <w:r>
              <w:rPr>
                <w:sz w:val="16"/>
                <w:szCs w:val="16"/>
              </w:rPr>
              <w:t>CP-221132</w:t>
            </w:r>
          </w:p>
        </w:tc>
        <w:tc>
          <w:tcPr>
            <w:tcW w:w="523" w:type="dxa"/>
            <w:shd w:val="solid" w:color="FFFFFF" w:fill="auto"/>
          </w:tcPr>
          <w:p w14:paraId="6D0E7AB5" w14:textId="77777777" w:rsidR="00A10B25" w:rsidRDefault="00A10B25">
            <w:pPr>
              <w:pStyle w:val="TAL"/>
              <w:rPr>
                <w:sz w:val="16"/>
                <w:szCs w:val="16"/>
              </w:rPr>
            </w:pPr>
            <w:r>
              <w:rPr>
                <w:sz w:val="16"/>
                <w:szCs w:val="16"/>
              </w:rPr>
              <w:t>0438</w:t>
            </w:r>
          </w:p>
        </w:tc>
        <w:tc>
          <w:tcPr>
            <w:tcW w:w="423" w:type="dxa"/>
            <w:shd w:val="solid" w:color="FFFFFF" w:fill="auto"/>
          </w:tcPr>
          <w:p w14:paraId="5F865D3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0B2650A"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6DAFF9C" w14:textId="77777777" w:rsidR="00A10B25" w:rsidRDefault="00A10B25">
            <w:pPr>
              <w:pStyle w:val="TAL"/>
              <w:rPr>
                <w:sz w:val="16"/>
                <w:szCs w:val="16"/>
              </w:rPr>
            </w:pPr>
            <w:r>
              <w:rPr>
                <w:sz w:val="16"/>
                <w:szCs w:val="16"/>
              </w:rPr>
              <w:t>Fixing the data type for historcial data</w:t>
            </w:r>
          </w:p>
        </w:tc>
        <w:tc>
          <w:tcPr>
            <w:tcW w:w="706" w:type="dxa"/>
            <w:shd w:val="solid" w:color="FFFFFF" w:fill="auto"/>
          </w:tcPr>
          <w:p w14:paraId="6A8CC861" w14:textId="77777777" w:rsidR="00A10B25" w:rsidRDefault="00A10B25">
            <w:pPr>
              <w:pStyle w:val="TAC"/>
              <w:rPr>
                <w:sz w:val="16"/>
                <w:szCs w:val="16"/>
              </w:rPr>
            </w:pPr>
            <w:r>
              <w:rPr>
                <w:sz w:val="16"/>
                <w:szCs w:val="16"/>
              </w:rPr>
              <w:t>17.7.0</w:t>
            </w:r>
          </w:p>
        </w:tc>
      </w:tr>
      <w:tr w:rsidR="00A10B25" w14:paraId="1F72469E" w14:textId="77777777">
        <w:tc>
          <w:tcPr>
            <w:tcW w:w="796" w:type="dxa"/>
            <w:shd w:val="solid" w:color="FFFFFF" w:fill="auto"/>
          </w:tcPr>
          <w:p w14:paraId="58248A90" w14:textId="77777777" w:rsidR="00A10B25" w:rsidRDefault="00A10B25">
            <w:pPr>
              <w:pStyle w:val="TAC"/>
              <w:rPr>
                <w:sz w:val="16"/>
                <w:szCs w:val="16"/>
              </w:rPr>
            </w:pPr>
            <w:r>
              <w:rPr>
                <w:rFonts w:hint="eastAsia"/>
                <w:sz w:val="16"/>
                <w:szCs w:val="16"/>
                <w:lang w:val="en-US" w:eastAsia="zh-CN"/>
              </w:rPr>
              <w:lastRenderedPageBreak/>
              <w:t>2</w:t>
            </w:r>
            <w:r>
              <w:rPr>
                <w:sz w:val="16"/>
                <w:szCs w:val="16"/>
                <w:lang w:val="en-US" w:eastAsia="zh-CN"/>
              </w:rPr>
              <w:t>022-06</w:t>
            </w:r>
          </w:p>
        </w:tc>
        <w:tc>
          <w:tcPr>
            <w:tcW w:w="828" w:type="dxa"/>
            <w:shd w:val="solid" w:color="FFFFFF" w:fill="auto"/>
          </w:tcPr>
          <w:p w14:paraId="0CE48DF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7279D97" w14:textId="77777777" w:rsidR="00A10B25" w:rsidRDefault="00A10B25">
            <w:pPr>
              <w:pStyle w:val="TAC"/>
              <w:rPr>
                <w:sz w:val="16"/>
                <w:szCs w:val="16"/>
              </w:rPr>
            </w:pPr>
            <w:r>
              <w:rPr>
                <w:sz w:val="16"/>
                <w:szCs w:val="16"/>
              </w:rPr>
              <w:t>CP-221131</w:t>
            </w:r>
          </w:p>
        </w:tc>
        <w:tc>
          <w:tcPr>
            <w:tcW w:w="523" w:type="dxa"/>
            <w:shd w:val="solid" w:color="FFFFFF" w:fill="auto"/>
          </w:tcPr>
          <w:p w14:paraId="05D587AB" w14:textId="77777777" w:rsidR="00A10B25" w:rsidRDefault="00A10B25">
            <w:pPr>
              <w:pStyle w:val="TAL"/>
              <w:rPr>
                <w:sz w:val="16"/>
                <w:szCs w:val="16"/>
              </w:rPr>
            </w:pPr>
            <w:r>
              <w:rPr>
                <w:sz w:val="16"/>
                <w:szCs w:val="16"/>
              </w:rPr>
              <w:t>0439</w:t>
            </w:r>
          </w:p>
        </w:tc>
        <w:tc>
          <w:tcPr>
            <w:tcW w:w="423" w:type="dxa"/>
            <w:shd w:val="solid" w:color="FFFFFF" w:fill="auto"/>
          </w:tcPr>
          <w:p w14:paraId="6BC26E7B"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1D1549D7"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54BE78F9" w14:textId="77777777" w:rsidR="00A10B25" w:rsidRDefault="00A10B25">
            <w:pPr>
              <w:pStyle w:val="TAL"/>
              <w:rPr>
                <w:sz w:val="16"/>
                <w:szCs w:val="16"/>
              </w:rPr>
            </w:pPr>
            <w:r>
              <w:rPr>
                <w:sz w:val="16"/>
                <w:szCs w:val="16"/>
              </w:rPr>
              <w:t>Add clarifications for analytics subsets of some attributes</w:t>
            </w:r>
          </w:p>
        </w:tc>
        <w:tc>
          <w:tcPr>
            <w:tcW w:w="706" w:type="dxa"/>
            <w:shd w:val="solid" w:color="FFFFFF" w:fill="auto"/>
          </w:tcPr>
          <w:p w14:paraId="2A33C751" w14:textId="77777777" w:rsidR="00A10B25" w:rsidRDefault="00A10B25">
            <w:pPr>
              <w:pStyle w:val="TAC"/>
              <w:rPr>
                <w:sz w:val="16"/>
                <w:szCs w:val="16"/>
              </w:rPr>
            </w:pPr>
            <w:r>
              <w:rPr>
                <w:sz w:val="16"/>
                <w:szCs w:val="16"/>
              </w:rPr>
              <w:t>17.7.0</w:t>
            </w:r>
          </w:p>
        </w:tc>
      </w:tr>
      <w:tr w:rsidR="00A10B25" w14:paraId="3BF12B93" w14:textId="77777777">
        <w:tc>
          <w:tcPr>
            <w:tcW w:w="796" w:type="dxa"/>
            <w:shd w:val="solid" w:color="FFFFFF" w:fill="auto"/>
          </w:tcPr>
          <w:p w14:paraId="7E0BED3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A9864AC"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35AE08B" w14:textId="77777777" w:rsidR="00A10B25" w:rsidRDefault="00A10B25">
            <w:pPr>
              <w:pStyle w:val="TAC"/>
              <w:rPr>
                <w:sz w:val="16"/>
                <w:szCs w:val="16"/>
              </w:rPr>
            </w:pPr>
            <w:r>
              <w:rPr>
                <w:sz w:val="16"/>
                <w:szCs w:val="16"/>
              </w:rPr>
              <w:t>CP-221132</w:t>
            </w:r>
          </w:p>
        </w:tc>
        <w:tc>
          <w:tcPr>
            <w:tcW w:w="523" w:type="dxa"/>
            <w:shd w:val="solid" w:color="FFFFFF" w:fill="auto"/>
          </w:tcPr>
          <w:p w14:paraId="406507F7" w14:textId="77777777" w:rsidR="00A10B25" w:rsidRDefault="00A10B25">
            <w:pPr>
              <w:pStyle w:val="TAL"/>
              <w:rPr>
                <w:sz w:val="16"/>
                <w:szCs w:val="16"/>
              </w:rPr>
            </w:pPr>
            <w:r>
              <w:rPr>
                <w:sz w:val="16"/>
                <w:szCs w:val="16"/>
              </w:rPr>
              <w:t>0440</w:t>
            </w:r>
          </w:p>
        </w:tc>
        <w:tc>
          <w:tcPr>
            <w:tcW w:w="423" w:type="dxa"/>
            <w:shd w:val="solid" w:color="FFFFFF" w:fill="auto"/>
          </w:tcPr>
          <w:p w14:paraId="7EEF75E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38B23B1"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4BE5120B" w14:textId="77777777" w:rsidR="00A10B25" w:rsidRDefault="00A10B25">
            <w:pPr>
              <w:pStyle w:val="TAL"/>
              <w:rPr>
                <w:sz w:val="16"/>
                <w:szCs w:val="16"/>
              </w:rPr>
            </w:pPr>
            <w:r>
              <w:rPr>
                <w:sz w:val="16"/>
                <w:szCs w:val="16"/>
              </w:rPr>
              <w:t>Clarification for the presence of some attributes in the request</w:t>
            </w:r>
          </w:p>
        </w:tc>
        <w:tc>
          <w:tcPr>
            <w:tcW w:w="706" w:type="dxa"/>
            <w:shd w:val="solid" w:color="FFFFFF" w:fill="auto"/>
          </w:tcPr>
          <w:p w14:paraId="2DF21A8C" w14:textId="77777777" w:rsidR="00A10B25" w:rsidRDefault="00A10B25">
            <w:pPr>
              <w:pStyle w:val="TAC"/>
              <w:rPr>
                <w:sz w:val="16"/>
                <w:szCs w:val="16"/>
              </w:rPr>
            </w:pPr>
            <w:r>
              <w:rPr>
                <w:sz w:val="16"/>
                <w:szCs w:val="16"/>
              </w:rPr>
              <w:t>17.7.0</w:t>
            </w:r>
          </w:p>
        </w:tc>
      </w:tr>
      <w:tr w:rsidR="00A10B25" w14:paraId="63A5ED00" w14:textId="77777777">
        <w:tc>
          <w:tcPr>
            <w:tcW w:w="796" w:type="dxa"/>
            <w:shd w:val="solid" w:color="FFFFFF" w:fill="auto"/>
          </w:tcPr>
          <w:p w14:paraId="2E21818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67279FF"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0BF0BB3" w14:textId="77777777" w:rsidR="00A10B25" w:rsidRDefault="00A10B25">
            <w:pPr>
              <w:pStyle w:val="TAC"/>
              <w:rPr>
                <w:sz w:val="16"/>
                <w:szCs w:val="16"/>
              </w:rPr>
            </w:pPr>
            <w:r>
              <w:rPr>
                <w:sz w:val="16"/>
                <w:szCs w:val="16"/>
              </w:rPr>
              <w:t>CP-221131</w:t>
            </w:r>
          </w:p>
        </w:tc>
        <w:tc>
          <w:tcPr>
            <w:tcW w:w="523" w:type="dxa"/>
            <w:shd w:val="solid" w:color="FFFFFF" w:fill="auto"/>
          </w:tcPr>
          <w:p w14:paraId="3C308042" w14:textId="77777777" w:rsidR="00A10B25" w:rsidRDefault="00A10B25">
            <w:pPr>
              <w:pStyle w:val="TAL"/>
              <w:rPr>
                <w:sz w:val="16"/>
                <w:szCs w:val="16"/>
              </w:rPr>
            </w:pPr>
            <w:r>
              <w:rPr>
                <w:sz w:val="16"/>
                <w:szCs w:val="16"/>
              </w:rPr>
              <w:t>0441</w:t>
            </w:r>
          </w:p>
        </w:tc>
        <w:tc>
          <w:tcPr>
            <w:tcW w:w="423" w:type="dxa"/>
            <w:shd w:val="solid" w:color="FFFFFF" w:fill="auto"/>
          </w:tcPr>
          <w:p w14:paraId="2BB5409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37BB346"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1B997D24" w14:textId="77777777" w:rsidR="00A10B25" w:rsidRDefault="00A10B25">
            <w:pPr>
              <w:pStyle w:val="TAL"/>
              <w:rPr>
                <w:sz w:val="16"/>
                <w:szCs w:val="16"/>
              </w:rPr>
            </w:pPr>
            <w:r>
              <w:rPr>
                <w:sz w:val="16"/>
                <w:szCs w:val="16"/>
              </w:rPr>
              <w:t>Correct the Cardinality of some attributes</w:t>
            </w:r>
          </w:p>
        </w:tc>
        <w:tc>
          <w:tcPr>
            <w:tcW w:w="706" w:type="dxa"/>
            <w:shd w:val="solid" w:color="FFFFFF" w:fill="auto"/>
          </w:tcPr>
          <w:p w14:paraId="6A629974" w14:textId="77777777" w:rsidR="00A10B25" w:rsidRDefault="00A10B25">
            <w:pPr>
              <w:pStyle w:val="TAC"/>
              <w:rPr>
                <w:sz w:val="16"/>
                <w:szCs w:val="16"/>
              </w:rPr>
            </w:pPr>
            <w:r>
              <w:rPr>
                <w:sz w:val="16"/>
                <w:szCs w:val="16"/>
              </w:rPr>
              <w:t>17.7.0</w:t>
            </w:r>
          </w:p>
        </w:tc>
      </w:tr>
      <w:tr w:rsidR="00A10B25" w14:paraId="0ACB241A" w14:textId="77777777">
        <w:tc>
          <w:tcPr>
            <w:tcW w:w="796" w:type="dxa"/>
            <w:shd w:val="solid" w:color="FFFFFF" w:fill="auto"/>
          </w:tcPr>
          <w:p w14:paraId="6F820E7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B72A40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280C946A" w14:textId="77777777" w:rsidR="00A10B25" w:rsidRDefault="00A10B25">
            <w:pPr>
              <w:pStyle w:val="TAC"/>
              <w:rPr>
                <w:sz w:val="16"/>
                <w:szCs w:val="16"/>
              </w:rPr>
            </w:pPr>
            <w:r>
              <w:rPr>
                <w:sz w:val="16"/>
                <w:szCs w:val="16"/>
              </w:rPr>
              <w:t>CP-221129</w:t>
            </w:r>
          </w:p>
        </w:tc>
        <w:tc>
          <w:tcPr>
            <w:tcW w:w="523" w:type="dxa"/>
            <w:shd w:val="solid" w:color="FFFFFF" w:fill="auto"/>
          </w:tcPr>
          <w:p w14:paraId="05A66C92" w14:textId="77777777" w:rsidR="00A10B25" w:rsidRDefault="00A10B25">
            <w:pPr>
              <w:pStyle w:val="TAL"/>
              <w:rPr>
                <w:sz w:val="16"/>
                <w:szCs w:val="16"/>
              </w:rPr>
            </w:pPr>
            <w:r>
              <w:rPr>
                <w:sz w:val="16"/>
                <w:szCs w:val="16"/>
              </w:rPr>
              <w:t>0442</w:t>
            </w:r>
          </w:p>
        </w:tc>
        <w:tc>
          <w:tcPr>
            <w:tcW w:w="423" w:type="dxa"/>
            <w:shd w:val="solid" w:color="FFFFFF" w:fill="auto"/>
          </w:tcPr>
          <w:p w14:paraId="5C9FCA25" w14:textId="77777777" w:rsidR="00A10B25" w:rsidRDefault="00A10B25">
            <w:pPr>
              <w:pStyle w:val="TAR"/>
              <w:rPr>
                <w:sz w:val="16"/>
                <w:szCs w:val="16"/>
              </w:rPr>
            </w:pPr>
          </w:p>
        </w:tc>
        <w:tc>
          <w:tcPr>
            <w:tcW w:w="423" w:type="dxa"/>
            <w:shd w:val="solid" w:color="FFFFFF" w:fill="auto"/>
          </w:tcPr>
          <w:p w14:paraId="791AD49D"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55B8FD0" w14:textId="77777777" w:rsidR="00A10B25" w:rsidRDefault="00A10B25">
            <w:pPr>
              <w:pStyle w:val="TAL"/>
              <w:rPr>
                <w:sz w:val="16"/>
                <w:szCs w:val="16"/>
              </w:rPr>
            </w:pPr>
            <w:r>
              <w:rPr>
                <w:sz w:val="16"/>
                <w:szCs w:val="16"/>
              </w:rPr>
              <w:t>Define Error Handling and Security for Nnwdaf_DataManagement Service</w:t>
            </w:r>
          </w:p>
        </w:tc>
        <w:tc>
          <w:tcPr>
            <w:tcW w:w="706" w:type="dxa"/>
            <w:shd w:val="solid" w:color="FFFFFF" w:fill="auto"/>
          </w:tcPr>
          <w:p w14:paraId="74A8CCF1" w14:textId="77777777" w:rsidR="00A10B25" w:rsidRDefault="00A10B25">
            <w:pPr>
              <w:pStyle w:val="TAC"/>
              <w:rPr>
                <w:sz w:val="16"/>
                <w:szCs w:val="16"/>
              </w:rPr>
            </w:pPr>
            <w:r>
              <w:rPr>
                <w:sz w:val="16"/>
                <w:szCs w:val="16"/>
              </w:rPr>
              <w:t>17.7.0</w:t>
            </w:r>
          </w:p>
        </w:tc>
      </w:tr>
      <w:tr w:rsidR="00A10B25" w14:paraId="1B936665" w14:textId="77777777">
        <w:tc>
          <w:tcPr>
            <w:tcW w:w="796" w:type="dxa"/>
            <w:shd w:val="solid" w:color="FFFFFF" w:fill="auto"/>
          </w:tcPr>
          <w:p w14:paraId="2E34B850"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78F97C0"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ABD6D8E" w14:textId="77777777" w:rsidR="00A10B25" w:rsidRDefault="00A10B25">
            <w:pPr>
              <w:pStyle w:val="TAC"/>
              <w:rPr>
                <w:sz w:val="16"/>
                <w:szCs w:val="16"/>
              </w:rPr>
            </w:pPr>
            <w:r>
              <w:rPr>
                <w:sz w:val="16"/>
                <w:szCs w:val="16"/>
              </w:rPr>
              <w:t>CP-221134</w:t>
            </w:r>
          </w:p>
        </w:tc>
        <w:tc>
          <w:tcPr>
            <w:tcW w:w="523" w:type="dxa"/>
            <w:shd w:val="solid" w:color="FFFFFF" w:fill="auto"/>
          </w:tcPr>
          <w:p w14:paraId="70209B07" w14:textId="77777777" w:rsidR="00A10B25" w:rsidRDefault="00A10B25">
            <w:pPr>
              <w:pStyle w:val="TAL"/>
              <w:rPr>
                <w:sz w:val="16"/>
                <w:szCs w:val="16"/>
              </w:rPr>
            </w:pPr>
            <w:r>
              <w:rPr>
                <w:sz w:val="16"/>
                <w:szCs w:val="16"/>
              </w:rPr>
              <w:t>0443</w:t>
            </w:r>
          </w:p>
        </w:tc>
        <w:tc>
          <w:tcPr>
            <w:tcW w:w="423" w:type="dxa"/>
            <w:shd w:val="solid" w:color="FFFFFF" w:fill="auto"/>
          </w:tcPr>
          <w:p w14:paraId="2DE84F75" w14:textId="77777777" w:rsidR="00A10B25" w:rsidRDefault="00A10B25">
            <w:pPr>
              <w:pStyle w:val="TAR"/>
              <w:rPr>
                <w:sz w:val="16"/>
                <w:szCs w:val="16"/>
              </w:rPr>
            </w:pPr>
            <w:r>
              <w:rPr>
                <w:sz w:val="16"/>
                <w:szCs w:val="16"/>
                <w:lang w:eastAsia="zh-CN"/>
              </w:rPr>
              <w:t>2</w:t>
            </w:r>
          </w:p>
        </w:tc>
        <w:tc>
          <w:tcPr>
            <w:tcW w:w="423" w:type="dxa"/>
            <w:shd w:val="solid" w:color="FFFFFF" w:fill="auto"/>
          </w:tcPr>
          <w:p w14:paraId="443D1558"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668A2A3" w14:textId="77777777" w:rsidR="00A10B25" w:rsidRDefault="00A10B25">
            <w:pPr>
              <w:pStyle w:val="TAL"/>
              <w:rPr>
                <w:sz w:val="16"/>
                <w:szCs w:val="16"/>
              </w:rPr>
            </w:pPr>
            <w:r>
              <w:rPr>
                <w:sz w:val="16"/>
                <w:szCs w:val="16"/>
              </w:rPr>
              <w:t>Update the Service Experience Analytics for Nnwdaf_EventsSubscription service</w:t>
            </w:r>
          </w:p>
        </w:tc>
        <w:tc>
          <w:tcPr>
            <w:tcW w:w="706" w:type="dxa"/>
            <w:shd w:val="solid" w:color="FFFFFF" w:fill="auto"/>
          </w:tcPr>
          <w:p w14:paraId="273446F8" w14:textId="77777777" w:rsidR="00A10B25" w:rsidRDefault="00A10B25">
            <w:pPr>
              <w:pStyle w:val="TAC"/>
              <w:rPr>
                <w:sz w:val="16"/>
                <w:szCs w:val="16"/>
              </w:rPr>
            </w:pPr>
            <w:r>
              <w:rPr>
                <w:sz w:val="16"/>
                <w:szCs w:val="16"/>
              </w:rPr>
              <w:t>17.7.0</w:t>
            </w:r>
          </w:p>
        </w:tc>
      </w:tr>
      <w:tr w:rsidR="00A10B25" w14:paraId="4E833052" w14:textId="77777777">
        <w:tc>
          <w:tcPr>
            <w:tcW w:w="796" w:type="dxa"/>
            <w:shd w:val="solid" w:color="FFFFFF" w:fill="auto"/>
          </w:tcPr>
          <w:p w14:paraId="00CC036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DABC15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125EE0B" w14:textId="77777777" w:rsidR="00A10B25" w:rsidRDefault="00A10B25">
            <w:pPr>
              <w:pStyle w:val="TAC"/>
              <w:rPr>
                <w:sz w:val="16"/>
                <w:szCs w:val="16"/>
              </w:rPr>
            </w:pPr>
            <w:r>
              <w:rPr>
                <w:sz w:val="16"/>
                <w:szCs w:val="16"/>
              </w:rPr>
              <w:t>CP-221131</w:t>
            </w:r>
          </w:p>
        </w:tc>
        <w:tc>
          <w:tcPr>
            <w:tcW w:w="523" w:type="dxa"/>
            <w:shd w:val="solid" w:color="FFFFFF" w:fill="auto"/>
          </w:tcPr>
          <w:p w14:paraId="1729F87F" w14:textId="77777777" w:rsidR="00A10B25" w:rsidRDefault="00A10B25">
            <w:pPr>
              <w:pStyle w:val="TAL"/>
              <w:rPr>
                <w:sz w:val="16"/>
                <w:szCs w:val="16"/>
              </w:rPr>
            </w:pPr>
            <w:r>
              <w:rPr>
                <w:sz w:val="16"/>
                <w:szCs w:val="16"/>
              </w:rPr>
              <w:t>0444</w:t>
            </w:r>
          </w:p>
        </w:tc>
        <w:tc>
          <w:tcPr>
            <w:tcW w:w="423" w:type="dxa"/>
            <w:shd w:val="solid" w:color="FFFFFF" w:fill="auto"/>
          </w:tcPr>
          <w:p w14:paraId="402EEFD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3B33F04"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6E855803" w14:textId="77777777" w:rsidR="00A10B25" w:rsidRDefault="00A10B25">
            <w:pPr>
              <w:pStyle w:val="TAL"/>
              <w:rPr>
                <w:sz w:val="16"/>
                <w:szCs w:val="16"/>
              </w:rPr>
            </w:pPr>
            <w:r>
              <w:rPr>
                <w:sz w:val="16"/>
                <w:szCs w:val="16"/>
              </w:rPr>
              <w:t>Update the Nnwdaf_MLModelProvision OpenAPI and related data types</w:t>
            </w:r>
          </w:p>
        </w:tc>
        <w:tc>
          <w:tcPr>
            <w:tcW w:w="706" w:type="dxa"/>
            <w:shd w:val="solid" w:color="FFFFFF" w:fill="auto"/>
          </w:tcPr>
          <w:p w14:paraId="0C8E69F2" w14:textId="77777777" w:rsidR="00A10B25" w:rsidRDefault="00A10B25">
            <w:pPr>
              <w:pStyle w:val="TAC"/>
              <w:rPr>
                <w:sz w:val="16"/>
                <w:szCs w:val="16"/>
              </w:rPr>
            </w:pPr>
            <w:r>
              <w:rPr>
                <w:sz w:val="16"/>
                <w:szCs w:val="16"/>
              </w:rPr>
              <w:t>17.7.0</w:t>
            </w:r>
          </w:p>
        </w:tc>
      </w:tr>
      <w:tr w:rsidR="00A10B25" w14:paraId="7E122E41" w14:textId="77777777">
        <w:tc>
          <w:tcPr>
            <w:tcW w:w="796" w:type="dxa"/>
            <w:shd w:val="solid" w:color="FFFFFF" w:fill="auto"/>
          </w:tcPr>
          <w:p w14:paraId="19E1979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E81B24D"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50A23F7D" w14:textId="77777777" w:rsidR="00A10B25" w:rsidRDefault="00A10B25">
            <w:pPr>
              <w:pStyle w:val="TAC"/>
              <w:rPr>
                <w:sz w:val="16"/>
                <w:szCs w:val="16"/>
              </w:rPr>
            </w:pPr>
            <w:r>
              <w:rPr>
                <w:sz w:val="16"/>
                <w:szCs w:val="16"/>
              </w:rPr>
              <w:t>CP-221131</w:t>
            </w:r>
          </w:p>
        </w:tc>
        <w:tc>
          <w:tcPr>
            <w:tcW w:w="523" w:type="dxa"/>
            <w:shd w:val="solid" w:color="FFFFFF" w:fill="auto"/>
          </w:tcPr>
          <w:p w14:paraId="7B6A80A3" w14:textId="77777777" w:rsidR="00A10B25" w:rsidRDefault="00A10B25">
            <w:pPr>
              <w:pStyle w:val="TAL"/>
              <w:rPr>
                <w:sz w:val="16"/>
                <w:szCs w:val="16"/>
              </w:rPr>
            </w:pPr>
            <w:r>
              <w:rPr>
                <w:sz w:val="16"/>
                <w:szCs w:val="16"/>
              </w:rPr>
              <w:t>0445</w:t>
            </w:r>
          </w:p>
        </w:tc>
        <w:tc>
          <w:tcPr>
            <w:tcW w:w="423" w:type="dxa"/>
            <w:shd w:val="solid" w:color="FFFFFF" w:fill="auto"/>
          </w:tcPr>
          <w:p w14:paraId="3FD5F270"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DC28B08"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7B5C6B4C" w14:textId="77777777" w:rsidR="00A10B25" w:rsidRDefault="00A10B25">
            <w:pPr>
              <w:pStyle w:val="TAL"/>
              <w:rPr>
                <w:sz w:val="16"/>
                <w:szCs w:val="16"/>
              </w:rPr>
            </w:pPr>
            <w:r>
              <w:rPr>
                <w:sz w:val="16"/>
                <w:szCs w:val="16"/>
              </w:rPr>
              <w:t>Correction to topAppListUl and topAppListDl attributes</w:t>
            </w:r>
          </w:p>
        </w:tc>
        <w:tc>
          <w:tcPr>
            <w:tcW w:w="706" w:type="dxa"/>
            <w:shd w:val="solid" w:color="FFFFFF" w:fill="auto"/>
          </w:tcPr>
          <w:p w14:paraId="238D480F" w14:textId="77777777" w:rsidR="00A10B25" w:rsidRDefault="00A10B25">
            <w:pPr>
              <w:pStyle w:val="TAC"/>
              <w:rPr>
                <w:sz w:val="16"/>
                <w:szCs w:val="16"/>
              </w:rPr>
            </w:pPr>
            <w:r>
              <w:rPr>
                <w:sz w:val="16"/>
                <w:szCs w:val="16"/>
              </w:rPr>
              <w:t>17.7.0</w:t>
            </w:r>
          </w:p>
        </w:tc>
      </w:tr>
      <w:tr w:rsidR="00A10B25" w14:paraId="3F65450E" w14:textId="77777777">
        <w:tc>
          <w:tcPr>
            <w:tcW w:w="796" w:type="dxa"/>
            <w:shd w:val="solid" w:color="FFFFFF" w:fill="auto"/>
          </w:tcPr>
          <w:p w14:paraId="1A85666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AB661C0"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1D0BE8C" w14:textId="77777777" w:rsidR="00A10B25" w:rsidRDefault="00A10B25">
            <w:pPr>
              <w:pStyle w:val="TAC"/>
              <w:rPr>
                <w:sz w:val="16"/>
                <w:szCs w:val="16"/>
              </w:rPr>
            </w:pPr>
            <w:r>
              <w:rPr>
                <w:sz w:val="16"/>
                <w:szCs w:val="16"/>
              </w:rPr>
              <w:t>CP-221129</w:t>
            </w:r>
          </w:p>
        </w:tc>
        <w:tc>
          <w:tcPr>
            <w:tcW w:w="523" w:type="dxa"/>
            <w:shd w:val="solid" w:color="FFFFFF" w:fill="auto"/>
          </w:tcPr>
          <w:p w14:paraId="102AB264" w14:textId="77777777" w:rsidR="00A10B25" w:rsidRDefault="00A10B25">
            <w:pPr>
              <w:pStyle w:val="TAL"/>
              <w:rPr>
                <w:sz w:val="16"/>
                <w:szCs w:val="16"/>
              </w:rPr>
            </w:pPr>
            <w:r>
              <w:rPr>
                <w:sz w:val="16"/>
                <w:szCs w:val="16"/>
              </w:rPr>
              <w:t>0446</w:t>
            </w:r>
          </w:p>
        </w:tc>
        <w:tc>
          <w:tcPr>
            <w:tcW w:w="423" w:type="dxa"/>
            <w:shd w:val="solid" w:color="FFFFFF" w:fill="auto"/>
          </w:tcPr>
          <w:p w14:paraId="510A5C47" w14:textId="77777777" w:rsidR="00A10B25" w:rsidRDefault="00A10B25">
            <w:pPr>
              <w:pStyle w:val="TAR"/>
              <w:rPr>
                <w:sz w:val="16"/>
                <w:szCs w:val="16"/>
              </w:rPr>
            </w:pPr>
          </w:p>
        </w:tc>
        <w:tc>
          <w:tcPr>
            <w:tcW w:w="423" w:type="dxa"/>
            <w:shd w:val="solid" w:color="FFFFFF" w:fill="auto"/>
          </w:tcPr>
          <w:p w14:paraId="1582E13E"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5907CC02" w14:textId="77777777" w:rsidR="00A10B25" w:rsidRDefault="00A10B25">
            <w:pPr>
              <w:pStyle w:val="TAL"/>
              <w:rPr>
                <w:sz w:val="16"/>
                <w:szCs w:val="16"/>
              </w:rPr>
            </w:pPr>
            <w:r>
              <w:rPr>
                <w:sz w:val="16"/>
                <w:szCs w:val="16"/>
              </w:rPr>
              <w:t>replace NwdafEventsSubscription with NnwdafEventsSubscription</w:t>
            </w:r>
          </w:p>
        </w:tc>
        <w:tc>
          <w:tcPr>
            <w:tcW w:w="706" w:type="dxa"/>
            <w:shd w:val="solid" w:color="FFFFFF" w:fill="auto"/>
          </w:tcPr>
          <w:p w14:paraId="1B2A4351" w14:textId="77777777" w:rsidR="00A10B25" w:rsidRDefault="00A10B25">
            <w:pPr>
              <w:pStyle w:val="TAC"/>
              <w:rPr>
                <w:sz w:val="16"/>
                <w:szCs w:val="16"/>
              </w:rPr>
            </w:pPr>
            <w:r>
              <w:rPr>
                <w:sz w:val="16"/>
                <w:szCs w:val="16"/>
              </w:rPr>
              <w:t>17.7.0</w:t>
            </w:r>
          </w:p>
        </w:tc>
      </w:tr>
      <w:tr w:rsidR="00A10B25" w14:paraId="568E0593" w14:textId="77777777">
        <w:tc>
          <w:tcPr>
            <w:tcW w:w="796" w:type="dxa"/>
            <w:shd w:val="solid" w:color="FFFFFF" w:fill="auto"/>
          </w:tcPr>
          <w:p w14:paraId="2B1700A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C7FF276"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38567C4" w14:textId="77777777" w:rsidR="00A10B25" w:rsidRDefault="00A10B25">
            <w:pPr>
              <w:pStyle w:val="TAC"/>
              <w:rPr>
                <w:sz w:val="16"/>
                <w:szCs w:val="16"/>
              </w:rPr>
            </w:pPr>
            <w:r>
              <w:rPr>
                <w:sz w:val="16"/>
                <w:szCs w:val="16"/>
              </w:rPr>
              <w:t>CP-221129</w:t>
            </w:r>
          </w:p>
        </w:tc>
        <w:tc>
          <w:tcPr>
            <w:tcW w:w="523" w:type="dxa"/>
            <w:shd w:val="solid" w:color="FFFFFF" w:fill="auto"/>
          </w:tcPr>
          <w:p w14:paraId="6FEAAE4E" w14:textId="77777777" w:rsidR="00A10B25" w:rsidRDefault="00A10B25">
            <w:pPr>
              <w:pStyle w:val="TAL"/>
              <w:rPr>
                <w:sz w:val="16"/>
                <w:szCs w:val="16"/>
              </w:rPr>
            </w:pPr>
            <w:r>
              <w:rPr>
                <w:sz w:val="16"/>
                <w:szCs w:val="16"/>
              </w:rPr>
              <w:t>0447</w:t>
            </w:r>
          </w:p>
        </w:tc>
        <w:tc>
          <w:tcPr>
            <w:tcW w:w="423" w:type="dxa"/>
            <w:shd w:val="solid" w:color="FFFFFF" w:fill="auto"/>
          </w:tcPr>
          <w:p w14:paraId="192DD9F4" w14:textId="77777777" w:rsidR="00A10B25" w:rsidRDefault="00A10B25">
            <w:pPr>
              <w:pStyle w:val="TAR"/>
              <w:rPr>
                <w:sz w:val="16"/>
                <w:szCs w:val="16"/>
              </w:rPr>
            </w:pPr>
          </w:p>
        </w:tc>
        <w:tc>
          <w:tcPr>
            <w:tcW w:w="423" w:type="dxa"/>
            <w:shd w:val="solid" w:color="FFFFFF" w:fill="auto"/>
          </w:tcPr>
          <w:p w14:paraId="0F0F239C"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52D5D377" w14:textId="77777777" w:rsidR="00A10B25" w:rsidRDefault="00A10B25">
            <w:pPr>
              <w:pStyle w:val="TAL"/>
              <w:rPr>
                <w:sz w:val="16"/>
                <w:szCs w:val="16"/>
              </w:rPr>
            </w:pPr>
            <w:r>
              <w:rPr>
                <w:sz w:val="16"/>
                <w:szCs w:val="16"/>
              </w:rPr>
              <w:t>Incorrect definition of smcceUeList in openAPI file</w:t>
            </w:r>
          </w:p>
        </w:tc>
        <w:tc>
          <w:tcPr>
            <w:tcW w:w="706" w:type="dxa"/>
            <w:shd w:val="solid" w:color="FFFFFF" w:fill="auto"/>
          </w:tcPr>
          <w:p w14:paraId="701E541E" w14:textId="77777777" w:rsidR="00A10B25" w:rsidRDefault="00A10B25">
            <w:pPr>
              <w:pStyle w:val="TAC"/>
              <w:rPr>
                <w:sz w:val="16"/>
                <w:szCs w:val="16"/>
              </w:rPr>
            </w:pPr>
            <w:r>
              <w:rPr>
                <w:sz w:val="16"/>
                <w:szCs w:val="16"/>
              </w:rPr>
              <w:t>17.7.0</w:t>
            </w:r>
          </w:p>
        </w:tc>
      </w:tr>
      <w:tr w:rsidR="00A10B25" w14:paraId="2240A410" w14:textId="77777777">
        <w:tc>
          <w:tcPr>
            <w:tcW w:w="796" w:type="dxa"/>
            <w:shd w:val="solid" w:color="FFFFFF" w:fill="auto"/>
          </w:tcPr>
          <w:p w14:paraId="2178A9D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D18D4A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2CA3F1CD" w14:textId="77777777" w:rsidR="00A10B25" w:rsidRDefault="00A10B25">
            <w:pPr>
              <w:pStyle w:val="TAC"/>
              <w:rPr>
                <w:sz w:val="16"/>
                <w:szCs w:val="16"/>
              </w:rPr>
            </w:pPr>
            <w:r>
              <w:rPr>
                <w:sz w:val="16"/>
                <w:szCs w:val="16"/>
              </w:rPr>
              <w:t>CP-221154</w:t>
            </w:r>
          </w:p>
        </w:tc>
        <w:tc>
          <w:tcPr>
            <w:tcW w:w="523" w:type="dxa"/>
            <w:shd w:val="solid" w:color="FFFFFF" w:fill="auto"/>
          </w:tcPr>
          <w:p w14:paraId="2880101A" w14:textId="77777777" w:rsidR="00A10B25" w:rsidRDefault="00A10B25">
            <w:pPr>
              <w:pStyle w:val="TAL"/>
              <w:rPr>
                <w:sz w:val="16"/>
                <w:szCs w:val="16"/>
              </w:rPr>
            </w:pPr>
            <w:r>
              <w:rPr>
                <w:sz w:val="16"/>
                <w:szCs w:val="16"/>
              </w:rPr>
              <w:t>0453</w:t>
            </w:r>
          </w:p>
        </w:tc>
        <w:tc>
          <w:tcPr>
            <w:tcW w:w="423" w:type="dxa"/>
            <w:shd w:val="solid" w:color="FFFFFF" w:fill="auto"/>
          </w:tcPr>
          <w:p w14:paraId="53F68BFD" w14:textId="77777777" w:rsidR="00A10B25" w:rsidRDefault="00A10B25">
            <w:pPr>
              <w:pStyle w:val="TAR"/>
              <w:rPr>
                <w:sz w:val="16"/>
                <w:szCs w:val="16"/>
              </w:rPr>
            </w:pPr>
          </w:p>
        </w:tc>
        <w:tc>
          <w:tcPr>
            <w:tcW w:w="423" w:type="dxa"/>
            <w:shd w:val="solid" w:color="FFFFFF" w:fill="auto"/>
          </w:tcPr>
          <w:p w14:paraId="34653AE2"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A90BF01" w14:textId="77777777" w:rsidR="00A10B25" w:rsidRDefault="00A10B25">
            <w:pPr>
              <w:pStyle w:val="TAL"/>
              <w:rPr>
                <w:sz w:val="16"/>
                <w:szCs w:val="16"/>
              </w:rPr>
            </w:pPr>
            <w:r>
              <w:rPr>
                <w:sz w:val="16"/>
                <w:szCs w:val="16"/>
              </w:rPr>
              <w:t>Nnwdaf_EventsSubscription API: n4SessId and lowBase properties</w:t>
            </w:r>
          </w:p>
        </w:tc>
        <w:tc>
          <w:tcPr>
            <w:tcW w:w="706" w:type="dxa"/>
            <w:shd w:val="solid" w:color="FFFFFF" w:fill="auto"/>
          </w:tcPr>
          <w:p w14:paraId="0DFC471C" w14:textId="77777777" w:rsidR="00A10B25" w:rsidRDefault="00A10B25">
            <w:pPr>
              <w:pStyle w:val="TAC"/>
              <w:rPr>
                <w:sz w:val="16"/>
                <w:szCs w:val="16"/>
              </w:rPr>
            </w:pPr>
            <w:r>
              <w:rPr>
                <w:sz w:val="16"/>
                <w:szCs w:val="16"/>
              </w:rPr>
              <w:t>17.7.0</w:t>
            </w:r>
          </w:p>
        </w:tc>
      </w:tr>
      <w:tr w:rsidR="00A10B25" w14:paraId="51FAF5DC" w14:textId="77777777">
        <w:tc>
          <w:tcPr>
            <w:tcW w:w="796" w:type="dxa"/>
            <w:shd w:val="solid" w:color="FFFFFF" w:fill="auto"/>
          </w:tcPr>
          <w:p w14:paraId="24E2B7B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8AE4F95"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22FBCC7" w14:textId="77777777" w:rsidR="00A10B25" w:rsidRDefault="00A10B25">
            <w:pPr>
              <w:pStyle w:val="TAC"/>
              <w:rPr>
                <w:sz w:val="16"/>
                <w:szCs w:val="16"/>
              </w:rPr>
            </w:pPr>
            <w:r>
              <w:rPr>
                <w:sz w:val="16"/>
                <w:szCs w:val="16"/>
              </w:rPr>
              <w:t>CP-221154</w:t>
            </w:r>
          </w:p>
        </w:tc>
        <w:tc>
          <w:tcPr>
            <w:tcW w:w="523" w:type="dxa"/>
            <w:shd w:val="solid" w:color="FFFFFF" w:fill="auto"/>
          </w:tcPr>
          <w:p w14:paraId="3C69FA3B" w14:textId="77777777" w:rsidR="00A10B25" w:rsidRDefault="00A10B25">
            <w:pPr>
              <w:pStyle w:val="TAL"/>
              <w:rPr>
                <w:sz w:val="16"/>
                <w:szCs w:val="16"/>
              </w:rPr>
            </w:pPr>
            <w:r>
              <w:rPr>
                <w:sz w:val="16"/>
                <w:szCs w:val="16"/>
              </w:rPr>
              <w:t>0454</w:t>
            </w:r>
          </w:p>
        </w:tc>
        <w:tc>
          <w:tcPr>
            <w:tcW w:w="423" w:type="dxa"/>
            <w:shd w:val="solid" w:color="FFFFFF" w:fill="auto"/>
          </w:tcPr>
          <w:p w14:paraId="48B17E67"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C4B0E82"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467869F1" w14:textId="77777777" w:rsidR="00A10B25" w:rsidRDefault="00A10B25">
            <w:pPr>
              <w:pStyle w:val="TAL"/>
              <w:rPr>
                <w:sz w:val="16"/>
                <w:szCs w:val="16"/>
              </w:rPr>
            </w:pPr>
            <w:r>
              <w:rPr>
                <w:sz w:val="16"/>
                <w:szCs w:val="16"/>
              </w:rPr>
              <w:t>Nnwdaf_EventsSubscription API: removal of sibling elements</w:t>
            </w:r>
          </w:p>
        </w:tc>
        <w:tc>
          <w:tcPr>
            <w:tcW w:w="706" w:type="dxa"/>
            <w:shd w:val="solid" w:color="FFFFFF" w:fill="auto"/>
          </w:tcPr>
          <w:p w14:paraId="14851ECA" w14:textId="77777777" w:rsidR="00A10B25" w:rsidRDefault="00A10B25">
            <w:pPr>
              <w:pStyle w:val="TAC"/>
              <w:rPr>
                <w:sz w:val="16"/>
                <w:szCs w:val="16"/>
              </w:rPr>
            </w:pPr>
            <w:r>
              <w:rPr>
                <w:sz w:val="16"/>
                <w:szCs w:val="16"/>
              </w:rPr>
              <w:t>17.7.0</w:t>
            </w:r>
          </w:p>
        </w:tc>
      </w:tr>
      <w:tr w:rsidR="00A10B25" w14:paraId="5EF9FC0C" w14:textId="77777777">
        <w:tc>
          <w:tcPr>
            <w:tcW w:w="796" w:type="dxa"/>
            <w:shd w:val="solid" w:color="FFFFFF" w:fill="auto"/>
          </w:tcPr>
          <w:p w14:paraId="23B6E7E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AEAF00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6207A425" w14:textId="77777777" w:rsidR="00A10B25" w:rsidRDefault="00A10B25">
            <w:pPr>
              <w:pStyle w:val="TAC"/>
              <w:rPr>
                <w:sz w:val="16"/>
                <w:szCs w:val="16"/>
              </w:rPr>
            </w:pPr>
            <w:r>
              <w:rPr>
                <w:sz w:val="16"/>
                <w:szCs w:val="16"/>
              </w:rPr>
              <w:t>CP-221154</w:t>
            </w:r>
          </w:p>
        </w:tc>
        <w:tc>
          <w:tcPr>
            <w:tcW w:w="523" w:type="dxa"/>
            <w:shd w:val="solid" w:color="FFFFFF" w:fill="auto"/>
          </w:tcPr>
          <w:p w14:paraId="5A310A96" w14:textId="77777777" w:rsidR="00A10B25" w:rsidRDefault="00A10B25">
            <w:pPr>
              <w:pStyle w:val="TAL"/>
              <w:rPr>
                <w:sz w:val="16"/>
                <w:szCs w:val="16"/>
              </w:rPr>
            </w:pPr>
            <w:r>
              <w:rPr>
                <w:sz w:val="16"/>
                <w:szCs w:val="16"/>
              </w:rPr>
              <w:t>0455</w:t>
            </w:r>
          </w:p>
        </w:tc>
        <w:tc>
          <w:tcPr>
            <w:tcW w:w="423" w:type="dxa"/>
            <w:shd w:val="solid" w:color="FFFFFF" w:fill="auto"/>
          </w:tcPr>
          <w:p w14:paraId="267012F5" w14:textId="77777777" w:rsidR="00A10B25" w:rsidRDefault="00A10B25">
            <w:pPr>
              <w:pStyle w:val="TAR"/>
              <w:rPr>
                <w:sz w:val="16"/>
                <w:szCs w:val="16"/>
              </w:rPr>
            </w:pPr>
          </w:p>
        </w:tc>
        <w:tc>
          <w:tcPr>
            <w:tcW w:w="423" w:type="dxa"/>
            <w:shd w:val="solid" w:color="FFFFFF" w:fill="auto"/>
          </w:tcPr>
          <w:p w14:paraId="3493FB26"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C16B8D9" w14:textId="77777777" w:rsidR="00A10B25" w:rsidRDefault="00A10B25">
            <w:pPr>
              <w:pStyle w:val="TAL"/>
              <w:rPr>
                <w:sz w:val="16"/>
                <w:szCs w:val="16"/>
              </w:rPr>
            </w:pPr>
            <w:r>
              <w:rPr>
                <w:sz w:val="16"/>
                <w:szCs w:val="16"/>
              </w:rPr>
              <w:t>Nnwdaf_AnalyticsInfo API: removal of sibling elements</w:t>
            </w:r>
          </w:p>
        </w:tc>
        <w:tc>
          <w:tcPr>
            <w:tcW w:w="706" w:type="dxa"/>
            <w:shd w:val="solid" w:color="FFFFFF" w:fill="auto"/>
          </w:tcPr>
          <w:p w14:paraId="7EBE20B7" w14:textId="77777777" w:rsidR="00A10B25" w:rsidRDefault="00A10B25">
            <w:pPr>
              <w:pStyle w:val="TAC"/>
              <w:rPr>
                <w:sz w:val="16"/>
                <w:szCs w:val="16"/>
              </w:rPr>
            </w:pPr>
            <w:r>
              <w:rPr>
                <w:sz w:val="16"/>
                <w:szCs w:val="16"/>
              </w:rPr>
              <w:t>17.7.0</w:t>
            </w:r>
          </w:p>
        </w:tc>
      </w:tr>
      <w:tr w:rsidR="00A10B25" w14:paraId="0B450263" w14:textId="77777777">
        <w:tc>
          <w:tcPr>
            <w:tcW w:w="796" w:type="dxa"/>
            <w:shd w:val="solid" w:color="FFFFFF" w:fill="auto"/>
          </w:tcPr>
          <w:p w14:paraId="37474408"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409C16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54E0FE5" w14:textId="77777777" w:rsidR="00A10B25" w:rsidRDefault="00A10B25">
            <w:pPr>
              <w:pStyle w:val="TAC"/>
              <w:rPr>
                <w:sz w:val="16"/>
                <w:szCs w:val="16"/>
              </w:rPr>
            </w:pPr>
            <w:r>
              <w:rPr>
                <w:sz w:val="16"/>
                <w:szCs w:val="16"/>
              </w:rPr>
              <w:t>CP-221130</w:t>
            </w:r>
          </w:p>
        </w:tc>
        <w:tc>
          <w:tcPr>
            <w:tcW w:w="523" w:type="dxa"/>
            <w:shd w:val="solid" w:color="FFFFFF" w:fill="auto"/>
          </w:tcPr>
          <w:p w14:paraId="5EC49EDA" w14:textId="77777777" w:rsidR="00A10B25" w:rsidRDefault="00A10B25">
            <w:pPr>
              <w:pStyle w:val="TAL"/>
              <w:rPr>
                <w:sz w:val="16"/>
                <w:szCs w:val="16"/>
              </w:rPr>
            </w:pPr>
            <w:r>
              <w:rPr>
                <w:sz w:val="16"/>
                <w:szCs w:val="16"/>
              </w:rPr>
              <w:t>0456</w:t>
            </w:r>
          </w:p>
        </w:tc>
        <w:tc>
          <w:tcPr>
            <w:tcW w:w="423" w:type="dxa"/>
            <w:shd w:val="solid" w:color="FFFFFF" w:fill="auto"/>
          </w:tcPr>
          <w:p w14:paraId="380F092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3DF15F4"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05A03FD" w14:textId="77777777" w:rsidR="00A10B25" w:rsidRDefault="00A10B25">
            <w:pPr>
              <w:pStyle w:val="TAL"/>
              <w:rPr>
                <w:sz w:val="16"/>
                <w:szCs w:val="16"/>
              </w:rPr>
            </w:pPr>
            <w:r>
              <w:rPr>
                <w:sz w:val="16"/>
                <w:szCs w:val="16"/>
              </w:rPr>
              <w:t>Updates on Dispersion Analytics</w:t>
            </w:r>
          </w:p>
        </w:tc>
        <w:tc>
          <w:tcPr>
            <w:tcW w:w="706" w:type="dxa"/>
            <w:shd w:val="solid" w:color="FFFFFF" w:fill="auto"/>
          </w:tcPr>
          <w:p w14:paraId="6857CC49" w14:textId="77777777" w:rsidR="00A10B25" w:rsidRDefault="00A10B25">
            <w:pPr>
              <w:pStyle w:val="TAC"/>
              <w:rPr>
                <w:sz w:val="16"/>
                <w:szCs w:val="16"/>
              </w:rPr>
            </w:pPr>
            <w:r>
              <w:rPr>
                <w:sz w:val="16"/>
                <w:szCs w:val="16"/>
              </w:rPr>
              <w:t>17.7.0</w:t>
            </w:r>
          </w:p>
        </w:tc>
      </w:tr>
      <w:tr w:rsidR="00A10B25" w14:paraId="1CAEE98F" w14:textId="77777777">
        <w:tc>
          <w:tcPr>
            <w:tcW w:w="796" w:type="dxa"/>
            <w:shd w:val="solid" w:color="FFFFFF" w:fill="auto"/>
          </w:tcPr>
          <w:p w14:paraId="717938B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2820A37"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61CEC74E" w14:textId="77777777" w:rsidR="00A10B25" w:rsidRDefault="00A10B25">
            <w:pPr>
              <w:pStyle w:val="TAC"/>
              <w:rPr>
                <w:sz w:val="16"/>
                <w:szCs w:val="16"/>
              </w:rPr>
            </w:pPr>
            <w:r>
              <w:rPr>
                <w:sz w:val="16"/>
                <w:szCs w:val="16"/>
              </w:rPr>
              <w:t>CP-221136</w:t>
            </w:r>
          </w:p>
        </w:tc>
        <w:tc>
          <w:tcPr>
            <w:tcW w:w="523" w:type="dxa"/>
            <w:shd w:val="solid" w:color="FFFFFF" w:fill="auto"/>
          </w:tcPr>
          <w:p w14:paraId="54C0E7AE" w14:textId="77777777" w:rsidR="00A10B25" w:rsidRDefault="00A10B25">
            <w:pPr>
              <w:pStyle w:val="TAL"/>
              <w:rPr>
                <w:sz w:val="16"/>
                <w:szCs w:val="16"/>
              </w:rPr>
            </w:pPr>
            <w:r>
              <w:rPr>
                <w:sz w:val="16"/>
                <w:szCs w:val="16"/>
              </w:rPr>
              <w:t>0457</w:t>
            </w:r>
          </w:p>
        </w:tc>
        <w:tc>
          <w:tcPr>
            <w:tcW w:w="423" w:type="dxa"/>
            <w:shd w:val="solid" w:color="FFFFFF" w:fill="auto"/>
          </w:tcPr>
          <w:p w14:paraId="0784F114" w14:textId="77777777" w:rsidR="00A10B25" w:rsidRDefault="00A10B25">
            <w:pPr>
              <w:pStyle w:val="TAR"/>
              <w:rPr>
                <w:sz w:val="16"/>
                <w:szCs w:val="16"/>
              </w:rPr>
            </w:pPr>
            <w:r>
              <w:rPr>
                <w:sz w:val="16"/>
                <w:szCs w:val="16"/>
                <w:lang w:eastAsia="zh-CN"/>
              </w:rPr>
              <w:t>3</w:t>
            </w:r>
          </w:p>
        </w:tc>
        <w:tc>
          <w:tcPr>
            <w:tcW w:w="423" w:type="dxa"/>
            <w:shd w:val="solid" w:color="FFFFFF" w:fill="auto"/>
          </w:tcPr>
          <w:p w14:paraId="12215134"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2334EF90" w14:textId="77777777" w:rsidR="00A10B25" w:rsidRDefault="00A10B25">
            <w:pPr>
              <w:pStyle w:val="TAL"/>
              <w:rPr>
                <w:sz w:val="16"/>
                <w:szCs w:val="16"/>
              </w:rPr>
            </w:pPr>
            <w:r>
              <w:rPr>
                <w:sz w:val="16"/>
                <w:szCs w:val="16"/>
              </w:rPr>
              <w:t>Update RAT types and Frequencies in Service Experience Analytics in Nnwdaf_EventsSubscription API</w:t>
            </w:r>
          </w:p>
        </w:tc>
        <w:tc>
          <w:tcPr>
            <w:tcW w:w="706" w:type="dxa"/>
            <w:shd w:val="solid" w:color="FFFFFF" w:fill="auto"/>
          </w:tcPr>
          <w:p w14:paraId="40D73F94" w14:textId="77777777" w:rsidR="00A10B25" w:rsidRDefault="00A10B25">
            <w:pPr>
              <w:pStyle w:val="TAC"/>
              <w:rPr>
                <w:sz w:val="16"/>
                <w:szCs w:val="16"/>
              </w:rPr>
            </w:pPr>
            <w:r>
              <w:rPr>
                <w:sz w:val="16"/>
                <w:szCs w:val="16"/>
              </w:rPr>
              <w:t>17.7.0</w:t>
            </w:r>
          </w:p>
        </w:tc>
      </w:tr>
      <w:tr w:rsidR="00A10B25" w14:paraId="14676AE2" w14:textId="77777777">
        <w:tc>
          <w:tcPr>
            <w:tcW w:w="796" w:type="dxa"/>
            <w:shd w:val="solid" w:color="FFFFFF" w:fill="auto"/>
          </w:tcPr>
          <w:p w14:paraId="7D42CFCA"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72A651C"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07585DE" w14:textId="77777777" w:rsidR="00A10B25" w:rsidRDefault="00A10B25">
            <w:pPr>
              <w:pStyle w:val="TAC"/>
              <w:rPr>
                <w:sz w:val="16"/>
                <w:szCs w:val="16"/>
              </w:rPr>
            </w:pPr>
            <w:r>
              <w:rPr>
                <w:sz w:val="16"/>
                <w:szCs w:val="16"/>
              </w:rPr>
              <w:t>CP-221131</w:t>
            </w:r>
          </w:p>
        </w:tc>
        <w:tc>
          <w:tcPr>
            <w:tcW w:w="523" w:type="dxa"/>
            <w:shd w:val="solid" w:color="FFFFFF" w:fill="auto"/>
          </w:tcPr>
          <w:p w14:paraId="379D4CF2" w14:textId="77777777" w:rsidR="00A10B25" w:rsidRDefault="00A10B25">
            <w:pPr>
              <w:pStyle w:val="TAL"/>
              <w:rPr>
                <w:sz w:val="16"/>
                <w:szCs w:val="16"/>
              </w:rPr>
            </w:pPr>
            <w:r>
              <w:rPr>
                <w:sz w:val="16"/>
                <w:szCs w:val="16"/>
              </w:rPr>
              <w:t>0458</w:t>
            </w:r>
          </w:p>
        </w:tc>
        <w:tc>
          <w:tcPr>
            <w:tcW w:w="423" w:type="dxa"/>
            <w:shd w:val="solid" w:color="FFFFFF" w:fill="auto"/>
          </w:tcPr>
          <w:p w14:paraId="289DBBB4"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636BAE3"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CAC6FC8" w14:textId="77777777" w:rsidR="00A10B25" w:rsidRDefault="00A10B25">
            <w:pPr>
              <w:pStyle w:val="TAL"/>
              <w:rPr>
                <w:sz w:val="16"/>
                <w:szCs w:val="16"/>
              </w:rPr>
            </w:pPr>
            <w:r>
              <w:rPr>
                <w:sz w:val="16"/>
                <w:szCs w:val="16"/>
              </w:rPr>
              <w:t>Update RAT types and Frequencies in Service Experience Analytics in Nnwdaf_AnalyticsInfo API</w:t>
            </w:r>
          </w:p>
        </w:tc>
        <w:tc>
          <w:tcPr>
            <w:tcW w:w="706" w:type="dxa"/>
            <w:shd w:val="solid" w:color="FFFFFF" w:fill="auto"/>
          </w:tcPr>
          <w:p w14:paraId="3E4912EA" w14:textId="77777777" w:rsidR="00A10B25" w:rsidRDefault="00A10B25">
            <w:pPr>
              <w:pStyle w:val="TAC"/>
              <w:rPr>
                <w:sz w:val="16"/>
                <w:szCs w:val="16"/>
              </w:rPr>
            </w:pPr>
            <w:r>
              <w:rPr>
                <w:sz w:val="16"/>
                <w:szCs w:val="16"/>
              </w:rPr>
              <w:t>17.7.0</w:t>
            </w:r>
          </w:p>
        </w:tc>
      </w:tr>
      <w:tr w:rsidR="00A10B25" w14:paraId="69E4FF67" w14:textId="77777777">
        <w:tc>
          <w:tcPr>
            <w:tcW w:w="796" w:type="dxa"/>
            <w:shd w:val="solid" w:color="FFFFFF" w:fill="auto"/>
          </w:tcPr>
          <w:p w14:paraId="5E7C2BB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CA57CC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53B160DF" w14:textId="77777777" w:rsidR="00A10B25" w:rsidRDefault="00A10B25">
            <w:pPr>
              <w:pStyle w:val="TAC"/>
              <w:rPr>
                <w:sz w:val="16"/>
                <w:szCs w:val="16"/>
              </w:rPr>
            </w:pPr>
            <w:r>
              <w:rPr>
                <w:sz w:val="16"/>
                <w:szCs w:val="16"/>
              </w:rPr>
              <w:t>CP-221131</w:t>
            </w:r>
          </w:p>
        </w:tc>
        <w:tc>
          <w:tcPr>
            <w:tcW w:w="523" w:type="dxa"/>
            <w:shd w:val="solid" w:color="FFFFFF" w:fill="auto"/>
          </w:tcPr>
          <w:p w14:paraId="56DE1EC8" w14:textId="77777777" w:rsidR="00A10B25" w:rsidRDefault="00A10B25">
            <w:pPr>
              <w:pStyle w:val="TAL"/>
              <w:rPr>
                <w:sz w:val="16"/>
                <w:szCs w:val="16"/>
              </w:rPr>
            </w:pPr>
            <w:r>
              <w:rPr>
                <w:sz w:val="16"/>
                <w:szCs w:val="16"/>
              </w:rPr>
              <w:t>0459</w:t>
            </w:r>
          </w:p>
        </w:tc>
        <w:tc>
          <w:tcPr>
            <w:tcW w:w="423" w:type="dxa"/>
            <w:shd w:val="solid" w:color="FFFFFF" w:fill="auto"/>
          </w:tcPr>
          <w:p w14:paraId="224FBB5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67D2ECE4"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21D6E370" w14:textId="77777777" w:rsidR="00A10B25" w:rsidRDefault="00A10B25">
            <w:pPr>
              <w:pStyle w:val="TAL"/>
              <w:rPr>
                <w:sz w:val="16"/>
                <w:szCs w:val="16"/>
              </w:rPr>
            </w:pPr>
            <w:r>
              <w:rPr>
                <w:sz w:val="16"/>
                <w:szCs w:val="16"/>
              </w:rPr>
              <w:t>Updates UE location in Service Experience Analytics</w:t>
            </w:r>
          </w:p>
        </w:tc>
        <w:tc>
          <w:tcPr>
            <w:tcW w:w="706" w:type="dxa"/>
            <w:shd w:val="solid" w:color="FFFFFF" w:fill="auto"/>
          </w:tcPr>
          <w:p w14:paraId="4BDFF5C9" w14:textId="77777777" w:rsidR="00A10B25" w:rsidRDefault="00A10B25">
            <w:pPr>
              <w:pStyle w:val="TAC"/>
              <w:rPr>
                <w:sz w:val="16"/>
                <w:szCs w:val="16"/>
              </w:rPr>
            </w:pPr>
            <w:r>
              <w:rPr>
                <w:sz w:val="16"/>
                <w:szCs w:val="16"/>
              </w:rPr>
              <w:t>17.7.0</w:t>
            </w:r>
          </w:p>
        </w:tc>
      </w:tr>
      <w:tr w:rsidR="00A10B25" w14:paraId="58E4E7CC" w14:textId="77777777">
        <w:tc>
          <w:tcPr>
            <w:tcW w:w="796" w:type="dxa"/>
            <w:shd w:val="solid" w:color="FFFFFF" w:fill="auto"/>
          </w:tcPr>
          <w:p w14:paraId="1126F50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E92C285"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7F3D2BE6" w14:textId="77777777" w:rsidR="00A10B25" w:rsidRDefault="00A10B25">
            <w:pPr>
              <w:pStyle w:val="TAC"/>
              <w:rPr>
                <w:sz w:val="16"/>
                <w:szCs w:val="16"/>
              </w:rPr>
            </w:pPr>
            <w:r>
              <w:rPr>
                <w:sz w:val="16"/>
                <w:szCs w:val="16"/>
              </w:rPr>
              <w:t>CP-221136</w:t>
            </w:r>
          </w:p>
        </w:tc>
        <w:tc>
          <w:tcPr>
            <w:tcW w:w="523" w:type="dxa"/>
            <w:shd w:val="solid" w:color="FFFFFF" w:fill="auto"/>
          </w:tcPr>
          <w:p w14:paraId="68CA109C" w14:textId="77777777" w:rsidR="00A10B25" w:rsidRDefault="00A10B25">
            <w:pPr>
              <w:pStyle w:val="TAL"/>
              <w:rPr>
                <w:sz w:val="16"/>
                <w:szCs w:val="16"/>
              </w:rPr>
            </w:pPr>
            <w:r>
              <w:rPr>
                <w:sz w:val="16"/>
                <w:szCs w:val="16"/>
              </w:rPr>
              <w:t>0460</w:t>
            </w:r>
          </w:p>
        </w:tc>
        <w:tc>
          <w:tcPr>
            <w:tcW w:w="423" w:type="dxa"/>
            <w:shd w:val="solid" w:color="FFFFFF" w:fill="auto"/>
          </w:tcPr>
          <w:p w14:paraId="2AEC2CD4" w14:textId="77777777" w:rsidR="00A10B25" w:rsidRDefault="00A10B25">
            <w:pPr>
              <w:pStyle w:val="TAR"/>
              <w:rPr>
                <w:sz w:val="16"/>
                <w:szCs w:val="16"/>
              </w:rPr>
            </w:pPr>
            <w:r>
              <w:rPr>
                <w:sz w:val="16"/>
                <w:szCs w:val="16"/>
                <w:lang w:eastAsia="zh-CN"/>
              </w:rPr>
              <w:t>2</w:t>
            </w:r>
          </w:p>
        </w:tc>
        <w:tc>
          <w:tcPr>
            <w:tcW w:w="423" w:type="dxa"/>
            <w:shd w:val="solid" w:color="FFFFFF" w:fill="auto"/>
          </w:tcPr>
          <w:p w14:paraId="41809A08"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DA1F6A6" w14:textId="77777777" w:rsidR="00A10B25" w:rsidRDefault="00A10B25">
            <w:pPr>
              <w:pStyle w:val="TAL"/>
              <w:rPr>
                <w:sz w:val="16"/>
                <w:szCs w:val="16"/>
              </w:rPr>
            </w:pPr>
            <w:r>
              <w:rPr>
                <w:sz w:val="16"/>
                <w:szCs w:val="16"/>
              </w:rPr>
              <w:t>Resolve editor’s note for Analytics Subscription Transfer</w:t>
            </w:r>
          </w:p>
        </w:tc>
        <w:tc>
          <w:tcPr>
            <w:tcW w:w="706" w:type="dxa"/>
            <w:shd w:val="solid" w:color="FFFFFF" w:fill="auto"/>
          </w:tcPr>
          <w:p w14:paraId="49804507" w14:textId="77777777" w:rsidR="00A10B25" w:rsidRDefault="00A10B25">
            <w:pPr>
              <w:pStyle w:val="TAC"/>
              <w:rPr>
                <w:sz w:val="16"/>
                <w:szCs w:val="16"/>
              </w:rPr>
            </w:pPr>
            <w:r>
              <w:rPr>
                <w:sz w:val="16"/>
                <w:szCs w:val="16"/>
              </w:rPr>
              <w:t>17.7.0</w:t>
            </w:r>
          </w:p>
        </w:tc>
      </w:tr>
      <w:tr w:rsidR="00A10B25" w14:paraId="665F6E50" w14:textId="77777777">
        <w:tc>
          <w:tcPr>
            <w:tcW w:w="796" w:type="dxa"/>
            <w:shd w:val="solid" w:color="FFFFFF" w:fill="auto"/>
          </w:tcPr>
          <w:p w14:paraId="609D572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F261991"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3AF7657" w14:textId="77777777" w:rsidR="00A10B25" w:rsidRDefault="00A10B25">
            <w:pPr>
              <w:pStyle w:val="TAC"/>
              <w:rPr>
                <w:sz w:val="16"/>
                <w:szCs w:val="16"/>
              </w:rPr>
            </w:pPr>
            <w:r>
              <w:rPr>
                <w:sz w:val="16"/>
                <w:szCs w:val="16"/>
              </w:rPr>
              <w:t>CP-221130</w:t>
            </w:r>
          </w:p>
        </w:tc>
        <w:tc>
          <w:tcPr>
            <w:tcW w:w="523" w:type="dxa"/>
            <w:shd w:val="solid" w:color="FFFFFF" w:fill="auto"/>
          </w:tcPr>
          <w:p w14:paraId="3D5BB6F4" w14:textId="77777777" w:rsidR="00A10B25" w:rsidRDefault="00A10B25">
            <w:pPr>
              <w:pStyle w:val="TAL"/>
              <w:rPr>
                <w:sz w:val="16"/>
                <w:szCs w:val="16"/>
              </w:rPr>
            </w:pPr>
            <w:r>
              <w:rPr>
                <w:sz w:val="16"/>
                <w:szCs w:val="16"/>
              </w:rPr>
              <w:t>0464</w:t>
            </w:r>
          </w:p>
        </w:tc>
        <w:tc>
          <w:tcPr>
            <w:tcW w:w="423" w:type="dxa"/>
            <w:shd w:val="solid" w:color="FFFFFF" w:fill="auto"/>
          </w:tcPr>
          <w:p w14:paraId="02869632"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003CB0B1"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3533671" w14:textId="77777777" w:rsidR="00A10B25" w:rsidRDefault="00A10B25">
            <w:pPr>
              <w:pStyle w:val="TAL"/>
              <w:rPr>
                <w:sz w:val="16"/>
                <w:szCs w:val="16"/>
              </w:rPr>
            </w:pPr>
            <w:r>
              <w:rPr>
                <w:sz w:val="16"/>
                <w:szCs w:val="16"/>
              </w:rPr>
              <w:t>Updates to SMCCE</w:t>
            </w:r>
          </w:p>
        </w:tc>
        <w:tc>
          <w:tcPr>
            <w:tcW w:w="706" w:type="dxa"/>
            <w:shd w:val="solid" w:color="FFFFFF" w:fill="auto"/>
          </w:tcPr>
          <w:p w14:paraId="1A5C6A1C" w14:textId="77777777" w:rsidR="00A10B25" w:rsidRDefault="00A10B25">
            <w:pPr>
              <w:pStyle w:val="TAC"/>
              <w:rPr>
                <w:sz w:val="16"/>
                <w:szCs w:val="16"/>
              </w:rPr>
            </w:pPr>
            <w:r>
              <w:rPr>
                <w:sz w:val="16"/>
                <w:szCs w:val="16"/>
              </w:rPr>
              <w:t>17.7.0</w:t>
            </w:r>
          </w:p>
        </w:tc>
      </w:tr>
      <w:tr w:rsidR="00A10B25" w14:paraId="64741759" w14:textId="77777777">
        <w:tc>
          <w:tcPr>
            <w:tcW w:w="796" w:type="dxa"/>
            <w:shd w:val="solid" w:color="FFFFFF" w:fill="auto"/>
          </w:tcPr>
          <w:p w14:paraId="7617F17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F974C7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A5DD40A" w14:textId="77777777" w:rsidR="00A10B25" w:rsidRDefault="00A10B25">
            <w:pPr>
              <w:pStyle w:val="TAC"/>
              <w:rPr>
                <w:sz w:val="16"/>
                <w:szCs w:val="16"/>
              </w:rPr>
            </w:pPr>
            <w:r>
              <w:rPr>
                <w:sz w:val="16"/>
                <w:szCs w:val="16"/>
              </w:rPr>
              <w:t>CP-221131</w:t>
            </w:r>
          </w:p>
        </w:tc>
        <w:tc>
          <w:tcPr>
            <w:tcW w:w="523" w:type="dxa"/>
            <w:shd w:val="solid" w:color="FFFFFF" w:fill="auto"/>
          </w:tcPr>
          <w:p w14:paraId="3C9C56CE" w14:textId="77777777" w:rsidR="00A10B25" w:rsidRDefault="00A10B25">
            <w:pPr>
              <w:pStyle w:val="TAL"/>
              <w:rPr>
                <w:sz w:val="16"/>
                <w:szCs w:val="16"/>
              </w:rPr>
            </w:pPr>
            <w:r>
              <w:rPr>
                <w:sz w:val="16"/>
                <w:szCs w:val="16"/>
              </w:rPr>
              <w:t>0465</w:t>
            </w:r>
          </w:p>
        </w:tc>
        <w:tc>
          <w:tcPr>
            <w:tcW w:w="423" w:type="dxa"/>
            <w:shd w:val="solid" w:color="FFFFFF" w:fill="auto"/>
          </w:tcPr>
          <w:p w14:paraId="54BAE82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168759C"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3F74B4EB" w14:textId="77777777" w:rsidR="00A10B25" w:rsidRDefault="00A10B25">
            <w:pPr>
              <w:pStyle w:val="TAL"/>
              <w:rPr>
                <w:sz w:val="16"/>
                <w:szCs w:val="16"/>
              </w:rPr>
            </w:pPr>
            <w:r>
              <w:rPr>
                <w:sz w:val="16"/>
                <w:szCs w:val="16"/>
              </w:rPr>
              <w:t>Updates to Service Experience Type</w:t>
            </w:r>
          </w:p>
        </w:tc>
        <w:tc>
          <w:tcPr>
            <w:tcW w:w="706" w:type="dxa"/>
            <w:shd w:val="solid" w:color="FFFFFF" w:fill="auto"/>
          </w:tcPr>
          <w:p w14:paraId="7B4D6DA4" w14:textId="77777777" w:rsidR="00A10B25" w:rsidRDefault="00A10B25">
            <w:pPr>
              <w:pStyle w:val="TAC"/>
              <w:rPr>
                <w:sz w:val="16"/>
                <w:szCs w:val="16"/>
              </w:rPr>
            </w:pPr>
            <w:r>
              <w:rPr>
                <w:sz w:val="16"/>
                <w:szCs w:val="16"/>
              </w:rPr>
              <w:t>17.7.0</w:t>
            </w:r>
          </w:p>
        </w:tc>
      </w:tr>
      <w:tr w:rsidR="00A10B25" w14:paraId="48D56850" w14:textId="77777777">
        <w:tc>
          <w:tcPr>
            <w:tcW w:w="796" w:type="dxa"/>
            <w:shd w:val="solid" w:color="FFFFFF" w:fill="auto"/>
          </w:tcPr>
          <w:p w14:paraId="54B0AB6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8ABF10C"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74B2B69" w14:textId="77777777" w:rsidR="00A10B25" w:rsidRDefault="00A10B25">
            <w:pPr>
              <w:pStyle w:val="TAC"/>
              <w:rPr>
                <w:sz w:val="16"/>
                <w:szCs w:val="16"/>
              </w:rPr>
            </w:pPr>
            <w:r>
              <w:rPr>
                <w:sz w:val="16"/>
                <w:szCs w:val="16"/>
              </w:rPr>
              <w:t>CP-221130</w:t>
            </w:r>
          </w:p>
        </w:tc>
        <w:tc>
          <w:tcPr>
            <w:tcW w:w="523" w:type="dxa"/>
            <w:shd w:val="solid" w:color="FFFFFF" w:fill="auto"/>
          </w:tcPr>
          <w:p w14:paraId="39CD0AA6" w14:textId="77777777" w:rsidR="00A10B25" w:rsidRDefault="00A10B25">
            <w:pPr>
              <w:pStyle w:val="TAL"/>
              <w:rPr>
                <w:sz w:val="16"/>
                <w:szCs w:val="16"/>
              </w:rPr>
            </w:pPr>
            <w:r>
              <w:rPr>
                <w:sz w:val="16"/>
                <w:szCs w:val="16"/>
              </w:rPr>
              <w:t>0468</w:t>
            </w:r>
          </w:p>
        </w:tc>
        <w:tc>
          <w:tcPr>
            <w:tcW w:w="423" w:type="dxa"/>
            <w:shd w:val="solid" w:color="FFFFFF" w:fill="auto"/>
          </w:tcPr>
          <w:p w14:paraId="0A1E624B" w14:textId="77777777" w:rsidR="00A10B25" w:rsidRDefault="00A10B25">
            <w:pPr>
              <w:pStyle w:val="TAR"/>
              <w:rPr>
                <w:sz w:val="16"/>
                <w:szCs w:val="16"/>
              </w:rPr>
            </w:pPr>
          </w:p>
        </w:tc>
        <w:tc>
          <w:tcPr>
            <w:tcW w:w="423" w:type="dxa"/>
            <w:shd w:val="solid" w:color="FFFFFF" w:fill="auto"/>
          </w:tcPr>
          <w:p w14:paraId="4AAD7E82"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CDB21F5" w14:textId="77777777" w:rsidR="00A10B25" w:rsidRDefault="00A10B25">
            <w:pPr>
              <w:pStyle w:val="TAL"/>
              <w:rPr>
                <w:sz w:val="16"/>
                <w:szCs w:val="16"/>
              </w:rPr>
            </w:pPr>
            <w:r>
              <w:rPr>
                <w:sz w:val="16"/>
                <w:szCs w:val="16"/>
              </w:rPr>
              <w:t>Supplement the missing events and remove the ENs for ML model subscription</w:t>
            </w:r>
          </w:p>
        </w:tc>
        <w:tc>
          <w:tcPr>
            <w:tcW w:w="706" w:type="dxa"/>
            <w:shd w:val="solid" w:color="FFFFFF" w:fill="auto"/>
          </w:tcPr>
          <w:p w14:paraId="7DB2A0F2" w14:textId="77777777" w:rsidR="00A10B25" w:rsidRDefault="00A10B25">
            <w:pPr>
              <w:pStyle w:val="TAC"/>
              <w:rPr>
                <w:sz w:val="16"/>
                <w:szCs w:val="16"/>
              </w:rPr>
            </w:pPr>
            <w:r>
              <w:rPr>
                <w:sz w:val="16"/>
                <w:szCs w:val="16"/>
              </w:rPr>
              <w:t>17.7.0</w:t>
            </w:r>
          </w:p>
        </w:tc>
      </w:tr>
      <w:tr w:rsidR="00A10B25" w14:paraId="3C63EABA" w14:textId="77777777">
        <w:tc>
          <w:tcPr>
            <w:tcW w:w="796" w:type="dxa"/>
            <w:shd w:val="solid" w:color="FFFFFF" w:fill="auto"/>
          </w:tcPr>
          <w:p w14:paraId="3E0F9D6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816582C"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C41956F" w14:textId="77777777" w:rsidR="00A10B25" w:rsidRDefault="00A10B25">
            <w:pPr>
              <w:pStyle w:val="TAC"/>
              <w:rPr>
                <w:sz w:val="16"/>
                <w:szCs w:val="16"/>
              </w:rPr>
            </w:pPr>
            <w:r>
              <w:rPr>
                <w:sz w:val="16"/>
                <w:szCs w:val="16"/>
              </w:rPr>
              <w:t>CP-221131</w:t>
            </w:r>
          </w:p>
        </w:tc>
        <w:tc>
          <w:tcPr>
            <w:tcW w:w="523" w:type="dxa"/>
            <w:shd w:val="solid" w:color="FFFFFF" w:fill="auto"/>
          </w:tcPr>
          <w:p w14:paraId="4B0E8A22" w14:textId="77777777" w:rsidR="00A10B25" w:rsidRDefault="00A10B25">
            <w:pPr>
              <w:pStyle w:val="TAL"/>
              <w:rPr>
                <w:sz w:val="16"/>
                <w:szCs w:val="16"/>
              </w:rPr>
            </w:pPr>
            <w:r>
              <w:rPr>
                <w:sz w:val="16"/>
                <w:szCs w:val="16"/>
              </w:rPr>
              <w:t>0469</w:t>
            </w:r>
          </w:p>
        </w:tc>
        <w:tc>
          <w:tcPr>
            <w:tcW w:w="423" w:type="dxa"/>
            <w:shd w:val="solid" w:color="FFFFFF" w:fill="auto"/>
          </w:tcPr>
          <w:p w14:paraId="07D606C8"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8CEE49F"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742589EA" w14:textId="77777777" w:rsidR="00A10B25" w:rsidRDefault="00A10B25">
            <w:pPr>
              <w:pStyle w:val="TAL"/>
              <w:rPr>
                <w:sz w:val="16"/>
                <w:szCs w:val="16"/>
              </w:rPr>
            </w:pPr>
            <w:r>
              <w:rPr>
                <w:sz w:val="16"/>
                <w:szCs w:val="16"/>
              </w:rPr>
              <w:t>Remove the Editor's Note for Nnwdaf_MLModelInfo service</w:t>
            </w:r>
          </w:p>
        </w:tc>
        <w:tc>
          <w:tcPr>
            <w:tcW w:w="706" w:type="dxa"/>
            <w:shd w:val="solid" w:color="FFFFFF" w:fill="auto"/>
          </w:tcPr>
          <w:p w14:paraId="5F28D443" w14:textId="77777777" w:rsidR="00A10B25" w:rsidRDefault="00A10B25">
            <w:pPr>
              <w:pStyle w:val="TAC"/>
              <w:rPr>
                <w:sz w:val="16"/>
                <w:szCs w:val="16"/>
              </w:rPr>
            </w:pPr>
            <w:r>
              <w:rPr>
                <w:sz w:val="16"/>
                <w:szCs w:val="16"/>
              </w:rPr>
              <w:t>17.7.0</w:t>
            </w:r>
          </w:p>
        </w:tc>
      </w:tr>
      <w:tr w:rsidR="00A10B25" w14:paraId="1A6D2B4E" w14:textId="77777777">
        <w:tc>
          <w:tcPr>
            <w:tcW w:w="796" w:type="dxa"/>
            <w:shd w:val="solid" w:color="FFFFFF" w:fill="auto"/>
          </w:tcPr>
          <w:p w14:paraId="6030B9FC"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85BDF46"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7915B65" w14:textId="77777777" w:rsidR="00A10B25" w:rsidRDefault="00A10B25">
            <w:pPr>
              <w:pStyle w:val="TAC"/>
              <w:rPr>
                <w:sz w:val="16"/>
                <w:szCs w:val="16"/>
              </w:rPr>
            </w:pPr>
            <w:r>
              <w:rPr>
                <w:sz w:val="16"/>
                <w:szCs w:val="16"/>
              </w:rPr>
              <w:t>CP-221133</w:t>
            </w:r>
          </w:p>
        </w:tc>
        <w:tc>
          <w:tcPr>
            <w:tcW w:w="523" w:type="dxa"/>
            <w:shd w:val="solid" w:color="FFFFFF" w:fill="auto"/>
          </w:tcPr>
          <w:p w14:paraId="6E6BF8CC" w14:textId="77777777" w:rsidR="00A10B25" w:rsidRDefault="00A10B25">
            <w:pPr>
              <w:pStyle w:val="TAL"/>
              <w:rPr>
                <w:sz w:val="16"/>
                <w:szCs w:val="16"/>
              </w:rPr>
            </w:pPr>
            <w:r>
              <w:rPr>
                <w:sz w:val="16"/>
                <w:szCs w:val="16"/>
              </w:rPr>
              <w:t>0470</w:t>
            </w:r>
          </w:p>
        </w:tc>
        <w:tc>
          <w:tcPr>
            <w:tcW w:w="423" w:type="dxa"/>
            <w:shd w:val="solid" w:color="FFFFFF" w:fill="auto"/>
          </w:tcPr>
          <w:p w14:paraId="3F349269" w14:textId="77777777" w:rsidR="00A10B25" w:rsidRDefault="00A10B25">
            <w:pPr>
              <w:pStyle w:val="TAR"/>
              <w:rPr>
                <w:sz w:val="16"/>
                <w:szCs w:val="16"/>
              </w:rPr>
            </w:pPr>
            <w:r>
              <w:rPr>
                <w:sz w:val="16"/>
                <w:szCs w:val="16"/>
                <w:lang w:eastAsia="zh-CN"/>
              </w:rPr>
              <w:t>2</w:t>
            </w:r>
          </w:p>
        </w:tc>
        <w:tc>
          <w:tcPr>
            <w:tcW w:w="423" w:type="dxa"/>
            <w:shd w:val="solid" w:color="FFFFFF" w:fill="auto"/>
          </w:tcPr>
          <w:p w14:paraId="5EE199FD"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0FDD6291" w14:textId="77777777" w:rsidR="00A10B25" w:rsidRDefault="00A10B25">
            <w:pPr>
              <w:pStyle w:val="TAL"/>
              <w:rPr>
                <w:sz w:val="16"/>
                <w:szCs w:val="16"/>
              </w:rPr>
            </w:pPr>
            <w:r>
              <w:rPr>
                <w:sz w:val="16"/>
                <w:szCs w:val="16"/>
              </w:rPr>
              <w:t>Define SMCCE event for Nnwdaf_EventsSubscription service</w:t>
            </w:r>
          </w:p>
        </w:tc>
        <w:tc>
          <w:tcPr>
            <w:tcW w:w="706" w:type="dxa"/>
            <w:shd w:val="solid" w:color="FFFFFF" w:fill="auto"/>
          </w:tcPr>
          <w:p w14:paraId="3B1B1E7B" w14:textId="77777777" w:rsidR="00A10B25" w:rsidRDefault="00A10B25">
            <w:pPr>
              <w:pStyle w:val="TAC"/>
              <w:rPr>
                <w:sz w:val="16"/>
                <w:szCs w:val="16"/>
              </w:rPr>
            </w:pPr>
            <w:r>
              <w:rPr>
                <w:sz w:val="16"/>
                <w:szCs w:val="16"/>
              </w:rPr>
              <w:t>17.7.0</w:t>
            </w:r>
          </w:p>
        </w:tc>
      </w:tr>
      <w:tr w:rsidR="00A10B25" w14:paraId="5410F076" w14:textId="77777777">
        <w:tc>
          <w:tcPr>
            <w:tcW w:w="796" w:type="dxa"/>
            <w:shd w:val="solid" w:color="FFFFFF" w:fill="auto"/>
          </w:tcPr>
          <w:p w14:paraId="692301E9"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F0D38C8"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9485B80" w14:textId="77777777" w:rsidR="00A10B25" w:rsidRDefault="00A10B25">
            <w:pPr>
              <w:pStyle w:val="TAC"/>
              <w:rPr>
                <w:sz w:val="16"/>
                <w:szCs w:val="16"/>
              </w:rPr>
            </w:pPr>
            <w:r>
              <w:rPr>
                <w:sz w:val="16"/>
                <w:szCs w:val="16"/>
              </w:rPr>
              <w:t>CP-221136</w:t>
            </w:r>
          </w:p>
        </w:tc>
        <w:tc>
          <w:tcPr>
            <w:tcW w:w="523" w:type="dxa"/>
            <w:shd w:val="solid" w:color="FFFFFF" w:fill="auto"/>
          </w:tcPr>
          <w:p w14:paraId="27EB074E" w14:textId="77777777" w:rsidR="00A10B25" w:rsidRDefault="00A10B25">
            <w:pPr>
              <w:pStyle w:val="TAL"/>
              <w:rPr>
                <w:sz w:val="16"/>
                <w:szCs w:val="16"/>
              </w:rPr>
            </w:pPr>
            <w:r>
              <w:rPr>
                <w:sz w:val="16"/>
                <w:szCs w:val="16"/>
              </w:rPr>
              <w:t>0471</w:t>
            </w:r>
          </w:p>
        </w:tc>
        <w:tc>
          <w:tcPr>
            <w:tcW w:w="423" w:type="dxa"/>
            <w:shd w:val="solid" w:color="FFFFFF" w:fill="auto"/>
          </w:tcPr>
          <w:p w14:paraId="7E8411F3" w14:textId="77777777" w:rsidR="00A10B25" w:rsidRDefault="00A10B25">
            <w:pPr>
              <w:pStyle w:val="TAR"/>
              <w:rPr>
                <w:sz w:val="16"/>
                <w:szCs w:val="16"/>
              </w:rPr>
            </w:pPr>
            <w:r>
              <w:rPr>
                <w:sz w:val="16"/>
                <w:szCs w:val="16"/>
                <w:lang w:eastAsia="zh-CN"/>
              </w:rPr>
              <w:t>3</w:t>
            </w:r>
          </w:p>
        </w:tc>
        <w:tc>
          <w:tcPr>
            <w:tcW w:w="423" w:type="dxa"/>
            <w:shd w:val="solid" w:color="FFFFFF" w:fill="auto"/>
          </w:tcPr>
          <w:p w14:paraId="2BB19695"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56EA9CFB" w14:textId="77777777" w:rsidR="00A10B25" w:rsidRDefault="00A10B25">
            <w:pPr>
              <w:pStyle w:val="TAL"/>
              <w:rPr>
                <w:sz w:val="16"/>
                <w:szCs w:val="16"/>
              </w:rPr>
            </w:pPr>
            <w:r>
              <w:rPr>
                <w:sz w:val="16"/>
                <w:szCs w:val="16"/>
              </w:rPr>
              <w:t>Define Nnwdaf_DataManagement API</w:t>
            </w:r>
          </w:p>
        </w:tc>
        <w:tc>
          <w:tcPr>
            <w:tcW w:w="706" w:type="dxa"/>
            <w:shd w:val="solid" w:color="FFFFFF" w:fill="auto"/>
          </w:tcPr>
          <w:p w14:paraId="019534A3" w14:textId="77777777" w:rsidR="00A10B25" w:rsidRDefault="00A10B25">
            <w:pPr>
              <w:pStyle w:val="TAC"/>
              <w:rPr>
                <w:sz w:val="16"/>
                <w:szCs w:val="16"/>
              </w:rPr>
            </w:pPr>
            <w:r>
              <w:rPr>
                <w:sz w:val="16"/>
                <w:szCs w:val="16"/>
              </w:rPr>
              <w:t>17.7.0</w:t>
            </w:r>
          </w:p>
        </w:tc>
      </w:tr>
      <w:tr w:rsidR="00A10B25" w14:paraId="6AECEA7E" w14:textId="77777777">
        <w:tc>
          <w:tcPr>
            <w:tcW w:w="796" w:type="dxa"/>
            <w:shd w:val="solid" w:color="FFFFFF" w:fill="auto"/>
          </w:tcPr>
          <w:p w14:paraId="28E5AEE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E7345D6"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774AD085" w14:textId="77777777" w:rsidR="00A10B25" w:rsidRDefault="00A10B25">
            <w:pPr>
              <w:pStyle w:val="TAC"/>
              <w:rPr>
                <w:sz w:val="16"/>
                <w:szCs w:val="16"/>
              </w:rPr>
            </w:pPr>
            <w:r>
              <w:rPr>
                <w:sz w:val="16"/>
                <w:szCs w:val="16"/>
              </w:rPr>
              <w:t>CP-221154</w:t>
            </w:r>
          </w:p>
        </w:tc>
        <w:tc>
          <w:tcPr>
            <w:tcW w:w="523" w:type="dxa"/>
            <w:shd w:val="solid" w:color="FFFFFF" w:fill="auto"/>
          </w:tcPr>
          <w:p w14:paraId="0C2E7DD9" w14:textId="77777777" w:rsidR="00A10B25" w:rsidRDefault="00A10B25">
            <w:pPr>
              <w:pStyle w:val="TAL"/>
              <w:rPr>
                <w:sz w:val="16"/>
                <w:szCs w:val="16"/>
              </w:rPr>
            </w:pPr>
            <w:r>
              <w:rPr>
                <w:sz w:val="16"/>
                <w:szCs w:val="16"/>
              </w:rPr>
              <w:t>0472</w:t>
            </w:r>
          </w:p>
        </w:tc>
        <w:tc>
          <w:tcPr>
            <w:tcW w:w="423" w:type="dxa"/>
            <w:shd w:val="solid" w:color="FFFFFF" w:fill="auto"/>
          </w:tcPr>
          <w:p w14:paraId="6E9EA74D"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7851B06"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86A9E4E" w14:textId="77777777" w:rsidR="00A10B25" w:rsidRDefault="00A10B25">
            <w:pPr>
              <w:pStyle w:val="TAL"/>
              <w:rPr>
                <w:sz w:val="16"/>
                <w:szCs w:val="16"/>
              </w:rPr>
            </w:pPr>
            <w:r>
              <w:rPr>
                <w:sz w:val="16"/>
                <w:szCs w:val="16"/>
              </w:rPr>
              <w:t>Formatting of description fields of Nnwdaf_MLModelProvision API</w:t>
            </w:r>
          </w:p>
        </w:tc>
        <w:tc>
          <w:tcPr>
            <w:tcW w:w="706" w:type="dxa"/>
            <w:shd w:val="solid" w:color="FFFFFF" w:fill="auto"/>
          </w:tcPr>
          <w:p w14:paraId="1D47EA1C" w14:textId="77777777" w:rsidR="00A10B25" w:rsidRDefault="00A10B25">
            <w:pPr>
              <w:pStyle w:val="TAC"/>
              <w:rPr>
                <w:sz w:val="16"/>
                <w:szCs w:val="16"/>
              </w:rPr>
            </w:pPr>
            <w:r>
              <w:rPr>
                <w:sz w:val="16"/>
                <w:szCs w:val="16"/>
              </w:rPr>
              <w:t>17.7.0</w:t>
            </w:r>
          </w:p>
        </w:tc>
      </w:tr>
      <w:tr w:rsidR="00A10B25" w14:paraId="069E1A8B" w14:textId="77777777">
        <w:tc>
          <w:tcPr>
            <w:tcW w:w="796" w:type="dxa"/>
            <w:shd w:val="solid" w:color="FFFFFF" w:fill="auto"/>
          </w:tcPr>
          <w:p w14:paraId="1DECD811"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229B40F"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4ED598C" w14:textId="77777777" w:rsidR="00A10B25" w:rsidRDefault="00A10B25">
            <w:pPr>
              <w:pStyle w:val="TAC"/>
              <w:rPr>
                <w:sz w:val="16"/>
                <w:szCs w:val="16"/>
              </w:rPr>
            </w:pPr>
            <w:r>
              <w:rPr>
                <w:sz w:val="16"/>
                <w:szCs w:val="16"/>
              </w:rPr>
              <w:t>CP-221131</w:t>
            </w:r>
          </w:p>
        </w:tc>
        <w:tc>
          <w:tcPr>
            <w:tcW w:w="523" w:type="dxa"/>
            <w:shd w:val="solid" w:color="FFFFFF" w:fill="auto"/>
          </w:tcPr>
          <w:p w14:paraId="10912F3F" w14:textId="77777777" w:rsidR="00A10B25" w:rsidRDefault="00A10B25">
            <w:pPr>
              <w:pStyle w:val="TAL"/>
              <w:rPr>
                <w:sz w:val="16"/>
                <w:szCs w:val="16"/>
              </w:rPr>
            </w:pPr>
            <w:r>
              <w:rPr>
                <w:sz w:val="16"/>
                <w:szCs w:val="16"/>
              </w:rPr>
              <w:t>0473</w:t>
            </w:r>
          </w:p>
        </w:tc>
        <w:tc>
          <w:tcPr>
            <w:tcW w:w="423" w:type="dxa"/>
            <w:shd w:val="solid" w:color="FFFFFF" w:fill="auto"/>
          </w:tcPr>
          <w:p w14:paraId="2CCE4021"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7F7F0D53"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482F131A" w14:textId="77777777" w:rsidR="00A10B25" w:rsidRDefault="00A10B25">
            <w:pPr>
              <w:pStyle w:val="TAL"/>
              <w:rPr>
                <w:sz w:val="16"/>
                <w:szCs w:val="16"/>
              </w:rPr>
            </w:pPr>
            <w:r>
              <w:rPr>
                <w:sz w:val="16"/>
                <w:szCs w:val="16"/>
              </w:rPr>
              <w:t>Correction to MLEventNotif data type</w:t>
            </w:r>
          </w:p>
        </w:tc>
        <w:tc>
          <w:tcPr>
            <w:tcW w:w="706" w:type="dxa"/>
            <w:shd w:val="solid" w:color="FFFFFF" w:fill="auto"/>
          </w:tcPr>
          <w:p w14:paraId="50FCA04A" w14:textId="77777777" w:rsidR="00A10B25" w:rsidRDefault="00A10B25">
            <w:pPr>
              <w:pStyle w:val="TAC"/>
              <w:rPr>
                <w:sz w:val="16"/>
                <w:szCs w:val="16"/>
              </w:rPr>
            </w:pPr>
            <w:r>
              <w:rPr>
                <w:sz w:val="16"/>
                <w:szCs w:val="16"/>
              </w:rPr>
              <w:t>17.7.0</w:t>
            </w:r>
          </w:p>
        </w:tc>
      </w:tr>
      <w:tr w:rsidR="00A10B25" w14:paraId="1066F94A" w14:textId="77777777">
        <w:tc>
          <w:tcPr>
            <w:tcW w:w="796" w:type="dxa"/>
            <w:shd w:val="solid" w:color="FFFFFF" w:fill="auto"/>
          </w:tcPr>
          <w:p w14:paraId="7A6CE9E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F5772CE"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8DC21C7" w14:textId="77777777" w:rsidR="00A10B25" w:rsidRDefault="00A10B25">
            <w:pPr>
              <w:pStyle w:val="TAC"/>
              <w:rPr>
                <w:sz w:val="16"/>
                <w:szCs w:val="16"/>
              </w:rPr>
            </w:pPr>
            <w:r>
              <w:rPr>
                <w:sz w:val="16"/>
                <w:szCs w:val="16"/>
              </w:rPr>
              <w:t>CP-221134</w:t>
            </w:r>
          </w:p>
        </w:tc>
        <w:tc>
          <w:tcPr>
            <w:tcW w:w="523" w:type="dxa"/>
            <w:shd w:val="solid" w:color="FFFFFF" w:fill="auto"/>
          </w:tcPr>
          <w:p w14:paraId="50089A12" w14:textId="77777777" w:rsidR="00A10B25" w:rsidRDefault="00A10B25">
            <w:pPr>
              <w:pStyle w:val="TAL"/>
              <w:rPr>
                <w:sz w:val="16"/>
                <w:szCs w:val="16"/>
              </w:rPr>
            </w:pPr>
            <w:r>
              <w:rPr>
                <w:sz w:val="16"/>
                <w:szCs w:val="16"/>
              </w:rPr>
              <w:t>0474</w:t>
            </w:r>
          </w:p>
        </w:tc>
        <w:tc>
          <w:tcPr>
            <w:tcW w:w="423" w:type="dxa"/>
            <w:shd w:val="solid" w:color="FFFFFF" w:fill="auto"/>
          </w:tcPr>
          <w:p w14:paraId="750B8904"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56944E8B"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2962083" w14:textId="77777777" w:rsidR="00A10B25" w:rsidRDefault="00A10B25">
            <w:pPr>
              <w:pStyle w:val="TAL"/>
              <w:rPr>
                <w:sz w:val="16"/>
                <w:szCs w:val="16"/>
              </w:rPr>
            </w:pPr>
            <w:r>
              <w:rPr>
                <w:sz w:val="16"/>
                <w:szCs w:val="16"/>
              </w:rPr>
              <w:t>Adding NF load over AOI to analytics subset</w:t>
            </w:r>
          </w:p>
        </w:tc>
        <w:tc>
          <w:tcPr>
            <w:tcW w:w="706" w:type="dxa"/>
            <w:shd w:val="solid" w:color="FFFFFF" w:fill="auto"/>
          </w:tcPr>
          <w:p w14:paraId="2469F84A" w14:textId="77777777" w:rsidR="00A10B25" w:rsidRDefault="00A10B25">
            <w:pPr>
              <w:pStyle w:val="TAC"/>
              <w:rPr>
                <w:sz w:val="16"/>
                <w:szCs w:val="16"/>
              </w:rPr>
            </w:pPr>
            <w:r>
              <w:rPr>
                <w:sz w:val="16"/>
                <w:szCs w:val="16"/>
              </w:rPr>
              <w:t>17.7.0</w:t>
            </w:r>
          </w:p>
        </w:tc>
      </w:tr>
      <w:tr w:rsidR="00A10B25" w14:paraId="1E6FE513" w14:textId="77777777">
        <w:tc>
          <w:tcPr>
            <w:tcW w:w="796" w:type="dxa"/>
            <w:shd w:val="solid" w:color="FFFFFF" w:fill="auto"/>
          </w:tcPr>
          <w:p w14:paraId="59764D8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A88C5A7"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5C136571" w14:textId="77777777" w:rsidR="00A10B25" w:rsidRDefault="00A10B25">
            <w:pPr>
              <w:pStyle w:val="TAC"/>
              <w:rPr>
                <w:sz w:val="16"/>
                <w:szCs w:val="16"/>
              </w:rPr>
            </w:pPr>
            <w:r>
              <w:rPr>
                <w:sz w:val="16"/>
                <w:szCs w:val="16"/>
              </w:rPr>
              <w:t>CP-221128</w:t>
            </w:r>
          </w:p>
        </w:tc>
        <w:tc>
          <w:tcPr>
            <w:tcW w:w="523" w:type="dxa"/>
            <w:shd w:val="solid" w:color="FFFFFF" w:fill="auto"/>
          </w:tcPr>
          <w:p w14:paraId="6F278EB8" w14:textId="77777777" w:rsidR="00A10B25" w:rsidRDefault="00A10B25">
            <w:pPr>
              <w:pStyle w:val="TAL"/>
              <w:rPr>
                <w:sz w:val="16"/>
                <w:szCs w:val="16"/>
              </w:rPr>
            </w:pPr>
            <w:r>
              <w:rPr>
                <w:sz w:val="16"/>
                <w:szCs w:val="16"/>
              </w:rPr>
              <w:t>0476</w:t>
            </w:r>
          </w:p>
        </w:tc>
        <w:tc>
          <w:tcPr>
            <w:tcW w:w="423" w:type="dxa"/>
            <w:shd w:val="solid" w:color="FFFFFF" w:fill="auto"/>
          </w:tcPr>
          <w:p w14:paraId="5B9B0D8C" w14:textId="77777777" w:rsidR="00A10B25" w:rsidRDefault="00A10B25">
            <w:pPr>
              <w:pStyle w:val="TAR"/>
              <w:rPr>
                <w:sz w:val="16"/>
                <w:szCs w:val="16"/>
              </w:rPr>
            </w:pPr>
          </w:p>
        </w:tc>
        <w:tc>
          <w:tcPr>
            <w:tcW w:w="423" w:type="dxa"/>
            <w:shd w:val="solid" w:color="FFFFFF" w:fill="auto"/>
          </w:tcPr>
          <w:p w14:paraId="6663927E" w14:textId="77777777" w:rsidR="00A10B25" w:rsidRDefault="00A10B25">
            <w:pPr>
              <w:pStyle w:val="TAC"/>
              <w:rPr>
                <w:sz w:val="16"/>
                <w:szCs w:val="16"/>
              </w:rPr>
            </w:pPr>
            <w:r>
              <w:rPr>
                <w:sz w:val="16"/>
                <w:szCs w:val="16"/>
                <w:lang w:val="en-US" w:eastAsia="zh-CN"/>
              </w:rPr>
              <w:t>A</w:t>
            </w:r>
          </w:p>
        </w:tc>
        <w:tc>
          <w:tcPr>
            <w:tcW w:w="4899" w:type="dxa"/>
            <w:shd w:val="solid" w:color="FFFFFF" w:fill="auto"/>
          </w:tcPr>
          <w:p w14:paraId="14F7D56D" w14:textId="77777777" w:rsidR="00A10B25" w:rsidRDefault="00A10B25">
            <w:pPr>
              <w:pStyle w:val="TAL"/>
              <w:rPr>
                <w:sz w:val="16"/>
                <w:szCs w:val="16"/>
              </w:rPr>
            </w:pPr>
            <w:r>
              <w:rPr>
                <w:sz w:val="16"/>
                <w:szCs w:val="16"/>
              </w:rPr>
              <w:t>Removing UDM from the list of service consumers for Analytics Subscription</w:t>
            </w:r>
          </w:p>
        </w:tc>
        <w:tc>
          <w:tcPr>
            <w:tcW w:w="706" w:type="dxa"/>
            <w:shd w:val="solid" w:color="FFFFFF" w:fill="auto"/>
          </w:tcPr>
          <w:p w14:paraId="02C36E6C" w14:textId="77777777" w:rsidR="00A10B25" w:rsidRDefault="00A10B25">
            <w:pPr>
              <w:pStyle w:val="TAC"/>
              <w:rPr>
                <w:sz w:val="16"/>
                <w:szCs w:val="16"/>
              </w:rPr>
            </w:pPr>
            <w:r>
              <w:rPr>
                <w:sz w:val="16"/>
                <w:szCs w:val="16"/>
              </w:rPr>
              <w:t>17.7.0</w:t>
            </w:r>
          </w:p>
        </w:tc>
      </w:tr>
      <w:tr w:rsidR="00A10B25" w14:paraId="78C8FFC8" w14:textId="77777777">
        <w:tc>
          <w:tcPr>
            <w:tcW w:w="796" w:type="dxa"/>
            <w:shd w:val="solid" w:color="FFFFFF" w:fill="auto"/>
          </w:tcPr>
          <w:p w14:paraId="45B3DA7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FD068BD"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94ED0E9" w14:textId="77777777" w:rsidR="00A10B25" w:rsidRDefault="00A10B25">
            <w:pPr>
              <w:pStyle w:val="TAC"/>
              <w:rPr>
                <w:sz w:val="16"/>
                <w:szCs w:val="16"/>
              </w:rPr>
            </w:pPr>
            <w:r>
              <w:rPr>
                <w:sz w:val="16"/>
                <w:szCs w:val="16"/>
              </w:rPr>
              <w:t>CP-221128</w:t>
            </w:r>
          </w:p>
        </w:tc>
        <w:tc>
          <w:tcPr>
            <w:tcW w:w="523" w:type="dxa"/>
            <w:shd w:val="solid" w:color="FFFFFF" w:fill="auto"/>
          </w:tcPr>
          <w:p w14:paraId="7FB14199" w14:textId="77777777" w:rsidR="00A10B25" w:rsidRDefault="00A10B25">
            <w:pPr>
              <w:pStyle w:val="TAL"/>
              <w:rPr>
                <w:sz w:val="16"/>
                <w:szCs w:val="16"/>
              </w:rPr>
            </w:pPr>
            <w:r>
              <w:rPr>
                <w:sz w:val="16"/>
                <w:szCs w:val="16"/>
              </w:rPr>
              <w:t>0478</w:t>
            </w:r>
          </w:p>
        </w:tc>
        <w:tc>
          <w:tcPr>
            <w:tcW w:w="423" w:type="dxa"/>
            <w:shd w:val="solid" w:color="FFFFFF" w:fill="auto"/>
          </w:tcPr>
          <w:p w14:paraId="4E2E8B4F" w14:textId="77777777" w:rsidR="00A10B25" w:rsidRDefault="00A10B25">
            <w:pPr>
              <w:pStyle w:val="TAR"/>
              <w:rPr>
                <w:sz w:val="16"/>
                <w:szCs w:val="16"/>
              </w:rPr>
            </w:pPr>
          </w:p>
        </w:tc>
        <w:tc>
          <w:tcPr>
            <w:tcW w:w="423" w:type="dxa"/>
            <w:shd w:val="solid" w:color="FFFFFF" w:fill="auto"/>
          </w:tcPr>
          <w:p w14:paraId="6AA331EF" w14:textId="77777777" w:rsidR="00A10B25" w:rsidRDefault="00A10B25">
            <w:pPr>
              <w:pStyle w:val="TAC"/>
              <w:rPr>
                <w:sz w:val="16"/>
                <w:szCs w:val="16"/>
              </w:rPr>
            </w:pPr>
            <w:r>
              <w:rPr>
                <w:sz w:val="16"/>
                <w:szCs w:val="16"/>
                <w:lang w:val="en-US" w:eastAsia="zh-CN"/>
              </w:rPr>
              <w:t>A</w:t>
            </w:r>
          </w:p>
        </w:tc>
        <w:tc>
          <w:tcPr>
            <w:tcW w:w="4899" w:type="dxa"/>
            <w:shd w:val="solid" w:color="FFFFFF" w:fill="auto"/>
          </w:tcPr>
          <w:p w14:paraId="11BF8EAB" w14:textId="77777777" w:rsidR="00A10B25" w:rsidRDefault="00A10B25">
            <w:pPr>
              <w:pStyle w:val="TAL"/>
              <w:rPr>
                <w:sz w:val="16"/>
                <w:szCs w:val="16"/>
              </w:rPr>
            </w:pPr>
            <w:r>
              <w:rPr>
                <w:sz w:val="16"/>
                <w:szCs w:val="16"/>
              </w:rPr>
              <w:t>Removing UDM from the list of service consumers for Analytics Information</w:t>
            </w:r>
          </w:p>
        </w:tc>
        <w:tc>
          <w:tcPr>
            <w:tcW w:w="706" w:type="dxa"/>
            <w:shd w:val="solid" w:color="FFFFFF" w:fill="auto"/>
          </w:tcPr>
          <w:p w14:paraId="7CD0FEB9" w14:textId="77777777" w:rsidR="00A10B25" w:rsidRDefault="00A10B25">
            <w:pPr>
              <w:pStyle w:val="TAC"/>
              <w:rPr>
                <w:sz w:val="16"/>
                <w:szCs w:val="16"/>
              </w:rPr>
            </w:pPr>
            <w:r>
              <w:rPr>
                <w:sz w:val="16"/>
                <w:szCs w:val="16"/>
              </w:rPr>
              <w:t>17.7.0</w:t>
            </w:r>
          </w:p>
        </w:tc>
      </w:tr>
      <w:tr w:rsidR="00A10B25" w14:paraId="55CD7823" w14:textId="77777777">
        <w:tc>
          <w:tcPr>
            <w:tcW w:w="796" w:type="dxa"/>
            <w:shd w:val="solid" w:color="FFFFFF" w:fill="auto"/>
          </w:tcPr>
          <w:p w14:paraId="5209902B"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3ECACD8"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9AFB189" w14:textId="77777777" w:rsidR="00A10B25" w:rsidRDefault="00A10B25">
            <w:pPr>
              <w:pStyle w:val="TAC"/>
              <w:rPr>
                <w:sz w:val="16"/>
                <w:szCs w:val="16"/>
              </w:rPr>
            </w:pPr>
            <w:r>
              <w:rPr>
                <w:sz w:val="16"/>
                <w:szCs w:val="16"/>
              </w:rPr>
              <w:t>CP-221133</w:t>
            </w:r>
          </w:p>
        </w:tc>
        <w:tc>
          <w:tcPr>
            <w:tcW w:w="523" w:type="dxa"/>
            <w:shd w:val="solid" w:color="FFFFFF" w:fill="auto"/>
          </w:tcPr>
          <w:p w14:paraId="243AB128" w14:textId="77777777" w:rsidR="00A10B25" w:rsidRDefault="00A10B25">
            <w:pPr>
              <w:pStyle w:val="TAL"/>
              <w:rPr>
                <w:sz w:val="16"/>
                <w:szCs w:val="16"/>
              </w:rPr>
            </w:pPr>
            <w:r>
              <w:rPr>
                <w:sz w:val="16"/>
                <w:szCs w:val="16"/>
              </w:rPr>
              <w:t>0479</w:t>
            </w:r>
          </w:p>
        </w:tc>
        <w:tc>
          <w:tcPr>
            <w:tcW w:w="423" w:type="dxa"/>
            <w:shd w:val="solid" w:color="FFFFFF" w:fill="auto"/>
          </w:tcPr>
          <w:p w14:paraId="7AAB23F2" w14:textId="77777777" w:rsidR="00A10B25" w:rsidRDefault="00A10B25">
            <w:pPr>
              <w:pStyle w:val="TAR"/>
              <w:rPr>
                <w:sz w:val="16"/>
                <w:szCs w:val="16"/>
              </w:rPr>
            </w:pPr>
          </w:p>
        </w:tc>
        <w:tc>
          <w:tcPr>
            <w:tcW w:w="423" w:type="dxa"/>
            <w:shd w:val="solid" w:color="FFFFFF" w:fill="auto"/>
          </w:tcPr>
          <w:p w14:paraId="128EE1A5"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0E732B9F" w14:textId="77777777" w:rsidR="00A10B25" w:rsidRDefault="00A10B25">
            <w:pPr>
              <w:pStyle w:val="TAL"/>
              <w:rPr>
                <w:sz w:val="16"/>
                <w:szCs w:val="16"/>
              </w:rPr>
            </w:pPr>
            <w:r>
              <w:rPr>
                <w:sz w:val="16"/>
                <w:szCs w:val="16"/>
              </w:rPr>
              <w:t>Feature handling corrections in EventsSubscription</w:t>
            </w:r>
          </w:p>
        </w:tc>
        <w:tc>
          <w:tcPr>
            <w:tcW w:w="706" w:type="dxa"/>
            <w:shd w:val="solid" w:color="FFFFFF" w:fill="auto"/>
          </w:tcPr>
          <w:p w14:paraId="735D1A79" w14:textId="77777777" w:rsidR="00A10B25" w:rsidRDefault="00A10B25">
            <w:pPr>
              <w:pStyle w:val="TAC"/>
              <w:rPr>
                <w:sz w:val="16"/>
                <w:szCs w:val="16"/>
              </w:rPr>
            </w:pPr>
            <w:r>
              <w:rPr>
                <w:sz w:val="16"/>
                <w:szCs w:val="16"/>
              </w:rPr>
              <w:t>17.7.0</w:t>
            </w:r>
          </w:p>
        </w:tc>
      </w:tr>
      <w:tr w:rsidR="00A10B25" w14:paraId="763B30B0" w14:textId="77777777">
        <w:tc>
          <w:tcPr>
            <w:tcW w:w="796" w:type="dxa"/>
            <w:shd w:val="solid" w:color="FFFFFF" w:fill="auto"/>
          </w:tcPr>
          <w:p w14:paraId="4686AB02"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75B52D4"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5856675" w14:textId="77777777" w:rsidR="00A10B25" w:rsidRDefault="00A10B25">
            <w:pPr>
              <w:pStyle w:val="TAC"/>
              <w:rPr>
                <w:sz w:val="16"/>
                <w:szCs w:val="16"/>
              </w:rPr>
            </w:pPr>
            <w:r>
              <w:rPr>
                <w:sz w:val="16"/>
                <w:szCs w:val="16"/>
              </w:rPr>
              <w:t>CP-221136</w:t>
            </w:r>
          </w:p>
        </w:tc>
        <w:tc>
          <w:tcPr>
            <w:tcW w:w="523" w:type="dxa"/>
            <w:shd w:val="solid" w:color="FFFFFF" w:fill="auto"/>
          </w:tcPr>
          <w:p w14:paraId="29B86F5F" w14:textId="77777777" w:rsidR="00A10B25" w:rsidRDefault="00A10B25">
            <w:pPr>
              <w:pStyle w:val="TAL"/>
              <w:rPr>
                <w:sz w:val="16"/>
                <w:szCs w:val="16"/>
              </w:rPr>
            </w:pPr>
            <w:r>
              <w:rPr>
                <w:sz w:val="16"/>
                <w:szCs w:val="16"/>
              </w:rPr>
              <w:t>0480</w:t>
            </w:r>
          </w:p>
        </w:tc>
        <w:tc>
          <w:tcPr>
            <w:tcW w:w="423" w:type="dxa"/>
            <w:shd w:val="solid" w:color="FFFFFF" w:fill="auto"/>
          </w:tcPr>
          <w:p w14:paraId="2395535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2AA5964"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4C341AAF" w14:textId="77777777" w:rsidR="00A10B25" w:rsidRDefault="00A10B25">
            <w:pPr>
              <w:pStyle w:val="TAL"/>
              <w:rPr>
                <w:sz w:val="16"/>
                <w:szCs w:val="16"/>
              </w:rPr>
            </w:pPr>
            <w:r>
              <w:rPr>
                <w:sz w:val="16"/>
                <w:szCs w:val="16"/>
              </w:rPr>
              <w:t>Feature for Analytics Subsets in EventsSubscription</w:t>
            </w:r>
          </w:p>
        </w:tc>
        <w:tc>
          <w:tcPr>
            <w:tcW w:w="706" w:type="dxa"/>
            <w:shd w:val="solid" w:color="FFFFFF" w:fill="auto"/>
          </w:tcPr>
          <w:p w14:paraId="05F07EC0" w14:textId="77777777" w:rsidR="00A10B25" w:rsidRDefault="00A10B25">
            <w:pPr>
              <w:pStyle w:val="TAC"/>
              <w:rPr>
                <w:sz w:val="16"/>
                <w:szCs w:val="16"/>
              </w:rPr>
            </w:pPr>
            <w:r>
              <w:rPr>
                <w:sz w:val="16"/>
                <w:szCs w:val="16"/>
              </w:rPr>
              <w:t>17.7.0</w:t>
            </w:r>
          </w:p>
        </w:tc>
      </w:tr>
      <w:tr w:rsidR="00A10B25" w14:paraId="7703AFC3" w14:textId="77777777">
        <w:tc>
          <w:tcPr>
            <w:tcW w:w="796" w:type="dxa"/>
            <w:shd w:val="solid" w:color="FFFFFF" w:fill="auto"/>
          </w:tcPr>
          <w:p w14:paraId="57C7BED5"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4F0C4A0"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3B40065" w14:textId="77777777" w:rsidR="00A10B25" w:rsidRDefault="00A10B25">
            <w:pPr>
              <w:pStyle w:val="TAC"/>
              <w:rPr>
                <w:sz w:val="16"/>
                <w:szCs w:val="16"/>
              </w:rPr>
            </w:pPr>
            <w:r>
              <w:rPr>
                <w:sz w:val="16"/>
                <w:szCs w:val="16"/>
              </w:rPr>
              <w:t>CP-221136</w:t>
            </w:r>
          </w:p>
        </w:tc>
        <w:tc>
          <w:tcPr>
            <w:tcW w:w="523" w:type="dxa"/>
            <w:shd w:val="solid" w:color="FFFFFF" w:fill="auto"/>
          </w:tcPr>
          <w:p w14:paraId="6B800D76" w14:textId="77777777" w:rsidR="00A10B25" w:rsidRDefault="00A10B25">
            <w:pPr>
              <w:pStyle w:val="TAL"/>
              <w:rPr>
                <w:sz w:val="16"/>
                <w:szCs w:val="16"/>
              </w:rPr>
            </w:pPr>
            <w:r>
              <w:rPr>
                <w:sz w:val="16"/>
                <w:szCs w:val="16"/>
              </w:rPr>
              <w:t>0481</w:t>
            </w:r>
          </w:p>
        </w:tc>
        <w:tc>
          <w:tcPr>
            <w:tcW w:w="423" w:type="dxa"/>
            <w:shd w:val="solid" w:color="FFFFFF" w:fill="auto"/>
          </w:tcPr>
          <w:p w14:paraId="2A9161DA"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663B6F2"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5A6E3815" w14:textId="77777777" w:rsidR="00A10B25" w:rsidRDefault="00A10B25">
            <w:pPr>
              <w:pStyle w:val="TAL"/>
              <w:rPr>
                <w:sz w:val="16"/>
                <w:szCs w:val="16"/>
              </w:rPr>
            </w:pPr>
            <w:r>
              <w:rPr>
                <w:sz w:val="16"/>
                <w:szCs w:val="16"/>
              </w:rPr>
              <w:t>Feature for ContextTransfer in EventsSubscription</w:t>
            </w:r>
          </w:p>
        </w:tc>
        <w:tc>
          <w:tcPr>
            <w:tcW w:w="706" w:type="dxa"/>
            <w:shd w:val="solid" w:color="FFFFFF" w:fill="auto"/>
          </w:tcPr>
          <w:p w14:paraId="516A531F" w14:textId="77777777" w:rsidR="00A10B25" w:rsidRDefault="00A10B25">
            <w:pPr>
              <w:pStyle w:val="TAC"/>
              <w:rPr>
                <w:sz w:val="16"/>
                <w:szCs w:val="16"/>
              </w:rPr>
            </w:pPr>
            <w:r>
              <w:rPr>
                <w:sz w:val="16"/>
                <w:szCs w:val="16"/>
              </w:rPr>
              <w:t>17.7.0</w:t>
            </w:r>
          </w:p>
        </w:tc>
      </w:tr>
      <w:tr w:rsidR="00A10B25" w14:paraId="63C21B6F" w14:textId="77777777">
        <w:tc>
          <w:tcPr>
            <w:tcW w:w="796" w:type="dxa"/>
            <w:shd w:val="solid" w:color="FFFFFF" w:fill="auto"/>
          </w:tcPr>
          <w:p w14:paraId="637AD46F"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A348541"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4BE91423" w14:textId="77777777" w:rsidR="00A10B25" w:rsidRDefault="00A10B25">
            <w:pPr>
              <w:pStyle w:val="TAC"/>
              <w:rPr>
                <w:sz w:val="16"/>
                <w:szCs w:val="16"/>
              </w:rPr>
            </w:pPr>
            <w:r>
              <w:rPr>
                <w:sz w:val="16"/>
                <w:szCs w:val="16"/>
              </w:rPr>
              <w:t>CP-221136</w:t>
            </w:r>
          </w:p>
        </w:tc>
        <w:tc>
          <w:tcPr>
            <w:tcW w:w="523" w:type="dxa"/>
            <w:shd w:val="solid" w:color="FFFFFF" w:fill="auto"/>
          </w:tcPr>
          <w:p w14:paraId="47B65091" w14:textId="77777777" w:rsidR="00A10B25" w:rsidRDefault="00A10B25">
            <w:pPr>
              <w:pStyle w:val="TAL"/>
              <w:rPr>
                <w:sz w:val="16"/>
                <w:szCs w:val="16"/>
              </w:rPr>
            </w:pPr>
            <w:r>
              <w:rPr>
                <w:sz w:val="16"/>
                <w:szCs w:val="16"/>
              </w:rPr>
              <w:t>0483</w:t>
            </w:r>
          </w:p>
        </w:tc>
        <w:tc>
          <w:tcPr>
            <w:tcW w:w="423" w:type="dxa"/>
            <w:shd w:val="solid" w:color="FFFFFF" w:fill="auto"/>
          </w:tcPr>
          <w:p w14:paraId="383D99F3"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2E47DFDC" w14:textId="77777777" w:rsidR="00A10B25" w:rsidRDefault="00A10B25">
            <w:pPr>
              <w:pStyle w:val="TAC"/>
              <w:rPr>
                <w:sz w:val="16"/>
                <w:szCs w:val="16"/>
              </w:rPr>
            </w:pPr>
            <w:r>
              <w:rPr>
                <w:sz w:val="16"/>
                <w:szCs w:val="16"/>
                <w:lang w:val="en-US" w:eastAsia="zh-CN"/>
              </w:rPr>
              <w:t>B</w:t>
            </w:r>
          </w:p>
        </w:tc>
        <w:tc>
          <w:tcPr>
            <w:tcW w:w="4899" w:type="dxa"/>
            <w:shd w:val="solid" w:color="FFFFFF" w:fill="auto"/>
          </w:tcPr>
          <w:p w14:paraId="1663D9EF" w14:textId="77777777" w:rsidR="00A10B25" w:rsidRDefault="00A10B25">
            <w:pPr>
              <w:pStyle w:val="TAL"/>
              <w:rPr>
                <w:sz w:val="16"/>
                <w:szCs w:val="16"/>
              </w:rPr>
            </w:pPr>
            <w:r>
              <w:rPr>
                <w:sz w:val="16"/>
                <w:szCs w:val="16"/>
              </w:rPr>
              <w:t>Separate feature for Slice Load Level analytics extensions in EventsSubscription</w:t>
            </w:r>
          </w:p>
        </w:tc>
        <w:tc>
          <w:tcPr>
            <w:tcW w:w="706" w:type="dxa"/>
            <w:shd w:val="solid" w:color="FFFFFF" w:fill="auto"/>
          </w:tcPr>
          <w:p w14:paraId="0FAC6597" w14:textId="77777777" w:rsidR="00A10B25" w:rsidRDefault="00A10B25">
            <w:pPr>
              <w:pStyle w:val="TAC"/>
              <w:rPr>
                <w:sz w:val="16"/>
                <w:szCs w:val="16"/>
              </w:rPr>
            </w:pPr>
            <w:r>
              <w:rPr>
                <w:sz w:val="16"/>
                <w:szCs w:val="16"/>
              </w:rPr>
              <w:t>17.7.0</w:t>
            </w:r>
          </w:p>
        </w:tc>
      </w:tr>
      <w:tr w:rsidR="00A10B25" w14:paraId="10B5076E" w14:textId="77777777">
        <w:tc>
          <w:tcPr>
            <w:tcW w:w="796" w:type="dxa"/>
            <w:shd w:val="solid" w:color="FFFFFF" w:fill="auto"/>
          </w:tcPr>
          <w:p w14:paraId="28A3596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DA9835C"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0B212A14" w14:textId="77777777" w:rsidR="00A10B25" w:rsidRDefault="00A10B25">
            <w:pPr>
              <w:pStyle w:val="TAC"/>
              <w:rPr>
                <w:sz w:val="16"/>
                <w:szCs w:val="16"/>
              </w:rPr>
            </w:pPr>
            <w:r>
              <w:rPr>
                <w:sz w:val="16"/>
                <w:szCs w:val="16"/>
              </w:rPr>
              <w:t>CP-221133</w:t>
            </w:r>
          </w:p>
        </w:tc>
        <w:tc>
          <w:tcPr>
            <w:tcW w:w="523" w:type="dxa"/>
            <w:shd w:val="solid" w:color="FFFFFF" w:fill="auto"/>
          </w:tcPr>
          <w:p w14:paraId="125809F3" w14:textId="77777777" w:rsidR="00A10B25" w:rsidRDefault="00A10B25">
            <w:pPr>
              <w:pStyle w:val="TAL"/>
              <w:rPr>
                <w:sz w:val="16"/>
                <w:szCs w:val="16"/>
              </w:rPr>
            </w:pPr>
            <w:r>
              <w:rPr>
                <w:sz w:val="16"/>
                <w:szCs w:val="16"/>
              </w:rPr>
              <w:t>0484</w:t>
            </w:r>
          </w:p>
        </w:tc>
        <w:tc>
          <w:tcPr>
            <w:tcW w:w="423" w:type="dxa"/>
            <w:shd w:val="solid" w:color="FFFFFF" w:fill="auto"/>
          </w:tcPr>
          <w:p w14:paraId="56826A18" w14:textId="77777777" w:rsidR="00A10B25" w:rsidRDefault="00A10B25">
            <w:pPr>
              <w:pStyle w:val="TAR"/>
              <w:rPr>
                <w:sz w:val="16"/>
                <w:szCs w:val="16"/>
              </w:rPr>
            </w:pPr>
          </w:p>
        </w:tc>
        <w:tc>
          <w:tcPr>
            <w:tcW w:w="423" w:type="dxa"/>
            <w:shd w:val="solid" w:color="FFFFFF" w:fill="auto"/>
          </w:tcPr>
          <w:p w14:paraId="642D0B1C"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F101CB2" w14:textId="77777777" w:rsidR="00A10B25" w:rsidRDefault="00A10B25">
            <w:pPr>
              <w:pStyle w:val="TAL"/>
              <w:rPr>
                <w:sz w:val="16"/>
                <w:szCs w:val="16"/>
              </w:rPr>
            </w:pPr>
            <w:r>
              <w:rPr>
                <w:sz w:val="16"/>
                <w:szCs w:val="16"/>
              </w:rPr>
              <w:t>Removing EneNA dependency from the Aggregation feature in AnalyticsInfo</w:t>
            </w:r>
          </w:p>
        </w:tc>
        <w:tc>
          <w:tcPr>
            <w:tcW w:w="706" w:type="dxa"/>
            <w:shd w:val="solid" w:color="FFFFFF" w:fill="auto"/>
          </w:tcPr>
          <w:p w14:paraId="1829A53E" w14:textId="77777777" w:rsidR="00A10B25" w:rsidRDefault="00A10B25">
            <w:pPr>
              <w:pStyle w:val="TAC"/>
              <w:rPr>
                <w:sz w:val="16"/>
                <w:szCs w:val="16"/>
              </w:rPr>
            </w:pPr>
            <w:r>
              <w:rPr>
                <w:sz w:val="16"/>
                <w:szCs w:val="16"/>
              </w:rPr>
              <w:t>17.7.0</w:t>
            </w:r>
          </w:p>
        </w:tc>
      </w:tr>
      <w:tr w:rsidR="00A10B25" w14:paraId="73456AA8" w14:textId="77777777">
        <w:tc>
          <w:tcPr>
            <w:tcW w:w="796" w:type="dxa"/>
            <w:shd w:val="solid" w:color="FFFFFF" w:fill="auto"/>
          </w:tcPr>
          <w:p w14:paraId="0BEABA84"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7020C3B"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349C08B4" w14:textId="77777777" w:rsidR="00A10B25" w:rsidRDefault="00A10B25">
            <w:pPr>
              <w:pStyle w:val="TAC"/>
              <w:rPr>
                <w:sz w:val="16"/>
                <w:szCs w:val="16"/>
              </w:rPr>
            </w:pPr>
            <w:r>
              <w:rPr>
                <w:sz w:val="16"/>
                <w:szCs w:val="16"/>
              </w:rPr>
              <w:t>CP-221136</w:t>
            </w:r>
          </w:p>
        </w:tc>
        <w:tc>
          <w:tcPr>
            <w:tcW w:w="523" w:type="dxa"/>
            <w:shd w:val="solid" w:color="FFFFFF" w:fill="auto"/>
          </w:tcPr>
          <w:p w14:paraId="6106AFFD" w14:textId="77777777" w:rsidR="00A10B25" w:rsidRDefault="00A10B25">
            <w:pPr>
              <w:pStyle w:val="TAL"/>
              <w:rPr>
                <w:sz w:val="16"/>
                <w:szCs w:val="16"/>
              </w:rPr>
            </w:pPr>
            <w:r>
              <w:rPr>
                <w:sz w:val="16"/>
                <w:szCs w:val="16"/>
              </w:rPr>
              <w:t>0485</w:t>
            </w:r>
          </w:p>
        </w:tc>
        <w:tc>
          <w:tcPr>
            <w:tcW w:w="423" w:type="dxa"/>
            <w:shd w:val="solid" w:color="FFFFFF" w:fill="auto"/>
          </w:tcPr>
          <w:p w14:paraId="589A6B81"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371B1199"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247EFD57" w14:textId="77777777" w:rsidR="00A10B25" w:rsidRDefault="00A10B25">
            <w:pPr>
              <w:pStyle w:val="TAL"/>
              <w:rPr>
                <w:sz w:val="16"/>
                <w:szCs w:val="16"/>
              </w:rPr>
            </w:pPr>
            <w:r>
              <w:rPr>
                <w:sz w:val="16"/>
                <w:szCs w:val="16"/>
              </w:rPr>
              <w:t>Feature for Analytics Subsets in AnalyticsInfo</w:t>
            </w:r>
          </w:p>
        </w:tc>
        <w:tc>
          <w:tcPr>
            <w:tcW w:w="706" w:type="dxa"/>
            <w:shd w:val="solid" w:color="FFFFFF" w:fill="auto"/>
          </w:tcPr>
          <w:p w14:paraId="36C9B584" w14:textId="77777777" w:rsidR="00A10B25" w:rsidRDefault="00A10B25">
            <w:pPr>
              <w:pStyle w:val="TAC"/>
              <w:rPr>
                <w:sz w:val="16"/>
                <w:szCs w:val="16"/>
              </w:rPr>
            </w:pPr>
            <w:r>
              <w:rPr>
                <w:sz w:val="16"/>
                <w:szCs w:val="16"/>
              </w:rPr>
              <w:t>17.7.0</w:t>
            </w:r>
          </w:p>
        </w:tc>
      </w:tr>
      <w:tr w:rsidR="00A10B25" w14:paraId="32EA9458" w14:textId="77777777">
        <w:tc>
          <w:tcPr>
            <w:tcW w:w="796" w:type="dxa"/>
            <w:shd w:val="solid" w:color="FFFFFF" w:fill="auto"/>
          </w:tcPr>
          <w:p w14:paraId="4919A9D7" w14:textId="77777777" w:rsidR="00A10B25" w:rsidRDefault="00A10B25">
            <w:pPr>
              <w:pStyle w:val="TAC"/>
              <w:rPr>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8956BDA" w14:textId="77777777" w:rsidR="00A10B25" w:rsidRDefault="00A10B25">
            <w:pPr>
              <w:pStyle w:val="TAC"/>
              <w:rPr>
                <w:sz w:val="16"/>
                <w:szCs w:val="16"/>
              </w:rPr>
            </w:pPr>
            <w:r>
              <w:rPr>
                <w:sz w:val="16"/>
                <w:szCs w:val="16"/>
                <w:lang w:val="en-US" w:eastAsia="zh-CN"/>
              </w:rPr>
              <w:t>CT#96</w:t>
            </w:r>
          </w:p>
        </w:tc>
        <w:tc>
          <w:tcPr>
            <w:tcW w:w="1083" w:type="dxa"/>
            <w:shd w:val="solid" w:color="FFFFFF" w:fill="auto"/>
          </w:tcPr>
          <w:p w14:paraId="175786BB" w14:textId="77777777" w:rsidR="00A10B25" w:rsidRDefault="00A10B25">
            <w:pPr>
              <w:pStyle w:val="TAC"/>
              <w:rPr>
                <w:sz w:val="16"/>
                <w:szCs w:val="16"/>
              </w:rPr>
            </w:pPr>
            <w:r>
              <w:rPr>
                <w:sz w:val="16"/>
                <w:szCs w:val="16"/>
              </w:rPr>
              <w:t>CP-221136</w:t>
            </w:r>
          </w:p>
        </w:tc>
        <w:tc>
          <w:tcPr>
            <w:tcW w:w="523" w:type="dxa"/>
            <w:shd w:val="solid" w:color="FFFFFF" w:fill="auto"/>
          </w:tcPr>
          <w:p w14:paraId="13D86337" w14:textId="77777777" w:rsidR="00A10B25" w:rsidRDefault="00A10B25">
            <w:pPr>
              <w:pStyle w:val="TAL"/>
              <w:rPr>
                <w:sz w:val="16"/>
                <w:szCs w:val="16"/>
              </w:rPr>
            </w:pPr>
            <w:r>
              <w:rPr>
                <w:sz w:val="16"/>
                <w:szCs w:val="16"/>
              </w:rPr>
              <w:t>0486</w:t>
            </w:r>
          </w:p>
        </w:tc>
        <w:tc>
          <w:tcPr>
            <w:tcW w:w="423" w:type="dxa"/>
            <w:shd w:val="solid" w:color="FFFFFF" w:fill="auto"/>
          </w:tcPr>
          <w:p w14:paraId="6F63000E" w14:textId="77777777" w:rsidR="00A10B25" w:rsidRDefault="00A10B25">
            <w:pPr>
              <w:pStyle w:val="TAR"/>
              <w:rPr>
                <w:sz w:val="16"/>
                <w:szCs w:val="16"/>
              </w:rPr>
            </w:pPr>
            <w:r>
              <w:rPr>
                <w:rFonts w:hint="eastAsia"/>
                <w:sz w:val="16"/>
                <w:szCs w:val="16"/>
                <w:lang w:eastAsia="zh-CN"/>
              </w:rPr>
              <w:t>1</w:t>
            </w:r>
          </w:p>
        </w:tc>
        <w:tc>
          <w:tcPr>
            <w:tcW w:w="423" w:type="dxa"/>
            <w:shd w:val="solid" w:color="FFFFFF" w:fill="auto"/>
          </w:tcPr>
          <w:p w14:paraId="44061970" w14:textId="77777777" w:rsidR="00A10B25" w:rsidRDefault="00A10B25">
            <w:pPr>
              <w:pStyle w:val="TAC"/>
              <w:rPr>
                <w:sz w:val="16"/>
                <w:szCs w:val="16"/>
              </w:rPr>
            </w:pPr>
            <w:r>
              <w:rPr>
                <w:sz w:val="16"/>
                <w:szCs w:val="16"/>
                <w:lang w:val="en-US" w:eastAsia="zh-CN"/>
              </w:rPr>
              <w:t>F</w:t>
            </w:r>
          </w:p>
        </w:tc>
        <w:tc>
          <w:tcPr>
            <w:tcW w:w="4899" w:type="dxa"/>
            <w:shd w:val="solid" w:color="FFFFFF" w:fill="auto"/>
          </w:tcPr>
          <w:p w14:paraId="390ABD5F" w14:textId="77777777" w:rsidR="00A10B25" w:rsidRDefault="00A10B25">
            <w:pPr>
              <w:pStyle w:val="TAL"/>
              <w:rPr>
                <w:sz w:val="16"/>
                <w:szCs w:val="16"/>
              </w:rPr>
            </w:pPr>
            <w:r>
              <w:rPr>
                <w:sz w:val="16"/>
                <w:szCs w:val="16"/>
              </w:rPr>
              <w:t>Correcting the usage of features in AnalyticsInfo</w:t>
            </w:r>
          </w:p>
        </w:tc>
        <w:tc>
          <w:tcPr>
            <w:tcW w:w="706" w:type="dxa"/>
            <w:shd w:val="solid" w:color="FFFFFF" w:fill="auto"/>
          </w:tcPr>
          <w:p w14:paraId="6C0FBDA0" w14:textId="77777777" w:rsidR="00A10B25" w:rsidRDefault="00A10B25">
            <w:pPr>
              <w:pStyle w:val="TAC"/>
              <w:rPr>
                <w:sz w:val="16"/>
                <w:szCs w:val="16"/>
              </w:rPr>
            </w:pPr>
            <w:r>
              <w:rPr>
                <w:sz w:val="16"/>
                <w:szCs w:val="16"/>
              </w:rPr>
              <w:t>17.7.0</w:t>
            </w:r>
          </w:p>
        </w:tc>
      </w:tr>
      <w:tr w:rsidR="00A10B25" w14:paraId="1E149BDE" w14:textId="77777777">
        <w:tc>
          <w:tcPr>
            <w:tcW w:w="796" w:type="dxa"/>
            <w:shd w:val="solid" w:color="FFFFFF" w:fill="auto"/>
          </w:tcPr>
          <w:p w14:paraId="6C49B92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34FF390"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0D3FCDBB" w14:textId="77777777" w:rsidR="00A10B25" w:rsidRDefault="00A10B25">
            <w:pPr>
              <w:pStyle w:val="TAC"/>
              <w:rPr>
                <w:rFonts w:cs="Arial"/>
                <w:sz w:val="16"/>
                <w:szCs w:val="16"/>
              </w:rPr>
            </w:pPr>
            <w:r>
              <w:rPr>
                <w:sz w:val="16"/>
                <w:szCs w:val="16"/>
              </w:rPr>
              <w:t>CP-221136</w:t>
            </w:r>
          </w:p>
        </w:tc>
        <w:tc>
          <w:tcPr>
            <w:tcW w:w="523" w:type="dxa"/>
            <w:shd w:val="solid" w:color="FFFFFF" w:fill="auto"/>
          </w:tcPr>
          <w:p w14:paraId="63C4406B" w14:textId="77777777" w:rsidR="00A10B25" w:rsidRDefault="00A10B25">
            <w:pPr>
              <w:pStyle w:val="TAL"/>
              <w:rPr>
                <w:rFonts w:cs="Arial"/>
                <w:sz w:val="16"/>
                <w:szCs w:val="16"/>
              </w:rPr>
            </w:pPr>
            <w:r>
              <w:rPr>
                <w:sz w:val="16"/>
                <w:szCs w:val="16"/>
              </w:rPr>
              <w:t>0487</w:t>
            </w:r>
          </w:p>
        </w:tc>
        <w:tc>
          <w:tcPr>
            <w:tcW w:w="423" w:type="dxa"/>
            <w:shd w:val="solid" w:color="FFFFFF" w:fill="auto"/>
          </w:tcPr>
          <w:p w14:paraId="7AE83FA1"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3ADDFFDF"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71ADD591" w14:textId="77777777" w:rsidR="00A10B25" w:rsidRDefault="00A10B25">
            <w:pPr>
              <w:pStyle w:val="TAL"/>
              <w:rPr>
                <w:rFonts w:cs="Arial"/>
                <w:sz w:val="16"/>
                <w:szCs w:val="16"/>
              </w:rPr>
            </w:pPr>
            <w:r>
              <w:rPr>
                <w:sz w:val="16"/>
                <w:szCs w:val="16"/>
              </w:rPr>
              <w:t>Correcting the definition and usage of features in MLModelProvision</w:t>
            </w:r>
          </w:p>
        </w:tc>
        <w:tc>
          <w:tcPr>
            <w:tcW w:w="706" w:type="dxa"/>
            <w:shd w:val="solid" w:color="FFFFFF" w:fill="auto"/>
          </w:tcPr>
          <w:p w14:paraId="34E7076C" w14:textId="77777777" w:rsidR="00A10B25" w:rsidRDefault="00A10B25">
            <w:pPr>
              <w:pStyle w:val="TAC"/>
              <w:rPr>
                <w:rFonts w:cs="Arial"/>
                <w:sz w:val="16"/>
                <w:szCs w:val="16"/>
              </w:rPr>
            </w:pPr>
            <w:r>
              <w:rPr>
                <w:sz w:val="16"/>
                <w:szCs w:val="16"/>
              </w:rPr>
              <w:t>17.7.0</w:t>
            </w:r>
          </w:p>
        </w:tc>
      </w:tr>
      <w:tr w:rsidR="00A10B25" w14:paraId="540A9BCD" w14:textId="77777777">
        <w:tc>
          <w:tcPr>
            <w:tcW w:w="796" w:type="dxa"/>
            <w:shd w:val="solid" w:color="FFFFFF" w:fill="auto"/>
          </w:tcPr>
          <w:p w14:paraId="17AC612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B16DB6C"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6EC8D0F" w14:textId="77777777" w:rsidR="00A10B25" w:rsidRDefault="00A10B25">
            <w:pPr>
              <w:pStyle w:val="TAC"/>
              <w:rPr>
                <w:rFonts w:cs="Arial"/>
                <w:sz w:val="16"/>
                <w:szCs w:val="16"/>
              </w:rPr>
            </w:pPr>
            <w:r>
              <w:rPr>
                <w:sz w:val="16"/>
                <w:szCs w:val="16"/>
              </w:rPr>
              <w:t>CP-221136</w:t>
            </w:r>
          </w:p>
        </w:tc>
        <w:tc>
          <w:tcPr>
            <w:tcW w:w="523" w:type="dxa"/>
            <w:shd w:val="solid" w:color="FFFFFF" w:fill="auto"/>
          </w:tcPr>
          <w:p w14:paraId="7BEC5595" w14:textId="77777777" w:rsidR="00A10B25" w:rsidRDefault="00A10B25">
            <w:pPr>
              <w:pStyle w:val="TAL"/>
              <w:rPr>
                <w:rFonts w:cs="Arial"/>
                <w:sz w:val="16"/>
                <w:szCs w:val="16"/>
              </w:rPr>
            </w:pPr>
            <w:r>
              <w:rPr>
                <w:sz w:val="16"/>
                <w:szCs w:val="16"/>
              </w:rPr>
              <w:t>0488</w:t>
            </w:r>
          </w:p>
        </w:tc>
        <w:tc>
          <w:tcPr>
            <w:tcW w:w="423" w:type="dxa"/>
            <w:shd w:val="solid" w:color="FFFFFF" w:fill="auto"/>
          </w:tcPr>
          <w:p w14:paraId="349C2CDE"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6671FE50"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3E362FB5" w14:textId="77777777" w:rsidR="00A10B25" w:rsidRDefault="00A10B25">
            <w:pPr>
              <w:pStyle w:val="TAL"/>
              <w:rPr>
                <w:rFonts w:cs="Arial"/>
                <w:sz w:val="16"/>
                <w:szCs w:val="16"/>
              </w:rPr>
            </w:pPr>
            <w:r>
              <w:rPr>
                <w:sz w:val="16"/>
                <w:szCs w:val="16"/>
              </w:rPr>
              <w:t>Corrections for the ML model related information in Transfer and ContextTransfer</w:t>
            </w:r>
          </w:p>
        </w:tc>
        <w:tc>
          <w:tcPr>
            <w:tcW w:w="706" w:type="dxa"/>
            <w:shd w:val="solid" w:color="FFFFFF" w:fill="auto"/>
          </w:tcPr>
          <w:p w14:paraId="3FD11B21" w14:textId="77777777" w:rsidR="00A10B25" w:rsidRDefault="00A10B25">
            <w:pPr>
              <w:pStyle w:val="TAC"/>
              <w:rPr>
                <w:rFonts w:cs="Arial"/>
                <w:sz w:val="16"/>
                <w:szCs w:val="16"/>
              </w:rPr>
            </w:pPr>
            <w:r>
              <w:rPr>
                <w:sz w:val="16"/>
                <w:szCs w:val="16"/>
              </w:rPr>
              <w:t>17.7.0</w:t>
            </w:r>
          </w:p>
        </w:tc>
      </w:tr>
      <w:tr w:rsidR="00A10B25" w14:paraId="52CB8093" w14:textId="77777777">
        <w:tc>
          <w:tcPr>
            <w:tcW w:w="796" w:type="dxa"/>
            <w:shd w:val="solid" w:color="FFFFFF" w:fill="auto"/>
          </w:tcPr>
          <w:p w14:paraId="3607E70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83601E7"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AF3F460" w14:textId="77777777" w:rsidR="00A10B25" w:rsidRDefault="00A10B25">
            <w:pPr>
              <w:pStyle w:val="TAC"/>
              <w:rPr>
                <w:rFonts w:cs="Arial"/>
                <w:sz w:val="16"/>
                <w:szCs w:val="16"/>
              </w:rPr>
            </w:pPr>
            <w:r>
              <w:rPr>
                <w:sz w:val="16"/>
                <w:szCs w:val="16"/>
              </w:rPr>
              <w:t>CP-221133</w:t>
            </w:r>
          </w:p>
        </w:tc>
        <w:tc>
          <w:tcPr>
            <w:tcW w:w="523" w:type="dxa"/>
            <w:shd w:val="solid" w:color="FFFFFF" w:fill="auto"/>
          </w:tcPr>
          <w:p w14:paraId="7BF2F192" w14:textId="77777777" w:rsidR="00A10B25" w:rsidRDefault="00A10B25">
            <w:pPr>
              <w:pStyle w:val="TAL"/>
              <w:rPr>
                <w:rFonts w:cs="Arial"/>
                <w:sz w:val="16"/>
                <w:szCs w:val="16"/>
              </w:rPr>
            </w:pPr>
            <w:r>
              <w:rPr>
                <w:sz w:val="16"/>
                <w:szCs w:val="16"/>
              </w:rPr>
              <w:t>0491</w:t>
            </w:r>
          </w:p>
        </w:tc>
        <w:tc>
          <w:tcPr>
            <w:tcW w:w="423" w:type="dxa"/>
            <w:shd w:val="solid" w:color="FFFFFF" w:fill="auto"/>
          </w:tcPr>
          <w:p w14:paraId="322A610E" w14:textId="77777777" w:rsidR="00A10B25" w:rsidRDefault="00A10B25">
            <w:pPr>
              <w:pStyle w:val="TAR"/>
              <w:rPr>
                <w:rFonts w:cs="Arial"/>
                <w:sz w:val="16"/>
                <w:szCs w:val="16"/>
              </w:rPr>
            </w:pPr>
          </w:p>
        </w:tc>
        <w:tc>
          <w:tcPr>
            <w:tcW w:w="423" w:type="dxa"/>
            <w:shd w:val="solid" w:color="FFFFFF" w:fill="auto"/>
          </w:tcPr>
          <w:p w14:paraId="1EDA2909"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3264F4AB" w14:textId="77777777" w:rsidR="00A10B25" w:rsidRDefault="00A10B25">
            <w:pPr>
              <w:pStyle w:val="TAL"/>
              <w:rPr>
                <w:rFonts w:cs="Arial"/>
                <w:sz w:val="16"/>
                <w:szCs w:val="16"/>
              </w:rPr>
            </w:pPr>
            <w:r>
              <w:rPr>
                <w:sz w:val="16"/>
                <w:szCs w:val="16"/>
              </w:rPr>
              <w:t>Muting notifications</w:t>
            </w:r>
          </w:p>
        </w:tc>
        <w:tc>
          <w:tcPr>
            <w:tcW w:w="706" w:type="dxa"/>
            <w:shd w:val="solid" w:color="FFFFFF" w:fill="auto"/>
          </w:tcPr>
          <w:p w14:paraId="660B1903" w14:textId="77777777" w:rsidR="00A10B25" w:rsidRDefault="00A10B25">
            <w:pPr>
              <w:pStyle w:val="TAC"/>
              <w:rPr>
                <w:rFonts w:cs="Arial"/>
                <w:sz w:val="16"/>
                <w:szCs w:val="16"/>
              </w:rPr>
            </w:pPr>
            <w:r>
              <w:rPr>
                <w:sz w:val="16"/>
                <w:szCs w:val="16"/>
              </w:rPr>
              <w:t>17.7.0</w:t>
            </w:r>
          </w:p>
        </w:tc>
      </w:tr>
      <w:tr w:rsidR="00A10B25" w14:paraId="4D762454" w14:textId="77777777">
        <w:tc>
          <w:tcPr>
            <w:tcW w:w="796" w:type="dxa"/>
            <w:shd w:val="solid" w:color="FFFFFF" w:fill="auto"/>
          </w:tcPr>
          <w:p w14:paraId="6410643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3E25405"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CBE382D" w14:textId="77777777" w:rsidR="00A10B25" w:rsidRDefault="00A10B25">
            <w:pPr>
              <w:pStyle w:val="TAC"/>
              <w:rPr>
                <w:rFonts w:cs="Arial"/>
                <w:sz w:val="16"/>
                <w:szCs w:val="16"/>
              </w:rPr>
            </w:pPr>
            <w:r>
              <w:rPr>
                <w:sz w:val="16"/>
                <w:szCs w:val="16"/>
              </w:rPr>
              <w:t>CP-221135</w:t>
            </w:r>
          </w:p>
        </w:tc>
        <w:tc>
          <w:tcPr>
            <w:tcW w:w="523" w:type="dxa"/>
            <w:shd w:val="solid" w:color="FFFFFF" w:fill="auto"/>
          </w:tcPr>
          <w:p w14:paraId="287E19EC" w14:textId="77777777" w:rsidR="00A10B25" w:rsidRDefault="00A10B25">
            <w:pPr>
              <w:pStyle w:val="TAL"/>
              <w:rPr>
                <w:rFonts w:cs="Arial"/>
                <w:sz w:val="16"/>
                <w:szCs w:val="16"/>
              </w:rPr>
            </w:pPr>
            <w:r>
              <w:rPr>
                <w:sz w:val="16"/>
                <w:szCs w:val="16"/>
              </w:rPr>
              <w:t>0492</w:t>
            </w:r>
          </w:p>
        </w:tc>
        <w:tc>
          <w:tcPr>
            <w:tcW w:w="423" w:type="dxa"/>
            <w:shd w:val="solid" w:color="FFFFFF" w:fill="auto"/>
          </w:tcPr>
          <w:p w14:paraId="08B54B14"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2E0DF7AA"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8E2ED7A" w14:textId="77777777" w:rsidR="00A10B25" w:rsidRDefault="00A10B25">
            <w:pPr>
              <w:pStyle w:val="TAL"/>
              <w:rPr>
                <w:rFonts w:cs="Arial"/>
                <w:sz w:val="16"/>
                <w:szCs w:val="16"/>
              </w:rPr>
            </w:pPr>
            <w:r>
              <w:rPr>
                <w:sz w:val="16"/>
                <w:szCs w:val="16"/>
              </w:rPr>
              <w:t>Service Operation of Nnwdaf_DataManagement_Notify</w:t>
            </w:r>
          </w:p>
        </w:tc>
        <w:tc>
          <w:tcPr>
            <w:tcW w:w="706" w:type="dxa"/>
            <w:shd w:val="solid" w:color="FFFFFF" w:fill="auto"/>
          </w:tcPr>
          <w:p w14:paraId="64BD4E6A" w14:textId="77777777" w:rsidR="00A10B25" w:rsidRDefault="00A10B25">
            <w:pPr>
              <w:pStyle w:val="TAC"/>
              <w:rPr>
                <w:rFonts w:cs="Arial"/>
                <w:sz w:val="16"/>
                <w:szCs w:val="16"/>
              </w:rPr>
            </w:pPr>
            <w:r>
              <w:rPr>
                <w:sz w:val="16"/>
                <w:szCs w:val="16"/>
              </w:rPr>
              <w:t>17.7.0</w:t>
            </w:r>
          </w:p>
        </w:tc>
      </w:tr>
      <w:tr w:rsidR="00A10B25" w14:paraId="1DEDC29B" w14:textId="77777777">
        <w:tc>
          <w:tcPr>
            <w:tcW w:w="796" w:type="dxa"/>
            <w:shd w:val="solid" w:color="FFFFFF" w:fill="auto"/>
          </w:tcPr>
          <w:p w14:paraId="485C92F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27EEF84"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AB75000" w14:textId="77777777" w:rsidR="00A10B25" w:rsidRDefault="00A10B25">
            <w:pPr>
              <w:pStyle w:val="TAC"/>
              <w:rPr>
                <w:rFonts w:cs="Arial"/>
                <w:sz w:val="16"/>
                <w:szCs w:val="16"/>
              </w:rPr>
            </w:pPr>
            <w:r>
              <w:rPr>
                <w:sz w:val="16"/>
                <w:szCs w:val="16"/>
              </w:rPr>
              <w:t>CP-221136</w:t>
            </w:r>
          </w:p>
        </w:tc>
        <w:tc>
          <w:tcPr>
            <w:tcW w:w="523" w:type="dxa"/>
            <w:shd w:val="solid" w:color="FFFFFF" w:fill="auto"/>
          </w:tcPr>
          <w:p w14:paraId="658500EA" w14:textId="77777777" w:rsidR="00A10B25" w:rsidRDefault="00A10B25">
            <w:pPr>
              <w:pStyle w:val="TAL"/>
              <w:rPr>
                <w:rFonts w:cs="Arial"/>
                <w:sz w:val="16"/>
                <w:szCs w:val="16"/>
              </w:rPr>
            </w:pPr>
            <w:r>
              <w:rPr>
                <w:sz w:val="16"/>
                <w:szCs w:val="16"/>
              </w:rPr>
              <w:t>0493</w:t>
            </w:r>
          </w:p>
        </w:tc>
        <w:tc>
          <w:tcPr>
            <w:tcW w:w="423" w:type="dxa"/>
            <w:shd w:val="solid" w:color="FFFFFF" w:fill="auto"/>
          </w:tcPr>
          <w:p w14:paraId="3A810705"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02F727E2"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5EC1AD24" w14:textId="77777777" w:rsidR="00A10B25" w:rsidRDefault="00A10B25">
            <w:pPr>
              <w:pStyle w:val="TAL"/>
              <w:rPr>
                <w:rFonts w:cs="Arial"/>
                <w:sz w:val="16"/>
                <w:szCs w:val="16"/>
              </w:rPr>
            </w:pPr>
            <w:r>
              <w:rPr>
                <w:sz w:val="16"/>
                <w:szCs w:val="16"/>
              </w:rPr>
              <w:t>Nnwdaf_DataManagement Data Model</w:t>
            </w:r>
          </w:p>
        </w:tc>
        <w:tc>
          <w:tcPr>
            <w:tcW w:w="706" w:type="dxa"/>
            <w:shd w:val="solid" w:color="FFFFFF" w:fill="auto"/>
          </w:tcPr>
          <w:p w14:paraId="471C2615" w14:textId="77777777" w:rsidR="00A10B25" w:rsidRDefault="00A10B25">
            <w:pPr>
              <w:pStyle w:val="TAC"/>
              <w:rPr>
                <w:rFonts w:cs="Arial"/>
                <w:sz w:val="16"/>
                <w:szCs w:val="16"/>
              </w:rPr>
            </w:pPr>
            <w:r>
              <w:rPr>
                <w:sz w:val="16"/>
                <w:szCs w:val="16"/>
              </w:rPr>
              <w:t>17.7.0</w:t>
            </w:r>
          </w:p>
        </w:tc>
      </w:tr>
      <w:tr w:rsidR="00A10B25" w14:paraId="53E6F734" w14:textId="77777777">
        <w:tc>
          <w:tcPr>
            <w:tcW w:w="796" w:type="dxa"/>
            <w:shd w:val="solid" w:color="FFFFFF" w:fill="auto"/>
          </w:tcPr>
          <w:p w14:paraId="454F790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4E27DF3"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5006918B" w14:textId="77777777" w:rsidR="00A10B25" w:rsidRDefault="00A10B25">
            <w:pPr>
              <w:pStyle w:val="TAC"/>
              <w:rPr>
                <w:rFonts w:cs="Arial"/>
                <w:sz w:val="16"/>
                <w:szCs w:val="16"/>
              </w:rPr>
            </w:pPr>
            <w:r>
              <w:rPr>
                <w:sz w:val="16"/>
                <w:szCs w:val="16"/>
              </w:rPr>
              <w:t>CP-221135</w:t>
            </w:r>
          </w:p>
        </w:tc>
        <w:tc>
          <w:tcPr>
            <w:tcW w:w="523" w:type="dxa"/>
            <w:shd w:val="solid" w:color="FFFFFF" w:fill="auto"/>
          </w:tcPr>
          <w:p w14:paraId="270A592A" w14:textId="77777777" w:rsidR="00A10B25" w:rsidRDefault="00A10B25">
            <w:pPr>
              <w:pStyle w:val="TAL"/>
              <w:rPr>
                <w:rFonts w:cs="Arial"/>
                <w:sz w:val="16"/>
                <w:szCs w:val="16"/>
              </w:rPr>
            </w:pPr>
            <w:r>
              <w:rPr>
                <w:sz w:val="16"/>
                <w:szCs w:val="16"/>
              </w:rPr>
              <w:t>0494</w:t>
            </w:r>
          </w:p>
        </w:tc>
        <w:tc>
          <w:tcPr>
            <w:tcW w:w="423" w:type="dxa"/>
            <w:shd w:val="solid" w:color="FFFFFF" w:fill="auto"/>
          </w:tcPr>
          <w:p w14:paraId="530B67AA"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7794C291"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20F91E67" w14:textId="77777777" w:rsidR="00A10B25" w:rsidRDefault="00A10B25">
            <w:pPr>
              <w:pStyle w:val="TAL"/>
              <w:rPr>
                <w:rFonts w:cs="Arial"/>
                <w:sz w:val="16"/>
                <w:szCs w:val="16"/>
              </w:rPr>
            </w:pPr>
            <w:r>
              <w:rPr>
                <w:sz w:val="16"/>
                <w:szCs w:val="16"/>
              </w:rPr>
              <w:t>Service Operation of Nnwdaf_DataManagement_Fetch</w:t>
            </w:r>
          </w:p>
        </w:tc>
        <w:tc>
          <w:tcPr>
            <w:tcW w:w="706" w:type="dxa"/>
            <w:shd w:val="solid" w:color="FFFFFF" w:fill="auto"/>
          </w:tcPr>
          <w:p w14:paraId="10101449" w14:textId="77777777" w:rsidR="00A10B25" w:rsidRDefault="00A10B25">
            <w:pPr>
              <w:pStyle w:val="TAC"/>
              <w:rPr>
                <w:rFonts w:cs="Arial"/>
                <w:sz w:val="16"/>
                <w:szCs w:val="16"/>
              </w:rPr>
            </w:pPr>
            <w:r>
              <w:rPr>
                <w:sz w:val="16"/>
                <w:szCs w:val="16"/>
              </w:rPr>
              <w:t>17.7.0</w:t>
            </w:r>
          </w:p>
        </w:tc>
      </w:tr>
      <w:tr w:rsidR="00A10B25" w14:paraId="6D1D28B2" w14:textId="77777777">
        <w:tc>
          <w:tcPr>
            <w:tcW w:w="796" w:type="dxa"/>
            <w:shd w:val="solid" w:color="FFFFFF" w:fill="auto"/>
          </w:tcPr>
          <w:p w14:paraId="5EA6790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37EEEE5"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279F94BE" w14:textId="77777777" w:rsidR="00A10B25" w:rsidRDefault="00A10B25">
            <w:pPr>
              <w:pStyle w:val="TAC"/>
              <w:rPr>
                <w:rFonts w:cs="Arial"/>
                <w:sz w:val="16"/>
                <w:szCs w:val="16"/>
              </w:rPr>
            </w:pPr>
            <w:r>
              <w:rPr>
                <w:sz w:val="16"/>
                <w:szCs w:val="16"/>
              </w:rPr>
              <w:t>CP-221135</w:t>
            </w:r>
          </w:p>
        </w:tc>
        <w:tc>
          <w:tcPr>
            <w:tcW w:w="523" w:type="dxa"/>
            <w:shd w:val="solid" w:color="FFFFFF" w:fill="auto"/>
          </w:tcPr>
          <w:p w14:paraId="301A16CA" w14:textId="77777777" w:rsidR="00A10B25" w:rsidRDefault="00A10B25">
            <w:pPr>
              <w:pStyle w:val="TAL"/>
              <w:rPr>
                <w:rFonts w:cs="Arial"/>
                <w:sz w:val="16"/>
                <w:szCs w:val="16"/>
              </w:rPr>
            </w:pPr>
            <w:r>
              <w:rPr>
                <w:sz w:val="16"/>
                <w:szCs w:val="16"/>
              </w:rPr>
              <w:t>0495</w:t>
            </w:r>
          </w:p>
        </w:tc>
        <w:tc>
          <w:tcPr>
            <w:tcW w:w="423" w:type="dxa"/>
            <w:shd w:val="solid" w:color="FFFFFF" w:fill="auto"/>
          </w:tcPr>
          <w:p w14:paraId="73E90E15"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4ECE3F81"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596705B6" w14:textId="77777777" w:rsidR="00A10B25" w:rsidRDefault="00A10B25">
            <w:pPr>
              <w:pStyle w:val="TAL"/>
              <w:rPr>
                <w:rFonts w:cs="Arial"/>
                <w:sz w:val="16"/>
                <w:szCs w:val="16"/>
              </w:rPr>
            </w:pPr>
            <w:r>
              <w:rPr>
                <w:sz w:val="16"/>
                <w:szCs w:val="16"/>
              </w:rPr>
              <w:t>Nnwdaf_DataManagement Service Notifications</w:t>
            </w:r>
          </w:p>
        </w:tc>
        <w:tc>
          <w:tcPr>
            <w:tcW w:w="706" w:type="dxa"/>
            <w:shd w:val="solid" w:color="FFFFFF" w:fill="auto"/>
          </w:tcPr>
          <w:p w14:paraId="60530CC1" w14:textId="77777777" w:rsidR="00A10B25" w:rsidRDefault="00A10B25">
            <w:pPr>
              <w:pStyle w:val="TAC"/>
              <w:rPr>
                <w:rFonts w:cs="Arial"/>
                <w:sz w:val="16"/>
                <w:szCs w:val="16"/>
              </w:rPr>
            </w:pPr>
            <w:r>
              <w:rPr>
                <w:sz w:val="16"/>
                <w:szCs w:val="16"/>
              </w:rPr>
              <w:t>17.7.0</w:t>
            </w:r>
          </w:p>
        </w:tc>
      </w:tr>
      <w:tr w:rsidR="00A10B25" w14:paraId="1D42AB9B" w14:textId="77777777">
        <w:tc>
          <w:tcPr>
            <w:tcW w:w="796" w:type="dxa"/>
            <w:shd w:val="solid" w:color="FFFFFF" w:fill="auto"/>
          </w:tcPr>
          <w:p w14:paraId="12AF13A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192939C"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F35B79D" w14:textId="77777777" w:rsidR="00A10B25" w:rsidRDefault="00A10B25">
            <w:pPr>
              <w:pStyle w:val="TAC"/>
              <w:rPr>
                <w:rFonts w:cs="Arial"/>
                <w:sz w:val="16"/>
                <w:szCs w:val="16"/>
              </w:rPr>
            </w:pPr>
            <w:r>
              <w:rPr>
                <w:sz w:val="16"/>
                <w:szCs w:val="16"/>
              </w:rPr>
              <w:t>CP-221135</w:t>
            </w:r>
          </w:p>
        </w:tc>
        <w:tc>
          <w:tcPr>
            <w:tcW w:w="523" w:type="dxa"/>
            <w:shd w:val="solid" w:color="FFFFFF" w:fill="auto"/>
          </w:tcPr>
          <w:p w14:paraId="5AD1EA1C" w14:textId="77777777" w:rsidR="00A10B25" w:rsidRDefault="00A10B25">
            <w:pPr>
              <w:pStyle w:val="TAL"/>
              <w:rPr>
                <w:rFonts w:cs="Arial"/>
                <w:sz w:val="16"/>
                <w:szCs w:val="16"/>
              </w:rPr>
            </w:pPr>
            <w:r>
              <w:rPr>
                <w:sz w:val="16"/>
                <w:szCs w:val="16"/>
              </w:rPr>
              <w:t>0496</w:t>
            </w:r>
          </w:p>
        </w:tc>
        <w:tc>
          <w:tcPr>
            <w:tcW w:w="423" w:type="dxa"/>
            <w:shd w:val="solid" w:color="FFFFFF" w:fill="auto"/>
          </w:tcPr>
          <w:p w14:paraId="420F197A"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585126F9"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3C510D80" w14:textId="77777777" w:rsidR="00A10B25" w:rsidRDefault="00A10B25">
            <w:pPr>
              <w:pStyle w:val="TAL"/>
              <w:rPr>
                <w:rFonts w:cs="Arial"/>
                <w:sz w:val="16"/>
                <w:szCs w:val="16"/>
              </w:rPr>
            </w:pPr>
            <w:r>
              <w:rPr>
                <w:sz w:val="16"/>
                <w:szCs w:val="16"/>
              </w:rPr>
              <w:t>Removal of repetition in HTTP error response</w:t>
            </w:r>
          </w:p>
        </w:tc>
        <w:tc>
          <w:tcPr>
            <w:tcW w:w="706" w:type="dxa"/>
            <w:shd w:val="solid" w:color="FFFFFF" w:fill="auto"/>
          </w:tcPr>
          <w:p w14:paraId="0C7FC8AF" w14:textId="77777777" w:rsidR="00A10B25" w:rsidRDefault="00A10B25">
            <w:pPr>
              <w:pStyle w:val="TAC"/>
              <w:rPr>
                <w:rFonts w:cs="Arial"/>
                <w:sz w:val="16"/>
                <w:szCs w:val="16"/>
              </w:rPr>
            </w:pPr>
            <w:r>
              <w:rPr>
                <w:sz w:val="16"/>
                <w:szCs w:val="16"/>
              </w:rPr>
              <w:t>17.7.0</w:t>
            </w:r>
          </w:p>
        </w:tc>
      </w:tr>
      <w:tr w:rsidR="00A10B25" w14:paraId="432B8F53" w14:textId="77777777">
        <w:tc>
          <w:tcPr>
            <w:tcW w:w="796" w:type="dxa"/>
            <w:shd w:val="solid" w:color="FFFFFF" w:fill="auto"/>
          </w:tcPr>
          <w:p w14:paraId="21BE1E7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5A3AE2C"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35D99E3" w14:textId="77777777" w:rsidR="00A10B25" w:rsidRDefault="00A10B25">
            <w:pPr>
              <w:pStyle w:val="TAC"/>
              <w:rPr>
                <w:rFonts w:cs="Arial"/>
                <w:sz w:val="16"/>
                <w:szCs w:val="16"/>
              </w:rPr>
            </w:pPr>
            <w:r>
              <w:rPr>
                <w:sz w:val="16"/>
                <w:szCs w:val="16"/>
              </w:rPr>
              <w:t>CP-221136</w:t>
            </w:r>
          </w:p>
        </w:tc>
        <w:tc>
          <w:tcPr>
            <w:tcW w:w="523" w:type="dxa"/>
            <w:shd w:val="solid" w:color="FFFFFF" w:fill="auto"/>
          </w:tcPr>
          <w:p w14:paraId="78E57360" w14:textId="77777777" w:rsidR="00A10B25" w:rsidRDefault="00A10B25">
            <w:pPr>
              <w:pStyle w:val="TAL"/>
              <w:rPr>
                <w:rFonts w:cs="Arial"/>
                <w:sz w:val="16"/>
                <w:szCs w:val="16"/>
              </w:rPr>
            </w:pPr>
            <w:r>
              <w:rPr>
                <w:sz w:val="16"/>
                <w:szCs w:val="16"/>
              </w:rPr>
              <w:t>0498</w:t>
            </w:r>
          </w:p>
        </w:tc>
        <w:tc>
          <w:tcPr>
            <w:tcW w:w="423" w:type="dxa"/>
            <w:shd w:val="solid" w:color="FFFFFF" w:fill="auto"/>
          </w:tcPr>
          <w:p w14:paraId="158828E2"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23951515"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29569C33" w14:textId="77777777" w:rsidR="00A10B25" w:rsidRDefault="00A10B25">
            <w:pPr>
              <w:pStyle w:val="TAL"/>
              <w:rPr>
                <w:rFonts w:cs="Arial"/>
                <w:sz w:val="16"/>
                <w:szCs w:val="16"/>
              </w:rPr>
            </w:pPr>
            <w:r>
              <w:rPr>
                <w:sz w:val="16"/>
                <w:szCs w:val="16"/>
              </w:rPr>
              <w:t>Analytics subscription data model sync for events</w:t>
            </w:r>
          </w:p>
        </w:tc>
        <w:tc>
          <w:tcPr>
            <w:tcW w:w="706" w:type="dxa"/>
            <w:shd w:val="solid" w:color="FFFFFF" w:fill="auto"/>
          </w:tcPr>
          <w:p w14:paraId="7AB314A2" w14:textId="77777777" w:rsidR="00A10B25" w:rsidRDefault="00A10B25">
            <w:pPr>
              <w:pStyle w:val="TAC"/>
              <w:rPr>
                <w:rFonts w:cs="Arial"/>
                <w:sz w:val="16"/>
                <w:szCs w:val="16"/>
              </w:rPr>
            </w:pPr>
            <w:r>
              <w:rPr>
                <w:sz w:val="16"/>
                <w:szCs w:val="16"/>
              </w:rPr>
              <w:t>17.7.0</w:t>
            </w:r>
          </w:p>
        </w:tc>
      </w:tr>
      <w:tr w:rsidR="00A10B25" w14:paraId="292871CB" w14:textId="77777777">
        <w:tc>
          <w:tcPr>
            <w:tcW w:w="796" w:type="dxa"/>
            <w:shd w:val="solid" w:color="FFFFFF" w:fill="auto"/>
          </w:tcPr>
          <w:p w14:paraId="7926426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BCDA4A2"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2B31BE95" w14:textId="77777777" w:rsidR="00A10B25" w:rsidRDefault="00A10B25">
            <w:pPr>
              <w:pStyle w:val="TAC"/>
              <w:rPr>
                <w:rFonts w:cs="Arial"/>
                <w:sz w:val="16"/>
                <w:szCs w:val="16"/>
              </w:rPr>
            </w:pPr>
            <w:r>
              <w:rPr>
                <w:sz w:val="16"/>
                <w:szCs w:val="16"/>
              </w:rPr>
              <w:t>CP-221155</w:t>
            </w:r>
          </w:p>
        </w:tc>
        <w:tc>
          <w:tcPr>
            <w:tcW w:w="523" w:type="dxa"/>
            <w:shd w:val="solid" w:color="FFFFFF" w:fill="auto"/>
          </w:tcPr>
          <w:p w14:paraId="2E692AE7" w14:textId="77777777" w:rsidR="00A10B25" w:rsidRDefault="00A10B25">
            <w:pPr>
              <w:pStyle w:val="TAL"/>
              <w:rPr>
                <w:rFonts w:cs="Arial"/>
                <w:sz w:val="16"/>
                <w:szCs w:val="16"/>
              </w:rPr>
            </w:pPr>
            <w:r>
              <w:rPr>
                <w:sz w:val="16"/>
                <w:szCs w:val="16"/>
              </w:rPr>
              <w:t>0499</w:t>
            </w:r>
          </w:p>
        </w:tc>
        <w:tc>
          <w:tcPr>
            <w:tcW w:w="423" w:type="dxa"/>
            <w:shd w:val="solid" w:color="FFFFFF" w:fill="auto"/>
          </w:tcPr>
          <w:p w14:paraId="139FB26B"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708C65D2"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552B16E8" w14:textId="77777777" w:rsidR="00A10B25" w:rsidRDefault="00A10B25">
            <w:pPr>
              <w:pStyle w:val="TAL"/>
              <w:rPr>
                <w:rFonts w:cs="Arial"/>
                <w:sz w:val="16"/>
                <w:szCs w:val="16"/>
              </w:rPr>
            </w:pPr>
            <w:r>
              <w:rPr>
                <w:sz w:val="16"/>
                <w:szCs w:val="16"/>
              </w:rPr>
              <w:t>Nnwdaf_EventsSubscription API: formatting of description fields</w:t>
            </w:r>
          </w:p>
        </w:tc>
        <w:tc>
          <w:tcPr>
            <w:tcW w:w="706" w:type="dxa"/>
            <w:shd w:val="solid" w:color="FFFFFF" w:fill="auto"/>
          </w:tcPr>
          <w:p w14:paraId="711AB897" w14:textId="77777777" w:rsidR="00A10B25" w:rsidRDefault="00A10B25">
            <w:pPr>
              <w:pStyle w:val="TAC"/>
              <w:rPr>
                <w:rFonts w:cs="Arial"/>
                <w:sz w:val="16"/>
                <w:szCs w:val="16"/>
              </w:rPr>
            </w:pPr>
            <w:r>
              <w:rPr>
                <w:sz w:val="16"/>
                <w:szCs w:val="16"/>
              </w:rPr>
              <w:t>17.7.0</w:t>
            </w:r>
          </w:p>
        </w:tc>
      </w:tr>
      <w:tr w:rsidR="00A10B25" w14:paraId="3F18AA7B" w14:textId="77777777">
        <w:tc>
          <w:tcPr>
            <w:tcW w:w="796" w:type="dxa"/>
            <w:shd w:val="solid" w:color="FFFFFF" w:fill="auto"/>
          </w:tcPr>
          <w:p w14:paraId="0FA232D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C844CFF"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5A8AC101" w14:textId="77777777" w:rsidR="00A10B25" w:rsidRDefault="00A10B25">
            <w:pPr>
              <w:pStyle w:val="TAC"/>
              <w:rPr>
                <w:rFonts w:cs="Arial"/>
                <w:sz w:val="16"/>
                <w:szCs w:val="16"/>
              </w:rPr>
            </w:pPr>
            <w:r>
              <w:rPr>
                <w:sz w:val="16"/>
                <w:szCs w:val="16"/>
              </w:rPr>
              <w:t>CP-221154</w:t>
            </w:r>
          </w:p>
        </w:tc>
        <w:tc>
          <w:tcPr>
            <w:tcW w:w="523" w:type="dxa"/>
            <w:shd w:val="solid" w:color="FFFFFF" w:fill="auto"/>
          </w:tcPr>
          <w:p w14:paraId="181B328F" w14:textId="77777777" w:rsidR="00A10B25" w:rsidRDefault="00A10B25">
            <w:pPr>
              <w:pStyle w:val="TAL"/>
              <w:rPr>
                <w:rFonts w:cs="Arial"/>
                <w:sz w:val="16"/>
                <w:szCs w:val="16"/>
              </w:rPr>
            </w:pPr>
            <w:r>
              <w:rPr>
                <w:sz w:val="16"/>
                <w:szCs w:val="16"/>
              </w:rPr>
              <w:t>0500</w:t>
            </w:r>
          </w:p>
        </w:tc>
        <w:tc>
          <w:tcPr>
            <w:tcW w:w="423" w:type="dxa"/>
            <w:shd w:val="solid" w:color="FFFFFF" w:fill="auto"/>
          </w:tcPr>
          <w:p w14:paraId="666F60B4" w14:textId="77777777" w:rsidR="00A10B25" w:rsidRDefault="00A10B25">
            <w:pPr>
              <w:pStyle w:val="TAR"/>
              <w:rPr>
                <w:rFonts w:cs="Arial"/>
                <w:sz w:val="16"/>
                <w:szCs w:val="16"/>
              </w:rPr>
            </w:pPr>
          </w:p>
        </w:tc>
        <w:tc>
          <w:tcPr>
            <w:tcW w:w="423" w:type="dxa"/>
            <w:shd w:val="solid" w:color="FFFFFF" w:fill="auto"/>
          </w:tcPr>
          <w:p w14:paraId="59DDC18A"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2B56B768" w14:textId="77777777" w:rsidR="00A10B25" w:rsidRDefault="00A10B25">
            <w:pPr>
              <w:pStyle w:val="TAL"/>
              <w:rPr>
                <w:rFonts w:cs="Arial"/>
                <w:sz w:val="16"/>
                <w:szCs w:val="16"/>
              </w:rPr>
            </w:pPr>
            <w:r>
              <w:rPr>
                <w:sz w:val="16"/>
                <w:szCs w:val="16"/>
              </w:rPr>
              <w:t>Nnwdaf_AnalyticsInfo: formatting of description fields</w:t>
            </w:r>
          </w:p>
        </w:tc>
        <w:tc>
          <w:tcPr>
            <w:tcW w:w="706" w:type="dxa"/>
            <w:shd w:val="solid" w:color="FFFFFF" w:fill="auto"/>
          </w:tcPr>
          <w:p w14:paraId="38C6D651" w14:textId="77777777" w:rsidR="00A10B25" w:rsidRDefault="00A10B25">
            <w:pPr>
              <w:pStyle w:val="TAC"/>
              <w:rPr>
                <w:rFonts w:cs="Arial"/>
                <w:sz w:val="16"/>
                <w:szCs w:val="16"/>
              </w:rPr>
            </w:pPr>
            <w:r>
              <w:rPr>
                <w:sz w:val="16"/>
                <w:szCs w:val="16"/>
              </w:rPr>
              <w:t>17.7.0</w:t>
            </w:r>
          </w:p>
        </w:tc>
      </w:tr>
      <w:tr w:rsidR="00A10B25" w14:paraId="6EFB3A63" w14:textId="77777777">
        <w:tc>
          <w:tcPr>
            <w:tcW w:w="796" w:type="dxa"/>
            <w:shd w:val="solid" w:color="FFFFFF" w:fill="auto"/>
          </w:tcPr>
          <w:p w14:paraId="30510E5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0A021C2"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0A3BD683" w14:textId="77777777" w:rsidR="00A10B25" w:rsidRDefault="00A10B25">
            <w:pPr>
              <w:pStyle w:val="TAC"/>
              <w:rPr>
                <w:rFonts w:cs="Arial"/>
                <w:sz w:val="16"/>
                <w:szCs w:val="16"/>
              </w:rPr>
            </w:pPr>
            <w:r>
              <w:rPr>
                <w:sz w:val="16"/>
                <w:szCs w:val="16"/>
              </w:rPr>
              <w:t>CP-221135</w:t>
            </w:r>
          </w:p>
        </w:tc>
        <w:tc>
          <w:tcPr>
            <w:tcW w:w="523" w:type="dxa"/>
            <w:shd w:val="solid" w:color="FFFFFF" w:fill="auto"/>
          </w:tcPr>
          <w:p w14:paraId="34A11A8F" w14:textId="77777777" w:rsidR="00A10B25" w:rsidRDefault="00A10B25">
            <w:pPr>
              <w:pStyle w:val="TAL"/>
              <w:rPr>
                <w:rFonts w:cs="Arial"/>
                <w:sz w:val="16"/>
                <w:szCs w:val="16"/>
              </w:rPr>
            </w:pPr>
            <w:r>
              <w:rPr>
                <w:sz w:val="16"/>
                <w:szCs w:val="16"/>
              </w:rPr>
              <w:t>0501</w:t>
            </w:r>
          </w:p>
        </w:tc>
        <w:tc>
          <w:tcPr>
            <w:tcW w:w="423" w:type="dxa"/>
            <w:shd w:val="solid" w:color="FFFFFF" w:fill="auto"/>
          </w:tcPr>
          <w:p w14:paraId="2384B7EB"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35906F4A"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010A3737" w14:textId="77777777" w:rsidR="00A10B25" w:rsidRDefault="00A10B25">
            <w:pPr>
              <w:pStyle w:val="TAL"/>
              <w:rPr>
                <w:rFonts w:cs="Arial"/>
                <w:sz w:val="16"/>
                <w:szCs w:val="16"/>
              </w:rPr>
            </w:pPr>
            <w:r>
              <w:rPr>
                <w:sz w:val="16"/>
                <w:szCs w:val="16"/>
              </w:rPr>
              <w:t>Add Notification Correlation ID to Nnwdaf_EventsSubscription service</w:t>
            </w:r>
          </w:p>
        </w:tc>
        <w:tc>
          <w:tcPr>
            <w:tcW w:w="706" w:type="dxa"/>
            <w:shd w:val="solid" w:color="FFFFFF" w:fill="auto"/>
          </w:tcPr>
          <w:p w14:paraId="7FF4D779" w14:textId="77777777" w:rsidR="00A10B25" w:rsidRDefault="00A10B25">
            <w:pPr>
              <w:pStyle w:val="TAC"/>
              <w:rPr>
                <w:rFonts w:cs="Arial"/>
                <w:sz w:val="16"/>
                <w:szCs w:val="16"/>
              </w:rPr>
            </w:pPr>
            <w:r>
              <w:rPr>
                <w:sz w:val="16"/>
                <w:szCs w:val="16"/>
              </w:rPr>
              <w:t>17.7.0</w:t>
            </w:r>
          </w:p>
        </w:tc>
      </w:tr>
      <w:tr w:rsidR="00A10B25" w14:paraId="07394314" w14:textId="77777777">
        <w:tc>
          <w:tcPr>
            <w:tcW w:w="796" w:type="dxa"/>
            <w:shd w:val="solid" w:color="FFFFFF" w:fill="auto"/>
          </w:tcPr>
          <w:p w14:paraId="36FBCFE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5633544"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9FF70EE" w14:textId="77777777" w:rsidR="00A10B25" w:rsidRDefault="00A10B25">
            <w:pPr>
              <w:pStyle w:val="TAC"/>
              <w:rPr>
                <w:rFonts w:cs="Arial"/>
                <w:sz w:val="16"/>
                <w:szCs w:val="16"/>
              </w:rPr>
            </w:pPr>
            <w:r>
              <w:rPr>
                <w:sz w:val="16"/>
                <w:szCs w:val="16"/>
              </w:rPr>
              <w:t>CP-221135</w:t>
            </w:r>
          </w:p>
        </w:tc>
        <w:tc>
          <w:tcPr>
            <w:tcW w:w="523" w:type="dxa"/>
            <w:shd w:val="solid" w:color="FFFFFF" w:fill="auto"/>
          </w:tcPr>
          <w:p w14:paraId="579C44C8" w14:textId="77777777" w:rsidR="00A10B25" w:rsidRDefault="00A10B25">
            <w:pPr>
              <w:pStyle w:val="TAL"/>
              <w:rPr>
                <w:rFonts w:cs="Arial"/>
                <w:sz w:val="16"/>
                <w:szCs w:val="16"/>
              </w:rPr>
            </w:pPr>
            <w:r>
              <w:rPr>
                <w:sz w:val="16"/>
                <w:szCs w:val="16"/>
              </w:rPr>
              <w:t>0503</w:t>
            </w:r>
          </w:p>
        </w:tc>
        <w:tc>
          <w:tcPr>
            <w:tcW w:w="423" w:type="dxa"/>
            <w:shd w:val="solid" w:color="FFFFFF" w:fill="auto"/>
          </w:tcPr>
          <w:p w14:paraId="2107A345"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3D0F5626"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1068BF9B" w14:textId="77777777" w:rsidR="00A10B25" w:rsidRDefault="00A10B25">
            <w:pPr>
              <w:pStyle w:val="TAL"/>
              <w:rPr>
                <w:rFonts w:cs="Arial"/>
                <w:sz w:val="16"/>
                <w:szCs w:val="16"/>
              </w:rPr>
            </w:pPr>
            <w:r>
              <w:rPr>
                <w:sz w:val="16"/>
                <w:szCs w:val="16"/>
              </w:rPr>
              <w:t>Add the missing required fields in the OpenAPI for SMCCE</w:t>
            </w:r>
          </w:p>
        </w:tc>
        <w:tc>
          <w:tcPr>
            <w:tcW w:w="706" w:type="dxa"/>
            <w:shd w:val="solid" w:color="FFFFFF" w:fill="auto"/>
          </w:tcPr>
          <w:p w14:paraId="1D8B61F2" w14:textId="77777777" w:rsidR="00A10B25" w:rsidRDefault="00A10B25">
            <w:pPr>
              <w:pStyle w:val="TAC"/>
              <w:rPr>
                <w:rFonts w:cs="Arial"/>
                <w:sz w:val="16"/>
                <w:szCs w:val="16"/>
              </w:rPr>
            </w:pPr>
            <w:r>
              <w:rPr>
                <w:sz w:val="16"/>
                <w:szCs w:val="16"/>
              </w:rPr>
              <w:t>17.7.0</w:t>
            </w:r>
          </w:p>
        </w:tc>
      </w:tr>
      <w:tr w:rsidR="00A10B25" w14:paraId="5E062072" w14:textId="77777777">
        <w:tc>
          <w:tcPr>
            <w:tcW w:w="796" w:type="dxa"/>
            <w:shd w:val="solid" w:color="FFFFFF" w:fill="auto"/>
          </w:tcPr>
          <w:p w14:paraId="3ACF18A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5F195F6"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1012C94C" w14:textId="77777777" w:rsidR="00A10B25" w:rsidRDefault="00A10B25">
            <w:pPr>
              <w:pStyle w:val="TAC"/>
              <w:rPr>
                <w:rFonts w:cs="Arial"/>
                <w:sz w:val="16"/>
                <w:szCs w:val="16"/>
              </w:rPr>
            </w:pPr>
            <w:r>
              <w:rPr>
                <w:sz w:val="16"/>
                <w:szCs w:val="16"/>
              </w:rPr>
              <w:t>CP-221133</w:t>
            </w:r>
          </w:p>
        </w:tc>
        <w:tc>
          <w:tcPr>
            <w:tcW w:w="523" w:type="dxa"/>
            <w:shd w:val="solid" w:color="FFFFFF" w:fill="auto"/>
          </w:tcPr>
          <w:p w14:paraId="3BC134AA" w14:textId="77777777" w:rsidR="00A10B25" w:rsidRDefault="00A10B25">
            <w:pPr>
              <w:pStyle w:val="TAL"/>
              <w:rPr>
                <w:rFonts w:cs="Arial"/>
                <w:sz w:val="16"/>
                <w:szCs w:val="16"/>
              </w:rPr>
            </w:pPr>
            <w:r>
              <w:rPr>
                <w:sz w:val="16"/>
                <w:szCs w:val="16"/>
              </w:rPr>
              <w:t>0504</w:t>
            </w:r>
          </w:p>
        </w:tc>
        <w:tc>
          <w:tcPr>
            <w:tcW w:w="423" w:type="dxa"/>
            <w:shd w:val="solid" w:color="FFFFFF" w:fill="auto"/>
          </w:tcPr>
          <w:p w14:paraId="7E0E1F3E" w14:textId="77777777" w:rsidR="00A10B25" w:rsidRDefault="00A10B25">
            <w:pPr>
              <w:pStyle w:val="TAR"/>
              <w:rPr>
                <w:rFonts w:cs="Arial"/>
                <w:sz w:val="16"/>
                <w:szCs w:val="16"/>
              </w:rPr>
            </w:pPr>
          </w:p>
        </w:tc>
        <w:tc>
          <w:tcPr>
            <w:tcW w:w="423" w:type="dxa"/>
            <w:shd w:val="solid" w:color="FFFFFF" w:fill="auto"/>
          </w:tcPr>
          <w:p w14:paraId="7ED18448"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6CCBA9D" w14:textId="77777777" w:rsidR="00A10B25" w:rsidRDefault="00A10B25">
            <w:pPr>
              <w:pStyle w:val="TAL"/>
              <w:rPr>
                <w:rFonts w:cs="Arial"/>
                <w:sz w:val="16"/>
                <w:szCs w:val="16"/>
              </w:rPr>
            </w:pPr>
            <w:r>
              <w:rPr>
                <w:sz w:val="16"/>
                <w:szCs w:val="16"/>
              </w:rPr>
              <w:t>Add the missing status codes for Nnwdaf_EventsSubscription and Nnwdaf_MLModelProvision service</w:t>
            </w:r>
          </w:p>
        </w:tc>
        <w:tc>
          <w:tcPr>
            <w:tcW w:w="706" w:type="dxa"/>
            <w:shd w:val="solid" w:color="FFFFFF" w:fill="auto"/>
          </w:tcPr>
          <w:p w14:paraId="371FE7A3" w14:textId="77777777" w:rsidR="00A10B25" w:rsidRDefault="00A10B25">
            <w:pPr>
              <w:pStyle w:val="TAC"/>
              <w:rPr>
                <w:rFonts w:cs="Arial"/>
                <w:sz w:val="16"/>
                <w:szCs w:val="16"/>
              </w:rPr>
            </w:pPr>
            <w:r>
              <w:rPr>
                <w:sz w:val="16"/>
                <w:szCs w:val="16"/>
              </w:rPr>
              <w:t>17.7.0</w:t>
            </w:r>
          </w:p>
        </w:tc>
      </w:tr>
      <w:tr w:rsidR="00A10B25" w14:paraId="293261CB" w14:textId="77777777">
        <w:tc>
          <w:tcPr>
            <w:tcW w:w="796" w:type="dxa"/>
            <w:shd w:val="solid" w:color="FFFFFF" w:fill="auto"/>
          </w:tcPr>
          <w:p w14:paraId="2C17932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F74FB90"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65E38639" w14:textId="77777777" w:rsidR="00A10B25" w:rsidRDefault="00A10B25">
            <w:pPr>
              <w:pStyle w:val="TAC"/>
              <w:rPr>
                <w:rFonts w:cs="Arial"/>
                <w:sz w:val="16"/>
                <w:szCs w:val="16"/>
              </w:rPr>
            </w:pPr>
            <w:r>
              <w:rPr>
                <w:sz w:val="16"/>
                <w:szCs w:val="16"/>
              </w:rPr>
              <w:t>CP-221133</w:t>
            </w:r>
          </w:p>
        </w:tc>
        <w:tc>
          <w:tcPr>
            <w:tcW w:w="523" w:type="dxa"/>
            <w:shd w:val="solid" w:color="FFFFFF" w:fill="auto"/>
          </w:tcPr>
          <w:p w14:paraId="64A11A69" w14:textId="77777777" w:rsidR="00A10B25" w:rsidRDefault="00A10B25">
            <w:pPr>
              <w:pStyle w:val="TAL"/>
              <w:rPr>
                <w:rFonts w:cs="Arial"/>
                <w:sz w:val="16"/>
                <w:szCs w:val="16"/>
              </w:rPr>
            </w:pPr>
            <w:r>
              <w:rPr>
                <w:sz w:val="16"/>
                <w:szCs w:val="16"/>
              </w:rPr>
              <w:t>0505</w:t>
            </w:r>
          </w:p>
        </w:tc>
        <w:tc>
          <w:tcPr>
            <w:tcW w:w="423" w:type="dxa"/>
            <w:shd w:val="solid" w:color="FFFFFF" w:fill="auto"/>
          </w:tcPr>
          <w:p w14:paraId="137F28F4" w14:textId="77777777" w:rsidR="00A10B25" w:rsidRDefault="00A10B25">
            <w:pPr>
              <w:pStyle w:val="TAR"/>
              <w:rPr>
                <w:rFonts w:cs="Arial"/>
                <w:sz w:val="16"/>
                <w:szCs w:val="16"/>
              </w:rPr>
            </w:pPr>
          </w:p>
        </w:tc>
        <w:tc>
          <w:tcPr>
            <w:tcW w:w="423" w:type="dxa"/>
            <w:shd w:val="solid" w:color="FFFFFF" w:fill="auto"/>
          </w:tcPr>
          <w:p w14:paraId="1052E752"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5780DDA0" w14:textId="77777777" w:rsidR="00A10B25" w:rsidRDefault="00A10B25">
            <w:pPr>
              <w:pStyle w:val="TAL"/>
              <w:rPr>
                <w:rFonts w:cs="Arial"/>
                <w:sz w:val="16"/>
                <w:szCs w:val="16"/>
              </w:rPr>
            </w:pPr>
            <w:r>
              <w:rPr>
                <w:sz w:val="16"/>
                <w:szCs w:val="16"/>
              </w:rPr>
              <w:t>Corrections on ML model data structure and Nnwdaf_MLModelProvision API</w:t>
            </w:r>
          </w:p>
        </w:tc>
        <w:tc>
          <w:tcPr>
            <w:tcW w:w="706" w:type="dxa"/>
            <w:shd w:val="solid" w:color="FFFFFF" w:fill="auto"/>
          </w:tcPr>
          <w:p w14:paraId="05C31CBE" w14:textId="77777777" w:rsidR="00A10B25" w:rsidRDefault="00A10B25">
            <w:pPr>
              <w:pStyle w:val="TAC"/>
              <w:rPr>
                <w:rFonts w:cs="Arial"/>
                <w:sz w:val="16"/>
                <w:szCs w:val="16"/>
              </w:rPr>
            </w:pPr>
            <w:r>
              <w:rPr>
                <w:sz w:val="16"/>
                <w:szCs w:val="16"/>
              </w:rPr>
              <w:t>17.7.0</w:t>
            </w:r>
          </w:p>
        </w:tc>
      </w:tr>
      <w:tr w:rsidR="00A10B25" w14:paraId="3C369621" w14:textId="77777777">
        <w:tc>
          <w:tcPr>
            <w:tcW w:w="796" w:type="dxa"/>
            <w:shd w:val="solid" w:color="FFFFFF" w:fill="auto"/>
          </w:tcPr>
          <w:p w14:paraId="0CDE682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B4DD3D1"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03C3CF3F" w14:textId="77777777" w:rsidR="00A10B25" w:rsidRDefault="00A10B25">
            <w:pPr>
              <w:pStyle w:val="TAC"/>
              <w:rPr>
                <w:rFonts w:cs="Arial"/>
                <w:sz w:val="16"/>
                <w:szCs w:val="16"/>
              </w:rPr>
            </w:pPr>
            <w:r>
              <w:rPr>
                <w:sz w:val="16"/>
                <w:szCs w:val="16"/>
              </w:rPr>
              <w:t>CP-221133</w:t>
            </w:r>
          </w:p>
        </w:tc>
        <w:tc>
          <w:tcPr>
            <w:tcW w:w="523" w:type="dxa"/>
            <w:shd w:val="solid" w:color="FFFFFF" w:fill="auto"/>
          </w:tcPr>
          <w:p w14:paraId="09F260F5" w14:textId="77777777" w:rsidR="00A10B25" w:rsidRDefault="00A10B25">
            <w:pPr>
              <w:pStyle w:val="TAL"/>
              <w:rPr>
                <w:rFonts w:cs="Arial"/>
                <w:sz w:val="16"/>
                <w:szCs w:val="16"/>
              </w:rPr>
            </w:pPr>
            <w:r>
              <w:rPr>
                <w:sz w:val="16"/>
                <w:szCs w:val="16"/>
              </w:rPr>
              <w:t>0506</w:t>
            </w:r>
          </w:p>
        </w:tc>
        <w:tc>
          <w:tcPr>
            <w:tcW w:w="423" w:type="dxa"/>
            <w:shd w:val="solid" w:color="FFFFFF" w:fill="auto"/>
          </w:tcPr>
          <w:p w14:paraId="327E4BE8" w14:textId="77777777" w:rsidR="00A10B25" w:rsidRDefault="00A10B25">
            <w:pPr>
              <w:pStyle w:val="TAR"/>
              <w:rPr>
                <w:rFonts w:cs="Arial"/>
                <w:sz w:val="16"/>
                <w:szCs w:val="16"/>
              </w:rPr>
            </w:pPr>
          </w:p>
        </w:tc>
        <w:tc>
          <w:tcPr>
            <w:tcW w:w="423" w:type="dxa"/>
            <w:shd w:val="solid" w:color="FFFFFF" w:fill="auto"/>
          </w:tcPr>
          <w:p w14:paraId="3232BFE6"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5FF8B25E" w14:textId="77777777" w:rsidR="00A10B25" w:rsidRDefault="00A10B25">
            <w:pPr>
              <w:pStyle w:val="TAL"/>
              <w:rPr>
                <w:rFonts w:cs="Arial"/>
                <w:sz w:val="16"/>
                <w:szCs w:val="16"/>
              </w:rPr>
            </w:pPr>
            <w:r>
              <w:rPr>
                <w:sz w:val="16"/>
                <w:szCs w:val="16"/>
              </w:rPr>
              <w:t>Corrections on the data type of the revised waiting time</w:t>
            </w:r>
          </w:p>
        </w:tc>
        <w:tc>
          <w:tcPr>
            <w:tcW w:w="706" w:type="dxa"/>
            <w:shd w:val="solid" w:color="FFFFFF" w:fill="auto"/>
          </w:tcPr>
          <w:p w14:paraId="62DFBBDA" w14:textId="77777777" w:rsidR="00A10B25" w:rsidRDefault="00A10B25">
            <w:pPr>
              <w:pStyle w:val="TAC"/>
              <w:rPr>
                <w:rFonts w:cs="Arial"/>
                <w:sz w:val="16"/>
                <w:szCs w:val="16"/>
              </w:rPr>
            </w:pPr>
            <w:r>
              <w:rPr>
                <w:sz w:val="16"/>
                <w:szCs w:val="16"/>
              </w:rPr>
              <w:t>17.7.0</w:t>
            </w:r>
          </w:p>
        </w:tc>
      </w:tr>
      <w:tr w:rsidR="00A10B25" w14:paraId="13345AE8" w14:textId="77777777">
        <w:tc>
          <w:tcPr>
            <w:tcW w:w="796" w:type="dxa"/>
            <w:shd w:val="solid" w:color="FFFFFF" w:fill="auto"/>
          </w:tcPr>
          <w:p w14:paraId="152A341A"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F1D8132"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9F21408" w14:textId="77777777" w:rsidR="00A10B25" w:rsidRDefault="00A10B25">
            <w:pPr>
              <w:pStyle w:val="TAC"/>
              <w:rPr>
                <w:rFonts w:cs="Arial"/>
                <w:sz w:val="16"/>
                <w:szCs w:val="16"/>
              </w:rPr>
            </w:pPr>
            <w:r>
              <w:rPr>
                <w:sz w:val="16"/>
                <w:szCs w:val="16"/>
              </w:rPr>
              <w:t>CP-221135</w:t>
            </w:r>
          </w:p>
        </w:tc>
        <w:tc>
          <w:tcPr>
            <w:tcW w:w="523" w:type="dxa"/>
            <w:shd w:val="solid" w:color="FFFFFF" w:fill="auto"/>
          </w:tcPr>
          <w:p w14:paraId="56F771F0" w14:textId="77777777" w:rsidR="00A10B25" w:rsidRDefault="00A10B25">
            <w:pPr>
              <w:pStyle w:val="TAL"/>
              <w:rPr>
                <w:rFonts w:cs="Arial"/>
                <w:sz w:val="16"/>
                <w:szCs w:val="16"/>
              </w:rPr>
            </w:pPr>
            <w:r>
              <w:rPr>
                <w:sz w:val="16"/>
                <w:szCs w:val="16"/>
              </w:rPr>
              <w:t>0507</w:t>
            </w:r>
          </w:p>
        </w:tc>
        <w:tc>
          <w:tcPr>
            <w:tcW w:w="423" w:type="dxa"/>
            <w:shd w:val="solid" w:color="FFFFFF" w:fill="auto"/>
          </w:tcPr>
          <w:p w14:paraId="6DDAE7EA"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01FFF326"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531FA516" w14:textId="77777777" w:rsidR="00A10B25" w:rsidRDefault="00A10B25">
            <w:pPr>
              <w:pStyle w:val="TAL"/>
              <w:rPr>
                <w:rFonts w:cs="Arial"/>
                <w:sz w:val="16"/>
                <w:szCs w:val="16"/>
              </w:rPr>
            </w:pPr>
            <w:r>
              <w:rPr>
                <w:sz w:val="16"/>
                <w:szCs w:val="16"/>
              </w:rPr>
              <w:t>Presence condition on consumer NF information data types</w:t>
            </w:r>
          </w:p>
        </w:tc>
        <w:tc>
          <w:tcPr>
            <w:tcW w:w="706" w:type="dxa"/>
            <w:shd w:val="solid" w:color="FFFFFF" w:fill="auto"/>
          </w:tcPr>
          <w:p w14:paraId="000D2440" w14:textId="77777777" w:rsidR="00A10B25" w:rsidRDefault="00A10B25">
            <w:pPr>
              <w:pStyle w:val="TAC"/>
              <w:rPr>
                <w:rFonts w:cs="Arial"/>
                <w:sz w:val="16"/>
                <w:szCs w:val="16"/>
              </w:rPr>
            </w:pPr>
            <w:r>
              <w:rPr>
                <w:sz w:val="16"/>
                <w:szCs w:val="16"/>
              </w:rPr>
              <w:t>17.7.0</w:t>
            </w:r>
          </w:p>
        </w:tc>
      </w:tr>
      <w:tr w:rsidR="00A10B25" w14:paraId="3AC6F473" w14:textId="77777777">
        <w:tc>
          <w:tcPr>
            <w:tcW w:w="796" w:type="dxa"/>
            <w:shd w:val="solid" w:color="FFFFFF" w:fill="auto"/>
          </w:tcPr>
          <w:p w14:paraId="5A903DD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AA13424"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55A4B4E" w14:textId="77777777" w:rsidR="00A10B25" w:rsidRDefault="00A10B25">
            <w:pPr>
              <w:pStyle w:val="TAC"/>
              <w:rPr>
                <w:rFonts w:cs="Arial"/>
                <w:sz w:val="16"/>
                <w:szCs w:val="16"/>
              </w:rPr>
            </w:pPr>
            <w:r>
              <w:rPr>
                <w:sz w:val="16"/>
                <w:szCs w:val="16"/>
              </w:rPr>
              <w:t>CP-221238</w:t>
            </w:r>
          </w:p>
        </w:tc>
        <w:tc>
          <w:tcPr>
            <w:tcW w:w="523" w:type="dxa"/>
            <w:shd w:val="solid" w:color="FFFFFF" w:fill="auto"/>
          </w:tcPr>
          <w:p w14:paraId="3407BD56" w14:textId="77777777" w:rsidR="00A10B25" w:rsidRDefault="00A10B25">
            <w:pPr>
              <w:pStyle w:val="TAL"/>
              <w:rPr>
                <w:rFonts w:cs="Arial"/>
                <w:sz w:val="16"/>
                <w:szCs w:val="16"/>
              </w:rPr>
            </w:pPr>
            <w:r>
              <w:rPr>
                <w:sz w:val="16"/>
                <w:szCs w:val="16"/>
              </w:rPr>
              <w:t>0509</w:t>
            </w:r>
          </w:p>
        </w:tc>
        <w:tc>
          <w:tcPr>
            <w:tcW w:w="423" w:type="dxa"/>
            <w:shd w:val="solid" w:color="FFFFFF" w:fill="auto"/>
          </w:tcPr>
          <w:p w14:paraId="27F76974" w14:textId="77777777" w:rsidR="00A10B25" w:rsidRDefault="00A10B25">
            <w:pPr>
              <w:pStyle w:val="TAR"/>
              <w:rPr>
                <w:rFonts w:cs="Arial"/>
                <w:sz w:val="16"/>
                <w:szCs w:val="16"/>
              </w:rPr>
            </w:pPr>
            <w:r>
              <w:rPr>
                <w:sz w:val="16"/>
                <w:szCs w:val="16"/>
                <w:lang w:eastAsia="zh-CN"/>
              </w:rPr>
              <w:t>2</w:t>
            </w:r>
          </w:p>
        </w:tc>
        <w:tc>
          <w:tcPr>
            <w:tcW w:w="423" w:type="dxa"/>
            <w:shd w:val="solid" w:color="FFFFFF" w:fill="auto"/>
          </w:tcPr>
          <w:p w14:paraId="59955F7B"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527CD171" w14:textId="77777777" w:rsidR="00A10B25" w:rsidRDefault="00A10B25">
            <w:pPr>
              <w:pStyle w:val="TAL"/>
              <w:rPr>
                <w:rFonts w:cs="Arial"/>
                <w:sz w:val="16"/>
                <w:szCs w:val="16"/>
              </w:rPr>
            </w:pPr>
            <w:r>
              <w:rPr>
                <w:sz w:val="16"/>
                <w:szCs w:val="16"/>
              </w:rPr>
              <w:t>Presence condition on data types of UE related analytics</w:t>
            </w:r>
          </w:p>
        </w:tc>
        <w:tc>
          <w:tcPr>
            <w:tcW w:w="706" w:type="dxa"/>
            <w:shd w:val="solid" w:color="FFFFFF" w:fill="auto"/>
          </w:tcPr>
          <w:p w14:paraId="197BBB23" w14:textId="77777777" w:rsidR="00A10B25" w:rsidRDefault="00A10B25">
            <w:pPr>
              <w:pStyle w:val="TAC"/>
              <w:rPr>
                <w:rFonts w:cs="Arial"/>
                <w:sz w:val="16"/>
                <w:szCs w:val="16"/>
              </w:rPr>
            </w:pPr>
            <w:r>
              <w:rPr>
                <w:sz w:val="16"/>
                <w:szCs w:val="16"/>
              </w:rPr>
              <w:t>17.7.0</w:t>
            </w:r>
          </w:p>
        </w:tc>
      </w:tr>
      <w:tr w:rsidR="00A10B25" w14:paraId="30026B00" w14:textId="77777777">
        <w:tc>
          <w:tcPr>
            <w:tcW w:w="796" w:type="dxa"/>
            <w:shd w:val="solid" w:color="FFFFFF" w:fill="auto"/>
          </w:tcPr>
          <w:p w14:paraId="7D9CA53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D7BD73E"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12FD6DD2" w14:textId="77777777" w:rsidR="00A10B25" w:rsidRDefault="00A10B25">
            <w:pPr>
              <w:pStyle w:val="TAC"/>
              <w:rPr>
                <w:rFonts w:cs="Arial"/>
                <w:sz w:val="16"/>
                <w:szCs w:val="16"/>
              </w:rPr>
            </w:pPr>
            <w:r>
              <w:rPr>
                <w:sz w:val="16"/>
                <w:szCs w:val="16"/>
              </w:rPr>
              <w:t>CP-221237</w:t>
            </w:r>
          </w:p>
        </w:tc>
        <w:tc>
          <w:tcPr>
            <w:tcW w:w="523" w:type="dxa"/>
            <w:shd w:val="solid" w:color="FFFFFF" w:fill="auto"/>
          </w:tcPr>
          <w:p w14:paraId="1F6AD45A" w14:textId="77777777" w:rsidR="00A10B25" w:rsidRDefault="00A10B25">
            <w:pPr>
              <w:pStyle w:val="TAL"/>
              <w:rPr>
                <w:rFonts w:cs="Arial"/>
                <w:sz w:val="16"/>
                <w:szCs w:val="16"/>
              </w:rPr>
            </w:pPr>
            <w:r>
              <w:rPr>
                <w:sz w:val="16"/>
                <w:szCs w:val="16"/>
              </w:rPr>
              <w:t>0510</w:t>
            </w:r>
          </w:p>
        </w:tc>
        <w:tc>
          <w:tcPr>
            <w:tcW w:w="423" w:type="dxa"/>
            <w:shd w:val="solid" w:color="FFFFFF" w:fill="auto"/>
          </w:tcPr>
          <w:p w14:paraId="606149F9" w14:textId="77777777" w:rsidR="00A10B25" w:rsidRDefault="00A10B25">
            <w:pPr>
              <w:pStyle w:val="TAR"/>
              <w:rPr>
                <w:rFonts w:cs="Arial"/>
                <w:sz w:val="16"/>
                <w:szCs w:val="16"/>
              </w:rPr>
            </w:pPr>
            <w:r>
              <w:rPr>
                <w:sz w:val="16"/>
                <w:szCs w:val="16"/>
                <w:lang w:eastAsia="zh-CN"/>
              </w:rPr>
              <w:t>3</w:t>
            </w:r>
          </w:p>
        </w:tc>
        <w:tc>
          <w:tcPr>
            <w:tcW w:w="423" w:type="dxa"/>
            <w:shd w:val="solid" w:color="FFFFFF" w:fill="auto"/>
          </w:tcPr>
          <w:p w14:paraId="0F5FC807"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68895D9A" w14:textId="77777777" w:rsidR="00A10B25" w:rsidRDefault="00A10B25">
            <w:pPr>
              <w:pStyle w:val="TAL"/>
              <w:rPr>
                <w:rFonts w:cs="Arial"/>
                <w:sz w:val="16"/>
                <w:szCs w:val="16"/>
              </w:rPr>
            </w:pPr>
            <w:r>
              <w:rPr>
                <w:sz w:val="16"/>
                <w:szCs w:val="16"/>
              </w:rPr>
              <w:t>Presence condition on Dispersion data types</w:t>
            </w:r>
          </w:p>
        </w:tc>
        <w:tc>
          <w:tcPr>
            <w:tcW w:w="706" w:type="dxa"/>
            <w:shd w:val="solid" w:color="FFFFFF" w:fill="auto"/>
          </w:tcPr>
          <w:p w14:paraId="78D8CB76" w14:textId="77777777" w:rsidR="00A10B25" w:rsidRDefault="00A10B25">
            <w:pPr>
              <w:pStyle w:val="TAC"/>
              <w:rPr>
                <w:rFonts w:cs="Arial"/>
                <w:sz w:val="16"/>
                <w:szCs w:val="16"/>
              </w:rPr>
            </w:pPr>
            <w:r>
              <w:rPr>
                <w:sz w:val="16"/>
                <w:szCs w:val="16"/>
              </w:rPr>
              <w:t>17.7.0</w:t>
            </w:r>
          </w:p>
        </w:tc>
      </w:tr>
      <w:tr w:rsidR="00A10B25" w14:paraId="2A01A35A" w14:textId="77777777">
        <w:tc>
          <w:tcPr>
            <w:tcW w:w="796" w:type="dxa"/>
            <w:shd w:val="solid" w:color="FFFFFF" w:fill="auto"/>
          </w:tcPr>
          <w:p w14:paraId="67CF9FA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32D0D3C"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12616D6C" w14:textId="77777777" w:rsidR="00A10B25" w:rsidRDefault="00A10B25">
            <w:pPr>
              <w:pStyle w:val="TAC"/>
              <w:rPr>
                <w:rFonts w:cs="Arial"/>
                <w:sz w:val="16"/>
                <w:szCs w:val="16"/>
              </w:rPr>
            </w:pPr>
            <w:r>
              <w:rPr>
                <w:sz w:val="16"/>
                <w:szCs w:val="16"/>
              </w:rPr>
              <w:t>CP-221128</w:t>
            </w:r>
          </w:p>
        </w:tc>
        <w:tc>
          <w:tcPr>
            <w:tcW w:w="523" w:type="dxa"/>
            <w:shd w:val="solid" w:color="FFFFFF" w:fill="auto"/>
          </w:tcPr>
          <w:p w14:paraId="3EAF8BAC" w14:textId="77777777" w:rsidR="00A10B25" w:rsidRDefault="00A10B25">
            <w:pPr>
              <w:pStyle w:val="TAL"/>
              <w:rPr>
                <w:rFonts w:cs="Arial"/>
                <w:sz w:val="16"/>
                <w:szCs w:val="16"/>
              </w:rPr>
            </w:pPr>
            <w:r>
              <w:rPr>
                <w:sz w:val="16"/>
                <w:szCs w:val="16"/>
              </w:rPr>
              <w:t>0512</w:t>
            </w:r>
          </w:p>
        </w:tc>
        <w:tc>
          <w:tcPr>
            <w:tcW w:w="423" w:type="dxa"/>
            <w:shd w:val="solid" w:color="FFFFFF" w:fill="auto"/>
          </w:tcPr>
          <w:p w14:paraId="6F8E0B3D"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3752277C"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65C1917E" w14:textId="77777777" w:rsidR="00A10B25" w:rsidRDefault="00A10B25">
            <w:pPr>
              <w:pStyle w:val="TAL"/>
              <w:rPr>
                <w:rFonts w:cs="Arial"/>
                <w:sz w:val="16"/>
                <w:szCs w:val="16"/>
              </w:rPr>
            </w:pPr>
            <w:r>
              <w:rPr>
                <w:sz w:val="16"/>
                <w:szCs w:val="16"/>
              </w:rPr>
              <w:t>Presence condition on Network Performance and Flow Description data types</w:t>
            </w:r>
          </w:p>
        </w:tc>
        <w:tc>
          <w:tcPr>
            <w:tcW w:w="706" w:type="dxa"/>
            <w:shd w:val="solid" w:color="FFFFFF" w:fill="auto"/>
          </w:tcPr>
          <w:p w14:paraId="4DF7799F" w14:textId="77777777" w:rsidR="00A10B25" w:rsidRDefault="00A10B25">
            <w:pPr>
              <w:pStyle w:val="TAC"/>
              <w:rPr>
                <w:rFonts w:cs="Arial"/>
                <w:sz w:val="16"/>
                <w:szCs w:val="16"/>
              </w:rPr>
            </w:pPr>
            <w:r>
              <w:rPr>
                <w:sz w:val="16"/>
                <w:szCs w:val="16"/>
              </w:rPr>
              <w:t>17.7.0</w:t>
            </w:r>
          </w:p>
        </w:tc>
      </w:tr>
      <w:tr w:rsidR="00A10B25" w14:paraId="4A2A26A0" w14:textId="77777777">
        <w:tc>
          <w:tcPr>
            <w:tcW w:w="796" w:type="dxa"/>
            <w:shd w:val="solid" w:color="FFFFFF" w:fill="auto"/>
          </w:tcPr>
          <w:p w14:paraId="1BE47E5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7CF0CB2"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D26DAA3" w14:textId="77777777" w:rsidR="00A10B25" w:rsidRDefault="00A10B25">
            <w:pPr>
              <w:pStyle w:val="TAC"/>
              <w:rPr>
                <w:rFonts w:cs="Arial"/>
                <w:sz w:val="16"/>
                <w:szCs w:val="16"/>
              </w:rPr>
            </w:pPr>
            <w:r>
              <w:rPr>
                <w:sz w:val="16"/>
                <w:szCs w:val="16"/>
              </w:rPr>
              <w:t>CP-221239</w:t>
            </w:r>
          </w:p>
        </w:tc>
        <w:tc>
          <w:tcPr>
            <w:tcW w:w="523" w:type="dxa"/>
            <w:shd w:val="solid" w:color="FFFFFF" w:fill="auto"/>
          </w:tcPr>
          <w:p w14:paraId="669E6E1D" w14:textId="77777777" w:rsidR="00A10B25" w:rsidRDefault="00A10B25">
            <w:pPr>
              <w:pStyle w:val="TAL"/>
              <w:rPr>
                <w:rFonts w:cs="Arial"/>
                <w:sz w:val="16"/>
                <w:szCs w:val="16"/>
              </w:rPr>
            </w:pPr>
            <w:r>
              <w:rPr>
                <w:sz w:val="16"/>
                <w:szCs w:val="16"/>
              </w:rPr>
              <w:t>0514</w:t>
            </w:r>
          </w:p>
        </w:tc>
        <w:tc>
          <w:tcPr>
            <w:tcW w:w="423" w:type="dxa"/>
            <w:shd w:val="solid" w:color="FFFFFF" w:fill="auto"/>
          </w:tcPr>
          <w:p w14:paraId="66F332A3" w14:textId="77777777" w:rsidR="00A10B25" w:rsidRDefault="00A10B25">
            <w:pPr>
              <w:pStyle w:val="TAR"/>
              <w:rPr>
                <w:rFonts w:cs="Arial"/>
                <w:sz w:val="16"/>
                <w:szCs w:val="16"/>
              </w:rPr>
            </w:pPr>
            <w:r>
              <w:rPr>
                <w:sz w:val="16"/>
                <w:szCs w:val="16"/>
                <w:lang w:eastAsia="zh-CN"/>
              </w:rPr>
              <w:t>2</w:t>
            </w:r>
          </w:p>
        </w:tc>
        <w:tc>
          <w:tcPr>
            <w:tcW w:w="423" w:type="dxa"/>
            <w:shd w:val="solid" w:color="FFFFFF" w:fill="auto"/>
          </w:tcPr>
          <w:p w14:paraId="1AEA8AD5"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32DCCB45" w14:textId="77777777" w:rsidR="00A10B25" w:rsidRDefault="00A10B25">
            <w:pPr>
              <w:pStyle w:val="TAL"/>
              <w:rPr>
                <w:rFonts w:cs="Arial"/>
                <w:sz w:val="16"/>
                <w:szCs w:val="16"/>
              </w:rPr>
            </w:pPr>
            <w:r>
              <w:rPr>
                <w:sz w:val="16"/>
                <w:szCs w:val="16"/>
              </w:rPr>
              <w:t>Presence condition on NF load data types</w:t>
            </w:r>
          </w:p>
        </w:tc>
        <w:tc>
          <w:tcPr>
            <w:tcW w:w="706" w:type="dxa"/>
            <w:shd w:val="solid" w:color="FFFFFF" w:fill="auto"/>
          </w:tcPr>
          <w:p w14:paraId="5B6EF141" w14:textId="77777777" w:rsidR="00A10B25" w:rsidRDefault="00A10B25">
            <w:pPr>
              <w:pStyle w:val="TAC"/>
              <w:rPr>
                <w:rFonts w:cs="Arial"/>
                <w:sz w:val="16"/>
                <w:szCs w:val="16"/>
              </w:rPr>
            </w:pPr>
            <w:r>
              <w:rPr>
                <w:sz w:val="16"/>
                <w:szCs w:val="16"/>
              </w:rPr>
              <w:t>17.7.0</w:t>
            </w:r>
          </w:p>
        </w:tc>
      </w:tr>
      <w:tr w:rsidR="00A10B25" w14:paraId="363C0AFA" w14:textId="77777777">
        <w:tc>
          <w:tcPr>
            <w:tcW w:w="796" w:type="dxa"/>
            <w:shd w:val="solid" w:color="FFFFFF" w:fill="auto"/>
          </w:tcPr>
          <w:p w14:paraId="4E18A41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225ACEC9"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10BBA7C0" w14:textId="77777777" w:rsidR="00A10B25" w:rsidRDefault="00A10B25">
            <w:pPr>
              <w:pStyle w:val="TAC"/>
              <w:rPr>
                <w:rFonts w:cs="Arial"/>
                <w:sz w:val="16"/>
                <w:szCs w:val="16"/>
              </w:rPr>
            </w:pPr>
            <w:r>
              <w:rPr>
                <w:sz w:val="16"/>
                <w:szCs w:val="16"/>
              </w:rPr>
              <w:t>CP-221240</w:t>
            </w:r>
          </w:p>
        </w:tc>
        <w:tc>
          <w:tcPr>
            <w:tcW w:w="523" w:type="dxa"/>
            <w:shd w:val="solid" w:color="FFFFFF" w:fill="auto"/>
          </w:tcPr>
          <w:p w14:paraId="0A1F231B" w14:textId="77777777" w:rsidR="00A10B25" w:rsidRDefault="00A10B25">
            <w:pPr>
              <w:pStyle w:val="TAL"/>
              <w:rPr>
                <w:rFonts w:cs="Arial"/>
                <w:sz w:val="16"/>
                <w:szCs w:val="16"/>
              </w:rPr>
            </w:pPr>
            <w:r>
              <w:rPr>
                <w:sz w:val="16"/>
                <w:szCs w:val="16"/>
              </w:rPr>
              <w:t>0516</w:t>
            </w:r>
          </w:p>
        </w:tc>
        <w:tc>
          <w:tcPr>
            <w:tcW w:w="423" w:type="dxa"/>
            <w:shd w:val="solid" w:color="FFFFFF" w:fill="auto"/>
          </w:tcPr>
          <w:p w14:paraId="679278AE" w14:textId="77777777" w:rsidR="00A10B25" w:rsidRDefault="00A10B25">
            <w:pPr>
              <w:pStyle w:val="TAR"/>
              <w:rPr>
                <w:rFonts w:cs="Arial"/>
                <w:sz w:val="16"/>
                <w:szCs w:val="16"/>
              </w:rPr>
            </w:pPr>
            <w:r>
              <w:rPr>
                <w:sz w:val="16"/>
                <w:szCs w:val="16"/>
                <w:lang w:eastAsia="zh-CN"/>
              </w:rPr>
              <w:t>2</w:t>
            </w:r>
          </w:p>
        </w:tc>
        <w:tc>
          <w:tcPr>
            <w:tcW w:w="423" w:type="dxa"/>
            <w:shd w:val="solid" w:color="FFFFFF" w:fill="auto"/>
          </w:tcPr>
          <w:p w14:paraId="792C9C0D"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3F6B8DB1" w14:textId="77777777" w:rsidR="00A10B25" w:rsidRDefault="00A10B25">
            <w:pPr>
              <w:pStyle w:val="TAL"/>
              <w:rPr>
                <w:rFonts w:cs="Arial"/>
                <w:sz w:val="16"/>
                <w:szCs w:val="16"/>
              </w:rPr>
            </w:pPr>
            <w:r>
              <w:rPr>
                <w:sz w:val="16"/>
                <w:szCs w:val="16"/>
              </w:rPr>
              <w:t>Presence condition on QoS Sustainability data types</w:t>
            </w:r>
          </w:p>
        </w:tc>
        <w:tc>
          <w:tcPr>
            <w:tcW w:w="706" w:type="dxa"/>
            <w:shd w:val="solid" w:color="FFFFFF" w:fill="auto"/>
          </w:tcPr>
          <w:p w14:paraId="1C279998" w14:textId="77777777" w:rsidR="00A10B25" w:rsidRDefault="00A10B25">
            <w:pPr>
              <w:pStyle w:val="TAC"/>
              <w:rPr>
                <w:rFonts w:cs="Arial"/>
                <w:sz w:val="16"/>
                <w:szCs w:val="16"/>
              </w:rPr>
            </w:pPr>
            <w:r>
              <w:rPr>
                <w:sz w:val="16"/>
                <w:szCs w:val="16"/>
              </w:rPr>
              <w:t>17.7.0</w:t>
            </w:r>
          </w:p>
        </w:tc>
      </w:tr>
      <w:tr w:rsidR="00A10B25" w14:paraId="17246C96" w14:textId="77777777">
        <w:tc>
          <w:tcPr>
            <w:tcW w:w="796" w:type="dxa"/>
            <w:shd w:val="solid" w:color="FFFFFF" w:fill="auto"/>
          </w:tcPr>
          <w:p w14:paraId="387DD97C" w14:textId="77777777" w:rsidR="00A10B25" w:rsidRDefault="00A10B25">
            <w:pPr>
              <w:pStyle w:val="TAC"/>
              <w:rPr>
                <w:rFonts w:cs="Arial"/>
                <w:sz w:val="16"/>
                <w:szCs w:val="16"/>
              </w:rPr>
            </w:pPr>
            <w:r>
              <w:rPr>
                <w:rFonts w:hint="eastAsia"/>
                <w:sz w:val="16"/>
                <w:szCs w:val="16"/>
                <w:lang w:val="en-US" w:eastAsia="zh-CN"/>
              </w:rPr>
              <w:lastRenderedPageBreak/>
              <w:t>2</w:t>
            </w:r>
            <w:r>
              <w:rPr>
                <w:sz w:val="16"/>
                <w:szCs w:val="16"/>
                <w:lang w:val="en-US" w:eastAsia="zh-CN"/>
              </w:rPr>
              <w:t>022-06</w:t>
            </w:r>
          </w:p>
        </w:tc>
        <w:tc>
          <w:tcPr>
            <w:tcW w:w="828" w:type="dxa"/>
            <w:shd w:val="solid" w:color="FFFFFF" w:fill="auto"/>
          </w:tcPr>
          <w:p w14:paraId="4F0D3A85"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98ADD4D" w14:textId="77777777" w:rsidR="00A10B25" w:rsidRDefault="00A10B25">
            <w:pPr>
              <w:pStyle w:val="TAC"/>
              <w:rPr>
                <w:rFonts w:cs="Arial"/>
                <w:sz w:val="16"/>
                <w:szCs w:val="16"/>
              </w:rPr>
            </w:pPr>
            <w:r>
              <w:rPr>
                <w:sz w:val="16"/>
                <w:szCs w:val="16"/>
              </w:rPr>
              <w:t>CP-221135</w:t>
            </w:r>
          </w:p>
        </w:tc>
        <w:tc>
          <w:tcPr>
            <w:tcW w:w="523" w:type="dxa"/>
            <w:shd w:val="solid" w:color="FFFFFF" w:fill="auto"/>
          </w:tcPr>
          <w:p w14:paraId="6F58BCC5" w14:textId="77777777" w:rsidR="00A10B25" w:rsidRDefault="00A10B25">
            <w:pPr>
              <w:pStyle w:val="TAL"/>
              <w:rPr>
                <w:rFonts w:cs="Arial"/>
                <w:sz w:val="16"/>
                <w:szCs w:val="16"/>
              </w:rPr>
            </w:pPr>
            <w:r>
              <w:rPr>
                <w:sz w:val="16"/>
                <w:szCs w:val="16"/>
              </w:rPr>
              <w:t>0517</w:t>
            </w:r>
          </w:p>
        </w:tc>
        <w:tc>
          <w:tcPr>
            <w:tcW w:w="423" w:type="dxa"/>
            <w:shd w:val="solid" w:color="FFFFFF" w:fill="auto"/>
          </w:tcPr>
          <w:p w14:paraId="3A4EBDB0"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79CFE6F8"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37DCB6B9" w14:textId="77777777" w:rsidR="00A10B25" w:rsidRDefault="00A10B25">
            <w:pPr>
              <w:pStyle w:val="TAL"/>
              <w:rPr>
                <w:rFonts w:cs="Arial"/>
                <w:sz w:val="16"/>
                <w:szCs w:val="16"/>
              </w:rPr>
            </w:pPr>
            <w:r>
              <w:rPr>
                <w:sz w:val="16"/>
                <w:szCs w:val="16"/>
              </w:rPr>
              <w:t>Presence condition on SpecificAnalyticsSubscription data type</w:t>
            </w:r>
          </w:p>
        </w:tc>
        <w:tc>
          <w:tcPr>
            <w:tcW w:w="706" w:type="dxa"/>
            <w:shd w:val="solid" w:color="FFFFFF" w:fill="auto"/>
          </w:tcPr>
          <w:p w14:paraId="295AB026" w14:textId="77777777" w:rsidR="00A10B25" w:rsidRDefault="00A10B25">
            <w:pPr>
              <w:pStyle w:val="TAC"/>
              <w:rPr>
                <w:rFonts w:cs="Arial"/>
                <w:sz w:val="16"/>
                <w:szCs w:val="16"/>
              </w:rPr>
            </w:pPr>
            <w:r>
              <w:rPr>
                <w:sz w:val="16"/>
                <w:szCs w:val="16"/>
              </w:rPr>
              <w:t>17.7.0</w:t>
            </w:r>
          </w:p>
        </w:tc>
      </w:tr>
      <w:tr w:rsidR="00A10B25" w14:paraId="459C20AF" w14:textId="77777777">
        <w:tc>
          <w:tcPr>
            <w:tcW w:w="796" w:type="dxa"/>
            <w:shd w:val="solid" w:color="FFFFFF" w:fill="auto"/>
          </w:tcPr>
          <w:p w14:paraId="6B66749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4944E66"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58909511" w14:textId="77777777" w:rsidR="00A10B25" w:rsidRDefault="00A10B25">
            <w:pPr>
              <w:pStyle w:val="TAC"/>
              <w:rPr>
                <w:rFonts w:cs="Arial"/>
                <w:sz w:val="16"/>
                <w:szCs w:val="16"/>
              </w:rPr>
            </w:pPr>
            <w:r>
              <w:rPr>
                <w:sz w:val="16"/>
                <w:szCs w:val="16"/>
              </w:rPr>
              <w:t>CP-221135</w:t>
            </w:r>
          </w:p>
        </w:tc>
        <w:tc>
          <w:tcPr>
            <w:tcW w:w="523" w:type="dxa"/>
            <w:shd w:val="solid" w:color="FFFFFF" w:fill="auto"/>
          </w:tcPr>
          <w:p w14:paraId="3DB38A3D" w14:textId="77777777" w:rsidR="00A10B25" w:rsidRDefault="00A10B25">
            <w:pPr>
              <w:pStyle w:val="TAL"/>
              <w:rPr>
                <w:rFonts w:cs="Arial"/>
                <w:sz w:val="16"/>
                <w:szCs w:val="16"/>
              </w:rPr>
            </w:pPr>
            <w:r>
              <w:rPr>
                <w:sz w:val="16"/>
                <w:szCs w:val="16"/>
              </w:rPr>
              <w:t>0518</w:t>
            </w:r>
          </w:p>
        </w:tc>
        <w:tc>
          <w:tcPr>
            <w:tcW w:w="423" w:type="dxa"/>
            <w:shd w:val="solid" w:color="FFFFFF" w:fill="auto"/>
          </w:tcPr>
          <w:p w14:paraId="2BCB1091"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28474C51"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52477765" w14:textId="77777777" w:rsidR="00A10B25" w:rsidRDefault="00A10B25">
            <w:pPr>
              <w:pStyle w:val="TAL"/>
              <w:rPr>
                <w:rFonts w:cs="Arial"/>
                <w:sz w:val="16"/>
                <w:szCs w:val="16"/>
              </w:rPr>
            </w:pPr>
            <w:r>
              <w:rPr>
                <w:sz w:val="16"/>
                <w:szCs w:val="16"/>
              </w:rPr>
              <w:t>Solve the ENs for exposing the network topology to the untrusted AF</w:t>
            </w:r>
          </w:p>
        </w:tc>
        <w:tc>
          <w:tcPr>
            <w:tcW w:w="706" w:type="dxa"/>
            <w:shd w:val="solid" w:color="FFFFFF" w:fill="auto"/>
          </w:tcPr>
          <w:p w14:paraId="1ABC51D5" w14:textId="77777777" w:rsidR="00A10B25" w:rsidRDefault="00A10B25">
            <w:pPr>
              <w:pStyle w:val="TAC"/>
              <w:rPr>
                <w:rFonts w:cs="Arial"/>
                <w:sz w:val="16"/>
                <w:szCs w:val="16"/>
              </w:rPr>
            </w:pPr>
            <w:r>
              <w:rPr>
                <w:sz w:val="16"/>
                <w:szCs w:val="16"/>
              </w:rPr>
              <w:t>17.7.0</w:t>
            </w:r>
          </w:p>
        </w:tc>
      </w:tr>
      <w:tr w:rsidR="00A10B25" w14:paraId="6CB332C5" w14:textId="77777777">
        <w:tc>
          <w:tcPr>
            <w:tcW w:w="796" w:type="dxa"/>
            <w:shd w:val="solid" w:color="FFFFFF" w:fill="auto"/>
          </w:tcPr>
          <w:p w14:paraId="119EBE4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1F6886E"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39DCA73F" w14:textId="77777777" w:rsidR="00A10B25" w:rsidRDefault="00A10B25">
            <w:pPr>
              <w:pStyle w:val="TAC"/>
              <w:rPr>
                <w:rFonts w:cs="Arial"/>
                <w:sz w:val="16"/>
                <w:szCs w:val="16"/>
              </w:rPr>
            </w:pPr>
            <w:r>
              <w:rPr>
                <w:sz w:val="16"/>
                <w:szCs w:val="16"/>
              </w:rPr>
              <w:t>CP-221135</w:t>
            </w:r>
          </w:p>
        </w:tc>
        <w:tc>
          <w:tcPr>
            <w:tcW w:w="523" w:type="dxa"/>
            <w:shd w:val="solid" w:color="FFFFFF" w:fill="auto"/>
          </w:tcPr>
          <w:p w14:paraId="6108FA12" w14:textId="77777777" w:rsidR="00A10B25" w:rsidRDefault="00A10B25">
            <w:pPr>
              <w:pStyle w:val="TAL"/>
              <w:rPr>
                <w:rFonts w:cs="Arial"/>
                <w:sz w:val="16"/>
                <w:szCs w:val="16"/>
              </w:rPr>
            </w:pPr>
            <w:r>
              <w:rPr>
                <w:sz w:val="16"/>
                <w:szCs w:val="16"/>
              </w:rPr>
              <w:t>0519</w:t>
            </w:r>
          </w:p>
        </w:tc>
        <w:tc>
          <w:tcPr>
            <w:tcW w:w="423" w:type="dxa"/>
            <w:shd w:val="solid" w:color="FFFFFF" w:fill="auto"/>
          </w:tcPr>
          <w:p w14:paraId="306E6ABE"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1701CB93"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3AEB83FE" w14:textId="77777777" w:rsidR="00A10B25" w:rsidRDefault="00A10B25">
            <w:pPr>
              <w:pStyle w:val="TAL"/>
              <w:rPr>
                <w:rFonts w:cs="Arial"/>
                <w:sz w:val="16"/>
                <w:szCs w:val="16"/>
              </w:rPr>
            </w:pPr>
            <w:r>
              <w:rPr>
                <w:sz w:val="16"/>
                <w:szCs w:val="16"/>
              </w:rPr>
              <w:t>Update the analytics subscription transfer procedure</w:t>
            </w:r>
          </w:p>
        </w:tc>
        <w:tc>
          <w:tcPr>
            <w:tcW w:w="706" w:type="dxa"/>
            <w:shd w:val="solid" w:color="FFFFFF" w:fill="auto"/>
          </w:tcPr>
          <w:p w14:paraId="78338CF3" w14:textId="77777777" w:rsidR="00A10B25" w:rsidRDefault="00A10B25">
            <w:pPr>
              <w:pStyle w:val="TAC"/>
              <w:rPr>
                <w:rFonts w:cs="Arial"/>
                <w:sz w:val="16"/>
                <w:szCs w:val="16"/>
              </w:rPr>
            </w:pPr>
            <w:r>
              <w:rPr>
                <w:sz w:val="16"/>
                <w:szCs w:val="16"/>
              </w:rPr>
              <w:t>17.7.0</w:t>
            </w:r>
          </w:p>
        </w:tc>
      </w:tr>
      <w:tr w:rsidR="00A10B25" w14:paraId="74EB39FE" w14:textId="77777777">
        <w:tc>
          <w:tcPr>
            <w:tcW w:w="796" w:type="dxa"/>
            <w:shd w:val="solid" w:color="FFFFFF" w:fill="auto"/>
          </w:tcPr>
          <w:p w14:paraId="31AFB05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3C0DE947"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CBB2E8B" w14:textId="77777777" w:rsidR="00A10B25" w:rsidRDefault="00A10B25">
            <w:pPr>
              <w:pStyle w:val="TAC"/>
              <w:rPr>
                <w:rFonts w:cs="Arial"/>
                <w:sz w:val="16"/>
                <w:szCs w:val="16"/>
              </w:rPr>
            </w:pPr>
            <w:r>
              <w:rPr>
                <w:sz w:val="16"/>
                <w:szCs w:val="16"/>
              </w:rPr>
              <w:t>CP-221135</w:t>
            </w:r>
          </w:p>
        </w:tc>
        <w:tc>
          <w:tcPr>
            <w:tcW w:w="523" w:type="dxa"/>
            <w:shd w:val="solid" w:color="FFFFFF" w:fill="auto"/>
          </w:tcPr>
          <w:p w14:paraId="33F57DF6" w14:textId="77777777" w:rsidR="00A10B25" w:rsidRDefault="00A10B25">
            <w:pPr>
              <w:pStyle w:val="TAL"/>
              <w:rPr>
                <w:rFonts w:cs="Arial"/>
                <w:sz w:val="16"/>
                <w:szCs w:val="16"/>
              </w:rPr>
            </w:pPr>
            <w:r>
              <w:rPr>
                <w:sz w:val="16"/>
                <w:szCs w:val="16"/>
              </w:rPr>
              <w:t>0520</w:t>
            </w:r>
          </w:p>
        </w:tc>
        <w:tc>
          <w:tcPr>
            <w:tcW w:w="423" w:type="dxa"/>
            <w:shd w:val="solid" w:color="FFFFFF" w:fill="auto"/>
          </w:tcPr>
          <w:p w14:paraId="6BEE1CC2"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28D228E0"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2176F085" w14:textId="77777777" w:rsidR="00A10B25" w:rsidRDefault="00A10B25">
            <w:pPr>
              <w:pStyle w:val="TAL"/>
              <w:rPr>
                <w:rFonts w:cs="Arial"/>
                <w:sz w:val="16"/>
                <w:szCs w:val="16"/>
              </w:rPr>
            </w:pPr>
            <w:r>
              <w:rPr>
                <w:sz w:val="16"/>
                <w:szCs w:val="16"/>
              </w:rPr>
              <w:t>Update the ML model related information</w:t>
            </w:r>
          </w:p>
        </w:tc>
        <w:tc>
          <w:tcPr>
            <w:tcW w:w="706" w:type="dxa"/>
            <w:shd w:val="solid" w:color="FFFFFF" w:fill="auto"/>
          </w:tcPr>
          <w:p w14:paraId="6AF5DB4E" w14:textId="77777777" w:rsidR="00A10B25" w:rsidRDefault="00A10B25">
            <w:pPr>
              <w:pStyle w:val="TAC"/>
              <w:rPr>
                <w:rFonts w:cs="Arial"/>
                <w:sz w:val="16"/>
                <w:szCs w:val="16"/>
              </w:rPr>
            </w:pPr>
            <w:r>
              <w:rPr>
                <w:sz w:val="16"/>
                <w:szCs w:val="16"/>
              </w:rPr>
              <w:t>17.7.0</w:t>
            </w:r>
          </w:p>
        </w:tc>
      </w:tr>
      <w:tr w:rsidR="00A10B25" w14:paraId="101F62A1" w14:textId="77777777">
        <w:tc>
          <w:tcPr>
            <w:tcW w:w="796" w:type="dxa"/>
            <w:shd w:val="solid" w:color="FFFFFF" w:fill="auto"/>
          </w:tcPr>
          <w:p w14:paraId="7F1CAC7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A109644"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39616421" w14:textId="77777777" w:rsidR="00A10B25" w:rsidRDefault="00A10B25">
            <w:pPr>
              <w:pStyle w:val="TAC"/>
              <w:rPr>
                <w:rFonts w:cs="Arial"/>
                <w:sz w:val="16"/>
                <w:szCs w:val="16"/>
              </w:rPr>
            </w:pPr>
            <w:r>
              <w:rPr>
                <w:sz w:val="16"/>
                <w:szCs w:val="16"/>
              </w:rPr>
              <w:t>CP-221134</w:t>
            </w:r>
          </w:p>
        </w:tc>
        <w:tc>
          <w:tcPr>
            <w:tcW w:w="523" w:type="dxa"/>
            <w:shd w:val="solid" w:color="FFFFFF" w:fill="auto"/>
          </w:tcPr>
          <w:p w14:paraId="684B0D05" w14:textId="77777777" w:rsidR="00A10B25" w:rsidRDefault="00A10B25">
            <w:pPr>
              <w:pStyle w:val="TAL"/>
              <w:rPr>
                <w:rFonts w:cs="Arial"/>
                <w:sz w:val="16"/>
                <w:szCs w:val="16"/>
              </w:rPr>
            </w:pPr>
            <w:r>
              <w:rPr>
                <w:sz w:val="16"/>
                <w:szCs w:val="16"/>
              </w:rPr>
              <w:t>0521</w:t>
            </w:r>
          </w:p>
        </w:tc>
        <w:tc>
          <w:tcPr>
            <w:tcW w:w="423" w:type="dxa"/>
            <w:shd w:val="solid" w:color="FFFFFF" w:fill="auto"/>
          </w:tcPr>
          <w:p w14:paraId="223F5A27" w14:textId="77777777" w:rsidR="00A10B25" w:rsidRDefault="00A10B25">
            <w:pPr>
              <w:pStyle w:val="TAR"/>
              <w:rPr>
                <w:rFonts w:cs="Arial"/>
                <w:sz w:val="16"/>
                <w:szCs w:val="16"/>
              </w:rPr>
            </w:pPr>
          </w:p>
        </w:tc>
        <w:tc>
          <w:tcPr>
            <w:tcW w:w="423" w:type="dxa"/>
            <w:shd w:val="solid" w:color="FFFFFF" w:fill="auto"/>
          </w:tcPr>
          <w:p w14:paraId="73723BC5"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006BD7DA" w14:textId="77777777" w:rsidR="00A10B25" w:rsidRDefault="00A10B25">
            <w:pPr>
              <w:pStyle w:val="TAL"/>
              <w:rPr>
                <w:rFonts w:cs="Arial"/>
                <w:sz w:val="16"/>
                <w:szCs w:val="16"/>
              </w:rPr>
            </w:pPr>
            <w:r>
              <w:rPr>
                <w:sz w:val="16"/>
                <w:szCs w:val="16"/>
              </w:rPr>
              <w:t>Update the OpenAPI of DN performance and User data congestion</w:t>
            </w:r>
          </w:p>
        </w:tc>
        <w:tc>
          <w:tcPr>
            <w:tcW w:w="706" w:type="dxa"/>
            <w:shd w:val="solid" w:color="FFFFFF" w:fill="auto"/>
          </w:tcPr>
          <w:p w14:paraId="44446D3C" w14:textId="77777777" w:rsidR="00A10B25" w:rsidRDefault="00A10B25">
            <w:pPr>
              <w:pStyle w:val="TAC"/>
              <w:rPr>
                <w:rFonts w:cs="Arial"/>
                <w:sz w:val="16"/>
                <w:szCs w:val="16"/>
              </w:rPr>
            </w:pPr>
            <w:r>
              <w:rPr>
                <w:sz w:val="16"/>
                <w:szCs w:val="16"/>
              </w:rPr>
              <w:t>17.7.0</w:t>
            </w:r>
          </w:p>
        </w:tc>
      </w:tr>
      <w:tr w:rsidR="00A10B25" w14:paraId="3291166F" w14:textId="77777777">
        <w:tc>
          <w:tcPr>
            <w:tcW w:w="796" w:type="dxa"/>
            <w:shd w:val="solid" w:color="FFFFFF" w:fill="auto"/>
          </w:tcPr>
          <w:p w14:paraId="1F17728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191C683"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30797A24" w14:textId="77777777" w:rsidR="00A10B25" w:rsidRDefault="00A10B25">
            <w:pPr>
              <w:pStyle w:val="TAC"/>
              <w:rPr>
                <w:rFonts w:cs="Arial"/>
                <w:sz w:val="16"/>
                <w:szCs w:val="16"/>
              </w:rPr>
            </w:pPr>
            <w:r>
              <w:rPr>
                <w:sz w:val="16"/>
                <w:szCs w:val="16"/>
              </w:rPr>
              <w:t>CP-221134</w:t>
            </w:r>
          </w:p>
        </w:tc>
        <w:tc>
          <w:tcPr>
            <w:tcW w:w="523" w:type="dxa"/>
            <w:shd w:val="solid" w:color="FFFFFF" w:fill="auto"/>
          </w:tcPr>
          <w:p w14:paraId="3F4F75CB" w14:textId="77777777" w:rsidR="00A10B25" w:rsidRDefault="00A10B25">
            <w:pPr>
              <w:pStyle w:val="TAL"/>
              <w:rPr>
                <w:rFonts w:cs="Arial"/>
                <w:sz w:val="16"/>
                <w:szCs w:val="16"/>
              </w:rPr>
            </w:pPr>
            <w:r>
              <w:rPr>
                <w:sz w:val="16"/>
                <w:szCs w:val="16"/>
              </w:rPr>
              <w:t>0522</w:t>
            </w:r>
          </w:p>
        </w:tc>
        <w:tc>
          <w:tcPr>
            <w:tcW w:w="423" w:type="dxa"/>
            <w:shd w:val="solid" w:color="FFFFFF" w:fill="auto"/>
          </w:tcPr>
          <w:p w14:paraId="6666C7DB" w14:textId="77777777" w:rsidR="00A10B25" w:rsidRDefault="00A10B25">
            <w:pPr>
              <w:pStyle w:val="TAR"/>
              <w:rPr>
                <w:rFonts w:cs="Arial"/>
                <w:sz w:val="16"/>
                <w:szCs w:val="16"/>
              </w:rPr>
            </w:pPr>
          </w:p>
        </w:tc>
        <w:tc>
          <w:tcPr>
            <w:tcW w:w="423" w:type="dxa"/>
            <w:shd w:val="solid" w:color="FFFFFF" w:fill="auto"/>
          </w:tcPr>
          <w:p w14:paraId="100E17F8"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07BA3ECB" w14:textId="77777777" w:rsidR="00A10B25" w:rsidRDefault="00A10B25">
            <w:pPr>
              <w:pStyle w:val="TAL"/>
              <w:rPr>
                <w:rFonts w:cs="Arial"/>
                <w:sz w:val="16"/>
                <w:szCs w:val="16"/>
              </w:rPr>
            </w:pPr>
            <w:r>
              <w:rPr>
                <w:sz w:val="16"/>
                <w:szCs w:val="16"/>
              </w:rPr>
              <w:t>Update the UPF information for Service Experience and DN performance</w:t>
            </w:r>
          </w:p>
        </w:tc>
        <w:tc>
          <w:tcPr>
            <w:tcW w:w="706" w:type="dxa"/>
            <w:shd w:val="solid" w:color="FFFFFF" w:fill="auto"/>
          </w:tcPr>
          <w:p w14:paraId="0F079FFB" w14:textId="77777777" w:rsidR="00A10B25" w:rsidRDefault="00A10B25">
            <w:pPr>
              <w:pStyle w:val="TAC"/>
              <w:rPr>
                <w:rFonts w:cs="Arial"/>
                <w:sz w:val="16"/>
                <w:szCs w:val="16"/>
              </w:rPr>
            </w:pPr>
            <w:r>
              <w:rPr>
                <w:sz w:val="16"/>
                <w:szCs w:val="16"/>
              </w:rPr>
              <w:t>17.7.0</w:t>
            </w:r>
          </w:p>
        </w:tc>
      </w:tr>
      <w:tr w:rsidR="00A10B25" w14:paraId="2A5179F5" w14:textId="77777777">
        <w:tc>
          <w:tcPr>
            <w:tcW w:w="796" w:type="dxa"/>
            <w:shd w:val="solid" w:color="FFFFFF" w:fill="auto"/>
          </w:tcPr>
          <w:p w14:paraId="0316674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0D850F86"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4B13D68" w14:textId="77777777" w:rsidR="00A10B25" w:rsidRDefault="00A10B25">
            <w:pPr>
              <w:pStyle w:val="TAC"/>
              <w:rPr>
                <w:rFonts w:cs="Arial"/>
                <w:sz w:val="16"/>
                <w:szCs w:val="16"/>
              </w:rPr>
            </w:pPr>
            <w:r>
              <w:rPr>
                <w:sz w:val="16"/>
                <w:szCs w:val="16"/>
              </w:rPr>
              <w:t>CP-221255</w:t>
            </w:r>
          </w:p>
        </w:tc>
        <w:tc>
          <w:tcPr>
            <w:tcW w:w="523" w:type="dxa"/>
            <w:shd w:val="solid" w:color="FFFFFF" w:fill="auto"/>
          </w:tcPr>
          <w:p w14:paraId="5E8D9253" w14:textId="77777777" w:rsidR="00A10B25" w:rsidRDefault="00A10B25">
            <w:pPr>
              <w:pStyle w:val="TAL"/>
              <w:rPr>
                <w:rFonts w:cs="Arial"/>
                <w:sz w:val="16"/>
                <w:szCs w:val="16"/>
              </w:rPr>
            </w:pPr>
            <w:r>
              <w:rPr>
                <w:sz w:val="16"/>
                <w:szCs w:val="16"/>
              </w:rPr>
              <w:t>0523</w:t>
            </w:r>
          </w:p>
        </w:tc>
        <w:tc>
          <w:tcPr>
            <w:tcW w:w="423" w:type="dxa"/>
            <w:shd w:val="solid" w:color="FFFFFF" w:fill="auto"/>
          </w:tcPr>
          <w:p w14:paraId="7833684B"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673505E5"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78301DBF" w14:textId="77777777" w:rsidR="00A10B25" w:rsidRDefault="00A10B25">
            <w:pPr>
              <w:pStyle w:val="TAL"/>
              <w:rPr>
                <w:rFonts w:cs="Arial"/>
                <w:sz w:val="16"/>
                <w:szCs w:val="16"/>
              </w:rPr>
            </w:pPr>
            <w:r>
              <w:rPr>
                <w:sz w:val="16"/>
                <w:szCs w:val="16"/>
              </w:rPr>
              <w:t>Corrections related to confidence</w:t>
            </w:r>
          </w:p>
        </w:tc>
        <w:tc>
          <w:tcPr>
            <w:tcW w:w="706" w:type="dxa"/>
            <w:shd w:val="solid" w:color="FFFFFF" w:fill="auto"/>
          </w:tcPr>
          <w:p w14:paraId="68F21661" w14:textId="77777777" w:rsidR="00A10B25" w:rsidRDefault="00A10B25">
            <w:pPr>
              <w:pStyle w:val="TAC"/>
              <w:rPr>
                <w:rFonts w:cs="Arial"/>
                <w:sz w:val="16"/>
                <w:szCs w:val="16"/>
              </w:rPr>
            </w:pPr>
            <w:r>
              <w:rPr>
                <w:sz w:val="16"/>
                <w:szCs w:val="16"/>
              </w:rPr>
              <w:t>17.7.0</w:t>
            </w:r>
          </w:p>
        </w:tc>
      </w:tr>
      <w:tr w:rsidR="00A10B25" w14:paraId="200B8098" w14:textId="77777777">
        <w:tc>
          <w:tcPr>
            <w:tcW w:w="796" w:type="dxa"/>
            <w:shd w:val="solid" w:color="FFFFFF" w:fill="auto"/>
          </w:tcPr>
          <w:p w14:paraId="12C0630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9A2DD46"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780FC44E" w14:textId="77777777" w:rsidR="00A10B25" w:rsidRDefault="00A10B25">
            <w:pPr>
              <w:pStyle w:val="TAC"/>
              <w:rPr>
                <w:rFonts w:cs="Arial"/>
                <w:sz w:val="16"/>
                <w:szCs w:val="16"/>
              </w:rPr>
            </w:pPr>
            <w:r>
              <w:rPr>
                <w:sz w:val="16"/>
                <w:szCs w:val="16"/>
              </w:rPr>
              <w:t>CP-221135</w:t>
            </w:r>
          </w:p>
        </w:tc>
        <w:tc>
          <w:tcPr>
            <w:tcW w:w="523" w:type="dxa"/>
            <w:shd w:val="solid" w:color="FFFFFF" w:fill="auto"/>
          </w:tcPr>
          <w:p w14:paraId="0FEAEA89" w14:textId="77777777" w:rsidR="00A10B25" w:rsidRDefault="00A10B25">
            <w:pPr>
              <w:pStyle w:val="TAL"/>
              <w:rPr>
                <w:rFonts w:cs="Arial"/>
                <w:sz w:val="16"/>
                <w:szCs w:val="16"/>
              </w:rPr>
            </w:pPr>
            <w:r>
              <w:rPr>
                <w:sz w:val="16"/>
                <w:szCs w:val="16"/>
              </w:rPr>
              <w:t>0524</w:t>
            </w:r>
          </w:p>
        </w:tc>
        <w:tc>
          <w:tcPr>
            <w:tcW w:w="423" w:type="dxa"/>
            <w:shd w:val="solid" w:color="FFFFFF" w:fill="auto"/>
          </w:tcPr>
          <w:p w14:paraId="42344989"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6AF5D659"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742CFC68" w14:textId="77777777" w:rsidR="00A10B25" w:rsidRDefault="00A10B25">
            <w:pPr>
              <w:pStyle w:val="TAL"/>
              <w:rPr>
                <w:rFonts w:cs="Arial"/>
                <w:sz w:val="16"/>
                <w:szCs w:val="16"/>
              </w:rPr>
            </w:pPr>
            <w:r>
              <w:rPr>
                <w:sz w:val="16"/>
                <w:szCs w:val="16"/>
              </w:rPr>
              <w:t>Remove inapplicable event for EXCEED_LOAD_LEVEL_THR_IND</w:t>
            </w:r>
          </w:p>
        </w:tc>
        <w:tc>
          <w:tcPr>
            <w:tcW w:w="706" w:type="dxa"/>
            <w:shd w:val="solid" w:color="FFFFFF" w:fill="auto"/>
          </w:tcPr>
          <w:p w14:paraId="7CDC0728" w14:textId="77777777" w:rsidR="00A10B25" w:rsidRDefault="00A10B25">
            <w:pPr>
              <w:pStyle w:val="TAC"/>
              <w:rPr>
                <w:rFonts w:cs="Arial"/>
                <w:sz w:val="16"/>
                <w:szCs w:val="16"/>
              </w:rPr>
            </w:pPr>
            <w:r>
              <w:rPr>
                <w:sz w:val="16"/>
                <w:szCs w:val="16"/>
              </w:rPr>
              <w:t>17.7.0</w:t>
            </w:r>
          </w:p>
        </w:tc>
      </w:tr>
      <w:tr w:rsidR="00A10B25" w14:paraId="4685F979" w14:textId="77777777">
        <w:tc>
          <w:tcPr>
            <w:tcW w:w="796" w:type="dxa"/>
            <w:shd w:val="solid" w:color="FFFFFF" w:fill="auto"/>
          </w:tcPr>
          <w:p w14:paraId="745112D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654BE6B1"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2BDDFD6D" w14:textId="77777777" w:rsidR="00A10B25" w:rsidRDefault="00A10B25">
            <w:pPr>
              <w:pStyle w:val="TAC"/>
              <w:rPr>
                <w:rFonts w:cs="Arial"/>
                <w:sz w:val="16"/>
                <w:szCs w:val="16"/>
              </w:rPr>
            </w:pPr>
            <w:r>
              <w:rPr>
                <w:sz w:val="16"/>
                <w:szCs w:val="16"/>
              </w:rPr>
              <w:t>CP-221135</w:t>
            </w:r>
          </w:p>
        </w:tc>
        <w:tc>
          <w:tcPr>
            <w:tcW w:w="523" w:type="dxa"/>
            <w:shd w:val="solid" w:color="FFFFFF" w:fill="auto"/>
          </w:tcPr>
          <w:p w14:paraId="7E50125D" w14:textId="77777777" w:rsidR="00A10B25" w:rsidRDefault="00A10B25">
            <w:pPr>
              <w:pStyle w:val="TAL"/>
              <w:rPr>
                <w:rFonts w:cs="Arial"/>
                <w:sz w:val="16"/>
                <w:szCs w:val="16"/>
              </w:rPr>
            </w:pPr>
            <w:r>
              <w:rPr>
                <w:sz w:val="16"/>
                <w:szCs w:val="16"/>
              </w:rPr>
              <w:t>0525</w:t>
            </w:r>
          </w:p>
        </w:tc>
        <w:tc>
          <w:tcPr>
            <w:tcW w:w="423" w:type="dxa"/>
            <w:shd w:val="solid" w:color="FFFFFF" w:fill="auto"/>
          </w:tcPr>
          <w:p w14:paraId="60DD7CD5"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2C0AEBBE"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3A02B53C" w14:textId="77777777" w:rsidR="00A10B25" w:rsidRDefault="00A10B25">
            <w:pPr>
              <w:pStyle w:val="TAL"/>
              <w:rPr>
                <w:rFonts w:cs="Arial"/>
                <w:sz w:val="16"/>
                <w:szCs w:val="16"/>
              </w:rPr>
            </w:pPr>
            <w:r>
              <w:rPr>
                <w:sz w:val="16"/>
                <w:szCs w:val="16"/>
              </w:rPr>
              <w:t>Correct common attributes in analytics result for subscription and analytics request</w:t>
            </w:r>
          </w:p>
        </w:tc>
        <w:tc>
          <w:tcPr>
            <w:tcW w:w="706" w:type="dxa"/>
            <w:shd w:val="solid" w:color="FFFFFF" w:fill="auto"/>
          </w:tcPr>
          <w:p w14:paraId="14EF9724" w14:textId="77777777" w:rsidR="00A10B25" w:rsidRDefault="00A10B25">
            <w:pPr>
              <w:pStyle w:val="TAC"/>
              <w:rPr>
                <w:rFonts w:cs="Arial"/>
                <w:sz w:val="16"/>
                <w:szCs w:val="16"/>
              </w:rPr>
            </w:pPr>
            <w:r>
              <w:rPr>
                <w:sz w:val="16"/>
                <w:szCs w:val="16"/>
              </w:rPr>
              <w:t>17.7.0</w:t>
            </w:r>
          </w:p>
        </w:tc>
      </w:tr>
      <w:tr w:rsidR="00A10B25" w14:paraId="7690AA91" w14:textId="77777777">
        <w:tc>
          <w:tcPr>
            <w:tcW w:w="796" w:type="dxa"/>
            <w:shd w:val="solid" w:color="FFFFFF" w:fill="auto"/>
          </w:tcPr>
          <w:p w14:paraId="1CC0760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E7D4ABB"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47A8AD64" w14:textId="77777777" w:rsidR="00A10B25" w:rsidRDefault="00A10B25">
            <w:pPr>
              <w:pStyle w:val="TAC"/>
              <w:rPr>
                <w:rFonts w:cs="Arial"/>
                <w:sz w:val="16"/>
                <w:szCs w:val="16"/>
              </w:rPr>
            </w:pPr>
            <w:r>
              <w:rPr>
                <w:sz w:val="16"/>
                <w:szCs w:val="16"/>
              </w:rPr>
              <w:t>CP-221135</w:t>
            </w:r>
          </w:p>
        </w:tc>
        <w:tc>
          <w:tcPr>
            <w:tcW w:w="523" w:type="dxa"/>
            <w:shd w:val="solid" w:color="FFFFFF" w:fill="auto"/>
          </w:tcPr>
          <w:p w14:paraId="2D10BDC8" w14:textId="77777777" w:rsidR="00A10B25" w:rsidRDefault="00A10B25">
            <w:pPr>
              <w:pStyle w:val="TAL"/>
              <w:rPr>
                <w:rFonts w:cs="Arial"/>
                <w:sz w:val="16"/>
                <w:szCs w:val="16"/>
              </w:rPr>
            </w:pPr>
            <w:r>
              <w:rPr>
                <w:sz w:val="16"/>
                <w:szCs w:val="16"/>
              </w:rPr>
              <w:t>0526</w:t>
            </w:r>
          </w:p>
        </w:tc>
        <w:tc>
          <w:tcPr>
            <w:tcW w:w="423" w:type="dxa"/>
            <w:shd w:val="solid" w:color="FFFFFF" w:fill="auto"/>
          </w:tcPr>
          <w:p w14:paraId="764D5D12"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10F87D51"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27EC56FB" w14:textId="77777777" w:rsidR="00A10B25" w:rsidRDefault="00A10B25">
            <w:pPr>
              <w:pStyle w:val="TAL"/>
              <w:rPr>
                <w:rFonts w:cs="Arial"/>
                <w:sz w:val="16"/>
                <w:szCs w:val="16"/>
              </w:rPr>
            </w:pPr>
            <w:r>
              <w:rPr>
                <w:sz w:val="16"/>
                <w:szCs w:val="16"/>
              </w:rPr>
              <w:t>Support of Time Window in Nnwdaf_DataManagement_Subscribe service operation</w:t>
            </w:r>
          </w:p>
        </w:tc>
        <w:tc>
          <w:tcPr>
            <w:tcW w:w="706" w:type="dxa"/>
            <w:shd w:val="solid" w:color="FFFFFF" w:fill="auto"/>
          </w:tcPr>
          <w:p w14:paraId="30D1AAC2" w14:textId="77777777" w:rsidR="00A10B25" w:rsidRDefault="00A10B25">
            <w:pPr>
              <w:pStyle w:val="TAC"/>
              <w:rPr>
                <w:rFonts w:cs="Arial"/>
                <w:sz w:val="16"/>
                <w:szCs w:val="16"/>
              </w:rPr>
            </w:pPr>
            <w:r>
              <w:rPr>
                <w:sz w:val="16"/>
                <w:szCs w:val="16"/>
              </w:rPr>
              <w:t>17.7.0</w:t>
            </w:r>
          </w:p>
        </w:tc>
      </w:tr>
      <w:tr w:rsidR="00A10B25" w14:paraId="3114C8B5" w14:textId="77777777">
        <w:tc>
          <w:tcPr>
            <w:tcW w:w="796" w:type="dxa"/>
            <w:shd w:val="solid" w:color="FFFFFF" w:fill="auto"/>
          </w:tcPr>
          <w:p w14:paraId="26EC719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57CD88F0"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030B410C" w14:textId="77777777" w:rsidR="00A10B25" w:rsidRDefault="00A10B25">
            <w:pPr>
              <w:pStyle w:val="TAC"/>
              <w:rPr>
                <w:rFonts w:cs="Arial"/>
                <w:sz w:val="16"/>
                <w:szCs w:val="16"/>
              </w:rPr>
            </w:pPr>
            <w:r>
              <w:rPr>
                <w:sz w:val="16"/>
                <w:szCs w:val="16"/>
              </w:rPr>
              <w:t>CP-221128</w:t>
            </w:r>
          </w:p>
        </w:tc>
        <w:tc>
          <w:tcPr>
            <w:tcW w:w="523" w:type="dxa"/>
            <w:shd w:val="solid" w:color="FFFFFF" w:fill="auto"/>
          </w:tcPr>
          <w:p w14:paraId="61CB2560" w14:textId="77777777" w:rsidR="00A10B25" w:rsidRDefault="00A10B25">
            <w:pPr>
              <w:pStyle w:val="TAL"/>
              <w:rPr>
                <w:rFonts w:cs="Arial"/>
                <w:sz w:val="16"/>
                <w:szCs w:val="16"/>
              </w:rPr>
            </w:pPr>
            <w:r>
              <w:rPr>
                <w:sz w:val="16"/>
                <w:szCs w:val="16"/>
              </w:rPr>
              <w:t>0528</w:t>
            </w:r>
          </w:p>
        </w:tc>
        <w:tc>
          <w:tcPr>
            <w:tcW w:w="423" w:type="dxa"/>
            <w:shd w:val="solid" w:color="FFFFFF" w:fill="auto"/>
          </w:tcPr>
          <w:p w14:paraId="4965C0AC"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5F9D6D6F"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357C2B31" w14:textId="77777777" w:rsidR="00A10B25" w:rsidRDefault="00A10B25">
            <w:pPr>
              <w:pStyle w:val="TAL"/>
              <w:rPr>
                <w:rFonts w:cs="Arial"/>
                <w:sz w:val="16"/>
                <w:szCs w:val="16"/>
              </w:rPr>
            </w:pPr>
            <w:r>
              <w:rPr>
                <w:sz w:val="16"/>
                <w:szCs w:val="16"/>
              </w:rPr>
              <w:t>Correction to Threshold value in QosSustainabilityInfo</w:t>
            </w:r>
          </w:p>
        </w:tc>
        <w:tc>
          <w:tcPr>
            <w:tcW w:w="706" w:type="dxa"/>
            <w:shd w:val="solid" w:color="FFFFFF" w:fill="auto"/>
          </w:tcPr>
          <w:p w14:paraId="7791D7E8" w14:textId="77777777" w:rsidR="00A10B25" w:rsidRDefault="00A10B25">
            <w:pPr>
              <w:pStyle w:val="TAC"/>
              <w:rPr>
                <w:rFonts w:cs="Arial"/>
                <w:sz w:val="16"/>
                <w:szCs w:val="16"/>
              </w:rPr>
            </w:pPr>
            <w:r>
              <w:rPr>
                <w:sz w:val="16"/>
                <w:szCs w:val="16"/>
              </w:rPr>
              <w:t>17.7.0</w:t>
            </w:r>
          </w:p>
        </w:tc>
      </w:tr>
      <w:tr w:rsidR="00A10B25" w14:paraId="29156C67" w14:textId="77777777">
        <w:tc>
          <w:tcPr>
            <w:tcW w:w="796" w:type="dxa"/>
            <w:shd w:val="solid" w:color="FFFFFF" w:fill="auto"/>
          </w:tcPr>
          <w:p w14:paraId="0564911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7E1FB257"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2109A546" w14:textId="77777777" w:rsidR="00A10B25" w:rsidRDefault="00A10B25">
            <w:pPr>
              <w:pStyle w:val="TAC"/>
              <w:rPr>
                <w:rFonts w:cs="Arial"/>
                <w:sz w:val="16"/>
                <w:szCs w:val="16"/>
              </w:rPr>
            </w:pPr>
            <w:r>
              <w:rPr>
                <w:sz w:val="16"/>
                <w:szCs w:val="16"/>
              </w:rPr>
              <w:t>CP-221128</w:t>
            </w:r>
          </w:p>
        </w:tc>
        <w:tc>
          <w:tcPr>
            <w:tcW w:w="523" w:type="dxa"/>
            <w:shd w:val="solid" w:color="FFFFFF" w:fill="auto"/>
          </w:tcPr>
          <w:p w14:paraId="0A16370A" w14:textId="77777777" w:rsidR="00A10B25" w:rsidRDefault="00A10B25">
            <w:pPr>
              <w:pStyle w:val="TAL"/>
              <w:rPr>
                <w:rFonts w:cs="Arial"/>
                <w:sz w:val="16"/>
                <w:szCs w:val="16"/>
              </w:rPr>
            </w:pPr>
            <w:r>
              <w:rPr>
                <w:sz w:val="16"/>
                <w:szCs w:val="16"/>
              </w:rPr>
              <w:t>0530</w:t>
            </w:r>
          </w:p>
        </w:tc>
        <w:tc>
          <w:tcPr>
            <w:tcW w:w="423" w:type="dxa"/>
            <w:shd w:val="solid" w:color="FFFFFF" w:fill="auto"/>
          </w:tcPr>
          <w:p w14:paraId="114A2E7D" w14:textId="77777777" w:rsidR="00A10B25" w:rsidRDefault="00A10B25">
            <w:pPr>
              <w:pStyle w:val="TAR"/>
              <w:rPr>
                <w:rFonts w:cs="Arial"/>
                <w:sz w:val="16"/>
                <w:szCs w:val="16"/>
              </w:rPr>
            </w:pPr>
          </w:p>
        </w:tc>
        <w:tc>
          <w:tcPr>
            <w:tcW w:w="423" w:type="dxa"/>
            <w:shd w:val="solid" w:color="FFFFFF" w:fill="auto"/>
          </w:tcPr>
          <w:p w14:paraId="65E61932"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47617E50" w14:textId="77777777" w:rsidR="00A10B25" w:rsidRDefault="00A10B25">
            <w:pPr>
              <w:pStyle w:val="TAL"/>
              <w:rPr>
                <w:rFonts w:cs="Arial"/>
                <w:sz w:val="16"/>
                <w:szCs w:val="16"/>
              </w:rPr>
            </w:pPr>
            <w:r>
              <w:rPr>
                <w:sz w:val="16"/>
                <w:szCs w:val="16"/>
              </w:rPr>
              <w:t>Correction to time period in CongestionInfo</w:t>
            </w:r>
          </w:p>
        </w:tc>
        <w:tc>
          <w:tcPr>
            <w:tcW w:w="706" w:type="dxa"/>
            <w:shd w:val="solid" w:color="FFFFFF" w:fill="auto"/>
          </w:tcPr>
          <w:p w14:paraId="0237932A" w14:textId="77777777" w:rsidR="00A10B25" w:rsidRDefault="00A10B25">
            <w:pPr>
              <w:pStyle w:val="TAC"/>
              <w:rPr>
                <w:rFonts w:cs="Arial"/>
                <w:sz w:val="16"/>
                <w:szCs w:val="16"/>
              </w:rPr>
            </w:pPr>
            <w:r>
              <w:rPr>
                <w:sz w:val="16"/>
                <w:szCs w:val="16"/>
              </w:rPr>
              <w:t>17.7.0</w:t>
            </w:r>
          </w:p>
        </w:tc>
      </w:tr>
      <w:tr w:rsidR="00A10B25" w14:paraId="7543172D" w14:textId="77777777">
        <w:tc>
          <w:tcPr>
            <w:tcW w:w="796" w:type="dxa"/>
            <w:shd w:val="solid" w:color="FFFFFF" w:fill="auto"/>
          </w:tcPr>
          <w:p w14:paraId="35EC837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4D7C20C1"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2E01729E" w14:textId="77777777" w:rsidR="00A10B25" w:rsidRDefault="00A10B25">
            <w:pPr>
              <w:pStyle w:val="TAC"/>
              <w:rPr>
                <w:rFonts w:cs="Arial"/>
                <w:sz w:val="16"/>
                <w:szCs w:val="16"/>
              </w:rPr>
            </w:pPr>
            <w:r>
              <w:rPr>
                <w:sz w:val="16"/>
                <w:szCs w:val="16"/>
              </w:rPr>
              <w:t>CP-221119</w:t>
            </w:r>
          </w:p>
        </w:tc>
        <w:tc>
          <w:tcPr>
            <w:tcW w:w="523" w:type="dxa"/>
            <w:shd w:val="solid" w:color="FFFFFF" w:fill="auto"/>
          </w:tcPr>
          <w:p w14:paraId="0896DD76" w14:textId="77777777" w:rsidR="00A10B25" w:rsidRDefault="00A10B25">
            <w:pPr>
              <w:pStyle w:val="TAL"/>
              <w:rPr>
                <w:rFonts w:cs="Arial"/>
                <w:sz w:val="16"/>
                <w:szCs w:val="16"/>
              </w:rPr>
            </w:pPr>
            <w:r>
              <w:rPr>
                <w:sz w:val="16"/>
                <w:szCs w:val="16"/>
              </w:rPr>
              <w:t>0536</w:t>
            </w:r>
          </w:p>
        </w:tc>
        <w:tc>
          <w:tcPr>
            <w:tcW w:w="423" w:type="dxa"/>
            <w:shd w:val="solid" w:color="FFFFFF" w:fill="auto"/>
          </w:tcPr>
          <w:p w14:paraId="1EBAA4FA"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7957CBA1"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382BE443" w14:textId="77777777" w:rsidR="00A10B25" w:rsidRDefault="00A10B25">
            <w:pPr>
              <w:pStyle w:val="TAL"/>
              <w:rPr>
                <w:rFonts w:cs="Arial"/>
                <w:sz w:val="16"/>
                <w:szCs w:val="16"/>
              </w:rPr>
            </w:pPr>
            <w:r>
              <w:rPr>
                <w:sz w:val="16"/>
                <w:szCs w:val="16"/>
              </w:rPr>
              <w:t>Correction to the re-used data types for the re-using Nnwdaf_AnalyticsInfo API</w:t>
            </w:r>
          </w:p>
        </w:tc>
        <w:tc>
          <w:tcPr>
            <w:tcW w:w="706" w:type="dxa"/>
            <w:shd w:val="solid" w:color="FFFFFF" w:fill="auto"/>
          </w:tcPr>
          <w:p w14:paraId="06E0B316" w14:textId="77777777" w:rsidR="00A10B25" w:rsidRDefault="00A10B25">
            <w:pPr>
              <w:pStyle w:val="TAC"/>
              <w:rPr>
                <w:rFonts w:cs="Arial"/>
                <w:sz w:val="16"/>
                <w:szCs w:val="16"/>
              </w:rPr>
            </w:pPr>
            <w:r>
              <w:rPr>
                <w:sz w:val="16"/>
                <w:szCs w:val="16"/>
              </w:rPr>
              <w:t>17.7.0</w:t>
            </w:r>
          </w:p>
        </w:tc>
      </w:tr>
      <w:tr w:rsidR="00A10B25" w14:paraId="1C5E8836" w14:textId="77777777">
        <w:tc>
          <w:tcPr>
            <w:tcW w:w="796" w:type="dxa"/>
            <w:shd w:val="solid" w:color="FFFFFF" w:fill="auto"/>
          </w:tcPr>
          <w:p w14:paraId="29DCFE6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E1976CA"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51EED908" w14:textId="77777777" w:rsidR="00A10B25" w:rsidRDefault="00A10B25">
            <w:pPr>
              <w:pStyle w:val="TAC"/>
              <w:rPr>
                <w:rFonts w:cs="Arial"/>
                <w:sz w:val="16"/>
                <w:szCs w:val="16"/>
              </w:rPr>
            </w:pPr>
            <w:r>
              <w:rPr>
                <w:sz w:val="16"/>
                <w:szCs w:val="16"/>
              </w:rPr>
              <w:t>CP-221155</w:t>
            </w:r>
          </w:p>
        </w:tc>
        <w:tc>
          <w:tcPr>
            <w:tcW w:w="523" w:type="dxa"/>
            <w:shd w:val="solid" w:color="FFFFFF" w:fill="auto"/>
          </w:tcPr>
          <w:p w14:paraId="5308E3D8" w14:textId="77777777" w:rsidR="00A10B25" w:rsidRDefault="00A10B25">
            <w:pPr>
              <w:pStyle w:val="TAL"/>
              <w:rPr>
                <w:rFonts w:cs="Arial"/>
                <w:sz w:val="16"/>
                <w:szCs w:val="16"/>
              </w:rPr>
            </w:pPr>
            <w:r>
              <w:rPr>
                <w:sz w:val="16"/>
                <w:szCs w:val="16"/>
              </w:rPr>
              <w:t>0537</w:t>
            </w:r>
          </w:p>
        </w:tc>
        <w:tc>
          <w:tcPr>
            <w:tcW w:w="423" w:type="dxa"/>
            <w:shd w:val="solid" w:color="FFFFFF" w:fill="auto"/>
          </w:tcPr>
          <w:p w14:paraId="1719AA71" w14:textId="77777777" w:rsidR="00A10B25" w:rsidRDefault="00A10B25">
            <w:pPr>
              <w:pStyle w:val="TAR"/>
              <w:rPr>
                <w:rFonts w:cs="Arial"/>
                <w:sz w:val="16"/>
                <w:szCs w:val="16"/>
              </w:rPr>
            </w:pPr>
            <w:r>
              <w:rPr>
                <w:rFonts w:hint="eastAsia"/>
                <w:sz w:val="16"/>
                <w:szCs w:val="16"/>
                <w:lang w:eastAsia="zh-CN"/>
              </w:rPr>
              <w:t>1</w:t>
            </w:r>
          </w:p>
        </w:tc>
        <w:tc>
          <w:tcPr>
            <w:tcW w:w="423" w:type="dxa"/>
            <w:shd w:val="solid" w:color="FFFFFF" w:fill="auto"/>
          </w:tcPr>
          <w:p w14:paraId="4EAC63C7"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67CA202" w14:textId="77777777" w:rsidR="00A10B25" w:rsidRDefault="00A10B25">
            <w:pPr>
              <w:pStyle w:val="TAL"/>
              <w:rPr>
                <w:rFonts w:cs="Arial"/>
                <w:sz w:val="16"/>
                <w:szCs w:val="16"/>
              </w:rPr>
            </w:pPr>
            <w:r>
              <w:rPr>
                <w:sz w:val="16"/>
                <w:szCs w:val="16"/>
              </w:rPr>
              <w:t>Update the apiVersion placeholder 29.520 Rel-17</w:t>
            </w:r>
          </w:p>
        </w:tc>
        <w:tc>
          <w:tcPr>
            <w:tcW w:w="706" w:type="dxa"/>
            <w:shd w:val="solid" w:color="FFFFFF" w:fill="auto"/>
          </w:tcPr>
          <w:p w14:paraId="366002F7" w14:textId="77777777" w:rsidR="00A10B25" w:rsidRDefault="00A10B25">
            <w:pPr>
              <w:pStyle w:val="TAC"/>
              <w:rPr>
                <w:rFonts w:cs="Arial"/>
                <w:sz w:val="16"/>
                <w:szCs w:val="16"/>
              </w:rPr>
            </w:pPr>
            <w:r>
              <w:rPr>
                <w:sz w:val="16"/>
                <w:szCs w:val="16"/>
              </w:rPr>
              <w:t>17.7.0</w:t>
            </w:r>
          </w:p>
        </w:tc>
      </w:tr>
      <w:tr w:rsidR="00A10B25" w14:paraId="3E9E4872" w14:textId="77777777">
        <w:tc>
          <w:tcPr>
            <w:tcW w:w="796" w:type="dxa"/>
            <w:shd w:val="solid" w:color="FFFFFF" w:fill="auto"/>
          </w:tcPr>
          <w:p w14:paraId="719C483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022-06</w:t>
            </w:r>
          </w:p>
        </w:tc>
        <w:tc>
          <w:tcPr>
            <w:tcW w:w="828" w:type="dxa"/>
            <w:shd w:val="solid" w:color="FFFFFF" w:fill="auto"/>
          </w:tcPr>
          <w:p w14:paraId="138B8CEC" w14:textId="77777777" w:rsidR="00A10B25" w:rsidRDefault="00A10B25">
            <w:pPr>
              <w:pStyle w:val="TAC"/>
              <w:rPr>
                <w:rFonts w:cs="Arial"/>
                <w:sz w:val="16"/>
                <w:szCs w:val="16"/>
              </w:rPr>
            </w:pPr>
            <w:r>
              <w:rPr>
                <w:sz w:val="16"/>
                <w:szCs w:val="16"/>
                <w:lang w:val="en-US" w:eastAsia="zh-CN"/>
              </w:rPr>
              <w:t>CT#96</w:t>
            </w:r>
          </w:p>
        </w:tc>
        <w:tc>
          <w:tcPr>
            <w:tcW w:w="1083" w:type="dxa"/>
            <w:shd w:val="solid" w:color="FFFFFF" w:fill="auto"/>
          </w:tcPr>
          <w:p w14:paraId="6BAA07E2" w14:textId="77777777" w:rsidR="00A10B25" w:rsidRDefault="00A10B25">
            <w:pPr>
              <w:pStyle w:val="TAC"/>
              <w:rPr>
                <w:rFonts w:cs="Arial"/>
                <w:sz w:val="16"/>
                <w:szCs w:val="16"/>
              </w:rPr>
            </w:pPr>
            <w:r>
              <w:rPr>
                <w:sz w:val="16"/>
                <w:szCs w:val="16"/>
              </w:rPr>
              <w:t>CP-221151</w:t>
            </w:r>
          </w:p>
        </w:tc>
        <w:tc>
          <w:tcPr>
            <w:tcW w:w="523" w:type="dxa"/>
            <w:shd w:val="solid" w:color="FFFFFF" w:fill="auto"/>
          </w:tcPr>
          <w:p w14:paraId="74FD543F" w14:textId="77777777" w:rsidR="00A10B25" w:rsidRDefault="00A10B25">
            <w:pPr>
              <w:pStyle w:val="TAL"/>
              <w:rPr>
                <w:rFonts w:cs="Arial"/>
                <w:sz w:val="16"/>
                <w:szCs w:val="16"/>
              </w:rPr>
            </w:pPr>
            <w:r>
              <w:rPr>
                <w:sz w:val="16"/>
                <w:szCs w:val="16"/>
              </w:rPr>
              <w:t>0538</w:t>
            </w:r>
          </w:p>
        </w:tc>
        <w:tc>
          <w:tcPr>
            <w:tcW w:w="423" w:type="dxa"/>
            <w:shd w:val="solid" w:color="FFFFFF" w:fill="auto"/>
          </w:tcPr>
          <w:p w14:paraId="3595EB80" w14:textId="77777777" w:rsidR="00A10B25" w:rsidRDefault="00A10B25">
            <w:pPr>
              <w:pStyle w:val="TAR"/>
              <w:rPr>
                <w:rFonts w:cs="Arial"/>
                <w:sz w:val="16"/>
                <w:szCs w:val="16"/>
              </w:rPr>
            </w:pPr>
          </w:p>
        </w:tc>
        <w:tc>
          <w:tcPr>
            <w:tcW w:w="423" w:type="dxa"/>
            <w:shd w:val="solid" w:color="FFFFFF" w:fill="auto"/>
          </w:tcPr>
          <w:p w14:paraId="537855A8"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A7AE4CC" w14:textId="77777777" w:rsidR="00A10B25" w:rsidRDefault="00A10B25">
            <w:pPr>
              <w:pStyle w:val="TAL"/>
              <w:rPr>
                <w:rFonts w:cs="Arial"/>
                <w:sz w:val="16"/>
                <w:szCs w:val="16"/>
              </w:rPr>
            </w:pPr>
            <w:r>
              <w:rPr>
                <w:sz w:val="16"/>
                <w:szCs w:val="16"/>
              </w:rPr>
              <w:t>Update of info and externalDocs fields</w:t>
            </w:r>
          </w:p>
        </w:tc>
        <w:tc>
          <w:tcPr>
            <w:tcW w:w="706" w:type="dxa"/>
            <w:shd w:val="solid" w:color="FFFFFF" w:fill="auto"/>
          </w:tcPr>
          <w:p w14:paraId="67A84CFC" w14:textId="77777777" w:rsidR="00A10B25" w:rsidRDefault="00A10B25">
            <w:pPr>
              <w:pStyle w:val="TAC"/>
              <w:rPr>
                <w:rFonts w:cs="Arial"/>
                <w:sz w:val="16"/>
                <w:szCs w:val="16"/>
              </w:rPr>
            </w:pPr>
            <w:r>
              <w:rPr>
                <w:sz w:val="16"/>
                <w:szCs w:val="16"/>
              </w:rPr>
              <w:t>17.7.0</w:t>
            </w:r>
          </w:p>
        </w:tc>
      </w:tr>
      <w:tr w:rsidR="00A10B25" w14:paraId="6787AD92" w14:textId="77777777">
        <w:tc>
          <w:tcPr>
            <w:tcW w:w="796" w:type="dxa"/>
            <w:shd w:val="solid" w:color="FFFFFF" w:fill="auto"/>
          </w:tcPr>
          <w:p w14:paraId="594E22A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2593D6A1"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339DAB4A" w14:textId="77777777" w:rsidR="00A10B25" w:rsidRDefault="00A10B25">
            <w:pPr>
              <w:pStyle w:val="TAC"/>
              <w:rPr>
                <w:rFonts w:cs="Arial"/>
                <w:sz w:val="16"/>
                <w:szCs w:val="16"/>
              </w:rPr>
            </w:pPr>
            <w:r>
              <w:rPr>
                <w:sz w:val="16"/>
                <w:szCs w:val="16"/>
              </w:rPr>
              <w:t>CP-222103</w:t>
            </w:r>
          </w:p>
        </w:tc>
        <w:tc>
          <w:tcPr>
            <w:tcW w:w="523" w:type="dxa"/>
            <w:shd w:val="solid" w:color="FFFFFF" w:fill="auto"/>
          </w:tcPr>
          <w:p w14:paraId="42C116B1" w14:textId="77777777" w:rsidR="00A10B25" w:rsidRDefault="00A10B25">
            <w:pPr>
              <w:pStyle w:val="TAL"/>
              <w:rPr>
                <w:rFonts w:cs="Arial"/>
                <w:sz w:val="16"/>
                <w:szCs w:val="16"/>
              </w:rPr>
            </w:pPr>
            <w:r>
              <w:rPr>
                <w:rFonts w:cs="Arial"/>
                <w:sz w:val="16"/>
                <w:szCs w:val="16"/>
              </w:rPr>
              <w:t>0463</w:t>
            </w:r>
          </w:p>
        </w:tc>
        <w:tc>
          <w:tcPr>
            <w:tcW w:w="423" w:type="dxa"/>
            <w:shd w:val="solid" w:color="FFFFFF" w:fill="auto"/>
          </w:tcPr>
          <w:p w14:paraId="049051DB" w14:textId="77777777" w:rsidR="00A10B25" w:rsidRDefault="00A10B25">
            <w:pPr>
              <w:pStyle w:val="TAR"/>
              <w:rPr>
                <w:rFonts w:cs="Arial"/>
                <w:sz w:val="16"/>
                <w:szCs w:val="16"/>
              </w:rPr>
            </w:pPr>
            <w:r>
              <w:rPr>
                <w:sz w:val="16"/>
              </w:rPr>
              <w:t>4</w:t>
            </w:r>
          </w:p>
        </w:tc>
        <w:tc>
          <w:tcPr>
            <w:tcW w:w="423" w:type="dxa"/>
            <w:shd w:val="solid" w:color="FFFFFF" w:fill="auto"/>
          </w:tcPr>
          <w:p w14:paraId="2FA0F1F6" w14:textId="77777777" w:rsidR="00A10B25" w:rsidRDefault="00A10B25">
            <w:pPr>
              <w:pStyle w:val="TAC"/>
              <w:rPr>
                <w:rFonts w:cs="Arial"/>
                <w:sz w:val="16"/>
                <w:szCs w:val="16"/>
              </w:rPr>
            </w:pPr>
            <w:r>
              <w:rPr>
                <w:sz w:val="16"/>
              </w:rPr>
              <w:t>F</w:t>
            </w:r>
          </w:p>
        </w:tc>
        <w:tc>
          <w:tcPr>
            <w:tcW w:w="4899" w:type="dxa"/>
            <w:shd w:val="solid" w:color="FFFFFF" w:fill="auto"/>
          </w:tcPr>
          <w:p w14:paraId="4C6F3512" w14:textId="77777777" w:rsidR="00A10B25" w:rsidRDefault="00A10B25">
            <w:pPr>
              <w:pStyle w:val="TAL"/>
              <w:rPr>
                <w:rFonts w:cs="Arial"/>
                <w:sz w:val="16"/>
                <w:szCs w:val="16"/>
              </w:rPr>
            </w:pPr>
            <w:r>
              <w:rPr>
                <w:sz w:val="16"/>
              </w:rPr>
              <w:t>Updates on analytics target period</w:t>
            </w:r>
          </w:p>
        </w:tc>
        <w:tc>
          <w:tcPr>
            <w:tcW w:w="706" w:type="dxa"/>
            <w:shd w:val="solid" w:color="FFFFFF" w:fill="auto"/>
          </w:tcPr>
          <w:p w14:paraId="6153D10C" w14:textId="77777777" w:rsidR="00A10B25" w:rsidRDefault="00A10B25">
            <w:pPr>
              <w:pStyle w:val="TAC"/>
              <w:rPr>
                <w:rFonts w:cs="Arial"/>
                <w:sz w:val="16"/>
                <w:szCs w:val="16"/>
              </w:rPr>
            </w:pPr>
            <w:r>
              <w:rPr>
                <w:sz w:val="16"/>
                <w:szCs w:val="16"/>
              </w:rPr>
              <w:t>17.8.0</w:t>
            </w:r>
          </w:p>
        </w:tc>
      </w:tr>
      <w:tr w:rsidR="00A10B25" w14:paraId="1D61A3ED" w14:textId="77777777">
        <w:tc>
          <w:tcPr>
            <w:tcW w:w="796" w:type="dxa"/>
            <w:shd w:val="solid" w:color="FFFFFF" w:fill="auto"/>
          </w:tcPr>
          <w:p w14:paraId="5B1AAFA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29D2606F"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6CA3AF9" w14:textId="77777777" w:rsidR="00A10B25" w:rsidRDefault="00A10B25">
            <w:pPr>
              <w:pStyle w:val="TAC"/>
              <w:rPr>
                <w:rFonts w:cs="Arial"/>
                <w:sz w:val="16"/>
                <w:szCs w:val="16"/>
              </w:rPr>
            </w:pPr>
            <w:r>
              <w:rPr>
                <w:sz w:val="16"/>
                <w:szCs w:val="16"/>
              </w:rPr>
              <w:t>CP-222103</w:t>
            </w:r>
          </w:p>
        </w:tc>
        <w:tc>
          <w:tcPr>
            <w:tcW w:w="523" w:type="dxa"/>
            <w:shd w:val="solid" w:color="FFFFFF" w:fill="auto"/>
          </w:tcPr>
          <w:p w14:paraId="17452239" w14:textId="77777777" w:rsidR="00A10B25" w:rsidRDefault="00A10B25">
            <w:pPr>
              <w:pStyle w:val="TAL"/>
              <w:rPr>
                <w:rFonts w:cs="Arial"/>
                <w:sz w:val="16"/>
                <w:szCs w:val="16"/>
              </w:rPr>
            </w:pPr>
            <w:r>
              <w:rPr>
                <w:rFonts w:cs="Arial"/>
                <w:sz w:val="16"/>
                <w:szCs w:val="16"/>
              </w:rPr>
              <w:t>0541</w:t>
            </w:r>
          </w:p>
        </w:tc>
        <w:tc>
          <w:tcPr>
            <w:tcW w:w="423" w:type="dxa"/>
            <w:shd w:val="solid" w:color="FFFFFF" w:fill="auto"/>
          </w:tcPr>
          <w:p w14:paraId="523EAE49" w14:textId="77777777" w:rsidR="00A10B25" w:rsidRDefault="00A10B25">
            <w:pPr>
              <w:pStyle w:val="TAR"/>
              <w:rPr>
                <w:rFonts w:cs="Arial"/>
                <w:sz w:val="16"/>
                <w:szCs w:val="16"/>
              </w:rPr>
            </w:pPr>
            <w:r>
              <w:rPr>
                <w:sz w:val="16"/>
              </w:rPr>
              <w:t>1</w:t>
            </w:r>
          </w:p>
        </w:tc>
        <w:tc>
          <w:tcPr>
            <w:tcW w:w="423" w:type="dxa"/>
            <w:shd w:val="solid" w:color="FFFFFF" w:fill="auto"/>
          </w:tcPr>
          <w:p w14:paraId="49B10E98" w14:textId="77777777" w:rsidR="00A10B25" w:rsidRDefault="00A10B25">
            <w:pPr>
              <w:pStyle w:val="TAC"/>
              <w:rPr>
                <w:rFonts w:cs="Arial"/>
                <w:sz w:val="16"/>
                <w:szCs w:val="16"/>
              </w:rPr>
            </w:pPr>
            <w:r>
              <w:rPr>
                <w:sz w:val="16"/>
              </w:rPr>
              <w:t>F</w:t>
            </w:r>
          </w:p>
        </w:tc>
        <w:tc>
          <w:tcPr>
            <w:tcW w:w="4899" w:type="dxa"/>
            <w:shd w:val="solid" w:color="FFFFFF" w:fill="auto"/>
          </w:tcPr>
          <w:p w14:paraId="2889C286" w14:textId="77777777" w:rsidR="00A10B25" w:rsidRDefault="00A10B25">
            <w:pPr>
              <w:pStyle w:val="TAL"/>
              <w:rPr>
                <w:rFonts w:cs="Arial"/>
                <w:sz w:val="16"/>
                <w:szCs w:val="16"/>
              </w:rPr>
            </w:pPr>
            <w:r>
              <w:rPr>
                <w:sz w:val="16"/>
              </w:rPr>
              <w:t>ML Model Application Error code addition</w:t>
            </w:r>
          </w:p>
        </w:tc>
        <w:tc>
          <w:tcPr>
            <w:tcW w:w="706" w:type="dxa"/>
            <w:shd w:val="solid" w:color="FFFFFF" w:fill="auto"/>
          </w:tcPr>
          <w:p w14:paraId="47F85856" w14:textId="77777777" w:rsidR="00A10B25" w:rsidRDefault="00A10B25">
            <w:pPr>
              <w:pStyle w:val="TAC"/>
              <w:rPr>
                <w:rFonts w:cs="Arial"/>
                <w:sz w:val="16"/>
                <w:szCs w:val="16"/>
              </w:rPr>
            </w:pPr>
            <w:r>
              <w:rPr>
                <w:sz w:val="16"/>
                <w:szCs w:val="16"/>
              </w:rPr>
              <w:t>17.8.0</w:t>
            </w:r>
          </w:p>
        </w:tc>
      </w:tr>
      <w:tr w:rsidR="00A10B25" w14:paraId="3B614F10" w14:textId="77777777">
        <w:tc>
          <w:tcPr>
            <w:tcW w:w="796" w:type="dxa"/>
            <w:shd w:val="solid" w:color="FFFFFF" w:fill="auto"/>
          </w:tcPr>
          <w:p w14:paraId="45DA75E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8EA8266"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7996E95" w14:textId="77777777" w:rsidR="00A10B25" w:rsidRDefault="00A10B25">
            <w:pPr>
              <w:pStyle w:val="TAC"/>
              <w:rPr>
                <w:rFonts w:cs="Arial"/>
                <w:sz w:val="16"/>
                <w:szCs w:val="16"/>
              </w:rPr>
            </w:pPr>
            <w:r>
              <w:rPr>
                <w:sz w:val="16"/>
                <w:szCs w:val="16"/>
              </w:rPr>
              <w:t>CP-222103</w:t>
            </w:r>
          </w:p>
        </w:tc>
        <w:tc>
          <w:tcPr>
            <w:tcW w:w="523" w:type="dxa"/>
            <w:shd w:val="solid" w:color="FFFFFF" w:fill="auto"/>
          </w:tcPr>
          <w:p w14:paraId="2433F058" w14:textId="77777777" w:rsidR="00A10B25" w:rsidRDefault="00A10B25">
            <w:pPr>
              <w:pStyle w:val="TAL"/>
              <w:rPr>
                <w:rFonts w:cs="Arial"/>
                <w:sz w:val="16"/>
                <w:szCs w:val="16"/>
              </w:rPr>
            </w:pPr>
            <w:r>
              <w:rPr>
                <w:rFonts w:cs="Arial"/>
                <w:sz w:val="16"/>
                <w:szCs w:val="16"/>
              </w:rPr>
              <w:t>0542</w:t>
            </w:r>
          </w:p>
        </w:tc>
        <w:tc>
          <w:tcPr>
            <w:tcW w:w="423" w:type="dxa"/>
            <w:shd w:val="solid" w:color="FFFFFF" w:fill="auto"/>
          </w:tcPr>
          <w:p w14:paraId="77982BDE" w14:textId="77777777" w:rsidR="00A10B25" w:rsidRDefault="00A10B25">
            <w:pPr>
              <w:pStyle w:val="TAR"/>
              <w:rPr>
                <w:rFonts w:cs="Arial"/>
                <w:sz w:val="16"/>
                <w:szCs w:val="16"/>
              </w:rPr>
            </w:pPr>
            <w:r>
              <w:rPr>
                <w:sz w:val="16"/>
              </w:rPr>
              <w:t>2</w:t>
            </w:r>
          </w:p>
        </w:tc>
        <w:tc>
          <w:tcPr>
            <w:tcW w:w="423" w:type="dxa"/>
            <w:shd w:val="solid" w:color="FFFFFF" w:fill="auto"/>
          </w:tcPr>
          <w:p w14:paraId="23D7E3ED" w14:textId="77777777" w:rsidR="00A10B25" w:rsidRDefault="00A10B25">
            <w:pPr>
              <w:pStyle w:val="TAC"/>
              <w:rPr>
                <w:rFonts w:cs="Arial"/>
                <w:sz w:val="16"/>
                <w:szCs w:val="16"/>
              </w:rPr>
            </w:pPr>
            <w:r>
              <w:rPr>
                <w:sz w:val="16"/>
              </w:rPr>
              <w:t>F</w:t>
            </w:r>
          </w:p>
        </w:tc>
        <w:tc>
          <w:tcPr>
            <w:tcW w:w="4899" w:type="dxa"/>
            <w:shd w:val="solid" w:color="FFFFFF" w:fill="auto"/>
          </w:tcPr>
          <w:p w14:paraId="2C4FD3BD" w14:textId="77777777" w:rsidR="00A10B25" w:rsidRDefault="00A10B25">
            <w:pPr>
              <w:pStyle w:val="TAL"/>
              <w:rPr>
                <w:rFonts w:cs="Arial"/>
                <w:sz w:val="16"/>
                <w:szCs w:val="16"/>
              </w:rPr>
            </w:pPr>
            <w:r>
              <w:rPr>
                <w:sz w:val="16"/>
              </w:rPr>
              <w:t>Correction of UPF information for Service Experience and DN performance</w:t>
            </w:r>
          </w:p>
        </w:tc>
        <w:tc>
          <w:tcPr>
            <w:tcW w:w="706" w:type="dxa"/>
            <w:shd w:val="solid" w:color="FFFFFF" w:fill="auto"/>
          </w:tcPr>
          <w:p w14:paraId="0D7ACEEF" w14:textId="77777777" w:rsidR="00A10B25" w:rsidRDefault="00A10B25">
            <w:pPr>
              <w:pStyle w:val="TAC"/>
              <w:rPr>
                <w:rFonts w:cs="Arial"/>
                <w:sz w:val="16"/>
                <w:szCs w:val="16"/>
              </w:rPr>
            </w:pPr>
            <w:r>
              <w:rPr>
                <w:sz w:val="16"/>
                <w:szCs w:val="16"/>
              </w:rPr>
              <w:t>17.8.0</w:t>
            </w:r>
          </w:p>
        </w:tc>
      </w:tr>
      <w:tr w:rsidR="00A10B25" w14:paraId="378A54F6" w14:textId="77777777">
        <w:tc>
          <w:tcPr>
            <w:tcW w:w="796" w:type="dxa"/>
            <w:shd w:val="solid" w:color="FFFFFF" w:fill="auto"/>
          </w:tcPr>
          <w:p w14:paraId="1F22E10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182040BC"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286028B1" w14:textId="77777777" w:rsidR="00A10B25" w:rsidRDefault="00A10B25">
            <w:pPr>
              <w:pStyle w:val="TAC"/>
              <w:rPr>
                <w:rFonts w:cs="Arial"/>
                <w:sz w:val="16"/>
                <w:szCs w:val="16"/>
              </w:rPr>
            </w:pPr>
            <w:r>
              <w:rPr>
                <w:sz w:val="16"/>
                <w:szCs w:val="16"/>
              </w:rPr>
              <w:t>CP-222102</w:t>
            </w:r>
          </w:p>
        </w:tc>
        <w:tc>
          <w:tcPr>
            <w:tcW w:w="523" w:type="dxa"/>
            <w:shd w:val="solid" w:color="FFFFFF" w:fill="auto"/>
          </w:tcPr>
          <w:p w14:paraId="0C05D137" w14:textId="77777777" w:rsidR="00A10B25" w:rsidRDefault="00A10B25">
            <w:pPr>
              <w:pStyle w:val="TAL"/>
              <w:rPr>
                <w:rFonts w:cs="Arial"/>
                <w:sz w:val="16"/>
                <w:szCs w:val="16"/>
              </w:rPr>
            </w:pPr>
            <w:r>
              <w:rPr>
                <w:rFonts w:cs="Arial"/>
                <w:sz w:val="16"/>
                <w:szCs w:val="16"/>
              </w:rPr>
              <w:t>0543</w:t>
            </w:r>
          </w:p>
        </w:tc>
        <w:tc>
          <w:tcPr>
            <w:tcW w:w="423" w:type="dxa"/>
            <w:shd w:val="solid" w:color="FFFFFF" w:fill="auto"/>
          </w:tcPr>
          <w:p w14:paraId="5637E653" w14:textId="77777777" w:rsidR="00A10B25" w:rsidRDefault="00A10B25">
            <w:pPr>
              <w:pStyle w:val="TAR"/>
              <w:rPr>
                <w:rFonts w:cs="Arial"/>
                <w:sz w:val="16"/>
                <w:szCs w:val="16"/>
              </w:rPr>
            </w:pPr>
            <w:r>
              <w:rPr>
                <w:sz w:val="16"/>
              </w:rPr>
              <w:t>1</w:t>
            </w:r>
          </w:p>
        </w:tc>
        <w:tc>
          <w:tcPr>
            <w:tcW w:w="423" w:type="dxa"/>
            <w:shd w:val="solid" w:color="FFFFFF" w:fill="auto"/>
          </w:tcPr>
          <w:p w14:paraId="398BD299" w14:textId="77777777" w:rsidR="00A10B25" w:rsidRDefault="00A10B25">
            <w:pPr>
              <w:pStyle w:val="TAC"/>
              <w:rPr>
                <w:rFonts w:cs="Arial"/>
                <w:sz w:val="16"/>
                <w:szCs w:val="16"/>
              </w:rPr>
            </w:pPr>
            <w:r>
              <w:rPr>
                <w:sz w:val="16"/>
              </w:rPr>
              <w:t>B</w:t>
            </w:r>
          </w:p>
        </w:tc>
        <w:tc>
          <w:tcPr>
            <w:tcW w:w="4899" w:type="dxa"/>
            <w:shd w:val="solid" w:color="FFFFFF" w:fill="auto"/>
          </w:tcPr>
          <w:p w14:paraId="441B0642" w14:textId="77777777" w:rsidR="00A10B25" w:rsidRDefault="00A10B25">
            <w:pPr>
              <w:pStyle w:val="TAL"/>
              <w:rPr>
                <w:rFonts w:cs="Arial"/>
                <w:sz w:val="16"/>
                <w:szCs w:val="16"/>
              </w:rPr>
            </w:pPr>
            <w:r>
              <w:rPr>
                <w:sz w:val="16"/>
              </w:rPr>
              <w:t>Update Dispersion Analytics for missing conditional descriptions</w:t>
            </w:r>
          </w:p>
        </w:tc>
        <w:tc>
          <w:tcPr>
            <w:tcW w:w="706" w:type="dxa"/>
            <w:shd w:val="solid" w:color="FFFFFF" w:fill="auto"/>
          </w:tcPr>
          <w:p w14:paraId="5BCBE12D" w14:textId="77777777" w:rsidR="00A10B25" w:rsidRDefault="00A10B25">
            <w:pPr>
              <w:pStyle w:val="TAC"/>
              <w:rPr>
                <w:rFonts w:cs="Arial"/>
                <w:sz w:val="16"/>
                <w:szCs w:val="16"/>
              </w:rPr>
            </w:pPr>
            <w:r>
              <w:rPr>
                <w:sz w:val="16"/>
                <w:szCs w:val="16"/>
              </w:rPr>
              <w:t>17.8.0</w:t>
            </w:r>
          </w:p>
        </w:tc>
      </w:tr>
      <w:tr w:rsidR="00A10B25" w14:paraId="40BB07B0" w14:textId="77777777">
        <w:tc>
          <w:tcPr>
            <w:tcW w:w="796" w:type="dxa"/>
            <w:shd w:val="solid" w:color="FFFFFF" w:fill="auto"/>
          </w:tcPr>
          <w:p w14:paraId="50EA447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4652A1E4"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6B1974ED" w14:textId="77777777" w:rsidR="00A10B25" w:rsidRDefault="00A10B25">
            <w:pPr>
              <w:pStyle w:val="TAC"/>
              <w:rPr>
                <w:rFonts w:cs="Arial"/>
                <w:sz w:val="16"/>
                <w:szCs w:val="16"/>
              </w:rPr>
            </w:pPr>
            <w:r>
              <w:rPr>
                <w:sz w:val="16"/>
                <w:szCs w:val="16"/>
              </w:rPr>
              <w:t>CP-222101</w:t>
            </w:r>
          </w:p>
        </w:tc>
        <w:tc>
          <w:tcPr>
            <w:tcW w:w="523" w:type="dxa"/>
            <w:shd w:val="solid" w:color="FFFFFF" w:fill="auto"/>
          </w:tcPr>
          <w:p w14:paraId="4AA7A4C7" w14:textId="77777777" w:rsidR="00A10B25" w:rsidRDefault="00A10B25">
            <w:pPr>
              <w:pStyle w:val="TAL"/>
              <w:rPr>
                <w:rFonts w:cs="Arial"/>
                <w:sz w:val="16"/>
                <w:szCs w:val="16"/>
              </w:rPr>
            </w:pPr>
            <w:r>
              <w:rPr>
                <w:rFonts w:cs="Arial"/>
                <w:sz w:val="16"/>
                <w:szCs w:val="16"/>
              </w:rPr>
              <w:t>0544</w:t>
            </w:r>
          </w:p>
        </w:tc>
        <w:tc>
          <w:tcPr>
            <w:tcW w:w="423" w:type="dxa"/>
            <w:shd w:val="solid" w:color="FFFFFF" w:fill="auto"/>
          </w:tcPr>
          <w:p w14:paraId="1C6949BA" w14:textId="77777777" w:rsidR="00A10B25" w:rsidRDefault="00A10B25">
            <w:pPr>
              <w:pStyle w:val="TAR"/>
              <w:rPr>
                <w:rFonts w:cs="Arial"/>
                <w:sz w:val="16"/>
                <w:szCs w:val="16"/>
              </w:rPr>
            </w:pPr>
          </w:p>
        </w:tc>
        <w:tc>
          <w:tcPr>
            <w:tcW w:w="423" w:type="dxa"/>
            <w:shd w:val="solid" w:color="FFFFFF" w:fill="auto"/>
          </w:tcPr>
          <w:p w14:paraId="0E3E1979" w14:textId="77777777" w:rsidR="00A10B25" w:rsidRDefault="00A10B25">
            <w:pPr>
              <w:pStyle w:val="TAC"/>
              <w:rPr>
                <w:rFonts w:cs="Arial"/>
                <w:sz w:val="16"/>
                <w:szCs w:val="16"/>
              </w:rPr>
            </w:pPr>
            <w:r>
              <w:rPr>
                <w:sz w:val="16"/>
              </w:rPr>
              <w:t>F</w:t>
            </w:r>
          </w:p>
        </w:tc>
        <w:tc>
          <w:tcPr>
            <w:tcW w:w="4899" w:type="dxa"/>
            <w:shd w:val="solid" w:color="FFFFFF" w:fill="auto"/>
          </w:tcPr>
          <w:p w14:paraId="7F63F392" w14:textId="77777777" w:rsidR="00A10B25" w:rsidRDefault="00A10B25">
            <w:pPr>
              <w:pStyle w:val="TAL"/>
              <w:rPr>
                <w:rFonts w:cs="Arial"/>
                <w:sz w:val="16"/>
                <w:szCs w:val="16"/>
              </w:rPr>
            </w:pPr>
            <w:r>
              <w:rPr>
                <w:sz w:val="16"/>
              </w:rPr>
              <w:t>Update re-used data type for Nnwdaf_ AnalyticsInfo Service API</w:t>
            </w:r>
          </w:p>
        </w:tc>
        <w:tc>
          <w:tcPr>
            <w:tcW w:w="706" w:type="dxa"/>
            <w:shd w:val="solid" w:color="FFFFFF" w:fill="auto"/>
          </w:tcPr>
          <w:p w14:paraId="38842638" w14:textId="77777777" w:rsidR="00A10B25" w:rsidRDefault="00A10B25">
            <w:pPr>
              <w:pStyle w:val="TAC"/>
              <w:rPr>
                <w:rFonts w:cs="Arial"/>
                <w:sz w:val="16"/>
                <w:szCs w:val="16"/>
              </w:rPr>
            </w:pPr>
            <w:r>
              <w:rPr>
                <w:sz w:val="16"/>
                <w:szCs w:val="16"/>
              </w:rPr>
              <w:t>17.8.0</w:t>
            </w:r>
          </w:p>
        </w:tc>
      </w:tr>
      <w:tr w:rsidR="00A10B25" w14:paraId="1170431B" w14:textId="77777777">
        <w:tc>
          <w:tcPr>
            <w:tcW w:w="796" w:type="dxa"/>
            <w:shd w:val="solid" w:color="FFFFFF" w:fill="auto"/>
          </w:tcPr>
          <w:p w14:paraId="6222C08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A3FFF56"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3433645A" w14:textId="77777777" w:rsidR="00A10B25" w:rsidRDefault="00A10B25">
            <w:pPr>
              <w:pStyle w:val="TAC"/>
              <w:rPr>
                <w:rFonts w:cs="Arial"/>
                <w:sz w:val="16"/>
                <w:szCs w:val="16"/>
              </w:rPr>
            </w:pPr>
            <w:r>
              <w:rPr>
                <w:sz w:val="16"/>
                <w:szCs w:val="16"/>
              </w:rPr>
              <w:t>CP-222101</w:t>
            </w:r>
          </w:p>
        </w:tc>
        <w:tc>
          <w:tcPr>
            <w:tcW w:w="523" w:type="dxa"/>
            <w:shd w:val="solid" w:color="FFFFFF" w:fill="auto"/>
          </w:tcPr>
          <w:p w14:paraId="329DAFEE" w14:textId="77777777" w:rsidR="00A10B25" w:rsidRDefault="00A10B25">
            <w:pPr>
              <w:pStyle w:val="TAL"/>
              <w:rPr>
                <w:rFonts w:cs="Arial"/>
                <w:sz w:val="16"/>
                <w:szCs w:val="16"/>
              </w:rPr>
            </w:pPr>
            <w:r>
              <w:rPr>
                <w:rFonts w:cs="Arial"/>
                <w:sz w:val="16"/>
                <w:szCs w:val="16"/>
              </w:rPr>
              <w:t>0545</w:t>
            </w:r>
          </w:p>
        </w:tc>
        <w:tc>
          <w:tcPr>
            <w:tcW w:w="423" w:type="dxa"/>
            <w:shd w:val="solid" w:color="FFFFFF" w:fill="auto"/>
          </w:tcPr>
          <w:p w14:paraId="66731221" w14:textId="77777777" w:rsidR="00A10B25" w:rsidRDefault="00A10B25">
            <w:pPr>
              <w:pStyle w:val="TAR"/>
              <w:rPr>
                <w:rFonts w:cs="Arial"/>
                <w:sz w:val="16"/>
                <w:szCs w:val="16"/>
              </w:rPr>
            </w:pPr>
          </w:p>
        </w:tc>
        <w:tc>
          <w:tcPr>
            <w:tcW w:w="423" w:type="dxa"/>
            <w:shd w:val="solid" w:color="FFFFFF" w:fill="auto"/>
          </w:tcPr>
          <w:p w14:paraId="678B5F91" w14:textId="77777777" w:rsidR="00A10B25" w:rsidRDefault="00A10B25">
            <w:pPr>
              <w:pStyle w:val="TAC"/>
              <w:rPr>
                <w:rFonts w:cs="Arial"/>
                <w:sz w:val="16"/>
                <w:szCs w:val="16"/>
              </w:rPr>
            </w:pPr>
            <w:r>
              <w:rPr>
                <w:sz w:val="16"/>
              </w:rPr>
              <w:t>F</w:t>
            </w:r>
          </w:p>
        </w:tc>
        <w:tc>
          <w:tcPr>
            <w:tcW w:w="4899" w:type="dxa"/>
            <w:shd w:val="solid" w:color="FFFFFF" w:fill="auto"/>
          </w:tcPr>
          <w:p w14:paraId="68DE26DF" w14:textId="77777777" w:rsidR="00A10B25" w:rsidRDefault="00A10B25">
            <w:pPr>
              <w:pStyle w:val="TAL"/>
              <w:rPr>
                <w:rFonts w:cs="Arial"/>
                <w:sz w:val="16"/>
                <w:szCs w:val="16"/>
              </w:rPr>
            </w:pPr>
            <w:r>
              <w:rPr>
                <w:sz w:val="16"/>
              </w:rPr>
              <w:t>Update re-used data types for Nnwdaf_EventsSubscription Service API</w:t>
            </w:r>
          </w:p>
        </w:tc>
        <w:tc>
          <w:tcPr>
            <w:tcW w:w="706" w:type="dxa"/>
            <w:shd w:val="solid" w:color="FFFFFF" w:fill="auto"/>
          </w:tcPr>
          <w:p w14:paraId="2D863A1D" w14:textId="77777777" w:rsidR="00A10B25" w:rsidRDefault="00A10B25">
            <w:pPr>
              <w:pStyle w:val="TAC"/>
              <w:rPr>
                <w:rFonts w:cs="Arial"/>
                <w:sz w:val="16"/>
                <w:szCs w:val="16"/>
              </w:rPr>
            </w:pPr>
            <w:r>
              <w:rPr>
                <w:sz w:val="16"/>
                <w:szCs w:val="16"/>
              </w:rPr>
              <w:t>17.8.0</w:t>
            </w:r>
          </w:p>
        </w:tc>
      </w:tr>
      <w:tr w:rsidR="00A10B25" w14:paraId="47BCD044" w14:textId="77777777">
        <w:tc>
          <w:tcPr>
            <w:tcW w:w="796" w:type="dxa"/>
            <w:shd w:val="solid" w:color="FFFFFF" w:fill="auto"/>
          </w:tcPr>
          <w:p w14:paraId="1ACB0AB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7A68141B"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5D83E08" w14:textId="77777777" w:rsidR="00A10B25" w:rsidRDefault="00A10B25">
            <w:pPr>
              <w:pStyle w:val="TAC"/>
              <w:rPr>
                <w:rFonts w:cs="Arial"/>
                <w:sz w:val="16"/>
                <w:szCs w:val="16"/>
              </w:rPr>
            </w:pPr>
            <w:r>
              <w:rPr>
                <w:sz w:val="16"/>
                <w:szCs w:val="16"/>
              </w:rPr>
              <w:t>CP-222104</w:t>
            </w:r>
          </w:p>
        </w:tc>
        <w:tc>
          <w:tcPr>
            <w:tcW w:w="523" w:type="dxa"/>
            <w:shd w:val="solid" w:color="FFFFFF" w:fill="auto"/>
          </w:tcPr>
          <w:p w14:paraId="53D073E0" w14:textId="77777777" w:rsidR="00A10B25" w:rsidRDefault="00A10B25">
            <w:pPr>
              <w:pStyle w:val="TAL"/>
              <w:rPr>
                <w:rFonts w:cs="Arial"/>
                <w:sz w:val="16"/>
                <w:szCs w:val="16"/>
              </w:rPr>
            </w:pPr>
            <w:r>
              <w:rPr>
                <w:rFonts w:cs="Arial"/>
                <w:sz w:val="16"/>
                <w:szCs w:val="16"/>
              </w:rPr>
              <w:t>0546</w:t>
            </w:r>
          </w:p>
        </w:tc>
        <w:tc>
          <w:tcPr>
            <w:tcW w:w="423" w:type="dxa"/>
            <w:shd w:val="solid" w:color="FFFFFF" w:fill="auto"/>
          </w:tcPr>
          <w:p w14:paraId="7EFA3056" w14:textId="77777777" w:rsidR="00A10B25" w:rsidRDefault="00A10B25">
            <w:pPr>
              <w:pStyle w:val="TAR"/>
              <w:rPr>
                <w:rFonts w:cs="Arial"/>
                <w:sz w:val="16"/>
                <w:szCs w:val="16"/>
              </w:rPr>
            </w:pPr>
            <w:r>
              <w:rPr>
                <w:sz w:val="16"/>
              </w:rPr>
              <w:t>1</w:t>
            </w:r>
          </w:p>
        </w:tc>
        <w:tc>
          <w:tcPr>
            <w:tcW w:w="423" w:type="dxa"/>
            <w:shd w:val="solid" w:color="FFFFFF" w:fill="auto"/>
          </w:tcPr>
          <w:p w14:paraId="5F1D5CE2" w14:textId="77777777" w:rsidR="00A10B25" w:rsidRDefault="00A10B25">
            <w:pPr>
              <w:pStyle w:val="TAC"/>
              <w:rPr>
                <w:rFonts w:cs="Arial"/>
                <w:sz w:val="16"/>
                <w:szCs w:val="16"/>
              </w:rPr>
            </w:pPr>
            <w:r>
              <w:rPr>
                <w:sz w:val="16"/>
              </w:rPr>
              <w:t>F</w:t>
            </w:r>
          </w:p>
        </w:tc>
        <w:tc>
          <w:tcPr>
            <w:tcW w:w="4899" w:type="dxa"/>
            <w:shd w:val="solid" w:color="FFFFFF" w:fill="auto"/>
          </w:tcPr>
          <w:p w14:paraId="04813DDF" w14:textId="77777777" w:rsidR="00A10B25" w:rsidRDefault="00A10B25">
            <w:pPr>
              <w:pStyle w:val="TAL"/>
              <w:rPr>
                <w:rFonts w:cs="Arial"/>
                <w:sz w:val="16"/>
                <w:szCs w:val="16"/>
              </w:rPr>
            </w:pPr>
            <w:r>
              <w:rPr>
                <w:sz w:val="16"/>
              </w:rPr>
              <w:t>Update inputs of Nnwdaf_DataManagement service</w:t>
            </w:r>
          </w:p>
        </w:tc>
        <w:tc>
          <w:tcPr>
            <w:tcW w:w="706" w:type="dxa"/>
            <w:shd w:val="solid" w:color="FFFFFF" w:fill="auto"/>
          </w:tcPr>
          <w:p w14:paraId="6D2F3979" w14:textId="77777777" w:rsidR="00A10B25" w:rsidRDefault="00A10B25">
            <w:pPr>
              <w:pStyle w:val="TAC"/>
              <w:rPr>
                <w:rFonts w:cs="Arial"/>
                <w:sz w:val="16"/>
                <w:szCs w:val="16"/>
              </w:rPr>
            </w:pPr>
            <w:r>
              <w:rPr>
                <w:sz w:val="16"/>
                <w:szCs w:val="16"/>
              </w:rPr>
              <w:t>17.8.0</w:t>
            </w:r>
          </w:p>
        </w:tc>
      </w:tr>
      <w:tr w:rsidR="00A10B25" w14:paraId="48F625C1" w14:textId="77777777">
        <w:tc>
          <w:tcPr>
            <w:tcW w:w="796" w:type="dxa"/>
            <w:shd w:val="solid" w:color="FFFFFF" w:fill="auto"/>
          </w:tcPr>
          <w:p w14:paraId="318E9D8A"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473E92FF"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469A0EA3" w14:textId="77777777" w:rsidR="00A10B25" w:rsidRDefault="00A10B25">
            <w:pPr>
              <w:pStyle w:val="TAC"/>
              <w:rPr>
                <w:rFonts w:cs="Arial"/>
                <w:sz w:val="16"/>
                <w:szCs w:val="16"/>
              </w:rPr>
            </w:pPr>
            <w:r>
              <w:rPr>
                <w:sz w:val="16"/>
                <w:szCs w:val="16"/>
              </w:rPr>
              <w:t>CP-222102</w:t>
            </w:r>
          </w:p>
        </w:tc>
        <w:tc>
          <w:tcPr>
            <w:tcW w:w="523" w:type="dxa"/>
            <w:shd w:val="solid" w:color="FFFFFF" w:fill="auto"/>
          </w:tcPr>
          <w:p w14:paraId="1F30606E" w14:textId="77777777" w:rsidR="00A10B25" w:rsidRDefault="00A10B25">
            <w:pPr>
              <w:pStyle w:val="TAL"/>
              <w:rPr>
                <w:rFonts w:cs="Arial"/>
                <w:sz w:val="16"/>
                <w:szCs w:val="16"/>
              </w:rPr>
            </w:pPr>
            <w:r>
              <w:rPr>
                <w:rFonts w:cs="Arial"/>
                <w:sz w:val="16"/>
                <w:szCs w:val="16"/>
              </w:rPr>
              <w:t>0547</w:t>
            </w:r>
          </w:p>
        </w:tc>
        <w:tc>
          <w:tcPr>
            <w:tcW w:w="423" w:type="dxa"/>
            <w:shd w:val="solid" w:color="FFFFFF" w:fill="auto"/>
          </w:tcPr>
          <w:p w14:paraId="1DF00DF1" w14:textId="77777777" w:rsidR="00A10B25" w:rsidRDefault="00A10B25">
            <w:pPr>
              <w:pStyle w:val="TAR"/>
              <w:rPr>
                <w:rFonts w:cs="Arial"/>
                <w:sz w:val="16"/>
                <w:szCs w:val="16"/>
              </w:rPr>
            </w:pPr>
            <w:r>
              <w:rPr>
                <w:sz w:val="16"/>
              </w:rPr>
              <w:t>1</w:t>
            </w:r>
          </w:p>
        </w:tc>
        <w:tc>
          <w:tcPr>
            <w:tcW w:w="423" w:type="dxa"/>
            <w:shd w:val="solid" w:color="FFFFFF" w:fill="auto"/>
          </w:tcPr>
          <w:p w14:paraId="1D538FF3" w14:textId="77777777" w:rsidR="00A10B25" w:rsidRDefault="00A10B25">
            <w:pPr>
              <w:pStyle w:val="TAC"/>
              <w:rPr>
                <w:rFonts w:cs="Arial"/>
                <w:sz w:val="16"/>
                <w:szCs w:val="16"/>
              </w:rPr>
            </w:pPr>
            <w:r>
              <w:rPr>
                <w:sz w:val="16"/>
              </w:rPr>
              <w:t>F</w:t>
            </w:r>
          </w:p>
        </w:tc>
        <w:tc>
          <w:tcPr>
            <w:tcW w:w="4899" w:type="dxa"/>
            <w:shd w:val="solid" w:color="FFFFFF" w:fill="auto"/>
          </w:tcPr>
          <w:p w14:paraId="29C61600" w14:textId="77777777" w:rsidR="00A10B25" w:rsidRDefault="00A10B25">
            <w:pPr>
              <w:pStyle w:val="TAL"/>
              <w:rPr>
                <w:rFonts w:cs="Arial"/>
                <w:sz w:val="16"/>
                <w:szCs w:val="16"/>
              </w:rPr>
            </w:pPr>
            <w:r>
              <w:rPr>
                <w:sz w:val="16"/>
              </w:rPr>
              <w:t>Removal of repetition in HTTP error response</w:t>
            </w:r>
          </w:p>
        </w:tc>
        <w:tc>
          <w:tcPr>
            <w:tcW w:w="706" w:type="dxa"/>
            <w:shd w:val="solid" w:color="FFFFFF" w:fill="auto"/>
          </w:tcPr>
          <w:p w14:paraId="2F46C4BC" w14:textId="77777777" w:rsidR="00A10B25" w:rsidRDefault="00A10B25">
            <w:pPr>
              <w:pStyle w:val="TAC"/>
              <w:rPr>
                <w:rFonts w:cs="Arial"/>
                <w:sz w:val="16"/>
                <w:szCs w:val="16"/>
              </w:rPr>
            </w:pPr>
            <w:r>
              <w:rPr>
                <w:sz w:val="16"/>
                <w:szCs w:val="16"/>
              </w:rPr>
              <w:t>17.8.0</w:t>
            </w:r>
          </w:p>
        </w:tc>
      </w:tr>
      <w:tr w:rsidR="00A10B25" w14:paraId="4C153E74" w14:textId="77777777">
        <w:tc>
          <w:tcPr>
            <w:tcW w:w="796" w:type="dxa"/>
            <w:shd w:val="solid" w:color="FFFFFF" w:fill="auto"/>
          </w:tcPr>
          <w:p w14:paraId="2613459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4C608718"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2E2B7F22" w14:textId="77777777" w:rsidR="00A10B25" w:rsidRDefault="00A10B25">
            <w:pPr>
              <w:pStyle w:val="TAC"/>
              <w:rPr>
                <w:rFonts w:cs="Arial"/>
                <w:sz w:val="16"/>
                <w:szCs w:val="16"/>
              </w:rPr>
            </w:pPr>
            <w:r>
              <w:rPr>
                <w:sz w:val="16"/>
                <w:szCs w:val="16"/>
              </w:rPr>
              <w:t>CP-222101</w:t>
            </w:r>
          </w:p>
        </w:tc>
        <w:tc>
          <w:tcPr>
            <w:tcW w:w="523" w:type="dxa"/>
            <w:shd w:val="solid" w:color="FFFFFF" w:fill="auto"/>
          </w:tcPr>
          <w:p w14:paraId="55B905E7" w14:textId="77777777" w:rsidR="00A10B25" w:rsidRDefault="00A10B25">
            <w:pPr>
              <w:pStyle w:val="TAL"/>
              <w:rPr>
                <w:rFonts w:cs="Arial"/>
                <w:sz w:val="16"/>
                <w:szCs w:val="16"/>
              </w:rPr>
            </w:pPr>
            <w:r>
              <w:rPr>
                <w:rFonts w:cs="Arial"/>
                <w:sz w:val="16"/>
                <w:szCs w:val="16"/>
              </w:rPr>
              <w:t>0548</w:t>
            </w:r>
          </w:p>
        </w:tc>
        <w:tc>
          <w:tcPr>
            <w:tcW w:w="423" w:type="dxa"/>
            <w:shd w:val="solid" w:color="FFFFFF" w:fill="auto"/>
          </w:tcPr>
          <w:p w14:paraId="362464DB" w14:textId="77777777" w:rsidR="00A10B25" w:rsidRDefault="00A10B25">
            <w:pPr>
              <w:pStyle w:val="TAR"/>
              <w:rPr>
                <w:rFonts w:cs="Arial"/>
                <w:sz w:val="16"/>
                <w:szCs w:val="16"/>
              </w:rPr>
            </w:pPr>
          </w:p>
        </w:tc>
        <w:tc>
          <w:tcPr>
            <w:tcW w:w="423" w:type="dxa"/>
            <w:shd w:val="solid" w:color="FFFFFF" w:fill="auto"/>
          </w:tcPr>
          <w:p w14:paraId="2D3DFBA7" w14:textId="77777777" w:rsidR="00A10B25" w:rsidRDefault="00A10B25">
            <w:pPr>
              <w:pStyle w:val="TAC"/>
              <w:rPr>
                <w:rFonts w:cs="Arial"/>
                <w:sz w:val="16"/>
                <w:szCs w:val="16"/>
              </w:rPr>
            </w:pPr>
            <w:r>
              <w:rPr>
                <w:sz w:val="16"/>
              </w:rPr>
              <w:t>F</w:t>
            </w:r>
          </w:p>
        </w:tc>
        <w:tc>
          <w:tcPr>
            <w:tcW w:w="4899" w:type="dxa"/>
            <w:shd w:val="solid" w:color="FFFFFF" w:fill="auto"/>
          </w:tcPr>
          <w:p w14:paraId="3DEC0431" w14:textId="77777777" w:rsidR="00A10B25" w:rsidRDefault="00A10B25">
            <w:pPr>
              <w:pStyle w:val="TAL"/>
              <w:rPr>
                <w:rFonts w:cs="Arial"/>
                <w:sz w:val="16"/>
                <w:szCs w:val="16"/>
              </w:rPr>
            </w:pPr>
            <w:r>
              <w:rPr>
                <w:sz w:val="16"/>
              </w:rPr>
              <w:t>Remove EN about further information in previous subscription information</w:t>
            </w:r>
          </w:p>
        </w:tc>
        <w:tc>
          <w:tcPr>
            <w:tcW w:w="706" w:type="dxa"/>
            <w:shd w:val="solid" w:color="FFFFFF" w:fill="auto"/>
          </w:tcPr>
          <w:p w14:paraId="2269B36E" w14:textId="77777777" w:rsidR="00A10B25" w:rsidRDefault="00A10B25">
            <w:pPr>
              <w:pStyle w:val="TAC"/>
              <w:rPr>
                <w:rFonts w:cs="Arial"/>
                <w:sz w:val="16"/>
                <w:szCs w:val="16"/>
              </w:rPr>
            </w:pPr>
            <w:r>
              <w:rPr>
                <w:sz w:val="16"/>
                <w:szCs w:val="16"/>
              </w:rPr>
              <w:t>17.8.0</w:t>
            </w:r>
          </w:p>
        </w:tc>
      </w:tr>
      <w:tr w:rsidR="00A10B25" w14:paraId="047AE03C" w14:textId="77777777">
        <w:tc>
          <w:tcPr>
            <w:tcW w:w="796" w:type="dxa"/>
            <w:shd w:val="solid" w:color="FFFFFF" w:fill="auto"/>
          </w:tcPr>
          <w:p w14:paraId="6609CA8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20AB3D1D"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6454517B" w14:textId="77777777" w:rsidR="00A10B25" w:rsidRDefault="00A10B25">
            <w:pPr>
              <w:pStyle w:val="TAC"/>
              <w:rPr>
                <w:rFonts w:cs="Arial"/>
                <w:sz w:val="16"/>
                <w:szCs w:val="16"/>
              </w:rPr>
            </w:pPr>
            <w:r>
              <w:rPr>
                <w:sz w:val="16"/>
                <w:szCs w:val="16"/>
              </w:rPr>
              <w:t>CP-222101</w:t>
            </w:r>
          </w:p>
        </w:tc>
        <w:tc>
          <w:tcPr>
            <w:tcW w:w="523" w:type="dxa"/>
            <w:shd w:val="solid" w:color="FFFFFF" w:fill="auto"/>
          </w:tcPr>
          <w:p w14:paraId="11C6D49F" w14:textId="77777777" w:rsidR="00A10B25" w:rsidRDefault="00A10B25">
            <w:pPr>
              <w:pStyle w:val="TAL"/>
              <w:rPr>
                <w:rFonts w:cs="Arial"/>
                <w:sz w:val="16"/>
                <w:szCs w:val="16"/>
              </w:rPr>
            </w:pPr>
            <w:r>
              <w:rPr>
                <w:rFonts w:cs="Arial"/>
                <w:sz w:val="16"/>
                <w:szCs w:val="16"/>
              </w:rPr>
              <w:t>0549</w:t>
            </w:r>
          </w:p>
        </w:tc>
        <w:tc>
          <w:tcPr>
            <w:tcW w:w="423" w:type="dxa"/>
            <w:shd w:val="solid" w:color="FFFFFF" w:fill="auto"/>
          </w:tcPr>
          <w:p w14:paraId="13D791AF" w14:textId="77777777" w:rsidR="00A10B25" w:rsidRDefault="00A10B25">
            <w:pPr>
              <w:pStyle w:val="TAR"/>
              <w:rPr>
                <w:rFonts w:cs="Arial"/>
                <w:sz w:val="16"/>
                <w:szCs w:val="16"/>
              </w:rPr>
            </w:pPr>
          </w:p>
        </w:tc>
        <w:tc>
          <w:tcPr>
            <w:tcW w:w="423" w:type="dxa"/>
            <w:shd w:val="solid" w:color="FFFFFF" w:fill="auto"/>
          </w:tcPr>
          <w:p w14:paraId="4FFCA9B6" w14:textId="77777777" w:rsidR="00A10B25" w:rsidRDefault="00A10B25">
            <w:pPr>
              <w:pStyle w:val="TAC"/>
              <w:rPr>
                <w:rFonts w:cs="Arial"/>
                <w:sz w:val="16"/>
                <w:szCs w:val="16"/>
              </w:rPr>
            </w:pPr>
            <w:r>
              <w:rPr>
                <w:sz w:val="16"/>
              </w:rPr>
              <w:t>F</w:t>
            </w:r>
          </w:p>
        </w:tc>
        <w:tc>
          <w:tcPr>
            <w:tcW w:w="4899" w:type="dxa"/>
            <w:shd w:val="solid" w:color="FFFFFF" w:fill="auto"/>
          </w:tcPr>
          <w:p w14:paraId="2B077B5E" w14:textId="77777777" w:rsidR="00A10B25" w:rsidRDefault="00A10B25">
            <w:pPr>
              <w:pStyle w:val="TAL"/>
              <w:rPr>
                <w:rFonts w:cs="Arial"/>
                <w:sz w:val="16"/>
                <w:szCs w:val="16"/>
              </w:rPr>
            </w:pPr>
            <w:r>
              <w:rPr>
                <w:sz w:val="16"/>
              </w:rPr>
              <w:t>Specifying the applicability of event subscription attributes to NSI load analytics</w:t>
            </w:r>
          </w:p>
        </w:tc>
        <w:tc>
          <w:tcPr>
            <w:tcW w:w="706" w:type="dxa"/>
            <w:shd w:val="solid" w:color="FFFFFF" w:fill="auto"/>
          </w:tcPr>
          <w:p w14:paraId="59148D3A" w14:textId="77777777" w:rsidR="00A10B25" w:rsidRDefault="00A10B25">
            <w:pPr>
              <w:pStyle w:val="TAC"/>
              <w:rPr>
                <w:rFonts w:cs="Arial"/>
                <w:sz w:val="16"/>
                <w:szCs w:val="16"/>
              </w:rPr>
            </w:pPr>
            <w:r>
              <w:rPr>
                <w:sz w:val="16"/>
                <w:szCs w:val="16"/>
              </w:rPr>
              <w:t>17.8.0</w:t>
            </w:r>
          </w:p>
        </w:tc>
      </w:tr>
      <w:tr w:rsidR="00A10B25" w14:paraId="6AC6014D" w14:textId="77777777">
        <w:tc>
          <w:tcPr>
            <w:tcW w:w="796" w:type="dxa"/>
            <w:shd w:val="solid" w:color="FFFFFF" w:fill="auto"/>
          </w:tcPr>
          <w:p w14:paraId="78F9226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8AABE7D"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195A83E0" w14:textId="77777777" w:rsidR="00A10B25" w:rsidRDefault="00A10B25">
            <w:pPr>
              <w:pStyle w:val="TAC"/>
              <w:rPr>
                <w:rFonts w:cs="Arial"/>
                <w:sz w:val="16"/>
                <w:szCs w:val="16"/>
              </w:rPr>
            </w:pPr>
            <w:r>
              <w:rPr>
                <w:sz w:val="16"/>
                <w:szCs w:val="16"/>
              </w:rPr>
              <w:t>CP-222101</w:t>
            </w:r>
          </w:p>
        </w:tc>
        <w:tc>
          <w:tcPr>
            <w:tcW w:w="523" w:type="dxa"/>
            <w:shd w:val="solid" w:color="FFFFFF" w:fill="auto"/>
          </w:tcPr>
          <w:p w14:paraId="4081E046" w14:textId="77777777" w:rsidR="00A10B25" w:rsidRDefault="00A10B25">
            <w:pPr>
              <w:pStyle w:val="TAL"/>
              <w:rPr>
                <w:rFonts w:cs="Arial"/>
                <w:sz w:val="16"/>
                <w:szCs w:val="16"/>
              </w:rPr>
            </w:pPr>
            <w:r>
              <w:rPr>
                <w:rFonts w:cs="Arial"/>
                <w:sz w:val="16"/>
                <w:szCs w:val="16"/>
              </w:rPr>
              <w:t>0551</w:t>
            </w:r>
          </w:p>
        </w:tc>
        <w:tc>
          <w:tcPr>
            <w:tcW w:w="423" w:type="dxa"/>
            <w:shd w:val="solid" w:color="FFFFFF" w:fill="auto"/>
          </w:tcPr>
          <w:p w14:paraId="5185A43C" w14:textId="77777777" w:rsidR="00A10B25" w:rsidRDefault="00A10B25">
            <w:pPr>
              <w:pStyle w:val="TAR"/>
              <w:rPr>
                <w:rFonts w:cs="Arial"/>
                <w:sz w:val="16"/>
                <w:szCs w:val="16"/>
              </w:rPr>
            </w:pPr>
          </w:p>
        </w:tc>
        <w:tc>
          <w:tcPr>
            <w:tcW w:w="423" w:type="dxa"/>
            <w:shd w:val="solid" w:color="FFFFFF" w:fill="auto"/>
          </w:tcPr>
          <w:p w14:paraId="0EFA8497" w14:textId="77777777" w:rsidR="00A10B25" w:rsidRDefault="00A10B25">
            <w:pPr>
              <w:pStyle w:val="TAC"/>
              <w:rPr>
                <w:rFonts w:cs="Arial"/>
                <w:sz w:val="16"/>
                <w:szCs w:val="16"/>
              </w:rPr>
            </w:pPr>
            <w:r>
              <w:rPr>
                <w:sz w:val="16"/>
              </w:rPr>
              <w:t>F</w:t>
            </w:r>
          </w:p>
        </w:tc>
        <w:tc>
          <w:tcPr>
            <w:tcW w:w="4899" w:type="dxa"/>
            <w:shd w:val="solid" w:color="FFFFFF" w:fill="auto"/>
          </w:tcPr>
          <w:p w14:paraId="3BBD52D2" w14:textId="77777777" w:rsidR="00A10B25" w:rsidRDefault="00A10B25">
            <w:pPr>
              <w:pStyle w:val="TAL"/>
              <w:rPr>
                <w:rFonts w:cs="Arial"/>
                <w:sz w:val="16"/>
                <w:szCs w:val="16"/>
              </w:rPr>
            </w:pPr>
            <w:r>
              <w:rPr>
                <w:sz w:val="16"/>
              </w:rPr>
              <w:t>Corrections in the NumberAverage data type</w:t>
            </w:r>
          </w:p>
        </w:tc>
        <w:tc>
          <w:tcPr>
            <w:tcW w:w="706" w:type="dxa"/>
            <w:shd w:val="solid" w:color="FFFFFF" w:fill="auto"/>
          </w:tcPr>
          <w:p w14:paraId="691F2471" w14:textId="77777777" w:rsidR="00A10B25" w:rsidRDefault="00A10B25">
            <w:pPr>
              <w:pStyle w:val="TAC"/>
              <w:rPr>
                <w:rFonts w:cs="Arial"/>
                <w:sz w:val="16"/>
                <w:szCs w:val="16"/>
              </w:rPr>
            </w:pPr>
            <w:r>
              <w:rPr>
                <w:sz w:val="16"/>
                <w:szCs w:val="16"/>
              </w:rPr>
              <w:t>17.8.0</w:t>
            </w:r>
          </w:p>
        </w:tc>
      </w:tr>
      <w:tr w:rsidR="00A10B25" w14:paraId="3A3E08D1" w14:textId="77777777">
        <w:tc>
          <w:tcPr>
            <w:tcW w:w="796" w:type="dxa"/>
            <w:shd w:val="solid" w:color="FFFFFF" w:fill="auto"/>
          </w:tcPr>
          <w:p w14:paraId="492CE9A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5B0C56C0"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368EE9A" w14:textId="77777777" w:rsidR="00A10B25" w:rsidRDefault="00A10B25">
            <w:pPr>
              <w:pStyle w:val="TAC"/>
              <w:rPr>
                <w:rFonts w:cs="Arial"/>
                <w:sz w:val="16"/>
                <w:szCs w:val="16"/>
              </w:rPr>
            </w:pPr>
            <w:r>
              <w:rPr>
                <w:sz w:val="16"/>
                <w:szCs w:val="16"/>
              </w:rPr>
              <w:t>CP-222104</w:t>
            </w:r>
          </w:p>
        </w:tc>
        <w:tc>
          <w:tcPr>
            <w:tcW w:w="523" w:type="dxa"/>
            <w:shd w:val="solid" w:color="FFFFFF" w:fill="auto"/>
          </w:tcPr>
          <w:p w14:paraId="6B963E2B" w14:textId="77777777" w:rsidR="00A10B25" w:rsidRDefault="00A10B25">
            <w:pPr>
              <w:pStyle w:val="TAL"/>
              <w:rPr>
                <w:rFonts w:cs="Arial"/>
                <w:sz w:val="16"/>
                <w:szCs w:val="16"/>
              </w:rPr>
            </w:pPr>
            <w:r>
              <w:rPr>
                <w:rFonts w:cs="Arial"/>
                <w:sz w:val="16"/>
                <w:szCs w:val="16"/>
              </w:rPr>
              <w:t>0552</w:t>
            </w:r>
          </w:p>
        </w:tc>
        <w:tc>
          <w:tcPr>
            <w:tcW w:w="423" w:type="dxa"/>
            <w:shd w:val="solid" w:color="FFFFFF" w:fill="auto"/>
          </w:tcPr>
          <w:p w14:paraId="7DDBE89C" w14:textId="77777777" w:rsidR="00A10B25" w:rsidRDefault="00A10B25">
            <w:pPr>
              <w:pStyle w:val="TAR"/>
              <w:rPr>
                <w:rFonts w:cs="Arial"/>
                <w:sz w:val="16"/>
                <w:szCs w:val="16"/>
              </w:rPr>
            </w:pPr>
            <w:r>
              <w:rPr>
                <w:sz w:val="16"/>
              </w:rPr>
              <w:t>1</w:t>
            </w:r>
          </w:p>
        </w:tc>
        <w:tc>
          <w:tcPr>
            <w:tcW w:w="423" w:type="dxa"/>
            <w:shd w:val="solid" w:color="FFFFFF" w:fill="auto"/>
          </w:tcPr>
          <w:p w14:paraId="7877A593" w14:textId="77777777" w:rsidR="00A10B25" w:rsidRDefault="00A10B25">
            <w:pPr>
              <w:pStyle w:val="TAC"/>
              <w:rPr>
                <w:rFonts w:cs="Arial"/>
                <w:sz w:val="16"/>
                <w:szCs w:val="16"/>
              </w:rPr>
            </w:pPr>
            <w:r>
              <w:rPr>
                <w:sz w:val="16"/>
              </w:rPr>
              <w:t>F</w:t>
            </w:r>
          </w:p>
        </w:tc>
        <w:tc>
          <w:tcPr>
            <w:tcW w:w="4899" w:type="dxa"/>
            <w:shd w:val="solid" w:color="FFFFFF" w:fill="auto"/>
          </w:tcPr>
          <w:p w14:paraId="2117F0D0" w14:textId="77777777" w:rsidR="00A10B25" w:rsidRDefault="00A10B25">
            <w:pPr>
              <w:pStyle w:val="TAL"/>
              <w:rPr>
                <w:rFonts w:cs="Arial"/>
                <w:sz w:val="16"/>
                <w:szCs w:val="16"/>
              </w:rPr>
            </w:pPr>
            <w:r>
              <w:rPr>
                <w:sz w:val="16"/>
              </w:rPr>
              <w:t>Aligning the NWDAF hosting DCCF with the DCCF - service descriptions</w:t>
            </w:r>
          </w:p>
        </w:tc>
        <w:tc>
          <w:tcPr>
            <w:tcW w:w="706" w:type="dxa"/>
            <w:shd w:val="solid" w:color="FFFFFF" w:fill="auto"/>
          </w:tcPr>
          <w:p w14:paraId="2E7E3182" w14:textId="77777777" w:rsidR="00A10B25" w:rsidRDefault="00A10B25">
            <w:pPr>
              <w:pStyle w:val="TAC"/>
              <w:rPr>
                <w:rFonts w:cs="Arial"/>
                <w:sz w:val="16"/>
                <w:szCs w:val="16"/>
              </w:rPr>
            </w:pPr>
            <w:r>
              <w:rPr>
                <w:sz w:val="16"/>
                <w:szCs w:val="16"/>
              </w:rPr>
              <w:t>17.8.0</w:t>
            </w:r>
          </w:p>
        </w:tc>
      </w:tr>
      <w:tr w:rsidR="00A10B25" w14:paraId="1AD1E2C4" w14:textId="77777777">
        <w:tc>
          <w:tcPr>
            <w:tcW w:w="796" w:type="dxa"/>
            <w:shd w:val="solid" w:color="FFFFFF" w:fill="auto"/>
          </w:tcPr>
          <w:p w14:paraId="78E5036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4C17412"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C8E999A" w14:textId="77777777" w:rsidR="00A10B25" w:rsidRDefault="00A10B25">
            <w:pPr>
              <w:pStyle w:val="TAC"/>
              <w:rPr>
                <w:rFonts w:cs="Arial"/>
                <w:sz w:val="16"/>
                <w:szCs w:val="16"/>
              </w:rPr>
            </w:pPr>
            <w:r>
              <w:rPr>
                <w:sz w:val="16"/>
                <w:szCs w:val="16"/>
              </w:rPr>
              <w:t>CP-222104</w:t>
            </w:r>
          </w:p>
        </w:tc>
        <w:tc>
          <w:tcPr>
            <w:tcW w:w="523" w:type="dxa"/>
            <w:shd w:val="solid" w:color="FFFFFF" w:fill="auto"/>
          </w:tcPr>
          <w:p w14:paraId="55A77239" w14:textId="77777777" w:rsidR="00A10B25" w:rsidRDefault="00A10B25">
            <w:pPr>
              <w:pStyle w:val="TAL"/>
              <w:rPr>
                <w:rFonts w:cs="Arial"/>
                <w:sz w:val="16"/>
                <w:szCs w:val="16"/>
              </w:rPr>
            </w:pPr>
            <w:r>
              <w:rPr>
                <w:rFonts w:cs="Arial"/>
                <w:sz w:val="16"/>
                <w:szCs w:val="16"/>
              </w:rPr>
              <w:t>0553</w:t>
            </w:r>
          </w:p>
        </w:tc>
        <w:tc>
          <w:tcPr>
            <w:tcW w:w="423" w:type="dxa"/>
            <w:shd w:val="solid" w:color="FFFFFF" w:fill="auto"/>
          </w:tcPr>
          <w:p w14:paraId="13D5E747" w14:textId="77777777" w:rsidR="00A10B25" w:rsidRDefault="00A10B25">
            <w:pPr>
              <w:pStyle w:val="TAR"/>
              <w:rPr>
                <w:rFonts w:cs="Arial"/>
                <w:sz w:val="16"/>
                <w:szCs w:val="16"/>
              </w:rPr>
            </w:pPr>
            <w:r>
              <w:rPr>
                <w:sz w:val="16"/>
              </w:rPr>
              <w:t>1</w:t>
            </w:r>
          </w:p>
        </w:tc>
        <w:tc>
          <w:tcPr>
            <w:tcW w:w="423" w:type="dxa"/>
            <w:shd w:val="solid" w:color="FFFFFF" w:fill="auto"/>
          </w:tcPr>
          <w:p w14:paraId="101637DB" w14:textId="77777777" w:rsidR="00A10B25" w:rsidRDefault="00A10B25">
            <w:pPr>
              <w:pStyle w:val="TAC"/>
              <w:rPr>
                <w:rFonts w:cs="Arial"/>
                <w:sz w:val="16"/>
                <w:szCs w:val="16"/>
              </w:rPr>
            </w:pPr>
            <w:r>
              <w:rPr>
                <w:sz w:val="16"/>
              </w:rPr>
              <w:t>F</w:t>
            </w:r>
          </w:p>
        </w:tc>
        <w:tc>
          <w:tcPr>
            <w:tcW w:w="4899" w:type="dxa"/>
            <w:shd w:val="solid" w:color="FFFFFF" w:fill="auto"/>
          </w:tcPr>
          <w:p w14:paraId="3F6994B7" w14:textId="77777777" w:rsidR="00A10B25" w:rsidRDefault="00A10B25">
            <w:pPr>
              <w:pStyle w:val="TAL"/>
              <w:rPr>
                <w:rFonts w:cs="Arial"/>
                <w:sz w:val="16"/>
                <w:szCs w:val="16"/>
              </w:rPr>
            </w:pPr>
            <w:r>
              <w:rPr>
                <w:sz w:val="16"/>
              </w:rPr>
              <w:t>Aligning the NWDAF hosting DCCF with the DCCF - resources and errors</w:t>
            </w:r>
          </w:p>
        </w:tc>
        <w:tc>
          <w:tcPr>
            <w:tcW w:w="706" w:type="dxa"/>
            <w:shd w:val="solid" w:color="FFFFFF" w:fill="auto"/>
          </w:tcPr>
          <w:p w14:paraId="507B073F" w14:textId="77777777" w:rsidR="00A10B25" w:rsidRDefault="00A10B25">
            <w:pPr>
              <w:pStyle w:val="TAC"/>
              <w:rPr>
                <w:rFonts w:cs="Arial"/>
                <w:sz w:val="16"/>
                <w:szCs w:val="16"/>
              </w:rPr>
            </w:pPr>
            <w:r>
              <w:rPr>
                <w:sz w:val="16"/>
                <w:szCs w:val="16"/>
              </w:rPr>
              <w:t>17.8.0</w:t>
            </w:r>
          </w:p>
        </w:tc>
      </w:tr>
      <w:tr w:rsidR="00A10B25" w14:paraId="6BEE9753" w14:textId="77777777">
        <w:tc>
          <w:tcPr>
            <w:tcW w:w="796" w:type="dxa"/>
            <w:shd w:val="solid" w:color="FFFFFF" w:fill="auto"/>
          </w:tcPr>
          <w:p w14:paraId="00F53BB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5B01A6E3"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696C3B83" w14:textId="77777777" w:rsidR="00A10B25" w:rsidRDefault="00A10B25">
            <w:pPr>
              <w:pStyle w:val="TAC"/>
              <w:rPr>
                <w:rFonts w:cs="Arial"/>
                <w:sz w:val="16"/>
                <w:szCs w:val="16"/>
              </w:rPr>
            </w:pPr>
            <w:r>
              <w:rPr>
                <w:sz w:val="16"/>
                <w:szCs w:val="16"/>
              </w:rPr>
              <w:t>CP-222104</w:t>
            </w:r>
          </w:p>
        </w:tc>
        <w:tc>
          <w:tcPr>
            <w:tcW w:w="523" w:type="dxa"/>
            <w:shd w:val="solid" w:color="FFFFFF" w:fill="auto"/>
          </w:tcPr>
          <w:p w14:paraId="78340F37" w14:textId="77777777" w:rsidR="00A10B25" w:rsidRDefault="00A10B25">
            <w:pPr>
              <w:pStyle w:val="TAL"/>
              <w:rPr>
                <w:rFonts w:cs="Arial"/>
                <w:sz w:val="16"/>
                <w:szCs w:val="16"/>
              </w:rPr>
            </w:pPr>
            <w:r>
              <w:rPr>
                <w:rFonts w:cs="Arial"/>
                <w:sz w:val="16"/>
                <w:szCs w:val="16"/>
              </w:rPr>
              <w:t>0555</w:t>
            </w:r>
          </w:p>
        </w:tc>
        <w:tc>
          <w:tcPr>
            <w:tcW w:w="423" w:type="dxa"/>
            <w:shd w:val="solid" w:color="FFFFFF" w:fill="auto"/>
          </w:tcPr>
          <w:p w14:paraId="0038B023" w14:textId="77777777" w:rsidR="00A10B25" w:rsidRDefault="00A10B25">
            <w:pPr>
              <w:pStyle w:val="TAR"/>
              <w:rPr>
                <w:rFonts w:cs="Arial"/>
                <w:sz w:val="16"/>
                <w:szCs w:val="16"/>
              </w:rPr>
            </w:pPr>
            <w:r>
              <w:rPr>
                <w:sz w:val="16"/>
              </w:rPr>
              <w:t>1</w:t>
            </w:r>
          </w:p>
        </w:tc>
        <w:tc>
          <w:tcPr>
            <w:tcW w:w="423" w:type="dxa"/>
            <w:shd w:val="solid" w:color="FFFFFF" w:fill="auto"/>
          </w:tcPr>
          <w:p w14:paraId="19C9EBA2" w14:textId="77777777" w:rsidR="00A10B25" w:rsidRDefault="00A10B25">
            <w:pPr>
              <w:pStyle w:val="TAC"/>
              <w:rPr>
                <w:rFonts w:cs="Arial"/>
                <w:sz w:val="16"/>
                <w:szCs w:val="16"/>
              </w:rPr>
            </w:pPr>
            <w:r>
              <w:rPr>
                <w:sz w:val="16"/>
              </w:rPr>
              <w:t>F</w:t>
            </w:r>
          </w:p>
        </w:tc>
        <w:tc>
          <w:tcPr>
            <w:tcW w:w="4899" w:type="dxa"/>
            <w:shd w:val="solid" w:color="FFFFFF" w:fill="auto"/>
          </w:tcPr>
          <w:p w14:paraId="7261732D" w14:textId="77777777" w:rsidR="00A10B25" w:rsidRDefault="00A10B25">
            <w:pPr>
              <w:pStyle w:val="TAL"/>
              <w:rPr>
                <w:rFonts w:cs="Arial"/>
                <w:sz w:val="16"/>
                <w:szCs w:val="16"/>
              </w:rPr>
            </w:pPr>
            <w:r>
              <w:rPr>
                <w:sz w:val="16"/>
              </w:rPr>
              <w:t>Aligning the NWDAF hosting DCCF with the DCCF - OpenAPI</w:t>
            </w:r>
          </w:p>
        </w:tc>
        <w:tc>
          <w:tcPr>
            <w:tcW w:w="706" w:type="dxa"/>
            <w:shd w:val="solid" w:color="FFFFFF" w:fill="auto"/>
          </w:tcPr>
          <w:p w14:paraId="1F8C7EF1" w14:textId="77777777" w:rsidR="00A10B25" w:rsidRDefault="00A10B25">
            <w:pPr>
              <w:pStyle w:val="TAC"/>
              <w:rPr>
                <w:rFonts w:cs="Arial"/>
                <w:sz w:val="16"/>
                <w:szCs w:val="16"/>
              </w:rPr>
            </w:pPr>
            <w:r>
              <w:rPr>
                <w:sz w:val="16"/>
                <w:szCs w:val="16"/>
              </w:rPr>
              <w:t>17.8.0</w:t>
            </w:r>
          </w:p>
        </w:tc>
      </w:tr>
      <w:tr w:rsidR="00A10B25" w14:paraId="0265C6D9" w14:textId="77777777">
        <w:tc>
          <w:tcPr>
            <w:tcW w:w="796" w:type="dxa"/>
            <w:shd w:val="solid" w:color="FFFFFF" w:fill="auto"/>
          </w:tcPr>
          <w:p w14:paraId="3B3038B3"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43FBF415"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33CFA74A" w14:textId="77777777" w:rsidR="00A10B25" w:rsidRDefault="00A10B25">
            <w:pPr>
              <w:pStyle w:val="TAC"/>
              <w:rPr>
                <w:rFonts w:cs="Arial"/>
                <w:sz w:val="16"/>
                <w:szCs w:val="16"/>
              </w:rPr>
            </w:pPr>
            <w:r>
              <w:rPr>
                <w:sz w:val="16"/>
                <w:szCs w:val="16"/>
              </w:rPr>
              <w:t>CP-222101</w:t>
            </w:r>
          </w:p>
        </w:tc>
        <w:tc>
          <w:tcPr>
            <w:tcW w:w="523" w:type="dxa"/>
            <w:shd w:val="solid" w:color="FFFFFF" w:fill="auto"/>
          </w:tcPr>
          <w:p w14:paraId="40519DAC" w14:textId="77777777" w:rsidR="00A10B25" w:rsidRDefault="00A10B25">
            <w:pPr>
              <w:pStyle w:val="TAL"/>
              <w:rPr>
                <w:rFonts w:cs="Arial"/>
                <w:sz w:val="16"/>
                <w:szCs w:val="16"/>
              </w:rPr>
            </w:pPr>
            <w:r>
              <w:rPr>
                <w:rFonts w:cs="Arial"/>
                <w:sz w:val="16"/>
                <w:szCs w:val="16"/>
              </w:rPr>
              <w:t>0556</w:t>
            </w:r>
          </w:p>
        </w:tc>
        <w:tc>
          <w:tcPr>
            <w:tcW w:w="423" w:type="dxa"/>
            <w:shd w:val="solid" w:color="FFFFFF" w:fill="auto"/>
          </w:tcPr>
          <w:p w14:paraId="161A9685" w14:textId="77777777" w:rsidR="00A10B25" w:rsidRDefault="00A10B25">
            <w:pPr>
              <w:pStyle w:val="TAR"/>
              <w:rPr>
                <w:rFonts w:cs="Arial"/>
                <w:sz w:val="16"/>
                <w:szCs w:val="16"/>
              </w:rPr>
            </w:pPr>
          </w:p>
        </w:tc>
        <w:tc>
          <w:tcPr>
            <w:tcW w:w="423" w:type="dxa"/>
            <w:shd w:val="solid" w:color="FFFFFF" w:fill="auto"/>
          </w:tcPr>
          <w:p w14:paraId="150D274A" w14:textId="77777777" w:rsidR="00A10B25" w:rsidRDefault="00A10B25">
            <w:pPr>
              <w:pStyle w:val="TAC"/>
              <w:rPr>
                <w:rFonts w:cs="Arial"/>
                <w:sz w:val="16"/>
                <w:szCs w:val="16"/>
              </w:rPr>
            </w:pPr>
            <w:r>
              <w:rPr>
                <w:sz w:val="16"/>
              </w:rPr>
              <w:t>F</w:t>
            </w:r>
          </w:p>
        </w:tc>
        <w:tc>
          <w:tcPr>
            <w:tcW w:w="4899" w:type="dxa"/>
            <w:shd w:val="solid" w:color="FFFFFF" w:fill="auto"/>
          </w:tcPr>
          <w:p w14:paraId="34A8F37D" w14:textId="77777777" w:rsidR="00A10B25" w:rsidRDefault="00A10B25">
            <w:pPr>
              <w:pStyle w:val="TAL"/>
              <w:rPr>
                <w:rFonts w:cs="Arial"/>
                <w:sz w:val="16"/>
                <w:szCs w:val="16"/>
              </w:rPr>
            </w:pPr>
            <w:r>
              <w:rPr>
                <w:sz w:val="16"/>
              </w:rPr>
              <w:t>Nnwdaf_EventsSubscription API: required n4SessId property</w:t>
            </w:r>
          </w:p>
        </w:tc>
        <w:tc>
          <w:tcPr>
            <w:tcW w:w="706" w:type="dxa"/>
            <w:shd w:val="solid" w:color="FFFFFF" w:fill="auto"/>
          </w:tcPr>
          <w:p w14:paraId="5091BF54" w14:textId="77777777" w:rsidR="00A10B25" w:rsidRDefault="00A10B25">
            <w:pPr>
              <w:pStyle w:val="TAC"/>
              <w:rPr>
                <w:rFonts w:cs="Arial"/>
                <w:sz w:val="16"/>
                <w:szCs w:val="16"/>
              </w:rPr>
            </w:pPr>
            <w:r>
              <w:rPr>
                <w:sz w:val="16"/>
                <w:szCs w:val="16"/>
              </w:rPr>
              <w:t>17.8.0</w:t>
            </w:r>
          </w:p>
        </w:tc>
      </w:tr>
      <w:tr w:rsidR="00A10B25" w14:paraId="60FD9C22" w14:textId="77777777">
        <w:tc>
          <w:tcPr>
            <w:tcW w:w="796" w:type="dxa"/>
            <w:shd w:val="solid" w:color="FFFFFF" w:fill="auto"/>
          </w:tcPr>
          <w:p w14:paraId="158A115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CC79A95"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40823985" w14:textId="77777777" w:rsidR="00A10B25" w:rsidRDefault="00A10B25">
            <w:pPr>
              <w:pStyle w:val="TAC"/>
              <w:rPr>
                <w:rFonts w:cs="Arial"/>
                <w:sz w:val="16"/>
                <w:szCs w:val="16"/>
              </w:rPr>
            </w:pPr>
            <w:r>
              <w:rPr>
                <w:sz w:val="16"/>
                <w:szCs w:val="16"/>
              </w:rPr>
              <w:t>CP-222101</w:t>
            </w:r>
          </w:p>
        </w:tc>
        <w:tc>
          <w:tcPr>
            <w:tcW w:w="523" w:type="dxa"/>
            <w:shd w:val="solid" w:color="FFFFFF" w:fill="auto"/>
          </w:tcPr>
          <w:p w14:paraId="5EE572AA" w14:textId="77777777" w:rsidR="00A10B25" w:rsidRDefault="00A10B25">
            <w:pPr>
              <w:pStyle w:val="TAL"/>
              <w:rPr>
                <w:rFonts w:cs="Arial"/>
                <w:sz w:val="16"/>
                <w:szCs w:val="16"/>
              </w:rPr>
            </w:pPr>
            <w:r>
              <w:rPr>
                <w:rFonts w:cs="Arial"/>
                <w:sz w:val="16"/>
                <w:szCs w:val="16"/>
              </w:rPr>
              <w:t>0557</w:t>
            </w:r>
          </w:p>
        </w:tc>
        <w:tc>
          <w:tcPr>
            <w:tcW w:w="423" w:type="dxa"/>
            <w:shd w:val="solid" w:color="FFFFFF" w:fill="auto"/>
          </w:tcPr>
          <w:p w14:paraId="236CCB50" w14:textId="77777777" w:rsidR="00A10B25" w:rsidRDefault="00A10B25">
            <w:pPr>
              <w:pStyle w:val="TAR"/>
              <w:rPr>
                <w:rFonts w:cs="Arial"/>
                <w:sz w:val="16"/>
                <w:szCs w:val="16"/>
              </w:rPr>
            </w:pPr>
          </w:p>
        </w:tc>
        <w:tc>
          <w:tcPr>
            <w:tcW w:w="423" w:type="dxa"/>
            <w:shd w:val="solid" w:color="FFFFFF" w:fill="auto"/>
          </w:tcPr>
          <w:p w14:paraId="1FC07097" w14:textId="77777777" w:rsidR="00A10B25" w:rsidRDefault="00A10B25">
            <w:pPr>
              <w:pStyle w:val="TAC"/>
              <w:rPr>
                <w:rFonts w:cs="Arial"/>
                <w:sz w:val="16"/>
                <w:szCs w:val="16"/>
              </w:rPr>
            </w:pPr>
            <w:r>
              <w:rPr>
                <w:sz w:val="16"/>
              </w:rPr>
              <w:t>F</w:t>
            </w:r>
          </w:p>
        </w:tc>
        <w:tc>
          <w:tcPr>
            <w:tcW w:w="4899" w:type="dxa"/>
            <w:shd w:val="solid" w:color="FFFFFF" w:fill="auto"/>
          </w:tcPr>
          <w:p w14:paraId="34AC10FF" w14:textId="77777777" w:rsidR="00A10B25" w:rsidRDefault="00A10B25">
            <w:pPr>
              <w:pStyle w:val="TAL"/>
              <w:rPr>
                <w:rFonts w:cs="Arial"/>
                <w:sz w:val="16"/>
                <w:szCs w:val="16"/>
              </w:rPr>
            </w:pPr>
            <w:r>
              <w:rPr>
                <w:sz w:val="16"/>
              </w:rPr>
              <w:t>Correction of the name of appServerAddrs attribute</w:t>
            </w:r>
          </w:p>
        </w:tc>
        <w:tc>
          <w:tcPr>
            <w:tcW w:w="706" w:type="dxa"/>
            <w:shd w:val="solid" w:color="FFFFFF" w:fill="auto"/>
          </w:tcPr>
          <w:p w14:paraId="4814CCB2" w14:textId="77777777" w:rsidR="00A10B25" w:rsidRDefault="00A10B25">
            <w:pPr>
              <w:pStyle w:val="TAC"/>
              <w:rPr>
                <w:rFonts w:cs="Arial"/>
                <w:sz w:val="16"/>
                <w:szCs w:val="16"/>
              </w:rPr>
            </w:pPr>
            <w:r>
              <w:rPr>
                <w:sz w:val="16"/>
                <w:szCs w:val="16"/>
              </w:rPr>
              <w:t>17.8.0</w:t>
            </w:r>
          </w:p>
        </w:tc>
      </w:tr>
      <w:tr w:rsidR="00A10B25" w14:paraId="4FC36141" w14:textId="77777777">
        <w:tc>
          <w:tcPr>
            <w:tcW w:w="796" w:type="dxa"/>
            <w:shd w:val="solid" w:color="FFFFFF" w:fill="auto"/>
          </w:tcPr>
          <w:p w14:paraId="7C5BAB8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3D03873"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46128EE2" w14:textId="77777777" w:rsidR="00A10B25" w:rsidRDefault="00A10B25">
            <w:pPr>
              <w:pStyle w:val="TAC"/>
              <w:rPr>
                <w:rFonts w:cs="Arial"/>
                <w:sz w:val="16"/>
                <w:szCs w:val="16"/>
              </w:rPr>
            </w:pPr>
            <w:r>
              <w:rPr>
                <w:sz w:val="16"/>
                <w:szCs w:val="16"/>
              </w:rPr>
              <w:t>CP-222101</w:t>
            </w:r>
          </w:p>
        </w:tc>
        <w:tc>
          <w:tcPr>
            <w:tcW w:w="523" w:type="dxa"/>
            <w:shd w:val="solid" w:color="FFFFFF" w:fill="auto"/>
          </w:tcPr>
          <w:p w14:paraId="51005EA6" w14:textId="77777777" w:rsidR="00A10B25" w:rsidRDefault="00A10B25">
            <w:pPr>
              <w:pStyle w:val="TAL"/>
              <w:rPr>
                <w:rFonts w:cs="Arial"/>
                <w:sz w:val="16"/>
                <w:szCs w:val="16"/>
              </w:rPr>
            </w:pPr>
            <w:r>
              <w:rPr>
                <w:rFonts w:cs="Arial"/>
                <w:sz w:val="16"/>
                <w:szCs w:val="16"/>
              </w:rPr>
              <w:t>0558</w:t>
            </w:r>
          </w:p>
        </w:tc>
        <w:tc>
          <w:tcPr>
            <w:tcW w:w="423" w:type="dxa"/>
            <w:shd w:val="solid" w:color="FFFFFF" w:fill="auto"/>
          </w:tcPr>
          <w:p w14:paraId="163BEB63" w14:textId="77777777" w:rsidR="00A10B25" w:rsidRDefault="00A10B25">
            <w:pPr>
              <w:pStyle w:val="TAR"/>
              <w:rPr>
                <w:rFonts w:cs="Arial"/>
                <w:sz w:val="16"/>
                <w:szCs w:val="16"/>
              </w:rPr>
            </w:pPr>
          </w:p>
        </w:tc>
        <w:tc>
          <w:tcPr>
            <w:tcW w:w="423" w:type="dxa"/>
            <w:shd w:val="solid" w:color="FFFFFF" w:fill="auto"/>
          </w:tcPr>
          <w:p w14:paraId="13C1E9B8" w14:textId="77777777" w:rsidR="00A10B25" w:rsidRDefault="00A10B25">
            <w:pPr>
              <w:pStyle w:val="TAC"/>
              <w:rPr>
                <w:rFonts w:cs="Arial"/>
                <w:sz w:val="16"/>
                <w:szCs w:val="16"/>
              </w:rPr>
            </w:pPr>
            <w:r>
              <w:rPr>
                <w:sz w:val="16"/>
              </w:rPr>
              <w:t>F</w:t>
            </w:r>
          </w:p>
        </w:tc>
        <w:tc>
          <w:tcPr>
            <w:tcW w:w="4899" w:type="dxa"/>
            <w:shd w:val="solid" w:color="FFFFFF" w:fill="auto"/>
          </w:tcPr>
          <w:p w14:paraId="112FE687" w14:textId="77777777" w:rsidR="00A10B25" w:rsidRDefault="00A10B25">
            <w:pPr>
              <w:pStyle w:val="TAL"/>
              <w:rPr>
                <w:rFonts w:cs="Arial"/>
                <w:sz w:val="16"/>
                <w:szCs w:val="16"/>
              </w:rPr>
            </w:pPr>
            <w:r>
              <w:rPr>
                <w:sz w:val="16"/>
              </w:rPr>
              <w:t>Incorrect data type name</w:t>
            </w:r>
          </w:p>
        </w:tc>
        <w:tc>
          <w:tcPr>
            <w:tcW w:w="706" w:type="dxa"/>
            <w:shd w:val="solid" w:color="FFFFFF" w:fill="auto"/>
          </w:tcPr>
          <w:p w14:paraId="75AB82BC" w14:textId="77777777" w:rsidR="00A10B25" w:rsidRDefault="00A10B25">
            <w:pPr>
              <w:pStyle w:val="TAC"/>
              <w:rPr>
                <w:rFonts w:cs="Arial"/>
                <w:sz w:val="16"/>
                <w:szCs w:val="16"/>
              </w:rPr>
            </w:pPr>
            <w:r>
              <w:rPr>
                <w:sz w:val="16"/>
                <w:szCs w:val="16"/>
              </w:rPr>
              <w:t>17.8.0</w:t>
            </w:r>
          </w:p>
        </w:tc>
      </w:tr>
      <w:tr w:rsidR="00A10B25" w14:paraId="37265DB2" w14:textId="77777777">
        <w:tc>
          <w:tcPr>
            <w:tcW w:w="796" w:type="dxa"/>
            <w:shd w:val="solid" w:color="FFFFFF" w:fill="auto"/>
          </w:tcPr>
          <w:p w14:paraId="1576D74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B2E72E7"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FFAB7CD" w14:textId="77777777" w:rsidR="00A10B25" w:rsidRDefault="00A10B25">
            <w:pPr>
              <w:pStyle w:val="TAC"/>
              <w:rPr>
                <w:rFonts w:cs="Arial"/>
                <w:sz w:val="16"/>
                <w:szCs w:val="16"/>
              </w:rPr>
            </w:pPr>
            <w:r>
              <w:rPr>
                <w:sz w:val="16"/>
                <w:szCs w:val="16"/>
              </w:rPr>
              <w:t>CP-222101</w:t>
            </w:r>
          </w:p>
        </w:tc>
        <w:tc>
          <w:tcPr>
            <w:tcW w:w="523" w:type="dxa"/>
            <w:shd w:val="solid" w:color="FFFFFF" w:fill="auto"/>
          </w:tcPr>
          <w:p w14:paraId="2069E993" w14:textId="77777777" w:rsidR="00A10B25" w:rsidRDefault="00A10B25">
            <w:pPr>
              <w:pStyle w:val="TAL"/>
              <w:rPr>
                <w:rFonts w:cs="Arial"/>
                <w:sz w:val="16"/>
                <w:szCs w:val="16"/>
              </w:rPr>
            </w:pPr>
            <w:r>
              <w:rPr>
                <w:rFonts w:cs="Arial"/>
                <w:sz w:val="16"/>
                <w:szCs w:val="16"/>
              </w:rPr>
              <w:t>0559</w:t>
            </w:r>
          </w:p>
        </w:tc>
        <w:tc>
          <w:tcPr>
            <w:tcW w:w="423" w:type="dxa"/>
            <w:shd w:val="solid" w:color="FFFFFF" w:fill="auto"/>
          </w:tcPr>
          <w:p w14:paraId="1A32656D" w14:textId="77777777" w:rsidR="00A10B25" w:rsidRDefault="00A10B25">
            <w:pPr>
              <w:pStyle w:val="TAR"/>
              <w:rPr>
                <w:rFonts w:cs="Arial"/>
                <w:sz w:val="16"/>
                <w:szCs w:val="16"/>
              </w:rPr>
            </w:pPr>
          </w:p>
        </w:tc>
        <w:tc>
          <w:tcPr>
            <w:tcW w:w="423" w:type="dxa"/>
            <w:shd w:val="solid" w:color="FFFFFF" w:fill="auto"/>
          </w:tcPr>
          <w:p w14:paraId="1A69C2D8" w14:textId="77777777" w:rsidR="00A10B25" w:rsidRDefault="00A10B25">
            <w:pPr>
              <w:pStyle w:val="TAC"/>
              <w:rPr>
                <w:rFonts w:cs="Arial"/>
                <w:sz w:val="16"/>
                <w:szCs w:val="16"/>
              </w:rPr>
            </w:pPr>
            <w:r>
              <w:rPr>
                <w:sz w:val="16"/>
              </w:rPr>
              <w:t>F</w:t>
            </w:r>
          </w:p>
        </w:tc>
        <w:tc>
          <w:tcPr>
            <w:tcW w:w="4899" w:type="dxa"/>
            <w:shd w:val="solid" w:color="FFFFFF" w:fill="auto"/>
          </w:tcPr>
          <w:p w14:paraId="66648D71" w14:textId="77777777" w:rsidR="00A10B25" w:rsidRDefault="00A10B25">
            <w:pPr>
              <w:pStyle w:val="TAL"/>
              <w:rPr>
                <w:rFonts w:cs="Arial"/>
                <w:sz w:val="16"/>
                <w:szCs w:val="16"/>
              </w:rPr>
            </w:pPr>
            <w:r>
              <w:rPr>
                <w:sz w:val="16"/>
              </w:rPr>
              <w:t>missing presence condition for some conditional attributes</w:t>
            </w:r>
          </w:p>
        </w:tc>
        <w:tc>
          <w:tcPr>
            <w:tcW w:w="706" w:type="dxa"/>
            <w:shd w:val="solid" w:color="FFFFFF" w:fill="auto"/>
          </w:tcPr>
          <w:p w14:paraId="3A931200" w14:textId="77777777" w:rsidR="00A10B25" w:rsidRDefault="00A10B25">
            <w:pPr>
              <w:pStyle w:val="TAC"/>
              <w:rPr>
                <w:rFonts w:cs="Arial"/>
                <w:sz w:val="16"/>
                <w:szCs w:val="16"/>
              </w:rPr>
            </w:pPr>
            <w:r>
              <w:rPr>
                <w:sz w:val="16"/>
                <w:szCs w:val="16"/>
              </w:rPr>
              <w:t>17.8.0</w:t>
            </w:r>
          </w:p>
        </w:tc>
      </w:tr>
      <w:tr w:rsidR="00A10B25" w14:paraId="753A3DAB" w14:textId="77777777">
        <w:tc>
          <w:tcPr>
            <w:tcW w:w="796" w:type="dxa"/>
            <w:shd w:val="solid" w:color="FFFFFF" w:fill="auto"/>
          </w:tcPr>
          <w:p w14:paraId="55E54B6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5889C0A6"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37B0762C" w14:textId="77777777" w:rsidR="00A10B25" w:rsidRDefault="00A10B25">
            <w:pPr>
              <w:pStyle w:val="TAC"/>
              <w:rPr>
                <w:rFonts w:cs="Arial"/>
                <w:sz w:val="16"/>
                <w:szCs w:val="16"/>
              </w:rPr>
            </w:pPr>
            <w:r>
              <w:rPr>
                <w:sz w:val="16"/>
                <w:szCs w:val="16"/>
              </w:rPr>
              <w:t>CP-222101</w:t>
            </w:r>
          </w:p>
        </w:tc>
        <w:tc>
          <w:tcPr>
            <w:tcW w:w="523" w:type="dxa"/>
            <w:shd w:val="solid" w:color="FFFFFF" w:fill="auto"/>
          </w:tcPr>
          <w:p w14:paraId="07B255F9" w14:textId="77777777" w:rsidR="00A10B25" w:rsidRDefault="00A10B25">
            <w:pPr>
              <w:pStyle w:val="TAL"/>
              <w:rPr>
                <w:rFonts w:cs="Arial"/>
                <w:sz w:val="16"/>
                <w:szCs w:val="16"/>
              </w:rPr>
            </w:pPr>
            <w:r>
              <w:rPr>
                <w:rFonts w:cs="Arial"/>
                <w:sz w:val="16"/>
                <w:szCs w:val="16"/>
              </w:rPr>
              <w:t>0560</w:t>
            </w:r>
          </w:p>
        </w:tc>
        <w:tc>
          <w:tcPr>
            <w:tcW w:w="423" w:type="dxa"/>
            <w:shd w:val="solid" w:color="FFFFFF" w:fill="auto"/>
          </w:tcPr>
          <w:p w14:paraId="5F98D8B8" w14:textId="77777777" w:rsidR="00A10B25" w:rsidRDefault="00A10B25">
            <w:pPr>
              <w:pStyle w:val="TAR"/>
              <w:rPr>
                <w:rFonts w:cs="Arial"/>
                <w:sz w:val="16"/>
                <w:szCs w:val="16"/>
              </w:rPr>
            </w:pPr>
          </w:p>
        </w:tc>
        <w:tc>
          <w:tcPr>
            <w:tcW w:w="423" w:type="dxa"/>
            <w:shd w:val="solid" w:color="FFFFFF" w:fill="auto"/>
          </w:tcPr>
          <w:p w14:paraId="05BEEB94" w14:textId="77777777" w:rsidR="00A10B25" w:rsidRDefault="00A10B25">
            <w:pPr>
              <w:pStyle w:val="TAC"/>
              <w:rPr>
                <w:rFonts w:cs="Arial"/>
                <w:sz w:val="16"/>
                <w:szCs w:val="16"/>
              </w:rPr>
            </w:pPr>
            <w:r>
              <w:rPr>
                <w:sz w:val="16"/>
              </w:rPr>
              <w:t>F</w:t>
            </w:r>
          </w:p>
        </w:tc>
        <w:tc>
          <w:tcPr>
            <w:tcW w:w="4899" w:type="dxa"/>
            <w:shd w:val="solid" w:color="FFFFFF" w:fill="auto"/>
          </w:tcPr>
          <w:p w14:paraId="0860535A" w14:textId="77777777" w:rsidR="00A10B25" w:rsidRDefault="00A10B25">
            <w:pPr>
              <w:pStyle w:val="TAL"/>
              <w:rPr>
                <w:rFonts w:cs="Arial"/>
                <w:sz w:val="16"/>
                <w:szCs w:val="16"/>
              </w:rPr>
            </w:pPr>
            <w:r>
              <w:rPr>
                <w:sz w:val="16"/>
              </w:rPr>
              <w:t>Clarification for SM_CONGESTION</w:t>
            </w:r>
          </w:p>
        </w:tc>
        <w:tc>
          <w:tcPr>
            <w:tcW w:w="706" w:type="dxa"/>
            <w:shd w:val="solid" w:color="FFFFFF" w:fill="auto"/>
          </w:tcPr>
          <w:p w14:paraId="726A5B37" w14:textId="77777777" w:rsidR="00A10B25" w:rsidRDefault="00A10B25">
            <w:pPr>
              <w:pStyle w:val="TAC"/>
              <w:rPr>
                <w:rFonts w:cs="Arial"/>
                <w:sz w:val="16"/>
                <w:szCs w:val="16"/>
              </w:rPr>
            </w:pPr>
            <w:r>
              <w:rPr>
                <w:sz w:val="16"/>
                <w:szCs w:val="16"/>
              </w:rPr>
              <w:t>17.8.0</w:t>
            </w:r>
          </w:p>
        </w:tc>
      </w:tr>
      <w:tr w:rsidR="00A10B25" w14:paraId="203CC15B" w14:textId="77777777">
        <w:tc>
          <w:tcPr>
            <w:tcW w:w="796" w:type="dxa"/>
            <w:shd w:val="solid" w:color="FFFFFF" w:fill="auto"/>
          </w:tcPr>
          <w:p w14:paraId="565CD08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41B83A7C"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53A87B6A" w14:textId="77777777" w:rsidR="00A10B25" w:rsidRDefault="00A10B25">
            <w:pPr>
              <w:pStyle w:val="TAC"/>
              <w:rPr>
                <w:rFonts w:cs="Arial"/>
                <w:sz w:val="16"/>
                <w:szCs w:val="16"/>
              </w:rPr>
            </w:pPr>
            <w:r>
              <w:rPr>
                <w:sz w:val="16"/>
                <w:szCs w:val="16"/>
              </w:rPr>
              <w:t>CP-222103</w:t>
            </w:r>
          </w:p>
        </w:tc>
        <w:tc>
          <w:tcPr>
            <w:tcW w:w="523" w:type="dxa"/>
            <w:shd w:val="solid" w:color="FFFFFF" w:fill="auto"/>
          </w:tcPr>
          <w:p w14:paraId="01937F95" w14:textId="77777777" w:rsidR="00A10B25" w:rsidRDefault="00A10B25">
            <w:pPr>
              <w:pStyle w:val="TAL"/>
              <w:rPr>
                <w:rFonts w:cs="Arial"/>
                <w:sz w:val="16"/>
                <w:szCs w:val="16"/>
              </w:rPr>
            </w:pPr>
            <w:r>
              <w:rPr>
                <w:rFonts w:cs="Arial"/>
                <w:sz w:val="16"/>
                <w:szCs w:val="16"/>
              </w:rPr>
              <w:t>0561</w:t>
            </w:r>
          </w:p>
        </w:tc>
        <w:tc>
          <w:tcPr>
            <w:tcW w:w="423" w:type="dxa"/>
            <w:shd w:val="solid" w:color="FFFFFF" w:fill="auto"/>
          </w:tcPr>
          <w:p w14:paraId="12922417" w14:textId="77777777" w:rsidR="00A10B25" w:rsidRDefault="00A10B25">
            <w:pPr>
              <w:pStyle w:val="TAR"/>
              <w:rPr>
                <w:rFonts w:cs="Arial"/>
                <w:sz w:val="16"/>
                <w:szCs w:val="16"/>
              </w:rPr>
            </w:pPr>
            <w:r>
              <w:rPr>
                <w:sz w:val="16"/>
              </w:rPr>
              <w:t>1</w:t>
            </w:r>
          </w:p>
        </w:tc>
        <w:tc>
          <w:tcPr>
            <w:tcW w:w="423" w:type="dxa"/>
            <w:shd w:val="solid" w:color="FFFFFF" w:fill="auto"/>
          </w:tcPr>
          <w:p w14:paraId="0B7F393D" w14:textId="77777777" w:rsidR="00A10B25" w:rsidRDefault="00A10B25">
            <w:pPr>
              <w:pStyle w:val="TAC"/>
              <w:rPr>
                <w:rFonts w:cs="Arial"/>
                <w:sz w:val="16"/>
                <w:szCs w:val="16"/>
              </w:rPr>
            </w:pPr>
            <w:r>
              <w:rPr>
                <w:sz w:val="16"/>
              </w:rPr>
              <w:t>F</w:t>
            </w:r>
          </w:p>
        </w:tc>
        <w:tc>
          <w:tcPr>
            <w:tcW w:w="4899" w:type="dxa"/>
            <w:shd w:val="solid" w:color="FFFFFF" w:fill="auto"/>
          </w:tcPr>
          <w:p w14:paraId="2AC37E97" w14:textId="77777777" w:rsidR="00A10B25" w:rsidRDefault="00A10B25">
            <w:pPr>
              <w:pStyle w:val="TAL"/>
              <w:rPr>
                <w:rFonts w:cs="Arial"/>
                <w:sz w:val="16"/>
                <w:szCs w:val="16"/>
              </w:rPr>
            </w:pPr>
            <w:r>
              <w:rPr>
                <w:sz w:val="16"/>
              </w:rPr>
              <w:t>Clarification on notificationURI transferred by source NWDAF</w:t>
            </w:r>
          </w:p>
        </w:tc>
        <w:tc>
          <w:tcPr>
            <w:tcW w:w="706" w:type="dxa"/>
            <w:shd w:val="solid" w:color="FFFFFF" w:fill="auto"/>
          </w:tcPr>
          <w:p w14:paraId="28DC2323" w14:textId="77777777" w:rsidR="00A10B25" w:rsidRDefault="00A10B25">
            <w:pPr>
              <w:pStyle w:val="TAC"/>
              <w:rPr>
                <w:rFonts w:cs="Arial"/>
                <w:sz w:val="16"/>
                <w:szCs w:val="16"/>
              </w:rPr>
            </w:pPr>
            <w:r>
              <w:rPr>
                <w:sz w:val="16"/>
                <w:szCs w:val="16"/>
              </w:rPr>
              <w:t>17.8.0</w:t>
            </w:r>
          </w:p>
        </w:tc>
      </w:tr>
      <w:tr w:rsidR="00A10B25" w14:paraId="63C9C25E" w14:textId="77777777">
        <w:tc>
          <w:tcPr>
            <w:tcW w:w="796" w:type="dxa"/>
            <w:shd w:val="solid" w:color="FFFFFF" w:fill="auto"/>
          </w:tcPr>
          <w:p w14:paraId="55D294C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AA1F717"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290DAEA" w14:textId="77777777" w:rsidR="00A10B25" w:rsidRDefault="00A10B25">
            <w:pPr>
              <w:pStyle w:val="TAC"/>
              <w:rPr>
                <w:rFonts w:cs="Arial"/>
                <w:sz w:val="16"/>
                <w:szCs w:val="16"/>
              </w:rPr>
            </w:pPr>
            <w:r>
              <w:rPr>
                <w:sz w:val="16"/>
                <w:szCs w:val="16"/>
              </w:rPr>
              <w:t>CP-222101</w:t>
            </w:r>
          </w:p>
        </w:tc>
        <w:tc>
          <w:tcPr>
            <w:tcW w:w="523" w:type="dxa"/>
            <w:shd w:val="solid" w:color="FFFFFF" w:fill="auto"/>
          </w:tcPr>
          <w:p w14:paraId="0A2B0745" w14:textId="77777777" w:rsidR="00A10B25" w:rsidRDefault="00A10B25">
            <w:pPr>
              <w:pStyle w:val="TAL"/>
              <w:rPr>
                <w:rFonts w:cs="Arial"/>
                <w:sz w:val="16"/>
                <w:szCs w:val="16"/>
              </w:rPr>
            </w:pPr>
            <w:r>
              <w:rPr>
                <w:rFonts w:cs="Arial"/>
                <w:sz w:val="16"/>
                <w:szCs w:val="16"/>
              </w:rPr>
              <w:t>0562</w:t>
            </w:r>
          </w:p>
        </w:tc>
        <w:tc>
          <w:tcPr>
            <w:tcW w:w="423" w:type="dxa"/>
            <w:shd w:val="solid" w:color="FFFFFF" w:fill="auto"/>
          </w:tcPr>
          <w:p w14:paraId="2FC2A7C1" w14:textId="77777777" w:rsidR="00A10B25" w:rsidRDefault="00A10B25">
            <w:pPr>
              <w:pStyle w:val="TAR"/>
              <w:rPr>
                <w:rFonts w:cs="Arial"/>
                <w:sz w:val="16"/>
                <w:szCs w:val="16"/>
              </w:rPr>
            </w:pPr>
          </w:p>
        </w:tc>
        <w:tc>
          <w:tcPr>
            <w:tcW w:w="423" w:type="dxa"/>
            <w:shd w:val="solid" w:color="FFFFFF" w:fill="auto"/>
          </w:tcPr>
          <w:p w14:paraId="59AA5EBC" w14:textId="77777777" w:rsidR="00A10B25" w:rsidRDefault="00A10B25">
            <w:pPr>
              <w:pStyle w:val="TAC"/>
              <w:rPr>
                <w:rFonts w:cs="Arial"/>
                <w:sz w:val="16"/>
                <w:szCs w:val="16"/>
              </w:rPr>
            </w:pPr>
            <w:r>
              <w:rPr>
                <w:sz w:val="16"/>
              </w:rPr>
              <w:t>F</w:t>
            </w:r>
          </w:p>
        </w:tc>
        <w:tc>
          <w:tcPr>
            <w:tcW w:w="4899" w:type="dxa"/>
            <w:shd w:val="solid" w:color="FFFFFF" w:fill="auto"/>
          </w:tcPr>
          <w:p w14:paraId="780135C3" w14:textId="77777777" w:rsidR="00A10B25" w:rsidRDefault="00A10B25">
            <w:pPr>
              <w:pStyle w:val="TAL"/>
              <w:rPr>
                <w:rFonts w:cs="Arial"/>
                <w:sz w:val="16"/>
                <w:szCs w:val="16"/>
              </w:rPr>
            </w:pPr>
            <w:r>
              <w:rPr>
                <w:sz w:val="16"/>
              </w:rPr>
              <w:t>Incorrect attribute name in AnalyticsContextIdentifier data type</w:t>
            </w:r>
          </w:p>
        </w:tc>
        <w:tc>
          <w:tcPr>
            <w:tcW w:w="706" w:type="dxa"/>
            <w:shd w:val="solid" w:color="FFFFFF" w:fill="auto"/>
          </w:tcPr>
          <w:p w14:paraId="61786BBB" w14:textId="77777777" w:rsidR="00A10B25" w:rsidRDefault="00A10B25">
            <w:pPr>
              <w:pStyle w:val="TAC"/>
              <w:rPr>
                <w:rFonts w:cs="Arial"/>
                <w:sz w:val="16"/>
                <w:szCs w:val="16"/>
              </w:rPr>
            </w:pPr>
            <w:r>
              <w:rPr>
                <w:sz w:val="16"/>
                <w:szCs w:val="16"/>
              </w:rPr>
              <w:t>17.8.0</w:t>
            </w:r>
          </w:p>
        </w:tc>
      </w:tr>
      <w:tr w:rsidR="00A10B25" w14:paraId="67EFEF75" w14:textId="77777777">
        <w:tc>
          <w:tcPr>
            <w:tcW w:w="796" w:type="dxa"/>
            <w:shd w:val="solid" w:color="FFFFFF" w:fill="auto"/>
          </w:tcPr>
          <w:p w14:paraId="4E327D6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2015F17"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9A9AF34" w14:textId="77777777" w:rsidR="00A10B25" w:rsidRDefault="00A10B25">
            <w:pPr>
              <w:pStyle w:val="TAC"/>
              <w:rPr>
                <w:rFonts w:cs="Arial"/>
                <w:sz w:val="16"/>
                <w:szCs w:val="16"/>
              </w:rPr>
            </w:pPr>
            <w:r>
              <w:rPr>
                <w:sz w:val="16"/>
                <w:szCs w:val="16"/>
              </w:rPr>
              <w:t>CP-222101</w:t>
            </w:r>
          </w:p>
        </w:tc>
        <w:tc>
          <w:tcPr>
            <w:tcW w:w="523" w:type="dxa"/>
            <w:shd w:val="solid" w:color="FFFFFF" w:fill="auto"/>
          </w:tcPr>
          <w:p w14:paraId="4DB31A0F" w14:textId="77777777" w:rsidR="00A10B25" w:rsidRDefault="00A10B25">
            <w:pPr>
              <w:pStyle w:val="TAL"/>
              <w:rPr>
                <w:rFonts w:cs="Arial"/>
                <w:sz w:val="16"/>
                <w:szCs w:val="16"/>
              </w:rPr>
            </w:pPr>
            <w:r>
              <w:rPr>
                <w:rFonts w:cs="Arial"/>
                <w:sz w:val="16"/>
                <w:szCs w:val="16"/>
              </w:rPr>
              <w:t>0563</w:t>
            </w:r>
          </w:p>
        </w:tc>
        <w:tc>
          <w:tcPr>
            <w:tcW w:w="423" w:type="dxa"/>
            <w:shd w:val="solid" w:color="FFFFFF" w:fill="auto"/>
          </w:tcPr>
          <w:p w14:paraId="6AFB9CCF" w14:textId="77777777" w:rsidR="00A10B25" w:rsidRDefault="00A10B25">
            <w:pPr>
              <w:pStyle w:val="TAR"/>
              <w:rPr>
                <w:rFonts w:cs="Arial"/>
                <w:sz w:val="16"/>
                <w:szCs w:val="16"/>
              </w:rPr>
            </w:pPr>
          </w:p>
        </w:tc>
        <w:tc>
          <w:tcPr>
            <w:tcW w:w="423" w:type="dxa"/>
            <w:shd w:val="solid" w:color="FFFFFF" w:fill="auto"/>
          </w:tcPr>
          <w:p w14:paraId="51BBAD48" w14:textId="77777777" w:rsidR="00A10B25" w:rsidRDefault="00A10B25">
            <w:pPr>
              <w:pStyle w:val="TAC"/>
              <w:rPr>
                <w:rFonts w:cs="Arial"/>
                <w:sz w:val="16"/>
                <w:szCs w:val="16"/>
              </w:rPr>
            </w:pPr>
            <w:r>
              <w:rPr>
                <w:sz w:val="16"/>
              </w:rPr>
              <w:t>F</w:t>
            </w:r>
          </w:p>
        </w:tc>
        <w:tc>
          <w:tcPr>
            <w:tcW w:w="4899" w:type="dxa"/>
            <w:shd w:val="solid" w:color="FFFFFF" w:fill="auto"/>
          </w:tcPr>
          <w:p w14:paraId="27F37534" w14:textId="77777777" w:rsidR="00A10B25" w:rsidRDefault="00A10B25">
            <w:pPr>
              <w:pStyle w:val="TAL"/>
              <w:rPr>
                <w:rFonts w:cs="Arial"/>
                <w:sz w:val="16"/>
                <w:szCs w:val="16"/>
              </w:rPr>
            </w:pPr>
            <w:r>
              <w:rPr>
                <w:sz w:val="16"/>
              </w:rPr>
              <w:t>Corrections in the error handling of NWDAF Analytics</w:t>
            </w:r>
          </w:p>
        </w:tc>
        <w:tc>
          <w:tcPr>
            <w:tcW w:w="706" w:type="dxa"/>
            <w:shd w:val="solid" w:color="FFFFFF" w:fill="auto"/>
          </w:tcPr>
          <w:p w14:paraId="41E421C2" w14:textId="77777777" w:rsidR="00A10B25" w:rsidRDefault="00A10B25">
            <w:pPr>
              <w:pStyle w:val="TAC"/>
              <w:rPr>
                <w:rFonts w:cs="Arial"/>
                <w:sz w:val="16"/>
                <w:szCs w:val="16"/>
              </w:rPr>
            </w:pPr>
            <w:r>
              <w:rPr>
                <w:sz w:val="16"/>
                <w:szCs w:val="16"/>
              </w:rPr>
              <w:t>17.8.0</w:t>
            </w:r>
          </w:p>
        </w:tc>
      </w:tr>
      <w:tr w:rsidR="00A10B25" w14:paraId="71C7270C" w14:textId="77777777">
        <w:tc>
          <w:tcPr>
            <w:tcW w:w="796" w:type="dxa"/>
            <w:shd w:val="solid" w:color="FFFFFF" w:fill="auto"/>
          </w:tcPr>
          <w:p w14:paraId="7AC24F7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B707582"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7458C2E2" w14:textId="77777777" w:rsidR="00A10B25" w:rsidRDefault="00A10B25">
            <w:pPr>
              <w:pStyle w:val="TAC"/>
              <w:rPr>
                <w:rFonts w:cs="Arial"/>
                <w:sz w:val="16"/>
                <w:szCs w:val="16"/>
              </w:rPr>
            </w:pPr>
            <w:r>
              <w:rPr>
                <w:sz w:val="16"/>
                <w:szCs w:val="16"/>
              </w:rPr>
              <w:t>CP-222103</w:t>
            </w:r>
          </w:p>
        </w:tc>
        <w:tc>
          <w:tcPr>
            <w:tcW w:w="523" w:type="dxa"/>
            <w:shd w:val="solid" w:color="FFFFFF" w:fill="auto"/>
          </w:tcPr>
          <w:p w14:paraId="0C393CF5" w14:textId="77777777" w:rsidR="00A10B25" w:rsidRDefault="00A10B25">
            <w:pPr>
              <w:pStyle w:val="TAL"/>
              <w:rPr>
                <w:rFonts w:cs="Arial"/>
                <w:sz w:val="16"/>
                <w:szCs w:val="16"/>
              </w:rPr>
            </w:pPr>
            <w:r>
              <w:rPr>
                <w:rFonts w:cs="Arial"/>
                <w:sz w:val="16"/>
                <w:szCs w:val="16"/>
              </w:rPr>
              <w:t>0564</w:t>
            </w:r>
          </w:p>
        </w:tc>
        <w:tc>
          <w:tcPr>
            <w:tcW w:w="423" w:type="dxa"/>
            <w:shd w:val="solid" w:color="FFFFFF" w:fill="auto"/>
          </w:tcPr>
          <w:p w14:paraId="0AE4495D" w14:textId="77777777" w:rsidR="00A10B25" w:rsidRDefault="00A10B25">
            <w:pPr>
              <w:pStyle w:val="TAR"/>
              <w:rPr>
                <w:rFonts w:cs="Arial"/>
                <w:sz w:val="16"/>
                <w:szCs w:val="16"/>
              </w:rPr>
            </w:pPr>
            <w:r>
              <w:rPr>
                <w:sz w:val="16"/>
              </w:rPr>
              <w:t>1</w:t>
            </w:r>
          </w:p>
        </w:tc>
        <w:tc>
          <w:tcPr>
            <w:tcW w:w="423" w:type="dxa"/>
            <w:shd w:val="solid" w:color="FFFFFF" w:fill="auto"/>
          </w:tcPr>
          <w:p w14:paraId="72DF3DC3" w14:textId="77777777" w:rsidR="00A10B25" w:rsidRDefault="00A10B25">
            <w:pPr>
              <w:pStyle w:val="TAC"/>
              <w:rPr>
                <w:rFonts w:cs="Arial"/>
                <w:sz w:val="16"/>
                <w:szCs w:val="16"/>
              </w:rPr>
            </w:pPr>
            <w:r>
              <w:rPr>
                <w:sz w:val="16"/>
              </w:rPr>
              <w:t>F</w:t>
            </w:r>
          </w:p>
        </w:tc>
        <w:tc>
          <w:tcPr>
            <w:tcW w:w="4899" w:type="dxa"/>
            <w:shd w:val="solid" w:color="FFFFFF" w:fill="auto"/>
          </w:tcPr>
          <w:p w14:paraId="79515EE4" w14:textId="77777777" w:rsidR="00A10B25" w:rsidRDefault="00A10B25">
            <w:pPr>
              <w:pStyle w:val="TAL"/>
              <w:rPr>
                <w:rFonts w:cs="Arial"/>
                <w:sz w:val="16"/>
                <w:szCs w:val="16"/>
              </w:rPr>
            </w:pPr>
            <w:r>
              <w:rPr>
                <w:sz w:val="16"/>
              </w:rPr>
              <w:t>Update of Scope and Overview and Service Architecture</w:t>
            </w:r>
          </w:p>
        </w:tc>
        <w:tc>
          <w:tcPr>
            <w:tcW w:w="706" w:type="dxa"/>
            <w:shd w:val="solid" w:color="FFFFFF" w:fill="auto"/>
          </w:tcPr>
          <w:p w14:paraId="41B2572D" w14:textId="77777777" w:rsidR="00A10B25" w:rsidRDefault="00A10B25">
            <w:pPr>
              <w:pStyle w:val="TAC"/>
              <w:rPr>
                <w:rFonts w:cs="Arial"/>
                <w:sz w:val="16"/>
                <w:szCs w:val="16"/>
              </w:rPr>
            </w:pPr>
            <w:r>
              <w:rPr>
                <w:sz w:val="16"/>
                <w:szCs w:val="16"/>
              </w:rPr>
              <w:t>17.8.0</w:t>
            </w:r>
          </w:p>
        </w:tc>
      </w:tr>
      <w:tr w:rsidR="00A10B25" w14:paraId="342B1F75" w14:textId="77777777">
        <w:tc>
          <w:tcPr>
            <w:tcW w:w="796" w:type="dxa"/>
            <w:shd w:val="solid" w:color="FFFFFF" w:fill="auto"/>
          </w:tcPr>
          <w:p w14:paraId="0031DF1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14472B47"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953FAB2" w14:textId="77777777" w:rsidR="00A10B25" w:rsidRDefault="00A10B25">
            <w:pPr>
              <w:pStyle w:val="TAC"/>
              <w:rPr>
                <w:rFonts w:cs="Arial"/>
                <w:sz w:val="16"/>
                <w:szCs w:val="16"/>
              </w:rPr>
            </w:pPr>
            <w:r>
              <w:rPr>
                <w:sz w:val="16"/>
                <w:szCs w:val="16"/>
              </w:rPr>
              <w:t>CP-222103</w:t>
            </w:r>
          </w:p>
        </w:tc>
        <w:tc>
          <w:tcPr>
            <w:tcW w:w="523" w:type="dxa"/>
            <w:shd w:val="solid" w:color="FFFFFF" w:fill="auto"/>
          </w:tcPr>
          <w:p w14:paraId="75C52D79" w14:textId="77777777" w:rsidR="00A10B25" w:rsidRDefault="00A10B25">
            <w:pPr>
              <w:pStyle w:val="TAL"/>
              <w:rPr>
                <w:rFonts w:cs="Arial"/>
                <w:sz w:val="16"/>
                <w:szCs w:val="16"/>
              </w:rPr>
            </w:pPr>
            <w:r>
              <w:rPr>
                <w:rFonts w:cs="Arial"/>
                <w:sz w:val="16"/>
                <w:szCs w:val="16"/>
              </w:rPr>
              <w:t>0565</w:t>
            </w:r>
          </w:p>
        </w:tc>
        <w:tc>
          <w:tcPr>
            <w:tcW w:w="423" w:type="dxa"/>
            <w:shd w:val="solid" w:color="FFFFFF" w:fill="auto"/>
          </w:tcPr>
          <w:p w14:paraId="286E70CD" w14:textId="77777777" w:rsidR="00A10B25" w:rsidRDefault="00A10B25">
            <w:pPr>
              <w:pStyle w:val="TAR"/>
              <w:rPr>
                <w:rFonts w:cs="Arial"/>
                <w:sz w:val="16"/>
                <w:szCs w:val="16"/>
              </w:rPr>
            </w:pPr>
            <w:r>
              <w:rPr>
                <w:sz w:val="16"/>
              </w:rPr>
              <w:t>1</w:t>
            </w:r>
          </w:p>
        </w:tc>
        <w:tc>
          <w:tcPr>
            <w:tcW w:w="423" w:type="dxa"/>
            <w:shd w:val="solid" w:color="FFFFFF" w:fill="auto"/>
          </w:tcPr>
          <w:p w14:paraId="2FEA3F77" w14:textId="77777777" w:rsidR="00A10B25" w:rsidRDefault="00A10B25">
            <w:pPr>
              <w:pStyle w:val="TAC"/>
              <w:rPr>
                <w:rFonts w:cs="Arial"/>
                <w:sz w:val="16"/>
                <w:szCs w:val="16"/>
              </w:rPr>
            </w:pPr>
            <w:r>
              <w:rPr>
                <w:sz w:val="16"/>
              </w:rPr>
              <w:t>F</w:t>
            </w:r>
          </w:p>
        </w:tc>
        <w:tc>
          <w:tcPr>
            <w:tcW w:w="4899" w:type="dxa"/>
            <w:shd w:val="solid" w:color="FFFFFF" w:fill="auto"/>
          </w:tcPr>
          <w:p w14:paraId="48918DA6" w14:textId="77777777" w:rsidR="00A10B25" w:rsidRDefault="00A10B25">
            <w:pPr>
              <w:pStyle w:val="TAL"/>
              <w:rPr>
                <w:rFonts w:cs="Arial"/>
                <w:sz w:val="16"/>
                <w:szCs w:val="16"/>
              </w:rPr>
            </w:pPr>
            <w:r>
              <w:rPr>
                <w:sz w:val="16"/>
              </w:rPr>
              <w:t>Applicability corrections</w:t>
            </w:r>
          </w:p>
        </w:tc>
        <w:tc>
          <w:tcPr>
            <w:tcW w:w="706" w:type="dxa"/>
            <w:shd w:val="solid" w:color="FFFFFF" w:fill="auto"/>
          </w:tcPr>
          <w:p w14:paraId="12F3F5D8" w14:textId="77777777" w:rsidR="00A10B25" w:rsidRDefault="00A10B25">
            <w:pPr>
              <w:pStyle w:val="TAC"/>
              <w:rPr>
                <w:rFonts w:cs="Arial"/>
                <w:sz w:val="16"/>
                <w:szCs w:val="16"/>
              </w:rPr>
            </w:pPr>
            <w:r>
              <w:rPr>
                <w:sz w:val="16"/>
                <w:szCs w:val="16"/>
              </w:rPr>
              <w:t>17.8.0</w:t>
            </w:r>
          </w:p>
        </w:tc>
      </w:tr>
      <w:tr w:rsidR="00A10B25" w14:paraId="06AEA83D" w14:textId="77777777">
        <w:tc>
          <w:tcPr>
            <w:tcW w:w="796" w:type="dxa"/>
            <w:shd w:val="solid" w:color="FFFFFF" w:fill="auto"/>
          </w:tcPr>
          <w:p w14:paraId="7562A9F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5202A9F"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1E0FFC31" w14:textId="77777777" w:rsidR="00A10B25" w:rsidRDefault="00A10B25">
            <w:pPr>
              <w:pStyle w:val="TAC"/>
              <w:rPr>
                <w:rFonts w:cs="Arial"/>
                <w:sz w:val="16"/>
                <w:szCs w:val="16"/>
              </w:rPr>
            </w:pPr>
            <w:r>
              <w:rPr>
                <w:sz w:val="16"/>
                <w:szCs w:val="16"/>
              </w:rPr>
              <w:t>CP-222102</w:t>
            </w:r>
          </w:p>
        </w:tc>
        <w:tc>
          <w:tcPr>
            <w:tcW w:w="523" w:type="dxa"/>
            <w:shd w:val="solid" w:color="FFFFFF" w:fill="auto"/>
          </w:tcPr>
          <w:p w14:paraId="664AA2E3" w14:textId="77777777" w:rsidR="00A10B25" w:rsidRDefault="00A10B25">
            <w:pPr>
              <w:pStyle w:val="TAL"/>
              <w:rPr>
                <w:rFonts w:cs="Arial"/>
                <w:sz w:val="16"/>
                <w:szCs w:val="16"/>
              </w:rPr>
            </w:pPr>
            <w:r>
              <w:rPr>
                <w:rFonts w:cs="Arial"/>
                <w:sz w:val="16"/>
                <w:szCs w:val="16"/>
              </w:rPr>
              <w:t>0567</w:t>
            </w:r>
          </w:p>
        </w:tc>
        <w:tc>
          <w:tcPr>
            <w:tcW w:w="423" w:type="dxa"/>
            <w:shd w:val="solid" w:color="FFFFFF" w:fill="auto"/>
          </w:tcPr>
          <w:p w14:paraId="5857DC6B" w14:textId="77777777" w:rsidR="00A10B25" w:rsidRDefault="00A10B25">
            <w:pPr>
              <w:pStyle w:val="TAR"/>
              <w:rPr>
                <w:rFonts w:cs="Arial"/>
                <w:sz w:val="16"/>
                <w:szCs w:val="16"/>
              </w:rPr>
            </w:pPr>
            <w:r>
              <w:rPr>
                <w:sz w:val="16"/>
              </w:rPr>
              <w:t>1</w:t>
            </w:r>
          </w:p>
        </w:tc>
        <w:tc>
          <w:tcPr>
            <w:tcW w:w="423" w:type="dxa"/>
            <w:shd w:val="solid" w:color="FFFFFF" w:fill="auto"/>
          </w:tcPr>
          <w:p w14:paraId="3DAFDBAC" w14:textId="77777777" w:rsidR="00A10B25" w:rsidRDefault="00A10B25">
            <w:pPr>
              <w:pStyle w:val="TAC"/>
              <w:rPr>
                <w:rFonts w:cs="Arial"/>
                <w:sz w:val="16"/>
                <w:szCs w:val="16"/>
              </w:rPr>
            </w:pPr>
            <w:r>
              <w:rPr>
                <w:sz w:val="16"/>
              </w:rPr>
              <w:t>F</w:t>
            </w:r>
          </w:p>
        </w:tc>
        <w:tc>
          <w:tcPr>
            <w:tcW w:w="4899" w:type="dxa"/>
            <w:shd w:val="solid" w:color="FFFFFF" w:fill="auto"/>
          </w:tcPr>
          <w:p w14:paraId="1E8B376B" w14:textId="77777777" w:rsidR="00A10B25" w:rsidRDefault="00A10B25">
            <w:pPr>
              <w:pStyle w:val="TAL"/>
              <w:rPr>
                <w:rFonts w:cs="Arial"/>
                <w:sz w:val="16"/>
                <w:szCs w:val="16"/>
              </w:rPr>
            </w:pPr>
            <w:r>
              <w:rPr>
                <w:sz w:val="16"/>
              </w:rPr>
              <w:t>Correct the errors of the cardinality and data type in the data structures</w:t>
            </w:r>
          </w:p>
        </w:tc>
        <w:tc>
          <w:tcPr>
            <w:tcW w:w="706" w:type="dxa"/>
            <w:shd w:val="solid" w:color="FFFFFF" w:fill="auto"/>
          </w:tcPr>
          <w:p w14:paraId="5DD9C6DB" w14:textId="77777777" w:rsidR="00A10B25" w:rsidRDefault="00A10B25">
            <w:pPr>
              <w:pStyle w:val="TAC"/>
              <w:rPr>
                <w:rFonts w:cs="Arial"/>
                <w:sz w:val="16"/>
                <w:szCs w:val="16"/>
              </w:rPr>
            </w:pPr>
            <w:r>
              <w:rPr>
                <w:sz w:val="16"/>
                <w:szCs w:val="16"/>
              </w:rPr>
              <w:t>17.8.0</w:t>
            </w:r>
          </w:p>
        </w:tc>
      </w:tr>
      <w:tr w:rsidR="00A10B25" w14:paraId="2D6AB1C5" w14:textId="77777777">
        <w:tc>
          <w:tcPr>
            <w:tcW w:w="796" w:type="dxa"/>
            <w:shd w:val="solid" w:color="FFFFFF" w:fill="auto"/>
          </w:tcPr>
          <w:p w14:paraId="7578D61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37BB3250"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2385F2D1" w14:textId="77777777" w:rsidR="00A10B25" w:rsidRDefault="00A10B25">
            <w:pPr>
              <w:pStyle w:val="TAC"/>
              <w:rPr>
                <w:rFonts w:cs="Arial"/>
                <w:sz w:val="16"/>
                <w:szCs w:val="16"/>
              </w:rPr>
            </w:pPr>
            <w:r>
              <w:rPr>
                <w:sz w:val="16"/>
                <w:szCs w:val="16"/>
              </w:rPr>
              <w:t>CP-222102</w:t>
            </w:r>
          </w:p>
        </w:tc>
        <w:tc>
          <w:tcPr>
            <w:tcW w:w="523" w:type="dxa"/>
            <w:shd w:val="solid" w:color="FFFFFF" w:fill="auto"/>
          </w:tcPr>
          <w:p w14:paraId="64C107E7" w14:textId="77777777" w:rsidR="00A10B25" w:rsidRDefault="00A10B25">
            <w:pPr>
              <w:pStyle w:val="TAL"/>
              <w:rPr>
                <w:rFonts w:cs="Arial"/>
                <w:sz w:val="16"/>
                <w:szCs w:val="16"/>
              </w:rPr>
            </w:pPr>
            <w:r>
              <w:rPr>
                <w:rFonts w:cs="Arial"/>
                <w:sz w:val="16"/>
                <w:szCs w:val="16"/>
              </w:rPr>
              <w:t>0568</w:t>
            </w:r>
          </w:p>
        </w:tc>
        <w:tc>
          <w:tcPr>
            <w:tcW w:w="423" w:type="dxa"/>
            <w:shd w:val="solid" w:color="FFFFFF" w:fill="auto"/>
          </w:tcPr>
          <w:p w14:paraId="5C5909CD" w14:textId="77777777" w:rsidR="00A10B25" w:rsidRDefault="00A10B25">
            <w:pPr>
              <w:pStyle w:val="TAR"/>
              <w:rPr>
                <w:rFonts w:cs="Arial"/>
                <w:sz w:val="16"/>
                <w:szCs w:val="16"/>
              </w:rPr>
            </w:pPr>
            <w:r>
              <w:rPr>
                <w:sz w:val="16"/>
              </w:rPr>
              <w:t>1</w:t>
            </w:r>
          </w:p>
        </w:tc>
        <w:tc>
          <w:tcPr>
            <w:tcW w:w="423" w:type="dxa"/>
            <w:shd w:val="solid" w:color="FFFFFF" w:fill="auto"/>
          </w:tcPr>
          <w:p w14:paraId="5ED9D1FD" w14:textId="77777777" w:rsidR="00A10B25" w:rsidRDefault="00A10B25">
            <w:pPr>
              <w:pStyle w:val="TAC"/>
              <w:rPr>
                <w:rFonts w:cs="Arial"/>
                <w:sz w:val="16"/>
                <w:szCs w:val="16"/>
              </w:rPr>
            </w:pPr>
            <w:r>
              <w:rPr>
                <w:sz w:val="16"/>
              </w:rPr>
              <w:t>F</w:t>
            </w:r>
          </w:p>
        </w:tc>
        <w:tc>
          <w:tcPr>
            <w:tcW w:w="4899" w:type="dxa"/>
            <w:shd w:val="solid" w:color="FFFFFF" w:fill="auto"/>
          </w:tcPr>
          <w:p w14:paraId="6559D2EA" w14:textId="77777777" w:rsidR="00A10B25" w:rsidRDefault="00A10B25">
            <w:pPr>
              <w:pStyle w:val="TAL"/>
              <w:rPr>
                <w:rFonts w:cs="Arial"/>
                <w:sz w:val="16"/>
                <w:szCs w:val="16"/>
              </w:rPr>
            </w:pPr>
            <w:r>
              <w:rPr>
                <w:sz w:val="16"/>
              </w:rPr>
              <w:t>Remove the Editor's Note for analytics subset</w:t>
            </w:r>
          </w:p>
        </w:tc>
        <w:tc>
          <w:tcPr>
            <w:tcW w:w="706" w:type="dxa"/>
            <w:shd w:val="solid" w:color="FFFFFF" w:fill="auto"/>
          </w:tcPr>
          <w:p w14:paraId="41FD4C73" w14:textId="77777777" w:rsidR="00A10B25" w:rsidRDefault="00A10B25">
            <w:pPr>
              <w:pStyle w:val="TAC"/>
              <w:rPr>
                <w:rFonts w:cs="Arial"/>
                <w:sz w:val="16"/>
                <w:szCs w:val="16"/>
              </w:rPr>
            </w:pPr>
            <w:r>
              <w:rPr>
                <w:sz w:val="16"/>
                <w:szCs w:val="16"/>
              </w:rPr>
              <w:t>17.8.0</w:t>
            </w:r>
          </w:p>
        </w:tc>
      </w:tr>
      <w:tr w:rsidR="00A10B25" w14:paraId="3C39F41B" w14:textId="77777777">
        <w:tc>
          <w:tcPr>
            <w:tcW w:w="796" w:type="dxa"/>
            <w:shd w:val="solid" w:color="FFFFFF" w:fill="auto"/>
          </w:tcPr>
          <w:p w14:paraId="71328BCF"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3B2A7BB6"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67D8C42A" w14:textId="77777777" w:rsidR="00A10B25" w:rsidRDefault="00A10B25">
            <w:pPr>
              <w:pStyle w:val="TAC"/>
              <w:rPr>
                <w:rFonts w:cs="Arial"/>
                <w:sz w:val="16"/>
                <w:szCs w:val="16"/>
              </w:rPr>
            </w:pPr>
            <w:r>
              <w:rPr>
                <w:sz w:val="16"/>
                <w:szCs w:val="16"/>
              </w:rPr>
              <w:t>CP-222102</w:t>
            </w:r>
          </w:p>
        </w:tc>
        <w:tc>
          <w:tcPr>
            <w:tcW w:w="523" w:type="dxa"/>
            <w:shd w:val="solid" w:color="FFFFFF" w:fill="auto"/>
          </w:tcPr>
          <w:p w14:paraId="01EA714E" w14:textId="77777777" w:rsidR="00A10B25" w:rsidRDefault="00A10B25">
            <w:pPr>
              <w:pStyle w:val="TAL"/>
              <w:rPr>
                <w:rFonts w:cs="Arial"/>
                <w:sz w:val="16"/>
                <w:szCs w:val="16"/>
              </w:rPr>
            </w:pPr>
            <w:r>
              <w:rPr>
                <w:rFonts w:cs="Arial"/>
                <w:sz w:val="16"/>
                <w:szCs w:val="16"/>
              </w:rPr>
              <w:t>0569</w:t>
            </w:r>
          </w:p>
        </w:tc>
        <w:tc>
          <w:tcPr>
            <w:tcW w:w="423" w:type="dxa"/>
            <w:shd w:val="solid" w:color="FFFFFF" w:fill="auto"/>
          </w:tcPr>
          <w:p w14:paraId="1A095BFC" w14:textId="77777777" w:rsidR="00A10B25" w:rsidRDefault="00A10B25">
            <w:pPr>
              <w:pStyle w:val="TAR"/>
              <w:rPr>
                <w:rFonts w:cs="Arial"/>
                <w:sz w:val="16"/>
                <w:szCs w:val="16"/>
              </w:rPr>
            </w:pPr>
            <w:r>
              <w:rPr>
                <w:sz w:val="16"/>
              </w:rPr>
              <w:t>1</w:t>
            </w:r>
          </w:p>
        </w:tc>
        <w:tc>
          <w:tcPr>
            <w:tcW w:w="423" w:type="dxa"/>
            <w:shd w:val="solid" w:color="FFFFFF" w:fill="auto"/>
          </w:tcPr>
          <w:p w14:paraId="741A9130" w14:textId="77777777" w:rsidR="00A10B25" w:rsidRDefault="00A10B25">
            <w:pPr>
              <w:pStyle w:val="TAC"/>
              <w:rPr>
                <w:rFonts w:cs="Arial"/>
                <w:sz w:val="16"/>
                <w:szCs w:val="16"/>
              </w:rPr>
            </w:pPr>
            <w:r>
              <w:rPr>
                <w:sz w:val="16"/>
              </w:rPr>
              <w:t>F</w:t>
            </w:r>
          </w:p>
        </w:tc>
        <w:tc>
          <w:tcPr>
            <w:tcW w:w="4899" w:type="dxa"/>
            <w:shd w:val="solid" w:color="FFFFFF" w:fill="auto"/>
          </w:tcPr>
          <w:p w14:paraId="3A40C996" w14:textId="77777777" w:rsidR="00A10B25" w:rsidRDefault="00A10B25">
            <w:pPr>
              <w:pStyle w:val="TAL"/>
              <w:rPr>
                <w:rFonts w:cs="Arial"/>
                <w:sz w:val="16"/>
                <w:szCs w:val="16"/>
              </w:rPr>
            </w:pPr>
            <w:r>
              <w:rPr>
                <w:sz w:val="16"/>
              </w:rPr>
              <w:t>Remove the Editor's Note for ML model</w:t>
            </w:r>
          </w:p>
        </w:tc>
        <w:tc>
          <w:tcPr>
            <w:tcW w:w="706" w:type="dxa"/>
            <w:shd w:val="solid" w:color="FFFFFF" w:fill="auto"/>
          </w:tcPr>
          <w:p w14:paraId="62824FBD" w14:textId="77777777" w:rsidR="00A10B25" w:rsidRDefault="00A10B25">
            <w:pPr>
              <w:pStyle w:val="TAC"/>
              <w:rPr>
                <w:rFonts w:cs="Arial"/>
                <w:sz w:val="16"/>
                <w:szCs w:val="16"/>
              </w:rPr>
            </w:pPr>
            <w:r>
              <w:rPr>
                <w:sz w:val="16"/>
                <w:szCs w:val="16"/>
              </w:rPr>
              <w:t>17.8.0</w:t>
            </w:r>
          </w:p>
        </w:tc>
      </w:tr>
      <w:tr w:rsidR="00A10B25" w14:paraId="3FF2CBA7" w14:textId="77777777">
        <w:tc>
          <w:tcPr>
            <w:tcW w:w="796" w:type="dxa"/>
            <w:shd w:val="solid" w:color="FFFFFF" w:fill="auto"/>
          </w:tcPr>
          <w:p w14:paraId="16567F9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F6A484F"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7B64C0DC" w14:textId="77777777" w:rsidR="00A10B25" w:rsidRDefault="00A10B25">
            <w:pPr>
              <w:pStyle w:val="TAC"/>
              <w:rPr>
                <w:rFonts w:cs="Arial"/>
                <w:sz w:val="16"/>
                <w:szCs w:val="16"/>
              </w:rPr>
            </w:pPr>
            <w:r>
              <w:rPr>
                <w:sz w:val="16"/>
                <w:szCs w:val="16"/>
              </w:rPr>
              <w:t>CP-222104</w:t>
            </w:r>
          </w:p>
        </w:tc>
        <w:tc>
          <w:tcPr>
            <w:tcW w:w="523" w:type="dxa"/>
            <w:shd w:val="solid" w:color="FFFFFF" w:fill="auto"/>
          </w:tcPr>
          <w:p w14:paraId="6347A0AB" w14:textId="77777777" w:rsidR="00A10B25" w:rsidRDefault="00A10B25">
            <w:pPr>
              <w:pStyle w:val="TAL"/>
              <w:rPr>
                <w:rFonts w:cs="Arial"/>
                <w:sz w:val="16"/>
                <w:szCs w:val="16"/>
              </w:rPr>
            </w:pPr>
            <w:r>
              <w:rPr>
                <w:rFonts w:cs="Arial"/>
                <w:sz w:val="16"/>
                <w:szCs w:val="16"/>
              </w:rPr>
              <w:t>0571</w:t>
            </w:r>
          </w:p>
        </w:tc>
        <w:tc>
          <w:tcPr>
            <w:tcW w:w="423" w:type="dxa"/>
            <w:shd w:val="solid" w:color="FFFFFF" w:fill="auto"/>
          </w:tcPr>
          <w:p w14:paraId="4DEBBDED" w14:textId="77777777" w:rsidR="00A10B25" w:rsidRDefault="00A10B25">
            <w:pPr>
              <w:pStyle w:val="TAR"/>
              <w:rPr>
                <w:rFonts w:cs="Arial"/>
                <w:sz w:val="16"/>
                <w:szCs w:val="16"/>
              </w:rPr>
            </w:pPr>
            <w:r>
              <w:rPr>
                <w:sz w:val="16"/>
              </w:rPr>
              <w:t>1</w:t>
            </w:r>
          </w:p>
        </w:tc>
        <w:tc>
          <w:tcPr>
            <w:tcW w:w="423" w:type="dxa"/>
            <w:shd w:val="solid" w:color="FFFFFF" w:fill="auto"/>
          </w:tcPr>
          <w:p w14:paraId="67E205F6" w14:textId="77777777" w:rsidR="00A10B25" w:rsidRDefault="00A10B25">
            <w:pPr>
              <w:pStyle w:val="TAC"/>
              <w:rPr>
                <w:rFonts w:cs="Arial"/>
                <w:sz w:val="16"/>
                <w:szCs w:val="16"/>
              </w:rPr>
            </w:pPr>
            <w:r>
              <w:rPr>
                <w:sz w:val="16"/>
              </w:rPr>
              <w:t>F</w:t>
            </w:r>
          </w:p>
        </w:tc>
        <w:tc>
          <w:tcPr>
            <w:tcW w:w="4899" w:type="dxa"/>
            <w:shd w:val="solid" w:color="FFFFFF" w:fill="auto"/>
          </w:tcPr>
          <w:p w14:paraId="650B988A" w14:textId="77777777" w:rsidR="00A10B25" w:rsidRDefault="00A10B25">
            <w:pPr>
              <w:pStyle w:val="TAL"/>
              <w:rPr>
                <w:rFonts w:cs="Arial"/>
                <w:sz w:val="16"/>
                <w:szCs w:val="16"/>
              </w:rPr>
            </w:pPr>
            <w:r>
              <w:rPr>
                <w:sz w:val="16"/>
              </w:rPr>
              <w:t>Update Nnwdaf_DataManagement_Fetch service operation</w:t>
            </w:r>
          </w:p>
        </w:tc>
        <w:tc>
          <w:tcPr>
            <w:tcW w:w="706" w:type="dxa"/>
            <w:shd w:val="solid" w:color="FFFFFF" w:fill="auto"/>
          </w:tcPr>
          <w:p w14:paraId="08E7CEBD" w14:textId="77777777" w:rsidR="00A10B25" w:rsidRDefault="00A10B25">
            <w:pPr>
              <w:pStyle w:val="TAC"/>
              <w:rPr>
                <w:rFonts w:cs="Arial"/>
                <w:sz w:val="16"/>
                <w:szCs w:val="16"/>
              </w:rPr>
            </w:pPr>
            <w:r>
              <w:rPr>
                <w:sz w:val="16"/>
                <w:szCs w:val="16"/>
              </w:rPr>
              <w:t>17.8.0</w:t>
            </w:r>
          </w:p>
        </w:tc>
      </w:tr>
      <w:tr w:rsidR="00A10B25" w14:paraId="5C10DC37" w14:textId="77777777">
        <w:tc>
          <w:tcPr>
            <w:tcW w:w="796" w:type="dxa"/>
            <w:shd w:val="solid" w:color="FFFFFF" w:fill="auto"/>
          </w:tcPr>
          <w:p w14:paraId="607B98D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00A33B6A"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112AF3AE" w14:textId="77777777" w:rsidR="00A10B25" w:rsidRDefault="00A10B25">
            <w:pPr>
              <w:pStyle w:val="TAC"/>
              <w:rPr>
                <w:rFonts w:cs="Arial"/>
                <w:sz w:val="16"/>
                <w:szCs w:val="16"/>
              </w:rPr>
            </w:pPr>
            <w:r>
              <w:rPr>
                <w:sz w:val="16"/>
                <w:szCs w:val="16"/>
              </w:rPr>
              <w:t>CP-222103</w:t>
            </w:r>
          </w:p>
        </w:tc>
        <w:tc>
          <w:tcPr>
            <w:tcW w:w="523" w:type="dxa"/>
            <w:shd w:val="solid" w:color="FFFFFF" w:fill="auto"/>
          </w:tcPr>
          <w:p w14:paraId="37D30718" w14:textId="77777777" w:rsidR="00A10B25" w:rsidRDefault="00A10B25">
            <w:pPr>
              <w:pStyle w:val="TAL"/>
              <w:rPr>
                <w:rFonts w:cs="Arial"/>
                <w:sz w:val="16"/>
                <w:szCs w:val="16"/>
              </w:rPr>
            </w:pPr>
            <w:r>
              <w:rPr>
                <w:rFonts w:cs="Arial"/>
                <w:sz w:val="16"/>
                <w:szCs w:val="16"/>
              </w:rPr>
              <w:t>0572</w:t>
            </w:r>
          </w:p>
        </w:tc>
        <w:tc>
          <w:tcPr>
            <w:tcW w:w="423" w:type="dxa"/>
            <w:shd w:val="solid" w:color="FFFFFF" w:fill="auto"/>
          </w:tcPr>
          <w:p w14:paraId="35C4017E" w14:textId="77777777" w:rsidR="00A10B25" w:rsidRDefault="00A10B25">
            <w:pPr>
              <w:pStyle w:val="TAR"/>
              <w:rPr>
                <w:rFonts w:cs="Arial"/>
                <w:sz w:val="16"/>
                <w:szCs w:val="16"/>
              </w:rPr>
            </w:pPr>
            <w:r>
              <w:rPr>
                <w:sz w:val="16"/>
              </w:rPr>
              <w:t>1</w:t>
            </w:r>
          </w:p>
        </w:tc>
        <w:tc>
          <w:tcPr>
            <w:tcW w:w="423" w:type="dxa"/>
            <w:shd w:val="solid" w:color="FFFFFF" w:fill="auto"/>
          </w:tcPr>
          <w:p w14:paraId="3B7A11CB" w14:textId="77777777" w:rsidR="00A10B25" w:rsidRDefault="00A10B25">
            <w:pPr>
              <w:pStyle w:val="TAC"/>
              <w:rPr>
                <w:rFonts w:cs="Arial"/>
                <w:sz w:val="16"/>
                <w:szCs w:val="16"/>
              </w:rPr>
            </w:pPr>
            <w:r>
              <w:rPr>
                <w:sz w:val="16"/>
              </w:rPr>
              <w:t>F</w:t>
            </w:r>
          </w:p>
        </w:tc>
        <w:tc>
          <w:tcPr>
            <w:tcW w:w="4899" w:type="dxa"/>
            <w:shd w:val="solid" w:color="FFFFFF" w:fill="auto"/>
          </w:tcPr>
          <w:p w14:paraId="55097C7A" w14:textId="77777777" w:rsidR="00A10B25" w:rsidRDefault="00A10B25">
            <w:pPr>
              <w:pStyle w:val="TAL"/>
              <w:rPr>
                <w:rFonts w:cs="Arial"/>
                <w:sz w:val="16"/>
                <w:szCs w:val="16"/>
              </w:rPr>
            </w:pPr>
            <w:r>
              <w:rPr>
                <w:sz w:val="16"/>
              </w:rPr>
              <w:t>Update Resource usage threshold crossings time period for NSI load</w:t>
            </w:r>
          </w:p>
        </w:tc>
        <w:tc>
          <w:tcPr>
            <w:tcW w:w="706" w:type="dxa"/>
            <w:shd w:val="solid" w:color="FFFFFF" w:fill="auto"/>
          </w:tcPr>
          <w:p w14:paraId="67F92517" w14:textId="77777777" w:rsidR="00A10B25" w:rsidRDefault="00A10B25">
            <w:pPr>
              <w:pStyle w:val="TAC"/>
              <w:rPr>
                <w:rFonts w:cs="Arial"/>
                <w:sz w:val="16"/>
                <w:szCs w:val="16"/>
              </w:rPr>
            </w:pPr>
            <w:r>
              <w:rPr>
                <w:sz w:val="16"/>
                <w:szCs w:val="16"/>
              </w:rPr>
              <w:t>17.8.0</w:t>
            </w:r>
          </w:p>
        </w:tc>
      </w:tr>
      <w:tr w:rsidR="00A10B25" w14:paraId="498798B9" w14:textId="77777777">
        <w:tc>
          <w:tcPr>
            <w:tcW w:w="796" w:type="dxa"/>
            <w:shd w:val="solid" w:color="FFFFFF" w:fill="auto"/>
          </w:tcPr>
          <w:p w14:paraId="0DDD034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72D441DD"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53EFB185" w14:textId="77777777" w:rsidR="00A10B25" w:rsidRDefault="00A10B25">
            <w:pPr>
              <w:pStyle w:val="TAC"/>
              <w:rPr>
                <w:rFonts w:cs="Arial"/>
                <w:sz w:val="16"/>
                <w:szCs w:val="16"/>
              </w:rPr>
            </w:pPr>
            <w:r>
              <w:rPr>
                <w:sz w:val="16"/>
                <w:szCs w:val="16"/>
              </w:rPr>
              <w:t>CP-222210</w:t>
            </w:r>
          </w:p>
        </w:tc>
        <w:tc>
          <w:tcPr>
            <w:tcW w:w="523" w:type="dxa"/>
            <w:shd w:val="solid" w:color="FFFFFF" w:fill="auto"/>
          </w:tcPr>
          <w:p w14:paraId="2D7A2D6F" w14:textId="77777777" w:rsidR="00A10B25" w:rsidRDefault="00A10B25">
            <w:pPr>
              <w:pStyle w:val="TAL"/>
              <w:rPr>
                <w:rFonts w:cs="Arial"/>
                <w:sz w:val="16"/>
                <w:szCs w:val="16"/>
              </w:rPr>
            </w:pPr>
            <w:r>
              <w:rPr>
                <w:rFonts w:cs="Arial"/>
                <w:sz w:val="16"/>
                <w:szCs w:val="16"/>
              </w:rPr>
              <w:t>0573</w:t>
            </w:r>
          </w:p>
        </w:tc>
        <w:tc>
          <w:tcPr>
            <w:tcW w:w="423" w:type="dxa"/>
            <w:shd w:val="solid" w:color="FFFFFF" w:fill="auto"/>
          </w:tcPr>
          <w:p w14:paraId="432DC74D" w14:textId="77777777" w:rsidR="00A10B25" w:rsidRDefault="00A10B25">
            <w:pPr>
              <w:pStyle w:val="TAR"/>
              <w:rPr>
                <w:rFonts w:cs="Arial"/>
                <w:sz w:val="16"/>
                <w:szCs w:val="16"/>
              </w:rPr>
            </w:pPr>
            <w:r>
              <w:rPr>
                <w:sz w:val="16"/>
              </w:rPr>
              <w:t>1</w:t>
            </w:r>
          </w:p>
        </w:tc>
        <w:tc>
          <w:tcPr>
            <w:tcW w:w="423" w:type="dxa"/>
            <w:shd w:val="solid" w:color="FFFFFF" w:fill="auto"/>
          </w:tcPr>
          <w:p w14:paraId="4E43B5DB" w14:textId="77777777" w:rsidR="00A10B25" w:rsidRDefault="00A10B25">
            <w:pPr>
              <w:pStyle w:val="TAC"/>
              <w:rPr>
                <w:rFonts w:cs="Arial"/>
                <w:sz w:val="16"/>
                <w:szCs w:val="16"/>
              </w:rPr>
            </w:pPr>
            <w:r>
              <w:rPr>
                <w:sz w:val="16"/>
              </w:rPr>
              <w:t>F</w:t>
            </w:r>
          </w:p>
        </w:tc>
        <w:tc>
          <w:tcPr>
            <w:tcW w:w="4899" w:type="dxa"/>
            <w:shd w:val="solid" w:color="FFFFFF" w:fill="auto"/>
          </w:tcPr>
          <w:p w14:paraId="16A46715" w14:textId="77777777" w:rsidR="00A10B25" w:rsidRDefault="00A10B25">
            <w:pPr>
              <w:pStyle w:val="TAL"/>
              <w:rPr>
                <w:rFonts w:cs="Arial"/>
                <w:sz w:val="16"/>
                <w:szCs w:val="16"/>
              </w:rPr>
            </w:pPr>
            <w:r>
              <w:rPr>
                <w:sz w:val="16"/>
              </w:rPr>
              <w:t>Update the redundant transmission analytics</w:t>
            </w:r>
          </w:p>
        </w:tc>
        <w:tc>
          <w:tcPr>
            <w:tcW w:w="706" w:type="dxa"/>
            <w:shd w:val="solid" w:color="FFFFFF" w:fill="auto"/>
          </w:tcPr>
          <w:p w14:paraId="3C133FE9" w14:textId="77777777" w:rsidR="00A10B25" w:rsidRDefault="00A10B25">
            <w:pPr>
              <w:pStyle w:val="TAC"/>
              <w:rPr>
                <w:rFonts w:cs="Arial"/>
                <w:sz w:val="16"/>
                <w:szCs w:val="16"/>
              </w:rPr>
            </w:pPr>
            <w:r>
              <w:rPr>
                <w:sz w:val="16"/>
                <w:szCs w:val="16"/>
              </w:rPr>
              <w:t>17.8.0</w:t>
            </w:r>
          </w:p>
        </w:tc>
      </w:tr>
      <w:tr w:rsidR="00A10B25" w14:paraId="7748B2C4" w14:textId="77777777">
        <w:tc>
          <w:tcPr>
            <w:tcW w:w="796" w:type="dxa"/>
            <w:shd w:val="solid" w:color="FFFFFF" w:fill="auto"/>
          </w:tcPr>
          <w:p w14:paraId="71FACB3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3D521CC6"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1226A915" w14:textId="77777777" w:rsidR="00A10B25" w:rsidRDefault="00A10B25">
            <w:pPr>
              <w:pStyle w:val="TAC"/>
              <w:rPr>
                <w:rFonts w:cs="Arial"/>
                <w:sz w:val="16"/>
                <w:szCs w:val="16"/>
              </w:rPr>
            </w:pPr>
            <w:r>
              <w:rPr>
                <w:sz w:val="16"/>
                <w:szCs w:val="16"/>
              </w:rPr>
              <w:t>CP-222101</w:t>
            </w:r>
          </w:p>
        </w:tc>
        <w:tc>
          <w:tcPr>
            <w:tcW w:w="523" w:type="dxa"/>
            <w:shd w:val="solid" w:color="FFFFFF" w:fill="auto"/>
          </w:tcPr>
          <w:p w14:paraId="7031333D" w14:textId="77777777" w:rsidR="00A10B25" w:rsidRDefault="00A10B25">
            <w:pPr>
              <w:pStyle w:val="TAL"/>
              <w:rPr>
                <w:rFonts w:cs="Arial"/>
                <w:sz w:val="16"/>
                <w:szCs w:val="16"/>
              </w:rPr>
            </w:pPr>
            <w:r>
              <w:rPr>
                <w:rFonts w:cs="Arial"/>
                <w:sz w:val="16"/>
                <w:szCs w:val="16"/>
              </w:rPr>
              <w:t>0574</w:t>
            </w:r>
          </w:p>
        </w:tc>
        <w:tc>
          <w:tcPr>
            <w:tcW w:w="423" w:type="dxa"/>
            <w:shd w:val="solid" w:color="FFFFFF" w:fill="auto"/>
          </w:tcPr>
          <w:p w14:paraId="2A87963C" w14:textId="77777777" w:rsidR="00A10B25" w:rsidRDefault="00A10B25">
            <w:pPr>
              <w:pStyle w:val="TAR"/>
              <w:rPr>
                <w:rFonts w:cs="Arial"/>
                <w:sz w:val="16"/>
                <w:szCs w:val="16"/>
              </w:rPr>
            </w:pPr>
          </w:p>
        </w:tc>
        <w:tc>
          <w:tcPr>
            <w:tcW w:w="423" w:type="dxa"/>
            <w:shd w:val="solid" w:color="FFFFFF" w:fill="auto"/>
          </w:tcPr>
          <w:p w14:paraId="2E9B4501" w14:textId="77777777" w:rsidR="00A10B25" w:rsidRDefault="00A10B25">
            <w:pPr>
              <w:pStyle w:val="TAC"/>
              <w:rPr>
                <w:rFonts w:cs="Arial"/>
                <w:sz w:val="16"/>
                <w:szCs w:val="16"/>
              </w:rPr>
            </w:pPr>
            <w:r>
              <w:rPr>
                <w:sz w:val="16"/>
              </w:rPr>
              <w:t>F</w:t>
            </w:r>
          </w:p>
        </w:tc>
        <w:tc>
          <w:tcPr>
            <w:tcW w:w="4899" w:type="dxa"/>
            <w:shd w:val="solid" w:color="FFFFFF" w:fill="auto"/>
          </w:tcPr>
          <w:p w14:paraId="15B2FC9A" w14:textId="77777777" w:rsidR="00A10B25" w:rsidRDefault="00A10B25">
            <w:pPr>
              <w:pStyle w:val="TAL"/>
              <w:rPr>
                <w:rFonts w:cs="Arial"/>
                <w:sz w:val="16"/>
                <w:szCs w:val="16"/>
              </w:rPr>
            </w:pPr>
            <w:r>
              <w:rPr>
                <w:sz w:val="16"/>
              </w:rPr>
              <w:t>Updates to any UE for Dispersion</w:t>
            </w:r>
          </w:p>
        </w:tc>
        <w:tc>
          <w:tcPr>
            <w:tcW w:w="706" w:type="dxa"/>
            <w:shd w:val="solid" w:color="FFFFFF" w:fill="auto"/>
          </w:tcPr>
          <w:p w14:paraId="0E914D21" w14:textId="77777777" w:rsidR="00A10B25" w:rsidRDefault="00A10B25">
            <w:pPr>
              <w:pStyle w:val="TAC"/>
              <w:rPr>
                <w:rFonts w:cs="Arial"/>
                <w:sz w:val="16"/>
                <w:szCs w:val="16"/>
              </w:rPr>
            </w:pPr>
            <w:r>
              <w:rPr>
                <w:sz w:val="16"/>
                <w:szCs w:val="16"/>
              </w:rPr>
              <w:t>17.8.0</w:t>
            </w:r>
          </w:p>
        </w:tc>
      </w:tr>
      <w:tr w:rsidR="00A10B25" w14:paraId="72C47E8A" w14:textId="77777777">
        <w:tc>
          <w:tcPr>
            <w:tcW w:w="796" w:type="dxa"/>
            <w:shd w:val="solid" w:color="FFFFFF" w:fill="auto"/>
          </w:tcPr>
          <w:p w14:paraId="3AFF09D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529EBC0"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144612BF" w14:textId="77777777" w:rsidR="00A10B25" w:rsidRDefault="00A10B25">
            <w:pPr>
              <w:pStyle w:val="TAC"/>
              <w:rPr>
                <w:rFonts w:cs="Arial"/>
                <w:sz w:val="16"/>
                <w:szCs w:val="16"/>
              </w:rPr>
            </w:pPr>
            <w:r>
              <w:rPr>
                <w:sz w:val="16"/>
                <w:szCs w:val="16"/>
              </w:rPr>
              <w:t>CP-222102</w:t>
            </w:r>
          </w:p>
        </w:tc>
        <w:tc>
          <w:tcPr>
            <w:tcW w:w="523" w:type="dxa"/>
            <w:shd w:val="solid" w:color="FFFFFF" w:fill="auto"/>
          </w:tcPr>
          <w:p w14:paraId="5F49F5BD" w14:textId="77777777" w:rsidR="00A10B25" w:rsidRDefault="00A10B25">
            <w:pPr>
              <w:pStyle w:val="TAL"/>
              <w:rPr>
                <w:rFonts w:cs="Arial"/>
                <w:sz w:val="16"/>
                <w:szCs w:val="16"/>
              </w:rPr>
            </w:pPr>
            <w:r>
              <w:rPr>
                <w:rFonts w:cs="Arial"/>
                <w:sz w:val="16"/>
                <w:szCs w:val="16"/>
              </w:rPr>
              <w:t>0575</w:t>
            </w:r>
          </w:p>
        </w:tc>
        <w:tc>
          <w:tcPr>
            <w:tcW w:w="423" w:type="dxa"/>
            <w:shd w:val="solid" w:color="FFFFFF" w:fill="auto"/>
          </w:tcPr>
          <w:p w14:paraId="33653106" w14:textId="77777777" w:rsidR="00A10B25" w:rsidRDefault="00A10B25">
            <w:pPr>
              <w:pStyle w:val="TAR"/>
              <w:rPr>
                <w:rFonts w:cs="Arial"/>
                <w:sz w:val="16"/>
                <w:szCs w:val="16"/>
              </w:rPr>
            </w:pPr>
            <w:r>
              <w:rPr>
                <w:sz w:val="16"/>
              </w:rPr>
              <w:t>1</w:t>
            </w:r>
          </w:p>
        </w:tc>
        <w:tc>
          <w:tcPr>
            <w:tcW w:w="423" w:type="dxa"/>
            <w:shd w:val="solid" w:color="FFFFFF" w:fill="auto"/>
          </w:tcPr>
          <w:p w14:paraId="4C167318" w14:textId="77777777" w:rsidR="00A10B25" w:rsidRDefault="00A10B25">
            <w:pPr>
              <w:pStyle w:val="TAC"/>
              <w:rPr>
                <w:rFonts w:cs="Arial"/>
                <w:sz w:val="16"/>
                <w:szCs w:val="16"/>
              </w:rPr>
            </w:pPr>
            <w:r>
              <w:rPr>
                <w:sz w:val="16"/>
              </w:rPr>
              <w:t>F</w:t>
            </w:r>
          </w:p>
        </w:tc>
        <w:tc>
          <w:tcPr>
            <w:tcW w:w="4899" w:type="dxa"/>
            <w:shd w:val="solid" w:color="FFFFFF" w:fill="auto"/>
          </w:tcPr>
          <w:p w14:paraId="144A373D" w14:textId="77777777" w:rsidR="00A10B25" w:rsidRDefault="00A10B25">
            <w:pPr>
              <w:pStyle w:val="TAL"/>
              <w:rPr>
                <w:rFonts w:cs="Arial"/>
                <w:sz w:val="16"/>
                <w:szCs w:val="16"/>
              </w:rPr>
            </w:pPr>
            <w:r>
              <w:rPr>
                <w:sz w:val="16"/>
              </w:rPr>
              <w:t>Corrections to EventSubscription</w:t>
            </w:r>
          </w:p>
        </w:tc>
        <w:tc>
          <w:tcPr>
            <w:tcW w:w="706" w:type="dxa"/>
            <w:shd w:val="solid" w:color="FFFFFF" w:fill="auto"/>
          </w:tcPr>
          <w:p w14:paraId="7E35D8A0" w14:textId="77777777" w:rsidR="00A10B25" w:rsidRDefault="00A10B25">
            <w:pPr>
              <w:pStyle w:val="TAC"/>
              <w:rPr>
                <w:rFonts w:cs="Arial"/>
                <w:sz w:val="16"/>
                <w:szCs w:val="16"/>
              </w:rPr>
            </w:pPr>
            <w:r>
              <w:rPr>
                <w:sz w:val="16"/>
                <w:szCs w:val="16"/>
              </w:rPr>
              <w:t>17.8.0</w:t>
            </w:r>
          </w:p>
        </w:tc>
      </w:tr>
      <w:tr w:rsidR="00A10B25" w14:paraId="07CBEA28" w14:textId="77777777">
        <w:tc>
          <w:tcPr>
            <w:tcW w:w="796" w:type="dxa"/>
            <w:shd w:val="solid" w:color="FFFFFF" w:fill="auto"/>
          </w:tcPr>
          <w:p w14:paraId="77375D4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220180D3"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2EB7DC05" w14:textId="77777777" w:rsidR="00A10B25" w:rsidRDefault="00A10B25">
            <w:pPr>
              <w:pStyle w:val="TAC"/>
              <w:rPr>
                <w:rFonts w:cs="Arial"/>
                <w:sz w:val="16"/>
                <w:szCs w:val="16"/>
              </w:rPr>
            </w:pPr>
            <w:r>
              <w:rPr>
                <w:sz w:val="16"/>
                <w:szCs w:val="16"/>
              </w:rPr>
              <w:t>CP-222102</w:t>
            </w:r>
          </w:p>
        </w:tc>
        <w:tc>
          <w:tcPr>
            <w:tcW w:w="523" w:type="dxa"/>
            <w:shd w:val="solid" w:color="FFFFFF" w:fill="auto"/>
          </w:tcPr>
          <w:p w14:paraId="5E807C96" w14:textId="77777777" w:rsidR="00A10B25" w:rsidRDefault="00A10B25">
            <w:pPr>
              <w:pStyle w:val="TAL"/>
              <w:rPr>
                <w:rFonts w:cs="Arial"/>
                <w:sz w:val="16"/>
                <w:szCs w:val="16"/>
              </w:rPr>
            </w:pPr>
            <w:r>
              <w:rPr>
                <w:rFonts w:cs="Arial"/>
                <w:sz w:val="16"/>
                <w:szCs w:val="16"/>
              </w:rPr>
              <w:t>0577</w:t>
            </w:r>
          </w:p>
        </w:tc>
        <w:tc>
          <w:tcPr>
            <w:tcW w:w="423" w:type="dxa"/>
            <w:shd w:val="solid" w:color="FFFFFF" w:fill="auto"/>
          </w:tcPr>
          <w:p w14:paraId="02387F5B" w14:textId="77777777" w:rsidR="00A10B25" w:rsidRDefault="00A10B25">
            <w:pPr>
              <w:pStyle w:val="TAR"/>
              <w:rPr>
                <w:rFonts w:cs="Arial"/>
                <w:sz w:val="16"/>
                <w:szCs w:val="16"/>
              </w:rPr>
            </w:pPr>
          </w:p>
        </w:tc>
        <w:tc>
          <w:tcPr>
            <w:tcW w:w="423" w:type="dxa"/>
            <w:shd w:val="solid" w:color="FFFFFF" w:fill="auto"/>
          </w:tcPr>
          <w:p w14:paraId="4C7A7902" w14:textId="77777777" w:rsidR="00A10B25" w:rsidRDefault="00A10B25">
            <w:pPr>
              <w:pStyle w:val="TAC"/>
              <w:rPr>
                <w:rFonts w:cs="Arial"/>
                <w:sz w:val="16"/>
                <w:szCs w:val="16"/>
              </w:rPr>
            </w:pPr>
            <w:r>
              <w:rPr>
                <w:sz w:val="16"/>
              </w:rPr>
              <w:t>F</w:t>
            </w:r>
          </w:p>
        </w:tc>
        <w:tc>
          <w:tcPr>
            <w:tcW w:w="4899" w:type="dxa"/>
            <w:shd w:val="solid" w:color="FFFFFF" w:fill="auto"/>
          </w:tcPr>
          <w:p w14:paraId="11812F5A" w14:textId="77777777" w:rsidR="00A10B25" w:rsidRDefault="00A10B25">
            <w:pPr>
              <w:pStyle w:val="TAL"/>
              <w:rPr>
                <w:rFonts w:cs="Arial"/>
                <w:sz w:val="16"/>
                <w:szCs w:val="16"/>
              </w:rPr>
            </w:pPr>
            <w:r>
              <w:rPr>
                <w:sz w:val="16"/>
              </w:rPr>
              <w:t>Corrections on percentage value range</w:t>
            </w:r>
          </w:p>
        </w:tc>
        <w:tc>
          <w:tcPr>
            <w:tcW w:w="706" w:type="dxa"/>
            <w:shd w:val="solid" w:color="FFFFFF" w:fill="auto"/>
          </w:tcPr>
          <w:p w14:paraId="24025036" w14:textId="77777777" w:rsidR="00A10B25" w:rsidRDefault="00A10B25">
            <w:pPr>
              <w:pStyle w:val="TAC"/>
              <w:rPr>
                <w:rFonts w:cs="Arial"/>
                <w:sz w:val="16"/>
                <w:szCs w:val="16"/>
              </w:rPr>
            </w:pPr>
            <w:r>
              <w:rPr>
                <w:sz w:val="16"/>
                <w:szCs w:val="16"/>
              </w:rPr>
              <w:t>17.8.0</w:t>
            </w:r>
          </w:p>
        </w:tc>
      </w:tr>
      <w:tr w:rsidR="00A10B25" w14:paraId="0AC05DDD" w14:textId="77777777">
        <w:tc>
          <w:tcPr>
            <w:tcW w:w="796" w:type="dxa"/>
            <w:shd w:val="solid" w:color="FFFFFF" w:fill="auto"/>
          </w:tcPr>
          <w:p w14:paraId="34E2BF6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79D56EBD"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0C063BD4" w14:textId="77777777" w:rsidR="00A10B25" w:rsidRDefault="00A10B25">
            <w:pPr>
              <w:pStyle w:val="TAC"/>
              <w:rPr>
                <w:rFonts w:cs="Arial"/>
                <w:sz w:val="16"/>
                <w:szCs w:val="16"/>
              </w:rPr>
            </w:pPr>
            <w:r>
              <w:rPr>
                <w:sz w:val="16"/>
                <w:szCs w:val="16"/>
              </w:rPr>
              <w:t>CP-222102</w:t>
            </w:r>
          </w:p>
        </w:tc>
        <w:tc>
          <w:tcPr>
            <w:tcW w:w="523" w:type="dxa"/>
            <w:shd w:val="solid" w:color="FFFFFF" w:fill="auto"/>
          </w:tcPr>
          <w:p w14:paraId="6631EE88" w14:textId="77777777" w:rsidR="00A10B25" w:rsidRDefault="00A10B25">
            <w:pPr>
              <w:pStyle w:val="TAL"/>
              <w:rPr>
                <w:rFonts w:cs="Arial"/>
                <w:sz w:val="16"/>
                <w:szCs w:val="16"/>
              </w:rPr>
            </w:pPr>
            <w:r>
              <w:rPr>
                <w:rFonts w:cs="Arial"/>
                <w:sz w:val="16"/>
                <w:szCs w:val="16"/>
              </w:rPr>
              <w:t>0578</w:t>
            </w:r>
          </w:p>
        </w:tc>
        <w:tc>
          <w:tcPr>
            <w:tcW w:w="423" w:type="dxa"/>
            <w:shd w:val="solid" w:color="FFFFFF" w:fill="auto"/>
          </w:tcPr>
          <w:p w14:paraId="2498D24A" w14:textId="77777777" w:rsidR="00A10B25" w:rsidRDefault="00A10B25">
            <w:pPr>
              <w:pStyle w:val="TAR"/>
              <w:rPr>
                <w:rFonts w:cs="Arial"/>
                <w:sz w:val="16"/>
                <w:szCs w:val="16"/>
              </w:rPr>
            </w:pPr>
          </w:p>
        </w:tc>
        <w:tc>
          <w:tcPr>
            <w:tcW w:w="423" w:type="dxa"/>
            <w:shd w:val="solid" w:color="FFFFFF" w:fill="auto"/>
          </w:tcPr>
          <w:p w14:paraId="15C83687" w14:textId="77777777" w:rsidR="00A10B25" w:rsidRDefault="00A10B25">
            <w:pPr>
              <w:pStyle w:val="TAC"/>
              <w:rPr>
                <w:rFonts w:cs="Arial"/>
                <w:sz w:val="16"/>
                <w:szCs w:val="16"/>
              </w:rPr>
            </w:pPr>
            <w:r>
              <w:rPr>
                <w:sz w:val="16"/>
              </w:rPr>
              <w:t>F</w:t>
            </w:r>
          </w:p>
        </w:tc>
        <w:tc>
          <w:tcPr>
            <w:tcW w:w="4899" w:type="dxa"/>
            <w:shd w:val="solid" w:color="FFFFFF" w:fill="auto"/>
          </w:tcPr>
          <w:p w14:paraId="3CE0A41F" w14:textId="77777777" w:rsidR="00A10B25" w:rsidRDefault="00A10B25">
            <w:pPr>
              <w:pStyle w:val="TAL"/>
              <w:rPr>
                <w:rFonts w:cs="Arial"/>
                <w:sz w:val="16"/>
                <w:szCs w:val="16"/>
              </w:rPr>
            </w:pPr>
            <w:r>
              <w:rPr>
                <w:sz w:val="16"/>
              </w:rPr>
              <w:t>Correction to ConsumerNfInformation</w:t>
            </w:r>
          </w:p>
        </w:tc>
        <w:tc>
          <w:tcPr>
            <w:tcW w:w="706" w:type="dxa"/>
            <w:shd w:val="solid" w:color="FFFFFF" w:fill="auto"/>
          </w:tcPr>
          <w:p w14:paraId="11051341" w14:textId="77777777" w:rsidR="00A10B25" w:rsidRDefault="00A10B25">
            <w:pPr>
              <w:pStyle w:val="TAC"/>
              <w:rPr>
                <w:rFonts w:cs="Arial"/>
                <w:sz w:val="16"/>
                <w:szCs w:val="16"/>
              </w:rPr>
            </w:pPr>
            <w:r>
              <w:rPr>
                <w:sz w:val="16"/>
                <w:szCs w:val="16"/>
              </w:rPr>
              <w:t>17.8.0</w:t>
            </w:r>
          </w:p>
        </w:tc>
      </w:tr>
      <w:tr w:rsidR="00A10B25" w14:paraId="67FCD0B7" w14:textId="77777777">
        <w:tc>
          <w:tcPr>
            <w:tcW w:w="796" w:type="dxa"/>
            <w:shd w:val="solid" w:color="FFFFFF" w:fill="auto"/>
          </w:tcPr>
          <w:p w14:paraId="10DD9213"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1F398B84"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7DAA0BA9" w14:textId="77777777" w:rsidR="00A10B25" w:rsidRDefault="00A10B25">
            <w:pPr>
              <w:pStyle w:val="TAC"/>
              <w:rPr>
                <w:rFonts w:cs="Arial"/>
                <w:sz w:val="16"/>
                <w:szCs w:val="16"/>
              </w:rPr>
            </w:pPr>
            <w:r>
              <w:rPr>
                <w:sz w:val="16"/>
                <w:szCs w:val="16"/>
              </w:rPr>
              <w:t>CP-222102</w:t>
            </w:r>
          </w:p>
        </w:tc>
        <w:tc>
          <w:tcPr>
            <w:tcW w:w="523" w:type="dxa"/>
            <w:shd w:val="solid" w:color="FFFFFF" w:fill="auto"/>
          </w:tcPr>
          <w:p w14:paraId="7F8E41E2" w14:textId="77777777" w:rsidR="00A10B25" w:rsidRDefault="00A10B25">
            <w:pPr>
              <w:pStyle w:val="TAL"/>
              <w:rPr>
                <w:rFonts w:cs="Arial"/>
                <w:sz w:val="16"/>
                <w:szCs w:val="16"/>
              </w:rPr>
            </w:pPr>
            <w:r>
              <w:rPr>
                <w:rFonts w:cs="Arial"/>
                <w:sz w:val="16"/>
                <w:szCs w:val="16"/>
              </w:rPr>
              <w:t>0579</w:t>
            </w:r>
          </w:p>
        </w:tc>
        <w:tc>
          <w:tcPr>
            <w:tcW w:w="423" w:type="dxa"/>
            <w:shd w:val="solid" w:color="FFFFFF" w:fill="auto"/>
          </w:tcPr>
          <w:p w14:paraId="0F828619" w14:textId="77777777" w:rsidR="00A10B25" w:rsidRDefault="00A10B25">
            <w:pPr>
              <w:pStyle w:val="TAR"/>
              <w:rPr>
                <w:rFonts w:cs="Arial"/>
                <w:sz w:val="16"/>
                <w:szCs w:val="16"/>
              </w:rPr>
            </w:pPr>
          </w:p>
        </w:tc>
        <w:tc>
          <w:tcPr>
            <w:tcW w:w="423" w:type="dxa"/>
            <w:shd w:val="solid" w:color="FFFFFF" w:fill="auto"/>
          </w:tcPr>
          <w:p w14:paraId="1D5F1E76" w14:textId="77777777" w:rsidR="00A10B25" w:rsidRDefault="00A10B25">
            <w:pPr>
              <w:pStyle w:val="TAC"/>
              <w:rPr>
                <w:rFonts w:cs="Arial"/>
                <w:sz w:val="16"/>
                <w:szCs w:val="16"/>
              </w:rPr>
            </w:pPr>
            <w:r>
              <w:rPr>
                <w:sz w:val="16"/>
              </w:rPr>
              <w:t>F</w:t>
            </w:r>
          </w:p>
        </w:tc>
        <w:tc>
          <w:tcPr>
            <w:tcW w:w="4899" w:type="dxa"/>
            <w:shd w:val="solid" w:color="FFFFFF" w:fill="auto"/>
          </w:tcPr>
          <w:p w14:paraId="6520633E" w14:textId="77777777" w:rsidR="00A10B25" w:rsidRDefault="00A10B25">
            <w:pPr>
              <w:pStyle w:val="TAL"/>
              <w:rPr>
                <w:rFonts w:cs="Arial"/>
                <w:sz w:val="16"/>
                <w:szCs w:val="16"/>
              </w:rPr>
            </w:pPr>
            <w:r>
              <w:rPr>
                <w:sz w:val="16"/>
              </w:rPr>
              <w:t>Corrections to EventFilter</w:t>
            </w:r>
          </w:p>
        </w:tc>
        <w:tc>
          <w:tcPr>
            <w:tcW w:w="706" w:type="dxa"/>
            <w:shd w:val="solid" w:color="FFFFFF" w:fill="auto"/>
          </w:tcPr>
          <w:p w14:paraId="268C1B37" w14:textId="77777777" w:rsidR="00A10B25" w:rsidRDefault="00A10B25">
            <w:pPr>
              <w:pStyle w:val="TAC"/>
              <w:rPr>
                <w:rFonts w:cs="Arial"/>
                <w:sz w:val="16"/>
                <w:szCs w:val="16"/>
              </w:rPr>
            </w:pPr>
            <w:r>
              <w:rPr>
                <w:sz w:val="16"/>
                <w:szCs w:val="16"/>
              </w:rPr>
              <w:t>17.8.0</w:t>
            </w:r>
          </w:p>
        </w:tc>
      </w:tr>
      <w:tr w:rsidR="00A10B25" w14:paraId="5E4B5BF3" w14:textId="77777777">
        <w:tc>
          <w:tcPr>
            <w:tcW w:w="796" w:type="dxa"/>
            <w:shd w:val="solid" w:color="FFFFFF" w:fill="auto"/>
          </w:tcPr>
          <w:p w14:paraId="68DFDE1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6F58CC02"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3C9761E3" w14:textId="77777777" w:rsidR="00A10B25" w:rsidRDefault="00A10B25">
            <w:pPr>
              <w:pStyle w:val="TAC"/>
              <w:rPr>
                <w:rFonts w:cs="Arial"/>
                <w:sz w:val="16"/>
                <w:szCs w:val="16"/>
              </w:rPr>
            </w:pPr>
            <w:r>
              <w:rPr>
                <w:sz w:val="16"/>
                <w:szCs w:val="16"/>
              </w:rPr>
              <w:t>CP-222102</w:t>
            </w:r>
          </w:p>
        </w:tc>
        <w:tc>
          <w:tcPr>
            <w:tcW w:w="523" w:type="dxa"/>
            <w:shd w:val="solid" w:color="FFFFFF" w:fill="auto"/>
          </w:tcPr>
          <w:p w14:paraId="1693105E" w14:textId="77777777" w:rsidR="00A10B25" w:rsidRDefault="00A10B25">
            <w:pPr>
              <w:pStyle w:val="TAL"/>
              <w:rPr>
                <w:rFonts w:cs="Arial"/>
                <w:sz w:val="16"/>
                <w:szCs w:val="16"/>
              </w:rPr>
            </w:pPr>
            <w:r>
              <w:rPr>
                <w:rFonts w:cs="Arial"/>
                <w:sz w:val="16"/>
                <w:szCs w:val="16"/>
              </w:rPr>
              <w:t>0580</w:t>
            </w:r>
          </w:p>
        </w:tc>
        <w:tc>
          <w:tcPr>
            <w:tcW w:w="423" w:type="dxa"/>
            <w:shd w:val="solid" w:color="FFFFFF" w:fill="auto"/>
          </w:tcPr>
          <w:p w14:paraId="22E7A3E4" w14:textId="77777777" w:rsidR="00A10B25" w:rsidRDefault="00A10B25">
            <w:pPr>
              <w:pStyle w:val="TAR"/>
              <w:rPr>
                <w:rFonts w:cs="Arial"/>
                <w:sz w:val="16"/>
                <w:szCs w:val="16"/>
              </w:rPr>
            </w:pPr>
            <w:r>
              <w:rPr>
                <w:sz w:val="16"/>
              </w:rPr>
              <w:t>1</w:t>
            </w:r>
          </w:p>
        </w:tc>
        <w:tc>
          <w:tcPr>
            <w:tcW w:w="423" w:type="dxa"/>
            <w:shd w:val="solid" w:color="FFFFFF" w:fill="auto"/>
          </w:tcPr>
          <w:p w14:paraId="2B872F15" w14:textId="77777777" w:rsidR="00A10B25" w:rsidRDefault="00A10B25">
            <w:pPr>
              <w:pStyle w:val="TAC"/>
              <w:rPr>
                <w:rFonts w:cs="Arial"/>
                <w:sz w:val="16"/>
                <w:szCs w:val="16"/>
              </w:rPr>
            </w:pPr>
            <w:r>
              <w:rPr>
                <w:sz w:val="16"/>
              </w:rPr>
              <w:t>F</w:t>
            </w:r>
          </w:p>
        </w:tc>
        <w:tc>
          <w:tcPr>
            <w:tcW w:w="4899" w:type="dxa"/>
            <w:shd w:val="solid" w:color="FFFFFF" w:fill="auto"/>
          </w:tcPr>
          <w:p w14:paraId="7C25F684" w14:textId="77777777" w:rsidR="00A10B25" w:rsidRDefault="00A10B25">
            <w:pPr>
              <w:pStyle w:val="TAL"/>
              <w:rPr>
                <w:rFonts w:cs="Arial"/>
                <w:sz w:val="16"/>
                <w:szCs w:val="16"/>
              </w:rPr>
            </w:pPr>
            <w:r>
              <w:rPr>
                <w:sz w:val="16"/>
              </w:rPr>
              <w:t>Miscellaneous corrections on NWDAF services</w:t>
            </w:r>
          </w:p>
        </w:tc>
        <w:tc>
          <w:tcPr>
            <w:tcW w:w="706" w:type="dxa"/>
            <w:shd w:val="solid" w:color="FFFFFF" w:fill="auto"/>
          </w:tcPr>
          <w:p w14:paraId="576F2781" w14:textId="77777777" w:rsidR="00A10B25" w:rsidRDefault="00A10B25">
            <w:pPr>
              <w:pStyle w:val="TAC"/>
              <w:rPr>
                <w:rFonts w:cs="Arial"/>
                <w:sz w:val="16"/>
                <w:szCs w:val="16"/>
              </w:rPr>
            </w:pPr>
            <w:r>
              <w:rPr>
                <w:sz w:val="16"/>
                <w:szCs w:val="16"/>
              </w:rPr>
              <w:t>17.8.0</w:t>
            </w:r>
          </w:p>
        </w:tc>
      </w:tr>
      <w:tr w:rsidR="00A10B25" w14:paraId="5FA9F7D4" w14:textId="77777777">
        <w:tc>
          <w:tcPr>
            <w:tcW w:w="796" w:type="dxa"/>
            <w:shd w:val="solid" w:color="FFFFFF" w:fill="auto"/>
          </w:tcPr>
          <w:p w14:paraId="0C135C3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022-09</w:t>
            </w:r>
          </w:p>
        </w:tc>
        <w:tc>
          <w:tcPr>
            <w:tcW w:w="828" w:type="dxa"/>
            <w:shd w:val="solid" w:color="FFFFFF" w:fill="auto"/>
          </w:tcPr>
          <w:p w14:paraId="5DC447EC" w14:textId="77777777" w:rsidR="00A10B25" w:rsidRDefault="00A10B25">
            <w:pPr>
              <w:pStyle w:val="TAC"/>
              <w:rPr>
                <w:rFonts w:cs="Arial"/>
                <w:sz w:val="16"/>
                <w:szCs w:val="16"/>
              </w:rPr>
            </w:pPr>
            <w:r>
              <w:rPr>
                <w:sz w:val="16"/>
                <w:szCs w:val="16"/>
                <w:lang w:val="en-US" w:eastAsia="zh-CN"/>
              </w:rPr>
              <w:t>CT#97e</w:t>
            </w:r>
          </w:p>
        </w:tc>
        <w:tc>
          <w:tcPr>
            <w:tcW w:w="1083" w:type="dxa"/>
            <w:shd w:val="solid" w:color="FFFFFF" w:fill="auto"/>
          </w:tcPr>
          <w:p w14:paraId="4E080233" w14:textId="77777777" w:rsidR="00A10B25" w:rsidRDefault="00A10B25">
            <w:pPr>
              <w:pStyle w:val="TAC"/>
              <w:rPr>
                <w:rFonts w:cs="Arial"/>
                <w:sz w:val="16"/>
                <w:szCs w:val="16"/>
              </w:rPr>
            </w:pPr>
            <w:r>
              <w:rPr>
                <w:sz w:val="16"/>
                <w:szCs w:val="16"/>
              </w:rPr>
              <w:t>CP-222121</w:t>
            </w:r>
          </w:p>
        </w:tc>
        <w:tc>
          <w:tcPr>
            <w:tcW w:w="523" w:type="dxa"/>
            <w:shd w:val="solid" w:color="FFFFFF" w:fill="auto"/>
          </w:tcPr>
          <w:p w14:paraId="244933B9" w14:textId="77777777" w:rsidR="00A10B25" w:rsidRDefault="00A10B25">
            <w:pPr>
              <w:pStyle w:val="TAL"/>
              <w:rPr>
                <w:rFonts w:cs="Arial"/>
                <w:sz w:val="16"/>
                <w:szCs w:val="16"/>
              </w:rPr>
            </w:pPr>
            <w:r>
              <w:rPr>
                <w:rFonts w:cs="Arial"/>
                <w:sz w:val="16"/>
                <w:szCs w:val="16"/>
              </w:rPr>
              <w:t>0581</w:t>
            </w:r>
          </w:p>
        </w:tc>
        <w:tc>
          <w:tcPr>
            <w:tcW w:w="423" w:type="dxa"/>
            <w:shd w:val="solid" w:color="FFFFFF" w:fill="auto"/>
          </w:tcPr>
          <w:p w14:paraId="275207D7" w14:textId="77777777" w:rsidR="00A10B25" w:rsidRDefault="00A10B25">
            <w:pPr>
              <w:pStyle w:val="TAR"/>
              <w:rPr>
                <w:rFonts w:cs="Arial"/>
                <w:sz w:val="16"/>
                <w:szCs w:val="16"/>
              </w:rPr>
            </w:pPr>
          </w:p>
        </w:tc>
        <w:tc>
          <w:tcPr>
            <w:tcW w:w="423" w:type="dxa"/>
            <w:shd w:val="solid" w:color="FFFFFF" w:fill="auto"/>
          </w:tcPr>
          <w:p w14:paraId="11038F76" w14:textId="77777777" w:rsidR="00A10B25" w:rsidRDefault="00A10B25">
            <w:pPr>
              <w:pStyle w:val="TAC"/>
              <w:rPr>
                <w:rFonts w:cs="Arial"/>
                <w:sz w:val="16"/>
                <w:szCs w:val="16"/>
              </w:rPr>
            </w:pPr>
            <w:r>
              <w:rPr>
                <w:sz w:val="16"/>
              </w:rPr>
              <w:t>F</w:t>
            </w:r>
          </w:p>
        </w:tc>
        <w:tc>
          <w:tcPr>
            <w:tcW w:w="4899" w:type="dxa"/>
            <w:shd w:val="solid" w:color="FFFFFF" w:fill="auto"/>
          </w:tcPr>
          <w:p w14:paraId="50A358DD" w14:textId="77777777" w:rsidR="00A10B25" w:rsidRDefault="00A10B25">
            <w:pPr>
              <w:pStyle w:val="TAL"/>
              <w:rPr>
                <w:rFonts w:cs="Arial"/>
                <w:sz w:val="16"/>
                <w:szCs w:val="16"/>
              </w:rPr>
            </w:pPr>
            <w:r>
              <w:rPr>
                <w:sz w:val="16"/>
                <w:szCs w:val="16"/>
              </w:rPr>
              <w:t>Update of info and externalDocs fields</w:t>
            </w:r>
          </w:p>
        </w:tc>
        <w:tc>
          <w:tcPr>
            <w:tcW w:w="706" w:type="dxa"/>
            <w:shd w:val="solid" w:color="FFFFFF" w:fill="auto"/>
          </w:tcPr>
          <w:p w14:paraId="2594FC90" w14:textId="77777777" w:rsidR="00A10B25" w:rsidRDefault="00A10B25">
            <w:pPr>
              <w:pStyle w:val="TAC"/>
              <w:rPr>
                <w:rFonts w:cs="Arial"/>
                <w:sz w:val="16"/>
                <w:szCs w:val="16"/>
              </w:rPr>
            </w:pPr>
            <w:r>
              <w:rPr>
                <w:sz w:val="16"/>
                <w:szCs w:val="16"/>
              </w:rPr>
              <w:t>17.8.0</w:t>
            </w:r>
          </w:p>
        </w:tc>
      </w:tr>
      <w:tr w:rsidR="00A10B25" w14:paraId="4D5A21E3" w14:textId="77777777">
        <w:tc>
          <w:tcPr>
            <w:tcW w:w="796" w:type="dxa"/>
            <w:shd w:val="solid" w:color="FFFFFF" w:fill="auto"/>
          </w:tcPr>
          <w:p w14:paraId="16955FDA"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7B8AEDE2"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BD4E014" w14:textId="77777777" w:rsidR="00A10B25" w:rsidRDefault="00A10B25">
            <w:pPr>
              <w:pStyle w:val="TAC"/>
              <w:rPr>
                <w:rFonts w:cs="Arial"/>
                <w:sz w:val="16"/>
                <w:szCs w:val="16"/>
              </w:rPr>
            </w:pPr>
            <w:r>
              <w:rPr>
                <w:sz w:val="16"/>
                <w:szCs w:val="16"/>
              </w:rPr>
              <w:t>CP-223173</w:t>
            </w:r>
          </w:p>
        </w:tc>
        <w:tc>
          <w:tcPr>
            <w:tcW w:w="523" w:type="dxa"/>
            <w:shd w:val="solid" w:color="FFFFFF" w:fill="auto"/>
          </w:tcPr>
          <w:p w14:paraId="50A5252C" w14:textId="77777777" w:rsidR="00A10B25" w:rsidRDefault="00A10B25">
            <w:pPr>
              <w:pStyle w:val="TAL"/>
              <w:rPr>
                <w:rFonts w:cs="Arial"/>
                <w:sz w:val="16"/>
                <w:szCs w:val="16"/>
              </w:rPr>
            </w:pPr>
            <w:r>
              <w:rPr>
                <w:rFonts w:cs="Arial"/>
                <w:sz w:val="16"/>
                <w:szCs w:val="16"/>
              </w:rPr>
              <w:t>0582</w:t>
            </w:r>
          </w:p>
        </w:tc>
        <w:tc>
          <w:tcPr>
            <w:tcW w:w="423" w:type="dxa"/>
            <w:shd w:val="solid" w:color="FFFFFF" w:fill="auto"/>
          </w:tcPr>
          <w:p w14:paraId="6A8FF4E1" w14:textId="77777777" w:rsidR="00A10B25" w:rsidRDefault="00A10B25">
            <w:pPr>
              <w:pStyle w:val="TAR"/>
              <w:rPr>
                <w:rFonts w:cs="Arial"/>
                <w:sz w:val="16"/>
                <w:szCs w:val="16"/>
              </w:rPr>
            </w:pPr>
            <w:r>
              <w:rPr>
                <w:sz w:val="16"/>
              </w:rPr>
              <w:t>1</w:t>
            </w:r>
          </w:p>
        </w:tc>
        <w:tc>
          <w:tcPr>
            <w:tcW w:w="423" w:type="dxa"/>
            <w:shd w:val="solid" w:color="FFFFFF" w:fill="auto"/>
          </w:tcPr>
          <w:p w14:paraId="2FB24B28" w14:textId="77777777" w:rsidR="00A10B25" w:rsidRDefault="00A10B25">
            <w:pPr>
              <w:pStyle w:val="TAC"/>
              <w:rPr>
                <w:rFonts w:cs="Arial"/>
                <w:sz w:val="16"/>
                <w:szCs w:val="16"/>
              </w:rPr>
            </w:pPr>
            <w:r>
              <w:rPr>
                <w:sz w:val="16"/>
              </w:rPr>
              <w:t>F</w:t>
            </w:r>
          </w:p>
        </w:tc>
        <w:tc>
          <w:tcPr>
            <w:tcW w:w="4899" w:type="dxa"/>
            <w:shd w:val="solid" w:color="FFFFFF" w:fill="auto"/>
          </w:tcPr>
          <w:p w14:paraId="65FA1B31" w14:textId="77777777" w:rsidR="00A10B25" w:rsidRDefault="00A10B25">
            <w:pPr>
              <w:pStyle w:val="TAL"/>
              <w:rPr>
                <w:rFonts w:cs="Arial"/>
                <w:sz w:val="16"/>
                <w:szCs w:val="16"/>
              </w:rPr>
            </w:pPr>
            <w:r>
              <w:rPr>
                <w:sz w:val="16"/>
              </w:rPr>
              <w:t>Missing data reports for processed data notifications</w:t>
            </w:r>
          </w:p>
        </w:tc>
        <w:tc>
          <w:tcPr>
            <w:tcW w:w="706" w:type="dxa"/>
            <w:shd w:val="solid" w:color="FFFFFF" w:fill="auto"/>
          </w:tcPr>
          <w:p w14:paraId="46F20296" w14:textId="77777777" w:rsidR="00A10B25" w:rsidRDefault="00A10B25">
            <w:pPr>
              <w:pStyle w:val="TAC"/>
              <w:rPr>
                <w:rFonts w:cs="Arial"/>
                <w:sz w:val="16"/>
                <w:szCs w:val="16"/>
              </w:rPr>
            </w:pPr>
            <w:r>
              <w:rPr>
                <w:sz w:val="16"/>
                <w:szCs w:val="16"/>
              </w:rPr>
              <w:t>17.9.0</w:t>
            </w:r>
          </w:p>
        </w:tc>
      </w:tr>
      <w:tr w:rsidR="00A10B25" w14:paraId="45184443" w14:textId="77777777">
        <w:tc>
          <w:tcPr>
            <w:tcW w:w="796" w:type="dxa"/>
            <w:shd w:val="solid" w:color="FFFFFF" w:fill="auto"/>
          </w:tcPr>
          <w:p w14:paraId="15D2E2C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56538413"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5CFEB02E" w14:textId="77777777" w:rsidR="00A10B25" w:rsidRDefault="00A10B25">
            <w:pPr>
              <w:pStyle w:val="TAC"/>
              <w:rPr>
                <w:rFonts w:cs="Arial"/>
                <w:sz w:val="16"/>
                <w:szCs w:val="16"/>
              </w:rPr>
            </w:pPr>
            <w:r>
              <w:rPr>
                <w:sz w:val="16"/>
                <w:szCs w:val="16"/>
              </w:rPr>
              <w:t>CP-223172</w:t>
            </w:r>
          </w:p>
        </w:tc>
        <w:tc>
          <w:tcPr>
            <w:tcW w:w="523" w:type="dxa"/>
            <w:shd w:val="solid" w:color="FFFFFF" w:fill="auto"/>
          </w:tcPr>
          <w:p w14:paraId="31B9C867" w14:textId="77777777" w:rsidR="00A10B25" w:rsidRDefault="00A10B25">
            <w:pPr>
              <w:pStyle w:val="TAL"/>
              <w:rPr>
                <w:rFonts w:cs="Arial"/>
                <w:sz w:val="16"/>
                <w:szCs w:val="16"/>
              </w:rPr>
            </w:pPr>
            <w:r>
              <w:rPr>
                <w:rFonts w:cs="Arial"/>
                <w:sz w:val="16"/>
                <w:szCs w:val="16"/>
              </w:rPr>
              <w:t>0583</w:t>
            </w:r>
          </w:p>
        </w:tc>
        <w:tc>
          <w:tcPr>
            <w:tcW w:w="423" w:type="dxa"/>
            <w:shd w:val="solid" w:color="FFFFFF" w:fill="auto"/>
          </w:tcPr>
          <w:p w14:paraId="3F49DC47" w14:textId="77777777" w:rsidR="00A10B25" w:rsidRDefault="00A10B25">
            <w:pPr>
              <w:pStyle w:val="TAR"/>
              <w:rPr>
                <w:rFonts w:cs="Arial"/>
                <w:sz w:val="16"/>
                <w:szCs w:val="16"/>
              </w:rPr>
            </w:pPr>
          </w:p>
        </w:tc>
        <w:tc>
          <w:tcPr>
            <w:tcW w:w="423" w:type="dxa"/>
            <w:shd w:val="solid" w:color="FFFFFF" w:fill="auto"/>
          </w:tcPr>
          <w:p w14:paraId="0F9466DD" w14:textId="77777777" w:rsidR="00A10B25" w:rsidRDefault="00A10B25">
            <w:pPr>
              <w:pStyle w:val="TAC"/>
              <w:rPr>
                <w:rFonts w:cs="Arial"/>
                <w:sz w:val="16"/>
                <w:szCs w:val="16"/>
              </w:rPr>
            </w:pPr>
            <w:r>
              <w:rPr>
                <w:sz w:val="16"/>
              </w:rPr>
              <w:t>F</w:t>
            </w:r>
          </w:p>
        </w:tc>
        <w:tc>
          <w:tcPr>
            <w:tcW w:w="4899" w:type="dxa"/>
            <w:shd w:val="solid" w:color="FFFFFF" w:fill="auto"/>
          </w:tcPr>
          <w:p w14:paraId="4B3AE24F" w14:textId="77777777" w:rsidR="00A10B25" w:rsidRDefault="00A10B25">
            <w:pPr>
              <w:pStyle w:val="TAL"/>
              <w:rPr>
                <w:rFonts w:cs="Arial"/>
                <w:sz w:val="16"/>
                <w:szCs w:val="16"/>
              </w:rPr>
            </w:pPr>
            <w:r>
              <w:rPr>
                <w:sz w:val="16"/>
              </w:rPr>
              <w:t>Correcting the role of analytics subscription information for data collection</w:t>
            </w:r>
          </w:p>
        </w:tc>
        <w:tc>
          <w:tcPr>
            <w:tcW w:w="706" w:type="dxa"/>
            <w:shd w:val="solid" w:color="FFFFFF" w:fill="auto"/>
          </w:tcPr>
          <w:p w14:paraId="2D08C91E" w14:textId="77777777" w:rsidR="00A10B25" w:rsidRDefault="00A10B25">
            <w:pPr>
              <w:pStyle w:val="TAC"/>
              <w:rPr>
                <w:rFonts w:cs="Arial"/>
                <w:sz w:val="16"/>
                <w:szCs w:val="16"/>
              </w:rPr>
            </w:pPr>
            <w:r>
              <w:rPr>
                <w:sz w:val="16"/>
                <w:szCs w:val="16"/>
              </w:rPr>
              <w:t>17.9.0</w:t>
            </w:r>
          </w:p>
        </w:tc>
      </w:tr>
      <w:tr w:rsidR="00A10B25" w14:paraId="334097B1" w14:textId="77777777">
        <w:tc>
          <w:tcPr>
            <w:tcW w:w="796" w:type="dxa"/>
            <w:shd w:val="solid" w:color="FFFFFF" w:fill="auto"/>
          </w:tcPr>
          <w:p w14:paraId="4EFF994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3EA90C71"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764F3359" w14:textId="77777777" w:rsidR="00A10B25" w:rsidRDefault="00A10B25">
            <w:pPr>
              <w:pStyle w:val="TAC"/>
              <w:rPr>
                <w:rFonts w:cs="Arial"/>
                <w:sz w:val="16"/>
                <w:szCs w:val="16"/>
              </w:rPr>
            </w:pPr>
            <w:r>
              <w:rPr>
                <w:sz w:val="16"/>
                <w:szCs w:val="16"/>
              </w:rPr>
              <w:t>CP-223173</w:t>
            </w:r>
          </w:p>
        </w:tc>
        <w:tc>
          <w:tcPr>
            <w:tcW w:w="523" w:type="dxa"/>
            <w:shd w:val="solid" w:color="FFFFFF" w:fill="auto"/>
          </w:tcPr>
          <w:p w14:paraId="5771D78A" w14:textId="77777777" w:rsidR="00A10B25" w:rsidRDefault="00A10B25">
            <w:pPr>
              <w:pStyle w:val="TAL"/>
              <w:rPr>
                <w:rFonts w:cs="Arial"/>
                <w:sz w:val="16"/>
                <w:szCs w:val="16"/>
              </w:rPr>
            </w:pPr>
            <w:r>
              <w:rPr>
                <w:rFonts w:cs="Arial"/>
                <w:sz w:val="16"/>
                <w:szCs w:val="16"/>
              </w:rPr>
              <w:t>0584</w:t>
            </w:r>
          </w:p>
        </w:tc>
        <w:tc>
          <w:tcPr>
            <w:tcW w:w="423" w:type="dxa"/>
            <w:shd w:val="solid" w:color="FFFFFF" w:fill="auto"/>
          </w:tcPr>
          <w:p w14:paraId="4566ACDD" w14:textId="77777777" w:rsidR="00A10B25" w:rsidRDefault="00A10B25">
            <w:pPr>
              <w:pStyle w:val="TAR"/>
              <w:rPr>
                <w:rFonts w:cs="Arial"/>
                <w:sz w:val="16"/>
                <w:szCs w:val="16"/>
              </w:rPr>
            </w:pPr>
            <w:r>
              <w:rPr>
                <w:sz w:val="16"/>
              </w:rPr>
              <w:t>1</w:t>
            </w:r>
          </w:p>
        </w:tc>
        <w:tc>
          <w:tcPr>
            <w:tcW w:w="423" w:type="dxa"/>
            <w:shd w:val="solid" w:color="FFFFFF" w:fill="auto"/>
          </w:tcPr>
          <w:p w14:paraId="0F026B10" w14:textId="77777777" w:rsidR="00A10B25" w:rsidRDefault="00A10B25">
            <w:pPr>
              <w:pStyle w:val="TAC"/>
              <w:rPr>
                <w:rFonts w:cs="Arial"/>
                <w:sz w:val="16"/>
                <w:szCs w:val="16"/>
              </w:rPr>
            </w:pPr>
            <w:r>
              <w:rPr>
                <w:sz w:val="16"/>
              </w:rPr>
              <w:t>F</w:t>
            </w:r>
          </w:p>
        </w:tc>
        <w:tc>
          <w:tcPr>
            <w:tcW w:w="4899" w:type="dxa"/>
            <w:shd w:val="solid" w:color="FFFFFF" w:fill="auto"/>
          </w:tcPr>
          <w:p w14:paraId="6AD1F0F1" w14:textId="77777777" w:rsidR="00A10B25" w:rsidRDefault="00A10B25">
            <w:pPr>
              <w:pStyle w:val="TAL"/>
              <w:rPr>
                <w:rFonts w:cs="Arial"/>
                <w:sz w:val="16"/>
                <w:szCs w:val="16"/>
              </w:rPr>
            </w:pPr>
            <w:r>
              <w:rPr>
                <w:sz w:val="16"/>
              </w:rPr>
              <w:t>User consent corrections for NWDAF data management</w:t>
            </w:r>
          </w:p>
        </w:tc>
        <w:tc>
          <w:tcPr>
            <w:tcW w:w="706" w:type="dxa"/>
            <w:shd w:val="solid" w:color="FFFFFF" w:fill="auto"/>
          </w:tcPr>
          <w:p w14:paraId="13154D3B" w14:textId="77777777" w:rsidR="00A10B25" w:rsidRDefault="00A10B25">
            <w:pPr>
              <w:pStyle w:val="TAC"/>
              <w:rPr>
                <w:rFonts w:cs="Arial"/>
                <w:sz w:val="16"/>
                <w:szCs w:val="16"/>
              </w:rPr>
            </w:pPr>
            <w:r>
              <w:rPr>
                <w:sz w:val="16"/>
                <w:szCs w:val="16"/>
              </w:rPr>
              <w:t>17.9.0</w:t>
            </w:r>
          </w:p>
        </w:tc>
      </w:tr>
      <w:tr w:rsidR="00A10B25" w14:paraId="785EF2F3" w14:textId="77777777">
        <w:tc>
          <w:tcPr>
            <w:tcW w:w="796" w:type="dxa"/>
            <w:shd w:val="solid" w:color="FFFFFF" w:fill="auto"/>
          </w:tcPr>
          <w:p w14:paraId="5008312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655356F3"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493B8CAE" w14:textId="77777777" w:rsidR="00A10B25" w:rsidRDefault="00A10B25">
            <w:pPr>
              <w:pStyle w:val="TAC"/>
              <w:rPr>
                <w:rFonts w:cs="Arial"/>
                <w:sz w:val="16"/>
                <w:szCs w:val="16"/>
              </w:rPr>
            </w:pPr>
            <w:r>
              <w:rPr>
                <w:sz w:val="16"/>
                <w:szCs w:val="16"/>
              </w:rPr>
              <w:t>CP-223173</w:t>
            </w:r>
          </w:p>
        </w:tc>
        <w:tc>
          <w:tcPr>
            <w:tcW w:w="523" w:type="dxa"/>
            <w:shd w:val="solid" w:color="FFFFFF" w:fill="auto"/>
          </w:tcPr>
          <w:p w14:paraId="0C90D857" w14:textId="77777777" w:rsidR="00A10B25" w:rsidRDefault="00A10B25">
            <w:pPr>
              <w:pStyle w:val="TAL"/>
              <w:rPr>
                <w:rFonts w:cs="Arial"/>
                <w:sz w:val="16"/>
                <w:szCs w:val="16"/>
              </w:rPr>
            </w:pPr>
            <w:r>
              <w:rPr>
                <w:rFonts w:cs="Arial"/>
                <w:sz w:val="16"/>
                <w:szCs w:val="16"/>
              </w:rPr>
              <w:t>0587</w:t>
            </w:r>
          </w:p>
        </w:tc>
        <w:tc>
          <w:tcPr>
            <w:tcW w:w="423" w:type="dxa"/>
            <w:shd w:val="solid" w:color="FFFFFF" w:fill="auto"/>
          </w:tcPr>
          <w:p w14:paraId="2BC82F03" w14:textId="77777777" w:rsidR="00A10B25" w:rsidRDefault="00A10B25">
            <w:pPr>
              <w:pStyle w:val="TAR"/>
              <w:rPr>
                <w:rFonts w:cs="Arial"/>
                <w:sz w:val="16"/>
                <w:szCs w:val="16"/>
              </w:rPr>
            </w:pPr>
            <w:r>
              <w:rPr>
                <w:sz w:val="16"/>
              </w:rPr>
              <w:t>1</w:t>
            </w:r>
          </w:p>
        </w:tc>
        <w:tc>
          <w:tcPr>
            <w:tcW w:w="423" w:type="dxa"/>
            <w:shd w:val="solid" w:color="FFFFFF" w:fill="auto"/>
          </w:tcPr>
          <w:p w14:paraId="39C062C7" w14:textId="77777777" w:rsidR="00A10B25" w:rsidRDefault="00A10B25">
            <w:pPr>
              <w:pStyle w:val="TAC"/>
              <w:rPr>
                <w:rFonts w:cs="Arial"/>
                <w:sz w:val="16"/>
                <w:szCs w:val="16"/>
              </w:rPr>
            </w:pPr>
            <w:r>
              <w:rPr>
                <w:sz w:val="16"/>
              </w:rPr>
              <w:t>F</w:t>
            </w:r>
          </w:p>
        </w:tc>
        <w:tc>
          <w:tcPr>
            <w:tcW w:w="4899" w:type="dxa"/>
            <w:shd w:val="solid" w:color="FFFFFF" w:fill="auto"/>
          </w:tcPr>
          <w:p w14:paraId="249A3A38" w14:textId="77777777" w:rsidR="00A10B25" w:rsidRDefault="00A10B25">
            <w:pPr>
              <w:pStyle w:val="TAL"/>
              <w:rPr>
                <w:rFonts w:cs="Arial"/>
                <w:sz w:val="16"/>
                <w:szCs w:val="16"/>
              </w:rPr>
            </w:pPr>
            <w:r>
              <w:rPr>
                <w:sz w:val="16"/>
              </w:rPr>
              <w:t>Analytics output restrictions</w:t>
            </w:r>
          </w:p>
        </w:tc>
        <w:tc>
          <w:tcPr>
            <w:tcW w:w="706" w:type="dxa"/>
            <w:shd w:val="solid" w:color="FFFFFF" w:fill="auto"/>
          </w:tcPr>
          <w:p w14:paraId="4BB84C96" w14:textId="77777777" w:rsidR="00A10B25" w:rsidRDefault="00A10B25">
            <w:pPr>
              <w:pStyle w:val="TAC"/>
              <w:rPr>
                <w:rFonts w:cs="Arial"/>
                <w:sz w:val="16"/>
                <w:szCs w:val="16"/>
              </w:rPr>
            </w:pPr>
            <w:r>
              <w:rPr>
                <w:sz w:val="16"/>
                <w:szCs w:val="16"/>
              </w:rPr>
              <w:t>17.9.0</w:t>
            </w:r>
          </w:p>
        </w:tc>
      </w:tr>
      <w:tr w:rsidR="00A10B25" w14:paraId="49308A8B" w14:textId="77777777">
        <w:tc>
          <w:tcPr>
            <w:tcW w:w="796" w:type="dxa"/>
            <w:shd w:val="solid" w:color="FFFFFF" w:fill="auto"/>
          </w:tcPr>
          <w:p w14:paraId="6D9B5A0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7BD97ADB"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614B2C4D" w14:textId="77777777" w:rsidR="00A10B25" w:rsidRDefault="00A10B25">
            <w:pPr>
              <w:pStyle w:val="TAC"/>
              <w:rPr>
                <w:rFonts w:cs="Arial"/>
                <w:sz w:val="16"/>
                <w:szCs w:val="16"/>
              </w:rPr>
            </w:pPr>
            <w:r>
              <w:rPr>
                <w:sz w:val="16"/>
                <w:szCs w:val="16"/>
              </w:rPr>
              <w:t>CP-223172</w:t>
            </w:r>
          </w:p>
        </w:tc>
        <w:tc>
          <w:tcPr>
            <w:tcW w:w="523" w:type="dxa"/>
            <w:shd w:val="solid" w:color="FFFFFF" w:fill="auto"/>
          </w:tcPr>
          <w:p w14:paraId="1BEF72D9" w14:textId="77777777" w:rsidR="00A10B25" w:rsidRDefault="00A10B25">
            <w:pPr>
              <w:pStyle w:val="TAL"/>
              <w:rPr>
                <w:rFonts w:cs="Arial"/>
                <w:sz w:val="16"/>
                <w:szCs w:val="16"/>
              </w:rPr>
            </w:pPr>
            <w:r>
              <w:rPr>
                <w:rFonts w:cs="Arial"/>
                <w:sz w:val="16"/>
                <w:szCs w:val="16"/>
              </w:rPr>
              <w:t>0591</w:t>
            </w:r>
          </w:p>
        </w:tc>
        <w:tc>
          <w:tcPr>
            <w:tcW w:w="423" w:type="dxa"/>
            <w:shd w:val="solid" w:color="FFFFFF" w:fill="auto"/>
          </w:tcPr>
          <w:p w14:paraId="4C159F63" w14:textId="77777777" w:rsidR="00A10B25" w:rsidRDefault="00A10B25">
            <w:pPr>
              <w:pStyle w:val="TAR"/>
              <w:rPr>
                <w:rFonts w:cs="Arial"/>
                <w:sz w:val="16"/>
                <w:szCs w:val="16"/>
              </w:rPr>
            </w:pPr>
            <w:r>
              <w:rPr>
                <w:sz w:val="16"/>
              </w:rPr>
              <w:t>1</w:t>
            </w:r>
          </w:p>
        </w:tc>
        <w:tc>
          <w:tcPr>
            <w:tcW w:w="423" w:type="dxa"/>
            <w:shd w:val="solid" w:color="FFFFFF" w:fill="auto"/>
          </w:tcPr>
          <w:p w14:paraId="74906769" w14:textId="77777777" w:rsidR="00A10B25" w:rsidRDefault="00A10B25">
            <w:pPr>
              <w:pStyle w:val="TAC"/>
              <w:rPr>
                <w:rFonts w:cs="Arial"/>
                <w:sz w:val="16"/>
                <w:szCs w:val="16"/>
              </w:rPr>
            </w:pPr>
            <w:r>
              <w:rPr>
                <w:sz w:val="16"/>
              </w:rPr>
              <w:t>F</w:t>
            </w:r>
          </w:p>
        </w:tc>
        <w:tc>
          <w:tcPr>
            <w:tcW w:w="4899" w:type="dxa"/>
            <w:shd w:val="solid" w:color="FFFFFF" w:fill="auto"/>
          </w:tcPr>
          <w:p w14:paraId="62DC2E2A" w14:textId="77777777" w:rsidR="00A10B25" w:rsidRDefault="00A10B25">
            <w:pPr>
              <w:pStyle w:val="TAL"/>
              <w:rPr>
                <w:rFonts w:cs="Arial"/>
                <w:sz w:val="16"/>
                <w:szCs w:val="16"/>
              </w:rPr>
            </w:pPr>
            <w:r>
              <w:rPr>
                <w:sz w:val="16"/>
              </w:rPr>
              <w:t>Corrections for time stamp in NWDAF</w:t>
            </w:r>
          </w:p>
        </w:tc>
        <w:tc>
          <w:tcPr>
            <w:tcW w:w="706" w:type="dxa"/>
            <w:shd w:val="solid" w:color="FFFFFF" w:fill="auto"/>
          </w:tcPr>
          <w:p w14:paraId="33E3E763" w14:textId="77777777" w:rsidR="00A10B25" w:rsidRDefault="00A10B25">
            <w:pPr>
              <w:pStyle w:val="TAC"/>
              <w:rPr>
                <w:rFonts w:cs="Arial"/>
                <w:sz w:val="16"/>
                <w:szCs w:val="16"/>
              </w:rPr>
            </w:pPr>
            <w:r>
              <w:rPr>
                <w:sz w:val="16"/>
                <w:szCs w:val="16"/>
              </w:rPr>
              <w:t>17.9.0</w:t>
            </w:r>
          </w:p>
        </w:tc>
      </w:tr>
      <w:tr w:rsidR="00A10B25" w14:paraId="00CDE81A" w14:textId="77777777">
        <w:tc>
          <w:tcPr>
            <w:tcW w:w="796" w:type="dxa"/>
            <w:shd w:val="solid" w:color="FFFFFF" w:fill="auto"/>
          </w:tcPr>
          <w:p w14:paraId="663FDE9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3B4A6C58"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312B35A0" w14:textId="77777777" w:rsidR="00A10B25" w:rsidRDefault="00A10B25">
            <w:pPr>
              <w:pStyle w:val="TAC"/>
              <w:rPr>
                <w:rFonts w:cs="Arial"/>
                <w:sz w:val="16"/>
                <w:szCs w:val="16"/>
              </w:rPr>
            </w:pPr>
            <w:r>
              <w:rPr>
                <w:sz w:val="16"/>
                <w:szCs w:val="16"/>
              </w:rPr>
              <w:t>CP-223172</w:t>
            </w:r>
          </w:p>
        </w:tc>
        <w:tc>
          <w:tcPr>
            <w:tcW w:w="523" w:type="dxa"/>
            <w:shd w:val="solid" w:color="FFFFFF" w:fill="auto"/>
          </w:tcPr>
          <w:p w14:paraId="61B503CE" w14:textId="77777777" w:rsidR="00A10B25" w:rsidRDefault="00A10B25">
            <w:pPr>
              <w:pStyle w:val="TAL"/>
              <w:rPr>
                <w:rFonts w:cs="Arial"/>
                <w:sz w:val="16"/>
                <w:szCs w:val="16"/>
              </w:rPr>
            </w:pPr>
            <w:r>
              <w:rPr>
                <w:rFonts w:cs="Arial"/>
                <w:sz w:val="16"/>
                <w:szCs w:val="16"/>
              </w:rPr>
              <w:t>0594</w:t>
            </w:r>
          </w:p>
        </w:tc>
        <w:tc>
          <w:tcPr>
            <w:tcW w:w="423" w:type="dxa"/>
            <w:shd w:val="solid" w:color="FFFFFF" w:fill="auto"/>
          </w:tcPr>
          <w:p w14:paraId="785FD704" w14:textId="77777777" w:rsidR="00A10B25" w:rsidRDefault="00A10B25">
            <w:pPr>
              <w:pStyle w:val="TAR"/>
              <w:rPr>
                <w:rFonts w:cs="Arial"/>
                <w:sz w:val="16"/>
                <w:szCs w:val="16"/>
              </w:rPr>
            </w:pPr>
          </w:p>
        </w:tc>
        <w:tc>
          <w:tcPr>
            <w:tcW w:w="423" w:type="dxa"/>
            <w:shd w:val="solid" w:color="FFFFFF" w:fill="auto"/>
          </w:tcPr>
          <w:p w14:paraId="0FC8A4D9" w14:textId="77777777" w:rsidR="00A10B25" w:rsidRDefault="00A10B25">
            <w:pPr>
              <w:pStyle w:val="TAC"/>
              <w:rPr>
                <w:rFonts w:cs="Arial"/>
                <w:sz w:val="16"/>
                <w:szCs w:val="16"/>
              </w:rPr>
            </w:pPr>
            <w:r>
              <w:rPr>
                <w:sz w:val="16"/>
              </w:rPr>
              <w:t>F</w:t>
            </w:r>
          </w:p>
        </w:tc>
        <w:tc>
          <w:tcPr>
            <w:tcW w:w="4899" w:type="dxa"/>
            <w:shd w:val="solid" w:color="FFFFFF" w:fill="auto"/>
          </w:tcPr>
          <w:p w14:paraId="1F68DDFE" w14:textId="77777777" w:rsidR="00A10B25" w:rsidRDefault="00A10B25">
            <w:pPr>
              <w:pStyle w:val="TAL"/>
              <w:rPr>
                <w:rFonts w:cs="Arial"/>
                <w:sz w:val="16"/>
                <w:szCs w:val="16"/>
              </w:rPr>
            </w:pPr>
            <w:r>
              <w:rPr>
                <w:sz w:val="16"/>
              </w:rPr>
              <w:t>Corrections for Nnwdaf_AnalyticsInfo_Request procedure</w:t>
            </w:r>
          </w:p>
        </w:tc>
        <w:tc>
          <w:tcPr>
            <w:tcW w:w="706" w:type="dxa"/>
            <w:shd w:val="solid" w:color="FFFFFF" w:fill="auto"/>
          </w:tcPr>
          <w:p w14:paraId="151925DA" w14:textId="77777777" w:rsidR="00A10B25" w:rsidRDefault="00A10B25">
            <w:pPr>
              <w:pStyle w:val="TAC"/>
              <w:rPr>
                <w:rFonts w:cs="Arial"/>
                <w:sz w:val="16"/>
                <w:szCs w:val="16"/>
              </w:rPr>
            </w:pPr>
            <w:r>
              <w:rPr>
                <w:sz w:val="16"/>
                <w:szCs w:val="16"/>
              </w:rPr>
              <w:t>17.9.0</w:t>
            </w:r>
          </w:p>
        </w:tc>
      </w:tr>
      <w:tr w:rsidR="00A10B25" w14:paraId="7211E6C9" w14:textId="77777777">
        <w:tc>
          <w:tcPr>
            <w:tcW w:w="796" w:type="dxa"/>
            <w:shd w:val="solid" w:color="FFFFFF" w:fill="auto"/>
          </w:tcPr>
          <w:p w14:paraId="764DE0FE" w14:textId="77777777" w:rsidR="00A10B25" w:rsidRDefault="00A10B25">
            <w:pPr>
              <w:pStyle w:val="TAC"/>
              <w:rPr>
                <w:rFonts w:cs="Arial"/>
                <w:sz w:val="16"/>
                <w:szCs w:val="16"/>
              </w:rPr>
            </w:pPr>
            <w:r>
              <w:rPr>
                <w:rFonts w:hint="eastAsia"/>
                <w:sz w:val="16"/>
                <w:szCs w:val="16"/>
                <w:lang w:val="en-US" w:eastAsia="zh-CN"/>
              </w:rPr>
              <w:lastRenderedPageBreak/>
              <w:t>2</w:t>
            </w:r>
            <w:r>
              <w:rPr>
                <w:sz w:val="16"/>
                <w:szCs w:val="16"/>
                <w:lang w:val="en-US" w:eastAsia="zh-CN"/>
              </w:rPr>
              <w:t>022-12</w:t>
            </w:r>
          </w:p>
        </w:tc>
        <w:tc>
          <w:tcPr>
            <w:tcW w:w="828" w:type="dxa"/>
            <w:shd w:val="solid" w:color="FFFFFF" w:fill="auto"/>
          </w:tcPr>
          <w:p w14:paraId="24BD6F48"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262D7AE" w14:textId="77777777" w:rsidR="00A10B25" w:rsidRDefault="00A10B25">
            <w:pPr>
              <w:pStyle w:val="TAC"/>
              <w:rPr>
                <w:rFonts w:cs="Arial"/>
                <w:sz w:val="16"/>
                <w:szCs w:val="16"/>
              </w:rPr>
            </w:pPr>
            <w:r>
              <w:rPr>
                <w:sz w:val="16"/>
                <w:szCs w:val="16"/>
              </w:rPr>
              <w:t>CP-223172</w:t>
            </w:r>
          </w:p>
        </w:tc>
        <w:tc>
          <w:tcPr>
            <w:tcW w:w="523" w:type="dxa"/>
            <w:shd w:val="solid" w:color="FFFFFF" w:fill="auto"/>
          </w:tcPr>
          <w:p w14:paraId="74F8DC5D" w14:textId="77777777" w:rsidR="00A10B25" w:rsidRDefault="00A10B25">
            <w:pPr>
              <w:pStyle w:val="TAL"/>
              <w:rPr>
                <w:rFonts w:cs="Arial"/>
                <w:sz w:val="16"/>
                <w:szCs w:val="16"/>
              </w:rPr>
            </w:pPr>
            <w:r>
              <w:rPr>
                <w:rFonts w:cs="Arial"/>
                <w:sz w:val="16"/>
                <w:szCs w:val="16"/>
              </w:rPr>
              <w:t>0595</w:t>
            </w:r>
          </w:p>
        </w:tc>
        <w:tc>
          <w:tcPr>
            <w:tcW w:w="423" w:type="dxa"/>
            <w:shd w:val="solid" w:color="FFFFFF" w:fill="auto"/>
          </w:tcPr>
          <w:p w14:paraId="0A2AD7CC" w14:textId="77777777" w:rsidR="00A10B25" w:rsidRDefault="00A10B25">
            <w:pPr>
              <w:pStyle w:val="TAR"/>
              <w:rPr>
                <w:rFonts w:cs="Arial"/>
                <w:sz w:val="16"/>
                <w:szCs w:val="16"/>
              </w:rPr>
            </w:pPr>
          </w:p>
        </w:tc>
        <w:tc>
          <w:tcPr>
            <w:tcW w:w="423" w:type="dxa"/>
            <w:shd w:val="solid" w:color="FFFFFF" w:fill="auto"/>
          </w:tcPr>
          <w:p w14:paraId="28A551E7" w14:textId="77777777" w:rsidR="00A10B25" w:rsidRDefault="00A10B25">
            <w:pPr>
              <w:pStyle w:val="TAC"/>
              <w:rPr>
                <w:rFonts w:cs="Arial"/>
                <w:sz w:val="16"/>
                <w:szCs w:val="16"/>
              </w:rPr>
            </w:pPr>
            <w:r>
              <w:rPr>
                <w:sz w:val="16"/>
              </w:rPr>
              <w:t>F</w:t>
            </w:r>
          </w:p>
        </w:tc>
        <w:tc>
          <w:tcPr>
            <w:tcW w:w="4899" w:type="dxa"/>
            <w:shd w:val="solid" w:color="FFFFFF" w:fill="auto"/>
          </w:tcPr>
          <w:p w14:paraId="6943C582" w14:textId="77777777" w:rsidR="00A10B25" w:rsidRDefault="00A10B25">
            <w:pPr>
              <w:pStyle w:val="TAL"/>
              <w:rPr>
                <w:rFonts w:cs="Arial"/>
                <w:sz w:val="16"/>
                <w:szCs w:val="16"/>
              </w:rPr>
            </w:pPr>
            <w:r>
              <w:rPr>
                <w:sz w:val="16"/>
              </w:rPr>
              <w:t>Corrections related to analytics subscription transfer</w:t>
            </w:r>
          </w:p>
        </w:tc>
        <w:tc>
          <w:tcPr>
            <w:tcW w:w="706" w:type="dxa"/>
            <w:shd w:val="solid" w:color="FFFFFF" w:fill="auto"/>
          </w:tcPr>
          <w:p w14:paraId="67FD0E13" w14:textId="77777777" w:rsidR="00A10B25" w:rsidRDefault="00A10B25">
            <w:pPr>
              <w:pStyle w:val="TAC"/>
              <w:rPr>
                <w:rFonts w:cs="Arial"/>
                <w:sz w:val="16"/>
                <w:szCs w:val="16"/>
              </w:rPr>
            </w:pPr>
            <w:r>
              <w:rPr>
                <w:sz w:val="16"/>
                <w:szCs w:val="16"/>
              </w:rPr>
              <w:t>17.9.0</w:t>
            </w:r>
          </w:p>
        </w:tc>
      </w:tr>
      <w:tr w:rsidR="00A10B25" w14:paraId="6CF04895" w14:textId="77777777">
        <w:tc>
          <w:tcPr>
            <w:tcW w:w="796" w:type="dxa"/>
            <w:shd w:val="solid" w:color="FFFFFF" w:fill="auto"/>
          </w:tcPr>
          <w:p w14:paraId="33CF9ED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3F0D4E49"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7C81187D" w14:textId="77777777" w:rsidR="00A10B25" w:rsidRDefault="00A10B25">
            <w:pPr>
              <w:pStyle w:val="TAC"/>
              <w:rPr>
                <w:rFonts w:cs="Arial"/>
                <w:sz w:val="16"/>
                <w:szCs w:val="16"/>
              </w:rPr>
            </w:pPr>
            <w:r>
              <w:rPr>
                <w:sz w:val="16"/>
                <w:szCs w:val="16"/>
              </w:rPr>
              <w:t>CP-223173</w:t>
            </w:r>
          </w:p>
        </w:tc>
        <w:tc>
          <w:tcPr>
            <w:tcW w:w="523" w:type="dxa"/>
            <w:shd w:val="solid" w:color="FFFFFF" w:fill="auto"/>
          </w:tcPr>
          <w:p w14:paraId="7F9568AB" w14:textId="77777777" w:rsidR="00A10B25" w:rsidRDefault="00A10B25">
            <w:pPr>
              <w:pStyle w:val="TAL"/>
              <w:rPr>
                <w:rFonts w:cs="Arial"/>
                <w:sz w:val="16"/>
                <w:szCs w:val="16"/>
              </w:rPr>
            </w:pPr>
            <w:r>
              <w:rPr>
                <w:rFonts w:cs="Arial"/>
                <w:sz w:val="16"/>
                <w:szCs w:val="16"/>
              </w:rPr>
              <w:t>0596</w:t>
            </w:r>
          </w:p>
        </w:tc>
        <w:tc>
          <w:tcPr>
            <w:tcW w:w="423" w:type="dxa"/>
            <w:shd w:val="solid" w:color="FFFFFF" w:fill="auto"/>
          </w:tcPr>
          <w:p w14:paraId="21DD72AA" w14:textId="77777777" w:rsidR="00A10B25" w:rsidRDefault="00A10B25">
            <w:pPr>
              <w:pStyle w:val="TAR"/>
              <w:rPr>
                <w:rFonts w:cs="Arial"/>
                <w:sz w:val="16"/>
                <w:szCs w:val="16"/>
              </w:rPr>
            </w:pPr>
            <w:r>
              <w:rPr>
                <w:sz w:val="16"/>
              </w:rPr>
              <w:t>1</w:t>
            </w:r>
          </w:p>
        </w:tc>
        <w:tc>
          <w:tcPr>
            <w:tcW w:w="423" w:type="dxa"/>
            <w:shd w:val="solid" w:color="FFFFFF" w:fill="auto"/>
          </w:tcPr>
          <w:p w14:paraId="4784B80D" w14:textId="77777777" w:rsidR="00A10B25" w:rsidRDefault="00A10B25">
            <w:pPr>
              <w:pStyle w:val="TAC"/>
              <w:rPr>
                <w:rFonts w:cs="Arial"/>
                <w:sz w:val="16"/>
                <w:szCs w:val="16"/>
              </w:rPr>
            </w:pPr>
            <w:r>
              <w:rPr>
                <w:sz w:val="16"/>
              </w:rPr>
              <w:t>F</w:t>
            </w:r>
          </w:p>
        </w:tc>
        <w:tc>
          <w:tcPr>
            <w:tcW w:w="4899" w:type="dxa"/>
            <w:shd w:val="solid" w:color="FFFFFF" w:fill="auto"/>
          </w:tcPr>
          <w:p w14:paraId="4995B1D3" w14:textId="77777777" w:rsidR="00A10B25" w:rsidRDefault="00A10B25">
            <w:pPr>
              <w:pStyle w:val="TAL"/>
              <w:rPr>
                <w:rFonts w:cs="Arial"/>
                <w:sz w:val="16"/>
                <w:szCs w:val="16"/>
              </w:rPr>
            </w:pPr>
            <w:r>
              <w:rPr>
                <w:sz w:val="16"/>
              </w:rPr>
              <w:t>Corrections to NwdafDataManagementNotif</w:t>
            </w:r>
          </w:p>
        </w:tc>
        <w:tc>
          <w:tcPr>
            <w:tcW w:w="706" w:type="dxa"/>
            <w:shd w:val="solid" w:color="FFFFFF" w:fill="auto"/>
          </w:tcPr>
          <w:p w14:paraId="0ED3C319" w14:textId="77777777" w:rsidR="00A10B25" w:rsidRDefault="00A10B25">
            <w:pPr>
              <w:pStyle w:val="TAC"/>
              <w:rPr>
                <w:rFonts w:cs="Arial"/>
                <w:sz w:val="16"/>
                <w:szCs w:val="16"/>
              </w:rPr>
            </w:pPr>
            <w:r>
              <w:rPr>
                <w:sz w:val="16"/>
                <w:szCs w:val="16"/>
              </w:rPr>
              <w:t>17.9.0</w:t>
            </w:r>
          </w:p>
        </w:tc>
      </w:tr>
      <w:tr w:rsidR="00A10B25" w14:paraId="2F6A723E" w14:textId="77777777">
        <w:tc>
          <w:tcPr>
            <w:tcW w:w="796" w:type="dxa"/>
            <w:shd w:val="solid" w:color="FFFFFF" w:fill="auto"/>
          </w:tcPr>
          <w:p w14:paraId="591D664D"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57EA80A5"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5A5630A0" w14:textId="77777777" w:rsidR="00A10B25" w:rsidRDefault="00A10B25">
            <w:pPr>
              <w:pStyle w:val="TAC"/>
              <w:rPr>
                <w:rFonts w:cs="Arial"/>
                <w:sz w:val="16"/>
                <w:szCs w:val="16"/>
              </w:rPr>
            </w:pPr>
            <w:r>
              <w:rPr>
                <w:sz w:val="16"/>
                <w:szCs w:val="16"/>
              </w:rPr>
              <w:t>CP-223172</w:t>
            </w:r>
          </w:p>
        </w:tc>
        <w:tc>
          <w:tcPr>
            <w:tcW w:w="523" w:type="dxa"/>
            <w:shd w:val="solid" w:color="FFFFFF" w:fill="auto"/>
          </w:tcPr>
          <w:p w14:paraId="37945F8A" w14:textId="77777777" w:rsidR="00A10B25" w:rsidRDefault="00A10B25">
            <w:pPr>
              <w:pStyle w:val="TAL"/>
              <w:rPr>
                <w:rFonts w:cs="Arial"/>
                <w:sz w:val="16"/>
                <w:szCs w:val="16"/>
              </w:rPr>
            </w:pPr>
            <w:r>
              <w:rPr>
                <w:rFonts w:cs="Arial"/>
                <w:sz w:val="16"/>
                <w:szCs w:val="16"/>
              </w:rPr>
              <w:t>0597</w:t>
            </w:r>
          </w:p>
        </w:tc>
        <w:tc>
          <w:tcPr>
            <w:tcW w:w="423" w:type="dxa"/>
            <w:shd w:val="solid" w:color="FFFFFF" w:fill="auto"/>
          </w:tcPr>
          <w:p w14:paraId="5221FCCF" w14:textId="77777777" w:rsidR="00A10B25" w:rsidRDefault="00A10B25">
            <w:pPr>
              <w:pStyle w:val="TAR"/>
              <w:rPr>
                <w:rFonts w:cs="Arial"/>
                <w:sz w:val="16"/>
                <w:szCs w:val="16"/>
              </w:rPr>
            </w:pPr>
          </w:p>
        </w:tc>
        <w:tc>
          <w:tcPr>
            <w:tcW w:w="423" w:type="dxa"/>
            <w:shd w:val="solid" w:color="FFFFFF" w:fill="auto"/>
          </w:tcPr>
          <w:p w14:paraId="7CEC7C91" w14:textId="77777777" w:rsidR="00A10B25" w:rsidRDefault="00A10B25">
            <w:pPr>
              <w:pStyle w:val="TAC"/>
              <w:rPr>
                <w:rFonts w:cs="Arial"/>
                <w:sz w:val="16"/>
                <w:szCs w:val="16"/>
              </w:rPr>
            </w:pPr>
            <w:r>
              <w:rPr>
                <w:sz w:val="16"/>
              </w:rPr>
              <w:t>F</w:t>
            </w:r>
          </w:p>
        </w:tc>
        <w:tc>
          <w:tcPr>
            <w:tcW w:w="4899" w:type="dxa"/>
            <w:shd w:val="solid" w:color="FFFFFF" w:fill="auto"/>
          </w:tcPr>
          <w:p w14:paraId="1773D20C" w14:textId="77777777" w:rsidR="00A10B25" w:rsidRDefault="00A10B25">
            <w:pPr>
              <w:pStyle w:val="TAL"/>
              <w:rPr>
                <w:rFonts w:cs="Arial"/>
                <w:sz w:val="16"/>
                <w:szCs w:val="16"/>
              </w:rPr>
            </w:pPr>
            <w:r>
              <w:rPr>
                <w:sz w:val="16"/>
              </w:rPr>
              <w:t>Correction to visitedAreas attribute</w:t>
            </w:r>
          </w:p>
        </w:tc>
        <w:tc>
          <w:tcPr>
            <w:tcW w:w="706" w:type="dxa"/>
            <w:shd w:val="solid" w:color="FFFFFF" w:fill="auto"/>
          </w:tcPr>
          <w:p w14:paraId="514DC424" w14:textId="77777777" w:rsidR="00A10B25" w:rsidRDefault="00A10B25">
            <w:pPr>
              <w:pStyle w:val="TAC"/>
              <w:rPr>
                <w:rFonts w:cs="Arial"/>
                <w:sz w:val="16"/>
                <w:szCs w:val="16"/>
              </w:rPr>
            </w:pPr>
            <w:r>
              <w:rPr>
                <w:sz w:val="16"/>
                <w:szCs w:val="16"/>
              </w:rPr>
              <w:t>17.9.0</w:t>
            </w:r>
          </w:p>
        </w:tc>
      </w:tr>
      <w:tr w:rsidR="00A10B25" w14:paraId="39F5A904" w14:textId="77777777">
        <w:tc>
          <w:tcPr>
            <w:tcW w:w="796" w:type="dxa"/>
            <w:shd w:val="solid" w:color="FFFFFF" w:fill="auto"/>
          </w:tcPr>
          <w:p w14:paraId="21AD9436"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1B1B8D5F"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0B0B405E" w14:textId="77777777" w:rsidR="00A10B25" w:rsidRDefault="00A10B25">
            <w:pPr>
              <w:pStyle w:val="TAC"/>
              <w:rPr>
                <w:rFonts w:cs="Arial"/>
                <w:sz w:val="16"/>
                <w:szCs w:val="16"/>
              </w:rPr>
            </w:pPr>
            <w:r>
              <w:rPr>
                <w:sz w:val="16"/>
                <w:szCs w:val="16"/>
              </w:rPr>
              <w:t>CP-223172</w:t>
            </w:r>
          </w:p>
        </w:tc>
        <w:tc>
          <w:tcPr>
            <w:tcW w:w="523" w:type="dxa"/>
            <w:shd w:val="solid" w:color="FFFFFF" w:fill="auto"/>
          </w:tcPr>
          <w:p w14:paraId="49B11B3B" w14:textId="77777777" w:rsidR="00A10B25" w:rsidRDefault="00A10B25">
            <w:pPr>
              <w:pStyle w:val="TAL"/>
              <w:rPr>
                <w:rFonts w:cs="Arial"/>
                <w:sz w:val="16"/>
                <w:szCs w:val="16"/>
              </w:rPr>
            </w:pPr>
            <w:r>
              <w:rPr>
                <w:rFonts w:cs="Arial"/>
                <w:sz w:val="16"/>
                <w:szCs w:val="16"/>
              </w:rPr>
              <w:t>0598</w:t>
            </w:r>
          </w:p>
        </w:tc>
        <w:tc>
          <w:tcPr>
            <w:tcW w:w="423" w:type="dxa"/>
            <w:shd w:val="solid" w:color="FFFFFF" w:fill="auto"/>
          </w:tcPr>
          <w:p w14:paraId="2A6E9268" w14:textId="77777777" w:rsidR="00A10B25" w:rsidRDefault="00A10B25">
            <w:pPr>
              <w:pStyle w:val="TAR"/>
              <w:rPr>
                <w:rFonts w:cs="Arial"/>
                <w:sz w:val="16"/>
                <w:szCs w:val="16"/>
              </w:rPr>
            </w:pPr>
          </w:p>
        </w:tc>
        <w:tc>
          <w:tcPr>
            <w:tcW w:w="423" w:type="dxa"/>
            <w:shd w:val="solid" w:color="FFFFFF" w:fill="auto"/>
          </w:tcPr>
          <w:p w14:paraId="6EF36FCD" w14:textId="77777777" w:rsidR="00A10B25" w:rsidRDefault="00A10B25">
            <w:pPr>
              <w:pStyle w:val="TAC"/>
              <w:rPr>
                <w:rFonts w:cs="Arial"/>
                <w:sz w:val="16"/>
                <w:szCs w:val="16"/>
              </w:rPr>
            </w:pPr>
            <w:r>
              <w:rPr>
                <w:sz w:val="16"/>
              </w:rPr>
              <w:t>F</w:t>
            </w:r>
          </w:p>
        </w:tc>
        <w:tc>
          <w:tcPr>
            <w:tcW w:w="4899" w:type="dxa"/>
            <w:shd w:val="solid" w:color="FFFFFF" w:fill="auto"/>
          </w:tcPr>
          <w:p w14:paraId="0C150B61" w14:textId="77777777" w:rsidR="00A10B25" w:rsidRDefault="00A10B25">
            <w:pPr>
              <w:pStyle w:val="TAL"/>
              <w:rPr>
                <w:rFonts w:cs="Arial"/>
                <w:sz w:val="16"/>
                <w:szCs w:val="16"/>
              </w:rPr>
            </w:pPr>
            <w:r>
              <w:rPr>
                <w:sz w:val="16"/>
              </w:rPr>
              <w:t>Incorrect attribute name referenced in DnPerformanceReq data type</w:t>
            </w:r>
          </w:p>
        </w:tc>
        <w:tc>
          <w:tcPr>
            <w:tcW w:w="706" w:type="dxa"/>
            <w:shd w:val="solid" w:color="FFFFFF" w:fill="auto"/>
          </w:tcPr>
          <w:p w14:paraId="1E623E1D" w14:textId="77777777" w:rsidR="00A10B25" w:rsidRDefault="00A10B25">
            <w:pPr>
              <w:pStyle w:val="TAC"/>
              <w:rPr>
                <w:rFonts w:cs="Arial"/>
                <w:sz w:val="16"/>
                <w:szCs w:val="16"/>
              </w:rPr>
            </w:pPr>
            <w:r>
              <w:rPr>
                <w:sz w:val="16"/>
                <w:szCs w:val="16"/>
              </w:rPr>
              <w:t>17.9.0</w:t>
            </w:r>
          </w:p>
        </w:tc>
      </w:tr>
      <w:tr w:rsidR="00A10B25" w14:paraId="3DAF9E18" w14:textId="77777777">
        <w:tc>
          <w:tcPr>
            <w:tcW w:w="796" w:type="dxa"/>
            <w:shd w:val="solid" w:color="FFFFFF" w:fill="auto"/>
          </w:tcPr>
          <w:p w14:paraId="2061C71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621E64A9"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43089BE8" w14:textId="77777777" w:rsidR="00A10B25" w:rsidRDefault="00A10B25">
            <w:pPr>
              <w:pStyle w:val="TAC"/>
              <w:rPr>
                <w:rFonts w:cs="Arial"/>
                <w:sz w:val="16"/>
                <w:szCs w:val="16"/>
              </w:rPr>
            </w:pPr>
            <w:r>
              <w:rPr>
                <w:sz w:val="16"/>
                <w:szCs w:val="16"/>
              </w:rPr>
              <w:t>CP-223172</w:t>
            </w:r>
          </w:p>
        </w:tc>
        <w:tc>
          <w:tcPr>
            <w:tcW w:w="523" w:type="dxa"/>
            <w:shd w:val="solid" w:color="FFFFFF" w:fill="auto"/>
          </w:tcPr>
          <w:p w14:paraId="3C51FE6E" w14:textId="77777777" w:rsidR="00A10B25" w:rsidRDefault="00A10B25">
            <w:pPr>
              <w:pStyle w:val="TAL"/>
              <w:rPr>
                <w:rFonts w:cs="Arial"/>
                <w:sz w:val="16"/>
                <w:szCs w:val="16"/>
              </w:rPr>
            </w:pPr>
            <w:r>
              <w:rPr>
                <w:rFonts w:cs="Arial"/>
                <w:sz w:val="16"/>
                <w:szCs w:val="16"/>
              </w:rPr>
              <w:t>0599</w:t>
            </w:r>
          </w:p>
        </w:tc>
        <w:tc>
          <w:tcPr>
            <w:tcW w:w="423" w:type="dxa"/>
            <w:shd w:val="solid" w:color="FFFFFF" w:fill="auto"/>
          </w:tcPr>
          <w:p w14:paraId="309A9210" w14:textId="77777777" w:rsidR="00A10B25" w:rsidRDefault="00A10B25">
            <w:pPr>
              <w:pStyle w:val="TAR"/>
              <w:rPr>
                <w:rFonts w:cs="Arial"/>
                <w:sz w:val="16"/>
                <w:szCs w:val="16"/>
              </w:rPr>
            </w:pPr>
          </w:p>
        </w:tc>
        <w:tc>
          <w:tcPr>
            <w:tcW w:w="423" w:type="dxa"/>
            <w:shd w:val="solid" w:color="FFFFFF" w:fill="auto"/>
          </w:tcPr>
          <w:p w14:paraId="34E229F5" w14:textId="77777777" w:rsidR="00A10B25" w:rsidRDefault="00A10B25">
            <w:pPr>
              <w:pStyle w:val="TAC"/>
              <w:rPr>
                <w:rFonts w:cs="Arial"/>
                <w:sz w:val="16"/>
                <w:szCs w:val="16"/>
              </w:rPr>
            </w:pPr>
            <w:r>
              <w:rPr>
                <w:sz w:val="16"/>
              </w:rPr>
              <w:t>F</w:t>
            </w:r>
          </w:p>
        </w:tc>
        <w:tc>
          <w:tcPr>
            <w:tcW w:w="4899" w:type="dxa"/>
            <w:shd w:val="solid" w:color="FFFFFF" w:fill="auto"/>
          </w:tcPr>
          <w:p w14:paraId="6370740B" w14:textId="77777777" w:rsidR="00A10B25" w:rsidRDefault="00A10B25">
            <w:pPr>
              <w:pStyle w:val="TAL"/>
              <w:rPr>
                <w:rFonts w:cs="Arial"/>
                <w:sz w:val="16"/>
                <w:szCs w:val="16"/>
              </w:rPr>
            </w:pPr>
            <w:r>
              <w:rPr>
                <w:sz w:val="16"/>
              </w:rPr>
              <w:t>Incorrect attribute name referenced in NwdafMLModelProvSubsc data type</w:t>
            </w:r>
          </w:p>
        </w:tc>
        <w:tc>
          <w:tcPr>
            <w:tcW w:w="706" w:type="dxa"/>
            <w:shd w:val="solid" w:color="FFFFFF" w:fill="auto"/>
          </w:tcPr>
          <w:p w14:paraId="6C20B43E" w14:textId="77777777" w:rsidR="00A10B25" w:rsidRDefault="00A10B25">
            <w:pPr>
              <w:pStyle w:val="TAC"/>
              <w:rPr>
                <w:rFonts w:cs="Arial"/>
                <w:sz w:val="16"/>
                <w:szCs w:val="16"/>
              </w:rPr>
            </w:pPr>
            <w:r>
              <w:rPr>
                <w:sz w:val="16"/>
                <w:szCs w:val="16"/>
              </w:rPr>
              <w:t>17.9.0</w:t>
            </w:r>
          </w:p>
        </w:tc>
      </w:tr>
      <w:tr w:rsidR="00A10B25" w14:paraId="13E789A0" w14:textId="77777777">
        <w:tc>
          <w:tcPr>
            <w:tcW w:w="796" w:type="dxa"/>
            <w:shd w:val="solid" w:color="FFFFFF" w:fill="auto"/>
          </w:tcPr>
          <w:p w14:paraId="1550C408"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567D1B0E"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883D21D" w14:textId="77777777" w:rsidR="00A10B25" w:rsidRDefault="00A10B25">
            <w:pPr>
              <w:pStyle w:val="TAC"/>
              <w:rPr>
                <w:rFonts w:cs="Arial"/>
                <w:sz w:val="16"/>
                <w:szCs w:val="16"/>
              </w:rPr>
            </w:pPr>
            <w:r>
              <w:rPr>
                <w:sz w:val="16"/>
                <w:szCs w:val="16"/>
              </w:rPr>
              <w:t>CP-223172</w:t>
            </w:r>
          </w:p>
        </w:tc>
        <w:tc>
          <w:tcPr>
            <w:tcW w:w="523" w:type="dxa"/>
            <w:shd w:val="solid" w:color="FFFFFF" w:fill="auto"/>
          </w:tcPr>
          <w:p w14:paraId="142056D7" w14:textId="77777777" w:rsidR="00A10B25" w:rsidRDefault="00A10B25">
            <w:pPr>
              <w:pStyle w:val="TAL"/>
              <w:rPr>
                <w:rFonts w:cs="Arial"/>
                <w:sz w:val="16"/>
                <w:szCs w:val="16"/>
              </w:rPr>
            </w:pPr>
            <w:r>
              <w:rPr>
                <w:rFonts w:cs="Arial"/>
                <w:sz w:val="16"/>
                <w:szCs w:val="16"/>
              </w:rPr>
              <w:t>0600</w:t>
            </w:r>
          </w:p>
        </w:tc>
        <w:tc>
          <w:tcPr>
            <w:tcW w:w="423" w:type="dxa"/>
            <w:shd w:val="solid" w:color="FFFFFF" w:fill="auto"/>
          </w:tcPr>
          <w:p w14:paraId="37B02157" w14:textId="77777777" w:rsidR="00A10B25" w:rsidRDefault="00A10B25">
            <w:pPr>
              <w:pStyle w:val="TAR"/>
              <w:rPr>
                <w:rFonts w:cs="Arial"/>
                <w:sz w:val="16"/>
                <w:szCs w:val="16"/>
              </w:rPr>
            </w:pPr>
          </w:p>
        </w:tc>
        <w:tc>
          <w:tcPr>
            <w:tcW w:w="423" w:type="dxa"/>
            <w:shd w:val="solid" w:color="FFFFFF" w:fill="auto"/>
          </w:tcPr>
          <w:p w14:paraId="7AFBD906" w14:textId="77777777" w:rsidR="00A10B25" w:rsidRDefault="00A10B25">
            <w:pPr>
              <w:pStyle w:val="TAC"/>
              <w:rPr>
                <w:rFonts w:cs="Arial"/>
                <w:sz w:val="16"/>
                <w:szCs w:val="16"/>
              </w:rPr>
            </w:pPr>
            <w:r>
              <w:rPr>
                <w:sz w:val="16"/>
              </w:rPr>
              <w:t>F</w:t>
            </w:r>
          </w:p>
        </w:tc>
        <w:tc>
          <w:tcPr>
            <w:tcW w:w="4899" w:type="dxa"/>
            <w:shd w:val="solid" w:color="FFFFFF" w:fill="auto"/>
          </w:tcPr>
          <w:p w14:paraId="2AC1B3E4" w14:textId="77777777" w:rsidR="00A10B25" w:rsidRDefault="00A10B25">
            <w:pPr>
              <w:pStyle w:val="TAL"/>
              <w:rPr>
                <w:rFonts w:cs="Arial"/>
                <w:sz w:val="16"/>
                <w:szCs w:val="16"/>
              </w:rPr>
            </w:pPr>
            <w:r>
              <w:rPr>
                <w:sz w:val="16"/>
              </w:rPr>
              <w:t>Aligning the notifications of Nnwdaf_DataManagement  API with service description</w:t>
            </w:r>
          </w:p>
        </w:tc>
        <w:tc>
          <w:tcPr>
            <w:tcW w:w="706" w:type="dxa"/>
            <w:shd w:val="solid" w:color="FFFFFF" w:fill="auto"/>
          </w:tcPr>
          <w:p w14:paraId="641EFD47" w14:textId="77777777" w:rsidR="00A10B25" w:rsidRDefault="00A10B25">
            <w:pPr>
              <w:pStyle w:val="TAC"/>
              <w:rPr>
                <w:rFonts w:cs="Arial"/>
                <w:sz w:val="16"/>
                <w:szCs w:val="16"/>
              </w:rPr>
            </w:pPr>
            <w:r>
              <w:rPr>
                <w:sz w:val="16"/>
                <w:szCs w:val="16"/>
              </w:rPr>
              <w:t>17.9.0</w:t>
            </w:r>
          </w:p>
        </w:tc>
      </w:tr>
      <w:tr w:rsidR="00A10B25" w14:paraId="2977A3CC" w14:textId="77777777">
        <w:tc>
          <w:tcPr>
            <w:tcW w:w="796" w:type="dxa"/>
            <w:shd w:val="solid" w:color="FFFFFF" w:fill="auto"/>
          </w:tcPr>
          <w:p w14:paraId="34978A2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349AE703"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359D1B75" w14:textId="77777777" w:rsidR="00A10B25" w:rsidRDefault="00A10B25">
            <w:pPr>
              <w:pStyle w:val="TAC"/>
              <w:rPr>
                <w:rFonts w:cs="Arial"/>
                <w:sz w:val="16"/>
                <w:szCs w:val="16"/>
              </w:rPr>
            </w:pPr>
            <w:r>
              <w:rPr>
                <w:sz w:val="16"/>
                <w:szCs w:val="16"/>
              </w:rPr>
              <w:t>CP-223172</w:t>
            </w:r>
          </w:p>
        </w:tc>
        <w:tc>
          <w:tcPr>
            <w:tcW w:w="523" w:type="dxa"/>
            <w:shd w:val="solid" w:color="FFFFFF" w:fill="auto"/>
          </w:tcPr>
          <w:p w14:paraId="67332846" w14:textId="77777777" w:rsidR="00A10B25" w:rsidRDefault="00A10B25">
            <w:pPr>
              <w:pStyle w:val="TAL"/>
              <w:rPr>
                <w:rFonts w:cs="Arial"/>
                <w:sz w:val="16"/>
                <w:szCs w:val="16"/>
              </w:rPr>
            </w:pPr>
            <w:r>
              <w:rPr>
                <w:rFonts w:cs="Arial"/>
                <w:sz w:val="16"/>
                <w:szCs w:val="16"/>
              </w:rPr>
              <w:t>0602</w:t>
            </w:r>
          </w:p>
        </w:tc>
        <w:tc>
          <w:tcPr>
            <w:tcW w:w="423" w:type="dxa"/>
            <w:shd w:val="solid" w:color="FFFFFF" w:fill="auto"/>
          </w:tcPr>
          <w:p w14:paraId="309CFE4A" w14:textId="77777777" w:rsidR="00A10B25" w:rsidRDefault="00A10B25">
            <w:pPr>
              <w:pStyle w:val="TAR"/>
              <w:rPr>
                <w:rFonts w:cs="Arial"/>
                <w:sz w:val="16"/>
                <w:szCs w:val="16"/>
              </w:rPr>
            </w:pPr>
          </w:p>
        </w:tc>
        <w:tc>
          <w:tcPr>
            <w:tcW w:w="423" w:type="dxa"/>
            <w:shd w:val="solid" w:color="FFFFFF" w:fill="auto"/>
          </w:tcPr>
          <w:p w14:paraId="11D43633" w14:textId="77777777" w:rsidR="00A10B25" w:rsidRDefault="00A10B25">
            <w:pPr>
              <w:pStyle w:val="TAC"/>
              <w:rPr>
                <w:rFonts w:cs="Arial"/>
                <w:sz w:val="16"/>
                <w:szCs w:val="16"/>
              </w:rPr>
            </w:pPr>
            <w:r>
              <w:rPr>
                <w:sz w:val="16"/>
              </w:rPr>
              <w:t>F</w:t>
            </w:r>
          </w:p>
        </w:tc>
        <w:tc>
          <w:tcPr>
            <w:tcW w:w="4899" w:type="dxa"/>
            <w:shd w:val="solid" w:color="FFFFFF" w:fill="auto"/>
          </w:tcPr>
          <w:p w14:paraId="153009C9" w14:textId="77777777" w:rsidR="00A10B25" w:rsidRDefault="00A10B25">
            <w:pPr>
              <w:pStyle w:val="TAL"/>
              <w:rPr>
                <w:rFonts w:cs="Arial"/>
                <w:sz w:val="16"/>
                <w:szCs w:val="16"/>
              </w:rPr>
            </w:pPr>
            <w:r>
              <w:rPr>
                <w:sz w:val="16"/>
              </w:rPr>
              <w:t>features in Nnwdaf_MLModelProvision Service API</w:t>
            </w:r>
          </w:p>
        </w:tc>
        <w:tc>
          <w:tcPr>
            <w:tcW w:w="706" w:type="dxa"/>
            <w:shd w:val="solid" w:color="FFFFFF" w:fill="auto"/>
          </w:tcPr>
          <w:p w14:paraId="6EF433E4" w14:textId="77777777" w:rsidR="00A10B25" w:rsidRDefault="00A10B25">
            <w:pPr>
              <w:pStyle w:val="TAC"/>
              <w:rPr>
                <w:rFonts w:cs="Arial"/>
                <w:sz w:val="16"/>
                <w:szCs w:val="16"/>
              </w:rPr>
            </w:pPr>
            <w:r>
              <w:rPr>
                <w:sz w:val="16"/>
                <w:szCs w:val="16"/>
              </w:rPr>
              <w:t>17.9.0</w:t>
            </w:r>
          </w:p>
        </w:tc>
      </w:tr>
      <w:tr w:rsidR="00A10B25" w14:paraId="6ED8260D" w14:textId="77777777">
        <w:tc>
          <w:tcPr>
            <w:tcW w:w="796" w:type="dxa"/>
            <w:shd w:val="solid" w:color="FFFFFF" w:fill="auto"/>
          </w:tcPr>
          <w:p w14:paraId="6DD3873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66F785CC"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40D4D91F" w14:textId="77777777" w:rsidR="00A10B25" w:rsidRDefault="00A10B25">
            <w:pPr>
              <w:pStyle w:val="TAC"/>
              <w:rPr>
                <w:rFonts w:cs="Arial"/>
                <w:sz w:val="16"/>
                <w:szCs w:val="16"/>
              </w:rPr>
            </w:pPr>
            <w:r>
              <w:rPr>
                <w:sz w:val="16"/>
                <w:szCs w:val="16"/>
              </w:rPr>
              <w:t>CP-223173</w:t>
            </w:r>
          </w:p>
        </w:tc>
        <w:tc>
          <w:tcPr>
            <w:tcW w:w="523" w:type="dxa"/>
            <w:shd w:val="solid" w:color="FFFFFF" w:fill="auto"/>
          </w:tcPr>
          <w:p w14:paraId="409A5753" w14:textId="77777777" w:rsidR="00A10B25" w:rsidRDefault="00A10B25">
            <w:pPr>
              <w:pStyle w:val="TAL"/>
              <w:rPr>
                <w:rFonts w:cs="Arial"/>
                <w:sz w:val="16"/>
                <w:szCs w:val="16"/>
              </w:rPr>
            </w:pPr>
            <w:r>
              <w:rPr>
                <w:rFonts w:cs="Arial"/>
                <w:sz w:val="16"/>
                <w:szCs w:val="16"/>
              </w:rPr>
              <w:t>0603</w:t>
            </w:r>
          </w:p>
        </w:tc>
        <w:tc>
          <w:tcPr>
            <w:tcW w:w="423" w:type="dxa"/>
            <w:shd w:val="solid" w:color="FFFFFF" w:fill="auto"/>
          </w:tcPr>
          <w:p w14:paraId="7C14D58E" w14:textId="77777777" w:rsidR="00A10B25" w:rsidRDefault="00A10B25">
            <w:pPr>
              <w:pStyle w:val="TAR"/>
              <w:rPr>
                <w:rFonts w:cs="Arial"/>
                <w:sz w:val="16"/>
                <w:szCs w:val="16"/>
              </w:rPr>
            </w:pPr>
            <w:r>
              <w:rPr>
                <w:sz w:val="16"/>
              </w:rPr>
              <w:t>2</w:t>
            </w:r>
          </w:p>
        </w:tc>
        <w:tc>
          <w:tcPr>
            <w:tcW w:w="423" w:type="dxa"/>
            <w:shd w:val="solid" w:color="FFFFFF" w:fill="auto"/>
          </w:tcPr>
          <w:p w14:paraId="46519096" w14:textId="77777777" w:rsidR="00A10B25" w:rsidRDefault="00A10B25">
            <w:pPr>
              <w:pStyle w:val="TAC"/>
              <w:rPr>
                <w:rFonts w:cs="Arial"/>
                <w:sz w:val="16"/>
                <w:szCs w:val="16"/>
              </w:rPr>
            </w:pPr>
            <w:r>
              <w:rPr>
                <w:sz w:val="16"/>
              </w:rPr>
              <w:t>F</w:t>
            </w:r>
          </w:p>
        </w:tc>
        <w:tc>
          <w:tcPr>
            <w:tcW w:w="4899" w:type="dxa"/>
            <w:shd w:val="solid" w:color="FFFFFF" w:fill="auto"/>
          </w:tcPr>
          <w:p w14:paraId="4224A8D4" w14:textId="77777777" w:rsidR="00A10B25" w:rsidRDefault="00A10B25">
            <w:pPr>
              <w:pStyle w:val="TAL"/>
              <w:rPr>
                <w:rFonts w:cs="Arial"/>
                <w:sz w:val="16"/>
                <w:szCs w:val="16"/>
              </w:rPr>
            </w:pPr>
            <w:r>
              <w:rPr>
                <w:sz w:val="16"/>
              </w:rPr>
              <w:t>Correction of data type of terminationReq</w:t>
            </w:r>
          </w:p>
        </w:tc>
        <w:tc>
          <w:tcPr>
            <w:tcW w:w="706" w:type="dxa"/>
            <w:shd w:val="solid" w:color="FFFFFF" w:fill="auto"/>
          </w:tcPr>
          <w:p w14:paraId="136D9ACB" w14:textId="77777777" w:rsidR="00A10B25" w:rsidRDefault="00A10B25">
            <w:pPr>
              <w:pStyle w:val="TAC"/>
              <w:rPr>
                <w:rFonts w:cs="Arial"/>
                <w:sz w:val="16"/>
                <w:szCs w:val="16"/>
              </w:rPr>
            </w:pPr>
            <w:r>
              <w:rPr>
                <w:sz w:val="16"/>
                <w:szCs w:val="16"/>
              </w:rPr>
              <w:t>17.9.0</w:t>
            </w:r>
          </w:p>
        </w:tc>
      </w:tr>
      <w:tr w:rsidR="00A10B25" w14:paraId="5CD061D3" w14:textId="77777777">
        <w:tc>
          <w:tcPr>
            <w:tcW w:w="796" w:type="dxa"/>
            <w:shd w:val="solid" w:color="FFFFFF" w:fill="auto"/>
          </w:tcPr>
          <w:p w14:paraId="7538A56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192F253C"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40B43228" w14:textId="77777777" w:rsidR="00A10B25" w:rsidRDefault="00A10B25">
            <w:pPr>
              <w:pStyle w:val="TAC"/>
              <w:rPr>
                <w:rFonts w:cs="Arial"/>
                <w:sz w:val="16"/>
                <w:szCs w:val="16"/>
              </w:rPr>
            </w:pPr>
            <w:r>
              <w:rPr>
                <w:sz w:val="16"/>
                <w:szCs w:val="16"/>
              </w:rPr>
              <w:t>CP-223224</w:t>
            </w:r>
          </w:p>
        </w:tc>
        <w:tc>
          <w:tcPr>
            <w:tcW w:w="523" w:type="dxa"/>
            <w:shd w:val="solid" w:color="FFFFFF" w:fill="auto"/>
          </w:tcPr>
          <w:p w14:paraId="5BF50DAF" w14:textId="77777777" w:rsidR="00A10B25" w:rsidRDefault="00A10B25">
            <w:pPr>
              <w:pStyle w:val="TAL"/>
              <w:rPr>
                <w:rFonts w:cs="Arial"/>
                <w:sz w:val="16"/>
                <w:szCs w:val="16"/>
              </w:rPr>
            </w:pPr>
            <w:r>
              <w:rPr>
                <w:rFonts w:cs="Arial"/>
                <w:sz w:val="16"/>
                <w:szCs w:val="16"/>
              </w:rPr>
              <w:t>0604</w:t>
            </w:r>
          </w:p>
        </w:tc>
        <w:tc>
          <w:tcPr>
            <w:tcW w:w="423" w:type="dxa"/>
            <w:shd w:val="solid" w:color="FFFFFF" w:fill="auto"/>
          </w:tcPr>
          <w:p w14:paraId="631AD4A7" w14:textId="77777777" w:rsidR="00A10B25" w:rsidRDefault="00A10B25">
            <w:pPr>
              <w:pStyle w:val="TAR"/>
              <w:rPr>
                <w:rFonts w:cs="Arial"/>
                <w:sz w:val="16"/>
                <w:szCs w:val="16"/>
              </w:rPr>
            </w:pPr>
            <w:r>
              <w:rPr>
                <w:sz w:val="16"/>
              </w:rPr>
              <w:t>1</w:t>
            </w:r>
          </w:p>
        </w:tc>
        <w:tc>
          <w:tcPr>
            <w:tcW w:w="423" w:type="dxa"/>
            <w:shd w:val="solid" w:color="FFFFFF" w:fill="auto"/>
          </w:tcPr>
          <w:p w14:paraId="175D01F5" w14:textId="77777777" w:rsidR="00A10B25" w:rsidRDefault="00A10B25">
            <w:pPr>
              <w:pStyle w:val="TAC"/>
              <w:rPr>
                <w:rFonts w:cs="Arial"/>
                <w:sz w:val="16"/>
                <w:szCs w:val="16"/>
              </w:rPr>
            </w:pPr>
            <w:r>
              <w:rPr>
                <w:sz w:val="16"/>
              </w:rPr>
              <w:t>F</w:t>
            </w:r>
          </w:p>
        </w:tc>
        <w:tc>
          <w:tcPr>
            <w:tcW w:w="4899" w:type="dxa"/>
            <w:shd w:val="solid" w:color="FFFFFF" w:fill="auto"/>
          </w:tcPr>
          <w:p w14:paraId="6620CE12" w14:textId="77777777" w:rsidR="00A10B25" w:rsidRDefault="00A10B25">
            <w:pPr>
              <w:pStyle w:val="TAL"/>
              <w:rPr>
                <w:rFonts w:cs="Arial"/>
                <w:sz w:val="16"/>
                <w:szCs w:val="16"/>
              </w:rPr>
            </w:pPr>
            <w:r>
              <w:rPr>
                <w:sz w:val="16"/>
              </w:rPr>
              <w:t>adding resourceUri for analytics subscription transfer notification</w:t>
            </w:r>
          </w:p>
        </w:tc>
        <w:tc>
          <w:tcPr>
            <w:tcW w:w="706" w:type="dxa"/>
            <w:shd w:val="solid" w:color="FFFFFF" w:fill="auto"/>
          </w:tcPr>
          <w:p w14:paraId="138E7FFA" w14:textId="77777777" w:rsidR="00A10B25" w:rsidRDefault="00A10B25">
            <w:pPr>
              <w:pStyle w:val="TAC"/>
              <w:rPr>
                <w:rFonts w:cs="Arial"/>
                <w:sz w:val="16"/>
                <w:szCs w:val="16"/>
              </w:rPr>
            </w:pPr>
            <w:r>
              <w:rPr>
                <w:sz w:val="16"/>
                <w:szCs w:val="16"/>
              </w:rPr>
              <w:t>17.9.0</w:t>
            </w:r>
          </w:p>
        </w:tc>
      </w:tr>
      <w:tr w:rsidR="00A10B25" w14:paraId="4643CCCA" w14:textId="77777777">
        <w:tc>
          <w:tcPr>
            <w:tcW w:w="796" w:type="dxa"/>
            <w:shd w:val="solid" w:color="FFFFFF" w:fill="auto"/>
          </w:tcPr>
          <w:p w14:paraId="4145CAD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2D83AF97"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2FF3F5A5" w14:textId="77777777" w:rsidR="00A10B25" w:rsidRDefault="00A10B25">
            <w:pPr>
              <w:pStyle w:val="TAC"/>
              <w:rPr>
                <w:rFonts w:cs="Arial"/>
                <w:sz w:val="16"/>
                <w:szCs w:val="16"/>
              </w:rPr>
            </w:pPr>
            <w:r>
              <w:rPr>
                <w:sz w:val="16"/>
                <w:szCs w:val="16"/>
              </w:rPr>
              <w:t>CP-223173</w:t>
            </w:r>
          </w:p>
        </w:tc>
        <w:tc>
          <w:tcPr>
            <w:tcW w:w="523" w:type="dxa"/>
            <w:shd w:val="solid" w:color="FFFFFF" w:fill="auto"/>
          </w:tcPr>
          <w:p w14:paraId="3D2380DA" w14:textId="77777777" w:rsidR="00A10B25" w:rsidRDefault="00A10B25">
            <w:pPr>
              <w:pStyle w:val="TAL"/>
              <w:rPr>
                <w:rFonts w:cs="Arial"/>
                <w:sz w:val="16"/>
                <w:szCs w:val="16"/>
              </w:rPr>
            </w:pPr>
            <w:r>
              <w:rPr>
                <w:rFonts w:cs="Arial"/>
                <w:sz w:val="16"/>
                <w:szCs w:val="16"/>
              </w:rPr>
              <w:t>0608</w:t>
            </w:r>
          </w:p>
        </w:tc>
        <w:tc>
          <w:tcPr>
            <w:tcW w:w="423" w:type="dxa"/>
            <w:shd w:val="solid" w:color="FFFFFF" w:fill="auto"/>
          </w:tcPr>
          <w:p w14:paraId="1612F0BB" w14:textId="77777777" w:rsidR="00A10B25" w:rsidRDefault="00A10B25">
            <w:pPr>
              <w:pStyle w:val="TAR"/>
              <w:rPr>
                <w:rFonts w:cs="Arial"/>
                <w:sz w:val="16"/>
                <w:szCs w:val="16"/>
              </w:rPr>
            </w:pPr>
            <w:r>
              <w:rPr>
                <w:sz w:val="16"/>
              </w:rPr>
              <w:t>2</w:t>
            </w:r>
          </w:p>
        </w:tc>
        <w:tc>
          <w:tcPr>
            <w:tcW w:w="423" w:type="dxa"/>
            <w:shd w:val="solid" w:color="FFFFFF" w:fill="auto"/>
          </w:tcPr>
          <w:p w14:paraId="6FA9FEFC" w14:textId="77777777" w:rsidR="00A10B25" w:rsidRDefault="00A10B25">
            <w:pPr>
              <w:pStyle w:val="TAC"/>
              <w:rPr>
                <w:rFonts w:cs="Arial"/>
                <w:sz w:val="16"/>
                <w:szCs w:val="16"/>
              </w:rPr>
            </w:pPr>
            <w:r>
              <w:rPr>
                <w:sz w:val="16"/>
              </w:rPr>
              <w:t>F</w:t>
            </w:r>
          </w:p>
        </w:tc>
        <w:tc>
          <w:tcPr>
            <w:tcW w:w="4899" w:type="dxa"/>
            <w:shd w:val="solid" w:color="FFFFFF" w:fill="auto"/>
          </w:tcPr>
          <w:p w14:paraId="67A80D92" w14:textId="77777777" w:rsidR="00A10B25" w:rsidRDefault="00A10B25">
            <w:pPr>
              <w:pStyle w:val="TAL"/>
              <w:rPr>
                <w:rFonts w:cs="Arial"/>
                <w:sz w:val="16"/>
                <w:szCs w:val="16"/>
              </w:rPr>
            </w:pPr>
            <w:r>
              <w:rPr>
                <w:sz w:val="16"/>
              </w:rPr>
              <w:t>Correction to Event Notification in Nnwdaf_MLModelProvision API</w:t>
            </w:r>
          </w:p>
        </w:tc>
        <w:tc>
          <w:tcPr>
            <w:tcW w:w="706" w:type="dxa"/>
            <w:shd w:val="solid" w:color="FFFFFF" w:fill="auto"/>
          </w:tcPr>
          <w:p w14:paraId="351D75FA" w14:textId="77777777" w:rsidR="00A10B25" w:rsidRDefault="00A10B25">
            <w:pPr>
              <w:pStyle w:val="TAC"/>
              <w:rPr>
                <w:rFonts w:cs="Arial"/>
                <w:sz w:val="16"/>
                <w:szCs w:val="16"/>
              </w:rPr>
            </w:pPr>
            <w:r>
              <w:rPr>
                <w:sz w:val="16"/>
                <w:szCs w:val="16"/>
              </w:rPr>
              <w:t>17.9.0</w:t>
            </w:r>
          </w:p>
        </w:tc>
      </w:tr>
      <w:tr w:rsidR="00A10B25" w14:paraId="0C387180" w14:textId="77777777">
        <w:tc>
          <w:tcPr>
            <w:tcW w:w="796" w:type="dxa"/>
            <w:shd w:val="solid" w:color="FFFFFF" w:fill="auto"/>
          </w:tcPr>
          <w:p w14:paraId="32143A7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4D140CAC"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536FEB9" w14:textId="77777777" w:rsidR="00A10B25" w:rsidRDefault="00A10B25">
            <w:pPr>
              <w:pStyle w:val="TAC"/>
              <w:rPr>
                <w:rFonts w:cs="Arial"/>
                <w:sz w:val="16"/>
                <w:szCs w:val="16"/>
              </w:rPr>
            </w:pPr>
            <w:r>
              <w:rPr>
                <w:sz w:val="16"/>
                <w:szCs w:val="16"/>
              </w:rPr>
              <w:t>CP-223173</w:t>
            </w:r>
          </w:p>
        </w:tc>
        <w:tc>
          <w:tcPr>
            <w:tcW w:w="523" w:type="dxa"/>
            <w:shd w:val="solid" w:color="FFFFFF" w:fill="auto"/>
          </w:tcPr>
          <w:p w14:paraId="79D6C9AF" w14:textId="77777777" w:rsidR="00A10B25" w:rsidRDefault="00A10B25">
            <w:pPr>
              <w:pStyle w:val="TAL"/>
              <w:rPr>
                <w:rFonts w:cs="Arial"/>
                <w:sz w:val="16"/>
                <w:szCs w:val="16"/>
              </w:rPr>
            </w:pPr>
            <w:r>
              <w:rPr>
                <w:rFonts w:cs="Arial"/>
                <w:sz w:val="16"/>
                <w:szCs w:val="16"/>
              </w:rPr>
              <w:t>0610</w:t>
            </w:r>
          </w:p>
        </w:tc>
        <w:tc>
          <w:tcPr>
            <w:tcW w:w="423" w:type="dxa"/>
            <w:shd w:val="solid" w:color="FFFFFF" w:fill="auto"/>
          </w:tcPr>
          <w:p w14:paraId="40042D8B" w14:textId="77777777" w:rsidR="00A10B25" w:rsidRDefault="00A10B25">
            <w:pPr>
              <w:pStyle w:val="TAR"/>
              <w:rPr>
                <w:rFonts w:cs="Arial"/>
                <w:sz w:val="16"/>
                <w:szCs w:val="16"/>
              </w:rPr>
            </w:pPr>
            <w:r>
              <w:rPr>
                <w:sz w:val="16"/>
              </w:rPr>
              <w:t>1</w:t>
            </w:r>
          </w:p>
        </w:tc>
        <w:tc>
          <w:tcPr>
            <w:tcW w:w="423" w:type="dxa"/>
            <w:shd w:val="solid" w:color="FFFFFF" w:fill="auto"/>
          </w:tcPr>
          <w:p w14:paraId="7B5407C8" w14:textId="77777777" w:rsidR="00A10B25" w:rsidRDefault="00A10B25">
            <w:pPr>
              <w:pStyle w:val="TAC"/>
              <w:rPr>
                <w:rFonts w:cs="Arial"/>
                <w:sz w:val="16"/>
                <w:szCs w:val="16"/>
              </w:rPr>
            </w:pPr>
            <w:r>
              <w:rPr>
                <w:sz w:val="16"/>
              </w:rPr>
              <w:t>F</w:t>
            </w:r>
          </w:p>
        </w:tc>
        <w:tc>
          <w:tcPr>
            <w:tcW w:w="4899" w:type="dxa"/>
            <w:shd w:val="solid" w:color="FFFFFF" w:fill="auto"/>
          </w:tcPr>
          <w:p w14:paraId="61BB7F23" w14:textId="77777777" w:rsidR="00A10B25" w:rsidRDefault="00A10B25">
            <w:pPr>
              <w:pStyle w:val="TAL"/>
              <w:rPr>
                <w:rFonts w:cs="Arial"/>
                <w:sz w:val="16"/>
                <w:szCs w:val="16"/>
              </w:rPr>
            </w:pPr>
            <w:r>
              <w:rPr>
                <w:sz w:val="16"/>
              </w:rPr>
              <w:t>Corrections to NF Service Consumers</w:t>
            </w:r>
          </w:p>
        </w:tc>
        <w:tc>
          <w:tcPr>
            <w:tcW w:w="706" w:type="dxa"/>
            <w:shd w:val="solid" w:color="FFFFFF" w:fill="auto"/>
          </w:tcPr>
          <w:p w14:paraId="710948BD" w14:textId="77777777" w:rsidR="00A10B25" w:rsidRDefault="00A10B25">
            <w:pPr>
              <w:pStyle w:val="TAC"/>
              <w:rPr>
                <w:rFonts w:cs="Arial"/>
                <w:sz w:val="16"/>
                <w:szCs w:val="16"/>
              </w:rPr>
            </w:pPr>
            <w:r>
              <w:rPr>
                <w:sz w:val="16"/>
                <w:szCs w:val="16"/>
              </w:rPr>
              <w:t>17.9.0</w:t>
            </w:r>
          </w:p>
        </w:tc>
      </w:tr>
      <w:tr w:rsidR="00A10B25" w14:paraId="7574FF36" w14:textId="77777777">
        <w:tc>
          <w:tcPr>
            <w:tcW w:w="796" w:type="dxa"/>
            <w:shd w:val="solid" w:color="FFFFFF" w:fill="auto"/>
          </w:tcPr>
          <w:p w14:paraId="6C66F245"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446938CD"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3B4F481" w14:textId="77777777" w:rsidR="00A10B25" w:rsidRDefault="00A10B25">
            <w:pPr>
              <w:pStyle w:val="TAC"/>
              <w:rPr>
                <w:rFonts w:cs="Arial"/>
                <w:sz w:val="16"/>
                <w:szCs w:val="16"/>
              </w:rPr>
            </w:pPr>
            <w:r>
              <w:rPr>
                <w:sz w:val="16"/>
                <w:szCs w:val="16"/>
              </w:rPr>
              <w:t>CP-223174</w:t>
            </w:r>
          </w:p>
        </w:tc>
        <w:tc>
          <w:tcPr>
            <w:tcW w:w="523" w:type="dxa"/>
            <w:shd w:val="solid" w:color="FFFFFF" w:fill="auto"/>
          </w:tcPr>
          <w:p w14:paraId="2014BF26" w14:textId="77777777" w:rsidR="00A10B25" w:rsidRDefault="00A10B25">
            <w:pPr>
              <w:pStyle w:val="TAL"/>
              <w:rPr>
                <w:rFonts w:cs="Arial"/>
                <w:sz w:val="16"/>
                <w:szCs w:val="16"/>
              </w:rPr>
            </w:pPr>
            <w:r>
              <w:rPr>
                <w:rFonts w:cs="Arial"/>
                <w:sz w:val="16"/>
                <w:szCs w:val="16"/>
              </w:rPr>
              <w:t>0613</w:t>
            </w:r>
          </w:p>
        </w:tc>
        <w:tc>
          <w:tcPr>
            <w:tcW w:w="423" w:type="dxa"/>
            <w:shd w:val="solid" w:color="FFFFFF" w:fill="auto"/>
          </w:tcPr>
          <w:p w14:paraId="56F5D6D1" w14:textId="77777777" w:rsidR="00A10B25" w:rsidRDefault="00A10B25">
            <w:pPr>
              <w:pStyle w:val="TAR"/>
              <w:rPr>
                <w:rFonts w:cs="Arial"/>
                <w:sz w:val="16"/>
                <w:szCs w:val="16"/>
              </w:rPr>
            </w:pPr>
            <w:r>
              <w:rPr>
                <w:sz w:val="16"/>
              </w:rPr>
              <w:t>1</w:t>
            </w:r>
          </w:p>
        </w:tc>
        <w:tc>
          <w:tcPr>
            <w:tcW w:w="423" w:type="dxa"/>
            <w:shd w:val="solid" w:color="FFFFFF" w:fill="auto"/>
          </w:tcPr>
          <w:p w14:paraId="303EEABD" w14:textId="77777777" w:rsidR="00A10B25" w:rsidRDefault="00A10B25">
            <w:pPr>
              <w:pStyle w:val="TAC"/>
              <w:rPr>
                <w:rFonts w:cs="Arial"/>
                <w:sz w:val="16"/>
                <w:szCs w:val="16"/>
              </w:rPr>
            </w:pPr>
            <w:r>
              <w:rPr>
                <w:sz w:val="16"/>
              </w:rPr>
              <w:t>F</w:t>
            </w:r>
          </w:p>
        </w:tc>
        <w:tc>
          <w:tcPr>
            <w:tcW w:w="4899" w:type="dxa"/>
            <w:shd w:val="solid" w:color="FFFFFF" w:fill="auto"/>
          </w:tcPr>
          <w:p w14:paraId="78C03431" w14:textId="77777777" w:rsidR="00A10B25" w:rsidRDefault="00A10B25">
            <w:pPr>
              <w:pStyle w:val="TAL"/>
              <w:rPr>
                <w:rFonts w:cs="Arial"/>
                <w:sz w:val="16"/>
                <w:szCs w:val="16"/>
              </w:rPr>
            </w:pPr>
            <w:r>
              <w:rPr>
                <w:sz w:val="16"/>
              </w:rPr>
              <w:t>Corrections to Slice Load level Analytics</w:t>
            </w:r>
          </w:p>
        </w:tc>
        <w:tc>
          <w:tcPr>
            <w:tcW w:w="706" w:type="dxa"/>
            <w:shd w:val="solid" w:color="FFFFFF" w:fill="auto"/>
          </w:tcPr>
          <w:p w14:paraId="009F2C59" w14:textId="77777777" w:rsidR="00A10B25" w:rsidRDefault="00A10B25">
            <w:pPr>
              <w:pStyle w:val="TAC"/>
              <w:rPr>
                <w:rFonts w:cs="Arial"/>
                <w:sz w:val="16"/>
                <w:szCs w:val="16"/>
              </w:rPr>
            </w:pPr>
            <w:r>
              <w:rPr>
                <w:sz w:val="16"/>
                <w:szCs w:val="16"/>
              </w:rPr>
              <w:t>17.9.0</w:t>
            </w:r>
          </w:p>
        </w:tc>
      </w:tr>
      <w:tr w:rsidR="00A10B25" w14:paraId="21272C42" w14:textId="77777777">
        <w:tc>
          <w:tcPr>
            <w:tcW w:w="796" w:type="dxa"/>
            <w:shd w:val="solid" w:color="FFFFFF" w:fill="auto"/>
          </w:tcPr>
          <w:p w14:paraId="246FB341"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6C3C948F"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6B1C2AE2" w14:textId="77777777" w:rsidR="00A10B25" w:rsidRDefault="00A10B25">
            <w:pPr>
              <w:pStyle w:val="TAC"/>
              <w:rPr>
                <w:rFonts w:cs="Arial"/>
                <w:sz w:val="16"/>
                <w:szCs w:val="16"/>
              </w:rPr>
            </w:pPr>
            <w:r>
              <w:rPr>
                <w:sz w:val="16"/>
                <w:szCs w:val="16"/>
              </w:rPr>
              <w:t>CP-223173</w:t>
            </w:r>
          </w:p>
        </w:tc>
        <w:tc>
          <w:tcPr>
            <w:tcW w:w="523" w:type="dxa"/>
            <w:shd w:val="solid" w:color="FFFFFF" w:fill="auto"/>
          </w:tcPr>
          <w:p w14:paraId="32A60089" w14:textId="77777777" w:rsidR="00A10B25" w:rsidRDefault="00A10B25">
            <w:pPr>
              <w:pStyle w:val="TAL"/>
              <w:rPr>
                <w:rFonts w:cs="Arial"/>
                <w:sz w:val="16"/>
                <w:szCs w:val="16"/>
              </w:rPr>
            </w:pPr>
            <w:r>
              <w:rPr>
                <w:rFonts w:cs="Arial"/>
                <w:sz w:val="16"/>
                <w:szCs w:val="16"/>
              </w:rPr>
              <w:t>0616</w:t>
            </w:r>
          </w:p>
        </w:tc>
        <w:tc>
          <w:tcPr>
            <w:tcW w:w="423" w:type="dxa"/>
            <w:shd w:val="solid" w:color="FFFFFF" w:fill="auto"/>
          </w:tcPr>
          <w:p w14:paraId="256F58EB" w14:textId="77777777" w:rsidR="00A10B25" w:rsidRDefault="00A10B25">
            <w:pPr>
              <w:pStyle w:val="TAR"/>
              <w:rPr>
                <w:rFonts w:cs="Arial"/>
                <w:sz w:val="16"/>
                <w:szCs w:val="16"/>
              </w:rPr>
            </w:pPr>
            <w:r>
              <w:rPr>
                <w:sz w:val="16"/>
              </w:rPr>
              <w:t>1</w:t>
            </w:r>
          </w:p>
        </w:tc>
        <w:tc>
          <w:tcPr>
            <w:tcW w:w="423" w:type="dxa"/>
            <w:shd w:val="solid" w:color="FFFFFF" w:fill="auto"/>
          </w:tcPr>
          <w:p w14:paraId="3BB2FE59" w14:textId="77777777" w:rsidR="00A10B25" w:rsidRDefault="00A10B25">
            <w:pPr>
              <w:pStyle w:val="TAC"/>
              <w:rPr>
                <w:rFonts w:cs="Arial"/>
                <w:sz w:val="16"/>
                <w:szCs w:val="16"/>
              </w:rPr>
            </w:pPr>
            <w:r>
              <w:rPr>
                <w:sz w:val="16"/>
              </w:rPr>
              <w:t>F</w:t>
            </w:r>
          </w:p>
        </w:tc>
        <w:tc>
          <w:tcPr>
            <w:tcW w:w="4899" w:type="dxa"/>
            <w:shd w:val="solid" w:color="FFFFFF" w:fill="auto"/>
          </w:tcPr>
          <w:p w14:paraId="5CD4610A" w14:textId="77777777" w:rsidR="00A10B25" w:rsidRDefault="00A10B25">
            <w:pPr>
              <w:pStyle w:val="TAL"/>
              <w:rPr>
                <w:rFonts w:cs="Arial"/>
                <w:sz w:val="16"/>
                <w:szCs w:val="16"/>
              </w:rPr>
            </w:pPr>
            <w:r>
              <w:rPr>
                <w:sz w:val="16"/>
              </w:rPr>
              <w:t>Corrections for DispersionCollection data type and MLEventSubscription data type</w:t>
            </w:r>
          </w:p>
        </w:tc>
        <w:tc>
          <w:tcPr>
            <w:tcW w:w="706" w:type="dxa"/>
            <w:shd w:val="solid" w:color="FFFFFF" w:fill="auto"/>
          </w:tcPr>
          <w:p w14:paraId="5A9BAC20" w14:textId="77777777" w:rsidR="00A10B25" w:rsidRDefault="00A10B25">
            <w:pPr>
              <w:pStyle w:val="TAC"/>
              <w:rPr>
                <w:rFonts w:cs="Arial"/>
                <w:sz w:val="16"/>
                <w:szCs w:val="16"/>
              </w:rPr>
            </w:pPr>
            <w:r>
              <w:rPr>
                <w:sz w:val="16"/>
                <w:szCs w:val="16"/>
              </w:rPr>
              <w:t>17.9.0</w:t>
            </w:r>
          </w:p>
        </w:tc>
      </w:tr>
      <w:tr w:rsidR="00A10B25" w14:paraId="492D1865" w14:textId="77777777">
        <w:tc>
          <w:tcPr>
            <w:tcW w:w="796" w:type="dxa"/>
            <w:shd w:val="solid" w:color="FFFFFF" w:fill="auto"/>
          </w:tcPr>
          <w:p w14:paraId="76D99147"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13A73E91"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217F833" w14:textId="77777777" w:rsidR="00A10B25" w:rsidRDefault="00A10B25">
            <w:pPr>
              <w:pStyle w:val="TAC"/>
              <w:rPr>
                <w:rFonts w:cs="Arial"/>
                <w:sz w:val="16"/>
                <w:szCs w:val="16"/>
              </w:rPr>
            </w:pPr>
            <w:r>
              <w:rPr>
                <w:sz w:val="16"/>
                <w:szCs w:val="16"/>
              </w:rPr>
              <w:t>CP-223173</w:t>
            </w:r>
          </w:p>
        </w:tc>
        <w:tc>
          <w:tcPr>
            <w:tcW w:w="523" w:type="dxa"/>
            <w:shd w:val="solid" w:color="FFFFFF" w:fill="auto"/>
          </w:tcPr>
          <w:p w14:paraId="3C9986DB" w14:textId="77777777" w:rsidR="00A10B25" w:rsidRDefault="00A10B25">
            <w:pPr>
              <w:pStyle w:val="TAL"/>
              <w:rPr>
                <w:rFonts w:cs="Arial"/>
                <w:sz w:val="16"/>
                <w:szCs w:val="16"/>
              </w:rPr>
            </w:pPr>
            <w:r>
              <w:rPr>
                <w:rFonts w:cs="Arial"/>
                <w:sz w:val="16"/>
                <w:szCs w:val="16"/>
              </w:rPr>
              <w:t>0619</w:t>
            </w:r>
          </w:p>
        </w:tc>
        <w:tc>
          <w:tcPr>
            <w:tcW w:w="423" w:type="dxa"/>
            <w:shd w:val="solid" w:color="FFFFFF" w:fill="auto"/>
          </w:tcPr>
          <w:p w14:paraId="68D76097" w14:textId="77777777" w:rsidR="00A10B25" w:rsidRDefault="00A10B25">
            <w:pPr>
              <w:pStyle w:val="TAR"/>
              <w:rPr>
                <w:rFonts w:cs="Arial"/>
                <w:sz w:val="16"/>
                <w:szCs w:val="16"/>
              </w:rPr>
            </w:pPr>
            <w:r>
              <w:rPr>
                <w:sz w:val="16"/>
              </w:rPr>
              <w:t>1</w:t>
            </w:r>
          </w:p>
        </w:tc>
        <w:tc>
          <w:tcPr>
            <w:tcW w:w="423" w:type="dxa"/>
            <w:shd w:val="solid" w:color="FFFFFF" w:fill="auto"/>
          </w:tcPr>
          <w:p w14:paraId="29A16350" w14:textId="77777777" w:rsidR="00A10B25" w:rsidRDefault="00A10B25">
            <w:pPr>
              <w:pStyle w:val="TAC"/>
              <w:rPr>
                <w:rFonts w:cs="Arial"/>
                <w:sz w:val="16"/>
                <w:szCs w:val="16"/>
              </w:rPr>
            </w:pPr>
            <w:r>
              <w:rPr>
                <w:sz w:val="16"/>
              </w:rPr>
              <w:t>F</w:t>
            </w:r>
          </w:p>
        </w:tc>
        <w:tc>
          <w:tcPr>
            <w:tcW w:w="4899" w:type="dxa"/>
            <w:shd w:val="solid" w:color="FFFFFF" w:fill="auto"/>
          </w:tcPr>
          <w:p w14:paraId="2F6BC177" w14:textId="77777777" w:rsidR="00A10B25" w:rsidRDefault="00A10B25">
            <w:pPr>
              <w:pStyle w:val="TAL"/>
              <w:rPr>
                <w:rFonts w:cs="Arial"/>
                <w:sz w:val="16"/>
                <w:szCs w:val="16"/>
              </w:rPr>
            </w:pPr>
            <w:r>
              <w:rPr>
                <w:sz w:val="16"/>
              </w:rPr>
              <w:t>Miscellaneous corrections</w:t>
            </w:r>
          </w:p>
        </w:tc>
        <w:tc>
          <w:tcPr>
            <w:tcW w:w="706" w:type="dxa"/>
            <w:shd w:val="solid" w:color="FFFFFF" w:fill="auto"/>
          </w:tcPr>
          <w:p w14:paraId="53E9BE0F" w14:textId="77777777" w:rsidR="00A10B25" w:rsidRDefault="00A10B25">
            <w:pPr>
              <w:pStyle w:val="TAC"/>
              <w:rPr>
                <w:rFonts w:cs="Arial"/>
                <w:sz w:val="16"/>
                <w:szCs w:val="16"/>
              </w:rPr>
            </w:pPr>
            <w:r>
              <w:rPr>
                <w:sz w:val="16"/>
                <w:szCs w:val="16"/>
              </w:rPr>
              <w:t>17.9.0</w:t>
            </w:r>
          </w:p>
        </w:tc>
      </w:tr>
      <w:tr w:rsidR="00A10B25" w14:paraId="1A6B1013" w14:textId="77777777">
        <w:tc>
          <w:tcPr>
            <w:tcW w:w="796" w:type="dxa"/>
            <w:shd w:val="solid" w:color="FFFFFF" w:fill="auto"/>
          </w:tcPr>
          <w:p w14:paraId="620DB773"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4343B209"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1711D565" w14:textId="77777777" w:rsidR="00A10B25" w:rsidRDefault="00A10B25">
            <w:pPr>
              <w:pStyle w:val="TAC"/>
              <w:rPr>
                <w:rFonts w:cs="Arial"/>
                <w:sz w:val="16"/>
                <w:szCs w:val="16"/>
              </w:rPr>
            </w:pPr>
            <w:r>
              <w:rPr>
                <w:sz w:val="16"/>
                <w:szCs w:val="16"/>
              </w:rPr>
              <w:t>CP-223188</w:t>
            </w:r>
          </w:p>
        </w:tc>
        <w:tc>
          <w:tcPr>
            <w:tcW w:w="523" w:type="dxa"/>
            <w:shd w:val="solid" w:color="FFFFFF" w:fill="auto"/>
          </w:tcPr>
          <w:p w14:paraId="22343A2B" w14:textId="77777777" w:rsidR="00A10B25" w:rsidRDefault="00A10B25">
            <w:pPr>
              <w:pStyle w:val="TAL"/>
              <w:rPr>
                <w:rFonts w:cs="Arial"/>
                <w:sz w:val="16"/>
                <w:szCs w:val="16"/>
              </w:rPr>
            </w:pPr>
            <w:r>
              <w:rPr>
                <w:rFonts w:cs="Arial"/>
                <w:sz w:val="16"/>
                <w:szCs w:val="16"/>
              </w:rPr>
              <w:t>0621</w:t>
            </w:r>
          </w:p>
        </w:tc>
        <w:tc>
          <w:tcPr>
            <w:tcW w:w="423" w:type="dxa"/>
            <w:shd w:val="solid" w:color="FFFFFF" w:fill="auto"/>
          </w:tcPr>
          <w:p w14:paraId="48A8391F" w14:textId="77777777" w:rsidR="00A10B25" w:rsidRDefault="00A10B25">
            <w:pPr>
              <w:pStyle w:val="TAR"/>
              <w:rPr>
                <w:rFonts w:cs="Arial"/>
                <w:sz w:val="16"/>
                <w:szCs w:val="16"/>
              </w:rPr>
            </w:pPr>
          </w:p>
        </w:tc>
        <w:tc>
          <w:tcPr>
            <w:tcW w:w="423" w:type="dxa"/>
            <w:shd w:val="solid" w:color="FFFFFF" w:fill="auto"/>
          </w:tcPr>
          <w:p w14:paraId="78A42842" w14:textId="77777777" w:rsidR="00A10B25" w:rsidRDefault="00A10B25">
            <w:pPr>
              <w:pStyle w:val="TAC"/>
              <w:rPr>
                <w:rFonts w:cs="Arial"/>
                <w:sz w:val="16"/>
                <w:szCs w:val="16"/>
              </w:rPr>
            </w:pPr>
            <w:r>
              <w:rPr>
                <w:sz w:val="16"/>
              </w:rPr>
              <w:t>F</w:t>
            </w:r>
          </w:p>
        </w:tc>
        <w:tc>
          <w:tcPr>
            <w:tcW w:w="4899" w:type="dxa"/>
            <w:shd w:val="solid" w:color="FFFFFF" w:fill="auto"/>
          </w:tcPr>
          <w:p w14:paraId="4CA96F8D" w14:textId="77777777" w:rsidR="00A10B25" w:rsidRDefault="00A10B25">
            <w:pPr>
              <w:pStyle w:val="TAL"/>
              <w:rPr>
                <w:rFonts w:cs="Arial"/>
                <w:sz w:val="16"/>
                <w:szCs w:val="16"/>
              </w:rPr>
            </w:pPr>
            <w:r>
              <w:rPr>
                <w:sz w:val="16"/>
              </w:rPr>
              <w:t>Update of info and externalDocs fields</w:t>
            </w:r>
          </w:p>
        </w:tc>
        <w:tc>
          <w:tcPr>
            <w:tcW w:w="706" w:type="dxa"/>
            <w:shd w:val="solid" w:color="FFFFFF" w:fill="auto"/>
          </w:tcPr>
          <w:p w14:paraId="1B294C91" w14:textId="77777777" w:rsidR="00A10B25" w:rsidRDefault="00A10B25">
            <w:pPr>
              <w:pStyle w:val="TAC"/>
              <w:rPr>
                <w:rFonts w:cs="Arial"/>
                <w:sz w:val="16"/>
                <w:szCs w:val="16"/>
              </w:rPr>
            </w:pPr>
            <w:r>
              <w:rPr>
                <w:sz w:val="16"/>
                <w:szCs w:val="16"/>
              </w:rPr>
              <w:t>17.9.0</w:t>
            </w:r>
          </w:p>
        </w:tc>
      </w:tr>
      <w:tr w:rsidR="00A10B25" w14:paraId="3790CE2F" w14:textId="77777777">
        <w:tc>
          <w:tcPr>
            <w:tcW w:w="796" w:type="dxa"/>
            <w:shd w:val="solid" w:color="FFFFFF" w:fill="auto"/>
          </w:tcPr>
          <w:p w14:paraId="185461A0"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7831FDDB"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30E4A662" w14:textId="77777777" w:rsidR="00A10B25" w:rsidRDefault="00A10B25">
            <w:pPr>
              <w:pStyle w:val="TAC"/>
              <w:rPr>
                <w:rFonts w:cs="Arial"/>
                <w:sz w:val="16"/>
                <w:szCs w:val="16"/>
              </w:rPr>
            </w:pPr>
            <w:r>
              <w:rPr>
                <w:sz w:val="16"/>
                <w:szCs w:val="16"/>
              </w:rPr>
              <w:t>CP-223176</w:t>
            </w:r>
          </w:p>
        </w:tc>
        <w:tc>
          <w:tcPr>
            <w:tcW w:w="523" w:type="dxa"/>
            <w:shd w:val="solid" w:color="FFFFFF" w:fill="auto"/>
          </w:tcPr>
          <w:p w14:paraId="4ECFBFC3" w14:textId="77777777" w:rsidR="00A10B25" w:rsidRDefault="00A10B25">
            <w:pPr>
              <w:pStyle w:val="TAL"/>
              <w:rPr>
                <w:rFonts w:cs="Arial"/>
                <w:sz w:val="16"/>
                <w:szCs w:val="16"/>
              </w:rPr>
            </w:pPr>
            <w:r>
              <w:rPr>
                <w:rFonts w:cs="Arial"/>
                <w:sz w:val="16"/>
                <w:szCs w:val="16"/>
              </w:rPr>
              <w:t>0585</w:t>
            </w:r>
          </w:p>
        </w:tc>
        <w:tc>
          <w:tcPr>
            <w:tcW w:w="423" w:type="dxa"/>
            <w:shd w:val="solid" w:color="FFFFFF" w:fill="auto"/>
          </w:tcPr>
          <w:p w14:paraId="12FC8498" w14:textId="77777777" w:rsidR="00A10B25" w:rsidRDefault="00A10B25">
            <w:pPr>
              <w:pStyle w:val="TAR"/>
              <w:rPr>
                <w:rFonts w:cs="Arial"/>
                <w:sz w:val="16"/>
                <w:szCs w:val="16"/>
              </w:rPr>
            </w:pPr>
            <w:r>
              <w:rPr>
                <w:sz w:val="16"/>
              </w:rPr>
              <w:t>1</w:t>
            </w:r>
          </w:p>
        </w:tc>
        <w:tc>
          <w:tcPr>
            <w:tcW w:w="423" w:type="dxa"/>
            <w:shd w:val="solid" w:color="FFFFFF" w:fill="auto"/>
          </w:tcPr>
          <w:p w14:paraId="7C776C25" w14:textId="77777777" w:rsidR="00A10B25" w:rsidRDefault="00A10B25">
            <w:pPr>
              <w:pStyle w:val="TAC"/>
              <w:rPr>
                <w:rFonts w:cs="Arial"/>
                <w:sz w:val="16"/>
                <w:szCs w:val="16"/>
              </w:rPr>
            </w:pPr>
            <w:r>
              <w:rPr>
                <w:sz w:val="16"/>
              </w:rPr>
              <w:t>B</w:t>
            </w:r>
          </w:p>
        </w:tc>
        <w:tc>
          <w:tcPr>
            <w:tcW w:w="4899" w:type="dxa"/>
            <w:shd w:val="solid" w:color="FFFFFF" w:fill="auto"/>
          </w:tcPr>
          <w:p w14:paraId="0C7CB8BD" w14:textId="77777777" w:rsidR="00A10B25" w:rsidRDefault="00A10B25">
            <w:pPr>
              <w:pStyle w:val="TAL"/>
              <w:rPr>
                <w:rFonts w:cs="Arial"/>
                <w:sz w:val="16"/>
                <w:szCs w:val="16"/>
              </w:rPr>
            </w:pPr>
            <w:r>
              <w:rPr>
                <w:sz w:val="16"/>
              </w:rPr>
              <w:t>User consent enhancements for NWDAF analytics subscriptions</w:t>
            </w:r>
          </w:p>
        </w:tc>
        <w:tc>
          <w:tcPr>
            <w:tcW w:w="706" w:type="dxa"/>
            <w:shd w:val="solid" w:color="FFFFFF" w:fill="auto"/>
          </w:tcPr>
          <w:p w14:paraId="27C7D05A" w14:textId="77777777" w:rsidR="00A10B25" w:rsidRDefault="00A10B25">
            <w:pPr>
              <w:pStyle w:val="TAC"/>
              <w:rPr>
                <w:rFonts w:cs="Arial"/>
                <w:sz w:val="16"/>
                <w:szCs w:val="16"/>
              </w:rPr>
            </w:pPr>
            <w:r>
              <w:rPr>
                <w:sz w:val="16"/>
                <w:szCs w:val="16"/>
              </w:rPr>
              <w:t>18.0.0</w:t>
            </w:r>
          </w:p>
        </w:tc>
      </w:tr>
      <w:tr w:rsidR="00A10B25" w14:paraId="2258A710" w14:textId="77777777">
        <w:tc>
          <w:tcPr>
            <w:tcW w:w="796" w:type="dxa"/>
            <w:shd w:val="solid" w:color="FFFFFF" w:fill="auto"/>
          </w:tcPr>
          <w:p w14:paraId="4942B17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1E9F44FA"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5F25F260" w14:textId="77777777" w:rsidR="00A10B25" w:rsidRDefault="00A10B25">
            <w:pPr>
              <w:pStyle w:val="TAC"/>
              <w:rPr>
                <w:rFonts w:cs="Arial"/>
                <w:sz w:val="16"/>
                <w:szCs w:val="16"/>
              </w:rPr>
            </w:pPr>
            <w:r>
              <w:rPr>
                <w:sz w:val="16"/>
                <w:szCs w:val="16"/>
              </w:rPr>
              <w:t>CP-223176</w:t>
            </w:r>
          </w:p>
        </w:tc>
        <w:tc>
          <w:tcPr>
            <w:tcW w:w="523" w:type="dxa"/>
            <w:shd w:val="solid" w:color="FFFFFF" w:fill="auto"/>
          </w:tcPr>
          <w:p w14:paraId="4DD0389F" w14:textId="77777777" w:rsidR="00A10B25" w:rsidRDefault="00A10B25">
            <w:pPr>
              <w:pStyle w:val="TAL"/>
              <w:rPr>
                <w:rFonts w:cs="Arial"/>
                <w:sz w:val="16"/>
                <w:szCs w:val="16"/>
              </w:rPr>
            </w:pPr>
            <w:r>
              <w:rPr>
                <w:rFonts w:cs="Arial"/>
                <w:sz w:val="16"/>
                <w:szCs w:val="16"/>
              </w:rPr>
              <w:t>0586</w:t>
            </w:r>
          </w:p>
        </w:tc>
        <w:tc>
          <w:tcPr>
            <w:tcW w:w="423" w:type="dxa"/>
            <w:shd w:val="solid" w:color="FFFFFF" w:fill="auto"/>
          </w:tcPr>
          <w:p w14:paraId="48190D3E" w14:textId="77777777" w:rsidR="00A10B25" w:rsidRDefault="00A10B25">
            <w:pPr>
              <w:pStyle w:val="TAR"/>
              <w:rPr>
                <w:rFonts w:cs="Arial"/>
                <w:sz w:val="16"/>
                <w:szCs w:val="16"/>
              </w:rPr>
            </w:pPr>
            <w:r>
              <w:rPr>
                <w:sz w:val="16"/>
              </w:rPr>
              <w:t>1</w:t>
            </w:r>
          </w:p>
        </w:tc>
        <w:tc>
          <w:tcPr>
            <w:tcW w:w="423" w:type="dxa"/>
            <w:shd w:val="solid" w:color="FFFFFF" w:fill="auto"/>
          </w:tcPr>
          <w:p w14:paraId="041DE96E" w14:textId="77777777" w:rsidR="00A10B25" w:rsidRDefault="00A10B25">
            <w:pPr>
              <w:pStyle w:val="TAC"/>
              <w:rPr>
                <w:rFonts w:cs="Arial"/>
                <w:sz w:val="16"/>
                <w:szCs w:val="16"/>
              </w:rPr>
            </w:pPr>
            <w:r>
              <w:rPr>
                <w:sz w:val="16"/>
              </w:rPr>
              <w:t>B</w:t>
            </w:r>
          </w:p>
        </w:tc>
        <w:tc>
          <w:tcPr>
            <w:tcW w:w="4899" w:type="dxa"/>
            <w:shd w:val="solid" w:color="FFFFFF" w:fill="auto"/>
          </w:tcPr>
          <w:p w14:paraId="0A90D5A4" w14:textId="77777777" w:rsidR="00A10B25" w:rsidRDefault="00A10B25">
            <w:pPr>
              <w:pStyle w:val="TAL"/>
              <w:rPr>
                <w:rFonts w:cs="Arial"/>
                <w:sz w:val="16"/>
                <w:szCs w:val="16"/>
              </w:rPr>
            </w:pPr>
            <w:r>
              <w:rPr>
                <w:sz w:val="16"/>
              </w:rPr>
              <w:t>User consent enhancements for NWDAF analytics info</w:t>
            </w:r>
          </w:p>
        </w:tc>
        <w:tc>
          <w:tcPr>
            <w:tcW w:w="706" w:type="dxa"/>
            <w:shd w:val="solid" w:color="FFFFFF" w:fill="auto"/>
          </w:tcPr>
          <w:p w14:paraId="71609C4A" w14:textId="77777777" w:rsidR="00A10B25" w:rsidRDefault="00A10B25">
            <w:pPr>
              <w:pStyle w:val="TAC"/>
              <w:rPr>
                <w:rFonts w:cs="Arial"/>
                <w:sz w:val="16"/>
                <w:szCs w:val="16"/>
              </w:rPr>
            </w:pPr>
            <w:r>
              <w:rPr>
                <w:sz w:val="16"/>
                <w:szCs w:val="16"/>
              </w:rPr>
              <w:t>18.0.0</w:t>
            </w:r>
          </w:p>
        </w:tc>
      </w:tr>
      <w:tr w:rsidR="00A10B25" w14:paraId="74FFB25B" w14:textId="77777777">
        <w:tc>
          <w:tcPr>
            <w:tcW w:w="796" w:type="dxa"/>
            <w:shd w:val="solid" w:color="FFFFFF" w:fill="auto"/>
          </w:tcPr>
          <w:p w14:paraId="3E0DE51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361B23E9"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4A3D7916" w14:textId="77777777" w:rsidR="00A10B25" w:rsidRDefault="00A10B25">
            <w:pPr>
              <w:pStyle w:val="TAC"/>
              <w:rPr>
                <w:rFonts w:cs="Arial"/>
                <w:sz w:val="16"/>
                <w:szCs w:val="16"/>
              </w:rPr>
            </w:pPr>
            <w:r>
              <w:rPr>
                <w:sz w:val="16"/>
                <w:szCs w:val="16"/>
              </w:rPr>
              <w:t>CP-223176</w:t>
            </w:r>
          </w:p>
        </w:tc>
        <w:tc>
          <w:tcPr>
            <w:tcW w:w="523" w:type="dxa"/>
            <w:shd w:val="solid" w:color="FFFFFF" w:fill="auto"/>
          </w:tcPr>
          <w:p w14:paraId="335B19DC" w14:textId="77777777" w:rsidR="00A10B25" w:rsidRDefault="00A10B25">
            <w:pPr>
              <w:pStyle w:val="TAL"/>
              <w:rPr>
                <w:rFonts w:cs="Arial"/>
                <w:sz w:val="16"/>
                <w:szCs w:val="16"/>
              </w:rPr>
            </w:pPr>
            <w:r>
              <w:rPr>
                <w:rFonts w:cs="Arial"/>
                <w:sz w:val="16"/>
                <w:szCs w:val="16"/>
              </w:rPr>
              <w:t>0588</w:t>
            </w:r>
          </w:p>
        </w:tc>
        <w:tc>
          <w:tcPr>
            <w:tcW w:w="423" w:type="dxa"/>
            <w:shd w:val="solid" w:color="FFFFFF" w:fill="auto"/>
          </w:tcPr>
          <w:p w14:paraId="48FBD0BB" w14:textId="77777777" w:rsidR="00A10B25" w:rsidRDefault="00A10B25">
            <w:pPr>
              <w:pStyle w:val="TAR"/>
              <w:rPr>
                <w:rFonts w:cs="Arial"/>
                <w:sz w:val="16"/>
                <w:szCs w:val="16"/>
              </w:rPr>
            </w:pPr>
            <w:r>
              <w:rPr>
                <w:sz w:val="16"/>
              </w:rPr>
              <w:t>1</w:t>
            </w:r>
          </w:p>
        </w:tc>
        <w:tc>
          <w:tcPr>
            <w:tcW w:w="423" w:type="dxa"/>
            <w:shd w:val="solid" w:color="FFFFFF" w:fill="auto"/>
          </w:tcPr>
          <w:p w14:paraId="7F837E88" w14:textId="77777777" w:rsidR="00A10B25" w:rsidRDefault="00A10B25">
            <w:pPr>
              <w:pStyle w:val="TAC"/>
              <w:rPr>
                <w:rFonts w:cs="Arial"/>
                <w:sz w:val="16"/>
                <w:szCs w:val="16"/>
              </w:rPr>
            </w:pPr>
            <w:r>
              <w:rPr>
                <w:sz w:val="16"/>
              </w:rPr>
              <w:t>B</w:t>
            </w:r>
          </w:p>
        </w:tc>
        <w:tc>
          <w:tcPr>
            <w:tcW w:w="4899" w:type="dxa"/>
            <w:shd w:val="solid" w:color="FFFFFF" w:fill="auto"/>
          </w:tcPr>
          <w:p w14:paraId="729A171F" w14:textId="77777777" w:rsidR="00A10B25" w:rsidRDefault="00A10B25">
            <w:pPr>
              <w:pStyle w:val="TAL"/>
              <w:rPr>
                <w:rFonts w:cs="Arial"/>
                <w:sz w:val="16"/>
                <w:szCs w:val="16"/>
              </w:rPr>
            </w:pPr>
            <w:r>
              <w:rPr>
                <w:sz w:val="16"/>
              </w:rPr>
              <w:t>Analytics subscription termination request</w:t>
            </w:r>
          </w:p>
        </w:tc>
        <w:tc>
          <w:tcPr>
            <w:tcW w:w="706" w:type="dxa"/>
            <w:shd w:val="solid" w:color="FFFFFF" w:fill="auto"/>
          </w:tcPr>
          <w:p w14:paraId="1C75F9DF" w14:textId="77777777" w:rsidR="00A10B25" w:rsidRDefault="00A10B25">
            <w:pPr>
              <w:pStyle w:val="TAC"/>
              <w:rPr>
                <w:rFonts w:cs="Arial"/>
                <w:sz w:val="16"/>
                <w:szCs w:val="16"/>
              </w:rPr>
            </w:pPr>
            <w:r>
              <w:rPr>
                <w:sz w:val="16"/>
                <w:szCs w:val="16"/>
              </w:rPr>
              <w:t>18.0.0</w:t>
            </w:r>
          </w:p>
        </w:tc>
      </w:tr>
      <w:tr w:rsidR="00A10B25" w14:paraId="2376FE81" w14:textId="77777777">
        <w:tc>
          <w:tcPr>
            <w:tcW w:w="796" w:type="dxa"/>
            <w:shd w:val="solid" w:color="FFFFFF" w:fill="auto"/>
          </w:tcPr>
          <w:p w14:paraId="106A3ECE"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56F80E1F"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05429854" w14:textId="77777777" w:rsidR="00A10B25" w:rsidRDefault="00A10B25">
            <w:pPr>
              <w:pStyle w:val="TAC"/>
              <w:rPr>
                <w:rFonts w:cs="Arial"/>
                <w:sz w:val="16"/>
                <w:szCs w:val="16"/>
              </w:rPr>
            </w:pPr>
            <w:r>
              <w:rPr>
                <w:sz w:val="16"/>
                <w:szCs w:val="16"/>
              </w:rPr>
              <w:t>CP-223191</w:t>
            </w:r>
          </w:p>
        </w:tc>
        <w:tc>
          <w:tcPr>
            <w:tcW w:w="523" w:type="dxa"/>
            <w:shd w:val="solid" w:color="FFFFFF" w:fill="auto"/>
          </w:tcPr>
          <w:p w14:paraId="66DA728E" w14:textId="77777777" w:rsidR="00A10B25" w:rsidRDefault="00A10B25">
            <w:pPr>
              <w:pStyle w:val="TAL"/>
              <w:rPr>
                <w:rFonts w:cs="Arial"/>
                <w:sz w:val="16"/>
                <w:szCs w:val="16"/>
              </w:rPr>
            </w:pPr>
            <w:r>
              <w:rPr>
                <w:rFonts w:cs="Arial"/>
                <w:sz w:val="16"/>
                <w:szCs w:val="16"/>
              </w:rPr>
              <w:t>0590</w:t>
            </w:r>
          </w:p>
        </w:tc>
        <w:tc>
          <w:tcPr>
            <w:tcW w:w="423" w:type="dxa"/>
            <w:shd w:val="solid" w:color="FFFFFF" w:fill="auto"/>
          </w:tcPr>
          <w:p w14:paraId="65699996" w14:textId="77777777" w:rsidR="00A10B25" w:rsidRDefault="00A10B25">
            <w:pPr>
              <w:pStyle w:val="TAR"/>
              <w:rPr>
                <w:rFonts w:cs="Arial"/>
                <w:sz w:val="16"/>
                <w:szCs w:val="16"/>
              </w:rPr>
            </w:pPr>
          </w:p>
        </w:tc>
        <w:tc>
          <w:tcPr>
            <w:tcW w:w="423" w:type="dxa"/>
            <w:shd w:val="solid" w:color="FFFFFF" w:fill="auto"/>
          </w:tcPr>
          <w:p w14:paraId="1F35EDD4" w14:textId="77777777" w:rsidR="00A10B25" w:rsidRDefault="00A10B25">
            <w:pPr>
              <w:pStyle w:val="TAC"/>
              <w:rPr>
                <w:rFonts w:cs="Arial"/>
                <w:sz w:val="16"/>
                <w:szCs w:val="16"/>
              </w:rPr>
            </w:pPr>
            <w:r>
              <w:rPr>
                <w:sz w:val="16"/>
              </w:rPr>
              <w:t>F</w:t>
            </w:r>
          </w:p>
        </w:tc>
        <w:tc>
          <w:tcPr>
            <w:tcW w:w="4899" w:type="dxa"/>
            <w:shd w:val="solid" w:color="FFFFFF" w:fill="auto"/>
          </w:tcPr>
          <w:p w14:paraId="72F1ABCA" w14:textId="77777777" w:rsidR="00A10B25" w:rsidRDefault="00A10B25">
            <w:pPr>
              <w:pStyle w:val="TAL"/>
              <w:rPr>
                <w:rFonts w:cs="Arial"/>
                <w:sz w:val="16"/>
                <w:szCs w:val="16"/>
              </w:rPr>
            </w:pPr>
            <w:r>
              <w:rPr>
                <w:sz w:val="16"/>
              </w:rPr>
              <w:t>Adding the mandatory error code 502 Bad Gateway</w:t>
            </w:r>
          </w:p>
        </w:tc>
        <w:tc>
          <w:tcPr>
            <w:tcW w:w="706" w:type="dxa"/>
            <w:shd w:val="solid" w:color="FFFFFF" w:fill="auto"/>
          </w:tcPr>
          <w:p w14:paraId="3C58530D" w14:textId="77777777" w:rsidR="00A10B25" w:rsidRDefault="00A10B25">
            <w:pPr>
              <w:pStyle w:val="TAC"/>
              <w:rPr>
                <w:rFonts w:cs="Arial"/>
                <w:sz w:val="16"/>
                <w:szCs w:val="16"/>
              </w:rPr>
            </w:pPr>
            <w:r>
              <w:rPr>
                <w:sz w:val="16"/>
                <w:szCs w:val="16"/>
              </w:rPr>
              <w:t>18.0.0</w:t>
            </w:r>
          </w:p>
        </w:tc>
      </w:tr>
      <w:tr w:rsidR="00A10B25" w14:paraId="4C06EF82" w14:textId="77777777">
        <w:tc>
          <w:tcPr>
            <w:tcW w:w="796" w:type="dxa"/>
            <w:shd w:val="solid" w:color="FFFFFF" w:fill="auto"/>
          </w:tcPr>
          <w:p w14:paraId="270E5A1B"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6CA37CF9"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56FE3B04" w14:textId="77777777" w:rsidR="00A10B25" w:rsidRDefault="00A10B25">
            <w:pPr>
              <w:pStyle w:val="TAC"/>
              <w:rPr>
                <w:rFonts w:cs="Arial"/>
                <w:sz w:val="16"/>
                <w:szCs w:val="16"/>
              </w:rPr>
            </w:pPr>
            <w:r>
              <w:rPr>
                <w:sz w:val="16"/>
                <w:szCs w:val="16"/>
              </w:rPr>
              <w:t>CP-223176</w:t>
            </w:r>
          </w:p>
        </w:tc>
        <w:tc>
          <w:tcPr>
            <w:tcW w:w="523" w:type="dxa"/>
            <w:shd w:val="solid" w:color="FFFFFF" w:fill="auto"/>
          </w:tcPr>
          <w:p w14:paraId="722AEB48" w14:textId="77777777" w:rsidR="00A10B25" w:rsidRDefault="00A10B25">
            <w:pPr>
              <w:pStyle w:val="TAL"/>
              <w:rPr>
                <w:rFonts w:cs="Arial"/>
                <w:sz w:val="16"/>
                <w:szCs w:val="16"/>
              </w:rPr>
            </w:pPr>
            <w:r>
              <w:rPr>
                <w:rFonts w:cs="Arial"/>
                <w:sz w:val="16"/>
                <w:szCs w:val="16"/>
              </w:rPr>
              <w:t>0605</w:t>
            </w:r>
          </w:p>
        </w:tc>
        <w:tc>
          <w:tcPr>
            <w:tcW w:w="423" w:type="dxa"/>
            <w:shd w:val="solid" w:color="FFFFFF" w:fill="auto"/>
          </w:tcPr>
          <w:p w14:paraId="73911965" w14:textId="77777777" w:rsidR="00A10B25" w:rsidRDefault="00A10B25">
            <w:pPr>
              <w:pStyle w:val="TAR"/>
              <w:rPr>
                <w:rFonts w:cs="Arial"/>
                <w:sz w:val="16"/>
                <w:szCs w:val="16"/>
              </w:rPr>
            </w:pPr>
            <w:r>
              <w:rPr>
                <w:sz w:val="16"/>
              </w:rPr>
              <w:t>1</w:t>
            </w:r>
          </w:p>
        </w:tc>
        <w:tc>
          <w:tcPr>
            <w:tcW w:w="423" w:type="dxa"/>
            <w:shd w:val="solid" w:color="FFFFFF" w:fill="auto"/>
          </w:tcPr>
          <w:p w14:paraId="20883BCB" w14:textId="77777777" w:rsidR="00A10B25" w:rsidRDefault="00A10B25">
            <w:pPr>
              <w:pStyle w:val="TAC"/>
              <w:rPr>
                <w:rFonts w:cs="Arial"/>
                <w:sz w:val="16"/>
                <w:szCs w:val="16"/>
              </w:rPr>
            </w:pPr>
            <w:r>
              <w:rPr>
                <w:sz w:val="16"/>
              </w:rPr>
              <w:t>B</w:t>
            </w:r>
          </w:p>
        </w:tc>
        <w:tc>
          <w:tcPr>
            <w:tcW w:w="4899" w:type="dxa"/>
            <w:shd w:val="solid" w:color="FFFFFF" w:fill="auto"/>
          </w:tcPr>
          <w:p w14:paraId="256A9737" w14:textId="77777777" w:rsidR="00A10B25" w:rsidRDefault="00A10B25">
            <w:pPr>
              <w:pStyle w:val="TAL"/>
              <w:rPr>
                <w:rFonts w:cs="Arial"/>
                <w:sz w:val="16"/>
                <w:szCs w:val="16"/>
              </w:rPr>
            </w:pPr>
            <w:r>
              <w:rPr>
                <w:sz w:val="16"/>
              </w:rPr>
              <w:t>Correction of data type of procInstruct</w:t>
            </w:r>
          </w:p>
        </w:tc>
        <w:tc>
          <w:tcPr>
            <w:tcW w:w="706" w:type="dxa"/>
            <w:shd w:val="solid" w:color="FFFFFF" w:fill="auto"/>
          </w:tcPr>
          <w:p w14:paraId="0537E2DD" w14:textId="77777777" w:rsidR="00A10B25" w:rsidRDefault="00A10B25">
            <w:pPr>
              <w:pStyle w:val="TAC"/>
              <w:rPr>
                <w:rFonts w:cs="Arial"/>
                <w:sz w:val="16"/>
                <w:szCs w:val="16"/>
              </w:rPr>
            </w:pPr>
            <w:r>
              <w:rPr>
                <w:sz w:val="16"/>
                <w:szCs w:val="16"/>
              </w:rPr>
              <w:t>18.0.0</w:t>
            </w:r>
          </w:p>
        </w:tc>
      </w:tr>
      <w:tr w:rsidR="00A10B25" w14:paraId="490A2ABC" w14:textId="77777777">
        <w:tc>
          <w:tcPr>
            <w:tcW w:w="796" w:type="dxa"/>
            <w:shd w:val="solid" w:color="FFFFFF" w:fill="auto"/>
          </w:tcPr>
          <w:p w14:paraId="411F230C"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62904E83"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5520D88C" w14:textId="77777777" w:rsidR="00A10B25" w:rsidRDefault="00A10B25">
            <w:pPr>
              <w:pStyle w:val="TAC"/>
              <w:rPr>
                <w:rFonts w:cs="Arial"/>
                <w:sz w:val="16"/>
                <w:szCs w:val="16"/>
              </w:rPr>
            </w:pPr>
            <w:r>
              <w:rPr>
                <w:sz w:val="16"/>
                <w:szCs w:val="16"/>
              </w:rPr>
              <w:t>CP-223176</w:t>
            </w:r>
          </w:p>
        </w:tc>
        <w:tc>
          <w:tcPr>
            <w:tcW w:w="523" w:type="dxa"/>
            <w:shd w:val="solid" w:color="FFFFFF" w:fill="auto"/>
          </w:tcPr>
          <w:p w14:paraId="68204E58" w14:textId="77777777" w:rsidR="00A10B25" w:rsidRDefault="00A10B25">
            <w:pPr>
              <w:pStyle w:val="TAL"/>
              <w:rPr>
                <w:rFonts w:cs="Arial"/>
                <w:sz w:val="16"/>
                <w:szCs w:val="16"/>
              </w:rPr>
            </w:pPr>
            <w:r>
              <w:rPr>
                <w:rFonts w:cs="Arial"/>
                <w:sz w:val="16"/>
                <w:szCs w:val="16"/>
              </w:rPr>
              <w:t>0606</w:t>
            </w:r>
          </w:p>
        </w:tc>
        <w:tc>
          <w:tcPr>
            <w:tcW w:w="423" w:type="dxa"/>
            <w:shd w:val="solid" w:color="FFFFFF" w:fill="auto"/>
          </w:tcPr>
          <w:p w14:paraId="3A6A7DDB" w14:textId="77777777" w:rsidR="00A10B25" w:rsidRDefault="00A10B25">
            <w:pPr>
              <w:pStyle w:val="TAR"/>
              <w:rPr>
                <w:rFonts w:cs="Arial"/>
                <w:sz w:val="16"/>
                <w:szCs w:val="16"/>
              </w:rPr>
            </w:pPr>
            <w:r>
              <w:rPr>
                <w:sz w:val="16"/>
              </w:rPr>
              <w:t>1</w:t>
            </w:r>
          </w:p>
        </w:tc>
        <w:tc>
          <w:tcPr>
            <w:tcW w:w="423" w:type="dxa"/>
            <w:shd w:val="solid" w:color="FFFFFF" w:fill="auto"/>
          </w:tcPr>
          <w:p w14:paraId="226B0603" w14:textId="77777777" w:rsidR="00A10B25" w:rsidRDefault="00A10B25">
            <w:pPr>
              <w:pStyle w:val="TAC"/>
              <w:rPr>
                <w:rFonts w:cs="Arial"/>
                <w:sz w:val="16"/>
                <w:szCs w:val="16"/>
              </w:rPr>
            </w:pPr>
            <w:r>
              <w:rPr>
                <w:sz w:val="16"/>
              </w:rPr>
              <w:t>F</w:t>
            </w:r>
          </w:p>
        </w:tc>
        <w:tc>
          <w:tcPr>
            <w:tcW w:w="4899" w:type="dxa"/>
            <w:shd w:val="solid" w:color="FFFFFF" w:fill="auto"/>
          </w:tcPr>
          <w:p w14:paraId="7ED2778E" w14:textId="77777777" w:rsidR="00A10B25" w:rsidRDefault="00A10B25">
            <w:pPr>
              <w:pStyle w:val="TAL"/>
              <w:rPr>
                <w:rFonts w:cs="Arial"/>
                <w:sz w:val="16"/>
                <w:szCs w:val="16"/>
              </w:rPr>
            </w:pPr>
            <w:r>
              <w:rPr>
                <w:sz w:val="16"/>
              </w:rPr>
              <w:t>Corrections in ServiceExperienceInfo data type</w:t>
            </w:r>
          </w:p>
        </w:tc>
        <w:tc>
          <w:tcPr>
            <w:tcW w:w="706" w:type="dxa"/>
            <w:shd w:val="solid" w:color="FFFFFF" w:fill="auto"/>
          </w:tcPr>
          <w:p w14:paraId="6B4173F3" w14:textId="77777777" w:rsidR="00A10B25" w:rsidRDefault="00A10B25">
            <w:pPr>
              <w:pStyle w:val="TAC"/>
              <w:rPr>
                <w:rFonts w:cs="Arial"/>
                <w:sz w:val="16"/>
                <w:szCs w:val="16"/>
              </w:rPr>
            </w:pPr>
            <w:r>
              <w:rPr>
                <w:sz w:val="16"/>
                <w:szCs w:val="16"/>
              </w:rPr>
              <w:t>18.0.0</w:t>
            </w:r>
          </w:p>
        </w:tc>
      </w:tr>
      <w:tr w:rsidR="00A10B25" w14:paraId="0565D8F4" w14:textId="77777777">
        <w:tc>
          <w:tcPr>
            <w:tcW w:w="796" w:type="dxa"/>
            <w:shd w:val="solid" w:color="FFFFFF" w:fill="auto"/>
          </w:tcPr>
          <w:p w14:paraId="26165912"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4263DB29"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0BDB82A6" w14:textId="77777777" w:rsidR="00A10B25" w:rsidRDefault="00A10B25">
            <w:pPr>
              <w:pStyle w:val="TAC"/>
              <w:rPr>
                <w:rFonts w:cs="Arial"/>
                <w:sz w:val="16"/>
                <w:szCs w:val="16"/>
              </w:rPr>
            </w:pPr>
            <w:r>
              <w:rPr>
                <w:sz w:val="16"/>
                <w:szCs w:val="16"/>
              </w:rPr>
              <w:t>CP-223176</w:t>
            </w:r>
          </w:p>
        </w:tc>
        <w:tc>
          <w:tcPr>
            <w:tcW w:w="523" w:type="dxa"/>
            <w:shd w:val="solid" w:color="FFFFFF" w:fill="auto"/>
          </w:tcPr>
          <w:p w14:paraId="7F2FCA1B" w14:textId="77777777" w:rsidR="00A10B25" w:rsidRDefault="00A10B25">
            <w:pPr>
              <w:pStyle w:val="TAL"/>
              <w:rPr>
                <w:rFonts w:cs="Arial"/>
                <w:sz w:val="16"/>
                <w:szCs w:val="16"/>
              </w:rPr>
            </w:pPr>
            <w:r>
              <w:rPr>
                <w:rFonts w:cs="Arial"/>
                <w:sz w:val="16"/>
                <w:szCs w:val="16"/>
              </w:rPr>
              <w:t>0611</w:t>
            </w:r>
          </w:p>
        </w:tc>
        <w:tc>
          <w:tcPr>
            <w:tcW w:w="423" w:type="dxa"/>
            <w:shd w:val="solid" w:color="FFFFFF" w:fill="auto"/>
          </w:tcPr>
          <w:p w14:paraId="676969AA" w14:textId="77777777" w:rsidR="00A10B25" w:rsidRDefault="00A10B25">
            <w:pPr>
              <w:pStyle w:val="TAR"/>
              <w:rPr>
                <w:rFonts w:cs="Arial"/>
                <w:sz w:val="16"/>
                <w:szCs w:val="16"/>
              </w:rPr>
            </w:pPr>
            <w:r>
              <w:rPr>
                <w:sz w:val="16"/>
              </w:rPr>
              <w:t>1</w:t>
            </w:r>
          </w:p>
        </w:tc>
        <w:tc>
          <w:tcPr>
            <w:tcW w:w="423" w:type="dxa"/>
            <w:shd w:val="solid" w:color="FFFFFF" w:fill="auto"/>
          </w:tcPr>
          <w:p w14:paraId="52078256" w14:textId="77777777" w:rsidR="00A10B25" w:rsidRDefault="00A10B25">
            <w:pPr>
              <w:pStyle w:val="TAC"/>
              <w:rPr>
                <w:rFonts w:cs="Arial"/>
                <w:sz w:val="16"/>
                <w:szCs w:val="16"/>
              </w:rPr>
            </w:pPr>
            <w:r>
              <w:rPr>
                <w:sz w:val="16"/>
              </w:rPr>
              <w:t>F</w:t>
            </w:r>
          </w:p>
        </w:tc>
        <w:tc>
          <w:tcPr>
            <w:tcW w:w="4899" w:type="dxa"/>
            <w:shd w:val="solid" w:color="FFFFFF" w:fill="auto"/>
          </w:tcPr>
          <w:p w14:paraId="05200672" w14:textId="77777777" w:rsidR="00A10B25" w:rsidRDefault="00A10B25">
            <w:pPr>
              <w:pStyle w:val="TAL"/>
              <w:rPr>
                <w:rFonts w:cs="Arial"/>
                <w:sz w:val="16"/>
                <w:szCs w:val="16"/>
              </w:rPr>
            </w:pPr>
            <w:r>
              <w:rPr>
                <w:sz w:val="16"/>
              </w:rPr>
              <w:t>Corrections to service operation procedures in Nnwdaf_EventsSubscription API</w:t>
            </w:r>
          </w:p>
        </w:tc>
        <w:tc>
          <w:tcPr>
            <w:tcW w:w="706" w:type="dxa"/>
            <w:shd w:val="solid" w:color="FFFFFF" w:fill="auto"/>
          </w:tcPr>
          <w:p w14:paraId="38A3F7CA" w14:textId="77777777" w:rsidR="00A10B25" w:rsidRDefault="00A10B25">
            <w:pPr>
              <w:pStyle w:val="TAC"/>
              <w:rPr>
                <w:rFonts w:cs="Arial"/>
                <w:sz w:val="16"/>
                <w:szCs w:val="16"/>
              </w:rPr>
            </w:pPr>
            <w:r>
              <w:rPr>
                <w:sz w:val="16"/>
                <w:szCs w:val="16"/>
              </w:rPr>
              <w:t>18.0.0</w:t>
            </w:r>
          </w:p>
        </w:tc>
      </w:tr>
      <w:tr w:rsidR="00A10B25" w14:paraId="25062694" w14:textId="77777777">
        <w:tc>
          <w:tcPr>
            <w:tcW w:w="796" w:type="dxa"/>
            <w:shd w:val="solid" w:color="FFFFFF" w:fill="auto"/>
          </w:tcPr>
          <w:p w14:paraId="2F40B094"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5FC2F07C"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5490B344" w14:textId="77777777" w:rsidR="00A10B25" w:rsidRDefault="00A10B25">
            <w:pPr>
              <w:pStyle w:val="TAC"/>
              <w:rPr>
                <w:rFonts w:cs="Arial"/>
                <w:sz w:val="16"/>
                <w:szCs w:val="16"/>
              </w:rPr>
            </w:pPr>
            <w:r>
              <w:rPr>
                <w:sz w:val="16"/>
                <w:szCs w:val="16"/>
              </w:rPr>
              <w:t>CP-223176</w:t>
            </w:r>
          </w:p>
        </w:tc>
        <w:tc>
          <w:tcPr>
            <w:tcW w:w="523" w:type="dxa"/>
            <w:shd w:val="solid" w:color="FFFFFF" w:fill="auto"/>
          </w:tcPr>
          <w:p w14:paraId="4E3A18F6" w14:textId="77777777" w:rsidR="00A10B25" w:rsidRDefault="00A10B25">
            <w:pPr>
              <w:pStyle w:val="TAL"/>
              <w:rPr>
                <w:rFonts w:cs="Arial"/>
                <w:sz w:val="16"/>
                <w:szCs w:val="16"/>
              </w:rPr>
            </w:pPr>
            <w:r>
              <w:rPr>
                <w:rFonts w:cs="Arial"/>
                <w:sz w:val="16"/>
                <w:szCs w:val="16"/>
              </w:rPr>
              <w:t>0612</w:t>
            </w:r>
          </w:p>
        </w:tc>
        <w:tc>
          <w:tcPr>
            <w:tcW w:w="423" w:type="dxa"/>
            <w:shd w:val="solid" w:color="FFFFFF" w:fill="auto"/>
          </w:tcPr>
          <w:p w14:paraId="25DC665E" w14:textId="77777777" w:rsidR="00A10B25" w:rsidRDefault="00A10B25">
            <w:pPr>
              <w:pStyle w:val="TAR"/>
              <w:rPr>
                <w:rFonts w:cs="Arial"/>
                <w:sz w:val="16"/>
                <w:szCs w:val="16"/>
              </w:rPr>
            </w:pPr>
            <w:r>
              <w:rPr>
                <w:sz w:val="16"/>
              </w:rPr>
              <w:t>1</w:t>
            </w:r>
          </w:p>
        </w:tc>
        <w:tc>
          <w:tcPr>
            <w:tcW w:w="423" w:type="dxa"/>
            <w:shd w:val="solid" w:color="FFFFFF" w:fill="auto"/>
          </w:tcPr>
          <w:p w14:paraId="134FE530" w14:textId="77777777" w:rsidR="00A10B25" w:rsidRDefault="00A10B25">
            <w:pPr>
              <w:pStyle w:val="TAC"/>
              <w:rPr>
                <w:rFonts w:cs="Arial"/>
                <w:sz w:val="16"/>
                <w:szCs w:val="16"/>
              </w:rPr>
            </w:pPr>
            <w:r>
              <w:rPr>
                <w:sz w:val="16"/>
              </w:rPr>
              <w:t>F</w:t>
            </w:r>
          </w:p>
        </w:tc>
        <w:tc>
          <w:tcPr>
            <w:tcW w:w="4899" w:type="dxa"/>
            <w:shd w:val="solid" w:color="FFFFFF" w:fill="auto"/>
          </w:tcPr>
          <w:p w14:paraId="7B182F63" w14:textId="77777777" w:rsidR="00A10B25" w:rsidRDefault="00A10B25">
            <w:pPr>
              <w:pStyle w:val="TAL"/>
              <w:rPr>
                <w:rFonts w:cs="Arial"/>
                <w:sz w:val="16"/>
                <w:szCs w:val="16"/>
              </w:rPr>
            </w:pPr>
            <w:r>
              <w:rPr>
                <w:sz w:val="16"/>
              </w:rPr>
              <w:t>Corrections to service operation procedures in Nnwdaf_AnalyticsInfo API</w:t>
            </w:r>
          </w:p>
        </w:tc>
        <w:tc>
          <w:tcPr>
            <w:tcW w:w="706" w:type="dxa"/>
            <w:shd w:val="solid" w:color="FFFFFF" w:fill="auto"/>
          </w:tcPr>
          <w:p w14:paraId="69DED7B5" w14:textId="77777777" w:rsidR="00A10B25" w:rsidRDefault="00A10B25">
            <w:pPr>
              <w:pStyle w:val="TAC"/>
              <w:rPr>
                <w:rFonts w:cs="Arial"/>
                <w:sz w:val="16"/>
                <w:szCs w:val="16"/>
              </w:rPr>
            </w:pPr>
            <w:r>
              <w:rPr>
                <w:sz w:val="16"/>
                <w:szCs w:val="16"/>
              </w:rPr>
              <w:t>18.0.0</w:t>
            </w:r>
          </w:p>
        </w:tc>
      </w:tr>
      <w:tr w:rsidR="00A10B25" w14:paraId="1EF6C809" w14:textId="77777777">
        <w:tc>
          <w:tcPr>
            <w:tcW w:w="796" w:type="dxa"/>
            <w:shd w:val="solid" w:color="FFFFFF" w:fill="auto"/>
          </w:tcPr>
          <w:p w14:paraId="7802BDD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1C3A35FB"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00359350" w14:textId="77777777" w:rsidR="00A10B25" w:rsidRDefault="00A10B25">
            <w:pPr>
              <w:pStyle w:val="TAC"/>
              <w:rPr>
                <w:rFonts w:cs="Arial"/>
                <w:sz w:val="16"/>
                <w:szCs w:val="16"/>
              </w:rPr>
            </w:pPr>
            <w:r>
              <w:rPr>
                <w:sz w:val="16"/>
                <w:szCs w:val="16"/>
              </w:rPr>
              <w:t>CP-223176</w:t>
            </w:r>
          </w:p>
        </w:tc>
        <w:tc>
          <w:tcPr>
            <w:tcW w:w="523" w:type="dxa"/>
            <w:shd w:val="solid" w:color="FFFFFF" w:fill="auto"/>
          </w:tcPr>
          <w:p w14:paraId="22610F39" w14:textId="77777777" w:rsidR="00A10B25" w:rsidRDefault="00A10B25">
            <w:pPr>
              <w:pStyle w:val="TAL"/>
              <w:rPr>
                <w:rFonts w:cs="Arial"/>
                <w:sz w:val="16"/>
                <w:szCs w:val="16"/>
              </w:rPr>
            </w:pPr>
            <w:r>
              <w:rPr>
                <w:rFonts w:cs="Arial"/>
                <w:sz w:val="16"/>
                <w:szCs w:val="16"/>
              </w:rPr>
              <w:t>0618</w:t>
            </w:r>
          </w:p>
        </w:tc>
        <w:tc>
          <w:tcPr>
            <w:tcW w:w="423" w:type="dxa"/>
            <w:shd w:val="solid" w:color="FFFFFF" w:fill="auto"/>
          </w:tcPr>
          <w:p w14:paraId="0091C92A" w14:textId="77777777" w:rsidR="00A10B25" w:rsidRDefault="00A10B25">
            <w:pPr>
              <w:pStyle w:val="TAR"/>
              <w:rPr>
                <w:rFonts w:cs="Arial"/>
                <w:sz w:val="16"/>
                <w:szCs w:val="16"/>
              </w:rPr>
            </w:pPr>
            <w:r>
              <w:rPr>
                <w:sz w:val="16"/>
              </w:rPr>
              <w:t>1</w:t>
            </w:r>
          </w:p>
        </w:tc>
        <w:tc>
          <w:tcPr>
            <w:tcW w:w="423" w:type="dxa"/>
            <w:shd w:val="solid" w:color="FFFFFF" w:fill="auto"/>
          </w:tcPr>
          <w:p w14:paraId="73DF0EBF" w14:textId="77777777" w:rsidR="00A10B25" w:rsidRDefault="00A10B25">
            <w:pPr>
              <w:pStyle w:val="TAC"/>
              <w:rPr>
                <w:rFonts w:cs="Arial"/>
                <w:sz w:val="16"/>
                <w:szCs w:val="16"/>
              </w:rPr>
            </w:pPr>
            <w:r>
              <w:rPr>
                <w:sz w:val="16"/>
              </w:rPr>
              <w:t>F</w:t>
            </w:r>
          </w:p>
        </w:tc>
        <w:tc>
          <w:tcPr>
            <w:tcW w:w="4899" w:type="dxa"/>
            <w:shd w:val="solid" w:color="FFFFFF" w:fill="auto"/>
          </w:tcPr>
          <w:p w14:paraId="4F45A1F5" w14:textId="77777777" w:rsidR="00A10B25" w:rsidRDefault="00A10B25">
            <w:pPr>
              <w:pStyle w:val="TAL"/>
              <w:rPr>
                <w:rFonts w:cs="Arial"/>
                <w:sz w:val="16"/>
                <w:szCs w:val="16"/>
              </w:rPr>
            </w:pPr>
            <w:r>
              <w:rPr>
                <w:sz w:val="16"/>
              </w:rPr>
              <w:t>Correct the presence and add the missing feature of some attributes</w:t>
            </w:r>
          </w:p>
        </w:tc>
        <w:tc>
          <w:tcPr>
            <w:tcW w:w="706" w:type="dxa"/>
            <w:shd w:val="solid" w:color="FFFFFF" w:fill="auto"/>
          </w:tcPr>
          <w:p w14:paraId="3D632106" w14:textId="77777777" w:rsidR="00A10B25" w:rsidRDefault="00A10B25">
            <w:pPr>
              <w:pStyle w:val="TAC"/>
              <w:rPr>
                <w:rFonts w:cs="Arial"/>
                <w:sz w:val="16"/>
                <w:szCs w:val="16"/>
              </w:rPr>
            </w:pPr>
            <w:r>
              <w:rPr>
                <w:sz w:val="16"/>
                <w:szCs w:val="16"/>
              </w:rPr>
              <w:t>18.0.0</w:t>
            </w:r>
          </w:p>
        </w:tc>
      </w:tr>
      <w:tr w:rsidR="00A10B25" w14:paraId="64010227" w14:textId="77777777">
        <w:tc>
          <w:tcPr>
            <w:tcW w:w="796" w:type="dxa"/>
            <w:shd w:val="solid" w:color="FFFFFF" w:fill="auto"/>
          </w:tcPr>
          <w:p w14:paraId="7C64C77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414574BA"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209BE282" w14:textId="77777777" w:rsidR="00A10B25" w:rsidRDefault="00A10B25">
            <w:pPr>
              <w:pStyle w:val="TAC"/>
              <w:rPr>
                <w:rFonts w:cs="Arial"/>
                <w:sz w:val="16"/>
                <w:szCs w:val="16"/>
              </w:rPr>
            </w:pPr>
            <w:r>
              <w:rPr>
                <w:sz w:val="16"/>
                <w:szCs w:val="16"/>
              </w:rPr>
              <w:t>CP-223176</w:t>
            </w:r>
          </w:p>
        </w:tc>
        <w:tc>
          <w:tcPr>
            <w:tcW w:w="523" w:type="dxa"/>
            <w:shd w:val="solid" w:color="FFFFFF" w:fill="auto"/>
          </w:tcPr>
          <w:p w14:paraId="174D4E06" w14:textId="77777777" w:rsidR="00A10B25" w:rsidRDefault="00A10B25">
            <w:pPr>
              <w:pStyle w:val="TAL"/>
              <w:rPr>
                <w:rFonts w:cs="Arial"/>
                <w:sz w:val="16"/>
                <w:szCs w:val="16"/>
              </w:rPr>
            </w:pPr>
            <w:r>
              <w:rPr>
                <w:rFonts w:cs="Arial"/>
                <w:sz w:val="16"/>
                <w:szCs w:val="16"/>
              </w:rPr>
              <w:t>0620</w:t>
            </w:r>
          </w:p>
        </w:tc>
        <w:tc>
          <w:tcPr>
            <w:tcW w:w="423" w:type="dxa"/>
            <w:shd w:val="solid" w:color="FFFFFF" w:fill="auto"/>
          </w:tcPr>
          <w:p w14:paraId="0BB709E2" w14:textId="77777777" w:rsidR="00A10B25" w:rsidRDefault="00A10B25">
            <w:pPr>
              <w:pStyle w:val="TAR"/>
              <w:rPr>
                <w:rFonts w:cs="Arial"/>
                <w:sz w:val="16"/>
                <w:szCs w:val="16"/>
              </w:rPr>
            </w:pPr>
          </w:p>
        </w:tc>
        <w:tc>
          <w:tcPr>
            <w:tcW w:w="423" w:type="dxa"/>
            <w:shd w:val="solid" w:color="FFFFFF" w:fill="auto"/>
          </w:tcPr>
          <w:p w14:paraId="0802E471" w14:textId="77777777" w:rsidR="00A10B25" w:rsidRDefault="00A10B25">
            <w:pPr>
              <w:pStyle w:val="TAC"/>
              <w:rPr>
                <w:rFonts w:cs="Arial"/>
                <w:sz w:val="16"/>
                <w:szCs w:val="16"/>
              </w:rPr>
            </w:pPr>
            <w:r>
              <w:rPr>
                <w:sz w:val="16"/>
              </w:rPr>
              <w:t>B</w:t>
            </w:r>
          </w:p>
        </w:tc>
        <w:tc>
          <w:tcPr>
            <w:tcW w:w="4899" w:type="dxa"/>
            <w:shd w:val="solid" w:color="FFFFFF" w:fill="auto"/>
          </w:tcPr>
          <w:p w14:paraId="72028582" w14:textId="77777777" w:rsidR="00A10B25" w:rsidRDefault="00A10B25">
            <w:pPr>
              <w:pStyle w:val="TAL"/>
              <w:rPr>
                <w:rFonts w:cs="Arial"/>
                <w:sz w:val="16"/>
                <w:szCs w:val="16"/>
              </w:rPr>
            </w:pPr>
            <w:r>
              <w:rPr>
                <w:sz w:val="16"/>
              </w:rPr>
              <w:t>User consent enhancements for NWDAF data management</w:t>
            </w:r>
          </w:p>
        </w:tc>
        <w:tc>
          <w:tcPr>
            <w:tcW w:w="706" w:type="dxa"/>
            <w:shd w:val="solid" w:color="FFFFFF" w:fill="auto"/>
          </w:tcPr>
          <w:p w14:paraId="65C8D0D9" w14:textId="77777777" w:rsidR="00A10B25" w:rsidRDefault="00A10B25">
            <w:pPr>
              <w:pStyle w:val="TAC"/>
              <w:rPr>
                <w:rFonts w:cs="Arial"/>
                <w:sz w:val="16"/>
                <w:szCs w:val="16"/>
              </w:rPr>
            </w:pPr>
            <w:r>
              <w:rPr>
                <w:sz w:val="16"/>
                <w:szCs w:val="16"/>
              </w:rPr>
              <w:t>18.0.0</w:t>
            </w:r>
          </w:p>
        </w:tc>
      </w:tr>
      <w:tr w:rsidR="00A10B25" w14:paraId="09E8AA58" w14:textId="77777777">
        <w:tc>
          <w:tcPr>
            <w:tcW w:w="796" w:type="dxa"/>
            <w:shd w:val="solid" w:color="FFFFFF" w:fill="auto"/>
          </w:tcPr>
          <w:p w14:paraId="15BC6C89" w14:textId="77777777" w:rsidR="00A10B25" w:rsidRDefault="00A10B25">
            <w:pPr>
              <w:pStyle w:val="TAC"/>
              <w:rPr>
                <w:rFonts w:cs="Arial"/>
                <w:sz w:val="16"/>
                <w:szCs w:val="16"/>
              </w:rPr>
            </w:pPr>
            <w:r>
              <w:rPr>
                <w:rFonts w:hint="eastAsia"/>
                <w:sz w:val="16"/>
                <w:szCs w:val="16"/>
                <w:lang w:val="en-US" w:eastAsia="zh-CN"/>
              </w:rPr>
              <w:t>2</w:t>
            </w:r>
            <w:r>
              <w:rPr>
                <w:sz w:val="16"/>
                <w:szCs w:val="16"/>
                <w:lang w:val="en-US" w:eastAsia="zh-CN"/>
              </w:rPr>
              <w:t>022-12</w:t>
            </w:r>
          </w:p>
        </w:tc>
        <w:tc>
          <w:tcPr>
            <w:tcW w:w="828" w:type="dxa"/>
            <w:shd w:val="solid" w:color="FFFFFF" w:fill="auto"/>
          </w:tcPr>
          <w:p w14:paraId="789C797D" w14:textId="77777777" w:rsidR="00A10B25" w:rsidRDefault="00A10B25">
            <w:pPr>
              <w:pStyle w:val="TAC"/>
              <w:rPr>
                <w:rFonts w:cs="Arial"/>
                <w:sz w:val="16"/>
                <w:szCs w:val="16"/>
              </w:rPr>
            </w:pPr>
            <w:r>
              <w:rPr>
                <w:sz w:val="16"/>
                <w:szCs w:val="16"/>
                <w:lang w:val="en-US" w:eastAsia="zh-CN"/>
              </w:rPr>
              <w:t>CT#98e</w:t>
            </w:r>
          </w:p>
        </w:tc>
        <w:tc>
          <w:tcPr>
            <w:tcW w:w="1083" w:type="dxa"/>
            <w:shd w:val="solid" w:color="FFFFFF" w:fill="auto"/>
          </w:tcPr>
          <w:p w14:paraId="25EDB9AE" w14:textId="77777777" w:rsidR="00A10B25" w:rsidRDefault="00A10B25">
            <w:pPr>
              <w:pStyle w:val="TAC"/>
              <w:rPr>
                <w:rFonts w:cs="Arial"/>
                <w:sz w:val="16"/>
                <w:szCs w:val="16"/>
              </w:rPr>
            </w:pPr>
            <w:r>
              <w:rPr>
                <w:sz w:val="16"/>
                <w:szCs w:val="16"/>
              </w:rPr>
              <w:t>CP-223189</w:t>
            </w:r>
          </w:p>
        </w:tc>
        <w:tc>
          <w:tcPr>
            <w:tcW w:w="523" w:type="dxa"/>
            <w:shd w:val="solid" w:color="FFFFFF" w:fill="auto"/>
          </w:tcPr>
          <w:p w14:paraId="2BF9190F" w14:textId="77777777" w:rsidR="00A10B25" w:rsidRDefault="00A10B25">
            <w:pPr>
              <w:pStyle w:val="TAL"/>
              <w:rPr>
                <w:rFonts w:cs="Arial"/>
                <w:sz w:val="16"/>
                <w:szCs w:val="16"/>
              </w:rPr>
            </w:pPr>
            <w:r>
              <w:rPr>
                <w:rFonts w:cs="Arial"/>
                <w:sz w:val="16"/>
                <w:szCs w:val="16"/>
              </w:rPr>
              <w:t>0622</w:t>
            </w:r>
          </w:p>
        </w:tc>
        <w:tc>
          <w:tcPr>
            <w:tcW w:w="423" w:type="dxa"/>
            <w:shd w:val="solid" w:color="FFFFFF" w:fill="auto"/>
          </w:tcPr>
          <w:p w14:paraId="0E432DEB" w14:textId="77777777" w:rsidR="00A10B25" w:rsidRDefault="00A10B25">
            <w:pPr>
              <w:pStyle w:val="TAR"/>
              <w:rPr>
                <w:rFonts w:cs="Arial"/>
                <w:sz w:val="16"/>
                <w:szCs w:val="16"/>
              </w:rPr>
            </w:pPr>
          </w:p>
        </w:tc>
        <w:tc>
          <w:tcPr>
            <w:tcW w:w="423" w:type="dxa"/>
            <w:shd w:val="solid" w:color="FFFFFF" w:fill="auto"/>
          </w:tcPr>
          <w:p w14:paraId="42453F34" w14:textId="77777777" w:rsidR="00A10B25" w:rsidRDefault="00A10B25">
            <w:pPr>
              <w:pStyle w:val="TAC"/>
              <w:rPr>
                <w:rFonts w:cs="Arial"/>
                <w:sz w:val="16"/>
                <w:szCs w:val="16"/>
              </w:rPr>
            </w:pPr>
            <w:r>
              <w:rPr>
                <w:sz w:val="16"/>
              </w:rPr>
              <w:t>F</w:t>
            </w:r>
          </w:p>
        </w:tc>
        <w:tc>
          <w:tcPr>
            <w:tcW w:w="4899" w:type="dxa"/>
            <w:shd w:val="solid" w:color="FFFFFF" w:fill="auto"/>
          </w:tcPr>
          <w:p w14:paraId="75967585" w14:textId="77777777" w:rsidR="00A10B25" w:rsidRDefault="00A10B25">
            <w:pPr>
              <w:pStyle w:val="TAL"/>
              <w:rPr>
                <w:rFonts w:cs="Arial"/>
                <w:sz w:val="16"/>
                <w:szCs w:val="16"/>
              </w:rPr>
            </w:pPr>
            <w:r>
              <w:rPr>
                <w:sz w:val="16"/>
              </w:rPr>
              <w:t>Update of info and externalDocs fields</w:t>
            </w:r>
          </w:p>
        </w:tc>
        <w:tc>
          <w:tcPr>
            <w:tcW w:w="706" w:type="dxa"/>
            <w:shd w:val="solid" w:color="FFFFFF" w:fill="auto"/>
          </w:tcPr>
          <w:p w14:paraId="28276209" w14:textId="77777777" w:rsidR="00A10B25" w:rsidRDefault="00A10B25">
            <w:pPr>
              <w:pStyle w:val="TAC"/>
              <w:rPr>
                <w:rFonts w:cs="Arial"/>
                <w:sz w:val="16"/>
                <w:szCs w:val="16"/>
              </w:rPr>
            </w:pPr>
            <w:r>
              <w:rPr>
                <w:sz w:val="16"/>
                <w:szCs w:val="16"/>
              </w:rPr>
              <w:t>18.0.0</w:t>
            </w:r>
          </w:p>
        </w:tc>
      </w:tr>
      <w:tr w:rsidR="00A10B25" w14:paraId="21647ED6" w14:textId="77777777">
        <w:tc>
          <w:tcPr>
            <w:tcW w:w="796" w:type="dxa"/>
            <w:shd w:val="solid" w:color="FFFFFF" w:fill="auto"/>
          </w:tcPr>
          <w:p w14:paraId="3DDBB8DA"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314F5697"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4BB9BF10" w14:textId="77777777" w:rsidR="00A10B25" w:rsidRDefault="00A10B25">
            <w:pPr>
              <w:pStyle w:val="TAC"/>
              <w:rPr>
                <w:rFonts w:cs="Arial"/>
                <w:sz w:val="16"/>
                <w:szCs w:val="16"/>
              </w:rPr>
            </w:pPr>
            <w:r>
              <w:rPr>
                <w:rFonts w:cs="Arial"/>
                <w:color w:val="000000"/>
                <w:sz w:val="16"/>
                <w:szCs w:val="16"/>
              </w:rPr>
              <w:t>CP-230291</w:t>
            </w:r>
          </w:p>
        </w:tc>
        <w:tc>
          <w:tcPr>
            <w:tcW w:w="523" w:type="dxa"/>
            <w:shd w:val="solid" w:color="FFFFFF" w:fill="auto"/>
          </w:tcPr>
          <w:p w14:paraId="2FE3AB58" w14:textId="77777777" w:rsidR="00A10B25" w:rsidRDefault="00A10B25">
            <w:pPr>
              <w:pStyle w:val="TAL"/>
              <w:rPr>
                <w:rFonts w:cs="Arial"/>
                <w:sz w:val="16"/>
                <w:szCs w:val="16"/>
              </w:rPr>
            </w:pPr>
            <w:r>
              <w:rPr>
                <w:rFonts w:cs="Arial"/>
                <w:color w:val="000000"/>
                <w:sz w:val="16"/>
                <w:szCs w:val="16"/>
              </w:rPr>
              <w:t>0624</w:t>
            </w:r>
          </w:p>
        </w:tc>
        <w:tc>
          <w:tcPr>
            <w:tcW w:w="423" w:type="dxa"/>
            <w:shd w:val="solid" w:color="FFFFFF" w:fill="auto"/>
          </w:tcPr>
          <w:p w14:paraId="4C312356" w14:textId="77777777" w:rsidR="00A10B25" w:rsidRDefault="00A10B25">
            <w:pPr>
              <w:pStyle w:val="TAR"/>
              <w:rPr>
                <w:rFonts w:cs="Arial"/>
                <w:sz w:val="16"/>
                <w:szCs w:val="16"/>
              </w:rPr>
            </w:pPr>
            <w:r>
              <w:rPr>
                <w:rFonts w:cs="Arial"/>
                <w:color w:val="000000"/>
                <w:sz w:val="16"/>
                <w:szCs w:val="16"/>
              </w:rPr>
              <w:t>2</w:t>
            </w:r>
          </w:p>
        </w:tc>
        <w:tc>
          <w:tcPr>
            <w:tcW w:w="423" w:type="dxa"/>
            <w:shd w:val="solid" w:color="FFFFFF" w:fill="auto"/>
          </w:tcPr>
          <w:p w14:paraId="14258851"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7EEB3861" w14:textId="77777777" w:rsidR="00A10B25" w:rsidRDefault="00A10B25">
            <w:pPr>
              <w:pStyle w:val="TAL"/>
              <w:rPr>
                <w:rFonts w:cs="Arial"/>
                <w:sz w:val="16"/>
                <w:szCs w:val="16"/>
              </w:rPr>
            </w:pPr>
            <w:r>
              <w:rPr>
                <w:sz w:val="16"/>
              </w:rPr>
              <w:t>PFD Determination Analytics for Nnwdaf_AnalyticsInfo API</w:t>
            </w:r>
          </w:p>
        </w:tc>
        <w:tc>
          <w:tcPr>
            <w:tcW w:w="706" w:type="dxa"/>
            <w:shd w:val="solid" w:color="FFFFFF" w:fill="auto"/>
          </w:tcPr>
          <w:p w14:paraId="20DEE0D8" w14:textId="77777777" w:rsidR="00A10B25" w:rsidRDefault="00A10B25">
            <w:pPr>
              <w:pStyle w:val="TAC"/>
              <w:rPr>
                <w:rFonts w:cs="Arial"/>
                <w:sz w:val="16"/>
                <w:szCs w:val="16"/>
              </w:rPr>
            </w:pPr>
            <w:r>
              <w:rPr>
                <w:sz w:val="16"/>
                <w:szCs w:val="16"/>
              </w:rPr>
              <w:t>18.1.0</w:t>
            </w:r>
          </w:p>
        </w:tc>
      </w:tr>
      <w:tr w:rsidR="00A10B25" w14:paraId="7B05E0FA" w14:textId="77777777">
        <w:tc>
          <w:tcPr>
            <w:tcW w:w="796" w:type="dxa"/>
            <w:shd w:val="solid" w:color="FFFFFF" w:fill="auto"/>
          </w:tcPr>
          <w:p w14:paraId="27628C58"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0AAED314"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6FE46833"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287E66BD" w14:textId="77777777" w:rsidR="00A10B25" w:rsidRDefault="00A10B25">
            <w:pPr>
              <w:pStyle w:val="TAL"/>
              <w:rPr>
                <w:rFonts w:cs="Arial"/>
                <w:sz w:val="16"/>
                <w:szCs w:val="16"/>
              </w:rPr>
            </w:pPr>
            <w:r>
              <w:rPr>
                <w:rFonts w:cs="Arial"/>
                <w:color w:val="000000"/>
                <w:sz w:val="16"/>
                <w:szCs w:val="16"/>
              </w:rPr>
              <w:t>0625</w:t>
            </w:r>
          </w:p>
        </w:tc>
        <w:tc>
          <w:tcPr>
            <w:tcW w:w="423" w:type="dxa"/>
            <w:shd w:val="solid" w:color="FFFFFF" w:fill="auto"/>
          </w:tcPr>
          <w:p w14:paraId="14381E08" w14:textId="77777777" w:rsidR="00A10B25" w:rsidRDefault="00A10B25">
            <w:pPr>
              <w:pStyle w:val="TAR"/>
              <w:rPr>
                <w:rFonts w:cs="Arial"/>
                <w:sz w:val="16"/>
                <w:szCs w:val="16"/>
              </w:rPr>
            </w:pPr>
          </w:p>
        </w:tc>
        <w:tc>
          <w:tcPr>
            <w:tcW w:w="423" w:type="dxa"/>
            <w:shd w:val="solid" w:color="FFFFFF" w:fill="auto"/>
          </w:tcPr>
          <w:p w14:paraId="47E4C351"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2E25CCEC" w14:textId="77777777" w:rsidR="00A10B25" w:rsidRDefault="00A10B25">
            <w:pPr>
              <w:pStyle w:val="TAL"/>
              <w:rPr>
                <w:rFonts w:cs="Arial"/>
                <w:sz w:val="16"/>
                <w:szCs w:val="16"/>
              </w:rPr>
            </w:pPr>
            <w:r>
              <w:rPr>
                <w:sz w:val="16"/>
              </w:rPr>
              <w:t>Update abbreviations clause and table of NWDAF services</w:t>
            </w:r>
          </w:p>
        </w:tc>
        <w:tc>
          <w:tcPr>
            <w:tcW w:w="706" w:type="dxa"/>
            <w:shd w:val="solid" w:color="FFFFFF" w:fill="auto"/>
          </w:tcPr>
          <w:p w14:paraId="7B33530C" w14:textId="77777777" w:rsidR="00A10B25" w:rsidRDefault="00A10B25">
            <w:pPr>
              <w:pStyle w:val="TAC"/>
              <w:rPr>
                <w:rFonts w:cs="Arial"/>
                <w:sz w:val="16"/>
                <w:szCs w:val="16"/>
              </w:rPr>
            </w:pPr>
            <w:r>
              <w:rPr>
                <w:sz w:val="16"/>
                <w:szCs w:val="16"/>
              </w:rPr>
              <w:t>18.1.0</w:t>
            </w:r>
          </w:p>
        </w:tc>
      </w:tr>
      <w:tr w:rsidR="00A10B25" w14:paraId="22523ECF" w14:textId="77777777">
        <w:tc>
          <w:tcPr>
            <w:tcW w:w="796" w:type="dxa"/>
            <w:shd w:val="solid" w:color="FFFFFF" w:fill="auto"/>
          </w:tcPr>
          <w:p w14:paraId="2B94CD22"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068E6400"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1F9F14E4" w14:textId="77777777" w:rsidR="00A10B25" w:rsidRDefault="00A10B25">
            <w:pPr>
              <w:pStyle w:val="TAC"/>
              <w:rPr>
                <w:rFonts w:cs="Arial"/>
                <w:sz w:val="16"/>
                <w:szCs w:val="16"/>
              </w:rPr>
            </w:pPr>
            <w:r>
              <w:rPr>
                <w:rFonts w:cs="Arial"/>
                <w:color w:val="000000"/>
                <w:sz w:val="16"/>
                <w:szCs w:val="16"/>
              </w:rPr>
              <w:t>CP-230167</w:t>
            </w:r>
          </w:p>
        </w:tc>
        <w:tc>
          <w:tcPr>
            <w:tcW w:w="523" w:type="dxa"/>
            <w:shd w:val="solid" w:color="FFFFFF" w:fill="auto"/>
          </w:tcPr>
          <w:p w14:paraId="34F12DD8" w14:textId="77777777" w:rsidR="00A10B25" w:rsidRDefault="00A10B25">
            <w:pPr>
              <w:pStyle w:val="TAL"/>
              <w:rPr>
                <w:rFonts w:cs="Arial"/>
                <w:sz w:val="16"/>
                <w:szCs w:val="16"/>
              </w:rPr>
            </w:pPr>
            <w:r>
              <w:rPr>
                <w:rFonts w:cs="Arial"/>
                <w:color w:val="000000"/>
                <w:sz w:val="16"/>
                <w:szCs w:val="16"/>
              </w:rPr>
              <w:t>0632</w:t>
            </w:r>
          </w:p>
        </w:tc>
        <w:tc>
          <w:tcPr>
            <w:tcW w:w="423" w:type="dxa"/>
            <w:shd w:val="solid" w:color="FFFFFF" w:fill="auto"/>
          </w:tcPr>
          <w:p w14:paraId="23788818"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6209C547"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2BE2165A" w14:textId="77777777" w:rsidR="00A10B25" w:rsidRDefault="00A10B25">
            <w:pPr>
              <w:pStyle w:val="TAL"/>
              <w:rPr>
                <w:rFonts w:cs="Arial"/>
                <w:sz w:val="16"/>
                <w:szCs w:val="16"/>
              </w:rPr>
            </w:pPr>
            <w:r>
              <w:rPr>
                <w:sz w:val="16"/>
              </w:rPr>
              <w:t>OAuth2 scopes in Nnwdaf_AnalyticsInfo API</w:t>
            </w:r>
          </w:p>
        </w:tc>
        <w:tc>
          <w:tcPr>
            <w:tcW w:w="706" w:type="dxa"/>
            <w:shd w:val="solid" w:color="FFFFFF" w:fill="auto"/>
          </w:tcPr>
          <w:p w14:paraId="1B804135" w14:textId="77777777" w:rsidR="00A10B25" w:rsidRDefault="00A10B25">
            <w:pPr>
              <w:pStyle w:val="TAC"/>
              <w:rPr>
                <w:rFonts w:cs="Arial"/>
                <w:sz w:val="16"/>
                <w:szCs w:val="16"/>
              </w:rPr>
            </w:pPr>
            <w:r>
              <w:rPr>
                <w:sz w:val="16"/>
                <w:szCs w:val="16"/>
              </w:rPr>
              <w:t>18.1.0</w:t>
            </w:r>
          </w:p>
        </w:tc>
      </w:tr>
      <w:tr w:rsidR="00A10B25" w14:paraId="131C4E72" w14:textId="77777777">
        <w:tc>
          <w:tcPr>
            <w:tcW w:w="796" w:type="dxa"/>
            <w:shd w:val="solid" w:color="FFFFFF" w:fill="auto"/>
          </w:tcPr>
          <w:p w14:paraId="484059A6"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67BC15F6"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35A36458" w14:textId="77777777" w:rsidR="00A10B25" w:rsidRDefault="00A10B25">
            <w:pPr>
              <w:pStyle w:val="TAC"/>
              <w:rPr>
                <w:rFonts w:cs="Arial"/>
                <w:sz w:val="16"/>
                <w:szCs w:val="16"/>
              </w:rPr>
            </w:pPr>
            <w:r>
              <w:rPr>
                <w:rFonts w:cs="Arial"/>
                <w:color w:val="000000"/>
                <w:sz w:val="16"/>
                <w:szCs w:val="16"/>
              </w:rPr>
              <w:t>CP-230167</w:t>
            </w:r>
          </w:p>
        </w:tc>
        <w:tc>
          <w:tcPr>
            <w:tcW w:w="523" w:type="dxa"/>
            <w:shd w:val="solid" w:color="FFFFFF" w:fill="auto"/>
          </w:tcPr>
          <w:p w14:paraId="584D65F9" w14:textId="77777777" w:rsidR="00A10B25" w:rsidRDefault="00A10B25">
            <w:pPr>
              <w:pStyle w:val="TAL"/>
              <w:rPr>
                <w:rFonts w:cs="Arial"/>
                <w:sz w:val="16"/>
                <w:szCs w:val="16"/>
              </w:rPr>
            </w:pPr>
            <w:r>
              <w:rPr>
                <w:rFonts w:cs="Arial"/>
                <w:color w:val="000000"/>
                <w:sz w:val="16"/>
                <w:szCs w:val="16"/>
              </w:rPr>
              <w:t>0633</w:t>
            </w:r>
          </w:p>
        </w:tc>
        <w:tc>
          <w:tcPr>
            <w:tcW w:w="423" w:type="dxa"/>
            <w:shd w:val="solid" w:color="FFFFFF" w:fill="auto"/>
          </w:tcPr>
          <w:p w14:paraId="2C4DF1C7"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45411D7C"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E14EEBE" w14:textId="77777777" w:rsidR="00A10B25" w:rsidRDefault="00A10B25">
            <w:pPr>
              <w:pStyle w:val="TAL"/>
              <w:rPr>
                <w:rFonts w:cs="Arial"/>
                <w:sz w:val="16"/>
                <w:szCs w:val="16"/>
              </w:rPr>
            </w:pPr>
            <w:r>
              <w:rPr>
                <w:sz w:val="16"/>
              </w:rPr>
              <w:t>OAuth2 scopes in Nnwdaf_EventsSubscription API</w:t>
            </w:r>
          </w:p>
        </w:tc>
        <w:tc>
          <w:tcPr>
            <w:tcW w:w="706" w:type="dxa"/>
            <w:shd w:val="solid" w:color="FFFFFF" w:fill="auto"/>
          </w:tcPr>
          <w:p w14:paraId="3417E0EA" w14:textId="77777777" w:rsidR="00A10B25" w:rsidRDefault="00A10B25">
            <w:pPr>
              <w:pStyle w:val="TAC"/>
              <w:rPr>
                <w:rFonts w:cs="Arial"/>
                <w:sz w:val="16"/>
                <w:szCs w:val="16"/>
              </w:rPr>
            </w:pPr>
            <w:r>
              <w:rPr>
                <w:sz w:val="16"/>
                <w:szCs w:val="16"/>
              </w:rPr>
              <w:t>18.1.0</w:t>
            </w:r>
          </w:p>
        </w:tc>
      </w:tr>
      <w:tr w:rsidR="00A10B25" w14:paraId="3A41AFDC" w14:textId="77777777">
        <w:tc>
          <w:tcPr>
            <w:tcW w:w="796" w:type="dxa"/>
            <w:shd w:val="solid" w:color="FFFFFF" w:fill="auto"/>
          </w:tcPr>
          <w:p w14:paraId="3FFA324C"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7C686100"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4B5E4392"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7A531A91" w14:textId="77777777" w:rsidR="00A10B25" w:rsidRDefault="00A10B25">
            <w:pPr>
              <w:pStyle w:val="TAL"/>
              <w:rPr>
                <w:rFonts w:cs="Arial"/>
                <w:sz w:val="16"/>
                <w:szCs w:val="16"/>
              </w:rPr>
            </w:pPr>
            <w:r>
              <w:rPr>
                <w:rFonts w:cs="Arial"/>
                <w:color w:val="000000"/>
                <w:sz w:val="16"/>
                <w:szCs w:val="16"/>
              </w:rPr>
              <w:t>0635</w:t>
            </w:r>
          </w:p>
        </w:tc>
        <w:tc>
          <w:tcPr>
            <w:tcW w:w="423" w:type="dxa"/>
            <w:shd w:val="solid" w:color="FFFFFF" w:fill="auto"/>
          </w:tcPr>
          <w:p w14:paraId="612F2768"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6907AF00"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66D17441" w14:textId="77777777" w:rsidR="00A10B25" w:rsidRDefault="00A10B25">
            <w:pPr>
              <w:pStyle w:val="TAL"/>
              <w:rPr>
                <w:rFonts w:cs="Arial"/>
                <w:sz w:val="16"/>
                <w:szCs w:val="16"/>
              </w:rPr>
            </w:pPr>
            <w:r>
              <w:rPr>
                <w:sz w:val="16"/>
              </w:rPr>
              <w:t>Corrections on offsetPeriod</w:t>
            </w:r>
          </w:p>
        </w:tc>
        <w:tc>
          <w:tcPr>
            <w:tcW w:w="706" w:type="dxa"/>
            <w:shd w:val="solid" w:color="FFFFFF" w:fill="auto"/>
          </w:tcPr>
          <w:p w14:paraId="0C65D8FA" w14:textId="77777777" w:rsidR="00A10B25" w:rsidRDefault="00A10B25">
            <w:pPr>
              <w:pStyle w:val="TAC"/>
              <w:rPr>
                <w:rFonts w:cs="Arial"/>
                <w:sz w:val="16"/>
                <w:szCs w:val="16"/>
              </w:rPr>
            </w:pPr>
            <w:r>
              <w:rPr>
                <w:sz w:val="16"/>
                <w:szCs w:val="16"/>
              </w:rPr>
              <w:t>18.1.0</w:t>
            </w:r>
          </w:p>
        </w:tc>
      </w:tr>
      <w:tr w:rsidR="00A10B25" w14:paraId="113345D6" w14:textId="77777777">
        <w:tc>
          <w:tcPr>
            <w:tcW w:w="796" w:type="dxa"/>
            <w:shd w:val="solid" w:color="FFFFFF" w:fill="auto"/>
          </w:tcPr>
          <w:p w14:paraId="050457E1"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12ABF4C2"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69D97BC8"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576EA888" w14:textId="77777777" w:rsidR="00A10B25" w:rsidRDefault="00A10B25">
            <w:pPr>
              <w:pStyle w:val="TAL"/>
              <w:rPr>
                <w:rFonts w:cs="Arial"/>
                <w:sz w:val="16"/>
                <w:szCs w:val="16"/>
              </w:rPr>
            </w:pPr>
            <w:r>
              <w:rPr>
                <w:rFonts w:cs="Arial"/>
                <w:color w:val="000000"/>
                <w:sz w:val="16"/>
                <w:szCs w:val="16"/>
              </w:rPr>
              <w:t>0637</w:t>
            </w:r>
          </w:p>
        </w:tc>
        <w:tc>
          <w:tcPr>
            <w:tcW w:w="423" w:type="dxa"/>
            <w:shd w:val="solid" w:color="FFFFFF" w:fill="auto"/>
          </w:tcPr>
          <w:p w14:paraId="4B44536E"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17417DA1"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67D34B9" w14:textId="77777777" w:rsidR="00A10B25" w:rsidRDefault="00A10B25">
            <w:pPr>
              <w:pStyle w:val="TAL"/>
              <w:rPr>
                <w:rFonts w:cs="Arial"/>
                <w:sz w:val="16"/>
                <w:szCs w:val="16"/>
              </w:rPr>
            </w:pPr>
            <w:r>
              <w:rPr>
                <w:sz w:val="16"/>
              </w:rPr>
              <w:t>Corrections on list of analytics subsets in Network Performance Analytics</w:t>
            </w:r>
          </w:p>
        </w:tc>
        <w:tc>
          <w:tcPr>
            <w:tcW w:w="706" w:type="dxa"/>
            <w:shd w:val="solid" w:color="FFFFFF" w:fill="auto"/>
          </w:tcPr>
          <w:p w14:paraId="4C5C6FA1" w14:textId="77777777" w:rsidR="00A10B25" w:rsidRDefault="00A10B25">
            <w:pPr>
              <w:pStyle w:val="TAC"/>
              <w:rPr>
                <w:rFonts w:cs="Arial"/>
                <w:sz w:val="16"/>
                <w:szCs w:val="16"/>
              </w:rPr>
            </w:pPr>
            <w:r>
              <w:rPr>
                <w:sz w:val="16"/>
                <w:szCs w:val="16"/>
              </w:rPr>
              <w:t>18.1.0</w:t>
            </w:r>
          </w:p>
        </w:tc>
      </w:tr>
      <w:tr w:rsidR="00A10B25" w14:paraId="535BFAC6" w14:textId="77777777">
        <w:tc>
          <w:tcPr>
            <w:tcW w:w="796" w:type="dxa"/>
            <w:shd w:val="solid" w:color="FFFFFF" w:fill="auto"/>
          </w:tcPr>
          <w:p w14:paraId="770AEE1E"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795DEAC2"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23040A0B"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6D01FB52" w14:textId="77777777" w:rsidR="00A10B25" w:rsidRDefault="00A10B25">
            <w:pPr>
              <w:pStyle w:val="TAL"/>
              <w:rPr>
                <w:rFonts w:cs="Arial"/>
                <w:sz w:val="16"/>
                <w:szCs w:val="16"/>
              </w:rPr>
            </w:pPr>
            <w:r>
              <w:rPr>
                <w:rFonts w:cs="Arial"/>
                <w:color w:val="000000"/>
                <w:sz w:val="16"/>
                <w:szCs w:val="16"/>
              </w:rPr>
              <w:t>0638</w:t>
            </w:r>
          </w:p>
        </w:tc>
        <w:tc>
          <w:tcPr>
            <w:tcW w:w="423" w:type="dxa"/>
            <w:shd w:val="solid" w:color="FFFFFF" w:fill="auto"/>
          </w:tcPr>
          <w:p w14:paraId="001362E4"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02C5801A"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DD00C8F" w14:textId="77777777" w:rsidR="00A10B25" w:rsidRDefault="00A10B25">
            <w:pPr>
              <w:pStyle w:val="TAL"/>
              <w:rPr>
                <w:rFonts w:cs="Arial"/>
                <w:sz w:val="16"/>
                <w:szCs w:val="16"/>
              </w:rPr>
            </w:pPr>
            <w:r>
              <w:rPr>
                <w:sz w:val="16"/>
              </w:rPr>
              <w:t>Updates on analytics target period subset in Network Performance Analytics</w:t>
            </w:r>
          </w:p>
        </w:tc>
        <w:tc>
          <w:tcPr>
            <w:tcW w:w="706" w:type="dxa"/>
            <w:shd w:val="solid" w:color="FFFFFF" w:fill="auto"/>
          </w:tcPr>
          <w:p w14:paraId="617EAA66" w14:textId="77777777" w:rsidR="00A10B25" w:rsidRDefault="00A10B25">
            <w:pPr>
              <w:pStyle w:val="TAC"/>
              <w:rPr>
                <w:rFonts w:cs="Arial"/>
                <w:sz w:val="16"/>
                <w:szCs w:val="16"/>
              </w:rPr>
            </w:pPr>
            <w:r>
              <w:rPr>
                <w:sz w:val="16"/>
                <w:szCs w:val="16"/>
              </w:rPr>
              <w:t>18.1.0</w:t>
            </w:r>
          </w:p>
        </w:tc>
      </w:tr>
      <w:tr w:rsidR="00A10B25" w14:paraId="57314B50" w14:textId="77777777">
        <w:tc>
          <w:tcPr>
            <w:tcW w:w="796" w:type="dxa"/>
            <w:shd w:val="solid" w:color="FFFFFF" w:fill="auto"/>
          </w:tcPr>
          <w:p w14:paraId="0AB0511B"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29241DC0"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69961747" w14:textId="77777777" w:rsidR="00A10B25" w:rsidRDefault="00A10B25">
            <w:pPr>
              <w:pStyle w:val="TAC"/>
              <w:rPr>
                <w:rFonts w:cs="Arial"/>
                <w:sz w:val="16"/>
                <w:szCs w:val="16"/>
              </w:rPr>
            </w:pPr>
            <w:r>
              <w:rPr>
                <w:rFonts w:cs="Arial"/>
                <w:color w:val="000000"/>
                <w:sz w:val="16"/>
                <w:szCs w:val="16"/>
              </w:rPr>
              <w:t>CP-230166</w:t>
            </w:r>
          </w:p>
        </w:tc>
        <w:tc>
          <w:tcPr>
            <w:tcW w:w="523" w:type="dxa"/>
            <w:shd w:val="solid" w:color="FFFFFF" w:fill="auto"/>
          </w:tcPr>
          <w:p w14:paraId="3E07F867" w14:textId="77777777" w:rsidR="00A10B25" w:rsidRDefault="00A10B25">
            <w:pPr>
              <w:pStyle w:val="TAL"/>
              <w:rPr>
                <w:rFonts w:cs="Arial"/>
                <w:sz w:val="16"/>
                <w:szCs w:val="16"/>
              </w:rPr>
            </w:pPr>
            <w:r>
              <w:rPr>
                <w:rFonts w:cs="Arial"/>
                <w:color w:val="000000"/>
                <w:sz w:val="16"/>
                <w:szCs w:val="16"/>
              </w:rPr>
              <w:t>0639</w:t>
            </w:r>
          </w:p>
        </w:tc>
        <w:tc>
          <w:tcPr>
            <w:tcW w:w="423" w:type="dxa"/>
            <w:shd w:val="solid" w:color="FFFFFF" w:fill="auto"/>
          </w:tcPr>
          <w:p w14:paraId="52D159B0"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446A9FB6"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97DDCBD" w14:textId="77777777" w:rsidR="00A10B25" w:rsidRDefault="00A10B25">
            <w:pPr>
              <w:pStyle w:val="TAL"/>
              <w:rPr>
                <w:rFonts w:cs="Arial"/>
                <w:sz w:val="16"/>
                <w:szCs w:val="16"/>
              </w:rPr>
            </w:pPr>
            <w:r>
              <w:rPr>
                <w:sz w:val="16"/>
              </w:rPr>
              <w:t>Correction of the description fields in enumerations</w:t>
            </w:r>
          </w:p>
        </w:tc>
        <w:tc>
          <w:tcPr>
            <w:tcW w:w="706" w:type="dxa"/>
            <w:shd w:val="solid" w:color="FFFFFF" w:fill="auto"/>
          </w:tcPr>
          <w:p w14:paraId="7C8A0D68" w14:textId="77777777" w:rsidR="00A10B25" w:rsidRDefault="00A10B25">
            <w:pPr>
              <w:pStyle w:val="TAC"/>
              <w:rPr>
                <w:rFonts w:cs="Arial"/>
                <w:sz w:val="16"/>
                <w:szCs w:val="16"/>
              </w:rPr>
            </w:pPr>
            <w:r>
              <w:rPr>
                <w:sz w:val="16"/>
                <w:szCs w:val="16"/>
              </w:rPr>
              <w:t>18.1.0</w:t>
            </w:r>
          </w:p>
        </w:tc>
      </w:tr>
      <w:tr w:rsidR="00A10B25" w14:paraId="61F970EE" w14:textId="77777777">
        <w:tc>
          <w:tcPr>
            <w:tcW w:w="796" w:type="dxa"/>
            <w:shd w:val="solid" w:color="FFFFFF" w:fill="auto"/>
          </w:tcPr>
          <w:p w14:paraId="192311B5"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716B17D4"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347E205E" w14:textId="77777777" w:rsidR="00A10B25" w:rsidRDefault="00A10B25">
            <w:pPr>
              <w:pStyle w:val="TAC"/>
              <w:rPr>
                <w:rFonts w:cs="Arial"/>
                <w:sz w:val="16"/>
                <w:szCs w:val="16"/>
              </w:rPr>
            </w:pPr>
            <w:r>
              <w:rPr>
                <w:rFonts w:cs="Arial"/>
                <w:color w:val="000000"/>
                <w:sz w:val="16"/>
                <w:szCs w:val="16"/>
              </w:rPr>
              <w:t>CP-230145</w:t>
            </w:r>
          </w:p>
        </w:tc>
        <w:tc>
          <w:tcPr>
            <w:tcW w:w="523" w:type="dxa"/>
            <w:shd w:val="solid" w:color="FFFFFF" w:fill="auto"/>
          </w:tcPr>
          <w:p w14:paraId="65AC95D4" w14:textId="77777777" w:rsidR="00A10B25" w:rsidRDefault="00A10B25">
            <w:pPr>
              <w:pStyle w:val="TAL"/>
              <w:rPr>
                <w:rFonts w:cs="Arial"/>
                <w:sz w:val="16"/>
                <w:szCs w:val="16"/>
              </w:rPr>
            </w:pPr>
            <w:r>
              <w:rPr>
                <w:rFonts w:cs="Arial"/>
                <w:color w:val="000000"/>
                <w:sz w:val="16"/>
                <w:szCs w:val="16"/>
              </w:rPr>
              <w:t>0641</w:t>
            </w:r>
          </w:p>
        </w:tc>
        <w:tc>
          <w:tcPr>
            <w:tcW w:w="423" w:type="dxa"/>
            <w:shd w:val="solid" w:color="FFFFFF" w:fill="auto"/>
          </w:tcPr>
          <w:p w14:paraId="28FCE47F" w14:textId="77777777" w:rsidR="00A10B25" w:rsidRDefault="00A10B25">
            <w:pPr>
              <w:pStyle w:val="TAR"/>
              <w:rPr>
                <w:rFonts w:cs="Arial"/>
                <w:sz w:val="16"/>
                <w:szCs w:val="16"/>
              </w:rPr>
            </w:pPr>
          </w:p>
        </w:tc>
        <w:tc>
          <w:tcPr>
            <w:tcW w:w="423" w:type="dxa"/>
            <w:shd w:val="solid" w:color="FFFFFF" w:fill="auto"/>
          </w:tcPr>
          <w:p w14:paraId="08D6A6FE"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2DD1235C" w14:textId="77777777" w:rsidR="00A10B25" w:rsidRDefault="00A10B25">
            <w:pPr>
              <w:pStyle w:val="TAL"/>
              <w:rPr>
                <w:rFonts w:cs="Arial"/>
                <w:sz w:val="16"/>
                <w:szCs w:val="16"/>
              </w:rPr>
            </w:pPr>
            <w:r>
              <w:rPr>
                <w:sz w:val="16"/>
              </w:rPr>
              <w:t>Correction to DnPerformanceReq for Nnwdaf_AnalyticsInfo API</w:t>
            </w:r>
          </w:p>
        </w:tc>
        <w:tc>
          <w:tcPr>
            <w:tcW w:w="706" w:type="dxa"/>
            <w:shd w:val="solid" w:color="FFFFFF" w:fill="auto"/>
          </w:tcPr>
          <w:p w14:paraId="4B464608" w14:textId="77777777" w:rsidR="00A10B25" w:rsidRDefault="00A10B25">
            <w:pPr>
              <w:pStyle w:val="TAC"/>
              <w:rPr>
                <w:rFonts w:cs="Arial"/>
                <w:sz w:val="16"/>
                <w:szCs w:val="16"/>
              </w:rPr>
            </w:pPr>
            <w:r>
              <w:rPr>
                <w:sz w:val="16"/>
                <w:szCs w:val="16"/>
              </w:rPr>
              <w:t>18.1.0</w:t>
            </w:r>
          </w:p>
        </w:tc>
      </w:tr>
      <w:tr w:rsidR="00A10B25" w14:paraId="28CEE99B" w14:textId="77777777">
        <w:tc>
          <w:tcPr>
            <w:tcW w:w="796" w:type="dxa"/>
            <w:shd w:val="solid" w:color="FFFFFF" w:fill="auto"/>
          </w:tcPr>
          <w:p w14:paraId="396E3400"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53CDC029"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1751CEC5" w14:textId="77777777" w:rsidR="00A10B25" w:rsidRDefault="00A10B25">
            <w:pPr>
              <w:pStyle w:val="TAC"/>
              <w:rPr>
                <w:rFonts w:cs="Arial"/>
                <w:sz w:val="16"/>
                <w:szCs w:val="16"/>
              </w:rPr>
            </w:pPr>
            <w:r>
              <w:rPr>
                <w:rFonts w:cs="Arial"/>
                <w:color w:val="000000"/>
                <w:sz w:val="16"/>
                <w:szCs w:val="16"/>
              </w:rPr>
              <w:t>CP-230145</w:t>
            </w:r>
          </w:p>
        </w:tc>
        <w:tc>
          <w:tcPr>
            <w:tcW w:w="523" w:type="dxa"/>
            <w:shd w:val="solid" w:color="FFFFFF" w:fill="auto"/>
          </w:tcPr>
          <w:p w14:paraId="3876284B" w14:textId="77777777" w:rsidR="00A10B25" w:rsidRDefault="00A10B25">
            <w:pPr>
              <w:pStyle w:val="TAL"/>
              <w:rPr>
                <w:rFonts w:cs="Arial"/>
                <w:sz w:val="16"/>
                <w:szCs w:val="16"/>
              </w:rPr>
            </w:pPr>
            <w:r>
              <w:rPr>
                <w:rFonts w:cs="Arial"/>
                <w:color w:val="000000"/>
                <w:sz w:val="16"/>
                <w:szCs w:val="16"/>
              </w:rPr>
              <w:t>0643</w:t>
            </w:r>
          </w:p>
        </w:tc>
        <w:tc>
          <w:tcPr>
            <w:tcW w:w="423" w:type="dxa"/>
            <w:shd w:val="solid" w:color="FFFFFF" w:fill="auto"/>
          </w:tcPr>
          <w:p w14:paraId="27F49F16"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6E87E0A9"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6DC2B325" w14:textId="77777777" w:rsidR="00A10B25" w:rsidRDefault="00A10B25">
            <w:pPr>
              <w:pStyle w:val="TAL"/>
              <w:rPr>
                <w:rFonts w:cs="Arial"/>
                <w:sz w:val="16"/>
                <w:szCs w:val="16"/>
              </w:rPr>
            </w:pPr>
            <w:r>
              <w:rPr>
                <w:sz w:val="16"/>
              </w:rPr>
              <w:t>Corrections related to ServiceExperienceExt</w:t>
            </w:r>
          </w:p>
        </w:tc>
        <w:tc>
          <w:tcPr>
            <w:tcW w:w="706" w:type="dxa"/>
            <w:shd w:val="solid" w:color="FFFFFF" w:fill="auto"/>
          </w:tcPr>
          <w:p w14:paraId="615F871A" w14:textId="77777777" w:rsidR="00A10B25" w:rsidRDefault="00A10B25">
            <w:pPr>
              <w:pStyle w:val="TAC"/>
              <w:rPr>
                <w:rFonts w:cs="Arial"/>
                <w:sz w:val="16"/>
                <w:szCs w:val="16"/>
              </w:rPr>
            </w:pPr>
            <w:r>
              <w:rPr>
                <w:sz w:val="16"/>
                <w:szCs w:val="16"/>
              </w:rPr>
              <w:t>18.1.0</w:t>
            </w:r>
          </w:p>
        </w:tc>
      </w:tr>
      <w:tr w:rsidR="00A10B25" w14:paraId="29C5D6EE" w14:textId="77777777">
        <w:tc>
          <w:tcPr>
            <w:tcW w:w="796" w:type="dxa"/>
            <w:shd w:val="solid" w:color="FFFFFF" w:fill="auto"/>
          </w:tcPr>
          <w:p w14:paraId="24E4AE23"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73F92B7C"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39062BC8" w14:textId="77777777" w:rsidR="00A10B25" w:rsidRDefault="00A10B25">
            <w:pPr>
              <w:pStyle w:val="TAC"/>
              <w:rPr>
                <w:rFonts w:cs="Arial"/>
                <w:sz w:val="16"/>
                <w:szCs w:val="16"/>
              </w:rPr>
            </w:pPr>
            <w:r>
              <w:rPr>
                <w:rFonts w:cs="Arial"/>
                <w:color w:val="000000"/>
                <w:sz w:val="16"/>
                <w:szCs w:val="16"/>
              </w:rPr>
              <w:t>CP-230145</w:t>
            </w:r>
          </w:p>
        </w:tc>
        <w:tc>
          <w:tcPr>
            <w:tcW w:w="523" w:type="dxa"/>
            <w:shd w:val="solid" w:color="FFFFFF" w:fill="auto"/>
          </w:tcPr>
          <w:p w14:paraId="3CCA7BB0" w14:textId="77777777" w:rsidR="00A10B25" w:rsidRDefault="00A10B25">
            <w:pPr>
              <w:pStyle w:val="TAL"/>
              <w:rPr>
                <w:rFonts w:cs="Arial"/>
                <w:sz w:val="16"/>
                <w:szCs w:val="16"/>
              </w:rPr>
            </w:pPr>
            <w:r>
              <w:rPr>
                <w:rFonts w:cs="Arial"/>
                <w:color w:val="000000"/>
                <w:sz w:val="16"/>
                <w:szCs w:val="16"/>
              </w:rPr>
              <w:t>0645</w:t>
            </w:r>
          </w:p>
        </w:tc>
        <w:tc>
          <w:tcPr>
            <w:tcW w:w="423" w:type="dxa"/>
            <w:shd w:val="solid" w:color="FFFFFF" w:fill="auto"/>
          </w:tcPr>
          <w:p w14:paraId="3EF7D538" w14:textId="77777777" w:rsidR="00A10B25" w:rsidRDefault="00A10B25">
            <w:pPr>
              <w:pStyle w:val="TAR"/>
              <w:rPr>
                <w:rFonts w:cs="Arial"/>
                <w:sz w:val="16"/>
                <w:szCs w:val="16"/>
              </w:rPr>
            </w:pPr>
          </w:p>
        </w:tc>
        <w:tc>
          <w:tcPr>
            <w:tcW w:w="423" w:type="dxa"/>
            <w:shd w:val="solid" w:color="FFFFFF" w:fill="auto"/>
          </w:tcPr>
          <w:p w14:paraId="44BBADB8"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6F0446A7" w14:textId="77777777" w:rsidR="00A10B25" w:rsidRDefault="00A10B25">
            <w:pPr>
              <w:pStyle w:val="TAL"/>
              <w:rPr>
                <w:rFonts w:cs="Arial"/>
                <w:sz w:val="16"/>
                <w:szCs w:val="16"/>
              </w:rPr>
            </w:pPr>
            <w:r>
              <w:rPr>
                <w:sz w:val="16"/>
              </w:rPr>
              <w:t>misplaced description and useless NOTE</w:t>
            </w:r>
          </w:p>
        </w:tc>
        <w:tc>
          <w:tcPr>
            <w:tcW w:w="706" w:type="dxa"/>
            <w:shd w:val="solid" w:color="FFFFFF" w:fill="auto"/>
          </w:tcPr>
          <w:p w14:paraId="12177A91" w14:textId="77777777" w:rsidR="00A10B25" w:rsidRDefault="00A10B25">
            <w:pPr>
              <w:pStyle w:val="TAC"/>
              <w:rPr>
                <w:rFonts w:cs="Arial"/>
                <w:sz w:val="16"/>
                <w:szCs w:val="16"/>
              </w:rPr>
            </w:pPr>
            <w:r>
              <w:rPr>
                <w:sz w:val="16"/>
                <w:szCs w:val="16"/>
              </w:rPr>
              <w:t>18.1.0</w:t>
            </w:r>
          </w:p>
        </w:tc>
      </w:tr>
      <w:tr w:rsidR="00A10B25" w14:paraId="20B4203F" w14:textId="77777777">
        <w:tc>
          <w:tcPr>
            <w:tcW w:w="796" w:type="dxa"/>
            <w:shd w:val="solid" w:color="FFFFFF" w:fill="auto"/>
          </w:tcPr>
          <w:p w14:paraId="25D34287"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34ABF542"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43ECB201" w14:textId="77777777" w:rsidR="00A10B25" w:rsidRDefault="00A10B25">
            <w:pPr>
              <w:pStyle w:val="TAC"/>
              <w:rPr>
                <w:rFonts w:cs="Arial"/>
                <w:sz w:val="16"/>
                <w:szCs w:val="16"/>
              </w:rPr>
            </w:pPr>
            <w:r>
              <w:rPr>
                <w:rFonts w:cs="Arial"/>
                <w:color w:val="000000"/>
                <w:sz w:val="16"/>
                <w:szCs w:val="16"/>
              </w:rPr>
              <w:t>CP-230145</w:t>
            </w:r>
          </w:p>
        </w:tc>
        <w:tc>
          <w:tcPr>
            <w:tcW w:w="523" w:type="dxa"/>
            <w:shd w:val="solid" w:color="FFFFFF" w:fill="auto"/>
          </w:tcPr>
          <w:p w14:paraId="6A759FB6" w14:textId="77777777" w:rsidR="00A10B25" w:rsidRDefault="00A10B25">
            <w:pPr>
              <w:pStyle w:val="TAL"/>
              <w:rPr>
                <w:rFonts w:cs="Arial"/>
                <w:sz w:val="16"/>
                <w:szCs w:val="16"/>
              </w:rPr>
            </w:pPr>
            <w:r>
              <w:rPr>
                <w:rFonts w:cs="Arial"/>
                <w:color w:val="000000"/>
                <w:sz w:val="16"/>
                <w:szCs w:val="16"/>
              </w:rPr>
              <w:t>0647</w:t>
            </w:r>
          </w:p>
        </w:tc>
        <w:tc>
          <w:tcPr>
            <w:tcW w:w="423" w:type="dxa"/>
            <w:shd w:val="solid" w:color="FFFFFF" w:fill="auto"/>
          </w:tcPr>
          <w:p w14:paraId="3D7CF0AB" w14:textId="77777777" w:rsidR="00A10B25" w:rsidRDefault="00A10B25">
            <w:pPr>
              <w:pStyle w:val="TAR"/>
              <w:rPr>
                <w:rFonts w:cs="Arial"/>
                <w:sz w:val="16"/>
                <w:szCs w:val="16"/>
              </w:rPr>
            </w:pPr>
            <w:r>
              <w:rPr>
                <w:rFonts w:cs="Arial"/>
                <w:color w:val="000000"/>
                <w:sz w:val="16"/>
                <w:szCs w:val="16"/>
              </w:rPr>
              <w:t>2</w:t>
            </w:r>
          </w:p>
        </w:tc>
        <w:tc>
          <w:tcPr>
            <w:tcW w:w="423" w:type="dxa"/>
            <w:shd w:val="solid" w:color="FFFFFF" w:fill="auto"/>
          </w:tcPr>
          <w:p w14:paraId="7D29AB01"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4292523B" w14:textId="77777777" w:rsidR="00A10B25" w:rsidRDefault="00A10B25">
            <w:pPr>
              <w:pStyle w:val="TAL"/>
              <w:rPr>
                <w:rFonts w:cs="Arial"/>
                <w:sz w:val="16"/>
                <w:szCs w:val="16"/>
              </w:rPr>
            </w:pPr>
            <w:r>
              <w:rPr>
                <w:sz w:val="16"/>
              </w:rPr>
              <w:t>definition of the value for boolean data type</w:t>
            </w:r>
          </w:p>
        </w:tc>
        <w:tc>
          <w:tcPr>
            <w:tcW w:w="706" w:type="dxa"/>
            <w:shd w:val="solid" w:color="FFFFFF" w:fill="auto"/>
          </w:tcPr>
          <w:p w14:paraId="0269677F" w14:textId="77777777" w:rsidR="00A10B25" w:rsidRDefault="00A10B25">
            <w:pPr>
              <w:pStyle w:val="TAC"/>
              <w:rPr>
                <w:rFonts w:cs="Arial"/>
                <w:sz w:val="16"/>
                <w:szCs w:val="16"/>
              </w:rPr>
            </w:pPr>
            <w:r>
              <w:rPr>
                <w:sz w:val="16"/>
                <w:szCs w:val="16"/>
              </w:rPr>
              <w:t>18.1.0</w:t>
            </w:r>
          </w:p>
        </w:tc>
      </w:tr>
      <w:tr w:rsidR="00A10B25" w14:paraId="3A9C2C28" w14:textId="77777777">
        <w:tc>
          <w:tcPr>
            <w:tcW w:w="796" w:type="dxa"/>
            <w:shd w:val="solid" w:color="FFFFFF" w:fill="auto"/>
          </w:tcPr>
          <w:p w14:paraId="3945D1B4"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468AB571"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525F7BBA"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341A79F2" w14:textId="77777777" w:rsidR="00A10B25" w:rsidRDefault="00A10B25">
            <w:pPr>
              <w:pStyle w:val="TAL"/>
              <w:rPr>
                <w:rFonts w:cs="Arial"/>
                <w:sz w:val="16"/>
                <w:szCs w:val="16"/>
              </w:rPr>
            </w:pPr>
            <w:r>
              <w:rPr>
                <w:rFonts w:cs="Arial"/>
                <w:color w:val="000000"/>
                <w:sz w:val="16"/>
                <w:szCs w:val="16"/>
              </w:rPr>
              <w:t>0648</w:t>
            </w:r>
          </w:p>
        </w:tc>
        <w:tc>
          <w:tcPr>
            <w:tcW w:w="423" w:type="dxa"/>
            <w:shd w:val="solid" w:color="FFFFFF" w:fill="auto"/>
          </w:tcPr>
          <w:p w14:paraId="76C4F78D"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7D59D6BA"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7A8F9D2C" w14:textId="77777777" w:rsidR="00A10B25" w:rsidRDefault="00A10B25">
            <w:pPr>
              <w:pStyle w:val="TAL"/>
              <w:rPr>
                <w:rFonts w:cs="Arial"/>
                <w:sz w:val="16"/>
                <w:szCs w:val="16"/>
              </w:rPr>
            </w:pPr>
            <w:r>
              <w:rPr>
                <w:sz w:val="16"/>
              </w:rPr>
              <w:t>Handling of fetch Instruction</w:t>
            </w:r>
          </w:p>
        </w:tc>
        <w:tc>
          <w:tcPr>
            <w:tcW w:w="706" w:type="dxa"/>
            <w:shd w:val="solid" w:color="FFFFFF" w:fill="auto"/>
          </w:tcPr>
          <w:p w14:paraId="728D87B5" w14:textId="77777777" w:rsidR="00A10B25" w:rsidRDefault="00A10B25">
            <w:pPr>
              <w:pStyle w:val="TAC"/>
              <w:rPr>
                <w:rFonts w:cs="Arial"/>
                <w:sz w:val="16"/>
                <w:szCs w:val="16"/>
              </w:rPr>
            </w:pPr>
            <w:r>
              <w:rPr>
                <w:sz w:val="16"/>
                <w:szCs w:val="16"/>
              </w:rPr>
              <w:t>18.1.0</w:t>
            </w:r>
          </w:p>
        </w:tc>
      </w:tr>
      <w:tr w:rsidR="00A10B25" w14:paraId="794173B5" w14:textId="77777777">
        <w:tc>
          <w:tcPr>
            <w:tcW w:w="796" w:type="dxa"/>
            <w:shd w:val="solid" w:color="FFFFFF" w:fill="auto"/>
          </w:tcPr>
          <w:p w14:paraId="1456C8AF"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605DA65B"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3C3E786"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0D95B9D4" w14:textId="77777777" w:rsidR="00A10B25" w:rsidRDefault="00A10B25">
            <w:pPr>
              <w:pStyle w:val="TAL"/>
              <w:rPr>
                <w:rFonts w:cs="Arial"/>
                <w:sz w:val="16"/>
                <w:szCs w:val="16"/>
              </w:rPr>
            </w:pPr>
            <w:r>
              <w:rPr>
                <w:rFonts w:cs="Arial"/>
                <w:color w:val="000000"/>
                <w:sz w:val="16"/>
                <w:szCs w:val="16"/>
              </w:rPr>
              <w:t>0649</w:t>
            </w:r>
          </w:p>
        </w:tc>
        <w:tc>
          <w:tcPr>
            <w:tcW w:w="423" w:type="dxa"/>
            <w:shd w:val="solid" w:color="FFFFFF" w:fill="auto"/>
          </w:tcPr>
          <w:p w14:paraId="4406ABB1" w14:textId="77777777" w:rsidR="00A10B25" w:rsidRDefault="00A10B25">
            <w:pPr>
              <w:pStyle w:val="TAR"/>
              <w:rPr>
                <w:rFonts w:cs="Arial"/>
                <w:sz w:val="16"/>
                <w:szCs w:val="16"/>
              </w:rPr>
            </w:pPr>
          </w:p>
        </w:tc>
        <w:tc>
          <w:tcPr>
            <w:tcW w:w="423" w:type="dxa"/>
            <w:shd w:val="solid" w:color="FFFFFF" w:fill="auto"/>
          </w:tcPr>
          <w:p w14:paraId="4EF58F8C"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3D90DD6E" w14:textId="77777777" w:rsidR="00A10B25" w:rsidRDefault="00A10B25">
            <w:pPr>
              <w:pStyle w:val="TAL"/>
              <w:rPr>
                <w:rFonts w:cs="Arial"/>
                <w:sz w:val="16"/>
                <w:szCs w:val="16"/>
              </w:rPr>
            </w:pPr>
            <w:r>
              <w:rPr>
                <w:sz w:val="16"/>
              </w:rPr>
              <w:t>Partial failure during analytics subscription transfer</w:t>
            </w:r>
          </w:p>
        </w:tc>
        <w:tc>
          <w:tcPr>
            <w:tcW w:w="706" w:type="dxa"/>
            <w:shd w:val="solid" w:color="FFFFFF" w:fill="auto"/>
          </w:tcPr>
          <w:p w14:paraId="798B8A31" w14:textId="77777777" w:rsidR="00A10B25" w:rsidRDefault="00A10B25">
            <w:pPr>
              <w:pStyle w:val="TAC"/>
              <w:rPr>
                <w:rFonts w:cs="Arial"/>
                <w:sz w:val="16"/>
                <w:szCs w:val="16"/>
              </w:rPr>
            </w:pPr>
            <w:r>
              <w:rPr>
                <w:sz w:val="16"/>
                <w:szCs w:val="16"/>
              </w:rPr>
              <w:t>18.1.0</w:t>
            </w:r>
          </w:p>
        </w:tc>
      </w:tr>
      <w:tr w:rsidR="00A10B25" w14:paraId="5A9FF9F3" w14:textId="77777777">
        <w:tc>
          <w:tcPr>
            <w:tcW w:w="796" w:type="dxa"/>
            <w:shd w:val="solid" w:color="FFFFFF" w:fill="auto"/>
          </w:tcPr>
          <w:p w14:paraId="5F00D4F9"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3DF735CA"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4FD75E59"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144B5F9D" w14:textId="77777777" w:rsidR="00A10B25" w:rsidRDefault="00A10B25">
            <w:pPr>
              <w:pStyle w:val="TAL"/>
              <w:rPr>
                <w:rFonts w:cs="Arial"/>
                <w:sz w:val="16"/>
                <w:szCs w:val="16"/>
              </w:rPr>
            </w:pPr>
            <w:r>
              <w:rPr>
                <w:rFonts w:cs="Arial"/>
                <w:color w:val="000000"/>
                <w:sz w:val="16"/>
                <w:szCs w:val="16"/>
              </w:rPr>
              <w:t>0650</w:t>
            </w:r>
          </w:p>
        </w:tc>
        <w:tc>
          <w:tcPr>
            <w:tcW w:w="423" w:type="dxa"/>
            <w:shd w:val="solid" w:color="FFFFFF" w:fill="auto"/>
          </w:tcPr>
          <w:p w14:paraId="2A9FD75D" w14:textId="77777777" w:rsidR="00A10B25" w:rsidRDefault="00A10B25">
            <w:pPr>
              <w:pStyle w:val="TAR"/>
              <w:rPr>
                <w:rFonts w:cs="Arial"/>
                <w:sz w:val="16"/>
                <w:szCs w:val="16"/>
              </w:rPr>
            </w:pPr>
          </w:p>
        </w:tc>
        <w:tc>
          <w:tcPr>
            <w:tcW w:w="423" w:type="dxa"/>
            <w:shd w:val="solid" w:color="FFFFFF" w:fill="auto"/>
          </w:tcPr>
          <w:p w14:paraId="5115CFA5"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CCBC402" w14:textId="77777777" w:rsidR="00A10B25" w:rsidRDefault="00A10B25">
            <w:pPr>
              <w:pStyle w:val="TAL"/>
              <w:rPr>
                <w:rFonts w:cs="Arial"/>
                <w:sz w:val="16"/>
                <w:szCs w:val="16"/>
              </w:rPr>
            </w:pPr>
            <w:r>
              <w:rPr>
                <w:sz w:val="16"/>
              </w:rPr>
              <w:t>Update of 5.1.6.1 and 5.2.6.1</w:t>
            </w:r>
          </w:p>
        </w:tc>
        <w:tc>
          <w:tcPr>
            <w:tcW w:w="706" w:type="dxa"/>
            <w:shd w:val="solid" w:color="FFFFFF" w:fill="auto"/>
          </w:tcPr>
          <w:p w14:paraId="402B5D1D" w14:textId="77777777" w:rsidR="00A10B25" w:rsidRDefault="00A10B25">
            <w:pPr>
              <w:pStyle w:val="TAC"/>
              <w:rPr>
                <w:rFonts w:cs="Arial"/>
                <w:sz w:val="16"/>
                <w:szCs w:val="16"/>
              </w:rPr>
            </w:pPr>
            <w:r>
              <w:rPr>
                <w:sz w:val="16"/>
                <w:szCs w:val="16"/>
              </w:rPr>
              <w:t>18.1.0</w:t>
            </w:r>
          </w:p>
        </w:tc>
      </w:tr>
      <w:tr w:rsidR="00A10B25" w14:paraId="774FC563" w14:textId="77777777">
        <w:tc>
          <w:tcPr>
            <w:tcW w:w="796" w:type="dxa"/>
            <w:shd w:val="solid" w:color="FFFFFF" w:fill="auto"/>
          </w:tcPr>
          <w:p w14:paraId="4644C601"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576CEF53"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92630A0" w14:textId="77777777" w:rsidR="00A10B25" w:rsidRDefault="00A10B25">
            <w:pPr>
              <w:pStyle w:val="TAC"/>
              <w:rPr>
                <w:rFonts w:cs="Arial"/>
                <w:sz w:val="16"/>
                <w:szCs w:val="16"/>
              </w:rPr>
            </w:pPr>
            <w:r>
              <w:rPr>
                <w:rFonts w:cs="Arial"/>
                <w:color w:val="000000"/>
                <w:sz w:val="16"/>
                <w:szCs w:val="16"/>
              </w:rPr>
              <w:t>CP-230167</w:t>
            </w:r>
          </w:p>
        </w:tc>
        <w:tc>
          <w:tcPr>
            <w:tcW w:w="523" w:type="dxa"/>
            <w:shd w:val="solid" w:color="FFFFFF" w:fill="auto"/>
          </w:tcPr>
          <w:p w14:paraId="19242C11" w14:textId="77777777" w:rsidR="00A10B25" w:rsidRDefault="00A10B25">
            <w:pPr>
              <w:pStyle w:val="TAL"/>
              <w:rPr>
                <w:rFonts w:cs="Arial"/>
                <w:sz w:val="16"/>
                <w:szCs w:val="16"/>
              </w:rPr>
            </w:pPr>
            <w:r>
              <w:rPr>
                <w:rFonts w:cs="Arial"/>
                <w:color w:val="000000"/>
                <w:sz w:val="16"/>
                <w:szCs w:val="16"/>
              </w:rPr>
              <w:t>0651</w:t>
            </w:r>
          </w:p>
        </w:tc>
        <w:tc>
          <w:tcPr>
            <w:tcW w:w="423" w:type="dxa"/>
            <w:shd w:val="solid" w:color="FFFFFF" w:fill="auto"/>
          </w:tcPr>
          <w:p w14:paraId="1BBB35A9"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780651AF"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257896BE" w14:textId="77777777" w:rsidR="00A10B25" w:rsidRDefault="00A10B25">
            <w:pPr>
              <w:pStyle w:val="TAL"/>
              <w:rPr>
                <w:rFonts w:cs="Arial"/>
                <w:sz w:val="16"/>
                <w:szCs w:val="16"/>
              </w:rPr>
            </w:pPr>
            <w:r>
              <w:rPr>
                <w:sz w:val="16"/>
              </w:rPr>
              <w:t>Fix the description formatting issue</w:t>
            </w:r>
          </w:p>
        </w:tc>
        <w:tc>
          <w:tcPr>
            <w:tcW w:w="706" w:type="dxa"/>
            <w:shd w:val="solid" w:color="FFFFFF" w:fill="auto"/>
          </w:tcPr>
          <w:p w14:paraId="1E3BCDB8" w14:textId="77777777" w:rsidR="00A10B25" w:rsidRDefault="00A10B25">
            <w:pPr>
              <w:pStyle w:val="TAC"/>
              <w:rPr>
                <w:rFonts w:cs="Arial"/>
                <w:sz w:val="16"/>
                <w:szCs w:val="16"/>
              </w:rPr>
            </w:pPr>
            <w:r>
              <w:rPr>
                <w:sz w:val="16"/>
                <w:szCs w:val="16"/>
              </w:rPr>
              <w:t>18.1.0</w:t>
            </w:r>
          </w:p>
        </w:tc>
      </w:tr>
      <w:tr w:rsidR="00A10B25" w14:paraId="6548CF25" w14:textId="77777777">
        <w:tc>
          <w:tcPr>
            <w:tcW w:w="796" w:type="dxa"/>
            <w:shd w:val="solid" w:color="FFFFFF" w:fill="auto"/>
          </w:tcPr>
          <w:p w14:paraId="4A5453FC"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2026CF7A"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BF24880" w14:textId="77777777" w:rsidR="00A10B25" w:rsidRDefault="00A10B25">
            <w:pPr>
              <w:pStyle w:val="TAC"/>
              <w:rPr>
                <w:rFonts w:cs="Arial"/>
                <w:sz w:val="16"/>
                <w:szCs w:val="16"/>
              </w:rPr>
            </w:pPr>
            <w:r>
              <w:rPr>
                <w:rFonts w:cs="Arial"/>
                <w:color w:val="000000"/>
                <w:sz w:val="16"/>
                <w:szCs w:val="16"/>
              </w:rPr>
              <w:t>CP-230129</w:t>
            </w:r>
          </w:p>
        </w:tc>
        <w:tc>
          <w:tcPr>
            <w:tcW w:w="523" w:type="dxa"/>
            <w:shd w:val="solid" w:color="FFFFFF" w:fill="auto"/>
          </w:tcPr>
          <w:p w14:paraId="68D40D6C" w14:textId="77777777" w:rsidR="00A10B25" w:rsidRDefault="00A10B25">
            <w:pPr>
              <w:pStyle w:val="TAL"/>
              <w:rPr>
                <w:rFonts w:cs="Arial"/>
                <w:sz w:val="16"/>
                <w:szCs w:val="16"/>
              </w:rPr>
            </w:pPr>
            <w:r>
              <w:rPr>
                <w:rFonts w:cs="Arial"/>
                <w:color w:val="000000"/>
                <w:sz w:val="16"/>
                <w:szCs w:val="16"/>
              </w:rPr>
              <w:t>0655</w:t>
            </w:r>
          </w:p>
        </w:tc>
        <w:tc>
          <w:tcPr>
            <w:tcW w:w="423" w:type="dxa"/>
            <w:shd w:val="solid" w:color="FFFFFF" w:fill="auto"/>
          </w:tcPr>
          <w:p w14:paraId="2A13C78B"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53DAFB22"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12E126D0" w14:textId="77777777" w:rsidR="00A10B25" w:rsidRDefault="00A10B25">
            <w:pPr>
              <w:pStyle w:val="TAL"/>
              <w:rPr>
                <w:rFonts w:cs="Arial"/>
                <w:sz w:val="16"/>
                <w:szCs w:val="16"/>
              </w:rPr>
            </w:pPr>
            <w:r>
              <w:rPr>
                <w:sz w:val="16"/>
              </w:rPr>
              <w:t>Invalid JSON value</w:t>
            </w:r>
          </w:p>
        </w:tc>
        <w:tc>
          <w:tcPr>
            <w:tcW w:w="706" w:type="dxa"/>
            <w:shd w:val="solid" w:color="FFFFFF" w:fill="auto"/>
          </w:tcPr>
          <w:p w14:paraId="629ABCC5" w14:textId="77777777" w:rsidR="00A10B25" w:rsidRDefault="00A10B25">
            <w:pPr>
              <w:pStyle w:val="TAC"/>
              <w:rPr>
                <w:rFonts w:cs="Arial"/>
                <w:sz w:val="16"/>
                <w:szCs w:val="16"/>
              </w:rPr>
            </w:pPr>
            <w:r>
              <w:rPr>
                <w:sz w:val="16"/>
                <w:szCs w:val="16"/>
              </w:rPr>
              <w:t>18.1.0</w:t>
            </w:r>
          </w:p>
        </w:tc>
      </w:tr>
      <w:tr w:rsidR="00A10B25" w14:paraId="2C63C53B" w14:textId="77777777">
        <w:tc>
          <w:tcPr>
            <w:tcW w:w="796" w:type="dxa"/>
            <w:shd w:val="solid" w:color="FFFFFF" w:fill="auto"/>
          </w:tcPr>
          <w:p w14:paraId="353FA8C4"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663A3760"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626B4559" w14:textId="77777777" w:rsidR="00A10B25" w:rsidRDefault="00A10B25">
            <w:pPr>
              <w:pStyle w:val="TAC"/>
              <w:rPr>
                <w:rFonts w:cs="Arial"/>
                <w:sz w:val="16"/>
                <w:szCs w:val="16"/>
              </w:rPr>
            </w:pPr>
            <w:r>
              <w:rPr>
                <w:rFonts w:cs="Arial"/>
                <w:color w:val="000000"/>
                <w:sz w:val="16"/>
                <w:szCs w:val="16"/>
              </w:rPr>
              <w:t>CP-230145</w:t>
            </w:r>
          </w:p>
        </w:tc>
        <w:tc>
          <w:tcPr>
            <w:tcW w:w="523" w:type="dxa"/>
            <w:shd w:val="solid" w:color="FFFFFF" w:fill="auto"/>
          </w:tcPr>
          <w:p w14:paraId="4850619D" w14:textId="77777777" w:rsidR="00A10B25" w:rsidRDefault="00A10B25">
            <w:pPr>
              <w:pStyle w:val="TAL"/>
              <w:rPr>
                <w:rFonts w:cs="Arial"/>
                <w:sz w:val="16"/>
                <w:szCs w:val="16"/>
              </w:rPr>
            </w:pPr>
            <w:r>
              <w:rPr>
                <w:rFonts w:cs="Arial"/>
                <w:color w:val="000000"/>
                <w:sz w:val="16"/>
                <w:szCs w:val="16"/>
              </w:rPr>
              <w:t>0657</w:t>
            </w:r>
          </w:p>
        </w:tc>
        <w:tc>
          <w:tcPr>
            <w:tcW w:w="423" w:type="dxa"/>
            <w:shd w:val="solid" w:color="FFFFFF" w:fill="auto"/>
          </w:tcPr>
          <w:p w14:paraId="4EBDAEA8"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5DE24F14" w14:textId="77777777" w:rsidR="00A10B25" w:rsidRDefault="00A10B25">
            <w:pPr>
              <w:pStyle w:val="TAC"/>
              <w:rPr>
                <w:rFonts w:cs="Arial"/>
                <w:sz w:val="16"/>
                <w:szCs w:val="16"/>
              </w:rPr>
            </w:pPr>
            <w:r>
              <w:rPr>
                <w:sz w:val="16"/>
                <w:szCs w:val="16"/>
                <w:lang w:val="en-US" w:eastAsia="zh-CN"/>
              </w:rPr>
              <w:t>A</w:t>
            </w:r>
          </w:p>
        </w:tc>
        <w:tc>
          <w:tcPr>
            <w:tcW w:w="4899" w:type="dxa"/>
            <w:shd w:val="solid" w:color="FFFFFF" w:fill="auto"/>
          </w:tcPr>
          <w:p w14:paraId="4E008942" w14:textId="77777777" w:rsidR="00A10B25" w:rsidRDefault="00A10B25">
            <w:pPr>
              <w:pStyle w:val="TAL"/>
              <w:rPr>
                <w:rFonts w:cs="Arial"/>
                <w:sz w:val="16"/>
                <w:szCs w:val="16"/>
              </w:rPr>
            </w:pPr>
            <w:r>
              <w:rPr>
                <w:sz w:val="16"/>
              </w:rPr>
              <w:t>Corrections for historical analytics exposure procedures</w:t>
            </w:r>
          </w:p>
        </w:tc>
        <w:tc>
          <w:tcPr>
            <w:tcW w:w="706" w:type="dxa"/>
            <w:shd w:val="solid" w:color="FFFFFF" w:fill="auto"/>
          </w:tcPr>
          <w:p w14:paraId="059E7E66" w14:textId="77777777" w:rsidR="00A10B25" w:rsidRDefault="00A10B25">
            <w:pPr>
              <w:pStyle w:val="TAC"/>
              <w:rPr>
                <w:rFonts w:cs="Arial"/>
                <w:sz w:val="16"/>
                <w:szCs w:val="16"/>
              </w:rPr>
            </w:pPr>
            <w:r>
              <w:rPr>
                <w:sz w:val="16"/>
                <w:szCs w:val="16"/>
              </w:rPr>
              <w:t>18.1.0</w:t>
            </w:r>
          </w:p>
        </w:tc>
      </w:tr>
      <w:tr w:rsidR="00A10B25" w14:paraId="2B15D233" w14:textId="77777777">
        <w:tc>
          <w:tcPr>
            <w:tcW w:w="796" w:type="dxa"/>
            <w:shd w:val="solid" w:color="FFFFFF" w:fill="auto"/>
          </w:tcPr>
          <w:p w14:paraId="0A92286D"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242595B9"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50ED8F8E" w14:textId="77777777" w:rsidR="00A10B25" w:rsidRDefault="00A10B25">
            <w:pPr>
              <w:pStyle w:val="TAC"/>
              <w:rPr>
                <w:rFonts w:cs="Arial"/>
                <w:sz w:val="16"/>
                <w:szCs w:val="16"/>
              </w:rPr>
            </w:pPr>
            <w:r>
              <w:rPr>
                <w:rFonts w:cs="Arial"/>
                <w:color w:val="000000"/>
                <w:sz w:val="16"/>
                <w:szCs w:val="16"/>
              </w:rPr>
              <w:t>CP-230147</w:t>
            </w:r>
          </w:p>
        </w:tc>
        <w:tc>
          <w:tcPr>
            <w:tcW w:w="523" w:type="dxa"/>
            <w:shd w:val="solid" w:color="FFFFFF" w:fill="auto"/>
          </w:tcPr>
          <w:p w14:paraId="44A92103" w14:textId="77777777" w:rsidR="00A10B25" w:rsidRDefault="00A10B25">
            <w:pPr>
              <w:pStyle w:val="TAL"/>
              <w:rPr>
                <w:rFonts w:cs="Arial"/>
                <w:sz w:val="16"/>
                <w:szCs w:val="16"/>
              </w:rPr>
            </w:pPr>
            <w:r>
              <w:rPr>
                <w:rFonts w:cs="Arial"/>
                <w:color w:val="000000"/>
                <w:sz w:val="16"/>
                <w:szCs w:val="16"/>
              </w:rPr>
              <w:t>0659</w:t>
            </w:r>
          </w:p>
        </w:tc>
        <w:tc>
          <w:tcPr>
            <w:tcW w:w="423" w:type="dxa"/>
            <w:shd w:val="solid" w:color="FFFFFF" w:fill="auto"/>
          </w:tcPr>
          <w:p w14:paraId="2764558B"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4F328D16"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15B6BCB" w14:textId="77777777" w:rsidR="00A10B25" w:rsidRDefault="00A10B25">
            <w:pPr>
              <w:pStyle w:val="TAL"/>
              <w:rPr>
                <w:rFonts w:cs="Arial"/>
                <w:sz w:val="16"/>
                <w:szCs w:val="16"/>
              </w:rPr>
            </w:pPr>
            <w:r>
              <w:rPr>
                <w:sz w:val="16"/>
              </w:rPr>
              <w:t>QoS sustainability analytics with fine granularity</w:t>
            </w:r>
          </w:p>
        </w:tc>
        <w:tc>
          <w:tcPr>
            <w:tcW w:w="706" w:type="dxa"/>
            <w:shd w:val="solid" w:color="FFFFFF" w:fill="auto"/>
          </w:tcPr>
          <w:p w14:paraId="0B432CAE" w14:textId="77777777" w:rsidR="00A10B25" w:rsidRDefault="00A10B25">
            <w:pPr>
              <w:pStyle w:val="TAC"/>
              <w:rPr>
                <w:rFonts w:cs="Arial"/>
                <w:sz w:val="16"/>
                <w:szCs w:val="16"/>
              </w:rPr>
            </w:pPr>
            <w:r>
              <w:rPr>
                <w:sz w:val="16"/>
                <w:szCs w:val="16"/>
              </w:rPr>
              <w:t>18.1.0</w:t>
            </w:r>
          </w:p>
        </w:tc>
      </w:tr>
      <w:tr w:rsidR="00A10B25" w14:paraId="33A41AE5" w14:textId="77777777">
        <w:tc>
          <w:tcPr>
            <w:tcW w:w="796" w:type="dxa"/>
            <w:shd w:val="solid" w:color="FFFFFF" w:fill="auto"/>
          </w:tcPr>
          <w:p w14:paraId="7F2DB0D6"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16E5F86E"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F786303"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187B35C5" w14:textId="77777777" w:rsidR="00A10B25" w:rsidRDefault="00A10B25">
            <w:pPr>
              <w:pStyle w:val="TAL"/>
              <w:rPr>
                <w:rFonts w:cs="Arial"/>
                <w:sz w:val="16"/>
                <w:szCs w:val="16"/>
              </w:rPr>
            </w:pPr>
            <w:r>
              <w:rPr>
                <w:rFonts w:cs="Arial"/>
                <w:color w:val="000000"/>
                <w:sz w:val="16"/>
                <w:szCs w:val="16"/>
              </w:rPr>
              <w:t>0660</w:t>
            </w:r>
          </w:p>
        </w:tc>
        <w:tc>
          <w:tcPr>
            <w:tcW w:w="423" w:type="dxa"/>
            <w:shd w:val="solid" w:color="FFFFFF" w:fill="auto"/>
          </w:tcPr>
          <w:p w14:paraId="49CA8B93"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7A596B67"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537A48ED" w14:textId="77777777" w:rsidR="00A10B25" w:rsidRDefault="00A10B25">
            <w:pPr>
              <w:pStyle w:val="TAL"/>
              <w:rPr>
                <w:rFonts w:cs="Arial"/>
                <w:sz w:val="16"/>
                <w:szCs w:val="16"/>
              </w:rPr>
            </w:pPr>
            <w:r>
              <w:rPr>
                <w:sz w:val="16"/>
              </w:rPr>
              <w:t>Clarification for Analytics Specification in Nnwdaf_DataManagement Service</w:t>
            </w:r>
          </w:p>
        </w:tc>
        <w:tc>
          <w:tcPr>
            <w:tcW w:w="706" w:type="dxa"/>
            <w:shd w:val="solid" w:color="FFFFFF" w:fill="auto"/>
          </w:tcPr>
          <w:p w14:paraId="154C8557" w14:textId="77777777" w:rsidR="00A10B25" w:rsidRDefault="00A10B25">
            <w:pPr>
              <w:pStyle w:val="TAC"/>
              <w:rPr>
                <w:rFonts w:cs="Arial"/>
                <w:sz w:val="16"/>
                <w:szCs w:val="16"/>
              </w:rPr>
            </w:pPr>
            <w:r>
              <w:rPr>
                <w:sz w:val="16"/>
                <w:szCs w:val="16"/>
              </w:rPr>
              <w:t>18.1.0</w:t>
            </w:r>
          </w:p>
        </w:tc>
      </w:tr>
      <w:tr w:rsidR="00A10B25" w14:paraId="1C5A926E" w14:textId="77777777">
        <w:tc>
          <w:tcPr>
            <w:tcW w:w="796" w:type="dxa"/>
            <w:shd w:val="solid" w:color="FFFFFF" w:fill="auto"/>
          </w:tcPr>
          <w:p w14:paraId="39A89730"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13BCD7AB"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4EAA7CAF"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7D7E1CF0" w14:textId="77777777" w:rsidR="00A10B25" w:rsidRDefault="00A10B25">
            <w:pPr>
              <w:pStyle w:val="TAL"/>
              <w:rPr>
                <w:rFonts w:cs="Arial"/>
                <w:sz w:val="16"/>
                <w:szCs w:val="16"/>
              </w:rPr>
            </w:pPr>
            <w:r>
              <w:rPr>
                <w:rFonts w:cs="Arial"/>
                <w:color w:val="000000"/>
                <w:sz w:val="16"/>
                <w:szCs w:val="16"/>
              </w:rPr>
              <w:t>0661</w:t>
            </w:r>
          </w:p>
        </w:tc>
        <w:tc>
          <w:tcPr>
            <w:tcW w:w="423" w:type="dxa"/>
            <w:shd w:val="solid" w:color="FFFFFF" w:fill="auto"/>
          </w:tcPr>
          <w:p w14:paraId="6A291B72"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460ED2C9"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41B931DA" w14:textId="77777777" w:rsidR="00A10B25" w:rsidRDefault="00A10B25">
            <w:pPr>
              <w:pStyle w:val="TAL"/>
              <w:rPr>
                <w:rFonts w:cs="Arial"/>
                <w:sz w:val="16"/>
                <w:szCs w:val="16"/>
              </w:rPr>
            </w:pPr>
            <w:r>
              <w:rPr>
                <w:sz w:val="16"/>
              </w:rPr>
              <w:t>Corrections for descriptions of boolean data types</w:t>
            </w:r>
          </w:p>
        </w:tc>
        <w:tc>
          <w:tcPr>
            <w:tcW w:w="706" w:type="dxa"/>
            <w:shd w:val="solid" w:color="FFFFFF" w:fill="auto"/>
          </w:tcPr>
          <w:p w14:paraId="78BA40F3" w14:textId="77777777" w:rsidR="00A10B25" w:rsidRDefault="00A10B25">
            <w:pPr>
              <w:pStyle w:val="TAC"/>
              <w:rPr>
                <w:rFonts w:cs="Arial"/>
                <w:sz w:val="16"/>
                <w:szCs w:val="16"/>
              </w:rPr>
            </w:pPr>
            <w:r>
              <w:rPr>
                <w:sz w:val="16"/>
                <w:szCs w:val="16"/>
              </w:rPr>
              <w:t>18.1.0</w:t>
            </w:r>
          </w:p>
        </w:tc>
      </w:tr>
      <w:tr w:rsidR="00A10B25" w14:paraId="2846E1AC" w14:textId="77777777">
        <w:tc>
          <w:tcPr>
            <w:tcW w:w="796" w:type="dxa"/>
            <w:shd w:val="solid" w:color="FFFFFF" w:fill="auto"/>
          </w:tcPr>
          <w:p w14:paraId="59B04C05"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5B612F49"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3A5FEAB2"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0CBB8D14" w14:textId="77777777" w:rsidR="00A10B25" w:rsidRDefault="00A10B25">
            <w:pPr>
              <w:pStyle w:val="TAL"/>
              <w:rPr>
                <w:rFonts w:cs="Arial"/>
                <w:sz w:val="16"/>
                <w:szCs w:val="16"/>
              </w:rPr>
            </w:pPr>
            <w:r>
              <w:rPr>
                <w:rFonts w:cs="Arial"/>
                <w:color w:val="000000"/>
                <w:sz w:val="16"/>
                <w:szCs w:val="16"/>
              </w:rPr>
              <w:t>0662</w:t>
            </w:r>
          </w:p>
        </w:tc>
        <w:tc>
          <w:tcPr>
            <w:tcW w:w="423" w:type="dxa"/>
            <w:shd w:val="solid" w:color="FFFFFF" w:fill="auto"/>
          </w:tcPr>
          <w:p w14:paraId="121FE6A6"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6CE0327D"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FFDCA7C" w14:textId="77777777" w:rsidR="00A10B25" w:rsidRDefault="00A10B25">
            <w:pPr>
              <w:pStyle w:val="TAL"/>
              <w:rPr>
                <w:rFonts w:cs="Arial"/>
                <w:sz w:val="16"/>
                <w:szCs w:val="16"/>
              </w:rPr>
            </w:pPr>
            <w:r>
              <w:rPr>
                <w:sz w:val="16"/>
              </w:rPr>
              <w:t>Enhancement of network performance for AnalyticsInfo Service</w:t>
            </w:r>
          </w:p>
        </w:tc>
        <w:tc>
          <w:tcPr>
            <w:tcW w:w="706" w:type="dxa"/>
            <w:shd w:val="solid" w:color="FFFFFF" w:fill="auto"/>
          </w:tcPr>
          <w:p w14:paraId="764DF898" w14:textId="77777777" w:rsidR="00A10B25" w:rsidRDefault="00A10B25">
            <w:pPr>
              <w:pStyle w:val="TAC"/>
              <w:rPr>
                <w:rFonts w:cs="Arial"/>
                <w:sz w:val="16"/>
                <w:szCs w:val="16"/>
              </w:rPr>
            </w:pPr>
            <w:r>
              <w:rPr>
                <w:sz w:val="16"/>
                <w:szCs w:val="16"/>
              </w:rPr>
              <w:t>18.1.0</w:t>
            </w:r>
          </w:p>
        </w:tc>
      </w:tr>
      <w:tr w:rsidR="00A10B25" w14:paraId="09BF52CF" w14:textId="77777777">
        <w:tc>
          <w:tcPr>
            <w:tcW w:w="796" w:type="dxa"/>
            <w:shd w:val="solid" w:color="FFFFFF" w:fill="auto"/>
          </w:tcPr>
          <w:p w14:paraId="424C401A"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0243FD44"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557C8B0"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13BAB726" w14:textId="77777777" w:rsidR="00A10B25" w:rsidRDefault="00A10B25">
            <w:pPr>
              <w:pStyle w:val="TAL"/>
              <w:rPr>
                <w:rFonts w:cs="Arial"/>
                <w:sz w:val="16"/>
                <w:szCs w:val="16"/>
              </w:rPr>
            </w:pPr>
            <w:r>
              <w:rPr>
                <w:rFonts w:cs="Arial"/>
                <w:color w:val="000000"/>
                <w:sz w:val="16"/>
                <w:szCs w:val="16"/>
              </w:rPr>
              <w:t>0663</w:t>
            </w:r>
          </w:p>
        </w:tc>
        <w:tc>
          <w:tcPr>
            <w:tcW w:w="423" w:type="dxa"/>
            <w:shd w:val="solid" w:color="FFFFFF" w:fill="auto"/>
          </w:tcPr>
          <w:p w14:paraId="7D10E18B"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0BA97DA9" w14:textId="77777777" w:rsidR="00A10B25" w:rsidRDefault="00A10B25">
            <w:pPr>
              <w:pStyle w:val="TAC"/>
              <w:rPr>
                <w:rFonts w:cs="Arial"/>
                <w:sz w:val="16"/>
                <w:szCs w:val="16"/>
              </w:rPr>
            </w:pPr>
            <w:r>
              <w:rPr>
                <w:sz w:val="16"/>
                <w:szCs w:val="16"/>
                <w:lang w:val="en-US" w:eastAsia="zh-CN"/>
              </w:rPr>
              <w:t>F</w:t>
            </w:r>
          </w:p>
        </w:tc>
        <w:tc>
          <w:tcPr>
            <w:tcW w:w="4899" w:type="dxa"/>
            <w:shd w:val="solid" w:color="FFFFFF" w:fill="auto"/>
          </w:tcPr>
          <w:p w14:paraId="00466456" w14:textId="77777777" w:rsidR="00A10B25" w:rsidRDefault="00A10B25">
            <w:pPr>
              <w:pStyle w:val="TAL"/>
              <w:rPr>
                <w:rFonts w:cs="Arial"/>
                <w:sz w:val="16"/>
                <w:szCs w:val="16"/>
              </w:rPr>
            </w:pPr>
            <w:r>
              <w:rPr>
                <w:sz w:val="16"/>
              </w:rPr>
              <w:t>Corrections for MLModelProvision</w:t>
            </w:r>
          </w:p>
        </w:tc>
        <w:tc>
          <w:tcPr>
            <w:tcW w:w="706" w:type="dxa"/>
            <w:shd w:val="solid" w:color="FFFFFF" w:fill="auto"/>
          </w:tcPr>
          <w:p w14:paraId="2783E39A" w14:textId="77777777" w:rsidR="00A10B25" w:rsidRDefault="00A10B25">
            <w:pPr>
              <w:pStyle w:val="TAC"/>
              <w:rPr>
                <w:rFonts w:cs="Arial"/>
                <w:sz w:val="16"/>
                <w:szCs w:val="16"/>
              </w:rPr>
            </w:pPr>
            <w:r>
              <w:rPr>
                <w:sz w:val="16"/>
                <w:szCs w:val="16"/>
              </w:rPr>
              <w:t>18.1.0</w:t>
            </w:r>
          </w:p>
        </w:tc>
      </w:tr>
      <w:tr w:rsidR="00A10B25" w14:paraId="686989E7" w14:textId="77777777">
        <w:tc>
          <w:tcPr>
            <w:tcW w:w="796" w:type="dxa"/>
            <w:shd w:val="solid" w:color="FFFFFF" w:fill="auto"/>
          </w:tcPr>
          <w:p w14:paraId="0BD8721F"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099EB51B"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289675DF"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2F34B42B" w14:textId="77777777" w:rsidR="00A10B25" w:rsidRDefault="00A10B25">
            <w:pPr>
              <w:pStyle w:val="TAL"/>
              <w:rPr>
                <w:rFonts w:cs="Arial"/>
                <w:sz w:val="16"/>
                <w:szCs w:val="16"/>
              </w:rPr>
            </w:pPr>
            <w:r>
              <w:rPr>
                <w:rFonts w:cs="Arial"/>
                <w:color w:val="000000"/>
                <w:sz w:val="16"/>
                <w:szCs w:val="16"/>
              </w:rPr>
              <w:t>0664</w:t>
            </w:r>
          </w:p>
        </w:tc>
        <w:tc>
          <w:tcPr>
            <w:tcW w:w="423" w:type="dxa"/>
            <w:shd w:val="solid" w:color="FFFFFF" w:fill="auto"/>
          </w:tcPr>
          <w:p w14:paraId="13F0AC64"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131238D8"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3D1B7901" w14:textId="77777777" w:rsidR="00A10B25" w:rsidRDefault="00A10B25">
            <w:pPr>
              <w:pStyle w:val="TAL"/>
              <w:rPr>
                <w:rFonts w:cs="Arial"/>
                <w:sz w:val="16"/>
                <w:szCs w:val="16"/>
              </w:rPr>
            </w:pPr>
            <w:r>
              <w:rPr>
                <w:sz w:val="16"/>
              </w:rPr>
              <w:t>Enhancement of UE communication for AnalyticsInfo Service</w:t>
            </w:r>
          </w:p>
        </w:tc>
        <w:tc>
          <w:tcPr>
            <w:tcW w:w="706" w:type="dxa"/>
            <w:shd w:val="solid" w:color="FFFFFF" w:fill="auto"/>
          </w:tcPr>
          <w:p w14:paraId="61FE0097" w14:textId="77777777" w:rsidR="00A10B25" w:rsidRDefault="00A10B25">
            <w:pPr>
              <w:pStyle w:val="TAC"/>
              <w:rPr>
                <w:rFonts w:cs="Arial"/>
                <w:sz w:val="16"/>
                <w:szCs w:val="16"/>
              </w:rPr>
            </w:pPr>
            <w:r>
              <w:rPr>
                <w:sz w:val="16"/>
                <w:szCs w:val="16"/>
              </w:rPr>
              <w:t>18.1.0</w:t>
            </w:r>
          </w:p>
        </w:tc>
      </w:tr>
      <w:tr w:rsidR="00A10B25" w14:paraId="187CCC32" w14:textId="77777777">
        <w:tc>
          <w:tcPr>
            <w:tcW w:w="796" w:type="dxa"/>
            <w:shd w:val="solid" w:color="FFFFFF" w:fill="auto"/>
          </w:tcPr>
          <w:p w14:paraId="33DC5615"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26DF4470"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5E514A3D"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6F99DFEC" w14:textId="77777777" w:rsidR="00A10B25" w:rsidRDefault="00A10B25">
            <w:pPr>
              <w:pStyle w:val="TAL"/>
              <w:rPr>
                <w:rFonts w:cs="Arial"/>
                <w:sz w:val="16"/>
                <w:szCs w:val="16"/>
              </w:rPr>
            </w:pPr>
            <w:r>
              <w:rPr>
                <w:rFonts w:cs="Arial"/>
                <w:color w:val="000000"/>
                <w:sz w:val="16"/>
                <w:szCs w:val="16"/>
              </w:rPr>
              <w:t>0665</w:t>
            </w:r>
          </w:p>
        </w:tc>
        <w:tc>
          <w:tcPr>
            <w:tcW w:w="423" w:type="dxa"/>
            <w:shd w:val="solid" w:color="FFFFFF" w:fill="auto"/>
          </w:tcPr>
          <w:p w14:paraId="7D3051CC"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41BF030F"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57E52B58" w14:textId="77777777" w:rsidR="00A10B25" w:rsidRDefault="00A10B25">
            <w:pPr>
              <w:pStyle w:val="TAL"/>
              <w:rPr>
                <w:rFonts w:cs="Arial"/>
                <w:sz w:val="16"/>
                <w:szCs w:val="16"/>
              </w:rPr>
            </w:pPr>
            <w:r>
              <w:rPr>
                <w:sz w:val="16"/>
              </w:rPr>
              <w:t>Enhancement of UE mobility for AnalyticsInfo Service</w:t>
            </w:r>
          </w:p>
        </w:tc>
        <w:tc>
          <w:tcPr>
            <w:tcW w:w="706" w:type="dxa"/>
            <w:shd w:val="solid" w:color="FFFFFF" w:fill="auto"/>
          </w:tcPr>
          <w:p w14:paraId="0DBCA118" w14:textId="77777777" w:rsidR="00A10B25" w:rsidRDefault="00A10B25">
            <w:pPr>
              <w:pStyle w:val="TAC"/>
              <w:rPr>
                <w:rFonts w:cs="Arial"/>
                <w:sz w:val="16"/>
                <w:szCs w:val="16"/>
              </w:rPr>
            </w:pPr>
            <w:r>
              <w:rPr>
                <w:sz w:val="16"/>
                <w:szCs w:val="16"/>
              </w:rPr>
              <w:t>18.1.0</w:t>
            </w:r>
          </w:p>
        </w:tc>
      </w:tr>
      <w:tr w:rsidR="00A10B25" w14:paraId="04E29B74" w14:textId="77777777">
        <w:tc>
          <w:tcPr>
            <w:tcW w:w="796" w:type="dxa"/>
            <w:shd w:val="solid" w:color="FFFFFF" w:fill="auto"/>
          </w:tcPr>
          <w:p w14:paraId="06B24FAB"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01A6FAC3"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7DEEC1AF"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4B895547" w14:textId="77777777" w:rsidR="00A10B25" w:rsidRDefault="00A10B25">
            <w:pPr>
              <w:pStyle w:val="TAL"/>
              <w:rPr>
                <w:rFonts w:cs="Arial"/>
                <w:sz w:val="16"/>
                <w:szCs w:val="16"/>
              </w:rPr>
            </w:pPr>
            <w:r>
              <w:rPr>
                <w:rFonts w:cs="Arial"/>
                <w:color w:val="000000"/>
                <w:sz w:val="16"/>
                <w:szCs w:val="16"/>
              </w:rPr>
              <w:t>0666</w:t>
            </w:r>
          </w:p>
        </w:tc>
        <w:tc>
          <w:tcPr>
            <w:tcW w:w="423" w:type="dxa"/>
            <w:shd w:val="solid" w:color="FFFFFF" w:fill="auto"/>
          </w:tcPr>
          <w:p w14:paraId="6E99702A"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0F70E044"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78583E7B" w14:textId="77777777" w:rsidR="00A10B25" w:rsidRDefault="00A10B25">
            <w:pPr>
              <w:pStyle w:val="TAL"/>
              <w:rPr>
                <w:rFonts w:cs="Arial"/>
                <w:sz w:val="16"/>
                <w:szCs w:val="16"/>
              </w:rPr>
            </w:pPr>
            <w:r>
              <w:rPr>
                <w:sz w:val="16"/>
              </w:rPr>
              <w:t>Enhancement of user data congestion for AnalyticsInfo Service</w:t>
            </w:r>
          </w:p>
        </w:tc>
        <w:tc>
          <w:tcPr>
            <w:tcW w:w="706" w:type="dxa"/>
            <w:shd w:val="solid" w:color="FFFFFF" w:fill="auto"/>
          </w:tcPr>
          <w:p w14:paraId="6C61F436" w14:textId="77777777" w:rsidR="00A10B25" w:rsidRDefault="00A10B25">
            <w:pPr>
              <w:pStyle w:val="TAC"/>
              <w:rPr>
                <w:rFonts w:cs="Arial"/>
                <w:sz w:val="16"/>
                <w:szCs w:val="16"/>
              </w:rPr>
            </w:pPr>
            <w:r>
              <w:rPr>
                <w:sz w:val="16"/>
                <w:szCs w:val="16"/>
              </w:rPr>
              <w:t>18.1.0</w:t>
            </w:r>
          </w:p>
        </w:tc>
      </w:tr>
      <w:tr w:rsidR="00A10B25" w14:paraId="775292A2" w14:textId="77777777">
        <w:tc>
          <w:tcPr>
            <w:tcW w:w="796" w:type="dxa"/>
            <w:shd w:val="solid" w:color="FFFFFF" w:fill="auto"/>
          </w:tcPr>
          <w:p w14:paraId="047270E9"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35623DDD"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14EC0900"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3E2203F1" w14:textId="77777777" w:rsidR="00A10B25" w:rsidRDefault="00A10B25">
            <w:pPr>
              <w:pStyle w:val="TAL"/>
              <w:rPr>
                <w:rFonts w:cs="Arial"/>
                <w:sz w:val="16"/>
                <w:szCs w:val="16"/>
              </w:rPr>
            </w:pPr>
            <w:r>
              <w:rPr>
                <w:rFonts w:cs="Arial"/>
                <w:color w:val="000000"/>
                <w:sz w:val="16"/>
                <w:szCs w:val="16"/>
              </w:rPr>
              <w:t>0667</w:t>
            </w:r>
          </w:p>
        </w:tc>
        <w:tc>
          <w:tcPr>
            <w:tcW w:w="423" w:type="dxa"/>
            <w:shd w:val="solid" w:color="FFFFFF" w:fill="auto"/>
          </w:tcPr>
          <w:p w14:paraId="39FDFE35" w14:textId="77777777" w:rsidR="00A10B25" w:rsidRDefault="00A10B25">
            <w:pPr>
              <w:pStyle w:val="TAR"/>
              <w:rPr>
                <w:rFonts w:cs="Arial"/>
                <w:sz w:val="16"/>
                <w:szCs w:val="16"/>
              </w:rPr>
            </w:pPr>
          </w:p>
        </w:tc>
        <w:tc>
          <w:tcPr>
            <w:tcW w:w="423" w:type="dxa"/>
            <w:shd w:val="solid" w:color="FFFFFF" w:fill="auto"/>
          </w:tcPr>
          <w:p w14:paraId="600DFFEF"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14205502" w14:textId="77777777" w:rsidR="00A10B25" w:rsidRDefault="00A10B25">
            <w:pPr>
              <w:pStyle w:val="TAL"/>
              <w:rPr>
                <w:rFonts w:cs="Arial"/>
                <w:sz w:val="16"/>
                <w:szCs w:val="16"/>
              </w:rPr>
            </w:pPr>
            <w:r>
              <w:rPr>
                <w:sz w:val="16"/>
              </w:rPr>
              <w:t>Support of multiple notification endpoints</w:t>
            </w:r>
          </w:p>
        </w:tc>
        <w:tc>
          <w:tcPr>
            <w:tcW w:w="706" w:type="dxa"/>
            <w:shd w:val="solid" w:color="FFFFFF" w:fill="auto"/>
          </w:tcPr>
          <w:p w14:paraId="3769F7C2" w14:textId="77777777" w:rsidR="00A10B25" w:rsidRDefault="00A10B25">
            <w:pPr>
              <w:pStyle w:val="TAC"/>
              <w:rPr>
                <w:rFonts w:cs="Arial"/>
                <w:sz w:val="16"/>
                <w:szCs w:val="16"/>
              </w:rPr>
            </w:pPr>
            <w:r>
              <w:rPr>
                <w:sz w:val="16"/>
                <w:szCs w:val="16"/>
              </w:rPr>
              <w:t>18.1.0</w:t>
            </w:r>
          </w:p>
        </w:tc>
      </w:tr>
      <w:tr w:rsidR="00A10B25" w14:paraId="283405DC" w14:textId="77777777">
        <w:tc>
          <w:tcPr>
            <w:tcW w:w="796" w:type="dxa"/>
            <w:shd w:val="solid" w:color="FFFFFF" w:fill="auto"/>
          </w:tcPr>
          <w:p w14:paraId="35D043CB"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11C58ECD"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63040FF5"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2DE520C4" w14:textId="77777777" w:rsidR="00A10B25" w:rsidRDefault="00A10B25">
            <w:pPr>
              <w:pStyle w:val="TAL"/>
              <w:rPr>
                <w:rFonts w:cs="Arial"/>
                <w:sz w:val="16"/>
                <w:szCs w:val="16"/>
              </w:rPr>
            </w:pPr>
            <w:r>
              <w:rPr>
                <w:rFonts w:cs="Arial"/>
                <w:color w:val="000000"/>
                <w:sz w:val="16"/>
                <w:szCs w:val="16"/>
              </w:rPr>
              <w:t>0668</w:t>
            </w:r>
          </w:p>
        </w:tc>
        <w:tc>
          <w:tcPr>
            <w:tcW w:w="423" w:type="dxa"/>
            <w:shd w:val="solid" w:color="FFFFFF" w:fill="auto"/>
          </w:tcPr>
          <w:p w14:paraId="4A26D538" w14:textId="77777777" w:rsidR="00A10B25" w:rsidRDefault="00A10B25">
            <w:pPr>
              <w:pStyle w:val="TAR"/>
              <w:rPr>
                <w:rFonts w:cs="Arial"/>
                <w:sz w:val="16"/>
                <w:szCs w:val="16"/>
              </w:rPr>
            </w:pPr>
          </w:p>
        </w:tc>
        <w:tc>
          <w:tcPr>
            <w:tcW w:w="423" w:type="dxa"/>
            <w:shd w:val="solid" w:color="FFFFFF" w:fill="auto"/>
          </w:tcPr>
          <w:p w14:paraId="4ECEB343"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ABFFD16" w14:textId="77777777" w:rsidR="00A10B25" w:rsidRDefault="00A10B25">
            <w:pPr>
              <w:pStyle w:val="TAL"/>
              <w:rPr>
                <w:rFonts w:cs="Arial"/>
                <w:sz w:val="16"/>
                <w:szCs w:val="16"/>
              </w:rPr>
            </w:pPr>
            <w:r>
              <w:rPr>
                <w:sz w:val="16"/>
              </w:rPr>
              <w:t>Support of ordering criterion for network performance</w:t>
            </w:r>
          </w:p>
        </w:tc>
        <w:tc>
          <w:tcPr>
            <w:tcW w:w="706" w:type="dxa"/>
            <w:shd w:val="solid" w:color="FFFFFF" w:fill="auto"/>
          </w:tcPr>
          <w:p w14:paraId="625D1679" w14:textId="77777777" w:rsidR="00A10B25" w:rsidRDefault="00A10B25">
            <w:pPr>
              <w:pStyle w:val="TAC"/>
              <w:rPr>
                <w:rFonts w:cs="Arial"/>
                <w:sz w:val="16"/>
                <w:szCs w:val="16"/>
              </w:rPr>
            </w:pPr>
            <w:r>
              <w:rPr>
                <w:sz w:val="16"/>
                <w:szCs w:val="16"/>
              </w:rPr>
              <w:t>18.1.0</w:t>
            </w:r>
          </w:p>
        </w:tc>
      </w:tr>
      <w:tr w:rsidR="00A10B25" w14:paraId="785FC90A" w14:textId="77777777">
        <w:tc>
          <w:tcPr>
            <w:tcW w:w="796" w:type="dxa"/>
            <w:shd w:val="solid" w:color="FFFFFF" w:fill="auto"/>
          </w:tcPr>
          <w:p w14:paraId="6ED1A3F5"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7B8BE270"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407AED61"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46F18478" w14:textId="77777777" w:rsidR="00A10B25" w:rsidRDefault="00A10B25">
            <w:pPr>
              <w:pStyle w:val="TAL"/>
              <w:rPr>
                <w:rFonts w:cs="Arial"/>
                <w:sz w:val="16"/>
                <w:szCs w:val="16"/>
              </w:rPr>
            </w:pPr>
            <w:r>
              <w:rPr>
                <w:rFonts w:cs="Arial"/>
                <w:color w:val="000000"/>
                <w:sz w:val="16"/>
                <w:szCs w:val="16"/>
              </w:rPr>
              <w:t>0669</w:t>
            </w:r>
          </w:p>
        </w:tc>
        <w:tc>
          <w:tcPr>
            <w:tcW w:w="423" w:type="dxa"/>
            <w:shd w:val="solid" w:color="FFFFFF" w:fill="auto"/>
          </w:tcPr>
          <w:p w14:paraId="3A73CE74" w14:textId="77777777" w:rsidR="00A10B25" w:rsidRDefault="00A10B25">
            <w:pPr>
              <w:pStyle w:val="TAR"/>
              <w:rPr>
                <w:rFonts w:cs="Arial"/>
                <w:sz w:val="16"/>
                <w:szCs w:val="16"/>
              </w:rPr>
            </w:pPr>
          </w:p>
        </w:tc>
        <w:tc>
          <w:tcPr>
            <w:tcW w:w="423" w:type="dxa"/>
            <w:shd w:val="solid" w:color="FFFFFF" w:fill="auto"/>
          </w:tcPr>
          <w:p w14:paraId="07C41056"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07B35EB4" w14:textId="77777777" w:rsidR="00A10B25" w:rsidRDefault="00A10B25">
            <w:pPr>
              <w:pStyle w:val="TAL"/>
              <w:rPr>
                <w:rFonts w:cs="Arial"/>
                <w:sz w:val="16"/>
                <w:szCs w:val="16"/>
              </w:rPr>
            </w:pPr>
            <w:r>
              <w:rPr>
                <w:sz w:val="16"/>
              </w:rPr>
              <w:t>Support of ordering criterion for UE communication</w:t>
            </w:r>
          </w:p>
        </w:tc>
        <w:tc>
          <w:tcPr>
            <w:tcW w:w="706" w:type="dxa"/>
            <w:shd w:val="solid" w:color="FFFFFF" w:fill="auto"/>
          </w:tcPr>
          <w:p w14:paraId="0744E05B" w14:textId="77777777" w:rsidR="00A10B25" w:rsidRDefault="00A10B25">
            <w:pPr>
              <w:pStyle w:val="TAC"/>
              <w:rPr>
                <w:rFonts w:cs="Arial"/>
                <w:sz w:val="16"/>
                <w:szCs w:val="16"/>
              </w:rPr>
            </w:pPr>
            <w:r>
              <w:rPr>
                <w:sz w:val="16"/>
                <w:szCs w:val="16"/>
              </w:rPr>
              <w:t>18.1.0</w:t>
            </w:r>
          </w:p>
        </w:tc>
      </w:tr>
      <w:tr w:rsidR="00A10B25" w14:paraId="6D00C3EB" w14:textId="77777777">
        <w:tc>
          <w:tcPr>
            <w:tcW w:w="796" w:type="dxa"/>
            <w:shd w:val="solid" w:color="FFFFFF" w:fill="auto"/>
          </w:tcPr>
          <w:p w14:paraId="0DB07780"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45E52E82"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436163C"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29FFA994" w14:textId="77777777" w:rsidR="00A10B25" w:rsidRDefault="00A10B25">
            <w:pPr>
              <w:pStyle w:val="TAL"/>
              <w:rPr>
                <w:rFonts w:cs="Arial"/>
                <w:sz w:val="16"/>
                <w:szCs w:val="16"/>
              </w:rPr>
            </w:pPr>
            <w:r>
              <w:rPr>
                <w:rFonts w:cs="Arial"/>
                <w:color w:val="000000"/>
                <w:sz w:val="16"/>
                <w:szCs w:val="16"/>
              </w:rPr>
              <w:t>0670</w:t>
            </w:r>
          </w:p>
        </w:tc>
        <w:tc>
          <w:tcPr>
            <w:tcW w:w="423" w:type="dxa"/>
            <w:shd w:val="solid" w:color="FFFFFF" w:fill="auto"/>
          </w:tcPr>
          <w:p w14:paraId="50196BEE"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7A4E6924"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2D24888F" w14:textId="77777777" w:rsidR="00A10B25" w:rsidRDefault="00A10B25">
            <w:pPr>
              <w:pStyle w:val="TAL"/>
              <w:rPr>
                <w:rFonts w:cs="Arial"/>
                <w:sz w:val="16"/>
                <w:szCs w:val="16"/>
              </w:rPr>
            </w:pPr>
            <w:r>
              <w:rPr>
                <w:sz w:val="16"/>
              </w:rPr>
              <w:t>Support of ordering criterion for UE mobility</w:t>
            </w:r>
          </w:p>
        </w:tc>
        <w:tc>
          <w:tcPr>
            <w:tcW w:w="706" w:type="dxa"/>
            <w:shd w:val="solid" w:color="FFFFFF" w:fill="auto"/>
          </w:tcPr>
          <w:p w14:paraId="6D97A0CD" w14:textId="77777777" w:rsidR="00A10B25" w:rsidRDefault="00A10B25">
            <w:pPr>
              <w:pStyle w:val="TAC"/>
              <w:rPr>
                <w:rFonts w:cs="Arial"/>
                <w:sz w:val="16"/>
                <w:szCs w:val="16"/>
              </w:rPr>
            </w:pPr>
            <w:r>
              <w:rPr>
                <w:sz w:val="16"/>
                <w:szCs w:val="16"/>
              </w:rPr>
              <w:t>18.1.0</w:t>
            </w:r>
          </w:p>
        </w:tc>
      </w:tr>
      <w:tr w:rsidR="00A10B25" w14:paraId="6D5311FA" w14:textId="77777777">
        <w:tc>
          <w:tcPr>
            <w:tcW w:w="796" w:type="dxa"/>
            <w:shd w:val="solid" w:color="FFFFFF" w:fill="auto"/>
          </w:tcPr>
          <w:p w14:paraId="5168FA7E"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435E91CF"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1E0C8A78" w14:textId="77777777" w:rsidR="00A10B25" w:rsidRDefault="00A10B25">
            <w:pPr>
              <w:pStyle w:val="TAC"/>
              <w:rPr>
                <w:rFonts w:cs="Arial"/>
                <w:sz w:val="16"/>
                <w:szCs w:val="16"/>
              </w:rPr>
            </w:pPr>
            <w:r>
              <w:rPr>
                <w:rFonts w:cs="Arial"/>
                <w:color w:val="000000"/>
                <w:sz w:val="16"/>
                <w:szCs w:val="16"/>
              </w:rPr>
              <w:t>CP-230149</w:t>
            </w:r>
          </w:p>
        </w:tc>
        <w:tc>
          <w:tcPr>
            <w:tcW w:w="523" w:type="dxa"/>
            <w:shd w:val="solid" w:color="FFFFFF" w:fill="auto"/>
          </w:tcPr>
          <w:p w14:paraId="6228D005" w14:textId="77777777" w:rsidR="00A10B25" w:rsidRDefault="00A10B25">
            <w:pPr>
              <w:pStyle w:val="TAL"/>
              <w:rPr>
                <w:rFonts w:cs="Arial"/>
                <w:sz w:val="16"/>
                <w:szCs w:val="16"/>
              </w:rPr>
            </w:pPr>
            <w:r>
              <w:rPr>
                <w:rFonts w:cs="Arial"/>
                <w:color w:val="000000"/>
                <w:sz w:val="16"/>
                <w:szCs w:val="16"/>
              </w:rPr>
              <w:t>0671</w:t>
            </w:r>
          </w:p>
        </w:tc>
        <w:tc>
          <w:tcPr>
            <w:tcW w:w="423" w:type="dxa"/>
            <w:shd w:val="solid" w:color="FFFFFF" w:fill="auto"/>
          </w:tcPr>
          <w:p w14:paraId="52C13305"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58CF3389"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1FF8FE1E" w14:textId="77777777" w:rsidR="00A10B25" w:rsidRDefault="00A10B25">
            <w:pPr>
              <w:pStyle w:val="TAL"/>
              <w:rPr>
                <w:rFonts w:cs="Arial"/>
                <w:sz w:val="16"/>
                <w:szCs w:val="16"/>
              </w:rPr>
            </w:pPr>
            <w:r>
              <w:rPr>
                <w:sz w:val="16"/>
              </w:rPr>
              <w:t>Support of ordering criterion for user data congestion</w:t>
            </w:r>
          </w:p>
        </w:tc>
        <w:tc>
          <w:tcPr>
            <w:tcW w:w="706" w:type="dxa"/>
            <w:shd w:val="solid" w:color="FFFFFF" w:fill="auto"/>
          </w:tcPr>
          <w:p w14:paraId="2E39753B" w14:textId="77777777" w:rsidR="00A10B25" w:rsidRDefault="00A10B25">
            <w:pPr>
              <w:pStyle w:val="TAC"/>
              <w:rPr>
                <w:rFonts w:cs="Arial"/>
                <w:sz w:val="16"/>
                <w:szCs w:val="16"/>
              </w:rPr>
            </w:pPr>
            <w:r>
              <w:rPr>
                <w:sz w:val="16"/>
                <w:szCs w:val="16"/>
              </w:rPr>
              <w:t>18.1.0</w:t>
            </w:r>
          </w:p>
        </w:tc>
      </w:tr>
      <w:tr w:rsidR="00A10B25" w14:paraId="551BDCE0" w14:textId="77777777">
        <w:tc>
          <w:tcPr>
            <w:tcW w:w="796" w:type="dxa"/>
            <w:shd w:val="solid" w:color="FFFFFF" w:fill="auto"/>
          </w:tcPr>
          <w:p w14:paraId="26E590D8"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4FF26D09"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224DBF73"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1BB655B4" w14:textId="77777777" w:rsidR="00A10B25" w:rsidRDefault="00A10B25">
            <w:pPr>
              <w:pStyle w:val="TAL"/>
              <w:rPr>
                <w:rFonts w:cs="Arial"/>
                <w:sz w:val="16"/>
                <w:szCs w:val="16"/>
              </w:rPr>
            </w:pPr>
            <w:r>
              <w:rPr>
                <w:rFonts w:cs="Arial"/>
                <w:color w:val="000000"/>
                <w:sz w:val="16"/>
                <w:szCs w:val="16"/>
              </w:rPr>
              <w:t>0672</w:t>
            </w:r>
          </w:p>
        </w:tc>
        <w:tc>
          <w:tcPr>
            <w:tcW w:w="423" w:type="dxa"/>
            <w:shd w:val="solid" w:color="FFFFFF" w:fill="auto"/>
          </w:tcPr>
          <w:p w14:paraId="3D029356" w14:textId="77777777" w:rsidR="00A10B25" w:rsidRDefault="00A10B25">
            <w:pPr>
              <w:pStyle w:val="TAR"/>
              <w:rPr>
                <w:rFonts w:cs="Arial"/>
                <w:sz w:val="16"/>
                <w:szCs w:val="16"/>
              </w:rPr>
            </w:pPr>
          </w:p>
        </w:tc>
        <w:tc>
          <w:tcPr>
            <w:tcW w:w="423" w:type="dxa"/>
            <w:shd w:val="solid" w:color="FFFFFF" w:fill="auto"/>
          </w:tcPr>
          <w:p w14:paraId="26DB25E2"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40490832" w14:textId="77777777" w:rsidR="00A10B25" w:rsidRDefault="00A10B25">
            <w:pPr>
              <w:pStyle w:val="TAL"/>
              <w:rPr>
                <w:rFonts w:cs="Arial"/>
                <w:sz w:val="16"/>
                <w:szCs w:val="16"/>
              </w:rPr>
            </w:pPr>
            <w:r>
              <w:rPr>
                <w:sz w:val="16"/>
              </w:rPr>
              <w:t>Support of the acceptable deviation from the threshold for QoS Sustainability</w:t>
            </w:r>
          </w:p>
        </w:tc>
        <w:tc>
          <w:tcPr>
            <w:tcW w:w="706" w:type="dxa"/>
            <w:shd w:val="solid" w:color="FFFFFF" w:fill="auto"/>
          </w:tcPr>
          <w:p w14:paraId="4CCC4FBD" w14:textId="77777777" w:rsidR="00A10B25" w:rsidRDefault="00A10B25">
            <w:pPr>
              <w:pStyle w:val="TAC"/>
              <w:rPr>
                <w:rFonts w:cs="Arial"/>
                <w:sz w:val="16"/>
                <w:szCs w:val="16"/>
              </w:rPr>
            </w:pPr>
            <w:r>
              <w:rPr>
                <w:sz w:val="16"/>
                <w:szCs w:val="16"/>
              </w:rPr>
              <w:t>18.1.0</w:t>
            </w:r>
          </w:p>
        </w:tc>
      </w:tr>
      <w:tr w:rsidR="00A10B25" w14:paraId="1CE4617C" w14:textId="77777777">
        <w:tc>
          <w:tcPr>
            <w:tcW w:w="796" w:type="dxa"/>
            <w:shd w:val="solid" w:color="FFFFFF" w:fill="auto"/>
          </w:tcPr>
          <w:p w14:paraId="28F567B3"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69980E33"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0965A202" w14:textId="77777777" w:rsidR="00A10B25" w:rsidRDefault="00A10B25">
            <w:pPr>
              <w:pStyle w:val="TAC"/>
              <w:rPr>
                <w:rFonts w:cs="Arial"/>
                <w:sz w:val="16"/>
                <w:szCs w:val="16"/>
              </w:rPr>
            </w:pPr>
            <w:r>
              <w:rPr>
                <w:rFonts w:cs="Arial"/>
                <w:color w:val="000000"/>
                <w:sz w:val="16"/>
                <w:szCs w:val="16"/>
              </w:rPr>
              <w:t>CP-230148</w:t>
            </w:r>
          </w:p>
        </w:tc>
        <w:tc>
          <w:tcPr>
            <w:tcW w:w="523" w:type="dxa"/>
            <w:shd w:val="solid" w:color="FFFFFF" w:fill="auto"/>
          </w:tcPr>
          <w:p w14:paraId="1B04D449" w14:textId="77777777" w:rsidR="00A10B25" w:rsidRDefault="00A10B25">
            <w:pPr>
              <w:pStyle w:val="TAL"/>
              <w:rPr>
                <w:rFonts w:cs="Arial"/>
                <w:sz w:val="16"/>
                <w:szCs w:val="16"/>
              </w:rPr>
            </w:pPr>
            <w:r>
              <w:rPr>
                <w:rFonts w:cs="Arial"/>
                <w:color w:val="000000"/>
                <w:sz w:val="16"/>
                <w:szCs w:val="16"/>
              </w:rPr>
              <w:t>0673</w:t>
            </w:r>
          </w:p>
        </w:tc>
        <w:tc>
          <w:tcPr>
            <w:tcW w:w="423" w:type="dxa"/>
            <w:shd w:val="solid" w:color="FFFFFF" w:fill="auto"/>
          </w:tcPr>
          <w:p w14:paraId="2350B8C8" w14:textId="77777777" w:rsidR="00A10B25" w:rsidRDefault="00A10B25">
            <w:pPr>
              <w:pStyle w:val="TAR"/>
              <w:rPr>
                <w:rFonts w:cs="Arial"/>
                <w:sz w:val="16"/>
                <w:szCs w:val="16"/>
              </w:rPr>
            </w:pPr>
          </w:p>
        </w:tc>
        <w:tc>
          <w:tcPr>
            <w:tcW w:w="423" w:type="dxa"/>
            <w:shd w:val="solid" w:color="FFFFFF" w:fill="auto"/>
          </w:tcPr>
          <w:p w14:paraId="6ACD9656"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6C0D5E98" w14:textId="77777777" w:rsidR="00A10B25" w:rsidRDefault="00A10B25">
            <w:pPr>
              <w:pStyle w:val="TAL"/>
              <w:rPr>
                <w:rFonts w:cs="Arial"/>
                <w:sz w:val="16"/>
                <w:szCs w:val="16"/>
              </w:rPr>
            </w:pPr>
            <w:r>
              <w:rPr>
                <w:sz w:val="16"/>
              </w:rPr>
              <w:t>Support of the amount information in the notification for Abnormal behaviour</w:t>
            </w:r>
          </w:p>
        </w:tc>
        <w:tc>
          <w:tcPr>
            <w:tcW w:w="706" w:type="dxa"/>
            <w:shd w:val="solid" w:color="FFFFFF" w:fill="auto"/>
          </w:tcPr>
          <w:p w14:paraId="57F2E913" w14:textId="77777777" w:rsidR="00A10B25" w:rsidRDefault="00A10B25">
            <w:pPr>
              <w:pStyle w:val="TAC"/>
              <w:rPr>
                <w:rFonts w:cs="Arial"/>
                <w:sz w:val="16"/>
                <w:szCs w:val="16"/>
              </w:rPr>
            </w:pPr>
            <w:r>
              <w:rPr>
                <w:sz w:val="16"/>
                <w:szCs w:val="16"/>
              </w:rPr>
              <w:t>18.1.0</w:t>
            </w:r>
          </w:p>
        </w:tc>
      </w:tr>
      <w:tr w:rsidR="00A10B25" w14:paraId="3A1EAECF" w14:textId="77777777">
        <w:tc>
          <w:tcPr>
            <w:tcW w:w="796" w:type="dxa"/>
            <w:shd w:val="solid" w:color="FFFFFF" w:fill="auto"/>
          </w:tcPr>
          <w:p w14:paraId="007C94E3" w14:textId="77777777" w:rsidR="00A10B25" w:rsidRDefault="00A10B25">
            <w:pPr>
              <w:pStyle w:val="TAC"/>
              <w:rPr>
                <w:rFonts w:cs="Arial"/>
                <w:sz w:val="16"/>
                <w:szCs w:val="16"/>
              </w:rPr>
            </w:pPr>
            <w:r>
              <w:rPr>
                <w:sz w:val="16"/>
                <w:szCs w:val="16"/>
                <w:lang w:val="en-US" w:eastAsia="zh-CN"/>
              </w:rPr>
              <w:t>2023-03</w:t>
            </w:r>
          </w:p>
        </w:tc>
        <w:tc>
          <w:tcPr>
            <w:tcW w:w="828" w:type="dxa"/>
            <w:shd w:val="solid" w:color="FFFFFF" w:fill="auto"/>
          </w:tcPr>
          <w:p w14:paraId="46687CD7" w14:textId="77777777" w:rsidR="00A10B25" w:rsidRDefault="00A10B25">
            <w:pPr>
              <w:pStyle w:val="TAC"/>
              <w:rPr>
                <w:rFonts w:cs="Arial"/>
                <w:sz w:val="16"/>
                <w:szCs w:val="16"/>
              </w:rPr>
            </w:pPr>
            <w:r>
              <w:rPr>
                <w:sz w:val="16"/>
                <w:szCs w:val="16"/>
                <w:lang w:val="en-US" w:eastAsia="zh-CN"/>
              </w:rPr>
              <w:t>CT#99</w:t>
            </w:r>
          </w:p>
        </w:tc>
        <w:tc>
          <w:tcPr>
            <w:tcW w:w="1083" w:type="dxa"/>
            <w:shd w:val="solid" w:color="FFFFFF" w:fill="auto"/>
          </w:tcPr>
          <w:p w14:paraId="318A1CAC" w14:textId="77777777" w:rsidR="00A10B25" w:rsidRDefault="00A10B25">
            <w:pPr>
              <w:pStyle w:val="TAC"/>
              <w:rPr>
                <w:sz w:val="16"/>
                <w:szCs w:val="16"/>
                <w:lang w:val="en-US" w:eastAsia="zh-CN"/>
              </w:rPr>
            </w:pPr>
            <w:r>
              <w:rPr>
                <w:sz w:val="16"/>
                <w:szCs w:val="16"/>
                <w:lang w:val="en-US" w:eastAsia="zh-CN"/>
              </w:rPr>
              <w:t>CP-230149</w:t>
            </w:r>
          </w:p>
        </w:tc>
        <w:tc>
          <w:tcPr>
            <w:tcW w:w="523" w:type="dxa"/>
            <w:shd w:val="solid" w:color="FFFFFF" w:fill="auto"/>
          </w:tcPr>
          <w:p w14:paraId="1A7ACC40" w14:textId="77777777" w:rsidR="00A10B25" w:rsidRDefault="00A10B25">
            <w:pPr>
              <w:pStyle w:val="TAL"/>
              <w:rPr>
                <w:sz w:val="16"/>
                <w:szCs w:val="16"/>
                <w:lang w:val="en-US" w:eastAsia="zh-CN"/>
              </w:rPr>
            </w:pPr>
            <w:r>
              <w:rPr>
                <w:sz w:val="16"/>
                <w:szCs w:val="16"/>
                <w:lang w:val="en-US" w:eastAsia="zh-CN"/>
              </w:rPr>
              <w:t>0674</w:t>
            </w:r>
          </w:p>
        </w:tc>
        <w:tc>
          <w:tcPr>
            <w:tcW w:w="423" w:type="dxa"/>
            <w:shd w:val="solid" w:color="FFFFFF" w:fill="auto"/>
          </w:tcPr>
          <w:p w14:paraId="73FA7DF3" w14:textId="77777777" w:rsidR="00A10B25" w:rsidRDefault="00A10B25">
            <w:pPr>
              <w:pStyle w:val="TAR"/>
              <w:rPr>
                <w:rFonts w:cs="Arial"/>
                <w:sz w:val="16"/>
                <w:szCs w:val="16"/>
              </w:rPr>
            </w:pPr>
            <w:r>
              <w:rPr>
                <w:rFonts w:cs="Arial"/>
                <w:color w:val="000000"/>
                <w:sz w:val="16"/>
                <w:szCs w:val="16"/>
              </w:rPr>
              <w:t>1</w:t>
            </w:r>
          </w:p>
        </w:tc>
        <w:tc>
          <w:tcPr>
            <w:tcW w:w="423" w:type="dxa"/>
            <w:shd w:val="solid" w:color="FFFFFF" w:fill="auto"/>
          </w:tcPr>
          <w:p w14:paraId="6BBED726" w14:textId="77777777" w:rsidR="00A10B25" w:rsidRDefault="00A10B25">
            <w:pPr>
              <w:pStyle w:val="TAC"/>
              <w:rPr>
                <w:rFonts w:cs="Arial"/>
                <w:sz w:val="16"/>
                <w:szCs w:val="16"/>
              </w:rPr>
            </w:pPr>
            <w:r>
              <w:rPr>
                <w:sz w:val="16"/>
                <w:szCs w:val="16"/>
                <w:lang w:val="en-US" w:eastAsia="zh-CN"/>
              </w:rPr>
              <w:t>B</w:t>
            </w:r>
          </w:p>
        </w:tc>
        <w:tc>
          <w:tcPr>
            <w:tcW w:w="4899" w:type="dxa"/>
            <w:shd w:val="solid" w:color="FFFFFF" w:fill="auto"/>
          </w:tcPr>
          <w:p w14:paraId="1350C106" w14:textId="77777777" w:rsidR="00A10B25" w:rsidRDefault="00A10B25">
            <w:pPr>
              <w:pStyle w:val="TAL"/>
              <w:rPr>
                <w:rFonts w:cs="Arial"/>
                <w:sz w:val="16"/>
                <w:szCs w:val="16"/>
              </w:rPr>
            </w:pPr>
            <w:r>
              <w:rPr>
                <w:sz w:val="16"/>
              </w:rPr>
              <w:t>Update the enumeration value of preferred level of accuracy</w:t>
            </w:r>
          </w:p>
        </w:tc>
        <w:tc>
          <w:tcPr>
            <w:tcW w:w="706" w:type="dxa"/>
            <w:shd w:val="solid" w:color="FFFFFF" w:fill="auto"/>
          </w:tcPr>
          <w:p w14:paraId="1C09AC2B" w14:textId="77777777" w:rsidR="00A10B25" w:rsidRDefault="00A10B25">
            <w:pPr>
              <w:pStyle w:val="TAC"/>
              <w:rPr>
                <w:rFonts w:cs="Arial"/>
                <w:sz w:val="16"/>
                <w:szCs w:val="16"/>
              </w:rPr>
            </w:pPr>
            <w:r>
              <w:rPr>
                <w:sz w:val="16"/>
                <w:szCs w:val="16"/>
              </w:rPr>
              <w:t>18.1.0</w:t>
            </w:r>
          </w:p>
        </w:tc>
      </w:tr>
      <w:tr w:rsidR="00A10B25" w14:paraId="30AC00E2"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6251616" w14:textId="77777777" w:rsidR="00A10B25" w:rsidRDefault="00A10B25">
            <w:pPr>
              <w:pStyle w:val="TAC"/>
              <w:rPr>
                <w:rFonts w:cs="Arial"/>
                <w:sz w:val="16"/>
                <w:szCs w:val="16"/>
              </w:rPr>
            </w:pPr>
            <w:r>
              <w:rPr>
                <w:sz w:val="16"/>
                <w:szCs w:val="16"/>
                <w:lang w:val="en-US" w:eastAsia="zh-CN"/>
              </w:rPr>
              <w:lastRenderedPageBreak/>
              <w:t>2023-03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7CD307F" w14:textId="77777777" w:rsidR="00A10B25" w:rsidRDefault="00A10B25">
            <w:pPr>
              <w:pStyle w:val="TAC"/>
              <w:rPr>
                <w:rFonts w:cs="Arial"/>
                <w:sz w:val="16"/>
                <w:szCs w:val="16"/>
              </w:rPr>
            </w:pPr>
            <w:r>
              <w:rPr>
                <w:sz w:val="16"/>
                <w:szCs w:val="16"/>
                <w:lang w:val="en-US" w:eastAsia="zh-CN"/>
              </w:rPr>
              <w:t>CT#99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CA3E32" w14:textId="77777777" w:rsidR="00A10B25" w:rsidRDefault="00A10B25">
            <w:pPr>
              <w:pStyle w:val="TAC"/>
              <w:rPr>
                <w:sz w:val="16"/>
                <w:szCs w:val="16"/>
                <w:lang w:val="en-US" w:eastAsia="zh-CN"/>
              </w:rPr>
            </w:pPr>
            <w:r>
              <w:rPr>
                <w:sz w:val="16"/>
                <w:szCs w:val="16"/>
                <w:lang w:val="en-US" w:eastAsia="zh-CN"/>
              </w:rPr>
              <w:t>CP-230161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AC0D7A3" w14:textId="77777777" w:rsidR="00A10B25" w:rsidRDefault="00A10B25">
            <w:pPr>
              <w:pStyle w:val="TAL"/>
              <w:rPr>
                <w:sz w:val="16"/>
                <w:szCs w:val="16"/>
                <w:lang w:val="en-US" w:eastAsia="zh-CN"/>
              </w:rPr>
            </w:pPr>
            <w:r>
              <w:rPr>
                <w:sz w:val="16"/>
                <w:szCs w:val="16"/>
                <w:lang w:val="en-US" w:eastAsia="zh-CN"/>
              </w:rPr>
              <w:t>0687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1D4907" w14:textId="77777777" w:rsidR="00A10B25" w:rsidRDefault="00A10B25">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876FF4" w14:textId="77777777" w:rsidR="00A10B25" w:rsidRDefault="00A10B25">
            <w:pPr>
              <w:pStyle w:val="TAC"/>
              <w:rPr>
                <w:rFonts w:cs="Arial"/>
                <w:sz w:val="16"/>
                <w:szCs w:val="16"/>
              </w:rPr>
            </w:pPr>
            <w:r>
              <w:rPr>
                <w:sz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7DEB862" w14:textId="77777777" w:rsidR="00A10B25" w:rsidRDefault="00A10B25">
            <w:pPr>
              <w:pStyle w:val="TAL"/>
              <w:rPr>
                <w:rFonts w:cs="Arial"/>
                <w:sz w:val="16"/>
                <w:szCs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6547226" w14:textId="77777777" w:rsidR="00A10B25" w:rsidRDefault="00A10B25">
            <w:pPr>
              <w:pStyle w:val="TAC"/>
              <w:rPr>
                <w:rFonts w:cs="Arial"/>
                <w:sz w:val="16"/>
                <w:szCs w:val="16"/>
              </w:rPr>
            </w:pPr>
            <w:r>
              <w:rPr>
                <w:sz w:val="16"/>
                <w:szCs w:val="16"/>
              </w:rPr>
              <w:t>18.1.0</w:t>
            </w:r>
          </w:p>
        </w:tc>
      </w:tr>
      <w:tr w:rsidR="00A10B25" w14:paraId="03D6777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1AAB937"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904807"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27EE3D"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DEB6EC0" w14:textId="77777777" w:rsidR="00A10B25" w:rsidRDefault="00A10B25">
            <w:pPr>
              <w:pStyle w:val="TAL"/>
              <w:rPr>
                <w:sz w:val="16"/>
                <w:szCs w:val="16"/>
                <w:lang w:val="en-US" w:eastAsia="zh-CN"/>
              </w:rPr>
            </w:pPr>
            <w:r>
              <w:rPr>
                <w:sz w:val="16"/>
                <w:szCs w:val="16"/>
                <w:lang w:val="en-US" w:eastAsia="zh-CN"/>
              </w:rPr>
              <w:t>0626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C04BEB9" w14:textId="77777777" w:rsidR="00A10B25" w:rsidRDefault="00A10B25">
            <w:pPr>
              <w:pStyle w:val="TAR"/>
              <w:rPr>
                <w:rFonts w:cs="Arial"/>
                <w:color w:val="000000"/>
                <w:sz w:val="16"/>
                <w:szCs w:val="16"/>
              </w:rPr>
            </w:pPr>
            <w:r>
              <w:rPr>
                <w:rFonts w:cs="Arial"/>
                <w:color w:val="000000"/>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D15AC8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388917C" w14:textId="77777777" w:rsidR="00A10B25" w:rsidRDefault="00A10B25">
            <w:pPr>
              <w:pStyle w:val="TAL"/>
              <w:rPr>
                <w:sz w:val="16"/>
              </w:rPr>
            </w:pPr>
            <w:r>
              <w:rPr>
                <w:sz w:val="16"/>
              </w:rPr>
              <w:t>Updates for DN performance of Group UEs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941FEBD" w14:textId="77777777" w:rsidR="00A10B25" w:rsidRDefault="00A10B25">
            <w:pPr>
              <w:pStyle w:val="TAC"/>
              <w:rPr>
                <w:sz w:val="16"/>
                <w:szCs w:val="16"/>
              </w:rPr>
            </w:pPr>
            <w:r>
              <w:rPr>
                <w:sz w:val="16"/>
                <w:szCs w:val="16"/>
              </w:rPr>
              <w:t>18.2.0</w:t>
            </w:r>
          </w:p>
        </w:tc>
      </w:tr>
      <w:tr w:rsidR="00A10B25" w14:paraId="6BFB002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5B121A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644029"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FE257C"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FF0CF8D" w14:textId="77777777" w:rsidR="00A10B25" w:rsidRDefault="00A10B25">
            <w:pPr>
              <w:pStyle w:val="TAL"/>
              <w:rPr>
                <w:sz w:val="16"/>
                <w:szCs w:val="16"/>
                <w:lang w:val="en-US" w:eastAsia="zh-CN"/>
              </w:rPr>
            </w:pPr>
            <w:r>
              <w:rPr>
                <w:sz w:val="16"/>
                <w:szCs w:val="16"/>
                <w:lang w:val="en-US" w:eastAsia="zh-CN"/>
              </w:rPr>
              <w:t>0627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573554"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A5C0F2"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1E7A6D4" w14:textId="77777777" w:rsidR="00A10B25" w:rsidRDefault="00A10B25">
            <w:pPr>
              <w:pStyle w:val="TAL"/>
              <w:rPr>
                <w:sz w:val="16"/>
              </w:rPr>
            </w:pPr>
            <w:r>
              <w:rPr>
                <w:sz w:val="16"/>
              </w:rPr>
              <w:t>Updates for DN performance of Group UEs in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EF80595" w14:textId="77777777" w:rsidR="00A10B25" w:rsidRDefault="00A10B25">
            <w:pPr>
              <w:pStyle w:val="TAC"/>
              <w:rPr>
                <w:sz w:val="16"/>
                <w:szCs w:val="16"/>
              </w:rPr>
            </w:pPr>
            <w:r>
              <w:rPr>
                <w:sz w:val="16"/>
                <w:szCs w:val="16"/>
              </w:rPr>
              <w:t>18.2.0</w:t>
            </w:r>
          </w:p>
        </w:tc>
      </w:tr>
      <w:tr w:rsidR="00A10B25" w14:paraId="17DD7EF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7423FB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9273FE"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78B96F"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66E88DB" w14:textId="77777777" w:rsidR="00A10B25" w:rsidRDefault="00A10B25">
            <w:pPr>
              <w:pStyle w:val="TAL"/>
              <w:rPr>
                <w:sz w:val="16"/>
                <w:szCs w:val="16"/>
                <w:lang w:val="en-US" w:eastAsia="zh-CN"/>
              </w:rPr>
            </w:pPr>
            <w:r>
              <w:rPr>
                <w:sz w:val="16"/>
                <w:szCs w:val="16"/>
                <w:lang w:val="en-US" w:eastAsia="zh-CN"/>
              </w:rPr>
              <w:t>0628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84EF81"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E51FAC"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FFCF469" w14:textId="77777777" w:rsidR="00A10B25" w:rsidRDefault="00A10B25">
            <w:pPr>
              <w:pStyle w:val="TAL"/>
              <w:rPr>
                <w:sz w:val="16"/>
              </w:rPr>
            </w:pPr>
            <w:r>
              <w:rPr>
                <w:sz w:val="16"/>
              </w:rPr>
              <w:t>Updates to UE Mobility support FL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6391B6A" w14:textId="77777777" w:rsidR="00A10B25" w:rsidRDefault="00A10B25">
            <w:pPr>
              <w:pStyle w:val="TAC"/>
              <w:rPr>
                <w:sz w:val="16"/>
                <w:szCs w:val="16"/>
              </w:rPr>
            </w:pPr>
            <w:r>
              <w:rPr>
                <w:sz w:val="16"/>
                <w:szCs w:val="16"/>
              </w:rPr>
              <w:t>18.2.0</w:t>
            </w:r>
          </w:p>
        </w:tc>
      </w:tr>
      <w:tr w:rsidR="00A10B25" w14:paraId="13F34C9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75D5C58"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3AC6ACB"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9CAE2"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9391179" w14:textId="77777777" w:rsidR="00A10B25" w:rsidRDefault="00A10B25">
            <w:pPr>
              <w:pStyle w:val="TAL"/>
              <w:rPr>
                <w:sz w:val="16"/>
                <w:szCs w:val="16"/>
                <w:lang w:val="en-US" w:eastAsia="zh-CN"/>
              </w:rPr>
            </w:pPr>
            <w:r>
              <w:rPr>
                <w:sz w:val="16"/>
                <w:szCs w:val="16"/>
                <w:lang w:val="en-US" w:eastAsia="zh-CN"/>
              </w:rPr>
              <w:t>0629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D6032D6"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8B1A73"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9829E65" w14:textId="77777777" w:rsidR="00A10B25" w:rsidRDefault="00A10B25">
            <w:pPr>
              <w:pStyle w:val="TAL"/>
              <w:rPr>
                <w:sz w:val="16"/>
              </w:rPr>
            </w:pPr>
            <w:r>
              <w:rPr>
                <w:sz w:val="16"/>
              </w:rPr>
              <w:t>Update for UE Mobility support FL in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30362D4" w14:textId="77777777" w:rsidR="00A10B25" w:rsidRDefault="00A10B25">
            <w:pPr>
              <w:pStyle w:val="TAC"/>
              <w:rPr>
                <w:sz w:val="16"/>
                <w:szCs w:val="16"/>
              </w:rPr>
            </w:pPr>
            <w:r>
              <w:rPr>
                <w:sz w:val="16"/>
                <w:szCs w:val="16"/>
              </w:rPr>
              <w:t>18.2.0</w:t>
            </w:r>
          </w:p>
        </w:tc>
      </w:tr>
      <w:tr w:rsidR="00A10B25" w14:paraId="051B30A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7CCF937"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81A912"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3FD535"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5E3188A" w14:textId="77777777" w:rsidR="00A10B25" w:rsidRDefault="00A10B25">
            <w:pPr>
              <w:pStyle w:val="TAL"/>
              <w:rPr>
                <w:sz w:val="16"/>
                <w:szCs w:val="16"/>
                <w:lang w:val="en-US" w:eastAsia="zh-CN"/>
              </w:rPr>
            </w:pPr>
            <w:r>
              <w:rPr>
                <w:sz w:val="16"/>
                <w:szCs w:val="16"/>
                <w:lang w:val="en-US" w:eastAsia="zh-CN"/>
              </w:rPr>
              <w:t>0675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4312826"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CDDEE41"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90A1326" w14:textId="77777777" w:rsidR="00A10B25" w:rsidRDefault="00A10B25">
            <w:pPr>
              <w:pStyle w:val="TAL"/>
              <w:rPr>
                <w:sz w:val="16"/>
              </w:rPr>
            </w:pPr>
            <w:r>
              <w:rPr>
                <w:sz w:val="16"/>
              </w:rPr>
              <w:t>Support NWDAF assisted URSPs in Service Experience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28D62FD" w14:textId="77777777" w:rsidR="00A10B25" w:rsidRDefault="00A10B25">
            <w:pPr>
              <w:pStyle w:val="TAC"/>
              <w:rPr>
                <w:sz w:val="16"/>
                <w:szCs w:val="16"/>
              </w:rPr>
            </w:pPr>
            <w:r>
              <w:rPr>
                <w:sz w:val="16"/>
                <w:szCs w:val="16"/>
              </w:rPr>
              <w:t>18.2.0</w:t>
            </w:r>
          </w:p>
        </w:tc>
      </w:tr>
      <w:tr w:rsidR="00A10B25" w14:paraId="736DF36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F25EE46"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D32FD70"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3192B8"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0D67F61" w14:textId="77777777" w:rsidR="00A10B25" w:rsidRDefault="00A10B25">
            <w:pPr>
              <w:pStyle w:val="TAL"/>
              <w:rPr>
                <w:sz w:val="16"/>
                <w:szCs w:val="16"/>
                <w:lang w:val="en-US" w:eastAsia="zh-CN"/>
              </w:rPr>
            </w:pPr>
            <w:r>
              <w:rPr>
                <w:sz w:val="16"/>
                <w:szCs w:val="16"/>
                <w:lang w:val="en-US" w:eastAsia="zh-CN"/>
              </w:rPr>
              <w:t>0676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E15A3F"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4FEA98"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BE7A800" w14:textId="77777777" w:rsidR="00A10B25" w:rsidRDefault="00A10B25">
            <w:pPr>
              <w:pStyle w:val="TAL"/>
              <w:rPr>
                <w:sz w:val="16"/>
              </w:rPr>
            </w:pPr>
            <w:r>
              <w:rPr>
                <w:sz w:val="16"/>
              </w:rPr>
              <w:t>Support NWDAF assisted URSPs in Service Experience in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124FF96" w14:textId="77777777" w:rsidR="00A10B25" w:rsidRDefault="00A10B25">
            <w:pPr>
              <w:pStyle w:val="TAC"/>
              <w:rPr>
                <w:sz w:val="16"/>
                <w:szCs w:val="16"/>
              </w:rPr>
            </w:pPr>
            <w:r>
              <w:rPr>
                <w:sz w:val="16"/>
                <w:szCs w:val="16"/>
              </w:rPr>
              <w:t>18.2.0</w:t>
            </w:r>
          </w:p>
        </w:tc>
      </w:tr>
      <w:tr w:rsidR="00A10B25" w14:paraId="2FA131E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C20D046"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1E2FD72"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C21ED76"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C9F82D6" w14:textId="77777777" w:rsidR="00A10B25" w:rsidRDefault="00A10B25">
            <w:pPr>
              <w:pStyle w:val="TAL"/>
              <w:rPr>
                <w:sz w:val="16"/>
                <w:szCs w:val="16"/>
                <w:lang w:val="en-US" w:eastAsia="zh-CN"/>
              </w:rPr>
            </w:pPr>
            <w:r>
              <w:rPr>
                <w:sz w:val="16"/>
                <w:szCs w:val="16"/>
                <w:lang w:val="en-US" w:eastAsia="zh-CN"/>
              </w:rPr>
              <w:t>0677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6B23B4"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45BA08"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0FEB8AB" w14:textId="77777777" w:rsidR="00A10B25" w:rsidRDefault="00A10B25">
            <w:pPr>
              <w:pStyle w:val="TAL"/>
              <w:rPr>
                <w:sz w:val="16"/>
              </w:rPr>
            </w:pPr>
            <w:r>
              <w:rPr>
                <w:sz w:val="16"/>
              </w:rPr>
              <w:t>Support use case context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6FF6A63" w14:textId="77777777" w:rsidR="00A10B25" w:rsidRDefault="00A10B25">
            <w:pPr>
              <w:pStyle w:val="TAC"/>
              <w:rPr>
                <w:sz w:val="16"/>
                <w:szCs w:val="16"/>
              </w:rPr>
            </w:pPr>
            <w:r>
              <w:rPr>
                <w:sz w:val="16"/>
                <w:szCs w:val="16"/>
              </w:rPr>
              <w:t>18.2.0</w:t>
            </w:r>
          </w:p>
        </w:tc>
      </w:tr>
      <w:tr w:rsidR="00A10B25" w14:paraId="259BC2B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6035D61"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222781"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5274D3"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558B13F" w14:textId="77777777" w:rsidR="00A10B25" w:rsidRDefault="00A10B25">
            <w:pPr>
              <w:pStyle w:val="TAL"/>
              <w:rPr>
                <w:sz w:val="16"/>
                <w:szCs w:val="16"/>
                <w:lang w:val="en-US" w:eastAsia="zh-CN"/>
              </w:rPr>
            </w:pPr>
            <w:r>
              <w:rPr>
                <w:sz w:val="16"/>
                <w:szCs w:val="16"/>
                <w:lang w:val="en-US" w:eastAsia="zh-CN"/>
              </w:rPr>
              <w:t>0678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949B9F"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E23058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097823B" w14:textId="77777777" w:rsidR="00A10B25" w:rsidRDefault="00A10B25">
            <w:pPr>
              <w:pStyle w:val="TAL"/>
              <w:rPr>
                <w:sz w:val="16"/>
              </w:rPr>
            </w:pPr>
            <w:r>
              <w:rPr>
                <w:sz w:val="16"/>
              </w:rPr>
              <w:t>Support use case context in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F6BCCC7" w14:textId="77777777" w:rsidR="00A10B25" w:rsidRDefault="00A10B25">
            <w:pPr>
              <w:pStyle w:val="TAC"/>
              <w:rPr>
                <w:sz w:val="16"/>
                <w:szCs w:val="16"/>
              </w:rPr>
            </w:pPr>
            <w:r>
              <w:rPr>
                <w:sz w:val="16"/>
                <w:szCs w:val="16"/>
              </w:rPr>
              <w:t>18.2.0</w:t>
            </w:r>
          </w:p>
        </w:tc>
      </w:tr>
      <w:tr w:rsidR="00A10B25" w14:paraId="3927BB0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38A9B55"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7760171"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2225AA"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A0BCDE3" w14:textId="77777777" w:rsidR="00A10B25" w:rsidRDefault="00A10B25">
            <w:pPr>
              <w:pStyle w:val="TAL"/>
              <w:rPr>
                <w:sz w:val="16"/>
                <w:szCs w:val="16"/>
                <w:lang w:val="en-US" w:eastAsia="zh-CN"/>
              </w:rPr>
            </w:pPr>
            <w:r>
              <w:rPr>
                <w:sz w:val="16"/>
                <w:szCs w:val="16"/>
                <w:lang w:val="en-US" w:eastAsia="zh-CN"/>
              </w:rPr>
              <w:t>0679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1E66337"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E792872"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91173BB" w14:textId="77777777" w:rsidR="00A10B25" w:rsidRDefault="00A10B25">
            <w:pPr>
              <w:pStyle w:val="TAL"/>
              <w:rPr>
                <w:sz w:val="16"/>
              </w:rPr>
            </w:pPr>
            <w:r>
              <w:rPr>
                <w:sz w:val="16"/>
              </w:rPr>
              <w:t>Support use case context in Nnwdaf_MLModelProvision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D91B05D" w14:textId="77777777" w:rsidR="00A10B25" w:rsidRDefault="00A10B25">
            <w:pPr>
              <w:pStyle w:val="TAC"/>
              <w:rPr>
                <w:sz w:val="16"/>
                <w:szCs w:val="16"/>
              </w:rPr>
            </w:pPr>
            <w:r>
              <w:rPr>
                <w:sz w:val="16"/>
                <w:szCs w:val="16"/>
              </w:rPr>
              <w:t>18.2.0</w:t>
            </w:r>
          </w:p>
        </w:tc>
      </w:tr>
      <w:tr w:rsidR="00A10B25" w14:paraId="27EB24D6"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43F9E57"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7AA476C"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82CF94"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7623655" w14:textId="77777777" w:rsidR="00A10B25" w:rsidRDefault="00A10B25">
            <w:pPr>
              <w:pStyle w:val="TAL"/>
              <w:rPr>
                <w:sz w:val="16"/>
                <w:szCs w:val="16"/>
                <w:lang w:val="en-US" w:eastAsia="zh-CN"/>
              </w:rPr>
            </w:pPr>
            <w:r>
              <w:rPr>
                <w:sz w:val="16"/>
                <w:szCs w:val="16"/>
                <w:lang w:val="en-US" w:eastAsia="zh-CN"/>
              </w:rPr>
              <w:t>0680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DCB455B" w14:textId="77777777" w:rsidR="00A10B25" w:rsidRDefault="00A10B25">
            <w:pPr>
              <w:pStyle w:val="TAR"/>
              <w:rPr>
                <w:rFonts w:cs="Arial"/>
                <w:color w:val="000000"/>
                <w:sz w:val="16"/>
                <w:szCs w:val="16"/>
              </w:rPr>
            </w:pPr>
            <w:r>
              <w:rPr>
                <w:rFonts w:cs="Arial"/>
                <w:color w:val="000000"/>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306BCF"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EA49D12" w14:textId="77777777" w:rsidR="00A10B25" w:rsidRDefault="00A10B25">
            <w:pPr>
              <w:pStyle w:val="TAL"/>
              <w:rPr>
                <w:sz w:val="16"/>
              </w:rPr>
            </w:pPr>
            <w:r>
              <w:rPr>
                <w:sz w:val="16"/>
              </w:rPr>
              <w:t>Support PFD Determination Analytics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C2A9036" w14:textId="77777777" w:rsidR="00A10B25" w:rsidRDefault="00A10B25">
            <w:pPr>
              <w:pStyle w:val="TAC"/>
              <w:rPr>
                <w:sz w:val="16"/>
                <w:szCs w:val="16"/>
              </w:rPr>
            </w:pPr>
            <w:r>
              <w:rPr>
                <w:sz w:val="16"/>
                <w:szCs w:val="16"/>
              </w:rPr>
              <w:t>18.2.0</w:t>
            </w:r>
          </w:p>
        </w:tc>
      </w:tr>
      <w:tr w:rsidR="00A10B25" w14:paraId="6F52DB9E"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2F0E895"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175080"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83D6E"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BD98A56" w14:textId="77777777" w:rsidR="00A10B25" w:rsidRDefault="00A10B25">
            <w:pPr>
              <w:pStyle w:val="TAL"/>
              <w:rPr>
                <w:sz w:val="16"/>
                <w:szCs w:val="16"/>
                <w:lang w:val="en-US" w:eastAsia="zh-CN"/>
              </w:rPr>
            </w:pPr>
            <w:r>
              <w:rPr>
                <w:sz w:val="16"/>
                <w:szCs w:val="16"/>
                <w:lang w:val="en-US" w:eastAsia="zh-CN"/>
              </w:rPr>
              <w:t>0682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9CFC4E"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88807DC"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5A286B9" w14:textId="77777777" w:rsidR="00A10B25" w:rsidRDefault="00A10B25">
            <w:pPr>
              <w:pStyle w:val="TAL"/>
              <w:rPr>
                <w:sz w:val="16"/>
              </w:rPr>
            </w:pPr>
            <w:r>
              <w:rPr>
                <w:sz w:val="16"/>
              </w:rPr>
              <w:t>Update to Nnwdaf_MLModelProvision Service API for Federated Learning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7172E2B" w14:textId="77777777" w:rsidR="00A10B25" w:rsidRDefault="00A10B25">
            <w:pPr>
              <w:pStyle w:val="TAC"/>
              <w:rPr>
                <w:sz w:val="16"/>
                <w:szCs w:val="16"/>
              </w:rPr>
            </w:pPr>
            <w:r>
              <w:rPr>
                <w:sz w:val="16"/>
                <w:szCs w:val="16"/>
              </w:rPr>
              <w:t>18.2.0</w:t>
            </w:r>
          </w:p>
        </w:tc>
      </w:tr>
      <w:tr w:rsidR="00A10B25" w14:paraId="4F8F77B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8C03ED9"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37EDCF"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B1C62"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D6C8A95" w14:textId="77777777" w:rsidR="00A10B25" w:rsidRDefault="00A10B25">
            <w:pPr>
              <w:pStyle w:val="TAL"/>
              <w:rPr>
                <w:sz w:val="16"/>
                <w:szCs w:val="16"/>
                <w:lang w:val="en-US" w:eastAsia="zh-CN"/>
              </w:rPr>
            </w:pPr>
            <w:r>
              <w:rPr>
                <w:sz w:val="16"/>
                <w:szCs w:val="16"/>
                <w:lang w:val="en-US" w:eastAsia="zh-CN"/>
              </w:rPr>
              <w:t>0683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80D4BB3" w14:textId="77777777" w:rsidR="00A10B25" w:rsidRDefault="00A10B25">
            <w:pPr>
              <w:pStyle w:val="TAR"/>
              <w:rPr>
                <w:rFonts w:cs="Arial"/>
                <w:color w:val="000000"/>
                <w:sz w:val="16"/>
                <w:szCs w:val="16"/>
              </w:rPr>
            </w:pPr>
            <w:r>
              <w:rPr>
                <w:rFonts w:cs="Arial"/>
                <w:color w:val="000000"/>
                <w:sz w:val="16"/>
                <w:szCs w:val="16"/>
              </w:rPr>
              <w:t>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11DD62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0ACDAD2" w14:textId="77777777" w:rsidR="00A10B25" w:rsidRDefault="00A10B25">
            <w:pPr>
              <w:pStyle w:val="TAL"/>
              <w:rPr>
                <w:sz w:val="16"/>
              </w:rPr>
            </w:pPr>
            <w:r>
              <w:rPr>
                <w:sz w:val="16"/>
              </w:rPr>
              <w:t>Update to Nnwdaf_MLModelProvision Service API for Model Sharing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253AFE3" w14:textId="77777777" w:rsidR="00A10B25" w:rsidRDefault="00A10B25">
            <w:pPr>
              <w:pStyle w:val="TAC"/>
              <w:rPr>
                <w:sz w:val="16"/>
                <w:szCs w:val="16"/>
              </w:rPr>
            </w:pPr>
            <w:r>
              <w:rPr>
                <w:sz w:val="16"/>
                <w:szCs w:val="16"/>
              </w:rPr>
              <w:t>18.2.0</w:t>
            </w:r>
          </w:p>
        </w:tc>
      </w:tr>
      <w:tr w:rsidR="00A10B25" w14:paraId="6366128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DF1C3E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F4ABB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B6C5390"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5CE8B1D" w14:textId="77777777" w:rsidR="00A10B25" w:rsidRDefault="00A10B25">
            <w:pPr>
              <w:pStyle w:val="TAL"/>
              <w:rPr>
                <w:sz w:val="16"/>
                <w:szCs w:val="16"/>
                <w:lang w:val="en-US" w:eastAsia="zh-CN"/>
              </w:rPr>
            </w:pPr>
            <w:r>
              <w:rPr>
                <w:sz w:val="16"/>
                <w:szCs w:val="16"/>
                <w:lang w:val="en-US" w:eastAsia="zh-CN"/>
              </w:rPr>
              <w:t>0688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BB9C2A"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B63062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0EFA245" w14:textId="77777777" w:rsidR="00A10B25" w:rsidRDefault="00A10B25">
            <w:pPr>
              <w:pStyle w:val="TAL"/>
              <w:rPr>
                <w:sz w:val="16"/>
              </w:rPr>
            </w:pPr>
            <w:r>
              <w:rPr>
                <w:sz w:val="16"/>
              </w:rPr>
              <w:t>Event muting enhancements for Analytics Subscriptions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430E8F8" w14:textId="77777777" w:rsidR="00A10B25" w:rsidRDefault="00A10B25">
            <w:pPr>
              <w:pStyle w:val="TAC"/>
              <w:rPr>
                <w:sz w:val="16"/>
                <w:szCs w:val="16"/>
              </w:rPr>
            </w:pPr>
            <w:r>
              <w:rPr>
                <w:sz w:val="16"/>
                <w:szCs w:val="16"/>
              </w:rPr>
              <w:t>18.2.0</w:t>
            </w:r>
          </w:p>
        </w:tc>
      </w:tr>
      <w:tr w:rsidR="00A10B25" w14:paraId="0480682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DE2100E"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8ED475"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797182"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C045C5E" w14:textId="77777777" w:rsidR="00A10B25" w:rsidRDefault="00A10B25">
            <w:pPr>
              <w:pStyle w:val="TAL"/>
              <w:rPr>
                <w:sz w:val="16"/>
                <w:szCs w:val="16"/>
                <w:lang w:val="en-US" w:eastAsia="zh-CN"/>
              </w:rPr>
            </w:pPr>
            <w:r>
              <w:rPr>
                <w:sz w:val="16"/>
                <w:szCs w:val="16"/>
                <w:lang w:val="en-US" w:eastAsia="zh-CN"/>
              </w:rPr>
              <w:t>0689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5881AC"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73A9AF"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4415E58" w14:textId="77777777" w:rsidR="00A10B25" w:rsidRDefault="00A10B25">
            <w:pPr>
              <w:pStyle w:val="TAL"/>
              <w:rPr>
                <w:sz w:val="16"/>
              </w:rPr>
            </w:pPr>
            <w:r>
              <w:rPr>
                <w:sz w:val="16"/>
              </w:rPr>
              <w:t>Event muting enhancements for ML Model Provisioning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ACCF92F" w14:textId="77777777" w:rsidR="00A10B25" w:rsidRDefault="00A10B25">
            <w:pPr>
              <w:pStyle w:val="TAC"/>
              <w:rPr>
                <w:sz w:val="16"/>
                <w:szCs w:val="16"/>
              </w:rPr>
            </w:pPr>
            <w:r>
              <w:rPr>
                <w:sz w:val="16"/>
                <w:szCs w:val="16"/>
              </w:rPr>
              <w:t>18.2.0</w:t>
            </w:r>
          </w:p>
        </w:tc>
      </w:tr>
      <w:tr w:rsidR="00A10B25" w14:paraId="19E2AE1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D285F1B"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D57ED4"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53B2" w14:textId="77777777" w:rsidR="00A10B25" w:rsidRDefault="00A10B25">
            <w:pPr>
              <w:pStyle w:val="TAC"/>
              <w:rPr>
                <w:sz w:val="16"/>
                <w:szCs w:val="16"/>
                <w:lang w:val="en-US" w:eastAsia="zh-CN"/>
              </w:rPr>
            </w:pPr>
            <w:r>
              <w:rPr>
                <w:sz w:val="16"/>
                <w:szCs w:val="16"/>
                <w:lang w:val="en-US" w:eastAsia="zh-CN"/>
              </w:rPr>
              <w:t>CP-231137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EEAB4D8" w14:textId="77777777" w:rsidR="00A10B25" w:rsidRDefault="00A10B25">
            <w:pPr>
              <w:pStyle w:val="TAL"/>
              <w:rPr>
                <w:sz w:val="16"/>
                <w:szCs w:val="16"/>
                <w:lang w:val="en-US" w:eastAsia="zh-CN"/>
              </w:rPr>
            </w:pPr>
            <w:r>
              <w:rPr>
                <w:sz w:val="16"/>
                <w:szCs w:val="16"/>
                <w:lang w:val="en-US" w:eastAsia="zh-CN"/>
              </w:rPr>
              <w:t>0690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28B2DD"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D628D71"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8D91AFD" w14:textId="77777777" w:rsidR="00A10B25" w:rsidRDefault="00A10B25">
            <w:pPr>
              <w:pStyle w:val="TAL"/>
              <w:rPr>
                <w:sz w:val="16"/>
              </w:rPr>
            </w:pPr>
            <w:r>
              <w:rPr>
                <w:sz w:val="16"/>
              </w:rPr>
              <w:t>Implementing immediate reports for NWDAF Data Management subscriptions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BED4E54" w14:textId="77777777" w:rsidR="00A10B25" w:rsidRDefault="00A10B25">
            <w:pPr>
              <w:pStyle w:val="TAC"/>
              <w:rPr>
                <w:sz w:val="16"/>
                <w:szCs w:val="16"/>
              </w:rPr>
            </w:pPr>
            <w:r>
              <w:rPr>
                <w:sz w:val="16"/>
                <w:szCs w:val="16"/>
              </w:rPr>
              <w:t>18.2.0</w:t>
            </w:r>
          </w:p>
        </w:tc>
      </w:tr>
      <w:tr w:rsidR="00A10B25" w14:paraId="22996D14"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83D0CA2"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1A74BF"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FDB1AF" w14:textId="77777777" w:rsidR="00A10B25" w:rsidRDefault="00A10B25">
            <w:pPr>
              <w:pStyle w:val="TAC"/>
              <w:rPr>
                <w:sz w:val="16"/>
                <w:szCs w:val="16"/>
                <w:lang w:val="en-US" w:eastAsia="zh-CN"/>
              </w:rPr>
            </w:pPr>
            <w:r>
              <w:rPr>
                <w:sz w:val="16"/>
                <w:szCs w:val="16"/>
                <w:lang w:val="en-US" w:eastAsia="zh-CN"/>
              </w:rPr>
              <w:t>CP-231137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D964870" w14:textId="77777777" w:rsidR="00A10B25" w:rsidRDefault="00A10B25">
            <w:pPr>
              <w:pStyle w:val="TAL"/>
              <w:rPr>
                <w:sz w:val="16"/>
                <w:szCs w:val="16"/>
                <w:lang w:val="en-US" w:eastAsia="zh-CN"/>
              </w:rPr>
            </w:pPr>
            <w:r>
              <w:rPr>
                <w:sz w:val="16"/>
                <w:szCs w:val="16"/>
                <w:lang w:val="en-US" w:eastAsia="zh-CN"/>
              </w:rPr>
              <w:t>0691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965BD91" w14:textId="77777777" w:rsidR="00A10B25" w:rsidRDefault="00A10B25">
            <w:pPr>
              <w:pStyle w:val="TAR"/>
              <w:rPr>
                <w:rFonts w:cs="Arial"/>
                <w:color w:val="000000"/>
                <w:sz w:val="16"/>
                <w:szCs w:val="16"/>
              </w:rPr>
            </w:pPr>
            <w:r>
              <w:rPr>
                <w:rFonts w:cs="Arial"/>
                <w:color w:val="000000"/>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262517"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569ACC9" w14:textId="77777777" w:rsidR="00A10B25" w:rsidRDefault="00A10B25">
            <w:pPr>
              <w:pStyle w:val="TAL"/>
              <w:rPr>
                <w:sz w:val="16"/>
              </w:rPr>
            </w:pPr>
            <w:r>
              <w:rPr>
                <w:sz w:val="16"/>
              </w:rPr>
              <w:t>Adding missing presence conditions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2167529" w14:textId="77777777" w:rsidR="00A10B25" w:rsidRDefault="00A10B25">
            <w:pPr>
              <w:pStyle w:val="TAC"/>
              <w:rPr>
                <w:sz w:val="16"/>
                <w:szCs w:val="16"/>
              </w:rPr>
            </w:pPr>
            <w:r>
              <w:rPr>
                <w:sz w:val="16"/>
                <w:szCs w:val="16"/>
              </w:rPr>
              <w:t>18.2.0</w:t>
            </w:r>
          </w:p>
        </w:tc>
      </w:tr>
      <w:tr w:rsidR="00A10B25" w14:paraId="7C33711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2FA612B"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6EA4B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B197C8"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518C04E" w14:textId="77777777" w:rsidR="00A10B25" w:rsidRDefault="00A10B25">
            <w:pPr>
              <w:pStyle w:val="TAL"/>
              <w:rPr>
                <w:sz w:val="16"/>
                <w:szCs w:val="16"/>
                <w:lang w:val="en-US" w:eastAsia="zh-CN"/>
              </w:rPr>
            </w:pPr>
            <w:r>
              <w:rPr>
                <w:sz w:val="16"/>
                <w:szCs w:val="16"/>
                <w:lang w:val="en-US" w:eastAsia="zh-CN"/>
              </w:rPr>
              <w:t>0692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963259" w14:textId="77777777" w:rsidR="00A10B25" w:rsidRDefault="00A10B25">
            <w:pPr>
              <w:pStyle w:val="TAR"/>
              <w:rPr>
                <w:rFonts w:cs="Arial"/>
                <w:color w:val="000000"/>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165B2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6B379FB" w14:textId="77777777" w:rsidR="00A10B25" w:rsidRDefault="00A10B25">
            <w:pPr>
              <w:pStyle w:val="TAL"/>
              <w:rPr>
                <w:sz w:val="16"/>
              </w:rPr>
            </w:pPr>
            <w:r>
              <w:rPr>
                <w:sz w:val="16"/>
              </w:rPr>
              <w:t>Update PFD Determination Analytics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E5B3600" w14:textId="77777777" w:rsidR="00A10B25" w:rsidRDefault="00A10B25">
            <w:pPr>
              <w:pStyle w:val="TAC"/>
              <w:rPr>
                <w:sz w:val="16"/>
                <w:szCs w:val="16"/>
              </w:rPr>
            </w:pPr>
            <w:r>
              <w:rPr>
                <w:sz w:val="16"/>
                <w:szCs w:val="16"/>
              </w:rPr>
              <w:t>18.2.0</w:t>
            </w:r>
          </w:p>
        </w:tc>
      </w:tr>
      <w:tr w:rsidR="00A10B25" w14:paraId="2DA45D9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C86906A"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15F258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2F588D" w14:textId="77777777" w:rsidR="00A10B25" w:rsidRDefault="00A10B25">
            <w:pPr>
              <w:pStyle w:val="TAC"/>
              <w:rPr>
                <w:sz w:val="16"/>
                <w:szCs w:val="16"/>
                <w:lang w:val="en-US" w:eastAsia="zh-CN"/>
              </w:rPr>
            </w:pPr>
            <w:r>
              <w:rPr>
                <w:sz w:val="16"/>
                <w:szCs w:val="16"/>
                <w:lang w:val="en-US" w:eastAsia="zh-CN"/>
              </w:rPr>
              <w:t>CP-231314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564EF03" w14:textId="77777777" w:rsidR="00A10B25" w:rsidRDefault="00A10B25">
            <w:pPr>
              <w:pStyle w:val="TAL"/>
              <w:rPr>
                <w:sz w:val="16"/>
                <w:szCs w:val="16"/>
                <w:lang w:val="en-US" w:eastAsia="zh-CN"/>
              </w:rPr>
            </w:pPr>
            <w:r>
              <w:rPr>
                <w:sz w:val="16"/>
                <w:szCs w:val="16"/>
                <w:lang w:val="en-US" w:eastAsia="zh-CN"/>
              </w:rPr>
              <w:t>0693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C324578" w14:textId="77777777" w:rsidR="00A10B25" w:rsidRDefault="00A10B25">
            <w:pPr>
              <w:pStyle w:val="TAR"/>
              <w:rPr>
                <w:rFonts w:cs="Arial"/>
                <w:color w:val="000000"/>
                <w:sz w:val="16"/>
                <w:szCs w:val="16"/>
              </w:rPr>
            </w:pPr>
            <w:r>
              <w:rPr>
                <w:rFonts w:cs="Arial"/>
                <w:color w:val="000000"/>
                <w:sz w:val="16"/>
                <w:szCs w:val="16"/>
              </w:rPr>
              <w:t>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9FDE5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3218FF6" w14:textId="77777777" w:rsidR="00A10B25" w:rsidRDefault="00A10B25">
            <w:pPr>
              <w:pStyle w:val="TAL"/>
              <w:rPr>
                <w:sz w:val="16"/>
              </w:rPr>
            </w:pPr>
            <w:r>
              <w:rPr>
                <w:sz w:val="16"/>
              </w:rPr>
              <w:t>PDU Session traffic analytics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99CC0FD" w14:textId="77777777" w:rsidR="00A10B25" w:rsidRDefault="00A10B25">
            <w:pPr>
              <w:pStyle w:val="TAC"/>
              <w:rPr>
                <w:sz w:val="16"/>
                <w:szCs w:val="16"/>
              </w:rPr>
            </w:pPr>
            <w:r>
              <w:rPr>
                <w:sz w:val="16"/>
                <w:szCs w:val="16"/>
              </w:rPr>
              <w:t>18.2.0</w:t>
            </w:r>
          </w:p>
        </w:tc>
      </w:tr>
      <w:tr w:rsidR="00A10B25" w14:paraId="5B4D5E5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5A81040"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84344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9D65724" w14:textId="77777777" w:rsidR="00A10B25" w:rsidRDefault="00A10B25">
            <w:pPr>
              <w:pStyle w:val="TAC"/>
              <w:rPr>
                <w:sz w:val="16"/>
                <w:szCs w:val="16"/>
                <w:lang w:val="en-US" w:eastAsia="zh-CN"/>
              </w:rPr>
            </w:pPr>
            <w:r>
              <w:rPr>
                <w:sz w:val="16"/>
                <w:szCs w:val="16"/>
                <w:lang w:val="en-US" w:eastAsia="zh-CN"/>
              </w:rPr>
              <w:t>CP-231145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ED9E7B4" w14:textId="77777777" w:rsidR="00A10B25" w:rsidRDefault="00A10B25">
            <w:pPr>
              <w:pStyle w:val="TAL"/>
              <w:rPr>
                <w:sz w:val="16"/>
                <w:szCs w:val="16"/>
                <w:lang w:val="en-US" w:eastAsia="zh-CN"/>
              </w:rPr>
            </w:pPr>
            <w:r>
              <w:rPr>
                <w:sz w:val="16"/>
                <w:szCs w:val="16"/>
                <w:lang w:val="en-US" w:eastAsia="zh-CN"/>
              </w:rPr>
              <w:t>0694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89AC63F"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4B4414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238BA80" w14:textId="77777777" w:rsidR="00A10B25" w:rsidRDefault="00A10B25">
            <w:pPr>
              <w:pStyle w:val="TAL"/>
              <w:rPr>
                <w:sz w:val="16"/>
              </w:rPr>
            </w:pPr>
            <w:r>
              <w:rPr>
                <w:sz w:val="16"/>
              </w:rPr>
              <w:t>PDU Session traffic analytics for Nnwdaf_AnalyticsInfo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5579074" w14:textId="77777777" w:rsidR="00A10B25" w:rsidRDefault="00A10B25">
            <w:pPr>
              <w:pStyle w:val="TAC"/>
              <w:rPr>
                <w:sz w:val="16"/>
                <w:szCs w:val="16"/>
              </w:rPr>
            </w:pPr>
            <w:r>
              <w:rPr>
                <w:sz w:val="16"/>
                <w:szCs w:val="16"/>
              </w:rPr>
              <w:t>18.2.0</w:t>
            </w:r>
          </w:p>
        </w:tc>
      </w:tr>
      <w:tr w:rsidR="00A10B25" w14:paraId="4D0ECB3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2295C9D"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D2DC89"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4404" w14:textId="77777777" w:rsidR="00A10B25" w:rsidRDefault="00A10B25">
            <w:pPr>
              <w:pStyle w:val="TAC"/>
              <w:rPr>
                <w:sz w:val="16"/>
                <w:szCs w:val="16"/>
                <w:lang w:val="en-US" w:eastAsia="zh-CN"/>
              </w:rPr>
            </w:pPr>
            <w:r>
              <w:rPr>
                <w:sz w:val="16"/>
                <w:szCs w:val="16"/>
                <w:lang w:val="en-US" w:eastAsia="zh-CN"/>
              </w:rPr>
              <w:t>CP-231338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E353BE6" w14:textId="77777777" w:rsidR="00A10B25" w:rsidRDefault="00A10B25">
            <w:pPr>
              <w:pStyle w:val="TAL"/>
              <w:rPr>
                <w:sz w:val="16"/>
                <w:szCs w:val="16"/>
                <w:lang w:val="en-US" w:eastAsia="zh-CN"/>
              </w:rPr>
            </w:pPr>
            <w:r>
              <w:rPr>
                <w:sz w:val="16"/>
                <w:szCs w:val="16"/>
                <w:lang w:val="en-US" w:eastAsia="zh-CN"/>
              </w:rPr>
              <w:t>0695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47B680" w14:textId="77777777" w:rsidR="00A10B25" w:rsidRDefault="00A10B25">
            <w:pPr>
              <w:pStyle w:val="TAR"/>
              <w:rPr>
                <w:rFonts w:cs="Arial"/>
                <w:color w:val="000000"/>
                <w:sz w:val="16"/>
                <w:szCs w:val="16"/>
              </w:rPr>
            </w:pPr>
            <w:r>
              <w:rPr>
                <w:rFonts w:cs="Arial"/>
                <w:color w:val="000000"/>
                <w:sz w:val="16"/>
                <w:szCs w:val="16"/>
              </w:rPr>
              <w:t>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314570"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24193C2" w14:textId="77777777" w:rsidR="00A10B25" w:rsidRDefault="00A10B25">
            <w:pPr>
              <w:pStyle w:val="TAL"/>
              <w:rPr>
                <w:sz w:val="16"/>
              </w:rPr>
            </w:pPr>
            <w:r>
              <w:rPr>
                <w:sz w:val="16"/>
              </w:rPr>
              <w:t>Support Nnwdaf_MLModelTraining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8CE4A8C" w14:textId="77777777" w:rsidR="00A10B25" w:rsidRDefault="00A10B25">
            <w:pPr>
              <w:pStyle w:val="TAC"/>
              <w:rPr>
                <w:sz w:val="16"/>
                <w:szCs w:val="16"/>
              </w:rPr>
            </w:pPr>
            <w:r>
              <w:rPr>
                <w:sz w:val="16"/>
                <w:szCs w:val="16"/>
              </w:rPr>
              <w:t>18.2.0</w:t>
            </w:r>
          </w:p>
        </w:tc>
      </w:tr>
      <w:tr w:rsidR="00A10B25" w14:paraId="26FF6C1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B975F4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2E7C7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697CA7"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4DFFEF1" w14:textId="77777777" w:rsidR="00A10B25" w:rsidRDefault="00A10B25">
            <w:pPr>
              <w:pStyle w:val="TAL"/>
              <w:rPr>
                <w:sz w:val="16"/>
                <w:szCs w:val="16"/>
                <w:lang w:val="en-US" w:eastAsia="zh-CN"/>
              </w:rPr>
            </w:pPr>
            <w:r>
              <w:rPr>
                <w:sz w:val="16"/>
                <w:szCs w:val="16"/>
                <w:lang w:val="en-US" w:eastAsia="zh-CN"/>
              </w:rPr>
              <w:t>0696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442916"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E8FA0B"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1CD7C06" w14:textId="77777777" w:rsidR="00A10B25" w:rsidRDefault="00A10B25">
            <w:pPr>
              <w:pStyle w:val="TAL"/>
              <w:rPr>
                <w:sz w:val="16"/>
              </w:rPr>
            </w:pPr>
            <w:r>
              <w:rPr>
                <w:sz w:val="16"/>
              </w:rPr>
              <w:t>End-to-end data volume transfer time analytics for Nnwdaf_EventsSubscription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31BA7C2" w14:textId="77777777" w:rsidR="00A10B25" w:rsidRDefault="00A10B25">
            <w:pPr>
              <w:pStyle w:val="TAC"/>
              <w:rPr>
                <w:sz w:val="16"/>
                <w:szCs w:val="16"/>
              </w:rPr>
            </w:pPr>
            <w:r>
              <w:rPr>
                <w:sz w:val="16"/>
                <w:szCs w:val="16"/>
              </w:rPr>
              <w:t>18.2.0</w:t>
            </w:r>
          </w:p>
        </w:tc>
      </w:tr>
      <w:tr w:rsidR="00A10B25" w14:paraId="2E9670E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FE23AB8"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F37D90"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24B32F"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6FB02EC" w14:textId="77777777" w:rsidR="00A10B25" w:rsidRDefault="00A10B25">
            <w:pPr>
              <w:pStyle w:val="TAL"/>
              <w:rPr>
                <w:sz w:val="16"/>
                <w:szCs w:val="16"/>
                <w:lang w:val="en-US" w:eastAsia="zh-CN"/>
              </w:rPr>
            </w:pPr>
            <w:r>
              <w:rPr>
                <w:sz w:val="16"/>
                <w:szCs w:val="16"/>
                <w:lang w:val="en-US" w:eastAsia="zh-CN"/>
              </w:rPr>
              <w:t>0697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6ABB9F9"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0A8608"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FC4D56B" w14:textId="77777777" w:rsidR="00A10B25" w:rsidRDefault="00A10B25">
            <w:pPr>
              <w:pStyle w:val="TAL"/>
              <w:rPr>
                <w:sz w:val="16"/>
              </w:rPr>
            </w:pPr>
            <w:r>
              <w:rPr>
                <w:sz w:val="16"/>
              </w:rPr>
              <w:t>End-to-end data volume transfer time analytics for Nnwdaf_AnalyticsInfo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D3C5505" w14:textId="77777777" w:rsidR="00A10B25" w:rsidRDefault="00A10B25">
            <w:pPr>
              <w:pStyle w:val="TAC"/>
              <w:rPr>
                <w:sz w:val="16"/>
                <w:szCs w:val="16"/>
              </w:rPr>
            </w:pPr>
            <w:r>
              <w:rPr>
                <w:sz w:val="16"/>
                <w:szCs w:val="16"/>
              </w:rPr>
              <w:t>18.2.0</w:t>
            </w:r>
          </w:p>
        </w:tc>
      </w:tr>
      <w:tr w:rsidR="00A10B25" w14:paraId="3C0622E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C76A184"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F1CFE"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A82686" w14:textId="77777777" w:rsidR="00A10B25" w:rsidRDefault="00A10B25">
            <w:pPr>
              <w:pStyle w:val="TAC"/>
              <w:rPr>
                <w:sz w:val="16"/>
                <w:szCs w:val="16"/>
                <w:lang w:val="en-US" w:eastAsia="zh-CN"/>
              </w:rPr>
            </w:pPr>
            <w:r>
              <w:rPr>
                <w:sz w:val="16"/>
                <w:szCs w:val="16"/>
                <w:lang w:val="en-US" w:eastAsia="zh-CN"/>
              </w:rPr>
              <w:t>CP-231316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FDAABE3" w14:textId="77777777" w:rsidR="00A10B25" w:rsidRDefault="00A10B25">
            <w:pPr>
              <w:pStyle w:val="TAL"/>
              <w:rPr>
                <w:sz w:val="16"/>
                <w:szCs w:val="16"/>
                <w:lang w:val="en-US" w:eastAsia="zh-CN"/>
              </w:rPr>
            </w:pPr>
            <w:r>
              <w:rPr>
                <w:sz w:val="16"/>
                <w:szCs w:val="16"/>
                <w:lang w:val="en-US" w:eastAsia="zh-CN"/>
              </w:rPr>
              <w:t>0698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00E8B3"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4EBEE93"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2C452F" w14:textId="77777777" w:rsidR="00A10B25" w:rsidRDefault="00A10B25">
            <w:pPr>
              <w:pStyle w:val="TAL"/>
              <w:rPr>
                <w:sz w:val="16"/>
              </w:rPr>
            </w:pPr>
            <w:r>
              <w:rPr>
                <w:sz w:val="16"/>
              </w:rPr>
              <w:t>End-to-end data volume transfer time analytics for Nnwdaf_MLModelProvision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F66F65D" w14:textId="77777777" w:rsidR="00A10B25" w:rsidRDefault="00A10B25">
            <w:pPr>
              <w:pStyle w:val="TAC"/>
              <w:rPr>
                <w:sz w:val="16"/>
                <w:szCs w:val="16"/>
              </w:rPr>
            </w:pPr>
            <w:r>
              <w:rPr>
                <w:sz w:val="16"/>
                <w:szCs w:val="16"/>
              </w:rPr>
              <w:t>18.2.0</w:t>
            </w:r>
          </w:p>
        </w:tc>
      </w:tr>
      <w:tr w:rsidR="00A10B25" w14:paraId="5D6F5BD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275DEF2"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F6BA64"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5944F4"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DB70814" w14:textId="77777777" w:rsidR="00A10B25" w:rsidRDefault="00A10B25">
            <w:pPr>
              <w:pStyle w:val="TAL"/>
              <w:rPr>
                <w:sz w:val="16"/>
                <w:szCs w:val="16"/>
                <w:lang w:val="en-US" w:eastAsia="zh-CN"/>
              </w:rPr>
            </w:pPr>
            <w:r>
              <w:rPr>
                <w:sz w:val="16"/>
                <w:szCs w:val="16"/>
                <w:lang w:val="en-US" w:eastAsia="zh-CN"/>
              </w:rPr>
              <w:t>0699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BDAD06" w14:textId="77777777" w:rsidR="00A10B25" w:rsidRDefault="00A10B25">
            <w:pPr>
              <w:pStyle w:val="TAR"/>
              <w:rPr>
                <w:rFonts w:cs="Arial"/>
                <w:color w:val="000000"/>
                <w:sz w:val="16"/>
                <w:szCs w:val="16"/>
              </w:rPr>
            </w:pPr>
            <w:r>
              <w:rPr>
                <w:rFonts w:cs="Arial"/>
                <w:color w:val="000000"/>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4A39D2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3D03F61" w14:textId="77777777" w:rsidR="00A10B25" w:rsidRDefault="00A10B25">
            <w:pPr>
              <w:pStyle w:val="TAL"/>
              <w:rPr>
                <w:sz w:val="16"/>
              </w:rPr>
            </w:pPr>
            <w:r>
              <w:rPr>
                <w:sz w:val="16"/>
              </w:rPr>
              <w:t>Update to support extended parameters for ML model provisioning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71C22CA" w14:textId="77777777" w:rsidR="00A10B25" w:rsidRDefault="00A10B25">
            <w:pPr>
              <w:pStyle w:val="TAC"/>
              <w:rPr>
                <w:sz w:val="16"/>
                <w:szCs w:val="16"/>
              </w:rPr>
            </w:pPr>
            <w:r>
              <w:rPr>
                <w:sz w:val="16"/>
                <w:szCs w:val="16"/>
              </w:rPr>
              <w:t>18.2.0</w:t>
            </w:r>
          </w:p>
        </w:tc>
      </w:tr>
      <w:tr w:rsidR="00A10B25" w14:paraId="6628432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4238414"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18EAA7D"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92F523B" w14:textId="77777777" w:rsidR="00A10B25" w:rsidRDefault="00A10B25">
            <w:pPr>
              <w:pStyle w:val="TAC"/>
              <w:rPr>
                <w:sz w:val="16"/>
                <w:szCs w:val="16"/>
                <w:lang w:val="en-US" w:eastAsia="zh-CN"/>
              </w:rPr>
            </w:pPr>
            <w:r>
              <w:rPr>
                <w:sz w:val="16"/>
                <w:szCs w:val="16"/>
                <w:lang w:val="en-US" w:eastAsia="zh-CN"/>
              </w:rPr>
              <w:t>CP-231137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7726C96" w14:textId="77777777" w:rsidR="00A10B25" w:rsidRDefault="00A10B25">
            <w:pPr>
              <w:pStyle w:val="TAL"/>
              <w:rPr>
                <w:sz w:val="16"/>
                <w:szCs w:val="16"/>
                <w:lang w:val="en-US" w:eastAsia="zh-CN"/>
              </w:rPr>
            </w:pPr>
            <w:r>
              <w:rPr>
                <w:sz w:val="16"/>
                <w:szCs w:val="16"/>
                <w:lang w:val="en-US" w:eastAsia="zh-CN"/>
              </w:rPr>
              <w:t>0700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BC9773"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D0AF244"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7FCEC3A" w14:textId="77777777" w:rsidR="00A10B25" w:rsidRDefault="00A10B25">
            <w:pPr>
              <w:pStyle w:val="TAL"/>
              <w:rPr>
                <w:sz w:val="16"/>
              </w:rPr>
            </w:pPr>
            <w:r>
              <w:rPr>
                <w:sz w:val="16"/>
              </w:rPr>
              <w:t>Addition of network analytics for the SMF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CFF3885" w14:textId="77777777" w:rsidR="00A10B25" w:rsidRDefault="00A10B25">
            <w:pPr>
              <w:pStyle w:val="TAC"/>
              <w:rPr>
                <w:sz w:val="16"/>
                <w:szCs w:val="16"/>
              </w:rPr>
            </w:pPr>
            <w:r>
              <w:rPr>
                <w:sz w:val="16"/>
                <w:szCs w:val="16"/>
              </w:rPr>
              <w:t>18.2.0</w:t>
            </w:r>
          </w:p>
        </w:tc>
      </w:tr>
      <w:tr w:rsidR="00A10B25" w14:paraId="653875C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1A4D3F5"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643EF7"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D03EDA" w14:textId="77777777" w:rsidR="00A10B25" w:rsidRDefault="00A10B25">
            <w:pPr>
              <w:pStyle w:val="TAC"/>
              <w:rPr>
                <w:sz w:val="16"/>
                <w:szCs w:val="16"/>
                <w:lang w:val="en-US" w:eastAsia="zh-CN"/>
              </w:rPr>
            </w:pPr>
            <w:r>
              <w:rPr>
                <w:sz w:val="16"/>
                <w:szCs w:val="16"/>
                <w:lang w:val="en-US" w:eastAsia="zh-CN"/>
              </w:rPr>
              <w:t>CP-231137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3082915" w14:textId="77777777" w:rsidR="00A10B25" w:rsidRDefault="00A10B25">
            <w:pPr>
              <w:pStyle w:val="TAL"/>
              <w:rPr>
                <w:sz w:val="16"/>
                <w:szCs w:val="16"/>
                <w:lang w:val="en-US" w:eastAsia="zh-CN"/>
              </w:rPr>
            </w:pPr>
            <w:r>
              <w:rPr>
                <w:sz w:val="16"/>
                <w:szCs w:val="16"/>
                <w:lang w:val="en-US" w:eastAsia="zh-CN"/>
              </w:rPr>
              <w:t>0701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1CD616"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C4DBA18"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CE91C15" w14:textId="77777777" w:rsidR="00A10B25" w:rsidRDefault="00A10B25">
            <w:pPr>
              <w:pStyle w:val="TAL"/>
              <w:rPr>
                <w:sz w:val="16"/>
              </w:rPr>
            </w:pPr>
            <w:r>
              <w:rPr>
                <w:sz w:val="16"/>
              </w:rPr>
              <w:t>Addition of network analytics for the PCF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5E74B17" w14:textId="77777777" w:rsidR="00A10B25" w:rsidRDefault="00A10B25">
            <w:pPr>
              <w:pStyle w:val="TAC"/>
              <w:rPr>
                <w:sz w:val="16"/>
                <w:szCs w:val="16"/>
              </w:rPr>
            </w:pPr>
            <w:r>
              <w:rPr>
                <w:sz w:val="16"/>
                <w:szCs w:val="16"/>
              </w:rPr>
              <w:t>18.2.0</w:t>
            </w:r>
          </w:p>
        </w:tc>
      </w:tr>
      <w:tr w:rsidR="00A10B25" w14:paraId="20778C2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20AB3D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A17467"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FB6995" w14:textId="77777777" w:rsidR="00A10B25" w:rsidRDefault="00A10B25">
            <w:pPr>
              <w:pStyle w:val="TAC"/>
              <w:rPr>
                <w:sz w:val="16"/>
                <w:szCs w:val="16"/>
                <w:lang w:val="en-US" w:eastAsia="zh-CN"/>
              </w:rPr>
            </w:pPr>
            <w:r>
              <w:rPr>
                <w:sz w:val="16"/>
                <w:szCs w:val="16"/>
                <w:lang w:val="en-US" w:eastAsia="zh-CN"/>
              </w:rPr>
              <w:t>CP-231131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B0E74FC" w14:textId="77777777" w:rsidR="00A10B25" w:rsidRDefault="00A10B25">
            <w:pPr>
              <w:pStyle w:val="TAL"/>
              <w:rPr>
                <w:sz w:val="16"/>
                <w:szCs w:val="16"/>
                <w:lang w:val="en-US" w:eastAsia="zh-CN"/>
              </w:rPr>
            </w:pPr>
            <w:r>
              <w:rPr>
                <w:sz w:val="16"/>
                <w:szCs w:val="16"/>
                <w:lang w:val="en-US" w:eastAsia="zh-CN"/>
              </w:rPr>
              <w:t>0702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4AACB0E" w14:textId="77777777" w:rsidR="00A10B25" w:rsidRDefault="00A10B25">
            <w:pPr>
              <w:pStyle w:val="TAR"/>
              <w:rPr>
                <w:rFonts w:cs="Arial"/>
                <w:color w:val="000000"/>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73C93F5"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A04D680" w14:textId="77777777" w:rsidR="00A10B25" w:rsidRDefault="00A10B25">
            <w:pPr>
              <w:pStyle w:val="TAL"/>
              <w:rPr>
                <w:sz w:val="16"/>
              </w:rPr>
            </w:pPr>
            <w:r>
              <w:rPr>
                <w:sz w:val="16"/>
              </w:rPr>
              <w:t>Correction of the DnPerfOrderingCriterion enumeration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6A5C4B2" w14:textId="77777777" w:rsidR="00A10B25" w:rsidRDefault="00A10B25">
            <w:pPr>
              <w:pStyle w:val="TAC"/>
              <w:rPr>
                <w:sz w:val="16"/>
                <w:szCs w:val="16"/>
              </w:rPr>
            </w:pPr>
            <w:r>
              <w:rPr>
                <w:sz w:val="16"/>
                <w:szCs w:val="16"/>
              </w:rPr>
              <w:t>18.2.0</w:t>
            </w:r>
          </w:p>
        </w:tc>
      </w:tr>
      <w:tr w:rsidR="00A10B25" w14:paraId="0B70E39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5476897"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F842ED7"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05BA9B" w14:textId="77777777" w:rsidR="00A10B25" w:rsidRDefault="00A10B25">
            <w:pPr>
              <w:pStyle w:val="TAC"/>
              <w:rPr>
                <w:sz w:val="16"/>
                <w:szCs w:val="16"/>
                <w:lang w:val="en-US" w:eastAsia="zh-CN"/>
              </w:rPr>
            </w:pPr>
            <w:r>
              <w:rPr>
                <w:sz w:val="16"/>
                <w:szCs w:val="16"/>
                <w:lang w:val="en-US" w:eastAsia="zh-CN"/>
              </w:rPr>
              <w:t>CP-231137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FD4B79A" w14:textId="77777777" w:rsidR="00A10B25" w:rsidRDefault="00A10B25">
            <w:pPr>
              <w:pStyle w:val="TAL"/>
              <w:rPr>
                <w:sz w:val="16"/>
                <w:szCs w:val="16"/>
                <w:lang w:val="en-US" w:eastAsia="zh-CN"/>
              </w:rPr>
            </w:pPr>
            <w:r>
              <w:rPr>
                <w:sz w:val="16"/>
                <w:szCs w:val="16"/>
                <w:lang w:val="en-US" w:eastAsia="zh-CN"/>
              </w:rPr>
              <w:t>0703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E94935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E56F4F"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0EC0975" w14:textId="77777777" w:rsidR="00A10B25" w:rsidRDefault="00A10B25">
            <w:pPr>
              <w:pStyle w:val="TAL"/>
              <w:rPr>
                <w:sz w:val="16"/>
              </w:rPr>
            </w:pPr>
            <w:r>
              <w:rPr>
                <w:sz w:val="16"/>
              </w:rPr>
              <w:t>Support of preferred granularity of location for EventsSubscription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A33AC96" w14:textId="77777777" w:rsidR="00A10B25" w:rsidRDefault="00A10B25">
            <w:pPr>
              <w:pStyle w:val="TAC"/>
              <w:rPr>
                <w:sz w:val="16"/>
                <w:szCs w:val="16"/>
              </w:rPr>
            </w:pPr>
            <w:r>
              <w:rPr>
                <w:sz w:val="16"/>
                <w:szCs w:val="16"/>
              </w:rPr>
              <w:t>18.2.0</w:t>
            </w:r>
          </w:p>
        </w:tc>
      </w:tr>
      <w:tr w:rsidR="00A10B25" w14:paraId="5FF8AC3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4D7DD51"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8522E83"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CF395F" w14:textId="77777777" w:rsidR="00A10B25" w:rsidRDefault="00A10B25">
            <w:pPr>
              <w:pStyle w:val="TAC"/>
              <w:rPr>
                <w:sz w:val="16"/>
                <w:szCs w:val="16"/>
                <w:lang w:val="en-US" w:eastAsia="zh-CN"/>
              </w:rPr>
            </w:pPr>
            <w:r>
              <w:rPr>
                <w:sz w:val="16"/>
                <w:szCs w:val="16"/>
                <w:lang w:val="en-US" w:eastAsia="zh-CN"/>
              </w:rPr>
              <w:t>CP-231137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FD8CCED" w14:textId="77777777" w:rsidR="00A10B25" w:rsidRDefault="00A10B25">
            <w:pPr>
              <w:pStyle w:val="TAL"/>
              <w:rPr>
                <w:sz w:val="16"/>
                <w:szCs w:val="16"/>
                <w:lang w:val="en-US" w:eastAsia="zh-CN"/>
              </w:rPr>
            </w:pPr>
            <w:r>
              <w:rPr>
                <w:sz w:val="16"/>
                <w:szCs w:val="16"/>
                <w:lang w:val="en-US" w:eastAsia="zh-CN"/>
              </w:rPr>
              <w:t>0704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B3A6AA7"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1A583D"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CB8189E" w14:textId="77777777" w:rsidR="00A10B25" w:rsidRDefault="00A10B25">
            <w:pPr>
              <w:pStyle w:val="TAL"/>
              <w:rPr>
                <w:sz w:val="16"/>
              </w:rPr>
            </w:pPr>
            <w:r>
              <w:rPr>
                <w:sz w:val="16"/>
              </w:rPr>
              <w:t>Support of preferred granularity of location for AnalyticsInfo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D9533FF" w14:textId="77777777" w:rsidR="00A10B25" w:rsidRDefault="00A10B25">
            <w:pPr>
              <w:pStyle w:val="TAC"/>
              <w:rPr>
                <w:sz w:val="16"/>
                <w:szCs w:val="16"/>
              </w:rPr>
            </w:pPr>
            <w:r>
              <w:rPr>
                <w:sz w:val="16"/>
                <w:szCs w:val="16"/>
              </w:rPr>
              <w:t>18.2.0</w:t>
            </w:r>
          </w:p>
        </w:tc>
      </w:tr>
      <w:tr w:rsidR="00A10B25" w14:paraId="01693DE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1F4312B"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0F2160"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804927" w14:textId="77777777" w:rsidR="00A10B25" w:rsidRDefault="00A10B25">
            <w:pPr>
              <w:pStyle w:val="TAC"/>
              <w:rPr>
                <w:sz w:val="16"/>
                <w:szCs w:val="16"/>
                <w:lang w:val="en-US" w:eastAsia="zh-CN"/>
              </w:rPr>
            </w:pPr>
            <w:r>
              <w:rPr>
                <w:sz w:val="16"/>
                <w:szCs w:val="16"/>
                <w:lang w:val="en-US" w:eastAsia="zh-CN"/>
              </w:rPr>
              <w:t>CP-231124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7831896" w14:textId="77777777" w:rsidR="00A10B25" w:rsidRDefault="00A10B25">
            <w:pPr>
              <w:pStyle w:val="TAL"/>
              <w:rPr>
                <w:sz w:val="16"/>
                <w:szCs w:val="16"/>
                <w:lang w:val="en-US" w:eastAsia="zh-CN"/>
              </w:rPr>
            </w:pPr>
            <w:r>
              <w:rPr>
                <w:sz w:val="16"/>
                <w:szCs w:val="16"/>
                <w:lang w:val="en-US" w:eastAsia="zh-CN"/>
              </w:rPr>
              <w:t>0707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530DE9"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4947D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255AC50" w14:textId="77777777" w:rsidR="00A10B25" w:rsidRDefault="00A10B25">
            <w:pPr>
              <w:pStyle w:val="TAL"/>
              <w:rPr>
                <w:sz w:val="16"/>
              </w:rPr>
            </w:pPr>
            <w:r>
              <w:rPr>
                <w:sz w:val="16"/>
              </w:rPr>
              <w:t>Enhancements on UE Mobility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BC07584" w14:textId="77777777" w:rsidR="00A10B25" w:rsidRDefault="00A10B25">
            <w:pPr>
              <w:pStyle w:val="TAC"/>
              <w:rPr>
                <w:sz w:val="16"/>
                <w:szCs w:val="16"/>
              </w:rPr>
            </w:pPr>
            <w:r>
              <w:rPr>
                <w:sz w:val="16"/>
                <w:szCs w:val="16"/>
              </w:rPr>
              <w:t>18.2.0</w:t>
            </w:r>
          </w:p>
        </w:tc>
      </w:tr>
      <w:tr w:rsidR="00A10B25" w14:paraId="21B2188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D79289A"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1779AE"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A3F66E"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C31BB4B" w14:textId="77777777" w:rsidR="00A10B25" w:rsidRDefault="00A10B25">
            <w:pPr>
              <w:pStyle w:val="TAL"/>
              <w:rPr>
                <w:sz w:val="16"/>
                <w:szCs w:val="16"/>
                <w:lang w:val="en-US" w:eastAsia="zh-CN"/>
              </w:rPr>
            </w:pPr>
            <w:r>
              <w:rPr>
                <w:sz w:val="16"/>
                <w:szCs w:val="16"/>
                <w:lang w:val="en-US" w:eastAsia="zh-CN"/>
              </w:rPr>
              <w:t>0708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AEB0436"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50D6EE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F643AE1" w14:textId="77777777" w:rsidR="00A10B25" w:rsidRDefault="00A10B25">
            <w:pPr>
              <w:pStyle w:val="TAL"/>
              <w:rPr>
                <w:sz w:val="16"/>
              </w:rPr>
            </w:pPr>
            <w:r>
              <w:rPr>
                <w:sz w:val="16"/>
              </w:rPr>
              <w:t>Enhancements to WLAN performance analytics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333B4F5" w14:textId="77777777" w:rsidR="00A10B25" w:rsidRDefault="00A10B25">
            <w:pPr>
              <w:pStyle w:val="TAC"/>
              <w:rPr>
                <w:sz w:val="16"/>
                <w:szCs w:val="16"/>
              </w:rPr>
            </w:pPr>
            <w:r>
              <w:rPr>
                <w:sz w:val="16"/>
                <w:szCs w:val="16"/>
              </w:rPr>
              <w:t>18.2.0</w:t>
            </w:r>
          </w:p>
        </w:tc>
      </w:tr>
      <w:tr w:rsidR="00A10B25" w14:paraId="4FB83A3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86316A8"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C69064C"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234E3B"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97CDEE3" w14:textId="77777777" w:rsidR="00A10B25" w:rsidRDefault="00A10B25">
            <w:pPr>
              <w:pStyle w:val="TAL"/>
              <w:rPr>
                <w:sz w:val="16"/>
                <w:szCs w:val="16"/>
                <w:lang w:val="en-US" w:eastAsia="zh-CN"/>
              </w:rPr>
            </w:pPr>
            <w:r>
              <w:rPr>
                <w:sz w:val="16"/>
                <w:szCs w:val="16"/>
                <w:lang w:val="en-US" w:eastAsia="zh-CN"/>
              </w:rPr>
              <w:t>0709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7F7FCF"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456FDC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85232AE" w14:textId="77777777" w:rsidR="00A10B25" w:rsidRDefault="00A10B25">
            <w:pPr>
              <w:pStyle w:val="TAL"/>
              <w:rPr>
                <w:sz w:val="16"/>
              </w:rPr>
            </w:pPr>
            <w:r>
              <w:rPr>
                <w:sz w:val="16"/>
              </w:rPr>
              <w:t>Enhancements to WLAN performance analytics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46EF4F6" w14:textId="77777777" w:rsidR="00A10B25" w:rsidRDefault="00A10B25">
            <w:pPr>
              <w:pStyle w:val="TAC"/>
              <w:rPr>
                <w:sz w:val="16"/>
                <w:szCs w:val="16"/>
              </w:rPr>
            </w:pPr>
            <w:r>
              <w:rPr>
                <w:sz w:val="16"/>
                <w:szCs w:val="16"/>
              </w:rPr>
              <w:t>18.2.0</w:t>
            </w:r>
          </w:p>
        </w:tc>
      </w:tr>
      <w:tr w:rsidR="00A10B25" w14:paraId="162284C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99F0AD4"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56F4A99"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8D926A"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736ED9B" w14:textId="77777777" w:rsidR="00A10B25" w:rsidRDefault="00A10B25">
            <w:pPr>
              <w:pStyle w:val="TAL"/>
              <w:rPr>
                <w:sz w:val="16"/>
                <w:szCs w:val="16"/>
                <w:lang w:val="en-US" w:eastAsia="zh-CN"/>
              </w:rPr>
            </w:pPr>
            <w:r>
              <w:rPr>
                <w:sz w:val="16"/>
                <w:szCs w:val="16"/>
                <w:lang w:val="en-US" w:eastAsia="zh-CN"/>
              </w:rPr>
              <w:t>0710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146523E"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CDBC9C"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C98D54" w14:textId="77777777" w:rsidR="00A10B25" w:rsidRDefault="00A10B25">
            <w:pPr>
              <w:pStyle w:val="TAL"/>
              <w:rPr>
                <w:sz w:val="16"/>
              </w:rPr>
            </w:pPr>
            <w:r>
              <w:rPr>
                <w:sz w:val="16"/>
              </w:rPr>
              <w:t>Enhancements to Network performance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B3FB57E" w14:textId="77777777" w:rsidR="00A10B25" w:rsidRDefault="00A10B25">
            <w:pPr>
              <w:pStyle w:val="TAC"/>
              <w:rPr>
                <w:sz w:val="16"/>
                <w:szCs w:val="16"/>
              </w:rPr>
            </w:pPr>
            <w:r>
              <w:rPr>
                <w:sz w:val="16"/>
                <w:szCs w:val="16"/>
              </w:rPr>
              <w:t>18.2.0</w:t>
            </w:r>
          </w:p>
        </w:tc>
      </w:tr>
      <w:tr w:rsidR="00A10B25" w14:paraId="0453C55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54CB69C"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B06633A"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1978C5" w14:textId="77777777" w:rsidR="00A10B25" w:rsidRDefault="00A10B25">
            <w:pPr>
              <w:pStyle w:val="TAC"/>
              <w:rPr>
                <w:sz w:val="16"/>
                <w:szCs w:val="16"/>
                <w:lang w:val="en-US" w:eastAsia="zh-CN"/>
              </w:rPr>
            </w:pPr>
            <w:r>
              <w:rPr>
                <w:sz w:val="16"/>
                <w:szCs w:val="16"/>
                <w:lang w:val="en-US" w:eastAsia="zh-CN"/>
              </w:rPr>
              <w:t>CP-231127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F3AE917" w14:textId="77777777" w:rsidR="00A10B25" w:rsidRDefault="00A10B25">
            <w:pPr>
              <w:pStyle w:val="TAL"/>
              <w:rPr>
                <w:sz w:val="16"/>
                <w:szCs w:val="16"/>
                <w:lang w:val="en-US" w:eastAsia="zh-CN"/>
              </w:rPr>
            </w:pPr>
            <w:r>
              <w:rPr>
                <w:sz w:val="16"/>
                <w:szCs w:val="16"/>
                <w:lang w:val="en-US" w:eastAsia="zh-CN"/>
              </w:rPr>
              <w:t>0711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20D1B2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D7947E"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86859C6" w14:textId="77777777" w:rsidR="00A10B25" w:rsidRDefault="00A10B25">
            <w:pPr>
              <w:pStyle w:val="TAL"/>
              <w:rPr>
                <w:sz w:val="16"/>
              </w:rPr>
            </w:pPr>
            <w:r>
              <w:rPr>
                <w:sz w:val="16"/>
              </w:rPr>
              <w:t>Enhancements to Network performance in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48DD05" w14:textId="77777777" w:rsidR="00A10B25" w:rsidRDefault="00A10B25">
            <w:pPr>
              <w:pStyle w:val="TAC"/>
              <w:rPr>
                <w:sz w:val="16"/>
                <w:szCs w:val="16"/>
              </w:rPr>
            </w:pPr>
            <w:r>
              <w:rPr>
                <w:sz w:val="16"/>
                <w:szCs w:val="16"/>
              </w:rPr>
              <w:t>18.2.0</w:t>
            </w:r>
          </w:p>
        </w:tc>
      </w:tr>
      <w:tr w:rsidR="00A10B25" w14:paraId="782A72D2"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CC72B46"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D3CF88"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BCD699A"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2590094" w14:textId="77777777" w:rsidR="00A10B25" w:rsidRDefault="00A10B25">
            <w:pPr>
              <w:pStyle w:val="TAL"/>
              <w:rPr>
                <w:sz w:val="16"/>
                <w:szCs w:val="16"/>
                <w:lang w:val="en-US" w:eastAsia="zh-CN"/>
              </w:rPr>
            </w:pPr>
            <w:r>
              <w:rPr>
                <w:sz w:val="16"/>
                <w:szCs w:val="16"/>
                <w:lang w:val="en-US" w:eastAsia="zh-CN"/>
              </w:rPr>
              <w:t>0712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77FA1F"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C32E42"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ED28041" w14:textId="77777777" w:rsidR="00A10B25" w:rsidRDefault="00A10B25">
            <w:pPr>
              <w:pStyle w:val="TAL"/>
              <w:rPr>
                <w:sz w:val="16"/>
              </w:rPr>
            </w:pPr>
            <w:r>
              <w:rPr>
                <w:sz w:val="16"/>
              </w:rPr>
              <w:t>Adding Storage Handling Information in NWDAF Data Management subscriptions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C8F1521" w14:textId="77777777" w:rsidR="00A10B25" w:rsidRDefault="00A10B25">
            <w:pPr>
              <w:pStyle w:val="TAC"/>
              <w:rPr>
                <w:sz w:val="16"/>
                <w:szCs w:val="16"/>
              </w:rPr>
            </w:pPr>
            <w:r>
              <w:rPr>
                <w:sz w:val="16"/>
                <w:szCs w:val="16"/>
              </w:rPr>
              <w:t>18.2.0</w:t>
            </w:r>
          </w:p>
        </w:tc>
      </w:tr>
      <w:tr w:rsidR="00A10B25" w14:paraId="5CFF6F7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F83C858"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DA99ABB"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A1CBB3"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0109514" w14:textId="77777777" w:rsidR="00A10B25" w:rsidRDefault="00A10B25">
            <w:pPr>
              <w:pStyle w:val="TAL"/>
              <w:rPr>
                <w:sz w:val="16"/>
                <w:szCs w:val="16"/>
                <w:lang w:val="en-US" w:eastAsia="zh-CN"/>
              </w:rPr>
            </w:pPr>
            <w:r>
              <w:rPr>
                <w:sz w:val="16"/>
                <w:szCs w:val="16"/>
                <w:lang w:val="en-US" w:eastAsia="zh-CN"/>
              </w:rPr>
              <w:t>0713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33EE44"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E4883EA"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EF9805A" w14:textId="77777777" w:rsidR="00A10B25" w:rsidRDefault="00A10B25">
            <w:pPr>
              <w:pStyle w:val="TAL"/>
              <w:rPr>
                <w:sz w:val="16"/>
              </w:rPr>
            </w:pPr>
            <w:r>
              <w:rPr>
                <w:sz w:val="16"/>
              </w:rPr>
              <w:t>Sending NWDAF Deletion Alerts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4BDB617" w14:textId="77777777" w:rsidR="00A10B25" w:rsidRDefault="00A10B25">
            <w:pPr>
              <w:pStyle w:val="TAC"/>
              <w:rPr>
                <w:sz w:val="16"/>
                <w:szCs w:val="16"/>
              </w:rPr>
            </w:pPr>
            <w:r>
              <w:rPr>
                <w:sz w:val="16"/>
                <w:szCs w:val="16"/>
              </w:rPr>
              <w:t>18.2.0</w:t>
            </w:r>
          </w:p>
        </w:tc>
      </w:tr>
      <w:tr w:rsidR="00A10B25" w14:paraId="6A467F9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E6308C8"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854CC7A"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354CC4"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FCF0359" w14:textId="77777777" w:rsidR="00A10B25" w:rsidRDefault="00A10B25">
            <w:pPr>
              <w:pStyle w:val="TAL"/>
              <w:rPr>
                <w:sz w:val="16"/>
                <w:szCs w:val="16"/>
                <w:lang w:val="en-US" w:eastAsia="zh-CN"/>
              </w:rPr>
            </w:pPr>
            <w:r>
              <w:rPr>
                <w:sz w:val="16"/>
                <w:szCs w:val="16"/>
                <w:lang w:val="en-US" w:eastAsia="zh-CN"/>
              </w:rPr>
              <w:t>0714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C048D2"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2B671CF"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390404" w14:textId="77777777" w:rsidR="00A10B25" w:rsidRDefault="00A10B25">
            <w:pPr>
              <w:pStyle w:val="TAL"/>
              <w:rPr>
                <w:sz w:val="16"/>
              </w:rPr>
            </w:pPr>
            <w:r>
              <w:rPr>
                <w:sz w:val="16"/>
              </w:rPr>
              <w:t>Event muting enhancements for NWDAF Data Management subscriptions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25BE400" w14:textId="77777777" w:rsidR="00A10B25" w:rsidRDefault="00A10B25">
            <w:pPr>
              <w:pStyle w:val="TAC"/>
              <w:rPr>
                <w:sz w:val="16"/>
                <w:szCs w:val="16"/>
              </w:rPr>
            </w:pPr>
            <w:r>
              <w:rPr>
                <w:sz w:val="16"/>
                <w:szCs w:val="16"/>
              </w:rPr>
              <w:t>18.2.0</w:t>
            </w:r>
          </w:p>
        </w:tc>
      </w:tr>
      <w:tr w:rsidR="00A10B25" w14:paraId="5598ED3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D9A529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5E8F25"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A64BB2" w14:textId="77777777" w:rsidR="00A10B25" w:rsidRDefault="00A10B25">
            <w:pPr>
              <w:pStyle w:val="TAC"/>
              <w:rPr>
                <w:sz w:val="16"/>
                <w:szCs w:val="16"/>
                <w:lang w:val="en-US" w:eastAsia="zh-CN"/>
              </w:rPr>
            </w:pPr>
            <w:r>
              <w:rPr>
                <w:sz w:val="16"/>
                <w:szCs w:val="16"/>
                <w:lang w:val="en-US" w:eastAsia="zh-CN"/>
              </w:rPr>
              <w:t>CP-231157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8B2A98E" w14:textId="77777777" w:rsidR="00A10B25" w:rsidRDefault="00A10B25">
            <w:pPr>
              <w:pStyle w:val="TAL"/>
              <w:rPr>
                <w:sz w:val="16"/>
                <w:szCs w:val="16"/>
                <w:lang w:val="en-US" w:eastAsia="zh-CN"/>
              </w:rPr>
            </w:pPr>
            <w:r>
              <w:rPr>
                <w:sz w:val="16"/>
                <w:szCs w:val="16"/>
                <w:lang w:val="en-US" w:eastAsia="zh-CN"/>
              </w:rPr>
              <w:t>0715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1F87C6"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A892F0"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31A037D" w14:textId="77777777" w:rsidR="00A10B25" w:rsidRDefault="00A10B25">
            <w:pPr>
              <w:pStyle w:val="TAL"/>
              <w:rPr>
                <w:sz w:val="16"/>
              </w:rPr>
            </w:pPr>
            <w:r>
              <w:rPr>
                <w:sz w:val="16"/>
              </w:rPr>
              <w:t>Usage of the upfInfo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804A775" w14:textId="77777777" w:rsidR="00A10B25" w:rsidRDefault="00A10B25">
            <w:pPr>
              <w:pStyle w:val="TAC"/>
              <w:rPr>
                <w:sz w:val="16"/>
                <w:szCs w:val="16"/>
              </w:rPr>
            </w:pPr>
            <w:r>
              <w:rPr>
                <w:sz w:val="16"/>
                <w:szCs w:val="16"/>
              </w:rPr>
              <w:t>18.2.0</w:t>
            </w:r>
          </w:p>
        </w:tc>
      </w:tr>
      <w:tr w:rsidR="00A10B25" w14:paraId="6F3870B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6D0921F"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828BDF"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CD755" w14:textId="77777777" w:rsidR="00A10B25" w:rsidRDefault="00A10B25">
            <w:pPr>
              <w:pStyle w:val="TAC"/>
              <w:rPr>
                <w:sz w:val="16"/>
                <w:szCs w:val="16"/>
                <w:lang w:val="en-US" w:eastAsia="zh-CN"/>
              </w:rPr>
            </w:pPr>
            <w:r>
              <w:rPr>
                <w:sz w:val="16"/>
                <w:szCs w:val="16"/>
                <w:lang w:val="en-US" w:eastAsia="zh-CN"/>
              </w:rPr>
              <w:t>CP-231157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21DB23F" w14:textId="77777777" w:rsidR="00A10B25" w:rsidRDefault="00A10B25">
            <w:pPr>
              <w:pStyle w:val="TAL"/>
              <w:rPr>
                <w:sz w:val="16"/>
                <w:szCs w:val="16"/>
                <w:lang w:val="en-US" w:eastAsia="zh-CN"/>
              </w:rPr>
            </w:pPr>
            <w:r>
              <w:rPr>
                <w:sz w:val="16"/>
                <w:szCs w:val="16"/>
                <w:lang w:val="en-US" w:eastAsia="zh-CN"/>
              </w:rPr>
              <w:t>0716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84BD09D"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F8ED39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557A59E" w14:textId="77777777" w:rsidR="00A10B25" w:rsidRDefault="00A10B25">
            <w:pPr>
              <w:pStyle w:val="TAL"/>
              <w:rPr>
                <w:sz w:val="16"/>
              </w:rPr>
            </w:pPr>
            <w:r>
              <w:rPr>
                <w:sz w:val="16"/>
              </w:rPr>
              <w:t>Adding support of UPF events by the NWDAF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E79517F" w14:textId="77777777" w:rsidR="00A10B25" w:rsidRDefault="00A10B25">
            <w:pPr>
              <w:pStyle w:val="TAC"/>
              <w:rPr>
                <w:sz w:val="16"/>
                <w:szCs w:val="16"/>
              </w:rPr>
            </w:pPr>
            <w:r>
              <w:rPr>
                <w:sz w:val="16"/>
                <w:szCs w:val="16"/>
              </w:rPr>
              <w:t>18.2.0</w:t>
            </w:r>
          </w:p>
        </w:tc>
      </w:tr>
      <w:tr w:rsidR="00A10B25" w14:paraId="3E1CC2AE"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348244B"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A543F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D11BB"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80DF2DA" w14:textId="77777777" w:rsidR="00A10B25" w:rsidRDefault="00A10B25">
            <w:pPr>
              <w:pStyle w:val="TAL"/>
              <w:rPr>
                <w:sz w:val="16"/>
                <w:szCs w:val="16"/>
                <w:lang w:val="en-US" w:eastAsia="zh-CN"/>
              </w:rPr>
            </w:pPr>
            <w:r>
              <w:rPr>
                <w:sz w:val="16"/>
                <w:szCs w:val="16"/>
                <w:lang w:val="en-US" w:eastAsia="zh-CN"/>
              </w:rPr>
              <w:t>0717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2A465A"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D9A42A"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27BC54F" w14:textId="77777777" w:rsidR="00A10B25" w:rsidRDefault="00A10B25">
            <w:pPr>
              <w:pStyle w:val="TAL"/>
              <w:rPr>
                <w:sz w:val="16"/>
              </w:rPr>
            </w:pPr>
            <w:r>
              <w:rPr>
                <w:sz w:val="16"/>
              </w:rPr>
              <w:t>Support of analytics subset and accuracy per analytics subset for UE mobility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14D50AC" w14:textId="77777777" w:rsidR="00A10B25" w:rsidRDefault="00A10B25">
            <w:pPr>
              <w:pStyle w:val="TAC"/>
              <w:rPr>
                <w:sz w:val="16"/>
                <w:szCs w:val="16"/>
              </w:rPr>
            </w:pPr>
            <w:r>
              <w:rPr>
                <w:sz w:val="16"/>
                <w:szCs w:val="16"/>
              </w:rPr>
              <w:t>18.2.0</w:t>
            </w:r>
          </w:p>
        </w:tc>
      </w:tr>
      <w:tr w:rsidR="00A10B25" w14:paraId="6946650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0657223"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ED89C40"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EF470C" w14:textId="77777777" w:rsidR="00A10B25" w:rsidRDefault="00A10B25">
            <w:pPr>
              <w:pStyle w:val="TAC"/>
              <w:rPr>
                <w:sz w:val="16"/>
                <w:szCs w:val="16"/>
                <w:lang w:val="en-US" w:eastAsia="zh-CN"/>
              </w:rPr>
            </w:pPr>
            <w:r>
              <w:rPr>
                <w:sz w:val="16"/>
                <w:szCs w:val="16"/>
                <w:lang w:val="en-US" w:eastAsia="zh-CN"/>
              </w:rPr>
              <w:t>CP-231303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48584AE" w14:textId="77777777" w:rsidR="00A10B25" w:rsidRDefault="00A10B25">
            <w:pPr>
              <w:pStyle w:val="TAL"/>
              <w:rPr>
                <w:sz w:val="16"/>
                <w:szCs w:val="16"/>
                <w:lang w:val="en-US" w:eastAsia="zh-CN"/>
              </w:rPr>
            </w:pPr>
            <w:r>
              <w:rPr>
                <w:sz w:val="16"/>
                <w:szCs w:val="16"/>
                <w:lang w:val="en-US" w:eastAsia="zh-CN"/>
              </w:rPr>
              <w:t>0718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13FE194"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ABDA07E"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7C2BE52" w14:textId="77777777" w:rsidR="00A10B25" w:rsidRDefault="00A10B25">
            <w:pPr>
              <w:pStyle w:val="TAL"/>
              <w:rPr>
                <w:sz w:val="16"/>
              </w:rPr>
            </w:pPr>
            <w:r>
              <w:rPr>
                <w:sz w:val="16"/>
              </w:rPr>
              <w:t>End-to-end data volume transfer time analytics for Nnwdaf_EventsSubscription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50C05C6" w14:textId="77777777" w:rsidR="00A10B25" w:rsidRDefault="00A10B25">
            <w:pPr>
              <w:pStyle w:val="TAC"/>
              <w:rPr>
                <w:sz w:val="16"/>
                <w:szCs w:val="16"/>
              </w:rPr>
            </w:pPr>
            <w:r>
              <w:rPr>
                <w:sz w:val="16"/>
                <w:szCs w:val="16"/>
              </w:rPr>
              <w:t>18.2.0</w:t>
            </w:r>
          </w:p>
        </w:tc>
      </w:tr>
      <w:tr w:rsidR="00A10B25" w14:paraId="7F70C654"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C9F2CA4"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1805AA9"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22B906" w14:textId="77777777" w:rsidR="00A10B25" w:rsidRDefault="00A10B25">
            <w:pPr>
              <w:pStyle w:val="TAC"/>
              <w:rPr>
                <w:sz w:val="16"/>
                <w:szCs w:val="16"/>
                <w:lang w:val="en-US" w:eastAsia="zh-CN"/>
              </w:rPr>
            </w:pPr>
            <w:r>
              <w:rPr>
                <w:sz w:val="16"/>
                <w:szCs w:val="16"/>
                <w:lang w:val="en-US" w:eastAsia="zh-CN"/>
              </w:rPr>
              <w:t>CP-231128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320D46D" w14:textId="77777777" w:rsidR="00A10B25" w:rsidRDefault="00A10B25">
            <w:pPr>
              <w:pStyle w:val="TAL"/>
              <w:rPr>
                <w:sz w:val="16"/>
                <w:szCs w:val="16"/>
                <w:lang w:val="en-US" w:eastAsia="zh-CN"/>
              </w:rPr>
            </w:pPr>
            <w:r>
              <w:rPr>
                <w:sz w:val="16"/>
                <w:szCs w:val="16"/>
                <w:lang w:val="en-US" w:eastAsia="zh-CN"/>
              </w:rPr>
              <w:t>0719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D822ABE"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AEB05C"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9B0A47E" w14:textId="77777777" w:rsidR="00A10B25" w:rsidRDefault="00A10B25">
            <w:pPr>
              <w:pStyle w:val="TAL"/>
              <w:rPr>
                <w:sz w:val="16"/>
              </w:rPr>
            </w:pPr>
            <w:r>
              <w:rPr>
                <w:sz w:val="16"/>
              </w:rPr>
              <w:t>End-to-end data volume transfer time analytics for Nnwdaf_AnalyticsInfo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8A36545" w14:textId="77777777" w:rsidR="00A10B25" w:rsidRDefault="00A10B25">
            <w:pPr>
              <w:pStyle w:val="TAC"/>
              <w:rPr>
                <w:sz w:val="16"/>
                <w:szCs w:val="16"/>
              </w:rPr>
            </w:pPr>
            <w:r>
              <w:rPr>
                <w:sz w:val="16"/>
                <w:szCs w:val="16"/>
              </w:rPr>
              <w:t>18.2.0</w:t>
            </w:r>
          </w:p>
        </w:tc>
      </w:tr>
      <w:tr w:rsidR="00A10B25" w14:paraId="437FCDD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475828C"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B1DFC6A"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695A41"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CB85118" w14:textId="77777777" w:rsidR="00A10B25" w:rsidRDefault="00A10B25">
            <w:pPr>
              <w:pStyle w:val="TAL"/>
              <w:rPr>
                <w:sz w:val="16"/>
                <w:szCs w:val="16"/>
                <w:lang w:val="en-US" w:eastAsia="zh-CN"/>
              </w:rPr>
            </w:pPr>
            <w:r>
              <w:rPr>
                <w:sz w:val="16"/>
                <w:szCs w:val="16"/>
                <w:lang w:val="en-US" w:eastAsia="zh-CN"/>
              </w:rPr>
              <w:t>0720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0BEBA0"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5B0DCD"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A2D3F8C" w14:textId="77777777" w:rsidR="00A10B25" w:rsidRDefault="00A10B25">
            <w:pPr>
              <w:pStyle w:val="TAL"/>
              <w:rPr>
                <w:sz w:val="16"/>
              </w:rPr>
            </w:pPr>
            <w:r>
              <w:rPr>
                <w:sz w:val="16"/>
              </w:rPr>
              <w:t>Update to Nnwdaf_MLModelProvision API for Supportting ML Model Retrieval with ADRF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4EBC209" w14:textId="77777777" w:rsidR="00A10B25" w:rsidRDefault="00A10B25">
            <w:pPr>
              <w:pStyle w:val="TAC"/>
              <w:rPr>
                <w:sz w:val="16"/>
                <w:szCs w:val="16"/>
              </w:rPr>
            </w:pPr>
            <w:r>
              <w:rPr>
                <w:sz w:val="16"/>
                <w:szCs w:val="16"/>
              </w:rPr>
              <w:t>18.2.0</w:t>
            </w:r>
          </w:p>
        </w:tc>
      </w:tr>
      <w:tr w:rsidR="00A10B25" w14:paraId="06335B0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9090455"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F7E615"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64265C3" w14:textId="77777777" w:rsidR="00A10B25" w:rsidRDefault="00A10B25">
            <w:pPr>
              <w:pStyle w:val="TAC"/>
              <w:rPr>
                <w:sz w:val="16"/>
                <w:szCs w:val="16"/>
                <w:lang w:val="en-US" w:eastAsia="zh-CN"/>
              </w:rPr>
            </w:pPr>
            <w:r>
              <w:rPr>
                <w:sz w:val="16"/>
                <w:szCs w:val="16"/>
                <w:lang w:val="en-US" w:eastAsia="zh-CN"/>
              </w:rPr>
              <w:t>CP-231159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C468ACF" w14:textId="77777777" w:rsidR="00A10B25" w:rsidRDefault="00A10B25">
            <w:pPr>
              <w:pStyle w:val="TAL"/>
              <w:rPr>
                <w:sz w:val="16"/>
                <w:szCs w:val="16"/>
                <w:lang w:val="en-US" w:eastAsia="zh-CN"/>
              </w:rPr>
            </w:pPr>
            <w:r>
              <w:rPr>
                <w:sz w:val="16"/>
                <w:szCs w:val="16"/>
                <w:lang w:val="en-US" w:eastAsia="zh-CN"/>
              </w:rPr>
              <w:t>0722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47FE0A"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9E9B37A" w14:textId="77777777" w:rsidR="00A10B25" w:rsidRDefault="00A10B25">
            <w:pPr>
              <w:pStyle w:val="TAC"/>
              <w:rPr>
                <w:sz w:val="16"/>
                <w:szCs w:val="16"/>
                <w:lang w:val="en-US" w:eastAsia="zh-CN"/>
              </w:rPr>
            </w:pPr>
            <w:r>
              <w:rPr>
                <w:sz w:val="16"/>
                <w:szCs w:val="16"/>
                <w:lang w:val="en-US" w:eastAsia="zh-CN"/>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597343F" w14:textId="77777777" w:rsidR="00A10B25" w:rsidRDefault="00A10B25">
            <w:pPr>
              <w:pStyle w:val="TAL"/>
              <w:rPr>
                <w:sz w:val="16"/>
              </w:rPr>
            </w:pPr>
            <w:r>
              <w:rPr>
                <w:sz w:val="16"/>
              </w:rPr>
              <w:t>Corrections on the validity period in the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4BC486D" w14:textId="77777777" w:rsidR="00A10B25" w:rsidRDefault="00A10B25">
            <w:pPr>
              <w:pStyle w:val="TAC"/>
              <w:rPr>
                <w:sz w:val="16"/>
                <w:szCs w:val="16"/>
              </w:rPr>
            </w:pPr>
            <w:r>
              <w:rPr>
                <w:sz w:val="16"/>
                <w:szCs w:val="16"/>
              </w:rPr>
              <w:t>18.2.0</w:t>
            </w:r>
          </w:p>
        </w:tc>
      </w:tr>
      <w:tr w:rsidR="00A10B25" w14:paraId="23D18C7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B382F26"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75BE90"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1C7A99"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C9802B8" w14:textId="77777777" w:rsidR="00A10B25" w:rsidRDefault="00A10B25">
            <w:pPr>
              <w:pStyle w:val="TAL"/>
              <w:rPr>
                <w:sz w:val="16"/>
                <w:szCs w:val="16"/>
                <w:lang w:val="en-US" w:eastAsia="zh-CN"/>
              </w:rPr>
            </w:pPr>
            <w:r>
              <w:rPr>
                <w:sz w:val="16"/>
                <w:szCs w:val="16"/>
                <w:lang w:val="en-US" w:eastAsia="zh-CN"/>
              </w:rPr>
              <w:t>0723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EAD1D1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41F54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76AF97B" w14:textId="77777777" w:rsidR="00A10B25" w:rsidRDefault="00A10B25">
            <w:pPr>
              <w:pStyle w:val="TAL"/>
              <w:rPr>
                <w:sz w:val="16"/>
              </w:rPr>
            </w:pPr>
            <w:r>
              <w:rPr>
                <w:sz w:val="16"/>
              </w:rPr>
              <w:t>Enhancement of DN Performance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DF1E455" w14:textId="77777777" w:rsidR="00A10B25" w:rsidRDefault="00A10B25">
            <w:pPr>
              <w:pStyle w:val="TAC"/>
              <w:rPr>
                <w:sz w:val="16"/>
                <w:szCs w:val="16"/>
              </w:rPr>
            </w:pPr>
            <w:r>
              <w:rPr>
                <w:sz w:val="16"/>
                <w:szCs w:val="16"/>
              </w:rPr>
              <w:t>18.2.0</w:t>
            </w:r>
          </w:p>
        </w:tc>
      </w:tr>
      <w:tr w:rsidR="00A10B25" w14:paraId="23021E7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9056C52"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195225"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6710C71"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9F70AF7" w14:textId="77777777" w:rsidR="00A10B25" w:rsidRDefault="00A10B25">
            <w:pPr>
              <w:pStyle w:val="TAL"/>
              <w:rPr>
                <w:sz w:val="16"/>
                <w:szCs w:val="16"/>
                <w:lang w:val="en-US" w:eastAsia="zh-CN"/>
              </w:rPr>
            </w:pPr>
            <w:r>
              <w:rPr>
                <w:sz w:val="16"/>
                <w:szCs w:val="16"/>
                <w:lang w:val="en-US" w:eastAsia="zh-CN"/>
              </w:rPr>
              <w:t>0724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6C7D3F"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E0DB9B8"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F9AADE6" w14:textId="77777777" w:rsidR="00A10B25" w:rsidRDefault="00A10B25">
            <w:pPr>
              <w:pStyle w:val="TAL"/>
              <w:rPr>
                <w:sz w:val="16"/>
              </w:rPr>
            </w:pPr>
            <w:r>
              <w:rPr>
                <w:sz w:val="16"/>
              </w:rPr>
              <w:t>Support of analytics accuracy information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C0E132A" w14:textId="77777777" w:rsidR="00A10B25" w:rsidRDefault="00A10B25">
            <w:pPr>
              <w:pStyle w:val="TAC"/>
              <w:rPr>
                <w:sz w:val="16"/>
                <w:szCs w:val="16"/>
              </w:rPr>
            </w:pPr>
            <w:r>
              <w:rPr>
                <w:sz w:val="16"/>
                <w:szCs w:val="16"/>
              </w:rPr>
              <w:t>18.2.0</w:t>
            </w:r>
          </w:p>
        </w:tc>
      </w:tr>
      <w:tr w:rsidR="00A10B25" w14:paraId="777AC55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3572D12"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68D8B7"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4EC1C4"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76C5B83" w14:textId="77777777" w:rsidR="00A10B25" w:rsidRDefault="00A10B25">
            <w:pPr>
              <w:pStyle w:val="TAL"/>
              <w:rPr>
                <w:sz w:val="16"/>
                <w:szCs w:val="16"/>
                <w:lang w:val="en-US" w:eastAsia="zh-CN"/>
              </w:rPr>
            </w:pPr>
            <w:r>
              <w:rPr>
                <w:sz w:val="16"/>
                <w:szCs w:val="16"/>
                <w:lang w:val="en-US" w:eastAsia="zh-CN"/>
              </w:rPr>
              <w:t>0725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FF8C3B"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B36C8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E57609E" w14:textId="77777777" w:rsidR="00A10B25" w:rsidRDefault="00A10B25">
            <w:pPr>
              <w:pStyle w:val="TAL"/>
              <w:rPr>
                <w:sz w:val="16"/>
              </w:rPr>
            </w:pPr>
            <w:r>
              <w:rPr>
                <w:sz w:val="16"/>
              </w:rPr>
              <w:t>Support of analytics accuracy information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922649E" w14:textId="77777777" w:rsidR="00A10B25" w:rsidRDefault="00A10B25">
            <w:pPr>
              <w:pStyle w:val="TAC"/>
              <w:rPr>
                <w:sz w:val="16"/>
                <w:szCs w:val="16"/>
              </w:rPr>
            </w:pPr>
            <w:r>
              <w:rPr>
                <w:sz w:val="16"/>
                <w:szCs w:val="16"/>
              </w:rPr>
              <w:t>18.2.0</w:t>
            </w:r>
          </w:p>
        </w:tc>
      </w:tr>
      <w:tr w:rsidR="00A10B25" w14:paraId="1BB18FD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BF22A99" w14:textId="77777777" w:rsidR="00A10B25" w:rsidRDefault="00A10B25">
            <w:pPr>
              <w:pStyle w:val="TAC"/>
              <w:rPr>
                <w:sz w:val="16"/>
                <w:szCs w:val="16"/>
                <w:lang w:val="en-US" w:eastAsia="zh-CN"/>
              </w:rPr>
            </w:pPr>
            <w:r>
              <w:rPr>
                <w:sz w:val="16"/>
                <w:szCs w:val="16"/>
                <w:lang w:val="en-US" w:eastAsia="zh-CN"/>
              </w:rPr>
              <w:lastRenderedPageBreak/>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458F0D8"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1C7053" w14:textId="77777777" w:rsidR="00A10B25" w:rsidRDefault="00A10B25">
            <w:pPr>
              <w:pStyle w:val="TAC"/>
              <w:rPr>
                <w:sz w:val="16"/>
                <w:szCs w:val="16"/>
                <w:lang w:val="en-US" w:eastAsia="zh-CN"/>
              </w:rPr>
            </w:pPr>
            <w:r>
              <w:rPr>
                <w:sz w:val="16"/>
                <w:szCs w:val="16"/>
                <w:lang w:val="en-US" w:eastAsia="zh-CN"/>
              </w:rPr>
              <w:t>CP-231126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50E0289" w14:textId="77777777" w:rsidR="00A10B25" w:rsidRDefault="00A10B25">
            <w:pPr>
              <w:pStyle w:val="TAL"/>
              <w:rPr>
                <w:sz w:val="16"/>
                <w:szCs w:val="16"/>
                <w:lang w:val="en-US" w:eastAsia="zh-CN"/>
              </w:rPr>
            </w:pPr>
            <w:r>
              <w:rPr>
                <w:sz w:val="16"/>
                <w:szCs w:val="16"/>
                <w:lang w:val="en-US" w:eastAsia="zh-CN"/>
              </w:rPr>
              <w:t>0726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840847"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3E62B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55DAE91" w14:textId="77777777" w:rsidR="00A10B25" w:rsidRDefault="00A10B25">
            <w:pPr>
              <w:pStyle w:val="TAL"/>
              <w:rPr>
                <w:sz w:val="16"/>
              </w:rPr>
            </w:pPr>
            <w:r>
              <w:rPr>
                <w:sz w:val="16"/>
              </w:rPr>
              <w:t>Support of analytics subset and accuracy per analytics subset for UE mobility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5FED156" w14:textId="77777777" w:rsidR="00A10B25" w:rsidRDefault="00A10B25">
            <w:pPr>
              <w:pStyle w:val="TAC"/>
              <w:rPr>
                <w:sz w:val="16"/>
                <w:szCs w:val="16"/>
              </w:rPr>
            </w:pPr>
            <w:r>
              <w:rPr>
                <w:sz w:val="16"/>
                <w:szCs w:val="16"/>
              </w:rPr>
              <w:t>18.2.0</w:t>
            </w:r>
          </w:p>
        </w:tc>
      </w:tr>
      <w:tr w:rsidR="00A10B25" w14:paraId="2446B46E"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5E8A692"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4AD2A1"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7F4F0A" w14:textId="77777777" w:rsidR="00A10B25" w:rsidRDefault="00A10B25">
            <w:pPr>
              <w:pStyle w:val="TAC"/>
              <w:rPr>
                <w:sz w:val="16"/>
                <w:szCs w:val="16"/>
                <w:lang w:val="en-US" w:eastAsia="zh-CN"/>
              </w:rPr>
            </w:pPr>
            <w:r>
              <w:rPr>
                <w:sz w:val="16"/>
                <w:szCs w:val="16"/>
                <w:lang w:val="en-US" w:eastAsia="zh-CN"/>
              </w:rPr>
              <w:t>CP-231138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D0829B1" w14:textId="77777777" w:rsidR="00A10B25" w:rsidRDefault="00A10B25">
            <w:pPr>
              <w:pStyle w:val="TAL"/>
              <w:rPr>
                <w:sz w:val="16"/>
                <w:szCs w:val="16"/>
                <w:lang w:val="en-US" w:eastAsia="zh-CN"/>
              </w:rPr>
            </w:pPr>
            <w:r>
              <w:rPr>
                <w:sz w:val="16"/>
                <w:szCs w:val="16"/>
                <w:lang w:val="en-US" w:eastAsia="zh-CN"/>
              </w:rPr>
              <w:t>0727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D345D30"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E7FE3D"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B11311E" w14:textId="77777777" w:rsidR="00A10B25" w:rsidRDefault="00A10B25">
            <w:pPr>
              <w:pStyle w:val="TAL"/>
              <w:rPr>
                <w:sz w:val="16"/>
              </w:rPr>
            </w:pPr>
            <w:r>
              <w:rPr>
                <w:sz w:val="16"/>
              </w:rPr>
              <w:t>Removal of the redundant descriptions for ML model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D962644" w14:textId="77777777" w:rsidR="00A10B25" w:rsidRDefault="00A10B25">
            <w:pPr>
              <w:pStyle w:val="TAC"/>
              <w:rPr>
                <w:sz w:val="16"/>
                <w:szCs w:val="16"/>
              </w:rPr>
            </w:pPr>
            <w:r>
              <w:rPr>
                <w:sz w:val="16"/>
                <w:szCs w:val="16"/>
              </w:rPr>
              <w:t>18.2.0</w:t>
            </w:r>
          </w:p>
        </w:tc>
      </w:tr>
      <w:tr w:rsidR="00A10B25" w14:paraId="1AAA9B6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7849C81"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574D1B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9E0C95" w14:textId="77777777" w:rsidR="00A10B25" w:rsidRDefault="00A10B25">
            <w:pPr>
              <w:pStyle w:val="TAC"/>
              <w:rPr>
                <w:sz w:val="16"/>
                <w:szCs w:val="16"/>
                <w:lang w:val="en-US" w:eastAsia="zh-CN"/>
              </w:rPr>
            </w:pPr>
            <w:r>
              <w:rPr>
                <w:sz w:val="16"/>
                <w:szCs w:val="16"/>
                <w:lang w:val="en-US" w:eastAsia="zh-CN"/>
              </w:rPr>
              <w:t>CP-231125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3558553" w14:textId="77777777" w:rsidR="00A10B25" w:rsidRDefault="00A10B25">
            <w:pPr>
              <w:pStyle w:val="TAL"/>
              <w:rPr>
                <w:sz w:val="16"/>
                <w:szCs w:val="16"/>
                <w:lang w:val="en-US" w:eastAsia="zh-CN"/>
              </w:rPr>
            </w:pPr>
            <w:r>
              <w:rPr>
                <w:sz w:val="16"/>
                <w:szCs w:val="16"/>
                <w:lang w:val="en-US" w:eastAsia="zh-CN"/>
              </w:rPr>
              <w:t>0728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E888C9"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DD4535F"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58F40DF" w14:textId="77777777" w:rsidR="00A10B25" w:rsidRDefault="00A10B25">
            <w:pPr>
              <w:pStyle w:val="TAL"/>
              <w:rPr>
                <w:sz w:val="16"/>
              </w:rPr>
            </w:pPr>
            <w:r>
              <w:rPr>
                <w:sz w:val="16"/>
              </w:rPr>
              <w:t>Updates for UE mobility analytics using fine granularity</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3B8914A" w14:textId="77777777" w:rsidR="00A10B25" w:rsidRDefault="00A10B25">
            <w:pPr>
              <w:pStyle w:val="TAC"/>
              <w:rPr>
                <w:sz w:val="16"/>
                <w:szCs w:val="16"/>
              </w:rPr>
            </w:pPr>
            <w:r>
              <w:rPr>
                <w:sz w:val="16"/>
                <w:szCs w:val="16"/>
              </w:rPr>
              <w:t>18.2.0</w:t>
            </w:r>
          </w:p>
        </w:tc>
      </w:tr>
      <w:tr w:rsidR="00A10B25" w14:paraId="6C286D4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E1877E4"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BBC2585"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F821ED" w14:textId="77777777" w:rsidR="00A10B25" w:rsidRDefault="00A10B25">
            <w:pPr>
              <w:pStyle w:val="TAC"/>
              <w:rPr>
                <w:sz w:val="16"/>
                <w:szCs w:val="16"/>
                <w:lang w:val="en-US" w:eastAsia="zh-CN"/>
              </w:rPr>
            </w:pPr>
            <w:r>
              <w:rPr>
                <w:sz w:val="16"/>
                <w:szCs w:val="16"/>
                <w:lang w:val="en-US" w:eastAsia="zh-CN"/>
              </w:rPr>
              <w:t>CP-231138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93A6D4C" w14:textId="77777777" w:rsidR="00A10B25" w:rsidRDefault="00A10B25">
            <w:pPr>
              <w:pStyle w:val="TAL"/>
              <w:rPr>
                <w:sz w:val="16"/>
                <w:szCs w:val="16"/>
                <w:lang w:val="en-US" w:eastAsia="zh-CN"/>
              </w:rPr>
            </w:pPr>
            <w:r>
              <w:rPr>
                <w:sz w:val="16"/>
                <w:szCs w:val="16"/>
                <w:lang w:val="en-US" w:eastAsia="zh-CN"/>
              </w:rPr>
              <w:t>0730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7FBB2D"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C3C7A86"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73543F8" w14:textId="77777777" w:rsidR="00A10B25" w:rsidRDefault="00A10B25">
            <w:pPr>
              <w:pStyle w:val="TAL"/>
              <w:rPr>
                <w:sz w:val="16"/>
              </w:rPr>
            </w:pPr>
            <w:r>
              <w:rPr>
                <w:sz w:val="16"/>
              </w:rPr>
              <w:t>misplaced attributes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17D3A09" w14:textId="77777777" w:rsidR="00A10B25" w:rsidRDefault="00A10B25">
            <w:pPr>
              <w:pStyle w:val="TAC"/>
              <w:rPr>
                <w:sz w:val="16"/>
                <w:szCs w:val="16"/>
              </w:rPr>
            </w:pPr>
            <w:r>
              <w:rPr>
                <w:sz w:val="16"/>
                <w:szCs w:val="16"/>
              </w:rPr>
              <w:t>18.2.0</w:t>
            </w:r>
          </w:p>
        </w:tc>
      </w:tr>
      <w:tr w:rsidR="00A10B25" w14:paraId="7871EAB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5F4CF99"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CD1132"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19AB98" w14:textId="77777777" w:rsidR="00A10B25" w:rsidRDefault="00A10B25">
            <w:pPr>
              <w:pStyle w:val="TAC"/>
              <w:rPr>
                <w:sz w:val="16"/>
                <w:szCs w:val="16"/>
                <w:lang w:val="en-US" w:eastAsia="zh-CN"/>
              </w:rPr>
            </w:pPr>
            <w:r>
              <w:rPr>
                <w:sz w:val="16"/>
                <w:szCs w:val="16"/>
                <w:lang w:val="en-US" w:eastAsia="zh-CN"/>
              </w:rPr>
              <w:t>CP-231138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4D8A695" w14:textId="77777777" w:rsidR="00A10B25" w:rsidRDefault="00A10B25">
            <w:pPr>
              <w:pStyle w:val="TAL"/>
              <w:rPr>
                <w:sz w:val="16"/>
                <w:szCs w:val="16"/>
                <w:lang w:val="en-US" w:eastAsia="zh-CN"/>
              </w:rPr>
            </w:pPr>
            <w:r>
              <w:rPr>
                <w:sz w:val="16"/>
                <w:szCs w:val="16"/>
                <w:lang w:val="en-US" w:eastAsia="zh-CN"/>
              </w:rPr>
              <w:t>0731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7B7D17"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A7AC8D4"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3772EF4" w14:textId="77777777" w:rsidR="00A10B25" w:rsidRDefault="00A10B25">
            <w:pPr>
              <w:pStyle w:val="TAL"/>
              <w:rPr>
                <w:sz w:val="16"/>
              </w:rPr>
            </w:pPr>
            <w:r>
              <w:rPr>
                <w:sz w:val="16"/>
              </w:rPr>
              <w:t>Correction to EnAbnormalBehaviour feature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E511A7D" w14:textId="77777777" w:rsidR="00A10B25" w:rsidRDefault="00A10B25">
            <w:pPr>
              <w:pStyle w:val="TAC"/>
              <w:rPr>
                <w:sz w:val="16"/>
                <w:szCs w:val="16"/>
              </w:rPr>
            </w:pPr>
            <w:r>
              <w:rPr>
                <w:sz w:val="16"/>
                <w:szCs w:val="16"/>
              </w:rPr>
              <w:t>18.2.0</w:t>
            </w:r>
          </w:p>
        </w:tc>
      </w:tr>
      <w:tr w:rsidR="00A10B25" w14:paraId="2562DB2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545C532"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E5DC"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0E277" w14:textId="77777777" w:rsidR="00A10B25" w:rsidRDefault="00A10B25">
            <w:pPr>
              <w:pStyle w:val="TAC"/>
              <w:rPr>
                <w:sz w:val="16"/>
                <w:szCs w:val="16"/>
                <w:lang w:val="en-US" w:eastAsia="zh-CN"/>
              </w:rPr>
            </w:pPr>
            <w:r>
              <w:rPr>
                <w:sz w:val="16"/>
                <w:szCs w:val="16"/>
                <w:lang w:val="en-US" w:eastAsia="zh-CN"/>
              </w:rPr>
              <w:t>CP-231138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F3CDC40" w14:textId="77777777" w:rsidR="00A10B25" w:rsidRDefault="00A10B25">
            <w:pPr>
              <w:pStyle w:val="TAL"/>
              <w:rPr>
                <w:sz w:val="16"/>
                <w:szCs w:val="16"/>
                <w:lang w:val="en-US" w:eastAsia="zh-CN"/>
              </w:rPr>
            </w:pPr>
            <w:r>
              <w:rPr>
                <w:sz w:val="16"/>
                <w:szCs w:val="16"/>
                <w:lang w:val="en-US" w:eastAsia="zh-CN"/>
              </w:rPr>
              <w:t>0733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DA681B"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D89A2B"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D9F2C9A" w14:textId="77777777" w:rsidR="00A10B25" w:rsidRDefault="00A10B25">
            <w:pPr>
              <w:pStyle w:val="TAL"/>
              <w:rPr>
                <w:sz w:val="16"/>
              </w:rPr>
            </w:pPr>
            <w:r>
              <w:rPr>
                <w:sz w:val="16"/>
              </w:rPr>
              <w:t>Missing attributes in procedure description for NsiLoadExt feature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E7EE6A3" w14:textId="77777777" w:rsidR="00A10B25" w:rsidRDefault="00A10B25">
            <w:pPr>
              <w:pStyle w:val="TAC"/>
              <w:rPr>
                <w:sz w:val="16"/>
                <w:szCs w:val="16"/>
              </w:rPr>
            </w:pPr>
            <w:r>
              <w:rPr>
                <w:sz w:val="16"/>
                <w:szCs w:val="16"/>
              </w:rPr>
              <w:t>18.2.0</w:t>
            </w:r>
          </w:p>
        </w:tc>
      </w:tr>
      <w:tr w:rsidR="00A10B25" w14:paraId="09D2AF4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C7D2148"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72AC02"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3DB54D" w14:textId="77777777" w:rsidR="00A10B25" w:rsidRDefault="00A10B25">
            <w:pPr>
              <w:pStyle w:val="TAC"/>
              <w:rPr>
                <w:sz w:val="16"/>
                <w:szCs w:val="16"/>
                <w:lang w:val="en-US" w:eastAsia="zh-CN"/>
              </w:rPr>
            </w:pPr>
            <w:r>
              <w:rPr>
                <w:sz w:val="16"/>
                <w:szCs w:val="16"/>
                <w:lang w:val="en-US" w:eastAsia="zh-CN"/>
              </w:rPr>
              <w:t>CP-231159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B610603" w14:textId="77777777" w:rsidR="00A10B25" w:rsidRDefault="00A10B25">
            <w:pPr>
              <w:pStyle w:val="TAL"/>
              <w:rPr>
                <w:sz w:val="16"/>
                <w:szCs w:val="16"/>
                <w:lang w:val="en-US" w:eastAsia="zh-CN"/>
              </w:rPr>
            </w:pPr>
            <w:r>
              <w:rPr>
                <w:sz w:val="16"/>
                <w:szCs w:val="16"/>
                <w:lang w:val="en-US" w:eastAsia="zh-CN"/>
              </w:rPr>
              <w:t>0735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430A663"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6C0332" w14:textId="77777777" w:rsidR="00A10B25" w:rsidRDefault="00A10B25">
            <w:pPr>
              <w:pStyle w:val="TAC"/>
              <w:rPr>
                <w:sz w:val="16"/>
                <w:szCs w:val="16"/>
                <w:lang w:val="en-US" w:eastAsia="zh-CN"/>
              </w:rPr>
            </w:pPr>
            <w:r>
              <w:rPr>
                <w:sz w:val="16"/>
                <w:szCs w:val="16"/>
                <w:lang w:val="en-US" w:eastAsia="zh-CN"/>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FC39032" w14:textId="77777777" w:rsidR="00A10B25" w:rsidRDefault="00A10B25">
            <w:pPr>
              <w:pStyle w:val="TAL"/>
              <w:rPr>
                <w:sz w:val="16"/>
              </w:rPr>
            </w:pPr>
            <w:r>
              <w:rPr>
                <w:sz w:val="16"/>
              </w:rPr>
              <w:t>Correction to UeCommunicationExt feature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C7FB1BF" w14:textId="77777777" w:rsidR="00A10B25" w:rsidRDefault="00A10B25">
            <w:pPr>
              <w:pStyle w:val="TAC"/>
              <w:rPr>
                <w:sz w:val="16"/>
                <w:szCs w:val="16"/>
              </w:rPr>
            </w:pPr>
            <w:r>
              <w:rPr>
                <w:sz w:val="16"/>
                <w:szCs w:val="16"/>
              </w:rPr>
              <w:t>18.2.0</w:t>
            </w:r>
          </w:p>
        </w:tc>
      </w:tr>
      <w:tr w:rsidR="00A10B25" w14:paraId="5816C58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29BD850"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6FDE"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BE8CC3" w14:textId="77777777" w:rsidR="00A10B25" w:rsidRDefault="00A10B25">
            <w:pPr>
              <w:pStyle w:val="TAC"/>
              <w:rPr>
                <w:sz w:val="16"/>
                <w:szCs w:val="16"/>
                <w:lang w:val="en-US" w:eastAsia="zh-CN"/>
              </w:rPr>
            </w:pPr>
            <w:r>
              <w:rPr>
                <w:sz w:val="16"/>
                <w:szCs w:val="16"/>
                <w:lang w:val="en-US" w:eastAsia="zh-CN"/>
              </w:rPr>
              <w:t>CP-231132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B2AEB02" w14:textId="77777777" w:rsidR="00A10B25" w:rsidRDefault="00A10B25">
            <w:pPr>
              <w:pStyle w:val="TAL"/>
              <w:rPr>
                <w:sz w:val="16"/>
                <w:szCs w:val="16"/>
                <w:lang w:val="en-US" w:eastAsia="zh-CN"/>
              </w:rPr>
            </w:pPr>
            <w:r>
              <w:rPr>
                <w:sz w:val="16"/>
                <w:szCs w:val="16"/>
                <w:lang w:val="en-US" w:eastAsia="zh-CN"/>
              </w:rPr>
              <w:t>0736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8868139"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1824D8"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84A7B10" w14:textId="77777777" w:rsidR="00A10B25" w:rsidRDefault="00A10B25">
            <w:pPr>
              <w:pStyle w:val="TAL"/>
              <w:rPr>
                <w:sz w:val="16"/>
              </w:rPr>
            </w:pPr>
            <w:r>
              <w:rPr>
                <w:sz w:val="16"/>
              </w:rPr>
              <w:t>Corrections to the redirection mechanism description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C5FF3C0" w14:textId="77777777" w:rsidR="00A10B25" w:rsidRDefault="00A10B25">
            <w:pPr>
              <w:pStyle w:val="TAC"/>
              <w:rPr>
                <w:sz w:val="16"/>
                <w:szCs w:val="16"/>
              </w:rPr>
            </w:pPr>
            <w:r>
              <w:rPr>
                <w:sz w:val="16"/>
                <w:szCs w:val="16"/>
              </w:rPr>
              <w:t>18.2.0</w:t>
            </w:r>
          </w:p>
        </w:tc>
      </w:tr>
      <w:tr w:rsidR="00A10B25" w14:paraId="45B699A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CA5598E" w14:textId="77777777" w:rsidR="00A10B25" w:rsidRDefault="00A10B25">
            <w:pPr>
              <w:pStyle w:val="TAC"/>
              <w:rPr>
                <w:sz w:val="16"/>
                <w:szCs w:val="16"/>
                <w:lang w:val="en-US" w:eastAsia="zh-CN"/>
              </w:rPr>
            </w:pPr>
            <w:r>
              <w:rPr>
                <w:sz w:val="16"/>
                <w:szCs w:val="16"/>
                <w:lang w:val="en-US" w:eastAsia="zh-CN"/>
              </w:rPr>
              <w:t>2023-06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E69AAA6" w14:textId="77777777" w:rsidR="00A10B25" w:rsidRDefault="00A10B25">
            <w:pPr>
              <w:pStyle w:val="TAC"/>
              <w:rPr>
                <w:sz w:val="16"/>
                <w:szCs w:val="16"/>
                <w:lang w:val="en-US" w:eastAsia="zh-CN"/>
              </w:rPr>
            </w:pPr>
            <w:r>
              <w:rPr>
                <w:sz w:val="16"/>
                <w:szCs w:val="16"/>
                <w:lang w:val="en-US" w:eastAsia="zh-CN"/>
              </w:rPr>
              <w:t>CT#100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C48B21" w14:textId="77777777" w:rsidR="00A10B25" w:rsidRDefault="00A10B25">
            <w:pPr>
              <w:pStyle w:val="TAC"/>
              <w:rPr>
                <w:sz w:val="16"/>
                <w:szCs w:val="16"/>
                <w:lang w:val="en-US" w:eastAsia="zh-CN"/>
              </w:rPr>
            </w:pPr>
            <w:r>
              <w:rPr>
                <w:sz w:val="16"/>
                <w:szCs w:val="16"/>
                <w:lang w:val="en-US" w:eastAsia="zh-CN"/>
              </w:rPr>
              <w:t>CP-231141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D1A4F53" w14:textId="77777777" w:rsidR="00A10B25" w:rsidRDefault="00A10B25">
            <w:pPr>
              <w:pStyle w:val="TAL"/>
              <w:rPr>
                <w:sz w:val="16"/>
                <w:szCs w:val="16"/>
                <w:lang w:val="en-US" w:eastAsia="zh-CN"/>
              </w:rPr>
            </w:pPr>
            <w:r>
              <w:rPr>
                <w:sz w:val="16"/>
                <w:szCs w:val="16"/>
                <w:lang w:val="en-US" w:eastAsia="zh-CN"/>
              </w:rPr>
              <w:t>0737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561F0EE" w14:textId="77777777" w:rsidR="00A10B25" w:rsidRDefault="00A10B25">
            <w:pPr>
              <w:pStyle w:val="TAR"/>
              <w:rPr>
                <w:rFonts w:cs="Arial"/>
                <w:color w:val="000000"/>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64A2C4"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4C51DE8" w14:textId="77777777" w:rsidR="00A10B25" w:rsidRDefault="00A10B25">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9192BEB" w14:textId="77777777" w:rsidR="00A10B25" w:rsidRDefault="00A10B25">
            <w:pPr>
              <w:pStyle w:val="TAC"/>
              <w:rPr>
                <w:sz w:val="16"/>
                <w:szCs w:val="16"/>
              </w:rPr>
            </w:pPr>
            <w:r>
              <w:rPr>
                <w:sz w:val="16"/>
                <w:szCs w:val="16"/>
              </w:rPr>
              <w:t>18.2.0</w:t>
            </w:r>
          </w:p>
        </w:tc>
      </w:tr>
      <w:tr w:rsidR="00A10B25" w14:paraId="39E7BE0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931A038"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DC442F"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308F9F"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202AAB7" w14:textId="77777777" w:rsidR="00A10B25" w:rsidRDefault="00A10B25">
            <w:pPr>
              <w:pStyle w:val="TAL"/>
              <w:rPr>
                <w:sz w:val="16"/>
                <w:szCs w:val="16"/>
                <w:lang w:val="en-US" w:eastAsia="zh-CN"/>
              </w:rPr>
            </w:pPr>
            <w:r>
              <w:rPr>
                <w:sz w:val="16"/>
                <w:szCs w:val="16"/>
                <w:lang w:val="en-US" w:eastAsia="zh-CN"/>
              </w:rPr>
              <w:t>0738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5C142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7E2F1A"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1E1D9ED" w14:textId="77777777" w:rsidR="00A10B25" w:rsidRDefault="00A10B25">
            <w:pPr>
              <w:pStyle w:val="TAL"/>
              <w:rPr>
                <w:sz w:val="16"/>
              </w:rPr>
            </w:pPr>
            <w:r>
              <w:rPr>
                <w:sz w:val="16"/>
              </w:rPr>
              <w:t>Immediate reporting in the MLModelTraining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0723F01" w14:textId="77777777" w:rsidR="00A10B25" w:rsidRDefault="00A10B25">
            <w:pPr>
              <w:pStyle w:val="TAC"/>
              <w:rPr>
                <w:sz w:val="16"/>
                <w:szCs w:val="16"/>
              </w:rPr>
            </w:pPr>
            <w:r>
              <w:rPr>
                <w:sz w:val="16"/>
                <w:szCs w:val="16"/>
              </w:rPr>
              <w:t>18.3.0</w:t>
            </w:r>
          </w:p>
        </w:tc>
      </w:tr>
      <w:tr w:rsidR="00A10B25" w14:paraId="43FD527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A7253B6"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023665"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EDB341"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402BA67" w14:textId="77777777" w:rsidR="00A10B25" w:rsidRDefault="00A10B25">
            <w:pPr>
              <w:pStyle w:val="TAL"/>
              <w:rPr>
                <w:sz w:val="16"/>
                <w:szCs w:val="16"/>
                <w:lang w:val="en-US" w:eastAsia="zh-CN"/>
              </w:rPr>
            </w:pPr>
            <w:r>
              <w:rPr>
                <w:sz w:val="16"/>
                <w:szCs w:val="16"/>
                <w:lang w:val="en-US" w:eastAsia="zh-CN"/>
              </w:rPr>
              <w:t>0739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7B5C994"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02E32C"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DD1CF7F" w14:textId="77777777" w:rsidR="00A10B25" w:rsidRDefault="00A10B25">
            <w:pPr>
              <w:pStyle w:val="TAL"/>
              <w:rPr>
                <w:sz w:val="16"/>
              </w:rPr>
            </w:pPr>
            <w:r>
              <w:rPr>
                <w:sz w:val="16"/>
              </w:rPr>
              <w:t>Applicabilities and restrictions in the MLModelProvision and MLModelTraining APIs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512240A" w14:textId="77777777" w:rsidR="00A10B25" w:rsidRDefault="00A10B25">
            <w:pPr>
              <w:pStyle w:val="TAC"/>
              <w:rPr>
                <w:sz w:val="16"/>
                <w:szCs w:val="16"/>
              </w:rPr>
            </w:pPr>
            <w:r>
              <w:rPr>
                <w:sz w:val="16"/>
                <w:szCs w:val="16"/>
              </w:rPr>
              <w:t>18.3.0</w:t>
            </w:r>
          </w:p>
        </w:tc>
      </w:tr>
      <w:tr w:rsidR="00A10B25" w14:paraId="335BCCD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852BB2F"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8E3ED3D"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111DF7"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AB780A6" w14:textId="77777777" w:rsidR="00A10B25" w:rsidRDefault="00A10B25">
            <w:pPr>
              <w:pStyle w:val="TAL"/>
              <w:rPr>
                <w:sz w:val="16"/>
                <w:szCs w:val="16"/>
                <w:lang w:val="en-US" w:eastAsia="zh-CN"/>
              </w:rPr>
            </w:pPr>
            <w:r>
              <w:rPr>
                <w:sz w:val="16"/>
                <w:szCs w:val="16"/>
                <w:lang w:val="en-US" w:eastAsia="zh-CN"/>
              </w:rPr>
              <w:t>0740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CCF13C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36B153"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03DBCE8" w14:textId="77777777" w:rsidR="00A10B25" w:rsidRDefault="00A10B25">
            <w:pPr>
              <w:pStyle w:val="TAL"/>
              <w:rPr>
                <w:sz w:val="16"/>
              </w:rPr>
            </w:pPr>
            <w:r>
              <w:rPr>
                <w:sz w:val="16"/>
              </w:rPr>
              <w:t>Redundancies in the MLModelTraining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B84DE94" w14:textId="77777777" w:rsidR="00A10B25" w:rsidRDefault="00A10B25">
            <w:pPr>
              <w:pStyle w:val="TAC"/>
              <w:rPr>
                <w:sz w:val="16"/>
                <w:szCs w:val="16"/>
              </w:rPr>
            </w:pPr>
            <w:r>
              <w:rPr>
                <w:sz w:val="16"/>
                <w:szCs w:val="16"/>
              </w:rPr>
              <w:t>18.3.0</w:t>
            </w:r>
          </w:p>
        </w:tc>
      </w:tr>
      <w:tr w:rsidR="00A10B25" w14:paraId="46E7339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3CE8F0D"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652C6FC"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A85C2F"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5E5381D" w14:textId="77777777" w:rsidR="00A10B25" w:rsidRDefault="00A10B25">
            <w:pPr>
              <w:pStyle w:val="TAL"/>
              <w:rPr>
                <w:sz w:val="16"/>
                <w:szCs w:val="16"/>
                <w:lang w:val="en-US" w:eastAsia="zh-CN"/>
              </w:rPr>
            </w:pPr>
            <w:r>
              <w:rPr>
                <w:sz w:val="16"/>
                <w:szCs w:val="16"/>
                <w:lang w:val="en-US" w:eastAsia="zh-CN"/>
              </w:rPr>
              <w:t>0741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5A67D7E"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F28ECCA"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010ED0E" w14:textId="77777777" w:rsidR="00A10B25" w:rsidRDefault="00A10B25">
            <w:pPr>
              <w:pStyle w:val="TAL"/>
              <w:rPr>
                <w:sz w:val="16"/>
              </w:rPr>
            </w:pPr>
            <w:r>
              <w:rPr>
                <w:sz w:val="16"/>
              </w:rPr>
              <w:t>Procedure descriptions corrections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4630C99" w14:textId="77777777" w:rsidR="00A10B25" w:rsidRDefault="00A10B25">
            <w:pPr>
              <w:pStyle w:val="TAC"/>
              <w:rPr>
                <w:sz w:val="16"/>
                <w:szCs w:val="16"/>
              </w:rPr>
            </w:pPr>
            <w:r>
              <w:rPr>
                <w:sz w:val="16"/>
                <w:szCs w:val="16"/>
              </w:rPr>
              <w:t>18.3.0</w:t>
            </w:r>
          </w:p>
        </w:tc>
      </w:tr>
      <w:tr w:rsidR="00A10B25" w14:paraId="6E1B471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EB39BF9"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73710E"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C4F882"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D7E6592" w14:textId="77777777" w:rsidR="00A10B25" w:rsidRDefault="00A10B25">
            <w:pPr>
              <w:pStyle w:val="TAL"/>
              <w:rPr>
                <w:sz w:val="16"/>
                <w:szCs w:val="16"/>
                <w:lang w:val="en-US" w:eastAsia="zh-CN"/>
              </w:rPr>
            </w:pPr>
            <w:r>
              <w:rPr>
                <w:sz w:val="16"/>
                <w:szCs w:val="16"/>
                <w:lang w:val="en-US" w:eastAsia="zh-CN"/>
              </w:rPr>
              <w:t>0742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0B83C7"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CB5F28"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60E50A8" w14:textId="77777777" w:rsidR="00A10B25" w:rsidRDefault="00A10B25">
            <w:pPr>
              <w:pStyle w:val="TAL"/>
              <w:rPr>
                <w:sz w:val="16"/>
              </w:rPr>
            </w:pPr>
            <w:r>
              <w:rPr>
                <w:sz w:val="16"/>
              </w:rPr>
              <w:t>Location Accuracy Analytics for subscriptions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E390FAC" w14:textId="77777777" w:rsidR="00A10B25" w:rsidRDefault="00A10B25">
            <w:pPr>
              <w:pStyle w:val="TAC"/>
              <w:rPr>
                <w:sz w:val="16"/>
                <w:szCs w:val="16"/>
              </w:rPr>
            </w:pPr>
            <w:r>
              <w:rPr>
                <w:sz w:val="16"/>
                <w:szCs w:val="16"/>
              </w:rPr>
              <w:t>18.3.0</w:t>
            </w:r>
          </w:p>
        </w:tc>
      </w:tr>
      <w:tr w:rsidR="00A10B25" w14:paraId="297FF70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7836F9D"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5D924E"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C2A3FC"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E19D8E2" w14:textId="77777777" w:rsidR="00A10B25" w:rsidRDefault="00A10B25">
            <w:pPr>
              <w:pStyle w:val="TAL"/>
              <w:rPr>
                <w:sz w:val="16"/>
                <w:szCs w:val="16"/>
                <w:lang w:val="en-US" w:eastAsia="zh-CN"/>
              </w:rPr>
            </w:pPr>
            <w:r>
              <w:rPr>
                <w:sz w:val="16"/>
                <w:szCs w:val="16"/>
                <w:lang w:val="en-US" w:eastAsia="zh-CN"/>
              </w:rPr>
              <w:t>0743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0A223E0"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747370B"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21785B4" w14:textId="77777777" w:rsidR="00A10B25" w:rsidRDefault="00A10B25">
            <w:pPr>
              <w:pStyle w:val="TAL"/>
              <w:rPr>
                <w:sz w:val="16"/>
              </w:rPr>
            </w:pPr>
            <w:r>
              <w:rPr>
                <w:sz w:val="16"/>
              </w:rPr>
              <w:t>Location Accuracy Analytics for requests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B7102AA" w14:textId="77777777" w:rsidR="00A10B25" w:rsidRDefault="00A10B25">
            <w:pPr>
              <w:pStyle w:val="TAC"/>
              <w:rPr>
                <w:sz w:val="16"/>
                <w:szCs w:val="16"/>
              </w:rPr>
            </w:pPr>
            <w:r>
              <w:rPr>
                <w:sz w:val="16"/>
                <w:szCs w:val="16"/>
              </w:rPr>
              <w:t>18.3.0</w:t>
            </w:r>
          </w:p>
        </w:tc>
      </w:tr>
      <w:tr w:rsidR="00A10B25" w14:paraId="7201A83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D353F2F"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EC5ADE9"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ADBA8F"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3DABD9E" w14:textId="77777777" w:rsidR="00A10B25" w:rsidRDefault="00A10B25">
            <w:pPr>
              <w:pStyle w:val="TAL"/>
              <w:rPr>
                <w:sz w:val="16"/>
                <w:szCs w:val="16"/>
                <w:lang w:val="en-US" w:eastAsia="zh-CN"/>
              </w:rPr>
            </w:pPr>
            <w:r>
              <w:rPr>
                <w:sz w:val="16"/>
                <w:szCs w:val="16"/>
                <w:lang w:val="en-US" w:eastAsia="zh-CN"/>
              </w:rPr>
              <w:t>0746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9A91CAE"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7BE279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501804E" w14:textId="77777777" w:rsidR="00A10B25" w:rsidRDefault="00A10B25">
            <w:pPr>
              <w:pStyle w:val="TAL"/>
              <w:rPr>
                <w:sz w:val="16"/>
              </w:rPr>
            </w:pPr>
            <w:r>
              <w:rPr>
                <w:sz w:val="16"/>
              </w:rPr>
              <w:t>Movement Behaviour analytics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5A40FDF" w14:textId="77777777" w:rsidR="00A10B25" w:rsidRDefault="00A10B25">
            <w:pPr>
              <w:pStyle w:val="TAC"/>
              <w:rPr>
                <w:sz w:val="16"/>
                <w:szCs w:val="16"/>
              </w:rPr>
            </w:pPr>
            <w:r>
              <w:rPr>
                <w:sz w:val="16"/>
                <w:szCs w:val="16"/>
              </w:rPr>
              <w:t>18.3.0</w:t>
            </w:r>
          </w:p>
        </w:tc>
      </w:tr>
      <w:tr w:rsidR="00A10B25" w14:paraId="3D3DFEE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49E32E5"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41365F8"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B8859"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1EAB372" w14:textId="77777777" w:rsidR="00A10B25" w:rsidRDefault="00A10B25">
            <w:pPr>
              <w:pStyle w:val="TAL"/>
              <w:rPr>
                <w:sz w:val="16"/>
                <w:szCs w:val="16"/>
                <w:lang w:val="en-US" w:eastAsia="zh-CN"/>
              </w:rPr>
            </w:pPr>
            <w:r>
              <w:rPr>
                <w:sz w:val="16"/>
                <w:szCs w:val="16"/>
                <w:lang w:val="en-US" w:eastAsia="zh-CN"/>
              </w:rPr>
              <w:t>0747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3F2F2A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A53F37D"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1B10829" w14:textId="77777777" w:rsidR="00A10B25" w:rsidRDefault="00A10B25">
            <w:pPr>
              <w:pStyle w:val="TAL"/>
              <w:rPr>
                <w:sz w:val="16"/>
              </w:rPr>
            </w:pPr>
            <w:r>
              <w:rPr>
                <w:sz w:val="16"/>
              </w:rPr>
              <w:t>Movement Behaviour analytics for Nnwdaf_AnalyticsInfo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F92C935" w14:textId="77777777" w:rsidR="00A10B25" w:rsidRDefault="00A10B25">
            <w:pPr>
              <w:pStyle w:val="TAC"/>
              <w:rPr>
                <w:sz w:val="16"/>
                <w:szCs w:val="16"/>
              </w:rPr>
            </w:pPr>
            <w:r>
              <w:rPr>
                <w:sz w:val="16"/>
                <w:szCs w:val="16"/>
              </w:rPr>
              <w:t>18.3.0</w:t>
            </w:r>
          </w:p>
        </w:tc>
      </w:tr>
      <w:tr w:rsidR="00A10B25" w14:paraId="02922F7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E69A0A5"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544858E"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C44120"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403265D" w14:textId="77777777" w:rsidR="00A10B25" w:rsidRDefault="00A10B25">
            <w:pPr>
              <w:pStyle w:val="TAL"/>
              <w:rPr>
                <w:sz w:val="16"/>
                <w:szCs w:val="16"/>
                <w:lang w:val="en-US" w:eastAsia="zh-CN"/>
              </w:rPr>
            </w:pPr>
            <w:r>
              <w:rPr>
                <w:sz w:val="16"/>
                <w:szCs w:val="16"/>
                <w:lang w:val="en-US" w:eastAsia="zh-CN"/>
              </w:rPr>
              <w:t>0749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E3B166"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197A62"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D78E3C2" w14:textId="77777777" w:rsidR="00A10B25" w:rsidRDefault="00A10B25">
            <w:pPr>
              <w:pStyle w:val="TAL"/>
              <w:rPr>
                <w:sz w:val="16"/>
              </w:rPr>
            </w:pPr>
            <w:r>
              <w:rPr>
                <w:sz w:val="16"/>
              </w:rPr>
              <w:t>Update UE Mobility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1C6615F" w14:textId="77777777" w:rsidR="00A10B25" w:rsidRDefault="00A10B25">
            <w:pPr>
              <w:pStyle w:val="TAC"/>
              <w:rPr>
                <w:sz w:val="16"/>
                <w:szCs w:val="16"/>
              </w:rPr>
            </w:pPr>
            <w:r>
              <w:rPr>
                <w:sz w:val="16"/>
                <w:szCs w:val="16"/>
              </w:rPr>
              <w:t>18.3.0</w:t>
            </w:r>
          </w:p>
        </w:tc>
      </w:tr>
      <w:tr w:rsidR="00A10B25" w14:paraId="583BDA56"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D339351"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EA74EE9"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B323C" w14:textId="77777777" w:rsidR="00A10B25" w:rsidRDefault="00A10B25">
            <w:pPr>
              <w:pStyle w:val="TAC"/>
              <w:rPr>
                <w:sz w:val="16"/>
                <w:szCs w:val="16"/>
                <w:lang w:val="en-US" w:eastAsia="zh-CN"/>
              </w:rPr>
            </w:pPr>
            <w:r>
              <w:rPr>
                <w:rFonts w:eastAsia="等线" w:cs="Arial"/>
                <w:sz w:val="16"/>
                <w:szCs w:val="16"/>
              </w:rPr>
              <w:t>CP-232087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E130FB9" w14:textId="77777777" w:rsidR="00A10B25" w:rsidRDefault="00A10B25">
            <w:pPr>
              <w:pStyle w:val="TAL"/>
              <w:rPr>
                <w:sz w:val="16"/>
                <w:szCs w:val="16"/>
                <w:lang w:val="en-US" w:eastAsia="zh-CN"/>
              </w:rPr>
            </w:pPr>
            <w:r>
              <w:rPr>
                <w:sz w:val="16"/>
                <w:szCs w:val="16"/>
                <w:lang w:val="en-US" w:eastAsia="zh-CN"/>
              </w:rPr>
              <w:t>0750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C4F03A5"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4BD02B"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D7DEBF2" w14:textId="77777777" w:rsidR="00A10B25" w:rsidRDefault="00A10B25">
            <w:pPr>
              <w:pStyle w:val="TAL"/>
              <w:rPr>
                <w:sz w:val="16"/>
              </w:rPr>
            </w:pPr>
            <w:r>
              <w:rPr>
                <w:sz w:val="16"/>
              </w:rPr>
              <w:t>Update End-to-end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2D1732A" w14:textId="77777777" w:rsidR="00A10B25" w:rsidRDefault="00A10B25">
            <w:pPr>
              <w:pStyle w:val="TAC"/>
              <w:rPr>
                <w:sz w:val="16"/>
                <w:szCs w:val="16"/>
              </w:rPr>
            </w:pPr>
            <w:r>
              <w:rPr>
                <w:sz w:val="16"/>
                <w:szCs w:val="16"/>
              </w:rPr>
              <w:t>18.3.0</w:t>
            </w:r>
          </w:p>
        </w:tc>
      </w:tr>
      <w:tr w:rsidR="00A10B25" w14:paraId="6DE6283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B340B68"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6A6596A"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C12009" w14:textId="77777777" w:rsidR="00A10B25" w:rsidRDefault="00A10B25">
            <w:pPr>
              <w:pStyle w:val="TAC"/>
              <w:rPr>
                <w:sz w:val="16"/>
                <w:szCs w:val="16"/>
                <w:lang w:val="en-US" w:eastAsia="zh-CN"/>
              </w:rPr>
            </w:pPr>
            <w:r>
              <w:rPr>
                <w:rFonts w:eastAsia="等线" w:cs="Arial"/>
                <w:sz w:val="16"/>
                <w:szCs w:val="16"/>
              </w:rPr>
              <w:t>CP-232255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9F6BBA9" w14:textId="77777777" w:rsidR="00A10B25" w:rsidRDefault="00A10B25">
            <w:pPr>
              <w:pStyle w:val="TAL"/>
              <w:rPr>
                <w:sz w:val="16"/>
                <w:szCs w:val="16"/>
                <w:lang w:val="en-US" w:eastAsia="zh-CN"/>
              </w:rPr>
            </w:pPr>
            <w:r>
              <w:rPr>
                <w:sz w:val="16"/>
                <w:szCs w:val="16"/>
                <w:lang w:val="en-US" w:eastAsia="zh-CN"/>
              </w:rPr>
              <w:t>0751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989F352" w14:textId="77777777" w:rsidR="00A10B25" w:rsidRDefault="00A10B25">
            <w:pPr>
              <w:pStyle w:val="TAR"/>
              <w:rPr>
                <w:rFonts w:cs="Arial"/>
                <w:color w:val="000000"/>
                <w:sz w:val="16"/>
                <w:szCs w:val="16"/>
              </w:rPr>
            </w:pPr>
            <w:r>
              <w:rPr>
                <w:rFonts w:cs="Arial"/>
                <w:color w:val="000000"/>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C48821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4B32BAF" w14:textId="77777777" w:rsidR="00A10B25" w:rsidRDefault="00A10B25">
            <w:pPr>
              <w:pStyle w:val="TAL"/>
              <w:rPr>
                <w:sz w:val="16"/>
              </w:rPr>
            </w:pPr>
            <w:r>
              <w:rPr>
                <w:sz w:val="16"/>
              </w:rPr>
              <w:t>Update to Nnwdaf_MLModelTraining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89F9A11" w14:textId="77777777" w:rsidR="00A10B25" w:rsidRDefault="00A10B25">
            <w:pPr>
              <w:pStyle w:val="TAC"/>
              <w:rPr>
                <w:sz w:val="16"/>
                <w:szCs w:val="16"/>
              </w:rPr>
            </w:pPr>
            <w:r>
              <w:rPr>
                <w:sz w:val="16"/>
                <w:szCs w:val="16"/>
              </w:rPr>
              <w:t>18.3.0</w:t>
            </w:r>
          </w:p>
        </w:tc>
      </w:tr>
      <w:tr w:rsidR="00A10B25" w14:paraId="73DEEED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1A175A3"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2AB5C6"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C324F" w14:textId="77777777" w:rsidR="00A10B25" w:rsidRDefault="00A10B25">
            <w:pPr>
              <w:pStyle w:val="TAC"/>
              <w:rPr>
                <w:sz w:val="16"/>
                <w:szCs w:val="16"/>
                <w:lang w:val="en-US" w:eastAsia="zh-CN"/>
              </w:rPr>
            </w:pPr>
            <w:r>
              <w:rPr>
                <w:rFonts w:eastAsia="等线" w:cs="Arial"/>
                <w:sz w:val="16"/>
                <w:szCs w:val="16"/>
              </w:rPr>
              <w:t>CP-232087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473088B" w14:textId="77777777" w:rsidR="00A10B25" w:rsidRDefault="00A10B25">
            <w:pPr>
              <w:pStyle w:val="TAL"/>
              <w:rPr>
                <w:sz w:val="16"/>
                <w:szCs w:val="16"/>
                <w:lang w:val="en-US" w:eastAsia="zh-CN"/>
              </w:rPr>
            </w:pPr>
            <w:r>
              <w:rPr>
                <w:sz w:val="16"/>
                <w:szCs w:val="16"/>
                <w:lang w:val="en-US" w:eastAsia="zh-CN"/>
              </w:rPr>
              <w:t>0752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1BA27A"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34DDF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63416AF" w14:textId="77777777" w:rsidR="00A10B25" w:rsidRDefault="00A10B25">
            <w:pPr>
              <w:pStyle w:val="TAL"/>
              <w:rPr>
                <w:sz w:val="16"/>
              </w:rPr>
            </w:pPr>
            <w:r>
              <w:rPr>
                <w:sz w:val="16"/>
              </w:rPr>
              <w:t>Update for adding NEF as Consumer of Multiple Analytics IDs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7571C21" w14:textId="77777777" w:rsidR="00A10B25" w:rsidRDefault="00A10B25">
            <w:pPr>
              <w:pStyle w:val="TAC"/>
              <w:rPr>
                <w:sz w:val="16"/>
                <w:szCs w:val="16"/>
              </w:rPr>
            </w:pPr>
            <w:r>
              <w:rPr>
                <w:sz w:val="16"/>
                <w:szCs w:val="16"/>
              </w:rPr>
              <w:t>18.3.0</w:t>
            </w:r>
          </w:p>
        </w:tc>
      </w:tr>
      <w:tr w:rsidR="00A10B25" w14:paraId="2F43DF9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A7D6135"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70399"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21DA26"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4BACE46" w14:textId="77777777" w:rsidR="00A10B25" w:rsidRDefault="00A10B25">
            <w:pPr>
              <w:pStyle w:val="TAL"/>
              <w:rPr>
                <w:sz w:val="16"/>
                <w:szCs w:val="16"/>
                <w:lang w:val="en-US" w:eastAsia="zh-CN"/>
              </w:rPr>
            </w:pPr>
            <w:r>
              <w:rPr>
                <w:sz w:val="16"/>
                <w:szCs w:val="16"/>
                <w:lang w:val="en-US" w:eastAsia="zh-CN"/>
              </w:rPr>
              <w:t>0753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D8857FA"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A3F819" w14:textId="77777777" w:rsidR="00A10B25" w:rsidRDefault="00A10B25">
            <w:pPr>
              <w:pStyle w:val="TAC"/>
              <w:rPr>
                <w:sz w:val="16"/>
                <w:szCs w:val="16"/>
                <w:lang w:val="en-US" w:eastAsia="zh-CN"/>
              </w:rPr>
            </w:pPr>
            <w:r>
              <w:rPr>
                <w:sz w:val="16"/>
                <w:szCs w:val="16"/>
                <w:lang w:val="en-US" w:eastAsia="zh-CN"/>
              </w:rPr>
              <w:t>D</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771AE99" w14:textId="77777777" w:rsidR="00A10B25" w:rsidRDefault="00A10B25">
            <w:pPr>
              <w:pStyle w:val="TAL"/>
              <w:rPr>
                <w:sz w:val="16"/>
              </w:rPr>
            </w:pPr>
            <w:r>
              <w:rPr>
                <w:sz w:val="16"/>
              </w:rPr>
              <w:t>Corrections to Nnwdaf_MLModelProvision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F44036A" w14:textId="77777777" w:rsidR="00A10B25" w:rsidRDefault="00A10B25">
            <w:pPr>
              <w:pStyle w:val="TAC"/>
              <w:rPr>
                <w:sz w:val="16"/>
                <w:szCs w:val="16"/>
              </w:rPr>
            </w:pPr>
            <w:r>
              <w:rPr>
                <w:sz w:val="16"/>
                <w:szCs w:val="16"/>
              </w:rPr>
              <w:t>18.3.0</w:t>
            </w:r>
          </w:p>
        </w:tc>
      </w:tr>
      <w:tr w:rsidR="00A10B25" w14:paraId="4542707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9E459EC"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5A9EEF"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8FF564" w14:textId="77777777" w:rsidR="00A10B25" w:rsidRDefault="00A10B25">
            <w:pPr>
              <w:pStyle w:val="TAC"/>
              <w:rPr>
                <w:sz w:val="16"/>
                <w:szCs w:val="16"/>
                <w:lang w:val="en-US" w:eastAsia="zh-CN"/>
              </w:rPr>
            </w:pPr>
            <w:r>
              <w:rPr>
                <w:rFonts w:eastAsia="等线" w:cs="Arial"/>
                <w:sz w:val="16"/>
                <w:szCs w:val="16"/>
              </w:rPr>
              <w:t>CP-232097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8C5CA82" w14:textId="77777777" w:rsidR="00A10B25" w:rsidRDefault="00A10B25">
            <w:pPr>
              <w:pStyle w:val="TAL"/>
              <w:rPr>
                <w:sz w:val="16"/>
                <w:szCs w:val="16"/>
                <w:lang w:val="en-US" w:eastAsia="zh-CN"/>
              </w:rPr>
            </w:pPr>
            <w:r>
              <w:rPr>
                <w:sz w:val="16"/>
                <w:szCs w:val="16"/>
                <w:lang w:val="en-US" w:eastAsia="zh-CN"/>
              </w:rPr>
              <w:t>0754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F69426"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C9E551C"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134152C" w14:textId="77777777" w:rsidR="00A10B25" w:rsidRDefault="00A10B25">
            <w:pPr>
              <w:pStyle w:val="TAL"/>
              <w:rPr>
                <w:sz w:val="16"/>
              </w:rPr>
            </w:pPr>
            <w:r>
              <w:rPr>
                <w:sz w:val="16"/>
              </w:rPr>
              <w:t>Corrections to Nnwdaf_EventsSubscription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61D1885" w14:textId="77777777" w:rsidR="00A10B25" w:rsidRDefault="00A10B25">
            <w:pPr>
              <w:pStyle w:val="TAC"/>
              <w:rPr>
                <w:sz w:val="16"/>
                <w:szCs w:val="16"/>
              </w:rPr>
            </w:pPr>
            <w:r>
              <w:rPr>
                <w:sz w:val="16"/>
                <w:szCs w:val="16"/>
              </w:rPr>
              <w:t>18.3.0</w:t>
            </w:r>
          </w:p>
        </w:tc>
      </w:tr>
      <w:tr w:rsidR="00A10B25" w14:paraId="26C61B3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0E28B3C"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44122"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38200" w14:textId="77777777" w:rsidR="00A10B25" w:rsidRDefault="00A10B25">
            <w:pPr>
              <w:pStyle w:val="TAC"/>
              <w:rPr>
                <w:sz w:val="16"/>
                <w:szCs w:val="16"/>
                <w:lang w:val="en-US" w:eastAsia="zh-CN"/>
              </w:rPr>
            </w:pPr>
            <w:r>
              <w:rPr>
                <w:rFonts w:eastAsia="等线" w:cs="Arial"/>
                <w:sz w:val="16"/>
                <w:szCs w:val="16"/>
              </w:rPr>
              <w:t>CP-232097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CDF333C" w14:textId="77777777" w:rsidR="00A10B25" w:rsidRDefault="00A10B25">
            <w:pPr>
              <w:pStyle w:val="TAL"/>
              <w:rPr>
                <w:sz w:val="16"/>
                <w:szCs w:val="16"/>
                <w:lang w:val="en-US" w:eastAsia="zh-CN"/>
              </w:rPr>
            </w:pPr>
            <w:r>
              <w:rPr>
                <w:sz w:val="16"/>
                <w:szCs w:val="16"/>
                <w:lang w:val="en-US" w:eastAsia="zh-CN"/>
              </w:rPr>
              <w:t>0755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BD5ABD"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4EEB9C"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EB1AFB1" w14:textId="77777777" w:rsidR="00A10B25" w:rsidRDefault="00A10B25">
            <w:pPr>
              <w:pStyle w:val="TAL"/>
              <w:rPr>
                <w:sz w:val="16"/>
              </w:rPr>
            </w:pPr>
            <w:r>
              <w:rPr>
                <w:sz w:val="16"/>
              </w:rPr>
              <w:t>Corrections to Nnwdaf_AnalyticsInfo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1ADE20F" w14:textId="77777777" w:rsidR="00A10B25" w:rsidRDefault="00A10B25">
            <w:pPr>
              <w:pStyle w:val="TAC"/>
              <w:rPr>
                <w:sz w:val="16"/>
                <w:szCs w:val="16"/>
              </w:rPr>
            </w:pPr>
            <w:r>
              <w:rPr>
                <w:sz w:val="16"/>
                <w:szCs w:val="16"/>
              </w:rPr>
              <w:t>18.3.0</w:t>
            </w:r>
          </w:p>
        </w:tc>
      </w:tr>
      <w:tr w:rsidR="00A10B25" w14:paraId="7A6BEB3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90FB912"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B3BAD13"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6B7AF6" w14:textId="77777777" w:rsidR="00A10B25" w:rsidRDefault="00A10B25">
            <w:pPr>
              <w:pStyle w:val="TAC"/>
              <w:rPr>
                <w:sz w:val="16"/>
                <w:szCs w:val="16"/>
                <w:lang w:val="en-US" w:eastAsia="zh-CN"/>
              </w:rPr>
            </w:pPr>
            <w:r>
              <w:rPr>
                <w:rFonts w:eastAsia="等线" w:cs="Arial"/>
                <w:sz w:val="16"/>
                <w:szCs w:val="16"/>
              </w:rPr>
              <w:t>CP-232087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558E6AA" w14:textId="77777777" w:rsidR="00A10B25" w:rsidRDefault="00A10B25">
            <w:pPr>
              <w:pStyle w:val="TAL"/>
              <w:rPr>
                <w:sz w:val="16"/>
                <w:szCs w:val="16"/>
                <w:lang w:val="en-US" w:eastAsia="zh-CN"/>
              </w:rPr>
            </w:pPr>
            <w:r>
              <w:rPr>
                <w:sz w:val="16"/>
                <w:szCs w:val="16"/>
                <w:lang w:val="en-US" w:eastAsia="zh-CN"/>
              </w:rPr>
              <w:t>0756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E95E38C"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74738E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25E642A" w14:textId="77777777" w:rsidR="00A10B25" w:rsidRDefault="00A10B25">
            <w:pPr>
              <w:pStyle w:val="TAL"/>
              <w:rPr>
                <w:sz w:val="16"/>
              </w:rPr>
            </w:pPr>
            <w:r>
              <w:rPr>
                <w:sz w:val="16"/>
              </w:rPr>
              <w:t>Resolve the Editor’s Note for the analytics subset of E2E data volume transfer time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A3550DC" w14:textId="77777777" w:rsidR="00A10B25" w:rsidRDefault="00A10B25">
            <w:pPr>
              <w:pStyle w:val="TAC"/>
              <w:rPr>
                <w:sz w:val="16"/>
                <w:szCs w:val="16"/>
              </w:rPr>
            </w:pPr>
            <w:r>
              <w:rPr>
                <w:sz w:val="16"/>
                <w:szCs w:val="16"/>
              </w:rPr>
              <w:t>18.3.0</w:t>
            </w:r>
          </w:p>
        </w:tc>
      </w:tr>
      <w:tr w:rsidR="00A10B25" w14:paraId="19A6FCC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92AF738"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5AE435"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F175F5" w14:textId="77777777" w:rsidR="00A10B25" w:rsidRDefault="00A10B25">
            <w:pPr>
              <w:pStyle w:val="TAC"/>
              <w:rPr>
                <w:sz w:val="16"/>
                <w:szCs w:val="16"/>
                <w:lang w:val="en-US" w:eastAsia="zh-CN"/>
              </w:rPr>
            </w:pPr>
            <w:r>
              <w:rPr>
                <w:rFonts w:eastAsia="等线" w:cs="Arial"/>
                <w:sz w:val="16"/>
                <w:szCs w:val="16"/>
              </w:rPr>
              <w:t>CP-232087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F471465" w14:textId="77777777" w:rsidR="00A10B25" w:rsidRDefault="00A10B25">
            <w:pPr>
              <w:pStyle w:val="TAL"/>
              <w:rPr>
                <w:sz w:val="16"/>
                <w:szCs w:val="16"/>
                <w:lang w:val="en-US" w:eastAsia="zh-CN"/>
              </w:rPr>
            </w:pPr>
            <w:r>
              <w:rPr>
                <w:sz w:val="16"/>
                <w:szCs w:val="16"/>
                <w:lang w:val="en-US" w:eastAsia="zh-CN"/>
              </w:rPr>
              <w:t>0757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4E618BF"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A5017C1"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DABFBB7" w14:textId="77777777" w:rsidR="00A10B25" w:rsidRDefault="00A10B25">
            <w:pPr>
              <w:pStyle w:val="TAL"/>
              <w:rPr>
                <w:sz w:val="16"/>
              </w:rPr>
            </w:pPr>
            <w:r>
              <w:rPr>
                <w:sz w:val="16"/>
              </w:rPr>
              <w:t>Support of reporting the E2E data volume transfer time and the corresponding volume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9E46297" w14:textId="77777777" w:rsidR="00A10B25" w:rsidRDefault="00A10B25">
            <w:pPr>
              <w:pStyle w:val="TAC"/>
              <w:rPr>
                <w:sz w:val="16"/>
                <w:szCs w:val="16"/>
              </w:rPr>
            </w:pPr>
            <w:r>
              <w:rPr>
                <w:sz w:val="16"/>
                <w:szCs w:val="16"/>
              </w:rPr>
              <w:t>18.3.0</w:t>
            </w:r>
          </w:p>
        </w:tc>
      </w:tr>
      <w:tr w:rsidR="00A10B25" w14:paraId="453F53E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63CCB97"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55B4382"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39C265"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7E3734F" w14:textId="77777777" w:rsidR="00A10B25" w:rsidRDefault="00A10B25">
            <w:pPr>
              <w:pStyle w:val="TAL"/>
              <w:rPr>
                <w:sz w:val="16"/>
                <w:szCs w:val="16"/>
                <w:lang w:val="en-US" w:eastAsia="zh-CN"/>
              </w:rPr>
            </w:pPr>
            <w:r>
              <w:rPr>
                <w:sz w:val="16"/>
                <w:szCs w:val="16"/>
                <w:lang w:val="en-US" w:eastAsia="zh-CN"/>
              </w:rPr>
              <w:t>0758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BCB76A3"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7933C5C"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67F5389" w14:textId="77777777" w:rsidR="00A10B25" w:rsidRDefault="00A10B25">
            <w:pPr>
              <w:pStyle w:val="TAL"/>
              <w:rPr>
                <w:sz w:val="16"/>
              </w:rPr>
            </w:pPr>
            <w:r>
              <w:rPr>
                <w:sz w:val="16"/>
              </w:rPr>
              <w:t>Enhancement of Redundant Transmission Experience analytics for NWDAF-assisted URSP</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DB49EDC" w14:textId="77777777" w:rsidR="00A10B25" w:rsidRDefault="00A10B25">
            <w:pPr>
              <w:pStyle w:val="TAC"/>
              <w:rPr>
                <w:sz w:val="16"/>
                <w:szCs w:val="16"/>
              </w:rPr>
            </w:pPr>
            <w:r>
              <w:rPr>
                <w:sz w:val="16"/>
                <w:szCs w:val="16"/>
              </w:rPr>
              <w:t>18.3.0</w:t>
            </w:r>
          </w:p>
        </w:tc>
      </w:tr>
      <w:tr w:rsidR="00A10B25" w14:paraId="7036DFA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983D4F6"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8DB2BD"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0EE089"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9C8ECD7" w14:textId="77777777" w:rsidR="00A10B25" w:rsidRDefault="00A10B25">
            <w:pPr>
              <w:pStyle w:val="TAL"/>
              <w:rPr>
                <w:sz w:val="16"/>
                <w:szCs w:val="16"/>
                <w:lang w:val="en-US" w:eastAsia="zh-CN"/>
              </w:rPr>
            </w:pPr>
            <w:r>
              <w:rPr>
                <w:sz w:val="16"/>
                <w:szCs w:val="16"/>
                <w:lang w:val="en-US" w:eastAsia="zh-CN"/>
              </w:rPr>
              <w:t>0759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32E4B9"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7D6759"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0F28883" w14:textId="77777777" w:rsidR="00A10B25" w:rsidRDefault="00A10B25">
            <w:pPr>
              <w:pStyle w:val="TAL"/>
              <w:rPr>
                <w:sz w:val="16"/>
              </w:rPr>
            </w:pPr>
            <w:r>
              <w:rPr>
                <w:sz w:val="16"/>
              </w:rPr>
              <w:t>Enhancements of the QoS sustainability analytics request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36BF8DC" w14:textId="77777777" w:rsidR="00A10B25" w:rsidRDefault="00A10B25">
            <w:pPr>
              <w:pStyle w:val="TAC"/>
              <w:rPr>
                <w:sz w:val="16"/>
                <w:szCs w:val="16"/>
              </w:rPr>
            </w:pPr>
            <w:r>
              <w:rPr>
                <w:sz w:val="16"/>
                <w:szCs w:val="16"/>
              </w:rPr>
              <w:t>18.3.0</w:t>
            </w:r>
          </w:p>
        </w:tc>
      </w:tr>
      <w:tr w:rsidR="00A10B25" w14:paraId="37BE409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42EA0FA"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BE236D1"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05DB8E9"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68B72FA" w14:textId="77777777" w:rsidR="00A10B25" w:rsidRDefault="00A10B25">
            <w:pPr>
              <w:pStyle w:val="TAL"/>
              <w:rPr>
                <w:sz w:val="16"/>
                <w:szCs w:val="16"/>
                <w:lang w:val="en-US" w:eastAsia="zh-CN"/>
              </w:rPr>
            </w:pPr>
            <w:r>
              <w:rPr>
                <w:sz w:val="16"/>
                <w:szCs w:val="16"/>
                <w:lang w:val="en-US" w:eastAsia="zh-CN"/>
              </w:rPr>
              <w:t>0760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EC69A5E"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1CDD31"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25E80DC" w14:textId="77777777" w:rsidR="00A10B25" w:rsidRDefault="00A10B25">
            <w:pPr>
              <w:pStyle w:val="TAL"/>
              <w:rPr>
                <w:sz w:val="16"/>
              </w:rPr>
            </w:pPr>
            <w:r>
              <w:rPr>
                <w:sz w:val="16"/>
              </w:rPr>
              <w:t>Enhancements of the QoS sustainability subscription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E824C85" w14:textId="77777777" w:rsidR="00A10B25" w:rsidRDefault="00A10B25">
            <w:pPr>
              <w:pStyle w:val="TAC"/>
              <w:rPr>
                <w:sz w:val="16"/>
                <w:szCs w:val="16"/>
              </w:rPr>
            </w:pPr>
            <w:r>
              <w:rPr>
                <w:sz w:val="16"/>
                <w:szCs w:val="16"/>
              </w:rPr>
              <w:t>18.3.0</w:t>
            </w:r>
          </w:p>
        </w:tc>
      </w:tr>
      <w:tr w:rsidR="00A10B25" w14:paraId="3C70966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8BFC1A3"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43E38"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83A010"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9A08F15" w14:textId="77777777" w:rsidR="00A10B25" w:rsidRDefault="00A10B25">
            <w:pPr>
              <w:pStyle w:val="TAL"/>
              <w:rPr>
                <w:sz w:val="16"/>
                <w:szCs w:val="16"/>
                <w:lang w:val="en-US" w:eastAsia="zh-CN"/>
              </w:rPr>
            </w:pPr>
            <w:r>
              <w:rPr>
                <w:sz w:val="16"/>
                <w:szCs w:val="16"/>
                <w:lang w:val="en-US" w:eastAsia="zh-CN"/>
              </w:rPr>
              <w:t>0761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F9DE97A"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812C6C9"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360E236" w14:textId="77777777" w:rsidR="00A10B25" w:rsidRDefault="00A10B25">
            <w:pPr>
              <w:pStyle w:val="TAL"/>
              <w:rPr>
                <w:sz w:val="16"/>
              </w:rPr>
            </w:pPr>
            <w:r>
              <w:rPr>
                <w:sz w:val="16"/>
              </w:rPr>
              <w:t>Miscellaneous corrections for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D31F9D" w14:textId="77777777" w:rsidR="00A10B25" w:rsidRDefault="00A10B25">
            <w:pPr>
              <w:pStyle w:val="TAC"/>
              <w:rPr>
                <w:sz w:val="16"/>
                <w:szCs w:val="16"/>
              </w:rPr>
            </w:pPr>
            <w:r>
              <w:rPr>
                <w:sz w:val="16"/>
                <w:szCs w:val="16"/>
              </w:rPr>
              <w:t>18.3.0</w:t>
            </w:r>
          </w:p>
        </w:tc>
      </w:tr>
      <w:tr w:rsidR="00A10B25" w14:paraId="2E7F937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6463153"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DF236F"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5F0A7A"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D21CA28" w14:textId="77777777" w:rsidR="00A10B25" w:rsidRDefault="00A10B25">
            <w:pPr>
              <w:pStyle w:val="TAL"/>
              <w:rPr>
                <w:sz w:val="16"/>
                <w:szCs w:val="16"/>
                <w:lang w:val="en-US" w:eastAsia="zh-CN"/>
              </w:rPr>
            </w:pPr>
            <w:r>
              <w:rPr>
                <w:sz w:val="16"/>
                <w:szCs w:val="16"/>
                <w:lang w:val="en-US" w:eastAsia="zh-CN"/>
              </w:rPr>
              <w:t>0762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55203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0C1ED52"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ABA28A0" w14:textId="77777777" w:rsidR="00A10B25" w:rsidRDefault="00A10B25">
            <w:pPr>
              <w:pStyle w:val="TAL"/>
              <w:rPr>
                <w:sz w:val="16"/>
              </w:rPr>
            </w:pPr>
            <w:r>
              <w:rPr>
                <w:sz w:val="16"/>
              </w:rPr>
              <w:t>Support for stopping and resuming the consumption of the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2B540B0" w14:textId="77777777" w:rsidR="00A10B25" w:rsidRDefault="00A10B25">
            <w:pPr>
              <w:pStyle w:val="TAC"/>
              <w:rPr>
                <w:sz w:val="16"/>
                <w:szCs w:val="16"/>
              </w:rPr>
            </w:pPr>
            <w:r>
              <w:rPr>
                <w:sz w:val="16"/>
                <w:szCs w:val="16"/>
              </w:rPr>
              <w:t>18.3.0</w:t>
            </w:r>
          </w:p>
        </w:tc>
      </w:tr>
      <w:tr w:rsidR="00A10B25" w14:paraId="6D4078B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F498CC1"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3A9B55B"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9F5DF7"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CE4BAF4" w14:textId="77777777" w:rsidR="00A10B25" w:rsidRDefault="00A10B25">
            <w:pPr>
              <w:pStyle w:val="TAL"/>
              <w:rPr>
                <w:sz w:val="16"/>
                <w:szCs w:val="16"/>
                <w:lang w:val="en-US" w:eastAsia="zh-CN"/>
              </w:rPr>
            </w:pPr>
            <w:r>
              <w:rPr>
                <w:sz w:val="16"/>
                <w:szCs w:val="16"/>
                <w:lang w:val="en-US" w:eastAsia="zh-CN"/>
              </w:rPr>
              <w:t>0763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DE4DD89"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013A1C5"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31C39A" w14:textId="77777777" w:rsidR="00A10B25" w:rsidRDefault="00A10B25">
            <w:pPr>
              <w:pStyle w:val="TAL"/>
              <w:rPr>
                <w:sz w:val="16"/>
              </w:rPr>
            </w:pPr>
            <w:r>
              <w:rPr>
                <w:sz w:val="16"/>
              </w:rPr>
              <w:t>Support of spatial granularity size and temporal granularity size of the analytics request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C29DE42" w14:textId="77777777" w:rsidR="00A10B25" w:rsidRDefault="00A10B25">
            <w:pPr>
              <w:pStyle w:val="TAC"/>
              <w:rPr>
                <w:sz w:val="16"/>
                <w:szCs w:val="16"/>
              </w:rPr>
            </w:pPr>
            <w:r>
              <w:rPr>
                <w:sz w:val="16"/>
                <w:szCs w:val="16"/>
              </w:rPr>
              <w:t>18.3.0</w:t>
            </w:r>
          </w:p>
        </w:tc>
      </w:tr>
      <w:tr w:rsidR="00A10B25" w14:paraId="01E37AE4"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D6416AA"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C66048"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892E8"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2D8A592" w14:textId="77777777" w:rsidR="00A10B25" w:rsidRDefault="00A10B25">
            <w:pPr>
              <w:pStyle w:val="TAL"/>
              <w:rPr>
                <w:sz w:val="16"/>
                <w:szCs w:val="16"/>
                <w:lang w:val="en-US" w:eastAsia="zh-CN"/>
              </w:rPr>
            </w:pPr>
            <w:r>
              <w:rPr>
                <w:sz w:val="16"/>
                <w:szCs w:val="16"/>
                <w:lang w:val="en-US" w:eastAsia="zh-CN"/>
              </w:rPr>
              <w:t>0764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54C355"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AD65FEE"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D2B1550" w14:textId="77777777" w:rsidR="00A10B25" w:rsidRDefault="00A10B25">
            <w:pPr>
              <w:pStyle w:val="TAL"/>
              <w:rPr>
                <w:sz w:val="16"/>
              </w:rPr>
            </w:pPr>
            <w:r>
              <w:rPr>
                <w:sz w:val="16"/>
              </w:rPr>
              <w:t>Support of spatial granularity size and temporal granularity size of the analytics subscription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8DD6E77" w14:textId="77777777" w:rsidR="00A10B25" w:rsidRDefault="00A10B25">
            <w:pPr>
              <w:pStyle w:val="TAC"/>
              <w:rPr>
                <w:sz w:val="16"/>
                <w:szCs w:val="16"/>
              </w:rPr>
            </w:pPr>
            <w:r>
              <w:rPr>
                <w:sz w:val="16"/>
                <w:szCs w:val="16"/>
              </w:rPr>
              <w:t>18.3.0</w:t>
            </w:r>
          </w:p>
        </w:tc>
      </w:tr>
      <w:tr w:rsidR="00A10B25" w14:paraId="690E5E3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EEE1E06"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0029190"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739CC"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D9123F3" w14:textId="77777777" w:rsidR="00A10B25" w:rsidRDefault="00A10B25">
            <w:pPr>
              <w:pStyle w:val="TAL"/>
              <w:rPr>
                <w:sz w:val="16"/>
                <w:szCs w:val="16"/>
                <w:lang w:val="en-US" w:eastAsia="zh-CN"/>
              </w:rPr>
            </w:pPr>
            <w:r>
              <w:rPr>
                <w:sz w:val="16"/>
                <w:szCs w:val="16"/>
                <w:lang w:val="en-US" w:eastAsia="zh-CN"/>
              </w:rPr>
              <w:t>0765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41CD6C7"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685E4B"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BF64076" w14:textId="77777777" w:rsidR="00A10B25" w:rsidRDefault="00A10B25">
            <w:pPr>
              <w:pStyle w:val="TAL"/>
              <w:rPr>
                <w:sz w:val="16"/>
              </w:rPr>
            </w:pPr>
            <w:r>
              <w:rPr>
                <w:sz w:val="16"/>
              </w:rPr>
              <w:t>Support of the analytics subsets of PDU session traffic</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113A0D9" w14:textId="77777777" w:rsidR="00A10B25" w:rsidRDefault="00A10B25">
            <w:pPr>
              <w:pStyle w:val="TAC"/>
              <w:rPr>
                <w:sz w:val="16"/>
                <w:szCs w:val="16"/>
              </w:rPr>
            </w:pPr>
            <w:r>
              <w:rPr>
                <w:sz w:val="16"/>
                <w:szCs w:val="16"/>
              </w:rPr>
              <w:t>18.3.0</w:t>
            </w:r>
          </w:p>
        </w:tc>
      </w:tr>
      <w:tr w:rsidR="00A10B25" w14:paraId="0965CE0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741B627"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F5EEBA"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BD43961"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7A9EF9E" w14:textId="77777777" w:rsidR="00A10B25" w:rsidRDefault="00A10B25">
            <w:pPr>
              <w:pStyle w:val="TAL"/>
              <w:rPr>
                <w:sz w:val="16"/>
                <w:szCs w:val="16"/>
                <w:lang w:val="en-US" w:eastAsia="zh-CN"/>
              </w:rPr>
            </w:pPr>
            <w:r>
              <w:rPr>
                <w:sz w:val="16"/>
                <w:szCs w:val="16"/>
                <w:lang w:val="en-US" w:eastAsia="zh-CN"/>
              </w:rPr>
              <w:t>0766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5A4EC7"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C8CDB9E"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2D22680" w14:textId="77777777" w:rsidR="00A10B25" w:rsidRDefault="00A10B25">
            <w:pPr>
              <w:pStyle w:val="TAL"/>
              <w:rPr>
                <w:sz w:val="16"/>
              </w:rPr>
            </w:pPr>
            <w:r>
              <w:rPr>
                <w:sz w:val="16"/>
              </w:rPr>
              <w:t>New ML Model Provisioning parameter</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31BB7C4" w14:textId="77777777" w:rsidR="00A10B25" w:rsidRDefault="00A10B25">
            <w:pPr>
              <w:pStyle w:val="TAC"/>
              <w:rPr>
                <w:sz w:val="16"/>
                <w:szCs w:val="16"/>
              </w:rPr>
            </w:pPr>
            <w:r>
              <w:rPr>
                <w:sz w:val="16"/>
                <w:szCs w:val="16"/>
              </w:rPr>
              <w:t>18.3.0</w:t>
            </w:r>
          </w:p>
        </w:tc>
      </w:tr>
      <w:tr w:rsidR="00A10B25" w14:paraId="2B119A8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19E4EF2"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475050"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E0E1F5" w14:textId="77777777" w:rsidR="00A10B25" w:rsidRDefault="00A10B25">
            <w:pPr>
              <w:pStyle w:val="TAC"/>
              <w:rPr>
                <w:sz w:val="16"/>
                <w:szCs w:val="16"/>
                <w:lang w:val="en-US" w:eastAsia="zh-CN"/>
              </w:rPr>
            </w:pPr>
            <w:r>
              <w:rPr>
                <w:rFonts w:eastAsia="等线" w:cs="Arial"/>
                <w:sz w:val="16"/>
                <w:szCs w:val="16"/>
              </w:rPr>
              <w:t>CP-232097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9494620" w14:textId="77777777" w:rsidR="00A10B25" w:rsidRDefault="00A10B25">
            <w:pPr>
              <w:pStyle w:val="TAL"/>
              <w:rPr>
                <w:sz w:val="16"/>
                <w:szCs w:val="16"/>
                <w:lang w:val="en-US" w:eastAsia="zh-CN"/>
              </w:rPr>
            </w:pPr>
            <w:r>
              <w:rPr>
                <w:sz w:val="16"/>
                <w:szCs w:val="16"/>
                <w:lang w:val="en-US" w:eastAsia="zh-CN"/>
              </w:rPr>
              <w:t>0767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141677"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CAE88BA"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EC03BEE" w14:textId="77777777" w:rsidR="00A10B25" w:rsidRDefault="00A10B25">
            <w:pPr>
              <w:pStyle w:val="TAL"/>
              <w:rPr>
                <w:sz w:val="16"/>
              </w:rPr>
            </w:pPr>
            <w:r>
              <w:rPr>
                <w:sz w:val="16"/>
              </w:rPr>
              <w:t>Merging two NetworkPerformanceExt_eNA features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FC81D1C" w14:textId="77777777" w:rsidR="00A10B25" w:rsidRDefault="00A10B25">
            <w:pPr>
              <w:pStyle w:val="TAC"/>
              <w:rPr>
                <w:sz w:val="16"/>
                <w:szCs w:val="16"/>
              </w:rPr>
            </w:pPr>
            <w:r>
              <w:rPr>
                <w:sz w:val="16"/>
                <w:szCs w:val="16"/>
              </w:rPr>
              <w:t>18.3.0</w:t>
            </w:r>
          </w:p>
        </w:tc>
      </w:tr>
      <w:tr w:rsidR="00A10B25" w14:paraId="5817FA6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D631C31"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3D5F24"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77ABAA" w14:textId="77777777" w:rsidR="00A10B25" w:rsidRDefault="00A10B25">
            <w:pPr>
              <w:pStyle w:val="TAC"/>
              <w:rPr>
                <w:sz w:val="16"/>
                <w:szCs w:val="16"/>
                <w:lang w:val="en-US" w:eastAsia="zh-CN"/>
              </w:rPr>
            </w:pPr>
            <w:r>
              <w:rPr>
                <w:rFonts w:eastAsia="等线" w:cs="Arial"/>
                <w:sz w:val="16"/>
                <w:szCs w:val="16"/>
              </w:rPr>
              <w:t>CP-232097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1016C74" w14:textId="77777777" w:rsidR="00A10B25" w:rsidRDefault="00A10B25">
            <w:pPr>
              <w:pStyle w:val="TAL"/>
              <w:rPr>
                <w:sz w:val="16"/>
                <w:szCs w:val="16"/>
                <w:lang w:val="en-US" w:eastAsia="zh-CN"/>
              </w:rPr>
            </w:pPr>
            <w:r>
              <w:rPr>
                <w:sz w:val="16"/>
                <w:szCs w:val="16"/>
                <w:lang w:val="en-US" w:eastAsia="zh-CN"/>
              </w:rPr>
              <w:t>0768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EAA73DC"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2B90F9"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E654FF5" w14:textId="77777777" w:rsidR="00A10B25" w:rsidRDefault="00A10B25">
            <w:pPr>
              <w:pStyle w:val="TAL"/>
              <w:rPr>
                <w:sz w:val="16"/>
              </w:rPr>
            </w:pPr>
            <w:r>
              <w:rPr>
                <w:sz w:val="16"/>
              </w:rPr>
              <w:t>misalignment of transEvents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FB9705B" w14:textId="77777777" w:rsidR="00A10B25" w:rsidRDefault="00A10B25">
            <w:pPr>
              <w:pStyle w:val="TAC"/>
              <w:rPr>
                <w:sz w:val="16"/>
                <w:szCs w:val="16"/>
              </w:rPr>
            </w:pPr>
            <w:r>
              <w:rPr>
                <w:sz w:val="16"/>
                <w:szCs w:val="16"/>
              </w:rPr>
              <w:t>18.3.0</w:t>
            </w:r>
          </w:p>
        </w:tc>
      </w:tr>
      <w:tr w:rsidR="00A10B25" w14:paraId="06AD9FCE"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AEDDC65"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CD128"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60A36E" w14:textId="77777777" w:rsidR="00A10B25" w:rsidRDefault="00A10B25">
            <w:pPr>
              <w:pStyle w:val="TAC"/>
              <w:rPr>
                <w:sz w:val="16"/>
                <w:szCs w:val="16"/>
                <w:lang w:val="en-US" w:eastAsia="zh-CN"/>
              </w:rPr>
            </w:pPr>
            <w:r>
              <w:rPr>
                <w:rFonts w:eastAsia="等线" w:cs="Arial"/>
                <w:sz w:val="16"/>
                <w:szCs w:val="16"/>
              </w:rPr>
              <w:t>CP-232087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26A79C5" w14:textId="77777777" w:rsidR="00A10B25" w:rsidRDefault="00A10B25">
            <w:pPr>
              <w:pStyle w:val="TAL"/>
              <w:rPr>
                <w:sz w:val="16"/>
                <w:szCs w:val="16"/>
                <w:lang w:val="en-US" w:eastAsia="zh-CN"/>
              </w:rPr>
            </w:pPr>
            <w:r>
              <w:rPr>
                <w:sz w:val="16"/>
                <w:szCs w:val="16"/>
                <w:lang w:val="en-US" w:eastAsia="zh-CN"/>
              </w:rPr>
              <w:t>0769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CE5DFC"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CF87EF6"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42B8B4A" w14:textId="77777777" w:rsidR="00A10B25" w:rsidRDefault="00A10B25">
            <w:pPr>
              <w:pStyle w:val="TAL"/>
              <w:rPr>
                <w:sz w:val="16"/>
              </w:rPr>
            </w:pPr>
            <w:r>
              <w:rPr>
                <w:sz w:val="16"/>
              </w:rPr>
              <w:t>Editors Note removal for E2E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58B93AF" w14:textId="77777777" w:rsidR="00A10B25" w:rsidRDefault="00A10B25">
            <w:pPr>
              <w:pStyle w:val="TAC"/>
              <w:rPr>
                <w:sz w:val="16"/>
                <w:szCs w:val="16"/>
              </w:rPr>
            </w:pPr>
            <w:r>
              <w:rPr>
                <w:sz w:val="16"/>
                <w:szCs w:val="16"/>
              </w:rPr>
              <w:t>18.3.0</w:t>
            </w:r>
          </w:p>
        </w:tc>
      </w:tr>
      <w:tr w:rsidR="00A10B25" w14:paraId="269BAD8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DD865CC"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1C61349"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DE98A2"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49252C6" w14:textId="77777777" w:rsidR="00A10B25" w:rsidRDefault="00A10B25">
            <w:pPr>
              <w:pStyle w:val="TAL"/>
              <w:rPr>
                <w:sz w:val="16"/>
                <w:szCs w:val="16"/>
                <w:lang w:val="en-US" w:eastAsia="zh-CN"/>
              </w:rPr>
            </w:pPr>
            <w:r>
              <w:rPr>
                <w:sz w:val="16"/>
                <w:szCs w:val="16"/>
                <w:lang w:val="en-US" w:eastAsia="zh-CN"/>
              </w:rPr>
              <w:t>0770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C7E5131"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4FDA7C8"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21A7B79" w14:textId="77777777" w:rsidR="00A10B25" w:rsidRDefault="00A10B25">
            <w:pPr>
              <w:pStyle w:val="TAL"/>
              <w:rPr>
                <w:sz w:val="16"/>
              </w:rPr>
            </w:pPr>
            <w:r>
              <w:rPr>
                <w:sz w:val="16"/>
              </w:rPr>
              <w:t>Corrections to PDU Session Traffic Analystics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CFFA64C" w14:textId="77777777" w:rsidR="00A10B25" w:rsidRDefault="00A10B25">
            <w:pPr>
              <w:pStyle w:val="TAC"/>
              <w:rPr>
                <w:sz w:val="16"/>
                <w:szCs w:val="16"/>
              </w:rPr>
            </w:pPr>
            <w:r>
              <w:rPr>
                <w:sz w:val="16"/>
                <w:szCs w:val="16"/>
              </w:rPr>
              <w:t>18.3.0</w:t>
            </w:r>
          </w:p>
        </w:tc>
      </w:tr>
      <w:tr w:rsidR="00A10B25" w14:paraId="01BD3BF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D5D71C2"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E1E529"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212CE3"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8C3D5E1" w14:textId="77777777" w:rsidR="00A10B25" w:rsidRDefault="00A10B25">
            <w:pPr>
              <w:pStyle w:val="TAL"/>
              <w:rPr>
                <w:sz w:val="16"/>
                <w:szCs w:val="16"/>
                <w:lang w:val="en-US" w:eastAsia="zh-CN"/>
              </w:rPr>
            </w:pPr>
            <w:r>
              <w:rPr>
                <w:sz w:val="16"/>
                <w:szCs w:val="16"/>
                <w:lang w:val="en-US" w:eastAsia="zh-CN"/>
              </w:rPr>
              <w:t>0771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F11BA4"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BE22A4"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843D309" w14:textId="77777777" w:rsidR="00A10B25" w:rsidRDefault="00A10B25">
            <w:pPr>
              <w:pStyle w:val="TAL"/>
              <w:rPr>
                <w:sz w:val="16"/>
              </w:rPr>
            </w:pPr>
            <w:r>
              <w:rPr>
                <w:sz w:val="16"/>
              </w:rPr>
              <w:t>Updates to Analytics Accuracy Monitoring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D03B180" w14:textId="77777777" w:rsidR="00A10B25" w:rsidRDefault="00A10B25">
            <w:pPr>
              <w:pStyle w:val="TAC"/>
              <w:rPr>
                <w:sz w:val="16"/>
                <w:szCs w:val="16"/>
              </w:rPr>
            </w:pPr>
            <w:r>
              <w:rPr>
                <w:sz w:val="16"/>
                <w:szCs w:val="16"/>
              </w:rPr>
              <w:t>18.3.0</w:t>
            </w:r>
          </w:p>
        </w:tc>
      </w:tr>
      <w:tr w:rsidR="00A10B25" w14:paraId="0FEB5CB6"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3B1481E"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3289040"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32C090" w14:textId="77777777" w:rsidR="00A10B25" w:rsidRDefault="00A10B25">
            <w:pPr>
              <w:pStyle w:val="TAC"/>
              <w:rPr>
                <w:sz w:val="16"/>
                <w:szCs w:val="16"/>
                <w:lang w:val="en-US" w:eastAsia="zh-CN"/>
              </w:rPr>
            </w:pPr>
            <w:r>
              <w:rPr>
                <w:rFonts w:eastAsia="等线" w:cs="Arial"/>
                <w:sz w:val="16"/>
                <w:szCs w:val="16"/>
              </w:rPr>
              <w:t>CP-232081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41241EE" w14:textId="77777777" w:rsidR="00A10B25" w:rsidRDefault="00A10B25">
            <w:pPr>
              <w:pStyle w:val="TAL"/>
              <w:rPr>
                <w:sz w:val="16"/>
                <w:szCs w:val="16"/>
                <w:lang w:val="en-US" w:eastAsia="zh-CN"/>
              </w:rPr>
            </w:pPr>
            <w:r>
              <w:rPr>
                <w:sz w:val="16"/>
                <w:szCs w:val="16"/>
                <w:lang w:val="en-US" w:eastAsia="zh-CN"/>
              </w:rPr>
              <w:t>0772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783DB2"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EE3C7C7"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3740FB6" w14:textId="77777777" w:rsidR="00A10B25" w:rsidRDefault="00A10B25">
            <w:pPr>
              <w:pStyle w:val="TAL"/>
              <w:rPr>
                <w:sz w:val="16"/>
              </w:rPr>
            </w:pPr>
            <w:r>
              <w:rPr>
                <w:sz w:val="16"/>
              </w:rPr>
              <w:t>Updates to Analytics Accuracy Monitoring in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68B7A9A" w14:textId="77777777" w:rsidR="00A10B25" w:rsidRDefault="00A10B25">
            <w:pPr>
              <w:pStyle w:val="TAC"/>
              <w:rPr>
                <w:sz w:val="16"/>
                <w:szCs w:val="16"/>
              </w:rPr>
            </w:pPr>
            <w:r>
              <w:rPr>
                <w:sz w:val="16"/>
                <w:szCs w:val="16"/>
              </w:rPr>
              <w:t>18.3.0</w:t>
            </w:r>
          </w:p>
        </w:tc>
      </w:tr>
      <w:tr w:rsidR="00A10B25" w14:paraId="76EF8B3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35061C5"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DC3B07C"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75670CB" w14:textId="77777777" w:rsidR="00A10B25" w:rsidRDefault="00A10B25">
            <w:pPr>
              <w:pStyle w:val="TAC"/>
              <w:rPr>
                <w:sz w:val="16"/>
                <w:szCs w:val="16"/>
                <w:lang w:val="en-US" w:eastAsia="zh-CN"/>
              </w:rPr>
            </w:pPr>
            <w:r>
              <w:rPr>
                <w:rFonts w:eastAsia="等线" w:cs="Arial"/>
                <w:sz w:val="16"/>
                <w:szCs w:val="16"/>
              </w:rPr>
              <w:t>CP-232082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A31FD39" w14:textId="77777777" w:rsidR="00A10B25" w:rsidRDefault="00A10B25">
            <w:pPr>
              <w:pStyle w:val="TAL"/>
              <w:rPr>
                <w:sz w:val="16"/>
                <w:szCs w:val="16"/>
                <w:lang w:val="en-US" w:eastAsia="zh-CN"/>
              </w:rPr>
            </w:pPr>
            <w:r>
              <w:rPr>
                <w:sz w:val="16"/>
                <w:szCs w:val="16"/>
                <w:lang w:val="en-US" w:eastAsia="zh-CN"/>
              </w:rPr>
              <w:t>0773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ACC7FF8" w14:textId="77777777" w:rsidR="00A10B25" w:rsidRDefault="00A10B25">
            <w:pPr>
              <w:pStyle w:val="TAR"/>
              <w:rPr>
                <w:rFonts w:cs="Arial"/>
                <w:color w:val="000000"/>
                <w:sz w:val="16"/>
                <w:szCs w:val="16"/>
              </w:rPr>
            </w:pPr>
            <w:r>
              <w:rPr>
                <w:rFonts w:cs="Arial"/>
                <w:color w:val="000000"/>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564E7F"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40E2C4A" w14:textId="77777777" w:rsidR="00A10B25" w:rsidRDefault="00A10B25">
            <w:pPr>
              <w:pStyle w:val="TAL"/>
              <w:rPr>
                <w:sz w:val="16"/>
              </w:rPr>
            </w:pPr>
            <w:r>
              <w:rPr>
                <w:sz w:val="16"/>
              </w:rPr>
              <w:t>Updates ML Model Provisioning supporting ML model accuracy monitoring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EC5D7AB" w14:textId="77777777" w:rsidR="00A10B25" w:rsidRDefault="00A10B25">
            <w:pPr>
              <w:pStyle w:val="TAC"/>
              <w:rPr>
                <w:sz w:val="16"/>
                <w:szCs w:val="16"/>
              </w:rPr>
            </w:pPr>
            <w:r>
              <w:rPr>
                <w:sz w:val="16"/>
                <w:szCs w:val="16"/>
              </w:rPr>
              <w:t>18.3.0</w:t>
            </w:r>
          </w:p>
        </w:tc>
      </w:tr>
      <w:tr w:rsidR="00A10B25" w14:paraId="3AED729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EBCC3DA"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B25A3D"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C9A0B" w14:textId="77777777" w:rsidR="00A10B25" w:rsidRDefault="00A10B25">
            <w:pPr>
              <w:pStyle w:val="TAC"/>
              <w:rPr>
                <w:sz w:val="16"/>
                <w:szCs w:val="16"/>
                <w:lang w:val="en-US" w:eastAsia="zh-CN"/>
              </w:rPr>
            </w:pPr>
            <w:r>
              <w:rPr>
                <w:rFonts w:eastAsia="等线" w:cs="Arial"/>
                <w:sz w:val="16"/>
                <w:szCs w:val="16"/>
              </w:rPr>
              <w:t>CP-232085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AEE8790" w14:textId="77777777" w:rsidR="00A10B25" w:rsidRDefault="00A10B25">
            <w:pPr>
              <w:pStyle w:val="TAL"/>
              <w:rPr>
                <w:sz w:val="16"/>
                <w:szCs w:val="16"/>
                <w:lang w:val="en-US" w:eastAsia="zh-CN"/>
              </w:rPr>
            </w:pPr>
            <w:r>
              <w:rPr>
                <w:sz w:val="16"/>
                <w:szCs w:val="16"/>
                <w:lang w:val="en-US" w:eastAsia="zh-CN"/>
              </w:rPr>
              <w:t>0775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BD38AFC"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D87C022" w14:textId="77777777" w:rsidR="00A10B25" w:rsidRDefault="00A10B2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BE2C958" w14:textId="77777777" w:rsidR="00A10B25" w:rsidRDefault="00A10B25">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6530B84" w14:textId="77777777" w:rsidR="00A10B25" w:rsidRDefault="00A10B25">
            <w:pPr>
              <w:pStyle w:val="TAC"/>
              <w:rPr>
                <w:sz w:val="16"/>
                <w:szCs w:val="16"/>
              </w:rPr>
            </w:pPr>
            <w:r>
              <w:rPr>
                <w:sz w:val="16"/>
                <w:szCs w:val="16"/>
              </w:rPr>
              <w:t>18.3.0</w:t>
            </w:r>
          </w:p>
        </w:tc>
      </w:tr>
      <w:tr w:rsidR="00A10B25" w14:paraId="52D78E7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250CD36" w14:textId="77777777" w:rsidR="00A10B25" w:rsidRDefault="00A10B25">
            <w:pPr>
              <w:pStyle w:val="TAC"/>
              <w:rPr>
                <w:sz w:val="16"/>
                <w:szCs w:val="16"/>
                <w:lang w:val="en-US" w:eastAsia="zh-CN"/>
              </w:rPr>
            </w:pPr>
            <w:r>
              <w:rPr>
                <w:sz w:val="16"/>
                <w:szCs w:val="16"/>
                <w:lang w:val="en-US"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DD74B9" w14:textId="77777777" w:rsidR="00A10B25" w:rsidRDefault="00A10B25">
            <w:pPr>
              <w:pStyle w:val="TAC"/>
              <w:rPr>
                <w:sz w:val="16"/>
                <w:szCs w:val="16"/>
                <w:lang w:val="en-US" w:eastAsia="zh-CN"/>
              </w:rPr>
            </w:pPr>
            <w:r>
              <w:rPr>
                <w:sz w:val="16"/>
                <w:szCs w:val="16"/>
                <w:lang w:val="en-US" w:eastAsia="zh-CN"/>
              </w:rPr>
              <w:t>CT#101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D3AA75" w14:textId="77777777" w:rsidR="00A10B25" w:rsidRDefault="00A10B25">
            <w:pPr>
              <w:pStyle w:val="TAC"/>
              <w:rPr>
                <w:sz w:val="16"/>
                <w:szCs w:val="16"/>
                <w:lang w:val="en-US" w:eastAsia="zh-CN"/>
              </w:rPr>
            </w:pPr>
            <w:r>
              <w:rPr>
                <w:rFonts w:eastAsia="等线" w:cs="Arial"/>
                <w:sz w:val="16"/>
                <w:szCs w:val="16"/>
              </w:rPr>
              <w:t>CP-232097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53F2EC2" w14:textId="77777777" w:rsidR="00A10B25" w:rsidRDefault="00A10B25">
            <w:pPr>
              <w:pStyle w:val="TAL"/>
              <w:rPr>
                <w:sz w:val="16"/>
                <w:szCs w:val="16"/>
                <w:lang w:val="en-US" w:eastAsia="zh-CN"/>
              </w:rPr>
            </w:pPr>
            <w:r>
              <w:rPr>
                <w:sz w:val="16"/>
                <w:szCs w:val="16"/>
                <w:lang w:val="en-US" w:eastAsia="zh-CN"/>
              </w:rPr>
              <w:t>0777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F1A3AA" w14:textId="77777777" w:rsidR="00A10B25" w:rsidRDefault="00A10B25">
            <w:pPr>
              <w:pStyle w:val="TAR"/>
              <w:rPr>
                <w:rFonts w:cs="Arial"/>
                <w:color w:val="000000"/>
                <w:sz w:val="16"/>
                <w:szCs w:val="16"/>
              </w:rPr>
            </w:pPr>
            <w:r>
              <w:rPr>
                <w:rFonts w:cs="Arial"/>
                <w:color w:val="000000"/>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208CC6" w14:textId="77777777" w:rsidR="00A10B25" w:rsidRDefault="00A10B25">
            <w:pPr>
              <w:pStyle w:val="TAC"/>
              <w:rPr>
                <w:sz w:val="16"/>
                <w:szCs w:val="16"/>
                <w:lang w:val="en-US" w:eastAsia="zh-CN"/>
              </w:rPr>
            </w:pPr>
            <w:r>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3C53D82" w14:textId="77777777" w:rsidR="00A10B25" w:rsidRDefault="00A10B25">
            <w:pPr>
              <w:pStyle w:val="TAL"/>
              <w:rPr>
                <w:sz w:val="16"/>
              </w:rPr>
            </w:pPr>
            <w:r>
              <w:rPr>
                <w:sz w:val="16"/>
              </w:rPr>
              <w:t>Support of providing the number of impacted UE for Abnormal Behaviour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0D552D5" w14:textId="77777777" w:rsidR="00A10B25" w:rsidRDefault="00A10B25">
            <w:pPr>
              <w:pStyle w:val="TAC"/>
              <w:rPr>
                <w:sz w:val="16"/>
                <w:szCs w:val="16"/>
              </w:rPr>
            </w:pPr>
            <w:r>
              <w:rPr>
                <w:sz w:val="16"/>
                <w:szCs w:val="16"/>
              </w:rPr>
              <w:t>18.3.0</w:t>
            </w:r>
          </w:p>
        </w:tc>
      </w:tr>
      <w:tr w:rsidR="00791820" w14:paraId="413A8644"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2816A4F"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9D834F0"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73A5AA" w14:textId="77777777" w:rsidR="00791820" w:rsidRDefault="00791820" w:rsidP="00791820">
            <w:pPr>
              <w:pStyle w:val="TAC"/>
              <w:rPr>
                <w:rFonts w:eastAsia="等线" w:cs="Arial"/>
                <w:sz w:val="16"/>
                <w:szCs w:val="16"/>
              </w:rPr>
            </w:pPr>
            <w:r>
              <w:rPr>
                <w:rFonts w:cs="Arial"/>
                <w:sz w:val="16"/>
                <w:szCs w:val="16"/>
              </w:rPr>
              <w:t>CP-233235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DA759B9" w14:textId="77777777" w:rsidR="00791820" w:rsidRDefault="00791820" w:rsidP="00791820">
            <w:pPr>
              <w:pStyle w:val="TAL"/>
              <w:rPr>
                <w:rFonts w:hint="eastAsia"/>
                <w:sz w:val="16"/>
                <w:szCs w:val="16"/>
                <w:lang w:val="en-US" w:eastAsia="zh-CN"/>
              </w:rPr>
            </w:pPr>
            <w:r>
              <w:rPr>
                <w:rFonts w:cs="Arial"/>
                <w:sz w:val="16"/>
                <w:szCs w:val="16"/>
              </w:rPr>
              <w:t>0778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82A0EC9" w14:textId="77777777" w:rsidR="00791820" w:rsidRDefault="00791820" w:rsidP="00791820">
            <w:pPr>
              <w:pStyle w:val="TAR"/>
              <w:rPr>
                <w:rFonts w:cs="Arial"/>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86032C"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03473C5" w14:textId="77777777" w:rsidR="00791820" w:rsidRDefault="00791820" w:rsidP="00791820">
            <w:pPr>
              <w:pStyle w:val="TAL"/>
              <w:rPr>
                <w:sz w:val="16"/>
              </w:rPr>
            </w:pPr>
            <w:r>
              <w:rPr>
                <w:sz w:val="16"/>
              </w:rPr>
              <w:t>Corrections on End-to-end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74A1CAB" w14:textId="77777777" w:rsidR="00791820" w:rsidRDefault="00791820" w:rsidP="00791820">
            <w:pPr>
              <w:pStyle w:val="TAC"/>
              <w:rPr>
                <w:sz w:val="16"/>
                <w:szCs w:val="16"/>
              </w:rPr>
            </w:pPr>
            <w:r>
              <w:rPr>
                <w:rFonts w:hint="eastAsia"/>
                <w:sz w:val="16"/>
                <w:szCs w:val="16"/>
              </w:rPr>
              <w:t>1</w:t>
            </w:r>
            <w:r>
              <w:rPr>
                <w:sz w:val="16"/>
                <w:szCs w:val="16"/>
              </w:rPr>
              <w:t>8.4.0</w:t>
            </w:r>
          </w:p>
        </w:tc>
      </w:tr>
      <w:tr w:rsidR="00791820" w14:paraId="7058110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D3DB6BE"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3988146"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A423C9" w14:textId="77777777" w:rsidR="00791820" w:rsidRDefault="00791820" w:rsidP="00791820">
            <w:pPr>
              <w:pStyle w:val="TAC"/>
              <w:rPr>
                <w:rFonts w:eastAsia="等线" w:cs="Arial" w:hint="eastAsia"/>
                <w:sz w:val="16"/>
                <w:szCs w:val="16"/>
              </w:rPr>
            </w:pPr>
            <w:r>
              <w:rPr>
                <w:rFonts w:cs="Arial"/>
                <w:sz w:val="16"/>
                <w:szCs w:val="16"/>
              </w:rPr>
              <w:t>CP-233235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FFDA930" w14:textId="77777777" w:rsidR="00791820" w:rsidRDefault="00791820" w:rsidP="00791820">
            <w:pPr>
              <w:pStyle w:val="TAL"/>
              <w:rPr>
                <w:rFonts w:hint="eastAsia"/>
                <w:sz w:val="16"/>
                <w:szCs w:val="16"/>
                <w:lang w:val="en-US" w:eastAsia="zh-CN"/>
              </w:rPr>
            </w:pPr>
            <w:r>
              <w:rPr>
                <w:rFonts w:cs="Arial"/>
                <w:sz w:val="16"/>
                <w:szCs w:val="16"/>
              </w:rPr>
              <w:t>0779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50881A"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9823C58"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451A8DA" w14:textId="77777777" w:rsidR="00791820" w:rsidRDefault="00791820" w:rsidP="00791820">
            <w:pPr>
              <w:pStyle w:val="TAL"/>
              <w:rPr>
                <w:sz w:val="16"/>
              </w:rPr>
            </w:pPr>
            <w:r>
              <w:rPr>
                <w:sz w:val="16"/>
              </w:rPr>
              <w:t>Resolve the Editor's Note of UE mobility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BC78578"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7C86513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D9126FB"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91604C"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2819DB" w14:textId="77777777" w:rsidR="00791820" w:rsidRDefault="00791820" w:rsidP="00791820">
            <w:pPr>
              <w:pStyle w:val="TAC"/>
              <w:rPr>
                <w:rFonts w:eastAsia="等线" w:cs="Arial"/>
                <w:sz w:val="16"/>
                <w:szCs w:val="16"/>
                <w:lang w:val="en-US"/>
              </w:rPr>
            </w:pPr>
            <w:r>
              <w:rPr>
                <w:rFonts w:cs="Arial"/>
                <w:sz w:val="16"/>
                <w:szCs w:val="16"/>
              </w:rPr>
              <w:t>CP-233235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5749CA8" w14:textId="77777777" w:rsidR="00791820" w:rsidRDefault="00791820" w:rsidP="00791820">
            <w:pPr>
              <w:pStyle w:val="TAL"/>
              <w:rPr>
                <w:rFonts w:hint="eastAsia"/>
                <w:sz w:val="16"/>
                <w:szCs w:val="16"/>
                <w:lang w:val="en-US" w:eastAsia="zh-CN"/>
              </w:rPr>
            </w:pPr>
            <w:r>
              <w:rPr>
                <w:rFonts w:cs="Arial"/>
                <w:sz w:val="16"/>
                <w:szCs w:val="16"/>
              </w:rPr>
              <w:t>0780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5AAB869"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719D1D"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EA53CDF" w14:textId="77777777" w:rsidR="00791820" w:rsidRDefault="00791820" w:rsidP="00791820">
            <w:pPr>
              <w:pStyle w:val="TAL"/>
              <w:rPr>
                <w:rFonts w:hint="eastAsia"/>
                <w:sz w:val="16"/>
                <w:lang w:eastAsia="zh-CN"/>
              </w:rPr>
            </w:pPr>
            <w:r>
              <w:rPr>
                <w:sz w:val="16"/>
                <w:lang w:eastAsia="zh-CN"/>
              </w:rPr>
              <w:t>Support of End-to-end data volume transfer time for list of UEs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41D20F6"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140AA4F2"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7E66846"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D3B0F62"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A0729" w14:textId="77777777" w:rsidR="00791820" w:rsidRDefault="00791820" w:rsidP="00791820">
            <w:pPr>
              <w:pStyle w:val="TAC"/>
              <w:rPr>
                <w:rFonts w:eastAsia="等线" w:cs="Arial" w:hint="eastAsia"/>
                <w:sz w:val="16"/>
                <w:szCs w:val="16"/>
                <w:lang w:val="en-US" w:eastAsia="zh-CN"/>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A815A62" w14:textId="77777777" w:rsidR="00791820" w:rsidRDefault="00791820" w:rsidP="00791820">
            <w:pPr>
              <w:pStyle w:val="TAL"/>
              <w:rPr>
                <w:rFonts w:hint="eastAsia"/>
                <w:sz w:val="16"/>
                <w:szCs w:val="16"/>
                <w:lang w:val="en-US" w:eastAsia="zh-CN"/>
              </w:rPr>
            </w:pPr>
            <w:r>
              <w:rPr>
                <w:rFonts w:cs="Arial"/>
                <w:sz w:val="16"/>
                <w:szCs w:val="16"/>
              </w:rPr>
              <w:t>0781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7514B3" w14:textId="77777777" w:rsidR="00791820" w:rsidRDefault="00791820" w:rsidP="00791820">
            <w:pPr>
              <w:pStyle w:val="TAR"/>
              <w:rPr>
                <w:rFonts w:cs="Arial" w:hint="eastAsia"/>
                <w:color w:val="000000"/>
                <w:sz w:val="16"/>
                <w:szCs w:val="16"/>
                <w:lang w:eastAsia="zh-CN"/>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A81295"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FDDCC33" w14:textId="77777777" w:rsidR="00791820" w:rsidRDefault="00791820" w:rsidP="00791820">
            <w:pPr>
              <w:pStyle w:val="TAL"/>
              <w:rPr>
                <w:sz w:val="16"/>
              </w:rPr>
            </w:pPr>
            <w:r>
              <w:rPr>
                <w:rFonts w:hint="eastAsia"/>
                <w:sz w:val="16"/>
              </w:rPr>
              <w:t>C</w:t>
            </w:r>
            <w:r>
              <w:rPr>
                <w:sz w:val="16"/>
              </w:rPr>
              <w:t>larifications for UE Location order indicator in UE mobility analytics request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AEF93EC"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1D2A6F2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7669414"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4BBE00"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C4CDDB" w14:textId="77777777" w:rsidR="00791820" w:rsidRDefault="00791820" w:rsidP="00791820">
            <w:pPr>
              <w:pStyle w:val="TAC"/>
              <w:rPr>
                <w:rFonts w:eastAsia="等线" w:cs="Arial" w:hint="eastAsia"/>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A1A2BD0" w14:textId="77777777" w:rsidR="00791820" w:rsidRDefault="00791820" w:rsidP="00791820">
            <w:pPr>
              <w:pStyle w:val="TAL"/>
              <w:rPr>
                <w:rFonts w:hint="eastAsia"/>
                <w:sz w:val="16"/>
                <w:szCs w:val="16"/>
                <w:lang w:val="en-US" w:eastAsia="zh-CN"/>
              </w:rPr>
            </w:pPr>
            <w:r>
              <w:rPr>
                <w:rFonts w:cs="Arial"/>
                <w:sz w:val="16"/>
                <w:szCs w:val="16"/>
              </w:rPr>
              <w:t>0782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90FC1ED" w14:textId="77777777" w:rsidR="00791820" w:rsidRDefault="00791820" w:rsidP="00791820">
            <w:pPr>
              <w:pStyle w:val="TAR"/>
              <w:rPr>
                <w:rFonts w:cs="Arial" w:hint="eastAsia"/>
                <w:color w:val="000000"/>
                <w:sz w:val="16"/>
                <w:szCs w:val="16"/>
                <w:lang w:eastAsia="zh-CN"/>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8F6223" w14:textId="77777777" w:rsidR="00791820" w:rsidRDefault="00791820" w:rsidP="00791820">
            <w:pPr>
              <w:pStyle w:val="TAC"/>
              <w:rPr>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3B4A5AB" w14:textId="77777777" w:rsidR="00791820" w:rsidRDefault="00791820" w:rsidP="00791820">
            <w:pPr>
              <w:pStyle w:val="TAL"/>
              <w:rPr>
                <w:sz w:val="16"/>
              </w:rPr>
            </w:pPr>
            <w:r>
              <w:rPr>
                <w:sz w:val="16"/>
              </w:rPr>
              <w:t>Corrections on ML model provisioning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4445981"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47A3697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FF7C57F"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608329"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496A3" w14:textId="77777777" w:rsidR="00791820" w:rsidRDefault="00791820" w:rsidP="00791820">
            <w:pPr>
              <w:pStyle w:val="TAC"/>
              <w:rPr>
                <w:rFonts w:eastAsia="等线" w:cs="Arial" w:hint="eastAsia"/>
                <w:sz w:val="16"/>
                <w:szCs w:val="16"/>
                <w:lang w:eastAsia="zh-CN"/>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3639D6B" w14:textId="77777777" w:rsidR="00791820" w:rsidRDefault="00791820" w:rsidP="00791820">
            <w:pPr>
              <w:pStyle w:val="TAL"/>
              <w:rPr>
                <w:rFonts w:hint="eastAsia"/>
                <w:sz w:val="16"/>
                <w:szCs w:val="16"/>
                <w:lang w:val="en-US" w:eastAsia="zh-CN"/>
              </w:rPr>
            </w:pPr>
            <w:r>
              <w:rPr>
                <w:rFonts w:cs="Arial"/>
                <w:sz w:val="16"/>
                <w:szCs w:val="16"/>
              </w:rPr>
              <w:t>0783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9AE02C" w14:textId="77777777" w:rsidR="00791820" w:rsidRDefault="00791820" w:rsidP="00791820">
            <w:pPr>
              <w:pStyle w:val="TAR"/>
              <w:rPr>
                <w:rFonts w:cs="Arial" w:hint="eastAsia"/>
                <w:color w:val="000000"/>
                <w:sz w:val="16"/>
                <w:szCs w:val="16"/>
                <w:lang w:eastAsia="zh-CN"/>
              </w:rPr>
            </w:pPr>
            <w:r>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96CAB5"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EB499C" w14:textId="77777777" w:rsidR="00791820" w:rsidRDefault="00791820" w:rsidP="00791820">
            <w:pPr>
              <w:pStyle w:val="TAL"/>
              <w:rPr>
                <w:sz w:val="16"/>
              </w:rPr>
            </w:pPr>
            <w:r>
              <w:rPr>
                <w:sz w:val="16"/>
              </w:rPr>
              <w:t>Define Nnwdaf_MLModelMonitor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F73C6ED"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1132D22E"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31194FA"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48D351B"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B1112" w14:textId="77777777" w:rsidR="00791820" w:rsidRDefault="00791820" w:rsidP="00791820">
            <w:pPr>
              <w:pStyle w:val="TAC"/>
              <w:rPr>
                <w:rFonts w:eastAsia="等线" w:cs="Arial" w:hint="eastAsia"/>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D0AA538" w14:textId="77777777" w:rsidR="00791820" w:rsidRDefault="00791820" w:rsidP="00791820">
            <w:pPr>
              <w:pStyle w:val="TAL"/>
              <w:rPr>
                <w:rFonts w:hint="eastAsia"/>
                <w:sz w:val="16"/>
                <w:szCs w:val="16"/>
                <w:lang w:val="en-US" w:eastAsia="zh-CN"/>
              </w:rPr>
            </w:pPr>
            <w:r>
              <w:rPr>
                <w:rFonts w:cs="Arial"/>
                <w:sz w:val="16"/>
                <w:szCs w:val="16"/>
              </w:rPr>
              <w:t>0784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C7152B4"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7E7285"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7FC3BD3" w14:textId="77777777" w:rsidR="00791820" w:rsidRDefault="00791820" w:rsidP="00791820">
            <w:pPr>
              <w:pStyle w:val="TAL"/>
              <w:rPr>
                <w:sz w:val="16"/>
              </w:rPr>
            </w:pPr>
            <w:r>
              <w:rPr>
                <w:sz w:val="16"/>
              </w:rPr>
              <w:t>Define the linear distance threshold for the UE mobility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28FC984"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67B490A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5B5E0B0"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799FB3"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F04EC0" w14:textId="77777777" w:rsidR="00791820" w:rsidRDefault="00791820" w:rsidP="00791820">
            <w:pPr>
              <w:pStyle w:val="TAC"/>
              <w:rPr>
                <w:rFonts w:eastAsia="等线" w:cs="Arial" w:hint="eastAsia"/>
                <w:sz w:val="16"/>
                <w:szCs w:val="16"/>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709E27B" w14:textId="77777777" w:rsidR="00791820" w:rsidRDefault="00791820" w:rsidP="00791820">
            <w:pPr>
              <w:pStyle w:val="TAL"/>
              <w:rPr>
                <w:rFonts w:hint="eastAsia"/>
                <w:sz w:val="16"/>
                <w:szCs w:val="16"/>
                <w:lang w:val="en-US" w:eastAsia="zh-CN"/>
              </w:rPr>
            </w:pPr>
            <w:r>
              <w:rPr>
                <w:rFonts w:cs="Arial"/>
                <w:sz w:val="16"/>
                <w:szCs w:val="16"/>
              </w:rPr>
              <w:t>0785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427482" w14:textId="77777777" w:rsidR="00791820" w:rsidRDefault="00791820" w:rsidP="00791820">
            <w:pPr>
              <w:pStyle w:val="TAR"/>
              <w:rPr>
                <w:rFonts w:cs="Arial" w:hint="eastAsia"/>
                <w:color w:val="000000"/>
                <w:sz w:val="16"/>
                <w:szCs w:val="16"/>
              </w:rPr>
            </w:pPr>
            <w:r>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D7C6150"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7AE1BD9" w14:textId="77777777" w:rsidR="00791820" w:rsidRDefault="00791820" w:rsidP="00791820">
            <w:pPr>
              <w:pStyle w:val="TAL"/>
              <w:rPr>
                <w:sz w:val="16"/>
              </w:rPr>
            </w:pPr>
            <w:r>
              <w:rPr>
                <w:rFonts w:hint="eastAsia"/>
                <w:sz w:val="16"/>
              </w:rPr>
              <w:t>En</w:t>
            </w:r>
            <w:r>
              <w:rPr>
                <w:sz w:val="16"/>
              </w:rPr>
              <w:t>hancements on the inference input data and training input data</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D6F08E2"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00DC6BBE"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51E4C9C"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66DAC67"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7BB9F1" w14:textId="77777777" w:rsidR="00791820" w:rsidRDefault="00791820" w:rsidP="00791820">
            <w:pPr>
              <w:pStyle w:val="TAC"/>
              <w:rPr>
                <w:rFonts w:eastAsia="等线" w:cs="Arial"/>
                <w:sz w:val="16"/>
                <w:szCs w:val="16"/>
                <w:lang w:val="en-US"/>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D993A2D" w14:textId="77777777" w:rsidR="00791820" w:rsidRDefault="00791820" w:rsidP="00791820">
            <w:pPr>
              <w:pStyle w:val="TAL"/>
              <w:rPr>
                <w:rFonts w:hint="eastAsia"/>
                <w:sz w:val="16"/>
                <w:szCs w:val="16"/>
                <w:lang w:val="en-US" w:eastAsia="zh-CN"/>
              </w:rPr>
            </w:pPr>
            <w:r>
              <w:rPr>
                <w:rFonts w:cs="Arial"/>
                <w:sz w:val="16"/>
                <w:szCs w:val="16"/>
              </w:rPr>
              <w:t>0786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59B248"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E193725"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86548C1" w14:textId="77777777" w:rsidR="00791820" w:rsidRDefault="00791820" w:rsidP="00791820">
            <w:pPr>
              <w:pStyle w:val="TAL"/>
              <w:rPr>
                <w:sz w:val="16"/>
              </w:rPr>
            </w:pPr>
            <w:r>
              <w:rPr>
                <w:sz w:val="16"/>
              </w:rPr>
              <w:t>Support list of Access Types in the Service Experience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0A4E46F"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6A0F971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31DFD6A"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8F977C"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B35C6F" w14:textId="77777777" w:rsidR="00791820" w:rsidRDefault="00791820" w:rsidP="00791820">
            <w:pPr>
              <w:pStyle w:val="TAC"/>
              <w:rPr>
                <w:rFonts w:eastAsia="等线" w:cs="Arial" w:hint="eastAsia"/>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EEDCB2B" w14:textId="77777777" w:rsidR="00791820" w:rsidRDefault="00791820" w:rsidP="00791820">
            <w:pPr>
              <w:pStyle w:val="TAL"/>
              <w:rPr>
                <w:rFonts w:hint="eastAsia"/>
                <w:sz w:val="16"/>
                <w:szCs w:val="16"/>
                <w:lang w:val="en-US" w:eastAsia="zh-CN"/>
              </w:rPr>
            </w:pPr>
            <w:r>
              <w:rPr>
                <w:rFonts w:cs="Arial"/>
                <w:sz w:val="16"/>
                <w:szCs w:val="16"/>
              </w:rPr>
              <w:t>0787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397F6FA"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EAC42B"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47455F3" w14:textId="77777777" w:rsidR="00791820" w:rsidRDefault="00791820" w:rsidP="00791820">
            <w:pPr>
              <w:pStyle w:val="TAL"/>
              <w:rPr>
                <w:sz w:val="16"/>
              </w:rPr>
            </w:pPr>
            <w:r>
              <w:rPr>
                <w:sz w:val="16"/>
              </w:rPr>
              <w:t>Support the consumer to provide the inference data stored in ADRF for model training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E122B30"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3CC037F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3245892"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466C59C"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B7D328" w14:textId="77777777" w:rsidR="00791820" w:rsidRDefault="00791820" w:rsidP="00791820">
            <w:pPr>
              <w:pStyle w:val="TAC"/>
              <w:rPr>
                <w:rFonts w:eastAsia="等线" w:cs="Arial" w:hint="eastAsia"/>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82C6511" w14:textId="77777777" w:rsidR="00791820" w:rsidRDefault="00791820" w:rsidP="00791820">
            <w:pPr>
              <w:pStyle w:val="TAL"/>
              <w:rPr>
                <w:rFonts w:hint="eastAsia"/>
                <w:sz w:val="16"/>
                <w:szCs w:val="16"/>
                <w:lang w:val="en-US" w:eastAsia="zh-CN"/>
              </w:rPr>
            </w:pPr>
            <w:r>
              <w:rPr>
                <w:rFonts w:cs="Arial"/>
                <w:sz w:val="16"/>
                <w:szCs w:val="16"/>
              </w:rPr>
              <w:t>0788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A2E3E93"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2381EB"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3BD927" w14:textId="77777777" w:rsidR="00791820" w:rsidRDefault="00791820" w:rsidP="00791820">
            <w:pPr>
              <w:pStyle w:val="TAL"/>
              <w:rPr>
                <w:sz w:val="16"/>
              </w:rPr>
            </w:pPr>
            <w:r>
              <w:rPr>
                <w:rFonts w:hint="eastAsia"/>
                <w:sz w:val="16"/>
              </w:rPr>
              <w:t>S</w:t>
            </w:r>
            <w:r>
              <w:rPr>
                <w:sz w:val="16"/>
              </w:rPr>
              <w:t>upport the consumer to provide the time when the ML model is needed</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F06A3A0"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3E46610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53109AE"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4D1C19"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3BB449" w14:textId="77777777" w:rsidR="00791820" w:rsidRDefault="00791820" w:rsidP="00791820">
            <w:pPr>
              <w:pStyle w:val="TAC"/>
              <w:rPr>
                <w:rFonts w:eastAsia="等线" w:cs="Arial"/>
                <w:sz w:val="16"/>
                <w:szCs w:val="16"/>
                <w:lang w:val="en-US"/>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F80401F" w14:textId="77777777" w:rsidR="00791820" w:rsidRDefault="00791820" w:rsidP="00791820">
            <w:pPr>
              <w:pStyle w:val="TAL"/>
              <w:rPr>
                <w:rFonts w:hint="eastAsia"/>
                <w:sz w:val="16"/>
                <w:szCs w:val="16"/>
                <w:lang w:val="en-US" w:eastAsia="zh-CN"/>
              </w:rPr>
            </w:pPr>
            <w:r>
              <w:rPr>
                <w:rFonts w:cs="Arial"/>
                <w:sz w:val="16"/>
                <w:szCs w:val="16"/>
              </w:rPr>
              <w:t>0789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289272"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D86E733"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B604374" w14:textId="77777777" w:rsidR="00791820" w:rsidRDefault="00791820" w:rsidP="00791820">
            <w:pPr>
              <w:pStyle w:val="TAL"/>
              <w:rPr>
                <w:sz w:val="16"/>
              </w:rPr>
            </w:pPr>
            <w:r>
              <w:rPr>
                <w:sz w:val="16"/>
              </w:rPr>
              <w:t xml:space="preserve">Relative Proximity analytics </w:t>
            </w:r>
            <w:r>
              <w:rPr>
                <w:bCs/>
                <w:sz w:val="16"/>
              </w:rPr>
              <w:t>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7088E43"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6D57574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D0433D6"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54575BB"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C24A5F" w14:textId="77777777" w:rsidR="00791820" w:rsidRDefault="00791820" w:rsidP="00791820">
            <w:pPr>
              <w:pStyle w:val="TAC"/>
              <w:rPr>
                <w:rFonts w:eastAsia="等线" w:cs="Arial" w:hint="eastAsia"/>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CABE445" w14:textId="77777777" w:rsidR="00791820" w:rsidRDefault="00791820" w:rsidP="00791820">
            <w:pPr>
              <w:pStyle w:val="TAL"/>
              <w:rPr>
                <w:rFonts w:hint="eastAsia"/>
                <w:sz w:val="16"/>
                <w:szCs w:val="16"/>
                <w:lang w:val="en-US" w:eastAsia="zh-CN"/>
              </w:rPr>
            </w:pPr>
            <w:r>
              <w:rPr>
                <w:rFonts w:cs="Arial"/>
                <w:sz w:val="16"/>
                <w:szCs w:val="16"/>
              </w:rPr>
              <w:t>0790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610906"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A422D8"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5D96F18" w14:textId="77777777" w:rsidR="00791820" w:rsidRDefault="00791820" w:rsidP="00791820">
            <w:pPr>
              <w:pStyle w:val="TAL"/>
              <w:rPr>
                <w:sz w:val="16"/>
              </w:rPr>
            </w:pPr>
            <w:r>
              <w:rPr>
                <w:sz w:val="16"/>
              </w:rPr>
              <w:t xml:space="preserve">Relative Proximity analytics </w:t>
            </w:r>
            <w:r>
              <w:rPr>
                <w:bCs/>
                <w:sz w:val="16"/>
              </w:rPr>
              <w:t>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187AF28"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7020F2B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ABC8FD8" w14:textId="77777777" w:rsidR="00791820" w:rsidRDefault="00791820" w:rsidP="00791820">
            <w:pPr>
              <w:pStyle w:val="TAC"/>
              <w:rPr>
                <w:rFonts w:hint="eastAsia"/>
                <w:sz w:val="16"/>
                <w:szCs w:val="16"/>
                <w:lang w:val="en-US" w:eastAsia="zh-CN"/>
              </w:rPr>
            </w:pPr>
            <w:r>
              <w:rPr>
                <w:rFonts w:cs="Arial"/>
                <w:sz w:val="16"/>
                <w:szCs w:val="16"/>
              </w:rPr>
              <w:lastRenderedPageBreak/>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E722EB"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355DB" w14:textId="77777777" w:rsidR="00791820" w:rsidRDefault="00791820" w:rsidP="00791820">
            <w:pPr>
              <w:pStyle w:val="TAC"/>
              <w:rPr>
                <w:rFonts w:eastAsia="等线" w:cs="Arial" w:hint="eastAsia"/>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0718D27" w14:textId="77777777" w:rsidR="00791820" w:rsidRDefault="00791820" w:rsidP="00791820">
            <w:pPr>
              <w:pStyle w:val="TAL"/>
              <w:rPr>
                <w:rFonts w:hint="eastAsia"/>
                <w:sz w:val="16"/>
                <w:szCs w:val="16"/>
                <w:lang w:val="en-US" w:eastAsia="zh-CN"/>
              </w:rPr>
            </w:pPr>
            <w:r>
              <w:rPr>
                <w:rFonts w:cs="Arial"/>
                <w:sz w:val="16"/>
                <w:szCs w:val="16"/>
              </w:rPr>
              <w:t>0791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F40B570"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07D39DF"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F21D71F" w14:textId="77777777" w:rsidR="00791820" w:rsidRDefault="00791820" w:rsidP="00791820">
            <w:pPr>
              <w:pStyle w:val="TAL"/>
              <w:rPr>
                <w:sz w:val="16"/>
              </w:rPr>
            </w:pPr>
            <w:r>
              <w:rPr>
                <w:sz w:val="16"/>
              </w:rPr>
              <w:t>Adding confidence attributes to PFD Determination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0469DCF"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71ADCA4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B0C36D7"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A0A05C"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34C37C" w14:textId="77777777" w:rsidR="00791820" w:rsidRDefault="00791820" w:rsidP="00791820">
            <w:pPr>
              <w:pStyle w:val="TAC"/>
              <w:rPr>
                <w:rFonts w:eastAsia="等线" w:cs="Arial" w:hint="eastAsia"/>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A3C52A0" w14:textId="77777777" w:rsidR="00791820" w:rsidRDefault="00791820" w:rsidP="00791820">
            <w:pPr>
              <w:pStyle w:val="TAL"/>
              <w:rPr>
                <w:rFonts w:hint="eastAsia"/>
                <w:sz w:val="16"/>
                <w:szCs w:val="16"/>
                <w:lang w:val="en-US" w:eastAsia="zh-CN"/>
              </w:rPr>
            </w:pPr>
            <w:r>
              <w:rPr>
                <w:rFonts w:cs="Arial"/>
                <w:sz w:val="16"/>
                <w:szCs w:val="16"/>
              </w:rPr>
              <w:t>0792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73A9126"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DF5484"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EBA3381" w14:textId="77777777" w:rsidR="00791820" w:rsidRDefault="00791820" w:rsidP="00791820">
            <w:pPr>
              <w:pStyle w:val="TAL"/>
              <w:rPr>
                <w:sz w:val="16"/>
              </w:rPr>
            </w:pPr>
            <w:r>
              <w:rPr>
                <w:sz w:val="16"/>
              </w:rPr>
              <w:t>Update conditional description to locGranularity</w:t>
            </w:r>
            <w:r>
              <w:rPr>
                <w:rFonts w:hint="eastAsia"/>
                <w:sz w:val="16"/>
              </w:rPr>
              <w:t xml:space="preserve"> </w:t>
            </w:r>
            <w:r>
              <w:rPr>
                <w:sz w:val="16"/>
              </w:rPr>
              <w:t>attribute</w:t>
            </w:r>
            <w:r>
              <w:rPr>
                <w:rFonts w:hint="eastAsia"/>
                <w:sz w:val="16"/>
              </w:rPr>
              <w: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856B6C1"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456C38AC"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334E5AC"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5BCB08"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8B9B0" w14:textId="77777777" w:rsidR="00791820" w:rsidRDefault="00791820" w:rsidP="00791820">
            <w:pPr>
              <w:pStyle w:val="TAC"/>
              <w:rPr>
                <w:rFonts w:eastAsia="等线" w:cs="Arial"/>
                <w:sz w:val="16"/>
                <w:szCs w:val="16"/>
                <w:lang w:val="en-US"/>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B486F3A" w14:textId="77777777" w:rsidR="00791820" w:rsidRDefault="00791820" w:rsidP="00791820">
            <w:pPr>
              <w:pStyle w:val="TAL"/>
              <w:rPr>
                <w:rFonts w:hint="eastAsia"/>
                <w:sz w:val="16"/>
                <w:szCs w:val="16"/>
                <w:lang w:val="en-US" w:eastAsia="zh-CN"/>
              </w:rPr>
            </w:pPr>
            <w:r>
              <w:rPr>
                <w:rFonts w:cs="Arial"/>
                <w:sz w:val="16"/>
                <w:szCs w:val="16"/>
              </w:rPr>
              <w:t>0793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DFD931"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A9BED78"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AF1BEB5" w14:textId="77777777" w:rsidR="00791820" w:rsidRDefault="00791820" w:rsidP="00791820">
            <w:pPr>
              <w:pStyle w:val="TAL"/>
              <w:rPr>
                <w:sz w:val="16"/>
              </w:rPr>
            </w:pPr>
            <w:r>
              <w:rPr>
                <w:sz w:val="16"/>
              </w:rPr>
              <w:t>Update direction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72DDC60"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1BABB964"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3C70A9B"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5EEBA44"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6CBA5E" w14:textId="77777777" w:rsidR="00791820" w:rsidRDefault="00791820" w:rsidP="00791820">
            <w:pPr>
              <w:pStyle w:val="TAC"/>
              <w:rPr>
                <w:rFonts w:eastAsia="等线" w:cs="Arial" w:hint="eastAsia"/>
                <w:sz w:val="16"/>
                <w:szCs w:val="16"/>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0365EB2" w14:textId="77777777" w:rsidR="00791820" w:rsidRDefault="00791820" w:rsidP="00791820">
            <w:pPr>
              <w:pStyle w:val="TAL"/>
              <w:rPr>
                <w:rFonts w:hint="eastAsia"/>
                <w:sz w:val="16"/>
                <w:szCs w:val="16"/>
                <w:lang w:val="en-US" w:eastAsia="zh-CN"/>
              </w:rPr>
            </w:pPr>
            <w:r>
              <w:rPr>
                <w:rFonts w:cs="Arial"/>
                <w:sz w:val="16"/>
                <w:szCs w:val="16"/>
              </w:rPr>
              <w:t>0794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DBB57E"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CE9317"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AEDBDFD" w14:textId="77777777" w:rsidR="00791820" w:rsidRDefault="00791820" w:rsidP="00791820">
            <w:pPr>
              <w:pStyle w:val="TAL"/>
              <w:rPr>
                <w:sz w:val="16"/>
              </w:rPr>
            </w:pPr>
            <w:r>
              <w:rPr>
                <w:sz w:val="16"/>
              </w:rPr>
              <w:t>Update the description of accPerSubset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D9E4436"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0C9E570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5F3E8C7"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35DDA8"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8534D2" w14:textId="77777777" w:rsidR="00791820" w:rsidRDefault="00791820" w:rsidP="00791820">
            <w:pPr>
              <w:pStyle w:val="TAC"/>
              <w:rPr>
                <w:rFonts w:eastAsia="等线" w:cs="Arial" w:hint="eastAsia"/>
                <w:sz w:val="16"/>
                <w:szCs w:val="16"/>
              </w:rPr>
            </w:pPr>
            <w:r>
              <w:rPr>
                <w:rFonts w:cs="Arial"/>
                <w:sz w:val="16"/>
                <w:szCs w:val="16"/>
              </w:rPr>
              <w:t>CP-233258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B483E60" w14:textId="77777777" w:rsidR="00791820" w:rsidRDefault="00791820" w:rsidP="00791820">
            <w:pPr>
              <w:pStyle w:val="TAL"/>
              <w:rPr>
                <w:rFonts w:hint="eastAsia"/>
                <w:sz w:val="16"/>
                <w:szCs w:val="16"/>
                <w:lang w:val="en-US" w:eastAsia="zh-CN"/>
              </w:rPr>
            </w:pPr>
            <w:r>
              <w:rPr>
                <w:rFonts w:cs="Arial"/>
                <w:sz w:val="16"/>
                <w:szCs w:val="16"/>
              </w:rPr>
              <w:t>0796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D8D936F"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5DE9C1" w14:textId="77777777" w:rsidR="00791820" w:rsidRDefault="00791820" w:rsidP="00791820">
            <w:pPr>
              <w:pStyle w:val="TAC"/>
              <w:rPr>
                <w:rFonts w:hint="eastAsia"/>
                <w:sz w:val="16"/>
                <w:szCs w:val="16"/>
                <w:lang w:val="en-US" w:eastAsia="zh-CN"/>
              </w:rPr>
            </w:pPr>
            <w:r>
              <w:rPr>
                <w:rFonts w:hint="eastAsia"/>
                <w:sz w:val="16"/>
                <w:szCs w:val="16"/>
                <w:lang w:val="en-US" w:eastAsia="zh-CN"/>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CDD88A1" w14:textId="77777777" w:rsidR="00791820" w:rsidRDefault="00791820" w:rsidP="00791820">
            <w:pPr>
              <w:pStyle w:val="TAL"/>
              <w:rPr>
                <w:sz w:val="16"/>
              </w:rPr>
            </w:pPr>
            <w:r>
              <w:rPr>
                <w:sz w:val="16"/>
              </w:rPr>
              <w:t>Correcting a contradiction in the meaning of expiry</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9CF312D"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3F69908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17D6C8E"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BA423A"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8B7F38" w14:textId="77777777" w:rsidR="00791820" w:rsidRDefault="00791820" w:rsidP="00791820">
            <w:pPr>
              <w:pStyle w:val="TAC"/>
              <w:rPr>
                <w:rFonts w:eastAsia="等线" w:cs="Arial"/>
                <w:sz w:val="16"/>
                <w:szCs w:val="16"/>
                <w:lang w:val="en-US"/>
              </w:rPr>
            </w:pPr>
            <w:r>
              <w:rPr>
                <w:rFonts w:cs="Arial"/>
                <w:sz w:val="16"/>
                <w:szCs w:val="16"/>
              </w:rPr>
              <w:t>CP-233224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19C3A26" w14:textId="77777777" w:rsidR="00791820" w:rsidRDefault="00791820" w:rsidP="00791820">
            <w:pPr>
              <w:pStyle w:val="TAL"/>
              <w:rPr>
                <w:rFonts w:hint="eastAsia"/>
                <w:sz w:val="16"/>
                <w:szCs w:val="16"/>
                <w:lang w:val="en-US" w:eastAsia="zh-CN"/>
              </w:rPr>
            </w:pPr>
            <w:r>
              <w:rPr>
                <w:rFonts w:cs="Arial"/>
                <w:sz w:val="16"/>
                <w:szCs w:val="16"/>
              </w:rPr>
              <w:t>0797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16F7D20"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200CBF"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195AB58" w14:textId="77777777" w:rsidR="00791820" w:rsidRDefault="00791820" w:rsidP="00791820">
            <w:pPr>
              <w:pStyle w:val="TAL"/>
              <w:rPr>
                <w:sz w:val="16"/>
              </w:rPr>
            </w:pPr>
            <w:r>
              <w:rPr>
                <w:sz w:val="16"/>
              </w:rPr>
              <w:t>Analytics feedback information in Subscriptions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5DB0C0A"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35725296"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FDA9463"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B71C9"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8DB01" w14:textId="77777777" w:rsidR="00791820" w:rsidRDefault="00791820" w:rsidP="00791820">
            <w:pPr>
              <w:pStyle w:val="TAC"/>
              <w:rPr>
                <w:rFonts w:eastAsia="等线" w:cs="Arial" w:hint="eastAsia"/>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D866491" w14:textId="77777777" w:rsidR="00791820" w:rsidRDefault="00791820" w:rsidP="00791820">
            <w:pPr>
              <w:pStyle w:val="TAL"/>
              <w:rPr>
                <w:rFonts w:hint="eastAsia"/>
                <w:sz w:val="16"/>
                <w:szCs w:val="16"/>
                <w:lang w:val="en-US" w:eastAsia="zh-CN"/>
              </w:rPr>
            </w:pPr>
            <w:r>
              <w:rPr>
                <w:rFonts w:cs="Arial"/>
                <w:sz w:val="16"/>
                <w:szCs w:val="16"/>
              </w:rPr>
              <w:t>0798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CCF926"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D7F04FD"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CEF441D" w14:textId="77777777" w:rsidR="00791820" w:rsidRDefault="00791820" w:rsidP="00791820">
            <w:pPr>
              <w:pStyle w:val="TAL"/>
              <w:rPr>
                <w:sz w:val="16"/>
              </w:rPr>
            </w:pPr>
            <w:r>
              <w:rPr>
                <w:sz w:val="16"/>
              </w:rPr>
              <w:t>add ENAExt feature for Nnwdaf_AnalyticsInfo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214DD15"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3A06AB52"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DD703CE"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B9E255"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2CB151" w14:textId="77777777" w:rsidR="00791820" w:rsidRDefault="00791820" w:rsidP="00791820">
            <w:pPr>
              <w:pStyle w:val="TAC"/>
              <w:rPr>
                <w:rFonts w:eastAsia="等线" w:cs="Arial"/>
                <w:sz w:val="16"/>
                <w:szCs w:val="16"/>
                <w:lang w:val="en-US"/>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79B537B" w14:textId="77777777" w:rsidR="00791820" w:rsidRDefault="00791820" w:rsidP="00791820">
            <w:pPr>
              <w:pStyle w:val="TAL"/>
              <w:rPr>
                <w:rFonts w:hint="eastAsia"/>
                <w:sz w:val="16"/>
                <w:szCs w:val="16"/>
                <w:lang w:val="en-US" w:eastAsia="zh-CN"/>
              </w:rPr>
            </w:pPr>
            <w:r>
              <w:rPr>
                <w:rFonts w:cs="Arial"/>
                <w:sz w:val="16"/>
                <w:szCs w:val="16"/>
              </w:rPr>
              <w:t>0801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DE7478"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D26F0D0"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9F157DF" w14:textId="77777777" w:rsidR="00791820" w:rsidRDefault="00791820" w:rsidP="00791820">
            <w:pPr>
              <w:pStyle w:val="TAL"/>
              <w:rPr>
                <w:sz w:val="16"/>
              </w:rPr>
            </w:pPr>
            <w:r>
              <w:rPr>
                <w:sz w:val="16"/>
              </w:rPr>
              <w:t>Pending Notification in Nnwdaf_DataManagement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AC4C6AE"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73EA372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CE745C7"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F6CA6BB"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4519B1" w14:textId="77777777" w:rsidR="00791820" w:rsidRDefault="00791820" w:rsidP="00791820">
            <w:pPr>
              <w:pStyle w:val="TAC"/>
              <w:rPr>
                <w:rFonts w:eastAsia="等线" w:cs="Arial" w:hint="eastAsia"/>
                <w:sz w:val="16"/>
                <w:szCs w:val="16"/>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3F77942" w14:textId="77777777" w:rsidR="00791820" w:rsidRDefault="00791820" w:rsidP="00791820">
            <w:pPr>
              <w:pStyle w:val="TAL"/>
              <w:rPr>
                <w:rFonts w:hint="eastAsia"/>
                <w:sz w:val="16"/>
                <w:szCs w:val="16"/>
                <w:lang w:val="en-US" w:eastAsia="zh-CN"/>
              </w:rPr>
            </w:pPr>
            <w:r>
              <w:rPr>
                <w:rFonts w:cs="Arial"/>
                <w:sz w:val="16"/>
                <w:szCs w:val="16"/>
              </w:rPr>
              <w:t>0802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7F3D0A4"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F97DA20"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F97E075" w14:textId="77777777" w:rsidR="00791820" w:rsidRDefault="00791820" w:rsidP="00791820">
            <w:pPr>
              <w:pStyle w:val="TAL"/>
              <w:rPr>
                <w:sz w:val="16"/>
              </w:rPr>
            </w:pPr>
            <w:r>
              <w:rPr>
                <w:sz w:val="16"/>
              </w:rPr>
              <w:t>Updates to MLEventNotif</w:t>
            </w:r>
            <w:r>
              <w:rPr>
                <w:sz w:val="16"/>
                <w:lang/>
              </w:rPr>
              <w:t xml:space="preserve"> </w:t>
            </w:r>
            <w:r>
              <w:rPr>
                <w:sz w:val="16"/>
              </w:rPr>
              <w:t xml:space="preserve">in </w:t>
            </w:r>
            <w:r>
              <w:rPr>
                <w:sz w:val="16"/>
                <w:lang/>
              </w:rPr>
              <w:t>Nnwdaf_MLModelProvision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08AB262"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45A23AC7"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B540141"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0C10C21" w14:textId="77777777" w:rsidR="00791820" w:rsidRDefault="00791820" w:rsidP="00791820">
            <w:pPr>
              <w:pStyle w:val="TAC"/>
              <w:rPr>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FB2F05" w14:textId="77777777" w:rsidR="00791820" w:rsidRDefault="00791820" w:rsidP="00791820">
            <w:pPr>
              <w:pStyle w:val="TAC"/>
              <w:rPr>
                <w:rFonts w:eastAsia="等线" w:cs="Arial"/>
                <w:sz w:val="16"/>
                <w:szCs w:val="16"/>
              </w:rPr>
            </w:pPr>
            <w:r>
              <w:rPr>
                <w:rFonts w:cs="Arial"/>
                <w:sz w:val="16"/>
                <w:szCs w:val="16"/>
              </w:rPr>
              <w:t>CP-233235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747B547" w14:textId="77777777" w:rsidR="00791820" w:rsidRDefault="00791820" w:rsidP="00791820">
            <w:pPr>
              <w:pStyle w:val="TAL"/>
              <w:rPr>
                <w:rFonts w:hint="eastAsia"/>
                <w:sz w:val="16"/>
                <w:szCs w:val="16"/>
                <w:lang w:val="en-US" w:eastAsia="zh-CN"/>
              </w:rPr>
            </w:pPr>
            <w:r>
              <w:rPr>
                <w:rFonts w:cs="Arial"/>
                <w:sz w:val="16"/>
                <w:szCs w:val="16"/>
              </w:rPr>
              <w:t>0803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020BD4"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8CB635"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336E234" w14:textId="77777777" w:rsidR="00791820" w:rsidRDefault="00791820" w:rsidP="00791820">
            <w:pPr>
              <w:pStyle w:val="TAL"/>
              <w:rPr>
                <w:sz w:val="16"/>
              </w:rPr>
            </w:pPr>
            <w:r>
              <w:rPr>
                <w:sz w:val="16"/>
              </w:rPr>
              <w:t>Adding confidence attribute to E2E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B909B4B"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794A52C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BB5B669"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523DD59"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BEF54E8" w14:textId="77777777" w:rsidR="00791820" w:rsidRDefault="00791820" w:rsidP="00791820">
            <w:pPr>
              <w:pStyle w:val="TAC"/>
              <w:rPr>
                <w:rFonts w:eastAsia="等线" w:cs="Arial"/>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7991D40" w14:textId="77777777" w:rsidR="00791820" w:rsidRDefault="00791820" w:rsidP="00791820">
            <w:pPr>
              <w:pStyle w:val="TAL"/>
              <w:rPr>
                <w:rFonts w:hint="eastAsia"/>
                <w:sz w:val="16"/>
                <w:szCs w:val="16"/>
                <w:lang w:val="en-US" w:eastAsia="zh-CN"/>
              </w:rPr>
            </w:pPr>
            <w:r>
              <w:rPr>
                <w:rFonts w:cs="Arial"/>
                <w:sz w:val="16"/>
                <w:szCs w:val="16"/>
              </w:rPr>
              <w:t>0805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803F958"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815753"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BFFC106" w14:textId="77777777" w:rsidR="00791820" w:rsidRDefault="00791820" w:rsidP="00791820">
            <w:pPr>
              <w:pStyle w:val="TAL"/>
              <w:rPr>
                <w:sz w:val="16"/>
              </w:rPr>
            </w:pPr>
            <w:r>
              <w:rPr>
                <w:sz w:val="16"/>
              </w:rPr>
              <w:t>Applicability of UNAVAILABLE_DATA failure code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D9CF406"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3697D7A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356C33C"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28CA2F3"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540911" w14:textId="77777777" w:rsidR="00791820" w:rsidRDefault="00791820" w:rsidP="00791820">
            <w:pPr>
              <w:pStyle w:val="TAC"/>
              <w:rPr>
                <w:rFonts w:eastAsia="等线" w:cs="Arial"/>
                <w:sz w:val="16"/>
                <w:szCs w:val="16"/>
              </w:rPr>
            </w:pPr>
            <w:r>
              <w:rPr>
                <w:rFonts w:cs="Arial"/>
                <w:sz w:val="16"/>
                <w:szCs w:val="16"/>
              </w:rPr>
              <w:t>CP-233258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AEC7AEA" w14:textId="77777777" w:rsidR="00791820" w:rsidRDefault="00791820" w:rsidP="00791820">
            <w:pPr>
              <w:pStyle w:val="TAL"/>
              <w:rPr>
                <w:rFonts w:hint="eastAsia"/>
                <w:sz w:val="16"/>
                <w:szCs w:val="16"/>
                <w:lang w:val="en-US" w:eastAsia="zh-CN"/>
              </w:rPr>
            </w:pPr>
            <w:r>
              <w:rPr>
                <w:rFonts w:cs="Arial"/>
                <w:sz w:val="16"/>
                <w:szCs w:val="16"/>
              </w:rPr>
              <w:t>0807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341D26"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34F3935" w14:textId="77777777" w:rsidR="00791820" w:rsidRDefault="00791820" w:rsidP="00791820">
            <w:pPr>
              <w:pStyle w:val="TAC"/>
              <w:rPr>
                <w:rFonts w:hint="eastAsia"/>
                <w:sz w:val="16"/>
                <w:szCs w:val="16"/>
                <w:lang w:val="en-US" w:eastAsia="zh-CN"/>
              </w:rPr>
            </w:pPr>
            <w:r>
              <w:rPr>
                <w:rFonts w:hint="eastAsia"/>
                <w:sz w:val="16"/>
                <w:szCs w:val="16"/>
                <w:lang w:val="en-US" w:eastAsia="zh-CN"/>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1529094" w14:textId="77777777" w:rsidR="00791820" w:rsidRDefault="00791820" w:rsidP="00791820">
            <w:pPr>
              <w:pStyle w:val="TAL"/>
              <w:rPr>
                <w:sz w:val="16"/>
              </w:rPr>
            </w:pPr>
            <w:r>
              <w:rPr>
                <w:sz w:val="16"/>
              </w:rPr>
              <w:t>Corrections on attribute names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7814DF0"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4F5D666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A3968C0"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747F58"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B461489"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A8E7CC5" w14:textId="77777777" w:rsidR="00791820" w:rsidRDefault="00791820" w:rsidP="00791820">
            <w:pPr>
              <w:pStyle w:val="TAL"/>
              <w:rPr>
                <w:rFonts w:hint="eastAsia"/>
                <w:sz w:val="16"/>
                <w:szCs w:val="16"/>
                <w:lang w:val="en-US" w:eastAsia="zh-CN"/>
              </w:rPr>
            </w:pPr>
            <w:r>
              <w:rPr>
                <w:rFonts w:cs="Arial"/>
                <w:sz w:val="16"/>
                <w:szCs w:val="16"/>
              </w:rPr>
              <w:t>0808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75589D3"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79551F3"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6759924" w14:textId="77777777" w:rsidR="00791820" w:rsidRDefault="00791820" w:rsidP="00791820">
            <w:pPr>
              <w:pStyle w:val="TAL"/>
              <w:rPr>
                <w:sz w:val="16"/>
              </w:rPr>
            </w:pPr>
            <w:r>
              <w:rPr>
                <w:sz w:val="16"/>
              </w:rPr>
              <w:t>Corrections for UE mobility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880C6F5"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75772128"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D2EE04D"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5FC41D"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F353B7"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FDF82C0" w14:textId="77777777" w:rsidR="00791820" w:rsidRDefault="00791820" w:rsidP="00791820">
            <w:pPr>
              <w:pStyle w:val="TAL"/>
              <w:rPr>
                <w:rFonts w:hint="eastAsia"/>
                <w:sz w:val="16"/>
                <w:szCs w:val="16"/>
                <w:lang w:val="en-US" w:eastAsia="zh-CN"/>
              </w:rPr>
            </w:pPr>
            <w:r>
              <w:rPr>
                <w:rFonts w:cs="Arial"/>
                <w:sz w:val="16"/>
                <w:szCs w:val="16"/>
              </w:rPr>
              <w:t>0809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CA7CF79"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CF38FD"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4CA0832" w14:textId="77777777" w:rsidR="00791820" w:rsidRDefault="00791820" w:rsidP="00791820">
            <w:pPr>
              <w:pStyle w:val="TAL"/>
              <w:rPr>
                <w:sz w:val="16"/>
              </w:rPr>
            </w:pPr>
            <w:r>
              <w:rPr>
                <w:sz w:val="16"/>
              </w:rPr>
              <w:t>Define service descriptions of Nnwdaf_MLModelMonitor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5A9282C"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12C35B6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640016D"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083A338"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194F1F" w14:textId="77777777" w:rsidR="00791820" w:rsidRDefault="00791820" w:rsidP="00791820">
            <w:pPr>
              <w:pStyle w:val="TAC"/>
              <w:rPr>
                <w:rFonts w:eastAsia="等线" w:cs="Arial"/>
                <w:sz w:val="16"/>
                <w:szCs w:val="16"/>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6FD1F71" w14:textId="77777777" w:rsidR="00791820" w:rsidRDefault="00791820" w:rsidP="00791820">
            <w:pPr>
              <w:pStyle w:val="TAL"/>
              <w:rPr>
                <w:rFonts w:hint="eastAsia"/>
                <w:sz w:val="16"/>
                <w:szCs w:val="16"/>
                <w:lang w:val="en-US" w:eastAsia="zh-CN"/>
              </w:rPr>
            </w:pPr>
            <w:r>
              <w:rPr>
                <w:rFonts w:cs="Arial"/>
                <w:sz w:val="16"/>
                <w:szCs w:val="16"/>
              </w:rPr>
              <w:t>0810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7AC2152"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871684"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677839F" w14:textId="77777777" w:rsidR="00791820" w:rsidRDefault="00791820" w:rsidP="00791820">
            <w:pPr>
              <w:pStyle w:val="TAL"/>
              <w:rPr>
                <w:sz w:val="16"/>
              </w:rPr>
            </w:pPr>
            <w:r>
              <w:rPr>
                <w:sz w:val="16"/>
              </w:rPr>
              <w:t>Define OpenAPI of Nnwdaf_MLModelMonitor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201310B"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08747D6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B952653"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3EC1DAF"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3BB332" w14:textId="77777777" w:rsidR="00791820" w:rsidRDefault="00791820" w:rsidP="00791820">
            <w:pPr>
              <w:pStyle w:val="TAC"/>
              <w:rPr>
                <w:rFonts w:eastAsia="等线" w:cs="Arial"/>
                <w:sz w:val="16"/>
                <w:szCs w:val="16"/>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15638DE" w14:textId="77777777" w:rsidR="00791820" w:rsidRDefault="00791820" w:rsidP="00791820">
            <w:pPr>
              <w:pStyle w:val="TAL"/>
              <w:rPr>
                <w:rFonts w:hint="eastAsia"/>
                <w:sz w:val="16"/>
                <w:szCs w:val="16"/>
                <w:lang w:val="en-US" w:eastAsia="zh-CN"/>
              </w:rPr>
            </w:pPr>
            <w:r>
              <w:rPr>
                <w:rFonts w:cs="Arial"/>
                <w:sz w:val="16"/>
                <w:szCs w:val="16"/>
              </w:rPr>
              <w:t>0811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3D05CDE"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87574F"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22D6769" w14:textId="77777777" w:rsidR="00791820" w:rsidRDefault="00791820" w:rsidP="00791820">
            <w:pPr>
              <w:pStyle w:val="TAL"/>
              <w:rPr>
                <w:sz w:val="16"/>
              </w:rPr>
            </w:pPr>
            <w:r>
              <w:rPr>
                <w:sz w:val="16"/>
              </w:rPr>
              <w:t>Define Nnwdaf_RoamingData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2E50EC5"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2791CD52"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7FC7A9D"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BF8C5D5"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CA4C55" w14:textId="77777777" w:rsidR="00791820" w:rsidRDefault="00791820" w:rsidP="00791820">
            <w:pPr>
              <w:pStyle w:val="TAC"/>
              <w:rPr>
                <w:rFonts w:eastAsia="等线" w:cs="Arial"/>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8DF0516" w14:textId="77777777" w:rsidR="00791820" w:rsidRDefault="00791820" w:rsidP="00791820">
            <w:pPr>
              <w:pStyle w:val="TAL"/>
              <w:rPr>
                <w:rFonts w:hint="eastAsia"/>
                <w:sz w:val="16"/>
                <w:szCs w:val="16"/>
                <w:lang w:val="en-US" w:eastAsia="zh-CN"/>
              </w:rPr>
            </w:pPr>
            <w:r>
              <w:rPr>
                <w:rFonts w:cs="Arial"/>
                <w:sz w:val="16"/>
                <w:szCs w:val="16"/>
              </w:rPr>
              <w:t>0812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ED2FD47"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4B66EE"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B8A602" w14:textId="77777777" w:rsidR="00791820" w:rsidRDefault="00791820" w:rsidP="00791820">
            <w:pPr>
              <w:pStyle w:val="TAL"/>
              <w:rPr>
                <w:sz w:val="16"/>
              </w:rPr>
            </w:pPr>
            <w:r>
              <w:rPr>
                <w:sz w:val="16"/>
              </w:rPr>
              <w:t>Define service descriptions of Nnwdaf_RoamingData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8C563C8"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436FDBE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F7E7837"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D69D03"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525D6C" w14:textId="77777777" w:rsidR="00791820" w:rsidRDefault="00791820" w:rsidP="00791820">
            <w:pPr>
              <w:pStyle w:val="TAC"/>
              <w:rPr>
                <w:rFonts w:eastAsia="等线" w:cs="Arial"/>
                <w:sz w:val="16"/>
                <w:szCs w:val="16"/>
              </w:rPr>
            </w:pPr>
            <w:r>
              <w:rPr>
                <w:rFonts w:cs="Arial"/>
                <w:sz w:val="16"/>
                <w:szCs w:val="16"/>
              </w:rPr>
              <w:t>CP-233136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FD6D033" w14:textId="77777777" w:rsidR="00791820" w:rsidRDefault="00791820" w:rsidP="00791820">
            <w:pPr>
              <w:pStyle w:val="TAL"/>
              <w:rPr>
                <w:rFonts w:hint="eastAsia"/>
                <w:sz w:val="16"/>
                <w:szCs w:val="16"/>
                <w:lang w:val="en-US" w:eastAsia="zh-CN"/>
              </w:rPr>
            </w:pPr>
            <w:r>
              <w:rPr>
                <w:rFonts w:cs="Arial"/>
                <w:sz w:val="16"/>
                <w:szCs w:val="16"/>
              </w:rPr>
              <w:t>0813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EFE17CF"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E42D86"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0B358E8" w14:textId="77777777" w:rsidR="00791820" w:rsidRDefault="00791820" w:rsidP="00791820">
            <w:pPr>
              <w:pStyle w:val="TAL"/>
              <w:rPr>
                <w:sz w:val="16"/>
              </w:rPr>
            </w:pPr>
            <w:r>
              <w:rPr>
                <w:sz w:val="16"/>
              </w:rPr>
              <w:t>Define OpenAPI of Nnwdaf_RoamingData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B666CFD"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22C6D43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3555383E"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15B62E4"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9ED796D" w14:textId="77777777" w:rsidR="00791820" w:rsidRDefault="00791820" w:rsidP="00791820">
            <w:pPr>
              <w:pStyle w:val="TAC"/>
              <w:rPr>
                <w:rFonts w:eastAsia="等线" w:cs="Arial"/>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6583812" w14:textId="77777777" w:rsidR="00791820" w:rsidRDefault="00791820" w:rsidP="00791820">
            <w:pPr>
              <w:pStyle w:val="TAL"/>
              <w:rPr>
                <w:rFonts w:hint="eastAsia"/>
                <w:sz w:val="16"/>
                <w:szCs w:val="16"/>
                <w:lang w:val="en-US" w:eastAsia="zh-CN"/>
              </w:rPr>
            </w:pPr>
            <w:r>
              <w:rPr>
                <w:rFonts w:cs="Arial"/>
                <w:sz w:val="16"/>
                <w:szCs w:val="16"/>
              </w:rPr>
              <w:t>0814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6BCC79"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F90382A"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AC786FC" w14:textId="77777777" w:rsidR="00791820" w:rsidRDefault="00791820" w:rsidP="00791820">
            <w:pPr>
              <w:pStyle w:val="TAL"/>
              <w:rPr>
                <w:sz w:val="16"/>
              </w:rPr>
            </w:pPr>
            <w:r>
              <w:rPr>
                <w:sz w:val="16"/>
              </w:rPr>
              <w:t>Corrections on the presence and description of dnais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39268B0"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435044D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0C84F98"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A25F98"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3A4134" w14:textId="77777777" w:rsidR="00791820" w:rsidRDefault="00791820" w:rsidP="00791820">
            <w:pPr>
              <w:pStyle w:val="TAC"/>
              <w:rPr>
                <w:rFonts w:eastAsia="等线" w:cs="Arial" w:hint="eastAsia"/>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CE452D1" w14:textId="77777777" w:rsidR="00791820" w:rsidRDefault="00791820" w:rsidP="00791820">
            <w:pPr>
              <w:pStyle w:val="TAL"/>
              <w:rPr>
                <w:rFonts w:hint="eastAsia"/>
                <w:sz w:val="16"/>
                <w:szCs w:val="16"/>
                <w:lang w:val="en-US" w:eastAsia="zh-CN"/>
              </w:rPr>
            </w:pPr>
            <w:r>
              <w:rPr>
                <w:rFonts w:cs="Arial"/>
                <w:sz w:val="16"/>
                <w:szCs w:val="16"/>
              </w:rPr>
              <w:t>0815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49D731"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D166A3"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95B7487" w14:textId="77777777" w:rsidR="00791820" w:rsidRDefault="00791820" w:rsidP="00791820">
            <w:pPr>
              <w:pStyle w:val="TAL"/>
              <w:rPr>
                <w:sz w:val="16"/>
              </w:rPr>
            </w:pPr>
            <w:r>
              <w:rPr>
                <w:sz w:val="16"/>
              </w:rPr>
              <w:t>Roaming Analytics service definition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4921585"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261F0AC9"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96CD3EC"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0B084F"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4A970A" w14:textId="77777777" w:rsidR="00791820" w:rsidRDefault="00791820" w:rsidP="00791820">
            <w:pPr>
              <w:pStyle w:val="TAC"/>
              <w:rPr>
                <w:rFonts w:eastAsia="等线" w:cs="Arial" w:hint="eastAsia"/>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9913A64" w14:textId="77777777" w:rsidR="00791820" w:rsidRDefault="00791820" w:rsidP="00791820">
            <w:pPr>
              <w:pStyle w:val="TAL"/>
              <w:rPr>
                <w:rFonts w:hint="eastAsia"/>
                <w:sz w:val="16"/>
                <w:szCs w:val="16"/>
                <w:lang w:val="en-US" w:eastAsia="zh-CN"/>
              </w:rPr>
            </w:pPr>
            <w:r>
              <w:rPr>
                <w:rFonts w:cs="Arial"/>
                <w:sz w:val="16"/>
                <w:szCs w:val="16"/>
              </w:rPr>
              <w:t>0816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79ED6A"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795C23D"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74989FB" w14:textId="77777777" w:rsidR="00791820" w:rsidRDefault="00791820" w:rsidP="00791820">
            <w:pPr>
              <w:pStyle w:val="TAL"/>
              <w:rPr>
                <w:sz w:val="16"/>
              </w:rPr>
            </w:pPr>
            <w:r>
              <w:rPr>
                <w:sz w:val="16"/>
              </w:rPr>
              <w:t>Roaming Analytics service data model</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B3F4AA2"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60F10072"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FED8402"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EE030A"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F766F5" w14:textId="77777777" w:rsidR="00791820" w:rsidRDefault="00791820" w:rsidP="00791820">
            <w:pPr>
              <w:pStyle w:val="TAC"/>
              <w:rPr>
                <w:rFonts w:eastAsia="等线" w:cs="Arial" w:hint="eastAsia"/>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C35940E" w14:textId="77777777" w:rsidR="00791820" w:rsidRDefault="00791820" w:rsidP="00791820">
            <w:pPr>
              <w:pStyle w:val="TAL"/>
              <w:rPr>
                <w:rFonts w:hint="eastAsia"/>
                <w:sz w:val="16"/>
                <w:szCs w:val="16"/>
                <w:lang w:val="en-US" w:eastAsia="zh-CN"/>
              </w:rPr>
            </w:pPr>
            <w:r>
              <w:rPr>
                <w:rFonts w:cs="Arial"/>
                <w:sz w:val="16"/>
                <w:szCs w:val="16"/>
              </w:rPr>
              <w:t>0817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E7DA8C4"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5C02C36"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86CF89E" w14:textId="77777777" w:rsidR="00791820" w:rsidRDefault="00791820" w:rsidP="00791820">
            <w:pPr>
              <w:pStyle w:val="TAL"/>
              <w:rPr>
                <w:sz w:val="16"/>
              </w:rPr>
            </w:pPr>
            <w:r>
              <w:rPr>
                <w:sz w:val="16"/>
              </w:rPr>
              <w:t>Roaming Analytics service OpenAPI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78ABFE8"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6CB75B70"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8AAF51A"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1899832"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A0A761" w14:textId="77777777" w:rsidR="00791820" w:rsidRDefault="00791820" w:rsidP="00791820">
            <w:pPr>
              <w:pStyle w:val="TAC"/>
              <w:rPr>
                <w:rFonts w:eastAsia="等线" w:cs="Arial" w:hint="eastAsia"/>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C421FC3" w14:textId="77777777" w:rsidR="00791820" w:rsidRDefault="00791820" w:rsidP="00791820">
            <w:pPr>
              <w:pStyle w:val="TAL"/>
              <w:rPr>
                <w:rFonts w:hint="eastAsia"/>
                <w:sz w:val="16"/>
                <w:szCs w:val="16"/>
                <w:lang w:val="en-US" w:eastAsia="zh-CN"/>
              </w:rPr>
            </w:pPr>
            <w:r>
              <w:rPr>
                <w:rFonts w:cs="Arial"/>
                <w:sz w:val="16"/>
                <w:szCs w:val="16"/>
              </w:rPr>
              <w:t>0818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FC9486B"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EBFCC6"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34D11D9" w14:textId="77777777" w:rsidR="00791820" w:rsidRDefault="00791820" w:rsidP="00791820">
            <w:pPr>
              <w:pStyle w:val="TAL"/>
              <w:rPr>
                <w:sz w:val="16"/>
              </w:rPr>
            </w:pPr>
            <w:r>
              <w:rPr>
                <w:sz w:val="16"/>
              </w:rPr>
              <w:t>Analytics subscription extensions to support analytics for roaming UEs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EB2641D"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20015BF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13BCCA6"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E26EAF8"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113729" w14:textId="77777777" w:rsidR="00791820" w:rsidRDefault="00791820" w:rsidP="00791820">
            <w:pPr>
              <w:pStyle w:val="TAC"/>
              <w:rPr>
                <w:rFonts w:eastAsia="等线" w:cs="Arial" w:hint="eastAsia"/>
                <w:sz w:val="16"/>
                <w:szCs w:val="16"/>
              </w:rPr>
            </w:pPr>
            <w:r>
              <w:rPr>
                <w:rFonts w:cs="Arial"/>
                <w:sz w:val="16"/>
                <w:szCs w:val="16"/>
              </w:rPr>
              <w:t>CP-233225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D7DFE87" w14:textId="77777777" w:rsidR="00791820" w:rsidRDefault="00791820" w:rsidP="00791820">
            <w:pPr>
              <w:pStyle w:val="TAL"/>
              <w:rPr>
                <w:rFonts w:hint="eastAsia"/>
                <w:sz w:val="16"/>
                <w:szCs w:val="16"/>
                <w:lang w:val="en-US" w:eastAsia="zh-CN"/>
              </w:rPr>
            </w:pPr>
            <w:r>
              <w:rPr>
                <w:rFonts w:cs="Arial"/>
                <w:sz w:val="16"/>
                <w:szCs w:val="16"/>
              </w:rPr>
              <w:t>0819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59A6AB0"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FBE67C"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DC60953" w14:textId="77777777" w:rsidR="00791820" w:rsidRDefault="00791820" w:rsidP="00791820">
            <w:pPr>
              <w:pStyle w:val="TAL"/>
              <w:rPr>
                <w:sz w:val="16"/>
              </w:rPr>
            </w:pPr>
            <w:r>
              <w:rPr>
                <w:sz w:val="16"/>
              </w:rPr>
              <w:t>Analytics info extensions to support analytics for roaming UEs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1608CAA"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4D17A9E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F3185C4"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E5A025"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3D93AA" w14:textId="77777777" w:rsidR="00791820" w:rsidRDefault="00791820" w:rsidP="00791820">
            <w:pPr>
              <w:pStyle w:val="TAC"/>
              <w:rPr>
                <w:rFonts w:eastAsia="等线" w:cs="Arial" w:hint="eastAsia"/>
                <w:sz w:val="16"/>
                <w:szCs w:val="16"/>
              </w:rPr>
            </w:pPr>
            <w:r>
              <w:rPr>
                <w:rFonts w:cs="Arial"/>
                <w:sz w:val="16"/>
                <w:szCs w:val="16"/>
              </w:rPr>
              <w:t>CP-233227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A56D400" w14:textId="77777777" w:rsidR="00791820" w:rsidRDefault="00791820" w:rsidP="00791820">
            <w:pPr>
              <w:pStyle w:val="TAL"/>
              <w:rPr>
                <w:rFonts w:hint="eastAsia"/>
                <w:sz w:val="16"/>
                <w:szCs w:val="16"/>
                <w:lang w:val="en-US" w:eastAsia="zh-CN"/>
              </w:rPr>
            </w:pPr>
            <w:r>
              <w:rPr>
                <w:rFonts w:cs="Arial"/>
                <w:sz w:val="16"/>
                <w:szCs w:val="16"/>
              </w:rPr>
              <w:t>0820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00FC569"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8153CF0"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1CF9D54" w14:textId="77777777" w:rsidR="00791820" w:rsidRDefault="00791820" w:rsidP="00791820">
            <w:pPr>
              <w:pStyle w:val="TAL"/>
              <w:rPr>
                <w:sz w:val="16"/>
              </w:rPr>
            </w:pPr>
            <w:r>
              <w:rPr>
                <w:sz w:val="16"/>
              </w:rPr>
              <w:t>Applicability of muting exception instructions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4D366B2"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5DA7DFA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1FDF058D"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4AFE3"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C841C" w14:textId="77777777" w:rsidR="00791820" w:rsidRDefault="00791820" w:rsidP="00791820">
            <w:pPr>
              <w:pStyle w:val="TAC"/>
              <w:rPr>
                <w:rFonts w:eastAsia="等线" w:cs="Arial" w:hint="eastAsia"/>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DA50E8C" w14:textId="77777777" w:rsidR="00791820" w:rsidRDefault="00791820" w:rsidP="00791820">
            <w:pPr>
              <w:pStyle w:val="TAL"/>
              <w:rPr>
                <w:rFonts w:hint="eastAsia"/>
                <w:sz w:val="16"/>
                <w:szCs w:val="16"/>
                <w:lang w:val="en-US" w:eastAsia="zh-CN"/>
              </w:rPr>
            </w:pPr>
            <w:r>
              <w:rPr>
                <w:rFonts w:cs="Arial"/>
                <w:sz w:val="16"/>
                <w:szCs w:val="16"/>
              </w:rPr>
              <w:t>0821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2BEBAD"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FFD0504"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8B65AFF" w14:textId="77777777" w:rsidR="00791820" w:rsidRDefault="00791820" w:rsidP="00791820">
            <w:pPr>
              <w:pStyle w:val="TAL"/>
              <w:rPr>
                <w:sz w:val="16"/>
              </w:rPr>
            </w:pPr>
            <w:r>
              <w:rPr>
                <w:sz w:val="16"/>
              </w:rPr>
              <w:t>Wrong feature and service operation names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6CDBBBB"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1D049253"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C3B1682"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DB25BC"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437317" w14:textId="77777777" w:rsidR="00791820" w:rsidRDefault="00791820" w:rsidP="00791820">
            <w:pPr>
              <w:pStyle w:val="TAC"/>
              <w:rPr>
                <w:rFonts w:eastAsia="等线" w:cs="Arial" w:hint="eastAsia"/>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9A3125F" w14:textId="77777777" w:rsidR="00791820" w:rsidRDefault="00791820" w:rsidP="00791820">
            <w:pPr>
              <w:pStyle w:val="TAL"/>
              <w:rPr>
                <w:rFonts w:hint="eastAsia"/>
                <w:sz w:val="16"/>
                <w:szCs w:val="16"/>
                <w:lang w:val="en-US" w:eastAsia="zh-CN"/>
              </w:rPr>
            </w:pPr>
            <w:r>
              <w:rPr>
                <w:rFonts w:cs="Arial"/>
                <w:sz w:val="16"/>
                <w:szCs w:val="16"/>
              </w:rPr>
              <w:t>0822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049842"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51FC56"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34A3958" w14:textId="77777777" w:rsidR="00791820" w:rsidRDefault="00791820" w:rsidP="00791820">
            <w:pPr>
              <w:pStyle w:val="TAL"/>
              <w:rPr>
                <w:sz w:val="16"/>
              </w:rPr>
            </w:pPr>
            <w:r>
              <w:rPr>
                <w:sz w:val="16"/>
              </w:rPr>
              <w:t>Data fetching correction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186D776"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42D89555"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36E466E"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890C05A"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302717" w14:textId="77777777" w:rsidR="00791820" w:rsidRDefault="00791820" w:rsidP="00791820">
            <w:pPr>
              <w:pStyle w:val="TAC"/>
              <w:rPr>
                <w:rFonts w:eastAsia="等线" w:cs="Arial" w:hint="eastAsia"/>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6589ADB" w14:textId="77777777" w:rsidR="00791820" w:rsidRDefault="00791820" w:rsidP="00791820">
            <w:pPr>
              <w:pStyle w:val="TAL"/>
              <w:rPr>
                <w:rFonts w:hint="eastAsia"/>
                <w:sz w:val="16"/>
                <w:szCs w:val="16"/>
                <w:lang w:val="en-US" w:eastAsia="zh-CN"/>
              </w:rPr>
            </w:pPr>
            <w:r>
              <w:rPr>
                <w:rFonts w:cs="Arial"/>
                <w:sz w:val="16"/>
                <w:szCs w:val="16"/>
              </w:rPr>
              <w:t>0824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39CD5A"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487D109"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96B09DA" w14:textId="77777777" w:rsidR="00791820" w:rsidRDefault="00791820" w:rsidP="00791820">
            <w:pPr>
              <w:pStyle w:val="TAL"/>
              <w:rPr>
                <w:sz w:val="16"/>
              </w:rPr>
            </w:pPr>
            <w:r>
              <w:rPr>
                <w:sz w:val="16"/>
              </w:rPr>
              <w:t>Corrections to boolean type definitions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A65EA41"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3BC1342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9E5AFEE"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B9AECF7"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819FB7" w14:textId="77777777" w:rsidR="00791820" w:rsidRDefault="00791820" w:rsidP="00791820">
            <w:pPr>
              <w:pStyle w:val="TAC"/>
              <w:rPr>
                <w:rFonts w:eastAsia="等线" w:cs="Arial" w:hint="eastAsia"/>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4D8FD1B" w14:textId="77777777" w:rsidR="00791820" w:rsidRDefault="00791820" w:rsidP="00791820">
            <w:pPr>
              <w:pStyle w:val="TAL"/>
              <w:rPr>
                <w:rFonts w:hint="eastAsia"/>
                <w:sz w:val="16"/>
                <w:szCs w:val="16"/>
                <w:lang w:val="en-US" w:eastAsia="zh-CN"/>
              </w:rPr>
            </w:pPr>
            <w:r>
              <w:rPr>
                <w:rFonts w:cs="Arial"/>
                <w:sz w:val="16"/>
                <w:szCs w:val="16"/>
              </w:rPr>
              <w:t>0825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372D58C" w14:textId="77777777" w:rsidR="00791820" w:rsidRDefault="00791820" w:rsidP="00791820">
            <w:pPr>
              <w:pStyle w:val="TAR"/>
              <w:rPr>
                <w:rFonts w:cs="Arial" w:hint="eastAsia"/>
                <w:color w:val="000000"/>
                <w:sz w:val="16"/>
                <w:szCs w:val="16"/>
                <w:lang w:eastAsia="zh-CN"/>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776FC14" w14:textId="77777777" w:rsidR="00791820" w:rsidRDefault="00791820" w:rsidP="00791820">
            <w:pPr>
              <w:pStyle w:val="TAC"/>
              <w:rPr>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AB16926" w14:textId="77777777" w:rsidR="00791820" w:rsidRDefault="00791820" w:rsidP="00791820">
            <w:pPr>
              <w:pStyle w:val="TAL"/>
              <w:rPr>
                <w:sz w:val="16"/>
              </w:rPr>
            </w:pPr>
            <w:r>
              <w:rPr>
                <w:sz w:val="16"/>
              </w:rPr>
              <w:t>Updates to error handling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31BC77F"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4FE5288A"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7DFB3813"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9A324AB"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C28005" w14:textId="77777777" w:rsidR="00791820" w:rsidRDefault="00791820" w:rsidP="00791820">
            <w:pPr>
              <w:pStyle w:val="TAC"/>
              <w:rPr>
                <w:rFonts w:eastAsia="等线" w:cs="Arial"/>
                <w:sz w:val="16"/>
                <w:szCs w:val="16"/>
                <w:lang w:val="en-US"/>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AB64018" w14:textId="77777777" w:rsidR="00791820" w:rsidRDefault="00791820" w:rsidP="00791820">
            <w:pPr>
              <w:pStyle w:val="TAL"/>
              <w:rPr>
                <w:rFonts w:hint="eastAsia"/>
                <w:sz w:val="16"/>
                <w:szCs w:val="16"/>
                <w:lang w:val="en-US" w:eastAsia="zh-CN"/>
              </w:rPr>
            </w:pPr>
            <w:r>
              <w:rPr>
                <w:rFonts w:cs="Arial"/>
                <w:sz w:val="16"/>
                <w:szCs w:val="16"/>
              </w:rPr>
              <w:t>0826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C5B15C"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31EBB1"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12BB3E7" w14:textId="77777777" w:rsidR="00791820" w:rsidRDefault="00791820" w:rsidP="00791820">
            <w:pPr>
              <w:pStyle w:val="TAL"/>
              <w:rPr>
                <w:sz w:val="16"/>
              </w:rPr>
            </w:pPr>
            <w:r>
              <w:rPr>
                <w:sz w:val="16"/>
              </w:rPr>
              <w:t>Updates for the Support of Nnwdaf_MLModelTraining_Subscribe Service Operation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4A16D26"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533FB9F6"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55118E4"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34A5BD"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7255F" w14:textId="77777777" w:rsidR="00791820" w:rsidRDefault="00791820" w:rsidP="00791820">
            <w:pPr>
              <w:pStyle w:val="TAC"/>
              <w:rPr>
                <w:rFonts w:eastAsia="等线" w:cs="Arial" w:hint="eastAsia"/>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3F15B98" w14:textId="77777777" w:rsidR="00791820" w:rsidRDefault="00791820" w:rsidP="00791820">
            <w:pPr>
              <w:pStyle w:val="TAL"/>
              <w:rPr>
                <w:sz w:val="16"/>
                <w:szCs w:val="16"/>
                <w:lang w:val="en-US" w:eastAsia="zh-CN"/>
              </w:rPr>
            </w:pPr>
            <w:r>
              <w:rPr>
                <w:rFonts w:cs="Arial"/>
                <w:sz w:val="16"/>
                <w:szCs w:val="16"/>
              </w:rPr>
              <w:t>0827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D53A4E5"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E9B464"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CBA39F2" w14:textId="77777777" w:rsidR="00791820" w:rsidRDefault="00791820" w:rsidP="00791820">
            <w:pPr>
              <w:pStyle w:val="TAL"/>
              <w:rPr>
                <w:sz w:val="16"/>
              </w:rPr>
            </w:pPr>
            <w:r>
              <w:rPr>
                <w:sz w:val="16"/>
              </w:rPr>
              <w:t>Update to the NwdafMLModelTrainNotif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F4DB5AF"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5261089D"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ECE05D5"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C292B2"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829A18" w14:textId="77777777" w:rsidR="00791820" w:rsidRDefault="00791820" w:rsidP="00791820">
            <w:pPr>
              <w:pStyle w:val="TAC"/>
              <w:rPr>
                <w:rFonts w:eastAsia="等线" w:cs="Arial" w:hint="eastAsia"/>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45E65FB" w14:textId="77777777" w:rsidR="00791820" w:rsidRDefault="00791820" w:rsidP="00791820">
            <w:pPr>
              <w:pStyle w:val="TAL"/>
              <w:rPr>
                <w:rFonts w:hint="eastAsia"/>
                <w:sz w:val="16"/>
                <w:szCs w:val="16"/>
                <w:lang w:val="en-US" w:eastAsia="zh-CN"/>
              </w:rPr>
            </w:pPr>
            <w:r>
              <w:rPr>
                <w:rFonts w:cs="Arial"/>
                <w:sz w:val="16"/>
                <w:szCs w:val="16"/>
              </w:rPr>
              <w:t>0828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47B312A"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519F013" w14:textId="77777777" w:rsidR="00791820" w:rsidRDefault="00791820" w:rsidP="00791820">
            <w:pPr>
              <w:pStyle w:val="TAC"/>
              <w:rPr>
                <w:rFonts w:hint="eastAsia"/>
                <w:sz w:val="16"/>
                <w:szCs w:val="16"/>
                <w:lang w:val="en-US" w:eastAsia="zh-CN"/>
              </w:rPr>
            </w:pPr>
            <w:r>
              <w:rPr>
                <w:rFonts w:hint="eastAsia"/>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F1BDE40" w14:textId="77777777" w:rsidR="00791820" w:rsidRDefault="00791820" w:rsidP="00791820">
            <w:pPr>
              <w:pStyle w:val="TAL"/>
              <w:rPr>
                <w:sz w:val="16"/>
              </w:rPr>
            </w:pPr>
            <w:r>
              <w:rPr>
                <w:sz w:val="16"/>
              </w:rPr>
              <w:t>Updates for Application Error Handling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B29EC75"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156D83E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6F944D24"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76063AD"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CB898" w14:textId="77777777" w:rsidR="00791820" w:rsidRDefault="00791820" w:rsidP="00791820">
            <w:pPr>
              <w:pStyle w:val="TAC"/>
              <w:rPr>
                <w:rFonts w:eastAsia="等线" w:cs="Arial" w:hint="eastAsia"/>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9A26368" w14:textId="77777777" w:rsidR="00791820" w:rsidRDefault="00791820" w:rsidP="00791820">
            <w:pPr>
              <w:pStyle w:val="TAL"/>
              <w:rPr>
                <w:rFonts w:hint="eastAsia"/>
                <w:sz w:val="16"/>
                <w:szCs w:val="16"/>
                <w:lang w:val="en-US" w:eastAsia="zh-CN"/>
              </w:rPr>
            </w:pPr>
            <w:r>
              <w:rPr>
                <w:rFonts w:cs="Arial"/>
                <w:sz w:val="16"/>
                <w:szCs w:val="16"/>
              </w:rPr>
              <w:t>0829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CC4B7F"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9792241"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723C64B" w14:textId="77777777" w:rsidR="00791820" w:rsidRDefault="00791820" w:rsidP="00791820">
            <w:pPr>
              <w:pStyle w:val="TAL"/>
              <w:rPr>
                <w:sz w:val="16"/>
              </w:rPr>
            </w:pPr>
            <w:r>
              <w:rPr>
                <w:sz w:val="16"/>
              </w:rPr>
              <w:t>Updates to the Data Model for Nnwdaf_EventsSubscription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27B0B4F"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2F1496AB"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256B1E13"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6D85DD"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234A" w14:textId="77777777" w:rsidR="00791820" w:rsidRDefault="00791820" w:rsidP="00791820">
            <w:pPr>
              <w:pStyle w:val="TAC"/>
              <w:rPr>
                <w:rFonts w:eastAsia="等线" w:cs="Arial" w:hint="eastAsia"/>
                <w:sz w:val="16"/>
                <w:szCs w:val="16"/>
              </w:rPr>
            </w:pPr>
            <w:r>
              <w:rPr>
                <w:rFonts w:cs="Arial"/>
                <w:sz w:val="16"/>
                <w:szCs w:val="16"/>
              </w:rPr>
              <w:t>CP-233226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517839B" w14:textId="77777777" w:rsidR="00791820" w:rsidRDefault="00791820" w:rsidP="00791820">
            <w:pPr>
              <w:pStyle w:val="TAL"/>
              <w:rPr>
                <w:rFonts w:hint="eastAsia"/>
                <w:sz w:val="16"/>
                <w:szCs w:val="16"/>
                <w:lang w:val="en-US" w:eastAsia="zh-CN"/>
              </w:rPr>
            </w:pPr>
            <w:r>
              <w:rPr>
                <w:rFonts w:cs="Arial"/>
                <w:sz w:val="16"/>
                <w:szCs w:val="16"/>
              </w:rPr>
              <w:t>0830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220B438"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AE72D4"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E78087C" w14:textId="77777777" w:rsidR="00791820" w:rsidRDefault="00791820" w:rsidP="00791820">
            <w:pPr>
              <w:pStyle w:val="TAL"/>
              <w:rPr>
                <w:sz w:val="16"/>
              </w:rPr>
            </w:pPr>
            <w:r>
              <w:rPr>
                <w:sz w:val="16"/>
              </w:rPr>
              <w:t>Updates to Nnwdaf_AnalyticsInfo Service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DEA42E1"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3B749261"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43E4EB4C"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0239FE5"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B9F380" w14:textId="77777777" w:rsidR="00791820" w:rsidRDefault="00791820" w:rsidP="00791820">
            <w:pPr>
              <w:pStyle w:val="TAC"/>
              <w:rPr>
                <w:rFonts w:eastAsia="等线" w:cs="Arial" w:hint="eastAsia"/>
                <w:sz w:val="16"/>
                <w:szCs w:val="16"/>
              </w:rPr>
            </w:pPr>
            <w:r>
              <w:rPr>
                <w:rFonts w:cs="Arial"/>
                <w:sz w:val="16"/>
                <w:szCs w:val="16"/>
              </w:rPr>
              <w:t>CP-233246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5BF5123" w14:textId="77777777" w:rsidR="00791820" w:rsidRDefault="00791820" w:rsidP="00791820">
            <w:pPr>
              <w:pStyle w:val="TAL"/>
              <w:rPr>
                <w:rFonts w:hint="eastAsia"/>
                <w:sz w:val="16"/>
                <w:szCs w:val="16"/>
                <w:lang w:val="en-US" w:eastAsia="zh-CN"/>
              </w:rPr>
            </w:pPr>
            <w:r>
              <w:rPr>
                <w:rFonts w:cs="Arial"/>
                <w:sz w:val="16"/>
                <w:szCs w:val="16"/>
              </w:rPr>
              <w:t>0831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988B2C"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2200090"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0C2452A" w14:textId="77777777" w:rsidR="00791820" w:rsidRDefault="00791820" w:rsidP="00791820">
            <w:pPr>
              <w:pStyle w:val="TAL"/>
              <w:rPr>
                <w:sz w:val="16"/>
              </w:rPr>
            </w:pPr>
            <w:r>
              <w:rPr>
                <w:sz w:val="16"/>
              </w:rPr>
              <w:t>Updates to NnwdafEventsSubscriptionNotification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7E44694"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405A0C66"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02205B53"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C2897"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8DED7F" w14:textId="77777777" w:rsidR="00791820" w:rsidRDefault="00791820" w:rsidP="00791820">
            <w:pPr>
              <w:pStyle w:val="TAC"/>
              <w:rPr>
                <w:rFonts w:eastAsia="等线" w:cs="Arial" w:hint="eastAsia"/>
                <w:sz w:val="16"/>
                <w:szCs w:val="16"/>
              </w:rPr>
            </w:pPr>
            <w:r>
              <w:rPr>
                <w:rFonts w:cs="Arial"/>
                <w:sz w:val="16"/>
                <w:szCs w:val="16"/>
              </w:rPr>
              <w:t>CP-233229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FDCD3EF" w14:textId="77777777" w:rsidR="00791820" w:rsidRDefault="00791820" w:rsidP="00791820">
            <w:pPr>
              <w:pStyle w:val="TAL"/>
              <w:rPr>
                <w:rFonts w:hint="eastAsia"/>
                <w:sz w:val="16"/>
                <w:szCs w:val="16"/>
                <w:lang w:val="en-US" w:eastAsia="zh-CN"/>
              </w:rPr>
            </w:pPr>
            <w:r>
              <w:rPr>
                <w:rFonts w:cs="Arial"/>
                <w:sz w:val="16"/>
                <w:szCs w:val="16"/>
              </w:rPr>
              <w:t>0832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BB7DDF" w14:textId="77777777" w:rsidR="00791820" w:rsidRDefault="00791820" w:rsidP="00791820">
            <w:pPr>
              <w:pStyle w:val="TAR"/>
              <w:rPr>
                <w:rFonts w:cs="Arial" w:hint="eastAsia"/>
                <w:color w:val="000000"/>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4D8AC35" w14:textId="77777777" w:rsidR="00791820" w:rsidRDefault="00791820" w:rsidP="00791820">
            <w:pPr>
              <w:pStyle w:val="TAC"/>
              <w:rPr>
                <w:rFonts w:hint="eastAsia"/>
                <w:sz w:val="16"/>
                <w:szCs w:val="16"/>
                <w:lang w:val="en-US" w:eastAsia="zh-CN"/>
              </w:rPr>
            </w:pPr>
            <w:r>
              <w:rPr>
                <w:rFonts w:hint="eastAsia"/>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75318B6" w14:textId="77777777" w:rsidR="00791820" w:rsidRDefault="00791820" w:rsidP="00791820">
            <w:pPr>
              <w:pStyle w:val="TAL"/>
              <w:rPr>
                <w:sz w:val="16"/>
              </w:rPr>
            </w:pPr>
            <w:r>
              <w:rPr>
                <w:sz w:val="16"/>
              </w:rPr>
              <w:t>IETF RFC 7540, RFC 7807 obsoleted by RFC 9113 and RFC 9457 respectively</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9E7E572" w14:textId="77777777" w:rsidR="00791820" w:rsidRDefault="00791820" w:rsidP="00791820">
            <w:pPr>
              <w:pStyle w:val="TAC"/>
              <w:rPr>
                <w:rFonts w:hint="eastAsia"/>
                <w:sz w:val="16"/>
                <w:szCs w:val="16"/>
              </w:rPr>
            </w:pPr>
            <w:r>
              <w:rPr>
                <w:rFonts w:hint="eastAsia"/>
                <w:sz w:val="16"/>
                <w:szCs w:val="16"/>
              </w:rPr>
              <w:t>1</w:t>
            </w:r>
            <w:r>
              <w:rPr>
                <w:sz w:val="16"/>
                <w:szCs w:val="16"/>
              </w:rPr>
              <w:t>8.4.0</w:t>
            </w:r>
          </w:p>
        </w:tc>
      </w:tr>
      <w:tr w:rsidR="00791820" w14:paraId="0B4B026F" w14:textId="77777777">
        <w:tc>
          <w:tcPr>
            <w:tcW w:w="796" w:type="dxa"/>
            <w:tcBorders>
              <w:top w:val="single" w:sz="6" w:space="0" w:color="auto"/>
              <w:left w:val="single" w:sz="6" w:space="0" w:color="auto"/>
              <w:bottom w:val="single" w:sz="6" w:space="0" w:color="auto"/>
              <w:right w:val="single" w:sz="6" w:space="0" w:color="auto"/>
            </w:tcBorders>
            <w:shd w:val="solid" w:color="FFFFFF" w:fill="auto"/>
          </w:tcPr>
          <w:p w14:paraId="599A718E" w14:textId="77777777" w:rsidR="00791820" w:rsidRDefault="00791820" w:rsidP="00791820">
            <w:pPr>
              <w:pStyle w:val="TAC"/>
              <w:rPr>
                <w:rFonts w:hint="eastAsia"/>
                <w:sz w:val="16"/>
                <w:szCs w:val="16"/>
                <w:lang w:val="en-US"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5033FE3" w14:textId="77777777" w:rsidR="00791820" w:rsidRDefault="00791820" w:rsidP="00791820">
            <w:pPr>
              <w:pStyle w:val="TAC"/>
              <w:rPr>
                <w:rFonts w:hint="eastAsia"/>
                <w:sz w:val="16"/>
                <w:szCs w:val="16"/>
                <w:lang w:val="en-US" w:eastAsia="zh-CN"/>
              </w:rPr>
            </w:pPr>
            <w:r>
              <w:rPr>
                <w:rFonts w:cs="Arial"/>
                <w:sz w:val="16"/>
                <w:szCs w:val="16"/>
              </w:rPr>
              <w:t>CT#102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B69F23" w14:textId="77777777" w:rsidR="00791820" w:rsidRDefault="00791820" w:rsidP="00791820">
            <w:pPr>
              <w:pStyle w:val="TAC"/>
              <w:rPr>
                <w:rFonts w:eastAsia="等线" w:cs="Arial" w:hint="eastAsia"/>
                <w:sz w:val="16"/>
                <w:szCs w:val="16"/>
              </w:rPr>
            </w:pPr>
            <w:r>
              <w:rPr>
                <w:rFonts w:cs="Arial"/>
                <w:sz w:val="16"/>
                <w:szCs w:val="16"/>
              </w:rPr>
              <w:t>CP-233237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103D9FB" w14:textId="77777777" w:rsidR="00791820" w:rsidRDefault="00791820" w:rsidP="00791820">
            <w:pPr>
              <w:pStyle w:val="TAL"/>
              <w:rPr>
                <w:rFonts w:hint="eastAsia"/>
                <w:sz w:val="16"/>
                <w:szCs w:val="16"/>
                <w:lang w:val="en-US" w:eastAsia="zh-CN"/>
              </w:rPr>
            </w:pPr>
            <w:r>
              <w:rPr>
                <w:rFonts w:cs="Arial"/>
                <w:sz w:val="16"/>
                <w:szCs w:val="16"/>
              </w:rPr>
              <w:t>0833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CE4AFA" w14:textId="77777777" w:rsidR="00791820" w:rsidRDefault="00791820" w:rsidP="00791820">
            <w:pPr>
              <w:pStyle w:val="TAR"/>
              <w:rPr>
                <w:rFonts w:cs="Arial" w:hint="eastAsia"/>
                <w:color w:val="000000"/>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41F15A9" w14:textId="77777777" w:rsidR="00791820" w:rsidRDefault="00791820" w:rsidP="00791820">
            <w:pPr>
              <w:pStyle w:val="TAC"/>
              <w:rPr>
                <w:rFonts w:hint="eastAsia"/>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78EE11E" w14:textId="77777777" w:rsidR="00791820" w:rsidRDefault="00791820" w:rsidP="00791820">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F5F04E1" w14:textId="77777777" w:rsidR="00791820" w:rsidRDefault="00791820" w:rsidP="00791820">
            <w:pPr>
              <w:pStyle w:val="TAC"/>
              <w:rPr>
                <w:rFonts w:hint="eastAsia"/>
                <w:sz w:val="16"/>
                <w:szCs w:val="16"/>
                <w:lang w:eastAsia="zh-CN"/>
              </w:rPr>
            </w:pPr>
            <w:r>
              <w:rPr>
                <w:rFonts w:hint="eastAsia"/>
                <w:sz w:val="16"/>
                <w:szCs w:val="16"/>
                <w:lang w:eastAsia="zh-CN"/>
              </w:rPr>
              <w:t>1</w:t>
            </w:r>
            <w:r>
              <w:rPr>
                <w:sz w:val="16"/>
                <w:szCs w:val="16"/>
                <w:lang w:eastAsia="zh-CN"/>
              </w:rPr>
              <w:t>8.4.0</w:t>
            </w:r>
          </w:p>
        </w:tc>
      </w:tr>
      <w:tr w:rsidR="00AB47BF" w:rsidRPr="005E22F6" w14:paraId="3B5C61FA"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57A915DE"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B8D2AC"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76CEFA"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DEF1307" w14:textId="77777777" w:rsidR="00AB47BF" w:rsidRPr="005E22F6" w:rsidRDefault="00AB47BF" w:rsidP="00AB47BF">
            <w:pPr>
              <w:pStyle w:val="TAL"/>
              <w:rPr>
                <w:rFonts w:cs="Arial"/>
                <w:sz w:val="16"/>
                <w:szCs w:val="16"/>
              </w:rPr>
            </w:pPr>
            <w:r w:rsidRPr="005E22F6">
              <w:rPr>
                <w:rFonts w:cs="Arial"/>
                <w:sz w:val="16"/>
                <w:szCs w:val="16"/>
              </w:rPr>
              <w:t>0834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7B9D4F3" w14:textId="77777777" w:rsidR="00AB47BF" w:rsidRPr="005E22F6" w:rsidRDefault="00AB47BF" w:rsidP="00AB47BF">
            <w:pPr>
              <w:pStyle w:val="TAR"/>
              <w:rPr>
                <w:rFonts w:cs="Arial"/>
                <w:sz w:val="16"/>
                <w:szCs w:val="16"/>
              </w:rPr>
            </w:pPr>
            <w:r w:rsidRPr="005E22F6">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F2B4D36"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B3DEFC7" w14:textId="77777777" w:rsidR="00AB47BF" w:rsidRPr="005E22F6" w:rsidRDefault="00AB47BF" w:rsidP="00AB47BF">
            <w:pPr>
              <w:pStyle w:val="TAL"/>
              <w:rPr>
                <w:sz w:val="16"/>
              </w:rPr>
            </w:pPr>
            <w:r w:rsidRPr="005E22F6">
              <w:rPr>
                <w:sz w:val="16"/>
              </w:rPr>
              <w:t>Update Location accuracy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22472FF"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A873691"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62277648"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EF1866B"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E7DAE"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0E848A3" w14:textId="77777777" w:rsidR="00AB47BF" w:rsidRPr="005E22F6" w:rsidRDefault="00AB47BF" w:rsidP="00AB47BF">
            <w:pPr>
              <w:pStyle w:val="TAL"/>
              <w:rPr>
                <w:rFonts w:cs="Arial"/>
                <w:sz w:val="16"/>
                <w:szCs w:val="16"/>
              </w:rPr>
            </w:pPr>
            <w:r w:rsidRPr="005E22F6">
              <w:rPr>
                <w:rFonts w:cs="Arial"/>
                <w:sz w:val="16"/>
                <w:szCs w:val="16"/>
              </w:rPr>
              <w:t>0836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A37798A" w14:textId="77777777" w:rsidR="00AB47BF" w:rsidRPr="005E22F6" w:rsidRDefault="00AB47BF" w:rsidP="00AB47BF">
            <w:pPr>
              <w:pStyle w:val="TAR"/>
              <w:rPr>
                <w:rFonts w:cs="Arial"/>
                <w:sz w:val="16"/>
                <w:szCs w:val="16"/>
              </w:rPr>
            </w:pPr>
            <w:r w:rsidRPr="005E22F6">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D3EABA7"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84BFDB6" w14:textId="77777777" w:rsidR="00AB47BF" w:rsidRPr="005E22F6" w:rsidRDefault="00AB47BF" w:rsidP="00AB47BF">
            <w:pPr>
              <w:pStyle w:val="TAL"/>
              <w:rPr>
                <w:sz w:val="16"/>
              </w:rPr>
            </w:pPr>
            <w:r w:rsidRPr="005E22F6">
              <w:rPr>
                <w:sz w:val="16"/>
              </w:rPr>
              <w:t>Correction for Network Performance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650F302"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7613A786"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60454445"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C5904F9"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20B29A"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770983C" w14:textId="77777777" w:rsidR="00AB47BF" w:rsidRPr="005E22F6" w:rsidRDefault="00AB47BF" w:rsidP="00AB47BF">
            <w:pPr>
              <w:pStyle w:val="TAL"/>
              <w:rPr>
                <w:rFonts w:cs="Arial"/>
                <w:sz w:val="16"/>
                <w:szCs w:val="16"/>
              </w:rPr>
            </w:pPr>
            <w:r w:rsidRPr="005E22F6">
              <w:rPr>
                <w:rFonts w:cs="Arial"/>
                <w:sz w:val="16"/>
                <w:szCs w:val="16"/>
              </w:rPr>
              <w:t>0837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8D0AEB" w14:textId="77777777" w:rsidR="00AB47BF" w:rsidRPr="005E22F6" w:rsidRDefault="00AB47BF" w:rsidP="00AB47BF">
            <w:pPr>
              <w:pStyle w:val="TAR"/>
              <w:rPr>
                <w:rFonts w:cs="Arial"/>
                <w:sz w:val="16"/>
                <w:szCs w:val="16"/>
              </w:rPr>
            </w:pPr>
            <w:r w:rsidRPr="005E22F6">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EE89A09"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C6A1BBE" w14:textId="77777777" w:rsidR="00AB47BF" w:rsidRPr="005E22F6" w:rsidRDefault="00AB47BF" w:rsidP="00AB47BF">
            <w:pPr>
              <w:pStyle w:val="TAL"/>
              <w:rPr>
                <w:sz w:val="16"/>
              </w:rPr>
            </w:pPr>
            <w:r w:rsidRPr="005E22F6">
              <w:rPr>
                <w:sz w:val="16"/>
              </w:rPr>
              <w:t>Correction for Dispersion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DB72502"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CADFCD2"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6B0EABCD"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E1B582"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D1491"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D0ADE70" w14:textId="77777777" w:rsidR="00AB47BF" w:rsidRPr="005E22F6" w:rsidRDefault="00AB47BF" w:rsidP="00AB47BF">
            <w:pPr>
              <w:pStyle w:val="TAL"/>
              <w:rPr>
                <w:rFonts w:cs="Arial"/>
                <w:sz w:val="16"/>
                <w:szCs w:val="16"/>
              </w:rPr>
            </w:pPr>
            <w:r w:rsidRPr="005E22F6">
              <w:rPr>
                <w:rFonts w:cs="Arial"/>
                <w:sz w:val="16"/>
                <w:szCs w:val="16"/>
              </w:rPr>
              <w:t>0838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5042769"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B68ADE0"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9E35632" w14:textId="77777777" w:rsidR="00AB47BF" w:rsidRPr="005E22F6" w:rsidRDefault="00AB47BF" w:rsidP="00AB47BF">
            <w:pPr>
              <w:pStyle w:val="TAL"/>
              <w:rPr>
                <w:sz w:val="16"/>
              </w:rPr>
            </w:pPr>
            <w:r w:rsidRPr="005E22F6">
              <w:rPr>
                <w:sz w:val="16"/>
              </w:rPr>
              <w:t>Update WLAN performance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16EA49E"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752FE197"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09C8B958"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47B14A8"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D4759E"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1B104F0" w14:textId="77777777" w:rsidR="00AB47BF" w:rsidRPr="005E22F6" w:rsidRDefault="00AB47BF" w:rsidP="00AB47BF">
            <w:pPr>
              <w:pStyle w:val="TAL"/>
              <w:rPr>
                <w:rFonts w:cs="Arial"/>
                <w:sz w:val="16"/>
                <w:szCs w:val="16"/>
              </w:rPr>
            </w:pPr>
            <w:r w:rsidRPr="005E22F6">
              <w:rPr>
                <w:rFonts w:cs="Arial"/>
                <w:sz w:val="16"/>
                <w:szCs w:val="16"/>
              </w:rPr>
              <w:t>0839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F176385"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F51DA95"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23B43DF" w14:textId="77777777" w:rsidR="00AB47BF" w:rsidRPr="005E22F6" w:rsidRDefault="00AB47BF" w:rsidP="00AB47BF">
            <w:pPr>
              <w:pStyle w:val="TAL"/>
              <w:rPr>
                <w:sz w:val="16"/>
              </w:rPr>
            </w:pPr>
            <w:r w:rsidRPr="005E22F6">
              <w:rPr>
                <w:sz w:val="16"/>
              </w:rPr>
              <w:t>Misplaced locAccInfos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6A78F43"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711F6924"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48EE5F68"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CEF4DD"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94CB8E"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051D76F" w14:textId="77777777" w:rsidR="00AB47BF" w:rsidRPr="005E22F6" w:rsidRDefault="00AB47BF" w:rsidP="00AB47BF">
            <w:pPr>
              <w:pStyle w:val="TAL"/>
              <w:rPr>
                <w:rFonts w:cs="Arial"/>
                <w:sz w:val="16"/>
                <w:szCs w:val="16"/>
              </w:rPr>
            </w:pPr>
            <w:r w:rsidRPr="005E22F6">
              <w:rPr>
                <w:rFonts w:cs="Arial"/>
                <w:sz w:val="16"/>
                <w:szCs w:val="16"/>
              </w:rPr>
              <w:t>0840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EC296CA"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A1F9893"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92D2D66" w14:textId="77777777" w:rsidR="00AB47BF" w:rsidRPr="005E22F6" w:rsidRDefault="00AB47BF" w:rsidP="00AB47BF">
            <w:pPr>
              <w:pStyle w:val="TAL"/>
              <w:rPr>
                <w:sz w:val="16"/>
              </w:rPr>
            </w:pPr>
            <w:r w:rsidRPr="005E22F6">
              <w:rPr>
                <w:sz w:val="16"/>
              </w:rPr>
              <w:t>Missing LosNlos indication in LocAccuracyPerMethod</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5336E6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1694A09"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5D11705B"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1102AA7"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41091B"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E0732BE" w14:textId="77777777" w:rsidR="00AB47BF" w:rsidRPr="005E22F6" w:rsidRDefault="00AB47BF" w:rsidP="00AB47BF">
            <w:pPr>
              <w:pStyle w:val="TAL"/>
              <w:rPr>
                <w:rFonts w:cs="Arial"/>
                <w:sz w:val="16"/>
                <w:szCs w:val="16"/>
              </w:rPr>
            </w:pPr>
            <w:r w:rsidRPr="005E22F6">
              <w:rPr>
                <w:rFonts w:cs="Arial"/>
                <w:sz w:val="16"/>
                <w:szCs w:val="16"/>
              </w:rPr>
              <w:t>0841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327179"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B380F9D"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0BBE004" w14:textId="77777777" w:rsidR="00AB47BF" w:rsidRPr="005E22F6" w:rsidRDefault="00AB47BF" w:rsidP="00AB47BF">
            <w:pPr>
              <w:pStyle w:val="TAL"/>
              <w:rPr>
                <w:sz w:val="16"/>
              </w:rPr>
            </w:pPr>
            <w:r w:rsidRPr="005E22F6">
              <w:rPr>
                <w:sz w:val="16"/>
              </w:rPr>
              <w:t>Incorrect figures in notification procedures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28DB51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573FB346"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1F4A1FD3"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B3B259"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CDF238"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0D25224" w14:textId="77777777" w:rsidR="00AB47BF" w:rsidRPr="005E22F6" w:rsidRDefault="00AB47BF" w:rsidP="00AB47BF">
            <w:pPr>
              <w:pStyle w:val="TAL"/>
              <w:rPr>
                <w:rFonts w:cs="Arial"/>
                <w:sz w:val="16"/>
                <w:szCs w:val="16"/>
              </w:rPr>
            </w:pPr>
            <w:r w:rsidRPr="005E22F6">
              <w:rPr>
                <w:rFonts w:cs="Arial"/>
                <w:sz w:val="16"/>
                <w:szCs w:val="16"/>
              </w:rPr>
              <w:t>0842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A61C65"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9C4F6C"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19F981B" w14:textId="77777777" w:rsidR="00AB47BF" w:rsidRPr="005E22F6" w:rsidRDefault="00AB47BF" w:rsidP="00AB47BF">
            <w:pPr>
              <w:pStyle w:val="TAL"/>
              <w:rPr>
                <w:sz w:val="16"/>
              </w:rPr>
            </w:pPr>
            <w:r w:rsidRPr="005E22F6">
              <w:rPr>
                <w:sz w:val="16"/>
              </w:rPr>
              <w:t>Missing HTTP response code 200 for notification POST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29B34A7"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687D3A5"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41CD5EA5"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EB4AE17"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879380"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0328C1D" w14:textId="77777777" w:rsidR="00AB47BF" w:rsidRPr="005E22F6" w:rsidRDefault="00AB47BF" w:rsidP="00AB47BF">
            <w:pPr>
              <w:pStyle w:val="TAL"/>
              <w:rPr>
                <w:rFonts w:cs="Arial"/>
                <w:sz w:val="16"/>
                <w:szCs w:val="16"/>
              </w:rPr>
            </w:pPr>
            <w:r w:rsidRPr="005E22F6">
              <w:rPr>
                <w:rFonts w:cs="Arial"/>
                <w:sz w:val="16"/>
                <w:szCs w:val="16"/>
              </w:rPr>
              <w:t>0843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35FCB0"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82BE911"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7991834" w14:textId="77777777" w:rsidR="00AB47BF" w:rsidRPr="005E22F6" w:rsidRDefault="00AB47BF" w:rsidP="00AB47BF">
            <w:pPr>
              <w:pStyle w:val="TAL"/>
              <w:rPr>
                <w:sz w:val="16"/>
              </w:rPr>
            </w:pPr>
            <w:r w:rsidRPr="005E22F6">
              <w:rPr>
                <w:sz w:val="16"/>
              </w:rPr>
              <w:t>Wrong description of MLEventNotif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7425370"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C6FFAAF"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43CF2042"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154A1B"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C8EE9C"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276B9CD" w14:textId="77777777" w:rsidR="00AB47BF" w:rsidRPr="005E22F6" w:rsidRDefault="00AB47BF" w:rsidP="00AB47BF">
            <w:pPr>
              <w:pStyle w:val="TAL"/>
              <w:rPr>
                <w:rFonts w:cs="Arial"/>
                <w:sz w:val="16"/>
                <w:szCs w:val="16"/>
              </w:rPr>
            </w:pPr>
            <w:r w:rsidRPr="005E22F6">
              <w:rPr>
                <w:rFonts w:cs="Arial"/>
                <w:sz w:val="16"/>
                <w:szCs w:val="16"/>
              </w:rPr>
              <w:t>0844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FC2D33A"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02E252B"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554DF4D" w14:textId="77777777" w:rsidR="00AB47BF" w:rsidRPr="005E22F6" w:rsidRDefault="00AB47BF" w:rsidP="00AB47BF">
            <w:pPr>
              <w:pStyle w:val="TAL"/>
              <w:rPr>
                <w:sz w:val="16"/>
              </w:rPr>
            </w:pPr>
            <w:r w:rsidRPr="005E22F6">
              <w:rPr>
                <w:sz w:val="16"/>
              </w:rPr>
              <w:t>Correction of AdditionalMLModelInformation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4077068"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FFE65E0"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5EF0C831"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3CD79E"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89DBD"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C385797" w14:textId="77777777" w:rsidR="00AB47BF" w:rsidRPr="005E22F6" w:rsidRDefault="00AB47BF" w:rsidP="00AB47BF">
            <w:pPr>
              <w:pStyle w:val="TAL"/>
              <w:rPr>
                <w:rFonts w:cs="Arial"/>
                <w:sz w:val="16"/>
                <w:szCs w:val="16"/>
              </w:rPr>
            </w:pPr>
            <w:r w:rsidRPr="005E22F6">
              <w:rPr>
                <w:rFonts w:cs="Arial"/>
                <w:sz w:val="16"/>
                <w:szCs w:val="16"/>
              </w:rPr>
              <w:t>0845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885267A"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220271"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EC48703" w14:textId="77777777" w:rsidR="00AB47BF" w:rsidRPr="005E22F6" w:rsidRDefault="00AB47BF" w:rsidP="00AB47BF">
            <w:pPr>
              <w:pStyle w:val="TAL"/>
              <w:rPr>
                <w:sz w:val="16"/>
              </w:rPr>
            </w:pPr>
            <w:r w:rsidRPr="005E22F6">
              <w:rPr>
                <w:sz w:val="16"/>
              </w:rPr>
              <w:t>Adding model identifier to MLEventNotif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47C4F63"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E47DFCA"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0D972535"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A7B2C34"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5BD1CE"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78CC30B" w14:textId="77777777" w:rsidR="00AB47BF" w:rsidRPr="005E22F6" w:rsidRDefault="00AB47BF" w:rsidP="00AB47BF">
            <w:pPr>
              <w:pStyle w:val="TAL"/>
              <w:rPr>
                <w:rFonts w:cs="Arial"/>
                <w:sz w:val="16"/>
                <w:szCs w:val="16"/>
              </w:rPr>
            </w:pPr>
            <w:r w:rsidRPr="005E22F6">
              <w:rPr>
                <w:rFonts w:cs="Arial"/>
                <w:sz w:val="16"/>
                <w:szCs w:val="16"/>
              </w:rPr>
              <w:t>0846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237CD2"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787FFE"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3D32F48" w14:textId="77777777" w:rsidR="00AB47BF" w:rsidRPr="005E22F6" w:rsidRDefault="00AB47BF" w:rsidP="00AB47BF">
            <w:pPr>
              <w:pStyle w:val="TAL"/>
              <w:rPr>
                <w:sz w:val="16"/>
              </w:rPr>
            </w:pPr>
            <w:r w:rsidRPr="005E22F6">
              <w:rPr>
                <w:sz w:val="16"/>
              </w:rPr>
              <w:t>Correction of mLModelInfos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7C9A83D"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4B3E521B"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166101A2"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2884EA3"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3D9230"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F1E2682" w14:textId="77777777" w:rsidR="00AB47BF" w:rsidRPr="005E22F6" w:rsidRDefault="00AB47BF" w:rsidP="00AB47BF">
            <w:pPr>
              <w:pStyle w:val="TAL"/>
              <w:rPr>
                <w:rFonts w:cs="Arial"/>
                <w:sz w:val="16"/>
                <w:szCs w:val="16"/>
              </w:rPr>
            </w:pPr>
            <w:r w:rsidRPr="005E22F6">
              <w:rPr>
                <w:rFonts w:cs="Arial"/>
                <w:sz w:val="16"/>
                <w:szCs w:val="16"/>
              </w:rPr>
              <w:t>0847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2B838B8"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64CF7A"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6782CB2" w14:textId="77777777" w:rsidR="00AB47BF" w:rsidRPr="005E22F6" w:rsidRDefault="00AB47BF" w:rsidP="00AB47BF">
            <w:pPr>
              <w:pStyle w:val="TAL"/>
              <w:rPr>
                <w:sz w:val="16"/>
              </w:rPr>
            </w:pPr>
            <w:r w:rsidRPr="005E22F6">
              <w:rPr>
                <w:sz w:val="16"/>
              </w:rPr>
              <w:t>Roaming-related errors in Analytics Suscriptions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B579D67"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10215F4"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30E0BFE9"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92F08EA"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75C67B"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D4C55D8" w14:textId="77777777" w:rsidR="00AB47BF" w:rsidRPr="005E22F6" w:rsidRDefault="00AB47BF" w:rsidP="00AB47BF">
            <w:pPr>
              <w:pStyle w:val="TAL"/>
              <w:rPr>
                <w:rFonts w:cs="Arial"/>
                <w:sz w:val="16"/>
                <w:szCs w:val="16"/>
              </w:rPr>
            </w:pPr>
            <w:r w:rsidRPr="005E22F6">
              <w:rPr>
                <w:rFonts w:cs="Arial"/>
                <w:sz w:val="16"/>
                <w:szCs w:val="16"/>
              </w:rPr>
              <w:t>0848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860E4B"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5DF3063"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E4FF0F9" w14:textId="77777777" w:rsidR="00AB47BF" w:rsidRPr="005E22F6" w:rsidRDefault="00AB47BF" w:rsidP="00AB47BF">
            <w:pPr>
              <w:pStyle w:val="TAL"/>
              <w:rPr>
                <w:sz w:val="16"/>
              </w:rPr>
            </w:pPr>
            <w:r w:rsidRPr="005E22F6">
              <w:rPr>
                <w:sz w:val="16"/>
              </w:rPr>
              <w:t>Roaming-related errors in Analytics Info requests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BDC6456"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6647E29C"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1810FBE6"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9C5A41"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F5631"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BDA62D4" w14:textId="77777777" w:rsidR="00AB47BF" w:rsidRPr="005E22F6" w:rsidRDefault="00AB47BF" w:rsidP="00AB47BF">
            <w:pPr>
              <w:pStyle w:val="TAL"/>
              <w:rPr>
                <w:rFonts w:cs="Arial"/>
                <w:sz w:val="16"/>
                <w:szCs w:val="16"/>
              </w:rPr>
            </w:pPr>
            <w:r w:rsidRPr="005E22F6">
              <w:rPr>
                <w:rFonts w:cs="Arial"/>
                <w:sz w:val="16"/>
                <w:szCs w:val="16"/>
              </w:rPr>
              <w:t>0849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40E2E5D"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F158D56"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8DBF747" w14:textId="77777777" w:rsidR="00AB47BF" w:rsidRPr="005E22F6" w:rsidRDefault="00AB47BF" w:rsidP="00AB47BF">
            <w:pPr>
              <w:pStyle w:val="TAL"/>
              <w:rPr>
                <w:sz w:val="16"/>
              </w:rPr>
            </w:pPr>
            <w:r w:rsidRPr="005E22F6">
              <w:rPr>
                <w:sz w:val="16"/>
              </w:rPr>
              <w:t>Error handling in RoamingAnalytics and RoamingData</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9AA533C"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CAF789E"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6ECD7541"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181EBF"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606106"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77702A3" w14:textId="77777777" w:rsidR="00AB47BF" w:rsidRPr="005E22F6" w:rsidRDefault="00AB47BF" w:rsidP="00AB47BF">
            <w:pPr>
              <w:pStyle w:val="TAL"/>
              <w:rPr>
                <w:rFonts w:cs="Arial"/>
                <w:sz w:val="16"/>
                <w:szCs w:val="16"/>
              </w:rPr>
            </w:pPr>
            <w:r w:rsidRPr="005E22F6">
              <w:rPr>
                <w:rFonts w:cs="Arial"/>
                <w:sz w:val="16"/>
                <w:szCs w:val="16"/>
              </w:rPr>
              <w:t>0850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AD10CB"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69EC9A"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FA693E8" w14:textId="77777777" w:rsidR="00AB47BF" w:rsidRPr="005E22F6" w:rsidRDefault="00AB47BF" w:rsidP="00AB47BF">
            <w:pPr>
              <w:pStyle w:val="TAL"/>
              <w:rPr>
                <w:sz w:val="16"/>
              </w:rPr>
            </w:pPr>
            <w:r w:rsidRPr="005E22F6">
              <w:rPr>
                <w:sz w:val="16"/>
              </w:rPr>
              <w:t>Missing statements in the OpenAPI of the Events 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484FB7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5FC53FF2"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62B31964"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BE202EC"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96D94B"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E1B0FFA" w14:textId="77777777" w:rsidR="00AB47BF" w:rsidRPr="005E22F6" w:rsidRDefault="00AB47BF" w:rsidP="00AB47BF">
            <w:pPr>
              <w:pStyle w:val="TAL"/>
              <w:rPr>
                <w:rFonts w:cs="Arial"/>
                <w:sz w:val="16"/>
                <w:szCs w:val="16"/>
              </w:rPr>
            </w:pPr>
            <w:r w:rsidRPr="005E22F6">
              <w:rPr>
                <w:rFonts w:cs="Arial"/>
                <w:sz w:val="16"/>
                <w:szCs w:val="16"/>
              </w:rPr>
              <w:t>0851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40BBDD"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740983"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B9DED17" w14:textId="77777777" w:rsidR="00AB47BF" w:rsidRPr="005E22F6" w:rsidRDefault="00AB47BF" w:rsidP="00AB47BF">
            <w:pPr>
              <w:pStyle w:val="TAL"/>
              <w:rPr>
                <w:sz w:val="16"/>
              </w:rPr>
            </w:pPr>
            <w:r w:rsidRPr="005E22F6">
              <w:rPr>
                <w:sz w:val="16"/>
              </w:rPr>
              <w:t>Wrong attribute names in RoamingData</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49D40A1"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55AE78E"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2D33107D"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0C62A1"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307E73"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06FD1F3" w14:textId="77777777" w:rsidR="00AB47BF" w:rsidRPr="005E22F6" w:rsidRDefault="00AB47BF" w:rsidP="00AB47BF">
            <w:pPr>
              <w:pStyle w:val="TAL"/>
              <w:rPr>
                <w:rFonts w:cs="Arial"/>
                <w:sz w:val="16"/>
                <w:szCs w:val="16"/>
              </w:rPr>
            </w:pPr>
            <w:r w:rsidRPr="005E22F6">
              <w:rPr>
                <w:rFonts w:cs="Arial"/>
                <w:sz w:val="16"/>
                <w:szCs w:val="16"/>
              </w:rPr>
              <w:t>0852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D63EC2"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232461C"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DB86B67" w14:textId="77777777" w:rsidR="00AB47BF" w:rsidRPr="005E22F6" w:rsidRDefault="00AB47BF" w:rsidP="00AB47BF">
            <w:pPr>
              <w:pStyle w:val="TAL"/>
              <w:rPr>
                <w:sz w:val="16"/>
              </w:rPr>
            </w:pPr>
            <w:r w:rsidRPr="005E22F6">
              <w:rPr>
                <w:sz w:val="16"/>
              </w:rPr>
              <w:t>Missing response code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FD0FFC"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FE2CDEC"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0B71DE1F"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631332"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42707"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CBA046C" w14:textId="77777777" w:rsidR="00AB47BF" w:rsidRPr="005E22F6" w:rsidRDefault="00AB47BF" w:rsidP="00AB47BF">
            <w:pPr>
              <w:pStyle w:val="TAL"/>
              <w:rPr>
                <w:rFonts w:cs="Arial"/>
                <w:sz w:val="16"/>
                <w:szCs w:val="16"/>
              </w:rPr>
            </w:pPr>
            <w:r w:rsidRPr="005E22F6">
              <w:rPr>
                <w:rFonts w:cs="Arial"/>
                <w:sz w:val="16"/>
                <w:szCs w:val="16"/>
              </w:rPr>
              <w:t>0853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4864A5"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F49FDBD"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497EF70" w14:textId="77777777" w:rsidR="00AB47BF" w:rsidRPr="005E22F6" w:rsidRDefault="00AB47BF" w:rsidP="00AB47BF">
            <w:pPr>
              <w:pStyle w:val="TAL"/>
              <w:rPr>
                <w:sz w:val="16"/>
              </w:rPr>
            </w:pPr>
            <w:r w:rsidRPr="005E22F6">
              <w:rPr>
                <w:sz w:val="16"/>
              </w:rPr>
              <w:t>MLModelTraining errors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3C962DE"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DCD3A63"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0B02802C"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FBDC9E"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4B81EC" w14:textId="77777777" w:rsidR="00AB47BF" w:rsidRPr="005B3671" w:rsidRDefault="00AB47BF" w:rsidP="005B3671">
            <w:pPr>
              <w:pStyle w:val="TAC"/>
              <w:rPr>
                <w:sz w:val="16"/>
              </w:rPr>
            </w:pPr>
            <w:r w:rsidRPr="005B3671">
              <w:rPr>
                <w:sz w:val="16"/>
              </w:rPr>
              <w:t>CP-240177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1C4238F" w14:textId="77777777" w:rsidR="00AB47BF" w:rsidRPr="005E22F6" w:rsidRDefault="00AB47BF" w:rsidP="00AB47BF">
            <w:pPr>
              <w:pStyle w:val="TAL"/>
              <w:rPr>
                <w:rFonts w:cs="Arial"/>
                <w:sz w:val="16"/>
                <w:szCs w:val="16"/>
              </w:rPr>
            </w:pPr>
            <w:r w:rsidRPr="005E22F6">
              <w:rPr>
                <w:rFonts w:cs="Arial"/>
                <w:sz w:val="16"/>
                <w:szCs w:val="16"/>
              </w:rPr>
              <w:t>0854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C950336"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A8F56D"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BDC2306" w14:textId="77777777" w:rsidR="00AB47BF" w:rsidRPr="005E22F6" w:rsidRDefault="00AB47BF" w:rsidP="00AB47BF">
            <w:pPr>
              <w:pStyle w:val="TAL"/>
              <w:rPr>
                <w:sz w:val="16"/>
              </w:rPr>
            </w:pPr>
            <w:r w:rsidRPr="005E22F6">
              <w:rPr>
                <w:sz w:val="16"/>
              </w:rPr>
              <w:t>Missing provisions related to User Consent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7388183"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9D287E6"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6545997E"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1E5316"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664471"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65C6789" w14:textId="77777777" w:rsidR="00AB47BF" w:rsidRPr="005E22F6" w:rsidRDefault="00AB47BF" w:rsidP="00AB47BF">
            <w:pPr>
              <w:pStyle w:val="TAL"/>
              <w:rPr>
                <w:rFonts w:cs="Arial"/>
                <w:sz w:val="16"/>
                <w:szCs w:val="16"/>
              </w:rPr>
            </w:pPr>
            <w:r w:rsidRPr="005E22F6">
              <w:rPr>
                <w:rFonts w:cs="Arial"/>
                <w:sz w:val="16"/>
                <w:szCs w:val="16"/>
              </w:rPr>
              <w:t>0855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1FCCD5B"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5F0D0D"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B848243" w14:textId="77777777" w:rsidR="00AB47BF" w:rsidRPr="005E22F6" w:rsidRDefault="00AB47BF" w:rsidP="00AB47BF">
            <w:pPr>
              <w:pStyle w:val="TAL"/>
              <w:rPr>
                <w:sz w:val="16"/>
              </w:rPr>
            </w:pPr>
            <w:r w:rsidRPr="005E22F6">
              <w:rPr>
                <w:sz w:val="16"/>
              </w:rPr>
              <w:t>Enhancement of Nnwdaf_AnalyticsInfo_ContextTransfer service operation to support Analytics context transfer</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5863CAC"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6F58729"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3CB44E3C"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2A18CE"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067BD7"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1C9BB40" w14:textId="77777777" w:rsidR="00AB47BF" w:rsidRPr="005E22F6" w:rsidRDefault="00AB47BF" w:rsidP="00AB47BF">
            <w:pPr>
              <w:pStyle w:val="TAL"/>
              <w:rPr>
                <w:rFonts w:cs="Arial"/>
                <w:sz w:val="16"/>
                <w:szCs w:val="16"/>
              </w:rPr>
            </w:pPr>
            <w:r w:rsidRPr="005E22F6">
              <w:rPr>
                <w:rFonts w:cs="Arial"/>
                <w:sz w:val="16"/>
                <w:szCs w:val="16"/>
              </w:rPr>
              <w:t>0856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3215F6B"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2564532"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2A940EB" w14:textId="77777777" w:rsidR="00AB47BF" w:rsidRPr="005E22F6" w:rsidRDefault="00AB47BF" w:rsidP="00AB47BF">
            <w:pPr>
              <w:pStyle w:val="TAL"/>
              <w:rPr>
                <w:sz w:val="16"/>
              </w:rPr>
            </w:pPr>
            <w:r w:rsidRPr="005E22F6">
              <w:rPr>
                <w:sz w:val="16"/>
              </w:rPr>
              <w:t>Enhancement of Nnwdaf_MLModelProvision API to support Analytics context transfer</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22C423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018BEB6"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344EEC83"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D43568"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11AC20"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B051D31" w14:textId="77777777" w:rsidR="00AB47BF" w:rsidRPr="005E22F6" w:rsidRDefault="00AB47BF" w:rsidP="00AB47BF">
            <w:pPr>
              <w:pStyle w:val="TAL"/>
              <w:rPr>
                <w:rFonts w:cs="Arial"/>
                <w:sz w:val="16"/>
                <w:szCs w:val="16"/>
              </w:rPr>
            </w:pPr>
            <w:r w:rsidRPr="005E22F6">
              <w:rPr>
                <w:rFonts w:cs="Arial"/>
                <w:sz w:val="16"/>
                <w:szCs w:val="16"/>
              </w:rPr>
              <w:t>0857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E3DCB46"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3AC1A9D"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85DF3C" w14:textId="77777777" w:rsidR="00AB47BF" w:rsidRPr="005E22F6" w:rsidRDefault="00AB47BF" w:rsidP="00AB47BF">
            <w:pPr>
              <w:pStyle w:val="TAL"/>
              <w:rPr>
                <w:sz w:val="16"/>
              </w:rPr>
            </w:pPr>
            <w:r w:rsidRPr="005E22F6">
              <w:rPr>
                <w:sz w:val="16"/>
              </w:rPr>
              <w:t>Enhancement of Nnwdaf_MLModelMonitor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D1F7B6"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AD99714"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20590B6F"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186776"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45CDF2"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2FA799B" w14:textId="77777777" w:rsidR="00AB47BF" w:rsidRPr="005E22F6" w:rsidRDefault="00AB47BF" w:rsidP="00AB47BF">
            <w:pPr>
              <w:pStyle w:val="TAL"/>
              <w:rPr>
                <w:rFonts w:cs="Arial"/>
                <w:sz w:val="16"/>
                <w:szCs w:val="16"/>
              </w:rPr>
            </w:pPr>
            <w:r w:rsidRPr="005E22F6">
              <w:rPr>
                <w:rFonts w:cs="Arial"/>
                <w:sz w:val="16"/>
                <w:szCs w:val="16"/>
              </w:rPr>
              <w:t>0858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180E17"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BE17FF1"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4F6167F" w14:textId="77777777" w:rsidR="00AB47BF" w:rsidRPr="005E22F6" w:rsidRDefault="00AB47BF" w:rsidP="00AB47BF">
            <w:pPr>
              <w:pStyle w:val="TAL"/>
              <w:rPr>
                <w:sz w:val="16"/>
              </w:rPr>
            </w:pPr>
            <w:r w:rsidRPr="005E22F6">
              <w:rPr>
                <w:sz w:val="16"/>
              </w:rPr>
              <w:t>Enhancement of PFD Determination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FC9C6B9"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63F311C"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78859515"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B53706"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0CA657"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6562430" w14:textId="77777777" w:rsidR="00AB47BF" w:rsidRPr="005E22F6" w:rsidRDefault="00AB47BF" w:rsidP="00AB47BF">
            <w:pPr>
              <w:pStyle w:val="TAL"/>
              <w:rPr>
                <w:rFonts w:cs="Arial"/>
                <w:sz w:val="16"/>
                <w:szCs w:val="16"/>
              </w:rPr>
            </w:pPr>
            <w:r w:rsidRPr="005E22F6">
              <w:rPr>
                <w:rFonts w:cs="Arial"/>
                <w:sz w:val="16"/>
                <w:szCs w:val="16"/>
              </w:rPr>
              <w:t>0859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B6EAFA"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6152BC"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DAFCEF1" w14:textId="77777777" w:rsidR="00AB47BF" w:rsidRPr="005E22F6" w:rsidRDefault="00AB47BF" w:rsidP="00AB47BF">
            <w:pPr>
              <w:pStyle w:val="TAL"/>
              <w:rPr>
                <w:sz w:val="16"/>
              </w:rPr>
            </w:pPr>
            <w:r w:rsidRPr="005E22F6">
              <w:rPr>
                <w:sz w:val="16"/>
              </w:rPr>
              <w:t>Removal of the EN for distance thresholds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CA2A27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4E2E2221"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414BA11D"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70BA3E"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A594CC"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34A1965" w14:textId="77777777" w:rsidR="00AB47BF" w:rsidRPr="005E22F6" w:rsidRDefault="00AB47BF" w:rsidP="00AB47BF">
            <w:pPr>
              <w:pStyle w:val="TAL"/>
              <w:rPr>
                <w:rFonts w:cs="Arial"/>
                <w:sz w:val="16"/>
                <w:szCs w:val="16"/>
              </w:rPr>
            </w:pPr>
            <w:r w:rsidRPr="005E22F6">
              <w:rPr>
                <w:rFonts w:cs="Arial"/>
                <w:sz w:val="16"/>
                <w:szCs w:val="16"/>
              </w:rPr>
              <w:t>0860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BD15E1"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FD1894"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4A4B651" w14:textId="77777777" w:rsidR="00AB47BF" w:rsidRPr="005E22F6" w:rsidRDefault="00AB47BF" w:rsidP="00AB47BF">
            <w:pPr>
              <w:pStyle w:val="TAL"/>
              <w:rPr>
                <w:sz w:val="16"/>
              </w:rPr>
            </w:pPr>
            <w:r w:rsidRPr="005E22F6">
              <w:rPr>
                <w:sz w:val="16"/>
              </w:rPr>
              <w:t>Resolve the Editor's Note for DN performance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DF2FF0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28435C74"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5AE0387C"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6E3C77C"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B68C31A" w14:textId="77777777" w:rsidR="00AB47BF" w:rsidRPr="005B3671" w:rsidRDefault="00AB47BF" w:rsidP="005B3671">
            <w:pPr>
              <w:pStyle w:val="TAC"/>
              <w:rPr>
                <w:sz w:val="16"/>
              </w:rPr>
            </w:pPr>
            <w:r w:rsidRPr="005B3671">
              <w:rPr>
                <w:sz w:val="16"/>
              </w:rPr>
              <w:t>CP-240161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D119B3C" w14:textId="77777777" w:rsidR="00AB47BF" w:rsidRPr="005E22F6" w:rsidRDefault="00AB47BF" w:rsidP="00AB47BF">
            <w:pPr>
              <w:pStyle w:val="TAL"/>
              <w:rPr>
                <w:rFonts w:cs="Arial"/>
                <w:sz w:val="16"/>
                <w:szCs w:val="16"/>
              </w:rPr>
            </w:pPr>
            <w:r w:rsidRPr="005E22F6">
              <w:rPr>
                <w:rFonts w:cs="Arial"/>
                <w:sz w:val="16"/>
                <w:szCs w:val="16"/>
              </w:rPr>
              <w:t>0861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77CF7A7" w14:textId="77777777" w:rsidR="00AB47BF" w:rsidRPr="005E22F6" w:rsidRDefault="00AB47BF" w:rsidP="00AB47BF">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035BDFA"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8C5E07B" w14:textId="77777777" w:rsidR="00AB47BF" w:rsidRPr="005E22F6" w:rsidRDefault="00AB47BF" w:rsidP="00AB47BF">
            <w:pPr>
              <w:pStyle w:val="TAL"/>
              <w:rPr>
                <w:sz w:val="16"/>
              </w:rPr>
            </w:pPr>
            <w:r w:rsidRPr="005E22F6">
              <w:rPr>
                <w:sz w:val="16"/>
              </w:rPr>
              <w:t>Resolve the Editor's Note for accuracy request in Nnwdaf_AnalyticsInfo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A41C585"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186FC221"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3B3E9F83" w14:textId="77777777" w:rsidR="00AB47BF" w:rsidRPr="005B3671" w:rsidRDefault="00AB47BF" w:rsidP="005B3671">
            <w:pPr>
              <w:pStyle w:val="TAC"/>
              <w:rPr>
                <w:sz w:val="16"/>
              </w:rPr>
            </w:pPr>
            <w:r w:rsidRPr="005B3671">
              <w:rPr>
                <w:sz w:val="16"/>
              </w:rPr>
              <w:lastRenderedPageBreak/>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7A4878"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3B024E" w14:textId="77777777" w:rsidR="00AB47BF" w:rsidRPr="005B3671" w:rsidRDefault="00AB47BF" w:rsidP="005B3671">
            <w:pPr>
              <w:pStyle w:val="TAC"/>
              <w:rPr>
                <w:sz w:val="16"/>
              </w:rPr>
            </w:pPr>
            <w:r w:rsidRPr="005B3671">
              <w:rPr>
                <w:sz w:val="16"/>
              </w:rPr>
              <w:t>CP-240162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4D43497" w14:textId="77777777" w:rsidR="00AB47BF" w:rsidRPr="005E22F6" w:rsidRDefault="00AB47BF" w:rsidP="00AB47BF">
            <w:pPr>
              <w:pStyle w:val="TAL"/>
              <w:rPr>
                <w:rFonts w:cs="Arial"/>
                <w:sz w:val="16"/>
                <w:szCs w:val="16"/>
              </w:rPr>
            </w:pPr>
            <w:r w:rsidRPr="005E22F6">
              <w:rPr>
                <w:rFonts w:cs="Arial"/>
                <w:sz w:val="16"/>
                <w:szCs w:val="16"/>
              </w:rPr>
              <w:t>0862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BF25EEB"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C3043F3"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2AB8E4E" w14:textId="77777777" w:rsidR="00AB47BF" w:rsidRPr="005E22F6" w:rsidRDefault="00AB47BF" w:rsidP="00AB47BF">
            <w:pPr>
              <w:pStyle w:val="TAL"/>
              <w:rPr>
                <w:sz w:val="16"/>
              </w:rPr>
            </w:pPr>
            <w:r w:rsidRPr="005E22F6">
              <w:rPr>
                <w:sz w:val="16"/>
              </w:rPr>
              <w:t>Support of analytics and ML model accuracy context transfer</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A7F15B0"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AFA2A7E"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12772084"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272817"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39E6C7" w14:textId="77777777" w:rsidR="00AB47BF" w:rsidRPr="005B3671" w:rsidRDefault="00AB47BF" w:rsidP="005B3671">
            <w:pPr>
              <w:pStyle w:val="TAC"/>
              <w:rPr>
                <w:sz w:val="16"/>
              </w:rPr>
            </w:pPr>
            <w:r w:rsidRPr="005B3671">
              <w:rPr>
                <w:sz w:val="16"/>
              </w:rPr>
              <w:t>CP-240177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45733D6" w14:textId="77777777" w:rsidR="00AB47BF" w:rsidRPr="005E22F6" w:rsidRDefault="00AB47BF" w:rsidP="00AB47BF">
            <w:pPr>
              <w:pStyle w:val="TAL"/>
              <w:rPr>
                <w:rFonts w:cs="Arial"/>
                <w:sz w:val="16"/>
                <w:szCs w:val="16"/>
              </w:rPr>
            </w:pPr>
            <w:r w:rsidRPr="005E22F6">
              <w:rPr>
                <w:rFonts w:cs="Arial"/>
                <w:sz w:val="16"/>
                <w:szCs w:val="16"/>
              </w:rPr>
              <w:t>0865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06C86E3"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7F8CE7" w14:textId="77777777" w:rsidR="00AB47BF" w:rsidRPr="005E22F6" w:rsidRDefault="00AB47BF" w:rsidP="00AB47BF">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E4D5CF9" w14:textId="77777777" w:rsidR="00AB47BF" w:rsidRPr="005E22F6" w:rsidRDefault="00AB47BF" w:rsidP="00AB47BF">
            <w:pPr>
              <w:pStyle w:val="TAL"/>
              <w:rPr>
                <w:sz w:val="16"/>
              </w:rPr>
            </w:pPr>
            <w:r w:rsidRPr="005E22F6">
              <w:rPr>
                <w:sz w:val="16"/>
              </w:rPr>
              <w:t>Corrections to boolean type definitions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8F49B64"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0E62B86E"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3A3CCB1D"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48D8DF"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B4CBD7" w14:textId="77777777" w:rsidR="00AB47BF" w:rsidRPr="005B3671" w:rsidRDefault="00AB47BF" w:rsidP="005B3671">
            <w:pPr>
              <w:pStyle w:val="TAC"/>
              <w:rPr>
                <w:sz w:val="16"/>
              </w:rPr>
            </w:pPr>
            <w:r w:rsidRPr="005B3671">
              <w:rPr>
                <w:sz w:val="16"/>
              </w:rPr>
              <w:t>CP-240177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4FCAF00" w14:textId="77777777" w:rsidR="00AB47BF" w:rsidRPr="005E22F6" w:rsidRDefault="00AB47BF" w:rsidP="00AB47BF">
            <w:pPr>
              <w:pStyle w:val="TAL"/>
              <w:rPr>
                <w:rFonts w:cs="Arial"/>
                <w:sz w:val="16"/>
                <w:szCs w:val="16"/>
              </w:rPr>
            </w:pPr>
            <w:r w:rsidRPr="005E22F6">
              <w:rPr>
                <w:rFonts w:cs="Arial"/>
                <w:sz w:val="16"/>
                <w:szCs w:val="16"/>
              </w:rPr>
              <w:t>0866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CD2802B"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8BE46A"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BC67479" w14:textId="77777777" w:rsidR="00AB47BF" w:rsidRPr="005E22F6" w:rsidRDefault="00AB47BF" w:rsidP="00AB47BF">
            <w:pPr>
              <w:pStyle w:val="TAL"/>
              <w:rPr>
                <w:sz w:val="16"/>
              </w:rPr>
            </w:pPr>
            <w:r w:rsidRPr="005E22F6">
              <w:rPr>
                <w:sz w:val="16"/>
              </w:rPr>
              <w:t>Clarification for user consent for retrieving data stored in the NWDAF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76F281D"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AB47BF" w:rsidRPr="005E22F6" w14:paraId="53DE517E"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7C4A09E8" w14:textId="77777777" w:rsidR="00AB47BF" w:rsidRPr="005B3671" w:rsidRDefault="00AB47BF" w:rsidP="005B3671">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F6B0118" w14:textId="77777777" w:rsidR="00AB47BF" w:rsidRPr="005B3671" w:rsidRDefault="00AB47BF" w:rsidP="005B3671">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15BA48" w14:textId="77777777" w:rsidR="00AB47BF" w:rsidRPr="005B3671" w:rsidRDefault="00AB47BF" w:rsidP="005B3671">
            <w:pPr>
              <w:pStyle w:val="TAC"/>
              <w:rPr>
                <w:sz w:val="16"/>
              </w:rPr>
            </w:pPr>
            <w:r w:rsidRPr="005B3671">
              <w:rPr>
                <w:sz w:val="16"/>
              </w:rPr>
              <w:t>CP-240174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7981759" w14:textId="77777777" w:rsidR="00AB47BF" w:rsidRPr="005E22F6" w:rsidRDefault="00AB47BF" w:rsidP="00AB47BF">
            <w:pPr>
              <w:pStyle w:val="TAL"/>
              <w:rPr>
                <w:rFonts w:cs="Arial"/>
                <w:sz w:val="16"/>
                <w:szCs w:val="16"/>
              </w:rPr>
            </w:pPr>
            <w:r w:rsidRPr="005E22F6">
              <w:rPr>
                <w:rFonts w:cs="Arial"/>
                <w:sz w:val="16"/>
                <w:szCs w:val="16"/>
              </w:rPr>
              <w:t>0868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0C49E34" w14:textId="77777777" w:rsidR="00AB47BF" w:rsidRPr="005E22F6" w:rsidRDefault="00AB47BF" w:rsidP="00AB47BF">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1F607CF" w14:textId="77777777" w:rsidR="00AB47BF" w:rsidRPr="005E22F6" w:rsidRDefault="00AB47BF" w:rsidP="00AB47BF">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6965EA5" w14:textId="77777777" w:rsidR="00AB47BF" w:rsidRPr="005E22F6" w:rsidRDefault="00AB47BF" w:rsidP="00AB47BF">
            <w:pPr>
              <w:pStyle w:val="TAL"/>
              <w:rPr>
                <w:sz w:val="16"/>
              </w:rPr>
            </w:pPr>
            <w:r w:rsidRPr="005E22F6">
              <w:rPr>
                <w:sz w:val="16"/>
              </w:rPr>
              <w:t>Updates to E2E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1B9E6F7" w14:textId="77777777" w:rsidR="00AB47BF" w:rsidRPr="005E22F6" w:rsidRDefault="00AB47BF" w:rsidP="00AB47BF">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4562D4C9"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12E93EB9" w14:textId="77777777" w:rsidR="007439B5" w:rsidRPr="005B3671" w:rsidRDefault="007439B5" w:rsidP="007439B5">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17F190" w14:textId="77777777" w:rsidR="007439B5" w:rsidRPr="005B3671" w:rsidRDefault="007439B5" w:rsidP="007439B5">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AD730" w14:textId="77777777" w:rsidR="007439B5" w:rsidRPr="005B3671" w:rsidRDefault="007439B5" w:rsidP="007439B5">
            <w:pPr>
              <w:pStyle w:val="TAC"/>
              <w:rPr>
                <w:sz w:val="16"/>
              </w:rPr>
            </w:pPr>
            <w:r w:rsidRPr="005B3671">
              <w:rPr>
                <w:sz w:val="16"/>
              </w:rPr>
              <w:t>CP-240174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D3E16EB" w14:textId="77777777" w:rsidR="007439B5" w:rsidRPr="005E22F6" w:rsidRDefault="007439B5" w:rsidP="007439B5">
            <w:pPr>
              <w:pStyle w:val="TAL"/>
              <w:rPr>
                <w:rFonts w:cs="Arial"/>
                <w:sz w:val="16"/>
                <w:szCs w:val="16"/>
              </w:rPr>
            </w:pPr>
            <w:r w:rsidRPr="005E22F6">
              <w:rPr>
                <w:rFonts w:cs="Arial"/>
                <w:sz w:val="16"/>
                <w:szCs w:val="16"/>
              </w:rPr>
              <w:t>086</w:t>
            </w:r>
            <w:r>
              <w:rPr>
                <w:rFonts w:cs="Arial"/>
                <w:sz w:val="16"/>
                <w:szCs w:val="16"/>
              </w:rPr>
              <w:t>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201FDFB" w14:textId="77777777" w:rsidR="007439B5" w:rsidRPr="005E22F6" w:rsidRDefault="007439B5" w:rsidP="007439B5">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793A08" w14:textId="77777777" w:rsidR="007439B5" w:rsidRPr="005E22F6" w:rsidRDefault="007439B5" w:rsidP="007439B5">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2B4396B" w14:textId="77777777" w:rsidR="007439B5" w:rsidRPr="005E22F6" w:rsidRDefault="007439B5" w:rsidP="007439B5">
            <w:pPr>
              <w:pStyle w:val="TAL"/>
              <w:rPr>
                <w:sz w:val="16"/>
              </w:rPr>
            </w:pPr>
            <w:r w:rsidRPr="007439B5">
              <w:rPr>
                <w:sz w:val="16"/>
              </w:rPr>
              <w:t>Updates to PFD Determination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70BA917" w14:textId="77777777" w:rsidR="007439B5" w:rsidRDefault="007439B5" w:rsidP="007439B5">
            <w:pPr>
              <w:pStyle w:val="TAC"/>
              <w:rPr>
                <w:rFonts w:hint="eastAsia"/>
                <w:sz w:val="16"/>
                <w:szCs w:val="16"/>
                <w:lang w:eastAsia="zh-CN"/>
              </w:rPr>
            </w:pPr>
            <w:r>
              <w:rPr>
                <w:rFonts w:hint="eastAsia"/>
                <w:sz w:val="16"/>
                <w:szCs w:val="16"/>
                <w:lang w:eastAsia="zh-CN"/>
              </w:rPr>
              <w:t>1</w:t>
            </w:r>
            <w:r>
              <w:rPr>
                <w:sz w:val="16"/>
                <w:szCs w:val="16"/>
                <w:lang w:eastAsia="zh-CN"/>
              </w:rPr>
              <w:t>8.5.0</w:t>
            </w:r>
          </w:p>
        </w:tc>
      </w:tr>
      <w:tr w:rsidR="007439B5" w:rsidRPr="005E22F6" w14:paraId="1E6532D2"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7B89FF67" w14:textId="77777777" w:rsidR="007439B5" w:rsidRPr="005B3671" w:rsidRDefault="007439B5" w:rsidP="007439B5">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181132" w14:textId="77777777" w:rsidR="007439B5" w:rsidRPr="005B3671" w:rsidRDefault="007439B5" w:rsidP="007439B5">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891E4" w14:textId="77777777" w:rsidR="007439B5" w:rsidRPr="005B3671" w:rsidRDefault="007439B5" w:rsidP="007439B5">
            <w:pPr>
              <w:pStyle w:val="TAC"/>
              <w:rPr>
                <w:sz w:val="16"/>
              </w:rPr>
            </w:pPr>
            <w:r w:rsidRPr="005B3671">
              <w:rPr>
                <w:sz w:val="16"/>
              </w:rPr>
              <w:t>CP-2401</w:t>
            </w:r>
            <w:r>
              <w:rPr>
                <w:sz w:val="16"/>
              </w:rPr>
              <w:t>74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6E1B2DE" w14:textId="77777777" w:rsidR="007439B5" w:rsidRPr="005E22F6" w:rsidRDefault="007439B5" w:rsidP="007439B5">
            <w:pPr>
              <w:pStyle w:val="TAL"/>
              <w:rPr>
                <w:rFonts w:cs="Arial"/>
                <w:sz w:val="16"/>
                <w:szCs w:val="16"/>
              </w:rPr>
            </w:pPr>
            <w:r w:rsidRPr="005E22F6">
              <w:rPr>
                <w:rFonts w:cs="Arial"/>
                <w:sz w:val="16"/>
                <w:szCs w:val="16"/>
              </w:rPr>
              <w:t>0870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97BCBA" w14:textId="77777777" w:rsidR="007439B5" w:rsidRPr="005E22F6" w:rsidRDefault="007439B5" w:rsidP="007439B5">
            <w:pPr>
              <w:pStyle w:val="TAR"/>
              <w:rPr>
                <w:rFonts w:cs="Arial"/>
                <w:sz w:val="16"/>
                <w:szCs w:val="16"/>
              </w:rPr>
            </w:pPr>
            <w:r w:rsidRPr="005E22F6">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2FE963" w14:textId="77777777" w:rsidR="007439B5" w:rsidRPr="005E22F6" w:rsidRDefault="007439B5" w:rsidP="007439B5">
            <w:pPr>
              <w:pStyle w:val="TAC"/>
              <w:rPr>
                <w:sz w:val="16"/>
                <w:szCs w:val="16"/>
                <w:lang w:val="en-US" w:eastAsia="zh-CN"/>
              </w:rPr>
            </w:pPr>
            <w:r w:rsidRPr="005E22F6">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4194F2F" w14:textId="77777777" w:rsidR="007439B5" w:rsidRPr="005E22F6" w:rsidRDefault="007439B5" w:rsidP="007439B5">
            <w:pPr>
              <w:pStyle w:val="TAL"/>
              <w:rPr>
                <w:sz w:val="16"/>
              </w:rPr>
            </w:pPr>
            <w:r w:rsidRPr="005E22F6">
              <w:rPr>
                <w:sz w:val="16"/>
              </w:rPr>
              <w:t>Remove DNAI Parameter from E2E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9FF9E35" w14:textId="77777777" w:rsidR="007439B5" w:rsidRPr="005E22F6"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1974EC55"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2B5B546B" w14:textId="77777777" w:rsidR="007439B5" w:rsidRPr="005B3671" w:rsidRDefault="007439B5" w:rsidP="007439B5">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9C25433" w14:textId="77777777" w:rsidR="007439B5" w:rsidRPr="005B3671" w:rsidRDefault="007439B5" w:rsidP="007439B5">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525BB" w14:textId="77777777" w:rsidR="007439B5" w:rsidRPr="005B3671" w:rsidRDefault="007439B5" w:rsidP="007439B5">
            <w:pPr>
              <w:pStyle w:val="TAC"/>
              <w:rPr>
                <w:sz w:val="16"/>
              </w:rPr>
            </w:pPr>
            <w:r w:rsidRPr="005B3671">
              <w:rPr>
                <w:sz w:val="16"/>
              </w:rPr>
              <w:t>CP-2401</w:t>
            </w:r>
            <w:r>
              <w:rPr>
                <w:sz w:val="16"/>
              </w:rPr>
              <w:t>61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F2564C8" w14:textId="77777777" w:rsidR="007439B5" w:rsidRPr="005E22F6" w:rsidRDefault="007439B5" w:rsidP="007439B5">
            <w:pPr>
              <w:pStyle w:val="TAL"/>
              <w:rPr>
                <w:rFonts w:cs="Arial"/>
                <w:sz w:val="16"/>
                <w:szCs w:val="16"/>
              </w:rPr>
            </w:pPr>
            <w:r w:rsidRPr="005E22F6">
              <w:rPr>
                <w:rFonts w:cs="Arial"/>
                <w:sz w:val="16"/>
                <w:szCs w:val="16"/>
              </w:rPr>
              <w:t>0871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8980B12" w14:textId="77777777" w:rsidR="007439B5" w:rsidRPr="005E22F6" w:rsidRDefault="007439B5" w:rsidP="007439B5">
            <w:pPr>
              <w:pStyle w:val="TAR"/>
              <w:rPr>
                <w:rFonts w:cs="Arial"/>
                <w:sz w:val="16"/>
                <w:szCs w:val="16"/>
              </w:rPr>
            </w:pPr>
            <w:r w:rsidRPr="005E22F6">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ED9725" w14:textId="77777777" w:rsidR="007439B5" w:rsidRPr="005E22F6" w:rsidRDefault="007439B5" w:rsidP="007439B5">
            <w:pPr>
              <w:pStyle w:val="TAC"/>
              <w:rPr>
                <w:sz w:val="16"/>
                <w:szCs w:val="16"/>
                <w:lang w:val="en-US" w:eastAsia="zh-CN"/>
              </w:rPr>
            </w:pPr>
            <w:r w:rsidRPr="005E22F6">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4CC259B" w14:textId="77777777" w:rsidR="007439B5" w:rsidRPr="005E22F6" w:rsidRDefault="007439B5" w:rsidP="007439B5">
            <w:pPr>
              <w:pStyle w:val="TAL"/>
              <w:rPr>
                <w:sz w:val="16"/>
              </w:rPr>
            </w:pPr>
            <w:r w:rsidRPr="005E22F6">
              <w:rPr>
                <w:sz w:val="16"/>
              </w:rPr>
              <w:t>Updates to the Service Architecture of Nnwdaf_MLModelProvision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CB89DF" w14:textId="77777777" w:rsidR="007439B5" w:rsidRPr="005E22F6"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7439B5" w:rsidRPr="005E22F6" w14:paraId="456C1CFF"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359B34D3" w14:textId="77777777" w:rsidR="007439B5" w:rsidRPr="005B3671" w:rsidRDefault="007439B5" w:rsidP="007439B5">
            <w:pPr>
              <w:pStyle w:val="TAC"/>
              <w:rPr>
                <w:sz w:val="16"/>
              </w:rPr>
            </w:pPr>
            <w:r w:rsidRPr="005B3671">
              <w:rPr>
                <w:sz w:val="16"/>
              </w:rPr>
              <w:t>2024-03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E46421E" w14:textId="77777777" w:rsidR="007439B5" w:rsidRPr="005B3671" w:rsidRDefault="007439B5" w:rsidP="007439B5">
            <w:pPr>
              <w:pStyle w:val="TAC"/>
              <w:rPr>
                <w:sz w:val="16"/>
              </w:rPr>
            </w:pPr>
            <w:r w:rsidRPr="005B3671">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634CF9" w14:textId="77777777" w:rsidR="007439B5" w:rsidRPr="005B3671" w:rsidRDefault="007439B5" w:rsidP="007439B5">
            <w:pPr>
              <w:pStyle w:val="TAC"/>
              <w:rPr>
                <w:sz w:val="16"/>
              </w:rPr>
            </w:pPr>
            <w:r w:rsidRPr="005B3671">
              <w:rPr>
                <w:sz w:val="16"/>
              </w:rPr>
              <w:t>CP-2401</w:t>
            </w:r>
            <w:r>
              <w:rPr>
                <w:sz w:val="16"/>
              </w:rPr>
              <w:t>66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48C984A" w14:textId="77777777" w:rsidR="007439B5" w:rsidRPr="005E22F6" w:rsidRDefault="007439B5" w:rsidP="007439B5">
            <w:pPr>
              <w:pStyle w:val="TAL"/>
              <w:rPr>
                <w:rFonts w:cs="Arial"/>
                <w:sz w:val="16"/>
                <w:szCs w:val="16"/>
              </w:rPr>
            </w:pPr>
            <w:r>
              <w:rPr>
                <w:rFonts w:cs="Arial"/>
                <w:sz w:val="16"/>
                <w:szCs w:val="16"/>
              </w:rPr>
              <w:t>0872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BB32B1" w14:textId="77777777" w:rsidR="007439B5" w:rsidRPr="005E22F6" w:rsidRDefault="007439B5" w:rsidP="007439B5">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9461AE" w14:textId="77777777" w:rsidR="007439B5" w:rsidRPr="005E22F6" w:rsidRDefault="007439B5" w:rsidP="007439B5">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F741E96" w14:textId="77777777" w:rsidR="007439B5" w:rsidRPr="005E22F6" w:rsidRDefault="007439B5" w:rsidP="007439B5">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4C645B0" w14:textId="77777777" w:rsidR="007439B5" w:rsidRPr="005E22F6" w:rsidRDefault="007439B5" w:rsidP="007439B5">
            <w:pPr>
              <w:pStyle w:val="TAC"/>
              <w:rPr>
                <w:sz w:val="16"/>
                <w:szCs w:val="16"/>
                <w:lang w:eastAsia="zh-CN"/>
              </w:rPr>
            </w:pPr>
            <w:r>
              <w:rPr>
                <w:rFonts w:hint="eastAsia"/>
                <w:sz w:val="16"/>
                <w:szCs w:val="16"/>
                <w:lang w:eastAsia="zh-CN"/>
              </w:rPr>
              <w:t>1</w:t>
            </w:r>
            <w:r>
              <w:rPr>
                <w:sz w:val="16"/>
                <w:szCs w:val="16"/>
                <w:lang w:eastAsia="zh-CN"/>
              </w:rPr>
              <w:t>8.5.0</w:t>
            </w:r>
          </w:p>
        </w:tc>
      </w:tr>
      <w:tr w:rsidR="002579FA" w:rsidRPr="005E22F6" w14:paraId="68E54992" w14:textId="77777777" w:rsidTr="005E22F6">
        <w:tc>
          <w:tcPr>
            <w:tcW w:w="796" w:type="dxa"/>
            <w:tcBorders>
              <w:top w:val="single" w:sz="6" w:space="0" w:color="auto"/>
              <w:left w:val="single" w:sz="6" w:space="0" w:color="auto"/>
              <w:bottom w:val="single" w:sz="6" w:space="0" w:color="auto"/>
              <w:right w:val="single" w:sz="6" w:space="0" w:color="auto"/>
            </w:tcBorders>
            <w:shd w:val="solid" w:color="FFFFFF" w:fill="auto"/>
          </w:tcPr>
          <w:p w14:paraId="5FA134FB" w14:textId="77777777" w:rsidR="002579FA" w:rsidRPr="005B3671" w:rsidRDefault="002579FA" w:rsidP="007439B5">
            <w:pPr>
              <w:pStyle w:val="TAC"/>
              <w:rPr>
                <w:sz w:val="16"/>
              </w:rPr>
            </w:pPr>
            <w:r>
              <w:rPr>
                <w:sz w:val="16"/>
              </w:rPr>
              <w:t>2024-04</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67A72ED" w14:textId="77777777" w:rsidR="002579FA" w:rsidRPr="005B3671" w:rsidRDefault="002579FA" w:rsidP="007439B5">
            <w:pPr>
              <w:pStyle w:val="TAC"/>
              <w:rPr>
                <w:sz w:val="16"/>
              </w:rPr>
            </w:pPr>
            <w:r>
              <w:rPr>
                <w:sz w:val="16"/>
              </w:rPr>
              <w:t>CT#103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7BD98" w14:textId="77777777" w:rsidR="002579FA" w:rsidRPr="005B3671" w:rsidRDefault="002579FA" w:rsidP="007439B5">
            <w:pPr>
              <w:pStyle w:val="TAC"/>
              <w:rPr>
                <w:sz w:val="16"/>
              </w:rPr>
            </w:pP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25165B4" w14:textId="77777777" w:rsidR="002579FA" w:rsidRDefault="002579FA" w:rsidP="007439B5">
            <w:pPr>
              <w:pStyle w:val="TAL"/>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B7A367" w14:textId="77777777" w:rsidR="002579FA" w:rsidRDefault="002579FA" w:rsidP="007439B5">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046762" w14:textId="77777777" w:rsidR="002579FA" w:rsidRDefault="002579FA" w:rsidP="007439B5">
            <w:pPr>
              <w:pStyle w:val="TAC"/>
              <w:rPr>
                <w:sz w:val="16"/>
                <w:szCs w:val="16"/>
                <w:lang w:val="en-US" w:eastAsia="zh-CN"/>
              </w:rPr>
            </w:pP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2FEE096" w14:textId="77777777" w:rsidR="002579FA" w:rsidRDefault="002579FA" w:rsidP="007439B5">
            <w:pPr>
              <w:pStyle w:val="TAL"/>
              <w:rPr>
                <w:sz w:val="16"/>
              </w:rPr>
            </w:pPr>
            <w:r>
              <w:rPr>
                <w:sz w:val="16"/>
              </w:rPr>
              <w:t xml:space="preserve">Correction of </w:t>
            </w:r>
            <w:r w:rsidRPr="002579FA">
              <w:rPr>
                <w:sz w:val="16"/>
              </w:rPr>
              <w:t>TS29520_Nnwdaf_EventsSubscription.yaml</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6FAA6FE" w14:textId="77777777" w:rsidR="002579FA" w:rsidRDefault="002579FA" w:rsidP="007439B5">
            <w:pPr>
              <w:pStyle w:val="TAC"/>
              <w:rPr>
                <w:rFonts w:hint="eastAsia"/>
                <w:sz w:val="16"/>
                <w:szCs w:val="16"/>
                <w:lang w:eastAsia="zh-CN"/>
              </w:rPr>
            </w:pPr>
            <w:r>
              <w:rPr>
                <w:sz w:val="16"/>
                <w:szCs w:val="16"/>
                <w:lang w:eastAsia="zh-CN"/>
              </w:rPr>
              <w:t>18.5.1</w:t>
            </w:r>
          </w:p>
        </w:tc>
      </w:tr>
      <w:tr w:rsidR="00132CE6" w:rsidRPr="00EF7075" w14:paraId="166AED7B"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3F444413"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F4652B"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9FB6A"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F8ECE59" w14:textId="77777777" w:rsidR="00132CE6" w:rsidRPr="00EF7075" w:rsidRDefault="00132CE6" w:rsidP="00132CE6">
            <w:pPr>
              <w:pStyle w:val="TAL"/>
              <w:rPr>
                <w:rFonts w:cs="Arial"/>
                <w:sz w:val="16"/>
                <w:szCs w:val="16"/>
              </w:rPr>
            </w:pPr>
            <w:r w:rsidRPr="00EF7075">
              <w:rPr>
                <w:rFonts w:cs="Arial"/>
                <w:sz w:val="16"/>
                <w:szCs w:val="16"/>
              </w:rPr>
              <w:t>0873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8F190E"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C0F710"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5D31DDE" w14:textId="77777777" w:rsidR="00132CE6" w:rsidRPr="00EF7075" w:rsidRDefault="00132CE6" w:rsidP="00132CE6">
            <w:pPr>
              <w:pStyle w:val="TAL"/>
              <w:rPr>
                <w:sz w:val="16"/>
              </w:rPr>
            </w:pPr>
            <w:r w:rsidRPr="00EF7075">
              <w:rPr>
                <w:sz w:val="16"/>
              </w:rPr>
              <w:t>Update PFD Determination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F2DADA1" w14:textId="77777777" w:rsidR="00132CE6" w:rsidRPr="00EF7075" w:rsidRDefault="00132CE6" w:rsidP="00132CE6">
            <w:pPr>
              <w:pStyle w:val="TAC"/>
              <w:rPr>
                <w:rFonts w:hint="eastAsia"/>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0696985"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F25420E"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363D9AA"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A25301"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6573E21" w14:textId="77777777" w:rsidR="00132CE6" w:rsidRPr="00EF7075" w:rsidRDefault="00132CE6" w:rsidP="00132CE6">
            <w:pPr>
              <w:pStyle w:val="TAL"/>
              <w:rPr>
                <w:rFonts w:cs="Arial"/>
                <w:sz w:val="16"/>
                <w:szCs w:val="16"/>
              </w:rPr>
            </w:pPr>
            <w:r w:rsidRPr="00EF7075">
              <w:rPr>
                <w:rFonts w:cs="Arial"/>
                <w:sz w:val="16"/>
                <w:szCs w:val="16"/>
              </w:rPr>
              <w:t>0874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F75FFD"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C2A4B3F"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D957DAA" w14:textId="77777777" w:rsidR="00132CE6" w:rsidRPr="00EF7075" w:rsidRDefault="00132CE6" w:rsidP="00132CE6">
            <w:pPr>
              <w:pStyle w:val="TAL"/>
              <w:rPr>
                <w:sz w:val="16"/>
              </w:rPr>
            </w:pPr>
            <w:r w:rsidRPr="00EF7075">
              <w:rPr>
                <w:sz w:val="16"/>
              </w:rPr>
              <w:t>ML file usage corrections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B02AB11"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18CF316"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701CB96"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AEC2324"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0D08A6"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F11A9B5" w14:textId="77777777" w:rsidR="00132CE6" w:rsidRPr="00EF7075" w:rsidRDefault="00132CE6" w:rsidP="00132CE6">
            <w:pPr>
              <w:pStyle w:val="TAL"/>
              <w:rPr>
                <w:rFonts w:cs="Arial"/>
                <w:sz w:val="16"/>
                <w:szCs w:val="16"/>
              </w:rPr>
            </w:pPr>
            <w:r w:rsidRPr="00EF7075">
              <w:rPr>
                <w:rFonts w:cs="Arial"/>
                <w:sz w:val="16"/>
                <w:szCs w:val="16"/>
              </w:rPr>
              <w:t>0875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3A88A0E"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C4F3F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5CFD2AB" w14:textId="77777777" w:rsidR="00132CE6" w:rsidRPr="00EF7075" w:rsidRDefault="00132CE6" w:rsidP="00132CE6">
            <w:pPr>
              <w:pStyle w:val="TAL"/>
              <w:rPr>
                <w:sz w:val="16"/>
              </w:rPr>
            </w:pPr>
            <w:r w:rsidRPr="00EF7075">
              <w:rPr>
                <w:sz w:val="16"/>
              </w:rPr>
              <w:t>Roaming Data notification correction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0D1F410"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6603D04"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75674B3"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7CB79"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D5AFA2"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9BFA90D" w14:textId="77777777" w:rsidR="00132CE6" w:rsidRPr="00EF7075" w:rsidRDefault="00132CE6" w:rsidP="00132CE6">
            <w:pPr>
              <w:pStyle w:val="TAL"/>
              <w:rPr>
                <w:rFonts w:cs="Arial"/>
                <w:sz w:val="16"/>
                <w:szCs w:val="16"/>
              </w:rPr>
            </w:pPr>
            <w:r w:rsidRPr="00EF7075">
              <w:rPr>
                <w:rFonts w:cs="Arial"/>
                <w:sz w:val="16"/>
                <w:szCs w:val="16"/>
              </w:rPr>
              <w:t>0876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C5315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029360"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DDC8943" w14:textId="77777777" w:rsidR="00132CE6" w:rsidRPr="00EF7075" w:rsidRDefault="00132CE6" w:rsidP="00132CE6">
            <w:pPr>
              <w:pStyle w:val="TAL"/>
              <w:rPr>
                <w:sz w:val="16"/>
              </w:rPr>
            </w:pPr>
            <w:r w:rsidRPr="00EF7075">
              <w:rPr>
                <w:sz w:val="16"/>
              </w:rPr>
              <w:t>Muting resolution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08AC2CF"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1D904C1"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51196AD"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CE249E"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5F9CF6" w14:textId="77777777" w:rsidR="00132CE6" w:rsidRPr="00EF7075" w:rsidRDefault="00132CE6" w:rsidP="00132CE6">
            <w:pPr>
              <w:pStyle w:val="TAC"/>
              <w:rPr>
                <w:sz w:val="16"/>
              </w:rPr>
            </w:pPr>
            <w:r w:rsidRPr="00132CE6">
              <w:rPr>
                <w:sz w:val="16"/>
              </w:rPr>
              <w:t>CP-241101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01561DC" w14:textId="77777777" w:rsidR="00132CE6" w:rsidRPr="00EF7075" w:rsidRDefault="00132CE6" w:rsidP="00132CE6">
            <w:pPr>
              <w:pStyle w:val="TAL"/>
              <w:rPr>
                <w:rFonts w:cs="Arial"/>
                <w:sz w:val="16"/>
                <w:szCs w:val="16"/>
              </w:rPr>
            </w:pPr>
            <w:r w:rsidRPr="00EF7075">
              <w:rPr>
                <w:rFonts w:cs="Arial"/>
                <w:sz w:val="16"/>
                <w:szCs w:val="16"/>
              </w:rPr>
              <w:t>0877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57FC41"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D75207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16AEFFD" w14:textId="77777777" w:rsidR="00132CE6" w:rsidRPr="00EF7075" w:rsidRDefault="00132CE6" w:rsidP="00132CE6">
            <w:pPr>
              <w:pStyle w:val="TAL"/>
              <w:rPr>
                <w:sz w:val="16"/>
              </w:rPr>
            </w:pPr>
            <w:r w:rsidRPr="00EF7075">
              <w:rPr>
                <w:sz w:val="16"/>
              </w:rPr>
              <w:t>Analytics   Subscription Transfer corrections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E857B5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DFF5C34"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5D98512E"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6F2F39"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736B8F" w14:textId="77777777" w:rsidR="00132CE6" w:rsidRPr="00EF7075" w:rsidRDefault="00132CE6" w:rsidP="00132CE6">
            <w:pPr>
              <w:pStyle w:val="TAC"/>
              <w:rPr>
                <w:sz w:val="16"/>
              </w:rPr>
            </w:pPr>
            <w:r w:rsidRPr="00132CE6">
              <w:rPr>
                <w:sz w:val="16"/>
              </w:rPr>
              <w:t>CP-241101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9F21C39" w14:textId="77777777" w:rsidR="00132CE6" w:rsidRPr="00EF7075" w:rsidRDefault="00132CE6" w:rsidP="00132CE6">
            <w:pPr>
              <w:pStyle w:val="TAL"/>
              <w:rPr>
                <w:rFonts w:cs="Arial"/>
                <w:sz w:val="16"/>
                <w:szCs w:val="16"/>
              </w:rPr>
            </w:pPr>
            <w:r w:rsidRPr="00EF7075">
              <w:rPr>
                <w:rFonts w:cs="Arial"/>
                <w:sz w:val="16"/>
                <w:szCs w:val="16"/>
              </w:rPr>
              <w:t>0878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831974A"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85D0E4"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5ABA0F5" w14:textId="77777777" w:rsidR="00132CE6" w:rsidRPr="00EF7075" w:rsidRDefault="00132CE6" w:rsidP="00132CE6">
            <w:pPr>
              <w:pStyle w:val="TAL"/>
              <w:rPr>
                <w:sz w:val="16"/>
              </w:rPr>
            </w:pPr>
            <w:r w:rsidRPr="00EF7075">
              <w:rPr>
                <w:sz w:val="16"/>
              </w:rPr>
              <w:t>Callback correction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44AA09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4AA0C2E"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78811C44"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2653C5"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6851CF"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E17303D" w14:textId="77777777" w:rsidR="00132CE6" w:rsidRPr="00EF7075" w:rsidRDefault="00132CE6" w:rsidP="00132CE6">
            <w:pPr>
              <w:pStyle w:val="TAL"/>
              <w:rPr>
                <w:rFonts w:cs="Arial"/>
                <w:sz w:val="16"/>
                <w:szCs w:val="16"/>
              </w:rPr>
            </w:pPr>
            <w:r w:rsidRPr="00EF7075">
              <w:rPr>
                <w:rFonts w:cs="Arial"/>
                <w:sz w:val="16"/>
                <w:szCs w:val="16"/>
              </w:rPr>
              <w:t>0879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AA27D49"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D2D5E"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B22C70" w14:textId="77777777" w:rsidR="00132CE6" w:rsidRPr="00EF7075" w:rsidRDefault="00132CE6" w:rsidP="00132CE6">
            <w:pPr>
              <w:pStyle w:val="TAL"/>
              <w:rPr>
                <w:sz w:val="16"/>
              </w:rPr>
            </w:pPr>
            <w:r w:rsidRPr="00EF7075">
              <w:rPr>
                <w:sz w:val="16"/>
              </w:rPr>
              <w:t>AnLF as consumer of the Nnwdaf_MLModelMonitor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A5FB4D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DC3B777"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0AA1F34B"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1FF28AA"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C7BFE0"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E18BE1B" w14:textId="77777777" w:rsidR="00132CE6" w:rsidRPr="00EF7075" w:rsidRDefault="00132CE6" w:rsidP="00132CE6">
            <w:pPr>
              <w:pStyle w:val="TAL"/>
              <w:rPr>
                <w:rFonts w:cs="Arial"/>
                <w:sz w:val="16"/>
                <w:szCs w:val="16"/>
              </w:rPr>
            </w:pPr>
            <w:r w:rsidRPr="00EF7075">
              <w:rPr>
                <w:rFonts w:cs="Arial"/>
                <w:sz w:val="16"/>
                <w:szCs w:val="16"/>
              </w:rPr>
              <w:t>0880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41F87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E59B02"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2789B41" w14:textId="77777777" w:rsidR="00132CE6" w:rsidRPr="00EF7075" w:rsidRDefault="00132CE6" w:rsidP="00132CE6">
            <w:pPr>
              <w:pStyle w:val="TAL"/>
              <w:rPr>
                <w:sz w:val="16"/>
              </w:rPr>
            </w:pPr>
            <w:r w:rsidRPr="00EF7075">
              <w:rPr>
                <w:sz w:val="16"/>
              </w:rPr>
              <w:t>Corrections related to immReports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7E8EC7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ED5BD0E"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8623934"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396C17"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46CED"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00366E9" w14:textId="77777777" w:rsidR="00132CE6" w:rsidRPr="00EF7075" w:rsidRDefault="00132CE6" w:rsidP="00132CE6">
            <w:pPr>
              <w:pStyle w:val="TAL"/>
              <w:rPr>
                <w:rFonts w:cs="Arial"/>
                <w:sz w:val="16"/>
                <w:szCs w:val="16"/>
              </w:rPr>
            </w:pPr>
            <w:r w:rsidRPr="00EF7075">
              <w:rPr>
                <w:rFonts w:cs="Arial"/>
                <w:sz w:val="16"/>
                <w:szCs w:val="16"/>
              </w:rPr>
              <w:t>0881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8FD5EF"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0EEAC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1516333" w14:textId="77777777" w:rsidR="00132CE6" w:rsidRPr="00EF7075" w:rsidRDefault="00132CE6" w:rsidP="00132CE6">
            <w:pPr>
              <w:pStyle w:val="TAL"/>
              <w:rPr>
                <w:sz w:val="16"/>
              </w:rPr>
            </w:pPr>
            <w:r w:rsidRPr="00EF7075">
              <w:rPr>
                <w:sz w:val="16"/>
              </w:rPr>
              <w:t>Completion of analytics events for Nnwdaf_MLModelProvision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A57A159"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8BEEED9"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8C2A73E"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E96B163"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20282F"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AB291C7" w14:textId="77777777" w:rsidR="00132CE6" w:rsidRPr="00EF7075" w:rsidRDefault="00132CE6" w:rsidP="00132CE6">
            <w:pPr>
              <w:pStyle w:val="TAL"/>
              <w:rPr>
                <w:rFonts w:cs="Arial"/>
                <w:sz w:val="16"/>
                <w:szCs w:val="16"/>
              </w:rPr>
            </w:pPr>
            <w:r w:rsidRPr="00EF7075">
              <w:rPr>
                <w:rFonts w:cs="Arial"/>
                <w:sz w:val="16"/>
                <w:szCs w:val="16"/>
              </w:rPr>
              <w:t>0882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8F5F20"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A4134AD"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28EB9D3" w14:textId="77777777" w:rsidR="00132CE6" w:rsidRPr="00EF7075" w:rsidRDefault="00132CE6" w:rsidP="00132CE6">
            <w:pPr>
              <w:pStyle w:val="TAL"/>
              <w:rPr>
                <w:sz w:val="16"/>
              </w:rPr>
            </w:pPr>
            <w:r w:rsidRPr="00EF7075">
              <w:rPr>
                <w:sz w:val="16"/>
              </w:rPr>
              <w:t>correction to MLModelTrainInfo</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87B9990"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68191E2"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3FDDC3E3"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9B0B920"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BBADC69"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AA6958A" w14:textId="77777777" w:rsidR="00132CE6" w:rsidRPr="00EF7075" w:rsidRDefault="00132CE6" w:rsidP="00132CE6">
            <w:pPr>
              <w:pStyle w:val="TAL"/>
              <w:rPr>
                <w:rFonts w:cs="Arial"/>
                <w:sz w:val="16"/>
                <w:szCs w:val="16"/>
              </w:rPr>
            </w:pPr>
            <w:r w:rsidRPr="00EF7075">
              <w:rPr>
                <w:rFonts w:cs="Arial"/>
                <w:sz w:val="16"/>
                <w:szCs w:val="16"/>
              </w:rPr>
              <w:t>0883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C3B077" w14:textId="77777777" w:rsidR="00132CE6" w:rsidRPr="00EF7075" w:rsidRDefault="00132CE6" w:rsidP="00132CE6">
            <w:pPr>
              <w:pStyle w:val="TAR"/>
              <w:rPr>
                <w:rFonts w:cs="Arial"/>
                <w:sz w:val="16"/>
                <w:szCs w:val="16"/>
              </w:rPr>
            </w:pPr>
            <w:r w:rsidRPr="00EF7075">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5559D32"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07C6A73" w14:textId="77777777" w:rsidR="00132CE6" w:rsidRPr="00EF7075" w:rsidRDefault="00132CE6" w:rsidP="00132CE6">
            <w:pPr>
              <w:pStyle w:val="TAL"/>
              <w:rPr>
                <w:sz w:val="16"/>
              </w:rPr>
            </w:pPr>
            <w:r w:rsidRPr="00EF7075">
              <w:rPr>
                <w:sz w:val="16"/>
              </w:rPr>
              <w:t>Support of model level use case context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00C64BE"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3DCB88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3C66DA2"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68B439"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D6B669"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520D3D5" w14:textId="77777777" w:rsidR="00132CE6" w:rsidRPr="00EF7075" w:rsidRDefault="00132CE6" w:rsidP="00132CE6">
            <w:pPr>
              <w:pStyle w:val="TAL"/>
              <w:rPr>
                <w:rFonts w:cs="Arial"/>
                <w:sz w:val="16"/>
                <w:szCs w:val="16"/>
              </w:rPr>
            </w:pPr>
            <w:r w:rsidRPr="00EF7075">
              <w:rPr>
                <w:rFonts w:cs="Arial"/>
                <w:sz w:val="16"/>
                <w:szCs w:val="16"/>
              </w:rPr>
              <w:t>0884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6B4541"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94CB544"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ED2C5B3" w14:textId="77777777" w:rsidR="00132CE6" w:rsidRPr="00EF7075" w:rsidRDefault="00132CE6" w:rsidP="00132CE6">
            <w:pPr>
              <w:pStyle w:val="TAL"/>
              <w:rPr>
                <w:sz w:val="16"/>
              </w:rPr>
            </w:pPr>
            <w:r w:rsidRPr="00EF7075">
              <w:rPr>
                <w:sz w:val="16"/>
              </w:rPr>
              <w:t>alignment of MLModelMonitorNotify</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F72F4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1011391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5A05D7F"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42FC965"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4E15FC"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6AE4CC5" w14:textId="77777777" w:rsidR="00132CE6" w:rsidRPr="00EF7075" w:rsidRDefault="00132CE6" w:rsidP="00132CE6">
            <w:pPr>
              <w:pStyle w:val="TAL"/>
              <w:rPr>
                <w:rFonts w:cs="Arial"/>
                <w:sz w:val="16"/>
                <w:szCs w:val="16"/>
              </w:rPr>
            </w:pPr>
            <w:r w:rsidRPr="00EF7075">
              <w:rPr>
                <w:rFonts w:cs="Arial"/>
                <w:sz w:val="16"/>
                <w:szCs w:val="16"/>
              </w:rPr>
              <w:t>0885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7C414CF"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85F0AC3"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12CB235" w14:textId="77777777" w:rsidR="00132CE6" w:rsidRPr="00EF7075" w:rsidRDefault="00132CE6" w:rsidP="00132CE6">
            <w:pPr>
              <w:pStyle w:val="TAL"/>
              <w:rPr>
                <w:sz w:val="16"/>
              </w:rPr>
            </w:pPr>
            <w:r w:rsidRPr="00EF7075">
              <w:rPr>
                <w:sz w:val="16"/>
              </w:rPr>
              <w:t>MLModel Training Notification correction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ABD6D27"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0E94DF2"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7FC85C4E"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8A0F93"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846253" w14:textId="77777777" w:rsidR="00132CE6" w:rsidRPr="00EF7075" w:rsidRDefault="00132CE6" w:rsidP="00132CE6">
            <w:pPr>
              <w:pStyle w:val="TAC"/>
              <w:rPr>
                <w:sz w:val="16"/>
              </w:rPr>
            </w:pPr>
            <w:r w:rsidRPr="00132CE6">
              <w:rPr>
                <w:sz w:val="16"/>
              </w:rPr>
              <w:t>CP-241105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4BD07E3" w14:textId="77777777" w:rsidR="00132CE6" w:rsidRPr="00EF7075" w:rsidRDefault="00132CE6" w:rsidP="00132CE6">
            <w:pPr>
              <w:pStyle w:val="TAL"/>
              <w:rPr>
                <w:rFonts w:cs="Arial"/>
                <w:sz w:val="16"/>
                <w:szCs w:val="16"/>
              </w:rPr>
            </w:pPr>
            <w:r w:rsidRPr="00EF7075">
              <w:rPr>
                <w:rFonts w:cs="Arial"/>
                <w:sz w:val="16"/>
                <w:szCs w:val="16"/>
              </w:rPr>
              <w:t>0887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E43B2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8BDF6AB" w14:textId="77777777" w:rsidR="00132CE6" w:rsidRPr="00EF7075" w:rsidRDefault="00132CE6" w:rsidP="00132CE6">
            <w:pPr>
              <w:pStyle w:val="TAC"/>
              <w:rPr>
                <w:sz w:val="16"/>
                <w:szCs w:val="16"/>
                <w:lang w:val="en-US" w:eastAsia="zh-CN"/>
              </w:rPr>
            </w:pPr>
            <w:r w:rsidRPr="00EF7075">
              <w:rPr>
                <w:sz w:val="16"/>
                <w:szCs w:val="16"/>
                <w:lang w:val="en-US" w:eastAsia="zh-CN"/>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AAD0478" w14:textId="77777777" w:rsidR="00132CE6" w:rsidRPr="00EF7075" w:rsidRDefault="00132CE6" w:rsidP="00132CE6">
            <w:pPr>
              <w:pStyle w:val="TAL"/>
              <w:rPr>
                <w:sz w:val="16"/>
              </w:rPr>
            </w:pPr>
            <w:r w:rsidRPr="00EF7075">
              <w:rPr>
                <w:sz w:val="16"/>
              </w:rPr>
              <w:t>Incorrect description in NnwdafDataManagementSubsc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A913D4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7BEB65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516025BD"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94A1EB"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14A18B" w14:textId="77777777" w:rsidR="00132CE6" w:rsidRPr="00EF7075" w:rsidRDefault="00132CE6" w:rsidP="00132CE6">
            <w:pPr>
              <w:pStyle w:val="TAC"/>
              <w:rPr>
                <w:sz w:val="16"/>
              </w:rPr>
            </w:pPr>
            <w:r w:rsidRPr="00132CE6">
              <w:rPr>
                <w:sz w:val="16"/>
              </w:rPr>
              <w:t>CP-241091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F861DFF" w14:textId="77777777" w:rsidR="00132CE6" w:rsidRPr="00EF7075" w:rsidRDefault="00132CE6" w:rsidP="00132CE6">
            <w:pPr>
              <w:pStyle w:val="TAL"/>
              <w:rPr>
                <w:rFonts w:cs="Arial"/>
                <w:sz w:val="16"/>
                <w:szCs w:val="16"/>
              </w:rPr>
            </w:pPr>
            <w:r w:rsidRPr="00EF7075">
              <w:rPr>
                <w:rFonts w:cs="Arial"/>
                <w:sz w:val="16"/>
                <w:szCs w:val="16"/>
              </w:rPr>
              <w:t>0888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39AAEF"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5F70DC"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A79802F" w14:textId="77777777" w:rsidR="00132CE6" w:rsidRPr="00EF7075" w:rsidRDefault="00132CE6" w:rsidP="00132CE6">
            <w:pPr>
              <w:pStyle w:val="TAL"/>
              <w:rPr>
                <w:sz w:val="16"/>
              </w:rPr>
            </w:pPr>
            <w:r w:rsidRPr="00EF7075">
              <w:rPr>
                <w:sz w:val="16"/>
              </w:rPr>
              <w:t>Support of request for geographical distribution of the UEs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2378A3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BE97E81"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7A666805"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5B1730A"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971DC6" w14:textId="77777777" w:rsidR="00132CE6" w:rsidRPr="00EF7075" w:rsidRDefault="00132CE6" w:rsidP="00132CE6">
            <w:pPr>
              <w:pStyle w:val="TAC"/>
              <w:rPr>
                <w:sz w:val="16"/>
              </w:rPr>
            </w:pPr>
            <w:r w:rsidRPr="00132CE6">
              <w:rPr>
                <w:sz w:val="16"/>
              </w:rPr>
              <w:t>CP-241093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75E184A" w14:textId="77777777" w:rsidR="00132CE6" w:rsidRPr="00EF7075" w:rsidRDefault="00132CE6" w:rsidP="00132CE6">
            <w:pPr>
              <w:pStyle w:val="TAL"/>
              <w:rPr>
                <w:rFonts w:cs="Arial"/>
                <w:sz w:val="16"/>
                <w:szCs w:val="16"/>
              </w:rPr>
            </w:pPr>
            <w:r w:rsidRPr="00EF7075">
              <w:rPr>
                <w:rFonts w:cs="Arial"/>
                <w:sz w:val="16"/>
                <w:szCs w:val="16"/>
              </w:rPr>
              <w:t>0891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FD67CD1"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7F1EAA"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1C83733" w14:textId="77777777" w:rsidR="00132CE6" w:rsidRPr="00EF7075" w:rsidRDefault="00132CE6" w:rsidP="00132CE6">
            <w:pPr>
              <w:pStyle w:val="TAL"/>
              <w:rPr>
                <w:sz w:val="16"/>
              </w:rPr>
            </w:pPr>
            <w:r w:rsidRPr="00EF7075">
              <w:rPr>
                <w:sz w:val="16"/>
              </w:rPr>
              <w:t>RFC 7807 obsoleted by RFC 9457</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8FA786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1944D20"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7A6DD1A"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7CF7CC"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03B46A5"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D11F365" w14:textId="77777777" w:rsidR="00132CE6" w:rsidRPr="00EF7075" w:rsidRDefault="00132CE6" w:rsidP="00132CE6">
            <w:pPr>
              <w:pStyle w:val="TAL"/>
              <w:rPr>
                <w:rFonts w:cs="Arial"/>
                <w:sz w:val="16"/>
                <w:szCs w:val="16"/>
              </w:rPr>
            </w:pPr>
            <w:r w:rsidRPr="00EF7075">
              <w:rPr>
                <w:rFonts w:cs="Arial"/>
                <w:sz w:val="16"/>
                <w:szCs w:val="16"/>
              </w:rPr>
              <w:t>0892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4B34029" w14:textId="77777777" w:rsidR="00132CE6" w:rsidRPr="00EF7075" w:rsidRDefault="00132CE6" w:rsidP="00132CE6">
            <w:pPr>
              <w:pStyle w:val="TAR"/>
              <w:rPr>
                <w:rFonts w:cs="Arial"/>
                <w:sz w:val="16"/>
                <w:szCs w:val="16"/>
              </w:rPr>
            </w:pPr>
            <w:r w:rsidRPr="00EF7075">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BB12FE6"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7875D93" w14:textId="77777777" w:rsidR="00132CE6" w:rsidRPr="00EF7075" w:rsidRDefault="00132CE6" w:rsidP="00132CE6">
            <w:pPr>
              <w:pStyle w:val="TAL"/>
              <w:rPr>
                <w:sz w:val="16"/>
              </w:rPr>
            </w:pPr>
            <w:r w:rsidRPr="00EF7075">
              <w:rPr>
                <w:sz w:val="16"/>
              </w:rPr>
              <w:t>Clarification on Analytics/ML Model Accuracy Information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F1DB42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5B0DD13"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515F971F"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355993"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BA4A06"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DB6980F" w14:textId="77777777" w:rsidR="00132CE6" w:rsidRPr="00EF7075" w:rsidRDefault="00132CE6" w:rsidP="00132CE6">
            <w:pPr>
              <w:pStyle w:val="TAL"/>
              <w:rPr>
                <w:rFonts w:cs="Arial"/>
                <w:sz w:val="16"/>
                <w:szCs w:val="16"/>
              </w:rPr>
            </w:pPr>
            <w:r w:rsidRPr="00EF7075">
              <w:rPr>
                <w:rFonts w:cs="Arial"/>
                <w:sz w:val="16"/>
                <w:szCs w:val="16"/>
              </w:rPr>
              <w:t>0893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0F41CB1" w14:textId="77777777" w:rsidR="00132CE6" w:rsidRPr="00EF7075" w:rsidRDefault="00132CE6" w:rsidP="00132CE6">
            <w:pPr>
              <w:pStyle w:val="TAR"/>
              <w:rPr>
                <w:rFonts w:cs="Arial"/>
                <w:sz w:val="16"/>
                <w:szCs w:val="16"/>
              </w:rPr>
            </w:pPr>
            <w:r w:rsidRPr="00EF7075">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FFD7058"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8CBA2BB" w14:textId="77777777" w:rsidR="00132CE6" w:rsidRPr="00EF7075" w:rsidRDefault="00132CE6" w:rsidP="00132CE6">
            <w:pPr>
              <w:pStyle w:val="TAL"/>
              <w:rPr>
                <w:sz w:val="16"/>
              </w:rPr>
            </w:pPr>
            <w:r w:rsidRPr="00EF7075">
              <w:rPr>
                <w:sz w:val="16"/>
              </w:rPr>
              <w:t>Adding Analytics Information in Nnwdaf_MLModelMonitor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72EB3B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0161CEC"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D1E1632"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462C0C"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147E75"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6442DE3" w14:textId="77777777" w:rsidR="00132CE6" w:rsidRPr="00EF7075" w:rsidRDefault="00132CE6" w:rsidP="00132CE6">
            <w:pPr>
              <w:pStyle w:val="TAL"/>
              <w:rPr>
                <w:rFonts w:cs="Arial"/>
                <w:sz w:val="16"/>
                <w:szCs w:val="16"/>
              </w:rPr>
            </w:pPr>
            <w:r w:rsidRPr="00EF7075">
              <w:rPr>
                <w:rFonts w:cs="Arial"/>
                <w:sz w:val="16"/>
                <w:szCs w:val="16"/>
              </w:rPr>
              <w:t>0895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A14025"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526ADC0"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7E45E37" w14:textId="77777777" w:rsidR="00132CE6" w:rsidRPr="00EF7075" w:rsidRDefault="00132CE6" w:rsidP="00132CE6">
            <w:pPr>
              <w:pStyle w:val="TAL"/>
              <w:rPr>
                <w:sz w:val="16"/>
              </w:rPr>
            </w:pPr>
            <w:r w:rsidRPr="00EF7075">
              <w:rPr>
                <w:sz w:val="16"/>
              </w:rPr>
              <w:t>Add skip current FL round indication in NWDAF ML Model 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EFF380D"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B557FC4"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5B60472D"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7976117"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747DBB"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10848A0" w14:textId="77777777" w:rsidR="00132CE6" w:rsidRPr="00EF7075" w:rsidRDefault="00132CE6" w:rsidP="00132CE6">
            <w:pPr>
              <w:pStyle w:val="TAL"/>
              <w:rPr>
                <w:rFonts w:cs="Arial"/>
                <w:sz w:val="16"/>
                <w:szCs w:val="16"/>
              </w:rPr>
            </w:pPr>
            <w:r w:rsidRPr="00EF7075">
              <w:rPr>
                <w:rFonts w:cs="Arial"/>
                <w:sz w:val="16"/>
                <w:szCs w:val="16"/>
              </w:rPr>
              <w:t>0896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D6E5DC"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03D0A8F"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0CAC287" w14:textId="77777777" w:rsidR="00132CE6" w:rsidRPr="00EF7075" w:rsidRDefault="00132CE6" w:rsidP="00132CE6">
            <w:pPr>
              <w:pStyle w:val="TAL"/>
              <w:rPr>
                <w:sz w:val="16"/>
              </w:rPr>
            </w:pPr>
            <w:r w:rsidRPr="00EF7075">
              <w:rPr>
                <w:sz w:val="16"/>
              </w:rPr>
              <w:t>Corrections on ML model monitor and provisioning APIs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D957FD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6779A22"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A13724C"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149D41"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E1CA09"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D10AC30" w14:textId="77777777" w:rsidR="00132CE6" w:rsidRPr="00EF7075" w:rsidRDefault="00132CE6" w:rsidP="00132CE6">
            <w:pPr>
              <w:pStyle w:val="TAL"/>
              <w:rPr>
                <w:rFonts w:cs="Arial"/>
                <w:sz w:val="16"/>
                <w:szCs w:val="16"/>
              </w:rPr>
            </w:pPr>
            <w:r w:rsidRPr="00EF7075">
              <w:rPr>
                <w:rFonts w:cs="Arial"/>
                <w:sz w:val="16"/>
                <w:szCs w:val="16"/>
              </w:rPr>
              <w:t>0897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3AA7D15"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8D920D"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828EDA4" w14:textId="77777777" w:rsidR="00132CE6" w:rsidRPr="00EF7075" w:rsidRDefault="00132CE6" w:rsidP="00132CE6">
            <w:pPr>
              <w:pStyle w:val="TAL"/>
              <w:rPr>
                <w:sz w:val="16"/>
              </w:rPr>
            </w:pPr>
            <w:r w:rsidRPr="00EF7075">
              <w:rPr>
                <w:sz w:val="16"/>
              </w:rPr>
              <w:t>Corrections on roaming data and analytics APIs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5317C3A"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ECFD14D"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560D4C2"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CED81E"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45AEDF"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C526EC9" w14:textId="77777777" w:rsidR="00132CE6" w:rsidRPr="00EF7075" w:rsidRDefault="00132CE6" w:rsidP="00132CE6">
            <w:pPr>
              <w:pStyle w:val="TAL"/>
              <w:rPr>
                <w:rFonts w:cs="Arial"/>
                <w:sz w:val="16"/>
                <w:szCs w:val="16"/>
              </w:rPr>
            </w:pPr>
            <w:r w:rsidRPr="00EF7075">
              <w:rPr>
                <w:rFonts w:cs="Arial"/>
                <w:sz w:val="16"/>
                <w:szCs w:val="16"/>
              </w:rPr>
              <w:t>0898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17103B1"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7A75BB7"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A766116" w14:textId="77777777" w:rsidR="00132CE6" w:rsidRPr="00EF7075" w:rsidRDefault="00132CE6" w:rsidP="00132CE6">
            <w:pPr>
              <w:pStyle w:val="TAL"/>
              <w:rPr>
                <w:sz w:val="16"/>
              </w:rPr>
            </w:pPr>
            <w:r w:rsidRPr="00EF7075">
              <w:rPr>
                <w:sz w:val="16"/>
              </w:rPr>
              <w:t>Resolve the Editor’s Note of training data</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A77539F"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9591A1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59D6F4E"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C3F899"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24E9AF"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325D230" w14:textId="77777777" w:rsidR="00132CE6" w:rsidRPr="00EF7075" w:rsidRDefault="00132CE6" w:rsidP="00132CE6">
            <w:pPr>
              <w:pStyle w:val="TAL"/>
              <w:rPr>
                <w:rFonts w:cs="Arial"/>
                <w:sz w:val="16"/>
                <w:szCs w:val="16"/>
              </w:rPr>
            </w:pPr>
            <w:r w:rsidRPr="00EF7075">
              <w:rPr>
                <w:rFonts w:cs="Arial"/>
                <w:sz w:val="16"/>
                <w:szCs w:val="16"/>
              </w:rPr>
              <w:t>0899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CFD5FC4"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F4FC45C"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22CD576" w14:textId="77777777" w:rsidR="00132CE6" w:rsidRPr="00EF7075" w:rsidRDefault="00132CE6" w:rsidP="00132CE6">
            <w:pPr>
              <w:pStyle w:val="TAL"/>
              <w:rPr>
                <w:sz w:val="16"/>
              </w:rPr>
            </w:pPr>
            <w:r w:rsidRPr="00EF7075">
              <w:rPr>
                <w:sz w:val="16"/>
              </w:rPr>
              <w:t>Solve EN and Updates to MlModelAccuracyInfo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D05FA1D"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E928350"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A4B430A"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57D08A"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E82C48" w14:textId="77777777" w:rsidR="00132CE6" w:rsidRPr="00EF7075" w:rsidRDefault="00132CE6" w:rsidP="00132CE6">
            <w:pPr>
              <w:pStyle w:val="TAC"/>
              <w:rPr>
                <w:sz w:val="16"/>
              </w:rPr>
            </w:pPr>
            <w:r w:rsidRPr="00132CE6">
              <w:rPr>
                <w:sz w:val="16"/>
              </w:rPr>
              <w:t>CP-241077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0F77A15" w14:textId="77777777" w:rsidR="00132CE6" w:rsidRPr="00EF7075" w:rsidRDefault="00132CE6" w:rsidP="00132CE6">
            <w:pPr>
              <w:pStyle w:val="TAL"/>
              <w:rPr>
                <w:rFonts w:cs="Arial"/>
                <w:sz w:val="16"/>
                <w:szCs w:val="16"/>
              </w:rPr>
            </w:pPr>
            <w:r w:rsidRPr="00EF7075">
              <w:rPr>
                <w:rFonts w:cs="Arial"/>
                <w:sz w:val="16"/>
                <w:szCs w:val="16"/>
              </w:rPr>
              <w:t>0900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134CBF"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74226B"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E590D0E" w14:textId="77777777" w:rsidR="00132CE6" w:rsidRPr="00EF7075" w:rsidRDefault="00132CE6" w:rsidP="00132CE6">
            <w:pPr>
              <w:pStyle w:val="TAL"/>
              <w:rPr>
                <w:sz w:val="16"/>
              </w:rPr>
            </w:pPr>
            <w:r w:rsidRPr="00EF7075">
              <w:rPr>
                <w:sz w:val="16"/>
              </w:rPr>
              <w:t>Correction of OpenAPI syntax errors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956B60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22DB5E0"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45C45A32"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C50A9B"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349900" w14:textId="77777777" w:rsidR="00132CE6" w:rsidRPr="00EF7075" w:rsidRDefault="00132CE6" w:rsidP="00132CE6">
            <w:pPr>
              <w:pStyle w:val="TAC"/>
              <w:rPr>
                <w:sz w:val="16"/>
              </w:rPr>
            </w:pPr>
            <w:r w:rsidRPr="00132CE6">
              <w:rPr>
                <w:sz w:val="16"/>
              </w:rPr>
              <w:t>CP-241101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EDE73C9" w14:textId="77777777" w:rsidR="00132CE6" w:rsidRPr="00EF7075" w:rsidRDefault="00132CE6" w:rsidP="00132CE6">
            <w:pPr>
              <w:pStyle w:val="TAL"/>
              <w:rPr>
                <w:rFonts w:cs="Arial"/>
                <w:sz w:val="16"/>
                <w:szCs w:val="16"/>
              </w:rPr>
            </w:pPr>
            <w:r w:rsidRPr="00EF7075">
              <w:rPr>
                <w:rFonts w:cs="Arial"/>
                <w:sz w:val="16"/>
                <w:szCs w:val="16"/>
              </w:rPr>
              <w:t>0901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70CB73E"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DDE9B78"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FFF0B2E" w14:textId="77777777" w:rsidR="00132CE6" w:rsidRPr="00EF7075" w:rsidRDefault="00132CE6" w:rsidP="00132CE6">
            <w:pPr>
              <w:pStyle w:val="TAL"/>
              <w:rPr>
                <w:sz w:val="16"/>
              </w:rPr>
            </w:pPr>
            <w:r w:rsidRPr="00EF7075">
              <w:rPr>
                <w:sz w:val="16"/>
              </w:rPr>
              <w:t>Corrections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65CD39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C4A1879"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EA71570"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EE32F9"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26204B"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4B1D309" w14:textId="77777777" w:rsidR="00132CE6" w:rsidRPr="00EF7075" w:rsidRDefault="00132CE6" w:rsidP="00132CE6">
            <w:pPr>
              <w:pStyle w:val="TAL"/>
              <w:rPr>
                <w:rFonts w:cs="Arial"/>
                <w:sz w:val="16"/>
                <w:szCs w:val="16"/>
              </w:rPr>
            </w:pPr>
            <w:r w:rsidRPr="00EF7075">
              <w:rPr>
                <w:rFonts w:cs="Arial"/>
                <w:sz w:val="16"/>
                <w:szCs w:val="16"/>
              </w:rPr>
              <w:t>0903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4F9C86D"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8AD45E"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201DAAA" w14:textId="77777777" w:rsidR="00132CE6" w:rsidRPr="00EF7075" w:rsidRDefault="00132CE6" w:rsidP="00132CE6">
            <w:pPr>
              <w:pStyle w:val="TAL"/>
              <w:rPr>
                <w:sz w:val="16"/>
              </w:rPr>
            </w:pPr>
            <w:r w:rsidRPr="00EF7075">
              <w:rPr>
                <w:sz w:val="16"/>
              </w:rPr>
              <w:t>Resolve EN for GroundTruthInfo</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C2E6E4B"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4D97D116"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199C302"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2DAF088"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4A4BDA"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14CB7BE" w14:textId="77777777" w:rsidR="00132CE6" w:rsidRPr="00EF7075" w:rsidRDefault="00132CE6" w:rsidP="00132CE6">
            <w:pPr>
              <w:pStyle w:val="TAL"/>
              <w:rPr>
                <w:rFonts w:cs="Arial"/>
                <w:sz w:val="16"/>
                <w:szCs w:val="16"/>
              </w:rPr>
            </w:pPr>
            <w:r w:rsidRPr="00EF7075">
              <w:rPr>
                <w:rFonts w:cs="Arial"/>
                <w:sz w:val="16"/>
                <w:szCs w:val="16"/>
              </w:rPr>
              <w:t>0905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731F427"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704706"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8617643" w14:textId="77777777" w:rsidR="00132CE6" w:rsidRPr="00EF7075" w:rsidRDefault="00132CE6" w:rsidP="00132CE6">
            <w:pPr>
              <w:pStyle w:val="TAL"/>
              <w:rPr>
                <w:sz w:val="16"/>
              </w:rPr>
            </w:pPr>
            <w:r w:rsidRPr="00EF7075">
              <w:rPr>
                <w:sz w:val="16"/>
              </w:rPr>
              <w:t>Resolve EN for TrainInputDataInfo</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E02D44F"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5F39D0F"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543D1288"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5FCC791"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80EF8E"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672C0F3" w14:textId="77777777" w:rsidR="00132CE6" w:rsidRPr="00EF7075" w:rsidRDefault="00132CE6" w:rsidP="00132CE6">
            <w:pPr>
              <w:pStyle w:val="TAL"/>
              <w:rPr>
                <w:rFonts w:cs="Arial"/>
                <w:sz w:val="16"/>
                <w:szCs w:val="16"/>
              </w:rPr>
            </w:pPr>
            <w:r w:rsidRPr="00EF7075">
              <w:rPr>
                <w:rFonts w:cs="Arial"/>
                <w:sz w:val="16"/>
                <w:szCs w:val="16"/>
              </w:rPr>
              <w:t>0906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61041E"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3E7C491"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D6CEE6E" w14:textId="77777777" w:rsidR="00132CE6" w:rsidRPr="00EF7075" w:rsidRDefault="00132CE6" w:rsidP="00132CE6">
            <w:pPr>
              <w:pStyle w:val="TAL"/>
              <w:rPr>
                <w:sz w:val="16"/>
              </w:rPr>
            </w:pPr>
            <w:r w:rsidRPr="00EF7075">
              <w:rPr>
                <w:sz w:val="16"/>
              </w:rPr>
              <w:t>Presence condition correction in AccuracyInfo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703C04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F79EDF9"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4DDD36AB"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871F61"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CB9D3C" w14:textId="77777777" w:rsidR="00132CE6" w:rsidRPr="00EF7075" w:rsidRDefault="00132CE6" w:rsidP="00132CE6">
            <w:pPr>
              <w:pStyle w:val="TAC"/>
              <w:rPr>
                <w:sz w:val="16"/>
              </w:rPr>
            </w:pPr>
            <w:r w:rsidRPr="00132CE6">
              <w:rPr>
                <w:sz w:val="16"/>
              </w:rPr>
              <w:t>CP-241079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A5BEE32" w14:textId="77777777" w:rsidR="00132CE6" w:rsidRPr="00EF7075" w:rsidRDefault="00132CE6" w:rsidP="00132CE6">
            <w:pPr>
              <w:pStyle w:val="TAL"/>
              <w:rPr>
                <w:rFonts w:cs="Arial"/>
                <w:sz w:val="16"/>
                <w:szCs w:val="16"/>
              </w:rPr>
            </w:pPr>
            <w:r w:rsidRPr="00EF7075">
              <w:rPr>
                <w:rFonts w:cs="Arial"/>
                <w:sz w:val="16"/>
                <w:szCs w:val="16"/>
              </w:rPr>
              <w:t>0907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3CDE77B"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D362210"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0C5AB7D" w14:textId="77777777" w:rsidR="00132CE6" w:rsidRPr="00EF7075" w:rsidRDefault="00132CE6" w:rsidP="00132CE6">
            <w:pPr>
              <w:pStyle w:val="TAL"/>
              <w:rPr>
                <w:sz w:val="16"/>
              </w:rPr>
            </w:pPr>
            <w:r w:rsidRPr="00EF7075">
              <w:rPr>
                <w:sz w:val="16"/>
              </w:rPr>
              <w:t>Corrections related to anaAccuInd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A508E90"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2776E11"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43AB4F96"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E18F713"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CB559D" w14:textId="77777777" w:rsidR="00132CE6" w:rsidRPr="00EF7075" w:rsidRDefault="00132CE6" w:rsidP="00132CE6">
            <w:pPr>
              <w:pStyle w:val="TAC"/>
              <w:rPr>
                <w:sz w:val="16"/>
              </w:rPr>
            </w:pPr>
            <w:r w:rsidRPr="00132CE6">
              <w:rPr>
                <w:sz w:val="16"/>
              </w:rPr>
              <w:t>CP-241079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9A04D57" w14:textId="77777777" w:rsidR="00132CE6" w:rsidRPr="00EF7075" w:rsidRDefault="00132CE6" w:rsidP="00132CE6">
            <w:pPr>
              <w:pStyle w:val="TAL"/>
              <w:rPr>
                <w:rFonts w:cs="Arial"/>
                <w:sz w:val="16"/>
                <w:szCs w:val="16"/>
              </w:rPr>
            </w:pPr>
            <w:r w:rsidRPr="00EF7075">
              <w:rPr>
                <w:rFonts w:cs="Arial"/>
                <w:sz w:val="16"/>
                <w:szCs w:val="16"/>
              </w:rPr>
              <w:t>0908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C3CC43"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7FEF0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E0173FF" w14:textId="77777777" w:rsidR="00132CE6" w:rsidRPr="00EF7075" w:rsidRDefault="00132CE6" w:rsidP="00132CE6">
            <w:pPr>
              <w:pStyle w:val="TAL"/>
              <w:rPr>
                <w:sz w:val="16"/>
              </w:rPr>
            </w:pPr>
            <w:r w:rsidRPr="00EF7075">
              <w:rPr>
                <w:sz w:val="16"/>
              </w:rPr>
              <w:t>Correction for accuracy information notification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8CBEE08"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39720B9"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AC64EC1"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C80E05"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CE895E" w14:textId="77777777" w:rsidR="00132CE6" w:rsidRPr="00EF7075" w:rsidRDefault="00132CE6" w:rsidP="00132CE6">
            <w:pPr>
              <w:pStyle w:val="TAC"/>
              <w:rPr>
                <w:sz w:val="16"/>
              </w:rPr>
            </w:pPr>
            <w:r w:rsidRPr="00132CE6">
              <w:rPr>
                <w:sz w:val="16"/>
              </w:rPr>
              <w:t>CP-241101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378B3C9" w14:textId="77777777" w:rsidR="00132CE6" w:rsidRPr="00EF7075" w:rsidRDefault="00132CE6" w:rsidP="00132CE6">
            <w:pPr>
              <w:pStyle w:val="TAL"/>
              <w:rPr>
                <w:rFonts w:cs="Arial"/>
                <w:sz w:val="16"/>
                <w:szCs w:val="16"/>
              </w:rPr>
            </w:pPr>
            <w:r w:rsidRPr="00EF7075">
              <w:rPr>
                <w:rFonts w:cs="Arial"/>
                <w:sz w:val="16"/>
                <w:szCs w:val="16"/>
              </w:rPr>
              <w:t>0909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9621A7"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95D245"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8B0694C" w14:textId="77777777" w:rsidR="00132CE6" w:rsidRPr="00EF7075" w:rsidRDefault="00132CE6" w:rsidP="00132CE6">
            <w:pPr>
              <w:pStyle w:val="TAL"/>
              <w:rPr>
                <w:sz w:val="16"/>
              </w:rPr>
            </w:pPr>
            <w:r w:rsidRPr="00EF7075">
              <w:rPr>
                <w:sz w:val="16"/>
              </w:rPr>
              <w:t>Corrections to NF Service Consumers descriptions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2C46658"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5858E953"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7CF427B"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5364A65"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D0B2C5" w14:textId="77777777" w:rsidR="00132CE6" w:rsidRPr="00EF7075" w:rsidRDefault="00132CE6" w:rsidP="00132CE6">
            <w:pPr>
              <w:pStyle w:val="TAC"/>
              <w:rPr>
                <w:sz w:val="16"/>
              </w:rPr>
            </w:pPr>
            <w:r w:rsidRPr="00132CE6">
              <w:rPr>
                <w:sz w:val="16"/>
              </w:rPr>
              <w:t>CP-241079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767249C" w14:textId="77777777" w:rsidR="00132CE6" w:rsidRPr="00EF7075" w:rsidRDefault="00132CE6" w:rsidP="00132CE6">
            <w:pPr>
              <w:pStyle w:val="TAL"/>
              <w:rPr>
                <w:rFonts w:cs="Arial"/>
                <w:sz w:val="16"/>
                <w:szCs w:val="16"/>
              </w:rPr>
            </w:pPr>
            <w:r w:rsidRPr="00EF7075">
              <w:rPr>
                <w:rFonts w:cs="Arial"/>
                <w:sz w:val="16"/>
                <w:szCs w:val="16"/>
              </w:rPr>
              <w:t>0910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F41D83"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1CDDD8"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877643C" w14:textId="77777777" w:rsidR="00132CE6" w:rsidRPr="00EF7075" w:rsidRDefault="00132CE6" w:rsidP="00132CE6">
            <w:pPr>
              <w:pStyle w:val="TAL"/>
              <w:rPr>
                <w:sz w:val="16"/>
              </w:rPr>
            </w:pPr>
            <w:r w:rsidRPr="00EF7075">
              <w:rPr>
                <w:sz w:val="16"/>
              </w:rPr>
              <w:t>Corrections on Nnwdaf_RoamingData and Nnwdaf_RoamingAnalytics services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74D378D"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0C4F593E"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5FBEB78"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853E07"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A94771" w14:textId="77777777" w:rsidR="00132CE6" w:rsidRPr="00EF7075" w:rsidRDefault="00132CE6" w:rsidP="00132CE6">
            <w:pPr>
              <w:pStyle w:val="TAC"/>
              <w:rPr>
                <w:sz w:val="16"/>
              </w:rPr>
            </w:pPr>
            <w:r w:rsidRPr="00132CE6">
              <w:rPr>
                <w:sz w:val="16"/>
              </w:rPr>
              <w:t>CP-241092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F269D07" w14:textId="77777777" w:rsidR="00132CE6" w:rsidRPr="00EF7075" w:rsidRDefault="00132CE6" w:rsidP="00132CE6">
            <w:pPr>
              <w:pStyle w:val="TAL"/>
              <w:rPr>
                <w:rFonts w:cs="Arial"/>
                <w:sz w:val="16"/>
                <w:szCs w:val="16"/>
              </w:rPr>
            </w:pPr>
            <w:r w:rsidRPr="00EF7075">
              <w:rPr>
                <w:rFonts w:cs="Arial"/>
                <w:sz w:val="16"/>
                <w:szCs w:val="16"/>
              </w:rPr>
              <w:t>0912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6313CC"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FB557E"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B0BC18D" w14:textId="77777777" w:rsidR="00132CE6" w:rsidRPr="00EF7075" w:rsidRDefault="00132CE6" w:rsidP="00132CE6">
            <w:pPr>
              <w:pStyle w:val="TAL"/>
              <w:rPr>
                <w:sz w:val="16"/>
              </w:rPr>
            </w:pPr>
            <w:r w:rsidRPr="00EF7075">
              <w:rPr>
                <w:sz w:val="16"/>
              </w:rPr>
              <w:t>Support of RAT type and access type in the E2E data volume transmission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D0D24F3"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74D92674"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5B1F66A1"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B116C9"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C4173A" w14:textId="77777777" w:rsidR="00132CE6" w:rsidRPr="00EF7075" w:rsidRDefault="00132CE6" w:rsidP="00132CE6">
            <w:pPr>
              <w:pStyle w:val="TAC"/>
              <w:rPr>
                <w:sz w:val="16"/>
              </w:rPr>
            </w:pPr>
            <w:r w:rsidRPr="00132CE6">
              <w:rPr>
                <w:sz w:val="16"/>
              </w:rPr>
              <w:t>CP-241101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FBBEFB9" w14:textId="77777777" w:rsidR="00132CE6" w:rsidRPr="00EF7075" w:rsidRDefault="00132CE6" w:rsidP="00132CE6">
            <w:pPr>
              <w:pStyle w:val="TAL"/>
              <w:rPr>
                <w:rFonts w:cs="Arial"/>
                <w:sz w:val="16"/>
                <w:szCs w:val="16"/>
              </w:rPr>
            </w:pPr>
            <w:r w:rsidRPr="00EF7075">
              <w:rPr>
                <w:rFonts w:cs="Arial"/>
                <w:sz w:val="16"/>
                <w:szCs w:val="16"/>
              </w:rPr>
              <w:t>0913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7E87C60"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CF8457E"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B8ECBB7" w14:textId="77777777" w:rsidR="00132CE6" w:rsidRPr="00EF7075" w:rsidRDefault="00132CE6" w:rsidP="00132CE6">
            <w:pPr>
              <w:pStyle w:val="TAL"/>
              <w:rPr>
                <w:sz w:val="16"/>
              </w:rPr>
            </w:pPr>
            <w:r w:rsidRPr="00EF7075">
              <w:rPr>
                <w:sz w:val="16"/>
              </w:rPr>
              <w:t>Corrections on the Nnwdaf_DataManagement_Fetch service operation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029F64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04B6D50"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49A5203C"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D26D72"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9BD8B7A" w14:textId="77777777" w:rsidR="00132CE6" w:rsidRPr="00EF7075" w:rsidRDefault="00132CE6" w:rsidP="00132CE6">
            <w:pPr>
              <w:pStyle w:val="TAC"/>
              <w:rPr>
                <w:sz w:val="16"/>
              </w:rPr>
            </w:pPr>
            <w:r w:rsidRPr="00132CE6">
              <w:rPr>
                <w:sz w:val="16"/>
              </w:rPr>
              <w:t>CP-241101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79C91BA" w14:textId="77777777" w:rsidR="00132CE6" w:rsidRPr="00EF7075" w:rsidRDefault="00132CE6" w:rsidP="00132CE6">
            <w:pPr>
              <w:pStyle w:val="TAL"/>
              <w:rPr>
                <w:rFonts w:cs="Arial"/>
                <w:sz w:val="16"/>
                <w:szCs w:val="16"/>
              </w:rPr>
            </w:pPr>
            <w:r w:rsidRPr="00EF7075">
              <w:rPr>
                <w:rFonts w:cs="Arial"/>
                <w:sz w:val="16"/>
                <w:szCs w:val="16"/>
              </w:rPr>
              <w:t>0914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C8F4E36"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B82597"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386DFA1" w14:textId="77777777" w:rsidR="00132CE6" w:rsidRPr="00EF7075" w:rsidRDefault="00132CE6" w:rsidP="00132CE6">
            <w:pPr>
              <w:pStyle w:val="TAL"/>
              <w:rPr>
                <w:sz w:val="16"/>
              </w:rPr>
            </w:pPr>
            <w:r w:rsidRPr="00EF7075">
              <w:rPr>
                <w:sz w:val="16"/>
              </w:rPr>
              <w:t>Support of target UE and filter information in ML model notification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83E1229"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68704881"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08AD554E"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AE507F"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531D0F" w14:textId="77777777" w:rsidR="00132CE6" w:rsidRPr="00EF7075" w:rsidRDefault="00132CE6" w:rsidP="00132CE6">
            <w:pPr>
              <w:pStyle w:val="TAC"/>
              <w:rPr>
                <w:sz w:val="16"/>
              </w:rPr>
            </w:pPr>
            <w:r w:rsidRPr="00132CE6">
              <w:rPr>
                <w:sz w:val="16"/>
              </w:rPr>
              <w:t>CP-241079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D8EAB47" w14:textId="77777777" w:rsidR="00132CE6" w:rsidRPr="00EF7075" w:rsidRDefault="00132CE6" w:rsidP="00132CE6">
            <w:pPr>
              <w:pStyle w:val="TAL"/>
              <w:rPr>
                <w:rFonts w:cs="Arial"/>
                <w:sz w:val="16"/>
                <w:szCs w:val="16"/>
              </w:rPr>
            </w:pPr>
            <w:r w:rsidRPr="00EF7075">
              <w:rPr>
                <w:rFonts w:cs="Arial"/>
                <w:sz w:val="16"/>
                <w:szCs w:val="16"/>
              </w:rPr>
              <w:t>0915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4DB309" w14:textId="77777777" w:rsidR="00132CE6" w:rsidRPr="00EF7075" w:rsidRDefault="00132CE6" w:rsidP="00132CE6">
            <w:pPr>
              <w:pStyle w:val="TAR"/>
              <w:rPr>
                <w:rFonts w:cs="Arial"/>
                <w:sz w:val="16"/>
                <w:szCs w:val="16"/>
              </w:rPr>
            </w:pPr>
            <w:r w:rsidRPr="00EF7075">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DA3E01" w14:textId="77777777" w:rsidR="00132CE6" w:rsidRPr="00EF7075" w:rsidRDefault="00132CE6" w:rsidP="00132CE6">
            <w:pPr>
              <w:pStyle w:val="TAC"/>
              <w:rPr>
                <w:sz w:val="16"/>
                <w:szCs w:val="16"/>
                <w:lang w:val="en-US" w:eastAsia="zh-CN"/>
              </w:rPr>
            </w:pPr>
            <w:r w:rsidRPr="00EF7075">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F898F1D" w14:textId="77777777" w:rsidR="00132CE6" w:rsidRPr="00EF7075" w:rsidRDefault="00132CE6" w:rsidP="00132CE6">
            <w:pPr>
              <w:pStyle w:val="TAL"/>
              <w:rPr>
                <w:sz w:val="16"/>
              </w:rPr>
            </w:pPr>
            <w:r w:rsidRPr="00EF7075">
              <w:rPr>
                <w:sz w:val="16"/>
              </w:rPr>
              <w:t>Corrections on Nnwdaf_RoamingAnalytics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B445B52"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3056E01C"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369A7666"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BCF25B"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AA7BF5" w14:textId="77777777" w:rsidR="00132CE6" w:rsidRPr="00EF7075" w:rsidRDefault="00132CE6" w:rsidP="00132CE6">
            <w:pPr>
              <w:pStyle w:val="TAC"/>
              <w:rPr>
                <w:sz w:val="16"/>
              </w:rPr>
            </w:pPr>
            <w:r w:rsidRPr="00132CE6">
              <w:rPr>
                <w:sz w:val="16"/>
              </w:rPr>
              <w:t>CP-241078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46212E3" w14:textId="77777777" w:rsidR="00132CE6" w:rsidRPr="00EF7075" w:rsidRDefault="00132CE6" w:rsidP="00132CE6">
            <w:pPr>
              <w:pStyle w:val="TAL"/>
              <w:rPr>
                <w:rFonts w:cs="Arial"/>
                <w:sz w:val="16"/>
                <w:szCs w:val="16"/>
              </w:rPr>
            </w:pPr>
            <w:r w:rsidRPr="00EF7075">
              <w:rPr>
                <w:rFonts w:cs="Arial"/>
                <w:sz w:val="16"/>
                <w:szCs w:val="16"/>
              </w:rPr>
              <w:t>0917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7B60BC"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53AF713" w14:textId="77777777" w:rsidR="00132CE6" w:rsidRPr="00EF7075" w:rsidRDefault="00132CE6" w:rsidP="00132CE6">
            <w:pPr>
              <w:pStyle w:val="TAC"/>
              <w:rPr>
                <w:sz w:val="16"/>
                <w:szCs w:val="16"/>
                <w:lang w:val="en-US" w:eastAsia="zh-CN"/>
              </w:rPr>
            </w:pPr>
            <w:r w:rsidRPr="00EF7075">
              <w:rPr>
                <w:sz w:val="16"/>
                <w:szCs w:val="16"/>
                <w:lang w:val="en-US" w:eastAsia="zh-CN"/>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2254129" w14:textId="77777777" w:rsidR="00132CE6" w:rsidRPr="00EF7075" w:rsidRDefault="00132CE6" w:rsidP="00132CE6">
            <w:pPr>
              <w:pStyle w:val="TAL"/>
              <w:rPr>
                <w:sz w:val="16"/>
              </w:rPr>
            </w:pPr>
            <w:r w:rsidRPr="00EF7075">
              <w:rPr>
                <w:sz w:val="16"/>
              </w:rPr>
              <w:t>Support of providing threshold in the movement behaviour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A4190A5" w14:textId="77777777" w:rsidR="00132CE6" w:rsidRPr="00EF7075"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32CE6" w:rsidRPr="00EF7075" w14:paraId="2A502A0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0FE067AB" w14:textId="77777777" w:rsidR="00132CE6" w:rsidRPr="00EF7075" w:rsidRDefault="00132CE6" w:rsidP="00132CE6">
            <w:pPr>
              <w:pStyle w:val="TAC"/>
              <w:rPr>
                <w:sz w:val="16"/>
              </w:rPr>
            </w:pPr>
            <w:r w:rsidRPr="00EF7075">
              <w:rPr>
                <w:sz w:val="16"/>
              </w:rPr>
              <w:t>2024-06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F5C844" w14:textId="77777777" w:rsidR="00132CE6" w:rsidRPr="00EF7075" w:rsidRDefault="00132CE6" w:rsidP="00132CE6">
            <w:pPr>
              <w:pStyle w:val="TAC"/>
              <w:rPr>
                <w:sz w:val="16"/>
              </w:rPr>
            </w:pPr>
            <w:r w:rsidRPr="00EF7075">
              <w:rPr>
                <w:sz w:val="16"/>
              </w:rPr>
              <w:t>CT#104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109493" w14:textId="77777777" w:rsidR="00132CE6" w:rsidRPr="00EF7075" w:rsidRDefault="00132CE6" w:rsidP="00132CE6">
            <w:pPr>
              <w:pStyle w:val="TAC"/>
              <w:rPr>
                <w:rFonts w:hint="eastAsia"/>
                <w:sz w:val="16"/>
              </w:rPr>
            </w:pPr>
            <w:r w:rsidRPr="00132CE6">
              <w:rPr>
                <w:sz w:val="16"/>
              </w:rPr>
              <w:t>CP-241085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52083E5" w14:textId="77777777" w:rsidR="00132CE6" w:rsidRPr="00EF7075" w:rsidRDefault="00132CE6" w:rsidP="00132CE6">
            <w:pPr>
              <w:pStyle w:val="TAL"/>
              <w:rPr>
                <w:rFonts w:cs="Arial" w:hint="eastAsia"/>
                <w:sz w:val="16"/>
                <w:szCs w:val="16"/>
                <w:lang w:eastAsia="zh-CN"/>
              </w:rPr>
            </w:pPr>
            <w:r w:rsidRPr="00EF7075">
              <w:rPr>
                <w:rFonts w:cs="Arial"/>
                <w:sz w:val="16"/>
                <w:szCs w:val="16"/>
              </w:rPr>
              <w:t>091</w:t>
            </w:r>
            <w:r>
              <w:rPr>
                <w:rFonts w:cs="Arial" w:hint="eastAsia"/>
                <w:sz w:val="16"/>
                <w:szCs w:val="16"/>
                <w:lang w:eastAsia="zh-CN"/>
              </w:rPr>
              <w:t>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B70E6BF" w14:textId="77777777" w:rsidR="00132CE6" w:rsidRPr="00EF7075" w:rsidRDefault="00132CE6" w:rsidP="00132CE6">
            <w:pPr>
              <w:pStyle w:val="TAR"/>
              <w:rPr>
                <w:rFonts w:cs="Arial"/>
                <w:sz w:val="16"/>
                <w:szCs w:val="16"/>
              </w:rPr>
            </w:pPr>
            <w:r w:rsidRPr="00EF7075">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50FF36" w14:textId="77777777" w:rsidR="00132CE6" w:rsidRPr="00EF7075" w:rsidRDefault="00132CE6" w:rsidP="00132CE6">
            <w:pPr>
              <w:pStyle w:val="TAC"/>
              <w:rPr>
                <w:sz w:val="16"/>
                <w:szCs w:val="16"/>
                <w:lang w:val="en-US" w:eastAsia="zh-CN"/>
              </w:rPr>
            </w:pPr>
            <w:r>
              <w:rPr>
                <w:sz w:val="16"/>
                <w:szCs w:val="16"/>
                <w:lang w:val="en-US" w:eastAsia="zh-CN"/>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F5B7B95" w14:textId="77777777" w:rsidR="00132CE6" w:rsidRPr="00EF7075" w:rsidRDefault="00132CE6" w:rsidP="00132CE6">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3A0C91C" w14:textId="77777777" w:rsidR="00132CE6" w:rsidRDefault="00132CE6" w:rsidP="00132CE6">
            <w:pPr>
              <w:pStyle w:val="TAC"/>
              <w:rPr>
                <w:sz w:val="16"/>
                <w:szCs w:val="16"/>
                <w:lang w:eastAsia="zh-CN"/>
              </w:rPr>
            </w:pPr>
            <w:r>
              <w:rPr>
                <w:sz w:val="16"/>
                <w:szCs w:val="16"/>
                <w:lang w:eastAsia="zh-CN"/>
              </w:rPr>
              <w:t>18.</w:t>
            </w:r>
            <w:r>
              <w:rPr>
                <w:rFonts w:hint="eastAsia"/>
                <w:sz w:val="16"/>
                <w:szCs w:val="16"/>
                <w:lang w:eastAsia="zh-CN"/>
              </w:rPr>
              <w:t>6</w:t>
            </w:r>
            <w:r>
              <w:rPr>
                <w:sz w:val="16"/>
                <w:szCs w:val="16"/>
                <w:lang w:eastAsia="zh-CN"/>
              </w:rPr>
              <w:t>.</w:t>
            </w:r>
            <w:r>
              <w:rPr>
                <w:rFonts w:hint="eastAsia"/>
                <w:sz w:val="16"/>
                <w:szCs w:val="16"/>
                <w:lang w:eastAsia="zh-CN"/>
              </w:rPr>
              <w:t>0</w:t>
            </w:r>
          </w:p>
        </w:tc>
      </w:tr>
      <w:tr w:rsidR="00106F47" w:rsidRPr="00EF7075" w14:paraId="52763200"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0698691"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B5C46B6"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E118C62" w14:textId="77777777" w:rsidR="00106F47" w:rsidRPr="00132CE6" w:rsidRDefault="00106F47" w:rsidP="00106F47">
            <w:pPr>
              <w:pStyle w:val="TAC"/>
              <w:rPr>
                <w:sz w:val="16"/>
              </w:rPr>
            </w:pPr>
            <w:r>
              <w:rPr>
                <w:rFonts w:cs="Arial"/>
                <w:sz w:val="16"/>
                <w:szCs w:val="16"/>
              </w:rPr>
              <w:t>CP-242125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2436464" w14:textId="77777777" w:rsidR="00106F47" w:rsidRPr="00EF7075" w:rsidRDefault="00106F47" w:rsidP="00106F47">
            <w:pPr>
              <w:pStyle w:val="TAL"/>
              <w:rPr>
                <w:rFonts w:cs="Arial"/>
                <w:sz w:val="16"/>
                <w:szCs w:val="16"/>
              </w:rPr>
            </w:pPr>
            <w:r>
              <w:rPr>
                <w:rFonts w:cs="Arial"/>
                <w:sz w:val="16"/>
                <w:szCs w:val="16"/>
              </w:rPr>
              <w:t>0919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E6F3389" w14:textId="77777777" w:rsidR="00106F47" w:rsidRPr="00EF7075" w:rsidRDefault="00106F47" w:rsidP="00106F47">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B18D521" w14:textId="77777777" w:rsidR="00106F47" w:rsidRDefault="00106F47" w:rsidP="00106F47">
            <w:pPr>
              <w:pStyle w:val="TAC"/>
              <w:rPr>
                <w:sz w:val="16"/>
                <w:szCs w:val="16"/>
                <w:lang w:val="en-US" w:eastAsia="zh-CN"/>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2B51BF7" w14:textId="77777777" w:rsidR="00106F47" w:rsidRDefault="00106F47" w:rsidP="00106F47">
            <w:pPr>
              <w:pStyle w:val="TAL"/>
              <w:rPr>
                <w:sz w:val="16"/>
              </w:rPr>
            </w:pPr>
            <w:r>
              <w:rPr>
                <w:rFonts w:cs="Arial"/>
                <w:sz w:val="16"/>
                <w:szCs w:val="16"/>
              </w:rPr>
              <w:t>Fix the misalignment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8FECFCA" w14:textId="77777777" w:rsidR="00106F47" w:rsidRDefault="00106F47" w:rsidP="00106F47">
            <w:pPr>
              <w:pStyle w:val="TAC"/>
              <w:rPr>
                <w:rFonts w:hint="eastAsia"/>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5BB7DE14"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B691DFE"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053A5"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985A786" w14:textId="77777777" w:rsidR="00106F47" w:rsidRPr="00132CE6" w:rsidRDefault="00106F47" w:rsidP="00106F47">
            <w:pPr>
              <w:pStyle w:val="TAC"/>
              <w:rPr>
                <w:sz w:val="16"/>
              </w:rPr>
            </w:pPr>
            <w:r>
              <w:rPr>
                <w:rFonts w:cs="Arial"/>
                <w:sz w:val="16"/>
                <w:szCs w:val="16"/>
              </w:rPr>
              <w:t>CP-242128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7789D91" w14:textId="77777777" w:rsidR="00106F47" w:rsidRPr="00EF7075" w:rsidRDefault="00106F47" w:rsidP="00106F47">
            <w:pPr>
              <w:pStyle w:val="TAL"/>
              <w:rPr>
                <w:rFonts w:cs="Arial"/>
                <w:sz w:val="16"/>
                <w:szCs w:val="16"/>
              </w:rPr>
            </w:pPr>
            <w:r>
              <w:rPr>
                <w:rFonts w:cs="Arial"/>
                <w:sz w:val="16"/>
                <w:szCs w:val="16"/>
              </w:rPr>
              <w:t>0924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9418E01" w14:textId="77777777" w:rsidR="00106F47" w:rsidRPr="00EF7075" w:rsidRDefault="00106F47" w:rsidP="00106F47">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F19D65" w14:textId="77777777" w:rsidR="00106F47" w:rsidRDefault="00106F47" w:rsidP="00106F47">
            <w:pPr>
              <w:pStyle w:val="TAC"/>
              <w:rPr>
                <w:sz w:val="16"/>
                <w:szCs w:val="16"/>
                <w:lang w:val="en-US" w:eastAsia="zh-CN"/>
              </w:rPr>
            </w:pPr>
            <w:r>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A300E26" w14:textId="77777777" w:rsidR="00106F47" w:rsidRDefault="00106F47" w:rsidP="00106F47">
            <w:pPr>
              <w:pStyle w:val="TAL"/>
              <w:rPr>
                <w:sz w:val="16"/>
              </w:rPr>
            </w:pPr>
            <w:r>
              <w:rPr>
                <w:rFonts w:cs="Arial"/>
                <w:sz w:val="16"/>
                <w:szCs w:val="16"/>
              </w:rPr>
              <w:t>Support of feature negotiation at analytics context retrieval from source NWDAF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09B9535"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0BE68F71"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37CF9E93"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034A2A"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410227" w14:textId="77777777" w:rsidR="00106F47" w:rsidRPr="00132CE6" w:rsidRDefault="00106F47" w:rsidP="00106F47">
            <w:pPr>
              <w:pStyle w:val="TAC"/>
              <w:rPr>
                <w:sz w:val="16"/>
              </w:rPr>
            </w:pPr>
            <w:r>
              <w:rPr>
                <w:rFonts w:cs="Arial"/>
                <w:sz w:val="16"/>
                <w:szCs w:val="16"/>
              </w:rPr>
              <w:t>CP-242128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8FC6449" w14:textId="77777777" w:rsidR="00106F47" w:rsidRPr="00EF7075" w:rsidRDefault="00106F47" w:rsidP="00106F47">
            <w:pPr>
              <w:pStyle w:val="TAL"/>
              <w:rPr>
                <w:rFonts w:cs="Arial"/>
                <w:sz w:val="16"/>
                <w:szCs w:val="16"/>
              </w:rPr>
            </w:pPr>
            <w:r>
              <w:rPr>
                <w:rFonts w:cs="Arial"/>
                <w:sz w:val="16"/>
                <w:szCs w:val="16"/>
              </w:rPr>
              <w:t>0927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5A047B9" w14:textId="77777777" w:rsidR="00106F47" w:rsidRPr="00EF7075" w:rsidRDefault="00106F47" w:rsidP="00106F47">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C39C7" w14:textId="77777777" w:rsidR="00106F47" w:rsidRDefault="00106F47" w:rsidP="00106F47">
            <w:pPr>
              <w:pStyle w:val="TAC"/>
              <w:rPr>
                <w:sz w:val="16"/>
                <w:szCs w:val="16"/>
                <w:lang w:val="en-US" w:eastAsia="zh-CN"/>
              </w:rPr>
            </w:pPr>
            <w:r>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17182A0" w14:textId="77777777" w:rsidR="00106F47" w:rsidRDefault="00106F47" w:rsidP="00106F47">
            <w:pPr>
              <w:pStyle w:val="TAL"/>
              <w:rPr>
                <w:sz w:val="16"/>
              </w:rPr>
            </w:pPr>
            <w:r>
              <w:rPr>
                <w:rFonts w:cs="Arial"/>
                <w:sz w:val="16"/>
                <w:szCs w:val="16"/>
              </w:rPr>
              <w:t>Corrections on the resource URI in the Nnwdaf_DataManagement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AAD0D5D"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03ECB21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7198FAF"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A9F7CE"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945B67" w14:textId="77777777" w:rsidR="00106F47" w:rsidRPr="00132CE6" w:rsidRDefault="00106F47" w:rsidP="00106F47">
            <w:pPr>
              <w:pStyle w:val="TAC"/>
              <w:rPr>
                <w:sz w:val="16"/>
              </w:rPr>
            </w:pPr>
            <w:r>
              <w:rPr>
                <w:rFonts w:cs="Arial"/>
                <w:sz w:val="16"/>
                <w:szCs w:val="16"/>
              </w:rPr>
              <w:t>CP-242119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7832F6C" w14:textId="77777777" w:rsidR="00106F47" w:rsidRPr="00EF7075" w:rsidRDefault="00106F47" w:rsidP="00106F47">
            <w:pPr>
              <w:pStyle w:val="TAL"/>
              <w:rPr>
                <w:rFonts w:cs="Arial"/>
                <w:sz w:val="16"/>
                <w:szCs w:val="16"/>
              </w:rPr>
            </w:pPr>
            <w:r>
              <w:rPr>
                <w:rFonts w:cs="Arial"/>
                <w:sz w:val="16"/>
                <w:szCs w:val="16"/>
              </w:rPr>
              <w:t>0928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BF1421" w14:textId="77777777" w:rsidR="00106F47" w:rsidRPr="00EF7075" w:rsidRDefault="00106F47" w:rsidP="00106F47">
            <w:pPr>
              <w:pStyle w:val="TAR"/>
              <w:rPr>
                <w:rFonts w:cs="Arial"/>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742449" w14:textId="77777777" w:rsidR="00106F47" w:rsidRDefault="00106F47" w:rsidP="00106F47">
            <w:pPr>
              <w:pStyle w:val="TAC"/>
              <w:rPr>
                <w:sz w:val="16"/>
                <w:szCs w:val="16"/>
                <w:lang w:val="en-US" w:eastAsia="zh-CN"/>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9A0C663" w14:textId="77777777" w:rsidR="00106F47" w:rsidRDefault="00106F47" w:rsidP="00106F47">
            <w:pPr>
              <w:pStyle w:val="TAL"/>
              <w:rPr>
                <w:sz w:val="16"/>
              </w:rPr>
            </w:pPr>
            <w:r>
              <w:rPr>
                <w:rFonts w:cs="Arial"/>
                <w:sz w:val="16"/>
                <w:szCs w:val="16"/>
              </w:rPr>
              <w:t>Fix the misalignment and resolve the Editor’s Note for Nnwdaf_MLModelTraining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7E76A7A"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0DB82ACB"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A793297"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696859A"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902801" w14:textId="77777777" w:rsidR="00106F47" w:rsidRPr="00132CE6" w:rsidRDefault="00106F47" w:rsidP="00106F47">
            <w:pPr>
              <w:pStyle w:val="TAC"/>
              <w:rPr>
                <w:sz w:val="16"/>
              </w:rPr>
            </w:pPr>
            <w:r>
              <w:rPr>
                <w:rFonts w:cs="Arial"/>
                <w:sz w:val="16"/>
                <w:szCs w:val="16"/>
              </w:rPr>
              <w:t>CP-242155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05B9E01" w14:textId="77777777" w:rsidR="00106F47" w:rsidRPr="00EF7075" w:rsidRDefault="00106F47" w:rsidP="00106F47">
            <w:pPr>
              <w:pStyle w:val="TAL"/>
              <w:rPr>
                <w:rFonts w:cs="Arial"/>
                <w:sz w:val="16"/>
                <w:szCs w:val="16"/>
              </w:rPr>
            </w:pPr>
            <w:r>
              <w:rPr>
                <w:rFonts w:cs="Arial"/>
                <w:sz w:val="16"/>
                <w:szCs w:val="16"/>
              </w:rPr>
              <w:t>0929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C97EED" w14:textId="77777777" w:rsidR="00106F47" w:rsidRPr="00EF7075" w:rsidRDefault="00106F47" w:rsidP="00106F47">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173FE2" w14:textId="77777777" w:rsidR="00106F47" w:rsidRDefault="00106F47" w:rsidP="00106F47">
            <w:pPr>
              <w:pStyle w:val="TAC"/>
              <w:rPr>
                <w:sz w:val="16"/>
                <w:szCs w:val="16"/>
                <w:lang w:val="en-US" w:eastAsia="zh-CN"/>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FAAF9F" w14:textId="77777777" w:rsidR="00106F47" w:rsidRDefault="00106F47" w:rsidP="00106F47">
            <w:pPr>
              <w:pStyle w:val="TAL"/>
              <w:rPr>
                <w:sz w:val="16"/>
              </w:rPr>
            </w:pPr>
            <w:r>
              <w:rPr>
                <w:rFonts w:cs="Arial"/>
                <w:sz w:val="16"/>
                <w:szCs w:val="16"/>
              </w:rPr>
              <w:t>Corrections on target UE and filter provided in the ML model notification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8303D9B"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2F9052A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D4E6C29"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498467F"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0D55BAB" w14:textId="77777777" w:rsidR="00106F47" w:rsidRPr="00132CE6" w:rsidRDefault="00106F47" w:rsidP="00106F47">
            <w:pPr>
              <w:pStyle w:val="TAC"/>
              <w:rPr>
                <w:sz w:val="16"/>
              </w:rPr>
            </w:pPr>
            <w:r>
              <w:rPr>
                <w:rFonts w:cs="Arial"/>
                <w:sz w:val="16"/>
                <w:szCs w:val="16"/>
              </w:rPr>
              <w:t>CP-242119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42A6764" w14:textId="77777777" w:rsidR="00106F47" w:rsidRPr="00EF7075" w:rsidRDefault="00106F47" w:rsidP="00106F47">
            <w:pPr>
              <w:pStyle w:val="TAL"/>
              <w:rPr>
                <w:rFonts w:cs="Arial"/>
                <w:sz w:val="16"/>
                <w:szCs w:val="16"/>
              </w:rPr>
            </w:pPr>
            <w:r>
              <w:rPr>
                <w:rFonts w:cs="Arial"/>
                <w:sz w:val="16"/>
                <w:szCs w:val="16"/>
              </w:rPr>
              <w:t>0930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9CD50FA" w14:textId="77777777" w:rsidR="00106F47" w:rsidRPr="00EF7075" w:rsidRDefault="00106F47" w:rsidP="00106F47">
            <w:pPr>
              <w:pStyle w:val="TAR"/>
              <w:rPr>
                <w:rFonts w:cs="Arial"/>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A86501" w14:textId="77777777" w:rsidR="00106F47" w:rsidRDefault="00106F47" w:rsidP="00106F47">
            <w:pPr>
              <w:pStyle w:val="TAC"/>
              <w:rPr>
                <w:sz w:val="16"/>
                <w:szCs w:val="16"/>
                <w:lang w:val="en-US" w:eastAsia="zh-CN"/>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B37BD91" w14:textId="77777777" w:rsidR="00106F47" w:rsidRDefault="00106F47" w:rsidP="00106F47">
            <w:pPr>
              <w:pStyle w:val="TAL"/>
              <w:rPr>
                <w:sz w:val="16"/>
              </w:rPr>
            </w:pPr>
            <w:r>
              <w:rPr>
                <w:rFonts w:cs="Arial"/>
                <w:sz w:val="16"/>
                <w:szCs w:val="16"/>
              </w:rPr>
              <w:t>Corrections to Movement Behaviour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470343A"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31DE056B"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4EC00312"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42B609"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4E51B6" w14:textId="77777777" w:rsidR="00106F47" w:rsidRPr="00132CE6" w:rsidRDefault="00106F47" w:rsidP="00106F47">
            <w:pPr>
              <w:pStyle w:val="TAC"/>
              <w:rPr>
                <w:sz w:val="16"/>
              </w:rPr>
            </w:pPr>
            <w:r>
              <w:rPr>
                <w:rFonts w:cs="Arial"/>
                <w:sz w:val="16"/>
                <w:szCs w:val="16"/>
              </w:rPr>
              <w:t>CP-242125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8A16FCE" w14:textId="77777777" w:rsidR="00106F47" w:rsidRPr="00EF7075" w:rsidRDefault="00106F47" w:rsidP="00106F47">
            <w:pPr>
              <w:pStyle w:val="TAL"/>
              <w:rPr>
                <w:rFonts w:cs="Arial"/>
                <w:sz w:val="16"/>
                <w:szCs w:val="16"/>
              </w:rPr>
            </w:pPr>
            <w:r>
              <w:rPr>
                <w:rFonts w:cs="Arial"/>
                <w:sz w:val="16"/>
                <w:szCs w:val="16"/>
              </w:rPr>
              <w:t>0931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4B36FB" w14:textId="77777777" w:rsidR="00106F47" w:rsidRPr="00EF7075" w:rsidRDefault="00106F47" w:rsidP="00106F47">
            <w:pPr>
              <w:pStyle w:val="TAR"/>
              <w:rPr>
                <w:rFonts w:cs="Arial"/>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8932D8" w14:textId="77777777" w:rsidR="00106F47" w:rsidRDefault="00106F47" w:rsidP="00106F47">
            <w:pPr>
              <w:pStyle w:val="TAC"/>
              <w:rPr>
                <w:sz w:val="16"/>
                <w:szCs w:val="16"/>
                <w:lang w:val="en-US" w:eastAsia="zh-CN"/>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E706562" w14:textId="77777777" w:rsidR="00106F47" w:rsidRDefault="00106F47" w:rsidP="00106F47">
            <w:pPr>
              <w:pStyle w:val="TAL"/>
              <w:rPr>
                <w:sz w:val="16"/>
              </w:rPr>
            </w:pPr>
            <w:r>
              <w:rPr>
                <w:rFonts w:cs="Arial"/>
                <w:sz w:val="16"/>
                <w:szCs w:val="16"/>
              </w:rPr>
              <w:t>Corrections to E2E data volume transfer time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8EE1D13"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1B4D1BA6"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D82B775" w14:textId="77777777" w:rsidR="00106F47" w:rsidRPr="00EF7075" w:rsidRDefault="00106F47" w:rsidP="00106F47">
            <w:pPr>
              <w:pStyle w:val="TAC"/>
              <w:rPr>
                <w:sz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C4D854" w14:textId="77777777" w:rsidR="00106F47" w:rsidRPr="00EF7075" w:rsidRDefault="00106F47" w:rsidP="00106F47">
            <w:pPr>
              <w:pStyle w:val="TAC"/>
              <w:rPr>
                <w:sz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ABB34E" w14:textId="77777777" w:rsidR="00106F47" w:rsidRPr="00132CE6" w:rsidRDefault="00106F47" w:rsidP="00106F47">
            <w:pPr>
              <w:pStyle w:val="TAC"/>
              <w:rPr>
                <w:sz w:val="16"/>
              </w:rPr>
            </w:pPr>
            <w:r>
              <w:rPr>
                <w:rFonts w:cs="Arial"/>
                <w:sz w:val="16"/>
                <w:szCs w:val="16"/>
              </w:rPr>
              <w:t>CP-242120</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20A984C" w14:textId="77777777" w:rsidR="00106F47" w:rsidRPr="00EF7075" w:rsidRDefault="00106F47" w:rsidP="00106F47">
            <w:pPr>
              <w:pStyle w:val="TAL"/>
              <w:rPr>
                <w:rFonts w:cs="Arial"/>
                <w:sz w:val="16"/>
                <w:szCs w:val="16"/>
              </w:rPr>
            </w:pPr>
            <w:r>
              <w:rPr>
                <w:rFonts w:cs="Arial"/>
                <w:sz w:val="16"/>
                <w:szCs w:val="16"/>
              </w:rPr>
              <w:t>0934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B8150BD" w14:textId="77777777" w:rsidR="00106F47" w:rsidRPr="00EF7075" w:rsidRDefault="00106F47" w:rsidP="00106F47">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030DD1" w14:textId="77777777" w:rsidR="00106F47" w:rsidRDefault="00106F47" w:rsidP="00106F47">
            <w:pPr>
              <w:pStyle w:val="TAC"/>
              <w:rPr>
                <w:sz w:val="16"/>
                <w:szCs w:val="16"/>
                <w:lang w:val="en-US" w:eastAsia="zh-CN"/>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F35FCBE" w14:textId="77777777" w:rsidR="00106F47" w:rsidRDefault="00106F47" w:rsidP="00106F47">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52DDB92" w14:textId="77777777" w:rsidR="00106F47" w:rsidRDefault="00106F47" w:rsidP="00106F47">
            <w:pPr>
              <w:pStyle w:val="TAC"/>
              <w:rPr>
                <w:sz w:val="16"/>
                <w:szCs w:val="16"/>
                <w:lang w:eastAsia="zh-CN"/>
              </w:rPr>
            </w:pPr>
            <w:r w:rsidRPr="00602EAF">
              <w:rPr>
                <w:rFonts w:hint="eastAsia"/>
                <w:sz w:val="16"/>
                <w:szCs w:val="16"/>
                <w:lang w:eastAsia="zh-CN"/>
              </w:rPr>
              <w:t>1</w:t>
            </w:r>
            <w:r w:rsidRPr="00602EAF">
              <w:rPr>
                <w:sz w:val="16"/>
                <w:szCs w:val="16"/>
                <w:lang w:eastAsia="zh-CN"/>
              </w:rPr>
              <w:t>8.7.0</w:t>
            </w:r>
          </w:p>
        </w:tc>
      </w:tr>
      <w:tr w:rsidR="00106F47" w:rsidRPr="00EF7075" w14:paraId="28642E37"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782A7E33" w14:textId="77777777" w:rsidR="00106F47" w:rsidRDefault="00106F47" w:rsidP="00106F47">
            <w:pPr>
              <w:pStyle w:val="TAC"/>
              <w:rPr>
                <w:rFonts w:cs="Arial"/>
                <w:sz w:val="16"/>
                <w:szCs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13874FF" w14:textId="77777777" w:rsidR="00106F47" w:rsidRDefault="00106F47" w:rsidP="00106F47">
            <w:pPr>
              <w:pStyle w:val="TAC"/>
              <w:rPr>
                <w:rFonts w:cs="Arial"/>
                <w:sz w:val="16"/>
                <w:szCs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ED27E3" w14:textId="77777777" w:rsidR="00106F47" w:rsidRDefault="00106F47" w:rsidP="00106F47">
            <w:pPr>
              <w:pStyle w:val="TAC"/>
              <w:rPr>
                <w:rFonts w:cs="Arial"/>
                <w:sz w:val="16"/>
                <w:szCs w:val="16"/>
              </w:rPr>
            </w:pPr>
            <w:r>
              <w:rPr>
                <w:rFonts w:cs="Arial"/>
                <w:sz w:val="16"/>
                <w:szCs w:val="16"/>
              </w:rPr>
              <w:t>CP-242124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E2013B8" w14:textId="77777777" w:rsidR="00106F47" w:rsidRDefault="00106F47" w:rsidP="00106F47">
            <w:pPr>
              <w:pStyle w:val="TAL"/>
              <w:rPr>
                <w:rFonts w:cs="Arial"/>
                <w:sz w:val="16"/>
                <w:szCs w:val="16"/>
              </w:rPr>
            </w:pPr>
            <w:r>
              <w:rPr>
                <w:rFonts w:cs="Arial"/>
                <w:sz w:val="16"/>
                <w:szCs w:val="16"/>
              </w:rPr>
              <w:t>0920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A15508" w14:textId="77777777" w:rsidR="00106F47" w:rsidRPr="00EF7075" w:rsidRDefault="00106F47" w:rsidP="00106F47">
            <w:pPr>
              <w:pStyle w:val="TAR"/>
              <w:rPr>
                <w:rFonts w:cs="Arial"/>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B47EFEB" w14:textId="77777777" w:rsidR="00106F47" w:rsidRDefault="00106F47" w:rsidP="00106F47">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1CBE650" w14:textId="77777777" w:rsidR="00106F47" w:rsidRDefault="00106F47" w:rsidP="00106F47">
            <w:pPr>
              <w:pStyle w:val="TAL"/>
              <w:rPr>
                <w:sz w:val="16"/>
              </w:rPr>
            </w:pPr>
            <w:r>
              <w:rPr>
                <w:rFonts w:cs="Arial"/>
                <w:sz w:val="16"/>
                <w:szCs w:val="16"/>
              </w:rPr>
              <w:t>Adding ADRF as a consumer of Nnwdaf_DataManagement_Fetch</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64F39AC" w14:textId="77777777" w:rsidR="00106F47" w:rsidRPr="00602EAF" w:rsidRDefault="00106F47" w:rsidP="00106F47">
            <w:pPr>
              <w:pStyle w:val="TAC"/>
              <w:rPr>
                <w:rFonts w:hint="eastAsia"/>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4B7F1AC3"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264DBD54" w14:textId="77777777" w:rsidR="00106F47" w:rsidRDefault="00106F47" w:rsidP="00106F47">
            <w:pPr>
              <w:pStyle w:val="TAC"/>
              <w:rPr>
                <w:rFonts w:cs="Arial"/>
                <w:sz w:val="16"/>
                <w:szCs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650371" w14:textId="77777777" w:rsidR="00106F47" w:rsidRDefault="00106F47" w:rsidP="00106F47">
            <w:pPr>
              <w:pStyle w:val="TAC"/>
              <w:rPr>
                <w:rFonts w:cs="Arial"/>
                <w:sz w:val="16"/>
                <w:szCs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41BF8F" w14:textId="77777777" w:rsidR="00106F47" w:rsidRDefault="00106F47" w:rsidP="00106F47">
            <w:pPr>
              <w:pStyle w:val="TAC"/>
              <w:rPr>
                <w:rFonts w:cs="Arial"/>
                <w:sz w:val="16"/>
                <w:szCs w:val="16"/>
              </w:rPr>
            </w:pPr>
            <w:r>
              <w:rPr>
                <w:rFonts w:cs="Arial"/>
                <w:sz w:val="16"/>
                <w:szCs w:val="16"/>
              </w:rPr>
              <w:t>CP-242124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25EA74E" w14:textId="77777777" w:rsidR="00106F47" w:rsidRDefault="00106F47" w:rsidP="00106F47">
            <w:pPr>
              <w:pStyle w:val="TAL"/>
              <w:rPr>
                <w:rFonts w:cs="Arial"/>
                <w:sz w:val="16"/>
                <w:szCs w:val="16"/>
              </w:rPr>
            </w:pPr>
            <w:r>
              <w:rPr>
                <w:rFonts w:cs="Arial"/>
                <w:sz w:val="16"/>
                <w:szCs w:val="16"/>
              </w:rPr>
              <w:t>0922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4452F12" w14:textId="77777777" w:rsidR="00106F47" w:rsidRPr="00EF7075" w:rsidRDefault="00106F47" w:rsidP="00106F47">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D2B8B86" w14:textId="77777777" w:rsidR="00106F47" w:rsidRDefault="00106F47" w:rsidP="00106F47">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A94602E" w14:textId="77777777" w:rsidR="00106F47" w:rsidRDefault="00106F47" w:rsidP="00106F47">
            <w:pPr>
              <w:pStyle w:val="TAL"/>
              <w:rPr>
                <w:sz w:val="16"/>
              </w:rPr>
            </w:pPr>
            <w:r>
              <w:rPr>
                <w:rFonts w:cs="Arial"/>
                <w:sz w:val="16"/>
                <w:szCs w:val="16"/>
              </w:rPr>
              <w:t>Correction of immReport for RoamingData</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93AB003" w14:textId="77777777" w:rsidR="00106F47" w:rsidRPr="00602EAF" w:rsidRDefault="00106F47" w:rsidP="00106F47">
            <w:pPr>
              <w:pStyle w:val="TAC"/>
              <w:rPr>
                <w:rFonts w:hint="eastAsia"/>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06A22C1A"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6632831A" w14:textId="77777777" w:rsidR="00106F47" w:rsidRDefault="00106F47" w:rsidP="00106F47">
            <w:pPr>
              <w:pStyle w:val="TAC"/>
              <w:rPr>
                <w:rFonts w:cs="Arial"/>
                <w:sz w:val="16"/>
                <w:szCs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DC7B99" w14:textId="77777777" w:rsidR="00106F47" w:rsidRDefault="00106F47" w:rsidP="00106F47">
            <w:pPr>
              <w:pStyle w:val="TAC"/>
              <w:rPr>
                <w:rFonts w:cs="Arial"/>
                <w:sz w:val="16"/>
                <w:szCs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7E7FCA" w14:textId="77777777" w:rsidR="00106F47" w:rsidRDefault="00106F47" w:rsidP="00106F47">
            <w:pPr>
              <w:pStyle w:val="TAC"/>
              <w:rPr>
                <w:rFonts w:cs="Arial"/>
                <w:sz w:val="16"/>
                <w:szCs w:val="16"/>
              </w:rPr>
            </w:pPr>
            <w:r>
              <w:rPr>
                <w:rFonts w:cs="Arial"/>
                <w:sz w:val="16"/>
                <w:szCs w:val="16"/>
              </w:rPr>
              <w:t>CP-242118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AF92EBE" w14:textId="77777777" w:rsidR="00106F47" w:rsidRDefault="00106F47" w:rsidP="00106F47">
            <w:pPr>
              <w:pStyle w:val="TAL"/>
              <w:rPr>
                <w:rFonts w:cs="Arial"/>
                <w:sz w:val="16"/>
                <w:szCs w:val="16"/>
              </w:rPr>
            </w:pPr>
            <w:r>
              <w:rPr>
                <w:rFonts w:cs="Arial"/>
                <w:sz w:val="16"/>
                <w:szCs w:val="16"/>
              </w:rPr>
              <w:t>0925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482F802" w14:textId="77777777" w:rsidR="00106F47" w:rsidRPr="00EF7075" w:rsidRDefault="00106F47" w:rsidP="00106F47">
            <w:pPr>
              <w:pStyle w:val="TAR"/>
              <w:rPr>
                <w:rFonts w:cs="Arial"/>
                <w:sz w:val="16"/>
                <w:szCs w:val="16"/>
              </w:rPr>
            </w:pPr>
            <w:r>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71150D" w14:textId="77777777" w:rsidR="00106F47" w:rsidRDefault="00106F47" w:rsidP="00106F47">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04199FF" w14:textId="77777777" w:rsidR="00106F47" w:rsidRDefault="00106F47" w:rsidP="00106F47">
            <w:pPr>
              <w:pStyle w:val="TAL"/>
              <w:rPr>
                <w:sz w:val="16"/>
              </w:rPr>
            </w:pPr>
            <w:r>
              <w:rPr>
                <w:rFonts w:cs="Arial"/>
                <w:sz w:val="16"/>
                <w:szCs w:val="16"/>
              </w:rPr>
              <w:t>NO_$REF_SIBLINGS issue correction within the Nnwdaf_MLModelTraining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FBD924B" w14:textId="77777777" w:rsidR="00106F47" w:rsidRPr="00602EAF" w:rsidRDefault="00106F47" w:rsidP="00106F47">
            <w:pPr>
              <w:pStyle w:val="TAC"/>
              <w:rPr>
                <w:rFonts w:hint="eastAsia"/>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6898D62C"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1682A7A8" w14:textId="77777777" w:rsidR="00106F47" w:rsidRDefault="00106F47" w:rsidP="00106F47">
            <w:pPr>
              <w:pStyle w:val="TAC"/>
              <w:rPr>
                <w:rFonts w:cs="Arial"/>
                <w:sz w:val="16"/>
                <w:szCs w:val="16"/>
              </w:rPr>
            </w:pPr>
            <w:r>
              <w:rPr>
                <w:rFonts w:cs="Arial"/>
                <w:sz w:val="16"/>
                <w:szCs w:val="16"/>
              </w:rPr>
              <w:lastRenderedPageBreak/>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669314" w14:textId="77777777" w:rsidR="00106F47" w:rsidRDefault="00106F47" w:rsidP="00106F47">
            <w:pPr>
              <w:pStyle w:val="TAC"/>
              <w:rPr>
                <w:rFonts w:cs="Arial"/>
                <w:sz w:val="16"/>
                <w:szCs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251ED6" w14:textId="77777777" w:rsidR="00106F47" w:rsidRDefault="00106F47" w:rsidP="00106F47">
            <w:pPr>
              <w:pStyle w:val="TAC"/>
              <w:rPr>
                <w:rFonts w:cs="Arial"/>
                <w:sz w:val="16"/>
                <w:szCs w:val="16"/>
              </w:rPr>
            </w:pPr>
            <w:r>
              <w:rPr>
                <w:rFonts w:cs="Arial"/>
                <w:sz w:val="16"/>
                <w:szCs w:val="16"/>
              </w:rPr>
              <w:t>CP-242124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21CD6E6" w14:textId="77777777" w:rsidR="00106F47" w:rsidRDefault="00106F47" w:rsidP="00106F47">
            <w:pPr>
              <w:pStyle w:val="TAL"/>
              <w:rPr>
                <w:rFonts w:cs="Arial"/>
                <w:sz w:val="16"/>
                <w:szCs w:val="16"/>
              </w:rPr>
            </w:pPr>
            <w:r>
              <w:rPr>
                <w:rFonts w:cs="Arial"/>
                <w:sz w:val="16"/>
                <w:szCs w:val="16"/>
              </w:rPr>
              <w:t>0932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6D299F" w14:textId="77777777" w:rsidR="00106F47" w:rsidRPr="00EF7075" w:rsidRDefault="00106F47" w:rsidP="00106F47">
            <w:pPr>
              <w:pStyle w:val="TAR"/>
              <w:rPr>
                <w:rFonts w:cs="Arial"/>
                <w:sz w:val="16"/>
                <w:szCs w:val="16"/>
              </w:rPr>
            </w:pPr>
            <w:r>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E27A19" w14:textId="77777777" w:rsidR="00106F47" w:rsidRDefault="00106F47" w:rsidP="00106F47">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872F9E9" w14:textId="77777777" w:rsidR="00106F47" w:rsidRDefault="00106F47" w:rsidP="00106F47">
            <w:pPr>
              <w:pStyle w:val="TAL"/>
              <w:rPr>
                <w:sz w:val="16"/>
              </w:rPr>
            </w:pPr>
            <w:r>
              <w:rPr>
                <w:rFonts w:cs="Arial"/>
                <w:sz w:val="16"/>
                <w:szCs w:val="16"/>
              </w:rPr>
              <w:t>Corrections to MovementBehaviour feature applicability</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DEA179F" w14:textId="77777777" w:rsidR="00106F47" w:rsidRPr="00602EAF" w:rsidRDefault="00106F47" w:rsidP="00106F47">
            <w:pPr>
              <w:pStyle w:val="TAC"/>
              <w:rPr>
                <w:rFonts w:hint="eastAsia"/>
                <w:sz w:val="16"/>
                <w:szCs w:val="16"/>
                <w:lang w:eastAsia="zh-CN"/>
              </w:rPr>
            </w:pPr>
            <w:r w:rsidRPr="009313E1">
              <w:rPr>
                <w:rFonts w:hint="eastAsia"/>
                <w:sz w:val="16"/>
                <w:szCs w:val="16"/>
                <w:lang w:eastAsia="zh-CN"/>
              </w:rPr>
              <w:t>1</w:t>
            </w:r>
            <w:r w:rsidRPr="009313E1">
              <w:rPr>
                <w:sz w:val="16"/>
                <w:szCs w:val="16"/>
                <w:lang w:eastAsia="zh-CN"/>
              </w:rPr>
              <w:t>9.0.0</w:t>
            </w:r>
          </w:p>
        </w:tc>
      </w:tr>
      <w:tr w:rsidR="00106F47" w:rsidRPr="00EF7075" w14:paraId="443B4F3B" w14:textId="77777777" w:rsidTr="00EF7075">
        <w:tc>
          <w:tcPr>
            <w:tcW w:w="796" w:type="dxa"/>
            <w:tcBorders>
              <w:top w:val="single" w:sz="6" w:space="0" w:color="auto"/>
              <w:left w:val="single" w:sz="6" w:space="0" w:color="auto"/>
              <w:bottom w:val="single" w:sz="6" w:space="0" w:color="auto"/>
              <w:right w:val="single" w:sz="6" w:space="0" w:color="auto"/>
            </w:tcBorders>
            <w:shd w:val="solid" w:color="FFFFFF" w:fill="auto"/>
          </w:tcPr>
          <w:p w14:paraId="4A5D44A7" w14:textId="77777777" w:rsidR="00106F47" w:rsidRDefault="00106F47" w:rsidP="00106F47">
            <w:pPr>
              <w:pStyle w:val="TAC"/>
              <w:rPr>
                <w:rFonts w:cs="Arial"/>
                <w:sz w:val="16"/>
                <w:szCs w:val="16"/>
              </w:rPr>
            </w:pPr>
            <w:r>
              <w:rPr>
                <w:rFonts w:cs="Arial"/>
                <w:sz w:val="16"/>
                <w:szCs w:val="16"/>
              </w:rPr>
              <w:t>2024-09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1F9F5E" w14:textId="77777777" w:rsidR="00106F47" w:rsidRDefault="00106F47" w:rsidP="00106F47">
            <w:pPr>
              <w:pStyle w:val="TAC"/>
              <w:rPr>
                <w:rFonts w:cs="Arial"/>
                <w:sz w:val="16"/>
                <w:szCs w:val="16"/>
              </w:rPr>
            </w:pPr>
            <w:r>
              <w:rPr>
                <w:rFonts w:cs="Arial"/>
                <w:sz w:val="16"/>
                <w:szCs w:val="16"/>
              </w:rPr>
              <w:t>CT#105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31DE26" w14:textId="77777777" w:rsidR="00106F47" w:rsidRDefault="00106F47" w:rsidP="00106F47">
            <w:pPr>
              <w:pStyle w:val="TAC"/>
              <w:rPr>
                <w:rFonts w:cs="Arial"/>
                <w:sz w:val="16"/>
                <w:szCs w:val="16"/>
              </w:rPr>
            </w:pPr>
            <w:r>
              <w:rPr>
                <w:rFonts w:cs="Arial"/>
                <w:sz w:val="16"/>
                <w:szCs w:val="16"/>
              </w:rPr>
              <w:t>CP-242113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B241B29" w14:textId="77777777" w:rsidR="00106F47" w:rsidRDefault="00106F47" w:rsidP="00106F47">
            <w:pPr>
              <w:pStyle w:val="TAL"/>
              <w:rPr>
                <w:rFonts w:cs="Arial"/>
                <w:sz w:val="16"/>
                <w:szCs w:val="16"/>
              </w:rPr>
            </w:pPr>
            <w:r>
              <w:rPr>
                <w:rFonts w:cs="Arial"/>
                <w:sz w:val="16"/>
                <w:szCs w:val="16"/>
              </w:rPr>
              <w:t>0935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32FF6A" w14:textId="77777777" w:rsidR="00106F47" w:rsidRPr="00EF7075" w:rsidRDefault="00106F47" w:rsidP="00106F47">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7D4160" w14:textId="77777777" w:rsidR="00106F47" w:rsidRDefault="00106F47" w:rsidP="00106F47">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E41DEBC" w14:textId="77777777" w:rsidR="00106F47" w:rsidRDefault="00106F47" w:rsidP="00106F47">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00AAA7D" w14:textId="77777777" w:rsidR="00106F47" w:rsidRPr="00602EAF" w:rsidRDefault="00106F47" w:rsidP="00106F47">
            <w:pPr>
              <w:pStyle w:val="TAC"/>
              <w:rPr>
                <w:rFonts w:hint="eastAsia"/>
                <w:sz w:val="16"/>
                <w:szCs w:val="16"/>
                <w:lang w:eastAsia="zh-CN"/>
              </w:rPr>
            </w:pPr>
            <w:r w:rsidRPr="009313E1">
              <w:rPr>
                <w:rFonts w:hint="eastAsia"/>
                <w:sz w:val="16"/>
                <w:szCs w:val="16"/>
                <w:lang w:eastAsia="zh-CN"/>
              </w:rPr>
              <w:t>1</w:t>
            </w:r>
            <w:r w:rsidRPr="009313E1">
              <w:rPr>
                <w:sz w:val="16"/>
                <w:szCs w:val="16"/>
                <w:lang w:eastAsia="zh-CN"/>
              </w:rPr>
              <w:t>9.0.0</w:t>
            </w:r>
          </w:p>
        </w:tc>
      </w:tr>
      <w:tr w:rsidR="004F43A1" w:rsidRPr="00336A0C" w14:paraId="762DBAF6"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325B71C3"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280BD2"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05A6A28" w14:textId="77777777" w:rsidR="004F43A1" w:rsidRPr="00336A0C" w:rsidRDefault="004F43A1" w:rsidP="004F43A1">
            <w:pPr>
              <w:pStyle w:val="TAC"/>
              <w:rPr>
                <w:rFonts w:cs="Arial"/>
                <w:sz w:val="16"/>
                <w:szCs w:val="16"/>
              </w:rPr>
            </w:pPr>
            <w:r>
              <w:rPr>
                <w:rFonts w:cs="Arial"/>
                <w:sz w:val="16"/>
                <w:szCs w:val="16"/>
              </w:rPr>
              <w:t>CP-243097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7A7458A" w14:textId="77777777" w:rsidR="004F43A1" w:rsidRPr="00336A0C" w:rsidRDefault="004F43A1" w:rsidP="004F43A1">
            <w:pPr>
              <w:pStyle w:val="TAL"/>
              <w:rPr>
                <w:rFonts w:cs="Arial"/>
                <w:sz w:val="16"/>
                <w:szCs w:val="16"/>
              </w:rPr>
            </w:pPr>
            <w:r w:rsidRPr="00336A0C">
              <w:rPr>
                <w:rFonts w:cs="Arial"/>
                <w:sz w:val="16"/>
                <w:szCs w:val="16"/>
              </w:rPr>
              <w:t>0938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723A422"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D5CA6DC"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67A1F16" w14:textId="77777777" w:rsidR="004F43A1" w:rsidRPr="00336A0C" w:rsidRDefault="004F43A1" w:rsidP="004F43A1">
            <w:pPr>
              <w:pStyle w:val="TAL"/>
              <w:rPr>
                <w:sz w:val="16"/>
              </w:rPr>
            </w:pPr>
            <w:r w:rsidRPr="00336A0C">
              <w:rPr>
                <w:sz w:val="16"/>
              </w:rPr>
              <w:t>Support for QoS Substainablity analytics for UAS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6076EAD"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6C5C4499"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36A6095"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081FA7"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3163E"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6693ACA" w14:textId="77777777" w:rsidR="004F43A1" w:rsidRPr="00336A0C" w:rsidRDefault="004F43A1" w:rsidP="004F43A1">
            <w:pPr>
              <w:pStyle w:val="TAL"/>
              <w:rPr>
                <w:rFonts w:cs="Arial"/>
                <w:sz w:val="16"/>
                <w:szCs w:val="16"/>
              </w:rPr>
            </w:pPr>
            <w:r w:rsidRPr="00336A0C">
              <w:rPr>
                <w:rFonts w:cs="Arial"/>
                <w:sz w:val="16"/>
                <w:szCs w:val="16"/>
              </w:rPr>
              <w:t>0939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E01314C"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ECD0940"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E8B185" w14:textId="77777777" w:rsidR="004F43A1" w:rsidRPr="00336A0C" w:rsidRDefault="004F43A1" w:rsidP="004F43A1">
            <w:pPr>
              <w:pStyle w:val="TAL"/>
              <w:rPr>
                <w:sz w:val="16"/>
              </w:rPr>
            </w:pPr>
            <w:r w:rsidRPr="00336A0C">
              <w:rPr>
                <w:sz w:val="16"/>
              </w:rPr>
              <w:t>Correction of NWDAF Context resource descripiton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BEF09E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D81763F"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AC0A5AF"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A0E70B"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CC5AE1"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8C720F7" w14:textId="77777777" w:rsidR="004F43A1" w:rsidRPr="00336A0C" w:rsidRDefault="004F43A1" w:rsidP="004F43A1">
            <w:pPr>
              <w:pStyle w:val="TAL"/>
              <w:rPr>
                <w:rFonts w:cs="Arial"/>
                <w:sz w:val="16"/>
                <w:szCs w:val="16"/>
              </w:rPr>
            </w:pPr>
            <w:r w:rsidRPr="00336A0C">
              <w:rPr>
                <w:rFonts w:cs="Arial"/>
                <w:sz w:val="16"/>
                <w:szCs w:val="16"/>
              </w:rPr>
              <w:t>0940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A48522F" w14:textId="77777777" w:rsidR="004F43A1" w:rsidRPr="00336A0C" w:rsidRDefault="004F43A1" w:rsidP="004F43A1">
            <w:pPr>
              <w:pStyle w:val="TAR"/>
              <w:rPr>
                <w:rFonts w:cs="Arial"/>
                <w:sz w:val="16"/>
                <w:szCs w:val="16"/>
              </w:rPr>
            </w:pPr>
            <w:r w:rsidRPr="00336A0C">
              <w:rPr>
                <w:rFonts w:cs="Arial"/>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385C698"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E206FD0" w14:textId="77777777" w:rsidR="004F43A1" w:rsidRPr="00336A0C" w:rsidRDefault="004F43A1" w:rsidP="004F43A1">
            <w:pPr>
              <w:pStyle w:val="TAL"/>
              <w:rPr>
                <w:sz w:val="16"/>
              </w:rPr>
            </w:pPr>
            <w:r w:rsidRPr="00336A0C">
              <w:rPr>
                <w:sz w:val="16"/>
              </w:rPr>
              <w:t>Correction to anaMetaInd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D6E5A0D"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963D817"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AA21A57"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7D95213"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2E6DE9"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B3B304E" w14:textId="77777777" w:rsidR="004F43A1" w:rsidRPr="00336A0C" w:rsidRDefault="004F43A1" w:rsidP="004F43A1">
            <w:pPr>
              <w:pStyle w:val="TAL"/>
              <w:rPr>
                <w:rFonts w:cs="Arial"/>
                <w:sz w:val="16"/>
                <w:szCs w:val="16"/>
              </w:rPr>
            </w:pPr>
            <w:r w:rsidRPr="00336A0C">
              <w:rPr>
                <w:rFonts w:cs="Arial"/>
                <w:sz w:val="16"/>
                <w:szCs w:val="16"/>
              </w:rPr>
              <w:t>0941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8B8DDB4"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71E1329"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7D204C1" w14:textId="77777777" w:rsidR="004F43A1" w:rsidRPr="00336A0C" w:rsidRDefault="004F43A1" w:rsidP="004F43A1">
            <w:pPr>
              <w:pStyle w:val="TAL"/>
              <w:rPr>
                <w:sz w:val="16"/>
              </w:rPr>
            </w:pPr>
            <w:r w:rsidRPr="00336A0C">
              <w:rPr>
                <w:sz w:val="16"/>
              </w:rPr>
              <w:t>Correction of presence condition for mLFileAddr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F0D3981"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6E81631"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7665B61B"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081C26"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CBED6" w14:textId="77777777" w:rsidR="004F43A1" w:rsidRPr="00336A0C" w:rsidRDefault="004F43A1" w:rsidP="004F43A1">
            <w:pPr>
              <w:pStyle w:val="TAC"/>
              <w:rPr>
                <w:rFonts w:cs="Arial"/>
                <w:sz w:val="16"/>
                <w:szCs w:val="16"/>
              </w:rPr>
            </w:pPr>
            <w:r>
              <w:rPr>
                <w:rFonts w:cs="Arial"/>
                <w:sz w:val="16"/>
                <w:szCs w:val="16"/>
              </w:rPr>
              <w:t>CP-243090</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8A1FA33" w14:textId="77777777" w:rsidR="004F43A1" w:rsidRPr="00336A0C" w:rsidRDefault="004F43A1" w:rsidP="004F43A1">
            <w:pPr>
              <w:pStyle w:val="TAL"/>
              <w:rPr>
                <w:rFonts w:cs="Arial"/>
                <w:sz w:val="16"/>
                <w:szCs w:val="16"/>
              </w:rPr>
            </w:pPr>
            <w:r w:rsidRPr="00336A0C">
              <w:rPr>
                <w:rFonts w:cs="Arial"/>
                <w:sz w:val="16"/>
                <w:szCs w:val="16"/>
              </w:rPr>
              <w:t>0942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0843EF"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D22CD4A"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B2A62D4" w14:textId="77777777" w:rsidR="004F43A1" w:rsidRPr="00336A0C" w:rsidRDefault="004F43A1" w:rsidP="004F43A1">
            <w:pPr>
              <w:pStyle w:val="TAL"/>
              <w:rPr>
                <w:sz w:val="16"/>
              </w:rPr>
            </w:pPr>
            <w:r w:rsidRPr="00336A0C">
              <w:rPr>
                <w:sz w:val="16"/>
              </w:rPr>
              <w:t>Correction of notification procedures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41E3BC8"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732456A9"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60A8018F"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50A7CA"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41A5E2" w14:textId="77777777" w:rsidR="004F43A1" w:rsidRPr="00336A0C" w:rsidRDefault="004F43A1" w:rsidP="004F43A1">
            <w:pPr>
              <w:pStyle w:val="TAC"/>
              <w:rPr>
                <w:rFonts w:cs="Arial"/>
                <w:sz w:val="16"/>
                <w:szCs w:val="16"/>
              </w:rPr>
            </w:pPr>
            <w:r>
              <w:rPr>
                <w:rFonts w:cs="Arial"/>
                <w:sz w:val="16"/>
                <w:szCs w:val="16"/>
              </w:rPr>
              <w:t>CP-243090</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6859D1B" w14:textId="77777777" w:rsidR="004F43A1" w:rsidRPr="00336A0C" w:rsidRDefault="004F43A1" w:rsidP="004F43A1">
            <w:pPr>
              <w:pStyle w:val="TAL"/>
              <w:rPr>
                <w:rFonts w:cs="Arial"/>
                <w:sz w:val="16"/>
                <w:szCs w:val="16"/>
              </w:rPr>
            </w:pPr>
            <w:r w:rsidRPr="00336A0C">
              <w:rPr>
                <w:rFonts w:cs="Arial"/>
                <w:sz w:val="16"/>
                <w:szCs w:val="16"/>
              </w:rPr>
              <w:t>0943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E8CBA7"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3D9C45E"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44F5059" w14:textId="77777777" w:rsidR="004F43A1" w:rsidRPr="00336A0C" w:rsidRDefault="004F43A1" w:rsidP="004F43A1">
            <w:pPr>
              <w:pStyle w:val="TAL"/>
              <w:rPr>
                <w:sz w:val="16"/>
              </w:rPr>
            </w:pPr>
            <w:r w:rsidRPr="00336A0C">
              <w:rPr>
                <w:sz w:val="16"/>
              </w:rPr>
              <w:t>Removal of void data type from data type tables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1CA2618"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A3EB2A2"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41D799E"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CF95B7"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AF55DC" w14:textId="77777777" w:rsidR="004F43A1" w:rsidRPr="00336A0C" w:rsidRDefault="004F43A1" w:rsidP="004F43A1">
            <w:pPr>
              <w:pStyle w:val="TAC"/>
              <w:rPr>
                <w:rFonts w:cs="Arial"/>
                <w:sz w:val="16"/>
                <w:szCs w:val="16"/>
              </w:rPr>
            </w:pPr>
            <w:r>
              <w:rPr>
                <w:rFonts w:cs="Arial"/>
                <w:sz w:val="16"/>
                <w:szCs w:val="16"/>
              </w:rPr>
              <w:t>CP-243093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07DC499" w14:textId="77777777" w:rsidR="004F43A1" w:rsidRPr="00336A0C" w:rsidRDefault="004F43A1" w:rsidP="004F43A1">
            <w:pPr>
              <w:pStyle w:val="TAL"/>
              <w:rPr>
                <w:rFonts w:cs="Arial"/>
                <w:sz w:val="16"/>
                <w:szCs w:val="16"/>
              </w:rPr>
            </w:pPr>
            <w:r w:rsidRPr="00336A0C">
              <w:rPr>
                <w:rFonts w:cs="Arial"/>
                <w:sz w:val="16"/>
                <w:szCs w:val="16"/>
              </w:rPr>
              <w:t>0945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EBD5CF"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97630D4" w14:textId="77777777" w:rsidR="004F43A1" w:rsidRPr="00336A0C" w:rsidRDefault="004F43A1" w:rsidP="004F43A1">
            <w:pPr>
              <w:pStyle w:val="TAC"/>
              <w:rPr>
                <w:rFonts w:cs="Arial"/>
                <w:sz w:val="16"/>
                <w:szCs w:val="16"/>
              </w:rPr>
            </w:pPr>
            <w:r w:rsidRPr="00336A0C">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63C0B8F" w14:textId="77777777" w:rsidR="004F43A1" w:rsidRPr="00336A0C" w:rsidRDefault="004F43A1" w:rsidP="004F43A1">
            <w:pPr>
              <w:pStyle w:val="TAL"/>
              <w:rPr>
                <w:sz w:val="16"/>
              </w:rPr>
            </w:pPr>
            <w:r w:rsidRPr="00336A0C">
              <w:rPr>
                <w:sz w:val="16"/>
              </w:rPr>
              <w:t>data type correction for Relative Proximity</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8943EE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A86900B"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6257D4F4"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E918841"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02509DF"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7F864D5" w14:textId="77777777" w:rsidR="004F43A1" w:rsidRPr="00336A0C" w:rsidRDefault="004F43A1" w:rsidP="004F43A1">
            <w:pPr>
              <w:pStyle w:val="TAL"/>
              <w:rPr>
                <w:rFonts w:cs="Arial"/>
                <w:sz w:val="16"/>
                <w:szCs w:val="16"/>
              </w:rPr>
            </w:pPr>
            <w:r w:rsidRPr="00336A0C">
              <w:rPr>
                <w:rFonts w:cs="Arial"/>
                <w:sz w:val="16"/>
                <w:szCs w:val="16"/>
              </w:rPr>
              <w:t>0948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F4141C2"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84650D"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32578B1" w14:textId="77777777" w:rsidR="004F43A1" w:rsidRPr="00336A0C" w:rsidRDefault="004F43A1" w:rsidP="004F43A1">
            <w:pPr>
              <w:pStyle w:val="TAL"/>
              <w:rPr>
                <w:sz w:val="16"/>
              </w:rPr>
            </w:pPr>
            <w:r w:rsidRPr="00336A0C">
              <w:rPr>
                <w:sz w:val="16"/>
              </w:rPr>
              <w:t>Correction to anaMetaInfo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F93F764"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18913BF"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750D23C"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9E1246"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2FF666" w14:textId="77777777" w:rsidR="004F43A1" w:rsidRPr="00336A0C" w:rsidRDefault="004F43A1" w:rsidP="004F43A1">
            <w:pPr>
              <w:pStyle w:val="TAC"/>
              <w:rPr>
                <w:rFonts w:cs="Arial"/>
                <w:sz w:val="16"/>
                <w:szCs w:val="16"/>
              </w:rPr>
            </w:pPr>
            <w:r>
              <w:rPr>
                <w:rFonts w:cs="Arial"/>
                <w:sz w:val="16"/>
                <w:szCs w:val="16"/>
              </w:rPr>
              <w:t>CP-243093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C0C8144" w14:textId="77777777" w:rsidR="004F43A1" w:rsidRPr="00336A0C" w:rsidRDefault="004F43A1" w:rsidP="004F43A1">
            <w:pPr>
              <w:pStyle w:val="TAL"/>
              <w:rPr>
                <w:rFonts w:cs="Arial"/>
                <w:sz w:val="16"/>
                <w:szCs w:val="16"/>
              </w:rPr>
            </w:pPr>
            <w:r w:rsidRPr="00336A0C">
              <w:rPr>
                <w:rFonts w:cs="Arial"/>
                <w:sz w:val="16"/>
                <w:szCs w:val="16"/>
              </w:rPr>
              <w:t>0951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6C80238"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09E334" w14:textId="77777777" w:rsidR="004F43A1" w:rsidRPr="00336A0C" w:rsidRDefault="004F43A1" w:rsidP="004F43A1">
            <w:pPr>
              <w:pStyle w:val="TAC"/>
              <w:rPr>
                <w:rFonts w:cs="Arial"/>
                <w:sz w:val="16"/>
                <w:szCs w:val="16"/>
              </w:rPr>
            </w:pPr>
            <w:r w:rsidRPr="00336A0C">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05E18F6" w14:textId="77777777" w:rsidR="004F43A1" w:rsidRPr="00336A0C" w:rsidRDefault="004F43A1" w:rsidP="004F43A1">
            <w:pPr>
              <w:pStyle w:val="TAL"/>
              <w:rPr>
                <w:sz w:val="16"/>
              </w:rPr>
            </w:pPr>
            <w:r w:rsidRPr="00336A0C">
              <w:rPr>
                <w:sz w:val="16"/>
              </w:rPr>
              <w:t>Corrections on the notification URI and enumeration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4F04B65"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56805A3"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2C746C0"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20EB7"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2B4995" w14:textId="77777777" w:rsidR="004F43A1" w:rsidRPr="00336A0C" w:rsidRDefault="004F43A1" w:rsidP="004F43A1">
            <w:pPr>
              <w:pStyle w:val="TAC"/>
              <w:rPr>
                <w:rFonts w:cs="Arial"/>
                <w:sz w:val="16"/>
                <w:szCs w:val="16"/>
              </w:rPr>
            </w:pPr>
            <w:r>
              <w:rPr>
                <w:rFonts w:cs="Arial"/>
                <w:sz w:val="16"/>
                <w:szCs w:val="16"/>
              </w:rPr>
              <w:t>CP-243093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DB2E7CA" w14:textId="77777777" w:rsidR="004F43A1" w:rsidRPr="00336A0C" w:rsidRDefault="004F43A1" w:rsidP="004F43A1">
            <w:pPr>
              <w:pStyle w:val="TAL"/>
              <w:rPr>
                <w:rFonts w:cs="Arial"/>
                <w:sz w:val="16"/>
                <w:szCs w:val="16"/>
              </w:rPr>
            </w:pPr>
            <w:r w:rsidRPr="00336A0C">
              <w:rPr>
                <w:rFonts w:cs="Arial"/>
                <w:sz w:val="16"/>
                <w:szCs w:val="16"/>
              </w:rPr>
              <w:t>0953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732A98" w14:textId="77777777" w:rsidR="004F43A1" w:rsidRPr="00336A0C" w:rsidRDefault="004F43A1" w:rsidP="004F43A1">
            <w:pPr>
              <w:pStyle w:val="TAR"/>
              <w:rPr>
                <w:rFonts w:cs="Arial"/>
                <w:sz w:val="16"/>
                <w:szCs w:val="16"/>
              </w:rPr>
            </w:pPr>
            <w:r w:rsidRPr="00336A0C">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35C682" w14:textId="77777777" w:rsidR="004F43A1" w:rsidRPr="00336A0C" w:rsidRDefault="004F43A1" w:rsidP="004F43A1">
            <w:pPr>
              <w:pStyle w:val="TAC"/>
              <w:rPr>
                <w:rFonts w:cs="Arial"/>
                <w:sz w:val="16"/>
                <w:szCs w:val="16"/>
              </w:rPr>
            </w:pPr>
            <w:r w:rsidRPr="00336A0C">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E0D5964" w14:textId="77777777" w:rsidR="004F43A1" w:rsidRPr="00336A0C" w:rsidRDefault="004F43A1" w:rsidP="004F43A1">
            <w:pPr>
              <w:pStyle w:val="TAL"/>
              <w:rPr>
                <w:sz w:val="16"/>
              </w:rPr>
            </w:pPr>
            <w:r w:rsidRPr="00336A0C">
              <w:rPr>
                <w:sz w:val="16"/>
              </w:rPr>
              <w:t>Resolve the Editor’s Note for analytics exchange in the roaming case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12B4E4F"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6AD907EC"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12AD2F5C"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9A8A"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7B69DC"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B9912EE" w14:textId="77777777" w:rsidR="004F43A1" w:rsidRPr="00336A0C" w:rsidRDefault="004F43A1" w:rsidP="004F43A1">
            <w:pPr>
              <w:pStyle w:val="TAL"/>
              <w:rPr>
                <w:rFonts w:cs="Arial"/>
                <w:sz w:val="16"/>
                <w:szCs w:val="16"/>
              </w:rPr>
            </w:pPr>
            <w:r w:rsidRPr="00336A0C">
              <w:rPr>
                <w:rFonts w:cs="Arial"/>
                <w:sz w:val="16"/>
                <w:szCs w:val="16"/>
              </w:rPr>
              <w:t>0954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A7837F5"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107A9D1"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E0A7B69" w14:textId="77777777" w:rsidR="004F43A1" w:rsidRPr="00336A0C" w:rsidRDefault="004F43A1" w:rsidP="004F43A1">
            <w:pPr>
              <w:pStyle w:val="TAL"/>
              <w:rPr>
                <w:sz w:val="16"/>
              </w:rPr>
            </w:pPr>
            <w:r w:rsidRPr="00336A0C">
              <w:rPr>
                <w:sz w:val="16"/>
              </w:rPr>
              <w:t>Clarification for the InputDataInfo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32D45BC"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E3BB328"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311E5A4"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0A396A1"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D64DFF"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E7AE943" w14:textId="77777777" w:rsidR="004F43A1" w:rsidRPr="00336A0C" w:rsidRDefault="004F43A1" w:rsidP="004F43A1">
            <w:pPr>
              <w:pStyle w:val="TAL"/>
              <w:rPr>
                <w:rFonts w:cs="Arial"/>
                <w:sz w:val="16"/>
                <w:szCs w:val="16"/>
              </w:rPr>
            </w:pPr>
            <w:r w:rsidRPr="00336A0C">
              <w:rPr>
                <w:rFonts w:cs="Arial"/>
                <w:sz w:val="16"/>
                <w:szCs w:val="16"/>
              </w:rPr>
              <w:t>0955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C53621A"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5E76ED3"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A938220" w14:textId="77777777" w:rsidR="004F43A1" w:rsidRPr="00336A0C" w:rsidRDefault="004F43A1" w:rsidP="004F43A1">
            <w:pPr>
              <w:pStyle w:val="TAL"/>
              <w:rPr>
                <w:sz w:val="16"/>
              </w:rPr>
            </w:pPr>
            <w:r w:rsidRPr="00336A0C">
              <w:rPr>
                <w:sz w:val="16"/>
              </w:rPr>
              <w:t>Enhancement on the ML model notification to include the ML model provide indication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7F3C78F"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0BD3C45C"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3354E943"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85801C"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0AB08"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7FE2B38" w14:textId="77777777" w:rsidR="004F43A1" w:rsidRPr="00336A0C" w:rsidRDefault="004F43A1" w:rsidP="004F43A1">
            <w:pPr>
              <w:pStyle w:val="TAL"/>
              <w:rPr>
                <w:rFonts w:cs="Arial"/>
                <w:sz w:val="16"/>
                <w:szCs w:val="16"/>
              </w:rPr>
            </w:pPr>
            <w:r w:rsidRPr="00336A0C">
              <w:rPr>
                <w:rFonts w:cs="Arial"/>
                <w:sz w:val="16"/>
                <w:szCs w:val="16"/>
              </w:rPr>
              <w:t>0956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CCCF0F7"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5039A"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BA81CE9" w14:textId="77777777" w:rsidR="004F43A1" w:rsidRPr="00336A0C" w:rsidRDefault="004F43A1" w:rsidP="004F43A1">
            <w:pPr>
              <w:pStyle w:val="TAL"/>
              <w:rPr>
                <w:sz w:val="16"/>
              </w:rPr>
            </w:pPr>
            <w:r w:rsidRPr="00336A0C">
              <w:rPr>
                <w:sz w:val="16"/>
              </w:rPr>
              <w:t>Enhancements on the analytics aggregation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B69FB1F"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6780092"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620A6B5"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A84AD1"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C4AFE54" w14:textId="77777777" w:rsidR="004F43A1" w:rsidRPr="00336A0C" w:rsidRDefault="004F43A1" w:rsidP="004F43A1">
            <w:pPr>
              <w:pStyle w:val="TAC"/>
              <w:rPr>
                <w:rFonts w:cs="Arial"/>
                <w:sz w:val="16"/>
                <w:szCs w:val="16"/>
              </w:rPr>
            </w:pPr>
            <w:r>
              <w:rPr>
                <w:rFonts w:cs="Arial"/>
                <w:sz w:val="16"/>
                <w:szCs w:val="16"/>
              </w:rPr>
              <w:t>CP-243090</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40BC484" w14:textId="77777777" w:rsidR="004F43A1" w:rsidRPr="00336A0C" w:rsidRDefault="004F43A1" w:rsidP="004F43A1">
            <w:pPr>
              <w:pStyle w:val="TAL"/>
              <w:rPr>
                <w:rFonts w:cs="Arial"/>
                <w:sz w:val="16"/>
                <w:szCs w:val="16"/>
              </w:rPr>
            </w:pPr>
            <w:r w:rsidRPr="00336A0C">
              <w:rPr>
                <w:rFonts w:cs="Arial"/>
                <w:sz w:val="16"/>
                <w:szCs w:val="16"/>
              </w:rPr>
              <w:t>0957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7EDA4A"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78916A9"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13719B3" w14:textId="77777777" w:rsidR="004F43A1" w:rsidRPr="00336A0C" w:rsidRDefault="004F43A1" w:rsidP="004F43A1">
            <w:pPr>
              <w:pStyle w:val="TAL"/>
              <w:rPr>
                <w:sz w:val="16"/>
              </w:rPr>
            </w:pPr>
            <w:r w:rsidRPr="00336A0C">
              <w:rPr>
                <w:sz w:val="16"/>
              </w:rPr>
              <w:t>Enhancement on the description of Nnwdaf_DataManagement_Fetch</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9E1CCB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726F2C9"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14BAA454"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73EE256"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7DE372"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28B5CF6" w14:textId="77777777" w:rsidR="004F43A1" w:rsidRPr="00336A0C" w:rsidRDefault="004F43A1" w:rsidP="004F43A1">
            <w:pPr>
              <w:pStyle w:val="TAL"/>
              <w:rPr>
                <w:rFonts w:cs="Arial"/>
                <w:sz w:val="16"/>
                <w:szCs w:val="16"/>
              </w:rPr>
            </w:pPr>
            <w:r w:rsidRPr="00336A0C">
              <w:rPr>
                <w:rFonts w:cs="Arial"/>
                <w:sz w:val="16"/>
                <w:szCs w:val="16"/>
              </w:rPr>
              <w:t>0960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77A2D52"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298878"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56529BB" w14:textId="77777777" w:rsidR="004F43A1" w:rsidRPr="00336A0C" w:rsidRDefault="004F43A1" w:rsidP="004F43A1">
            <w:pPr>
              <w:pStyle w:val="TAL"/>
              <w:rPr>
                <w:sz w:val="16"/>
              </w:rPr>
            </w:pPr>
            <w:r w:rsidRPr="00336A0C">
              <w:rPr>
                <w:sz w:val="16"/>
              </w:rPr>
              <w:t>Model provisioning scope update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4FE9F02"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3AF0727"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4C3CC171"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D5DD46"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69C60"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0F9CF76" w14:textId="77777777" w:rsidR="004F43A1" w:rsidRPr="00336A0C" w:rsidRDefault="004F43A1" w:rsidP="004F43A1">
            <w:pPr>
              <w:pStyle w:val="TAL"/>
              <w:rPr>
                <w:rFonts w:cs="Arial"/>
                <w:sz w:val="16"/>
                <w:szCs w:val="16"/>
              </w:rPr>
            </w:pPr>
            <w:r w:rsidRPr="00336A0C">
              <w:rPr>
                <w:rFonts w:cs="Arial"/>
                <w:sz w:val="16"/>
                <w:szCs w:val="16"/>
              </w:rPr>
              <w:t>0961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98D1BC"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3B2FA7B"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4400AB6" w14:textId="77777777" w:rsidR="004F43A1" w:rsidRPr="00336A0C" w:rsidRDefault="004F43A1" w:rsidP="004F43A1">
            <w:pPr>
              <w:pStyle w:val="TAL"/>
              <w:rPr>
                <w:sz w:val="16"/>
              </w:rPr>
            </w:pPr>
            <w:r w:rsidRPr="00336A0C">
              <w:rPr>
                <w:sz w:val="16"/>
              </w:rPr>
              <w:t>Accuracy reporting corrections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7E7D3A4"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79B74C6"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7CB2556E"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0845D3D"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F9C5CD"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9261EBE" w14:textId="77777777" w:rsidR="004F43A1" w:rsidRPr="00336A0C" w:rsidRDefault="004F43A1" w:rsidP="004F43A1">
            <w:pPr>
              <w:pStyle w:val="TAL"/>
              <w:rPr>
                <w:rFonts w:cs="Arial"/>
                <w:sz w:val="16"/>
                <w:szCs w:val="16"/>
              </w:rPr>
            </w:pPr>
            <w:r w:rsidRPr="00336A0C">
              <w:rPr>
                <w:rFonts w:cs="Arial"/>
                <w:sz w:val="16"/>
                <w:szCs w:val="16"/>
              </w:rPr>
              <w:t>0962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6762D9F"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EC11B5B"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1434FCC" w14:textId="77777777" w:rsidR="004F43A1" w:rsidRPr="00336A0C" w:rsidRDefault="004F43A1" w:rsidP="004F43A1">
            <w:pPr>
              <w:pStyle w:val="TAL"/>
              <w:rPr>
                <w:sz w:val="16"/>
              </w:rPr>
            </w:pPr>
            <w:r w:rsidRPr="00336A0C">
              <w:rPr>
                <w:sz w:val="16"/>
              </w:rPr>
              <w:t>Wrong conditions for AOI attributes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E590180"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762E7E3"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61DBB1B6"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3D6E88"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3C621F7" w14:textId="77777777" w:rsidR="004F43A1" w:rsidRPr="00336A0C" w:rsidRDefault="004F43A1" w:rsidP="004F43A1">
            <w:pPr>
              <w:pStyle w:val="TAC"/>
              <w:rPr>
                <w:rFonts w:cs="Arial"/>
                <w:sz w:val="16"/>
                <w:szCs w:val="16"/>
              </w:rPr>
            </w:pPr>
            <w:r>
              <w:rPr>
                <w:rFonts w:cs="Arial"/>
                <w:sz w:val="16"/>
                <w:szCs w:val="16"/>
              </w:rPr>
              <w:t>CP-243095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311A9F0" w14:textId="77777777" w:rsidR="004F43A1" w:rsidRPr="00336A0C" w:rsidRDefault="004F43A1" w:rsidP="004F43A1">
            <w:pPr>
              <w:pStyle w:val="TAL"/>
              <w:rPr>
                <w:rFonts w:cs="Arial"/>
                <w:sz w:val="16"/>
                <w:szCs w:val="16"/>
              </w:rPr>
            </w:pPr>
            <w:r w:rsidRPr="00336A0C">
              <w:rPr>
                <w:rFonts w:cs="Arial"/>
                <w:sz w:val="16"/>
                <w:szCs w:val="16"/>
              </w:rPr>
              <w:t>0964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B158A5"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9A28078"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A273CDB" w14:textId="77777777" w:rsidR="004F43A1" w:rsidRPr="00336A0C" w:rsidRDefault="004F43A1" w:rsidP="004F43A1">
            <w:pPr>
              <w:pStyle w:val="TAL"/>
              <w:rPr>
                <w:sz w:val="16"/>
              </w:rPr>
            </w:pPr>
            <w:r w:rsidRPr="00336A0C">
              <w:rPr>
                <w:sz w:val="16"/>
              </w:rPr>
              <w:t>Support for LMF to retrieve ML Model of AIML based positioning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E567F6B"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2764955"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3866DC43"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1CC649"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EFD774"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3295D6D" w14:textId="77777777" w:rsidR="004F43A1" w:rsidRPr="00336A0C" w:rsidRDefault="004F43A1" w:rsidP="004F43A1">
            <w:pPr>
              <w:pStyle w:val="TAL"/>
              <w:rPr>
                <w:rFonts w:cs="Arial"/>
                <w:sz w:val="16"/>
                <w:szCs w:val="16"/>
              </w:rPr>
            </w:pPr>
            <w:r w:rsidRPr="00336A0C">
              <w:rPr>
                <w:rFonts w:cs="Arial"/>
                <w:sz w:val="16"/>
                <w:szCs w:val="16"/>
              </w:rPr>
              <w:t>0965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F1E1BC"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E6DB98C"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273F7F2" w14:textId="77777777" w:rsidR="004F43A1" w:rsidRPr="00336A0C" w:rsidRDefault="004F43A1" w:rsidP="004F43A1">
            <w:pPr>
              <w:pStyle w:val="TAL"/>
              <w:rPr>
                <w:sz w:val="16"/>
              </w:rPr>
            </w:pPr>
            <w:r w:rsidRPr="00336A0C">
              <w:rPr>
                <w:sz w:val="16"/>
              </w:rPr>
              <w:t>Correction on the accuracy information for the 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5FBA85A"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105DB0D"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EE8040B"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5EFDC63"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672E5"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CD2861E" w14:textId="77777777" w:rsidR="004F43A1" w:rsidRPr="00336A0C" w:rsidRDefault="004F43A1" w:rsidP="004F43A1">
            <w:pPr>
              <w:pStyle w:val="TAL"/>
              <w:rPr>
                <w:rFonts w:cs="Arial"/>
                <w:sz w:val="16"/>
                <w:szCs w:val="16"/>
              </w:rPr>
            </w:pPr>
            <w:r w:rsidRPr="00336A0C">
              <w:rPr>
                <w:rFonts w:cs="Arial"/>
                <w:sz w:val="16"/>
                <w:szCs w:val="16"/>
              </w:rPr>
              <w:t>0968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701F51"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6E27FC"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000EC46" w14:textId="77777777" w:rsidR="004F43A1" w:rsidRPr="00336A0C" w:rsidRDefault="004F43A1" w:rsidP="004F43A1">
            <w:pPr>
              <w:pStyle w:val="TAL"/>
              <w:rPr>
                <w:sz w:val="16"/>
              </w:rPr>
            </w:pPr>
            <w:r w:rsidRPr="00336A0C">
              <w:rPr>
                <w:sz w:val="16"/>
              </w:rPr>
              <w:t>Correction of storage handling information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E7531D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9646CF7"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78B14262"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34CA070"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B3C5D2"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4B90107" w14:textId="77777777" w:rsidR="004F43A1" w:rsidRPr="00336A0C" w:rsidRDefault="004F43A1" w:rsidP="004F43A1">
            <w:pPr>
              <w:pStyle w:val="TAL"/>
              <w:rPr>
                <w:rFonts w:cs="Arial"/>
                <w:sz w:val="16"/>
                <w:szCs w:val="16"/>
              </w:rPr>
            </w:pPr>
            <w:r w:rsidRPr="00336A0C">
              <w:rPr>
                <w:rFonts w:cs="Arial"/>
                <w:sz w:val="16"/>
                <w:szCs w:val="16"/>
              </w:rPr>
              <w:t>0969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8692735"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1208E7"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FEC47EE" w14:textId="77777777" w:rsidR="004F43A1" w:rsidRPr="00336A0C" w:rsidRDefault="004F43A1" w:rsidP="004F43A1">
            <w:pPr>
              <w:pStyle w:val="TAL"/>
              <w:rPr>
                <w:sz w:val="16"/>
              </w:rPr>
            </w:pPr>
            <w:r w:rsidRPr="00336A0C">
              <w:rPr>
                <w:sz w:val="16"/>
              </w:rPr>
              <w:t>Adding ADRF as a consumer of Nnwdaf_EventsSubscription and Nnwdaf_AnalyticsInfo Services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690504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0E060DE8"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CB509E9"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4A02BE"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7F75D" w14:textId="77777777" w:rsidR="004F43A1" w:rsidRPr="00336A0C" w:rsidRDefault="004F43A1" w:rsidP="004F43A1">
            <w:pPr>
              <w:pStyle w:val="TAC"/>
              <w:rPr>
                <w:rFonts w:cs="Arial"/>
                <w:sz w:val="16"/>
                <w:szCs w:val="16"/>
              </w:rPr>
            </w:pPr>
            <w:r>
              <w:rPr>
                <w:rFonts w:cs="Arial"/>
                <w:sz w:val="16"/>
                <w:szCs w:val="16"/>
              </w:rPr>
              <w:t>CP-243091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BB95112" w14:textId="77777777" w:rsidR="004F43A1" w:rsidRPr="00336A0C" w:rsidRDefault="004F43A1" w:rsidP="004F43A1">
            <w:pPr>
              <w:pStyle w:val="TAL"/>
              <w:rPr>
                <w:rFonts w:cs="Arial"/>
                <w:sz w:val="16"/>
                <w:szCs w:val="16"/>
              </w:rPr>
            </w:pPr>
            <w:r w:rsidRPr="00336A0C">
              <w:rPr>
                <w:rFonts w:cs="Arial"/>
                <w:sz w:val="16"/>
                <w:szCs w:val="16"/>
              </w:rPr>
              <w:t>0970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6818C6"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78B39E0"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33806F6" w14:textId="77777777" w:rsidR="004F43A1" w:rsidRPr="00336A0C" w:rsidRDefault="004F43A1" w:rsidP="004F43A1">
            <w:pPr>
              <w:pStyle w:val="TAL"/>
              <w:rPr>
                <w:sz w:val="16"/>
              </w:rPr>
            </w:pPr>
            <w:r w:rsidRPr="00336A0C">
              <w:rPr>
                <w:sz w:val="16"/>
              </w:rPr>
              <w:t>Missing redirect case in modification procedure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76FFB3D"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2D62495"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19504058"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C13940"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BE1874" w14:textId="77777777" w:rsidR="004F43A1" w:rsidRPr="00336A0C" w:rsidRDefault="004F43A1" w:rsidP="004F43A1">
            <w:pPr>
              <w:pStyle w:val="TAC"/>
              <w:rPr>
                <w:rFonts w:cs="Arial"/>
                <w:sz w:val="16"/>
                <w:szCs w:val="16"/>
              </w:rPr>
            </w:pPr>
            <w:r>
              <w:rPr>
                <w:rFonts w:cs="Arial"/>
                <w:sz w:val="16"/>
                <w:szCs w:val="16"/>
              </w:rPr>
              <w:t>CP-243091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0BCE990" w14:textId="77777777" w:rsidR="004F43A1" w:rsidRPr="00336A0C" w:rsidRDefault="004F43A1" w:rsidP="004F43A1">
            <w:pPr>
              <w:pStyle w:val="TAL"/>
              <w:rPr>
                <w:rFonts w:cs="Arial"/>
                <w:sz w:val="16"/>
                <w:szCs w:val="16"/>
              </w:rPr>
            </w:pPr>
            <w:r w:rsidRPr="00336A0C">
              <w:rPr>
                <w:rFonts w:cs="Arial"/>
                <w:sz w:val="16"/>
                <w:szCs w:val="16"/>
              </w:rPr>
              <w:t>0971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5927D6"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59ED38"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9EE6B30" w14:textId="77777777" w:rsidR="004F43A1" w:rsidRPr="00336A0C" w:rsidRDefault="004F43A1" w:rsidP="004F43A1">
            <w:pPr>
              <w:pStyle w:val="TAL"/>
              <w:rPr>
                <w:sz w:val="16"/>
              </w:rPr>
            </w:pPr>
            <w:r w:rsidRPr="00336A0C">
              <w:rPr>
                <w:sz w:val="16"/>
              </w:rPr>
              <w:t>Presence column correction and reference clause correction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A92F538"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DB789DA"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C464DA9"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1E0498"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A2F789" w14:textId="77777777" w:rsidR="004F43A1" w:rsidRPr="00336A0C" w:rsidRDefault="004F43A1" w:rsidP="004F43A1">
            <w:pPr>
              <w:pStyle w:val="TAC"/>
              <w:rPr>
                <w:rFonts w:cs="Arial"/>
                <w:sz w:val="16"/>
                <w:szCs w:val="16"/>
              </w:rPr>
            </w:pPr>
            <w:r>
              <w:rPr>
                <w:rFonts w:cs="Arial"/>
                <w:sz w:val="16"/>
                <w:szCs w:val="16"/>
              </w:rPr>
              <w:t>CP-243091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8FF2514" w14:textId="77777777" w:rsidR="004F43A1" w:rsidRPr="00336A0C" w:rsidRDefault="004F43A1" w:rsidP="004F43A1">
            <w:pPr>
              <w:pStyle w:val="TAL"/>
              <w:rPr>
                <w:rFonts w:cs="Arial"/>
                <w:sz w:val="16"/>
                <w:szCs w:val="16"/>
              </w:rPr>
            </w:pPr>
            <w:r w:rsidRPr="00336A0C">
              <w:rPr>
                <w:rFonts w:cs="Arial"/>
                <w:sz w:val="16"/>
                <w:szCs w:val="16"/>
              </w:rPr>
              <w:t>0972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F3E2FBC"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FB9ED00"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AC6118E" w14:textId="77777777" w:rsidR="004F43A1" w:rsidRPr="00336A0C" w:rsidRDefault="004F43A1" w:rsidP="004F43A1">
            <w:pPr>
              <w:pStyle w:val="TAL"/>
              <w:rPr>
                <w:sz w:val="16"/>
              </w:rPr>
            </w:pPr>
            <w:r w:rsidRPr="00336A0C">
              <w:rPr>
                <w:sz w:val="16"/>
              </w:rPr>
              <w:t>Removal of PfdDetermination feature from Nnwdaf_AnalyticsInfo</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B9C7EC2"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4E904DF"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653064EF"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9CFE84"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DCD1AF"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B652E92" w14:textId="77777777" w:rsidR="004F43A1" w:rsidRPr="00336A0C" w:rsidRDefault="004F43A1" w:rsidP="004F43A1">
            <w:pPr>
              <w:pStyle w:val="TAL"/>
              <w:rPr>
                <w:rFonts w:cs="Arial"/>
                <w:sz w:val="16"/>
                <w:szCs w:val="16"/>
              </w:rPr>
            </w:pPr>
            <w:r w:rsidRPr="00336A0C">
              <w:rPr>
                <w:rFonts w:cs="Arial"/>
                <w:sz w:val="16"/>
                <w:szCs w:val="16"/>
              </w:rPr>
              <w:t>0974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3B86498"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3F7CE9F"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4BE7476" w14:textId="77777777" w:rsidR="004F43A1" w:rsidRPr="00336A0C" w:rsidRDefault="004F43A1" w:rsidP="004F43A1">
            <w:pPr>
              <w:pStyle w:val="TAL"/>
              <w:rPr>
                <w:sz w:val="16"/>
              </w:rPr>
            </w:pPr>
            <w:r w:rsidRPr="00336A0C">
              <w:rPr>
                <w:sz w:val="16"/>
              </w:rPr>
              <w:t>RE-NWDAF behaviour when receiving notification flag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986D6BE"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F14666A"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0A6CD4A7"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26C4E4"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5C1779" w14:textId="77777777" w:rsidR="004F43A1" w:rsidRPr="00336A0C" w:rsidRDefault="004F43A1" w:rsidP="004F43A1">
            <w:pPr>
              <w:pStyle w:val="TAC"/>
              <w:rPr>
                <w:rFonts w:cs="Arial"/>
                <w:sz w:val="16"/>
                <w:szCs w:val="16"/>
              </w:rPr>
            </w:pPr>
            <w:r>
              <w:rPr>
                <w:rFonts w:cs="Arial"/>
                <w:sz w:val="16"/>
                <w:szCs w:val="16"/>
              </w:rPr>
              <w:t>CP-243093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5FD6315" w14:textId="77777777" w:rsidR="004F43A1" w:rsidRPr="00336A0C" w:rsidRDefault="004F43A1" w:rsidP="004F43A1">
            <w:pPr>
              <w:pStyle w:val="TAL"/>
              <w:rPr>
                <w:rFonts w:cs="Arial"/>
                <w:sz w:val="16"/>
                <w:szCs w:val="16"/>
              </w:rPr>
            </w:pPr>
            <w:r w:rsidRPr="00336A0C">
              <w:rPr>
                <w:rFonts w:cs="Arial"/>
                <w:sz w:val="16"/>
                <w:szCs w:val="16"/>
              </w:rPr>
              <w:t>0976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4CF0C92"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22251D" w14:textId="77777777" w:rsidR="004F43A1" w:rsidRPr="00336A0C" w:rsidRDefault="004F43A1" w:rsidP="004F43A1">
            <w:pPr>
              <w:pStyle w:val="TAC"/>
              <w:rPr>
                <w:rFonts w:cs="Arial"/>
                <w:sz w:val="16"/>
                <w:szCs w:val="16"/>
              </w:rPr>
            </w:pPr>
            <w:r w:rsidRPr="00336A0C">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6F6AEEA" w14:textId="77777777" w:rsidR="004F43A1" w:rsidRPr="00336A0C" w:rsidRDefault="004F43A1" w:rsidP="004F43A1">
            <w:pPr>
              <w:pStyle w:val="TAL"/>
              <w:rPr>
                <w:sz w:val="16"/>
              </w:rPr>
            </w:pPr>
            <w:r w:rsidRPr="00336A0C">
              <w:rPr>
                <w:sz w:val="16"/>
              </w:rPr>
              <w:t>Wrong data type TimestampedLoc</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0A117A1"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628BB3E"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6CA9ABB3"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2CDEE6"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6FF48D" w14:textId="77777777" w:rsidR="004F43A1" w:rsidRPr="00336A0C" w:rsidRDefault="004F43A1" w:rsidP="004F43A1">
            <w:pPr>
              <w:pStyle w:val="TAC"/>
              <w:rPr>
                <w:rFonts w:cs="Arial"/>
                <w:sz w:val="16"/>
                <w:szCs w:val="16"/>
              </w:rPr>
            </w:pPr>
            <w:r>
              <w:rPr>
                <w:rFonts w:cs="Arial"/>
                <w:sz w:val="16"/>
                <w:szCs w:val="16"/>
              </w:rPr>
              <w:t>CP-243095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A057447" w14:textId="77777777" w:rsidR="004F43A1" w:rsidRPr="00336A0C" w:rsidRDefault="004F43A1" w:rsidP="004F43A1">
            <w:pPr>
              <w:pStyle w:val="TAL"/>
              <w:rPr>
                <w:rFonts w:cs="Arial"/>
                <w:sz w:val="16"/>
                <w:szCs w:val="16"/>
              </w:rPr>
            </w:pPr>
            <w:r w:rsidRPr="00336A0C">
              <w:rPr>
                <w:rFonts w:cs="Arial"/>
                <w:sz w:val="16"/>
                <w:szCs w:val="16"/>
              </w:rPr>
              <w:t>0977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E4AA454"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8F10DF"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B86F322" w14:textId="77777777" w:rsidR="004F43A1" w:rsidRPr="00336A0C" w:rsidRDefault="004F43A1" w:rsidP="004F43A1">
            <w:pPr>
              <w:pStyle w:val="TAL"/>
              <w:rPr>
                <w:sz w:val="16"/>
              </w:rPr>
            </w:pPr>
            <w:r w:rsidRPr="00336A0C">
              <w:rPr>
                <w:sz w:val="16"/>
              </w:rPr>
              <w:t>Clarification for Horizontal Federated Learning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32A3B10"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5B6D9E3"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3A3F8B0"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488567F"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6B28D2" w14:textId="77777777" w:rsidR="004F43A1" w:rsidRPr="00336A0C" w:rsidRDefault="004F43A1" w:rsidP="004F43A1">
            <w:pPr>
              <w:pStyle w:val="TAC"/>
              <w:rPr>
                <w:rFonts w:cs="Arial"/>
                <w:sz w:val="16"/>
                <w:szCs w:val="16"/>
              </w:rPr>
            </w:pPr>
            <w:r>
              <w:rPr>
                <w:rFonts w:cs="Arial"/>
                <w:sz w:val="16"/>
                <w:szCs w:val="16"/>
              </w:rPr>
              <w:t>CP-243095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309BC3B" w14:textId="77777777" w:rsidR="004F43A1" w:rsidRPr="00336A0C" w:rsidRDefault="004F43A1" w:rsidP="004F43A1">
            <w:pPr>
              <w:pStyle w:val="TAL"/>
              <w:rPr>
                <w:rFonts w:cs="Arial"/>
                <w:sz w:val="16"/>
                <w:szCs w:val="16"/>
              </w:rPr>
            </w:pPr>
            <w:r w:rsidRPr="00336A0C">
              <w:rPr>
                <w:rFonts w:cs="Arial"/>
                <w:sz w:val="16"/>
                <w:szCs w:val="16"/>
              </w:rPr>
              <w:t>0978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870944"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7B2368"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90A4558" w14:textId="77777777" w:rsidR="004F43A1" w:rsidRPr="00336A0C" w:rsidRDefault="004F43A1" w:rsidP="004F43A1">
            <w:pPr>
              <w:pStyle w:val="TAL"/>
              <w:rPr>
                <w:sz w:val="16"/>
              </w:rPr>
            </w:pPr>
            <w:r w:rsidRPr="00336A0C">
              <w:rPr>
                <w:sz w:val="16"/>
              </w:rPr>
              <w:t>Support of the signalling storm analytics for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A12FE6A"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7BCF0CE9"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2D1A7D8"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020BCCB"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F7A1D8" w14:textId="77777777" w:rsidR="004F43A1" w:rsidRPr="00336A0C" w:rsidRDefault="004F43A1" w:rsidP="004F43A1">
            <w:pPr>
              <w:pStyle w:val="TAC"/>
              <w:rPr>
                <w:rFonts w:cs="Arial"/>
                <w:sz w:val="16"/>
                <w:szCs w:val="16"/>
              </w:rPr>
            </w:pPr>
            <w:r>
              <w:rPr>
                <w:rFonts w:cs="Arial"/>
                <w:sz w:val="16"/>
                <w:szCs w:val="16"/>
              </w:rPr>
              <w:t>CP-243095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108BD19" w14:textId="77777777" w:rsidR="004F43A1" w:rsidRPr="00336A0C" w:rsidRDefault="004F43A1" w:rsidP="004F43A1">
            <w:pPr>
              <w:pStyle w:val="TAL"/>
              <w:rPr>
                <w:rFonts w:cs="Arial"/>
                <w:sz w:val="16"/>
                <w:szCs w:val="16"/>
              </w:rPr>
            </w:pPr>
            <w:r w:rsidRPr="00336A0C">
              <w:rPr>
                <w:rFonts w:cs="Arial"/>
                <w:sz w:val="16"/>
                <w:szCs w:val="16"/>
              </w:rPr>
              <w:t>0979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4B5BEC"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1123F89"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41C133B" w14:textId="77777777" w:rsidR="004F43A1" w:rsidRPr="00336A0C" w:rsidRDefault="004F43A1" w:rsidP="004F43A1">
            <w:pPr>
              <w:pStyle w:val="TAL"/>
              <w:rPr>
                <w:sz w:val="16"/>
              </w:rPr>
            </w:pPr>
            <w:r w:rsidRPr="00336A0C">
              <w:rPr>
                <w:sz w:val="16"/>
              </w:rPr>
              <w:t>Support of the signalling storm analytics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41A9B92"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54943C0"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12F392C"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B12C39"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FA3502" w14:textId="77777777" w:rsidR="004F43A1" w:rsidRPr="00336A0C" w:rsidRDefault="004F43A1" w:rsidP="004F43A1">
            <w:pPr>
              <w:pStyle w:val="TAC"/>
              <w:rPr>
                <w:rFonts w:cs="Arial"/>
                <w:sz w:val="16"/>
                <w:szCs w:val="16"/>
              </w:rPr>
            </w:pPr>
            <w:r>
              <w:rPr>
                <w:rFonts w:cs="Arial"/>
                <w:sz w:val="16"/>
                <w:szCs w:val="16"/>
              </w:rPr>
              <w:t>CP-243093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7D097AB" w14:textId="77777777" w:rsidR="004F43A1" w:rsidRPr="00336A0C" w:rsidRDefault="004F43A1" w:rsidP="004F43A1">
            <w:pPr>
              <w:pStyle w:val="TAL"/>
              <w:rPr>
                <w:rFonts w:cs="Arial"/>
                <w:sz w:val="16"/>
                <w:szCs w:val="16"/>
              </w:rPr>
            </w:pPr>
            <w:r w:rsidRPr="00336A0C">
              <w:rPr>
                <w:rFonts w:cs="Arial"/>
                <w:sz w:val="16"/>
                <w:szCs w:val="16"/>
              </w:rPr>
              <w:t>0981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8576466"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B35878" w14:textId="77777777" w:rsidR="004F43A1" w:rsidRPr="00336A0C" w:rsidRDefault="004F43A1" w:rsidP="004F43A1">
            <w:pPr>
              <w:pStyle w:val="TAC"/>
              <w:rPr>
                <w:rFonts w:cs="Arial"/>
                <w:sz w:val="16"/>
                <w:szCs w:val="16"/>
              </w:rPr>
            </w:pPr>
            <w:r w:rsidRPr="00336A0C">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A55F55E" w14:textId="77777777" w:rsidR="004F43A1" w:rsidRPr="00336A0C" w:rsidRDefault="004F43A1" w:rsidP="004F43A1">
            <w:pPr>
              <w:pStyle w:val="TAL"/>
              <w:rPr>
                <w:sz w:val="16"/>
              </w:rPr>
            </w:pPr>
            <w:r w:rsidRPr="00336A0C">
              <w:rPr>
                <w:sz w:val="16"/>
              </w:rPr>
              <w:t>Corrections on data type name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EB30811"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5193C48D"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06B8F2D9"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04916FF"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3F5E7"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5FD5A6A" w14:textId="77777777" w:rsidR="004F43A1" w:rsidRPr="00336A0C" w:rsidRDefault="004F43A1" w:rsidP="004F43A1">
            <w:pPr>
              <w:pStyle w:val="TAL"/>
              <w:rPr>
                <w:rFonts w:cs="Arial"/>
                <w:sz w:val="16"/>
                <w:szCs w:val="16"/>
              </w:rPr>
            </w:pPr>
            <w:r w:rsidRPr="00336A0C">
              <w:rPr>
                <w:rFonts w:cs="Arial"/>
                <w:sz w:val="16"/>
                <w:szCs w:val="16"/>
              </w:rPr>
              <w:t>0983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3825EE6"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7F40B2"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BE1CDC6" w14:textId="77777777" w:rsidR="004F43A1" w:rsidRPr="00336A0C" w:rsidRDefault="004F43A1" w:rsidP="004F43A1">
            <w:pPr>
              <w:pStyle w:val="TAL"/>
              <w:rPr>
                <w:sz w:val="16"/>
              </w:rPr>
            </w:pPr>
            <w:r w:rsidRPr="00336A0C">
              <w:rPr>
                <w:sz w:val="16"/>
              </w:rPr>
              <w:t>Corrections on the attribute names for ML model provision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09FE7FE"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81616C5"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2CE847CA"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616DFCE"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94D05C"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60A09D3" w14:textId="77777777" w:rsidR="004F43A1" w:rsidRPr="00336A0C" w:rsidRDefault="004F43A1" w:rsidP="004F43A1">
            <w:pPr>
              <w:pStyle w:val="TAL"/>
              <w:rPr>
                <w:rFonts w:cs="Arial"/>
                <w:sz w:val="16"/>
                <w:szCs w:val="16"/>
              </w:rPr>
            </w:pPr>
            <w:r w:rsidRPr="00336A0C">
              <w:rPr>
                <w:rFonts w:cs="Arial"/>
                <w:sz w:val="16"/>
                <w:szCs w:val="16"/>
              </w:rPr>
              <w:t>0984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A27CA88"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39185F1"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0CC53C8" w14:textId="77777777" w:rsidR="004F43A1" w:rsidRPr="00336A0C" w:rsidRDefault="004F43A1" w:rsidP="004F43A1">
            <w:pPr>
              <w:pStyle w:val="TAL"/>
              <w:rPr>
                <w:sz w:val="16"/>
              </w:rPr>
            </w:pPr>
            <w:r w:rsidRPr="00336A0C">
              <w:rPr>
                <w:sz w:val="16"/>
              </w:rPr>
              <w:t>Clarifications and miscellaneous corrections on NWDAF services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9B6E259"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22F0BE08"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12746460"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3B846E"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54235E"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ADD717E" w14:textId="77777777" w:rsidR="004F43A1" w:rsidRPr="00336A0C" w:rsidRDefault="004F43A1" w:rsidP="004F43A1">
            <w:pPr>
              <w:pStyle w:val="TAL"/>
              <w:rPr>
                <w:rFonts w:cs="Arial"/>
                <w:sz w:val="16"/>
                <w:szCs w:val="16"/>
              </w:rPr>
            </w:pPr>
            <w:r w:rsidRPr="00336A0C">
              <w:rPr>
                <w:rFonts w:cs="Arial"/>
                <w:sz w:val="16"/>
                <w:szCs w:val="16"/>
              </w:rPr>
              <w:t>0985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57A5ED"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9851C96"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2A675C5" w14:textId="77777777" w:rsidR="004F43A1" w:rsidRPr="00336A0C" w:rsidRDefault="004F43A1" w:rsidP="004F43A1">
            <w:pPr>
              <w:pStyle w:val="TAL"/>
              <w:rPr>
                <w:sz w:val="16"/>
              </w:rPr>
            </w:pPr>
            <w:r w:rsidRPr="00336A0C">
              <w:rPr>
                <w:sz w:val="16"/>
              </w:rPr>
              <w:t>Corrections on the Nnwdaf_MLModelProvision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700C0C9"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3F6101B"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08B6F8AD"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E6EA810"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255E4" w14:textId="77777777" w:rsidR="004F43A1" w:rsidRPr="00336A0C" w:rsidRDefault="004F43A1" w:rsidP="004F43A1">
            <w:pPr>
              <w:pStyle w:val="TAC"/>
              <w:rPr>
                <w:rFonts w:cs="Arial"/>
                <w:sz w:val="16"/>
                <w:szCs w:val="16"/>
              </w:rPr>
            </w:pPr>
            <w:r>
              <w:rPr>
                <w:rFonts w:cs="Arial"/>
                <w:sz w:val="16"/>
                <w:szCs w:val="16"/>
              </w:rPr>
              <w:t>CP-243089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415CAD7" w14:textId="77777777" w:rsidR="004F43A1" w:rsidRPr="00336A0C" w:rsidRDefault="004F43A1" w:rsidP="004F43A1">
            <w:pPr>
              <w:pStyle w:val="TAL"/>
              <w:rPr>
                <w:rFonts w:cs="Arial"/>
                <w:sz w:val="16"/>
                <w:szCs w:val="16"/>
              </w:rPr>
            </w:pPr>
            <w:r w:rsidRPr="00336A0C">
              <w:rPr>
                <w:rFonts w:cs="Arial"/>
                <w:sz w:val="16"/>
                <w:szCs w:val="16"/>
              </w:rPr>
              <w:t>0986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3139118"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B20A48"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941275A" w14:textId="77777777" w:rsidR="004F43A1" w:rsidRPr="00336A0C" w:rsidRDefault="004F43A1" w:rsidP="004F43A1">
            <w:pPr>
              <w:pStyle w:val="TAL"/>
              <w:rPr>
                <w:sz w:val="16"/>
              </w:rPr>
            </w:pPr>
            <w:r w:rsidRPr="00336A0C">
              <w:rPr>
                <w:sz w:val="16"/>
              </w:rPr>
              <w:t>Support of ML Model provider information in ML model notification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38F853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3642BCC2"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01D4AB16"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B42536"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0467A1" w14:textId="77777777" w:rsidR="004F43A1" w:rsidRPr="00336A0C" w:rsidRDefault="004F43A1" w:rsidP="004F43A1">
            <w:pPr>
              <w:pStyle w:val="TAC"/>
              <w:rPr>
                <w:rFonts w:cs="Arial"/>
                <w:sz w:val="16"/>
                <w:szCs w:val="16"/>
              </w:rPr>
            </w:pPr>
            <w:r>
              <w:rPr>
                <w:rFonts w:cs="Arial"/>
                <w:sz w:val="16"/>
                <w:szCs w:val="16"/>
              </w:rPr>
              <w:t>CP-243088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C086241" w14:textId="77777777" w:rsidR="004F43A1" w:rsidRPr="00336A0C" w:rsidRDefault="004F43A1" w:rsidP="004F43A1">
            <w:pPr>
              <w:pStyle w:val="TAL"/>
              <w:rPr>
                <w:rFonts w:cs="Arial"/>
                <w:sz w:val="16"/>
                <w:szCs w:val="16"/>
              </w:rPr>
            </w:pPr>
            <w:r w:rsidRPr="00336A0C">
              <w:rPr>
                <w:rFonts w:cs="Arial"/>
                <w:sz w:val="16"/>
                <w:szCs w:val="16"/>
              </w:rPr>
              <w:t>0987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AE3E7E" w14:textId="77777777" w:rsidR="004F43A1" w:rsidRPr="00336A0C" w:rsidRDefault="004F43A1" w:rsidP="004F43A1">
            <w:pPr>
              <w:pStyle w:val="TAR"/>
              <w:rPr>
                <w:rFonts w:cs="Arial"/>
                <w:sz w:val="16"/>
                <w:szCs w:val="16"/>
              </w:rPr>
            </w:pPr>
            <w:r w:rsidRPr="00336A0C">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A02A4F" w14:textId="77777777" w:rsidR="004F43A1" w:rsidRPr="00336A0C" w:rsidRDefault="004F43A1" w:rsidP="004F43A1">
            <w:pPr>
              <w:pStyle w:val="TAC"/>
              <w:rPr>
                <w:rFonts w:cs="Arial"/>
                <w:sz w:val="16"/>
                <w:szCs w:val="16"/>
              </w:rPr>
            </w:pPr>
            <w:r w:rsidRPr="00336A0C">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E83FDED" w14:textId="77777777" w:rsidR="004F43A1" w:rsidRPr="00336A0C" w:rsidRDefault="004F43A1" w:rsidP="004F43A1">
            <w:pPr>
              <w:pStyle w:val="TAL"/>
              <w:rPr>
                <w:sz w:val="16"/>
              </w:rPr>
            </w:pPr>
            <w:r w:rsidRPr="00336A0C">
              <w:rPr>
                <w:sz w:val="16"/>
              </w:rPr>
              <w:t>Accuracy requirement threshold correction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8B15626"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4DE4CA5D"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395026DC"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EF8B3B"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BD30F2" w14:textId="77777777" w:rsidR="004F43A1" w:rsidRPr="00336A0C" w:rsidRDefault="004F43A1" w:rsidP="004F43A1">
            <w:pPr>
              <w:pStyle w:val="TAC"/>
              <w:rPr>
                <w:rFonts w:cs="Arial"/>
                <w:sz w:val="16"/>
                <w:szCs w:val="16"/>
              </w:rPr>
            </w:pPr>
            <w:r>
              <w:rPr>
                <w:rFonts w:cs="Arial"/>
                <w:sz w:val="16"/>
                <w:szCs w:val="16"/>
              </w:rPr>
              <w:t>CP-243097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70B9DF0" w14:textId="77777777" w:rsidR="004F43A1" w:rsidRPr="00336A0C" w:rsidRDefault="004F43A1" w:rsidP="004F43A1">
            <w:pPr>
              <w:pStyle w:val="TAL"/>
              <w:rPr>
                <w:rFonts w:cs="Arial"/>
                <w:sz w:val="16"/>
                <w:szCs w:val="16"/>
              </w:rPr>
            </w:pPr>
            <w:r w:rsidRPr="00336A0C">
              <w:rPr>
                <w:rFonts w:cs="Arial"/>
                <w:sz w:val="16"/>
                <w:szCs w:val="16"/>
              </w:rPr>
              <w:t>0988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3B6DAD9"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8F6AECB"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9C743E" w14:textId="77777777" w:rsidR="004F43A1" w:rsidRPr="00336A0C" w:rsidRDefault="004F43A1" w:rsidP="004F43A1">
            <w:pPr>
              <w:pStyle w:val="TAL"/>
              <w:rPr>
                <w:sz w:val="16"/>
              </w:rPr>
            </w:pPr>
            <w:r w:rsidRPr="00336A0C">
              <w:rPr>
                <w:sz w:val="16"/>
              </w:rPr>
              <w:t>Support of list of UEs for Movement Behaviour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F2447D7"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7305D0EF"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5D3421A8"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FC1C00"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CAEA0A" w14:textId="77777777" w:rsidR="004F43A1" w:rsidRPr="00336A0C" w:rsidRDefault="004F43A1" w:rsidP="004F43A1">
            <w:pPr>
              <w:pStyle w:val="TAC"/>
              <w:rPr>
                <w:rFonts w:cs="Arial"/>
                <w:sz w:val="16"/>
                <w:szCs w:val="16"/>
              </w:rPr>
            </w:pPr>
            <w:r>
              <w:rPr>
                <w:rFonts w:cs="Arial"/>
                <w:sz w:val="16"/>
                <w:szCs w:val="16"/>
              </w:rPr>
              <w:t>CP-243097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8816AC2" w14:textId="77777777" w:rsidR="004F43A1" w:rsidRPr="00336A0C" w:rsidRDefault="004F43A1" w:rsidP="004F43A1">
            <w:pPr>
              <w:pStyle w:val="TAL"/>
              <w:rPr>
                <w:rFonts w:cs="Arial"/>
                <w:sz w:val="16"/>
                <w:szCs w:val="16"/>
              </w:rPr>
            </w:pPr>
            <w:r w:rsidRPr="00336A0C">
              <w:rPr>
                <w:rFonts w:cs="Arial"/>
                <w:sz w:val="16"/>
                <w:szCs w:val="16"/>
              </w:rPr>
              <w:t>0990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E96840" w14:textId="77777777" w:rsidR="004F43A1" w:rsidRPr="00336A0C" w:rsidRDefault="004F43A1" w:rsidP="004F43A1">
            <w:pPr>
              <w:pStyle w:val="TAR"/>
              <w:rPr>
                <w:rFonts w:cs="Arial"/>
                <w:sz w:val="16"/>
                <w:szCs w:val="16"/>
              </w:rPr>
            </w:pPr>
            <w:r w:rsidRPr="00336A0C">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0511593" w14:textId="77777777" w:rsidR="004F43A1" w:rsidRPr="00336A0C" w:rsidRDefault="004F43A1" w:rsidP="004F43A1">
            <w:pPr>
              <w:pStyle w:val="TAC"/>
              <w:rPr>
                <w:rFonts w:cs="Arial"/>
                <w:sz w:val="16"/>
                <w:szCs w:val="16"/>
              </w:rPr>
            </w:pPr>
            <w:r w:rsidRPr="00336A0C">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1B57653" w14:textId="77777777" w:rsidR="004F43A1" w:rsidRPr="00336A0C" w:rsidRDefault="004F43A1" w:rsidP="004F43A1">
            <w:pPr>
              <w:pStyle w:val="TAL"/>
              <w:rPr>
                <w:sz w:val="16"/>
              </w:rPr>
            </w:pPr>
            <w:r w:rsidRPr="00336A0C">
              <w:rPr>
                <w:sz w:val="16"/>
              </w:rPr>
              <w:t>Support list of UEs in QoS Sustanability and Movement Behaviour Analyses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9894AC3"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4F43A1" w:rsidRPr="00336A0C" w14:paraId="1FCBCBCB" w14:textId="77777777" w:rsidTr="00336A0C">
        <w:tc>
          <w:tcPr>
            <w:tcW w:w="796" w:type="dxa"/>
            <w:tcBorders>
              <w:top w:val="single" w:sz="6" w:space="0" w:color="auto"/>
              <w:left w:val="single" w:sz="6" w:space="0" w:color="auto"/>
              <w:bottom w:val="single" w:sz="6" w:space="0" w:color="auto"/>
              <w:right w:val="single" w:sz="6" w:space="0" w:color="auto"/>
            </w:tcBorders>
            <w:shd w:val="solid" w:color="FFFFFF" w:fill="auto"/>
          </w:tcPr>
          <w:p w14:paraId="412D6692" w14:textId="77777777" w:rsidR="004F43A1" w:rsidRPr="00336A0C" w:rsidRDefault="004F43A1" w:rsidP="004F43A1">
            <w:pPr>
              <w:pStyle w:val="TAC"/>
              <w:rPr>
                <w:rFonts w:cs="Arial"/>
                <w:sz w:val="16"/>
                <w:szCs w:val="16"/>
              </w:rPr>
            </w:pPr>
            <w:r w:rsidRPr="00336A0C">
              <w:rPr>
                <w:rFonts w:cs="Arial"/>
                <w:sz w:val="16"/>
                <w:szCs w:val="16"/>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5C4D1B9" w14:textId="77777777" w:rsidR="004F43A1" w:rsidRPr="00336A0C" w:rsidRDefault="004F43A1" w:rsidP="004F43A1">
            <w:pPr>
              <w:pStyle w:val="TAC"/>
              <w:rPr>
                <w:rFonts w:cs="Arial"/>
                <w:sz w:val="16"/>
                <w:szCs w:val="16"/>
              </w:rPr>
            </w:pPr>
            <w:r w:rsidRPr="00336A0C">
              <w:rPr>
                <w:rFonts w:cs="Arial"/>
                <w:sz w:val="16"/>
                <w:szCs w:val="16"/>
              </w:rPr>
              <w:t>CT#106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AE6226" w14:textId="77777777" w:rsidR="004F43A1" w:rsidRPr="00336A0C" w:rsidRDefault="004F43A1" w:rsidP="004F43A1">
            <w:pPr>
              <w:pStyle w:val="TAC"/>
              <w:rPr>
                <w:rFonts w:cs="Arial"/>
                <w:sz w:val="16"/>
                <w:szCs w:val="16"/>
              </w:rPr>
            </w:pPr>
            <w:r>
              <w:rPr>
                <w:rFonts w:cs="Arial"/>
                <w:sz w:val="16"/>
                <w:szCs w:val="16"/>
              </w:rPr>
              <w:t>CP-243147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EF831A2" w14:textId="77777777" w:rsidR="004F43A1" w:rsidRPr="00336A0C" w:rsidRDefault="004F43A1" w:rsidP="004F43A1">
            <w:pPr>
              <w:pStyle w:val="TAL"/>
              <w:rPr>
                <w:rFonts w:cs="Arial"/>
                <w:sz w:val="16"/>
                <w:szCs w:val="16"/>
              </w:rPr>
            </w:pPr>
            <w:r w:rsidRPr="00336A0C">
              <w:rPr>
                <w:rFonts w:cs="Arial"/>
                <w:sz w:val="16"/>
                <w:szCs w:val="16"/>
              </w:rPr>
              <w:t>099</w:t>
            </w:r>
            <w:r>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294E7EC" w14:textId="77777777" w:rsidR="004F43A1" w:rsidRPr="00336A0C" w:rsidRDefault="004F43A1" w:rsidP="004F43A1">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921AEF" w14:textId="77777777" w:rsidR="004F43A1" w:rsidRPr="00336A0C" w:rsidRDefault="004F43A1" w:rsidP="004F43A1">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1200044" w14:textId="77777777" w:rsidR="004F43A1" w:rsidRPr="00336A0C" w:rsidRDefault="004F43A1" w:rsidP="004F43A1">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3B70873" w14:textId="77777777" w:rsidR="004F43A1" w:rsidRPr="00336A0C" w:rsidRDefault="004F43A1" w:rsidP="004F43A1">
            <w:pPr>
              <w:pStyle w:val="TAC"/>
              <w:rPr>
                <w:sz w:val="16"/>
                <w:szCs w:val="16"/>
                <w:lang w:eastAsia="zh-CN"/>
              </w:rPr>
            </w:pPr>
            <w:r w:rsidRPr="00AE41BC">
              <w:rPr>
                <w:rFonts w:hint="eastAsia"/>
                <w:sz w:val="16"/>
                <w:szCs w:val="16"/>
                <w:lang w:eastAsia="zh-CN"/>
              </w:rPr>
              <w:t>1</w:t>
            </w:r>
            <w:r w:rsidRPr="00AE41BC">
              <w:rPr>
                <w:sz w:val="16"/>
                <w:szCs w:val="16"/>
                <w:lang w:eastAsia="zh-CN"/>
              </w:rPr>
              <w:t>9.1.0</w:t>
            </w:r>
          </w:p>
        </w:tc>
      </w:tr>
      <w:tr w:rsidR="001B08EB" w:rsidRPr="00B46877" w14:paraId="77A5B28B"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6855DE12"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3542A3"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4A48D9" w14:textId="77777777" w:rsidR="001B08EB" w:rsidRPr="0040274B" w:rsidRDefault="001B08EB" w:rsidP="001B08EB">
            <w:pPr>
              <w:pStyle w:val="TAC"/>
              <w:rPr>
                <w:rFonts w:cs="Arial"/>
                <w:sz w:val="16"/>
                <w:szCs w:val="16"/>
              </w:rPr>
            </w:pPr>
            <w:r w:rsidRPr="0040274B">
              <w:rPr>
                <w:rFonts w:cs="Arial"/>
                <w:sz w:val="16"/>
                <w:szCs w:val="16"/>
              </w:rPr>
              <w:t>CP-250092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3D97A4F" w14:textId="77777777" w:rsidR="001B08EB" w:rsidRPr="00B46877" w:rsidRDefault="001B08EB" w:rsidP="001B08EB">
            <w:pPr>
              <w:pStyle w:val="TAL"/>
              <w:rPr>
                <w:rFonts w:cs="Arial"/>
                <w:sz w:val="16"/>
                <w:szCs w:val="16"/>
              </w:rPr>
            </w:pPr>
            <w:r w:rsidRPr="00B46877">
              <w:rPr>
                <w:rFonts w:cs="Arial"/>
                <w:sz w:val="16"/>
                <w:szCs w:val="16"/>
              </w:rPr>
              <w:t>0991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35FB80" w14:textId="77777777" w:rsidR="001B08EB" w:rsidRPr="00B46877" w:rsidRDefault="001B08EB" w:rsidP="001B08EB">
            <w:pPr>
              <w:pStyle w:val="TAR"/>
              <w:rPr>
                <w:rFonts w:cs="Arial"/>
                <w:sz w:val="16"/>
                <w:szCs w:val="16"/>
              </w:rPr>
            </w:pPr>
            <w:r w:rsidRPr="00B46877">
              <w:rPr>
                <w:rFonts w:cs="Arial"/>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6FE05F5"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A378B82" w14:textId="77777777" w:rsidR="001B08EB" w:rsidRPr="00B46877" w:rsidRDefault="001B08EB" w:rsidP="001B08EB">
            <w:pPr>
              <w:pStyle w:val="TAL"/>
              <w:rPr>
                <w:sz w:val="16"/>
              </w:rPr>
            </w:pPr>
            <w:r w:rsidRPr="00B46877">
              <w:rPr>
                <w:sz w:val="16"/>
              </w:rPr>
              <w:t>Update TTC predictions in Relative Proximity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FEFA550"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B4C21F9"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2ABF7F73"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89297C"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093132" w14:textId="77777777" w:rsidR="001B08EB" w:rsidRPr="0040274B" w:rsidRDefault="001B08EB" w:rsidP="001B08EB">
            <w:pPr>
              <w:pStyle w:val="TAC"/>
              <w:rPr>
                <w:rFonts w:cs="Arial"/>
                <w:sz w:val="16"/>
                <w:szCs w:val="16"/>
              </w:rPr>
            </w:pPr>
            <w:r w:rsidRPr="0040274B">
              <w:rPr>
                <w:rFonts w:cs="Arial"/>
                <w:sz w:val="16"/>
                <w:szCs w:val="16"/>
              </w:rPr>
              <w:t>CP-250089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7B11904" w14:textId="77777777" w:rsidR="001B08EB" w:rsidRPr="00B46877" w:rsidRDefault="001B08EB" w:rsidP="001B08EB">
            <w:pPr>
              <w:pStyle w:val="TAL"/>
              <w:rPr>
                <w:rFonts w:cs="Arial"/>
                <w:sz w:val="16"/>
                <w:szCs w:val="16"/>
              </w:rPr>
            </w:pPr>
            <w:r w:rsidRPr="00B46877">
              <w:rPr>
                <w:rFonts w:cs="Arial"/>
                <w:sz w:val="16"/>
                <w:szCs w:val="16"/>
              </w:rPr>
              <w:t>0995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0197DBA"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CF92926"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DAC9C2C" w14:textId="77777777" w:rsidR="001B08EB" w:rsidRPr="00B46877" w:rsidRDefault="001B08EB" w:rsidP="001B08EB">
            <w:pPr>
              <w:pStyle w:val="TAL"/>
              <w:rPr>
                <w:sz w:val="16"/>
              </w:rPr>
            </w:pPr>
            <w:r w:rsidRPr="00B46877">
              <w:rPr>
                <w:sz w:val="16"/>
              </w:rPr>
              <w:t>Corrections to modelInfo attribute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1F0507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2CC2446A"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12C03C81"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3DDDBAE"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41929B" w14:textId="77777777" w:rsidR="001B08EB" w:rsidRPr="0040274B" w:rsidRDefault="001B08EB" w:rsidP="001B08EB">
            <w:pPr>
              <w:pStyle w:val="TAC"/>
              <w:rPr>
                <w:rFonts w:cs="Arial"/>
                <w:sz w:val="16"/>
                <w:szCs w:val="16"/>
              </w:rPr>
            </w:pPr>
            <w:r w:rsidRPr="0040274B">
              <w:rPr>
                <w:rFonts w:cs="Arial"/>
                <w:sz w:val="16"/>
                <w:szCs w:val="16"/>
              </w:rPr>
              <w:t>CP-250096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BA20977" w14:textId="77777777" w:rsidR="001B08EB" w:rsidRPr="00B46877" w:rsidRDefault="001B08EB" w:rsidP="001B08EB">
            <w:pPr>
              <w:pStyle w:val="TAL"/>
              <w:rPr>
                <w:rFonts w:cs="Arial"/>
                <w:sz w:val="16"/>
                <w:szCs w:val="16"/>
              </w:rPr>
            </w:pPr>
            <w:r w:rsidRPr="00B46877">
              <w:rPr>
                <w:rFonts w:cs="Arial"/>
                <w:sz w:val="16"/>
                <w:szCs w:val="16"/>
              </w:rPr>
              <w:t>0997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2520D2C"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0D01D09"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AF6CA1F" w14:textId="77777777" w:rsidR="001B08EB" w:rsidRPr="00B46877" w:rsidRDefault="001B08EB" w:rsidP="001B08EB">
            <w:pPr>
              <w:pStyle w:val="TAL"/>
              <w:rPr>
                <w:sz w:val="16"/>
              </w:rPr>
            </w:pPr>
            <w:r w:rsidRPr="00B46877">
              <w:rPr>
                <w:sz w:val="16"/>
              </w:rPr>
              <w:t>Corrections to Redundant Transmission Experience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8B4D7A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58BC415"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33C75E11"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707790"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A78A6F" w14:textId="77777777" w:rsidR="001B08EB" w:rsidRPr="0040274B" w:rsidRDefault="001B08EB" w:rsidP="001B08EB">
            <w:pPr>
              <w:pStyle w:val="TAC"/>
              <w:rPr>
                <w:rFonts w:cs="Arial"/>
                <w:sz w:val="16"/>
                <w:szCs w:val="16"/>
              </w:rPr>
            </w:pPr>
            <w:r w:rsidRPr="0040274B">
              <w:rPr>
                <w:rFonts w:cs="Arial"/>
                <w:sz w:val="16"/>
                <w:szCs w:val="16"/>
              </w:rPr>
              <w:t>CP-250104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97683DE" w14:textId="77777777" w:rsidR="001B08EB" w:rsidRPr="00B46877" w:rsidRDefault="001B08EB" w:rsidP="001B08EB">
            <w:pPr>
              <w:pStyle w:val="TAL"/>
              <w:rPr>
                <w:rFonts w:cs="Arial"/>
                <w:sz w:val="16"/>
                <w:szCs w:val="16"/>
              </w:rPr>
            </w:pPr>
            <w:r w:rsidRPr="00B46877">
              <w:rPr>
                <w:rFonts w:cs="Arial"/>
                <w:sz w:val="16"/>
                <w:szCs w:val="16"/>
              </w:rPr>
              <w:t>0999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ADA753"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F90686"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E7C27AE" w14:textId="77777777" w:rsidR="001B08EB" w:rsidRPr="00B46877" w:rsidRDefault="001B08EB" w:rsidP="001B08EB">
            <w:pPr>
              <w:pStyle w:val="TAL"/>
              <w:rPr>
                <w:sz w:val="16"/>
              </w:rPr>
            </w:pPr>
            <w:r w:rsidRPr="00B46877">
              <w:rPr>
                <w:sz w:val="16"/>
              </w:rPr>
              <w:t>Corrections to Movement Behaviour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C0B38B7"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D92486E"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6DEE405A"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827BE05"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1B36F" w14:textId="77777777" w:rsidR="001B08EB" w:rsidRPr="0040274B" w:rsidRDefault="001B08EB" w:rsidP="001B08EB">
            <w:pPr>
              <w:pStyle w:val="TAC"/>
              <w:rPr>
                <w:rFonts w:cs="Arial"/>
                <w:sz w:val="16"/>
                <w:szCs w:val="16"/>
              </w:rPr>
            </w:pPr>
            <w:r w:rsidRPr="0040274B">
              <w:rPr>
                <w:rFonts w:cs="Arial"/>
                <w:sz w:val="16"/>
                <w:szCs w:val="16"/>
              </w:rPr>
              <w:t>CP-250104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73D9F8F" w14:textId="77777777" w:rsidR="001B08EB" w:rsidRPr="00B46877" w:rsidRDefault="001B08EB" w:rsidP="001B08EB">
            <w:pPr>
              <w:pStyle w:val="TAL"/>
              <w:rPr>
                <w:rFonts w:cs="Arial"/>
                <w:sz w:val="16"/>
                <w:szCs w:val="16"/>
              </w:rPr>
            </w:pPr>
            <w:r w:rsidRPr="00B46877">
              <w:rPr>
                <w:rFonts w:cs="Arial"/>
                <w:sz w:val="16"/>
                <w:szCs w:val="16"/>
              </w:rPr>
              <w:t>1001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21F22EA"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F8B4F6A"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E725846" w14:textId="77777777" w:rsidR="001B08EB" w:rsidRPr="00B46877" w:rsidRDefault="001B08EB" w:rsidP="001B08EB">
            <w:pPr>
              <w:pStyle w:val="TAL"/>
              <w:rPr>
                <w:sz w:val="16"/>
              </w:rPr>
            </w:pPr>
            <w:r w:rsidRPr="00B46877">
              <w:rPr>
                <w:sz w:val="16"/>
              </w:rPr>
              <w:t>Corrections to MLModelMonitorSub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3B122D6"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EBDFAEC"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7FF171E2"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AAE7B4"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7E74A" w14:textId="77777777" w:rsidR="001B08EB" w:rsidRPr="0040274B" w:rsidRDefault="001B08EB" w:rsidP="001B08EB">
            <w:pPr>
              <w:pStyle w:val="TAC"/>
              <w:rPr>
                <w:rFonts w:cs="Arial"/>
                <w:sz w:val="16"/>
                <w:szCs w:val="16"/>
              </w:rPr>
            </w:pPr>
            <w:r w:rsidRPr="0040274B">
              <w:rPr>
                <w:rFonts w:cs="Arial"/>
                <w:sz w:val="16"/>
                <w:szCs w:val="16"/>
              </w:rPr>
              <w:t>CP-250117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FC0E84F" w14:textId="77777777" w:rsidR="001B08EB" w:rsidRPr="00B46877" w:rsidRDefault="001B08EB" w:rsidP="001B08EB">
            <w:pPr>
              <w:pStyle w:val="TAL"/>
              <w:rPr>
                <w:rFonts w:cs="Arial"/>
                <w:sz w:val="16"/>
                <w:szCs w:val="16"/>
              </w:rPr>
            </w:pPr>
            <w:r w:rsidRPr="00B46877">
              <w:rPr>
                <w:rFonts w:cs="Arial"/>
                <w:sz w:val="16"/>
                <w:szCs w:val="16"/>
              </w:rPr>
              <w:t>1003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69D043A"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0B803A2"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E701A2C" w14:textId="77777777" w:rsidR="001B08EB" w:rsidRPr="00B46877" w:rsidRDefault="001B08EB" w:rsidP="001B08EB">
            <w:pPr>
              <w:pStyle w:val="TAL"/>
              <w:rPr>
                <w:sz w:val="16"/>
              </w:rPr>
            </w:pPr>
            <w:r w:rsidRPr="00B46877">
              <w:rPr>
                <w:sz w:val="16"/>
              </w:rPr>
              <w:t>Corrections to E2eDataVolTransTimePerUe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DA8C5ED"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86A4BEF"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39502A2B"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36E85D1"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21086BB"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F0D8BAC" w14:textId="77777777" w:rsidR="001B08EB" w:rsidRPr="00B46877" w:rsidRDefault="001B08EB" w:rsidP="001B08EB">
            <w:pPr>
              <w:pStyle w:val="TAL"/>
              <w:rPr>
                <w:rFonts w:cs="Arial"/>
                <w:sz w:val="16"/>
                <w:szCs w:val="16"/>
              </w:rPr>
            </w:pPr>
            <w:r w:rsidRPr="00B46877">
              <w:rPr>
                <w:rFonts w:cs="Arial"/>
                <w:sz w:val="16"/>
                <w:szCs w:val="16"/>
              </w:rPr>
              <w:t>1004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B43A39"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E2A7666"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E0CEACB" w14:textId="77777777" w:rsidR="001B08EB" w:rsidRPr="00B46877" w:rsidRDefault="001B08EB" w:rsidP="001B08EB">
            <w:pPr>
              <w:pStyle w:val="TAL"/>
              <w:rPr>
                <w:sz w:val="16"/>
              </w:rPr>
            </w:pPr>
            <w:r w:rsidRPr="00B46877">
              <w:rPr>
                <w:sz w:val="16"/>
              </w:rPr>
              <w:t>Corrections to MLModelMonitorReg</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098290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8462EDC"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70EFBC41"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15FECD"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DCDB9C" w14:textId="77777777" w:rsidR="001B08EB" w:rsidRPr="0040274B" w:rsidRDefault="001B08EB" w:rsidP="001B08EB">
            <w:pPr>
              <w:pStyle w:val="TAC"/>
              <w:rPr>
                <w:rFonts w:cs="Arial"/>
                <w:sz w:val="16"/>
                <w:szCs w:val="16"/>
              </w:rPr>
            </w:pPr>
            <w:r w:rsidRPr="0040274B">
              <w:rPr>
                <w:rFonts w:cs="Arial"/>
                <w:sz w:val="16"/>
                <w:szCs w:val="16"/>
              </w:rPr>
              <w:t>CP-250105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9E1C10B" w14:textId="77777777" w:rsidR="001B08EB" w:rsidRPr="00B46877" w:rsidRDefault="001B08EB" w:rsidP="001B08EB">
            <w:pPr>
              <w:pStyle w:val="TAL"/>
              <w:rPr>
                <w:rFonts w:cs="Arial"/>
                <w:sz w:val="16"/>
                <w:szCs w:val="16"/>
              </w:rPr>
            </w:pPr>
            <w:r w:rsidRPr="00B46877">
              <w:rPr>
                <w:rFonts w:cs="Arial"/>
                <w:sz w:val="16"/>
                <w:szCs w:val="16"/>
              </w:rPr>
              <w:t>1005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B7A6E1"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489BE16"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34E1C40" w14:textId="77777777" w:rsidR="001B08EB" w:rsidRPr="00B46877" w:rsidRDefault="001B08EB" w:rsidP="001B08EB">
            <w:pPr>
              <w:pStyle w:val="TAL"/>
              <w:rPr>
                <w:sz w:val="16"/>
              </w:rPr>
            </w:pPr>
            <w:r w:rsidRPr="00B46877">
              <w:rPr>
                <w:sz w:val="16"/>
              </w:rPr>
              <w:t>Corrections to UE_COMMUNICATION event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69E76F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9C3E236"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07805497"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39CDD7"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9A98A9"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2DF3FEC" w14:textId="77777777" w:rsidR="001B08EB" w:rsidRPr="00B46877" w:rsidRDefault="001B08EB" w:rsidP="001B08EB">
            <w:pPr>
              <w:pStyle w:val="TAL"/>
              <w:rPr>
                <w:rFonts w:cs="Arial"/>
                <w:sz w:val="16"/>
                <w:szCs w:val="16"/>
              </w:rPr>
            </w:pPr>
            <w:r w:rsidRPr="00B46877">
              <w:rPr>
                <w:rFonts w:cs="Arial"/>
                <w:sz w:val="16"/>
                <w:szCs w:val="16"/>
              </w:rPr>
              <w:t>1007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A400DF"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3C262EF"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35A4CFA" w14:textId="77777777" w:rsidR="001B08EB" w:rsidRPr="00B46877" w:rsidRDefault="001B08EB" w:rsidP="001B08EB">
            <w:pPr>
              <w:pStyle w:val="TAL"/>
              <w:rPr>
                <w:sz w:val="16"/>
              </w:rPr>
            </w:pPr>
            <w:r w:rsidRPr="00B46877">
              <w:rPr>
                <w:sz w:val="16"/>
              </w:rPr>
              <w:t>Corrections to Nnwdaf_AnalyticsInfo service request</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A48111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52793EC"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4ACA296D"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8A42572"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D6100"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9BF2DFE" w14:textId="77777777" w:rsidR="001B08EB" w:rsidRPr="00B46877" w:rsidRDefault="001B08EB" w:rsidP="001B08EB">
            <w:pPr>
              <w:pStyle w:val="TAL"/>
              <w:rPr>
                <w:rFonts w:cs="Arial"/>
                <w:sz w:val="16"/>
                <w:szCs w:val="16"/>
              </w:rPr>
            </w:pPr>
            <w:r w:rsidRPr="00B46877">
              <w:rPr>
                <w:rFonts w:cs="Arial"/>
                <w:sz w:val="16"/>
                <w:szCs w:val="16"/>
              </w:rPr>
              <w:t>1008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6543FD0"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92106E6"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312749B" w14:textId="77777777" w:rsidR="001B08EB" w:rsidRPr="00B46877" w:rsidRDefault="001B08EB" w:rsidP="001B08EB">
            <w:pPr>
              <w:pStyle w:val="TAL"/>
              <w:rPr>
                <w:sz w:val="16"/>
              </w:rPr>
            </w:pPr>
            <w:r w:rsidRPr="00B46877">
              <w:rPr>
                <w:sz w:val="16"/>
              </w:rPr>
              <w:t>Corrections to Nnwdaf_MLModelProvision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61029FD"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64DE85A1"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5A628360"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056CE06"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2A6EFB"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FF072DF" w14:textId="77777777" w:rsidR="001B08EB" w:rsidRPr="00B46877" w:rsidRDefault="001B08EB" w:rsidP="001B08EB">
            <w:pPr>
              <w:pStyle w:val="TAL"/>
              <w:rPr>
                <w:rFonts w:cs="Arial"/>
                <w:sz w:val="16"/>
                <w:szCs w:val="16"/>
              </w:rPr>
            </w:pPr>
            <w:r w:rsidRPr="00B46877">
              <w:rPr>
                <w:rFonts w:cs="Arial"/>
                <w:sz w:val="16"/>
                <w:szCs w:val="16"/>
              </w:rPr>
              <w:t>1009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67386D8"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08B7ED"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E84E66D" w14:textId="77777777" w:rsidR="001B08EB" w:rsidRPr="00B46877" w:rsidRDefault="001B08EB" w:rsidP="001B08EB">
            <w:pPr>
              <w:pStyle w:val="TAL"/>
              <w:rPr>
                <w:sz w:val="16"/>
              </w:rPr>
            </w:pPr>
            <w:r w:rsidRPr="00B46877">
              <w:rPr>
                <w:sz w:val="16"/>
              </w:rPr>
              <w:t>Updates to UeProximity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B88A995"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69E32B25"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47B95CC9"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29690E"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B0165A" w14:textId="77777777" w:rsidR="001B08EB" w:rsidRPr="0040274B" w:rsidRDefault="001B08EB" w:rsidP="001B08EB">
            <w:pPr>
              <w:pStyle w:val="TAC"/>
              <w:rPr>
                <w:rFonts w:cs="Arial"/>
                <w:sz w:val="16"/>
                <w:szCs w:val="16"/>
              </w:rPr>
            </w:pPr>
            <w:r w:rsidRPr="0040274B">
              <w:rPr>
                <w:rFonts w:cs="Arial"/>
                <w:sz w:val="16"/>
                <w:szCs w:val="16"/>
              </w:rPr>
              <w:t>CP-250086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656537D" w14:textId="77777777" w:rsidR="001B08EB" w:rsidRPr="00B46877" w:rsidRDefault="001B08EB" w:rsidP="001B08EB">
            <w:pPr>
              <w:pStyle w:val="TAL"/>
              <w:rPr>
                <w:rFonts w:cs="Arial"/>
                <w:sz w:val="16"/>
                <w:szCs w:val="16"/>
              </w:rPr>
            </w:pPr>
            <w:r w:rsidRPr="00B46877">
              <w:rPr>
                <w:rFonts w:cs="Arial"/>
                <w:sz w:val="16"/>
                <w:szCs w:val="16"/>
              </w:rPr>
              <w:t>1010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CD9F41"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6346F9"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2A68770" w14:textId="77777777" w:rsidR="001B08EB" w:rsidRPr="00B46877" w:rsidRDefault="001B08EB" w:rsidP="001B08EB">
            <w:pPr>
              <w:pStyle w:val="TAL"/>
              <w:rPr>
                <w:sz w:val="16"/>
              </w:rPr>
            </w:pPr>
            <w:r w:rsidRPr="00B46877">
              <w:rPr>
                <w:sz w:val="16"/>
              </w:rPr>
              <w:t>Correction to TimestampedLocation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9A6AA6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737301F2"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4AFB1776"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BFEEB9"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735F56A" w14:textId="77777777" w:rsidR="001B08EB" w:rsidRPr="0040274B" w:rsidRDefault="001B08EB" w:rsidP="001B08EB">
            <w:pPr>
              <w:pStyle w:val="TAC"/>
              <w:rPr>
                <w:rFonts w:cs="Arial"/>
                <w:sz w:val="16"/>
                <w:szCs w:val="16"/>
              </w:rPr>
            </w:pPr>
            <w:r w:rsidRPr="0040274B">
              <w:rPr>
                <w:rFonts w:cs="Arial"/>
                <w:sz w:val="16"/>
                <w:szCs w:val="16"/>
              </w:rPr>
              <w:t>CP-250083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C14C4EB" w14:textId="77777777" w:rsidR="001B08EB" w:rsidRPr="00B46877" w:rsidRDefault="001B08EB" w:rsidP="001B08EB">
            <w:pPr>
              <w:pStyle w:val="TAL"/>
              <w:rPr>
                <w:rFonts w:cs="Arial"/>
                <w:sz w:val="16"/>
                <w:szCs w:val="16"/>
              </w:rPr>
            </w:pPr>
            <w:r w:rsidRPr="00B46877">
              <w:rPr>
                <w:rFonts w:cs="Arial"/>
                <w:sz w:val="16"/>
                <w:szCs w:val="16"/>
              </w:rPr>
              <w:t>1011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3D323F1"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616B3B6"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FF91AD2" w14:textId="77777777" w:rsidR="001B08EB" w:rsidRPr="00B46877" w:rsidRDefault="001B08EB" w:rsidP="001B08EB">
            <w:pPr>
              <w:pStyle w:val="TAL"/>
              <w:rPr>
                <w:sz w:val="16"/>
              </w:rPr>
            </w:pPr>
            <w:r w:rsidRPr="00B46877">
              <w:rPr>
                <w:sz w:val="16"/>
              </w:rPr>
              <w:t>Add service consumer for retrieving signalling storm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286ABA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1035B836"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1E1EA58A"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C16618"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765AB8"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D8320EF" w14:textId="77777777" w:rsidR="001B08EB" w:rsidRPr="00B46877" w:rsidRDefault="001B08EB" w:rsidP="001B08EB">
            <w:pPr>
              <w:pStyle w:val="TAL"/>
              <w:rPr>
                <w:rFonts w:cs="Arial"/>
                <w:sz w:val="16"/>
                <w:szCs w:val="16"/>
              </w:rPr>
            </w:pPr>
            <w:r w:rsidRPr="00B46877">
              <w:rPr>
                <w:rFonts w:cs="Arial"/>
                <w:sz w:val="16"/>
                <w:szCs w:val="16"/>
              </w:rPr>
              <w:t>1013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A932D5E"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404000"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AE3F31B" w14:textId="77777777" w:rsidR="001B08EB" w:rsidRPr="00B46877" w:rsidRDefault="001B08EB" w:rsidP="001B08EB">
            <w:pPr>
              <w:pStyle w:val="TAL"/>
              <w:rPr>
                <w:sz w:val="16"/>
              </w:rPr>
            </w:pPr>
            <w:r w:rsidRPr="00B46877">
              <w:rPr>
                <w:sz w:val="16"/>
              </w:rPr>
              <w:t>Extended Analytics Metadata Info in AnalyticsInfo responses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5F201A3"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AF11BDB"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77E8BBF7"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7FF675"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1EA691" w14:textId="77777777" w:rsidR="001B08EB" w:rsidRPr="0040274B" w:rsidRDefault="001B08EB" w:rsidP="001B08EB">
            <w:pPr>
              <w:pStyle w:val="TAC"/>
              <w:rPr>
                <w:rFonts w:cs="Arial"/>
                <w:sz w:val="16"/>
                <w:szCs w:val="16"/>
              </w:rPr>
            </w:pPr>
            <w:r w:rsidRPr="0040274B">
              <w:rPr>
                <w:rFonts w:cs="Arial"/>
                <w:sz w:val="16"/>
                <w:szCs w:val="16"/>
              </w:rPr>
              <w:t>CP-250086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0E8EE21" w14:textId="77777777" w:rsidR="001B08EB" w:rsidRPr="00B46877" w:rsidRDefault="001B08EB" w:rsidP="001B08EB">
            <w:pPr>
              <w:pStyle w:val="TAL"/>
              <w:rPr>
                <w:rFonts w:cs="Arial"/>
                <w:sz w:val="16"/>
                <w:szCs w:val="16"/>
              </w:rPr>
            </w:pPr>
            <w:r w:rsidRPr="00B46877">
              <w:rPr>
                <w:rFonts w:cs="Arial"/>
                <w:sz w:val="16"/>
                <w:szCs w:val="16"/>
              </w:rPr>
              <w:t>1015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3043F94"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507F792"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DB1579B" w14:textId="77777777" w:rsidR="001B08EB" w:rsidRPr="00B46877" w:rsidRDefault="001B08EB" w:rsidP="001B08EB">
            <w:pPr>
              <w:pStyle w:val="TAL"/>
              <w:rPr>
                <w:sz w:val="16"/>
              </w:rPr>
            </w:pPr>
            <w:r w:rsidRPr="00B46877">
              <w:rPr>
                <w:sz w:val="16"/>
              </w:rPr>
              <w:t>Corrections to the Nnwdaf_DataManagement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77ABEA8"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B9B650D"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1EC67ED2"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FFC0519"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vAlign w:val="bottom"/>
          </w:tcPr>
          <w:p w14:paraId="425C5C82" w14:textId="77777777" w:rsidR="001B08EB" w:rsidRPr="0040274B" w:rsidRDefault="001B08EB" w:rsidP="001B08EB">
            <w:pPr>
              <w:pStyle w:val="TAC"/>
              <w:rPr>
                <w:rFonts w:cs="Arial"/>
                <w:sz w:val="16"/>
                <w:szCs w:val="16"/>
              </w:rPr>
            </w:pPr>
            <w:r w:rsidRPr="001B08EB">
              <w:rPr>
                <w:rFonts w:cs="Arial"/>
                <w:sz w:val="16"/>
                <w:szCs w:val="16"/>
              </w:rPr>
              <w:t>CP-250223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C55CB8E" w14:textId="77777777" w:rsidR="001B08EB" w:rsidRPr="00B46877" w:rsidRDefault="001B08EB" w:rsidP="001B08EB">
            <w:pPr>
              <w:pStyle w:val="TAL"/>
              <w:rPr>
                <w:rFonts w:cs="Arial"/>
                <w:sz w:val="16"/>
                <w:szCs w:val="16"/>
              </w:rPr>
            </w:pPr>
            <w:r w:rsidRPr="00B46877">
              <w:rPr>
                <w:rFonts w:cs="Arial"/>
                <w:sz w:val="16"/>
                <w:szCs w:val="16"/>
              </w:rPr>
              <w:t>1016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6EE8BE" w14:textId="77777777" w:rsidR="001B08EB" w:rsidRPr="00B46877" w:rsidRDefault="001B08EB" w:rsidP="001B08EB">
            <w:pPr>
              <w:pStyle w:val="TAR"/>
              <w:rPr>
                <w:rFonts w:cs="Arial"/>
                <w:sz w:val="16"/>
                <w:szCs w:val="16"/>
              </w:rPr>
            </w:pPr>
            <w:r>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3E39910"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D73E510" w14:textId="77777777" w:rsidR="001B08EB" w:rsidRPr="00B46877" w:rsidRDefault="001B08EB" w:rsidP="001B08EB">
            <w:pPr>
              <w:pStyle w:val="TAL"/>
              <w:rPr>
                <w:sz w:val="16"/>
              </w:rPr>
            </w:pPr>
            <w:r w:rsidRPr="00B46877">
              <w:rPr>
                <w:sz w:val="16"/>
              </w:rPr>
              <w:t>Updates to Signalling Storm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2276004"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45FD4F8"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23807745"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26C59DA"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BFB41E"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26DDE62" w14:textId="77777777" w:rsidR="001B08EB" w:rsidRPr="00B46877" w:rsidRDefault="001B08EB" w:rsidP="001B08EB">
            <w:pPr>
              <w:pStyle w:val="TAL"/>
              <w:rPr>
                <w:rFonts w:cs="Arial"/>
                <w:sz w:val="16"/>
                <w:szCs w:val="16"/>
              </w:rPr>
            </w:pPr>
            <w:r w:rsidRPr="00B46877">
              <w:rPr>
                <w:rFonts w:cs="Arial"/>
                <w:sz w:val="16"/>
                <w:szCs w:val="16"/>
              </w:rPr>
              <w:t>1020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F91644"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DD7FF2D"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2653E56" w14:textId="77777777" w:rsidR="001B08EB" w:rsidRPr="00B46877" w:rsidRDefault="001B08EB" w:rsidP="001B08EB">
            <w:pPr>
              <w:pStyle w:val="TAL"/>
              <w:rPr>
                <w:sz w:val="16"/>
              </w:rPr>
            </w:pPr>
            <w:r w:rsidRPr="00B46877">
              <w:rPr>
                <w:sz w:val="16"/>
              </w:rPr>
              <w:t>Data source of the data for analytics aggregation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1152CAE"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3592E151"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2B7A0C0E"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42D4663"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F1FA83"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924566B" w14:textId="77777777" w:rsidR="001B08EB" w:rsidRPr="00B46877" w:rsidRDefault="001B08EB" w:rsidP="001B08EB">
            <w:pPr>
              <w:pStyle w:val="TAL"/>
              <w:rPr>
                <w:rFonts w:cs="Arial"/>
                <w:sz w:val="16"/>
                <w:szCs w:val="16"/>
              </w:rPr>
            </w:pPr>
            <w:r w:rsidRPr="00B46877">
              <w:rPr>
                <w:rFonts w:cs="Arial"/>
                <w:sz w:val="16"/>
                <w:szCs w:val="16"/>
              </w:rPr>
              <w:t>1021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214371E"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C933145"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5D606D4" w14:textId="77777777" w:rsidR="001B08EB" w:rsidRPr="00B46877" w:rsidRDefault="001B08EB" w:rsidP="001B08EB">
            <w:pPr>
              <w:pStyle w:val="TAL"/>
              <w:rPr>
                <w:sz w:val="16"/>
              </w:rPr>
            </w:pPr>
            <w:r w:rsidRPr="00B46877">
              <w:rPr>
                <w:sz w:val="16"/>
              </w:rPr>
              <w:t>Providing modelUpdateInd and modelProviderId for each ML model</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ED0A69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8E2E7AB"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5EDAB5B1"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793C45"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09C4EF" w14:textId="77777777" w:rsidR="001B08EB" w:rsidRPr="0040274B" w:rsidRDefault="001B08EB" w:rsidP="001B08EB">
            <w:pPr>
              <w:pStyle w:val="TAC"/>
              <w:rPr>
                <w:rFonts w:cs="Arial"/>
                <w:sz w:val="16"/>
                <w:szCs w:val="16"/>
              </w:rPr>
            </w:pPr>
            <w:r w:rsidRPr="0040274B">
              <w:rPr>
                <w:rFonts w:cs="Arial"/>
                <w:sz w:val="16"/>
                <w:szCs w:val="16"/>
              </w:rPr>
              <w:t>CP-250089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ED4E28E" w14:textId="77777777" w:rsidR="001B08EB" w:rsidRPr="00B46877" w:rsidRDefault="001B08EB" w:rsidP="001B08EB">
            <w:pPr>
              <w:pStyle w:val="TAL"/>
              <w:rPr>
                <w:rFonts w:cs="Arial"/>
                <w:sz w:val="16"/>
                <w:szCs w:val="16"/>
              </w:rPr>
            </w:pPr>
            <w:r w:rsidRPr="00B46877">
              <w:rPr>
                <w:rFonts w:cs="Arial"/>
                <w:sz w:val="16"/>
                <w:szCs w:val="16"/>
              </w:rPr>
              <w:t>1022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8046AB4"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C7E64D0" w14:textId="77777777" w:rsidR="001B08EB" w:rsidRPr="00B46877" w:rsidRDefault="001B08EB" w:rsidP="001B08EB">
            <w:pPr>
              <w:pStyle w:val="TAC"/>
              <w:rPr>
                <w:rFonts w:cs="Arial"/>
                <w:sz w:val="16"/>
                <w:szCs w:val="16"/>
              </w:rPr>
            </w:pPr>
            <w:r w:rsidRPr="00B46877">
              <w:rPr>
                <w:rFonts w:cs="Arial"/>
                <w:sz w:val="16"/>
                <w:szCs w:val="16"/>
              </w:rPr>
              <w:t>A</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7EE6F35" w14:textId="77777777" w:rsidR="001B08EB" w:rsidRPr="00B46877" w:rsidRDefault="001B08EB" w:rsidP="001B08EB">
            <w:pPr>
              <w:pStyle w:val="TAL"/>
              <w:rPr>
                <w:sz w:val="16"/>
              </w:rPr>
            </w:pPr>
            <w:r w:rsidRPr="00B46877">
              <w:rPr>
                <w:sz w:val="16"/>
              </w:rPr>
              <w:t>Incorrect event name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12D109C"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1DAD593"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13DE7167"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7B12D92"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2E19DF" w14:textId="77777777" w:rsidR="001B08EB" w:rsidRPr="0040274B" w:rsidRDefault="001B08EB" w:rsidP="001B08EB">
            <w:pPr>
              <w:pStyle w:val="TAC"/>
              <w:rPr>
                <w:rFonts w:cs="Arial"/>
                <w:sz w:val="16"/>
                <w:szCs w:val="16"/>
              </w:rPr>
            </w:pPr>
            <w:r w:rsidRPr="0040274B">
              <w:rPr>
                <w:rFonts w:cs="Arial"/>
                <w:sz w:val="16"/>
                <w:szCs w:val="16"/>
              </w:rPr>
              <w:t>CP-250086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AA36610" w14:textId="77777777" w:rsidR="001B08EB" w:rsidRPr="00B46877" w:rsidRDefault="001B08EB" w:rsidP="001B08EB">
            <w:pPr>
              <w:pStyle w:val="TAL"/>
              <w:rPr>
                <w:rFonts w:cs="Arial"/>
                <w:sz w:val="16"/>
                <w:szCs w:val="16"/>
              </w:rPr>
            </w:pPr>
            <w:r w:rsidRPr="00B46877">
              <w:rPr>
                <w:rFonts w:cs="Arial"/>
                <w:sz w:val="16"/>
                <w:szCs w:val="16"/>
              </w:rPr>
              <w:t>1023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98F5CC9"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E77738"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9D55DE9" w14:textId="77777777" w:rsidR="001B08EB" w:rsidRPr="00B46877" w:rsidRDefault="001B08EB" w:rsidP="001B08EB">
            <w:pPr>
              <w:pStyle w:val="TAL"/>
              <w:rPr>
                <w:sz w:val="16"/>
              </w:rPr>
            </w:pPr>
            <w:r w:rsidRPr="00B46877">
              <w:rPr>
                <w:sz w:val="16"/>
              </w:rPr>
              <w:t>Missing applicable features for TargetUeInformation data type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98080D3"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00680F1"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034047B7"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40BECC1"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868792" w14:textId="77777777" w:rsidR="001B08EB" w:rsidRPr="0040274B" w:rsidRDefault="001B08EB" w:rsidP="001B08EB">
            <w:pPr>
              <w:pStyle w:val="TAC"/>
              <w:rPr>
                <w:rFonts w:cs="Arial"/>
                <w:sz w:val="16"/>
                <w:szCs w:val="16"/>
              </w:rPr>
            </w:pPr>
            <w:r w:rsidRPr="0040274B">
              <w:rPr>
                <w:rFonts w:cs="Arial"/>
                <w:sz w:val="16"/>
                <w:szCs w:val="16"/>
              </w:rPr>
              <w:t>CP-250083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C0BEC9F" w14:textId="77777777" w:rsidR="001B08EB" w:rsidRPr="00B46877" w:rsidRDefault="001B08EB" w:rsidP="001B08EB">
            <w:pPr>
              <w:pStyle w:val="TAL"/>
              <w:rPr>
                <w:rFonts w:cs="Arial"/>
                <w:sz w:val="16"/>
                <w:szCs w:val="16"/>
              </w:rPr>
            </w:pPr>
            <w:r w:rsidRPr="00B46877">
              <w:rPr>
                <w:rFonts w:cs="Arial"/>
                <w:sz w:val="16"/>
                <w:szCs w:val="16"/>
              </w:rPr>
              <w:t>1024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81378D"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3CE102"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290D9D4" w14:textId="77777777" w:rsidR="001B08EB" w:rsidRPr="00B46877" w:rsidRDefault="001B08EB" w:rsidP="001B08EB">
            <w:pPr>
              <w:pStyle w:val="TAL"/>
              <w:rPr>
                <w:sz w:val="16"/>
              </w:rPr>
            </w:pPr>
            <w:r w:rsidRPr="00B46877">
              <w:rPr>
                <w:sz w:val="16"/>
              </w:rPr>
              <w:t>Enhancements on the signalling storm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A01542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C213FAC"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148D3B13"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20111D"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E3D3210"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CB65DC1" w14:textId="77777777" w:rsidR="001B08EB" w:rsidRPr="00B46877" w:rsidRDefault="001B08EB" w:rsidP="001B08EB">
            <w:pPr>
              <w:pStyle w:val="TAL"/>
              <w:rPr>
                <w:rFonts w:cs="Arial"/>
                <w:sz w:val="16"/>
                <w:szCs w:val="16"/>
              </w:rPr>
            </w:pPr>
            <w:r w:rsidRPr="00B46877">
              <w:rPr>
                <w:rFonts w:cs="Arial"/>
                <w:sz w:val="16"/>
                <w:szCs w:val="16"/>
              </w:rPr>
              <w:t>1027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37A9D9"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17BEA09"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9CE2D05" w14:textId="77777777" w:rsidR="001B08EB" w:rsidRPr="00B46877" w:rsidRDefault="001B08EB" w:rsidP="001B08EB">
            <w:pPr>
              <w:pStyle w:val="TAL"/>
              <w:rPr>
                <w:sz w:val="16"/>
              </w:rPr>
            </w:pPr>
            <w:r w:rsidRPr="00B46877">
              <w:rPr>
                <w:sz w:val="16"/>
              </w:rPr>
              <w:t>Enhancements on the EnModelProvision feature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5A1D2CF"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57FB4649"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72944F3F"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B112B5"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27761C" w14:textId="77777777" w:rsidR="001B08EB" w:rsidRPr="0040274B" w:rsidRDefault="001B08EB" w:rsidP="001B08EB">
            <w:pPr>
              <w:pStyle w:val="TAC"/>
              <w:rPr>
                <w:rFonts w:cs="Arial"/>
                <w:sz w:val="16"/>
                <w:szCs w:val="16"/>
              </w:rPr>
            </w:pPr>
            <w:r w:rsidRPr="0040274B">
              <w:rPr>
                <w:rFonts w:cs="Arial"/>
                <w:sz w:val="16"/>
                <w:szCs w:val="16"/>
              </w:rPr>
              <w:t>CP-250084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6EAC72B" w14:textId="77777777" w:rsidR="001B08EB" w:rsidRPr="00B46877" w:rsidRDefault="001B08EB" w:rsidP="001B08EB">
            <w:pPr>
              <w:pStyle w:val="TAL"/>
              <w:rPr>
                <w:rFonts w:cs="Arial"/>
                <w:sz w:val="16"/>
                <w:szCs w:val="16"/>
              </w:rPr>
            </w:pPr>
            <w:r w:rsidRPr="00B46877">
              <w:rPr>
                <w:rFonts w:cs="Arial"/>
                <w:sz w:val="16"/>
                <w:szCs w:val="16"/>
              </w:rPr>
              <w:t>1028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E7A2E6"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612912"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671775F" w14:textId="77777777" w:rsidR="001B08EB" w:rsidRPr="00B46877" w:rsidRDefault="001B08EB" w:rsidP="001B08EB">
            <w:pPr>
              <w:pStyle w:val="TAL"/>
              <w:rPr>
                <w:sz w:val="16"/>
              </w:rPr>
            </w:pPr>
            <w:r w:rsidRPr="00B46877">
              <w:rPr>
                <w:sz w:val="16"/>
              </w:rPr>
              <w:t>Support of processing instructions in the analytics aggregation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9FD5D91"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02E3C2C1"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5DC44AB7"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733369"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881052" w14:textId="77777777" w:rsidR="001B08EB" w:rsidRPr="0040274B" w:rsidRDefault="001B08EB" w:rsidP="001B08EB">
            <w:pPr>
              <w:pStyle w:val="TAC"/>
              <w:rPr>
                <w:rFonts w:cs="Arial"/>
                <w:sz w:val="16"/>
                <w:szCs w:val="16"/>
              </w:rPr>
            </w:pPr>
            <w:r w:rsidRPr="0040274B">
              <w:rPr>
                <w:rFonts w:cs="Arial"/>
                <w:sz w:val="16"/>
                <w:szCs w:val="16"/>
              </w:rPr>
              <w:t>CP-250092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2E6F713" w14:textId="77777777" w:rsidR="001B08EB" w:rsidRPr="00B46877" w:rsidRDefault="001B08EB" w:rsidP="001B08EB">
            <w:pPr>
              <w:pStyle w:val="TAL"/>
              <w:rPr>
                <w:rFonts w:cs="Arial"/>
                <w:sz w:val="16"/>
                <w:szCs w:val="16"/>
              </w:rPr>
            </w:pPr>
            <w:r w:rsidRPr="00B46877">
              <w:rPr>
                <w:rFonts w:cs="Arial"/>
                <w:sz w:val="16"/>
                <w:szCs w:val="16"/>
              </w:rPr>
              <w:t>1029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A17336"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9CDBA41" w14:textId="77777777" w:rsidR="001B08EB" w:rsidRPr="00B46877" w:rsidRDefault="001B08EB" w:rsidP="001B08EB">
            <w:pPr>
              <w:pStyle w:val="TAC"/>
              <w:rPr>
                <w:rFonts w:cs="Arial"/>
                <w:sz w:val="16"/>
                <w:szCs w:val="16"/>
              </w:rPr>
            </w:pPr>
            <w:r w:rsidRPr="00B46877">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46F2F13" w14:textId="77777777" w:rsidR="001B08EB" w:rsidRPr="00B46877" w:rsidRDefault="001B08EB" w:rsidP="001B08EB">
            <w:pPr>
              <w:pStyle w:val="TAL"/>
              <w:rPr>
                <w:sz w:val="16"/>
              </w:rPr>
            </w:pPr>
            <w:r w:rsidRPr="00B46877">
              <w:rPr>
                <w:sz w:val="16"/>
              </w:rPr>
              <w:t>Corrections and clarifications for Movement Behaviour analytics supporting list of UEs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86DAF1D"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6590EF7B"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76B32A12" w14:textId="77777777" w:rsidR="001B08EB" w:rsidRPr="00B46877" w:rsidRDefault="001B08EB" w:rsidP="001B08EB">
            <w:pPr>
              <w:pStyle w:val="TAC"/>
              <w:rPr>
                <w:rFonts w:cs="Arial"/>
                <w:sz w:val="16"/>
                <w:szCs w:val="16"/>
              </w:rPr>
            </w:pPr>
            <w:r w:rsidRPr="00B46877">
              <w:rPr>
                <w:rFonts w:cs="Arial"/>
                <w:sz w:val="16"/>
                <w:szCs w:val="16"/>
              </w:rPr>
              <w:lastRenderedPageBreak/>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61EB14"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843676" w14:textId="77777777" w:rsidR="001B08EB" w:rsidRPr="0040274B" w:rsidRDefault="001B08EB" w:rsidP="001B08EB">
            <w:pPr>
              <w:pStyle w:val="TAC"/>
              <w:rPr>
                <w:rFonts w:cs="Arial"/>
                <w:sz w:val="16"/>
                <w:szCs w:val="16"/>
              </w:rPr>
            </w:pPr>
            <w:r w:rsidRPr="0040274B">
              <w:rPr>
                <w:rFonts w:cs="Arial"/>
                <w:sz w:val="16"/>
                <w:szCs w:val="16"/>
              </w:rPr>
              <w:t>CP-250086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829F854" w14:textId="77777777" w:rsidR="001B08EB" w:rsidRPr="00B46877" w:rsidRDefault="001B08EB" w:rsidP="001B08EB">
            <w:pPr>
              <w:pStyle w:val="TAL"/>
              <w:rPr>
                <w:rFonts w:cs="Arial"/>
                <w:sz w:val="16"/>
                <w:szCs w:val="16"/>
              </w:rPr>
            </w:pPr>
            <w:r w:rsidRPr="00B46877">
              <w:rPr>
                <w:rFonts w:cs="Arial"/>
                <w:sz w:val="16"/>
                <w:szCs w:val="16"/>
              </w:rPr>
              <w:t>1030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D286F7B" w14:textId="77777777" w:rsidR="001B08EB" w:rsidRPr="00B46877" w:rsidRDefault="001B08EB" w:rsidP="001B08EB">
            <w:pPr>
              <w:pStyle w:val="TAR"/>
              <w:rPr>
                <w:rFonts w:cs="Arial"/>
                <w:sz w:val="16"/>
                <w:szCs w:val="16"/>
              </w:rPr>
            </w:pPr>
            <w:r w:rsidRPr="00B46877">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4987AB"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6E677A0" w14:textId="77777777" w:rsidR="001B08EB" w:rsidRPr="00B46877" w:rsidRDefault="001B08EB" w:rsidP="001B08EB">
            <w:pPr>
              <w:pStyle w:val="TAL"/>
              <w:rPr>
                <w:sz w:val="16"/>
              </w:rPr>
            </w:pPr>
            <w:r w:rsidRPr="00B46877">
              <w:rPr>
                <w:sz w:val="16"/>
              </w:rPr>
              <w:t>Corrections to the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287FA0E"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4FB4C83B"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04404064"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F2F5B9"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C9994B" w14:textId="77777777" w:rsidR="001B08EB" w:rsidRPr="0040274B" w:rsidRDefault="001B08EB" w:rsidP="001B08EB">
            <w:pPr>
              <w:pStyle w:val="TAC"/>
              <w:rPr>
                <w:rFonts w:cs="Arial"/>
                <w:sz w:val="16"/>
                <w:szCs w:val="16"/>
              </w:rPr>
            </w:pPr>
            <w:r w:rsidRPr="0040274B">
              <w:rPr>
                <w:rFonts w:cs="Arial"/>
                <w:sz w:val="16"/>
                <w:szCs w:val="16"/>
              </w:rPr>
              <w:t>CP-250086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F0A98FA" w14:textId="77777777" w:rsidR="001B08EB" w:rsidRPr="00B46877" w:rsidRDefault="001B08EB" w:rsidP="001B08EB">
            <w:pPr>
              <w:pStyle w:val="TAL"/>
              <w:rPr>
                <w:rFonts w:cs="Arial"/>
                <w:sz w:val="16"/>
                <w:szCs w:val="16"/>
              </w:rPr>
            </w:pPr>
            <w:r w:rsidRPr="00B46877">
              <w:rPr>
                <w:rFonts w:cs="Arial"/>
                <w:sz w:val="16"/>
                <w:szCs w:val="16"/>
              </w:rPr>
              <w:t>1031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49B9AA4"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0886E07"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CF1E453" w14:textId="77777777" w:rsidR="001B08EB" w:rsidRPr="00B46877" w:rsidRDefault="001B08EB" w:rsidP="001B08EB">
            <w:pPr>
              <w:pStyle w:val="TAL"/>
              <w:rPr>
                <w:sz w:val="16"/>
              </w:rPr>
            </w:pPr>
            <w:r w:rsidRPr="00B46877">
              <w:rPr>
                <w:sz w:val="16"/>
              </w:rPr>
              <w:t>Corrections to the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6D11F90"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B46877" w14:paraId="10AA27DA"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65724F15" w14:textId="77777777" w:rsidR="001B08EB" w:rsidRPr="00B46877"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D50B5B0" w14:textId="77777777" w:rsidR="001B08EB" w:rsidRPr="00B46877"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5711B4" w14:textId="77777777" w:rsidR="001B08EB" w:rsidRPr="0040274B" w:rsidRDefault="001B08EB" w:rsidP="001B08EB">
            <w:pPr>
              <w:pStyle w:val="TAC"/>
              <w:rPr>
                <w:rFonts w:cs="Arial"/>
                <w:sz w:val="16"/>
                <w:szCs w:val="16"/>
              </w:rPr>
            </w:pPr>
            <w:r w:rsidRPr="0040274B">
              <w:rPr>
                <w:rFonts w:cs="Arial"/>
                <w:sz w:val="16"/>
                <w:szCs w:val="16"/>
              </w:rPr>
              <w:t>CP-250086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34F0E77" w14:textId="77777777" w:rsidR="001B08EB" w:rsidRPr="00B46877" w:rsidRDefault="001B08EB" w:rsidP="001B08EB">
            <w:pPr>
              <w:pStyle w:val="TAL"/>
              <w:rPr>
                <w:rFonts w:cs="Arial"/>
                <w:sz w:val="16"/>
                <w:szCs w:val="16"/>
              </w:rPr>
            </w:pPr>
            <w:r w:rsidRPr="00B46877">
              <w:rPr>
                <w:rFonts w:cs="Arial"/>
                <w:sz w:val="16"/>
                <w:szCs w:val="16"/>
              </w:rPr>
              <w:t>1032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AEAD088" w14:textId="77777777" w:rsidR="001B08EB" w:rsidRPr="00B46877" w:rsidRDefault="001B08EB" w:rsidP="001B08EB">
            <w:pPr>
              <w:pStyle w:val="TAR"/>
              <w:rPr>
                <w:rFonts w:cs="Arial"/>
                <w:sz w:val="16"/>
                <w:szCs w:val="16"/>
              </w:rPr>
            </w:pPr>
            <w:r w:rsidRPr="00B46877">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D4EE16D" w14:textId="77777777" w:rsidR="001B08EB" w:rsidRPr="00B46877" w:rsidRDefault="001B08EB" w:rsidP="001B08EB">
            <w:pPr>
              <w:pStyle w:val="TAC"/>
              <w:rPr>
                <w:rFonts w:cs="Arial"/>
                <w:sz w:val="16"/>
                <w:szCs w:val="16"/>
              </w:rPr>
            </w:pPr>
            <w:r w:rsidRPr="00B46877">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62ADB47" w14:textId="77777777" w:rsidR="001B08EB" w:rsidRPr="00B46877" w:rsidRDefault="001B08EB" w:rsidP="001B08EB">
            <w:pPr>
              <w:pStyle w:val="TAL"/>
              <w:rPr>
                <w:sz w:val="16"/>
              </w:rPr>
            </w:pPr>
            <w:r w:rsidRPr="00B46877">
              <w:rPr>
                <w:sz w:val="16"/>
              </w:rPr>
              <w:t>Corrections to the Nnwdaf_MLModelTraining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52B13F9" w14:textId="77777777" w:rsidR="001B08EB" w:rsidRPr="00B46877" w:rsidRDefault="001B08EB" w:rsidP="001B08EB">
            <w:pPr>
              <w:pStyle w:val="TAC"/>
              <w:rPr>
                <w:sz w:val="16"/>
                <w:szCs w:val="16"/>
                <w:lang w:eastAsia="zh-CN"/>
              </w:rPr>
            </w:pPr>
            <w:r w:rsidRPr="00795230">
              <w:rPr>
                <w:sz w:val="16"/>
                <w:szCs w:val="16"/>
                <w:lang w:eastAsia="zh-CN"/>
              </w:rPr>
              <w:t>19.2.0</w:t>
            </w:r>
          </w:p>
        </w:tc>
      </w:tr>
      <w:tr w:rsidR="001B08EB" w:rsidRPr="00336A0C" w14:paraId="0E4AD232"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6AC79B5A" w14:textId="77777777" w:rsidR="001B08EB" w:rsidRPr="00336A0C" w:rsidRDefault="001B08EB" w:rsidP="001B08EB">
            <w:pPr>
              <w:pStyle w:val="TAC"/>
              <w:rPr>
                <w:rFonts w:cs="Arial"/>
                <w:sz w:val="16"/>
                <w:szCs w:val="16"/>
              </w:rPr>
            </w:pPr>
            <w:r w:rsidRPr="00B46877">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69FBEA4" w14:textId="77777777" w:rsidR="001B08EB" w:rsidRPr="00336A0C" w:rsidRDefault="001B08EB" w:rsidP="001B08EB">
            <w:pPr>
              <w:pStyle w:val="TAC"/>
              <w:rPr>
                <w:rFonts w:cs="Arial"/>
                <w:sz w:val="16"/>
                <w:szCs w:val="16"/>
              </w:rPr>
            </w:pPr>
            <w:r w:rsidRPr="00B46877">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13F45" w14:textId="77777777" w:rsidR="001B08EB" w:rsidRPr="0040274B" w:rsidRDefault="001B08EB" w:rsidP="001B08EB">
            <w:pPr>
              <w:pStyle w:val="TAC"/>
              <w:rPr>
                <w:rFonts w:cs="Arial"/>
                <w:sz w:val="16"/>
                <w:szCs w:val="16"/>
              </w:rPr>
            </w:pPr>
            <w:r w:rsidRPr="0040274B">
              <w:rPr>
                <w:rFonts w:cs="Arial"/>
                <w:sz w:val="16"/>
                <w:szCs w:val="16"/>
              </w:rPr>
              <w:t>CP-250129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2C4FB8D" w14:textId="77777777" w:rsidR="001B08EB" w:rsidRPr="00336A0C" w:rsidRDefault="001B08EB" w:rsidP="001B08EB">
            <w:pPr>
              <w:pStyle w:val="TAL"/>
              <w:rPr>
                <w:rFonts w:cs="Arial"/>
                <w:sz w:val="16"/>
                <w:szCs w:val="16"/>
              </w:rPr>
            </w:pPr>
            <w:r>
              <w:rPr>
                <w:rFonts w:cs="Arial"/>
                <w:sz w:val="16"/>
                <w:szCs w:val="16"/>
              </w:rPr>
              <w:t>1040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9F346FC" w14:textId="77777777" w:rsidR="001B08EB" w:rsidRPr="00336A0C" w:rsidRDefault="001B08EB" w:rsidP="001B08EB">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4F70791" w14:textId="77777777" w:rsidR="001B08EB" w:rsidRPr="00336A0C" w:rsidRDefault="001B08EB" w:rsidP="001B08EB">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3EA0D3B" w14:textId="77777777" w:rsidR="001B08EB" w:rsidRPr="00336A0C" w:rsidRDefault="001B08EB" w:rsidP="001B08EB">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50A7C2E" w14:textId="77777777" w:rsidR="001B08EB" w:rsidRPr="00336A0C" w:rsidRDefault="001B08EB" w:rsidP="001B08EB">
            <w:pPr>
              <w:pStyle w:val="TAC"/>
              <w:rPr>
                <w:sz w:val="16"/>
                <w:szCs w:val="16"/>
                <w:lang w:eastAsia="zh-CN"/>
              </w:rPr>
            </w:pPr>
            <w:r w:rsidRPr="00795230">
              <w:rPr>
                <w:sz w:val="16"/>
                <w:szCs w:val="16"/>
                <w:lang w:eastAsia="zh-CN"/>
              </w:rPr>
              <w:t>19.2.0</w:t>
            </w:r>
          </w:p>
        </w:tc>
      </w:tr>
      <w:tr w:rsidR="00384870" w:rsidRPr="00336A0C" w14:paraId="5D4F2BC1" w14:textId="77777777" w:rsidTr="0040274B">
        <w:tc>
          <w:tcPr>
            <w:tcW w:w="796" w:type="dxa"/>
            <w:tcBorders>
              <w:top w:val="single" w:sz="6" w:space="0" w:color="auto"/>
              <w:left w:val="single" w:sz="6" w:space="0" w:color="auto"/>
              <w:bottom w:val="single" w:sz="6" w:space="0" w:color="auto"/>
              <w:right w:val="single" w:sz="6" w:space="0" w:color="auto"/>
            </w:tcBorders>
            <w:shd w:val="solid" w:color="FFFFFF" w:fill="auto"/>
          </w:tcPr>
          <w:p w14:paraId="676E87B4" w14:textId="77777777" w:rsidR="00384870" w:rsidRPr="00B46877" w:rsidRDefault="00384870" w:rsidP="001B08EB">
            <w:pPr>
              <w:pStyle w:val="TAC"/>
              <w:rPr>
                <w:rFonts w:cs="Arial"/>
                <w:sz w:val="16"/>
                <w:szCs w:val="16"/>
              </w:rPr>
            </w:pPr>
            <w:r>
              <w:rPr>
                <w:rFonts w:cs="Arial"/>
                <w:sz w:val="16"/>
                <w:szCs w:val="16"/>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58DF6E" w14:textId="77777777" w:rsidR="00384870" w:rsidRPr="00B46877" w:rsidRDefault="00384870" w:rsidP="001B08EB">
            <w:pPr>
              <w:pStyle w:val="TAC"/>
              <w:rPr>
                <w:rFonts w:cs="Arial"/>
                <w:sz w:val="16"/>
                <w:szCs w:val="16"/>
              </w:rPr>
            </w:pPr>
            <w:r>
              <w:rPr>
                <w:rFonts w:cs="Arial"/>
                <w:sz w:val="16"/>
                <w:szCs w:val="16"/>
              </w:rPr>
              <w:t>CT#107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804D09" w14:textId="77777777" w:rsidR="00384870" w:rsidRPr="0040274B" w:rsidRDefault="00384870" w:rsidP="001B08EB">
            <w:pPr>
              <w:pStyle w:val="TAC"/>
              <w:rPr>
                <w:rFonts w:cs="Arial"/>
                <w:sz w:val="16"/>
                <w:szCs w:val="16"/>
              </w:rPr>
            </w:pP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7183673" w14:textId="77777777" w:rsidR="00384870" w:rsidRDefault="00384870" w:rsidP="001B08EB">
            <w:pPr>
              <w:pStyle w:val="TAL"/>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6EDADFF" w14:textId="77777777" w:rsidR="00384870" w:rsidRPr="00336A0C" w:rsidRDefault="00384870" w:rsidP="001B08EB">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738EFC4" w14:textId="77777777" w:rsidR="00384870" w:rsidRDefault="00384870" w:rsidP="001B08EB">
            <w:pPr>
              <w:pStyle w:val="TAC"/>
              <w:rPr>
                <w:rFonts w:cs="Arial"/>
                <w:sz w:val="16"/>
                <w:szCs w:val="16"/>
              </w:rPr>
            </w:pP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E533421" w14:textId="77777777" w:rsidR="00384870" w:rsidRDefault="00384870" w:rsidP="001B08EB">
            <w:pPr>
              <w:pStyle w:val="TAL"/>
              <w:rPr>
                <w:sz w:val="16"/>
              </w:rPr>
            </w:pPr>
            <w:r>
              <w:rPr>
                <w:sz w:val="16"/>
              </w:rPr>
              <w:t xml:space="preserve">Corrects missing newline in line 3760 of </w:t>
            </w:r>
            <w:r w:rsidRPr="00384870">
              <w:rPr>
                <w:sz w:val="16"/>
              </w:rPr>
              <w:t>TS29520_Nnwdaf_EventsSubscription.yaml</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903AEA1" w14:textId="77777777" w:rsidR="00384870" w:rsidRPr="00795230" w:rsidRDefault="00384870" w:rsidP="001B08EB">
            <w:pPr>
              <w:pStyle w:val="TAC"/>
              <w:rPr>
                <w:sz w:val="16"/>
                <w:szCs w:val="16"/>
                <w:lang w:eastAsia="zh-CN"/>
              </w:rPr>
            </w:pPr>
            <w:r>
              <w:rPr>
                <w:sz w:val="16"/>
                <w:szCs w:val="16"/>
                <w:lang w:eastAsia="zh-CN"/>
              </w:rPr>
              <w:t>19.2.1</w:t>
            </w:r>
          </w:p>
        </w:tc>
      </w:tr>
      <w:tr w:rsidR="00F12F72" w:rsidRPr="00F12F72" w14:paraId="7AA185D8"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414E8014"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94477E"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87B0E0" w14:textId="77777777" w:rsidR="00F12F72" w:rsidRPr="00F12F72" w:rsidRDefault="00F12F72" w:rsidP="00F12F72">
            <w:pPr>
              <w:pStyle w:val="TAC"/>
              <w:rPr>
                <w:rFonts w:cs="Arial"/>
                <w:sz w:val="16"/>
                <w:szCs w:val="16"/>
              </w:rPr>
            </w:pPr>
            <w:r w:rsidRPr="00F12F72">
              <w:rPr>
                <w:rFonts w:cs="Arial"/>
                <w:sz w:val="16"/>
                <w:szCs w:val="16"/>
              </w:rPr>
              <w:t>C3-252516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A993DD8" w14:textId="77777777" w:rsidR="00F12F72" w:rsidRPr="00F12F72" w:rsidRDefault="00F12F72" w:rsidP="00F12F72">
            <w:pPr>
              <w:pStyle w:val="TAL"/>
              <w:rPr>
                <w:rFonts w:cs="Arial"/>
                <w:sz w:val="16"/>
                <w:szCs w:val="16"/>
              </w:rPr>
            </w:pPr>
            <w:r w:rsidRPr="00F12F72">
              <w:rPr>
                <w:rFonts w:cs="Arial"/>
                <w:sz w:val="16"/>
                <w:szCs w:val="16"/>
              </w:rPr>
              <w:t>1017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3E65159" w14:textId="77777777" w:rsidR="00F12F72" w:rsidRPr="00F12F72" w:rsidRDefault="00F12F72" w:rsidP="00F12F72">
            <w:pPr>
              <w:pStyle w:val="TAR"/>
              <w:rPr>
                <w:rFonts w:cs="Arial"/>
                <w:sz w:val="16"/>
                <w:szCs w:val="16"/>
              </w:rPr>
            </w:pPr>
            <w:r w:rsidRPr="00F12F72">
              <w:rPr>
                <w:rFonts w:cs="Arial"/>
                <w:sz w:val="16"/>
                <w:szCs w:val="16"/>
              </w:rPr>
              <w:t>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5CBB7EC"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35BA47D" w14:textId="77777777" w:rsidR="00F12F72" w:rsidRPr="00F12F72" w:rsidRDefault="00F12F72" w:rsidP="00F12F72">
            <w:pPr>
              <w:pStyle w:val="TAL"/>
              <w:rPr>
                <w:sz w:val="16"/>
              </w:rPr>
            </w:pPr>
            <w:r w:rsidRPr="00F12F72">
              <w:rPr>
                <w:sz w:val="16"/>
              </w:rPr>
              <w:t>QoS and Policy Assistance Analytics in Nnwdaf_EventsSubscription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DC21B63"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191F29C4"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2198AA5A"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CC1456"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3518AF" w14:textId="77777777" w:rsidR="00F12F72" w:rsidRPr="00F12F72" w:rsidRDefault="00F12F72" w:rsidP="00F12F72">
            <w:pPr>
              <w:pStyle w:val="TAC"/>
              <w:rPr>
                <w:rFonts w:cs="Arial"/>
                <w:sz w:val="16"/>
                <w:szCs w:val="16"/>
              </w:rPr>
            </w:pPr>
            <w:r w:rsidRPr="00F12F72">
              <w:rPr>
                <w:rFonts w:cs="Arial"/>
                <w:sz w:val="16"/>
                <w:szCs w:val="16"/>
              </w:rPr>
              <w:t>C3-251587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800CBB7" w14:textId="77777777" w:rsidR="00F12F72" w:rsidRPr="00F12F72" w:rsidRDefault="00F12F72" w:rsidP="00F12F72">
            <w:pPr>
              <w:pStyle w:val="TAL"/>
              <w:rPr>
                <w:rFonts w:cs="Arial"/>
                <w:sz w:val="16"/>
                <w:szCs w:val="16"/>
              </w:rPr>
            </w:pPr>
            <w:r w:rsidRPr="00F12F72">
              <w:rPr>
                <w:rFonts w:cs="Arial"/>
                <w:sz w:val="16"/>
                <w:szCs w:val="16"/>
              </w:rPr>
              <w:t>1045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193F2AA"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3D12CA9"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AB457B" w14:textId="77777777" w:rsidR="00F12F72" w:rsidRPr="00F12F72" w:rsidRDefault="00F12F72" w:rsidP="00F12F72">
            <w:pPr>
              <w:pStyle w:val="TAL"/>
              <w:rPr>
                <w:sz w:val="16"/>
              </w:rPr>
            </w:pPr>
            <w:r w:rsidRPr="00F12F72">
              <w:rPr>
                <w:sz w:val="16"/>
              </w:rPr>
              <w:t>E2eDataVolTransTimePerUe Update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79563B6"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5502CDD6"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5B920637"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0546CC"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79B948" w14:textId="77777777" w:rsidR="00F12F72" w:rsidRPr="00F12F72" w:rsidRDefault="00F12F72" w:rsidP="00F12F72">
            <w:pPr>
              <w:pStyle w:val="TAC"/>
              <w:rPr>
                <w:rFonts w:cs="Arial"/>
                <w:sz w:val="16"/>
                <w:szCs w:val="16"/>
              </w:rPr>
            </w:pPr>
            <w:r w:rsidRPr="00F12F72">
              <w:rPr>
                <w:rFonts w:cs="Arial"/>
                <w:sz w:val="16"/>
                <w:szCs w:val="16"/>
              </w:rPr>
              <w:t>C3-252549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5C5C955" w14:textId="77777777" w:rsidR="00F12F72" w:rsidRPr="00F12F72" w:rsidRDefault="00F12F72" w:rsidP="00F12F72">
            <w:pPr>
              <w:pStyle w:val="TAL"/>
              <w:rPr>
                <w:rFonts w:cs="Arial"/>
                <w:sz w:val="16"/>
                <w:szCs w:val="16"/>
              </w:rPr>
            </w:pPr>
            <w:r w:rsidRPr="00F12F72">
              <w:rPr>
                <w:rFonts w:cs="Arial"/>
                <w:sz w:val="16"/>
                <w:szCs w:val="16"/>
              </w:rPr>
              <w:t>1046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FC9BB57" w14:textId="77777777" w:rsidR="00F12F72" w:rsidRPr="00F12F72" w:rsidRDefault="00F12F72" w:rsidP="00F12F72">
            <w:pPr>
              <w:pStyle w:val="TAR"/>
              <w:rPr>
                <w:rFonts w:cs="Arial"/>
                <w:sz w:val="16"/>
                <w:szCs w:val="16"/>
              </w:rPr>
            </w:pPr>
            <w:r w:rsidRPr="00F12F72">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924BD04"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1741613" w14:textId="77777777" w:rsidR="00F12F72" w:rsidRPr="00F12F72" w:rsidRDefault="00F12F72" w:rsidP="00F12F72">
            <w:pPr>
              <w:pStyle w:val="TAL"/>
              <w:rPr>
                <w:sz w:val="16"/>
              </w:rPr>
            </w:pPr>
            <w:r w:rsidRPr="00F12F72">
              <w:rPr>
                <w:sz w:val="16"/>
              </w:rPr>
              <w:t>VFLTraining API service operation descriptions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D7FA5A6"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44A17974"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679F6062"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841810A"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005CFC" w14:textId="77777777" w:rsidR="00F12F72" w:rsidRPr="00F12F72" w:rsidRDefault="00F12F72" w:rsidP="00F12F72">
            <w:pPr>
              <w:pStyle w:val="TAC"/>
              <w:rPr>
                <w:rFonts w:cs="Arial"/>
                <w:sz w:val="16"/>
                <w:szCs w:val="16"/>
              </w:rPr>
            </w:pPr>
            <w:r w:rsidRPr="00F12F72">
              <w:rPr>
                <w:rFonts w:cs="Arial"/>
                <w:sz w:val="16"/>
                <w:szCs w:val="16"/>
              </w:rPr>
              <w:t>C3-251588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CFC0F29" w14:textId="77777777" w:rsidR="00F12F72" w:rsidRPr="00F12F72" w:rsidRDefault="00F12F72" w:rsidP="00F12F72">
            <w:pPr>
              <w:pStyle w:val="TAL"/>
              <w:rPr>
                <w:rFonts w:cs="Arial"/>
                <w:sz w:val="16"/>
                <w:szCs w:val="16"/>
              </w:rPr>
            </w:pPr>
            <w:r w:rsidRPr="00F12F72">
              <w:rPr>
                <w:rFonts w:cs="Arial"/>
                <w:sz w:val="16"/>
                <w:szCs w:val="16"/>
              </w:rPr>
              <w:t>1049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CDE42AE"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5B0DC30"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CFBE225" w14:textId="77777777" w:rsidR="00F12F72" w:rsidRPr="00F12F72" w:rsidRDefault="00F12F72" w:rsidP="00F12F72">
            <w:pPr>
              <w:pStyle w:val="TAL"/>
              <w:rPr>
                <w:sz w:val="16"/>
              </w:rPr>
            </w:pPr>
            <w:r w:rsidRPr="00F12F72">
              <w:rPr>
                <w:sz w:val="16"/>
              </w:rPr>
              <w:t>Wrong network area descriptions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61F94EF"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2705DEA0"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01BD2ED0"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9829B"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D4521F" w14:textId="77777777" w:rsidR="00F12F72" w:rsidRPr="00F12F72" w:rsidRDefault="00F12F72" w:rsidP="00F12F72">
            <w:pPr>
              <w:pStyle w:val="TAC"/>
              <w:rPr>
                <w:rFonts w:cs="Arial"/>
                <w:sz w:val="16"/>
                <w:szCs w:val="16"/>
              </w:rPr>
            </w:pPr>
            <w:r w:rsidRPr="00F12F72">
              <w:rPr>
                <w:rFonts w:cs="Arial"/>
                <w:sz w:val="16"/>
                <w:szCs w:val="16"/>
              </w:rPr>
              <w:t>C3-251589</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705F499F" w14:textId="77777777" w:rsidR="00F12F72" w:rsidRPr="00F12F72" w:rsidRDefault="00F12F72" w:rsidP="00F12F72">
            <w:pPr>
              <w:pStyle w:val="TAL"/>
              <w:rPr>
                <w:rFonts w:cs="Arial"/>
                <w:sz w:val="16"/>
                <w:szCs w:val="16"/>
              </w:rPr>
            </w:pPr>
            <w:r w:rsidRPr="00F12F72">
              <w:rPr>
                <w:rFonts w:cs="Arial"/>
                <w:sz w:val="16"/>
                <w:szCs w:val="16"/>
              </w:rPr>
              <w:t>1050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2985B37"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F00998"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8AD0A67" w14:textId="77777777" w:rsidR="00F12F72" w:rsidRPr="00F12F72" w:rsidRDefault="00F12F72" w:rsidP="00F12F72">
            <w:pPr>
              <w:pStyle w:val="TAL"/>
              <w:rPr>
                <w:sz w:val="16"/>
              </w:rPr>
            </w:pPr>
            <w:r w:rsidRPr="00F12F72">
              <w:rPr>
                <w:sz w:val="16"/>
              </w:rPr>
              <w:t>QoS Sustainability thresholds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174C065"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58165AFD"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273A6463"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629EFA7"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DB8A4D" w14:textId="77777777" w:rsidR="00F12F72" w:rsidRPr="00F12F72" w:rsidRDefault="00F12F72" w:rsidP="00F12F72">
            <w:pPr>
              <w:pStyle w:val="TAC"/>
              <w:rPr>
                <w:rFonts w:cs="Arial"/>
                <w:sz w:val="16"/>
                <w:szCs w:val="16"/>
              </w:rPr>
            </w:pPr>
            <w:r w:rsidRPr="00F12F72">
              <w:rPr>
                <w:rFonts w:cs="Arial"/>
                <w:sz w:val="16"/>
                <w:szCs w:val="16"/>
              </w:rPr>
              <w:t>C3-251225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E555B07" w14:textId="77777777" w:rsidR="00F12F72" w:rsidRPr="00F12F72" w:rsidRDefault="00F12F72" w:rsidP="00F12F72">
            <w:pPr>
              <w:pStyle w:val="TAL"/>
              <w:rPr>
                <w:rFonts w:cs="Arial"/>
                <w:sz w:val="16"/>
                <w:szCs w:val="16"/>
              </w:rPr>
            </w:pPr>
            <w:r w:rsidRPr="00F12F72">
              <w:rPr>
                <w:rFonts w:cs="Arial"/>
                <w:sz w:val="16"/>
                <w:szCs w:val="16"/>
              </w:rPr>
              <w:t>1052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B91F815" w14:textId="77777777" w:rsidR="00F12F72" w:rsidRPr="00F12F72" w:rsidRDefault="00F12F72" w:rsidP="00F12F72">
            <w:pPr>
              <w:pStyle w:val="TAR"/>
              <w:rPr>
                <w:rFonts w:cs="Arial"/>
                <w:sz w:val="16"/>
                <w:szCs w:val="16"/>
              </w:rPr>
            </w:pPr>
            <w:r w:rsidRPr="00F12F72">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9E6FD9E"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D9C74E2" w14:textId="77777777" w:rsidR="00F12F72" w:rsidRPr="00F12F72" w:rsidRDefault="00F12F72" w:rsidP="00F12F72">
            <w:pPr>
              <w:pStyle w:val="TAL"/>
              <w:rPr>
                <w:sz w:val="16"/>
              </w:rPr>
            </w:pPr>
            <w:r w:rsidRPr="00F12F72">
              <w:rPr>
                <w:sz w:val="16"/>
              </w:rPr>
              <w:t>Clarification on cause NF for Nnwdaf_AnalyticsInfo Service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63CDDD1"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0D9294F1"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6CAD815C"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748A460"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D6DDC1" w14:textId="77777777" w:rsidR="00F12F72" w:rsidRPr="00F12F72" w:rsidRDefault="00F12F72" w:rsidP="00F12F72">
            <w:pPr>
              <w:pStyle w:val="TAC"/>
              <w:rPr>
                <w:rFonts w:cs="Arial"/>
                <w:sz w:val="16"/>
                <w:szCs w:val="16"/>
              </w:rPr>
            </w:pPr>
            <w:r w:rsidRPr="00F12F72">
              <w:rPr>
                <w:rFonts w:cs="Arial"/>
                <w:sz w:val="16"/>
                <w:szCs w:val="16"/>
              </w:rPr>
              <w:t>C3-251647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605F7A7" w14:textId="77777777" w:rsidR="00F12F72" w:rsidRPr="00F12F72" w:rsidRDefault="00F12F72" w:rsidP="00F12F72">
            <w:pPr>
              <w:pStyle w:val="TAL"/>
              <w:rPr>
                <w:rFonts w:cs="Arial"/>
                <w:sz w:val="16"/>
                <w:szCs w:val="16"/>
              </w:rPr>
            </w:pPr>
            <w:r w:rsidRPr="00F12F72">
              <w:rPr>
                <w:rFonts w:cs="Arial"/>
                <w:sz w:val="16"/>
                <w:szCs w:val="16"/>
              </w:rPr>
              <w:t>1057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DFA8089"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E21CA74"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160B74D" w14:textId="77777777" w:rsidR="00F12F72" w:rsidRPr="00F12F72" w:rsidRDefault="00F12F72" w:rsidP="00F12F72">
            <w:pPr>
              <w:pStyle w:val="TAL"/>
              <w:rPr>
                <w:sz w:val="16"/>
              </w:rPr>
            </w:pPr>
            <w:r w:rsidRPr="00F12F72">
              <w:rPr>
                <w:sz w:val="16"/>
              </w:rPr>
              <w:t>Support of QoS and Policy Assistance Analytics for Nnwdaf_AnalyticsInfo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6650C38"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466AB359"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4B6897CC"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6945A6F"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5E0854" w14:textId="77777777" w:rsidR="00F12F72" w:rsidRPr="00F12F72" w:rsidRDefault="00F12F72" w:rsidP="00F12F72">
            <w:pPr>
              <w:pStyle w:val="TAC"/>
              <w:rPr>
                <w:rFonts w:cs="Arial"/>
                <w:sz w:val="16"/>
                <w:szCs w:val="16"/>
              </w:rPr>
            </w:pPr>
            <w:r w:rsidRPr="00F12F72">
              <w:rPr>
                <w:rFonts w:cs="Arial"/>
                <w:sz w:val="16"/>
                <w:szCs w:val="16"/>
              </w:rPr>
              <w:t>C3-251668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672343E" w14:textId="77777777" w:rsidR="00F12F72" w:rsidRPr="00F12F72" w:rsidRDefault="00F12F72" w:rsidP="00F12F72">
            <w:pPr>
              <w:pStyle w:val="TAL"/>
              <w:rPr>
                <w:rFonts w:cs="Arial"/>
                <w:sz w:val="16"/>
                <w:szCs w:val="16"/>
              </w:rPr>
            </w:pPr>
            <w:r w:rsidRPr="00F12F72">
              <w:rPr>
                <w:rFonts w:cs="Arial"/>
                <w:sz w:val="16"/>
                <w:szCs w:val="16"/>
              </w:rPr>
              <w:t>1058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64AEB12" w14:textId="77777777" w:rsidR="00F12F72" w:rsidRPr="00F12F72" w:rsidRDefault="00F12F72" w:rsidP="00F12F72">
            <w:pPr>
              <w:pStyle w:val="TAR"/>
              <w:rPr>
                <w:rFonts w:cs="Arial"/>
                <w:sz w:val="16"/>
                <w:szCs w:val="16"/>
              </w:rPr>
            </w:pPr>
            <w:r w:rsidRPr="00F12F72">
              <w:rPr>
                <w:rFonts w:cs="Arial"/>
                <w:sz w:val="16"/>
                <w:szCs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328BC07"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CC20BA5" w14:textId="77777777" w:rsidR="00F12F72" w:rsidRPr="00F12F72" w:rsidRDefault="00F12F72" w:rsidP="00F12F72">
            <w:pPr>
              <w:pStyle w:val="TAL"/>
              <w:rPr>
                <w:sz w:val="16"/>
              </w:rPr>
            </w:pPr>
            <w:r w:rsidRPr="00F12F72">
              <w:rPr>
                <w:sz w:val="16"/>
              </w:rPr>
              <w:t>Enhancements on the analytics context transfer procedure to support ML model ID</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B458E23"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6766FE70"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066F46FC"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02E95E"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FA159" w14:textId="77777777" w:rsidR="00F12F72" w:rsidRPr="00F12F72" w:rsidRDefault="00F12F72" w:rsidP="00F12F72">
            <w:pPr>
              <w:pStyle w:val="TAC"/>
              <w:rPr>
                <w:rFonts w:cs="Arial"/>
                <w:sz w:val="16"/>
                <w:szCs w:val="16"/>
              </w:rPr>
            </w:pPr>
            <w:r w:rsidRPr="00F12F72">
              <w:rPr>
                <w:rFonts w:cs="Arial"/>
                <w:sz w:val="16"/>
                <w:szCs w:val="16"/>
              </w:rPr>
              <w:t>C3-251591</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A9DCA3F" w14:textId="77777777" w:rsidR="00F12F72" w:rsidRPr="00F12F72" w:rsidRDefault="00F12F72" w:rsidP="00F12F72">
            <w:pPr>
              <w:pStyle w:val="TAL"/>
              <w:rPr>
                <w:rFonts w:cs="Arial"/>
                <w:sz w:val="16"/>
                <w:szCs w:val="16"/>
              </w:rPr>
            </w:pPr>
            <w:r w:rsidRPr="00F12F72">
              <w:rPr>
                <w:rFonts w:cs="Arial"/>
                <w:sz w:val="16"/>
                <w:szCs w:val="16"/>
              </w:rPr>
              <w:t>1059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64907B"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7077DFF"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5798C22" w14:textId="77777777" w:rsidR="00F12F72" w:rsidRPr="00F12F72" w:rsidRDefault="00F12F72" w:rsidP="00F12F72">
            <w:pPr>
              <w:pStyle w:val="TAL"/>
              <w:rPr>
                <w:sz w:val="16"/>
              </w:rPr>
            </w:pPr>
            <w:r w:rsidRPr="00F12F72">
              <w:rPr>
                <w:sz w:val="16"/>
              </w:rPr>
              <w:t>Support of the consumer information of the ML model</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301CECB"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2CCC27FC"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753BED78"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7120C2F"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6A16A8" w14:textId="77777777" w:rsidR="00F12F72" w:rsidRPr="00F12F72" w:rsidRDefault="00F12F72" w:rsidP="00F12F72">
            <w:pPr>
              <w:pStyle w:val="TAC"/>
              <w:rPr>
                <w:rFonts w:cs="Arial"/>
                <w:sz w:val="16"/>
                <w:szCs w:val="16"/>
              </w:rPr>
            </w:pPr>
            <w:r w:rsidRPr="00F12F72">
              <w:rPr>
                <w:rFonts w:cs="Arial"/>
                <w:sz w:val="16"/>
                <w:szCs w:val="16"/>
              </w:rPr>
              <w:t>C3-251356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2F3EB9F" w14:textId="77777777" w:rsidR="00F12F72" w:rsidRPr="00F12F72" w:rsidRDefault="00F12F72" w:rsidP="00F12F72">
            <w:pPr>
              <w:pStyle w:val="TAL"/>
              <w:rPr>
                <w:rFonts w:cs="Arial"/>
                <w:sz w:val="16"/>
                <w:szCs w:val="16"/>
              </w:rPr>
            </w:pPr>
            <w:r w:rsidRPr="00F12F72">
              <w:rPr>
                <w:rFonts w:cs="Arial"/>
                <w:sz w:val="16"/>
                <w:szCs w:val="16"/>
              </w:rPr>
              <w:t>1061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A2FC45" w14:textId="77777777" w:rsidR="00F12F72" w:rsidRPr="00F12F72" w:rsidRDefault="00F12F72" w:rsidP="00F12F72">
            <w:pPr>
              <w:pStyle w:val="TAR"/>
              <w:rPr>
                <w:rFonts w:cs="Arial"/>
                <w:sz w:val="16"/>
                <w:szCs w:val="16"/>
              </w:rPr>
            </w:pPr>
            <w:r w:rsidRPr="00F12F72">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1B49DCF"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916F79F" w14:textId="77777777" w:rsidR="00F12F72" w:rsidRPr="00F12F72" w:rsidRDefault="00F12F72" w:rsidP="00F12F72">
            <w:pPr>
              <w:pStyle w:val="TAL"/>
              <w:rPr>
                <w:sz w:val="16"/>
              </w:rPr>
            </w:pPr>
            <w:r w:rsidRPr="00F12F72">
              <w:rPr>
                <w:sz w:val="16"/>
              </w:rPr>
              <w:t>Correction to AnalyticsContextIdentifier</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1267E68"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4C4912AD"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2F26BDF9"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52C19C"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DA7ACE" w14:textId="77777777" w:rsidR="00F12F72" w:rsidRPr="00F12F72" w:rsidRDefault="00F12F72" w:rsidP="00F12F72">
            <w:pPr>
              <w:pStyle w:val="TAC"/>
              <w:rPr>
                <w:rFonts w:cs="Arial"/>
                <w:sz w:val="16"/>
                <w:szCs w:val="16"/>
              </w:rPr>
            </w:pPr>
            <w:r w:rsidRPr="00F12F72">
              <w:rPr>
                <w:rFonts w:cs="Arial"/>
                <w:sz w:val="16"/>
                <w:szCs w:val="16"/>
              </w:rPr>
              <w:t>C3-251357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1A5F181" w14:textId="77777777" w:rsidR="00F12F72" w:rsidRPr="00F12F72" w:rsidRDefault="00F12F72" w:rsidP="00F12F72">
            <w:pPr>
              <w:pStyle w:val="TAL"/>
              <w:rPr>
                <w:rFonts w:cs="Arial"/>
                <w:sz w:val="16"/>
                <w:szCs w:val="16"/>
              </w:rPr>
            </w:pPr>
            <w:r w:rsidRPr="00F12F72">
              <w:rPr>
                <w:rFonts w:cs="Arial"/>
                <w:sz w:val="16"/>
                <w:szCs w:val="16"/>
              </w:rPr>
              <w:t>1062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2E8BFA" w14:textId="77777777" w:rsidR="00F12F72" w:rsidRPr="00F12F72" w:rsidRDefault="00F12F72" w:rsidP="00F12F72">
            <w:pPr>
              <w:pStyle w:val="TAR"/>
              <w:rPr>
                <w:rFonts w:cs="Arial"/>
                <w:sz w:val="16"/>
                <w:szCs w:val="16"/>
              </w:rPr>
            </w:pPr>
            <w:r w:rsidRPr="00F12F72">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BCAC71"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B3054D9" w14:textId="77777777" w:rsidR="00F12F72" w:rsidRPr="00F12F72" w:rsidRDefault="00F12F72" w:rsidP="00F12F72">
            <w:pPr>
              <w:pStyle w:val="TAL"/>
              <w:rPr>
                <w:sz w:val="16"/>
              </w:rPr>
            </w:pPr>
            <w:r w:rsidRPr="00F12F72">
              <w:rPr>
                <w:sz w:val="16"/>
              </w:rPr>
              <w:t>Corrections to NWDAF Analytics Data Model General clauses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833F4F5"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0501295D"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2A5E4F1D"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0DE452"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2FD275B" w14:textId="77777777" w:rsidR="00F12F72" w:rsidRPr="00F12F72" w:rsidRDefault="00F12F72" w:rsidP="00F12F72">
            <w:pPr>
              <w:pStyle w:val="TAC"/>
              <w:rPr>
                <w:rFonts w:cs="Arial"/>
                <w:sz w:val="16"/>
                <w:szCs w:val="16"/>
              </w:rPr>
            </w:pPr>
            <w:r w:rsidRPr="00F12F72">
              <w:rPr>
                <w:rFonts w:cs="Arial"/>
                <w:sz w:val="16"/>
                <w:szCs w:val="16"/>
              </w:rPr>
              <w:t>C3-251358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4DBBAC7" w14:textId="77777777" w:rsidR="00F12F72" w:rsidRPr="00F12F72" w:rsidRDefault="00F12F72" w:rsidP="00F12F72">
            <w:pPr>
              <w:pStyle w:val="TAL"/>
              <w:rPr>
                <w:rFonts w:cs="Arial"/>
                <w:sz w:val="16"/>
                <w:szCs w:val="16"/>
              </w:rPr>
            </w:pPr>
            <w:r w:rsidRPr="00F12F72">
              <w:rPr>
                <w:rFonts w:cs="Arial"/>
                <w:sz w:val="16"/>
                <w:szCs w:val="16"/>
              </w:rPr>
              <w:t>1063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9953A4" w14:textId="77777777" w:rsidR="00F12F72" w:rsidRPr="00F12F72" w:rsidRDefault="00F12F72" w:rsidP="00F12F72">
            <w:pPr>
              <w:pStyle w:val="TAR"/>
              <w:rPr>
                <w:rFonts w:cs="Arial"/>
                <w:sz w:val="16"/>
                <w:szCs w:val="16"/>
              </w:rPr>
            </w:pPr>
            <w:r w:rsidRPr="00F12F72">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2A6AE7"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03542632" w14:textId="77777777" w:rsidR="00F12F72" w:rsidRPr="00F12F72" w:rsidRDefault="00F12F72" w:rsidP="00F12F72">
            <w:pPr>
              <w:pStyle w:val="TAL"/>
              <w:rPr>
                <w:sz w:val="16"/>
              </w:rPr>
            </w:pPr>
            <w:r w:rsidRPr="00F12F72">
              <w:rPr>
                <w:sz w:val="16"/>
              </w:rPr>
              <w:t>Corrections to Nnwdaf_MLModelProvision API Data Model General clause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E49EC75"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401A2334"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189C8BA3"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8A59E31"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B29D90" w14:textId="77777777" w:rsidR="00F12F72" w:rsidRPr="00F12F72" w:rsidRDefault="00F12F72" w:rsidP="00F12F72">
            <w:pPr>
              <w:pStyle w:val="TAC"/>
              <w:rPr>
                <w:rFonts w:cs="Arial"/>
                <w:sz w:val="16"/>
                <w:szCs w:val="16"/>
              </w:rPr>
            </w:pPr>
            <w:r w:rsidRPr="00F12F72">
              <w:rPr>
                <w:rFonts w:cs="Arial"/>
                <w:sz w:val="16"/>
                <w:szCs w:val="16"/>
              </w:rPr>
              <w:t>C3-251625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3535609" w14:textId="77777777" w:rsidR="00F12F72" w:rsidRPr="00F12F72" w:rsidRDefault="00F12F72" w:rsidP="00F12F72">
            <w:pPr>
              <w:pStyle w:val="TAL"/>
              <w:rPr>
                <w:rFonts w:cs="Arial"/>
                <w:sz w:val="16"/>
                <w:szCs w:val="16"/>
              </w:rPr>
            </w:pPr>
            <w:r w:rsidRPr="00F12F72">
              <w:rPr>
                <w:rFonts w:cs="Arial"/>
                <w:sz w:val="16"/>
                <w:szCs w:val="16"/>
              </w:rPr>
              <w:t>1064</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F185E00"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4DB11D2"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3478DBE" w14:textId="77777777" w:rsidR="00F12F72" w:rsidRPr="00F12F72" w:rsidRDefault="00F12F72" w:rsidP="00F12F72">
            <w:pPr>
              <w:pStyle w:val="TAL"/>
              <w:rPr>
                <w:sz w:val="16"/>
              </w:rPr>
            </w:pPr>
            <w:r w:rsidRPr="00F12F72">
              <w:rPr>
                <w:sz w:val="16"/>
              </w:rPr>
              <w:t>Corrections to Nnwdaf_MLModelTraining API Data Model General clause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B156D98"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356BF900"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45C56A91"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960D00"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7D880D" w14:textId="77777777" w:rsidR="00F12F72" w:rsidRPr="00F12F72" w:rsidRDefault="00F12F72" w:rsidP="00F12F72">
            <w:pPr>
              <w:pStyle w:val="TAC"/>
              <w:rPr>
                <w:rFonts w:cs="Arial"/>
                <w:sz w:val="16"/>
                <w:szCs w:val="16"/>
              </w:rPr>
            </w:pPr>
            <w:r w:rsidRPr="00F12F72">
              <w:rPr>
                <w:rFonts w:cs="Arial"/>
                <w:sz w:val="16"/>
                <w:szCs w:val="16"/>
              </w:rPr>
              <w:t>C3-251626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ED92666" w14:textId="77777777" w:rsidR="00F12F72" w:rsidRPr="00F12F72" w:rsidRDefault="00F12F72" w:rsidP="00F12F72">
            <w:pPr>
              <w:pStyle w:val="TAL"/>
              <w:rPr>
                <w:rFonts w:cs="Arial"/>
                <w:sz w:val="16"/>
                <w:szCs w:val="16"/>
              </w:rPr>
            </w:pPr>
            <w:r w:rsidRPr="00F12F72">
              <w:rPr>
                <w:rFonts w:cs="Arial"/>
                <w:sz w:val="16"/>
                <w:szCs w:val="16"/>
              </w:rPr>
              <w:t>1065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BA3026C"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A0F49A"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4D48C17" w14:textId="77777777" w:rsidR="00F12F72" w:rsidRPr="00F12F72" w:rsidRDefault="00F12F72" w:rsidP="00F12F72">
            <w:pPr>
              <w:pStyle w:val="TAL"/>
              <w:rPr>
                <w:sz w:val="16"/>
              </w:rPr>
            </w:pPr>
            <w:r w:rsidRPr="00F12F72">
              <w:rPr>
                <w:sz w:val="16"/>
              </w:rPr>
              <w:t>Corrections to Nnwdaf_MLModelMonitor API Data Model General clause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90F2785"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76684A89"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0A3C4D1F"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66742C0"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78AB34" w14:textId="77777777" w:rsidR="00F12F72" w:rsidRPr="00F12F72" w:rsidRDefault="00F12F72" w:rsidP="00F12F72">
            <w:pPr>
              <w:pStyle w:val="TAC"/>
              <w:rPr>
                <w:rFonts w:cs="Arial"/>
                <w:sz w:val="16"/>
                <w:szCs w:val="16"/>
              </w:rPr>
            </w:pPr>
            <w:r w:rsidRPr="00F12F72">
              <w:rPr>
                <w:rFonts w:cs="Arial"/>
                <w:sz w:val="16"/>
                <w:szCs w:val="16"/>
              </w:rPr>
              <w:t>C3-251627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A4C8922" w14:textId="77777777" w:rsidR="00F12F72" w:rsidRPr="00F12F72" w:rsidRDefault="00F12F72" w:rsidP="00F12F72">
            <w:pPr>
              <w:pStyle w:val="TAL"/>
              <w:rPr>
                <w:rFonts w:cs="Arial"/>
                <w:sz w:val="16"/>
                <w:szCs w:val="16"/>
              </w:rPr>
            </w:pPr>
            <w:r w:rsidRPr="00F12F72">
              <w:rPr>
                <w:rFonts w:cs="Arial"/>
                <w:sz w:val="16"/>
                <w:szCs w:val="16"/>
              </w:rPr>
              <w:t>1066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535D3BE"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D08EA34"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A0D9FFC" w14:textId="77777777" w:rsidR="00F12F72" w:rsidRPr="00F12F72" w:rsidRDefault="00F12F72" w:rsidP="00F12F72">
            <w:pPr>
              <w:pStyle w:val="TAL"/>
              <w:rPr>
                <w:sz w:val="16"/>
              </w:rPr>
            </w:pPr>
            <w:r w:rsidRPr="00F12F72">
              <w:rPr>
                <w:sz w:val="16"/>
              </w:rPr>
              <w:t>Corrections to Nnwdaf_RoamingData API Data Model General clause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7BF713F"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6349380A"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1A006302"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E2F34F"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9CDE49" w14:textId="77777777" w:rsidR="00F12F72" w:rsidRPr="00F12F72" w:rsidRDefault="00F12F72" w:rsidP="00F12F72">
            <w:pPr>
              <w:pStyle w:val="TAC"/>
              <w:rPr>
                <w:rFonts w:cs="Arial"/>
                <w:sz w:val="16"/>
                <w:szCs w:val="16"/>
              </w:rPr>
            </w:pPr>
            <w:r w:rsidRPr="00F12F72">
              <w:rPr>
                <w:rFonts w:cs="Arial"/>
                <w:sz w:val="16"/>
                <w:szCs w:val="16"/>
              </w:rPr>
              <w:t>C3-251422</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9088663" w14:textId="77777777" w:rsidR="00F12F72" w:rsidRPr="00F12F72" w:rsidRDefault="00F12F72" w:rsidP="00F12F72">
            <w:pPr>
              <w:pStyle w:val="TAL"/>
              <w:rPr>
                <w:rFonts w:cs="Arial"/>
                <w:sz w:val="16"/>
                <w:szCs w:val="16"/>
              </w:rPr>
            </w:pPr>
            <w:r w:rsidRPr="00F12F72">
              <w:rPr>
                <w:rFonts w:cs="Arial"/>
                <w:sz w:val="16"/>
                <w:szCs w:val="16"/>
              </w:rPr>
              <w:t>1067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7186526" w14:textId="77777777" w:rsidR="00F12F72" w:rsidRPr="00F12F72" w:rsidRDefault="00F12F72" w:rsidP="00F12F72">
            <w:pPr>
              <w:pStyle w:val="TAR"/>
              <w:rPr>
                <w:rFonts w:cs="Arial"/>
                <w:sz w:val="16"/>
                <w:szCs w:val="16"/>
              </w:rPr>
            </w:pPr>
            <w:r w:rsidRPr="00F12F72">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DED2CD6"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EDDD2E7" w14:textId="77777777" w:rsidR="00F12F72" w:rsidRPr="00F12F72" w:rsidRDefault="00F12F72" w:rsidP="00F12F72">
            <w:pPr>
              <w:pStyle w:val="TAL"/>
              <w:rPr>
                <w:sz w:val="16"/>
              </w:rPr>
            </w:pPr>
            <w:r w:rsidRPr="00F12F72">
              <w:rPr>
                <w:sz w:val="16"/>
              </w:rPr>
              <w:t>Resolve EN on Signaling Storm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2EF0B47F"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43FD5F52"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0AF7B18D"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632080"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2A3C6" w14:textId="77777777" w:rsidR="00F12F72" w:rsidRPr="00F12F72" w:rsidRDefault="00F12F72" w:rsidP="00F12F72">
            <w:pPr>
              <w:pStyle w:val="TAC"/>
              <w:rPr>
                <w:rFonts w:cs="Arial"/>
                <w:sz w:val="16"/>
                <w:szCs w:val="16"/>
              </w:rPr>
            </w:pPr>
            <w:r w:rsidRPr="00F12F72">
              <w:rPr>
                <w:rFonts w:cs="Arial"/>
                <w:sz w:val="16"/>
                <w:szCs w:val="16"/>
              </w:rPr>
              <w:t>C3-252484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05B18B2C" w14:textId="77777777" w:rsidR="00F12F72" w:rsidRPr="00F12F72" w:rsidRDefault="00F12F72" w:rsidP="00F12F72">
            <w:pPr>
              <w:pStyle w:val="TAL"/>
              <w:rPr>
                <w:rFonts w:cs="Arial"/>
                <w:sz w:val="16"/>
                <w:szCs w:val="16"/>
              </w:rPr>
            </w:pPr>
            <w:r w:rsidRPr="00F12F72">
              <w:rPr>
                <w:rFonts w:cs="Arial"/>
                <w:sz w:val="16"/>
                <w:szCs w:val="16"/>
              </w:rPr>
              <w:t>1068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34B8DB"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CA460EF"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19276D38" w14:textId="77777777" w:rsidR="00F12F72" w:rsidRPr="00F12F72" w:rsidRDefault="00F12F72" w:rsidP="00F12F72">
            <w:pPr>
              <w:pStyle w:val="TAL"/>
              <w:rPr>
                <w:sz w:val="16"/>
              </w:rPr>
            </w:pPr>
            <w:r w:rsidRPr="00F12F72">
              <w:rPr>
                <w:sz w:val="16"/>
              </w:rPr>
              <w:t>Corrections related to RE-NWDAF</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1895C042"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7DEBC061"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6A3EA13B"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BC4978"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5B7627" w14:textId="77777777" w:rsidR="00F12F72" w:rsidRPr="00F12F72" w:rsidRDefault="00F12F72" w:rsidP="00F12F72">
            <w:pPr>
              <w:pStyle w:val="TAC"/>
              <w:rPr>
                <w:rFonts w:cs="Arial"/>
                <w:sz w:val="16"/>
                <w:szCs w:val="16"/>
              </w:rPr>
            </w:pPr>
            <w:r w:rsidRPr="00F12F72">
              <w:rPr>
                <w:rFonts w:cs="Arial"/>
                <w:sz w:val="16"/>
                <w:szCs w:val="16"/>
              </w:rPr>
              <w:t>C3-252544</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50D0B638" w14:textId="77777777" w:rsidR="00F12F72" w:rsidRPr="00F12F72" w:rsidRDefault="00F12F72" w:rsidP="00F12F72">
            <w:pPr>
              <w:pStyle w:val="TAL"/>
              <w:rPr>
                <w:rFonts w:cs="Arial"/>
                <w:sz w:val="16"/>
                <w:szCs w:val="16"/>
              </w:rPr>
            </w:pPr>
            <w:r w:rsidRPr="00F12F72">
              <w:rPr>
                <w:rFonts w:cs="Arial"/>
                <w:sz w:val="16"/>
                <w:szCs w:val="16"/>
              </w:rPr>
              <w:t>1069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EB6C84"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FAEEC8D"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24B5CCF1" w14:textId="77777777" w:rsidR="00F12F72" w:rsidRPr="00F12F72" w:rsidRDefault="00F12F72" w:rsidP="00F12F72">
            <w:pPr>
              <w:pStyle w:val="TAL"/>
              <w:rPr>
                <w:sz w:val="16"/>
              </w:rPr>
            </w:pPr>
            <w:r w:rsidRPr="00F12F72">
              <w:rPr>
                <w:sz w:val="16"/>
              </w:rPr>
              <w:t>Nnwdaf_VFLInference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D840CCB"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27BA0AE8"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58403429"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1DEA87"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BB0A85" w14:textId="77777777" w:rsidR="00F12F72" w:rsidRPr="00F12F72" w:rsidRDefault="00F12F72" w:rsidP="00F12F72">
            <w:pPr>
              <w:pStyle w:val="TAC"/>
              <w:rPr>
                <w:rFonts w:cs="Arial"/>
                <w:sz w:val="16"/>
                <w:szCs w:val="16"/>
              </w:rPr>
            </w:pPr>
            <w:r w:rsidRPr="00F12F72">
              <w:rPr>
                <w:rFonts w:cs="Arial"/>
                <w:sz w:val="16"/>
                <w:szCs w:val="16"/>
              </w:rPr>
              <w:t>C3-252546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28F631C" w14:textId="77777777" w:rsidR="00F12F72" w:rsidRPr="00F12F72" w:rsidRDefault="00F12F72" w:rsidP="00F12F72">
            <w:pPr>
              <w:pStyle w:val="TAL"/>
              <w:rPr>
                <w:rFonts w:cs="Arial"/>
                <w:sz w:val="16"/>
                <w:szCs w:val="16"/>
              </w:rPr>
            </w:pPr>
            <w:r w:rsidRPr="00F12F72">
              <w:rPr>
                <w:rFonts w:cs="Arial"/>
                <w:sz w:val="16"/>
                <w:szCs w:val="16"/>
              </w:rPr>
              <w:t>1070</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1DA1E5C"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7CB8C8F"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6DC1B51" w14:textId="77777777" w:rsidR="00F12F72" w:rsidRPr="00F12F72" w:rsidRDefault="00F12F72" w:rsidP="00F12F72">
            <w:pPr>
              <w:pStyle w:val="TAL"/>
              <w:rPr>
                <w:sz w:val="16"/>
              </w:rPr>
            </w:pPr>
            <w:r w:rsidRPr="00F12F72">
              <w:rPr>
                <w:sz w:val="16"/>
              </w:rPr>
              <w:t>Nnwdaf_VFLInference model definition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510FCAA"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5E96EAF7"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27413795"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BFE05AE"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2CA0AE" w14:textId="77777777" w:rsidR="00F12F72" w:rsidRPr="00F12F72" w:rsidRDefault="00F12F72" w:rsidP="00F12F72">
            <w:pPr>
              <w:pStyle w:val="TAC"/>
              <w:rPr>
                <w:rFonts w:cs="Arial"/>
                <w:sz w:val="16"/>
                <w:szCs w:val="16"/>
              </w:rPr>
            </w:pPr>
            <w:r w:rsidRPr="00F12F72">
              <w:rPr>
                <w:rFonts w:cs="Arial"/>
                <w:sz w:val="16"/>
                <w:szCs w:val="16"/>
              </w:rPr>
              <w:t>C3-252547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6A1CFD17" w14:textId="77777777" w:rsidR="00F12F72" w:rsidRPr="00F12F72" w:rsidRDefault="00F12F72" w:rsidP="00F12F72">
            <w:pPr>
              <w:pStyle w:val="TAL"/>
              <w:rPr>
                <w:rFonts w:cs="Arial"/>
                <w:sz w:val="16"/>
                <w:szCs w:val="16"/>
              </w:rPr>
            </w:pPr>
            <w:r w:rsidRPr="00F12F72">
              <w:rPr>
                <w:rFonts w:cs="Arial"/>
                <w:sz w:val="16"/>
                <w:szCs w:val="16"/>
              </w:rPr>
              <w:t>1071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52638F0"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6634A5E"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A28E9AA" w14:textId="77777777" w:rsidR="00F12F72" w:rsidRPr="00F12F72" w:rsidRDefault="00F12F72" w:rsidP="00F12F72">
            <w:pPr>
              <w:pStyle w:val="TAL"/>
              <w:rPr>
                <w:sz w:val="16"/>
              </w:rPr>
            </w:pPr>
            <w:r w:rsidRPr="00F12F72">
              <w:rPr>
                <w:sz w:val="16"/>
              </w:rPr>
              <w:t>Nnwdaf_VFLInference service definition</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4E98FFB7"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5340843F"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5EC0FD9D"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E61DA"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8CBEAB" w14:textId="77777777" w:rsidR="00F12F72" w:rsidRPr="00F12F72" w:rsidRDefault="00F12F72" w:rsidP="00F12F72">
            <w:pPr>
              <w:pStyle w:val="TAC"/>
              <w:rPr>
                <w:rFonts w:cs="Arial"/>
                <w:sz w:val="16"/>
                <w:szCs w:val="16"/>
              </w:rPr>
            </w:pPr>
            <w:r w:rsidRPr="00F12F72">
              <w:rPr>
                <w:rFonts w:cs="Arial"/>
                <w:sz w:val="16"/>
                <w:szCs w:val="16"/>
              </w:rPr>
              <w:t>C3-252253</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67B4AC3" w14:textId="77777777" w:rsidR="00F12F72" w:rsidRPr="00F12F72" w:rsidRDefault="00F12F72" w:rsidP="00F12F72">
            <w:pPr>
              <w:pStyle w:val="TAL"/>
              <w:rPr>
                <w:rFonts w:cs="Arial"/>
                <w:sz w:val="16"/>
                <w:szCs w:val="16"/>
              </w:rPr>
            </w:pPr>
            <w:r w:rsidRPr="00F12F72">
              <w:rPr>
                <w:rFonts w:cs="Arial"/>
                <w:sz w:val="16"/>
                <w:szCs w:val="16"/>
              </w:rPr>
              <w:t>1072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2EFEDDC" w14:textId="77777777" w:rsidR="00F12F72" w:rsidRPr="00F12F72" w:rsidRDefault="00F12F72" w:rsidP="00F12F72">
            <w:pPr>
              <w:pStyle w:val="TAR"/>
              <w:rPr>
                <w:rFonts w:cs="Arial"/>
                <w:sz w:val="16"/>
                <w:szCs w:val="16"/>
              </w:rPr>
            </w:pPr>
            <w:r w:rsidRPr="00F12F72">
              <w:rPr>
                <w:rFonts w:cs="Arial"/>
                <w:sz w:val="16"/>
                <w:szCs w:val="16"/>
              </w:rPr>
              <w:t xml:space="preserve">　</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984F4A7" w14:textId="77777777" w:rsidR="00F12F72" w:rsidRPr="00F12F72" w:rsidRDefault="00F12F72" w:rsidP="00F12F72">
            <w:pPr>
              <w:pStyle w:val="TAC"/>
              <w:rPr>
                <w:rFonts w:cs="Arial"/>
                <w:sz w:val="16"/>
                <w:szCs w:val="16"/>
              </w:rPr>
            </w:pPr>
            <w:r w:rsidRPr="00F12F72">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CAA7B70" w14:textId="77777777" w:rsidR="00F12F72" w:rsidRPr="00F12F72" w:rsidRDefault="00F12F72" w:rsidP="00F12F72">
            <w:pPr>
              <w:pStyle w:val="TAL"/>
              <w:rPr>
                <w:sz w:val="16"/>
              </w:rPr>
            </w:pPr>
            <w:r w:rsidRPr="00F12F72">
              <w:rPr>
                <w:sz w:val="16"/>
              </w:rPr>
              <w:t>Incorrect resource URI structure</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34E708C"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5C4B3D40"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6D1E5979"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05B6913"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DAC9F5" w14:textId="77777777" w:rsidR="00F12F72" w:rsidRPr="00F12F72" w:rsidRDefault="00F12F72" w:rsidP="00F12F72">
            <w:pPr>
              <w:pStyle w:val="TAC"/>
              <w:rPr>
                <w:rFonts w:cs="Arial"/>
                <w:sz w:val="16"/>
                <w:szCs w:val="16"/>
              </w:rPr>
            </w:pPr>
            <w:r w:rsidRPr="00F12F72">
              <w:rPr>
                <w:rFonts w:cs="Arial"/>
                <w:sz w:val="16"/>
                <w:szCs w:val="16"/>
              </w:rPr>
              <w:t>C3-252548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1D827D7E" w14:textId="77777777" w:rsidR="00F12F72" w:rsidRPr="00F12F72" w:rsidRDefault="00F12F72" w:rsidP="00F12F72">
            <w:pPr>
              <w:pStyle w:val="TAL"/>
              <w:rPr>
                <w:rFonts w:cs="Arial"/>
                <w:sz w:val="16"/>
                <w:szCs w:val="16"/>
              </w:rPr>
            </w:pPr>
            <w:r w:rsidRPr="00F12F72">
              <w:rPr>
                <w:rFonts w:cs="Arial"/>
                <w:sz w:val="16"/>
                <w:szCs w:val="16"/>
              </w:rPr>
              <w:t>1073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2151B2C"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C03D00"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FF116EB" w14:textId="77777777" w:rsidR="00F12F72" w:rsidRPr="00F12F72" w:rsidRDefault="00F12F72" w:rsidP="00F12F72">
            <w:pPr>
              <w:pStyle w:val="TAL"/>
              <w:rPr>
                <w:sz w:val="16"/>
              </w:rPr>
            </w:pPr>
            <w:r w:rsidRPr="00F12F72">
              <w:rPr>
                <w:sz w:val="16"/>
              </w:rPr>
              <w:t>Define resource and data model for Nnwdaf_VFLTraining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F092131"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3670B3C2"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4D79A208"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49E851"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25C59" w14:textId="77777777" w:rsidR="00F12F72" w:rsidRPr="00F12F72" w:rsidRDefault="00F12F72" w:rsidP="00F12F72">
            <w:pPr>
              <w:pStyle w:val="TAC"/>
              <w:rPr>
                <w:rFonts w:cs="Arial"/>
                <w:sz w:val="16"/>
                <w:szCs w:val="16"/>
              </w:rPr>
            </w:pPr>
            <w:r w:rsidRPr="00F12F72">
              <w:rPr>
                <w:rFonts w:cs="Arial"/>
                <w:sz w:val="16"/>
                <w:szCs w:val="16"/>
              </w:rPr>
              <w:t>C3-252545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C7D6B8B" w14:textId="77777777" w:rsidR="00F12F72" w:rsidRPr="00F12F72" w:rsidRDefault="00F12F72" w:rsidP="00F12F72">
            <w:pPr>
              <w:pStyle w:val="TAL"/>
              <w:rPr>
                <w:rFonts w:cs="Arial"/>
                <w:sz w:val="16"/>
                <w:szCs w:val="16"/>
              </w:rPr>
            </w:pPr>
            <w:r w:rsidRPr="00F12F72">
              <w:rPr>
                <w:rFonts w:cs="Arial"/>
                <w:sz w:val="16"/>
                <w:szCs w:val="16"/>
              </w:rPr>
              <w:t>1075</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2938998"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1123461"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627054DD" w14:textId="77777777" w:rsidR="00F12F72" w:rsidRPr="00F12F72" w:rsidRDefault="00F12F72" w:rsidP="00F12F72">
            <w:pPr>
              <w:pStyle w:val="TAL"/>
              <w:rPr>
                <w:sz w:val="16"/>
              </w:rPr>
            </w:pPr>
            <w:r w:rsidRPr="00F12F72">
              <w:rPr>
                <w:sz w:val="16"/>
              </w:rPr>
              <w:t>Define OpenAPI for Nnwdaf_VFLTraining API</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0A749B26"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30468481"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1CACE0BC"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65C2C"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7ACF96" w14:textId="77777777" w:rsidR="00F12F72" w:rsidRPr="00F12F72" w:rsidRDefault="00F12F72" w:rsidP="00F12F72">
            <w:pPr>
              <w:pStyle w:val="TAC"/>
              <w:rPr>
                <w:rFonts w:cs="Arial"/>
                <w:sz w:val="16"/>
                <w:szCs w:val="16"/>
              </w:rPr>
            </w:pPr>
            <w:r w:rsidRPr="00F12F72">
              <w:rPr>
                <w:rFonts w:cs="Arial"/>
                <w:sz w:val="16"/>
                <w:szCs w:val="16"/>
              </w:rPr>
              <w:t>C3-252485</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297A91E6" w14:textId="77777777" w:rsidR="00F12F72" w:rsidRPr="00F12F72" w:rsidRDefault="00F12F72" w:rsidP="00F12F72">
            <w:pPr>
              <w:pStyle w:val="TAL"/>
              <w:rPr>
                <w:rFonts w:cs="Arial"/>
                <w:sz w:val="16"/>
                <w:szCs w:val="16"/>
              </w:rPr>
            </w:pPr>
            <w:r w:rsidRPr="00F12F72">
              <w:rPr>
                <w:rFonts w:cs="Arial"/>
                <w:sz w:val="16"/>
                <w:szCs w:val="16"/>
              </w:rPr>
              <w:t>1076</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E3BE750"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25E232"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76374DA" w14:textId="77777777" w:rsidR="00F12F72" w:rsidRPr="00F12F72" w:rsidRDefault="00F12F72" w:rsidP="00F12F72">
            <w:pPr>
              <w:pStyle w:val="TAL"/>
              <w:rPr>
                <w:sz w:val="16"/>
              </w:rPr>
            </w:pPr>
            <w:r w:rsidRPr="00F12F72">
              <w:rPr>
                <w:sz w:val="16"/>
              </w:rPr>
              <w:t>Clarifications for the accuracy threshold of the ML model</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D869D1E"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3722C85A"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1C562567"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E5A068"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479445" w14:textId="77777777" w:rsidR="00F12F72" w:rsidRPr="00F12F72" w:rsidRDefault="00F12F72" w:rsidP="00F12F72">
            <w:pPr>
              <w:pStyle w:val="TAC"/>
              <w:rPr>
                <w:rFonts w:cs="Arial"/>
                <w:sz w:val="16"/>
                <w:szCs w:val="16"/>
              </w:rPr>
            </w:pPr>
            <w:r w:rsidRPr="00F12F72">
              <w:rPr>
                <w:rFonts w:cs="Arial"/>
                <w:sz w:val="16"/>
                <w:szCs w:val="16"/>
              </w:rPr>
              <w:t>C3-252486</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00FD06B" w14:textId="77777777" w:rsidR="00F12F72" w:rsidRPr="00F12F72" w:rsidRDefault="00F12F72" w:rsidP="00F12F72">
            <w:pPr>
              <w:pStyle w:val="TAL"/>
              <w:rPr>
                <w:rFonts w:cs="Arial"/>
                <w:sz w:val="16"/>
                <w:szCs w:val="16"/>
              </w:rPr>
            </w:pPr>
            <w:r w:rsidRPr="00F12F72">
              <w:rPr>
                <w:rFonts w:cs="Arial"/>
                <w:sz w:val="16"/>
                <w:szCs w:val="16"/>
              </w:rPr>
              <w:t>1077</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9BB58EF"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34FAE47"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32DDB163" w14:textId="77777777" w:rsidR="00F12F72" w:rsidRPr="00F12F72" w:rsidRDefault="00F12F72" w:rsidP="00F12F72">
            <w:pPr>
              <w:pStyle w:val="TAL"/>
              <w:rPr>
                <w:sz w:val="16"/>
              </w:rPr>
            </w:pPr>
            <w:r w:rsidRPr="00F12F72">
              <w:rPr>
                <w:sz w:val="16"/>
              </w:rPr>
              <w:t>Support of UE group ID in the Relative proximity statistics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7DEAE366"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783A41C5"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4C6CE7C1"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03C6C3"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ECCCAD" w14:textId="77777777" w:rsidR="00F12F72" w:rsidRPr="00F12F72" w:rsidRDefault="00F12F72" w:rsidP="00F12F72">
            <w:pPr>
              <w:pStyle w:val="TAC"/>
              <w:rPr>
                <w:rFonts w:cs="Arial"/>
                <w:sz w:val="16"/>
                <w:szCs w:val="16"/>
              </w:rPr>
            </w:pPr>
            <w:r w:rsidRPr="00F12F72">
              <w:rPr>
                <w:rFonts w:cs="Arial"/>
                <w:sz w:val="16"/>
                <w:szCs w:val="16"/>
              </w:rPr>
              <w:t>C3-252558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774FEA3" w14:textId="77777777" w:rsidR="00F12F72" w:rsidRPr="00F12F72" w:rsidRDefault="00F12F72" w:rsidP="00F12F72">
            <w:pPr>
              <w:pStyle w:val="TAL"/>
              <w:rPr>
                <w:rFonts w:cs="Arial"/>
                <w:sz w:val="16"/>
                <w:szCs w:val="16"/>
              </w:rPr>
            </w:pPr>
            <w:r w:rsidRPr="00F12F72">
              <w:rPr>
                <w:rFonts w:cs="Arial"/>
                <w:sz w:val="16"/>
                <w:szCs w:val="16"/>
              </w:rPr>
              <w:t>1078</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597B5E"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9DEC247" w14:textId="77777777" w:rsidR="00F12F72" w:rsidRPr="00F12F72" w:rsidRDefault="00F12F72" w:rsidP="00F12F72">
            <w:pPr>
              <w:pStyle w:val="TAC"/>
              <w:rPr>
                <w:rFonts w:cs="Arial"/>
                <w:sz w:val="16"/>
                <w:szCs w:val="16"/>
              </w:rPr>
            </w:pPr>
            <w:r w:rsidRPr="00F12F72">
              <w:rPr>
                <w:rFonts w:cs="Arial"/>
                <w:sz w:val="16"/>
                <w:szCs w:val="16"/>
              </w:rPr>
              <w:t>B</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71D004D1" w14:textId="77777777" w:rsidR="00F12F72" w:rsidRPr="00F12F72" w:rsidRDefault="00F12F72" w:rsidP="00F12F72">
            <w:pPr>
              <w:pStyle w:val="TAL"/>
              <w:rPr>
                <w:sz w:val="16"/>
              </w:rPr>
            </w:pPr>
            <w:r w:rsidRPr="00F12F72">
              <w:rPr>
                <w:sz w:val="16"/>
              </w:rPr>
              <w:t>Updates to Signalling Storm Analytics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5455BCD6"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F12F72" w14:paraId="51ABAB16"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6DFA0F36" w14:textId="77777777" w:rsidR="00F12F72" w:rsidRPr="00F12F72" w:rsidRDefault="00F12F72" w:rsidP="00F12F72">
            <w:pPr>
              <w:pStyle w:val="TAC"/>
              <w:rPr>
                <w:rFonts w:cs="Arial"/>
                <w:sz w:val="16"/>
                <w:szCs w:val="16"/>
              </w:rPr>
            </w:pPr>
            <w:r w:rsidRPr="00F12F72">
              <w:rPr>
                <w:rFonts w:cs="Arial"/>
                <w:sz w:val="16"/>
                <w:szCs w:val="16"/>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267325" w14:textId="77777777" w:rsidR="00F12F72" w:rsidRPr="00F12F72" w:rsidRDefault="00F12F72" w:rsidP="00F12F72">
            <w:pPr>
              <w:pStyle w:val="TAC"/>
              <w:rPr>
                <w:rFonts w:cs="Arial"/>
                <w:sz w:val="16"/>
                <w:szCs w:val="16"/>
              </w:rPr>
            </w:pPr>
            <w:r w:rsidRPr="00F12F72">
              <w:rPr>
                <w:rFonts w:cs="Arial"/>
                <w:sz w:val="16"/>
                <w:szCs w:val="16"/>
              </w:rPr>
              <w:t>CT#108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1C14E7" w14:textId="77777777" w:rsidR="00F12F72" w:rsidRPr="00F12F72" w:rsidRDefault="00F12F72" w:rsidP="00F12F72">
            <w:pPr>
              <w:pStyle w:val="TAC"/>
              <w:rPr>
                <w:rFonts w:cs="Arial"/>
                <w:sz w:val="16"/>
                <w:szCs w:val="16"/>
              </w:rPr>
            </w:pPr>
            <w:r w:rsidRPr="00F12F72">
              <w:rPr>
                <w:rFonts w:cs="Arial"/>
                <w:sz w:val="16"/>
                <w:szCs w:val="16"/>
              </w:rPr>
              <w:t>C3-252488</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4B5AC02D" w14:textId="77777777" w:rsidR="00F12F72" w:rsidRPr="00F12F72" w:rsidRDefault="00F12F72" w:rsidP="00F12F72">
            <w:pPr>
              <w:pStyle w:val="TAL"/>
              <w:rPr>
                <w:rFonts w:cs="Arial"/>
                <w:sz w:val="16"/>
                <w:szCs w:val="16"/>
              </w:rPr>
            </w:pPr>
            <w:r w:rsidRPr="00F12F72">
              <w:rPr>
                <w:rFonts w:cs="Arial"/>
                <w:sz w:val="16"/>
                <w:szCs w:val="16"/>
              </w:rPr>
              <w:t>1079</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38B6B84" w14:textId="77777777" w:rsidR="00F12F72" w:rsidRPr="00F12F72" w:rsidRDefault="00F12F72" w:rsidP="00F12F72">
            <w:pPr>
              <w:pStyle w:val="TAR"/>
              <w:rPr>
                <w:rFonts w:cs="Arial"/>
                <w:sz w:val="16"/>
                <w:szCs w:val="16"/>
              </w:rPr>
            </w:pPr>
            <w:r w:rsidRPr="00F12F72">
              <w:rPr>
                <w:rFonts w:cs="Arial"/>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6A899BE" w14:textId="77777777" w:rsidR="00F12F72" w:rsidRPr="00F12F72" w:rsidRDefault="00F12F72" w:rsidP="00F12F72">
            <w:pPr>
              <w:pStyle w:val="TAC"/>
              <w:rPr>
                <w:rFonts w:cs="Arial"/>
                <w:sz w:val="16"/>
                <w:szCs w:val="16"/>
              </w:rPr>
            </w:pPr>
            <w:r w:rsidRPr="00F12F72">
              <w:rPr>
                <w:rFonts w:cs="Arial"/>
                <w:sz w:val="16"/>
                <w:szCs w:val="16"/>
              </w:rPr>
              <w:t>D</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4D1EF25A" w14:textId="77777777" w:rsidR="00F12F72" w:rsidRPr="00F12F72" w:rsidRDefault="00F12F72" w:rsidP="00F12F72">
            <w:pPr>
              <w:pStyle w:val="TAL"/>
              <w:rPr>
                <w:sz w:val="16"/>
              </w:rPr>
            </w:pPr>
            <w:r w:rsidRPr="00F12F72">
              <w:rPr>
                <w:sz w:val="16"/>
              </w:rPr>
              <w:t>Wrong references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374448DA" w14:textId="77777777" w:rsidR="00F12F72" w:rsidRPr="00F12F72"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r w:rsidR="00F12F72" w:rsidRPr="00336A0C" w14:paraId="107F65B7" w14:textId="77777777" w:rsidTr="00F12F72">
        <w:tc>
          <w:tcPr>
            <w:tcW w:w="796" w:type="dxa"/>
            <w:tcBorders>
              <w:top w:val="single" w:sz="6" w:space="0" w:color="auto"/>
              <w:left w:val="single" w:sz="6" w:space="0" w:color="auto"/>
              <w:bottom w:val="single" w:sz="6" w:space="0" w:color="auto"/>
              <w:right w:val="single" w:sz="6" w:space="0" w:color="auto"/>
            </w:tcBorders>
            <w:shd w:val="solid" w:color="FFFFFF" w:fill="auto"/>
          </w:tcPr>
          <w:p w14:paraId="41CF474E" w14:textId="77777777" w:rsidR="00F12F72" w:rsidRPr="00336A0C" w:rsidRDefault="00F12F72" w:rsidP="00F12F72">
            <w:pPr>
              <w:pStyle w:val="TAC"/>
              <w:rPr>
                <w:rFonts w:cs="Arial"/>
                <w:sz w:val="16"/>
                <w:szCs w:val="16"/>
              </w:rPr>
            </w:pPr>
            <w:r w:rsidRPr="00B46877">
              <w:rPr>
                <w:rFonts w:cs="Arial"/>
                <w:sz w:val="16"/>
                <w:szCs w:val="16"/>
              </w:rPr>
              <w:t>2025-0</w:t>
            </w:r>
            <w:r>
              <w:rPr>
                <w:rFonts w:cs="Arial"/>
                <w:sz w:val="16"/>
                <w:szCs w:val="16"/>
              </w:rPr>
              <w:t>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EF4CC8" w14:textId="77777777" w:rsidR="00F12F72" w:rsidRPr="00336A0C" w:rsidRDefault="00F12F72" w:rsidP="00F12F72">
            <w:pPr>
              <w:pStyle w:val="TAC"/>
              <w:rPr>
                <w:rFonts w:cs="Arial"/>
                <w:sz w:val="16"/>
                <w:szCs w:val="16"/>
              </w:rPr>
            </w:pPr>
            <w:r w:rsidRPr="00B46877">
              <w:rPr>
                <w:rFonts w:cs="Arial"/>
                <w:sz w:val="16"/>
                <w:szCs w:val="16"/>
              </w:rPr>
              <w:t>CT#10</w:t>
            </w:r>
            <w:r>
              <w:rPr>
                <w:rFonts w:cs="Arial"/>
                <w:sz w:val="16"/>
                <w:szCs w:val="16"/>
              </w:rPr>
              <w:t>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617F81" w14:textId="77777777" w:rsidR="00F12F72" w:rsidRPr="0040274B" w:rsidRDefault="00F12F72" w:rsidP="00F12F72">
            <w:pPr>
              <w:pStyle w:val="TAC"/>
              <w:rPr>
                <w:rFonts w:cs="Arial"/>
                <w:sz w:val="16"/>
                <w:szCs w:val="16"/>
              </w:rPr>
            </w:pPr>
            <w:r w:rsidRPr="0040274B">
              <w:rPr>
                <w:rFonts w:cs="Arial"/>
                <w:sz w:val="16"/>
                <w:szCs w:val="16"/>
              </w:rPr>
              <w:t>C</w:t>
            </w:r>
            <w:r>
              <w:rPr>
                <w:rFonts w:cs="Arial"/>
                <w:sz w:val="16"/>
                <w:szCs w:val="16"/>
              </w:rPr>
              <w:t>3</w:t>
            </w:r>
            <w:r w:rsidRPr="0040274B">
              <w:rPr>
                <w:rFonts w:cs="Arial"/>
                <w:sz w:val="16"/>
                <w:szCs w:val="16"/>
              </w:rPr>
              <w:t>-25</w:t>
            </w:r>
            <w:r>
              <w:rPr>
                <w:rFonts w:cs="Arial"/>
                <w:sz w:val="16"/>
                <w:szCs w:val="16"/>
              </w:rPr>
              <w:t>2587</w:t>
            </w:r>
          </w:p>
        </w:tc>
        <w:tc>
          <w:tcPr>
            <w:tcW w:w="523" w:type="dxa"/>
            <w:tcBorders>
              <w:top w:val="single" w:sz="6" w:space="0" w:color="auto"/>
              <w:left w:val="single" w:sz="6" w:space="0" w:color="auto"/>
              <w:bottom w:val="single" w:sz="6" w:space="0" w:color="auto"/>
              <w:right w:val="single" w:sz="6" w:space="0" w:color="auto"/>
            </w:tcBorders>
            <w:shd w:val="solid" w:color="FFFFFF" w:fill="auto"/>
          </w:tcPr>
          <w:p w14:paraId="31655274" w14:textId="77777777" w:rsidR="00F12F72" w:rsidRPr="00336A0C" w:rsidRDefault="00F12F72" w:rsidP="00F12F72">
            <w:pPr>
              <w:pStyle w:val="TAL"/>
              <w:rPr>
                <w:rFonts w:cs="Arial"/>
                <w:sz w:val="16"/>
                <w:szCs w:val="16"/>
              </w:rPr>
            </w:pPr>
            <w:r>
              <w:rPr>
                <w:rFonts w:cs="Arial"/>
                <w:sz w:val="16"/>
                <w:szCs w:val="16"/>
              </w:rPr>
              <w:t>1082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1718F6C6" w14:textId="77777777" w:rsidR="00F12F72" w:rsidRPr="00336A0C" w:rsidRDefault="00F12F72" w:rsidP="00F12F72">
            <w:pPr>
              <w:pStyle w:val="TAR"/>
              <w:rPr>
                <w:rFonts w:cs="Arial"/>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3BFBA1C" w14:textId="77777777" w:rsidR="00F12F72" w:rsidRPr="00336A0C" w:rsidRDefault="00F12F72" w:rsidP="00F12F72">
            <w:pPr>
              <w:pStyle w:val="TAC"/>
              <w:rPr>
                <w:rFonts w:cs="Arial"/>
                <w:sz w:val="16"/>
                <w:szCs w:val="16"/>
              </w:rPr>
            </w:pPr>
            <w:r>
              <w:rPr>
                <w:rFonts w:cs="Arial"/>
                <w:sz w:val="16"/>
                <w:szCs w:val="16"/>
              </w:rPr>
              <w:t>F</w:t>
            </w:r>
          </w:p>
        </w:tc>
        <w:tc>
          <w:tcPr>
            <w:tcW w:w="4899" w:type="dxa"/>
            <w:tcBorders>
              <w:top w:val="single" w:sz="6" w:space="0" w:color="auto"/>
              <w:left w:val="single" w:sz="6" w:space="0" w:color="auto"/>
              <w:bottom w:val="single" w:sz="6" w:space="0" w:color="auto"/>
              <w:right w:val="single" w:sz="6" w:space="0" w:color="auto"/>
            </w:tcBorders>
            <w:shd w:val="solid" w:color="FFFFFF" w:fill="auto"/>
          </w:tcPr>
          <w:p w14:paraId="5D539624" w14:textId="77777777" w:rsidR="00F12F72" w:rsidRPr="00336A0C" w:rsidRDefault="00F12F72" w:rsidP="00F12F72">
            <w:pPr>
              <w:pStyle w:val="TAL"/>
              <w:rPr>
                <w:sz w:val="16"/>
              </w:rPr>
            </w:pPr>
            <w:r>
              <w:rPr>
                <w:sz w:val="16"/>
              </w:rPr>
              <w:t>Update of info and externalDocs fields</w:t>
            </w:r>
          </w:p>
        </w:tc>
        <w:tc>
          <w:tcPr>
            <w:tcW w:w="706" w:type="dxa"/>
            <w:tcBorders>
              <w:top w:val="single" w:sz="6" w:space="0" w:color="auto"/>
              <w:left w:val="single" w:sz="6" w:space="0" w:color="auto"/>
              <w:bottom w:val="single" w:sz="6" w:space="0" w:color="auto"/>
              <w:right w:val="single" w:sz="6" w:space="0" w:color="auto"/>
            </w:tcBorders>
            <w:shd w:val="solid" w:color="FFFFFF" w:fill="auto"/>
          </w:tcPr>
          <w:p w14:paraId="6AB3D857" w14:textId="77777777" w:rsidR="00F12F72" w:rsidRPr="00336A0C" w:rsidRDefault="00F12F72" w:rsidP="00F12F72">
            <w:pPr>
              <w:pStyle w:val="TAC"/>
              <w:rPr>
                <w:sz w:val="16"/>
                <w:szCs w:val="16"/>
                <w:lang w:eastAsia="zh-CN"/>
              </w:rPr>
            </w:pPr>
            <w:r w:rsidRPr="00795230">
              <w:rPr>
                <w:sz w:val="16"/>
                <w:szCs w:val="16"/>
                <w:lang w:eastAsia="zh-CN"/>
              </w:rPr>
              <w:t>19.</w:t>
            </w:r>
            <w:r>
              <w:rPr>
                <w:sz w:val="16"/>
                <w:szCs w:val="16"/>
                <w:lang w:eastAsia="zh-CN"/>
              </w:rPr>
              <w:t>3</w:t>
            </w:r>
            <w:r w:rsidRPr="00795230">
              <w:rPr>
                <w:sz w:val="16"/>
                <w:szCs w:val="16"/>
                <w:lang w:eastAsia="zh-CN"/>
              </w:rPr>
              <w:t>.0</w:t>
            </w:r>
          </w:p>
        </w:tc>
      </w:tr>
    </w:tbl>
    <w:p w14:paraId="026DC45F" w14:textId="77777777" w:rsidR="0011390D" w:rsidRDefault="0011390D">
      <w:pPr>
        <w:pStyle w:val="aff5"/>
      </w:pPr>
    </w:p>
    <w:sectPr w:rsidR="0011390D">
      <w:headerReference w:type="default" r:id="rId174"/>
      <w:footerReference w:type="default" r:id="rId1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F86746" w14:textId="77777777" w:rsidR="00663780" w:rsidRDefault="00663780">
      <w:pPr>
        <w:spacing w:after="0"/>
      </w:pPr>
      <w:r>
        <w:separator/>
      </w:r>
    </w:p>
  </w:endnote>
  <w:endnote w:type="continuationSeparator" w:id="0">
    <w:p w14:paraId="36531A05" w14:textId="77777777" w:rsidR="00663780" w:rsidRDefault="00663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Arial Regular">
    <w:altName w:val="Arial"/>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4D7F1" w14:textId="77777777" w:rsidR="00A10B25" w:rsidRDefault="00A10B25">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ADC5C" w14:textId="77777777" w:rsidR="00663780" w:rsidRDefault="00663780">
      <w:pPr>
        <w:spacing w:after="0"/>
      </w:pPr>
      <w:r>
        <w:separator/>
      </w:r>
    </w:p>
  </w:footnote>
  <w:footnote w:type="continuationSeparator" w:id="0">
    <w:p w14:paraId="345C7C35" w14:textId="77777777" w:rsidR="00663780" w:rsidRDefault="00663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271C64" w14:textId="70463138" w:rsidR="00A10B25" w:rsidRDefault="00A10B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3BF3">
      <w:rPr>
        <w:rFonts w:ascii="Arial" w:hAnsi="Arial" w:cs="Arial"/>
        <w:b/>
        <w:noProof/>
        <w:sz w:val="18"/>
        <w:szCs w:val="18"/>
      </w:rPr>
      <w:t>3GPP TS 29.520 V19.32.1 0 (2025-0346)</w:t>
    </w:r>
    <w:r>
      <w:rPr>
        <w:rFonts w:ascii="Arial" w:hAnsi="Arial" w:cs="Arial"/>
        <w:b/>
        <w:sz w:val="18"/>
        <w:szCs w:val="18"/>
      </w:rPr>
      <w:fldChar w:fldCharType="end"/>
    </w:r>
  </w:p>
  <w:p w14:paraId="64791AF7" w14:textId="77777777" w:rsidR="00A10B25" w:rsidRDefault="00A10B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lang w:val="en-US" w:eastAsia="zh-CN"/>
      </w:rPr>
      <w:t>423</w:t>
    </w:r>
    <w:r>
      <w:rPr>
        <w:rFonts w:ascii="Arial" w:hAnsi="Arial" w:cs="Arial"/>
        <w:b/>
        <w:sz w:val="18"/>
        <w:szCs w:val="18"/>
      </w:rPr>
      <w:fldChar w:fldCharType="end"/>
    </w:r>
  </w:p>
  <w:p w14:paraId="150C727D" w14:textId="26E8FAF5" w:rsidR="00A10B25" w:rsidRDefault="00A10B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3BF3">
      <w:rPr>
        <w:rFonts w:ascii="Arial" w:hAnsi="Arial" w:cs="Arial"/>
        <w:b/>
        <w:noProof/>
        <w:sz w:val="18"/>
        <w:szCs w:val="18"/>
      </w:rPr>
      <w:t>Release 19</w:t>
    </w:r>
    <w:r>
      <w:rPr>
        <w:rFonts w:ascii="Arial" w:hAnsi="Arial" w:cs="Arial"/>
        <w:b/>
        <w:sz w:val="18"/>
        <w:szCs w:val="18"/>
      </w:rPr>
      <w:fldChar w:fldCharType="end"/>
    </w:r>
  </w:p>
  <w:p w14:paraId="1990E973" w14:textId="77777777" w:rsidR="00A10B25" w:rsidRDefault="00A10B25">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FFFFF7D"/>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FFFFF7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FFFFF7F"/>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FFFFF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1500F54"/>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275420"/>
    <w:multiLevelType w:val="multilevel"/>
    <w:tmpl w:val="0F86DD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4" w15:restartNumberingAfterBreak="0">
    <w:nsid w:val="13805966"/>
    <w:multiLevelType w:val="hybridMultilevel"/>
    <w:tmpl w:val="7ADE0B8A"/>
    <w:lvl w:ilvl="0" w:tplc="4A6EB9E8">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13B07DFE"/>
    <w:multiLevelType w:val="hybridMultilevel"/>
    <w:tmpl w:val="A1CC9810"/>
    <w:lvl w:ilvl="0" w:tplc="435EF3B8">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1F6D5386"/>
    <w:multiLevelType w:val="multilevel"/>
    <w:tmpl w:val="1F6D5386"/>
    <w:lvl w:ilvl="0">
      <w:start w:val="1"/>
      <w:numFmt w:val="bullet"/>
      <w:lvlText w:val="-"/>
      <w:lvlJc w:val="left"/>
      <w:pPr>
        <w:ind w:left="460" w:hanging="360"/>
      </w:pPr>
      <w:rPr>
        <w:rFonts w:ascii="Arial" w:eastAsia="等线"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7" w15:restartNumberingAfterBreak="0">
    <w:nsid w:val="29626044"/>
    <w:multiLevelType w:val="hybridMultilevel"/>
    <w:tmpl w:val="0EF88460"/>
    <w:lvl w:ilvl="0" w:tplc="0450C200">
      <w:start w:val="2024"/>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29B82C80"/>
    <w:multiLevelType w:val="hybridMultilevel"/>
    <w:tmpl w:val="1ED4146C"/>
    <w:lvl w:ilvl="0" w:tplc="ACAE203C">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29F978E9"/>
    <w:multiLevelType w:val="multilevel"/>
    <w:tmpl w:val="29F978E9"/>
    <w:lvl w:ilvl="0">
      <w:start w:val="1"/>
      <w:numFmt w:val="bullet"/>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5C87222"/>
    <w:multiLevelType w:val="hybridMultilevel"/>
    <w:tmpl w:val="E0049394"/>
    <w:lvl w:ilvl="0" w:tplc="A60CC186">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41952173"/>
    <w:multiLevelType w:val="hybridMultilevel"/>
    <w:tmpl w:val="C00ABF58"/>
    <w:lvl w:ilvl="0" w:tplc="A8B471D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4D586001"/>
    <w:multiLevelType w:val="hybridMultilevel"/>
    <w:tmpl w:val="05828FB6"/>
    <w:lvl w:ilvl="0" w:tplc="FD040D14">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E7C75C9"/>
    <w:multiLevelType w:val="hybridMultilevel"/>
    <w:tmpl w:val="984E564E"/>
    <w:lvl w:ilvl="0" w:tplc="A1CCB732">
      <w:start w:val="29"/>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4" w15:restartNumberingAfterBreak="0">
    <w:nsid w:val="618B6466"/>
    <w:multiLevelType w:val="hybridMultilevel"/>
    <w:tmpl w:val="808E3ED6"/>
    <w:lvl w:ilvl="0" w:tplc="AD14822E">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004F6D"/>
    <w:multiLevelType w:val="hybridMultilevel"/>
    <w:tmpl w:val="A7EEE748"/>
    <w:lvl w:ilvl="0" w:tplc="DB26D980">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8" w15:restartNumberingAfterBreak="0">
    <w:nsid w:val="7D311E16"/>
    <w:multiLevelType w:val="hybridMultilevel"/>
    <w:tmpl w:val="E7C2C47C"/>
    <w:lvl w:ilvl="0" w:tplc="185CF746">
      <w:start w:val="20"/>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E350E1E"/>
    <w:multiLevelType w:val="hybridMultilevel"/>
    <w:tmpl w:val="125E1BB2"/>
    <w:lvl w:ilvl="0" w:tplc="8DB60D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3"/>
  </w:num>
  <w:num w:numId="2">
    <w:abstractNumId w:val="5"/>
  </w:num>
  <w:num w:numId="3">
    <w:abstractNumId w:val="8"/>
  </w:num>
  <w:num w:numId="4">
    <w:abstractNumId w:val="6"/>
  </w:num>
  <w:num w:numId="5">
    <w:abstractNumId w:val="2"/>
  </w:num>
  <w:num w:numId="6">
    <w:abstractNumId w:val="7"/>
  </w:num>
  <w:num w:numId="7">
    <w:abstractNumId w:val="4"/>
  </w:num>
  <w:num w:numId="8">
    <w:abstractNumId w:val="1"/>
  </w:num>
  <w:num w:numId="9">
    <w:abstractNumId w:val="0"/>
  </w:num>
  <w:num w:numId="10">
    <w:abstractNumId w:val="19"/>
  </w:num>
  <w:num w:numId="11">
    <w:abstractNumId w:val="16"/>
  </w:num>
  <w:num w:numId="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4"/>
  </w:num>
  <w:num w:numId="14">
    <w:abstractNumId w:val="27"/>
  </w:num>
  <w:num w:numId="15">
    <w:abstractNumId w:val="22"/>
  </w:num>
  <w:num w:numId="1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28"/>
  </w:num>
  <w:num w:numId="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abstractNumId w:val="9"/>
  </w:num>
  <w:num w:numId="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2">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4">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5">
    <w:abstractNumId w:val="17"/>
  </w:num>
  <w:num w:numId="26">
    <w:abstractNumId w:val="21"/>
  </w:num>
  <w:num w:numId="27">
    <w:abstractNumId w:val="2"/>
    <w:lvlOverride w:ilvl="0">
      <w:startOverride w:val="1"/>
    </w:lvlOverride>
  </w:num>
  <w:num w:numId="28">
    <w:abstractNumId w:val="1"/>
    <w:lvlOverride w:ilvl="0">
      <w:startOverride w:val="1"/>
    </w:lvlOverride>
  </w:num>
  <w:num w:numId="29">
    <w:abstractNumId w:val="0"/>
    <w:lvlOverride w:ilvl="0">
      <w:startOverride w:val="1"/>
    </w:lvlOverride>
  </w:num>
  <w:num w:numId="30">
    <w:abstractNumId w:val="19"/>
    <w:lvlOverride w:ilvl="0"/>
    <w:lvlOverride w:ilvl="1"/>
    <w:lvlOverride w:ilvl="2"/>
    <w:lvlOverride w:ilvl="3"/>
    <w:lvlOverride w:ilvl="4"/>
    <w:lvlOverride w:ilvl="5"/>
    <w:lvlOverride w:ilvl="6"/>
    <w:lvlOverride w:ilvl="7"/>
    <w:lvlOverride w:ilvl="8"/>
  </w:num>
  <w:num w:numId="31">
    <w:abstractNumId w:val="13"/>
    <w:lvlOverride w:ilvl="0"/>
    <w:lvlOverride w:ilvl="1"/>
    <w:lvlOverride w:ilvl="2"/>
    <w:lvlOverride w:ilvl="3"/>
    <w:lvlOverride w:ilvl="4"/>
    <w:lvlOverride w:ilvl="5"/>
    <w:lvlOverride w:ilvl="6"/>
    <w:lvlOverride w:ilvl="7"/>
    <w:lvlOverride w:ilvl="8"/>
  </w:num>
  <w:num w:numId="32">
    <w:abstractNumId w:val="17"/>
    <w:lvlOverride w:ilvl="0"/>
    <w:lvlOverride w:ilvl="1"/>
    <w:lvlOverride w:ilvl="2"/>
    <w:lvlOverride w:ilvl="3"/>
    <w:lvlOverride w:ilvl="4"/>
    <w:lvlOverride w:ilvl="5"/>
    <w:lvlOverride w:ilvl="6"/>
    <w:lvlOverride w:ilvl="7"/>
    <w:lvlOverride w:ilvl="8"/>
  </w:num>
  <w:num w:numId="33">
    <w:abstractNumId w:val="23"/>
  </w:num>
  <w:num w:numId="34">
    <w:abstractNumId w:val="20"/>
  </w:num>
  <w:num w:numId="35">
    <w:abstractNumId w:val="18"/>
  </w:num>
  <w:num w:numId="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7">
    <w:abstractNumId w:val="11"/>
  </w:num>
  <w:num w:numId="38">
    <w:abstractNumId w:val="26"/>
  </w:num>
  <w:num w:numId="39">
    <w:abstractNumId w:val="25"/>
  </w:num>
  <w:num w:numId="40">
    <w:abstractNumId w:val="12"/>
  </w:num>
  <w:num w:numId="41">
    <w:abstractNumId w:val="24"/>
  </w:num>
  <w:num w:numId="42">
    <w:abstractNumId w:val="29"/>
  </w:num>
  <w:num w:numId="4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5064"/>
    <w:rsid w:val="00001983"/>
    <w:rsid w:val="00002B11"/>
    <w:rsid w:val="00003B89"/>
    <w:rsid w:val="000062DB"/>
    <w:rsid w:val="00006FBB"/>
    <w:rsid w:val="0001165B"/>
    <w:rsid w:val="00013339"/>
    <w:rsid w:val="000134EE"/>
    <w:rsid w:val="00015CA7"/>
    <w:rsid w:val="00017D4D"/>
    <w:rsid w:val="00021A3F"/>
    <w:rsid w:val="000242FF"/>
    <w:rsid w:val="000261FE"/>
    <w:rsid w:val="00026641"/>
    <w:rsid w:val="00026D80"/>
    <w:rsid w:val="000277D7"/>
    <w:rsid w:val="00031F30"/>
    <w:rsid w:val="00032269"/>
    <w:rsid w:val="000339D8"/>
    <w:rsid w:val="00036CD9"/>
    <w:rsid w:val="000419BF"/>
    <w:rsid w:val="00051741"/>
    <w:rsid w:val="00054F7C"/>
    <w:rsid w:val="00055225"/>
    <w:rsid w:val="00061A97"/>
    <w:rsid w:val="000624AC"/>
    <w:rsid w:val="000627EE"/>
    <w:rsid w:val="00064883"/>
    <w:rsid w:val="00066472"/>
    <w:rsid w:val="000724C2"/>
    <w:rsid w:val="00077B70"/>
    <w:rsid w:val="00077C2C"/>
    <w:rsid w:val="00081CA0"/>
    <w:rsid w:val="00085434"/>
    <w:rsid w:val="00086784"/>
    <w:rsid w:val="00092AD1"/>
    <w:rsid w:val="00092E2D"/>
    <w:rsid w:val="00095657"/>
    <w:rsid w:val="00095B7C"/>
    <w:rsid w:val="00096286"/>
    <w:rsid w:val="000964C0"/>
    <w:rsid w:val="00096C34"/>
    <w:rsid w:val="000A1D30"/>
    <w:rsid w:val="000A635E"/>
    <w:rsid w:val="000B6A72"/>
    <w:rsid w:val="000D29E7"/>
    <w:rsid w:val="000E00C3"/>
    <w:rsid w:val="000E1E3C"/>
    <w:rsid w:val="000E3C69"/>
    <w:rsid w:val="000E400C"/>
    <w:rsid w:val="000E40D6"/>
    <w:rsid w:val="000F1A39"/>
    <w:rsid w:val="000F4A5C"/>
    <w:rsid w:val="000F4C80"/>
    <w:rsid w:val="0010180A"/>
    <w:rsid w:val="00106F47"/>
    <w:rsid w:val="0011390D"/>
    <w:rsid w:val="001171CC"/>
    <w:rsid w:val="00124AF5"/>
    <w:rsid w:val="00124F05"/>
    <w:rsid w:val="00131A1F"/>
    <w:rsid w:val="00132CE6"/>
    <w:rsid w:val="00135B5B"/>
    <w:rsid w:val="0013608F"/>
    <w:rsid w:val="00143F25"/>
    <w:rsid w:val="0014504D"/>
    <w:rsid w:val="00150C43"/>
    <w:rsid w:val="00164A54"/>
    <w:rsid w:val="00171444"/>
    <w:rsid w:val="0017789F"/>
    <w:rsid w:val="00183EFC"/>
    <w:rsid w:val="00196C00"/>
    <w:rsid w:val="001975AA"/>
    <w:rsid w:val="001A238E"/>
    <w:rsid w:val="001A7D67"/>
    <w:rsid w:val="001B08EB"/>
    <w:rsid w:val="001B4634"/>
    <w:rsid w:val="001B7AB9"/>
    <w:rsid w:val="001B7ACC"/>
    <w:rsid w:val="001D14E1"/>
    <w:rsid w:val="001D6954"/>
    <w:rsid w:val="001D6CC3"/>
    <w:rsid w:val="001E5612"/>
    <w:rsid w:val="001E79E1"/>
    <w:rsid w:val="001F1AA8"/>
    <w:rsid w:val="001F3260"/>
    <w:rsid w:val="0020689F"/>
    <w:rsid w:val="00210643"/>
    <w:rsid w:val="00211780"/>
    <w:rsid w:val="00213C03"/>
    <w:rsid w:val="002163FA"/>
    <w:rsid w:val="00216973"/>
    <w:rsid w:val="00217FEA"/>
    <w:rsid w:val="00221761"/>
    <w:rsid w:val="00222978"/>
    <w:rsid w:val="00224BEE"/>
    <w:rsid w:val="00224D99"/>
    <w:rsid w:val="00225DAB"/>
    <w:rsid w:val="00226EC9"/>
    <w:rsid w:val="0023062A"/>
    <w:rsid w:val="00232664"/>
    <w:rsid w:val="00241CDA"/>
    <w:rsid w:val="002439EC"/>
    <w:rsid w:val="00245244"/>
    <w:rsid w:val="00245DB3"/>
    <w:rsid w:val="0024784F"/>
    <w:rsid w:val="00247B50"/>
    <w:rsid w:val="00250576"/>
    <w:rsid w:val="00253057"/>
    <w:rsid w:val="00253505"/>
    <w:rsid w:val="00253BF3"/>
    <w:rsid w:val="00254659"/>
    <w:rsid w:val="00257874"/>
    <w:rsid w:val="002579FA"/>
    <w:rsid w:val="00260CF8"/>
    <w:rsid w:val="00265E89"/>
    <w:rsid w:val="00267454"/>
    <w:rsid w:val="0027108D"/>
    <w:rsid w:val="00271F43"/>
    <w:rsid w:val="00272614"/>
    <w:rsid w:val="0028137F"/>
    <w:rsid w:val="0028257F"/>
    <w:rsid w:val="00283CD8"/>
    <w:rsid w:val="0029233B"/>
    <w:rsid w:val="00296CC0"/>
    <w:rsid w:val="002A2032"/>
    <w:rsid w:val="002A361C"/>
    <w:rsid w:val="002A45D8"/>
    <w:rsid w:val="002A71FE"/>
    <w:rsid w:val="002A7A95"/>
    <w:rsid w:val="002B58B5"/>
    <w:rsid w:val="002B720F"/>
    <w:rsid w:val="002B7EBB"/>
    <w:rsid w:val="002C036F"/>
    <w:rsid w:val="002C1DD0"/>
    <w:rsid w:val="002C2567"/>
    <w:rsid w:val="002C7590"/>
    <w:rsid w:val="002D039F"/>
    <w:rsid w:val="002D0CA9"/>
    <w:rsid w:val="002D47EA"/>
    <w:rsid w:val="002D5619"/>
    <w:rsid w:val="002D57B5"/>
    <w:rsid w:val="002D6748"/>
    <w:rsid w:val="002E2665"/>
    <w:rsid w:val="002E5B02"/>
    <w:rsid w:val="002F2385"/>
    <w:rsid w:val="002F35EE"/>
    <w:rsid w:val="002F3E2A"/>
    <w:rsid w:val="002F40AF"/>
    <w:rsid w:val="002F4603"/>
    <w:rsid w:val="002F5281"/>
    <w:rsid w:val="002F665F"/>
    <w:rsid w:val="002F72FB"/>
    <w:rsid w:val="00301F5C"/>
    <w:rsid w:val="00304F79"/>
    <w:rsid w:val="00306424"/>
    <w:rsid w:val="00312014"/>
    <w:rsid w:val="0031412B"/>
    <w:rsid w:val="00315007"/>
    <w:rsid w:val="00324EAB"/>
    <w:rsid w:val="00327AC9"/>
    <w:rsid w:val="003327AB"/>
    <w:rsid w:val="0033299F"/>
    <w:rsid w:val="003333AA"/>
    <w:rsid w:val="00336A0C"/>
    <w:rsid w:val="003377DF"/>
    <w:rsid w:val="00340D84"/>
    <w:rsid w:val="00344841"/>
    <w:rsid w:val="003452EB"/>
    <w:rsid w:val="003513BE"/>
    <w:rsid w:val="00351CAB"/>
    <w:rsid w:val="00357CF8"/>
    <w:rsid w:val="0036057B"/>
    <w:rsid w:val="0036118D"/>
    <w:rsid w:val="00364E7D"/>
    <w:rsid w:val="003653FF"/>
    <w:rsid w:val="00367F57"/>
    <w:rsid w:val="0037398F"/>
    <w:rsid w:val="003740A8"/>
    <w:rsid w:val="0037495F"/>
    <w:rsid w:val="00374F4E"/>
    <w:rsid w:val="00375DD8"/>
    <w:rsid w:val="00376311"/>
    <w:rsid w:val="00377E6A"/>
    <w:rsid w:val="00384870"/>
    <w:rsid w:val="00387FC1"/>
    <w:rsid w:val="00390CCB"/>
    <w:rsid w:val="00391507"/>
    <w:rsid w:val="00391717"/>
    <w:rsid w:val="00392087"/>
    <w:rsid w:val="00392AF2"/>
    <w:rsid w:val="0039362D"/>
    <w:rsid w:val="003A1EA4"/>
    <w:rsid w:val="003A24BC"/>
    <w:rsid w:val="003A7FAB"/>
    <w:rsid w:val="003B46A1"/>
    <w:rsid w:val="003C0853"/>
    <w:rsid w:val="003C60BB"/>
    <w:rsid w:val="003C7947"/>
    <w:rsid w:val="003D3655"/>
    <w:rsid w:val="003D389C"/>
    <w:rsid w:val="003E1F9F"/>
    <w:rsid w:val="003E2119"/>
    <w:rsid w:val="003E399A"/>
    <w:rsid w:val="003E5283"/>
    <w:rsid w:val="003E70B9"/>
    <w:rsid w:val="003E7DAD"/>
    <w:rsid w:val="003F193E"/>
    <w:rsid w:val="003F6181"/>
    <w:rsid w:val="003F6EFC"/>
    <w:rsid w:val="004009C7"/>
    <w:rsid w:val="00400A10"/>
    <w:rsid w:val="00400D7E"/>
    <w:rsid w:val="0040274B"/>
    <w:rsid w:val="00404312"/>
    <w:rsid w:val="00404483"/>
    <w:rsid w:val="004065F1"/>
    <w:rsid w:val="00407731"/>
    <w:rsid w:val="0041162F"/>
    <w:rsid w:val="004129E8"/>
    <w:rsid w:val="00416C1B"/>
    <w:rsid w:val="00416EAD"/>
    <w:rsid w:val="00423234"/>
    <w:rsid w:val="00425785"/>
    <w:rsid w:val="0042713E"/>
    <w:rsid w:val="00431F18"/>
    <w:rsid w:val="00432DC2"/>
    <w:rsid w:val="00433EB5"/>
    <w:rsid w:val="00442F85"/>
    <w:rsid w:val="00443F1B"/>
    <w:rsid w:val="00445D8C"/>
    <w:rsid w:val="0045467E"/>
    <w:rsid w:val="00456967"/>
    <w:rsid w:val="00461049"/>
    <w:rsid w:val="00462EF0"/>
    <w:rsid w:val="00463881"/>
    <w:rsid w:val="00466A95"/>
    <w:rsid w:val="00466B9B"/>
    <w:rsid w:val="00470773"/>
    <w:rsid w:val="00471DFE"/>
    <w:rsid w:val="00471EDF"/>
    <w:rsid w:val="004778FB"/>
    <w:rsid w:val="004A0A6A"/>
    <w:rsid w:val="004A2758"/>
    <w:rsid w:val="004A280F"/>
    <w:rsid w:val="004B0CD6"/>
    <w:rsid w:val="004B3814"/>
    <w:rsid w:val="004B7021"/>
    <w:rsid w:val="004C08D5"/>
    <w:rsid w:val="004C0BD0"/>
    <w:rsid w:val="004C150E"/>
    <w:rsid w:val="004C1CA7"/>
    <w:rsid w:val="004D002B"/>
    <w:rsid w:val="004D166F"/>
    <w:rsid w:val="004D16F6"/>
    <w:rsid w:val="004D3964"/>
    <w:rsid w:val="004D558D"/>
    <w:rsid w:val="004E4DD0"/>
    <w:rsid w:val="004E5B08"/>
    <w:rsid w:val="004E6D9F"/>
    <w:rsid w:val="004F43A1"/>
    <w:rsid w:val="004F4C8A"/>
    <w:rsid w:val="004F6444"/>
    <w:rsid w:val="005056AC"/>
    <w:rsid w:val="005058F5"/>
    <w:rsid w:val="0050729F"/>
    <w:rsid w:val="0051586F"/>
    <w:rsid w:val="00520594"/>
    <w:rsid w:val="00531837"/>
    <w:rsid w:val="00531D1A"/>
    <w:rsid w:val="00532D03"/>
    <w:rsid w:val="0053712E"/>
    <w:rsid w:val="00542337"/>
    <w:rsid w:val="00542DC7"/>
    <w:rsid w:val="00544002"/>
    <w:rsid w:val="0055120E"/>
    <w:rsid w:val="00556521"/>
    <w:rsid w:val="00556744"/>
    <w:rsid w:val="00556FD6"/>
    <w:rsid w:val="00560118"/>
    <w:rsid w:val="005607AE"/>
    <w:rsid w:val="00560BF9"/>
    <w:rsid w:val="005723CF"/>
    <w:rsid w:val="00572D38"/>
    <w:rsid w:val="00574B5E"/>
    <w:rsid w:val="005814DE"/>
    <w:rsid w:val="00586785"/>
    <w:rsid w:val="00592681"/>
    <w:rsid w:val="0059571D"/>
    <w:rsid w:val="005A0BE8"/>
    <w:rsid w:val="005A20DD"/>
    <w:rsid w:val="005A25AF"/>
    <w:rsid w:val="005A7DA1"/>
    <w:rsid w:val="005B01D4"/>
    <w:rsid w:val="005B035A"/>
    <w:rsid w:val="005B07FB"/>
    <w:rsid w:val="005B1DF6"/>
    <w:rsid w:val="005B2CD7"/>
    <w:rsid w:val="005B3671"/>
    <w:rsid w:val="005B5109"/>
    <w:rsid w:val="005B6BCD"/>
    <w:rsid w:val="005C26D2"/>
    <w:rsid w:val="005C2A77"/>
    <w:rsid w:val="005C5428"/>
    <w:rsid w:val="005D0C7A"/>
    <w:rsid w:val="005D11C2"/>
    <w:rsid w:val="005D28F0"/>
    <w:rsid w:val="005D359F"/>
    <w:rsid w:val="005D3CFF"/>
    <w:rsid w:val="005E22F6"/>
    <w:rsid w:val="005E3C8D"/>
    <w:rsid w:val="005E5179"/>
    <w:rsid w:val="005F4A29"/>
    <w:rsid w:val="005F4B87"/>
    <w:rsid w:val="005F5BB3"/>
    <w:rsid w:val="005F6687"/>
    <w:rsid w:val="006026F1"/>
    <w:rsid w:val="00606772"/>
    <w:rsid w:val="00607DB3"/>
    <w:rsid w:val="00612ECB"/>
    <w:rsid w:val="006136B5"/>
    <w:rsid w:val="00615CF1"/>
    <w:rsid w:val="0062382F"/>
    <w:rsid w:val="00625FF7"/>
    <w:rsid w:val="0062656C"/>
    <w:rsid w:val="00632737"/>
    <w:rsid w:val="006338AF"/>
    <w:rsid w:val="00633CE6"/>
    <w:rsid w:val="00634375"/>
    <w:rsid w:val="00635E7C"/>
    <w:rsid w:val="00640768"/>
    <w:rsid w:val="00641A64"/>
    <w:rsid w:val="00645A05"/>
    <w:rsid w:val="00647537"/>
    <w:rsid w:val="00650215"/>
    <w:rsid w:val="0065075B"/>
    <w:rsid w:val="00650D1E"/>
    <w:rsid w:val="0065204F"/>
    <w:rsid w:val="00654F6F"/>
    <w:rsid w:val="00661C99"/>
    <w:rsid w:val="00663780"/>
    <w:rsid w:val="00666E74"/>
    <w:rsid w:val="00671251"/>
    <w:rsid w:val="00672832"/>
    <w:rsid w:val="00672D1B"/>
    <w:rsid w:val="00680A1F"/>
    <w:rsid w:val="00682E7A"/>
    <w:rsid w:val="00683A35"/>
    <w:rsid w:val="00684214"/>
    <w:rsid w:val="00686EC8"/>
    <w:rsid w:val="006A32E2"/>
    <w:rsid w:val="006A581D"/>
    <w:rsid w:val="006B00E5"/>
    <w:rsid w:val="006B0296"/>
    <w:rsid w:val="006B6617"/>
    <w:rsid w:val="006C02E5"/>
    <w:rsid w:val="006C1FD0"/>
    <w:rsid w:val="006C1FE7"/>
    <w:rsid w:val="006C3F08"/>
    <w:rsid w:val="006C704D"/>
    <w:rsid w:val="006D1B07"/>
    <w:rsid w:val="006D2031"/>
    <w:rsid w:val="006E01DC"/>
    <w:rsid w:val="006E365A"/>
    <w:rsid w:val="006E5C20"/>
    <w:rsid w:val="006E6004"/>
    <w:rsid w:val="006F3786"/>
    <w:rsid w:val="00701649"/>
    <w:rsid w:val="007029E0"/>
    <w:rsid w:val="007029FE"/>
    <w:rsid w:val="00711663"/>
    <w:rsid w:val="00716A9B"/>
    <w:rsid w:val="00717A1F"/>
    <w:rsid w:val="00717E26"/>
    <w:rsid w:val="00720FDB"/>
    <w:rsid w:val="00723364"/>
    <w:rsid w:val="00724BA0"/>
    <w:rsid w:val="007252E2"/>
    <w:rsid w:val="00730A51"/>
    <w:rsid w:val="007327A7"/>
    <w:rsid w:val="0073294B"/>
    <w:rsid w:val="00734694"/>
    <w:rsid w:val="007366EF"/>
    <w:rsid w:val="0073764A"/>
    <w:rsid w:val="00740DE2"/>
    <w:rsid w:val="007439B5"/>
    <w:rsid w:val="00750AC2"/>
    <w:rsid w:val="00750E81"/>
    <w:rsid w:val="00751BD8"/>
    <w:rsid w:val="007605E0"/>
    <w:rsid w:val="00760E91"/>
    <w:rsid w:val="00762016"/>
    <w:rsid w:val="0076721C"/>
    <w:rsid w:val="00767684"/>
    <w:rsid w:val="00772AD8"/>
    <w:rsid w:val="00773ED6"/>
    <w:rsid w:val="007752C0"/>
    <w:rsid w:val="007761E8"/>
    <w:rsid w:val="007862A2"/>
    <w:rsid w:val="00791820"/>
    <w:rsid w:val="00792E6A"/>
    <w:rsid w:val="00793753"/>
    <w:rsid w:val="00796F35"/>
    <w:rsid w:val="007A2D75"/>
    <w:rsid w:val="007A3A8C"/>
    <w:rsid w:val="007A5F7D"/>
    <w:rsid w:val="007C1D3D"/>
    <w:rsid w:val="007C22BC"/>
    <w:rsid w:val="007C5EFE"/>
    <w:rsid w:val="007D0950"/>
    <w:rsid w:val="007D53DE"/>
    <w:rsid w:val="007E06C7"/>
    <w:rsid w:val="007E08E2"/>
    <w:rsid w:val="007E18A8"/>
    <w:rsid w:val="007E240E"/>
    <w:rsid w:val="007E2DB4"/>
    <w:rsid w:val="007E6C3E"/>
    <w:rsid w:val="007E6E85"/>
    <w:rsid w:val="007F189C"/>
    <w:rsid w:val="007F201A"/>
    <w:rsid w:val="007F4AA3"/>
    <w:rsid w:val="007F6295"/>
    <w:rsid w:val="007F75D9"/>
    <w:rsid w:val="007F7AE1"/>
    <w:rsid w:val="00800181"/>
    <w:rsid w:val="00800239"/>
    <w:rsid w:val="00801F9D"/>
    <w:rsid w:val="008057AF"/>
    <w:rsid w:val="0081368A"/>
    <w:rsid w:val="00813C80"/>
    <w:rsid w:val="0082021B"/>
    <w:rsid w:val="008235BB"/>
    <w:rsid w:val="00825568"/>
    <w:rsid w:val="00826EDC"/>
    <w:rsid w:val="00835977"/>
    <w:rsid w:val="008431A8"/>
    <w:rsid w:val="00847C34"/>
    <w:rsid w:val="008521E9"/>
    <w:rsid w:val="00852806"/>
    <w:rsid w:val="008528CB"/>
    <w:rsid w:val="00853E75"/>
    <w:rsid w:val="008574A8"/>
    <w:rsid w:val="00860286"/>
    <w:rsid w:val="00863E24"/>
    <w:rsid w:val="00864248"/>
    <w:rsid w:val="00871537"/>
    <w:rsid w:val="0088118B"/>
    <w:rsid w:val="00884BCF"/>
    <w:rsid w:val="008867D9"/>
    <w:rsid w:val="00897166"/>
    <w:rsid w:val="008A1DEA"/>
    <w:rsid w:val="008A4636"/>
    <w:rsid w:val="008A4D06"/>
    <w:rsid w:val="008A570A"/>
    <w:rsid w:val="008B3D51"/>
    <w:rsid w:val="008B4F21"/>
    <w:rsid w:val="008B6453"/>
    <w:rsid w:val="008C364F"/>
    <w:rsid w:val="008C4E64"/>
    <w:rsid w:val="008C51CD"/>
    <w:rsid w:val="008D41A3"/>
    <w:rsid w:val="008E0014"/>
    <w:rsid w:val="008E20E4"/>
    <w:rsid w:val="008F0347"/>
    <w:rsid w:val="008F3B9B"/>
    <w:rsid w:val="008F7834"/>
    <w:rsid w:val="009078EF"/>
    <w:rsid w:val="009122B4"/>
    <w:rsid w:val="009124FE"/>
    <w:rsid w:val="00916864"/>
    <w:rsid w:val="00923053"/>
    <w:rsid w:val="00924B7A"/>
    <w:rsid w:val="00925E4D"/>
    <w:rsid w:val="00925FD9"/>
    <w:rsid w:val="00926DF0"/>
    <w:rsid w:val="00927CDC"/>
    <w:rsid w:val="00933B22"/>
    <w:rsid w:val="009355C5"/>
    <w:rsid w:val="0094102C"/>
    <w:rsid w:val="00942940"/>
    <w:rsid w:val="00942FF7"/>
    <w:rsid w:val="00944B3B"/>
    <w:rsid w:val="00946D18"/>
    <w:rsid w:val="00950637"/>
    <w:rsid w:val="00952657"/>
    <w:rsid w:val="00956830"/>
    <w:rsid w:val="00957240"/>
    <w:rsid w:val="00963F26"/>
    <w:rsid w:val="00967DC5"/>
    <w:rsid w:val="00972A96"/>
    <w:rsid w:val="00976D9A"/>
    <w:rsid w:val="00984B33"/>
    <w:rsid w:val="00991119"/>
    <w:rsid w:val="0099163A"/>
    <w:rsid w:val="009A549A"/>
    <w:rsid w:val="009A701F"/>
    <w:rsid w:val="009A77FF"/>
    <w:rsid w:val="009B01A5"/>
    <w:rsid w:val="009B0A82"/>
    <w:rsid w:val="009B329F"/>
    <w:rsid w:val="009B49F2"/>
    <w:rsid w:val="009B6831"/>
    <w:rsid w:val="009C1FA8"/>
    <w:rsid w:val="009C2EC3"/>
    <w:rsid w:val="009C54A7"/>
    <w:rsid w:val="009C5731"/>
    <w:rsid w:val="009D2E37"/>
    <w:rsid w:val="009E0BD0"/>
    <w:rsid w:val="009E244C"/>
    <w:rsid w:val="009E3903"/>
    <w:rsid w:val="009E7F73"/>
    <w:rsid w:val="009F0EB7"/>
    <w:rsid w:val="009F1B8A"/>
    <w:rsid w:val="009F2E25"/>
    <w:rsid w:val="009F63D3"/>
    <w:rsid w:val="009F75C1"/>
    <w:rsid w:val="00A00746"/>
    <w:rsid w:val="00A10B25"/>
    <w:rsid w:val="00A17FB1"/>
    <w:rsid w:val="00A21CA7"/>
    <w:rsid w:val="00A23ED9"/>
    <w:rsid w:val="00A254FF"/>
    <w:rsid w:val="00A26B2F"/>
    <w:rsid w:val="00A32AC8"/>
    <w:rsid w:val="00A332CD"/>
    <w:rsid w:val="00A345AE"/>
    <w:rsid w:val="00A34F39"/>
    <w:rsid w:val="00A35156"/>
    <w:rsid w:val="00A40BDC"/>
    <w:rsid w:val="00A4124D"/>
    <w:rsid w:val="00A42065"/>
    <w:rsid w:val="00A42460"/>
    <w:rsid w:val="00A47816"/>
    <w:rsid w:val="00A53BDA"/>
    <w:rsid w:val="00A551C0"/>
    <w:rsid w:val="00A55979"/>
    <w:rsid w:val="00A56BBC"/>
    <w:rsid w:val="00A57569"/>
    <w:rsid w:val="00A61C26"/>
    <w:rsid w:val="00A725EA"/>
    <w:rsid w:val="00A77213"/>
    <w:rsid w:val="00A84829"/>
    <w:rsid w:val="00A9005D"/>
    <w:rsid w:val="00A91429"/>
    <w:rsid w:val="00A91509"/>
    <w:rsid w:val="00A952B8"/>
    <w:rsid w:val="00A95E83"/>
    <w:rsid w:val="00A966D5"/>
    <w:rsid w:val="00AA15EE"/>
    <w:rsid w:val="00AA540E"/>
    <w:rsid w:val="00AA66F6"/>
    <w:rsid w:val="00AA701D"/>
    <w:rsid w:val="00AA7FB5"/>
    <w:rsid w:val="00AB47BF"/>
    <w:rsid w:val="00AB7572"/>
    <w:rsid w:val="00AB799E"/>
    <w:rsid w:val="00AC15AE"/>
    <w:rsid w:val="00AC25D5"/>
    <w:rsid w:val="00AC25D9"/>
    <w:rsid w:val="00AC4D38"/>
    <w:rsid w:val="00AD1D79"/>
    <w:rsid w:val="00AD5F95"/>
    <w:rsid w:val="00AD6595"/>
    <w:rsid w:val="00AE003A"/>
    <w:rsid w:val="00AE3592"/>
    <w:rsid w:val="00AE6710"/>
    <w:rsid w:val="00AE69AE"/>
    <w:rsid w:val="00AE76D3"/>
    <w:rsid w:val="00AE7C5B"/>
    <w:rsid w:val="00AF0C45"/>
    <w:rsid w:val="00AF115A"/>
    <w:rsid w:val="00AF2E3D"/>
    <w:rsid w:val="00AF6DEB"/>
    <w:rsid w:val="00B02705"/>
    <w:rsid w:val="00B04782"/>
    <w:rsid w:val="00B135AA"/>
    <w:rsid w:val="00B23F8A"/>
    <w:rsid w:val="00B242D4"/>
    <w:rsid w:val="00B243E5"/>
    <w:rsid w:val="00B25D9A"/>
    <w:rsid w:val="00B3194E"/>
    <w:rsid w:val="00B3363C"/>
    <w:rsid w:val="00B33DE8"/>
    <w:rsid w:val="00B344F3"/>
    <w:rsid w:val="00B345B3"/>
    <w:rsid w:val="00B34BAC"/>
    <w:rsid w:val="00B356AF"/>
    <w:rsid w:val="00B46877"/>
    <w:rsid w:val="00B514E6"/>
    <w:rsid w:val="00B60210"/>
    <w:rsid w:val="00B604E4"/>
    <w:rsid w:val="00B613D5"/>
    <w:rsid w:val="00B629CF"/>
    <w:rsid w:val="00B62EB5"/>
    <w:rsid w:val="00B63353"/>
    <w:rsid w:val="00B6359C"/>
    <w:rsid w:val="00B63B00"/>
    <w:rsid w:val="00B64236"/>
    <w:rsid w:val="00B667DA"/>
    <w:rsid w:val="00B70079"/>
    <w:rsid w:val="00B72D01"/>
    <w:rsid w:val="00B84C8E"/>
    <w:rsid w:val="00B85761"/>
    <w:rsid w:val="00B86520"/>
    <w:rsid w:val="00B87044"/>
    <w:rsid w:val="00B96B16"/>
    <w:rsid w:val="00BA6C08"/>
    <w:rsid w:val="00BB446C"/>
    <w:rsid w:val="00BB560B"/>
    <w:rsid w:val="00BC1A8B"/>
    <w:rsid w:val="00BC330D"/>
    <w:rsid w:val="00BD3124"/>
    <w:rsid w:val="00BD381F"/>
    <w:rsid w:val="00BD5F8A"/>
    <w:rsid w:val="00BD6647"/>
    <w:rsid w:val="00BD7657"/>
    <w:rsid w:val="00BD7EDB"/>
    <w:rsid w:val="00BE0371"/>
    <w:rsid w:val="00BE43C6"/>
    <w:rsid w:val="00BE534B"/>
    <w:rsid w:val="00BF1A16"/>
    <w:rsid w:val="00BF7B37"/>
    <w:rsid w:val="00C02050"/>
    <w:rsid w:val="00C044D8"/>
    <w:rsid w:val="00C05CB0"/>
    <w:rsid w:val="00C12078"/>
    <w:rsid w:val="00C20A1F"/>
    <w:rsid w:val="00C221CA"/>
    <w:rsid w:val="00C27040"/>
    <w:rsid w:val="00C30BCD"/>
    <w:rsid w:val="00C3535C"/>
    <w:rsid w:val="00C35529"/>
    <w:rsid w:val="00C44886"/>
    <w:rsid w:val="00C5572E"/>
    <w:rsid w:val="00C737DE"/>
    <w:rsid w:val="00C74574"/>
    <w:rsid w:val="00C7694A"/>
    <w:rsid w:val="00C80F17"/>
    <w:rsid w:val="00C8191B"/>
    <w:rsid w:val="00C822EF"/>
    <w:rsid w:val="00C869EF"/>
    <w:rsid w:val="00C86C2F"/>
    <w:rsid w:val="00C86FDB"/>
    <w:rsid w:val="00C92252"/>
    <w:rsid w:val="00C92ACA"/>
    <w:rsid w:val="00C96EF6"/>
    <w:rsid w:val="00C970F4"/>
    <w:rsid w:val="00CA0196"/>
    <w:rsid w:val="00CA1A16"/>
    <w:rsid w:val="00CA7895"/>
    <w:rsid w:val="00CB00BC"/>
    <w:rsid w:val="00CB43D8"/>
    <w:rsid w:val="00CB5BA6"/>
    <w:rsid w:val="00CB6016"/>
    <w:rsid w:val="00CB6F71"/>
    <w:rsid w:val="00CB7390"/>
    <w:rsid w:val="00CC0593"/>
    <w:rsid w:val="00CC42F0"/>
    <w:rsid w:val="00CC615D"/>
    <w:rsid w:val="00CD56F0"/>
    <w:rsid w:val="00CD5C4C"/>
    <w:rsid w:val="00CD63B2"/>
    <w:rsid w:val="00CD748D"/>
    <w:rsid w:val="00CE3BAB"/>
    <w:rsid w:val="00CE49E6"/>
    <w:rsid w:val="00CE6901"/>
    <w:rsid w:val="00CF6164"/>
    <w:rsid w:val="00CF6C39"/>
    <w:rsid w:val="00CF704F"/>
    <w:rsid w:val="00D02AC3"/>
    <w:rsid w:val="00D02CB8"/>
    <w:rsid w:val="00D06131"/>
    <w:rsid w:val="00D1017A"/>
    <w:rsid w:val="00D11274"/>
    <w:rsid w:val="00D14009"/>
    <w:rsid w:val="00D165ED"/>
    <w:rsid w:val="00D23090"/>
    <w:rsid w:val="00D23E97"/>
    <w:rsid w:val="00D23F59"/>
    <w:rsid w:val="00D311E1"/>
    <w:rsid w:val="00D31EA7"/>
    <w:rsid w:val="00D348B8"/>
    <w:rsid w:val="00D36261"/>
    <w:rsid w:val="00D36491"/>
    <w:rsid w:val="00D36D84"/>
    <w:rsid w:val="00D40935"/>
    <w:rsid w:val="00D433A3"/>
    <w:rsid w:val="00D43790"/>
    <w:rsid w:val="00D450DB"/>
    <w:rsid w:val="00D53247"/>
    <w:rsid w:val="00D53CF7"/>
    <w:rsid w:val="00D5550A"/>
    <w:rsid w:val="00D62683"/>
    <w:rsid w:val="00D64BCC"/>
    <w:rsid w:val="00D64F7B"/>
    <w:rsid w:val="00D654A6"/>
    <w:rsid w:val="00D65FD7"/>
    <w:rsid w:val="00D74573"/>
    <w:rsid w:val="00D748E7"/>
    <w:rsid w:val="00D80343"/>
    <w:rsid w:val="00D825A1"/>
    <w:rsid w:val="00D85A87"/>
    <w:rsid w:val="00D85B2B"/>
    <w:rsid w:val="00D87394"/>
    <w:rsid w:val="00D873CF"/>
    <w:rsid w:val="00D92583"/>
    <w:rsid w:val="00D9408E"/>
    <w:rsid w:val="00D94F93"/>
    <w:rsid w:val="00D95913"/>
    <w:rsid w:val="00D96C44"/>
    <w:rsid w:val="00D97DD2"/>
    <w:rsid w:val="00DA2DB0"/>
    <w:rsid w:val="00DA5F79"/>
    <w:rsid w:val="00DA6689"/>
    <w:rsid w:val="00DA742D"/>
    <w:rsid w:val="00DB44F5"/>
    <w:rsid w:val="00DB4BFB"/>
    <w:rsid w:val="00DB6E02"/>
    <w:rsid w:val="00DC135C"/>
    <w:rsid w:val="00DC46A9"/>
    <w:rsid w:val="00DC5221"/>
    <w:rsid w:val="00DC5DD6"/>
    <w:rsid w:val="00DD1AF4"/>
    <w:rsid w:val="00DD3921"/>
    <w:rsid w:val="00DE081E"/>
    <w:rsid w:val="00DE4862"/>
    <w:rsid w:val="00DE5DFD"/>
    <w:rsid w:val="00DE77D3"/>
    <w:rsid w:val="00DF36A5"/>
    <w:rsid w:val="00DF41E3"/>
    <w:rsid w:val="00E06B31"/>
    <w:rsid w:val="00E072BB"/>
    <w:rsid w:val="00E07D9E"/>
    <w:rsid w:val="00E144E7"/>
    <w:rsid w:val="00E16E1D"/>
    <w:rsid w:val="00E220B2"/>
    <w:rsid w:val="00E24B46"/>
    <w:rsid w:val="00E2541F"/>
    <w:rsid w:val="00E2600F"/>
    <w:rsid w:val="00E26D5D"/>
    <w:rsid w:val="00E34A7A"/>
    <w:rsid w:val="00E36244"/>
    <w:rsid w:val="00E45829"/>
    <w:rsid w:val="00E526A8"/>
    <w:rsid w:val="00E567D1"/>
    <w:rsid w:val="00E622E8"/>
    <w:rsid w:val="00E7260C"/>
    <w:rsid w:val="00E75064"/>
    <w:rsid w:val="00E80A3C"/>
    <w:rsid w:val="00E8157F"/>
    <w:rsid w:val="00E86824"/>
    <w:rsid w:val="00E86A17"/>
    <w:rsid w:val="00E90C3B"/>
    <w:rsid w:val="00E90ECE"/>
    <w:rsid w:val="00E913F8"/>
    <w:rsid w:val="00E92BE4"/>
    <w:rsid w:val="00E9310B"/>
    <w:rsid w:val="00E9586C"/>
    <w:rsid w:val="00E96EB4"/>
    <w:rsid w:val="00EB0A31"/>
    <w:rsid w:val="00EB27ED"/>
    <w:rsid w:val="00EB2879"/>
    <w:rsid w:val="00EB7F25"/>
    <w:rsid w:val="00EC027B"/>
    <w:rsid w:val="00EC2629"/>
    <w:rsid w:val="00EC3978"/>
    <w:rsid w:val="00EC4D06"/>
    <w:rsid w:val="00ED137A"/>
    <w:rsid w:val="00ED3297"/>
    <w:rsid w:val="00ED674B"/>
    <w:rsid w:val="00ED755F"/>
    <w:rsid w:val="00ED7DFF"/>
    <w:rsid w:val="00EE1A6F"/>
    <w:rsid w:val="00EE2DB7"/>
    <w:rsid w:val="00EE69C8"/>
    <w:rsid w:val="00EE7661"/>
    <w:rsid w:val="00EF1EC4"/>
    <w:rsid w:val="00EF629F"/>
    <w:rsid w:val="00EF7075"/>
    <w:rsid w:val="00F00BE0"/>
    <w:rsid w:val="00F07648"/>
    <w:rsid w:val="00F107B8"/>
    <w:rsid w:val="00F12F72"/>
    <w:rsid w:val="00F14533"/>
    <w:rsid w:val="00F20302"/>
    <w:rsid w:val="00F21DAD"/>
    <w:rsid w:val="00F253B2"/>
    <w:rsid w:val="00F277C7"/>
    <w:rsid w:val="00F31648"/>
    <w:rsid w:val="00F32343"/>
    <w:rsid w:val="00F32F6E"/>
    <w:rsid w:val="00F504CE"/>
    <w:rsid w:val="00F523C1"/>
    <w:rsid w:val="00F525B2"/>
    <w:rsid w:val="00F64D6B"/>
    <w:rsid w:val="00F70B3B"/>
    <w:rsid w:val="00F7597A"/>
    <w:rsid w:val="00F7599A"/>
    <w:rsid w:val="00F8085C"/>
    <w:rsid w:val="00F83B64"/>
    <w:rsid w:val="00F83E46"/>
    <w:rsid w:val="00F8651B"/>
    <w:rsid w:val="00F94152"/>
    <w:rsid w:val="00FA1097"/>
    <w:rsid w:val="00FA38EC"/>
    <w:rsid w:val="00FB10F2"/>
    <w:rsid w:val="00FB20B5"/>
    <w:rsid w:val="00FB31A1"/>
    <w:rsid w:val="00FB4E38"/>
    <w:rsid w:val="00FC20A0"/>
    <w:rsid w:val="00FC57C4"/>
    <w:rsid w:val="00FE0351"/>
    <w:rsid w:val="00FE7958"/>
    <w:rsid w:val="00FF1C76"/>
    <w:rsid w:val="00FF4A7D"/>
    <w:rsid w:val="00FF4DCC"/>
    <w:rsid w:val="16A51F5D"/>
    <w:rsid w:val="32093F8A"/>
    <w:rsid w:val="352C5DDC"/>
    <w:rsid w:val="4FF9D40B"/>
    <w:rsid w:val="50DD20E5"/>
    <w:rsid w:val="53BF4EA0"/>
    <w:rsid w:val="547FEE0E"/>
    <w:rsid w:val="57DF8ED9"/>
    <w:rsid w:val="59DB94D4"/>
    <w:rsid w:val="5EDF47C3"/>
    <w:rsid w:val="5FEF057D"/>
    <w:rsid w:val="5FFBDE96"/>
    <w:rsid w:val="6C5840EA"/>
    <w:rsid w:val="6DA77450"/>
    <w:rsid w:val="727D21BE"/>
    <w:rsid w:val="73E96517"/>
    <w:rsid w:val="77F5C16A"/>
    <w:rsid w:val="78F1511F"/>
    <w:rsid w:val="7DBF336E"/>
    <w:rsid w:val="7DE63A10"/>
    <w:rsid w:val="7EFDE7CD"/>
    <w:rsid w:val="7FFB2C62"/>
    <w:rsid w:val="97FF4DF3"/>
    <w:rsid w:val="9FBF15CA"/>
    <w:rsid w:val="ABF38AB1"/>
    <w:rsid w:val="ADBF1E0C"/>
    <w:rsid w:val="AFFE6B78"/>
    <w:rsid w:val="B6FE5619"/>
    <w:rsid w:val="B87F7378"/>
    <w:rsid w:val="BBEF0D2B"/>
    <w:rsid w:val="BDED36D8"/>
    <w:rsid w:val="BFDDA3B8"/>
    <w:rsid w:val="CEE72BFB"/>
    <w:rsid w:val="D1EB796F"/>
    <w:rsid w:val="F5FF70ED"/>
    <w:rsid w:val="F9BFD6C8"/>
    <w:rsid w:val="FC4BD75B"/>
    <w:rsid w:val="FD377A17"/>
    <w:rsid w:val="FEFCFEBB"/>
    <w:rsid w:val="FFFF0D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9888D"/>
  <w15:chartTrackingRefBased/>
  <w15:docId w15:val="{09DDC1A0-B73A-4E09-A39B-0453A52D4E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qFormat="1"/>
    <w:lsdException w:name="List Bullet 2" w:qFormat="1"/>
    <w:lsdException w:name="List Number 3" w:qFormat="1"/>
    <w:lsdException w:name="Title" w:qFormat="1"/>
    <w:lsdException w:name="Default Paragraph Font" w:semiHidden="1"/>
    <w:lsdException w:name="Subtitle" w:qFormat="1"/>
    <w:lsdException w:name="Hyperlink" w:unhideWhenUsed="1"/>
    <w:lsdException w:name="Strong" w:qFormat="1"/>
    <w:lsdException w:name="Emphasis" w:uiPriority="20"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uiPriority="39"/>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semiHidden/>
  </w:style>
  <w:style w:type="table" w:default="1" w:styleId="a1">
    <w:name w:val="Normal Table"/>
    <w:semiHidden/>
    <w:tblPr>
      <w:tblCellMar>
        <w:top w:w="0" w:type="dxa"/>
        <w:left w:w="108" w:type="dxa"/>
        <w:bottom w:w="0" w:type="dxa"/>
        <w:right w:w="108" w:type="dxa"/>
      </w:tblCellMar>
    </w:tblPr>
  </w:style>
  <w:style w:type="numbering" w:default="1" w:styleId="a2">
    <w:name w:val="No List"/>
    <w:uiPriority w:val="99"/>
    <w:semiHidden/>
    <w:unhideWhenUsed/>
  </w:style>
  <w:style w:type="paragraph" w:styleId="a3">
    <w:name w:val="macro"/>
    <w:link w:val="a4"/>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4">
    <w:name w:val="宏文本 字符"/>
    <w:link w:val="a3"/>
    <w:rPr>
      <w:rFonts w:ascii="Courier New" w:hAnsi="Courier New" w:cs="Courier New"/>
      <w:lang w:eastAsia="en-US"/>
    </w:rPr>
  </w:style>
  <w:style w:type="character" w:customStyle="1" w:styleId="10">
    <w:name w:val="标题 1 字符"/>
    <w:link w:val="1"/>
    <w:rPr>
      <w:rFonts w:ascii="Arial" w:hAnsi="Arial"/>
      <w:sz w:val="36"/>
      <w:lang w:eastAsia="en-US"/>
    </w:rPr>
  </w:style>
  <w:style w:type="character" w:customStyle="1" w:styleId="20">
    <w:name w:val="标题 2 字符"/>
    <w:link w:val="2"/>
    <w:rPr>
      <w:rFonts w:ascii="Arial" w:hAnsi="Arial"/>
      <w:sz w:val="32"/>
      <w:lang w:eastAsia="en-US"/>
    </w:rPr>
  </w:style>
  <w:style w:type="character" w:customStyle="1" w:styleId="30">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
    <w:qFormat/>
    <w:rPr>
      <w:rFonts w:ascii="Arial" w:hAnsi="Arial"/>
      <w:sz w:val="28"/>
      <w:lang w:eastAsia="en-US"/>
    </w:rPr>
  </w:style>
  <w:style w:type="character" w:customStyle="1" w:styleId="40">
    <w:name w:val="标题 4 字符"/>
    <w:link w:val="4"/>
    <w:qFormat/>
    <w:rPr>
      <w:rFonts w:ascii="Arial" w:hAnsi="Arial"/>
      <w:sz w:val="24"/>
      <w:lang w:eastAsia="en-US"/>
    </w:rPr>
  </w:style>
  <w:style w:type="character" w:customStyle="1" w:styleId="50">
    <w:name w:val="标题 5 字符"/>
    <w:link w:val="5"/>
    <w:rPr>
      <w:rFonts w:ascii="Arial" w:hAnsi="Arial"/>
      <w:sz w:val="22"/>
      <w:lang w:eastAsia="en-US"/>
    </w:rPr>
  </w:style>
  <w:style w:type="paragraph" w:customStyle="1" w:styleId="H6">
    <w:name w:val="H6"/>
    <w:basedOn w:val="5"/>
    <w:next w:val="a"/>
    <w:link w:val="H60"/>
    <w:qFormat/>
    <w:pPr>
      <w:ind w:left="1985" w:hanging="1985"/>
      <w:outlineLvl w:val="9"/>
    </w:pPr>
    <w:rPr>
      <w:sz w:val="20"/>
    </w:rPr>
  </w:style>
  <w:style w:type="character" w:customStyle="1" w:styleId="H60">
    <w:name w:val="H6 (文字)"/>
    <w:link w:val="H6"/>
    <w:rPr>
      <w:rFonts w:ascii="Arial" w:hAnsi="Arial"/>
      <w:lang w:eastAsia="en-US"/>
    </w:rPr>
  </w:style>
  <w:style w:type="character" w:customStyle="1" w:styleId="60">
    <w:name w:val="标题 6 字符"/>
    <w:link w:val="6"/>
    <w:rPr>
      <w:rFonts w:ascii="Arial" w:hAnsi="Arial"/>
      <w:lang w:eastAsia="en-US"/>
    </w:rPr>
  </w:style>
  <w:style w:type="character" w:customStyle="1" w:styleId="70">
    <w:name w:val="标题 7 字符"/>
    <w:link w:val="7"/>
    <w:rPr>
      <w:rFonts w:ascii="Arial" w:hAnsi="Arial"/>
      <w:lang w:eastAsia="en-US"/>
    </w:rPr>
  </w:style>
  <w:style w:type="character" w:customStyle="1" w:styleId="80">
    <w:name w:val="标题 8 字符"/>
    <w:link w:val="8"/>
    <w:rPr>
      <w:rFonts w:ascii="Arial" w:hAnsi="Arial"/>
      <w:sz w:val="36"/>
      <w:lang w:eastAsia="en-US"/>
    </w:rPr>
  </w:style>
  <w:style w:type="character" w:customStyle="1" w:styleId="90">
    <w:name w:val="标题 9 字符"/>
    <w:link w:val="9"/>
    <w:rPr>
      <w:rFonts w:ascii="Arial" w:hAnsi="Arial"/>
      <w:sz w:val="36"/>
      <w:lang w:eastAsia="en-US"/>
    </w:rPr>
  </w:style>
  <w:style w:type="paragraph" w:styleId="31">
    <w:name w:val="List 3"/>
    <w:basedOn w:val="21"/>
    <w:pPr>
      <w:ind w:leftChars="400" w:left="100" w:hanging="200"/>
    </w:pPr>
  </w:style>
  <w:style w:type="paragraph" w:styleId="21">
    <w:name w:val="List 2"/>
    <w:basedOn w:val="a5"/>
    <w:pPr>
      <w:ind w:left="566" w:hanging="283"/>
    </w:pPr>
  </w:style>
  <w:style w:type="paragraph" w:styleId="a5">
    <w:name w:val="List"/>
    <w:basedOn w:val="a"/>
    <w:pPr>
      <w:ind w:left="200" w:hangingChars="200" w:hanging="200"/>
      <w:contextualSpacing/>
    </w:pPr>
  </w:style>
  <w:style w:type="paragraph" w:styleId="TOC7">
    <w:name w:val="toc 7"/>
    <w:basedOn w:val="TOC6"/>
    <w:next w:val="a"/>
    <w:uiPriority w:val="39"/>
    <w:pPr>
      <w:ind w:left="2268" w:hanging="2268"/>
    </w:pPr>
  </w:style>
  <w:style w:type="paragraph" w:styleId="TOC6">
    <w:name w:val="toc 6"/>
    <w:basedOn w:val="TOC5"/>
    <w:next w:val="a"/>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
    <w:pPr>
      <w:numPr>
        <w:numId w:val="1"/>
      </w:numPr>
      <w:tabs>
        <w:tab w:val="left" w:pos="643"/>
      </w:tabs>
      <w:contextualSpacing/>
    </w:pPr>
  </w:style>
  <w:style w:type="paragraph" w:styleId="a6">
    <w:name w:val="table of authorities"/>
    <w:basedOn w:val="a"/>
    <w:next w:val="a"/>
    <w:pPr>
      <w:ind w:left="200" w:hanging="200"/>
    </w:pPr>
  </w:style>
  <w:style w:type="paragraph" w:styleId="a7">
    <w:name w:val="Note Heading"/>
    <w:basedOn w:val="a"/>
    <w:next w:val="a"/>
    <w:link w:val="a8"/>
  </w:style>
  <w:style w:type="character" w:customStyle="1" w:styleId="a8">
    <w:name w:val="注释标题 字符"/>
    <w:link w:val="a7"/>
    <w:rPr>
      <w:lang w:eastAsia="en-US"/>
    </w:rPr>
  </w:style>
  <w:style w:type="paragraph" w:styleId="41">
    <w:name w:val="List Bullet 4"/>
    <w:basedOn w:val="a"/>
    <w:pPr>
      <w:numPr>
        <w:numId w:val="2"/>
      </w:numPr>
      <w:tabs>
        <w:tab w:val="left" w:pos="1209"/>
      </w:tabs>
      <w:contextualSpacing/>
    </w:pPr>
  </w:style>
  <w:style w:type="paragraph" w:styleId="81">
    <w:name w:val="index 8"/>
    <w:basedOn w:val="a"/>
    <w:next w:val="a"/>
    <w:pPr>
      <w:ind w:left="1600" w:hanging="200"/>
    </w:pPr>
  </w:style>
  <w:style w:type="paragraph" w:styleId="a9">
    <w:name w:val="E-mail Signature"/>
    <w:basedOn w:val="a"/>
    <w:link w:val="aa"/>
  </w:style>
  <w:style w:type="character" w:customStyle="1" w:styleId="aa">
    <w:name w:val="电子邮件签名 字符"/>
    <w:link w:val="a9"/>
    <w:rPr>
      <w:lang w:eastAsia="en-US"/>
    </w:rPr>
  </w:style>
  <w:style w:type="paragraph" w:styleId="ab">
    <w:name w:val="List Number"/>
    <w:basedOn w:val="a"/>
    <w:pPr>
      <w:numPr>
        <w:numId w:val="3"/>
      </w:numPr>
      <w:tabs>
        <w:tab w:val="left" w:pos="360"/>
      </w:tabs>
      <w:contextualSpacing/>
    </w:pPr>
  </w:style>
  <w:style w:type="paragraph" w:styleId="ac">
    <w:name w:val="Normal Indent"/>
    <w:basedOn w:val="a"/>
    <w:pPr>
      <w:ind w:left="720"/>
    </w:pPr>
  </w:style>
  <w:style w:type="paragraph" w:styleId="ad">
    <w:name w:val="caption"/>
    <w:basedOn w:val="a"/>
    <w:next w:val="a"/>
    <w:qFormat/>
    <w:rPr>
      <w:b/>
      <w:bCs/>
    </w:rPr>
  </w:style>
  <w:style w:type="paragraph" w:styleId="51">
    <w:name w:val="index 5"/>
    <w:basedOn w:val="a"/>
    <w:next w:val="a"/>
    <w:pPr>
      <w:ind w:left="1000" w:hanging="200"/>
    </w:pPr>
  </w:style>
  <w:style w:type="paragraph" w:styleId="ae">
    <w:name w:val="List Bullet"/>
    <w:basedOn w:val="a5"/>
    <w:pPr>
      <w:ind w:left="568" w:firstLineChars="0" w:hanging="284"/>
    </w:pPr>
    <w:rPr>
      <w:rFonts w:eastAsia="Batang"/>
    </w:rPr>
  </w:style>
  <w:style w:type="paragraph" w:styleId="af">
    <w:name w:val="envelope address"/>
    <w:basedOn w:val="a"/>
    <w:pPr>
      <w:framePr w:w="7920" w:h="1980" w:hRule="exact" w:hSpace="180" w:wrap="auto" w:hAnchor="page" w:xAlign="center" w:yAlign="bottom"/>
      <w:ind w:left="2880"/>
    </w:pPr>
    <w:rPr>
      <w:rFonts w:ascii="Calibri Light" w:eastAsia="Yu Gothic Light" w:hAnsi="Calibri Light"/>
      <w:sz w:val="24"/>
      <w:szCs w:val="24"/>
    </w:rPr>
  </w:style>
  <w:style w:type="paragraph" w:styleId="af0">
    <w:name w:val="Document Map"/>
    <w:basedOn w:val="a"/>
    <w:link w:val="af1"/>
    <w:qFormat/>
    <w:rPr>
      <w:rFonts w:ascii="宋体"/>
      <w:sz w:val="18"/>
      <w:szCs w:val="18"/>
    </w:rPr>
  </w:style>
  <w:style w:type="character" w:customStyle="1" w:styleId="af1">
    <w:name w:val="文档结构图 字符"/>
    <w:link w:val="af0"/>
    <w:qFormat/>
    <w:rPr>
      <w:rFonts w:ascii="宋体"/>
      <w:sz w:val="18"/>
      <w:szCs w:val="18"/>
      <w:lang w:eastAsia="en-US"/>
    </w:rPr>
  </w:style>
  <w:style w:type="paragraph" w:styleId="af2">
    <w:name w:val="toa heading"/>
    <w:basedOn w:val="a"/>
    <w:next w:val="a"/>
    <w:pPr>
      <w:spacing w:before="120"/>
    </w:pPr>
    <w:rPr>
      <w:rFonts w:ascii="Calibri Light" w:eastAsia="Yu Gothic Light" w:hAnsi="Calibri Light"/>
      <w:b/>
      <w:bCs/>
      <w:sz w:val="24"/>
      <w:szCs w:val="24"/>
    </w:rPr>
  </w:style>
  <w:style w:type="paragraph" w:styleId="af3">
    <w:name w:val="annotation text"/>
    <w:basedOn w:val="a"/>
    <w:link w:val="af4"/>
    <w:qFormat/>
  </w:style>
  <w:style w:type="character" w:customStyle="1" w:styleId="af4">
    <w:name w:val="批注文字 字符"/>
    <w:link w:val="af3"/>
    <w:rPr>
      <w:lang w:eastAsia="en-US"/>
    </w:rPr>
  </w:style>
  <w:style w:type="paragraph" w:styleId="61">
    <w:name w:val="index 6"/>
    <w:basedOn w:val="a"/>
    <w:next w:val="a"/>
    <w:pPr>
      <w:ind w:left="1200" w:hanging="200"/>
    </w:pPr>
  </w:style>
  <w:style w:type="paragraph" w:styleId="af5">
    <w:name w:val="Salutation"/>
    <w:basedOn w:val="a"/>
    <w:next w:val="a"/>
    <w:link w:val="af6"/>
  </w:style>
  <w:style w:type="character" w:customStyle="1" w:styleId="af6">
    <w:name w:val="称呼 字符"/>
    <w:link w:val="af5"/>
    <w:rPr>
      <w:lang w:eastAsia="en-US"/>
    </w:rPr>
  </w:style>
  <w:style w:type="paragraph" w:styleId="32">
    <w:name w:val="Body Text 3"/>
    <w:basedOn w:val="a"/>
    <w:link w:val="33"/>
    <w:pPr>
      <w:spacing w:after="120"/>
    </w:pPr>
    <w:rPr>
      <w:sz w:val="16"/>
      <w:szCs w:val="16"/>
    </w:rPr>
  </w:style>
  <w:style w:type="character" w:customStyle="1" w:styleId="33">
    <w:name w:val="正文文本 3 字符"/>
    <w:link w:val="32"/>
    <w:rPr>
      <w:sz w:val="16"/>
      <w:szCs w:val="16"/>
      <w:lang w:eastAsia="en-US"/>
    </w:rPr>
  </w:style>
  <w:style w:type="paragraph" w:styleId="af7">
    <w:name w:val="Closing"/>
    <w:basedOn w:val="a"/>
    <w:link w:val="af8"/>
    <w:pPr>
      <w:ind w:left="4252"/>
    </w:pPr>
  </w:style>
  <w:style w:type="character" w:customStyle="1" w:styleId="af8">
    <w:name w:val="结束语 字符"/>
    <w:link w:val="af7"/>
    <w:rPr>
      <w:lang w:eastAsia="en-US"/>
    </w:rPr>
  </w:style>
  <w:style w:type="paragraph" w:styleId="34">
    <w:name w:val="List Bullet 3"/>
    <w:basedOn w:val="a"/>
    <w:pPr>
      <w:numPr>
        <w:numId w:val="4"/>
      </w:numPr>
      <w:tabs>
        <w:tab w:val="left" w:pos="926"/>
      </w:tabs>
      <w:contextualSpacing/>
    </w:pPr>
  </w:style>
  <w:style w:type="paragraph" w:styleId="af9">
    <w:name w:val="Body Text"/>
    <w:basedOn w:val="a"/>
    <w:link w:val="afa"/>
    <w:pPr>
      <w:spacing w:after="120"/>
    </w:pPr>
  </w:style>
  <w:style w:type="character" w:customStyle="1" w:styleId="afa">
    <w:name w:val="正文文本 字符"/>
    <w:link w:val="af9"/>
    <w:rPr>
      <w:lang w:eastAsia="en-US"/>
    </w:rPr>
  </w:style>
  <w:style w:type="paragraph" w:styleId="afb">
    <w:name w:val="Body Text Indent"/>
    <w:basedOn w:val="a"/>
    <w:link w:val="afc"/>
    <w:pPr>
      <w:spacing w:after="120"/>
      <w:ind w:left="283"/>
    </w:pPr>
  </w:style>
  <w:style w:type="character" w:customStyle="1" w:styleId="afc">
    <w:name w:val="正文文本缩进 字符"/>
    <w:link w:val="afb"/>
    <w:rPr>
      <w:lang w:eastAsia="en-US"/>
    </w:rPr>
  </w:style>
  <w:style w:type="paragraph" w:styleId="35">
    <w:name w:val="List Number 3"/>
    <w:basedOn w:val="a"/>
    <w:qFormat/>
    <w:pPr>
      <w:numPr>
        <w:numId w:val="5"/>
      </w:numPr>
      <w:tabs>
        <w:tab w:val="left" w:pos="926"/>
      </w:tabs>
      <w:contextualSpacing/>
    </w:pPr>
  </w:style>
  <w:style w:type="paragraph" w:styleId="afd">
    <w:name w:val="List Continue"/>
    <w:basedOn w:val="a"/>
    <w:pPr>
      <w:spacing w:after="120"/>
      <w:ind w:left="283"/>
      <w:contextualSpacing/>
    </w:pPr>
  </w:style>
  <w:style w:type="paragraph" w:styleId="afe">
    <w:name w:val="Block Text"/>
    <w:basedOn w:val="a"/>
    <w:pPr>
      <w:spacing w:after="120"/>
      <w:ind w:left="1440" w:right="1440"/>
    </w:pPr>
  </w:style>
  <w:style w:type="paragraph" w:styleId="23">
    <w:name w:val="List Bullet 2"/>
    <w:basedOn w:val="a"/>
    <w:qFormat/>
    <w:pPr>
      <w:numPr>
        <w:numId w:val="6"/>
      </w:numPr>
      <w:tabs>
        <w:tab w:val="left" w:pos="643"/>
      </w:tabs>
      <w:contextualSpacing/>
    </w:pPr>
  </w:style>
  <w:style w:type="paragraph" w:styleId="HTML">
    <w:name w:val="HTML Address"/>
    <w:basedOn w:val="a"/>
    <w:link w:val="HTML0"/>
    <w:rPr>
      <w:i/>
      <w:iCs/>
    </w:rPr>
  </w:style>
  <w:style w:type="character" w:customStyle="1" w:styleId="HTML0">
    <w:name w:val="HTML 地址 字符"/>
    <w:link w:val="HTML"/>
    <w:rPr>
      <w:i/>
      <w:iCs/>
      <w:lang w:eastAsia="en-US"/>
    </w:rPr>
  </w:style>
  <w:style w:type="paragraph" w:styleId="42">
    <w:name w:val="index 4"/>
    <w:basedOn w:val="a"/>
    <w:next w:val="a"/>
    <w:pPr>
      <w:ind w:left="800" w:hanging="200"/>
    </w:pPr>
  </w:style>
  <w:style w:type="paragraph" w:styleId="aff">
    <w:name w:val="Plain Text"/>
    <w:basedOn w:val="a"/>
    <w:link w:val="aff0"/>
    <w:qFormat/>
    <w:rPr>
      <w:rFonts w:ascii="Courier New" w:hAnsi="Courier New" w:cs="Courier New"/>
    </w:rPr>
  </w:style>
  <w:style w:type="character" w:customStyle="1" w:styleId="aff0">
    <w:name w:val="纯文本 字符"/>
    <w:link w:val="aff"/>
    <w:qFormat/>
    <w:rPr>
      <w:rFonts w:ascii="Courier New" w:hAnsi="Courier New" w:cs="Courier New"/>
      <w:lang w:eastAsia="en-US"/>
    </w:rPr>
  </w:style>
  <w:style w:type="paragraph" w:styleId="52">
    <w:name w:val="List Bullet 5"/>
    <w:basedOn w:val="a"/>
    <w:pPr>
      <w:numPr>
        <w:numId w:val="7"/>
      </w:numPr>
      <w:tabs>
        <w:tab w:val="left" w:pos="1492"/>
      </w:tabs>
      <w:contextualSpacing/>
    </w:pPr>
  </w:style>
  <w:style w:type="paragraph" w:styleId="43">
    <w:name w:val="List Number 4"/>
    <w:basedOn w:val="a"/>
    <w:pPr>
      <w:numPr>
        <w:numId w:val="8"/>
      </w:numPr>
      <w:tabs>
        <w:tab w:val="left" w:pos="1209"/>
      </w:tabs>
      <w:contextualSpacing/>
    </w:pPr>
  </w:style>
  <w:style w:type="paragraph" w:styleId="TOC8">
    <w:name w:val="toc 8"/>
    <w:basedOn w:val="TOC1"/>
    <w:uiPriority w:val="39"/>
    <w:pPr>
      <w:spacing w:before="180"/>
      <w:ind w:left="2693" w:hanging="2693"/>
    </w:pPr>
    <w:rPr>
      <w:b/>
    </w:rPr>
  </w:style>
  <w:style w:type="paragraph" w:styleId="36">
    <w:name w:val="index 3"/>
    <w:basedOn w:val="a"/>
    <w:next w:val="a"/>
    <w:pPr>
      <w:ind w:left="600" w:hanging="200"/>
    </w:pPr>
  </w:style>
  <w:style w:type="paragraph" w:styleId="aff1">
    <w:name w:val="Date"/>
    <w:basedOn w:val="a"/>
    <w:next w:val="a"/>
    <w:link w:val="aff2"/>
  </w:style>
  <w:style w:type="character" w:customStyle="1" w:styleId="aff2">
    <w:name w:val="日期 字符"/>
    <w:link w:val="aff1"/>
    <w:rPr>
      <w:lang w:eastAsia="en-US"/>
    </w:rPr>
  </w:style>
  <w:style w:type="paragraph" w:styleId="24">
    <w:name w:val="Body Text Indent 2"/>
    <w:basedOn w:val="a"/>
    <w:link w:val="25"/>
    <w:pPr>
      <w:spacing w:after="120" w:line="480" w:lineRule="auto"/>
      <w:ind w:left="283"/>
    </w:pPr>
  </w:style>
  <w:style w:type="character" w:customStyle="1" w:styleId="25">
    <w:name w:val="正文文本缩进 2 字符"/>
    <w:link w:val="24"/>
    <w:rPr>
      <w:lang w:eastAsia="en-US"/>
    </w:rPr>
  </w:style>
  <w:style w:type="paragraph" w:styleId="aff3">
    <w:name w:val="endnote text"/>
    <w:basedOn w:val="a"/>
    <w:link w:val="aff4"/>
  </w:style>
  <w:style w:type="character" w:customStyle="1" w:styleId="aff4">
    <w:name w:val="尾注文本 字符"/>
    <w:link w:val="aff3"/>
    <w:rPr>
      <w:lang w:eastAsia="en-US"/>
    </w:rPr>
  </w:style>
  <w:style w:type="paragraph" w:styleId="53">
    <w:name w:val="List Continue 5"/>
    <w:basedOn w:val="a"/>
    <w:pPr>
      <w:spacing w:after="120"/>
      <w:ind w:left="1415"/>
      <w:contextualSpacing/>
    </w:pPr>
  </w:style>
  <w:style w:type="paragraph" w:styleId="aff5">
    <w:name w:val="Balloon Text"/>
    <w:basedOn w:val="a"/>
    <w:link w:val="aff6"/>
    <w:pPr>
      <w:spacing w:after="0"/>
    </w:pPr>
    <w:rPr>
      <w:rFonts w:ascii="Segoe UI" w:hAnsi="Segoe UI"/>
      <w:sz w:val="18"/>
      <w:szCs w:val="18"/>
    </w:rPr>
  </w:style>
  <w:style w:type="character" w:customStyle="1" w:styleId="aff6">
    <w:name w:val="批注框文本 字符"/>
    <w:link w:val="aff5"/>
    <w:rPr>
      <w:rFonts w:ascii="Segoe UI" w:hAnsi="Segoe UI"/>
      <w:sz w:val="18"/>
      <w:szCs w:val="18"/>
      <w:lang w:eastAsia="en-US"/>
    </w:rPr>
  </w:style>
  <w:style w:type="paragraph" w:styleId="aff7">
    <w:name w:val="footer"/>
    <w:basedOn w:val="aff8"/>
    <w:link w:val="aff9"/>
    <w:qFormat/>
    <w:pPr>
      <w:jc w:val="center"/>
    </w:pPr>
    <w:rPr>
      <w:i/>
    </w:rPr>
  </w:style>
  <w:style w:type="paragraph" w:styleId="aff8">
    <w:name w:val="header"/>
    <w:aliases w:val="header odd,header odd1,header odd2,header odd3,header odd4,header odd5,header odd6,header,header1,header2,header3,header odd11,header odd21,header odd7,header4,header odd8,header odd9,header5,header odd12,header11,header21,header odd22,header31,h"/>
    <w:link w:val="affa"/>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affa">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ff8"/>
    <w:rPr>
      <w:rFonts w:ascii="Arial" w:hAnsi="Arial"/>
      <w:b/>
      <w:sz w:val="18"/>
    </w:rPr>
  </w:style>
  <w:style w:type="character" w:customStyle="1" w:styleId="aff9">
    <w:name w:val="页脚 字符"/>
    <w:link w:val="aff7"/>
    <w:rPr>
      <w:rFonts w:ascii="Arial" w:hAnsi="Arial"/>
      <w:b/>
      <w:i/>
      <w:sz w:val="18"/>
    </w:rPr>
  </w:style>
  <w:style w:type="paragraph" w:styleId="affb">
    <w:name w:val="envelope return"/>
    <w:basedOn w:val="a"/>
    <w:rPr>
      <w:rFonts w:ascii="Calibri Light" w:eastAsia="Yu Gothic Light" w:hAnsi="Calibri Light"/>
    </w:rPr>
  </w:style>
  <w:style w:type="paragraph" w:styleId="affc">
    <w:name w:val="Signature"/>
    <w:basedOn w:val="a"/>
    <w:link w:val="affd"/>
    <w:pPr>
      <w:ind w:left="4252"/>
    </w:pPr>
  </w:style>
  <w:style w:type="character" w:customStyle="1" w:styleId="affd">
    <w:name w:val="签名 字符"/>
    <w:link w:val="affc"/>
    <w:rPr>
      <w:lang w:eastAsia="en-US"/>
    </w:rPr>
  </w:style>
  <w:style w:type="paragraph" w:styleId="44">
    <w:name w:val="List Continue 4"/>
    <w:basedOn w:val="a"/>
    <w:pPr>
      <w:spacing w:after="120"/>
      <w:ind w:left="1132"/>
      <w:contextualSpacing/>
    </w:pPr>
  </w:style>
  <w:style w:type="paragraph" w:styleId="affe">
    <w:name w:val="index heading"/>
    <w:basedOn w:val="a"/>
    <w:next w:val="11"/>
    <w:rPr>
      <w:rFonts w:ascii="Calibri Light" w:eastAsia="Yu Gothic Light" w:hAnsi="Calibri Light"/>
      <w:b/>
      <w:bCs/>
    </w:rPr>
  </w:style>
  <w:style w:type="paragraph" w:styleId="11">
    <w:name w:val="index 1"/>
    <w:basedOn w:val="a"/>
    <w:next w:val="a"/>
    <w:pPr>
      <w:ind w:left="200" w:hanging="200"/>
    </w:pPr>
  </w:style>
  <w:style w:type="paragraph" w:styleId="afff">
    <w:name w:val="Subtitle"/>
    <w:basedOn w:val="a"/>
    <w:next w:val="a"/>
    <w:link w:val="afff0"/>
    <w:qFormat/>
    <w:pPr>
      <w:spacing w:after="60"/>
      <w:jc w:val="center"/>
      <w:outlineLvl w:val="1"/>
    </w:pPr>
    <w:rPr>
      <w:rFonts w:ascii="Calibri Light" w:eastAsia="Yu Gothic Light" w:hAnsi="Calibri Light"/>
      <w:sz w:val="24"/>
      <w:szCs w:val="24"/>
    </w:rPr>
  </w:style>
  <w:style w:type="character" w:customStyle="1" w:styleId="afff0">
    <w:name w:val="副标题 字符"/>
    <w:link w:val="afff"/>
    <w:rPr>
      <w:rFonts w:ascii="Calibri Light" w:eastAsia="Yu Gothic Light" w:hAnsi="Calibri Light"/>
      <w:sz w:val="24"/>
      <w:szCs w:val="24"/>
      <w:lang w:eastAsia="en-US"/>
    </w:rPr>
  </w:style>
  <w:style w:type="paragraph" w:styleId="54">
    <w:name w:val="List Number 5"/>
    <w:basedOn w:val="a"/>
    <w:pPr>
      <w:numPr>
        <w:numId w:val="9"/>
      </w:numPr>
      <w:tabs>
        <w:tab w:val="left" w:pos="1492"/>
      </w:tabs>
      <w:contextualSpacing/>
    </w:pPr>
  </w:style>
  <w:style w:type="paragraph" w:styleId="afff1">
    <w:name w:val="footnote text"/>
    <w:basedOn w:val="a"/>
    <w:link w:val="afff2"/>
    <w:qFormat/>
  </w:style>
  <w:style w:type="character" w:customStyle="1" w:styleId="afff2">
    <w:name w:val="脚注文本 字符"/>
    <w:link w:val="afff1"/>
    <w:rPr>
      <w:lang w:eastAsia="en-US"/>
    </w:rPr>
  </w:style>
  <w:style w:type="paragraph" w:styleId="55">
    <w:name w:val="List 5"/>
    <w:basedOn w:val="a"/>
    <w:pPr>
      <w:ind w:left="1415" w:hanging="283"/>
      <w:contextualSpacing/>
    </w:pPr>
  </w:style>
  <w:style w:type="paragraph" w:styleId="37">
    <w:name w:val="Body Text Indent 3"/>
    <w:basedOn w:val="a"/>
    <w:link w:val="38"/>
    <w:pPr>
      <w:spacing w:after="120"/>
      <w:ind w:left="283"/>
    </w:pPr>
    <w:rPr>
      <w:sz w:val="16"/>
      <w:szCs w:val="16"/>
    </w:rPr>
  </w:style>
  <w:style w:type="character" w:customStyle="1" w:styleId="38">
    <w:name w:val="正文文本缩进 3 字符"/>
    <w:link w:val="37"/>
    <w:rPr>
      <w:sz w:val="16"/>
      <w:szCs w:val="16"/>
      <w:lang w:eastAsia="en-US"/>
    </w:rPr>
  </w:style>
  <w:style w:type="paragraph" w:styleId="71">
    <w:name w:val="index 7"/>
    <w:basedOn w:val="a"/>
    <w:next w:val="a"/>
    <w:pPr>
      <w:ind w:left="1400" w:hanging="200"/>
    </w:pPr>
  </w:style>
  <w:style w:type="paragraph" w:styleId="91">
    <w:name w:val="index 9"/>
    <w:basedOn w:val="a"/>
    <w:next w:val="a"/>
    <w:pPr>
      <w:ind w:left="1800" w:hanging="200"/>
    </w:pPr>
  </w:style>
  <w:style w:type="paragraph" w:styleId="afff3">
    <w:name w:val="table of figures"/>
    <w:basedOn w:val="a"/>
    <w:next w:val="a"/>
  </w:style>
  <w:style w:type="paragraph" w:styleId="TOC9">
    <w:name w:val="toc 9"/>
    <w:basedOn w:val="TOC8"/>
    <w:uiPriority w:val="39"/>
    <w:pPr>
      <w:ind w:left="1418" w:hanging="1418"/>
    </w:pPr>
  </w:style>
  <w:style w:type="paragraph" w:styleId="26">
    <w:name w:val="Body Text 2"/>
    <w:basedOn w:val="a"/>
    <w:link w:val="27"/>
    <w:pPr>
      <w:spacing w:after="120" w:line="480" w:lineRule="auto"/>
    </w:pPr>
  </w:style>
  <w:style w:type="character" w:customStyle="1" w:styleId="27">
    <w:name w:val="正文文本 2 字符"/>
    <w:link w:val="26"/>
    <w:rPr>
      <w:lang w:eastAsia="en-US"/>
    </w:rPr>
  </w:style>
  <w:style w:type="paragraph" w:styleId="45">
    <w:name w:val="List 4"/>
    <w:basedOn w:val="a"/>
    <w:pPr>
      <w:ind w:left="1132" w:hanging="283"/>
      <w:contextualSpacing/>
    </w:pPr>
  </w:style>
  <w:style w:type="paragraph" w:styleId="28">
    <w:name w:val="List Continue 2"/>
    <w:basedOn w:val="a"/>
    <w:pPr>
      <w:spacing w:after="120"/>
      <w:ind w:left="566"/>
      <w:contextualSpacing/>
    </w:pPr>
  </w:style>
  <w:style w:type="paragraph" w:styleId="afff4">
    <w:name w:val="Message Header"/>
    <w:basedOn w:val="a"/>
    <w:link w:val="aff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Pr>
      <w:rFonts w:ascii="Calibri Light" w:eastAsia="Yu Gothic Light" w:hAnsi="Calibri Light"/>
      <w:sz w:val="24"/>
      <w:szCs w:val="24"/>
      <w:shd w:val="pct20" w:color="auto" w:fill="auto"/>
      <w:lang w:eastAsia="en-US"/>
    </w:rPr>
  </w:style>
  <w:style w:type="paragraph" w:styleId="HTML1">
    <w:name w:val="HTML Preformatted"/>
    <w:basedOn w:val="a"/>
    <w:link w:val="HTML2"/>
    <w:rPr>
      <w:rFonts w:ascii="Courier New" w:hAnsi="Courier New" w:cs="Courier New"/>
    </w:rPr>
  </w:style>
  <w:style w:type="character" w:customStyle="1" w:styleId="HTML2">
    <w:name w:val="HTML 预设格式 字符"/>
    <w:link w:val="HTML1"/>
    <w:rPr>
      <w:rFonts w:ascii="Courier New" w:hAnsi="Courier New" w:cs="Courier New"/>
      <w:lang w:eastAsia="en-US"/>
    </w:rPr>
  </w:style>
  <w:style w:type="paragraph" w:styleId="afff6">
    <w:name w:val="Normal (Web)"/>
    <w:basedOn w:val="a"/>
    <w:rPr>
      <w:sz w:val="24"/>
      <w:szCs w:val="24"/>
    </w:rPr>
  </w:style>
  <w:style w:type="paragraph" w:styleId="39">
    <w:name w:val="List Continue 3"/>
    <w:basedOn w:val="a"/>
    <w:pPr>
      <w:spacing w:after="120"/>
      <w:ind w:left="849"/>
      <w:contextualSpacing/>
    </w:pPr>
  </w:style>
  <w:style w:type="paragraph" w:styleId="29">
    <w:name w:val="index 2"/>
    <w:basedOn w:val="a"/>
    <w:next w:val="a"/>
    <w:pPr>
      <w:ind w:left="400" w:hanging="200"/>
    </w:pPr>
  </w:style>
  <w:style w:type="paragraph" w:styleId="afff7">
    <w:name w:val="Title"/>
    <w:basedOn w:val="a"/>
    <w:next w:val="a"/>
    <w:link w:val="afff8"/>
    <w:qFormat/>
    <w:pPr>
      <w:spacing w:before="240" w:after="60"/>
      <w:jc w:val="center"/>
      <w:outlineLvl w:val="0"/>
    </w:pPr>
    <w:rPr>
      <w:rFonts w:ascii="Calibri Light" w:eastAsia="Yu Gothic Light" w:hAnsi="Calibri Light"/>
      <w:b/>
      <w:bCs/>
      <w:kern w:val="28"/>
      <w:sz w:val="32"/>
      <w:szCs w:val="32"/>
    </w:rPr>
  </w:style>
  <w:style w:type="character" w:customStyle="1" w:styleId="afff8">
    <w:name w:val="标题 字符"/>
    <w:link w:val="afff7"/>
    <w:rPr>
      <w:rFonts w:ascii="Calibri Light" w:eastAsia="Yu Gothic Light" w:hAnsi="Calibri Light"/>
      <w:b/>
      <w:bCs/>
      <w:kern w:val="28"/>
      <w:sz w:val="32"/>
      <w:szCs w:val="32"/>
      <w:lang w:eastAsia="en-US"/>
    </w:rPr>
  </w:style>
  <w:style w:type="paragraph" w:styleId="afff9">
    <w:name w:val="annotation subject"/>
    <w:basedOn w:val="af3"/>
    <w:next w:val="af3"/>
    <w:link w:val="afffa"/>
    <w:rPr>
      <w:b/>
      <w:bCs/>
    </w:rPr>
  </w:style>
  <w:style w:type="character" w:customStyle="1" w:styleId="afffa">
    <w:name w:val="批注主题 字符"/>
    <w:link w:val="afff9"/>
    <w:rPr>
      <w:b/>
      <w:bCs/>
      <w:lang w:eastAsia="en-US"/>
    </w:rPr>
  </w:style>
  <w:style w:type="paragraph" w:styleId="afffb">
    <w:name w:val="Body Text First Indent"/>
    <w:basedOn w:val="af9"/>
    <w:link w:val="afffc"/>
    <w:pPr>
      <w:ind w:firstLine="210"/>
    </w:pPr>
  </w:style>
  <w:style w:type="character" w:customStyle="1" w:styleId="afffc">
    <w:name w:val="正文文本首行缩进 字符"/>
    <w:link w:val="afffb"/>
    <w:rPr>
      <w:lang w:eastAsia="en-US"/>
    </w:rPr>
  </w:style>
  <w:style w:type="paragraph" w:styleId="2a">
    <w:name w:val="Body Text First Indent 2"/>
    <w:basedOn w:val="afb"/>
    <w:link w:val="2b"/>
    <w:pPr>
      <w:ind w:firstLine="210"/>
    </w:pPr>
  </w:style>
  <w:style w:type="character" w:customStyle="1" w:styleId="2b">
    <w:name w:val="正文文本首行缩进 2 字符"/>
    <w:link w:val="2a"/>
    <w:rPr>
      <w:lang w:eastAsia="en-US"/>
    </w:rPr>
  </w:style>
  <w:style w:type="table" w:styleId="afffd">
    <w:name w:val="Table Grid"/>
    <w:basedOn w:val="a1"/>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Strong"/>
    <w:qFormat/>
    <w:rPr>
      <w:b/>
      <w:bCs/>
    </w:rPr>
  </w:style>
  <w:style w:type="character" w:styleId="affff">
    <w:name w:val="FollowedHyperlink"/>
    <w:rPr>
      <w:color w:val="954F72"/>
      <w:u w:val="single"/>
    </w:rPr>
  </w:style>
  <w:style w:type="character" w:styleId="affff0">
    <w:name w:val="Emphasis"/>
    <w:uiPriority w:val="20"/>
    <w:qFormat/>
    <w:rPr>
      <w:i/>
      <w:iCs/>
    </w:rPr>
  </w:style>
  <w:style w:type="character" w:styleId="affff1">
    <w:name w:val="Hyperlink"/>
    <w:unhideWhenUsed/>
    <w:rPr>
      <w:color w:val="0000FF"/>
      <w:u w:val="single"/>
    </w:rPr>
  </w:style>
  <w:style w:type="character" w:styleId="affff2">
    <w:name w:val="annotation reference"/>
    <w:rPr>
      <w:sz w:val="16"/>
      <w:szCs w:val="16"/>
    </w:rPr>
  </w:style>
  <w:style w:type="character" w:styleId="affff3">
    <w:name w:val="footnote reference"/>
    <w:rPr>
      <w:b/>
      <w:position w:val="6"/>
      <w:sz w:val="16"/>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Pr>
      <w:lang w:eastAsia="en-US"/>
    </w:rPr>
  </w:style>
  <w:style w:type="paragraph" w:customStyle="1" w:styleId="B1">
    <w:name w:val="B1"/>
    <w:basedOn w:val="a5"/>
    <w:link w:val="B1Char"/>
    <w:qFormat/>
    <w:pPr>
      <w:ind w:left="568" w:firstLineChars="0" w:hanging="284"/>
    </w:pPr>
  </w:style>
  <w:style w:type="character" w:customStyle="1" w:styleId="B1Char">
    <w:name w:val="B1 Char"/>
    <w:link w:val="B1"/>
    <w:qFormat/>
    <w:rPr>
      <w:lang w:eastAsia="en-US"/>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21"/>
    <w:link w:val="B2Char"/>
    <w:qFormat/>
    <w:pPr>
      <w:ind w:left="851" w:firstLineChars="0" w:hanging="284"/>
    </w:pPr>
  </w:style>
  <w:style w:type="character" w:customStyle="1" w:styleId="B2Char">
    <w:name w:val="B2 Char"/>
    <w:link w:val="B2"/>
    <w:qFormat/>
    <w:rPr>
      <w:lang w:eastAsia="en-US"/>
    </w:rPr>
  </w:style>
  <w:style w:type="paragraph" w:customStyle="1" w:styleId="B3">
    <w:name w:val="B3"/>
    <w:basedOn w:val="31"/>
    <w:link w:val="B3Char2"/>
    <w:qFormat/>
    <w:pPr>
      <w:ind w:leftChars="0" w:left="1135" w:firstLineChars="0" w:hanging="284"/>
    </w:pPr>
  </w:style>
  <w:style w:type="character" w:customStyle="1" w:styleId="B3Char2">
    <w:name w:val="B3 Char2"/>
    <w:link w:val="B3"/>
    <w:qFormat/>
    <w:locked/>
    <w:rPr>
      <w:lang w:eastAsia="en-US"/>
    </w:rPr>
  </w:style>
  <w:style w:type="paragraph" w:customStyle="1" w:styleId="B4">
    <w:name w:val="B4"/>
    <w:basedOn w:val="a"/>
    <w:qFormat/>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TOC">
    <w:name w:val="TOC Heading"/>
    <w:basedOn w:val="1"/>
    <w:next w:val="a"/>
    <w:uiPriority w:val="39"/>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a"/>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0">
    <w:name w:val="B1+"/>
    <w:basedOn w:val="B1"/>
    <w:pPr>
      <w:numPr>
        <w:numId w:val="10"/>
      </w:numPr>
      <w:tabs>
        <w:tab w:val="left" w:pos="737"/>
      </w:tabs>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character" w:styleId="affff4">
    <w:name w:val="Unresolved Mention"/>
    <w:uiPriority w:val="99"/>
    <w:unhideWhenUsed/>
    <w:rPr>
      <w:color w:val="808080"/>
      <w:shd w:val="clear" w:color="auto" w:fill="E6E6E6"/>
    </w:rPr>
  </w:style>
  <w:style w:type="paragraph" w:customStyle="1" w:styleId="CRCoverPage">
    <w:name w:val="CR Cover Page"/>
    <w:link w:val="CRCoverPageZchn"/>
    <w:qFormat/>
    <w:pPr>
      <w:spacing w:after="120"/>
    </w:pPr>
    <w:rPr>
      <w:rFonts w:ascii="Arial" w:eastAsia="Batang" w:hAnsi="Arial"/>
      <w:lang w:val="en-GB" w:eastAsia="en-US"/>
    </w:rPr>
  </w:style>
  <w:style w:type="character" w:customStyle="1" w:styleId="CRCoverPageZchn">
    <w:name w:val="CR Cover Page Zchn"/>
    <w:link w:val="CRCoverPage"/>
    <w:qFormat/>
    <w:rPr>
      <w:rFonts w:ascii="Arial" w:eastAsia="Batang" w:hAnsi="Arial"/>
      <w:lang w:eastAsia="en-US"/>
    </w:rPr>
  </w:style>
  <w:style w:type="character" w:customStyle="1" w:styleId="EditorsNoteCharChar">
    <w:name w:val="Editor's Note Char Char"/>
    <w:qFormat/>
    <w:locked/>
    <w:rPr>
      <w:color w:val="FF0000"/>
      <w:lang w:val="en-GB" w:eastAsia="en-US"/>
    </w:rPr>
  </w:style>
  <w:style w:type="character" w:customStyle="1" w:styleId="TAN0">
    <w:name w:val="TAN (文字)"/>
    <w:rPr>
      <w:rFonts w:ascii="Arial" w:eastAsia="Batang" w:hAnsi="Arial"/>
      <w:sz w:val="18"/>
      <w:lang w:val="en-GB" w:eastAsia="en-US" w:bidi="ar-SA"/>
    </w:rPr>
  </w:style>
  <w:style w:type="character" w:customStyle="1" w:styleId="EditorsNoteZchn">
    <w:name w:val="Editor's Note Zchn"/>
    <w:rPr>
      <w:rFonts w:ascii="Times New Roman" w:hAnsi="Times New Roman"/>
      <w:color w:val="FF0000"/>
      <w:lang w:val="en-GB" w:eastAsia="en-US"/>
    </w:rPr>
  </w:style>
  <w:style w:type="table" w:customStyle="1" w:styleId="12">
    <w:name w:val="网格型1"/>
    <w:basedOn w:val="a1"/>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pPr>
      <w:spacing w:before="100" w:beforeAutospacing="1" w:after="100" w:afterAutospacing="1"/>
    </w:pPr>
    <w:rPr>
      <w:rFonts w:ascii="宋体" w:hAnsi="宋体" w:cs="宋体"/>
      <w:sz w:val="24"/>
      <w:szCs w:val="24"/>
      <w:lang w:eastAsia="zh-CN"/>
    </w:rPr>
  </w:style>
  <w:style w:type="paragraph" w:styleId="affff5">
    <w:name w:val="Revision"/>
    <w:uiPriority w:val="99"/>
    <w:semiHidden/>
    <w:rPr>
      <w:lang w:val="en-GB" w:eastAsia="en-US"/>
    </w:rPr>
  </w:style>
  <w:style w:type="character" w:customStyle="1" w:styleId="510">
    <w:name w:val="标题 5 字符1"/>
    <w:semiHidden/>
    <w:locked/>
    <w:rPr>
      <w:rFonts w:ascii="Arial" w:hAnsi="Arial"/>
      <w:sz w:val="22"/>
      <w:lang w:val="en-GB" w:eastAsia="en-US"/>
    </w:rPr>
  </w:style>
  <w:style w:type="paragraph" w:styleId="affff6">
    <w:name w:val="Bibliography"/>
    <w:basedOn w:val="a"/>
    <w:next w:val="a"/>
    <w:uiPriority w:val="37"/>
    <w:unhideWhenUsed/>
  </w:style>
  <w:style w:type="paragraph" w:styleId="affff7">
    <w:name w:val="Intense Quote"/>
    <w:basedOn w:val="a"/>
    <w:next w:val="a"/>
    <w:link w:val="affff8"/>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8">
    <w:name w:val="明显引用 字符"/>
    <w:link w:val="affff7"/>
    <w:uiPriority w:val="30"/>
    <w:rPr>
      <w:i/>
      <w:iCs/>
      <w:color w:val="4472C4"/>
      <w:lang w:eastAsia="en-US"/>
    </w:rPr>
  </w:style>
  <w:style w:type="paragraph" w:styleId="affff9">
    <w:name w:val="List Paragraph"/>
    <w:basedOn w:val="a"/>
    <w:uiPriority w:val="34"/>
    <w:qFormat/>
    <w:pPr>
      <w:ind w:left="720"/>
    </w:pPr>
  </w:style>
  <w:style w:type="paragraph" w:styleId="affffa">
    <w:name w:val="No Spacing"/>
    <w:uiPriority w:val="1"/>
    <w:qFormat/>
    <w:rPr>
      <w:lang w:val="en-GB" w:eastAsia="en-US"/>
    </w:rPr>
  </w:style>
  <w:style w:type="paragraph" w:styleId="affffb">
    <w:name w:val="Quote"/>
    <w:basedOn w:val="a"/>
    <w:next w:val="a"/>
    <w:link w:val="affffc"/>
    <w:uiPriority w:val="29"/>
    <w:qFormat/>
    <w:pPr>
      <w:spacing w:before="200" w:after="160"/>
      <w:ind w:left="864" w:right="864"/>
      <w:jc w:val="center"/>
    </w:pPr>
    <w:rPr>
      <w:i/>
      <w:iCs/>
      <w:color w:val="404040"/>
    </w:rPr>
  </w:style>
  <w:style w:type="character" w:customStyle="1" w:styleId="affffc">
    <w:name w:val="引用 字符"/>
    <w:link w:val="affffb"/>
    <w:uiPriority w:val="29"/>
    <w:rPr>
      <w:i/>
      <w:iCs/>
      <w:color w:val="404040"/>
      <w:lang w:eastAsia="en-US"/>
    </w:rPr>
  </w:style>
  <w:style w:type="character" w:customStyle="1" w:styleId="THZchn">
    <w:name w:val="TH Zchn"/>
    <w:rPr>
      <w:rFonts w:ascii="Arial" w:hAnsi="Arial"/>
      <w:b/>
      <w:lang w:eastAsia="en-US"/>
    </w:rPr>
  </w:style>
  <w:style w:type="character" w:customStyle="1" w:styleId="B3Char">
    <w:name w:val="B3 Char"/>
    <w:qFormat/>
    <w:rPr>
      <w:lang w:eastAsia="en-US"/>
    </w:rPr>
  </w:style>
  <w:style w:type="paragraph" w:customStyle="1" w:styleId="FL">
    <w:name w:val="FL"/>
    <w:basedOn w:val="a"/>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ui-provider">
    <w:name w:val="ui-provider"/>
  </w:style>
  <w:style w:type="paragraph" w:customStyle="1" w:styleId="AltNormal">
    <w:name w:val="AltNormal"/>
    <w:basedOn w:val="a"/>
    <w:link w:val="AltNormalChar"/>
    <w:pPr>
      <w:spacing w:before="120" w:after="0"/>
    </w:pPr>
    <w:rPr>
      <w:rFonts w:ascii="Arial" w:eastAsia="等线" w:hAnsi="Arial"/>
    </w:rPr>
  </w:style>
  <w:style w:type="character" w:customStyle="1" w:styleId="AltNormalChar">
    <w:name w:val="AltNormal Char"/>
    <w:link w:val="AltNormal"/>
    <w:rPr>
      <w:rFonts w:ascii="Arial" w:eastAsia="等线" w:hAnsi="Arial"/>
      <w:lang w:eastAsia="en-US"/>
    </w:rPr>
  </w:style>
  <w:style w:type="character" w:customStyle="1" w:styleId="UnresolvedMention1">
    <w:name w:val="Unresolved Mention1"/>
    <w:uiPriority w:val="99"/>
    <w:unhideWhenUsed/>
    <w:rPr>
      <w:color w:val="605E5C"/>
      <w:shd w:val="clear" w:color="auto" w:fill="E1DFDD"/>
    </w:rPr>
  </w:style>
  <w:style w:type="paragraph" w:customStyle="1" w:styleId="tdoc-header">
    <w:name w:val="tdoc-header"/>
    <w:rPr>
      <w:rFonts w:ascii="Arial" w:hAnsi="Arial"/>
      <w:sz w:val="24"/>
      <w:lang w:val="en-GB" w:eastAsia="en-US"/>
    </w:rPr>
  </w:style>
  <w:style w:type="character" w:customStyle="1" w:styleId="B1Char1">
    <w:name w:val="B1 Char1"/>
    <w:qFormat/>
    <w:rPr>
      <w:rFonts w:ascii="Times New Roman" w:hAnsi="Times New Roman"/>
      <w:lang w:val="en-GB"/>
    </w:rPr>
  </w:style>
  <w:style w:type="paragraph" w:customStyle="1" w:styleId="TemplateH4">
    <w:name w:val="TemplateH4"/>
    <w:basedOn w:val="a"/>
    <w:qFormat/>
    <w:pPr>
      <w:overflowPunct w:val="0"/>
      <w:autoSpaceDE w:val="0"/>
      <w:autoSpaceDN w:val="0"/>
      <w:adjustRightInd w:val="0"/>
      <w:textAlignment w:val="baseline"/>
    </w:pPr>
    <w:rPr>
      <w:rFonts w:ascii="Arial" w:eastAsia="等线" w:hAnsi="Arial" w:cs="Arial"/>
      <w:sz w:val="24"/>
      <w:szCs w:val="24"/>
    </w:rPr>
  </w:style>
  <w:style w:type="paragraph" w:customStyle="1" w:styleId="TemplateH3">
    <w:name w:val="TemplateH3"/>
    <w:basedOn w:val="a"/>
    <w:qFormat/>
    <w:pPr>
      <w:overflowPunct w:val="0"/>
      <w:autoSpaceDE w:val="0"/>
      <w:autoSpaceDN w:val="0"/>
      <w:adjustRightInd w:val="0"/>
      <w:textAlignment w:val="baseline"/>
    </w:pPr>
    <w:rPr>
      <w:rFonts w:ascii="Arial" w:eastAsia="等线"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eastAsia="等线" w:hAnsi="Arial" w:cs="Arial"/>
      <w:sz w:val="32"/>
      <w:szCs w:val="32"/>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520">
    <w:name w:val="标题 5 字符2"/>
    <w:rPr>
      <w:rFonts w:ascii="Arial" w:hAnsi="Arial"/>
      <w:sz w:val="22"/>
      <w:lang w:val="en-GB" w:eastAsia="en-US"/>
    </w:rPr>
  </w:style>
  <w:style w:type="character" w:customStyle="1" w:styleId="UnresolvedMention2">
    <w:name w:val="Unresolved Mention2"/>
    <w:uiPriority w:val="99"/>
    <w:unhideWhenUsed/>
    <w:rPr>
      <w:color w:val="808080"/>
      <w:shd w:val="clear" w:color="auto" w:fill="E6E6E6"/>
    </w:rPr>
  </w:style>
  <w:style w:type="paragraph" w:customStyle="1" w:styleId="Style1">
    <w:name w:val="Style1"/>
    <w:basedOn w:val="8"/>
    <w:qFormat/>
    <w:pPr>
      <w:pageBreakBefore/>
    </w:pPr>
  </w:style>
  <w:style w:type="paragraph" w:customStyle="1" w:styleId="b20">
    <w:name w:val="b2"/>
    <w:basedOn w:val="a"/>
    <w:pPr>
      <w:spacing w:before="100" w:beforeAutospacing="1" w:after="100" w:afterAutospacing="1"/>
    </w:pPr>
    <w:rPr>
      <w:rFonts w:ascii="宋体" w:hAnsi="宋体" w:cs="宋体"/>
      <w:sz w:val="24"/>
      <w:szCs w:val="24"/>
      <w:lang w:eastAsia="zh-CN"/>
    </w:rPr>
  </w:style>
  <w:style w:type="paragraph" w:customStyle="1" w:styleId="tal0">
    <w:name w:val="tal"/>
    <w:basedOn w:val="a"/>
    <w:pPr>
      <w:spacing w:before="100" w:beforeAutospacing="1" w:after="100" w:afterAutospacing="1"/>
    </w:pPr>
    <w:rPr>
      <w:rFonts w:ascii="宋体" w:hAnsi="宋体" w:cs="宋体"/>
      <w:sz w:val="24"/>
      <w:szCs w:val="24"/>
      <w:lang w:eastAsia="zh-CN"/>
    </w:rPr>
  </w:style>
  <w:style w:type="character" w:customStyle="1" w:styleId="1Char1">
    <w:name w:val="标题 1 Char1"/>
    <w:rPr>
      <w:rFonts w:ascii="Arial" w:hAnsi="Arial"/>
      <w:sz w:val="36"/>
      <w:lang w:eastAsia="en-US"/>
    </w:rPr>
  </w:style>
  <w:style w:type="character" w:customStyle="1" w:styleId="abstractlabel">
    <w:name w:val="abstractlabel"/>
  </w:style>
  <w:style w:type="character" w:customStyle="1" w:styleId="5Char1">
    <w:name w:val="标题 5 Char1"/>
    <w:rPr>
      <w:rFonts w:ascii="Arial" w:hAnsi="Arial"/>
      <w:sz w:val="22"/>
      <w:lang w:val="en-GB" w:eastAsia="en-US"/>
    </w:rPr>
  </w:style>
  <w:style w:type="character" w:customStyle="1" w:styleId="apple-converted-space">
    <w:name w:val="apple-converted-space"/>
  </w:style>
  <w:style w:type="character" w:customStyle="1" w:styleId="EXChar">
    <w:name w:val="EX Char"/>
    <w:rPr>
      <w:rFonts w:ascii="Times New Roman" w:hAnsi="Times New Roman"/>
      <w:lang w:val="en-GB"/>
    </w:rPr>
  </w:style>
  <w:style w:type="character" w:customStyle="1" w:styleId="opdict3font24">
    <w:name w:val="op_dict3_font24"/>
  </w:style>
  <w:style w:type="character" w:customStyle="1" w:styleId="HTTPMethod">
    <w:name w:val="HTTP Method"/>
    <w:uiPriority w:val="1"/>
    <w:qFormat/>
    <w:rPr>
      <w:rFonts w:ascii="Courier New" w:hAnsi="Courier New"/>
      <w:i w:val="0"/>
      <w:sz w:val="18"/>
    </w:rPr>
  </w:style>
  <w:style w:type="character" w:customStyle="1" w:styleId="Code">
    <w:name w:val="Code"/>
    <w:uiPriority w:val="1"/>
    <w:qFormat/>
    <w:rPr>
      <w:rFonts w:ascii="Arial" w:hAnsi="Arial"/>
      <w:i/>
      <w:sz w:val="18"/>
      <w:shd w:val="clear" w:color="auto" w:fill="auto"/>
    </w:rPr>
  </w:style>
  <w:style w:type="character" w:customStyle="1" w:styleId="HTTPHeader">
    <w:name w:val="HTTP Header"/>
    <w:uiPriority w:val="1"/>
    <w:qFormat/>
    <w:rPr>
      <w:rFonts w:ascii="Courier New" w:hAnsi="Courier New"/>
      <w:spacing w:val="-5"/>
      <w:sz w:val="18"/>
    </w:rPr>
  </w:style>
  <w:style w:type="character" w:customStyle="1" w:styleId="HTTPResponse">
    <w:name w:val="HTTP Response"/>
    <w:uiPriority w:val="1"/>
    <w:qFormat/>
    <w:rPr>
      <w:rFonts w:ascii="Arial" w:hAnsi="Arial" w:cs="Courier New"/>
      <w:i/>
      <w:sz w:val="18"/>
      <w:lang w:val="en-US"/>
    </w:rPr>
  </w:style>
  <w:style w:type="character" w:customStyle="1" w:styleId="Codechar">
    <w:name w:val="Code (char)"/>
    <w:uiPriority w:val="1"/>
    <w:qFormat/>
    <w:rPr>
      <w:rFonts w:ascii="Arial" w:hAnsi="Arial" w:cs="Arial"/>
      <w:i/>
      <w:iCs/>
      <w:sz w:val="18"/>
      <w:szCs w:val="18"/>
    </w:rPr>
  </w:style>
  <w:style w:type="paragraph" w:customStyle="1" w:styleId="TALcontinuation">
    <w:name w:val="TAL continuation"/>
    <w:basedOn w:val="TAL"/>
    <w:link w:val="TALcontinuationChar"/>
    <w:qFormat/>
    <w:pPr>
      <w:spacing w:before="40"/>
    </w:pPr>
    <w:rPr>
      <w:rFonts w:eastAsia="Times New Roman"/>
    </w:rPr>
  </w:style>
  <w:style w:type="character" w:customStyle="1" w:styleId="TALcontinuationChar">
    <w:name w:val="TAL continuation Char"/>
    <w:link w:val="TALcontinuation"/>
    <w:rPr>
      <w:rFonts w:ascii="Arial" w:eastAsia="Times New Roman" w:hAnsi="Arial"/>
      <w:sz w:val="18"/>
      <w:lang w:eastAsia="en-US"/>
    </w:rPr>
  </w:style>
  <w:style w:type="character" w:customStyle="1" w:styleId="13">
    <w:name w:val="文档结构图 字符1"/>
    <w:rPr>
      <w:rFonts w:ascii="Tahoma" w:hAnsi="Tahoma" w:cs="Tahoma"/>
      <w:shd w:val="clear" w:color="auto" w:fill="000080"/>
      <w:lang w:val="en-GB" w:eastAsia="en-US"/>
    </w:rPr>
  </w:style>
  <w:style w:type="table" w:customStyle="1" w:styleId="TableGrid1">
    <w:name w:val="Table Grid1"/>
    <w:basedOn w:val="a1"/>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uiPriority w:val="39"/>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39"/>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正文文本 3 字符1"/>
    <w:rsid w:val="00D654A6"/>
    <w:rPr>
      <w:rFonts w:ascii="Times New Roman" w:hAnsi="Times New Roman"/>
      <w:sz w:val="16"/>
      <w:szCs w:val="16"/>
      <w:lang w:val="en-GB" w:eastAsia="en-US"/>
    </w:rPr>
  </w:style>
  <w:style w:type="character" w:customStyle="1" w:styleId="530">
    <w:name w:val="标题 5 字符3"/>
    <w:rsid w:val="00D654A6"/>
    <w:rPr>
      <w:rFonts w:ascii="Arial" w:hAnsi="Arial"/>
      <w:sz w:val="22"/>
      <w:lang w:val="en-GB" w:eastAsia="en-US"/>
    </w:rPr>
  </w:style>
  <w:style w:type="character" w:customStyle="1" w:styleId="14">
    <w:name w:val="日期 字符1"/>
    <w:rsid w:val="003E1F9F"/>
    <w:rPr>
      <w:rFonts w:ascii="Times New Roman" w:hAnsi="Times New Roman"/>
      <w:lang w:val="en-GB" w:eastAsia="en-US"/>
    </w:rPr>
  </w:style>
  <w:style w:type="character" w:customStyle="1" w:styleId="15">
    <w:name w:val="引用 字符1"/>
    <w:uiPriority w:val="29"/>
    <w:rsid w:val="00640768"/>
    <w:rPr>
      <w:rFonts w:ascii="Times New Roman" w:hAnsi="Times New Roman"/>
      <w:i/>
      <w:iCs/>
      <w:color w:val="404040"/>
      <w:lang w:val="en-GB" w:eastAsia="en-US"/>
    </w:rPr>
  </w:style>
  <w:style w:type="character" w:customStyle="1" w:styleId="16">
    <w:name w:val="纯文本 字符1"/>
    <w:rsid w:val="00E06B31"/>
    <w:rPr>
      <w:rFonts w:ascii="Consolas" w:hAnsi="Consolas"/>
      <w:sz w:val="21"/>
      <w:szCs w:val="21"/>
      <w:lang w:val="en-GB" w:eastAsia="en-US"/>
    </w:rPr>
  </w:style>
  <w:style w:type="character" w:customStyle="1" w:styleId="17">
    <w:name w:val="未处理的提及1"/>
    <w:uiPriority w:val="99"/>
    <w:unhideWhenUsed/>
    <w:rsid w:val="007862A2"/>
    <w:rPr>
      <w:color w:val="808080"/>
      <w:shd w:val="clear" w:color="auto" w:fill="E6E6E6"/>
    </w:rPr>
  </w:style>
  <w:style w:type="character" w:customStyle="1" w:styleId="Char1">
    <w:name w:val="批注文字 Char1"/>
    <w:rsid w:val="007862A2"/>
    <w:rPr>
      <w:lang w:eastAsia="en-US"/>
    </w:rPr>
  </w:style>
  <w:style w:type="character" w:customStyle="1" w:styleId="18">
    <w:name w:val="尾注文本 字符1"/>
    <w:rsid w:val="00A42460"/>
    <w:rPr>
      <w:rFonts w:ascii="Times New Roman" w:hAnsi="Times New Roman"/>
      <w:lang w:val="en-GB" w:eastAsia="en-US"/>
    </w:rPr>
  </w:style>
  <w:style w:type="character" w:customStyle="1" w:styleId="19">
    <w:name w:val="页脚 字符1"/>
    <w:rsid w:val="00A42460"/>
    <w:rPr>
      <w:rFonts w:ascii="Arial" w:hAnsi="Arial"/>
      <w:b/>
      <w:i/>
      <w:noProof/>
      <w:sz w:val="18"/>
      <w:lang w:val="en-GB" w:eastAsia="en-US"/>
    </w:rPr>
  </w:style>
  <w:style w:type="character" w:customStyle="1" w:styleId="540">
    <w:name w:val="标题 5 字符4"/>
    <w:rsid w:val="00F525B2"/>
    <w:rPr>
      <w:rFonts w:ascii="Arial" w:hAnsi="Arial"/>
      <w:sz w:val="22"/>
      <w:lang w:val="en-GB" w:eastAsia="en-US"/>
    </w:rPr>
  </w:style>
  <w:style w:type="character" w:customStyle="1" w:styleId="B3Car">
    <w:name w:val="B3 Car"/>
    <w:rsid w:val="00F525B2"/>
    <w:rPr>
      <w:rFonts w:ascii="Times New Roman" w:hAnsi="Times New Roman"/>
      <w:lang w:val="en-GB" w:eastAsia="en-US"/>
    </w:rPr>
  </w:style>
  <w:style w:type="character" w:customStyle="1" w:styleId="ZDONTMODIFY">
    <w:name w:val="ZDONTMODIFY"/>
    <w:rsid w:val="00F525B2"/>
  </w:style>
  <w:style w:type="character" w:customStyle="1" w:styleId="ZREGNAME">
    <w:name w:val="ZREGNAME"/>
    <w:uiPriority w:val="99"/>
    <w:rsid w:val="00F525B2"/>
  </w:style>
  <w:style w:type="character" w:customStyle="1" w:styleId="1Char">
    <w:name w:val="标题 1 Char"/>
    <w:rsid w:val="00F525B2"/>
    <w:rPr>
      <w:rFonts w:ascii="Arial" w:hAnsi="Arial"/>
      <w:sz w:val="36"/>
      <w:lang w:val="en-GB" w:eastAsia="en-US"/>
    </w:rPr>
  </w:style>
  <w:style w:type="numbering" w:customStyle="1" w:styleId="NoList1">
    <w:name w:val="No List1"/>
    <w:next w:val="a2"/>
    <w:uiPriority w:val="99"/>
    <w:semiHidden/>
    <w:rsid w:val="00F525B2"/>
  </w:style>
  <w:style w:type="numbering" w:customStyle="1" w:styleId="NoList2">
    <w:name w:val="No List2"/>
    <w:next w:val="a2"/>
    <w:uiPriority w:val="99"/>
    <w:semiHidden/>
    <w:rsid w:val="00F525B2"/>
  </w:style>
  <w:style w:type="numbering" w:customStyle="1" w:styleId="NoList3">
    <w:name w:val="No List3"/>
    <w:next w:val="a2"/>
    <w:uiPriority w:val="99"/>
    <w:semiHidden/>
    <w:rsid w:val="00F525B2"/>
  </w:style>
  <w:style w:type="numbering" w:customStyle="1" w:styleId="NoList4">
    <w:name w:val="No List4"/>
    <w:next w:val="a2"/>
    <w:uiPriority w:val="99"/>
    <w:semiHidden/>
    <w:unhideWhenUsed/>
    <w:rsid w:val="00F525B2"/>
  </w:style>
  <w:style w:type="numbering" w:customStyle="1" w:styleId="NoList5">
    <w:name w:val="No List5"/>
    <w:next w:val="a2"/>
    <w:uiPriority w:val="99"/>
    <w:semiHidden/>
    <w:rsid w:val="00F525B2"/>
  </w:style>
  <w:style w:type="numbering" w:customStyle="1" w:styleId="NoList6">
    <w:name w:val="No List6"/>
    <w:next w:val="a2"/>
    <w:uiPriority w:val="99"/>
    <w:semiHidden/>
    <w:rsid w:val="00F525B2"/>
  </w:style>
  <w:style w:type="numbering" w:customStyle="1" w:styleId="NoList7">
    <w:name w:val="No List7"/>
    <w:next w:val="a2"/>
    <w:uiPriority w:val="99"/>
    <w:semiHidden/>
    <w:rsid w:val="00F525B2"/>
  </w:style>
  <w:style w:type="character" w:customStyle="1" w:styleId="normaltextrun">
    <w:name w:val="normaltextrun"/>
    <w:rsid w:val="00F525B2"/>
  </w:style>
  <w:style w:type="paragraph" w:customStyle="1" w:styleId="tablecontent">
    <w:name w:val="table content"/>
    <w:basedOn w:val="TAL"/>
    <w:link w:val="tablecontentChar"/>
    <w:qFormat/>
    <w:rsid w:val="00F525B2"/>
    <w:rPr>
      <w:lang w:eastAsia="x-none"/>
    </w:rPr>
  </w:style>
  <w:style w:type="character" w:customStyle="1" w:styleId="tablecontentChar">
    <w:name w:val="table content Char"/>
    <w:link w:val="tablecontent"/>
    <w:rsid w:val="00F525B2"/>
    <w:rPr>
      <w:rFonts w:ascii="Arial" w:hAnsi="Arial"/>
      <w:sz w:val="18"/>
      <w:lang w:val="en-GB" w:eastAsia="x-none"/>
    </w:rPr>
  </w:style>
  <w:style w:type="paragraph" w:customStyle="1" w:styleId="IvDbodytext">
    <w:name w:val="IvD bodytext"/>
    <w:basedOn w:val="af9"/>
    <w:link w:val="IvDbodytextChar"/>
    <w:qFormat/>
    <w:rsid w:val="00F525B2"/>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F525B2"/>
    <w:rPr>
      <w:rFonts w:ascii="Arial" w:hAnsi="Arial"/>
      <w:spacing w:val="2"/>
      <w:lang w:val="en-GB" w:eastAsia="en-US"/>
    </w:rPr>
  </w:style>
  <w:style w:type="character" w:customStyle="1" w:styleId="2c">
    <w:name w:val="页脚 字符2"/>
    <w:rsid w:val="001A238E"/>
    <w:rPr>
      <w:rFonts w:ascii="Arial" w:hAnsi="Arial"/>
      <w:b/>
      <w:i/>
      <w:noProof/>
      <w:sz w:val="18"/>
      <w:lang w:val="en-GB" w:eastAsia="en-US"/>
    </w:rPr>
  </w:style>
  <w:style w:type="table" w:customStyle="1" w:styleId="TableGrid7">
    <w:name w:val="Table Grid7"/>
    <w:basedOn w:val="a1"/>
    <w:next w:val="afffd"/>
    <w:uiPriority w:val="39"/>
    <w:rsid w:val="00183EFC"/>
    <w:rPr>
      <w:rFonts w:ascii="CG Times (WN)" w:hAnsi="CG Times (WN)"/>
      <w:lang w:val="fr-FR"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批注文字 Char"/>
    <w:rsid w:val="00183EFC"/>
    <w:rPr>
      <w:rFonts w:ascii="Times New Roman" w:hAnsi="Times New Roman"/>
      <w:lang w:val="en-GB" w:eastAsia="en-US"/>
    </w:rPr>
  </w:style>
  <w:style w:type="table" w:customStyle="1" w:styleId="TableGrid8">
    <w:name w:val="Table Grid8"/>
    <w:basedOn w:val="a1"/>
    <w:next w:val="afffd"/>
    <w:uiPriority w:val="39"/>
    <w:rsid w:val="00183EFC"/>
    <w:rPr>
      <w:rFonts w:ascii="CG Times (WN)" w:hAnsi="CG Times (WN)"/>
      <w:lang w:val="fr-FR"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1"/>
    <w:next w:val="afffd"/>
    <w:uiPriority w:val="39"/>
    <w:rsid w:val="00183EFC"/>
    <w:rPr>
      <w:rFonts w:eastAsia="等线"/>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1"/>
    <w:next w:val="afffd"/>
    <w:rsid w:val="00183EFC"/>
    <w:rPr>
      <w:rFonts w:ascii="CG Times (WN)" w:hAnsi="CG Times (WN)"/>
      <w:lang w:val="fr-FR"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2"/>
    <w:uiPriority w:val="99"/>
    <w:semiHidden/>
    <w:rsid w:val="00183EFC"/>
  </w:style>
  <w:style w:type="table" w:customStyle="1" w:styleId="TableGrid11">
    <w:name w:val="Table Grid11"/>
    <w:basedOn w:val="a1"/>
    <w:next w:val="afffd"/>
    <w:uiPriority w:val="39"/>
    <w:rsid w:val="00183EFC"/>
    <w:rPr>
      <w:rFonts w:ascii="CG Times (WN)" w:hAnsi="CG Times (WN)"/>
      <w:lang w:val="fr-FR"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rsid w:val="00183EFC"/>
  </w:style>
  <w:style w:type="table" w:customStyle="1" w:styleId="TableGrid12">
    <w:name w:val="Table Grid12"/>
    <w:basedOn w:val="a1"/>
    <w:next w:val="afffd"/>
    <w:rsid w:val="00183EFC"/>
    <w:rPr>
      <w:rFonts w:ascii="CG Times (WN)" w:hAnsi="CG Times (WN)"/>
      <w:lang w:val="fr-FR"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rsid w:val="00183EFC"/>
  </w:style>
  <w:style w:type="table" w:customStyle="1" w:styleId="TableGrid13">
    <w:name w:val="Table Grid13"/>
    <w:basedOn w:val="a1"/>
    <w:next w:val="afffd"/>
    <w:rsid w:val="00183EFC"/>
    <w:rPr>
      <w:rFonts w:ascii="CG Times (WN)" w:hAnsi="CG Times (WN)"/>
      <w:lang w:val="fr-FR"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183EFC"/>
  </w:style>
  <w:style w:type="table" w:customStyle="1" w:styleId="TableGrid14">
    <w:name w:val="Table Grid14"/>
    <w:basedOn w:val="a1"/>
    <w:next w:val="afffd"/>
    <w:rsid w:val="00183EFC"/>
    <w:rPr>
      <w:rFonts w:ascii="CG Times (WN)" w:hAnsi="CG Times (WN)"/>
      <w:lang w:val="fr-FR"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rsid w:val="00183EFC"/>
  </w:style>
  <w:style w:type="character" w:customStyle="1" w:styleId="2d">
    <w:name w:val="未处理的提及2"/>
    <w:uiPriority w:val="99"/>
    <w:semiHidden/>
    <w:unhideWhenUsed/>
    <w:rsid w:val="00183EFC"/>
    <w:rPr>
      <w:color w:val="808080"/>
      <w:shd w:val="clear" w:color="auto" w:fill="E6E6E6"/>
    </w:rPr>
  </w:style>
  <w:style w:type="table" w:customStyle="1" w:styleId="TableGrid15">
    <w:name w:val="Table Grid15"/>
    <w:basedOn w:val="a1"/>
    <w:next w:val="afffd"/>
    <w:uiPriority w:val="39"/>
    <w:rsid w:val="00183EFC"/>
    <w:rPr>
      <w:rFonts w:eastAsia="等线"/>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183EFC"/>
  </w:style>
  <w:style w:type="table" w:customStyle="1" w:styleId="TableGrid16">
    <w:name w:val="Table Grid16"/>
    <w:basedOn w:val="a1"/>
    <w:next w:val="afffd"/>
    <w:rsid w:val="00183EFC"/>
    <w:rPr>
      <w:rFonts w:eastAsia="等线"/>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183EFC"/>
  </w:style>
  <w:style w:type="numbering" w:customStyle="1" w:styleId="NoList21">
    <w:name w:val="No List21"/>
    <w:next w:val="a2"/>
    <w:uiPriority w:val="99"/>
    <w:semiHidden/>
    <w:rsid w:val="00183EFC"/>
  </w:style>
  <w:style w:type="numbering" w:customStyle="1" w:styleId="NoList31">
    <w:name w:val="No List31"/>
    <w:next w:val="a2"/>
    <w:uiPriority w:val="99"/>
    <w:semiHidden/>
    <w:rsid w:val="00183EFC"/>
  </w:style>
  <w:style w:type="numbering" w:customStyle="1" w:styleId="NoList41">
    <w:name w:val="No List41"/>
    <w:next w:val="a2"/>
    <w:uiPriority w:val="99"/>
    <w:semiHidden/>
    <w:unhideWhenUsed/>
    <w:rsid w:val="00183EFC"/>
  </w:style>
  <w:style w:type="numbering" w:customStyle="1" w:styleId="NoList51">
    <w:name w:val="No List51"/>
    <w:next w:val="a2"/>
    <w:uiPriority w:val="99"/>
    <w:semiHidden/>
    <w:rsid w:val="00183EFC"/>
  </w:style>
  <w:style w:type="numbering" w:customStyle="1" w:styleId="NoList61">
    <w:name w:val="No List61"/>
    <w:next w:val="a2"/>
    <w:uiPriority w:val="99"/>
    <w:semiHidden/>
    <w:rsid w:val="00183EFC"/>
  </w:style>
  <w:style w:type="numbering" w:customStyle="1" w:styleId="NoList71">
    <w:name w:val="No List71"/>
    <w:next w:val="a2"/>
    <w:uiPriority w:val="99"/>
    <w:semiHidden/>
    <w:rsid w:val="00183EFC"/>
  </w:style>
  <w:style w:type="numbering" w:customStyle="1" w:styleId="NoList15">
    <w:name w:val="No List15"/>
    <w:next w:val="a2"/>
    <w:uiPriority w:val="99"/>
    <w:semiHidden/>
    <w:unhideWhenUsed/>
    <w:rsid w:val="00183EFC"/>
  </w:style>
  <w:style w:type="table" w:customStyle="1" w:styleId="TableGrid17">
    <w:name w:val="Table Grid17"/>
    <w:basedOn w:val="a1"/>
    <w:next w:val="afffd"/>
    <w:rsid w:val="00183EFC"/>
    <w:rPr>
      <w:rFonts w:eastAsia="等线"/>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183EFC"/>
  </w:style>
  <w:style w:type="numbering" w:customStyle="1" w:styleId="NoList22">
    <w:name w:val="No List22"/>
    <w:next w:val="a2"/>
    <w:uiPriority w:val="99"/>
    <w:semiHidden/>
    <w:rsid w:val="00183EFC"/>
  </w:style>
  <w:style w:type="numbering" w:customStyle="1" w:styleId="NoList32">
    <w:name w:val="No List32"/>
    <w:next w:val="a2"/>
    <w:uiPriority w:val="99"/>
    <w:semiHidden/>
    <w:rsid w:val="00183EFC"/>
  </w:style>
  <w:style w:type="numbering" w:customStyle="1" w:styleId="NoList42">
    <w:name w:val="No List42"/>
    <w:next w:val="a2"/>
    <w:uiPriority w:val="99"/>
    <w:semiHidden/>
    <w:unhideWhenUsed/>
    <w:rsid w:val="00183EFC"/>
  </w:style>
  <w:style w:type="numbering" w:customStyle="1" w:styleId="NoList52">
    <w:name w:val="No List52"/>
    <w:next w:val="a2"/>
    <w:uiPriority w:val="99"/>
    <w:semiHidden/>
    <w:rsid w:val="00183EFC"/>
  </w:style>
  <w:style w:type="numbering" w:customStyle="1" w:styleId="NoList62">
    <w:name w:val="No List62"/>
    <w:next w:val="a2"/>
    <w:uiPriority w:val="99"/>
    <w:semiHidden/>
    <w:rsid w:val="00183EFC"/>
  </w:style>
  <w:style w:type="numbering" w:customStyle="1" w:styleId="NoList72">
    <w:name w:val="No List72"/>
    <w:next w:val="a2"/>
    <w:uiPriority w:val="99"/>
    <w:semiHidden/>
    <w:rsid w:val="00183EFC"/>
  </w:style>
  <w:style w:type="numbering" w:customStyle="1" w:styleId="NoList17">
    <w:name w:val="No List17"/>
    <w:next w:val="a2"/>
    <w:uiPriority w:val="99"/>
    <w:semiHidden/>
    <w:rsid w:val="00183EFC"/>
  </w:style>
  <w:style w:type="table" w:customStyle="1" w:styleId="TableGrid18">
    <w:name w:val="Table Grid18"/>
    <w:basedOn w:val="a1"/>
    <w:next w:val="afffd"/>
    <w:rsid w:val="00183EFC"/>
    <w:rPr>
      <w:rFonts w:eastAsia="等线"/>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183EFC"/>
  </w:style>
  <w:style w:type="table" w:customStyle="1" w:styleId="TableGrid19">
    <w:name w:val="Table Grid19"/>
    <w:basedOn w:val="a1"/>
    <w:next w:val="afffd"/>
    <w:uiPriority w:val="39"/>
    <w:rsid w:val="00183EFC"/>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a"/>
    <w:rsid w:val="00183EFC"/>
    <w:rPr>
      <w:lang w:eastAsia="zh-CN"/>
    </w:rPr>
  </w:style>
  <w:style w:type="numbering" w:customStyle="1" w:styleId="NoList19">
    <w:name w:val="No List19"/>
    <w:next w:val="a2"/>
    <w:uiPriority w:val="99"/>
    <w:semiHidden/>
    <w:unhideWhenUsed/>
    <w:rsid w:val="00183EFC"/>
  </w:style>
  <w:style w:type="table" w:customStyle="1" w:styleId="TableGrid110">
    <w:name w:val="Table Grid110"/>
    <w:basedOn w:val="a1"/>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183EFC"/>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183EFC"/>
  </w:style>
  <w:style w:type="table" w:customStyle="1" w:styleId="TableGrid20">
    <w:name w:val="Table Grid20"/>
    <w:basedOn w:val="a1"/>
    <w:next w:val="afffd"/>
    <w:uiPriority w:val="39"/>
    <w:rsid w:val="00183EFC"/>
    <w:rPr>
      <w:rFonts w:eastAsia="等线"/>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183EFC"/>
  </w:style>
  <w:style w:type="table" w:customStyle="1" w:styleId="TableGrid22">
    <w:name w:val="Table Grid22"/>
    <w:basedOn w:val="a1"/>
    <w:next w:val="afffd"/>
    <w:uiPriority w:val="39"/>
    <w:rsid w:val="00183EFC"/>
    <w:rPr>
      <w:rFonts w:eastAsia="等线"/>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183EFC"/>
  </w:style>
  <w:style w:type="table" w:customStyle="1" w:styleId="TableGrid23">
    <w:name w:val="Table Grid23"/>
    <w:basedOn w:val="a1"/>
    <w:next w:val="afffd"/>
    <w:rsid w:val="00183EFC"/>
    <w:rPr>
      <w:rFonts w:eastAsia="等线"/>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183EFC"/>
  </w:style>
  <w:style w:type="numbering" w:customStyle="1" w:styleId="NoList25">
    <w:name w:val="No List25"/>
    <w:next w:val="a2"/>
    <w:uiPriority w:val="99"/>
    <w:semiHidden/>
    <w:rsid w:val="00183EFC"/>
  </w:style>
  <w:style w:type="numbering" w:customStyle="1" w:styleId="NoList33">
    <w:name w:val="No List33"/>
    <w:next w:val="a2"/>
    <w:uiPriority w:val="99"/>
    <w:semiHidden/>
    <w:rsid w:val="00183EFC"/>
  </w:style>
  <w:style w:type="numbering" w:customStyle="1" w:styleId="NoList43">
    <w:name w:val="No List43"/>
    <w:next w:val="a2"/>
    <w:uiPriority w:val="99"/>
    <w:semiHidden/>
    <w:unhideWhenUsed/>
    <w:rsid w:val="00183EFC"/>
  </w:style>
  <w:style w:type="numbering" w:customStyle="1" w:styleId="NoList53">
    <w:name w:val="No List53"/>
    <w:next w:val="a2"/>
    <w:uiPriority w:val="99"/>
    <w:semiHidden/>
    <w:rsid w:val="00183EFC"/>
  </w:style>
  <w:style w:type="numbering" w:customStyle="1" w:styleId="NoList63">
    <w:name w:val="No List63"/>
    <w:next w:val="a2"/>
    <w:uiPriority w:val="99"/>
    <w:semiHidden/>
    <w:rsid w:val="00183EFC"/>
  </w:style>
  <w:style w:type="numbering" w:customStyle="1" w:styleId="NoList73">
    <w:name w:val="No List73"/>
    <w:next w:val="a2"/>
    <w:uiPriority w:val="99"/>
    <w:semiHidden/>
    <w:rsid w:val="00183EFC"/>
  </w:style>
  <w:style w:type="paragraph" w:customStyle="1" w:styleId="BlockText1">
    <w:name w:val="Block Text1"/>
    <w:basedOn w:val="a"/>
    <w:next w:val="afe"/>
    <w:semiHidden/>
    <w:unhideWhenUsed/>
    <w:rsid w:val="00183EFC"/>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183EFC"/>
    <w:pPr>
      <w:spacing w:after="200"/>
    </w:pPr>
    <w:rPr>
      <w:i/>
      <w:iCs/>
      <w:color w:val="1F497D"/>
      <w:sz w:val="18"/>
      <w:szCs w:val="18"/>
    </w:rPr>
  </w:style>
  <w:style w:type="paragraph" w:customStyle="1" w:styleId="EnvelopeAddress1">
    <w:name w:val="Envelope Address1"/>
    <w:basedOn w:val="a"/>
    <w:next w:val="af"/>
    <w:semiHidden/>
    <w:unhideWhenUsed/>
    <w:rsid w:val="00183EFC"/>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b"/>
    <w:semiHidden/>
    <w:unhideWhenUsed/>
    <w:rsid w:val="00183EFC"/>
    <w:pPr>
      <w:spacing w:after="0"/>
    </w:pPr>
    <w:rPr>
      <w:rFonts w:ascii="Cambria" w:eastAsia="MS Gothic" w:hAnsi="Cambria"/>
    </w:rPr>
  </w:style>
  <w:style w:type="paragraph" w:customStyle="1" w:styleId="IndexHeading1">
    <w:name w:val="Index Heading1"/>
    <w:basedOn w:val="a"/>
    <w:next w:val="11"/>
    <w:semiHidden/>
    <w:unhideWhenUsed/>
    <w:rsid w:val="00183EFC"/>
    <w:rPr>
      <w:rFonts w:ascii="Cambria" w:eastAsia="MS Gothic" w:hAnsi="Cambria"/>
      <w:b/>
      <w:bCs/>
    </w:rPr>
  </w:style>
  <w:style w:type="paragraph" w:customStyle="1" w:styleId="IntenseQuote1">
    <w:name w:val="Intense Quote1"/>
    <w:basedOn w:val="a"/>
    <w:next w:val="a"/>
    <w:uiPriority w:val="30"/>
    <w:qFormat/>
    <w:rsid w:val="00183EFC"/>
    <w:pPr>
      <w:pBdr>
        <w:top w:val="single" w:sz="4" w:space="10" w:color="4F81BD"/>
        <w:bottom w:val="single" w:sz="4" w:space="10" w:color="4F81BD"/>
      </w:pBdr>
      <w:spacing w:before="360" w:after="360"/>
      <w:ind w:left="864" w:right="864"/>
      <w:jc w:val="center"/>
    </w:pPr>
    <w:rPr>
      <w:i/>
      <w:iCs/>
      <w:color w:val="4F81BD"/>
    </w:rPr>
  </w:style>
  <w:style w:type="paragraph" w:customStyle="1" w:styleId="MessageHeader1">
    <w:name w:val="Message Header1"/>
    <w:basedOn w:val="a"/>
    <w:next w:val="afff4"/>
    <w:semiHidden/>
    <w:unhideWhenUsed/>
    <w:rsid w:val="00183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183EFC"/>
    <w:pPr>
      <w:spacing w:before="200" w:after="160"/>
      <w:ind w:left="864" w:right="864"/>
      <w:jc w:val="center"/>
    </w:pPr>
    <w:rPr>
      <w:i/>
      <w:iCs/>
      <w:color w:val="404040"/>
    </w:rPr>
  </w:style>
  <w:style w:type="paragraph" w:customStyle="1" w:styleId="Subtitle1">
    <w:name w:val="Subtitle1"/>
    <w:basedOn w:val="a"/>
    <w:next w:val="a"/>
    <w:qFormat/>
    <w:rsid w:val="00183EFC"/>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183EFC"/>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183EFC"/>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183EFC"/>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183EFC"/>
    <w:rPr>
      <w:i/>
      <w:iCs/>
      <w:color w:val="4472C4"/>
    </w:rPr>
  </w:style>
  <w:style w:type="character" w:customStyle="1" w:styleId="MessageHeaderChar1">
    <w:name w:val="Message Header Char1"/>
    <w:uiPriority w:val="99"/>
    <w:semiHidden/>
    <w:rsid w:val="00183EFC"/>
    <w:rPr>
      <w:rFonts w:ascii="Calibri Light" w:eastAsia="等线 Light" w:hAnsi="Calibri Light" w:cs="Times New Roman"/>
      <w:sz w:val="24"/>
      <w:szCs w:val="24"/>
      <w:shd w:val="pct20" w:color="auto" w:fill="auto"/>
    </w:rPr>
  </w:style>
  <w:style w:type="character" w:customStyle="1" w:styleId="QuoteChar1">
    <w:name w:val="Quote Char1"/>
    <w:uiPriority w:val="29"/>
    <w:rsid w:val="00183EFC"/>
    <w:rPr>
      <w:i/>
      <w:iCs/>
      <w:color w:val="404040"/>
    </w:rPr>
  </w:style>
  <w:style w:type="character" w:customStyle="1" w:styleId="SubtitleChar1">
    <w:name w:val="Subtitle Char1"/>
    <w:uiPriority w:val="11"/>
    <w:rsid w:val="00183EFC"/>
    <w:rPr>
      <w:color w:val="5A5A5A"/>
      <w:spacing w:val="15"/>
    </w:rPr>
  </w:style>
  <w:style w:type="character" w:customStyle="1" w:styleId="TitleChar1">
    <w:name w:val="Title Char1"/>
    <w:uiPriority w:val="10"/>
    <w:rsid w:val="00183EFC"/>
    <w:rPr>
      <w:rFonts w:ascii="Calibri Light" w:eastAsia="等线 Light" w:hAnsi="Calibri Light" w:cs="Times New Roman"/>
      <w:spacing w:val="-10"/>
      <w:kern w:val="28"/>
      <w:sz w:val="56"/>
      <w:szCs w:val="56"/>
    </w:rPr>
  </w:style>
  <w:style w:type="table" w:customStyle="1" w:styleId="TableGrid111">
    <w:name w:val="Table Grid111"/>
    <w:basedOn w:val="a1"/>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183EFC"/>
  </w:style>
  <w:style w:type="numbering" w:customStyle="1" w:styleId="NoList211">
    <w:name w:val="No List211"/>
    <w:next w:val="a2"/>
    <w:uiPriority w:val="99"/>
    <w:semiHidden/>
    <w:rsid w:val="00183EFC"/>
  </w:style>
  <w:style w:type="numbering" w:customStyle="1" w:styleId="NoList311">
    <w:name w:val="No List311"/>
    <w:next w:val="a2"/>
    <w:uiPriority w:val="99"/>
    <w:semiHidden/>
    <w:rsid w:val="00183EFC"/>
  </w:style>
  <w:style w:type="numbering" w:customStyle="1" w:styleId="NoList411">
    <w:name w:val="No List411"/>
    <w:next w:val="a2"/>
    <w:uiPriority w:val="99"/>
    <w:semiHidden/>
    <w:unhideWhenUsed/>
    <w:rsid w:val="00183EFC"/>
  </w:style>
  <w:style w:type="numbering" w:customStyle="1" w:styleId="NoList511">
    <w:name w:val="No List511"/>
    <w:next w:val="a2"/>
    <w:uiPriority w:val="99"/>
    <w:semiHidden/>
    <w:rsid w:val="00183EFC"/>
  </w:style>
  <w:style w:type="numbering" w:customStyle="1" w:styleId="NoList81">
    <w:name w:val="No List81"/>
    <w:next w:val="a2"/>
    <w:uiPriority w:val="99"/>
    <w:semiHidden/>
    <w:unhideWhenUsed/>
    <w:rsid w:val="00183EFC"/>
  </w:style>
  <w:style w:type="table" w:customStyle="1" w:styleId="TableGrid62">
    <w:name w:val="Table Grid62"/>
    <w:basedOn w:val="a1"/>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183EFC"/>
  </w:style>
  <w:style w:type="table" w:customStyle="1" w:styleId="TableGrid71">
    <w:name w:val="Table Grid71"/>
    <w:basedOn w:val="a1"/>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183EFC"/>
  </w:style>
  <w:style w:type="table" w:customStyle="1" w:styleId="TableGrid81">
    <w:name w:val="Table Grid81"/>
    <w:basedOn w:val="a1"/>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183EFC"/>
  </w:style>
  <w:style w:type="table" w:customStyle="1" w:styleId="TableGrid91">
    <w:name w:val="Table Grid91"/>
    <w:basedOn w:val="a1"/>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183EFC"/>
  </w:style>
  <w:style w:type="table" w:customStyle="1" w:styleId="TableGrid101">
    <w:name w:val="Table Grid101"/>
    <w:basedOn w:val="a1"/>
    <w:next w:val="afffd"/>
    <w:rsid w:val="00183EFC"/>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0083">
      <w:bodyDiv w:val="1"/>
      <w:marLeft w:val="0"/>
      <w:marRight w:val="0"/>
      <w:marTop w:val="0"/>
      <w:marBottom w:val="0"/>
      <w:divBdr>
        <w:top w:val="none" w:sz="0" w:space="0" w:color="auto"/>
        <w:left w:val="none" w:sz="0" w:space="0" w:color="auto"/>
        <w:bottom w:val="none" w:sz="0" w:space="0" w:color="auto"/>
        <w:right w:val="none" w:sz="0" w:space="0" w:color="auto"/>
      </w:divBdr>
    </w:div>
    <w:div w:id="23143299">
      <w:bodyDiv w:val="1"/>
      <w:marLeft w:val="0"/>
      <w:marRight w:val="0"/>
      <w:marTop w:val="0"/>
      <w:marBottom w:val="0"/>
      <w:divBdr>
        <w:top w:val="none" w:sz="0" w:space="0" w:color="auto"/>
        <w:left w:val="none" w:sz="0" w:space="0" w:color="auto"/>
        <w:bottom w:val="none" w:sz="0" w:space="0" w:color="auto"/>
        <w:right w:val="none" w:sz="0" w:space="0" w:color="auto"/>
      </w:divBdr>
    </w:div>
    <w:div w:id="72969610">
      <w:bodyDiv w:val="1"/>
      <w:marLeft w:val="0"/>
      <w:marRight w:val="0"/>
      <w:marTop w:val="0"/>
      <w:marBottom w:val="0"/>
      <w:divBdr>
        <w:top w:val="none" w:sz="0" w:space="0" w:color="auto"/>
        <w:left w:val="none" w:sz="0" w:space="0" w:color="auto"/>
        <w:bottom w:val="none" w:sz="0" w:space="0" w:color="auto"/>
        <w:right w:val="none" w:sz="0" w:space="0" w:color="auto"/>
      </w:divBdr>
    </w:div>
    <w:div w:id="135882156">
      <w:bodyDiv w:val="1"/>
      <w:marLeft w:val="0"/>
      <w:marRight w:val="0"/>
      <w:marTop w:val="0"/>
      <w:marBottom w:val="0"/>
      <w:divBdr>
        <w:top w:val="none" w:sz="0" w:space="0" w:color="auto"/>
        <w:left w:val="none" w:sz="0" w:space="0" w:color="auto"/>
        <w:bottom w:val="none" w:sz="0" w:space="0" w:color="auto"/>
        <w:right w:val="none" w:sz="0" w:space="0" w:color="auto"/>
      </w:divBdr>
    </w:div>
    <w:div w:id="166754823">
      <w:bodyDiv w:val="1"/>
      <w:marLeft w:val="0"/>
      <w:marRight w:val="0"/>
      <w:marTop w:val="0"/>
      <w:marBottom w:val="0"/>
      <w:divBdr>
        <w:top w:val="none" w:sz="0" w:space="0" w:color="auto"/>
        <w:left w:val="none" w:sz="0" w:space="0" w:color="auto"/>
        <w:bottom w:val="none" w:sz="0" w:space="0" w:color="auto"/>
        <w:right w:val="none" w:sz="0" w:space="0" w:color="auto"/>
      </w:divBdr>
    </w:div>
    <w:div w:id="284698622">
      <w:bodyDiv w:val="1"/>
      <w:marLeft w:val="0"/>
      <w:marRight w:val="0"/>
      <w:marTop w:val="0"/>
      <w:marBottom w:val="0"/>
      <w:divBdr>
        <w:top w:val="none" w:sz="0" w:space="0" w:color="auto"/>
        <w:left w:val="none" w:sz="0" w:space="0" w:color="auto"/>
        <w:bottom w:val="none" w:sz="0" w:space="0" w:color="auto"/>
        <w:right w:val="none" w:sz="0" w:space="0" w:color="auto"/>
      </w:divBdr>
    </w:div>
    <w:div w:id="290523779">
      <w:bodyDiv w:val="1"/>
      <w:marLeft w:val="0"/>
      <w:marRight w:val="0"/>
      <w:marTop w:val="0"/>
      <w:marBottom w:val="0"/>
      <w:divBdr>
        <w:top w:val="none" w:sz="0" w:space="0" w:color="auto"/>
        <w:left w:val="none" w:sz="0" w:space="0" w:color="auto"/>
        <w:bottom w:val="none" w:sz="0" w:space="0" w:color="auto"/>
        <w:right w:val="none" w:sz="0" w:space="0" w:color="auto"/>
      </w:divBdr>
    </w:div>
    <w:div w:id="299118967">
      <w:bodyDiv w:val="1"/>
      <w:marLeft w:val="0"/>
      <w:marRight w:val="0"/>
      <w:marTop w:val="0"/>
      <w:marBottom w:val="0"/>
      <w:divBdr>
        <w:top w:val="none" w:sz="0" w:space="0" w:color="auto"/>
        <w:left w:val="none" w:sz="0" w:space="0" w:color="auto"/>
        <w:bottom w:val="none" w:sz="0" w:space="0" w:color="auto"/>
        <w:right w:val="none" w:sz="0" w:space="0" w:color="auto"/>
      </w:divBdr>
    </w:div>
    <w:div w:id="396899563">
      <w:bodyDiv w:val="1"/>
      <w:marLeft w:val="0"/>
      <w:marRight w:val="0"/>
      <w:marTop w:val="0"/>
      <w:marBottom w:val="0"/>
      <w:divBdr>
        <w:top w:val="none" w:sz="0" w:space="0" w:color="auto"/>
        <w:left w:val="none" w:sz="0" w:space="0" w:color="auto"/>
        <w:bottom w:val="none" w:sz="0" w:space="0" w:color="auto"/>
        <w:right w:val="none" w:sz="0" w:space="0" w:color="auto"/>
      </w:divBdr>
    </w:div>
    <w:div w:id="415976596">
      <w:bodyDiv w:val="1"/>
      <w:marLeft w:val="0"/>
      <w:marRight w:val="0"/>
      <w:marTop w:val="0"/>
      <w:marBottom w:val="0"/>
      <w:divBdr>
        <w:top w:val="none" w:sz="0" w:space="0" w:color="auto"/>
        <w:left w:val="none" w:sz="0" w:space="0" w:color="auto"/>
        <w:bottom w:val="none" w:sz="0" w:space="0" w:color="auto"/>
        <w:right w:val="none" w:sz="0" w:space="0" w:color="auto"/>
      </w:divBdr>
    </w:div>
    <w:div w:id="509292640">
      <w:bodyDiv w:val="1"/>
      <w:marLeft w:val="0"/>
      <w:marRight w:val="0"/>
      <w:marTop w:val="0"/>
      <w:marBottom w:val="0"/>
      <w:divBdr>
        <w:top w:val="none" w:sz="0" w:space="0" w:color="auto"/>
        <w:left w:val="none" w:sz="0" w:space="0" w:color="auto"/>
        <w:bottom w:val="none" w:sz="0" w:space="0" w:color="auto"/>
        <w:right w:val="none" w:sz="0" w:space="0" w:color="auto"/>
      </w:divBdr>
    </w:div>
    <w:div w:id="590237915">
      <w:bodyDiv w:val="1"/>
      <w:marLeft w:val="0"/>
      <w:marRight w:val="0"/>
      <w:marTop w:val="0"/>
      <w:marBottom w:val="0"/>
      <w:divBdr>
        <w:top w:val="none" w:sz="0" w:space="0" w:color="auto"/>
        <w:left w:val="none" w:sz="0" w:space="0" w:color="auto"/>
        <w:bottom w:val="none" w:sz="0" w:space="0" w:color="auto"/>
        <w:right w:val="none" w:sz="0" w:space="0" w:color="auto"/>
      </w:divBdr>
    </w:div>
    <w:div w:id="721709910">
      <w:bodyDiv w:val="1"/>
      <w:marLeft w:val="0"/>
      <w:marRight w:val="0"/>
      <w:marTop w:val="0"/>
      <w:marBottom w:val="0"/>
      <w:divBdr>
        <w:top w:val="none" w:sz="0" w:space="0" w:color="auto"/>
        <w:left w:val="none" w:sz="0" w:space="0" w:color="auto"/>
        <w:bottom w:val="none" w:sz="0" w:space="0" w:color="auto"/>
        <w:right w:val="none" w:sz="0" w:space="0" w:color="auto"/>
      </w:divBdr>
    </w:div>
    <w:div w:id="728265357">
      <w:bodyDiv w:val="1"/>
      <w:marLeft w:val="0"/>
      <w:marRight w:val="0"/>
      <w:marTop w:val="0"/>
      <w:marBottom w:val="0"/>
      <w:divBdr>
        <w:top w:val="none" w:sz="0" w:space="0" w:color="auto"/>
        <w:left w:val="none" w:sz="0" w:space="0" w:color="auto"/>
        <w:bottom w:val="none" w:sz="0" w:space="0" w:color="auto"/>
        <w:right w:val="none" w:sz="0" w:space="0" w:color="auto"/>
      </w:divBdr>
    </w:div>
    <w:div w:id="898176029">
      <w:bodyDiv w:val="1"/>
      <w:marLeft w:val="0"/>
      <w:marRight w:val="0"/>
      <w:marTop w:val="0"/>
      <w:marBottom w:val="0"/>
      <w:divBdr>
        <w:top w:val="none" w:sz="0" w:space="0" w:color="auto"/>
        <w:left w:val="none" w:sz="0" w:space="0" w:color="auto"/>
        <w:bottom w:val="none" w:sz="0" w:space="0" w:color="auto"/>
        <w:right w:val="none" w:sz="0" w:space="0" w:color="auto"/>
      </w:divBdr>
    </w:div>
    <w:div w:id="963778187">
      <w:bodyDiv w:val="1"/>
      <w:marLeft w:val="0"/>
      <w:marRight w:val="0"/>
      <w:marTop w:val="0"/>
      <w:marBottom w:val="0"/>
      <w:divBdr>
        <w:top w:val="none" w:sz="0" w:space="0" w:color="auto"/>
        <w:left w:val="none" w:sz="0" w:space="0" w:color="auto"/>
        <w:bottom w:val="none" w:sz="0" w:space="0" w:color="auto"/>
        <w:right w:val="none" w:sz="0" w:space="0" w:color="auto"/>
      </w:divBdr>
    </w:div>
    <w:div w:id="1064451478">
      <w:bodyDiv w:val="1"/>
      <w:marLeft w:val="0"/>
      <w:marRight w:val="0"/>
      <w:marTop w:val="0"/>
      <w:marBottom w:val="0"/>
      <w:divBdr>
        <w:top w:val="none" w:sz="0" w:space="0" w:color="auto"/>
        <w:left w:val="none" w:sz="0" w:space="0" w:color="auto"/>
        <w:bottom w:val="none" w:sz="0" w:space="0" w:color="auto"/>
        <w:right w:val="none" w:sz="0" w:space="0" w:color="auto"/>
      </w:divBdr>
    </w:div>
    <w:div w:id="1080953407">
      <w:bodyDiv w:val="1"/>
      <w:marLeft w:val="0"/>
      <w:marRight w:val="0"/>
      <w:marTop w:val="0"/>
      <w:marBottom w:val="0"/>
      <w:divBdr>
        <w:top w:val="none" w:sz="0" w:space="0" w:color="auto"/>
        <w:left w:val="none" w:sz="0" w:space="0" w:color="auto"/>
        <w:bottom w:val="none" w:sz="0" w:space="0" w:color="auto"/>
        <w:right w:val="none" w:sz="0" w:space="0" w:color="auto"/>
      </w:divBdr>
    </w:div>
    <w:div w:id="1212040336">
      <w:bodyDiv w:val="1"/>
      <w:marLeft w:val="0"/>
      <w:marRight w:val="0"/>
      <w:marTop w:val="0"/>
      <w:marBottom w:val="0"/>
      <w:divBdr>
        <w:top w:val="none" w:sz="0" w:space="0" w:color="auto"/>
        <w:left w:val="none" w:sz="0" w:space="0" w:color="auto"/>
        <w:bottom w:val="none" w:sz="0" w:space="0" w:color="auto"/>
        <w:right w:val="none" w:sz="0" w:space="0" w:color="auto"/>
      </w:divBdr>
    </w:div>
    <w:div w:id="1229224397">
      <w:bodyDiv w:val="1"/>
      <w:marLeft w:val="0"/>
      <w:marRight w:val="0"/>
      <w:marTop w:val="0"/>
      <w:marBottom w:val="0"/>
      <w:divBdr>
        <w:top w:val="none" w:sz="0" w:space="0" w:color="auto"/>
        <w:left w:val="none" w:sz="0" w:space="0" w:color="auto"/>
        <w:bottom w:val="none" w:sz="0" w:space="0" w:color="auto"/>
        <w:right w:val="none" w:sz="0" w:space="0" w:color="auto"/>
      </w:divBdr>
    </w:div>
    <w:div w:id="1303852140">
      <w:bodyDiv w:val="1"/>
      <w:marLeft w:val="0"/>
      <w:marRight w:val="0"/>
      <w:marTop w:val="0"/>
      <w:marBottom w:val="0"/>
      <w:divBdr>
        <w:top w:val="none" w:sz="0" w:space="0" w:color="auto"/>
        <w:left w:val="none" w:sz="0" w:space="0" w:color="auto"/>
        <w:bottom w:val="none" w:sz="0" w:space="0" w:color="auto"/>
        <w:right w:val="none" w:sz="0" w:space="0" w:color="auto"/>
      </w:divBdr>
    </w:div>
    <w:div w:id="1305161482">
      <w:bodyDiv w:val="1"/>
      <w:marLeft w:val="0"/>
      <w:marRight w:val="0"/>
      <w:marTop w:val="0"/>
      <w:marBottom w:val="0"/>
      <w:divBdr>
        <w:top w:val="none" w:sz="0" w:space="0" w:color="auto"/>
        <w:left w:val="none" w:sz="0" w:space="0" w:color="auto"/>
        <w:bottom w:val="none" w:sz="0" w:space="0" w:color="auto"/>
        <w:right w:val="none" w:sz="0" w:space="0" w:color="auto"/>
      </w:divBdr>
    </w:div>
    <w:div w:id="1307123081">
      <w:bodyDiv w:val="1"/>
      <w:marLeft w:val="0"/>
      <w:marRight w:val="0"/>
      <w:marTop w:val="0"/>
      <w:marBottom w:val="0"/>
      <w:divBdr>
        <w:top w:val="none" w:sz="0" w:space="0" w:color="auto"/>
        <w:left w:val="none" w:sz="0" w:space="0" w:color="auto"/>
        <w:bottom w:val="none" w:sz="0" w:space="0" w:color="auto"/>
        <w:right w:val="none" w:sz="0" w:space="0" w:color="auto"/>
      </w:divBdr>
    </w:div>
    <w:div w:id="1311059921">
      <w:bodyDiv w:val="1"/>
      <w:marLeft w:val="0"/>
      <w:marRight w:val="0"/>
      <w:marTop w:val="0"/>
      <w:marBottom w:val="0"/>
      <w:divBdr>
        <w:top w:val="none" w:sz="0" w:space="0" w:color="auto"/>
        <w:left w:val="none" w:sz="0" w:space="0" w:color="auto"/>
        <w:bottom w:val="none" w:sz="0" w:space="0" w:color="auto"/>
        <w:right w:val="none" w:sz="0" w:space="0" w:color="auto"/>
      </w:divBdr>
    </w:div>
    <w:div w:id="1323582866">
      <w:bodyDiv w:val="1"/>
      <w:marLeft w:val="0"/>
      <w:marRight w:val="0"/>
      <w:marTop w:val="0"/>
      <w:marBottom w:val="0"/>
      <w:divBdr>
        <w:top w:val="none" w:sz="0" w:space="0" w:color="auto"/>
        <w:left w:val="none" w:sz="0" w:space="0" w:color="auto"/>
        <w:bottom w:val="none" w:sz="0" w:space="0" w:color="auto"/>
        <w:right w:val="none" w:sz="0" w:space="0" w:color="auto"/>
      </w:divBdr>
    </w:div>
    <w:div w:id="1519663219">
      <w:bodyDiv w:val="1"/>
      <w:marLeft w:val="0"/>
      <w:marRight w:val="0"/>
      <w:marTop w:val="0"/>
      <w:marBottom w:val="0"/>
      <w:divBdr>
        <w:top w:val="none" w:sz="0" w:space="0" w:color="auto"/>
        <w:left w:val="none" w:sz="0" w:space="0" w:color="auto"/>
        <w:bottom w:val="none" w:sz="0" w:space="0" w:color="auto"/>
        <w:right w:val="none" w:sz="0" w:space="0" w:color="auto"/>
      </w:divBdr>
    </w:div>
    <w:div w:id="1521161314">
      <w:bodyDiv w:val="1"/>
      <w:marLeft w:val="0"/>
      <w:marRight w:val="0"/>
      <w:marTop w:val="0"/>
      <w:marBottom w:val="0"/>
      <w:divBdr>
        <w:top w:val="none" w:sz="0" w:space="0" w:color="auto"/>
        <w:left w:val="none" w:sz="0" w:space="0" w:color="auto"/>
        <w:bottom w:val="none" w:sz="0" w:space="0" w:color="auto"/>
        <w:right w:val="none" w:sz="0" w:space="0" w:color="auto"/>
      </w:divBdr>
    </w:div>
    <w:div w:id="1578594597">
      <w:bodyDiv w:val="1"/>
      <w:marLeft w:val="0"/>
      <w:marRight w:val="0"/>
      <w:marTop w:val="0"/>
      <w:marBottom w:val="0"/>
      <w:divBdr>
        <w:top w:val="none" w:sz="0" w:space="0" w:color="auto"/>
        <w:left w:val="none" w:sz="0" w:space="0" w:color="auto"/>
        <w:bottom w:val="none" w:sz="0" w:space="0" w:color="auto"/>
        <w:right w:val="none" w:sz="0" w:space="0" w:color="auto"/>
      </w:divBdr>
    </w:div>
    <w:div w:id="1614747857">
      <w:bodyDiv w:val="1"/>
      <w:marLeft w:val="0"/>
      <w:marRight w:val="0"/>
      <w:marTop w:val="0"/>
      <w:marBottom w:val="0"/>
      <w:divBdr>
        <w:top w:val="none" w:sz="0" w:space="0" w:color="auto"/>
        <w:left w:val="none" w:sz="0" w:space="0" w:color="auto"/>
        <w:bottom w:val="none" w:sz="0" w:space="0" w:color="auto"/>
        <w:right w:val="none" w:sz="0" w:space="0" w:color="auto"/>
      </w:divBdr>
    </w:div>
    <w:div w:id="1674869815">
      <w:bodyDiv w:val="1"/>
      <w:marLeft w:val="0"/>
      <w:marRight w:val="0"/>
      <w:marTop w:val="0"/>
      <w:marBottom w:val="0"/>
      <w:divBdr>
        <w:top w:val="none" w:sz="0" w:space="0" w:color="auto"/>
        <w:left w:val="none" w:sz="0" w:space="0" w:color="auto"/>
        <w:bottom w:val="none" w:sz="0" w:space="0" w:color="auto"/>
        <w:right w:val="none" w:sz="0" w:space="0" w:color="auto"/>
      </w:divBdr>
    </w:div>
    <w:div w:id="1806848656">
      <w:bodyDiv w:val="1"/>
      <w:marLeft w:val="0"/>
      <w:marRight w:val="0"/>
      <w:marTop w:val="0"/>
      <w:marBottom w:val="0"/>
      <w:divBdr>
        <w:top w:val="none" w:sz="0" w:space="0" w:color="auto"/>
        <w:left w:val="none" w:sz="0" w:space="0" w:color="auto"/>
        <w:bottom w:val="none" w:sz="0" w:space="0" w:color="auto"/>
        <w:right w:val="none" w:sz="0" w:space="0" w:color="auto"/>
      </w:divBdr>
    </w:div>
    <w:div w:id="1807114403">
      <w:bodyDiv w:val="1"/>
      <w:marLeft w:val="0"/>
      <w:marRight w:val="0"/>
      <w:marTop w:val="0"/>
      <w:marBottom w:val="0"/>
      <w:divBdr>
        <w:top w:val="none" w:sz="0" w:space="0" w:color="auto"/>
        <w:left w:val="none" w:sz="0" w:space="0" w:color="auto"/>
        <w:bottom w:val="none" w:sz="0" w:space="0" w:color="auto"/>
        <w:right w:val="none" w:sz="0" w:space="0" w:color="auto"/>
      </w:divBdr>
    </w:div>
    <w:div w:id="1895698695">
      <w:bodyDiv w:val="1"/>
      <w:marLeft w:val="0"/>
      <w:marRight w:val="0"/>
      <w:marTop w:val="0"/>
      <w:marBottom w:val="0"/>
      <w:divBdr>
        <w:top w:val="none" w:sz="0" w:space="0" w:color="auto"/>
        <w:left w:val="none" w:sz="0" w:space="0" w:color="auto"/>
        <w:bottom w:val="none" w:sz="0" w:space="0" w:color="auto"/>
        <w:right w:val="none" w:sz="0" w:space="0" w:color="auto"/>
      </w:divBdr>
    </w:div>
    <w:div w:id="1916436063">
      <w:bodyDiv w:val="1"/>
      <w:marLeft w:val="0"/>
      <w:marRight w:val="0"/>
      <w:marTop w:val="0"/>
      <w:marBottom w:val="0"/>
      <w:divBdr>
        <w:top w:val="none" w:sz="0" w:space="0" w:color="auto"/>
        <w:left w:val="none" w:sz="0" w:space="0" w:color="auto"/>
        <w:bottom w:val="none" w:sz="0" w:space="0" w:color="auto"/>
        <w:right w:val="none" w:sz="0" w:space="0" w:color="auto"/>
      </w:divBdr>
    </w:div>
    <w:div w:id="1942487362">
      <w:bodyDiv w:val="1"/>
      <w:marLeft w:val="0"/>
      <w:marRight w:val="0"/>
      <w:marTop w:val="0"/>
      <w:marBottom w:val="0"/>
      <w:divBdr>
        <w:top w:val="none" w:sz="0" w:space="0" w:color="auto"/>
        <w:left w:val="none" w:sz="0" w:space="0" w:color="auto"/>
        <w:bottom w:val="none" w:sz="0" w:space="0" w:color="auto"/>
        <w:right w:val="none" w:sz="0" w:space="0" w:color="auto"/>
      </w:divBdr>
    </w:div>
    <w:div w:id="1958021540">
      <w:bodyDiv w:val="1"/>
      <w:marLeft w:val="0"/>
      <w:marRight w:val="0"/>
      <w:marTop w:val="0"/>
      <w:marBottom w:val="0"/>
      <w:divBdr>
        <w:top w:val="none" w:sz="0" w:space="0" w:color="auto"/>
        <w:left w:val="none" w:sz="0" w:space="0" w:color="auto"/>
        <w:bottom w:val="none" w:sz="0" w:space="0" w:color="auto"/>
        <w:right w:val="none" w:sz="0" w:space="0" w:color="auto"/>
      </w:divBdr>
    </w:div>
    <w:div w:id="1970429388">
      <w:bodyDiv w:val="1"/>
      <w:marLeft w:val="0"/>
      <w:marRight w:val="0"/>
      <w:marTop w:val="0"/>
      <w:marBottom w:val="0"/>
      <w:divBdr>
        <w:top w:val="none" w:sz="0" w:space="0" w:color="auto"/>
        <w:left w:val="none" w:sz="0" w:space="0" w:color="auto"/>
        <w:bottom w:val="none" w:sz="0" w:space="0" w:color="auto"/>
        <w:right w:val="none" w:sz="0" w:space="0" w:color="auto"/>
      </w:divBdr>
    </w:div>
    <w:div w:id="2017878723">
      <w:bodyDiv w:val="1"/>
      <w:marLeft w:val="0"/>
      <w:marRight w:val="0"/>
      <w:marTop w:val="0"/>
      <w:marBottom w:val="0"/>
      <w:divBdr>
        <w:top w:val="none" w:sz="0" w:space="0" w:color="auto"/>
        <w:left w:val="none" w:sz="0" w:space="0" w:color="auto"/>
        <w:bottom w:val="none" w:sz="0" w:space="0" w:color="auto"/>
        <w:right w:val="none" w:sz="0" w:space="0" w:color="auto"/>
      </w:divBdr>
    </w:div>
    <w:div w:id="2112049925">
      <w:bodyDiv w:val="1"/>
      <w:marLeft w:val="0"/>
      <w:marRight w:val="0"/>
      <w:marTop w:val="0"/>
      <w:marBottom w:val="0"/>
      <w:divBdr>
        <w:top w:val="none" w:sz="0" w:space="0" w:color="auto"/>
        <w:left w:val="none" w:sz="0" w:space="0" w:color="auto"/>
        <w:bottom w:val="none" w:sz="0" w:space="0" w:color="auto"/>
        <w:right w:val="none" w:sz="0" w:space="0" w:color="auto"/>
      </w:divBdr>
    </w:div>
    <w:div w:id="214056502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3.vsdx"/><Relationship Id="rId21" Type="http://schemas.openxmlformats.org/officeDocument/2006/relationships/oleObject" Target="embeddings/Microsoft_Visio_2003-2010_Drawing.vsd"/><Relationship Id="rId42" Type="http://schemas.openxmlformats.org/officeDocument/2006/relationships/image" Target="media/image20.emf"/><Relationship Id="rId63" Type="http://schemas.openxmlformats.org/officeDocument/2006/relationships/image" Target="media/image30.emf"/><Relationship Id="rId84" Type="http://schemas.openxmlformats.org/officeDocument/2006/relationships/package" Target="embeddings/Microsoft_Visio_Drawing27.vsdx"/><Relationship Id="rId138" Type="http://schemas.openxmlformats.org/officeDocument/2006/relationships/image" Target="media/image69.emf"/><Relationship Id="rId159" Type="http://schemas.openxmlformats.org/officeDocument/2006/relationships/hyperlink" Target="https://portal.3gpp.org/ngppapp/CreateTdoc.aspx?mode=view&amp;contributionUid=CP-213227" TargetMode="External"/><Relationship Id="rId170" Type="http://schemas.openxmlformats.org/officeDocument/2006/relationships/hyperlink" Target="https://portal.3gpp.org/ngppapp/CreateTdoc.aspx?mode=view&amp;contributionUid=CP-213244" TargetMode="External"/><Relationship Id="rId107" Type="http://schemas.openxmlformats.org/officeDocument/2006/relationships/package" Target="embeddings/Microsoft_Visio_Drawing38.vsdx"/><Relationship Id="rId11" Type="http://schemas.openxmlformats.org/officeDocument/2006/relationships/image" Target="media/image3.emf"/><Relationship Id="rId32" Type="http://schemas.openxmlformats.org/officeDocument/2006/relationships/image" Target="media/image15.emf"/><Relationship Id="rId53" Type="http://schemas.openxmlformats.org/officeDocument/2006/relationships/image" Target="media/image26.emf"/><Relationship Id="rId74" Type="http://schemas.openxmlformats.org/officeDocument/2006/relationships/package" Target="embeddings/Microsoft_Visio_Drawing523.vsdx"/><Relationship Id="rId128" Type="http://schemas.openxmlformats.org/officeDocument/2006/relationships/image" Target="media/image62.emf"/><Relationship Id="rId149" Type="http://schemas.openxmlformats.org/officeDocument/2006/relationships/hyperlink" Target="https://portal.3gpp.org/ngppapp/CreateTdoc.aspx?mode=view&amp;contributionUid=CP-213227" TargetMode="External"/><Relationship Id="rId5" Type="http://schemas.openxmlformats.org/officeDocument/2006/relationships/footnotes" Target="footnotes.xml"/><Relationship Id="rId95" Type="http://schemas.openxmlformats.org/officeDocument/2006/relationships/image" Target="media/image46.emf"/><Relationship Id="rId160" Type="http://schemas.openxmlformats.org/officeDocument/2006/relationships/hyperlink" Target="https://portal.3gpp.org/ngppapp/CreateTdoc.aspx?mode=view&amp;contributionUid=CP-213227" TargetMode="External"/><Relationship Id="rId22" Type="http://schemas.openxmlformats.org/officeDocument/2006/relationships/image" Target="media/image10.emf"/><Relationship Id="rId43" Type="http://schemas.openxmlformats.org/officeDocument/2006/relationships/package" Target="embeddings/Microsoft_Visio_Drawing11.vsdx"/><Relationship Id="rId64" Type="http://schemas.openxmlformats.org/officeDocument/2006/relationships/package" Target="embeddings/Microsoft_Visio___2222.vsdx"/><Relationship Id="rId118" Type="http://schemas.openxmlformats.org/officeDocument/2006/relationships/image" Target="media/image57.emf"/><Relationship Id="rId139" Type="http://schemas.openxmlformats.org/officeDocument/2006/relationships/package" Target="embeddings/Microsoft_Visio_Drawing52.vsdx"/><Relationship Id="rId85" Type="http://schemas.openxmlformats.org/officeDocument/2006/relationships/image" Target="media/image41.emf"/><Relationship Id="rId150" Type="http://schemas.openxmlformats.org/officeDocument/2006/relationships/hyperlink" Target="https://portal.3gpp.org/ngppapp/CreateTdoc.aspx?mode=view&amp;contributionUid=CP-213228" TargetMode="External"/><Relationship Id="rId171" Type="http://schemas.openxmlformats.org/officeDocument/2006/relationships/hyperlink" Target="https://portal.3gpp.org/ngppapp/CreateTdoc.aspx?mode=view&amp;contributionUid=CP-213228" TargetMode="External"/><Relationship Id="rId12" Type="http://schemas.openxmlformats.org/officeDocument/2006/relationships/package" Target="embeddings/Microsoft_Visio_Drawing.vsdx"/><Relationship Id="rId33" Type="http://schemas.openxmlformats.org/officeDocument/2006/relationships/oleObject" Target="embeddings/Microsoft_Visio_2003-2010_Drawing2.vsd"/><Relationship Id="rId108" Type="http://schemas.openxmlformats.org/officeDocument/2006/relationships/image" Target="media/image52.emf"/><Relationship Id="rId129" Type="http://schemas.openxmlformats.org/officeDocument/2006/relationships/image" Target="media/image63.emf"/><Relationship Id="rId54" Type="http://schemas.openxmlformats.org/officeDocument/2006/relationships/package" Target="embeddings/Microsoft_Word_Document.docx"/><Relationship Id="rId75" Type="http://schemas.openxmlformats.org/officeDocument/2006/relationships/image" Target="media/image36.emf"/><Relationship Id="rId96" Type="http://schemas.openxmlformats.org/officeDocument/2006/relationships/package" Target="embeddings/Microsoft_Visio_Drawing232.vsdx"/><Relationship Id="rId140" Type="http://schemas.openxmlformats.org/officeDocument/2006/relationships/image" Target="media/image70.emf"/><Relationship Id="rId161" Type="http://schemas.openxmlformats.org/officeDocument/2006/relationships/hyperlink" Target="https://portal.3gpp.org/ngppapp/CreateTdoc.aspx?mode=view&amp;contributionUid=CP-213227" TargetMode="External"/><Relationship Id="rId6" Type="http://schemas.openxmlformats.org/officeDocument/2006/relationships/endnotes" Target="endnotes.xml"/><Relationship Id="rId23" Type="http://schemas.openxmlformats.org/officeDocument/2006/relationships/package" Target="embeddings/Microsoft_Visio_Drawing3.vsdx"/><Relationship Id="rId28" Type="http://schemas.openxmlformats.org/officeDocument/2006/relationships/image" Target="media/image13.emf"/><Relationship Id="rId49" Type="http://schemas.openxmlformats.org/officeDocument/2006/relationships/image" Target="media/image24.emf"/><Relationship Id="rId114" Type="http://schemas.openxmlformats.org/officeDocument/2006/relationships/image" Target="media/image55.emf"/><Relationship Id="rId119" Type="http://schemas.openxmlformats.org/officeDocument/2006/relationships/package" Target="embeddings/Microsoft_Visio_Drawing44.vsdx"/><Relationship Id="rId44" Type="http://schemas.openxmlformats.org/officeDocument/2006/relationships/image" Target="media/image21.emf"/><Relationship Id="rId60" Type="http://schemas.openxmlformats.org/officeDocument/2006/relationships/image" Target="media/image29.emf"/><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Visio_Drawing128.vsdx"/><Relationship Id="rId130" Type="http://schemas.openxmlformats.org/officeDocument/2006/relationships/image" Target="media/image64.emf"/><Relationship Id="rId135" Type="http://schemas.openxmlformats.org/officeDocument/2006/relationships/package" Target="embeddings/Microsoft_Visio_Drawing50.vsdx"/><Relationship Id="rId151" Type="http://schemas.openxmlformats.org/officeDocument/2006/relationships/hyperlink" Target="https://portal.3gpp.org/ngppapp/CreateTdoc.aspx?mode=view&amp;contributionUid=CP-213227" TargetMode="External"/><Relationship Id="rId156" Type="http://schemas.openxmlformats.org/officeDocument/2006/relationships/hyperlink" Target="https://portal.3gpp.org/ngppapp/CreateTdoc.aspx?mode=view&amp;contributionUid=CP-213227" TargetMode="External"/><Relationship Id="rId177" Type="http://schemas.openxmlformats.org/officeDocument/2006/relationships/theme" Target="theme/theme1.xml"/><Relationship Id="rId172" Type="http://schemas.openxmlformats.org/officeDocument/2006/relationships/hyperlink" Target="https://portal.3gpp.org/ngppapp/CreateTdoc.aspx?mode=view&amp;contributionUid=CP-213228" TargetMode="Externa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109" Type="http://schemas.openxmlformats.org/officeDocument/2006/relationships/package" Target="embeddings/Microsoft_Visio_Drawing39.vsdx"/><Relationship Id="rId34" Type="http://schemas.openxmlformats.org/officeDocument/2006/relationships/image" Target="media/image16.emf"/><Relationship Id="rId50" Type="http://schemas.openxmlformats.org/officeDocument/2006/relationships/package" Target="embeddings/Microsoft_Visio_Drawing13.vsdx"/><Relationship Id="rId55" Type="http://schemas.openxmlformats.org/officeDocument/2006/relationships/image" Target="media/image27.emf"/><Relationship Id="rId76" Type="http://schemas.openxmlformats.org/officeDocument/2006/relationships/package" Target="embeddings/Microsoft_Visio_Drawing624.vsdx"/><Relationship Id="rId97" Type="http://schemas.openxmlformats.org/officeDocument/2006/relationships/image" Target="media/image47.emf"/><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47.vsdx"/><Relationship Id="rId141" Type="http://schemas.openxmlformats.org/officeDocument/2006/relationships/package" Target="embeddings/Microsoft_Visio_Drawing53.vsdx"/><Relationship Id="rId146" Type="http://schemas.openxmlformats.org/officeDocument/2006/relationships/hyperlink" Target="https://portal.3gpp.org/ngppapp/CreateTdoc.aspx?mode=view&amp;contributionUid=CP-213227" TargetMode="External"/><Relationship Id="rId167" Type="http://schemas.openxmlformats.org/officeDocument/2006/relationships/hyperlink" Target="https://portal.3gpp.org/ngppapp/CreateTdoc.aspx?mode=view&amp;contributionUid=CP-213228" TargetMode="External"/><Relationship Id="rId7" Type="http://schemas.openxmlformats.org/officeDocument/2006/relationships/image" Target="media/image1.emf"/><Relationship Id="rId71" Type="http://schemas.openxmlformats.org/officeDocument/2006/relationships/image" Target="media/image34.emf"/><Relationship Id="rId92" Type="http://schemas.openxmlformats.org/officeDocument/2006/relationships/package" Target="embeddings/Microsoft_Visio_Drawing30.vsdx"/><Relationship Id="rId162" Type="http://schemas.openxmlformats.org/officeDocument/2006/relationships/hyperlink" Target="https://portal.3gpp.org/ngppapp/CreateTdoc.aspx?mode=view&amp;contributionUid=CP-213239" TargetMode="External"/><Relationship Id="rId2" Type="http://schemas.openxmlformats.org/officeDocument/2006/relationships/styles" Target="styles.xml"/><Relationship Id="rId29" Type="http://schemas.openxmlformats.org/officeDocument/2006/relationships/package" Target="embeddings/Microsoft_Visio_Drawing6.vsdx"/><Relationship Id="rId24" Type="http://schemas.openxmlformats.org/officeDocument/2006/relationships/image" Target="media/image11.emf"/><Relationship Id="rId40" Type="http://schemas.openxmlformats.org/officeDocument/2006/relationships/image" Target="media/image19.emf"/><Relationship Id="rId45" Type="http://schemas.openxmlformats.org/officeDocument/2006/relationships/package" Target="embeddings/Microsoft_Visio___3.vsdx"/><Relationship Id="rId66" Type="http://schemas.openxmlformats.org/officeDocument/2006/relationships/package" Target="embeddings/Microsoft_Visio___4444.vsdx"/><Relationship Id="rId87" Type="http://schemas.openxmlformats.org/officeDocument/2006/relationships/image" Target="media/image42.emf"/><Relationship Id="rId110" Type="http://schemas.openxmlformats.org/officeDocument/2006/relationships/image" Target="media/image53.emf"/><Relationship Id="rId115" Type="http://schemas.openxmlformats.org/officeDocument/2006/relationships/package" Target="embeddings/Microsoft_Visio_Drawing42.vsdx"/><Relationship Id="rId131" Type="http://schemas.openxmlformats.org/officeDocument/2006/relationships/image" Target="media/image65.emf"/><Relationship Id="rId136" Type="http://schemas.openxmlformats.org/officeDocument/2006/relationships/image" Target="media/image68.emf"/><Relationship Id="rId157" Type="http://schemas.openxmlformats.org/officeDocument/2006/relationships/hyperlink" Target="https://portal.3gpp.org/ngppapp/CreateTdoc.aspx?mode=view&amp;contributionUid=CP-213227" TargetMode="External"/><Relationship Id="rId61" Type="http://schemas.openxmlformats.org/officeDocument/2006/relationships/package" Target="embeddings/Microsoft_Visio_Drawing318.vsdx"/><Relationship Id="rId82" Type="http://schemas.openxmlformats.org/officeDocument/2006/relationships/package" Target="embeddings/Microsoft_Visio_Drawing126.vsdx"/><Relationship Id="rId152" Type="http://schemas.openxmlformats.org/officeDocument/2006/relationships/hyperlink" Target="https://portal.3gpp.org/ngppapp/CreateTdoc.aspx?mode=view&amp;contributionUid=CP-213227" TargetMode="External"/><Relationship Id="rId173" Type="http://schemas.openxmlformats.org/officeDocument/2006/relationships/hyperlink" Target="https://portal.3gpp.org/ngppapp/CreateTdoc.aspx?mode=view&amp;contributionUid=CP-213246" TargetMode="External"/><Relationship Id="rId19" Type="http://schemas.openxmlformats.org/officeDocument/2006/relationships/image" Target="media/image8.emf"/><Relationship Id="rId14" Type="http://schemas.openxmlformats.org/officeDocument/2006/relationships/package" Target="embeddings/Microsoft_Visio_Drawing1.vsdx"/><Relationship Id="rId30" Type="http://schemas.openxmlformats.org/officeDocument/2006/relationships/image" Target="media/image14.emf"/><Relationship Id="rId35" Type="http://schemas.openxmlformats.org/officeDocument/2006/relationships/package" Target="embeddings/Microsoft_Visio_Drawing7.vsdx"/><Relationship Id="rId56" Type="http://schemas.openxmlformats.org/officeDocument/2006/relationships/package" Target="embeddings/Microsoft_Visio_Drawing15.vsdx"/><Relationship Id="rId77" Type="http://schemas.openxmlformats.org/officeDocument/2006/relationships/image" Target="media/image37.emf"/><Relationship Id="rId100" Type="http://schemas.openxmlformats.org/officeDocument/2006/relationships/image" Target="media/image48.emf"/><Relationship Id="rId105" Type="http://schemas.openxmlformats.org/officeDocument/2006/relationships/package" Target="embeddings/Microsoft_Visio_Drawing37.vsdx"/><Relationship Id="rId126" Type="http://schemas.openxmlformats.org/officeDocument/2006/relationships/image" Target="media/image61.emf"/><Relationship Id="rId147" Type="http://schemas.openxmlformats.org/officeDocument/2006/relationships/hyperlink" Target="https://portal.3gpp.org/ngppapp/CreateTdoc.aspx?mode=view&amp;contributionUid=CP-213228" TargetMode="External"/><Relationship Id="rId168" Type="http://schemas.openxmlformats.org/officeDocument/2006/relationships/hyperlink" Target="https://portal.3gpp.org/ngppapp/CreateTdoc.aspx?mode=view&amp;contributionUid=CP-213228" TargetMode="External"/><Relationship Id="rId8" Type="http://schemas.openxmlformats.org/officeDocument/2006/relationships/oleObject" Target="embeddings/oleObject1.bin"/><Relationship Id="rId51" Type="http://schemas.openxmlformats.org/officeDocument/2006/relationships/image" Target="media/image25.emf"/><Relationship Id="rId72" Type="http://schemas.openxmlformats.org/officeDocument/2006/relationships/package" Target="embeddings/Microsoft_Visio_Drawing422.vsdx"/><Relationship Id="rId93" Type="http://schemas.openxmlformats.org/officeDocument/2006/relationships/image" Target="media/image45.emf"/><Relationship Id="rId98" Type="http://schemas.openxmlformats.org/officeDocument/2006/relationships/package" Target="embeddings/Microsoft_Visio_Drawing333.vsdx"/><Relationship Id="rId121" Type="http://schemas.openxmlformats.org/officeDocument/2006/relationships/package" Target="embeddings/Microsoft_Visio_Drawing45.vsdx"/><Relationship Id="rId142" Type="http://schemas.openxmlformats.org/officeDocument/2006/relationships/image" Target="media/image71.emf"/><Relationship Id="rId163" Type="http://schemas.openxmlformats.org/officeDocument/2006/relationships/hyperlink" Target="https://portal.3gpp.org/ngppapp/CreateTdoc.aspx?mode=view&amp;contributionUid=CP-213228" TargetMode="External"/><Relationship Id="rId3" Type="http://schemas.openxmlformats.org/officeDocument/2006/relationships/settings" Target="settings.xml"/><Relationship Id="rId25" Type="http://schemas.openxmlformats.org/officeDocument/2006/relationships/package" Target="embeddings/Microsoft_Visio_Drawing4.vsdx"/><Relationship Id="rId46" Type="http://schemas.openxmlformats.org/officeDocument/2006/relationships/image" Target="media/image22.emf"/><Relationship Id="rId67" Type="http://schemas.openxmlformats.org/officeDocument/2006/relationships/image" Target="media/image32.emf"/><Relationship Id="rId116" Type="http://schemas.openxmlformats.org/officeDocument/2006/relationships/image" Target="media/image56.emf"/><Relationship Id="rId137" Type="http://schemas.openxmlformats.org/officeDocument/2006/relationships/package" Target="embeddings/Microsoft_Visio___151.vsdx"/><Relationship Id="rId158" Type="http://schemas.openxmlformats.org/officeDocument/2006/relationships/hyperlink" Target="https://portal.3gpp.org/ngppapp/CreateTdoc.aspx?mode=view&amp;contributionUid=CP-213227" TargetMode="External"/><Relationship Id="rId20" Type="http://schemas.openxmlformats.org/officeDocument/2006/relationships/image" Target="media/image9.emf"/><Relationship Id="rId41" Type="http://schemas.openxmlformats.org/officeDocument/2006/relationships/package" Target="embeddings/Microsoft_Visio_Drawing10.vsdx"/><Relationship Id="rId62" Type="http://schemas.openxmlformats.org/officeDocument/2006/relationships/package" Target="embeddings/Microsoft_Word_Document19.docx"/><Relationship Id="rId83" Type="http://schemas.openxmlformats.org/officeDocument/2006/relationships/image" Target="media/image40.emf"/><Relationship Id="rId88" Type="http://schemas.openxmlformats.org/officeDocument/2006/relationships/package" Target="embeddings/Microsoft_Visio_Drawing429.vsdx"/><Relationship Id="rId111" Type="http://schemas.openxmlformats.org/officeDocument/2006/relationships/package" Target="embeddings/Microsoft_Visio_Drawing40.vsdx"/><Relationship Id="rId132" Type="http://schemas.openxmlformats.org/officeDocument/2006/relationships/image" Target="media/image66.emf"/><Relationship Id="rId153" Type="http://schemas.openxmlformats.org/officeDocument/2006/relationships/hyperlink" Target="https://portal.3gpp.org/ngppapp/CreateTdoc.aspx?mode=view&amp;contributionUid=CP-213227" TargetMode="External"/><Relationship Id="rId174"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image" Target="media/image17.emf"/><Relationship Id="rId57" Type="http://schemas.openxmlformats.org/officeDocument/2006/relationships/image" Target="media/image28.emf"/><Relationship Id="rId106" Type="http://schemas.openxmlformats.org/officeDocument/2006/relationships/image" Target="media/image51.emf"/><Relationship Id="rId127" Type="http://schemas.openxmlformats.org/officeDocument/2006/relationships/package" Target="embeddings/Microsoft_Visio_Drawing48.vsdx"/><Relationship Id="rId10" Type="http://schemas.openxmlformats.org/officeDocument/2006/relationships/hyperlink" Target="http://www.iana.org/assignments/enterprise-numbers" TargetMode="External"/><Relationship Id="rId31" Type="http://schemas.openxmlformats.org/officeDocument/2006/relationships/oleObject" Target="embeddings/Microsoft_Visio_2003-2010_Drawing1.vsd"/><Relationship Id="rId52" Type="http://schemas.openxmlformats.org/officeDocument/2006/relationships/package" Target="embeddings/Microsoft_Visio_Drawing14.vsdx"/><Relationship Id="rId73" Type="http://schemas.openxmlformats.org/officeDocument/2006/relationships/image" Target="media/image35.emf"/><Relationship Id="rId78" Type="http://schemas.openxmlformats.org/officeDocument/2006/relationships/package" Target="embeddings/Microsoft_Visio___1.vsdx"/><Relationship Id="rId94" Type="http://schemas.openxmlformats.org/officeDocument/2006/relationships/package" Target="embeddings/Microsoft_Visio_Drawing131.vsdx"/><Relationship Id="rId99" Type="http://schemas.openxmlformats.org/officeDocument/2006/relationships/package" Target="embeddings/Microsoft_Visio_Drawing434.vsdx"/><Relationship Id="rId101" Type="http://schemas.openxmlformats.org/officeDocument/2006/relationships/package" Target="embeddings/Microsoft_Visio_Drawing35.vsdx"/><Relationship Id="rId122" Type="http://schemas.openxmlformats.org/officeDocument/2006/relationships/image" Target="media/image59.emf"/><Relationship Id="rId143" Type="http://schemas.openxmlformats.org/officeDocument/2006/relationships/package" Target="embeddings/Microsoft_Visio_Drawing54.vsdx"/><Relationship Id="rId148" Type="http://schemas.openxmlformats.org/officeDocument/2006/relationships/hyperlink" Target="https://portal.3gpp.org/ngppapp/CreateTdoc.aspx?mode=view&amp;contributionUid=CP-213228" TargetMode="External"/><Relationship Id="rId164" Type="http://schemas.openxmlformats.org/officeDocument/2006/relationships/hyperlink" Target="https://portal.3gpp.org/ngppapp/CreateTdoc.aspx?mode=view&amp;contributionUid=CP-213228" TargetMode="External"/><Relationship Id="rId169" Type="http://schemas.openxmlformats.org/officeDocument/2006/relationships/hyperlink" Target="https://portal.3gpp.org/ngppapp/CreateTdoc.aspx?mode=view&amp;contributionUid=CP-213228" TargetMode="External"/><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2.emf"/><Relationship Id="rId47" Type="http://schemas.openxmlformats.org/officeDocument/2006/relationships/image" Target="media/image23.emf"/><Relationship Id="rId68" Type="http://schemas.openxmlformats.org/officeDocument/2006/relationships/package" Target="embeddings/Microsoft_Visio_Drawing220.vsdx"/><Relationship Id="rId89" Type="http://schemas.openxmlformats.org/officeDocument/2006/relationships/image" Target="media/image43.emf"/><Relationship Id="rId112" Type="http://schemas.openxmlformats.org/officeDocument/2006/relationships/image" Target="media/image54.emf"/><Relationship Id="rId133" Type="http://schemas.openxmlformats.org/officeDocument/2006/relationships/package" Target="embeddings/Microsoft_Visio_Drawing449.vsdx"/><Relationship Id="rId154" Type="http://schemas.openxmlformats.org/officeDocument/2006/relationships/hyperlink" Target="https://portal.3gpp.org/ngppapp/CreateTdoc.aspx?mode=view&amp;contributionUid=CP-213228" TargetMode="External"/><Relationship Id="rId175" Type="http://schemas.openxmlformats.org/officeDocument/2006/relationships/footer" Target="footer1.xml"/><Relationship Id="rId16" Type="http://schemas.openxmlformats.org/officeDocument/2006/relationships/image" Target="media/image6.emf"/><Relationship Id="rId37" Type="http://schemas.openxmlformats.org/officeDocument/2006/relationships/package" Target="embeddings/Microsoft_Visio_Drawing8.vsdx"/><Relationship Id="rId58" Type="http://schemas.openxmlformats.org/officeDocument/2006/relationships/package" Target="embeddings/Microsoft_Visio_Drawing116.vsdx"/><Relationship Id="rId79" Type="http://schemas.openxmlformats.org/officeDocument/2006/relationships/image" Target="media/image38.emf"/><Relationship Id="rId102" Type="http://schemas.openxmlformats.org/officeDocument/2006/relationships/image" Target="media/image49.emf"/><Relationship Id="rId123" Type="http://schemas.openxmlformats.org/officeDocument/2006/relationships/package" Target="embeddings/Microsoft_Visio_Drawing46.vsdx"/><Relationship Id="rId144" Type="http://schemas.openxmlformats.org/officeDocument/2006/relationships/hyperlink" Target="https://portal.3gpp.org/ngppapp/CreateTdoc.aspx?mode=view&amp;contributionUid=CP-213228" TargetMode="External"/><Relationship Id="rId90" Type="http://schemas.openxmlformats.org/officeDocument/2006/relationships/package" Target="embeddings/Microsoft_Visio___44442222.vsdx"/><Relationship Id="rId165" Type="http://schemas.openxmlformats.org/officeDocument/2006/relationships/hyperlink" Target="https://portal.3gpp.org/ngppapp/CreateTdoc.aspx?mode=view&amp;contributionUid=CP-213226" TargetMode="External"/><Relationship Id="rId27" Type="http://schemas.openxmlformats.org/officeDocument/2006/relationships/package" Target="embeddings/Microsoft_Visio_Drawing5.vsdx"/><Relationship Id="rId48" Type="http://schemas.openxmlformats.org/officeDocument/2006/relationships/package" Target="embeddings/Microsoft_Visio_Drawing12.vsdx"/><Relationship Id="rId69" Type="http://schemas.openxmlformats.org/officeDocument/2006/relationships/image" Target="media/image33.emf"/><Relationship Id="rId113" Type="http://schemas.openxmlformats.org/officeDocument/2006/relationships/package" Target="embeddings/Microsoft_Visio_Drawing41.vsdx"/><Relationship Id="rId134" Type="http://schemas.openxmlformats.org/officeDocument/2006/relationships/image" Target="media/image67.emf"/><Relationship Id="rId80" Type="http://schemas.openxmlformats.org/officeDocument/2006/relationships/package" Target="embeddings/Microsoft_Visio_Drawing25.vsdx"/><Relationship Id="rId155" Type="http://schemas.openxmlformats.org/officeDocument/2006/relationships/hyperlink" Target="https://portal.3gpp.org/ngppapp/CreateTdoc.aspx?mode=view&amp;contributionUid=CP-213227" TargetMode="External"/><Relationship Id="rId176" Type="http://schemas.openxmlformats.org/officeDocument/2006/relationships/fontTable" Target="fontTable.xml"/><Relationship Id="rId17" Type="http://schemas.openxmlformats.org/officeDocument/2006/relationships/package" Target="embeddings/Microsoft_Visio_Drawing2.vsdx"/><Relationship Id="rId38" Type="http://schemas.openxmlformats.org/officeDocument/2006/relationships/image" Target="media/image18.emf"/><Relationship Id="rId59" Type="http://schemas.openxmlformats.org/officeDocument/2006/relationships/package" Target="embeddings/Microsoft_Visio_Drawing217.vsdx"/><Relationship Id="rId103" Type="http://schemas.openxmlformats.org/officeDocument/2006/relationships/package" Target="embeddings/Microsoft_Visio_Drawing36.vsdx"/><Relationship Id="rId124" Type="http://schemas.openxmlformats.org/officeDocument/2006/relationships/image" Target="media/image60.emf"/><Relationship Id="rId70" Type="http://schemas.openxmlformats.org/officeDocument/2006/relationships/package" Target="embeddings/Microsoft_Visio_Drawing321.vsdx"/><Relationship Id="rId91" Type="http://schemas.openxmlformats.org/officeDocument/2006/relationships/image" Target="media/image44.emf"/><Relationship Id="rId145" Type="http://schemas.openxmlformats.org/officeDocument/2006/relationships/hyperlink" Target="https://portal.3gpp.org/ngppapp/CreateTdoc.aspx?mode=view&amp;contributionUid=CP-213228" TargetMode="External"/><Relationship Id="rId166" Type="http://schemas.openxmlformats.org/officeDocument/2006/relationships/hyperlink" Target="https://portal.3gpp.org/ngppapp/CreateTdoc.aspx?mode=view&amp;contributionUid=CP-213228" TargetMode="External"/><Relationship Id="rId1"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563</Pages>
  <Words>197624</Words>
  <Characters>1126458</Characters>
  <Application>Microsoft Office Word</Application>
  <DocSecurity>0</DocSecurity>
  <Lines>9387</Lines>
  <Paragraphs>2642</Paragraphs>
  <ScaleCrop>false</ScaleCrop>
  <HeadingPairs>
    <vt:vector size="2" baseType="variant">
      <vt:variant>
        <vt:lpstr>Title</vt:lpstr>
      </vt:variant>
      <vt:variant>
        <vt:i4>1</vt:i4>
      </vt:variant>
    </vt:vector>
  </HeadingPairs>
  <TitlesOfParts>
    <vt:vector size="1" baseType="lpstr">
      <vt:lpstr>3GPP TS 29.520</vt:lpstr>
    </vt:vector>
  </TitlesOfParts>
  <Company>ETSI-MCC</Company>
  <LinksUpToDate>false</LinksUpToDate>
  <CharactersWithSpaces>1321440</CharactersWithSpaces>
  <SharedDoc>false</SharedDoc>
  <HLinks>
    <vt:vector size="186" baseType="variant">
      <vt:variant>
        <vt:i4>7274529</vt:i4>
      </vt:variant>
      <vt:variant>
        <vt:i4>4730</vt:i4>
      </vt:variant>
      <vt:variant>
        <vt:i4>0</vt:i4>
      </vt:variant>
      <vt:variant>
        <vt:i4>5</vt:i4>
      </vt:variant>
      <vt:variant>
        <vt:lpwstr>https://portal.3gpp.org/ngppapp/CreateTdoc.aspx?mode=view&amp;contributionUid=CP-213246</vt:lpwstr>
      </vt:variant>
      <vt:variant>
        <vt:lpwstr/>
      </vt:variant>
      <vt:variant>
        <vt:i4>6881313</vt:i4>
      </vt:variant>
      <vt:variant>
        <vt:i4>4727</vt:i4>
      </vt:variant>
      <vt:variant>
        <vt:i4>0</vt:i4>
      </vt:variant>
      <vt:variant>
        <vt:i4>5</vt:i4>
      </vt:variant>
      <vt:variant>
        <vt:lpwstr>https://portal.3gpp.org/ngppapp/CreateTdoc.aspx?mode=view&amp;contributionUid=CP-213228</vt:lpwstr>
      </vt:variant>
      <vt:variant>
        <vt:lpwstr/>
      </vt:variant>
      <vt:variant>
        <vt:i4>6881313</vt:i4>
      </vt:variant>
      <vt:variant>
        <vt:i4>4724</vt:i4>
      </vt:variant>
      <vt:variant>
        <vt:i4>0</vt:i4>
      </vt:variant>
      <vt:variant>
        <vt:i4>5</vt:i4>
      </vt:variant>
      <vt:variant>
        <vt:lpwstr>https://portal.3gpp.org/ngppapp/CreateTdoc.aspx?mode=view&amp;contributionUid=CP-213228</vt:lpwstr>
      </vt:variant>
      <vt:variant>
        <vt:lpwstr/>
      </vt:variant>
      <vt:variant>
        <vt:i4>7274529</vt:i4>
      </vt:variant>
      <vt:variant>
        <vt:i4>4721</vt:i4>
      </vt:variant>
      <vt:variant>
        <vt:i4>0</vt:i4>
      </vt:variant>
      <vt:variant>
        <vt:i4>5</vt:i4>
      </vt:variant>
      <vt:variant>
        <vt:lpwstr>https://portal.3gpp.org/ngppapp/CreateTdoc.aspx?mode=view&amp;contributionUid=CP-213244</vt:lpwstr>
      </vt:variant>
      <vt:variant>
        <vt:lpwstr/>
      </vt:variant>
      <vt:variant>
        <vt:i4>6881313</vt:i4>
      </vt:variant>
      <vt:variant>
        <vt:i4>4718</vt:i4>
      </vt:variant>
      <vt:variant>
        <vt:i4>0</vt:i4>
      </vt:variant>
      <vt:variant>
        <vt:i4>5</vt:i4>
      </vt:variant>
      <vt:variant>
        <vt:lpwstr>https://portal.3gpp.org/ngppapp/CreateTdoc.aspx?mode=view&amp;contributionUid=CP-213228</vt:lpwstr>
      </vt:variant>
      <vt:variant>
        <vt:lpwstr/>
      </vt:variant>
      <vt:variant>
        <vt:i4>6881313</vt:i4>
      </vt:variant>
      <vt:variant>
        <vt:i4>4715</vt:i4>
      </vt:variant>
      <vt:variant>
        <vt:i4>0</vt:i4>
      </vt:variant>
      <vt:variant>
        <vt:i4>5</vt:i4>
      </vt:variant>
      <vt:variant>
        <vt:lpwstr>https://portal.3gpp.org/ngppapp/CreateTdoc.aspx?mode=view&amp;contributionUid=CP-213228</vt:lpwstr>
      </vt:variant>
      <vt:variant>
        <vt:lpwstr/>
      </vt:variant>
      <vt:variant>
        <vt:i4>6881313</vt:i4>
      </vt:variant>
      <vt:variant>
        <vt:i4>4712</vt:i4>
      </vt:variant>
      <vt:variant>
        <vt:i4>0</vt:i4>
      </vt:variant>
      <vt:variant>
        <vt:i4>5</vt:i4>
      </vt:variant>
      <vt:variant>
        <vt:lpwstr>https://portal.3gpp.org/ngppapp/CreateTdoc.aspx?mode=view&amp;contributionUid=CP-213228</vt:lpwstr>
      </vt:variant>
      <vt:variant>
        <vt:lpwstr/>
      </vt:variant>
      <vt:variant>
        <vt:i4>6881313</vt:i4>
      </vt:variant>
      <vt:variant>
        <vt:i4>4709</vt:i4>
      </vt:variant>
      <vt:variant>
        <vt:i4>0</vt:i4>
      </vt:variant>
      <vt:variant>
        <vt:i4>5</vt:i4>
      </vt:variant>
      <vt:variant>
        <vt:lpwstr>https://portal.3gpp.org/ngppapp/CreateTdoc.aspx?mode=view&amp;contributionUid=CP-213228</vt:lpwstr>
      </vt:variant>
      <vt:variant>
        <vt:lpwstr/>
      </vt:variant>
      <vt:variant>
        <vt:i4>6881313</vt:i4>
      </vt:variant>
      <vt:variant>
        <vt:i4>4706</vt:i4>
      </vt:variant>
      <vt:variant>
        <vt:i4>0</vt:i4>
      </vt:variant>
      <vt:variant>
        <vt:i4>5</vt:i4>
      </vt:variant>
      <vt:variant>
        <vt:lpwstr>https://portal.3gpp.org/ngppapp/CreateTdoc.aspx?mode=view&amp;contributionUid=CP-213226</vt:lpwstr>
      </vt:variant>
      <vt:variant>
        <vt:lpwstr/>
      </vt:variant>
      <vt:variant>
        <vt:i4>6881313</vt:i4>
      </vt:variant>
      <vt:variant>
        <vt:i4>4703</vt:i4>
      </vt:variant>
      <vt:variant>
        <vt:i4>0</vt:i4>
      </vt:variant>
      <vt:variant>
        <vt:i4>5</vt:i4>
      </vt:variant>
      <vt:variant>
        <vt:lpwstr>https://portal.3gpp.org/ngppapp/CreateTdoc.aspx?mode=view&amp;contributionUid=CP-213228</vt:lpwstr>
      </vt:variant>
      <vt:variant>
        <vt:lpwstr/>
      </vt:variant>
      <vt:variant>
        <vt:i4>6881313</vt:i4>
      </vt:variant>
      <vt:variant>
        <vt:i4>4700</vt:i4>
      </vt:variant>
      <vt:variant>
        <vt:i4>0</vt:i4>
      </vt:variant>
      <vt:variant>
        <vt:i4>5</vt:i4>
      </vt:variant>
      <vt:variant>
        <vt:lpwstr>https://portal.3gpp.org/ngppapp/CreateTdoc.aspx?mode=view&amp;contributionUid=CP-213228</vt:lpwstr>
      </vt:variant>
      <vt:variant>
        <vt:lpwstr/>
      </vt:variant>
      <vt:variant>
        <vt:i4>6815777</vt:i4>
      </vt:variant>
      <vt:variant>
        <vt:i4>4697</vt:i4>
      </vt:variant>
      <vt:variant>
        <vt:i4>0</vt:i4>
      </vt:variant>
      <vt:variant>
        <vt:i4>5</vt:i4>
      </vt:variant>
      <vt:variant>
        <vt:lpwstr>https://portal.3gpp.org/ngppapp/CreateTdoc.aspx?mode=view&amp;contributionUid=CP-213239</vt:lpwstr>
      </vt:variant>
      <vt:variant>
        <vt:lpwstr/>
      </vt:variant>
      <vt:variant>
        <vt:i4>6881313</vt:i4>
      </vt:variant>
      <vt:variant>
        <vt:i4>4694</vt:i4>
      </vt:variant>
      <vt:variant>
        <vt:i4>0</vt:i4>
      </vt:variant>
      <vt:variant>
        <vt:i4>5</vt:i4>
      </vt:variant>
      <vt:variant>
        <vt:lpwstr>https://portal.3gpp.org/ngppapp/CreateTdoc.aspx?mode=view&amp;contributionUid=CP-213227</vt:lpwstr>
      </vt:variant>
      <vt:variant>
        <vt:lpwstr/>
      </vt:variant>
      <vt:variant>
        <vt:i4>6881313</vt:i4>
      </vt:variant>
      <vt:variant>
        <vt:i4>4691</vt:i4>
      </vt:variant>
      <vt:variant>
        <vt:i4>0</vt:i4>
      </vt:variant>
      <vt:variant>
        <vt:i4>5</vt:i4>
      </vt:variant>
      <vt:variant>
        <vt:lpwstr>https://portal.3gpp.org/ngppapp/CreateTdoc.aspx?mode=view&amp;contributionUid=CP-213227</vt:lpwstr>
      </vt:variant>
      <vt:variant>
        <vt:lpwstr/>
      </vt:variant>
      <vt:variant>
        <vt:i4>6881313</vt:i4>
      </vt:variant>
      <vt:variant>
        <vt:i4>4688</vt:i4>
      </vt:variant>
      <vt:variant>
        <vt:i4>0</vt:i4>
      </vt:variant>
      <vt:variant>
        <vt:i4>5</vt:i4>
      </vt:variant>
      <vt:variant>
        <vt:lpwstr>https://portal.3gpp.org/ngppapp/CreateTdoc.aspx?mode=view&amp;contributionUid=CP-213227</vt:lpwstr>
      </vt:variant>
      <vt:variant>
        <vt:lpwstr/>
      </vt:variant>
      <vt:variant>
        <vt:i4>6881313</vt:i4>
      </vt:variant>
      <vt:variant>
        <vt:i4>4685</vt:i4>
      </vt:variant>
      <vt:variant>
        <vt:i4>0</vt:i4>
      </vt:variant>
      <vt:variant>
        <vt:i4>5</vt:i4>
      </vt:variant>
      <vt:variant>
        <vt:lpwstr>https://portal.3gpp.org/ngppapp/CreateTdoc.aspx?mode=view&amp;contributionUid=CP-213227</vt:lpwstr>
      </vt:variant>
      <vt:variant>
        <vt:lpwstr/>
      </vt:variant>
      <vt:variant>
        <vt:i4>6881313</vt:i4>
      </vt:variant>
      <vt:variant>
        <vt:i4>4682</vt:i4>
      </vt:variant>
      <vt:variant>
        <vt:i4>0</vt:i4>
      </vt:variant>
      <vt:variant>
        <vt:i4>5</vt:i4>
      </vt:variant>
      <vt:variant>
        <vt:lpwstr>https://portal.3gpp.org/ngppapp/CreateTdoc.aspx?mode=view&amp;contributionUid=CP-213227</vt:lpwstr>
      </vt:variant>
      <vt:variant>
        <vt:lpwstr/>
      </vt:variant>
      <vt:variant>
        <vt:i4>6881313</vt:i4>
      </vt:variant>
      <vt:variant>
        <vt:i4>4679</vt:i4>
      </vt:variant>
      <vt:variant>
        <vt:i4>0</vt:i4>
      </vt:variant>
      <vt:variant>
        <vt:i4>5</vt:i4>
      </vt:variant>
      <vt:variant>
        <vt:lpwstr>https://portal.3gpp.org/ngppapp/CreateTdoc.aspx?mode=view&amp;contributionUid=CP-213227</vt:lpwstr>
      </vt:variant>
      <vt:variant>
        <vt:lpwstr/>
      </vt:variant>
      <vt:variant>
        <vt:i4>6881313</vt:i4>
      </vt:variant>
      <vt:variant>
        <vt:i4>4676</vt:i4>
      </vt:variant>
      <vt:variant>
        <vt:i4>0</vt:i4>
      </vt:variant>
      <vt:variant>
        <vt:i4>5</vt:i4>
      </vt:variant>
      <vt:variant>
        <vt:lpwstr>https://portal.3gpp.org/ngppapp/CreateTdoc.aspx?mode=view&amp;contributionUid=CP-213227</vt:lpwstr>
      </vt:variant>
      <vt:variant>
        <vt:lpwstr/>
      </vt:variant>
      <vt:variant>
        <vt:i4>6881313</vt:i4>
      </vt:variant>
      <vt:variant>
        <vt:i4>4673</vt:i4>
      </vt:variant>
      <vt:variant>
        <vt:i4>0</vt:i4>
      </vt:variant>
      <vt:variant>
        <vt:i4>5</vt:i4>
      </vt:variant>
      <vt:variant>
        <vt:lpwstr>https://portal.3gpp.org/ngppapp/CreateTdoc.aspx?mode=view&amp;contributionUid=CP-213228</vt:lpwstr>
      </vt:variant>
      <vt:variant>
        <vt:lpwstr/>
      </vt:variant>
      <vt:variant>
        <vt:i4>6881313</vt:i4>
      </vt:variant>
      <vt:variant>
        <vt:i4>4670</vt:i4>
      </vt:variant>
      <vt:variant>
        <vt:i4>0</vt:i4>
      </vt:variant>
      <vt:variant>
        <vt:i4>5</vt:i4>
      </vt:variant>
      <vt:variant>
        <vt:lpwstr>https://portal.3gpp.org/ngppapp/CreateTdoc.aspx?mode=view&amp;contributionUid=CP-213227</vt:lpwstr>
      </vt:variant>
      <vt:variant>
        <vt:lpwstr/>
      </vt:variant>
      <vt:variant>
        <vt:i4>6881313</vt:i4>
      </vt:variant>
      <vt:variant>
        <vt:i4>4667</vt:i4>
      </vt:variant>
      <vt:variant>
        <vt:i4>0</vt:i4>
      </vt:variant>
      <vt:variant>
        <vt:i4>5</vt:i4>
      </vt:variant>
      <vt:variant>
        <vt:lpwstr>https://portal.3gpp.org/ngppapp/CreateTdoc.aspx?mode=view&amp;contributionUid=CP-213227</vt:lpwstr>
      </vt:variant>
      <vt:variant>
        <vt:lpwstr/>
      </vt:variant>
      <vt:variant>
        <vt:i4>6881313</vt:i4>
      </vt:variant>
      <vt:variant>
        <vt:i4>4664</vt:i4>
      </vt:variant>
      <vt:variant>
        <vt:i4>0</vt:i4>
      </vt:variant>
      <vt:variant>
        <vt:i4>5</vt:i4>
      </vt:variant>
      <vt:variant>
        <vt:lpwstr>https://portal.3gpp.org/ngppapp/CreateTdoc.aspx?mode=view&amp;contributionUid=CP-213227</vt:lpwstr>
      </vt:variant>
      <vt:variant>
        <vt:lpwstr/>
      </vt:variant>
      <vt:variant>
        <vt:i4>6881313</vt:i4>
      </vt:variant>
      <vt:variant>
        <vt:i4>4661</vt:i4>
      </vt:variant>
      <vt:variant>
        <vt:i4>0</vt:i4>
      </vt:variant>
      <vt:variant>
        <vt:i4>5</vt:i4>
      </vt:variant>
      <vt:variant>
        <vt:lpwstr>https://portal.3gpp.org/ngppapp/CreateTdoc.aspx?mode=view&amp;contributionUid=CP-213228</vt:lpwstr>
      </vt:variant>
      <vt:variant>
        <vt:lpwstr/>
      </vt:variant>
      <vt:variant>
        <vt:i4>6881313</vt:i4>
      </vt:variant>
      <vt:variant>
        <vt:i4>4658</vt:i4>
      </vt:variant>
      <vt:variant>
        <vt:i4>0</vt:i4>
      </vt:variant>
      <vt:variant>
        <vt:i4>5</vt:i4>
      </vt:variant>
      <vt:variant>
        <vt:lpwstr>https://portal.3gpp.org/ngppapp/CreateTdoc.aspx?mode=view&amp;contributionUid=CP-213227</vt:lpwstr>
      </vt:variant>
      <vt:variant>
        <vt:lpwstr/>
      </vt:variant>
      <vt:variant>
        <vt:i4>6881313</vt:i4>
      </vt:variant>
      <vt:variant>
        <vt:i4>4655</vt:i4>
      </vt:variant>
      <vt:variant>
        <vt:i4>0</vt:i4>
      </vt:variant>
      <vt:variant>
        <vt:i4>5</vt:i4>
      </vt:variant>
      <vt:variant>
        <vt:lpwstr>https://portal.3gpp.org/ngppapp/CreateTdoc.aspx?mode=view&amp;contributionUid=CP-213228</vt:lpwstr>
      </vt:variant>
      <vt:variant>
        <vt:lpwstr/>
      </vt:variant>
      <vt:variant>
        <vt:i4>6881313</vt:i4>
      </vt:variant>
      <vt:variant>
        <vt:i4>4652</vt:i4>
      </vt:variant>
      <vt:variant>
        <vt:i4>0</vt:i4>
      </vt:variant>
      <vt:variant>
        <vt:i4>5</vt:i4>
      </vt:variant>
      <vt:variant>
        <vt:lpwstr>https://portal.3gpp.org/ngppapp/CreateTdoc.aspx?mode=view&amp;contributionUid=CP-213228</vt:lpwstr>
      </vt:variant>
      <vt:variant>
        <vt:lpwstr/>
      </vt:variant>
      <vt:variant>
        <vt:i4>6881313</vt:i4>
      </vt:variant>
      <vt:variant>
        <vt:i4>4649</vt:i4>
      </vt:variant>
      <vt:variant>
        <vt:i4>0</vt:i4>
      </vt:variant>
      <vt:variant>
        <vt:i4>5</vt:i4>
      </vt:variant>
      <vt:variant>
        <vt:lpwstr>https://portal.3gpp.org/ngppapp/CreateTdoc.aspx?mode=view&amp;contributionUid=CP-213227</vt:lpwstr>
      </vt:variant>
      <vt:variant>
        <vt:lpwstr/>
      </vt:variant>
      <vt:variant>
        <vt:i4>6881313</vt:i4>
      </vt:variant>
      <vt:variant>
        <vt:i4>4646</vt:i4>
      </vt:variant>
      <vt:variant>
        <vt:i4>0</vt:i4>
      </vt:variant>
      <vt:variant>
        <vt:i4>5</vt:i4>
      </vt:variant>
      <vt:variant>
        <vt:lpwstr>https://portal.3gpp.org/ngppapp/CreateTdoc.aspx?mode=view&amp;contributionUid=CP-213228</vt:lpwstr>
      </vt:variant>
      <vt:variant>
        <vt:lpwstr/>
      </vt:variant>
      <vt:variant>
        <vt:i4>6881313</vt:i4>
      </vt:variant>
      <vt:variant>
        <vt:i4>4643</vt:i4>
      </vt:variant>
      <vt:variant>
        <vt:i4>0</vt:i4>
      </vt:variant>
      <vt:variant>
        <vt:i4>5</vt:i4>
      </vt:variant>
      <vt:variant>
        <vt:lpwstr>https://portal.3gpp.org/ngppapp/CreateTdoc.aspx?mode=view&amp;contributionUid=CP-213228</vt:lpwstr>
      </vt:variant>
      <vt:variant>
        <vt:lpwstr/>
      </vt:variant>
      <vt:variant>
        <vt:i4>7798903</vt:i4>
      </vt:variant>
      <vt:variant>
        <vt:i4>4467</vt:i4>
      </vt:variant>
      <vt:variant>
        <vt:i4>0</vt:i4>
      </vt:variant>
      <vt:variant>
        <vt:i4>5</vt:i4>
      </vt:variant>
      <vt:variant>
        <vt:lpwstr>http://www.iana.org/assignments/enterprise-numbers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29.520</dc:title>
  <dc:subject>5G System; Network Data Analytics Services; Stage 3 (Release 18)</dc:subject>
  <dc:creator>MCC Support</dc:creator>
  <cp:keywords/>
  <dc:description/>
  <cp:lastModifiedBy>Rapporteur</cp:lastModifiedBy>
  <cp:revision>2</cp:revision>
  <cp:lastPrinted>2017-09-22T06:17:00Z</cp:lastPrinted>
  <dcterms:created xsi:type="dcterms:W3CDTF">2025-05-29T15:15:00Z</dcterms:created>
  <dcterms:modified xsi:type="dcterms:W3CDTF">2025-05-29T15:15:00Z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(3)NXCQg+lCnGTFJUTbjvgW0HcXEBo1LFfZGzaRo4pBcC2DMswrZ5kjBMiAluUAdUAtfzc9feZJ_x000d_
BVYE9oChlv6sHKqCF0twDhQM/CWxcza1ljjBb/jTYFM1S+b3BGVxUlV6XU0RooYH3Kf6nDpz_x000d_
MK+/6DwyWvKzHrApUrkZzbX2kva1ek9scvHgVSIfmBaIK5PqBqKwYN5hFgQOEhMQlWeDbpKq_x000d_
iwKE4ouP7YiiGEyg6V</vt:lpwstr>
  </property>
  <property fmtid="{D5CDD505-2E9C-101B-9397-08002B2CF9AE}" pid="9" name="_2015_ms_pID_725343_00">
    <vt:lpwstr>_2015_ms_pID_725343</vt:lpwstr>
  </property>
  <property fmtid="{D5CDD505-2E9C-101B-9397-08002B2CF9AE}" pid="10" name="_2015_ms_pID_7253431">
    <vt:lpwstr>d4ijZxgLq3oQj79dX4+SXc78u3Gihg3n4DaMV2E3psv3L3si6s/3jW_x000d_
Kb0EhrvBh8vIIgdHA265X/T/T14YZ20J7aDhxVubzZbw6lVOzPuMu1wDG1odvCfewCCF9zl2_x000d_
10lZ0EIrrkim9r/GVIWyE3XNXzRGI945TyKJOhFo2nkINQ+PxWKt8ZI2VpmU0TePFO0zLdQ9_x000d_
ocxt55yseqbzuc4J0dqA3q9fBVOgPtdEgl54</vt:lpwstr>
  </property>
  <property fmtid="{D5CDD505-2E9C-101B-9397-08002B2CF9AE}" pid="11" name="_2015_ms_pID_7253431_00">
    <vt:lpwstr>_2015_ms_pID_7253431</vt:lpwstr>
  </property>
  <property fmtid="{D5CDD505-2E9C-101B-9397-08002B2CF9AE}" pid="12" name="_2015_ms_pID_7253432">
    <vt:lpwstr>3VN7+oQyYTQFtSreviW+fMw=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KSOProductBuildVer">
    <vt:lpwstr>2052-11.8.2.12085</vt:lpwstr>
  </property>
  <property fmtid="{D5CDD505-2E9C-101B-9397-08002B2CF9AE}" pid="18" name="ICV">
    <vt:lpwstr>B36B3EB9D1E246D4914F2A26E513F265</vt:lpwstr>
  </property>
</Properties>
</file>